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9.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2.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3.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5.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5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58.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5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6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62.xml" ContentType="application/vnd.openxmlformats-officedocument.wordprocessingml.footer+xml"/>
  <Override PartName="/word/header175.xml" ContentType="application/vnd.openxmlformats-officedocument.wordprocessingml.header+xml"/>
  <Override PartName="/word/footer163.xml" ContentType="application/vnd.openxmlformats-officedocument.wordprocessingml.footer+xml"/>
  <Override PartName="/word/header176.xml" ContentType="application/vnd.openxmlformats-officedocument.wordprocessingml.header+xml"/>
  <Override PartName="/word/footer164.xml" ContentType="application/vnd.openxmlformats-officedocument.wordprocessingml.footer+xml"/>
  <Override PartName="/word/header177.xml" ContentType="application/vnd.openxmlformats-officedocument.wordprocessingml.header+xml"/>
  <Override PartName="/word/footer165.xml" ContentType="application/vnd.openxmlformats-officedocument.wordprocessingml.footer+xml"/>
  <Override PartName="/word/header178.xml" ContentType="application/vnd.openxmlformats-officedocument.wordprocessingml.header+xml"/>
  <Override PartName="/word/footer166.xml" ContentType="application/vnd.openxmlformats-officedocument.wordprocessingml.footer+xml"/>
  <Override PartName="/word/header179.xml" ContentType="application/vnd.openxmlformats-officedocument.wordprocessingml.header+xml"/>
  <Override PartName="/word/footer167.xml" ContentType="application/vnd.openxmlformats-officedocument.wordprocessingml.footer+xml"/>
  <Override PartName="/word/header180.xml" ContentType="application/vnd.openxmlformats-officedocument.wordprocessingml.header+xml"/>
  <Override PartName="/word/footer168.xml" ContentType="application/vnd.openxmlformats-officedocument.wordprocessingml.footer+xml"/>
  <Override PartName="/word/header181.xml" ContentType="application/vnd.openxmlformats-officedocument.wordprocessingml.header+xml"/>
  <Override PartName="/word/footer169.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8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8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86.xml" ContentType="application/vnd.openxmlformats-officedocument.wordprocessingml.footer+xml"/>
  <Override PartName="/word/header198.xml" ContentType="application/vnd.openxmlformats-officedocument.wordprocessingml.header+xml"/>
  <Override PartName="/word/footer187.xml" ContentType="application/vnd.openxmlformats-officedocument.wordprocessingml.footer+xml"/>
  <Override PartName="/word/header19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02.xml" ContentType="application/vnd.openxmlformats-officedocument.wordprocessingml.header+xml"/>
  <Override PartName="/word/footer19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16" w:lineRule="auto" w:before="165"/>
        <w:ind w:left="925" w:right="1602" w:hanging="808"/>
      </w:pPr>
      <w:r>
        <w:rPr/>
        <w:pict>
          <v:group style="position:absolute;margin-left:.003015pt;margin-top:0pt;width:841.9pt;height:595.3pt;mso-position-horizontal-relative:page;mso-position-vertical-relative:page;z-index:-275606528" coordorigin="0,0" coordsize="16838,11906">
            <v:shape style="position:absolute;left:0;top:3494;width:4214;height:8412" type="#_x0000_t75" stroked="false">
              <v:imagedata r:id="rId5" o:title=""/>
            </v:shape>
            <v:shape style="position:absolute;left:0;top:0;width:4915;height:3504" type="#_x0000_t75" stroked="false">
              <v:imagedata r:id="rId6" o:title=""/>
            </v:shape>
            <v:shape style="position:absolute;left:4203;top:3494;width:4220;height:8412" type="#_x0000_t75" stroked="false">
              <v:imagedata r:id="rId7" o:title=""/>
            </v:shape>
            <v:shape style="position:absolute;left:4904;top:0;width:4920;height:3504" type="#_x0000_t75" stroked="false">
              <v:imagedata r:id="rId8" o:title=""/>
            </v:shape>
            <v:shape style="position:absolute;left:8413;top:3494;width:4220;height:8412" type="#_x0000_t75" stroked="false">
              <v:imagedata r:id="rId9" o:title=""/>
            </v:shape>
            <v:shape style="position:absolute;left:9815;top:0;width:4925;height:3504" type="#_x0000_t75" stroked="false">
              <v:imagedata r:id="rId10" o:title=""/>
            </v:shape>
            <v:shape style="position:absolute;left:12623;top:3494;width:4215;height:8412" type="#_x0000_t75" stroked="false">
              <v:imagedata r:id="rId11" o:title=""/>
            </v:shape>
            <v:shape style="position:absolute;left:14730;top:0;width:2108;height:3504" type="#_x0000_t75" stroked="false">
              <v:imagedata r:id="rId12" o:title=""/>
            </v:shape>
            <w10:wrap type="none"/>
          </v:group>
        </w:pict>
      </w:r>
      <w:r>
        <w:rPr>
          <w:color w:val="231F20"/>
          <w:spacing w:val="-14"/>
        </w:rPr>
        <w:t>Annual </w:t>
      </w:r>
      <w:r>
        <w:rPr>
          <w:color w:val="231F20"/>
          <w:spacing w:val="-5"/>
        </w:rPr>
        <w:t>Report, </w:t>
      </w:r>
      <w:r>
        <w:rPr>
          <w:color w:val="231F20"/>
          <w:spacing w:val="-10"/>
        </w:rPr>
        <w:t>Resolutions and Papers</w:t>
      </w:r>
    </w:p>
    <w:p>
      <w:pPr>
        <w:pStyle w:val="Heading8"/>
        <w:spacing w:line="330" w:lineRule="exact"/>
        <w:ind w:right="105"/>
        <w:jc w:val="right"/>
      </w:pPr>
      <w:r>
        <w:rPr>
          <w:color w:val="A7A9AC"/>
          <w:w w:val="85"/>
        </w:rPr>
        <w:t>General Assembly 2007</w:t>
      </w:r>
    </w:p>
    <w:p>
      <w:pPr>
        <w:spacing w:after="0" w:line="330" w:lineRule="exact"/>
        <w:jc w:val="right"/>
        <w:sectPr>
          <w:type w:val="continuous"/>
          <w:pgSz w:w="16840" w:h="11910" w:orient="landscape"/>
          <w:pgMar w:top="680" w:bottom="280" w:left="1640" w:right="1160"/>
        </w:sectPr>
      </w:pPr>
    </w:p>
    <w:p>
      <w:pPr>
        <w:pStyle w:val="BodyText"/>
        <w:spacing w:before="8"/>
        <w:rPr>
          <w:rFonts w:ascii="Eurostile Bold"/>
          <w:b/>
          <w:sz w:val="20"/>
        </w:rPr>
      </w:pPr>
    </w:p>
    <w:p>
      <w:pPr>
        <w:spacing w:before="98"/>
        <w:ind w:left="812" w:right="1251" w:firstLine="0"/>
        <w:jc w:val="center"/>
        <w:rPr>
          <w:sz w:val="20"/>
        </w:rPr>
      </w:pPr>
      <w:r>
        <w:rPr>
          <w:color w:val="231F20"/>
          <w:w w:val="110"/>
          <w:sz w:val="20"/>
        </w:rPr>
        <w:t>© The United Reformed Church, 2007</w:t>
      </w:r>
    </w:p>
    <w:p>
      <w:pPr>
        <w:pStyle w:val="BodyText"/>
        <w:spacing w:before="9"/>
        <w:rPr>
          <w:sz w:val="22"/>
        </w:rPr>
      </w:pPr>
    </w:p>
    <w:p>
      <w:pPr>
        <w:spacing w:before="1"/>
        <w:ind w:left="812" w:right="1251" w:firstLine="0"/>
        <w:jc w:val="center"/>
        <w:rPr>
          <w:sz w:val="20"/>
        </w:rPr>
      </w:pPr>
      <w:r>
        <w:rPr>
          <w:color w:val="231F20"/>
          <w:w w:val="110"/>
          <w:sz w:val="20"/>
        </w:rPr>
        <w:t>Published by</w:t>
      </w:r>
    </w:p>
    <w:p>
      <w:pPr>
        <w:spacing w:before="17"/>
        <w:ind w:left="812" w:right="1251" w:firstLine="0"/>
        <w:jc w:val="center"/>
        <w:rPr>
          <w:sz w:val="20"/>
        </w:rPr>
      </w:pPr>
      <w:r>
        <w:rPr>
          <w:color w:val="231F20"/>
          <w:w w:val="110"/>
          <w:sz w:val="20"/>
        </w:rPr>
        <w:t>The United Reformed Church</w:t>
      </w:r>
    </w:p>
    <w:p>
      <w:pPr>
        <w:spacing w:before="16"/>
        <w:ind w:left="812" w:right="1251" w:firstLine="0"/>
        <w:jc w:val="center"/>
        <w:rPr>
          <w:sz w:val="20"/>
        </w:rPr>
      </w:pPr>
      <w:r>
        <w:rPr>
          <w:color w:val="231F20"/>
          <w:w w:val="110"/>
          <w:sz w:val="20"/>
        </w:rPr>
        <w:t>86 Tavistock Place, London WC1H 9RT</w:t>
      </w:r>
    </w:p>
    <w:p>
      <w:pPr>
        <w:pStyle w:val="BodyText"/>
        <w:spacing w:before="10"/>
        <w:rPr>
          <w:sz w:val="22"/>
        </w:rPr>
      </w:pPr>
    </w:p>
    <w:p>
      <w:pPr>
        <w:spacing w:line="256" w:lineRule="auto" w:before="0"/>
        <w:ind w:left="1152" w:right="1593" w:firstLine="192"/>
        <w:jc w:val="left"/>
        <w:rPr>
          <w:sz w:val="20"/>
        </w:rPr>
      </w:pPr>
      <w:r>
        <w:rPr>
          <w:color w:val="231F20"/>
          <w:w w:val="110"/>
          <w:sz w:val="20"/>
        </w:rPr>
        <w:t>All rights reserved. This material may be used freely within the Churches. No </w:t>
      </w:r>
      <w:r>
        <w:rPr>
          <w:color w:val="231F20"/>
          <w:spacing w:val="2"/>
          <w:w w:val="110"/>
          <w:sz w:val="20"/>
        </w:rPr>
        <w:t>part </w:t>
      </w:r>
      <w:r>
        <w:rPr>
          <w:color w:val="231F20"/>
          <w:w w:val="110"/>
          <w:sz w:val="20"/>
        </w:rPr>
        <w:t>of this publication may be reproduced outside the Church in any form or by </w:t>
      </w:r>
      <w:r>
        <w:rPr>
          <w:color w:val="231F20"/>
          <w:spacing w:val="-3"/>
          <w:w w:val="110"/>
          <w:sz w:val="20"/>
        </w:rPr>
        <w:t>any </w:t>
      </w:r>
      <w:r>
        <w:rPr>
          <w:color w:val="231F20"/>
          <w:w w:val="110"/>
          <w:sz w:val="20"/>
        </w:rPr>
        <w:t>means – graphic, electronic, or mechanical, including</w:t>
      </w:r>
      <w:r>
        <w:rPr>
          <w:color w:val="231F20"/>
          <w:spacing w:val="3"/>
          <w:w w:val="110"/>
          <w:sz w:val="20"/>
        </w:rPr>
        <w:t> </w:t>
      </w:r>
      <w:r>
        <w:rPr>
          <w:color w:val="231F20"/>
          <w:w w:val="110"/>
          <w:sz w:val="20"/>
        </w:rPr>
        <w:t>photocopying,</w:t>
      </w:r>
    </w:p>
    <w:p>
      <w:pPr>
        <w:spacing w:line="256" w:lineRule="auto" w:before="0"/>
        <w:ind w:left="2357" w:right="2348" w:hanging="445"/>
        <w:jc w:val="left"/>
        <w:rPr>
          <w:sz w:val="20"/>
        </w:rPr>
      </w:pPr>
      <w:r>
        <w:rPr>
          <w:color w:val="231F20"/>
          <w:w w:val="110"/>
          <w:sz w:val="20"/>
        </w:rPr>
        <w:t>recording, taping or information storage and retrieval systems – without the prior permission in writing of the publishers.</w:t>
      </w:r>
    </w:p>
    <w:p>
      <w:pPr>
        <w:pStyle w:val="BodyText"/>
        <w:spacing w:before="4"/>
        <w:rPr>
          <w:sz w:val="21"/>
        </w:rPr>
      </w:pPr>
    </w:p>
    <w:p>
      <w:pPr>
        <w:spacing w:line="256" w:lineRule="auto" w:before="0"/>
        <w:ind w:left="810" w:right="1251" w:firstLine="0"/>
        <w:jc w:val="center"/>
        <w:rPr>
          <w:sz w:val="20"/>
        </w:rPr>
      </w:pPr>
      <w:r>
        <w:rPr>
          <w:color w:val="231F20"/>
          <w:w w:val="110"/>
          <w:sz w:val="20"/>
        </w:rPr>
        <w:t>The publishers make no representation, express or implied, with regard to the accuracy of the information contained in this book and cannot accept any legal responsibility for any errors or omissions that may take place.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32"/>
        </w:rPr>
      </w:pPr>
    </w:p>
    <w:p>
      <w:pPr>
        <w:spacing w:before="0"/>
        <w:ind w:left="919" w:right="0" w:firstLine="0"/>
        <w:jc w:val="left"/>
        <w:rPr>
          <w:sz w:val="20"/>
        </w:rPr>
      </w:pPr>
      <w:r>
        <w:rPr>
          <w:color w:val="231F20"/>
          <w:w w:val="110"/>
          <w:sz w:val="20"/>
        </w:rPr>
        <w:t>Designed &amp; Printed by the Graphics office in Communications on behalf of the</w:t>
      </w:r>
    </w:p>
    <w:p>
      <w:pPr>
        <w:spacing w:line="256" w:lineRule="auto" w:before="17"/>
        <w:ind w:left="919" w:right="2348" w:firstLine="0"/>
        <w:jc w:val="left"/>
        <w:rPr>
          <w:sz w:val="20"/>
        </w:rPr>
      </w:pPr>
      <w:r>
        <w:rPr>
          <w:color w:val="231F20"/>
          <w:w w:val="110"/>
          <w:sz w:val="20"/>
        </w:rPr>
        <w:t>Assembly Arrangements Committee, The United Reformed Church, Church House, 86 Tavistock Place, London WC1H 9RT</w:t>
      </w:r>
    </w:p>
    <w:p>
      <w:pPr>
        <w:pStyle w:val="BodyText"/>
        <w:spacing w:before="4"/>
        <w:rPr>
          <w:sz w:val="21"/>
        </w:rPr>
      </w:pPr>
    </w:p>
    <w:p>
      <w:pPr>
        <w:spacing w:line="256" w:lineRule="auto" w:before="0"/>
        <w:ind w:left="919" w:right="1365" w:firstLine="0"/>
        <w:jc w:val="left"/>
        <w:rPr>
          <w:sz w:val="20"/>
        </w:rPr>
      </w:pPr>
      <w:r>
        <w:rPr>
          <w:color w:val="231F20"/>
          <w:w w:val="110"/>
          <w:sz w:val="20"/>
        </w:rPr>
        <w:t>Images supplied by churches within the United Reformed Church for the sole purpose of General Assembly 2007 are not to be used without written permission for any other purpose.</w:t>
      </w:r>
    </w:p>
    <w:p>
      <w:pPr>
        <w:pStyle w:val="BodyText"/>
        <w:spacing w:before="5"/>
        <w:rPr>
          <w:sz w:val="21"/>
        </w:rPr>
      </w:pPr>
    </w:p>
    <w:p>
      <w:pPr>
        <w:spacing w:line="256" w:lineRule="auto" w:before="0"/>
        <w:ind w:left="919" w:right="1565" w:firstLine="0"/>
        <w:jc w:val="left"/>
        <w:rPr>
          <w:sz w:val="20"/>
        </w:rPr>
      </w:pPr>
      <w:r>
        <w:rPr>
          <w:color w:val="231F20"/>
          <w:w w:val="110"/>
          <w:sz w:val="20"/>
        </w:rPr>
        <w:t>Produced with reference to “See it Right: Making information accessible to people with </w:t>
      </w:r>
      <w:r>
        <w:rPr>
          <w:color w:val="231F20"/>
          <w:spacing w:val="-3"/>
          <w:w w:val="110"/>
          <w:sz w:val="20"/>
        </w:rPr>
        <w:t>sight </w:t>
      </w:r>
      <w:r>
        <w:rPr>
          <w:color w:val="231F20"/>
          <w:w w:val="110"/>
          <w:sz w:val="20"/>
        </w:rPr>
        <w:t>problems” </w:t>
      </w:r>
      <w:r>
        <w:rPr>
          <w:color w:val="231F20"/>
          <w:spacing w:val="-6"/>
          <w:w w:val="110"/>
          <w:sz w:val="20"/>
        </w:rPr>
        <w:t>(2006), </w:t>
      </w:r>
      <w:r>
        <w:rPr>
          <w:color w:val="231F20"/>
          <w:spacing w:val="-4"/>
          <w:w w:val="110"/>
          <w:sz w:val="20"/>
        </w:rPr>
        <w:t>Royal </w:t>
      </w:r>
      <w:r>
        <w:rPr>
          <w:color w:val="231F20"/>
          <w:spacing w:val="-3"/>
          <w:w w:val="110"/>
          <w:sz w:val="20"/>
        </w:rPr>
        <w:t>National </w:t>
      </w:r>
      <w:r>
        <w:rPr>
          <w:color w:val="231F20"/>
          <w:w w:val="110"/>
          <w:sz w:val="20"/>
        </w:rPr>
        <w:t>Institute of the </w:t>
      </w:r>
      <w:r>
        <w:rPr>
          <w:color w:val="231F20"/>
          <w:spacing w:val="-3"/>
          <w:w w:val="110"/>
          <w:sz w:val="20"/>
        </w:rPr>
        <w:t>Blind, </w:t>
      </w:r>
      <w:r>
        <w:rPr>
          <w:color w:val="231F20"/>
          <w:w w:val="110"/>
          <w:sz w:val="20"/>
        </w:rPr>
        <w:t>London. ISBN 1 85878 704 1</w:t>
      </w:r>
    </w:p>
    <w:p>
      <w:pPr>
        <w:pStyle w:val="BodyText"/>
        <w:spacing w:before="4"/>
        <w:rPr>
          <w:sz w:val="21"/>
        </w:rPr>
      </w:pPr>
    </w:p>
    <w:p>
      <w:pPr>
        <w:spacing w:line="256" w:lineRule="auto" w:before="0"/>
        <w:ind w:left="919" w:right="2348" w:firstLine="0"/>
        <w:jc w:val="left"/>
        <w:rPr>
          <w:sz w:val="20"/>
        </w:rPr>
      </w:pPr>
      <w:r>
        <w:rPr>
          <w:color w:val="231F20"/>
          <w:w w:val="110"/>
          <w:sz w:val="20"/>
        </w:rPr>
        <w:t>Printed on 80gsm White Bond paper sourced from sustainable forests, Elemental Chlorine Free (ECF)</w:t>
      </w:r>
    </w:p>
    <w:p>
      <w:pPr>
        <w:pStyle w:val="BodyText"/>
        <w:spacing w:before="4"/>
        <w:rPr>
          <w:sz w:val="21"/>
        </w:rPr>
      </w:pPr>
    </w:p>
    <w:p>
      <w:pPr>
        <w:spacing w:line="256" w:lineRule="auto" w:before="1"/>
        <w:ind w:left="919" w:right="1593" w:firstLine="0"/>
        <w:jc w:val="left"/>
        <w:rPr>
          <w:sz w:val="20"/>
        </w:rPr>
      </w:pPr>
      <w:r>
        <w:rPr>
          <w:color w:val="231F20"/>
          <w:w w:val="110"/>
          <w:sz w:val="20"/>
        </w:rPr>
        <w:t>Plastic bindings (Laurel) made from natural products in a procedure that guarantees almost waste-free production. Colour granules are free of cadmium and all other harmful substances.</w:t>
      </w:r>
    </w:p>
    <w:p>
      <w:pPr>
        <w:spacing w:line="243" w:lineRule="exact" w:before="0"/>
        <w:ind w:left="919" w:right="0" w:firstLine="0"/>
        <w:jc w:val="left"/>
        <w:rPr>
          <w:sz w:val="20"/>
        </w:rPr>
      </w:pPr>
      <w:r>
        <w:rPr>
          <w:color w:val="231F20"/>
          <w:w w:val="110"/>
          <w:sz w:val="20"/>
        </w:rPr>
        <w:t>Supplied direct from manufacturer to reduce carbon footprint.</w:t>
      </w:r>
    </w:p>
    <w:p>
      <w:pPr>
        <w:pStyle w:val="BodyText"/>
        <w:spacing w:before="10"/>
        <w:rPr>
          <w:sz w:val="22"/>
        </w:rPr>
      </w:pPr>
    </w:p>
    <w:p>
      <w:pPr>
        <w:spacing w:line="256" w:lineRule="auto" w:before="0"/>
        <w:ind w:left="919" w:right="1365" w:firstLine="0"/>
        <w:jc w:val="left"/>
        <w:rPr>
          <w:sz w:val="20"/>
        </w:rPr>
      </w:pPr>
      <w:r>
        <w:rPr>
          <w:color w:val="231F20"/>
          <w:w w:val="110"/>
          <w:sz w:val="20"/>
        </w:rPr>
        <w:t>Printed</w:t>
      </w:r>
      <w:r>
        <w:rPr>
          <w:color w:val="231F20"/>
          <w:spacing w:val="-16"/>
          <w:w w:val="110"/>
          <w:sz w:val="20"/>
        </w:rPr>
        <w:t> </w:t>
      </w:r>
      <w:r>
        <w:rPr>
          <w:color w:val="231F20"/>
          <w:w w:val="110"/>
          <w:sz w:val="20"/>
        </w:rPr>
        <w:t>on</w:t>
      </w:r>
      <w:r>
        <w:rPr>
          <w:color w:val="231F20"/>
          <w:spacing w:val="-18"/>
          <w:w w:val="110"/>
          <w:sz w:val="20"/>
        </w:rPr>
        <w:t> </w:t>
      </w:r>
      <w:r>
        <w:rPr>
          <w:color w:val="231F20"/>
          <w:w w:val="110"/>
          <w:sz w:val="20"/>
        </w:rPr>
        <w:t>RISO</w:t>
      </w:r>
      <w:r>
        <w:rPr>
          <w:color w:val="231F20"/>
          <w:spacing w:val="-20"/>
          <w:w w:val="110"/>
          <w:sz w:val="20"/>
        </w:rPr>
        <w:t> </w:t>
      </w:r>
      <w:r>
        <w:rPr>
          <w:color w:val="231F20"/>
          <w:spacing w:val="-5"/>
          <w:w w:val="110"/>
          <w:sz w:val="20"/>
        </w:rPr>
        <w:t>RP3700</w:t>
      </w:r>
      <w:r>
        <w:rPr>
          <w:color w:val="231F20"/>
          <w:spacing w:val="-20"/>
          <w:w w:val="110"/>
          <w:sz w:val="20"/>
        </w:rPr>
        <w:t> </w:t>
      </w:r>
      <w:r>
        <w:rPr>
          <w:color w:val="231F20"/>
          <w:w w:val="110"/>
          <w:sz w:val="20"/>
        </w:rPr>
        <w:t>Digital</w:t>
      </w:r>
      <w:r>
        <w:rPr>
          <w:color w:val="231F20"/>
          <w:spacing w:val="-16"/>
          <w:w w:val="110"/>
          <w:sz w:val="20"/>
        </w:rPr>
        <w:t> </w:t>
      </w:r>
      <w:r>
        <w:rPr>
          <w:color w:val="231F20"/>
          <w:spacing w:val="-3"/>
          <w:w w:val="110"/>
          <w:sz w:val="20"/>
        </w:rPr>
        <w:t>Printer:</w:t>
      </w:r>
      <w:r>
        <w:rPr>
          <w:color w:val="231F20"/>
          <w:spacing w:val="-16"/>
          <w:w w:val="110"/>
          <w:sz w:val="20"/>
        </w:rPr>
        <w:t> </w:t>
      </w:r>
      <w:r>
        <w:rPr>
          <w:color w:val="231F20"/>
          <w:spacing w:val="-3"/>
          <w:w w:val="110"/>
          <w:sz w:val="20"/>
        </w:rPr>
        <w:t>low</w:t>
      </w:r>
      <w:r>
        <w:rPr>
          <w:color w:val="231F20"/>
          <w:spacing w:val="-16"/>
          <w:w w:val="110"/>
          <w:sz w:val="20"/>
        </w:rPr>
        <w:t> </w:t>
      </w:r>
      <w:r>
        <w:rPr>
          <w:color w:val="231F20"/>
          <w:w w:val="110"/>
          <w:sz w:val="20"/>
        </w:rPr>
        <w:t>electricity</w:t>
      </w:r>
      <w:r>
        <w:rPr>
          <w:color w:val="231F20"/>
          <w:spacing w:val="-15"/>
          <w:w w:val="110"/>
          <w:sz w:val="20"/>
        </w:rPr>
        <w:t> </w:t>
      </w:r>
      <w:r>
        <w:rPr>
          <w:color w:val="231F20"/>
          <w:spacing w:val="-3"/>
          <w:w w:val="110"/>
          <w:sz w:val="20"/>
        </w:rPr>
        <w:t>consumption/low</w:t>
      </w:r>
      <w:r>
        <w:rPr>
          <w:color w:val="231F20"/>
          <w:spacing w:val="-16"/>
          <w:w w:val="110"/>
          <w:sz w:val="20"/>
        </w:rPr>
        <w:t> </w:t>
      </w:r>
      <w:r>
        <w:rPr>
          <w:color w:val="231F20"/>
          <w:w w:val="110"/>
          <w:sz w:val="20"/>
        </w:rPr>
        <w:t>heat</w:t>
      </w:r>
      <w:r>
        <w:rPr>
          <w:color w:val="231F20"/>
          <w:spacing w:val="-16"/>
          <w:w w:val="110"/>
          <w:sz w:val="20"/>
        </w:rPr>
        <w:t> </w:t>
      </w:r>
      <w:r>
        <w:rPr>
          <w:color w:val="231F20"/>
          <w:w w:val="110"/>
          <w:sz w:val="20"/>
        </w:rPr>
        <w:t>output. RISO Inks: Soy-Bean based oil - primarily organic based and from a sustainable source. Sample batches of RISO products </w:t>
      </w:r>
      <w:r>
        <w:rPr>
          <w:color w:val="231F20"/>
          <w:spacing w:val="-3"/>
          <w:w w:val="110"/>
          <w:sz w:val="20"/>
        </w:rPr>
        <w:t>have </w:t>
      </w:r>
      <w:r>
        <w:rPr>
          <w:color w:val="231F20"/>
          <w:w w:val="110"/>
          <w:sz w:val="20"/>
        </w:rPr>
        <w:t>shown a </w:t>
      </w:r>
      <w:r>
        <w:rPr>
          <w:color w:val="231F20"/>
          <w:spacing w:val="-3"/>
          <w:w w:val="110"/>
          <w:sz w:val="20"/>
        </w:rPr>
        <w:t>100% </w:t>
      </w:r>
      <w:r>
        <w:rPr>
          <w:color w:val="231F20"/>
          <w:w w:val="110"/>
          <w:sz w:val="20"/>
        </w:rPr>
        <w:t>recycle</w:t>
      </w:r>
      <w:r>
        <w:rPr>
          <w:color w:val="231F20"/>
          <w:spacing w:val="30"/>
          <w:w w:val="110"/>
          <w:sz w:val="20"/>
        </w:rPr>
        <w:t> </w:t>
      </w:r>
      <w:r>
        <w:rPr>
          <w:color w:val="231F20"/>
          <w:w w:val="110"/>
          <w:sz w:val="20"/>
        </w:rPr>
        <w:t>rate</w:t>
      </w:r>
    </w:p>
    <w:p>
      <w:pPr>
        <w:spacing w:line="243" w:lineRule="exact" w:before="0"/>
        <w:ind w:left="919" w:right="0" w:firstLine="0"/>
        <w:jc w:val="left"/>
        <w:rPr>
          <w:sz w:val="20"/>
        </w:rPr>
      </w:pPr>
      <w:r>
        <w:rPr>
          <w:color w:val="231F20"/>
          <w:w w:val="110"/>
          <w:sz w:val="20"/>
        </w:rPr>
        <w:t>(IT equipment target, WEEE directive).</w:t>
      </w:r>
    </w:p>
    <w:p>
      <w:pPr>
        <w:spacing w:after="0" w:line="243" w:lineRule="exact"/>
        <w:jc w:val="left"/>
        <w:rPr>
          <w:sz w:val="20"/>
        </w:rPr>
        <w:sectPr>
          <w:pgSz w:w="11910" w:h="16840"/>
          <w:pgMar w:top="1580" w:bottom="280" w:left="460" w:right="0"/>
        </w:sectPr>
      </w:pPr>
    </w:p>
    <w:p>
      <w:pPr>
        <w:pStyle w:val="BodyText"/>
        <w:rPr>
          <w:sz w:val="20"/>
        </w:rPr>
      </w:pPr>
      <w:r>
        <w:rPr/>
        <w:pict>
          <v:shapetype id="_x0000_t202" o:spt="202" coordsize="21600,21600" path="m,l,21600r21600,l21600,xe">
            <v:stroke joinstyle="miter"/>
            <v:path gradientshapeok="t" o:connecttype="rect"/>
          </v:shapetype>
          <v:shape style="position:absolute;margin-left:491.305969pt;margin-top:40.575115pt;width:70.25pt;height:327.150pt;mso-position-horizontal-relative:page;mso-position-vertical-relative:page;z-index:251661312" type="#_x0000_t202" filled="false" stroked="false">
            <v:textbox inset="0,0,0,0" style="layout-flow:vertical">
              <w:txbxContent>
                <w:p>
                  <w:pPr>
                    <w:spacing w:line="1003" w:lineRule="exact" w:before="20"/>
                    <w:ind w:left="20" w:right="0" w:firstLine="0"/>
                    <w:jc w:val="left"/>
                    <w:rPr>
                      <w:b/>
                      <w:sz w:val="88"/>
                    </w:rPr>
                  </w:pPr>
                  <w:r>
                    <w:rPr>
                      <w:b/>
                      <w:color w:val="231F20"/>
                      <w:sz w:val="88"/>
                    </w:rPr>
                    <w:t>Contents</w:t>
                  </w:r>
                </w:p>
                <w:p>
                  <w:pPr>
                    <w:spacing w:line="379" w:lineRule="exact" w:before="0"/>
                    <w:ind w:left="2745" w:right="0" w:firstLine="0"/>
                    <w:jc w:val="left"/>
                    <w:rPr>
                      <w:rFonts w:ascii="Eurostile Bold"/>
                      <w:b/>
                      <w:sz w:val="36"/>
                    </w:rPr>
                  </w:pPr>
                  <w:r>
                    <w:rPr>
                      <w:rFonts w:ascii="Eurostile Bold"/>
                      <w:b/>
                      <w:color w:val="A7A9AC"/>
                      <w:w w:val="85"/>
                      <w:sz w:val="36"/>
                    </w:rPr>
                    <w:t>General Assembly 2007</w:t>
                  </w:r>
                </w:p>
              </w:txbxContent>
            </v:textbox>
            <w10:wrap type="none"/>
          </v:shape>
        </w:pict>
      </w:r>
      <w:r>
        <w:rPr/>
        <w:pict>
          <v:shape style="position:absolute;margin-left:71.900002pt;margin-top:46.772015pt;width:237.75pt;height:751.6pt;mso-position-horizontal-relative:page;mso-position-vertical-relative:page;z-index:2516623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90"/>
                    <w:gridCol w:w="643"/>
                  </w:tblGrid>
                  <w:tr>
                    <w:trPr>
                      <w:trHeight w:val="338" w:hRule="atLeast"/>
                    </w:trPr>
                    <w:tc>
                      <w:tcPr>
                        <w:tcW w:w="4090" w:type="dxa"/>
                        <w:tcBorders>
                          <w:right w:val="single" w:sz="6" w:space="0" w:color="939598"/>
                        </w:tcBorders>
                        <w:shd w:val="clear" w:color="auto" w:fill="D1D3D4"/>
                      </w:tcPr>
                      <w:p>
                        <w:pPr>
                          <w:pStyle w:val="TableParagraph"/>
                          <w:spacing w:line="214" w:lineRule="exact" w:before="104"/>
                          <w:ind w:left="121"/>
                          <w:rPr>
                            <w:rFonts w:ascii="Verdana"/>
                            <w:sz w:val="18"/>
                          </w:rPr>
                        </w:pPr>
                        <w:r>
                          <w:rPr>
                            <w:rFonts w:ascii="Verdana"/>
                            <w:color w:val="231F20"/>
                            <w:w w:val="110"/>
                            <w:sz w:val="18"/>
                          </w:rPr>
                          <w:t>Catch the Vision</w:t>
                        </w:r>
                      </w:p>
                    </w:tc>
                    <w:tc>
                      <w:tcPr>
                        <w:tcW w:w="643" w:type="dxa"/>
                        <w:tcBorders>
                          <w:left w:val="single" w:sz="6" w:space="0" w:color="939598"/>
                          <w:right w:val="single" w:sz="6" w:space="0" w:color="939598"/>
                        </w:tcBorders>
                        <w:shd w:val="clear" w:color="auto" w:fill="D1D3D4"/>
                      </w:tcPr>
                      <w:p>
                        <w:pPr>
                          <w:pStyle w:val="TableParagraph"/>
                          <w:spacing w:line="214" w:lineRule="exact" w:before="104"/>
                          <w:ind w:right="162"/>
                          <w:jc w:val="right"/>
                          <w:rPr>
                            <w:rFonts w:ascii="Verdana"/>
                            <w:sz w:val="18"/>
                          </w:rPr>
                        </w:pPr>
                        <w:r>
                          <w:rPr>
                            <w:rFonts w:ascii="Verdana"/>
                            <w:color w:val="231F20"/>
                            <w:w w:val="111"/>
                            <w:sz w:val="18"/>
                          </w:rPr>
                          <w:t>7</w:t>
                        </w:r>
                      </w:p>
                    </w:tc>
                  </w:tr>
                  <w:tr>
                    <w:trPr>
                      <w:trHeight w:val="250" w:hRule="atLeast"/>
                    </w:trPr>
                    <w:tc>
                      <w:tcPr>
                        <w:tcW w:w="4090" w:type="dxa"/>
                        <w:tcBorders>
                          <w:right w:val="single" w:sz="6" w:space="0" w:color="939598"/>
                        </w:tcBorders>
                        <w:shd w:val="clear" w:color="auto" w:fill="D1D3D4"/>
                      </w:tcPr>
                      <w:p>
                        <w:pPr>
                          <w:pStyle w:val="TableParagraph"/>
                          <w:spacing w:line="214" w:lineRule="exact" w:before="15"/>
                          <w:ind w:left="121"/>
                          <w:rPr>
                            <w:rFonts w:ascii="Verdana"/>
                            <w:sz w:val="18"/>
                          </w:rPr>
                        </w:pPr>
                        <w:r>
                          <w:rPr>
                            <w:rFonts w:ascii="Verdana"/>
                            <w:color w:val="231F20"/>
                            <w:w w:val="110"/>
                            <w:sz w:val="18"/>
                          </w:rPr>
                          <w:t>A new Department of Mission</w:t>
                        </w:r>
                      </w:p>
                    </w:tc>
                    <w:tc>
                      <w:tcPr>
                        <w:tcW w:w="643" w:type="dxa"/>
                        <w:tcBorders>
                          <w:left w:val="single" w:sz="6" w:space="0" w:color="939598"/>
                          <w:right w:val="single" w:sz="6" w:space="0" w:color="939598"/>
                        </w:tcBorders>
                        <w:shd w:val="clear" w:color="auto" w:fill="D1D3D4"/>
                      </w:tcPr>
                      <w:p>
                        <w:pPr>
                          <w:pStyle w:val="TableParagraph"/>
                          <w:spacing w:line="214" w:lineRule="exact" w:before="15"/>
                          <w:ind w:right="162"/>
                          <w:jc w:val="right"/>
                          <w:rPr>
                            <w:rFonts w:ascii="Verdana"/>
                            <w:sz w:val="18"/>
                          </w:rPr>
                        </w:pPr>
                        <w:r>
                          <w:rPr>
                            <w:rFonts w:ascii="Verdana"/>
                            <w:color w:val="231F20"/>
                            <w:w w:val="110"/>
                            <w:sz w:val="18"/>
                          </w:rPr>
                          <w:t>13</w:t>
                        </w:r>
                      </w:p>
                    </w:tc>
                  </w:tr>
                  <w:tr>
                    <w:trPr>
                      <w:trHeight w:val="250" w:hRule="atLeast"/>
                    </w:trPr>
                    <w:tc>
                      <w:tcPr>
                        <w:tcW w:w="4090" w:type="dxa"/>
                        <w:tcBorders>
                          <w:right w:val="single" w:sz="6" w:space="0" w:color="939598"/>
                        </w:tcBorders>
                        <w:shd w:val="clear" w:color="auto" w:fill="D1D3D4"/>
                      </w:tcPr>
                      <w:p>
                        <w:pPr>
                          <w:pStyle w:val="TableParagraph"/>
                          <w:spacing w:line="214" w:lineRule="exact" w:before="15"/>
                          <w:ind w:left="121"/>
                          <w:rPr>
                            <w:rFonts w:ascii="Verdana"/>
                            <w:sz w:val="18"/>
                          </w:rPr>
                        </w:pPr>
                        <w:r>
                          <w:rPr>
                            <w:rFonts w:ascii="Verdana"/>
                            <w:color w:val="231F20"/>
                            <w:w w:val="110"/>
                            <w:sz w:val="18"/>
                          </w:rPr>
                          <w:t>The Moderator of General Assembly</w:t>
                        </w:r>
                      </w:p>
                    </w:tc>
                    <w:tc>
                      <w:tcPr>
                        <w:tcW w:w="643" w:type="dxa"/>
                        <w:tcBorders>
                          <w:left w:val="single" w:sz="6" w:space="0" w:color="939598"/>
                          <w:right w:val="single" w:sz="6" w:space="0" w:color="939598"/>
                        </w:tcBorders>
                        <w:shd w:val="clear" w:color="auto" w:fill="D1D3D4"/>
                      </w:tcPr>
                      <w:p>
                        <w:pPr>
                          <w:pStyle w:val="TableParagraph"/>
                          <w:spacing w:line="214" w:lineRule="exact" w:before="15"/>
                          <w:ind w:right="162"/>
                          <w:jc w:val="right"/>
                          <w:rPr>
                            <w:rFonts w:ascii="Verdana"/>
                            <w:sz w:val="18"/>
                          </w:rPr>
                        </w:pPr>
                        <w:r>
                          <w:rPr>
                            <w:rFonts w:ascii="Verdana"/>
                            <w:color w:val="231F20"/>
                            <w:w w:val="110"/>
                            <w:sz w:val="18"/>
                          </w:rPr>
                          <w:t>23</w:t>
                        </w:r>
                      </w:p>
                    </w:tc>
                  </w:tr>
                  <w:tr>
                    <w:trPr>
                      <w:trHeight w:val="389" w:hRule="atLeast"/>
                    </w:trPr>
                    <w:tc>
                      <w:tcPr>
                        <w:tcW w:w="4090" w:type="dxa"/>
                        <w:tcBorders>
                          <w:right w:val="single" w:sz="6" w:space="0" w:color="939598"/>
                        </w:tcBorders>
                        <w:shd w:val="clear" w:color="auto" w:fill="D1D3D4"/>
                      </w:tcPr>
                      <w:p>
                        <w:pPr>
                          <w:pStyle w:val="TableParagraph"/>
                          <w:spacing w:before="15"/>
                          <w:ind w:left="121"/>
                          <w:rPr>
                            <w:rFonts w:ascii="Verdana" w:hAnsi="Verdana"/>
                            <w:sz w:val="18"/>
                          </w:rPr>
                        </w:pPr>
                        <w:r>
                          <w:rPr>
                            <w:rFonts w:ascii="Verdana" w:hAnsi="Verdana"/>
                            <w:color w:val="231F20"/>
                            <w:w w:val="110"/>
                            <w:sz w:val="18"/>
                          </w:rPr>
                          <w:t>Synod Moderators’ Report</w:t>
                        </w:r>
                      </w:p>
                    </w:tc>
                    <w:tc>
                      <w:tcPr>
                        <w:tcW w:w="643" w:type="dxa"/>
                        <w:tcBorders>
                          <w:left w:val="single" w:sz="6" w:space="0" w:color="939598"/>
                          <w:right w:val="single" w:sz="6" w:space="0" w:color="939598"/>
                        </w:tcBorders>
                        <w:shd w:val="clear" w:color="auto" w:fill="D1D3D4"/>
                      </w:tcPr>
                      <w:p>
                        <w:pPr>
                          <w:pStyle w:val="TableParagraph"/>
                          <w:spacing w:before="15"/>
                          <w:ind w:right="162"/>
                          <w:jc w:val="right"/>
                          <w:rPr>
                            <w:rFonts w:ascii="Verdana"/>
                            <w:sz w:val="18"/>
                          </w:rPr>
                        </w:pPr>
                        <w:r>
                          <w:rPr>
                            <w:rFonts w:ascii="Verdana"/>
                            <w:color w:val="231F20"/>
                            <w:w w:val="110"/>
                            <w:sz w:val="18"/>
                          </w:rPr>
                          <w:t>25</w:t>
                        </w:r>
                      </w:p>
                    </w:tc>
                  </w:tr>
                  <w:tr>
                    <w:trPr>
                      <w:trHeight w:val="360" w:hRule="atLeast"/>
                    </w:trPr>
                    <w:tc>
                      <w:tcPr>
                        <w:tcW w:w="4090" w:type="dxa"/>
                        <w:tcBorders>
                          <w:right w:val="single" w:sz="6" w:space="0" w:color="939598"/>
                        </w:tcBorders>
                      </w:tcPr>
                      <w:p>
                        <w:pPr>
                          <w:pStyle w:val="TableParagraph"/>
                          <w:spacing w:line="214" w:lineRule="exact" w:before="126"/>
                          <w:ind w:left="121"/>
                          <w:rPr>
                            <w:rFonts w:ascii="Verdana"/>
                            <w:sz w:val="18"/>
                          </w:rPr>
                        </w:pPr>
                        <w:r>
                          <w:rPr>
                            <w:rFonts w:ascii="Verdana"/>
                            <w:color w:val="231F20"/>
                            <w:w w:val="110"/>
                            <w:sz w:val="18"/>
                          </w:rPr>
                          <w:t>Synod Resolutions and Reports</w:t>
                        </w:r>
                      </w:p>
                    </w:tc>
                    <w:tc>
                      <w:tcPr>
                        <w:tcW w:w="643" w:type="dxa"/>
                        <w:tcBorders>
                          <w:left w:val="single" w:sz="6" w:space="0" w:color="939598"/>
                          <w:right w:val="single" w:sz="6" w:space="0" w:color="939598"/>
                        </w:tcBorders>
                      </w:tcPr>
                      <w:p>
                        <w:pPr>
                          <w:pStyle w:val="TableParagraph"/>
                          <w:rPr>
                            <w:sz w:val="20"/>
                          </w:rPr>
                        </w:pP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South Western Resolution</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29</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Yorkshire</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31</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Eastern</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35</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Thames North</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37</w:t>
                        </w:r>
                      </w:p>
                    </w:tc>
                  </w:tr>
                  <w:tr>
                    <w:trPr>
                      <w:trHeight w:val="375" w:hRule="atLeast"/>
                    </w:trPr>
                    <w:tc>
                      <w:tcPr>
                        <w:tcW w:w="4090" w:type="dxa"/>
                        <w:tcBorders>
                          <w:right w:val="single" w:sz="6" w:space="0" w:color="939598"/>
                        </w:tcBorders>
                      </w:tcPr>
                      <w:p>
                        <w:pPr>
                          <w:pStyle w:val="TableParagraph"/>
                          <w:spacing w:before="15"/>
                          <w:ind w:left="461"/>
                          <w:rPr>
                            <w:rFonts w:ascii="Verdana" w:hAnsi="Verdana"/>
                            <w:sz w:val="18"/>
                          </w:rPr>
                        </w:pPr>
                        <w:r>
                          <w:rPr>
                            <w:rFonts w:ascii="Verdana" w:hAnsi="Verdana"/>
                            <w:color w:val="231F20"/>
                            <w:w w:val="110"/>
                            <w:sz w:val="18"/>
                          </w:rPr>
                          <w:t>– East Midlands</w:t>
                        </w:r>
                      </w:p>
                    </w:tc>
                    <w:tc>
                      <w:tcPr>
                        <w:tcW w:w="643" w:type="dxa"/>
                        <w:tcBorders>
                          <w:left w:val="single" w:sz="6" w:space="0" w:color="939598"/>
                          <w:right w:val="single" w:sz="6" w:space="0" w:color="939598"/>
                        </w:tcBorders>
                      </w:tcPr>
                      <w:p>
                        <w:pPr>
                          <w:pStyle w:val="TableParagraph"/>
                          <w:spacing w:before="15"/>
                          <w:ind w:right="162"/>
                          <w:jc w:val="right"/>
                          <w:rPr>
                            <w:rFonts w:ascii="Verdana"/>
                            <w:sz w:val="18"/>
                          </w:rPr>
                        </w:pPr>
                        <w:r>
                          <w:rPr>
                            <w:rFonts w:ascii="Verdana"/>
                            <w:color w:val="231F20"/>
                            <w:w w:val="110"/>
                            <w:sz w:val="18"/>
                          </w:rPr>
                          <w:t>171</w:t>
                        </w:r>
                      </w:p>
                    </w:tc>
                  </w:tr>
                  <w:tr>
                    <w:trPr>
                      <w:trHeight w:val="466" w:hRule="atLeast"/>
                    </w:trPr>
                    <w:tc>
                      <w:tcPr>
                        <w:tcW w:w="4090" w:type="dxa"/>
                        <w:tcBorders>
                          <w:right w:val="single" w:sz="6" w:space="0" w:color="939598"/>
                        </w:tcBorders>
                      </w:tcPr>
                      <w:p>
                        <w:pPr>
                          <w:pStyle w:val="TableParagraph"/>
                          <w:spacing w:before="140"/>
                          <w:ind w:left="121"/>
                          <w:rPr>
                            <w:rFonts w:ascii="Verdana"/>
                            <w:sz w:val="18"/>
                          </w:rPr>
                        </w:pPr>
                        <w:r>
                          <w:rPr>
                            <w:rFonts w:ascii="Verdana"/>
                            <w:color w:val="231F20"/>
                            <w:w w:val="110"/>
                            <w:sz w:val="18"/>
                          </w:rPr>
                          <w:t>Church Changes</w:t>
                        </w:r>
                      </w:p>
                    </w:tc>
                    <w:tc>
                      <w:tcPr>
                        <w:tcW w:w="643" w:type="dxa"/>
                        <w:tcBorders>
                          <w:left w:val="single" w:sz="6" w:space="0" w:color="939598"/>
                          <w:right w:val="single" w:sz="6" w:space="0" w:color="939598"/>
                        </w:tcBorders>
                      </w:tcPr>
                      <w:p>
                        <w:pPr>
                          <w:pStyle w:val="TableParagraph"/>
                          <w:spacing w:before="140"/>
                          <w:ind w:right="162"/>
                          <w:jc w:val="right"/>
                          <w:rPr>
                            <w:rFonts w:ascii="Verdana"/>
                            <w:sz w:val="18"/>
                          </w:rPr>
                        </w:pPr>
                        <w:r>
                          <w:rPr>
                            <w:rFonts w:ascii="Verdana"/>
                            <w:color w:val="231F20"/>
                            <w:w w:val="110"/>
                            <w:sz w:val="18"/>
                          </w:rPr>
                          <w:t>39</w:t>
                        </w:r>
                      </w:p>
                    </w:tc>
                  </w:tr>
                  <w:tr>
                    <w:trPr>
                      <w:trHeight w:val="433" w:hRule="atLeast"/>
                    </w:trPr>
                    <w:tc>
                      <w:tcPr>
                        <w:tcW w:w="4090" w:type="dxa"/>
                        <w:tcBorders>
                          <w:right w:val="single" w:sz="6" w:space="0" w:color="939598"/>
                        </w:tcBorders>
                        <w:shd w:val="clear" w:color="auto" w:fill="D1D3D4"/>
                      </w:tcPr>
                      <w:p>
                        <w:pPr>
                          <w:pStyle w:val="TableParagraph"/>
                          <w:spacing w:before="124"/>
                          <w:ind w:left="121"/>
                          <w:rPr>
                            <w:rFonts w:ascii="Verdana"/>
                            <w:sz w:val="18"/>
                          </w:rPr>
                        </w:pPr>
                        <w:r>
                          <w:rPr>
                            <w:rFonts w:ascii="Verdana"/>
                            <w:color w:val="231F20"/>
                            <w:w w:val="110"/>
                            <w:sz w:val="18"/>
                          </w:rPr>
                          <w:t>Mission Council Report</w:t>
                        </w:r>
                      </w:p>
                    </w:tc>
                    <w:tc>
                      <w:tcPr>
                        <w:tcW w:w="643" w:type="dxa"/>
                        <w:tcBorders>
                          <w:left w:val="single" w:sz="6" w:space="0" w:color="939598"/>
                          <w:right w:val="single" w:sz="6" w:space="0" w:color="939598"/>
                        </w:tcBorders>
                        <w:shd w:val="clear" w:color="auto" w:fill="D1D3D4"/>
                      </w:tcPr>
                      <w:p>
                        <w:pPr>
                          <w:pStyle w:val="TableParagraph"/>
                          <w:spacing w:before="124"/>
                          <w:ind w:right="162"/>
                          <w:jc w:val="right"/>
                          <w:rPr>
                            <w:rFonts w:ascii="Verdana"/>
                            <w:sz w:val="18"/>
                          </w:rPr>
                        </w:pPr>
                        <w:r>
                          <w:rPr>
                            <w:rFonts w:ascii="Verdana"/>
                            <w:color w:val="231F20"/>
                            <w:w w:val="110"/>
                            <w:sz w:val="18"/>
                          </w:rPr>
                          <w:t>45</w:t>
                        </w:r>
                      </w:p>
                    </w:tc>
                  </w:tr>
                  <w:tr>
                    <w:trPr>
                      <w:trHeight w:val="399" w:hRule="atLeast"/>
                    </w:trPr>
                    <w:tc>
                      <w:tcPr>
                        <w:tcW w:w="4090" w:type="dxa"/>
                        <w:tcBorders>
                          <w:right w:val="single" w:sz="6" w:space="0" w:color="939598"/>
                        </w:tcBorders>
                        <w:shd w:val="clear" w:color="auto" w:fill="D1D3D4"/>
                      </w:tcPr>
                      <w:p>
                        <w:pPr>
                          <w:pStyle w:val="TableParagraph"/>
                          <w:spacing w:before="90"/>
                          <w:ind w:left="121"/>
                          <w:rPr>
                            <w:rFonts w:ascii="Verdana"/>
                            <w:sz w:val="18"/>
                          </w:rPr>
                        </w:pPr>
                        <w:r>
                          <w:rPr>
                            <w:rFonts w:ascii="Verdana"/>
                            <w:color w:val="231F20"/>
                            <w:w w:val="110"/>
                            <w:sz w:val="18"/>
                          </w:rPr>
                          <w:t>Mission Council Resolutions</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10"/>
                            <w:sz w:val="18"/>
                          </w:rPr>
                          <w:t>57</w:t>
                        </w:r>
                      </w:p>
                    </w:tc>
                  </w:tr>
                  <w:tr>
                    <w:trPr>
                      <w:trHeight w:val="399" w:hRule="atLeast"/>
                    </w:trPr>
                    <w:tc>
                      <w:tcPr>
                        <w:tcW w:w="4090" w:type="dxa"/>
                        <w:tcBorders>
                          <w:right w:val="single" w:sz="6" w:space="0" w:color="939598"/>
                        </w:tcBorders>
                        <w:shd w:val="clear" w:color="auto" w:fill="D1D3D4"/>
                      </w:tcPr>
                      <w:p>
                        <w:pPr>
                          <w:pStyle w:val="TableParagraph"/>
                          <w:spacing w:before="90"/>
                          <w:ind w:left="121"/>
                          <w:rPr>
                            <w:rFonts w:ascii="Verdana" w:hAnsi="Verdana"/>
                            <w:sz w:val="18"/>
                          </w:rPr>
                        </w:pPr>
                        <w:r>
                          <w:rPr>
                            <w:rFonts w:ascii="Verdana" w:hAnsi="Verdana"/>
                            <w:i/>
                            <w:color w:val="231F20"/>
                            <w:w w:val="110"/>
                            <w:sz w:val="18"/>
                          </w:rPr>
                          <w:t>Document 6 </w:t>
                        </w:r>
                        <w:r>
                          <w:rPr>
                            <w:rFonts w:ascii="Verdana" w:hAnsi="Verdana"/>
                            <w:color w:val="231F20"/>
                            <w:w w:val="110"/>
                            <w:sz w:val="18"/>
                          </w:rPr>
                          <w:t>– Grants and Loans Group</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05"/>
                            <w:sz w:val="18"/>
                          </w:rPr>
                          <w:t>77</w:t>
                        </w:r>
                      </w:p>
                    </w:tc>
                  </w:tr>
                  <w:tr>
                    <w:trPr>
                      <w:trHeight w:val="399" w:hRule="atLeast"/>
                    </w:trPr>
                    <w:tc>
                      <w:tcPr>
                        <w:tcW w:w="4090" w:type="dxa"/>
                        <w:tcBorders>
                          <w:right w:val="single" w:sz="6" w:space="0" w:color="939598"/>
                        </w:tcBorders>
                        <w:shd w:val="clear" w:color="auto" w:fill="D1D3D4"/>
                      </w:tcPr>
                      <w:p>
                        <w:pPr>
                          <w:pStyle w:val="TableParagraph"/>
                          <w:spacing w:before="90"/>
                          <w:ind w:left="121"/>
                          <w:rPr>
                            <w:rFonts w:ascii="Verdana"/>
                            <w:sz w:val="18"/>
                          </w:rPr>
                        </w:pPr>
                        <w:r>
                          <w:rPr>
                            <w:rFonts w:ascii="Verdana"/>
                            <w:color w:val="231F20"/>
                            <w:w w:val="110"/>
                            <w:sz w:val="18"/>
                          </w:rPr>
                          <w:t>Governing Document</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10"/>
                            <w:sz w:val="18"/>
                          </w:rPr>
                          <w:t>79</w:t>
                        </w:r>
                      </w:p>
                    </w:tc>
                  </w:tr>
                  <w:tr>
                    <w:trPr>
                      <w:trHeight w:val="399" w:hRule="atLeast"/>
                    </w:trPr>
                    <w:tc>
                      <w:tcPr>
                        <w:tcW w:w="4090" w:type="dxa"/>
                        <w:tcBorders>
                          <w:right w:val="single" w:sz="6" w:space="0" w:color="939598"/>
                        </w:tcBorders>
                        <w:shd w:val="clear" w:color="auto" w:fill="D1D3D4"/>
                      </w:tcPr>
                      <w:p>
                        <w:pPr>
                          <w:pStyle w:val="TableParagraph"/>
                          <w:spacing w:before="90"/>
                          <w:ind w:left="121"/>
                          <w:rPr>
                            <w:rFonts w:ascii="Verdana"/>
                            <w:sz w:val="18"/>
                          </w:rPr>
                        </w:pPr>
                        <w:r>
                          <w:rPr>
                            <w:rFonts w:ascii="Verdana"/>
                            <w:color w:val="231F20"/>
                            <w:w w:val="110"/>
                            <w:sz w:val="18"/>
                          </w:rPr>
                          <w:t>Changes to Basis and Structure</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10"/>
                            <w:sz w:val="18"/>
                          </w:rPr>
                          <w:t>85</w:t>
                        </w:r>
                      </w:p>
                    </w:tc>
                  </w:tr>
                  <w:tr>
                    <w:trPr>
                      <w:trHeight w:val="400" w:hRule="atLeast"/>
                    </w:trPr>
                    <w:tc>
                      <w:tcPr>
                        <w:tcW w:w="4090" w:type="dxa"/>
                        <w:tcBorders>
                          <w:right w:val="single" w:sz="6" w:space="0" w:color="939598"/>
                        </w:tcBorders>
                        <w:shd w:val="clear" w:color="auto" w:fill="D1D3D4"/>
                      </w:tcPr>
                      <w:p>
                        <w:pPr>
                          <w:pStyle w:val="TableParagraph"/>
                          <w:spacing w:before="90"/>
                          <w:ind w:left="121"/>
                          <w:rPr>
                            <w:rFonts w:ascii="Verdana"/>
                            <w:sz w:val="18"/>
                          </w:rPr>
                        </w:pPr>
                        <w:r>
                          <w:rPr>
                            <w:rFonts w:ascii="Verdana"/>
                            <w:color w:val="231F20"/>
                            <w:w w:val="110"/>
                            <w:sz w:val="18"/>
                          </w:rPr>
                          <w:t>Changes to Rules of procedure</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10"/>
                            <w:sz w:val="18"/>
                          </w:rPr>
                          <w:t>95</w:t>
                        </w:r>
                      </w:p>
                    </w:tc>
                  </w:tr>
                  <w:tr>
                    <w:trPr>
                      <w:trHeight w:val="425" w:hRule="atLeast"/>
                    </w:trPr>
                    <w:tc>
                      <w:tcPr>
                        <w:tcW w:w="4090" w:type="dxa"/>
                        <w:tcBorders>
                          <w:right w:val="single" w:sz="6" w:space="0" w:color="939598"/>
                        </w:tcBorders>
                        <w:shd w:val="clear" w:color="auto" w:fill="D1D3D4"/>
                      </w:tcPr>
                      <w:p>
                        <w:pPr>
                          <w:pStyle w:val="TableParagraph"/>
                          <w:spacing w:before="90"/>
                          <w:ind w:left="121"/>
                          <w:rPr>
                            <w:rFonts w:ascii="Verdana"/>
                            <w:sz w:val="18"/>
                          </w:rPr>
                        </w:pPr>
                        <w:r>
                          <w:rPr>
                            <w:rFonts w:ascii="Verdana"/>
                            <w:color w:val="231F20"/>
                            <w:w w:val="110"/>
                            <w:sz w:val="18"/>
                          </w:rPr>
                          <w:t>Nominations</w:t>
                        </w:r>
                      </w:p>
                    </w:tc>
                    <w:tc>
                      <w:tcPr>
                        <w:tcW w:w="643" w:type="dxa"/>
                        <w:tcBorders>
                          <w:left w:val="single" w:sz="6" w:space="0" w:color="939598"/>
                          <w:right w:val="single" w:sz="6" w:space="0" w:color="939598"/>
                        </w:tcBorders>
                        <w:shd w:val="clear" w:color="auto" w:fill="D1D3D4"/>
                      </w:tcPr>
                      <w:p>
                        <w:pPr>
                          <w:pStyle w:val="TableParagraph"/>
                          <w:spacing w:before="90"/>
                          <w:ind w:right="162"/>
                          <w:jc w:val="right"/>
                          <w:rPr>
                            <w:rFonts w:ascii="Verdana"/>
                            <w:sz w:val="18"/>
                          </w:rPr>
                        </w:pPr>
                        <w:r>
                          <w:rPr>
                            <w:rFonts w:ascii="Verdana"/>
                            <w:color w:val="231F20"/>
                            <w:w w:val="110"/>
                            <w:sz w:val="18"/>
                          </w:rPr>
                          <w:t>99</w:t>
                        </w:r>
                      </w:p>
                    </w:tc>
                  </w:tr>
                  <w:tr>
                    <w:trPr>
                      <w:trHeight w:val="486" w:hRule="atLeast"/>
                    </w:trPr>
                    <w:tc>
                      <w:tcPr>
                        <w:tcW w:w="4090" w:type="dxa"/>
                        <w:tcBorders>
                          <w:right w:val="single" w:sz="6" w:space="0" w:color="939598"/>
                        </w:tcBorders>
                        <w:shd w:val="clear" w:color="auto" w:fill="D1D3D4"/>
                      </w:tcPr>
                      <w:p>
                        <w:pPr>
                          <w:pStyle w:val="TableParagraph"/>
                          <w:spacing w:before="115"/>
                          <w:ind w:left="121"/>
                          <w:rPr>
                            <w:rFonts w:ascii="Verdana"/>
                            <w:sz w:val="18"/>
                          </w:rPr>
                        </w:pPr>
                        <w:r>
                          <w:rPr>
                            <w:rFonts w:ascii="Verdana"/>
                            <w:color w:val="231F20"/>
                            <w:w w:val="110"/>
                            <w:sz w:val="18"/>
                          </w:rPr>
                          <w:t>New Committee Structures</w:t>
                        </w:r>
                      </w:p>
                    </w:tc>
                    <w:tc>
                      <w:tcPr>
                        <w:tcW w:w="643" w:type="dxa"/>
                        <w:tcBorders>
                          <w:left w:val="single" w:sz="6" w:space="0" w:color="939598"/>
                          <w:right w:val="single" w:sz="6" w:space="0" w:color="939598"/>
                        </w:tcBorders>
                        <w:shd w:val="clear" w:color="auto" w:fill="D1D3D4"/>
                      </w:tcPr>
                      <w:p>
                        <w:pPr>
                          <w:pStyle w:val="TableParagraph"/>
                          <w:spacing w:before="115"/>
                          <w:ind w:right="162"/>
                          <w:jc w:val="right"/>
                          <w:rPr>
                            <w:rFonts w:ascii="Verdana"/>
                            <w:sz w:val="18"/>
                          </w:rPr>
                        </w:pPr>
                        <w:r>
                          <w:rPr>
                            <w:rFonts w:ascii="Verdana"/>
                            <w:color w:val="231F20"/>
                            <w:w w:val="110"/>
                            <w:sz w:val="18"/>
                          </w:rPr>
                          <w:t>111</w:t>
                        </w:r>
                      </w:p>
                    </w:tc>
                  </w:tr>
                  <w:tr>
                    <w:trPr>
                      <w:trHeight w:val="488" w:hRule="atLeast"/>
                    </w:trPr>
                    <w:tc>
                      <w:tcPr>
                        <w:tcW w:w="4090" w:type="dxa"/>
                        <w:vMerge w:val="restart"/>
                        <w:tcBorders>
                          <w:right w:val="single" w:sz="6" w:space="0" w:color="939598"/>
                        </w:tcBorders>
                      </w:tcPr>
                      <w:p>
                        <w:pPr>
                          <w:pStyle w:val="TableParagraph"/>
                          <w:spacing w:before="129"/>
                          <w:ind w:left="121"/>
                          <w:rPr>
                            <w:rFonts w:ascii="Verdana"/>
                            <w:sz w:val="18"/>
                          </w:rPr>
                        </w:pPr>
                        <w:r>
                          <w:rPr>
                            <w:rFonts w:ascii="Verdana"/>
                            <w:color w:val="231F20"/>
                            <w:w w:val="110"/>
                            <w:sz w:val="18"/>
                          </w:rPr>
                          <w:t>Finance</w:t>
                        </w:r>
                      </w:p>
                      <w:p>
                        <w:pPr>
                          <w:pStyle w:val="TableParagraph"/>
                          <w:spacing w:line="273" w:lineRule="auto" w:before="31"/>
                          <w:ind w:left="461" w:right="473" w:hanging="340"/>
                          <w:rPr>
                            <w:rFonts w:ascii="Verdana" w:hAnsi="Verdana"/>
                            <w:sz w:val="18"/>
                          </w:rPr>
                        </w:pPr>
                        <w:r>
                          <w:rPr>
                            <w:rFonts w:ascii="Verdana" w:hAnsi="Verdana"/>
                            <w:i/>
                            <w:color w:val="231F20"/>
                            <w:w w:val="110"/>
                            <w:sz w:val="18"/>
                          </w:rPr>
                          <w:t>Document 7 </w:t>
                        </w:r>
                        <w:r>
                          <w:rPr>
                            <w:rFonts w:ascii="Verdana" w:hAnsi="Verdana"/>
                            <w:color w:val="231F20"/>
                            <w:w w:val="110"/>
                            <w:sz w:val="18"/>
                          </w:rPr>
                          <w:t>– Revised remit for the Finance Committee</w:t>
                        </w:r>
                      </w:p>
                      <w:p>
                        <w:pPr>
                          <w:pStyle w:val="TableParagraph"/>
                          <w:spacing w:before="4"/>
                          <w:rPr>
                            <w:rFonts w:ascii="Eurostile Bold"/>
                            <w:b/>
                            <w:sz w:val="16"/>
                          </w:rPr>
                        </w:pPr>
                      </w:p>
                      <w:p>
                        <w:pPr>
                          <w:pStyle w:val="TableParagraph"/>
                          <w:spacing w:line="494" w:lineRule="auto"/>
                          <w:ind w:left="121" w:right="1479"/>
                          <w:rPr>
                            <w:rFonts w:ascii="Verdana"/>
                            <w:sz w:val="18"/>
                          </w:rPr>
                        </w:pPr>
                        <w:r>
                          <w:rPr>
                            <w:rFonts w:ascii="Verdana"/>
                            <w:color w:val="231F20"/>
                            <w:w w:val="110"/>
                            <w:sz w:val="18"/>
                          </w:rPr>
                          <w:t>Pastoral Reference Church &amp; Society Address to the Throne</w:t>
                        </w:r>
                      </w:p>
                      <w:p>
                        <w:pPr>
                          <w:pStyle w:val="TableParagraph"/>
                          <w:spacing w:line="217" w:lineRule="exact"/>
                          <w:ind w:left="121"/>
                          <w:rPr>
                            <w:rFonts w:ascii="Verdana"/>
                            <w:sz w:val="18"/>
                          </w:rPr>
                        </w:pPr>
                        <w:r>
                          <w:rPr>
                            <w:rFonts w:ascii="Verdana"/>
                            <w:color w:val="231F20"/>
                            <w:w w:val="110"/>
                            <w:sz w:val="18"/>
                          </w:rPr>
                          <w:t>Racial Justice &amp; Multicultural Ministry</w:t>
                        </w:r>
                      </w:p>
                      <w:p>
                        <w:pPr>
                          <w:pStyle w:val="TableParagraph"/>
                          <w:spacing w:before="31"/>
                          <w:ind w:left="402"/>
                          <w:rPr>
                            <w:rFonts w:ascii="Verdana"/>
                            <w:sz w:val="18"/>
                          </w:rPr>
                        </w:pPr>
                        <w:r>
                          <w:rPr>
                            <w:rFonts w:ascii="Verdana"/>
                            <w:color w:val="231F20"/>
                            <w:w w:val="110"/>
                            <w:sz w:val="18"/>
                          </w:rPr>
                          <w:t>Multicultural flier</w:t>
                        </w:r>
                      </w:p>
                      <w:p>
                        <w:pPr>
                          <w:pStyle w:val="TableParagraph"/>
                          <w:spacing w:before="31"/>
                          <w:ind w:left="402"/>
                          <w:rPr>
                            <w:rFonts w:ascii="Verdana"/>
                            <w:sz w:val="18"/>
                          </w:rPr>
                        </w:pPr>
                        <w:r>
                          <w:rPr>
                            <w:rFonts w:ascii="Verdana"/>
                            <w:color w:val="231F20"/>
                            <w:w w:val="110"/>
                            <w:sz w:val="18"/>
                          </w:rPr>
                          <w:t>bme skills audit</w:t>
                        </w:r>
                      </w:p>
                      <w:p>
                        <w:pPr>
                          <w:pStyle w:val="TableParagraph"/>
                          <w:spacing w:before="9"/>
                          <w:rPr>
                            <w:rFonts w:ascii="Eurostile Bold"/>
                            <w:b/>
                            <w:sz w:val="18"/>
                          </w:rPr>
                        </w:pPr>
                      </w:p>
                      <w:p>
                        <w:pPr>
                          <w:pStyle w:val="TableParagraph"/>
                          <w:ind w:left="121"/>
                          <w:rPr>
                            <w:rFonts w:ascii="Verdana"/>
                            <w:sz w:val="18"/>
                          </w:rPr>
                        </w:pPr>
                        <w:r>
                          <w:rPr>
                            <w:rFonts w:ascii="Verdana"/>
                            <w:color w:val="231F20"/>
                            <w:w w:val="110"/>
                            <w:sz w:val="18"/>
                          </w:rPr>
                          <w:t>Ecumenical</w:t>
                        </w:r>
                      </w:p>
                    </w:tc>
                    <w:tc>
                      <w:tcPr>
                        <w:tcW w:w="643" w:type="dxa"/>
                        <w:tcBorders>
                          <w:left w:val="single" w:sz="6" w:space="0" w:color="939598"/>
                          <w:right w:val="single" w:sz="6" w:space="0" w:color="939598"/>
                        </w:tcBorders>
                      </w:tcPr>
                      <w:p>
                        <w:pPr>
                          <w:pStyle w:val="TableParagraph"/>
                          <w:spacing w:before="129"/>
                          <w:ind w:right="162"/>
                          <w:jc w:val="right"/>
                          <w:rPr>
                            <w:rFonts w:ascii="Verdana"/>
                            <w:sz w:val="18"/>
                          </w:rPr>
                        </w:pPr>
                        <w:r>
                          <w:rPr>
                            <w:rFonts w:ascii="Verdana"/>
                            <w:color w:val="231F20"/>
                            <w:w w:val="110"/>
                            <w:sz w:val="18"/>
                          </w:rPr>
                          <w:t>113</w:t>
                        </w:r>
                      </w:p>
                    </w:tc>
                  </w:tr>
                  <w:tr>
                    <w:trPr>
                      <w:trHeight w:val="474"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40"/>
                          <w:ind w:right="162"/>
                          <w:jc w:val="right"/>
                          <w:rPr>
                            <w:rFonts w:ascii="Verdana"/>
                            <w:sz w:val="18"/>
                          </w:rPr>
                        </w:pPr>
                        <w:r>
                          <w:rPr>
                            <w:rFonts w:ascii="Verdana"/>
                            <w:color w:val="231F20"/>
                            <w:w w:val="110"/>
                            <w:sz w:val="18"/>
                          </w:rPr>
                          <w:t>115</w:t>
                        </w:r>
                      </w:p>
                    </w:tc>
                  </w:tr>
                  <w:tr>
                    <w:trPr>
                      <w:trHeight w:val="4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15"/>
                          <w:ind w:right="162"/>
                          <w:jc w:val="right"/>
                          <w:rPr>
                            <w:rFonts w:ascii="Verdana"/>
                            <w:sz w:val="18"/>
                          </w:rPr>
                        </w:pPr>
                        <w:r>
                          <w:rPr>
                            <w:rFonts w:ascii="Verdana"/>
                            <w:color w:val="231F20"/>
                            <w:w w:val="110"/>
                            <w:sz w:val="18"/>
                          </w:rPr>
                          <w:t>117</w:t>
                        </w:r>
                      </w:p>
                    </w:tc>
                  </w:tr>
                  <w:tr>
                    <w:trPr>
                      <w:trHeight w:val="4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15"/>
                          <w:ind w:right="162"/>
                          <w:jc w:val="right"/>
                          <w:rPr>
                            <w:rFonts w:ascii="Verdana"/>
                            <w:sz w:val="18"/>
                          </w:rPr>
                        </w:pPr>
                        <w:r>
                          <w:rPr>
                            <w:rFonts w:ascii="Verdana"/>
                            <w:color w:val="231F20"/>
                            <w:w w:val="110"/>
                            <w:sz w:val="18"/>
                          </w:rPr>
                          <w:t>119</w:t>
                        </w:r>
                      </w:p>
                    </w:tc>
                  </w:tr>
                  <w:tr>
                    <w:trPr>
                      <w:trHeight w:val="4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15"/>
                          <w:ind w:right="162"/>
                          <w:jc w:val="right"/>
                          <w:rPr>
                            <w:rFonts w:ascii="Verdana"/>
                            <w:sz w:val="18"/>
                          </w:rPr>
                        </w:pPr>
                        <w:r>
                          <w:rPr>
                            <w:rFonts w:ascii="Verdana"/>
                            <w:color w:val="231F20"/>
                            <w:w w:val="110"/>
                            <w:sz w:val="18"/>
                          </w:rPr>
                          <w:t>121</w:t>
                        </w:r>
                      </w:p>
                    </w:tc>
                  </w:tr>
                  <w:tr>
                    <w:trPr>
                      <w:trHeight w:val="3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line="214" w:lineRule="exact" w:before="115"/>
                          <w:ind w:right="162"/>
                          <w:jc w:val="right"/>
                          <w:rPr>
                            <w:rFonts w:ascii="Verdana"/>
                            <w:sz w:val="18"/>
                          </w:rPr>
                        </w:pPr>
                        <w:r>
                          <w:rPr>
                            <w:rFonts w:ascii="Verdana"/>
                            <w:color w:val="231F20"/>
                            <w:w w:val="110"/>
                            <w:sz w:val="18"/>
                          </w:rPr>
                          <w:t>123</w:t>
                        </w:r>
                      </w:p>
                    </w:tc>
                  </w:tr>
                  <w:tr>
                    <w:trPr>
                      <w:trHeight w:val="2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127</w:t>
                        </w:r>
                      </w:p>
                    </w:tc>
                  </w:tr>
                  <w:tr>
                    <w:trPr>
                      <w:trHeight w:val="350"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5"/>
                          <w:ind w:right="162"/>
                          <w:jc w:val="right"/>
                          <w:rPr>
                            <w:rFonts w:ascii="Verdana"/>
                            <w:sz w:val="18"/>
                          </w:rPr>
                        </w:pPr>
                        <w:r>
                          <w:rPr>
                            <w:rFonts w:ascii="Verdana"/>
                            <w:color w:val="231F20"/>
                            <w:w w:val="110"/>
                            <w:sz w:val="18"/>
                          </w:rPr>
                          <w:t>129</w:t>
                        </w:r>
                      </w:p>
                    </w:tc>
                  </w:tr>
                  <w:tr>
                    <w:trPr>
                      <w:trHeight w:val="435" w:hRule="atLeast"/>
                    </w:trPr>
                    <w:tc>
                      <w:tcPr>
                        <w:tcW w:w="4090" w:type="dxa"/>
                        <w:vMerge/>
                        <w:tcBorders>
                          <w:top w:val="nil"/>
                          <w:right w:val="single" w:sz="6" w:space="0" w:color="939598"/>
                        </w:tcBorders>
                      </w:tcPr>
                      <w:p>
                        <w:pPr>
                          <w:rPr>
                            <w:sz w:val="2"/>
                            <w:szCs w:val="2"/>
                          </w:rPr>
                        </w:pPr>
                      </w:p>
                    </w:tc>
                    <w:tc>
                      <w:tcPr>
                        <w:tcW w:w="643" w:type="dxa"/>
                        <w:tcBorders>
                          <w:left w:val="single" w:sz="6" w:space="0" w:color="939598"/>
                          <w:right w:val="single" w:sz="6" w:space="0" w:color="939598"/>
                        </w:tcBorders>
                      </w:tcPr>
                      <w:p>
                        <w:pPr>
                          <w:pStyle w:val="TableParagraph"/>
                          <w:spacing w:before="115"/>
                          <w:ind w:right="162"/>
                          <w:jc w:val="right"/>
                          <w:rPr>
                            <w:rFonts w:ascii="Verdana"/>
                            <w:sz w:val="18"/>
                          </w:rPr>
                        </w:pPr>
                        <w:r>
                          <w:rPr>
                            <w:rFonts w:ascii="Verdana"/>
                            <w:color w:val="231F20"/>
                            <w:w w:val="110"/>
                            <w:sz w:val="18"/>
                          </w:rPr>
                          <w:t>131</w:t>
                        </w:r>
                      </w:p>
                    </w:tc>
                  </w:tr>
                  <w:tr>
                    <w:trPr>
                      <w:trHeight w:val="364" w:hRule="atLeast"/>
                    </w:trPr>
                    <w:tc>
                      <w:tcPr>
                        <w:tcW w:w="4090" w:type="dxa"/>
                        <w:vMerge w:val="restart"/>
                        <w:tcBorders>
                          <w:right w:val="single" w:sz="6" w:space="0" w:color="939598"/>
                        </w:tcBorders>
                        <w:shd w:val="clear" w:color="auto" w:fill="D1D3D4"/>
                      </w:tcPr>
                      <w:p>
                        <w:pPr>
                          <w:pStyle w:val="TableParagraph"/>
                          <w:spacing w:line="273" w:lineRule="auto" w:before="130"/>
                          <w:ind w:left="461" w:right="968" w:hanging="340"/>
                          <w:jc w:val="both"/>
                          <w:rPr>
                            <w:rFonts w:ascii="Verdana" w:hAnsi="Verdana"/>
                            <w:sz w:val="18"/>
                          </w:rPr>
                        </w:pPr>
                        <w:r>
                          <w:rPr>
                            <w:rFonts w:ascii="Verdana" w:hAnsi="Verdana"/>
                            <w:color w:val="231F20"/>
                            <w:w w:val="110"/>
                            <w:sz w:val="18"/>
                          </w:rPr>
                          <w:t>Doctrine, Prayer and Worship Consultation on Eldership The Nature of the URC’s</w:t>
                        </w:r>
                      </w:p>
                      <w:p>
                        <w:pPr>
                          <w:pStyle w:val="TableParagraph"/>
                          <w:spacing w:before="2"/>
                          <w:ind w:left="953"/>
                          <w:jc w:val="both"/>
                          <w:rPr>
                            <w:rFonts w:ascii="Verdana"/>
                            <w:sz w:val="18"/>
                          </w:rPr>
                        </w:pPr>
                        <w:r>
                          <w:rPr>
                            <w:rFonts w:ascii="Verdana"/>
                            <w:color w:val="231F20"/>
                            <w:w w:val="110"/>
                            <w:sz w:val="18"/>
                          </w:rPr>
                          <w:t>Ecumenical Engagement</w:t>
                        </w:r>
                      </w:p>
                    </w:tc>
                    <w:tc>
                      <w:tcPr>
                        <w:tcW w:w="643" w:type="dxa"/>
                        <w:tcBorders>
                          <w:left w:val="single" w:sz="6" w:space="0" w:color="939598"/>
                          <w:right w:val="single" w:sz="6" w:space="0" w:color="939598"/>
                        </w:tcBorders>
                        <w:shd w:val="clear" w:color="auto" w:fill="D1D3D4"/>
                      </w:tcPr>
                      <w:p>
                        <w:pPr>
                          <w:pStyle w:val="TableParagraph"/>
                          <w:spacing w:line="214" w:lineRule="exact" w:before="130"/>
                          <w:ind w:right="162"/>
                          <w:jc w:val="right"/>
                          <w:rPr>
                            <w:rFonts w:ascii="Verdana"/>
                            <w:sz w:val="18"/>
                          </w:rPr>
                        </w:pPr>
                        <w:r>
                          <w:rPr>
                            <w:rFonts w:ascii="Verdana"/>
                            <w:color w:val="231F20"/>
                            <w:w w:val="110"/>
                            <w:sz w:val="18"/>
                          </w:rPr>
                          <w:t>135</w:t>
                        </w:r>
                      </w:p>
                    </w:tc>
                  </w:tr>
                  <w:tr>
                    <w:trPr>
                      <w:trHeight w:val="375" w:hRule="atLeast"/>
                    </w:trPr>
                    <w:tc>
                      <w:tcPr>
                        <w:tcW w:w="4090" w:type="dxa"/>
                        <w:vMerge/>
                        <w:tcBorders>
                          <w:top w:val="nil"/>
                          <w:right w:val="single" w:sz="6" w:space="0" w:color="939598"/>
                        </w:tcBorders>
                        <w:shd w:val="clear" w:color="auto" w:fill="D1D3D4"/>
                      </w:tcPr>
                      <w:p>
                        <w:pPr>
                          <w:rPr>
                            <w:sz w:val="2"/>
                            <w:szCs w:val="2"/>
                          </w:rPr>
                        </w:pPr>
                      </w:p>
                    </w:tc>
                    <w:tc>
                      <w:tcPr>
                        <w:tcW w:w="643" w:type="dxa"/>
                        <w:tcBorders>
                          <w:left w:val="single" w:sz="6" w:space="0" w:color="939598"/>
                          <w:right w:val="single" w:sz="6" w:space="0" w:color="939598"/>
                        </w:tcBorders>
                        <w:shd w:val="clear" w:color="auto" w:fill="D1D3D4"/>
                      </w:tcPr>
                      <w:p>
                        <w:pPr>
                          <w:pStyle w:val="TableParagraph"/>
                          <w:spacing w:before="15"/>
                          <w:ind w:right="162"/>
                          <w:jc w:val="right"/>
                          <w:rPr>
                            <w:rFonts w:ascii="Verdana"/>
                            <w:sz w:val="18"/>
                          </w:rPr>
                        </w:pPr>
                        <w:r>
                          <w:rPr>
                            <w:rFonts w:ascii="Verdana"/>
                            <w:color w:val="231F20"/>
                            <w:w w:val="110"/>
                            <w:sz w:val="18"/>
                          </w:rPr>
                          <w:t>137</w:t>
                        </w:r>
                      </w:p>
                    </w:tc>
                  </w:tr>
                  <w:tr>
                    <w:trPr>
                      <w:trHeight w:val="493" w:hRule="atLeast"/>
                    </w:trPr>
                    <w:tc>
                      <w:tcPr>
                        <w:tcW w:w="4090" w:type="dxa"/>
                        <w:vMerge/>
                        <w:tcBorders>
                          <w:top w:val="nil"/>
                          <w:right w:val="single" w:sz="6" w:space="0" w:color="939598"/>
                        </w:tcBorders>
                        <w:shd w:val="clear" w:color="auto" w:fill="D1D3D4"/>
                      </w:tcPr>
                      <w:p>
                        <w:pPr>
                          <w:rPr>
                            <w:sz w:val="2"/>
                            <w:szCs w:val="2"/>
                          </w:rPr>
                        </w:pPr>
                      </w:p>
                    </w:tc>
                    <w:tc>
                      <w:tcPr>
                        <w:tcW w:w="643" w:type="dxa"/>
                        <w:tcBorders>
                          <w:left w:val="single" w:sz="6" w:space="0" w:color="939598"/>
                          <w:right w:val="single" w:sz="6" w:space="0" w:color="939598"/>
                        </w:tcBorders>
                        <w:shd w:val="clear" w:color="auto" w:fill="D1D3D4"/>
                      </w:tcPr>
                      <w:p>
                        <w:pPr>
                          <w:pStyle w:val="TableParagraph"/>
                          <w:spacing w:before="140"/>
                          <w:ind w:right="162"/>
                          <w:jc w:val="right"/>
                          <w:rPr>
                            <w:rFonts w:ascii="Verdana"/>
                            <w:sz w:val="18"/>
                          </w:rPr>
                        </w:pPr>
                        <w:r>
                          <w:rPr>
                            <w:rFonts w:ascii="Verdana"/>
                            <w:color w:val="231F20"/>
                            <w:w w:val="110"/>
                            <w:sz w:val="18"/>
                          </w:rPr>
                          <w:t>141</w:t>
                        </w:r>
                      </w:p>
                    </w:tc>
                  </w:tr>
                  <w:tr>
                    <w:trPr>
                      <w:trHeight w:val="481" w:hRule="atLeast"/>
                    </w:trPr>
                    <w:tc>
                      <w:tcPr>
                        <w:tcW w:w="4090" w:type="dxa"/>
                        <w:tcBorders>
                          <w:right w:val="single" w:sz="6" w:space="0" w:color="939598"/>
                        </w:tcBorders>
                      </w:tcPr>
                      <w:p>
                        <w:pPr>
                          <w:pStyle w:val="TableParagraph"/>
                          <w:spacing w:before="147"/>
                          <w:ind w:left="121"/>
                          <w:rPr>
                            <w:rFonts w:ascii="Verdana"/>
                            <w:sz w:val="18"/>
                          </w:rPr>
                        </w:pPr>
                        <w:r>
                          <w:rPr>
                            <w:rFonts w:ascii="Verdana"/>
                            <w:color w:val="231F20"/>
                            <w:w w:val="110"/>
                            <w:sz w:val="18"/>
                          </w:rPr>
                          <w:t>Inter Faith Relations</w:t>
                        </w:r>
                      </w:p>
                    </w:tc>
                    <w:tc>
                      <w:tcPr>
                        <w:tcW w:w="643" w:type="dxa"/>
                        <w:tcBorders>
                          <w:left w:val="single" w:sz="6" w:space="0" w:color="939598"/>
                          <w:right w:val="single" w:sz="6" w:space="0" w:color="939598"/>
                        </w:tcBorders>
                      </w:tcPr>
                      <w:p>
                        <w:pPr>
                          <w:pStyle w:val="TableParagraph"/>
                          <w:spacing w:before="147"/>
                          <w:ind w:right="162"/>
                          <w:jc w:val="right"/>
                          <w:rPr>
                            <w:rFonts w:ascii="Verdana"/>
                            <w:sz w:val="18"/>
                          </w:rPr>
                        </w:pPr>
                        <w:r>
                          <w:rPr>
                            <w:rFonts w:ascii="Verdana"/>
                            <w:color w:val="231F20"/>
                            <w:w w:val="110"/>
                            <w:sz w:val="18"/>
                          </w:rPr>
                          <w:t>145</w:t>
                        </w:r>
                      </w:p>
                    </w:tc>
                  </w:tr>
                  <w:tr>
                    <w:trPr>
                      <w:trHeight w:val="350" w:hRule="atLeast"/>
                    </w:trPr>
                    <w:tc>
                      <w:tcPr>
                        <w:tcW w:w="4090" w:type="dxa"/>
                        <w:tcBorders>
                          <w:right w:val="single" w:sz="6" w:space="0" w:color="939598"/>
                        </w:tcBorders>
                      </w:tcPr>
                      <w:p>
                        <w:pPr>
                          <w:pStyle w:val="TableParagraph"/>
                          <w:spacing w:line="214" w:lineRule="exact" w:before="115"/>
                          <w:ind w:left="121"/>
                          <w:rPr>
                            <w:rFonts w:ascii="Verdana"/>
                            <w:sz w:val="18"/>
                          </w:rPr>
                        </w:pPr>
                        <w:r>
                          <w:rPr>
                            <w:rFonts w:ascii="Verdana"/>
                            <w:color w:val="231F20"/>
                            <w:w w:val="110"/>
                            <w:sz w:val="18"/>
                          </w:rPr>
                          <w:t>Life &amp; Witness</w:t>
                        </w:r>
                      </w:p>
                    </w:tc>
                    <w:tc>
                      <w:tcPr>
                        <w:tcW w:w="643" w:type="dxa"/>
                        <w:tcBorders>
                          <w:left w:val="single" w:sz="6" w:space="0" w:color="939598"/>
                          <w:right w:val="single" w:sz="6" w:space="0" w:color="939598"/>
                        </w:tcBorders>
                      </w:tcPr>
                      <w:p>
                        <w:pPr>
                          <w:pStyle w:val="TableParagraph"/>
                          <w:spacing w:line="214" w:lineRule="exact" w:before="115"/>
                          <w:ind w:right="162"/>
                          <w:jc w:val="right"/>
                          <w:rPr>
                            <w:rFonts w:ascii="Verdana"/>
                            <w:sz w:val="18"/>
                          </w:rPr>
                        </w:pPr>
                        <w:r>
                          <w:rPr>
                            <w:rFonts w:ascii="Verdana"/>
                            <w:color w:val="231F20"/>
                            <w:w w:val="110"/>
                            <w:sz w:val="18"/>
                          </w:rPr>
                          <w:t>147</w:t>
                        </w:r>
                      </w:p>
                    </w:tc>
                  </w:tr>
                  <w:tr>
                    <w:trPr>
                      <w:trHeight w:val="349" w:hRule="atLeast"/>
                    </w:trPr>
                    <w:tc>
                      <w:tcPr>
                        <w:tcW w:w="4090" w:type="dxa"/>
                        <w:tcBorders>
                          <w:right w:val="single" w:sz="6" w:space="0" w:color="939598"/>
                        </w:tcBorders>
                      </w:tcPr>
                      <w:p>
                        <w:pPr>
                          <w:pStyle w:val="TableParagraph"/>
                          <w:spacing w:before="15"/>
                          <w:ind w:left="402"/>
                          <w:rPr>
                            <w:rFonts w:ascii="Verdana"/>
                            <w:sz w:val="18"/>
                          </w:rPr>
                        </w:pPr>
                        <w:r>
                          <w:rPr>
                            <w:rFonts w:ascii="Verdana"/>
                            <w:color w:val="231F20"/>
                            <w:w w:val="110"/>
                            <w:sz w:val="18"/>
                          </w:rPr>
                          <w:t>Covenant Membership and Mission</w:t>
                        </w:r>
                      </w:p>
                    </w:tc>
                    <w:tc>
                      <w:tcPr>
                        <w:tcW w:w="643" w:type="dxa"/>
                        <w:tcBorders>
                          <w:left w:val="single" w:sz="6" w:space="0" w:color="939598"/>
                          <w:right w:val="single" w:sz="6" w:space="0" w:color="939598"/>
                        </w:tcBorders>
                      </w:tcPr>
                      <w:p>
                        <w:pPr>
                          <w:pStyle w:val="TableParagraph"/>
                          <w:spacing w:before="15"/>
                          <w:ind w:right="162"/>
                          <w:jc w:val="right"/>
                          <w:rPr>
                            <w:rFonts w:ascii="Verdana"/>
                            <w:sz w:val="18"/>
                          </w:rPr>
                        </w:pPr>
                        <w:r>
                          <w:rPr>
                            <w:rFonts w:ascii="Verdana"/>
                            <w:color w:val="231F20"/>
                            <w:w w:val="110"/>
                            <w:sz w:val="18"/>
                          </w:rPr>
                          <w:t>151</w:t>
                        </w:r>
                      </w:p>
                    </w:tc>
                  </w:tr>
                  <w:tr>
                    <w:trPr>
                      <w:trHeight w:val="349" w:hRule="atLeast"/>
                    </w:trPr>
                    <w:tc>
                      <w:tcPr>
                        <w:tcW w:w="4090" w:type="dxa"/>
                        <w:tcBorders>
                          <w:right w:val="single" w:sz="6" w:space="0" w:color="939598"/>
                        </w:tcBorders>
                      </w:tcPr>
                      <w:p>
                        <w:pPr>
                          <w:pStyle w:val="TableParagraph"/>
                          <w:spacing w:line="214" w:lineRule="exact" w:before="115"/>
                          <w:ind w:left="121"/>
                          <w:rPr>
                            <w:rFonts w:ascii="Verdana"/>
                            <w:sz w:val="18"/>
                          </w:rPr>
                        </w:pPr>
                        <w:r>
                          <w:rPr>
                            <w:rFonts w:ascii="Verdana"/>
                            <w:color w:val="231F20"/>
                            <w:w w:val="110"/>
                            <w:sz w:val="18"/>
                          </w:rPr>
                          <w:t>Ministries Sub-Committees</w:t>
                        </w:r>
                      </w:p>
                    </w:tc>
                    <w:tc>
                      <w:tcPr>
                        <w:tcW w:w="643" w:type="dxa"/>
                        <w:tcBorders>
                          <w:left w:val="single" w:sz="6" w:space="0" w:color="939598"/>
                          <w:right w:val="single" w:sz="6" w:space="0" w:color="939598"/>
                        </w:tcBorders>
                      </w:tcPr>
                      <w:p>
                        <w:pPr>
                          <w:pStyle w:val="TableParagraph"/>
                          <w:rPr>
                            <w:sz w:val="20"/>
                          </w:rPr>
                        </w:pP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Accreditation</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157</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Lay Preaching</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159</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Transfer age limit</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161</w:t>
                        </w:r>
                      </w:p>
                    </w:tc>
                  </w:tr>
                  <w:tr>
                    <w:trPr>
                      <w:trHeight w:val="250" w:hRule="atLeast"/>
                    </w:trPr>
                    <w:tc>
                      <w:tcPr>
                        <w:tcW w:w="4090" w:type="dxa"/>
                        <w:tcBorders>
                          <w:right w:val="single" w:sz="6" w:space="0" w:color="939598"/>
                        </w:tcBorders>
                      </w:tcPr>
                      <w:p>
                        <w:pPr>
                          <w:pStyle w:val="TableParagraph"/>
                          <w:spacing w:line="214" w:lineRule="exact" w:before="15"/>
                          <w:ind w:left="461"/>
                          <w:rPr>
                            <w:rFonts w:ascii="Verdana" w:hAnsi="Verdana"/>
                            <w:sz w:val="18"/>
                          </w:rPr>
                        </w:pPr>
                        <w:r>
                          <w:rPr>
                            <w:rFonts w:ascii="Verdana" w:hAnsi="Verdana"/>
                            <w:color w:val="231F20"/>
                            <w:w w:val="110"/>
                            <w:sz w:val="18"/>
                          </w:rPr>
                          <w:t>– Plan for Partnership</w:t>
                        </w:r>
                      </w:p>
                    </w:tc>
                    <w:tc>
                      <w:tcPr>
                        <w:tcW w:w="643" w:type="dxa"/>
                        <w:tcBorders>
                          <w:left w:val="single" w:sz="6" w:space="0" w:color="939598"/>
                          <w:right w:val="single" w:sz="6" w:space="0" w:color="939598"/>
                        </w:tcBorders>
                      </w:tcPr>
                      <w:p>
                        <w:pPr>
                          <w:pStyle w:val="TableParagraph"/>
                          <w:spacing w:line="214" w:lineRule="exact" w:before="15"/>
                          <w:ind w:right="162"/>
                          <w:jc w:val="right"/>
                          <w:rPr>
                            <w:rFonts w:ascii="Verdana"/>
                            <w:sz w:val="18"/>
                          </w:rPr>
                        </w:pPr>
                        <w:r>
                          <w:rPr>
                            <w:rFonts w:ascii="Verdana"/>
                            <w:color w:val="231F20"/>
                            <w:w w:val="110"/>
                            <w:sz w:val="18"/>
                          </w:rPr>
                          <w:t>161</w:t>
                        </w:r>
                      </w:p>
                    </w:tc>
                  </w:tr>
                  <w:tr>
                    <w:trPr>
                      <w:trHeight w:val="340" w:hRule="atLeast"/>
                    </w:trPr>
                    <w:tc>
                      <w:tcPr>
                        <w:tcW w:w="4090" w:type="dxa"/>
                        <w:tcBorders>
                          <w:right w:val="single" w:sz="6" w:space="0" w:color="939598"/>
                        </w:tcBorders>
                      </w:tcPr>
                      <w:p>
                        <w:pPr>
                          <w:pStyle w:val="TableParagraph"/>
                          <w:spacing w:before="15"/>
                          <w:ind w:left="461"/>
                          <w:rPr>
                            <w:rFonts w:ascii="Verdana" w:hAnsi="Verdana"/>
                            <w:sz w:val="18"/>
                          </w:rPr>
                        </w:pPr>
                        <w:r>
                          <w:rPr>
                            <w:rFonts w:ascii="Verdana" w:hAnsi="Verdana"/>
                            <w:color w:val="231F20"/>
                            <w:w w:val="110"/>
                            <w:sz w:val="18"/>
                          </w:rPr>
                          <w:t>– Assessment procedure</w:t>
                        </w:r>
                      </w:p>
                    </w:tc>
                    <w:tc>
                      <w:tcPr>
                        <w:tcW w:w="643" w:type="dxa"/>
                        <w:tcBorders>
                          <w:left w:val="single" w:sz="6" w:space="0" w:color="939598"/>
                          <w:right w:val="single" w:sz="6" w:space="0" w:color="939598"/>
                        </w:tcBorders>
                      </w:tcPr>
                      <w:p>
                        <w:pPr>
                          <w:pStyle w:val="TableParagraph"/>
                          <w:spacing w:before="15"/>
                          <w:ind w:right="162"/>
                          <w:jc w:val="right"/>
                          <w:rPr>
                            <w:rFonts w:ascii="Verdana"/>
                            <w:sz w:val="18"/>
                          </w:rPr>
                        </w:pPr>
                        <w:r>
                          <w:rPr>
                            <w:rFonts w:ascii="Verdana"/>
                            <w:color w:val="231F20"/>
                            <w:w w:val="110"/>
                            <w:sz w:val="18"/>
                          </w:rPr>
                          <w:t>163</w:t>
                        </w:r>
                      </w:p>
                    </w:tc>
                  </w:tr>
                  <w:tr>
                    <w:trPr>
                      <w:trHeight w:val="444" w:hRule="atLeast"/>
                    </w:trPr>
                    <w:tc>
                      <w:tcPr>
                        <w:tcW w:w="4090" w:type="dxa"/>
                        <w:tcBorders>
                          <w:right w:val="single" w:sz="6" w:space="0" w:color="939598"/>
                        </w:tcBorders>
                      </w:tcPr>
                      <w:p>
                        <w:pPr>
                          <w:pStyle w:val="TableParagraph"/>
                          <w:spacing w:before="105"/>
                          <w:ind w:left="121"/>
                          <w:rPr>
                            <w:rFonts w:ascii="Verdana"/>
                            <w:sz w:val="18"/>
                          </w:rPr>
                        </w:pPr>
                        <w:r>
                          <w:rPr>
                            <w:rFonts w:ascii="Verdana"/>
                            <w:color w:val="231F20"/>
                            <w:w w:val="110"/>
                            <w:sz w:val="18"/>
                          </w:rPr>
                          <w:t>Commitment for Life</w:t>
                        </w:r>
                      </w:p>
                    </w:tc>
                    <w:tc>
                      <w:tcPr>
                        <w:tcW w:w="643" w:type="dxa"/>
                        <w:tcBorders>
                          <w:left w:val="single" w:sz="6" w:space="0" w:color="939598"/>
                          <w:right w:val="single" w:sz="6" w:space="0" w:color="939598"/>
                        </w:tcBorders>
                      </w:tcPr>
                      <w:p>
                        <w:pPr>
                          <w:pStyle w:val="TableParagraph"/>
                          <w:spacing w:before="105"/>
                          <w:ind w:right="162"/>
                          <w:jc w:val="right"/>
                          <w:rPr>
                            <w:rFonts w:ascii="Verdana"/>
                            <w:sz w:val="18"/>
                          </w:rPr>
                        </w:pPr>
                        <w:r>
                          <w:rPr>
                            <w:rFonts w:ascii="Verdana"/>
                            <w:color w:val="231F20"/>
                            <w:w w:val="110"/>
                            <w:sz w:val="18"/>
                          </w:rPr>
                          <w:t>169</w:t>
                        </w:r>
                      </w:p>
                    </w:tc>
                  </w:tr>
                </w:tbl>
                <w:p>
                  <w:pPr>
                    <w:pStyle w:val="BodyText"/>
                  </w:pP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ind w:left="6163"/>
        <w:rPr>
          <w:sz w:val="20"/>
        </w:rPr>
      </w:pPr>
      <w:r>
        <w:rPr>
          <w:sz w:val="20"/>
        </w:rPr>
        <w:pict>
          <v:shape style="width:236.25pt;height:24.6pt;mso-position-horizontal-relative:char;mso-position-vertical-relative:line" type="#_x0000_t202" filled="true" fillcolor="#808285" stroked="false">
            <w10:anchorlock/>
            <v:textbox inset="0,0,0,0">
              <w:txbxContent>
                <w:p>
                  <w:pPr>
                    <w:spacing w:before="130"/>
                    <w:ind w:left="874" w:right="0" w:firstLine="0"/>
                    <w:jc w:val="left"/>
                    <w:rPr>
                      <w:b/>
                      <w:sz w:val="18"/>
                    </w:rPr>
                  </w:pPr>
                  <w:r>
                    <w:rPr>
                      <w:b/>
                      <w:color w:val="FFFFFF"/>
                      <w:w w:val="110"/>
                      <w:sz w:val="18"/>
                    </w:rPr>
                    <w:t>Separate documentation</w:t>
                  </w:r>
                </w:p>
              </w:txbxContent>
            </v:textbox>
            <v:fill type="solid"/>
          </v:shape>
        </w:pict>
      </w:r>
      <w:r>
        <w:rPr>
          <w:sz w:val="20"/>
        </w:rPr>
      </w:r>
    </w:p>
    <w:p>
      <w:pPr>
        <w:spacing w:before="120"/>
        <w:ind w:left="6239" w:right="0" w:firstLine="0"/>
        <w:jc w:val="left"/>
        <w:rPr>
          <w:sz w:val="18"/>
        </w:rPr>
      </w:pPr>
      <w:r>
        <w:rPr>
          <w:i/>
          <w:color w:val="231F20"/>
          <w:w w:val="110"/>
          <w:sz w:val="18"/>
        </w:rPr>
        <w:t>Document 1 </w:t>
      </w:r>
      <w:r>
        <w:rPr>
          <w:color w:val="231F20"/>
          <w:w w:val="110"/>
          <w:sz w:val="18"/>
        </w:rPr>
        <w:t>– Heritage Lottery Fund</w:t>
      </w:r>
    </w:p>
    <w:p>
      <w:pPr>
        <w:pStyle w:val="BodyText"/>
        <w:spacing w:before="1"/>
        <w:rPr>
          <w:sz w:val="23"/>
        </w:rPr>
      </w:pPr>
    </w:p>
    <w:p>
      <w:pPr>
        <w:pStyle w:val="BodyText"/>
        <w:spacing w:line="273" w:lineRule="auto" w:before="1"/>
        <w:ind w:left="7758" w:right="474" w:hanging="1520"/>
      </w:pPr>
      <w:r>
        <w:rPr>
          <w:i/>
          <w:color w:val="231F20"/>
          <w:w w:val="110"/>
        </w:rPr>
        <w:t>Document 2 </w:t>
      </w:r>
      <w:r>
        <w:rPr>
          <w:color w:val="231F20"/>
          <w:w w:val="110"/>
        </w:rPr>
        <w:t>– Moratorium on policy decisions on homosexuality</w:t>
      </w:r>
    </w:p>
    <w:p>
      <w:pPr>
        <w:pStyle w:val="BodyText"/>
        <w:spacing w:before="5"/>
        <w:rPr>
          <w:sz w:val="21"/>
        </w:rPr>
      </w:pPr>
    </w:p>
    <w:p>
      <w:pPr>
        <w:spacing w:before="1"/>
        <w:ind w:left="6239" w:right="0" w:firstLine="0"/>
        <w:jc w:val="left"/>
        <w:rPr>
          <w:sz w:val="18"/>
        </w:rPr>
      </w:pPr>
      <w:r>
        <w:rPr>
          <w:i/>
          <w:color w:val="231F20"/>
          <w:w w:val="110"/>
          <w:sz w:val="18"/>
        </w:rPr>
        <w:t>Document 3 </w:t>
      </w:r>
      <w:r>
        <w:rPr>
          <w:color w:val="231F20"/>
          <w:w w:val="110"/>
          <w:sz w:val="18"/>
        </w:rPr>
        <w:t>– Global Warming/Climate Change</w:t>
      </w:r>
    </w:p>
    <w:p>
      <w:pPr>
        <w:pStyle w:val="BodyText"/>
        <w:spacing w:before="1"/>
        <w:rPr>
          <w:sz w:val="16"/>
        </w:rPr>
      </w:pPr>
      <w:r>
        <w:rPr/>
        <w:pict>
          <v:shape style="position:absolute;margin-left:331.181pt;margin-top:11.005105pt;width:241.45pt;height:73.75pt;mso-position-horizontal-relative:page;mso-position-vertical-relative:paragraph;z-index:-251656192;mso-wrap-distance-left:0;mso-wrap-distance-right:0" type="#_x0000_t202" filled="true" fillcolor="#d1d3d4" stroked="false">
            <v:textbox inset="0,0,0,0">
              <w:txbxContent>
                <w:p>
                  <w:pPr>
                    <w:pStyle w:val="BodyText"/>
                    <w:spacing w:before="131"/>
                    <w:ind w:left="75"/>
                  </w:pPr>
                  <w:r>
                    <w:rPr>
                      <w:color w:val="231F20"/>
                      <w:w w:val="110"/>
                    </w:rPr>
                    <w:t>Section O Papers:</w:t>
                  </w:r>
                </w:p>
                <w:p>
                  <w:pPr>
                    <w:spacing w:before="31"/>
                    <w:ind w:left="535" w:right="0" w:firstLine="0"/>
                    <w:jc w:val="left"/>
                    <w:rPr>
                      <w:sz w:val="18"/>
                    </w:rPr>
                  </w:pPr>
                  <w:r>
                    <w:rPr>
                      <w:i/>
                      <w:color w:val="231F20"/>
                      <w:w w:val="110"/>
                      <w:sz w:val="18"/>
                    </w:rPr>
                    <w:t>Document 4 </w:t>
                  </w:r>
                  <w:r>
                    <w:rPr>
                      <w:color w:val="231F20"/>
                      <w:w w:val="110"/>
                      <w:sz w:val="18"/>
                    </w:rPr>
                    <w:t>– Section O:</w:t>
                  </w:r>
                </w:p>
                <w:p>
                  <w:pPr>
                    <w:pStyle w:val="BodyText"/>
                    <w:spacing w:before="31"/>
                    <w:ind w:left="1450"/>
                  </w:pPr>
                  <w:r>
                    <w:rPr>
                      <w:color w:val="231F20"/>
                      <w:w w:val="110"/>
                    </w:rPr>
                    <w:t>Replacement of existing Part II</w:t>
                  </w:r>
                </w:p>
                <w:p>
                  <w:pPr>
                    <w:spacing w:line="273" w:lineRule="auto" w:before="32"/>
                    <w:ind w:left="1450" w:right="0" w:hanging="916"/>
                    <w:jc w:val="left"/>
                    <w:rPr>
                      <w:sz w:val="18"/>
                    </w:rPr>
                  </w:pPr>
                  <w:r>
                    <w:rPr>
                      <w:i/>
                      <w:color w:val="231F20"/>
                      <w:w w:val="110"/>
                      <w:sz w:val="18"/>
                    </w:rPr>
                    <w:t>Document 5 </w:t>
                  </w:r>
                  <w:r>
                    <w:rPr>
                      <w:color w:val="231F20"/>
                      <w:w w:val="110"/>
                      <w:sz w:val="18"/>
                    </w:rPr>
                    <w:t>– Ministerial Incapacity Procedure Part II</w:t>
                  </w:r>
                </w:p>
              </w:txbxContent>
            </v:textbox>
            <v:fill type="solid"/>
            <w10:wrap type="topAndBottom"/>
          </v:shape>
        </w:pict>
      </w:r>
    </w:p>
    <w:p>
      <w:pPr>
        <w:pStyle w:val="BodyText"/>
        <w:spacing w:before="5"/>
        <w:rPr>
          <w:sz w:val="17"/>
        </w:rPr>
      </w:pPr>
    </w:p>
    <w:p>
      <w:pPr>
        <w:pStyle w:val="BodyText"/>
        <w:ind w:left="6239"/>
      </w:pPr>
      <w:r>
        <w:rPr>
          <w:color w:val="231F20"/>
          <w:w w:val="110"/>
        </w:rPr>
        <w:t>Consensus Decision Making for the</w:t>
      </w:r>
    </w:p>
    <w:p>
      <w:pPr>
        <w:pStyle w:val="BodyText"/>
        <w:spacing w:line="549" w:lineRule="auto" w:before="31"/>
        <w:ind w:left="6239" w:right="474" w:firstLine="1408"/>
      </w:pPr>
      <w:r>
        <w:rPr>
          <w:color w:val="231F20"/>
          <w:w w:val="110"/>
        </w:rPr>
        <w:t>United Reformed Church Trustees’ Annual Report and Accounts 2006 Information Papers</w:t>
      </w:r>
    </w:p>
    <w:p>
      <w:pPr>
        <w:pStyle w:val="BodyText"/>
        <w:rPr>
          <w:sz w:val="22"/>
        </w:rPr>
      </w:pPr>
    </w:p>
    <w:p>
      <w:pPr>
        <w:pStyle w:val="BodyText"/>
        <w:rPr>
          <w:sz w:val="22"/>
        </w:rPr>
      </w:pPr>
    </w:p>
    <w:p>
      <w:pPr>
        <w:pStyle w:val="BodyText"/>
        <w:spacing w:before="8"/>
        <w:rPr>
          <w:sz w:val="30"/>
        </w:rPr>
      </w:pPr>
    </w:p>
    <w:p>
      <w:pPr>
        <w:spacing w:before="0"/>
        <w:ind w:left="0" w:right="621" w:firstLine="0"/>
        <w:jc w:val="right"/>
        <w:rPr>
          <w:rFonts w:ascii="Eurostile Bold"/>
          <w:b/>
          <w:sz w:val="24"/>
        </w:rPr>
      </w:pPr>
      <w:r>
        <w:rPr>
          <w:rFonts w:ascii="Eurostile Bold"/>
          <w:b/>
          <w:color w:val="231F20"/>
          <w:w w:val="87"/>
          <w:sz w:val="24"/>
        </w:rPr>
        <w:t>3</w:t>
      </w:r>
    </w:p>
    <w:p>
      <w:pPr>
        <w:spacing w:after="0"/>
        <w:jc w:val="right"/>
        <w:rPr>
          <w:rFonts w:ascii="Eurostile Bold"/>
          <w:sz w:val="24"/>
        </w:rPr>
        <w:sectPr>
          <w:pgSz w:w="11910" w:h="16840"/>
          <w:pgMar w:top="920" w:bottom="280" w:left="460" w:right="0"/>
        </w:sectPr>
      </w:pPr>
    </w:p>
    <w:p>
      <w:pPr>
        <w:pStyle w:val="BodyText"/>
        <w:spacing w:before="2"/>
        <w:rPr>
          <w:rFonts w:ascii="Eurostile Bold"/>
          <w:b/>
          <w:sz w:val="16"/>
        </w:rPr>
      </w:pPr>
    </w:p>
    <w:p>
      <w:pPr>
        <w:spacing w:after="0"/>
        <w:rPr>
          <w:rFonts w:ascii="Eurostile Bold"/>
          <w:sz w:val="16"/>
        </w:rPr>
        <w:sectPr>
          <w:pgSz w:w="11910" w:h="16840"/>
          <w:pgMar w:top="1580" w:bottom="280" w:left="460" w:right="0"/>
        </w:sectPr>
      </w:pPr>
    </w:p>
    <w:p>
      <w:pPr>
        <w:spacing w:before="73"/>
        <w:ind w:left="6552" w:right="0" w:firstLine="0"/>
        <w:jc w:val="left"/>
        <w:rPr>
          <w:b/>
          <w:sz w:val="36"/>
        </w:rPr>
      </w:pPr>
      <w:r>
        <w:rPr>
          <w:b/>
          <w:color w:val="231F20"/>
          <w:w w:val="110"/>
          <w:sz w:val="36"/>
        </w:rPr>
        <w:t>List of Resolutions</w:t>
      </w:r>
    </w:p>
    <w:p>
      <w:pPr>
        <w:pStyle w:val="BodyText"/>
        <w:spacing w:before="2"/>
        <w:rPr>
          <w:b/>
          <w:sz w:val="17"/>
        </w:rPr>
      </w:pPr>
    </w:p>
    <w:tbl>
      <w:tblPr>
        <w:tblW w:w="0" w:type="auto"/>
        <w:jc w:val="left"/>
        <w:tblInd w:w="90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898"/>
        <w:gridCol w:w="743"/>
        <w:gridCol w:w="1794"/>
        <w:gridCol w:w="1342"/>
      </w:tblGrid>
      <w:tr>
        <w:trPr>
          <w:trHeight w:val="297" w:hRule="atLeast"/>
        </w:trPr>
        <w:tc>
          <w:tcPr>
            <w:tcW w:w="5898" w:type="dxa"/>
            <w:tcBorders>
              <w:bottom w:val="single" w:sz="4" w:space="0" w:color="231F20"/>
            </w:tcBorders>
          </w:tcPr>
          <w:p>
            <w:pPr>
              <w:pStyle w:val="TableParagraph"/>
              <w:spacing w:before="22"/>
              <w:ind w:left="2661" w:right="2528"/>
              <w:jc w:val="center"/>
              <w:rPr>
                <w:rFonts w:ascii="Verdana"/>
                <w:b/>
                <w:sz w:val="20"/>
              </w:rPr>
            </w:pPr>
            <w:r>
              <w:rPr>
                <w:rFonts w:ascii="Verdana"/>
                <w:b/>
                <w:color w:val="231F20"/>
                <w:sz w:val="20"/>
              </w:rPr>
              <w:t>Name</w:t>
            </w:r>
          </w:p>
        </w:tc>
        <w:tc>
          <w:tcPr>
            <w:tcW w:w="743" w:type="dxa"/>
            <w:tcBorders>
              <w:bottom w:val="single" w:sz="4" w:space="0" w:color="231F20"/>
            </w:tcBorders>
          </w:tcPr>
          <w:p>
            <w:pPr>
              <w:pStyle w:val="TableParagraph"/>
              <w:spacing w:before="22"/>
              <w:ind w:left="249"/>
              <w:rPr>
                <w:rFonts w:ascii="Verdana"/>
                <w:b/>
                <w:sz w:val="20"/>
              </w:rPr>
            </w:pPr>
            <w:r>
              <w:rPr>
                <w:rFonts w:ascii="Verdana"/>
                <w:b/>
                <w:color w:val="231F20"/>
                <w:sz w:val="20"/>
              </w:rPr>
              <w:t>No.</w:t>
            </w:r>
          </w:p>
        </w:tc>
        <w:tc>
          <w:tcPr>
            <w:tcW w:w="1794" w:type="dxa"/>
            <w:tcBorders>
              <w:bottom w:val="single" w:sz="4" w:space="0" w:color="231F20"/>
            </w:tcBorders>
          </w:tcPr>
          <w:p>
            <w:pPr>
              <w:pStyle w:val="TableParagraph"/>
              <w:spacing w:before="22"/>
              <w:ind w:left="285"/>
              <w:rPr>
                <w:rFonts w:ascii="Verdana"/>
                <w:b/>
                <w:sz w:val="20"/>
              </w:rPr>
            </w:pPr>
            <w:r>
              <w:rPr>
                <w:rFonts w:ascii="Verdana"/>
                <w:b/>
                <w:color w:val="231F20"/>
                <w:sz w:val="20"/>
              </w:rPr>
              <w:t>Committee</w:t>
            </w:r>
          </w:p>
        </w:tc>
        <w:tc>
          <w:tcPr>
            <w:tcW w:w="1342" w:type="dxa"/>
            <w:tcBorders>
              <w:bottom w:val="single" w:sz="4" w:space="0" w:color="231F20"/>
            </w:tcBorders>
          </w:tcPr>
          <w:p>
            <w:pPr>
              <w:pStyle w:val="TableParagraph"/>
              <w:spacing w:before="22"/>
              <w:ind w:right="348"/>
              <w:jc w:val="right"/>
              <w:rPr>
                <w:rFonts w:ascii="Verdana"/>
                <w:b/>
                <w:sz w:val="20"/>
              </w:rPr>
            </w:pPr>
            <w:r>
              <w:rPr>
                <w:rFonts w:ascii="Verdana"/>
                <w:b/>
                <w:color w:val="231F20"/>
                <w:w w:val="95"/>
                <w:sz w:val="20"/>
              </w:rPr>
              <w:t>page</w:t>
            </w:r>
          </w:p>
        </w:tc>
      </w:tr>
      <w:tr>
        <w:trPr>
          <w:trHeight w:val="151" w:hRule="atLeast"/>
        </w:trPr>
        <w:tc>
          <w:tcPr>
            <w:tcW w:w="9777" w:type="dxa"/>
            <w:gridSpan w:val="4"/>
            <w:tcBorders>
              <w:top w:val="single" w:sz="4" w:space="0" w:color="231F20"/>
              <w:left w:val="single" w:sz="4" w:space="0" w:color="231F20"/>
              <w:bottom w:val="single" w:sz="4" w:space="0" w:color="231F20"/>
              <w:right w:val="single" w:sz="4" w:space="0" w:color="231F20"/>
            </w:tcBorders>
          </w:tcPr>
          <w:p>
            <w:pPr>
              <w:pStyle w:val="TableParagraph"/>
              <w:rPr>
                <w:sz w:val="8"/>
              </w:rPr>
            </w:pP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hAnsi="Verdana"/>
                <w:sz w:val="18"/>
              </w:rPr>
            </w:pPr>
            <w:r>
              <w:rPr>
                <w:rFonts w:ascii="Verdana" w:hAnsi="Verdana"/>
                <w:color w:val="231F20"/>
                <w:w w:val="110"/>
                <w:sz w:val="18"/>
              </w:rPr>
              <w:t>‘Think-tank’ on mission and spirituality</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354"/>
              <w:rPr>
                <w:rFonts w:ascii="Verdana"/>
                <w:b/>
                <w:sz w:val="20"/>
              </w:rPr>
            </w:pPr>
            <w:r>
              <w:rPr>
                <w:rFonts w:ascii="Verdana"/>
                <w:b/>
                <w:color w:val="231F20"/>
                <w:sz w:val="20"/>
              </w:rPr>
              <w:t>1</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12</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A new Department of Mission</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354"/>
              <w:rPr>
                <w:rFonts w:ascii="Verdana"/>
                <w:b/>
                <w:sz w:val="20"/>
              </w:rPr>
            </w:pPr>
            <w:r>
              <w:rPr>
                <w:rFonts w:ascii="Verdana"/>
                <w:b/>
                <w:color w:val="231F20"/>
                <w:sz w:val="20"/>
              </w:rPr>
              <w:t>2</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21</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A new Department of Mission</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354"/>
              <w:rPr>
                <w:rFonts w:ascii="Verdana"/>
                <w:b/>
                <w:sz w:val="20"/>
              </w:rPr>
            </w:pPr>
            <w:r>
              <w:rPr>
                <w:rFonts w:ascii="Verdana"/>
                <w:b/>
                <w:color w:val="231F20"/>
                <w:sz w:val="20"/>
              </w:rPr>
              <w:t>3</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21</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A new Department of Mission</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354"/>
              <w:rPr>
                <w:rFonts w:ascii="Verdana"/>
                <w:b/>
                <w:sz w:val="20"/>
              </w:rPr>
            </w:pPr>
            <w:r>
              <w:rPr>
                <w:rFonts w:ascii="Verdana"/>
                <w:b/>
                <w:color w:val="231F20"/>
                <w:sz w:val="20"/>
              </w:rPr>
              <w:t>4</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21</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198"/>
              <w:rPr>
                <w:rFonts w:ascii="Verdana"/>
                <w:sz w:val="20"/>
              </w:rPr>
            </w:pPr>
            <w:r>
              <w:rPr>
                <w:rFonts w:ascii="Verdana"/>
                <w:color w:val="231F20"/>
                <w:sz w:val="20"/>
              </w:rPr>
              <w:t>Election of Moderators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354"/>
              <w:rPr>
                <w:rFonts w:ascii="Verdana"/>
                <w:b/>
                <w:sz w:val="20"/>
              </w:rPr>
            </w:pPr>
            <w:r>
              <w:rPr>
                <w:rFonts w:ascii="Verdana"/>
                <w:b/>
                <w:color w:val="231F20"/>
                <w:sz w:val="20"/>
              </w:rPr>
              <w:t>5</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23</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27"/>
              <w:ind w:left="198"/>
              <w:rPr>
                <w:rFonts w:ascii="Verdana" w:hAnsi="Verdana"/>
                <w:sz w:val="20"/>
              </w:rPr>
            </w:pPr>
            <w:r>
              <w:rPr>
                <w:rFonts w:ascii="Verdana" w:hAnsi="Verdana"/>
                <w:color w:val="231F20"/>
                <w:sz w:val="20"/>
              </w:rPr>
              <w:t>Retired Ministers’ Housing Society Fund</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354"/>
              <w:rPr>
                <w:rFonts w:ascii="Verdana"/>
                <w:b/>
                <w:sz w:val="20"/>
              </w:rPr>
            </w:pPr>
            <w:r>
              <w:rPr>
                <w:rFonts w:ascii="Verdana"/>
                <w:b/>
                <w:color w:val="231F20"/>
                <w:sz w:val="20"/>
              </w:rPr>
              <w:t>6</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RMHS</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29</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27"/>
              <w:ind w:left="198"/>
              <w:rPr>
                <w:rFonts w:ascii="Verdana" w:hAnsi="Verdana"/>
                <w:sz w:val="20"/>
              </w:rPr>
            </w:pPr>
            <w:r>
              <w:rPr>
                <w:rFonts w:ascii="Verdana" w:hAnsi="Verdana"/>
                <w:color w:val="231F20"/>
                <w:sz w:val="20"/>
              </w:rPr>
              <w:t>Retired Ministers’ Housing Guidelines</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354"/>
              <w:rPr>
                <w:rFonts w:ascii="Verdana"/>
                <w:b/>
                <w:sz w:val="20"/>
              </w:rPr>
            </w:pPr>
            <w:r>
              <w:rPr>
                <w:rFonts w:ascii="Verdana"/>
                <w:b/>
                <w:color w:val="231F20"/>
                <w:sz w:val="20"/>
              </w:rPr>
              <w:t>7</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RMHS</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29</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27"/>
              <w:ind w:left="198"/>
              <w:rPr>
                <w:rFonts w:ascii="Verdana"/>
                <w:sz w:val="20"/>
              </w:rPr>
            </w:pPr>
            <w:r>
              <w:rPr>
                <w:rFonts w:ascii="Verdana"/>
                <w:color w:val="231F20"/>
                <w:sz w:val="20"/>
              </w:rPr>
              <w:t>Church Closures</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354"/>
              <w:rPr>
                <w:rFonts w:ascii="Verdana"/>
                <w:b/>
                <w:sz w:val="20"/>
              </w:rPr>
            </w:pPr>
            <w:r>
              <w:rPr>
                <w:rFonts w:ascii="Verdana"/>
                <w:b/>
                <w:color w:val="231F20"/>
                <w:sz w:val="20"/>
              </w:rPr>
              <w:t>8</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rPr>
                <w:sz w:val="18"/>
              </w:rPr>
            </w:pP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39</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Ministerial Disciplinary Process (Section O):</w:t>
            </w:r>
          </w:p>
          <w:p>
            <w:pPr>
              <w:pStyle w:val="TableParagraph"/>
              <w:spacing w:before="21"/>
              <w:ind w:left="198"/>
              <w:rPr>
                <w:rFonts w:ascii="Verdana"/>
                <w:sz w:val="18"/>
              </w:rPr>
            </w:pPr>
            <w:r>
              <w:rPr>
                <w:rFonts w:ascii="Verdana"/>
                <w:color w:val="231F20"/>
                <w:w w:val="110"/>
                <w:sz w:val="18"/>
              </w:rPr>
              <w:t>Ratification of Replacement of existing Part 1</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354"/>
              <w:rPr>
                <w:rFonts w:ascii="Verdana"/>
                <w:b/>
                <w:sz w:val="20"/>
              </w:rPr>
            </w:pPr>
            <w:r>
              <w:rPr>
                <w:rFonts w:ascii="Verdana"/>
                <w:b/>
                <w:color w:val="231F20"/>
                <w:sz w:val="20"/>
              </w:rPr>
              <w:t>9</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57</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Section O: Ratification of amendments to the</w:t>
            </w:r>
          </w:p>
          <w:p>
            <w:pPr>
              <w:pStyle w:val="TableParagraph"/>
              <w:spacing w:before="21"/>
              <w:ind w:left="198"/>
              <w:rPr>
                <w:rFonts w:ascii="Verdana"/>
                <w:sz w:val="18"/>
              </w:rPr>
            </w:pPr>
            <w:r>
              <w:rPr>
                <w:rFonts w:ascii="Verdana"/>
                <w:color w:val="231F20"/>
                <w:w w:val="110"/>
                <w:sz w:val="18"/>
              </w:rPr>
              <w:t>Structure</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10</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59</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Section O: Replacement of existing Part II</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11</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61</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Ministerial Incapacity Procedure</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12</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61</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Ministerial Incapacity Procedure Part II</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13</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63</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Pr>
                <w:rFonts w:ascii="Verdana"/>
                <w:sz w:val="18"/>
              </w:rPr>
            </w:pPr>
            <w:r>
              <w:rPr>
                <w:rFonts w:ascii="Verdana"/>
                <w:color w:val="231F20"/>
                <w:w w:val="110"/>
                <w:sz w:val="18"/>
              </w:rPr>
              <w:t>Ministerial Incapacity Procedure: Changes to the Structure</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14</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63</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Pr>
                <w:rFonts w:ascii="Verdana"/>
                <w:sz w:val="18"/>
              </w:rPr>
            </w:pPr>
            <w:r>
              <w:rPr>
                <w:rFonts w:ascii="Verdana"/>
                <w:color w:val="231F20"/>
                <w:w w:val="110"/>
                <w:sz w:val="18"/>
              </w:rPr>
              <w:t>Ministerial Incapacity Procedure: Church Related Community Workers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15</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64</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Changes to Section O Part 1</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16</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65</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Changes to Section O Part 1</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17</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68</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Pr>
                <w:rFonts w:ascii="Verdana"/>
                <w:sz w:val="18"/>
              </w:rPr>
            </w:pPr>
            <w:r>
              <w:rPr>
                <w:rFonts w:ascii="Verdana"/>
                <w:color w:val="231F20"/>
                <w:w w:val="110"/>
                <w:sz w:val="18"/>
              </w:rPr>
              <w:t>Changes to the Basis of Union to include CRCWs in the ministerial disciplinary process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18</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70</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Pr>
                <w:rFonts w:ascii="Verdana"/>
                <w:sz w:val="18"/>
              </w:rPr>
            </w:pPr>
            <w:r>
              <w:rPr>
                <w:rFonts w:ascii="Verdana"/>
                <w:color w:val="231F20"/>
                <w:w w:val="110"/>
                <w:sz w:val="18"/>
              </w:rPr>
              <w:t>Amendment of Structure to include CRCWs in the ministerial disciplinary process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19</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72</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Ratification of the Listed Buildings Appeals Procedure</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20</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75</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ight="476"/>
              <w:rPr>
                <w:rFonts w:ascii="Verdana"/>
                <w:sz w:val="18"/>
              </w:rPr>
            </w:pPr>
            <w:r>
              <w:rPr>
                <w:rFonts w:ascii="Verdana"/>
                <w:color w:val="231F20"/>
                <w:w w:val="110"/>
                <w:sz w:val="18"/>
              </w:rPr>
              <w:t>Changes to the rules of procedure on Appeals (Listed Buildings)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21</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76</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Pr>
                <w:rFonts w:ascii="Verdana" w:hAnsi="Verdana"/>
                <w:sz w:val="18"/>
              </w:rPr>
            </w:pPr>
            <w:r>
              <w:rPr>
                <w:rFonts w:ascii="Verdana" w:hAnsi="Verdana"/>
                <w:color w:val="231F20"/>
                <w:w w:val="110"/>
                <w:sz w:val="18"/>
              </w:rPr>
              <w:t>Revised Arrangements for nominating directors of the United Reformed Church Ministers’ Pension Fund</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22</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76</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Governing Body</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23</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rPr>
                <w:sz w:val="18"/>
              </w:rPr>
            </w:pP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83</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Changes to the Basis and Structure</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24</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85</w:t>
            </w:r>
          </w:p>
        </w:tc>
      </w:tr>
      <w:tr>
        <w:trPr>
          <w:trHeight w:val="311"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27"/>
              <w:ind w:left="198"/>
              <w:rPr>
                <w:rFonts w:ascii="Verdana"/>
                <w:sz w:val="20"/>
              </w:rPr>
            </w:pPr>
            <w:r>
              <w:rPr>
                <w:rFonts w:ascii="Verdana"/>
                <w:color w:val="231F20"/>
                <w:sz w:val="20"/>
              </w:rPr>
              <w:t>Changes to Rules of Procedure</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31"/>
              <w:ind w:left="212"/>
              <w:rPr>
                <w:rFonts w:ascii="Verdana"/>
                <w:b/>
                <w:sz w:val="20"/>
              </w:rPr>
            </w:pPr>
            <w:r>
              <w:rPr>
                <w:rFonts w:ascii="Verdana"/>
                <w:b/>
                <w:color w:val="231F20"/>
                <w:sz w:val="20"/>
              </w:rPr>
              <w:t>25</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6"/>
              <w:ind w:left="197"/>
              <w:rPr>
                <w:rFonts w:ascii="Verdana"/>
                <w:sz w:val="16"/>
              </w:rPr>
            </w:pPr>
            <w:r>
              <w:rPr>
                <w:rFonts w:ascii="Verdana"/>
                <w:color w:val="231F20"/>
                <w:sz w:val="16"/>
              </w:rPr>
              <w:t>CTV</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31"/>
              <w:ind w:right="404"/>
              <w:jc w:val="right"/>
              <w:rPr>
                <w:rFonts w:ascii="Verdana"/>
                <w:sz w:val="20"/>
              </w:rPr>
            </w:pPr>
            <w:r>
              <w:rPr>
                <w:rFonts w:ascii="Verdana"/>
                <w:color w:val="231F20"/>
                <w:sz w:val="20"/>
              </w:rPr>
              <w:t>95</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47"/>
              <w:ind w:left="198"/>
              <w:rPr>
                <w:rFonts w:ascii="Verdana"/>
                <w:sz w:val="18"/>
              </w:rPr>
            </w:pPr>
            <w:r>
              <w:rPr>
                <w:rFonts w:ascii="Verdana"/>
                <w:color w:val="231F20"/>
                <w:w w:val="110"/>
                <w:sz w:val="18"/>
              </w:rPr>
              <w:t>Appointment of the Moderator for Yorkshire Synod</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26</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Nominations</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109</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0" w:lineRule="atLeast" w:before="25"/>
              <w:ind w:left="198" w:right="476"/>
              <w:rPr>
                <w:rFonts w:ascii="Verdana"/>
                <w:sz w:val="18"/>
              </w:rPr>
            </w:pPr>
            <w:r>
              <w:rPr>
                <w:rFonts w:ascii="Verdana"/>
                <w:color w:val="231F20"/>
                <w:w w:val="110"/>
                <w:sz w:val="18"/>
              </w:rPr>
              <w:t>Appointment of the Moderator for North Western Synod</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27</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
              <w:rPr>
                <w:rFonts w:ascii="Verdana"/>
                <w:b/>
                <w:sz w:val="14"/>
              </w:rPr>
            </w:pPr>
          </w:p>
          <w:p>
            <w:pPr>
              <w:pStyle w:val="TableParagraph"/>
              <w:ind w:left="197"/>
              <w:rPr>
                <w:rFonts w:ascii="Verdana"/>
                <w:sz w:val="16"/>
              </w:rPr>
            </w:pPr>
            <w:r>
              <w:rPr>
                <w:rFonts w:ascii="Verdana"/>
                <w:color w:val="231F20"/>
                <w:sz w:val="16"/>
              </w:rPr>
              <w:t>Nominations</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right="404"/>
              <w:jc w:val="right"/>
              <w:rPr>
                <w:rFonts w:ascii="Verdana"/>
                <w:sz w:val="20"/>
              </w:rPr>
            </w:pPr>
            <w:r>
              <w:rPr>
                <w:rFonts w:ascii="Verdana"/>
                <w:color w:val="231F20"/>
                <w:sz w:val="20"/>
              </w:rPr>
              <w:t>109</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198"/>
              <w:rPr>
                <w:rFonts w:ascii="Verdana"/>
                <w:sz w:val="20"/>
              </w:rPr>
            </w:pPr>
            <w:r>
              <w:rPr>
                <w:rFonts w:ascii="Verdana"/>
                <w:color w:val="231F20"/>
                <w:sz w:val="20"/>
              </w:rPr>
              <w:t>Nominations</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28</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Nominations</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109</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hAnsi="Verdana"/>
                <w:sz w:val="18"/>
              </w:rPr>
            </w:pPr>
            <w:r>
              <w:rPr>
                <w:rFonts w:ascii="Verdana" w:hAnsi="Verdana"/>
                <w:color w:val="231F20"/>
                <w:w w:val="110"/>
                <w:sz w:val="18"/>
              </w:rPr>
              <w:t>Trustee’s Report and Annual Accounts</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29</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Finance</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114</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Appointment of Auditors</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30</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Finance</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114</w:t>
            </w:r>
          </w:p>
        </w:tc>
      </w:tr>
      <w:tr>
        <w:trPr>
          <w:trHeight w:val="54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line="240" w:lineRule="atLeast" w:before="25"/>
              <w:ind w:left="198" w:right="476"/>
              <w:rPr>
                <w:rFonts w:ascii="Verdana"/>
                <w:sz w:val="18"/>
              </w:rPr>
            </w:pPr>
            <w:r>
              <w:rPr>
                <w:rFonts w:ascii="Verdana"/>
                <w:color w:val="231F20"/>
                <w:w w:val="110"/>
                <w:sz w:val="18"/>
              </w:rPr>
              <w:t>The giving of the members of the Church to central funds</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31</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1"/>
              <w:rPr>
                <w:rFonts w:ascii="Verdana"/>
                <w:b/>
                <w:sz w:val="14"/>
              </w:rPr>
            </w:pPr>
          </w:p>
          <w:p>
            <w:pPr>
              <w:pStyle w:val="TableParagraph"/>
              <w:ind w:left="197"/>
              <w:rPr>
                <w:rFonts w:ascii="Verdana"/>
                <w:sz w:val="16"/>
              </w:rPr>
            </w:pPr>
            <w:r>
              <w:rPr>
                <w:rFonts w:ascii="Verdana"/>
                <w:color w:val="231F20"/>
                <w:sz w:val="16"/>
              </w:rPr>
              <w:t>Finance</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147"/>
              <w:ind w:right="404"/>
              <w:jc w:val="right"/>
              <w:rPr>
                <w:rFonts w:ascii="Verdana"/>
                <w:sz w:val="20"/>
              </w:rPr>
            </w:pPr>
            <w:r>
              <w:rPr>
                <w:rFonts w:ascii="Verdana"/>
                <w:color w:val="231F20"/>
                <w:sz w:val="20"/>
              </w:rPr>
              <w:t>114</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198"/>
              <w:rPr>
                <w:rFonts w:ascii="Verdana" w:hAnsi="Verdana"/>
                <w:i/>
                <w:sz w:val="20"/>
              </w:rPr>
            </w:pPr>
            <w:r>
              <w:rPr>
                <w:rFonts w:ascii="Verdana" w:hAnsi="Verdana"/>
                <w:color w:val="231F20"/>
                <w:w w:val="110"/>
                <w:sz w:val="18"/>
              </w:rPr>
              <w:t>Revised remit of the Finance Committee </w:t>
            </w:r>
            <w:r>
              <w:rPr>
                <w:rFonts w:ascii="Verdana" w:hAnsi="Verdana"/>
                <w:color w:val="231F20"/>
                <w:w w:val="110"/>
                <w:sz w:val="20"/>
              </w:rPr>
              <w:t>– </w:t>
            </w:r>
            <w:r>
              <w:rPr>
                <w:rFonts w:ascii="Verdana" w:hAnsi="Verdana"/>
                <w:i/>
                <w:color w:val="231F20"/>
                <w:w w:val="110"/>
                <w:sz w:val="20"/>
              </w:rPr>
              <w:t>Document 7</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left="212"/>
              <w:rPr>
                <w:rFonts w:ascii="Verdana"/>
                <w:b/>
                <w:sz w:val="20"/>
              </w:rPr>
            </w:pPr>
            <w:r>
              <w:rPr>
                <w:rFonts w:ascii="Verdana"/>
                <w:b/>
                <w:color w:val="231F20"/>
                <w:sz w:val="20"/>
              </w:rPr>
              <w:t>32</w:t>
            </w:r>
          </w:p>
        </w:tc>
        <w:tc>
          <w:tcPr>
            <w:tcW w:w="179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51"/>
              <w:ind w:left="197"/>
              <w:rPr>
                <w:rFonts w:ascii="Verdana"/>
                <w:sz w:val="16"/>
              </w:rPr>
            </w:pPr>
            <w:r>
              <w:rPr>
                <w:rFonts w:ascii="Verdana"/>
                <w:color w:val="231F20"/>
                <w:sz w:val="16"/>
              </w:rPr>
              <w:t>Mission Council</w:t>
            </w:r>
          </w:p>
        </w:tc>
        <w:tc>
          <w:tcPr>
            <w:tcW w:w="1342"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27"/>
              <w:ind w:right="404"/>
              <w:jc w:val="right"/>
              <w:rPr>
                <w:rFonts w:ascii="Verdana"/>
                <w:sz w:val="20"/>
              </w:rPr>
            </w:pPr>
            <w:r>
              <w:rPr>
                <w:rFonts w:ascii="Verdana"/>
                <w:color w:val="231F20"/>
                <w:sz w:val="20"/>
              </w:rPr>
              <w:t>116</w:t>
            </w:r>
          </w:p>
        </w:tc>
      </w:tr>
      <w:tr>
        <w:trPr>
          <w:trHeight w:val="43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Pastoral Reference Committee</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91"/>
              <w:ind w:left="212"/>
              <w:rPr>
                <w:rFonts w:ascii="Verdana"/>
                <w:b/>
                <w:sz w:val="20"/>
              </w:rPr>
            </w:pPr>
            <w:r>
              <w:rPr>
                <w:rFonts w:ascii="Verdana"/>
                <w:b/>
                <w:color w:val="231F20"/>
                <w:sz w:val="20"/>
              </w:rPr>
              <w:t>33</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line="225" w:lineRule="auto" w:before="65"/>
              <w:ind w:left="197" w:right="151"/>
              <w:rPr>
                <w:rFonts w:ascii="Verdana"/>
                <w:sz w:val="14"/>
              </w:rPr>
            </w:pPr>
            <w:r>
              <w:rPr>
                <w:rFonts w:ascii="Verdana"/>
                <w:color w:val="231F20"/>
                <w:w w:val="115"/>
                <w:sz w:val="14"/>
              </w:rPr>
              <w:t>Pastoral Reference</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91"/>
              <w:ind w:right="404"/>
              <w:jc w:val="right"/>
              <w:rPr>
                <w:rFonts w:ascii="Verdana"/>
                <w:sz w:val="20"/>
              </w:rPr>
            </w:pPr>
            <w:r>
              <w:rPr>
                <w:rFonts w:ascii="Verdana"/>
                <w:color w:val="231F20"/>
                <w:sz w:val="20"/>
              </w:rPr>
              <w:t>118</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Representation at General Assembly</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34</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72"/>
              <w:ind w:left="197"/>
              <w:rPr>
                <w:rFonts w:ascii="Verdana"/>
                <w:sz w:val="14"/>
              </w:rPr>
            </w:pPr>
            <w:r>
              <w:rPr>
                <w:rFonts w:ascii="Verdana"/>
                <w:color w:val="231F20"/>
                <w:w w:val="115"/>
                <w:sz w:val="14"/>
              </w:rPr>
              <w:t>RJMM</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124</w:t>
            </w:r>
          </w:p>
        </w:tc>
      </w:tr>
      <w:tr>
        <w:trPr>
          <w:trHeight w:val="309"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Anniversary of the abolition of the British Slave</w:t>
            </w:r>
            <w:r>
              <w:rPr>
                <w:rFonts w:ascii="Verdana"/>
                <w:color w:val="231F20"/>
                <w:spacing w:val="63"/>
                <w:w w:val="110"/>
                <w:sz w:val="18"/>
              </w:rPr>
              <w:t> </w:t>
            </w:r>
            <w:r>
              <w:rPr>
                <w:rFonts w:ascii="Verdana"/>
                <w:color w:val="231F20"/>
                <w:w w:val="110"/>
                <w:sz w:val="18"/>
              </w:rPr>
              <w:t>Trade</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30"/>
              <w:ind w:left="212"/>
              <w:rPr>
                <w:rFonts w:ascii="Verdana"/>
                <w:b/>
                <w:sz w:val="20"/>
              </w:rPr>
            </w:pPr>
            <w:r>
              <w:rPr>
                <w:rFonts w:ascii="Verdana"/>
                <w:b/>
                <w:color w:val="231F20"/>
                <w:sz w:val="20"/>
              </w:rPr>
              <w:t>35</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75"/>
              <w:ind w:left="197"/>
              <w:rPr>
                <w:rFonts w:ascii="Verdana"/>
                <w:sz w:val="14"/>
              </w:rPr>
            </w:pPr>
            <w:r>
              <w:rPr>
                <w:rFonts w:ascii="Verdana"/>
                <w:color w:val="231F20"/>
                <w:w w:val="115"/>
                <w:sz w:val="14"/>
              </w:rPr>
              <w:t>RJMM</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30"/>
              <w:ind w:right="404"/>
              <w:jc w:val="right"/>
              <w:rPr>
                <w:rFonts w:ascii="Verdana"/>
                <w:sz w:val="20"/>
              </w:rPr>
            </w:pPr>
            <w:r>
              <w:rPr>
                <w:rFonts w:ascii="Verdana"/>
                <w:color w:val="231F20"/>
                <w:sz w:val="20"/>
              </w:rPr>
              <w:t>125</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Ecumenical Engagement</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36</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Ecumenical</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133</w:t>
            </w:r>
          </w:p>
        </w:tc>
      </w:tr>
      <w:tr>
        <w:trPr>
          <w:trHeight w:val="302" w:hRule="atLeast"/>
        </w:trPr>
        <w:tc>
          <w:tcPr>
            <w:tcW w:w="58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Covenant Membership and Mission</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27"/>
              <w:ind w:left="212"/>
              <w:rPr>
                <w:rFonts w:ascii="Verdana"/>
                <w:b/>
                <w:sz w:val="20"/>
              </w:rPr>
            </w:pPr>
            <w:r>
              <w:rPr>
                <w:rFonts w:ascii="Verdana"/>
                <w:b/>
                <w:color w:val="231F20"/>
                <w:sz w:val="20"/>
              </w:rPr>
              <w:t>37</w:t>
            </w:r>
          </w:p>
        </w:tc>
        <w:tc>
          <w:tcPr>
            <w:tcW w:w="1794" w:type="dxa"/>
            <w:tcBorders>
              <w:top w:val="single" w:sz="4" w:space="0" w:color="231F20"/>
              <w:left w:val="single" w:sz="4" w:space="0" w:color="231F20"/>
              <w:bottom w:val="single" w:sz="4" w:space="0" w:color="231F20"/>
              <w:right w:val="single" w:sz="4" w:space="0" w:color="231F20"/>
            </w:tcBorders>
          </w:tcPr>
          <w:p>
            <w:pPr>
              <w:pStyle w:val="TableParagraph"/>
              <w:spacing w:before="51"/>
              <w:ind w:left="197"/>
              <w:rPr>
                <w:rFonts w:ascii="Verdana"/>
                <w:sz w:val="16"/>
              </w:rPr>
            </w:pPr>
            <w:r>
              <w:rPr>
                <w:rFonts w:ascii="Verdana"/>
                <w:color w:val="231F20"/>
                <w:sz w:val="16"/>
              </w:rPr>
              <w:t>Life and Witness</w:t>
            </w:r>
          </w:p>
        </w:tc>
        <w:tc>
          <w:tcPr>
            <w:tcW w:w="1342" w:type="dxa"/>
            <w:tcBorders>
              <w:top w:val="single" w:sz="4" w:space="0" w:color="231F20"/>
              <w:left w:val="single" w:sz="4" w:space="0" w:color="231F20"/>
              <w:bottom w:val="single" w:sz="4" w:space="0" w:color="231F20"/>
              <w:right w:val="single" w:sz="4" w:space="0" w:color="231F20"/>
            </w:tcBorders>
          </w:tcPr>
          <w:p>
            <w:pPr>
              <w:pStyle w:val="TableParagraph"/>
              <w:spacing w:before="27"/>
              <w:ind w:right="404"/>
              <w:jc w:val="right"/>
              <w:rPr>
                <w:rFonts w:ascii="Verdana"/>
                <w:sz w:val="20"/>
              </w:rPr>
            </w:pPr>
            <w:r>
              <w:rPr>
                <w:rFonts w:ascii="Verdana"/>
                <w:color w:val="231F20"/>
                <w:sz w:val="20"/>
              </w:rPr>
              <w:t>156</w:t>
            </w:r>
          </w:p>
        </w:tc>
      </w:tr>
    </w:tbl>
    <w:p>
      <w:pPr>
        <w:spacing w:before="274"/>
        <w:ind w:left="0" w:right="585" w:firstLine="0"/>
        <w:jc w:val="right"/>
        <w:rPr>
          <w:b/>
          <w:i/>
          <w:sz w:val="14"/>
        </w:rPr>
      </w:pPr>
      <w:r>
        <w:rPr>
          <w:b/>
          <w:i/>
          <w:color w:val="231F20"/>
          <w:w w:val="115"/>
          <w:sz w:val="14"/>
        </w:rPr>
        <w:t>continue overleaf...</w:t>
      </w:r>
    </w:p>
    <w:p>
      <w:pPr>
        <w:spacing w:after="0"/>
        <w:jc w:val="right"/>
        <w:rPr>
          <w:sz w:val="14"/>
        </w:rPr>
        <w:sectPr>
          <w:pgSz w:w="11910" w:h="16840"/>
          <w:pgMar w:top="420" w:bottom="280" w:left="460" w:right="0"/>
        </w:sectPr>
      </w:pPr>
    </w:p>
    <w:p>
      <w:pPr>
        <w:spacing w:before="80"/>
        <w:ind w:left="231" w:right="0" w:firstLine="0"/>
        <w:jc w:val="left"/>
        <w:rPr>
          <w:b/>
          <w:i/>
          <w:sz w:val="16"/>
        </w:rPr>
      </w:pPr>
      <w:r>
        <w:rPr>
          <w:b/>
          <w:color w:val="231F20"/>
          <w:w w:val="110"/>
          <w:sz w:val="36"/>
        </w:rPr>
        <w:t>List of Resolutions </w:t>
      </w:r>
      <w:r>
        <w:rPr>
          <w:b/>
          <w:i/>
          <w:color w:val="231F20"/>
          <w:w w:val="110"/>
          <w:sz w:val="16"/>
        </w:rPr>
        <w:t>...continued</w:t>
      </w:r>
    </w:p>
    <w:p>
      <w:pPr>
        <w:pStyle w:val="BodyText"/>
        <w:rPr>
          <w:b/>
          <w:i/>
          <w:sz w:val="20"/>
        </w:rPr>
      </w:pPr>
    </w:p>
    <w:p>
      <w:pPr>
        <w:pStyle w:val="BodyText"/>
        <w:spacing w:before="11"/>
        <w:rPr>
          <w:b/>
          <w:i/>
          <w:sz w:val="13"/>
        </w:rPr>
      </w:pPr>
    </w:p>
    <w:tbl>
      <w:tblPr>
        <w:tblW w:w="0" w:type="auto"/>
        <w:jc w:val="left"/>
        <w:tblInd w:w="2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5798"/>
        <w:gridCol w:w="743"/>
        <w:gridCol w:w="1774"/>
        <w:gridCol w:w="1298"/>
      </w:tblGrid>
      <w:tr>
        <w:trPr>
          <w:trHeight w:val="292" w:hRule="atLeast"/>
        </w:trPr>
        <w:tc>
          <w:tcPr>
            <w:tcW w:w="5798" w:type="dxa"/>
          </w:tcPr>
          <w:p>
            <w:pPr>
              <w:pStyle w:val="TableParagraph"/>
              <w:spacing w:before="22"/>
              <w:ind w:left="2611" w:right="2478"/>
              <w:jc w:val="center"/>
              <w:rPr>
                <w:rFonts w:ascii="Verdana"/>
                <w:b/>
                <w:sz w:val="20"/>
              </w:rPr>
            </w:pPr>
            <w:r>
              <w:rPr>
                <w:rFonts w:ascii="Verdana"/>
                <w:b/>
                <w:color w:val="231F20"/>
                <w:sz w:val="20"/>
              </w:rPr>
              <w:t>Name</w:t>
            </w:r>
          </w:p>
        </w:tc>
        <w:tc>
          <w:tcPr>
            <w:tcW w:w="743" w:type="dxa"/>
          </w:tcPr>
          <w:p>
            <w:pPr>
              <w:pStyle w:val="TableParagraph"/>
              <w:spacing w:before="22"/>
              <w:ind w:left="249"/>
              <w:rPr>
                <w:rFonts w:ascii="Verdana"/>
                <w:b/>
                <w:sz w:val="20"/>
              </w:rPr>
            </w:pPr>
            <w:r>
              <w:rPr>
                <w:rFonts w:ascii="Verdana"/>
                <w:b/>
                <w:color w:val="231F20"/>
                <w:sz w:val="20"/>
              </w:rPr>
              <w:t>No.</w:t>
            </w:r>
          </w:p>
        </w:tc>
        <w:tc>
          <w:tcPr>
            <w:tcW w:w="1774" w:type="dxa"/>
          </w:tcPr>
          <w:p>
            <w:pPr>
              <w:pStyle w:val="TableParagraph"/>
              <w:spacing w:before="22"/>
              <w:ind w:left="275"/>
              <w:rPr>
                <w:rFonts w:ascii="Verdana"/>
                <w:b/>
                <w:sz w:val="20"/>
              </w:rPr>
            </w:pPr>
            <w:r>
              <w:rPr>
                <w:rFonts w:ascii="Verdana"/>
                <w:b/>
                <w:color w:val="231F20"/>
                <w:sz w:val="20"/>
              </w:rPr>
              <w:t>Committee</w:t>
            </w:r>
          </w:p>
        </w:tc>
        <w:tc>
          <w:tcPr>
            <w:tcW w:w="1298" w:type="dxa"/>
          </w:tcPr>
          <w:p>
            <w:pPr>
              <w:pStyle w:val="TableParagraph"/>
              <w:spacing w:before="22"/>
              <w:ind w:left="382" w:right="309"/>
              <w:jc w:val="center"/>
              <w:rPr>
                <w:rFonts w:ascii="Verdana"/>
                <w:b/>
                <w:sz w:val="20"/>
              </w:rPr>
            </w:pPr>
            <w:r>
              <w:rPr>
                <w:rFonts w:ascii="Verdana"/>
                <w:b/>
                <w:color w:val="231F20"/>
                <w:sz w:val="20"/>
              </w:rPr>
              <w:t>page</w:t>
            </w:r>
          </w:p>
        </w:tc>
      </w:tr>
      <w:tr>
        <w:trPr>
          <w:trHeight w:val="146" w:hRule="atLeast"/>
        </w:trPr>
        <w:tc>
          <w:tcPr>
            <w:tcW w:w="9613" w:type="dxa"/>
            <w:gridSpan w:val="4"/>
            <w:tcBorders>
              <w:left w:val="single" w:sz="4" w:space="0" w:color="231F20"/>
              <w:bottom w:val="single" w:sz="4" w:space="0" w:color="231F20"/>
              <w:right w:val="single" w:sz="4" w:space="0" w:color="231F20"/>
            </w:tcBorders>
          </w:tcPr>
          <w:p>
            <w:pPr>
              <w:pStyle w:val="TableParagraph"/>
              <w:rPr>
                <w:sz w:val="8"/>
              </w:rPr>
            </w:pP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line="240" w:lineRule="atLeast" w:before="25"/>
              <w:ind w:left="198"/>
              <w:rPr>
                <w:rFonts w:ascii="Verdana"/>
                <w:sz w:val="18"/>
              </w:rPr>
            </w:pPr>
            <w:r>
              <w:rPr>
                <w:rFonts w:ascii="Verdana"/>
                <w:color w:val="231F20"/>
                <w:w w:val="110"/>
                <w:sz w:val="18"/>
              </w:rPr>
              <w:t>Upper Age limit for transfer from non-stipendiary to stipendiary service</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38</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line="177" w:lineRule="exact" w:before="36"/>
              <w:ind w:left="197"/>
              <w:rPr>
                <w:rFonts w:ascii="Verdana"/>
                <w:sz w:val="16"/>
              </w:rPr>
            </w:pPr>
            <w:r>
              <w:rPr>
                <w:rFonts w:ascii="Verdana"/>
                <w:color w:val="231F20"/>
                <w:sz w:val="16"/>
              </w:rPr>
              <w:t>Ministries</w:t>
            </w:r>
          </w:p>
          <w:p>
            <w:pPr>
              <w:pStyle w:val="TableParagraph"/>
              <w:spacing w:line="177" w:lineRule="exact"/>
              <w:ind w:left="197"/>
              <w:rPr>
                <w:rFonts w:ascii="Verdana"/>
                <w:sz w:val="16"/>
              </w:rPr>
            </w:pPr>
            <w:r>
              <w:rPr>
                <w:rFonts w:ascii="Verdana"/>
                <w:color w:val="231F20"/>
                <w:sz w:val="16"/>
              </w:rPr>
              <w:t>Sub-Committee</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before="27"/>
              <w:ind w:left="95" w:right="3"/>
              <w:jc w:val="center"/>
              <w:rPr>
                <w:rFonts w:ascii="Verdana"/>
                <w:sz w:val="20"/>
              </w:rPr>
            </w:pPr>
            <w:r>
              <w:rPr>
                <w:rFonts w:ascii="Verdana"/>
                <w:color w:val="231F20"/>
                <w:sz w:val="20"/>
              </w:rPr>
              <w:t>161</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167"/>
              <w:ind w:left="198"/>
              <w:rPr>
                <w:rFonts w:ascii="Verdana"/>
                <w:sz w:val="18"/>
              </w:rPr>
            </w:pPr>
            <w:r>
              <w:rPr>
                <w:rFonts w:ascii="Verdana"/>
                <w:color w:val="231F20"/>
                <w:w w:val="110"/>
                <w:sz w:val="18"/>
              </w:rPr>
              <w:t>Amendments to the Plan for Partnership</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39</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line="177" w:lineRule="exact" w:before="36"/>
              <w:ind w:left="197"/>
              <w:rPr>
                <w:rFonts w:ascii="Verdana"/>
                <w:sz w:val="16"/>
              </w:rPr>
            </w:pPr>
            <w:r>
              <w:rPr>
                <w:rFonts w:ascii="Verdana"/>
                <w:color w:val="231F20"/>
                <w:sz w:val="16"/>
              </w:rPr>
              <w:t>Ministries</w:t>
            </w:r>
          </w:p>
          <w:p>
            <w:pPr>
              <w:pStyle w:val="TableParagraph"/>
              <w:spacing w:line="177" w:lineRule="exact"/>
              <w:ind w:left="197"/>
              <w:rPr>
                <w:rFonts w:ascii="Verdana"/>
                <w:sz w:val="16"/>
              </w:rPr>
            </w:pPr>
            <w:r>
              <w:rPr>
                <w:rFonts w:ascii="Verdana"/>
                <w:color w:val="231F20"/>
                <w:sz w:val="16"/>
              </w:rPr>
              <w:t>Sub-Committee</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before="27"/>
              <w:ind w:left="95" w:right="3"/>
              <w:jc w:val="center"/>
              <w:rPr>
                <w:rFonts w:ascii="Verdana"/>
                <w:sz w:val="20"/>
              </w:rPr>
            </w:pPr>
            <w:r>
              <w:rPr>
                <w:rFonts w:ascii="Verdana"/>
                <w:color w:val="231F20"/>
                <w:sz w:val="20"/>
              </w:rPr>
              <w:t>161</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167"/>
              <w:ind w:left="198"/>
              <w:rPr>
                <w:rFonts w:ascii="Verdana"/>
                <w:sz w:val="18"/>
              </w:rPr>
            </w:pPr>
            <w:r>
              <w:rPr>
                <w:rFonts w:ascii="Verdana"/>
                <w:color w:val="231F20"/>
                <w:w w:val="110"/>
                <w:sz w:val="18"/>
              </w:rPr>
              <w:t>The Assessment procedure from July 2007</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40</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line="177" w:lineRule="exact" w:before="36"/>
              <w:ind w:left="197"/>
              <w:rPr>
                <w:rFonts w:ascii="Verdana"/>
                <w:sz w:val="16"/>
              </w:rPr>
            </w:pPr>
            <w:r>
              <w:rPr>
                <w:rFonts w:ascii="Verdana"/>
                <w:color w:val="231F20"/>
                <w:sz w:val="16"/>
              </w:rPr>
              <w:t>Ministries</w:t>
            </w:r>
          </w:p>
          <w:p>
            <w:pPr>
              <w:pStyle w:val="TableParagraph"/>
              <w:spacing w:line="177" w:lineRule="exact"/>
              <w:ind w:left="197"/>
              <w:rPr>
                <w:rFonts w:ascii="Verdana"/>
                <w:sz w:val="16"/>
              </w:rPr>
            </w:pPr>
            <w:r>
              <w:rPr>
                <w:rFonts w:ascii="Verdana"/>
                <w:color w:val="231F20"/>
                <w:sz w:val="16"/>
              </w:rPr>
              <w:t>Sub-Committee</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before="27"/>
              <w:ind w:left="95" w:right="3"/>
              <w:jc w:val="center"/>
              <w:rPr>
                <w:rFonts w:ascii="Verdana"/>
                <w:sz w:val="20"/>
              </w:rPr>
            </w:pPr>
            <w:r>
              <w:rPr>
                <w:rFonts w:ascii="Verdana"/>
                <w:color w:val="231F20"/>
                <w:sz w:val="20"/>
              </w:rPr>
              <w:t>163</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2" w:lineRule="exact" w:before="27"/>
              <w:ind w:left="198"/>
              <w:rPr>
                <w:rFonts w:ascii="Verdana"/>
                <w:sz w:val="20"/>
              </w:rPr>
            </w:pPr>
            <w:r>
              <w:rPr>
                <w:rFonts w:ascii="Verdana"/>
                <w:color w:val="231F20"/>
                <w:sz w:val="20"/>
              </w:rPr>
              <w:t>Heritage Lottery Funding</w:t>
            </w:r>
          </w:p>
          <w:p>
            <w:pPr>
              <w:pStyle w:val="TableParagraph"/>
              <w:spacing w:line="242" w:lineRule="exact"/>
              <w:ind w:left="198"/>
              <w:rPr>
                <w:rFonts w:ascii="Verdana" w:hAnsi="Verdana"/>
                <w:i/>
                <w:sz w:val="20"/>
              </w:rPr>
            </w:pPr>
            <w:r>
              <w:rPr>
                <w:rFonts w:ascii="Verdana" w:hAnsi="Verdana"/>
                <w:color w:val="231F20"/>
                <w:sz w:val="20"/>
              </w:rPr>
              <w:t>– </w:t>
            </w:r>
            <w:r>
              <w:rPr>
                <w:rFonts w:ascii="Verdana" w:hAnsi="Verdana"/>
                <w:i/>
                <w:color w:val="231F20"/>
                <w:sz w:val="20"/>
              </w:rPr>
              <w:t>Document 1</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41</w:t>
            </w:r>
          </w:p>
        </w:tc>
        <w:tc>
          <w:tcPr>
            <w:tcW w:w="177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2" w:lineRule="exact" w:before="27"/>
              <w:ind w:right="177"/>
              <w:jc w:val="right"/>
              <w:rPr>
                <w:rFonts w:ascii="Verdana"/>
                <w:sz w:val="20"/>
              </w:rPr>
            </w:pPr>
            <w:r>
              <w:rPr>
                <w:rFonts w:ascii="Verdana"/>
                <w:color w:val="231F20"/>
                <w:sz w:val="20"/>
              </w:rPr>
              <w:t>(Doc. 1)</w:t>
            </w:r>
          </w:p>
          <w:p>
            <w:pPr>
              <w:pStyle w:val="TableParagraph"/>
              <w:spacing w:line="242" w:lineRule="exact"/>
              <w:ind w:right="178"/>
              <w:jc w:val="right"/>
              <w:rPr>
                <w:rFonts w:ascii="Verdana"/>
                <w:sz w:val="20"/>
              </w:rPr>
            </w:pPr>
            <w:r>
              <w:rPr>
                <w:rFonts w:ascii="Verdana"/>
                <w:color w:val="231F20"/>
                <w:sz w:val="20"/>
              </w:rPr>
              <w:t>8</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42</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43</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44</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45</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46</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47</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47"/>
              <w:ind w:left="198"/>
              <w:rPr>
                <w:rFonts w:ascii="Verdana"/>
                <w:sz w:val="18"/>
              </w:rPr>
            </w:pPr>
            <w:r>
              <w:rPr>
                <w:rFonts w:ascii="Verdana"/>
                <w:color w:val="231F20"/>
                <w:w w:val="110"/>
                <w:sz w:val="18"/>
              </w:rPr>
              <w:t>Moratorium on policy decisions on homosexuality</w:t>
            </w:r>
          </w:p>
          <w:p>
            <w:pPr>
              <w:pStyle w:val="TableParagraph"/>
              <w:spacing w:before="1"/>
              <w:ind w:left="198"/>
              <w:rPr>
                <w:rFonts w:ascii="Verdana" w:hAnsi="Verdana"/>
                <w:i/>
                <w:sz w:val="20"/>
              </w:rPr>
            </w:pPr>
            <w:r>
              <w:rPr>
                <w:rFonts w:ascii="Verdana" w:hAnsi="Verdana"/>
                <w:color w:val="231F20"/>
                <w:sz w:val="20"/>
              </w:rPr>
              <w:t>– </w:t>
            </w:r>
            <w:r>
              <w:rPr>
                <w:rFonts w:ascii="Verdana" w:hAnsi="Verdana"/>
                <w:i/>
                <w:color w:val="231F20"/>
                <w:sz w:val="20"/>
              </w:rPr>
              <w:t>Document 2</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48</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42" w:lineRule="exact" w:before="27"/>
              <w:ind w:right="177"/>
              <w:jc w:val="right"/>
              <w:rPr>
                <w:rFonts w:ascii="Verdana"/>
                <w:sz w:val="20"/>
              </w:rPr>
            </w:pPr>
            <w:r>
              <w:rPr>
                <w:rFonts w:ascii="Verdana"/>
                <w:color w:val="231F20"/>
                <w:sz w:val="20"/>
              </w:rPr>
              <w:t>(Doc.</w:t>
            </w:r>
            <w:r>
              <w:rPr>
                <w:rFonts w:ascii="Verdana"/>
                <w:color w:val="231F20"/>
                <w:spacing w:val="-1"/>
                <w:sz w:val="20"/>
              </w:rPr>
              <w:t> </w:t>
            </w:r>
            <w:r>
              <w:rPr>
                <w:rFonts w:ascii="Verdana"/>
                <w:color w:val="231F20"/>
                <w:sz w:val="20"/>
              </w:rPr>
              <w:t>2)</w:t>
            </w:r>
          </w:p>
          <w:p>
            <w:pPr>
              <w:pStyle w:val="TableParagraph"/>
              <w:spacing w:line="242" w:lineRule="exact"/>
              <w:ind w:right="178"/>
              <w:jc w:val="right"/>
              <w:rPr>
                <w:rFonts w:ascii="Verdana"/>
                <w:sz w:val="20"/>
              </w:rPr>
            </w:pPr>
            <w:r>
              <w:rPr>
                <w:rFonts w:ascii="Verdana"/>
                <w:color w:val="231F20"/>
                <w:sz w:val="20"/>
              </w:rPr>
              <w:t>12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2" w:lineRule="exact" w:before="27"/>
              <w:ind w:left="198"/>
              <w:rPr>
                <w:rFonts w:ascii="Verdana"/>
                <w:sz w:val="20"/>
              </w:rPr>
            </w:pPr>
            <w:r>
              <w:rPr>
                <w:rFonts w:ascii="Verdana"/>
                <w:color w:val="231F20"/>
                <w:sz w:val="20"/>
              </w:rPr>
              <w:t>Climate Change</w:t>
            </w:r>
          </w:p>
          <w:p>
            <w:pPr>
              <w:pStyle w:val="TableParagraph"/>
              <w:spacing w:line="242" w:lineRule="exact"/>
              <w:ind w:left="198"/>
              <w:rPr>
                <w:rFonts w:ascii="Verdana" w:hAnsi="Verdana"/>
                <w:i/>
                <w:sz w:val="20"/>
              </w:rPr>
            </w:pPr>
            <w:r>
              <w:rPr>
                <w:rFonts w:ascii="Verdana" w:hAnsi="Verdana"/>
                <w:color w:val="231F20"/>
                <w:sz w:val="20"/>
              </w:rPr>
              <w:t>– </w:t>
            </w:r>
            <w:r>
              <w:rPr>
                <w:rFonts w:ascii="Verdana" w:hAnsi="Verdana"/>
                <w:i/>
                <w:color w:val="231F20"/>
                <w:sz w:val="20"/>
              </w:rPr>
              <w:t>Document 3</w:t>
            </w:r>
          </w:p>
        </w:tc>
        <w:tc>
          <w:tcPr>
            <w:tcW w:w="743"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147"/>
              <w:ind w:left="212"/>
              <w:rPr>
                <w:rFonts w:ascii="Verdana"/>
                <w:b/>
                <w:sz w:val="20"/>
              </w:rPr>
            </w:pPr>
            <w:r>
              <w:rPr>
                <w:rFonts w:ascii="Verdana"/>
                <w:b/>
                <w:color w:val="231F20"/>
                <w:sz w:val="20"/>
              </w:rPr>
              <w:t>49</w:t>
            </w:r>
          </w:p>
        </w:tc>
        <w:tc>
          <w:tcPr>
            <w:tcW w:w="1774"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before="36"/>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shd w:val="clear" w:color="auto" w:fill="DCDDDE"/>
          </w:tcPr>
          <w:p>
            <w:pPr>
              <w:pStyle w:val="TableParagraph"/>
              <w:spacing w:line="242" w:lineRule="exact" w:before="27"/>
              <w:ind w:right="177"/>
              <w:jc w:val="right"/>
              <w:rPr>
                <w:rFonts w:ascii="Verdana"/>
                <w:sz w:val="20"/>
              </w:rPr>
            </w:pPr>
            <w:r>
              <w:rPr>
                <w:rFonts w:ascii="Verdana"/>
                <w:color w:val="231F20"/>
                <w:sz w:val="20"/>
              </w:rPr>
              <w:t>(Doc. 3)</w:t>
            </w:r>
          </w:p>
          <w:p>
            <w:pPr>
              <w:pStyle w:val="TableParagraph"/>
              <w:spacing w:line="242" w:lineRule="exact"/>
              <w:ind w:right="178"/>
              <w:jc w:val="right"/>
              <w:rPr>
                <w:rFonts w:ascii="Verdana"/>
                <w:sz w:val="20"/>
              </w:rPr>
            </w:pPr>
            <w:r>
              <w:rPr>
                <w:rFonts w:ascii="Verdana"/>
                <w:color w:val="231F20"/>
                <w:sz w:val="20"/>
              </w:rPr>
              <w:t>2</w:t>
            </w:r>
          </w:p>
        </w:tc>
      </w:tr>
      <w:tr>
        <w:trPr>
          <w:trHeight w:val="542"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167"/>
              <w:ind w:left="198"/>
              <w:rPr>
                <w:rFonts w:ascii="Verdana"/>
                <w:sz w:val="18"/>
              </w:rPr>
            </w:pPr>
            <w:r>
              <w:rPr>
                <w:rFonts w:ascii="Verdana"/>
                <w:color w:val="231F20"/>
                <w:w w:val="110"/>
                <w:sz w:val="18"/>
              </w:rPr>
              <w:t>Consensus Decision Making</w:t>
            </w:r>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147"/>
              <w:ind w:left="212"/>
              <w:rPr>
                <w:rFonts w:ascii="Verdana"/>
                <w:b/>
                <w:sz w:val="20"/>
              </w:rPr>
            </w:pPr>
            <w:r>
              <w:rPr>
                <w:rFonts w:ascii="Verdana"/>
                <w:b/>
                <w:color w:val="231F20"/>
                <w:sz w:val="20"/>
              </w:rPr>
              <w:t>50</w:t>
            </w:r>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1"/>
              <w:rPr>
                <w:rFonts w:ascii="Verdana"/>
                <w:b/>
                <w:i/>
                <w:sz w:val="14"/>
              </w:rPr>
            </w:pPr>
          </w:p>
          <w:p>
            <w:pPr>
              <w:pStyle w:val="TableParagraph"/>
              <w:ind w:left="197"/>
              <w:rPr>
                <w:rFonts w:ascii="Verdana"/>
                <w:sz w:val="16"/>
              </w:rPr>
            </w:pPr>
            <w:r>
              <w:rPr>
                <w:rFonts w:ascii="Verdana"/>
                <w:color w:val="231F20"/>
                <w:sz w:val="16"/>
              </w:rPr>
              <w:t>Mission Council</w:t>
            </w:r>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line="237" w:lineRule="auto" w:before="29"/>
              <w:ind w:left="365" w:right="329" w:firstLine="27"/>
              <w:rPr>
                <w:rFonts w:ascii="Verdana"/>
                <w:sz w:val="20"/>
              </w:rPr>
            </w:pPr>
            <w:r>
              <w:rPr>
                <w:rFonts w:ascii="Verdana"/>
                <w:color w:val="231F20"/>
                <w:sz w:val="20"/>
              </w:rPr>
              <w:t>extra paper</w:t>
            </w:r>
          </w:p>
        </w:tc>
      </w:tr>
      <w:tr>
        <w:trPr>
          <w:trHeight w:val="389" w:hRule="atLeast"/>
        </w:trPr>
        <w:tc>
          <w:tcPr>
            <w:tcW w:w="5798" w:type="dxa"/>
            <w:tcBorders>
              <w:top w:val="single" w:sz="4" w:space="0" w:color="231F20"/>
              <w:left w:val="single" w:sz="4" w:space="0" w:color="231F20"/>
              <w:bottom w:val="single" w:sz="4" w:space="0" w:color="231F20"/>
              <w:right w:val="single" w:sz="4" w:space="0" w:color="231F20"/>
            </w:tcBorders>
          </w:tcPr>
          <w:p>
            <w:pPr>
              <w:pStyle w:val="TableParagraph"/>
              <w:spacing w:before="90"/>
              <w:ind w:left="198"/>
              <w:rPr>
                <w:rFonts w:ascii="Verdana"/>
                <w:sz w:val="18"/>
              </w:rPr>
            </w:pPr>
            <w:hyperlink w:history="true" w:anchor="_bookmark0">
              <w:r>
                <w:rPr>
                  <w:rFonts w:ascii="Verdana"/>
                  <w:color w:val="231F20"/>
                  <w:w w:val="110"/>
                  <w:sz w:val="18"/>
                </w:rPr>
                <w:t>Assisted Dying</w:t>
              </w:r>
            </w:hyperlink>
          </w:p>
        </w:tc>
        <w:tc>
          <w:tcPr>
            <w:tcW w:w="743" w:type="dxa"/>
            <w:tcBorders>
              <w:top w:val="single" w:sz="4" w:space="0" w:color="231F20"/>
              <w:left w:val="single" w:sz="4" w:space="0" w:color="231F20"/>
              <w:bottom w:val="single" w:sz="4" w:space="0" w:color="231F20"/>
              <w:right w:val="single" w:sz="4" w:space="0" w:color="231F20"/>
            </w:tcBorders>
          </w:tcPr>
          <w:p>
            <w:pPr>
              <w:pStyle w:val="TableParagraph"/>
              <w:spacing w:before="70"/>
              <w:ind w:left="212"/>
              <w:rPr>
                <w:rFonts w:ascii="Verdana"/>
                <w:b/>
                <w:sz w:val="20"/>
              </w:rPr>
            </w:pPr>
            <w:hyperlink w:history="true" w:anchor="_bookmark0">
              <w:r>
                <w:rPr>
                  <w:rFonts w:ascii="Verdana"/>
                  <w:b/>
                  <w:color w:val="231F20"/>
                  <w:sz w:val="20"/>
                </w:rPr>
                <w:t>51</w:t>
              </w:r>
            </w:hyperlink>
          </w:p>
        </w:tc>
        <w:tc>
          <w:tcPr>
            <w:tcW w:w="1774" w:type="dxa"/>
            <w:tcBorders>
              <w:top w:val="single" w:sz="4" w:space="0" w:color="231F20"/>
              <w:left w:val="single" w:sz="4" w:space="0" w:color="231F20"/>
              <w:bottom w:val="single" w:sz="4" w:space="0" w:color="231F20"/>
              <w:right w:val="single" w:sz="4" w:space="0" w:color="231F20"/>
            </w:tcBorders>
          </w:tcPr>
          <w:p>
            <w:pPr>
              <w:pStyle w:val="TableParagraph"/>
              <w:spacing w:before="95"/>
              <w:ind w:left="197"/>
              <w:rPr>
                <w:rFonts w:ascii="Verdana"/>
                <w:sz w:val="16"/>
              </w:rPr>
            </w:pPr>
            <w:hyperlink w:history="true" w:anchor="_bookmark0">
              <w:r>
                <w:rPr>
                  <w:rFonts w:ascii="Verdana"/>
                  <w:color w:val="231F20"/>
                  <w:sz w:val="16"/>
                </w:rPr>
                <w:t>Church &amp; Society</w:t>
              </w:r>
            </w:hyperlink>
          </w:p>
        </w:tc>
        <w:tc>
          <w:tcPr>
            <w:tcW w:w="1298" w:type="dxa"/>
            <w:tcBorders>
              <w:top w:val="single" w:sz="4" w:space="0" w:color="231F20"/>
              <w:left w:val="single" w:sz="4" w:space="0" w:color="231F20"/>
              <w:bottom w:val="single" w:sz="4" w:space="0" w:color="231F20"/>
              <w:right w:val="single" w:sz="4" w:space="0" w:color="231F20"/>
            </w:tcBorders>
          </w:tcPr>
          <w:p>
            <w:pPr>
              <w:pStyle w:val="TableParagraph"/>
              <w:spacing w:before="70"/>
              <w:ind w:left="20" w:right="3"/>
              <w:jc w:val="center"/>
              <w:rPr>
                <w:rFonts w:ascii="Verdana"/>
                <w:sz w:val="20"/>
              </w:rPr>
            </w:pPr>
            <w:hyperlink w:history="true" w:anchor="_bookmark0">
              <w:r>
                <w:rPr>
                  <w:rFonts w:ascii="Verdana"/>
                  <w:color w:val="231F20"/>
                  <w:sz w:val="20"/>
                </w:rPr>
                <w:t>167</w:t>
              </w:r>
            </w:hyperlink>
          </w:p>
        </w:tc>
      </w:tr>
    </w:tbl>
    <w:p>
      <w:pPr>
        <w:spacing w:after="0"/>
        <w:jc w:val="center"/>
        <w:rPr>
          <w:rFonts w:ascii="Verdana"/>
          <w:sz w:val="20"/>
        </w:rPr>
        <w:sectPr>
          <w:pgSz w:w="11910" w:h="16840"/>
          <w:pgMar w:top="640" w:bottom="280" w:left="460" w:right="0"/>
        </w:sectPr>
      </w:pPr>
    </w:p>
    <w:p>
      <w:pPr>
        <w:pStyle w:val="BodyText"/>
        <w:spacing w:line="273" w:lineRule="auto" w:before="88"/>
        <w:ind w:left="1240" w:right="2665"/>
      </w:pPr>
      <w:r>
        <w:rPr/>
        <w:pict>
          <v:shape style="position:absolute;margin-left:506.98999pt;margin-top:36.840916pt;width:68.150pt;height:523.4500pt;mso-position-horizontal-relative:page;mso-position-vertical-relative:page;z-index:251663360" type="#_x0000_t202" filled="false" stroked="false">
            <v:textbox inset="0,0,0,0" style="layout-flow:vertical">
              <w:txbxContent>
                <w:p>
                  <w:pPr>
                    <w:spacing w:line="982" w:lineRule="exact" w:before="20"/>
                    <w:ind w:left="20" w:right="0" w:firstLine="0"/>
                    <w:jc w:val="left"/>
                    <w:rPr>
                      <w:b/>
                      <w:sz w:val="88"/>
                    </w:rPr>
                  </w:pPr>
                  <w:r>
                    <w:rPr>
                      <w:b/>
                      <w:color w:val="231F20"/>
                      <w:sz w:val="88"/>
                    </w:rPr>
                    <w:t>Catch the Vision</w:t>
                  </w:r>
                </w:p>
                <w:p>
                  <w:pPr>
                    <w:spacing w:line="358" w:lineRule="exact" w:before="0"/>
                    <w:ind w:left="6671"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spacing w:val="2"/>
          <w:w w:val="110"/>
        </w:rPr>
        <w:t>‘God’s people, </w:t>
      </w:r>
      <w:r>
        <w:rPr>
          <w:color w:val="231F20"/>
          <w:spacing w:val="3"/>
          <w:w w:val="110"/>
        </w:rPr>
        <w:t>transformed </w:t>
      </w:r>
      <w:r>
        <w:rPr>
          <w:color w:val="231F20"/>
          <w:w w:val="110"/>
        </w:rPr>
        <w:t>by </w:t>
      </w:r>
      <w:r>
        <w:rPr>
          <w:color w:val="231F20"/>
          <w:spacing w:val="2"/>
          <w:w w:val="110"/>
        </w:rPr>
        <w:t>the gospel, making </w:t>
      </w:r>
      <w:r>
        <w:rPr>
          <w:color w:val="231F20"/>
          <w:w w:val="110"/>
        </w:rPr>
        <w:t>a </w:t>
      </w:r>
      <w:r>
        <w:rPr>
          <w:color w:val="231F20"/>
          <w:spacing w:val="3"/>
          <w:w w:val="110"/>
        </w:rPr>
        <w:t>difference’ </w:t>
      </w:r>
      <w:r>
        <w:rPr>
          <w:color w:val="231F20"/>
          <w:w w:val="110"/>
        </w:rPr>
        <w:t>– that is how </w:t>
      </w:r>
      <w:r>
        <w:rPr>
          <w:color w:val="231F20"/>
          <w:spacing w:val="2"/>
          <w:w w:val="110"/>
        </w:rPr>
        <w:t>the </w:t>
      </w:r>
      <w:r>
        <w:rPr>
          <w:color w:val="231F20"/>
          <w:spacing w:val="3"/>
          <w:w w:val="110"/>
        </w:rPr>
        <w:t>church </w:t>
      </w:r>
      <w:r>
        <w:rPr>
          <w:color w:val="231F20"/>
          <w:w w:val="110"/>
        </w:rPr>
        <w:t>has </w:t>
      </w:r>
      <w:r>
        <w:rPr>
          <w:color w:val="231F20"/>
          <w:spacing w:val="3"/>
          <w:w w:val="110"/>
        </w:rPr>
        <w:t>heard </w:t>
      </w:r>
      <w:r>
        <w:rPr>
          <w:color w:val="231F20"/>
          <w:spacing w:val="2"/>
          <w:w w:val="110"/>
        </w:rPr>
        <w:t>the </w:t>
      </w:r>
      <w:r>
        <w:rPr>
          <w:color w:val="231F20"/>
          <w:spacing w:val="3"/>
          <w:w w:val="110"/>
        </w:rPr>
        <w:t>Catch </w:t>
      </w:r>
      <w:r>
        <w:rPr>
          <w:color w:val="231F20"/>
          <w:spacing w:val="2"/>
          <w:w w:val="110"/>
        </w:rPr>
        <w:t>the </w:t>
      </w:r>
      <w:r>
        <w:rPr>
          <w:color w:val="231F20"/>
          <w:spacing w:val="3"/>
          <w:w w:val="110"/>
        </w:rPr>
        <w:t>Vision </w:t>
      </w:r>
      <w:r>
        <w:rPr>
          <w:color w:val="231F20"/>
          <w:spacing w:val="2"/>
          <w:w w:val="110"/>
        </w:rPr>
        <w:t>strapline. </w:t>
      </w:r>
      <w:r>
        <w:rPr>
          <w:color w:val="231F20"/>
          <w:spacing w:val="3"/>
          <w:w w:val="110"/>
        </w:rPr>
        <w:t>Those </w:t>
      </w:r>
      <w:r>
        <w:rPr>
          <w:color w:val="231F20"/>
          <w:w w:val="110"/>
        </w:rPr>
        <w:t>of us who have had </w:t>
      </w:r>
      <w:r>
        <w:rPr>
          <w:color w:val="231F20"/>
          <w:spacing w:val="2"/>
          <w:w w:val="110"/>
        </w:rPr>
        <w:t>the </w:t>
      </w:r>
      <w:r>
        <w:rPr>
          <w:color w:val="231F20"/>
          <w:spacing w:val="3"/>
          <w:w w:val="110"/>
        </w:rPr>
        <w:t>privilege </w:t>
      </w:r>
      <w:r>
        <w:rPr>
          <w:color w:val="231F20"/>
          <w:w w:val="110"/>
        </w:rPr>
        <w:t>of </w:t>
      </w:r>
      <w:r>
        <w:rPr>
          <w:color w:val="231F20"/>
          <w:spacing w:val="3"/>
          <w:w w:val="110"/>
        </w:rPr>
        <w:t>steering </w:t>
      </w:r>
      <w:r>
        <w:rPr>
          <w:color w:val="231F20"/>
          <w:spacing w:val="2"/>
          <w:w w:val="110"/>
        </w:rPr>
        <w:t>the </w:t>
      </w:r>
      <w:r>
        <w:rPr>
          <w:color w:val="231F20"/>
          <w:spacing w:val="4"/>
          <w:w w:val="110"/>
        </w:rPr>
        <w:t>process </w:t>
      </w:r>
      <w:r>
        <w:rPr>
          <w:color w:val="231F20"/>
          <w:w w:val="110"/>
        </w:rPr>
        <w:t>would say that </w:t>
      </w:r>
      <w:r>
        <w:rPr>
          <w:color w:val="231F20"/>
          <w:spacing w:val="3"/>
          <w:w w:val="110"/>
        </w:rPr>
        <w:t>every </w:t>
      </w:r>
      <w:r>
        <w:rPr>
          <w:color w:val="231F20"/>
          <w:spacing w:val="4"/>
          <w:w w:val="110"/>
        </w:rPr>
        <w:t>part   </w:t>
      </w:r>
      <w:r>
        <w:rPr>
          <w:color w:val="231F20"/>
          <w:w w:val="110"/>
        </w:rPr>
        <w:t>of that </w:t>
      </w:r>
      <w:r>
        <w:rPr>
          <w:color w:val="231F20"/>
          <w:spacing w:val="3"/>
          <w:w w:val="110"/>
        </w:rPr>
        <w:t>phrase </w:t>
      </w:r>
      <w:r>
        <w:rPr>
          <w:color w:val="231F20"/>
          <w:w w:val="110"/>
        </w:rPr>
        <w:t>is equally</w:t>
      </w:r>
      <w:r>
        <w:rPr>
          <w:color w:val="231F20"/>
          <w:spacing w:val="28"/>
          <w:w w:val="110"/>
        </w:rPr>
        <w:t> </w:t>
      </w:r>
      <w:r>
        <w:rPr>
          <w:color w:val="231F20"/>
          <w:spacing w:val="2"/>
          <w:w w:val="110"/>
        </w:rPr>
        <w:t>significant.</w:t>
      </w:r>
    </w:p>
    <w:p>
      <w:pPr>
        <w:pStyle w:val="BodyText"/>
        <w:spacing w:before="8"/>
        <w:rPr>
          <w:sz w:val="20"/>
        </w:rPr>
      </w:pPr>
    </w:p>
    <w:p>
      <w:pPr>
        <w:spacing w:before="1"/>
        <w:ind w:left="1240" w:right="0" w:firstLine="0"/>
        <w:jc w:val="left"/>
        <w:rPr>
          <w:b/>
          <w:sz w:val="29"/>
        </w:rPr>
      </w:pPr>
      <w:r>
        <w:rPr>
          <w:b/>
          <w:color w:val="231F20"/>
          <w:w w:val="110"/>
          <w:sz w:val="29"/>
        </w:rPr>
        <w:t>God’s people…</w:t>
      </w:r>
    </w:p>
    <w:p>
      <w:pPr>
        <w:pStyle w:val="BodyText"/>
        <w:spacing w:line="273" w:lineRule="auto" w:before="258"/>
        <w:ind w:left="1240" w:right="2348"/>
      </w:pPr>
      <w:r>
        <w:rPr>
          <w:color w:val="231F20"/>
          <w:w w:val="110"/>
        </w:rPr>
        <w:t>Thanks to the grace of God, and not because we are in any way special, God has called us into a new way of living in Jesus Christ. The One who fashioned the dance of sub-atomic particles out of the love of the Trinity, and flung galaxies across distances we can barely calculate, has called us by name.</w:t>
      </w:r>
    </w:p>
    <w:p>
      <w:pPr>
        <w:pStyle w:val="BodyText"/>
        <w:spacing w:line="273" w:lineRule="auto" w:before="2"/>
        <w:ind w:left="1240" w:right="2219"/>
      </w:pPr>
      <w:r>
        <w:rPr>
          <w:color w:val="231F20"/>
          <w:w w:val="110"/>
        </w:rPr>
        <w:t>And the gentle tenderness of that calling tells us that we are at home, this perplexingly beautiful creation is ours, and that every human being is a brother or sister who </w:t>
      </w:r>
      <w:r>
        <w:rPr>
          <w:color w:val="231F20"/>
          <w:spacing w:val="3"/>
          <w:w w:val="110"/>
        </w:rPr>
        <w:t>reflects </w:t>
      </w:r>
      <w:r>
        <w:rPr>
          <w:color w:val="231F20"/>
          <w:w w:val="110"/>
        </w:rPr>
        <w:t>God’s wonder and glory. The God who is ‘immortal, invisible, in light inaccessible’ also broke bread one night when Judas slipped into the darkness, was </w:t>
      </w:r>
      <w:r>
        <w:rPr>
          <w:color w:val="231F20"/>
          <w:spacing w:val="3"/>
          <w:w w:val="110"/>
        </w:rPr>
        <w:t>left </w:t>
      </w:r>
      <w:r>
        <w:rPr>
          <w:color w:val="231F20"/>
          <w:w w:val="110"/>
        </w:rPr>
        <w:t>desolate and broken on Jerusalem’s rubbish heap  the following </w:t>
      </w:r>
      <w:r>
        <w:rPr>
          <w:color w:val="231F20"/>
          <w:spacing w:val="2"/>
          <w:w w:val="110"/>
        </w:rPr>
        <w:t>afternoon </w:t>
      </w:r>
      <w:r>
        <w:rPr>
          <w:color w:val="231F20"/>
          <w:w w:val="110"/>
        </w:rPr>
        <w:t>when all but the women melted </w:t>
      </w:r>
      <w:r>
        <w:rPr>
          <w:color w:val="231F20"/>
          <w:spacing w:val="-5"/>
          <w:w w:val="110"/>
        </w:rPr>
        <w:t>away, </w:t>
      </w:r>
      <w:r>
        <w:rPr>
          <w:color w:val="231F20"/>
          <w:w w:val="110"/>
        </w:rPr>
        <w:t>and on the Sunday </w:t>
      </w:r>
      <w:r>
        <w:rPr>
          <w:color w:val="231F20"/>
          <w:spacing w:val="2"/>
          <w:w w:val="110"/>
        </w:rPr>
        <w:t>rose </w:t>
      </w:r>
      <w:r>
        <w:rPr>
          <w:color w:val="231F20"/>
          <w:w w:val="110"/>
        </w:rPr>
        <w:t>with a power as great as creation itself. The world could</w:t>
      </w:r>
      <w:r>
        <w:rPr>
          <w:color w:val="231F20"/>
          <w:spacing w:val="5"/>
          <w:w w:val="110"/>
        </w:rPr>
        <w:t> </w:t>
      </w:r>
      <w:r>
        <w:rPr>
          <w:color w:val="231F20"/>
          <w:w w:val="110"/>
        </w:rPr>
        <w:t>never</w:t>
      </w:r>
    </w:p>
    <w:p>
      <w:pPr>
        <w:pStyle w:val="BodyText"/>
        <w:spacing w:before="5"/>
        <w:ind w:left="1240"/>
      </w:pPr>
      <w:r>
        <w:rPr>
          <w:color w:val="231F20"/>
          <w:w w:val="110"/>
        </w:rPr>
        <w:t>be the same, and that is why we are here, for we are part of that.</w:t>
      </w:r>
    </w:p>
    <w:p>
      <w:pPr>
        <w:pStyle w:val="BodyText"/>
        <w:rPr>
          <w:sz w:val="23"/>
        </w:rPr>
      </w:pPr>
    </w:p>
    <w:p>
      <w:pPr>
        <w:pStyle w:val="Heading9"/>
        <w:spacing w:before="1"/>
      </w:pPr>
      <w:r>
        <w:rPr>
          <w:color w:val="231F20"/>
          <w:w w:val="110"/>
        </w:rPr>
        <w:t>Transformed by the gospel</w:t>
      </w:r>
    </w:p>
    <w:p>
      <w:pPr>
        <w:pStyle w:val="BodyText"/>
        <w:spacing w:line="273" w:lineRule="auto" w:before="258"/>
        <w:ind w:left="1240" w:right="2348"/>
      </w:pPr>
      <w:r>
        <w:rPr>
          <w:color w:val="231F20"/>
          <w:w w:val="110"/>
        </w:rPr>
        <w:t>The church tells the story of that transforming gospel, year in year out, through the cycle of Advent, Christmas, Lent and Easter. We sometimes think we convert people – we don’t, we tell the story. Conversion is God’s business. We sometimes think we extend the kingdom – we don’t, only God does.</w:t>
      </w:r>
    </w:p>
    <w:p>
      <w:pPr>
        <w:pStyle w:val="BodyText"/>
        <w:spacing w:line="273" w:lineRule="auto" w:before="2"/>
        <w:ind w:left="1240" w:right="2384"/>
      </w:pPr>
      <w:r>
        <w:rPr>
          <w:color w:val="231F20"/>
          <w:spacing w:val="-3"/>
          <w:w w:val="110"/>
        </w:rPr>
        <w:t>We  </w:t>
      </w:r>
      <w:r>
        <w:rPr>
          <w:color w:val="231F20"/>
          <w:w w:val="110"/>
        </w:rPr>
        <w:t>are there to create God shaped gaps in time and space, opportunities   for God’s </w:t>
      </w:r>
      <w:r>
        <w:rPr>
          <w:color w:val="231F20"/>
          <w:spacing w:val="3"/>
          <w:w w:val="110"/>
        </w:rPr>
        <w:t>story </w:t>
      </w:r>
      <w:r>
        <w:rPr>
          <w:color w:val="231F20"/>
          <w:w w:val="110"/>
        </w:rPr>
        <w:t>to cut </w:t>
      </w:r>
      <w:r>
        <w:rPr>
          <w:color w:val="231F20"/>
          <w:spacing w:val="2"/>
          <w:w w:val="110"/>
        </w:rPr>
        <w:t>across </w:t>
      </w:r>
      <w:r>
        <w:rPr>
          <w:color w:val="231F20"/>
          <w:w w:val="110"/>
        </w:rPr>
        <w:t>the world’s stories. So we continue the work of the prophets and </w:t>
      </w:r>
      <w:r>
        <w:rPr>
          <w:color w:val="231F20"/>
          <w:spacing w:val="2"/>
          <w:w w:val="110"/>
        </w:rPr>
        <w:t>priests </w:t>
      </w:r>
      <w:r>
        <w:rPr>
          <w:color w:val="231F20"/>
          <w:w w:val="110"/>
        </w:rPr>
        <w:t>of old, as </w:t>
      </w:r>
      <w:r>
        <w:rPr>
          <w:color w:val="231F20"/>
          <w:spacing w:val="3"/>
          <w:w w:val="110"/>
        </w:rPr>
        <w:t>story </w:t>
      </w:r>
      <w:r>
        <w:rPr>
          <w:color w:val="231F20"/>
          <w:w w:val="110"/>
        </w:rPr>
        <w:t>tellers and </w:t>
      </w:r>
      <w:r>
        <w:rPr>
          <w:color w:val="231F20"/>
          <w:spacing w:val="2"/>
          <w:w w:val="110"/>
        </w:rPr>
        <w:t>repeaters </w:t>
      </w:r>
      <w:r>
        <w:rPr>
          <w:color w:val="231F20"/>
          <w:w w:val="110"/>
        </w:rPr>
        <w:t>of the history, and the miracle is the faithfulness of our God who comes through the Word and our words, through his broken bread and our broken</w:t>
      </w:r>
      <w:r>
        <w:rPr>
          <w:color w:val="231F20"/>
          <w:spacing w:val="35"/>
          <w:w w:val="110"/>
        </w:rPr>
        <w:t> </w:t>
      </w:r>
      <w:r>
        <w:rPr>
          <w:color w:val="231F20"/>
          <w:w w:val="110"/>
        </w:rPr>
        <w:t>lives.</w:t>
      </w:r>
    </w:p>
    <w:p>
      <w:pPr>
        <w:pStyle w:val="BodyText"/>
        <w:spacing w:before="10"/>
        <w:rPr>
          <w:sz w:val="20"/>
        </w:rPr>
      </w:pPr>
    </w:p>
    <w:p>
      <w:pPr>
        <w:pStyle w:val="ListParagraph"/>
        <w:numPr>
          <w:ilvl w:val="0"/>
          <w:numId w:val="1"/>
        </w:numPr>
        <w:tabs>
          <w:tab w:pos="1960" w:val="left" w:leader="none"/>
          <w:tab w:pos="1961" w:val="left" w:leader="none"/>
        </w:tabs>
        <w:spacing w:line="240" w:lineRule="auto" w:before="0" w:after="0"/>
        <w:ind w:left="1960" w:right="0" w:hanging="721"/>
        <w:jc w:val="left"/>
        <w:rPr>
          <w:sz w:val="18"/>
        </w:rPr>
      </w:pPr>
      <w:r>
        <w:rPr>
          <w:color w:val="231F20"/>
          <w:w w:val="110"/>
          <w:sz w:val="18"/>
        </w:rPr>
        <w:t>A </w:t>
      </w:r>
      <w:r>
        <w:rPr>
          <w:color w:val="231F20"/>
          <w:spacing w:val="2"/>
          <w:w w:val="110"/>
          <w:sz w:val="18"/>
        </w:rPr>
        <w:t>process </w:t>
      </w:r>
      <w:r>
        <w:rPr>
          <w:color w:val="231F20"/>
          <w:w w:val="110"/>
          <w:sz w:val="18"/>
        </w:rPr>
        <w:t>and a</w:t>
      </w:r>
      <w:r>
        <w:rPr>
          <w:color w:val="231F20"/>
          <w:spacing w:val="2"/>
          <w:w w:val="110"/>
          <w:sz w:val="18"/>
        </w:rPr>
        <w:t> </w:t>
      </w:r>
      <w:r>
        <w:rPr>
          <w:color w:val="231F20"/>
          <w:w w:val="110"/>
          <w:sz w:val="18"/>
        </w:rPr>
        <w:t>programme</w:t>
      </w:r>
    </w:p>
    <w:p>
      <w:pPr>
        <w:pStyle w:val="BodyText"/>
        <w:spacing w:before="2"/>
        <w:rPr>
          <w:sz w:val="23"/>
        </w:rPr>
      </w:pPr>
    </w:p>
    <w:p>
      <w:pPr>
        <w:pStyle w:val="BodyText"/>
        <w:spacing w:line="273" w:lineRule="auto"/>
        <w:ind w:left="1240" w:right="2673"/>
      </w:pPr>
      <w:r>
        <w:rPr>
          <w:color w:val="231F20"/>
          <w:w w:val="110"/>
        </w:rPr>
        <w:t>In line with Catch the Vision’s timetable, this year our minds have turned   to spirituality and mission. </w:t>
      </w:r>
      <w:r>
        <w:rPr>
          <w:color w:val="231F20"/>
          <w:spacing w:val="-3"/>
          <w:w w:val="110"/>
        </w:rPr>
        <w:t>We </w:t>
      </w:r>
      <w:r>
        <w:rPr>
          <w:color w:val="231F20"/>
          <w:w w:val="110"/>
        </w:rPr>
        <w:t>hope and pray for the renewal of the church by</w:t>
      </w:r>
      <w:r>
        <w:rPr>
          <w:color w:val="231F20"/>
          <w:spacing w:val="7"/>
          <w:w w:val="110"/>
        </w:rPr>
        <w:t> </w:t>
      </w:r>
      <w:r>
        <w:rPr>
          <w:color w:val="231F20"/>
          <w:w w:val="110"/>
        </w:rPr>
        <w:t>the</w:t>
      </w:r>
      <w:r>
        <w:rPr>
          <w:color w:val="231F20"/>
          <w:spacing w:val="7"/>
          <w:w w:val="110"/>
        </w:rPr>
        <w:t> </w:t>
      </w:r>
      <w:r>
        <w:rPr>
          <w:color w:val="231F20"/>
          <w:w w:val="110"/>
        </w:rPr>
        <w:t>grace</w:t>
      </w:r>
      <w:r>
        <w:rPr>
          <w:color w:val="231F20"/>
          <w:spacing w:val="7"/>
          <w:w w:val="110"/>
        </w:rPr>
        <w:t> </w:t>
      </w:r>
      <w:r>
        <w:rPr>
          <w:color w:val="231F20"/>
          <w:w w:val="110"/>
        </w:rPr>
        <w:t>of</w:t>
      </w:r>
      <w:r>
        <w:rPr>
          <w:color w:val="231F20"/>
          <w:spacing w:val="7"/>
          <w:w w:val="110"/>
        </w:rPr>
        <w:t> </w:t>
      </w:r>
      <w:r>
        <w:rPr>
          <w:color w:val="231F20"/>
          <w:w w:val="110"/>
        </w:rPr>
        <w:t>God.</w:t>
      </w:r>
      <w:r>
        <w:rPr>
          <w:color w:val="231F20"/>
          <w:spacing w:val="7"/>
          <w:w w:val="110"/>
        </w:rPr>
        <w:t> </w:t>
      </w:r>
      <w:r>
        <w:rPr>
          <w:color w:val="231F20"/>
          <w:w w:val="110"/>
        </w:rPr>
        <w:t>The</w:t>
      </w:r>
      <w:r>
        <w:rPr>
          <w:color w:val="231F20"/>
          <w:spacing w:val="8"/>
          <w:w w:val="110"/>
        </w:rPr>
        <w:t> </w:t>
      </w:r>
      <w:r>
        <w:rPr>
          <w:color w:val="231F20"/>
          <w:w w:val="110"/>
        </w:rPr>
        <w:t>church</w:t>
      </w:r>
      <w:r>
        <w:rPr>
          <w:color w:val="231F20"/>
          <w:spacing w:val="7"/>
          <w:w w:val="110"/>
        </w:rPr>
        <w:t> </w:t>
      </w:r>
      <w:r>
        <w:rPr>
          <w:color w:val="231F20"/>
          <w:spacing w:val="2"/>
          <w:w w:val="110"/>
        </w:rPr>
        <w:t>often</w:t>
      </w:r>
      <w:r>
        <w:rPr>
          <w:color w:val="231F20"/>
          <w:spacing w:val="7"/>
          <w:w w:val="110"/>
        </w:rPr>
        <w:t> </w:t>
      </w:r>
      <w:r>
        <w:rPr>
          <w:color w:val="231F20"/>
          <w:spacing w:val="3"/>
          <w:w w:val="110"/>
        </w:rPr>
        <w:t>suffers</w:t>
      </w:r>
      <w:r>
        <w:rPr>
          <w:color w:val="231F20"/>
          <w:spacing w:val="7"/>
          <w:w w:val="110"/>
        </w:rPr>
        <w:t> </w:t>
      </w:r>
      <w:r>
        <w:rPr>
          <w:color w:val="231F20"/>
          <w:spacing w:val="2"/>
          <w:w w:val="110"/>
        </w:rPr>
        <w:t>from</w:t>
      </w:r>
      <w:r>
        <w:rPr>
          <w:color w:val="231F20"/>
          <w:spacing w:val="7"/>
          <w:w w:val="110"/>
        </w:rPr>
        <w:t> </w:t>
      </w:r>
      <w:r>
        <w:rPr>
          <w:color w:val="231F20"/>
          <w:w w:val="110"/>
        </w:rPr>
        <w:t>a</w:t>
      </w:r>
      <w:r>
        <w:rPr>
          <w:color w:val="231F20"/>
          <w:spacing w:val="7"/>
          <w:w w:val="110"/>
        </w:rPr>
        <w:t> </w:t>
      </w:r>
      <w:r>
        <w:rPr>
          <w:color w:val="231F20"/>
          <w:w w:val="110"/>
        </w:rPr>
        <w:t>‘pack’</w:t>
      </w:r>
      <w:r>
        <w:rPr>
          <w:color w:val="231F20"/>
          <w:spacing w:val="8"/>
          <w:w w:val="110"/>
        </w:rPr>
        <w:t> </w:t>
      </w:r>
      <w:r>
        <w:rPr>
          <w:color w:val="231F20"/>
          <w:w w:val="110"/>
        </w:rPr>
        <w:t>mentality</w:t>
      </w:r>
      <w:r>
        <w:rPr>
          <w:color w:val="231F20"/>
          <w:spacing w:val="7"/>
          <w:w w:val="110"/>
        </w:rPr>
        <w:t> </w:t>
      </w:r>
      <w:r>
        <w:rPr>
          <w:color w:val="231F20"/>
          <w:w w:val="110"/>
        </w:rPr>
        <w:t>–</w:t>
      </w:r>
    </w:p>
    <w:p>
      <w:pPr>
        <w:pStyle w:val="BodyText"/>
        <w:spacing w:line="273" w:lineRule="auto" w:before="2"/>
        <w:ind w:left="1240" w:right="2303"/>
      </w:pPr>
      <w:r>
        <w:rPr>
          <w:color w:val="231F20"/>
          <w:w w:val="110"/>
        </w:rPr>
        <w:t>five </w:t>
      </w:r>
      <w:r>
        <w:rPr>
          <w:color w:val="231F20"/>
          <w:spacing w:val="2"/>
          <w:w w:val="110"/>
        </w:rPr>
        <w:t>booklets </w:t>
      </w:r>
      <w:r>
        <w:rPr>
          <w:color w:val="231F20"/>
          <w:w w:val="110"/>
        </w:rPr>
        <w:t>and a DVD and we’ve ‘done’ spirituality, six Wednesday evenings in the church hall and we are evangelists. Resources can help, but what is needed is orientation towards God, prayerful waiting, and the gift of renewal for the </w:t>
      </w:r>
      <w:r>
        <w:rPr>
          <w:color w:val="231F20"/>
          <w:spacing w:val="2"/>
          <w:w w:val="110"/>
        </w:rPr>
        <w:t>next </w:t>
      </w:r>
      <w:r>
        <w:rPr>
          <w:color w:val="231F20"/>
          <w:w w:val="110"/>
        </w:rPr>
        <w:t>phase of the church’s</w:t>
      </w:r>
      <w:r>
        <w:rPr>
          <w:color w:val="231F20"/>
          <w:spacing w:val="8"/>
          <w:w w:val="110"/>
        </w:rPr>
        <w:t> </w:t>
      </w:r>
      <w:r>
        <w:rPr>
          <w:color w:val="231F20"/>
          <w:w w:val="110"/>
        </w:rPr>
        <w:t>life.</w:t>
      </w:r>
    </w:p>
    <w:p>
      <w:pPr>
        <w:pStyle w:val="BodyText"/>
        <w:spacing w:before="9"/>
        <w:rPr>
          <w:sz w:val="20"/>
        </w:rPr>
      </w:pPr>
    </w:p>
    <w:p>
      <w:pPr>
        <w:pStyle w:val="BodyText"/>
        <w:spacing w:line="273" w:lineRule="auto"/>
        <w:ind w:left="1240" w:right="2219"/>
      </w:pPr>
      <w:r>
        <w:rPr>
          <w:color w:val="231F20"/>
          <w:w w:val="110"/>
        </w:rPr>
        <w:t>We have done the preparation. We’ve adjusted our structures, marshalled our resources, made institutional alterations (like increasing the number of special category ministry posts so we can explore new ways of being church), and now we need to offer ourselves anew to the God of surprises.</w:t>
      </w:r>
    </w:p>
    <w:p>
      <w:pPr>
        <w:pStyle w:val="BodyText"/>
        <w:spacing w:before="9"/>
        <w:rPr>
          <w:sz w:val="20"/>
        </w:rPr>
      </w:pPr>
    </w:p>
    <w:p>
      <w:pPr>
        <w:pStyle w:val="BodyText"/>
        <w:spacing w:line="273" w:lineRule="auto"/>
        <w:ind w:left="1240" w:right="2348"/>
      </w:pPr>
      <w:r>
        <w:rPr>
          <w:color w:val="231F20"/>
          <w:w w:val="110"/>
        </w:rPr>
        <w:t>This is not about a quick fix but a continuous </w:t>
      </w:r>
      <w:r>
        <w:rPr>
          <w:color w:val="231F20"/>
          <w:spacing w:val="2"/>
          <w:w w:val="110"/>
        </w:rPr>
        <w:t>process. </w:t>
      </w:r>
      <w:r>
        <w:rPr>
          <w:color w:val="231F20"/>
          <w:spacing w:val="-3"/>
          <w:w w:val="110"/>
        </w:rPr>
        <w:t>We </w:t>
      </w:r>
      <w:r>
        <w:rPr>
          <w:color w:val="231F20"/>
          <w:w w:val="110"/>
        </w:rPr>
        <w:t>have been deeply conscious of both the variety of spiritualities in the United Reformed Church, and of the fine work of many congregations. </w:t>
      </w:r>
      <w:r>
        <w:rPr>
          <w:color w:val="231F20"/>
          <w:spacing w:val="-3"/>
          <w:w w:val="110"/>
        </w:rPr>
        <w:t>We </w:t>
      </w:r>
      <w:r>
        <w:rPr>
          <w:color w:val="231F20"/>
          <w:w w:val="110"/>
        </w:rPr>
        <w:t>will be </w:t>
      </w:r>
      <w:r>
        <w:rPr>
          <w:color w:val="231F20"/>
          <w:spacing w:val="2"/>
          <w:w w:val="110"/>
        </w:rPr>
        <w:t>offering </w:t>
      </w:r>
      <w:r>
        <w:rPr>
          <w:color w:val="231F20"/>
          <w:w w:val="110"/>
        </w:rPr>
        <w:t>a programme which</w:t>
      </w:r>
      <w:r>
        <w:rPr>
          <w:color w:val="231F20"/>
          <w:spacing w:val="10"/>
          <w:w w:val="110"/>
        </w:rPr>
        <w:t> </w:t>
      </w:r>
      <w:r>
        <w:rPr>
          <w:color w:val="231F20"/>
          <w:w w:val="110"/>
        </w:rPr>
        <w:t>congregations</w:t>
      </w:r>
      <w:r>
        <w:rPr>
          <w:color w:val="231F20"/>
          <w:spacing w:val="11"/>
          <w:w w:val="110"/>
        </w:rPr>
        <w:t> </w:t>
      </w:r>
      <w:r>
        <w:rPr>
          <w:color w:val="231F20"/>
          <w:w w:val="110"/>
        </w:rPr>
        <w:t>can</w:t>
      </w:r>
      <w:r>
        <w:rPr>
          <w:color w:val="231F20"/>
          <w:spacing w:val="11"/>
          <w:w w:val="110"/>
        </w:rPr>
        <w:t> </w:t>
      </w:r>
      <w:r>
        <w:rPr>
          <w:color w:val="231F20"/>
          <w:w w:val="110"/>
        </w:rPr>
        <w:t>use</w:t>
      </w:r>
      <w:r>
        <w:rPr>
          <w:color w:val="231F20"/>
          <w:spacing w:val="11"/>
          <w:w w:val="110"/>
        </w:rPr>
        <w:t> </w:t>
      </w:r>
      <w:r>
        <w:rPr>
          <w:color w:val="231F20"/>
          <w:w w:val="110"/>
        </w:rPr>
        <w:t>in</w:t>
      </w:r>
      <w:r>
        <w:rPr>
          <w:color w:val="231F20"/>
          <w:spacing w:val="11"/>
          <w:w w:val="110"/>
        </w:rPr>
        <w:t> </w:t>
      </w:r>
      <w:r>
        <w:rPr>
          <w:color w:val="231F20"/>
          <w:w w:val="110"/>
        </w:rPr>
        <w:t>their</w:t>
      </w:r>
      <w:r>
        <w:rPr>
          <w:color w:val="231F20"/>
          <w:spacing w:val="11"/>
          <w:w w:val="110"/>
        </w:rPr>
        <w:t> </w:t>
      </w:r>
      <w:r>
        <w:rPr>
          <w:color w:val="231F20"/>
          <w:w w:val="110"/>
        </w:rPr>
        <w:t>own</w:t>
      </w:r>
      <w:r>
        <w:rPr>
          <w:color w:val="231F20"/>
          <w:spacing w:val="11"/>
          <w:w w:val="110"/>
        </w:rPr>
        <w:t> </w:t>
      </w:r>
      <w:r>
        <w:rPr>
          <w:color w:val="231F20"/>
          <w:spacing w:val="2"/>
          <w:w w:val="110"/>
        </w:rPr>
        <w:t>contexts</w:t>
      </w:r>
      <w:r>
        <w:rPr>
          <w:color w:val="231F20"/>
          <w:spacing w:val="11"/>
          <w:w w:val="110"/>
        </w:rPr>
        <w:t> </w:t>
      </w:r>
      <w:r>
        <w:rPr>
          <w:color w:val="231F20"/>
          <w:w w:val="110"/>
        </w:rPr>
        <w:t>to</w:t>
      </w:r>
      <w:r>
        <w:rPr>
          <w:color w:val="231F20"/>
          <w:spacing w:val="11"/>
          <w:w w:val="110"/>
        </w:rPr>
        <w:t> </w:t>
      </w:r>
      <w:r>
        <w:rPr>
          <w:color w:val="231F20"/>
          <w:w w:val="110"/>
        </w:rPr>
        <w:t>begin</w:t>
      </w:r>
      <w:r>
        <w:rPr>
          <w:color w:val="231F20"/>
          <w:spacing w:val="11"/>
          <w:w w:val="110"/>
        </w:rPr>
        <w:t> </w:t>
      </w:r>
      <w:r>
        <w:rPr>
          <w:color w:val="231F20"/>
          <w:w w:val="110"/>
        </w:rPr>
        <w:t>the</w:t>
      </w:r>
      <w:r>
        <w:rPr>
          <w:color w:val="231F20"/>
          <w:spacing w:val="11"/>
          <w:w w:val="110"/>
        </w:rPr>
        <w:t> </w:t>
      </w:r>
      <w:r>
        <w:rPr>
          <w:color w:val="231F20"/>
          <w:spacing w:val="2"/>
          <w:w w:val="110"/>
        </w:rPr>
        <w:t>process</w:t>
      </w:r>
      <w:r>
        <w:rPr>
          <w:color w:val="231F20"/>
          <w:spacing w:val="11"/>
          <w:w w:val="110"/>
        </w:rPr>
        <w:t> </w:t>
      </w:r>
      <w:r>
        <w:rPr>
          <w:color w:val="231F20"/>
          <w:w w:val="110"/>
        </w:rPr>
        <w:t>of</w:t>
      </w:r>
    </w:p>
    <w:p>
      <w:pPr>
        <w:pStyle w:val="BodyText"/>
        <w:spacing w:line="273" w:lineRule="auto" w:before="3"/>
        <w:ind w:left="1240" w:right="2464"/>
      </w:pPr>
      <w:r>
        <w:rPr>
          <w:color w:val="231F20"/>
          <w:w w:val="110"/>
        </w:rPr>
        <w:t>re-engaging with the Bible, prayer and evangelism. </w:t>
      </w:r>
      <w:r>
        <w:rPr>
          <w:color w:val="231F20"/>
          <w:spacing w:val="-3"/>
          <w:w w:val="110"/>
        </w:rPr>
        <w:t>We  </w:t>
      </w:r>
      <w:r>
        <w:rPr>
          <w:color w:val="231F20"/>
          <w:w w:val="110"/>
        </w:rPr>
        <w:t>owe deep gratitude</w:t>
      </w:r>
      <w:r>
        <w:rPr>
          <w:color w:val="231F20"/>
          <w:spacing w:val="69"/>
          <w:w w:val="110"/>
        </w:rPr>
        <w:t> </w:t>
      </w:r>
      <w:r>
        <w:rPr>
          <w:color w:val="231F20"/>
          <w:w w:val="110"/>
        </w:rPr>
        <w:t>to Dr John Campbell who is leading this work. </w:t>
      </w:r>
      <w:r>
        <w:rPr>
          <w:color w:val="231F20"/>
          <w:spacing w:val="2"/>
          <w:w w:val="110"/>
        </w:rPr>
        <w:t>There </w:t>
      </w:r>
      <w:r>
        <w:rPr>
          <w:color w:val="231F20"/>
          <w:w w:val="110"/>
        </w:rPr>
        <w:t>will be more to share at Assembly.</w:t>
      </w:r>
      <w:r>
        <w:rPr>
          <w:color w:val="231F20"/>
          <w:spacing w:val="12"/>
          <w:w w:val="110"/>
        </w:rPr>
        <w:t> </w:t>
      </w:r>
      <w:r>
        <w:rPr>
          <w:color w:val="231F20"/>
          <w:spacing w:val="-3"/>
          <w:w w:val="110"/>
        </w:rPr>
        <w:t>We</w:t>
      </w:r>
      <w:r>
        <w:rPr>
          <w:color w:val="231F20"/>
          <w:spacing w:val="13"/>
          <w:w w:val="110"/>
        </w:rPr>
        <w:t> </w:t>
      </w:r>
      <w:r>
        <w:rPr>
          <w:color w:val="231F20"/>
          <w:w w:val="110"/>
        </w:rPr>
        <w:t>hope</w:t>
      </w:r>
      <w:r>
        <w:rPr>
          <w:color w:val="231F20"/>
          <w:spacing w:val="12"/>
          <w:w w:val="110"/>
        </w:rPr>
        <w:t> </w:t>
      </w:r>
      <w:r>
        <w:rPr>
          <w:color w:val="231F20"/>
          <w:w w:val="110"/>
        </w:rPr>
        <w:t>promotional</w:t>
      </w:r>
      <w:r>
        <w:rPr>
          <w:color w:val="231F20"/>
          <w:spacing w:val="13"/>
          <w:w w:val="110"/>
        </w:rPr>
        <w:t> </w:t>
      </w:r>
      <w:r>
        <w:rPr>
          <w:color w:val="231F20"/>
          <w:w w:val="110"/>
        </w:rPr>
        <w:t>materials</w:t>
      </w:r>
      <w:r>
        <w:rPr>
          <w:color w:val="231F20"/>
          <w:spacing w:val="13"/>
          <w:w w:val="110"/>
        </w:rPr>
        <w:t> </w:t>
      </w:r>
      <w:r>
        <w:rPr>
          <w:color w:val="231F20"/>
          <w:w w:val="110"/>
        </w:rPr>
        <w:t>will</w:t>
      </w:r>
      <w:r>
        <w:rPr>
          <w:color w:val="231F20"/>
          <w:spacing w:val="12"/>
          <w:w w:val="110"/>
        </w:rPr>
        <w:t> </w:t>
      </w:r>
      <w:r>
        <w:rPr>
          <w:color w:val="231F20"/>
          <w:w w:val="110"/>
        </w:rPr>
        <w:t>be</w:t>
      </w:r>
      <w:r>
        <w:rPr>
          <w:color w:val="231F20"/>
          <w:spacing w:val="13"/>
          <w:w w:val="110"/>
        </w:rPr>
        <w:t> </w:t>
      </w:r>
      <w:r>
        <w:rPr>
          <w:color w:val="231F20"/>
          <w:w w:val="110"/>
        </w:rPr>
        <w:t>available</w:t>
      </w:r>
      <w:r>
        <w:rPr>
          <w:color w:val="231F20"/>
          <w:spacing w:val="13"/>
          <w:w w:val="110"/>
        </w:rPr>
        <w:t> </w:t>
      </w:r>
      <w:r>
        <w:rPr>
          <w:color w:val="231F20"/>
          <w:w w:val="110"/>
        </w:rPr>
        <w:t>for</w:t>
      </w:r>
      <w:r>
        <w:rPr>
          <w:color w:val="231F20"/>
          <w:spacing w:val="12"/>
          <w:w w:val="110"/>
        </w:rPr>
        <w:t> </w:t>
      </w:r>
      <w:r>
        <w:rPr>
          <w:color w:val="231F20"/>
          <w:w w:val="110"/>
        </w:rPr>
        <w:t>the</w:t>
      </w:r>
      <w:r>
        <w:rPr>
          <w:color w:val="231F20"/>
          <w:spacing w:val="13"/>
          <w:w w:val="110"/>
        </w:rPr>
        <w:t> </w:t>
      </w:r>
      <w:r>
        <w:rPr>
          <w:color w:val="231F20"/>
          <w:w w:val="110"/>
        </w:rPr>
        <w:t>autumn</w:t>
      </w:r>
    </w:p>
    <w:p>
      <w:pPr>
        <w:pStyle w:val="BodyText"/>
        <w:spacing w:before="2"/>
        <w:ind w:left="1240"/>
      </w:pPr>
      <w:r>
        <w:rPr>
          <w:color w:val="231F20"/>
          <w:w w:val="110"/>
        </w:rPr>
        <w:t>Synods, and that the programme will run in the spring/early summer of</w:t>
      </w:r>
      <w:r>
        <w:rPr>
          <w:color w:val="231F20"/>
          <w:spacing w:val="56"/>
          <w:w w:val="110"/>
        </w:rPr>
        <w:t> </w:t>
      </w:r>
      <w:r>
        <w:rPr>
          <w:color w:val="231F20"/>
          <w:w w:val="110"/>
        </w:rPr>
        <w:t>2008.</w:t>
      </w:r>
    </w:p>
    <w:p>
      <w:pPr>
        <w:spacing w:after="0"/>
        <w:sectPr>
          <w:footerReference w:type="default" r:id="rId13"/>
          <w:footerReference w:type="even" r:id="rId14"/>
          <w:pgSz w:w="11910" w:h="16840"/>
          <w:pgMar w:footer="564" w:header="0" w:top="1000" w:bottom="760" w:left="460" w:right="0"/>
          <w:pgNumType w:start="7"/>
        </w:sectPr>
      </w:pPr>
    </w:p>
    <w:p>
      <w:pPr>
        <w:pStyle w:val="BodyText"/>
        <w:spacing w:before="10"/>
        <w:rPr>
          <w:sz w:val="11"/>
        </w:rPr>
      </w:pPr>
    </w:p>
    <w:p>
      <w:pPr>
        <w:pStyle w:val="ListParagraph"/>
        <w:numPr>
          <w:ilvl w:val="0"/>
          <w:numId w:val="1"/>
        </w:numPr>
        <w:tabs>
          <w:tab w:pos="1393" w:val="left" w:leader="none"/>
          <w:tab w:pos="1394" w:val="left" w:leader="none"/>
        </w:tabs>
        <w:spacing w:line="240" w:lineRule="auto" w:before="101" w:after="0"/>
        <w:ind w:left="1393" w:right="0" w:hanging="721"/>
        <w:jc w:val="left"/>
        <w:rPr>
          <w:sz w:val="18"/>
        </w:rPr>
      </w:pPr>
      <w:r>
        <w:rPr>
          <w:color w:val="231F20"/>
          <w:w w:val="110"/>
          <w:sz w:val="18"/>
        </w:rPr>
        <w:t>Worship</w:t>
      </w:r>
    </w:p>
    <w:p>
      <w:pPr>
        <w:pStyle w:val="BodyText"/>
        <w:spacing w:before="1"/>
        <w:rPr>
          <w:sz w:val="23"/>
        </w:rPr>
      </w:pPr>
    </w:p>
    <w:p>
      <w:pPr>
        <w:pStyle w:val="BodyText"/>
        <w:spacing w:line="273" w:lineRule="auto"/>
        <w:ind w:left="673" w:right="1871"/>
      </w:pPr>
      <w:r>
        <w:rPr>
          <w:color w:val="231F20"/>
          <w:w w:val="110"/>
        </w:rPr>
        <w:t>Over the past year many people have talked to us about worship. Worship is for many  the main way in which we are </w:t>
      </w:r>
      <w:r>
        <w:rPr>
          <w:color w:val="231F20"/>
          <w:spacing w:val="2"/>
          <w:w w:val="110"/>
        </w:rPr>
        <w:t>‘transformed </w:t>
      </w:r>
      <w:r>
        <w:rPr>
          <w:color w:val="231F20"/>
          <w:w w:val="110"/>
        </w:rPr>
        <w:t>by the gospel’. </w:t>
      </w:r>
      <w:r>
        <w:rPr>
          <w:color w:val="231F20"/>
          <w:spacing w:val="-3"/>
          <w:w w:val="110"/>
        </w:rPr>
        <w:t>We </w:t>
      </w:r>
      <w:r>
        <w:rPr>
          <w:color w:val="231F20"/>
          <w:w w:val="110"/>
        </w:rPr>
        <w:t>believe that worship is   the central experience moulding Reformed spirituality. </w:t>
      </w:r>
      <w:r>
        <w:rPr>
          <w:color w:val="231F20"/>
          <w:spacing w:val="-3"/>
          <w:w w:val="110"/>
        </w:rPr>
        <w:t>We </w:t>
      </w:r>
      <w:r>
        <w:rPr>
          <w:color w:val="231F20"/>
          <w:w w:val="110"/>
        </w:rPr>
        <w:t>have heard heartening stories of vibrant, dynamic worship </w:t>
      </w:r>
      <w:r>
        <w:rPr>
          <w:color w:val="231F20"/>
          <w:spacing w:val="2"/>
          <w:w w:val="110"/>
        </w:rPr>
        <w:t>from </w:t>
      </w:r>
      <w:r>
        <w:rPr>
          <w:color w:val="231F20"/>
          <w:w w:val="110"/>
        </w:rPr>
        <w:t>all </w:t>
      </w:r>
      <w:r>
        <w:rPr>
          <w:color w:val="231F20"/>
          <w:spacing w:val="3"/>
          <w:w w:val="110"/>
        </w:rPr>
        <w:t>parts </w:t>
      </w:r>
      <w:r>
        <w:rPr>
          <w:color w:val="231F20"/>
          <w:w w:val="110"/>
        </w:rPr>
        <w:t>of the theological spectrum, but we have also heard of frustrations and difficulties, and of worship which seems badly prepared and inadequately led. That </w:t>
      </w:r>
      <w:r>
        <w:rPr>
          <w:color w:val="231F20"/>
          <w:spacing w:val="2"/>
          <w:w w:val="110"/>
        </w:rPr>
        <w:t>perturbs </w:t>
      </w:r>
      <w:r>
        <w:rPr>
          <w:color w:val="231F20"/>
          <w:w w:val="110"/>
        </w:rPr>
        <w:t>us, for worship should be the place where, through the sacramental power of bread, wine and Word, God encounters the people of God. A bad experience of worship does not encourage a visitor to</w:t>
      </w:r>
      <w:r>
        <w:rPr>
          <w:color w:val="231F20"/>
          <w:spacing w:val="27"/>
          <w:w w:val="110"/>
        </w:rPr>
        <w:t> </w:t>
      </w:r>
      <w:r>
        <w:rPr>
          <w:color w:val="231F20"/>
          <w:w w:val="110"/>
        </w:rPr>
        <w:t>return.</w:t>
      </w:r>
    </w:p>
    <w:p>
      <w:pPr>
        <w:pStyle w:val="BodyText"/>
        <w:rPr>
          <w:sz w:val="21"/>
        </w:rPr>
      </w:pPr>
    </w:p>
    <w:p>
      <w:pPr>
        <w:pStyle w:val="BodyText"/>
        <w:spacing w:line="273" w:lineRule="auto"/>
        <w:ind w:left="673" w:right="1829"/>
      </w:pPr>
      <w:r>
        <w:rPr>
          <w:color w:val="231F20"/>
          <w:spacing w:val="-3"/>
          <w:w w:val="110"/>
        </w:rPr>
        <w:t>We </w:t>
      </w:r>
      <w:r>
        <w:rPr>
          <w:color w:val="231F20"/>
          <w:w w:val="110"/>
        </w:rPr>
        <w:t>understand the difficulties – ever larger pastorates, fewer lay preachers, the </w:t>
      </w:r>
      <w:r>
        <w:rPr>
          <w:color w:val="231F20"/>
          <w:spacing w:val="2"/>
          <w:w w:val="110"/>
        </w:rPr>
        <w:t>resources </w:t>
      </w:r>
      <w:r>
        <w:rPr>
          <w:color w:val="231F20"/>
          <w:w w:val="110"/>
        </w:rPr>
        <w:t>needed to produce worship teams in local churches and the increasing demands on our ministers. For all that, we still wonder what </w:t>
      </w:r>
      <w:r>
        <w:rPr>
          <w:color w:val="231F20"/>
          <w:spacing w:val="2"/>
          <w:w w:val="110"/>
        </w:rPr>
        <w:t>priority </w:t>
      </w:r>
      <w:r>
        <w:rPr>
          <w:color w:val="231F20"/>
          <w:w w:val="110"/>
        </w:rPr>
        <w:t>we give to worship compared with pastoral care, community building, political  campaigning,  and  much else. Waiting on God in worship is the most important </w:t>
      </w:r>
      <w:r>
        <w:rPr>
          <w:color w:val="231F20"/>
          <w:spacing w:val="2"/>
          <w:w w:val="110"/>
        </w:rPr>
        <w:t>activity </w:t>
      </w:r>
      <w:r>
        <w:rPr>
          <w:color w:val="231F20"/>
          <w:w w:val="110"/>
        </w:rPr>
        <w:t>of human life. </w:t>
      </w:r>
      <w:r>
        <w:rPr>
          <w:color w:val="231F20"/>
          <w:spacing w:val="-8"/>
          <w:w w:val="110"/>
        </w:rPr>
        <w:t>To </w:t>
      </w:r>
      <w:r>
        <w:rPr>
          <w:color w:val="231F20"/>
          <w:w w:val="110"/>
        </w:rPr>
        <w:t>it we bring</w:t>
      </w:r>
      <w:r>
        <w:rPr>
          <w:color w:val="231F20"/>
          <w:spacing w:val="6"/>
          <w:w w:val="110"/>
        </w:rPr>
        <w:t> </w:t>
      </w:r>
      <w:r>
        <w:rPr>
          <w:color w:val="231F20"/>
          <w:w w:val="110"/>
        </w:rPr>
        <w:t>the</w:t>
      </w:r>
      <w:r>
        <w:rPr>
          <w:color w:val="231F20"/>
          <w:spacing w:val="6"/>
          <w:w w:val="110"/>
        </w:rPr>
        <w:t> </w:t>
      </w:r>
      <w:r>
        <w:rPr>
          <w:color w:val="231F20"/>
          <w:spacing w:val="2"/>
          <w:w w:val="110"/>
        </w:rPr>
        <w:t>best</w:t>
      </w:r>
      <w:r>
        <w:rPr>
          <w:color w:val="231F20"/>
          <w:spacing w:val="7"/>
          <w:w w:val="110"/>
        </w:rPr>
        <w:t> </w:t>
      </w:r>
      <w:r>
        <w:rPr>
          <w:color w:val="231F20"/>
          <w:w w:val="110"/>
        </w:rPr>
        <w:t>we</w:t>
      </w:r>
      <w:r>
        <w:rPr>
          <w:color w:val="231F20"/>
          <w:spacing w:val="6"/>
          <w:w w:val="110"/>
        </w:rPr>
        <w:t> </w:t>
      </w:r>
      <w:r>
        <w:rPr>
          <w:color w:val="231F20"/>
          <w:w w:val="110"/>
        </w:rPr>
        <w:t>can</w:t>
      </w:r>
      <w:r>
        <w:rPr>
          <w:color w:val="231F20"/>
          <w:spacing w:val="7"/>
          <w:w w:val="110"/>
        </w:rPr>
        <w:t> </w:t>
      </w:r>
      <w:r>
        <w:rPr>
          <w:color w:val="231F20"/>
          <w:w w:val="110"/>
        </w:rPr>
        <w:t>bring,</w:t>
      </w:r>
      <w:r>
        <w:rPr>
          <w:color w:val="231F20"/>
          <w:spacing w:val="6"/>
          <w:w w:val="110"/>
        </w:rPr>
        <w:t> </w:t>
      </w:r>
      <w:r>
        <w:rPr>
          <w:color w:val="231F20"/>
          <w:w w:val="110"/>
        </w:rPr>
        <w:t>in</w:t>
      </w:r>
      <w:r>
        <w:rPr>
          <w:color w:val="231F20"/>
          <w:spacing w:val="6"/>
          <w:w w:val="110"/>
        </w:rPr>
        <w:t> </w:t>
      </w:r>
      <w:r>
        <w:rPr>
          <w:color w:val="231F20"/>
          <w:w w:val="110"/>
        </w:rPr>
        <w:t>word,</w:t>
      </w:r>
      <w:r>
        <w:rPr>
          <w:color w:val="231F20"/>
          <w:spacing w:val="7"/>
          <w:w w:val="110"/>
        </w:rPr>
        <w:t> </w:t>
      </w:r>
      <w:r>
        <w:rPr>
          <w:color w:val="231F20"/>
          <w:w w:val="110"/>
        </w:rPr>
        <w:t>music,</w:t>
      </w:r>
      <w:r>
        <w:rPr>
          <w:color w:val="231F20"/>
          <w:spacing w:val="6"/>
          <w:w w:val="110"/>
        </w:rPr>
        <w:t> </w:t>
      </w:r>
      <w:r>
        <w:rPr>
          <w:color w:val="231F20"/>
          <w:spacing w:val="2"/>
          <w:w w:val="110"/>
        </w:rPr>
        <w:t>art,</w:t>
      </w:r>
      <w:r>
        <w:rPr>
          <w:color w:val="231F20"/>
          <w:spacing w:val="7"/>
          <w:w w:val="110"/>
        </w:rPr>
        <w:t> </w:t>
      </w:r>
      <w:r>
        <w:rPr>
          <w:color w:val="231F20"/>
          <w:w w:val="110"/>
        </w:rPr>
        <w:t>attention</w:t>
      </w:r>
      <w:r>
        <w:rPr>
          <w:color w:val="231F20"/>
          <w:spacing w:val="6"/>
          <w:w w:val="110"/>
        </w:rPr>
        <w:t> </w:t>
      </w:r>
      <w:r>
        <w:rPr>
          <w:color w:val="231F20"/>
          <w:w w:val="110"/>
        </w:rPr>
        <w:t>and</w:t>
      </w:r>
      <w:r>
        <w:rPr>
          <w:color w:val="231F20"/>
          <w:spacing w:val="6"/>
          <w:w w:val="110"/>
        </w:rPr>
        <w:t> </w:t>
      </w:r>
      <w:r>
        <w:rPr>
          <w:color w:val="231F20"/>
          <w:w w:val="110"/>
        </w:rPr>
        <w:t>anticipation.</w:t>
      </w:r>
      <w:r>
        <w:rPr>
          <w:color w:val="231F20"/>
          <w:spacing w:val="13"/>
          <w:w w:val="110"/>
        </w:rPr>
        <w:t> </w:t>
      </w:r>
      <w:r>
        <w:rPr>
          <w:color w:val="231F20"/>
          <w:w w:val="110"/>
        </w:rPr>
        <w:t>It</w:t>
      </w:r>
      <w:r>
        <w:rPr>
          <w:color w:val="231F20"/>
          <w:spacing w:val="7"/>
          <w:w w:val="110"/>
        </w:rPr>
        <w:t> </w:t>
      </w:r>
      <w:r>
        <w:rPr>
          <w:color w:val="231F20"/>
          <w:w w:val="110"/>
        </w:rPr>
        <w:t>would</w:t>
      </w:r>
    </w:p>
    <w:p>
      <w:pPr>
        <w:pStyle w:val="BodyText"/>
        <w:spacing w:line="273" w:lineRule="auto" w:before="4"/>
        <w:ind w:left="673" w:right="1829"/>
      </w:pPr>
      <w:r>
        <w:rPr>
          <w:color w:val="231F20"/>
          <w:w w:val="110"/>
        </w:rPr>
        <w:t>be wonderful if the United Reformed Church were known simply for the quality of its worship. As ‘Catch the Vision’ moves into its next phase, we plead that the church turns its mind to the quality of its worship.</w:t>
      </w:r>
    </w:p>
    <w:p>
      <w:pPr>
        <w:pStyle w:val="BodyText"/>
        <w:spacing w:before="8"/>
        <w:rPr>
          <w:sz w:val="20"/>
        </w:rPr>
      </w:pPr>
    </w:p>
    <w:p>
      <w:pPr>
        <w:pStyle w:val="Heading9"/>
        <w:ind w:left="673"/>
      </w:pPr>
      <w:r>
        <w:rPr>
          <w:color w:val="231F20"/>
          <w:w w:val="110"/>
        </w:rPr>
        <w:t>Making a difference</w:t>
      </w:r>
    </w:p>
    <w:p>
      <w:pPr>
        <w:pStyle w:val="BodyText"/>
        <w:spacing w:line="273" w:lineRule="auto" w:before="258"/>
        <w:ind w:left="673" w:right="2061"/>
      </w:pPr>
      <w:r>
        <w:rPr>
          <w:color w:val="231F20"/>
          <w:spacing w:val="2"/>
          <w:w w:val="110"/>
        </w:rPr>
        <w:t>It’s </w:t>
      </w:r>
      <w:r>
        <w:rPr>
          <w:color w:val="231F20"/>
          <w:w w:val="110"/>
        </w:rPr>
        <w:t>a </w:t>
      </w:r>
      <w:r>
        <w:rPr>
          <w:color w:val="231F20"/>
          <w:spacing w:val="3"/>
          <w:w w:val="110"/>
        </w:rPr>
        <w:t>Thursday </w:t>
      </w:r>
      <w:r>
        <w:rPr>
          <w:color w:val="231F20"/>
          <w:w w:val="110"/>
        </w:rPr>
        <w:t>in late </w:t>
      </w:r>
      <w:r>
        <w:rPr>
          <w:color w:val="231F20"/>
          <w:spacing w:val="3"/>
          <w:w w:val="110"/>
        </w:rPr>
        <w:t>March </w:t>
      </w:r>
      <w:r>
        <w:rPr>
          <w:color w:val="231F20"/>
          <w:w w:val="110"/>
        </w:rPr>
        <w:t>and </w:t>
      </w:r>
      <w:r>
        <w:rPr>
          <w:color w:val="231F20"/>
          <w:spacing w:val="2"/>
          <w:w w:val="110"/>
        </w:rPr>
        <w:t>Southwark </w:t>
      </w:r>
      <w:r>
        <w:rPr>
          <w:color w:val="231F20"/>
          <w:spacing w:val="3"/>
          <w:w w:val="110"/>
        </w:rPr>
        <w:t>Cathedral </w:t>
      </w:r>
      <w:r>
        <w:rPr>
          <w:color w:val="231F20"/>
          <w:w w:val="110"/>
        </w:rPr>
        <w:t>in </w:t>
      </w:r>
      <w:r>
        <w:rPr>
          <w:color w:val="231F20"/>
          <w:spacing w:val="2"/>
          <w:w w:val="110"/>
        </w:rPr>
        <w:t>the Spring </w:t>
      </w:r>
      <w:r>
        <w:rPr>
          <w:color w:val="231F20"/>
          <w:w w:val="110"/>
        </w:rPr>
        <w:t>sun has </w:t>
      </w:r>
      <w:r>
        <w:rPr>
          <w:color w:val="231F20"/>
          <w:spacing w:val="3"/>
          <w:w w:val="110"/>
        </w:rPr>
        <w:t>every </w:t>
      </w:r>
      <w:r>
        <w:rPr>
          <w:color w:val="231F20"/>
          <w:spacing w:val="2"/>
          <w:w w:val="110"/>
        </w:rPr>
        <w:t>seat </w:t>
      </w:r>
      <w:r>
        <w:rPr>
          <w:color w:val="231F20"/>
          <w:w w:val="110"/>
        </w:rPr>
        <w:t>taken. </w:t>
      </w:r>
      <w:r>
        <w:rPr>
          <w:color w:val="231F20"/>
          <w:spacing w:val="2"/>
          <w:w w:val="110"/>
        </w:rPr>
        <w:t>But </w:t>
      </w:r>
      <w:r>
        <w:rPr>
          <w:color w:val="231F20"/>
          <w:w w:val="110"/>
        </w:rPr>
        <w:t>this </w:t>
      </w:r>
      <w:r>
        <w:rPr>
          <w:color w:val="231F20"/>
          <w:spacing w:val="3"/>
          <w:w w:val="110"/>
        </w:rPr>
        <w:t>congregation </w:t>
      </w:r>
      <w:r>
        <w:rPr>
          <w:color w:val="231F20"/>
          <w:w w:val="110"/>
        </w:rPr>
        <w:t>is unusual. It is full of young people; and a fine </w:t>
      </w:r>
      <w:r>
        <w:rPr>
          <w:color w:val="231F20"/>
          <w:spacing w:val="3"/>
          <w:w w:val="110"/>
        </w:rPr>
        <w:t>ensemble </w:t>
      </w:r>
      <w:r>
        <w:rPr>
          <w:color w:val="231F20"/>
          <w:w w:val="110"/>
        </w:rPr>
        <w:t>of young </w:t>
      </w:r>
      <w:r>
        <w:rPr>
          <w:color w:val="231F20"/>
          <w:spacing w:val="2"/>
          <w:w w:val="110"/>
        </w:rPr>
        <w:t>musicians are </w:t>
      </w:r>
      <w:r>
        <w:rPr>
          <w:color w:val="231F20"/>
          <w:w w:val="110"/>
        </w:rPr>
        <w:t>making </w:t>
      </w:r>
      <w:r>
        <w:rPr>
          <w:color w:val="231F20"/>
          <w:spacing w:val="2"/>
          <w:w w:val="110"/>
        </w:rPr>
        <w:t>music </w:t>
      </w:r>
      <w:r>
        <w:rPr>
          <w:color w:val="231F20"/>
          <w:w w:val="110"/>
        </w:rPr>
        <w:t>that fills </w:t>
      </w:r>
      <w:r>
        <w:rPr>
          <w:color w:val="231F20"/>
          <w:spacing w:val="2"/>
          <w:w w:val="110"/>
        </w:rPr>
        <w:t>the church. </w:t>
      </w:r>
      <w:r>
        <w:rPr>
          <w:color w:val="231F20"/>
          <w:spacing w:val="4"/>
          <w:w w:val="110"/>
        </w:rPr>
        <w:t>Others </w:t>
      </w:r>
      <w:r>
        <w:rPr>
          <w:color w:val="231F20"/>
          <w:spacing w:val="2"/>
          <w:w w:val="110"/>
        </w:rPr>
        <w:t>are </w:t>
      </w:r>
      <w:r>
        <w:rPr>
          <w:color w:val="231F20"/>
          <w:w w:val="110"/>
        </w:rPr>
        <w:t>in </w:t>
      </w:r>
      <w:r>
        <w:rPr>
          <w:color w:val="231F20"/>
          <w:spacing w:val="2"/>
          <w:w w:val="110"/>
        </w:rPr>
        <w:t>animated conversation, </w:t>
      </w:r>
      <w:r>
        <w:rPr>
          <w:color w:val="231F20"/>
          <w:w w:val="110"/>
        </w:rPr>
        <w:t>but </w:t>
      </w:r>
      <w:r>
        <w:rPr>
          <w:color w:val="231F20"/>
          <w:spacing w:val="3"/>
          <w:w w:val="110"/>
        </w:rPr>
        <w:t>soundlessly because </w:t>
      </w:r>
      <w:r>
        <w:rPr>
          <w:color w:val="231F20"/>
          <w:w w:val="110"/>
        </w:rPr>
        <w:t>they </w:t>
      </w:r>
      <w:r>
        <w:rPr>
          <w:color w:val="231F20"/>
          <w:spacing w:val="2"/>
          <w:w w:val="110"/>
        </w:rPr>
        <w:t>are </w:t>
      </w:r>
      <w:r>
        <w:rPr>
          <w:color w:val="231F20"/>
          <w:w w:val="110"/>
        </w:rPr>
        <w:t>signing. </w:t>
      </w:r>
      <w:r>
        <w:rPr>
          <w:color w:val="231F20"/>
          <w:spacing w:val="3"/>
          <w:w w:val="110"/>
        </w:rPr>
        <w:t>The congregation </w:t>
      </w:r>
      <w:r>
        <w:rPr>
          <w:color w:val="231F20"/>
          <w:spacing w:val="4"/>
          <w:w w:val="110"/>
        </w:rPr>
        <w:t>settles </w:t>
      </w:r>
      <w:r>
        <w:rPr>
          <w:color w:val="231F20"/>
          <w:w w:val="110"/>
        </w:rPr>
        <w:t>and </w:t>
      </w:r>
      <w:r>
        <w:rPr>
          <w:color w:val="231F20"/>
          <w:spacing w:val="2"/>
          <w:w w:val="110"/>
        </w:rPr>
        <w:t>worship begins. </w:t>
      </w:r>
      <w:r>
        <w:rPr>
          <w:color w:val="231F20"/>
          <w:spacing w:val="3"/>
          <w:w w:val="110"/>
        </w:rPr>
        <w:t>There </w:t>
      </w:r>
      <w:r>
        <w:rPr>
          <w:color w:val="231F20"/>
          <w:w w:val="110"/>
        </w:rPr>
        <w:t>is drama, </w:t>
      </w:r>
      <w:r>
        <w:rPr>
          <w:color w:val="231F20"/>
          <w:spacing w:val="3"/>
          <w:w w:val="110"/>
        </w:rPr>
        <w:t>choral </w:t>
      </w:r>
      <w:r>
        <w:rPr>
          <w:color w:val="231F20"/>
          <w:spacing w:val="2"/>
          <w:w w:val="110"/>
        </w:rPr>
        <w:t>music, </w:t>
      </w:r>
      <w:r>
        <w:rPr>
          <w:color w:val="231F20"/>
          <w:w w:val="110"/>
        </w:rPr>
        <w:t>a signing </w:t>
      </w:r>
      <w:r>
        <w:rPr>
          <w:color w:val="231F20"/>
          <w:spacing w:val="2"/>
          <w:w w:val="110"/>
        </w:rPr>
        <w:t>choir </w:t>
      </w:r>
      <w:r>
        <w:rPr>
          <w:color w:val="231F20"/>
          <w:w w:val="110"/>
        </w:rPr>
        <w:t>of </w:t>
      </w:r>
      <w:r>
        <w:rPr>
          <w:color w:val="231F20"/>
          <w:spacing w:val="2"/>
          <w:w w:val="110"/>
        </w:rPr>
        <w:t>disabled</w:t>
      </w:r>
      <w:r>
        <w:rPr>
          <w:color w:val="231F20"/>
          <w:spacing w:val="73"/>
          <w:w w:val="110"/>
        </w:rPr>
        <w:t> </w:t>
      </w:r>
      <w:r>
        <w:rPr>
          <w:color w:val="231F20"/>
          <w:spacing w:val="2"/>
          <w:w w:val="110"/>
        </w:rPr>
        <w:t>deaf </w:t>
      </w:r>
      <w:r>
        <w:rPr>
          <w:color w:val="231F20"/>
          <w:w w:val="110"/>
        </w:rPr>
        <w:t>young </w:t>
      </w:r>
      <w:r>
        <w:rPr>
          <w:color w:val="231F20"/>
          <w:spacing w:val="2"/>
          <w:w w:val="110"/>
        </w:rPr>
        <w:t>people, </w:t>
      </w:r>
      <w:r>
        <w:rPr>
          <w:color w:val="231F20"/>
          <w:w w:val="110"/>
        </w:rPr>
        <w:t>a </w:t>
      </w:r>
      <w:r>
        <w:rPr>
          <w:color w:val="231F20"/>
          <w:spacing w:val="3"/>
          <w:w w:val="110"/>
        </w:rPr>
        <w:t>profoundly </w:t>
      </w:r>
      <w:r>
        <w:rPr>
          <w:color w:val="231F20"/>
          <w:spacing w:val="2"/>
          <w:w w:val="110"/>
        </w:rPr>
        <w:t>simple </w:t>
      </w:r>
      <w:r>
        <w:rPr>
          <w:color w:val="231F20"/>
          <w:spacing w:val="3"/>
          <w:w w:val="110"/>
        </w:rPr>
        <w:t>sermon from </w:t>
      </w:r>
      <w:r>
        <w:rPr>
          <w:color w:val="231F20"/>
          <w:spacing w:val="2"/>
          <w:w w:val="110"/>
        </w:rPr>
        <w:t>the </w:t>
      </w:r>
      <w:r>
        <w:rPr>
          <w:color w:val="231F20"/>
          <w:spacing w:val="3"/>
          <w:w w:val="110"/>
        </w:rPr>
        <w:t>Archbishop </w:t>
      </w:r>
      <w:r>
        <w:rPr>
          <w:color w:val="231F20"/>
          <w:w w:val="110"/>
        </w:rPr>
        <w:t>of </w:t>
      </w:r>
      <w:r>
        <w:rPr>
          <w:color w:val="231F20"/>
          <w:spacing w:val="3"/>
          <w:w w:val="110"/>
        </w:rPr>
        <w:t>Canterbury </w:t>
      </w:r>
      <w:r>
        <w:rPr>
          <w:color w:val="231F20"/>
          <w:w w:val="110"/>
        </w:rPr>
        <w:t>and </w:t>
      </w:r>
      <w:r>
        <w:rPr>
          <w:color w:val="231F20"/>
          <w:spacing w:val="2"/>
          <w:w w:val="110"/>
        </w:rPr>
        <w:t>prayers </w:t>
      </w:r>
      <w:r>
        <w:rPr>
          <w:color w:val="231F20"/>
          <w:spacing w:val="3"/>
          <w:w w:val="110"/>
        </w:rPr>
        <w:t>from </w:t>
      </w:r>
      <w:r>
        <w:rPr>
          <w:color w:val="231F20"/>
          <w:spacing w:val="2"/>
          <w:w w:val="110"/>
        </w:rPr>
        <w:t>the </w:t>
      </w:r>
      <w:r>
        <w:rPr>
          <w:color w:val="231F20"/>
          <w:spacing w:val="3"/>
          <w:w w:val="110"/>
        </w:rPr>
        <w:t>Moderator </w:t>
      </w:r>
      <w:r>
        <w:rPr>
          <w:color w:val="231F20"/>
          <w:w w:val="110"/>
        </w:rPr>
        <w:t>of </w:t>
      </w:r>
      <w:r>
        <w:rPr>
          <w:color w:val="231F20"/>
          <w:spacing w:val="3"/>
          <w:w w:val="110"/>
        </w:rPr>
        <w:t>Southern </w:t>
      </w:r>
      <w:r>
        <w:rPr>
          <w:color w:val="231F20"/>
          <w:w w:val="110"/>
        </w:rPr>
        <w:t>Synod, </w:t>
      </w:r>
      <w:r>
        <w:rPr>
          <w:color w:val="231F20"/>
          <w:spacing w:val="3"/>
          <w:w w:val="110"/>
        </w:rPr>
        <w:t>Lord Carey </w:t>
      </w:r>
      <w:r>
        <w:rPr>
          <w:color w:val="231F20"/>
          <w:w w:val="110"/>
        </w:rPr>
        <w:t>and </w:t>
      </w:r>
      <w:r>
        <w:rPr>
          <w:color w:val="231F20"/>
          <w:spacing w:val="2"/>
          <w:w w:val="110"/>
        </w:rPr>
        <w:t>the chaplain </w:t>
      </w:r>
      <w:r>
        <w:rPr>
          <w:color w:val="231F20"/>
          <w:w w:val="110"/>
        </w:rPr>
        <w:t>of </w:t>
      </w:r>
      <w:r>
        <w:rPr>
          <w:color w:val="231F20"/>
          <w:spacing w:val="3"/>
          <w:w w:val="110"/>
        </w:rPr>
        <w:t>Caterham </w:t>
      </w:r>
      <w:r>
        <w:rPr>
          <w:color w:val="231F20"/>
          <w:spacing w:val="2"/>
          <w:w w:val="110"/>
        </w:rPr>
        <w:t>School.</w:t>
      </w:r>
    </w:p>
    <w:p>
      <w:pPr>
        <w:pStyle w:val="BodyText"/>
        <w:rPr>
          <w:sz w:val="21"/>
        </w:rPr>
      </w:pPr>
    </w:p>
    <w:p>
      <w:pPr>
        <w:pStyle w:val="BodyText"/>
        <w:spacing w:line="273" w:lineRule="auto"/>
        <w:ind w:left="673" w:right="2061" w:hanging="1"/>
      </w:pPr>
      <w:r>
        <w:rPr>
          <w:color w:val="231F20"/>
          <w:w w:val="110"/>
        </w:rPr>
        <w:t>This </w:t>
      </w:r>
      <w:r>
        <w:rPr>
          <w:color w:val="231F20"/>
          <w:spacing w:val="2"/>
          <w:w w:val="110"/>
        </w:rPr>
        <w:t>extraordinary </w:t>
      </w:r>
      <w:r>
        <w:rPr>
          <w:color w:val="231F20"/>
          <w:w w:val="110"/>
        </w:rPr>
        <w:t>event was a celebration of the 250</w:t>
      </w:r>
      <w:r>
        <w:rPr>
          <w:color w:val="231F20"/>
          <w:w w:val="110"/>
          <w:position w:val="6"/>
          <w:sz w:val="10"/>
        </w:rPr>
        <w:t>th </w:t>
      </w:r>
      <w:r>
        <w:rPr>
          <w:color w:val="231F20"/>
          <w:w w:val="110"/>
        </w:rPr>
        <w:t>anniversary of the </w:t>
      </w:r>
      <w:r>
        <w:rPr>
          <w:color w:val="231F20"/>
          <w:spacing w:val="2"/>
          <w:w w:val="110"/>
        </w:rPr>
        <w:t>birth </w:t>
      </w:r>
      <w:r>
        <w:rPr>
          <w:color w:val="231F20"/>
          <w:w w:val="110"/>
        </w:rPr>
        <w:t>of a Congregational minister. </w:t>
      </w:r>
      <w:r>
        <w:rPr>
          <w:color w:val="231F20"/>
          <w:spacing w:val="-6"/>
          <w:w w:val="110"/>
        </w:rPr>
        <w:t>Two </w:t>
      </w:r>
      <w:r>
        <w:rPr>
          <w:color w:val="231F20"/>
          <w:spacing w:val="2"/>
          <w:w w:val="110"/>
        </w:rPr>
        <w:t>very </w:t>
      </w:r>
      <w:r>
        <w:rPr>
          <w:color w:val="231F20"/>
          <w:w w:val="110"/>
        </w:rPr>
        <w:t>different institutions, the Royal School for Deaf Children in Margate and Caterham School, were celebrating John Townsend their founder. The Royal School has been a lodestar in the development of education for   deaf people and now finds itself working with disabled deaf people. The quality of that </w:t>
      </w:r>
      <w:r>
        <w:rPr>
          <w:color w:val="231F20"/>
          <w:spacing w:val="2"/>
          <w:w w:val="110"/>
        </w:rPr>
        <w:t>care </w:t>
      </w:r>
      <w:r>
        <w:rPr>
          <w:color w:val="231F20"/>
          <w:w w:val="110"/>
        </w:rPr>
        <w:t>was readily apparent as </w:t>
      </w:r>
      <w:r>
        <w:rPr>
          <w:color w:val="231F20"/>
          <w:spacing w:val="3"/>
          <w:w w:val="110"/>
        </w:rPr>
        <w:t>staff </w:t>
      </w:r>
      <w:r>
        <w:rPr>
          <w:color w:val="231F20"/>
          <w:w w:val="110"/>
        </w:rPr>
        <w:t>enabled the young people to participate fully in the </w:t>
      </w:r>
      <w:r>
        <w:rPr>
          <w:color w:val="231F20"/>
          <w:spacing w:val="2"/>
          <w:w w:val="110"/>
        </w:rPr>
        <w:t>service. </w:t>
      </w:r>
      <w:r>
        <w:rPr>
          <w:color w:val="231F20"/>
          <w:w w:val="110"/>
        </w:rPr>
        <w:t>Caterham is a leading independent</w:t>
      </w:r>
      <w:r>
        <w:rPr>
          <w:color w:val="231F20"/>
          <w:spacing w:val="10"/>
          <w:w w:val="110"/>
        </w:rPr>
        <w:t> </w:t>
      </w:r>
      <w:r>
        <w:rPr>
          <w:color w:val="231F20"/>
          <w:w w:val="110"/>
        </w:rPr>
        <w:t>school.</w:t>
      </w:r>
    </w:p>
    <w:p>
      <w:pPr>
        <w:pStyle w:val="BodyText"/>
        <w:spacing w:before="11"/>
        <w:rPr>
          <w:sz w:val="20"/>
        </w:rPr>
      </w:pPr>
    </w:p>
    <w:p>
      <w:pPr>
        <w:pStyle w:val="BodyText"/>
        <w:spacing w:line="273" w:lineRule="auto"/>
        <w:ind w:left="673" w:right="2061"/>
      </w:pPr>
      <w:r>
        <w:rPr>
          <w:color w:val="231F20"/>
          <w:w w:val="110"/>
        </w:rPr>
        <w:t>They are what history, particularly state intervention in education, has made them. Their founder, nearly 200 years ago, was minister of Jamaica Row Chapel in Bermondsey, east London. His congregation included Mr and </w:t>
      </w:r>
      <w:r>
        <w:rPr>
          <w:color w:val="231F20"/>
          <w:spacing w:val="2"/>
          <w:w w:val="110"/>
        </w:rPr>
        <w:t>Mrs </w:t>
      </w:r>
      <w:r>
        <w:rPr>
          <w:color w:val="231F20"/>
          <w:w w:val="110"/>
        </w:rPr>
        <w:t>Creasy, whose son James</w:t>
      </w:r>
      <w:r>
        <w:rPr>
          <w:color w:val="231F20"/>
          <w:spacing w:val="8"/>
          <w:w w:val="110"/>
        </w:rPr>
        <w:t> </w:t>
      </w:r>
      <w:r>
        <w:rPr>
          <w:color w:val="231F20"/>
          <w:w w:val="110"/>
        </w:rPr>
        <w:t>was</w:t>
      </w:r>
      <w:r>
        <w:rPr>
          <w:color w:val="231F20"/>
          <w:spacing w:val="9"/>
          <w:w w:val="110"/>
        </w:rPr>
        <w:t> </w:t>
      </w:r>
      <w:r>
        <w:rPr>
          <w:color w:val="231F20"/>
          <w:w w:val="110"/>
        </w:rPr>
        <w:t>deaf. </w:t>
      </w:r>
      <w:r>
        <w:rPr>
          <w:color w:val="231F20"/>
          <w:spacing w:val="17"/>
          <w:w w:val="110"/>
        </w:rPr>
        <w:t> </w:t>
      </w:r>
      <w:r>
        <w:rPr>
          <w:color w:val="231F20"/>
          <w:spacing w:val="2"/>
          <w:w w:val="110"/>
        </w:rPr>
        <w:t>Because</w:t>
      </w:r>
      <w:r>
        <w:rPr>
          <w:color w:val="231F20"/>
          <w:spacing w:val="8"/>
          <w:w w:val="110"/>
        </w:rPr>
        <w:t> </w:t>
      </w:r>
      <w:r>
        <w:rPr>
          <w:color w:val="231F20"/>
          <w:w w:val="110"/>
        </w:rPr>
        <w:t>they</w:t>
      </w:r>
      <w:r>
        <w:rPr>
          <w:color w:val="231F20"/>
          <w:spacing w:val="9"/>
          <w:w w:val="110"/>
        </w:rPr>
        <w:t> </w:t>
      </w:r>
      <w:r>
        <w:rPr>
          <w:color w:val="231F20"/>
          <w:w w:val="110"/>
        </w:rPr>
        <w:t>were</w:t>
      </w:r>
      <w:r>
        <w:rPr>
          <w:color w:val="231F20"/>
          <w:spacing w:val="8"/>
          <w:w w:val="110"/>
        </w:rPr>
        <w:t> </w:t>
      </w:r>
      <w:r>
        <w:rPr>
          <w:color w:val="231F20"/>
          <w:spacing w:val="-3"/>
          <w:w w:val="110"/>
        </w:rPr>
        <w:t>wealthy,</w:t>
      </w:r>
      <w:r>
        <w:rPr>
          <w:color w:val="231F20"/>
          <w:spacing w:val="9"/>
          <w:w w:val="110"/>
        </w:rPr>
        <w:t> </w:t>
      </w:r>
      <w:r>
        <w:rPr>
          <w:color w:val="231F20"/>
          <w:w w:val="110"/>
        </w:rPr>
        <w:t>James</w:t>
      </w:r>
      <w:r>
        <w:rPr>
          <w:color w:val="231F20"/>
          <w:spacing w:val="8"/>
          <w:w w:val="110"/>
        </w:rPr>
        <w:t> </w:t>
      </w:r>
      <w:r>
        <w:rPr>
          <w:color w:val="231F20"/>
          <w:w w:val="110"/>
        </w:rPr>
        <w:t>was</w:t>
      </w:r>
      <w:r>
        <w:rPr>
          <w:color w:val="231F20"/>
          <w:spacing w:val="9"/>
          <w:w w:val="110"/>
        </w:rPr>
        <w:t> </w:t>
      </w:r>
      <w:r>
        <w:rPr>
          <w:color w:val="231F20"/>
          <w:w w:val="110"/>
        </w:rPr>
        <w:t>taught</w:t>
      </w:r>
      <w:r>
        <w:rPr>
          <w:color w:val="231F20"/>
          <w:spacing w:val="8"/>
          <w:w w:val="110"/>
        </w:rPr>
        <w:t> </w:t>
      </w:r>
      <w:r>
        <w:rPr>
          <w:color w:val="231F20"/>
          <w:w w:val="110"/>
        </w:rPr>
        <w:t>privately</w:t>
      </w:r>
      <w:r>
        <w:rPr>
          <w:color w:val="231F20"/>
          <w:spacing w:val="9"/>
          <w:w w:val="110"/>
        </w:rPr>
        <w:t> </w:t>
      </w:r>
      <w:r>
        <w:rPr>
          <w:color w:val="231F20"/>
          <w:w w:val="110"/>
        </w:rPr>
        <w:t>by</w:t>
      </w:r>
      <w:r>
        <w:rPr>
          <w:color w:val="231F20"/>
          <w:spacing w:val="9"/>
          <w:w w:val="110"/>
        </w:rPr>
        <w:t> </w:t>
      </w:r>
      <w:r>
        <w:rPr>
          <w:color w:val="231F20"/>
          <w:w w:val="110"/>
        </w:rPr>
        <w:t>a</w:t>
      </w:r>
      <w:r>
        <w:rPr>
          <w:color w:val="231F20"/>
          <w:spacing w:val="8"/>
          <w:w w:val="110"/>
        </w:rPr>
        <w:t> </w:t>
      </w:r>
      <w:r>
        <w:rPr>
          <w:color w:val="231F20"/>
          <w:w w:val="110"/>
        </w:rPr>
        <w:t>famed</w:t>
      </w:r>
    </w:p>
    <w:p>
      <w:pPr>
        <w:pStyle w:val="BodyText"/>
        <w:spacing w:line="273" w:lineRule="auto" w:before="3"/>
        <w:ind w:left="673" w:right="1829"/>
      </w:pPr>
      <w:r>
        <w:rPr>
          <w:color w:val="231F20"/>
          <w:w w:val="110"/>
        </w:rPr>
        <w:t>deaf educator. The plight of poor deaf children troubled </w:t>
      </w:r>
      <w:r>
        <w:rPr>
          <w:color w:val="231F20"/>
          <w:spacing w:val="2"/>
          <w:w w:val="110"/>
        </w:rPr>
        <w:t>Mrs </w:t>
      </w:r>
      <w:r>
        <w:rPr>
          <w:color w:val="231F20"/>
          <w:w w:val="110"/>
        </w:rPr>
        <w:t>Creasy, so she raised it with her </w:t>
      </w:r>
      <w:r>
        <w:rPr>
          <w:color w:val="231F20"/>
          <w:spacing w:val="-3"/>
          <w:w w:val="110"/>
        </w:rPr>
        <w:t>minister. Townsend </w:t>
      </w:r>
      <w:r>
        <w:rPr>
          <w:color w:val="231F20"/>
          <w:w w:val="110"/>
        </w:rPr>
        <w:t>set about researching the problem, discovered its considerable scope, and then began energetically networking across the evangelical world,</w:t>
      </w:r>
      <w:r>
        <w:rPr>
          <w:color w:val="231F20"/>
          <w:spacing w:val="-13"/>
          <w:w w:val="110"/>
        </w:rPr>
        <w:t> </w:t>
      </w:r>
      <w:r>
        <w:rPr>
          <w:color w:val="231F20"/>
          <w:w w:val="110"/>
        </w:rPr>
        <w:t>enlisting</w:t>
      </w:r>
    </w:p>
    <w:p>
      <w:pPr>
        <w:pStyle w:val="BodyText"/>
        <w:spacing w:line="273" w:lineRule="auto" w:before="1"/>
        <w:ind w:left="673" w:right="2061"/>
      </w:pPr>
      <w:r>
        <w:rPr>
          <w:color w:val="231F20"/>
          <w:w w:val="110"/>
        </w:rPr>
        <w:t>the support of MPs </w:t>
      </w:r>
      <w:r>
        <w:rPr>
          <w:color w:val="231F20"/>
          <w:spacing w:val="-3"/>
          <w:w w:val="110"/>
        </w:rPr>
        <w:t>like </w:t>
      </w:r>
      <w:r>
        <w:rPr>
          <w:color w:val="231F20"/>
          <w:w w:val="110"/>
        </w:rPr>
        <w:t>William Wilberforce and bankers </w:t>
      </w:r>
      <w:r>
        <w:rPr>
          <w:color w:val="231F20"/>
          <w:spacing w:val="-3"/>
          <w:w w:val="110"/>
        </w:rPr>
        <w:t>like </w:t>
      </w:r>
      <w:r>
        <w:rPr>
          <w:color w:val="231F20"/>
          <w:w w:val="110"/>
        </w:rPr>
        <w:t>Henry Thornton.  Within five months the Bermondsey Asylum for the Support and Education of Deaf and Dumb Children of the Poor opened its </w:t>
      </w:r>
      <w:r>
        <w:rPr>
          <w:color w:val="231F20"/>
          <w:spacing w:val="2"/>
          <w:w w:val="110"/>
        </w:rPr>
        <w:t>doors </w:t>
      </w:r>
      <w:r>
        <w:rPr>
          <w:color w:val="231F20"/>
          <w:w w:val="110"/>
        </w:rPr>
        <w:t>in </w:t>
      </w:r>
      <w:r>
        <w:rPr>
          <w:color w:val="231F20"/>
          <w:spacing w:val="-4"/>
          <w:w w:val="110"/>
        </w:rPr>
        <w:t>1792, </w:t>
      </w:r>
      <w:r>
        <w:rPr>
          <w:color w:val="231F20"/>
          <w:w w:val="110"/>
        </w:rPr>
        <w:t>with six pupils. It was to thrive, and in 1807 gained royal</w:t>
      </w:r>
      <w:r>
        <w:rPr>
          <w:color w:val="231F20"/>
          <w:spacing w:val="3"/>
          <w:w w:val="110"/>
        </w:rPr>
        <w:t> </w:t>
      </w:r>
      <w:r>
        <w:rPr>
          <w:color w:val="231F20"/>
          <w:w w:val="110"/>
        </w:rPr>
        <w:t>patronage.</w:t>
      </w:r>
    </w:p>
    <w:p>
      <w:pPr>
        <w:pStyle w:val="BodyText"/>
        <w:spacing w:before="10"/>
        <w:rPr>
          <w:sz w:val="20"/>
        </w:rPr>
      </w:pPr>
    </w:p>
    <w:p>
      <w:pPr>
        <w:pStyle w:val="BodyText"/>
        <w:spacing w:line="273" w:lineRule="auto"/>
        <w:ind w:left="673" w:right="1829"/>
      </w:pPr>
      <w:r>
        <w:rPr>
          <w:color w:val="231F20"/>
          <w:w w:val="110"/>
        </w:rPr>
        <w:t>By </w:t>
      </w:r>
      <w:r>
        <w:rPr>
          <w:color w:val="231F20"/>
          <w:spacing w:val="-6"/>
          <w:w w:val="110"/>
        </w:rPr>
        <w:t>1811 </w:t>
      </w:r>
      <w:r>
        <w:rPr>
          <w:color w:val="231F20"/>
          <w:w w:val="110"/>
        </w:rPr>
        <w:t>Townsend was a figure in London Congregationalism, having added Orange Street Chapel near Leicester Square to his ministry in Bermondsey. Although his stipend allowed him to live in </w:t>
      </w:r>
      <w:r>
        <w:rPr>
          <w:color w:val="231F20"/>
          <w:spacing w:val="2"/>
          <w:w w:val="110"/>
        </w:rPr>
        <w:t>comfort </w:t>
      </w:r>
      <w:r>
        <w:rPr>
          <w:color w:val="231F20"/>
          <w:w w:val="110"/>
        </w:rPr>
        <w:t>and charitable benevolence, he was painfully aware</w:t>
      </w:r>
      <w:r>
        <w:rPr>
          <w:color w:val="231F20"/>
          <w:spacing w:val="6"/>
          <w:w w:val="110"/>
        </w:rPr>
        <w:t> </w:t>
      </w:r>
      <w:r>
        <w:rPr>
          <w:color w:val="231F20"/>
          <w:w w:val="110"/>
        </w:rPr>
        <w:t>of</w:t>
      </w:r>
    </w:p>
    <w:p>
      <w:pPr>
        <w:pStyle w:val="BodyText"/>
        <w:spacing w:before="2"/>
        <w:ind w:left="673"/>
      </w:pPr>
      <w:r>
        <w:rPr>
          <w:color w:val="231F20"/>
          <w:w w:val="110"/>
        </w:rPr>
        <w:t>the plight of his lower paid colleagues, and dreamt of a school for their children</w:t>
      </w:r>
      <w:r>
        <w:rPr>
          <w:color w:val="231F20"/>
          <w:spacing w:val="53"/>
          <w:w w:val="110"/>
        </w:rPr>
        <w:t> </w:t>
      </w:r>
      <w:r>
        <w:rPr>
          <w:color w:val="231F20"/>
          <w:w w:val="110"/>
        </w:rPr>
        <w:t>(there</w:t>
      </w:r>
    </w:p>
    <w:p>
      <w:pPr>
        <w:pStyle w:val="BodyText"/>
        <w:spacing w:before="31"/>
        <w:ind w:left="673"/>
      </w:pPr>
      <w:r>
        <w:rPr>
          <w:color w:val="231F20"/>
          <w:w w:val="110"/>
        </w:rPr>
        <w:t>was no state provision). In October that year the first Congregational school began in</w:t>
      </w:r>
    </w:p>
    <w:p>
      <w:pPr>
        <w:spacing w:after="0"/>
        <w:sectPr>
          <w:headerReference w:type="even" r:id="rId15"/>
          <w:headerReference w:type="default" r:id="rId16"/>
          <w:pgSz w:w="11910" w:h="16840"/>
          <w:pgMar w:header="581" w:footer="564" w:top="860" w:bottom="760" w:left="460" w:right="0"/>
        </w:sectPr>
      </w:pPr>
    </w:p>
    <w:p>
      <w:pPr>
        <w:pStyle w:val="BodyText"/>
        <w:spacing w:before="10"/>
        <w:rPr>
          <w:sz w:val="11"/>
        </w:rPr>
      </w:pPr>
    </w:p>
    <w:p>
      <w:pPr>
        <w:pStyle w:val="BodyText"/>
        <w:spacing w:line="273" w:lineRule="auto" w:before="101"/>
        <w:ind w:left="1240" w:right="1143"/>
      </w:pPr>
      <w:r>
        <w:rPr>
          <w:color w:val="231F20"/>
          <w:w w:val="110"/>
        </w:rPr>
        <w:t>Newington, at a rate of 25 guineas per child with ‘washing, pens and ink included’. It moved to Lewisham in </w:t>
      </w:r>
      <w:r>
        <w:rPr>
          <w:color w:val="231F20"/>
          <w:spacing w:val="-7"/>
          <w:w w:val="110"/>
        </w:rPr>
        <w:t>1814, </w:t>
      </w:r>
      <w:r>
        <w:rPr>
          <w:color w:val="231F20"/>
          <w:w w:val="110"/>
        </w:rPr>
        <w:t>and to Caterham in 1883. Meanwhile Townsend preached, presided at the sacraments, raised funds, and played a </w:t>
      </w:r>
      <w:r>
        <w:rPr>
          <w:color w:val="231F20"/>
          <w:spacing w:val="2"/>
          <w:w w:val="110"/>
        </w:rPr>
        <w:t>part </w:t>
      </w:r>
      <w:r>
        <w:rPr>
          <w:color w:val="231F20"/>
          <w:w w:val="110"/>
        </w:rPr>
        <w:t>in founding what </w:t>
      </w:r>
      <w:r>
        <w:rPr>
          <w:color w:val="231F20"/>
          <w:spacing w:val="2"/>
          <w:w w:val="110"/>
        </w:rPr>
        <w:t>became </w:t>
      </w:r>
      <w:r>
        <w:rPr>
          <w:color w:val="231F20"/>
          <w:spacing w:val="73"/>
          <w:w w:val="110"/>
        </w:rPr>
        <w:t> </w:t>
      </w:r>
      <w:r>
        <w:rPr>
          <w:color w:val="231F20"/>
          <w:w w:val="110"/>
        </w:rPr>
        <w:t>the</w:t>
      </w:r>
      <w:r>
        <w:rPr>
          <w:color w:val="231F20"/>
          <w:spacing w:val="10"/>
          <w:w w:val="110"/>
        </w:rPr>
        <w:t> </w:t>
      </w:r>
      <w:r>
        <w:rPr>
          <w:color w:val="231F20"/>
          <w:w w:val="110"/>
        </w:rPr>
        <w:t>London</w:t>
      </w:r>
      <w:r>
        <w:rPr>
          <w:color w:val="231F20"/>
          <w:spacing w:val="10"/>
          <w:w w:val="110"/>
        </w:rPr>
        <w:t> </w:t>
      </w:r>
      <w:r>
        <w:rPr>
          <w:color w:val="231F20"/>
          <w:w w:val="110"/>
        </w:rPr>
        <w:t>Missionary</w:t>
      </w:r>
      <w:r>
        <w:rPr>
          <w:color w:val="231F20"/>
          <w:spacing w:val="10"/>
          <w:w w:val="110"/>
        </w:rPr>
        <w:t> </w:t>
      </w:r>
      <w:r>
        <w:rPr>
          <w:color w:val="231F20"/>
          <w:spacing w:val="2"/>
          <w:w w:val="110"/>
        </w:rPr>
        <w:t>Society</w:t>
      </w:r>
      <w:r>
        <w:rPr>
          <w:color w:val="231F20"/>
          <w:spacing w:val="10"/>
          <w:w w:val="110"/>
        </w:rPr>
        <w:t> </w:t>
      </w:r>
      <w:r>
        <w:rPr>
          <w:color w:val="231F20"/>
          <w:w w:val="110"/>
        </w:rPr>
        <w:t>in</w:t>
      </w:r>
      <w:r>
        <w:rPr>
          <w:color w:val="231F20"/>
          <w:spacing w:val="11"/>
          <w:w w:val="110"/>
        </w:rPr>
        <w:t> </w:t>
      </w:r>
      <w:r>
        <w:rPr>
          <w:color w:val="231F20"/>
          <w:spacing w:val="-4"/>
          <w:w w:val="110"/>
        </w:rPr>
        <w:t>1795</w:t>
      </w:r>
      <w:r>
        <w:rPr>
          <w:color w:val="231F20"/>
          <w:spacing w:val="10"/>
          <w:w w:val="110"/>
        </w:rPr>
        <w:t> </w:t>
      </w:r>
      <w:r>
        <w:rPr>
          <w:color w:val="231F20"/>
          <w:w w:val="110"/>
        </w:rPr>
        <w:t>and</w:t>
      </w:r>
      <w:r>
        <w:rPr>
          <w:color w:val="231F20"/>
          <w:spacing w:val="10"/>
          <w:w w:val="110"/>
        </w:rPr>
        <w:t> </w:t>
      </w:r>
      <w:r>
        <w:rPr>
          <w:color w:val="231F20"/>
          <w:w w:val="110"/>
        </w:rPr>
        <w:t>the</w:t>
      </w:r>
      <w:r>
        <w:rPr>
          <w:color w:val="231F20"/>
          <w:spacing w:val="10"/>
          <w:w w:val="110"/>
        </w:rPr>
        <w:t> </w:t>
      </w:r>
      <w:r>
        <w:rPr>
          <w:color w:val="231F20"/>
          <w:w w:val="110"/>
        </w:rPr>
        <w:t>British</w:t>
      </w:r>
      <w:r>
        <w:rPr>
          <w:color w:val="231F20"/>
          <w:spacing w:val="10"/>
          <w:w w:val="110"/>
        </w:rPr>
        <w:t> </w:t>
      </w:r>
      <w:r>
        <w:rPr>
          <w:color w:val="231F20"/>
          <w:w w:val="110"/>
        </w:rPr>
        <w:t>and</w:t>
      </w:r>
      <w:r>
        <w:rPr>
          <w:color w:val="231F20"/>
          <w:spacing w:val="11"/>
          <w:w w:val="110"/>
        </w:rPr>
        <w:t> </w:t>
      </w:r>
      <w:r>
        <w:rPr>
          <w:color w:val="231F20"/>
          <w:w w:val="110"/>
        </w:rPr>
        <w:t>Foreign</w:t>
      </w:r>
      <w:r>
        <w:rPr>
          <w:color w:val="231F20"/>
          <w:spacing w:val="10"/>
          <w:w w:val="110"/>
        </w:rPr>
        <w:t> </w:t>
      </w:r>
      <w:r>
        <w:rPr>
          <w:color w:val="231F20"/>
          <w:w w:val="110"/>
        </w:rPr>
        <w:t>Bible</w:t>
      </w:r>
      <w:r>
        <w:rPr>
          <w:color w:val="231F20"/>
          <w:spacing w:val="10"/>
          <w:w w:val="110"/>
        </w:rPr>
        <w:t> </w:t>
      </w:r>
      <w:r>
        <w:rPr>
          <w:color w:val="231F20"/>
          <w:spacing w:val="2"/>
          <w:w w:val="110"/>
        </w:rPr>
        <w:t>Society</w:t>
      </w:r>
      <w:r>
        <w:rPr>
          <w:color w:val="231F20"/>
          <w:spacing w:val="10"/>
          <w:w w:val="110"/>
        </w:rPr>
        <w:t> </w:t>
      </w:r>
      <w:r>
        <w:rPr>
          <w:color w:val="231F20"/>
          <w:w w:val="110"/>
        </w:rPr>
        <w:t>in</w:t>
      </w:r>
      <w:r>
        <w:rPr>
          <w:color w:val="231F20"/>
          <w:spacing w:val="10"/>
          <w:w w:val="110"/>
        </w:rPr>
        <w:t> </w:t>
      </w:r>
      <w:r>
        <w:rPr>
          <w:color w:val="231F20"/>
          <w:w w:val="110"/>
        </w:rPr>
        <w:t>1804.</w:t>
      </w:r>
    </w:p>
    <w:p>
      <w:pPr>
        <w:pStyle w:val="BodyText"/>
        <w:spacing w:before="9"/>
        <w:rPr>
          <w:sz w:val="20"/>
        </w:rPr>
      </w:pPr>
    </w:p>
    <w:p>
      <w:pPr>
        <w:pStyle w:val="BodyText"/>
        <w:spacing w:line="273" w:lineRule="auto"/>
        <w:ind w:left="1240" w:right="1264"/>
      </w:pPr>
      <w:r>
        <w:rPr>
          <w:color w:val="231F20"/>
          <w:w w:val="110"/>
        </w:rPr>
        <w:t>Within a generation it was easy to mock such philanthropy, </w:t>
      </w:r>
      <w:r>
        <w:rPr>
          <w:color w:val="231F20"/>
          <w:spacing w:val="2"/>
          <w:w w:val="110"/>
        </w:rPr>
        <w:t>because </w:t>
      </w:r>
      <w:r>
        <w:rPr>
          <w:color w:val="231F20"/>
          <w:w w:val="110"/>
        </w:rPr>
        <w:t>goodness </w:t>
      </w:r>
      <w:r>
        <w:rPr>
          <w:color w:val="231F20"/>
          <w:spacing w:val="2"/>
          <w:w w:val="110"/>
        </w:rPr>
        <w:t>often  </w:t>
      </w:r>
      <w:r>
        <w:rPr>
          <w:color w:val="231F20"/>
          <w:w w:val="110"/>
        </w:rPr>
        <w:t>walks hand in hand with hypocrisy, as Dickens and others showed. That is to miss the point that Townsend was a man called by God, living under the discipline of the gospel, who made the world a </w:t>
      </w:r>
      <w:r>
        <w:rPr>
          <w:color w:val="231F20"/>
          <w:spacing w:val="2"/>
          <w:w w:val="110"/>
        </w:rPr>
        <w:t>better </w:t>
      </w:r>
      <w:r>
        <w:rPr>
          <w:color w:val="231F20"/>
          <w:w w:val="110"/>
        </w:rPr>
        <w:t>place. He did that by responding to needs. Thanks to his legacy, thousands of deaf people have received proper education, and thousands of  pupils have benefited </w:t>
      </w:r>
      <w:r>
        <w:rPr>
          <w:color w:val="231F20"/>
          <w:spacing w:val="2"/>
          <w:w w:val="110"/>
        </w:rPr>
        <w:t>from </w:t>
      </w:r>
      <w:r>
        <w:rPr>
          <w:color w:val="231F20"/>
          <w:w w:val="110"/>
        </w:rPr>
        <w:t>the Christian ethos that remains central to Caterham’s vision. And that is </w:t>
      </w:r>
      <w:r>
        <w:rPr>
          <w:color w:val="231F20"/>
          <w:spacing w:val="2"/>
          <w:w w:val="110"/>
        </w:rPr>
        <w:t>before </w:t>
      </w:r>
      <w:r>
        <w:rPr>
          <w:color w:val="231F20"/>
          <w:w w:val="110"/>
        </w:rPr>
        <w:t>LMS/CWM and the Bible </w:t>
      </w:r>
      <w:r>
        <w:rPr>
          <w:color w:val="231F20"/>
          <w:spacing w:val="2"/>
          <w:w w:val="110"/>
        </w:rPr>
        <w:t>Society </w:t>
      </w:r>
      <w:r>
        <w:rPr>
          <w:color w:val="231F20"/>
          <w:w w:val="110"/>
        </w:rPr>
        <w:t>are taken into account. He was not unusual – this is a </w:t>
      </w:r>
      <w:r>
        <w:rPr>
          <w:color w:val="231F20"/>
          <w:spacing w:val="3"/>
          <w:w w:val="110"/>
        </w:rPr>
        <w:t>story </w:t>
      </w:r>
      <w:r>
        <w:rPr>
          <w:color w:val="231F20"/>
          <w:w w:val="110"/>
        </w:rPr>
        <w:t>that could be replicated </w:t>
      </w:r>
      <w:r>
        <w:rPr>
          <w:color w:val="231F20"/>
          <w:spacing w:val="2"/>
          <w:w w:val="110"/>
        </w:rPr>
        <w:t>across </w:t>
      </w:r>
      <w:r>
        <w:rPr>
          <w:color w:val="231F20"/>
          <w:w w:val="110"/>
        </w:rPr>
        <w:t>our three</w:t>
      </w:r>
      <w:r>
        <w:rPr>
          <w:color w:val="231F20"/>
          <w:spacing w:val="45"/>
          <w:w w:val="110"/>
        </w:rPr>
        <w:t> </w:t>
      </w:r>
      <w:r>
        <w:rPr>
          <w:color w:val="231F20"/>
          <w:w w:val="110"/>
        </w:rPr>
        <w:t>nations.</w:t>
      </w:r>
    </w:p>
    <w:p>
      <w:pPr>
        <w:pStyle w:val="BodyText"/>
        <w:spacing w:before="11"/>
        <w:rPr>
          <w:sz w:val="20"/>
        </w:rPr>
      </w:pPr>
    </w:p>
    <w:p>
      <w:pPr>
        <w:pStyle w:val="Heading9"/>
      </w:pPr>
      <w:r>
        <w:rPr>
          <w:color w:val="231F20"/>
          <w:w w:val="110"/>
        </w:rPr>
        <w:t>Fast forward to the church of 2007….</w:t>
      </w:r>
    </w:p>
    <w:p>
      <w:pPr>
        <w:pStyle w:val="BodyText"/>
        <w:spacing w:line="273" w:lineRule="auto" w:before="258"/>
        <w:ind w:left="1240" w:right="1194"/>
      </w:pPr>
      <w:r>
        <w:rPr>
          <w:color w:val="231F20"/>
          <w:w w:val="110"/>
        </w:rPr>
        <w:t>Ours is a different world to the one John Townsend knew, not least because the state has responsibility for much which in his day was either done by philanthropists or left undone.</w:t>
      </w:r>
    </w:p>
    <w:p>
      <w:pPr>
        <w:pStyle w:val="BodyText"/>
        <w:spacing w:before="8"/>
        <w:rPr>
          <w:sz w:val="20"/>
        </w:rPr>
      </w:pPr>
    </w:p>
    <w:p>
      <w:pPr>
        <w:pStyle w:val="BodyText"/>
        <w:spacing w:line="273" w:lineRule="auto" w:before="1"/>
        <w:ind w:left="1240" w:right="1365"/>
      </w:pPr>
      <w:r>
        <w:rPr>
          <w:color w:val="231F20"/>
          <w:w w:val="110"/>
        </w:rPr>
        <w:t>Each year the Congregational and General Insurance Company funds community  awards, which support innovative, cutting edge work in local churches. This year the finalists included an experimental café church in Colchester reaching 200 people on Sunday afternoons, a drop-in centre for young people at New Mills, and an ecumenical youth church in </w:t>
      </w:r>
      <w:r>
        <w:rPr>
          <w:color w:val="231F20"/>
          <w:spacing w:val="-5"/>
          <w:w w:val="110"/>
        </w:rPr>
        <w:t>Tadley, </w:t>
      </w:r>
      <w:r>
        <w:rPr>
          <w:color w:val="231F20"/>
          <w:w w:val="110"/>
        </w:rPr>
        <w:t>run largely by young people themselves. And they are the tip of a huge ice-berg. God’s people continue to make a</w:t>
      </w:r>
      <w:r>
        <w:rPr>
          <w:color w:val="231F20"/>
          <w:spacing w:val="24"/>
          <w:w w:val="110"/>
        </w:rPr>
        <w:t> </w:t>
      </w:r>
      <w:r>
        <w:rPr>
          <w:color w:val="231F20"/>
          <w:w w:val="110"/>
        </w:rPr>
        <w:t>difference.</w:t>
      </w:r>
    </w:p>
    <w:p>
      <w:pPr>
        <w:pStyle w:val="BodyText"/>
        <w:spacing w:before="10"/>
        <w:rPr>
          <w:sz w:val="20"/>
        </w:rPr>
      </w:pPr>
    </w:p>
    <w:p>
      <w:pPr>
        <w:pStyle w:val="BodyText"/>
        <w:spacing w:line="273" w:lineRule="auto"/>
        <w:ind w:left="1240" w:right="1403"/>
      </w:pPr>
      <w:r>
        <w:rPr>
          <w:color w:val="231F20"/>
          <w:w w:val="110"/>
        </w:rPr>
        <w:t>But, we live in a culture that is </w:t>
      </w:r>
      <w:r>
        <w:rPr>
          <w:color w:val="231F20"/>
          <w:spacing w:val="2"/>
          <w:w w:val="110"/>
        </w:rPr>
        <w:t>obsessed </w:t>
      </w:r>
      <w:r>
        <w:rPr>
          <w:color w:val="231F20"/>
          <w:w w:val="110"/>
        </w:rPr>
        <w:t>by what is quantifiable. Fortunately, God has never shared that outlook. In God’s economy, mustard </w:t>
      </w:r>
      <w:r>
        <w:rPr>
          <w:color w:val="231F20"/>
          <w:spacing w:val="2"/>
          <w:w w:val="110"/>
        </w:rPr>
        <w:t>seeds </w:t>
      </w:r>
      <w:r>
        <w:rPr>
          <w:color w:val="231F20"/>
          <w:w w:val="110"/>
        </w:rPr>
        <w:t>have enormous potential and mountains move, widow’s mites finance revolution, while five loaves and two fish feed a great crowd. John Townsend’s concern grew two schools that have ridden the waves of change for nearly 200 years. God’s way of working is alive and well in New Mills, Colchester, </w:t>
      </w:r>
      <w:r>
        <w:rPr>
          <w:color w:val="231F20"/>
          <w:spacing w:val="-3"/>
          <w:w w:val="110"/>
        </w:rPr>
        <w:t>Tadley </w:t>
      </w:r>
      <w:r>
        <w:rPr>
          <w:color w:val="231F20"/>
          <w:w w:val="110"/>
        </w:rPr>
        <w:t>and many other places when needs are perceived, an </w:t>
      </w:r>
      <w:r>
        <w:rPr>
          <w:color w:val="231F20"/>
          <w:spacing w:val="2"/>
          <w:w w:val="110"/>
        </w:rPr>
        <w:t>offering  </w:t>
      </w:r>
      <w:r>
        <w:rPr>
          <w:color w:val="231F20"/>
          <w:w w:val="110"/>
        </w:rPr>
        <w:t>of </w:t>
      </w:r>
      <w:r>
        <w:rPr>
          <w:color w:val="231F20"/>
          <w:spacing w:val="2"/>
          <w:w w:val="110"/>
        </w:rPr>
        <w:t>service </w:t>
      </w:r>
      <w:r>
        <w:rPr>
          <w:color w:val="231F20"/>
          <w:w w:val="110"/>
        </w:rPr>
        <w:t>is made and Jesus is set </w:t>
      </w:r>
      <w:r>
        <w:rPr>
          <w:color w:val="231F20"/>
          <w:spacing w:val="2"/>
          <w:w w:val="110"/>
        </w:rPr>
        <w:t>free </w:t>
      </w:r>
      <w:r>
        <w:rPr>
          <w:color w:val="231F20"/>
          <w:w w:val="110"/>
        </w:rPr>
        <w:t>in word and deed. Let us keep church </w:t>
      </w:r>
      <w:r>
        <w:rPr>
          <w:color w:val="231F20"/>
          <w:spacing w:val="2"/>
          <w:w w:val="110"/>
        </w:rPr>
        <w:t>statistics </w:t>
      </w:r>
      <w:r>
        <w:rPr>
          <w:color w:val="231F20"/>
          <w:w w:val="110"/>
        </w:rPr>
        <w:t>and</w:t>
      </w:r>
      <w:r>
        <w:rPr>
          <w:color w:val="231F20"/>
          <w:spacing w:val="7"/>
          <w:w w:val="110"/>
        </w:rPr>
        <w:t> </w:t>
      </w:r>
      <w:r>
        <w:rPr>
          <w:color w:val="231F20"/>
          <w:w w:val="110"/>
        </w:rPr>
        <w:t>finance</w:t>
      </w:r>
      <w:r>
        <w:rPr>
          <w:color w:val="231F20"/>
          <w:spacing w:val="7"/>
          <w:w w:val="110"/>
        </w:rPr>
        <w:t> </w:t>
      </w:r>
      <w:r>
        <w:rPr>
          <w:color w:val="231F20"/>
          <w:w w:val="110"/>
        </w:rPr>
        <w:t>in</w:t>
      </w:r>
      <w:r>
        <w:rPr>
          <w:color w:val="231F20"/>
          <w:spacing w:val="7"/>
          <w:w w:val="110"/>
        </w:rPr>
        <w:t> </w:t>
      </w:r>
      <w:r>
        <w:rPr>
          <w:color w:val="231F20"/>
          <w:w w:val="110"/>
        </w:rPr>
        <w:t>their</w:t>
      </w:r>
      <w:r>
        <w:rPr>
          <w:color w:val="231F20"/>
          <w:spacing w:val="6"/>
          <w:w w:val="110"/>
        </w:rPr>
        <w:t> </w:t>
      </w:r>
      <w:r>
        <w:rPr>
          <w:color w:val="231F20"/>
          <w:w w:val="110"/>
        </w:rPr>
        <w:t>place</w:t>
      </w:r>
      <w:r>
        <w:rPr>
          <w:color w:val="231F20"/>
          <w:spacing w:val="7"/>
          <w:w w:val="110"/>
        </w:rPr>
        <w:t> </w:t>
      </w:r>
      <w:r>
        <w:rPr>
          <w:color w:val="231F20"/>
          <w:w w:val="110"/>
        </w:rPr>
        <w:t>so</w:t>
      </w:r>
      <w:r>
        <w:rPr>
          <w:color w:val="231F20"/>
          <w:spacing w:val="8"/>
          <w:w w:val="110"/>
        </w:rPr>
        <w:t> </w:t>
      </w:r>
      <w:r>
        <w:rPr>
          <w:color w:val="231F20"/>
          <w:w w:val="110"/>
        </w:rPr>
        <w:t>we</w:t>
      </w:r>
      <w:r>
        <w:rPr>
          <w:color w:val="231F20"/>
          <w:spacing w:val="7"/>
          <w:w w:val="110"/>
        </w:rPr>
        <w:t> </w:t>
      </w:r>
      <w:r>
        <w:rPr>
          <w:color w:val="231F20"/>
          <w:w w:val="110"/>
        </w:rPr>
        <w:t>can</w:t>
      </w:r>
      <w:r>
        <w:rPr>
          <w:color w:val="231F20"/>
          <w:spacing w:val="7"/>
          <w:w w:val="110"/>
        </w:rPr>
        <w:t> </w:t>
      </w:r>
      <w:r>
        <w:rPr>
          <w:color w:val="231F20"/>
          <w:w w:val="110"/>
        </w:rPr>
        <w:t>give</w:t>
      </w:r>
      <w:r>
        <w:rPr>
          <w:color w:val="231F20"/>
          <w:spacing w:val="7"/>
          <w:w w:val="110"/>
        </w:rPr>
        <w:t> </w:t>
      </w:r>
      <w:r>
        <w:rPr>
          <w:color w:val="231F20"/>
          <w:spacing w:val="2"/>
          <w:w w:val="110"/>
        </w:rPr>
        <w:t>priority</w:t>
      </w:r>
      <w:r>
        <w:rPr>
          <w:color w:val="231F20"/>
          <w:spacing w:val="7"/>
          <w:w w:val="110"/>
        </w:rPr>
        <w:t> </w:t>
      </w:r>
      <w:r>
        <w:rPr>
          <w:color w:val="231F20"/>
          <w:w w:val="110"/>
        </w:rPr>
        <w:t>to</w:t>
      </w:r>
      <w:r>
        <w:rPr>
          <w:color w:val="231F20"/>
          <w:spacing w:val="7"/>
          <w:w w:val="110"/>
        </w:rPr>
        <w:t> </w:t>
      </w:r>
      <w:r>
        <w:rPr>
          <w:color w:val="231F20"/>
          <w:w w:val="110"/>
        </w:rPr>
        <w:t>creating</w:t>
      </w:r>
      <w:r>
        <w:rPr>
          <w:color w:val="231F20"/>
          <w:spacing w:val="8"/>
          <w:w w:val="110"/>
        </w:rPr>
        <w:t> </w:t>
      </w:r>
      <w:r>
        <w:rPr>
          <w:color w:val="231F20"/>
          <w:w w:val="110"/>
        </w:rPr>
        <w:t>windows</w:t>
      </w:r>
      <w:r>
        <w:rPr>
          <w:color w:val="231F20"/>
          <w:spacing w:val="7"/>
          <w:w w:val="110"/>
        </w:rPr>
        <w:t> </w:t>
      </w:r>
      <w:r>
        <w:rPr>
          <w:color w:val="231F20"/>
          <w:w w:val="110"/>
        </w:rPr>
        <w:t>for</w:t>
      </w:r>
      <w:r>
        <w:rPr>
          <w:color w:val="231F20"/>
          <w:spacing w:val="7"/>
          <w:w w:val="110"/>
        </w:rPr>
        <w:t> </w:t>
      </w:r>
      <w:r>
        <w:rPr>
          <w:color w:val="231F20"/>
          <w:w w:val="110"/>
        </w:rPr>
        <w:t>the</w:t>
      </w:r>
      <w:r>
        <w:rPr>
          <w:color w:val="231F20"/>
          <w:spacing w:val="7"/>
          <w:w w:val="110"/>
        </w:rPr>
        <w:t> </w:t>
      </w:r>
      <w:r>
        <w:rPr>
          <w:color w:val="231F20"/>
          <w:w w:val="110"/>
        </w:rPr>
        <w:t>kingdom.</w:t>
      </w:r>
    </w:p>
    <w:p>
      <w:pPr>
        <w:pStyle w:val="BodyText"/>
        <w:spacing w:before="11"/>
        <w:rPr>
          <w:sz w:val="20"/>
        </w:rPr>
      </w:pPr>
    </w:p>
    <w:p>
      <w:pPr>
        <w:pStyle w:val="Heading9"/>
        <w:spacing w:line="244" w:lineRule="auto"/>
        <w:ind w:right="1593"/>
      </w:pPr>
      <w:r>
        <w:rPr>
          <w:color w:val="231F20"/>
          <w:w w:val="110"/>
        </w:rPr>
        <w:t>God’s people, transformed by the gospel, making a difference.</w:t>
      </w:r>
    </w:p>
    <w:p>
      <w:pPr>
        <w:pStyle w:val="BodyText"/>
        <w:spacing w:line="273" w:lineRule="auto" w:before="252"/>
        <w:ind w:left="1240" w:right="1593"/>
      </w:pPr>
      <w:r>
        <w:rPr>
          <w:color w:val="231F20"/>
          <w:w w:val="110"/>
        </w:rPr>
        <w:t>An immense amount of work has been undertaken this year by many people to implement the decisions taken by Assembly in 2005 and 2006. Some of that work is reported in the following sections:</w:t>
      </w:r>
    </w:p>
    <w:p>
      <w:pPr>
        <w:pStyle w:val="BodyText"/>
        <w:spacing w:before="9"/>
        <w:rPr>
          <w:sz w:val="20"/>
        </w:rPr>
      </w:pPr>
    </w:p>
    <w:p>
      <w:pPr>
        <w:spacing w:before="0"/>
        <w:ind w:left="1240" w:right="0" w:firstLine="0"/>
        <w:jc w:val="left"/>
        <w:rPr>
          <w:sz w:val="18"/>
        </w:rPr>
      </w:pPr>
      <w:r>
        <w:rPr>
          <w:b/>
          <w:color w:val="231F20"/>
          <w:w w:val="110"/>
          <w:sz w:val="18"/>
        </w:rPr>
        <w:t>Changes to the Basis and </w:t>
      </w:r>
      <w:r>
        <w:rPr>
          <w:b/>
          <w:color w:val="231F20"/>
          <w:spacing w:val="2"/>
          <w:w w:val="110"/>
          <w:sz w:val="18"/>
        </w:rPr>
        <w:t>Structure </w:t>
      </w:r>
      <w:r>
        <w:rPr>
          <w:b/>
          <w:color w:val="231F20"/>
          <w:w w:val="110"/>
          <w:sz w:val="18"/>
        </w:rPr>
        <w:t>proposal </w:t>
      </w:r>
      <w:r>
        <w:rPr>
          <w:color w:val="231F20"/>
          <w:w w:val="110"/>
          <w:sz w:val="18"/>
        </w:rPr>
        <w:t>(pages </w:t>
      </w:r>
      <w:r>
        <w:rPr>
          <w:color w:val="231F20"/>
          <w:spacing w:val="-4"/>
          <w:w w:val="110"/>
          <w:sz w:val="18"/>
        </w:rPr>
        <w:t>85-93) </w:t>
      </w:r>
      <w:r>
        <w:rPr>
          <w:color w:val="231F20"/>
          <w:w w:val="110"/>
          <w:sz w:val="18"/>
        </w:rPr>
        <w:t>details a way in</w:t>
      </w:r>
      <w:r>
        <w:rPr>
          <w:color w:val="231F20"/>
          <w:spacing w:val="64"/>
          <w:w w:val="110"/>
          <w:sz w:val="18"/>
        </w:rPr>
        <w:t> </w:t>
      </w:r>
      <w:r>
        <w:rPr>
          <w:color w:val="231F20"/>
          <w:w w:val="110"/>
          <w:sz w:val="18"/>
        </w:rPr>
        <w:t>which</w:t>
      </w:r>
    </w:p>
    <w:p>
      <w:pPr>
        <w:pStyle w:val="BodyText"/>
        <w:spacing w:before="31"/>
        <w:ind w:left="1240"/>
      </w:pPr>
      <w:r>
        <w:rPr>
          <w:color w:val="231F20"/>
          <w:w w:val="110"/>
        </w:rPr>
        <w:t>the church can proceed with the conciliar changes it agreed in 2005 and ratified in 2006.</w:t>
      </w:r>
    </w:p>
    <w:p>
      <w:pPr>
        <w:pStyle w:val="BodyText"/>
        <w:spacing w:line="273" w:lineRule="auto" w:before="31"/>
        <w:ind w:left="1240" w:right="1565"/>
      </w:pPr>
      <w:r>
        <w:rPr>
          <w:color w:val="231F20"/>
          <w:w w:val="110"/>
        </w:rPr>
        <w:t>If we follow this route, we will avoid the expense of procuring a </w:t>
      </w:r>
      <w:r>
        <w:rPr>
          <w:color w:val="231F20"/>
          <w:spacing w:val="2"/>
          <w:w w:val="110"/>
        </w:rPr>
        <w:t>Statutory </w:t>
      </w:r>
      <w:r>
        <w:rPr>
          <w:color w:val="231F20"/>
          <w:w w:val="110"/>
        </w:rPr>
        <w:t>Instrument to alter the United Reformed Church </w:t>
      </w:r>
      <w:r>
        <w:rPr>
          <w:color w:val="231F20"/>
          <w:spacing w:val="2"/>
          <w:w w:val="110"/>
        </w:rPr>
        <w:t>Act </w:t>
      </w:r>
      <w:r>
        <w:rPr>
          <w:color w:val="231F20"/>
          <w:w w:val="110"/>
        </w:rPr>
        <w:t>by Parliament. The solution, we </w:t>
      </w:r>
      <w:r>
        <w:rPr>
          <w:color w:val="231F20"/>
          <w:spacing w:val="2"/>
          <w:w w:val="110"/>
        </w:rPr>
        <w:t>freely </w:t>
      </w:r>
      <w:r>
        <w:rPr>
          <w:color w:val="231F20"/>
          <w:w w:val="110"/>
        </w:rPr>
        <w:t>admit, is pragmatic, but the advantage of pragmatism is that it works! The Steering Group would like to express their thanks to the Clerk, the Legal Advisor and the Revd Dr David Thompson for their</w:t>
      </w:r>
      <w:r>
        <w:rPr>
          <w:color w:val="231F20"/>
          <w:spacing w:val="5"/>
          <w:w w:val="110"/>
        </w:rPr>
        <w:t> </w:t>
      </w:r>
      <w:r>
        <w:rPr>
          <w:color w:val="231F20"/>
          <w:w w:val="110"/>
        </w:rPr>
        <w:t>work.</w:t>
      </w:r>
    </w:p>
    <w:p>
      <w:pPr>
        <w:pStyle w:val="BodyText"/>
        <w:spacing w:before="10"/>
        <w:rPr>
          <w:sz w:val="20"/>
        </w:rPr>
      </w:pPr>
    </w:p>
    <w:p>
      <w:pPr>
        <w:pStyle w:val="BodyText"/>
        <w:spacing w:line="273" w:lineRule="auto"/>
        <w:ind w:left="1240" w:right="1279"/>
      </w:pPr>
      <w:r>
        <w:rPr>
          <w:b/>
          <w:color w:val="231F20"/>
          <w:w w:val="110"/>
        </w:rPr>
        <w:t>A New </w:t>
      </w:r>
      <w:r>
        <w:rPr>
          <w:b/>
          <w:color w:val="231F20"/>
          <w:spacing w:val="4"/>
          <w:w w:val="110"/>
        </w:rPr>
        <w:t>Department </w:t>
      </w:r>
      <w:r>
        <w:rPr>
          <w:b/>
          <w:color w:val="231F20"/>
          <w:w w:val="110"/>
        </w:rPr>
        <w:t>of </w:t>
      </w:r>
      <w:r>
        <w:rPr>
          <w:b/>
          <w:color w:val="231F20"/>
          <w:spacing w:val="3"/>
          <w:w w:val="110"/>
        </w:rPr>
        <w:t>Mission </w:t>
      </w:r>
      <w:r>
        <w:rPr>
          <w:color w:val="231F20"/>
          <w:spacing w:val="2"/>
          <w:w w:val="110"/>
        </w:rPr>
        <w:t>(pages </w:t>
      </w:r>
      <w:r>
        <w:rPr>
          <w:color w:val="231F20"/>
          <w:spacing w:val="-6"/>
          <w:w w:val="110"/>
        </w:rPr>
        <w:t>13-21) </w:t>
      </w:r>
      <w:r>
        <w:rPr>
          <w:color w:val="231F20"/>
          <w:spacing w:val="4"/>
          <w:w w:val="110"/>
        </w:rPr>
        <w:t>sets </w:t>
      </w:r>
      <w:r>
        <w:rPr>
          <w:color w:val="231F20"/>
          <w:w w:val="110"/>
        </w:rPr>
        <w:t>out </w:t>
      </w:r>
      <w:r>
        <w:rPr>
          <w:color w:val="231F20"/>
          <w:spacing w:val="2"/>
          <w:w w:val="110"/>
        </w:rPr>
        <w:t>the </w:t>
      </w:r>
      <w:r>
        <w:rPr>
          <w:color w:val="231F20"/>
          <w:spacing w:val="3"/>
          <w:w w:val="110"/>
        </w:rPr>
        <w:t>detailed </w:t>
      </w:r>
      <w:r>
        <w:rPr>
          <w:color w:val="231F20"/>
          <w:w w:val="110"/>
        </w:rPr>
        <w:t>plan </w:t>
      </w:r>
      <w:r>
        <w:rPr>
          <w:color w:val="231F20"/>
          <w:spacing w:val="2"/>
          <w:w w:val="110"/>
        </w:rPr>
        <w:t>for changing </w:t>
      </w:r>
      <w:r>
        <w:rPr>
          <w:color w:val="231F20"/>
          <w:w w:val="110"/>
        </w:rPr>
        <w:t>our </w:t>
      </w:r>
      <w:r>
        <w:rPr>
          <w:color w:val="231F20"/>
          <w:spacing w:val="3"/>
          <w:w w:val="110"/>
        </w:rPr>
        <w:t>committee </w:t>
      </w:r>
      <w:r>
        <w:rPr>
          <w:color w:val="231F20"/>
          <w:spacing w:val="4"/>
          <w:w w:val="110"/>
        </w:rPr>
        <w:t>structure </w:t>
      </w:r>
      <w:r>
        <w:rPr>
          <w:color w:val="231F20"/>
          <w:w w:val="110"/>
        </w:rPr>
        <w:t>to </w:t>
      </w:r>
      <w:r>
        <w:rPr>
          <w:color w:val="231F20"/>
          <w:spacing w:val="3"/>
          <w:w w:val="110"/>
        </w:rPr>
        <w:t>create </w:t>
      </w:r>
      <w:r>
        <w:rPr>
          <w:color w:val="231F20"/>
          <w:w w:val="110"/>
        </w:rPr>
        <w:t>one </w:t>
      </w:r>
      <w:r>
        <w:rPr>
          <w:color w:val="231F20"/>
          <w:spacing w:val="3"/>
          <w:w w:val="110"/>
        </w:rPr>
        <w:t>Department </w:t>
      </w:r>
      <w:r>
        <w:rPr>
          <w:color w:val="231F20"/>
          <w:w w:val="110"/>
        </w:rPr>
        <w:t>of </w:t>
      </w:r>
      <w:r>
        <w:rPr>
          <w:color w:val="231F20"/>
          <w:spacing w:val="2"/>
          <w:w w:val="110"/>
        </w:rPr>
        <w:t>Mission, </w:t>
      </w:r>
      <w:r>
        <w:rPr>
          <w:color w:val="231F20"/>
          <w:w w:val="110"/>
        </w:rPr>
        <w:t>as </w:t>
      </w:r>
      <w:r>
        <w:rPr>
          <w:color w:val="231F20"/>
          <w:spacing w:val="3"/>
          <w:w w:val="110"/>
        </w:rPr>
        <w:t>promised </w:t>
      </w:r>
      <w:r>
        <w:rPr>
          <w:color w:val="231F20"/>
          <w:w w:val="110"/>
        </w:rPr>
        <w:t>at </w:t>
      </w:r>
      <w:r>
        <w:rPr>
          <w:color w:val="231F20"/>
          <w:spacing w:val="2"/>
          <w:w w:val="110"/>
        </w:rPr>
        <w:t>last  </w:t>
      </w:r>
      <w:r>
        <w:rPr>
          <w:color w:val="231F20"/>
          <w:w w:val="110"/>
        </w:rPr>
        <w:t>year’s</w:t>
      </w:r>
      <w:r>
        <w:rPr>
          <w:color w:val="231F20"/>
          <w:spacing w:val="5"/>
          <w:w w:val="110"/>
        </w:rPr>
        <w:t> </w:t>
      </w:r>
      <w:r>
        <w:rPr>
          <w:color w:val="231F20"/>
          <w:w w:val="110"/>
        </w:rPr>
        <w:t>Assembly.</w:t>
      </w:r>
    </w:p>
    <w:p>
      <w:pPr>
        <w:spacing w:after="0" w:line="273" w:lineRule="auto"/>
        <w:sectPr>
          <w:footerReference w:type="default" r:id="rId17"/>
          <w:footerReference w:type="even" r:id="rId18"/>
          <w:pgSz w:w="11910" w:h="16840"/>
          <w:pgMar w:footer="564" w:header="581" w:top="860" w:bottom="760" w:left="460" w:right="0"/>
          <w:pgNumType w:start="9"/>
        </w:sectPr>
      </w:pPr>
    </w:p>
    <w:p>
      <w:pPr>
        <w:pStyle w:val="BodyText"/>
        <w:spacing w:before="10"/>
        <w:rPr>
          <w:sz w:val="11"/>
        </w:rPr>
      </w:pPr>
    </w:p>
    <w:p>
      <w:pPr>
        <w:pStyle w:val="BodyText"/>
        <w:spacing w:line="273" w:lineRule="auto" w:before="101"/>
        <w:ind w:left="673" w:right="1992"/>
      </w:pPr>
      <w:r>
        <w:rPr>
          <w:b/>
          <w:color w:val="231F20"/>
          <w:w w:val="110"/>
        </w:rPr>
        <w:t>The Moderator of General </w:t>
      </w:r>
      <w:r>
        <w:rPr>
          <w:b/>
          <w:color w:val="231F20"/>
          <w:spacing w:val="2"/>
          <w:w w:val="110"/>
        </w:rPr>
        <w:t>Assembly </w:t>
      </w:r>
      <w:r>
        <w:rPr>
          <w:color w:val="231F20"/>
          <w:w w:val="110"/>
        </w:rPr>
        <w:t>(page </w:t>
      </w:r>
      <w:r>
        <w:rPr>
          <w:color w:val="231F20"/>
          <w:spacing w:val="-5"/>
          <w:w w:val="110"/>
        </w:rPr>
        <w:t>23), </w:t>
      </w:r>
      <w:r>
        <w:rPr>
          <w:color w:val="231F20"/>
          <w:spacing w:val="2"/>
          <w:w w:val="110"/>
        </w:rPr>
        <w:t>sets </w:t>
      </w:r>
      <w:r>
        <w:rPr>
          <w:color w:val="231F20"/>
          <w:w w:val="110"/>
        </w:rPr>
        <w:t>out proposals about the ways   in which we should </w:t>
      </w:r>
      <w:r>
        <w:rPr>
          <w:color w:val="231F20"/>
          <w:spacing w:val="2"/>
          <w:w w:val="110"/>
        </w:rPr>
        <w:t>elect </w:t>
      </w:r>
      <w:r>
        <w:rPr>
          <w:color w:val="231F20"/>
          <w:w w:val="110"/>
        </w:rPr>
        <w:t>the Moderator of General Assembly in line with the decision to adopt a </w:t>
      </w:r>
      <w:r>
        <w:rPr>
          <w:color w:val="231F20"/>
          <w:spacing w:val="2"/>
          <w:w w:val="110"/>
        </w:rPr>
        <w:t>pattern </w:t>
      </w:r>
      <w:r>
        <w:rPr>
          <w:color w:val="231F20"/>
          <w:w w:val="110"/>
        </w:rPr>
        <w:t>of biennial Assemblies. The creation of the Trustee Body (pages 79-83) </w:t>
      </w:r>
      <w:r>
        <w:rPr>
          <w:color w:val="231F20"/>
          <w:spacing w:val="2"/>
          <w:w w:val="110"/>
        </w:rPr>
        <w:t>sets </w:t>
      </w:r>
      <w:r>
        <w:rPr>
          <w:color w:val="231F20"/>
          <w:w w:val="110"/>
        </w:rPr>
        <w:t>out the Governing Document for the</w:t>
      </w:r>
      <w:r>
        <w:rPr>
          <w:color w:val="231F20"/>
          <w:spacing w:val="11"/>
          <w:w w:val="110"/>
        </w:rPr>
        <w:t> </w:t>
      </w:r>
      <w:r>
        <w:rPr>
          <w:color w:val="231F20"/>
          <w:w w:val="110"/>
        </w:rPr>
        <w:t>Trustees.</w:t>
      </w:r>
    </w:p>
    <w:p>
      <w:pPr>
        <w:pStyle w:val="BodyText"/>
        <w:spacing w:before="9"/>
        <w:rPr>
          <w:sz w:val="20"/>
        </w:rPr>
      </w:pPr>
    </w:p>
    <w:p>
      <w:pPr>
        <w:pStyle w:val="BodyText"/>
        <w:spacing w:line="273" w:lineRule="auto"/>
        <w:ind w:left="673" w:right="2348"/>
      </w:pPr>
      <w:r>
        <w:rPr>
          <w:color w:val="231F20"/>
          <w:w w:val="110"/>
        </w:rPr>
        <w:t>In our 2005 </w:t>
      </w:r>
      <w:r>
        <w:rPr>
          <w:color w:val="231F20"/>
          <w:spacing w:val="4"/>
          <w:w w:val="110"/>
        </w:rPr>
        <w:t>report </w:t>
      </w:r>
      <w:r>
        <w:rPr>
          <w:color w:val="231F20"/>
          <w:w w:val="110"/>
        </w:rPr>
        <w:t>we </w:t>
      </w:r>
      <w:r>
        <w:rPr>
          <w:color w:val="231F20"/>
          <w:spacing w:val="2"/>
          <w:w w:val="110"/>
        </w:rPr>
        <w:t>noted </w:t>
      </w:r>
      <w:r>
        <w:rPr>
          <w:color w:val="231F20"/>
          <w:w w:val="110"/>
        </w:rPr>
        <w:t>that </w:t>
      </w:r>
      <w:r>
        <w:rPr>
          <w:color w:val="231F20"/>
          <w:spacing w:val="3"/>
          <w:w w:val="110"/>
        </w:rPr>
        <w:t>there </w:t>
      </w:r>
      <w:r>
        <w:rPr>
          <w:color w:val="231F20"/>
          <w:w w:val="110"/>
        </w:rPr>
        <w:t>was no </w:t>
      </w:r>
      <w:r>
        <w:rPr>
          <w:color w:val="231F20"/>
          <w:spacing w:val="3"/>
          <w:w w:val="110"/>
        </w:rPr>
        <w:t>coherent business case </w:t>
      </w:r>
      <w:r>
        <w:rPr>
          <w:color w:val="231F20"/>
          <w:spacing w:val="2"/>
          <w:w w:val="110"/>
        </w:rPr>
        <w:t>for </w:t>
      </w:r>
      <w:r>
        <w:rPr>
          <w:color w:val="231F20"/>
          <w:w w:val="110"/>
        </w:rPr>
        <w:t>moving </w:t>
      </w:r>
      <w:r>
        <w:rPr>
          <w:color w:val="231F20"/>
          <w:spacing w:val="3"/>
          <w:w w:val="110"/>
        </w:rPr>
        <w:t>Church House </w:t>
      </w:r>
      <w:r>
        <w:rPr>
          <w:color w:val="231F20"/>
          <w:w w:val="110"/>
        </w:rPr>
        <w:t>out of </w:t>
      </w:r>
      <w:r>
        <w:rPr>
          <w:color w:val="231F20"/>
          <w:spacing w:val="3"/>
          <w:w w:val="110"/>
        </w:rPr>
        <w:t>London </w:t>
      </w:r>
      <w:r>
        <w:rPr>
          <w:color w:val="231F20"/>
          <w:spacing w:val="2"/>
          <w:w w:val="110"/>
        </w:rPr>
        <w:t>(paras </w:t>
      </w:r>
      <w:r>
        <w:rPr>
          <w:color w:val="231F20"/>
          <w:spacing w:val="-5"/>
          <w:w w:val="110"/>
        </w:rPr>
        <w:t>107-9) </w:t>
      </w:r>
      <w:r>
        <w:rPr>
          <w:color w:val="231F20"/>
          <w:w w:val="110"/>
        </w:rPr>
        <w:t>and that we would </w:t>
      </w:r>
      <w:r>
        <w:rPr>
          <w:color w:val="231F20"/>
          <w:spacing w:val="2"/>
          <w:w w:val="110"/>
        </w:rPr>
        <w:t>begin </w:t>
      </w:r>
      <w:r>
        <w:rPr>
          <w:color w:val="231F20"/>
          <w:spacing w:val="3"/>
          <w:w w:val="110"/>
        </w:rPr>
        <w:t>discussions </w:t>
      </w:r>
      <w:r>
        <w:rPr>
          <w:color w:val="231F20"/>
          <w:spacing w:val="2"/>
          <w:w w:val="110"/>
        </w:rPr>
        <w:t>with</w:t>
      </w:r>
      <w:r>
        <w:rPr>
          <w:color w:val="231F20"/>
          <w:spacing w:val="11"/>
          <w:w w:val="110"/>
        </w:rPr>
        <w:t> </w:t>
      </w:r>
      <w:r>
        <w:rPr>
          <w:color w:val="231F20"/>
          <w:spacing w:val="2"/>
          <w:w w:val="110"/>
        </w:rPr>
        <w:t>the</w:t>
      </w:r>
      <w:r>
        <w:rPr>
          <w:color w:val="231F20"/>
          <w:spacing w:val="12"/>
          <w:w w:val="110"/>
        </w:rPr>
        <w:t> </w:t>
      </w:r>
      <w:r>
        <w:rPr>
          <w:color w:val="231F20"/>
          <w:spacing w:val="3"/>
          <w:w w:val="110"/>
        </w:rPr>
        <w:t>Methodist</w:t>
      </w:r>
      <w:r>
        <w:rPr>
          <w:color w:val="231F20"/>
          <w:spacing w:val="12"/>
          <w:w w:val="110"/>
        </w:rPr>
        <w:t> </w:t>
      </w:r>
      <w:r>
        <w:rPr>
          <w:color w:val="231F20"/>
          <w:spacing w:val="3"/>
          <w:w w:val="110"/>
        </w:rPr>
        <w:t>Church</w:t>
      </w:r>
      <w:r>
        <w:rPr>
          <w:color w:val="231F20"/>
          <w:spacing w:val="12"/>
          <w:w w:val="110"/>
        </w:rPr>
        <w:t> </w:t>
      </w:r>
      <w:r>
        <w:rPr>
          <w:color w:val="231F20"/>
          <w:spacing w:val="2"/>
          <w:w w:val="110"/>
        </w:rPr>
        <w:t>about</w:t>
      </w:r>
      <w:r>
        <w:rPr>
          <w:color w:val="231F20"/>
          <w:spacing w:val="10"/>
          <w:w w:val="110"/>
        </w:rPr>
        <w:t> </w:t>
      </w:r>
      <w:r>
        <w:rPr>
          <w:color w:val="231F20"/>
          <w:spacing w:val="2"/>
          <w:w w:val="110"/>
        </w:rPr>
        <w:t>sharing</w:t>
      </w:r>
      <w:r>
        <w:rPr>
          <w:color w:val="231F20"/>
          <w:spacing w:val="11"/>
          <w:w w:val="110"/>
        </w:rPr>
        <w:t> </w:t>
      </w:r>
      <w:r>
        <w:rPr>
          <w:color w:val="231F20"/>
          <w:spacing w:val="3"/>
          <w:w w:val="110"/>
        </w:rPr>
        <w:t>premises,</w:t>
      </w:r>
      <w:r>
        <w:rPr>
          <w:color w:val="231F20"/>
          <w:spacing w:val="12"/>
          <w:w w:val="110"/>
        </w:rPr>
        <w:t> </w:t>
      </w:r>
      <w:r>
        <w:rPr>
          <w:color w:val="231F20"/>
          <w:w w:val="110"/>
        </w:rPr>
        <w:t>‘…not</w:t>
      </w:r>
      <w:r>
        <w:rPr>
          <w:color w:val="231F20"/>
          <w:spacing w:val="12"/>
          <w:w w:val="110"/>
        </w:rPr>
        <w:t> </w:t>
      </w:r>
      <w:r>
        <w:rPr>
          <w:color w:val="231F20"/>
          <w:w w:val="110"/>
        </w:rPr>
        <w:t>to</w:t>
      </w:r>
      <w:r>
        <w:rPr>
          <w:color w:val="231F20"/>
          <w:spacing w:val="11"/>
          <w:w w:val="110"/>
        </w:rPr>
        <w:t> </w:t>
      </w:r>
      <w:r>
        <w:rPr>
          <w:color w:val="231F20"/>
          <w:spacing w:val="3"/>
          <w:w w:val="110"/>
        </w:rPr>
        <w:t>produce</w:t>
      </w:r>
      <w:r>
        <w:rPr>
          <w:color w:val="231F20"/>
          <w:spacing w:val="11"/>
          <w:w w:val="110"/>
        </w:rPr>
        <w:t> </w:t>
      </w:r>
      <w:r>
        <w:rPr>
          <w:color w:val="231F20"/>
          <w:spacing w:val="2"/>
          <w:w w:val="110"/>
        </w:rPr>
        <w:t>short-term</w:t>
      </w:r>
    </w:p>
    <w:p>
      <w:pPr>
        <w:pStyle w:val="BodyText"/>
        <w:spacing w:line="273" w:lineRule="auto" w:before="2"/>
        <w:ind w:left="673" w:right="1593"/>
      </w:pPr>
      <w:r>
        <w:rPr>
          <w:color w:val="231F20"/>
          <w:w w:val="110"/>
        </w:rPr>
        <w:t>savings (although it will probably produce long-term reductions in costs) but to foster ecumenical working and creativity.’ Last year we reported that those conversations were continuing.</w:t>
      </w:r>
    </w:p>
    <w:p>
      <w:pPr>
        <w:pStyle w:val="BodyText"/>
        <w:spacing w:before="9"/>
        <w:rPr>
          <w:sz w:val="20"/>
        </w:rPr>
      </w:pPr>
    </w:p>
    <w:p>
      <w:pPr>
        <w:pStyle w:val="BodyText"/>
        <w:spacing w:line="273" w:lineRule="auto"/>
        <w:ind w:left="673" w:right="1778"/>
      </w:pPr>
      <w:r>
        <w:rPr>
          <w:color w:val="231F20"/>
          <w:w w:val="110"/>
        </w:rPr>
        <w:t>They have taken a significant leap </w:t>
      </w:r>
      <w:r>
        <w:rPr>
          <w:color w:val="231F20"/>
          <w:spacing w:val="2"/>
          <w:w w:val="110"/>
        </w:rPr>
        <w:t>forward </w:t>
      </w:r>
      <w:r>
        <w:rPr>
          <w:color w:val="231F20"/>
          <w:w w:val="110"/>
        </w:rPr>
        <w:t>recently, with a professional feasibility study being undertaken to see if we could move the United Reformed Church’s operations into the Methodist building in Marylebone Road. This is work in </w:t>
      </w:r>
      <w:r>
        <w:rPr>
          <w:color w:val="231F20"/>
          <w:spacing w:val="2"/>
          <w:w w:val="110"/>
        </w:rPr>
        <w:t>progress </w:t>
      </w:r>
      <w:r>
        <w:rPr>
          <w:color w:val="231F20"/>
          <w:w w:val="110"/>
        </w:rPr>
        <w:t>but we feel it right  to talk about it </w:t>
      </w:r>
      <w:r>
        <w:rPr>
          <w:color w:val="231F20"/>
          <w:spacing w:val="-3"/>
          <w:w w:val="110"/>
        </w:rPr>
        <w:t>now. </w:t>
      </w:r>
      <w:r>
        <w:rPr>
          <w:color w:val="231F20"/>
          <w:w w:val="110"/>
        </w:rPr>
        <w:t>Voices in past Assemblies have urged the national </w:t>
      </w:r>
      <w:r>
        <w:rPr>
          <w:color w:val="231F20"/>
          <w:spacing w:val="2"/>
          <w:w w:val="110"/>
        </w:rPr>
        <w:t>offices </w:t>
      </w:r>
      <w:r>
        <w:rPr>
          <w:color w:val="231F20"/>
          <w:w w:val="110"/>
        </w:rPr>
        <w:t>of the denominations to ‘get their </w:t>
      </w:r>
      <w:r>
        <w:rPr>
          <w:color w:val="231F20"/>
          <w:spacing w:val="3"/>
          <w:w w:val="110"/>
        </w:rPr>
        <w:t>acts </w:t>
      </w:r>
      <w:r>
        <w:rPr>
          <w:color w:val="231F20"/>
          <w:w w:val="110"/>
        </w:rPr>
        <w:t>together’ and mirror the joint working which happens    at local level. The Methodist Church is also engaged in </w:t>
      </w:r>
      <w:r>
        <w:rPr>
          <w:color w:val="231F20"/>
          <w:spacing w:val="2"/>
          <w:w w:val="110"/>
        </w:rPr>
        <w:t>re-structuring </w:t>
      </w:r>
      <w:r>
        <w:rPr>
          <w:color w:val="231F20"/>
          <w:w w:val="110"/>
        </w:rPr>
        <w:t>and although we both accept for differing reasons that this is not the time for unity we can do what a Methodist colleague called ‘parallel walking’. This may be a window of </w:t>
      </w:r>
      <w:r>
        <w:rPr>
          <w:color w:val="231F20"/>
          <w:spacing w:val="2"/>
          <w:w w:val="110"/>
        </w:rPr>
        <w:t>opportunity </w:t>
      </w:r>
      <w:r>
        <w:rPr>
          <w:color w:val="231F20"/>
          <w:w w:val="110"/>
        </w:rPr>
        <w:t>which will</w:t>
      </w:r>
      <w:r>
        <w:rPr>
          <w:color w:val="231F20"/>
          <w:spacing w:val="7"/>
          <w:w w:val="110"/>
        </w:rPr>
        <w:t> </w:t>
      </w:r>
      <w:r>
        <w:rPr>
          <w:color w:val="231F20"/>
          <w:w w:val="110"/>
        </w:rPr>
        <w:t>not</w:t>
      </w:r>
      <w:r>
        <w:rPr>
          <w:color w:val="231F20"/>
          <w:spacing w:val="7"/>
          <w:w w:val="110"/>
        </w:rPr>
        <w:t> </w:t>
      </w:r>
      <w:r>
        <w:rPr>
          <w:color w:val="231F20"/>
          <w:w w:val="110"/>
        </w:rPr>
        <w:t>return</w:t>
      </w:r>
      <w:r>
        <w:rPr>
          <w:color w:val="231F20"/>
          <w:spacing w:val="7"/>
          <w:w w:val="110"/>
        </w:rPr>
        <w:t> </w:t>
      </w:r>
      <w:r>
        <w:rPr>
          <w:color w:val="231F20"/>
          <w:w w:val="110"/>
        </w:rPr>
        <w:t>for</w:t>
      </w:r>
      <w:r>
        <w:rPr>
          <w:color w:val="231F20"/>
          <w:spacing w:val="7"/>
          <w:w w:val="110"/>
        </w:rPr>
        <w:t> </w:t>
      </w:r>
      <w:r>
        <w:rPr>
          <w:color w:val="231F20"/>
          <w:w w:val="110"/>
        </w:rPr>
        <w:t>at</w:t>
      </w:r>
      <w:r>
        <w:rPr>
          <w:color w:val="231F20"/>
          <w:spacing w:val="7"/>
          <w:w w:val="110"/>
        </w:rPr>
        <w:t> </w:t>
      </w:r>
      <w:r>
        <w:rPr>
          <w:color w:val="231F20"/>
          <w:w w:val="110"/>
        </w:rPr>
        <w:t>least</w:t>
      </w:r>
      <w:r>
        <w:rPr>
          <w:color w:val="231F20"/>
          <w:spacing w:val="7"/>
          <w:w w:val="110"/>
        </w:rPr>
        <w:t> </w:t>
      </w:r>
      <w:r>
        <w:rPr>
          <w:color w:val="231F20"/>
          <w:w w:val="110"/>
        </w:rPr>
        <w:t>a</w:t>
      </w:r>
      <w:r>
        <w:rPr>
          <w:color w:val="231F20"/>
          <w:spacing w:val="7"/>
          <w:w w:val="110"/>
        </w:rPr>
        <w:t> </w:t>
      </w:r>
      <w:r>
        <w:rPr>
          <w:color w:val="231F20"/>
          <w:w w:val="110"/>
        </w:rPr>
        <w:t>generation.</w:t>
      </w:r>
      <w:r>
        <w:rPr>
          <w:color w:val="231F20"/>
          <w:spacing w:val="7"/>
          <w:w w:val="110"/>
        </w:rPr>
        <w:t> </w:t>
      </w:r>
      <w:r>
        <w:rPr>
          <w:color w:val="231F20"/>
          <w:w w:val="110"/>
        </w:rPr>
        <w:t>The</w:t>
      </w:r>
      <w:r>
        <w:rPr>
          <w:color w:val="231F20"/>
          <w:spacing w:val="7"/>
          <w:w w:val="110"/>
        </w:rPr>
        <w:t> </w:t>
      </w:r>
      <w:r>
        <w:rPr>
          <w:color w:val="231F20"/>
          <w:w w:val="110"/>
        </w:rPr>
        <w:t>Steering</w:t>
      </w:r>
      <w:r>
        <w:rPr>
          <w:color w:val="231F20"/>
          <w:spacing w:val="7"/>
          <w:w w:val="110"/>
        </w:rPr>
        <w:t> </w:t>
      </w:r>
      <w:r>
        <w:rPr>
          <w:color w:val="231F20"/>
          <w:w w:val="110"/>
        </w:rPr>
        <w:t>Group</w:t>
      </w:r>
      <w:r>
        <w:rPr>
          <w:color w:val="231F20"/>
          <w:spacing w:val="7"/>
          <w:w w:val="110"/>
        </w:rPr>
        <w:t> </w:t>
      </w:r>
      <w:r>
        <w:rPr>
          <w:color w:val="231F20"/>
          <w:w w:val="110"/>
        </w:rPr>
        <w:t>have</w:t>
      </w:r>
      <w:r>
        <w:rPr>
          <w:color w:val="231F20"/>
          <w:spacing w:val="7"/>
          <w:w w:val="110"/>
        </w:rPr>
        <w:t> </w:t>
      </w:r>
      <w:r>
        <w:rPr>
          <w:color w:val="231F20"/>
          <w:w w:val="110"/>
        </w:rPr>
        <w:t>assumed</w:t>
      </w:r>
      <w:r>
        <w:rPr>
          <w:color w:val="231F20"/>
          <w:spacing w:val="7"/>
          <w:w w:val="110"/>
        </w:rPr>
        <w:t> </w:t>
      </w:r>
      <w:r>
        <w:rPr>
          <w:color w:val="231F20"/>
          <w:w w:val="110"/>
        </w:rPr>
        <w:t>that</w:t>
      </w:r>
      <w:r>
        <w:rPr>
          <w:color w:val="231F20"/>
          <w:spacing w:val="7"/>
          <w:w w:val="110"/>
        </w:rPr>
        <w:t> </w:t>
      </w:r>
      <w:r>
        <w:rPr>
          <w:color w:val="231F20"/>
          <w:w w:val="110"/>
        </w:rPr>
        <w:t>the</w:t>
      </w:r>
    </w:p>
    <w:p>
      <w:pPr>
        <w:pStyle w:val="BodyText"/>
        <w:spacing w:line="273" w:lineRule="auto" w:before="5"/>
        <w:ind w:left="673" w:right="1593"/>
      </w:pPr>
      <w:r>
        <w:rPr>
          <w:color w:val="231F20"/>
          <w:w w:val="110"/>
        </w:rPr>
        <w:t>church will encourage these conversations. Discussions will continue and a report will be brought to Mission Council and Assembly in the normal way.</w:t>
      </w:r>
    </w:p>
    <w:p>
      <w:pPr>
        <w:pStyle w:val="BodyText"/>
        <w:spacing w:before="7"/>
        <w:rPr>
          <w:sz w:val="20"/>
        </w:rPr>
      </w:pPr>
    </w:p>
    <w:p>
      <w:pPr>
        <w:pStyle w:val="Heading9"/>
        <w:spacing w:before="1"/>
        <w:ind w:left="673"/>
      </w:pPr>
      <w:r>
        <w:rPr>
          <w:color w:val="231F20"/>
          <w:w w:val="110"/>
        </w:rPr>
        <w:t>An ending and a beginning…</w:t>
      </w:r>
    </w:p>
    <w:p>
      <w:pPr>
        <w:pStyle w:val="BodyText"/>
        <w:spacing w:line="273" w:lineRule="auto" w:before="258"/>
        <w:ind w:left="673" w:right="1593"/>
      </w:pPr>
      <w:r>
        <w:rPr>
          <w:color w:val="231F20"/>
          <w:w w:val="110"/>
        </w:rPr>
        <w:t>It is time to take stock of Catch the Vision. We set out in 2004, fired with idealism plus a good deal of realism, to set a new course for the United Reformed Church. We knew that this was more like manoeuvring an oil tanker than tacking in a yacht. That makes the achievements of the last three years all the more remarkable.</w:t>
      </w:r>
    </w:p>
    <w:p>
      <w:pPr>
        <w:pStyle w:val="BodyText"/>
        <w:spacing w:before="9"/>
        <w:rPr>
          <w:sz w:val="20"/>
        </w:rPr>
      </w:pPr>
    </w:p>
    <w:p>
      <w:pPr>
        <w:pStyle w:val="BodyText"/>
        <w:ind w:left="673"/>
      </w:pPr>
      <w:r>
        <w:rPr>
          <w:color w:val="231F20"/>
          <w:w w:val="110"/>
        </w:rPr>
        <w:t>What have we achieved?</w:t>
      </w:r>
    </w:p>
    <w:p>
      <w:pPr>
        <w:pStyle w:val="BodyText"/>
        <w:spacing w:before="2"/>
        <w:rPr>
          <w:sz w:val="22"/>
        </w:rPr>
      </w:pPr>
    </w:p>
    <w:p>
      <w:pPr>
        <w:pStyle w:val="ListParagraph"/>
        <w:numPr>
          <w:ilvl w:val="0"/>
          <w:numId w:val="2"/>
        </w:numPr>
        <w:tabs>
          <w:tab w:pos="1354" w:val="left" w:leader="none"/>
          <w:tab w:pos="1355" w:val="left" w:leader="none"/>
        </w:tabs>
        <w:spacing w:line="218" w:lineRule="auto" w:before="1" w:after="0"/>
        <w:ind w:left="1354" w:right="1886" w:hanging="681"/>
        <w:jc w:val="left"/>
        <w:rPr>
          <w:color w:val="231F20"/>
          <w:sz w:val="25"/>
        </w:rPr>
      </w:pPr>
      <w:r>
        <w:rPr>
          <w:color w:val="231F20"/>
          <w:w w:val="110"/>
          <w:sz w:val="18"/>
        </w:rPr>
        <w:t>A new focus on mission: the proposals for a Mission Department and Committee are </w:t>
      </w:r>
      <w:r>
        <w:rPr>
          <w:color w:val="231F20"/>
          <w:spacing w:val="2"/>
          <w:w w:val="110"/>
          <w:sz w:val="18"/>
        </w:rPr>
        <w:t>before </w:t>
      </w:r>
      <w:r>
        <w:rPr>
          <w:color w:val="231F20"/>
          <w:w w:val="110"/>
          <w:sz w:val="18"/>
        </w:rPr>
        <w:t>you, </w:t>
      </w:r>
      <w:r>
        <w:rPr>
          <w:color w:val="231F20"/>
          <w:spacing w:val="2"/>
          <w:w w:val="110"/>
          <w:sz w:val="18"/>
        </w:rPr>
        <w:t>offering </w:t>
      </w:r>
      <w:r>
        <w:rPr>
          <w:color w:val="231F20"/>
          <w:w w:val="110"/>
          <w:sz w:val="18"/>
        </w:rPr>
        <w:t>the </w:t>
      </w:r>
      <w:r>
        <w:rPr>
          <w:color w:val="231F20"/>
          <w:spacing w:val="2"/>
          <w:w w:val="110"/>
          <w:sz w:val="18"/>
        </w:rPr>
        <w:t>opportunity </w:t>
      </w:r>
      <w:r>
        <w:rPr>
          <w:color w:val="231F20"/>
          <w:w w:val="110"/>
          <w:sz w:val="18"/>
        </w:rPr>
        <w:t>of a radical</w:t>
      </w:r>
      <w:r>
        <w:rPr>
          <w:color w:val="231F20"/>
          <w:spacing w:val="24"/>
          <w:w w:val="110"/>
          <w:sz w:val="18"/>
        </w:rPr>
        <w:t> </w:t>
      </w:r>
      <w:r>
        <w:rPr>
          <w:color w:val="231F20"/>
          <w:w w:val="110"/>
          <w:sz w:val="18"/>
        </w:rPr>
        <w:t>re-focusing.</w:t>
      </w:r>
    </w:p>
    <w:p>
      <w:pPr>
        <w:pStyle w:val="ListParagraph"/>
        <w:numPr>
          <w:ilvl w:val="0"/>
          <w:numId w:val="2"/>
        </w:numPr>
        <w:tabs>
          <w:tab w:pos="1354" w:val="left" w:leader="none"/>
          <w:tab w:pos="1355" w:val="left" w:leader="none"/>
        </w:tabs>
        <w:spacing w:line="218" w:lineRule="auto" w:before="24" w:after="0"/>
        <w:ind w:left="1354" w:right="1737" w:hanging="681"/>
        <w:jc w:val="left"/>
        <w:rPr>
          <w:color w:val="231F20"/>
          <w:sz w:val="25"/>
        </w:rPr>
      </w:pPr>
      <w:r>
        <w:rPr>
          <w:color w:val="231F20"/>
          <w:w w:val="110"/>
          <w:sz w:val="18"/>
        </w:rPr>
        <w:t>The beginnings of a new focus on the Bible, evangelism and spirituality, which will have taken shape by</w:t>
      </w:r>
      <w:r>
        <w:rPr>
          <w:color w:val="231F20"/>
          <w:spacing w:val="4"/>
          <w:w w:val="110"/>
          <w:sz w:val="18"/>
        </w:rPr>
        <w:t> </w:t>
      </w:r>
      <w:r>
        <w:rPr>
          <w:color w:val="231F20"/>
          <w:w w:val="110"/>
          <w:sz w:val="18"/>
        </w:rPr>
        <w:t>Assembly.</w:t>
      </w:r>
    </w:p>
    <w:p>
      <w:pPr>
        <w:pStyle w:val="ListParagraph"/>
        <w:numPr>
          <w:ilvl w:val="0"/>
          <w:numId w:val="2"/>
        </w:numPr>
        <w:tabs>
          <w:tab w:pos="1354" w:val="left" w:leader="none"/>
          <w:tab w:pos="1355" w:val="left" w:leader="none"/>
        </w:tabs>
        <w:spacing w:line="218" w:lineRule="auto" w:before="25" w:after="0"/>
        <w:ind w:left="1354" w:right="1832" w:hanging="681"/>
        <w:jc w:val="left"/>
        <w:rPr>
          <w:color w:val="231F20"/>
          <w:sz w:val="25"/>
        </w:rPr>
      </w:pPr>
      <w:r>
        <w:rPr>
          <w:color w:val="231F20"/>
          <w:w w:val="110"/>
          <w:sz w:val="18"/>
        </w:rPr>
        <w:t>The machinery to respond to new ways of being church by creating more Special </w:t>
      </w:r>
      <w:r>
        <w:rPr>
          <w:color w:val="231F20"/>
          <w:spacing w:val="2"/>
          <w:w w:val="110"/>
          <w:sz w:val="18"/>
        </w:rPr>
        <w:t>Category </w:t>
      </w:r>
      <w:r>
        <w:rPr>
          <w:color w:val="231F20"/>
          <w:w w:val="110"/>
          <w:sz w:val="18"/>
        </w:rPr>
        <w:t>Ministry</w:t>
      </w:r>
      <w:r>
        <w:rPr>
          <w:color w:val="231F20"/>
          <w:spacing w:val="1"/>
          <w:w w:val="110"/>
          <w:sz w:val="18"/>
        </w:rPr>
        <w:t> </w:t>
      </w:r>
      <w:r>
        <w:rPr>
          <w:color w:val="231F20"/>
          <w:w w:val="110"/>
          <w:sz w:val="18"/>
        </w:rPr>
        <w:t>opportunities.</w:t>
      </w:r>
    </w:p>
    <w:p>
      <w:pPr>
        <w:pStyle w:val="ListParagraph"/>
        <w:numPr>
          <w:ilvl w:val="0"/>
          <w:numId w:val="2"/>
        </w:numPr>
        <w:tabs>
          <w:tab w:pos="1354" w:val="left" w:leader="none"/>
          <w:tab w:pos="1355" w:val="left" w:leader="none"/>
        </w:tabs>
        <w:spacing w:line="292" w:lineRule="exact" w:before="5" w:after="0"/>
        <w:ind w:left="1354" w:right="0" w:hanging="682"/>
        <w:jc w:val="left"/>
        <w:rPr>
          <w:color w:val="231F20"/>
          <w:sz w:val="25"/>
        </w:rPr>
      </w:pPr>
      <w:r>
        <w:rPr>
          <w:color w:val="231F20"/>
          <w:w w:val="110"/>
          <w:sz w:val="18"/>
        </w:rPr>
        <w:t>A slimmer, fitter body: the reduction of conciliar layers </w:t>
      </w:r>
      <w:r>
        <w:rPr>
          <w:color w:val="231F20"/>
          <w:spacing w:val="3"/>
          <w:w w:val="110"/>
          <w:sz w:val="18"/>
        </w:rPr>
        <w:t>offers </w:t>
      </w:r>
      <w:r>
        <w:rPr>
          <w:color w:val="231F20"/>
          <w:w w:val="110"/>
          <w:sz w:val="18"/>
        </w:rPr>
        <w:t>a real saving</w:t>
      </w:r>
      <w:r>
        <w:rPr>
          <w:color w:val="231F20"/>
          <w:spacing w:val="36"/>
          <w:w w:val="110"/>
          <w:sz w:val="18"/>
        </w:rPr>
        <w:t> </w:t>
      </w:r>
      <w:r>
        <w:rPr>
          <w:color w:val="231F20"/>
          <w:w w:val="110"/>
          <w:sz w:val="18"/>
        </w:rPr>
        <w:t>of</w:t>
      </w:r>
    </w:p>
    <w:p>
      <w:pPr>
        <w:pStyle w:val="BodyText"/>
        <w:spacing w:line="207" w:lineRule="exact"/>
        <w:ind w:left="1354"/>
      </w:pPr>
      <w:r>
        <w:rPr>
          <w:color w:val="231F20"/>
          <w:w w:val="110"/>
        </w:rPr>
        <w:t>time, less bureaucracy and a more locally sensitive structure for mission.</w:t>
      </w:r>
    </w:p>
    <w:p>
      <w:pPr>
        <w:pStyle w:val="ListParagraph"/>
        <w:numPr>
          <w:ilvl w:val="0"/>
          <w:numId w:val="2"/>
        </w:numPr>
        <w:tabs>
          <w:tab w:pos="1354" w:val="left" w:leader="none"/>
          <w:tab w:pos="1355" w:val="left" w:leader="none"/>
        </w:tabs>
        <w:spacing w:line="292" w:lineRule="exact" w:before="1" w:after="0"/>
        <w:ind w:left="1354" w:right="0" w:hanging="682"/>
        <w:jc w:val="left"/>
        <w:rPr>
          <w:color w:val="231F20"/>
          <w:sz w:val="25"/>
        </w:rPr>
      </w:pPr>
      <w:r>
        <w:rPr>
          <w:color w:val="231F20"/>
          <w:w w:val="110"/>
          <w:sz w:val="18"/>
        </w:rPr>
        <w:t>More efficient governance: the creation of a governance </w:t>
      </w:r>
      <w:r>
        <w:rPr>
          <w:color w:val="231F20"/>
          <w:spacing w:val="2"/>
          <w:w w:val="110"/>
          <w:sz w:val="18"/>
        </w:rPr>
        <w:t>structure </w:t>
      </w:r>
      <w:r>
        <w:rPr>
          <w:color w:val="231F20"/>
          <w:w w:val="110"/>
          <w:sz w:val="18"/>
        </w:rPr>
        <w:t>appropriate</w:t>
      </w:r>
      <w:r>
        <w:rPr>
          <w:color w:val="231F20"/>
          <w:spacing w:val="41"/>
          <w:w w:val="110"/>
          <w:sz w:val="18"/>
        </w:rPr>
        <w:t> </w:t>
      </w:r>
      <w:r>
        <w:rPr>
          <w:color w:val="231F20"/>
          <w:w w:val="110"/>
          <w:sz w:val="18"/>
        </w:rPr>
        <w:t>to</w:t>
      </w:r>
    </w:p>
    <w:p>
      <w:pPr>
        <w:pStyle w:val="BodyText"/>
        <w:spacing w:line="207" w:lineRule="exact"/>
        <w:ind w:left="1354"/>
      </w:pPr>
      <w:r>
        <w:rPr>
          <w:color w:val="231F20"/>
          <w:w w:val="110"/>
        </w:rPr>
        <w:t>an organisation our size, and in keeping with the demands of the Charities Act.</w:t>
      </w:r>
    </w:p>
    <w:p>
      <w:pPr>
        <w:pStyle w:val="ListParagraph"/>
        <w:numPr>
          <w:ilvl w:val="0"/>
          <w:numId w:val="2"/>
        </w:numPr>
        <w:tabs>
          <w:tab w:pos="1354" w:val="left" w:leader="none"/>
          <w:tab w:pos="1355" w:val="left" w:leader="none"/>
        </w:tabs>
        <w:spacing w:line="218" w:lineRule="auto" w:before="20" w:after="0"/>
        <w:ind w:left="1354" w:right="2095" w:hanging="681"/>
        <w:jc w:val="left"/>
        <w:rPr>
          <w:color w:val="231F20"/>
          <w:sz w:val="25"/>
        </w:rPr>
      </w:pPr>
      <w:r>
        <w:rPr>
          <w:color w:val="231F20"/>
          <w:w w:val="110"/>
          <w:sz w:val="18"/>
        </w:rPr>
        <w:t>Improved stewardship of time and resources: giving is rising and central </w:t>
      </w:r>
      <w:r>
        <w:rPr>
          <w:color w:val="231F20"/>
          <w:spacing w:val="2"/>
          <w:w w:val="110"/>
          <w:sz w:val="18"/>
        </w:rPr>
        <w:t>costs </w:t>
      </w:r>
      <w:r>
        <w:rPr>
          <w:color w:val="231F20"/>
          <w:w w:val="110"/>
          <w:sz w:val="18"/>
        </w:rPr>
        <w:t>are reducing.</w:t>
      </w:r>
    </w:p>
    <w:p>
      <w:pPr>
        <w:pStyle w:val="ListParagraph"/>
        <w:numPr>
          <w:ilvl w:val="0"/>
          <w:numId w:val="2"/>
        </w:numPr>
        <w:tabs>
          <w:tab w:pos="1354" w:val="left" w:leader="none"/>
          <w:tab w:pos="1355" w:val="left" w:leader="none"/>
        </w:tabs>
        <w:spacing w:line="218" w:lineRule="auto" w:before="24" w:after="0"/>
        <w:ind w:left="1354" w:right="1985" w:hanging="681"/>
        <w:jc w:val="left"/>
        <w:rPr>
          <w:color w:val="231F20"/>
          <w:sz w:val="25"/>
        </w:rPr>
      </w:pPr>
      <w:r>
        <w:rPr>
          <w:color w:val="231F20"/>
          <w:w w:val="110"/>
          <w:sz w:val="18"/>
        </w:rPr>
        <w:t>A shift of the locus of decision making, away </w:t>
      </w:r>
      <w:r>
        <w:rPr>
          <w:color w:val="231F20"/>
          <w:spacing w:val="2"/>
          <w:w w:val="110"/>
          <w:sz w:val="18"/>
        </w:rPr>
        <w:t>from </w:t>
      </w:r>
      <w:r>
        <w:rPr>
          <w:color w:val="231F20"/>
          <w:w w:val="110"/>
          <w:sz w:val="18"/>
        </w:rPr>
        <w:t>national committees towards local churches and their</w:t>
      </w:r>
      <w:r>
        <w:rPr>
          <w:color w:val="231F20"/>
          <w:spacing w:val="6"/>
          <w:w w:val="110"/>
          <w:sz w:val="18"/>
        </w:rPr>
        <w:t> </w:t>
      </w:r>
      <w:r>
        <w:rPr>
          <w:color w:val="231F20"/>
          <w:w w:val="110"/>
          <w:sz w:val="18"/>
        </w:rPr>
        <w:t>Synods.</w:t>
      </w:r>
    </w:p>
    <w:p>
      <w:pPr>
        <w:pStyle w:val="ListParagraph"/>
        <w:numPr>
          <w:ilvl w:val="0"/>
          <w:numId w:val="2"/>
        </w:numPr>
        <w:tabs>
          <w:tab w:pos="1354" w:val="left" w:leader="none"/>
          <w:tab w:pos="1355" w:val="left" w:leader="none"/>
        </w:tabs>
        <w:spacing w:line="250" w:lineRule="exact" w:before="17" w:after="0"/>
        <w:ind w:left="1354" w:right="1939" w:hanging="681"/>
        <w:jc w:val="left"/>
        <w:rPr>
          <w:color w:val="231F20"/>
          <w:sz w:val="25"/>
        </w:rPr>
      </w:pPr>
      <w:r>
        <w:rPr>
          <w:color w:val="231F20"/>
          <w:w w:val="110"/>
          <w:sz w:val="18"/>
        </w:rPr>
        <w:t>Enhanced ecumenical engagement with the Methodist Church through the National Pastoral Strategy; with the Church of England through new discussions based around </w:t>
      </w:r>
      <w:r>
        <w:rPr>
          <w:color w:val="231F20"/>
          <w:w w:val="110"/>
          <w:sz w:val="18"/>
          <w:u w:val="single" w:color="231F20"/>
        </w:rPr>
        <w:t>God’s reign and our unity</w:t>
      </w:r>
      <w:r>
        <w:rPr>
          <w:color w:val="231F20"/>
          <w:w w:val="110"/>
          <w:sz w:val="18"/>
        </w:rPr>
        <w:t>; and with the Roman Catholic Church through bi-lateral</w:t>
      </w:r>
      <w:r>
        <w:rPr>
          <w:color w:val="231F20"/>
          <w:spacing w:val="2"/>
          <w:w w:val="110"/>
          <w:sz w:val="18"/>
        </w:rPr>
        <w:t> </w:t>
      </w:r>
      <w:r>
        <w:rPr>
          <w:color w:val="231F20"/>
          <w:w w:val="110"/>
          <w:sz w:val="18"/>
        </w:rPr>
        <w:t>dialogue.</w:t>
      </w:r>
    </w:p>
    <w:p>
      <w:pPr>
        <w:pStyle w:val="ListParagraph"/>
        <w:numPr>
          <w:ilvl w:val="0"/>
          <w:numId w:val="2"/>
        </w:numPr>
        <w:tabs>
          <w:tab w:pos="1354" w:val="left" w:leader="none"/>
          <w:tab w:pos="1355" w:val="left" w:leader="none"/>
        </w:tabs>
        <w:spacing w:line="218" w:lineRule="auto" w:before="8" w:after="0"/>
        <w:ind w:left="1354" w:right="2579" w:hanging="681"/>
        <w:jc w:val="left"/>
        <w:rPr>
          <w:color w:val="231F20"/>
          <w:sz w:val="25"/>
        </w:rPr>
      </w:pPr>
      <w:r>
        <w:rPr>
          <w:color w:val="231F20"/>
          <w:w w:val="110"/>
          <w:sz w:val="18"/>
        </w:rPr>
        <w:t>The encouragement of an independent Regeneration Agency to work with local</w:t>
      </w:r>
      <w:r>
        <w:rPr>
          <w:color w:val="231F20"/>
          <w:spacing w:val="1"/>
          <w:w w:val="110"/>
          <w:sz w:val="18"/>
        </w:rPr>
        <w:t> </w:t>
      </w:r>
      <w:r>
        <w:rPr>
          <w:color w:val="231F20"/>
          <w:w w:val="110"/>
          <w:sz w:val="18"/>
        </w:rPr>
        <w:t>churches.</w:t>
      </w:r>
    </w:p>
    <w:p>
      <w:pPr>
        <w:pStyle w:val="BodyText"/>
        <w:spacing w:before="6"/>
        <w:rPr>
          <w:sz w:val="23"/>
        </w:rPr>
      </w:pPr>
    </w:p>
    <w:p>
      <w:pPr>
        <w:pStyle w:val="BodyText"/>
        <w:spacing w:line="273" w:lineRule="auto"/>
        <w:ind w:left="673" w:right="2318"/>
        <w:jc w:val="both"/>
      </w:pPr>
      <w:r>
        <w:rPr>
          <w:color w:val="231F20"/>
          <w:w w:val="110"/>
        </w:rPr>
        <w:t>That adds up to the most dramatic and far-reaching period of re-visioning in thirty years. It has been achieved in three years. It proves that we are eager to embrace God’s future.</w:t>
      </w:r>
    </w:p>
    <w:p>
      <w:pPr>
        <w:spacing w:after="0" w:line="273" w:lineRule="auto"/>
        <w:jc w:val="both"/>
        <w:sectPr>
          <w:pgSz w:w="11910" w:h="16840"/>
          <w:pgMar w:header="581" w:footer="564" w:top="860" w:bottom="760" w:left="460" w:right="0"/>
        </w:sectPr>
      </w:pPr>
    </w:p>
    <w:p>
      <w:pPr>
        <w:pStyle w:val="BodyText"/>
        <w:spacing w:before="10"/>
        <w:rPr>
          <w:sz w:val="11"/>
        </w:rPr>
      </w:pPr>
    </w:p>
    <w:p>
      <w:pPr>
        <w:pStyle w:val="BodyText"/>
        <w:spacing w:line="273" w:lineRule="auto" w:before="101"/>
        <w:ind w:left="1240" w:right="1410"/>
      </w:pPr>
      <w:r>
        <w:rPr/>
        <w:pict>
          <v:group style="position:absolute;margin-left:337.320007pt;margin-top:97.550629pt;width:215.75pt;height:217.9pt;mso-position-horizontal-relative:page;mso-position-vertical-relative:paragraph;z-index:251664384" coordorigin="6746,1951" coordsize="4315,4358">
            <v:shape style="position:absolute;left:6746;top:1951;width:4315;height:4358" coordorigin="6746,1951" coordsize="4315,4358" path="m10926,1951l6882,1951,6804,1953,6763,1968,6749,2008,6746,2086,6746,6173,6749,6252,6763,6292,6804,6307,6882,6309,10926,6309,11004,6307,11044,6292,11059,6252,11061,6173,11061,2086,11059,2008,11044,1968,11004,1953,10926,1951xe" filled="true" fillcolor="#d1d3d4" stroked="false">
              <v:path arrowok="t"/>
              <v:fill type="solid"/>
            </v:shape>
            <v:shape style="position:absolute;left:6927;top:2166;width:3921;height:3921" type="#_x0000_t75" stroked="false">
              <v:imagedata r:id="rId19" o:title=""/>
            </v:shape>
            <v:shape style="position:absolute;left:8078;top:2542;width:1737;height:3170" type="#_x0000_t75" stroked="false">
              <v:imagedata r:id="rId20" o:title=""/>
            </v:shape>
            <w10:wrap type="none"/>
          </v:group>
        </w:pict>
      </w:r>
      <w:r>
        <w:rPr>
          <w:color w:val="231F20"/>
          <w:w w:val="110"/>
        </w:rPr>
        <w:t>We have now </w:t>
      </w:r>
      <w:r>
        <w:rPr>
          <w:color w:val="231F20"/>
          <w:spacing w:val="3"/>
          <w:w w:val="110"/>
        </w:rPr>
        <w:t>reached </w:t>
      </w:r>
      <w:r>
        <w:rPr>
          <w:color w:val="231F20"/>
          <w:w w:val="110"/>
        </w:rPr>
        <w:t>a </w:t>
      </w:r>
      <w:r>
        <w:rPr>
          <w:color w:val="231F20"/>
          <w:spacing w:val="3"/>
          <w:w w:val="110"/>
        </w:rPr>
        <w:t>critical </w:t>
      </w:r>
      <w:r>
        <w:rPr>
          <w:color w:val="231F20"/>
          <w:spacing w:val="2"/>
          <w:w w:val="110"/>
        </w:rPr>
        <w:t>turning point </w:t>
      </w:r>
      <w:r>
        <w:rPr>
          <w:color w:val="231F20"/>
          <w:w w:val="110"/>
        </w:rPr>
        <w:t>in </w:t>
      </w:r>
      <w:r>
        <w:rPr>
          <w:color w:val="231F20"/>
          <w:spacing w:val="3"/>
          <w:w w:val="110"/>
        </w:rPr>
        <w:t>Catch </w:t>
      </w:r>
      <w:r>
        <w:rPr>
          <w:color w:val="231F20"/>
          <w:spacing w:val="2"/>
          <w:w w:val="110"/>
        </w:rPr>
        <w:t>the </w:t>
      </w:r>
      <w:r>
        <w:rPr>
          <w:color w:val="231F20"/>
          <w:spacing w:val="3"/>
          <w:w w:val="110"/>
        </w:rPr>
        <w:t>Vision </w:t>
      </w:r>
      <w:r>
        <w:rPr>
          <w:color w:val="231F20"/>
          <w:w w:val="110"/>
        </w:rPr>
        <w:t>as we </w:t>
      </w:r>
      <w:r>
        <w:rPr>
          <w:color w:val="231F20"/>
          <w:spacing w:val="2"/>
          <w:w w:val="110"/>
        </w:rPr>
        <w:t>turn </w:t>
      </w:r>
      <w:r>
        <w:rPr>
          <w:color w:val="231F20"/>
          <w:w w:val="110"/>
        </w:rPr>
        <w:t>our  </w:t>
      </w:r>
      <w:r>
        <w:rPr>
          <w:color w:val="231F20"/>
          <w:spacing w:val="4"/>
          <w:w w:val="110"/>
        </w:rPr>
        <w:t>hearts </w:t>
      </w:r>
      <w:r>
        <w:rPr>
          <w:color w:val="231F20"/>
          <w:w w:val="110"/>
        </w:rPr>
        <w:t>and </w:t>
      </w:r>
      <w:r>
        <w:rPr>
          <w:color w:val="231F20"/>
          <w:spacing w:val="2"/>
          <w:w w:val="110"/>
        </w:rPr>
        <w:t>minds </w:t>
      </w:r>
      <w:r>
        <w:rPr>
          <w:color w:val="231F20"/>
          <w:w w:val="110"/>
        </w:rPr>
        <w:t>to </w:t>
      </w:r>
      <w:r>
        <w:rPr>
          <w:color w:val="231F20"/>
          <w:spacing w:val="2"/>
          <w:w w:val="110"/>
        </w:rPr>
        <w:t>the work </w:t>
      </w:r>
      <w:r>
        <w:rPr>
          <w:color w:val="231F20"/>
          <w:w w:val="110"/>
        </w:rPr>
        <w:t>that </w:t>
      </w:r>
      <w:r>
        <w:rPr>
          <w:color w:val="231F20"/>
          <w:spacing w:val="3"/>
          <w:w w:val="110"/>
        </w:rPr>
        <w:t>God </w:t>
      </w:r>
      <w:r>
        <w:rPr>
          <w:color w:val="231F20"/>
          <w:w w:val="110"/>
        </w:rPr>
        <w:t>has </w:t>
      </w:r>
      <w:r>
        <w:rPr>
          <w:color w:val="231F20"/>
          <w:spacing w:val="2"/>
          <w:w w:val="110"/>
        </w:rPr>
        <w:t>for </w:t>
      </w:r>
      <w:r>
        <w:rPr>
          <w:color w:val="231F20"/>
          <w:w w:val="110"/>
        </w:rPr>
        <w:t>us in </w:t>
      </w:r>
      <w:r>
        <w:rPr>
          <w:color w:val="231F20"/>
          <w:spacing w:val="2"/>
          <w:w w:val="110"/>
        </w:rPr>
        <w:t>the </w:t>
      </w:r>
      <w:r>
        <w:rPr>
          <w:color w:val="231F20"/>
          <w:spacing w:val="3"/>
          <w:w w:val="110"/>
        </w:rPr>
        <w:t>next decades. </w:t>
      </w:r>
      <w:r>
        <w:rPr>
          <w:color w:val="231F20"/>
          <w:spacing w:val="4"/>
          <w:w w:val="110"/>
        </w:rPr>
        <w:t>As </w:t>
      </w:r>
      <w:r>
        <w:rPr>
          <w:color w:val="231F20"/>
          <w:w w:val="110"/>
        </w:rPr>
        <w:t>a </w:t>
      </w:r>
      <w:r>
        <w:rPr>
          <w:color w:val="231F20"/>
          <w:spacing w:val="3"/>
          <w:w w:val="110"/>
        </w:rPr>
        <w:t>Steering Group </w:t>
      </w:r>
      <w:r>
        <w:rPr>
          <w:color w:val="231F20"/>
          <w:w w:val="110"/>
        </w:rPr>
        <w:t>we </w:t>
      </w:r>
      <w:r>
        <w:rPr>
          <w:color w:val="231F20"/>
          <w:spacing w:val="2"/>
          <w:w w:val="110"/>
        </w:rPr>
        <w:t>are </w:t>
      </w:r>
      <w:r>
        <w:rPr>
          <w:color w:val="231F20"/>
          <w:spacing w:val="3"/>
          <w:w w:val="110"/>
        </w:rPr>
        <w:t>deeply conscious </w:t>
      </w:r>
      <w:r>
        <w:rPr>
          <w:color w:val="231F20"/>
          <w:w w:val="110"/>
        </w:rPr>
        <w:t>of </w:t>
      </w:r>
      <w:r>
        <w:rPr>
          <w:color w:val="231F20"/>
          <w:spacing w:val="2"/>
          <w:w w:val="110"/>
        </w:rPr>
        <w:t>the </w:t>
      </w:r>
      <w:r>
        <w:rPr>
          <w:color w:val="231F20"/>
          <w:spacing w:val="3"/>
          <w:w w:val="110"/>
        </w:rPr>
        <w:t>trust </w:t>
      </w:r>
      <w:r>
        <w:rPr>
          <w:color w:val="231F20"/>
          <w:spacing w:val="2"/>
          <w:w w:val="110"/>
        </w:rPr>
        <w:t>the </w:t>
      </w:r>
      <w:r>
        <w:rPr>
          <w:color w:val="231F20"/>
          <w:spacing w:val="3"/>
          <w:w w:val="110"/>
        </w:rPr>
        <w:t>church </w:t>
      </w:r>
      <w:r>
        <w:rPr>
          <w:color w:val="231F20"/>
          <w:w w:val="110"/>
        </w:rPr>
        <w:t>has </w:t>
      </w:r>
      <w:r>
        <w:rPr>
          <w:color w:val="231F20"/>
          <w:spacing w:val="3"/>
          <w:w w:val="110"/>
        </w:rPr>
        <w:t>placed </w:t>
      </w:r>
      <w:r>
        <w:rPr>
          <w:color w:val="231F20"/>
          <w:w w:val="110"/>
        </w:rPr>
        <w:t>in us, and </w:t>
      </w:r>
      <w:r>
        <w:rPr>
          <w:color w:val="231F20"/>
          <w:spacing w:val="2"/>
          <w:w w:val="110"/>
        </w:rPr>
        <w:t>grateful</w:t>
      </w:r>
      <w:r>
        <w:rPr>
          <w:color w:val="231F20"/>
          <w:spacing w:val="73"/>
          <w:w w:val="110"/>
        </w:rPr>
        <w:t> </w:t>
      </w:r>
      <w:r>
        <w:rPr>
          <w:color w:val="231F20"/>
          <w:spacing w:val="2"/>
          <w:w w:val="110"/>
        </w:rPr>
        <w:t>for the </w:t>
      </w:r>
      <w:r>
        <w:rPr>
          <w:color w:val="231F20"/>
          <w:spacing w:val="3"/>
          <w:w w:val="110"/>
        </w:rPr>
        <w:t>opportunities </w:t>
      </w:r>
      <w:r>
        <w:rPr>
          <w:color w:val="231F20"/>
          <w:w w:val="110"/>
        </w:rPr>
        <w:t>we have </w:t>
      </w:r>
      <w:r>
        <w:rPr>
          <w:color w:val="231F20"/>
          <w:spacing w:val="3"/>
          <w:w w:val="110"/>
        </w:rPr>
        <w:t>been </w:t>
      </w:r>
      <w:r>
        <w:rPr>
          <w:color w:val="231F20"/>
          <w:w w:val="110"/>
        </w:rPr>
        <w:t>given. However, we have always </w:t>
      </w:r>
      <w:r>
        <w:rPr>
          <w:color w:val="231F20"/>
          <w:spacing w:val="3"/>
          <w:w w:val="110"/>
        </w:rPr>
        <w:t>argued </w:t>
      </w:r>
      <w:r>
        <w:rPr>
          <w:color w:val="231F20"/>
          <w:w w:val="110"/>
        </w:rPr>
        <w:t>that </w:t>
      </w:r>
      <w:r>
        <w:rPr>
          <w:color w:val="231F20"/>
          <w:spacing w:val="2"/>
          <w:w w:val="110"/>
        </w:rPr>
        <w:t>the </w:t>
      </w:r>
      <w:r>
        <w:rPr>
          <w:color w:val="231F20"/>
          <w:spacing w:val="3"/>
          <w:w w:val="110"/>
        </w:rPr>
        <w:t>regeneration </w:t>
      </w:r>
      <w:r>
        <w:rPr>
          <w:color w:val="231F20"/>
          <w:w w:val="110"/>
        </w:rPr>
        <w:t>of </w:t>
      </w:r>
      <w:r>
        <w:rPr>
          <w:color w:val="231F20"/>
          <w:spacing w:val="2"/>
          <w:w w:val="110"/>
        </w:rPr>
        <w:t>the </w:t>
      </w:r>
      <w:r>
        <w:rPr>
          <w:color w:val="231F20"/>
          <w:spacing w:val="3"/>
          <w:w w:val="110"/>
        </w:rPr>
        <w:t>church </w:t>
      </w:r>
      <w:r>
        <w:rPr>
          <w:color w:val="231F20"/>
          <w:w w:val="110"/>
        </w:rPr>
        <w:t>and a new </w:t>
      </w:r>
      <w:r>
        <w:rPr>
          <w:color w:val="231F20"/>
          <w:spacing w:val="3"/>
          <w:w w:val="110"/>
        </w:rPr>
        <w:t>concentration </w:t>
      </w:r>
      <w:r>
        <w:rPr>
          <w:color w:val="231F20"/>
          <w:w w:val="110"/>
        </w:rPr>
        <w:t>on </w:t>
      </w:r>
      <w:r>
        <w:rPr>
          <w:color w:val="231F20"/>
          <w:spacing w:val="2"/>
          <w:w w:val="110"/>
        </w:rPr>
        <w:t>mission </w:t>
      </w:r>
      <w:r>
        <w:rPr>
          <w:color w:val="231F20"/>
          <w:w w:val="110"/>
        </w:rPr>
        <w:t>and </w:t>
      </w:r>
      <w:r>
        <w:rPr>
          <w:color w:val="231F20"/>
          <w:spacing w:val="3"/>
          <w:w w:val="110"/>
        </w:rPr>
        <w:t>spirituality </w:t>
      </w:r>
      <w:r>
        <w:rPr>
          <w:color w:val="231F20"/>
          <w:spacing w:val="2"/>
          <w:w w:val="110"/>
        </w:rPr>
        <w:t>are long-term </w:t>
      </w:r>
      <w:r>
        <w:rPr>
          <w:color w:val="231F20"/>
          <w:spacing w:val="3"/>
          <w:w w:val="110"/>
        </w:rPr>
        <w:t>matters. </w:t>
      </w:r>
      <w:r>
        <w:rPr>
          <w:color w:val="231F20"/>
          <w:w w:val="110"/>
        </w:rPr>
        <w:t>We believe that by </w:t>
      </w:r>
      <w:r>
        <w:rPr>
          <w:color w:val="231F20"/>
          <w:spacing w:val="2"/>
          <w:w w:val="110"/>
        </w:rPr>
        <w:t>the end </w:t>
      </w:r>
      <w:r>
        <w:rPr>
          <w:color w:val="231F20"/>
          <w:w w:val="110"/>
        </w:rPr>
        <w:t>of this </w:t>
      </w:r>
      <w:r>
        <w:rPr>
          <w:color w:val="231F20"/>
          <w:spacing w:val="3"/>
          <w:w w:val="110"/>
        </w:rPr>
        <w:t>Assembly </w:t>
      </w:r>
      <w:r>
        <w:rPr>
          <w:color w:val="231F20"/>
          <w:w w:val="110"/>
        </w:rPr>
        <w:t>we will have </w:t>
      </w:r>
      <w:r>
        <w:rPr>
          <w:color w:val="231F20"/>
          <w:spacing w:val="2"/>
          <w:w w:val="110"/>
        </w:rPr>
        <w:t>the </w:t>
      </w:r>
      <w:r>
        <w:rPr>
          <w:color w:val="231F20"/>
          <w:spacing w:val="4"/>
          <w:w w:val="110"/>
        </w:rPr>
        <w:t>structures </w:t>
      </w:r>
      <w:r>
        <w:rPr>
          <w:color w:val="231F20"/>
          <w:w w:val="110"/>
        </w:rPr>
        <w:t>to allow that</w:t>
      </w:r>
      <w:r>
        <w:rPr>
          <w:color w:val="231F20"/>
          <w:spacing w:val="17"/>
          <w:w w:val="110"/>
        </w:rPr>
        <w:t> </w:t>
      </w:r>
      <w:r>
        <w:rPr>
          <w:color w:val="231F20"/>
          <w:spacing w:val="3"/>
          <w:w w:val="110"/>
        </w:rPr>
        <w:t>concentration.</w:t>
      </w:r>
    </w:p>
    <w:p>
      <w:pPr>
        <w:pStyle w:val="BodyText"/>
        <w:spacing w:before="11"/>
        <w:rPr>
          <w:sz w:val="20"/>
        </w:rPr>
      </w:pPr>
    </w:p>
    <w:p>
      <w:pPr>
        <w:pStyle w:val="BodyText"/>
        <w:spacing w:line="273" w:lineRule="auto"/>
        <w:ind w:left="1240" w:right="5538"/>
      </w:pPr>
      <w:r>
        <w:rPr>
          <w:color w:val="231F20"/>
          <w:spacing w:val="-3"/>
          <w:w w:val="110"/>
        </w:rPr>
        <w:t>We </w:t>
      </w:r>
      <w:r>
        <w:rPr>
          <w:color w:val="231F20"/>
          <w:w w:val="110"/>
        </w:rPr>
        <w:t>suggest one </w:t>
      </w:r>
      <w:r>
        <w:rPr>
          <w:color w:val="231F20"/>
          <w:spacing w:val="2"/>
          <w:w w:val="110"/>
        </w:rPr>
        <w:t>further </w:t>
      </w:r>
      <w:r>
        <w:rPr>
          <w:color w:val="231F20"/>
          <w:w w:val="110"/>
        </w:rPr>
        <w:t>way in which that focus could be enhanced, and ‘Catch the Vision’ taken forward.  Spirituality  and mission are not there to be managed for they don’t work in that </w:t>
      </w:r>
      <w:r>
        <w:rPr>
          <w:color w:val="231F20"/>
          <w:spacing w:val="-5"/>
          <w:w w:val="110"/>
        </w:rPr>
        <w:t>way. </w:t>
      </w:r>
      <w:r>
        <w:rPr>
          <w:color w:val="231F20"/>
          <w:w w:val="110"/>
        </w:rPr>
        <w:t>Rather, we need space for dreaming dreams and seeing</w:t>
      </w:r>
      <w:r>
        <w:rPr>
          <w:color w:val="231F20"/>
          <w:spacing w:val="30"/>
          <w:w w:val="110"/>
        </w:rPr>
        <w:t> </w:t>
      </w:r>
      <w:r>
        <w:rPr>
          <w:color w:val="231F20"/>
          <w:w w:val="110"/>
        </w:rPr>
        <w:t>visions.</w:t>
      </w:r>
    </w:p>
    <w:p>
      <w:pPr>
        <w:pStyle w:val="BodyText"/>
        <w:spacing w:line="273" w:lineRule="auto" w:before="4"/>
        <w:ind w:left="1240" w:right="5623"/>
      </w:pPr>
      <w:r>
        <w:rPr>
          <w:color w:val="231F20"/>
          <w:w w:val="110"/>
        </w:rPr>
        <w:t>Prophets, people of prayer, and those who work at the edge are rarely comfortable with the structures and confines of institutional life. We need a ‘think-tank’ which can see God’s blue sky beyond the church’s red tape, so we offer you our dream.</w:t>
      </w:r>
    </w:p>
    <w:p>
      <w:pPr>
        <w:pStyle w:val="BodyText"/>
        <w:spacing w:before="10"/>
        <w:rPr>
          <w:sz w:val="20"/>
        </w:rPr>
      </w:pPr>
    </w:p>
    <w:p>
      <w:pPr>
        <w:pStyle w:val="BodyText"/>
        <w:spacing w:line="273" w:lineRule="auto"/>
        <w:ind w:left="1240" w:right="5521"/>
      </w:pPr>
      <w:r>
        <w:rPr>
          <w:color w:val="231F20"/>
          <w:spacing w:val="-3"/>
          <w:w w:val="110"/>
        </w:rPr>
        <w:t>We </w:t>
      </w:r>
      <w:r>
        <w:rPr>
          <w:color w:val="231F20"/>
          <w:w w:val="110"/>
        </w:rPr>
        <w:t>envisage a group of </w:t>
      </w:r>
      <w:r>
        <w:rPr>
          <w:color w:val="231F20"/>
          <w:spacing w:val="-5"/>
          <w:w w:val="110"/>
        </w:rPr>
        <w:t>15-20  </w:t>
      </w:r>
      <w:r>
        <w:rPr>
          <w:color w:val="231F20"/>
          <w:w w:val="110"/>
        </w:rPr>
        <w:t>people, meeting at least twice a year for </w:t>
      </w:r>
      <w:r>
        <w:rPr>
          <w:color w:val="231F20"/>
          <w:spacing w:val="-3"/>
          <w:w w:val="110"/>
        </w:rPr>
        <w:t>24 </w:t>
      </w:r>
      <w:r>
        <w:rPr>
          <w:color w:val="231F20"/>
          <w:w w:val="110"/>
        </w:rPr>
        <w:t>hours at Windermere </w:t>
      </w:r>
      <w:r>
        <w:rPr>
          <w:color w:val="231F20"/>
          <w:spacing w:val="-3"/>
          <w:w w:val="110"/>
        </w:rPr>
        <w:t>(maybe </w:t>
      </w:r>
      <w:r>
        <w:rPr>
          <w:color w:val="231F20"/>
          <w:w w:val="110"/>
        </w:rPr>
        <w:t>at the end of July and  the following April), to turn their minds to the on-going renewal and spiritual refreshment</w:t>
      </w:r>
      <w:r>
        <w:rPr>
          <w:color w:val="231F20"/>
          <w:spacing w:val="15"/>
          <w:w w:val="110"/>
        </w:rPr>
        <w:t> </w:t>
      </w:r>
      <w:r>
        <w:rPr>
          <w:color w:val="231F20"/>
          <w:w w:val="110"/>
        </w:rPr>
        <w:t>of</w:t>
      </w:r>
    </w:p>
    <w:p>
      <w:pPr>
        <w:pStyle w:val="BodyText"/>
        <w:spacing w:line="273" w:lineRule="auto" w:before="4"/>
        <w:ind w:left="1240" w:right="1365"/>
      </w:pPr>
      <w:r>
        <w:rPr>
          <w:color w:val="231F20"/>
          <w:w w:val="110"/>
        </w:rPr>
        <w:t>the church. There would be a mix of theologians and Biblical scholars and practitioners, both lay and ordained, representing the theological and cultural diversity of the church, along with ecumenical participants. It would be serviced by the Central Secretariat and convened by the Moderator.</w:t>
      </w:r>
    </w:p>
    <w:p>
      <w:pPr>
        <w:pStyle w:val="BodyText"/>
        <w:spacing w:before="9"/>
        <w:rPr>
          <w:sz w:val="20"/>
        </w:rPr>
      </w:pPr>
    </w:p>
    <w:p>
      <w:pPr>
        <w:pStyle w:val="BodyText"/>
        <w:spacing w:line="273" w:lineRule="auto"/>
        <w:ind w:left="1240" w:right="1365"/>
      </w:pPr>
      <w:r>
        <w:rPr>
          <w:color w:val="231F20"/>
          <w:w w:val="110"/>
        </w:rPr>
        <w:t>We suggest it should initially be selected by the Moderator, in consultation with the Nominations Committee. Members would serve for a period of three years, with a third of the membership changing each year.</w:t>
      </w:r>
    </w:p>
    <w:p>
      <w:pPr>
        <w:pStyle w:val="BodyText"/>
        <w:spacing w:before="9"/>
        <w:rPr>
          <w:sz w:val="20"/>
        </w:rPr>
      </w:pPr>
    </w:p>
    <w:p>
      <w:pPr>
        <w:pStyle w:val="BodyText"/>
        <w:spacing w:line="273" w:lineRule="auto"/>
        <w:ind w:left="1240" w:right="1365"/>
      </w:pPr>
      <w:r>
        <w:rPr>
          <w:color w:val="231F20"/>
          <w:w w:val="110"/>
        </w:rPr>
        <w:t>Any papers, projects or programmes suggested by the group would then go to Mission Council, or the appropriate committee or department, for further consideration and development. The intent would be to keep a freshness of vision at the heart of our structures, and to enable sensitive response to the shifting spiritual and theological environment in which the church finds itself.</w:t>
      </w:r>
    </w:p>
    <w:p>
      <w:pPr>
        <w:pStyle w:val="BodyText"/>
        <w:spacing w:before="10"/>
        <w:rPr>
          <w:sz w:val="20"/>
        </w:rPr>
      </w:pPr>
    </w:p>
    <w:p>
      <w:pPr>
        <w:pStyle w:val="BodyText"/>
        <w:spacing w:line="273" w:lineRule="auto"/>
        <w:ind w:left="1240" w:right="1279"/>
      </w:pPr>
      <w:r>
        <w:rPr>
          <w:color w:val="231F20"/>
          <w:w w:val="110"/>
        </w:rPr>
        <w:t>The Reformers argued that the church is always in a </w:t>
      </w:r>
      <w:r>
        <w:rPr>
          <w:color w:val="231F20"/>
          <w:spacing w:val="2"/>
          <w:w w:val="110"/>
        </w:rPr>
        <w:t>process </w:t>
      </w:r>
      <w:r>
        <w:rPr>
          <w:color w:val="231F20"/>
          <w:w w:val="110"/>
        </w:rPr>
        <w:t>of change, of growing into Christ – ‘ecclesia semper reformanda’ – but for all that, change is uncomfortable and disconcerting. That has made the willingness of many in the church to work with us all the more moving, and we </w:t>
      </w:r>
      <w:r>
        <w:rPr>
          <w:color w:val="231F20"/>
          <w:spacing w:val="2"/>
          <w:w w:val="110"/>
        </w:rPr>
        <w:t>offer </w:t>
      </w:r>
      <w:r>
        <w:rPr>
          <w:color w:val="231F20"/>
          <w:w w:val="110"/>
        </w:rPr>
        <w:t>our profound thanks to those who have shouldered large burdens on our behalf. The kind of work which we have done in the past three years needs</w:t>
      </w:r>
      <w:r>
        <w:rPr>
          <w:color w:val="231F20"/>
          <w:spacing w:val="5"/>
          <w:w w:val="110"/>
        </w:rPr>
        <w:t> </w:t>
      </w:r>
      <w:r>
        <w:rPr>
          <w:color w:val="231F20"/>
          <w:w w:val="110"/>
        </w:rPr>
        <w:t>to</w:t>
      </w:r>
      <w:r>
        <w:rPr>
          <w:color w:val="231F20"/>
          <w:spacing w:val="5"/>
          <w:w w:val="110"/>
        </w:rPr>
        <w:t> </w:t>
      </w:r>
      <w:r>
        <w:rPr>
          <w:color w:val="231F20"/>
          <w:w w:val="110"/>
        </w:rPr>
        <w:t>be</w:t>
      </w:r>
      <w:r>
        <w:rPr>
          <w:color w:val="231F20"/>
          <w:spacing w:val="5"/>
          <w:w w:val="110"/>
        </w:rPr>
        <w:t> </w:t>
      </w:r>
      <w:r>
        <w:rPr>
          <w:color w:val="231F20"/>
          <w:w w:val="110"/>
        </w:rPr>
        <w:t>guided</w:t>
      </w:r>
      <w:r>
        <w:rPr>
          <w:color w:val="231F20"/>
          <w:spacing w:val="5"/>
          <w:w w:val="110"/>
        </w:rPr>
        <w:t> </w:t>
      </w:r>
      <w:r>
        <w:rPr>
          <w:color w:val="231F20"/>
          <w:w w:val="110"/>
        </w:rPr>
        <w:t>by</w:t>
      </w:r>
      <w:r>
        <w:rPr>
          <w:color w:val="231F20"/>
          <w:spacing w:val="5"/>
          <w:w w:val="110"/>
        </w:rPr>
        <w:t> </w:t>
      </w:r>
      <w:r>
        <w:rPr>
          <w:color w:val="231F20"/>
          <w:w w:val="110"/>
        </w:rPr>
        <w:t>a</w:t>
      </w:r>
      <w:r>
        <w:rPr>
          <w:color w:val="231F20"/>
          <w:spacing w:val="5"/>
          <w:w w:val="110"/>
        </w:rPr>
        <w:t> </w:t>
      </w:r>
      <w:r>
        <w:rPr>
          <w:color w:val="231F20"/>
          <w:w w:val="110"/>
        </w:rPr>
        <w:t>small</w:t>
      </w:r>
      <w:r>
        <w:rPr>
          <w:color w:val="231F20"/>
          <w:spacing w:val="5"/>
          <w:w w:val="110"/>
        </w:rPr>
        <w:t> </w:t>
      </w:r>
      <w:r>
        <w:rPr>
          <w:color w:val="231F20"/>
          <w:w w:val="110"/>
        </w:rPr>
        <w:t>group.</w:t>
      </w:r>
      <w:r>
        <w:rPr>
          <w:color w:val="231F20"/>
          <w:spacing w:val="5"/>
          <w:w w:val="110"/>
        </w:rPr>
        <w:t> </w:t>
      </w:r>
      <w:r>
        <w:rPr>
          <w:color w:val="231F20"/>
          <w:w w:val="110"/>
        </w:rPr>
        <w:t>The</w:t>
      </w:r>
      <w:r>
        <w:rPr>
          <w:color w:val="231F20"/>
          <w:spacing w:val="5"/>
          <w:w w:val="110"/>
        </w:rPr>
        <w:t> </w:t>
      </w:r>
      <w:r>
        <w:rPr>
          <w:color w:val="231F20"/>
          <w:w w:val="110"/>
        </w:rPr>
        <w:t>kind</w:t>
      </w:r>
      <w:r>
        <w:rPr>
          <w:color w:val="231F20"/>
          <w:spacing w:val="5"/>
          <w:w w:val="110"/>
        </w:rPr>
        <w:t> </w:t>
      </w:r>
      <w:r>
        <w:rPr>
          <w:color w:val="231F20"/>
          <w:w w:val="110"/>
        </w:rPr>
        <w:t>of</w:t>
      </w:r>
      <w:r>
        <w:rPr>
          <w:color w:val="231F20"/>
          <w:spacing w:val="5"/>
          <w:w w:val="110"/>
        </w:rPr>
        <w:t> </w:t>
      </w:r>
      <w:r>
        <w:rPr>
          <w:color w:val="231F20"/>
          <w:w w:val="110"/>
        </w:rPr>
        <w:t>work</w:t>
      </w:r>
      <w:r>
        <w:rPr>
          <w:color w:val="231F20"/>
          <w:spacing w:val="5"/>
          <w:w w:val="110"/>
        </w:rPr>
        <w:t> </w:t>
      </w:r>
      <w:r>
        <w:rPr>
          <w:color w:val="231F20"/>
          <w:w w:val="110"/>
        </w:rPr>
        <w:t>which</w:t>
      </w:r>
      <w:r>
        <w:rPr>
          <w:color w:val="231F20"/>
          <w:spacing w:val="5"/>
          <w:w w:val="110"/>
        </w:rPr>
        <w:t> </w:t>
      </w:r>
      <w:r>
        <w:rPr>
          <w:color w:val="231F20"/>
          <w:w w:val="110"/>
        </w:rPr>
        <w:t>we</w:t>
      </w:r>
      <w:r>
        <w:rPr>
          <w:color w:val="231F20"/>
          <w:spacing w:val="5"/>
          <w:w w:val="110"/>
        </w:rPr>
        <w:t> </w:t>
      </w:r>
      <w:r>
        <w:rPr>
          <w:color w:val="231F20"/>
          <w:w w:val="110"/>
        </w:rPr>
        <w:t>are</w:t>
      </w:r>
      <w:r>
        <w:rPr>
          <w:color w:val="231F20"/>
          <w:spacing w:val="5"/>
          <w:w w:val="110"/>
        </w:rPr>
        <w:t> </w:t>
      </w:r>
      <w:r>
        <w:rPr>
          <w:color w:val="231F20"/>
          <w:w w:val="110"/>
        </w:rPr>
        <w:t>about</w:t>
      </w:r>
      <w:r>
        <w:rPr>
          <w:color w:val="231F20"/>
          <w:spacing w:val="5"/>
          <w:w w:val="110"/>
        </w:rPr>
        <w:t> </w:t>
      </w:r>
      <w:r>
        <w:rPr>
          <w:color w:val="231F20"/>
          <w:w w:val="110"/>
        </w:rPr>
        <w:t>to</w:t>
      </w:r>
      <w:r>
        <w:rPr>
          <w:color w:val="231F20"/>
          <w:spacing w:val="5"/>
          <w:w w:val="110"/>
        </w:rPr>
        <w:t> </w:t>
      </w:r>
      <w:r>
        <w:rPr>
          <w:color w:val="231F20"/>
          <w:w w:val="110"/>
        </w:rPr>
        <w:t>do</w:t>
      </w:r>
      <w:r>
        <w:rPr>
          <w:color w:val="231F20"/>
          <w:spacing w:val="5"/>
          <w:w w:val="110"/>
        </w:rPr>
        <w:t> </w:t>
      </w:r>
      <w:r>
        <w:rPr>
          <w:color w:val="231F20"/>
          <w:w w:val="110"/>
        </w:rPr>
        <w:t>as</w:t>
      </w:r>
    </w:p>
    <w:p>
      <w:pPr>
        <w:pStyle w:val="BodyText"/>
        <w:spacing w:line="273" w:lineRule="auto" w:before="4"/>
        <w:ind w:left="1240" w:right="1372"/>
        <w:jc w:val="both"/>
      </w:pPr>
      <w:r>
        <w:rPr>
          <w:color w:val="231F20"/>
          <w:w w:val="110"/>
        </w:rPr>
        <w:t>we enter into the process of working together on the Bible, spirituality and evangelism needs a different kind of leadership, as we catch a vision of God’s tomorrow in each of our churches. We therefore ask Assembly to demit us from our task.</w:t>
      </w:r>
    </w:p>
    <w:p>
      <w:pPr>
        <w:spacing w:after="0" w:line="273" w:lineRule="auto"/>
        <w:jc w:val="both"/>
        <w:sectPr>
          <w:pgSz w:w="11910" w:h="16840"/>
          <w:pgMar w:header="581" w:footer="564" w:top="860" w:bottom="760" w:left="460" w:right="0"/>
        </w:sectPr>
      </w:pPr>
    </w:p>
    <w:p>
      <w:pPr>
        <w:pStyle w:val="BodyText"/>
        <w:spacing w:before="9"/>
      </w:pPr>
    </w:p>
    <w:p>
      <w:pPr>
        <w:pStyle w:val="BodyText"/>
        <w:ind w:left="380"/>
        <w:rPr>
          <w:sz w:val="20"/>
        </w:rPr>
      </w:pPr>
      <w:r>
        <w:rPr>
          <w:sz w:val="20"/>
        </w:rPr>
        <w:pict>
          <v:group style="width:496.6pt;height:103.35pt;mso-position-horizontal-relative:char;mso-position-vertical-relative:line" coordorigin="0,0" coordsize="9932,2067">
            <v:rect style="position:absolute;left:302;top:440;width:4016;height:304" filled="true" fillcolor="#d8dadc" stroked="false">
              <v:fill type="solid"/>
            </v:rect>
            <v:rect style="position:absolute;left:302;top:114;width:159;height:326" filled="true" fillcolor="#d8dadc" stroked="false">
              <v:fill type="solid"/>
            </v:rect>
            <v:line style="position:absolute" from="303,108" to="4318,108" stroked="true" strokeweight=".7pt" strokecolor="#d8dadc">
              <v:stroke dashstyle="solid"/>
            </v:line>
            <v:rect style="position:absolute;left:3903;top:113;width:416;height:327" filled="true" fillcolor="#d8dadc" stroked="false">
              <v:fill type="solid"/>
            </v:rect>
            <v:rect style="position:absolute;left:460;top:113;width:3443;height:327" filled="true" fillcolor="#d8dadc" stroked="false">
              <v:fill type="solid"/>
            </v:rect>
            <v:shape style="position:absolute;left:0;top:48;width:9932;height:2018" type="#_x0000_t75" stroked="false">
              <v:imagedata r:id="rId21" o:title=""/>
            </v:shape>
            <v:shape style="position:absolute;left:416;top:0;width:3678;height:753"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73"/>
                        <w:w w:val="111"/>
                        <w:sz w:val="43"/>
                      </w:rPr>
                      <w:t>N</w:t>
                    </w:r>
                    <w:r>
                      <w:rPr>
                        <w:b/>
                        <w:color w:val="231F20"/>
                        <w:w w:val="112"/>
                        <w:position w:val="-20"/>
                        <w:sz w:val="50"/>
                      </w:rPr>
                      <w:t>1</w:t>
                    </w:r>
                  </w:p>
                </w:txbxContent>
              </v:textbox>
              <w10:wrap type="none"/>
            </v:shape>
            <v:shape style="position:absolute;left:4482;top:448;width:4901;height:241" type="#_x0000_t202" filled="false" stroked="false">
              <v:textbox inset="0,0,0,0">
                <w:txbxContent>
                  <w:p>
                    <w:pPr>
                      <w:spacing w:line="241" w:lineRule="exact" w:before="0"/>
                      <w:ind w:left="0" w:right="0" w:firstLine="0"/>
                      <w:jc w:val="left"/>
                      <w:rPr>
                        <w:b/>
                        <w:sz w:val="20"/>
                      </w:rPr>
                    </w:pPr>
                    <w:r>
                      <w:rPr>
                        <w:b/>
                        <w:color w:val="231F20"/>
                        <w:w w:val="110"/>
                        <w:sz w:val="20"/>
                      </w:rPr>
                      <w:t>‘Think-tank’ on mission and spirituality</w:t>
                    </w:r>
                  </w:p>
                </w:txbxContent>
              </v:textbox>
              <w10:wrap type="none"/>
            </v:shape>
            <v:shape style="position:absolute;left:293;top:1216;width:8937;height:469" type="#_x0000_t202" filled="false" stroked="false">
              <v:textbox inset="0,0,0,0">
                <w:txbxContent>
                  <w:p>
                    <w:pPr>
                      <w:spacing w:line="273" w:lineRule="auto" w:before="0"/>
                      <w:ind w:left="0" w:right="0" w:firstLine="0"/>
                      <w:jc w:val="left"/>
                      <w:rPr>
                        <w:sz w:val="18"/>
                      </w:rPr>
                    </w:pPr>
                    <w:r>
                      <w:rPr>
                        <w:color w:val="231F20"/>
                        <w:w w:val="110"/>
                        <w:sz w:val="18"/>
                      </w:rPr>
                      <w:t>General Assembly instructs Mission Council and the Nominations Committee to do such further work as is </w:t>
                    </w:r>
                    <w:r>
                      <w:rPr>
                        <w:color w:val="231F20"/>
                        <w:spacing w:val="3"/>
                        <w:w w:val="110"/>
                        <w:sz w:val="18"/>
                      </w:rPr>
                      <w:t>necessary </w:t>
                    </w:r>
                    <w:r>
                      <w:rPr>
                        <w:color w:val="231F20"/>
                        <w:w w:val="110"/>
                        <w:sz w:val="18"/>
                      </w:rPr>
                      <w:t>to create a ‘think-tank’ on mission and</w:t>
                    </w:r>
                    <w:r>
                      <w:rPr>
                        <w:color w:val="231F20"/>
                        <w:spacing w:val="62"/>
                        <w:w w:val="110"/>
                        <w:sz w:val="18"/>
                      </w:rPr>
                      <w:t> </w:t>
                    </w:r>
                    <w:r>
                      <w:rPr>
                        <w:color w:val="231F20"/>
                        <w:w w:val="110"/>
                        <w:sz w:val="18"/>
                      </w:rPr>
                      <w:t>spirituality.</w:t>
                    </w:r>
                  </w:p>
                </w:txbxContent>
              </v:textbox>
              <w10:wrap type="none"/>
            </v:shape>
          </v:group>
        </w:pict>
      </w:r>
      <w:r>
        <w:rPr>
          <w:sz w:val="20"/>
        </w:rPr>
      </w:r>
    </w:p>
    <w:p>
      <w:pPr>
        <w:spacing w:after="0"/>
        <w:rPr>
          <w:sz w:val="20"/>
        </w:rPr>
        <w:sectPr>
          <w:pgSz w:w="11910" w:h="16840"/>
          <w:pgMar w:header="581" w:footer="564" w:top="860" w:bottom="760" w:left="460" w:right="0"/>
        </w:sectPr>
      </w:pPr>
    </w:p>
    <w:p>
      <w:pPr>
        <w:numPr>
          <w:ilvl w:val="1"/>
          <w:numId w:val="1"/>
        </w:numPr>
        <w:tabs>
          <w:tab w:pos="1960" w:val="left" w:leader="none"/>
          <w:tab w:pos="1961" w:val="left" w:leader="none"/>
        </w:tabs>
        <w:spacing w:before="88"/>
        <w:ind w:left="1960" w:right="0" w:hanging="721"/>
        <w:jc w:val="left"/>
        <w:rPr>
          <w:b/>
          <w:color w:val="231F20"/>
          <w:sz w:val="18"/>
        </w:rPr>
      </w:pPr>
      <w:r>
        <w:rPr>
          <w:b/>
          <w:color w:val="231F20"/>
          <w:w w:val="110"/>
          <w:sz w:val="18"/>
        </w:rPr>
        <w:t>Overview</w:t>
      </w:r>
    </w:p>
    <w:p>
      <w:pPr>
        <w:pStyle w:val="BodyText"/>
        <w:spacing w:before="1"/>
        <w:rPr>
          <w:b/>
          <w:sz w:val="23"/>
        </w:rPr>
      </w:pPr>
    </w:p>
    <w:p>
      <w:pPr>
        <w:pStyle w:val="ListParagraph"/>
        <w:numPr>
          <w:ilvl w:val="2"/>
          <w:numId w:val="1"/>
        </w:numPr>
        <w:tabs>
          <w:tab w:pos="1960" w:val="left" w:leader="none"/>
          <w:tab w:pos="1961" w:val="left" w:leader="none"/>
        </w:tabs>
        <w:spacing w:line="273" w:lineRule="auto" w:before="0" w:after="0"/>
        <w:ind w:left="1240" w:right="2701" w:firstLine="0"/>
        <w:jc w:val="left"/>
        <w:rPr>
          <w:color w:val="231F20"/>
          <w:sz w:val="18"/>
        </w:rPr>
      </w:pPr>
      <w:r>
        <w:rPr>
          <w:color w:val="231F20"/>
          <w:w w:val="110"/>
          <w:sz w:val="18"/>
        </w:rPr>
        <w:t>General Assembly 2006 </w:t>
      </w:r>
      <w:r>
        <w:rPr>
          <w:color w:val="231F20"/>
          <w:spacing w:val="2"/>
          <w:w w:val="110"/>
          <w:sz w:val="18"/>
        </w:rPr>
        <w:t>proposed </w:t>
      </w:r>
      <w:r>
        <w:rPr>
          <w:color w:val="231F20"/>
          <w:w w:val="110"/>
          <w:sz w:val="18"/>
        </w:rPr>
        <w:t>that the central operation of the church should be </w:t>
      </w:r>
      <w:r>
        <w:rPr>
          <w:color w:val="231F20"/>
          <w:spacing w:val="2"/>
          <w:w w:val="110"/>
          <w:sz w:val="18"/>
        </w:rPr>
        <w:t>restructured </w:t>
      </w:r>
      <w:r>
        <w:rPr>
          <w:color w:val="231F20"/>
          <w:w w:val="110"/>
          <w:sz w:val="18"/>
        </w:rPr>
        <w:t>into three </w:t>
      </w:r>
      <w:r>
        <w:rPr>
          <w:color w:val="231F20"/>
          <w:spacing w:val="2"/>
          <w:w w:val="110"/>
          <w:sz w:val="18"/>
        </w:rPr>
        <w:t>departments </w:t>
      </w:r>
      <w:r>
        <w:rPr>
          <w:color w:val="231F20"/>
          <w:w w:val="110"/>
          <w:sz w:val="18"/>
        </w:rPr>
        <w:t>– Ministries of the Church,</w:t>
      </w:r>
      <w:r>
        <w:rPr>
          <w:color w:val="231F20"/>
          <w:spacing w:val="12"/>
          <w:w w:val="110"/>
          <w:sz w:val="18"/>
        </w:rPr>
        <w:t> </w:t>
      </w:r>
      <w:r>
        <w:rPr>
          <w:color w:val="231F20"/>
          <w:w w:val="110"/>
          <w:sz w:val="18"/>
        </w:rPr>
        <w:t>Administration</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Resources,</w:t>
      </w:r>
      <w:r>
        <w:rPr>
          <w:color w:val="231F20"/>
          <w:spacing w:val="13"/>
          <w:w w:val="110"/>
          <w:sz w:val="18"/>
        </w:rPr>
        <w:t> </w:t>
      </w:r>
      <w:r>
        <w:rPr>
          <w:color w:val="231F20"/>
          <w:w w:val="110"/>
          <w:sz w:val="18"/>
        </w:rPr>
        <w:t>and</w:t>
      </w:r>
      <w:r>
        <w:rPr>
          <w:color w:val="231F20"/>
          <w:spacing w:val="12"/>
          <w:w w:val="110"/>
          <w:sz w:val="18"/>
        </w:rPr>
        <w:t> </w:t>
      </w:r>
      <w:r>
        <w:rPr>
          <w:color w:val="231F20"/>
          <w:w w:val="110"/>
          <w:sz w:val="18"/>
        </w:rPr>
        <w:t>Mission</w:t>
      </w:r>
      <w:r>
        <w:rPr>
          <w:color w:val="231F20"/>
          <w:spacing w:val="12"/>
          <w:w w:val="110"/>
          <w:sz w:val="18"/>
        </w:rPr>
        <w:t> </w:t>
      </w:r>
      <w:r>
        <w:rPr>
          <w:color w:val="231F20"/>
          <w:w w:val="110"/>
          <w:sz w:val="18"/>
        </w:rPr>
        <w:t>Policy</w:t>
      </w:r>
      <w:r>
        <w:rPr>
          <w:color w:val="231F20"/>
          <w:spacing w:val="12"/>
          <w:w w:val="110"/>
          <w:sz w:val="18"/>
        </w:rPr>
        <w:t> </w:t>
      </w:r>
      <w:r>
        <w:rPr>
          <w:color w:val="231F20"/>
          <w:w w:val="110"/>
          <w:sz w:val="18"/>
        </w:rPr>
        <w:t>and</w:t>
      </w:r>
      <w:r>
        <w:rPr>
          <w:color w:val="231F20"/>
          <w:spacing w:val="13"/>
          <w:w w:val="110"/>
          <w:sz w:val="18"/>
        </w:rPr>
        <w:t> </w:t>
      </w:r>
      <w:r>
        <w:rPr>
          <w:color w:val="231F20"/>
          <w:w w:val="110"/>
          <w:sz w:val="18"/>
        </w:rPr>
        <w:t>Theology</w:t>
      </w:r>
    </w:p>
    <w:p>
      <w:pPr>
        <w:pStyle w:val="BodyText"/>
        <w:spacing w:line="273" w:lineRule="auto" w:before="2"/>
        <w:ind w:left="1240" w:right="2348"/>
      </w:pPr>
      <w:r>
        <w:rPr>
          <w:color w:val="231F20"/>
          <w:w w:val="110"/>
        </w:rPr>
        <w:t>– with the request that a more detailed proposal be brought to the 2007 Assembly. Mission Council agreed in March 2007 to simplify the name to ‘Department of Mission’. This appendix sets that proposal within the wider context of ‘Catch the 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after="0"/>
        <w:rPr>
          <w:sz w:val="27"/>
        </w:rPr>
        <w:sectPr>
          <w:headerReference w:type="default" r:id="rId22"/>
          <w:footerReference w:type="default" r:id="rId23"/>
          <w:pgSz w:w="11910" w:h="16840"/>
          <w:pgMar w:header="0" w:footer="0" w:top="1000" w:bottom="280" w:left="460" w:right="0"/>
        </w:sectPr>
      </w:pPr>
    </w:p>
    <w:p>
      <w:pPr>
        <w:pStyle w:val="BodyText"/>
        <w:spacing w:before="3"/>
        <w:rPr>
          <w:sz w:val="22"/>
        </w:rPr>
      </w:pPr>
    </w:p>
    <w:p>
      <w:pPr>
        <w:pStyle w:val="BodyText"/>
        <w:spacing w:line="273" w:lineRule="auto"/>
        <w:ind w:left="3086" w:hanging="45"/>
        <w:jc w:val="right"/>
      </w:pPr>
      <w:r>
        <w:rPr>
          <w:color w:val="231F20"/>
          <w:w w:val="110"/>
        </w:rPr>
        <w:t>Christ’s people</w:t>
      </w:r>
    </w:p>
    <w:p>
      <w:pPr>
        <w:pStyle w:val="BodyText"/>
        <w:spacing w:line="273" w:lineRule="auto" w:before="100"/>
        <w:ind w:left="2209" w:right="3869" w:firstLine="43"/>
      </w:pPr>
      <w:r>
        <w:rPr/>
        <w:br w:type="column"/>
      </w:r>
      <w:r>
        <w:rPr>
          <w:color w:val="231F20"/>
          <w:w w:val="110"/>
        </w:rPr>
        <w:t>Transformed by the gospel</w:t>
      </w:r>
    </w:p>
    <w:p>
      <w:pPr>
        <w:spacing w:after="0" w:line="273" w:lineRule="auto"/>
        <w:sectPr>
          <w:type w:val="continuous"/>
          <w:pgSz w:w="11910" w:h="16840"/>
          <w:pgMar w:top="680" w:bottom="280" w:left="460" w:right="0"/>
          <w:cols w:num="2" w:equalWidth="0">
            <w:col w:w="3806" w:space="40"/>
            <w:col w:w="7604"/>
          </w:cols>
        </w:sectPr>
      </w:pPr>
    </w:p>
    <w:p>
      <w:pPr>
        <w:pStyle w:val="BodyText"/>
        <w:rPr>
          <w:sz w:val="20"/>
        </w:rPr>
      </w:pPr>
      <w:r>
        <w:rPr/>
        <w:pict>
          <v:shape style="position:absolute;margin-left:507.100189pt;margin-top:36.841114pt;width:68.850pt;height:746.7pt;mso-position-horizontal-relative:page;mso-position-vertical-relative:page;z-index:251670528" type="#_x0000_t202" filled="false" stroked="false">
            <v:textbox inset="0,0,0,0" style="layout-flow:vertical">
              <w:txbxContent>
                <w:p>
                  <w:pPr>
                    <w:spacing w:line="989" w:lineRule="exact" w:before="20"/>
                    <w:ind w:left="20" w:right="0" w:firstLine="0"/>
                    <w:jc w:val="left"/>
                    <w:rPr>
                      <w:b/>
                      <w:sz w:val="88"/>
                    </w:rPr>
                  </w:pPr>
                  <w:r>
                    <w:rPr>
                      <w:b/>
                      <w:color w:val="231F20"/>
                      <w:sz w:val="88"/>
                    </w:rPr>
                    <w:t>A new Department of Mission</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BodyText"/>
        <w:spacing w:line="273" w:lineRule="auto" w:before="100"/>
        <w:ind w:left="4425" w:right="5658"/>
        <w:jc w:val="center"/>
      </w:pPr>
      <w:r>
        <w:rPr>
          <w:color w:val="231F20"/>
          <w:w w:val="110"/>
        </w:rPr>
        <w:t>Making a difference to the world</w:t>
      </w:r>
    </w:p>
    <w:p>
      <w:pPr>
        <w:pStyle w:val="BodyText"/>
        <w:rPr>
          <w:sz w:val="20"/>
        </w:rPr>
      </w:pPr>
    </w:p>
    <w:p>
      <w:pPr>
        <w:pStyle w:val="BodyText"/>
        <w:rPr>
          <w:sz w:val="20"/>
        </w:rPr>
      </w:pPr>
    </w:p>
    <w:p>
      <w:pPr>
        <w:pStyle w:val="BodyText"/>
        <w:spacing w:before="10"/>
        <w:rPr>
          <w:sz w:val="22"/>
        </w:rPr>
      </w:pPr>
    </w:p>
    <w:p>
      <w:pPr>
        <w:spacing w:before="103"/>
        <w:ind w:left="3767" w:right="0" w:firstLine="0"/>
        <w:jc w:val="left"/>
        <w:rPr>
          <w:i/>
          <w:sz w:val="16"/>
        </w:rPr>
      </w:pPr>
      <w:r>
        <w:rPr>
          <w:i/>
          <w:color w:val="231F20"/>
          <w:w w:val="110"/>
          <w:sz w:val="16"/>
        </w:rPr>
        <w:t>Figure 1 – Catching the Vision</w:t>
      </w:r>
    </w:p>
    <w:p>
      <w:pPr>
        <w:pStyle w:val="BodyText"/>
        <w:rPr>
          <w:i/>
          <w:sz w:val="20"/>
        </w:rPr>
      </w:pPr>
    </w:p>
    <w:p>
      <w:pPr>
        <w:pStyle w:val="BodyText"/>
        <w:rPr>
          <w:i/>
          <w:sz w:val="24"/>
        </w:rPr>
      </w:pPr>
    </w:p>
    <w:p>
      <w:pPr>
        <w:pStyle w:val="ListParagraph"/>
        <w:numPr>
          <w:ilvl w:val="2"/>
          <w:numId w:val="1"/>
        </w:numPr>
        <w:tabs>
          <w:tab w:pos="1960" w:val="left" w:leader="none"/>
          <w:tab w:pos="1961" w:val="left" w:leader="none"/>
        </w:tabs>
        <w:spacing w:line="273" w:lineRule="auto" w:before="0" w:after="0"/>
        <w:ind w:left="1240" w:right="2626" w:firstLine="0"/>
        <w:jc w:val="left"/>
        <w:rPr>
          <w:color w:val="231F20"/>
          <w:sz w:val="18"/>
        </w:rPr>
      </w:pPr>
      <w:r>
        <w:rPr>
          <w:color w:val="231F20"/>
          <w:w w:val="110"/>
          <w:sz w:val="18"/>
        </w:rPr>
        <w:t>The United Reformed Church, along with other UK churches, has been experiencing significant decline. </w:t>
      </w:r>
      <w:r>
        <w:rPr>
          <w:color w:val="231F20"/>
          <w:spacing w:val="2"/>
          <w:w w:val="110"/>
          <w:sz w:val="18"/>
        </w:rPr>
        <w:t>Between </w:t>
      </w:r>
      <w:r>
        <w:rPr>
          <w:color w:val="231F20"/>
          <w:spacing w:val="-4"/>
          <w:w w:val="110"/>
          <w:sz w:val="18"/>
        </w:rPr>
        <w:t>1979 </w:t>
      </w:r>
      <w:r>
        <w:rPr>
          <w:color w:val="231F20"/>
          <w:w w:val="110"/>
          <w:sz w:val="18"/>
        </w:rPr>
        <w:t>and the 2005 the </w:t>
      </w:r>
      <w:r>
        <w:rPr>
          <w:color w:val="231F20"/>
          <w:spacing w:val="2"/>
          <w:w w:val="110"/>
          <w:sz w:val="18"/>
        </w:rPr>
        <w:t>proportion </w:t>
      </w:r>
      <w:r>
        <w:rPr>
          <w:color w:val="231F20"/>
          <w:w w:val="110"/>
          <w:sz w:val="18"/>
        </w:rPr>
        <w:t>of the population attending church has almost halved (Brierley, </w:t>
      </w:r>
      <w:r>
        <w:rPr>
          <w:color w:val="231F20"/>
          <w:spacing w:val="-4"/>
          <w:w w:val="110"/>
          <w:sz w:val="18"/>
        </w:rPr>
        <w:t>2006</w:t>
      </w:r>
      <w:r>
        <w:rPr>
          <w:color w:val="231F20"/>
          <w:spacing w:val="-4"/>
          <w:w w:val="110"/>
          <w:position w:val="7"/>
          <w:sz w:val="12"/>
        </w:rPr>
        <w:t>1</w:t>
      </w:r>
      <w:r>
        <w:rPr>
          <w:color w:val="231F20"/>
          <w:spacing w:val="-4"/>
          <w:w w:val="110"/>
          <w:sz w:val="18"/>
        </w:rPr>
        <w:t>), </w:t>
      </w:r>
      <w:r>
        <w:rPr>
          <w:color w:val="231F20"/>
          <w:w w:val="110"/>
          <w:sz w:val="18"/>
        </w:rPr>
        <w:t>and the membership of the United Reformed Church has matched that exactly. </w:t>
      </w:r>
      <w:r>
        <w:rPr>
          <w:color w:val="231F20"/>
          <w:spacing w:val="7"/>
          <w:w w:val="110"/>
          <w:sz w:val="18"/>
        </w:rPr>
        <w:t>CTV </w:t>
      </w:r>
      <w:r>
        <w:rPr>
          <w:color w:val="231F20"/>
          <w:w w:val="110"/>
          <w:sz w:val="18"/>
        </w:rPr>
        <w:t>was launched in 2002, as a major review of our life, seeking to address decline by reshaping the church and giving it a </w:t>
      </w:r>
      <w:r>
        <w:rPr>
          <w:color w:val="231F20"/>
          <w:spacing w:val="2"/>
          <w:w w:val="110"/>
          <w:sz w:val="18"/>
        </w:rPr>
        <w:t>fresh </w:t>
      </w:r>
      <w:r>
        <w:rPr>
          <w:color w:val="231F20"/>
          <w:w w:val="110"/>
          <w:sz w:val="18"/>
        </w:rPr>
        <w:t>sense of</w:t>
      </w:r>
      <w:r>
        <w:rPr>
          <w:color w:val="231F20"/>
          <w:spacing w:val="2"/>
          <w:w w:val="110"/>
          <w:sz w:val="18"/>
        </w:rPr>
        <w:t> </w:t>
      </w:r>
      <w:r>
        <w:rPr>
          <w:color w:val="231F20"/>
          <w:w w:val="110"/>
          <w:sz w:val="18"/>
        </w:rPr>
        <w:t>purpose.</w:t>
      </w:r>
    </w:p>
    <w:p>
      <w:pPr>
        <w:pStyle w:val="BodyText"/>
        <w:spacing w:before="2"/>
        <w:rPr>
          <w:sz w:val="20"/>
        </w:rPr>
      </w:pPr>
    </w:p>
    <w:p>
      <w:pPr>
        <w:pStyle w:val="ListParagraph"/>
        <w:numPr>
          <w:ilvl w:val="2"/>
          <w:numId w:val="1"/>
        </w:numPr>
        <w:tabs>
          <w:tab w:pos="1960" w:val="left" w:leader="none"/>
          <w:tab w:pos="1961" w:val="left" w:leader="none"/>
        </w:tabs>
        <w:spacing w:line="273" w:lineRule="auto" w:before="0" w:after="0"/>
        <w:ind w:left="1240" w:right="2642" w:hanging="1"/>
        <w:jc w:val="left"/>
        <w:rPr>
          <w:color w:val="231F20"/>
          <w:sz w:val="18"/>
        </w:rPr>
      </w:pPr>
      <w:r>
        <w:rPr>
          <w:color w:val="231F20"/>
          <w:w w:val="110"/>
          <w:sz w:val="18"/>
        </w:rPr>
        <w:t>As presented in figure </w:t>
      </w:r>
      <w:r>
        <w:rPr>
          <w:color w:val="231F20"/>
          <w:spacing w:val="-5"/>
          <w:w w:val="110"/>
          <w:sz w:val="18"/>
        </w:rPr>
        <w:t>1, </w:t>
      </w:r>
      <w:r>
        <w:rPr>
          <w:color w:val="231F20"/>
          <w:w w:val="110"/>
          <w:sz w:val="18"/>
        </w:rPr>
        <w:t>it recalls the church to the dynamics of discipleship. </w:t>
      </w:r>
      <w:r>
        <w:rPr>
          <w:color w:val="231F20"/>
          <w:spacing w:val="-4"/>
          <w:w w:val="110"/>
          <w:sz w:val="18"/>
        </w:rPr>
        <w:t>We </w:t>
      </w:r>
      <w:r>
        <w:rPr>
          <w:color w:val="231F20"/>
          <w:w w:val="110"/>
          <w:sz w:val="18"/>
        </w:rPr>
        <w:t>are Christ’s people. Week by week as we worship we are changed by the gospel, and through the power of the Spirit our lives </w:t>
      </w:r>
      <w:r>
        <w:rPr>
          <w:color w:val="231F20"/>
          <w:spacing w:val="-3"/>
          <w:w w:val="110"/>
          <w:sz w:val="18"/>
        </w:rPr>
        <w:t>‘make </w:t>
      </w:r>
      <w:r>
        <w:rPr>
          <w:color w:val="231F20"/>
          <w:w w:val="110"/>
          <w:sz w:val="18"/>
        </w:rPr>
        <w:t>a difference’ to the world. It is important that we don’t get stuck in </w:t>
      </w:r>
      <w:r>
        <w:rPr>
          <w:color w:val="231F20"/>
          <w:spacing w:val="-3"/>
          <w:w w:val="110"/>
          <w:sz w:val="18"/>
        </w:rPr>
        <w:t>any</w:t>
      </w:r>
      <w:r>
        <w:rPr>
          <w:color w:val="231F20"/>
          <w:spacing w:val="-15"/>
          <w:w w:val="110"/>
          <w:sz w:val="18"/>
        </w:rPr>
        <w:t> </w:t>
      </w:r>
      <w:r>
        <w:rPr>
          <w:color w:val="231F20"/>
          <w:w w:val="110"/>
          <w:sz w:val="18"/>
        </w:rPr>
        <w:t>one</w:t>
      </w:r>
    </w:p>
    <w:p>
      <w:pPr>
        <w:pStyle w:val="BodyText"/>
        <w:spacing w:line="273" w:lineRule="auto" w:before="2"/>
        <w:ind w:left="1240" w:right="2348"/>
      </w:pPr>
      <w:r>
        <w:rPr>
          <w:color w:val="231F20"/>
          <w:w w:val="110"/>
        </w:rPr>
        <w:t>part of that cycle, because discipleship is about the whole. Spirituality cannot be divorced from activity, nor should learning be sundered from doing. They belong together, and it is by being caught up in that on-going dance that we grow in Christ.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shape style="position:absolute;margin-left:85.039001pt;margin-top:19.793882pt;width:72pt;height:.1pt;mso-position-horizontal-relative:page;mso-position-vertical-relative:paragraph;z-index:-251646976;mso-wrap-distance-left:0;mso-wrap-distance-right:0" coordorigin="1701,396" coordsize="1440,0" path="m1701,396l3141,396e" filled="false" stroked="true" strokeweight="1pt" strokecolor="#231f20">
            <v:path arrowok="t"/>
            <v:stroke dashstyle="solid"/>
            <w10:wrap type="topAndBottom"/>
          </v:shape>
        </w:pict>
      </w:r>
    </w:p>
    <w:p>
      <w:pPr>
        <w:tabs>
          <w:tab w:pos="2017" w:val="left" w:leader="none"/>
        </w:tabs>
        <w:spacing w:before="0"/>
        <w:ind w:left="1240" w:right="0" w:firstLine="0"/>
        <w:jc w:val="left"/>
        <w:rPr>
          <w:i/>
          <w:sz w:val="16"/>
        </w:rPr>
      </w:pPr>
      <w:r>
        <w:rPr>
          <w:color w:val="231F20"/>
          <w:sz w:val="20"/>
        </w:rPr>
        <w:t>1</w:t>
        <w:tab/>
      </w:r>
      <w:r>
        <w:rPr>
          <w:color w:val="231F20"/>
          <w:sz w:val="16"/>
        </w:rPr>
        <w:t>Peter Brierley, </w:t>
      </w:r>
      <w:r>
        <w:rPr>
          <w:i/>
          <w:color w:val="231F20"/>
          <w:sz w:val="16"/>
        </w:rPr>
        <w:t>Religious Trends</w:t>
      </w:r>
      <w:r>
        <w:rPr>
          <w:i/>
          <w:color w:val="231F20"/>
          <w:spacing w:val="-1"/>
          <w:sz w:val="16"/>
        </w:rPr>
        <w:t> </w:t>
      </w:r>
      <w:r>
        <w:rPr>
          <w:i/>
          <w:color w:val="231F20"/>
          <w:sz w:val="16"/>
        </w:rPr>
        <w:t>6</w:t>
      </w:r>
    </w:p>
    <w:p>
      <w:pPr>
        <w:pStyle w:val="BodyText"/>
        <w:spacing w:before="8"/>
        <w:rPr>
          <w:i/>
        </w:rPr>
      </w:pPr>
    </w:p>
    <w:p>
      <w:pPr>
        <w:spacing w:before="56"/>
        <w:ind w:left="0" w:right="1160" w:firstLine="0"/>
        <w:jc w:val="right"/>
        <w:rPr>
          <w:rFonts w:ascii="Eurostile Bold"/>
          <w:b/>
          <w:sz w:val="24"/>
        </w:rPr>
      </w:pPr>
      <w:r>
        <w:rPr>
          <w:rFonts w:ascii="Eurostile Bold"/>
          <w:b/>
          <w:color w:val="231F20"/>
          <w:w w:val="85"/>
          <w:sz w:val="24"/>
        </w:rPr>
        <w:t>13</w:t>
      </w:r>
    </w:p>
    <w:p>
      <w:pPr>
        <w:spacing w:after="0"/>
        <w:jc w:val="right"/>
        <w:rPr>
          <w:rFonts w:ascii="Eurostile Bold"/>
          <w:sz w:val="24"/>
        </w:rPr>
        <w:sectPr>
          <w:type w:val="continuous"/>
          <w:pgSz w:w="11910" w:h="16840"/>
          <w:pgMar w:top="680" w:bottom="280" w:left="460" w:right="0"/>
        </w:sectPr>
      </w:pPr>
    </w:p>
    <w:p>
      <w:pPr>
        <w:pStyle w:val="BodyText"/>
        <w:rPr>
          <w:rFonts w:ascii="Eurostile Bold"/>
          <w:b/>
          <w:sz w:val="21"/>
        </w:rPr>
      </w:pPr>
    </w:p>
    <w:p>
      <w:pPr>
        <w:spacing w:before="102"/>
        <w:ind w:left="1115" w:right="5503" w:firstLine="0"/>
        <w:jc w:val="center"/>
        <w:rPr>
          <w:b/>
          <w:sz w:val="16"/>
        </w:rPr>
      </w:pPr>
      <w:r>
        <w:rPr>
          <w:b/>
          <w:color w:val="231F20"/>
          <w:w w:val="110"/>
          <w:sz w:val="16"/>
        </w:rPr>
        <w:t>Resources from wider church</w:t>
      </w:r>
    </w:p>
    <w:p>
      <w:pPr>
        <w:pStyle w:val="ListParagraph"/>
        <w:numPr>
          <w:ilvl w:val="0"/>
          <w:numId w:val="3"/>
        </w:numPr>
        <w:tabs>
          <w:tab w:pos="359" w:val="left" w:leader="none"/>
          <w:tab w:pos="2486" w:val="left" w:leader="none"/>
        </w:tabs>
        <w:spacing w:line="240" w:lineRule="auto" w:before="46" w:after="0"/>
        <w:ind w:left="2485" w:right="4419" w:hanging="2486"/>
        <w:jc w:val="left"/>
        <w:rPr>
          <w:sz w:val="16"/>
        </w:rPr>
      </w:pPr>
      <w:r>
        <w:rPr>
          <w:color w:val="231F20"/>
          <w:w w:val="110"/>
          <w:sz w:val="16"/>
        </w:rPr>
        <w:t>Shared identity and</w:t>
      </w:r>
      <w:r>
        <w:rPr>
          <w:color w:val="231F20"/>
          <w:spacing w:val="10"/>
          <w:w w:val="110"/>
          <w:sz w:val="16"/>
        </w:rPr>
        <w:t> </w:t>
      </w:r>
      <w:r>
        <w:rPr>
          <w:color w:val="231F20"/>
          <w:w w:val="110"/>
          <w:sz w:val="16"/>
        </w:rPr>
        <w:t>vision</w:t>
      </w:r>
    </w:p>
    <w:p>
      <w:pPr>
        <w:pStyle w:val="ListParagraph"/>
        <w:numPr>
          <w:ilvl w:val="0"/>
          <w:numId w:val="3"/>
        </w:numPr>
        <w:tabs>
          <w:tab w:pos="2485" w:val="left" w:leader="none"/>
          <w:tab w:pos="2486" w:val="left" w:leader="none"/>
        </w:tabs>
        <w:spacing w:line="240" w:lineRule="auto" w:before="45" w:after="0"/>
        <w:ind w:left="2485" w:right="0" w:hanging="361"/>
        <w:jc w:val="left"/>
        <w:rPr>
          <w:sz w:val="16"/>
        </w:rPr>
      </w:pPr>
      <w:r>
        <w:rPr>
          <w:color w:val="231F20"/>
          <w:spacing w:val="2"/>
          <w:w w:val="110"/>
          <w:sz w:val="16"/>
        </w:rPr>
        <w:t>Ministry </w:t>
      </w:r>
      <w:r>
        <w:rPr>
          <w:color w:val="231F20"/>
          <w:w w:val="110"/>
          <w:sz w:val="16"/>
        </w:rPr>
        <w:t>(Ministers &amp;</w:t>
      </w:r>
      <w:r>
        <w:rPr>
          <w:color w:val="231F20"/>
          <w:spacing w:val="3"/>
          <w:w w:val="110"/>
          <w:sz w:val="16"/>
        </w:rPr>
        <w:t> </w:t>
      </w:r>
      <w:r>
        <w:rPr>
          <w:color w:val="231F20"/>
          <w:w w:val="110"/>
          <w:sz w:val="16"/>
        </w:rPr>
        <w:t>CRCWs)</w:t>
      </w:r>
    </w:p>
    <w:p>
      <w:pPr>
        <w:pStyle w:val="ListParagraph"/>
        <w:numPr>
          <w:ilvl w:val="0"/>
          <w:numId w:val="3"/>
        </w:numPr>
        <w:tabs>
          <w:tab w:pos="2485" w:val="left" w:leader="none"/>
          <w:tab w:pos="2486" w:val="left" w:leader="none"/>
        </w:tabs>
        <w:spacing w:line="240" w:lineRule="auto" w:before="46" w:after="0"/>
        <w:ind w:left="2485" w:right="0" w:hanging="361"/>
        <w:jc w:val="left"/>
        <w:rPr>
          <w:sz w:val="16"/>
        </w:rPr>
      </w:pPr>
      <w:r>
        <w:rPr>
          <w:color w:val="231F20"/>
          <w:w w:val="110"/>
          <w:sz w:val="16"/>
        </w:rPr>
        <w:t>Education and</w:t>
      </w:r>
      <w:r>
        <w:rPr>
          <w:color w:val="231F20"/>
          <w:spacing w:val="3"/>
          <w:w w:val="110"/>
          <w:sz w:val="16"/>
        </w:rPr>
        <w:t> </w:t>
      </w:r>
      <w:r>
        <w:rPr>
          <w:color w:val="231F20"/>
          <w:w w:val="110"/>
          <w:sz w:val="16"/>
        </w:rPr>
        <w:t>learning</w:t>
      </w:r>
    </w:p>
    <w:p>
      <w:pPr>
        <w:pStyle w:val="ListParagraph"/>
        <w:numPr>
          <w:ilvl w:val="0"/>
          <w:numId w:val="3"/>
        </w:numPr>
        <w:tabs>
          <w:tab w:pos="2485" w:val="left" w:leader="none"/>
          <w:tab w:pos="2486" w:val="left" w:leader="none"/>
        </w:tabs>
        <w:spacing w:line="240" w:lineRule="auto" w:before="45" w:after="0"/>
        <w:ind w:left="2485" w:right="0" w:hanging="361"/>
        <w:jc w:val="left"/>
        <w:rPr>
          <w:sz w:val="16"/>
        </w:rPr>
      </w:pPr>
      <w:r>
        <w:rPr>
          <w:color w:val="231F20"/>
          <w:w w:val="110"/>
          <w:sz w:val="16"/>
        </w:rPr>
        <w:t>Pooled funding / professional </w:t>
      </w:r>
      <w:r>
        <w:rPr>
          <w:color w:val="231F20"/>
          <w:spacing w:val="55"/>
          <w:w w:val="110"/>
          <w:sz w:val="16"/>
        </w:rPr>
        <w:t> </w:t>
      </w:r>
      <w:r>
        <w:rPr>
          <w:color w:val="231F20"/>
          <w:spacing w:val="3"/>
          <w:w w:val="110"/>
          <w:sz w:val="16"/>
        </w:rPr>
        <w:t>services</w:t>
      </w:r>
    </w:p>
    <w:p>
      <w:pPr>
        <w:pStyle w:val="ListParagraph"/>
        <w:numPr>
          <w:ilvl w:val="0"/>
          <w:numId w:val="3"/>
        </w:numPr>
        <w:tabs>
          <w:tab w:pos="2485" w:val="left" w:leader="none"/>
          <w:tab w:pos="2486" w:val="left" w:leader="none"/>
        </w:tabs>
        <w:spacing w:line="240" w:lineRule="auto" w:before="45" w:after="0"/>
        <w:ind w:left="2485" w:right="0" w:hanging="361"/>
        <w:jc w:val="left"/>
        <w:rPr>
          <w:sz w:val="16"/>
        </w:rPr>
      </w:pPr>
      <w:r>
        <w:rPr>
          <w:color w:val="231F20"/>
          <w:w w:val="110"/>
          <w:sz w:val="16"/>
        </w:rPr>
        <w:t>Programme  development  &amp;</w:t>
      </w:r>
      <w:r>
        <w:rPr>
          <w:color w:val="231F20"/>
          <w:spacing w:val="-14"/>
          <w:w w:val="110"/>
          <w:sz w:val="16"/>
        </w:rPr>
        <w:t> </w:t>
      </w:r>
      <w:r>
        <w:rPr>
          <w:color w:val="231F20"/>
          <w:spacing w:val="2"/>
          <w:w w:val="110"/>
          <w:sz w:val="16"/>
        </w:rPr>
        <w:t>resources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105"/>
        <w:ind w:left="690" w:right="1251" w:firstLine="0"/>
        <w:jc w:val="center"/>
        <w:rPr>
          <w:sz w:val="14"/>
        </w:rPr>
      </w:pPr>
      <w:r>
        <w:rPr>
          <w:color w:val="231F20"/>
          <w:w w:val="115"/>
          <w:sz w:val="14"/>
        </w:rPr>
        <w:t>Worship</w:t>
      </w:r>
    </w:p>
    <w:p>
      <w:pPr>
        <w:pStyle w:val="BodyText"/>
        <w:spacing w:before="1"/>
        <w:rPr>
          <w:sz w:val="10"/>
        </w:rPr>
      </w:pPr>
    </w:p>
    <w:p>
      <w:pPr>
        <w:spacing w:after="0"/>
        <w:rPr>
          <w:sz w:val="10"/>
        </w:rPr>
        <w:sectPr>
          <w:headerReference w:type="even" r:id="rId24"/>
          <w:headerReference w:type="default" r:id="rId25"/>
          <w:footerReference w:type="even" r:id="rId26"/>
          <w:footerReference w:type="default" r:id="rId27"/>
          <w:pgSz w:w="11910" w:h="16840"/>
          <w:pgMar w:header="558" w:footer="564" w:top="820" w:bottom="760" w:left="460" w:right="0"/>
          <w:pgNumType w:start="14"/>
        </w:sectPr>
      </w:pPr>
    </w:p>
    <w:p>
      <w:pPr>
        <w:pStyle w:val="BodyText"/>
      </w:pPr>
    </w:p>
    <w:p>
      <w:pPr>
        <w:pStyle w:val="BodyText"/>
      </w:pPr>
    </w:p>
    <w:p>
      <w:pPr>
        <w:pStyle w:val="BodyText"/>
        <w:spacing w:before="10"/>
        <w:rPr>
          <w:sz w:val="23"/>
        </w:rPr>
      </w:pPr>
    </w:p>
    <w:p>
      <w:pPr>
        <w:spacing w:line="352" w:lineRule="auto" w:before="1"/>
        <w:ind w:left="2168" w:right="-7" w:firstLine="79"/>
        <w:jc w:val="left"/>
        <w:rPr>
          <w:sz w:val="14"/>
        </w:rPr>
      </w:pPr>
      <w:r>
        <w:rPr>
          <w:color w:val="231F20"/>
          <w:w w:val="115"/>
          <w:sz w:val="14"/>
        </w:rPr>
        <w:t>Local Church</w:t>
      </w:r>
    </w:p>
    <w:p>
      <w:pPr>
        <w:spacing w:line="352" w:lineRule="auto" w:before="104"/>
        <w:ind w:left="639" w:right="0" w:firstLine="0"/>
        <w:jc w:val="center"/>
        <w:rPr>
          <w:sz w:val="14"/>
        </w:rPr>
      </w:pPr>
      <w:r>
        <w:rPr/>
        <w:br w:type="column"/>
      </w:r>
      <w:r>
        <w:rPr>
          <w:color w:val="231F20"/>
          <w:w w:val="115"/>
          <w:sz w:val="14"/>
        </w:rPr>
        <w:t>Involvement with other </w:t>
      </w:r>
      <w:r>
        <w:rPr>
          <w:color w:val="231F20"/>
          <w:spacing w:val="2"/>
          <w:w w:val="115"/>
          <w:sz w:val="14"/>
        </w:rPr>
        <w:t>churches</w:t>
      </w:r>
    </w:p>
    <w:p>
      <w:pPr>
        <w:pStyle w:val="BodyText"/>
        <w:spacing w:before="6"/>
        <w:rPr>
          <w:sz w:val="20"/>
        </w:rPr>
      </w:pPr>
    </w:p>
    <w:p>
      <w:pPr>
        <w:spacing w:line="352" w:lineRule="auto" w:before="0"/>
        <w:ind w:left="639" w:right="0" w:firstLine="0"/>
        <w:jc w:val="center"/>
        <w:rPr>
          <w:sz w:val="14"/>
        </w:rPr>
      </w:pPr>
      <w:r>
        <w:rPr>
          <w:color w:val="231F20"/>
          <w:w w:val="115"/>
          <w:sz w:val="14"/>
        </w:rPr>
        <w:t>Involvement with </w:t>
      </w:r>
      <w:r>
        <w:rPr>
          <w:color w:val="231F20"/>
          <w:spacing w:val="2"/>
          <w:w w:val="115"/>
          <w:sz w:val="14"/>
        </w:rPr>
        <w:t>local community Activities</w:t>
      </w:r>
    </w:p>
    <w:p>
      <w:pPr>
        <w:spacing w:line="309" w:lineRule="auto" w:before="147"/>
        <w:ind w:left="543" w:right="33" w:firstLine="0"/>
        <w:jc w:val="center"/>
        <w:rPr>
          <w:sz w:val="14"/>
        </w:rPr>
      </w:pPr>
      <w:r>
        <w:rPr/>
        <w:br w:type="column"/>
      </w:r>
      <w:r>
        <w:rPr>
          <w:color w:val="231F20"/>
          <w:spacing w:val="2"/>
          <w:w w:val="115"/>
          <w:sz w:val="14"/>
        </w:rPr>
        <w:t>Christian </w:t>
      </w:r>
      <w:r>
        <w:rPr>
          <w:color w:val="231F20"/>
          <w:spacing w:val="2"/>
          <w:w w:val="110"/>
          <w:sz w:val="14"/>
        </w:rPr>
        <w:t>education</w:t>
      </w:r>
    </w:p>
    <w:p>
      <w:pPr>
        <w:pStyle w:val="BodyText"/>
        <w:spacing w:before="2"/>
      </w:pPr>
    </w:p>
    <w:p>
      <w:pPr>
        <w:spacing w:line="309" w:lineRule="auto" w:before="0"/>
        <w:ind w:left="508" w:right="0" w:hanging="1"/>
        <w:jc w:val="center"/>
        <w:rPr>
          <w:sz w:val="14"/>
        </w:rPr>
      </w:pPr>
      <w:r>
        <w:rPr>
          <w:color w:val="231F20"/>
          <w:spacing w:val="2"/>
          <w:w w:val="115"/>
          <w:sz w:val="14"/>
        </w:rPr>
        <w:t>Pastoral </w:t>
      </w:r>
      <w:r>
        <w:rPr>
          <w:color w:val="231F20"/>
          <w:w w:val="115"/>
          <w:sz w:val="14"/>
        </w:rPr>
        <w:t>&amp; </w:t>
      </w:r>
      <w:r>
        <w:rPr>
          <w:color w:val="231F20"/>
          <w:spacing w:val="2"/>
          <w:w w:val="115"/>
          <w:sz w:val="14"/>
        </w:rPr>
        <w:t>social</w:t>
      </w:r>
      <w:r>
        <w:rPr>
          <w:color w:val="231F20"/>
          <w:spacing w:val="-10"/>
          <w:w w:val="115"/>
          <w:sz w:val="14"/>
        </w:rPr>
        <w:t> </w:t>
      </w:r>
      <w:r>
        <w:rPr>
          <w:color w:val="231F20"/>
          <w:w w:val="115"/>
          <w:sz w:val="14"/>
        </w:rPr>
        <w:t>care</w:t>
      </w:r>
    </w:p>
    <w:p>
      <w:pPr>
        <w:pStyle w:val="BodyText"/>
        <w:spacing w:before="3"/>
      </w:pPr>
    </w:p>
    <w:p>
      <w:pPr>
        <w:spacing w:line="309" w:lineRule="auto" w:before="0"/>
        <w:ind w:left="543" w:right="33" w:firstLine="0"/>
        <w:jc w:val="center"/>
        <w:rPr>
          <w:sz w:val="14"/>
        </w:rPr>
      </w:pPr>
      <w:r>
        <w:rPr>
          <w:color w:val="231F20"/>
          <w:w w:val="115"/>
          <w:sz w:val="14"/>
        </w:rPr>
        <w:t>Public </w:t>
      </w:r>
      <w:r>
        <w:rPr>
          <w:color w:val="231F20"/>
          <w:spacing w:val="2"/>
          <w:w w:val="115"/>
          <w:sz w:val="14"/>
        </w:rPr>
        <w:t>advocacy</w:t>
      </w:r>
    </w:p>
    <w:p>
      <w:pPr>
        <w:pStyle w:val="BodyText"/>
        <w:spacing w:before="2"/>
      </w:pPr>
    </w:p>
    <w:p>
      <w:pPr>
        <w:spacing w:line="309" w:lineRule="auto" w:before="0"/>
        <w:ind w:left="542" w:right="33" w:firstLine="0"/>
        <w:jc w:val="center"/>
        <w:rPr>
          <w:sz w:val="14"/>
        </w:rPr>
      </w:pPr>
      <w:r>
        <w:rPr>
          <w:color w:val="231F20"/>
          <w:w w:val="115"/>
          <w:sz w:val="14"/>
        </w:rPr>
        <w:t>Public </w:t>
      </w:r>
      <w:r>
        <w:rPr>
          <w:color w:val="231F20"/>
          <w:w w:val="110"/>
          <w:sz w:val="14"/>
        </w:rPr>
        <w:t>meeting </w:t>
      </w:r>
      <w:r>
        <w:rPr>
          <w:color w:val="231F20"/>
          <w:w w:val="115"/>
          <w:sz w:val="14"/>
        </w:rPr>
        <w:t>space</w:t>
      </w:r>
    </w:p>
    <w:p>
      <w:pPr>
        <w:pStyle w:val="BodyText"/>
      </w:pPr>
      <w:r>
        <w:rPr/>
        <w:br w:type="column"/>
      </w:r>
      <w:r>
        <w:rPr/>
      </w:r>
    </w:p>
    <w:p>
      <w:pPr>
        <w:pStyle w:val="BodyText"/>
        <w:rPr>
          <w:sz w:val="24"/>
        </w:rPr>
      </w:pPr>
    </w:p>
    <w:p>
      <w:pPr>
        <w:spacing w:line="352" w:lineRule="auto" w:before="0"/>
        <w:ind w:left="586" w:right="3" w:firstLine="0"/>
        <w:jc w:val="center"/>
        <w:rPr>
          <w:sz w:val="14"/>
        </w:rPr>
      </w:pPr>
      <w:r>
        <w:rPr>
          <w:color w:val="231F20"/>
          <w:w w:val="115"/>
          <w:sz w:val="14"/>
        </w:rPr>
        <w:t>Bring people </w:t>
      </w:r>
      <w:r>
        <w:rPr>
          <w:color w:val="231F20"/>
          <w:w w:val="110"/>
          <w:sz w:val="14"/>
        </w:rPr>
        <w:t>together</w:t>
      </w:r>
    </w:p>
    <w:p>
      <w:pPr>
        <w:pStyle w:val="BodyText"/>
      </w:pPr>
      <w:r>
        <w:rPr/>
        <w:br w:type="column"/>
      </w:r>
      <w:r>
        <w:rPr/>
      </w:r>
    </w:p>
    <w:p>
      <w:pPr>
        <w:pStyle w:val="BodyText"/>
      </w:pPr>
    </w:p>
    <w:p>
      <w:pPr>
        <w:pStyle w:val="BodyText"/>
      </w:pPr>
    </w:p>
    <w:p>
      <w:pPr>
        <w:spacing w:line="352" w:lineRule="auto" w:before="1"/>
        <w:ind w:left="594" w:right="0" w:firstLine="255"/>
        <w:jc w:val="left"/>
        <w:rPr>
          <w:sz w:val="14"/>
        </w:rPr>
      </w:pPr>
      <w:r>
        <w:rPr>
          <w:color w:val="231F20"/>
          <w:w w:val="115"/>
          <w:sz w:val="14"/>
        </w:rPr>
        <w:t>Build </w:t>
      </w:r>
      <w:r>
        <w:rPr>
          <w:color w:val="231F20"/>
          <w:w w:val="110"/>
          <w:sz w:val="14"/>
        </w:rPr>
        <w:t>community</w:t>
      </w:r>
    </w:p>
    <w:p>
      <w:pPr>
        <w:pStyle w:val="BodyText"/>
      </w:pPr>
      <w:r>
        <w:rPr/>
        <w:br w:type="column"/>
      </w:r>
      <w:r>
        <w:rPr/>
      </w:r>
    </w:p>
    <w:p>
      <w:pPr>
        <w:pStyle w:val="BodyText"/>
      </w:pPr>
    </w:p>
    <w:p>
      <w:pPr>
        <w:pStyle w:val="BodyText"/>
        <w:spacing w:before="6"/>
        <w:rPr>
          <w:sz w:val="21"/>
        </w:rPr>
      </w:pPr>
    </w:p>
    <w:p>
      <w:pPr>
        <w:spacing w:line="352" w:lineRule="auto" w:before="1"/>
        <w:ind w:left="648" w:right="1450" w:hanging="176"/>
        <w:jc w:val="left"/>
        <w:rPr>
          <w:sz w:val="14"/>
        </w:rPr>
      </w:pPr>
      <w:r>
        <w:rPr>
          <w:color w:val="231F20"/>
          <w:w w:val="115"/>
          <w:sz w:val="14"/>
        </w:rPr>
        <w:t>Changed lives</w:t>
      </w:r>
    </w:p>
    <w:p>
      <w:pPr>
        <w:spacing w:after="0" w:line="352" w:lineRule="auto"/>
        <w:jc w:val="left"/>
        <w:rPr>
          <w:sz w:val="14"/>
        </w:rPr>
        <w:sectPr>
          <w:type w:val="continuous"/>
          <w:pgSz w:w="11910" w:h="16840"/>
          <w:pgMar w:top="680" w:bottom="280" w:left="460" w:right="0"/>
          <w:cols w:num="6" w:equalWidth="0">
            <w:col w:w="2752" w:space="40"/>
            <w:col w:w="1665" w:space="39"/>
            <w:col w:w="1383" w:space="39"/>
            <w:col w:w="1288" w:space="39"/>
            <w:col w:w="1513" w:space="40"/>
            <w:col w:w="265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spacing w:before="104"/>
        <w:ind w:left="1115" w:right="593" w:firstLine="0"/>
        <w:jc w:val="center"/>
        <w:rPr>
          <w:b/>
          <w:sz w:val="14"/>
        </w:rPr>
      </w:pPr>
      <w:r>
        <w:rPr>
          <w:b/>
          <w:color w:val="231F20"/>
          <w:w w:val="115"/>
          <w:sz w:val="14"/>
        </w:rPr>
        <w:t>Building up the local church</w:t>
      </w: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102"/>
        <w:ind w:left="3437" w:right="0" w:firstLine="0"/>
        <w:jc w:val="left"/>
        <w:rPr>
          <w:i/>
          <w:sz w:val="16"/>
        </w:rPr>
      </w:pPr>
      <w:r>
        <w:rPr>
          <w:i/>
          <w:color w:val="231F20"/>
          <w:w w:val="110"/>
          <w:sz w:val="16"/>
        </w:rPr>
        <w:t>Figure 2 – Building up the local church</w:t>
      </w:r>
    </w:p>
    <w:p>
      <w:pPr>
        <w:pStyle w:val="BodyText"/>
        <w:rPr>
          <w:i/>
          <w:sz w:val="20"/>
        </w:rPr>
      </w:pPr>
    </w:p>
    <w:p>
      <w:pPr>
        <w:pStyle w:val="BodyText"/>
        <w:spacing w:before="1"/>
        <w:rPr>
          <w:i/>
          <w:sz w:val="24"/>
        </w:rPr>
      </w:pPr>
    </w:p>
    <w:p>
      <w:pPr>
        <w:pStyle w:val="ListParagraph"/>
        <w:numPr>
          <w:ilvl w:val="2"/>
          <w:numId w:val="1"/>
        </w:numPr>
        <w:tabs>
          <w:tab w:pos="1393" w:val="left" w:leader="none"/>
          <w:tab w:pos="1394" w:val="left" w:leader="none"/>
        </w:tabs>
        <w:spacing w:line="240" w:lineRule="auto" w:before="0" w:after="0"/>
        <w:ind w:left="1393" w:right="0" w:hanging="721"/>
        <w:jc w:val="left"/>
        <w:rPr>
          <w:color w:val="231F20"/>
          <w:sz w:val="18"/>
        </w:rPr>
      </w:pPr>
      <w:r>
        <w:rPr>
          <w:color w:val="231F20"/>
          <w:w w:val="110"/>
          <w:sz w:val="18"/>
        </w:rPr>
        <w:t>That cycle describes what should be happening in each of our local</w:t>
      </w:r>
      <w:r>
        <w:rPr>
          <w:color w:val="231F20"/>
          <w:spacing w:val="-37"/>
          <w:w w:val="110"/>
          <w:sz w:val="18"/>
        </w:rPr>
        <w:t> </w:t>
      </w:r>
      <w:r>
        <w:rPr>
          <w:color w:val="231F20"/>
          <w:w w:val="110"/>
          <w:sz w:val="18"/>
        </w:rPr>
        <w:t>congregations.</w:t>
      </w:r>
    </w:p>
    <w:p>
      <w:pPr>
        <w:pStyle w:val="BodyText"/>
        <w:spacing w:before="31"/>
        <w:ind w:left="673"/>
      </w:pPr>
      <w:r>
        <w:rPr>
          <w:color w:val="231F20"/>
          <w:w w:val="110"/>
        </w:rPr>
        <w:t>One significant question that the church must answer is how the resources of the</w:t>
      </w:r>
    </w:p>
    <w:p>
      <w:pPr>
        <w:pStyle w:val="BodyText"/>
        <w:spacing w:line="273" w:lineRule="auto" w:before="31"/>
        <w:ind w:left="673" w:right="1593"/>
      </w:pPr>
      <w:r>
        <w:rPr>
          <w:color w:val="231F20"/>
          <w:w w:val="110"/>
        </w:rPr>
        <w:t>wider church, the Synods and the Assembly, can contribute most usefully to that cycle. Theoretical models can never capture the intricacy of reality, but in figure 2 we offer one picture of how that might happen.</w:t>
      </w:r>
    </w:p>
    <w:p>
      <w:pPr>
        <w:pStyle w:val="BodyText"/>
        <w:spacing w:before="9"/>
        <w:rPr>
          <w:sz w:val="20"/>
        </w:rPr>
      </w:pPr>
    </w:p>
    <w:p>
      <w:pPr>
        <w:pStyle w:val="ListParagraph"/>
        <w:numPr>
          <w:ilvl w:val="2"/>
          <w:numId w:val="1"/>
        </w:numPr>
        <w:tabs>
          <w:tab w:pos="1393" w:val="left" w:leader="none"/>
          <w:tab w:pos="1394" w:val="left" w:leader="none"/>
        </w:tabs>
        <w:spacing w:line="273" w:lineRule="auto" w:before="0" w:after="0"/>
        <w:ind w:left="673" w:right="1740" w:firstLine="0"/>
        <w:jc w:val="left"/>
        <w:rPr>
          <w:color w:val="231F20"/>
          <w:sz w:val="18"/>
        </w:rPr>
      </w:pPr>
      <w:r>
        <w:rPr>
          <w:color w:val="231F20"/>
          <w:w w:val="110"/>
          <w:sz w:val="18"/>
        </w:rPr>
        <w:t>Looking first at the upper </w:t>
      </w:r>
      <w:r>
        <w:rPr>
          <w:color w:val="231F20"/>
          <w:spacing w:val="2"/>
          <w:w w:val="110"/>
          <w:sz w:val="18"/>
        </w:rPr>
        <w:t>part </w:t>
      </w:r>
      <w:r>
        <w:rPr>
          <w:color w:val="231F20"/>
          <w:w w:val="110"/>
          <w:sz w:val="18"/>
        </w:rPr>
        <w:t>of the model, Assembly agreed last year that its work should be organised in three broad areas or departments. </w:t>
      </w:r>
      <w:r>
        <w:rPr>
          <w:color w:val="231F20"/>
          <w:spacing w:val="2"/>
          <w:w w:val="110"/>
          <w:sz w:val="18"/>
        </w:rPr>
        <w:t>As </w:t>
      </w:r>
      <w:r>
        <w:rPr>
          <w:color w:val="231F20"/>
          <w:w w:val="110"/>
          <w:sz w:val="18"/>
        </w:rPr>
        <w:t>figure 3 shows, there are clear overlaps between those areas, so there need to be bridges that join them. </w:t>
      </w:r>
      <w:r>
        <w:rPr>
          <w:color w:val="231F20"/>
          <w:spacing w:val="-3"/>
          <w:w w:val="110"/>
          <w:sz w:val="18"/>
        </w:rPr>
        <w:t>We</w:t>
      </w:r>
      <w:r>
        <w:rPr>
          <w:color w:val="231F20"/>
          <w:spacing w:val="63"/>
          <w:w w:val="110"/>
          <w:sz w:val="18"/>
        </w:rPr>
        <w:t> </w:t>
      </w:r>
      <w:r>
        <w:rPr>
          <w:color w:val="231F20"/>
          <w:w w:val="110"/>
          <w:sz w:val="18"/>
        </w:rPr>
        <w:t>envisage those bridges having different forms. Some will be people – for example, the conveners or </w:t>
      </w:r>
      <w:r>
        <w:rPr>
          <w:color w:val="231F20"/>
          <w:spacing w:val="2"/>
          <w:w w:val="110"/>
          <w:sz w:val="18"/>
        </w:rPr>
        <w:t>secretaries </w:t>
      </w:r>
      <w:r>
        <w:rPr>
          <w:color w:val="231F20"/>
          <w:w w:val="110"/>
          <w:sz w:val="18"/>
        </w:rPr>
        <w:t>meeting </w:t>
      </w:r>
      <w:r>
        <w:rPr>
          <w:color w:val="231F20"/>
          <w:spacing w:val="2"/>
          <w:w w:val="110"/>
          <w:sz w:val="18"/>
        </w:rPr>
        <w:t>across </w:t>
      </w:r>
      <w:r>
        <w:rPr>
          <w:color w:val="231F20"/>
          <w:w w:val="110"/>
          <w:sz w:val="18"/>
        </w:rPr>
        <w:t>boundaries; others will be ‘institutional’ – for example, joint working groups on particular initiations; yet others will be interest based, for example, a network for those interested in mission with children. </w:t>
      </w:r>
      <w:r>
        <w:rPr>
          <w:color w:val="231F20"/>
          <w:spacing w:val="-3"/>
          <w:w w:val="110"/>
          <w:sz w:val="18"/>
        </w:rPr>
        <w:t>We </w:t>
      </w:r>
      <w:r>
        <w:rPr>
          <w:color w:val="231F20"/>
          <w:w w:val="110"/>
          <w:sz w:val="18"/>
        </w:rPr>
        <w:t>need to take </w:t>
      </w:r>
      <w:r>
        <w:rPr>
          <w:color w:val="231F20"/>
          <w:spacing w:val="2"/>
          <w:w w:val="110"/>
          <w:sz w:val="18"/>
        </w:rPr>
        <w:t>care </w:t>
      </w:r>
      <w:r>
        <w:rPr>
          <w:color w:val="231F20"/>
          <w:w w:val="110"/>
          <w:sz w:val="18"/>
        </w:rPr>
        <w:t>that those bridges are</w:t>
      </w:r>
      <w:r>
        <w:rPr>
          <w:color w:val="231F20"/>
          <w:spacing w:val="4"/>
          <w:w w:val="110"/>
          <w:sz w:val="18"/>
        </w:rPr>
        <w:t> </w:t>
      </w:r>
      <w:r>
        <w:rPr>
          <w:color w:val="231F20"/>
          <w:w w:val="110"/>
          <w:sz w:val="18"/>
        </w:rPr>
        <w:t>built.</w:t>
      </w:r>
    </w:p>
    <w:p>
      <w:pPr>
        <w:spacing w:after="0" w:line="273" w:lineRule="auto"/>
        <w:jc w:val="left"/>
        <w:rPr>
          <w:sz w:val="18"/>
        </w:rPr>
        <w:sectPr>
          <w:type w:val="continuous"/>
          <w:pgSz w:w="11910" w:h="16840"/>
          <w:pgMar w:top="680" w:bottom="280" w:left="460" w:right="0"/>
        </w:sectPr>
      </w:pPr>
    </w:p>
    <w:p>
      <w:pPr>
        <w:pStyle w:val="BodyText"/>
        <w:rPr>
          <w:sz w:val="20"/>
        </w:rPr>
      </w:pPr>
    </w:p>
    <w:p>
      <w:pPr>
        <w:pStyle w:val="BodyText"/>
        <w:rPr>
          <w:sz w:val="20"/>
        </w:rPr>
      </w:pPr>
    </w:p>
    <w:p>
      <w:pPr>
        <w:pStyle w:val="BodyText"/>
        <w:spacing w:before="9"/>
        <w:rPr>
          <w:sz w:val="19"/>
        </w:rPr>
      </w:pPr>
    </w:p>
    <w:p>
      <w:pPr>
        <w:spacing w:line="247" w:lineRule="auto" w:before="0"/>
        <w:ind w:left="4396" w:right="4783" w:firstLine="0"/>
        <w:jc w:val="left"/>
        <w:rPr>
          <w:b/>
          <w:sz w:val="16"/>
        </w:rPr>
      </w:pPr>
      <w:r>
        <w:rPr>
          <w:b/>
          <w:color w:val="231F20"/>
          <w:w w:val="110"/>
          <w:sz w:val="16"/>
        </w:rPr>
        <w:t>Mission Policy &amp; Theology</w:t>
      </w:r>
    </w:p>
    <w:p>
      <w:pPr>
        <w:pStyle w:val="ListParagraph"/>
        <w:numPr>
          <w:ilvl w:val="3"/>
          <w:numId w:val="1"/>
        </w:numPr>
        <w:tabs>
          <w:tab w:pos="4756" w:val="left" w:leader="none"/>
          <w:tab w:pos="4757" w:val="left" w:leader="none"/>
        </w:tabs>
        <w:spacing w:line="189" w:lineRule="auto" w:before="0" w:after="0"/>
        <w:ind w:left="4756" w:right="5270" w:hanging="361"/>
        <w:jc w:val="left"/>
        <w:rPr>
          <w:sz w:val="16"/>
        </w:rPr>
      </w:pPr>
      <w:r>
        <w:rPr>
          <w:color w:val="231F20"/>
          <w:w w:val="110"/>
          <w:sz w:val="16"/>
        </w:rPr>
        <w:t>Shared identity &amp;</w:t>
      </w:r>
      <w:r>
        <w:rPr>
          <w:color w:val="231F20"/>
          <w:spacing w:val="3"/>
          <w:w w:val="110"/>
          <w:sz w:val="16"/>
        </w:rPr>
        <w:t> </w:t>
      </w:r>
      <w:r>
        <w:rPr>
          <w:color w:val="231F20"/>
          <w:w w:val="110"/>
          <w:sz w:val="16"/>
        </w:rPr>
        <w:t>vision</w:t>
      </w:r>
    </w:p>
    <w:p>
      <w:pPr>
        <w:pStyle w:val="ListParagraph"/>
        <w:numPr>
          <w:ilvl w:val="3"/>
          <w:numId w:val="1"/>
        </w:numPr>
        <w:tabs>
          <w:tab w:pos="4756" w:val="left" w:leader="none"/>
          <w:tab w:pos="4757" w:val="left" w:leader="none"/>
        </w:tabs>
        <w:spacing w:line="219" w:lineRule="exact" w:before="0" w:after="0"/>
        <w:ind w:left="4756" w:right="0" w:hanging="361"/>
        <w:jc w:val="left"/>
        <w:rPr>
          <w:sz w:val="16"/>
        </w:rPr>
      </w:pPr>
      <w:r>
        <w:rPr>
          <w:color w:val="231F20"/>
          <w:w w:val="110"/>
          <w:sz w:val="16"/>
        </w:rPr>
        <w:t>Programme</w:t>
      </w:r>
    </w:p>
    <w:p>
      <w:pPr>
        <w:spacing w:line="247" w:lineRule="auto" w:before="0"/>
        <w:ind w:left="4761" w:right="5503" w:firstLine="0"/>
        <w:jc w:val="center"/>
        <w:rPr>
          <w:sz w:val="16"/>
        </w:rPr>
      </w:pPr>
      <w:r>
        <w:rPr>
          <w:color w:val="231F20"/>
          <w:w w:val="110"/>
          <w:sz w:val="16"/>
        </w:rPr>
        <w:t>development &amp; resources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after="0"/>
        <w:rPr>
          <w:sz w:val="20"/>
        </w:rPr>
        <w:sectPr>
          <w:pgSz w:w="11910" w:h="16840"/>
          <w:pgMar w:header="558" w:footer="564" w:top="820" w:bottom="760" w:left="460" w:right="0"/>
        </w:sectPr>
      </w:pPr>
    </w:p>
    <w:p>
      <w:pPr>
        <w:spacing w:before="102"/>
        <w:ind w:left="2714" w:right="0" w:firstLine="0"/>
        <w:jc w:val="left"/>
        <w:rPr>
          <w:b/>
          <w:sz w:val="16"/>
        </w:rPr>
      </w:pPr>
      <w:r>
        <w:rPr>
          <w:b/>
          <w:color w:val="231F20"/>
          <w:w w:val="110"/>
          <w:sz w:val="16"/>
        </w:rPr>
        <w:t>Ministries</w:t>
      </w:r>
    </w:p>
    <w:p>
      <w:pPr>
        <w:spacing w:line="172" w:lineRule="exact" w:before="5"/>
        <w:ind w:left="2714" w:right="0" w:firstLine="0"/>
        <w:jc w:val="left"/>
        <w:rPr>
          <w:b/>
          <w:sz w:val="16"/>
        </w:rPr>
      </w:pPr>
      <w:r>
        <w:rPr>
          <w:b/>
          <w:color w:val="231F20"/>
          <w:w w:val="110"/>
          <w:sz w:val="16"/>
        </w:rPr>
        <w:t>of the Church</w:t>
      </w:r>
    </w:p>
    <w:p>
      <w:pPr>
        <w:pStyle w:val="ListParagraph"/>
        <w:numPr>
          <w:ilvl w:val="0"/>
          <w:numId w:val="4"/>
        </w:numPr>
        <w:tabs>
          <w:tab w:pos="3074" w:val="left" w:leader="none"/>
          <w:tab w:pos="3075" w:val="left" w:leader="none"/>
        </w:tabs>
        <w:spacing w:line="229" w:lineRule="exact" w:before="0" w:after="0"/>
        <w:ind w:left="3074" w:right="0" w:hanging="361"/>
        <w:jc w:val="left"/>
        <w:rPr>
          <w:sz w:val="16"/>
        </w:rPr>
      </w:pPr>
      <w:r>
        <w:rPr>
          <w:color w:val="231F20"/>
          <w:spacing w:val="2"/>
          <w:w w:val="110"/>
          <w:sz w:val="16"/>
        </w:rPr>
        <w:t>Ministry</w:t>
      </w:r>
    </w:p>
    <w:p>
      <w:pPr>
        <w:pStyle w:val="ListParagraph"/>
        <w:numPr>
          <w:ilvl w:val="0"/>
          <w:numId w:val="4"/>
        </w:numPr>
        <w:tabs>
          <w:tab w:pos="3074" w:val="left" w:leader="none"/>
          <w:tab w:pos="3075" w:val="left" w:leader="none"/>
        </w:tabs>
        <w:spacing w:line="189" w:lineRule="auto" w:before="0" w:after="0"/>
        <w:ind w:left="3074" w:right="340" w:hanging="361"/>
        <w:jc w:val="left"/>
        <w:rPr>
          <w:sz w:val="16"/>
        </w:rPr>
      </w:pPr>
      <w:r>
        <w:rPr>
          <w:color w:val="231F20"/>
          <w:w w:val="110"/>
          <w:sz w:val="16"/>
        </w:rPr>
        <w:t>Education </w:t>
      </w:r>
      <w:r>
        <w:rPr>
          <w:color w:val="231F20"/>
          <w:spacing w:val="-13"/>
          <w:w w:val="110"/>
          <w:sz w:val="16"/>
        </w:rPr>
        <w:t>&amp; </w:t>
      </w:r>
      <w:r>
        <w:rPr>
          <w:color w:val="231F20"/>
          <w:w w:val="110"/>
          <w:sz w:val="16"/>
        </w:rPr>
        <w:t>Learning</w:t>
      </w:r>
    </w:p>
    <w:p>
      <w:pPr>
        <w:pStyle w:val="ListParagraph"/>
        <w:numPr>
          <w:ilvl w:val="0"/>
          <w:numId w:val="4"/>
        </w:numPr>
        <w:tabs>
          <w:tab w:pos="3074" w:val="left" w:leader="none"/>
          <w:tab w:pos="3075" w:val="left" w:leader="none"/>
        </w:tabs>
        <w:spacing w:line="189" w:lineRule="auto" w:before="0" w:after="0"/>
        <w:ind w:left="3074" w:right="0" w:hanging="361"/>
        <w:jc w:val="left"/>
        <w:rPr>
          <w:sz w:val="16"/>
        </w:rPr>
      </w:pPr>
      <w:r>
        <w:rPr>
          <w:color w:val="231F20"/>
          <w:w w:val="110"/>
          <w:sz w:val="16"/>
        </w:rPr>
        <w:t>Youth and Children’s</w:t>
      </w:r>
      <w:r>
        <w:rPr>
          <w:color w:val="231F20"/>
          <w:spacing w:val="30"/>
          <w:w w:val="110"/>
          <w:sz w:val="16"/>
        </w:rPr>
        <w:t> </w:t>
      </w:r>
      <w:r>
        <w:rPr>
          <w:color w:val="231F20"/>
          <w:spacing w:val="-3"/>
          <w:w w:val="110"/>
          <w:sz w:val="16"/>
        </w:rPr>
        <w:t>Work</w:t>
      </w:r>
    </w:p>
    <w:p>
      <w:pPr>
        <w:pStyle w:val="BodyText"/>
        <w:spacing w:before="11"/>
        <w:rPr>
          <w:sz w:val="21"/>
        </w:rPr>
      </w:pPr>
      <w:r>
        <w:rPr/>
        <w:br w:type="column"/>
      </w:r>
      <w:r>
        <w:rPr>
          <w:sz w:val="21"/>
        </w:rPr>
      </w:r>
    </w:p>
    <w:p>
      <w:pPr>
        <w:spacing w:line="200" w:lineRule="atLeast" w:before="0"/>
        <w:ind w:left="1617" w:right="3677" w:firstLine="0"/>
        <w:jc w:val="left"/>
        <w:rPr>
          <w:b/>
          <w:sz w:val="16"/>
        </w:rPr>
      </w:pPr>
      <w:r>
        <w:rPr>
          <w:b/>
          <w:color w:val="231F20"/>
          <w:w w:val="110"/>
          <w:sz w:val="16"/>
        </w:rPr>
        <w:t>Administration &amp; Resources</w:t>
      </w:r>
    </w:p>
    <w:p>
      <w:pPr>
        <w:pStyle w:val="ListParagraph"/>
        <w:numPr>
          <w:ilvl w:val="0"/>
          <w:numId w:val="5"/>
        </w:numPr>
        <w:tabs>
          <w:tab w:pos="1977" w:val="left" w:leader="none"/>
          <w:tab w:pos="1978" w:val="left" w:leader="none"/>
        </w:tabs>
        <w:spacing w:line="212" w:lineRule="exact" w:before="0" w:after="0"/>
        <w:ind w:left="1977" w:right="0" w:hanging="361"/>
        <w:jc w:val="left"/>
        <w:rPr>
          <w:sz w:val="16"/>
        </w:rPr>
      </w:pPr>
      <w:r>
        <w:rPr>
          <w:color w:val="231F20"/>
          <w:w w:val="110"/>
          <w:sz w:val="16"/>
        </w:rPr>
        <w:t>Pooled</w:t>
      </w:r>
      <w:r>
        <w:rPr>
          <w:color w:val="231F20"/>
          <w:spacing w:val="2"/>
          <w:w w:val="110"/>
          <w:sz w:val="16"/>
        </w:rPr>
        <w:t> </w:t>
      </w:r>
      <w:r>
        <w:rPr>
          <w:color w:val="231F20"/>
          <w:w w:val="110"/>
          <w:sz w:val="16"/>
        </w:rPr>
        <w:t>funding</w:t>
      </w:r>
    </w:p>
    <w:p>
      <w:pPr>
        <w:spacing w:line="247" w:lineRule="auto" w:before="0"/>
        <w:ind w:left="1977" w:right="2973" w:hanging="1"/>
        <w:jc w:val="left"/>
        <w:rPr>
          <w:sz w:val="16"/>
        </w:rPr>
      </w:pPr>
      <w:r>
        <w:rPr>
          <w:color w:val="231F20"/>
          <w:w w:val="110"/>
          <w:sz w:val="16"/>
        </w:rPr>
        <w:t>&amp; professional services</w:t>
      </w:r>
    </w:p>
    <w:p>
      <w:pPr>
        <w:spacing w:after="0" w:line="247" w:lineRule="auto"/>
        <w:jc w:val="left"/>
        <w:rPr>
          <w:sz w:val="16"/>
        </w:rPr>
        <w:sectPr>
          <w:type w:val="continuous"/>
          <w:pgSz w:w="11910" w:h="16840"/>
          <w:pgMar w:top="680" w:bottom="280" w:left="460" w:right="0"/>
          <w:cols w:num="2" w:equalWidth="0">
            <w:col w:w="4516" w:space="40"/>
            <w:col w:w="68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102"/>
        <w:ind w:left="1115" w:right="1009" w:firstLine="0"/>
        <w:jc w:val="center"/>
        <w:rPr>
          <w:i/>
          <w:sz w:val="16"/>
        </w:rPr>
      </w:pPr>
      <w:r>
        <w:rPr>
          <w:i/>
          <w:color w:val="231F20"/>
          <w:w w:val="110"/>
          <w:sz w:val="16"/>
        </w:rPr>
        <w:t>Figure 3 – Central resources of the church</w:t>
      </w:r>
    </w:p>
    <w:p>
      <w:pPr>
        <w:pStyle w:val="BodyText"/>
        <w:rPr>
          <w:i/>
          <w:sz w:val="20"/>
        </w:rPr>
      </w:pPr>
    </w:p>
    <w:p>
      <w:pPr>
        <w:pStyle w:val="BodyText"/>
        <w:rPr>
          <w:i/>
          <w:sz w:val="20"/>
        </w:rPr>
      </w:pPr>
    </w:p>
    <w:p>
      <w:pPr>
        <w:pStyle w:val="BodyText"/>
        <w:rPr>
          <w:i/>
          <w:sz w:val="20"/>
        </w:rPr>
      </w:pPr>
    </w:p>
    <w:p>
      <w:pPr>
        <w:pStyle w:val="BodyText"/>
        <w:rPr>
          <w:i/>
          <w:sz w:val="17"/>
        </w:rPr>
      </w:pPr>
    </w:p>
    <w:p>
      <w:pPr>
        <w:spacing w:after="0"/>
        <w:rPr>
          <w:sz w:val="17"/>
        </w:rPr>
        <w:sectPr>
          <w:type w:val="continuous"/>
          <w:pgSz w:w="11910" w:h="16840"/>
          <w:pgMar w:top="680" w:bottom="280" w:left="46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9"/>
        </w:rPr>
      </w:pPr>
    </w:p>
    <w:p>
      <w:pPr>
        <w:spacing w:before="0"/>
        <w:ind w:left="1433" w:right="0" w:firstLine="0"/>
        <w:jc w:val="left"/>
        <w:rPr>
          <w:b/>
          <w:sz w:val="16"/>
        </w:rPr>
      </w:pPr>
      <w:r>
        <w:rPr>
          <w:b/>
          <w:color w:val="231F20"/>
          <w:w w:val="110"/>
          <w:sz w:val="16"/>
        </w:rPr>
        <w:t>Central</w:t>
      </w:r>
    </w:p>
    <w:p>
      <w:pPr>
        <w:tabs>
          <w:tab w:pos="3975" w:val="left" w:leader="none"/>
        </w:tabs>
        <w:spacing w:before="16"/>
        <w:ind w:left="1332" w:right="0" w:firstLine="0"/>
        <w:jc w:val="left"/>
        <w:rPr>
          <w:b/>
          <w:sz w:val="16"/>
        </w:rPr>
      </w:pPr>
      <w:r>
        <w:rPr>
          <w:b/>
          <w:color w:val="231F20"/>
          <w:w w:val="110"/>
          <w:sz w:val="16"/>
        </w:rPr>
        <w:t>Priorities</w:t>
        <w:tab/>
      </w:r>
      <w:r>
        <w:rPr>
          <w:b/>
          <w:color w:val="231F20"/>
          <w:spacing w:val="2"/>
          <w:w w:val="110"/>
          <w:position w:val="4"/>
          <w:sz w:val="16"/>
        </w:rPr>
        <w:t>Local</w:t>
      </w:r>
    </w:p>
    <w:p>
      <w:pPr>
        <w:spacing w:before="17"/>
        <w:ind w:left="3675" w:right="0" w:firstLine="0"/>
        <w:jc w:val="left"/>
        <w:rPr>
          <w:b/>
          <w:sz w:val="16"/>
        </w:rPr>
      </w:pPr>
      <w:r>
        <w:rPr>
          <w:b/>
          <w:color w:val="231F20"/>
          <w:w w:val="110"/>
          <w:sz w:val="16"/>
        </w:rPr>
        <w:t>Experience</w:t>
      </w:r>
    </w:p>
    <w:p>
      <w:pPr>
        <w:pStyle w:val="ListParagraph"/>
        <w:numPr>
          <w:ilvl w:val="2"/>
          <w:numId w:val="1"/>
        </w:numPr>
        <w:tabs>
          <w:tab w:pos="1425" w:val="left" w:leader="none"/>
          <w:tab w:pos="1426" w:val="left" w:leader="none"/>
        </w:tabs>
        <w:spacing w:line="273" w:lineRule="auto" w:before="100" w:after="0"/>
        <w:ind w:left="788" w:right="1169" w:firstLine="0"/>
        <w:jc w:val="left"/>
        <w:rPr>
          <w:color w:val="231F20"/>
          <w:sz w:val="18"/>
        </w:rPr>
      </w:pPr>
      <w:r>
        <w:rPr>
          <w:color w:val="231F20"/>
          <w:spacing w:val="-3"/>
          <w:w w:val="111"/>
          <w:sz w:val="18"/>
        </w:rPr>
        <w:br w:type="column"/>
      </w:r>
      <w:r>
        <w:rPr>
          <w:color w:val="231F20"/>
          <w:w w:val="110"/>
          <w:sz w:val="18"/>
        </w:rPr>
        <w:t>If bridges between </w:t>
      </w:r>
      <w:r>
        <w:rPr>
          <w:color w:val="231F20"/>
          <w:spacing w:val="2"/>
          <w:w w:val="110"/>
          <w:sz w:val="18"/>
        </w:rPr>
        <w:t>departments </w:t>
      </w:r>
      <w:r>
        <w:rPr>
          <w:color w:val="231F20"/>
          <w:w w:val="110"/>
          <w:sz w:val="18"/>
        </w:rPr>
        <w:t>are important, so too is an awareness that the central and the local need each </w:t>
      </w:r>
      <w:r>
        <w:rPr>
          <w:color w:val="231F20"/>
          <w:spacing w:val="-3"/>
          <w:w w:val="110"/>
          <w:sz w:val="18"/>
        </w:rPr>
        <w:t>other, </w:t>
      </w:r>
      <w:r>
        <w:rPr>
          <w:color w:val="231F20"/>
          <w:w w:val="110"/>
          <w:sz w:val="18"/>
        </w:rPr>
        <w:t>that as Paul said, we are together </w:t>
      </w:r>
      <w:r>
        <w:rPr>
          <w:color w:val="231F20"/>
          <w:spacing w:val="2"/>
          <w:w w:val="110"/>
          <w:sz w:val="18"/>
        </w:rPr>
        <w:t>part </w:t>
      </w:r>
      <w:r>
        <w:rPr>
          <w:color w:val="231F20"/>
          <w:w w:val="110"/>
          <w:sz w:val="18"/>
        </w:rPr>
        <w:t>of the same body. </w:t>
      </w:r>
      <w:r>
        <w:rPr>
          <w:color w:val="231F20"/>
          <w:spacing w:val="-8"/>
          <w:w w:val="110"/>
          <w:sz w:val="18"/>
        </w:rPr>
        <w:t>(1 </w:t>
      </w:r>
      <w:r>
        <w:rPr>
          <w:color w:val="231F20"/>
          <w:w w:val="110"/>
          <w:sz w:val="18"/>
        </w:rPr>
        <w:t>Corinthians </w:t>
      </w:r>
      <w:r>
        <w:rPr>
          <w:color w:val="231F20"/>
          <w:spacing w:val="-8"/>
          <w:w w:val="110"/>
          <w:sz w:val="18"/>
        </w:rPr>
        <w:t>12:12-26). </w:t>
      </w:r>
      <w:r>
        <w:rPr>
          <w:color w:val="231F20"/>
          <w:spacing w:val="-3"/>
          <w:w w:val="110"/>
          <w:sz w:val="18"/>
        </w:rPr>
        <w:t>We </w:t>
      </w:r>
      <w:r>
        <w:rPr>
          <w:color w:val="231F20"/>
          <w:w w:val="110"/>
          <w:sz w:val="18"/>
        </w:rPr>
        <w:t>all</w:t>
      </w:r>
      <w:r>
        <w:rPr>
          <w:color w:val="231F20"/>
          <w:spacing w:val="47"/>
          <w:w w:val="110"/>
          <w:sz w:val="18"/>
        </w:rPr>
        <w:t> </w:t>
      </w:r>
      <w:r>
        <w:rPr>
          <w:color w:val="231F20"/>
          <w:w w:val="110"/>
          <w:sz w:val="18"/>
        </w:rPr>
        <w:t>have</w:t>
      </w:r>
    </w:p>
    <w:p>
      <w:pPr>
        <w:pStyle w:val="BodyText"/>
        <w:tabs>
          <w:tab w:pos="3295" w:val="left" w:leader="none"/>
        </w:tabs>
        <w:spacing w:line="273" w:lineRule="auto" w:before="3"/>
        <w:ind w:left="788" w:right="1301"/>
      </w:pPr>
      <w:r>
        <w:rPr>
          <w:color w:val="231F20"/>
          <w:w w:val="110"/>
        </w:rPr>
        <w:t>a role to play and we all need each other to function effectively. Whilst that is obvious   in some </w:t>
      </w:r>
      <w:r>
        <w:rPr>
          <w:color w:val="231F20"/>
          <w:spacing w:val="3"/>
          <w:w w:val="110"/>
        </w:rPr>
        <w:t>parts </w:t>
      </w:r>
      <w:r>
        <w:rPr>
          <w:color w:val="231F20"/>
          <w:w w:val="110"/>
        </w:rPr>
        <w:t>of church life – for example the payment of ministers – it is less obvious in others,</w:t>
      </w:r>
      <w:r>
        <w:rPr>
          <w:color w:val="231F20"/>
          <w:spacing w:val="13"/>
          <w:w w:val="110"/>
        </w:rPr>
        <w:t> </w:t>
      </w:r>
      <w:r>
        <w:rPr>
          <w:color w:val="231F20"/>
          <w:w w:val="110"/>
        </w:rPr>
        <w:t>like</w:t>
      </w:r>
      <w:r>
        <w:rPr>
          <w:color w:val="231F20"/>
          <w:spacing w:val="7"/>
          <w:w w:val="110"/>
        </w:rPr>
        <w:t> </w:t>
      </w:r>
      <w:r>
        <w:rPr>
          <w:color w:val="231F20"/>
          <w:w w:val="110"/>
        </w:rPr>
        <w:t>mission.</w:t>
        <w:tab/>
        <w:t>Figure 4 </w:t>
      </w:r>
      <w:r>
        <w:rPr>
          <w:color w:val="231F20"/>
          <w:spacing w:val="3"/>
          <w:w w:val="110"/>
        </w:rPr>
        <w:t>offers </w:t>
      </w:r>
      <w:r>
        <w:rPr>
          <w:color w:val="231F20"/>
          <w:w w:val="110"/>
        </w:rPr>
        <w:t>a model, and it </w:t>
      </w:r>
      <w:r>
        <w:rPr>
          <w:color w:val="231F20"/>
          <w:spacing w:val="3"/>
          <w:w w:val="110"/>
        </w:rPr>
        <w:t>offers </w:t>
      </w:r>
      <w:r>
        <w:rPr>
          <w:color w:val="231F20"/>
          <w:w w:val="110"/>
        </w:rPr>
        <w:t>a challenge to the new Department and its committee. How can each inform the other for the building up of the whole?</w:t>
      </w:r>
    </w:p>
    <w:p>
      <w:pPr>
        <w:pStyle w:val="BodyText"/>
        <w:rPr>
          <w:sz w:val="22"/>
        </w:rPr>
      </w:pPr>
    </w:p>
    <w:p>
      <w:pPr>
        <w:pStyle w:val="BodyText"/>
        <w:spacing w:before="3"/>
        <w:rPr>
          <w:sz w:val="21"/>
        </w:rPr>
      </w:pPr>
    </w:p>
    <w:p>
      <w:pPr>
        <w:spacing w:before="0"/>
        <w:ind w:left="788" w:right="0" w:firstLine="0"/>
        <w:jc w:val="left"/>
        <w:rPr>
          <w:i/>
          <w:sz w:val="16"/>
        </w:rPr>
      </w:pPr>
      <w:r>
        <w:rPr>
          <w:i/>
          <w:color w:val="231F20"/>
          <w:w w:val="110"/>
          <w:sz w:val="16"/>
        </w:rPr>
        <w:t>Figure 4 – Local/central dynamic relationship</w:t>
      </w:r>
    </w:p>
    <w:p>
      <w:pPr>
        <w:spacing w:after="0"/>
        <w:jc w:val="left"/>
        <w:rPr>
          <w:sz w:val="16"/>
        </w:rPr>
        <w:sectPr>
          <w:type w:val="continuous"/>
          <w:pgSz w:w="11910" w:h="16840"/>
          <w:pgMar w:top="680" w:bottom="280" w:left="460" w:right="0"/>
          <w:cols w:num="2" w:equalWidth="0">
            <w:col w:w="4816" w:space="40"/>
            <w:col w:w="6594"/>
          </w:cols>
        </w:sectPr>
      </w:pPr>
    </w:p>
    <w:p>
      <w:pPr>
        <w:pStyle w:val="BodyText"/>
        <w:rPr>
          <w:i/>
          <w:sz w:val="20"/>
        </w:rPr>
      </w:pPr>
    </w:p>
    <w:p>
      <w:pPr>
        <w:pStyle w:val="BodyText"/>
        <w:rPr>
          <w:i/>
          <w:sz w:val="20"/>
        </w:rPr>
      </w:pPr>
    </w:p>
    <w:p>
      <w:pPr>
        <w:pStyle w:val="BodyText"/>
        <w:spacing w:before="5"/>
        <w:rPr>
          <w:i/>
          <w:sz w:val="16"/>
        </w:rPr>
      </w:pPr>
    </w:p>
    <w:p>
      <w:pPr>
        <w:pStyle w:val="ListParagraph"/>
        <w:numPr>
          <w:ilvl w:val="2"/>
          <w:numId w:val="1"/>
        </w:numPr>
        <w:tabs>
          <w:tab w:pos="1960" w:val="left" w:leader="none"/>
          <w:tab w:pos="1961" w:val="left" w:leader="none"/>
        </w:tabs>
        <w:spacing w:line="273" w:lineRule="auto" w:before="100" w:after="0"/>
        <w:ind w:left="1240" w:right="1213" w:firstLine="0"/>
        <w:jc w:val="left"/>
        <w:rPr>
          <w:color w:val="231F20"/>
          <w:sz w:val="18"/>
        </w:rPr>
      </w:pPr>
      <w:r>
        <w:rPr>
          <w:color w:val="231F20"/>
          <w:w w:val="110"/>
          <w:sz w:val="18"/>
        </w:rPr>
        <w:t>Mission happens as God’s people live in the world, sharing the mission of God, making a difference. That experience needs to inform central priorities, and central priorities (gleaned </w:t>
      </w:r>
      <w:r>
        <w:rPr>
          <w:color w:val="231F20"/>
          <w:spacing w:val="2"/>
          <w:w w:val="110"/>
          <w:sz w:val="18"/>
        </w:rPr>
        <w:t>from </w:t>
      </w:r>
      <w:r>
        <w:rPr>
          <w:color w:val="231F20"/>
          <w:w w:val="110"/>
          <w:sz w:val="18"/>
        </w:rPr>
        <w:t>the overview of many local situations and </w:t>
      </w:r>
      <w:r>
        <w:rPr>
          <w:color w:val="231F20"/>
          <w:spacing w:val="2"/>
          <w:w w:val="110"/>
          <w:sz w:val="18"/>
        </w:rPr>
        <w:t>from </w:t>
      </w:r>
      <w:r>
        <w:rPr>
          <w:color w:val="231F20"/>
          <w:w w:val="110"/>
          <w:sz w:val="18"/>
        </w:rPr>
        <w:t>other </w:t>
      </w:r>
      <w:r>
        <w:rPr>
          <w:color w:val="231F20"/>
          <w:spacing w:val="3"/>
          <w:w w:val="110"/>
          <w:sz w:val="18"/>
        </w:rPr>
        <w:t>parts </w:t>
      </w:r>
      <w:r>
        <w:rPr>
          <w:color w:val="231F20"/>
          <w:w w:val="110"/>
          <w:sz w:val="18"/>
        </w:rPr>
        <w:t>of God’s church) need to contribute to the shaping of local church life and witness, and the building up of the whole</w:t>
      </w:r>
      <w:r>
        <w:rPr>
          <w:color w:val="231F20"/>
          <w:spacing w:val="5"/>
          <w:w w:val="110"/>
          <w:sz w:val="18"/>
        </w:rPr>
        <w:t> </w:t>
      </w:r>
      <w:r>
        <w:rPr>
          <w:color w:val="231F20"/>
          <w:w w:val="110"/>
          <w:sz w:val="18"/>
        </w:rPr>
        <w:t>church.</w:t>
      </w:r>
    </w:p>
    <w:p>
      <w:pPr>
        <w:spacing w:after="0" w:line="273" w:lineRule="auto"/>
        <w:jc w:val="left"/>
        <w:rPr>
          <w:sz w:val="18"/>
        </w:rPr>
        <w:sectPr>
          <w:type w:val="continuous"/>
          <w:pgSz w:w="11910" w:h="16840"/>
          <w:pgMar w:top="680" w:bottom="280" w:left="460" w:right="0"/>
        </w:sectPr>
      </w:pPr>
    </w:p>
    <w:p>
      <w:pPr>
        <w:pStyle w:val="BodyText"/>
        <w:spacing w:before="9"/>
        <w:rPr>
          <w:sz w:val="13"/>
        </w:rPr>
      </w:pPr>
    </w:p>
    <w:p>
      <w:pPr>
        <w:numPr>
          <w:ilvl w:val="1"/>
          <w:numId w:val="1"/>
        </w:numPr>
        <w:tabs>
          <w:tab w:pos="1393" w:val="left" w:leader="none"/>
          <w:tab w:pos="1394" w:val="left" w:leader="none"/>
        </w:tabs>
        <w:spacing w:before="101"/>
        <w:ind w:left="1393" w:right="0" w:hanging="721"/>
        <w:jc w:val="left"/>
        <w:rPr>
          <w:b/>
          <w:color w:val="231F20"/>
          <w:sz w:val="18"/>
        </w:rPr>
      </w:pPr>
      <w:r>
        <w:rPr>
          <w:b/>
          <w:color w:val="231F20"/>
          <w:w w:val="110"/>
          <w:sz w:val="18"/>
        </w:rPr>
        <w:t>Purpose, priorities and</w:t>
      </w:r>
      <w:r>
        <w:rPr>
          <w:b/>
          <w:color w:val="231F20"/>
          <w:spacing w:val="1"/>
          <w:w w:val="110"/>
          <w:sz w:val="18"/>
        </w:rPr>
        <w:t> </w:t>
      </w:r>
      <w:r>
        <w:rPr>
          <w:b/>
          <w:color w:val="231F20"/>
          <w:spacing w:val="2"/>
          <w:w w:val="110"/>
          <w:sz w:val="18"/>
        </w:rPr>
        <w:t>performance</w:t>
      </w:r>
    </w:p>
    <w:p>
      <w:pPr>
        <w:pStyle w:val="BodyText"/>
        <w:spacing w:before="1"/>
        <w:rPr>
          <w:b/>
          <w:sz w:val="23"/>
        </w:rPr>
      </w:pPr>
    </w:p>
    <w:p>
      <w:pPr>
        <w:pStyle w:val="ListParagraph"/>
        <w:numPr>
          <w:ilvl w:val="2"/>
          <w:numId w:val="1"/>
        </w:numPr>
        <w:tabs>
          <w:tab w:pos="1393" w:val="left" w:leader="none"/>
          <w:tab w:pos="1394" w:val="left" w:leader="none"/>
        </w:tabs>
        <w:spacing w:line="273" w:lineRule="auto" w:before="0" w:after="0"/>
        <w:ind w:left="673" w:right="1751" w:firstLine="0"/>
        <w:jc w:val="left"/>
        <w:rPr>
          <w:color w:val="231F20"/>
          <w:sz w:val="18"/>
        </w:rPr>
      </w:pPr>
      <w:r>
        <w:rPr>
          <w:color w:val="231F20"/>
          <w:w w:val="110"/>
          <w:sz w:val="18"/>
        </w:rPr>
        <w:t>The central task of the Mission Department is to focus on mission, working with the whole church to formulate and give expression to our mission and faith in ways  which bring alive our vision of ‘being Christ’s people, transformed by the gospel, making  a </w:t>
      </w:r>
      <w:r>
        <w:rPr>
          <w:color w:val="231F20"/>
          <w:spacing w:val="2"/>
          <w:w w:val="110"/>
          <w:sz w:val="18"/>
        </w:rPr>
        <w:t>difference </w:t>
      </w:r>
      <w:r>
        <w:rPr>
          <w:color w:val="231F20"/>
          <w:w w:val="110"/>
          <w:sz w:val="18"/>
        </w:rPr>
        <w:t>to the</w:t>
      </w:r>
      <w:r>
        <w:rPr>
          <w:color w:val="231F20"/>
          <w:spacing w:val="1"/>
          <w:w w:val="110"/>
          <w:sz w:val="18"/>
        </w:rPr>
        <w:t> </w:t>
      </w:r>
      <w:r>
        <w:rPr>
          <w:color w:val="231F20"/>
          <w:w w:val="110"/>
          <w:sz w:val="18"/>
        </w:rPr>
        <w:t>world’.</w:t>
      </w:r>
    </w:p>
    <w:p>
      <w:pPr>
        <w:pStyle w:val="BodyText"/>
        <w:spacing w:before="10"/>
        <w:rPr>
          <w:sz w:val="20"/>
        </w:rPr>
      </w:pPr>
    </w:p>
    <w:p>
      <w:pPr>
        <w:pStyle w:val="ListParagraph"/>
        <w:numPr>
          <w:ilvl w:val="2"/>
          <w:numId w:val="1"/>
        </w:numPr>
        <w:tabs>
          <w:tab w:pos="1393" w:val="left" w:leader="none"/>
          <w:tab w:pos="1394" w:val="left" w:leader="none"/>
        </w:tabs>
        <w:spacing w:line="273" w:lineRule="auto" w:before="0" w:after="0"/>
        <w:ind w:left="673" w:right="1856" w:firstLine="0"/>
        <w:jc w:val="left"/>
        <w:rPr>
          <w:color w:val="231F20"/>
          <w:sz w:val="18"/>
        </w:rPr>
      </w:pPr>
      <w:r>
        <w:rPr>
          <w:color w:val="231F20"/>
          <w:w w:val="110"/>
          <w:sz w:val="18"/>
        </w:rPr>
        <w:t>Whilst the department will bring together existing work on ecumenical relations, interfaith relations, racial justice &amp; multicultural ministry, public </w:t>
      </w:r>
      <w:r>
        <w:rPr>
          <w:color w:val="231F20"/>
          <w:spacing w:val="2"/>
          <w:w w:val="110"/>
          <w:sz w:val="18"/>
        </w:rPr>
        <w:t>affairs </w:t>
      </w:r>
      <w:r>
        <w:rPr>
          <w:color w:val="231F20"/>
          <w:w w:val="110"/>
          <w:sz w:val="18"/>
        </w:rPr>
        <w:t>(church &amp; society), international relations (</w:t>
      </w:r>
      <w:r>
        <w:rPr>
          <w:i/>
          <w:color w:val="231F20"/>
          <w:w w:val="110"/>
          <w:sz w:val="18"/>
        </w:rPr>
        <w:t>Belonging to the World Church</w:t>
      </w:r>
      <w:r>
        <w:rPr>
          <w:color w:val="231F20"/>
          <w:w w:val="110"/>
          <w:sz w:val="18"/>
        </w:rPr>
        <w:t>), </w:t>
      </w:r>
      <w:r>
        <w:rPr>
          <w:i/>
          <w:color w:val="231F20"/>
          <w:w w:val="110"/>
          <w:sz w:val="18"/>
        </w:rPr>
        <w:t>Commitment for Life</w:t>
      </w:r>
      <w:r>
        <w:rPr>
          <w:color w:val="231F20"/>
          <w:w w:val="110"/>
          <w:sz w:val="18"/>
        </w:rPr>
        <w:t>, </w:t>
      </w:r>
      <w:r>
        <w:rPr>
          <w:color w:val="231F20"/>
          <w:spacing w:val="2"/>
          <w:w w:val="110"/>
          <w:sz w:val="18"/>
        </w:rPr>
        <w:t>doctrine </w:t>
      </w:r>
      <w:r>
        <w:rPr>
          <w:color w:val="231F20"/>
          <w:w w:val="110"/>
          <w:sz w:val="18"/>
        </w:rPr>
        <w:t>(faith &amp; order), prayer and worship, and mission it should take seriously the challenge </w:t>
      </w:r>
      <w:r>
        <w:rPr>
          <w:color w:val="231F20"/>
          <w:spacing w:val="2"/>
          <w:w w:val="110"/>
          <w:sz w:val="18"/>
        </w:rPr>
        <w:t>expressed </w:t>
      </w:r>
      <w:r>
        <w:rPr>
          <w:color w:val="231F20"/>
          <w:w w:val="110"/>
          <w:sz w:val="18"/>
        </w:rPr>
        <w:t>in </w:t>
      </w:r>
      <w:r>
        <w:rPr>
          <w:color w:val="231F20"/>
          <w:spacing w:val="-4"/>
          <w:w w:val="110"/>
          <w:sz w:val="18"/>
        </w:rPr>
        <w:t>3.1 </w:t>
      </w:r>
      <w:r>
        <w:rPr>
          <w:color w:val="231F20"/>
          <w:w w:val="110"/>
          <w:sz w:val="18"/>
        </w:rPr>
        <w:t>and organise its work around this</w:t>
      </w:r>
      <w:r>
        <w:rPr>
          <w:color w:val="231F20"/>
          <w:spacing w:val="34"/>
          <w:w w:val="110"/>
          <w:sz w:val="18"/>
        </w:rPr>
        <w:t> </w:t>
      </w:r>
      <w:r>
        <w:rPr>
          <w:color w:val="231F20"/>
          <w:w w:val="110"/>
          <w:sz w:val="18"/>
        </w:rPr>
        <w:t>focus.</w:t>
      </w:r>
    </w:p>
    <w:p>
      <w:pPr>
        <w:pStyle w:val="BodyText"/>
        <w:spacing w:before="10"/>
        <w:rPr>
          <w:sz w:val="20"/>
        </w:rPr>
      </w:pPr>
    </w:p>
    <w:p>
      <w:pPr>
        <w:pStyle w:val="ListParagraph"/>
        <w:numPr>
          <w:ilvl w:val="2"/>
          <w:numId w:val="1"/>
        </w:numPr>
        <w:tabs>
          <w:tab w:pos="1393" w:val="left" w:leader="none"/>
          <w:tab w:pos="1394" w:val="left" w:leader="none"/>
        </w:tabs>
        <w:spacing w:line="273" w:lineRule="auto" w:before="0" w:after="0"/>
        <w:ind w:left="673" w:right="1795" w:firstLine="0"/>
        <w:jc w:val="left"/>
        <w:rPr>
          <w:color w:val="231F20"/>
          <w:sz w:val="18"/>
        </w:rPr>
      </w:pPr>
      <w:r>
        <w:rPr>
          <w:color w:val="231F20"/>
          <w:w w:val="110"/>
          <w:sz w:val="18"/>
        </w:rPr>
        <w:t>In the transitional phase </w:t>
      </w:r>
      <w:r>
        <w:rPr>
          <w:color w:val="231F20"/>
          <w:spacing w:val="2"/>
          <w:w w:val="110"/>
          <w:sz w:val="18"/>
        </w:rPr>
        <w:t>from </w:t>
      </w:r>
      <w:r>
        <w:rPr>
          <w:color w:val="231F20"/>
          <w:w w:val="110"/>
          <w:sz w:val="18"/>
        </w:rPr>
        <w:t>Assembly 2007 to Assembly 2008 the Department should develop programme proposals for consideration and adoption at the 2008 Assembly which express our vision in terms of the Five Marks of Mission.   This should  be based on existing work, but not limited by it. If any existing work does not fit this framework,</w:t>
      </w:r>
      <w:r>
        <w:rPr>
          <w:color w:val="231F20"/>
          <w:spacing w:val="9"/>
          <w:w w:val="110"/>
          <w:sz w:val="18"/>
        </w:rPr>
        <w:t> </w:t>
      </w:r>
      <w:r>
        <w:rPr>
          <w:color w:val="231F20"/>
          <w:w w:val="110"/>
          <w:sz w:val="18"/>
        </w:rPr>
        <w:t>then</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proposal</w:t>
      </w:r>
      <w:r>
        <w:rPr>
          <w:color w:val="231F20"/>
          <w:spacing w:val="10"/>
          <w:w w:val="110"/>
          <w:sz w:val="18"/>
        </w:rPr>
        <w:t> </w:t>
      </w:r>
      <w:r>
        <w:rPr>
          <w:color w:val="231F20"/>
          <w:w w:val="110"/>
          <w:sz w:val="18"/>
        </w:rPr>
        <w:t>should</w:t>
      </w:r>
      <w:r>
        <w:rPr>
          <w:color w:val="231F20"/>
          <w:spacing w:val="10"/>
          <w:w w:val="110"/>
          <w:sz w:val="18"/>
        </w:rPr>
        <w:t> </w:t>
      </w:r>
      <w:r>
        <w:rPr>
          <w:color w:val="231F20"/>
          <w:w w:val="110"/>
          <w:sz w:val="18"/>
        </w:rPr>
        <w:t>be</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abandon</w:t>
      </w:r>
      <w:r>
        <w:rPr>
          <w:color w:val="231F20"/>
          <w:spacing w:val="10"/>
          <w:w w:val="110"/>
          <w:sz w:val="18"/>
        </w:rPr>
        <w:t> </w:t>
      </w:r>
      <w:r>
        <w:rPr>
          <w:color w:val="231F20"/>
          <w:w w:val="110"/>
          <w:sz w:val="18"/>
        </w:rPr>
        <w:t>it.</w:t>
      </w:r>
      <w:r>
        <w:rPr>
          <w:color w:val="231F20"/>
          <w:spacing w:val="20"/>
          <w:w w:val="110"/>
          <w:sz w:val="18"/>
        </w:rPr>
        <w:t> </w:t>
      </w:r>
      <w:r>
        <w:rPr>
          <w:color w:val="231F20"/>
          <w:w w:val="110"/>
          <w:sz w:val="18"/>
        </w:rPr>
        <w:t>If</w:t>
      </w:r>
      <w:r>
        <w:rPr>
          <w:color w:val="231F20"/>
          <w:spacing w:val="10"/>
          <w:w w:val="110"/>
          <w:sz w:val="18"/>
        </w:rPr>
        <w:t> </w:t>
      </w:r>
      <w:r>
        <w:rPr>
          <w:color w:val="231F20"/>
          <w:w w:val="110"/>
          <w:sz w:val="18"/>
        </w:rPr>
        <w:t>there</w:t>
      </w:r>
      <w:r>
        <w:rPr>
          <w:color w:val="231F20"/>
          <w:spacing w:val="10"/>
          <w:w w:val="110"/>
          <w:sz w:val="18"/>
        </w:rPr>
        <w:t> </w:t>
      </w:r>
      <w:r>
        <w:rPr>
          <w:color w:val="231F20"/>
          <w:w w:val="110"/>
          <w:sz w:val="18"/>
        </w:rPr>
        <w:t>are</w:t>
      </w:r>
      <w:r>
        <w:rPr>
          <w:color w:val="231F20"/>
          <w:spacing w:val="10"/>
          <w:w w:val="110"/>
          <w:sz w:val="18"/>
        </w:rPr>
        <w:t> </w:t>
      </w:r>
      <w:r>
        <w:rPr>
          <w:color w:val="231F20"/>
          <w:w w:val="110"/>
          <w:sz w:val="18"/>
        </w:rPr>
        <w:t>serious</w:t>
      </w:r>
      <w:r>
        <w:rPr>
          <w:color w:val="231F20"/>
          <w:spacing w:val="9"/>
          <w:w w:val="110"/>
          <w:sz w:val="18"/>
        </w:rPr>
        <w:t> </w:t>
      </w:r>
      <w:r>
        <w:rPr>
          <w:color w:val="231F20"/>
          <w:w w:val="110"/>
          <w:sz w:val="18"/>
        </w:rPr>
        <w:t>omissions,</w:t>
      </w:r>
    </w:p>
    <w:p>
      <w:pPr>
        <w:pStyle w:val="BodyText"/>
        <w:spacing w:line="273" w:lineRule="auto" w:before="3"/>
        <w:ind w:left="673" w:right="1829"/>
      </w:pPr>
      <w:r>
        <w:rPr>
          <w:color w:val="231F20"/>
          <w:w w:val="110"/>
        </w:rPr>
        <w:t>then there should be a proposal for how they will be dealt with. The emphasis should be on doing a few things well, focussing our energy to </w:t>
      </w:r>
      <w:r>
        <w:rPr>
          <w:color w:val="231F20"/>
          <w:spacing w:val="2"/>
          <w:w w:val="110"/>
        </w:rPr>
        <w:t>best</w:t>
      </w:r>
      <w:r>
        <w:rPr>
          <w:color w:val="231F20"/>
          <w:spacing w:val="27"/>
          <w:w w:val="110"/>
        </w:rPr>
        <w:t> </w:t>
      </w:r>
      <w:r>
        <w:rPr>
          <w:color w:val="231F20"/>
          <w:spacing w:val="3"/>
          <w:w w:val="110"/>
        </w:rPr>
        <w:t>effect.</w:t>
      </w:r>
    </w:p>
    <w:p>
      <w:pPr>
        <w:pStyle w:val="BodyText"/>
        <w:rPr>
          <w:sz w:val="20"/>
        </w:rPr>
      </w:pPr>
    </w:p>
    <w:p>
      <w:pPr>
        <w:pStyle w:val="BodyText"/>
        <w:spacing w:before="1" w:after="1"/>
        <w:rPr>
          <w:sz w:val="22"/>
        </w:rPr>
      </w:pPr>
    </w:p>
    <w:tbl>
      <w:tblPr>
        <w:tblW w:w="0" w:type="auto"/>
        <w:jc w:val="left"/>
        <w:tblInd w:w="68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50"/>
        <w:gridCol w:w="2358"/>
        <w:gridCol w:w="2073"/>
        <w:gridCol w:w="2048"/>
      </w:tblGrid>
      <w:tr>
        <w:trPr>
          <w:trHeight w:val="1059" w:hRule="atLeast"/>
        </w:trPr>
        <w:tc>
          <w:tcPr>
            <w:tcW w:w="2050" w:type="dxa"/>
            <w:vMerge w:val="restart"/>
          </w:tcPr>
          <w:p>
            <w:pPr>
              <w:pStyle w:val="TableParagraph"/>
              <w:rPr>
                <w:sz w:val="20"/>
              </w:rPr>
            </w:pPr>
          </w:p>
        </w:tc>
        <w:tc>
          <w:tcPr>
            <w:tcW w:w="2358" w:type="dxa"/>
            <w:tcBorders>
              <w:bottom w:val="nil"/>
            </w:tcBorders>
          </w:tcPr>
          <w:p>
            <w:pPr>
              <w:pStyle w:val="TableParagraph"/>
              <w:spacing w:line="273" w:lineRule="auto" w:before="80"/>
              <w:ind w:left="113" w:right="231"/>
              <w:rPr>
                <w:rFonts w:ascii="Verdana" w:hAnsi="Verdana"/>
                <w:sz w:val="18"/>
              </w:rPr>
            </w:pPr>
            <w:r>
              <w:rPr>
                <w:rFonts w:ascii="Verdana" w:hAnsi="Verdana"/>
                <w:color w:val="231F20"/>
                <w:w w:val="110"/>
                <w:sz w:val="18"/>
              </w:rPr>
              <w:t>Being Christ’s people</w:t>
            </w:r>
          </w:p>
        </w:tc>
        <w:tc>
          <w:tcPr>
            <w:tcW w:w="2073" w:type="dxa"/>
            <w:tcBorders>
              <w:bottom w:val="nil"/>
            </w:tcBorders>
          </w:tcPr>
          <w:p>
            <w:pPr>
              <w:pStyle w:val="TableParagraph"/>
              <w:spacing w:line="273" w:lineRule="auto" w:before="80"/>
              <w:ind w:left="113" w:right="467"/>
              <w:rPr>
                <w:rFonts w:ascii="Verdana"/>
                <w:sz w:val="18"/>
              </w:rPr>
            </w:pPr>
            <w:r>
              <w:rPr>
                <w:rFonts w:ascii="Verdana"/>
                <w:color w:val="231F20"/>
                <w:w w:val="110"/>
                <w:sz w:val="18"/>
              </w:rPr>
              <w:t>Transformed by the gospel</w:t>
            </w:r>
          </w:p>
        </w:tc>
        <w:tc>
          <w:tcPr>
            <w:tcW w:w="2048" w:type="dxa"/>
            <w:tcBorders>
              <w:bottom w:val="nil"/>
            </w:tcBorders>
          </w:tcPr>
          <w:p>
            <w:pPr>
              <w:pStyle w:val="TableParagraph"/>
              <w:spacing w:line="273" w:lineRule="auto" w:before="80"/>
              <w:ind w:left="113" w:right="372"/>
              <w:rPr>
                <w:rFonts w:ascii="Verdana"/>
                <w:sz w:val="18"/>
              </w:rPr>
            </w:pPr>
            <w:r>
              <w:rPr>
                <w:rFonts w:ascii="Verdana"/>
                <w:color w:val="231F20"/>
                <w:w w:val="110"/>
                <w:sz w:val="18"/>
              </w:rPr>
              <w:t>Making a difference to the world</w:t>
            </w:r>
          </w:p>
        </w:tc>
      </w:tr>
      <w:tr>
        <w:trPr>
          <w:trHeight w:val="799" w:hRule="atLeast"/>
        </w:trPr>
        <w:tc>
          <w:tcPr>
            <w:tcW w:w="2050" w:type="dxa"/>
            <w:vMerge/>
            <w:tcBorders>
              <w:top w:val="nil"/>
            </w:tcBorders>
          </w:tcPr>
          <w:p>
            <w:pPr>
              <w:rPr>
                <w:sz w:val="2"/>
                <w:szCs w:val="2"/>
              </w:rPr>
            </w:pPr>
          </w:p>
        </w:tc>
        <w:tc>
          <w:tcPr>
            <w:tcW w:w="2358" w:type="dxa"/>
            <w:tcBorders>
              <w:top w:val="nil"/>
            </w:tcBorders>
          </w:tcPr>
          <w:p>
            <w:pPr>
              <w:pStyle w:val="TableParagraph"/>
              <w:spacing w:before="5"/>
              <w:rPr>
                <w:rFonts w:ascii="Verdana"/>
                <w:sz w:val="21"/>
              </w:rPr>
            </w:pPr>
          </w:p>
          <w:p>
            <w:pPr>
              <w:pStyle w:val="TableParagraph"/>
              <w:spacing w:line="273" w:lineRule="auto"/>
              <w:ind w:left="113" w:right="95"/>
              <w:rPr>
                <w:rFonts w:ascii="Verdana"/>
                <w:sz w:val="18"/>
              </w:rPr>
            </w:pPr>
            <w:r>
              <w:rPr>
                <w:rFonts w:ascii="Verdana"/>
                <w:color w:val="231F20"/>
                <w:w w:val="110"/>
                <w:sz w:val="18"/>
              </w:rPr>
              <w:t>(Community/Building up the church)</w:t>
            </w:r>
          </w:p>
        </w:tc>
        <w:tc>
          <w:tcPr>
            <w:tcW w:w="2073" w:type="dxa"/>
            <w:tcBorders>
              <w:top w:val="nil"/>
            </w:tcBorders>
          </w:tcPr>
          <w:p>
            <w:pPr>
              <w:pStyle w:val="TableParagraph"/>
              <w:spacing w:before="5"/>
              <w:rPr>
                <w:rFonts w:ascii="Verdana"/>
                <w:sz w:val="21"/>
              </w:rPr>
            </w:pPr>
          </w:p>
          <w:p>
            <w:pPr>
              <w:pStyle w:val="TableParagraph"/>
              <w:ind w:left="113"/>
              <w:rPr>
                <w:rFonts w:ascii="Verdana"/>
                <w:sz w:val="18"/>
              </w:rPr>
            </w:pPr>
            <w:r>
              <w:rPr>
                <w:rFonts w:ascii="Verdana"/>
                <w:color w:val="231F20"/>
                <w:w w:val="110"/>
                <w:sz w:val="18"/>
              </w:rPr>
              <w:t>(Learning)</w:t>
            </w:r>
          </w:p>
        </w:tc>
        <w:tc>
          <w:tcPr>
            <w:tcW w:w="2048" w:type="dxa"/>
            <w:tcBorders>
              <w:top w:val="nil"/>
            </w:tcBorders>
          </w:tcPr>
          <w:p>
            <w:pPr>
              <w:pStyle w:val="TableParagraph"/>
              <w:spacing w:before="5"/>
              <w:rPr>
                <w:rFonts w:ascii="Verdana"/>
                <w:sz w:val="21"/>
              </w:rPr>
            </w:pPr>
          </w:p>
          <w:p>
            <w:pPr>
              <w:pStyle w:val="TableParagraph"/>
              <w:spacing w:line="273" w:lineRule="auto"/>
              <w:ind w:left="113" w:right="150"/>
              <w:rPr>
                <w:rFonts w:ascii="Verdana"/>
                <w:sz w:val="18"/>
              </w:rPr>
            </w:pPr>
            <w:r>
              <w:rPr>
                <w:rFonts w:ascii="Verdana"/>
                <w:color w:val="231F20"/>
                <w:w w:val="110"/>
                <w:sz w:val="18"/>
              </w:rPr>
              <w:t>(Actions leading to changed lives)</w:t>
            </w:r>
          </w:p>
        </w:tc>
      </w:tr>
      <w:tr>
        <w:trPr>
          <w:trHeight w:val="869" w:hRule="atLeast"/>
        </w:trPr>
        <w:tc>
          <w:tcPr>
            <w:tcW w:w="2050" w:type="dxa"/>
          </w:tcPr>
          <w:p>
            <w:pPr>
              <w:pStyle w:val="TableParagraph"/>
              <w:spacing w:line="273" w:lineRule="auto" w:before="80"/>
              <w:ind w:left="113" w:right="59"/>
              <w:rPr>
                <w:rFonts w:ascii="Verdana"/>
                <w:sz w:val="18"/>
              </w:rPr>
            </w:pPr>
            <w:r>
              <w:rPr>
                <w:rFonts w:ascii="Verdana"/>
                <w:color w:val="231F20"/>
                <w:w w:val="110"/>
                <w:sz w:val="18"/>
              </w:rPr>
              <w:t>To proclaim the good news of the kingdom</w:t>
            </w:r>
          </w:p>
        </w:tc>
        <w:tc>
          <w:tcPr>
            <w:tcW w:w="2358" w:type="dxa"/>
          </w:tcPr>
          <w:p>
            <w:pPr>
              <w:pStyle w:val="TableParagraph"/>
              <w:rPr>
                <w:sz w:val="20"/>
              </w:rPr>
            </w:pPr>
          </w:p>
        </w:tc>
        <w:tc>
          <w:tcPr>
            <w:tcW w:w="2073" w:type="dxa"/>
          </w:tcPr>
          <w:p>
            <w:pPr>
              <w:pStyle w:val="TableParagraph"/>
              <w:rPr>
                <w:sz w:val="20"/>
              </w:rPr>
            </w:pPr>
          </w:p>
        </w:tc>
        <w:tc>
          <w:tcPr>
            <w:tcW w:w="2048" w:type="dxa"/>
          </w:tcPr>
          <w:p>
            <w:pPr>
              <w:pStyle w:val="TableParagraph"/>
              <w:rPr>
                <w:sz w:val="20"/>
              </w:rPr>
            </w:pPr>
          </w:p>
        </w:tc>
      </w:tr>
      <w:tr>
        <w:trPr>
          <w:trHeight w:val="869" w:hRule="atLeast"/>
        </w:trPr>
        <w:tc>
          <w:tcPr>
            <w:tcW w:w="2050" w:type="dxa"/>
          </w:tcPr>
          <w:p>
            <w:pPr>
              <w:pStyle w:val="TableParagraph"/>
              <w:spacing w:line="273" w:lineRule="auto" w:before="80"/>
              <w:ind w:left="113" w:right="189"/>
              <w:jc w:val="both"/>
              <w:rPr>
                <w:rFonts w:ascii="Verdana"/>
                <w:sz w:val="18"/>
              </w:rPr>
            </w:pPr>
            <w:r>
              <w:rPr>
                <w:rFonts w:ascii="Verdana"/>
                <w:color w:val="231F20"/>
                <w:w w:val="110"/>
                <w:sz w:val="18"/>
              </w:rPr>
              <w:t>To teach, baptise and nurture new believers</w:t>
            </w:r>
          </w:p>
        </w:tc>
        <w:tc>
          <w:tcPr>
            <w:tcW w:w="2358" w:type="dxa"/>
          </w:tcPr>
          <w:p>
            <w:pPr>
              <w:pStyle w:val="TableParagraph"/>
              <w:rPr>
                <w:sz w:val="20"/>
              </w:rPr>
            </w:pPr>
          </w:p>
        </w:tc>
        <w:tc>
          <w:tcPr>
            <w:tcW w:w="2073" w:type="dxa"/>
          </w:tcPr>
          <w:p>
            <w:pPr>
              <w:pStyle w:val="TableParagraph"/>
              <w:rPr>
                <w:sz w:val="20"/>
              </w:rPr>
            </w:pPr>
          </w:p>
        </w:tc>
        <w:tc>
          <w:tcPr>
            <w:tcW w:w="2048" w:type="dxa"/>
          </w:tcPr>
          <w:p>
            <w:pPr>
              <w:pStyle w:val="TableParagraph"/>
              <w:rPr>
                <w:sz w:val="20"/>
              </w:rPr>
            </w:pPr>
          </w:p>
        </w:tc>
      </w:tr>
      <w:tr>
        <w:trPr>
          <w:trHeight w:val="869" w:hRule="atLeast"/>
        </w:trPr>
        <w:tc>
          <w:tcPr>
            <w:tcW w:w="2050" w:type="dxa"/>
          </w:tcPr>
          <w:p>
            <w:pPr>
              <w:pStyle w:val="TableParagraph"/>
              <w:spacing w:line="273" w:lineRule="auto" w:before="80"/>
              <w:ind w:left="113" w:right="59"/>
              <w:rPr>
                <w:rFonts w:ascii="Verdana"/>
                <w:sz w:val="18"/>
              </w:rPr>
            </w:pPr>
            <w:r>
              <w:rPr>
                <w:rFonts w:ascii="Verdana"/>
                <w:color w:val="231F20"/>
                <w:w w:val="110"/>
                <w:sz w:val="18"/>
              </w:rPr>
              <w:t>To respond to human need by loving service</w:t>
            </w:r>
          </w:p>
        </w:tc>
        <w:tc>
          <w:tcPr>
            <w:tcW w:w="2358" w:type="dxa"/>
          </w:tcPr>
          <w:p>
            <w:pPr>
              <w:pStyle w:val="TableParagraph"/>
              <w:rPr>
                <w:sz w:val="20"/>
              </w:rPr>
            </w:pPr>
          </w:p>
        </w:tc>
        <w:tc>
          <w:tcPr>
            <w:tcW w:w="2073" w:type="dxa"/>
          </w:tcPr>
          <w:p>
            <w:pPr>
              <w:pStyle w:val="TableParagraph"/>
              <w:rPr>
                <w:sz w:val="20"/>
              </w:rPr>
            </w:pPr>
          </w:p>
        </w:tc>
        <w:tc>
          <w:tcPr>
            <w:tcW w:w="2048" w:type="dxa"/>
          </w:tcPr>
          <w:p>
            <w:pPr>
              <w:pStyle w:val="TableParagraph"/>
              <w:rPr>
                <w:sz w:val="20"/>
              </w:rPr>
            </w:pPr>
          </w:p>
        </w:tc>
      </w:tr>
      <w:tr>
        <w:trPr>
          <w:trHeight w:val="1119" w:hRule="atLeast"/>
        </w:trPr>
        <w:tc>
          <w:tcPr>
            <w:tcW w:w="2050" w:type="dxa"/>
          </w:tcPr>
          <w:p>
            <w:pPr>
              <w:pStyle w:val="TableParagraph"/>
              <w:spacing w:line="273" w:lineRule="auto" w:before="80"/>
              <w:ind w:left="113" w:right="59"/>
              <w:rPr>
                <w:rFonts w:ascii="Verdana"/>
                <w:sz w:val="18"/>
              </w:rPr>
            </w:pPr>
            <w:r>
              <w:rPr>
                <w:rFonts w:ascii="Verdana"/>
                <w:color w:val="231F20"/>
                <w:w w:val="110"/>
                <w:sz w:val="18"/>
              </w:rPr>
              <w:t>To seek to transform the unjust structures of society</w:t>
            </w:r>
          </w:p>
        </w:tc>
        <w:tc>
          <w:tcPr>
            <w:tcW w:w="2358" w:type="dxa"/>
          </w:tcPr>
          <w:p>
            <w:pPr>
              <w:pStyle w:val="TableParagraph"/>
              <w:rPr>
                <w:sz w:val="20"/>
              </w:rPr>
            </w:pPr>
          </w:p>
        </w:tc>
        <w:tc>
          <w:tcPr>
            <w:tcW w:w="2073" w:type="dxa"/>
          </w:tcPr>
          <w:p>
            <w:pPr>
              <w:pStyle w:val="TableParagraph"/>
              <w:rPr>
                <w:sz w:val="20"/>
              </w:rPr>
            </w:pPr>
          </w:p>
        </w:tc>
        <w:tc>
          <w:tcPr>
            <w:tcW w:w="2048" w:type="dxa"/>
          </w:tcPr>
          <w:p>
            <w:pPr>
              <w:pStyle w:val="TableParagraph"/>
              <w:rPr>
                <w:sz w:val="20"/>
              </w:rPr>
            </w:pPr>
          </w:p>
        </w:tc>
      </w:tr>
      <w:tr>
        <w:trPr>
          <w:trHeight w:val="1869" w:hRule="atLeast"/>
        </w:trPr>
        <w:tc>
          <w:tcPr>
            <w:tcW w:w="2050" w:type="dxa"/>
          </w:tcPr>
          <w:p>
            <w:pPr>
              <w:pStyle w:val="TableParagraph"/>
              <w:spacing w:line="273" w:lineRule="auto" w:before="80"/>
              <w:ind w:left="113" w:right="193"/>
              <w:rPr>
                <w:rFonts w:ascii="Verdana"/>
                <w:sz w:val="18"/>
              </w:rPr>
            </w:pPr>
            <w:r>
              <w:rPr>
                <w:rFonts w:ascii="Verdana"/>
                <w:color w:val="231F20"/>
                <w:w w:val="110"/>
                <w:sz w:val="18"/>
              </w:rPr>
              <w:t>To strive to safeguard the integrity of creation, to sustain and renew the life of the earth</w:t>
            </w:r>
          </w:p>
        </w:tc>
        <w:tc>
          <w:tcPr>
            <w:tcW w:w="2358" w:type="dxa"/>
          </w:tcPr>
          <w:p>
            <w:pPr>
              <w:pStyle w:val="TableParagraph"/>
              <w:rPr>
                <w:sz w:val="20"/>
              </w:rPr>
            </w:pPr>
          </w:p>
        </w:tc>
        <w:tc>
          <w:tcPr>
            <w:tcW w:w="2073" w:type="dxa"/>
          </w:tcPr>
          <w:p>
            <w:pPr>
              <w:pStyle w:val="TableParagraph"/>
              <w:rPr>
                <w:sz w:val="20"/>
              </w:rPr>
            </w:pPr>
          </w:p>
        </w:tc>
        <w:tc>
          <w:tcPr>
            <w:tcW w:w="2048" w:type="dxa"/>
          </w:tcPr>
          <w:p>
            <w:pPr>
              <w:pStyle w:val="TableParagraph"/>
              <w:rPr>
                <w:sz w:val="20"/>
              </w:rPr>
            </w:pPr>
          </w:p>
        </w:tc>
      </w:tr>
    </w:tbl>
    <w:p>
      <w:pPr>
        <w:pStyle w:val="BodyText"/>
        <w:spacing w:before="5"/>
        <w:rPr>
          <w:sz w:val="11"/>
        </w:rPr>
      </w:pPr>
    </w:p>
    <w:p>
      <w:pPr>
        <w:spacing w:before="100"/>
        <w:ind w:left="673" w:right="0" w:firstLine="0"/>
        <w:jc w:val="left"/>
        <w:rPr>
          <w:i/>
          <w:sz w:val="18"/>
        </w:rPr>
      </w:pPr>
      <w:r>
        <w:rPr>
          <w:i/>
          <w:color w:val="231F20"/>
          <w:sz w:val="18"/>
        </w:rPr>
        <w:t>Table 1 – A framework for mission priorities</w:t>
      </w:r>
    </w:p>
    <w:p>
      <w:pPr>
        <w:pStyle w:val="BodyText"/>
        <w:spacing w:before="7"/>
        <w:rPr>
          <w:i/>
          <w:sz w:val="25"/>
        </w:rPr>
      </w:pPr>
    </w:p>
    <w:p>
      <w:pPr>
        <w:pStyle w:val="ListParagraph"/>
        <w:numPr>
          <w:ilvl w:val="2"/>
          <w:numId w:val="1"/>
        </w:numPr>
        <w:tabs>
          <w:tab w:pos="1393" w:val="left" w:leader="none"/>
          <w:tab w:pos="1394" w:val="left" w:leader="none"/>
        </w:tabs>
        <w:spacing w:line="247" w:lineRule="auto" w:before="0" w:after="0"/>
        <w:ind w:left="673" w:right="2305" w:firstLine="0"/>
        <w:jc w:val="left"/>
        <w:rPr>
          <w:color w:val="231F20"/>
          <w:sz w:val="20"/>
        </w:rPr>
      </w:pPr>
      <w:r>
        <w:rPr>
          <w:color w:val="231F20"/>
          <w:sz w:val="20"/>
        </w:rPr>
        <w:t>Significantly, whilst the Mission Department might lead in developing these proposals, cross boundary working with the other Departments will be critical to its success. Those links will need to be established in the transitional</w:t>
      </w:r>
      <w:r>
        <w:rPr>
          <w:color w:val="231F20"/>
          <w:spacing w:val="11"/>
          <w:sz w:val="20"/>
        </w:rPr>
        <w:t> </w:t>
      </w:r>
      <w:r>
        <w:rPr>
          <w:color w:val="231F20"/>
          <w:sz w:val="20"/>
        </w:rPr>
        <w:t>phase.</w:t>
      </w:r>
    </w:p>
    <w:p>
      <w:pPr>
        <w:spacing w:after="0" w:line="247" w:lineRule="auto"/>
        <w:jc w:val="left"/>
        <w:rPr>
          <w:sz w:val="20"/>
        </w:rPr>
        <w:sectPr>
          <w:pgSz w:w="11910" w:h="16840"/>
          <w:pgMar w:header="558" w:footer="564" w:top="820" w:bottom="760" w:left="460" w:right="0"/>
        </w:sectPr>
      </w:pPr>
    </w:p>
    <w:p>
      <w:pPr>
        <w:pStyle w:val="BodyText"/>
        <w:spacing w:before="1"/>
        <w:rPr>
          <w:sz w:val="12"/>
        </w:rPr>
      </w:pPr>
    </w:p>
    <w:p>
      <w:pPr>
        <w:pStyle w:val="ListParagraph"/>
        <w:numPr>
          <w:ilvl w:val="2"/>
          <w:numId w:val="1"/>
        </w:numPr>
        <w:tabs>
          <w:tab w:pos="1960" w:val="left" w:leader="none"/>
          <w:tab w:pos="1961" w:val="left" w:leader="none"/>
        </w:tabs>
        <w:spacing w:line="247" w:lineRule="auto" w:before="101" w:after="0"/>
        <w:ind w:left="1240" w:right="1201" w:firstLine="0"/>
        <w:jc w:val="left"/>
        <w:rPr>
          <w:color w:val="231F20"/>
          <w:sz w:val="20"/>
        </w:rPr>
      </w:pPr>
      <w:r>
        <w:rPr>
          <w:color w:val="231F20"/>
          <w:sz w:val="20"/>
        </w:rPr>
        <w:t>Once adopted, the proposals should become the basis for evaluating the performance of the department and the church’s work.  If we are serious about ‘making a difference’ we need to reflect on what we </w:t>
      </w:r>
      <w:r>
        <w:rPr>
          <w:color w:val="231F20"/>
          <w:spacing w:val="-3"/>
          <w:sz w:val="20"/>
        </w:rPr>
        <w:t>have </w:t>
      </w:r>
      <w:r>
        <w:rPr>
          <w:color w:val="231F20"/>
          <w:sz w:val="20"/>
        </w:rPr>
        <w:t>done, learn from experience and where </w:t>
      </w:r>
      <w:r>
        <w:rPr>
          <w:color w:val="231F20"/>
          <w:spacing w:val="2"/>
          <w:sz w:val="20"/>
        </w:rPr>
        <w:t>necessary </w:t>
      </w:r>
      <w:r>
        <w:rPr>
          <w:color w:val="231F20"/>
          <w:sz w:val="20"/>
        </w:rPr>
        <w:t>make changes. It is no longer an option to launch a programme with good intent and just let it take its course. If we expect a programme to make a difference, then we must monitor it critically as a means of supporting and encouraging its</w:t>
      </w:r>
      <w:r>
        <w:rPr>
          <w:color w:val="231F20"/>
          <w:spacing w:val="24"/>
          <w:sz w:val="20"/>
        </w:rPr>
        <w:t> </w:t>
      </w:r>
      <w:r>
        <w:rPr>
          <w:color w:val="231F20"/>
          <w:sz w:val="20"/>
        </w:rPr>
        <w:t>success.</w:t>
      </w:r>
    </w:p>
    <w:p>
      <w:pPr>
        <w:pStyle w:val="BodyText"/>
        <w:spacing w:before="4"/>
        <w:rPr>
          <w:sz w:val="20"/>
        </w:rPr>
      </w:pPr>
    </w:p>
    <w:p>
      <w:pPr>
        <w:pStyle w:val="ListParagraph"/>
        <w:numPr>
          <w:ilvl w:val="2"/>
          <w:numId w:val="1"/>
        </w:numPr>
        <w:tabs>
          <w:tab w:pos="1960" w:val="left" w:leader="none"/>
          <w:tab w:pos="1961" w:val="left" w:leader="none"/>
        </w:tabs>
        <w:spacing w:line="247" w:lineRule="auto" w:before="0" w:after="0"/>
        <w:ind w:left="1240" w:right="1707" w:firstLine="0"/>
        <w:jc w:val="left"/>
        <w:rPr>
          <w:color w:val="231F20"/>
          <w:sz w:val="20"/>
        </w:rPr>
      </w:pPr>
      <w:r>
        <w:rPr>
          <w:color w:val="231F20"/>
          <w:sz w:val="20"/>
        </w:rPr>
        <w:t>At present the only things which we measure in the United Reformed Church are money and membership/attendance figures. They tell us something about our organisational health, but give little clue as to whether we are having any impact in our mission (whether we are ‘making a difference’). Church growth or decline is</w:t>
      </w:r>
      <w:r>
        <w:rPr>
          <w:color w:val="231F20"/>
          <w:spacing w:val="4"/>
          <w:sz w:val="20"/>
        </w:rPr>
        <w:t> </w:t>
      </w:r>
      <w:r>
        <w:rPr>
          <w:color w:val="231F20"/>
          <w:sz w:val="20"/>
        </w:rPr>
        <w:t>an</w:t>
      </w:r>
    </w:p>
    <w:p>
      <w:pPr>
        <w:spacing w:line="247" w:lineRule="auto" w:before="0"/>
        <w:ind w:left="1240" w:right="1143" w:firstLine="0"/>
        <w:jc w:val="left"/>
        <w:rPr>
          <w:sz w:val="20"/>
        </w:rPr>
      </w:pPr>
      <w:r>
        <w:rPr>
          <w:color w:val="231F20"/>
          <w:sz w:val="20"/>
        </w:rPr>
        <w:t>important pointer (and should not be under-estimated in its significance), but it is a pale reflection of all that we might count as our contribution to God’s mission. The Mission Department and the other departments, in the light of </w:t>
      </w:r>
      <w:r>
        <w:rPr>
          <w:i/>
          <w:color w:val="231F20"/>
          <w:sz w:val="20"/>
        </w:rPr>
        <w:t>Catch the Vision </w:t>
      </w:r>
      <w:r>
        <w:rPr>
          <w:color w:val="231F20"/>
          <w:sz w:val="20"/>
        </w:rPr>
        <w:t>should give serious consideration to identifying how else we might measure our achievements. Doing that cogently and consistently could play a significant role in contributing to our sense of purpose and self-confidence.</w:t>
      </w:r>
    </w:p>
    <w:p>
      <w:pPr>
        <w:pStyle w:val="BodyText"/>
        <w:spacing w:before="4"/>
        <w:rPr>
          <w:sz w:val="20"/>
        </w:rPr>
      </w:pPr>
    </w:p>
    <w:p>
      <w:pPr>
        <w:pStyle w:val="ListParagraph"/>
        <w:numPr>
          <w:ilvl w:val="1"/>
          <w:numId w:val="1"/>
        </w:numPr>
        <w:tabs>
          <w:tab w:pos="1960" w:val="left" w:leader="none"/>
          <w:tab w:pos="1961" w:val="left" w:leader="none"/>
        </w:tabs>
        <w:spacing w:line="240" w:lineRule="auto" w:before="0" w:after="0"/>
        <w:ind w:left="1960" w:right="0" w:hanging="721"/>
        <w:jc w:val="left"/>
        <w:rPr>
          <w:b/>
          <w:color w:val="231F20"/>
          <w:sz w:val="20"/>
        </w:rPr>
      </w:pPr>
      <w:r>
        <w:rPr>
          <w:b/>
          <w:color w:val="231F20"/>
          <w:sz w:val="20"/>
        </w:rPr>
        <w:t>Governance and management</w:t>
      </w:r>
    </w:p>
    <w:p>
      <w:pPr>
        <w:pStyle w:val="BodyText"/>
        <w:spacing w:before="1"/>
        <w:rPr>
          <w:b/>
          <w:sz w:val="21"/>
        </w:rPr>
      </w:pPr>
    </w:p>
    <w:p>
      <w:pPr>
        <w:pStyle w:val="ListParagraph"/>
        <w:numPr>
          <w:ilvl w:val="2"/>
          <w:numId w:val="1"/>
        </w:numPr>
        <w:tabs>
          <w:tab w:pos="1960" w:val="left" w:leader="none"/>
          <w:tab w:pos="1961" w:val="left" w:leader="none"/>
        </w:tabs>
        <w:spacing w:line="247" w:lineRule="auto" w:before="0" w:after="0"/>
        <w:ind w:left="1240" w:right="1296" w:firstLine="0"/>
        <w:jc w:val="left"/>
        <w:rPr>
          <w:color w:val="231F20"/>
          <w:sz w:val="20"/>
        </w:rPr>
      </w:pPr>
      <w:r>
        <w:rPr>
          <w:color w:val="231F20"/>
          <w:sz w:val="20"/>
        </w:rPr>
        <w:t>The Mission Department will be responsible to a new Mission Committee, which will be representative of the Synods, thus ensuring a direct link between the work of local churches in their Synods and the work of the Assembly. That committee in its turn will be responsible to Assembly.</w:t>
      </w:r>
    </w:p>
    <w:p>
      <w:pPr>
        <w:pStyle w:val="BodyText"/>
        <w:spacing w:before="6"/>
        <w:rPr>
          <w:sz w:val="20"/>
        </w:rPr>
      </w:pPr>
    </w:p>
    <w:p>
      <w:pPr>
        <w:pStyle w:val="ListParagraph"/>
        <w:numPr>
          <w:ilvl w:val="2"/>
          <w:numId w:val="1"/>
        </w:numPr>
        <w:tabs>
          <w:tab w:pos="1960" w:val="left" w:leader="none"/>
          <w:tab w:pos="1961" w:val="left" w:leader="none"/>
        </w:tabs>
        <w:spacing w:line="247" w:lineRule="auto" w:before="0" w:after="0"/>
        <w:ind w:left="1240" w:right="1417" w:firstLine="0"/>
        <w:jc w:val="left"/>
        <w:rPr>
          <w:color w:val="231F20"/>
          <w:sz w:val="20"/>
        </w:rPr>
      </w:pPr>
      <w:r>
        <w:rPr>
          <w:color w:val="231F20"/>
          <w:sz w:val="20"/>
        </w:rPr>
        <w:t>The committee and the Department will therefore contribute to the life and work of the church through Mission Council and Assembly. Our hope is that we will discover ways in which we can bring together our experience of the church locally, regionally, nationally and internationally (Christ’s </w:t>
      </w:r>
      <w:r>
        <w:rPr>
          <w:color w:val="231F20"/>
          <w:spacing w:val="-3"/>
          <w:sz w:val="20"/>
        </w:rPr>
        <w:t>people), </w:t>
      </w:r>
      <w:r>
        <w:rPr>
          <w:color w:val="231F20"/>
          <w:sz w:val="20"/>
        </w:rPr>
        <w:t>and that through its</w:t>
      </w:r>
      <w:r>
        <w:rPr>
          <w:color w:val="231F20"/>
          <w:spacing w:val="-22"/>
          <w:sz w:val="20"/>
        </w:rPr>
        <w:t> </w:t>
      </w:r>
      <w:r>
        <w:rPr>
          <w:color w:val="231F20"/>
          <w:sz w:val="20"/>
        </w:rPr>
        <w:t>councils</w:t>
      </w:r>
    </w:p>
    <w:p>
      <w:pPr>
        <w:spacing w:line="242" w:lineRule="exact" w:before="0"/>
        <w:ind w:left="1240" w:right="0" w:firstLine="0"/>
        <w:jc w:val="left"/>
        <w:rPr>
          <w:sz w:val="20"/>
        </w:rPr>
      </w:pPr>
      <w:r>
        <w:rPr>
          <w:color w:val="231F20"/>
          <w:sz w:val="20"/>
        </w:rPr>
        <w:t>the United Reformed Church will read the signs of the times, reflect on them in the light</w:t>
      </w:r>
    </w:p>
    <w:p>
      <w:pPr>
        <w:spacing w:line="247" w:lineRule="auto" w:before="7"/>
        <w:ind w:left="1240" w:right="1403" w:firstLine="0"/>
        <w:jc w:val="left"/>
        <w:rPr>
          <w:sz w:val="20"/>
        </w:rPr>
      </w:pPr>
      <w:r>
        <w:rPr>
          <w:color w:val="231F20"/>
          <w:sz w:val="20"/>
        </w:rPr>
        <w:t>of God’s word (open ourselves to be transformed by the gospel), so that we can make a difference in our congregations, to the communities we minister with and to, and to the world. Then working through various networks (mission enablers, racial justice advocates, </w:t>
      </w:r>
      <w:r>
        <w:rPr>
          <w:i/>
          <w:color w:val="231F20"/>
          <w:sz w:val="20"/>
        </w:rPr>
        <w:t>Commitment for life </w:t>
      </w:r>
      <w:r>
        <w:rPr>
          <w:color w:val="231F20"/>
          <w:sz w:val="20"/>
        </w:rPr>
        <w:t>advocates, global partner coordinators, ecumenical officers, etc) the Mission Department will seek to give effect to the policies and programme (action) priorities which the church has determined. We hope the Mission Department, through dynamic interaction with the life of the church at every level, will have a role in assisting the councils of the church to reflect on mission and theology.</w:t>
      </w:r>
    </w:p>
    <w:p>
      <w:pPr>
        <w:pStyle w:val="BodyText"/>
        <w:spacing w:before="4"/>
        <w:rPr>
          <w:sz w:val="20"/>
        </w:rPr>
      </w:pPr>
    </w:p>
    <w:p>
      <w:pPr>
        <w:pStyle w:val="ListParagraph"/>
        <w:numPr>
          <w:ilvl w:val="1"/>
          <w:numId w:val="1"/>
        </w:numPr>
        <w:tabs>
          <w:tab w:pos="1960" w:val="left" w:leader="none"/>
          <w:tab w:pos="1961" w:val="left" w:leader="none"/>
        </w:tabs>
        <w:spacing w:line="240" w:lineRule="auto" w:before="0" w:after="0"/>
        <w:ind w:left="1960" w:right="0" w:hanging="721"/>
        <w:jc w:val="left"/>
        <w:rPr>
          <w:b/>
          <w:color w:val="231F20"/>
          <w:sz w:val="20"/>
        </w:rPr>
      </w:pPr>
      <w:r>
        <w:rPr>
          <w:b/>
          <w:color w:val="231F20"/>
          <w:sz w:val="20"/>
        </w:rPr>
        <w:t>Operations</w:t>
      </w:r>
    </w:p>
    <w:p>
      <w:pPr>
        <w:pStyle w:val="BodyText"/>
        <w:spacing w:before="1"/>
        <w:rPr>
          <w:b/>
          <w:sz w:val="21"/>
        </w:rPr>
      </w:pPr>
    </w:p>
    <w:p>
      <w:pPr>
        <w:pStyle w:val="ListParagraph"/>
        <w:numPr>
          <w:ilvl w:val="2"/>
          <w:numId w:val="1"/>
        </w:numPr>
        <w:tabs>
          <w:tab w:pos="1960" w:val="left" w:leader="none"/>
          <w:tab w:pos="1961" w:val="left" w:leader="none"/>
        </w:tabs>
        <w:spacing w:line="247" w:lineRule="auto" w:before="1" w:after="0"/>
        <w:ind w:left="1240" w:right="1394" w:firstLine="0"/>
        <w:jc w:val="left"/>
        <w:rPr>
          <w:color w:val="231F20"/>
          <w:sz w:val="20"/>
        </w:rPr>
      </w:pPr>
      <w:r>
        <w:rPr>
          <w:color w:val="231F20"/>
          <w:sz w:val="20"/>
        </w:rPr>
        <w:t>The Mission Department will be responsible </w:t>
      </w:r>
      <w:r>
        <w:rPr>
          <w:color w:val="231F20"/>
          <w:spacing w:val="-3"/>
          <w:sz w:val="20"/>
        </w:rPr>
        <w:t>to, </w:t>
      </w:r>
      <w:r>
        <w:rPr>
          <w:color w:val="231F20"/>
          <w:sz w:val="20"/>
        </w:rPr>
        <w:t>and overseen </w:t>
      </w:r>
      <w:r>
        <w:rPr>
          <w:color w:val="231F20"/>
          <w:spacing w:val="-7"/>
          <w:sz w:val="20"/>
        </w:rPr>
        <w:t>by, </w:t>
      </w:r>
      <w:r>
        <w:rPr>
          <w:color w:val="231F20"/>
          <w:sz w:val="20"/>
        </w:rPr>
        <w:t>the Mission Committee. The executive </w:t>
      </w:r>
      <w:r>
        <w:rPr>
          <w:color w:val="231F20"/>
          <w:spacing w:val="2"/>
          <w:sz w:val="20"/>
        </w:rPr>
        <w:t>staff </w:t>
      </w:r>
      <w:r>
        <w:rPr>
          <w:color w:val="231F20"/>
          <w:sz w:val="20"/>
        </w:rPr>
        <w:t>team will be coordinated by the General </w:t>
      </w:r>
      <w:r>
        <w:rPr>
          <w:color w:val="231F20"/>
          <w:spacing w:val="2"/>
          <w:sz w:val="20"/>
        </w:rPr>
        <w:t>Secretary </w:t>
      </w:r>
      <w:r>
        <w:rPr>
          <w:color w:val="231F20"/>
          <w:sz w:val="20"/>
        </w:rPr>
        <w:t>and will comprise </w:t>
      </w:r>
      <w:r>
        <w:rPr>
          <w:color w:val="231F20"/>
          <w:spacing w:val="-3"/>
          <w:sz w:val="20"/>
        </w:rPr>
        <w:t>(initially) </w:t>
      </w:r>
      <w:r>
        <w:rPr>
          <w:color w:val="231F20"/>
          <w:sz w:val="20"/>
        </w:rPr>
        <w:t>the following</w:t>
      </w:r>
      <w:r>
        <w:rPr>
          <w:color w:val="231F20"/>
          <w:spacing w:val="3"/>
          <w:sz w:val="20"/>
        </w:rPr>
        <w:t> </w:t>
      </w:r>
      <w:r>
        <w:rPr>
          <w:color w:val="231F20"/>
          <w:sz w:val="20"/>
        </w:rPr>
        <w:t>posts:</w:t>
      </w:r>
    </w:p>
    <w:p>
      <w:pPr>
        <w:pStyle w:val="BodyText"/>
        <w:spacing w:before="7"/>
        <w:rPr>
          <w:sz w:val="19"/>
        </w:rPr>
      </w:pPr>
    </w:p>
    <w:p>
      <w:pPr>
        <w:pStyle w:val="ListParagraph"/>
        <w:numPr>
          <w:ilvl w:val="0"/>
          <w:numId w:val="6"/>
        </w:numPr>
        <w:tabs>
          <w:tab w:pos="1921" w:val="left" w:leader="none"/>
          <w:tab w:pos="1922" w:val="left" w:leader="none"/>
        </w:tabs>
        <w:spacing w:line="277" w:lineRule="exact" w:before="0" w:after="0"/>
        <w:ind w:left="1921" w:right="0" w:hanging="682"/>
        <w:jc w:val="left"/>
        <w:rPr>
          <w:sz w:val="18"/>
        </w:rPr>
      </w:pPr>
      <w:r>
        <w:rPr>
          <w:color w:val="231F20"/>
          <w:spacing w:val="3"/>
          <w:w w:val="110"/>
          <w:sz w:val="18"/>
        </w:rPr>
        <w:t>Secretary </w:t>
      </w:r>
      <w:r>
        <w:rPr>
          <w:color w:val="231F20"/>
          <w:w w:val="110"/>
          <w:sz w:val="18"/>
        </w:rPr>
        <w:t>for Mission (exact title &amp; job description still to be</w:t>
      </w:r>
      <w:r>
        <w:rPr>
          <w:color w:val="231F20"/>
          <w:spacing w:val="29"/>
          <w:w w:val="110"/>
          <w:sz w:val="18"/>
        </w:rPr>
        <w:t> </w:t>
      </w:r>
      <w:r>
        <w:rPr>
          <w:color w:val="231F20"/>
          <w:w w:val="110"/>
          <w:sz w:val="18"/>
        </w:rPr>
        <w:t>finalised)</w:t>
      </w:r>
    </w:p>
    <w:p>
      <w:pPr>
        <w:pStyle w:val="ListParagraph"/>
        <w:numPr>
          <w:ilvl w:val="0"/>
          <w:numId w:val="6"/>
        </w:numPr>
        <w:tabs>
          <w:tab w:pos="1921" w:val="left" w:leader="none"/>
          <w:tab w:pos="1922" w:val="left" w:leader="none"/>
        </w:tabs>
        <w:spacing w:line="250" w:lineRule="exact" w:before="0" w:after="0"/>
        <w:ind w:left="1921" w:right="0" w:hanging="682"/>
        <w:jc w:val="left"/>
        <w:rPr>
          <w:sz w:val="18"/>
        </w:rPr>
      </w:pPr>
      <w:r>
        <w:rPr>
          <w:color w:val="231F20"/>
          <w:spacing w:val="3"/>
          <w:w w:val="110"/>
          <w:sz w:val="18"/>
        </w:rPr>
        <w:t>Secretary </w:t>
      </w:r>
      <w:r>
        <w:rPr>
          <w:color w:val="231F20"/>
          <w:w w:val="110"/>
          <w:sz w:val="18"/>
        </w:rPr>
        <w:t>for Ecumenical Relations and Faith &amp;</w:t>
      </w:r>
      <w:r>
        <w:rPr>
          <w:color w:val="231F20"/>
          <w:spacing w:val="10"/>
          <w:w w:val="110"/>
          <w:sz w:val="18"/>
        </w:rPr>
        <w:t> </w:t>
      </w:r>
      <w:r>
        <w:rPr>
          <w:color w:val="231F20"/>
          <w:w w:val="110"/>
          <w:sz w:val="18"/>
        </w:rPr>
        <w:t>Order</w:t>
      </w:r>
    </w:p>
    <w:p>
      <w:pPr>
        <w:pStyle w:val="ListParagraph"/>
        <w:numPr>
          <w:ilvl w:val="0"/>
          <w:numId w:val="6"/>
        </w:numPr>
        <w:tabs>
          <w:tab w:pos="1921" w:val="left" w:leader="none"/>
          <w:tab w:pos="1922" w:val="left" w:leader="none"/>
        </w:tabs>
        <w:spacing w:line="250" w:lineRule="exact" w:before="0" w:after="0"/>
        <w:ind w:left="1921" w:right="0" w:hanging="682"/>
        <w:jc w:val="left"/>
        <w:rPr>
          <w:sz w:val="18"/>
        </w:rPr>
      </w:pPr>
      <w:r>
        <w:rPr>
          <w:color w:val="231F20"/>
          <w:spacing w:val="3"/>
          <w:w w:val="110"/>
          <w:sz w:val="18"/>
        </w:rPr>
        <w:t>Secretary </w:t>
      </w:r>
      <w:r>
        <w:rPr>
          <w:color w:val="231F20"/>
          <w:w w:val="110"/>
          <w:sz w:val="18"/>
        </w:rPr>
        <w:t>for Church &amp;</w:t>
      </w:r>
      <w:r>
        <w:rPr>
          <w:color w:val="231F20"/>
          <w:spacing w:val="1"/>
          <w:w w:val="110"/>
          <w:sz w:val="18"/>
        </w:rPr>
        <w:t> </w:t>
      </w:r>
      <w:r>
        <w:rPr>
          <w:color w:val="231F20"/>
          <w:spacing w:val="2"/>
          <w:w w:val="110"/>
          <w:sz w:val="18"/>
        </w:rPr>
        <w:t>Society</w:t>
      </w:r>
    </w:p>
    <w:p>
      <w:pPr>
        <w:pStyle w:val="ListParagraph"/>
        <w:numPr>
          <w:ilvl w:val="0"/>
          <w:numId w:val="6"/>
        </w:numPr>
        <w:tabs>
          <w:tab w:pos="1921" w:val="left" w:leader="none"/>
          <w:tab w:pos="1922" w:val="left" w:leader="none"/>
        </w:tabs>
        <w:spacing w:line="250" w:lineRule="exact" w:before="0" w:after="0"/>
        <w:ind w:left="1921" w:right="0" w:hanging="682"/>
        <w:jc w:val="left"/>
        <w:rPr>
          <w:sz w:val="18"/>
        </w:rPr>
      </w:pPr>
      <w:r>
        <w:rPr>
          <w:color w:val="231F20"/>
          <w:spacing w:val="3"/>
          <w:w w:val="110"/>
          <w:sz w:val="18"/>
        </w:rPr>
        <w:t>Secretary </w:t>
      </w:r>
      <w:r>
        <w:rPr>
          <w:color w:val="231F20"/>
          <w:w w:val="110"/>
          <w:sz w:val="18"/>
        </w:rPr>
        <w:t>for Racial Justice &amp; Multicultural</w:t>
      </w:r>
      <w:r>
        <w:rPr>
          <w:color w:val="231F20"/>
          <w:spacing w:val="9"/>
          <w:w w:val="110"/>
          <w:sz w:val="18"/>
        </w:rPr>
        <w:t> </w:t>
      </w:r>
      <w:r>
        <w:rPr>
          <w:color w:val="231F20"/>
          <w:w w:val="110"/>
          <w:sz w:val="18"/>
        </w:rPr>
        <w:t>Ministry</w:t>
      </w:r>
    </w:p>
    <w:p>
      <w:pPr>
        <w:pStyle w:val="ListParagraph"/>
        <w:numPr>
          <w:ilvl w:val="0"/>
          <w:numId w:val="6"/>
        </w:numPr>
        <w:tabs>
          <w:tab w:pos="1921" w:val="left" w:leader="none"/>
          <w:tab w:pos="1922" w:val="left" w:leader="none"/>
        </w:tabs>
        <w:spacing w:line="218" w:lineRule="auto" w:before="0" w:after="0"/>
        <w:ind w:left="1921" w:right="1559" w:hanging="681"/>
        <w:jc w:val="left"/>
        <w:rPr>
          <w:sz w:val="18"/>
        </w:rPr>
      </w:pPr>
      <w:r>
        <w:rPr>
          <w:color w:val="231F20"/>
          <w:w w:val="110"/>
          <w:sz w:val="18"/>
        </w:rPr>
        <w:t>International Relations Programme </w:t>
      </w:r>
      <w:r>
        <w:rPr>
          <w:color w:val="231F20"/>
          <w:spacing w:val="2"/>
          <w:w w:val="110"/>
          <w:sz w:val="18"/>
        </w:rPr>
        <w:t>Officer </w:t>
      </w:r>
      <w:r>
        <w:rPr>
          <w:color w:val="231F20"/>
          <w:w w:val="110"/>
          <w:sz w:val="18"/>
        </w:rPr>
        <w:t>(exact title &amp; job description still to be finalised)</w:t>
      </w:r>
    </w:p>
    <w:p>
      <w:pPr>
        <w:pStyle w:val="ListParagraph"/>
        <w:numPr>
          <w:ilvl w:val="0"/>
          <w:numId w:val="6"/>
        </w:numPr>
        <w:tabs>
          <w:tab w:pos="1921" w:val="left" w:leader="none"/>
          <w:tab w:pos="1922" w:val="left" w:leader="none"/>
        </w:tabs>
        <w:spacing w:line="240" w:lineRule="auto" w:before="0" w:after="0"/>
        <w:ind w:left="1921" w:right="0" w:hanging="682"/>
        <w:jc w:val="left"/>
        <w:rPr>
          <w:sz w:val="18"/>
        </w:rPr>
      </w:pPr>
      <w:r>
        <w:rPr>
          <w:i/>
          <w:color w:val="231F20"/>
          <w:w w:val="110"/>
          <w:sz w:val="18"/>
        </w:rPr>
        <w:t>Commitment for Life</w:t>
      </w:r>
      <w:r>
        <w:rPr>
          <w:i/>
          <w:color w:val="231F20"/>
          <w:spacing w:val="2"/>
          <w:w w:val="110"/>
          <w:sz w:val="18"/>
        </w:rPr>
        <w:t> </w:t>
      </w:r>
      <w:r>
        <w:rPr>
          <w:color w:val="231F20"/>
          <w:w w:val="110"/>
          <w:sz w:val="18"/>
        </w:rPr>
        <w:t>Co-ordinator.</w:t>
      </w:r>
    </w:p>
    <w:p>
      <w:pPr>
        <w:pStyle w:val="ListParagraph"/>
        <w:numPr>
          <w:ilvl w:val="2"/>
          <w:numId w:val="1"/>
        </w:numPr>
        <w:tabs>
          <w:tab w:pos="1960" w:val="left" w:leader="none"/>
          <w:tab w:pos="1961" w:val="left" w:leader="none"/>
        </w:tabs>
        <w:spacing w:line="240" w:lineRule="auto" w:before="225" w:after="0"/>
        <w:ind w:left="1960" w:right="0" w:hanging="721"/>
        <w:jc w:val="left"/>
        <w:rPr>
          <w:color w:val="231F20"/>
          <w:sz w:val="18"/>
        </w:rPr>
      </w:pPr>
      <w:r>
        <w:rPr>
          <w:color w:val="231F20"/>
          <w:w w:val="110"/>
          <w:sz w:val="18"/>
        </w:rPr>
        <w:t>They will be supported by four administrative </w:t>
      </w:r>
      <w:r>
        <w:rPr>
          <w:color w:val="231F20"/>
          <w:spacing w:val="3"/>
          <w:w w:val="110"/>
          <w:sz w:val="18"/>
        </w:rPr>
        <w:t>staff </w:t>
      </w:r>
      <w:r>
        <w:rPr>
          <w:color w:val="231F20"/>
          <w:w w:val="110"/>
          <w:sz w:val="18"/>
        </w:rPr>
        <w:t>who between them will</w:t>
      </w:r>
      <w:r>
        <w:rPr>
          <w:color w:val="231F20"/>
          <w:spacing w:val="61"/>
          <w:w w:val="110"/>
          <w:sz w:val="18"/>
        </w:rPr>
        <w:t> </w:t>
      </w:r>
      <w:r>
        <w:rPr>
          <w:color w:val="231F20"/>
          <w:w w:val="110"/>
          <w:sz w:val="18"/>
        </w:rPr>
        <w:t>ensure</w:t>
      </w:r>
    </w:p>
    <w:p>
      <w:pPr>
        <w:pStyle w:val="BodyText"/>
        <w:spacing w:before="31"/>
        <w:ind w:left="1240"/>
      </w:pPr>
      <w:r>
        <w:rPr>
          <w:color w:val="231F20"/>
          <w:w w:val="110"/>
        </w:rPr>
        <w:t>the smooth running of the Mission Department office.</w:t>
      </w:r>
    </w:p>
    <w:p>
      <w:pPr>
        <w:spacing w:after="0"/>
        <w:sectPr>
          <w:pgSz w:w="11910" w:h="16840"/>
          <w:pgMar w:header="558" w:footer="564" w:top="820" w:bottom="760" w:left="460" w:right="0"/>
        </w:sectPr>
      </w:pPr>
    </w:p>
    <w:p>
      <w:pPr>
        <w:pStyle w:val="BodyText"/>
        <w:spacing w:before="9"/>
        <w:rPr>
          <w:sz w:val="13"/>
        </w:rPr>
      </w:pPr>
    </w:p>
    <w:p>
      <w:pPr>
        <w:pStyle w:val="ListParagraph"/>
        <w:numPr>
          <w:ilvl w:val="2"/>
          <w:numId w:val="1"/>
        </w:numPr>
        <w:tabs>
          <w:tab w:pos="1393" w:val="left" w:leader="none"/>
          <w:tab w:pos="1394" w:val="left" w:leader="none"/>
        </w:tabs>
        <w:spacing w:line="273" w:lineRule="auto" w:before="101" w:after="0"/>
        <w:ind w:left="673" w:right="1593" w:firstLine="0"/>
        <w:jc w:val="left"/>
        <w:rPr>
          <w:color w:val="231F20"/>
          <w:sz w:val="18"/>
        </w:rPr>
      </w:pPr>
      <w:r>
        <w:rPr>
          <w:color w:val="231F20"/>
          <w:w w:val="110"/>
          <w:sz w:val="18"/>
        </w:rPr>
        <w:t>This new </w:t>
      </w:r>
      <w:r>
        <w:rPr>
          <w:color w:val="231F20"/>
          <w:spacing w:val="2"/>
          <w:w w:val="110"/>
          <w:sz w:val="18"/>
        </w:rPr>
        <w:t>staffing </w:t>
      </w:r>
      <w:r>
        <w:rPr>
          <w:color w:val="231F20"/>
          <w:w w:val="110"/>
          <w:sz w:val="18"/>
        </w:rPr>
        <w:t>configuration has been arrived at by ending the </w:t>
      </w:r>
      <w:r>
        <w:rPr>
          <w:color w:val="231F20"/>
          <w:spacing w:val="2"/>
          <w:w w:val="110"/>
          <w:sz w:val="18"/>
        </w:rPr>
        <w:t>posts </w:t>
      </w:r>
      <w:r>
        <w:rPr>
          <w:color w:val="231F20"/>
          <w:w w:val="110"/>
          <w:sz w:val="18"/>
        </w:rPr>
        <w:t>of  </w:t>
      </w:r>
      <w:r>
        <w:rPr>
          <w:color w:val="231F20"/>
          <w:spacing w:val="3"/>
          <w:w w:val="110"/>
          <w:sz w:val="18"/>
        </w:rPr>
        <w:t>Secretary </w:t>
      </w:r>
      <w:r>
        <w:rPr>
          <w:color w:val="231F20"/>
          <w:w w:val="110"/>
          <w:sz w:val="18"/>
        </w:rPr>
        <w:t>for Life &amp; Witness and </w:t>
      </w:r>
      <w:r>
        <w:rPr>
          <w:color w:val="231F20"/>
          <w:spacing w:val="3"/>
          <w:w w:val="110"/>
          <w:sz w:val="18"/>
        </w:rPr>
        <w:t>Secretary </w:t>
      </w:r>
      <w:r>
        <w:rPr>
          <w:color w:val="231F20"/>
          <w:w w:val="110"/>
          <w:sz w:val="18"/>
        </w:rPr>
        <w:t>for International Relations and re-designating the International Relations Programme </w:t>
      </w:r>
      <w:r>
        <w:rPr>
          <w:color w:val="231F20"/>
          <w:spacing w:val="2"/>
          <w:w w:val="110"/>
          <w:sz w:val="18"/>
        </w:rPr>
        <w:t>Officer </w:t>
      </w:r>
      <w:r>
        <w:rPr>
          <w:color w:val="231F20"/>
          <w:w w:val="110"/>
          <w:sz w:val="18"/>
        </w:rPr>
        <w:t>post as an executive position. The support </w:t>
      </w:r>
      <w:r>
        <w:rPr>
          <w:color w:val="231F20"/>
          <w:spacing w:val="3"/>
          <w:w w:val="110"/>
          <w:sz w:val="18"/>
        </w:rPr>
        <w:t>staff </w:t>
      </w:r>
      <w:r>
        <w:rPr>
          <w:color w:val="231F20"/>
          <w:w w:val="110"/>
          <w:sz w:val="18"/>
        </w:rPr>
        <w:t>numbers have been reduced by one through eliminating a vacant position and increasing the hours of some of the remaining </w:t>
      </w:r>
      <w:r>
        <w:rPr>
          <w:color w:val="231F20"/>
          <w:spacing w:val="3"/>
          <w:w w:val="110"/>
          <w:sz w:val="18"/>
        </w:rPr>
        <w:t>staff </w:t>
      </w:r>
      <w:r>
        <w:rPr>
          <w:color w:val="231F20"/>
          <w:w w:val="110"/>
          <w:sz w:val="18"/>
        </w:rPr>
        <w:t>who previously worked part-time, </w:t>
      </w:r>
      <w:r>
        <w:rPr>
          <w:color w:val="231F20"/>
          <w:spacing w:val="2"/>
          <w:w w:val="110"/>
          <w:sz w:val="18"/>
        </w:rPr>
        <w:t>effecting </w:t>
      </w:r>
      <w:r>
        <w:rPr>
          <w:color w:val="231F20"/>
          <w:w w:val="110"/>
          <w:sz w:val="18"/>
        </w:rPr>
        <w:t>an overall</w:t>
      </w:r>
      <w:r>
        <w:rPr>
          <w:color w:val="231F20"/>
          <w:spacing w:val="1"/>
          <w:w w:val="110"/>
          <w:sz w:val="18"/>
        </w:rPr>
        <w:t> </w:t>
      </w:r>
      <w:r>
        <w:rPr>
          <w:color w:val="231F20"/>
          <w:w w:val="110"/>
          <w:sz w:val="18"/>
        </w:rPr>
        <w:t>saving.</w:t>
      </w:r>
    </w:p>
    <w:p>
      <w:pPr>
        <w:pStyle w:val="BodyText"/>
        <w:spacing w:before="10"/>
        <w:rPr>
          <w:sz w:val="20"/>
        </w:rPr>
      </w:pPr>
    </w:p>
    <w:p>
      <w:pPr>
        <w:pStyle w:val="ListParagraph"/>
        <w:numPr>
          <w:ilvl w:val="2"/>
          <w:numId w:val="1"/>
        </w:numPr>
        <w:tabs>
          <w:tab w:pos="1393" w:val="left" w:leader="none"/>
          <w:tab w:pos="1394" w:val="left" w:leader="none"/>
        </w:tabs>
        <w:spacing w:line="273" w:lineRule="auto" w:before="0" w:after="0"/>
        <w:ind w:left="673" w:right="1631" w:firstLine="0"/>
        <w:jc w:val="left"/>
        <w:rPr>
          <w:color w:val="231F20"/>
          <w:sz w:val="18"/>
        </w:rPr>
      </w:pPr>
      <w:r>
        <w:rPr>
          <w:color w:val="231F20"/>
          <w:w w:val="110"/>
          <w:sz w:val="18"/>
        </w:rPr>
        <w:t>The executive </w:t>
      </w:r>
      <w:r>
        <w:rPr>
          <w:color w:val="231F20"/>
          <w:spacing w:val="3"/>
          <w:w w:val="110"/>
          <w:sz w:val="18"/>
        </w:rPr>
        <w:t>staff </w:t>
      </w:r>
      <w:r>
        <w:rPr>
          <w:color w:val="231F20"/>
          <w:w w:val="110"/>
          <w:sz w:val="18"/>
        </w:rPr>
        <w:t>team will meet regularly (initially fortnightly or even weekly  and </w:t>
      </w:r>
      <w:r>
        <w:rPr>
          <w:color w:val="231F20"/>
          <w:spacing w:val="-3"/>
          <w:w w:val="110"/>
          <w:sz w:val="18"/>
        </w:rPr>
        <w:t>later, </w:t>
      </w:r>
      <w:r>
        <w:rPr>
          <w:color w:val="231F20"/>
          <w:w w:val="110"/>
          <w:sz w:val="18"/>
        </w:rPr>
        <w:t>approximately every 4 weeks) to coordinate their activities and to avoid </w:t>
      </w:r>
      <w:r>
        <w:rPr>
          <w:color w:val="231F20"/>
          <w:spacing w:val="2"/>
          <w:w w:val="110"/>
          <w:sz w:val="18"/>
        </w:rPr>
        <w:t>unnecessary </w:t>
      </w:r>
      <w:r>
        <w:rPr>
          <w:color w:val="231F20"/>
          <w:w w:val="110"/>
          <w:sz w:val="18"/>
        </w:rPr>
        <w:t>duplication of work.  </w:t>
      </w:r>
      <w:r>
        <w:rPr>
          <w:color w:val="231F20"/>
          <w:spacing w:val="-3"/>
          <w:w w:val="110"/>
          <w:sz w:val="18"/>
        </w:rPr>
        <w:t>Together, </w:t>
      </w:r>
      <w:r>
        <w:rPr>
          <w:color w:val="231F20"/>
          <w:w w:val="110"/>
          <w:sz w:val="18"/>
        </w:rPr>
        <w:t>under the leadership of the General  Secretary, they will determine how the work allocated to them by the Committee is taken </w:t>
      </w:r>
      <w:r>
        <w:rPr>
          <w:color w:val="231F20"/>
          <w:spacing w:val="2"/>
          <w:w w:val="110"/>
          <w:sz w:val="18"/>
        </w:rPr>
        <w:t>forward </w:t>
      </w:r>
      <w:r>
        <w:rPr>
          <w:color w:val="231F20"/>
          <w:w w:val="110"/>
          <w:sz w:val="18"/>
        </w:rPr>
        <w:t>and </w:t>
      </w:r>
      <w:r>
        <w:rPr>
          <w:color w:val="231F20"/>
          <w:spacing w:val="2"/>
          <w:w w:val="110"/>
          <w:sz w:val="18"/>
        </w:rPr>
        <w:t>reported </w:t>
      </w:r>
      <w:r>
        <w:rPr>
          <w:color w:val="231F20"/>
          <w:w w:val="110"/>
          <w:sz w:val="18"/>
        </w:rPr>
        <w:t>back and be responsible for the operational</w:t>
      </w:r>
      <w:r>
        <w:rPr>
          <w:color w:val="231F20"/>
          <w:spacing w:val="56"/>
          <w:w w:val="110"/>
          <w:sz w:val="18"/>
        </w:rPr>
        <w:t> </w:t>
      </w:r>
      <w:r>
        <w:rPr>
          <w:color w:val="231F20"/>
          <w:spacing w:val="2"/>
          <w:w w:val="110"/>
          <w:sz w:val="18"/>
        </w:rPr>
        <w:t>effectiveness</w:t>
      </w:r>
    </w:p>
    <w:p>
      <w:pPr>
        <w:pStyle w:val="BodyText"/>
        <w:spacing w:before="3"/>
        <w:ind w:left="673"/>
      </w:pPr>
      <w:r>
        <w:rPr>
          <w:color w:val="231F20"/>
          <w:w w:val="110"/>
        </w:rPr>
        <w:t>of the Mission department.</w:t>
      </w:r>
    </w:p>
    <w:p>
      <w:pPr>
        <w:pStyle w:val="BodyText"/>
        <w:spacing w:before="2"/>
        <w:rPr>
          <w:sz w:val="23"/>
        </w:rPr>
      </w:pPr>
    </w:p>
    <w:p>
      <w:pPr>
        <w:pStyle w:val="ListParagraph"/>
        <w:numPr>
          <w:ilvl w:val="2"/>
          <w:numId w:val="1"/>
        </w:numPr>
        <w:tabs>
          <w:tab w:pos="1393" w:val="left" w:leader="none"/>
          <w:tab w:pos="1394" w:val="left" w:leader="none"/>
        </w:tabs>
        <w:spacing w:line="273" w:lineRule="auto" w:before="0" w:after="0"/>
        <w:ind w:left="673" w:right="1740" w:firstLine="0"/>
        <w:jc w:val="left"/>
        <w:rPr>
          <w:color w:val="231F20"/>
          <w:sz w:val="18"/>
        </w:rPr>
      </w:pPr>
      <w:r>
        <w:rPr>
          <w:color w:val="231F20"/>
          <w:w w:val="110"/>
          <w:sz w:val="18"/>
        </w:rPr>
        <w:t>Their principle working method will be through </w:t>
      </w:r>
      <w:r>
        <w:rPr>
          <w:b/>
          <w:color w:val="231F20"/>
          <w:w w:val="110"/>
          <w:sz w:val="18"/>
        </w:rPr>
        <w:t>synod and locally-based networks</w:t>
      </w:r>
      <w:r>
        <w:rPr>
          <w:b/>
          <w:color w:val="231F20"/>
          <w:spacing w:val="-3"/>
          <w:w w:val="110"/>
          <w:sz w:val="18"/>
        </w:rPr>
        <w:t> </w:t>
      </w:r>
      <w:r>
        <w:rPr>
          <w:color w:val="231F20"/>
          <w:w w:val="110"/>
          <w:sz w:val="18"/>
        </w:rPr>
        <w:t>to</w:t>
      </w:r>
      <w:r>
        <w:rPr>
          <w:color w:val="231F20"/>
          <w:spacing w:val="-7"/>
          <w:w w:val="110"/>
          <w:sz w:val="18"/>
        </w:rPr>
        <w:t> </w:t>
      </w:r>
      <w:r>
        <w:rPr>
          <w:color w:val="231F20"/>
          <w:w w:val="110"/>
          <w:sz w:val="18"/>
        </w:rPr>
        <w:t>ensure</w:t>
      </w:r>
      <w:r>
        <w:rPr>
          <w:color w:val="231F20"/>
          <w:spacing w:val="-6"/>
          <w:w w:val="110"/>
          <w:sz w:val="18"/>
        </w:rPr>
        <w:t> </w:t>
      </w:r>
      <w:r>
        <w:rPr>
          <w:color w:val="231F20"/>
          <w:w w:val="110"/>
          <w:sz w:val="18"/>
        </w:rPr>
        <w:t>continual</w:t>
      </w:r>
      <w:r>
        <w:rPr>
          <w:color w:val="231F20"/>
          <w:spacing w:val="-7"/>
          <w:w w:val="110"/>
          <w:sz w:val="18"/>
        </w:rPr>
        <w:t> </w:t>
      </w:r>
      <w:r>
        <w:rPr>
          <w:color w:val="231F20"/>
          <w:w w:val="110"/>
          <w:sz w:val="18"/>
        </w:rPr>
        <w:t>local/central</w:t>
      </w:r>
      <w:r>
        <w:rPr>
          <w:color w:val="231F20"/>
          <w:spacing w:val="-6"/>
          <w:w w:val="110"/>
          <w:sz w:val="18"/>
        </w:rPr>
        <w:t> </w:t>
      </w:r>
      <w:r>
        <w:rPr>
          <w:color w:val="231F20"/>
          <w:w w:val="110"/>
          <w:sz w:val="18"/>
        </w:rPr>
        <w:t>feedback,</w:t>
      </w:r>
      <w:r>
        <w:rPr>
          <w:color w:val="231F20"/>
          <w:spacing w:val="-7"/>
          <w:w w:val="110"/>
          <w:sz w:val="18"/>
        </w:rPr>
        <w:t> </w:t>
      </w:r>
      <w:r>
        <w:rPr>
          <w:color w:val="231F20"/>
          <w:w w:val="110"/>
          <w:sz w:val="18"/>
        </w:rPr>
        <w:t>and</w:t>
      </w:r>
      <w:r>
        <w:rPr>
          <w:color w:val="231F20"/>
          <w:spacing w:val="-6"/>
          <w:w w:val="110"/>
          <w:sz w:val="18"/>
        </w:rPr>
        <w:t> </w:t>
      </w:r>
      <w:r>
        <w:rPr>
          <w:color w:val="231F20"/>
          <w:w w:val="110"/>
          <w:sz w:val="18"/>
        </w:rPr>
        <w:t>allow</w:t>
      </w:r>
      <w:r>
        <w:rPr>
          <w:color w:val="231F20"/>
          <w:spacing w:val="-7"/>
          <w:w w:val="110"/>
          <w:sz w:val="18"/>
        </w:rPr>
        <w:t> </w:t>
      </w:r>
      <w:r>
        <w:rPr>
          <w:color w:val="231F20"/>
          <w:w w:val="110"/>
          <w:sz w:val="18"/>
        </w:rPr>
        <w:t>the</w:t>
      </w:r>
      <w:r>
        <w:rPr>
          <w:color w:val="231F20"/>
          <w:spacing w:val="-7"/>
          <w:w w:val="110"/>
          <w:sz w:val="18"/>
        </w:rPr>
        <w:t> </w:t>
      </w:r>
      <w:r>
        <w:rPr>
          <w:color w:val="231F20"/>
          <w:w w:val="110"/>
          <w:sz w:val="18"/>
        </w:rPr>
        <w:t>experience</w:t>
      </w:r>
      <w:r>
        <w:rPr>
          <w:color w:val="231F20"/>
          <w:spacing w:val="-6"/>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6"/>
          <w:w w:val="110"/>
          <w:sz w:val="18"/>
        </w:rPr>
        <w:t> </w:t>
      </w:r>
      <w:r>
        <w:rPr>
          <w:color w:val="231F20"/>
          <w:w w:val="110"/>
          <w:sz w:val="18"/>
        </w:rPr>
        <w:t>local church</w:t>
      </w:r>
      <w:r>
        <w:rPr>
          <w:color w:val="231F20"/>
          <w:spacing w:val="-5"/>
          <w:w w:val="110"/>
          <w:sz w:val="18"/>
        </w:rPr>
        <w:t> </w:t>
      </w:r>
      <w:r>
        <w:rPr>
          <w:color w:val="231F20"/>
          <w:w w:val="110"/>
          <w:sz w:val="18"/>
        </w:rPr>
        <w:t>to</w:t>
      </w:r>
      <w:r>
        <w:rPr>
          <w:color w:val="231F20"/>
          <w:spacing w:val="-5"/>
          <w:w w:val="110"/>
          <w:sz w:val="18"/>
        </w:rPr>
        <w:t> </w:t>
      </w:r>
      <w:r>
        <w:rPr>
          <w:color w:val="231F20"/>
          <w:w w:val="110"/>
          <w:sz w:val="18"/>
        </w:rPr>
        <w:t>inform</w:t>
      </w:r>
      <w:r>
        <w:rPr>
          <w:color w:val="231F20"/>
          <w:spacing w:val="-5"/>
          <w:w w:val="110"/>
          <w:sz w:val="18"/>
        </w:rPr>
        <w:t> </w:t>
      </w:r>
      <w:r>
        <w:rPr>
          <w:color w:val="231F20"/>
          <w:w w:val="110"/>
          <w:sz w:val="18"/>
        </w:rPr>
        <w:t>the</w:t>
      </w:r>
      <w:r>
        <w:rPr>
          <w:color w:val="231F20"/>
          <w:spacing w:val="-4"/>
          <w:w w:val="110"/>
          <w:sz w:val="18"/>
        </w:rPr>
        <w:t> </w:t>
      </w:r>
      <w:r>
        <w:rPr>
          <w:color w:val="231F20"/>
          <w:w w:val="110"/>
          <w:sz w:val="18"/>
        </w:rPr>
        <w:t>priorities</w:t>
      </w:r>
      <w:r>
        <w:rPr>
          <w:color w:val="231F20"/>
          <w:spacing w:val="-5"/>
          <w:w w:val="110"/>
          <w:sz w:val="18"/>
        </w:rPr>
        <w:t> </w:t>
      </w:r>
      <w:r>
        <w:rPr>
          <w:color w:val="231F20"/>
          <w:w w:val="110"/>
          <w:sz w:val="18"/>
        </w:rPr>
        <w:t>of</w:t>
      </w:r>
      <w:r>
        <w:rPr>
          <w:color w:val="231F20"/>
          <w:spacing w:val="-5"/>
          <w:w w:val="110"/>
          <w:sz w:val="18"/>
        </w:rPr>
        <w:t> </w:t>
      </w:r>
      <w:r>
        <w:rPr>
          <w:color w:val="231F20"/>
          <w:w w:val="110"/>
          <w:sz w:val="18"/>
        </w:rPr>
        <w:t>the</w:t>
      </w:r>
      <w:r>
        <w:rPr>
          <w:color w:val="231F20"/>
          <w:spacing w:val="-4"/>
          <w:w w:val="110"/>
          <w:sz w:val="18"/>
        </w:rPr>
        <w:t> </w:t>
      </w:r>
      <w:r>
        <w:rPr>
          <w:color w:val="231F20"/>
          <w:w w:val="110"/>
          <w:sz w:val="18"/>
        </w:rPr>
        <w:t>Mission</w:t>
      </w:r>
      <w:r>
        <w:rPr>
          <w:color w:val="231F20"/>
          <w:spacing w:val="-5"/>
          <w:w w:val="110"/>
          <w:sz w:val="18"/>
        </w:rPr>
        <w:t> </w:t>
      </w:r>
      <w:r>
        <w:rPr>
          <w:color w:val="231F20"/>
          <w:w w:val="110"/>
          <w:sz w:val="18"/>
        </w:rPr>
        <w:t>Committee.</w:t>
      </w:r>
      <w:r>
        <w:rPr>
          <w:color w:val="231F20"/>
          <w:spacing w:val="-5"/>
          <w:w w:val="110"/>
          <w:sz w:val="18"/>
        </w:rPr>
        <w:t> </w:t>
      </w:r>
      <w:r>
        <w:rPr>
          <w:color w:val="231F20"/>
          <w:w w:val="110"/>
          <w:sz w:val="18"/>
        </w:rPr>
        <w:t>As</w:t>
      </w:r>
      <w:r>
        <w:rPr>
          <w:color w:val="231F20"/>
          <w:spacing w:val="-4"/>
          <w:w w:val="110"/>
          <w:sz w:val="18"/>
        </w:rPr>
        <w:t> </w:t>
      </w:r>
      <w:r>
        <w:rPr>
          <w:color w:val="231F20"/>
          <w:w w:val="110"/>
          <w:sz w:val="18"/>
        </w:rPr>
        <w:t>of</w:t>
      </w:r>
      <w:r>
        <w:rPr>
          <w:color w:val="231F20"/>
          <w:spacing w:val="-5"/>
          <w:w w:val="110"/>
          <w:sz w:val="18"/>
        </w:rPr>
        <w:t> </w:t>
      </w:r>
      <w:r>
        <w:rPr>
          <w:color w:val="231F20"/>
          <w:w w:val="110"/>
          <w:sz w:val="18"/>
        </w:rPr>
        <w:t>now</w:t>
      </w:r>
      <w:r>
        <w:rPr>
          <w:color w:val="231F20"/>
          <w:spacing w:val="-5"/>
          <w:w w:val="110"/>
          <w:sz w:val="18"/>
        </w:rPr>
        <w:t> </w:t>
      </w:r>
      <w:r>
        <w:rPr>
          <w:color w:val="231F20"/>
          <w:w w:val="110"/>
          <w:sz w:val="18"/>
        </w:rPr>
        <w:t>these</w:t>
      </w:r>
      <w:r>
        <w:rPr>
          <w:color w:val="231F20"/>
          <w:spacing w:val="-4"/>
          <w:w w:val="110"/>
          <w:sz w:val="18"/>
        </w:rPr>
        <w:t> </w:t>
      </w:r>
      <w:r>
        <w:rPr>
          <w:color w:val="231F20"/>
          <w:w w:val="110"/>
          <w:sz w:val="18"/>
        </w:rPr>
        <w:t>networks</w:t>
      </w:r>
      <w:r>
        <w:rPr>
          <w:color w:val="231F20"/>
          <w:spacing w:val="-5"/>
          <w:w w:val="110"/>
          <w:sz w:val="18"/>
        </w:rPr>
        <w:t> </w:t>
      </w:r>
      <w:r>
        <w:rPr>
          <w:color w:val="231F20"/>
          <w:spacing w:val="-3"/>
          <w:w w:val="110"/>
          <w:sz w:val="18"/>
        </w:rPr>
        <w:t>are:</w:t>
      </w:r>
    </w:p>
    <w:p>
      <w:pPr>
        <w:pStyle w:val="BodyText"/>
        <w:spacing w:before="2"/>
      </w:pP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Mission Enablers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Ecumenical </w:t>
      </w:r>
      <w:r>
        <w:rPr>
          <w:color w:val="231F20"/>
          <w:spacing w:val="3"/>
          <w:w w:val="110"/>
          <w:sz w:val="18"/>
        </w:rPr>
        <w:t>Officers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i/>
          <w:color w:val="231F20"/>
          <w:w w:val="110"/>
          <w:sz w:val="18"/>
        </w:rPr>
        <w:t>Commitment for Life</w:t>
      </w:r>
      <w:r>
        <w:rPr>
          <w:i/>
          <w:color w:val="231F20"/>
          <w:spacing w:val="2"/>
          <w:w w:val="110"/>
          <w:sz w:val="18"/>
        </w:rPr>
        <w:t> </w:t>
      </w:r>
      <w:r>
        <w:rPr>
          <w:color w:val="231F20"/>
          <w:w w:val="110"/>
          <w:sz w:val="18"/>
        </w:rPr>
        <w:t>Advocates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Church &amp; </w:t>
      </w:r>
      <w:r>
        <w:rPr>
          <w:color w:val="231F20"/>
          <w:spacing w:val="2"/>
          <w:w w:val="110"/>
          <w:sz w:val="18"/>
        </w:rPr>
        <w:t>Society</w:t>
      </w:r>
      <w:r>
        <w:rPr>
          <w:color w:val="231F20"/>
          <w:spacing w:val="3"/>
          <w:w w:val="110"/>
          <w:sz w:val="18"/>
        </w:rPr>
        <w:t> </w:t>
      </w:r>
      <w:r>
        <w:rPr>
          <w:color w:val="231F20"/>
          <w:w w:val="110"/>
          <w:sz w:val="18"/>
        </w:rPr>
        <w:t>network</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URC Peace</w:t>
      </w:r>
      <w:r>
        <w:rPr>
          <w:color w:val="231F20"/>
          <w:spacing w:val="1"/>
          <w:w w:val="110"/>
          <w:sz w:val="18"/>
        </w:rPr>
        <w:t> </w:t>
      </w:r>
      <w:r>
        <w:rPr>
          <w:color w:val="231F20"/>
          <w:w w:val="110"/>
          <w:sz w:val="18"/>
        </w:rPr>
        <w:t>Fellowship</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Creation Challenge (URC/Methodist environmental</w:t>
      </w:r>
      <w:r>
        <w:rPr>
          <w:color w:val="231F20"/>
          <w:spacing w:val="9"/>
          <w:w w:val="110"/>
          <w:sz w:val="18"/>
        </w:rPr>
        <w:t> </w:t>
      </w:r>
      <w:r>
        <w:rPr>
          <w:color w:val="231F20"/>
          <w:w w:val="110"/>
          <w:sz w:val="18"/>
        </w:rPr>
        <w:t>network)</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Health &amp; Healing</w:t>
      </w:r>
      <w:r>
        <w:rPr>
          <w:color w:val="231F20"/>
          <w:spacing w:val="3"/>
          <w:w w:val="110"/>
          <w:sz w:val="18"/>
        </w:rPr>
        <w:t> </w:t>
      </w:r>
      <w:r>
        <w:rPr>
          <w:color w:val="231F20"/>
          <w:w w:val="110"/>
          <w:sz w:val="18"/>
        </w:rPr>
        <w:t>network</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Racial Justice &amp; Multicultural Ministry</w:t>
      </w:r>
      <w:r>
        <w:rPr>
          <w:color w:val="231F20"/>
          <w:spacing w:val="13"/>
          <w:w w:val="110"/>
          <w:sz w:val="18"/>
        </w:rPr>
        <w:t> </w:t>
      </w:r>
      <w:r>
        <w:rPr>
          <w:color w:val="231F20"/>
          <w:w w:val="110"/>
          <w:sz w:val="18"/>
        </w:rPr>
        <w:t>Advocates/Coordinators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Minority Ethnic</w:t>
      </w:r>
      <w:r>
        <w:rPr>
          <w:color w:val="231F20"/>
          <w:spacing w:val="2"/>
          <w:w w:val="110"/>
          <w:sz w:val="18"/>
        </w:rPr>
        <w:t> </w:t>
      </w:r>
      <w:r>
        <w:rPr>
          <w:color w:val="231F20"/>
          <w:w w:val="110"/>
          <w:sz w:val="18"/>
        </w:rPr>
        <w:t>Conferences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Ethnic Minority Lay &amp; ordained Ministers’</w:t>
      </w:r>
      <w:r>
        <w:rPr>
          <w:color w:val="231F20"/>
          <w:spacing w:val="13"/>
          <w:w w:val="110"/>
          <w:sz w:val="18"/>
        </w:rPr>
        <w:t> </w:t>
      </w:r>
      <w:r>
        <w:rPr>
          <w:color w:val="231F20"/>
          <w:w w:val="110"/>
          <w:sz w:val="18"/>
        </w:rPr>
        <w:t>Association</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i/>
          <w:color w:val="231F20"/>
          <w:w w:val="110"/>
          <w:sz w:val="18"/>
        </w:rPr>
        <w:t>Belonging to the World Church</w:t>
      </w:r>
      <w:r>
        <w:rPr>
          <w:i/>
          <w:color w:val="231F20"/>
          <w:spacing w:val="7"/>
          <w:w w:val="110"/>
          <w:sz w:val="18"/>
        </w:rPr>
        <w:t> </w:t>
      </w:r>
      <w:r>
        <w:rPr>
          <w:color w:val="231F20"/>
          <w:w w:val="110"/>
          <w:sz w:val="18"/>
        </w:rPr>
        <w:t>Advocates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European Partnership</w:t>
      </w:r>
      <w:r>
        <w:rPr>
          <w:color w:val="231F20"/>
          <w:spacing w:val="3"/>
          <w:w w:val="110"/>
          <w:sz w:val="18"/>
        </w:rPr>
        <w:t> </w:t>
      </w:r>
      <w:r>
        <w:rPr>
          <w:color w:val="231F20"/>
          <w:w w:val="110"/>
          <w:sz w:val="18"/>
        </w:rPr>
        <w:t>Coordinators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Global Partner</w:t>
      </w:r>
      <w:r>
        <w:rPr>
          <w:color w:val="231F20"/>
          <w:spacing w:val="2"/>
          <w:w w:val="110"/>
          <w:sz w:val="18"/>
        </w:rPr>
        <w:t> </w:t>
      </w:r>
      <w:r>
        <w:rPr>
          <w:color w:val="231F20"/>
          <w:w w:val="110"/>
          <w:sz w:val="18"/>
        </w:rPr>
        <w:t>Coordinators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Inter Faith Relations</w:t>
      </w:r>
      <w:r>
        <w:rPr>
          <w:color w:val="231F20"/>
          <w:spacing w:val="3"/>
          <w:w w:val="110"/>
          <w:sz w:val="18"/>
        </w:rPr>
        <w:t> </w:t>
      </w:r>
      <w:r>
        <w:rPr>
          <w:color w:val="231F20"/>
          <w:w w:val="110"/>
          <w:sz w:val="18"/>
        </w:rPr>
        <w:t>Advocates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Silence &amp; Retreats</w:t>
      </w:r>
      <w:r>
        <w:rPr>
          <w:color w:val="231F20"/>
          <w:spacing w:val="3"/>
          <w:w w:val="110"/>
          <w:sz w:val="18"/>
        </w:rPr>
        <w:t> </w:t>
      </w:r>
      <w:r>
        <w:rPr>
          <w:color w:val="231F20"/>
          <w:w w:val="110"/>
          <w:sz w:val="18"/>
        </w:rPr>
        <w:t>network</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Synod Rural Link</w:t>
      </w:r>
      <w:r>
        <w:rPr>
          <w:color w:val="231F20"/>
          <w:spacing w:val="3"/>
          <w:w w:val="110"/>
          <w:sz w:val="18"/>
        </w:rPr>
        <w:t> </w:t>
      </w:r>
      <w:r>
        <w:rPr>
          <w:color w:val="231F20"/>
          <w:w w:val="110"/>
          <w:sz w:val="18"/>
        </w:rPr>
        <w:t>People</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Community Mission &amp; Ministry</w:t>
      </w:r>
      <w:r>
        <w:rPr>
          <w:color w:val="231F20"/>
          <w:spacing w:val="6"/>
          <w:w w:val="110"/>
          <w:sz w:val="18"/>
        </w:rPr>
        <w:t> </w:t>
      </w:r>
      <w:r>
        <w:rPr>
          <w:color w:val="231F20"/>
          <w:w w:val="110"/>
          <w:sz w:val="18"/>
        </w:rPr>
        <w:t>network.</w:t>
      </w:r>
    </w:p>
    <w:p>
      <w:pPr>
        <w:pStyle w:val="ListParagraph"/>
        <w:numPr>
          <w:ilvl w:val="2"/>
          <w:numId w:val="1"/>
        </w:numPr>
        <w:tabs>
          <w:tab w:pos="1393" w:val="left" w:leader="none"/>
          <w:tab w:pos="1394" w:val="left" w:leader="none"/>
        </w:tabs>
        <w:spacing w:line="273" w:lineRule="auto" w:before="226" w:after="0"/>
        <w:ind w:left="673" w:right="1728" w:firstLine="0"/>
        <w:jc w:val="left"/>
        <w:rPr>
          <w:color w:val="231F20"/>
          <w:sz w:val="18"/>
        </w:rPr>
      </w:pPr>
      <w:r>
        <w:rPr>
          <w:color w:val="231F20"/>
          <w:w w:val="110"/>
          <w:sz w:val="18"/>
        </w:rPr>
        <w:t>With greater emphasis being placed on networking some initial work will be required to </w:t>
      </w:r>
      <w:r>
        <w:rPr>
          <w:color w:val="231F20"/>
          <w:spacing w:val="2"/>
          <w:w w:val="110"/>
          <w:sz w:val="18"/>
        </w:rPr>
        <w:t>clarify </w:t>
      </w:r>
      <w:r>
        <w:rPr>
          <w:color w:val="231F20"/>
          <w:w w:val="110"/>
          <w:sz w:val="18"/>
        </w:rPr>
        <w:t>their purpose, the roles of those who </w:t>
      </w:r>
      <w:r>
        <w:rPr>
          <w:color w:val="231F20"/>
          <w:spacing w:val="2"/>
          <w:w w:val="110"/>
          <w:sz w:val="18"/>
        </w:rPr>
        <w:t>serve </w:t>
      </w:r>
      <w:r>
        <w:rPr>
          <w:color w:val="231F20"/>
          <w:w w:val="110"/>
          <w:sz w:val="18"/>
        </w:rPr>
        <w:t>in them, and the way they are managed and led.   </w:t>
      </w:r>
      <w:r>
        <w:rPr>
          <w:color w:val="231F20"/>
          <w:spacing w:val="2"/>
          <w:w w:val="110"/>
          <w:sz w:val="18"/>
        </w:rPr>
        <w:t>As </w:t>
      </w:r>
      <w:r>
        <w:rPr>
          <w:color w:val="231F20"/>
          <w:w w:val="110"/>
          <w:sz w:val="18"/>
        </w:rPr>
        <w:t>is presently the </w:t>
      </w:r>
      <w:r>
        <w:rPr>
          <w:color w:val="231F20"/>
          <w:spacing w:val="2"/>
          <w:w w:val="110"/>
          <w:sz w:val="18"/>
        </w:rPr>
        <w:t>case </w:t>
      </w:r>
      <w:r>
        <w:rPr>
          <w:color w:val="231F20"/>
          <w:w w:val="110"/>
          <w:sz w:val="18"/>
        </w:rPr>
        <w:t>there will need to be some </w:t>
      </w:r>
      <w:r>
        <w:rPr>
          <w:color w:val="231F20"/>
          <w:spacing w:val="2"/>
          <w:w w:val="110"/>
          <w:sz w:val="18"/>
        </w:rPr>
        <w:t>asymmetry </w:t>
      </w:r>
      <w:r>
        <w:rPr>
          <w:color w:val="231F20"/>
          <w:spacing w:val="73"/>
          <w:w w:val="110"/>
          <w:sz w:val="18"/>
        </w:rPr>
        <w:t> </w:t>
      </w:r>
      <w:r>
        <w:rPr>
          <w:color w:val="231F20"/>
          <w:w w:val="110"/>
          <w:sz w:val="18"/>
        </w:rPr>
        <w:t>in their design, for what works for one synod may not work for another and what is appropriate for one network may be ill-suited to others.  Accordingly, as </w:t>
      </w:r>
      <w:r>
        <w:rPr>
          <w:color w:val="231F20"/>
          <w:spacing w:val="2"/>
          <w:w w:val="110"/>
          <w:sz w:val="18"/>
        </w:rPr>
        <w:t>networks  </w:t>
      </w:r>
      <w:r>
        <w:rPr>
          <w:color w:val="231F20"/>
          <w:w w:val="110"/>
          <w:sz w:val="18"/>
        </w:rPr>
        <w:t>assume greater significance there should be an ongoing dialogue with synods</w:t>
      </w:r>
      <w:r>
        <w:rPr>
          <w:color w:val="231F20"/>
          <w:spacing w:val="6"/>
          <w:w w:val="110"/>
          <w:sz w:val="18"/>
        </w:rPr>
        <w:t> </w:t>
      </w:r>
      <w:r>
        <w:rPr>
          <w:color w:val="231F20"/>
          <w:w w:val="110"/>
          <w:sz w:val="18"/>
        </w:rPr>
        <w:t>and</w:t>
      </w:r>
    </w:p>
    <w:p>
      <w:pPr>
        <w:pStyle w:val="BodyText"/>
        <w:spacing w:line="273" w:lineRule="auto" w:before="4"/>
        <w:ind w:left="673" w:right="1593"/>
      </w:pPr>
      <w:r>
        <w:rPr>
          <w:color w:val="231F20"/>
          <w:w w:val="110"/>
        </w:rPr>
        <w:t>Communications on how they could be developed to best effect. By the same token there should be a review of networks in the light of the emerging priorities, considering what networks, working in what ways might best help us to implement them.</w:t>
      </w:r>
    </w:p>
    <w:p>
      <w:pPr>
        <w:pStyle w:val="BodyText"/>
        <w:spacing w:before="9"/>
        <w:rPr>
          <w:sz w:val="20"/>
        </w:rPr>
      </w:pPr>
    </w:p>
    <w:p>
      <w:pPr>
        <w:pStyle w:val="ListParagraph"/>
        <w:numPr>
          <w:ilvl w:val="2"/>
          <w:numId w:val="1"/>
        </w:numPr>
        <w:tabs>
          <w:tab w:pos="1393" w:val="left" w:leader="none"/>
          <w:tab w:pos="1394" w:val="left" w:leader="none"/>
        </w:tabs>
        <w:spacing w:line="273" w:lineRule="auto" w:before="0" w:after="0"/>
        <w:ind w:left="673" w:right="1763" w:hanging="1"/>
        <w:jc w:val="left"/>
        <w:rPr>
          <w:color w:val="231F20"/>
          <w:sz w:val="18"/>
        </w:rPr>
      </w:pPr>
      <w:r>
        <w:rPr>
          <w:color w:val="231F20"/>
          <w:w w:val="110"/>
          <w:sz w:val="18"/>
        </w:rPr>
        <w:t>The emphasis on </w:t>
      </w:r>
      <w:r>
        <w:rPr>
          <w:color w:val="231F20"/>
          <w:spacing w:val="2"/>
          <w:w w:val="110"/>
          <w:sz w:val="18"/>
        </w:rPr>
        <w:t>networks </w:t>
      </w:r>
      <w:r>
        <w:rPr>
          <w:color w:val="231F20"/>
          <w:w w:val="110"/>
          <w:sz w:val="18"/>
        </w:rPr>
        <w:t>and consulting is a deliberate attempt to build a more dynamic relationship between the Assembly operation and local church life, giving new meaning</w:t>
      </w:r>
      <w:r>
        <w:rPr>
          <w:color w:val="231F20"/>
          <w:spacing w:val="8"/>
          <w:w w:val="110"/>
          <w:sz w:val="18"/>
        </w:rPr>
        <w:t> </w:t>
      </w:r>
      <w:r>
        <w:rPr>
          <w:color w:val="231F20"/>
          <w:w w:val="110"/>
          <w:sz w:val="18"/>
        </w:rPr>
        <w:t>and</w:t>
      </w:r>
      <w:r>
        <w:rPr>
          <w:color w:val="231F20"/>
          <w:spacing w:val="9"/>
          <w:w w:val="110"/>
          <w:sz w:val="18"/>
        </w:rPr>
        <w:t> </w:t>
      </w:r>
      <w:r>
        <w:rPr>
          <w:color w:val="231F20"/>
          <w:w w:val="110"/>
          <w:sz w:val="18"/>
        </w:rPr>
        <w:t>a</w:t>
      </w:r>
      <w:r>
        <w:rPr>
          <w:color w:val="231F20"/>
          <w:spacing w:val="9"/>
          <w:w w:val="110"/>
          <w:sz w:val="18"/>
        </w:rPr>
        <w:t> </w:t>
      </w:r>
      <w:r>
        <w:rPr>
          <w:color w:val="231F20"/>
          <w:spacing w:val="2"/>
          <w:w w:val="110"/>
          <w:sz w:val="18"/>
        </w:rPr>
        <w:t>fresh</w:t>
      </w:r>
      <w:r>
        <w:rPr>
          <w:color w:val="231F20"/>
          <w:spacing w:val="9"/>
          <w:w w:val="110"/>
          <w:sz w:val="18"/>
        </w:rPr>
        <w:t> </w:t>
      </w:r>
      <w:r>
        <w:rPr>
          <w:color w:val="231F20"/>
          <w:w w:val="110"/>
          <w:sz w:val="18"/>
        </w:rPr>
        <w:t>sense</w:t>
      </w:r>
      <w:r>
        <w:rPr>
          <w:color w:val="231F20"/>
          <w:spacing w:val="9"/>
          <w:w w:val="110"/>
          <w:sz w:val="18"/>
        </w:rPr>
        <w:t> </w:t>
      </w:r>
      <w:r>
        <w:rPr>
          <w:color w:val="231F20"/>
          <w:w w:val="110"/>
          <w:sz w:val="18"/>
        </w:rPr>
        <w:t>of</w:t>
      </w:r>
      <w:r>
        <w:rPr>
          <w:color w:val="231F20"/>
          <w:spacing w:val="9"/>
          <w:w w:val="110"/>
          <w:sz w:val="18"/>
        </w:rPr>
        <w:t> </w:t>
      </w:r>
      <w:r>
        <w:rPr>
          <w:color w:val="231F20"/>
          <w:w w:val="110"/>
          <w:sz w:val="18"/>
        </w:rPr>
        <w:t>purpose</w:t>
      </w:r>
      <w:r>
        <w:rPr>
          <w:color w:val="231F20"/>
          <w:spacing w:val="8"/>
          <w:w w:val="110"/>
          <w:sz w:val="18"/>
        </w:rPr>
        <w:t> </w:t>
      </w:r>
      <w:r>
        <w:rPr>
          <w:color w:val="231F20"/>
          <w:w w:val="110"/>
          <w:sz w:val="18"/>
        </w:rPr>
        <w:t>to</w:t>
      </w:r>
      <w:r>
        <w:rPr>
          <w:color w:val="231F20"/>
          <w:spacing w:val="9"/>
          <w:w w:val="110"/>
          <w:sz w:val="18"/>
        </w:rPr>
        <w:t> </w:t>
      </w:r>
      <w:r>
        <w:rPr>
          <w:color w:val="231F20"/>
          <w:w w:val="110"/>
          <w:sz w:val="18"/>
        </w:rPr>
        <w:t>our</w:t>
      </w:r>
      <w:r>
        <w:rPr>
          <w:color w:val="231F20"/>
          <w:spacing w:val="9"/>
          <w:w w:val="110"/>
          <w:sz w:val="18"/>
        </w:rPr>
        <w:t> </w:t>
      </w:r>
      <w:r>
        <w:rPr>
          <w:color w:val="231F20"/>
          <w:w w:val="110"/>
          <w:sz w:val="18"/>
        </w:rPr>
        <w:t>self-understanding</w:t>
      </w:r>
      <w:r>
        <w:rPr>
          <w:color w:val="231F20"/>
          <w:spacing w:val="9"/>
          <w:w w:val="110"/>
          <w:sz w:val="18"/>
        </w:rPr>
        <w:t> </w:t>
      </w:r>
      <w:r>
        <w:rPr>
          <w:color w:val="231F20"/>
          <w:w w:val="110"/>
          <w:sz w:val="18"/>
        </w:rPr>
        <w:t>as</w:t>
      </w:r>
      <w:r>
        <w:rPr>
          <w:color w:val="231F20"/>
          <w:spacing w:val="9"/>
          <w:w w:val="110"/>
          <w:sz w:val="18"/>
        </w:rPr>
        <w:t> </w:t>
      </w:r>
      <w:r>
        <w:rPr>
          <w:color w:val="231F20"/>
          <w:w w:val="110"/>
          <w:sz w:val="18"/>
        </w:rPr>
        <w:t>a</w:t>
      </w:r>
      <w:r>
        <w:rPr>
          <w:color w:val="231F20"/>
          <w:spacing w:val="9"/>
          <w:w w:val="110"/>
          <w:sz w:val="18"/>
        </w:rPr>
        <w:t> </w:t>
      </w:r>
      <w:r>
        <w:rPr>
          <w:color w:val="231F20"/>
          <w:w w:val="110"/>
          <w:sz w:val="18"/>
        </w:rPr>
        <w:t>conciliar</w:t>
      </w:r>
      <w:r>
        <w:rPr>
          <w:color w:val="231F20"/>
          <w:spacing w:val="9"/>
          <w:w w:val="110"/>
          <w:sz w:val="18"/>
        </w:rPr>
        <w:t> </w:t>
      </w:r>
      <w:r>
        <w:rPr>
          <w:color w:val="231F20"/>
          <w:w w:val="110"/>
          <w:sz w:val="18"/>
        </w:rPr>
        <w:t>church.</w:t>
      </w:r>
    </w:p>
    <w:p>
      <w:pPr>
        <w:pStyle w:val="BodyText"/>
        <w:spacing w:before="8"/>
        <w:rPr>
          <w:sz w:val="20"/>
        </w:rPr>
      </w:pPr>
    </w:p>
    <w:p>
      <w:pPr>
        <w:pStyle w:val="ListParagraph"/>
        <w:numPr>
          <w:ilvl w:val="2"/>
          <w:numId w:val="1"/>
        </w:numPr>
        <w:tabs>
          <w:tab w:pos="1393" w:val="left" w:leader="none"/>
          <w:tab w:pos="1394" w:val="left" w:leader="none"/>
        </w:tabs>
        <w:spacing w:line="240" w:lineRule="auto" w:before="0" w:after="0"/>
        <w:ind w:left="1393" w:right="0" w:hanging="721"/>
        <w:jc w:val="left"/>
        <w:rPr>
          <w:color w:val="231F20"/>
          <w:sz w:val="18"/>
        </w:rPr>
      </w:pPr>
      <w:r>
        <w:rPr>
          <w:color w:val="231F20"/>
          <w:w w:val="110"/>
          <w:sz w:val="18"/>
        </w:rPr>
        <w:t>In</w:t>
      </w:r>
      <w:r>
        <w:rPr>
          <w:color w:val="231F20"/>
          <w:spacing w:val="-6"/>
          <w:w w:val="110"/>
          <w:sz w:val="18"/>
        </w:rPr>
        <w:t> </w:t>
      </w:r>
      <w:r>
        <w:rPr>
          <w:color w:val="231F20"/>
          <w:w w:val="110"/>
          <w:sz w:val="18"/>
        </w:rPr>
        <w:t>addition</w:t>
      </w:r>
      <w:r>
        <w:rPr>
          <w:color w:val="231F20"/>
          <w:spacing w:val="-5"/>
          <w:w w:val="110"/>
          <w:sz w:val="18"/>
        </w:rPr>
        <w:t> </w:t>
      </w:r>
      <w:r>
        <w:rPr>
          <w:color w:val="231F20"/>
          <w:w w:val="110"/>
          <w:sz w:val="18"/>
        </w:rPr>
        <w:t>to</w:t>
      </w:r>
      <w:r>
        <w:rPr>
          <w:color w:val="231F20"/>
          <w:spacing w:val="-5"/>
          <w:w w:val="110"/>
          <w:sz w:val="18"/>
        </w:rPr>
        <w:t> </w:t>
      </w:r>
      <w:r>
        <w:rPr>
          <w:color w:val="231F20"/>
          <w:w w:val="110"/>
          <w:sz w:val="18"/>
        </w:rPr>
        <w:t>the</w:t>
      </w:r>
      <w:r>
        <w:rPr>
          <w:color w:val="231F20"/>
          <w:spacing w:val="-5"/>
          <w:w w:val="110"/>
          <w:sz w:val="18"/>
        </w:rPr>
        <w:t> </w:t>
      </w:r>
      <w:r>
        <w:rPr>
          <w:color w:val="231F20"/>
          <w:w w:val="110"/>
          <w:sz w:val="18"/>
        </w:rPr>
        <w:t>new</w:t>
      </w:r>
      <w:r>
        <w:rPr>
          <w:color w:val="231F20"/>
          <w:spacing w:val="-5"/>
          <w:w w:val="110"/>
          <w:sz w:val="18"/>
        </w:rPr>
        <w:t> </w:t>
      </w:r>
      <w:r>
        <w:rPr>
          <w:color w:val="231F20"/>
          <w:w w:val="110"/>
          <w:sz w:val="18"/>
        </w:rPr>
        <w:t>committee</w:t>
      </w:r>
      <w:r>
        <w:rPr>
          <w:color w:val="231F20"/>
          <w:spacing w:val="-6"/>
          <w:w w:val="110"/>
          <w:sz w:val="18"/>
        </w:rPr>
        <w:t> </w:t>
      </w:r>
      <w:r>
        <w:rPr>
          <w:color w:val="231F20"/>
          <w:w w:val="110"/>
          <w:sz w:val="18"/>
        </w:rPr>
        <w:t>and</w:t>
      </w:r>
      <w:r>
        <w:rPr>
          <w:color w:val="231F20"/>
          <w:spacing w:val="-5"/>
          <w:w w:val="110"/>
          <w:sz w:val="18"/>
        </w:rPr>
        <w:t> </w:t>
      </w:r>
      <w:r>
        <w:rPr>
          <w:color w:val="231F20"/>
          <w:w w:val="110"/>
          <w:sz w:val="18"/>
        </w:rPr>
        <w:t>the</w:t>
      </w:r>
      <w:r>
        <w:rPr>
          <w:color w:val="231F20"/>
          <w:spacing w:val="-5"/>
          <w:w w:val="110"/>
          <w:sz w:val="18"/>
        </w:rPr>
        <w:t> </w:t>
      </w:r>
      <w:r>
        <w:rPr>
          <w:color w:val="231F20"/>
          <w:w w:val="110"/>
          <w:sz w:val="18"/>
        </w:rPr>
        <w:t>networks,</w:t>
      </w:r>
      <w:r>
        <w:rPr>
          <w:color w:val="231F20"/>
          <w:spacing w:val="-5"/>
          <w:w w:val="110"/>
          <w:sz w:val="18"/>
        </w:rPr>
        <w:t> </w:t>
      </w:r>
      <w:r>
        <w:rPr>
          <w:color w:val="231F20"/>
          <w:w w:val="110"/>
          <w:sz w:val="18"/>
        </w:rPr>
        <w:t>two</w:t>
      </w:r>
      <w:r>
        <w:rPr>
          <w:color w:val="231F20"/>
          <w:spacing w:val="-5"/>
          <w:w w:val="110"/>
          <w:sz w:val="18"/>
        </w:rPr>
        <w:t> </w:t>
      </w:r>
      <w:r>
        <w:rPr>
          <w:color w:val="231F20"/>
          <w:w w:val="110"/>
          <w:sz w:val="18"/>
        </w:rPr>
        <w:t>standing</w:t>
      </w:r>
      <w:r>
        <w:rPr>
          <w:color w:val="231F20"/>
          <w:spacing w:val="-5"/>
          <w:w w:val="110"/>
          <w:sz w:val="18"/>
        </w:rPr>
        <w:t> </w:t>
      </w:r>
      <w:r>
        <w:rPr>
          <w:color w:val="231F20"/>
          <w:w w:val="110"/>
          <w:sz w:val="18"/>
        </w:rPr>
        <w:t>groups</w:t>
      </w:r>
      <w:r>
        <w:rPr>
          <w:color w:val="231F20"/>
          <w:spacing w:val="-6"/>
          <w:w w:val="110"/>
          <w:sz w:val="18"/>
        </w:rPr>
        <w:t> </w:t>
      </w:r>
      <w:r>
        <w:rPr>
          <w:color w:val="231F20"/>
          <w:w w:val="110"/>
          <w:sz w:val="18"/>
        </w:rPr>
        <w:t>will</w:t>
      </w:r>
      <w:r>
        <w:rPr>
          <w:color w:val="231F20"/>
          <w:spacing w:val="-5"/>
          <w:w w:val="110"/>
          <w:sz w:val="18"/>
        </w:rPr>
        <w:t> </w:t>
      </w:r>
      <w:r>
        <w:rPr>
          <w:color w:val="231F20"/>
          <w:spacing w:val="-3"/>
          <w:w w:val="110"/>
          <w:sz w:val="18"/>
        </w:rPr>
        <w:t>remain:</w:t>
      </w:r>
    </w:p>
    <w:p>
      <w:pPr>
        <w:pStyle w:val="BodyText"/>
        <w:spacing w:before="7"/>
        <w:rPr>
          <w:sz w:val="21"/>
        </w:rPr>
      </w:pPr>
    </w:p>
    <w:p>
      <w:pPr>
        <w:pStyle w:val="ListParagraph"/>
        <w:numPr>
          <w:ilvl w:val="0"/>
          <w:numId w:val="2"/>
        </w:numPr>
        <w:tabs>
          <w:tab w:pos="1354" w:val="left" w:leader="none"/>
          <w:tab w:pos="1355" w:val="left" w:leader="none"/>
        </w:tabs>
        <w:spacing w:line="250" w:lineRule="exact" w:before="0" w:after="0"/>
        <w:ind w:left="1354" w:right="2056" w:hanging="681"/>
        <w:jc w:val="left"/>
        <w:rPr>
          <w:color w:val="231F20"/>
          <w:sz w:val="25"/>
        </w:rPr>
      </w:pPr>
      <w:r>
        <w:rPr>
          <w:color w:val="231F20"/>
          <w:w w:val="110"/>
          <w:sz w:val="18"/>
        </w:rPr>
        <w:t>The </w:t>
      </w:r>
      <w:r>
        <w:rPr>
          <w:i/>
          <w:color w:val="231F20"/>
          <w:w w:val="110"/>
          <w:sz w:val="18"/>
        </w:rPr>
        <w:t>Commitment for Life </w:t>
      </w:r>
      <w:r>
        <w:rPr>
          <w:color w:val="231F20"/>
          <w:w w:val="110"/>
          <w:sz w:val="18"/>
        </w:rPr>
        <w:t>committee (which is substantially based on the </w:t>
      </w:r>
      <w:r>
        <w:rPr>
          <w:i/>
          <w:color w:val="231F20"/>
          <w:w w:val="110"/>
          <w:sz w:val="18"/>
        </w:rPr>
        <w:t>Commitment for Life </w:t>
      </w:r>
      <w:r>
        <w:rPr>
          <w:color w:val="231F20"/>
          <w:w w:val="110"/>
          <w:sz w:val="18"/>
        </w:rPr>
        <w:t>advocates network) to oversee this independently funded programme of the church;</w:t>
      </w:r>
      <w:r>
        <w:rPr>
          <w:color w:val="231F20"/>
          <w:spacing w:val="5"/>
          <w:w w:val="110"/>
          <w:sz w:val="18"/>
        </w:rPr>
        <w:t> </w:t>
      </w:r>
      <w:r>
        <w:rPr>
          <w:color w:val="231F20"/>
          <w:w w:val="110"/>
          <w:sz w:val="18"/>
        </w:rPr>
        <w:t>and</w:t>
      </w:r>
    </w:p>
    <w:p>
      <w:pPr>
        <w:pStyle w:val="ListParagraph"/>
        <w:numPr>
          <w:ilvl w:val="0"/>
          <w:numId w:val="2"/>
        </w:numPr>
        <w:tabs>
          <w:tab w:pos="1354" w:val="left" w:leader="none"/>
          <w:tab w:pos="1355" w:val="left" w:leader="none"/>
        </w:tabs>
        <w:spacing w:line="250" w:lineRule="exact" w:before="0" w:after="0"/>
        <w:ind w:left="1354" w:right="1996" w:hanging="681"/>
        <w:jc w:val="left"/>
        <w:rPr>
          <w:color w:val="231F20"/>
          <w:sz w:val="25"/>
        </w:rPr>
      </w:pPr>
      <w:r>
        <w:rPr>
          <w:color w:val="231F20"/>
          <w:w w:val="110"/>
          <w:sz w:val="18"/>
        </w:rPr>
        <w:t>The </w:t>
      </w:r>
      <w:r>
        <w:rPr>
          <w:color w:val="231F20"/>
          <w:spacing w:val="2"/>
          <w:w w:val="110"/>
          <w:sz w:val="18"/>
        </w:rPr>
        <w:t>Advisory </w:t>
      </w:r>
      <w:r>
        <w:rPr>
          <w:color w:val="231F20"/>
          <w:w w:val="110"/>
          <w:sz w:val="18"/>
        </w:rPr>
        <w:t>Group on Faith and Order (effectively a network of theologians who advise the </w:t>
      </w:r>
      <w:r>
        <w:rPr>
          <w:color w:val="231F20"/>
          <w:spacing w:val="3"/>
          <w:w w:val="110"/>
          <w:sz w:val="18"/>
        </w:rPr>
        <w:t>Secretary </w:t>
      </w:r>
      <w:r>
        <w:rPr>
          <w:color w:val="231F20"/>
          <w:w w:val="110"/>
          <w:sz w:val="18"/>
        </w:rPr>
        <w:t>for Ecumenical Relations and Faith &amp; Order on United Reformed</w:t>
      </w:r>
      <w:r>
        <w:rPr>
          <w:color w:val="231F20"/>
          <w:spacing w:val="10"/>
          <w:w w:val="110"/>
          <w:sz w:val="18"/>
        </w:rPr>
        <w:t> </w:t>
      </w:r>
      <w:r>
        <w:rPr>
          <w:color w:val="231F20"/>
          <w:w w:val="110"/>
          <w:sz w:val="18"/>
        </w:rPr>
        <w:t>Church</w:t>
      </w:r>
      <w:r>
        <w:rPr>
          <w:color w:val="231F20"/>
          <w:spacing w:val="11"/>
          <w:w w:val="110"/>
          <w:sz w:val="18"/>
        </w:rPr>
        <w:t> </w:t>
      </w:r>
      <w:r>
        <w:rPr>
          <w:color w:val="231F20"/>
          <w:w w:val="110"/>
          <w:sz w:val="18"/>
        </w:rPr>
        <w:t>doctrine</w:t>
      </w:r>
      <w:r>
        <w:rPr>
          <w:color w:val="231F20"/>
          <w:spacing w:val="11"/>
          <w:w w:val="110"/>
          <w:sz w:val="18"/>
        </w:rPr>
        <w:t> </w:t>
      </w:r>
      <w:r>
        <w:rPr>
          <w:color w:val="231F20"/>
          <w:w w:val="110"/>
          <w:sz w:val="18"/>
        </w:rPr>
        <w:t>and</w:t>
      </w:r>
      <w:r>
        <w:rPr>
          <w:color w:val="231F20"/>
          <w:spacing w:val="11"/>
          <w:w w:val="110"/>
          <w:sz w:val="18"/>
        </w:rPr>
        <w:t> </w:t>
      </w:r>
      <w:r>
        <w:rPr>
          <w:color w:val="231F20"/>
          <w:w w:val="110"/>
          <w:sz w:val="18"/>
        </w:rPr>
        <w:t>polity</w:t>
      </w:r>
      <w:r>
        <w:rPr>
          <w:color w:val="231F20"/>
          <w:spacing w:val="11"/>
          <w:w w:val="110"/>
          <w:sz w:val="18"/>
        </w:rPr>
        <w:t> </w:t>
      </w:r>
      <w:r>
        <w:rPr>
          <w:color w:val="231F20"/>
          <w:w w:val="110"/>
          <w:sz w:val="18"/>
        </w:rPr>
        <w:t>when</w:t>
      </w:r>
      <w:r>
        <w:rPr>
          <w:color w:val="231F20"/>
          <w:spacing w:val="11"/>
          <w:w w:val="110"/>
          <w:sz w:val="18"/>
        </w:rPr>
        <w:t> </w:t>
      </w:r>
      <w:r>
        <w:rPr>
          <w:color w:val="231F20"/>
          <w:w w:val="110"/>
          <w:sz w:val="18"/>
        </w:rPr>
        <w:t>such</w:t>
      </w:r>
      <w:r>
        <w:rPr>
          <w:color w:val="231F20"/>
          <w:spacing w:val="11"/>
          <w:w w:val="110"/>
          <w:sz w:val="18"/>
        </w:rPr>
        <w:t> </w:t>
      </w:r>
      <w:r>
        <w:rPr>
          <w:color w:val="231F20"/>
          <w:w w:val="110"/>
          <w:sz w:val="18"/>
        </w:rPr>
        <w:t>clarifications</w:t>
      </w:r>
      <w:r>
        <w:rPr>
          <w:color w:val="231F20"/>
          <w:spacing w:val="11"/>
          <w:w w:val="110"/>
          <w:sz w:val="18"/>
        </w:rPr>
        <w:t> </w:t>
      </w:r>
      <w:r>
        <w:rPr>
          <w:color w:val="231F20"/>
          <w:w w:val="110"/>
          <w:sz w:val="18"/>
        </w:rPr>
        <w:t>are</w:t>
      </w:r>
      <w:r>
        <w:rPr>
          <w:color w:val="231F20"/>
          <w:spacing w:val="11"/>
          <w:w w:val="110"/>
          <w:sz w:val="18"/>
        </w:rPr>
        <w:t> </w:t>
      </w:r>
      <w:r>
        <w:rPr>
          <w:color w:val="231F20"/>
          <w:w w:val="110"/>
          <w:sz w:val="18"/>
        </w:rPr>
        <w:t>called</w:t>
      </w:r>
      <w:r>
        <w:rPr>
          <w:color w:val="231F20"/>
          <w:spacing w:val="11"/>
          <w:w w:val="110"/>
          <w:sz w:val="18"/>
        </w:rPr>
        <w:t> </w:t>
      </w:r>
      <w:r>
        <w:rPr>
          <w:color w:val="231F20"/>
          <w:w w:val="110"/>
          <w:sz w:val="18"/>
        </w:rPr>
        <w:t>for).</w:t>
      </w:r>
    </w:p>
    <w:p>
      <w:pPr>
        <w:spacing w:after="0" w:line="250" w:lineRule="exact"/>
        <w:jc w:val="left"/>
        <w:rPr>
          <w:sz w:val="25"/>
        </w:rPr>
        <w:sectPr>
          <w:pgSz w:w="11910" w:h="16840"/>
          <w:pgMar w:header="558" w:footer="564" w:top="820" w:bottom="760" w:left="460" w:right="0"/>
        </w:sectPr>
      </w:pPr>
    </w:p>
    <w:p>
      <w:pPr>
        <w:pStyle w:val="BodyText"/>
        <w:spacing w:before="9"/>
        <w:rPr>
          <w:sz w:val="13"/>
        </w:rPr>
      </w:pPr>
    </w:p>
    <w:p>
      <w:pPr>
        <w:numPr>
          <w:ilvl w:val="1"/>
          <w:numId w:val="1"/>
        </w:numPr>
        <w:tabs>
          <w:tab w:pos="1960" w:val="left" w:leader="none"/>
          <w:tab w:pos="1961" w:val="left" w:leader="none"/>
        </w:tabs>
        <w:spacing w:before="101"/>
        <w:ind w:left="1960" w:right="0" w:hanging="721"/>
        <w:jc w:val="left"/>
        <w:rPr>
          <w:b/>
          <w:color w:val="231F20"/>
          <w:sz w:val="18"/>
        </w:rPr>
      </w:pPr>
      <w:r>
        <w:rPr>
          <w:b/>
          <w:color w:val="231F20"/>
          <w:w w:val="110"/>
          <w:sz w:val="18"/>
        </w:rPr>
        <w:t>Budget</w:t>
      </w:r>
    </w:p>
    <w:p>
      <w:pPr>
        <w:pStyle w:val="BodyText"/>
        <w:spacing w:before="1"/>
        <w:rPr>
          <w:b/>
          <w:sz w:val="23"/>
        </w:rPr>
      </w:pPr>
    </w:p>
    <w:p>
      <w:pPr>
        <w:pStyle w:val="ListParagraph"/>
        <w:numPr>
          <w:ilvl w:val="2"/>
          <w:numId w:val="1"/>
        </w:numPr>
        <w:tabs>
          <w:tab w:pos="1960" w:val="left" w:leader="none"/>
          <w:tab w:pos="1961" w:val="left" w:leader="none"/>
        </w:tabs>
        <w:spacing w:line="273" w:lineRule="auto" w:before="0" w:after="0"/>
        <w:ind w:left="1240" w:right="1192" w:firstLine="0"/>
        <w:jc w:val="left"/>
        <w:rPr>
          <w:color w:val="231F20"/>
          <w:sz w:val="18"/>
        </w:rPr>
      </w:pPr>
      <w:r>
        <w:rPr>
          <w:color w:val="231F20"/>
          <w:w w:val="110"/>
          <w:sz w:val="18"/>
        </w:rPr>
        <w:t>The initial Mission Department budget (excluding </w:t>
      </w:r>
      <w:r>
        <w:rPr>
          <w:i/>
          <w:color w:val="231F20"/>
          <w:w w:val="110"/>
          <w:sz w:val="18"/>
        </w:rPr>
        <w:t>Commitment for Life</w:t>
      </w:r>
      <w:r>
        <w:rPr>
          <w:color w:val="231F20"/>
          <w:w w:val="110"/>
          <w:sz w:val="18"/>
        </w:rPr>
        <w:t>) with comparative figures for 2006 and 2007 is set out below. It is based on the 2007 budget figures of the constituent </w:t>
      </w:r>
      <w:r>
        <w:rPr>
          <w:color w:val="231F20"/>
          <w:spacing w:val="3"/>
          <w:w w:val="110"/>
          <w:sz w:val="18"/>
        </w:rPr>
        <w:t>parts </w:t>
      </w:r>
      <w:r>
        <w:rPr>
          <w:color w:val="231F20"/>
          <w:w w:val="110"/>
          <w:sz w:val="18"/>
        </w:rPr>
        <w:t>and assumes no reduction on those figures for 2008 and an inflationary increase for </w:t>
      </w:r>
      <w:r>
        <w:rPr>
          <w:color w:val="231F20"/>
          <w:spacing w:val="3"/>
          <w:w w:val="110"/>
          <w:sz w:val="18"/>
        </w:rPr>
        <w:t>staff</w:t>
      </w:r>
      <w:r>
        <w:rPr>
          <w:color w:val="231F20"/>
          <w:spacing w:val="7"/>
          <w:w w:val="110"/>
          <w:sz w:val="18"/>
        </w:rPr>
        <w:t> </w:t>
      </w:r>
      <w:r>
        <w:rPr>
          <w:color w:val="231F20"/>
          <w:spacing w:val="2"/>
          <w:w w:val="110"/>
          <w:sz w:val="18"/>
        </w:rPr>
        <w:t>costs.</w:t>
      </w:r>
    </w:p>
    <w:p>
      <w:pPr>
        <w:pStyle w:val="BodyText"/>
        <w:spacing w:before="8"/>
        <w:rPr>
          <w:sz w:val="21"/>
        </w:rPr>
      </w:pPr>
    </w:p>
    <w:tbl>
      <w:tblPr>
        <w:tblW w:w="0" w:type="auto"/>
        <w:jc w:val="left"/>
        <w:tblInd w:w="1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000"/>
        <w:gridCol w:w="400"/>
        <w:gridCol w:w="1328"/>
        <w:gridCol w:w="1256"/>
        <w:gridCol w:w="1261"/>
      </w:tblGrid>
      <w:tr>
        <w:trPr>
          <w:trHeight w:val="367" w:hRule="atLeast"/>
        </w:trPr>
        <w:tc>
          <w:tcPr>
            <w:tcW w:w="4000" w:type="dxa"/>
            <w:tcBorders>
              <w:bottom w:val="single" w:sz="6" w:space="0" w:color="231F20"/>
              <w:right w:val="single" w:sz="6" w:space="0" w:color="231F20"/>
            </w:tcBorders>
            <w:shd w:val="clear" w:color="auto" w:fill="D1D3D4"/>
          </w:tcPr>
          <w:p>
            <w:pPr>
              <w:pStyle w:val="TableParagraph"/>
              <w:spacing w:before="80"/>
              <w:ind w:left="113"/>
              <w:rPr>
                <w:rFonts w:ascii="Verdana"/>
                <w:b/>
                <w:sz w:val="18"/>
              </w:rPr>
            </w:pPr>
            <w:r>
              <w:rPr>
                <w:rFonts w:ascii="Verdana"/>
                <w:b/>
                <w:color w:val="231F20"/>
                <w:w w:val="110"/>
                <w:sz w:val="18"/>
              </w:rPr>
              <w:t>Mission Department</w:t>
            </w:r>
          </w:p>
        </w:tc>
        <w:tc>
          <w:tcPr>
            <w:tcW w:w="400" w:type="dxa"/>
            <w:tcBorders>
              <w:left w:val="single" w:sz="6" w:space="0" w:color="231F20"/>
              <w:bottom w:val="single" w:sz="6" w:space="0" w:color="231F20"/>
              <w:right w:val="single" w:sz="6" w:space="0" w:color="231F20"/>
            </w:tcBorders>
            <w:shd w:val="clear" w:color="auto" w:fill="D1D3D4"/>
          </w:tcPr>
          <w:p>
            <w:pPr>
              <w:pStyle w:val="TableParagraph"/>
              <w:rPr>
                <w:sz w:val="20"/>
              </w:rPr>
            </w:pPr>
          </w:p>
        </w:tc>
        <w:tc>
          <w:tcPr>
            <w:tcW w:w="3845" w:type="dxa"/>
            <w:gridSpan w:val="3"/>
            <w:tcBorders>
              <w:left w:val="single" w:sz="6" w:space="0" w:color="231F20"/>
              <w:bottom w:val="single" w:sz="6" w:space="0" w:color="231F20"/>
            </w:tcBorders>
            <w:shd w:val="clear" w:color="auto" w:fill="D1D3D4"/>
          </w:tcPr>
          <w:p>
            <w:pPr>
              <w:pStyle w:val="TableParagraph"/>
              <w:spacing w:before="80"/>
              <w:ind w:left="1504" w:right="1497"/>
              <w:jc w:val="center"/>
              <w:rPr>
                <w:rFonts w:ascii="Verdana"/>
                <w:b/>
                <w:sz w:val="18"/>
              </w:rPr>
            </w:pPr>
            <w:r>
              <w:rPr>
                <w:rFonts w:ascii="Verdana"/>
                <w:b/>
                <w:color w:val="231F20"/>
                <w:w w:val="110"/>
                <w:sz w:val="18"/>
              </w:rPr>
              <w:t>Budget</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left="373"/>
              <w:rPr>
                <w:rFonts w:ascii="Verdana"/>
                <w:b/>
                <w:sz w:val="18"/>
              </w:rPr>
            </w:pPr>
            <w:r>
              <w:rPr>
                <w:rFonts w:ascii="Verdana"/>
                <w:b/>
                <w:color w:val="231F20"/>
                <w:w w:val="110"/>
                <w:sz w:val="18"/>
              </w:rPr>
              <w:t>2006</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left="339"/>
              <w:rPr>
                <w:rFonts w:ascii="Verdana"/>
                <w:b/>
                <w:sz w:val="18"/>
              </w:rPr>
            </w:pPr>
            <w:r>
              <w:rPr>
                <w:rFonts w:ascii="Verdana"/>
                <w:b/>
                <w:color w:val="231F20"/>
                <w:w w:val="110"/>
                <w:sz w:val="18"/>
              </w:rPr>
              <w:t>2007</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left="339"/>
              <w:rPr>
                <w:rFonts w:ascii="Verdana"/>
                <w:b/>
                <w:sz w:val="18"/>
              </w:rPr>
            </w:pPr>
            <w:r>
              <w:rPr>
                <w:rFonts w:ascii="Verdana"/>
                <w:b/>
                <w:color w:val="231F20"/>
                <w:w w:val="110"/>
                <w:sz w:val="18"/>
              </w:rPr>
              <w:t>2008</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rPr>
                <w:sz w:val="20"/>
              </w:rPr>
            </w:pP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Staff Costs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314,600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269,400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277,500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Staff expenses (travel, etc.)</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70,500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55,400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55,400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Office Costs (other costs)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14,500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13,900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13,900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rPr>
                <w:sz w:val="20"/>
              </w:rPr>
            </w:pPr>
          </w:p>
        </w:tc>
      </w:tr>
      <w:tr>
        <w:trPr>
          <w:trHeight w:val="614" w:hRule="atLeast"/>
        </w:trPr>
        <w:tc>
          <w:tcPr>
            <w:tcW w:w="4000" w:type="dxa"/>
            <w:tcBorders>
              <w:top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b/>
                <w:sz w:val="18"/>
              </w:rPr>
            </w:pPr>
            <w:r>
              <w:rPr>
                <w:rFonts w:ascii="Verdana"/>
                <w:b/>
                <w:color w:val="231F20"/>
                <w:w w:val="110"/>
                <w:sz w:val="18"/>
              </w:rPr>
              <w:t>Total core costs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b/>
                <w:sz w:val="18"/>
              </w:rPr>
            </w:pPr>
            <w:r>
              <w:rPr>
                <w:rFonts w:ascii="Verdana"/>
                <w:b/>
                <w:color w:val="231F20"/>
                <w:w w:val="110"/>
                <w:sz w:val="18"/>
              </w:rPr>
              <w:t>399,600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8"/>
              <w:jc w:val="right"/>
              <w:rPr>
                <w:rFonts w:ascii="Verdana"/>
                <w:b/>
                <w:sz w:val="18"/>
              </w:rPr>
            </w:pPr>
            <w:r>
              <w:rPr>
                <w:rFonts w:ascii="Verdana"/>
                <w:b/>
                <w:color w:val="231F20"/>
                <w:w w:val="110"/>
                <w:sz w:val="18"/>
              </w:rPr>
              <w:t>338,700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11"/>
              <w:rPr>
                <w:rFonts w:ascii="Verdana"/>
                <w:sz w:val="26"/>
              </w:rPr>
            </w:pPr>
          </w:p>
          <w:p>
            <w:pPr>
              <w:pStyle w:val="TableParagraph"/>
              <w:ind w:right="101"/>
              <w:jc w:val="right"/>
              <w:rPr>
                <w:rFonts w:ascii="Verdana"/>
                <w:b/>
                <w:sz w:val="18"/>
              </w:rPr>
            </w:pPr>
            <w:r>
              <w:rPr>
                <w:rFonts w:ascii="Verdana"/>
                <w:b/>
                <w:color w:val="231F20"/>
                <w:w w:val="110"/>
                <w:sz w:val="18"/>
              </w:rPr>
              <w:t>346,800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rPr>
                <w:sz w:val="20"/>
              </w:rPr>
            </w:pPr>
          </w:p>
        </w:tc>
      </w:tr>
      <w:tr>
        <w:trPr>
          <w:trHeight w:val="614" w:hRule="atLeast"/>
        </w:trPr>
        <w:tc>
          <w:tcPr>
            <w:tcW w:w="4000" w:type="dxa"/>
            <w:tcBorders>
              <w:top w:val="single" w:sz="6" w:space="0" w:color="231F20"/>
              <w:bottom w:val="single" w:sz="6" w:space="0" w:color="231F20"/>
              <w:right w:val="single" w:sz="6" w:space="0" w:color="231F20"/>
            </w:tcBorders>
          </w:tcPr>
          <w:p>
            <w:pPr>
              <w:pStyle w:val="TableParagraph"/>
              <w:spacing w:line="273" w:lineRule="auto" w:before="77"/>
              <w:ind w:left="113" w:right="54"/>
              <w:rPr>
                <w:rFonts w:ascii="Verdana"/>
                <w:sz w:val="18"/>
              </w:rPr>
            </w:pPr>
            <w:r>
              <w:rPr>
                <w:rFonts w:ascii="Verdana"/>
                <w:color w:val="231F20"/>
                <w:w w:val="110"/>
                <w:sz w:val="18"/>
              </w:rPr>
              <w:t>Committees, conferences &amp; other costs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53,000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52,500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11"/>
              <w:rPr>
                <w:rFonts w:ascii="Verdana"/>
                <w:sz w:val="26"/>
              </w:rPr>
            </w:pPr>
          </w:p>
          <w:p>
            <w:pPr>
              <w:pStyle w:val="TableParagraph"/>
              <w:ind w:right="100"/>
              <w:jc w:val="right"/>
              <w:rPr>
                <w:rFonts w:ascii="Verdana" w:hAnsi="Verdana"/>
                <w:sz w:val="18"/>
              </w:rPr>
            </w:pPr>
            <w:r>
              <w:rPr>
                <w:rFonts w:ascii="Verdana" w:hAnsi="Verdana"/>
                <w:color w:val="231F20"/>
                <w:w w:val="111"/>
                <w:sz w:val="18"/>
              </w:rPr>
              <w:t>–</w:t>
            </w:r>
          </w:p>
        </w:tc>
      </w:tr>
      <w:tr>
        <w:trPr>
          <w:trHeight w:val="614" w:hRule="atLeast"/>
        </w:trPr>
        <w:tc>
          <w:tcPr>
            <w:tcW w:w="4000" w:type="dxa"/>
            <w:tcBorders>
              <w:top w:val="single" w:sz="6" w:space="0" w:color="231F20"/>
              <w:bottom w:val="single" w:sz="6" w:space="0" w:color="231F20"/>
              <w:right w:val="single" w:sz="6" w:space="0" w:color="231F20"/>
            </w:tcBorders>
          </w:tcPr>
          <w:p>
            <w:pPr>
              <w:pStyle w:val="TableParagraph"/>
              <w:spacing w:line="273" w:lineRule="auto" w:before="77"/>
              <w:ind w:left="113"/>
              <w:rPr>
                <w:rFonts w:ascii="Verdana"/>
                <w:sz w:val="18"/>
              </w:rPr>
            </w:pPr>
            <w:r>
              <w:rPr>
                <w:rFonts w:ascii="Verdana"/>
                <w:color w:val="231F20"/>
                <w:w w:val="110"/>
                <w:sz w:val="18"/>
              </w:rPr>
              <w:t>Mission Committee, networks &amp; programmes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14,000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13,000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11"/>
              <w:rPr>
                <w:rFonts w:ascii="Verdana"/>
                <w:sz w:val="26"/>
              </w:rPr>
            </w:pPr>
          </w:p>
          <w:p>
            <w:pPr>
              <w:pStyle w:val="TableParagraph"/>
              <w:ind w:right="101"/>
              <w:jc w:val="right"/>
              <w:rPr>
                <w:rFonts w:ascii="Verdana"/>
                <w:sz w:val="18"/>
              </w:rPr>
            </w:pPr>
            <w:r>
              <w:rPr>
                <w:rFonts w:ascii="Verdana"/>
                <w:color w:val="231F20"/>
                <w:w w:val="110"/>
                <w:sz w:val="18"/>
              </w:rPr>
              <w:t>36,500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Mission analysis/development</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20,000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i/>
                <w:sz w:val="18"/>
              </w:rPr>
            </w:pPr>
            <w:r>
              <w:rPr>
                <w:rFonts w:ascii="Verdana"/>
                <w:i/>
                <w:color w:val="231F20"/>
                <w:w w:val="110"/>
                <w:sz w:val="18"/>
              </w:rPr>
              <w:t>Belonging to the World Church</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90,000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90,000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90,000</w:t>
            </w:r>
          </w:p>
        </w:tc>
      </w:tr>
      <w:tr>
        <w:trPr>
          <w:trHeight w:val="614" w:hRule="atLeast"/>
        </w:trPr>
        <w:tc>
          <w:tcPr>
            <w:tcW w:w="4000" w:type="dxa"/>
            <w:tcBorders>
              <w:top w:val="single" w:sz="6" w:space="0" w:color="231F20"/>
              <w:bottom w:val="single" w:sz="6" w:space="0" w:color="231F20"/>
              <w:right w:val="single" w:sz="6" w:space="0" w:color="231F20"/>
            </w:tcBorders>
          </w:tcPr>
          <w:p>
            <w:pPr>
              <w:pStyle w:val="TableParagraph"/>
              <w:spacing w:line="273" w:lineRule="auto" w:before="77"/>
              <w:ind w:left="113"/>
              <w:rPr>
                <w:rFonts w:ascii="Verdana"/>
                <w:sz w:val="18"/>
              </w:rPr>
            </w:pPr>
            <w:r>
              <w:rPr>
                <w:rFonts w:ascii="Verdana"/>
                <w:color w:val="231F20"/>
                <w:w w:val="110"/>
                <w:sz w:val="18"/>
              </w:rPr>
              <w:t>Overseas partner assistance programmes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30,000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sz w:val="18"/>
              </w:rPr>
            </w:pPr>
            <w:r>
              <w:rPr>
                <w:rFonts w:ascii="Verdana"/>
                <w:color w:val="231F20"/>
                <w:w w:val="110"/>
                <w:sz w:val="18"/>
              </w:rPr>
              <w:t>30,000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11"/>
              <w:rPr>
                <w:rFonts w:ascii="Verdana"/>
                <w:sz w:val="26"/>
              </w:rPr>
            </w:pPr>
          </w:p>
          <w:p>
            <w:pPr>
              <w:pStyle w:val="TableParagraph"/>
              <w:ind w:right="101"/>
              <w:jc w:val="right"/>
              <w:rPr>
                <w:rFonts w:ascii="Verdana"/>
                <w:sz w:val="18"/>
              </w:rPr>
            </w:pPr>
            <w:r>
              <w:rPr>
                <w:rFonts w:ascii="Verdana"/>
                <w:color w:val="231F20"/>
                <w:w w:val="110"/>
                <w:sz w:val="18"/>
              </w:rPr>
              <w:t>30,000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right="104"/>
              <w:jc w:val="right"/>
              <w:rPr>
                <w:rFonts w:ascii="Verdana"/>
                <w:sz w:val="18"/>
              </w:rPr>
            </w:pPr>
            <w:r>
              <w:rPr>
                <w:rFonts w:ascii="Verdana"/>
                <w:color w:val="231F20"/>
                <w:w w:val="110"/>
                <w:sz w:val="18"/>
              </w:rPr>
              <w:t>URC/Methodist National Rural</w:t>
            </w:r>
            <w:r>
              <w:rPr>
                <w:rFonts w:ascii="Verdana"/>
                <w:color w:val="231F20"/>
                <w:spacing w:val="58"/>
                <w:w w:val="110"/>
                <w:sz w:val="18"/>
              </w:rPr>
              <w:t> </w:t>
            </w:r>
            <w:r>
              <w:rPr>
                <w:rFonts w:ascii="Verdana"/>
                <w:color w:val="231F20"/>
                <w:spacing w:val="2"/>
                <w:w w:val="110"/>
                <w:sz w:val="18"/>
              </w:rPr>
              <w:t>Officer</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27,000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30,000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30,000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Ecumenical representation</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21,000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20,000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25,000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spacing w:before="77"/>
              <w:ind w:left="113"/>
              <w:rPr>
                <w:rFonts w:ascii="Verdana"/>
                <w:sz w:val="18"/>
              </w:rPr>
            </w:pPr>
            <w:r>
              <w:rPr>
                <w:rFonts w:ascii="Verdana"/>
                <w:color w:val="231F20"/>
                <w:w w:val="110"/>
                <w:sz w:val="18"/>
              </w:rPr>
              <w:t>Ecumenical grants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207,870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196,500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200,500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rPr>
                <w:sz w:val="20"/>
              </w:rPr>
            </w:pPr>
          </w:p>
        </w:tc>
      </w:tr>
      <w:tr>
        <w:trPr>
          <w:trHeight w:val="614" w:hRule="atLeast"/>
        </w:trPr>
        <w:tc>
          <w:tcPr>
            <w:tcW w:w="4000" w:type="dxa"/>
            <w:tcBorders>
              <w:top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b/>
                <w:sz w:val="18"/>
              </w:rPr>
            </w:pPr>
            <w:r>
              <w:rPr>
                <w:rFonts w:ascii="Verdana"/>
                <w:b/>
                <w:color w:val="231F20"/>
                <w:w w:val="110"/>
                <w:sz w:val="18"/>
              </w:rPr>
              <w:t>Total programme costs</w:t>
            </w: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9"/>
              <w:jc w:val="right"/>
              <w:rPr>
                <w:rFonts w:ascii="Verdana"/>
                <w:b/>
                <w:sz w:val="18"/>
              </w:rPr>
            </w:pPr>
            <w:r>
              <w:rPr>
                <w:rFonts w:ascii="Verdana"/>
                <w:b/>
                <w:color w:val="231F20"/>
                <w:w w:val="110"/>
                <w:sz w:val="18"/>
              </w:rPr>
              <w:t>442,870</w:t>
            </w:r>
          </w:p>
        </w:tc>
        <w:tc>
          <w:tcPr>
            <w:tcW w:w="1256" w:type="dxa"/>
            <w:tcBorders>
              <w:top w:val="single" w:sz="6" w:space="0" w:color="231F20"/>
              <w:left w:val="single" w:sz="6" w:space="0" w:color="231F20"/>
              <w:bottom w:val="single" w:sz="6" w:space="0" w:color="231F20"/>
              <w:right w:val="single" w:sz="6" w:space="0" w:color="231F20"/>
            </w:tcBorders>
          </w:tcPr>
          <w:p>
            <w:pPr>
              <w:pStyle w:val="TableParagraph"/>
              <w:spacing w:before="11"/>
              <w:rPr>
                <w:rFonts w:ascii="Verdana"/>
                <w:sz w:val="26"/>
              </w:rPr>
            </w:pPr>
          </w:p>
          <w:p>
            <w:pPr>
              <w:pStyle w:val="TableParagraph"/>
              <w:ind w:right="98"/>
              <w:jc w:val="right"/>
              <w:rPr>
                <w:rFonts w:ascii="Verdana"/>
                <w:b/>
                <w:sz w:val="18"/>
              </w:rPr>
            </w:pPr>
            <w:r>
              <w:rPr>
                <w:rFonts w:ascii="Verdana"/>
                <w:b/>
                <w:color w:val="231F20"/>
                <w:w w:val="110"/>
                <w:sz w:val="18"/>
              </w:rPr>
              <w:t>432,000</w:t>
            </w:r>
          </w:p>
        </w:tc>
        <w:tc>
          <w:tcPr>
            <w:tcW w:w="1261" w:type="dxa"/>
            <w:tcBorders>
              <w:top w:val="single" w:sz="6" w:space="0" w:color="231F20"/>
              <w:left w:val="single" w:sz="6" w:space="0" w:color="231F20"/>
              <w:bottom w:val="single" w:sz="6" w:space="0" w:color="231F20"/>
            </w:tcBorders>
            <w:shd w:val="clear" w:color="auto" w:fill="D1D3D4"/>
          </w:tcPr>
          <w:p>
            <w:pPr>
              <w:pStyle w:val="TableParagraph"/>
              <w:spacing w:before="11"/>
              <w:rPr>
                <w:rFonts w:ascii="Verdana"/>
                <w:sz w:val="26"/>
              </w:rPr>
            </w:pPr>
          </w:p>
          <w:p>
            <w:pPr>
              <w:pStyle w:val="TableParagraph"/>
              <w:ind w:right="101"/>
              <w:jc w:val="right"/>
              <w:rPr>
                <w:rFonts w:ascii="Verdana"/>
                <w:b/>
                <w:sz w:val="18"/>
              </w:rPr>
            </w:pPr>
            <w:r>
              <w:rPr>
                <w:rFonts w:ascii="Verdana"/>
                <w:b/>
                <w:color w:val="231F20"/>
                <w:w w:val="110"/>
                <w:sz w:val="18"/>
              </w:rPr>
              <w:t>432,000</w:t>
            </w:r>
          </w:p>
        </w:tc>
      </w:tr>
      <w:tr>
        <w:trPr>
          <w:trHeight w:val="364" w:hRule="atLeast"/>
        </w:trPr>
        <w:tc>
          <w:tcPr>
            <w:tcW w:w="4000" w:type="dxa"/>
            <w:tcBorders>
              <w:top w:val="single" w:sz="6" w:space="0" w:color="231F20"/>
              <w:bottom w:val="single" w:sz="6" w:space="0" w:color="231F20"/>
              <w:right w:val="single" w:sz="6" w:space="0" w:color="231F20"/>
            </w:tcBorders>
          </w:tcPr>
          <w:p>
            <w:pPr>
              <w:pStyle w:val="TableParagraph"/>
              <w:rPr>
                <w:sz w:val="20"/>
              </w:rPr>
            </w:pPr>
          </w:p>
        </w:tc>
        <w:tc>
          <w:tcPr>
            <w:tcW w:w="400"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56" w:type="dxa"/>
            <w:tcBorders>
              <w:top w:val="single" w:sz="6" w:space="0" w:color="231F20"/>
              <w:left w:val="single" w:sz="6" w:space="0" w:color="231F20"/>
              <w:bottom w:val="single" w:sz="6" w:space="0" w:color="231F20"/>
              <w:right w:val="single" w:sz="6" w:space="0" w:color="231F20"/>
            </w:tcBorders>
          </w:tcPr>
          <w:p>
            <w:pPr>
              <w:pStyle w:val="TableParagraph"/>
              <w:rPr>
                <w:sz w:val="20"/>
              </w:rPr>
            </w:pPr>
          </w:p>
        </w:tc>
        <w:tc>
          <w:tcPr>
            <w:tcW w:w="1261" w:type="dxa"/>
            <w:tcBorders>
              <w:top w:val="single" w:sz="6" w:space="0" w:color="231F20"/>
              <w:left w:val="single" w:sz="6" w:space="0" w:color="231F20"/>
              <w:bottom w:val="single" w:sz="6" w:space="0" w:color="231F20"/>
            </w:tcBorders>
            <w:shd w:val="clear" w:color="auto" w:fill="D1D3D4"/>
          </w:tcPr>
          <w:p>
            <w:pPr>
              <w:pStyle w:val="TableParagraph"/>
              <w:rPr>
                <w:sz w:val="20"/>
              </w:rPr>
            </w:pPr>
          </w:p>
        </w:tc>
      </w:tr>
      <w:tr>
        <w:trPr>
          <w:trHeight w:val="367" w:hRule="atLeast"/>
        </w:trPr>
        <w:tc>
          <w:tcPr>
            <w:tcW w:w="4000" w:type="dxa"/>
            <w:tcBorders>
              <w:top w:val="single" w:sz="6" w:space="0" w:color="231F20"/>
              <w:right w:val="single" w:sz="6" w:space="0" w:color="231F20"/>
            </w:tcBorders>
          </w:tcPr>
          <w:p>
            <w:pPr>
              <w:pStyle w:val="TableParagraph"/>
              <w:spacing w:before="77"/>
              <w:ind w:right="99"/>
              <w:jc w:val="right"/>
              <w:rPr>
                <w:rFonts w:ascii="Verdana"/>
                <w:b/>
                <w:sz w:val="18"/>
              </w:rPr>
            </w:pPr>
            <w:r>
              <w:rPr>
                <w:rFonts w:ascii="Verdana"/>
                <w:b/>
                <w:color w:val="231F20"/>
                <w:w w:val="110"/>
                <w:sz w:val="18"/>
              </w:rPr>
              <w:t>Total Combined costs</w:t>
            </w:r>
          </w:p>
        </w:tc>
        <w:tc>
          <w:tcPr>
            <w:tcW w:w="400" w:type="dxa"/>
            <w:tcBorders>
              <w:top w:val="single" w:sz="6" w:space="0" w:color="231F20"/>
              <w:left w:val="single" w:sz="6" w:space="0" w:color="231F20"/>
              <w:right w:val="single" w:sz="6" w:space="0" w:color="231F20"/>
            </w:tcBorders>
          </w:tcPr>
          <w:p>
            <w:pPr>
              <w:pStyle w:val="TableParagraph"/>
              <w:rPr>
                <w:sz w:val="20"/>
              </w:rPr>
            </w:pPr>
          </w:p>
        </w:tc>
        <w:tc>
          <w:tcPr>
            <w:tcW w:w="1328" w:type="dxa"/>
            <w:tcBorders>
              <w:top w:val="single" w:sz="6" w:space="0" w:color="231F20"/>
              <w:left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842,470</w:t>
            </w:r>
          </w:p>
        </w:tc>
        <w:tc>
          <w:tcPr>
            <w:tcW w:w="1256" w:type="dxa"/>
            <w:tcBorders>
              <w:top w:val="single" w:sz="6" w:space="0" w:color="231F20"/>
              <w:left w:val="single" w:sz="6" w:space="0" w:color="231F20"/>
              <w:right w:val="single" w:sz="6" w:space="0" w:color="231F20"/>
            </w:tcBorders>
          </w:tcPr>
          <w:p>
            <w:pPr>
              <w:pStyle w:val="TableParagraph"/>
              <w:spacing w:before="77"/>
              <w:ind w:right="99"/>
              <w:jc w:val="right"/>
              <w:rPr>
                <w:rFonts w:ascii="Verdana"/>
                <w:sz w:val="18"/>
              </w:rPr>
            </w:pPr>
            <w:r>
              <w:rPr>
                <w:rFonts w:ascii="Verdana"/>
                <w:color w:val="231F20"/>
                <w:w w:val="110"/>
                <w:sz w:val="18"/>
              </w:rPr>
              <w:t>770,700</w:t>
            </w:r>
          </w:p>
        </w:tc>
        <w:tc>
          <w:tcPr>
            <w:tcW w:w="1261" w:type="dxa"/>
            <w:tcBorders>
              <w:top w:val="single" w:sz="6" w:space="0" w:color="231F20"/>
              <w:left w:val="single" w:sz="6" w:space="0" w:color="231F20"/>
            </w:tcBorders>
            <w:shd w:val="clear" w:color="auto" w:fill="D1D3D4"/>
          </w:tcPr>
          <w:p>
            <w:pPr>
              <w:pStyle w:val="TableParagraph"/>
              <w:spacing w:before="77"/>
              <w:ind w:right="101"/>
              <w:jc w:val="right"/>
              <w:rPr>
                <w:rFonts w:ascii="Verdana"/>
                <w:sz w:val="18"/>
              </w:rPr>
            </w:pPr>
            <w:r>
              <w:rPr>
                <w:rFonts w:ascii="Verdana"/>
                <w:color w:val="231F20"/>
                <w:w w:val="110"/>
                <w:sz w:val="18"/>
              </w:rPr>
              <w:t>778,800</w:t>
            </w:r>
          </w:p>
        </w:tc>
      </w:tr>
    </w:tbl>
    <w:p>
      <w:pPr>
        <w:pStyle w:val="BodyText"/>
        <w:rPr>
          <w:sz w:val="22"/>
        </w:rPr>
      </w:pPr>
    </w:p>
    <w:p>
      <w:pPr>
        <w:pStyle w:val="BodyText"/>
        <w:spacing w:before="2"/>
      </w:pPr>
    </w:p>
    <w:p>
      <w:pPr>
        <w:pStyle w:val="ListParagraph"/>
        <w:numPr>
          <w:ilvl w:val="2"/>
          <w:numId w:val="1"/>
        </w:numPr>
        <w:tabs>
          <w:tab w:pos="1960" w:val="left" w:leader="none"/>
          <w:tab w:pos="1961" w:val="left" w:leader="none"/>
        </w:tabs>
        <w:spacing w:line="273" w:lineRule="auto" w:before="1" w:after="0"/>
        <w:ind w:left="1240" w:right="1132" w:hanging="1"/>
        <w:jc w:val="left"/>
        <w:rPr>
          <w:color w:val="231F20"/>
          <w:sz w:val="18"/>
        </w:rPr>
      </w:pPr>
      <w:r>
        <w:rPr>
          <w:color w:val="231F20"/>
          <w:spacing w:val="3"/>
          <w:w w:val="110"/>
          <w:sz w:val="18"/>
        </w:rPr>
        <w:t>As </w:t>
      </w:r>
      <w:r>
        <w:rPr>
          <w:color w:val="231F20"/>
          <w:w w:val="110"/>
          <w:sz w:val="18"/>
        </w:rPr>
        <w:t>a provisional budget, which experience of the new configuration and changing priorities might reshape, it is based on existing expenditure patterns, so that ecumenical </w:t>
      </w:r>
      <w:r>
        <w:rPr>
          <w:color w:val="231F20"/>
          <w:spacing w:val="2"/>
          <w:w w:val="110"/>
          <w:sz w:val="18"/>
        </w:rPr>
        <w:t>representation </w:t>
      </w:r>
      <w:r>
        <w:rPr>
          <w:color w:val="231F20"/>
          <w:w w:val="110"/>
          <w:sz w:val="18"/>
        </w:rPr>
        <w:t>and ecumenical grants (previously contained within the ecumenical budget) are increased to accommodate such expenditure by the other committees (attendance</w:t>
      </w:r>
      <w:r>
        <w:rPr>
          <w:color w:val="231F20"/>
          <w:spacing w:val="8"/>
          <w:w w:val="110"/>
          <w:sz w:val="18"/>
        </w:rPr>
        <w:t> </w:t>
      </w:r>
      <w:r>
        <w:rPr>
          <w:color w:val="231F20"/>
          <w:w w:val="110"/>
          <w:sz w:val="18"/>
        </w:rPr>
        <w:t>at</w:t>
      </w:r>
      <w:r>
        <w:rPr>
          <w:color w:val="231F20"/>
          <w:spacing w:val="9"/>
          <w:w w:val="110"/>
          <w:sz w:val="18"/>
        </w:rPr>
        <w:t> </w:t>
      </w:r>
      <w:r>
        <w:rPr>
          <w:color w:val="231F20"/>
          <w:w w:val="110"/>
          <w:sz w:val="18"/>
        </w:rPr>
        <w:t>ecumenical</w:t>
      </w:r>
      <w:r>
        <w:rPr>
          <w:color w:val="231F20"/>
          <w:spacing w:val="9"/>
          <w:w w:val="110"/>
          <w:sz w:val="18"/>
        </w:rPr>
        <w:t> </w:t>
      </w:r>
      <w:r>
        <w:rPr>
          <w:color w:val="231F20"/>
          <w:w w:val="110"/>
          <w:sz w:val="18"/>
        </w:rPr>
        <w:t>meetings,</w:t>
      </w:r>
      <w:r>
        <w:rPr>
          <w:color w:val="231F20"/>
          <w:spacing w:val="9"/>
          <w:w w:val="110"/>
          <w:sz w:val="18"/>
        </w:rPr>
        <w:t> </w:t>
      </w:r>
      <w:r>
        <w:rPr>
          <w:color w:val="231F20"/>
          <w:w w:val="110"/>
          <w:sz w:val="18"/>
        </w:rPr>
        <w:t>small</w:t>
      </w:r>
      <w:r>
        <w:rPr>
          <w:color w:val="231F20"/>
          <w:spacing w:val="8"/>
          <w:w w:val="110"/>
          <w:sz w:val="18"/>
        </w:rPr>
        <w:t> </w:t>
      </w:r>
      <w:r>
        <w:rPr>
          <w:color w:val="231F20"/>
          <w:w w:val="110"/>
          <w:sz w:val="18"/>
        </w:rPr>
        <w:t>grants,</w:t>
      </w:r>
      <w:r>
        <w:rPr>
          <w:color w:val="231F20"/>
          <w:spacing w:val="9"/>
          <w:w w:val="110"/>
          <w:sz w:val="18"/>
        </w:rPr>
        <w:t> </w:t>
      </w:r>
      <w:r>
        <w:rPr>
          <w:color w:val="231F20"/>
          <w:spacing w:val="-3"/>
          <w:w w:val="110"/>
          <w:sz w:val="18"/>
        </w:rPr>
        <w:t>etc.)</w:t>
      </w:r>
      <w:r>
        <w:rPr>
          <w:color w:val="231F20"/>
          <w:spacing w:val="9"/>
          <w:w w:val="110"/>
          <w:sz w:val="18"/>
        </w:rPr>
        <w:t> </w:t>
      </w:r>
      <w:r>
        <w:rPr>
          <w:color w:val="231F20"/>
          <w:w w:val="110"/>
          <w:sz w:val="18"/>
        </w:rPr>
        <w:t>rather</w:t>
      </w:r>
      <w:r>
        <w:rPr>
          <w:color w:val="231F20"/>
          <w:spacing w:val="9"/>
          <w:w w:val="110"/>
          <w:sz w:val="18"/>
        </w:rPr>
        <w:t> </w:t>
      </w:r>
      <w:r>
        <w:rPr>
          <w:color w:val="231F20"/>
          <w:w w:val="110"/>
          <w:sz w:val="18"/>
        </w:rPr>
        <w:t>than</w:t>
      </w:r>
      <w:r>
        <w:rPr>
          <w:color w:val="231F20"/>
          <w:spacing w:val="9"/>
          <w:w w:val="110"/>
          <w:sz w:val="18"/>
        </w:rPr>
        <w:t> </w:t>
      </w:r>
      <w:r>
        <w:rPr>
          <w:color w:val="231F20"/>
          <w:w w:val="110"/>
          <w:sz w:val="18"/>
        </w:rPr>
        <w:t>as</w:t>
      </w:r>
      <w:r>
        <w:rPr>
          <w:color w:val="231F20"/>
          <w:spacing w:val="8"/>
          <w:w w:val="110"/>
          <w:sz w:val="18"/>
        </w:rPr>
        <w:t> </w:t>
      </w:r>
      <w:r>
        <w:rPr>
          <w:color w:val="231F20"/>
          <w:w w:val="110"/>
          <w:sz w:val="18"/>
        </w:rPr>
        <w:t>an</w:t>
      </w:r>
      <w:r>
        <w:rPr>
          <w:color w:val="231F20"/>
          <w:spacing w:val="9"/>
          <w:w w:val="110"/>
          <w:sz w:val="18"/>
        </w:rPr>
        <w:t> </w:t>
      </w:r>
      <w:r>
        <w:rPr>
          <w:color w:val="231F20"/>
          <w:w w:val="110"/>
          <w:sz w:val="18"/>
        </w:rPr>
        <w:t>expression</w:t>
      </w:r>
    </w:p>
    <w:p>
      <w:pPr>
        <w:pStyle w:val="BodyText"/>
        <w:spacing w:line="273" w:lineRule="auto" w:before="3"/>
        <w:ind w:left="1240" w:right="1480"/>
      </w:pPr>
      <w:r>
        <w:rPr>
          <w:color w:val="231F20"/>
          <w:w w:val="110"/>
        </w:rPr>
        <w:t>of increased commitment or expenditure in that area. The most significant change </w:t>
      </w:r>
      <w:r>
        <w:rPr>
          <w:color w:val="231F20"/>
          <w:spacing w:val="3"/>
          <w:w w:val="110"/>
        </w:rPr>
        <w:t>reflects </w:t>
      </w:r>
      <w:r>
        <w:rPr>
          <w:color w:val="231F20"/>
          <w:w w:val="110"/>
        </w:rPr>
        <w:t>the move away </w:t>
      </w:r>
      <w:r>
        <w:rPr>
          <w:color w:val="231F20"/>
          <w:spacing w:val="2"/>
          <w:w w:val="110"/>
        </w:rPr>
        <w:t>from </w:t>
      </w:r>
      <w:r>
        <w:rPr>
          <w:color w:val="231F20"/>
          <w:w w:val="110"/>
        </w:rPr>
        <w:t>committees, which releases considerable additional funds for programme work and </w:t>
      </w:r>
      <w:r>
        <w:rPr>
          <w:color w:val="231F20"/>
          <w:spacing w:val="2"/>
          <w:w w:val="110"/>
        </w:rPr>
        <w:t>networks </w:t>
      </w:r>
      <w:r>
        <w:rPr>
          <w:color w:val="231F20"/>
          <w:w w:val="110"/>
        </w:rPr>
        <w:t>and for a new item mission analysis/development   to fund mission </w:t>
      </w:r>
      <w:r>
        <w:rPr>
          <w:color w:val="231F20"/>
          <w:spacing w:val="2"/>
          <w:w w:val="110"/>
        </w:rPr>
        <w:t>research </w:t>
      </w:r>
      <w:r>
        <w:rPr>
          <w:color w:val="231F20"/>
          <w:spacing w:val="-3"/>
          <w:w w:val="110"/>
        </w:rPr>
        <w:t>(what </w:t>
      </w:r>
      <w:r>
        <w:rPr>
          <w:color w:val="231F20"/>
          <w:w w:val="110"/>
        </w:rPr>
        <w:t>in other </w:t>
      </w:r>
      <w:r>
        <w:rPr>
          <w:color w:val="231F20"/>
          <w:spacing w:val="2"/>
          <w:w w:val="110"/>
        </w:rPr>
        <w:t>circles </w:t>
      </w:r>
      <w:r>
        <w:rPr>
          <w:color w:val="231F20"/>
          <w:w w:val="110"/>
        </w:rPr>
        <w:t>might be termed market research) as a contribution to increasing the </w:t>
      </w:r>
      <w:r>
        <w:rPr>
          <w:color w:val="231F20"/>
          <w:spacing w:val="2"/>
          <w:w w:val="110"/>
        </w:rPr>
        <w:t>effectiveness </w:t>
      </w:r>
      <w:r>
        <w:rPr>
          <w:color w:val="231F20"/>
          <w:w w:val="110"/>
        </w:rPr>
        <w:t>of our work as envisaged in </w:t>
      </w:r>
      <w:r>
        <w:rPr>
          <w:color w:val="231F20"/>
          <w:spacing w:val="2"/>
          <w:w w:val="110"/>
        </w:rPr>
        <w:t>section</w:t>
      </w:r>
      <w:r>
        <w:rPr>
          <w:color w:val="231F20"/>
          <w:spacing w:val="9"/>
          <w:w w:val="110"/>
        </w:rPr>
        <w:t> </w:t>
      </w:r>
      <w:r>
        <w:rPr>
          <w:color w:val="231F20"/>
          <w:w w:val="110"/>
        </w:rPr>
        <w:t>3.</w:t>
      </w:r>
    </w:p>
    <w:p>
      <w:pPr>
        <w:spacing w:after="0" w:line="273" w:lineRule="auto"/>
        <w:sectPr>
          <w:pgSz w:w="11910" w:h="16840"/>
          <w:pgMar w:header="558" w:footer="564" w:top="820" w:bottom="760" w:left="460" w:right="0"/>
        </w:sectPr>
      </w:pPr>
    </w:p>
    <w:p>
      <w:pPr>
        <w:pStyle w:val="BodyText"/>
        <w:spacing w:before="9"/>
        <w:rPr>
          <w:sz w:val="13"/>
        </w:rPr>
      </w:pPr>
    </w:p>
    <w:p>
      <w:pPr>
        <w:numPr>
          <w:ilvl w:val="1"/>
          <w:numId w:val="1"/>
        </w:numPr>
        <w:tabs>
          <w:tab w:pos="1393" w:val="left" w:leader="none"/>
          <w:tab w:pos="1394" w:val="left" w:leader="none"/>
        </w:tabs>
        <w:spacing w:before="101"/>
        <w:ind w:left="1393" w:right="0" w:hanging="721"/>
        <w:jc w:val="left"/>
        <w:rPr>
          <w:b/>
          <w:color w:val="231F20"/>
          <w:sz w:val="18"/>
        </w:rPr>
      </w:pPr>
      <w:r>
        <w:rPr>
          <w:b/>
          <w:color w:val="231F20"/>
          <w:w w:val="110"/>
          <w:sz w:val="18"/>
        </w:rPr>
        <w:t>Ecumenical Dimension</w:t>
      </w:r>
    </w:p>
    <w:p>
      <w:pPr>
        <w:pStyle w:val="BodyText"/>
        <w:spacing w:before="1"/>
        <w:rPr>
          <w:b/>
          <w:sz w:val="23"/>
        </w:rPr>
      </w:pPr>
    </w:p>
    <w:p>
      <w:pPr>
        <w:pStyle w:val="ListParagraph"/>
        <w:numPr>
          <w:ilvl w:val="2"/>
          <w:numId w:val="1"/>
        </w:numPr>
        <w:tabs>
          <w:tab w:pos="1393" w:val="left" w:leader="none"/>
          <w:tab w:pos="1394" w:val="left" w:leader="none"/>
        </w:tabs>
        <w:spacing w:line="273" w:lineRule="auto" w:before="0" w:after="0"/>
        <w:ind w:left="673" w:right="1809" w:firstLine="0"/>
        <w:jc w:val="left"/>
        <w:rPr>
          <w:color w:val="231F20"/>
          <w:sz w:val="18"/>
        </w:rPr>
      </w:pPr>
      <w:r>
        <w:rPr>
          <w:color w:val="231F20"/>
          <w:w w:val="110"/>
          <w:sz w:val="18"/>
        </w:rPr>
        <w:t>Much of the work which constitutes the Mission Department is ecumenical in one form</w:t>
      </w:r>
      <w:r>
        <w:rPr>
          <w:color w:val="231F20"/>
          <w:spacing w:val="8"/>
          <w:w w:val="110"/>
          <w:sz w:val="18"/>
        </w:rPr>
        <w:t> </w:t>
      </w:r>
      <w:r>
        <w:rPr>
          <w:color w:val="231F20"/>
          <w:w w:val="110"/>
          <w:sz w:val="18"/>
        </w:rPr>
        <w:t>or</w:t>
      </w:r>
      <w:r>
        <w:rPr>
          <w:color w:val="231F20"/>
          <w:spacing w:val="8"/>
          <w:w w:val="110"/>
          <w:sz w:val="18"/>
        </w:rPr>
        <w:t> </w:t>
      </w:r>
      <w:r>
        <w:rPr>
          <w:color w:val="231F20"/>
          <w:w w:val="110"/>
          <w:sz w:val="18"/>
        </w:rPr>
        <w:t>another.</w:t>
      </w:r>
      <w:r>
        <w:rPr>
          <w:color w:val="231F20"/>
          <w:spacing w:val="16"/>
          <w:w w:val="110"/>
          <w:sz w:val="18"/>
        </w:rPr>
        <w:t> </w:t>
      </w:r>
      <w:r>
        <w:rPr>
          <w:color w:val="231F20"/>
          <w:w w:val="110"/>
          <w:sz w:val="18"/>
        </w:rPr>
        <w:t>In</w:t>
      </w:r>
      <w:r>
        <w:rPr>
          <w:color w:val="231F20"/>
          <w:spacing w:val="8"/>
          <w:w w:val="110"/>
          <w:sz w:val="18"/>
        </w:rPr>
        <w:t> </w:t>
      </w:r>
      <w:r>
        <w:rPr>
          <w:color w:val="231F20"/>
          <w:w w:val="110"/>
          <w:sz w:val="18"/>
        </w:rPr>
        <w:t>particular</w:t>
      </w:r>
      <w:r>
        <w:rPr>
          <w:color w:val="231F20"/>
          <w:spacing w:val="8"/>
          <w:w w:val="110"/>
          <w:sz w:val="18"/>
        </w:rPr>
        <w:t> </w:t>
      </w:r>
      <w:r>
        <w:rPr>
          <w:color w:val="231F20"/>
          <w:w w:val="110"/>
          <w:sz w:val="18"/>
        </w:rPr>
        <w:t>some</w:t>
      </w:r>
      <w:r>
        <w:rPr>
          <w:color w:val="231F20"/>
          <w:spacing w:val="8"/>
          <w:w w:val="110"/>
          <w:sz w:val="18"/>
        </w:rPr>
        <w:t> </w:t>
      </w:r>
      <w:r>
        <w:rPr>
          <w:color w:val="231F20"/>
          <w:spacing w:val="2"/>
          <w:w w:val="110"/>
          <w:sz w:val="18"/>
        </w:rPr>
        <w:t>aspects</w:t>
      </w:r>
      <w:r>
        <w:rPr>
          <w:color w:val="231F20"/>
          <w:spacing w:val="8"/>
          <w:w w:val="110"/>
          <w:sz w:val="18"/>
        </w:rPr>
        <w:t> </w:t>
      </w:r>
      <w:r>
        <w:rPr>
          <w:color w:val="231F20"/>
          <w:w w:val="110"/>
          <w:sz w:val="18"/>
        </w:rPr>
        <w:t>of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work</w:t>
      </w:r>
      <w:r>
        <w:rPr>
          <w:color w:val="231F20"/>
          <w:spacing w:val="9"/>
          <w:w w:val="110"/>
          <w:sz w:val="18"/>
        </w:rPr>
        <w:t> </w:t>
      </w:r>
      <w:r>
        <w:rPr>
          <w:color w:val="231F20"/>
          <w:w w:val="110"/>
          <w:sz w:val="18"/>
        </w:rPr>
        <w:t>are</w:t>
      </w:r>
      <w:r>
        <w:rPr>
          <w:color w:val="231F20"/>
          <w:spacing w:val="8"/>
          <w:w w:val="110"/>
          <w:sz w:val="18"/>
        </w:rPr>
        <w:t> </w:t>
      </w:r>
      <w:r>
        <w:rPr>
          <w:color w:val="231F20"/>
          <w:w w:val="110"/>
          <w:sz w:val="18"/>
        </w:rPr>
        <w:t>organised</w:t>
      </w:r>
      <w:r>
        <w:rPr>
          <w:color w:val="231F20"/>
          <w:spacing w:val="8"/>
          <w:w w:val="110"/>
          <w:sz w:val="18"/>
        </w:rPr>
        <w:t> </w:t>
      </w:r>
      <w:r>
        <w:rPr>
          <w:color w:val="231F20"/>
          <w:w w:val="110"/>
          <w:sz w:val="18"/>
        </w:rPr>
        <w:t>ecumenically:</w:t>
      </w:r>
    </w:p>
    <w:p>
      <w:pPr>
        <w:pStyle w:val="BodyText"/>
        <w:spacing w:before="2"/>
      </w:pP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URC/Methodist National Rural </w:t>
      </w:r>
      <w:r>
        <w:rPr>
          <w:color w:val="231F20"/>
          <w:spacing w:val="2"/>
          <w:w w:val="110"/>
          <w:sz w:val="18"/>
        </w:rPr>
        <w:t>Officer </w:t>
      </w:r>
      <w:r>
        <w:rPr>
          <w:color w:val="231F20"/>
          <w:w w:val="110"/>
          <w:sz w:val="18"/>
        </w:rPr>
        <w:t>– a shared post and</w:t>
      </w:r>
      <w:r>
        <w:rPr>
          <w:color w:val="231F20"/>
          <w:spacing w:val="24"/>
          <w:w w:val="110"/>
          <w:sz w:val="18"/>
        </w:rPr>
        <w:t> </w:t>
      </w:r>
      <w:r>
        <w:rPr>
          <w:color w:val="231F20"/>
          <w:w w:val="110"/>
          <w:sz w:val="18"/>
        </w:rPr>
        <w:t>programme</w:t>
      </w:r>
    </w:p>
    <w:p>
      <w:pPr>
        <w:pStyle w:val="ListParagraph"/>
        <w:numPr>
          <w:ilvl w:val="0"/>
          <w:numId w:val="2"/>
        </w:numPr>
        <w:tabs>
          <w:tab w:pos="1354" w:val="left" w:leader="none"/>
          <w:tab w:pos="1355" w:val="left" w:leader="none"/>
        </w:tabs>
        <w:spacing w:line="218" w:lineRule="auto" w:before="0" w:after="0"/>
        <w:ind w:left="1354" w:right="1867" w:hanging="681"/>
        <w:jc w:val="left"/>
        <w:rPr>
          <w:color w:val="231F20"/>
          <w:sz w:val="25"/>
        </w:rPr>
      </w:pPr>
      <w:r>
        <w:rPr>
          <w:color w:val="231F20"/>
          <w:w w:val="110"/>
          <w:sz w:val="18"/>
        </w:rPr>
        <w:t>Joint Public Issues </w:t>
      </w:r>
      <w:r>
        <w:rPr>
          <w:color w:val="231F20"/>
          <w:spacing w:val="-4"/>
          <w:w w:val="110"/>
          <w:sz w:val="18"/>
        </w:rPr>
        <w:t>Team </w:t>
      </w:r>
      <w:r>
        <w:rPr>
          <w:color w:val="231F20"/>
          <w:w w:val="110"/>
          <w:sz w:val="18"/>
        </w:rPr>
        <w:t>– bringing together United Reformed Church, Methodist and Baptist work on public </w:t>
      </w:r>
      <w:r>
        <w:rPr>
          <w:color w:val="231F20"/>
          <w:spacing w:val="2"/>
          <w:w w:val="110"/>
          <w:sz w:val="18"/>
        </w:rPr>
        <w:t>affairs </w:t>
      </w:r>
      <w:r>
        <w:rPr>
          <w:color w:val="231F20"/>
          <w:w w:val="110"/>
          <w:sz w:val="18"/>
        </w:rPr>
        <w:t>in a joint</w:t>
      </w:r>
      <w:r>
        <w:rPr>
          <w:color w:val="231F20"/>
          <w:spacing w:val="14"/>
          <w:w w:val="110"/>
          <w:sz w:val="18"/>
        </w:rPr>
        <w:t> </w:t>
      </w:r>
      <w:r>
        <w:rPr>
          <w:color w:val="231F20"/>
          <w:w w:val="110"/>
          <w:sz w:val="18"/>
        </w:rPr>
        <w:t>team.</w:t>
      </w:r>
    </w:p>
    <w:p>
      <w:pPr>
        <w:pStyle w:val="BodyText"/>
        <w:spacing w:before="11"/>
        <w:rPr>
          <w:sz w:val="22"/>
        </w:rPr>
      </w:pPr>
    </w:p>
    <w:p>
      <w:pPr>
        <w:pStyle w:val="BodyText"/>
        <w:spacing w:line="273" w:lineRule="auto"/>
        <w:ind w:left="673" w:right="2009"/>
      </w:pPr>
      <w:r>
        <w:rPr>
          <w:color w:val="231F20"/>
          <w:spacing w:val="2"/>
          <w:w w:val="110"/>
        </w:rPr>
        <w:t>There </w:t>
      </w:r>
      <w:r>
        <w:rPr>
          <w:color w:val="231F20"/>
          <w:w w:val="110"/>
        </w:rPr>
        <w:t>is also the Methodist-URC Liaison Committee meeting the needs of Methodist- URC congregations, and there are ongoing explorations in other areas of our life where work might be more </w:t>
      </w:r>
      <w:r>
        <w:rPr>
          <w:color w:val="231F20"/>
          <w:spacing w:val="2"/>
          <w:w w:val="110"/>
        </w:rPr>
        <w:t>effectively </w:t>
      </w:r>
      <w:r>
        <w:rPr>
          <w:color w:val="231F20"/>
          <w:w w:val="110"/>
        </w:rPr>
        <w:t>handled collaboratively between two or more churches pooling their resources. All of this will continue with the Mission Department and  Mission Council encouraging it as an important contribution to the development of the United Reformed Church’s life and</w:t>
      </w:r>
      <w:r>
        <w:rPr>
          <w:color w:val="231F20"/>
          <w:spacing w:val="8"/>
          <w:w w:val="110"/>
        </w:rPr>
        <w:t> </w:t>
      </w:r>
      <w:r>
        <w:rPr>
          <w:color w:val="231F20"/>
          <w:w w:val="110"/>
        </w:rPr>
        <w:t>witness.</w:t>
      </w:r>
    </w:p>
    <w:p>
      <w:pPr>
        <w:pStyle w:val="BodyText"/>
        <w:spacing w:before="11"/>
        <w:rPr>
          <w:sz w:val="20"/>
        </w:rPr>
      </w:pPr>
    </w:p>
    <w:p>
      <w:pPr>
        <w:pStyle w:val="ListParagraph"/>
        <w:numPr>
          <w:ilvl w:val="2"/>
          <w:numId w:val="1"/>
        </w:numPr>
        <w:tabs>
          <w:tab w:pos="1393" w:val="left" w:leader="none"/>
          <w:tab w:pos="1394" w:val="left" w:leader="none"/>
        </w:tabs>
        <w:spacing w:line="273" w:lineRule="auto" w:before="0" w:after="0"/>
        <w:ind w:left="673" w:right="1958" w:hanging="1"/>
        <w:jc w:val="left"/>
        <w:rPr>
          <w:color w:val="231F20"/>
          <w:sz w:val="18"/>
        </w:rPr>
      </w:pPr>
      <w:r>
        <w:rPr>
          <w:color w:val="231F20"/>
          <w:w w:val="110"/>
          <w:sz w:val="18"/>
        </w:rPr>
        <w:t>Such collaborative working places additional </w:t>
      </w:r>
      <w:r>
        <w:rPr>
          <w:color w:val="231F20"/>
          <w:spacing w:val="2"/>
          <w:w w:val="110"/>
          <w:sz w:val="18"/>
        </w:rPr>
        <w:t>resources </w:t>
      </w:r>
      <w:r>
        <w:rPr>
          <w:color w:val="231F20"/>
          <w:w w:val="110"/>
          <w:sz w:val="18"/>
        </w:rPr>
        <w:t>(expertise, </w:t>
      </w:r>
      <w:r>
        <w:rPr>
          <w:color w:val="231F20"/>
          <w:spacing w:val="-3"/>
          <w:w w:val="110"/>
          <w:sz w:val="18"/>
        </w:rPr>
        <w:t>etc.) </w:t>
      </w:r>
      <w:r>
        <w:rPr>
          <w:color w:val="231F20"/>
          <w:w w:val="110"/>
          <w:sz w:val="18"/>
        </w:rPr>
        <w:t>at our disposal, which can be to our considerable benefit. At the same time it enables us to share our particular </w:t>
      </w:r>
      <w:r>
        <w:rPr>
          <w:color w:val="231F20"/>
          <w:spacing w:val="2"/>
          <w:w w:val="110"/>
          <w:sz w:val="18"/>
        </w:rPr>
        <w:t>gifts </w:t>
      </w:r>
      <w:r>
        <w:rPr>
          <w:color w:val="231F20"/>
          <w:w w:val="110"/>
          <w:sz w:val="18"/>
        </w:rPr>
        <w:t>with our </w:t>
      </w:r>
      <w:r>
        <w:rPr>
          <w:color w:val="231F20"/>
          <w:spacing w:val="2"/>
          <w:w w:val="110"/>
          <w:sz w:val="18"/>
        </w:rPr>
        <w:t>partners. </w:t>
      </w:r>
      <w:r>
        <w:rPr>
          <w:color w:val="231F20"/>
          <w:w w:val="110"/>
          <w:sz w:val="18"/>
        </w:rPr>
        <w:t>Accordingly, we cannot plan our work in isolation. This is not a problem, as it accords with our ethos and potentially gives us greater scope to </w:t>
      </w:r>
      <w:r>
        <w:rPr>
          <w:color w:val="231F20"/>
          <w:spacing w:val="2"/>
          <w:w w:val="110"/>
          <w:sz w:val="18"/>
        </w:rPr>
        <w:t>better </w:t>
      </w:r>
      <w:r>
        <w:rPr>
          <w:color w:val="231F20"/>
          <w:w w:val="110"/>
          <w:sz w:val="18"/>
        </w:rPr>
        <w:t>support the significant number of our local churches which are in local ecumenical </w:t>
      </w:r>
      <w:r>
        <w:rPr>
          <w:color w:val="231F20"/>
          <w:spacing w:val="2"/>
          <w:w w:val="110"/>
          <w:sz w:val="18"/>
        </w:rPr>
        <w:t>partnerships </w:t>
      </w:r>
      <w:r>
        <w:rPr>
          <w:color w:val="231F20"/>
          <w:w w:val="110"/>
          <w:sz w:val="18"/>
        </w:rPr>
        <w:t>of one form or another, in line with the intention to develop a dynamic relationship between central and local</w:t>
      </w:r>
      <w:r>
        <w:rPr>
          <w:color w:val="231F20"/>
          <w:spacing w:val="33"/>
          <w:w w:val="110"/>
          <w:sz w:val="18"/>
        </w:rPr>
        <w:t> </w:t>
      </w:r>
      <w:r>
        <w:rPr>
          <w:color w:val="231F20"/>
          <w:w w:val="110"/>
          <w:sz w:val="18"/>
        </w:rPr>
        <w:t>priorities.</w:t>
      </w: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spacing w:before="100"/>
        <w:ind w:left="38" w:right="1251"/>
        <w:jc w:val="center"/>
      </w:pPr>
      <w:r>
        <w:rPr>
          <w:color w:val="231F20"/>
          <w:w w:val="110"/>
        </w:rPr>
        <w:t>Local church</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8"/>
        </w:rPr>
      </w:pPr>
    </w:p>
    <w:p>
      <w:pPr>
        <w:pStyle w:val="BodyText"/>
        <w:tabs>
          <w:tab w:pos="6771" w:val="left" w:leader="none"/>
        </w:tabs>
        <w:ind w:left="2522"/>
      </w:pPr>
      <w:r>
        <w:rPr>
          <w:color w:val="231F20"/>
          <w:w w:val="110"/>
        </w:rPr>
        <w:t>Mission</w:t>
        <w:tab/>
        <w:t>Ecumenical</w:t>
      </w:r>
    </w:p>
    <w:p>
      <w:pPr>
        <w:pStyle w:val="BodyText"/>
        <w:tabs>
          <w:tab w:pos="6912" w:val="left" w:leader="none"/>
        </w:tabs>
        <w:spacing w:before="31"/>
        <w:ind w:left="2310"/>
      </w:pPr>
      <w:r>
        <w:rPr>
          <w:color w:val="231F20"/>
          <w:w w:val="110"/>
        </w:rPr>
        <w:t>Department</w:t>
        <w:tab/>
      </w:r>
      <w:r>
        <w:rPr>
          <w:color w:val="231F20"/>
          <w:spacing w:val="2"/>
          <w:w w:val="110"/>
        </w:rPr>
        <w:t>partners</w:t>
      </w:r>
    </w:p>
    <w:p>
      <w:pPr>
        <w:pStyle w:val="BodyText"/>
        <w:rPr>
          <w:sz w:val="20"/>
        </w:rPr>
      </w:pPr>
    </w:p>
    <w:p>
      <w:pPr>
        <w:pStyle w:val="BodyText"/>
        <w:rPr>
          <w:sz w:val="20"/>
        </w:rPr>
      </w:pPr>
    </w:p>
    <w:p>
      <w:pPr>
        <w:pStyle w:val="BodyText"/>
        <w:rPr>
          <w:sz w:val="20"/>
        </w:rPr>
      </w:pPr>
    </w:p>
    <w:p>
      <w:pPr>
        <w:pStyle w:val="BodyText"/>
        <w:spacing w:before="9"/>
        <w:rPr>
          <w:sz w:val="28"/>
        </w:rPr>
      </w:pPr>
    </w:p>
    <w:p>
      <w:pPr>
        <w:spacing w:before="102"/>
        <w:ind w:left="2755" w:right="0" w:firstLine="0"/>
        <w:jc w:val="left"/>
        <w:rPr>
          <w:i/>
          <w:sz w:val="16"/>
        </w:rPr>
      </w:pPr>
      <w:r>
        <w:rPr>
          <w:i/>
          <w:color w:val="231F20"/>
          <w:w w:val="110"/>
          <w:sz w:val="16"/>
        </w:rPr>
        <w:t>Figure 5 – Towards dynamic ecumenical relationships</w:t>
      </w:r>
    </w:p>
    <w:p>
      <w:pPr>
        <w:pStyle w:val="BodyText"/>
        <w:rPr>
          <w:i/>
          <w:sz w:val="20"/>
        </w:rPr>
      </w:pPr>
    </w:p>
    <w:p>
      <w:pPr>
        <w:pStyle w:val="BodyText"/>
        <w:spacing w:before="1"/>
        <w:rPr>
          <w:i/>
          <w:sz w:val="24"/>
        </w:rPr>
      </w:pPr>
    </w:p>
    <w:p>
      <w:pPr>
        <w:pStyle w:val="ListParagraph"/>
        <w:numPr>
          <w:ilvl w:val="2"/>
          <w:numId w:val="1"/>
        </w:numPr>
        <w:tabs>
          <w:tab w:pos="1393" w:val="left" w:leader="none"/>
          <w:tab w:pos="1394" w:val="left" w:leader="none"/>
        </w:tabs>
        <w:spacing w:line="273" w:lineRule="auto" w:before="0" w:after="0"/>
        <w:ind w:left="673" w:right="1757" w:firstLine="0"/>
        <w:jc w:val="left"/>
        <w:rPr>
          <w:color w:val="231F20"/>
          <w:sz w:val="18"/>
        </w:rPr>
      </w:pPr>
      <w:r>
        <w:rPr>
          <w:color w:val="231F20"/>
          <w:spacing w:val="3"/>
          <w:w w:val="110"/>
          <w:sz w:val="18"/>
        </w:rPr>
        <w:t>As </w:t>
      </w:r>
      <w:r>
        <w:rPr>
          <w:color w:val="231F20"/>
          <w:spacing w:val="2"/>
          <w:w w:val="110"/>
          <w:sz w:val="18"/>
        </w:rPr>
        <w:t>part </w:t>
      </w:r>
      <w:r>
        <w:rPr>
          <w:color w:val="231F20"/>
          <w:w w:val="110"/>
          <w:sz w:val="18"/>
        </w:rPr>
        <w:t>of this approach the Mission Department should make space for regularly meeting with those who </w:t>
      </w:r>
      <w:r>
        <w:rPr>
          <w:color w:val="231F20"/>
          <w:spacing w:val="2"/>
          <w:w w:val="110"/>
          <w:sz w:val="18"/>
        </w:rPr>
        <w:t>represent </w:t>
      </w:r>
      <w:r>
        <w:rPr>
          <w:color w:val="231F20"/>
          <w:w w:val="110"/>
          <w:sz w:val="18"/>
        </w:rPr>
        <w:t>us on ecumenical bodies, as </w:t>
      </w:r>
      <w:r>
        <w:rPr>
          <w:color w:val="231F20"/>
          <w:spacing w:val="2"/>
          <w:w w:val="110"/>
          <w:sz w:val="18"/>
        </w:rPr>
        <w:t>part </w:t>
      </w:r>
      <w:r>
        <w:rPr>
          <w:color w:val="231F20"/>
          <w:w w:val="110"/>
          <w:sz w:val="18"/>
        </w:rPr>
        <w:t>of our support for their work on our behalf and to ensure that our approach to mission and theology is informed by ecumenical thought and</w:t>
      </w:r>
      <w:r>
        <w:rPr>
          <w:color w:val="231F20"/>
          <w:spacing w:val="10"/>
          <w:w w:val="110"/>
          <w:sz w:val="18"/>
        </w:rPr>
        <w:t> </w:t>
      </w:r>
      <w:r>
        <w:rPr>
          <w:color w:val="231F20"/>
          <w:w w:val="110"/>
          <w:sz w:val="18"/>
        </w:rPr>
        <w:t>practice.</w:t>
      </w:r>
    </w:p>
    <w:p>
      <w:pPr>
        <w:spacing w:after="0" w:line="273" w:lineRule="auto"/>
        <w:jc w:val="left"/>
        <w:rPr>
          <w:sz w:val="18"/>
        </w:rPr>
        <w:sectPr>
          <w:pgSz w:w="11910" w:h="16840"/>
          <w:pgMar w:header="558" w:footer="564" w:top="820" w:bottom="760" w:left="460" w:right="0"/>
        </w:sectPr>
      </w:pPr>
    </w:p>
    <w:p>
      <w:pPr>
        <w:pStyle w:val="BodyText"/>
        <w:spacing w:before="9"/>
        <w:rPr>
          <w:sz w:val="13"/>
        </w:rPr>
      </w:pPr>
    </w:p>
    <w:p>
      <w:pPr>
        <w:numPr>
          <w:ilvl w:val="1"/>
          <w:numId w:val="1"/>
        </w:numPr>
        <w:tabs>
          <w:tab w:pos="1790" w:val="left" w:leader="none"/>
          <w:tab w:pos="1791" w:val="left" w:leader="none"/>
        </w:tabs>
        <w:spacing w:before="101"/>
        <w:ind w:left="1790" w:right="0" w:hanging="721"/>
        <w:jc w:val="left"/>
        <w:rPr>
          <w:b/>
          <w:color w:val="231F20"/>
          <w:sz w:val="18"/>
        </w:rPr>
      </w:pPr>
      <w:r>
        <w:rPr>
          <w:b/>
          <w:color w:val="231F20"/>
          <w:w w:val="110"/>
          <w:sz w:val="18"/>
        </w:rPr>
        <w:t>Implementation</w:t>
      </w:r>
    </w:p>
    <w:p>
      <w:pPr>
        <w:pStyle w:val="BodyText"/>
        <w:spacing w:before="5"/>
        <w:rPr>
          <w:b/>
          <w:sz w:val="21"/>
        </w:rPr>
      </w:pPr>
    </w:p>
    <w:p>
      <w:pPr>
        <w:pStyle w:val="ListParagraph"/>
        <w:numPr>
          <w:ilvl w:val="2"/>
          <w:numId w:val="1"/>
        </w:numPr>
        <w:tabs>
          <w:tab w:pos="1790" w:val="left" w:leader="none"/>
          <w:tab w:pos="1791" w:val="left" w:leader="none"/>
        </w:tabs>
        <w:spacing w:line="264" w:lineRule="auto" w:before="1" w:after="0"/>
        <w:ind w:left="1070" w:right="1203" w:firstLine="0"/>
        <w:jc w:val="left"/>
        <w:rPr>
          <w:color w:val="231F20"/>
          <w:sz w:val="18"/>
        </w:rPr>
      </w:pPr>
      <w:r>
        <w:rPr>
          <w:color w:val="231F20"/>
          <w:w w:val="110"/>
          <w:sz w:val="18"/>
        </w:rPr>
        <w:t>Assuming the 2007 General Assembly agrees this or some variant of this proposal, implementation will begin following the Assembly as</w:t>
      </w:r>
      <w:r>
        <w:rPr>
          <w:color w:val="231F20"/>
          <w:spacing w:val="18"/>
          <w:w w:val="110"/>
          <w:sz w:val="18"/>
        </w:rPr>
        <w:t> </w:t>
      </w:r>
      <w:r>
        <w:rPr>
          <w:color w:val="231F20"/>
          <w:w w:val="110"/>
          <w:sz w:val="18"/>
        </w:rPr>
        <w:t>follows:</w:t>
      </w:r>
    </w:p>
    <w:p>
      <w:pPr>
        <w:pStyle w:val="BodyText"/>
        <w:spacing w:before="7"/>
        <w:rPr>
          <w:sz w:val="19"/>
        </w:rPr>
      </w:pPr>
    </w:p>
    <w:p>
      <w:pPr>
        <w:pStyle w:val="BodyText"/>
        <w:spacing w:line="214" w:lineRule="exact"/>
        <w:ind w:left="1070"/>
      </w:pPr>
      <w:r>
        <w:rPr>
          <w:color w:val="231F20"/>
          <w:w w:val="110"/>
        </w:rPr>
        <w:t>Transitional Period up to 2008 General Assembly</w:t>
      </w:r>
    </w:p>
    <w:p>
      <w:pPr>
        <w:pStyle w:val="ListParagraph"/>
        <w:numPr>
          <w:ilvl w:val="3"/>
          <w:numId w:val="1"/>
        </w:numPr>
        <w:tabs>
          <w:tab w:pos="1750" w:val="left" w:leader="none"/>
          <w:tab w:pos="1752" w:val="left" w:leader="none"/>
        </w:tabs>
        <w:spacing w:line="282" w:lineRule="exact" w:before="0" w:after="0"/>
        <w:ind w:left="1751" w:right="0" w:hanging="682"/>
        <w:jc w:val="left"/>
        <w:rPr>
          <w:sz w:val="18"/>
        </w:rPr>
      </w:pPr>
      <w:r>
        <w:rPr>
          <w:color w:val="231F20"/>
          <w:w w:val="110"/>
          <w:sz w:val="18"/>
        </w:rPr>
        <w:t>Existing committees wind up their business, identifying specific unfinished</w:t>
      </w:r>
      <w:r>
        <w:rPr>
          <w:color w:val="231F20"/>
          <w:spacing w:val="51"/>
          <w:w w:val="110"/>
          <w:sz w:val="18"/>
        </w:rPr>
        <w:t> </w:t>
      </w:r>
      <w:r>
        <w:rPr>
          <w:color w:val="231F20"/>
          <w:w w:val="110"/>
          <w:sz w:val="18"/>
        </w:rPr>
        <w:t>policy</w:t>
      </w:r>
    </w:p>
    <w:p>
      <w:pPr>
        <w:pStyle w:val="BodyText"/>
        <w:spacing w:line="202" w:lineRule="exact"/>
        <w:ind w:left="1751"/>
      </w:pPr>
      <w:r>
        <w:rPr>
          <w:color w:val="231F20"/>
          <w:w w:val="110"/>
        </w:rPr>
        <w:t>work which needs to be </w:t>
      </w:r>
      <w:r>
        <w:rPr>
          <w:color w:val="231F20"/>
          <w:spacing w:val="2"/>
          <w:w w:val="110"/>
        </w:rPr>
        <w:t>carried forward </w:t>
      </w:r>
      <w:r>
        <w:rPr>
          <w:color w:val="231F20"/>
          <w:w w:val="110"/>
        </w:rPr>
        <w:t>(Mission Council will review and decide</w:t>
      </w:r>
      <w:r>
        <w:rPr>
          <w:color w:val="231F20"/>
          <w:spacing w:val="54"/>
          <w:w w:val="110"/>
        </w:rPr>
        <w:t> </w:t>
      </w:r>
      <w:r>
        <w:rPr>
          <w:color w:val="231F20"/>
          <w:w w:val="110"/>
        </w:rPr>
        <w:t>on</w:t>
      </w:r>
    </w:p>
    <w:p>
      <w:pPr>
        <w:pStyle w:val="BodyText"/>
        <w:spacing w:line="214" w:lineRule="exact" w:before="22"/>
        <w:ind w:left="1751"/>
      </w:pPr>
      <w:r>
        <w:rPr>
          <w:color w:val="231F20"/>
          <w:w w:val="110"/>
        </w:rPr>
        <w:t>such action as is called for).</w:t>
      </w:r>
    </w:p>
    <w:p>
      <w:pPr>
        <w:pStyle w:val="ListParagraph"/>
        <w:numPr>
          <w:ilvl w:val="3"/>
          <w:numId w:val="1"/>
        </w:numPr>
        <w:tabs>
          <w:tab w:pos="1750" w:val="left" w:leader="none"/>
          <w:tab w:pos="1752" w:val="left" w:leader="none"/>
        </w:tabs>
        <w:spacing w:line="283" w:lineRule="exact" w:before="0" w:after="0"/>
        <w:ind w:left="1751" w:right="0" w:hanging="682"/>
        <w:jc w:val="left"/>
        <w:rPr>
          <w:sz w:val="18"/>
        </w:rPr>
      </w:pPr>
      <w:r>
        <w:rPr>
          <w:color w:val="231F20"/>
          <w:w w:val="110"/>
          <w:sz w:val="18"/>
        </w:rPr>
        <w:t>Committees not </w:t>
      </w:r>
      <w:r>
        <w:rPr>
          <w:color w:val="231F20"/>
          <w:spacing w:val="2"/>
          <w:w w:val="110"/>
          <w:sz w:val="18"/>
        </w:rPr>
        <w:t>reporting </w:t>
      </w:r>
      <w:r>
        <w:rPr>
          <w:color w:val="231F20"/>
          <w:w w:val="110"/>
          <w:sz w:val="18"/>
        </w:rPr>
        <w:t>to the 2008 Assembly will hold their final meeting</w:t>
      </w:r>
      <w:r>
        <w:rPr>
          <w:color w:val="231F20"/>
          <w:spacing w:val="57"/>
          <w:w w:val="110"/>
          <w:sz w:val="18"/>
        </w:rPr>
        <w:t> </w:t>
      </w:r>
      <w:r>
        <w:rPr>
          <w:color w:val="231F20"/>
          <w:spacing w:val="2"/>
          <w:w w:val="110"/>
          <w:sz w:val="18"/>
        </w:rPr>
        <w:t>before</w:t>
      </w:r>
    </w:p>
    <w:p>
      <w:pPr>
        <w:pStyle w:val="BodyText"/>
        <w:spacing w:line="197" w:lineRule="exact"/>
        <w:ind w:left="1751"/>
      </w:pPr>
      <w:r>
        <w:rPr>
          <w:color w:val="231F20"/>
          <w:w w:val="110"/>
        </w:rPr>
        <w:t>the end of December 2007.</w:t>
      </w:r>
    </w:p>
    <w:p>
      <w:pPr>
        <w:pStyle w:val="ListParagraph"/>
        <w:numPr>
          <w:ilvl w:val="3"/>
          <w:numId w:val="1"/>
        </w:numPr>
        <w:tabs>
          <w:tab w:pos="1750" w:val="left" w:leader="none"/>
          <w:tab w:pos="1752" w:val="left" w:leader="none"/>
        </w:tabs>
        <w:spacing w:line="283" w:lineRule="exact" w:before="0" w:after="0"/>
        <w:ind w:left="1751" w:right="0" w:hanging="682"/>
        <w:jc w:val="left"/>
        <w:rPr>
          <w:sz w:val="18"/>
        </w:rPr>
      </w:pPr>
      <w:r>
        <w:rPr>
          <w:color w:val="231F20"/>
          <w:w w:val="110"/>
          <w:sz w:val="18"/>
        </w:rPr>
        <w:t>Committees </w:t>
      </w:r>
      <w:r>
        <w:rPr>
          <w:color w:val="231F20"/>
          <w:spacing w:val="2"/>
          <w:w w:val="110"/>
          <w:sz w:val="18"/>
        </w:rPr>
        <w:t>reporting </w:t>
      </w:r>
      <w:r>
        <w:rPr>
          <w:color w:val="231F20"/>
          <w:w w:val="110"/>
          <w:sz w:val="18"/>
        </w:rPr>
        <w:t>to the 2008 Assembly may continue into 2008 if</w:t>
      </w:r>
      <w:r>
        <w:rPr>
          <w:color w:val="231F20"/>
          <w:spacing w:val="52"/>
          <w:w w:val="110"/>
          <w:sz w:val="18"/>
        </w:rPr>
        <w:t> </w:t>
      </w:r>
      <w:r>
        <w:rPr>
          <w:color w:val="231F20"/>
          <w:spacing w:val="2"/>
          <w:w w:val="110"/>
          <w:sz w:val="18"/>
        </w:rPr>
        <w:t>necessary</w:t>
      </w:r>
    </w:p>
    <w:p>
      <w:pPr>
        <w:pStyle w:val="BodyText"/>
        <w:spacing w:line="197" w:lineRule="exact"/>
        <w:ind w:left="1751"/>
      </w:pPr>
      <w:r>
        <w:rPr>
          <w:color w:val="231F20"/>
          <w:w w:val="110"/>
        </w:rPr>
        <w:t>to finalise their Assembly report.</w:t>
      </w:r>
    </w:p>
    <w:p>
      <w:pPr>
        <w:pStyle w:val="ListParagraph"/>
        <w:numPr>
          <w:ilvl w:val="3"/>
          <w:numId w:val="1"/>
        </w:numPr>
        <w:tabs>
          <w:tab w:pos="1750" w:val="left" w:leader="none"/>
          <w:tab w:pos="1752" w:val="left" w:leader="none"/>
        </w:tabs>
        <w:spacing w:line="211" w:lineRule="auto" w:before="20" w:after="0"/>
        <w:ind w:left="1751" w:right="1195" w:hanging="681"/>
        <w:jc w:val="left"/>
        <w:rPr>
          <w:sz w:val="18"/>
        </w:rPr>
      </w:pPr>
      <w:r>
        <w:rPr>
          <w:color w:val="231F20"/>
          <w:w w:val="110"/>
          <w:sz w:val="18"/>
        </w:rPr>
        <w:t>The new Committee will be </w:t>
      </w:r>
      <w:r>
        <w:rPr>
          <w:color w:val="231F20"/>
          <w:spacing w:val="2"/>
          <w:w w:val="110"/>
          <w:sz w:val="18"/>
        </w:rPr>
        <w:t>selected </w:t>
      </w:r>
      <w:r>
        <w:rPr>
          <w:color w:val="231F20"/>
          <w:w w:val="110"/>
          <w:sz w:val="18"/>
        </w:rPr>
        <w:t>by the Nominations Committee, and come into being in the Spring of</w:t>
      </w:r>
      <w:r>
        <w:rPr>
          <w:color w:val="231F20"/>
          <w:spacing w:val="5"/>
          <w:w w:val="110"/>
          <w:sz w:val="18"/>
        </w:rPr>
        <w:t> </w:t>
      </w:r>
      <w:r>
        <w:rPr>
          <w:color w:val="231F20"/>
          <w:w w:val="110"/>
          <w:sz w:val="18"/>
        </w:rPr>
        <w:t>2008.</w:t>
      </w:r>
    </w:p>
    <w:p>
      <w:pPr>
        <w:pStyle w:val="ListParagraph"/>
        <w:numPr>
          <w:ilvl w:val="3"/>
          <w:numId w:val="1"/>
        </w:numPr>
        <w:tabs>
          <w:tab w:pos="1750" w:val="left" w:leader="none"/>
          <w:tab w:pos="1752" w:val="left" w:leader="none"/>
        </w:tabs>
        <w:spacing w:line="267" w:lineRule="exact" w:before="0" w:after="0"/>
        <w:ind w:left="1751" w:right="0" w:hanging="682"/>
        <w:jc w:val="left"/>
        <w:rPr>
          <w:sz w:val="18"/>
        </w:rPr>
      </w:pPr>
      <w:r>
        <w:rPr>
          <w:color w:val="231F20"/>
          <w:w w:val="110"/>
          <w:sz w:val="18"/>
        </w:rPr>
        <w:t>The</w:t>
      </w:r>
      <w:r>
        <w:rPr>
          <w:color w:val="231F20"/>
          <w:spacing w:val="-10"/>
          <w:w w:val="110"/>
          <w:sz w:val="18"/>
        </w:rPr>
        <w:t> </w:t>
      </w:r>
      <w:r>
        <w:rPr>
          <w:color w:val="231F20"/>
          <w:w w:val="110"/>
          <w:sz w:val="18"/>
        </w:rPr>
        <w:t>current</w:t>
      </w:r>
      <w:r>
        <w:rPr>
          <w:color w:val="231F20"/>
          <w:spacing w:val="-9"/>
          <w:w w:val="110"/>
          <w:sz w:val="18"/>
        </w:rPr>
        <w:t> </w:t>
      </w:r>
      <w:r>
        <w:rPr>
          <w:color w:val="231F20"/>
          <w:w w:val="110"/>
          <w:sz w:val="18"/>
        </w:rPr>
        <w:t>informal</w:t>
      </w:r>
      <w:r>
        <w:rPr>
          <w:color w:val="231F20"/>
          <w:spacing w:val="-10"/>
          <w:w w:val="110"/>
          <w:sz w:val="18"/>
        </w:rPr>
        <w:t> </w:t>
      </w:r>
      <w:r>
        <w:rPr>
          <w:color w:val="231F20"/>
          <w:w w:val="110"/>
          <w:sz w:val="18"/>
        </w:rPr>
        <w:t>Mission</w:t>
      </w:r>
      <w:r>
        <w:rPr>
          <w:color w:val="231F20"/>
          <w:spacing w:val="-9"/>
          <w:w w:val="110"/>
          <w:sz w:val="18"/>
        </w:rPr>
        <w:t> </w:t>
      </w:r>
      <w:r>
        <w:rPr>
          <w:color w:val="231F20"/>
          <w:w w:val="110"/>
          <w:sz w:val="18"/>
        </w:rPr>
        <w:t>executive</w:t>
      </w:r>
      <w:r>
        <w:rPr>
          <w:color w:val="231F20"/>
          <w:spacing w:val="-9"/>
          <w:w w:val="110"/>
          <w:sz w:val="18"/>
        </w:rPr>
        <w:t> </w:t>
      </w:r>
      <w:r>
        <w:rPr>
          <w:color w:val="231F20"/>
          <w:w w:val="110"/>
          <w:sz w:val="18"/>
        </w:rPr>
        <w:t>staff</w:t>
      </w:r>
      <w:r>
        <w:rPr>
          <w:color w:val="231F20"/>
          <w:spacing w:val="-10"/>
          <w:w w:val="110"/>
          <w:sz w:val="18"/>
        </w:rPr>
        <w:t> </w:t>
      </w:r>
      <w:r>
        <w:rPr>
          <w:color w:val="231F20"/>
          <w:w w:val="110"/>
          <w:sz w:val="18"/>
        </w:rPr>
        <w:t>team</w:t>
      </w:r>
      <w:r>
        <w:rPr>
          <w:color w:val="231F20"/>
          <w:spacing w:val="-9"/>
          <w:w w:val="110"/>
          <w:sz w:val="18"/>
        </w:rPr>
        <w:t> </w:t>
      </w:r>
      <w:r>
        <w:rPr>
          <w:color w:val="231F20"/>
          <w:w w:val="110"/>
          <w:sz w:val="18"/>
        </w:rPr>
        <w:t>meeting</w:t>
      </w:r>
      <w:r>
        <w:rPr>
          <w:color w:val="231F20"/>
          <w:spacing w:val="-10"/>
          <w:w w:val="110"/>
          <w:sz w:val="18"/>
        </w:rPr>
        <w:t> </w:t>
      </w:r>
      <w:r>
        <w:rPr>
          <w:color w:val="231F20"/>
          <w:w w:val="110"/>
          <w:sz w:val="18"/>
        </w:rPr>
        <w:t>will</w:t>
      </w:r>
      <w:r>
        <w:rPr>
          <w:color w:val="231F20"/>
          <w:spacing w:val="-9"/>
          <w:w w:val="110"/>
          <w:sz w:val="18"/>
        </w:rPr>
        <w:t> </w:t>
      </w:r>
      <w:r>
        <w:rPr>
          <w:color w:val="231F20"/>
          <w:w w:val="110"/>
          <w:sz w:val="18"/>
        </w:rPr>
        <w:t>be</w:t>
      </w:r>
      <w:r>
        <w:rPr>
          <w:color w:val="231F20"/>
          <w:spacing w:val="-9"/>
          <w:w w:val="110"/>
          <w:sz w:val="18"/>
        </w:rPr>
        <w:t> </w:t>
      </w:r>
      <w:r>
        <w:rPr>
          <w:color w:val="231F20"/>
          <w:w w:val="110"/>
          <w:sz w:val="18"/>
        </w:rPr>
        <w:t>formally</w:t>
      </w:r>
      <w:r>
        <w:rPr>
          <w:color w:val="231F20"/>
          <w:spacing w:val="-10"/>
          <w:w w:val="110"/>
          <w:sz w:val="18"/>
        </w:rPr>
        <w:t> </w:t>
      </w:r>
      <w:r>
        <w:rPr>
          <w:color w:val="231F20"/>
          <w:w w:val="110"/>
          <w:sz w:val="18"/>
        </w:rPr>
        <w:t>constituted.</w:t>
      </w:r>
    </w:p>
    <w:p>
      <w:pPr>
        <w:pStyle w:val="ListParagraph"/>
        <w:numPr>
          <w:ilvl w:val="3"/>
          <w:numId w:val="1"/>
        </w:numPr>
        <w:tabs>
          <w:tab w:pos="1750" w:val="left" w:leader="none"/>
          <w:tab w:pos="1752" w:val="left" w:leader="none"/>
        </w:tabs>
        <w:spacing w:line="211" w:lineRule="auto" w:before="0" w:after="0"/>
        <w:ind w:left="1751" w:right="1287" w:hanging="681"/>
        <w:jc w:val="left"/>
        <w:rPr>
          <w:sz w:val="18"/>
        </w:rPr>
      </w:pPr>
      <w:r>
        <w:rPr>
          <w:color w:val="231F20"/>
          <w:w w:val="110"/>
          <w:sz w:val="18"/>
        </w:rPr>
        <w:t>Mission </w:t>
      </w:r>
      <w:r>
        <w:rPr>
          <w:color w:val="231F20"/>
          <w:spacing w:val="3"/>
          <w:w w:val="110"/>
          <w:sz w:val="18"/>
        </w:rPr>
        <w:t>staff </w:t>
      </w:r>
      <w:r>
        <w:rPr>
          <w:color w:val="231F20"/>
          <w:w w:val="110"/>
          <w:sz w:val="18"/>
        </w:rPr>
        <w:t>job descriptions will be amended to bring them into line with the new working</w:t>
      </w:r>
      <w:r>
        <w:rPr>
          <w:color w:val="231F20"/>
          <w:spacing w:val="1"/>
          <w:w w:val="110"/>
          <w:sz w:val="18"/>
        </w:rPr>
        <w:t> </w:t>
      </w:r>
      <w:r>
        <w:rPr>
          <w:color w:val="231F20"/>
          <w:w w:val="110"/>
          <w:sz w:val="18"/>
        </w:rPr>
        <w:t>arrangements.</w:t>
      </w:r>
    </w:p>
    <w:p>
      <w:pPr>
        <w:pStyle w:val="ListParagraph"/>
        <w:numPr>
          <w:ilvl w:val="3"/>
          <w:numId w:val="1"/>
        </w:numPr>
        <w:tabs>
          <w:tab w:pos="1750" w:val="left" w:leader="none"/>
          <w:tab w:pos="1752" w:val="left" w:leader="none"/>
        </w:tabs>
        <w:spacing w:line="282" w:lineRule="exact" w:before="0" w:after="0"/>
        <w:ind w:left="1751" w:right="0" w:hanging="682"/>
        <w:jc w:val="left"/>
        <w:rPr>
          <w:sz w:val="18"/>
        </w:rPr>
      </w:pPr>
      <w:r>
        <w:rPr>
          <w:color w:val="231F20"/>
          <w:w w:val="110"/>
          <w:sz w:val="18"/>
        </w:rPr>
        <w:t>New working </w:t>
      </w:r>
      <w:r>
        <w:rPr>
          <w:color w:val="231F20"/>
          <w:spacing w:val="2"/>
          <w:w w:val="110"/>
          <w:sz w:val="18"/>
        </w:rPr>
        <w:t>practices </w:t>
      </w:r>
      <w:r>
        <w:rPr>
          <w:color w:val="231F20"/>
          <w:w w:val="110"/>
          <w:sz w:val="18"/>
        </w:rPr>
        <w:t>will be implemented in the Mission </w:t>
      </w:r>
      <w:r>
        <w:rPr>
          <w:color w:val="231F20"/>
          <w:spacing w:val="3"/>
          <w:w w:val="110"/>
          <w:sz w:val="18"/>
        </w:rPr>
        <w:t>staff </w:t>
      </w:r>
      <w:r>
        <w:rPr>
          <w:color w:val="231F20"/>
          <w:w w:val="110"/>
          <w:sz w:val="18"/>
        </w:rPr>
        <w:t>team to</w:t>
      </w:r>
      <w:r>
        <w:rPr>
          <w:color w:val="231F20"/>
          <w:spacing w:val="46"/>
          <w:w w:val="110"/>
          <w:sz w:val="18"/>
        </w:rPr>
        <w:t> </w:t>
      </w:r>
      <w:r>
        <w:rPr>
          <w:color w:val="231F20"/>
          <w:w w:val="110"/>
          <w:sz w:val="18"/>
        </w:rPr>
        <w:t>maximise</w:t>
      </w:r>
    </w:p>
    <w:p>
      <w:pPr>
        <w:pStyle w:val="BodyText"/>
        <w:spacing w:line="197" w:lineRule="exact"/>
        <w:ind w:left="1751"/>
      </w:pPr>
      <w:r>
        <w:rPr>
          <w:color w:val="231F20"/>
          <w:w w:val="110"/>
        </w:rPr>
        <w:t>the benefits of team working.</w:t>
      </w:r>
    </w:p>
    <w:p>
      <w:pPr>
        <w:pStyle w:val="ListParagraph"/>
        <w:numPr>
          <w:ilvl w:val="3"/>
          <w:numId w:val="1"/>
        </w:numPr>
        <w:tabs>
          <w:tab w:pos="1750" w:val="left" w:leader="none"/>
          <w:tab w:pos="1752" w:val="left" w:leader="none"/>
        </w:tabs>
        <w:spacing w:line="211" w:lineRule="auto" w:before="15" w:after="0"/>
        <w:ind w:left="1751" w:right="1471" w:hanging="681"/>
        <w:jc w:val="left"/>
        <w:rPr>
          <w:sz w:val="18"/>
        </w:rPr>
      </w:pPr>
      <w:r>
        <w:rPr>
          <w:color w:val="231F20"/>
          <w:w w:val="110"/>
          <w:sz w:val="18"/>
        </w:rPr>
        <w:t>The General </w:t>
      </w:r>
      <w:r>
        <w:rPr>
          <w:color w:val="231F20"/>
          <w:spacing w:val="2"/>
          <w:w w:val="110"/>
          <w:sz w:val="18"/>
        </w:rPr>
        <w:t>Secretariat </w:t>
      </w:r>
      <w:r>
        <w:rPr>
          <w:color w:val="231F20"/>
          <w:w w:val="110"/>
          <w:sz w:val="18"/>
        </w:rPr>
        <w:t>and Assembly </w:t>
      </w:r>
      <w:r>
        <w:rPr>
          <w:color w:val="231F20"/>
          <w:spacing w:val="3"/>
          <w:w w:val="110"/>
          <w:sz w:val="18"/>
        </w:rPr>
        <w:t>staff </w:t>
      </w:r>
      <w:r>
        <w:rPr>
          <w:color w:val="231F20"/>
          <w:w w:val="110"/>
          <w:sz w:val="18"/>
        </w:rPr>
        <w:t>team will identify crossover areas of work</w:t>
      </w:r>
      <w:r>
        <w:rPr>
          <w:color w:val="231F20"/>
          <w:spacing w:val="11"/>
          <w:w w:val="110"/>
          <w:sz w:val="18"/>
        </w:rPr>
        <w:t> </w:t>
      </w:r>
      <w:r>
        <w:rPr>
          <w:color w:val="231F20"/>
          <w:w w:val="110"/>
          <w:sz w:val="18"/>
        </w:rPr>
        <w:t>between</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three</w:t>
      </w:r>
      <w:r>
        <w:rPr>
          <w:color w:val="231F20"/>
          <w:spacing w:val="12"/>
          <w:w w:val="110"/>
          <w:sz w:val="18"/>
        </w:rPr>
        <w:t> </w:t>
      </w:r>
      <w:r>
        <w:rPr>
          <w:color w:val="231F20"/>
          <w:spacing w:val="2"/>
          <w:w w:val="110"/>
          <w:sz w:val="18"/>
        </w:rPr>
        <w:t>departments</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ensure</w:t>
      </w:r>
      <w:r>
        <w:rPr>
          <w:color w:val="231F20"/>
          <w:spacing w:val="12"/>
          <w:w w:val="110"/>
          <w:sz w:val="18"/>
        </w:rPr>
        <w:t> </w:t>
      </w:r>
      <w:r>
        <w:rPr>
          <w:color w:val="231F20"/>
          <w:w w:val="110"/>
          <w:sz w:val="18"/>
        </w:rPr>
        <w:t>that</w:t>
      </w:r>
      <w:r>
        <w:rPr>
          <w:color w:val="231F20"/>
          <w:spacing w:val="11"/>
          <w:w w:val="110"/>
          <w:sz w:val="18"/>
        </w:rPr>
        <w:t> </w:t>
      </w:r>
      <w:r>
        <w:rPr>
          <w:color w:val="231F20"/>
          <w:w w:val="110"/>
          <w:sz w:val="18"/>
        </w:rPr>
        <w:t>people</w:t>
      </w:r>
      <w:r>
        <w:rPr>
          <w:color w:val="231F20"/>
          <w:spacing w:val="12"/>
          <w:w w:val="110"/>
          <w:sz w:val="18"/>
        </w:rPr>
        <w:t> </w:t>
      </w:r>
      <w:r>
        <w:rPr>
          <w:color w:val="231F20"/>
          <w:w w:val="110"/>
          <w:sz w:val="18"/>
        </w:rPr>
        <w:t>are</w:t>
      </w:r>
      <w:r>
        <w:rPr>
          <w:color w:val="231F20"/>
          <w:spacing w:val="12"/>
          <w:w w:val="110"/>
          <w:sz w:val="18"/>
        </w:rPr>
        <w:t> </w:t>
      </w:r>
      <w:r>
        <w:rPr>
          <w:color w:val="231F20"/>
          <w:w w:val="110"/>
          <w:sz w:val="18"/>
        </w:rPr>
        <w:t>appropriately</w:t>
      </w:r>
    </w:p>
    <w:p>
      <w:pPr>
        <w:pStyle w:val="BodyText"/>
        <w:spacing w:line="264" w:lineRule="auto" w:before="25"/>
        <w:ind w:left="1751" w:right="474"/>
      </w:pPr>
      <w:r>
        <w:rPr>
          <w:color w:val="231F20"/>
          <w:w w:val="110"/>
        </w:rPr>
        <w:t>involved and/or informed about work which involves or is relevant to more than one department and report this to the October 2007 Mission Council.</w:t>
      </w:r>
    </w:p>
    <w:p>
      <w:pPr>
        <w:pStyle w:val="ListParagraph"/>
        <w:numPr>
          <w:ilvl w:val="3"/>
          <w:numId w:val="1"/>
        </w:numPr>
        <w:tabs>
          <w:tab w:pos="1750" w:val="left" w:leader="none"/>
          <w:tab w:pos="1752" w:val="left" w:leader="none"/>
        </w:tabs>
        <w:spacing w:line="240" w:lineRule="exact" w:before="0" w:after="0"/>
        <w:ind w:left="1751" w:right="0" w:hanging="682"/>
        <w:jc w:val="left"/>
        <w:rPr>
          <w:sz w:val="18"/>
        </w:rPr>
      </w:pPr>
      <w:r>
        <w:rPr>
          <w:color w:val="231F20"/>
          <w:w w:val="110"/>
          <w:sz w:val="18"/>
        </w:rPr>
        <w:t>The new Committee and the Mission team will begin work on the</w:t>
      </w:r>
      <w:r>
        <w:rPr>
          <w:color w:val="231F20"/>
          <w:spacing w:val="53"/>
          <w:w w:val="110"/>
          <w:sz w:val="18"/>
        </w:rPr>
        <w:t> </w:t>
      </w:r>
      <w:r>
        <w:rPr>
          <w:color w:val="231F20"/>
          <w:w w:val="110"/>
          <w:sz w:val="18"/>
        </w:rPr>
        <w:t>prioritisation.</w:t>
      </w:r>
    </w:p>
    <w:p>
      <w:pPr>
        <w:pStyle w:val="ListParagraph"/>
        <w:numPr>
          <w:ilvl w:val="3"/>
          <w:numId w:val="1"/>
        </w:numPr>
        <w:tabs>
          <w:tab w:pos="1750" w:val="left" w:leader="none"/>
          <w:tab w:pos="1752" w:val="left" w:leader="none"/>
        </w:tabs>
        <w:spacing w:line="211" w:lineRule="auto" w:before="0" w:after="0"/>
        <w:ind w:left="1751" w:right="2258" w:hanging="681"/>
        <w:jc w:val="left"/>
        <w:rPr>
          <w:sz w:val="18"/>
        </w:rPr>
      </w:pPr>
      <w:r>
        <w:rPr>
          <w:color w:val="231F20"/>
          <w:w w:val="110"/>
          <w:sz w:val="18"/>
        </w:rPr>
        <w:t>The </w:t>
      </w:r>
      <w:r>
        <w:rPr>
          <w:color w:val="231F20"/>
          <w:spacing w:val="3"/>
          <w:w w:val="110"/>
          <w:sz w:val="18"/>
        </w:rPr>
        <w:t>Secretary </w:t>
      </w:r>
      <w:r>
        <w:rPr>
          <w:color w:val="231F20"/>
          <w:w w:val="110"/>
          <w:sz w:val="18"/>
        </w:rPr>
        <w:t>for Mission will begin work on 1</w:t>
      </w:r>
      <w:r>
        <w:rPr>
          <w:color w:val="231F20"/>
          <w:w w:val="110"/>
          <w:position w:val="6"/>
          <w:sz w:val="10"/>
        </w:rPr>
        <w:t>st </w:t>
      </w:r>
      <w:r>
        <w:rPr>
          <w:color w:val="231F20"/>
          <w:w w:val="110"/>
          <w:sz w:val="18"/>
        </w:rPr>
        <w:t>November </w:t>
      </w:r>
      <w:r>
        <w:rPr>
          <w:color w:val="231F20"/>
          <w:spacing w:val="-5"/>
          <w:w w:val="110"/>
          <w:sz w:val="18"/>
        </w:rPr>
        <w:t>(or </w:t>
      </w:r>
      <w:r>
        <w:rPr>
          <w:color w:val="231F20"/>
          <w:w w:val="110"/>
          <w:sz w:val="18"/>
        </w:rPr>
        <w:t>as soon as possible</w:t>
      </w:r>
      <w:r>
        <w:rPr>
          <w:color w:val="231F20"/>
          <w:spacing w:val="1"/>
          <w:w w:val="110"/>
          <w:sz w:val="18"/>
        </w:rPr>
        <w:t> </w:t>
      </w:r>
      <w:r>
        <w:rPr>
          <w:color w:val="231F20"/>
          <w:w w:val="110"/>
          <w:sz w:val="18"/>
        </w:rPr>
        <w:t>thereafter).</w:t>
      </w:r>
    </w:p>
    <w:p>
      <w:pPr>
        <w:pStyle w:val="ListParagraph"/>
        <w:numPr>
          <w:ilvl w:val="3"/>
          <w:numId w:val="1"/>
        </w:numPr>
        <w:tabs>
          <w:tab w:pos="1750" w:val="left" w:leader="none"/>
          <w:tab w:pos="1752" w:val="left" w:leader="none"/>
        </w:tabs>
        <w:spacing w:line="211" w:lineRule="auto" w:before="13" w:after="0"/>
        <w:ind w:left="1750" w:right="1491" w:hanging="681"/>
        <w:jc w:val="left"/>
        <w:rPr>
          <w:sz w:val="18"/>
        </w:rPr>
      </w:pPr>
      <w:r>
        <w:rPr>
          <w:color w:val="231F20"/>
          <w:w w:val="110"/>
          <w:sz w:val="18"/>
        </w:rPr>
        <w:t>The Mission department will formally begin its existence on the 1</w:t>
      </w:r>
      <w:r>
        <w:rPr>
          <w:color w:val="231F20"/>
          <w:w w:val="110"/>
          <w:position w:val="6"/>
          <w:sz w:val="10"/>
        </w:rPr>
        <w:t>st </w:t>
      </w:r>
      <w:r>
        <w:rPr>
          <w:color w:val="231F20"/>
          <w:w w:val="110"/>
          <w:sz w:val="18"/>
        </w:rPr>
        <w:t>January 2008 (enabling a smooth </w:t>
      </w:r>
      <w:r>
        <w:rPr>
          <w:color w:val="231F20"/>
          <w:spacing w:val="2"/>
          <w:w w:val="110"/>
          <w:sz w:val="18"/>
        </w:rPr>
        <w:t>budgetary</w:t>
      </w:r>
      <w:r>
        <w:rPr>
          <w:color w:val="231F20"/>
          <w:spacing w:val="4"/>
          <w:w w:val="110"/>
          <w:sz w:val="18"/>
        </w:rPr>
        <w:t> </w:t>
      </w:r>
      <w:r>
        <w:rPr>
          <w:color w:val="231F20"/>
          <w:w w:val="110"/>
          <w:sz w:val="18"/>
        </w:rPr>
        <w:t>transition).</w:t>
      </w:r>
    </w:p>
    <w:p>
      <w:pPr>
        <w:pStyle w:val="ListParagraph"/>
        <w:numPr>
          <w:ilvl w:val="3"/>
          <w:numId w:val="1"/>
        </w:numPr>
        <w:tabs>
          <w:tab w:pos="1750" w:val="left" w:leader="none"/>
          <w:tab w:pos="1752" w:val="left" w:leader="none"/>
        </w:tabs>
        <w:spacing w:line="211" w:lineRule="auto" w:before="20" w:after="0"/>
        <w:ind w:left="1751" w:right="1854" w:hanging="681"/>
        <w:jc w:val="left"/>
        <w:rPr>
          <w:sz w:val="18"/>
        </w:rPr>
      </w:pPr>
      <w:r>
        <w:rPr>
          <w:color w:val="231F20"/>
          <w:w w:val="110"/>
          <w:sz w:val="18"/>
        </w:rPr>
        <w:t>Work to develop </w:t>
      </w:r>
      <w:r>
        <w:rPr>
          <w:color w:val="231F20"/>
          <w:spacing w:val="2"/>
          <w:w w:val="110"/>
          <w:sz w:val="18"/>
        </w:rPr>
        <w:t>networks </w:t>
      </w:r>
      <w:r>
        <w:rPr>
          <w:color w:val="231F20"/>
          <w:w w:val="110"/>
          <w:sz w:val="18"/>
        </w:rPr>
        <w:t>in line with this proposal (paragraphs 5.5 and </w:t>
      </w:r>
      <w:r>
        <w:rPr>
          <w:color w:val="231F20"/>
          <w:spacing w:val="-4"/>
          <w:w w:val="110"/>
          <w:sz w:val="18"/>
        </w:rPr>
        <w:t>5.6) </w:t>
      </w:r>
      <w:r>
        <w:rPr>
          <w:color w:val="231F20"/>
          <w:w w:val="110"/>
          <w:sz w:val="18"/>
        </w:rPr>
        <w:t>including</w:t>
      </w:r>
      <w:r>
        <w:rPr>
          <w:color w:val="231F20"/>
          <w:spacing w:val="10"/>
          <w:w w:val="110"/>
          <w:sz w:val="18"/>
        </w:rPr>
        <w:t> </w:t>
      </w:r>
      <w:r>
        <w:rPr>
          <w:color w:val="231F20"/>
          <w:w w:val="110"/>
          <w:sz w:val="18"/>
        </w:rPr>
        <w:t>consultation</w:t>
      </w:r>
      <w:r>
        <w:rPr>
          <w:color w:val="231F20"/>
          <w:spacing w:val="11"/>
          <w:w w:val="110"/>
          <w:sz w:val="18"/>
        </w:rPr>
        <w:t> </w:t>
      </w:r>
      <w:r>
        <w:rPr>
          <w:color w:val="231F20"/>
          <w:w w:val="110"/>
          <w:sz w:val="18"/>
        </w:rPr>
        <w:t>with</w:t>
      </w:r>
      <w:r>
        <w:rPr>
          <w:color w:val="231F20"/>
          <w:spacing w:val="11"/>
          <w:w w:val="110"/>
          <w:sz w:val="18"/>
        </w:rPr>
        <w:t> </w:t>
      </w:r>
      <w:r>
        <w:rPr>
          <w:color w:val="231F20"/>
          <w:w w:val="110"/>
          <w:sz w:val="18"/>
        </w:rPr>
        <w:t>synods</w:t>
      </w:r>
      <w:r>
        <w:rPr>
          <w:color w:val="231F20"/>
          <w:spacing w:val="10"/>
          <w:w w:val="110"/>
          <w:sz w:val="18"/>
        </w:rPr>
        <w:t> </w:t>
      </w:r>
      <w:r>
        <w:rPr>
          <w:color w:val="231F20"/>
          <w:w w:val="110"/>
          <w:sz w:val="18"/>
        </w:rPr>
        <w:t>should</w:t>
      </w:r>
      <w:r>
        <w:rPr>
          <w:color w:val="231F20"/>
          <w:spacing w:val="11"/>
          <w:w w:val="110"/>
          <w:sz w:val="18"/>
        </w:rPr>
        <w:t> </w:t>
      </w:r>
      <w:r>
        <w:rPr>
          <w:color w:val="231F20"/>
          <w:w w:val="110"/>
          <w:sz w:val="18"/>
        </w:rPr>
        <w:t>be</w:t>
      </w:r>
      <w:r>
        <w:rPr>
          <w:color w:val="231F20"/>
          <w:spacing w:val="11"/>
          <w:w w:val="110"/>
          <w:sz w:val="18"/>
        </w:rPr>
        <w:t> </w:t>
      </w:r>
      <w:r>
        <w:rPr>
          <w:color w:val="231F20"/>
          <w:spacing w:val="2"/>
          <w:w w:val="110"/>
          <w:sz w:val="18"/>
        </w:rPr>
        <w:t>carried</w:t>
      </w:r>
      <w:r>
        <w:rPr>
          <w:color w:val="231F20"/>
          <w:spacing w:val="11"/>
          <w:w w:val="110"/>
          <w:sz w:val="18"/>
        </w:rPr>
        <w:t> </w:t>
      </w:r>
      <w:r>
        <w:rPr>
          <w:color w:val="231F20"/>
          <w:w w:val="110"/>
          <w:sz w:val="18"/>
        </w:rPr>
        <w:t>out</w:t>
      </w:r>
      <w:r>
        <w:rPr>
          <w:color w:val="231F20"/>
          <w:spacing w:val="10"/>
          <w:w w:val="110"/>
          <w:sz w:val="18"/>
        </w:rPr>
        <w:t> </w:t>
      </w:r>
      <w:r>
        <w:rPr>
          <w:color w:val="231F20"/>
          <w:w w:val="110"/>
          <w:sz w:val="18"/>
        </w:rPr>
        <w:t>during</w:t>
      </w:r>
      <w:r>
        <w:rPr>
          <w:color w:val="231F20"/>
          <w:spacing w:val="11"/>
          <w:w w:val="110"/>
          <w:sz w:val="18"/>
        </w:rPr>
        <w:t> </w:t>
      </w:r>
      <w:r>
        <w:rPr>
          <w:color w:val="231F20"/>
          <w:w w:val="110"/>
          <w:sz w:val="18"/>
        </w:rPr>
        <w:t>this</w:t>
      </w:r>
      <w:r>
        <w:rPr>
          <w:color w:val="231F20"/>
          <w:spacing w:val="11"/>
          <w:w w:val="110"/>
          <w:sz w:val="18"/>
        </w:rPr>
        <w:t> </w:t>
      </w:r>
      <w:r>
        <w:rPr>
          <w:color w:val="231F20"/>
          <w:w w:val="110"/>
          <w:sz w:val="18"/>
        </w:rPr>
        <w:t>period.</w:t>
      </w:r>
    </w:p>
    <w:p>
      <w:pPr>
        <w:pStyle w:val="BodyText"/>
        <w:spacing w:before="10"/>
        <w:rPr>
          <w:sz w:val="21"/>
        </w:rPr>
      </w:pPr>
    </w:p>
    <w:p>
      <w:pPr>
        <w:pStyle w:val="ListParagraph"/>
        <w:numPr>
          <w:ilvl w:val="2"/>
          <w:numId w:val="1"/>
        </w:numPr>
        <w:tabs>
          <w:tab w:pos="1790" w:val="left" w:leader="none"/>
          <w:tab w:pos="1791" w:val="left" w:leader="none"/>
        </w:tabs>
        <w:spacing w:line="264" w:lineRule="auto" w:before="0" w:after="0"/>
        <w:ind w:left="1070" w:right="1397" w:firstLine="0"/>
        <w:jc w:val="left"/>
        <w:rPr>
          <w:color w:val="231F20"/>
          <w:sz w:val="18"/>
        </w:rPr>
      </w:pPr>
      <w:r>
        <w:rPr>
          <w:color w:val="231F20"/>
          <w:w w:val="110"/>
          <w:sz w:val="18"/>
        </w:rPr>
        <w:t>From Assembly 2008 the Mission Committee and its Department should be fully functioning and operating as envisaged. In January </w:t>
      </w:r>
      <w:r>
        <w:rPr>
          <w:color w:val="231F20"/>
          <w:spacing w:val="-5"/>
          <w:w w:val="110"/>
          <w:sz w:val="18"/>
        </w:rPr>
        <w:t>2010 </w:t>
      </w:r>
      <w:r>
        <w:rPr>
          <w:color w:val="231F20"/>
          <w:w w:val="110"/>
          <w:sz w:val="18"/>
        </w:rPr>
        <w:t>a review (arranged by Mission Council) should be </w:t>
      </w:r>
      <w:r>
        <w:rPr>
          <w:color w:val="231F20"/>
          <w:spacing w:val="2"/>
          <w:w w:val="110"/>
          <w:sz w:val="18"/>
        </w:rPr>
        <w:t>carried </w:t>
      </w:r>
      <w:r>
        <w:rPr>
          <w:color w:val="231F20"/>
          <w:w w:val="110"/>
          <w:sz w:val="18"/>
        </w:rPr>
        <w:t>out to evaluate the </w:t>
      </w:r>
      <w:r>
        <w:rPr>
          <w:color w:val="231F20"/>
          <w:spacing w:val="2"/>
          <w:w w:val="110"/>
          <w:sz w:val="18"/>
        </w:rPr>
        <w:t>department’s </w:t>
      </w:r>
      <w:r>
        <w:rPr>
          <w:color w:val="231F20"/>
          <w:w w:val="110"/>
          <w:sz w:val="18"/>
        </w:rPr>
        <w:t>initial </w:t>
      </w:r>
      <w:r>
        <w:rPr>
          <w:color w:val="231F20"/>
          <w:spacing w:val="2"/>
          <w:w w:val="110"/>
          <w:sz w:val="18"/>
        </w:rPr>
        <w:t>effectiveness</w:t>
      </w:r>
      <w:r>
        <w:rPr>
          <w:color w:val="231F20"/>
          <w:spacing w:val="68"/>
          <w:w w:val="110"/>
          <w:sz w:val="18"/>
        </w:rPr>
        <w:t> </w:t>
      </w:r>
      <w:r>
        <w:rPr>
          <w:color w:val="231F20"/>
          <w:w w:val="110"/>
          <w:sz w:val="18"/>
        </w:rPr>
        <w:t>and</w:t>
      </w:r>
    </w:p>
    <w:p>
      <w:pPr>
        <w:pStyle w:val="BodyText"/>
        <w:spacing w:line="273" w:lineRule="auto"/>
        <w:ind w:left="1070" w:right="1593"/>
      </w:pPr>
      <w:r>
        <w:rPr>
          <w:color w:val="231F20"/>
          <w:w w:val="110"/>
        </w:rPr>
        <w:t>a report and recommendations bought to the 2010 Assembly, where any necessary adjustments can be made.</w:t>
      </w:r>
    </w:p>
    <w:p>
      <w:pPr>
        <w:pStyle w:val="BodyText"/>
        <w:spacing w:before="5"/>
        <w:rPr>
          <w:sz w:val="11"/>
        </w:rPr>
      </w:pPr>
      <w:r>
        <w:rPr/>
        <w:pict>
          <v:group style="position:absolute;margin-left:61.659027pt;margin-top:8.917402pt;width:496.6pt;height:84.9pt;mso-position-horizontal-relative:page;mso-position-vertical-relative:paragraph;z-index:-251641856;mso-wrap-distance-left:0;mso-wrap-distance-right:0" coordorigin="1233,178" coordsize="9932,1698">
            <v:rect style="position:absolute;left:1535;top:619;width:4016;height:302" filled="true" fillcolor="#d8dadc" stroked="false">
              <v:fill type="solid"/>
            </v:rect>
            <v:rect style="position:absolute;left:1535;top:291;width:159;height:328" filled="true" fillcolor="#d8dadc" stroked="false">
              <v:fill type="solid"/>
            </v:rect>
            <v:line style="position:absolute" from="1536,286" to="5552,286" stroked="true" strokeweight=".6pt" strokecolor="#d8dadc">
              <v:stroke dashstyle="solid"/>
            </v:line>
            <v:rect style="position:absolute;left:5136;top:292;width:416;height:327" filled="true" fillcolor="#d8dadc" stroked="false">
              <v:fill type="solid"/>
            </v:rect>
            <v:rect style="position:absolute;left:1693;top:292;width:3443;height:327" filled="true" fillcolor="#d8dadc" stroked="false">
              <v:fill type="solid"/>
            </v:rect>
            <v:shape style="position:absolute;left:1233;top:227;width:9932;height:1649" type="#_x0000_t75" stroked="false">
              <v:imagedata r:id="rId28" o:title=""/>
            </v:shape>
            <v:shape style="position:absolute;left:1649;top:178;width:3682;height:749" type="#_x0000_t202" filled="false" stroked="false">
              <v:textbox inset="0,0,0,0">
                <w:txbxContent>
                  <w:p>
                    <w:pPr>
                      <w:spacing w:line="206" w:lineRule="auto" w:before="43"/>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69"/>
                        <w:w w:val="111"/>
                        <w:sz w:val="43"/>
                      </w:rPr>
                      <w:t>N</w:t>
                    </w:r>
                    <w:r>
                      <w:rPr>
                        <w:b/>
                        <w:color w:val="231F20"/>
                        <w:w w:val="112"/>
                        <w:position w:val="-20"/>
                        <w:sz w:val="50"/>
                      </w:rPr>
                      <w:t>2</w:t>
                    </w:r>
                  </w:p>
                </w:txbxContent>
              </v:textbox>
              <w10:wrap type="none"/>
            </v:shape>
            <v:shape style="position:absolute;left:7102;top:621;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530;top:1139;width:9260;height:469" type="#_x0000_t202" filled="false" stroked="false">
              <v:textbox inset="0,0,0,0">
                <w:txbxContent>
                  <w:p>
                    <w:pPr>
                      <w:spacing w:line="273" w:lineRule="auto" w:before="0"/>
                      <w:ind w:left="0" w:right="0" w:firstLine="0"/>
                      <w:jc w:val="left"/>
                      <w:rPr>
                        <w:sz w:val="18"/>
                      </w:rPr>
                    </w:pPr>
                    <w:r>
                      <w:rPr>
                        <w:color w:val="231F20"/>
                        <w:w w:val="110"/>
                        <w:sz w:val="18"/>
                      </w:rPr>
                      <w:t>General Assembly adopts the plan for the creation and functioning of a Mission Committee and Department.</w:t>
                    </w:r>
                  </w:p>
                </w:txbxContent>
              </v:textbox>
              <w10:wrap type="none"/>
            </v:shape>
            <w10:wrap type="topAndBottom"/>
          </v:group>
        </w:pict>
      </w:r>
      <w:r>
        <w:rPr/>
        <w:pict>
          <v:group style="position:absolute;margin-left:62.367592pt;margin-top:101.988304pt;width:496.6pt;height:84.9pt;mso-position-horizontal-relative:page;mso-position-vertical-relative:paragraph;z-index:-251637760;mso-wrap-distance-left:0;mso-wrap-distance-right:0" coordorigin="1247,2040" coordsize="9932,1698">
            <v:rect style="position:absolute;left:1550;top:2479;width:4016;height:304" filled="true" fillcolor="#d8dadc" stroked="false">
              <v:fill type="solid"/>
            </v:rect>
            <v:rect style="position:absolute;left:1550;top:2153;width:159;height:326" filled="true" fillcolor="#d8dadc" stroked="false">
              <v:fill type="solid"/>
            </v:rect>
            <v:line style="position:absolute" from="1550,2148" to="5566,2148" stroked="true" strokeweight=".6pt" strokecolor="#d8dadc">
              <v:stroke dashstyle="solid"/>
            </v:line>
            <v:rect style="position:absolute;left:5150;top:2153;width:416;height:328" filled="true" fillcolor="#d8dadc" stroked="false">
              <v:fill type="solid"/>
            </v:rect>
            <v:rect style="position:absolute;left:1708;top:2153;width:3443;height:328" filled="true" fillcolor="#d8dadc" stroked="false">
              <v:fill type="solid"/>
            </v:rect>
            <v:shape style="position:absolute;left:1247;top:2088;width:9932;height:1649" type="#_x0000_t75" stroked="false">
              <v:imagedata r:id="rId29" o:title=""/>
            </v:shape>
            <v:shape style="position:absolute;left:1663;top:2039;width:3668;height:757" type="#_x0000_t202" filled="false" stroked="false">
              <v:textbox inset="0,0,0,0">
                <w:txbxContent>
                  <w:p>
                    <w:pPr>
                      <w:spacing w:line="206" w:lineRule="auto" w:before="41"/>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83"/>
                        <w:w w:val="111"/>
                        <w:sz w:val="43"/>
                      </w:rPr>
                      <w:t>N</w:t>
                    </w:r>
                    <w:r>
                      <w:rPr>
                        <w:b/>
                        <w:color w:val="231F20"/>
                        <w:w w:val="112"/>
                        <w:position w:val="-21"/>
                        <w:sz w:val="50"/>
                      </w:rPr>
                      <w:t>3</w:t>
                    </w:r>
                  </w:p>
                </w:txbxContent>
              </v:textbox>
              <w10:wrap type="none"/>
            </v:shape>
            <v:shape style="position:absolute;left:7102;top:2491;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530;top:3009;width:7924;height:469" type="#_x0000_t202" filled="false" stroked="false">
              <v:textbox inset="0,0,0,0">
                <w:txbxContent>
                  <w:p>
                    <w:pPr>
                      <w:spacing w:line="273" w:lineRule="auto" w:before="0"/>
                      <w:ind w:left="0" w:right="0" w:firstLine="0"/>
                      <w:jc w:val="left"/>
                      <w:rPr>
                        <w:sz w:val="18"/>
                      </w:rPr>
                    </w:pPr>
                    <w:r>
                      <w:rPr>
                        <w:color w:val="231F20"/>
                        <w:w w:val="110"/>
                        <w:sz w:val="18"/>
                      </w:rPr>
                      <w:t>General Assembly instructs Mission Council to bring proposals for the Mission Department’s work programme to the 2008 Assembly.</w:t>
                    </w:r>
                  </w:p>
                </w:txbxContent>
              </v:textbox>
              <w10:wrap type="none"/>
            </v:shape>
            <w10:wrap type="topAndBottom"/>
          </v:group>
        </w:pict>
      </w:r>
      <w:r>
        <w:rPr/>
        <w:pict>
          <v:group style="position:absolute;margin-left:62.367592pt;margin-top:193.878006pt;width:496.6pt;height:96.7pt;mso-position-horizontal-relative:page;mso-position-vertical-relative:paragraph;z-index:-251633664;mso-wrap-distance-left:0;mso-wrap-distance-right:0" coordorigin="1247,3878" coordsize="9932,1934">
            <v:rect style="position:absolute;left:1550;top:4317;width:4016;height:304" filled="true" fillcolor="#d8dadc" stroked="false">
              <v:fill type="solid"/>
            </v:rect>
            <v:rect style="position:absolute;left:1550;top:3991;width:159;height:326" filled="true" fillcolor="#d8dadc" stroked="false">
              <v:fill type="solid"/>
            </v:rect>
            <v:line style="position:absolute" from="1550,3986" to="5566,3986" stroked="true" strokeweight=".6pt" strokecolor="#d8dadc">
              <v:stroke dashstyle="solid"/>
            </v:line>
            <v:rect style="position:absolute;left:5150;top:3991;width:416;height:328" filled="true" fillcolor="#d8dadc" stroked="false">
              <v:fill type="solid"/>
            </v:rect>
            <v:rect style="position:absolute;left:1708;top:3991;width:3443;height:328" filled="true" fillcolor="#d8dadc" stroked="false">
              <v:fill type="solid"/>
            </v:rect>
            <v:shape style="position:absolute;left:1247;top:3926;width:9932;height:1886" type="#_x0000_t75" stroked="false">
              <v:imagedata r:id="rId30" o:title=""/>
            </v:shape>
            <v:shape style="position:absolute;left:1663;top:3877;width:3668;height:76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83"/>
                        <w:w w:val="111"/>
                        <w:sz w:val="43"/>
                      </w:rPr>
                      <w:t>N</w:t>
                    </w:r>
                    <w:r>
                      <w:rPr>
                        <w:b/>
                        <w:color w:val="231F20"/>
                        <w:w w:val="112"/>
                        <w:position w:val="-21"/>
                        <w:sz w:val="50"/>
                      </w:rPr>
                      <w:t>4</w:t>
                    </w:r>
                  </w:p>
                </w:txbxContent>
              </v:textbox>
              <w10:wrap type="none"/>
            </v:shape>
            <v:shape style="position:absolute;left:7102;top:4331;width:3689;height:241" type="#_x0000_t202" filled="false" stroked="false">
              <v:textbox inset="0,0,0,0">
                <w:txbxContent>
                  <w:p>
                    <w:pPr>
                      <w:spacing w:line="241" w:lineRule="exact" w:before="0"/>
                      <w:ind w:left="0" w:right="0" w:firstLine="0"/>
                      <w:jc w:val="left"/>
                      <w:rPr>
                        <w:b/>
                        <w:sz w:val="20"/>
                      </w:rPr>
                    </w:pPr>
                    <w:r>
                      <w:rPr>
                        <w:b/>
                        <w:color w:val="231F20"/>
                        <w:w w:val="110"/>
                        <w:sz w:val="20"/>
                      </w:rPr>
                      <w:t>A new Department of Mission</w:t>
                    </w:r>
                  </w:p>
                </w:txbxContent>
              </v:textbox>
              <w10:wrap type="none"/>
            </v:shape>
            <v:shape style="position:absolute;left:1530;top:4849;width:9053;height:719" type="#_x0000_t202" filled="false" stroked="false">
              <v:textbox inset="0,0,0,0">
                <w:txbxContent>
                  <w:p>
                    <w:pPr>
                      <w:spacing w:line="273" w:lineRule="auto" w:before="0"/>
                      <w:ind w:left="0" w:right="4" w:firstLine="0"/>
                      <w:jc w:val="left"/>
                      <w:rPr>
                        <w:sz w:val="18"/>
                      </w:rPr>
                    </w:pPr>
                    <w:r>
                      <w:rPr>
                        <w:color w:val="231F20"/>
                        <w:w w:val="110"/>
                        <w:sz w:val="18"/>
                      </w:rPr>
                      <w:t>General Assembly instructs Mission Council to arrange for a review of the working of the Mission Department in January 2010 and to report its findings and recommendations to the 2010 Assembly.</w:t>
                    </w:r>
                  </w:p>
                </w:txbxContent>
              </v:textbox>
              <w10:wrap type="none"/>
            </v:shape>
            <w10:wrap type="topAndBottom"/>
          </v:group>
        </w:pict>
      </w:r>
    </w:p>
    <w:p>
      <w:pPr>
        <w:pStyle w:val="BodyText"/>
        <w:spacing w:before="10"/>
        <w:rPr>
          <w:sz w:val="7"/>
        </w:rPr>
      </w:pPr>
    </w:p>
    <w:p>
      <w:pPr>
        <w:pStyle w:val="BodyText"/>
        <w:spacing w:before="11"/>
        <w:rPr>
          <w:sz w:val="5"/>
        </w:rPr>
      </w:pPr>
    </w:p>
    <w:p>
      <w:pPr>
        <w:spacing w:after="0"/>
        <w:rPr>
          <w:sz w:val="5"/>
        </w:rPr>
        <w:sectPr>
          <w:pgSz w:w="11910" w:h="16840"/>
          <w:pgMar w:header="558" w:footer="564" w:top="820" w:bottom="760" w:left="460" w:right="0"/>
        </w:sectPr>
      </w:pPr>
    </w:p>
    <w:p>
      <w:pPr>
        <w:pStyle w:val="BodyText"/>
        <w:spacing w:before="5"/>
        <w:rPr>
          <w:sz w:val="16"/>
        </w:rPr>
      </w:pPr>
    </w:p>
    <w:p>
      <w:pPr>
        <w:spacing w:after="0"/>
        <w:rPr>
          <w:sz w:val="16"/>
        </w:rPr>
        <w:sectPr>
          <w:headerReference w:type="even" r:id="rId31"/>
          <w:footerReference w:type="even" r:id="rId32"/>
          <w:footerReference w:type="default" r:id="rId33"/>
          <w:pgSz w:w="11910" w:h="16840"/>
          <w:pgMar w:header="0" w:footer="484" w:top="1580" w:bottom="680" w:left="460" w:right="0"/>
          <w:pgNumType w:start="22"/>
        </w:sectPr>
      </w:pPr>
    </w:p>
    <w:p>
      <w:pPr>
        <w:pStyle w:val="ListParagraph"/>
        <w:numPr>
          <w:ilvl w:val="1"/>
          <w:numId w:val="7"/>
        </w:numPr>
        <w:tabs>
          <w:tab w:pos="1960" w:val="left" w:leader="none"/>
          <w:tab w:pos="1961" w:val="left" w:leader="none"/>
        </w:tabs>
        <w:spacing w:line="273" w:lineRule="auto" w:before="88" w:after="0"/>
        <w:ind w:left="1240" w:right="2184" w:firstLine="0"/>
        <w:jc w:val="left"/>
        <w:rPr>
          <w:sz w:val="18"/>
        </w:rPr>
      </w:pPr>
      <w:r>
        <w:rPr/>
        <w:pict>
          <v:shape style="position:absolute;margin-left:509.226196pt;margin-top:36.841614pt;width:65.3pt;height:755.2pt;mso-position-horizontal-relative:page;mso-position-vertical-relative:page;z-index:-275576832" type="#_x0000_t202" filled="false" stroked="false">
            <v:textbox inset="0,0,0,0" style="layout-flow:vertical">
              <w:txbxContent>
                <w:p>
                  <w:pPr>
                    <w:spacing w:line="881" w:lineRule="exact" w:before="20"/>
                    <w:ind w:left="20" w:right="0" w:firstLine="0"/>
                    <w:jc w:val="left"/>
                    <w:rPr>
                      <w:b/>
                      <w:sz w:val="76"/>
                    </w:rPr>
                  </w:pPr>
                  <w:r>
                    <w:rPr>
                      <w:b/>
                      <w:color w:val="231F20"/>
                      <w:spacing w:val="-8"/>
                      <w:sz w:val="76"/>
                    </w:rPr>
                    <w:t>The </w:t>
                  </w:r>
                  <w:r>
                    <w:rPr>
                      <w:b/>
                      <w:color w:val="231F20"/>
                      <w:spacing w:val="-9"/>
                      <w:sz w:val="76"/>
                    </w:rPr>
                    <w:t>Moderator </w:t>
                  </w:r>
                  <w:r>
                    <w:rPr>
                      <w:b/>
                      <w:color w:val="231F20"/>
                      <w:spacing w:val="-5"/>
                      <w:sz w:val="76"/>
                    </w:rPr>
                    <w:t>of </w:t>
                  </w:r>
                  <w:r>
                    <w:rPr>
                      <w:b/>
                      <w:color w:val="231F20"/>
                      <w:spacing w:val="-9"/>
                      <w:sz w:val="76"/>
                    </w:rPr>
                    <w:t>General </w:t>
                  </w:r>
                  <w:r>
                    <w:rPr>
                      <w:b/>
                      <w:color w:val="231F20"/>
                      <w:spacing w:val="-5"/>
                      <w:sz w:val="76"/>
                    </w:rPr>
                    <w:t>Assembly</w:t>
                  </w:r>
                </w:p>
                <w:p>
                  <w:pPr>
                    <w:spacing w:line="402" w:lineRule="exact" w:before="0"/>
                    <w:ind w:left="6445" w:right="0" w:firstLine="0"/>
                    <w:jc w:val="left"/>
                    <w:rPr>
                      <w:rFonts w:ascii="Eurostile Bold"/>
                      <w:b/>
                      <w:sz w:val="36"/>
                    </w:rPr>
                  </w:pPr>
                  <w:r>
                    <w:rPr>
                      <w:rFonts w:ascii="Eurostile Bold"/>
                      <w:b/>
                      <w:color w:val="A7A9AC"/>
                      <w:w w:val="95"/>
                      <w:sz w:val="36"/>
                    </w:rPr>
                    <w:t>General Assembly</w:t>
                  </w:r>
                  <w:r>
                    <w:rPr>
                      <w:rFonts w:ascii="Eurostile Bold"/>
                      <w:b/>
                      <w:color w:val="A7A9AC"/>
                      <w:spacing w:val="-81"/>
                      <w:w w:val="95"/>
                      <w:sz w:val="36"/>
                    </w:rPr>
                    <w:t> </w:t>
                  </w:r>
                  <w:r>
                    <w:rPr>
                      <w:rFonts w:ascii="Eurostile Bold"/>
                      <w:b/>
                      <w:color w:val="A7A9AC"/>
                      <w:w w:val="95"/>
                      <w:sz w:val="36"/>
                    </w:rPr>
                    <w:t>2007</w:t>
                  </w:r>
                </w:p>
              </w:txbxContent>
            </v:textbox>
            <w10:wrap type="none"/>
          </v:shape>
        </w:pict>
      </w:r>
      <w:r>
        <w:rPr>
          <w:color w:val="231F20"/>
          <w:w w:val="110"/>
          <w:sz w:val="18"/>
        </w:rPr>
        <w:t>The Steering Group have undertaken a good deal of work on the role of the Moderator of General Assembly. </w:t>
      </w:r>
      <w:r>
        <w:rPr>
          <w:color w:val="231F20"/>
          <w:spacing w:val="-3"/>
          <w:w w:val="110"/>
          <w:sz w:val="18"/>
        </w:rPr>
        <w:t>We </w:t>
      </w:r>
      <w:r>
        <w:rPr>
          <w:color w:val="231F20"/>
          <w:w w:val="110"/>
          <w:sz w:val="18"/>
        </w:rPr>
        <w:t>are grateful to the Revd Dr David Peel who has worked with us as a theological consultant on this. David presented   us with a paper entitled </w:t>
      </w:r>
      <w:r>
        <w:rPr>
          <w:i/>
          <w:color w:val="231F20"/>
          <w:w w:val="110"/>
          <w:sz w:val="18"/>
        </w:rPr>
        <w:t>The Moderator of General Assembly: a theological </w:t>
      </w:r>
      <w:r>
        <w:rPr>
          <w:i/>
          <w:color w:val="231F20"/>
          <w:w w:val="110"/>
          <w:sz w:val="18"/>
        </w:rPr>
        <w:t>reflection</w:t>
      </w:r>
      <w:r>
        <w:rPr>
          <w:color w:val="231F20"/>
          <w:w w:val="110"/>
          <w:sz w:val="18"/>
        </w:rPr>
        <w:t>.  It drew on his own experience, discussion with past Moderators,  and the experience of our British and European Reformed</w:t>
      </w:r>
      <w:r>
        <w:rPr>
          <w:color w:val="231F20"/>
          <w:spacing w:val="50"/>
          <w:w w:val="110"/>
          <w:sz w:val="18"/>
        </w:rPr>
        <w:t> </w:t>
      </w:r>
      <w:r>
        <w:rPr>
          <w:color w:val="231F20"/>
          <w:spacing w:val="2"/>
          <w:w w:val="110"/>
          <w:sz w:val="18"/>
        </w:rPr>
        <w:t>partners.</w:t>
      </w:r>
    </w:p>
    <w:p>
      <w:pPr>
        <w:pStyle w:val="BodyText"/>
        <w:spacing w:before="10"/>
        <w:rPr>
          <w:sz w:val="20"/>
        </w:rPr>
      </w:pPr>
    </w:p>
    <w:p>
      <w:pPr>
        <w:pStyle w:val="ListParagraph"/>
        <w:numPr>
          <w:ilvl w:val="1"/>
          <w:numId w:val="7"/>
        </w:numPr>
        <w:tabs>
          <w:tab w:pos="1960" w:val="left" w:leader="none"/>
          <w:tab w:pos="1961" w:val="left" w:leader="none"/>
        </w:tabs>
        <w:spacing w:line="240" w:lineRule="auto" w:before="0" w:after="0"/>
        <w:ind w:left="1960" w:right="0" w:hanging="721"/>
        <w:jc w:val="left"/>
        <w:rPr>
          <w:sz w:val="18"/>
        </w:rPr>
      </w:pPr>
      <w:r>
        <w:rPr>
          <w:color w:val="231F20"/>
          <w:w w:val="110"/>
          <w:sz w:val="18"/>
        </w:rPr>
        <w:t>We </w:t>
      </w:r>
      <w:r>
        <w:rPr>
          <w:color w:val="231F20"/>
          <w:spacing w:val="3"/>
          <w:w w:val="110"/>
          <w:sz w:val="18"/>
        </w:rPr>
        <w:t>recommend </w:t>
      </w:r>
      <w:r>
        <w:rPr>
          <w:color w:val="231F20"/>
          <w:w w:val="110"/>
          <w:sz w:val="18"/>
        </w:rPr>
        <w:t>that we </w:t>
      </w:r>
      <w:r>
        <w:rPr>
          <w:color w:val="231F20"/>
          <w:spacing w:val="2"/>
          <w:w w:val="110"/>
          <w:sz w:val="18"/>
        </w:rPr>
        <w:t>adopt </w:t>
      </w:r>
      <w:r>
        <w:rPr>
          <w:color w:val="231F20"/>
          <w:w w:val="110"/>
          <w:sz w:val="18"/>
        </w:rPr>
        <w:t>a </w:t>
      </w:r>
      <w:r>
        <w:rPr>
          <w:color w:val="231F20"/>
          <w:spacing w:val="3"/>
          <w:w w:val="110"/>
          <w:sz w:val="18"/>
        </w:rPr>
        <w:t>different model </w:t>
      </w:r>
      <w:r>
        <w:rPr>
          <w:color w:val="231F20"/>
          <w:w w:val="110"/>
          <w:sz w:val="18"/>
        </w:rPr>
        <w:t>of</w:t>
      </w:r>
      <w:r>
        <w:rPr>
          <w:color w:val="231F20"/>
          <w:spacing w:val="42"/>
          <w:w w:val="110"/>
          <w:sz w:val="18"/>
        </w:rPr>
        <w:t> </w:t>
      </w:r>
      <w:r>
        <w:rPr>
          <w:color w:val="231F20"/>
          <w:spacing w:val="2"/>
          <w:w w:val="110"/>
          <w:sz w:val="18"/>
        </w:rPr>
        <w:t>leadership.</w:t>
      </w:r>
    </w:p>
    <w:p>
      <w:pPr>
        <w:pStyle w:val="BodyText"/>
        <w:spacing w:line="273" w:lineRule="auto" w:before="32"/>
        <w:ind w:left="1240" w:right="2464"/>
      </w:pPr>
      <w:r>
        <w:rPr>
          <w:color w:val="231F20"/>
          <w:w w:val="110"/>
        </w:rPr>
        <w:t>We would </w:t>
      </w:r>
      <w:r>
        <w:rPr>
          <w:color w:val="231F20"/>
          <w:spacing w:val="4"/>
          <w:w w:val="110"/>
        </w:rPr>
        <w:t>elect </w:t>
      </w:r>
      <w:r>
        <w:rPr>
          <w:color w:val="231F20"/>
          <w:w w:val="110"/>
        </w:rPr>
        <w:t>a </w:t>
      </w:r>
      <w:r>
        <w:rPr>
          <w:color w:val="231F20"/>
          <w:spacing w:val="2"/>
          <w:w w:val="110"/>
        </w:rPr>
        <w:t>minister </w:t>
      </w:r>
      <w:r>
        <w:rPr>
          <w:color w:val="231F20"/>
          <w:w w:val="110"/>
        </w:rPr>
        <w:t>and </w:t>
      </w:r>
      <w:r>
        <w:rPr>
          <w:color w:val="231F20"/>
          <w:spacing w:val="2"/>
          <w:w w:val="110"/>
        </w:rPr>
        <w:t>elder respectively, </w:t>
      </w:r>
      <w:r>
        <w:rPr>
          <w:color w:val="231F20"/>
          <w:spacing w:val="3"/>
          <w:w w:val="110"/>
        </w:rPr>
        <w:t>each </w:t>
      </w:r>
      <w:r>
        <w:rPr>
          <w:color w:val="231F20"/>
          <w:w w:val="110"/>
        </w:rPr>
        <w:t>of whom will </w:t>
      </w:r>
      <w:r>
        <w:rPr>
          <w:color w:val="231F20"/>
          <w:spacing w:val="4"/>
          <w:w w:val="110"/>
        </w:rPr>
        <w:t>serve </w:t>
      </w:r>
      <w:r>
        <w:rPr>
          <w:color w:val="231F20"/>
          <w:spacing w:val="2"/>
          <w:w w:val="110"/>
        </w:rPr>
        <w:t>for </w:t>
      </w:r>
      <w:r>
        <w:rPr>
          <w:color w:val="231F20"/>
          <w:spacing w:val="3"/>
          <w:w w:val="110"/>
        </w:rPr>
        <w:t>two </w:t>
      </w:r>
      <w:r>
        <w:rPr>
          <w:color w:val="231F20"/>
          <w:spacing w:val="2"/>
          <w:w w:val="110"/>
        </w:rPr>
        <w:t>years. </w:t>
      </w:r>
      <w:r>
        <w:rPr>
          <w:color w:val="231F20"/>
          <w:w w:val="110"/>
        </w:rPr>
        <w:t>So, at any one </w:t>
      </w:r>
      <w:r>
        <w:rPr>
          <w:color w:val="231F20"/>
          <w:spacing w:val="2"/>
          <w:w w:val="110"/>
        </w:rPr>
        <w:t>time </w:t>
      </w:r>
      <w:r>
        <w:rPr>
          <w:color w:val="231F20"/>
          <w:spacing w:val="3"/>
          <w:w w:val="110"/>
        </w:rPr>
        <w:t>there </w:t>
      </w:r>
      <w:r>
        <w:rPr>
          <w:color w:val="231F20"/>
          <w:w w:val="110"/>
        </w:rPr>
        <w:t>would </w:t>
      </w:r>
      <w:r>
        <w:rPr>
          <w:color w:val="231F20"/>
          <w:spacing w:val="2"/>
          <w:w w:val="110"/>
        </w:rPr>
        <w:t>be </w:t>
      </w:r>
      <w:r>
        <w:rPr>
          <w:color w:val="231F20"/>
          <w:spacing w:val="3"/>
          <w:w w:val="110"/>
        </w:rPr>
        <w:t>two Moderators </w:t>
      </w:r>
      <w:r>
        <w:rPr>
          <w:color w:val="231F20"/>
          <w:w w:val="110"/>
        </w:rPr>
        <w:t>(one elder, one minister) </w:t>
      </w:r>
      <w:r>
        <w:rPr>
          <w:color w:val="231F20"/>
          <w:spacing w:val="3"/>
          <w:w w:val="110"/>
        </w:rPr>
        <w:t>operating </w:t>
      </w:r>
      <w:r>
        <w:rPr>
          <w:color w:val="231F20"/>
          <w:w w:val="110"/>
        </w:rPr>
        <w:t>collegially. Together </w:t>
      </w:r>
      <w:r>
        <w:rPr>
          <w:color w:val="231F20"/>
          <w:spacing w:val="2"/>
          <w:w w:val="110"/>
        </w:rPr>
        <w:t>with the immediate </w:t>
      </w:r>
      <w:r>
        <w:rPr>
          <w:color w:val="231F20"/>
          <w:spacing w:val="3"/>
          <w:w w:val="110"/>
        </w:rPr>
        <w:t>past Moderator </w:t>
      </w:r>
      <w:r>
        <w:rPr>
          <w:color w:val="231F20"/>
          <w:w w:val="110"/>
        </w:rPr>
        <w:t>and </w:t>
      </w:r>
      <w:r>
        <w:rPr>
          <w:color w:val="231F20"/>
          <w:spacing w:val="2"/>
          <w:w w:val="110"/>
        </w:rPr>
        <w:t>the </w:t>
      </w:r>
      <w:r>
        <w:rPr>
          <w:color w:val="231F20"/>
          <w:spacing w:val="3"/>
          <w:w w:val="110"/>
        </w:rPr>
        <w:t>Moderator Elect, </w:t>
      </w:r>
      <w:r>
        <w:rPr>
          <w:color w:val="231F20"/>
          <w:w w:val="110"/>
        </w:rPr>
        <w:t>and </w:t>
      </w:r>
      <w:r>
        <w:rPr>
          <w:color w:val="231F20"/>
          <w:spacing w:val="2"/>
          <w:w w:val="110"/>
        </w:rPr>
        <w:t>with the </w:t>
      </w:r>
      <w:r>
        <w:rPr>
          <w:color w:val="231F20"/>
          <w:spacing w:val="3"/>
          <w:w w:val="110"/>
        </w:rPr>
        <w:t>General </w:t>
      </w:r>
      <w:r>
        <w:rPr>
          <w:color w:val="231F20"/>
          <w:spacing w:val="5"/>
          <w:w w:val="110"/>
        </w:rPr>
        <w:t>Secretary </w:t>
      </w:r>
      <w:r>
        <w:rPr>
          <w:color w:val="231F20"/>
          <w:w w:val="110"/>
        </w:rPr>
        <w:t>and </w:t>
      </w:r>
      <w:r>
        <w:rPr>
          <w:color w:val="231F20"/>
          <w:spacing w:val="3"/>
          <w:w w:val="110"/>
        </w:rPr>
        <w:t>Deputy General Secretary, </w:t>
      </w:r>
      <w:r>
        <w:rPr>
          <w:color w:val="231F20"/>
          <w:w w:val="110"/>
        </w:rPr>
        <w:t>they would </w:t>
      </w:r>
      <w:r>
        <w:rPr>
          <w:color w:val="231F20"/>
          <w:spacing w:val="3"/>
          <w:w w:val="110"/>
        </w:rPr>
        <w:t>form </w:t>
      </w:r>
      <w:r>
        <w:rPr>
          <w:color w:val="231F20"/>
          <w:w w:val="110"/>
        </w:rPr>
        <w:t>a </w:t>
      </w:r>
      <w:r>
        <w:rPr>
          <w:color w:val="231F20"/>
          <w:spacing w:val="3"/>
          <w:w w:val="110"/>
        </w:rPr>
        <w:t>leadership </w:t>
      </w:r>
      <w:r>
        <w:rPr>
          <w:color w:val="231F20"/>
          <w:spacing w:val="2"/>
          <w:w w:val="110"/>
        </w:rPr>
        <w:t>group </w:t>
      </w:r>
      <w:r>
        <w:rPr>
          <w:color w:val="231F20"/>
          <w:w w:val="110"/>
        </w:rPr>
        <w:t>who would </w:t>
      </w:r>
      <w:r>
        <w:rPr>
          <w:color w:val="231F20"/>
          <w:spacing w:val="3"/>
          <w:w w:val="110"/>
        </w:rPr>
        <w:t>meet </w:t>
      </w:r>
      <w:r>
        <w:rPr>
          <w:color w:val="231F20"/>
          <w:spacing w:val="-4"/>
          <w:w w:val="110"/>
        </w:rPr>
        <w:t>(say) </w:t>
      </w:r>
      <w:r>
        <w:rPr>
          <w:color w:val="231F20"/>
          <w:spacing w:val="3"/>
          <w:w w:val="110"/>
        </w:rPr>
        <w:t>three </w:t>
      </w:r>
      <w:r>
        <w:rPr>
          <w:color w:val="231F20"/>
          <w:spacing w:val="2"/>
          <w:w w:val="110"/>
        </w:rPr>
        <w:t>times </w:t>
      </w:r>
      <w:r>
        <w:rPr>
          <w:color w:val="231F20"/>
          <w:w w:val="110"/>
        </w:rPr>
        <w:t>a</w:t>
      </w:r>
      <w:r>
        <w:rPr>
          <w:color w:val="231F20"/>
          <w:spacing w:val="20"/>
          <w:w w:val="110"/>
        </w:rPr>
        <w:t> </w:t>
      </w:r>
      <w:r>
        <w:rPr>
          <w:color w:val="231F20"/>
          <w:w w:val="110"/>
        </w:rPr>
        <w:t>year.</w:t>
      </w:r>
    </w:p>
    <w:p>
      <w:pPr>
        <w:pStyle w:val="BodyText"/>
        <w:spacing w:before="10"/>
        <w:rPr>
          <w:sz w:val="20"/>
        </w:rPr>
      </w:pPr>
    </w:p>
    <w:p>
      <w:pPr>
        <w:pStyle w:val="ListParagraph"/>
        <w:numPr>
          <w:ilvl w:val="1"/>
          <w:numId w:val="7"/>
        </w:numPr>
        <w:tabs>
          <w:tab w:pos="1960" w:val="left" w:leader="none"/>
          <w:tab w:pos="1961" w:val="left" w:leader="none"/>
        </w:tabs>
        <w:spacing w:line="273" w:lineRule="auto" w:before="0" w:after="0"/>
        <w:ind w:left="1240" w:right="2252" w:firstLine="0"/>
        <w:jc w:val="left"/>
        <w:rPr>
          <w:sz w:val="18"/>
        </w:rPr>
      </w:pPr>
      <w:r>
        <w:rPr>
          <w:color w:val="231F20"/>
          <w:spacing w:val="-3"/>
          <w:w w:val="110"/>
          <w:sz w:val="18"/>
        </w:rPr>
        <w:t>We </w:t>
      </w:r>
      <w:r>
        <w:rPr>
          <w:color w:val="231F20"/>
          <w:w w:val="110"/>
          <w:sz w:val="18"/>
        </w:rPr>
        <w:t>believe this to be commendable for several reasons. </w:t>
      </w:r>
      <w:r>
        <w:rPr>
          <w:color w:val="231F20"/>
          <w:spacing w:val="2"/>
          <w:w w:val="110"/>
          <w:sz w:val="18"/>
        </w:rPr>
        <w:t>First, </w:t>
      </w:r>
      <w:r>
        <w:rPr>
          <w:color w:val="231F20"/>
          <w:w w:val="110"/>
          <w:sz w:val="18"/>
        </w:rPr>
        <w:t>it makes a two year commitment to Moderatorship manageable, </w:t>
      </w:r>
      <w:r>
        <w:rPr>
          <w:color w:val="231F20"/>
          <w:spacing w:val="2"/>
          <w:w w:val="110"/>
          <w:sz w:val="18"/>
        </w:rPr>
        <w:t>because </w:t>
      </w:r>
      <w:r>
        <w:rPr>
          <w:color w:val="231F20"/>
          <w:w w:val="110"/>
          <w:sz w:val="18"/>
        </w:rPr>
        <w:t>the</w:t>
      </w:r>
      <w:r>
        <w:rPr>
          <w:color w:val="231F20"/>
          <w:spacing w:val="65"/>
          <w:w w:val="110"/>
          <w:sz w:val="18"/>
        </w:rPr>
        <w:t> </w:t>
      </w:r>
      <w:r>
        <w:rPr>
          <w:color w:val="231F20"/>
          <w:w w:val="110"/>
          <w:sz w:val="18"/>
        </w:rPr>
        <w:t>task</w:t>
      </w:r>
    </w:p>
    <w:p>
      <w:pPr>
        <w:pStyle w:val="BodyText"/>
        <w:spacing w:line="273" w:lineRule="auto" w:before="1"/>
        <w:ind w:left="1240" w:right="2303"/>
      </w:pPr>
      <w:r>
        <w:rPr>
          <w:color w:val="231F20"/>
          <w:w w:val="110"/>
        </w:rPr>
        <w:t>is shared collegially. Second, it honours our theological commitment to the complementarity of the ministries of minister and elder. Third, it will provide more stability within Assembly’s leadership team, which will consist of the two </w:t>
      </w:r>
      <w:r>
        <w:rPr>
          <w:color w:val="231F20"/>
          <w:spacing w:val="2"/>
          <w:w w:val="110"/>
        </w:rPr>
        <w:t>serving </w:t>
      </w:r>
      <w:r>
        <w:rPr>
          <w:color w:val="231F20"/>
          <w:w w:val="110"/>
        </w:rPr>
        <w:t>Moderators, the Moderator </w:t>
      </w:r>
      <w:r>
        <w:rPr>
          <w:color w:val="231F20"/>
          <w:spacing w:val="2"/>
          <w:w w:val="110"/>
        </w:rPr>
        <w:t>Elect, </w:t>
      </w:r>
      <w:r>
        <w:rPr>
          <w:color w:val="231F20"/>
          <w:w w:val="110"/>
        </w:rPr>
        <w:t>the immediate past Moderator and the</w:t>
      </w:r>
      <w:r>
        <w:rPr>
          <w:color w:val="231F20"/>
          <w:spacing w:val="7"/>
          <w:w w:val="110"/>
        </w:rPr>
        <w:t> </w:t>
      </w:r>
      <w:r>
        <w:rPr>
          <w:color w:val="231F20"/>
          <w:w w:val="110"/>
        </w:rPr>
        <w:t>two</w:t>
      </w:r>
      <w:r>
        <w:rPr>
          <w:color w:val="231F20"/>
          <w:spacing w:val="8"/>
          <w:w w:val="110"/>
        </w:rPr>
        <w:t> </w:t>
      </w:r>
      <w:r>
        <w:rPr>
          <w:color w:val="231F20"/>
          <w:w w:val="110"/>
        </w:rPr>
        <w:t>General</w:t>
      </w:r>
      <w:r>
        <w:rPr>
          <w:color w:val="231F20"/>
          <w:spacing w:val="8"/>
          <w:w w:val="110"/>
        </w:rPr>
        <w:t> </w:t>
      </w:r>
      <w:r>
        <w:rPr>
          <w:color w:val="231F20"/>
          <w:spacing w:val="2"/>
          <w:w w:val="110"/>
        </w:rPr>
        <w:t>Secretaries.</w:t>
      </w:r>
      <w:r>
        <w:rPr>
          <w:color w:val="231F20"/>
          <w:spacing w:val="8"/>
          <w:w w:val="110"/>
        </w:rPr>
        <w:t> </w:t>
      </w:r>
      <w:r>
        <w:rPr>
          <w:color w:val="231F20"/>
          <w:w w:val="110"/>
        </w:rPr>
        <w:t>Fourth,</w:t>
      </w:r>
      <w:r>
        <w:rPr>
          <w:color w:val="231F20"/>
          <w:spacing w:val="8"/>
          <w:w w:val="110"/>
        </w:rPr>
        <w:t> </w:t>
      </w:r>
      <w:r>
        <w:rPr>
          <w:color w:val="231F20"/>
          <w:w w:val="110"/>
        </w:rPr>
        <w:t>that</w:t>
      </w:r>
      <w:r>
        <w:rPr>
          <w:color w:val="231F20"/>
          <w:spacing w:val="8"/>
          <w:w w:val="110"/>
        </w:rPr>
        <w:t> </w:t>
      </w:r>
      <w:r>
        <w:rPr>
          <w:color w:val="231F20"/>
          <w:w w:val="110"/>
        </w:rPr>
        <w:t>group</w:t>
      </w:r>
      <w:r>
        <w:rPr>
          <w:color w:val="231F20"/>
          <w:spacing w:val="8"/>
          <w:w w:val="110"/>
        </w:rPr>
        <w:t> </w:t>
      </w:r>
      <w:r>
        <w:rPr>
          <w:color w:val="231F20"/>
          <w:w w:val="110"/>
        </w:rPr>
        <w:t>in</w:t>
      </w:r>
      <w:r>
        <w:rPr>
          <w:color w:val="231F20"/>
          <w:spacing w:val="8"/>
          <w:w w:val="110"/>
        </w:rPr>
        <w:t> </w:t>
      </w:r>
      <w:r>
        <w:rPr>
          <w:color w:val="231F20"/>
          <w:w w:val="110"/>
        </w:rPr>
        <w:t>itself</w:t>
      </w:r>
      <w:r>
        <w:rPr>
          <w:color w:val="231F20"/>
          <w:spacing w:val="8"/>
          <w:w w:val="110"/>
        </w:rPr>
        <w:t> </w:t>
      </w:r>
      <w:r>
        <w:rPr>
          <w:color w:val="231F20"/>
          <w:w w:val="110"/>
        </w:rPr>
        <w:t>will</w:t>
      </w:r>
      <w:r>
        <w:rPr>
          <w:color w:val="231F20"/>
          <w:spacing w:val="8"/>
          <w:w w:val="110"/>
        </w:rPr>
        <w:t> </w:t>
      </w:r>
      <w:r>
        <w:rPr>
          <w:color w:val="231F20"/>
          <w:w w:val="110"/>
        </w:rPr>
        <w:t>provide</w:t>
      </w:r>
      <w:r>
        <w:rPr>
          <w:color w:val="231F20"/>
          <w:spacing w:val="8"/>
          <w:w w:val="110"/>
        </w:rPr>
        <w:t> </w:t>
      </w:r>
      <w:r>
        <w:rPr>
          <w:color w:val="231F20"/>
          <w:w w:val="110"/>
        </w:rPr>
        <w:t>a</w:t>
      </w:r>
      <w:r>
        <w:rPr>
          <w:color w:val="231F20"/>
          <w:spacing w:val="8"/>
          <w:w w:val="110"/>
        </w:rPr>
        <w:t> </w:t>
      </w:r>
      <w:r>
        <w:rPr>
          <w:color w:val="231F20"/>
          <w:w w:val="110"/>
        </w:rPr>
        <w:t>point</w:t>
      </w:r>
    </w:p>
    <w:p>
      <w:pPr>
        <w:pStyle w:val="BodyText"/>
        <w:spacing w:line="273" w:lineRule="auto" w:before="4"/>
        <w:ind w:left="1240" w:right="1593"/>
      </w:pPr>
      <w:r>
        <w:rPr>
          <w:color w:val="231F20"/>
          <w:w w:val="110"/>
        </w:rPr>
        <w:t>of accountability and support for the Moderators. Fifth, it would cement the relationship between Assembly and the Trustee body, not least because of the considerable overlap of personnel.</w:t>
      </w:r>
    </w:p>
    <w:p>
      <w:pPr>
        <w:pStyle w:val="BodyText"/>
        <w:spacing w:before="8"/>
        <w:rPr>
          <w:sz w:val="20"/>
        </w:rPr>
      </w:pPr>
    </w:p>
    <w:p>
      <w:pPr>
        <w:pStyle w:val="ListParagraph"/>
        <w:numPr>
          <w:ilvl w:val="1"/>
          <w:numId w:val="7"/>
        </w:numPr>
        <w:tabs>
          <w:tab w:pos="1960" w:val="left" w:leader="none"/>
          <w:tab w:pos="1961" w:val="left" w:leader="none"/>
        </w:tabs>
        <w:spacing w:line="273" w:lineRule="auto" w:before="0" w:after="0"/>
        <w:ind w:left="1240" w:right="2077" w:firstLine="0"/>
        <w:jc w:val="left"/>
        <w:rPr>
          <w:sz w:val="18"/>
        </w:rPr>
      </w:pPr>
      <w:r>
        <w:rPr>
          <w:color w:val="231F20"/>
          <w:spacing w:val="-3"/>
          <w:w w:val="110"/>
          <w:sz w:val="18"/>
        </w:rPr>
        <w:t>We </w:t>
      </w:r>
      <w:r>
        <w:rPr>
          <w:color w:val="231F20"/>
          <w:w w:val="110"/>
          <w:sz w:val="18"/>
        </w:rPr>
        <w:t>note that if an elder presently in employment were elected, although we could not match their salary, we might be able to provide the equivalent of   a stipend as a generous honorarium for their term of</w:t>
      </w:r>
      <w:r>
        <w:rPr>
          <w:color w:val="231F20"/>
          <w:spacing w:val="34"/>
          <w:w w:val="110"/>
          <w:sz w:val="18"/>
        </w:rPr>
        <w:t> </w:t>
      </w:r>
      <w:r>
        <w:rPr>
          <w:color w:val="231F20"/>
          <w:w w:val="110"/>
          <w:sz w:val="18"/>
        </w:rPr>
        <w:t>office.</w:t>
      </w:r>
    </w:p>
    <w:p>
      <w:pPr>
        <w:pStyle w:val="BodyText"/>
        <w:spacing w:before="9"/>
        <w:rPr>
          <w:sz w:val="20"/>
        </w:rPr>
      </w:pPr>
    </w:p>
    <w:p>
      <w:pPr>
        <w:pStyle w:val="ListParagraph"/>
        <w:numPr>
          <w:ilvl w:val="1"/>
          <w:numId w:val="7"/>
        </w:numPr>
        <w:tabs>
          <w:tab w:pos="1960" w:val="left" w:leader="none"/>
          <w:tab w:pos="1961" w:val="left" w:leader="none"/>
        </w:tabs>
        <w:spacing w:line="273" w:lineRule="auto" w:before="0" w:after="0"/>
        <w:ind w:left="1240" w:right="2402" w:firstLine="0"/>
        <w:jc w:val="left"/>
        <w:rPr>
          <w:sz w:val="18"/>
        </w:rPr>
      </w:pPr>
      <w:r>
        <w:rPr>
          <w:color w:val="231F20"/>
          <w:spacing w:val="3"/>
          <w:w w:val="110"/>
          <w:sz w:val="18"/>
        </w:rPr>
        <w:t>There </w:t>
      </w:r>
      <w:r>
        <w:rPr>
          <w:color w:val="231F20"/>
          <w:w w:val="110"/>
          <w:sz w:val="18"/>
        </w:rPr>
        <w:t>will </w:t>
      </w:r>
      <w:r>
        <w:rPr>
          <w:color w:val="231F20"/>
          <w:spacing w:val="3"/>
          <w:w w:val="110"/>
          <w:sz w:val="18"/>
        </w:rPr>
        <w:t>clearly need </w:t>
      </w:r>
      <w:r>
        <w:rPr>
          <w:color w:val="231F20"/>
          <w:w w:val="110"/>
          <w:sz w:val="18"/>
        </w:rPr>
        <w:t>to </w:t>
      </w:r>
      <w:r>
        <w:rPr>
          <w:color w:val="231F20"/>
          <w:spacing w:val="2"/>
          <w:w w:val="110"/>
          <w:sz w:val="18"/>
        </w:rPr>
        <w:t>be transitional </w:t>
      </w:r>
      <w:r>
        <w:rPr>
          <w:color w:val="231F20"/>
          <w:spacing w:val="3"/>
          <w:w w:val="110"/>
          <w:sz w:val="18"/>
        </w:rPr>
        <w:t>arrangements </w:t>
      </w:r>
      <w:r>
        <w:rPr>
          <w:color w:val="231F20"/>
          <w:w w:val="110"/>
          <w:sz w:val="18"/>
        </w:rPr>
        <w:t>if </w:t>
      </w:r>
      <w:r>
        <w:rPr>
          <w:color w:val="231F20"/>
          <w:spacing w:val="3"/>
          <w:w w:val="110"/>
          <w:sz w:val="18"/>
        </w:rPr>
        <w:t>Assembly agrees </w:t>
      </w:r>
      <w:r>
        <w:rPr>
          <w:color w:val="231F20"/>
          <w:w w:val="110"/>
          <w:sz w:val="18"/>
        </w:rPr>
        <w:t>to this </w:t>
      </w:r>
      <w:r>
        <w:rPr>
          <w:color w:val="231F20"/>
          <w:spacing w:val="3"/>
          <w:w w:val="110"/>
          <w:sz w:val="18"/>
        </w:rPr>
        <w:t>proposal. </w:t>
      </w:r>
      <w:r>
        <w:rPr>
          <w:color w:val="231F20"/>
          <w:w w:val="110"/>
          <w:sz w:val="18"/>
        </w:rPr>
        <w:t>2008 will </w:t>
      </w:r>
      <w:r>
        <w:rPr>
          <w:color w:val="231F20"/>
          <w:spacing w:val="2"/>
          <w:w w:val="110"/>
          <w:sz w:val="18"/>
        </w:rPr>
        <w:t>be anomalous. </w:t>
      </w:r>
      <w:r>
        <w:rPr>
          <w:color w:val="231F20"/>
          <w:w w:val="110"/>
          <w:sz w:val="18"/>
        </w:rPr>
        <w:t>At </w:t>
      </w:r>
      <w:r>
        <w:rPr>
          <w:color w:val="231F20"/>
          <w:spacing w:val="2"/>
          <w:w w:val="110"/>
          <w:sz w:val="18"/>
        </w:rPr>
        <w:t>the </w:t>
      </w:r>
      <w:r>
        <w:rPr>
          <w:color w:val="231F20"/>
          <w:w w:val="110"/>
          <w:sz w:val="18"/>
        </w:rPr>
        <w:t>2008 </w:t>
      </w:r>
      <w:r>
        <w:rPr>
          <w:color w:val="231F20"/>
          <w:spacing w:val="3"/>
          <w:w w:val="110"/>
          <w:sz w:val="18"/>
        </w:rPr>
        <w:t>Assembly </w:t>
      </w:r>
      <w:r>
        <w:rPr>
          <w:color w:val="231F20"/>
          <w:spacing w:val="2"/>
          <w:w w:val="110"/>
          <w:sz w:val="18"/>
        </w:rPr>
        <w:t>the</w:t>
      </w:r>
      <w:r>
        <w:rPr>
          <w:color w:val="231F20"/>
          <w:spacing w:val="73"/>
          <w:w w:val="110"/>
          <w:sz w:val="18"/>
        </w:rPr>
        <w:t> </w:t>
      </w:r>
      <w:r>
        <w:rPr>
          <w:color w:val="231F20"/>
          <w:spacing w:val="3"/>
          <w:w w:val="110"/>
          <w:sz w:val="18"/>
        </w:rPr>
        <w:t>church </w:t>
      </w:r>
      <w:r>
        <w:rPr>
          <w:color w:val="231F20"/>
          <w:w w:val="110"/>
          <w:sz w:val="18"/>
        </w:rPr>
        <w:t>will </w:t>
      </w:r>
      <w:r>
        <w:rPr>
          <w:color w:val="231F20"/>
          <w:spacing w:val="3"/>
          <w:w w:val="110"/>
          <w:sz w:val="18"/>
        </w:rPr>
        <w:t>need </w:t>
      </w:r>
      <w:r>
        <w:rPr>
          <w:color w:val="231F20"/>
          <w:w w:val="110"/>
          <w:sz w:val="18"/>
        </w:rPr>
        <w:t>to </w:t>
      </w:r>
      <w:r>
        <w:rPr>
          <w:color w:val="231F20"/>
          <w:spacing w:val="4"/>
          <w:w w:val="110"/>
          <w:sz w:val="18"/>
        </w:rPr>
        <w:t>elect </w:t>
      </w:r>
      <w:r>
        <w:rPr>
          <w:color w:val="231F20"/>
          <w:w w:val="110"/>
          <w:sz w:val="18"/>
        </w:rPr>
        <w:t>an </w:t>
      </w:r>
      <w:r>
        <w:rPr>
          <w:color w:val="231F20"/>
          <w:spacing w:val="2"/>
          <w:w w:val="110"/>
          <w:sz w:val="18"/>
        </w:rPr>
        <w:t>elder </w:t>
      </w:r>
      <w:r>
        <w:rPr>
          <w:color w:val="231F20"/>
          <w:w w:val="110"/>
          <w:sz w:val="18"/>
        </w:rPr>
        <w:t>to </w:t>
      </w:r>
      <w:r>
        <w:rPr>
          <w:color w:val="231F20"/>
          <w:spacing w:val="2"/>
          <w:w w:val="110"/>
          <w:sz w:val="18"/>
        </w:rPr>
        <w:t>work </w:t>
      </w:r>
      <w:r>
        <w:rPr>
          <w:color w:val="231F20"/>
          <w:w w:val="110"/>
          <w:sz w:val="18"/>
        </w:rPr>
        <w:t>in </w:t>
      </w:r>
      <w:r>
        <w:rPr>
          <w:color w:val="231F20"/>
          <w:spacing w:val="3"/>
          <w:w w:val="110"/>
          <w:sz w:val="18"/>
        </w:rPr>
        <w:t>tandem </w:t>
      </w:r>
      <w:r>
        <w:rPr>
          <w:color w:val="231F20"/>
          <w:spacing w:val="2"/>
          <w:w w:val="110"/>
          <w:sz w:val="18"/>
        </w:rPr>
        <w:t>with the </w:t>
      </w:r>
      <w:r>
        <w:rPr>
          <w:color w:val="231F20"/>
          <w:w w:val="110"/>
          <w:sz w:val="18"/>
        </w:rPr>
        <w:t>08 </w:t>
      </w:r>
      <w:r>
        <w:rPr>
          <w:color w:val="231F20"/>
          <w:spacing w:val="3"/>
          <w:w w:val="110"/>
          <w:sz w:val="18"/>
        </w:rPr>
        <w:t>Moderator </w:t>
      </w:r>
      <w:r>
        <w:rPr>
          <w:color w:val="231F20"/>
          <w:spacing w:val="2"/>
          <w:w w:val="110"/>
          <w:sz w:val="18"/>
        </w:rPr>
        <w:t>during </w:t>
      </w:r>
      <w:r>
        <w:rPr>
          <w:color w:val="231F20"/>
          <w:w w:val="110"/>
          <w:sz w:val="18"/>
        </w:rPr>
        <w:t>09. It will </w:t>
      </w:r>
      <w:r>
        <w:rPr>
          <w:color w:val="231F20"/>
          <w:spacing w:val="2"/>
          <w:w w:val="110"/>
          <w:sz w:val="18"/>
        </w:rPr>
        <w:t>also </w:t>
      </w:r>
      <w:r>
        <w:rPr>
          <w:color w:val="231F20"/>
          <w:spacing w:val="3"/>
          <w:w w:val="110"/>
          <w:sz w:val="18"/>
        </w:rPr>
        <w:t>need </w:t>
      </w:r>
      <w:r>
        <w:rPr>
          <w:color w:val="231F20"/>
          <w:w w:val="110"/>
          <w:sz w:val="18"/>
        </w:rPr>
        <w:t>to </w:t>
      </w:r>
      <w:r>
        <w:rPr>
          <w:color w:val="231F20"/>
          <w:spacing w:val="4"/>
          <w:w w:val="110"/>
          <w:sz w:val="18"/>
        </w:rPr>
        <w:t>elect </w:t>
      </w:r>
      <w:r>
        <w:rPr>
          <w:color w:val="231F20"/>
          <w:w w:val="110"/>
          <w:sz w:val="18"/>
        </w:rPr>
        <w:t>a </w:t>
      </w:r>
      <w:r>
        <w:rPr>
          <w:color w:val="231F20"/>
          <w:spacing w:val="2"/>
          <w:w w:val="110"/>
          <w:sz w:val="18"/>
        </w:rPr>
        <w:t>minister </w:t>
      </w:r>
      <w:r>
        <w:rPr>
          <w:color w:val="231F20"/>
          <w:w w:val="110"/>
          <w:sz w:val="18"/>
        </w:rPr>
        <w:t>and an </w:t>
      </w:r>
      <w:r>
        <w:rPr>
          <w:color w:val="231F20"/>
          <w:spacing w:val="2"/>
          <w:w w:val="110"/>
          <w:sz w:val="18"/>
        </w:rPr>
        <w:t>elder </w:t>
      </w:r>
      <w:r>
        <w:rPr>
          <w:color w:val="231F20"/>
          <w:w w:val="110"/>
          <w:sz w:val="18"/>
        </w:rPr>
        <w:t>to </w:t>
      </w:r>
      <w:r>
        <w:rPr>
          <w:color w:val="231F20"/>
          <w:spacing w:val="2"/>
          <w:w w:val="110"/>
          <w:sz w:val="18"/>
        </w:rPr>
        <w:t>be </w:t>
      </w:r>
      <w:r>
        <w:rPr>
          <w:color w:val="231F20"/>
          <w:spacing w:val="3"/>
          <w:w w:val="110"/>
          <w:sz w:val="18"/>
        </w:rPr>
        <w:t>inducted  </w:t>
      </w:r>
      <w:r>
        <w:rPr>
          <w:color w:val="231F20"/>
          <w:w w:val="110"/>
          <w:sz w:val="18"/>
        </w:rPr>
        <w:t>in </w:t>
      </w:r>
      <w:r>
        <w:rPr>
          <w:color w:val="231F20"/>
          <w:spacing w:val="-4"/>
          <w:w w:val="110"/>
          <w:sz w:val="18"/>
        </w:rPr>
        <w:t>2010 </w:t>
      </w:r>
      <w:r>
        <w:rPr>
          <w:color w:val="231F20"/>
          <w:w w:val="110"/>
          <w:sz w:val="18"/>
        </w:rPr>
        <w:t>and </w:t>
      </w:r>
      <w:r>
        <w:rPr>
          <w:color w:val="231F20"/>
          <w:spacing w:val="4"/>
          <w:w w:val="110"/>
          <w:sz w:val="18"/>
        </w:rPr>
        <w:t>serve </w:t>
      </w:r>
      <w:r>
        <w:rPr>
          <w:color w:val="231F20"/>
          <w:spacing w:val="3"/>
          <w:w w:val="110"/>
          <w:sz w:val="18"/>
        </w:rPr>
        <w:t>from </w:t>
      </w:r>
      <w:r>
        <w:rPr>
          <w:color w:val="231F20"/>
          <w:spacing w:val="-4"/>
          <w:w w:val="110"/>
          <w:sz w:val="18"/>
        </w:rPr>
        <w:t>2010 </w:t>
      </w:r>
      <w:r>
        <w:rPr>
          <w:color w:val="231F20"/>
          <w:w w:val="110"/>
          <w:sz w:val="18"/>
        </w:rPr>
        <w:t>to 2012. Should </w:t>
      </w:r>
      <w:r>
        <w:rPr>
          <w:color w:val="231F20"/>
          <w:spacing w:val="3"/>
          <w:w w:val="110"/>
          <w:sz w:val="18"/>
        </w:rPr>
        <w:t>Assembly agree </w:t>
      </w:r>
      <w:r>
        <w:rPr>
          <w:color w:val="231F20"/>
          <w:w w:val="110"/>
          <w:sz w:val="18"/>
        </w:rPr>
        <w:t>to </w:t>
      </w:r>
      <w:r>
        <w:rPr>
          <w:color w:val="231F20"/>
          <w:spacing w:val="3"/>
          <w:w w:val="110"/>
          <w:sz w:val="18"/>
        </w:rPr>
        <w:t>these proposals,</w:t>
      </w:r>
      <w:r>
        <w:rPr>
          <w:color w:val="231F20"/>
          <w:spacing w:val="9"/>
          <w:w w:val="110"/>
          <w:sz w:val="18"/>
        </w:rPr>
        <w:t> </w:t>
      </w:r>
      <w:r>
        <w:rPr>
          <w:color w:val="231F20"/>
          <w:w w:val="110"/>
          <w:sz w:val="18"/>
        </w:rPr>
        <w:t>a</w:t>
      </w:r>
      <w:r>
        <w:rPr>
          <w:color w:val="231F20"/>
          <w:spacing w:val="11"/>
          <w:w w:val="110"/>
          <w:sz w:val="18"/>
        </w:rPr>
        <w:t> </w:t>
      </w:r>
      <w:r>
        <w:rPr>
          <w:color w:val="231F20"/>
          <w:w w:val="110"/>
          <w:sz w:val="18"/>
        </w:rPr>
        <w:t>note</w:t>
      </w:r>
      <w:r>
        <w:rPr>
          <w:color w:val="231F20"/>
          <w:spacing w:val="11"/>
          <w:w w:val="110"/>
          <w:sz w:val="18"/>
        </w:rPr>
        <w:t> </w:t>
      </w:r>
      <w:r>
        <w:rPr>
          <w:color w:val="231F20"/>
          <w:w w:val="110"/>
          <w:sz w:val="18"/>
        </w:rPr>
        <w:t>will</w:t>
      </w:r>
      <w:r>
        <w:rPr>
          <w:color w:val="231F20"/>
          <w:spacing w:val="10"/>
          <w:w w:val="110"/>
          <w:sz w:val="18"/>
        </w:rPr>
        <w:t> </w:t>
      </w:r>
      <w:r>
        <w:rPr>
          <w:color w:val="231F20"/>
          <w:spacing w:val="2"/>
          <w:w w:val="110"/>
          <w:sz w:val="18"/>
        </w:rPr>
        <w:t>be</w:t>
      </w:r>
      <w:r>
        <w:rPr>
          <w:color w:val="231F20"/>
          <w:spacing w:val="9"/>
          <w:w w:val="110"/>
          <w:sz w:val="18"/>
        </w:rPr>
        <w:t> </w:t>
      </w:r>
      <w:r>
        <w:rPr>
          <w:color w:val="231F20"/>
          <w:spacing w:val="2"/>
          <w:w w:val="110"/>
          <w:sz w:val="18"/>
        </w:rPr>
        <w:t>sent</w:t>
      </w:r>
      <w:r>
        <w:rPr>
          <w:color w:val="231F20"/>
          <w:spacing w:val="11"/>
          <w:w w:val="110"/>
          <w:sz w:val="18"/>
        </w:rPr>
        <w:t> </w:t>
      </w:r>
      <w:r>
        <w:rPr>
          <w:color w:val="231F20"/>
          <w:w w:val="110"/>
          <w:sz w:val="18"/>
        </w:rPr>
        <w:t>to</w:t>
      </w:r>
      <w:r>
        <w:rPr>
          <w:color w:val="231F20"/>
          <w:spacing w:val="11"/>
          <w:w w:val="110"/>
          <w:sz w:val="18"/>
        </w:rPr>
        <w:t> </w:t>
      </w:r>
      <w:r>
        <w:rPr>
          <w:color w:val="231F20"/>
          <w:spacing w:val="2"/>
          <w:w w:val="110"/>
          <w:sz w:val="18"/>
        </w:rPr>
        <w:t>Synods</w:t>
      </w:r>
      <w:r>
        <w:rPr>
          <w:color w:val="231F20"/>
          <w:spacing w:val="10"/>
          <w:w w:val="110"/>
          <w:sz w:val="18"/>
        </w:rPr>
        <w:t> </w:t>
      </w:r>
      <w:r>
        <w:rPr>
          <w:color w:val="231F20"/>
          <w:spacing w:val="2"/>
          <w:w w:val="110"/>
          <w:sz w:val="18"/>
        </w:rPr>
        <w:t>advising</w:t>
      </w:r>
      <w:r>
        <w:rPr>
          <w:color w:val="231F20"/>
          <w:spacing w:val="10"/>
          <w:w w:val="110"/>
          <w:sz w:val="18"/>
        </w:rPr>
        <w:t> </w:t>
      </w:r>
      <w:r>
        <w:rPr>
          <w:color w:val="231F20"/>
          <w:spacing w:val="2"/>
          <w:w w:val="110"/>
          <w:sz w:val="18"/>
        </w:rPr>
        <w:t>them</w:t>
      </w:r>
      <w:r>
        <w:rPr>
          <w:color w:val="231F20"/>
          <w:spacing w:val="9"/>
          <w:w w:val="110"/>
          <w:sz w:val="18"/>
        </w:rPr>
        <w:t> </w:t>
      </w:r>
      <w:r>
        <w:rPr>
          <w:color w:val="231F20"/>
          <w:spacing w:val="2"/>
          <w:w w:val="110"/>
          <w:sz w:val="18"/>
        </w:rPr>
        <w:t>about</w:t>
      </w:r>
      <w:r>
        <w:rPr>
          <w:color w:val="231F20"/>
          <w:spacing w:val="11"/>
          <w:w w:val="110"/>
          <w:sz w:val="18"/>
        </w:rPr>
        <w:t> </w:t>
      </w:r>
      <w:r>
        <w:rPr>
          <w:color w:val="231F20"/>
          <w:spacing w:val="2"/>
          <w:w w:val="110"/>
          <w:sz w:val="18"/>
        </w:rPr>
        <w:t>the</w:t>
      </w:r>
      <w:r>
        <w:rPr>
          <w:color w:val="231F20"/>
          <w:spacing w:val="10"/>
          <w:w w:val="110"/>
          <w:sz w:val="18"/>
        </w:rPr>
        <w:t> </w:t>
      </w:r>
      <w:r>
        <w:rPr>
          <w:color w:val="231F20"/>
          <w:spacing w:val="3"/>
          <w:w w:val="110"/>
          <w:sz w:val="18"/>
        </w:rPr>
        <w:t>details</w:t>
      </w:r>
    </w:p>
    <w:p>
      <w:pPr>
        <w:pStyle w:val="BodyText"/>
        <w:spacing w:line="273" w:lineRule="auto" w:before="4"/>
        <w:ind w:left="1240" w:right="2348"/>
      </w:pPr>
      <w:r>
        <w:rPr>
          <w:color w:val="231F20"/>
          <w:w w:val="110"/>
        </w:rPr>
        <w:t>of nominations for 2008 so that the matter can receive attention at the October round of Synod meetings.</w:t>
      </w:r>
    </w:p>
    <w:p>
      <w:pPr>
        <w:pStyle w:val="BodyText"/>
        <w:rPr>
          <w:sz w:val="20"/>
        </w:rPr>
      </w:pPr>
    </w:p>
    <w:p>
      <w:pPr>
        <w:pStyle w:val="BodyText"/>
        <w:rPr>
          <w:sz w:val="20"/>
        </w:rPr>
      </w:pPr>
    </w:p>
    <w:p>
      <w:pPr>
        <w:pStyle w:val="BodyText"/>
        <w:spacing w:before="4"/>
        <w:rPr>
          <w:sz w:val="21"/>
        </w:rPr>
      </w:pPr>
      <w:r>
        <w:rPr/>
        <w:pict>
          <v:group style="position:absolute;margin-left:69.926598pt;margin-top:14.911955pt;width:444.1pt;height:113pt;mso-position-horizontal-relative:page;mso-position-vertical-relative:paragraph;z-index:-251629568;mso-wrap-distance-left:0;mso-wrap-distance-right:0" coordorigin="1399,298" coordsize="8882,2260">
            <v:rect style="position:absolute;left:1701;top:739;width:4016;height:302" filled="true" fillcolor="#d8dadc" stroked="false">
              <v:fill type="solid"/>
            </v:rect>
            <v:rect style="position:absolute;left:1701;top:411;width:159;height:328" filled="true" fillcolor="#d8dadc" stroked="false">
              <v:fill type="solid"/>
            </v:rect>
            <v:line style="position:absolute" from="1701,405" to="5717,405" stroked="true" strokeweight=".6pt" strokecolor="#d8dadc">
              <v:stroke dashstyle="solid"/>
            </v:line>
            <v:rect style="position:absolute;left:5301;top:412;width:416;height:327" filled="true" fillcolor="#d8dadc" stroked="false">
              <v:fill type="solid"/>
            </v:rect>
            <v:rect style="position:absolute;left:1859;top:412;width:3443;height:327" filled="true" fillcolor="#d8dadc" stroked="false">
              <v:fill type="solid"/>
            </v:rect>
            <v:shape style="position:absolute;left:1398;top:347;width:8882;height:2212" type="#_x0000_t75" stroked="false">
              <v:imagedata r:id="rId35" o:title=""/>
            </v:shape>
            <v:shape style="position:absolute;left:1814;top:298;width:3720;height:754"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31"/>
                        <w:w w:val="111"/>
                        <w:sz w:val="43"/>
                      </w:rPr>
                      <w:t>N</w:t>
                    </w:r>
                    <w:r>
                      <w:rPr>
                        <w:b/>
                        <w:color w:val="231F20"/>
                        <w:w w:val="112"/>
                        <w:position w:val="-20"/>
                        <w:sz w:val="50"/>
                      </w:rPr>
                      <w:t>5</w:t>
                    </w:r>
                  </w:p>
                </w:txbxContent>
              </v:textbox>
              <w10:wrap type="none"/>
            </v:shape>
            <v:shape style="position:absolute;left:7045;top:747;width:2839;height:241" type="#_x0000_t202" filled="false" stroked="false">
              <v:textbox inset="0,0,0,0">
                <w:txbxContent>
                  <w:p>
                    <w:pPr>
                      <w:spacing w:line="241" w:lineRule="exact" w:before="0"/>
                      <w:ind w:left="0" w:right="0" w:firstLine="0"/>
                      <w:jc w:val="left"/>
                      <w:rPr>
                        <w:b/>
                        <w:sz w:val="20"/>
                      </w:rPr>
                    </w:pPr>
                    <w:r>
                      <w:rPr>
                        <w:b/>
                        <w:color w:val="231F20"/>
                        <w:w w:val="110"/>
                        <w:sz w:val="20"/>
                      </w:rPr>
                      <w:t>Election of Moderators</w:t>
                    </w:r>
                  </w:p>
                </w:txbxContent>
              </v:textbox>
              <w10:wrap type="none"/>
            </v:shape>
            <v:shape style="position:absolute;left:1700;top:1315;width:7735;height:969" type="#_x0000_t202" filled="false" stroked="false">
              <v:textbox inset="0,0,0,0">
                <w:txbxContent>
                  <w:p>
                    <w:pPr>
                      <w:spacing w:line="273" w:lineRule="auto" w:before="0"/>
                      <w:ind w:left="0" w:right="82" w:firstLine="0"/>
                      <w:jc w:val="left"/>
                      <w:rPr>
                        <w:sz w:val="18"/>
                      </w:rPr>
                    </w:pPr>
                    <w:r>
                      <w:rPr>
                        <w:color w:val="231F20"/>
                        <w:w w:val="110"/>
                        <w:sz w:val="18"/>
                      </w:rPr>
                      <w:t>General Assembly resolves that as </w:t>
                    </w:r>
                    <w:r>
                      <w:rPr>
                        <w:color w:val="231F20"/>
                        <w:spacing w:val="2"/>
                        <w:w w:val="110"/>
                        <w:sz w:val="18"/>
                      </w:rPr>
                      <w:t>from </w:t>
                    </w:r>
                    <w:r>
                      <w:rPr>
                        <w:color w:val="231F20"/>
                        <w:w w:val="110"/>
                        <w:sz w:val="18"/>
                      </w:rPr>
                      <w:t>2008 it shall </w:t>
                    </w:r>
                    <w:r>
                      <w:rPr>
                        <w:color w:val="231F20"/>
                        <w:spacing w:val="2"/>
                        <w:w w:val="110"/>
                        <w:sz w:val="18"/>
                      </w:rPr>
                      <w:t>elect </w:t>
                    </w:r>
                    <w:r>
                      <w:rPr>
                        <w:color w:val="231F20"/>
                        <w:w w:val="110"/>
                        <w:sz w:val="18"/>
                      </w:rPr>
                      <w:t>two Moderators at its biennial meeting, one a minister of Word and Sacraments or a Church Related Community </w:t>
                    </w:r>
                    <w:r>
                      <w:rPr>
                        <w:color w:val="231F20"/>
                        <w:spacing w:val="-4"/>
                        <w:w w:val="110"/>
                        <w:sz w:val="18"/>
                      </w:rPr>
                      <w:t>Worker, </w:t>
                    </w:r>
                    <w:r>
                      <w:rPr>
                        <w:color w:val="231F20"/>
                        <w:w w:val="110"/>
                        <w:sz w:val="18"/>
                      </w:rPr>
                      <w:t>and one an </w:t>
                    </w:r>
                    <w:r>
                      <w:rPr>
                        <w:color w:val="231F20"/>
                        <w:spacing w:val="-3"/>
                        <w:w w:val="110"/>
                        <w:sz w:val="18"/>
                      </w:rPr>
                      <w:t>Elder, </w:t>
                    </w:r>
                    <w:r>
                      <w:rPr>
                        <w:color w:val="231F20"/>
                        <w:w w:val="110"/>
                        <w:sz w:val="18"/>
                      </w:rPr>
                      <w:t>to </w:t>
                    </w:r>
                    <w:r>
                      <w:rPr>
                        <w:color w:val="231F20"/>
                        <w:spacing w:val="2"/>
                        <w:w w:val="110"/>
                        <w:sz w:val="18"/>
                      </w:rPr>
                      <w:t>serve </w:t>
                    </w:r>
                    <w:r>
                      <w:rPr>
                        <w:color w:val="231F20"/>
                        <w:w w:val="110"/>
                        <w:sz w:val="18"/>
                      </w:rPr>
                      <w:t>together for the following two</w:t>
                    </w:r>
                    <w:r>
                      <w:rPr>
                        <w:color w:val="231F20"/>
                        <w:spacing w:val="2"/>
                        <w:w w:val="110"/>
                        <w:sz w:val="18"/>
                      </w:rPr>
                      <w:t> </w:t>
                    </w:r>
                    <w:r>
                      <w:rPr>
                        <w:color w:val="231F20"/>
                        <w:w w:val="110"/>
                        <w:sz w:val="18"/>
                      </w:rPr>
                      <w:t>years.</w:t>
                    </w:r>
                  </w:p>
                </w:txbxContent>
              </v:textbox>
              <w10:wrap type="none"/>
            </v:shape>
            <w10:wrap type="topAndBottom"/>
          </v:group>
        </w:pict>
      </w:r>
    </w:p>
    <w:p>
      <w:pPr>
        <w:pStyle w:val="BodyText"/>
        <w:rPr>
          <w:sz w:val="20"/>
        </w:rPr>
      </w:pPr>
    </w:p>
    <w:p>
      <w:pPr>
        <w:pStyle w:val="BodyText"/>
        <w:rPr>
          <w:sz w:val="20"/>
        </w:rPr>
      </w:pPr>
    </w:p>
    <w:p>
      <w:pPr>
        <w:pStyle w:val="BodyText"/>
        <w:spacing w:before="11"/>
        <w:rPr>
          <w:sz w:val="23"/>
        </w:rPr>
      </w:pPr>
    </w:p>
    <w:p>
      <w:pPr>
        <w:spacing w:before="309"/>
        <w:ind w:left="50" w:right="0"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headerReference w:type="default" r:id="rId34"/>
          <w:pgSz w:w="11910" w:h="16840"/>
          <w:pgMar w:header="0" w:footer="564" w:top="1000" w:bottom="760" w:left="460" w:right="0"/>
        </w:sectPr>
      </w:pPr>
    </w:p>
    <w:p>
      <w:pPr>
        <w:pStyle w:val="BodyText"/>
        <w:spacing w:before="5"/>
        <w:rPr>
          <w:i/>
          <w:sz w:val="16"/>
        </w:rPr>
      </w:pPr>
    </w:p>
    <w:p>
      <w:pPr>
        <w:spacing w:after="0"/>
        <w:rPr>
          <w:sz w:val="16"/>
        </w:rPr>
        <w:sectPr>
          <w:headerReference w:type="even" r:id="rId36"/>
          <w:footerReference w:type="even" r:id="rId37"/>
          <w:footerReference w:type="default" r:id="rId38"/>
          <w:pgSz w:w="11910" w:h="16840"/>
          <w:pgMar w:header="0" w:footer="484" w:top="1580" w:bottom="680" w:left="460" w:right="0"/>
          <w:pgNumType w:start="24"/>
        </w:sectPr>
      </w:pPr>
    </w:p>
    <w:p>
      <w:pPr>
        <w:pStyle w:val="ListParagraph"/>
        <w:numPr>
          <w:ilvl w:val="0"/>
          <w:numId w:val="8"/>
        </w:numPr>
        <w:tabs>
          <w:tab w:pos="1960" w:val="left" w:leader="none"/>
          <w:tab w:pos="1961" w:val="left" w:leader="none"/>
        </w:tabs>
        <w:spacing w:line="273" w:lineRule="auto" w:before="74" w:after="0"/>
        <w:ind w:left="1240" w:right="2300" w:firstLine="0"/>
        <w:jc w:val="left"/>
        <w:rPr>
          <w:sz w:val="18"/>
        </w:rPr>
      </w:pPr>
      <w:r>
        <w:rPr/>
        <w:pict>
          <v:shape style="position:absolute;margin-left:506.904388pt;margin-top:36.841614pt;width:68.2pt;height:743.6pt;mso-position-horizontal-relative:page;mso-position-vertical-relative:page;z-index:251688960" type="#_x0000_t202" filled="false" stroked="false">
            <v:textbox inset="0,0,0,0" style="layout-flow:vertical">
              <w:txbxContent>
                <w:p>
                  <w:pPr>
                    <w:spacing w:line="983" w:lineRule="exact" w:before="20"/>
                    <w:ind w:left="20" w:right="0" w:firstLine="0"/>
                    <w:jc w:val="left"/>
                    <w:rPr>
                      <w:b/>
                      <w:sz w:val="88"/>
                    </w:rPr>
                  </w:pPr>
                  <w:r>
                    <w:rPr>
                      <w:b/>
                      <w:color w:val="231F20"/>
                      <w:sz w:val="88"/>
                    </w:rPr>
                    <w:t>Synod Moderators’ Report</w:t>
                  </w:r>
                </w:p>
                <w:p>
                  <w:pPr>
                    <w:spacing w:line="359"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Although this is called a </w:t>
      </w:r>
      <w:r>
        <w:rPr>
          <w:color w:val="231F20"/>
          <w:spacing w:val="3"/>
          <w:w w:val="110"/>
          <w:sz w:val="18"/>
        </w:rPr>
        <w:t>‘report’ </w:t>
      </w:r>
      <w:r>
        <w:rPr>
          <w:color w:val="231F20"/>
          <w:spacing w:val="2"/>
          <w:w w:val="110"/>
          <w:sz w:val="18"/>
        </w:rPr>
        <w:t>from </w:t>
      </w:r>
      <w:r>
        <w:rPr>
          <w:color w:val="231F20"/>
          <w:w w:val="110"/>
          <w:sz w:val="18"/>
        </w:rPr>
        <w:t>the Moderators, it is in truth usually more of a commentary, an overview rather than an attempt at accountability. In this it is rather different </w:t>
      </w:r>
      <w:r>
        <w:rPr>
          <w:color w:val="231F20"/>
          <w:spacing w:val="2"/>
          <w:w w:val="110"/>
          <w:sz w:val="18"/>
        </w:rPr>
        <w:t>from </w:t>
      </w:r>
      <w:r>
        <w:rPr>
          <w:color w:val="231F20"/>
          <w:w w:val="110"/>
          <w:sz w:val="18"/>
        </w:rPr>
        <w:t>most </w:t>
      </w:r>
      <w:r>
        <w:rPr>
          <w:color w:val="231F20"/>
          <w:spacing w:val="3"/>
          <w:w w:val="110"/>
          <w:sz w:val="18"/>
        </w:rPr>
        <w:t>reports </w:t>
      </w:r>
      <w:r>
        <w:rPr>
          <w:color w:val="231F20"/>
          <w:w w:val="110"/>
          <w:sz w:val="18"/>
        </w:rPr>
        <w:t>in this book and maybe that is why some people say they read it first! Our primary task this year would seem to be to complement the ‘Catch the Vision’ steering group’s </w:t>
      </w:r>
      <w:r>
        <w:rPr>
          <w:color w:val="231F20"/>
          <w:spacing w:val="2"/>
          <w:w w:val="110"/>
          <w:sz w:val="18"/>
        </w:rPr>
        <w:t>report, </w:t>
      </w:r>
      <w:r>
        <w:rPr>
          <w:color w:val="231F20"/>
          <w:w w:val="110"/>
          <w:sz w:val="18"/>
        </w:rPr>
        <w:t>though we have not read their final </w:t>
      </w:r>
      <w:r>
        <w:rPr>
          <w:color w:val="231F20"/>
          <w:spacing w:val="2"/>
          <w:w w:val="110"/>
          <w:sz w:val="18"/>
        </w:rPr>
        <w:t>text before </w:t>
      </w:r>
      <w:r>
        <w:rPr>
          <w:color w:val="231F20"/>
          <w:w w:val="110"/>
          <w:sz w:val="18"/>
        </w:rPr>
        <w:t>compiling</w:t>
      </w:r>
      <w:r>
        <w:rPr>
          <w:color w:val="231F20"/>
          <w:spacing w:val="39"/>
          <w:w w:val="110"/>
          <w:sz w:val="18"/>
        </w:rPr>
        <w:t> </w:t>
      </w:r>
      <w:r>
        <w:rPr>
          <w:color w:val="231F20"/>
          <w:w w:val="110"/>
          <w:sz w:val="18"/>
        </w:rPr>
        <w:t>this.</w:t>
      </w:r>
    </w:p>
    <w:p>
      <w:pPr>
        <w:pStyle w:val="BodyText"/>
        <w:spacing w:before="10"/>
        <w:rPr>
          <w:sz w:val="20"/>
        </w:rPr>
      </w:pPr>
    </w:p>
    <w:p>
      <w:pPr>
        <w:pStyle w:val="ListParagraph"/>
        <w:numPr>
          <w:ilvl w:val="0"/>
          <w:numId w:val="8"/>
        </w:numPr>
        <w:tabs>
          <w:tab w:pos="1960" w:val="left" w:leader="none"/>
          <w:tab w:pos="1961" w:val="left" w:leader="none"/>
        </w:tabs>
        <w:spacing w:line="273" w:lineRule="auto" w:before="0" w:after="0"/>
        <w:ind w:left="1240" w:right="2274" w:firstLine="0"/>
        <w:jc w:val="left"/>
        <w:rPr>
          <w:sz w:val="18"/>
        </w:rPr>
      </w:pPr>
      <w:r>
        <w:rPr>
          <w:color w:val="231F20"/>
          <w:spacing w:val="-3"/>
          <w:w w:val="110"/>
          <w:sz w:val="18"/>
        </w:rPr>
        <w:t>2007 </w:t>
      </w:r>
      <w:r>
        <w:rPr>
          <w:color w:val="231F20"/>
          <w:w w:val="110"/>
          <w:sz w:val="18"/>
        </w:rPr>
        <w:t>is the crunch year for the United Reformed Church, when we must focus most carefully and decisively on what it is that God has for us to </w:t>
      </w:r>
      <w:r>
        <w:rPr>
          <w:color w:val="231F20"/>
          <w:spacing w:val="-3"/>
          <w:w w:val="110"/>
          <w:sz w:val="18"/>
        </w:rPr>
        <w:t>do, </w:t>
      </w:r>
      <w:r>
        <w:rPr>
          <w:color w:val="231F20"/>
          <w:w w:val="110"/>
          <w:sz w:val="18"/>
        </w:rPr>
        <w:t>on how we are to contribute to the totality of God’s mission, on who we are and “for what we shall be </w:t>
      </w:r>
      <w:r>
        <w:rPr>
          <w:color w:val="231F20"/>
          <w:spacing w:val="-4"/>
          <w:w w:val="110"/>
          <w:sz w:val="18"/>
        </w:rPr>
        <w:t>known”. </w:t>
      </w:r>
      <w:r>
        <w:rPr>
          <w:color w:val="231F20"/>
          <w:w w:val="110"/>
          <w:sz w:val="18"/>
        </w:rPr>
        <w:t>This year we </w:t>
      </w:r>
      <w:r>
        <w:rPr>
          <w:color w:val="231F20"/>
          <w:spacing w:val="-3"/>
          <w:w w:val="110"/>
          <w:sz w:val="18"/>
        </w:rPr>
        <w:t>move </w:t>
      </w:r>
      <w:r>
        <w:rPr>
          <w:color w:val="231F20"/>
          <w:w w:val="110"/>
          <w:sz w:val="18"/>
        </w:rPr>
        <w:t>beyond reacting to crisis and start deciding where we need to be in the coming decade. There </w:t>
      </w:r>
      <w:r>
        <w:rPr>
          <w:color w:val="231F20"/>
          <w:spacing w:val="-3"/>
          <w:w w:val="110"/>
          <w:sz w:val="18"/>
        </w:rPr>
        <w:t>have </w:t>
      </w:r>
      <w:r>
        <w:rPr>
          <w:color w:val="231F20"/>
          <w:w w:val="110"/>
          <w:sz w:val="18"/>
        </w:rPr>
        <w:t>been eloquent analyses of where we are now and equally eloquent reminders of where we should be! This year we are going deeper than concerns </w:t>
      </w:r>
      <w:r>
        <w:rPr>
          <w:color w:val="231F20"/>
          <w:spacing w:val="-3"/>
          <w:w w:val="110"/>
          <w:sz w:val="18"/>
        </w:rPr>
        <w:t>over </w:t>
      </w:r>
      <w:r>
        <w:rPr>
          <w:color w:val="231F20"/>
          <w:w w:val="110"/>
          <w:sz w:val="18"/>
        </w:rPr>
        <w:t>our structures or our resources, to </w:t>
      </w:r>
      <w:r>
        <w:rPr>
          <w:color w:val="231F20"/>
          <w:spacing w:val="-3"/>
          <w:w w:val="110"/>
          <w:sz w:val="18"/>
        </w:rPr>
        <w:t>move </w:t>
      </w:r>
      <w:r>
        <w:rPr>
          <w:color w:val="231F20"/>
          <w:w w:val="110"/>
          <w:sz w:val="18"/>
        </w:rPr>
        <w:t>on from where we are towards where we should be as</w:t>
      </w:r>
      <w:r>
        <w:rPr>
          <w:color w:val="231F20"/>
          <w:spacing w:val="-11"/>
          <w:w w:val="110"/>
          <w:sz w:val="18"/>
        </w:rPr>
        <w:t> </w:t>
      </w:r>
      <w:r>
        <w:rPr>
          <w:color w:val="231F20"/>
          <w:w w:val="110"/>
          <w:sz w:val="18"/>
        </w:rPr>
        <w:t>Church.</w:t>
      </w:r>
    </w:p>
    <w:p>
      <w:pPr>
        <w:pStyle w:val="BodyText"/>
        <w:spacing w:before="1"/>
        <w:rPr>
          <w:sz w:val="21"/>
        </w:rPr>
      </w:pPr>
    </w:p>
    <w:p>
      <w:pPr>
        <w:pStyle w:val="ListParagraph"/>
        <w:numPr>
          <w:ilvl w:val="0"/>
          <w:numId w:val="8"/>
        </w:numPr>
        <w:tabs>
          <w:tab w:pos="1960" w:val="left" w:leader="none"/>
          <w:tab w:pos="1961" w:val="left" w:leader="none"/>
        </w:tabs>
        <w:spacing w:line="273" w:lineRule="auto" w:before="0" w:after="0"/>
        <w:ind w:left="1240" w:right="2306" w:firstLine="0"/>
        <w:jc w:val="left"/>
        <w:rPr>
          <w:sz w:val="18"/>
        </w:rPr>
      </w:pPr>
      <w:r>
        <w:rPr>
          <w:color w:val="231F20"/>
          <w:w w:val="110"/>
          <w:sz w:val="18"/>
        </w:rPr>
        <w:t>It is surely wise when discussing our United Reformed Church identity to concentrate more on the marks of an authentic church than on the distinctiveness of the Reformed tradition. The </w:t>
      </w:r>
      <w:r>
        <w:rPr>
          <w:color w:val="231F20"/>
          <w:spacing w:val="2"/>
          <w:w w:val="110"/>
          <w:sz w:val="18"/>
        </w:rPr>
        <w:t>heart </w:t>
      </w:r>
      <w:r>
        <w:rPr>
          <w:color w:val="231F20"/>
          <w:w w:val="110"/>
          <w:sz w:val="18"/>
        </w:rPr>
        <w:t>of </w:t>
      </w:r>
      <w:r>
        <w:rPr>
          <w:i/>
          <w:color w:val="231F20"/>
          <w:w w:val="110"/>
          <w:sz w:val="18"/>
        </w:rPr>
        <w:t>who </w:t>
      </w:r>
      <w:r>
        <w:rPr>
          <w:color w:val="231F20"/>
          <w:w w:val="110"/>
          <w:sz w:val="18"/>
        </w:rPr>
        <w:t>we </w:t>
      </w:r>
      <w:r>
        <w:rPr>
          <w:i/>
          <w:color w:val="231F20"/>
          <w:w w:val="110"/>
          <w:sz w:val="18"/>
        </w:rPr>
        <w:t>are </w:t>
      </w:r>
      <w:r>
        <w:rPr>
          <w:color w:val="231F20"/>
          <w:w w:val="110"/>
          <w:sz w:val="18"/>
        </w:rPr>
        <w:t>is not   </w:t>
      </w:r>
      <w:r>
        <w:rPr>
          <w:i/>
          <w:color w:val="231F20"/>
          <w:w w:val="110"/>
          <w:sz w:val="18"/>
        </w:rPr>
        <w:t>what we aren’t</w:t>
      </w:r>
      <w:r>
        <w:rPr>
          <w:color w:val="231F20"/>
          <w:w w:val="110"/>
          <w:sz w:val="18"/>
        </w:rPr>
        <w:t>. Our distinctive Reformed inheritance helps us become a </w:t>
      </w:r>
      <w:r>
        <w:rPr>
          <w:color w:val="231F20"/>
          <w:spacing w:val="2"/>
          <w:w w:val="110"/>
          <w:sz w:val="18"/>
        </w:rPr>
        <w:t>‘true </w:t>
      </w:r>
      <w:r>
        <w:rPr>
          <w:color w:val="231F20"/>
          <w:w w:val="110"/>
          <w:sz w:val="18"/>
        </w:rPr>
        <w:t>church’ for God. That is its purpose. So it is that we derive help, for example, </w:t>
      </w:r>
      <w:r>
        <w:rPr>
          <w:color w:val="231F20"/>
          <w:spacing w:val="2"/>
          <w:w w:val="110"/>
          <w:sz w:val="18"/>
        </w:rPr>
        <w:t>from </w:t>
      </w:r>
      <w:r>
        <w:rPr>
          <w:color w:val="231F20"/>
          <w:w w:val="110"/>
          <w:sz w:val="18"/>
        </w:rPr>
        <w:t>the particular emphases in the splendid ‘</w:t>
      </w:r>
      <w:r>
        <w:rPr>
          <w:i/>
          <w:color w:val="231F20"/>
          <w:w w:val="110"/>
          <w:sz w:val="18"/>
        </w:rPr>
        <w:t>Statement concerning the </w:t>
      </w:r>
      <w:r>
        <w:rPr>
          <w:i/>
          <w:color w:val="231F20"/>
          <w:w w:val="110"/>
          <w:sz w:val="18"/>
        </w:rPr>
        <w:t>Nature, Faith and Order of the United Reformed Church</w:t>
      </w:r>
      <w:r>
        <w:rPr>
          <w:color w:val="231F20"/>
          <w:w w:val="110"/>
          <w:sz w:val="18"/>
        </w:rPr>
        <w:t>’ provided we treat  this tradition as a </w:t>
      </w:r>
      <w:r>
        <w:rPr>
          <w:color w:val="231F20"/>
          <w:spacing w:val="2"/>
          <w:w w:val="110"/>
          <w:sz w:val="18"/>
        </w:rPr>
        <w:t>resource </w:t>
      </w:r>
      <w:r>
        <w:rPr>
          <w:color w:val="231F20"/>
          <w:w w:val="110"/>
          <w:sz w:val="18"/>
        </w:rPr>
        <w:t>for moving on, a means to an end. This is the crucial </w:t>
      </w:r>
      <w:r>
        <w:rPr>
          <w:color w:val="231F20"/>
          <w:spacing w:val="2"/>
          <w:w w:val="110"/>
          <w:sz w:val="18"/>
        </w:rPr>
        <w:t>difference </w:t>
      </w:r>
      <w:r>
        <w:rPr>
          <w:color w:val="231F20"/>
          <w:w w:val="110"/>
          <w:sz w:val="18"/>
        </w:rPr>
        <w:t>between continuing a tradition and maintaining one. God  has given us our own gerundive ‘semper Reformanda’, a Latin phrase</w:t>
      </w:r>
      <w:r>
        <w:rPr>
          <w:color w:val="231F20"/>
          <w:spacing w:val="11"/>
          <w:w w:val="110"/>
          <w:sz w:val="18"/>
        </w:rPr>
        <w:t> </w:t>
      </w:r>
      <w:r>
        <w:rPr>
          <w:color w:val="231F20"/>
          <w:w w:val="110"/>
          <w:sz w:val="18"/>
        </w:rPr>
        <w:t>which</w:t>
      </w:r>
    </w:p>
    <w:p>
      <w:pPr>
        <w:pStyle w:val="BodyText"/>
        <w:spacing w:line="273" w:lineRule="auto" w:before="6"/>
        <w:ind w:left="1240" w:right="2256"/>
      </w:pPr>
      <w:r>
        <w:rPr>
          <w:color w:val="231F20"/>
          <w:w w:val="110"/>
        </w:rPr>
        <w:t>can be interpreted as ‘always open to God’s creative Spirit’. </w:t>
      </w:r>
      <w:r>
        <w:rPr>
          <w:color w:val="231F20"/>
          <w:spacing w:val="-3"/>
          <w:w w:val="110"/>
        </w:rPr>
        <w:t>We </w:t>
      </w:r>
      <w:r>
        <w:rPr>
          <w:color w:val="231F20"/>
          <w:w w:val="110"/>
        </w:rPr>
        <w:t>must hope and pray that the recent years full of internal debate will help the United Reformed Church to emerge in the coming years as a more </w:t>
      </w:r>
      <w:r>
        <w:rPr>
          <w:color w:val="231F20"/>
          <w:spacing w:val="2"/>
          <w:w w:val="110"/>
        </w:rPr>
        <w:t>effective </w:t>
      </w:r>
      <w:r>
        <w:rPr>
          <w:color w:val="231F20"/>
          <w:w w:val="110"/>
        </w:rPr>
        <w:t>instrument of God’s grace and God’s purposes in a </w:t>
      </w:r>
      <w:r>
        <w:rPr>
          <w:color w:val="231F20"/>
          <w:spacing w:val="2"/>
          <w:w w:val="110"/>
        </w:rPr>
        <w:t>century </w:t>
      </w:r>
      <w:r>
        <w:rPr>
          <w:color w:val="231F20"/>
          <w:w w:val="110"/>
        </w:rPr>
        <w:t>when accelerating change in every area of life will increasingly feel out of control. So as Moderators we would rather  talk more about God this year when concern over spirituality is bringing us all  to the climax of the Catch the Vision</w:t>
      </w:r>
      <w:r>
        <w:rPr>
          <w:color w:val="231F20"/>
          <w:spacing w:val="15"/>
          <w:w w:val="110"/>
        </w:rPr>
        <w:t> </w:t>
      </w:r>
      <w:r>
        <w:rPr>
          <w:color w:val="231F20"/>
          <w:spacing w:val="2"/>
          <w:w w:val="110"/>
        </w:rPr>
        <w:t>process.</w:t>
      </w:r>
    </w:p>
    <w:p>
      <w:pPr>
        <w:pStyle w:val="BodyText"/>
        <w:spacing w:before="11"/>
        <w:rPr>
          <w:sz w:val="20"/>
        </w:rPr>
      </w:pPr>
    </w:p>
    <w:p>
      <w:pPr>
        <w:pStyle w:val="ListParagraph"/>
        <w:numPr>
          <w:ilvl w:val="0"/>
          <w:numId w:val="8"/>
        </w:numPr>
        <w:tabs>
          <w:tab w:pos="1960" w:val="left" w:leader="none"/>
          <w:tab w:pos="1961" w:val="left" w:leader="none"/>
        </w:tabs>
        <w:spacing w:line="273" w:lineRule="auto" w:before="0" w:after="0"/>
        <w:ind w:left="1240" w:right="2357" w:firstLine="0"/>
        <w:jc w:val="left"/>
        <w:rPr>
          <w:sz w:val="18"/>
        </w:rPr>
      </w:pPr>
      <w:r>
        <w:rPr>
          <w:color w:val="231F20"/>
          <w:spacing w:val="-3"/>
          <w:w w:val="110"/>
          <w:sz w:val="18"/>
        </w:rPr>
        <w:t>Yes, </w:t>
      </w:r>
      <w:r>
        <w:rPr>
          <w:color w:val="231F20"/>
          <w:w w:val="110"/>
          <w:sz w:val="18"/>
        </w:rPr>
        <w:t>the United Reformed Church needs to be realistic. It was sober realism about the multiple </w:t>
      </w:r>
      <w:r>
        <w:rPr>
          <w:color w:val="231F20"/>
          <w:spacing w:val="2"/>
          <w:w w:val="110"/>
          <w:sz w:val="18"/>
        </w:rPr>
        <w:t>crises </w:t>
      </w:r>
      <w:r>
        <w:rPr>
          <w:color w:val="231F20"/>
          <w:w w:val="110"/>
          <w:sz w:val="18"/>
        </w:rPr>
        <w:t>facing us which launched ‘Catch the Vision’. No-one who was present at Mission Council in </w:t>
      </w:r>
      <w:r>
        <w:rPr>
          <w:color w:val="231F20"/>
          <w:spacing w:val="2"/>
          <w:w w:val="110"/>
          <w:sz w:val="18"/>
        </w:rPr>
        <w:t>October </w:t>
      </w:r>
      <w:r>
        <w:rPr>
          <w:color w:val="231F20"/>
          <w:w w:val="110"/>
          <w:sz w:val="18"/>
        </w:rPr>
        <w:t>2002 can forget the hammer blows of successive </w:t>
      </w:r>
      <w:r>
        <w:rPr>
          <w:color w:val="231F20"/>
          <w:spacing w:val="3"/>
          <w:w w:val="110"/>
          <w:sz w:val="18"/>
        </w:rPr>
        <w:t>reports </w:t>
      </w:r>
      <w:r>
        <w:rPr>
          <w:color w:val="231F20"/>
          <w:w w:val="110"/>
          <w:sz w:val="18"/>
        </w:rPr>
        <w:t>on numerical decline, adverse age profiling, financial near-collapse and a lack of candidates for our various ministries. Was this a shot </w:t>
      </w:r>
      <w:r>
        <w:rPr>
          <w:color w:val="231F20"/>
          <w:spacing w:val="2"/>
          <w:w w:val="110"/>
          <w:sz w:val="18"/>
        </w:rPr>
        <w:t>across </w:t>
      </w:r>
      <w:r>
        <w:rPr>
          <w:color w:val="231F20"/>
          <w:w w:val="110"/>
          <w:sz w:val="18"/>
        </w:rPr>
        <w:t>the bows or a hole below the water</w:t>
      </w:r>
      <w:r>
        <w:rPr>
          <w:color w:val="231F20"/>
          <w:spacing w:val="7"/>
          <w:w w:val="110"/>
          <w:sz w:val="18"/>
        </w:rPr>
        <w:t> </w:t>
      </w:r>
      <w:r>
        <w:rPr>
          <w:color w:val="231F20"/>
          <w:w w:val="110"/>
          <w:sz w:val="18"/>
        </w:rPr>
        <w:t>line?</w:t>
      </w:r>
    </w:p>
    <w:p>
      <w:pPr>
        <w:pStyle w:val="BodyText"/>
        <w:spacing w:line="273" w:lineRule="auto" w:before="4"/>
        <w:ind w:left="1240" w:right="2307"/>
      </w:pPr>
      <w:r>
        <w:rPr>
          <w:color w:val="231F20"/>
          <w:spacing w:val="2"/>
          <w:w w:val="110"/>
        </w:rPr>
        <w:t>But </w:t>
      </w:r>
      <w:r>
        <w:rPr>
          <w:color w:val="231F20"/>
          <w:w w:val="110"/>
        </w:rPr>
        <w:t>if we </w:t>
      </w:r>
      <w:r>
        <w:rPr>
          <w:color w:val="231F20"/>
          <w:spacing w:val="2"/>
          <w:w w:val="110"/>
        </w:rPr>
        <w:t>are </w:t>
      </w:r>
      <w:r>
        <w:rPr>
          <w:color w:val="231F20"/>
          <w:spacing w:val="3"/>
          <w:w w:val="110"/>
        </w:rPr>
        <w:t>realistic </w:t>
      </w:r>
      <w:r>
        <w:rPr>
          <w:i/>
          <w:color w:val="231F20"/>
          <w:w w:val="110"/>
        </w:rPr>
        <w:t>as </w:t>
      </w:r>
      <w:r>
        <w:rPr>
          <w:i/>
          <w:color w:val="231F20"/>
          <w:spacing w:val="2"/>
          <w:w w:val="110"/>
        </w:rPr>
        <w:t>believers </w:t>
      </w:r>
      <w:r>
        <w:rPr>
          <w:color w:val="231F20"/>
          <w:w w:val="110"/>
        </w:rPr>
        <w:t>we shall always </w:t>
      </w:r>
      <w:r>
        <w:rPr>
          <w:color w:val="231F20"/>
          <w:spacing w:val="2"/>
          <w:w w:val="110"/>
        </w:rPr>
        <w:t>be hopeful, since </w:t>
      </w:r>
      <w:r>
        <w:rPr>
          <w:color w:val="231F20"/>
          <w:w w:val="110"/>
        </w:rPr>
        <w:t>as </w:t>
      </w:r>
      <w:r>
        <w:rPr>
          <w:color w:val="231F20"/>
          <w:spacing w:val="2"/>
          <w:w w:val="110"/>
        </w:rPr>
        <w:t>Bishop</w:t>
      </w:r>
      <w:r>
        <w:rPr>
          <w:color w:val="231F20"/>
          <w:spacing w:val="73"/>
          <w:w w:val="110"/>
        </w:rPr>
        <w:t> </w:t>
      </w:r>
      <w:r>
        <w:rPr>
          <w:color w:val="231F20"/>
          <w:w w:val="110"/>
        </w:rPr>
        <w:t>David </w:t>
      </w:r>
      <w:r>
        <w:rPr>
          <w:color w:val="231F20"/>
          <w:spacing w:val="2"/>
          <w:w w:val="110"/>
        </w:rPr>
        <w:t>Jenkins </w:t>
      </w:r>
      <w:r>
        <w:rPr>
          <w:color w:val="231F20"/>
          <w:w w:val="110"/>
        </w:rPr>
        <w:t>put it </w:t>
      </w:r>
      <w:r>
        <w:rPr>
          <w:color w:val="231F20"/>
          <w:spacing w:val="3"/>
          <w:w w:val="110"/>
        </w:rPr>
        <w:t>“God </w:t>
      </w:r>
      <w:r>
        <w:rPr>
          <w:color w:val="231F20"/>
          <w:w w:val="110"/>
        </w:rPr>
        <w:t>is; </w:t>
      </w:r>
      <w:r>
        <w:rPr>
          <w:color w:val="231F20"/>
          <w:spacing w:val="3"/>
          <w:w w:val="110"/>
        </w:rPr>
        <w:t>God </w:t>
      </w:r>
      <w:r>
        <w:rPr>
          <w:color w:val="231F20"/>
          <w:w w:val="110"/>
        </w:rPr>
        <w:t>is as </w:t>
      </w:r>
      <w:r>
        <w:rPr>
          <w:color w:val="231F20"/>
          <w:spacing w:val="3"/>
          <w:w w:val="110"/>
        </w:rPr>
        <w:t>God </w:t>
      </w:r>
      <w:r>
        <w:rPr>
          <w:color w:val="231F20"/>
          <w:w w:val="110"/>
        </w:rPr>
        <w:t>is in Jesus; </w:t>
      </w:r>
      <w:r>
        <w:rPr>
          <w:color w:val="231F20"/>
          <w:spacing w:val="3"/>
          <w:w w:val="110"/>
        </w:rPr>
        <w:t>therefore there </w:t>
      </w:r>
      <w:r>
        <w:rPr>
          <w:color w:val="231F20"/>
          <w:w w:val="110"/>
        </w:rPr>
        <w:t>is hope.” </w:t>
      </w:r>
      <w:r>
        <w:rPr>
          <w:color w:val="231F20"/>
          <w:spacing w:val="2"/>
          <w:w w:val="110"/>
        </w:rPr>
        <w:t>Despair </w:t>
      </w:r>
      <w:r>
        <w:rPr>
          <w:color w:val="231F20"/>
          <w:w w:val="110"/>
        </w:rPr>
        <w:t>has no </w:t>
      </w:r>
      <w:r>
        <w:rPr>
          <w:color w:val="231F20"/>
          <w:spacing w:val="2"/>
          <w:w w:val="110"/>
        </w:rPr>
        <w:t>place </w:t>
      </w:r>
      <w:r>
        <w:rPr>
          <w:color w:val="231F20"/>
          <w:w w:val="110"/>
        </w:rPr>
        <w:t>in our </w:t>
      </w:r>
      <w:r>
        <w:rPr>
          <w:color w:val="231F20"/>
          <w:spacing w:val="2"/>
          <w:w w:val="110"/>
        </w:rPr>
        <w:t>discipleship </w:t>
      </w:r>
      <w:r>
        <w:rPr>
          <w:color w:val="231F20"/>
          <w:w w:val="110"/>
        </w:rPr>
        <w:t>nor in this </w:t>
      </w:r>
      <w:r>
        <w:rPr>
          <w:color w:val="231F20"/>
          <w:spacing w:val="4"/>
          <w:w w:val="110"/>
        </w:rPr>
        <w:t>report. </w:t>
      </w:r>
      <w:r>
        <w:rPr>
          <w:color w:val="231F20"/>
          <w:w w:val="110"/>
        </w:rPr>
        <w:t>It is not    that </w:t>
      </w:r>
      <w:r>
        <w:rPr>
          <w:color w:val="231F20"/>
          <w:spacing w:val="3"/>
          <w:w w:val="110"/>
        </w:rPr>
        <w:t>Christian realism </w:t>
      </w:r>
      <w:r>
        <w:rPr>
          <w:color w:val="231F20"/>
          <w:w w:val="110"/>
        </w:rPr>
        <w:t>is </w:t>
      </w:r>
      <w:r>
        <w:rPr>
          <w:color w:val="231F20"/>
          <w:spacing w:val="2"/>
          <w:w w:val="110"/>
        </w:rPr>
        <w:t>optimistic; </w:t>
      </w:r>
      <w:r>
        <w:rPr>
          <w:color w:val="231F20"/>
          <w:w w:val="110"/>
        </w:rPr>
        <w:t>it is Christ-like </w:t>
      </w:r>
      <w:r>
        <w:rPr>
          <w:color w:val="231F20"/>
          <w:spacing w:val="3"/>
          <w:w w:val="110"/>
        </w:rPr>
        <w:t>realism </w:t>
      </w:r>
      <w:r>
        <w:rPr>
          <w:color w:val="231F20"/>
          <w:spacing w:val="4"/>
          <w:w w:val="110"/>
        </w:rPr>
        <w:t>after </w:t>
      </w:r>
      <w:r>
        <w:rPr>
          <w:color w:val="231F20"/>
          <w:w w:val="110"/>
        </w:rPr>
        <w:t>all. </w:t>
      </w:r>
      <w:r>
        <w:rPr>
          <w:color w:val="231F20"/>
          <w:spacing w:val="2"/>
          <w:w w:val="110"/>
        </w:rPr>
        <w:t>And without death </w:t>
      </w:r>
      <w:r>
        <w:rPr>
          <w:color w:val="231F20"/>
          <w:w w:val="110"/>
        </w:rPr>
        <w:t>of </w:t>
      </w:r>
      <w:r>
        <w:rPr>
          <w:color w:val="231F20"/>
          <w:spacing w:val="2"/>
          <w:w w:val="110"/>
        </w:rPr>
        <w:t>some kind </w:t>
      </w:r>
      <w:r>
        <w:rPr>
          <w:color w:val="231F20"/>
          <w:spacing w:val="3"/>
          <w:w w:val="110"/>
        </w:rPr>
        <w:t>there </w:t>
      </w:r>
      <w:r>
        <w:rPr>
          <w:color w:val="231F20"/>
          <w:w w:val="110"/>
        </w:rPr>
        <w:t>will </w:t>
      </w:r>
      <w:r>
        <w:rPr>
          <w:color w:val="231F20"/>
          <w:spacing w:val="2"/>
          <w:w w:val="110"/>
        </w:rPr>
        <w:t>be </w:t>
      </w:r>
      <w:r>
        <w:rPr>
          <w:color w:val="231F20"/>
          <w:w w:val="110"/>
        </w:rPr>
        <w:t>no </w:t>
      </w:r>
      <w:r>
        <w:rPr>
          <w:color w:val="231F20"/>
          <w:spacing w:val="4"/>
          <w:w w:val="110"/>
        </w:rPr>
        <w:t>resurrection </w:t>
      </w:r>
      <w:r>
        <w:rPr>
          <w:color w:val="231F20"/>
          <w:w w:val="110"/>
        </w:rPr>
        <w:t>of any kind. </w:t>
      </w:r>
      <w:r>
        <w:rPr>
          <w:color w:val="231F20"/>
          <w:spacing w:val="2"/>
          <w:w w:val="110"/>
        </w:rPr>
        <w:t>But </w:t>
      </w:r>
      <w:r>
        <w:rPr>
          <w:color w:val="231F20"/>
          <w:w w:val="110"/>
        </w:rPr>
        <w:t>we </w:t>
      </w:r>
      <w:r>
        <w:rPr>
          <w:color w:val="231F20"/>
          <w:spacing w:val="2"/>
          <w:w w:val="110"/>
        </w:rPr>
        <w:t>are </w:t>
      </w:r>
      <w:r>
        <w:rPr>
          <w:color w:val="231F20"/>
          <w:spacing w:val="3"/>
          <w:w w:val="110"/>
        </w:rPr>
        <w:t>called </w:t>
      </w:r>
      <w:r>
        <w:rPr>
          <w:color w:val="231F20"/>
          <w:w w:val="110"/>
        </w:rPr>
        <w:t>to </w:t>
      </w:r>
      <w:r>
        <w:rPr>
          <w:color w:val="231F20"/>
          <w:spacing w:val="2"/>
          <w:w w:val="110"/>
        </w:rPr>
        <w:t>hope </w:t>
      </w:r>
      <w:r>
        <w:rPr>
          <w:color w:val="231F20"/>
          <w:spacing w:val="3"/>
          <w:w w:val="110"/>
        </w:rPr>
        <w:t>because </w:t>
      </w:r>
      <w:r>
        <w:rPr>
          <w:color w:val="231F20"/>
          <w:w w:val="110"/>
        </w:rPr>
        <w:t>of </w:t>
      </w:r>
      <w:r>
        <w:rPr>
          <w:color w:val="231F20"/>
          <w:spacing w:val="3"/>
          <w:w w:val="110"/>
        </w:rPr>
        <w:t>Jesus Christ </w:t>
      </w:r>
      <w:r>
        <w:rPr>
          <w:color w:val="231F20"/>
          <w:w w:val="110"/>
        </w:rPr>
        <w:t>and not </w:t>
      </w:r>
      <w:r>
        <w:rPr>
          <w:color w:val="231F20"/>
          <w:spacing w:val="3"/>
          <w:w w:val="110"/>
        </w:rPr>
        <w:t>because someone </w:t>
      </w:r>
      <w:r>
        <w:rPr>
          <w:color w:val="231F20"/>
          <w:w w:val="110"/>
        </w:rPr>
        <w:t>has a cunning plan! </w:t>
      </w:r>
      <w:r>
        <w:rPr>
          <w:color w:val="231F20"/>
          <w:spacing w:val="2"/>
          <w:w w:val="110"/>
        </w:rPr>
        <w:t>God’s </w:t>
      </w:r>
      <w:r>
        <w:rPr>
          <w:color w:val="231F20"/>
          <w:spacing w:val="3"/>
          <w:w w:val="110"/>
        </w:rPr>
        <w:t>true church </w:t>
      </w:r>
      <w:r>
        <w:rPr>
          <w:color w:val="231F20"/>
          <w:w w:val="110"/>
        </w:rPr>
        <w:t>will </w:t>
      </w:r>
      <w:r>
        <w:rPr>
          <w:color w:val="231F20"/>
          <w:spacing w:val="3"/>
          <w:w w:val="110"/>
        </w:rPr>
        <w:t>exist </w:t>
      </w:r>
      <w:r>
        <w:rPr>
          <w:color w:val="231F20"/>
          <w:w w:val="110"/>
        </w:rPr>
        <w:t>as </w:t>
      </w:r>
      <w:r>
        <w:rPr>
          <w:color w:val="231F20"/>
          <w:spacing w:val="2"/>
          <w:w w:val="110"/>
        </w:rPr>
        <w:t>long </w:t>
      </w:r>
      <w:r>
        <w:rPr>
          <w:color w:val="231F20"/>
          <w:w w:val="110"/>
        </w:rPr>
        <w:t>as </w:t>
      </w:r>
      <w:r>
        <w:rPr>
          <w:color w:val="231F20"/>
          <w:spacing w:val="2"/>
          <w:w w:val="110"/>
        </w:rPr>
        <w:t>God’s </w:t>
      </w:r>
      <w:r>
        <w:rPr>
          <w:color w:val="231F20"/>
          <w:w w:val="110"/>
        </w:rPr>
        <w:t>love and </w:t>
      </w:r>
      <w:r>
        <w:rPr>
          <w:color w:val="231F20"/>
          <w:spacing w:val="2"/>
          <w:w w:val="110"/>
        </w:rPr>
        <w:t>God’s </w:t>
      </w:r>
      <w:r>
        <w:rPr>
          <w:color w:val="231F20"/>
          <w:spacing w:val="3"/>
          <w:w w:val="110"/>
        </w:rPr>
        <w:t>purpose </w:t>
      </w:r>
      <w:r>
        <w:rPr>
          <w:color w:val="231F20"/>
          <w:spacing w:val="2"/>
          <w:w w:val="110"/>
        </w:rPr>
        <w:t>exist, </w:t>
      </w:r>
      <w:r>
        <w:rPr>
          <w:color w:val="231F20"/>
          <w:w w:val="110"/>
        </w:rPr>
        <w:t>whatever </w:t>
      </w:r>
      <w:r>
        <w:rPr>
          <w:color w:val="231F20"/>
          <w:spacing w:val="2"/>
          <w:w w:val="110"/>
        </w:rPr>
        <w:t>visible </w:t>
      </w:r>
      <w:r>
        <w:rPr>
          <w:color w:val="231F20"/>
          <w:spacing w:val="3"/>
          <w:w w:val="110"/>
        </w:rPr>
        <w:t>form </w:t>
      </w:r>
      <w:r>
        <w:rPr>
          <w:color w:val="231F20"/>
          <w:w w:val="110"/>
        </w:rPr>
        <w:t>it</w:t>
      </w:r>
      <w:r>
        <w:rPr>
          <w:color w:val="231F20"/>
          <w:spacing w:val="23"/>
          <w:w w:val="110"/>
        </w:rPr>
        <w:t> </w:t>
      </w:r>
      <w:r>
        <w:rPr>
          <w:color w:val="231F20"/>
          <w:spacing w:val="2"/>
          <w:w w:val="110"/>
        </w:rPr>
        <w:t>takes.</w:t>
      </w:r>
    </w:p>
    <w:p>
      <w:pPr>
        <w:pStyle w:val="BodyText"/>
        <w:spacing w:before="12"/>
        <w:rPr>
          <w:sz w:val="20"/>
        </w:rPr>
      </w:pPr>
    </w:p>
    <w:p>
      <w:pPr>
        <w:pStyle w:val="ListParagraph"/>
        <w:numPr>
          <w:ilvl w:val="0"/>
          <w:numId w:val="8"/>
        </w:numPr>
        <w:tabs>
          <w:tab w:pos="1960" w:val="left" w:leader="none"/>
          <w:tab w:pos="1961" w:val="left" w:leader="none"/>
        </w:tabs>
        <w:spacing w:line="273" w:lineRule="auto" w:before="0" w:after="0"/>
        <w:ind w:left="1240" w:right="2314" w:firstLine="0"/>
        <w:jc w:val="left"/>
        <w:rPr>
          <w:sz w:val="18"/>
        </w:rPr>
      </w:pPr>
      <w:r>
        <w:rPr>
          <w:color w:val="231F20"/>
          <w:w w:val="110"/>
          <w:sz w:val="18"/>
        </w:rPr>
        <w:t>Thus the </w:t>
      </w:r>
      <w:r>
        <w:rPr>
          <w:color w:val="231F20"/>
          <w:spacing w:val="2"/>
          <w:w w:val="110"/>
          <w:sz w:val="18"/>
        </w:rPr>
        <w:t>‘true </w:t>
      </w:r>
      <w:r>
        <w:rPr>
          <w:color w:val="231F20"/>
          <w:w w:val="110"/>
          <w:sz w:val="18"/>
        </w:rPr>
        <w:t>church’ of God, whether local or denominational, is discerned not by Googling the question and then ticking the traditional boxes which you will find there: ‘word’ or ‘sacraments’ or ‘ministry’. The point is not to quantify or measure these elements as signs of true church, even though </w:t>
      </w:r>
      <w:r>
        <w:rPr>
          <w:color w:val="231F20"/>
          <w:spacing w:val="2"/>
          <w:w w:val="110"/>
          <w:sz w:val="18"/>
        </w:rPr>
        <w:t>Moderators </w:t>
      </w:r>
      <w:r>
        <w:rPr>
          <w:color w:val="231F20"/>
          <w:w w:val="110"/>
          <w:sz w:val="18"/>
        </w:rPr>
        <w:t>would be among the first to ask for them to be excellent. Rather we should </w:t>
      </w:r>
      <w:r>
        <w:rPr>
          <w:color w:val="231F20"/>
          <w:spacing w:val="3"/>
          <w:w w:val="110"/>
          <w:sz w:val="18"/>
        </w:rPr>
        <w:t>start </w:t>
      </w:r>
      <w:r>
        <w:rPr>
          <w:color w:val="231F20"/>
          <w:w w:val="110"/>
          <w:sz w:val="18"/>
        </w:rPr>
        <w:t>by the route of thankfulness in worship and discipleship,  which means </w:t>
      </w:r>
      <w:r>
        <w:rPr>
          <w:color w:val="231F20"/>
          <w:spacing w:val="2"/>
          <w:w w:val="110"/>
          <w:sz w:val="18"/>
        </w:rPr>
        <w:t>starting </w:t>
      </w:r>
      <w:r>
        <w:rPr>
          <w:color w:val="231F20"/>
          <w:w w:val="110"/>
          <w:sz w:val="18"/>
        </w:rPr>
        <w:t>with theology as doxology. That, as our Reformed </w:t>
      </w:r>
      <w:r>
        <w:rPr>
          <w:color w:val="231F20"/>
          <w:spacing w:val="2"/>
          <w:w w:val="110"/>
          <w:sz w:val="18"/>
        </w:rPr>
        <w:t>predecessors </w:t>
      </w:r>
      <w:r>
        <w:rPr>
          <w:color w:val="231F20"/>
          <w:w w:val="110"/>
          <w:sz w:val="18"/>
        </w:rPr>
        <w:t>might </w:t>
      </w:r>
      <w:r>
        <w:rPr>
          <w:color w:val="231F20"/>
          <w:spacing w:val="-5"/>
          <w:w w:val="110"/>
          <w:sz w:val="18"/>
        </w:rPr>
        <w:t>say, </w:t>
      </w:r>
      <w:r>
        <w:rPr>
          <w:color w:val="231F20"/>
          <w:w w:val="110"/>
          <w:sz w:val="18"/>
        </w:rPr>
        <w:t>is to live by faith responsive to</w:t>
      </w:r>
      <w:r>
        <w:rPr>
          <w:color w:val="231F20"/>
          <w:spacing w:val="37"/>
          <w:w w:val="110"/>
          <w:sz w:val="18"/>
        </w:rPr>
        <w:t> </w:t>
      </w:r>
      <w:r>
        <w:rPr>
          <w:color w:val="231F20"/>
          <w:w w:val="110"/>
          <w:sz w:val="18"/>
        </w:rPr>
        <w:t>grace.</w:t>
      </w:r>
    </w:p>
    <w:p>
      <w:pPr>
        <w:spacing w:after="0" w:line="273" w:lineRule="auto"/>
        <w:jc w:val="left"/>
        <w:rPr>
          <w:sz w:val="18"/>
        </w:rPr>
        <w:sectPr>
          <w:headerReference w:type="default" r:id="rId39"/>
          <w:pgSz w:w="11910" w:h="16840"/>
          <w:pgMar w:header="0" w:footer="564" w:top="1000" w:bottom="760" w:left="460" w:right="0"/>
        </w:sectPr>
      </w:pPr>
    </w:p>
    <w:p>
      <w:pPr>
        <w:spacing w:before="31"/>
        <w:ind w:left="7080" w:right="0" w:firstLine="0"/>
        <w:jc w:val="left"/>
        <w:rPr>
          <w:rFonts w:ascii="Eurostile Bold" w:hAnsi="Eurostile Bold"/>
          <w:b/>
          <w:sz w:val="28"/>
        </w:rPr>
      </w:pPr>
      <w:r>
        <w:rPr>
          <w:rFonts w:ascii="Eurostile Bold" w:hAnsi="Eurostile Bold"/>
          <w:b/>
          <w:color w:val="A7A9AC"/>
          <w:w w:val="95"/>
          <w:sz w:val="28"/>
        </w:rPr>
        <w:t>Synod Moderators’ Report</w:t>
      </w:r>
    </w:p>
    <w:p>
      <w:pPr>
        <w:pStyle w:val="BodyText"/>
        <w:spacing w:before="7"/>
        <w:rPr>
          <w:rFonts w:ascii="Eurostile Bold"/>
          <w:b/>
          <w:sz w:val="10"/>
        </w:rPr>
      </w:pPr>
    </w:p>
    <w:p>
      <w:pPr>
        <w:pStyle w:val="ListParagraph"/>
        <w:numPr>
          <w:ilvl w:val="0"/>
          <w:numId w:val="8"/>
        </w:numPr>
        <w:tabs>
          <w:tab w:pos="1393" w:val="left" w:leader="none"/>
          <w:tab w:pos="1394" w:val="left" w:leader="none"/>
        </w:tabs>
        <w:spacing w:line="273" w:lineRule="auto" w:before="100" w:after="0"/>
        <w:ind w:left="673" w:right="1759" w:firstLine="0"/>
        <w:jc w:val="left"/>
        <w:rPr>
          <w:sz w:val="18"/>
        </w:rPr>
      </w:pPr>
      <w:r>
        <w:rPr>
          <w:color w:val="231F20"/>
          <w:w w:val="110"/>
          <w:sz w:val="18"/>
        </w:rPr>
        <w:t>In their </w:t>
      </w:r>
      <w:r>
        <w:rPr>
          <w:color w:val="231F20"/>
          <w:spacing w:val="3"/>
          <w:w w:val="110"/>
          <w:sz w:val="18"/>
        </w:rPr>
        <w:t>report </w:t>
      </w:r>
      <w:r>
        <w:rPr>
          <w:i/>
          <w:color w:val="231F20"/>
          <w:w w:val="110"/>
          <w:sz w:val="18"/>
        </w:rPr>
        <w:t>Gone but not forgotten </w:t>
      </w:r>
      <w:r>
        <w:rPr>
          <w:color w:val="231F20"/>
          <w:w w:val="110"/>
          <w:sz w:val="18"/>
        </w:rPr>
        <w:t>(Darton, Longman &amp; </w:t>
      </w:r>
      <w:r>
        <w:rPr>
          <w:color w:val="231F20"/>
          <w:spacing w:val="-3"/>
          <w:w w:val="110"/>
          <w:sz w:val="18"/>
        </w:rPr>
        <w:t>Todd, </w:t>
      </w:r>
      <w:r>
        <w:rPr>
          <w:color w:val="231F20"/>
          <w:spacing w:val="-5"/>
          <w:w w:val="110"/>
          <w:sz w:val="18"/>
        </w:rPr>
        <w:t>1998), </w:t>
      </w:r>
      <w:r>
        <w:rPr>
          <w:color w:val="231F20"/>
          <w:w w:val="110"/>
          <w:sz w:val="18"/>
        </w:rPr>
        <w:t>required reading for anyone wondering about </w:t>
      </w:r>
      <w:r>
        <w:rPr>
          <w:color w:val="231F20"/>
          <w:spacing w:val="2"/>
          <w:w w:val="110"/>
          <w:sz w:val="18"/>
        </w:rPr>
        <w:t>contemporary </w:t>
      </w:r>
      <w:r>
        <w:rPr>
          <w:color w:val="231F20"/>
          <w:w w:val="110"/>
          <w:sz w:val="18"/>
        </w:rPr>
        <w:t>church decline </w:t>
      </w:r>
      <w:r>
        <w:rPr>
          <w:color w:val="231F20"/>
          <w:spacing w:val="-3"/>
          <w:w w:val="110"/>
          <w:sz w:val="18"/>
        </w:rPr>
        <w:t>(i.e. </w:t>
      </w:r>
      <w:r>
        <w:rPr>
          <w:color w:val="231F20"/>
          <w:w w:val="110"/>
          <w:sz w:val="18"/>
        </w:rPr>
        <w:t>for all of </w:t>
      </w:r>
      <w:r>
        <w:rPr>
          <w:color w:val="231F20"/>
          <w:spacing w:val="-5"/>
          <w:w w:val="110"/>
          <w:sz w:val="18"/>
        </w:rPr>
        <w:t>us),  </w:t>
      </w:r>
      <w:r>
        <w:rPr>
          <w:color w:val="231F20"/>
          <w:w w:val="110"/>
          <w:sz w:val="18"/>
        </w:rPr>
        <w:t>Philip Richter and Leslie Francis say of their survey of people who had </w:t>
      </w:r>
      <w:r>
        <w:rPr>
          <w:color w:val="231F20"/>
          <w:spacing w:val="3"/>
          <w:w w:val="110"/>
          <w:sz w:val="18"/>
        </w:rPr>
        <w:t>left </w:t>
      </w:r>
      <w:r>
        <w:rPr>
          <w:color w:val="231F20"/>
          <w:w w:val="110"/>
          <w:sz w:val="18"/>
        </w:rPr>
        <w:t>church: “one  of four of all respondents attribute their church leaving to the experience that there was too little sense of the </w:t>
      </w:r>
      <w:r>
        <w:rPr>
          <w:color w:val="231F20"/>
          <w:spacing w:val="2"/>
          <w:w w:val="110"/>
          <w:sz w:val="18"/>
        </w:rPr>
        <w:t>presence </w:t>
      </w:r>
      <w:r>
        <w:rPr>
          <w:color w:val="231F20"/>
          <w:w w:val="110"/>
          <w:sz w:val="18"/>
        </w:rPr>
        <w:t>of God in worship”. They list many other </w:t>
      </w:r>
      <w:r>
        <w:rPr>
          <w:color w:val="231F20"/>
          <w:spacing w:val="2"/>
          <w:w w:val="110"/>
          <w:sz w:val="18"/>
        </w:rPr>
        <w:t>factors </w:t>
      </w:r>
      <w:r>
        <w:rPr>
          <w:color w:val="231F20"/>
          <w:w w:val="110"/>
          <w:sz w:val="18"/>
        </w:rPr>
        <w:t>and statistics, but this is surely among the most striking and least</w:t>
      </w:r>
      <w:r>
        <w:rPr>
          <w:color w:val="231F20"/>
          <w:spacing w:val="52"/>
          <w:w w:val="110"/>
          <w:sz w:val="18"/>
        </w:rPr>
        <w:t> </w:t>
      </w:r>
      <w:r>
        <w:rPr>
          <w:color w:val="231F20"/>
          <w:w w:val="110"/>
          <w:sz w:val="18"/>
        </w:rPr>
        <w:t>forgivable.</w:t>
      </w:r>
    </w:p>
    <w:p>
      <w:pPr>
        <w:pStyle w:val="BodyText"/>
        <w:spacing w:before="11"/>
        <w:rPr>
          <w:sz w:val="20"/>
        </w:rPr>
      </w:pPr>
    </w:p>
    <w:p>
      <w:pPr>
        <w:pStyle w:val="ListParagraph"/>
        <w:numPr>
          <w:ilvl w:val="0"/>
          <w:numId w:val="8"/>
        </w:numPr>
        <w:tabs>
          <w:tab w:pos="1393" w:val="left" w:leader="none"/>
          <w:tab w:pos="1394" w:val="left" w:leader="none"/>
        </w:tabs>
        <w:spacing w:line="273" w:lineRule="auto" w:before="0" w:after="0"/>
        <w:ind w:left="673" w:right="1916" w:firstLine="0"/>
        <w:jc w:val="left"/>
        <w:rPr>
          <w:sz w:val="18"/>
        </w:rPr>
      </w:pPr>
      <w:r>
        <w:rPr>
          <w:color w:val="231F20"/>
          <w:spacing w:val="3"/>
          <w:w w:val="110"/>
          <w:sz w:val="18"/>
        </w:rPr>
        <w:t>As </w:t>
      </w:r>
      <w:r>
        <w:rPr>
          <w:color w:val="231F20"/>
          <w:w w:val="110"/>
          <w:sz w:val="18"/>
        </w:rPr>
        <w:t>Moderators in our work we perceive the United Reformed Church at its    worst as well as at its best, which is why we wish to draw out this strand in our </w:t>
      </w:r>
      <w:r>
        <w:rPr>
          <w:color w:val="231F20"/>
          <w:spacing w:val="2"/>
          <w:w w:val="110"/>
          <w:sz w:val="18"/>
        </w:rPr>
        <w:t>report. </w:t>
      </w:r>
      <w:r>
        <w:rPr>
          <w:color w:val="231F20"/>
          <w:spacing w:val="-3"/>
          <w:w w:val="110"/>
          <w:sz w:val="18"/>
        </w:rPr>
        <w:t>We </w:t>
      </w:r>
      <w:r>
        <w:rPr>
          <w:color w:val="231F20"/>
          <w:w w:val="110"/>
          <w:sz w:val="18"/>
        </w:rPr>
        <w:t>sense the </w:t>
      </w:r>
      <w:r>
        <w:rPr>
          <w:color w:val="231F20"/>
          <w:spacing w:val="2"/>
          <w:w w:val="110"/>
          <w:sz w:val="18"/>
        </w:rPr>
        <w:t>presence </w:t>
      </w:r>
      <w:r>
        <w:rPr>
          <w:color w:val="231F20"/>
          <w:w w:val="110"/>
          <w:sz w:val="18"/>
        </w:rPr>
        <w:t>of God in the worship and meetings of some of our churches  and </w:t>
      </w:r>
      <w:r>
        <w:rPr>
          <w:color w:val="231F20"/>
          <w:spacing w:val="2"/>
          <w:w w:val="110"/>
          <w:sz w:val="18"/>
        </w:rPr>
        <w:t>Districts </w:t>
      </w:r>
      <w:r>
        <w:rPr>
          <w:color w:val="231F20"/>
          <w:w w:val="110"/>
          <w:sz w:val="18"/>
        </w:rPr>
        <w:t>more than in others. This may be down to us and our own mood swings, but not so as to invalidate the point. In our own monthly discussions we return time  and</w:t>
      </w:r>
      <w:r>
        <w:rPr>
          <w:color w:val="231F20"/>
          <w:spacing w:val="7"/>
          <w:w w:val="110"/>
          <w:sz w:val="18"/>
        </w:rPr>
        <w:t> </w:t>
      </w:r>
      <w:r>
        <w:rPr>
          <w:color w:val="231F20"/>
          <w:w w:val="110"/>
          <w:sz w:val="18"/>
        </w:rPr>
        <w:t>again</w:t>
      </w:r>
      <w:r>
        <w:rPr>
          <w:color w:val="231F20"/>
          <w:spacing w:val="8"/>
          <w:w w:val="110"/>
          <w:sz w:val="18"/>
        </w:rPr>
        <w:t> </w:t>
      </w:r>
      <w:r>
        <w:rPr>
          <w:color w:val="231F20"/>
          <w:w w:val="110"/>
          <w:sz w:val="18"/>
        </w:rPr>
        <w:t>to</w:t>
      </w:r>
      <w:r>
        <w:rPr>
          <w:color w:val="231F20"/>
          <w:spacing w:val="7"/>
          <w:w w:val="110"/>
          <w:sz w:val="18"/>
        </w:rPr>
        <w:t> </w:t>
      </w:r>
      <w:r>
        <w:rPr>
          <w:color w:val="231F20"/>
          <w:w w:val="110"/>
          <w:sz w:val="18"/>
        </w:rPr>
        <w:t>this</w:t>
      </w:r>
      <w:r>
        <w:rPr>
          <w:color w:val="231F20"/>
          <w:spacing w:val="8"/>
          <w:w w:val="110"/>
          <w:sz w:val="18"/>
        </w:rPr>
        <w:t> </w:t>
      </w:r>
      <w:r>
        <w:rPr>
          <w:color w:val="231F20"/>
          <w:w w:val="110"/>
          <w:sz w:val="18"/>
        </w:rPr>
        <w:t>quintessential</w:t>
      </w:r>
      <w:r>
        <w:rPr>
          <w:color w:val="231F20"/>
          <w:spacing w:val="7"/>
          <w:w w:val="110"/>
          <w:sz w:val="18"/>
        </w:rPr>
        <w:t> </w:t>
      </w:r>
      <w:r>
        <w:rPr>
          <w:color w:val="231F20"/>
          <w:w w:val="110"/>
          <w:sz w:val="18"/>
        </w:rPr>
        <w:t>hallmark</w:t>
      </w:r>
      <w:r>
        <w:rPr>
          <w:color w:val="231F20"/>
          <w:spacing w:val="8"/>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8"/>
          <w:w w:val="110"/>
          <w:sz w:val="18"/>
        </w:rPr>
        <w:t> </w:t>
      </w:r>
      <w:r>
        <w:rPr>
          <w:color w:val="231F20"/>
          <w:w w:val="110"/>
          <w:sz w:val="18"/>
        </w:rPr>
        <w:t>authentic</w:t>
      </w:r>
      <w:r>
        <w:rPr>
          <w:color w:val="231F20"/>
          <w:spacing w:val="7"/>
          <w:w w:val="110"/>
          <w:sz w:val="18"/>
        </w:rPr>
        <w:t> </w:t>
      </w:r>
      <w:r>
        <w:rPr>
          <w:color w:val="231F20"/>
          <w:w w:val="110"/>
          <w:sz w:val="18"/>
        </w:rPr>
        <w:t>church;</w:t>
      </w:r>
      <w:r>
        <w:rPr>
          <w:color w:val="231F20"/>
          <w:spacing w:val="8"/>
          <w:w w:val="110"/>
          <w:sz w:val="18"/>
        </w:rPr>
        <w:t> </w:t>
      </w:r>
      <w:r>
        <w:rPr>
          <w:color w:val="231F20"/>
          <w:w w:val="110"/>
          <w:sz w:val="18"/>
        </w:rPr>
        <w:t>we</w:t>
      </w:r>
      <w:r>
        <w:rPr>
          <w:color w:val="231F20"/>
          <w:spacing w:val="7"/>
          <w:w w:val="110"/>
          <w:sz w:val="18"/>
        </w:rPr>
        <w:t> </w:t>
      </w:r>
      <w:r>
        <w:rPr>
          <w:color w:val="231F20"/>
          <w:w w:val="110"/>
          <w:sz w:val="18"/>
        </w:rPr>
        <w:t>did</w:t>
      </w:r>
      <w:r>
        <w:rPr>
          <w:color w:val="231F20"/>
          <w:spacing w:val="8"/>
          <w:w w:val="110"/>
          <w:sz w:val="18"/>
        </w:rPr>
        <w:t> </w:t>
      </w:r>
      <w:r>
        <w:rPr>
          <w:color w:val="231F20"/>
          <w:w w:val="110"/>
          <w:sz w:val="18"/>
        </w:rPr>
        <w:t>it</w:t>
      </w:r>
      <w:r>
        <w:rPr>
          <w:color w:val="231F20"/>
          <w:spacing w:val="7"/>
          <w:w w:val="110"/>
          <w:sz w:val="18"/>
        </w:rPr>
        <w:t> </w:t>
      </w:r>
      <w:r>
        <w:rPr>
          <w:color w:val="231F20"/>
          <w:w w:val="110"/>
          <w:sz w:val="18"/>
        </w:rPr>
        <w:t>again</w:t>
      </w:r>
      <w:r>
        <w:rPr>
          <w:color w:val="231F20"/>
          <w:spacing w:val="8"/>
          <w:w w:val="110"/>
          <w:sz w:val="18"/>
        </w:rPr>
        <w:t> </w:t>
      </w:r>
      <w:r>
        <w:rPr>
          <w:color w:val="231F20"/>
          <w:w w:val="110"/>
          <w:sz w:val="18"/>
        </w:rPr>
        <w:t>in</w:t>
      </w:r>
      <w:r>
        <w:rPr>
          <w:color w:val="231F20"/>
          <w:spacing w:val="7"/>
          <w:w w:val="110"/>
          <w:sz w:val="18"/>
        </w:rPr>
        <w:t> </w:t>
      </w:r>
      <w:r>
        <w:rPr>
          <w:color w:val="231F20"/>
          <w:w w:val="110"/>
          <w:sz w:val="18"/>
        </w:rPr>
        <w:t>the</w:t>
      </w:r>
    </w:p>
    <w:p>
      <w:pPr>
        <w:pStyle w:val="BodyText"/>
        <w:spacing w:line="273" w:lineRule="auto" w:before="4"/>
        <w:ind w:left="673" w:right="1829"/>
      </w:pPr>
      <w:r>
        <w:rPr>
          <w:color w:val="231F20"/>
          <w:w w:val="110"/>
        </w:rPr>
        <w:t>group-work preparing this report. And we agonise over what to do with churches where, to be blunt, we cannot discern God’s gracious leading.</w:t>
      </w:r>
    </w:p>
    <w:p>
      <w:pPr>
        <w:pStyle w:val="BodyText"/>
        <w:spacing w:before="8"/>
        <w:rPr>
          <w:sz w:val="20"/>
        </w:rPr>
      </w:pPr>
    </w:p>
    <w:p>
      <w:pPr>
        <w:pStyle w:val="ListParagraph"/>
        <w:numPr>
          <w:ilvl w:val="0"/>
          <w:numId w:val="8"/>
        </w:numPr>
        <w:tabs>
          <w:tab w:pos="1393" w:val="left" w:leader="none"/>
          <w:tab w:pos="1394" w:val="left" w:leader="none"/>
        </w:tabs>
        <w:spacing w:line="273" w:lineRule="auto" w:before="0" w:after="0"/>
        <w:ind w:left="673" w:right="1829" w:firstLine="0"/>
        <w:jc w:val="left"/>
        <w:rPr>
          <w:sz w:val="18"/>
        </w:rPr>
      </w:pPr>
      <w:r>
        <w:rPr>
          <w:color w:val="231F20"/>
          <w:spacing w:val="-3"/>
          <w:w w:val="110"/>
          <w:sz w:val="18"/>
        </w:rPr>
        <w:t>We </w:t>
      </w:r>
      <w:r>
        <w:rPr>
          <w:color w:val="231F20"/>
          <w:w w:val="110"/>
          <w:sz w:val="18"/>
        </w:rPr>
        <w:t>welcome the move by ‘Catch the Vision’ to invite local churches to tell their stories. </w:t>
      </w:r>
      <w:r>
        <w:rPr>
          <w:color w:val="231F20"/>
          <w:spacing w:val="2"/>
          <w:w w:val="110"/>
          <w:sz w:val="18"/>
        </w:rPr>
        <w:t>Across </w:t>
      </w:r>
      <w:r>
        <w:rPr>
          <w:color w:val="231F20"/>
          <w:w w:val="110"/>
          <w:sz w:val="18"/>
        </w:rPr>
        <w:t>our denomination we all need to inspire and encourage one another. What is needed are not just examples of what ‘works’ somewhere, but </w:t>
      </w:r>
      <w:r>
        <w:rPr>
          <w:color w:val="231F20"/>
          <w:spacing w:val="2"/>
          <w:w w:val="110"/>
          <w:sz w:val="18"/>
        </w:rPr>
        <w:t>commentary </w:t>
      </w:r>
      <w:r>
        <w:rPr>
          <w:color w:val="231F20"/>
          <w:spacing w:val="73"/>
          <w:w w:val="110"/>
          <w:sz w:val="18"/>
        </w:rPr>
        <w:t> </w:t>
      </w:r>
      <w:r>
        <w:rPr>
          <w:color w:val="231F20"/>
          <w:w w:val="110"/>
          <w:sz w:val="18"/>
        </w:rPr>
        <w:t>and interpretation to perceive why it ‘works’, so that in a different context the </w:t>
      </w:r>
      <w:r>
        <w:rPr>
          <w:color w:val="231F20"/>
          <w:spacing w:val="3"/>
          <w:w w:val="110"/>
          <w:sz w:val="18"/>
        </w:rPr>
        <w:t>story    </w:t>
      </w:r>
      <w:r>
        <w:rPr>
          <w:color w:val="231F20"/>
          <w:w w:val="110"/>
          <w:sz w:val="18"/>
        </w:rPr>
        <w:t>can be helpful for other local churches. </w:t>
      </w:r>
      <w:r>
        <w:rPr>
          <w:color w:val="231F20"/>
          <w:spacing w:val="2"/>
          <w:w w:val="110"/>
          <w:sz w:val="18"/>
        </w:rPr>
        <w:t>Otherwise </w:t>
      </w:r>
      <w:r>
        <w:rPr>
          <w:color w:val="231F20"/>
          <w:w w:val="110"/>
          <w:sz w:val="18"/>
        </w:rPr>
        <w:t>even good stories may be counter- productive. </w:t>
      </w:r>
      <w:r>
        <w:rPr>
          <w:color w:val="231F20"/>
          <w:spacing w:val="2"/>
          <w:w w:val="110"/>
          <w:sz w:val="18"/>
        </w:rPr>
        <w:t>After </w:t>
      </w:r>
      <w:r>
        <w:rPr>
          <w:color w:val="231F20"/>
          <w:w w:val="110"/>
          <w:sz w:val="18"/>
        </w:rPr>
        <w:t>all, what criteria do we have for success? And what is failure? Every church needs to see where God is calling and how they might </w:t>
      </w:r>
      <w:r>
        <w:rPr>
          <w:color w:val="231F20"/>
          <w:spacing w:val="-3"/>
          <w:w w:val="110"/>
          <w:sz w:val="18"/>
        </w:rPr>
        <w:t>obey, </w:t>
      </w:r>
      <w:r>
        <w:rPr>
          <w:color w:val="231F20"/>
          <w:w w:val="110"/>
          <w:sz w:val="18"/>
        </w:rPr>
        <w:t>in our </w:t>
      </w:r>
      <w:r>
        <w:rPr>
          <w:color w:val="231F20"/>
          <w:spacing w:val="2"/>
          <w:w w:val="110"/>
          <w:sz w:val="18"/>
        </w:rPr>
        <w:t>case </w:t>
      </w:r>
      <w:r>
        <w:rPr>
          <w:color w:val="231F20"/>
          <w:w w:val="110"/>
          <w:sz w:val="18"/>
        </w:rPr>
        <w:t>as Christians who happen to be Reformed. Every local church can and should set some goals</w:t>
      </w:r>
      <w:r>
        <w:rPr>
          <w:color w:val="231F20"/>
          <w:spacing w:val="9"/>
          <w:w w:val="110"/>
          <w:sz w:val="18"/>
        </w:rPr>
        <w:t> </w:t>
      </w:r>
      <w:r>
        <w:rPr>
          <w:color w:val="231F20"/>
          <w:w w:val="110"/>
          <w:sz w:val="18"/>
        </w:rPr>
        <w:t>for</w:t>
      </w:r>
      <w:r>
        <w:rPr>
          <w:color w:val="231F20"/>
          <w:spacing w:val="9"/>
          <w:w w:val="110"/>
          <w:sz w:val="18"/>
        </w:rPr>
        <w:t> </w:t>
      </w:r>
      <w:r>
        <w:rPr>
          <w:color w:val="231F20"/>
          <w:w w:val="110"/>
          <w:sz w:val="18"/>
        </w:rPr>
        <w:t>the</w:t>
      </w:r>
      <w:r>
        <w:rPr>
          <w:color w:val="231F20"/>
          <w:spacing w:val="9"/>
          <w:w w:val="110"/>
          <w:sz w:val="18"/>
        </w:rPr>
        <w:t> </w:t>
      </w:r>
      <w:r>
        <w:rPr>
          <w:color w:val="231F20"/>
          <w:spacing w:val="2"/>
          <w:w w:val="110"/>
          <w:sz w:val="18"/>
        </w:rPr>
        <w:t>next</w:t>
      </w:r>
      <w:r>
        <w:rPr>
          <w:color w:val="231F20"/>
          <w:spacing w:val="9"/>
          <w:w w:val="110"/>
          <w:sz w:val="18"/>
        </w:rPr>
        <w:t> </w:t>
      </w:r>
      <w:r>
        <w:rPr>
          <w:color w:val="231F20"/>
          <w:w w:val="110"/>
          <w:sz w:val="18"/>
        </w:rPr>
        <w:t>few</w:t>
      </w:r>
      <w:r>
        <w:rPr>
          <w:color w:val="231F20"/>
          <w:spacing w:val="9"/>
          <w:w w:val="110"/>
          <w:sz w:val="18"/>
        </w:rPr>
        <w:t> </w:t>
      </w:r>
      <w:r>
        <w:rPr>
          <w:color w:val="231F20"/>
          <w:w w:val="110"/>
          <w:sz w:val="18"/>
        </w:rPr>
        <w:t>years,</w:t>
      </w:r>
      <w:r>
        <w:rPr>
          <w:color w:val="231F20"/>
          <w:spacing w:val="9"/>
          <w:w w:val="110"/>
          <w:sz w:val="18"/>
        </w:rPr>
        <w:t> </w:t>
      </w:r>
      <w:r>
        <w:rPr>
          <w:color w:val="231F20"/>
          <w:w w:val="110"/>
          <w:sz w:val="18"/>
        </w:rPr>
        <w:t>providing</w:t>
      </w:r>
      <w:r>
        <w:rPr>
          <w:color w:val="231F20"/>
          <w:spacing w:val="9"/>
          <w:w w:val="110"/>
          <w:sz w:val="18"/>
        </w:rPr>
        <w:t> </w:t>
      </w:r>
      <w:r>
        <w:rPr>
          <w:color w:val="231F20"/>
          <w:w w:val="110"/>
          <w:sz w:val="18"/>
        </w:rPr>
        <w:t>always</w:t>
      </w:r>
      <w:r>
        <w:rPr>
          <w:color w:val="231F20"/>
          <w:spacing w:val="9"/>
          <w:w w:val="110"/>
          <w:sz w:val="18"/>
        </w:rPr>
        <w:t> </w:t>
      </w:r>
      <w:r>
        <w:rPr>
          <w:color w:val="231F20"/>
          <w:w w:val="110"/>
          <w:sz w:val="18"/>
        </w:rPr>
        <w:t>they</w:t>
      </w:r>
      <w:r>
        <w:rPr>
          <w:color w:val="231F20"/>
          <w:spacing w:val="9"/>
          <w:w w:val="110"/>
          <w:sz w:val="18"/>
        </w:rPr>
        <w:t> </w:t>
      </w:r>
      <w:r>
        <w:rPr>
          <w:color w:val="231F20"/>
          <w:w w:val="110"/>
          <w:sz w:val="18"/>
        </w:rPr>
        <w:t>do</w:t>
      </w:r>
      <w:r>
        <w:rPr>
          <w:color w:val="231F20"/>
          <w:spacing w:val="9"/>
          <w:w w:val="110"/>
          <w:sz w:val="18"/>
        </w:rPr>
        <w:t> </w:t>
      </w:r>
      <w:r>
        <w:rPr>
          <w:color w:val="231F20"/>
          <w:w w:val="110"/>
          <w:sz w:val="18"/>
        </w:rPr>
        <w:t>not</w:t>
      </w:r>
      <w:r>
        <w:rPr>
          <w:color w:val="231F20"/>
          <w:spacing w:val="9"/>
          <w:w w:val="110"/>
          <w:sz w:val="18"/>
        </w:rPr>
        <w:t> </w:t>
      </w:r>
      <w:r>
        <w:rPr>
          <w:color w:val="231F20"/>
          <w:spacing w:val="3"/>
          <w:w w:val="110"/>
          <w:sz w:val="18"/>
        </w:rPr>
        <w:t>restrict</w:t>
      </w:r>
      <w:r>
        <w:rPr>
          <w:color w:val="231F20"/>
          <w:spacing w:val="9"/>
          <w:w w:val="110"/>
          <w:sz w:val="18"/>
        </w:rPr>
        <w:t> </w:t>
      </w:r>
      <w:r>
        <w:rPr>
          <w:color w:val="231F20"/>
          <w:w w:val="110"/>
          <w:sz w:val="18"/>
        </w:rPr>
        <w:t>the</w:t>
      </w:r>
      <w:r>
        <w:rPr>
          <w:color w:val="231F20"/>
          <w:spacing w:val="9"/>
          <w:w w:val="110"/>
          <w:sz w:val="18"/>
        </w:rPr>
        <w:t> </w:t>
      </w:r>
      <w:r>
        <w:rPr>
          <w:color w:val="231F20"/>
          <w:w w:val="110"/>
          <w:sz w:val="18"/>
        </w:rPr>
        <w:t>God</w:t>
      </w:r>
      <w:r>
        <w:rPr>
          <w:color w:val="231F20"/>
          <w:spacing w:val="9"/>
          <w:w w:val="110"/>
          <w:sz w:val="18"/>
        </w:rPr>
        <w:t> </w:t>
      </w:r>
      <w:r>
        <w:rPr>
          <w:color w:val="231F20"/>
          <w:w w:val="110"/>
          <w:sz w:val="18"/>
        </w:rPr>
        <w:t>of</w:t>
      </w:r>
      <w:r>
        <w:rPr>
          <w:color w:val="231F20"/>
          <w:spacing w:val="9"/>
          <w:w w:val="110"/>
          <w:sz w:val="18"/>
        </w:rPr>
        <w:t> </w:t>
      </w:r>
      <w:r>
        <w:rPr>
          <w:color w:val="231F20"/>
          <w:w w:val="110"/>
          <w:sz w:val="18"/>
        </w:rPr>
        <w:t>surprises.</w:t>
      </w:r>
    </w:p>
    <w:p>
      <w:pPr>
        <w:pStyle w:val="BodyText"/>
        <w:rPr>
          <w:sz w:val="21"/>
        </w:rPr>
      </w:pPr>
    </w:p>
    <w:p>
      <w:pPr>
        <w:pStyle w:val="ListParagraph"/>
        <w:numPr>
          <w:ilvl w:val="0"/>
          <w:numId w:val="8"/>
        </w:numPr>
        <w:tabs>
          <w:tab w:pos="1393" w:val="left" w:leader="none"/>
          <w:tab w:pos="1394" w:val="left" w:leader="none"/>
        </w:tabs>
        <w:spacing w:line="273" w:lineRule="auto" w:before="0" w:after="0"/>
        <w:ind w:left="673" w:right="1705" w:firstLine="0"/>
        <w:jc w:val="left"/>
        <w:rPr>
          <w:sz w:val="18"/>
        </w:rPr>
      </w:pPr>
      <w:r>
        <w:rPr>
          <w:color w:val="231F20"/>
          <w:spacing w:val="-8"/>
          <w:w w:val="110"/>
          <w:sz w:val="18"/>
        </w:rPr>
        <w:t>To </w:t>
      </w:r>
      <w:r>
        <w:rPr>
          <w:color w:val="231F20"/>
          <w:w w:val="110"/>
          <w:sz w:val="18"/>
        </w:rPr>
        <w:t>repeat: this emphasis on worship and mission does not mean that the United Reformed Church should not re-organise, still less that we should not balance the books, but that our </w:t>
      </w:r>
      <w:r>
        <w:rPr>
          <w:i/>
          <w:color w:val="231F20"/>
          <w:w w:val="110"/>
          <w:sz w:val="18"/>
        </w:rPr>
        <w:t>identity as church </w:t>
      </w:r>
      <w:r>
        <w:rPr>
          <w:color w:val="231F20"/>
          <w:w w:val="110"/>
          <w:sz w:val="18"/>
        </w:rPr>
        <w:t>has infinitely more to do with faithfulness and </w:t>
      </w:r>
      <w:r>
        <w:rPr>
          <w:color w:val="231F20"/>
          <w:spacing w:val="-3"/>
          <w:w w:val="110"/>
          <w:sz w:val="18"/>
        </w:rPr>
        <w:t>love. </w:t>
      </w:r>
      <w:r>
        <w:rPr>
          <w:color w:val="231F20"/>
          <w:w w:val="110"/>
          <w:sz w:val="18"/>
        </w:rPr>
        <w:t>Let us sing more often: “</w:t>
      </w:r>
      <w:r>
        <w:rPr>
          <w:i/>
          <w:color w:val="231F20"/>
          <w:w w:val="110"/>
          <w:sz w:val="18"/>
        </w:rPr>
        <w:t>ubi caritas et </w:t>
      </w:r>
      <w:r>
        <w:rPr>
          <w:i/>
          <w:color w:val="231F20"/>
          <w:spacing w:val="-5"/>
          <w:w w:val="110"/>
          <w:sz w:val="18"/>
        </w:rPr>
        <w:t>amor, </w:t>
      </w:r>
      <w:r>
        <w:rPr>
          <w:i/>
          <w:color w:val="231F20"/>
          <w:w w:val="110"/>
          <w:sz w:val="18"/>
        </w:rPr>
        <w:t>Deus ibi </w:t>
      </w:r>
      <w:r>
        <w:rPr>
          <w:i/>
          <w:color w:val="231F20"/>
          <w:spacing w:val="3"/>
          <w:w w:val="110"/>
          <w:sz w:val="18"/>
        </w:rPr>
        <w:t>est</w:t>
      </w:r>
      <w:r>
        <w:rPr>
          <w:color w:val="231F20"/>
          <w:spacing w:val="3"/>
          <w:w w:val="110"/>
          <w:sz w:val="18"/>
        </w:rPr>
        <w:t>” </w:t>
      </w:r>
      <w:r>
        <w:rPr>
          <w:color w:val="231F20"/>
          <w:w w:val="110"/>
          <w:sz w:val="14"/>
        </w:rPr>
        <w:t>(Rejoice &amp; Sing </w:t>
      </w:r>
      <w:r>
        <w:rPr>
          <w:color w:val="231F20"/>
          <w:spacing w:val="-4"/>
          <w:w w:val="110"/>
          <w:sz w:val="14"/>
        </w:rPr>
        <w:t>402)</w:t>
      </w:r>
      <w:r>
        <w:rPr>
          <w:color w:val="231F20"/>
          <w:spacing w:val="-4"/>
          <w:w w:val="110"/>
          <w:sz w:val="18"/>
        </w:rPr>
        <w:t>. </w:t>
      </w:r>
      <w:r>
        <w:rPr>
          <w:color w:val="231F20"/>
          <w:w w:val="110"/>
          <w:sz w:val="18"/>
        </w:rPr>
        <w:t>Where there is</w:t>
      </w:r>
      <w:r>
        <w:rPr>
          <w:color w:val="231F20"/>
          <w:spacing w:val="28"/>
          <w:w w:val="110"/>
          <w:sz w:val="18"/>
        </w:rPr>
        <w:t> </w:t>
      </w:r>
      <w:r>
        <w:rPr>
          <w:color w:val="231F20"/>
          <w:spacing w:val="-3"/>
          <w:w w:val="110"/>
          <w:sz w:val="18"/>
        </w:rPr>
        <w:t>love</w:t>
      </w:r>
    </w:p>
    <w:p>
      <w:pPr>
        <w:pStyle w:val="ListParagraph"/>
        <w:numPr>
          <w:ilvl w:val="0"/>
          <w:numId w:val="9"/>
        </w:numPr>
        <w:tabs>
          <w:tab w:pos="868" w:val="left" w:leader="none"/>
        </w:tabs>
        <w:spacing w:line="273" w:lineRule="auto" w:before="2" w:after="0"/>
        <w:ind w:left="673" w:right="1699" w:firstLine="0"/>
        <w:jc w:val="left"/>
        <w:rPr>
          <w:color w:val="231F20"/>
          <w:sz w:val="18"/>
        </w:rPr>
      </w:pPr>
      <w:r>
        <w:rPr>
          <w:color w:val="231F20"/>
          <w:spacing w:val="-3"/>
          <w:w w:val="110"/>
          <w:sz w:val="18"/>
        </w:rPr>
        <w:t>love </w:t>
      </w:r>
      <w:r>
        <w:rPr>
          <w:color w:val="231F20"/>
          <w:w w:val="110"/>
          <w:sz w:val="18"/>
        </w:rPr>
        <w:t>in action – God is there. And where God is, there is hope. And we also need to </w:t>
      </w:r>
      <w:r>
        <w:rPr>
          <w:color w:val="231F20"/>
          <w:spacing w:val="-3"/>
          <w:w w:val="110"/>
          <w:sz w:val="18"/>
        </w:rPr>
        <w:t>sing: </w:t>
      </w:r>
      <w:r>
        <w:rPr>
          <w:color w:val="231F20"/>
          <w:spacing w:val="2"/>
          <w:w w:val="110"/>
          <w:sz w:val="18"/>
        </w:rPr>
        <w:t>“for </w:t>
      </w:r>
      <w:r>
        <w:rPr>
          <w:color w:val="231F20"/>
          <w:w w:val="110"/>
          <w:sz w:val="18"/>
        </w:rPr>
        <w:t>Jesus is alive today”</w:t>
      </w:r>
      <w:r>
        <w:rPr>
          <w:color w:val="231F20"/>
          <w:spacing w:val="-38"/>
          <w:w w:val="110"/>
          <w:sz w:val="18"/>
        </w:rPr>
        <w:t> </w:t>
      </w:r>
      <w:r>
        <w:rPr>
          <w:color w:val="231F20"/>
          <w:w w:val="110"/>
          <w:sz w:val="14"/>
        </w:rPr>
        <w:t>(R&amp;S 639)</w:t>
      </w:r>
      <w:r>
        <w:rPr>
          <w:color w:val="231F20"/>
          <w:w w:val="110"/>
          <w:sz w:val="18"/>
        </w:rPr>
        <w:t>.</w:t>
      </w:r>
    </w:p>
    <w:p>
      <w:pPr>
        <w:pStyle w:val="BodyText"/>
        <w:spacing w:before="8"/>
        <w:rPr>
          <w:sz w:val="20"/>
        </w:rPr>
      </w:pPr>
    </w:p>
    <w:p>
      <w:pPr>
        <w:pStyle w:val="ListParagraph"/>
        <w:numPr>
          <w:ilvl w:val="0"/>
          <w:numId w:val="8"/>
        </w:numPr>
        <w:tabs>
          <w:tab w:pos="1393" w:val="left" w:leader="none"/>
          <w:tab w:pos="1394" w:val="left" w:leader="none"/>
        </w:tabs>
        <w:spacing w:line="273" w:lineRule="auto" w:before="1" w:after="0"/>
        <w:ind w:left="673" w:right="1930" w:firstLine="0"/>
        <w:jc w:val="left"/>
        <w:rPr>
          <w:sz w:val="18"/>
        </w:rPr>
      </w:pPr>
      <w:r>
        <w:rPr>
          <w:color w:val="231F20"/>
          <w:spacing w:val="2"/>
          <w:w w:val="110"/>
          <w:sz w:val="18"/>
        </w:rPr>
        <w:t>Three </w:t>
      </w:r>
      <w:r>
        <w:rPr>
          <w:color w:val="231F20"/>
          <w:w w:val="110"/>
          <w:sz w:val="18"/>
        </w:rPr>
        <w:t>things follow </w:t>
      </w:r>
      <w:r>
        <w:rPr>
          <w:color w:val="231F20"/>
          <w:spacing w:val="2"/>
          <w:w w:val="110"/>
          <w:sz w:val="18"/>
        </w:rPr>
        <w:t>from </w:t>
      </w:r>
      <w:r>
        <w:rPr>
          <w:color w:val="231F20"/>
          <w:w w:val="110"/>
          <w:sz w:val="18"/>
        </w:rPr>
        <w:t>this basic approach – not that there are only three but we are all</w:t>
      </w:r>
      <w:r>
        <w:rPr>
          <w:color w:val="231F20"/>
          <w:spacing w:val="3"/>
          <w:w w:val="110"/>
          <w:sz w:val="18"/>
        </w:rPr>
        <w:t> </w:t>
      </w:r>
      <w:r>
        <w:rPr>
          <w:color w:val="231F20"/>
          <w:w w:val="110"/>
          <w:sz w:val="18"/>
        </w:rPr>
        <w:t>preachers!</w:t>
      </w:r>
    </w:p>
    <w:p>
      <w:pPr>
        <w:pStyle w:val="BodyText"/>
        <w:spacing w:before="8"/>
        <w:rPr>
          <w:sz w:val="20"/>
        </w:rPr>
      </w:pPr>
    </w:p>
    <w:p>
      <w:pPr>
        <w:pStyle w:val="ListParagraph"/>
        <w:numPr>
          <w:ilvl w:val="0"/>
          <w:numId w:val="8"/>
        </w:numPr>
        <w:tabs>
          <w:tab w:pos="1393" w:val="left" w:leader="none"/>
          <w:tab w:pos="1394" w:val="left" w:leader="none"/>
        </w:tabs>
        <w:spacing w:line="273" w:lineRule="auto" w:before="0" w:after="0"/>
        <w:ind w:left="673" w:right="1866" w:hanging="1"/>
        <w:jc w:val="left"/>
        <w:rPr>
          <w:sz w:val="18"/>
        </w:rPr>
      </w:pPr>
      <w:r>
        <w:rPr>
          <w:color w:val="231F20"/>
          <w:spacing w:val="2"/>
          <w:w w:val="110"/>
          <w:sz w:val="18"/>
        </w:rPr>
        <w:t>First, </w:t>
      </w:r>
      <w:r>
        <w:rPr>
          <w:color w:val="231F20"/>
          <w:w w:val="110"/>
          <w:sz w:val="18"/>
        </w:rPr>
        <w:t>in the internal debates within the United Reformed Church </w:t>
      </w:r>
      <w:r>
        <w:rPr>
          <w:color w:val="231F20"/>
          <w:spacing w:val="-4"/>
          <w:w w:val="110"/>
          <w:sz w:val="18"/>
        </w:rPr>
        <w:t>(and </w:t>
      </w:r>
      <w:r>
        <w:rPr>
          <w:color w:val="231F20"/>
          <w:w w:val="110"/>
          <w:sz w:val="18"/>
        </w:rPr>
        <w:t>in most other churches) it is not enough for those on apparently opposing theological ‘sides’ to </w:t>
      </w:r>
      <w:r>
        <w:rPr>
          <w:i/>
          <w:color w:val="231F20"/>
          <w:spacing w:val="2"/>
          <w:w w:val="110"/>
          <w:sz w:val="18"/>
        </w:rPr>
        <w:t>respect </w:t>
      </w:r>
      <w:r>
        <w:rPr>
          <w:color w:val="231F20"/>
          <w:w w:val="110"/>
          <w:sz w:val="18"/>
        </w:rPr>
        <w:t>one another. Christians should </w:t>
      </w:r>
      <w:r>
        <w:rPr>
          <w:i/>
          <w:color w:val="231F20"/>
          <w:w w:val="110"/>
          <w:sz w:val="18"/>
        </w:rPr>
        <w:t>love </w:t>
      </w:r>
      <w:r>
        <w:rPr>
          <w:color w:val="231F20"/>
          <w:w w:val="110"/>
          <w:sz w:val="18"/>
        </w:rPr>
        <w:t>one another for Christ’s sake – or we are lost. For example, our particular moratorium on public debate and decision on </w:t>
      </w:r>
      <w:r>
        <w:rPr>
          <w:color w:val="231F20"/>
          <w:spacing w:val="2"/>
          <w:w w:val="110"/>
          <w:sz w:val="18"/>
        </w:rPr>
        <w:t>matters </w:t>
      </w:r>
      <w:r>
        <w:rPr>
          <w:color w:val="231F20"/>
          <w:w w:val="110"/>
          <w:sz w:val="18"/>
        </w:rPr>
        <w:t>of human sexuality has </w:t>
      </w:r>
      <w:r>
        <w:rPr>
          <w:color w:val="231F20"/>
          <w:spacing w:val="3"/>
          <w:w w:val="110"/>
          <w:sz w:val="18"/>
        </w:rPr>
        <w:t>left </w:t>
      </w:r>
      <w:r>
        <w:rPr>
          <w:color w:val="231F20"/>
          <w:w w:val="110"/>
          <w:sz w:val="18"/>
        </w:rPr>
        <w:t>some Moderators </w:t>
      </w:r>
      <w:r>
        <w:rPr>
          <w:color w:val="231F20"/>
          <w:spacing w:val="-4"/>
          <w:w w:val="110"/>
          <w:sz w:val="18"/>
        </w:rPr>
        <w:t>(not </w:t>
      </w:r>
      <w:r>
        <w:rPr>
          <w:color w:val="231F20"/>
          <w:w w:val="110"/>
          <w:sz w:val="18"/>
        </w:rPr>
        <w:t>to mention ministers and other members) frustrated or anxious, and all of us ill-prepared for what may follow. The debate has moved on </w:t>
      </w:r>
      <w:r>
        <w:rPr>
          <w:color w:val="231F20"/>
          <w:spacing w:val="2"/>
          <w:w w:val="110"/>
          <w:sz w:val="18"/>
        </w:rPr>
        <w:t>from </w:t>
      </w:r>
      <w:r>
        <w:rPr>
          <w:color w:val="231F20"/>
          <w:w w:val="110"/>
          <w:sz w:val="18"/>
        </w:rPr>
        <w:t>the </w:t>
      </w:r>
      <w:r>
        <w:rPr>
          <w:color w:val="231F20"/>
          <w:spacing w:val="-2"/>
          <w:w w:val="110"/>
          <w:sz w:val="18"/>
        </w:rPr>
        <w:t>1990s; </w:t>
      </w:r>
      <w:r>
        <w:rPr>
          <w:color w:val="231F20"/>
          <w:w w:val="110"/>
          <w:sz w:val="18"/>
        </w:rPr>
        <w:t>our new discussions may be as sharply divided but will be different. It is clear, without being any less of a mystery, that to build the kingdom and to preach the gospel God uses ministers and lay people who are gay and also those who believe that such a life is intrinsically sinful. </w:t>
      </w:r>
      <w:r>
        <w:rPr>
          <w:color w:val="231F20"/>
          <w:spacing w:val="2"/>
          <w:w w:val="110"/>
          <w:sz w:val="18"/>
        </w:rPr>
        <w:t>Are </w:t>
      </w:r>
      <w:r>
        <w:rPr>
          <w:color w:val="231F20"/>
          <w:w w:val="110"/>
          <w:sz w:val="18"/>
        </w:rPr>
        <w:t>these divisions greater than those among the original twelve whose loyalty to Jesus outweighed such matters? Ubi </w:t>
      </w:r>
      <w:r>
        <w:rPr>
          <w:color w:val="231F20"/>
          <w:spacing w:val="2"/>
          <w:w w:val="110"/>
          <w:sz w:val="18"/>
        </w:rPr>
        <w:t>caritas</w:t>
      </w:r>
      <w:r>
        <w:rPr>
          <w:color w:val="231F20"/>
          <w:spacing w:val="1"/>
          <w:w w:val="110"/>
          <w:sz w:val="18"/>
        </w:rPr>
        <w:t> </w:t>
      </w:r>
      <w:r>
        <w:rPr>
          <w:color w:val="231F20"/>
          <w:w w:val="110"/>
          <w:sz w:val="18"/>
        </w:rPr>
        <w:t>…</w:t>
      </w:r>
    </w:p>
    <w:p>
      <w:pPr>
        <w:pStyle w:val="BodyText"/>
        <w:spacing w:before="2"/>
        <w:rPr>
          <w:sz w:val="21"/>
        </w:rPr>
      </w:pPr>
    </w:p>
    <w:p>
      <w:pPr>
        <w:pStyle w:val="ListParagraph"/>
        <w:numPr>
          <w:ilvl w:val="0"/>
          <w:numId w:val="8"/>
        </w:numPr>
        <w:tabs>
          <w:tab w:pos="1393" w:val="left" w:leader="none"/>
          <w:tab w:pos="1394" w:val="left" w:leader="none"/>
        </w:tabs>
        <w:spacing w:line="273" w:lineRule="auto" w:before="0" w:after="0"/>
        <w:ind w:left="673" w:right="1870" w:firstLine="0"/>
        <w:jc w:val="left"/>
        <w:rPr>
          <w:sz w:val="18"/>
        </w:rPr>
      </w:pPr>
      <w:r>
        <w:rPr>
          <w:color w:val="231F20"/>
          <w:w w:val="110"/>
          <w:sz w:val="18"/>
        </w:rPr>
        <w:t>Second, in the gospels Jesus is </w:t>
      </w:r>
      <w:r>
        <w:rPr>
          <w:color w:val="231F20"/>
          <w:spacing w:val="2"/>
          <w:w w:val="110"/>
          <w:sz w:val="18"/>
        </w:rPr>
        <w:t>recorded </w:t>
      </w:r>
      <w:r>
        <w:rPr>
          <w:color w:val="231F20"/>
          <w:w w:val="110"/>
          <w:sz w:val="18"/>
        </w:rPr>
        <w:t>as saying both “come” and </w:t>
      </w:r>
      <w:r>
        <w:rPr>
          <w:color w:val="231F20"/>
          <w:spacing w:val="-4"/>
          <w:w w:val="110"/>
          <w:sz w:val="18"/>
        </w:rPr>
        <w:t>“go”, </w:t>
      </w:r>
      <w:r>
        <w:rPr>
          <w:color w:val="231F20"/>
          <w:spacing w:val="3"/>
          <w:w w:val="110"/>
          <w:sz w:val="18"/>
        </w:rPr>
        <w:t>“rest” </w:t>
      </w:r>
      <w:r>
        <w:rPr>
          <w:color w:val="231F20"/>
          <w:w w:val="110"/>
          <w:sz w:val="18"/>
        </w:rPr>
        <w:t>and “work”. The good news of God </w:t>
      </w:r>
      <w:r>
        <w:rPr>
          <w:color w:val="231F20"/>
          <w:spacing w:val="2"/>
          <w:w w:val="110"/>
          <w:sz w:val="18"/>
        </w:rPr>
        <w:t>from </w:t>
      </w:r>
      <w:r>
        <w:rPr>
          <w:color w:val="231F20"/>
          <w:w w:val="110"/>
          <w:sz w:val="18"/>
        </w:rPr>
        <w:t>the apostolic age until now is both invitation and challenge, since both </w:t>
      </w:r>
      <w:r>
        <w:rPr>
          <w:color w:val="231F20"/>
          <w:spacing w:val="2"/>
          <w:w w:val="110"/>
          <w:sz w:val="18"/>
        </w:rPr>
        <w:t>reflect </w:t>
      </w:r>
      <w:r>
        <w:rPr>
          <w:color w:val="231F20"/>
          <w:w w:val="110"/>
          <w:sz w:val="18"/>
        </w:rPr>
        <w:t>God’s grace. But in the United Reformed Church we have probably over-emphasised the latter. </w:t>
      </w:r>
      <w:r>
        <w:rPr>
          <w:color w:val="231F20"/>
          <w:spacing w:val="-3"/>
          <w:w w:val="110"/>
          <w:sz w:val="18"/>
        </w:rPr>
        <w:t>We </w:t>
      </w:r>
      <w:r>
        <w:rPr>
          <w:color w:val="231F20"/>
          <w:w w:val="110"/>
          <w:sz w:val="18"/>
        </w:rPr>
        <w:t>should discern the call of God both in saving us and in sending us. </w:t>
      </w:r>
      <w:r>
        <w:rPr>
          <w:color w:val="231F20"/>
          <w:spacing w:val="-3"/>
          <w:w w:val="110"/>
          <w:sz w:val="18"/>
        </w:rPr>
        <w:t>We </w:t>
      </w:r>
      <w:r>
        <w:rPr>
          <w:color w:val="231F20"/>
          <w:w w:val="110"/>
          <w:sz w:val="18"/>
        </w:rPr>
        <w:t>must </w:t>
      </w:r>
      <w:r>
        <w:rPr>
          <w:color w:val="231F20"/>
          <w:spacing w:val="2"/>
          <w:w w:val="110"/>
          <w:sz w:val="18"/>
        </w:rPr>
        <w:t>comfort </w:t>
      </w:r>
      <w:r>
        <w:rPr>
          <w:color w:val="231F20"/>
          <w:w w:val="110"/>
          <w:sz w:val="18"/>
        </w:rPr>
        <w:t>the troubled as well as troubling the comfortable. This is complementary to the previous point, for it applies </w:t>
      </w:r>
      <w:r>
        <w:rPr>
          <w:color w:val="231F20"/>
          <w:spacing w:val="2"/>
          <w:w w:val="110"/>
          <w:sz w:val="18"/>
        </w:rPr>
        <w:t>across </w:t>
      </w:r>
      <w:r>
        <w:rPr>
          <w:color w:val="231F20"/>
          <w:w w:val="110"/>
          <w:sz w:val="18"/>
        </w:rPr>
        <w:t>the theological range of our local ministers and churches. The crucial point is that for all of us it is our thankful </w:t>
      </w:r>
      <w:r>
        <w:rPr>
          <w:color w:val="231F20"/>
          <w:spacing w:val="2"/>
          <w:w w:val="110"/>
          <w:sz w:val="18"/>
        </w:rPr>
        <w:t>response </w:t>
      </w:r>
      <w:r>
        <w:rPr>
          <w:color w:val="231F20"/>
          <w:w w:val="110"/>
          <w:sz w:val="18"/>
        </w:rPr>
        <w:t>to God which overflows into telling people and into all the other marks of mission. Ubi </w:t>
      </w:r>
      <w:r>
        <w:rPr>
          <w:color w:val="231F20"/>
          <w:spacing w:val="2"/>
          <w:w w:val="110"/>
          <w:sz w:val="18"/>
        </w:rPr>
        <w:t>caritas</w:t>
      </w:r>
      <w:r>
        <w:rPr>
          <w:color w:val="231F20"/>
          <w:spacing w:val="9"/>
          <w:w w:val="110"/>
          <w:sz w:val="18"/>
        </w:rPr>
        <w:t> </w:t>
      </w:r>
      <w:r>
        <w:rPr>
          <w:color w:val="231F20"/>
          <w:w w:val="110"/>
          <w:sz w:val="18"/>
        </w:rPr>
        <w:t>…</w:t>
      </w:r>
    </w:p>
    <w:p>
      <w:pPr>
        <w:spacing w:after="0" w:line="273" w:lineRule="auto"/>
        <w:jc w:val="left"/>
        <w:rPr>
          <w:sz w:val="18"/>
        </w:rPr>
        <w:sectPr>
          <w:headerReference w:type="even" r:id="rId40"/>
          <w:footerReference w:type="even" r:id="rId41"/>
          <w:footerReference w:type="default" r:id="rId42"/>
          <w:pgSz w:w="11910" w:h="16840"/>
          <w:pgMar w:header="0" w:footer="484" w:top="480" w:bottom="680" w:left="460" w:right="0"/>
          <w:pgNumType w:start="26"/>
        </w:sectPr>
      </w:pPr>
    </w:p>
    <w:p>
      <w:pPr>
        <w:spacing w:before="31"/>
        <w:ind w:left="673" w:right="0" w:firstLine="0"/>
        <w:jc w:val="left"/>
        <w:rPr>
          <w:rFonts w:ascii="Eurostile Bold" w:hAnsi="Eurostile Bold"/>
          <w:b/>
          <w:sz w:val="28"/>
        </w:rPr>
      </w:pPr>
      <w:r>
        <w:rPr>
          <w:rFonts w:ascii="Eurostile Bold" w:hAnsi="Eurostile Bold"/>
          <w:b/>
          <w:color w:val="A7A9AC"/>
          <w:w w:val="95"/>
          <w:sz w:val="28"/>
        </w:rPr>
        <w:t>Synod Moderators’</w:t>
      </w:r>
      <w:r>
        <w:rPr>
          <w:rFonts w:ascii="Eurostile Bold" w:hAnsi="Eurostile Bold"/>
          <w:b/>
          <w:color w:val="A7A9AC"/>
          <w:spacing w:val="-60"/>
          <w:w w:val="95"/>
          <w:sz w:val="28"/>
        </w:rPr>
        <w:t> </w:t>
      </w:r>
      <w:r>
        <w:rPr>
          <w:rFonts w:ascii="Eurostile Bold" w:hAnsi="Eurostile Bold"/>
          <w:b/>
          <w:color w:val="A7A9AC"/>
          <w:w w:val="95"/>
          <w:sz w:val="28"/>
        </w:rPr>
        <w:t>Report</w:t>
      </w:r>
    </w:p>
    <w:p>
      <w:pPr>
        <w:pStyle w:val="BodyText"/>
        <w:spacing w:before="7"/>
        <w:rPr>
          <w:rFonts w:ascii="Eurostile Bold"/>
          <w:b/>
          <w:sz w:val="10"/>
        </w:rPr>
      </w:pPr>
    </w:p>
    <w:p>
      <w:pPr>
        <w:pStyle w:val="ListParagraph"/>
        <w:numPr>
          <w:ilvl w:val="0"/>
          <w:numId w:val="8"/>
        </w:numPr>
        <w:tabs>
          <w:tab w:pos="1960" w:val="left" w:leader="none"/>
          <w:tab w:pos="1961" w:val="left" w:leader="none"/>
        </w:tabs>
        <w:spacing w:line="240" w:lineRule="auto" w:before="100" w:after="0"/>
        <w:ind w:left="1960" w:right="0" w:hanging="721"/>
        <w:jc w:val="left"/>
        <w:rPr>
          <w:sz w:val="18"/>
        </w:rPr>
      </w:pPr>
      <w:r>
        <w:rPr>
          <w:color w:val="231F20"/>
          <w:w w:val="110"/>
          <w:sz w:val="18"/>
        </w:rPr>
        <w:t>Third, recalling that our Reformed </w:t>
      </w:r>
      <w:r>
        <w:rPr>
          <w:color w:val="231F20"/>
          <w:spacing w:val="2"/>
          <w:w w:val="110"/>
          <w:sz w:val="18"/>
        </w:rPr>
        <w:t>predecessors </w:t>
      </w:r>
      <w:r>
        <w:rPr>
          <w:color w:val="231F20"/>
          <w:w w:val="110"/>
          <w:sz w:val="18"/>
        </w:rPr>
        <w:t>were ‘ejected’ and</w:t>
      </w:r>
      <w:r>
        <w:rPr>
          <w:color w:val="231F20"/>
          <w:spacing w:val="41"/>
          <w:w w:val="110"/>
          <w:sz w:val="18"/>
        </w:rPr>
        <w:t> </w:t>
      </w:r>
      <w:r>
        <w:rPr>
          <w:color w:val="231F20"/>
          <w:w w:val="110"/>
          <w:sz w:val="18"/>
        </w:rPr>
        <w:t>journeyed</w:t>
      </w:r>
    </w:p>
    <w:p>
      <w:pPr>
        <w:pStyle w:val="BodyText"/>
        <w:spacing w:line="273" w:lineRule="auto" w:before="31"/>
        <w:ind w:left="1240" w:right="1146"/>
      </w:pPr>
      <w:r>
        <w:rPr>
          <w:color w:val="231F20"/>
          <w:w w:val="110"/>
        </w:rPr>
        <w:t>at least five miles out of town for worship and fellowship </w:t>
      </w:r>
      <w:r>
        <w:rPr>
          <w:color w:val="231F20"/>
          <w:spacing w:val="-4"/>
          <w:w w:val="110"/>
        </w:rPr>
        <w:t>(and </w:t>
      </w:r>
      <w:r>
        <w:rPr>
          <w:color w:val="231F20"/>
          <w:w w:val="110"/>
        </w:rPr>
        <w:t>in some </w:t>
      </w:r>
      <w:r>
        <w:rPr>
          <w:color w:val="231F20"/>
          <w:spacing w:val="2"/>
          <w:w w:val="110"/>
        </w:rPr>
        <w:t>cases </w:t>
      </w:r>
      <w:r>
        <w:rPr>
          <w:color w:val="231F20"/>
          <w:w w:val="110"/>
        </w:rPr>
        <w:t>journeyed </w:t>
      </w:r>
      <w:r>
        <w:rPr>
          <w:color w:val="231F20"/>
          <w:spacing w:val="2"/>
          <w:w w:val="110"/>
        </w:rPr>
        <w:t>across </w:t>
      </w:r>
      <w:r>
        <w:rPr>
          <w:color w:val="231F20"/>
          <w:w w:val="110"/>
        </w:rPr>
        <w:t>the Atlantic), we of all Christians should not despair at the great ejectment which the chill secular wind has brought to all churches in these times. Of </w:t>
      </w:r>
      <w:r>
        <w:rPr>
          <w:color w:val="231F20"/>
          <w:spacing w:val="2"/>
          <w:w w:val="110"/>
        </w:rPr>
        <w:t>course </w:t>
      </w:r>
      <w:r>
        <w:rPr>
          <w:color w:val="231F20"/>
          <w:w w:val="110"/>
        </w:rPr>
        <w:t>the self- righteousness of the outcast remnant is always a temptation. But God’s faithfulness   must never be </w:t>
      </w:r>
      <w:r>
        <w:rPr>
          <w:color w:val="231F20"/>
          <w:spacing w:val="2"/>
          <w:w w:val="110"/>
        </w:rPr>
        <w:t>forgotten </w:t>
      </w:r>
      <w:r>
        <w:rPr>
          <w:color w:val="231F20"/>
          <w:w w:val="110"/>
        </w:rPr>
        <w:t>as we set about finding new ways of being church as our </w:t>
      </w:r>
      <w:r>
        <w:rPr>
          <w:color w:val="231F20"/>
          <w:spacing w:val="2"/>
          <w:w w:val="110"/>
        </w:rPr>
        <w:t>ancestors </w:t>
      </w:r>
      <w:r>
        <w:rPr>
          <w:color w:val="231F20"/>
          <w:w w:val="110"/>
        </w:rPr>
        <w:t>did, for the sake of the well-being, the salvation, of unbelievers and of society. And that is surely the task laid on all Christian churches and denominations in this generation: in the phrase </w:t>
      </w:r>
      <w:r>
        <w:rPr>
          <w:color w:val="231F20"/>
          <w:spacing w:val="2"/>
          <w:w w:val="110"/>
        </w:rPr>
        <w:t>from </w:t>
      </w:r>
      <w:r>
        <w:rPr>
          <w:color w:val="231F20"/>
          <w:w w:val="110"/>
        </w:rPr>
        <w:t>‘Catch the Vision’, </w:t>
      </w:r>
      <w:r>
        <w:rPr>
          <w:i/>
          <w:color w:val="231F20"/>
          <w:w w:val="110"/>
        </w:rPr>
        <w:t>to make a </w:t>
      </w:r>
      <w:r>
        <w:rPr>
          <w:i/>
          <w:color w:val="231F20"/>
          <w:spacing w:val="2"/>
          <w:w w:val="110"/>
        </w:rPr>
        <w:t>difference </w:t>
      </w:r>
      <w:r>
        <w:rPr>
          <w:i/>
          <w:color w:val="231F20"/>
          <w:w w:val="110"/>
        </w:rPr>
        <w:t>for the sake of </w:t>
      </w:r>
      <w:r>
        <w:rPr>
          <w:i/>
          <w:color w:val="231F20"/>
          <w:w w:val="110"/>
        </w:rPr>
        <w:t>Christ</w:t>
      </w:r>
      <w:r>
        <w:rPr>
          <w:color w:val="231F20"/>
          <w:w w:val="110"/>
        </w:rPr>
        <w:t>,</w:t>
      </w:r>
      <w:r>
        <w:rPr>
          <w:color w:val="231F20"/>
          <w:spacing w:val="6"/>
          <w:w w:val="110"/>
        </w:rPr>
        <w:t> </w:t>
      </w:r>
      <w:r>
        <w:rPr>
          <w:color w:val="231F20"/>
          <w:w w:val="110"/>
        </w:rPr>
        <w:t>even</w:t>
      </w:r>
      <w:r>
        <w:rPr>
          <w:color w:val="231F20"/>
          <w:spacing w:val="7"/>
          <w:w w:val="110"/>
        </w:rPr>
        <w:t> </w:t>
      </w:r>
      <w:r>
        <w:rPr>
          <w:color w:val="231F20"/>
          <w:w w:val="110"/>
        </w:rPr>
        <w:t>though</w:t>
      </w:r>
      <w:r>
        <w:rPr>
          <w:color w:val="231F20"/>
          <w:spacing w:val="7"/>
          <w:w w:val="110"/>
        </w:rPr>
        <w:t> </w:t>
      </w:r>
      <w:r>
        <w:rPr>
          <w:color w:val="231F20"/>
          <w:w w:val="110"/>
        </w:rPr>
        <w:t>it</w:t>
      </w:r>
      <w:r>
        <w:rPr>
          <w:color w:val="231F20"/>
          <w:spacing w:val="7"/>
          <w:w w:val="110"/>
        </w:rPr>
        <w:t> </w:t>
      </w:r>
      <w:r>
        <w:rPr>
          <w:color w:val="231F20"/>
          <w:w w:val="110"/>
        </w:rPr>
        <w:t>means</w:t>
      </w:r>
      <w:r>
        <w:rPr>
          <w:color w:val="231F20"/>
          <w:spacing w:val="7"/>
          <w:w w:val="110"/>
        </w:rPr>
        <w:t> </w:t>
      </w:r>
      <w:r>
        <w:rPr>
          <w:color w:val="231F20"/>
          <w:w w:val="110"/>
        </w:rPr>
        <w:t>costly</w:t>
      </w:r>
      <w:r>
        <w:rPr>
          <w:color w:val="231F20"/>
          <w:spacing w:val="7"/>
          <w:w w:val="110"/>
        </w:rPr>
        <w:t> </w:t>
      </w:r>
      <w:r>
        <w:rPr>
          <w:color w:val="231F20"/>
          <w:w w:val="110"/>
        </w:rPr>
        <w:t>change!</w:t>
      </w:r>
      <w:r>
        <w:rPr>
          <w:color w:val="231F20"/>
          <w:spacing w:val="7"/>
          <w:w w:val="110"/>
        </w:rPr>
        <w:t> </w:t>
      </w:r>
      <w:r>
        <w:rPr>
          <w:color w:val="231F20"/>
          <w:w w:val="110"/>
        </w:rPr>
        <w:t>At</w:t>
      </w:r>
      <w:r>
        <w:rPr>
          <w:color w:val="231F20"/>
          <w:spacing w:val="7"/>
          <w:w w:val="110"/>
        </w:rPr>
        <w:t> </w:t>
      </w:r>
      <w:r>
        <w:rPr>
          <w:color w:val="231F20"/>
          <w:w w:val="110"/>
        </w:rPr>
        <w:t>such</w:t>
      </w:r>
      <w:r>
        <w:rPr>
          <w:color w:val="231F20"/>
          <w:spacing w:val="7"/>
          <w:w w:val="110"/>
        </w:rPr>
        <w:t> </w:t>
      </w:r>
      <w:r>
        <w:rPr>
          <w:color w:val="231F20"/>
          <w:w w:val="110"/>
        </w:rPr>
        <w:t>a</w:t>
      </w:r>
      <w:r>
        <w:rPr>
          <w:color w:val="231F20"/>
          <w:spacing w:val="7"/>
          <w:w w:val="110"/>
        </w:rPr>
        <w:t> </w:t>
      </w:r>
      <w:r>
        <w:rPr>
          <w:color w:val="231F20"/>
          <w:w w:val="110"/>
        </w:rPr>
        <w:t>crucially</w:t>
      </w:r>
      <w:r>
        <w:rPr>
          <w:color w:val="231F20"/>
          <w:spacing w:val="7"/>
          <w:w w:val="110"/>
        </w:rPr>
        <w:t> </w:t>
      </w:r>
      <w:r>
        <w:rPr>
          <w:color w:val="231F20"/>
          <w:w w:val="110"/>
        </w:rPr>
        <w:t>testing</w:t>
      </w:r>
      <w:r>
        <w:rPr>
          <w:color w:val="231F20"/>
          <w:spacing w:val="7"/>
          <w:w w:val="110"/>
        </w:rPr>
        <w:t> </w:t>
      </w:r>
      <w:r>
        <w:rPr>
          <w:color w:val="231F20"/>
          <w:w w:val="110"/>
        </w:rPr>
        <w:t>time</w:t>
      </w:r>
      <w:r>
        <w:rPr>
          <w:color w:val="231F20"/>
          <w:spacing w:val="7"/>
          <w:w w:val="110"/>
        </w:rPr>
        <w:t> </w:t>
      </w:r>
      <w:r>
        <w:rPr>
          <w:color w:val="231F20"/>
          <w:w w:val="110"/>
        </w:rPr>
        <w:t>our</w:t>
      </w:r>
      <w:r>
        <w:rPr>
          <w:color w:val="231F20"/>
          <w:spacing w:val="7"/>
          <w:w w:val="110"/>
        </w:rPr>
        <w:t> </w:t>
      </w:r>
      <w:r>
        <w:rPr>
          <w:color w:val="231F20"/>
          <w:w w:val="110"/>
        </w:rPr>
        <w:t>hold</w:t>
      </w:r>
    </w:p>
    <w:p>
      <w:pPr>
        <w:pStyle w:val="BodyText"/>
        <w:spacing w:line="273" w:lineRule="auto" w:before="6"/>
        <w:ind w:left="1240" w:right="1365"/>
      </w:pPr>
      <w:r>
        <w:rPr>
          <w:color w:val="231F20"/>
          <w:w w:val="110"/>
        </w:rPr>
        <w:t>on God through the Reformed tradition and our personal experience matters less than God’s hold on us, calling us and sending us in love.</w:t>
      </w:r>
    </w:p>
    <w:p>
      <w:pPr>
        <w:pStyle w:val="BodyText"/>
        <w:spacing w:line="273" w:lineRule="auto" w:before="1"/>
        <w:ind w:left="1240" w:right="1279"/>
      </w:pPr>
      <w:r>
        <w:rPr>
          <w:color w:val="231F20"/>
          <w:w w:val="110"/>
        </w:rPr>
        <w:t>To echo two other songs: the church is wherever God’s people are praising and serving and witnessing … and the creed and the colour and the name won’t matter: Ubi caritas …</w:t>
      </w:r>
    </w:p>
    <w:p>
      <w:pPr>
        <w:pStyle w:val="BodyText"/>
        <w:spacing w:before="8"/>
        <w:rPr>
          <w:sz w:val="20"/>
        </w:rPr>
      </w:pPr>
    </w:p>
    <w:p>
      <w:pPr>
        <w:pStyle w:val="ListParagraph"/>
        <w:numPr>
          <w:ilvl w:val="0"/>
          <w:numId w:val="8"/>
        </w:numPr>
        <w:tabs>
          <w:tab w:pos="1960" w:val="left" w:leader="none"/>
          <w:tab w:pos="1961" w:val="left" w:leader="none"/>
        </w:tabs>
        <w:spacing w:line="273" w:lineRule="auto" w:before="0" w:after="0"/>
        <w:ind w:left="1240" w:right="1162" w:firstLine="0"/>
        <w:jc w:val="left"/>
        <w:rPr>
          <w:sz w:val="18"/>
        </w:rPr>
      </w:pPr>
      <w:r>
        <w:rPr>
          <w:color w:val="231F20"/>
          <w:w w:val="110"/>
          <w:sz w:val="18"/>
        </w:rPr>
        <w:t>So whether the ‘true church’ is described in our Reformed language of word and sacraments and ministry or in the a broader definition of ‘one, </w:t>
      </w:r>
      <w:r>
        <w:rPr>
          <w:color w:val="231F20"/>
          <w:spacing w:val="-5"/>
          <w:w w:val="110"/>
          <w:sz w:val="18"/>
        </w:rPr>
        <w:t>holy, </w:t>
      </w:r>
      <w:r>
        <w:rPr>
          <w:color w:val="231F20"/>
          <w:w w:val="110"/>
          <w:sz w:val="18"/>
        </w:rPr>
        <w:t>catholic and apostolic’ or</w:t>
      </w:r>
      <w:r>
        <w:rPr>
          <w:color w:val="231F20"/>
          <w:spacing w:val="-4"/>
          <w:w w:val="110"/>
          <w:sz w:val="18"/>
        </w:rPr>
        <w:t> </w:t>
      </w:r>
      <w:r>
        <w:rPr>
          <w:color w:val="231F20"/>
          <w:w w:val="110"/>
          <w:sz w:val="18"/>
        </w:rPr>
        <w:t>in</w:t>
      </w:r>
      <w:r>
        <w:rPr>
          <w:color w:val="231F20"/>
          <w:spacing w:val="-4"/>
          <w:w w:val="110"/>
          <w:sz w:val="18"/>
        </w:rPr>
        <w:t> </w:t>
      </w:r>
      <w:r>
        <w:rPr>
          <w:color w:val="231F20"/>
          <w:w w:val="110"/>
          <w:sz w:val="18"/>
        </w:rPr>
        <w:t>a</w:t>
      </w:r>
      <w:r>
        <w:rPr>
          <w:color w:val="231F20"/>
          <w:spacing w:val="-2"/>
          <w:w w:val="110"/>
          <w:sz w:val="18"/>
        </w:rPr>
        <w:t> </w:t>
      </w:r>
      <w:r>
        <w:rPr>
          <w:color w:val="231F20"/>
          <w:w w:val="110"/>
          <w:sz w:val="18"/>
        </w:rPr>
        <w:t>less</w:t>
      </w:r>
      <w:r>
        <w:rPr>
          <w:color w:val="231F20"/>
          <w:spacing w:val="-3"/>
          <w:w w:val="110"/>
          <w:sz w:val="18"/>
        </w:rPr>
        <w:t> </w:t>
      </w:r>
      <w:r>
        <w:rPr>
          <w:color w:val="231F20"/>
          <w:w w:val="110"/>
          <w:sz w:val="18"/>
        </w:rPr>
        <w:t>traditional</w:t>
      </w:r>
      <w:r>
        <w:rPr>
          <w:color w:val="231F20"/>
          <w:spacing w:val="-3"/>
          <w:w w:val="110"/>
          <w:sz w:val="18"/>
        </w:rPr>
        <w:t> way</w:t>
      </w:r>
      <w:r>
        <w:rPr>
          <w:color w:val="231F20"/>
          <w:spacing w:val="-2"/>
          <w:w w:val="110"/>
          <w:sz w:val="18"/>
        </w:rPr>
        <w:t> </w:t>
      </w:r>
      <w:r>
        <w:rPr>
          <w:color w:val="231F20"/>
          <w:w w:val="110"/>
          <w:sz w:val="18"/>
        </w:rPr>
        <w:t>as</w:t>
      </w:r>
      <w:r>
        <w:rPr>
          <w:color w:val="231F20"/>
          <w:spacing w:val="-3"/>
          <w:w w:val="110"/>
          <w:sz w:val="18"/>
        </w:rPr>
        <w:t> </w:t>
      </w:r>
      <w:r>
        <w:rPr>
          <w:color w:val="231F20"/>
          <w:w w:val="110"/>
          <w:sz w:val="18"/>
        </w:rPr>
        <w:t>‘ubi</w:t>
      </w:r>
      <w:r>
        <w:rPr>
          <w:color w:val="231F20"/>
          <w:spacing w:val="-3"/>
          <w:w w:val="110"/>
          <w:sz w:val="18"/>
        </w:rPr>
        <w:t> </w:t>
      </w:r>
      <w:r>
        <w:rPr>
          <w:color w:val="231F20"/>
          <w:w w:val="110"/>
          <w:sz w:val="18"/>
        </w:rPr>
        <w:t>caritas’,</w:t>
      </w:r>
      <w:r>
        <w:rPr>
          <w:color w:val="231F20"/>
          <w:spacing w:val="-2"/>
          <w:w w:val="110"/>
          <w:sz w:val="18"/>
        </w:rPr>
        <w:t> </w:t>
      </w:r>
      <w:r>
        <w:rPr>
          <w:color w:val="231F20"/>
          <w:w w:val="110"/>
          <w:sz w:val="18"/>
        </w:rPr>
        <w:t>it</w:t>
      </w:r>
      <w:r>
        <w:rPr>
          <w:color w:val="231F20"/>
          <w:spacing w:val="-3"/>
          <w:w w:val="110"/>
          <w:sz w:val="18"/>
        </w:rPr>
        <w:t> </w:t>
      </w:r>
      <w:r>
        <w:rPr>
          <w:color w:val="231F20"/>
          <w:w w:val="110"/>
          <w:sz w:val="18"/>
        </w:rPr>
        <w:t>is</w:t>
      </w:r>
      <w:r>
        <w:rPr>
          <w:color w:val="231F20"/>
          <w:spacing w:val="-4"/>
          <w:w w:val="110"/>
          <w:sz w:val="18"/>
        </w:rPr>
        <w:t> </w:t>
      </w:r>
      <w:r>
        <w:rPr>
          <w:color w:val="231F20"/>
          <w:w w:val="110"/>
          <w:sz w:val="18"/>
        </w:rPr>
        <w:t>God</w:t>
      </w:r>
      <w:r>
        <w:rPr>
          <w:color w:val="231F20"/>
          <w:spacing w:val="-2"/>
          <w:w w:val="110"/>
          <w:sz w:val="18"/>
        </w:rPr>
        <w:t> </w:t>
      </w:r>
      <w:r>
        <w:rPr>
          <w:color w:val="231F20"/>
          <w:w w:val="110"/>
          <w:sz w:val="18"/>
        </w:rPr>
        <w:t>who</w:t>
      </w:r>
      <w:r>
        <w:rPr>
          <w:color w:val="231F20"/>
          <w:spacing w:val="-4"/>
          <w:w w:val="110"/>
          <w:sz w:val="18"/>
        </w:rPr>
        <w:t> </w:t>
      </w:r>
      <w:r>
        <w:rPr>
          <w:color w:val="231F20"/>
          <w:w w:val="110"/>
          <w:sz w:val="18"/>
        </w:rPr>
        <w:t>has</w:t>
      </w:r>
      <w:r>
        <w:rPr>
          <w:color w:val="231F20"/>
          <w:spacing w:val="-3"/>
          <w:w w:val="110"/>
          <w:sz w:val="18"/>
        </w:rPr>
        <w:t> </w:t>
      </w:r>
      <w:r>
        <w:rPr>
          <w:color w:val="231F20"/>
          <w:w w:val="110"/>
          <w:sz w:val="18"/>
        </w:rPr>
        <w:t>led</w:t>
      </w:r>
      <w:r>
        <w:rPr>
          <w:color w:val="231F20"/>
          <w:spacing w:val="-3"/>
          <w:w w:val="110"/>
          <w:sz w:val="18"/>
        </w:rPr>
        <w:t> </w:t>
      </w:r>
      <w:r>
        <w:rPr>
          <w:color w:val="231F20"/>
          <w:w w:val="110"/>
          <w:sz w:val="18"/>
        </w:rPr>
        <w:t>and</w:t>
      </w:r>
      <w:r>
        <w:rPr>
          <w:color w:val="231F20"/>
          <w:spacing w:val="-4"/>
          <w:w w:val="110"/>
          <w:sz w:val="18"/>
        </w:rPr>
        <w:t> </w:t>
      </w:r>
      <w:r>
        <w:rPr>
          <w:color w:val="231F20"/>
          <w:w w:val="110"/>
          <w:sz w:val="18"/>
        </w:rPr>
        <w:t>God</w:t>
      </w:r>
      <w:r>
        <w:rPr>
          <w:color w:val="231F20"/>
          <w:spacing w:val="-3"/>
          <w:w w:val="110"/>
          <w:sz w:val="18"/>
        </w:rPr>
        <w:t> </w:t>
      </w:r>
      <w:r>
        <w:rPr>
          <w:color w:val="231F20"/>
          <w:w w:val="110"/>
          <w:sz w:val="18"/>
        </w:rPr>
        <w:t>who</w:t>
      </w:r>
      <w:r>
        <w:rPr>
          <w:color w:val="231F20"/>
          <w:spacing w:val="-2"/>
          <w:w w:val="110"/>
          <w:sz w:val="18"/>
        </w:rPr>
        <w:t> </w:t>
      </w:r>
      <w:r>
        <w:rPr>
          <w:color w:val="231F20"/>
          <w:w w:val="110"/>
          <w:sz w:val="18"/>
        </w:rPr>
        <w:t>will</w:t>
      </w:r>
      <w:r>
        <w:rPr>
          <w:color w:val="231F20"/>
          <w:spacing w:val="-3"/>
          <w:w w:val="110"/>
          <w:sz w:val="18"/>
        </w:rPr>
        <w:t> </w:t>
      </w:r>
      <w:r>
        <w:rPr>
          <w:color w:val="231F20"/>
          <w:w w:val="110"/>
          <w:sz w:val="18"/>
        </w:rPr>
        <w:t>lead,</w:t>
      </w:r>
    </w:p>
    <w:p>
      <w:pPr>
        <w:pStyle w:val="BodyText"/>
        <w:spacing w:before="2"/>
        <w:ind w:left="1240"/>
      </w:pPr>
      <w:r>
        <w:rPr>
          <w:color w:val="231F20"/>
          <w:w w:val="110"/>
        </w:rPr>
        <w:t>it is God who has made and who will re-make, it is God who has called and will sustain.</w:t>
      </w:r>
    </w:p>
    <w:p>
      <w:pPr>
        <w:pStyle w:val="BodyText"/>
        <w:spacing w:before="2"/>
        <w:rPr>
          <w:sz w:val="23"/>
        </w:rPr>
      </w:pPr>
    </w:p>
    <w:p>
      <w:pPr>
        <w:pStyle w:val="ListParagraph"/>
        <w:numPr>
          <w:ilvl w:val="0"/>
          <w:numId w:val="8"/>
        </w:numPr>
        <w:tabs>
          <w:tab w:pos="1960" w:val="left" w:leader="none"/>
          <w:tab w:pos="1961" w:val="left" w:leader="none"/>
        </w:tabs>
        <w:spacing w:line="273" w:lineRule="auto" w:before="0" w:after="0"/>
        <w:ind w:left="1240" w:right="1692" w:firstLine="0"/>
        <w:jc w:val="left"/>
        <w:rPr>
          <w:sz w:val="18"/>
        </w:rPr>
      </w:pPr>
      <w:r>
        <w:rPr>
          <w:color w:val="231F20"/>
          <w:spacing w:val="-4"/>
          <w:w w:val="110"/>
          <w:sz w:val="18"/>
        </w:rPr>
        <w:t>We </w:t>
      </w:r>
      <w:r>
        <w:rPr>
          <w:color w:val="231F20"/>
          <w:w w:val="110"/>
          <w:sz w:val="18"/>
        </w:rPr>
        <w:t>shall be fruitful insofar as we are faithful and effective insofar as we are responsive. It is absolutely vital that we are </w:t>
      </w:r>
      <w:r>
        <w:rPr>
          <w:b/>
          <w:color w:val="231F20"/>
          <w:w w:val="110"/>
          <w:sz w:val="18"/>
        </w:rPr>
        <w:t>caught by the vision </w:t>
      </w:r>
      <w:r>
        <w:rPr>
          <w:color w:val="231F20"/>
          <w:w w:val="110"/>
          <w:sz w:val="18"/>
        </w:rPr>
        <w:t>even as we </w:t>
      </w:r>
      <w:r>
        <w:rPr>
          <w:color w:val="231F20"/>
          <w:spacing w:val="2"/>
          <w:w w:val="110"/>
          <w:sz w:val="18"/>
        </w:rPr>
        <w:t>try </w:t>
      </w:r>
      <w:r>
        <w:rPr>
          <w:color w:val="231F20"/>
          <w:w w:val="110"/>
          <w:sz w:val="18"/>
        </w:rPr>
        <w:t>to catch</w:t>
      </w:r>
      <w:r>
        <w:rPr>
          <w:color w:val="231F20"/>
          <w:spacing w:val="-4"/>
          <w:w w:val="110"/>
          <w:sz w:val="18"/>
        </w:rPr>
        <w:t> </w:t>
      </w:r>
      <w:r>
        <w:rPr>
          <w:color w:val="231F20"/>
          <w:w w:val="110"/>
          <w:sz w:val="18"/>
        </w:rPr>
        <w:t>it.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line="273" w:lineRule="auto" w:before="165"/>
        <w:ind w:left="1240" w:right="1510"/>
      </w:pPr>
      <w:r>
        <w:rPr>
          <w:b/>
          <w:color w:val="231F20"/>
          <w:spacing w:val="2"/>
          <w:w w:val="110"/>
        </w:rPr>
        <w:t>Retirements: </w:t>
      </w:r>
      <w:r>
        <w:rPr>
          <w:color w:val="231F20"/>
          <w:w w:val="110"/>
        </w:rPr>
        <w:t>During the year we have said farewell to Peter Poulter, who has </w:t>
      </w:r>
      <w:r>
        <w:rPr>
          <w:color w:val="231F20"/>
          <w:spacing w:val="2"/>
          <w:w w:val="110"/>
        </w:rPr>
        <w:t>served Northern </w:t>
      </w:r>
      <w:r>
        <w:rPr>
          <w:color w:val="231F20"/>
          <w:w w:val="110"/>
        </w:rPr>
        <w:t>Synod as Clerk and Moderator over the last </w:t>
      </w:r>
      <w:r>
        <w:rPr>
          <w:color w:val="231F20"/>
          <w:spacing w:val="-6"/>
          <w:w w:val="110"/>
        </w:rPr>
        <w:t>14 </w:t>
      </w:r>
      <w:r>
        <w:rPr>
          <w:color w:val="231F20"/>
          <w:w w:val="110"/>
        </w:rPr>
        <w:t>years; we have welcomed Rowena Francis among us in his stead. At this Assembly we shall bid farewell to Peter Brain, who has </w:t>
      </w:r>
      <w:r>
        <w:rPr>
          <w:color w:val="231F20"/>
          <w:spacing w:val="2"/>
          <w:w w:val="110"/>
        </w:rPr>
        <w:t>served </w:t>
      </w:r>
      <w:r>
        <w:rPr>
          <w:color w:val="231F20"/>
          <w:w w:val="110"/>
        </w:rPr>
        <w:t>the Assembly since 1990 as </w:t>
      </w:r>
      <w:r>
        <w:rPr>
          <w:color w:val="231F20"/>
          <w:spacing w:val="3"/>
          <w:w w:val="110"/>
        </w:rPr>
        <w:t>Secretary </w:t>
      </w:r>
      <w:r>
        <w:rPr>
          <w:color w:val="231F20"/>
          <w:w w:val="110"/>
        </w:rPr>
        <w:t>for Church and </w:t>
      </w:r>
      <w:r>
        <w:rPr>
          <w:color w:val="231F20"/>
          <w:spacing w:val="2"/>
          <w:w w:val="110"/>
        </w:rPr>
        <w:t>Society </w:t>
      </w:r>
      <w:r>
        <w:rPr>
          <w:color w:val="231F20"/>
          <w:w w:val="110"/>
        </w:rPr>
        <w:t>and latterly as Moderator in </w:t>
      </w:r>
      <w:r>
        <w:rPr>
          <w:color w:val="231F20"/>
          <w:spacing w:val="2"/>
          <w:w w:val="110"/>
        </w:rPr>
        <w:t>North </w:t>
      </w:r>
      <w:r>
        <w:rPr>
          <w:color w:val="231F20"/>
          <w:w w:val="110"/>
        </w:rPr>
        <w:t>Western Synod; we shall welcome Richard Church   as a colleague and</w:t>
      </w:r>
      <w:r>
        <w:rPr>
          <w:color w:val="231F20"/>
          <w:spacing w:val="4"/>
          <w:w w:val="110"/>
        </w:rPr>
        <w:t> </w:t>
      </w:r>
      <w:r>
        <w:rPr>
          <w:color w:val="231F20"/>
          <w:w w:val="110"/>
        </w:rPr>
        <w:t>companion.</w:t>
      </w:r>
    </w:p>
    <w:p>
      <w:pPr>
        <w:pStyle w:val="BodyText"/>
        <w:spacing w:before="10"/>
        <w:rPr>
          <w:sz w:val="21"/>
        </w:rPr>
      </w:pPr>
    </w:p>
    <w:p>
      <w:pPr>
        <w:spacing w:before="309"/>
        <w:ind w:left="107" w:right="0" w:firstLine="0"/>
        <w:jc w:val="center"/>
        <w:rPr>
          <w:i/>
          <w:sz w:val="24"/>
        </w:rPr>
      </w:pPr>
      <w:r>
        <w:rPr>
          <w:i/>
          <w:color w:val="231F20"/>
          <w:w w:val="600"/>
          <w:sz w:val="24"/>
        </w:rPr>
        <w:t>   </w:t>
      </w:r>
    </w:p>
    <w:p>
      <w:pPr>
        <w:spacing w:after="0"/>
        <w:jc w:val="center"/>
        <w:rPr>
          <w:sz w:val="24"/>
        </w:rPr>
        <w:sectPr>
          <w:headerReference w:type="default" r:id="rId43"/>
          <w:pgSz w:w="11910" w:h="16840"/>
          <w:pgMar w:header="0" w:footer="564" w:top="480" w:bottom="760" w:left="460" w:right="0"/>
        </w:sectPr>
      </w:pPr>
    </w:p>
    <w:p>
      <w:pPr>
        <w:pStyle w:val="BodyText"/>
        <w:spacing w:before="5"/>
        <w:rPr>
          <w:i/>
          <w:sz w:val="16"/>
        </w:rPr>
      </w:pPr>
    </w:p>
    <w:p>
      <w:pPr>
        <w:spacing w:after="0"/>
        <w:rPr>
          <w:sz w:val="16"/>
        </w:rPr>
        <w:sectPr>
          <w:headerReference w:type="even" r:id="rId44"/>
          <w:footerReference w:type="even" r:id="rId45"/>
          <w:footerReference w:type="default" r:id="rId46"/>
          <w:pgSz w:w="11910" w:h="16840"/>
          <w:pgMar w:header="0" w:footer="484" w:top="1580" w:bottom="680" w:left="460" w:right="0"/>
          <w:pgNumType w:start="28"/>
        </w:sectPr>
      </w:pPr>
    </w:p>
    <w:p>
      <w:pPr>
        <w:spacing w:line="237" w:lineRule="auto" w:before="77"/>
        <w:ind w:left="673" w:right="1593" w:firstLine="0"/>
        <w:jc w:val="left"/>
        <w:rPr>
          <w:b/>
          <w:sz w:val="56"/>
        </w:rPr>
      </w:pPr>
      <w:r>
        <w:rPr/>
        <w:pict>
          <v:shape style="position:absolute;margin-left:502.848297pt;margin-top:28.763615pt;width:73.1pt;height:754.75pt;mso-position-horizontal-relative:page;mso-position-vertical-relative:page;z-index:251698176" type="#_x0000_t202" filled="false" stroked="false">
            <v:textbox inset="0,0,0,0" style="layout-flow:vertical">
              <w:txbxContent>
                <w:p>
                  <w:pPr>
                    <w:spacing w:line="1032" w:lineRule="exact" w:before="20"/>
                    <w:ind w:left="20" w:right="0" w:firstLine="0"/>
                    <w:jc w:val="left"/>
                    <w:rPr>
                      <w:b/>
                      <w:sz w:val="88"/>
                    </w:rPr>
                  </w:pPr>
                  <w:r>
                    <w:rPr>
                      <w:b/>
                      <w:color w:val="231F20"/>
                      <w:sz w:val="88"/>
                    </w:rPr>
                    <w:t>Synod Resolutions &amp; Reports</w:t>
                  </w:r>
                </w:p>
                <w:p>
                  <w:pPr>
                    <w:spacing w:line="407"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z w:val="56"/>
        </w:rPr>
        <w:t>South Western Synod Resolutions</w:t>
      </w:r>
    </w:p>
    <w:p>
      <w:pPr>
        <w:pStyle w:val="BodyText"/>
        <w:rPr>
          <w:b/>
          <w:sz w:val="20"/>
        </w:rPr>
      </w:pPr>
    </w:p>
    <w:p>
      <w:pPr>
        <w:pStyle w:val="BodyText"/>
        <w:rPr>
          <w:b/>
          <w:sz w:val="20"/>
        </w:rPr>
      </w:pPr>
    </w:p>
    <w:p>
      <w:pPr>
        <w:spacing w:before="239"/>
        <w:ind w:left="719" w:right="0" w:firstLine="0"/>
        <w:jc w:val="left"/>
        <w:rPr>
          <w:b/>
          <w:sz w:val="29"/>
        </w:rPr>
      </w:pPr>
      <w:r>
        <w:rPr>
          <w:b/>
          <w:color w:val="231F20"/>
          <w:w w:val="110"/>
          <w:sz w:val="29"/>
        </w:rPr>
        <w:t>Retired Ministers’ Housing Society Funds</w:t>
      </w:r>
    </w:p>
    <w:p>
      <w:pPr>
        <w:pStyle w:val="BodyText"/>
        <w:spacing w:before="6"/>
        <w:rPr>
          <w:b/>
          <w:sz w:val="21"/>
        </w:rPr>
      </w:pPr>
      <w:r>
        <w:rPr/>
        <w:pict>
          <v:group style="position:absolute;margin-left:45.109032pt;margin-top:15.023821pt;width:454.1pt;height:199.75pt;mso-position-horizontal-relative:page;mso-position-vertical-relative:paragraph;z-index:-251623424;mso-wrap-distance-left:0;mso-wrap-distance-right:0" coordorigin="902,300" coordsize="9082,3995">
            <v:rect style="position:absolute;left:1204;top:741;width:4016;height:302" filled="true" fillcolor="#d8dadc" stroked="false">
              <v:fill type="solid"/>
            </v:rect>
            <v:rect style="position:absolute;left:1204;top:413;width:159;height:328" filled="true" fillcolor="#d8dadc" stroked="false">
              <v:fill type="solid"/>
            </v:rect>
            <v:line style="position:absolute" from="1205,408" to="5221,408" stroked="true" strokeweight=".6pt" strokecolor="#d8dadc">
              <v:stroke dashstyle="solid"/>
            </v:line>
            <v:rect style="position:absolute;left:4805;top:414;width:416;height:328" filled="true" fillcolor="#d8dadc" stroked="false">
              <v:fill type="solid"/>
            </v:rect>
            <v:rect style="position:absolute;left:1362;top:414;width:3443;height:328" filled="true" fillcolor="#d8dadc" stroked="false">
              <v:fill type="solid"/>
            </v:rect>
            <v:shape style="position:absolute;left:902;top:349;width:9082;height:3946" type="#_x0000_t75" stroked="false">
              <v:imagedata r:id="rId48" o:title=""/>
            </v:shape>
            <v:shape style="position:absolute;left:1318;top:300;width:3661;height:74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89"/>
                        <w:w w:val="111"/>
                        <w:sz w:val="43"/>
                      </w:rPr>
                      <w:t>N</w:t>
                    </w:r>
                    <w:r>
                      <w:rPr>
                        <w:b/>
                        <w:color w:val="231F20"/>
                        <w:w w:val="112"/>
                        <w:position w:val="-19"/>
                        <w:sz w:val="50"/>
                      </w:rPr>
                      <w:t>6</w:t>
                    </w:r>
                  </w:p>
                </w:txbxContent>
              </v:textbox>
              <w10:wrap type="none"/>
            </v:shape>
            <v:shape style="position:absolute;left:6437;top:740;width:3323;height:491" type="#_x0000_t202" filled="false" stroked="false">
              <v:textbox inset="0,0,0,0">
                <w:txbxContent>
                  <w:p>
                    <w:pPr>
                      <w:spacing w:line="241" w:lineRule="exact" w:before="0"/>
                      <w:ind w:left="0" w:right="18" w:firstLine="0"/>
                      <w:jc w:val="right"/>
                      <w:rPr>
                        <w:b/>
                        <w:sz w:val="20"/>
                      </w:rPr>
                    </w:pPr>
                    <w:r>
                      <w:rPr>
                        <w:b/>
                        <w:color w:val="231F20"/>
                        <w:w w:val="110"/>
                        <w:sz w:val="20"/>
                      </w:rPr>
                      <w:t>Retired Ministers’</w:t>
                    </w:r>
                    <w:r>
                      <w:rPr>
                        <w:b/>
                        <w:color w:val="231F20"/>
                        <w:spacing w:val="23"/>
                        <w:w w:val="110"/>
                        <w:sz w:val="20"/>
                      </w:rPr>
                      <w:t> </w:t>
                    </w:r>
                    <w:r>
                      <w:rPr>
                        <w:b/>
                        <w:color w:val="231F20"/>
                        <w:w w:val="110"/>
                        <w:sz w:val="20"/>
                      </w:rPr>
                      <w:t>Housing</w:t>
                    </w:r>
                  </w:p>
                  <w:p>
                    <w:pPr>
                      <w:spacing w:line="243" w:lineRule="exact" w:before="7"/>
                      <w:ind w:left="0" w:right="18" w:firstLine="0"/>
                      <w:jc w:val="right"/>
                      <w:rPr>
                        <w:b/>
                        <w:sz w:val="20"/>
                      </w:rPr>
                    </w:pPr>
                    <w:r>
                      <w:rPr>
                        <w:b/>
                        <w:color w:val="231F20"/>
                        <w:spacing w:val="2"/>
                        <w:w w:val="110"/>
                        <w:sz w:val="20"/>
                      </w:rPr>
                      <w:t>Society</w:t>
                    </w:r>
                    <w:r>
                      <w:rPr>
                        <w:b/>
                        <w:color w:val="231F20"/>
                        <w:w w:val="110"/>
                        <w:sz w:val="20"/>
                      </w:rPr>
                      <w:t> Funds</w:t>
                    </w:r>
                  </w:p>
                </w:txbxContent>
              </v:textbox>
              <w10:wrap type="none"/>
            </v:shape>
            <v:shape style="position:absolute;left:1179;top:1508;width:8544;height:2469" type="#_x0000_t202" filled="false" stroked="false">
              <v:textbox inset="0,0,0,0">
                <w:txbxContent>
                  <w:p>
                    <w:pPr>
                      <w:spacing w:line="273" w:lineRule="auto" w:before="0"/>
                      <w:ind w:left="0" w:right="0" w:firstLine="0"/>
                      <w:jc w:val="left"/>
                      <w:rPr>
                        <w:sz w:val="18"/>
                      </w:rPr>
                    </w:pPr>
                    <w:r>
                      <w:rPr>
                        <w:color w:val="231F20"/>
                        <w:w w:val="110"/>
                        <w:sz w:val="18"/>
                      </w:rPr>
                      <w:t>General Assembly expresses its deep concern at the extent to which the Retired Ministers’ Housing Society has found it necessary to borrow funds from the general funds of the United Reformed Church and urges Synods to donate 10% of the</w:t>
                    </w:r>
                  </w:p>
                  <w:p>
                    <w:pPr>
                      <w:spacing w:line="273" w:lineRule="auto" w:before="2"/>
                      <w:ind w:left="0" w:right="390" w:firstLine="0"/>
                      <w:jc w:val="left"/>
                      <w:rPr>
                        <w:sz w:val="18"/>
                      </w:rPr>
                    </w:pPr>
                    <w:r>
                      <w:rPr>
                        <w:color w:val="231F20"/>
                        <w:w w:val="110"/>
                        <w:sz w:val="18"/>
                      </w:rPr>
                      <w:t>net proceeds of any sale of redundant church property held by the Synod under Schedule 2 Part 1 of the United Reformed Church Trusts completed on or after 1st January 2007 and where there is no continuing congregation, to the Society to assist it to repay its borrowing in the shortest possible time.</w:t>
                    </w:r>
                  </w:p>
                  <w:p>
                    <w:pPr>
                      <w:spacing w:line="240" w:lineRule="auto" w:before="9"/>
                      <w:rPr>
                        <w:sz w:val="20"/>
                      </w:rPr>
                    </w:pPr>
                  </w:p>
                  <w:p>
                    <w:pPr>
                      <w:spacing w:line="273" w:lineRule="auto" w:before="0"/>
                      <w:ind w:left="4365" w:right="0" w:firstLine="0"/>
                      <w:jc w:val="left"/>
                      <w:rPr>
                        <w:i/>
                        <w:sz w:val="18"/>
                      </w:rPr>
                    </w:pPr>
                    <w:r>
                      <w:rPr>
                        <w:i/>
                        <w:color w:val="231F20"/>
                        <w:w w:val="110"/>
                        <w:sz w:val="18"/>
                      </w:rPr>
                      <w:t>Proposed: Revd David Grosch Miller </w:t>
                    </w:r>
                    <w:r>
                      <w:rPr>
                        <w:i/>
                        <w:color w:val="231F20"/>
                        <w:w w:val="110"/>
                        <w:sz w:val="18"/>
                      </w:rPr>
                      <w:t>Seconded: Revd Dick Gray</w:t>
                    </w:r>
                  </w:p>
                </w:txbxContent>
              </v:textbox>
              <w10:wrap type="none"/>
            </v:shape>
            <w10:wrap type="topAndBottom"/>
          </v:group>
        </w:pict>
      </w:r>
    </w:p>
    <w:p>
      <w:pPr>
        <w:pStyle w:val="BodyText"/>
        <w:spacing w:before="6"/>
        <w:rPr>
          <w:b/>
          <w:sz w:val="27"/>
        </w:rPr>
      </w:pPr>
    </w:p>
    <w:p>
      <w:pPr>
        <w:pStyle w:val="BodyText"/>
        <w:tabs>
          <w:tab w:pos="1399" w:val="left" w:leader="none"/>
        </w:tabs>
        <w:spacing w:line="273" w:lineRule="auto" w:before="100"/>
        <w:ind w:left="719" w:right="2373"/>
      </w:pPr>
      <w:r>
        <w:rPr>
          <w:color w:val="231F20"/>
          <w:spacing w:val="-5"/>
          <w:w w:val="110"/>
        </w:rPr>
        <w:t>1.1</w:t>
        <w:tab/>
      </w:r>
      <w:r>
        <w:rPr>
          <w:color w:val="231F20"/>
          <w:w w:val="110"/>
        </w:rPr>
        <w:t>The funds of the Retired Ministers’ Housing </w:t>
      </w:r>
      <w:r>
        <w:rPr>
          <w:color w:val="231F20"/>
          <w:spacing w:val="2"/>
          <w:w w:val="110"/>
        </w:rPr>
        <w:t>Society </w:t>
      </w:r>
      <w:r>
        <w:rPr>
          <w:color w:val="231F20"/>
          <w:w w:val="110"/>
        </w:rPr>
        <w:t>have been increasingly under pressure and this trend is not likely to change in the near future. Thus at   its</w:t>
      </w:r>
      <w:r>
        <w:rPr>
          <w:color w:val="231F20"/>
          <w:spacing w:val="11"/>
          <w:w w:val="110"/>
        </w:rPr>
        <w:t> </w:t>
      </w:r>
      <w:r>
        <w:rPr>
          <w:color w:val="231F20"/>
          <w:w w:val="110"/>
        </w:rPr>
        <w:t>meeting</w:t>
      </w:r>
      <w:r>
        <w:rPr>
          <w:color w:val="231F20"/>
          <w:spacing w:val="11"/>
          <w:w w:val="110"/>
        </w:rPr>
        <w:t> </w:t>
      </w:r>
      <w:r>
        <w:rPr>
          <w:color w:val="231F20"/>
          <w:w w:val="110"/>
        </w:rPr>
        <w:t>in</w:t>
      </w:r>
      <w:r>
        <w:rPr>
          <w:color w:val="231F20"/>
          <w:spacing w:val="11"/>
          <w:w w:val="110"/>
        </w:rPr>
        <w:t> </w:t>
      </w:r>
      <w:r>
        <w:rPr>
          <w:color w:val="231F20"/>
          <w:w w:val="110"/>
        </w:rPr>
        <w:t>March</w:t>
      </w:r>
      <w:r>
        <w:rPr>
          <w:color w:val="231F20"/>
          <w:spacing w:val="12"/>
          <w:w w:val="110"/>
        </w:rPr>
        <w:t> </w:t>
      </w:r>
      <w:r>
        <w:rPr>
          <w:color w:val="231F20"/>
          <w:spacing w:val="-7"/>
          <w:w w:val="110"/>
        </w:rPr>
        <w:t>2007,</w:t>
      </w:r>
      <w:r>
        <w:rPr>
          <w:color w:val="231F20"/>
          <w:spacing w:val="11"/>
          <w:w w:val="110"/>
        </w:rPr>
        <w:t> </w:t>
      </w:r>
      <w:r>
        <w:rPr>
          <w:color w:val="231F20"/>
          <w:w w:val="110"/>
        </w:rPr>
        <w:t>the</w:t>
      </w:r>
      <w:r>
        <w:rPr>
          <w:color w:val="231F20"/>
          <w:spacing w:val="11"/>
          <w:w w:val="110"/>
        </w:rPr>
        <w:t> </w:t>
      </w:r>
      <w:r>
        <w:rPr>
          <w:color w:val="231F20"/>
          <w:w w:val="110"/>
        </w:rPr>
        <w:t>South</w:t>
      </w:r>
      <w:r>
        <w:rPr>
          <w:color w:val="231F20"/>
          <w:spacing w:val="11"/>
          <w:w w:val="110"/>
        </w:rPr>
        <w:t> </w:t>
      </w:r>
      <w:r>
        <w:rPr>
          <w:color w:val="231F20"/>
          <w:w w:val="110"/>
        </w:rPr>
        <w:t>Western</w:t>
      </w:r>
      <w:r>
        <w:rPr>
          <w:color w:val="231F20"/>
          <w:spacing w:val="12"/>
          <w:w w:val="110"/>
        </w:rPr>
        <w:t> </w:t>
      </w:r>
      <w:r>
        <w:rPr>
          <w:color w:val="231F20"/>
          <w:w w:val="110"/>
        </w:rPr>
        <w:t>Synod</w:t>
      </w:r>
      <w:r>
        <w:rPr>
          <w:color w:val="231F20"/>
          <w:spacing w:val="11"/>
          <w:w w:val="110"/>
        </w:rPr>
        <w:t> </w:t>
      </w:r>
      <w:r>
        <w:rPr>
          <w:color w:val="231F20"/>
          <w:spacing w:val="2"/>
          <w:w w:val="110"/>
        </w:rPr>
        <w:t>expressed</w:t>
      </w:r>
      <w:r>
        <w:rPr>
          <w:color w:val="231F20"/>
          <w:spacing w:val="11"/>
          <w:w w:val="110"/>
        </w:rPr>
        <w:t> </w:t>
      </w:r>
      <w:r>
        <w:rPr>
          <w:color w:val="231F20"/>
          <w:w w:val="110"/>
        </w:rPr>
        <w:t>its</w:t>
      </w:r>
      <w:r>
        <w:rPr>
          <w:color w:val="231F20"/>
          <w:spacing w:val="12"/>
          <w:w w:val="110"/>
        </w:rPr>
        <w:t> </w:t>
      </w:r>
      <w:r>
        <w:rPr>
          <w:color w:val="231F20"/>
          <w:w w:val="110"/>
        </w:rPr>
        <w:t>concern</w:t>
      </w:r>
      <w:r>
        <w:rPr>
          <w:color w:val="231F20"/>
          <w:spacing w:val="11"/>
          <w:w w:val="110"/>
        </w:rPr>
        <w:t> </w:t>
      </w:r>
      <w:r>
        <w:rPr>
          <w:color w:val="231F20"/>
          <w:w w:val="110"/>
        </w:rPr>
        <w:t>at</w:t>
      </w:r>
      <w:r>
        <w:rPr>
          <w:color w:val="231F20"/>
          <w:spacing w:val="11"/>
          <w:w w:val="110"/>
        </w:rPr>
        <w:t> </w:t>
      </w:r>
      <w:r>
        <w:rPr>
          <w:color w:val="231F20"/>
          <w:w w:val="110"/>
        </w:rPr>
        <w:t>the</w:t>
      </w:r>
    </w:p>
    <w:p>
      <w:pPr>
        <w:pStyle w:val="BodyText"/>
        <w:spacing w:line="273" w:lineRule="auto" w:before="1"/>
        <w:ind w:left="719" w:right="2348"/>
      </w:pPr>
      <w:r>
        <w:rPr>
          <w:color w:val="231F20"/>
          <w:w w:val="110"/>
        </w:rPr>
        <w:t>situation and resolved to donate 10% of the net proceeds of any sale of redundant church property held by the Synod to the Society.</w:t>
      </w:r>
    </w:p>
    <w:p>
      <w:pPr>
        <w:pStyle w:val="BodyText"/>
        <w:rPr>
          <w:sz w:val="22"/>
        </w:rPr>
      </w:pPr>
    </w:p>
    <w:p>
      <w:pPr>
        <w:pStyle w:val="BodyText"/>
        <w:spacing w:before="3"/>
        <w:rPr>
          <w:sz w:val="19"/>
        </w:rPr>
      </w:pPr>
    </w:p>
    <w:p>
      <w:pPr>
        <w:pStyle w:val="Heading9"/>
        <w:ind w:left="719"/>
      </w:pPr>
      <w:r>
        <w:rPr>
          <w:color w:val="231F20"/>
          <w:w w:val="110"/>
        </w:rPr>
        <w:t>Retired Ministers’ Housing Guidelines</w:t>
      </w:r>
    </w:p>
    <w:p>
      <w:pPr>
        <w:pStyle w:val="BodyText"/>
        <w:spacing w:before="1"/>
        <w:rPr>
          <w:b/>
          <w:sz w:val="23"/>
        </w:rPr>
      </w:pPr>
      <w:r>
        <w:rPr/>
        <w:pict>
          <v:group style="position:absolute;margin-left:44.826591pt;margin-top:16.008949pt;width:454.1pt;height:161.2pt;mso-position-horizontal-relative:page;mso-position-vertical-relative:paragraph;z-index:-251619328;mso-wrap-distance-left:0;mso-wrap-distance-right:0" coordorigin="897,320" coordsize="9082,3224">
            <v:rect style="position:absolute;left:1199;top:761;width:4016;height:302" filled="true" fillcolor="#d8dadc" stroked="false">
              <v:fill type="solid"/>
            </v:rect>
            <v:rect style="position:absolute;left:1199;top:433;width:159;height:328" filled="true" fillcolor="#d8dadc" stroked="false">
              <v:fill type="solid"/>
            </v:rect>
            <v:line style="position:absolute" from="1199,428" to="5215,428" stroked="true" strokeweight=".6pt" strokecolor="#d8dadc">
              <v:stroke dashstyle="solid"/>
            </v:line>
            <v:rect style="position:absolute;left:4799;top:434;width:416;height:328" filled="true" fillcolor="#d8dadc" stroked="false">
              <v:fill type="solid"/>
            </v:rect>
            <v:rect style="position:absolute;left:1357;top:434;width:3443;height:328" filled="true" fillcolor="#d8dadc" stroked="false">
              <v:fill type="solid"/>
            </v:rect>
            <v:shape style="position:absolute;left:896;top:369;width:9082;height:3175" type="#_x0000_t75" stroked="false">
              <v:imagedata r:id="rId49" o:title=""/>
            </v:shape>
            <v:shape style="position:absolute;left:1312;top:320;width:3684;height:72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267"/>
                        <w:w w:val="111"/>
                        <w:sz w:val="43"/>
                      </w:rPr>
                      <w:t>N</w:t>
                    </w:r>
                    <w:r>
                      <w:rPr>
                        <w:b/>
                        <w:color w:val="231F20"/>
                        <w:w w:val="112"/>
                        <w:position w:val="-17"/>
                        <w:sz w:val="50"/>
                      </w:rPr>
                      <w:t>7</w:t>
                    </w:r>
                  </w:p>
                </w:txbxContent>
              </v:textbox>
              <w10:wrap type="none"/>
            </v:shape>
            <v:shape style="position:absolute;left:6437;top:740;width:3323;height:491" type="#_x0000_t202" filled="false" stroked="false">
              <v:textbox inset="0,0,0,0">
                <w:txbxContent>
                  <w:p>
                    <w:pPr>
                      <w:spacing w:line="241" w:lineRule="exact" w:before="0"/>
                      <w:ind w:left="0" w:right="18" w:firstLine="0"/>
                      <w:jc w:val="right"/>
                      <w:rPr>
                        <w:b/>
                        <w:sz w:val="20"/>
                      </w:rPr>
                    </w:pPr>
                    <w:r>
                      <w:rPr>
                        <w:b/>
                        <w:color w:val="231F20"/>
                        <w:w w:val="110"/>
                        <w:sz w:val="20"/>
                      </w:rPr>
                      <w:t>Retired Ministers’</w:t>
                    </w:r>
                    <w:r>
                      <w:rPr>
                        <w:b/>
                        <w:color w:val="231F20"/>
                        <w:spacing w:val="23"/>
                        <w:w w:val="110"/>
                        <w:sz w:val="20"/>
                      </w:rPr>
                      <w:t> </w:t>
                    </w:r>
                    <w:r>
                      <w:rPr>
                        <w:b/>
                        <w:color w:val="231F20"/>
                        <w:w w:val="110"/>
                        <w:sz w:val="20"/>
                      </w:rPr>
                      <w:t>Housing</w:t>
                    </w:r>
                  </w:p>
                  <w:p>
                    <w:pPr>
                      <w:spacing w:line="243" w:lineRule="exact" w:before="7"/>
                      <w:ind w:left="0" w:right="18" w:firstLine="0"/>
                      <w:jc w:val="right"/>
                      <w:rPr>
                        <w:b/>
                        <w:sz w:val="20"/>
                      </w:rPr>
                    </w:pPr>
                    <w:r>
                      <w:rPr>
                        <w:b/>
                        <w:color w:val="231F20"/>
                        <w:w w:val="110"/>
                        <w:sz w:val="20"/>
                      </w:rPr>
                      <w:t>Guidelines</w:t>
                    </w:r>
                  </w:p>
                </w:txbxContent>
              </v:textbox>
              <w10:wrap type="none"/>
            </v:shape>
            <v:shape style="position:absolute;left:1179;top:1508;width:8144;height:1719" type="#_x0000_t202" filled="false" stroked="false">
              <v:textbox inset="0,0,0,0">
                <w:txbxContent>
                  <w:p>
                    <w:pPr>
                      <w:spacing w:line="273" w:lineRule="auto" w:before="0"/>
                      <w:ind w:left="0" w:right="18" w:firstLine="0"/>
                      <w:jc w:val="left"/>
                      <w:rPr>
                        <w:sz w:val="18"/>
                      </w:rPr>
                    </w:pPr>
                    <w:r>
                      <w:rPr>
                        <w:color w:val="231F20"/>
                        <w:w w:val="110"/>
                        <w:sz w:val="18"/>
                      </w:rPr>
                      <w:t>General Assembly asks the Retired Ministers’ Housing Society to reconsider the guidelines for retirement housing in the light of changing circumstances, with especial consideration of ministers serving in part-time pastorates, and asks them to report back to the next General Assembly.</w:t>
                    </w:r>
                  </w:p>
                  <w:p>
                    <w:pPr>
                      <w:spacing w:line="240" w:lineRule="auto" w:before="9"/>
                      <w:rPr>
                        <w:sz w:val="20"/>
                      </w:rPr>
                    </w:pPr>
                  </w:p>
                  <w:p>
                    <w:pPr>
                      <w:spacing w:line="273" w:lineRule="auto" w:before="0"/>
                      <w:ind w:left="4320" w:right="18" w:firstLine="0"/>
                      <w:jc w:val="left"/>
                      <w:rPr>
                        <w:i/>
                        <w:sz w:val="18"/>
                      </w:rPr>
                    </w:pPr>
                    <w:r>
                      <w:rPr>
                        <w:i/>
                        <w:color w:val="231F20"/>
                        <w:w w:val="110"/>
                        <w:sz w:val="18"/>
                      </w:rPr>
                      <w:t>Proposed: Revd Stuart Nixon </w:t>
                    </w:r>
                    <w:r>
                      <w:rPr>
                        <w:i/>
                        <w:color w:val="231F20"/>
                        <w:w w:val="110"/>
                        <w:sz w:val="18"/>
                      </w:rPr>
                      <w:t>Seconded: Mrs Maria Mills</w:t>
                    </w:r>
                  </w:p>
                </w:txbxContent>
              </v:textbox>
              <w10:wrap type="none"/>
            </v:shape>
            <w10:wrap type="topAndBottom"/>
          </v:group>
        </w:pict>
      </w:r>
    </w:p>
    <w:p>
      <w:pPr>
        <w:pStyle w:val="BodyText"/>
        <w:spacing w:before="11"/>
        <w:rPr>
          <w:b/>
          <w:sz w:val="25"/>
        </w:rPr>
      </w:pPr>
    </w:p>
    <w:p>
      <w:pPr>
        <w:pStyle w:val="ListParagraph"/>
        <w:numPr>
          <w:ilvl w:val="1"/>
          <w:numId w:val="10"/>
        </w:numPr>
        <w:tabs>
          <w:tab w:pos="1439" w:val="left" w:leader="none"/>
          <w:tab w:pos="1440" w:val="left" w:leader="none"/>
        </w:tabs>
        <w:spacing w:line="273" w:lineRule="auto" w:before="100" w:after="0"/>
        <w:ind w:left="719" w:right="2279" w:firstLine="0"/>
        <w:jc w:val="left"/>
        <w:rPr>
          <w:sz w:val="18"/>
        </w:rPr>
      </w:pPr>
      <w:r>
        <w:rPr>
          <w:color w:val="231F20"/>
          <w:w w:val="110"/>
          <w:sz w:val="18"/>
        </w:rPr>
        <w:t>The United Reformed Church’s published guidelines on </w:t>
      </w:r>
      <w:r>
        <w:rPr>
          <w:color w:val="231F20"/>
          <w:spacing w:val="2"/>
          <w:w w:val="110"/>
          <w:sz w:val="18"/>
        </w:rPr>
        <w:t>retired </w:t>
      </w:r>
      <w:r>
        <w:rPr>
          <w:color w:val="231F20"/>
          <w:w w:val="110"/>
          <w:sz w:val="18"/>
        </w:rPr>
        <w:t>ministers’ housing contain anomalies which may exclude some long-serving ministers whilst including some who have </w:t>
      </w:r>
      <w:r>
        <w:rPr>
          <w:color w:val="231F20"/>
          <w:spacing w:val="2"/>
          <w:w w:val="110"/>
          <w:sz w:val="18"/>
        </w:rPr>
        <w:t>served </w:t>
      </w:r>
      <w:r>
        <w:rPr>
          <w:color w:val="231F20"/>
          <w:w w:val="110"/>
          <w:sz w:val="18"/>
        </w:rPr>
        <w:t>relatively briefly. Provision of housing for retired ministers is not an entitlement for every minister, but the United Reformed Church explicitly regards it as a matter of integrity that </w:t>
      </w:r>
      <w:r>
        <w:rPr>
          <w:color w:val="231F20"/>
          <w:spacing w:val="2"/>
          <w:w w:val="110"/>
          <w:sz w:val="18"/>
        </w:rPr>
        <w:t>retired </w:t>
      </w:r>
      <w:r>
        <w:rPr>
          <w:color w:val="231F20"/>
          <w:w w:val="110"/>
          <w:sz w:val="18"/>
        </w:rPr>
        <w:t>ministers and ministers’ widows should be adequately</w:t>
      </w:r>
      <w:r>
        <w:rPr>
          <w:color w:val="231F20"/>
          <w:spacing w:val="6"/>
          <w:w w:val="110"/>
          <w:sz w:val="18"/>
        </w:rPr>
        <w:t> </w:t>
      </w:r>
      <w:r>
        <w:rPr>
          <w:color w:val="231F20"/>
          <w:w w:val="110"/>
          <w:sz w:val="18"/>
        </w:rPr>
        <w:t>housed.</w:t>
      </w:r>
    </w:p>
    <w:p>
      <w:pPr>
        <w:spacing w:after="0" w:line="273" w:lineRule="auto"/>
        <w:jc w:val="left"/>
        <w:rPr>
          <w:sz w:val="18"/>
        </w:rPr>
        <w:sectPr>
          <w:headerReference w:type="default" r:id="rId47"/>
          <w:pgSz w:w="11910" w:h="16840"/>
          <w:pgMar w:header="0" w:footer="564" w:top="640" w:bottom="760" w:left="460" w:right="0"/>
        </w:sectPr>
      </w:pPr>
    </w:p>
    <w:p>
      <w:pPr>
        <w:pStyle w:val="BodyText"/>
        <w:spacing w:before="10"/>
        <w:rPr>
          <w:sz w:val="11"/>
        </w:rPr>
      </w:pPr>
    </w:p>
    <w:p>
      <w:pPr>
        <w:pStyle w:val="ListParagraph"/>
        <w:numPr>
          <w:ilvl w:val="1"/>
          <w:numId w:val="10"/>
        </w:numPr>
        <w:tabs>
          <w:tab w:pos="1393" w:val="left" w:leader="none"/>
          <w:tab w:pos="1394" w:val="left" w:leader="none"/>
        </w:tabs>
        <w:spacing w:line="273" w:lineRule="auto" w:before="101" w:after="0"/>
        <w:ind w:left="673" w:right="1861" w:firstLine="0"/>
        <w:jc w:val="left"/>
        <w:rPr>
          <w:sz w:val="18"/>
        </w:rPr>
      </w:pPr>
      <w:r>
        <w:rPr>
          <w:color w:val="231F20"/>
          <w:spacing w:val="2"/>
          <w:w w:val="110"/>
          <w:sz w:val="18"/>
        </w:rPr>
        <w:t>Section </w:t>
      </w:r>
      <w:r>
        <w:rPr>
          <w:color w:val="231F20"/>
          <w:spacing w:val="-7"/>
          <w:w w:val="110"/>
          <w:sz w:val="18"/>
        </w:rPr>
        <w:t>(4.2) </w:t>
      </w:r>
      <w:r>
        <w:rPr>
          <w:color w:val="231F20"/>
          <w:w w:val="110"/>
          <w:sz w:val="18"/>
        </w:rPr>
        <w:t>of the Guidelines states that in order for ministers to </w:t>
      </w:r>
      <w:r>
        <w:rPr>
          <w:color w:val="231F20"/>
          <w:spacing w:val="2"/>
          <w:w w:val="110"/>
          <w:sz w:val="18"/>
        </w:rPr>
        <w:t>satisfy </w:t>
      </w:r>
      <w:r>
        <w:rPr>
          <w:color w:val="231F20"/>
          <w:w w:val="110"/>
          <w:sz w:val="18"/>
        </w:rPr>
        <w:t>the  age criteria all applicants must have given either </w:t>
      </w:r>
      <w:r>
        <w:rPr>
          <w:color w:val="231F20"/>
          <w:spacing w:val="-3"/>
          <w:w w:val="110"/>
          <w:sz w:val="18"/>
        </w:rPr>
        <w:t>15 </w:t>
      </w:r>
      <w:r>
        <w:rPr>
          <w:color w:val="231F20"/>
          <w:w w:val="110"/>
          <w:sz w:val="18"/>
        </w:rPr>
        <w:t>years continuous full-time </w:t>
      </w:r>
      <w:r>
        <w:rPr>
          <w:color w:val="231F20"/>
          <w:spacing w:val="2"/>
          <w:w w:val="110"/>
          <w:sz w:val="18"/>
        </w:rPr>
        <w:t>service </w:t>
      </w:r>
      <w:r>
        <w:rPr>
          <w:color w:val="231F20"/>
          <w:w w:val="110"/>
          <w:sz w:val="18"/>
        </w:rPr>
        <w:t>immediately</w:t>
      </w:r>
      <w:r>
        <w:rPr>
          <w:color w:val="231F20"/>
          <w:spacing w:val="10"/>
          <w:w w:val="110"/>
          <w:sz w:val="18"/>
        </w:rPr>
        <w:t> </w:t>
      </w:r>
      <w:r>
        <w:rPr>
          <w:color w:val="231F20"/>
          <w:w w:val="110"/>
          <w:sz w:val="18"/>
        </w:rPr>
        <w:t>prior</w:t>
      </w:r>
      <w:r>
        <w:rPr>
          <w:color w:val="231F20"/>
          <w:spacing w:val="10"/>
          <w:w w:val="110"/>
          <w:sz w:val="18"/>
        </w:rPr>
        <w:t> </w:t>
      </w:r>
      <w:r>
        <w:rPr>
          <w:color w:val="231F20"/>
          <w:w w:val="110"/>
          <w:sz w:val="18"/>
        </w:rPr>
        <w:t>to</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retirement</w:t>
      </w:r>
      <w:r>
        <w:rPr>
          <w:color w:val="231F20"/>
          <w:spacing w:val="11"/>
          <w:w w:val="110"/>
          <w:sz w:val="18"/>
        </w:rPr>
        <w:t> </w:t>
      </w:r>
      <w:r>
        <w:rPr>
          <w:color w:val="231F20"/>
          <w:w w:val="110"/>
          <w:sz w:val="18"/>
        </w:rPr>
        <w:t>date</w:t>
      </w:r>
      <w:r>
        <w:rPr>
          <w:color w:val="231F20"/>
          <w:spacing w:val="10"/>
          <w:w w:val="110"/>
          <w:sz w:val="18"/>
        </w:rPr>
        <w:t> </w:t>
      </w:r>
      <w:r>
        <w:rPr>
          <w:color w:val="231F20"/>
          <w:w w:val="110"/>
          <w:sz w:val="18"/>
        </w:rPr>
        <w:t>agreed</w:t>
      </w:r>
      <w:r>
        <w:rPr>
          <w:color w:val="231F20"/>
          <w:spacing w:val="10"/>
          <w:w w:val="110"/>
          <w:sz w:val="18"/>
        </w:rPr>
        <w:t> </w:t>
      </w:r>
      <w:r>
        <w:rPr>
          <w:color w:val="231F20"/>
          <w:w w:val="110"/>
          <w:sz w:val="18"/>
        </w:rPr>
        <w:t>or</w:t>
      </w:r>
      <w:r>
        <w:rPr>
          <w:color w:val="231F20"/>
          <w:spacing w:val="11"/>
          <w:w w:val="110"/>
          <w:sz w:val="18"/>
        </w:rPr>
        <w:t> </w:t>
      </w:r>
      <w:r>
        <w:rPr>
          <w:color w:val="231F20"/>
          <w:w w:val="110"/>
          <w:sz w:val="18"/>
        </w:rPr>
        <w:t>a</w:t>
      </w:r>
      <w:r>
        <w:rPr>
          <w:color w:val="231F20"/>
          <w:spacing w:val="10"/>
          <w:w w:val="110"/>
          <w:sz w:val="18"/>
        </w:rPr>
        <w:t> </w:t>
      </w:r>
      <w:r>
        <w:rPr>
          <w:color w:val="231F20"/>
          <w:w w:val="110"/>
          <w:sz w:val="18"/>
        </w:rPr>
        <w:t>total</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25</w:t>
      </w:r>
      <w:r>
        <w:rPr>
          <w:color w:val="231F20"/>
          <w:spacing w:val="10"/>
          <w:w w:val="110"/>
          <w:sz w:val="18"/>
        </w:rPr>
        <w:t> </w:t>
      </w:r>
      <w:r>
        <w:rPr>
          <w:color w:val="231F20"/>
          <w:w w:val="110"/>
          <w:sz w:val="18"/>
        </w:rPr>
        <w:t>years</w:t>
      </w:r>
      <w:r>
        <w:rPr>
          <w:color w:val="231F20"/>
          <w:spacing w:val="11"/>
          <w:w w:val="110"/>
          <w:sz w:val="18"/>
        </w:rPr>
        <w:t> </w:t>
      </w:r>
      <w:r>
        <w:rPr>
          <w:color w:val="231F20"/>
          <w:w w:val="110"/>
          <w:sz w:val="18"/>
        </w:rPr>
        <w:t>full-time</w:t>
      </w:r>
      <w:r>
        <w:rPr>
          <w:color w:val="231F20"/>
          <w:spacing w:val="10"/>
          <w:w w:val="110"/>
          <w:sz w:val="18"/>
        </w:rPr>
        <w:t> </w:t>
      </w:r>
      <w:r>
        <w:rPr>
          <w:color w:val="231F20"/>
          <w:spacing w:val="2"/>
          <w:w w:val="110"/>
          <w:sz w:val="18"/>
        </w:rPr>
        <w:t>service.</w:t>
      </w:r>
    </w:p>
    <w:p>
      <w:pPr>
        <w:pStyle w:val="BodyText"/>
        <w:spacing w:before="8"/>
        <w:rPr>
          <w:sz w:val="20"/>
        </w:rPr>
      </w:pPr>
    </w:p>
    <w:p>
      <w:pPr>
        <w:pStyle w:val="ListParagraph"/>
        <w:numPr>
          <w:ilvl w:val="1"/>
          <w:numId w:val="10"/>
        </w:numPr>
        <w:tabs>
          <w:tab w:pos="1393" w:val="left" w:leader="none"/>
          <w:tab w:pos="1394" w:val="left" w:leader="none"/>
        </w:tabs>
        <w:spacing w:line="273" w:lineRule="auto" w:before="0" w:after="0"/>
        <w:ind w:left="673" w:right="1702" w:firstLine="0"/>
        <w:jc w:val="left"/>
        <w:rPr>
          <w:sz w:val="18"/>
        </w:rPr>
      </w:pPr>
      <w:r>
        <w:rPr>
          <w:color w:val="231F20"/>
          <w:spacing w:val="-3"/>
          <w:w w:val="110"/>
          <w:sz w:val="18"/>
        </w:rPr>
        <w:t>However, </w:t>
      </w:r>
      <w:r>
        <w:rPr>
          <w:color w:val="231F20"/>
          <w:w w:val="110"/>
          <w:sz w:val="18"/>
        </w:rPr>
        <w:t>there is currently an increase in the number of part-time pastorates,   and </w:t>
      </w:r>
      <w:r>
        <w:rPr>
          <w:color w:val="231F20"/>
          <w:spacing w:val="2"/>
          <w:w w:val="110"/>
          <w:sz w:val="18"/>
        </w:rPr>
        <w:t>therefore </w:t>
      </w:r>
      <w:r>
        <w:rPr>
          <w:color w:val="231F20"/>
          <w:w w:val="110"/>
          <w:sz w:val="18"/>
        </w:rPr>
        <w:t>an increasing likelihood of ministers falling outside the existing guidelines. By basing eligibility on full-time equivalent </w:t>
      </w:r>
      <w:r>
        <w:rPr>
          <w:color w:val="231F20"/>
          <w:spacing w:val="2"/>
          <w:w w:val="110"/>
          <w:sz w:val="18"/>
        </w:rPr>
        <w:t>service </w:t>
      </w:r>
      <w:r>
        <w:rPr>
          <w:color w:val="231F20"/>
          <w:w w:val="110"/>
          <w:sz w:val="18"/>
        </w:rPr>
        <w:t>rather than two </w:t>
      </w:r>
      <w:r>
        <w:rPr>
          <w:color w:val="231F20"/>
          <w:spacing w:val="2"/>
          <w:w w:val="110"/>
          <w:sz w:val="18"/>
        </w:rPr>
        <w:t>very </w:t>
      </w:r>
      <w:r>
        <w:rPr>
          <w:color w:val="231F20"/>
          <w:w w:val="110"/>
          <w:sz w:val="18"/>
        </w:rPr>
        <w:t>different periods of </w:t>
      </w:r>
      <w:r>
        <w:rPr>
          <w:color w:val="231F20"/>
          <w:spacing w:val="2"/>
          <w:w w:val="110"/>
          <w:sz w:val="18"/>
        </w:rPr>
        <w:t>service, </w:t>
      </w:r>
      <w:r>
        <w:rPr>
          <w:color w:val="231F20"/>
          <w:w w:val="110"/>
          <w:sz w:val="18"/>
        </w:rPr>
        <w:t>the guidelines would become fairer, so, for example, </w:t>
      </w:r>
      <w:r>
        <w:rPr>
          <w:color w:val="231F20"/>
          <w:spacing w:val="-4"/>
          <w:w w:val="110"/>
          <w:sz w:val="18"/>
        </w:rPr>
        <w:t>10 </w:t>
      </w:r>
      <w:r>
        <w:rPr>
          <w:color w:val="231F20"/>
          <w:w w:val="110"/>
          <w:sz w:val="18"/>
        </w:rPr>
        <w:t>years in a 50%  scoped part-time pastorate would be equivalent to 5 years full-time. It is thus requested that these guidelines be reviewed in the light of this to allow for the possibility of  ministers in part-time </w:t>
      </w:r>
      <w:r>
        <w:rPr>
          <w:color w:val="231F20"/>
          <w:spacing w:val="2"/>
          <w:w w:val="110"/>
          <w:sz w:val="18"/>
        </w:rPr>
        <w:t>service </w:t>
      </w:r>
      <w:r>
        <w:rPr>
          <w:color w:val="231F20"/>
          <w:w w:val="110"/>
          <w:sz w:val="18"/>
        </w:rPr>
        <w:t>being eligible for </w:t>
      </w:r>
      <w:r>
        <w:rPr>
          <w:color w:val="231F20"/>
          <w:spacing w:val="2"/>
          <w:w w:val="110"/>
          <w:sz w:val="18"/>
        </w:rPr>
        <w:t>retired </w:t>
      </w:r>
      <w:r>
        <w:rPr>
          <w:color w:val="231F20"/>
          <w:w w:val="110"/>
          <w:sz w:val="18"/>
        </w:rPr>
        <w:t>ministers’</w:t>
      </w:r>
      <w:r>
        <w:rPr>
          <w:color w:val="231F20"/>
          <w:spacing w:val="34"/>
          <w:w w:val="110"/>
          <w:sz w:val="18"/>
        </w:rPr>
        <w:t> </w:t>
      </w:r>
      <w:r>
        <w:rPr>
          <w:color w:val="231F20"/>
          <w:w w:val="110"/>
          <w:sz w:val="18"/>
        </w:rPr>
        <w:t>housing.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32"/>
        </w:rPr>
      </w:pPr>
    </w:p>
    <w:p>
      <w:pPr>
        <w:spacing w:before="0"/>
        <w:ind w:left="0" w:right="1175" w:firstLine="0"/>
        <w:jc w:val="center"/>
        <w:rPr>
          <w:i/>
          <w:sz w:val="24"/>
        </w:rPr>
      </w:pPr>
      <w:r>
        <w:rPr>
          <w:i/>
          <w:color w:val="231F20"/>
          <w:w w:val="600"/>
          <w:sz w:val="24"/>
        </w:rPr>
        <w:t>   </w:t>
      </w:r>
    </w:p>
    <w:p>
      <w:pPr>
        <w:spacing w:after="0"/>
        <w:jc w:val="center"/>
        <w:rPr>
          <w:sz w:val="24"/>
        </w:rPr>
        <w:sectPr>
          <w:headerReference w:type="even" r:id="rId50"/>
          <w:headerReference w:type="default" r:id="rId51"/>
          <w:footerReference w:type="even" r:id="rId52"/>
          <w:footerReference w:type="default" r:id="rId53"/>
          <w:pgSz w:w="11910" w:h="16840"/>
          <w:pgMar w:header="581" w:footer="484" w:top="860" w:bottom="680" w:left="460" w:right="0"/>
          <w:pgNumType w:start="30"/>
        </w:sectPr>
      </w:pPr>
    </w:p>
    <w:p>
      <w:pPr>
        <w:spacing w:before="22"/>
        <w:ind w:left="5341" w:right="0" w:firstLine="0"/>
        <w:jc w:val="left"/>
        <w:rPr>
          <w:b/>
          <w:sz w:val="56"/>
        </w:rPr>
      </w:pPr>
      <w:r>
        <w:rPr>
          <w:b/>
          <w:color w:val="231F20"/>
          <w:sz w:val="56"/>
        </w:rPr>
        <w:t>Yorkshire Synod</w:t>
      </w:r>
    </w:p>
    <w:p>
      <w:pPr>
        <w:pStyle w:val="BodyText"/>
        <w:spacing w:before="9"/>
        <w:rPr>
          <w:b/>
          <w:sz w:val="57"/>
        </w:rPr>
      </w:pPr>
    </w:p>
    <w:p>
      <w:pPr>
        <w:pStyle w:val="BodyText"/>
        <w:spacing w:line="273" w:lineRule="auto"/>
        <w:ind w:left="673" w:right="1107"/>
        <w:jc w:val="both"/>
      </w:pPr>
      <w:r>
        <w:rPr>
          <w:color w:val="231F20"/>
          <w:w w:val="110"/>
        </w:rPr>
        <w:t>1.1 A reduction in the number of members, crumbling buildings, few lay preachers and less ministers: a threat or an opportunity? In Yorkshire there are many signs that this situation has been seen as an </w:t>
      </w:r>
      <w:r>
        <w:rPr>
          <w:b/>
          <w:color w:val="231F20"/>
          <w:w w:val="110"/>
        </w:rPr>
        <w:t>opportunity</w:t>
      </w:r>
      <w:r>
        <w:rPr>
          <w:color w:val="231F20"/>
          <w:w w:val="110"/>
        </w:rPr>
        <w:t>.</w:t>
      </w:r>
    </w:p>
    <w:p>
      <w:pPr>
        <w:pStyle w:val="BodyText"/>
        <w:spacing w:before="8"/>
        <w:rPr>
          <w:sz w:val="20"/>
        </w:rPr>
      </w:pPr>
    </w:p>
    <w:p>
      <w:pPr>
        <w:pStyle w:val="Heading9"/>
        <w:ind w:left="673"/>
      </w:pPr>
      <w:r>
        <w:rPr>
          <w:color w:val="231F20"/>
          <w:w w:val="110"/>
        </w:rPr>
        <w:t>Our Structures</w:t>
      </w:r>
    </w:p>
    <w:p>
      <w:pPr>
        <w:pStyle w:val="ListParagraph"/>
        <w:numPr>
          <w:ilvl w:val="1"/>
          <w:numId w:val="11"/>
        </w:numPr>
        <w:tabs>
          <w:tab w:pos="1393" w:val="left" w:leader="none"/>
          <w:tab w:pos="1394" w:val="left" w:leader="none"/>
        </w:tabs>
        <w:spacing w:line="273" w:lineRule="auto" w:before="258" w:after="0"/>
        <w:ind w:left="673" w:right="1105" w:firstLine="0"/>
        <w:jc w:val="left"/>
        <w:rPr>
          <w:sz w:val="18"/>
        </w:rPr>
      </w:pPr>
      <w:r>
        <w:rPr>
          <w:color w:val="231F20"/>
          <w:w w:val="110"/>
          <w:sz w:val="18"/>
        </w:rPr>
        <w:t>In common with all Synods, we </w:t>
      </w:r>
      <w:r>
        <w:rPr>
          <w:color w:val="231F20"/>
          <w:spacing w:val="-3"/>
          <w:w w:val="110"/>
          <w:sz w:val="18"/>
        </w:rPr>
        <w:t>have </w:t>
      </w:r>
      <w:r>
        <w:rPr>
          <w:color w:val="231F20"/>
          <w:w w:val="110"/>
          <w:sz w:val="18"/>
        </w:rPr>
        <w:t>been thinking about our structures, building on decisions we made only three years ago to respond to the fact that we were often overburdened by structures and administrative demands whilst at the same time neglecting mission and the needs of the local church. At that time the Moderator reminded us of the call to</w:t>
      </w:r>
      <w:r>
        <w:rPr>
          <w:color w:val="231F20"/>
          <w:spacing w:val="-40"/>
          <w:w w:val="110"/>
          <w:sz w:val="18"/>
        </w:rPr>
        <w:t> </w:t>
      </w:r>
      <w:r>
        <w:rPr>
          <w:color w:val="231F20"/>
          <w:spacing w:val="-3"/>
          <w:w w:val="110"/>
          <w:sz w:val="18"/>
        </w:rPr>
        <w:t>be:</w:t>
      </w:r>
    </w:p>
    <w:p>
      <w:pPr>
        <w:pStyle w:val="BodyText"/>
        <w:spacing w:before="4"/>
      </w:pP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a Pilgrim</w:t>
      </w:r>
      <w:r>
        <w:rPr>
          <w:color w:val="231F20"/>
          <w:spacing w:val="1"/>
          <w:w w:val="110"/>
          <w:sz w:val="18"/>
        </w:rPr>
        <w:t> </w:t>
      </w:r>
      <w:r>
        <w:rPr>
          <w:color w:val="231F20"/>
          <w:w w:val="110"/>
          <w:sz w:val="18"/>
        </w:rPr>
        <w:t>Church</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a Missionary</w:t>
      </w:r>
      <w:r>
        <w:rPr>
          <w:color w:val="231F20"/>
          <w:spacing w:val="2"/>
          <w:w w:val="110"/>
          <w:sz w:val="18"/>
        </w:rPr>
        <w:t> </w:t>
      </w:r>
      <w:r>
        <w:rPr>
          <w:color w:val="231F20"/>
          <w:w w:val="110"/>
          <w:sz w:val="18"/>
        </w:rPr>
        <w:t>Church</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a Conciliar</w:t>
      </w:r>
      <w:r>
        <w:rPr>
          <w:color w:val="231F20"/>
          <w:spacing w:val="1"/>
          <w:w w:val="110"/>
          <w:sz w:val="18"/>
        </w:rPr>
        <w:t> </w:t>
      </w:r>
      <w:r>
        <w:rPr>
          <w:color w:val="231F20"/>
          <w:w w:val="110"/>
          <w:sz w:val="18"/>
        </w:rPr>
        <w:t>Church</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a Ministering</w:t>
      </w:r>
      <w:r>
        <w:rPr>
          <w:color w:val="231F20"/>
          <w:spacing w:val="1"/>
          <w:w w:val="110"/>
          <w:sz w:val="18"/>
        </w:rPr>
        <w:t> </w:t>
      </w:r>
      <w:r>
        <w:rPr>
          <w:color w:val="231F20"/>
          <w:w w:val="110"/>
          <w:sz w:val="18"/>
        </w:rPr>
        <w:t>Church.</w:t>
      </w:r>
    </w:p>
    <w:p>
      <w:pPr>
        <w:pStyle w:val="ListParagraph"/>
        <w:numPr>
          <w:ilvl w:val="1"/>
          <w:numId w:val="11"/>
        </w:numPr>
        <w:tabs>
          <w:tab w:pos="1393" w:val="left" w:leader="none"/>
          <w:tab w:pos="1394" w:val="left" w:leader="none"/>
        </w:tabs>
        <w:spacing w:line="273" w:lineRule="auto" w:before="226" w:after="0"/>
        <w:ind w:left="673" w:right="1113" w:firstLine="0"/>
        <w:jc w:val="left"/>
        <w:rPr>
          <w:sz w:val="18"/>
        </w:rPr>
      </w:pPr>
      <w:r>
        <w:rPr>
          <w:color w:val="231F20"/>
          <w:w w:val="110"/>
          <w:sz w:val="18"/>
        </w:rPr>
        <w:t>As we </w:t>
      </w:r>
      <w:r>
        <w:rPr>
          <w:color w:val="231F20"/>
          <w:spacing w:val="-3"/>
          <w:w w:val="110"/>
          <w:sz w:val="18"/>
        </w:rPr>
        <w:t>have </w:t>
      </w:r>
      <w:r>
        <w:rPr>
          <w:color w:val="231F20"/>
          <w:w w:val="110"/>
          <w:sz w:val="18"/>
        </w:rPr>
        <w:t>looked at the implications for our ‘New’ Synod these thoughts </w:t>
      </w:r>
      <w:r>
        <w:rPr>
          <w:color w:val="231F20"/>
          <w:spacing w:val="-3"/>
          <w:w w:val="110"/>
          <w:sz w:val="18"/>
        </w:rPr>
        <w:t>have </w:t>
      </w:r>
      <w:r>
        <w:rPr>
          <w:color w:val="231F20"/>
          <w:w w:val="110"/>
          <w:sz w:val="18"/>
        </w:rPr>
        <w:t>been very much in our minds and we </w:t>
      </w:r>
      <w:r>
        <w:rPr>
          <w:color w:val="231F20"/>
          <w:spacing w:val="-3"/>
          <w:w w:val="110"/>
          <w:sz w:val="18"/>
        </w:rPr>
        <w:t>have </w:t>
      </w:r>
      <w:r>
        <w:rPr>
          <w:color w:val="231F20"/>
          <w:w w:val="110"/>
          <w:sz w:val="18"/>
        </w:rPr>
        <w:t>continued to use this as an </w:t>
      </w:r>
      <w:r>
        <w:rPr>
          <w:b/>
          <w:color w:val="231F20"/>
          <w:w w:val="110"/>
          <w:sz w:val="18"/>
        </w:rPr>
        <w:t>opportunity </w:t>
      </w:r>
      <w:r>
        <w:rPr>
          <w:color w:val="231F20"/>
          <w:w w:val="110"/>
          <w:sz w:val="18"/>
        </w:rPr>
        <w:t>to seek to </w:t>
      </w:r>
      <w:r>
        <w:rPr>
          <w:color w:val="231F20"/>
          <w:spacing w:val="-3"/>
          <w:w w:val="110"/>
          <w:sz w:val="18"/>
        </w:rPr>
        <w:t>have </w:t>
      </w:r>
      <w:r>
        <w:rPr>
          <w:color w:val="231F20"/>
          <w:w w:val="110"/>
          <w:sz w:val="18"/>
        </w:rPr>
        <w:t>a structure which aims for freedom, trust and openness enabling creative energy to be channelled into the mission of the church. </w:t>
      </w:r>
      <w:r>
        <w:rPr>
          <w:color w:val="231F20"/>
          <w:spacing w:val="-4"/>
          <w:w w:val="110"/>
          <w:sz w:val="18"/>
        </w:rPr>
        <w:t>We </w:t>
      </w:r>
      <w:r>
        <w:rPr>
          <w:color w:val="231F20"/>
          <w:w w:val="110"/>
          <w:sz w:val="18"/>
        </w:rPr>
        <w:t>recognise also the need for clear aims, objectives and methods of working. There are some common elements related to the style of working which all committees and individual representatives aim to adhere to. </w:t>
      </w:r>
      <w:r>
        <w:rPr>
          <w:color w:val="231F20"/>
          <w:spacing w:val="2"/>
          <w:w w:val="110"/>
          <w:sz w:val="18"/>
        </w:rPr>
        <w:t>These</w:t>
      </w:r>
      <w:r>
        <w:rPr>
          <w:color w:val="231F20"/>
          <w:spacing w:val="26"/>
          <w:w w:val="110"/>
          <w:sz w:val="18"/>
        </w:rPr>
        <w:t> </w:t>
      </w:r>
      <w:r>
        <w:rPr>
          <w:color w:val="231F20"/>
          <w:w w:val="110"/>
          <w:sz w:val="18"/>
        </w:rPr>
        <w:t>include:</w:t>
      </w:r>
    </w:p>
    <w:p>
      <w:pPr>
        <w:pStyle w:val="BodyText"/>
        <w:spacing w:before="5"/>
      </w:pP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open and clear</w:t>
      </w:r>
      <w:r>
        <w:rPr>
          <w:color w:val="231F20"/>
          <w:spacing w:val="3"/>
          <w:w w:val="110"/>
          <w:sz w:val="18"/>
        </w:rPr>
        <w:t> </w:t>
      </w:r>
      <w:r>
        <w:rPr>
          <w:color w:val="231F20"/>
          <w:w w:val="110"/>
          <w:sz w:val="18"/>
        </w:rPr>
        <w:t>communication</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honest and frank expression and genuine</w:t>
      </w:r>
      <w:r>
        <w:rPr>
          <w:color w:val="231F20"/>
          <w:spacing w:val="11"/>
          <w:w w:val="110"/>
          <w:sz w:val="18"/>
        </w:rPr>
        <w:t> </w:t>
      </w:r>
      <w:r>
        <w:rPr>
          <w:color w:val="231F20"/>
          <w:w w:val="110"/>
          <w:sz w:val="18"/>
        </w:rPr>
        <w:t>listening</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consultation on sensitive</w:t>
      </w:r>
      <w:r>
        <w:rPr>
          <w:color w:val="231F20"/>
          <w:spacing w:val="3"/>
          <w:w w:val="110"/>
          <w:sz w:val="18"/>
        </w:rPr>
        <w:t> </w:t>
      </w:r>
      <w:r>
        <w:rPr>
          <w:color w:val="231F20"/>
          <w:w w:val="110"/>
          <w:sz w:val="18"/>
        </w:rPr>
        <w:t>issues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focus on what </w:t>
      </w:r>
      <w:r>
        <w:rPr>
          <w:color w:val="231F20"/>
          <w:spacing w:val="2"/>
          <w:w w:val="110"/>
          <w:sz w:val="18"/>
        </w:rPr>
        <w:t>matters </w:t>
      </w:r>
      <w:r>
        <w:rPr>
          <w:color w:val="231F20"/>
          <w:w w:val="110"/>
          <w:sz w:val="18"/>
        </w:rPr>
        <w:t>at local</w:t>
      </w:r>
      <w:r>
        <w:rPr>
          <w:color w:val="231F20"/>
          <w:spacing w:val="5"/>
          <w:w w:val="110"/>
          <w:sz w:val="18"/>
        </w:rPr>
        <w:t> </w:t>
      </w:r>
      <w:r>
        <w:rPr>
          <w:color w:val="231F20"/>
          <w:w w:val="110"/>
          <w:sz w:val="18"/>
        </w:rPr>
        <w:t>level</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informing the ‘local’ regarding relevant national, Synod and ecumenical</w:t>
      </w:r>
      <w:r>
        <w:rPr>
          <w:color w:val="231F20"/>
          <w:spacing w:val="41"/>
          <w:w w:val="110"/>
          <w:sz w:val="18"/>
        </w:rPr>
        <w:t> </w:t>
      </w:r>
      <w:r>
        <w:rPr>
          <w:color w:val="231F20"/>
          <w:w w:val="110"/>
          <w:sz w:val="18"/>
        </w:rPr>
        <w:t>initiatives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ensuring that </w:t>
      </w:r>
      <w:r>
        <w:rPr>
          <w:color w:val="231F20"/>
          <w:spacing w:val="2"/>
          <w:w w:val="110"/>
          <w:sz w:val="18"/>
        </w:rPr>
        <w:t>activity </w:t>
      </w:r>
      <w:r>
        <w:rPr>
          <w:color w:val="231F20"/>
          <w:w w:val="110"/>
          <w:sz w:val="18"/>
        </w:rPr>
        <w:t>relates to the Five Marks of</w:t>
      </w:r>
      <w:r>
        <w:rPr>
          <w:color w:val="231F20"/>
          <w:spacing w:val="16"/>
          <w:w w:val="110"/>
          <w:sz w:val="18"/>
        </w:rPr>
        <w:t> </w:t>
      </w:r>
      <w:r>
        <w:rPr>
          <w:color w:val="231F20"/>
          <w:w w:val="110"/>
          <w:sz w:val="18"/>
        </w:rPr>
        <w:t>Mission</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considering the ecumenical implications of any thinking or</w:t>
      </w:r>
      <w:r>
        <w:rPr>
          <w:color w:val="231F20"/>
          <w:spacing w:val="21"/>
          <w:w w:val="110"/>
          <w:sz w:val="18"/>
        </w:rPr>
        <w:t> </w:t>
      </w:r>
      <w:r>
        <w:rPr>
          <w:color w:val="231F20"/>
          <w:spacing w:val="2"/>
          <w:w w:val="110"/>
          <w:sz w:val="18"/>
        </w:rPr>
        <w:t>activity</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a recognition that people take </w:t>
      </w:r>
      <w:r>
        <w:rPr>
          <w:color w:val="231F20"/>
          <w:spacing w:val="2"/>
          <w:w w:val="110"/>
          <w:sz w:val="18"/>
        </w:rPr>
        <w:t>action </w:t>
      </w:r>
      <w:r>
        <w:rPr>
          <w:color w:val="231F20"/>
          <w:w w:val="110"/>
          <w:sz w:val="18"/>
        </w:rPr>
        <w:t>as authorized by their</w:t>
      </w:r>
      <w:r>
        <w:rPr>
          <w:color w:val="231F20"/>
          <w:spacing w:val="20"/>
          <w:w w:val="110"/>
          <w:sz w:val="18"/>
        </w:rPr>
        <w:t> </w:t>
      </w:r>
      <w:r>
        <w:rPr>
          <w:color w:val="231F20"/>
          <w:w w:val="110"/>
          <w:sz w:val="18"/>
        </w:rPr>
        <w:t>role</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an agreement that emergency action </w:t>
      </w:r>
      <w:r>
        <w:rPr>
          <w:color w:val="231F20"/>
          <w:spacing w:val="-3"/>
          <w:w w:val="110"/>
          <w:sz w:val="18"/>
        </w:rPr>
        <w:t>may </w:t>
      </w:r>
      <w:r>
        <w:rPr>
          <w:color w:val="231F20"/>
          <w:w w:val="110"/>
          <w:sz w:val="18"/>
        </w:rPr>
        <w:t>be necessary subject to early reporting</w:t>
      </w:r>
      <w:r>
        <w:rPr>
          <w:color w:val="231F20"/>
          <w:spacing w:val="-3"/>
          <w:w w:val="110"/>
          <w:sz w:val="18"/>
        </w:rPr>
        <w:t> </w:t>
      </w:r>
      <w:r>
        <w:rPr>
          <w:color w:val="231F20"/>
          <w:w w:val="110"/>
          <w:sz w:val="18"/>
        </w:rPr>
        <w:t>back.</w:t>
      </w:r>
    </w:p>
    <w:p>
      <w:pPr>
        <w:pStyle w:val="ListParagraph"/>
        <w:numPr>
          <w:ilvl w:val="1"/>
          <w:numId w:val="11"/>
        </w:numPr>
        <w:tabs>
          <w:tab w:pos="1393" w:val="left" w:leader="none"/>
          <w:tab w:pos="1394" w:val="left" w:leader="none"/>
        </w:tabs>
        <w:spacing w:line="273" w:lineRule="auto" w:before="226" w:after="0"/>
        <w:ind w:left="673" w:right="1087" w:firstLine="0"/>
        <w:jc w:val="left"/>
        <w:rPr>
          <w:sz w:val="18"/>
        </w:rPr>
      </w:pPr>
      <w:r>
        <w:rPr>
          <w:color w:val="231F20"/>
          <w:w w:val="110"/>
          <w:sz w:val="18"/>
        </w:rPr>
        <w:t>During the last three years </w:t>
      </w:r>
      <w:r>
        <w:rPr>
          <w:color w:val="231F20"/>
          <w:spacing w:val="2"/>
          <w:w w:val="110"/>
          <w:sz w:val="18"/>
        </w:rPr>
        <w:t>Districts </w:t>
      </w:r>
      <w:r>
        <w:rPr>
          <w:color w:val="231F20"/>
          <w:w w:val="110"/>
          <w:sz w:val="18"/>
        </w:rPr>
        <w:t>have been hard at work looking creatively at available </w:t>
      </w:r>
      <w:r>
        <w:rPr>
          <w:color w:val="231F20"/>
          <w:spacing w:val="2"/>
          <w:w w:val="110"/>
          <w:sz w:val="18"/>
        </w:rPr>
        <w:t>resources </w:t>
      </w:r>
      <w:r>
        <w:rPr>
          <w:color w:val="231F20"/>
          <w:w w:val="110"/>
          <w:sz w:val="18"/>
        </w:rPr>
        <w:t>of people and buildings, seeking </w:t>
      </w:r>
      <w:r>
        <w:rPr>
          <w:b/>
          <w:color w:val="231F20"/>
          <w:spacing w:val="2"/>
          <w:w w:val="110"/>
          <w:sz w:val="18"/>
        </w:rPr>
        <w:t>opportunities </w:t>
      </w:r>
      <w:r>
        <w:rPr>
          <w:color w:val="231F20"/>
          <w:w w:val="110"/>
          <w:sz w:val="18"/>
        </w:rPr>
        <w:t>to use these as </w:t>
      </w:r>
      <w:r>
        <w:rPr>
          <w:color w:val="231F20"/>
          <w:spacing w:val="2"/>
          <w:w w:val="110"/>
          <w:sz w:val="18"/>
        </w:rPr>
        <w:t>effectively </w:t>
      </w:r>
      <w:r>
        <w:rPr>
          <w:color w:val="231F20"/>
          <w:w w:val="110"/>
          <w:sz w:val="18"/>
        </w:rPr>
        <w:t>and efficiently as possible. </w:t>
      </w:r>
      <w:r>
        <w:rPr>
          <w:color w:val="231F20"/>
          <w:spacing w:val="2"/>
          <w:w w:val="110"/>
          <w:sz w:val="18"/>
        </w:rPr>
        <w:t>As </w:t>
      </w:r>
      <w:r>
        <w:rPr>
          <w:color w:val="231F20"/>
          <w:w w:val="110"/>
          <w:sz w:val="18"/>
        </w:rPr>
        <w:t>we move to becoming the ‘New’ Synod, and again building on   the work which has already been done, churches are considering how they may </w:t>
      </w:r>
      <w:r>
        <w:rPr>
          <w:color w:val="231F20"/>
          <w:spacing w:val="2"/>
          <w:w w:val="110"/>
          <w:sz w:val="18"/>
        </w:rPr>
        <w:t>best </w:t>
      </w:r>
      <w:r>
        <w:rPr>
          <w:color w:val="231F20"/>
          <w:w w:val="110"/>
          <w:sz w:val="18"/>
        </w:rPr>
        <w:t>group together into Mission and Care Groups for the discussion of plans and </w:t>
      </w:r>
      <w:r>
        <w:rPr>
          <w:b/>
          <w:color w:val="231F20"/>
          <w:spacing w:val="2"/>
          <w:w w:val="110"/>
          <w:sz w:val="18"/>
        </w:rPr>
        <w:t>opportunities </w:t>
      </w:r>
      <w:r>
        <w:rPr>
          <w:color w:val="231F20"/>
          <w:w w:val="110"/>
          <w:sz w:val="18"/>
        </w:rPr>
        <w:t>for mission, deciding what </w:t>
      </w:r>
      <w:r>
        <w:rPr>
          <w:color w:val="231F20"/>
          <w:spacing w:val="2"/>
          <w:w w:val="110"/>
          <w:sz w:val="18"/>
        </w:rPr>
        <w:t>resources </w:t>
      </w:r>
      <w:r>
        <w:rPr>
          <w:color w:val="231F20"/>
          <w:w w:val="110"/>
          <w:sz w:val="18"/>
        </w:rPr>
        <w:t>are needed and providing each other with pastoral </w:t>
      </w:r>
      <w:r>
        <w:rPr>
          <w:color w:val="231F20"/>
          <w:spacing w:val="2"/>
          <w:w w:val="110"/>
          <w:sz w:val="18"/>
        </w:rPr>
        <w:t>support </w:t>
      </w:r>
      <w:r>
        <w:rPr>
          <w:color w:val="231F20"/>
          <w:w w:val="110"/>
          <w:sz w:val="18"/>
        </w:rPr>
        <w:t>and encouragement. </w:t>
      </w:r>
      <w:r>
        <w:rPr>
          <w:color w:val="231F20"/>
          <w:spacing w:val="-3"/>
          <w:w w:val="110"/>
          <w:sz w:val="18"/>
        </w:rPr>
        <w:t>We </w:t>
      </w:r>
      <w:r>
        <w:rPr>
          <w:color w:val="231F20"/>
          <w:spacing w:val="2"/>
          <w:w w:val="110"/>
          <w:sz w:val="18"/>
        </w:rPr>
        <w:t>expect </w:t>
      </w:r>
      <w:r>
        <w:rPr>
          <w:color w:val="231F20"/>
          <w:w w:val="110"/>
          <w:sz w:val="18"/>
        </w:rPr>
        <w:t>these groups to range in size and composition depending on local circumstances, some will be geographical but others may be based on similar interests or contexts; flexibility is the key word together with responsiveness to the mission priorities and </w:t>
      </w:r>
      <w:r>
        <w:rPr>
          <w:b/>
          <w:color w:val="231F20"/>
          <w:spacing w:val="2"/>
          <w:w w:val="110"/>
          <w:sz w:val="18"/>
        </w:rPr>
        <w:t>opportunities </w:t>
      </w:r>
      <w:r>
        <w:rPr>
          <w:color w:val="231F20"/>
          <w:w w:val="110"/>
          <w:sz w:val="18"/>
        </w:rPr>
        <w:t>of the communities being served. </w:t>
      </w:r>
      <w:r>
        <w:rPr>
          <w:color w:val="231F20"/>
          <w:spacing w:val="-3"/>
          <w:w w:val="110"/>
          <w:sz w:val="18"/>
        </w:rPr>
        <w:t>We </w:t>
      </w:r>
      <w:r>
        <w:rPr>
          <w:color w:val="231F20"/>
          <w:w w:val="110"/>
          <w:sz w:val="18"/>
        </w:rPr>
        <w:t>accept that we will not always get it right first time round and that there will be a need for patience and a preparedness to forgive when things do not quite work out as</w:t>
      </w:r>
      <w:r>
        <w:rPr>
          <w:color w:val="231F20"/>
          <w:spacing w:val="10"/>
          <w:w w:val="110"/>
          <w:sz w:val="18"/>
        </w:rPr>
        <w:t> </w:t>
      </w:r>
      <w:r>
        <w:rPr>
          <w:color w:val="231F20"/>
          <w:w w:val="110"/>
          <w:sz w:val="18"/>
        </w:rPr>
        <w:t>expected.</w:t>
      </w:r>
    </w:p>
    <w:p>
      <w:pPr>
        <w:pStyle w:val="BodyText"/>
        <w:spacing w:before="2"/>
        <w:rPr>
          <w:sz w:val="21"/>
        </w:rPr>
      </w:pPr>
    </w:p>
    <w:p>
      <w:pPr>
        <w:pStyle w:val="ListParagraph"/>
        <w:numPr>
          <w:ilvl w:val="1"/>
          <w:numId w:val="11"/>
        </w:numPr>
        <w:tabs>
          <w:tab w:pos="1393" w:val="left" w:leader="none"/>
          <w:tab w:pos="1394" w:val="left" w:leader="none"/>
        </w:tabs>
        <w:spacing w:line="273" w:lineRule="auto" w:before="1" w:after="0"/>
        <w:ind w:left="673" w:right="1045" w:firstLine="0"/>
        <w:jc w:val="left"/>
        <w:rPr>
          <w:sz w:val="18"/>
        </w:rPr>
      </w:pPr>
      <w:r>
        <w:rPr>
          <w:color w:val="231F20"/>
          <w:w w:val="110"/>
          <w:sz w:val="18"/>
        </w:rPr>
        <w:t>Worship is central to the work and witness of any church and hard working pulpit supply </w:t>
      </w:r>
      <w:r>
        <w:rPr>
          <w:color w:val="231F20"/>
          <w:spacing w:val="2"/>
          <w:w w:val="110"/>
          <w:sz w:val="18"/>
        </w:rPr>
        <w:t>secretaries </w:t>
      </w:r>
      <w:r>
        <w:rPr>
          <w:color w:val="231F20"/>
          <w:w w:val="110"/>
          <w:sz w:val="18"/>
        </w:rPr>
        <w:t>encounter increasing difficulty in ‘finding a </w:t>
      </w:r>
      <w:r>
        <w:rPr>
          <w:color w:val="231F20"/>
          <w:spacing w:val="2"/>
          <w:w w:val="110"/>
          <w:sz w:val="18"/>
        </w:rPr>
        <w:t>preacher’ </w:t>
      </w:r>
      <w:r>
        <w:rPr>
          <w:color w:val="231F20"/>
          <w:w w:val="110"/>
          <w:sz w:val="18"/>
        </w:rPr>
        <w:t>for each </w:t>
      </w:r>
      <w:r>
        <w:rPr>
          <w:color w:val="231F20"/>
          <w:spacing w:val="-3"/>
          <w:w w:val="110"/>
          <w:sz w:val="18"/>
        </w:rPr>
        <w:t>Sunday. </w:t>
      </w:r>
      <w:r>
        <w:rPr>
          <w:color w:val="231F20"/>
          <w:w w:val="110"/>
          <w:sz w:val="18"/>
        </w:rPr>
        <w:t>This has resulted in an </w:t>
      </w:r>
      <w:r>
        <w:rPr>
          <w:b/>
          <w:color w:val="231F20"/>
          <w:spacing w:val="2"/>
          <w:w w:val="110"/>
          <w:sz w:val="18"/>
        </w:rPr>
        <w:t>opportunity </w:t>
      </w:r>
      <w:r>
        <w:rPr>
          <w:color w:val="231F20"/>
          <w:w w:val="110"/>
          <w:sz w:val="18"/>
        </w:rPr>
        <w:t>to create Worship </w:t>
      </w:r>
      <w:r>
        <w:rPr>
          <w:color w:val="231F20"/>
          <w:spacing w:val="-3"/>
          <w:w w:val="110"/>
          <w:sz w:val="18"/>
        </w:rPr>
        <w:t>Teams </w:t>
      </w:r>
      <w:r>
        <w:rPr>
          <w:color w:val="231F20"/>
          <w:w w:val="110"/>
          <w:sz w:val="18"/>
        </w:rPr>
        <w:t>in many churches, one of these teams   has </w:t>
      </w:r>
      <w:r>
        <w:rPr>
          <w:color w:val="231F20"/>
          <w:spacing w:val="2"/>
          <w:w w:val="110"/>
          <w:sz w:val="18"/>
        </w:rPr>
        <w:t>District </w:t>
      </w:r>
      <w:r>
        <w:rPr>
          <w:color w:val="231F20"/>
          <w:w w:val="110"/>
          <w:sz w:val="18"/>
        </w:rPr>
        <w:t>Accreditation and visits other churches as a team to lead worship. Other individual  or groups of churches are working with Preaching </w:t>
      </w:r>
      <w:r>
        <w:rPr>
          <w:color w:val="231F20"/>
          <w:spacing w:val="-3"/>
          <w:w w:val="110"/>
          <w:sz w:val="18"/>
        </w:rPr>
        <w:t>Teams </w:t>
      </w:r>
      <w:r>
        <w:rPr>
          <w:color w:val="231F20"/>
          <w:w w:val="110"/>
          <w:sz w:val="18"/>
        </w:rPr>
        <w:t>consisting of a number of Lay </w:t>
      </w:r>
      <w:r>
        <w:rPr>
          <w:color w:val="231F20"/>
          <w:spacing w:val="2"/>
          <w:w w:val="110"/>
          <w:sz w:val="18"/>
        </w:rPr>
        <w:t>Preachers </w:t>
      </w:r>
      <w:r>
        <w:rPr>
          <w:color w:val="231F20"/>
          <w:w w:val="110"/>
          <w:sz w:val="18"/>
        </w:rPr>
        <w:t>who commit themselves to a particular situation and who plan together to provide consistent and coherent teaching through Sunday</w:t>
      </w:r>
      <w:r>
        <w:rPr>
          <w:color w:val="231F20"/>
          <w:spacing w:val="13"/>
          <w:w w:val="110"/>
          <w:sz w:val="18"/>
        </w:rPr>
        <w:t> </w:t>
      </w:r>
      <w:r>
        <w:rPr>
          <w:color w:val="231F20"/>
          <w:w w:val="110"/>
          <w:sz w:val="18"/>
        </w:rPr>
        <w:t>worship.</w:t>
      </w:r>
    </w:p>
    <w:p>
      <w:pPr>
        <w:spacing w:after="0" w:line="273" w:lineRule="auto"/>
        <w:jc w:val="left"/>
        <w:rPr>
          <w:sz w:val="18"/>
        </w:rPr>
        <w:sectPr>
          <w:pgSz w:w="11910" w:h="16840"/>
          <w:pgMar w:header="527" w:footer="564" w:top="700" w:bottom="760" w:left="460" w:right="0"/>
        </w:sectPr>
      </w:pPr>
    </w:p>
    <w:p>
      <w:pPr>
        <w:pStyle w:val="BodyText"/>
        <w:spacing w:before="6"/>
        <w:rPr>
          <w:sz w:val="10"/>
        </w:rPr>
      </w:pPr>
    </w:p>
    <w:p>
      <w:pPr>
        <w:pStyle w:val="Heading9"/>
        <w:spacing w:line="244" w:lineRule="auto" w:before="98"/>
        <w:ind w:left="673" w:right="2550"/>
      </w:pPr>
      <w:r>
        <w:rPr>
          <w:color w:val="231F20"/>
          <w:w w:val="110"/>
        </w:rPr>
        <w:t>Stories which tell of opportunities for mission within communities</w:t>
      </w:r>
    </w:p>
    <w:p>
      <w:pPr>
        <w:pStyle w:val="ListParagraph"/>
        <w:numPr>
          <w:ilvl w:val="1"/>
          <w:numId w:val="12"/>
        </w:numPr>
        <w:tabs>
          <w:tab w:pos="1393" w:val="left" w:leader="none"/>
          <w:tab w:pos="1394" w:val="left" w:leader="none"/>
        </w:tabs>
        <w:spacing w:line="273" w:lineRule="auto" w:before="251" w:after="0"/>
        <w:ind w:left="673" w:right="2256" w:firstLine="0"/>
        <w:jc w:val="left"/>
        <w:rPr>
          <w:sz w:val="18"/>
        </w:rPr>
      </w:pPr>
      <w:r>
        <w:rPr>
          <w:color w:val="231F20"/>
          <w:spacing w:val="-3"/>
          <w:w w:val="110"/>
          <w:sz w:val="18"/>
        </w:rPr>
        <w:t>We </w:t>
      </w:r>
      <w:r>
        <w:rPr>
          <w:color w:val="231F20"/>
          <w:w w:val="110"/>
          <w:sz w:val="18"/>
        </w:rPr>
        <w:t>currently have two CRCW’s working in the Synod – the following account illustrates one of these</w:t>
      </w:r>
      <w:r>
        <w:rPr>
          <w:color w:val="231F20"/>
          <w:spacing w:val="5"/>
          <w:w w:val="110"/>
          <w:sz w:val="18"/>
        </w:rPr>
        <w:t> </w:t>
      </w:r>
      <w:r>
        <w:rPr>
          <w:color w:val="231F20"/>
          <w:w w:val="110"/>
          <w:sz w:val="18"/>
        </w:rPr>
        <w:t>ministries:</w:t>
      </w:r>
    </w:p>
    <w:p>
      <w:pPr>
        <w:pStyle w:val="BodyText"/>
        <w:rPr>
          <w:sz w:val="19"/>
        </w:rPr>
      </w:pPr>
    </w:p>
    <w:p>
      <w:pPr>
        <w:spacing w:before="1"/>
        <w:ind w:left="673" w:right="0" w:firstLine="0"/>
        <w:jc w:val="left"/>
        <w:rPr>
          <w:b/>
          <w:sz w:val="20"/>
        </w:rPr>
      </w:pPr>
      <w:r>
        <w:rPr>
          <w:b/>
          <w:color w:val="231F20"/>
          <w:w w:val="110"/>
          <w:sz w:val="20"/>
        </w:rPr>
        <w:t>CRCW post in Bradford since 2004</w:t>
      </w:r>
    </w:p>
    <w:p>
      <w:pPr>
        <w:pStyle w:val="BodyText"/>
        <w:spacing w:line="273" w:lineRule="auto" w:before="27"/>
        <w:ind w:left="673" w:right="1593"/>
      </w:pPr>
      <w:r>
        <w:rPr>
          <w:color w:val="231F20"/>
          <w:w w:val="110"/>
        </w:rPr>
        <w:t>Simon Loveitt’s brief is to engage in community development work alongside the church, with the communities around the St John’s Centre in Bradford. This is a racially diverse community, scoring highly on the various Governmental indices of deprivation.</w:t>
      </w:r>
    </w:p>
    <w:p>
      <w:pPr>
        <w:pStyle w:val="BodyText"/>
        <w:spacing w:before="8"/>
        <w:rPr>
          <w:sz w:val="20"/>
        </w:rPr>
      </w:pPr>
    </w:p>
    <w:p>
      <w:pPr>
        <w:pStyle w:val="BodyText"/>
        <w:spacing w:line="273" w:lineRule="auto" w:before="1"/>
        <w:ind w:left="673" w:right="1829"/>
      </w:pPr>
      <w:r>
        <w:rPr>
          <w:color w:val="231F20"/>
          <w:w w:val="110"/>
        </w:rPr>
        <w:t>The work is partnership based, engaging with many key local people and agencies trying to deliver more successfully a better place to live for the people of Bradford Moor.</w:t>
      </w:r>
    </w:p>
    <w:p>
      <w:pPr>
        <w:pStyle w:val="BodyText"/>
        <w:spacing w:before="8"/>
        <w:rPr>
          <w:sz w:val="20"/>
        </w:rPr>
      </w:pPr>
    </w:p>
    <w:p>
      <w:pPr>
        <w:pStyle w:val="BodyText"/>
        <w:ind w:left="673"/>
      </w:pPr>
      <w:r>
        <w:rPr>
          <w:color w:val="231F20"/>
          <w:w w:val="110"/>
        </w:rPr>
        <w:t>Some areas of work include:</w:t>
      </w:r>
    </w:p>
    <w:p>
      <w:pPr>
        <w:pStyle w:val="BodyText"/>
        <w:spacing w:line="273" w:lineRule="auto" w:before="31"/>
        <w:ind w:left="1033" w:right="2219"/>
      </w:pPr>
      <w:r>
        <w:rPr>
          <w:b/>
          <w:color w:val="231F20"/>
          <w:w w:val="110"/>
        </w:rPr>
        <w:t>Bradford Moor Anti-Crime Partnership </w:t>
      </w:r>
      <w:r>
        <w:rPr>
          <w:color w:val="231F20"/>
          <w:w w:val="110"/>
        </w:rPr>
        <w:t>– the CRCW is chair of a partnership comprising Councillors, Neighbourhood Police Team, Anti-Social Behaviour team, local community representatives.</w:t>
      </w:r>
    </w:p>
    <w:p>
      <w:pPr>
        <w:pStyle w:val="BodyText"/>
        <w:spacing w:before="9"/>
        <w:rPr>
          <w:sz w:val="20"/>
        </w:rPr>
      </w:pPr>
    </w:p>
    <w:p>
      <w:pPr>
        <w:pStyle w:val="BodyText"/>
        <w:spacing w:line="273" w:lineRule="auto"/>
        <w:ind w:left="1033" w:right="1727"/>
        <w:jc w:val="both"/>
      </w:pPr>
      <w:r>
        <w:rPr>
          <w:b/>
          <w:color w:val="231F20"/>
          <w:w w:val="110"/>
        </w:rPr>
        <w:t>Economy and Employment </w:t>
      </w:r>
      <w:r>
        <w:rPr>
          <w:color w:val="231F20"/>
          <w:w w:val="110"/>
        </w:rPr>
        <w:t>– involvement in Bradford’s successful Local Enterprise Growth Initiative application, a £62M scheme over 10 years, to encourage enterprise from the grass roots.</w:t>
      </w:r>
    </w:p>
    <w:p>
      <w:pPr>
        <w:pStyle w:val="BodyText"/>
        <w:spacing w:before="8"/>
        <w:rPr>
          <w:sz w:val="20"/>
        </w:rPr>
      </w:pPr>
    </w:p>
    <w:p>
      <w:pPr>
        <w:pStyle w:val="BodyText"/>
        <w:spacing w:line="273" w:lineRule="auto"/>
        <w:ind w:left="1033" w:right="2219"/>
      </w:pPr>
      <w:r>
        <w:rPr>
          <w:b/>
          <w:color w:val="231F20"/>
          <w:w w:val="110"/>
        </w:rPr>
        <w:t>Youth Work </w:t>
      </w:r>
      <w:r>
        <w:rPr>
          <w:color w:val="231F20"/>
          <w:w w:val="110"/>
        </w:rPr>
        <w:t>– lack of youth provision locally led to work with the youth service, police and other key agencies to discover current provision and gaps.</w:t>
      </w:r>
    </w:p>
    <w:p>
      <w:pPr>
        <w:pStyle w:val="BodyText"/>
        <w:spacing w:before="8"/>
        <w:rPr>
          <w:sz w:val="20"/>
        </w:rPr>
      </w:pPr>
    </w:p>
    <w:p>
      <w:pPr>
        <w:pStyle w:val="BodyText"/>
        <w:spacing w:line="273" w:lineRule="auto" w:before="1"/>
        <w:ind w:left="1033" w:right="1829"/>
      </w:pPr>
      <w:r>
        <w:rPr>
          <w:b/>
          <w:color w:val="231F20"/>
          <w:w w:val="110"/>
        </w:rPr>
        <w:t>Bradford Moor Park </w:t>
      </w:r>
      <w:r>
        <w:rPr>
          <w:color w:val="231F20"/>
          <w:w w:val="110"/>
        </w:rPr>
        <w:t>– the CRCW is chair of a group from a range of agencies who have successfully applied for £100,000 to replace the playground in Bradford Moor Park. The only park in Bradford where photos have been taken of children queuing to enter the playground! Planning for phase 2 is about to begin.</w:t>
      </w:r>
    </w:p>
    <w:p>
      <w:pPr>
        <w:pStyle w:val="BodyText"/>
        <w:spacing w:before="9"/>
        <w:rPr>
          <w:sz w:val="20"/>
        </w:rPr>
      </w:pPr>
    </w:p>
    <w:p>
      <w:pPr>
        <w:pStyle w:val="BodyText"/>
        <w:spacing w:line="273" w:lineRule="auto"/>
        <w:ind w:left="1033" w:right="1593"/>
      </w:pPr>
      <w:r>
        <w:rPr>
          <w:b/>
          <w:color w:val="231F20"/>
          <w:w w:val="110"/>
        </w:rPr>
        <w:t>Housing and Environment </w:t>
      </w:r>
      <w:r>
        <w:rPr>
          <w:color w:val="231F20"/>
          <w:w w:val="110"/>
        </w:rPr>
        <w:t>– Working with, and challenging Bradford Community Housing Trust (BCHT) to deliver a better quality of housing stock.</w:t>
      </w:r>
    </w:p>
    <w:p>
      <w:pPr>
        <w:pStyle w:val="BodyText"/>
        <w:spacing w:before="8"/>
        <w:rPr>
          <w:sz w:val="20"/>
        </w:rPr>
      </w:pPr>
    </w:p>
    <w:p>
      <w:pPr>
        <w:pStyle w:val="ListParagraph"/>
        <w:numPr>
          <w:ilvl w:val="1"/>
          <w:numId w:val="12"/>
        </w:numPr>
        <w:tabs>
          <w:tab w:pos="1393" w:val="left" w:leader="none"/>
          <w:tab w:pos="1394" w:val="left" w:leader="none"/>
        </w:tabs>
        <w:spacing w:line="273" w:lineRule="auto" w:before="0" w:after="0"/>
        <w:ind w:left="674" w:right="2122" w:hanging="1"/>
        <w:jc w:val="left"/>
        <w:rPr>
          <w:sz w:val="18"/>
        </w:rPr>
      </w:pPr>
      <w:r>
        <w:rPr>
          <w:color w:val="231F20"/>
          <w:spacing w:val="2"/>
          <w:w w:val="110"/>
          <w:sz w:val="18"/>
        </w:rPr>
        <w:t>There </w:t>
      </w:r>
      <w:r>
        <w:rPr>
          <w:color w:val="231F20"/>
          <w:w w:val="110"/>
          <w:sz w:val="18"/>
        </w:rPr>
        <w:t>are a number of Special </w:t>
      </w:r>
      <w:r>
        <w:rPr>
          <w:color w:val="231F20"/>
          <w:spacing w:val="2"/>
          <w:w w:val="110"/>
          <w:sz w:val="18"/>
        </w:rPr>
        <w:t>Category </w:t>
      </w:r>
      <w:r>
        <w:rPr>
          <w:color w:val="231F20"/>
          <w:w w:val="110"/>
          <w:sz w:val="18"/>
        </w:rPr>
        <w:t>Ministry </w:t>
      </w:r>
      <w:r>
        <w:rPr>
          <w:color w:val="231F20"/>
          <w:spacing w:val="2"/>
          <w:w w:val="110"/>
          <w:sz w:val="18"/>
        </w:rPr>
        <w:t>posts </w:t>
      </w:r>
      <w:r>
        <w:rPr>
          <w:color w:val="231F20"/>
          <w:w w:val="110"/>
          <w:sz w:val="18"/>
        </w:rPr>
        <w:t>throughout the synod. The following illustrate some of the</w:t>
      </w:r>
      <w:r>
        <w:rPr>
          <w:color w:val="231F20"/>
          <w:spacing w:val="10"/>
          <w:w w:val="110"/>
          <w:sz w:val="18"/>
        </w:rPr>
        <w:t> </w:t>
      </w:r>
      <w:r>
        <w:rPr>
          <w:color w:val="231F20"/>
          <w:w w:val="110"/>
          <w:sz w:val="18"/>
        </w:rPr>
        <w:t>diversity.</w:t>
      </w:r>
    </w:p>
    <w:p>
      <w:pPr>
        <w:pStyle w:val="BodyText"/>
        <w:rPr>
          <w:sz w:val="19"/>
        </w:rPr>
      </w:pPr>
    </w:p>
    <w:p>
      <w:pPr>
        <w:spacing w:before="0"/>
        <w:ind w:left="673" w:right="0" w:firstLine="0"/>
        <w:jc w:val="left"/>
        <w:rPr>
          <w:b/>
          <w:sz w:val="20"/>
        </w:rPr>
      </w:pPr>
      <w:r>
        <w:rPr>
          <w:b/>
          <w:color w:val="231F20"/>
          <w:w w:val="110"/>
          <w:sz w:val="20"/>
        </w:rPr>
        <w:t>Universities Chaplaincy in Leeds</w:t>
      </w:r>
    </w:p>
    <w:p>
      <w:pPr>
        <w:pStyle w:val="BodyText"/>
        <w:spacing w:line="273" w:lineRule="auto" w:before="27"/>
        <w:ind w:left="673" w:right="2009"/>
      </w:pPr>
      <w:r>
        <w:rPr>
          <w:color w:val="231F20"/>
          <w:w w:val="110"/>
        </w:rPr>
        <w:t>The United Reformed Chaplain to Higher Education in </w:t>
      </w:r>
      <w:r>
        <w:rPr>
          <w:color w:val="231F20"/>
          <w:spacing w:val="2"/>
          <w:w w:val="110"/>
        </w:rPr>
        <w:t>Leeds </w:t>
      </w:r>
      <w:r>
        <w:rPr>
          <w:color w:val="231F20"/>
          <w:w w:val="110"/>
        </w:rPr>
        <w:t>is a special </w:t>
      </w:r>
      <w:r>
        <w:rPr>
          <w:color w:val="231F20"/>
          <w:spacing w:val="2"/>
          <w:w w:val="110"/>
        </w:rPr>
        <w:t>category </w:t>
      </w:r>
      <w:r>
        <w:rPr>
          <w:color w:val="231F20"/>
          <w:w w:val="110"/>
        </w:rPr>
        <w:t>ministry post. It is unusual to have a fulltime URC HE chaplain, and this exists in </w:t>
      </w:r>
      <w:r>
        <w:rPr>
          <w:color w:val="231F20"/>
          <w:spacing w:val="2"/>
          <w:w w:val="110"/>
        </w:rPr>
        <w:t>Leeds because </w:t>
      </w:r>
      <w:r>
        <w:rPr>
          <w:color w:val="231F20"/>
          <w:w w:val="110"/>
        </w:rPr>
        <w:t>of the foresight of a local church [Headingley St Columba] in ring-fencing money in the 1980s to support student</w:t>
      </w:r>
      <w:r>
        <w:rPr>
          <w:color w:val="231F20"/>
          <w:spacing w:val="11"/>
          <w:w w:val="110"/>
        </w:rPr>
        <w:t> </w:t>
      </w:r>
      <w:r>
        <w:rPr>
          <w:color w:val="231F20"/>
          <w:w w:val="110"/>
        </w:rPr>
        <w:t>work.</w:t>
      </w:r>
    </w:p>
    <w:p>
      <w:pPr>
        <w:pStyle w:val="BodyText"/>
        <w:spacing w:line="273" w:lineRule="auto" w:before="3"/>
        <w:ind w:left="673" w:right="1829"/>
      </w:pPr>
      <w:r>
        <w:rPr>
          <w:color w:val="231F20"/>
          <w:w w:val="110"/>
        </w:rPr>
        <w:t>The chaplaincy is a strong ecumenical team that works  </w:t>
      </w:r>
      <w:r>
        <w:rPr>
          <w:color w:val="231F20"/>
          <w:spacing w:val="2"/>
          <w:w w:val="110"/>
        </w:rPr>
        <w:t>across </w:t>
      </w:r>
      <w:r>
        <w:rPr>
          <w:color w:val="231F20"/>
          <w:w w:val="110"/>
        </w:rPr>
        <w:t>both  universities  in Leeds, student population </w:t>
      </w:r>
      <w:r>
        <w:rPr>
          <w:color w:val="231F20"/>
          <w:spacing w:val="-4"/>
          <w:w w:val="110"/>
        </w:rPr>
        <w:t>65–70,000. </w:t>
      </w:r>
      <w:r>
        <w:rPr>
          <w:color w:val="231F20"/>
          <w:w w:val="110"/>
        </w:rPr>
        <w:t>The ecumenical dimension is real and latterly the United Reformed Church chaplain </w:t>
      </w:r>
      <w:r>
        <w:rPr>
          <w:color w:val="231F20"/>
          <w:spacing w:val="2"/>
          <w:w w:val="110"/>
        </w:rPr>
        <w:t>became </w:t>
      </w:r>
      <w:r>
        <w:rPr>
          <w:color w:val="231F20"/>
          <w:w w:val="110"/>
        </w:rPr>
        <w:t>the first non-Anglican to fulfill the role of co- ordinating chaplain. The work covers all the usual range of university chaplaincy with the last postholder’s work majoring on issues of global equity and sustainability initiating Global </w:t>
      </w:r>
      <w:r>
        <w:rPr>
          <w:color w:val="231F20"/>
          <w:spacing w:val="2"/>
          <w:w w:val="110"/>
        </w:rPr>
        <w:t>Perspectives </w:t>
      </w:r>
      <w:r>
        <w:rPr>
          <w:color w:val="231F20"/>
          <w:w w:val="110"/>
        </w:rPr>
        <w:t>in Higher Education </w:t>
      </w:r>
      <w:r>
        <w:rPr>
          <w:color w:val="231F20"/>
          <w:spacing w:val="2"/>
          <w:w w:val="110"/>
        </w:rPr>
        <w:t>Networks </w:t>
      </w:r>
      <w:r>
        <w:rPr>
          <w:color w:val="231F20"/>
          <w:w w:val="110"/>
        </w:rPr>
        <w:t>at </w:t>
      </w:r>
      <w:r>
        <w:rPr>
          <w:color w:val="231F20"/>
          <w:spacing w:val="2"/>
          <w:w w:val="110"/>
        </w:rPr>
        <w:t>Leeds </w:t>
      </w:r>
      <w:r>
        <w:rPr>
          <w:color w:val="231F20"/>
          <w:w w:val="110"/>
        </w:rPr>
        <w:t>Metropolitan</w:t>
      </w:r>
      <w:r>
        <w:rPr>
          <w:color w:val="231F20"/>
          <w:spacing w:val="69"/>
          <w:w w:val="110"/>
        </w:rPr>
        <w:t> </w:t>
      </w:r>
      <w:r>
        <w:rPr>
          <w:color w:val="231F20"/>
          <w:w w:val="110"/>
        </w:rPr>
        <w:t>University</w:t>
      </w:r>
    </w:p>
    <w:p>
      <w:pPr>
        <w:pStyle w:val="BodyText"/>
        <w:spacing w:line="273" w:lineRule="auto" w:before="4"/>
        <w:ind w:left="673" w:right="1829"/>
      </w:pPr>
      <w:r>
        <w:rPr>
          <w:color w:val="231F20"/>
          <w:w w:val="110"/>
        </w:rPr>
        <w:t>and UK wide as well as being module leader for modules on working as a global citizen and on spirituality and global issues.</w:t>
      </w:r>
    </w:p>
    <w:p>
      <w:pPr>
        <w:pStyle w:val="BodyText"/>
        <w:rPr>
          <w:sz w:val="19"/>
        </w:rPr>
      </w:pPr>
    </w:p>
    <w:p>
      <w:pPr>
        <w:spacing w:before="0"/>
        <w:ind w:left="673" w:right="0" w:firstLine="0"/>
        <w:jc w:val="left"/>
        <w:rPr>
          <w:b/>
          <w:sz w:val="20"/>
        </w:rPr>
      </w:pPr>
      <w:r>
        <w:rPr>
          <w:b/>
          <w:color w:val="231F20"/>
          <w:w w:val="110"/>
          <w:sz w:val="20"/>
        </w:rPr>
        <w:t>Workplace Chaplaincy</w:t>
      </w:r>
    </w:p>
    <w:p>
      <w:pPr>
        <w:pStyle w:val="BodyText"/>
        <w:spacing w:line="273" w:lineRule="auto" w:before="27"/>
        <w:ind w:left="673" w:right="1957"/>
      </w:pPr>
      <w:r>
        <w:rPr>
          <w:color w:val="231F20"/>
          <w:spacing w:val="2"/>
          <w:w w:val="110"/>
        </w:rPr>
        <w:t>There </w:t>
      </w:r>
      <w:r>
        <w:rPr>
          <w:color w:val="231F20"/>
          <w:w w:val="110"/>
        </w:rPr>
        <w:t>is one full time and one half-time Workplace Chaplain in the Synod. In South Yorkshire Bob Warwicker is a workplace chaplain. </w:t>
      </w:r>
      <w:r>
        <w:rPr>
          <w:color w:val="231F20"/>
          <w:spacing w:val="2"/>
          <w:w w:val="110"/>
        </w:rPr>
        <w:t>Part </w:t>
      </w:r>
      <w:r>
        <w:rPr>
          <w:color w:val="231F20"/>
          <w:w w:val="110"/>
        </w:rPr>
        <w:t>of this work involves the obvious things, visiting people in the workplace, talking and listening: specifically in this </w:t>
      </w:r>
      <w:r>
        <w:rPr>
          <w:color w:val="231F20"/>
          <w:spacing w:val="2"/>
          <w:w w:val="110"/>
        </w:rPr>
        <w:t>case </w:t>
      </w:r>
      <w:r>
        <w:rPr>
          <w:color w:val="231F20"/>
          <w:w w:val="110"/>
        </w:rPr>
        <w:t>going to Sheffield Forgemasters, who make large </w:t>
      </w:r>
      <w:r>
        <w:rPr>
          <w:color w:val="231F20"/>
          <w:spacing w:val="2"/>
          <w:w w:val="110"/>
        </w:rPr>
        <w:t>objects from </w:t>
      </w:r>
      <w:r>
        <w:rPr>
          <w:color w:val="231F20"/>
          <w:w w:val="110"/>
        </w:rPr>
        <w:t>forged and </w:t>
      </w:r>
      <w:r>
        <w:rPr>
          <w:color w:val="231F20"/>
          <w:spacing w:val="2"/>
          <w:w w:val="110"/>
        </w:rPr>
        <w:t>cast </w:t>
      </w:r>
      <w:r>
        <w:rPr>
          <w:color w:val="231F20"/>
          <w:w w:val="110"/>
        </w:rPr>
        <w:t>steel, and produce steel for forging</w:t>
      </w:r>
      <w:r>
        <w:rPr>
          <w:color w:val="231F20"/>
          <w:spacing w:val="9"/>
          <w:w w:val="110"/>
        </w:rPr>
        <w:t> </w:t>
      </w:r>
      <w:r>
        <w:rPr>
          <w:color w:val="231F20"/>
          <w:w w:val="110"/>
        </w:rPr>
        <w:t>elsewhere.</w:t>
      </w:r>
    </w:p>
    <w:p>
      <w:pPr>
        <w:spacing w:after="0" w:line="273" w:lineRule="auto"/>
        <w:sectPr>
          <w:pgSz w:w="11910" w:h="16840"/>
          <w:pgMar w:header="581" w:footer="484" w:top="860" w:bottom="760" w:left="460" w:right="0"/>
        </w:sectPr>
      </w:pPr>
    </w:p>
    <w:p>
      <w:pPr>
        <w:pStyle w:val="BodyText"/>
        <w:spacing w:before="9"/>
        <w:rPr>
          <w:sz w:val="13"/>
        </w:rPr>
      </w:pPr>
    </w:p>
    <w:p>
      <w:pPr>
        <w:pStyle w:val="BodyText"/>
        <w:spacing w:line="273" w:lineRule="auto" w:before="101"/>
        <w:ind w:left="1240" w:right="1143"/>
      </w:pPr>
      <w:r>
        <w:rPr>
          <w:color w:val="231F20"/>
          <w:w w:val="110"/>
        </w:rPr>
        <w:t>But there is more to it than that. Bob is also the chaplain to marginal workers, i.e. people whose work is low paid, part time or insecure. These are often people whose workplace managers do not welcome a chaplain. Other ways have to be found of making contact.</w:t>
      </w:r>
    </w:p>
    <w:p>
      <w:pPr>
        <w:pStyle w:val="BodyText"/>
        <w:spacing w:line="273" w:lineRule="auto" w:before="1"/>
        <w:ind w:left="1240" w:right="1143"/>
      </w:pPr>
      <w:r>
        <w:rPr>
          <w:color w:val="231F20"/>
          <w:w w:val="110"/>
        </w:rPr>
        <w:t>Over the years, this has involved handing out cards about the national minimum wage to office cleaners in Sheffield, taking part in an embryonic Living Wage campaign in south Yorkshire, trying to contact outworkers in southeast Sheffield, and so on.</w:t>
      </w:r>
    </w:p>
    <w:p>
      <w:pPr>
        <w:pStyle w:val="BodyText"/>
        <w:spacing w:line="273" w:lineRule="auto" w:before="2"/>
        <w:ind w:left="1240" w:right="1593"/>
      </w:pPr>
      <w:r>
        <w:rPr>
          <w:color w:val="231F20"/>
          <w:w w:val="110"/>
        </w:rPr>
        <w:t>Other activities include co-editing “IMAgenda”, the trade magazine for people who do Industrial Mission.</w:t>
      </w:r>
    </w:p>
    <w:p>
      <w:pPr>
        <w:pStyle w:val="BodyText"/>
        <w:spacing w:before="2"/>
        <w:ind w:left="1240"/>
      </w:pPr>
      <w:r>
        <w:rPr>
          <w:color w:val="231F20"/>
          <w:w w:val="110"/>
        </w:rPr>
        <w:t>This is all done as part of an ecumenical team based in the Sheffield office: a rewarding</w:t>
      </w:r>
    </w:p>
    <w:p>
      <w:pPr>
        <w:pStyle w:val="BodyText"/>
        <w:spacing w:before="31"/>
        <w:ind w:left="1240"/>
      </w:pPr>
      <w:r>
        <w:rPr>
          <w:color w:val="231F20"/>
          <w:w w:val="110"/>
        </w:rPr>
        <w:t>and happy way to work.</w:t>
      </w:r>
    </w:p>
    <w:p>
      <w:pPr>
        <w:pStyle w:val="BodyText"/>
        <w:spacing w:before="5"/>
        <w:rPr>
          <w:sz w:val="21"/>
        </w:rPr>
      </w:pPr>
    </w:p>
    <w:p>
      <w:pPr>
        <w:spacing w:before="1"/>
        <w:ind w:left="1240" w:right="0" w:firstLine="0"/>
        <w:jc w:val="left"/>
        <w:rPr>
          <w:b/>
          <w:sz w:val="20"/>
        </w:rPr>
      </w:pPr>
      <w:r>
        <w:rPr>
          <w:b/>
          <w:color w:val="231F20"/>
          <w:w w:val="110"/>
          <w:sz w:val="20"/>
        </w:rPr>
        <w:t>Flanshaw United Reformed Church – Wakefield</w:t>
      </w:r>
    </w:p>
    <w:p>
      <w:pPr>
        <w:spacing w:before="7"/>
        <w:ind w:left="1240" w:right="0" w:firstLine="0"/>
        <w:jc w:val="left"/>
        <w:rPr>
          <w:b/>
          <w:sz w:val="20"/>
        </w:rPr>
      </w:pPr>
      <w:r>
        <w:rPr>
          <w:b/>
          <w:color w:val="231F20"/>
          <w:w w:val="110"/>
          <w:sz w:val="20"/>
        </w:rPr>
        <w:t>January 2006–January 2011</w:t>
      </w:r>
    </w:p>
    <w:p>
      <w:pPr>
        <w:pStyle w:val="BodyText"/>
        <w:spacing w:before="27"/>
        <w:ind w:left="1240"/>
      </w:pPr>
      <w:r>
        <w:rPr>
          <w:color w:val="231F20"/>
          <w:w w:val="110"/>
        </w:rPr>
        <w:t>“Say– when is the Archbishop coming?”</w:t>
      </w:r>
    </w:p>
    <w:p>
      <w:pPr>
        <w:pStyle w:val="BodyText"/>
        <w:spacing w:line="273" w:lineRule="auto" w:before="31"/>
        <w:ind w:left="1240" w:right="1510"/>
      </w:pPr>
      <w:r>
        <w:rPr>
          <w:color w:val="231F20"/>
          <w:w w:val="110"/>
        </w:rPr>
        <w:t>These words were uttered by a member of the local community as Moderator of General Assembly, Liz Caswell, was at the Flanshaw Carer and Toddler Funday. In fact ‘the Archbishop’, as we had called her, was just leaving.</w:t>
      </w:r>
    </w:p>
    <w:p>
      <w:pPr>
        <w:spacing w:before="2"/>
        <w:ind w:left="1240" w:right="0" w:firstLine="0"/>
        <w:jc w:val="left"/>
        <w:rPr>
          <w:i/>
          <w:sz w:val="18"/>
        </w:rPr>
      </w:pPr>
      <w:r>
        <w:rPr>
          <w:i/>
          <w:color w:val="231F20"/>
          <w:w w:val="110"/>
          <w:sz w:val="18"/>
        </w:rPr>
        <w:t>“She was so normal”.</w:t>
      </w:r>
    </w:p>
    <w:p>
      <w:pPr>
        <w:pStyle w:val="BodyText"/>
        <w:spacing w:before="1"/>
        <w:rPr>
          <w:i/>
          <w:sz w:val="23"/>
        </w:rPr>
      </w:pPr>
    </w:p>
    <w:p>
      <w:pPr>
        <w:pStyle w:val="BodyText"/>
        <w:spacing w:line="273" w:lineRule="auto" w:before="1"/>
        <w:ind w:left="1240" w:right="1353"/>
        <w:jc w:val="both"/>
      </w:pPr>
      <w:r>
        <w:rPr>
          <w:color w:val="231F20"/>
          <w:w w:val="110"/>
        </w:rPr>
        <w:t>Such was the encounter of locals with Liz and that really sums up what the initial work has been about in this Special Category Ministry post. Showing that church people can be just so normal.</w:t>
      </w:r>
    </w:p>
    <w:p>
      <w:pPr>
        <w:pStyle w:val="BodyText"/>
        <w:spacing w:line="273" w:lineRule="auto" w:before="1"/>
        <w:ind w:left="1240" w:right="1593"/>
      </w:pPr>
      <w:r>
        <w:rPr>
          <w:color w:val="231F20"/>
          <w:w w:val="110"/>
        </w:rPr>
        <w:t>50% of the post’s time is working outside the usual church boundaries on the three estates where low levels of literacy and self confidence abound. Where recently there has been no real positive input from established churches. So bridges are being built and the first tenuous steps are being taken on to them.</w:t>
      </w:r>
    </w:p>
    <w:p>
      <w:pPr>
        <w:pStyle w:val="BodyText"/>
        <w:spacing w:line="273" w:lineRule="auto" w:before="3"/>
        <w:ind w:left="1240" w:right="1365"/>
      </w:pPr>
      <w:r>
        <w:rPr>
          <w:color w:val="231F20"/>
          <w:w w:val="110"/>
        </w:rPr>
        <w:t>This works both ways – for church and for community. Both groups of people feeling cautious and uncertain about what they can offer each other. Both groups recognising they have much to offer each other – more so because they overlap.</w:t>
      </w:r>
    </w:p>
    <w:p>
      <w:pPr>
        <w:pStyle w:val="BodyText"/>
        <w:spacing w:before="2"/>
        <w:ind w:left="1240"/>
      </w:pPr>
      <w:r>
        <w:rPr>
          <w:color w:val="231F20"/>
          <w:w w:val="110"/>
        </w:rPr>
        <w:t>Tentative early days, not too rushed but being allowed to serve gently and with hope.</w:t>
      </w:r>
    </w:p>
    <w:p>
      <w:pPr>
        <w:pStyle w:val="BodyText"/>
        <w:spacing w:before="1"/>
        <w:rPr>
          <w:sz w:val="23"/>
        </w:rPr>
      </w:pPr>
    </w:p>
    <w:p>
      <w:pPr>
        <w:pStyle w:val="ListParagraph"/>
        <w:numPr>
          <w:ilvl w:val="1"/>
          <w:numId w:val="12"/>
        </w:numPr>
        <w:tabs>
          <w:tab w:pos="1960" w:val="left" w:leader="none"/>
          <w:tab w:pos="1961" w:val="left" w:leader="none"/>
        </w:tabs>
        <w:spacing w:line="273" w:lineRule="auto" w:before="1" w:after="0"/>
        <w:ind w:left="1240" w:right="2170" w:firstLine="0"/>
        <w:jc w:val="left"/>
        <w:rPr>
          <w:sz w:val="18"/>
        </w:rPr>
      </w:pPr>
      <w:r>
        <w:rPr>
          <w:color w:val="231F20"/>
          <w:w w:val="110"/>
          <w:sz w:val="18"/>
        </w:rPr>
        <w:t>Many of our churches are </w:t>
      </w:r>
      <w:r>
        <w:rPr>
          <w:color w:val="231F20"/>
          <w:spacing w:val="2"/>
          <w:w w:val="110"/>
          <w:sz w:val="18"/>
        </w:rPr>
        <w:t>serving </w:t>
      </w:r>
      <w:r>
        <w:rPr>
          <w:color w:val="231F20"/>
          <w:w w:val="110"/>
          <w:sz w:val="18"/>
        </w:rPr>
        <w:t>their communities with or without the involvement of ordained ministry – two examples can be found</w:t>
      </w:r>
      <w:r>
        <w:rPr>
          <w:color w:val="231F20"/>
          <w:spacing w:val="44"/>
          <w:w w:val="110"/>
          <w:sz w:val="18"/>
        </w:rPr>
        <w:t> </w:t>
      </w:r>
      <w:r>
        <w:rPr>
          <w:color w:val="231F20"/>
          <w:spacing w:val="-4"/>
          <w:w w:val="110"/>
          <w:sz w:val="18"/>
        </w:rPr>
        <w:t>in:</w:t>
      </w:r>
    </w:p>
    <w:p>
      <w:pPr>
        <w:pStyle w:val="BodyText"/>
        <w:spacing w:before="11"/>
      </w:pPr>
    </w:p>
    <w:p>
      <w:pPr>
        <w:spacing w:before="1"/>
        <w:ind w:left="1240" w:right="0" w:firstLine="0"/>
        <w:jc w:val="left"/>
        <w:rPr>
          <w:b/>
          <w:sz w:val="20"/>
        </w:rPr>
      </w:pPr>
      <w:r>
        <w:rPr>
          <w:b/>
          <w:color w:val="231F20"/>
          <w:w w:val="110"/>
          <w:sz w:val="20"/>
        </w:rPr>
        <w:t>Beeston Hill United Free Church – Leeds</w:t>
      </w:r>
    </w:p>
    <w:p>
      <w:pPr>
        <w:pStyle w:val="BodyText"/>
        <w:spacing w:line="273" w:lineRule="auto" w:before="27"/>
        <w:ind w:left="1240" w:right="1365"/>
      </w:pPr>
      <w:r>
        <w:rPr>
          <w:color w:val="231F20"/>
          <w:spacing w:val="2"/>
          <w:w w:val="110"/>
        </w:rPr>
        <w:t>Beeston </w:t>
      </w:r>
      <w:r>
        <w:rPr>
          <w:color w:val="231F20"/>
          <w:w w:val="110"/>
        </w:rPr>
        <w:t>Hill’s mission is to take the love of Jesus into the community. That community  is an inner </w:t>
      </w:r>
      <w:r>
        <w:rPr>
          <w:color w:val="231F20"/>
          <w:spacing w:val="2"/>
          <w:w w:val="110"/>
        </w:rPr>
        <w:t>city </w:t>
      </w:r>
      <w:r>
        <w:rPr>
          <w:color w:val="231F20"/>
          <w:w w:val="110"/>
        </w:rPr>
        <w:t>suburb, multi-cultural and multi-faith. It was </w:t>
      </w:r>
      <w:r>
        <w:rPr>
          <w:color w:val="231F20"/>
          <w:spacing w:val="2"/>
          <w:w w:val="110"/>
        </w:rPr>
        <w:t>from </w:t>
      </w:r>
      <w:r>
        <w:rPr>
          <w:color w:val="231F20"/>
          <w:w w:val="110"/>
        </w:rPr>
        <w:t>this community that some of the July 7</w:t>
      </w:r>
      <w:r>
        <w:rPr>
          <w:color w:val="231F20"/>
          <w:w w:val="110"/>
          <w:position w:val="6"/>
          <w:sz w:val="10"/>
        </w:rPr>
        <w:t>th </w:t>
      </w:r>
      <w:r>
        <w:rPr>
          <w:color w:val="231F20"/>
          <w:spacing w:val="2"/>
          <w:w w:val="110"/>
        </w:rPr>
        <w:t>bombers </w:t>
      </w:r>
      <w:r>
        <w:rPr>
          <w:color w:val="231F20"/>
          <w:w w:val="110"/>
        </w:rPr>
        <w:t>came – the community has in the past and continues to work together. Particularly since those terrible events, great </w:t>
      </w:r>
      <w:r>
        <w:rPr>
          <w:color w:val="231F20"/>
          <w:spacing w:val="4"/>
          <w:w w:val="110"/>
        </w:rPr>
        <w:t>efforts </w:t>
      </w:r>
      <w:r>
        <w:rPr>
          <w:color w:val="231F20"/>
          <w:w w:val="110"/>
        </w:rPr>
        <w:t>have been made to maintain those good</w:t>
      </w:r>
      <w:r>
        <w:rPr>
          <w:color w:val="231F20"/>
          <w:spacing w:val="4"/>
          <w:w w:val="110"/>
        </w:rPr>
        <w:t> </w:t>
      </w:r>
      <w:r>
        <w:rPr>
          <w:color w:val="231F20"/>
          <w:w w:val="110"/>
        </w:rPr>
        <w:t>relationships.</w:t>
      </w:r>
    </w:p>
    <w:p>
      <w:pPr>
        <w:pStyle w:val="BodyText"/>
        <w:spacing w:before="10"/>
        <w:rPr>
          <w:sz w:val="20"/>
        </w:rPr>
      </w:pPr>
    </w:p>
    <w:p>
      <w:pPr>
        <w:pStyle w:val="BodyText"/>
        <w:spacing w:line="273" w:lineRule="auto"/>
        <w:ind w:left="1240" w:right="474"/>
      </w:pPr>
      <w:r>
        <w:rPr>
          <w:color w:val="231F20"/>
          <w:w w:val="110"/>
        </w:rPr>
        <w:t>With several partners the church has created an award winning garden at the side of the premises – the result of a desire to give something to the community.</w:t>
      </w:r>
    </w:p>
    <w:p>
      <w:pPr>
        <w:pStyle w:val="BodyText"/>
        <w:spacing w:before="8"/>
        <w:rPr>
          <w:sz w:val="20"/>
        </w:rPr>
      </w:pPr>
    </w:p>
    <w:p>
      <w:pPr>
        <w:pStyle w:val="BodyText"/>
        <w:spacing w:line="273" w:lineRule="auto"/>
        <w:ind w:left="1240" w:right="1365"/>
      </w:pPr>
      <w:r>
        <w:rPr>
          <w:color w:val="231F20"/>
          <w:w w:val="110"/>
        </w:rPr>
        <w:t>Against a background of families affected by poverty, drugs and alcohol there are fast growing children’s activities: J4J (Juniors for Jesus), uniformed organisations and a Kidz Club with well over 130 children.</w:t>
      </w:r>
    </w:p>
    <w:p>
      <w:pPr>
        <w:pStyle w:val="BodyText"/>
        <w:spacing w:line="273" w:lineRule="auto" w:before="2"/>
        <w:ind w:left="1240" w:right="1347"/>
      </w:pPr>
      <w:r>
        <w:rPr>
          <w:color w:val="231F20"/>
          <w:w w:val="110"/>
        </w:rPr>
        <w:t>The church premises are used daily </w:t>
      </w:r>
      <w:r>
        <w:rPr>
          <w:color w:val="231F20"/>
          <w:spacing w:val="2"/>
          <w:w w:val="110"/>
        </w:rPr>
        <w:t>from </w:t>
      </w:r>
      <w:r>
        <w:rPr>
          <w:color w:val="231F20"/>
          <w:w w:val="110"/>
        </w:rPr>
        <w:t>8.00am to 4.30pm by a variety of  organisations and Sunday morning worship (including J4J) is well attended with growing numbers of </w:t>
      </w:r>
      <w:r>
        <w:rPr>
          <w:color w:val="231F20"/>
          <w:spacing w:val="2"/>
          <w:w w:val="110"/>
        </w:rPr>
        <w:t>African </w:t>
      </w:r>
      <w:r>
        <w:rPr>
          <w:color w:val="231F20"/>
          <w:w w:val="110"/>
        </w:rPr>
        <w:t>families joining</w:t>
      </w:r>
      <w:r>
        <w:rPr>
          <w:color w:val="231F20"/>
          <w:spacing w:val="5"/>
          <w:w w:val="110"/>
        </w:rPr>
        <w:t> </w:t>
      </w:r>
      <w:r>
        <w:rPr>
          <w:color w:val="231F20"/>
          <w:w w:val="110"/>
        </w:rPr>
        <w:t>us.</w:t>
      </w:r>
    </w:p>
    <w:p>
      <w:pPr>
        <w:pStyle w:val="BodyText"/>
        <w:spacing w:before="2"/>
        <w:ind w:left="1240"/>
      </w:pPr>
      <w:r>
        <w:rPr>
          <w:color w:val="231F20"/>
          <w:w w:val="110"/>
        </w:rPr>
        <w:t>These are exciting times in this church led by the love of our Lord Jesus.</w:t>
      </w:r>
    </w:p>
    <w:p>
      <w:pPr>
        <w:pStyle w:val="BodyText"/>
        <w:spacing w:before="5"/>
        <w:rPr>
          <w:sz w:val="21"/>
        </w:rPr>
      </w:pPr>
    </w:p>
    <w:p>
      <w:pPr>
        <w:spacing w:before="0"/>
        <w:ind w:left="1240" w:right="0" w:firstLine="0"/>
        <w:jc w:val="left"/>
        <w:rPr>
          <w:b/>
          <w:sz w:val="20"/>
        </w:rPr>
      </w:pPr>
      <w:r>
        <w:rPr>
          <w:b/>
          <w:color w:val="231F20"/>
          <w:w w:val="110"/>
          <w:sz w:val="20"/>
        </w:rPr>
        <w:t>Little Lane Church – Bradford</w:t>
      </w:r>
    </w:p>
    <w:p>
      <w:pPr>
        <w:pStyle w:val="BodyText"/>
        <w:spacing w:line="273" w:lineRule="auto" w:before="27"/>
        <w:ind w:left="1240" w:right="1365"/>
      </w:pPr>
      <w:r>
        <w:rPr>
          <w:color w:val="231F20"/>
          <w:w w:val="110"/>
        </w:rPr>
        <w:t>The church lies approximately two miles to the north-west of Bradford </w:t>
      </w:r>
      <w:r>
        <w:rPr>
          <w:color w:val="231F20"/>
          <w:spacing w:val="2"/>
          <w:w w:val="110"/>
        </w:rPr>
        <w:t>city </w:t>
      </w:r>
      <w:r>
        <w:rPr>
          <w:color w:val="231F20"/>
          <w:w w:val="110"/>
        </w:rPr>
        <w:t>centre between the residential </w:t>
      </w:r>
      <w:r>
        <w:rPr>
          <w:color w:val="231F20"/>
          <w:spacing w:val="2"/>
          <w:w w:val="110"/>
        </w:rPr>
        <w:t>districts </w:t>
      </w:r>
      <w:r>
        <w:rPr>
          <w:color w:val="231F20"/>
          <w:w w:val="110"/>
        </w:rPr>
        <w:t>of Girlington and Heaton and is regarded as being  within the Inner </w:t>
      </w:r>
      <w:r>
        <w:rPr>
          <w:color w:val="231F20"/>
          <w:spacing w:val="2"/>
          <w:w w:val="110"/>
        </w:rPr>
        <w:t>City </w:t>
      </w:r>
      <w:r>
        <w:rPr>
          <w:color w:val="231F20"/>
          <w:w w:val="110"/>
        </w:rPr>
        <w:t>Ring. </w:t>
      </w:r>
      <w:r>
        <w:rPr>
          <w:color w:val="231F20"/>
          <w:spacing w:val="2"/>
          <w:w w:val="110"/>
        </w:rPr>
        <w:t>There </w:t>
      </w:r>
      <w:r>
        <w:rPr>
          <w:color w:val="231F20"/>
          <w:w w:val="110"/>
        </w:rPr>
        <w:t>is an average congregation of </w:t>
      </w:r>
      <w:r>
        <w:rPr>
          <w:color w:val="231F20"/>
          <w:spacing w:val="-3"/>
          <w:w w:val="110"/>
        </w:rPr>
        <w:t>45-50 </w:t>
      </w:r>
      <w:r>
        <w:rPr>
          <w:color w:val="231F20"/>
          <w:w w:val="110"/>
        </w:rPr>
        <w:t>people. The population is predominantly Pakistani and Muslim with significant Filipino and Eastern European communities. The social needs in the </w:t>
      </w:r>
      <w:r>
        <w:rPr>
          <w:color w:val="231F20"/>
          <w:spacing w:val="2"/>
          <w:w w:val="110"/>
        </w:rPr>
        <w:t>district </w:t>
      </w:r>
      <w:r>
        <w:rPr>
          <w:color w:val="231F20"/>
          <w:w w:val="110"/>
        </w:rPr>
        <w:t>create challenges for the church to engage in activities that provide </w:t>
      </w:r>
      <w:r>
        <w:rPr>
          <w:color w:val="231F20"/>
          <w:spacing w:val="2"/>
          <w:w w:val="110"/>
        </w:rPr>
        <w:t>contacts </w:t>
      </w:r>
      <w:r>
        <w:rPr>
          <w:color w:val="231F20"/>
          <w:w w:val="110"/>
        </w:rPr>
        <w:t>with the</w:t>
      </w:r>
      <w:r>
        <w:rPr>
          <w:color w:val="231F20"/>
          <w:spacing w:val="25"/>
          <w:w w:val="110"/>
        </w:rPr>
        <w:t> </w:t>
      </w:r>
      <w:r>
        <w:rPr>
          <w:color w:val="231F20"/>
          <w:w w:val="110"/>
        </w:rPr>
        <w:t>community.</w:t>
      </w:r>
    </w:p>
    <w:p>
      <w:pPr>
        <w:spacing w:after="0" w:line="273" w:lineRule="auto"/>
        <w:sectPr>
          <w:pgSz w:w="11910" w:h="16840"/>
          <w:pgMar w:header="527" w:footer="564" w:top="820" w:bottom="760" w:left="460" w:right="0"/>
        </w:sectPr>
      </w:pPr>
    </w:p>
    <w:p>
      <w:pPr>
        <w:pStyle w:val="BodyText"/>
        <w:rPr>
          <w:sz w:val="20"/>
        </w:rPr>
      </w:pPr>
    </w:p>
    <w:p>
      <w:pPr>
        <w:pStyle w:val="BodyText"/>
        <w:spacing w:before="8"/>
        <w:rPr>
          <w:sz w:val="20"/>
        </w:rPr>
      </w:pPr>
    </w:p>
    <w:p>
      <w:pPr>
        <w:pStyle w:val="BodyText"/>
        <w:ind w:left="673"/>
      </w:pPr>
      <w:r>
        <w:rPr>
          <w:color w:val="231F20"/>
          <w:w w:val="110"/>
        </w:rPr>
        <w:t>The Friday Café is part of the church’s service to the community. It provides three</w:t>
      </w:r>
    </w:p>
    <w:p>
      <w:pPr>
        <w:pStyle w:val="BodyText"/>
        <w:spacing w:before="31"/>
        <w:ind w:left="673"/>
      </w:pPr>
      <w:r>
        <w:rPr>
          <w:color w:val="231F20"/>
          <w:w w:val="110"/>
        </w:rPr>
        <w:t>course meals at community prices from 12noon-1pm every Friday.</w:t>
      </w:r>
    </w:p>
    <w:p>
      <w:pPr>
        <w:pStyle w:val="BodyText"/>
        <w:spacing w:before="2"/>
        <w:rPr>
          <w:sz w:val="23"/>
        </w:rPr>
      </w:pPr>
    </w:p>
    <w:p>
      <w:pPr>
        <w:pStyle w:val="BodyText"/>
        <w:ind w:left="673"/>
      </w:pPr>
      <w:r>
        <w:rPr>
          <w:color w:val="231F20"/>
          <w:w w:val="110"/>
        </w:rPr>
        <w:t>‘Girlington Together’ is a regeneration project which has an office on our premises.</w:t>
      </w:r>
    </w:p>
    <w:p>
      <w:pPr>
        <w:pStyle w:val="BodyText"/>
        <w:spacing w:before="31"/>
        <w:ind w:left="673"/>
      </w:pPr>
      <w:r>
        <w:rPr>
          <w:color w:val="231F20"/>
          <w:w w:val="110"/>
        </w:rPr>
        <w:t>This keeps us in touch with new initiatives and enables us to participate where</w:t>
      </w:r>
      <w:r>
        <w:rPr>
          <w:color w:val="231F20"/>
          <w:spacing w:val="60"/>
          <w:w w:val="110"/>
        </w:rPr>
        <w:t> </w:t>
      </w:r>
      <w:r>
        <w:rPr>
          <w:color w:val="231F20"/>
          <w:w w:val="110"/>
        </w:rPr>
        <w:t>possible.</w:t>
      </w:r>
    </w:p>
    <w:p>
      <w:pPr>
        <w:pStyle w:val="BodyText"/>
        <w:spacing w:before="2"/>
        <w:rPr>
          <w:sz w:val="23"/>
        </w:rPr>
      </w:pPr>
    </w:p>
    <w:p>
      <w:pPr>
        <w:pStyle w:val="BodyText"/>
        <w:spacing w:line="273" w:lineRule="auto"/>
        <w:ind w:left="673" w:right="2348"/>
      </w:pPr>
      <w:r>
        <w:rPr>
          <w:color w:val="231F20"/>
          <w:w w:val="110"/>
        </w:rPr>
        <w:t>Over the last year the church has begun working closely with the Chaplain for the Deaf in Bradford. As a result we host four Joint services a year and have a monthly</w:t>
      </w:r>
    </w:p>
    <w:p>
      <w:pPr>
        <w:pStyle w:val="BodyText"/>
        <w:spacing w:line="273" w:lineRule="auto" w:before="1"/>
        <w:ind w:left="673" w:right="1829"/>
      </w:pPr>
      <w:r>
        <w:rPr>
          <w:color w:val="231F20"/>
          <w:w w:val="110"/>
        </w:rPr>
        <w:t>interpreted service. In January 2006 a Beaver Group was started to serve both hearing and deaf children. This has been positively received.</w:t>
      </w:r>
    </w:p>
    <w:p>
      <w:pPr>
        <w:pStyle w:val="BodyText"/>
        <w:rPr>
          <w:sz w:val="19"/>
        </w:rPr>
      </w:pPr>
    </w:p>
    <w:p>
      <w:pPr>
        <w:spacing w:before="0"/>
        <w:ind w:left="673" w:right="0" w:firstLine="0"/>
        <w:jc w:val="left"/>
        <w:rPr>
          <w:b/>
          <w:sz w:val="20"/>
        </w:rPr>
      </w:pPr>
      <w:r>
        <w:rPr>
          <w:b/>
          <w:color w:val="231F20"/>
          <w:w w:val="110"/>
          <w:sz w:val="20"/>
        </w:rPr>
        <w:t>Opportunities!</w:t>
      </w:r>
    </w:p>
    <w:p>
      <w:pPr>
        <w:pStyle w:val="BodyText"/>
        <w:tabs>
          <w:tab w:pos="1393" w:val="left" w:leader="none"/>
        </w:tabs>
        <w:spacing w:line="273" w:lineRule="auto" w:before="27"/>
        <w:ind w:left="673" w:right="1957"/>
      </w:pPr>
      <w:r>
        <w:rPr>
          <w:color w:val="231F20"/>
          <w:spacing w:val="-3"/>
          <w:w w:val="110"/>
        </w:rPr>
        <w:t>4.</w:t>
        <w:tab/>
        <w:t>We </w:t>
      </w:r>
      <w:r>
        <w:rPr>
          <w:color w:val="231F20"/>
          <w:w w:val="110"/>
        </w:rPr>
        <w:t>could fill many more pages with examples of </w:t>
      </w:r>
      <w:r>
        <w:rPr>
          <w:b/>
          <w:color w:val="231F20"/>
          <w:spacing w:val="2"/>
          <w:w w:val="110"/>
        </w:rPr>
        <w:t>opportunities </w:t>
      </w:r>
      <w:r>
        <w:rPr>
          <w:color w:val="231F20"/>
          <w:w w:val="110"/>
        </w:rPr>
        <w:t>identified and built on but these give a flavour of the United Reformed Church in the Yorkshire Synod. </w:t>
      </w:r>
      <w:r>
        <w:rPr>
          <w:color w:val="231F20"/>
          <w:spacing w:val="-3"/>
          <w:w w:val="110"/>
        </w:rPr>
        <w:t>We </w:t>
      </w:r>
      <w:r>
        <w:rPr>
          <w:color w:val="231F20"/>
          <w:w w:val="110"/>
        </w:rPr>
        <w:t>were </w:t>
      </w:r>
      <w:r>
        <w:rPr>
          <w:color w:val="231F20"/>
          <w:spacing w:val="3"/>
          <w:w w:val="110"/>
        </w:rPr>
        <w:t>sorry </w:t>
      </w:r>
      <w:r>
        <w:rPr>
          <w:color w:val="231F20"/>
          <w:w w:val="110"/>
        </w:rPr>
        <w:t>in December to say goodbye to Revd Bernie Collins our Development </w:t>
      </w:r>
      <w:r>
        <w:rPr>
          <w:color w:val="231F20"/>
          <w:spacing w:val="2"/>
          <w:w w:val="110"/>
        </w:rPr>
        <w:t>Officer </w:t>
      </w:r>
      <w:r>
        <w:rPr>
          <w:color w:val="231F20"/>
          <w:w w:val="110"/>
        </w:rPr>
        <w:t>but we are soon to be joined by a new Synod Development </w:t>
      </w:r>
      <w:r>
        <w:rPr>
          <w:color w:val="231F20"/>
          <w:spacing w:val="2"/>
          <w:w w:val="110"/>
        </w:rPr>
        <w:t>officer </w:t>
      </w:r>
      <w:r>
        <w:rPr>
          <w:color w:val="231F20"/>
          <w:w w:val="110"/>
        </w:rPr>
        <w:t>–</w:t>
      </w:r>
      <w:r>
        <w:rPr>
          <w:color w:val="231F20"/>
          <w:spacing w:val="63"/>
          <w:w w:val="110"/>
        </w:rPr>
        <w:t> </w:t>
      </w:r>
      <w:r>
        <w:rPr>
          <w:color w:val="231F20"/>
          <w:w w:val="110"/>
        </w:rPr>
        <w:t>Revd</w:t>
      </w:r>
    </w:p>
    <w:p>
      <w:pPr>
        <w:pStyle w:val="BodyText"/>
        <w:spacing w:line="273" w:lineRule="auto" w:before="3"/>
        <w:ind w:left="673" w:right="2144"/>
      </w:pPr>
      <w:r>
        <w:rPr>
          <w:color w:val="231F20"/>
          <w:w w:val="110"/>
        </w:rPr>
        <w:t>Dr Jim Coleman who joins the team during the summer of </w:t>
      </w:r>
      <w:r>
        <w:rPr>
          <w:color w:val="231F20"/>
          <w:spacing w:val="-7"/>
          <w:w w:val="110"/>
        </w:rPr>
        <w:t>2007. </w:t>
      </w:r>
      <w:r>
        <w:rPr>
          <w:color w:val="231F20"/>
          <w:w w:val="110"/>
        </w:rPr>
        <w:t>In </w:t>
      </w:r>
      <w:r>
        <w:rPr>
          <w:color w:val="231F20"/>
          <w:spacing w:val="2"/>
          <w:w w:val="110"/>
        </w:rPr>
        <w:t>February </w:t>
      </w:r>
      <w:r>
        <w:rPr>
          <w:color w:val="231F20"/>
          <w:w w:val="110"/>
        </w:rPr>
        <w:t>2008, the</w:t>
      </w:r>
      <w:r>
        <w:rPr>
          <w:color w:val="231F20"/>
          <w:spacing w:val="7"/>
          <w:w w:val="110"/>
        </w:rPr>
        <w:t> </w:t>
      </w:r>
      <w:r>
        <w:rPr>
          <w:color w:val="231F20"/>
          <w:w w:val="110"/>
        </w:rPr>
        <w:t>Moderator</w:t>
      </w:r>
      <w:r>
        <w:rPr>
          <w:color w:val="231F20"/>
          <w:spacing w:val="8"/>
          <w:w w:val="110"/>
        </w:rPr>
        <w:t> </w:t>
      </w:r>
      <w:r>
        <w:rPr>
          <w:color w:val="231F20"/>
          <w:w w:val="110"/>
        </w:rPr>
        <w:t>–</w:t>
      </w:r>
      <w:r>
        <w:rPr>
          <w:color w:val="231F20"/>
          <w:spacing w:val="8"/>
          <w:w w:val="110"/>
        </w:rPr>
        <w:t> </w:t>
      </w:r>
      <w:r>
        <w:rPr>
          <w:color w:val="231F20"/>
          <w:w w:val="110"/>
        </w:rPr>
        <w:t>Revd</w:t>
      </w:r>
      <w:r>
        <w:rPr>
          <w:color w:val="231F20"/>
          <w:spacing w:val="8"/>
          <w:w w:val="110"/>
        </w:rPr>
        <w:t> </w:t>
      </w:r>
      <w:r>
        <w:rPr>
          <w:color w:val="231F20"/>
          <w:w w:val="110"/>
        </w:rPr>
        <w:t>Arnold</w:t>
      </w:r>
      <w:r>
        <w:rPr>
          <w:color w:val="231F20"/>
          <w:spacing w:val="8"/>
          <w:w w:val="110"/>
        </w:rPr>
        <w:t> </w:t>
      </w:r>
      <w:r>
        <w:rPr>
          <w:color w:val="231F20"/>
          <w:w w:val="110"/>
        </w:rPr>
        <w:t>Harrison</w:t>
      </w:r>
      <w:r>
        <w:rPr>
          <w:color w:val="231F20"/>
          <w:spacing w:val="8"/>
          <w:w w:val="110"/>
        </w:rPr>
        <w:t> </w:t>
      </w:r>
      <w:r>
        <w:rPr>
          <w:color w:val="231F20"/>
          <w:w w:val="110"/>
        </w:rPr>
        <w:t>will</w:t>
      </w:r>
      <w:r>
        <w:rPr>
          <w:color w:val="231F20"/>
          <w:spacing w:val="8"/>
          <w:w w:val="110"/>
        </w:rPr>
        <w:t> </w:t>
      </w:r>
      <w:r>
        <w:rPr>
          <w:color w:val="231F20"/>
          <w:spacing w:val="2"/>
          <w:w w:val="110"/>
        </w:rPr>
        <w:t>retire</w:t>
      </w:r>
      <w:r>
        <w:rPr>
          <w:color w:val="231F20"/>
          <w:spacing w:val="8"/>
          <w:w w:val="110"/>
        </w:rPr>
        <w:t> </w:t>
      </w:r>
      <w:r>
        <w:rPr>
          <w:color w:val="231F20"/>
          <w:w w:val="110"/>
        </w:rPr>
        <w:t>and</w:t>
      </w:r>
      <w:r>
        <w:rPr>
          <w:color w:val="231F20"/>
          <w:spacing w:val="8"/>
          <w:w w:val="110"/>
        </w:rPr>
        <w:t> </w:t>
      </w:r>
      <w:r>
        <w:rPr>
          <w:color w:val="231F20"/>
          <w:w w:val="110"/>
        </w:rPr>
        <w:t>whilst</w:t>
      </w:r>
      <w:r>
        <w:rPr>
          <w:color w:val="231F20"/>
          <w:spacing w:val="8"/>
          <w:w w:val="110"/>
        </w:rPr>
        <w:t> </w:t>
      </w:r>
      <w:r>
        <w:rPr>
          <w:color w:val="231F20"/>
          <w:w w:val="110"/>
        </w:rPr>
        <w:t>we</w:t>
      </w:r>
      <w:r>
        <w:rPr>
          <w:color w:val="231F20"/>
          <w:spacing w:val="8"/>
          <w:w w:val="110"/>
        </w:rPr>
        <w:t> </w:t>
      </w:r>
      <w:r>
        <w:rPr>
          <w:color w:val="231F20"/>
          <w:w w:val="110"/>
        </w:rPr>
        <w:t>will</w:t>
      </w:r>
      <w:r>
        <w:rPr>
          <w:color w:val="231F20"/>
          <w:spacing w:val="8"/>
          <w:w w:val="110"/>
        </w:rPr>
        <w:t> </w:t>
      </w:r>
      <w:r>
        <w:rPr>
          <w:color w:val="231F20"/>
          <w:w w:val="110"/>
        </w:rPr>
        <w:t>be</w:t>
      </w:r>
      <w:r>
        <w:rPr>
          <w:color w:val="231F20"/>
          <w:spacing w:val="8"/>
          <w:w w:val="110"/>
        </w:rPr>
        <w:t> </w:t>
      </w:r>
      <w:r>
        <w:rPr>
          <w:color w:val="231F20"/>
          <w:w w:val="110"/>
        </w:rPr>
        <w:t>sad</w:t>
      </w:r>
      <w:r>
        <w:rPr>
          <w:color w:val="231F20"/>
          <w:spacing w:val="8"/>
          <w:w w:val="110"/>
        </w:rPr>
        <w:t> </w:t>
      </w:r>
      <w:r>
        <w:rPr>
          <w:color w:val="231F20"/>
          <w:w w:val="110"/>
        </w:rPr>
        <w:t>to</w:t>
      </w:r>
      <w:r>
        <w:rPr>
          <w:color w:val="231F20"/>
          <w:spacing w:val="8"/>
          <w:w w:val="110"/>
        </w:rPr>
        <w:t> </w:t>
      </w:r>
      <w:r>
        <w:rPr>
          <w:color w:val="231F20"/>
          <w:w w:val="110"/>
        </w:rPr>
        <w:t>see</w:t>
      </w:r>
      <w:r>
        <w:rPr>
          <w:color w:val="231F20"/>
          <w:spacing w:val="8"/>
          <w:w w:val="110"/>
        </w:rPr>
        <w:t> </w:t>
      </w:r>
      <w:r>
        <w:rPr>
          <w:color w:val="231F20"/>
          <w:w w:val="110"/>
        </w:rPr>
        <w:t>him</w:t>
      </w:r>
    </w:p>
    <w:p>
      <w:pPr>
        <w:pStyle w:val="BodyText"/>
        <w:spacing w:line="273" w:lineRule="auto" w:before="1"/>
        <w:ind w:left="673" w:right="1829"/>
      </w:pPr>
      <w:r>
        <w:rPr>
          <w:color w:val="231F20"/>
          <w:w w:val="110"/>
        </w:rPr>
        <w:t>go we wish him and Muriel our very best wishes for their retirement. Revd Kevin Watson will join the team in March 2008 and we look forward to the new </w:t>
      </w:r>
      <w:r>
        <w:rPr>
          <w:b/>
          <w:color w:val="231F20"/>
          <w:w w:val="110"/>
        </w:rPr>
        <w:t>opportunities </w:t>
      </w:r>
      <w:r>
        <w:rPr>
          <w:color w:val="231F20"/>
          <w:w w:val="110"/>
        </w:rPr>
        <w:t>which these new people will undoubtedly challenge us with.</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16"/>
        </w:rPr>
      </w:pPr>
    </w:p>
    <w:p>
      <w:pPr>
        <w:spacing w:before="1"/>
        <w:ind w:left="0" w:right="1024" w:firstLine="0"/>
        <w:jc w:val="center"/>
        <w:rPr>
          <w:i/>
          <w:sz w:val="24"/>
        </w:rPr>
      </w:pPr>
      <w:r>
        <w:rPr>
          <w:i/>
          <w:color w:val="231F20"/>
          <w:w w:val="600"/>
          <w:sz w:val="24"/>
        </w:rPr>
        <w:t>   </w:t>
      </w:r>
    </w:p>
    <w:p>
      <w:pPr>
        <w:spacing w:after="0"/>
        <w:jc w:val="center"/>
        <w:rPr>
          <w:sz w:val="24"/>
        </w:rPr>
        <w:sectPr>
          <w:pgSz w:w="11910" w:h="16840"/>
          <w:pgMar w:header="581" w:footer="484" w:top="860" w:bottom="760" w:left="460" w:right="0"/>
        </w:sectPr>
      </w:pPr>
    </w:p>
    <w:p>
      <w:pPr>
        <w:spacing w:before="0"/>
        <w:ind w:left="5819" w:right="0" w:firstLine="0"/>
        <w:jc w:val="left"/>
        <w:rPr>
          <w:b/>
          <w:sz w:val="56"/>
        </w:rPr>
      </w:pPr>
      <w:r>
        <w:rPr>
          <w:b/>
          <w:color w:val="231F20"/>
          <w:sz w:val="56"/>
        </w:rPr>
        <w:t>Eastern Synod</w:t>
      </w:r>
    </w:p>
    <w:p>
      <w:pPr>
        <w:pStyle w:val="ListParagraph"/>
        <w:numPr>
          <w:ilvl w:val="1"/>
          <w:numId w:val="13"/>
        </w:numPr>
        <w:tabs>
          <w:tab w:pos="1393" w:val="left" w:leader="none"/>
          <w:tab w:pos="1394" w:val="left" w:leader="none"/>
        </w:tabs>
        <w:spacing w:line="273" w:lineRule="auto" w:before="451" w:after="0"/>
        <w:ind w:left="673" w:right="1220" w:firstLine="0"/>
        <w:jc w:val="left"/>
        <w:rPr>
          <w:sz w:val="18"/>
        </w:rPr>
      </w:pPr>
      <w:r>
        <w:rPr>
          <w:color w:val="231F20"/>
          <w:w w:val="110"/>
          <w:sz w:val="18"/>
        </w:rPr>
        <w:t>In June 2006 the </w:t>
      </w:r>
      <w:r>
        <w:rPr>
          <w:i/>
          <w:color w:val="231F20"/>
          <w:w w:val="110"/>
          <w:sz w:val="18"/>
        </w:rPr>
        <w:t>Synod Festival </w:t>
      </w:r>
      <w:r>
        <w:rPr>
          <w:color w:val="231F20"/>
          <w:w w:val="110"/>
          <w:sz w:val="18"/>
        </w:rPr>
        <w:t>saw about 500 people gather to celebrate the variety of </w:t>
      </w:r>
      <w:r>
        <w:rPr>
          <w:color w:val="231F20"/>
          <w:spacing w:val="2"/>
          <w:w w:val="110"/>
          <w:sz w:val="18"/>
        </w:rPr>
        <w:t>creativity </w:t>
      </w:r>
      <w:r>
        <w:rPr>
          <w:color w:val="231F20"/>
          <w:w w:val="110"/>
          <w:sz w:val="18"/>
        </w:rPr>
        <w:t>we can </w:t>
      </w:r>
      <w:r>
        <w:rPr>
          <w:color w:val="231F20"/>
          <w:spacing w:val="2"/>
          <w:w w:val="110"/>
          <w:sz w:val="18"/>
        </w:rPr>
        <w:t>offer </w:t>
      </w:r>
      <w:r>
        <w:rPr>
          <w:color w:val="231F20"/>
          <w:w w:val="110"/>
          <w:sz w:val="18"/>
        </w:rPr>
        <w:t>to God in worship, witness and church life. All age groups worked and learned together exploring dance and drama, music </w:t>
      </w:r>
      <w:r>
        <w:rPr>
          <w:color w:val="231F20"/>
          <w:spacing w:val="2"/>
          <w:w w:val="110"/>
          <w:sz w:val="18"/>
        </w:rPr>
        <w:t>from Africa </w:t>
      </w:r>
      <w:r>
        <w:rPr>
          <w:color w:val="231F20"/>
          <w:w w:val="110"/>
          <w:sz w:val="18"/>
        </w:rPr>
        <w:t>and Iona, </w:t>
      </w:r>
      <w:r>
        <w:rPr>
          <w:color w:val="231F20"/>
          <w:spacing w:val="2"/>
          <w:w w:val="110"/>
          <w:sz w:val="18"/>
        </w:rPr>
        <w:t>contemporary </w:t>
      </w:r>
      <w:r>
        <w:rPr>
          <w:color w:val="231F20"/>
          <w:w w:val="110"/>
          <w:sz w:val="18"/>
        </w:rPr>
        <w:t>songs and jazz. </w:t>
      </w:r>
      <w:r>
        <w:rPr>
          <w:color w:val="231F20"/>
          <w:spacing w:val="2"/>
          <w:w w:val="110"/>
          <w:sz w:val="18"/>
        </w:rPr>
        <w:t>Others </w:t>
      </w:r>
      <w:r>
        <w:rPr>
          <w:color w:val="231F20"/>
          <w:w w:val="110"/>
          <w:sz w:val="18"/>
        </w:rPr>
        <w:t>enjoyed </w:t>
      </w:r>
      <w:r>
        <w:rPr>
          <w:color w:val="231F20"/>
          <w:spacing w:val="3"/>
          <w:w w:val="110"/>
          <w:sz w:val="18"/>
        </w:rPr>
        <w:t>art </w:t>
      </w:r>
      <w:r>
        <w:rPr>
          <w:color w:val="231F20"/>
          <w:w w:val="110"/>
          <w:sz w:val="18"/>
        </w:rPr>
        <w:t>and </w:t>
      </w:r>
      <w:r>
        <w:rPr>
          <w:color w:val="231F20"/>
          <w:spacing w:val="-4"/>
          <w:w w:val="110"/>
          <w:sz w:val="18"/>
        </w:rPr>
        <w:t>clay, </w:t>
      </w:r>
      <w:r>
        <w:rPr>
          <w:color w:val="231F20"/>
          <w:w w:val="110"/>
          <w:sz w:val="18"/>
        </w:rPr>
        <w:t>prayer and church growth, all culminating in   “big top” worship in the grounds of Westminster College. Whilst the clown, the dance tuition and the story-teller were employed for the </w:t>
      </w:r>
      <w:r>
        <w:rPr>
          <w:color w:val="231F20"/>
          <w:spacing w:val="-5"/>
          <w:w w:val="110"/>
          <w:sz w:val="18"/>
        </w:rPr>
        <w:t>day, </w:t>
      </w:r>
      <w:r>
        <w:rPr>
          <w:color w:val="231F20"/>
          <w:w w:val="110"/>
          <w:sz w:val="18"/>
        </w:rPr>
        <w:t>all the other workshop leaders, </w:t>
      </w:r>
      <w:r>
        <w:rPr>
          <w:color w:val="231F20"/>
          <w:spacing w:val="2"/>
          <w:w w:val="110"/>
          <w:sz w:val="18"/>
        </w:rPr>
        <w:t>from </w:t>
      </w:r>
      <w:r>
        <w:rPr>
          <w:color w:val="231F20"/>
          <w:w w:val="110"/>
          <w:sz w:val="18"/>
        </w:rPr>
        <w:t>Godly Play to power-point, </w:t>
      </w:r>
      <w:r>
        <w:rPr>
          <w:color w:val="231F20"/>
          <w:spacing w:val="3"/>
          <w:w w:val="110"/>
          <w:sz w:val="18"/>
        </w:rPr>
        <w:t>crafts </w:t>
      </w:r>
      <w:r>
        <w:rPr>
          <w:color w:val="231F20"/>
          <w:w w:val="110"/>
          <w:sz w:val="18"/>
        </w:rPr>
        <w:t>to hand-bells, came </w:t>
      </w:r>
      <w:r>
        <w:rPr>
          <w:color w:val="231F20"/>
          <w:spacing w:val="2"/>
          <w:w w:val="110"/>
          <w:sz w:val="18"/>
        </w:rPr>
        <w:t>from </w:t>
      </w:r>
      <w:r>
        <w:rPr>
          <w:color w:val="231F20"/>
          <w:w w:val="110"/>
          <w:sz w:val="18"/>
        </w:rPr>
        <w:t>our own ranks. It was rounded </w:t>
      </w:r>
      <w:r>
        <w:rPr>
          <w:color w:val="231F20"/>
          <w:spacing w:val="3"/>
          <w:w w:val="110"/>
          <w:sz w:val="18"/>
        </w:rPr>
        <w:t>off </w:t>
      </w:r>
      <w:r>
        <w:rPr>
          <w:color w:val="231F20"/>
          <w:w w:val="110"/>
          <w:sz w:val="18"/>
        </w:rPr>
        <w:t>with a barbeque and dancing to a jazz</w:t>
      </w:r>
      <w:r>
        <w:rPr>
          <w:color w:val="231F20"/>
          <w:spacing w:val="7"/>
          <w:w w:val="110"/>
          <w:sz w:val="18"/>
        </w:rPr>
        <w:t> </w:t>
      </w:r>
      <w:r>
        <w:rPr>
          <w:color w:val="231F20"/>
          <w:w w:val="110"/>
          <w:sz w:val="18"/>
        </w:rPr>
        <w:t>band.</w:t>
      </w:r>
    </w:p>
    <w:p>
      <w:pPr>
        <w:pStyle w:val="BodyText"/>
        <w:rPr>
          <w:sz w:val="21"/>
        </w:rPr>
      </w:pPr>
    </w:p>
    <w:p>
      <w:pPr>
        <w:pStyle w:val="ListParagraph"/>
        <w:numPr>
          <w:ilvl w:val="1"/>
          <w:numId w:val="13"/>
        </w:numPr>
        <w:tabs>
          <w:tab w:pos="1393" w:val="left" w:leader="none"/>
          <w:tab w:pos="1394" w:val="left" w:leader="none"/>
        </w:tabs>
        <w:spacing w:line="273" w:lineRule="auto" w:before="0" w:after="0"/>
        <w:ind w:left="673" w:right="1357" w:firstLine="0"/>
        <w:jc w:val="left"/>
        <w:rPr>
          <w:sz w:val="18"/>
        </w:rPr>
      </w:pPr>
      <w:r>
        <w:rPr>
          <w:color w:val="231F20"/>
          <w:w w:val="110"/>
          <w:sz w:val="18"/>
        </w:rPr>
        <w:t>A similar </w:t>
      </w:r>
      <w:r>
        <w:rPr>
          <w:color w:val="231F20"/>
          <w:spacing w:val="2"/>
          <w:w w:val="110"/>
          <w:sz w:val="18"/>
        </w:rPr>
        <w:t>creativity </w:t>
      </w:r>
      <w:r>
        <w:rPr>
          <w:color w:val="231F20"/>
          <w:w w:val="110"/>
          <w:sz w:val="18"/>
        </w:rPr>
        <w:t>has been at work in developing our </w:t>
      </w:r>
      <w:r>
        <w:rPr>
          <w:color w:val="231F20"/>
          <w:spacing w:val="2"/>
          <w:w w:val="110"/>
          <w:sz w:val="18"/>
        </w:rPr>
        <w:t>response </w:t>
      </w:r>
      <w:r>
        <w:rPr>
          <w:color w:val="231F20"/>
          <w:w w:val="110"/>
          <w:sz w:val="18"/>
        </w:rPr>
        <w:t>to a changing world. </w:t>
      </w:r>
      <w:r>
        <w:rPr>
          <w:color w:val="231F20"/>
          <w:spacing w:val="-3"/>
          <w:w w:val="110"/>
          <w:sz w:val="18"/>
        </w:rPr>
        <w:t>We </w:t>
      </w:r>
      <w:r>
        <w:rPr>
          <w:color w:val="231F20"/>
          <w:spacing w:val="2"/>
          <w:w w:val="110"/>
          <w:sz w:val="18"/>
        </w:rPr>
        <w:t>reported </w:t>
      </w:r>
      <w:r>
        <w:rPr>
          <w:color w:val="231F20"/>
          <w:w w:val="110"/>
          <w:sz w:val="18"/>
        </w:rPr>
        <w:t>three years ago that we were launching a new emphasis on team</w:t>
      </w:r>
      <w:r>
        <w:rPr>
          <w:color w:val="231F20"/>
          <w:spacing w:val="7"/>
          <w:w w:val="110"/>
          <w:sz w:val="18"/>
        </w:rPr>
        <w:t> </w:t>
      </w:r>
      <w:r>
        <w:rPr>
          <w:color w:val="231F20"/>
          <w:w w:val="110"/>
          <w:sz w:val="18"/>
        </w:rPr>
        <w:t>work.</w:t>
      </w:r>
    </w:p>
    <w:p>
      <w:pPr>
        <w:pStyle w:val="BodyText"/>
        <w:spacing w:before="1"/>
        <w:ind w:left="673"/>
      </w:pPr>
      <w:r>
        <w:rPr>
          <w:color w:val="231F20"/>
          <w:w w:val="110"/>
        </w:rPr>
        <w:t>We have seen this developing in several ways:</w:t>
      </w:r>
    </w:p>
    <w:p>
      <w:pPr>
        <w:pStyle w:val="BodyText"/>
        <w:spacing w:before="7"/>
        <w:rPr>
          <w:sz w:val="21"/>
        </w:rPr>
      </w:pPr>
    </w:p>
    <w:p>
      <w:pPr>
        <w:pStyle w:val="ListParagraph"/>
        <w:numPr>
          <w:ilvl w:val="0"/>
          <w:numId w:val="2"/>
        </w:numPr>
        <w:tabs>
          <w:tab w:pos="1354" w:val="left" w:leader="none"/>
          <w:tab w:pos="1355" w:val="left" w:leader="none"/>
        </w:tabs>
        <w:spacing w:line="250" w:lineRule="exact" w:before="0" w:after="0"/>
        <w:ind w:left="1354" w:right="1281" w:hanging="681"/>
        <w:jc w:val="left"/>
        <w:rPr>
          <w:color w:val="231F20"/>
          <w:sz w:val="25"/>
        </w:rPr>
      </w:pPr>
      <w:r>
        <w:rPr>
          <w:b/>
          <w:color w:val="231F20"/>
          <w:spacing w:val="-3"/>
          <w:w w:val="110"/>
          <w:sz w:val="18"/>
        </w:rPr>
        <w:t>A.T.O.M.</w:t>
      </w:r>
      <w:r>
        <w:rPr>
          <w:b/>
          <w:color w:val="231F20"/>
          <w:spacing w:val="61"/>
          <w:w w:val="110"/>
          <w:sz w:val="18"/>
        </w:rPr>
        <w:t> </w:t>
      </w:r>
      <w:r>
        <w:rPr>
          <w:color w:val="231F20"/>
          <w:w w:val="110"/>
          <w:sz w:val="18"/>
        </w:rPr>
        <w:t>All Together </w:t>
      </w:r>
      <w:r>
        <w:rPr>
          <w:color w:val="231F20"/>
          <w:spacing w:val="2"/>
          <w:w w:val="110"/>
          <w:sz w:val="18"/>
        </w:rPr>
        <w:t>Offering </w:t>
      </w:r>
      <w:r>
        <w:rPr>
          <w:color w:val="231F20"/>
          <w:w w:val="110"/>
          <w:sz w:val="18"/>
        </w:rPr>
        <w:t>Ministry is training material for local churches adapted </w:t>
      </w:r>
      <w:r>
        <w:rPr>
          <w:color w:val="231F20"/>
          <w:spacing w:val="2"/>
          <w:w w:val="110"/>
          <w:sz w:val="18"/>
        </w:rPr>
        <w:t>from </w:t>
      </w:r>
      <w:r>
        <w:rPr>
          <w:color w:val="231F20"/>
          <w:w w:val="110"/>
          <w:sz w:val="18"/>
        </w:rPr>
        <w:t>a pack produced by the Diocese of Chelmsford. It enables local congregations (with assistance </w:t>
      </w:r>
      <w:r>
        <w:rPr>
          <w:color w:val="231F20"/>
          <w:spacing w:val="2"/>
          <w:w w:val="110"/>
          <w:sz w:val="18"/>
        </w:rPr>
        <w:t>from </w:t>
      </w:r>
      <w:r>
        <w:rPr>
          <w:color w:val="231F20"/>
          <w:w w:val="110"/>
          <w:sz w:val="18"/>
        </w:rPr>
        <w:t>training facilitators) to develop enhanced collaborative working internally, </w:t>
      </w:r>
      <w:r>
        <w:rPr>
          <w:color w:val="231F20"/>
          <w:spacing w:val="2"/>
          <w:w w:val="110"/>
          <w:sz w:val="18"/>
        </w:rPr>
        <w:t>across </w:t>
      </w:r>
      <w:r>
        <w:rPr>
          <w:color w:val="231F20"/>
          <w:w w:val="110"/>
          <w:sz w:val="18"/>
        </w:rPr>
        <w:t>groups and</w:t>
      </w:r>
      <w:r>
        <w:rPr>
          <w:color w:val="231F20"/>
          <w:spacing w:val="2"/>
          <w:w w:val="110"/>
          <w:sz w:val="18"/>
        </w:rPr>
        <w:t> </w:t>
      </w:r>
      <w:r>
        <w:rPr>
          <w:color w:val="231F20"/>
          <w:w w:val="110"/>
          <w:sz w:val="18"/>
        </w:rPr>
        <w:t>ecumenically.</w:t>
      </w:r>
    </w:p>
    <w:p>
      <w:pPr>
        <w:pStyle w:val="BodyText"/>
        <w:spacing w:before="7"/>
        <w:rPr>
          <w:sz w:val="20"/>
        </w:rPr>
      </w:pPr>
    </w:p>
    <w:p>
      <w:pPr>
        <w:pStyle w:val="ListParagraph"/>
        <w:numPr>
          <w:ilvl w:val="0"/>
          <w:numId w:val="2"/>
        </w:numPr>
        <w:tabs>
          <w:tab w:pos="1354" w:val="left" w:leader="none"/>
          <w:tab w:pos="1355" w:val="left" w:leader="none"/>
        </w:tabs>
        <w:spacing w:line="250" w:lineRule="exact" w:before="0" w:after="0"/>
        <w:ind w:left="1354" w:right="1427" w:hanging="681"/>
        <w:jc w:val="left"/>
        <w:rPr>
          <w:color w:val="231F20"/>
          <w:sz w:val="25"/>
        </w:rPr>
      </w:pPr>
      <w:r>
        <w:rPr>
          <w:b/>
          <w:color w:val="231F20"/>
          <w:w w:val="110"/>
          <w:sz w:val="18"/>
        </w:rPr>
        <w:t>Population </w:t>
      </w:r>
      <w:r>
        <w:rPr>
          <w:b/>
          <w:color w:val="231F20"/>
          <w:spacing w:val="2"/>
          <w:w w:val="110"/>
          <w:sz w:val="18"/>
        </w:rPr>
        <w:t>Growth </w:t>
      </w:r>
      <w:r>
        <w:rPr>
          <w:color w:val="231F20"/>
          <w:w w:val="110"/>
          <w:sz w:val="18"/>
        </w:rPr>
        <w:t>By </w:t>
      </w:r>
      <w:r>
        <w:rPr>
          <w:color w:val="231F20"/>
          <w:spacing w:val="-3"/>
          <w:w w:val="110"/>
          <w:sz w:val="18"/>
        </w:rPr>
        <w:t>2020 </w:t>
      </w:r>
      <w:r>
        <w:rPr>
          <w:color w:val="231F20"/>
          <w:w w:val="110"/>
          <w:sz w:val="18"/>
        </w:rPr>
        <w:t>the East of England Region will have had to absorb  over 500,000 new homes. New towns will have been created, and existing towns and villages will have grown. The need to keep abreast of these developments, and work ecumenically in negotiating and devising appropriate mission strategies has led to a variety of responses. </w:t>
      </w:r>
      <w:r>
        <w:rPr>
          <w:color w:val="231F20"/>
          <w:spacing w:val="2"/>
          <w:w w:val="110"/>
          <w:sz w:val="18"/>
        </w:rPr>
        <w:t>Three </w:t>
      </w:r>
      <w:r>
        <w:rPr>
          <w:color w:val="231F20"/>
          <w:w w:val="110"/>
          <w:sz w:val="18"/>
        </w:rPr>
        <w:t>examples</w:t>
      </w:r>
      <w:r>
        <w:rPr>
          <w:color w:val="231F20"/>
          <w:spacing w:val="7"/>
          <w:w w:val="110"/>
          <w:sz w:val="18"/>
        </w:rPr>
        <w:t> </w:t>
      </w:r>
      <w:r>
        <w:rPr>
          <w:color w:val="231F20"/>
          <w:w w:val="110"/>
          <w:sz w:val="18"/>
        </w:rPr>
        <w:t>are:</w:t>
      </w:r>
    </w:p>
    <w:p>
      <w:pPr>
        <w:pStyle w:val="ListParagraph"/>
        <w:numPr>
          <w:ilvl w:val="2"/>
          <w:numId w:val="13"/>
        </w:numPr>
        <w:tabs>
          <w:tab w:pos="1694" w:val="left" w:leader="none"/>
          <w:tab w:pos="1695" w:val="left" w:leader="none"/>
        </w:tabs>
        <w:spacing w:line="273" w:lineRule="auto" w:before="19" w:after="0"/>
        <w:ind w:left="1694" w:right="1591" w:hanging="341"/>
        <w:jc w:val="left"/>
        <w:rPr>
          <w:sz w:val="18"/>
        </w:rPr>
      </w:pPr>
      <w:r>
        <w:rPr>
          <w:color w:val="231F20"/>
          <w:w w:val="110"/>
          <w:sz w:val="18"/>
        </w:rPr>
        <w:t>The Methodists in two </w:t>
      </w:r>
      <w:r>
        <w:rPr>
          <w:color w:val="231F20"/>
          <w:spacing w:val="2"/>
          <w:w w:val="110"/>
          <w:sz w:val="18"/>
        </w:rPr>
        <w:t>Districts, </w:t>
      </w:r>
      <w:r>
        <w:rPr>
          <w:color w:val="231F20"/>
          <w:w w:val="110"/>
          <w:sz w:val="18"/>
        </w:rPr>
        <w:t>the United Reformed Church in two Synods and the Anglicans in one Diocese are jointly employing, </w:t>
      </w:r>
      <w:r>
        <w:rPr>
          <w:color w:val="231F20"/>
          <w:spacing w:val="2"/>
          <w:w w:val="110"/>
          <w:sz w:val="18"/>
        </w:rPr>
        <w:t>from </w:t>
      </w:r>
      <w:r>
        <w:rPr>
          <w:color w:val="231F20"/>
          <w:w w:val="110"/>
          <w:sz w:val="18"/>
        </w:rPr>
        <w:t>September </w:t>
      </w:r>
      <w:r>
        <w:rPr>
          <w:color w:val="231F20"/>
          <w:spacing w:val="-7"/>
          <w:w w:val="110"/>
          <w:sz w:val="18"/>
        </w:rPr>
        <w:t>2007, </w:t>
      </w:r>
      <w:r>
        <w:rPr>
          <w:color w:val="231F20"/>
          <w:w w:val="110"/>
          <w:sz w:val="18"/>
        </w:rPr>
        <w:t>a Development Advisor, the Revd Dr </w:t>
      </w:r>
      <w:r>
        <w:rPr>
          <w:color w:val="231F20"/>
          <w:spacing w:val="-5"/>
          <w:w w:val="110"/>
          <w:sz w:val="18"/>
        </w:rPr>
        <w:t>Tony </w:t>
      </w:r>
      <w:r>
        <w:rPr>
          <w:color w:val="231F20"/>
          <w:w w:val="110"/>
          <w:sz w:val="18"/>
        </w:rPr>
        <w:t>Barker </w:t>
      </w:r>
      <w:r>
        <w:rPr>
          <w:color w:val="231F20"/>
          <w:spacing w:val="-3"/>
          <w:w w:val="110"/>
          <w:sz w:val="18"/>
        </w:rPr>
        <w:t>(who </w:t>
      </w:r>
      <w:r>
        <w:rPr>
          <w:color w:val="231F20"/>
          <w:w w:val="110"/>
          <w:sz w:val="18"/>
        </w:rPr>
        <w:t>happens to be a Baptist!). He will keep us up to date on housing plans and enable churches locally to learn how </w:t>
      </w:r>
      <w:r>
        <w:rPr>
          <w:color w:val="231F20"/>
          <w:spacing w:val="2"/>
          <w:w w:val="110"/>
          <w:sz w:val="18"/>
        </w:rPr>
        <w:t>best </w:t>
      </w:r>
      <w:r>
        <w:rPr>
          <w:color w:val="231F20"/>
          <w:w w:val="110"/>
          <w:sz w:val="18"/>
        </w:rPr>
        <w:t>to respond to major new</w:t>
      </w:r>
      <w:r>
        <w:rPr>
          <w:color w:val="231F20"/>
          <w:spacing w:val="12"/>
          <w:w w:val="110"/>
          <w:sz w:val="18"/>
        </w:rPr>
        <w:t> </w:t>
      </w:r>
      <w:r>
        <w:rPr>
          <w:color w:val="231F20"/>
          <w:w w:val="110"/>
          <w:sz w:val="18"/>
        </w:rPr>
        <w:t>developments.</w:t>
      </w:r>
    </w:p>
    <w:p>
      <w:pPr>
        <w:pStyle w:val="ListParagraph"/>
        <w:numPr>
          <w:ilvl w:val="2"/>
          <w:numId w:val="13"/>
        </w:numPr>
        <w:tabs>
          <w:tab w:pos="1695" w:val="left" w:leader="none"/>
        </w:tabs>
        <w:spacing w:line="273" w:lineRule="auto" w:before="3" w:after="0"/>
        <w:ind w:left="1694" w:right="1678" w:hanging="341"/>
        <w:jc w:val="left"/>
        <w:rPr>
          <w:sz w:val="18"/>
        </w:rPr>
      </w:pPr>
      <w:r>
        <w:rPr>
          <w:color w:val="231F20"/>
          <w:spacing w:val="3"/>
          <w:w w:val="110"/>
          <w:sz w:val="18"/>
        </w:rPr>
        <w:t>As </w:t>
      </w:r>
      <w:r>
        <w:rPr>
          <w:color w:val="231F20"/>
          <w:w w:val="110"/>
          <w:sz w:val="18"/>
        </w:rPr>
        <w:t>an example of such co-operation the Synod has recently bought a house for a</w:t>
      </w:r>
      <w:r>
        <w:rPr>
          <w:color w:val="231F20"/>
          <w:spacing w:val="9"/>
          <w:w w:val="110"/>
          <w:sz w:val="18"/>
        </w:rPr>
        <w:t> </w:t>
      </w:r>
      <w:r>
        <w:rPr>
          <w:color w:val="231F20"/>
          <w:w w:val="110"/>
          <w:sz w:val="18"/>
        </w:rPr>
        <w:t>Christian</w:t>
      </w:r>
      <w:r>
        <w:rPr>
          <w:color w:val="231F20"/>
          <w:spacing w:val="10"/>
          <w:w w:val="110"/>
          <w:sz w:val="18"/>
        </w:rPr>
        <w:t> </w:t>
      </w:r>
      <w:r>
        <w:rPr>
          <w:color w:val="231F20"/>
          <w:w w:val="110"/>
          <w:sz w:val="18"/>
        </w:rPr>
        <w:t>worker</w:t>
      </w:r>
      <w:r>
        <w:rPr>
          <w:color w:val="231F20"/>
          <w:spacing w:val="10"/>
          <w:w w:val="110"/>
          <w:sz w:val="18"/>
        </w:rPr>
        <w:t> </w:t>
      </w:r>
      <w:r>
        <w:rPr>
          <w:color w:val="231F20"/>
          <w:w w:val="110"/>
          <w:sz w:val="18"/>
        </w:rPr>
        <w:t>on</w:t>
      </w:r>
      <w:r>
        <w:rPr>
          <w:color w:val="231F20"/>
          <w:spacing w:val="10"/>
          <w:w w:val="110"/>
          <w:sz w:val="18"/>
        </w:rPr>
        <w:t> </w:t>
      </w:r>
      <w:r>
        <w:rPr>
          <w:color w:val="231F20"/>
          <w:w w:val="110"/>
          <w:sz w:val="18"/>
        </w:rPr>
        <w:t>a</w:t>
      </w:r>
      <w:r>
        <w:rPr>
          <w:color w:val="231F20"/>
          <w:spacing w:val="10"/>
          <w:w w:val="110"/>
          <w:sz w:val="18"/>
        </w:rPr>
        <w:t> </w:t>
      </w:r>
      <w:r>
        <w:rPr>
          <w:color w:val="231F20"/>
          <w:w w:val="110"/>
          <w:sz w:val="18"/>
        </w:rPr>
        <w:t>new</w:t>
      </w:r>
      <w:r>
        <w:rPr>
          <w:color w:val="231F20"/>
          <w:spacing w:val="10"/>
          <w:w w:val="110"/>
          <w:sz w:val="18"/>
        </w:rPr>
        <w:t> </w:t>
      </w:r>
      <w:r>
        <w:rPr>
          <w:color w:val="231F20"/>
          <w:w w:val="110"/>
          <w:sz w:val="18"/>
        </w:rPr>
        <w:t>housing</w:t>
      </w:r>
      <w:r>
        <w:rPr>
          <w:color w:val="231F20"/>
          <w:spacing w:val="10"/>
          <w:w w:val="110"/>
          <w:sz w:val="18"/>
        </w:rPr>
        <w:t> </w:t>
      </w:r>
      <w:r>
        <w:rPr>
          <w:color w:val="231F20"/>
          <w:w w:val="110"/>
          <w:sz w:val="18"/>
        </w:rPr>
        <w:t>development</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Colchester.</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Anglicans</w:t>
      </w:r>
    </w:p>
    <w:p>
      <w:pPr>
        <w:pStyle w:val="BodyText"/>
        <w:spacing w:line="273" w:lineRule="auto" w:before="1"/>
        <w:ind w:left="1694" w:right="1403"/>
      </w:pPr>
      <w:r>
        <w:rPr>
          <w:color w:val="231F20"/>
          <w:w w:val="110"/>
        </w:rPr>
        <w:t>furnished it, and the Methodists have deployed a Deacon to live there. The sorrow of a church closure in an older </w:t>
      </w:r>
      <w:r>
        <w:rPr>
          <w:color w:val="231F20"/>
          <w:spacing w:val="2"/>
          <w:w w:val="110"/>
        </w:rPr>
        <w:t>part </w:t>
      </w:r>
      <w:r>
        <w:rPr>
          <w:color w:val="231F20"/>
          <w:w w:val="110"/>
        </w:rPr>
        <w:t>of town has turned to the joy of</w:t>
      </w:r>
      <w:r>
        <w:rPr>
          <w:color w:val="231F20"/>
          <w:spacing w:val="56"/>
          <w:w w:val="110"/>
        </w:rPr>
        <w:t> </w:t>
      </w:r>
      <w:r>
        <w:rPr>
          <w:color w:val="231F20"/>
          <w:w w:val="110"/>
        </w:rPr>
        <w:t>a</w:t>
      </w:r>
    </w:p>
    <w:p>
      <w:pPr>
        <w:pStyle w:val="BodyText"/>
        <w:spacing w:before="2"/>
        <w:ind w:left="1694"/>
      </w:pPr>
      <w:r>
        <w:rPr>
          <w:color w:val="231F20"/>
          <w:w w:val="110"/>
        </w:rPr>
        <w:t>new opportunity in mission.</w:t>
      </w:r>
    </w:p>
    <w:p>
      <w:pPr>
        <w:pStyle w:val="ListParagraph"/>
        <w:numPr>
          <w:ilvl w:val="2"/>
          <w:numId w:val="13"/>
        </w:numPr>
        <w:tabs>
          <w:tab w:pos="1695" w:val="left" w:leader="none"/>
        </w:tabs>
        <w:spacing w:line="273" w:lineRule="auto" w:before="31" w:after="0"/>
        <w:ind w:left="1694" w:right="1291" w:hanging="341"/>
        <w:jc w:val="left"/>
        <w:rPr>
          <w:sz w:val="18"/>
        </w:rPr>
      </w:pPr>
      <w:r>
        <w:rPr>
          <w:color w:val="231F20"/>
          <w:w w:val="110"/>
          <w:sz w:val="18"/>
        </w:rPr>
        <w:t>The Synod continues to support new ecumenical churches at </w:t>
      </w:r>
      <w:r>
        <w:rPr>
          <w:i/>
          <w:color w:val="231F20"/>
          <w:w w:val="110"/>
          <w:sz w:val="18"/>
        </w:rPr>
        <w:t>Cambourne, Chafford </w:t>
      </w:r>
      <w:r>
        <w:rPr>
          <w:i/>
          <w:color w:val="231F20"/>
          <w:w w:val="110"/>
          <w:sz w:val="18"/>
        </w:rPr>
        <w:t>Hundred </w:t>
      </w:r>
      <w:r>
        <w:rPr>
          <w:color w:val="231F20"/>
          <w:w w:val="110"/>
          <w:sz w:val="18"/>
        </w:rPr>
        <w:t>and </w:t>
      </w:r>
      <w:r>
        <w:rPr>
          <w:i/>
          <w:color w:val="231F20"/>
          <w:w w:val="110"/>
          <w:sz w:val="18"/>
        </w:rPr>
        <w:t>Great Notley. </w:t>
      </w:r>
      <w:r>
        <w:rPr>
          <w:color w:val="231F20"/>
          <w:spacing w:val="2"/>
          <w:w w:val="110"/>
          <w:sz w:val="18"/>
        </w:rPr>
        <w:t>These </w:t>
      </w:r>
      <w:r>
        <w:rPr>
          <w:color w:val="231F20"/>
          <w:w w:val="110"/>
          <w:sz w:val="18"/>
        </w:rPr>
        <w:t>are stretching the denominational</w:t>
      </w:r>
      <w:r>
        <w:rPr>
          <w:color w:val="231F20"/>
          <w:spacing w:val="64"/>
          <w:w w:val="110"/>
          <w:sz w:val="18"/>
        </w:rPr>
        <w:t> </w:t>
      </w:r>
      <w:r>
        <w:rPr>
          <w:color w:val="231F20"/>
          <w:spacing w:val="2"/>
          <w:w w:val="110"/>
          <w:sz w:val="18"/>
        </w:rPr>
        <w:t>resources</w:t>
      </w:r>
    </w:p>
    <w:p>
      <w:pPr>
        <w:pStyle w:val="BodyText"/>
        <w:spacing w:line="273" w:lineRule="auto" w:before="1"/>
        <w:ind w:left="1694" w:right="1365"/>
      </w:pPr>
      <w:r>
        <w:rPr>
          <w:color w:val="231F20"/>
          <w:w w:val="110"/>
        </w:rPr>
        <w:t>to the limit as we reach the building stage. In another new move, we have re- configured the work at Chafford Hundred from being a single congregation LEP to being an Anglican church with an ‘ecumenical welcome’, as this is felt to encourage local congregational growth more effectively.</w:t>
      </w:r>
    </w:p>
    <w:p>
      <w:pPr>
        <w:pStyle w:val="BodyText"/>
        <w:spacing w:before="2"/>
        <w:rPr>
          <w:sz w:val="19"/>
        </w:rPr>
      </w:pPr>
    </w:p>
    <w:p>
      <w:pPr>
        <w:pStyle w:val="ListParagraph"/>
        <w:numPr>
          <w:ilvl w:val="0"/>
          <w:numId w:val="2"/>
        </w:numPr>
        <w:tabs>
          <w:tab w:pos="1354" w:val="left" w:leader="none"/>
          <w:tab w:pos="1355" w:val="left" w:leader="none"/>
        </w:tabs>
        <w:spacing w:line="250" w:lineRule="exact" w:before="1" w:after="0"/>
        <w:ind w:left="1354" w:right="1340" w:hanging="681"/>
        <w:jc w:val="left"/>
        <w:rPr>
          <w:color w:val="231F20"/>
          <w:sz w:val="25"/>
        </w:rPr>
      </w:pPr>
      <w:r>
        <w:rPr>
          <w:b/>
          <w:color w:val="231F20"/>
          <w:spacing w:val="2"/>
          <w:w w:val="110"/>
          <w:sz w:val="18"/>
        </w:rPr>
        <w:t>Local Churches </w:t>
      </w:r>
      <w:r>
        <w:rPr>
          <w:color w:val="231F20"/>
          <w:w w:val="110"/>
          <w:sz w:val="18"/>
        </w:rPr>
        <w:t>The Synod has voted to </w:t>
      </w:r>
      <w:r>
        <w:rPr>
          <w:color w:val="231F20"/>
          <w:spacing w:val="2"/>
          <w:w w:val="110"/>
          <w:sz w:val="18"/>
        </w:rPr>
        <w:t>restructure </w:t>
      </w:r>
      <w:r>
        <w:rPr>
          <w:color w:val="231F20"/>
          <w:w w:val="110"/>
          <w:sz w:val="18"/>
        </w:rPr>
        <w:t>into partnerships, grouping pastorates informally for mutual pastoral oversight and for </w:t>
      </w:r>
      <w:r>
        <w:rPr>
          <w:color w:val="231F20"/>
          <w:spacing w:val="2"/>
          <w:w w:val="110"/>
          <w:sz w:val="18"/>
        </w:rPr>
        <w:t>effective </w:t>
      </w:r>
      <w:r>
        <w:rPr>
          <w:color w:val="231F20"/>
          <w:w w:val="110"/>
          <w:sz w:val="18"/>
        </w:rPr>
        <w:t>deployment of ministry. Each </w:t>
      </w:r>
      <w:r>
        <w:rPr>
          <w:color w:val="231F20"/>
          <w:spacing w:val="2"/>
          <w:w w:val="110"/>
          <w:sz w:val="18"/>
        </w:rPr>
        <w:t>partnership </w:t>
      </w:r>
      <w:r>
        <w:rPr>
          <w:color w:val="231F20"/>
          <w:w w:val="110"/>
          <w:sz w:val="18"/>
        </w:rPr>
        <w:t>will have an advocate who will relate to the Synod Pastoral Committee and the Moderator in providing support and</w:t>
      </w:r>
      <w:r>
        <w:rPr>
          <w:color w:val="231F20"/>
          <w:spacing w:val="33"/>
          <w:w w:val="110"/>
          <w:sz w:val="18"/>
        </w:rPr>
        <w:t> </w:t>
      </w:r>
      <w:r>
        <w:rPr>
          <w:color w:val="231F20"/>
          <w:w w:val="110"/>
          <w:sz w:val="18"/>
        </w:rPr>
        <w:t>leadership.</w:t>
      </w:r>
    </w:p>
    <w:p>
      <w:pPr>
        <w:pStyle w:val="BodyText"/>
        <w:spacing w:before="1"/>
        <w:rPr>
          <w:sz w:val="22"/>
        </w:rPr>
      </w:pPr>
    </w:p>
    <w:p>
      <w:pPr>
        <w:pStyle w:val="BodyText"/>
        <w:spacing w:line="273" w:lineRule="auto"/>
        <w:ind w:left="1354" w:right="1365"/>
      </w:pPr>
      <w:r>
        <w:rPr>
          <w:color w:val="231F20"/>
          <w:w w:val="110"/>
        </w:rPr>
        <w:t>Two areas have already seen major collaboration, with four churches in </w:t>
      </w:r>
      <w:r>
        <w:rPr>
          <w:i/>
          <w:color w:val="231F20"/>
          <w:w w:val="110"/>
        </w:rPr>
        <w:t>Southend </w:t>
      </w:r>
      <w:r>
        <w:rPr>
          <w:color w:val="231F20"/>
          <w:w w:val="110"/>
        </w:rPr>
        <w:t>coming together as a single congregation and planning to redevelop the premises on one site for this ‘new’ church.</w:t>
      </w:r>
    </w:p>
    <w:p>
      <w:pPr>
        <w:pStyle w:val="BodyText"/>
        <w:spacing w:before="9"/>
        <w:rPr>
          <w:sz w:val="20"/>
        </w:rPr>
      </w:pPr>
    </w:p>
    <w:p>
      <w:pPr>
        <w:pStyle w:val="BodyText"/>
        <w:spacing w:line="273" w:lineRule="auto"/>
        <w:ind w:left="1354" w:right="1365"/>
      </w:pPr>
      <w:r>
        <w:rPr>
          <w:color w:val="231F20"/>
          <w:w w:val="110"/>
        </w:rPr>
        <w:t>In </w:t>
      </w:r>
      <w:r>
        <w:rPr>
          <w:i/>
          <w:color w:val="231F20"/>
          <w:w w:val="110"/>
        </w:rPr>
        <w:t>Norwich </w:t>
      </w:r>
      <w:r>
        <w:rPr>
          <w:color w:val="231F20"/>
          <w:w w:val="110"/>
        </w:rPr>
        <w:t>the four city churches have been working together with shared ministry for two years, and are being joined by three other churches by 2008. The three pastoral ministers have been joined by a special category minister whose task is to enable</w:t>
      </w:r>
    </w:p>
    <w:p>
      <w:pPr>
        <w:pStyle w:val="BodyText"/>
        <w:spacing w:line="273" w:lineRule="auto" w:before="2"/>
        <w:ind w:left="1354" w:right="1538"/>
      </w:pPr>
      <w:r>
        <w:rPr>
          <w:color w:val="231F20"/>
          <w:w w:val="110"/>
        </w:rPr>
        <w:t>the group to develop in its new way of working, as well as acting as </w:t>
      </w:r>
      <w:r>
        <w:rPr>
          <w:color w:val="231F20"/>
          <w:spacing w:val="-4"/>
          <w:w w:val="110"/>
        </w:rPr>
        <w:t>Team </w:t>
      </w:r>
      <w:r>
        <w:rPr>
          <w:color w:val="231F20"/>
          <w:w w:val="110"/>
        </w:rPr>
        <w:t>Leader   for The </w:t>
      </w:r>
      <w:r>
        <w:rPr>
          <w:color w:val="231F20"/>
          <w:spacing w:val="2"/>
          <w:w w:val="110"/>
        </w:rPr>
        <w:t>Norfolk </w:t>
      </w:r>
      <w:r>
        <w:rPr>
          <w:color w:val="231F20"/>
          <w:w w:val="110"/>
        </w:rPr>
        <w:t>and Waveney Industrial Mission. </w:t>
      </w:r>
      <w:r>
        <w:rPr>
          <w:color w:val="231F20"/>
          <w:spacing w:val="2"/>
          <w:w w:val="110"/>
        </w:rPr>
        <w:t>There </w:t>
      </w:r>
      <w:r>
        <w:rPr>
          <w:color w:val="231F20"/>
          <w:w w:val="110"/>
        </w:rPr>
        <w:t>will also be a Church Related Community </w:t>
      </w:r>
      <w:r>
        <w:rPr>
          <w:color w:val="231F20"/>
          <w:spacing w:val="-3"/>
          <w:w w:val="110"/>
        </w:rPr>
        <w:t>Worker. </w:t>
      </w:r>
      <w:r>
        <w:rPr>
          <w:color w:val="231F20"/>
          <w:w w:val="110"/>
        </w:rPr>
        <w:t>The churches have retained their independent church meetings whilst</w:t>
      </w:r>
      <w:r>
        <w:rPr>
          <w:color w:val="231F20"/>
          <w:spacing w:val="10"/>
          <w:w w:val="110"/>
        </w:rPr>
        <w:t> </w:t>
      </w:r>
      <w:r>
        <w:rPr>
          <w:color w:val="231F20"/>
          <w:w w:val="110"/>
        </w:rPr>
        <w:t>having</w:t>
      </w:r>
      <w:r>
        <w:rPr>
          <w:color w:val="231F20"/>
          <w:spacing w:val="11"/>
          <w:w w:val="110"/>
        </w:rPr>
        <w:t> </w:t>
      </w:r>
      <w:r>
        <w:rPr>
          <w:color w:val="231F20"/>
          <w:w w:val="110"/>
        </w:rPr>
        <w:t>a</w:t>
      </w:r>
      <w:r>
        <w:rPr>
          <w:color w:val="231F20"/>
          <w:spacing w:val="10"/>
          <w:w w:val="110"/>
        </w:rPr>
        <w:t> </w:t>
      </w:r>
      <w:r>
        <w:rPr>
          <w:color w:val="231F20"/>
          <w:spacing w:val="2"/>
          <w:w w:val="110"/>
        </w:rPr>
        <w:t>structure</w:t>
      </w:r>
      <w:r>
        <w:rPr>
          <w:color w:val="231F20"/>
          <w:spacing w:val="11"/>
          <w:w w:val="110"/>
        </w:rPr>
        <w:t> </w:t>
      </w:r>
      <w:r>
        <w:rPr>
          <w:color w:val="231F20"/>
          <w:w w:val="110"/>
        </w:rPr>
        <w:t>for</w:t>
      </w:r>
      <w:r>
        <w:rPr>
          <w:color w:val="231F20"/>
          <w:spacing w:val="10"/>
          <w:w w:val="110"/>
        </w:rPr>
        <w:t> </w:t>
      </w:r>
      <w:r>
        <w:rPr>
          <w:color w:val="231F20"/>
          <w:w w:val="110"/>
        </w:rPr>
        <w:t>sharing</w:t>
      </w:r>
      <w:r>
        <w:rPr>
          <w:color w:val="231F20"/>
          <w:spacing w:val="10"/>
          <w:w w:val="110"/>
        </w:rPr>
        <w:t> </w:t>
      </w:r>
      <w:r>
        <w:rPr>
          <w:color w:val="231F20"/>
          <w:w w:val="110"/>
        </w:rPr>
        <w:t>ministry,</w:t>
      </w:r>
      <w:r>
        <w:rPr>
          <w:color w:val="231F20"/>
          <w:spacing w:val="11"/>
          <w:w w:val="110"/>
        </w:rPr>
        <w:t> </w:t>
      </w:r>
      <w:r>
        <w:rPr>
          <w:color w:val="231F20"/>
          <w:w w:val="110"/>
        </w:rPr>
        <w:t>manses</w:t>
      </w:r>
      <w:r>
        <w:rPr>
          <w:color w:val="231F20"/>
          <w:spacing w:val="10"/>
          <w:w w:val="110"/>
        </w:rPr>
        <w:t> </w:t>
      </w:r>
      <w:r>
        <w:rPr>
          <w:color w:val="231F20"/>
          <w:w w:val="110"/>
        </w:rPr>
        <w:t>and</w:t>
      </w:r>
      <w:r>
        <w:rPr>
          <w:color w:val="231F20"/>
          <w:spacing w:val="11"/>
          <w:w w:val="110"/>
        </w:rPr>
        <w:t> </w:t>
      </w:r>
      <w:r>
        <w:rPr>
          <w:color w:val="231F20"/>
          <w:w w:val="110"/>
        </w:rPr>
        <w:t>shared</w:t>
      </w:r>
      <w:r>
        <w:rPr>
          <w:color w:val="231F20"/>
          <w:spacing w:val="10"/>
          <w:w w:val="110"/>
        </w:rPr>
        <w:t> </w:t>
      </w:r>
      <w:r>
        <w:rPr>
          <w:color w:val="231F20"/>
          <w:w w:val="110"/>
        </w:rPr>
        <w:t>decision</w:t>
      </w:r>
      <w:r>
        <w:rPr>
          <w:color w:val="231F20"/>
          <w:spacing w:val="11"/>
          <w:w w:val="110"/>
        </w:rPr>
        <w:t> </w:t>
      </w:r>
      <w:r>
        <w:rPr>
          <w:color w:val="231F20"/>
          <w:w w:val="110"/>
        </w:rPr>
        <w:t>making.</w:t>
      </w:r>
    </w:p>
    <w:p>
      <w:pPr>
        <w:spacing w:after="0" w:line="273" w:lineRule="auto"/>
        <w:sectPr>
          <w:pgSz w:w="11910" w:h="16840"/>
          <w:pgMar w:header="527" w:footer="564" w:top="700" w:bottom="760" w:left="460" w:right="0"/>
        </w:sectPr>
      </w:pPr>
    </w:p>
    <w:p>
      <w:pPr>
        <w:pStyle w:val="BodyText"/>
        <w:rPr>
          <w:sz w:val="20"/>
        </w:rPr>
      </w:pPr>
    </w:p>
    <w:p>
      <w:pPr>
        <w:pStyle w:val="BodyText"/>
        <w:rPr>
          <w:sz w:val="19"/>
        </w:rPr>
      </w:pPr>
    </w:p>
    <w:p>
      <w:pPr>
        <w:spacing w:before="0"/>
        <w:ind w:left="673" w:right="0" w:firstLine="0"/>
        <w:jc w:val="left"/>
        <w:rPr>
          <w:b/>
          <w:sz w:val="20"/>
        </w:rPr>
      </w:pPr>
      <w:r>
        <w:rPr>
          <w:b/>
          <w:color w:val="231F20"/>
          <w:w w:val="110"/>
          <w:sz w:val="20"/>
        </w:rPr>
        <w:t>Global Partner</w:t>
      </w:r>
    </w:p>
    <w:p>
      <w:pPr>
        <w:pStyle w:val="ListParagraph"/>
        <w:numPr>
          <w:ilvl w:val="0"/>
          <w:numId w:val="14"/>
        </w:numPr>
        <w:tabs>
          <w:tab w:pos="1393" w:val="left" w:leader="none"/>
          <w:tab w:pos="1394" w:val="left" w:leader="none"/>
        </w:tabs>
        <w:spacing w:line="273" w:lineRule="auto" w:before="27" w:after="0"/>
        <w:ind w:left="673" w:right="2303" w:firstLine="0"/>
        <w:jc w:val="left"/>
        <w:rPr>
          <w:sz w:val="18"/>
        </w:rPr>
      </w:pPr>
      <w:r>
        <w:rPr>
          <w:color w:val="231F20"/>
          <w:w w:val="110"/>
          <w:sz w:val="18"/>
        </w:rPr>
        <w:t>During 2005 the Synod voted to create a </w:t>
      </w:r>
      <w:r>
        <w:rPr>
          <w:color w:val="231F20"/>
          <w:spacing w:val="2"/>
          <w:w w:val="110"/>
          <w:sz w:val="18"/>
        </w:rPr>
        <w:t>partnership </w:t>
      </w:r>
      <w:r>
        <w:rPr>
          <w:color w:val="231F20"/>
          <w:w w:val="110"/>
          <w:sz w:val="18"/>
        </w:rPr>
        <w:t>with the Zimbabwe </w:t>
      </w:r>
      <w:r>
        <w:rPr>
          <w:color w:val="231F20"/>
          <w:spacing w:val="2"/>
          <w:w w:val="110"/>
          <w:sz w:val="18"/>
        </w:rPr>
        <w:t>Presbytery </w:t>
      </w:r>
      <w:r>
        <w:rPr>
          <w:color w:val="231F20"/>
          <w:w w:val="110"/>
          <w:sz w:val="18"/>
        </w:rPr>
        <w:t>of the Uniting Presbyterian Church of Southern Africa.  It is hoped that  a group </w:t>
      </w:r>
      <w:r>
        <w:rPr>
          <w:color w:val="231F20"/>
          <w:spacing w:val="2"/>
          <w:w w:val="110"/>
          <w:sz w:val="18"/>
        </w:rPr>
        <w:t>from </w:t>
      </w:r>
      <w:r>
        <w:rPr>
          <w:color w:val="231F20"/>
          <w:w w:val="110"/>
          <w:sz w:val="18"/>
        </w:rPr>
        <w:t>Zimbabwe will visit us in </w:t>
      </w:r>
      <w:r>
        <w:rPr>
          <w:color w:val="231F20"/>
          <w:spacing w:val="2"/>
          <w:w w:val="110"/>
          <w:sz w:val="18"/>
        </w:rPr>
        <w:t>October </w:t>
      </w:r>
      <w:r>
        <w:rPr>
          <w:color w:val="231F20"/>
          <w:w w:val="110"/>
          <w:sz w:val="18"/>
        </w:rPr>
        <w:t>2007 and participate in the </w:t>
      </w:r>
      <w:r>
        <w:rPr>
          <w:color w:val="231F20"/>
          <w:spacing w:val="2"/>
          <w:w w:val="110"/>
          <w:sz w:val="18"/>
        </w:rPr>
        <w:t>October </w:t>
      </w:r>
      <w:r>
        <w:rPr>
          <w:color w:val="231F20"/>
          <w:w w:val="110"/>
          <w:sz w:val="18"/>
        </w:rPr>
        <w:t>Synod Meeting.</w:t>
      </w:r>
    </w:p>
    <w:p>
      <w:pPr>
        <w:pStyle w:val="BodyText"/>
        <w:spacing w:before="1"/>
        <w:rPr>
          <w:sz w:val="19"/>
        </w:rPr>
      </w:pPr>
    </w:p>
    <w:p>
      <w:pPr>
        <w:spacing w:before="1"/>
        <w:ind w:left="673" w:right="0" w:firstLine="0"/>
        <w:jc w:val="left"/>
        <w:rPr>
          <w:b/>
          <w:sz w:val="20"/>
        </w:rPr>
      </w:pPr>
      <w:r>
        <w:rPr>
          <w:b/>
          <w:color w:val="231F20"/>
          <w:w w:val="110"/>
          <w:sz w:val="20"/>
        </w:rPr>
        <w:t>Fairtrade Synod</w:t>
      </w:r>
    </w:p>
    <w:p>
      <w:pPr>
        <w:pStyle w:val="ListParagraph"/>
        <w:numPr>
          <w:ilvl w:val="0"/>
          <w:numId w:val="14"/>
        </w:numPr>
        <w:tabs>
          <w:tab w:pos="1393" w:val="left" w:leader="none"/>
          <w:tab w:pos="1394" w:val="left" w:leader="none"/>
        </w:tabs>
        <w:spacing w:line="273" w:lineRule="auto" w:before="27" w:after="0"/>
        <w:ind w:left="673" w:right="2363" w:firstLine="0"/>
        <w:jc w:val="left"/>
        <w:rPr>
          <w:sz w:val="18"/>
        </w:rPr>
      </w:pPr>
      <w:r>
        <w:rPr>
          <w:color w:val="231F20"/>
          <w:w w:val="110"/>
          <w:sz w:val="18"/>
        </w:rPr>
        <w:t>In 2005 Eastern Synod was declared the second Fairtrade Synod within the United Reformed</w:t>
      </w:r>
      <w:r>
        <w:rPr>
          <w:color w:val="231F20"/>
          <w:spacing w:val="2"/>
          <w:w w:val="110"/>
          <w:sz w:val="18"/>
        </w:rPr>
        <w:t> </w:t>
      </w:r>
      <w:r>
        <w:rPr>
          <w:color w:val="231F20"/>
          <w:w w:val="110"/>
          <w:sz w:val="18"/>
        </w:rPr>
        <w:t>Church.</w:t>
      </w:r>
    </w:p>
    <w:p>
      <w:pPr>
        <w:pStyle w:val="BodyText"/>
        <w:rPr>
          <w:sz w:val="19"/>
        </w:rPr>
      </w:pPr>
    </w:p>
    <w:p>
      <w:pPr>
        <w:spacing w:before="0"/>
        <w:ind w:left="673" w:right="0" w:firstLine="0"/>
        <w:jc w:val="left"/>
        <w:rPr>
          <w:b/>
          <w:sz w:val="20"/>
        </w:rPr>
      </w:pPr>
      <w:r>
        <w:rPr>
          <w:b/>
          <w:color w:val="231F20"/>
          <w:w w:val="110"/>
          <w:sz w:val="20"/>
        </w:rPr>
        <w:t>Manse Policy</w:t>
      </w:r>
    </w:p>
    <w:p>
      <w:pPr>
        <w:pStyle w:val="ListParagraph"/>
        <w:numPr>
          <w:ilvl w:val="0"/>
          <w:numId w:val="14"/>
        </w:numPr>
        <w:tabs>
          <w:tab w:pos="1393" w:val="left" w:leader="none"/>
          <w:tab w:pos="1394" w:val="left" w:leader="none"/>
        </w:tabs>
        <w:spacing w:line="273" w:lineRule="auto" w:before="27" w:after="0"/>
        <w:ind w:left="673" w:right="2589" w:firstLine="0"/>
        <w:jc w:val="left"/>
        <w:rPr>
          <w:sz w:val="18"/>
        </w:rPr>
      </w:pPr>
      <w:r>
        <w:rPr>
          <w:color w:val="231F20"/>
          <w:w w:val="110"/>
          <w:sz w:val="18"/>
        </w:rPr>
        <w:t>In 2005 </w:t>
      </w:r>
      <w:r>
        <w:rPr>
          <w:color w:val="231F20"/>
          <w:spacing w:val="2"/>
          <w:w w:val="110"/>
          <w:sz w:val="18"/>
        </w:rPr>
        <w:t>after </w:t>
      </w:r>
      <w:r>
        <w:rPr>
          <w:color w:val="231F20"/>
          <w:w w:val="110"/>
          <w:sz w:val="18"/>
        </w:rPr>
        <w:t>two years of consultation Synod voted to establish a Synod Manse Scheme.</w:t>
      </w:r>
    </w:p>
    <w:p>
      <w:pPr>
        <w:pStyle w:val="BodyText"/>
        <w:rPr>
          <w:sz w:val="19"/>
        </w:rPr>
      </w:pPr>
    </w:p>
    <w:p>
      <w:pPr>
        <w:spacing w:before="0"/>
        <w:ind w:left="673" w:right="0" w:firstLine="0"/>
        <w:jc w:val="left"/>
        <w:rPr>
          <w:b/>
          <w:sz w:val="20"/>
        </w:rPr>
      </w:pPr>
      <w:r>
        <w:rPr>
          <w:b/>
          <w:color w:val="231F20"/>
          <w:w w:val="110"/>
          <w:sz w:val="20"/>
        </w:rPr>
        <w:t>Ecumenical Area</w:t>
      </w:r>
    </w:p>
    <w:p>
      <w:pPr>
        <w:pStyle w:val="ListParagraph"/>
        <w:numPr>
          <w:ilvl w:val="0"/>
          <w:numId w:val="14"/>
        </w:numPr>
        <w:tabs>
          <w:tab w:pos="1393" w:val="left" w:leader="none"/>
          <w:tab w:pos="1394" w:val="left" w:leader="none"/>
        </w:tabs>
        <w:spacing w:line="273" w:lineRule="auto" w:before="27" w:after="0"/>
        <w:ind w:left="673" w:right="2433" w:firstLine="0"/>
        <w:jc w:val="left"/>
        <w:rPr>
          <w:sz w:val="18"/>
        </w:rPr>
      </w:pPr>
      <w:r>
        <w:rPr>
          <w:color w:val="231F20"/>
          <w:w w:val="110"/>
          <w:sz w:val="18"/>
        </w:rPr>
        <w:t>The West </w:t>
      </w:r>
      <w:r>
        <w:rPr>
          <w:color w:val="231F20"/>
          <w:spacing w:val="2"/>
          <w:w w:val="110"/>
          <w:sz w:val="18"/>
        </w:rPr>
        <w:t>Essex </w:t>
      </w:r>
      <w:r>
        <w:rPr>
          <w:color w:val="231F20"/>
          <w:w w:val="110"/>
          <w:sz w:val="18"/>
        </w:rPr>
        <w:t>Ecumenical </w:t>
      </w:r>
      <w:r>
        <w:rPr>
          <w:color w:val="231F20"/>
          <w:spacing w:val="2"/>
          <w:w w:val="110"/>
          <w:sz w:val="18"/>
        </w:rPr>
        <w:t>Area </w:t>
      </w:r>
      <w:r>
        <w:rPr>
          <w:color w:val="231F20"/>
          <w:w w:val="110"/>
          <w:sz w:val="18"/>
        </w:rPr>
        <w:t>welcomed churches </w:t>
      </w:r>
      <w:r>
        <w:rPr>
          <w:color w:val="231F20"/>
          <w:spacing w:val="2"/>
          <w:w w:val="110"/>
          <w:sz w:val="18"/>
        </w:rPr>
        <w:t>from </w:t>
      </w:r>
      <w:r>
        <w:rPr>
          <w:color w:val="231F20"/>
          <w:w w:val="110"/>
          <w:sz w:val="18"/>
        </w:rPr>
        <w:t>the Lea Valley </w:t>
      </w:r>
      <w:r>
        <w:rPr>
          <w:color w:val="231F20"/>
          <w:spacing w:val="2"/>
          <w:w w:val="110"/>
          <w:sz w:val="18"/>
        </w:rPr>
        <w:t>North </w:t>
      </w:r>
      <w:r>
        <w:rPr>
          <w:color w:val="231F20"/>
          <w:w w:val="110"/>
          <w:sz w:val="18"/>
        </w:rPr>
        <w:t>Methodist circuit in forming the </w:t>
      </w:r>
      <w:r>
        <w:rPr>
          <w:color w:val="231F20"/>
          <w:spacing w:val="3"/>
          <w:w w:val="110"/>
          <w:sz w:val="18"/>
        </w:rPr>
        <w:t>Herts </w:t>
      </w:r>
      <w:r>
        <w:rPr>
          <w:color w:val="231F20"/>
          <w:w w:val="110"/>
          <w:sz w:val="18"/>
        </w:rPr>
        <w:t>and </w:t>
      </w:r>
      <w:r>
        <w:rPr>
          <w:color w:val="231F20"/>
          <w:spacing w:val="2"/>
          <w:w w:val="110"/>
          <w:sz w:val="18"/>
        </w:rPr>
        <w:t>Essex </w:t>
      </w:r>
      <w:r>
        <w:rPr>
          <w:color w:val="231F20"/>
          <w:w w:val="110"/>
          <w:sz w:val="18"/>
        </w:rPr>
        <w:t>Border Ecumenical </w:t>
      </w:r>
      <w:r>
        <w:rPr>
          <w:color w:val="231F20"/>
          <w:spacing w:val="2"/>
          <w:w w:val="110"/>
          <w:sz w:val="18"/>
        </w:rPr>
        <w:t>Area </w:t>
      </w:r>
      <w:r>
        <w:rPr>
          <w:color w:val="231F20"/>
          <w:w w:val="110"/>
          <w:sz w:val="18"/>
        </w:rPr>
        <w:t>in September 2006.</w:t>
      </w:r>
    </w:p>
    <w:p>
      <w:pPr>
        <w:pStyle w:val="BodyText"/>
        <w:spacing w:before="1"/>
        <w:rPr>
          <w:sz w:val="19"/>
        </w:rPr>
      </w:pPr>
    </w:p>
    <w:p>
      <w:pPr>
        <w:spacing w:before="0"/>
        <w:ind w:left="673" w:right="0" w:firstLine="0"/>
        <w:jc w:val="left"/>
        <w:rPr>
          <w:b/>
          <w:sz w:val="20"/>
        </w:rPr>
      </w:pPr>
      <w:r>
        <w:rPr>
          <w:b/>
          <w:color w:val="231F20"/>
          <w:w w:val="110"/>
          <w:sz w:val="20"/>
        </w:rPr>
        <w:t>People</w:t>
      </w:r>
    </w:p>
    <w:p>
      <w:pPr>
        <w:pStyle w:val="ListParagraph"/>
        <w:numPr>
          <w:ilvl w:val="1"/>
          <w:numId w:val="15"/>
        </w:numPr>
        <w:tabs>
          <w:tab w:pos="1393" w:val="left" w:leader="none"/>
          <w:tab w:pos="1394" w:val="left" w:leader="none"/>
        </w:tabs>
        <w:spacing w:line="273" w:lineRule="auto" w:before="27" w:after="0"/>
        <w:ind w:left="673" w:right="1864" w:firstLine="0"/>
        <w:jc w:val="left"/>
        <w:rPr>
          <w:sz w:val="18"/>
        </w:rPr>
      </w:pPr>
      <w:r>
        <w:rPr>
          <w:color w:val="231F20"/>
          <w:w w:val="110"/>
          <w:sz w:val="18"/>
        </w:rPr>
        <w:t>The Synod has benefited greatly </w:t>
      </w:r>
      <w:r>
        <w:rPr>
          <w:color w:val="231F20"/>
          <w:spacing w:val="2"/>
          <w:w w:val="110"/>
          <w:sz w:val="18"/>
        </w:rPr>
        <w:t>from </w:t>
      </w:r>
      <w:r>
        <w:rPr>
          <w:color w:val="231F20"/>
          <w:w w:val="110"/>
          <w:sz w:val="18"/>
        </w:rPr>
        <w:t>the energetic leadership of Mick Barnes, our Synod Clerk, particularly in the improvement of </w:t>
      </w:r>
      <w:r>
        <w:rPr>
          <w:color w:val="231F20"/>
          <w:spacing w:val="2"/>
          <w:w w:val="110"/>
          <w:sz w:val="18"/>
        </w:rPr>
        <w:t>office </w:t>
      </w:r>
      <w:r>
        <w:rPr>
          <w:color w:val="231F20"/>
          <w:w w:val="110"/>
          <w:sz w:val="18"/>
        </w:rPr>
        <w:t>facilities and administrative procedures. </w:t>
      </w:r>
      <w:r>
        <w:rPr>
          <w:color w:val="231F20"/>
          <w:spacing w:val="2"/>
          <w:w w:val="110"/>
          <w:sz w:val="18"/>
        </w:rPr>
        <w:t>Clifford </w:t>
      </w:r>
      <w:r>
        <w:rPr>
          <w:color w:val="231F20"/>
          <w:w w:val="110"/>
          <w:sz w:val="18"/>
        </w:rPr>
        <w:t>Patten, our Treasurer for seven years, ably led our finance team;  we welcome Ron Wade in his place. The Synod gladly continues to play its </w:t>
      </w:r>
      <w:r>
        <w:rPr>
          <w:color w:val="231F20"/>
          <w:spacing w:val="2"/>
          <w:w w:val="110"/>
          <w:sz w:val="18"/>
        </w:rPr>
        <w:t>part </w:t>
      </w:r>
      <w:r>
        <w:rPr>
          <w:color w:val="231F20"/>
          <w:w w:val="110"/>
          <w:sz w:val="18"/>
        </w:rPr>
        <w:t>in inter- Synod </w:t>
      </w:r>
      <w:r>
        <w:rPr>
          <w:color w:val="231F20"/>
          <w:spacing w:val="2"/>
          <w:w w:val="110"/>
          <w:sz w:val="18"/>
        </w:rPr>
        <w:t>resource </w:t>
      </w:r>
      <w:r>
        <w:rPr>
          <w:color w:val="231F20"/>
          <w:w w:val="110"/>
          <w:sz w:val="18"/>
        </w:rPr>
        <w:t>sharing.</w:t>
      </w:r>
    </w:p>
    <w:p>
      <w:pPr>
        <w:pStyle w:val="BodyText"/>
        <w:spacing w:before="10"/>
        <w:rPr>
          <w:sz w:val="20"/>
        </w:rPr>
      </w:pPr>
    </w:p>
    <w:p>
      <w:pPr>
        <w:pStyle w:val="ListParagraph"/>
        <w:numPr>
          <w:ilvl w:val="1"/>
          <w:numId w:val="15"/>
        </w:numPr>
        <w:tabs>
          <w:tab w:pos="1393" w:val="left" w:leader="none"/>
          <w:tab w:pos="1394" w:val="left" w:leader="none"/>
        </w:tabs>
        <w:spacing w:line="273" w:lineRule="auto" w:before="0" w:after="0"/>
        <w:ind w:left="673" w:right="2192" w:firstLine="0"/>
        <w:jc w:val="left"/>
        <w:rPr>
          <w:sz w:val="18"/>
        </w:rPr>
      </w:pPr>
      <w:r>
        <w:rPr>
          <w:color w:val="231F20"/>
          <w:spacing w:val="-3"/>
          <w:w w:val="110"/>
          <w:sz w:val="18"/>
        </w:rPr>
        <w:t>We </w:t>
      </w:r>
      <w:r>
        <w:rPr>
          <w:color w:val="231F20"/>
          <w:w w:val="110"/>
          <w:sz w:val="18"/>
        </w:rPr>
        <w:t>have enjoyed the enthusiastic and wise contribution of our Training and Development Officer, the Revd Richard Church, who has given </w:t>
      </w:r>
      <w:r>
        <w:rPr>
          <w:color w:val="231F20"/>
          <w:spacing w:val="2"/>
          <w:w w:val="110"/>
          <w:sz w:val="18"/>
        </w:rPr>
        <w:t>extra </w:t>
      </w:r>
      <w:r>
        <w:rPr>
          <w:color w:val="231F20"/>
          <w:w w:val="110"/>
          <w:sz w:val="18"/>
        </w:rPr>
        <w:t>support during Elizabeth’s year as Assembly Moderator. </w:t>
      </w:r>
      <w:r>
        <w:rPr>
          <w:color w:val="231F20"/>
          <w:spacing w:val="-3"/>
          <w:w w:val="110"/>
          <w:sz w:val="18"/>
        </w:rPr>
        <w:t>We </w:t>
      </w:r>
      <w:r>
        <w:rPr>
          <w:color w:val="231F20"/>
          <w:w w:val="110"/>
          <w:sz w:val="18"/>
        </w:rPr>
        <w:t>are delighted and sad in equal measure at Richard’s nomination as Moderator of the </w:t>
      </w:r>
      <w:r>
        <w:rPr>
          <w:color w:val="231F20"/>
          <w:spacing w:val="2"/>
          <w:w w:val="110"/>
          <w:sz w:val="18"/>
        </w:rPr>
        <w:t>North </w:t>
      </w:r>
      <w:r>
        <w:rPr>
          <w:color w:val="231F20"/>
          <w:w w:val="110"/>
          <w:sz w:val="18"/>
        </w:rPr>
        <w:t>Western</w:t>
      </w:r>
      <w:r>
        <w:rPr>
          <w:color w:val="231F20"/>
          <w:spacing w:val="32"/>
          <w:w w:val="110"/>
          <w:sz w:val="18"/>
        </w:rPr>
        <w:t> </w:t>
      </w:r>
      <w:r>
        <w:rPr>
          <w:color w:val="231F20"/>
          <w:w w:val="110"/>
          <w:sz w:val="18"/>
        </w:rPr>
        <w:t>Synod.</w:t>
      </w:r>
    </w:p>
    <w:p>
      <w:pPr>
        <w:pStyle w:val="BodyText"/>
        <w:rPr>
          <w:sz w:val="22"/>
        </w:rPr>
      </w:pPr>
    </w:p>
    <w:p>
      <w:pPr>
        <w:pStyle w:val="BodyText"/>
        <w:rPr>
          <w:sz w:val="22"/>
        </w:rPr>
      </w:pPr>
    </w:p>
    <w:p>
      <w:pPr>
        <w:pStyle w:val="BodyText"/>
        <w:spacing w:before="11"/>
      </w:pPr>
    </w:p>
    <w:p>
      <w:pPr>
        <w:spacing w:before="1"/>
        <w:ind w:left="0" w:right="1024" w:firstLine="0"/>
        <w:jc w:val="center"/>
        <w:rPr>
          <w:i/>
          <w:sz w:val="24"/>
        </w:rPr>
      </w:pPr>
      <w:r>
        <w:rPr>
          <w:i/>
          <w:color w:val="231F20"/>
          <w:w w:val="600"/>
          <w:sz w:val="24"/>
        </w:rPr>
        <w:t>   </w:t>
      </w:r>
    </w:p>
    <w:p>
      <w:pPr>
        <w:spacing w:after="0"/>
        <w:jc w:val="center"/>
        <w:rPr>
          <w:sz w:val="24"/>
        </w:rPr>
        <w:sectPr>
          <w:pgSz w:w="11910" w:h="16840"/>
          <w:pgMar w:header="581" w:footer="484" w:top="860" w:bottom="760" w:left="460" w:right="0"/>
        </w:sectPr>
      </w:pPr>
    </w:p>
    <w:p>
      <w:pPr>
        <w:spacing w:before="161"/>
        <w:ind w:left="3897" w:right="0" w:firstLine="0"/>
        <w:jc w:val="left"/>
        <w:rPr>
          <w:b/>
          <w:sz w:val="56"/>
        </w:rPr>
      </w:pPr>
      <w:r>
        <w:rPr>
          <w:b/>
          <w:color w:val="231F20"/>
          <w:sz w:val="56"/>
        </w:rPr>
        <w:t>Thames North Synod</w:t>
      </w:r>
    </w:p>
    <w:p>
      <w:pPr>
        <w:numPr>
          <w:ilvl w:val="0"/>
          <w:numId w:val="16"/>
        </w:numPr>
        <w:tabs>
          <w:tab w:pos="1393" w:val="left" w:leader="none"/>
          <w:tab w:pos="1394" w:val="left" w:leader="none"/>
        </w:tabs>
        <w:spacing w:before="431"/>
        <w:ind w:left="1393" w:right="0" w:hanging="721"/>
        <w:jc w:val="left"/>
        <w:rPr>
          <w:b/>
          <w:sz w:val="20"/>
        </w:rPr>
      </w:pPr>
      <w:r>
        <w:rPr>
          <w:b/>
          <w:color w:val="231F20"/>
          <w:spacing w:val="2"/>
          <w:w w:val="110"/>
          <w:sz w:val="20"/>
        </w:rPr>
        <w:t>Structures, </w:t>
      </w:r>
      <w:r>
        <w:rPr>
          <w:b/>
          <w:color w:val="231F20"/>
          <w:w w:val="110"/>
          <w:sz w:val="20"/>
        </w:rPr>
        <w:t>Synod and</w:t>
      </w:r>
      <w:r>
        <w:rPr>
          <w:b/>
          <w:color w:val="231F20"/>
          <w:spacing w:val="-4"/>
          <w:w w:val="110"/>
          <w:sz w:val="20"/>
        </w:rPr>
        <w:t> </w:t>
      </w:r>
      <w:r>
        <w:rPr>
          <w:b/>
          <w:color w:val="231F20"/>
          <w:w w:val="110"/>
          <w:sz w:val="20"/>
        </w:rPr>
        <w:t>Strategy</w:t>
      </w:r>
    </w:p>
    <w:p>
      <w:pPr>
        <w:pStyle w:val="BodyText"/>
        <w:spacing w:before="10"/>
        <w:rPr>
          <w:b/>
          <w:sz w:val="22"/>
        </w:rPr>
      </w:pPr>
    </w:p>
    <w:p>
      <w:pPr>
        <w:pStyle w:val="ListParagraph"/>
        <w:numPr>
          <w:ilvl w:val="1"/>
          <w:numId w:val="16"/>
        </w:numPr>
        <w:tabs>
          <w:tab w:pos="1393" w:val="left" w:leader="none"/>
          <w:tab w:pos="1394" w:val="left" w:leader="none"/>
        </w:tabs>
        <w:spacing w:line="273" w:lineRule="auto" w:before="0" w:after="0"/>
        <w:ind w:left="673" w:right="1035" w:firstLine="0"/>
        <w:jc w:val="left"/>
        <w:rPr>
          <w:sz w:val="18"/>
        </w:rPr>
      </w:pPr>
      <w:r>
        <w:rPr>
          <w:color w:val="231F20"/>
          <w:w w:val="110"/>
          <w:sz w:val="18"/>
        </w:rPr>
        <w:t>Over the last three years all of the synods have grappled with keeping their eyes on mission and renewal while agreeing new structures to accommodate the removal of district councils. In Thames North Synod the challenge has been particularly acute because an Assembly Commission has been at work for two years considering whether a London Synod should be created. Structure and Synod </w:t>
      </w:r>
      <w:r>
        <w:rPr>
          <w:color w:val="231F20"/>
          <w:spacing w:val="-3"/>
          <w:w w:val="110"/>
          <w:sz w:val="18"/>
        </w:rPr>
        <w:t>have </w:t>
      </w:r>
      <w:r>
        <w:rPr>
          <w:color w:val="231F20"/>
          <w:w w:val="110"/>
          <w:sz w:val="18"/>
        </w:rPr>
        <w:t>been accompanied by a third ‘S’ – Strategy – and the real challenge has been keeping them Separate in order to give each its proper</w:t>
      </w:r>
      <w:r>
        <w:rPr>
          <w:color w:val="231F20"/>
          <w:spacing w:val="-35"/>
          <w:w w:val="110"/>
          <w:sz w:val="18"/>
        </w:rPr>
        <w:t> </w:t>
      </w:r>
      <w:r>
        <w:rPr>
          <w:color w:val="231F20"/>
          <w:w w:val="110"/>
          <w:sz w:val="18"/>
        </w:rPr>
        <w:t>Scrutiny!</w:t>
      </w:r>
    </w:p>
    <w:p>
      <w:pPr>
        <w:pStyle w:val="BodyText"/>
        <w:spacing w:before="10"/>
        <w:rPr>
          <w:sz w:val="20"/>
        </w:rPr>
      </w:pPr>
    </w:p>
    <w:p>
      <w:pPr>
        <w:pStyle w:val="ListParagraph"/>
        <w:numPr>
          <w:ilvl w:val="1"/>
          <w:numId w:val="16"/>
        </w:numPr>
        <w:tabs>
          <w:tab w:pos="1393" w:val="left" w:leader="none"/>
          <w:tab w:pos="1394" w:val="left" w:leader="none"/>
        </w:tabs>
        <w:spacing w:line="273" w:lineRule="auto" w:before="0" w:after="0"/>
        <w:ind w:left="673" w:right="1487" w:firstLine="0"/>
        <w:jc w:val="left"/>
        <w:rPr>
          <w:sz w:val="18"/>
        </w:rPr>
      </w:pPr>
      <w:r>
        <w:rPr>
          <w:color w:val="231F20"/>
          <w:w w:val="110"/>
          <w:sz w:val="18"/>
        </w:rPr>
        <w:t>In 2004 Thames North and Southern Synods commissioned a Strategic Review of United</w:t>
      </w:r>
      <w:r>
        <w:rPr>
          <w:color w:val="231F20"/>
          <w:spacing w:val="-14"/>
          <w:w w:val="110"/>
          <w:sz w:val="18"/>
        </w:rPr>
        <w:t> </w:t>
      </w:r>
      <w:r>
        <w:rPr>
          <w:color w:val="231F20"/>
          <w:w w:val="110"/>
          <w:sz w:val="18"/>
        </w:rPr>
        <w:t>Reformed</w:t>
      </w:r>
      <w:r>
        <w:rPr>
          <w:color w:val="231F20"/>
          <w:spacing w:val="-14"/>
          <w:w w:val="110"/>
          <w:sz w:val="18"/>
        </w:rPr>
        <w:t> </w:t>
      </w:r>
      <w:r>
        <w:rPr>
          <w:color w:val="231F20"/>
          <w:w w:val="110"/>
          <w:sz w:val="18"/>
        </w:rPr>
        <w:t>Church</w:t>
      </w:r>
      <w:r>
        <w:rPr>
          <w:color w:val="231F20"/>
          <w:spacing w:val="-14"/>
          <w:w w:val="110"/>
          <w:sz w:val="18"/>
        </w:rPr>
        <w:t> </w:t>
      </w:r>
      <w:r>
        <w:rPr>
          <w:color w:val="231F20"/>
          <w:w w:val="110"/>
          <w:sz w:val="18"/>
        </w:rPr>
        <w:t>presence</w:t>
      </w:r>
      <w:r>
        <w:rPr>
          <w:color w:val="231F20"/>
          <w:spacing w:val="-14"/>
          <w:w w:val="110"/>
          <w:sz w:val="18"/>
        </w:rPr>
        <w:t> </w:t>
      </w:r>
      <w:r>
        <w:rPr>
          <w:color w:val="231F20"/>
          <w:w w:val="110"/>
          <w:sz w:val="18"/>
        </w:rPr>
        <w:t>and</w:t>
      </w:r>
      <w:r>
        <w:rPr>
          <w:color w:val="231F20"/>
          <w:spacing w:val="-14"/>
          <w:w w:val="110"/>
          <w:sz w:val="18"/>
        </w:rPr>
        <w:t> </w:t>
      </w:r>
      <w:r>
        <w:rPr>
          <w:color w:val="231F20"/>
          <w:w w:val="110"/>
          <w:sz w:val="18"/>
        </w:rPr>
        <w:t>witness</w:t>
      </w:r>
      <w:r>
        <w:rPr>
          <w:color w:val="231F20"/>
          <w:spacing w:val="-14"/>
          <w:w w:val="110"/>
          <w:sz w:val="18"/>
        </w:rPr>
        <w:t> </w:t>
      </w:r>
      <w:r>
        <w:rPr>
          <w:color w:val="231F20"/>
          <w:w w:val="110"/>
          <w:sz w:val="18"/>
        </w:rPr>
        <w:t>in</w:t>
      </w:r>
      <w:r>
        <w:rPr>
          <w:color w:val="231F20"/>
          <w:spacing w:val="-14"/>
          <w:w w:val="110"/>
          <w:sz w:val="18"/>
        </w:rPr>
        <w:t> </w:t>
      </w:r>
      <w:r>
        <w:rPr>
          <w:color w:val="231F20"/>
          <w:w w:val="110"/>
          <w:sz w:val="18"/>
        </w:rPr>
        <w:t>London.</w:t>
      </w:r>
      <w:r>
        <w:rPr>
          <w:color w:val="231F20"/>
          <w:spacing w:val="-14"/>
          <w:w w:val="110"/>
          <w:sz w:val="18"/>
        </w:rPr>
        <w:t> </w:t>
      </w:r>
      <w:r>
        <w:rPr>
          <w:color w:val="231F20"/>
          <w:w w:val="110"/>
          <w:sz w:val="18"/>
        </w:rPr>
        <w:t>Work</w:t>
      </w:r>
      <w:r>
        <w:rPr>
          <w:color w:val="231F20"/>
          <w:spacing w:val="-14"/>
          <w:w w:val="110"/>
          <w:sz w:val="18"/>
        </w:rPr>
        <w:t> </w:t>
      </w:r>
      <w:r>
        <w:rPr>
          <w:color w:val="231F20"/>
          <w:w w:val="110"/>
          <w:sz w:val="18"/>
        </w:rPr>
        <w:t>towards</w:t>
      </w:r>
      <w:r>
        <w:rPr>
          <w:color w:val="231F20"/>
          <w:spacing w:val="-14"/>
          <w:w w:val="110"/>
          <w:sz w:val="18"/>
        </w:rPr>
        <w:t> </w:t>
      </w:r>
      <w:r>
        <w:rPr>
          <w:color w:val="231F20"/>
          <w:w w:val="110"/>
          <w:sz w:val="18"/>
        </w:rPr>
        <w:t>a</w:t>
      </w:r>
      <w:r>
        <w:rPr>
          <w:color w:val="231F20"/>
          <w:spacing w:val="-14"/>
          <w:w w:val="110"/>
          <w:sz w:val="18"/>
        </w:rPr>
        <w:t> </w:t>
      </w:r>
      <w:r>
        <w:rPr>
          <w:color w:val="231F20"/>
          <w:spacing w:val="-4"/>
          <w:w w:val="110"/>
          <w:sz w:val="18"/>
        </w:rPr>
        <w:t>10-year</w:t>
      </w:r>
      <w:r>
        <w:rPr>
          <w:color w:val="231F20"/>
          <w:spacing w:val="-14"/>
          <w:w w:val="110"/>
          <w:sz w:val="18"/>
        </w:rPr>
        <w:t> </w:t>
      </w:r>
      <w:r>
        <w:rPr>
          <w:color w:val="231F20"/>
          <w:w w:val="110"/>
          <w:sz w:val="18"/>
        </w:rPr>
        <w:t>plan</w:t>
      </w:r>
      <w:r>
        <w:rPr>
          <w:color w:val="231F20"/>
          <w:spacing w:val="-13"/>
          <w:w w:val="110"/>
          <w:sz w:val="18"/>
        </w:rPr>
        <w:t> </w:t>
      </w:r>
      <w:r>
        <w:rPr>
          <w:color w:val="231F20"/>
          <w:w w:val="110"/>
          <w:sz w:val="18"/>
        </w:rPr>
        <w:t>began early</w:t>
      </w:r>
      <w:r>
        <w:rPr>
          <w:color w:val="231F20"/>
          <w:spacing w:val="-14"/>
          <w:w w:val="110"/>
          <w:sz w:val="18"/>
        </w:rPr>
        <w:t> </w:t>
      </w:r>
      <w:r>
        <w:rPr>
          <w:color w:val="231F20"/>
          <w:w w:val="110"/>
          <w:sz w:val="18"/>
        </w:rPr>
        <w:t>in</w:t>
      </w:r>
      <w:r>
        <w:rPr>
          <w:color w:val="231F20"/>
          <w:spacing w:val="-13"/>
          <w:w w:val="110"/>
          <w:sz w:val="18"/>
        </w:rPr>
        <w:t> </w:t>
      </w:r>
      <w:r>
        <w:rPr>
          <w:color w:val="231F20"/>
          <w:w w:val="110"/>
          <w:sz w:val="18"/>
        </w:rPr>
        <w:t>2005</w:t>
      </w:r>
      <w:r>
        <w:rPr>
          <w:color w:val="231F20"/>
          <w:spacing w:val="-13"/>
          <w:w w:val="110"/>
          <w:sz w:val="18"/>
        </w:rPr>
        <w:t> </w:t>
      </w:r>
      <w:r>
        <w:rPr>
          <w:color w:val="231F20"/>
          <w:w w:val="110"/>
          <w:sz w:val="18"/>
        </w:rPr>
        <w:t>under</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direction</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4"/>
          <w:w w:val="110"/>
          <w:sz w:val="18"/>
        </w:rPr>
        <w:t> </w:t>
      </w:r>
      <w:r>
        <w:rPr>
          <w:color w:val="231F20"/>
          <w:spacing w:val="-3"/>
          <w:w w:val="110"/>
          <w:sz w:val="18"/>
        </w:rPr>
        <w:t>Revd</w:t>
      </w:r>
      <w:r>
        <w:rPr>
          <w:color w:val="231F20"/>
          <w:spacing w:val="-13"/>
          <w:w w:val="110"/>
          <w:sz w:val="18"/>
        </w:rPr>
        <w:t> </w:t>
      </w:r>
      <w:r>
        <w:rPr>
          <w:color w:val="231F20"/>
          <w:spacing w:val="-3"/>
          <w:w w:val="110"/>
          <w:sz w:val="18"/>
        </w:rPr>
        <w:t>Vaughan</w:t>
      </w:r>
      <w:r>
        <w:rPr>
          <w:color w:val="231F20"/>
          <w:spacing w:val="-13"/>
          <w:w w:val="110"/>
          <w:sz w:val="18"/>
        </w:rPr>
        <w:t> </w:t>
      </w:r>
      <w:r>
        <w:rPr>
          <w:color w:val="231F20"/>
          <w:w w:val="110"/>
          <w:sz w:val="18"/>
        </w:rPr>
        <w:t>Jones.</w:t>
      </w:r>
      <w:r>
        <w:rPr>
          <w:color w:val="231F20"/>
          <w:spacing w:val="-14"/>
          <w:w w:val="110"/>
          <w:sz w:val="18"/>
        </w:rPr>
        <w:t> </w:t>
      </w:r>
      <w:r>
        <w:rPr>
          <w:color w:val="231F20"/>
          <w:w w:val="110"/>
          <w:sz w:val="18"/>
        </w:rPr>
        <w:t>Through</w:t>
      </w:r>
      <w:r>
        <w:rPr>
          <w:color w:val="231F20"/>
          <w:spacing w:val="-13"/>
          <w:w w:val="110"/>
          <w:sz w:val="18"/>
        </w:rPr>
        <w:t> </w:t>
      </w:r>
      <w:r>
        <w:rPr>
          <w:color w:val="231F20"/>
          <w:w w:val="110"/>
          <w:sz w:val="18"/>
        </w:rPr>
        <w:t>desk</w:t>
      </w:r>
      <w:r>
        <w:rPr>
          <w:color w:val="231F20"/>
          <w:spacing w:val="-13"/>
          <w:w w:val="110"/>
          <w:sz w:val="18"/>
        </w:rPr>
        <w:t> </w:t>
      </w:r>
      <w:r>
        <w:rPr>
          <w:color w:val="231F20"/>
          <w:w w:val="110"/>
          <w:sz w:val="18"/>
        </w:rPr>
        <w:t>research,</w:t>
      </w:r>
      <w:r>
        <w:rPr>
          <w:color w:val="231F20"/>
          <w:spacing w:val="-13"/>
          <w:w w:val="110"/>
          <w:sz w:val="18"/>
        </w:rPr>
        <w:t> </w:t>
      </w:r>
      <w:r>
        <w:rPr>
          <w:color w:val="231F20"/>
          <w:w w:val="110"/>
          <w:sz w:val="18"/>
        </w:rPr>
        <w:t>surveys, focus</w:t>
      </w:r>
      <w:r>
        <w:rPr>
          <w:color w:val="231F20"/>
          <w:spacing w:val="-11"/>
          <w:w w:val="110"/>
          <w:sz w:val="18"/>
        </w:rPr>
        <w:t> </w:t>
      </w:r>
      <w:r>
        <w:rPr>
          <w:color w:val="231F20"/>
          <w:w w:val="110"/>
          <w:sz w:val="18"/>
        </w:rPr>
        <w:t>groups</w:t>
      </w:r>
      <w:r>
        <w:rPr>
          <w:color w:val="231F20"/>
          <w:spacing w:val="-11"/>
          <w:w w:val="110"/>
          <w:sz w:val="18"/>
        </w:rPr>
        <w:t> </w:t>
      </w:r>
      <w:r>
        <w:rPr>
          <w:color w:val="231F20"/>
          <w:w w:val="110"/>
          <w:sz w:val="18"/>
        </w:rPr>
        <w:t>and</w:t>
      </w:r>
      <w:r>
        <w:rPr>
          <w:color w:val="231F20"/>
          <w:spacing w:val="-10"/>
          <w:w w:val="110"/>
          <w:sz w:val="18"/>
        </w:rPr>
        <w:t> </w:t>
      </w:r>
      <w:r>
        <w:rPr>
          <w:color w:val="231F20"/>
          <w:w w:val="110"/>
          <w:sz w:val="18"/>
        </w:rPr>
        <w:t>consultations,</w:t>
      </w:r>
      <w:r>
        <w:rPr>
          <w:color w:val="231F20"/>
          <w:spacing w:val="-11"/>
          <w:w w:val="110"/>
          <w:sz w:val="18"/>
        </w:rPr>
        <w:t> </w:t>
      </w:r>
      <w:r>
        <w:rPr>
          <w:color w:val="231F20"/>
          <w:spacing w:val="-3"/>
          <w:w w:val="110"/>
          <w:sz w:val="18"/>
        </w:rPr>
        <w:t>Vaughan</w:t>
      </w:r>
      <w:r>
        <w:rPr>
          <w:color w:val="231F20"/>
          <w:spacing w:val="-10"/>
          <w:w w:val="110"/>
          <w:sz w:val="18"/>
        </w:rPr>
        <w:t> </w:t>
      </w:r>
      <w:r>
        <w:rPr>
          <w:color w:val="231F20"/>
          <w:w w:val="110"/>
          <w:sz w:val="18"/>
        </w:rPr>
        <w:t>and</w:t>
      </w:r>
      <w:r>
        <w:rPr>
          <w:color w:val="231F20"/>
          <w:spacing w:val="-11"/>
          <w:w w:val="110"/>
          <w:sz w:val="18"/>
        </w:rPr>
        <w:t> </w:t>
      </w:r>
      <w:r>
        <w:rPr>
          <w:color w:val="231F20"/>
          <w:w w:val="110"/>
          <w:sz w:val="18"/>
        </w:rPr>
        <w:t>his</w:t>
      </w:r>
      <w:r>
        <w:rPr>
          <w:color w:val="231F20"/>
          <w:spacing w:val="-11"/>
          <w:w w:val="110"/>
          <w:sz w:val="18"/>
        </w:rPr>
        <w:t> </w:t>
      </w:r>
      <w:r>
        <w:rPr>
          <w:color w:val="231F20"/>
          <w:w w:val="110"/>
          <w:sz w:val="18"/>
        </w:rPr>
        <w:t>team</w:t>
      </w:r>
      <w:r>
        <w:rPr>
          <w:color w:val="231F20"/>
          <w:spacing w:val="-10"/>
          <w:w w:val="110"/>
          <w:sz w:val="18"/>
        </w:rPr>
        <w:t> </w:t>
      </w:r>
      <w:r>
        <w:rPr>
          <w:color w:val="231F20"/>
          <w:w w:val="110"/>
          <w:sz w:val="18"/>
        </w:rPr>
        <w:t>described</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London</w:t>
      </w:r>
      <w:r>
        <w:rPr>
          <w:color w:val="231F20"/>
          <w:spacing w:val="-11"/>
          <w:w w:val="110"/>
          <w:sz w:val="18"/>
        </w:rPr>
        <w:t> </w:t>
      </w:r>
      <w:r>
        <w:rPr>
          <w:color w:val="231F20"/>
          <w:w w:val="110"/>
          <w:sz w:val="18"/>
        </w:rPr>
        <w:t>context</w:t>
      </w:r>
      <w:r>
        <w:rPr>
          <w:color w:val="231F20"/>
          <w:spacing w:val="-10"/>
          <w:w w:val="110"/>
          <w:sz w:val="18"/>
        </w:rPr>
        <w:t> </w:t>
      </w:r>
      <w:r>
        <w:rPr>
          <w:color w:val="231F20"/>
          <w:w w:val="110"/>
          <w:sz w:val="18"/>
        </w:rPr>
        <w:t>and</w:t>
      </w:r>
    </w:p>
    <w:p>
      <w:pPr>
        <w:pStyle w:val="BodyText"/>
        <w:spacing w:line="273" w:lineRule="auto" w:before="3"/>
        <w:ind w:left="673" w:right="1593"/>
      </w:pPr>
      <w:r>
        <w:rPr>
          <w:color w:val="231F20"/>
          <w:w w:val="110"/>
        </w:rPr>
        <w:t>the</w:t>
      </w:r>
      <w:r>
        <w:rPr>
          <w:color w:val="231F20"/>
          <w:spacing w:val="-14"/>
          <w:w w:val="110"/>
        </w:rPr>
        <w:t> </w:t>
      </w:r>
      <w:r>
        <w:rPr>
          <w:color w:val="231F20"/>
          <w:w w:val="110"/>
        </w:rPr>
        <w:t>contribution</w:t>
      </w:r>
      <w:r>
        <w:rPr>
          <w:color w:val="231F20"/>
          <w:spacing w:val="-13"/>
          <w:w w:val="110"/>
        </w:rPr>
        <w:t> </w:t>
      </w:r>
      <w:r>
        <w:rPr>
          <w:color w:val="231F20"/>
          <w:w w:val="110"/>
        </w:rPr>
        <w:t>of</w:t>
      </w:r>
      <w:r>
        <w:rPr>
          <w:color w:val="231F20"/>
          <w:spacing w:val="-13"/>
          <w:w w:val="110"/>
        </w:rPr>
        <w:t> </w:t>
      </w:r>
      <w:r>
        <w:rPr>
          <w:color w:val="231F20"/>
          <w:w w:val="110"/>
        </w:rPr>
        <w:t>our</w:t>
      </w:r>
      <w:r>
        <w:rPr>
          <w:color w:val="231F20"/>
          <w:spacing w:val="-13"/>
          <w:w w:val="110"/>
        </w:rPr>
        <w:t> </w:t>
      </w:r>
      <w:r>
        <w:rPr>
          <w:color w:val="231F20"/>
          <w:w w:val="110"/>
        </w:rPr>
        <w:t>churches,</w:t>
      </w:r>
      <w:r>
        <w:rPr>
          <w:color w:val="231F20"/>
          <w:spacing w:val="-13"/>
          <w:w w:val="110"/>
        </w:rPr>
        <w:t> </w:t>
      </w:r>
      <w:r>
        <w:rPr>
          <w:color w:val="231F20"/>
          <w:w w:val="110"/>
        </w:rPr>
        <w:t>past</w:t>
      </w:r>
      <w:r>
        <w:rPr>
          <w:color w:val="231F20"/>
          <w:spacing w:val="-13"/>
          <w:w w:val="110"/>
        </w:rPr>
        <w:t> </w:t>
      </w:r>
      <w:r>
        <w:rPr>
          <w:color w:val="231F20"/>
          <w:w w:val="110"/>
        </w:rPr>
        <w:t>and</w:t>
      </w:r>
      <w:r>
        <w:rPr>
          <w:color w:val="231F20"/>
          <w:spacing w:val="-13"/>
          <w:w w:val="110"/>
        </w:rPr>
        <w:t> </w:t>
      </w:r>
      <w:r>
        <w:rPr>
          <w:color w:val="231F20"/>
          <w:w w:val="110"/>
        </w:rPr>
        <w:t>present.</w:t>
      </w:r>
      <w:r>
        <w:rPr>
          <w:color w:val="231F20"/>
          <w:spacing w:val="-14"/>
          <w:w w:val="110"/>
        </w:rPr>
        <w:t> </w:t>
      </w:r>
      <w:r>
        <w:rPr>
          <w:color w:val="231F20"/>
          <w:w w:val="110"/>
        </w:rPr>
        <w:t>They</w:t>
      </w:r>
      <w:r>
        <w:rPr>
          <w:color w:val="231F20"/>
          <w:spacing w:val="-13"/>
          <w:w w:val="110"/>
        </w:rPr>
        <w:t> </w:t>
      </w:r>
      <w:r>
        <w:rPr>
          <w:color w:val="231F20"/>
          <w:w w:val="110"/>
        </w:rPr>
        <w:t>commissioned</w:t>
      </w:r>
      <w:r>
        <w:rPr>
          <w:color w:val="231F20"/>
          <w:spacing w:val="-13"/>
          <w:w w:val="110"/>
        </w:rPr>
        <w:t> </w:t>
      </w:r>
      <w:r>
        <w:rPr>
          <w:color w:val="231F20"/>
          <w:w w:val="110"/>
        </w:rPr>
        <w:t>a</w:t>
      </w:r>
      <w:r>
        <w:rPr>
          <w:color w:val="231F20"/>
          <w:spacing w:val="-13"/>
          <w:w w:val="110"/>
        </w:rPr>
        <w:t> </w:t>
      </w:r>
      <w:r>
        <w:rPr>
          <w:color w:val="231F20"/>
          <w:w w:val="110"/>
        </w:rPr>
        <w:t>study</w:t>
      </w:r>
      <w:r>
        <w:rPr>
          <w:color w:val="231F20"/>
          <w:spacing w:val="-13"/>
          <w:w w:val="110"/>
        </w:rPr>
        <w:t> </w:t>
      </w:r>
      <w:r>
        <w:rPr>
          <w:color w:val="231F20"/>
          <w:w w:val="110"/>
        </w:rPr>
        <w:t>of</w:t>
      </w:r>
      <w:r>
        <w:rPr>
          <w:color w:val="231F20"/>
          <w:spacing w:val="-13"/>
          <w:w w:val="110"/>
        </w:rPr>
        <w:t> </w:t>
      </w:r>
      <w:r>
        <w:rPr>
          <w:color w:val="231F20"/>
          <w:w w:val="110"/>
        </w:rPr>
        <w:t>the</w:t>
      </w:r>
      <w:r>
        <w:rPr>
          <w:color w:val="231F20"/>
          <w:spacing w:val="-13"/>
          <w:w w:val="110"/>
        </w:rPr>
        <w:t> </w:t>
      </w:r>
      <w:r>
        <w:rPr>
          <w:color w:val="231F20"/>
          <w:w w:val="110"/>
        </w:rPr>
        <w:t>trends in</w:t>
      </w:r>
      <w:r>
        <w:rPr>
          <w:color w:val="231F20"/>
          <w:spacing w:val="-13"/>
          <w:w w:val="110"/>
        </w:rPr>
        <w:t> </w:t>
      </w:r>
      <w:r>
        <w:rPr>
          <w:color w:val="231F20"/>
          <w:w w:val="110"/>
        </w:rPr>
        <w:t>mission</w:t>
      </w:r>
      <w:r>
        <w:rPr>
          <w:color w:val="231F20"/>
          <w:spacing w:val="-13"/>
          <w:w w:val="110"/>
        </w:rPr>
        <w:t> </w:t>
      </w:r>
      <w:r>
        <w:rPr>
          <w:color w:val="231F20"/>
          <w:w w:val="110"/>
        </w:rPr>
        <w:t>thinking</w:t>
      </w:r>
      <w:r>
        <w:rPr>
          <w:color w:val="231F20"/>
          <w:spacing w:val="-12"/>
          <w:w w:val="110"/>
        </w:rPr>
        <w:t> </w:t>
      </w:r>
      <w:r>
        <w:rPr>
          <w:color w:val="231F20"/>
          <w:w w:val="110"/>
        </w:rPr>
        <w:t>in</w:t>
      </w:r>
      <w:r>
        <w:rPr>
          <w:color w:val="231F20"/>
          <w:spacing w:val="-13"/>
          <w:w w:val="110"/>
        </w:rPr>
        <w:t> </w:t>
      </w:r>
      <w:r>
        <w:rPr>
          <w:color w:val="231F20"/>
          <w:w w:val="110"/>
        </w:rPr>
        <w:t>the</w:t>
      </w:r>
      <w:r>
        <w:rPr>
          <w:color w:val="231F20"/>
          <w:spacing w:val="-12"/>
          <w:w w:val="110"/>
        </w:rPr>
        <w:t> </w:t>
      </w:r>
      <w:r>
        <w:rPr>
          <w:color w:val="231F20"/>
          <w:spacing w:val="-3"/>
          <w:w w:val="110"/>
        </w:rPr>
        <w:t>21st</w:t>
      </w:r>
      <w:r>
        <w:rPr>
          <w:color w:val="231F20"/>
          <w:spacing w:val="-13"/>
          <w:w w:val="110"/>
        </w:rPr>
        <w:t> </w:t>
      </w:r>
      <w:r>
        <w:rPr>
          <w:color w:val="231F20"/>
          <w:w w:val="110"/>
        </w:rPr>
        <w:t>century.</w:t>
      </w:r>
      <w:r>
        <w:rPr>
          <w:color w:val="231F20"/>
          <w:spacing w:val="-12"/>
          <w:w w:val="110"/>
        </w:rPr>
        <w:t> </w:t>
      </w:r>
      <w:r>
        <w:rPr>
          <w:color w:val="231F20"/>
          <w:w w:val="110"/>
        </w:rPr>
        <w:t>They</w:t>
      </w:r>
      <w:r>
        <w:rPr>
          <w:color w:val="231F20"/>
          <w:spacing w:val="-13"/>
          <w:w w:val="110"/>
        </w:rPr>
        <w:t> </w:t>
      </w:r>
      <w:r>
        <w:rPr>
          <w:color w:val="231F20"/>
          <w:w w:val="110"/>
        </w:rPr>
        <w:t>badgered</w:t>
      </w:r>
      <w:r>
        <w:rPr>
          <w:color w:val="231F20"/>
          <w:spacing w:val="-12"/>
          <w:w w:val="110"/>
        </w:rPr>
        <w:t> </w:t>
      </w:r>
      <w:r>
        <w:rPr>
          <w:color w:val="231F20"/>
          <w:w w:val="110"/>
        </w:rPr>
        <w:t>the</w:t>
      </w:r>
      <w:r>
        <w:rPr>
          <w:color w:val="231F20"/>
          <w:spacing w:val="-13"/>
          <w:w w:val="110"/>
        </w:rPr>
        <w:t> </w:t>
      </w:r>
      <w:r>
        <w:rPr>
          <w:color w:val="231F20"/>
          <w:w w:val="110"/>
        </w:rPr>
        <w:t>churches</w:t>
      </w:r>
      <w:r>
        <w:rPr>
          <w:color w:val="231F20"/>
          <w:spacing w:val="-12"/>
          <w:w w:val="110"/>
        </w:rPr>
        <w:t> </w:t>
      </w:r>
      <w:r>
        <w:rPr>
          <w:color w:val="231F20"/>
          <w:w w:val="110"/>
        </w:rPr>
        <w:t>to</w:t>
      </w:r>
      <w:r>
        <w:rPr>
          <w:color w:val="231F20"/>
          <w:spacing w:val="-13"/>
          <w:w w:val="110"/>
        </w:rPr>
        <w:t> </w:t>
      </w:r>
      <w:r>
        <w:rPr>
          <w:color w:val="231F20"/>
          <w:w w:val="110"/>
        </w:rPr>
        <w:t>complete</w:t>
      </w:r>
      <w:r>
        <w:rPr>
          <w:color w:val="231F20"/>
          <w:spacing w:val="-13"/>
          <w:w w:val="110"/>
        </w:rPr>
        <w:t> </w:t>
      </w:r>
      <w:r>
        <w:rPr>
          <w:color w:val="231F20"/>
          <w:w w:val="110"/>
        </w:rPr>
        <w:t>a</w:t>
      </w:r>
      <w:r>
        <w:rPr>
          <w:color w:val="231F20"/>
          <w:spacing w:val="-12"/>
          <w:w w:val="110"/>
        </w:rPr>
        <w:t> </w:t>
      </w:r>
      <w:r>
        <w:rPr>
          <w:color w:val="231F20"/>
          <w:w w:val="110"/>
        </w:rPr>
        <w:t>rigorous</w:t>
      </w:r>
    </w:p>
    <w:p>
      <w:pPr>
        <w:pStyle w:val="BodyText"/>
        <w:spacing w:line="273" w:lineRule="auto" w:before="1"/>
        <w:ind w:left="673" w:right="1056"/>
      </w:pPr>
      <w:r>
        <w:rPr>
          <w:color w:val="231F20"/>
          <w:w w:val="110"/>
        </w:rPr>
        <w:t>questionnaire</w:t>
      </w:r>
      <w:r>
        <w:rPr>
          <w:color w:val="231F20"/>
          <w:spacing w:val="-15"/>
          <w:w w:val="110"/>
        </w:rPr>
        <w:t> </w:t>
      </w:r>
      <w:r>
        <w:rPr>
          <w:color w:val="231F20"/>
          <w:w w:val="110"/>
        </w:rPr>
        <w:t>and</w:t>
      </w:r>
      <w:r>
        <w:rPr>
          <w:color w:val="231F20"/>
          <w:spacing w:val="-14"/>
          <w:w w:val="110"/>
        </w:rPr>
        <w:t> </w:t>
      </w:r>
      <w:r>
        <w:rPr>
          <w:color w:val="231F20"/>
          <w:w w:val="110"/>
        </w:rPr>
        <w:t>nearly</w:t>
      </w:r>
      <w:r>
        <w:rPr>
          <w:color w:val="231F20"/>
          <w:spacing w:val="-14"/>
          <w:w w:val="110"/>
        </w:rPr>
        <w:t> </w:t>
      </w:r>
      <w:r>
        <w:rPr>
          <w:color w:val="231F20"/>
          <w:w w:val="110"/>
        </w:rPr>
        <w:t>achieved</w:t>
      </w:r>
      <w:r>
        <w:rPr>
          <w:color w:val="231F20"/>
          <w:spacing w:val="-15"/>
          <w:w w:val="110"/>
        </w:rPr>
        <w:t> </w:t>
      </w:r>
      <w:r>
        <w:rPr>
          <w:color w:val="231F20"/>
          <w:w w:val="110"/>
        </w:rPr>
        <w:t>the</w:t>
      </w:r>
      <w:r>
        <w:rPr>
          <w:color w:val="231F20"/>
          <w:spacing w:val="-14"/>
          <w:w w:val="110"/>
        </w:rPr>
        <w:t> </w:t>
      </w:r>
      <w:r>
        <w:rPr>
          <w:color w:val="231F20"/>
          <w:spacing w:val="-3"/>
          <w:w w:val="110"/>
        </w:rPr>
        <w:t>100%</w:t>
      </w:r>
      <w:r>
        <w:rPr>
          <w:color w:val="231F20"/>
          <w:spacing w:val="-14"/>
          <w:w w:val="110"/>
        </w:rPr>
        <w:t> </w:t>
      </w:r>
      <w:r>
        <w:rPr>
          <w:color w:val="231F20"/>
          <w:w w:val="110"/>
        </w:rPr>
        <w:t>response</w:t>
      </w:r>
      <w:r>
        <w:rPr>
          <w:color w:val="231F20"/>
          <w:spacing w:val="-14"/>
          <w:w w:val="110"/>
        </w:rPr>
        <w:t> </w:t>
      </w:r>
      <w:r>
        <w:rPr>
          <w:color w:val="231F20"/>
          <w:w w:val="110"/>
        </w:rPr>
        <w:t>rate</w:t>
      </w:r>
      <w:r>
        <w:rPr>
          <w:color w:val="231F20"/>
          <w:spacing w:val="-15"/>
          <w:w w:val="110"/>
        </w:rPr>
        <w:t> </w:t>
      </w:r>
      <w:r>
        <w:rPr>
          <w:color w:val="231F20"/>
          <w:w w:val="110"/>
        </w:rPr>
        <w:t>they</w:t>
      </w:r>
      <w:r>
        <w:rPr>
          <w:color w:val="231F20"/>
          <w:spacing w:val="-14"/>
          <w:w w:val="110"/>
        </w:rPr>
        <w:t> </w:t>
      </w:r>
      <w:r>
        <w:rPr>
          <w:color w:val="231F20"/>
          <w:w w:val="110"/>
        </w:rPr>
        <w:t>wanted.</w:t>
      </w:r>
      <w:r>
        <w:rPr>
          <w:color w:val="231F20"/>
          <w:spacing w:val="-14"/>
          <w:w w:val="110"/>
        </w:rPr>
        <w:t> </w:t>
      </w:r>
      <w:r>
        <w:rPr>
          <w:color w:val="231F20"/>
          <w:w w:val="110"/>
        </w:rPr>
        <w:t>Presentations</w:t>
      </w:r>
      <w:r>
        <w:rPr>
          <w:color w:val="231F20"/>
          <w:spacing w:val="-15"/>
          <w:w w:val="110"/>
        </w:rPr>
        <w:t> </w:t>
      </w:r>
      <w:r>
        <w:rPr>
          <w:color w:val="231F20"/>
          <w:w w:val="110"/>
        </w:rPr>
        <w:t>at</w:t>
      </w:r>
      <w:r>
        <w:rPr>
          <w:color w:val="231F20"/>
          <w:spacing w:val="-14"/>
          <w:w w:val="110"/>
        </w:rPr>
        <w:t> </w:t>
      </w:r>
      <w:r>
        <w:rPr>
          <w:color w:val="231F20"/>
          <w:w w:val="110"/>
        </w:rPr>
        <w:t>district councils,</w:t>
      </w:r>
      <w:r>
        <w:rPr>
          <w:color w:val="231F20"/>
          <w:spacing w:val="-14"/>
          <w:w w:val="110"/>
        </w:rPr>
        <w:t> </w:t>
      </w:r>
      <w:r>
        <w:rPr>
          <w:color w:val="231F20"/>
          <w:w w:val="110"/>
        </w:rPr>
        <w:t>synod</w:t>
      </w:r>
      <w:r>
        <w:rPr>
          <w:color w:val="231F20"/>
          <w:spacing w:val="-13"/>
          <w:w w:val="110"/>
        </w:rPr>
        <w:t> </w:t>
      </w:r>
      <w:r>
        <w:rPr>
          <w:color w:val="231F20"/>
          <w:w w:val="110"/>
        </w:rPr>
        <w:t>meetings,</w:t>
      </w:r>
      <w:r>
        <w:rPr>
          <w:color w:val="231F20"/>
          <w:spacing w:val="-13"/>
          <w:w w:val="110"/>
        </w:rPr>
        <w:t> </w:t>
      </w:r>
      <w:r>
        <w:rPr>
          <w:color w:val="231F20"/>
          <w:w w:val="110"/>
        </w:rPr>
        <w:t>officers,</w:t>
      </w:r>
      <w:r>
        <w:rPr>
          <w:color w:val="231F20"/>
          <w:spacing w:val="-13"/>
          <w:w w:val="110"/>
        </w:rPr>
        <w:t> </w:t>
      </w:r>
      <w:r>
        <w:rPr>
          <w:color w:val="231F20"/>
          <w:w w:val="110"/>
        </w:rPr>
        <w:t>staff</w:t>
      </w:r>
      <w:r>
        <w:rPr>
          <w:color w:val="231F20"/>
          <w:spacing w:val="-13"/>
          <w:w w:val="110"/>
        </w:rPr>
        <w:t> </w:t>
      </w:r>
      <w:r>
        <w:rPr>
          <w:color w:val="231F20"/>
          <w:w w:val="110"/>
        </w:rPr>
        <w:t>and</w:t>
      </w:r>
      <w:r>
        <w:rPr>
          <w:color w:val="231F20"/>
          <w:spacing w:val="-13"/>
          <w:w w:val="110"/>
        </w:rPr>
        <w:t> </w:t>
      </w:r>
      <w:r>
        <w:rPr>
          <w:color w:val="231F20"/>
          <w:w w:val="110"/>
        </w:rPr>
        <w:t>committee</w:t>
      </w:r>
      <w:r>
        <w:rPr>
          <w:color w:val="231F20"/>
          <w:spacing w:val="-13"/>
          <w:w w:val="110"/>
        </w:rPr>
        <w:t> </w:t>
      </w:r>
      <w:r>
        <w:rPr>
          <w:color w:val="231F20"/>
          <w:w w:val="110"/>
        </w:rPr>
        <w:t>meetings</w:t>
      </w:r>
      <w:r>
        <w:rPr>
          <w:color w:val="231F20"/>
          <w:spacing w:val="-13"/>
          <w:w w:val="110"/>
        </w:rPr>
        <w:t> </w:t>
      </w:r>
      <w:r>
        <w:rPr>
          <w:color w:val="231F20"/>
          <w:w w:val="110"/>
        </w:rPr>
        <w:t>enabled</w:t>
      </w:r>
      <w:r>
        <w:rPr>
          <w:color w:val="231F20"/>
          <w:spacing w:val="-13"/>
          <w:w w:val="110"/>
        </w:rPr>
        <w:t> </w:t>
      </w:r>
      <w:r>
        <w:rPr>
          <w:color w:val="231F20"/>
          <w:w w:val="110"/>
        </w:rPr>
        <w:t>them</w:t>
      </w:r>
      <w:r>
        <w:rPr>
          <w:color w:val="231F20"/>
          <w:spacing w:val="-13"/>
          <w:w w:val="110"/>
        </w:rPr>
        <w:t> </w:t>
      </w:r>
      <w:r>
        <w:rPr>
          <w:color w:val="231F20"/>
          <w:w w:val="110"/>
        </w:rPr>
        <w:t>to</w:t>
      </w:r>
      <w:r>
        <w:rPr>
          <w:color w:val="231F20"/>
          <w:spacing w:val="-13"/>
          <w:w w:val="110"/>
        </w:rPr>
        <w:t> </w:t>
      </w:r>
      <w:r>
        <w:rPr>
          <w:color w:val="231F20"/>
          <w:w w:val="110"/>
        </w:rPr>
        <w:t>test</w:t>
      </w:r>
      <w:r>
        <w:rPr>
          <w:color w:val="231F20"/>
          <w:spacing w:val="-14"/>
          <w:w w:val="110"/>
        </w:rPr>
        <w:t> </w:t>
      </w:r>
      <w:r>
        <w:rPr>
          <w:color w:val="231F20"/>
          <w:w w:val="110"/>
        </w:rPr>
        <w:t>the</w:t>
      </w:r>
      <w:r>
        <w:rPr>
          <w:color w:val="231F20"/>
          <w:spacing w:val="-13"/>
          <w:w w:val="110"/>
        </w:rPr>
        <w:t> </w:t>
      </w:r>
      <w:r>
        <w:rPr>
          <w:color w:val="231F20"/>
          <w:w w:val="110"/>
        </w:rPr>
        <w:t>picture as it emerged. The culmination of the process was a London Summit held on 25th November 2006.</w:t>
      </w:r>
      <w:r>
        <w:rPr>
          <w:color w:val="231F20"/>
          <w:spacing w:val="-16"/>
          <w:w w:val="110"/>
        </w:rPr>
        <w:t> </w:t>
      </w:r>
      <w:r>
        <w:rPr>
          <w:color w:val="231F20"/>
          <w:w w:val="110"/>
        </w:rPr>
        <w:t>They</w:t>
      </w:r>
      <w:r>
        <w:rPr>
          <w:color w:val="231F20"/>
          <w:spacing w:val="-15"/>
          <w:w w:val="110"/>
        </w:rPr>
        <w:t> </w:t>
      </w:r>
      <w:r>
        <w:rPr>
          <w:color w:val="231F20"/>
          <w:w w:val="110"/>
        </w:rPr>
        <w:t>communicated</w:t>
      </w:r>
      <w:r>
        <w:rPr>
          <w:color w:val="231F20"/>
          <w:spacing w:val="-15"/>
          <w:w w:val="110"/>
        </w:rPr>
        <w:t> </w:t>
      </w:r>
      <w:r>
        <w:rPr>
          <w:color w:val="231F20"/>
          <w:w w:val="110"/>
        </w:rPr>
        <w:t>vision</w:t>
      </w:r>
      <w:r>
        <w:rPr>
          <w:color w:val="231F20"/>
          <w:spacing w:val="-15"/>
          <w:w w:val="110"/>
        </w:rPr>
        <w:t> </w:t>
      </w:r>
      <w:r>
        <w:rPr>
          <w:color w:val="231F20"/>
          <w:w w:val="110"/>
        </w:rPr>
        <w:t>and</w:t>
      </w:r>
      <w:r>
        <w:rPr>
          <w:color w:val="231F20"/>
          <w:spacing w:val="-15"/>
          <w:w w:val="110"/>
        </w:rPr>
        <w:t> </w:t>
      </w:r>
      <w:r>
        <w:rPr>
          <w:color w:val="231F20"/>
          <w:w w:val="110"/>
        </w:rPr>
        <w:t>hope</w:t>
      </w:r>
      <w:r>
        <w:rPr>
          <w:color w:val="231F20"/>
          <w:spacing w:val="-15"/>
          <w:w w:val="110"/>
        </w:rPr>
        <w:t> </w:t>
      </w:r>
      <w:r>
        <w:rPr>
          <w:color w:val="231F20"/>
          <w:w w:val="110"/>
        </w:rPr>
        <w:t>for</w:t>
      </w:r>
      <w:r>
        <w:rPr>
          <w:color w:val="231F20"/>
          <w:spacing w:val="-15"/>
          <w:w w:val="110"/>
        </w:rPr>
        <w:t> </w:t>
      </w:r>
      <w:r>
        <w:rPr>
          <w:color w:val="231F20"/>
          <w:w w:val="110"/>
        </w:rPr>
        <w:t>the</w:t>
      </w:r>
      <w:r>
        <w:rPr>
          <w:color w:val="231F20"/>
          <w:spacing w:val="-15"/>
          <w:w w:val="110"/>
        </w:rPr>
        <w:t> </w:t>
      </w:r>
      <w:r>
        <w:rPr>
          <w:color w:val="231F20"/>
          <w:w w:val="110"/>
        </w:rPr>
        <w:t>contribution</w:t>
      </w:r>
      <w:r>
        <w:rPr>
          <w:color w:val="231F20"/>
          <w:spacing w:val="-15"/>
          <w:w w:val="110"/>
        </w:rPr>
        <w:t> </w:t>
      </w:r>
      <w:r>
        <w:rPr>
          <w:color w:val="231F20"/>
          <w:w w:val="110"/>
        </w:rPr>
        <w:t>to</w:t>
      </w:r>
      <w:r>
        <w:rPr>
          <w:color w:val="231F20"/>
          <w:spacing w:val="-15"/>
          <w:w w:val="110"/>
        </w:rPr>
        <w:t> </w:t>
      </w:r>
      <w:r>
        <w:rPr>
          <w:color w:val="231F20"/>
          <w:w w:val="110"/>
        </w:rPr>
        <w:t>be</w:t>
      </w:r>
      <w:r>
        <w:rPr>
          <w:color w:val="231F20"/>
          <w:spacing w:val="-15"/>
          <w:w w:val="110"/>
        </w:rPr>
        <w:t> </w:t>
      </w:r>
      <w:r>
        <w:rPr>
          <w:color w:val="231F20"/>
          <w:w w:val="110"/>
        </w:rPr>
        <w:t>made</w:t>
      </w:r>
      <w:r>
        <w:rPr>
          <w:color w:val="231F20"/>
          <w:spacing w:val="-15"/>
          <w:w w:val="110"/>
        </w:rPr>
        <w:t> </w:t>
      </w:r>
      <w:r>
        <w:rPr>
          <w:color w:val="231F20"/>
          <w:w w:val="110"/>
        </w:rPr>
        <w:t>by</w:t>
      </w:r>
      <w:r>
        <w:rPr>
          <w:color w:val="231F20"/>
          <w:spacing w:val="-15"/>
          <w:w w:val="110"/>
        </w:rPr>
        <w:t> </w:t>
      </w:r>
      <w:r>
        <w:rPr>
          <w:color w:val="231F20"/>
          <w:w w:val="110"/>
        </w:rPr>
        <w:t>a</w:t>
      </w:r>
      <w:r>
        <w:rPr>
          <w:color w:val="231F20"/>
          <w:spacing w:val="-15"/>
          <w:w w:val="110"/>
        </w:rPr>
        <w:t> </w:t>
      </w:r>
      <w:r>
        <w:rPr>
          <w:color w:val="231F20"/>
          <w:w w:val="110"/>
        </w:rPr>
        <w:t>denomination</w:t>
      </w:r>
      <w:r>
        <w:rPr>
          <w:color w:val="231F20"/>
          <w:spacing w:val="-15"/>
          <w:w w:val="110"/>
        </w:rPr>
        <w:t> </w:t>
      </w:r>
      <w:r>
        <w:rPr>
          <w:color w:val="231F20"/>
          <w:w w:val="110"/>
        </w:rPr>
        <w:t>that was socially engaged and ecumenically committed, inheritor of a vibrant tradition of faith. They encourage</w:t>
      </w:r>
      <w:r>
        <w:rPr>
          <w:color w:val="231F20"/>
          <w:spacing w:val="-13"/>
          <w:w w:val="110"/>
        </w:rPr>
        <w:t> </w:t>
      </w:r>
      <w:r>
        <w:rPr>
          <w:color w:val="231F20"/>
          <w:w w:val="110"/>
        </w:rPr>
        <w:t>each</w:t>
      </w:r>
      <w:r>
        <w:rPr>
          <w:color w:val="231F20"/>
          <w:spacing w:val="-12"/>
          <w:w w:val="110"/>
        </w:rPr>
        <w:t> </w:t>
      </w:r>
      <w:r>
        <w:rPr>
          <w:color w:val="231F20"/>
          <w:w w:val="110"/>
        </w:rPr>
        <w:t>church</w:t>
      </w:r>
      <w:r>
        <w:rPr>
          <w:color w:val="231F20"/>
          <w:spacing w:val="-12"/>
          <w:w w:val="110"/>
        </w:rPr>
        <w:t> </w:t>
      </w:r>
      <w:r>
        <w:rPr>
          <w:color w:val="231F20"/>
          <w:w w:val="110"/>
        </w:rPr>
        <w:t>to</w:t>
      </w:r>
      <w:r>
        <w:rPr>
          <w:color w:val="231F20"/>
          <w:spacing w:val="-12"/>
          <w:w w:val="110"/>
        </w:rPr>
        <w:t> </w:t>
      </w:r>
      <w:r>
        <w:rPr>
          <w:color w:val="231F20"/>
          <w:w w:val="110"/>
        </w:rPr>
        <w:t>become</w:t>
      </w:r>
      <w:r>
        <w:rPr>
          <w:color w:val="231F20"/>
          <w:spacing w:val="-12"/>
          <w:w w:val="110"/>
        </w:rPr>
        <w:t> </w:t>
      </w:r>
      <w:r>
        <w:rPr>
          <w:color w:val="231F20"/>
          <w:w w:val="110"/>
        </w:rPr>
        <w:t>a</w:t>
      </w:r>
      <w:r>
        <w:rPr>
          <w:color w:val="231F20"/>
          <w:spacing w:val="-13"/>
          <w:w w:val="110"/>
        </w:rPr>
        <w:t> </w:t>
      </w:r>
      <w:r>
        <w:rPr>
          <w:color w:val="231F20"/>
          <w:w w:val="110"/>
        </w:rPr>
        <w:t>missionary</w:t>
      </w:r>
      <w:r>
        <w:rPr>
          <w:color w:val="231F20"/>
          <w:spacing w:val="-12"/>
          <w:w w:val="110"/>
        </w:rPr>
        <w:t> </w:t>
      </w:r>
      <w:r>
        <w:rPr>
          <w:color w:val="231F20"/>
          <w:w w:val="110"/>
        </w:rPr>
        <w:t>congregation</w:t>
      </w:r>
      <w:r>
        <w:rPr>
          <w:color w:val="231F20"/>
          <w:spacing w:val="-12"/>
          <w:w w:val="110"/>
        </w:rPr>
        <w:t> </w:t>
      </w:r>
      <w:r>
        <w:rPr>
          <w:color w:val="231F20"/>
          <w:w w:val="110"/>
        </w:rPr>
        <w:t>and</w:t>
      </w:r>
      <w:r>
        <w:rPr>
          <w:color w:val="231F20"/>
          <w:spacing w:val="-12"/>
          <w:w w:val="110"/>
        </w:rPr>
        <w:t> </w:t>
      </w:r>
      <w:r>
        <w:rPr>
          <w:color w:val="231F20"/>
          <w:w w:val="110"/>
        </w:rPr>
        <w:t>offer</w:t>
      </w:r>
      <w:r>
        <w:rPr>
          <w:color w:val="231F20"/>
          <w:spacing w:val="-12"/>
          <w:w w:val="110"/>
        </w:rPr>
        <w:t> </w:t>
      </w:r>
      <w:r>
        <w:rPr>
          <w:color w:val="231F20"/>
          <w:w w:val="110"/>
        </w:rPr>
        <w:t>ideas</w:t>
      </w:r>
      <w:r>
        <w:rPr>
          <w:color w:val="231F20"/>
          <w:spacing w:val="-13"/>
          <w:w w:val="110"/>
        </w:rPr>
        <w:t> </w:t>
      </w:r>
      <w:r>
        <w:rPr>
          <w:color w:val="231F20"/>
          <w:w w:val="110"/>
        </w:rPr>
        <w:t>for</w:t>
      </w:r>
      <w:r>
        <w:rPr>
          <w:color w:val="231F20"/>
          <w:spacing w:val="-12"/>
          <w:w w:val="110"/>
        </w:rPr>
        <w:t> </w:t>
      </w:r>
      <w:r>
        <w:rPr>
          <w:color w:val="231F20"/>
          <w:w w:val="110"/>
        </w:rPr>
        <w:t>an</w:t>
      </w:r>
      <w:r>
        <w:rPr>
          <w:color w:val="231F20"/>
          <w:spacing w:val="-12"/>
          <w:w w:val="110"/>
        </w:rPr>
        <w:t> </w:t>
      </w:r>
      <w:r>
        <w:rPr>
          <w:color w:val="231F20"/>
          <w:w w:val="110"/>
        </w:rPr>
        <w:t>infrastructure to</w:t>
      </w:r>
      <w:r>
        <w:rPr>
          <w:color w:val="231F20"/>
          <w:spacing w:val="-8"/>
          <w:w w:val="110"/>
        </w:rPr>
        <w:t> </w:t>
      </w:r>
      <w:r>
        <w:rPr>
          <w:color w:val="231F20"/>
          <w:w w:val="110"/>
        </w:rPr>
        <w:t>support</w:t>
      </w:r>
      <w:r>
        <w:rPr>
          <w:color w:val="231F20"/>
          <w:spacing w:val="-7"/>
          <w:w w:val="110"/>
        </w:rPr>
        <w:t> </w:t>
      </w:r>
      <w:r>
        <w:rPr>
          <w:color w:val="231F20"/>
          <w:w w:val="110"/>
        </w:rPr>
        <w:t>this</w:t>
      </w:r>
      <w:r>
        <w:rPr>
          <w:color w:val="231F20"/>
          <w:spacing w:val="-8"/>
          <w:w w:val="110"/>
        </w:rPr>
        <w:t> </w:t>
      </w:r>
      <w:r>
        <w:rPr>
          <w:color w:val="231F20"/>
          <w:w w:val="110"/>
        </w:rPr>
        <w:t>vision</w:t>
      </w:r>
      <w:r>
        <w:rPr>
          <w:color w:val="231F20"/>
          <w:spacing w:val="-7"/>
          <w:w w:val="110"/>
        </w:rPr>
        <w:t> </w:t>
      </w:r>
      <w:r>
        <w:rPr>
          <w:color w:val="231F20"/>
          <w:w w:val="110"/>
        </w:rPr>
        <w:t>(there</w:t>
      </w:r>
      <w:r>
        <w:rPr>
          <w:color w:val="231F20"/>
          <w:spacing w:val="-7"/>
          <w:w w:val="110"/>
        </w:rPr>
        <w:t> </w:t>
      </w:r>
      <w:r>
        <w:rPr>
          <w:color w:val="231F20"/>
          <w:w w:val="110"/>
        </w:rPr>
        <w:t>is</w:t>
      </w:r>
      <w:r>
        <w:rPr>
          <w:color w:val="231F20"/>
          <w:spacing w:val="-8"/>
          <w:w w:val="110"/>
        </w:rPr>
        <w:t> </w:t>
      </w:r>
      <w:r>
        <w:rPr>
          <w:color w:val="231F20"/>
          <w:w w:val="110"/>
        </w:rPr>
        <w:t>more</w:t>
      </w:r>
      <w:r>
        <w:rPr>
          <w:color w:val="231F20"/>
          <w:spacing w:val="-7"/>
          <w:w w:val="110"/>
        </w:rPr>
        <w:t> </w:t>
      </w:r>
      <w:r>
        <w:rPr>
          <w:color w:val="231F20"/>
          <w:w w:val="110"/>
        </w:rPr>
        <w:t>information</w:t>
      </w:r>
      <w:r>
        <w:rPr>
          <w:color w:val="231F20"/>
          <w:spacing w:val="-7"/>
          <w:w w:val="110"/>
        </w:rPr>
        <w:t> </w:t>
      </w:r>
      <w:r>
        <w:rPr>
          <w:color w:val="231F20"/>
          <w:w w:val="110"/>
        </w:rPr>
        <w:t>at</w:t>
      </w:r>
      <w:r>
        <w:rPr>
          <w:color w:val="231F20"/>
          <w:spacing w:val="-8"/>
          <w:w w:val="110"/>
        </w:rPr>
        <w:t> </w:t>
      </w:r>
      <w:r>
        <w:rPr>
          <w:color w:val="231F20"/>
          <w:spacing w:val="-3"/>
          <w:w w:val="110"/>
        </w:rPr>
        <w:t>www.urclondon.org.uk).</w:t>
      </w:r>
    </w:p>
    <w:p>
      <w:pPr>
        <w:pStyle w:val="BodyText"/>
        <w:spacing w:before="11"/>
        <w:rPr>
          <w:sz w:val="20"/>
        </w:rPr>
      </w:pPr>
    </w:p>
    <w:p>
      <w:pPr>
        <w:pStyle w:val="ListParagraph"/>
        <w:numPr>
          <w:ilvl w:val="1"/>
          <w:numId w:val="16"/>
        </w:numPr>
        <w:tabs>
          <w:tab w:pos="1393" w:val="left" w:leader="none"/>
          <w:tab w:pos="1394" w:val="left" w:leader="none"/>
        </w:tabs>
        <w:spacing w:line="273" w:lineRule="auto" w:before="0" w:after="0"/>
        <w:ind w:left="673" w:right="1462" w:firstLine="0"/>
        <w:jc w:val="left"/>
        <w:rPr>
          <w:sz w:val="18"/>
        </w:rPr>
      </w:pPr>
      <w:r>
        <w:rPr>
          <w:color w:val="231F20"/>
          <w:w w:val="110"/>
          <w:sz w:val="18"/>
        </w:rPr>
        <w:t>Until a strategy is agreed and the London Synod question is resolved, it seemed inappropriate to be too adventurous in the creation of new </w:t>
      </w:r>
      <w:r>
        <w:rPr>
          <w:color w:val="231F20"/>
          <w:spacing w:val="2"/>
          <w:w w:val="110"/>
          <w:sz w:val="18"/>
        </w:rPr>
        <w:t>structures </w:t>
      </w:r>
      <w:r>
        <w:rPr>
          <w:color w:val="231F20"/>
          <w:w w:val="110"/>
          <w:sz w:val="18"/>
        </w:rPr>
        <w:t>to take over </w:t>
      </w:r>
      <w:r>
        <w:rPr>
          <w:color w:val="231F20"/>
          <w:spacing w:val="2"/>
          <w:w w:val="110"/>
          <w:sz w:val="18"/>
        </w:rPr>
        <w:t>from    </w:t>
      </w:r>
      <w:r>
        <w:rPr>
          <w:color w:val="231F20"/>
          <w:w w:val="110"/>
          <w:sz w:val="18"/>
        </w:rPr>
        <w:t>the</w:t>
      </w:r>
      <w:r>
        <w:rPr>
          <w:color w:val="231F20"/>
          <w:spacing w:val="12"/>
          <w:w w:val="110"/>
          <w:sz w:val="18"/>
        </w:rPr>
        <w:t> </w:t>
      </w:r>
      <w:r>
        <w:rPr>
          <w:color w:val="231F20"/>
          <w:spacing w:val="2"/>
          <w:w w:val="110"/>
          <w:sz w:val="18"/>
        </w:rPr>
        <w:t>district</w:t>
      </w:r>
      <w:r>
        <w:rPr>
          <w:color w:val="231F20"/>
          <w:spacing w:val="12"/>
          <w:w w:val="110"/>
          <w:sz w:val="18"/>
        </w:rPr>
        <w:t> </w:t>
      </w:r>
      <w:r>
        <w:rPr>
          <w:color w:val="231F20"/>
          <w:w w:val="110"/>
          <w:sz w:val="18"/>
        </w:rPr>
        <w:t>councils.</w:t>
      </w:r>
      <w:r>
        <w:rPr>
          <w:color w:val="231F20"/>
          <w:spacing w:val="12"/>
          <w:w w:val="110"/>
          <w:sz w:val="18"/>
        </w:rPr>
        <w:t> </w:t>
      </w:r>
      <w:r>
        <w:rPr>
          <w:color w:val="231F20"/>
          <w:w w:val="110"/>
          <w:sz w:val="18"/>
        </w:rPr>
        <w:t>Thames</w:t>
      </w:r>
      <w:r>
        <w:rPr>
          <w:color w:val="231F20"/>
          <w:spacing w:val="12"/>
          <w:w w:val="110"/>
          <w:sz w:val="18"/>
        </w:rPr>
        <w:t> </w:t>
      </w:r>
      <w:r>
        <w:rPr>
          <w:color w:val="231F20"/>
          <w:spacing w:val="2"/>
          <w:w w:val="110"/>
          <w:sz w:val="18"/>
        </w:rPr>
        <w:t>North</w:t>
      </w:r>
      <w:r>
        <w:rPr>
          <w:color w:val="231F20"/>
          <w:spacing w:val="12"/>
          <w:w w:val="110"/>
          <w:sz w:val="18"/>
        </w:rPr>
        <w:t> </w:t>
      </w:r>
      <w:r>
        <w:rPr>
          <w:color w:val="231F20"/>
          <w:w w:val="110"/>
          <w:sz w:val="18"/>
        </w:rPr>
        <w:t>opted</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turn</w:t>
      </w:r>
      <w:r>
        <w:rPr>
          <w:color w:val="231F20"/>
          <w:spacing w:val="12"/>
          <w:w w:val="110"/>
          <w:sz w:val="18"/>
        </w:rPr>
        <w:t> </w:t>
      </w:r>
      <w:r>
        <w:rPr>
          <w:color w:val="231F20"/>
          <w:w w:val="110"/>
          <w:sz w:val="18"/>
        </w:rPr>
        <w:t>its</w:t>
      </w:r>
      <w:r>
        <w:rPr>
          <w:color w:val="231F20"/>
          <w:spacing w:val="12"/>
          <w:w w:val="110"/>
          <w:sz w:val="18"/>
        </w:rPr>
        <w:t> </w:t>
      </w:r>
      <w:r>
        <w:rPr>
          <w:color w:val="231F20"/>
          <w:spacing w:val="2"/>
          <w:w w:val="110"/>
          <w:sz w:val="18"/>
        </w:rPr>
        <w:t>district</w:t>
      </w:r>
      <w:r>
        <w:rPr>
          <w:color w:val="231F20"/>
          <w:spacing w:val="12"/>
          <w:w w:val="110"/>
          <w:sz w:val="18"/>
        </w:rPr>
        <w:t> </w:t>
      </w:r>
      <w:r>
        <w:rPr>
          <w:color w:val="231F20"/>
          <w:w w:val="110"/>
          <w:sz w:val="18"/>
        </w:rPr>
        <w:t>pastoral</w:t>
      </w:r>
      <w:r>
        <w:rPr>
          <w:color w:val="231F20"/>
          <w:spacing w:val="12"/>
          <w:w w:val="110"/>
          <w:sz w:val="18"/>
        </w:rPr>
        <w:t> </w:t>
      </w:r>
      <w:r>
        <w:rPr>
          <w:color w:val="231F20"/>
          <w:w w:val="110"/>
          <w:sz w:val="18"/>
        </w:rPr>
        <w:t>committees</w:t>
      </w:r>
      <w:r>
        <w:rPr>
          <w:color w:val="231F20"/>
          <w:spacing w:val="12"/>
          <w:w w:val="110"/>
          <w:sz w:val="18"/>
        </w:rPr>
        <w:t> </w:t>
      </w:r>
      <w:r>
        <w:rPr>
          <w:color w:val="231F20"/>
          <w:w w:val="110"/>
          <w:sz w:val="18"/>
        </w:rPr>
        <w:t>into</w:t>
      </w:r>
      <w:r>
        <w:rPr>
          <w:color w:val="231F20"/>
          <w:spacing w:val="12"/>
          <w:w w:val="110"/>
          <w:sz w:val="18"/>
        </w:rPr>
        <w:t> </w:t>
      </w:r>
      <w:r>
        <w:rPr>
          <w:color w:val="231F20"/>
          <w:w w:val="110"/>
          <w:sz w:val="18"/>
        </w:rPr>
        <w:t>“Area</w:t>
      </w:r>
    </w:p>
    <w:p>
      <w:pPr>
        <w:pStyle w:val="BodyText"/>
        <w:spacing w:line="273" w:lineRule="auto" w:before="2"/>
        <w:ind w:left="673" w:right="474"/>
      </w:pPr>
      <w:r>
        <w:rPr>
          <w:color w:val="231F20"/>
          <w:w w:val="110"/>
        </w:rPr>
        <w:t>Committees” of the synod, delegating most of the former district functions to them, with minor changes to other synod committees.</w:t>
      </w:r>
    </w:p>
    <w:p>
      <w:pPr>
        <w:pStyle w:val="BodyText"/>
        <w:rPr>
          <w:sz w:val="19"/>
        </w:rPr>
      </w:pPr>
    </w:p>
    <w:p>
      <w:pPr>
        <w:numPr>
          <w:ilvl w:val="0"/>
          <w:numId w:val="16"/>
        </w:numPr>
        <w:tabs>
          <w:tab w:pos="1393" w:val="left" w:leader="none"/>
          <w:tab w:pos="1394" w:val="left" w:leader="none"/>
        </w:tabs>
        <w:spacing w:before="0"/>
        <w:ind w:left="1393" w:right="0" w:hanging="721"/>
        <w:jc w:val="left"/>
        <w:rPr>
          <w:b/>
          <w:sz w:val="20"/>
        </w:rPr>
      </w:pPr>
      <w:r>
        <w:rPr>
          <w:b/>
          <w:color w:val="231F20"/>
          <w:w w:val="110"/>
          <w:sz w:val="20"/>
        </w:rPr>
        <w:t>A world church within the world</w:t>
      </w:r>
      <w:r>
        <w:rPr>
          <w:b/>
          <w:color w:val="231F20"/>
          <w:spacing w:val="-4"/>
          <w:w w:val="110"/>
          <w:sz w:val="20"/>
        </w:rPr>
        <w:t> </w:t>
      </w:r>
      <w:r>
        <w:rPr>
          <w:b/>
          <w:color w:val="231F20"/>
          <w:w w:val="110"/>
          <w:sz w:val="20"/>
        </w:rPr>
        <w:t>church</w:t>
      </w:r>
    </w:p>
    <w:p>
      <w:pPr>
        <w:pStyle w:val="BodyText"/>
        <w:spacing w:before="10"/>
        <w:rPr>
          <w:b/>
          <w:sz w:val="22"/>
        </w:rPr>
      </w:pPr>
    </w:p>
    <w:p>
      <w:pPr>
        <w:pStyle w:val="ListParagraph"/>
        <w:numPr>
          <w:ilvl w:val="1"/>
          <w:numId w:val="16"/>
        </w:numPr>
        <w:tabs>
          <w:tab w:pos="1393" w:val="left" w:leader="none"/>
          <w:tab w:pos="1394" w:val="left" w:leader="none"/>
        </w:tabs>
        <w:spacing w:line="273" w:lineRule="auto" w:before="0" w:after="0"/>
        <w:ind w:left="673" w:right="1097" w:firstLine="0"/>
        <w:jc w:val="left"/>
        <w:rPr>
          <w:sz w:val="18"/>
        </w:rPr>
      </w:pPr>
      <w:r>
        <w:rPr>
          <w:color w:val="231F20"/>
          <w:w w:val="110"/>
          <w:sz w:val="18"/>
        </w:rPr>
        <w:t>The multi-cultural life of the synod continues to flourish. In 2006 we welcomed the   Revd Shahbaz Javed </w:t>
      </w:r>
      <w:r>
        <w:rPr>
          <w:color w:val="231F20"/>
          <w:spacing w:val="2"/>
          <w:w w:val="110"/>
          <w:sz w:val="18"/>
        </w:rPr>
        <w:t>from </w:t>
      </w:r>
      <w:r>
        <w:rPr>
          <w:color w:val="231F20"/>
          <w:w w:val="110"/>
          <w:sz w:val="18"/>
        </w:rPr>
        <w:t>the Presbyterian Church of Pakistan to become the minister of the Walthamstow United Reformed Asian Christian Church. A Special </w:t>
      </w:r>
      <w:r>
        <w:rPr>
          <w:color w:val="231F20"/>
          <w:spacing w:val="2"/>
          <w:w w:val="110"/>
          <w:sz w:val="18"/>
        </w:rPr>
        <w:t>Category </w:t>
      </w:r>
      <w:r>
        <w:rPr>
          <w:color w:val="231F20"/>
          <w:w w:val="110"/>
          <w:sz w:val="18"/>
        </w:rPr>
        <w:t>Ministry has been approved for our Slough Asian congregation so that Urdu-speaking leadership can be </w:t>
      </w:r>
      <w:r>
        <w:rPr>
          <w:color w:val="231F20"/>
          <w:spacing w:val="2"/>
          <w:w w:val="110"/>
          <w:sz w:val="18"/>
        </w:rPr>
        <w:t>recruited</w:t>
      </w:r>
      <w:r>
        <w:rPr>
          <w:color w:val="231F20"/>
          <w:spacing w:val="73"/>
          <w:w w:val="110"/>
          <w:sz w:val="18"/>
        </w:rPr>
        <w:t> </w:t>
      </w:r>
      <w:r>
        <w:rPr>
          <w:color w:val="231F20"/>
          <w:w w:val="110"/>
          <w:sz w:val="18"/>
        </w:rPr>
        <w:t>for them as</w:t>
      </w:r>
      <w:r>
        <w:rPr>
          <w:color w:val="231F20"/>
          <w:spacing w:val="2"/>
          <w:w w:val="110"/>
          <w:sz w:val="18"/>
        </w:rPr>
        <w:t> </w:t>
      </w:r>
      <w:r>
        <w:rPr>
          <w:color w:val="231F20"/>
          <w:w w:val="110"/>
          <w:sz w:val="18"/>
        </w:rPr>
        <w:t>well.</w:t>
      </w:r>
    </w:p>
    <w:p>
      <w:pPr>
        <w:pStyle w:val="BodyText"/>
        <w:spacing w:before="10"/>
        <w:rPr>
          <w:sz w:val="20"/>
        </w:rPr>
      </w:pPr>
    </w:p>
    <w:p>
      <w:pPr>
        <w:pStyle w:val="ListParagraph"/>
        <w:numPr>
          <w:ilvl w:val="1"/>
          <w:numId w:val="16"/>
        </w:numPr>
        <w:tabs>
          <w:tab w:pos="1393" w:val="left" w:leader="none"/>
          <w:tab w:pos="1394" w:val="left" w:leader="none"/>
        </w:tabs>
        <w:spacing w:line="273" w:lineRule="auto" w:before="0" w:after="0"/>
        <w:ind w:left="673" w:right="1095" w:firstLine="0"/>
        <w:jc w:val="left"/>
        <w:rPr>
          <w:sz w:val="18"/>
        </w:rPr>
      </w:pPr>
      <w:r>
        <w:rPr>
          <w:color w:val="231F20"/>
          <w:w w:val="110"/>
          <w:sz w:val="18"/>
        </w:rPr>
        <w:t>In 2005 conversations began between Thames </w:t>
      </w:r>
      <w:r>
        <w:rPr>
          <w:color w:val="231F20"/>
          <w:spacing w:val="2"/>
          <w:w w:val="110"/>
          <w:sz w:val="18"/>
        </w:rPr>
        <w:t>North </w:t>
      </w:r>
      <w:r>
        <w:rPr>
          <w:color w:val="231F20"/>
          <w:w w:val="110"/>
          <w:sz w:val="18"/>
        </w:rPr>
        <w:t>and Southern Synods and our </w:t>
      </w:r>
      <w:r>
        <w:rPr>
          <w:color w:val="231F20"/>
          <w:spacing w:val="2"/>
          <w:w w:val="110"/>
          <w:sz w:val="18"/>
        </w:rPr>
        <w:t>partners </w:t>
      </w:r>
      <w:r>
        <w:rPr>
          <w:color w:val="231F20"/>
          <w:w w:val="110"/>
          <w:sz w:val="18"/>
        </w:rPr>
        <w:t>in the London congregations of the Presbyterian Church of Ghana and the Evangelical Presbyterian Church, Ghana. Negotiations are now underway to enable these churches to become full member congregations of the United Reformed Church while maintaining their   links with their Ghanaian denominations, in a kind of international</w:t>
      </w:r>
      <w:r>
        <w:rPr>
          <w:color w:val="231F20"/>
          <w:spacing w:val="28"/>
          <w:w w:val="110"/>
          <w:sz w:val="18"/>
        </w:rPr>
        <w:t> </w:t>
      </w:r>
      <w:r>
        <w:rPr>
          <w:color w:val="231F20"/>
          <w:spacing w:val="-5"/>
          <w:w w:val="110"/>
          <w:sz w:val="18"/>
        </w:rPr>
        <w:t>LEP.</w:t>
      </w:r>
    </w:p>
    <w:p>
      <w:pPr>
        <w:pStyle w:val="BodyText"/>
        <w:spacing w:before="10"/>
        <w:rPr>
          <w:sz w:val="20"/>
        </w:rPr>
      </w:pPr>
    </w:p>
    <w:p>
      <w:pPr>
        <w:pStyle w:val="ListParagraph"/>
        <w:numPr>
          <w:ilvl w:val="1"/>
          <w:numId w:val="16"/>
        </w:numPr>
        <w:tabs>
          <w:tab w:pos="1393" w:val="left" w:leader="none"/>
          <w:tab w:pos="1394" w:val="left" w:leader="none"/>
        </w:tabs>
        <w:spacing w:line="273" w:lineRule="auto" w:before="0" w:after="0"/>
        <w:ind w:left="673" w:right="1317" w:firstLine="0"/>
        <w:jc w:val="left"/>
        <w:rPr>
          <w:sz w:val="18"/>
        </w:rPr>
      </w:pPr>
      <w:r>
        <w:rPr>
          <w:color w:val="231F20"/>
          <w:w w:val="110"/>
          <w:sz w:val="18"/>
        </w:rPr>
        <w:t>2006 saw the first United Reformed Church “Ghanaian Conference”, organised by the Racial Justice and Multicultural Ministries Committee. Ghanaian </w:t>
      </w:r>
      <w:r>
        <w:rPr>
          <w:color w:val="231F20"/>
          <w:spacing w:val="2"/>
          <w:w w:val="110"/>
          <w:sz w:val="18"/>
        </w:rPr>
        <w:t>members from </w:t>
      </w:r>
      <w:r>
        <w:rPr>
          <w:color w:val="231F20"/>
          <w:w w:val="110"/>
          <w:sz w:val="18"/>
        </w:rPr>
        <w:t>many United Reformed Church congregations gathered to worship and discuss issues of mutual concern.    A second conference is planned for 2007 and we hope that this will become an annual event, with similar events for other ethnic minority</w:t>
      </w:r>
      <w:r>
        <w:rPr>
          <w:color w:val="231F20"/>
          <w:spacing w:val="14"/>
          <w:w w:val="110"/>
          <w:sz w:val="18"/>
        </w:rPr>
        <w:t> </w:t>
      </w:r>
      <w:r>
        <w:rPr>
          <w:color w:val="231F20"/>
          <w:w w:val="110"/>
          <w:sz w:val="18"/>
        </w:rPr>
        <w:t>groups.</w:t>
      </w:r>
    </w:p>
    <w:p>
      <w:pPr>
        <w:pStyle w:val="BodyText"/>
        <w:spacing w:before="10"/>
        <w:rPr>
          <w:sz w:val="20"/>
        </w:rPr>
      </w:pPr>
    </w:p>
    <w:p>
      <w:pPr>
        <w:pStyle w:val="ListParagraph"/>
        <w:numPr>
          <w:ilvl w:val="1"/>
          <w:numId w:val="16"/>
        </w:numPr>
        <w:tabs>
          <w:tab w:pos="1393" w:val="left" w:leader="none"/>
          <w:tab w:pos="1394" w:val="left" w:leader="none"/>
        </w:tabs>
        <w:spacing w:line="273" w:lineRule="auto" w:before="0" w:after="0"/>
        <w:ind w:left="673" w:right="1328" w:firstLine="0"/>
        <w:jc w:val="left"/>
        <w:rPr>
          <w:sz w:val="18"/>
        </w:rPr>
      </w:pPr>
      <w:r>
        <w:rPr>
          <w:color w:val="231F20"/>
          <w:w w:val="110"/>
          <w:sz w:val="18"/>
        </w:rPr>
        <w:t>The Revd Dr Godwin </w:t>
      </w:r>
      <w:r>
        <w:rPr>
          <w:color w:val="231F20"/>
          <w:spacing w:val="-3"/>
          <w:w w:val="110"/>
          <w:sz w:val="18"/>
        </w:rPr>
        <w:t>Odonkor, </w:t>
      </w:r>
      <w:r>
        <w:rPr>
          <w:color w:val="231F20"/>
          <w:w w:val="110"/>
          <w:sz w:val="18"/>
        </w:rPr>
        <w:t>Ghanaian Minister to London, has nearly completed his four years in our midst. Godwin has undertaken church planting and we hope to recognise a new congregation in Ealing as a Mission </w:t>
      </w:r>
      <w:r>
        <w:rPr>
          <w:color w:val="231F20"/>
          <w:spacing w:val="2"/>
          <w:w w:val="110"/>
          <w:sz w:val="18"/>
        </w:rPr>
        <w:t>Project </w:t>
      </w:r>
      <w:r>
        <w:rPr>
          <w:color w:val="231F20"/>
          <w:w w:val="110"/>
          <w:sz w:val="18"/>
        </w:rPr>
        <w:t>of the United Reformed Church </w:t>
      </w:r>
      <w:r>
        <w:rPr>
          <w:color w:val="231F20"/>
          <w:spacing w:val="2"/>
          <w:w w:val="110"/>
          <w:sz w:val="18"/>
        </w:rPr>
        <w:t>before </w:t>
      </w:r>
      <w:r>
        <w:rPr>
          <w:color w:val="231F20"/>
          <w:w w:val="110"/>
          <w:sz w:val="18"/>
        </w:rPr>
        <w:t>long. Godwin will also be </w:t>
      </w:r>
      <w:r>
        <w:rPr>
          <w:color w:val="231F20"/>
          <w:spacing w:val="2"/>
          <w:w w:val="110"/>
          <w:sz w:val="18"/>
        </w:rPr>
        <w:t>remembered </w:t>
      </w:r>
      <w:r>
        <w:rPr>
          <w:color w:val="231F20"/>
          <w:w w:val="110"/>
          <w:sz w:val="18"/>
        </w:rPr>
        <w:t>for the spectacular </w:t>
      </w:r>
      <w:r>
        <w:rPr>
          <w:color w:val="231F20"/>
          <w:spacing w:val="2"/>
          <w:w w:val="110"/>
          <w:sz w:val="18"/>
        </w:rPr>
        <w:t>service </w:t>
      </w:r>
      <w:r>
        <w:rPr>
          <w:color w:val="231F20"/>
          <w:w w:val="110"/>
          <w:sz w:val="18"/>
        </w:rPr>
        <w:t>he organised in March 2007 for the 50</w:t>
      </w:r>
      <w:r>
        <w:rPr>
          <w:color w:val="231F20"/>
          <w:w w:val="110"/>
          <w:position w:val="6"/>
          <w:sz w:val="10"/>
        </w:rPr>
        <w:t>th </w:t>
      </w:r>
      <w:r>
        <w:rPr>
          <w:color w:val="231F20"/>
          <w:w w:val="110"/>
          <w:sz w:val="18"/>
        </w:rPr>
        <w:t>anniversary of Ghanaian</w:t>
      </w:r>
      <w:r>
        <w:rPr>
          <w:color w:val="231F20"/>
          <w:spacing w:val="2"/>
          <w:w w:val="110"/>
          <w:sz w:val="18"/>
        </w:rPr>
        <w:t> </w:t>
      </w:r>
      <w:r>
        <w:rPr>
          <w:color w:val="231F20"/>
          <w:w w:val="110"/>
          <w:sz w:val="18"/>
        </w:rPr>
        <w:t>independence.</w:t>
      </w:r>
    </w:p>
    <w:p>
      <w:pPr>
        <w:spacing w:after="0" w:line="273" w:lineRule="auto"/>
        <w:jc w:val="left"/>
        <w:rPr>
          <w:sz w:val="18"/>
        </w:rPr>
        <w:sectPr>
          <w:pgSz w:w="11910" w:h="16840"/>
          <w:pgMar w:header="527" w:footer="564" w:top="820" w:bottom="760" w:left="460" w:right="0"/>
        </w:sectPr>
      </w:pPr>
    </w:p>
    <w:p>
      <w:pPr>
        <w:pStyle w:val="BodyText"/>
        <w:rPr>
          <w:sz w:val="20"/>
        </w:rPr>
      </w:pPr>
    </w:p>
    <w:p>
      <w:pPr>
        <w:pStyle w:val="BodyText"/>
        <w:spacing w:before="8"/>
        <w:rPr>
          <w:sz w:val="20"/>
        </w:rPr>
      </w:pPr>
    </w:p>
    <w:p>
      <w:pPr>
        <w:pStyle w:val="ListParagraph"/>
        <w:numPr>
          <w:ilvl w:val="1"/>
          <w:numId w:val="16"/>
        </w:numPr>
        <w:tabs>
          <w:tab w:pos="1393" w:val="left" w:leader="none"/>
          <w:tab w:pos="1394" w:val="left" w:leader="none"/>
        </w:tabs>
        <w:spacing w:line="273" w:lineRule="auto" w:before="0" w:after="0"/>
        <w:ind w:left="673" w:right="1823" w:firstLine="0"/>
        <w:jc w:val="left"/>
        <w:rPr>
          <w:sz w:val="18"/>
        </w:rPr>
      </w:pPr>
      <w:r>
        <w:rPr>
          <w:color w:val="231F20"/>
          <w:w w:val="110"/>
          <w:sz w:val="18"/>
        </w:rPr>
        <w:t>Relationships with our </w:t>
      </w:r>
      <w:r>
        <w:rPr>
          <w:color w:val="231F20"/>
          <w:spacing w:val="2"/>
          <w:w w:val="110"/>
          <w:sz w:val="18"/>
        </w:rPr>
        <w:t>partner </w:t>
      </w:r>
      <w:r>
        <w:rPr>
          <w:color w:val="231F20"/>
          <w:w w:val="110"/>
          <w:sz w:val="18"/>
        </w:rPr>
        <w:t>churches overseas continue to develop. Ministers </w:t>
      </w:r>
      <w:r>
        <w:rPr>
          <w:color w:val="231F20"/>
          <w:spacing w:val="2"/>
          <w:w w:val="110"/>
          <w:sz w:val="18"/>
        </w:rPr>
        <w:t>from </w:t>
      </w:r>
      <w:r>
        <w:rPr>
          <w:color w:val="231F20"/>
          <w:w w:val="110"/>
          <w:sz w:val="18"/>
        </w:rPr>
        <w:t>the Evangelical Church of </w:t>
      </w:r>
      <w:r>
        <w:rPr>
          <w:color w:val="231F20"/>
          <w:spacing w:val="2"/>
          <w:w w:val="110"/>
          <w:sz w:val="18"/>
        </w:rPr>
        <w:t>Czech </w:t>
      </w:r>
      <w:r>
        <w:rPr>
          <w:color w:val="231F20"/>
          <w:w w:val="110"/>
          <w:sz w:val="18"/>
        </w:rPr>
        <w:t>Brethren have now joined our Ministers Spring School for four years running, and in 2007 the School was held in the </w:t>
      </w:r>
      <w:r>
        <w:rPr>
          <w:color w:val="231F20"/>
          <w:spacing w:val="2"/>
          <w:w w:val="110"/>
          <w:sz w:val="18"/>
        </w:rPr>
        <w:t>Czech </w:t>
      </w:r>
      <w:r>
        <w:rPr>
          <w:color w:val="231F20"/>
          <w:w w:val="110"/>
          <w:sz w:val="18"/>
        </w:rPr>
        <w:t>Republic to explore the theme, “The </w:t>
      </w:r>
      <w:r>
        <w:rPr>
          <w:color w:val="231F20"/>
          <w:spacing w:val="2"/>
          <w:w w:val="110"/>
          <w:sz w:val="18"/>
        </w:rPr>
        <w:t>Czech </w:t>
      </w:r>
      <w:r>
        <w:rPr>
          <w:color w:val="231F20"/>
          <w:w w:val="110"/>
          <w:sz w:val="18"/>
        </w:rPr>
        <w:t>Dream: </w:t>
      </w:r>
      <w:r>
        <w:rPr>
          <w:color w:val="231F20"/>
          <w:spacing w:val="2"/>
          <w:w w:val="110"/>
          <w:sz w:val="18"/>
        </w:rPr>
        <w:t>Memory </w:t>
      </w:r>
      <w:r>
        <w:rPr>
          <w:color w:val="231F20"/>
          <w:w w:val="110"/>
          <w:sz w:val="18"/>
        </w:rPr>
        <w:t>and</w:t>
      </w:r>
      <w:r>
        <w:rPr>
          <w:color w:val="231F20"/>
          <w:spacing w:val="16"/>
          <w:w w:val="110"/>
          <w:sz w:val="18"/>
        </w:rPr>
        <w:t> </w:t>
      </w:r>
      <w:r>
        <w:rPr>
          <w:color w:val="231F20"/>
          <w:w w:val="110"/>
          <w:sz w:val="18"/>
        </w:rPr>
        <w:t>Identity”.</w:t>
      </w:r>
    </w:p>
    <w:p>
      <w:pPr>
        <w:pStyle w:val="BodyText"/>
        <w:spacing w:before="9"/>
        <w:rPr>
          <w:sz w:val="20"/>
        </w:rPr>
      </w:pPr>
    </w:p>
    <w:p>
      <w:pPr>
        <w:pStyle w:val="ListParagraph"/>
        <w:numPr>
          <w:ilvl w:val="1"/>
          <w:numId w:val="16"/>
        </w:numPr>
        <w:tabs>
          <w:tab w:pos="1393" w:val="left" w:leader="none"/>
          <w:tab w:pos="1394" w:val="left" w:leader="none"/>
        </w:tabs>
        <w:spacing w:line="240" w:lineRule="auto" w:before="1" w:after="0"/>
        <w:ind w:left="1393" w:right="0" w:hanging="721"/>
        <w:jc w:val="left"/>
        <w:rPr>
          <w:sz w:val="18"/>
        </w:rPr>
      </w:pPr>
      <w:r>
        <w:rPr>
          <w:color w:val="231F20"/>
          <w:w w:val="110"/>
          <w:sz w:val="18"/>
        </w:rPr>
        <w:t>Our </w:t>
      </w:r>
      <w:r>
        <w:rPr>
          <w:color w:val="231F20"/>
          <w:spacing w:val="2"/>
          <w:w w:val="110"/>
          <w:sz w:val="18"/>
        </w:rPr>
        <w:t>partnership </w:t>
      </w:r>
      <w:r>
        <w:rPr>
          <w:color w:val="231F20"/>
          <w:w w:val="110"/>
          <w:sz w:val="18"/>
        </w:rPr>
        <w:t>with the Karnataka Central Diocese of the Church of</w:t>
      </w:r>
      <w:r>
        <w:rPr>
          <w:color w:val="231F20"/>
          <w:spacing w:val="36"/>
          <w:w w:val="110"/>
          <w:sz w:val="18"/>
        </w:rPr>
        <w:t> </w:t>
      </w:r>
      <w:r>
        <w:rPr>
          <w:color w:val="231F20"/>
          <w:w w:val="110"/>
          <w:sz w:val="18"/>
        </w:rPr>
        <w:t>South</w:t>
      </w:r>
    </w:p>
    <w:p>
      <w:pPr>
        <w:pStyle w:val="BodyText"/>
        <w:spacing w:line="273" w:lineRule="auto" w:before="31"/>
        <w:ind w:left="673" w:right="1829"/>
      </w:pPr>
      <w:r>
        <w:rPr>
          <w:color w:val="231F20"/>
          <w:w w:val="110"/>
        </w:rPr>
        <w:t>India also continues to flourish under the “Belonging to the World Church” programme. Exchanges have taken place in both directions, with Indian delegations coming to the UK in 2005 and 2007 and a visit of Thames North members to India in 2006.</w:t>
      </w:r>
    </w:p>
    <w:p>
      <w:pPr>
        <w:pStyle w:val="BodyText"/>
        <w:rPr>
          <w:sz w:val="19"/>
        </w:rPr>
      </w:pPr>
    </w:p>
    <w:p>
      <w:pPr>
        <w:numPr>
          <w:ilvl w:val="0"/>
          <w:numId w:val="16"/>
        </w:numPr>
        <w:tabs>
          <w:tab w:pos="1393" w:val="left" w:leader="none"/>
          <w:tab w:pos="1394" w:val="left" w:leader="none"/>
        </w:tabs>
        <w:spacing w:before="1"/>
        <w:ind w:left="1393" w:right="0" w:hanging="721"/>
        <w:jc w:val="left"/>
        <w:rPr>
          <w:b/>
          <w:sz w:val="20"/>
        </w:rPr>
      </w:pPr>
      <w:r>
        <w:rPr>
          <w:b/>
          <w:color w:val="231F20"/>
          <w:w w:val="110"/>
          <w:sz w:val="20"/>
        </w:rPr>
        <w:t>Developments on other</w:t>
      </w:r>
      <w:r>
        <w:rPr>
          <w:b/>
          <w:color w:val="231F20"/>
          <w:spacing w:val="-2"/>
          <w:w w:val="110"/>
          <w:sz w:val="20"/>
        </w:rPr>
        <w:t> </w:t>
      </w:r>
      <w:r>
        <w:rPr>
          <w:b/>
          <w:color w:val="231F20"/>
          <w:w w:val="110"/>
          <w:sz w:val="20"/>
        </w:rPr>
        <w:t>fronts</w:t>
      </w:r>
    </w:p>
    <w:p>
      <w:pPr>
        <w:pStyle w:val="BodyText"/>
        <w:spacing w:before="9"/>
        <w:rPr>
          <w:b/>
          <w:sz w:val="22"/>
        </w:rPr>
      </w:pPr>
    </w:p>
    <w:p>
      <w:pPr>
        <w:pStyle w:val="ListParagraph"/>
        <w:numPr>
          <w:ilvl w:val="1"/>
          <w:numId w:val="16"/>
        </w:numPr>
        <w:tabs>
          <w:tab w:pos="1393" w:val="left" w:leader="none"/>
          <w:tab w:pos="1394" w:val="left" w:leader="none"/>
        </w:tabs>
        <w:spacing w:line="273" w:lineRule="auto" w:before="0" w:after="0"/>
        <w:ind w:left="673" w:right="1814" w:firstLine="0"/>
        <w:jc w:val="left"/>
        <w:rPr>
          <w:sz w:val="18"/>
        </w:rPr>
      </w:pPr>
      <w:r>
        <w:rPr>
          <w:color w:val="231F20"/>
          <w:w w:val="110"/>
          <w:sz w:val="18"/>
        </w:rPr>
        <w:t>Building on the “Open All Hours” work launched five years ago, our Development and Training </w:t>
      </w:r>
      <w:r>
        <w:rPr>
          <w:color w:val="231F20"/>
          <w:spacing w:val="-4"/>
          <w:w w:val="110"/>
          <w:sz w:val="18"/>
        </w:rPr>
        <w:t>Team </w:t>
      </w:r>
      <w:r>
        <w:rPr>
          <w:color w:val="231F20"/>
          <w:w w:val="110"/>
          <w:sz w:val="18"/>
        </w:rPr>
        <w:t>continued to </w:t>
      </w:r>
      <w:r>
        <w:rPr>
          <w:color w:val="231F20"/>
          <w:spacing w:val="2"/>
          <w:w w:val="110"/>
          <w:sz w:val="18"/>
        </w:rPr>
        <w:t>offer </w:t>
      </w:r>
      <w:r>
        <w:rPr>
          <w:color w:val="231F20"/>
          <w:w w:val="110"/>
          <w:sz w:val="18"/>
        </w:rPr>
        <w:t>workshops on “Nurturing the Open Church.” They also initiated an “Autumn Academy” </w:t>
      </w:r>
      <w:r>
        <w:rPr>
          <w:color w:val="231F20"/>
          <w:spacing w:val="2"/>
          <w:w w:val="110"/>
          <w:sz w:val="18"/>
        </w:rPr>
        <w:t>offering </w:t>
      </w:r>
      <w:r>
        <w:rPr>
          <w:color w:val="231F20"/>
          <w:w w:val="110"/>
          <w:sz w:val="18"/>
        </w:rPr>
        <w:t>weekend training to lay leaders. New in 2005 was a </w:t>
      </w:r>
      <w:r>
        <w:rPr>
          <w:color w:val="231F20"/>
          <w:spacing w:val="2"/>
          <w:w w:val="110"/>
          <w:sz w:val="18"/>
        </w:rPr>
        <w:t>series </w:t>
      </w:r>
      <w:r>
        <w:rPr>
          <w:color w:val="231F20"/>
          <w:w w:val="110"/>
          <w:sz w:val="18"/>
        </w:rPr>
        <w:t>of </w:t>
      </w:r>
      <w:r>
        <w:rPr>
          <w:color w:val="231F20"/>
          <w:spacing w:val="2"/>
          <w:w w:val="110"/>
          <w:sz w:val="18"/>
        </w:rPr>
        <w:t>R&amp;R </w:t>
      </w:r>
      <w:r>
        <w:rPr>
          <w:color w:val="231F20"/>
          <w:w w:val="110"/>
          <w:sz w:val="18"/>
        </w:rPr>
        <w:t>Days – Reading and Refreshment – in which we are invited to read a book and then engage with the</w:t>
      </w:r>
      <w:r>
        <w:rPr>
          <w:color w:val="231F20"/>
          <w:spacing w:val="11"/>
          <w:w w:val="110"/>
          <w:sz w:val="18"/>
        </w:rPr>
        <w:t> </w:t>
      </w:r>
      <w:r>
        <w:rPr>
          <w:color w:val="231F20"/>
          <w:w w:val="110"/>
          <w:sz w:val="18"/>
        </w:rPr>
        <w:t>author.</w:t>
      </w:r>
    </w:p>
    <w:p>
      <w:pPr>
        <w:pStyle w:val="BodyText"/>
        <w:spacing w:before="10"/>
        <w:rPr>
          <w:sz w:val="20"/>
        </w:rPr>
      </w:pPr>
    </w:p>
    <w:p>
      <w:pPr>
        <w:pStyle w:val="ListParagraph"/>
        <w:numPr>
          <w:ilvl w:val="1"/>
          <w:numId w:val="16"/>
        </w:numPr>
        <w:tabs>
          <w:tab w:pos="1393" w:val="left" w:leader="none"/>
          <w:tab w:pos="1394" w:val="left" w:leader="none"/>
        </w:tabs>
        <w:spacing w:line="273" w:lineRule="auto" w:before="0" w:after="0"/>
        <w:ind w:left="673" w:right="1850" w:firstLine="0"/>
        <w:jc w:val="left"/>
        <w:rPr>
          <w:sz w:val="18"/>
        </w:rPr>
      </w:pPr>
      <w:r>
        <w:rPr>
          <w:color w:val="231F20"/>
          <w:w w:val="110"/>
          <w:sz w:val="18"/>
        </w:rPr>
        <w:t>Ecumenical relations have had a new injection of energy with the Methodist Church’s boundary changes. The London </w:t>
      </w:r>
      <w:r>
        <w:rPr>
          <w:color w:val="231F20"/>
          <w:spacing w:val="2"/>
          <w:w w:val="110"/>
          <w:sz w:val="18"/>
        </w:rPr>
        <w:t>District </w:t>
      </w:r>
      <w:r>
        <w:rPr>
          <w:color w:val="231F20"/>
          <w:w w:val="110"/>
          <w:sz w:val="18"/>
        </w:rPr>
        <w:t>will be a significant </w:t>
      </w:r>
      <w:r>
        <w:rPr>
          <w:color w:val="231F20"/>
          <w:spacing w:val="2"/>
          <w:w w:val="110"/>
          <w:sz w:val="18"/>
        </w:rPr>
        <w:t>partner </w:t>
      </w:r>
      <w:r>
        <w:rPr>
          <w:color w:val="231F20"/>
          <w:w w:val="110"/>
          <w:sz w:val="18"/>
        </w:rPr>
        <w:t>as we implement our London Strategy. And we have joined with the Beds, Essex and </w:t>
      </w:r>
      <w:r>
        <w:rPr>
          <w:color w:val="231F20"/>
          <w:spacing w:val="3"/>
          <w:w w:val="110"/>
          <w:sz w:val="18"/>
        </w:rPr>
        <w:t>Herts </w:t>
      </w:r>
      <w:r>
        <w:rPr>
          <w:color w:val="231F20"/>
          <w:w w:val="110"/>
          <w:sz w:val="18"/>
        </w:rPr>
        <w:t>Methodist </w:t>
      </w:r>
      <w:r>
        <w:rPr>
          <w:color w:val="231F20"/>
          <w:spacing w:val="2"/>
          <w:w w:val="110"/>
          <w:sz w:val="18"/>
        </w:rPr>
        <w:t>District </w:t>
      </w:r>
      <w:r>
        <w:rPr>
          <w:color w:val="231F20"/>
          <w:w w:val="110"/>
          <w:sz w:val="18"/>
        </w:rPr>
        <w:t>to employ a Development Worker with </w:t>
      </w:r>
      <w:r>
        <w:rPr>
          <w:color w:val="231F20"/>
          <w:spacing w:val="2"/>
          <w:w w:val="110"/>
          <w:sz w:val="18"/>
        </w:rPr>
        <w:t>expertise </w:t>
      </w:r>
      <w:r>
        <w:rPr>
          <w:color w:val="231F20"/>
          <w:w w:val="110"/>
          <w:sz w:val="18"/>
        </w:rPr>
        <w:t>in planting churches in new housing areas. </w:t>
      </w:r>
      <w:r>
        <w:rPr>
          <w:color w:val="231F20"/>
          <w:spacing w:val="-3"/>
          <w:w w:val="110"/>
          <w:sz w:val="18"/>
        </w:rPr>
        <w:t>We </w:t>
      </w:r>
      <w:r>
        <w:rPr>
          <w:color w:val="231F20"/>
          <w:w w:val="110"/>
          <w:sz w:val="18"/>
        </w:rPr>
        <w:t>are involved in two ecumenical church plants, one near </w:t>
      </w:r>
      <w:r>
        <w:rPr>
          <w:color w:val="231F20"/>
          <w:spacing w:val="2"/>
          <w:w w:val="110"/>
          <w:sz w:val="18"/>
        </w:rPr>
        <w:t>Bedford </w:t>
      </w:r>
      <w:r>
        <w:rPr>
          <w:color w:val="231F20"/>
          <w:w w:val="110"/>
          <w:sz w:val="18"/>
        </w:rPr>
        <w:t>and the other in</w:t>
      </w:r>
      <w:r>
        <w:rPr>
          <w:color w:val="231F20"/>
          <w:spacing w:val="3"/>
          <w:w w:val="110"/>
          <w:sz w:val="18"/>
        </w:rPr>
        <w:t> </w:t>
      </w:r>
      <w:r>
        <w:rPr>
          <w:color w:val="231F20"/>
          <w:w w:val="110"/>
          <w:sz w:val="18"/>
        </w:rPr>
        <w:t>Aylesbury.</w:t>
      </w:r>
    </w:p>
    <w:p>
      <w:pPr>
        <w:pStyle w:val="BodyText"/>
        <w:spacing w:before="11"/>
        <w:rPr>
          <w:sz w:val="20"/>
        </w:rPr>
      </w:pPr>
    </w:p>
    <w:p>
      <w:pPr>
        <w:pStyle w:val="ListParagraph"/>
        <w:numPr>
          <w:ilvl w:val="1"/>
          <w:numId w:val="16"/>
        </w:numPr>
        <w:tabs>
          <w:tab w:pos="1393" w:val="left" w:leader="none"/>
          <w:tab w:pos="1394" w:val="left" w:leader="none"/>
        </w:tabs>
        <w:spacing w:line="273" w:lineRule="auto" w:before="0" w:after="0"/>
        <w:ind w:left="673" w:right="1861" w:firstLine="0"/>
        <w:jc w:val="left"/>
        <w:rPr>
          <w:sz w:val="18"/>
        </w:rPr>
      </w:pPr>
      <w:r>
        <w:rPr>
          <w:color w:val="231F20"/>
          <w:w w:val="110"/>
          <w:sz w:val="18"/>
        </w:rPr>
        <w:t>Preparations are underway to welcome and serve visitors to the </w:t>
      </w:r>
      <w:r>
        <w:rPr>
          <w:color w:val="231F20"/>
          <w:spacing w:val="-6"/>
          <w:w w:val="110"/>
          <w:sz w:val="18"/>
        </w:rPr>
        <w:t>2012 </w:t>
      </w:r>
      <w:r>
        <w:rPr>
          <w:color w:val="231F20"/>
          <w:w w:val="110"/>
          <w:sz w:val="18"/>
        </w:rPr>
        <w:t>Olympic Games. In 2005 representatives of the whole breadth of London’s diverse Christian family met to share ideas. An umbrella organisation called “More Than Gold” will build on experience from previous Olympics to enable the churches to coordinate their</w:t>
      </w:r>
      <w:r>
        <w:rPr>
          <w:color w:val="231F20"/>
          <w:spacing w:val="9"/>
          <w:w w:val="110"/>
          <w:sz w:val="18"/>
        </w:rPr>
        <w:t> </w:t>
      </w:r>
      <w:r>
        <w:rPr>
          <w:color w:val="231F20"/>
          <w:w w:val="110"/>
          <w:sz w:val="18"/>
        </w:rPr>
        <w:t>efforts.</w:t>
      </w:r>
    </w:p>
    <w:p>
      <w:pPr>
        <w:pStyle w:val="BodyText"/>
        <w:spacing w:before="9"/>
        <w:rPr>
          <w:sz w:val="20"/>
        </w:rPr>
      </w:pPr>
    </w:p>
    <w:p>
      <w:pPr>
        <w:pStyle w:val="ListParagraph"/>
        <w:numPr>
          <w:ilvl w:val="1"/>
          <w:numId w:val="16"/>
        </w:numPr>
        <w:tabs>
          <w:tab w:pos="1393" w:val="left" w:leader="none"/>
          <w:tab w:pos="1394" w:val="left" w:leader="none"/>
        </w:tabs>
        <w:spacing w:line="273" w:lineRule="auto" w:before="0" w:after="0"/>
        <w:ind w:left="673" w:right="2313" w:firstLine="0"/>
        <w:jc w:val="left"/>
        <w:rPr>
          <w:sz w:val="18"/>
        </w:rPr>
      </w:pPr>
      <w:r>
        <w:rPr>
          <w:color w:val="231F20"/>
          <w:w w:val="110"/>
          <w:sz w:val="18"/>
        </w:rPr>
        <w:t>The Urban Churches Support Group continues its work alongside our urban congregations. Recent events have </w:t>
      </w:r>
      <w:r>
        <w:rPr>
          <w:color w:val="231F20"/>
          <w:spacing w:val="2"/>
          <w:w w:val="110"/>
          <w:sz w:val="18"/>
        </w:rPr>
        <w:t>focussed </w:t>
      </w:r>
      <w:r>
        <w:rPr>
          <w:color w:val="231F20"/>
          <w:w w:val="110"/>
          <w:sz w:val="18"/>
        </w:rPr>
        <w:t>on gun and knife crime, the churches’ pastoral </w:t>
      </w:r>
      <w:r>
        <w:rPr>
          <w:color w:val="231F20"/>
          <w:spacing w:val="2"/>
          <w:w w:val="110"/>
          <w:sz w:val="18"/>
        </w:rPr>
        <w:t>care </w:t>
      </w:r>
      <w:r>
        <w:rPr>
          <w:color w:val="231F20"/>
          <w:w w:val="110"/>
          <w:sz w:val="18"/>
        </w:rPr>
        <w:t>of the chronically ill, and families and</w:t>
      </w:r>
      <w:r>
        <w:rPr>
          <w:color w:val="231F20"/>
          <w:spacing w:val="25"/>
          <w:w w:val="110"/>
          <w:sz w:val="18"/>
        </w:rPr>
        <w:t> </w:t>
      </w:r>
      <w:r>
        <w:rPr>
          <w:color w:val="231F20"/>
          <w:w w:val="110"/>
          <w:sz w:val="18"/>
        </w:rPr>
        <w:t>parenting.</w:t>
      </w:r>
    </w:p>
    <w:p>
      <w:pPr>
        <w:pStyle w:val="BodyText"/>
        <w:spacing w:before="9"/>
        <w:rPr>
          <w:sz w:val="20"/>
        </w:rPr>
      </w:pPr>
    </w:p>
    <w:p>
      <w:pPr>
        <w:pStyle w:val="ListParagraph"/>
        <w:numPr>
          <w:ilvl w:val="1"/>
          <w:numId w:val="16"/>
        </w:numPr>
        <w:tabs>
          <w:tab w:pos="1393" w:val="left" w:leader="none"/>
          <w:tab w:pos="1394" w:val="left" w:leader="none"/>
        </w:tabs>
        <w:spacing w:line="273" w:lineRule="auto" w:before="0" w:after="0"/>
        <w:ind w:left="673" w:right="1992" w:firstLine="0"/>
        <w:jc w:val="left"/>
        <w:rPr>
          <w:sz w:val="18"/>
        </w:rPr>
      </w:pPr>
      <w:r>
        <w:rPr>
          <w:color w:val="231F20"/>
          <w:w w:val="110"/>
          <w:sz w:val="18"/>
        </w:rPr>
        <w:t>Island House, a synod-owned community centre on the Isle of Dogs, has had a face-lift</w:t>
      </w:r>
      <w:r>
        <w:rPr>
          <w:color w:val="231F20"/>
          <w:spacing w:val="9"/>
          <w:w w:val="110"/>
          <w:sz w:val="18"/>
        </w:rPr>
        <w:t> </w:t>
      </w:r>
      <w:r>
        <w:rPr>
          <w:color w:val="231F20"/>
          <w:w w:val="110"/>
          <w:sz w:val="18"/>
        </w:rPr>
        <w:t>in</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last</w:t>
      </w:r>
      <w:r>
        <w:rPr>
          <w:color w:val="231F20"/>
          <w:spacing w:val="10"/>
          <w:w w:val="110"/>
          <w:sz w:val="18"/>
        </w:rPr>
        <w:t> </w:t>
      </w:r>
      <w:r>
        <w:rPr>
          <w:color w:val="231F20"/>
          <w:spacing w:val="-4"/>
          <w:w w:val="110"/>
          <w:sz w:val="18"/>
        </w:rPr>
        <w:t>year.</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premises</w:t>
      </w:r>
      <w:r>
        <w:rPr>
          <w:color w:val="231F20"/>
          <w:spacing w:val="10"/>
          <w:w w:val="110"/>
          <w:sz w:val="18"/>
        </w:rPr>
        <w:t> </w:t>
      </w:r>
      <w:r>
        <w:rPr>
          <w:color w:val="231F20"/>
          <w:w w:val="110"/>
          <w:sz w:val="18"/>
        </w:rPr>
        <w:t>now</w:t>
      </w:r>
      <w:r>
        <w:rPr>
          <w:color w:val="231F20"/>
          <w:spacing w:val="10"/>
          <w:w w:val="110"/>
          <w:sz w:val="18"/>
        </w:rPr>
        <w:t> </w:t>
      </w:r>
      <w:r>
        <w:rPr>
          <w:color w:val="231F20"/>
          <w:w w:val="110"/>
          <w:sz w:val="18"/>
        </w:rPr>
        <w:t>accommodate</w:t>
      </w:r>
      <w:r>
        <w:rPr>
          <w:color w:val="231F20"/>
          <w:spacing w:val="10"/>
          <w:w w:val="110"/>
          <w:sz w:val="18"/>
        </w:rPr>
        <w:t> </w:t>
      </w:r>
      <w:r>
        <w:rPr>
          <w:color w:val="231F20"/>
          <w:w w:val="110"/>
          <w:sz w:val="18"/>
        </w:rPr>
        <w:t>a</w:t>
      </w:r>
      <w:r>
        <w:rPr>
          <w:color w:val="231F20"/>
          <w:spacing w:val="10"/>
          <w:w w:val="110"/>
          <w:sz w:val="18"/>
        </w:rPr>
        <w:t> </w:t>
      </w:r>
      <w:r>
        <w:rPr>
          <w:color w:val="231F20"/>
          <w:w w:val="110"/>
          <w:sz w:val="18"/>
        </w:rPr>
        <w:t>host</w:t>
      </w:r>
      <w:r>
        <w:rPr>
          <w:color w:val="231F20"/>
          <w:spacing w:val="9"/>
          <w:w w:val="110"/>
          <w:sz w:val="18"/>
        </w:rPr>
        <w:t> </w:t>
      </w:r>
      <w:r>
        <w:rPr>
          <w:color w:val="231F20"/>
          <w:w w:val="110"/>
          <w:sz w:val="18"/>
        </w:rPr>
        <w:t>of</w:t>
      </w:r>
      <w:r>
        <w:rPr>
          <w:color w:val="231F20"/>
          <w:spacing w:val="10"/>
          <w:w w:val="110"/>
          <w:sz w:val="18"/>
        </w:rPr>
        <w:t> </w:t>
      </w:r>
      <w:r>
        <w:rPr>
          <w:color w:val="231F20"/>
          <w:w w:val="110"/>
          <w:sz w:val="18"/>
        </w:rPr>
        <w:t>new</w:t>
      </w:r>
      <w:r>
        <w:rPr>
          <w:color w:val="231F20"/>
          <w:spacing w:val="10"/>
          <w:w w:val="110"/>
          <w:sz w:val="18"/>
        </w:rPr>
        <w:t> </w:t>
      </w:r>
      <w:r>
        <w:rPr>
          <w:color w:val="231F20"/>
          <w:w w:val="110"/>
          <w:sz w:val="18"/>
        </w:rPr>
        <w:t>user</w:t>
      </w:r>
      <w:r>
        <w:rPr>
          <w:color w:val="231F20"/>
          <w:spacing w:val="10"/>
          <w:w w:val="110"/>
          <w:sz w:val="18"/>
        </w:rPr>
        <w:t> </w:t>
      </w:r>
      <w:r>
        <w:rPr>
          <w:color w:val="231F20"/>
          <w:w w:val="110"/>
          <w:sz w:val="18"/>
        </w:rPr>
        <w:t>groups.</w:t>
      </w:r>
    </w:p>
    <w:p>
      <w:pPr>
        <w:pStyle w:val="BodyText"/>
        <w:rPr>
          <w:sz w:val="19"/>
        </w:rPr>
      </w:pPr>
    </w:p>
    <w:p>
      <w:pPr>
        <w:numPr>
          <w:ilvl w:val="0"/>
          <w:numId w:val="16"/>
        </w:numPr>
        <w:tabs>
          <w:tab w:pos="1393" w:val="left" w:leader="none"/>
          <w:tab w:pos="1394" w:val="left" w:leader="none"/>
        </w:tabs>
        <w:spacing w:before="0"/>
        <w:ind w:left="1393" w:right="0" w:hanging="721"/>
        <w:jc w:val="left"/>
        <w:rPr>
          <w:b/>
          <w:sz w:val="20"/>
        </w:rPr>
      </w:pPr>
      <w:r>
        <w:rPr>
          <w:b/>
          <w:color w:val="231F20"/>
          <w:w w:val="110"/>
          <w:sz w:val="20"/>
        </w:rPr>
        <w:t>Personnel</w:t>
      </w:r>
    </w:p>
    <w:p>
      <w:pPr>
        <w:pStyle w:val="BodyText"/>
        <w:spacing w:before="10"/>
        <w:rPr>
          <w:b/>
          <w:sz w:val="22"/>
        </w:rPr>
      </w:pPr>
    </w:p>
    <w:p>
      <w:pPr>
        <w:pStyle w:val="ListParagraph"/>
        <w:numPr>
          <w:ilvl w:val="1"/>
          <w:numId w:val="16"/>
        </w:numPr>
        <w:tabs>
          <w:tab w:pos="1393" w:val="left" w:leader="none"/>
          <w:tab w:pos="1394" w:val="left" w:leader="none"/>
        </w:tabs>
        <w:spacing w:line="273" w:lineRule="auto" w:before="0" w:after="0"/>
        <w:ind w:left="673" w:right="1837" w:firstLine="0"/>
        <w:jc w:val="left"/>
        <w:rPr>
          <w:sz w:val="18"/>
        </w:rPr>
      </w:pPr>
      <w:r>
        <w:rPr>
          <w:color w:val="231F20"/>
          <w:spacing w:val="-3"/>
          <w:w w:val="110"/>
          <w:sz w:val="18"/>
        </w:rPr>
        <w:t>We </w:t>
      </w:r>
      <w:r>
        <w:rPr>
          <w:color w:val="231F20"/>
          <w:w w:val="110"/>
          <w:sz w:val="18"/>
        </w:rPr>
        <w:t>are grateful to those who have completed terms of </w:t>
      </w:r>
      <w:r>
        <w:rPr>
          <w:color w:val="231F20"/>
          <w:spacing w:val="2"/>
          <w:w w:val="110"/>
          <w:sz w:val="18"/>
        </w:rPr>
        <w:t>service </w:t>
      </w:r>
      <w:r>
        <w:rPr>
          <w:color w:val="231F20"/>
          <w:w w:val="110"/>
          <w:sz w:val="18"/>
        </w:rPr>
        <w:t>in the synod   since we last </w:t>
      </w:r>
      <w:r>
        <w:rPr>
          <w:color w:val="231F20"/>
          <w:spacing w:val="2"/>
          <w:w w:val="110"/>
          <w:sz w:val="18"/>
        </w:rPr>
        <w:t>reported </w:t>
      </w:r>
      <w:r>
        <w:rPr>
          <w:color w:val="231F20"/>
          <w:w w:val="110"/>
          <w:sz w:val="18"/>
        </w:rPr>
        <w:t>to Assembly. Peter Hurter stepped down </w:t>
      </w:r>
      <w:r>
        <w:rPr>
          <w:color w:val="231F20"/>
          <w:spacing w:val="2"/>
          <w:w w:val="110"/>
          <w:sz w:val="18"/>
        </w:rPr>
        <w:t>from </w:t>
      </w:r>
      <w:r>
        <w:rPr>
          <w:color w:val="231F20"/>
          <w:w w:val="110"/>
          <w:sz w:val="18"/>
        </w:rPr>
        <w:t>his role as Mission and</w:t>
      </w:r>
      <w:r>
        <w:rPr>
          <w:color w:val="231F20"/>
          <w:spacing w:val="10"/>
          <w:w w:val="110"/>
          <w:sz w:val="18"/>
        </w:rPr>
        <w:t> </w:t>
      </w:r>
      <w:r>
        <w:rPr>
          <w:color w:val="231F20"/>
          <w:w w:val="110"/>
          <w:sz w:val="18"/>
        </w:rPr>
        <w:t>Evangelism</w:t>
      </w:r>
      <w:r>
        <w:rPr>
          <w:color w:val="231F20"/>
          <w:spacing w:val="11"/>
          <w:w w:val="110"/>
          <w:sz w:val="18"/>
        </w:rPr>
        <w:t> </w:t>
      </w:r>
      <w:r>
        <w:rPr>
          <w:color w:val="231F20"/>
          <w:w w:val="110"/>
          <w:sz w:val="18"/>
        </w:rPr>
        <w:t>Consultant,</w:t>
      </w:r>
      <w:r>
        <w:rPr>
          <w:color w:val="231F20"/>
          <w:spacing w:val="11"/>
          <w:w w:val="110"/>
          <w:sz w:val="18"/>
        </w:rPr>
        <w:t> </w:t>
      </w:r>
      <w:r>
        <w:rPr>
          <w:color w:val="231F20"/>
          <w:w w:val="110"/>
          <w:sz w:val="18"/>
        </w:rPr>
        <w:t>Bob</w:t>
      </w:r>
      <w:r>
        <w:rPr>
          <w:color w:val="231F20"/>
          <w:spacing w:val="11"/>
          <w:w w:val="110"/>
          <w:sz w:val="18"/>
        </w:rPr>
        <w:t> </w:t>
      </w:r>
      <w:r>
        <w:rPr>
          <w:color w:val="231F20"/>
          <w:w w:val="110"/>
          <w:sz w:val="18"/>
        </w:rPr>
        <w:t>Maitland</w:t>
      </w:r>
      <w:r>
        <w:rPr>
          <w:color w:val="231F20"/>
          <w:spacing w:val="10"/>
          <w:w w:val="110"/>
          <w:sz w:val="18"/>
        </w:rPr>
        <w:t> </w:t>
      </w:r>
      <w:r>
        <w:rPr>
          <w:color w:val="231F20"/>
          <w:w w:val="110"/>
          <w:sz w:val="18"/>
        </w:rPr>
        <w:t>and</w:t>
      </w:r>
      <w:r>
        <w:rPr>
          <w:color w:val="231F20"/>
          <w:spacing w:val="11"/>
          <w:w w:val="110"/>
          <w:sz w:val="18"/>
        </w:rPr>
        <w:t> </w:t>
      </w:r>
      <w:r>
        <w:rPr>
          <w:color w:val="231F20"/>
          <w:spacing w:val="2"/>
          <w:w w:val="110"/>
          <w:sz w:val="18"/>
        </w:rPr>
        <w:t>Meryl</w:t>
      </w:r>
      <w:r>
        <w:rPr>
          <w:color w:val="231F20"/>
          <w:spacing w:val="11"/>
          <w:w w:val="110"/>
          <w:sz w:val="18"/>
        </w:rPr>
        <w:t> </w:t>
      </w:r>
      <w:r>
        <w:rPr>
          <w:color w:val="231F20"/>
          <w:spacing w:val="2"/>
          <w:w w:val="110"/>
          <w:sz w:val="18"/>
        </w:rPr>
        <w:t>Court</w:t>
      </w:r>
      <w:r>
        <w:rPr>
          <w:color w:val="231F20"/>
          <w:spacing w:val="11"/>
          <w:w w:val="110"/>
          <w:sz w:val="18"/>
        </w:rPr>
        <w:t> </w:t>
      </w:r>
      <w:r>
        <w:rPr>
          <w:color w:val="231F20"/>
          <w:w w:val="110"/>
          <w:sz w:val="18"/>
        </w:rPr>
        <w:t>completed</w:t>
      </w:r>
      <w:r>
        <w:rPr>
          <w:color w:val="231F20"/>
          <w:spacing w:val="10"/>
          <w:w w:val="110"/>
          <w:sz w:val="18"/>
        </w:rPr>
        <w:t> </w:t>
      </w:r>
      <w:r>
        <w:rPr>
          <w:color w:val="231F20"/>
          <w:w w:val="110"/>
          <w:sz w:val="18"/>
        </w:rPr>
        <w:t>time</w:t>
      </w:r>
      <w:r>
        <w:rPr>
          <w:color w:val="231F20"/>
          <w:spacing w:val="11"/>
          <w:w w:val="110"/>
          <w:sz w:val="18"/>
        </w:rPr>
        <w:t> </w:t>
      </w:r>
      <w:r>
        <w:rPr>
          <w:color w:val="231F20"/>
          <w:w w:val="110"/>
          <w:sz w:val="18"/>
        </w:rPr>
        <w:t>as</w:t>
      </w:r>
      <w:r>
        <w:rPr>
          <w:color w:val="231F20"/>
          <w:spacing w:val="11"/>
          <w:w w:val="110"/>
          <w:sz w:val="18"/>
        </w:rPr>
        <w:t> </w:t>
      </w:r>
      <w:r>
        <w:rPr>
          <w:color w:val="231F20"/>
          <w:w w:val="110"/>
          <w:sz w:val="18"/>
        </w:rPr>
        <w:t>Pastoral</w:t>
      </w:r>
    </w:p>
    <w:p>
      <w:pPr>
        <w:pStyle w:val="BodyText"/>
        <w:spacing w:line="273" w:lineRule="auto" w:before="2"/>
        <w:ind w:left="673" w:right="1829"/>
      </w:pPr>
      <w:r>
        <w:rPr>
          <w:color w:val="231F20"/>
          <w:w w:val="110"/>
        </w:rPr>
        <w:t>Consultants, Bob Allen retired after 12 years as PA, Peter Colwell resigned from the post of Inter Faith Advisor, Martin Hazell resigned as Synod Clerk, Vernon Lane and Erica McKenzie completed their service as Trust Officers, and Michael Gould stood down as Synod Treasurer. We have welcomed a new PA – Mandy Adams – and two new Pastoral Consultants – Lesley Trenkel and Fredwyn Hosier – and look forward to filling the other vacancies soon.</w:t>
      </w:r>
    </w:p>
    <w:p>
      <w:pPr>
        <w:pStyle w:val="BodyText"/>
        <w:rPr>
          <w:sz w:val="20"/>
        </w:rPr>
      </w:pPr>
    </w:p>
    <w:p>
      <w:pPr>
        <w:pStyle w:val="BodyText"/>
        <w:spacing w:before="4"/>
        <w:rPr>
          <w:sz w:val="26"/>
        </w:rPr>
      </w:pPr>
    </w:p>
    <w:p>
      <w:pPr>
        <w:spacing w:before="309"/>
        <w:ind w:left="0" w:right="1251" w:firstLine="0"/>
        <w:jc w:val="center"/>
        <w:rPr>
          <w:i/>
          <w:sz w:val="24"/>
        </w:rPr>
      </w:pPr>
      <w:r>
        <w:rPr>
          <w:i/>
          <w:color w:val="231F20"/>
          <w:w w:val="600"/>
          <w:sz w:val="24"/>
        </w:rPr>
        <w:t>   </w:t>
      </w:r>
    </w:p>
    <w:p>
      <w:pPr>
        <w:spacing w:after="0"/>
        <w:jc w:val="center"/>
        <w:rPr>
          <w:sz w:val="24"/>
        </w:rPr>
        <w:sectPr>
          <w:pgSz w:w="11910" w:h="16840"/>
          <w:pgMar w:header="581" w:footer="484" w:top="860" w:bottom="760" w:left="460" w:right="0"/>
        </w:sectPr>
      </w:pPr>
    </w:p>
    <w:p>
      <w:pPr>
        <w:pStyle w:val="BodyText"/>
        <w:ind w:left="980"/>
        <w:rPr>
          <w:sz w:val="20"/>
        </w:rPr>
      </w:pPr>
      <w:r>
        <w:rPr>
          <w:sz w:val="20"/>
        </w:rPr>
        <w:pict>
          <v:group style="width:452.4pt;height:106.6pt;mso-position-horizontal-relative:char;mso-position-vertical-relative:line" coordorigin="0,0" coordsize="9048,2132">
            <v:rect style="position:absolute;left:302;top:441;width:4016;height:302" filled="true" fillcolor="#d8dadc" stroked="false">
              <v:fill type="solid"/>
            </v:rect>
            <v:rect style="position:absolute;left:302;top:113;width:158;height:328" filled="true" fillcolor="#d8dadc" stroked="false">
              <v:fill type="solid"/>
            </v:rect>
            <v:line style="position:absolute" from="303,107" to="4319,107"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048;height:2083" type="#_x0000_t75" stroked="false">
              <v:imagedata r:id="rId56" o:title=""/>
            </v:shape>
            <v:shape style="position:absolute;left:416;top:0;width:3644;height:716" type="#_x0000_t202" filled="false" stroked="false">
              <v:textbox inset="0,0,0,0">
                <w:txbxContent>
                  <w:p>
                    <w:pPr>
                      <w:spacing w:line="206" w:lineRule="auto" w:before="47"/>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4"/>
                        <w:w w:val="111"/>
                        <w:sz w:val="43"/>
                      </w:rPr>
                      <w:t>O</w:t>
                    </w:r>
                    <w:r>
                      <w:rPr>
                        <w:b/>
                        <w:color w:val="FFFFFF"/>
                        <w:spacing w:val="-306"/>
                        <w:w w:val="111"/>
                        <w:sz w:val="43"/>
                      </w:rPr>
                      <w:t>N</w:t>
                    </w:r>
                    <w:r>
                      <w:rPr>
                        <w:b/>
                        <w:color w:val="231F20"/>
                        <w:w w:val="112"/>
                        <w:position w:val="-17"/>
                        <w:sz w:val="50"/>
                      </w:rPr>
                      <w:t>8</w:t>
                    </w:r>
                  </w:p>
                </w:txbxContent>
              </v:textbox>
              <w10:wrap type="none"/>
            </v:shape>
            <v:shape style="position:absolute;left:6212;top:410;width:2048;height:241" type="#_x0000_t202" filled="false" stroked="false">
              <v:textbox inset="0,0,0,0">
                <w:txbxContent>
                  <w:p>
                    <w:pPr>
                      <w:spacing w:line="241" w:lineRule="exact" w:before="0"/>
                      <w:ind w:left="0" w:right="0" w:firstLine="0"/>
                      <w:jc w:val="left"/>
                      <w:rPr>
                        <w:b/>
                        <w:sz w:val="20"/>
                      </w:rPr>
                    </w:pPr>
                    <w:r>
                      <w:rPr>
                        <w:b/>
                        <w:color w:val="231F20"/>
                        <w:w w:val="110"/>
                        <w:sz w:val="20"/>
                      </w:rPr>
                      <w:t>Church Closures</w:t>
                    </w:r>
                  </w:p>
                </w:txbxContent>
              </v:textbox>
              <w10:wrap type="none"/>
            </v:shape>
            <v:shape style="position:absolute;left:260;top:1038;width:7716;height:719" type="#_x0000_t202" filled="false" stroked="false">
              <v:textbox inset="0,0,0,0">
                <w:txbxContent>
                  <w:p>
                    <w:pPr>
                      <w:spacing w:line="273" w:lineRule="auto" w:before="0"/>
                      <w:ind w:left="0" w:right="0" w:firstLine="0"/>
                      <w:jc w:val="left"/>
                      <w:rPr>
                        <w:sz w:val="18"/>
                      </w:rPr>
                    </w:pPr>
                    <w:r>
                      <w:rPr>
                        <w:color w:val="231F20"/>
                        <w:w w:val="110"/>
                        <w:sz w:val="18"/>
                      </w:rPr>
                      <w:t>General Assembly receives notice of the closure of the local churches listed below and gives thanks to God for their worship, witness, and service throughout their history.</w:t>
                    </w:r>
                  </w:p>
                </w:txbxContent>
              </v:textbox>
              <w10:wrap type="none"/>
            </v:shape>
          </v:group>
        </w:pict>
      </w:r>
      <w:r>
        <w:rPr>
          <w:sz w:val="20"/>
        </w:rPr>
      </w:r>
    </w:p>
    <w:p>
      <w:pPr>
        <w:pStyle w:val="BodyText"/>
        <w:rPr>
          <w:i/>
          <w:sz w:val="20"/>
        </w:rPr>
      </w:pPr>
    </w:p>
    <w:p>
      <w:pPr>
        <w:pStyle w:val="BodyText"/>
        <w:rPr>
          <w:i/>
          <w:sz w:val="29"/>
        </w:rPr>
      </w:pPr>
    </w:p>
    <w:p>
      <w:pPr>
        <w:spacing w:before="99"/>
        <w:ind w:left="1240" w:right="0" w:firstLine="0"/>
        <w:jc w:val="left"/>
        <w:rPr>
          <w:b/>
          <w:sz w:val="29"/>
        </w:rPr>
      </w:pPr>
      <w:r>
        <w:rPr/>
        <w:pict>
          <v:shape style="position:absolute;margin-left:507.100189pt;margin-top:-145.218597pt;width:68.850pt;height:534.8pt;mso-position-horizontal-relative:page;mso-position-vertical-relative:paragraph;z-index:-275561472" type="#_x0000_t202" filled="false" stroked="false">
            <v:textbox inset="0,0,0,0" style="layout-flow:vertical">
              <w:txbxContent>
                <w:p>
                  <w:pPr>
                    <w:spacing w:line="989" w:lineRule="exact" w:before="20"/>
                    <w:ind w:left="20" w:right="0" w:firstLine="0"/>
                    <w:jc w:val="left"/>
                    <w:rPr>
                      <w:b/>
                      <w:sz w:val="88"/>
                    </w:rPr>
                  </w:pPr>
                  <w:r>
                    <w:rPr>
                      <w:b/>
                      <w:color w:val="231F20"/>
                      <w:sz w:val="88"/>
                    </w:rPr>
                    <w:t>Church Changes</w:t>
                  </w:r>
                </w:p>
                <w:p>
                  <w:pPr>
                    <w:spacing w:line="365" w:lineRule="exact" w:before="0"/>
                    <w:ind w:left="6898"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w w:val="105"/>
          <w:sz w:val="29"/>
        </w:rPr>
        <w:t>Hodge Lea United Church – East Midlands Synod</w:t>
      </w:r>
    </w:p>
    <w:p>
      <w:pPr>
        <w:pStyle w:val="ListParagraph"/>
        <w:numPr>
          <w:ilvl w:val="1"/>
          <w:numId w:val="17"/>
        </w:numPr>
        <w:tabs>
          <w:tab w:pos="1960" w:val="left" w:leader="none"/>
          <w:tab w:pos="1961" w:val="left" w:leader="none"/>
        </w:tabs>
        <w:spacing w:line="273" w:lineRule="auto" w:before="258" w:after="0"/>
        <w:ind w:left="1240" w:right="2425" w:firstLine="0"/>
        <w:jc w:val="left"/>
        <w:rPr>
          <w:sz w:val="18"/>
        </w:rPr>
      </w:pPr>
      <w:r>
        <w:rPr>
          <w:color w:val="231F20"/>
          <w:w w:val="110"/>
          <w:sz w:val="18"/>
        </w:rPr>
        <w:t>Hodge Lea United Church was inaugurated in </w:t>
      </w:r>
      <w:r>
        <w:rPr>
          <w:color w:val="231F20"/>
          <w:spacing w:val="-4"/>
          <w:w w:val="110"/>
          <w:sz w:val="18"/>
        </w:rPr>
        <w:t>1979 </w:t>
      </w:r>
      <w:r>
        <w:rPr>
          <w:color w:val="231F20"/>
          <w:w w:val="110"/>
          <w:sz w:val="18"/>
        </w:rPr>
        <w:t>by Churches Together in Wolverton </w:t>
      </w:r>
      <w:r>
        <w:rPr>
          <w:color w:val="231F20"/>
          <w:spacing w:val="-4"/>
          <w:w w:val="110"/>
          <w:sz w:val="18"/>
        </w:rPr>
        <w:t>(now </w:t>
      </w:r>
      <w:r>
        <w:rPr>
          <w:color w:val="231F20"/>
          <w:w w:val="110"/>
          <w:sz w:val="18"/>
        </w:rPr>
        <w:t>Wolverton Churches Council), comprising the Church of England, the Methodist Church, the Roman Catholic Church and the United Reformed Church. The first Sunday </w:t>
      </w:r>
      <w:r>
        <w:rPr>
          <w:color w:val="231F20"/>
          <w:spacing w:val="2"/>
          <w:w w:val="110"/>
          <w:sz w:val="18"/>
        </w:rPr>
        <w:t>service </w:t>
      </w:r>
      <w:r>
        <w:rPr>
          <w:color w:val="231F20"/>
          <w:w w:val="110"/>
          <w:sz w:val="18"/>
        </w:rPr>
        <w:t>was held on 7th </w:t>
      </w:r>
      <w:r>
        <w:rPr>
          <w:color w:val="231F20"/>
          <w:spacing w:val="2"/>
          <w:w w:val="110"/>
          <w:sz w:val="18"/>
        </w:rPr>
        <w:t>October </w:t>
      </w:r>
      <w:r>
        <w:rPr>
          <w:color w:val="231F20"/>
          <w:spacing w:val="-5"/>
          <w:w w:val="110"/>
          <w:sz w:val="18"/>
        </w:rPr>
        <w:t>1979. </w:t>
      </w:r>
      <w:r>
        <w:rPr>
          <w:color w:val="231F20"/>
          <w:w w:val="110"/>
          <w:sz w:val="18"/>
        </w:rPr>
        <w:t>Initially the Sunday </w:t>
      </w:r>
      <w:r>
        <w:rPr>
          <w:color w:val="231F20"/>
          <w:spacing w:val="2"/>
          <w:w w:val="110"/>
          <w:sz w:val="18"/>
        </w:rPr>
        <w:t>services </w:t>
      </w:r>
      <w:r>
        <w:rPr>
          <w:color w:val="231F20"/>
          <w:w w:val="110"/>
          <w:sz w:val="18"/>
        </w:rPr>
        <w:t>were led by the ministers of all the Wolverton churches in turn, each of the four denominations taking one </w:t>
      </w:r>
      <w:r>
        <w:rPr>
          <w:color w:val="231F20"/>
          <w:spacing w:val="2"/>
          <w:w w:val="110"/>
          <w:sz w:val="18"/>
        </w:rPr>
        <w:t>service </w:t>
      </w:r>
      <w:r>
        <w:rPr>
          <w:color w:val="231F20"/>
          <w:w w:val="110"/>
          <w:sz w:val="18"/>
        </w:rPr>
        <w:t>a month. </w:t>
      </w:r>
      <w:r>
        <w:rPr>
          <w:color w:val="231F20"/>
          <w:spacing w:val="2"/>
          <w:w w:val="110"/>
          <w:sz w:val="18"/>
        </w:rPr>
        <w:t>Services </w:t>
      </w:r>
      <w:r>
        <w:rPr>
          <w:color w:val="231F20"/>
          <w:w w:val="110"/>
          <w:sz w:val="18"/>
        </w:rPr>
        <w:t>were usually held in the Hodge Lea Meeting Place in Hodge Lea Lane. Upon his ordination in </w:t>
      </w:r>
      <w:r>
        <w:rPr>
          <w:color w:val="231F20"/>
          <w:spacing w:val="-5"/>
          <w:w w:val="110"/>
          <w:sz w:val="18"/>
        </w:rPr>
        <w:t>1991, </w:t>
      </w:r>
      <w:r>
        <w:rPr>
          <w:color w:val="231F20"/>
          <w:w w:val="110"/>
          <w:sz w:val="18"/>
        </w:rPr>
        <w:t>Revd Leslie Watson was called</w:t>
      </w:r>
      <w:r>
        <w:rPr>
          <w:color w:val="231F20"/>
          <w:spacing w:val="12"/>
          <w:w w:val="110"/>
          <w:sz w:val="18"/>
        </w:rPr>
        <w:t> </w:t>
      </w:r>
      <w:r>
        <w:rPr>
          <w:color w:val="231F20"/>
          <w:w w:val="110"/>
          <w:sz w:val="18"/>
        </w:rPr>
        <w:t>to</w:t>
      </w:r>
      <w:r>
        <w:rPr>
          <w:color w:val="231F20"/>
          <w:spacing w:val="11"/>
          <w:w w:val="110"/>
          <w:sz w:val="18"/>
        </w:rPr>
        <w:t> </w:t>
      </w:r>
      <w:r>
        <w:rPr>
          <w:color w:val="231F20"/>
          <w:w w:val="110"/>
          <w:sz w:val="18"/>
        </w:rPr>
        <w:t>be</w:t>
      </w:r>
      <w:r>
        <w:rPr>
          <w:color w:val="231F20"/>
          <w:spacing w:val="12"/>
          <w:w w:val="110"/>
          <w:sz w:val="18"/>
        </w:rPr>
        <w:t> </w:t>
      </w:r>
      <w:r>
        <w:rPr>
          <w:color w:val="231F20"/>
          <w:w w:val="110"/>
          <w:sz w:val="18"/>
        </w:rPr>
        <w:t>Non-Stipendiary</w:t>
      </w:r>
      <w:r>
        <w:rPr>
          <w:color w:val="231F20"/>
          <w:spacing w:val="12"/>
          <w:w w:val="110"/>
          <w:sz w:val="18"/>
        </w:rPr>
        <w:t> </w:t>
      </w:r>
      <w:r>
        <w:rPr>
          <w:color w:val="231F20"/>
          <w:w w:val="110"/>
          <w:sz w:val="18"/>
        </w:rPr>
        <w:t>Minister</w:t>
      </w:r>
      <w:r>
        <w:rPr>
          <w:color w:val="231F20"/>
          <w:spacing w:val="12"/>
          <w:w w:val="110"/>
          <w:sz w:val="18"/>
        </w:rPr>
        <w:t> </w:t>
      </w:r>
      <w:r>
        <w:rPr>
          <w:color w:val="231F20"/>
          <w:w w:val="110"/>
          <w:sz w:val="18"/>
        </w:rPr>
        <w:t>in</w:t>
      </w:r>
      <w:r>
        <w:rPr>
          <w:color w:val="231F20"/>
          <w:spacing w:val="12"/>
          <w:w w:val="110"/>
          <w:sz w:val="18"/>
        </w:rPr>
        <w:t> </w:t>
      </w:r>
      <w:r>
        <w:rPr>
          <w:color w:val="231F20"/>
          <w:w w:val="110"/>
          <w:sz w:val="18"/>
        </w:rPr>
        <w:t>charge</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Hodge</w:t>
      </w:r>
      <w:r>
        <w:rPr>
          <w:color w:val="231F20"/>
          <w:spacing w:val="12"/>
          <w:w w:val="110"/>
          <w:sz w:val="18"/>
        </w:rPr>
        <w:t> </w:t>
      </w:r>
      <w:r>
        <w:rPr>
          <w:color w:val="231F20"/>
          <w:w w:val="110"/>
          <w:sz w:val="18"/>
        </w:rPr>
        <w:t>Lea</w:t>
      </w:r>
      <w:r>
        <w:rPr>
          <w:color w:val="231F20"/>
          <w:spacing w:val="12"/>
          <w:w w:val="110"/>
          <w:sz w:val="18"/>
        </w:rPr>
        <w:t> </w:t>
      </w:r>
      <w:r>
        <w:rPr>
          <w:color w:val="231F20"/>
          <w:w w:val="110"/>
          <w:sz w:val="18"/>
        </w:rPr>
        <w:t>United</w:t>
      </w:r>
      <w:r>
        <w:rPr>
          <w:color w:val="231F20"/>
          <w:spacing w:val="12"/>
          <w:w w:val="110"/>
          <w:sz w:val="18"/>
        </w:rPr>
        <w:t> </w:t>
      </w:r>
      <w:r>
        <w:rPr>
          <w:color w:val="231F20"/>
          <w:w w:val="110"/>
          <w:sz w:val="18"/>
        </w:rPr>
        <w:t>Church,</w:t>
      </w:r>
    </w:p>
    <w:p>
      <w:pPr>
        <w:pStyle w:val="BodyText"/>
        <w:spacing w:before="5"/>
        <w:ind w:left="1240"/>
      </w:pPr>
      <w:r>
        <w:rPr>
          <w:color w:val="231F20"/>
          <w:w w:val="110"/>
        </w:rPr>
        <w:t>a position which he held until he was forced to retire through ill health in 2006.</w:t>
      </w:r>
    </w:p>
    <w:p>
      <w:pPr>
        <w:pStyle w:val="BodyText"/>
        <w:spacing w:before="2"/>
        <w:rPr>
          <w:sz w:val="23"/>
        </w:rPr>
      </w:pPr>
    </w:p>
    <w:p>
      <w:pPr>
        <w:pStyle w:val="ListParagraph"/>
        <w:numPr>
          <w:ilvl w:val="1"/>
          <w:numId w:val="17"/>
        </w:numPr>
        <w:tabs>
          <w:tab w:pos="1960" w:val="left" w:leader="none"/>
          <w:tab w:pos="1961" w:val="left" w:leader="none"/>
        </w:tabs>
        <w:spacing w:line="273" w:lineRule="auto" w:before="0" w:after="0"/>
        <w:ind w:left="1240" w:right="2617" w:firstLine="0"/>
        <w:jc w:val="left"/>
        <w:rPr>
          <w:sz w:val="18"/>
        </w:rPr>
      </w:pPr>
      <w:r>
        <w:rPr>
          <w:color w:val="231F20"/>
          <w:spacing w:val="2"/>
          <w:w w:val="110"/>
          <w:sz w:val="18"/>
        </w:rPr>
        <w:t>After </w:t>
      </w:r>
      <w:r>
        <w:rPr>
          <w:color w:val="231F20"/>
          <w:w w:val="110"/>
          <w:sz w:val="18"/>
        </w:rPr>
        <w:t>many years of discussion and negotiation, Hodge Lea United Church was granted a constitution in </w:t>
      </w:r>
      <w:r>
        <w:rPr>
          <w:color w:val="231F20"/>
          <w:spacing w:val="-3"/>
          <w:w w:val="110"/>
          <w:sz w:val="18"/>
        </w:rPr>
        <w:t>1995 </w:t>
      </w:r>
      <w:r>
        <w:rPr>
          <w:color w:val="231F20"/>
          <w:w w:val="110"/>
          <w:sz w:val="18"/>
        </w:rPr>
        <w:t>and was recognised by the four denominations who were responsible for the Church’s</w:t>
      </w:r>
      <w:r>
        <w:rPr>
          <w:color w:val="231F20"/>
          <w:spacing w:val="48"/>
          <w:w w:val="110"/>
          <w:sz w:val="18"/>
        </w:rPr>
        <w:t> </w:t>
      </w:r>
      <w:r>
        <w:rPr>
          <w:color w:val="231F20"/>
          <w:w w:val="110"/>
          <w:sz w:val="18"/>
        </w:rPr>
        <w:t>inauguration.</w:t>
      </w:r>
    </w:p>
    <w:p>
      <w:pPr>
        <w:pStyle w:val="BodyText"/>
        <w:spacing w:before="9"/>
        <w:rPr>
          <w:sz w:val="20"/>
        </w:rPr>
      </w:pPr>
    </w:p>
    <w:p>
      <w:pPr>
        <w:pStyle w:val="ListParagraph"/>
        <w:numPr>
          <w:ilvl w:val="1"/>
          <w:numId w:val="17"/>
        </w:numPr>
        <w:tabs>
          <w:tab w:pos="1960" w:val="left" w:leader="none"/>
          <w:tab w:pos="1961" w:val="left" w:leader="none"/>
        </w:tabs>
        <w:spacing w:line="273" w:lineRule="auto" w:before="0" w:after="0"/>
        <w:ind w:left="1240" w:right="2254" w:firstLine="0"/>
        <w:jc w:val="left"/>
        <w:rPr>
          <w:sz w:val="18"/>
        </w:rPr>
      </w:pPr>
      <w:r>
        <w:rPr>
          <w:color w:val="231F20"/>
          <w:w w:val="110"/>
          <w:sz w:val="18"/>
        </w:rPr>
        <w:t>Hodge Lea United Church </w:t>
      </w:r>
      <w:r>
        <w:rPr>
          <w:color w:val="231F20"/>
          <w:spacing w:val="2"/>
          <w:w w:val="110"/>
          <w:sz w:val="18"/>
        </w:rPr>
        <w:t>members </w:t>
      </w:r>
      <w:r>
        <w:rPr>
          <w:color w:val="231F20"/>
          <w:w w:val="110"/>
          <w:sz w:val="18"/>
        </w:rPr>
        <w:t>have played a full and active </w:t>
      </w:r>
      <w:r>
        <w:rPr>
          <w:color w:val="231F20"/>
          <w:spacing w:val="2"/>
          <w:w w:val="110"/>
          <w:sz w:val="18"/>
        </w:rPr>
        <w:t>part  </w:t>
      </w:r>
      <w:r>
        <w:rPr>
          <w:color w:val="231F20"/>
          <w:w w:val="110"/>
          <w:sz w:val="18"/>
        </w:rPr>
        <w:t>in the Ecumenical life of the churches both in Wolverton and in Milton Keynes. Hodge Lea </w:t>
      </w:r>
      <w:r>
        <w:rPr>
          <w:color w:val="231F20"/>
          <w:spacing w:val="2"/>
          <w:w w:val="110"/>
          <w:sz w:val="18"/>
        </w:rPr>
        <w:t>estate </w:t>
      </w:r>
      <w:r>
        <w:rPr>
          <w:color w:val="231F20"/>
          <w:w w:val="110"/>
          <w:sz w:val="18"/>
        </w:rPr>
        <w:t>is small by the standards of Milton Keynes, as it occupies just half a ‘grid square’, and the congregation of Hodge Lea United Church, drawn largely </w:t>
      </w:r>
      <w:r>
        <w:rPr>
          <w:color w:val="231F20"/>
          <w:spacing w:val="2"/>
          <w:w w:val="110"/>
          <w:sz w:val="18"/>
        </w:rPr>
        <w:t>from </w:t>
      </w:r>
      <w:r>
        <w:rPr>
          <w:color w:val="231F20"/>
          <w:w w:val="110"/>
          <w:sz w:val="18"/>
        </w:rPr>
        <w:t>the residents of the estate, was never large.</w:t>
      </w:r>
      <w:r>
        <w:rPr>
          <w:color w:val="231F20"/>
          <w:spacing w:val="9"/>
          <w:w w:val="110"/>
          <w:sz w:val="18"/>
        </w:rPr>
        <w:t> </w:t>
      </w:r>
      <w:r>
        <w:rPr>
          <w:color w:val="231F20"/>
          <w:spacing w:val="-3"/>
          <w:w w:val="110"/>
          <w:sz w:val="18"/>
        </w:rPr>
        <w:t>However,</w:t>
      </w:r>
    </w:p>
    <w:p>
      <w:pPr>
        <w:pStyle w:val="BodyText"/>
        <w:spacing w:before="3"/>
        <w:ind w:left="1240"/>
      </w:pPr>
      <w:r>
        <w:rPr>
          <w:color w:val="231F20"/>
          <w:w w:val="110"/>
        </w:rPr>
        <w:t>it offered weekly worship on Hodge Lea for 27 years.</w:t>
      </w:r>
    </w:p>
    <w:p>
      <w:pPr>
        <w:pStyle w:val="BodyText"/>
        <w:spacing w:before="2"/>
        <w:rPr>
          <w:sz w:val="23"/>
        </w:rPr>
      </w:pPr>
    </w:p>
    <w:p>
      <w:pPr>
        <w:pStyle w:val="ListParagraph"/>
        <w:numPr>
          <w:ilvl w:val="1"/>
          <w:numId w:val="17"/>
        </w:numPr>
        <w:tabs>
          <w:tab w:pos="1960" w:val="left" w:leader="none"/>
          <w:tab w:pos="1961" w:val="left" w:leader="none"/>
        </w:tabs>
        <w:spacing w:line="273" w:lineRule="auto" w:before="0" w:after="0"/>
        <w:ind w:left="1240" w:right="2432" w:firstLine="0"/>
        <w:jc w:val="left"/>
        <w:rPr>
          <w:sz w:val="18"/>
        </w:rPr>
      </w:pPr>
      <w:r>
        <w:rPr>
          <w:color w:val="231F20"/>
          <w:w w:val="110"/>
          <w:sz w:val="18"/>
        </w:rPr>
        <w:t>With an ageing and diminishing congregation, the Hodge Lea Church meeting decided in August 2006 to seek permission to cease regular weekly worship, and the last </w:t>
      </w:r>
      <w:r>
        <w:rPr>
          <w:color w:val="231F20"/>
          <w:spacing w:val="2"/>
          <w:w w:val="110"/>
          <w:sz w:val="18"/>
        </w:rPr>
        <w:t>service </w:t>
      </w:r>
      <w:r>
        <w:rPr>
          <w:color w:val="231F20"/>
          <w:w w:val="110"/>
          <w:sz w:val="18"/>
        </w:rPr>
        <w:t>took place on </w:t>
      </w:r>
      <w:r>
        <w:rPr>
          <w:color w:val="231F20"/>
          <w:spacing w:val="-3"/>
          <w:w w:val="110"/>
          <w:sz w:val="18"/>
        </w:rPr>
        <w:t>Sunday, </w:t>
      </w:r>
      <w:r>
        <w:rPr>
          <w:color w:val="231F20"/>
          <w:w w:val="110"/>
          <w:sz w:val="18"/>
        </w:rPr>
        <w:t>1 </w:t>
      </w:r>
      <w:r>
        <w:rPr>
          <w:color w:val="231F20"/>
          <w:spacing w:val="2"/>
          <w:w w:val="110"/>
          <w:sz w:val="18"/>
        </w:rPr>
        <w:t>October</w:t>
      </w:r>
      <w:r>
        <w:rPr>
          <w:color w:val="231F20"/>
          <w:spacing w:val="52"/>
          <w:w w:val="110"/>
          <w:sz w:val="18"/>
        </w:rPr>
        <w:t> </w:t>
      </w:r>
      <w:r>
        <w:rPr>
          <w:color w:val="231F20"/>
          <w:w w:val="110"/>
          <w:sz w:val="18"/>
        </w:rPr>
        <w:t>2006.</w:t>
      </w:r>
    </w:p>
    <w:p>
      <w:pPr>
        <w:pStyle w:val="BodyText"/>
        <w:rPr>
          <w:sz w:val="22"/>
        </w:rPr>
      </w:pPr>
    </w:p>
    <w:p>
      <w:pPr>
        <w:pStyle w:val="BodyText"/>
        <w:spacing w:before="2"/>
        <w:rPr>
          <w:sz w:val="19"/>
        </w:rPr>
      </w:pPr>
    </w:p>
    <w:p>
      <w:pPr>
        <w:pStyle w:val="Heading9"/>
      </w:pPr>
      <w:r>
        <w:rPr>
          <w:color w:val="231F20"/>
          <w:w w:val="110"/>
        </w:rPr>
        <w:t>Dalry – Synod of Scotland</w:t>
      </w:r>
    </w:p>
    <w:p>
      <w:pPr>
        <w:pStyle w:val="ListParagraph"/>
        <w:numPr>
          <w:ilvl w:val="1"/>
          <w:numId w:val="18"/>
        </w:numPr>
        <w:tabs>
          <w:tab w:pos="1960" w:val="left" w:leader="none"/>
          <w:tab w:pos="1961" w:val="left" w:leader="none"/>
        </w:tabs>
        <w:spacing w:line="273" w:lineRule="auto" w:before="259" w:after="0"/>
        <w:ind w:left="1240" w:right="2361" w:firstLine="0"/>
        <w:jc w:val="left"/>
        <w:rPr>
          <w:sz w:val="18"/>
        </w:rPr>
      </w:pPr>
      <w:r>
        <w:rPr>
          <w:color w:val="231F20"/>
          <w:w w:val="110"/>
          <w:sz w:val="18"/>
        </w:rPr>
        <w:t>Dalry Congregational Church, Edinburgh, was built in </w:t>
      </w:r>
      <w:r>
        <w:rPr>
          <w:color w:val="231F20"/>
          <w:spacing w:val="-3"/>
          <w:w w:val="110"/>
          <w:sz w:val="18"/>
        </w:rPr>
        <w:t>1872 </w:t>
      </w:r>
      <w:r>
        <w:rPr>
          <w:color w:val="231F20"/>
          <w:w w:val="110"/>
          <w:sz w:val="18"/>
        </w:rPr>
        <w:t>with the </w:t>
      </w:r>
      <w:r>
        <w:rPr>
          <w:color w:val="231F20"/>
          <w:spacing w:val="2"/>
          <w:w w:val="110"/>
          <w:sz w:val="18"/>
        </w:rPr>
        <w:t>proceeds </w:t>
      </w:r>
      <w:r>
        <w:rPr>
          <w:color w:val="231F20"/>
          <w:w w:val="110"/>
          <w:sz w:val="18"/>
        </w:rPr>
        <w:t>of the compulsory purchase of the Argyll Square Chapel [the gift    of</w:t>
      </w:r>
      <w:r>
        <w:rPr>
          <w:color w:val="231F20"/>
          <w:spacing w:val="9"/>
          <w:w w:val="110"/>
          <w:sz w:val="18"/>
        </w:rPr>
        <w:t> </w:t>
      </w:r>
      <w:r>
        <w:rPr>
          <w:color w:val="231F20"/>
          <w:w w:val="110"/>
          <w:sz w:val="18"/>
        </w:rPr>
        <w:t>Revd</w:t>
      </w:r>
      <w:r>
        <w:rPr>
          <w:color w:val="231F20"/>
          <w:spacing w:val="9"/>
          <w:w w:val="110"/>
          <w:sz w:val="18"/>
        </w:rPr>
        <w:t> </w:t>
      </w:r>
      <w:r>
        <w:rPr>
          <w:color w:val="231F20"/>
          <w:w w:val="110"/>
          <w:sz w:val="18"/>
        </w:rPr>
        <w:t>John</w:t>
      </w:r>
      <w:r>
        <w:rPr>
          <w:color w:val="231F20"/>
          <w:spacing w:val="9"/>
          <w:w w:val="110"/>
          <w:sz w:val="18"/>
        </w:rPr>
        <w:t> </w:t>
      </w:r>
      <w:r>
        <w:rPr>
          <w:color w:val="231F20"/>
          <w:w w:val="110"/>
          <w:sz w:val="18"/>
        </w:rPr>
        <w:t>Aitkman</w:t>
      </w:r>
      <w:r>
        <w:rPr>
          <w:color w:val="231F20"/>
          <w:spacing w:val="10"/>
          <w:w w:val="110"/>
          <w:sz w:val="18"/>
        </w:rPr>
        <w:t> </w:t>
      </w:r>
      <w:r>
        <w:rPr>
          <w:color w:val="231F20"/>
          <w:w w:val="110"/>
          <w:sz w:val="18"/>
        </w:rPr>
        <w:t>its</w:t>
      </w:r>
      <w:r>
        <w:rPr>
          <w:color w:val="231F20"/>
          <w:spacing w:val="9"/>
          <w:w w:val="110"/>
          <w:sz w:val="18"/>
        </w:rPr>
        <w:t> </w:t>
      </w:r>
      <w:r>
        <w:rPr>
          <w:color w:val="231F20"/>
          <w:w w:val="110"/>
          <w:sz w:val="18"/>
        </w:rPr>
        <w:t>first</w:t>
      </w:r>
      <w:r>
        <w:rPr>
          <w:color w:val="231F20"/>
          <w:spacing w:val="9"/>
          <w:w w:val="110"/>
          <w:sz w:val="18"/>
        </w:rPr>
        <w:t> </w:t>
      </w:r>
      <w:r>
        <w:rPr>
          <w:color w:val="231F20"/>
          <w:w w:val="110"/>
          <w:sz w:val="18"/>
        </w:rPr>
        <w:t>pastor].</w:t>
      </w:r>
      <w:r>
        <w:rPr>
          <w:color w:val="231F20"/>
          <w:spacing w:val="10"/>
          <w:w w:val="110"/>
          <w:sz w:val="18"/>
        </w:rPr>
        <w:t> </w:t>
      </w:r>
      <w:r>
        <w:rPr>
          <w:color w:val="231F20"/>
          <w:w w:val="110"/>
          <w:sz w:val="18"/>
        </w:rPr>
        <w:t>Situated</w:t>
      </w:r>
      <w:r>
        <w:rPr>
          <w:color w:val="231F20"/>
          <w:spacing w:val="9"/>
          <w:w w:val="110"/>
          <w:sz w:val="18"/>
        </w:rPr>
        <w:t> </w:t>
      </w:r>
      <w:r>
        <w:rPr>
          <w:color w:val="231F20"/>
          <w:w w:val="110"/>
          <w:sz w:val="18"/>
        </w:rPr>
        <w:t>among</w:t>
      </w:r>
      <w:r>
        <w:rPr>
          <w:color w:val="231F20"/>
          <w:spacing w:val="9"/>
          <w:w w:val="110"/>
          <w:sz w:val="18"/>
        </w:rPr>
        <w:t> </w:t>
      </w:r>
      <w:r>
        <w:rPr>
          <w:color w:val="231F20"/>
          <w:w w:val="110"/>
          <w:sz w:val="18"/>
        </w:rPr>
        <w:t>the</w:t>
      </w:r>
      <w:r>
        <w:rPr>
          <w:color w:val="231F20"/>
          <w:spacing w:val="9"/>
          <w:w w:val="110"/>
          <w:sz w:val="18"/>
        </w:rPr>
        <w:t> </w:t>
      </w:r>
      <w:r>
        <w:rPr>
          <w:color w:val="231F20"/>
          <w:w w:val="110"/>
          <w:sz w:val="18"/>
        </w:rPr>
        <w:t>new</w:t>
      </w:r>
      <w:r>
        <w:rPr>
          <w:color w:val="231F20"/>
          <w:spacing w:val="10"/>
          <w:w w:val="110"/>
          <w:sz w:val="18"/>
        </w:rPr>
        <w:t> </w:t>
      </w:r>
      <w:r>
        <w:rPr>
          <w:color w:val="231F20"/>
          <w:w w:val="110"/>
          <w:sz w:val="18"/>
        </w:rPr>
        <w:t>tenements</w:t>
      </w:r>
      <w:r>
        <w:rPr>
          <w:color w:val="231F20"/>
          <w:spacing w:val="9"/>
          <w:w w:val="110"/>
          <w:sz w:val="18"/>
        </w:rPr>
        <w:t> </w:t>
      </w:r>
      <w:r>
        <w:rPr>
          <w:color w:val="231F20"/>
          <w:w w:val="110"/>
          <w:sz w:val="18"/>
        </w:rPr>
        <w:t>of</w:t>
      </w:r>
    </w:p>
    <w:p>
      <w:pPr>
        <w:pStyle w:val="BodyText"/>
        <w:spacing w:line="273" w:lineRule="auto" w:before="2"/>
        <w:ind w:left="1240" w:right="1991"/>
      </w:pPr>
      <w:r>
        <w:rPr>
          <w:color w:val="231F20"/>
          <w:w w:val="110"/>
        </w:rPr>
        <w:t>Caledonian </w:t>
      </w:r>
      <w:r>
        <w:rPr>
          <w:color w:val="231F20"/>
          <w:spacing w:val="2"/>
          <w:w w:val="110"/>
        </w:rPr>
        <w:t>Crescent </w:t>
      </w:r>
      <w:r>
        <w:rPr>
          <w:color w:val="231F20"/>
          <w:w w:val="110"/>
        </w:rPr>
        <w:t>the 40 founding </w:t>
      </w:r>
      <w:r>
        <w:rPr>
          <w:color w:val="231F20"/>
          <w:spacing w:val="2"/>
          <w:w w:val="110"/>
        </w:rPr>
        <w:t>members </w:t>
      </w:r>
      <w:r>
        <w:rPr>
          <w:color w:val="231F20"/>
          <w:w w:val="110"/>
        </w:rPr>
        <w:t>soon enlarged the congregation  to fill the church which could hold about 400. A hall was built which gave room  for groups of men, women and young people to meet for </w:t>
      </w:r>
      <w:r>
        <w:rPr>
          <w:color w:val="231F20"/>
          <w:spacing w:val="2"/>
          <w:w w:val="110"/>
        </w:rPr>
        <w:t>recreation </w:t>
      </w:r>
      <w:r>
        <w:rPr>
          <w:color w:val="231F20"/>
          <w:w w:val="110"/>
        </w:rPr>
        <w:t>and social events in addition to the three Sunday </w:t>
      </w:r>
      <w:r>
        <w:rPr>
          <w:color w:val="231F20"/>
          <w:spacing w:val="2"/>
          <w:w w:val="110"/>
        </w:rPr>
        <w:t>services </w:t>
      </w:r>
      <w:r>
        <w:rPr>
          <w:color w:val="231F20"/>
          <w:w w:val="110"/>
        </w:rPr>
        <w:t>and midweek Prayer meeting. Latterly, the Sunday School </w:t>
      </w:r>
      <w:r>
        <w:rPr>
          <w:color w:val="231F20"/>
          <w:spacing w:val="2"/>
          <w:w w:val="110"/>
        </w:rPr>
        <w:t>served </w:t>
      </w:r>
      <w:r>
        <w:rPr>
          <w:color w:val="231F20"/>
          <w:w w:val="110"/>
        </w:rPr>
        <w:t>as the third </w:t>
      </w:r>
      <w:r>
        <w:rPr>
          <w:color w:val="231F20"/>
          <w:spacing w:val="2"/>
          <w:w w:val="110"/>
        </w:rPr>
        <w:t>service </w:t>
      </w:r>
      <w:r>
        <w:rPr>
          <w:color w:val="231F20"/>
          <w:w w:val="110"/>
        </w:rPr>
        <w:t>but the evening </w:t>
      </w:r>
      <w:r>
        <w:rPr>
          <w:color w:val="231F20"/>
          <w:spacing w:val="2"/>
          <w:w w:val="110"/>
        </w:rPr>
        <w:t>service </w:t>
      </w:r>
      <w:r>
        <w:rPr>
          <w:color w:val="231F20"/>
          <w:w w:val="110"/>
        </w:rPr>
        <w:t>continued well into the 1980s. In the later years of the 19th Century, </w:t>
      </w:r>
      <w:r>
        <w:rPr>
          <w:color w:val="231F20"/>
          <w:spacing w:val="2"/>
          <w:w w:val="110"/>
        </w:rPr>
        <w:t>after </w:t>
      </w:r>
      <w:r>
        <w:rPr>
          <w:color w:val="231F20"/>
          <w:w w:val="110"/>
        </w:rPr>
        <w:t>much debate, a pipe organ was installed and over the years contributed greatly to the worship. Many local children attended Sunday School, Uniformed organisations and the Band of Hope and the Annual Sales of Work, Sunday School Picnics and Women’s Own Outings were gala days for the whole neighbourhood. </w:t>
      </w:r>
      <w:r>
        <w:rPr>
          <w:color w:val="231F20"/>
          <w:spacing w:val="2"/>
          <w:w w:val="110"/>
        </w:rPr>
        <w:t>Members </w:t>
      </w:r>
      <w:r>
        <w:rPr>
          <w:color w:val="231F20"/>
          <w:spacing w:val="73"/>
          <w:w w:val="110"/>
        </w:rPr>
        <w:t> </w:t>
      </w:r>
      <w:r>
        <w:rPr>
          <w:color w:val="231F20"/>
          <w:w w:val="110"/>
        </w:rPr>
        <w:t>of</w:t>
      </w:r>
      <w:r>
        <w:rPr>
          <w:color w:val="231F20"/>
          <w:spacing w:val="12"/>
          <w:w w:val="110"/>
        </w:rPr>
        <w:t> </w:t>
      </w:r>
      <w:r>
        <w:rPr>
          <w:color w:val="231F20"/>
          <w:w w:val="110"/>
        </w:rPr>
        <w:t>the</w:t>
      </w:r>
      <w:r>
        <w:rPr>
          <w:color w:val="231F20"/>
          <w:spacing w:val="12"/>
          <w:w w:val="110"/>
        </w:rPr>
        <w:t> </w:t>
      </w:r>
      <w:r>
        <w:rPr>
          <w:color w:val="231F20"/>
          <w:w w:val="110"/>
        </w:rPr>
        <w:t>congregation</w:t>
      </w:r>
      <w:r>
        <w:rPr>
          <w:color w:val="231F20"/>
          <w:spacing w:val="12"/>
          <w:w w:val="110"/>
        </w:rPr>
        <w:t> </w:t>
      </w:r>
      <w:r>
        <w:rPr>
          <w:color w:val="231F20"/>
          <w:spacing w:val="2"/>
          <w:w w:val="110"/>
        </w:rPr>
        <w:t>became</w:t>
      </w:r>
      <w:r>
        <w:rPr>
          <w:color w:val="231F20"/>
          <w:spacing w:val="13"/>
          <w:w w:val="110"/>
        </w:rPr>
        <w:t> </w:t>
      </w:r>
      <w:r>
        <w:rPr>
          <w:color w:val="231F20"/>
          <w:w w:val="110"/>
        </w:rPr>
        <w:t>missionaries,</w:t>
      </w:r>
      <w:r>
        <w:rPr>
          <w:color w:val="231F20"/>
          <w:spacing w:val="12"/>
          <w:w w:val="110"/>
        </w:rPr>
        <w:t> </w:t>
      </w:r>
      <w:r>
        <w:rPr>
          <w:color w:val="231F20"/>
          <w:w w:val="110"/>
        </w:rPr>
        <w:t>one</w:t>
      </w:r>
      <w:r>
        <w:rPr>
          <w:color w:val="231F20"/>
          <w:spacing w:val="12"/>
          <w:w w:val="110"/>
        </w:rPr>
        <w:t> </w:t>
      </w:r>
      <w:r>
        <w:rPr>
          <w:color w:val="231F20"/>
          <w:w w:val="110"/>
        </w:rPr>
        <w:t>minister</w:t>
      </w:r>
      <w:r>
        <w:rPr>
          <w:color w:val="231F20"/>
          <w:spacing w:val="12"/>
          <w:w w:val="110"/>
        </w:rPr>
        <w:t> </w:t>
      </w:r>
      <w:r>
        <w:rPr>
          <w:color w:val="231F20"/>
          <w:spacing w:val="2"/>
          <w:w w:val="110"/>
        </w:rPr>
        <w:t>became</w:t>
      </w:r>
      <w:r>
        <w:rPr>
          <w:color w:val="231F20"/>
          <w:spacing w:val="13"/>
          <w:w w:val="110"/>
        </w:rPr>
        <w:t> </w:t>
      </w:r>
      <w:r>
        <w:rPr>
          <w:color w:val="231F20"/>
          <w:w w:val="110"/>
        </w:rPr>
        <w:t>President</w:t>
      </w:r>
      <w:r>
        <w:rPr>
          <w:color w:val="231F20"/>
          <w:spacing w:val="12"/>
          <w:w w:val="110"/>
        </w:rPr>
        <w:t> </w:t>
      </w:r>
      <w:r>
        <w:rPr>
          <w:color w:val="231F20"/>
          <w:w w:val="110"/>
        </w:rPr>
        <w:t>of</w:t>
      </w:r>
      <w:r>
        <w:rPr>
          <w:color w:val="231F20"/>
          <w:spacing w:val="12"/>
          <w:w w:val="110"/>
        </w:rPr>
        <w:t> </w:t>
      </w:r>
      <w:r>
        <w:rPr>
          <w:color w:val="231F20"/>
          <w:w w:val="110"/>
        </w:rPr>
        <w:t>the</w:t>
      </w:r>
    </w:p>
    <w:p>
      <w:pPr>
        <w:pStyle w:val="BodyText"/>
        <w:spacing w:line="273" w:lineRule="auto" w:before="6"/>
        <w:ind w:left="1240" w:right="1593"/>
      </w:pPr>
      <w:r>
        <w:rPr>
          <w:color w:val="231F20"/>
          <w:w w:val="110"/>
        </w:rPr>
        <w:t>Congregational Union of Scotland and many ministers worked in the surrounding streets with people in need of all kinds.</w:t>
      </w:r>
    </w:p>
    <w:p>
      <w:pPr>
        <w:pStyle w:val="BodyText"/>
        <w:spacing w:before="9"/>
        <w:rPr>
          <w:sz w:val="21"/>
        </w:rPr>
      </w:pPr>
    </w:p>
    <w:p>
      <w:pPr>
        <w:spacing w:before="55"/>
        <w:ind w:left="0" w:right="1160" w:firstLine="0"/>
        <w:jc w:val="right"/>
        <w:rPr>
          <w:rFonts w:ascii="Eurostile Bold"/>
          <w:b/>
          <w:sz w:val="24"/>
        </w:rPr>
      </w:pPr>
      <w:r>
        <w:rPr>
          <w:rFonts w:ascii="Eurostile Bold"/>
          <w:b/>
          <w:color w:val="231F20"/>
          <w:w w:val="85"/>
          <w:sz w:val="24"/>
        </w:rPr>
        <w:t>39</w:t>
      </w:r>
    </w:p>
    <w:p>
      <w:pPr>
        <w:spacing w:after="0"/>
        <w:jc w:val="right"/>
        <w:rPr>
          <w:rFonts w:ascii="Eurostile Bold"/>
          <w:sz w:val="24"/>
        </w:rPr>
        <w:sectPr>
          <w:headerReference w:type="default" r:id="rId54"/>
          <w:footerReference w:type="default" r:id="rId55"/>
          <w:pgSz w:w="11910" w:h="16840"/>
          <w:pgMar w:header="0" w:footer="0" w:top="860" w:bottom="280" w:left="460" w:right="0"/>
        </w:sectPr>
      </w:pPr>
    </w:p>
    <w:p>
      <w:pPr>
        <w:pStyle w:val="BodyText"/>
        <w:spacing w:before="7"/>
        <w:rPr>
          <w:rFonts w:ascii="Eurostile Bold"/>
          <w:b/>
          <w:sz w:val="13"/>
        </w:rPr>
      </w:pPr>
    </w:p>
    <w:p>
      <w:pPr>
        <w:pStyle w:val="ListParagraph"/>
        <w:numPr>
          <w:ilvl w:val="1"/>
          <w:numId w:val="18"/>
        </w:numPr>
        <w:tabs>
          <w:tab w:pos="1393" w:val="left" w:leader="none"/>
          <w:tab w:pos="1394" w:val="left" w:leader="none"/>
        </w:tabs>
        <w:spacing w:line="273" w:lineRule="auto" w:before="100" w:after="0"/>
        <w:ind w:left="673" w:right="1889" w:firstLine="0"/>
        <w:jc w:val="left"/>
        <w:rPr>
          <w:sz w:val="18"/>
        </w:rPr>
      </w:pPr>
      <w:r>
        <w:rPr>
          <w:color w:val="231F20"/>
          <w:w w:val="110"/>
          <w:sz w:val="18"/>
        </w:rPr>
        <w:t>With rehousing taking many local people to the suburbs and the changing social scene membership dwindled and the constraints of a small group coping with a listed building it was with great </w:t>
      </w:r>
      <w:r>
        <w:rPr>
          <w:color w:val="231F20"/>
          <w:spacing w:val="2"/>
          <w:w w:val="110"/>
          <w:sz w:val="18"/>
        </w:rPr>
        <w:t>reluctance </w:t>
      </w:r>
      <w:r>
        <w:rPr>
          <w:color w:val="231F20"/>
          <w:w w:val="110"/>
          <w:sz w:val="18"/>
        </w:rPr>
        <w:t>that the decision was made to close the church  and the majority of the remaining congregation transfered their membership to Augustine United, whose </w:t>
      </w:r>
      <w:r>
        <w:rPr>
          <w:color w:val="231F20"/>
          <w:spacing w:val="2"/>
          <w:w w:val="110"/>
          <w:sz w:val="18"/>
        </w:rPr>
        <w:t>predecessors </w:t>
      </w:r>
      <w:r>
        <w:rPr>
          <w:color w:val="231F20"/>
          <w:w w:val="110"/>
          <w:sz w:val="18"/>
        </w:rPr>
        <w:t>had also originated in the Argyll Square Chapel. The </w:t>
      </w:r>
      <w:r>
        <w:rPr>
          <w:color w:val="231F20"/>
          <w:spacing w:val="2"/>
          <w:w w:val="110"/>
          <w:sz w:val="18"/>
        </w:rPr>
        <w:t>circle </w:t>
      </w:r>
      <w:r>
        <w:rPr>
          <w:color w:val="231F20"/>
          <w:w w:val="110"/>
          <w:sz w:val="18"/>
        </w:rPr>
        <w:t>is</w:t>
      </w:r>
      <w:r>
        <w:rPr>
          <w:color w:val="231F20"/>
          <w:spacing w:val="1"/>
          <w:w w:val="110"/>
          <w:sz w:val="18"/>
        </w:rPr>
        <w:t> </w:t>
      </w:r>
      <w:r>
        <w:rPr>
          <w:color w:val="231F20"/>
          <w:w w:val="110"/>
          <w:sz w:val="18"/>
        </w:rPr>
        <w:t>complete.</w:t>
      </w:r>
    </w:p>
    <w:p>
      <w:pPr>
        <w:pStyle w:val="BodyText"/>
        <w:rPr>
          <w:sz w:val="22"/>
        </w:rPr>
      </w:pPr>
    </w:p>
    <w:p>
      <w:pPr>
        <w:pStyle w:val="BodyText"/>
        <w:spacing w:before="5"/>
        <w:rPr>
          <w:sz w:val="28"/>
        </w:rPr>
      </w:pPr>
    </w:p>
    <w:p>
      <w:pPr>
        <w:pStyle w:val="Heading9"/>
        <w:ind w:left="673"/>
      </w:pPr>
      <w:r>
        <w:rPr>
          <w:color w:val="231F20"/>
          <w:w w:val="110"/>
        </w:rPr>
        <w:t>Haughley – Eastern Synod</w:t>
      </w:r>
    </w:p>
    <w:p>
      <w:pPr>
        <w:pStyle w:val="ListParagraph"/>
        <w:numPr>
          <w:ilvl w:val="1"/>
          <w:numId w:val="19"/>
        </w:numPr>
        <w:tabs>
          <w:tab w:pos="1393" w:val="left" w:leader="none"/>
          <w:tab w:pos="1394" w:val="left" w:leader="none"/>
        </w:tabs>
        <w:spacing w:line="273" w:lineRule="auto" w:before="258" w:after="0"/>
        <w:ind w:left="673" w:right="2077" w:firstLine="0"/>
        <w:jc w:val="left"/>
        <w:rPr>
          <w:sz w:val="18"/>
        </w:rPr>
      </w:pPr>
      <w:r>
        <w:rPr>
          <w:color w:val="231F20"/>
          <w:w w:val="110"/>
          <w:sz w:val="18"/>
        </w:rPr>
        <w:t>In </w:t>
      </w:r>
      <w:r>
        <w:rPr>
          <w:color w:val="231F20"/>
          <w:spacing w:val="-3"/>
          <w:w w:val="110"/>
          <w:sz w:val="18"/>
        </w:rPr>
        <w:t>1835 </w:t>
      </w:r>
      <w:r>
        <w:rPr>
          <w:color w:val="231F20"/>
          <w:w w:val="110"/>
          <w:sz w:val="18"/>
        </w:rPr>
        <w:t>the Congregational Chapel was built with support and encouragement of </w:t>
      </w:r>
      <w:r>
        <w:rPr>
          <w:color w:val="231F20"/>
          <w:spacing w:val="2"/>
          <w:w w:val="110"/>
          <w:sz w:val="18"/>
        </w:rPr>
        <w:t>members </w:t>
      </w:r>
      <w:r>
        <w:rPr>
          <w:color w:val="231F20"/>
          <w:w w:val="110"/>
          <w:sz w:val="18"/>
        </w:rPr>
        <w:t>of the Stowmarket congregation, and has been </w:t>
      </w:r>
      <w:r>
        <w:rPr>
          <w:color w:val="231F20"/>
          <w:spacing w:val="2"/>
          <w:w w:val="110"/>
          <w:sz w:val="18"/>
        </w:rPr>
        <w:t>part </w:t>
      </w:r>
      <w:r>
        <w:rPr>
          <w:color w:val="231F20"/>
          <w:w w:val="110"/>
          <w:sz w:val="18"/>
        </w:rPr>
        <w:t>of a group of Village Chapels </w:t>
      </w:r>
      <w:r>
        <w:rPr>
          <w:color w:val="231F20"/>
          <w:spacing w:val="2"/>
          <w:w w:val="110"/>
          <w:sz w:val="18"/>
        </w:rPr>
        <w:t>attached </w:t>
      </w:r>
      <w:r>
        <w:rPr>
          <w:color w:val="231F20"/>
          <w:w w:val="110"/>
          <w:sz w:val="18"/>
        </w:rPr>
        <w:t>to Stowmarket. Throughout the </w:t>
      </w:r>
      <w:r>
        <w:rPr>
          <w:color w:val="231F20"/>
          <w:spacing w:val="-4"/>
          <w:w w:val="110"/>
          <w:sz w:val="18"/>
        </w:rPr>
        <w:t>170 </w:t>
      </w:r>
      <w:r>
        <w:rPr>
          <w:color w:val="231F20"/>
          <w:w w:val="110"/>
          <w:sz w:val="18"/>
        </w:rPr>
        <w:t>years it has been open for worship and witness in the village. It had a Sunday school and Women’s Fellowship  for many years but sadly both </w:t>
      </w:r>
      <w:r>
        <w:rPr>
          <w:color w:val="231F20"/>
          <w:spacing w:val="2"/>
          <w:w w:val="110"/>
          <w:sz w:val="18"/>
        </w:rPr>
        <w:t>closed </w:t>
      </w:r>
      <w:r>
        <w:rPr>
          <w:color w:val="231F20"/>
          <w:w w:val="110"/>
          <w:sz w:val="18"/>
        </w:rPr>
        <w:t>a few years</w:t>
      </w:r>
      <w:r>
        <w:rPr>
          <w:color w:val="231F20"/>
          <w:spacing w:val="17"/>
          <w:w w:val="110"/>
          <w:sz w:val="18"/>
        </w:rPr>
        <w:t> </w:t>
      </w:r>
      <w:r>
        <w:rPr>
          <w:color w:val="231F20"/>
          <w:w w:val="110"/>
          <w:sz w:val="18"/>
        </w:rPr>
        <w:t>ago.</w:t>
      </w:r>
    </w:p>
    <w:p>
      <w:pPr>
        <w:pStyle w:val="BodyText"/>
        <w:spacing w:before="10"/>
        <w:rPr>
          <w:sz w:val="20"/>
        </w:rPr>
      </w:pPr>
    </w:p>
    <w:p>
      <w:pPr>
        <w:pStyle w:val="ListParagraph"/>
        <w:numPr>
          <w:ilvl w:val="1"/>
          <w:numId w:val="19"/>
        </w:numPr>
        <w:tabs>
          <w:tab w:pos="1394" w:val="left" w:leader="none"/>
        </w:tabs>
        <w:spacing w:line="273" w:lineRule="auto" w:before="1" w:after="0"/>
        <w:ind w:left="673" w:right="2237" w:firstLine="0"/>
        <w:jc w:val="both"/>
        <w:rPr>
          <w:sz w:val="18"/>
        </w:rPr>
      </w:pPr>
      <w:r>
        <w:rPr>
          <w:color w:val="231F20"/>
          <w:w w:val="110"/>
          <w:sz w:val="18"/>
        </w:rPr>
        <w:t>Many improvements and changes have been made to the building during the years and numbers attending have changed over different periods. Sadly extensive repairs are </w:t>
      </w:r>
      <w:r>
        <w:rPr>
          <w:color w:val="231F20"/>
          <w:spacing w:val="2"/>
          <w:w w:val="110"/>
          <w:sz w:val="18"/>
        </w:rPr>
        <w:t>necessary </w:t>
      </w:r>
      <w:r>
        <w:rPr>
          <w:color w:val="231F20"/>
          <w:w w:val="110"/>
          <w:sz w:val="18"/>
        </w:rPr>
        <w:t>to the Chapel and rear Hall but impossible to fund by the few who attend.</w:t>
      </w:r>
    </w:p>
    <w:p>
      <w:pPr>
        <w:pStyle w:val="BodyText"/>
        <w:spacing w:before="9"/>
        <w:rPr>
          <w:sz w:val="20"/>
        </w:rPr>
      </w:pPr>
    </w:p>
    <w:p>
      <w:pPr>
        <w:pStyle w:val="ListParagraph"/>
        <w:numPr>
          <w:ilvl w:val="1"/>
          <w:numId w:val="19"/>
        </w:numPr>
        <w:tabs>
          <w:tab w:pos="1393" w:val="left" w:leader="none"/>
          <w:tab w:pos="1394" w:val="left" w:leader="none"/>
        </w:tabs>
        <w:spacing w:line="273" w:lineRule="auto" w:before="0" w:after="0"/>
        <w:ind w:left="673" w:right="1904" w:firstLine="0"/>
        <w:jc w:val="left"/>
        <w:rPr>
          <w:sz w:val="18"/>
        </w:rPr>
      </w:pPr>
      <w:r>
        <w:rPr>
          <w:color w:val="231F20"/>
          <w:w w:val="110"/>
          <w:sz w:val="18"/>
        </w:rPr>
        <w:t>At a special Chapel meeting, </w:t>
      </w:r>
      <w:r>
        <w:rPr>
          <w:color w:val="231F20"/>
          <w:spacing w:val="2"/>
          <w:w w:val="110"/>
          <w:sz w:val="18"/>
        </w:rPr>
        <w:t>members </w:t>
      </w:r>
      <w:r>
        <w:rPr>
          <w:color w:val="231F20"/>
          <w:w w:val="110"/>
          <w:sz w:val="18"/>
        </w:rPr>
        <w:t>agreed that due to a small elderly congregation and with some having difficulty in attending due to ill health and also no younger</w:t>
      </w:r>
      <w:r>
        <w:rPr>
          <w:color w:val="231F20"/>
          <w:spacing w:val="12"/>
          <w:w w:val="110"/>
          <w:sz w:val="18"/>
        </w:rPr>
        <w:t> </w:t>
      </w:r>
      <w:r>
        <w:rPr>
          <w:color w:val="231F20"/>
          <w:spacing w:val="2"/>
          <w:w w:val="110"/>
          <w:sz w:val="18"/>
        </w:rPr>
        <w:t>members</w:t>
      </w:r>
      <w:r>
        <w:rPr>
          <w:color w:val="231F20"/>
          <w:spacing w:val="12"/>
          <w:w w:val="110"/>
          <w:sz w:val="18"/>
        </w:rPr>
        <w:t> </w:t>
      </w:r>
      <w:r>
        <w:rPr>
          <w:color w:val="231F20"/>
          <w:w w:val="110"/>
          <w:sz w:val="18"/>
        </w:rPr>
        <w:t>forthcoming,</w:t>
      </w:r>
      <w:r>
        <w:rPr>
          <w:color w:val="231F20"/>
          <w:spacing w:val="12"/>
          <w:w w:val="110"/>
          <w:sz w:val="18"/>
        </w:rPr>
        <w:t> </w:t>
      </w:r>
      <w:r>
        <w:rPr>
          <w:color w:val="231F20"/>
          <w:w w:val="110"/>
          <w:sz w:val="18"/>
        </w:rPr>
        <w:t>a</w:t>
      </w:r>
      <w:r>
        <w:rPr>
          <w:color w:val="231F20"/>
          <w:spacing w:val="12"/>
          <w:w w:val="110"/>
          <w:sz w:val="18"/>
        </w:rPr>
        <w:t> </w:t>
      </w:r>
      <w:r>
        <w:rPr>
          <w:color w:val="231F20"/>
          <w:w w:val="110"/>
          <w:sz w:val="18"/>
        </w:rPr>
        <w:t>decision</w:t>
      </w:r>
      <w:r>
        <w:rPr>
          <w:color w:val="231F20"/>
          <w:spacing w:val="12"/>
          <w:w w:val="110"/>
          <w:sz w:val="18"/>
        </w:rPr>
        <w:t> </w:t>
      </w:r>
      <w:r>
        <w:rPr>
          <w:color w:val="231F20"/>
          <w:w w:val="110"/>
          <w:sz w:val="18"/>
        </w:rPr>
        <w:t>was</w:t>
      </w:r>
      <w:r>
        <w:rPr>
          <w:color w:val="231F20"/>
          <w:spacing w:val="13"/>
          <w:w w:val="110"/>
          <w:sz w:val="18"/>
        </w:rPr>
        <w:t> </w:t>
      </w:r>
      <w:r>
        <w:rPr>
          <w:color w:val="231F20"/>
          <w:w w:val="110"/>
          <w:sz w:val="18"/>
        </w:rPr>
        <w:t>taken</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close</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Chapel</w:t>
      </w:r>
      <w:r>
        <w:rPr>
          <w:color w:val="231F20"/>
          <w:spacing w:val="13"/>
          <w:w w:val="110"/>
          <w:sz w:val="18"/>
        </w:rPr>
        <w:t> </w:t>
      </w:r>
      <w:r>
        <w:rPr>
          <w:color w:val="231F20"/>
          <w:w w:val="110"/>
          <w:sz w:val="18"/>
        </w:rPr>
        <w:t>at</w:t>
      </w:r>
      <w:r>
        <w:rPr>
          <w:color w:val="231F20"/>
          <w:spacing w:val="12"/>
          <w:w w:val="110"/>
          <w:sz w:val="18"/>
        </w:rPr>
        <w:t> </w:t>
      </w:r>
      <w:r>
        <w:rPr>
          <w:color w:val="231F20"/>
          <w:w w:val="110"/>
          <w:sz w:val="18"/>
        </w:rPr>
        <w:t>Christmas.</w:t>
      </w:r>
    </w:p>
    <w:p>
      <w:pPr>
        <w:pStyle w:val="BodyText"/>
        <w:spacing w:before="9"/>
        <w:rPr>
          <w:sz w:val="20"/>
        </w:rPr>
      </w:pPr>
    </w:p>
    <w:p>
      <w:pPr>
        <w:pStyle w:val="ListParagraph"/>
        <w:numPr>
          <w:ilvl w:val="1"/>
          <w:numId w:val="19"/>
        </w:numPr>
        <w:tabs>
          <w:tab w:pos="1393" w:val="left" w:leader="none"/>
          <w:tab w:pos="1394" w:val="left" w:leader="none"/>
        </w:tabs>
        <w:spacing w:line="240" w:lineRule="auto" w:before="0" w:after="0"/>
        <w:ind w:left="1393" w:right="0" w:hanging="721"/>
        <w:jc w:val="left"/>
        <w:rPr>
          <w:sz w:val="18"/>
        </w:rPr>
      </w:pPr>
      <w:r>
        <w:rPr>
          <w:color w:val="231F20"/>
          <w:w w:val="110"/>
          <w:sz w:val="18"/>
        </w:rPr>
        <w:t>For many years, </w:t>
      </w:r>
      <w:r>
        <w:rPr>
          <w:color w:val="231F20"/>
          <w:spacing w:val="2"/>
          <w:w w:val="110"/>
          <w:sz w:val="18"/>
        </w:rPr>
        <w:t>members </w:t>
      </w:r>
      <w:r>
        <w:rPr>
          <w:color w:val="231F20"/>
          <w:w w:val="110"/>
          <w:sz w:val="18"/>
        </w:rPr>
        <w:t>have enjoyed a </w:t>
      </w:r>
      <w:r>
        <w:rPr>
          <w:color w:val="231F20"/>
          <w:spacing w:val="2"/>
          <w:w w:val="110"/>
          <w:sz w:val="18"/>
        </w:rPr>
        <w:t>very </w:t>
      </w:r>
      <w:r>
        <w:rPr>
          <w:color w:val="231F20"/>
          <w:w w:val="110"/>
          <w:sz w:val="18"/>
        </w:rPr>
        <w:t>good relationship with</w:t>
      </w:r>
      <w:r>
        <w:rPr>
          <w:color w:val="231F20"/>
          <w:spacing w:val="23"/>
          <w:w w:val="110"/>
          <w:sz w:val="18"/>
        </w:rPr>
        <w:t> </w:t>
      </w:r>
      <w:r>
        <w:rPr>
          <w:color w:val="231F20"/>
          <w:w w:val="110"/>
          <w:sz w:val="18"/>
        </w:rPr>
        <w:t>the</w:t>
      </w:r>
    </w:p>
    <w:p>
      <w:pPr>
        <w:pStyle w:val="BodyText"/>
        <w:spacing w:line="273" w:lineRule="auto" w:before="31"/>
        <w:ind w:left="673" w:right="1957"/>
      </w:pPr>
      <w:r>
        <w:rPr>
          <w:color w:val="231F20"/>
          <w:w w:val="110"/>
        </w:rPr>
        <w:t>Parish Church with united </w:t>
      </w:r>
      <w:r>
        <w:rPr>
          <w:color w:val="231F20"/>
          <w:spacing w:val="2"/>
          <w:w w:val="110"/>
        </w:rPr>
        <w:t>services </w:t>
      </w:r>
      <w:r>
        <w:rPr>
          <w:color w:val="231F20"/>
          <w:w w:val="110"/>
        </w:rPr>
        <w:t>held at both Chapel and Church, and for the last two years have joined them in their family </w:t>
      </w:r>
      <w:r>
        <w:rPr>
          <w:color w:val="231F20"/>
          <w:spacing w:val="2"/>
          <w:w w:val="110"/>
        </w:rPr>
        <w:t>service </w:t>
      </w:r>
      <w:r>
        <w:rPr>
          <w:color w:val="231F20"/>
          <w:w w:val="110"/>
        </w:rPr>
        <w:t>each month. </w:t>
      </w:r>
      <w:r>
        <w:rPr>
          <w:color w:val="231F20"/>
          <w:spacing w:val="2"/>
          <w:w w:val="110"/>
        </w:rPr>
        <w:t>There </w:t>
      </w:r>
      <w:r>
        <w:rPr>
          <w:color w:val="231F20"/>
          <w:w w:val="110"/>
        </w:rPr>
        <w:t>is currently a United Reformed Church </w:t>
      </w:r>
      <w:r>
        <w:rPr>
          <w:color w:val="231F20"/>
          <w:spacing w:val="2"/>
          <w:w w:val="110"/>
        </w:rPr>
        <w:t>style service </w:t>
      </w:r>
      <w:r>
        <w:rPr>
          <w:color w:val="231F20"/>
          <w:w w:val="110"/>
        </w:rPr>
        <w:t>at the Parish Church on the third Sunday of the month  led by a Minister or lay preacher </w:t>
      </w:r>
      <w:r>
        <w:rPr>
          <w:color w:val="231F20"/>
          <w:spacing w:val="2"/>
          <w:w w:val="110"/>
        </w:rPr>
        <w:t>from </w:t>
      </w:r>
      <w:r>
        <w:rPr>
          <w:color w:val="231F20"/>
          <w:w w:val="110"/>
        </w:rPr>
        <w:t>our</w:t>
      </w:r>
      <w:r>
        <w:rPr>
          <w:color w:val="231F20"/>
          <w:spacing w:val="16"/>
          <w:w w:val="110"/>
        </w:rPr>
        <w:t> </w:t>
      </w:r>
      <w:r>
        <w:rPr>
          <w:color w:val="231F20"/>
          <w:w w:val="110"/>
        </w:rPr>
        <w:t>denomination.</w:t>
      </w:r>
    </w:p>
    <w:p>
      <w:pPr>
        <w:pStyle w:val="BodyText"/>
        <w:spacing w:before="9"/>
        <w:rPr>
          <w:sz w:val="20"/>
        </w:rPr>
      </w:pPr>
    </w:p>
    <w:p>
      <w:pPr>
        <w:pStyle w:val="ListParagraph"/>
        <w:numPr>
          <w:ilvl w:val="1"/>
          <w:numId w:val="19"/>
        </w:numPr>
        <w:tabs>
          <w:tab w:pos="1393" w:val="left" w:leader="none"/>
          <w:tab w:pos="1394" w:val="left" w:leader="none"/>
        </w:tabs>
        <w:spacing w:line="273" w:lineRule="auto" w:before="0" w:after="0"/>
        <w:ind w:left="673" w:right="2029" w:hanging="1"/>
        <w:jc w:val="left"/>
        <w:rPr>
          <w:sz w:val="18"/>
        </w:rPr>
      </w:pPr>
      <w:r>
        <w:rPr>
          <w:color w:val="231F20"/>
          <w:w w:val="110"/>
          <w:sz w:val="18"/>
        </w:rPr>
        <w:t>A special Carol </w:t>
      </w:r>
      <w:r>
        <w:rPr>
          <w:color w:val="231F20"/>
          <w:spacing w:val="2"/>
          <w:w w:val="110"/>
          <w:sz w:val="18"/>
        </w:rPr>
        <w:t>Service </w:t>
      </w:r>
      <w:r>
        <w:rPr>
          <w:color w:val="231F20"/>
          <w:w w:val="110"/>
          <w:sz w:val="18"/>
        </w:rPr>
        <w:t>of thanksgiving was held on 18</w:t>
      </w:r>
      <w:r>
        <w:rPr>
          <w:color w:val="231F20"/>
          <w:w w:val="110"/>
          <w:position w:val="6"/>
          <w:sz w:val="10"/>
        </w:rPr>
        <w:t>th </w:t>
      </w:r>
      <w:r>
        <w:rPr>
          <w:color w:val="231F20"/>
          <w:w w:val="110"/>
          <w:sz w:val="18"/>
        </w:rPr>
        <w:t>December 2005 in the Chapel when Lay </w:t>
      </w:r>
      <w:r>
        <w:rPr>
          <w:color w:val="231F20"/>
          <w:spacing w:val="2"/>
          <w:w w:val="110"/>
          <w:sz w:val="18"/>
        </w:rPr>
        <w:t>Preachers </w:t>
      </w:r>
      <w:r>
        <w:rPr>
          <w:color w:val="231F20"/>
          <w:w w:val="110"/>
          <w:sz w:val="18"/>
        </w:rPr>
        <w:t>and Ministers who have led worship over the past years attended. </w:t>
      </w:r>
      <w:r>
        <w:rPr>
          <w:color w:val="231F20"/>
          <w:spacing w:val="-3"/>
          <w:w w:val="110"/>
          <w:sz w:val="18"/>
        </w:rPr>
        <w:t>We </w:t>
      </w:r>
      <w:r>
        <w:rPr>
          <w:color w:val="231F20"/>
          <w:w w:val="110"/>
          <w:sz w:val="18"/>
        </w:rPr>
        <w:t>thank God for the past; </w:t>
      </w:r>
      <w:r>
        <w:rPr>
          <w:color w:val="231F20"/>
          <w:spacing w:val="2"/>
          <w:w w:val="110"/>
          <w:sz w:val="18"/>
        </w:rPr>
        <w:t>members </w:t>
      </w:r>
      <w:r>
        <w:rPr>
          <w:color w:val="231F20"/>
          <w:w w:val="110"/>
          <w:sz w:val="18"/>
        </w:rPr>
        <w:t>look </w:t>
      </w:r>
      <w:r>
        <w:rPr>
          <w:color w:val="231F20"/>
          <w:spacing w:val="2"/>
          <w:w w:val="110"/>
          <w:sz w:val="18"/>
        </w:rPr>
        <w:t>forward </w:t>
      </w:r>
      <w:r>
        <w:rPr>
          <w:color w:val="231F20"/>
          <w:w w:val="110"/>
          <w:sz w:val="18"/>
        </w:rPr>
        <w:t>to worshipping together in harmony in the</w:t>
      </w:r>
      <w:r>
        <w:rPr>
          <w:color w:val="231F20"/>
          <w:spacing w:val="3"/>
          <w:w w:val="110"/>
          <w:sz w:val="18"/>
        </w:rPr>
        <w:t> </w:t>
      </w:r>
      <w:r>
        <w:rPr>
          <w:color w:val="231F20"/>
          <w:w w:val="110"/>
          <w:sz w:val="18"/>
        </w:rPr>
        <w:t>village.</w:t>
      </w:r>
    </w:p>
    <w:p>
      <w:pPr>
        <w:pStyle w:val="BodyText"/>
        <w:spacing w:before="10"/>
        <w:rPr>
          <w:sz w:val="20"/>
        </w:rPr>
      </w:pPr>
    </w:p>
    <w:p>
      <w:pPr>
        <w:pStyle w:val="ListParagraph"/>
        <w:numPr>
          <w:ilvl w:val="1"/>
          <w:numId w:val="19"/>
        </w:numPr>
        <w:tabs>
          <w:tab w:pos="1393" w:val="left" w:leader="none"/>
          <w:tab w:pos="1394" w:val="left" w:leader="none"/>
        </w:tabs>
        <w:spacing w:line="240" w:lineRule="auto" w:before="0" w:after="0"/>
        <w:ind w:left="1393" w:right="0" w:hanging="721"/>
        <w:jc w:val="left"/>
        <w:rPr>
          <w:sz w:val="18"/>
        </w:rPr>
      </w:pPr>
      <w:r>
        <w:rPr>
          <w:color w:val="231F20"/>
          <w:w w:val="110"/>
          <w:sz w:val="18"/>
        </w:rPr>
        <w:t>A Covenant </w:t>
      </w:r>
      <w:r>
        <w:rPr>
          <w:color w:val="231F20"/>
          <w:spacing w:val="4"/>
          <w:w w:val="110"/>
          <w:sz w:val="18"/>
        </w:rPr>
        <w:t>Service </w:t>
      </w:r>
      <w:r>
        <w:rPr>
          <w:color w:val="231F20"/>
          <w:w w:val="110"/>
          <w:sz w:val="18"/>
        </w:rPr>
        <w:t>was </w:t>
      </w:r>
      <w:r>
        <w:rPr>
          <w:color w:val="231F20"/>
          <w:spacing w:val="2"/>
          <w:w w:val="110"/>
          <w:sz w:val="18"/>
        </w:rPr>
        <w:t>held </w:t>
      </w:r>
      <w:r>
        <w:rPr>
          <w:color w:val="231F20"/>
          <w:w w:val="110"/>
          <w:sz w:val="18"/>
        </w:rPr>
        <w:t>at </w:t>
      </w:r>
      <w:r>
        <w:rPr>
          <w:color w:val="231F20"/>
          <w:spacing w:val="2"/>
          <w:w w:val="110"/>
          <w:sz w:val="18"/>
        </w:rPr>
        <w:t>the Parish </w:t>
      </w:r>
      <w:r>
        <w:rPr>
          <w:color w:val="231F20"/>
          <w:spacing w:val="3"/>
          <w:w w:val="110"/>
          <w:sz w:val="18"/>
        </w:rPr>
        <w:t>Church </w:t>
      </w:r>
      <w:r>
        <w:rPr>
          <w:color w:val="231F20"/>
          <w:w w:val="110"/>
          <w:sz w:val="18"/>
        </w:rPr>
        <w:t>of St Mary, Haughley,</w:t>
      </w:r>
      <w:r>
        <w:rPr>
          <w:color w:val="231F20"/>
          <w:spacing w:val="4"/>
          <w:w w:val="110"/>
          <w:sz w:val="18"/>
        </w:rPr>
        <w:t> </w:t>
      </w:r>
      <w:r>
        <w:rPr>
          <w:color w:val="231F20"/>
          <w:w w:val="110"/>
          <w:sz w:val="18"/>
        </w:rPr>
        <w:t>on</w:t>
      </w:r>
    </w:p>
    <w:p>
      <w:pPr>
        <w:pStyle w:val="BodyText"/>
        <w:spacing w:line="273" w:lineRule="auto" w:before="31"/>
        <w:ind w:left="673" w:right="1967"/>
      </w:pPr>
      <w:r>
        <w:rPr>
          <w:color w:val="231F20"/>
          <w:spacing w:val="2"/>
          <w:w w:val="110"/>
        </w:rPr>
        <w:t>the </w:t>
      </w:r>
      <w:r>
        <w:rPr>
          <w:color w:val="231F20"/>
          <w:w w:val="110"/>
        </w:rPr>
        <w:t>5</w:t>
      </w:r>
      <w:r>
        <w:rPr>
          <w:color w:val="231F20"/>
          <w:w w:val="110"/>
          <w:position w:val="6"/>
          <w:sz w:val="10"/>
        </w:rPr>
        <w:t>th </w:t>
      </w:r>
      <w:r>
        <w:rPr>
          <w:color w:val="231F20"/>
          <w:w w:val="110"/>
        </w:rPr>
        <w:t>September, </w:t>
      </w:r>
      <w:r>
        <w:rPr>
          <w:color w:val="231F20"/>
          <w:spacing w:val="2"/>
          <w:w w:val="110"/>
        </w:rPr>
        <w:t>when </w:t>
      </w:r>
      <w:r>
        <w:rPr>
          <w:color w:val="231F20"/>
          <w:w w:val="110"/>
        </w:rPr>
        <w:t>a </w:t>
      </w:r>
      <w:r>
        <w:rPr>
          <w:color w:val="231F20"/>
          <w:spacing w:val="3"/>
          <w:w w:val="110"/>
        </w:rPr>
        <w:t>‘Declaration </w:t>
      </w:r>
      <w:r>
        <w:rPr>
          <w:color w:val="231F20"/>
          <w:w w:val="110"/>
        </w:rPr>
        <w:t>of </w:t>
      </w:r>
      <w:r>
        <w:rPr>
          <w:color w:val="231F20"/>
          <w:spacing w:val="3"/>
          <w:w w:val="110"/>
        </w:rPr>
        <w:t>Ecumenical </w:t>
      </w:r>
      <w:r>
        <w:rPr>
          <w:color w:val="231F20"/>
          <w:spacing w:val="2"/>
          <w:w w:val="110"/>
        </w:rPr>
        <w:t>Welcome </w:t>
      </w:r>
      <w:r>
        <w:rPr>
          <w:color w:val="231F20"/>
          <w:w w:val="110"/>
        </w:rPr>
        <w:t>and </w:t>
      </w:r>
      <w:r>
        <w:rPr>
          <w:color w:val="231F20"/>
          <w:spacing w:val="3"/>
          <w:w w:val="110"/>
        </w:rPr>
        <w:t>Commitment’ </w:t>
      </w:r>
      <w:r>
        <w:rPr>
          <w:color w:val="231F20"/>
          <w:w w:val="110"/>
        </w:rPr>
        <w:t>was </w:t>
      </w:r>
      <w:r>
        <w:rPr>
          <w:color w:val="231F20"/>
          <w:spacing w:val="2"/>
          <w:w w:val="110"/>
        </w:rPr>
        <w:t>signed </w:t>
      </w:r>
      <w:r>
        <w:rPr>
          <w:color w:val="231F20"/>
          <w:w w:val="110"/>
        </w:rPr>
        <w:t>by </w:t>
      </w:r>
      <w:r>
        <w:rPr>
          <w:color w:val="231F20"/>
          <w:spacing w:val="3"/>
          <w:w w:val="110"/>
        </w:rPr>
        <w:t>The </w:t>
      </w:r>
      <w:r>
        <w:rPr>
          <w:color w:val="231F20"/>
          <w:spacing w:val="2"/>
          <w:w w:val="110"/>
        </w:rPr>
        <w:t>Right Reverend </w:t>
      </w:r>
      <w:r>
        <w:rPr>
          <w:color w:val="231F20"/>
          <w:spacing w:val="3"/>
          <w:w w:val="110"/>
        </w:rPr>
        <w:t>Richard </w:t>
      </w:r>
      <w:r>
        <w:rPr>
          <w:color w:val="231F20"/>
          <w:w w:val="110"/>
        </w:rPr>
        <w:t>Lewis, </w:t>
      </w:r>
      <w:r>
        <w:rPr>
          <w:color w:val="231F20"/>
          <w:spacing w:val="3"/>
          <w:w w:val="110"/>
        </w:rPr>
        <w:t>Diocesan </w:t>
      </w:r>
      <w:r>
        <w:rPr>
          <w:color w:val="231F20"/>
          <w:spacing w:val="2"/>
          <w:w w:val="110"/>
        </w:rPr>
        <w:t>Bishop </w:t>
      </w:r>
      <w:r>
        <w:rPr>
          <w:color w:val="231F20"/>
          <w:w w:val="110"/>
        </w:rPr>
        <w:t>of St </w:t>
      </w:r>
      <w:r>
        <w:rPr>
          <w:color w:val="231F20"/>
          <w:spacing w:val="3"/>
          <w:w w:val="110"/>
        </w:rPr>
        <w:t>Edmundsbury </w:t>
      </w:r>
      <w:r>
        <w:rPr>
          <w:color w:val="231F20"/>
          <w:w w:val="110"/>
        </w:rPr>
        <w:t>and Ipswich; </w:t>
      </w:r>
      <w:r>
        <w:rPr>
          <w:color w:val="231F20"/>
          <w:spacing w:val="3"/>
          <w:w w:val="110"/>
        </w:rPr>
        <w:t>The </w:t>
      </w:r>
      <w:r>
        <w:rPr>
          <w:color w:val="231F20"/>
          <w:w w:val="110"/>
        </w:rPr>
        <w:t>Reverend Elizabeth Caswell Moderator of the Eastern Synod of the United Reformed Church; the Vicar and Churchwardens; the Minister and Chapel members;   and representatives of Churches Together in</w:t>
      </w:r>
      <w:r>
        <w:rPr>
          <w:color w:val="231F20"/>
          <w:spacing w:val="14"/>
          <w:w w:val="110"/>
        </w:rPr>
        <w:t> </w:t>
      </w:r>
      <w:r>
        <w:rPr>
          <w:color w:val="231F20"/>
          <w:w w:val="110"/>
        </w:rPr>
        <w:t>Suffolk.</w:t>
      </w:r>
    </w:p>
    <w:p>
      <w:pPr>
        <w:spacing w:after="0" w:line="273" w:lineRule="auto"/>
        <w:sectPr>
          <w:headerReference w:type="even" r:id="rId57"/>
          <w:headerReference w:type="default" r:id="rId58"/>
          <w:footerReference w:type="even" r:id="rId59"/>
          <w:footerReference w:type="default" r:id="rId60"/>
          <w:pgSz w:w="11910" w:h="16840"/>
          <w:pgMar w:header="558" w:footer="564" w:top="820" w:bottom="760" w:left="460" w:right="0"/>
          <w:pgNumType w:start="40"/>
        </w:sectPr>
      </w:pPr>
    </w:p>
    <w:p>
      <w:pPr>
        <w:pStyle w:val="BodyText"/>
        <w:spacing w:before="5"/>
        <w:rPr>
          <w:sz w:val="12"/>
        </w:rPr>
      </w:pPr>
    </w:p>
    <w:p>
      <w:pPr>
        <w:pStyle w:val="Heading9"/>
        <w:spacing w:line="244" w:lineRule="auto" w:before="98"/>
        <w:ind w:right="2743"/>
        <w:jc w:val="both"/>
      </w:pPr>
      <w:r>
        <w:rPr>
          <w:color w:val="231F20"/>
          <w:w w:val="110"/>
        </w:rPr>
        <w:t>Dartmouth Road United Reformed Church Paignton – South Western Synod</w:t>
      </w:r>
    </w:p>
    <w:p>
      <w:pPr>
        <w:pStyle w:val="BodyText"/>
        <w:spacing w:before="252"/>
        <w:ind w:left="1240"/>
        <w:jc w:val="both"/>
      </w:pPr>
      <w:r>
        <w:rPr>
          <w:color w:val="231F20"/>
          <w:w w:val="110"/>
        </w:rPr>
        <w:t>[Quotes from Records and Minutes over the last 180 years]</w:t>
      </w:r>
    </w:p>
    <w:p>
      <w:pPr>
        <w:pStyle w:val="BodyText"/>
        <w:spacing w:before="1"/>
        <w:rPr>
          <w:sz w:val="23"/>
        </w:rPr>
      </w:pPr>
    </w:p>
    <w:p>
      <w:pPr>
        <w:pStyle w:val="BodyText"/>
        <w:spacing w:line="273" w:lineRule="auto"/>
        <w:ind w:left="1240" w:right="1279"/>
      </w:pPr>
      <w:r>
        <w:rPr>
          <w:color w:val="231F20"/>
          <w:w w:val="110"/>
        </w:rPr>
        <w:t>The beginnings of Dartmouth Road Church were not auspicious. ‘Attempts to </w:t>
      </w:r>
      <w:r>
        <w:rPr>
          <w:color w:val="231F20"/>
          <w:spacing w:val="3"/>
          <w:w w:val="110"/>
        </w:rPr>
        <w:t>start </w:t>
      </w:r>
      <w:r>
        <w:rPr>
          <w:color w:val="231F20"/>
          <w:w w:val="110"/>
        </w:rPr>
        <w:t>a Congregational Church in </w:t>
      </w:r>
      <w:r>
        <w:rPr>
          <w:color w:val="231F20"/>
          <w:spacing w:val="-6"/>
          <w:w w:val="110"/>
        </w:rPr>
        <w:t>1816 </w:t>
      </w:r>
      <w:r>
        <w:rPr>
          <w:color w:val="231F20"/>
          <w:w w:val="110"/>
        </w:rPr>
        <w:t>met with such violent opposition that the lives of the </w:t>
      </w:r>
      <w:r>
        <w:rPr>
          <w:color w:val="231F20"/>
          <w:spacing w:val="2"/>
          <w:w w:val="110"/>
        </w:rPr>
        <w:t>preachers </w:t>
      </w:r>
      <w:r>
        <w:rPr>
          <w:color w:val="231F20"/>
          <w:w w:val="110"/>
        </w:rPr>
        <w:t>were in imminent peril. Not until </w:t>
      </w:r>
      <w:r>
        <w:rPr>
          <w:color w:val="231F20"/>
          <w:spacing w:val="-6"/>
          <w:w w:val="110"/>
        </w:rPr>
        <w:t>1817 </w:t>
      </w:r>
      <w:r>
        <w:rPr>
          <w:color w:val="231F20"/>
          <w:w w:val="110"/>
        </w:rPr>
        <w:t>did the Pastor of Totnes Independent Chapel hold religious </w:t>
      </w:r>
      <w:r>
        <w:rPr>
          <w:color w:val="231F20"/>
          <w:spacing w:val="3"/>
          <w:w w:val="110"/>
        </w:rPr>
        <w:t>services </w:t>
      </w:r>
      <w:r>
        <w:rPr>
          <w:color w:val="231F20"/>
          <w:w w:val="110"/>
        </w:rPr>
        <w:t>in a kitchen in Paignton, where some 50 people crowded the place. A local man then </w:t>
      </w:r>
      <w:r>
        <w:rPr>
          <w:color w:val="231F20"/>
          <w:spacing w:val="-3"/>
          <w:w w:val="110"/>
        </w:rPr>
        <w:t>gave </w:t>
      </w:r>
      <w:r>
        <w:rPr>
          <w:color w:val="231F20"/>
          <w:w w:val="110"/>
        </w:rPr>
        <w:t>a site on which to build a chapel which was opened and dedicated for worship of Almighty God and the preaching of the Gospel on November 5</w:t>
      </w:r>
      <w:r>
        <w:rPr>
          <w:color w:val="231F20"/>
          <w:w w:val="110"/>
          <w:position w:val="6"/>
          <w:sz w:val="10"/>
        </w:rPr>
        <w:t>th </w:t>
      </w:r>
      <w:r>
        <w:rPr>
          <w:color w:val="231F20"/>
          <w:spacing w:val="-4"/>
          <w:w w:val="110"/>
        </w:rPr>
        <w:t>1818. </w:t>
      </w:r>
      <w:r>
        <w:rPr>
          <w:color w:val="231F20"/>
          <w:w w:val="110"/>
        </w:rPr>
        <w:t>The following Saturday, </w:t>
      </w:r>
      <w:r>
        <w:rPr>
          <w:color w:val="231F20"/>
          <w:spacing w:val="-5"/>
          <w:w w:val="110"/>
        </w:rPr>
        <w:t>19 </w:t>
      </w:r>
      <w:r>
        <w:rPr>
          <w:color w:val="231F20"/>
          <w:spacing w:val="2"/>
          <w:w w:val="110"/>
        </w:rPr>
        <w:t>persons </w:t>
      </w:r>
      <w:r>
        <w:rPr>
          <w:color w:val="231F20"/>
          <w:w w:val="110"/>
        </w:rPr>
        <w:t>desirous of forming themselves into a Congregational Church, dedicated themselves into constituting a Congregational Church, and the Sacrament of the Lord’s Supper was administered for the first time in the new Chapel the </w:t>
      </w:r>
      <w:r>
        <w:rPr>
          <w:color w:val="231F20"/>
          <w:spacing w:val="2"/>
          <w:w w:val="110"/>
        </w:rPr>
        <w:t>next </w:t>
      </w:r>
      <w:r>
        <w:rPr>
          <w:color w:val="231F20"/>
          <w:spacing w:val="-6"/>
          <w:w w:val="110"/>
        </w:rPr>
        <w:t>day.’ </w:t>
      </w:r>
      <w:r>
        <w:rPr>
          <w:color w:val="231F20"/>
          <w:w w:val="110"/>
        </w:rPr>
        <w:t>About </w:t>
      </w:r>
      <w:r>
        <w:rPr>
          <w:color w:val="231F20"/>
          <w:spacing w:val="2"/>
          <w:w w:val="110"/>
        </w:rPr>
        <w:t>fifteen </w:t>
      </w:r>
      <w:r>
        <w:rPr>
          <w:color w:val="231F20"/>
          <w:w w:val="110"/>
        </w:rPr>
        <w:t>years later </w:t>
      </w:r>
      <w:r>
        <w:rPr>
          <w:color w:val="231F20"/>
          <w:spacing w:val="2"/>
          <w:w w:val="110"/>
        </w:rPr>
        <w:t>‘the </w:t>
      </w:r>
      <w:r>
        <w:rPr>
          <w:color w:val="231F20"/>
          <w:w w:val="110"/>
        </w:rPr>
        <w:t>building fell into the hands of the Episcopalians,</w:t>
      </w:r>
      <w:r>
        <w:rPr>
          <w:color w:val="231F20"/>
          <w:spacing w:val="9"/>
          <w:w w:val="110"/>
        </w:rPr>
        <w:t> </w:t>
      </w:r>
      <w:r>
        <w:rPr>
          <w:color w:val="231F20"/>
          <w:w w:val="110"/>
        </w:rPr>
        <w:t>through</w:t>
      </w:r>
      <w:r>
        <w:rPr>
          <w:color w:val="231F20"/>
          <w:spacing w:val="10"/>
          <w:w w:val="110"/>
        </w:rPr>
        <w:t> </w:t>
      </w:r>
      <w:r>
        <w:rPr>
          <w:color w:val="231F20"/>
          <w:w w:val="110"/>
        </w:rPr>
        <w:t>unforeseen</w:t>
      </w:r>
      <w:r>
        <w:rPr>
          <w:color w:val="231F20"/>
          <w:spacing w:val="9"/>
          <w:w w:val="110"/>
        </w:rPr>
        <w:t> </w:t>
      </w:r>
      <w:r>
        <w:rPr>
          <w:color w:val="231F20"/>
          <w:w w:val="110"/>
        </w:rPr>
        <w:t>circumstances,</w:t>
      </w:r>
      <w:r>
        <w:rPr>
          <w:color w:val="231F20"/>
          <w:spacing w:val="10"/>
          <w:w w:val="110"/>
        </w:rPr>
        <w:t> </w:t>
      </w:r>
      <w:r>
        <w:rPr>
          <w:color w:val="231F20"/>
          <w:w w:val="110"/>
        </w:rPr>
        <w:t>which</w:t>
      </w:r>
      <w:r>
        <w:rPr>
          <w:color w:val="231F20"/>
          <w:spacing w:val="9"/>
          <w:w w:val="110"/>
        </w:rPr>
        <w:t> </w:t>
      </w:r>
      <w:r>
        <w:rPr>
          <w:color w:val="231F20"/>
          <w:w w:val="110"/>
        </w:rPr>
        <w:t>they</w:t>
      </w:r>
      <w:r>
        <w:rPr>
          <w:color w:val="231F20"/>
          <w:spacing w:val="10"/>
          <w:w w:val="110"/>
        </w:rPr>
        <w:t> </w:t>
      </w:r>
      <w:r>
        <w:rPr>
          <w:color w:val="231F20"/>
          <w:w w:val="110"/>
        </w:rPr>
        <w:t>had</w:t>
      </w:r>
      <w:r>
        <w:rPr>
          <w:color w:val="231F20"/>
          <w:spacing w:val="9"/>
          <w:w w:val="110"/>
        </w:rPr>
        <w:t> </w:t>
      </w:r>
      <w:r>
        <w:rPr>
          <w:color w:val="231F20"/>
          <w:w w:val="110"/>
        </w:rPr>
        <w:t>no</w:t>
      </w:r>
      <w:r>
        <w:rPr>
          <w:color w:val="231F20"/>
          <w:spacing w:val="10"/>
          <w:w w:val="110"/>
        </w:rPr>
        <w:t> </w:t>
      </w:r>
      <w:r>
        <w:rPr>
          <w:color w:val="231F20"/>
          <w:w w:val="110"/>
        </w:rPr>
        <w:t>power</w:t>
      </w:r>
      <w:r>
        <w:rPr>
          <w:color w:val="231F20"/>
          <w:spacing w:val="10"/>
          <w:w w:val="110"/>
        </w:rPr>
        <w:t> </w:t>
      </w:r>
      <w:r>
        <w:rPr>
          <w:color w:val="231F20"/>
          <w:w w:val="110"/>
        </w:rPr>
        <w:t>to</w:t>
      </w:r>
      <w:r>
        <w:rPr>
          <w:color w:val="231F20"/>
          <w:spacing w:val="9"/>
          <w:w w:val="110"/>
        </w:rPr>
        <w:t> </w:t>
      </w:r>
      <w:r>
        <w:rPr>
          <w:color w:val="231F20"/>
          <w:w w:val="110"/>
        </w:rPr>
        <w:t>avoid’.</w:t>
      </w:r>
    </w:p>
    <w:p>
      <w:pPr>
        <w:pStyle w:val="BodyText"/>
        <w:spacing w:line="273" w:lineRule="auto" w:before="7"/>
        <w:ind w:left="1240" w:right="1226"/>
      </w:pPr>
      <w:r>
        <w:rPr>
          <w:color w:val="231F20"/>
          <w:w w:val="110"/>
        </w:rPr>
        <w:t>So a second chapel was built. In </w:t>
      </w:r>
      <w:r>
        <w:rPr>
          <w:color w:val="231F20"/>
          <w:spacing w:val="-4"/>
          <w:w w:val="110"/>
        </w:rPr>
        <w:t>1875 </w:t>
      </w:r>
      <w:r>
        <w:rPr>
          <w:color w:val="231F20"/>
          <w:w w:val="110"/>
        </w:rPr>
        <w:t>this chapel was sold to the Bible Christians Community, and ‘a building of stone with a tower and </w:t>
      </w:r>
      <w:r>
        <w:rPr>
          <w:color w:val="231F20"/>
          <w:spacing w:val="2"/>
          <w:w w:val="110"/>
        </w:rPr>
        <w:t>attached </w:t>
      </w:r>
      <w:r>
        <w:rPr>
          <w:color w:val="231F20"/>
          <w:w w:val="110"/>
        </w:rPr>
        <w:t>Sunday Schools </w:t>
      </w:r>
      <w:r>
        <w:rPr>
          <w:color w:val="231F20"/>
          <w:spacing w:val="2"/>
          <w:w w:val="110"/>
        </w:rPr>
        <w:t>affording </w:t>
      </w:r>
      <w:r>
        <w:rPr>
          <w:color w:val="231F20"/>
          <w:w w:val="110"/>
        </w:rPr>
        <w:t>650 sittings was </w:t>
      </w:r>
      <w:r>
        <w:rPr>
          <w:color w:val="231F20"/>
          <w:spacing w:val="2"/>
          <w:w w:val="110"/>
        </w:rPr>
        <w:t>erected </w:t>
      </w:r>
      <w:r>
        <w:rPr>
          <w:color w:val="231F20"/>
          <w:w w:val="110"/>
        </w:rPr>
        <w:t>in the Dartmouth Road at a cost of </w:t>
      </w:r>
      <w:r>
        <w:rPr>
          <w:color w:val="231F20"/>
          <w:spacing w:val="-4"/>
          <w:w w:val="110"/>
        </w:rPr>
        <w:t>£2,475 </w:t>
      </w:r>
      <w:r>
        <w:rPr>
          <w:color w:val="231F20"/>
          <w:w w:val="110"/>
        </w:rPr>
        <w:t>plus an annual  ground rent of </w:t>
      </w:r>
      <w:r>
        <w:rPr>
          <w:color w:val="231F20"/>
          <w:spacing w:val="-4"/>
          <w:w w:val="110"/>
        </w:rPr>
        <w:t>10</w:t>
      </w:r>
      <w:r>
        <w:rPr>
          <w:color w:val="231F20"/>
          <w:spacing w:val="3"/>
          <w:w w:val="110"/>
        </w:rPr>
        <w:t> </w:t>
      </w:r>
      <w:r>
        <w:rPr>
          <w:color w:val="231F20"/>
          <w:w w:val="110"/>
        </w:rPr>
        <w:t>guineas.’</w:t>
      </w:r>
    </w:p>
    <w:p>
      <w:pPr>
        <w:pStyle w:val="BodyText"/>
        <w:spacing w:before="9"/>
        <w:rPr>
          <w:sz w:val="20"/>
        </w:rPr>
      </w:pPr>
    </w:p>
    <w:p>
      <w:pPr>
        <w:pStyle w:val="BodyText"/>
        <w:spacing w:before="1"/>
        <w:ind w:left="1240"/>
        <w:jc w:val="both"/>
      </w:pPr>
      <w:r>
        <w:rPr>
          <w:color w:val="231F20"/>
          <w:w w:val="110"/>
        </w:rPr>
        <w:t>‘The seriousness with which the Sacrament of Holy Communion was observed,</w:t>
      </w:r>
      <w:r>
        <w:rPr>
          <w:color w:val="231F20"/>
          <w:spacing w:val="53"/>
          <w:w w:val="110"/>
        </w:rPr>
        <w:t> </w:t>
      </w:r>
      <w:r>
        <w:rPr>
          <w:color w:val="231F20"/>
          <w:w w:val="110"/>
        </w:rPr>
        <w:t>and</w:t>
      </w:r>
    </w:p>
    <w:p>
      <w:pPr>
        <w:pStyle w:val="BodyText"/>
        <w:spacing w:line="273" w:lineRule="auto" w:before="31"/>
        <w:ind w:left="1240" w:right="1219"/>
        <w:jc w:val="both"/>
      </w:pPr>
      <w:r>
        <w:rPr>
          <w:color w:val="231F20"/>
          <w:w w:val="110"/>
        </w:rPr>
        <w:t>the solemnity of it and Church Membership’ resulted in some individuals being excluded at different times </w:t>
      </w:r>
      <w:r>
        <w:rPr>
          <w:color w:val="231F20"/>
          <w:spacing w:val="2"/>
          <w:w w:val="110"/>
        </w:rPr>
        <w:t>because </w:t>
      </w:r>
      <w:r>
        <w:rPr>
          <w:color w:val="231F20"/>
          <w:w w:val="110"/>
        </w:rPr>
        <w:t>of their ‘immoral behaviour’. Moreover, ‘if </w:t>
      </w:r>
      <w:r>
        <w:rPr>
          <w:color w:val="231F20"/>
          <w:spacing w:val="2"/>
          <w:w w:val="110"/>
        </w:rPr>
        <w:t>members </w:t>
      </w:r>
      <w:r>
        <w:rPr>
          <w:color w:val="231F20"/>
          <w:w w:val="110"/>
        </w:rPr>
        <w:t>absented themselves</w:t>
      </w:r>
      <w:r>
        <w:rPr>
          <w:color w:val="231F20"/>
          <w:spacing w:val="11"/>
          <w:w w:val="110"/>
        </w:rPr>
        <w:t> </w:t>
      </w:r>
      <w:r>
        <w:rPr>
          <w:color w:val="231F20"/>
          <w:w w:val="110"/>
        </w:rPr>
        <w:t>without</w:t>
      </w:r>
      <w:r>
        <w:rPr>
          <w:color w:val="231F20"/>
          <w:spacing w:val="11"/>
          <w:w w:val="110"/>
        </w:rPr>
        <w:t> </w:t>
      </w:r>
      <w:r>
        <w:rPr>
          <w:color w:val="231F20"/>
          <w:w w:val="110"/>
        </w:rPr>
        <w:t>avowed</w:t>
      </w:r>
      <w:r>
        <w:rPr>
          <w:color w:val="231F20"/>
          <w:spacing w:val="11"/>
          <w:w w:val="110"/>
        </w:rPr>
        <w:t> </w:t>
      </w:r>
      <w:r>
        <w:rPr>
          <w:color w:val="231F20"/>
          <w:w w:val="110"/>
        </w:rPr>
        <w:t>and</w:t>
      </w:r>
      <w:r>
        <w:rPr>
          <w:color w:val="231F20"/>
          <w:spacing w:val="11"/>
          <w:w w:val="110"/>
        </w:rPr>
        <w:t> </w:t>
      </w:r>
      <w:r>
        <w:rPr>
          <w:color w:val="231F20"/>
          <w:w w:val="110"/>
        </w:rPr>
        <w:t>sufficient</w:t>
      </w:r>
      <w:r>
        <w:rPr>
          <w:color w:val="231F20"/>
          <w:spacing w:val="11"/>
          <w:w w:val="110"/>
        </w:rPr>
        <w:t> </w:t>
      </w:r>
      <w:r>
        <w:rPr>
          <w:color w:val="231F20"/>
          <w:w w:val="110"/>
        </w:rPr>
        <w:t>reasons’</w:t>
      </w:r>
      <w:r>
        <w:rPr>
          <w:color w:val="231F20"/>
          <w:spacing w:val="11"/>
          <w:w w:val="110"/>
        </w:rPr>
        <w:t> </w:t>
      </w:r>
      <w:r>
        <w:rPr>
          <w:color w:val="231F20"/>
          <w:w w:val="110"/>
        </w:rPr>
        <w:t>their</w:t>
      </w:r>
      <w:r>
        <w:rPr>
          <w:color w:val="231F20"/>
          <w:spacing w:val="10"/>
          <w:w w:val="110"/>
        </w:rPr>
        <w:t> </w:t>
      </w:r>
      <w:r>
        <w:rPr>
          <w:color w:val="231F20"/>
          <w:w w:val="110"/>
        </w:rPr>
        <w:t>membership</w:t>
      </w:r>
      <w:r>
        <w:rPr>
          <w:color w:val="231F20"/>
          <w:spacing w:val="10"/>
          <w:w w:val="110"/>
        </w:rPr>
        <w:t> </w:t>
      </w:r>
      <w:r>
        <w:rPr>
          <w:color w:val="231F20"/>
          <w:w w:val="110"/>
        </w:rPr>
        <w:t>was</w:t>
      </w:r>
      <w:r>
        <w:rPr>
          <w:color w:val="231F20"/>
          <w:spacing w:val="11"/>
          <w:w w:val="110"/>
        </w:rPr>
        <w:t> </w:t>
      </w:r>
      <w:r>
        <w:rPr>
          <w:color w:val="231F20"/>
          <w:w w:val="110"/>
        </w:rPr>
        <w:t>withdrawn.</w:t>
      </w:r>
    </w:p>
    <w:p>
      <w:pPr>
        <w:pStyle w:val="BodyText"/>
        <w:spacing w:before="8"/>
        <w:rPr>
          <w:sz w:val="20"/>
        </w:rPr>
      </w:pPr>
    </w:p>
    <w:p>
      <w:pPr>
        <w:pStyle w:val="BodyText"/>
        <w:spacing w:line="273" w:lineRule="auto" w:before="1"/>
        <w:ind w:left="1240" w:right="1143"/>
      </w:pPr>
      <w:r>
        <w:rPr>
          <w:color w:val="231F20"/>
          <w:w w:val="110"/>
        </w:rPr>
        <w:t>In 1831 special meetings were held to ‘pray for deliverance from the dangers of cholera’ which was prevalent in the area. It was ‘resolved that any members be buried in the Chapel Yards free of charge should they die of cholera.’</w:t>
      </w:r>
    </w:p>
    <w:p>
      <w:pPr>
        <w:pStyle w:val="BodyText"/>
        <w:spacing w:before="8"/>
        <w:rPr>
          <w:sz w:val="20"/>
        </w:rPr>
      </w:pPr>
    </w:p>
    <w:p>
      <w:pPr>
        <w:pStyle w:val="BodyText"/>
        <w:spacing w:line="273" w:lineRule="auto" w:before="1"/>
        <w:ind w:left="1240" w:right="1489"/>
      </w:pPr>
      <w:r>
        <w:rPr>
          <w:color w:val="231F20"/>
          <w:w w:val="110"/>
        </w:rPr>
        <w:t>In </w:t>
      </w:r>
      <w:r>
        <w:rPr>
          <w:color w:val="231F20"/>
          <w:spacing w:val="-3"/>
          <w:w w:val="110"/>
        </w:rPr>
        <w:t>1835 </w:t>
      </w:r>
      <w:r>
        <w:rPr>
          <w:color w:val="231F20"/>
          <w:w w:val="110"/>
        </w:rPr>
        <w:t>it was ‘resolved that the votes of all female </w:t>
      </w:r>
      <w:r>
        <w:rPr>
          <w:color w:val="231F20"/>
          <w:spacing w:val="2"/>
          <w:w w:val="110"/>
        </w:rPr>
        <w:t>members </w:t>
      </w:r>
      <w:r>
        <w:rPr>
          <w:color w:val="231F20"/>
          <w:w w:val="110"/>
        </w:rPr>
        <w:t>of the Church be taken  at Church Meeting in all spiritual </w:t>
      </w:r>
      <w:r>
        <w:rPr>
          <w:color w:val="231F20"/>
          <w:spacing w:val="2"/>
          <w:w w:val="110"/>
        </w:rPr>
        <w:t>matters </w:t>
      </w:r>
      <w:r>
        <w:rPr>
          <w:color w:val="231F20"/>
          <w:w w:val="110"/>
        </w:rPr>
        <w:t>and in the choice of ministers’, although they were not allowed to</w:t>
      </w:r>
      <w:r>
        <w:rPr>
          <w:color w:val="231F20"/>
          <w:spacing w:val="4"/>
          <w:w w:val="110"/>
        </w:rPr>
        <w:t> </w:t>
      </w:r>
      <w:r>
        <w:rPr>
          <w:color w:val="231F20"/>
          <w:w w:val="110"/>
        </w:rPr>
        <w:t>speak!</w:t>
      </w:r>
    </w:p>
    <w:p>
      <w:pPr>
        <w:pStyle w:val="BodyText"/>
        <w:spacing w:before="8"/>
        <w:rPr>
          <w:sz w:val="20"/>
        </w:rPr>
      </w:pPr>
    </w:p>
    <w:p>
      <w:pPr>
        <w:pStyle w:val="ListParagraph"/>
        <w:numPr>
          <w:ilvl w:val="1"/>
          <w:numId w:val="20"/>
        </w:numPr>
        <w:tabs>
          <w:tab w:pos="1960" w:val="left" w:leader="none"/>
          <w:tab w:pos="1961" w:val="left" w:leader="none"/>
        </w:tabs>
        <w:spacing w:line="273" w:lineRule="auto" w:before="0" w:after="0"/>
        <w:ind w:left="1240" w:right="1456" w:firstLine="0"/>
        <w:jc w:val="left"/>
        <w:rPr>
          <w:sz w:val="18"/>
        </w:rPr>
      </w:pPr>
      <w:r>
        <w:rPr>
          <w:color w:val="231F20"/>
          <w:spacing w:val="2"/>
          <w:w w:val="110"/>
          <w:sz w:val="18"/>
        </w:rPr>
        <w:t>There </w:t>
      </w:r>
      <w:r>
        <w:rPr>
          <w:color w:val="231F20"/>
          <w:w w:val="110"/>
          <w:sz w:val="18"/>
        </w:rPr>
        <w:t>was a </w:t>
      </w:r>
      <w:r>
        <w:rPr>
          <w:color w:val="231F20"/>
          <w:spacing w:val="2"/>
          <w:w w:val="110"/>
          <w:sz w:val="18"/>
        </w:rPr>
        <w:t>strong </w:t>
      </w:r>
      <w:r>
        <w:rPr>
          <w:color w:val="231F20"/>
          <w:w w:val="110"/>
          <w:sz w:val="18"/>
        </w:rPr>
        <w:t>tradition of helping outside bodies, both national and local, through financial and </w:t>
      </w:r>
      <w:r>
        <w:rPr>
          <w:color w:val="231F20"/>
          <w:spacing w:val="2"/>
          <w:w w:val="110"/>
          <w:sz w:val="18"/>
        </w:rPr>
        <w:t>personnel support </w:t>
      </w:r>
      <w:r>
        <w:rPr>
          <w:color w:val="231F20"/>
          <w:w w:val="110"/>
          <w:sz w:val="18"/>
        </w:rPr>
        <w:t>throughout the Church’s life. Such activities included financial contributions to the local hospital and supporting a petition against Council plans to allow Sunday cricket in a local park. In </w:t>
      </w:r>
      <w:r>
        <w:rPr>
          <w:color w:val="231F20"/>
          <w:spacing w:val="-4"/>
          <w:w w:val="110"/>
          <w:sz w:val="18"/>
        </w:rPr>
        <w:t>1947 </w:t>
      </w:r>
      <w:r>
        <w:rPr>
          <w:color w:val="231F20"/>
          <w:w w:val="110"/>
          <w:sz w:val="18"/>
        </w:rPr>
        <w:t>the Church joined the United Nations Association and appointed two representatives to the Paignton Civic Fund. In 1948 2,000 ship halfpennies were collected by the young people of the Pilots and Girls’ Life Brigade for the John Williams </w:t>
      </w:r>
      <w:r>
        <w:rPr>
          <w:color w:val="231F20"/>
          <w:spacing w:val="2"/>
          <w:w w:val="110"/>
          <w:sz w:val="18"/>
        </w:rPr>
        <w:t>VI </w:t>
      </w:r>
      <w:r>
        <w:rPr>
          <w:color w:val="231F20"/>
          <w:w w:val="110"/>
          <w:sz w:val="18"/>
        </w:rPr>
        <w:t>missionary</w:t>
      </w:r>
      <w:r>
        <w:rPr>
          <w:color w:val="231F20"/>
          <w:spacing w:val="29"/>
          <w:w w:val="110"/>
          <w:sz w:val="18"/>
        </w:rPr>
        <w:t> </w:t>
      </w:r>
      <w:r>
        <w:rPr>
          <w:color w:val="231F20"/>
          <w:w w:val="110"/>
          <w:sz w:val="18"/>
        </w:rPr>
        <w:t>ship.</w:t>
      </w:r>
    </w:p>
    <w:p>
      <w:pPr>
        <w:pStyle w:val="BodyText"/>
        <w:spacing w:before="11"/>
        <w:rPr>
          <w:sz w:val="20"/>
        </w:rPr>
      </w:pPr>
    </w:p>
    <w:p>
      <w:pPr>
        <w:pStyle w:val="ListParagraph"/>
        <w:numPr>
          <w:ilvl w:val="1"/>
          <w:numId w:val="20"/>
        </w:numPr>
        <w:tabs>
          <w:tab w:pos="1960" w:val="left" w:leader="none"/>
          <w:tab w:pos="1961" w:val="left" w:leader="none"/>
        </w:tabs>
        <w:spacing w:line="273" w:lineRule="auto" w:before="0" w:after="0"/>
        <w:ind w:left="1240" w:right="1294" w:firstLine="0"/>
        <w:jc w:val="left"/>
        <w:rPr>
          <w:sz w:val="18"/>
        </w:rPr>
      </w:pPr>
      <w:r>
        <w:rPr>
          <w:color w:val="231F20"/>
          <w:w w:val="110"/>
          <w:sz w:val="18"/>
        </w:rPr>
        <w:t>Soon </w:t>
      </w:r>
      <w:r>
        <w:rPr>
          <w:color w:val="231F20"/>
          <w:spacing w:val="2"/>
          <w:w w:val="110"/>
          <w:sz w:val="18"/>
        </w:rPr>
        <w:t>after </w:t>
      </w:r>
      <w:r>
        <w:rPr>
          <w:color w:val="231F20"/>
          <w:w w:val="110"/>
          <w:sz w:val="18"/>
        </w:rPr>
        <w:t>the Church was built, there were ‘problems with gas and heating pipes, the tower let in </w:t>
      </w:r>
      <w:r>
        <w:rPr>
          <w:color w:val="231F20"/>
          <w:spacing w:val="-3"/>
          <w:w w:val="110"/>
          <w:sz w:val="18"/>
        </w:rPr>
        <w:t>water, </w:t>
      </w:r>
      <w:r>
        <w:rPr>
          <w:color w:val="231F20"/>
          <w:w w:val="110"/>
          <w:sz w:val="18"/>
        </w:rPr>
        <w:t>the ventilators let in draughts and the acoustics were  </w:t>
      </w:r>
      <w:r>
        <w:rPr>
          <w:color w:val="231F20"/>
          <w:spacing w:val="-4"/>
          <w:w w:val="110"/>
          <w:sz w:val="18"/>
        </w:rPr>
        <w:t>poor.’ </w:t>
      </w:r>
      <w:r>
        <w:rPr>
          <w:color w:val="231F20"/>
          <w:w w:val="110"/>
          <w:sz w:val="18"/>
        </w:rPr>
        <w:t>In </w:t>
      </w:r>
      <w:r>
        <w:rPr>
          <w:color w:val="231F20"/>
          <w:spacing w:val="-4"/>
          <w:w w:val="110"/>
          <w:sz w:val="18"/>
        </w:rPr>
        <w:t>1947 </w:t>
      </w:r>
      <w:r>
        <w:rPr>
          <w:color w:val="231F20"/>
          <w:w w:val="110"/>
          <w:sz w:val="18"/>
        </w:rPr>
        <w:t>the tower </w:t>
      </w:r>
      <w:r>
        <w:rPr>
          <w:color w:val="231F20"/>
          <w:spacing w:val="2"/>
          <w:w w:val="110"/>
          <w:sz w:val="18"/>
        </w:rPr>
        <w:t>suffered from </w:t>
      </w:r>
      <w:r>
        <w:rPr>
          <w:color w:val="231F20"/>
          <w:w w:val="110"/>
          <w:sz w:val="18"/>
        </w:rPr>
        <w:t>storm damage and slipped slates caused water damage which resulted in the organ being out of </w:t>
      </w:r>
      <w:r>
        <w:rPr>
          <w:color w:val="231F20"/>
          <w:spacing w:val="2"/>
          <w:w w:val="110"/>
          <w:sz w:val="18"/>
        </w:rPr>
        <w:t>action </w:t>
      </w:r>
      <w:r>
        <w:rPr>
          <w:color w:val="231F20"/>
          <w:w w:val="110"/>
          <w:sz w:val="18"/>
        </w:rPr>
        <w:t>for many months. In recent years vandalism has added to the problems, and the increasing cost of maintaining the building by a dwindling and ageing congregation had become a heavy burden. So it   was</w:t>
      </w:r>
      <w:r>
        <w:rPr>
          <w:color w:val="231F20"/>
          <w:spacing w:val="7"/>
          <w:w w:val="110"/>
          <w:sz w:val="18"/>
        </w:rPr>
        <w:t> </w:t>
      </w:r>
      <w:r>
        <w:rPr>
          <w:color w:val="231F20"/>
          <w:w w:val="110"/>
          <w:sz w:val="18"/>
        </w:rPr>
        <w:t>decided,</w:t>
      </w:r>
      <w:r>
        <w:rPr>
          <w:color w:val="231F20"/>
          <w:spacing w:val="7"/>
          <w:w w:val="110"/>
          <w:sz w:val="18"/>
        </w:rPr>
        <w:t> </w:t>
      </w:r>
      <w:r>
        <w:rPr>
          <w:color w:val="231F20"/>
          <w:spacing w:val="-3"/>
          <w:w w:val="110"/>
          <w:sz w:val="18"/>
        </w:rPr>
        <w:t>sadly,</w:t>
      </w:r>
      <w:r>
        <w:rPr>
          <w:color w:val="231F20"/>
          <w:spacing w:val="7"/>
          <w:w w:val="110"/>
          <w:sz w:val="18"/>
        </w:rPr>
        <w:t> </w:t>
      </w:r>
      <w:r>
        <w:rPr>
          <w:color w:val="231F20"/>
          <w:w w:val="110"/>
          <w:sz w:val="18"/>
        </w:rPr>
        <w:t>to</w:t>
      </w:r>
      <w:r>
        <w:rPr>
          <w:color w:val="231F20"/>
          <w:spacing w:val="7"/>
          <w:w w:val="110"/>
          <w:sz w:val="18"/>
        </w:rPr>
        <w:t> </w:t>
      </w:r>
      <w:r>
        <w:rPr>
          <w:color w:val="231F20"/>
          <w:w w:val="110"/>
          <w:sz w:val="18"/>
        </w:rPr>
        <w:t>hold</w:t>
      </w:r>
      <w:r>
        <w:rPr>
          <w:color w:val="231F20"/>
          <w:spacing w:val="7"/>
          <w:w w:val="110"/>
          <w:sz w:val="18"/>
        </w:rPr>
        <w:t> </w:t>
      </w:r>
      <w:r>
        <w:rPr>
          <w:color w:val="231F20"/>
          <w:w w:val="110"/>
          <w:sz w:val="18"/>
        </w:rPr>
        <w:t>a</w:t>
      </w:r>
      <w:r>
        <w:rPr>
          <w:color w:val="231F20"/>
          <w:spacing w:val="7"/>
          <w:w w:val="110"/>
          <w:sz w:val="18"/>
        </w:rPr>
        <w:t> </w:t>
      </w:r>
      <w:r>
        <w:rPr>
          <w:color w:val="231F20"/>
          <w:w w:val="110"/>
          <w:sz w:val="18"/>
        </w:rPr>
        <w:t>final</w:t>
      </w:r>
      <w:r>
        <w:rPr>
          <w:color w:val="231F20"/>
          <w:spacing w:val="7"/>
          <w:w w:val="110"/>
          <w:sz w:val="18"/>
        </w:rPr>
        <w:t> </w:t>
      </w:r>
      <w:r>
        <w:rPr>
          <w:color w:val="231F20"/>
          <w:spacing w:val="2"/>
          <w:w w:val="110"/>
          <w:sz w:val="18"/>
        </w:rPr>
        <w:t>Service</w:t>
      </w:r>
      <w:r>
        <w:rPr>
          <w:color w:val="231F20"/>
          <w:spacing w:val="7"/>
          <w:w w:val="110"/>
          <w:sz w:val="18"/>
        </w:rPr>
        <w:t> </w:t>
      </w:r>
      <w:r>
        <w:rPr>
          <w:color w:val="231F20"/>
          <w:w w:val="110"/>
          <w:sz w:val="18"/>
        </w:rPr>
        <w:t>at</w:t>
      </w:r>
      <w:r>
        <w:rPr>
          <w:color w:val="231F20"/>
          <w:spacing w:val="7"/>
          <w:w w:val="110"/>
          <w:sz w:val="18"/>
        </w:rPr>
        <w:t> </w:t>
      </w:r>
      <w:r>
        <w:rPr>
          <w:color w:val="231F20"/>
          <w:w w:val="110"/>
          <w:sz w:val="18"/>
        </w:rPr>
        <w:t>the</w:t>
      </w:r>
      <w:r>
        <w:rPr>
          <w:color w:val="231F20"/>
          <w:spacing w:val="7"/>
          <w:w w:val="110"/>
          <w:sz w:val="18"/>
        </w:rPr>
        <w:t> </w:t>
      </w:r>
      <w:r>
        <w:rPr>
          <w:color w:val="231F20"/>
          <w:w w:val="110"/>
          <w:sz w:val="18"/>
        </w:rPr>
        <w:t>end</w:t>
      </w:r>
      <w:r>
        <w:rPr>
          <w:color w:val="231F20"/>
          <w:spacing w:val="8"/>
          <w:w w:val="110"/>
          <w:sz w:val="18"/>
        </w:rPr>
        <w:t> </w:t>
      </w:r>
      <w:r>
        <w:rPr>
          <w:color w:val="231F20"/>
          <w:w w:val="110"/>
          <w:sz w:val="18"/>
        </w:rPr>
        <w:t>of</w:t>
      </w:r>
      <w:r>
        <w:rPr>
          <w:color w:val="231F20"/>
          <w:spacing w:val="7"/>
          <w:w w:val="110"/>
          <w:sz w:val="18"/>
        </w:rPr>
        <w:t> </w:t>
      </w:r>
      <w:r>
        <w:rPr>
          <w:color w:val="231F20"/>
          <w:w w:val="110"/>
          <w:sz w:val="18"/>
        </w:rPr>
        <w:t>June</w:t>
      </w:r>
      <w:r>
        <w:rPr>
          <w:color w:val="231F20"/>
          <w:spacing w:val="7"/>
          <w:w w:val="110"/>
          <w:sz w:val="18"/>
        </w:rPr>
        <w:t> </w:t>
      </w:r>
      <w:r>
        <w:rPr>
          <w:color w:val="231F20"/>
          <w:w w:val="110"/>
          <w:sz w:val="18"/>
        </w:rPr>
        <w:t>2006.</w:t>
      </w:r>
      <w:r>
        <w:rPr>
          <w:color w:val="231F20"/>
          <w:spacing w:val="7"/>
          <w:w w:val="110"/>
          <w:sz w:val="18"/>
        </w:rPr>
        <w:t> </w:t>
      </w:r>
      <w:r>
        <w:rPr>
          <w:color w:val="231F20"/>
          <w:w w:val="110"/>
          <w:sz w:val="18"/>
        </w:rPr>
        <w:t>But,</w:t>
      </w:r>
      <w:r>
        <w:rPr>
          <w:color w:val="231F20"/>
          <w:spacing w:val="7"/>
          <w:w w:val="110"/>
          <w:sz w:val="18"/>
        </w:rPr>
        <w:t> </w:t>
      </w:r>
      <w:r>
        <w:rPr>
          <w:color w:val="231F20"/>
          <w:w w:val="110"/>
          <w:sz w:val="18"/>
        </w:rPr>
        <w:t>to</w:t>
      </w:r>
      <w:r>
        <w:rPr>
          <w:color w:val="231F20"/>
          <w:spacing w:val="7"/>
          <w:w w:val="110"/>
          <w:sz w:val="18"/>
        </w:rPr>
        <w:t> </w:t>
      </w:r>
      <w:r>
        <w:rPr>
          <w:color w:val="231F20"/>
          <w:w w:val="110"/>
          <w:sz w:val="18"/>
        </w:rPr>
        <w:t>quote</w:t>
      </w:r>
      <w:r>
        <w:rPr>
          <w:color w:val="231F20"/>
          <w:spacing w:val="7"/>
          <w:w w:val="110"/>
          <w:sz w:val="18"/>
        </w:rPr>
        <w:t> </w:t>
      </w:r>
      <w:r>
        <w:rPr>
          <w:color w:val="231F20"/>
          <w:w w:val="110"/>
          <w:sz w:val="18"/>
        </w:rPr>
        <w:t>words</w:t>
      </w:r>
    </w:p>
    <w:p>
      <w:pPr>
        <w:pStyle w:val="BodyText"/>
        <w:spacing w:line="273" w:lineRule="auto" w:before="5"/>
        <w:ind w:left="1240" w:right="1279"/>
      </w:pPr>
      <w:r>
        <w:rPr>
          <w:color w:val="231F20"/>
          <w:spacing w:val="2"/>
          <w:w w:val="110"/>
        </w:rPr>
        <w:t>written </w:t>
      </w:r>
      <w:r>
        <w:rPr>
          <w:color w:val="231F20"/>
          <w:w w:val="110"/>
        </w:rPr>
        <w:t>in 1944, ‘We owe a great debt of gratitude to the faithful </w:t>
      </w:r>
      <w:r>
        <w:rPr>
          <w:color w:val="231F20"/>
          <w:spacing w:val="2"/>
          <w:w w:val="110"/>
        </w:rPr>
        <w:t>servants </w:t>
      </w:r>
      <w:r>
        <w:rPr>
          <w:color w:val="231F20"/>
          <w:w w:val="110"/>
        </w:rPr>
        <w:t>of God who in past years formed such Churches…for their fidelity to God and devotion to the cause… and their preaching the Gospel of Christ which is still as ever the power of God unto salvation to everyone that</w:t>
      </w:r>
      <w:r>
        <w:rPr>
          <w:color w:val="231F20"/>
          <w:spacing w:val="4"/>
          <w:w w:val="110"/>
        </w:rPr>
        <w:t> </w:t>
      </w:r>
      <w:r>
        <w:rPr>
          <w:color w:val="231F20"/>
          <w:w w:val="110"/>
        </w:rPr>
        <w:t>believeth.’</w:t>
      </w:r>
    </w:p>
    <w:p>
      <w:pPr>
        <w:spacing w:after="0" w:line="273" w:lineRule="auto"/>
        <w:sectPr>
          <w:pgSz w:w="11910" w:h="16840"/>
          <w:pgMar w:header="558" w:footer="564" w:top="820" w:bottom="760" w:left="460" w:right="0"/>
        </w:sectPr>
      </w:pPr>
    </w:p>
    <w:p>
      <w:pPr>
        <w:pStyle w:val="BodyText"/>
        <w:spacing w:before="5"/>
        <w:rPr>
          <w:sz w:val="12"/>
        </w:rPr>
      </w:pPr>
    </w:p>
    <w:p>
      <w:pPr>
        <w:pStyle w:val="Heading9"/>
        <w:spacing w:before="98"/>
        <w:ind w:left="673"/>
      </w:pPr>
      <w:r>
        <w:rPr>
          <w:color w:val="231F20"/>
          <w:w w:val="110"/>
        </w:rPr>
        <w:t>Ventnor URC – Wessex Synod</w:t>
      </w:r>
    </w:p>
    <w:p>
      <w:pPr>
        <w:pStyle w:val="ListParagraph"/>
        <w:numPr>
          <w:ilvl w:val="1"/>
          <w:numId w:val="21"/>
        </w:numPr>
        <w:tabs>
          <w:tab w:pos="1393" w:val="left" w:leader="none"/>
          <w:tab w:pos="1394" w:val="left" w:leader="none"/>
        </w:tabs>
        <w:spacing w:line="273" w:lineRule="auto" w:before="258" w:after="0"/>
        <w:ind w:left="673" w:right="1895" w:firstLine="0"/>
        <w:jc w:val="left"/>
        <w:rPr>
          <w:sz w:val="18"/>
        </w:rPr>
      </w:pPr>
      <w:r>
        <w:rPr>
          <w:color w:val="231F20"/>
          <w:w w:val="110"/>
          <w:sz w:val="18"/>
        </w:rPr>
        <w:t>A chapel was </w:t>
      </w:r>
      <w:r>
        <w:rPr>
          <w:color w:val="231F20"/>
          <w:spacing w:val="2"/>
          <w:w w:val="110"/>
          <w:sz w:val="18"/>
        </w:rPr>
        <w:t>erected </w:t>
      </w:r>
      <w:r>
        <w:rPr>
          <w:color w:val="231F20"/>
          <w:w w:val="110"/>
          <w:sz w:val="18"/>
        </w:rPr>
        <w:t>on the site, at a cost of £500 and opened in September 1836.  This was demolished in </w:t>
      </w:r>
      <w:r>
        <w:rPr>
          <w:color w:val="231F20"/>
          <w:spacing w:val="-3"/>
          <w:w w:val="110"/>
          <w:sz w:val="18"/>
        </w:rPr>
        <w:t>1853 </w:t>
      </w:r>
      <w:r>
        <w:rPr>
          <w:color w:val="231F20"/>
          <w:w w:val="110"/>
          <w:sz w:val="18"/>
        </w:rPr>
        <w:t>and a new church built on the same site at a cost  of £2,300. The organ was a gift </w:t>
      </w:r>
      <w:r>
        <w:rPr>
          <w:color w:val="231F20"/>
          <w:spacing w:val="2"/>
          <w:w w:val="110"/>
          <w:sz w:val="18"/>
        </w:rPr>
        <w:t>from </w:t>
      </w:r>
      <w:r>
        <w:rPr>
          <w:color w:val="231F20"/>
          <w:w w:val="110"/>
          <w:sz w:val="18"/>
        </w:rPr>
        <w:t>Mr Edward Thompson along with the three-bayed stained-glass window in the organ chamber. The new church opened on the 4</w:t>
      </w:r>
      <w:r>
        <w:rPr>
          <w:color w:val="231F20"/>
          <w:w w:val="110"/>
          <w:position w:val="6"/>
          <w:sz w:val="10"/>
        </w:rPr>
        <w:t>th </w:t>
      </w:r>
      <w:r>
        <w:rPr>
          <w:color w:val="231F20"/>
          <w:w w:val="110"/>
          <w:sz w:val="18"/>
        </w:rPr>
        <w:t>August 1854. It was enlarged in </w:t>
      </w:r>
      <w:r>
        <w:rPr>
          <w:color w:val="231F20"/>
          <w:spacing w:val="-3"/>
          <w:w w:val="110"/>
          <w:sz w:val="18"/>
        </w:rPr>
        <w:t>1872 </w:t>
      </w:r>
      <w:r>
        <w:rPr>
          <w:color w:val="231F20"/>
          <w:w w:val="110"/>
          <w:sz w:val="18"/>
        </w:rPr>
        <w:t>and again in</w:t>
      </w:r>
      <w:r>
        <w:rPr>
          <w:color w:val="231F20"/>
          <w:spacing w:val="15"/>
          <w:w w:val="110"/>
          <w:sz w:val="18"/>
        </w:rPr>
        <w:t> </w:t>
      </w:r>
      <w:r>
        <w:rPr>
          <w:color w:val="231F20"/>
          <w:spacing w:val="-4"/>
          <w:w w:val="110"/>
          <w:sz w:val="18"/>
        </w:rPr>
        <w:t>1881.</w:t>
      </w:r>
    </w:p>
    <w:p>
      <w:pPr>
        <w:pStyle w:val="BodyText"/>
        <w:spacing w:before="10"/>
        <w:rPr>
          <w:sz w:val="20"/>
        </w:rPr>
      </w:pPr>
    </w:p>
    <w:p>
      <w:pPr>
        <w:pStyle w:val="ListParagraph"/>
        <w:numPr>
          <w:ilvl w:val="1"/>
          <w:numId w:val="21"/>
        </w:numPr>
        <w:tabs>
          <w:tab w:pos="1393" w:val="left" w:leader="none"/>
          <w:tab w:pos="1394" w:val="left" w:leader="none"/>
        </w:tabs>
        <w:spacing w:line="273" w:lineRule="auto" w:before="0" w:after="0"/>
        <w:ind w:left="673" w:right="1711" w:hanging="1"/>
        <w:jc w:val="left"/>
        <w:rPr>
          <w:sz w:val="18"/>
        </w:rPr>
      </w:pPr>
      <w:r>
        <w:rPr>
          <w:color w:val="231F20"/>
          <w:w w:val="110"/>
          <w:sz w:val="18"/>
        </w:rPr>
        <w:t>The organ was destroyed by enemy </w:t>
      </w:r>
      <w:r>
        <w:rPr>
          <w:color w:val="231F20"/>
          <w:spacing w:val="2"/>
          <w:w w:val="110"/>
          <w:sz w:val="18"/>
        </w:rPr>
        <w:t>action </w:t>
      </w:r>
      <w:r>
        <w:rPr>
          <w:color w:val="231F20"/>
          <w:w w:val="110"/>
          <w:sz w:val="18"/>
        </w:rPr>
        <w:t>in September </w:t>
      </w:r>
      <w:r>
        <w:rPr>
          <w:color w:val="231F20"/>
          <w:spacing w:val="-3"/>
          <w:w w:val="110"/>
          <w:sz w:val="18"/>
        </w:rPr>
        <w:t>1942 </w:t>
      </w:r>
      <w:r>
        <w:rPr>
          <w:color w:val="231F20"/>
          <w:w w:val="110"/>
          <w:sz w:val="18"/>
        </w:rPr>
        <w:t>which also made  the church unusable. The congregation then worshipped with the Baptists for four years until the church hall was repaired in 1946 and the congregation returned to worship  there. In 1948 it was decided to rebuild the church and an appeal was </w:t>
      </w:r>
      <w:r>
        <w:rPr>
          <w:color w:val="231F20"/>
          <w:spacing w:val="3"/>
          <w:w w:val="110"/>
          <w:sz w:val="18"/>
        </w:rPr>
        <w:t>started </w:t>
      </w:r>
      <w:r>
        <w:rPr>
          <w:color w:val="231F20"/>
          <w:w w:val="110"/>
          <w:sz w:val="18"/>
        </w:rPr>
        <w:t>to raise  the remaining £3,034 needed to meet the total cost of </w:t>
      </w:r>
      <w:r>
        <w:rPr>
          <w:color w:val="231F20"/>
          <w:spacing w:val="-3"/>
          <w:w w:val="110"/>
          <w:sz w:val="18"/>
        </w:rPr>
        <w:t>£14,500 </w:t>
      </w:r>
      <w:r>
        <w:rPr>
          <w:color w:val="231F20"/>
          <w:w w:val="110"/>
          <w:sz w:val="18"/>
        </w:rPr>
        <w:t>for the</w:t>
      </w:r>
      <w:r>
        <w:rPr>
          <w:color w:val="231F20"/>
          <w:spacing w:val="64"/>
          <w:w w:val="110"/>
          <w:sz w:val="18"/>
        </w:rPr>
        <w:t> </w:t>
      </w:r>
      <w:r>
        <w:rPr>
          <w:color w:val="231F20"/>
          <w:w w:val="110"/>
          <w:sz w:val="18"/>
        </w:rPr>
        <w:t>rebuild.</w:t>
      </w:r>
    </w:p>
    <w:p>
      <w:pPr>
        <w:pStyle w:val="BodyText"/>
        <w:spacing w:before="10"/>
        <w:rPr>
          <w:sz w:val="20"/>
        </w:rPr>
      </w:pPr>
    </w:p>
    <w:p>
      <w:pPr>
        <w:pStyle w:val="ListParagraph"/>
        <w:numPr>
          <w:ilvl w:val="1"/>
          <w:numId w:val="21"/>
        </w:numPr>
        <w:tabs>
          <w:tab w:pos="1393" w:val="left" w:leader="none"/>
          <w:tab w:pos="1394" w:val="left" w:leader="none"/>
        </w:tabs>
        <w:spacing w:line="273" w:lineRule="auto" w:before="0" w:after="0"/>
        <w:ind w:left="673" w:right="1890" w:firstLine="0"/>
        <w:jc w:val="left"/>
        <w:rPr>
          <w:sz w:val="18"/>
        </w:rPr>
      </w:pPr>
      <w:r>
        <w:rPr>
          <w:color w:val="231F20"/>
          <w:w w:val="110"/>
          <w:sz w:val="18"/>
        </w:rPr>
        <w:t>In September </w:t>
      </w:r>
      <w:r>
        <w:rPr>
          <w:color w:val="231F20"/>
          <w:spacing w:val="-5"/>
          <w:w w:val="110"/>
          <w:sz w:val="18"/>
        </w:rPr>
        <w:t>1976 </w:t>
      </w:r>
      <w:r>
        <w:rPr>
          <w:color w:val="231F20"/>
          <w:w w:val="110"/>
          <w:sz w:val="18"/>
        </w:rPr>
        <w:t>a </w:t>
      </w:r>
      <w:r>
        <w:rPr>
          <w:color w:val="231F20"/>
          <w:spacing w:val="2"/>
          <w:w w:val="110"/>
          <w:sz w:val="18"/>
        </w:rPr>
        <w:t>Local </w:t>
      </w:r>
      <w:r>
        <w:rPr>
          <w:color w:val="231F20"/>
          <w:w w:val="110"/>
          <w:sz w:val="18"/>
        </w:rPr>
        <w:t>Ecumenical Partnership was established with the Methodist Church, using their building. On 23 </w:t>
      </w:r>
      <w:r>
        <w:rPr>
          <w:color w:val="231F20"/>
          <w:spacing w:val="2"/>
          <w:w w:val="110"/>
          <w:sz w:val="18"/>
        </w:rPr>
        <w:t>February </w:t>
      </w:r>
      <w:r>
        <w:rPr>
          <w:color w:val="231F20"/>
          <w:w w:val="110"/>
          <w:sz w:val="18"/>
        </w:rPr>
        <w:t>2006 the church meeting voted unanimously to end the Partnership. </w:t>
      </w:r>
      <w:r>
        <w:rPr>
          <w:color w:val="231F20"/>
          <w:spacing w:val="2"/>
          <w:w w:val="110"/>
          <w:sz w:val="18"/>
        </w:rPr>
        <w:t>After </w:t>
      </w:r>
      <w:r>
        <w:rPr>
          <w:color w:val="231F20"/>
          <w:w w:val="110"/>
          <w:sz w:val="18"/>
        </w:rPr>
        <w:t>discussions and following the ending of the sharing agreement, this has taken </w:t>
      </w:r>
      <w:r>
        <w:rPr>
          <w:color w:val="231F20"/>
          <w:spacing w:val="3"/>
          <w:w w:val="110"/>
          <w:sz w:val="18"/>
        </w:rPr>
        <w:t>effect </w:t>
      </w:r>
      <w:r>
        <w:rPr>
          <w:color w:val="231F20"/>
          <w:spacing w:val="2"/>
          <w:w w:val="110"/>
          <w:sz w:val="18"/>
        </w:rPr>
        <w:t>from </w:t>
      </w:r>
      <w:r>
        <w:rPr>
          <w:color w:val="231F20"/>
          <w:w w:val="110"/>
          <w:sz w:val="18"/>
        </w:rPr>
        <w:t>1 May</w:t>
      </w:r>
      <w:r>
        <w:rPr>
          <w:color w:val="231F20"/>
          <w:spacing w:val="15"/>
          <w:w w:val="110"/>
          <w:sz w:val="18"/>
        </w:rPr>
        <w:t> </w:t>
      </w:r>
      <w:r>
        <w:rPr>
          <w:color w:val="231F20"/>
          <w:spacing w:val="-6"/>
          <w:w w:val="110"/>
          <w:sz w:val="18"/>
        </w:rPr>
        <w:t>2007.</w:t>
      </w:r>
    </w:p>
    <w:p>
      <w:pPr>
        <w:pStyle w:val="BodyText"/>
        <w:rPr>
          <w:sz w:val="22"/>
        </w:rPr>
      </w:pPr>
    </w:p>
    <w:p>
      <w:pPr>
        <w:pStyle w:val="BodyText"/>
        <w:rPr>
          <w:sz w:val="22"/>
        </w:rPr>
      </w:pPr>
    </w:p>
    <w:p>
      <w:pPr>
        <w:pStyle w:val="BodyText"/>
        <w:spacing w:before="10"/>
        <w:rPr>
          <w:sz w:val="17"/>
        </w:rPr>
      </w:pPr>
    </w:p>
    <w:p>
      <w:pPr>
        <w:pStyle w:val="Heading9"/>
        <w:spacing w:line="244" w:lineRule="auto" w:before="1"/>
        <w:ind w:left="673" w:right="2256"/>
      </w:pPr>
      <w:r>
        <w:rPr>
          <w:color w:val="231F20"/>
          <w:w w:val="110"/>
        </w:rPr>
        <w:t>Dodington United Reformed Church Whitchurch, Shropshire – West Midlands Synod</w:t>
      </w:r>
    </w:p>
    <w:p>
      <w:pPr>
        <w:pStyle w:val="ListParagraph"/>
        <w:numPr>
          <w:ilvl w:val="1"/>
          <w:numId w:val="22"/>
        </w:numPr>
        <w:tabs>
          <w:tab w:pos="1393" w:val="left" w:leader="none"/>
          <w:tab w:pos="1394" w:val="left" w:leader="none"/>
        </w:tabs>
        <w:spacing w:line="273" w:lineRule="auto" w:before="251" w:after="0"/>
        <w:ind w:left="673" w:right="1831" w:firstLine="0"/>
        <w:jc w:val="left"/>
        <w:rPr>
          <w:sz w:val="18"/>
        </w:rPr>
      </w:pPr>
      <w:r>
        <w:rPr>
          <w:color w:val="231F20"/>
          <w:w w:val="110"/>
          <w:sz w:val="18"/>
        </w:rPr>
        <w:t>The Cause began in </w:t>
      </w:r>
      <w:r>
        <w:rPr>
          <w:color w:val="231F20"/>
          <w:spacing w:val="-3"/>
          <w:w w:val="110"/>
          <w:sz w:val="18"/>
        </w:rPr>
        <w:t>1662 </w:t>
      </w:r>
      <w:r>
        <w:rPr>
          <w:color w:val="231F20"/>
          <w:w w:val="110"/>
          <w:sz w:val="18"/>
        </w:rPr>
        <w:t>by Revd Philip Henry. A meeting house was opened for worship in </w:t>
      </w:r>
      <w:r>
        <w:rPr>
          <w:color w:val="231F20"/>
          <w:spacing w:val="-3"/>
          <w:w w:val="110"/>
          <w:sz w:val="18"/>
        </w:rPr>
        <w:t>1798 </w:t>
      </w:r>
      <w:r>
        <w:rPr>
          <w:color w:val="231F20"/>
          <w:w w:val="110"/>
          <w:sz w:val="18"/>
        </w:rPr>
        <w:t>with the sermon preached by Matthew</w:t>
      </w:r>
      <w:r>
        <w:rPr>
          <w:color w:val="231F20"/>
          <w:spacing w:val="29"/>
          <w:w w:val="110"/>
          <w:sz w:val="18"/>
        </w:rPr>
        <w:t> </w:t>
      </w:r>
      <w:r>
        <w:rPr>
          <w:color w:val="231F20"/>
          <w:w w:val="110"/>
          <w:sz w:val="18"/>
        </w:rPr>
        <w:t>Henry.</w:t>
      </w:r>
    </w:p>
    <w:p>
      <w:pPr>
        <w:pStyle w:val="BodyText"/>
        <w:spacing w:before="8"/>
        <w:rPr>
          <w:sz w:val="20"/>
        </w:rPr>
      </w:pPr>
    </w:p>
    <w:p>
      <w:pPr>
        <w:pStyle w:val="ListParagraph"/>
        <w:numPr>
          <w:ilvl w:val="1"/>
          <w:numId w:val="22"/>
        </w:numPr>
        <w:tabs>
          <w:tab w:pos="1393" w:val="left" w:leader="none"/>
          <w:tab w:pos="1394" w:val="left" w:leader="none"/>
        </w:tabs>
        <w:spacing w:line="273" w:lineRule="auto" w:before="0" w:after="0"/>
        <w:ind w:left="673" w:right="1698" w:hanging="1"/>
        <w:jc w:val="left"/>
        <w:rPr>
          <w:sz w:val="18"/>
        </w:rPr>
      </w:pPr>
      <w:r>
        <w:rPr>
          <w:color w:val="231F20"/>
          <w:w w:val="110"/>
          <w:sz w:val="18"/>
        </w:rPr>
        <w:t>The present building was opened in </w:t>
      </w:r>
      <w:r>
        <w:rPr>
          <w:color w:val="231F20"/>
          <w:spacing w:val="-3"/>
          <w:w w:val="110"/>
          <w:sz w:val="18"/>
        </w:rPr>
        <w:t>1847 </w:t>
      </w:r>
      <w:r>
        <w:rPr>
          <w:color w:val="231F20"/>
          <w:w w:val="110"/>
          <w:sz w:val="18"/>
        </w:rPr>
        <w:t>by Dr Raffles. It has been lovingly </w:t>
      </w:r>
      <w:r>
        <w:rPr>
          <w:color w:val="231F20"/>
          <w:spacing w:val="2"/>
          <w:w w:val="110"/>
          <w:sz w:val="18"/>
        </w:rPr>
        <w:t>cared </w:t>
      </w:r>
      <w:r>
        <w:rPr>
          <w:color w:val="231F20"/>
          <w:w w:val="110"/>
          <w:sz w:val="18"/>
        </w:rPr>
        <w:t>for but recently the small and ageing congregation found that the size and </w:t>
      </w:r>
      <w:r>
        <w:rPr>
          <w:color w:val="231F20"/>
          <w:spacing w:val="2"/>
          <w:w w:val="110"/>
          <w:sz w:val="18"/>
        </w:rPr>
        <w:t>style </w:t>
      </w:r>
      <w:r>
        <w:rPr>
          <w:color w:val="231F20"/>
          <w:w w:val="110"/>
          <w:sz w:val="18"/>
        </w:rPr>
        <w:t>of the building had become a problem and raised issues of accessibility for the membership.   The decision was taken to close and </w:t>
      </w:r>
      <w:r>
        <w:rPr>
          <w:color w:val="231F20"/>
          <w:spacing w:val="2"/>
          <w:w w:val="110"/>
          <w:sz w:val="18"/>
        </w:rPr>
        <w:t>members </w:t>
      </w:r>
      <w:r>
        <w:rPr>
          <w:color w:val="231F20"/>
          <w:w w:val="110"/>
          <w:sz w:val="18"/>
        </w:rPr>
        <w:t>have </w:t>
      </w:r>
      <w:r>
        <w:rPr>
          <w:color w:val="231F20"/>
          <w:spacing w:val="2"/>
          <w:w w:val="110"/>
          <w:sz w:val="18"/>
        </w:rPr>
        <w:t>settled </w:t>
      </w:r>
      <w:r>
        <w:rPr>
          <w:color w:val="231F20"/>
          <w:w w:val="110"/>
          <w:sz w:val="18"/>
        </w:rPr>
        <w:t>in various chapels with only two housebound people, both in their nineties, not attending regular</w:t>
      </w:r>
      <w:r>
        <w:rPr>
          <w:color w:val="231F20"/>
          <w:spacing w:val="54"/>
          <w:w w:val="110"/>
          <w:sz w:val="18"/>
        </w:rPr>
        <w:t> </w:t>
      </w:r>
      <w:r>
        <w:rPr>
          <w:color w:val="231F20"/>
          <w:w w:val="110"/>
          <w:sz w:val="18"/>
        </w:rPr>
        <w:t>worship.</w:t>
      </w:r>
    </w:p>
    <w:p>
      <w:pPr>
        <w:pStyle w:val="BodyText"/>
        <w:spacing w:before="10"/>
        <w:rPr>
          <w:sz w:val="20"/>
        </w:rPr>
      </w:pPr>
    </w:p>
    <w:p>
      <w:pPr>
        <w:pStyle w:val="ListParagraph"/>
        <w:numPr>
          <w:ilvl w:val="1"/>
          <w:numId w:val="22"/>
        </w:numPr>
        <w:tabs>
          <w:tab w:pos="1393" w:val="left" w:leader="none"/>
          <w:tab w:pos="1394" w:val="left" w:leader="none"/>
        </w:tabs>
        <w:spacing w:line="240" w:lineRule="auto" w:before="0" w:after="0"/>
        <w:ind w:left="1393" w:right="0" w:hanging="721"/>
        <w:jc w:val="left"/>
        <w:rPr>
          <w:sz w:val="18"/>
        </w:rPr>
      </w:pPr>
      <w:r>
        <w:rPr>
          <w:color w:val="231F20"/>
          <w:w w:val="110"/>
          <w:sz w:val="18"/>
        </w:rPr>
        <w:t>The final </w:t>
      </w:r>
      <w:r>
        <w:rPr>
          <w:color w:val="231F20"/>
          <w:spacing w:val="2"/>
          <w:w w:val="110"/>
          <w:sz w:val="18"/>
        </w:rPr>
        <w:t>service </w:t>
      </w:r>
      <w:r>
        <w:rPr>
          <w:color w:val="231F20"/>
          <w:w w:val="110"/>
          <w:sz w:val="18"/>
        </w:rPr>
        <w:t>took place on 30 July 2006. The building which was Grade</w:t>
      </w:r>
      <w:r>
        <w:rPr>
          <w:color w:val="231F20"/>
          <w:spacing w:val="39"/>
          <w:w w:val="110"/>
          <w:sz w:val="18"/>
        </w:rPr>
        <w:t> </w:t>
      </w:r>
      <w:r>
        <w:rPr>
          <w:color w:val="231F20"/>
          <w:w w:val="110"/>
          <w:sz w:val="18"/>
        </w:rPr>
        <w:t>2</w:t>
      </w:r>
    </w:p>
    <w:p>
      <w:pPr>
        <w:pStyle w:val="BodyText"/>
        <w:spacing w:before="32"/>
        <w:ind w:left="673"/>
      </w:pPr>
      <w:r>
        <w:rPr>
          <w:color w:val="231F20"/>
          <w:w w:val="110"/>
        </w:rPr>
        <w:t>listed has now been sold.</w:t>
      </w:r>
    </w:p>
    <w:p>
      <w:pPr>
        <w:pStyle w:val="BodyText"/>
        <w:rPr>
          <w:sz w:val="22"/>
        </w:rPr>
      </w:pPr>
    </w:p>
    <w:p>
      <w:pPr>
        <w:pStyle w:val="BodyText"/>
        <w:spacing w:before="7"/>
        <w:rPr>
          <w:sz w:val="21"/>
        </w:rPr>
      </w:pPr>
    </w:p>
    <w:p>
      <w:pPr>
        <w:pStyle w:val="Heading9"/>
        <w:spacing w:line="244" w:lineRule="auto" w:before="1"/>
        <w:ind w:left="673" w:right="4039"/>
      </w:pPr>
      <w:r>
        <w:rPr>
          <w:color w:val="231F20"/>
          <w:w w:val="110"/>
        </w:rPr>
        <w:t>United Reformed Church, East Sheen, London SW14 – Southern Synod</w:t>
      </w:r>
    </w:p>
    <w:p>
      <w:pPr>
        <w:pStyle w:val="ListParagraph"/>
        <w:numPr>
          <w:ilvl w:val="1"/>
          <w:numId w:val="23"/>
        </w:numPr>
        <w:tabs>
          <w:tab w:pos="1393" w:val="left" w:leader="none"/>
          <w:tab w:pos="1394" w:val="left" w:leader="none"/>
        </w:tabs>
        <w:spacing w:line="273" w:lineRule="auto" w:before="251" w:after="0"/>
        <w:ind w:left="673" w:right="1859" w:firstLine="0"/>
        <w:jc w:val="left"/>
        <w:rPr>
          <w:sz w:val="18"/>
        </w:rPr>
      </w:pPr>
      <w:r>
        <w:rPr>
          <w:color w:val="231F20"/>
          <w:spacing w:val="-3"/>
          <w:w w:val="110"/>
          <w:sz w:val="18"/>
        </w:rPr>
        <w:t>We </w:t>
      </w:r>
      <w:r>
        <w:rPr>
          <w:color w:val="231F20"/>
          <w:w w:val="110"/>
          <w:sz w:val="18"/>
        </w:rPr>
        <w:t>cannot be sure about the beginnings of dissent in the Mortlake/East Sheen area but it was </w:t>
      </w:r>
      <w:r>
        <w:rPr>
          <w:color w:val="231F20"/>
          <w:spacing w:val="2"/>
          <w:w w:val="110"/>
          <w:sz w:val="18"/>
        </w:rPr>
        <w:t>certainly </w:t>
      </w:r>
      <w:r>
        <w:rPr>
          <w:color w:val="231F20"/>
          <w:w w:val="110"/>
          <w:sz w:val="18"/>
        </w:rPr>
        <w:t>assisted by the licensing of a Chapel for the Dutch weavers working in the Mortlake Tapestry which enabled non-conformists in the area to worship without</w:t>
      </w:r>
      <w:r>
        <w:rPr>
          <w:color w:val="231F20"/>
          <w:spacing w:val="1"/>
          <w:w w:val="110"/>
          <w:sz w:val="18"/>
        </w:rPr>
        <w:t> </w:t>
      </w:r>
      <w:r>
        <w:rPr>
          <w:color w:val="231F20"/>
          <w:w w:val="110"/>
          <w:sz w:val="18"/>
        </w:rPr>
        <w:t>persecution.</w:t>
      </w:r>
    </w:p>
    <w:p>
      <w:pPr>
        <w:pStyle w:val="BodyText"/>
        <w:spacing w:before="10"/>
        <w:rPr>
          <w:sz w:val="20"/>
        </w:rPr>
      </w:pPr>
    </w:p>
    <w:p>
      <w:pPr>
        <w:pStyle w:val="ListParagraph"/>
        <w:numPr>
          <w:ilvl w:val="1"/>
          <w:numId w:val="23"/>
        </w:numPr>
        <w:tabs>
          <w:tab w:pos="1393" w:val="left" w:leader="none"/>
          <w:tab w:pos="1394" w:val="left" w:leader="none"/>
        </w:tabs>
        <w:spacing w:line="273" w:lineRule="auto" w:before="0" w:after="0"/>
        <w:ind w:left="673" w:right="1891" w:firstLine="0"/>
        <w:jc w:val="left"/>
        <w:rPr>
          <w:sz w:val="18"/>
        </w:rPr>
      </w:pPr>
      <w:r>
        <w:rPr>
          <w:color w:val="231F20"/>
          <w:w w:val="110"/>
          <w:sz w:val="18"/>
        </w:rPr>
        <w:t>Following the </w:t>
      </w:r>
      <w:r>
        <w:rPr>
          <w:color w:val="231F20"/>
          <w:spacing w:val="2"/>
          <w:w w:val="110"/>
          <w:sz w:val="18"/>
        </w:rPr>
        <w:t>Act </w:t>
      </w:r>
      <w:r>
        <w:rPr>
          <w:color w:val="231F20"/>
          <w:w w:val="110"/>
          <w:sz w:val="18"/>
        </w:rPr>
        <w:t>of Uniformity of </w:t>
      </w:r>
      <w:r>
        <w:rPr>
          <w:color w:val="231F20"/>
          <w:spacing w:val="-3"/>
          <w:w w:val="110"/>
          <w:sz w:val="18"/>
        </w:rPr>
        <w:t>1662 </w:t>
      </w:r>
      <w:r>
        <w:rPr>
          <w:color w:val="231F20"/>
          <w:w w:val="110"/>
          <w:sz w:val="18"/>
        </w:rPr>
        <w:t>the Revd David Clarkson was </w:t>
      </w:r>
      <w:r>
        <w:rPr>
          <w:color w:val="231F20"/>
          <w:spacing w:val="2"/>
          <w:w w:val="110"/>
          <w:sz w:val="18"/>
        </w:rPr>
        <w:t>ejected from </w:t>
      </w:r>
      <w:r>
        <w:rPr>
          <w:color w:val="231F20"/>
          <w:w w:val="110"/>
          <w:sz w:val="18"/>
        </w:rPr>
        <w:t>the Parish of Mortlake for his dissenting views and he is regarded as the first minister of what was to become East Sheen Congregational Church. The Dutch Chapel </w:t>
      </w:r>
      <w:r>
        <w:rPr>
          <w:color w:val="231F20"/>
          <w:spacing w:val="2"/>
          <w:w w:val="110"/>
          <w:sz w:val="18"/>
        </w:rPr>
        <w:t>closed </w:t>
      </w:r>
      <w:r>
        <w:rPr>
          <w:color w:val="231F20"/>
          <w:w w:val="110"/>
          <w:sz w:val="18"/>
        </w:rPr>
        <w:t>in 1644 and it is </w:t>
      </w:r>
      <w:r>
        <w:rPr>
          <w:color w:val="231F20"/>
          <w:spacing w:val="2"/>
          <w:w w:val="110"/>
          <w:sz w:val="18"/>
        </w:rPr>
        <w:t>certain </w:t>
      </w:r>
      <w:r>
        <w:rPr>
          <w:color w:val="231F20"/>
          <w:w w:val="110"/>
          <w:sz w:val="18"/>
        </w:rPr>
        <w:t>that under David Clarkson’s leadership </w:t>
      </w:r>
      <w:r>
        <w:rPr>
          <w:color w:val="231F20"/>
          <w:spacing w:val="2"/>
          <w:w w:val="110"/>
          <w:sz w:val="18"/>
        </w:rPr>
        <w:t>services </w:t>
      </w:r>
      <w:r>
        <w:rPr>
          <w:color w:val="231F20"/>
          <w:w w:val="110"/>
          <w:sz w:val="18"/>
        </w:rPr>
        <w:t>were held</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members’</w:t>
      </w:r>
      <w:r>
        <w:rPr>
          <w:color w:val="231F20"/>
          <w:spacing w:val="10"/>
          <w:w w:val="110"/>
          <w:sz w:val="18"/>
        </w:rPr>
        <w:t> </w:t>
      </w:r>
      <w:r>
        <w:rPr>
          <w:color w:val="231F20"/>
          <w:w w:val="110"/>
          <w:sz w:val="18"/>
        </w:rPr>
        <w:t>homes,</w:t>
      </w:r>
      <w:r>
        <w:rPr>
          <w:color w:val="231F20"/>
          <w:spacing w:val="11"/>
          <w:w w:val="110"/>
          <w:sz w:val="18"/>
        </w:rPr>
        <w:t> </w:t>
      </w:r>
      <w:r>
        <w:rPr>
          <w:color w:val="231F20"/>
          <w:w w:val="110"/>
          <w:sz w:val="18"/>
        </w:rPr>
        <w:t>a</w:t>
      </w:r>
      <w:r>
        <w:rPr>
          <w:color w:val="231F20"/>
          <w:spacing w:val="10"/>
          <w:w w:val="110"/>
          <w:sz w:val="18"/>
        </w:rPr>
        <w:t> </w:t>
      </w:r>
      <w:r>
        <w:rPr>
          <w:color w:val="231F20"/>
          <w:w w:val="110"/>
          <w:sz w:val="18"/>
        </w:rPr>
        <w:t>situation</w:t>
      </w:r>
      <w:r>
        <w:rPr>
          <w:color w:val="231F20"/>
          <w:spacing w:val="10"/>
          <w:w w:val="110"/>
          <w:sz w:val="18"/>
        </w:rPr>
        <w:t> </w:t>
      </w:r>
      <w:r>
        <w:rPr>
          <w:color w:val="231F20"/>
          <w:w w:val="110"/>
          <w:sz w:val="18"/>
        </w:rPr>
        <w:t>that</w:t>
      </w:r>
      <w:r>
        <w:rPr>
          <w:color w:val="231F20"/>
          <w:spacing w:val="11"/>
          <w:w w:val="110"/>
          <w:sz w:val="18"/>
        </w:rPr>
        <w:t> </w:t>
      </w:r>
      <w:r>
        <w:rPr>
          <w:color w:val="231F20"/>
          <w:w w:val="110"/>
          <w:sz w:val="18"/>
        </w:rPr>
        <w:t>continued</w:t>
      </w:r>
      <w:r>
        <w:rPr>
          <w:color w:val="231F20"/>
          <w:spacing w:val="10"/>
          <w:w w:val="110"/>
          <w:sz w:val="18"/>
        </w:rPr>
        <w:t> </w:t>
      </w:r>
      <w:r>
        <w:rPr>
          <w:color w:val="231F20"/>
          <w:w w:val="110"/>
          <w:sz w:val="18"/>
        </w:rPr>
        <w:t>under</w:t>
      </w:r>
      <w:r>
        <w:rPr>
          <w:color w:val="231F20"/>
          <w:spacing w:val="10"/>
          <w:w w:val="110"/>
          <w:sz w:val="18"/>
        </w:rPr>
        <w:t> </w:t>
      </w:r>
      <w:r>
        <w:rPr>
          <w:color w:val="231F20"/>
          <w:w w:val="110"/>
          <w:sz w:val="18"/>
        </w:rPr>
        <w:t>various</w:t>
      </w:r>
      <w:r>
        <w:rPr>
          <w:color w:val="231F20"/>
          <w:spacing w:val="11"/>
          <w:w w:val="110"/>
          <w:sz w:val="18"/>
        </w:rPr>
        <w:t> </w:t>
      </w:r>
      <w:r>
        <w:rPr>
          <w:color w:val="231F20"/>
          <w:w w:val="110"/>
          <w:sz w:val="18"/>
        </w:rPr>
        <w:t>leaders</w:t>
      </w:r>
      <w:r>
        <w:rPr>
          <w:color w:val="231F20"/>
          <w:spacing w:val="10"/>
          <w:w w:val="110"/>
          <w:sz w:val="18"/>
        </w:rPr>
        <w:t> </w:t>
      </w:r>
      <w:r>
        <w:rPr>
          <w:color w:val="231F20"/>
          <w:w w:val="110"/>
          <w:sz w:val="18"/>
        </w:rPr>
        <w:t>until</w:t>
      </w:r>
      <w:r>
        <w:rPr>
          <w:color w:val="231F20"/>
          <w:spacing w:val="10"/>
          <w:w w:val="110"/>
          <w:sz w:val="18"/>
        </w:rPr>
        <w:t> </w:t>
      </w:r>
      <w:r>
        <w:rPr>
          <w:color w:val="231F20"/>
          <w:spacing w:val="-6"/>
          <w:w w:val="110"/>
          <w:sz w:val="18"/>
        </w:rPr>
        <w:t>1716.</w:t>
      </w:r>
    </w:p>
    <w:p>
      <w:pPr>
        <w:pStyle w:val="BodyText"/>
        <w:spacing w:before="10"/>
        <w:rPr>
          <w:sz w:val="20"/>
        </w:rPr>
      </w:pPr>
    </w:p>
    <w:p>
      <w:pPr>
        <w:pStyle w:val="ListParagraph"/>
        <w:numPr>
          <w:ilvl w:val="1"/>
          <w:numId w:val="23"/>
        </w:numPr>
        <w:tabs>
          <w:tab w:pos="1393" w:val="left" w:leader="none"/>
          <w:tab w:pos="1394" w:val="left" w:leader="none"/>
        </w:tabs>
        <w:spacing w:line="273" w:lineRule="auto" w:before="0" w:after="0"/>
        <w:ind w:left="673" w:right="1812" w:firstLine="0"/>
        <w:jc w:val="left"/>
        <w:rPr>
          <w:sz w:val="18"/>
        </w:rPr>
      </w:pPr>
      <w:r>
        <w:rPr>
          <w:color w:val="231F20"/>
          <w:w w:val="110"/>
          <w:sz w:val="18"/>
        </w:rPr>
        <w:t>This was the year of the first settled minister </w:t>
      </w:r>
      <w:r>
        <w:rPr>
          <w:color w:val="231F20"/>
          <w:spacing w:val="-3"/>
          <w:w w:val="110"/>
          <w:sz w:val="18"/>
        </w:rPr>
        <w:t>who, </w:t>
      </w:r>
      <w:r>
        <w:rPr>
          <w:color w:val="231F20"/>
          <w:w w:val="110"/>
          <w:sz w:val="18"/>
        </w:rPr>
        <w:t>at his own expense, built a Chapel. In </w:t>
      </w:r>
      <w:r>
        <w:rPr>
          <w:color w:val="231F20"/>
          <w:spacing w:val="-6"/>
          <w:w w:val="110"/>
          <w:sz w:val="18"/>
        </w:rPr>
        <w:t>1755 </w:t>
      </w:r>
      <w:r>
        <w:rPr>
          <w:color w:val="231F20"/>
          <w:w w:val="110"/>
          <w:sz w:val="18"/>
        </w:rPr>
        <w:t>the then Chapel owner disposed of it for other uses so the few members reverted to meeting in private homes until </w:t>
      </w:r>
      <w:r>
        <w:rPr>
          <w:color w:val="231F20"/>
          <w:spacing w:val="-6"/>
          <w:w w:val="110"/>
          <w:sz w:val="18"/>
        </w:rPr>
        <w:t>1813 </w:t>
      </w:r>
      <w:r>
        <w:rPr>
          <w:color w:val="231F20"/>
          <w:w w:val="110"/>
          <w:sz w:val="18"/>
        </w:rPr>
        <w:t>when a further Chapel was</w:t>
      </w:r>
      <w:r>
        <w:rPr>
          <w:color w:val="231F20"/>
          <w:spacing w:val="-22"/>
          <w:w w:val="110"/>
          <w:sz w:val="18"/>
        </w:rPr>
        <w:t> </w:t>
      </w:r>
      <w:r>
        <w:rPr>
          <w:color w:val="231F20"/>
          <w:w w:val="110"/>
          <w:sz w:val="18"/>
        </w:rPr>
        <w:t>built.</w:t>
      </w:r>
    </w:p>
    <w:p>
      <w:pPr>
        <w:spacing w:after="0" w:line="273" w:lineRule="auto"/>
        <w:jc w:val="left"/>
        <w:rPr>
          <w:sz w:val="18"/>
        </w:rPr>
        <w:sectPr>
          <w:pgSz w:w="11910" w:h="16840"/>
          <w:pgMar w:header="558" w:footer="564" w:top="820" w:bottom="760" w:left="460" w:right="0"/>
        </w:sectPr>
      </w:pPr>
    </w:p>
    <w:p>
      <w:pPr>
        <w:pStyle w:val="BodyText"/>
        <w:spacing w:before="9"/>
        <w:rPr>
          <w:sz w:val="13"/>
        </w:rPr>
      </w:pPr>
    </w:p>
    <w:p>
      <w:pPr>
        <w:pStyle w:val="ListParagraph"/>
        <w:numPr>
          <w:ilvl w:val="1"/>
          <w:numId w:val="23"/>
        </w:numPr>
        <w:tabs>
          <w:tab w:pos="1960" w:val="left" w:leader="none"/>
          <w:tab w:pos="1961" w:val="left" w:leader="none"/>
        </w:tabs>
        <w:spacing w:line="273" w:lineRule="auto" w:before="101" w:after="0"/>
        <w:ind w:left="1240" w:right="1310" w:firstLine="0"/>
        <w:jc w:val="left"/>
        <w:rPr>
          <w:sz w:val="18"/>
        </w:rPr>
      </w:pPr>
      <w:r>
        <w:rPr>
          <w:color w:val="231F20"/>
          <w:w w:val="110"/>
          <w:sz w:val="18"/>
        </w:rPr>
        <w:t>On </w:t>
      </w:r>
      <w:r>
        <w:rPr>
          <w:color w:val="231F20"/>
          <w:spacing w:val="-3"/>
          <w:w w:val="110"/>
          <w:sz w:val="18"/>
        </w:rPr>
        <w:t>12 </w:t>
      </w:r>
      <w:r>
        <w:rPr>
          <w:color w:val="231F20"/>
          <w:w w:val="110"/>
          <w:sz w:val="18"/>
        </w:rPr>
        <w:t>April 1822 the </w:t>
      </w:r>
      <w:r>
        <w:rPr>
          <w:color w:val="231F20"/>
          <w:spacing w:val="2"/>
          <w:w w:val="110"/>
          <w:sz w:val="18"/>
        </w:rPr>
        <w:t>members </w:t>
      </w:r>
      <w:r>
        <w:rPr>
          <w:color w:val="231F20"/>
          <w:w w:val="110"/>
          <w:sz w:val="18"/>
        </w:rPr>
        <w:t>re-constituted themselves with a statement of beliefs and resolutions on conduct and behaviour and it is this </w:t>
      </w:r>
      <w:r>
        <w:rPr>
          <w:color w:val="231F20"/>
          <w:spacing w:val="2"/>
          <w:w w:val="110"/>
          <w:sz w:val="18"/>
        </w:rPr>
        <w:t>action </w:t>
      </w:r>
      <w:r>
        <w:rPr>
          <w:color w:val="231F20"/>
          <w:w w:val="110"/>
          <w:sz w:val="18"/>
        </w:rPr>
        <w:t>that is considered to be the foundation of the Church, as it </w:t>
      </w:r>
      <w:r>
        <w:rPr>
          <w:color w:val="231F20"/>
          <w:spacing w:val="2"/>
          <w:w w:val="110"/>
          <w:sz w:val="18"/>
        </w:rPr>
        <w:t>became </w:t>
      </w:r>
      <w:r>
        <w:rPr>
          <w:color w:val="231F20"/>
          <w:w w:val="110"/>
          <w:sz w:val="18"/>
        </w:rPr>
        <w:t>known. Subsequently in 1836 the congregation were able to </w:t>
      </w:r>
      <w:r>
        <w:rPr>
          <w:color w:val="231F20"/>
          <w:spacing w:val="2"/>
          <w:w w:val="110"/>
          <w:sz w:val="18"/>
        </w:rPr>
        <w:t>repossess </w:t>
      </w:r>
      <w:r>
        <w:rPr>
          <w:color w:val="231F20"/>
          <w:w w:val="110"/>
          <w:sz w:val="18"/>
        </w:rPr>
        <w:t>the original</w:t>
      </w:r>
      <w:r>
        <w:rPr>
          <w:color w:val="231F20"/>
          <w:spacing w:val="15"/>
          <w:w w:val="110"/>
          <w:sz w:val="18"/>
        </w:rPr>
        <w:t> </w:t>
      </w:r>
      <w:r>
        <w:rPr>
          <w:color w:val="231F20"/>
          <w:w w:val="110"/>
          <w:sz w:val="18"/>
        </w:rPr>
        <w:t>Chapel.</w:t>
      </w:r>
    </w:p>
    <w:p>
      <w:pPr>
        <w:pStyle w:val="BodyText"/>
        <w:spacing w:before="9"/>
        <w:rPr>
          <w:sz w:val="20"/>
        </w:rPr>
      </w:pPr>
    </w:p>
    <w:p>
      <w:pPr>
        <w:pStyle w:val="ListParagraph"/>
        <w:numPr>
          <w:ilvl w:val="1"/>
          <w:numId w:val="23"/>
        </w:numPr>
        <w:tabs>
          <w:tab w:pos="1960" w:val="left" w:leader="none"/>
          <w:tab w:pos="1961" w:val="left" w:leader="none"/>
        </w:tabs>
        <w:spacing w:line="273" w:lineRule="auto" w:before="0" w:after="0"/>
        <w:ind w:left="1240" w:right="1385" w:firstLine="0"/>
        <w:jc w:val="left"/>
        <w:rPr>
          <w:sz w:val="18"/>
        </w:rPr>
      </w:pPr>
      <w:r>
        <w:rPr>
          <w:color w:val="231F20"/>
          <w:w w:val="110"/>
          <w:sz w:val="18"/>
        </w:rPr>
        <w:t>The church continued with small numbers and </w:t>
      </w:r>
      <w:r>
        <w:rPr>
          <w:color w:val="231F20"/>
          <w:spacing w:val="2"/>
          <w:w w:val="110"/>
          <w:sz w:val="18"/>
        </w:rPr>
        <w:t>series </w:t>
      </w:r>
      <w:r>
        <w:rPr>
          <w:color w:val="231F20"/>
          <w:w w:val="110"/>
          <w:sz w:val="18"/>
        </w:rPr>
        <w:t>of ministries for a number of years. During one </w:t>
      </w:r>
      <w:r>
        <w:rPr>
          <w:color w:val="231F20"/>
          <w:spacing w:val="2"/>
          <w:w w:val="110"/>
          <w:sz w:val="18"/>
        </w:rPr>
        <w:t>short </w:t>
      </w:r>
      <w:r>
        <w:rPr>
          <w:color w:val="231F20"/>
          <w:w w:val="110"/>
          <w:sz w:val="18"/>
        </w:rPr>
        <w:t>but notable ministry, a British School was established and this</w:t>
      </w:r>
      <w:r>
        <w:rPr>
          <w:color w:val="231F20"/>
          <w:spacing w:val="8"/>
          <w:w w:val="110"/>
          <w:sz w:val="18"/>
        </w:rPr>
        <w:t> </w:t>
      </w:r>
      <w:r>
        <w:rPr>
          <w:color w:val="231F20"/>
          <w:w w:val="110"/>
          <w:sz w:val="18"/>
        </w:rPr>
        <w:t>provided</w:t>
      </w:r>
      <w:r>
        <w:rPr>
          <w:color w:val="231F20"/>
          <w:spacing w:val="9"/>
          <w:w w:val="110"/>
          <w:sz w:val="18"/>
        </w:rPr>
        <w:t> </w:t>
      </w:r>
      <w:r>
        <w:rPr>
          <w:color w:val="231F20"/>
          <w:w w:val="110"/>
          <w:sz w:val="18"/>
        </w:rPr>
        <w:t>education</w:t>
      </w:r>
      <w:r>
        <w:rPr>
          <w:color w:val="231F20"/>
          <w:spacing w:val="9"/>
          <w:w w:val="110"/>
          <w:sz w:val="18"/>
        </w:rPr>
        <w:t> </w:t>
      </w:r>
      <w:r>
        <w:rPr>
          <w:color w:val="231F20"/>
          <w:w w:val="110"/>
          <w:sz w:val="18"/>
        </w:rPr>
        <w:t>in</w:t>
      </w:r>
      <w:r>
        <w:rPr>
          <w:color w:val="231F20"/>
          <w:spacing w:val="8"/>
          <w:w w:val="110"/>
          <w:sz w:val="18"/>
        </w:rPr>
        <w:t> </w:t>
      </w:r>
      <w:r>
        <w:rPr>
          <w:color w:val="231F20"/>
          <w:w w:val="110"/>
          <w:sz w:val="18"/>
        </w:rPr>
        <w:t>the</w:t>
      </w:r>
      <w:r>
        <w:rPr>
          <w:color w:val="231F20"/>
          <w:spacing w:val="9"/>
          <w:w w:val="110"/>
          <w:sz w:val="18"/>
        </w:rPr>
        <w:t> </w:t>
      </w:r>
      <w:r>
        <w:rPr>
          <w:color w:val="231F20"/>
          <w:w w:val="110"/>
          <w:sz w:val="18"/>
        </w:rPr>
        <w:t>area</w:t>
      </w:r>
      <w:r>
        <w:rPr>
          <w:color w:val="231F20"/>
          <w:spacing w:val="9"/>
          <w:w w:val="110"/>
          <w:sz w:val="18"/>
        </w:rPr>
        <w:t> </w:t>
      </w:r>
      <w:r>
        <w:rPr>
          <w:color w:val="231F20"/>
          <w:w w:val="110"/>
          <w:sz w:val="18"/>
        </w:rPr>
        <w:t>for</w:t>
      </w:r>
      <w:r>
        <w:rPr>
          <w:color w:val="231F20"/>
          <w:spacing w:val="8"/>
          <w:w w:val="110"/>
          <w:sz w:val="18"/>
        </w:rPr>
        <w:t> </w:t>
      </w:r>
      <w:r>
        <w:rPr>
          <w:color w:val="231F20"/>
          <w:w w:val="110"/>
          <w:sz w:val="18"/>
        </w:rPr>
        <w:t>40</w:t>
      </w:r>
      <w:r>
        <w:rPr>
          <w:color w:val="231F20"/>
          <w:spacing w:val="9"/>
          <w:w w:val="110"/>
          <w:sz w:val="18"/>
        </w:rPr>
        <w:t> </w:t>
      </w:r>
      <w:r>
        <w:rPr>
          <w:color w:val="231F20"/>
          <w:w w:val="110"/>
          <w:sz w:val="18"/>
        </w:rPr>
        <w:t>years</w:t>
      </w:r>
      <w:r>
        <w:rPr>
          <w:color w:val="231F20"/>
          <w:spacing w:val="9"/>
          <w:w w:val="110"/>
          <w:sz w:val="18"/>
        </w:rPr>
        <w:t> </w:t>
      </w:r>
      <w:r>
        <w:rPr>
          <w:color w:val="231F20"/>
          <w:w w:val="110"/>
          <w:sz w:val="18"/>
        </w:rPr>
        <w:t>until</w:t>
      </w:r>
      <w:r>
        <w:rPr>
          <w:color w:val="231F20"/>
          <w:spacing w:val="9"/>
          <w:w w:val="110"/>
          <w:sz w:val="18"/>
        </w:rPr>
        <w:t> </w:t>
      </w:r>
      <w:r>
        <w:rPr>
          <w:color w:val="231F20"/>
          <w:w w:val="110"/>
          <w:sz w:val="18"/>
        </w:rPr>
        <w:t>the</w:t>
      </w:r>
      <w:r>
        <w:rPr>
          <w:color w:val="231F20"/>
          <w:spacing w:val="8"/>
          <w:w w:val="110"/>
          <w:sz w:val="18"/>
        </w:rPr>
        <w:t> </w:t>
      </w:r>
      <w:r>
        <w:rPr>
          <w:color w:val="231F20"/>
          <w:w w:val="110"/>
          <w:sz w:val="18"/>
        </w:rPr>
        <w:t>state</w:t>
      </w:r>
      <w:r>
        <w:rPr>
          <w:color w:val="231F20"/>
          <w:spacing w:val="9"/>
          <w:w w:val="110"/>
          <w:sz w:val="18"/>
        </w:rPr>
        <w:t> </w:t>
      </w:r>
      <w:r>
        <w:rPr>
          <w:color w:val="231F20"/>
          <w:spacing w:val="2"/>
          <w:w w:val="110"/>
          <w:sz w:val="18"/>
        </w:rPr>
        <w:t>became</w:t>
      </w:r>
      <w:r>
        <w:rPr>
          <w:color w:val="231F20"/>
          <w:spacing w:val="9"/>
          <w:w w:val="110"/>
          <w:sz w:val="18"/>
        </w:rPr>
        <w:t> </w:t>
      </w:r>
      <w:r>
        <w:rPr>
          <w:color w:val="231F20"/>
          <w:w w:val="110"/>
          <w:sz w:val="18"/>
        </w:rPr>
        <w:t>responsible</w:t>
      </w:r>
    </w:p>
    <w:p>
      <w:pPr>
        <w:pStyle w:val="BodyText"/>
        <w:spacing w:before="2"/>
        <w:ind w:left="1240"/>
      </w:pPr>
      <w:r>
        <w:rPr>
          <w:color w:val="231F20"/>
          <w:w w:val="110"/>
        </w:rPr>
        <w:t>for education.</w:t>
      </w:r>
    </w:p>
    <w:p>
      <w:pPr>
        <w:pStyle w:val="BodyText"/>
        <w:spacing w:before="1"/>
        <w:rPr>
          <w:sz w:val="23"/>
        </w:rPr>
      </w:pPr>
    </w:p>
    <w:p>
      <w:pPr>
        <w:pStyle w:val="ListParagraph"/>
        <w:numPr>
          <w:ilvl w:val="1"/>
          <w:numId w:val="23"/>
        </w:numPr>
        <w:tabs>
          <w:tab w:pos="1960" w:val="left" w:leader="none"/>
          <w:tab w:pos="1961" w:val="left" w:leader="none"/>
        </w:tabs>
        <w:spacing w:line="273" w:lineRule="auto" w:before="1" w:after="0"/>
        <w:ind w:left="1240" w:right="1213" w:firstLine="0"/>
        <w:jc w:val="left"/>
        <w:rPr>
          <w:sz w:val="18"/>
        </w:rPr>
      </w:pPr>
      <w:r>
        <w:rPr>
          <w:color w:val="231F20"/>
          <w:w w:val="110"/>
          <w:sz w:val="18"/>
        </w:rPr>
        <w:t>Membership numbers slowly increased and by 1890 it was considered that a larger building was required to meet the congregation’s needs. This was finally achieved when the new building was opened in </w:t>
      </w:r>
      <w:r>
        <w:rPr>
          <w:color w:val="231F20"/>
          <w:spacing w:val="-3"/>
          <w:w w:val="110"/>
          <w:sz w:val="18"/>
        </w:rPr>
        <w:t>1902 </w:t>
      </w:r>
      <w:r>
        <w:rPr>
          <w:color w:val="231F20"/>
          <w:w w:val="110"/>
          <w:sz w:val="18"/>
        </w:rPr>
        <w:t>by which time the congregation had doubled in number.</w:t>
      </w:r>
    </w:p>
    <w:p>
      <w:pPr>
        <w:pStyle w:val="BodyText"/>
        <w:spacing w:before="9"/>
        <w:rPr>
          <w:sz w:val="20"/>
        </w:rPr>
      </w:pPr>
    </w:p>
    <w:p>
      <w:pPr>
        <w:pStyle w:val="ListParagraph"/>
        <w:numPr>
          <w:ilvl w:val="1"/>
          <w:numId w:val="23"/>
        </w:numPr>
        <w:tabs>
          <w:tab w:pos="1960" w:val="left" w:leader="none"/>
          <w:tab w:pos="1961" w:val="left" w:leader="none"/>
        </w:tabs>
        <w:spacing w:line="273" w:lineRule="auto" w:before="0" w:after="0"/>
        <w:ind w:left="1240" w:right="1132" w:firstLine="0"/>
        <w:jc w:val="left"/>
        <w:rPr>
          <w:sz w:val="18"/>
        </w:rPr>
      </w:pPr>
      <w:r>
        <w:rPr>
          <w:color w:val="231F20"/>
          <w:w w:val="110"/>
          <w:sz w:val="18"/>
        </w:rPr>
        <w:t>For the first part of the twentieth century the Church’s fortunes fluctuated  reaching a high point in the 1940s with its greatest numbers. It was during this period that in </w:t>
      </w:r>
      <w:r>
        <w:rPr>
          <w:color w:val="231F20"/>
          <w:spacing w:val="-7"/>
          <w:w w:val="110"/>
          <w:sz w:val="18"/>
        </w:rPr>
        <w:t>1913 </w:t>
      </w:r>
      <w:r>
        <w:rPr>
          <w:color w:val="231F20"/>
          <w:w w:val="110"/>
          <w:sz w:val="18"/>
        </w:rPr>
        <w:t>the congregation decided to add to the buildings for a </w:t>
      </w:r>
      <w:r>
        <w:rPr>
          <w:color w:val="231F20"/>
          <w:spacing w:val="-3"/>
          <w:w w:val="110"/>
          <w:sz w:val="18"/>
        </w:rPr>
        <w:t>Sunday </w:t>
      </w:r>
      <w:r>
        <w:rPr>
          <w:color w:val="231F20"/>
          <w:w w:val="110"/>
          <w:sz w:val="18"/>
        </w:rPr>
        <w:t>School that resulted in the present extensive premises which are enjoyed by a number of local  activity groups. More recently the membership has declined to the point that it is reduced to single figures and no longer able to show the tenacity with which to rebuild</w:t>
      </w:r>
      <w:r>
        <w:rPr>
          <w:color w:val="231F20"/>
          <w:spacing w:val="-33"/>
          <w:w w:val="110"/>
          <w:sz w:val="18"/>
        </w:rPr>
        <w:t> </w:t>
      </w:r>
      <w:r>
        <w:rPr>
          <w:color w:val="231F20"/>
          <w:spacing w:val="-3"/>
          <w:w w:val="110"/>
          <w:sz w:val="18"/>
        </w:rPr>
        <w:t>again.</w:t>
      </w:r>
    </w:p>
    <w:p>
      <w:pPr>
        <w:pStyle w:val="BodyText"/>
        <w:spacing w:before="11"/>
        <w:rPr>
          <w:sz w:val="20"/>
        </w:rPr>
      </w:pPr>
    </w:p>
    <w:p>
      <w:pPr>
        <w:pStyle w:val="ListParagraph"/>
        <w:numPr>
          <w:ilvl w:val="1"/>
          <w:numId w:val="23"/>
        </w:numPr>
        <w:tabs>
          <w:tab w:pos="1960" w:val="left" w:leader="none"/>
          <w:tab w:pos="1961" w:val="left" w:leader="none"/>
        </w:tabs>
        <w:spacing w:line="273" w:lineRule="auto" w:before="0" w:after="0"/>
        <w:ind w:left="1240" w:right="1521" w:firstLine="0"/>
        <w:jc w:val="left"/>
        <w:rPr>
          <w:sz w:val="18"/>
        </w:rPr>
      </w:pPr>
      <w:r>
        <w:rPr>
          <w:color w:val="231F20"/>
          <w:w w:val="110"/>
          <w:sz w:val="18"/>
        </w:rPr>
        <w:t>During the last few years </w:t>
      </w:r>
      <w:r>
        <w:rPr>
          <w:color w:val="231F20"/>
          <w:spacing w:val="2"/>
          <w:w w:val="110"/>
          <w:sz w:val="18"/>
        </w:rPr>
        <w:t>members </w:t>
      </w:r>
      <w:r>
        <w:rPr>
          <w:color w:val="231F20"/>
          <w:w w:val="110"/>
          <w:sz w:val="18"/>
        </w:rPr>
        <w:t>of Richmond </w:t>
      </w:r>
      <w:r>
        <w:rPr>
          <w:color w:val="231F20"/>
          <w:spacing w:val="2"/>
          <w:w w:val="110"/>
          <w:sz w:val="18"/>
        </w:rPr>
        <w:t>Green </w:t>
      </w:r>
      <w:r>
        <w:rPr>
          <w:color w:val="231F20"/>
          <w:w w:val="110"/>
          <w:sz w:val="18"/>
        </w:rPr>
        <w:t>provided support for the</w:t>
      </w:r>
      <w:r>
        <w:rPr>
          <w:color w:val="231F20"/>
          <w:spacing w:val="9"/>
          <w:w w:val="110"/>
          <w:sz w:val="18"/>
        </w:rPr>
        <w:t> </w:t>
      </w:r>
      <w:r>
        <w:rPr>
          <w:color w:val="231F20"/>
          <w:w w:val="110"/>
          <w:sz w:val="18"/>
        </w:rPr>
        <w:t>remaining</w:t>
      </w:r>
      <w:r>
        <w:rPr>
          <w:color w:val="231F20"/>
          <w:spacing w:val="9"/>
          <w:w w:val="110"/>
          <w:sz w:val="18"/>
        </w:rPr>
        <w:t> </w:t>
      </w:r>
      <w:r>
        <w:rPr>
          <w:color w:val="231F20"/>
          <w:spacing w:val="-3"/>
          <w:w w:val="110"/>
          <w:sz w:val="18"/>
        </w:rPr>
        <w:t>few,</w:t>
      </w:r>
      <w:r>
        <w:rPr>
          <w:color w:val="231F20"/>
          <w:spacing w:val="10"/>
          <w:w w:val="110"/>
          <w:sz w:val="18"/>
        </w:rPr>
        <w:t> </w:t>
      </w:r>
      <w:r>
        <w:rPr>
          <w:color w:val="231F20"/>
          <w:w w:val="110"/>
          <w:sz w:val="18"/>
        </w:rPr>
        <w:t>by</w:t>
      </w:r>
      <w:r>
        <w:rPr>
          <w:color w:val="231F20"/>
          <w:spacing w:val="9"/>
          <w:w w:val="110"/>
          <w:sz w:val="18"/>
        </w:rPr>
        <w:t> </w:t>
      </w:r>
      <w:r>
        <w:rPr>
          <w:color w:val="231F20"/>
          <w:w w:val="110"/>
          <w:sz w:val="18"/>
        </w:rPr>
        <w:t>sharing</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premises</w:t>
      </w:r>
      <w:r>
        <w:rPr>
          <w:color w:val="231F20"/>
          <w:spacing w:val="10"/>
          <w:w w:val="110"/>
          <w:sz w:val="18"/>
        </w:rPr>
        <w:t> </w:t>
      </w:r>
      <w:r>
        <w:rPr>
          <w:color w:val="231F20"/>
          <w:w w:val="110"/>
          <w:sz w:val="18"/>
        </w:rPr>
        <w:t>whilst</w:t>
      </w:r>
      <w:r>
        <w:rPr>
          <w:color w:val="231F20"/>
          <w:spacing w:val="9"/>
          <w:w w:val="110"/>
          <w:sz w:val="18"/>
        </w:rPr>
        <w:t> </w:t>
      </w:r>
      <w:r>
        <w:rPr>
          <w:color w:val="231F20"/>
          <w:w w:val="110"/>
          <w:sz w:val="18"/>
        </w:rPr>
        <w:t>their</w:t>
      </w:r>
      <w:r>
        <w:rPr>
          <w:color w:val="231F20"/>
          <w:spacing w:val="10"/>
          <w:w w:val="110"/>
          <w:sz w:val="18"/>
        </w:rPr>
        <w:t> </w:t>
      </w:r>
      <w:r>
        <w:rPr>
          <w:color w:val="231F20"/>
          <w:w w:val="110"/>
          <w:sz w:val="18"/>
        </w:rPr>
        <w:t>own</w:t>
      </w:r>
      <w:r>
        <w:rPr>
          <w:color w:val="231F20"/>
          <w:spacing w:val="9"/>
          <w:w w:val="110"/>
          <w:sz w:val="18"/>
        </w:rPr>
        <w:t> </w:t>
      </w:r>
      <w:r>
        <w:rPr>
          <w:color w:val="231F20"/>
          <w:w w:val="110"/>
          <w:sz w:val="18"/>
        </w:rPr>
        <w:t>was</w:t>
      </w:r>
      <w:r>
        <w:rPr>
          <w:color w:val="231F20"/>
          <w:spacing w:val="10"/>
          <w:w w:val="110"/>
          <w:sz w:val="18"/>
        </w:rPr>
        <w:t> </w:t>
      </w:r>
      <w:r>
        <w:rPr>
          <w:color w:val="231F20"/>
          <w:w w:val="110"/>
          <w:sz w:val="18"/>
        </w:rPr>
        <w:t>being</w:t>
      </w:r>
      <w:r>
        <w:rPr>
          <w:color w:val="231F20"/>
          <w:spacing w:val="9"/>
          <w:w w:val="110"/>
          <w:sz w:val="18"/>
        </w:rPr>
        <w:t> </w:t>
      </w:r>
      <w:r>
        <w:rPr>
          <w:color w:val="231F20"/>
          <w:w w:val="110"/>
          <w:sz w:val="18"/>
        </w:rPr>
        <w:t>rebuilt.</w:t>
      </w:r>
      <w:r>
        <w:rPr>
          <w:color w:val="231F20"/>
          <w:spacing w:val="10"/>
          <w:w w:val="110"/>
          <w:sz w:val="18"/>
        </w:rPr>
        <w:t> </w:t>
      </w:r>
      <w:r>
        <w:rPr>
          <w:color w:val="231F20"/>
          <w:w w:val="110"/>
          <w:sz w:val="18"/>
        </w:rPr>
        <w:t>It</w:t>
      </w:r>
      <w:r>
        <w:rPr>
          <w:color w:val="231F20"/>
          <w:spacing w:val="9"/>
          <w:w w:val="110"/>
          <w:sz w:val="18"/>
        </w:rPr>
        <w:t> </w:t>
      </w:r>
      <w:r>
        <w:rPr>
          <w:color w:val="231F20"/>
          <w:w w:val="110"/>
          <w:sz w:val="18"/>
        </w:rPr>
        <w:t>was</w:t>
      </w:r>
    </w:p>
    <w:p>
      <w:pPr>
        <w:pStyle w:val="BodyText"/>
        <w:spacing w:line="273" w:lineRule="auto" w:before="1"/>
        <w:ind w:left="1240" w:right="1410"/>
      </w:pPr>
      <w:r>
        <w:rPr>
          <w:color w:val="231F20"/>
          <w:w w:val="110"/>
        </w:rPr>
        <w:t>with the knowledge that Richmond </w:t>
      </w:r>
      <w:r>
        <w:rPr>
          <w:color w:val="231F20"/>
          <w:spacing w:val="2"/>
          <w:w w:val="110"/>
        </w:rPr>
        <w:t>Green </w:t>
      </w:r>
      <w:r>
        <w:rPr>
          <w:color w:val="231F20"/>
          <w:w w:val="110"/>
        </w:rPr>
        <w:t>was soon to return to their own site that East Sheen resolved to cease. Richmond </w:t>
      </w:r>
      <w:r>
        <w:rPr>
          <w:color w:val="231F20"/>
          <w:spacing w:val="2"/>
          <w:w w:val="110"/>
        </w:rPr>
        <w:t>Green </w:t>
      </w:r>
      <w:r>
        <w:rPr>
          <w:color w:val="231F20"/>
          <w:w w:val="110"/>
        </w:rPr>
        <w:t>happily </w:t>
      </w:r>
      <w:r>
        <w:rPr>
          <w:color w:val="231F20"/>
          <w:spacing w:val="2"/>
          <w:w w:val="110"/>
        </w:rPr>
        <w:t>accepts </w:t>
      </w:r>
      <w:r>
        <w:rPr>
          <w:color w:val="231F20"/>
          <w:w w:val="110"/>
        </w:rPr>
        <w:t>their subsequent pastoral care.   In addition there are positive moves to retain the buildings and revitalise them  as an ecumenical community</w:t>
      </w:r>
      <w:r>
        <w:rPr>
          <w:color w:val="231F20"/>
          <w:spacing w:val="5"/>
          <w:w w:val="110"/>
        </w:rPr>
        <w:t> </w:t>
      </w:r>
      <w:r>
        <w:rPr>
          <w:color w:val="231F20"/>
          <w:w w:val="110"/>
        </w:rPr>
        <w:t>building.</w:t>
      </w:r>
    </w:p>
    <w:p>
      <w:pPr>
        <w:pStyle w:val="BodyText"/>
        <w:rPr>
          <w:sz w:val="22"/>
        </w:rPr>
      </w:pPr>
    </w:p>
    <w:p>
      <w:pPr>
        <w:pStyle w:val="BodyText"/>
        <w:spacing w:before="3"/>
        <w:rPr>
          <w:sz w:val="19"/>
        </w:rPr>
      </w:pPr>
    </w:p>
    <w:p>
      <w:pPr>
        <w:pStyle w:val="Heading9"/>
        <w:spacing w:line="244" w:lineRule="auto"/>
        <w:ind w:right="5590"/>
      </w:pPr>
      <w:r>
        <w:rPr>
          <w:color w:val="231F20"/>
          <w:w w:val="110"/>
        </w:rPr>
        <w:t>The Rock Church Centre Liverpool – Mersey Synod</w:t>
      </w:r>
    </w:p>
    <w:p>
      <w:pPr>
        <w:pStyle w:val="BodyText"/>
        <w:spacing w:before="3"/>
        <w:rPr>
          <w:b/>
          <w:sz w:val="41"/>
        </w:rPr>
      </w:pPr>
    </w:p>
    <w:p>
      <w:pPr>
        <w:pStyle w:val="ListParagraph"/>
        <w:numPr>
          <w:ilvl w:val="1"/>
          <w:numId w:val="24"/>
        </w:numPr>
        <w:tabs>
          <w:tab w:pos="1960" w:val="left" w:leader="none"/>
          <w:tab w:pos="1961" w:val="left" w:leader="none"/>
        </w:tabs>
        <w:spacing w:line="273" w:lineRule="auto" w:before="1" w:after="0"/>
        <w:ind w:left="1240" w:right="1530" w:firstLine="0"/>
        <w:jc w:val="left"/>
        <w:rPr>
          <w:sz w:val="18"/>
        </w:rPr>
      </w:pPr>
      <w:r>
        <w:rPr>
          <w:color w:val="231F20"/>
          <w:w w:val="110"/>
          <w:sz w:val="18"/>
        </w:rPr>
        <w:t>The Rock Church’s origins go back to the 1960s when the youth club of the former Presbyterian Church in Queen’s Rd, Everton, </w:t>
      </w:r>
      <w:r>
        <w:rPr>
          <w:color w:val="231F20"/>
          <w:spacing w:val="2"/>
          <w:w w:val="110"/>
          <w:sz w:val="18"/>
        </w:rPr>
        <w:t>after </w:t>
      </w:r>
      <w:r>
        <w:rPr>
          <w:color w:val="231F20"/>
          <w:w w:val="110"/>
          <w:sz w:val="18"/>
        </w:rPr>
        <w:t>the church’s closure, continued to meet in a redundant pub called the </w:t>
      </w:r>
      <w:r>
        <w:rPr>
          <w:color w:val="231F20"/>
          <w:spacing w:val="2"/>
          <w:w w:val="110"/>
          <w:sz w:val="18"/>
        </w:rPr>
        <w:t>Breckfield </w:t>
      </w:r>
      <w:r>
        <w:rPr>
          <w:color w:val="231F20"/>
          <w:w w:val="110"/>
          <w:sz w:val="18"/>
        </w:rPr>
        <w:t>Inn, which was converted into a Youth Club with an upstairs</w:t>
      </w:r>
      <w:r>
        <w:rPr>
          <w:color w:val="231F20"/>
          <w:spacing w:val="10"/>
          <w:w w:val="110"/>
          <w:sz w:val="18"/>
        </w:rPr>
        <w:t> </w:t>
      </w:r>
      <w:r>
        <w:rPr>
          <w:color w:val="231F20"/>
          <w:w w:val="110"/>
          <w:sz w:val="18"/>
        </w:rPr>
        <w:t>chapel.</w:t>
      </w:r>
    </w:p>
    <w:p>
      <w:pPr>
        <w:pStyle w:val="BodyText"/>
        <w:spacing w:before="9"/>
        <w:rPr>
          <w:sz w:val="20"/>
        </w:rPr>
      </w:pPr>
    </w:p>
    <w:p>
      <w:pPr>
        <w:pStyle w:val="ListParagraph"/>
        <w:numPr>
          <w:ilvl w:val="1"/>
          <w:numId w:val="24"/>
        </w:numPr>
        <w:tabs>
          <w:tab w:pos="1960" w:val="left" w:leader="none"/>
          <w:tab w:pos="1961" w:val="left" w:leader="none"/>
        </w:tabs>
        <w:spacing w:line="273" w:lineRule="auto" w:before="0" w:after="0"/>
        <w:ind w:left="1240" w:right="1133" w:firstLine="0"/>
        <w:jc w:val="left"/>
        <w:rPr>
          <w:sz w:val="18"/>
        </w:rPr>
      </w:pPr>
      <w:r>
        <w:rPr>
          <w:color w:val="231F20"/>
          <w:w w:val="110"/>
          <w:sz w:val="18"/>
        </w:rPr>
        <w:t>Eventually, </w:t>
      </w:r>
      <w:r>
        <w:rPr>
          <w:color w:val="231F20"/>
          <w:spacing w:val="2"/>
          <w:w w:val="110"/>
          <w:sz w:val="18"/>
        </w:rPr>
        <w:t>after </w:t>
      </w:r>
      <w:r>
        <w:rPr>
          <w:color w:val="231F20"/>
          <w:w w:val="110"/>
          <w:sz w:val="18"/>
        </w:rPr>
        <w:t>calling a minister, the Revd John Johansen-Berg, the Rock  Church Centre was opened in </w:t>
      </w:r>
      <w:r>
        <w:rPr>
          <w:color w:val="231F20"/>
          <w:spacing w:val="-4"/>
          <w:w w:val="110"/>
          <w:sz w:val="18"/>
        </w:rPr>
        <w:t>1972 </w:t>
      </w:r>
      <w:r>
        <w:rPr>
          <w:color w:val="231F20"/>
          <w:w w:val="110"/>
          <w:sz w:val="18"/>
        </w:rPr>
        <w:t>and a pioneering community ministry reaching out to young and old alike was developed. This ministry was continued faithfully over the </w:t>
      </w:r>
      <w:r>
        <w:rPr>
          <w:color w:val="231F20"/>
          <w:spacing w:val="2"/>
          <w:w w:val="110"/>
          <w:sz w:val="18"/>
        </w:rPr>
        <w:t>next thirty </w:t>
      </w:r>
      <w:r>
        <w:rPr>
          <w:color w:val="231F20"/>
          <w:w w:val="110"/>
          <w:sz w:val="18"/>
        </w:rPr>
        <w:t>years and gained support </w:t>
      </w:r>
      <w:r>
        <w:rPr>
          <w:color w:val="231F20"/>
          <w:spacing w:val="2"/>
          <w:w w:val="110"/>
          <w:sz w:val="18"/>
        </w:rPr>
        <w:t>from </w:t>
      </w:r>
      <w:r>
        <w:rPr>
          <w:color w:val="231F20"/>
          <w:w w:val="110"/>
          <w:sz w:val="18"/>
        </w:rPr>
        <w:t>many “Friends of the Rock” throughout the </w:t>
      </w:r>
      <w:r>
        <w:rPr>
          <w:color w:val="231F20"/>
          <w:spacing w:val="2"/>
          <w:w w:val="110"/>
          <w:sz w:val="18"/>
        </w:rPr>
        <w:t>country </w:t>
      </w:r>
      <w:r>
        <w:rPr>
          <w:color w:val="231F20"/>
          <w:w w:val="110"/>
          <w:sz w:val="18"/>
        </w:rPr>
        <w:t>and</w:t>
      </w:r>
      <w:r>
        <w:rPr>
          <w:color w:val="231F20"/>
          <w:spacing w:val="7"/>
          <w:w w:val="110"/>
          <w:sz w:val="18"/>
        </w:rPr>
        <w:t> </w:t>
      </w:r>
      <w:r>
        <w:rPr>
          <w:color w:val="231F20"/>
          <w:w w:val="110"/>
          <w:sz w:val="18"/>
        </w:rPr>
        <w:t>was</w:t>
      </w:r>
      <w:r>
        <w:rPr>
          <w:color w:val="231F20"/>
          <w:spacing w:val="7"/>
          <w:w w:val="110"/>
          <w:sz w:val="18"/>
        </w:rPr>
        <w:t> </w:t>
      </w:r>
      <w:r>
        <w:rPr>
          <w:color w:val="231F20"/>
          <w:w w:val="110"/>
          <w:sz w:val="18"/>
        </w:rPr>
        <w:t>well</w:t>
      </w:r>
      <w:r>
        <w:rPr>
          <w:color w:val="231F20"/>
          <w:spacing w:val="8"/>
          <w:w w:val="110"/>
          <w:sz w:val="18"/>
        </w:rPr>
        <w:t> </w:t>
      </w:r>
      <w:r>
        <w:rPr>
          <w:color w:val="231F20"/>
          <w:w w:val="110"/>
          <w:sz w:val="18"/>
        </w:rPr>
        <w:t>regarded</w:t>
      </w:r>
      <w:r>
        <w:rPr>
          <w:color w:val="231F20"/>
          <w:spacing w:val="7"/>
          <w:w w:val="110"/>
          <w:sz w:val="18"/>
        </w:rPr>
        <w:t> </w:t>
      </w:r>
      <w:r>
        <w:rPr>
          <w:color w:val="231F20"/>
          <w:w w:val="110"/>
          <w:sz w:val="18"/>
        </w:rPr>
        <w:t>by</w:t>
      </w:r>
      <w:r>
        <w:rPr>
          <w:color w:val="231F20"/>
          <w:spacing w:val="7"/>
          <w:w w:val="110"/>
          <w:sz w:val="18"/>
        </w:rPr>
        <w:t> </w:t>
      </w:r>
      <w:r>
        <w:rPr>
          <w:color w:val="231F20"/>
          <w:w w:val="110"/>
          <w:sz w:val="18"/>
        </w:rPr>
        <w:t>the</w:t>
      </w:r>
      <w:r>
        <w:rPr>
          <w:color w:val="231F20"/>
          <w:spacing w:val="8"/>
          <w:w w:val="110"/>
          <w:sz w:val="18"/>
        </w:rPr>
        <w:t> </w:t>
      </w:r>
      <w:r>
        <w:rPr>
          <w:color w:val="231F20"/>
          <w:w w:val="110"/>
          <w:sz w:val="18"/>
        </w:rPr>
        <w:t>community,</w:t>
      </w:r>
      <w:r>
        <w:rPr>
          <w:color w:val="231F20"/>
          <w:spacing w:val="7"/>
          <w:w w:val="110"/>
          <w:sz w:val="18"/>
        </w:rPr>
        <w:t> </w:t>
      </w:r>
      <w:r>
        <w:rPr>
          <w:color w:val="231F20"/>
          <w:w w:val="110"/>
          <w:sz w:val="18"/>
        </w:rPr>
        <w:t>especially</w:t>
      </w:r>
      <w:r>
        <w:rPr>
          <w:color w:val="231F20"/>
          <w:spacing w:val="7"/>
          <w:w w:val="110"/>
          <w:sz w:val="18"/>
        </w:rPr>
        <w:t> </w:t>
      </w:r>
      <w:r>
        <w:rPr>
          <w:color w:val="231F20"/>
          <w:w w:val="110"/>
          <w:sz w:val="18"/>
        </w:rPr>
        <w:t>for</w:t>
      </w:r>
      <w:r>
        <w:rPr>
          <w:color w:val="231F20"/>
          <w:spacing w:val="8"/>
          <w:w w:val="110"/>
          <w:sz w:val="18"/>
        </w:rPr>
        <w:t> </w:t>
      </w:r>
      <w:r>
        <w:rPr>
          <w:color w:val="231F20"/>
          <w:w w:val="110"/>
          <w:sz w:val="18"/>
        </w:rPr>
        <w:t>its</w:t>
      </w:r>
      <w:r>
        <w:rPr>
          <w:color w:val="231F20"/>
          <w:spacing w:val="7"/>
          <w:w w:val="110"/>
          <w:sz w:val="18"/>
        </w:rPr>
        <w:t> </w:t>
      </w:r>
      <w:r>
        <w:rPr>
          <w:color w:val="231F20"/>
          <w:w w:val="110"/>
          <w:sz w:val="18"/>
        </w:rPr>
        <w:t>work</w:t>
      </w:r>
      <w:r>
        <w:rPr>
          <w:color w:val="231F20"/>
          <w:spacing w:val="7"/>
          <w:w w:val="110"/>
          <w:sz w:val="18"/>
        </w:rPr>
        <w:t> </w:t>
      </w:r>
      <w:r>
        <w:rPr>
          <w:color w:val="231F20"/>
          <w:w w:val="110"/>
          <w:sz w:val="18"/>
        </w:rPr>
        <w:t>with</w:t>
      </w:r>
      <w:r>
        <w:rPr>
          <w:color w:val="231F20"/>
          <w:spacing w:val="8"/>
          <w:w w:val="110"/>
          <w:sz w:val="18"/>
        </w:rPr>
        <w:t> </w:t>
      </w:r>
      <w:r>
        <w:rPr>
          <w:color w:val="231F20"/>
          <w:w w:val="110"/>
          <w:sz w:val="18"/>
        </w:rPr>
        <w:t>younger</w:t>
      </w:r>
      <w:r>
        <w:rPr>
          <w:color w:val="231F20"/>
          <w:spacing w:val="7"/>
          <w:w w:val="110"/>
          <w:sz w:val="18"/>
        </w:rPr>
        <w:t> </w:t>
      </w:r>
      <w:r>
        <w:rPr>
          <w:color w:val="231F20"/>
          <w:w w:val="110"/>
          <w:sz w:val="18"/>
        </w:rPr>
        <w:t>people,</w:t>
      </w:r>
    </w:p>
    <w:p>
      <w:pPr>
        <w:pStyle w:val="BodyText"/>
        <w:spacing w:before="3"/>
        <w:ind w:left="1240"/>
      </w:pPr>
      <w:r>
        <w:rPr>
          <w:color w:val="231F20"/>
          <w:w w:val="110"/>
        </w:rPr>
        <w:t>a number of whom have gone on to </w:t>
      </w:r>
      <w:r>
        <w:rPr>
          <w:color w:val="231F20"/>
          <w:spacing w:val="2"/>
          <w:w w:val="110"/>
        </w:rPr>
        <w:t>serve </w:t>
      </w:r>
      <w:r>
        <w:rPr>
          <w:color w:val="231F20"/>
          <w:w w:val="110"/>
        </w:rPr>
        <w:t>the church in ordained and other</w:t>
      </w:r>
      <w:r>
        <w:rPr>
          <w:color w:val="231F20"/>
          <w:spacing w:val="60"/>
          <w:w w:val="110"/>
        </w:rPr>
        <w:t> </w:t>
      </w:r>
      <w:r>
        <w:rPr>
          <w:color w:val="231F20"/>
          <w:w w:val="110"/>
        </w:rPr>
        <w:t>ministries.</w:t>
      </w:r>
    </w:p>
    <w:p>
      <w:pPr>
        <w:pStyle w:val="BodyText"/>
        <w:spacing w:before="2"/>
        <w:rPr>
          <w:sz w:val="23"/>
        </w:rPr>
      </w:pPr>
    </w:p>
    <w:p>
      <w:pPr>
        <w:pStyle w:val="ListParagraph"/>
        <w:numPr>
          <w:ilvl w:val="1"/>
          <w:numId w:val="24"/>
        </w:numPr>
        <w:tabs>
          <w:tab w:pos="1960" w:val="left" w:leader="none"/>
          <w:tab w:pos="1961" w:val="left" w:leader="none"/>
        </w:tabs>
        <w:spacing w:line="273" w:lineRule="auto" w:before="0" w:after="0"/>
        <w:ind w:left="1240" w:right="1182" w:firstLine="0"/>
        <w:jc w:val="left"/>
        <w:rPr>
          <w:sz w:val="18"/>
        </w:rPr>
      </w:pPr>
      <w:r>
        <w:rPr>
          <w:color w:val="231F20"/>
          <w:w w:val="110"/>
          <w:sz w:val="18"/>
        </w:rPr>
        <w:t>In the last few years, </w:t>
      </w:r>
      <w:r>
        <w:rPr>
          <w:color w:val="231F20"/>
          <w:spacing w:val="-3"/>
          <w:w w:val="110"/>
          <w:sz w:val="18"/>
        </w:rPr>
        <w:t>however, </w:t>
      </w:r>
      <w:r>
        <w:rPr>
          <w:color w:val="231F20"/>
          <w:w w:val="110"/>
          <w:sz w:val="18"/>
        </w:rPr>
        <w:t>the worshipping congregation has grown smaller and a number of significant building problems emerged, which led to the </w:t>
      </w:r>
      <w:r>
        <w:rPr>
          <w:color w:val="231F20"/>
          <w:spacing w:val="2"/>
          <w:w w:val="110"/>
          <w:sz w:val="18"/>
        </w:rPr>
        <w:t>attached </w:t>
      </w:r>
      <w:r>
        <w:rPr>
          <w:color w:val="231F20"/>
          <w:spacing w:val="73"/>
          <w:w w:val="110"/>
          <w:sz w:val="18"/>
        </w:rPr>
        <w:t> </w:t>
      </w:r>
      <w:r>
        <w:rPr>
          <w:color w:val="231F20"/>
          <w:spacing w:val="3"/>
          <w:w w:val="110"/>
          <w:sz w:val="18"/>
        </w:rPr>
        <w:t>Sports </w:t>
      </w:r>
      <w:r>
        <w:rPr>
          <w:color w:val="231F20"/>
          <w:w w:val="110"/>
          <w:sz w:val="18"/>
        </w:rPr>
        <w:t>Hall having to be </w:t>
      </w:r>
      <w:r>
        <w:rPr>
          <w:color w:val="231F20"/>
          <w:spacing w:val="2"/>
          <w:w w:val="110"/>
          <w:sz w:val="18"/>
        </w:rPr>
        <w:t>closed </w:t>
      </w:r>
      <w:r>
        <w:rPr>
          <w:color w:val="231F20"/>
          <w:w w:val="110"/>
          <w:sz w:val="18"/>
        </w:rPr>
        <w:t>and other major problems developing. Reluctantly, and with great sadness, the congregation took the decision to close in May 2006 as its work  in that place was no longer sustainable. The majority of the Rock’s </w:t>
      </w:r>
      <w:r>
        <w:rPr>
          <w:color w:val="231F20"/>
          <w:spacing w:val="2"/>
          <w:w w:val="110"/>
          <w:sz w:val="18"/>
        </w:rPr>
        <w:t>members </w:t>
      </w:r>
      <w:r>
        <w:rPr>
          <w:color w:val="231F20"/>
          <w:w w:val="110"/>
          <w:sz w:val="18"/>
        </w:rPr>
        <w:t>have found a spiritual home in the nearby Chadwick Mount URC. A </w:t>
      </w:r>
      <w:r>
        <w:rPr>
          <w:color w:val="231F20"/>
          <w:spacing w:val="2"/>
          <w:w w:val="110"/>
          <w:sz w:val="18"/>
        </w:rPr>
        <w:t>service </w:t>
      </w:r>
      <w:r>
        <w:rPr>
          <w:color w:val="231F20"/>
          <w:w w:val="110"/>
          <w:sz w:val="18"/>
        </w:rPr>
        <w:t>of thanksgiving was held on 2</w:t>
      </w:r>
      <w:r>
        <w:rPr>
          <w:color w:val="231F20"/>
          <w:w w:val="110"/>
          <w:position w:val="6"/>
          <w:sz w:val="10"/>
        </w:rPr>
        <w:t>nd </w:t>
      </w:r>
      <w:r>
        <w:rPr>
          <w:color w:val="231F20"/>
          <w:w w:val="110"/>
          <w:sz w:val="18"/>
        </w:rPr>
        <w:t>September</w:t>
      </w:r>
      <w:r>
        <w:rPr>
          <w:color w:val="231F20"/>
          <w:spacing w:val="-5"/>
          <w:w w:val="110"/>
          <w:sz w:val="18"/>
        </w:rPr>
        <w:t> </w:t>
      </w:r>
      <w:r>
        <w:rPr>
          <w:color w:val="231F20"/>
          <w:w w:val="110"/>
          <w:sz w:val="18"/>
        </w:rPr>
        <w:t>2006.</w:t>
      </w:r>
    </w:p>
    <w:p>
      <w:pPr>
        <w:pStyle w:val="BodyText"/>
        <w:spacing w:before="11"/>
        <w:rPr>
          <w:sz w:val="12"/>
        </w:rPr>
      </w:pPr>
    </w:p>
    <w:p>
      <w:pPr>
        <w:spacing w:before="309"/>
        <w:ind w:left="107" w:right="0" w:firstLine="0"/>
        <w:jc w:val="center"/>
        <w:rPr>
          <w:i/>
          <w:sz w:val="24"/>
        </w:rPr>
      </w:pPr>
      <w:r>
        <w:rPr>
          <w:i/>
          <w:color w:val="231F20"/>
          <w:w w:val="600"/>
          <w:sz w:val="24"/>
        </w:rPr>
        <w:t>   </w:t>
      </w:r>
    </w:p>
    <w:p>
      <w:pPr>
        <w:spacing w:after="0"/>
        <w:jc w:val="center"/>
        <w:rPr>
          <w:sz w:val="24"/>
        </w:rPr>
        <w:sectPr>
          <w:pgSz w:w="11910" w:h="16840"/>
          <w:pgMar w:header="558" w:footer="564" w:top="820" w:bottom="760" w:left="460" w:right="0"/>
        </w:sectPr>
      </w:pPr>
    </w:p>
    <w:p>
      <w:pPr>
        <w:pStyle w:val="BodyText"/>
        <w:spacing w:before="5"/>
        <w:rPr>
          <w:i/>
          <w:sz w:val="16"/>
        </w:rPr>
      </w:pPr>
    </w:p>
    <w:p>
      <w:pPr>
        <w:spacing w:after="0"/>
        <w:rPr>
          <w:sz w:val="16"/>
        </w:rPr>
        <w:sectPr>
          <w:headerReference w:type="even" r:id="rId61"/>
          <w:footerReference w:type="even" r:id="rId62"/>
          <w:pgSz w:w="11910" w:h="16840"/>
          <w:pgMar w:header="0" w:footer="484" w:top="1580" w:bottom="680" w:left="460" w:right="0"/>
          <w:pgNumType w:start="44"/>
        </w:sectPr>
      </w:pPr>
    </w:p>
    <w:p>
      <w:pPr>
        <w:pStyle w:val="ListParagraph"/>
        <w:numPr>
          <w:ilvl w:val="1"/>
          <w:numId w:val="25"/>
        </w:numPr>
        <w:tabs>
          <w:tab w:pos="1921" w:val="left" w:leader="none"/>
          <w:tab w:pos="1922" w:val="left" w:leader="none"/>
        </w:tabs>
        <w:spacing w:line="273" w:lineRule="auto" w:before="88" w:after="0"/>
        <w:ind w:left="1240" w:right="2665" w:firstLine="0"/>
        <w:jc w:val="left"/>
        <w:rPr>
          <w:sz w:val="18"/>
        </w:rPr>
      </w:pPr>
      <w:r>
        <w:rPr/>
        <w:pict>
          <v:shape style="position:absolute;margin-left:505.59729pt;margin-top:36.840614pt;width:70.350pt;height:512.15pt;mso-position-horizontal-relative:page;mso-position-vertical-relative:page;z-index:251704320" type="#_x0000_t202" filled="false" stroked="false">
            <v:textbox inset="0,0,0,0" style="layout-flow:vertical">
              <w:txbxContent>
                <w:p>
                  <w:pPr>
                    <w:spacing w:line="1005" w:lineRule="exact" w:before="20"/>
                    <w:ind w:left="20" w:right="0" w:firstLine="0"/>
                    <w:jc w:val="left"/>
                    <w:rPr>
                      <w:b/>
                      <w:sz w:val="88"/>
                    </w:rPr>
                  </w:pPr>
                  <w:r>
                    <w:rPr>
                      <w:b/>
                      <w:color w:val="231F20"/>
                      <w:sz w:val="88"/>
                    </w:rPr>
                    <w:t>Mission Council</w:t>
                  </w:r>
                </w:p>
                <w:p>
                  <w:pPr>
                    <w:spacing w:line="380" w:lineRule="exact" w:before="0"/>
                    <w:ind w:left="6445"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Mission Council’s task is to take a comprehensive view of the work of</w:t>
      </w:r>
      <w:r>
        <w:rPr>
          <w:color w:val="231F20"/>
          <w:spacing w:val="11"/>
          <w:w w:val="110"/>
          <w:sz w:val="18"/>
        </w:rPr>
        <w:t> </w:t>
      </w:r>
      <w:r>
        <w:rPr>
          <w:color w:val="231F20"/>
          <w:w w:val="110"/>
          <w:sz w:val="18"/>
        </w:rPr>
        <w:t>General</w:t>
      </w:r>
      <w:r>
        <w:rPr>
          <w:color w:val="231F20"/>
          <w:spacing w:val="12"/>
          <w:w w:val="110"/>
          <w:sz w:val="18"/>
        </w:rPr>
        <w:t> </w:t>
      </w:r>
      <w:r>
        <w:rPr>
          <w:color w:val="231F20"/>
          <w:w w:val="110"/>
          <w:sz w:val="18"/>
        </w:rPr>
        <w:t>Assembly;</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decide</w:t>
      </w:r>
      <w:r>
        <w:rPr>
          <w:color w:val="231F20"/>
          <w:spacing w:val="12"/>
          <w:w w:val="110"/>
          <w:sz w:val="18"/>
        </w:rPr>
        <w:t> </w:t>
      </w:r>
      <w:r>
        <w:rPr>
          <w:color w:val="231F20"/>
          <w:w w:val="110"/>
          <w:sz w:val="18"/>
        </w:rPr>
        <w:t>on</w:t>
      </w:r>
      <w:r>
        <w:rPr>
          <w:color w:val="231F20"/>
          <w:spacing w:val="12"/>
          <w:w w:val="110"/>
          <w:sz w:val="18"/>
        </w:rPr>
        <w:t> </w:t>
      </w:r>
      <w:r>
        <w:rPr>
          <w:color w:val="231F20"/>
          <w:w w:val="110"/>
          <w:sz w:val="18"/>
        </w:rPr>
        <w:t>priorities;</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encourage</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United</w:t>
      </w:r>
    </w:p>
    <w:p>
      <w:pPr>
        <w:pStyle w:val="BodyText"/>
        <w:spacing w:line="273" w:lineRule="auto" w:before="1"/>
        <w:ind w:left="1240" w:right="2219"/>
      </w:pPr>
      <w:r>
        <w:rPr>
          <w:color w:val="231F20"/>
          <w:w w:val="110"/>
        </w:rPr>
        <w:t>Reformed Church at all levels in its engagement with the world. The scope of this engagement ranges </w:t>
      </w:r>
      <w:r>
        <w:rPr>
          <w:color w:val="231F20"/>
          <w:spacing w:val="2"/>
          <w:w w:val="110"/>
        </w:rPr>
        <w:t>from </w:t>
      </w:r>
      <w:r>
        <w:rPr>
          <w:color w:val="231F20"/>
          <w:w w:val="110"/>
        </w:rPr>
        <w:t>the local to the international arena, and includes relationships with ecumenical </w:t>
      </w:r>
      <w:r>
        <w:rPr>
          <w:color w:val="231F20"/>
          <w:spacing w:val="2"/>
          <w:w w:val="110"/>
        </w:rPr>
        <w:t>partners </w:t>
      </w:r>
      <w:r>
        <w:rPr>
          <w:color w:val="231F20"/>
          <w:w w:val="110"/>
        </w:rPr>
        <w:t>in the UK and overseas. While Mission Council </w:t>
      </w:r>
      <w:r>
        <w:rPr>
          <w:color w:val="231F20"/>
          <w:spacing w:val="3"/>
          <w:w w:val="110"/>
        </w:rPr>
        <w:t>services </w:t>
      </w:r>
      <w:r>
        <w:rPr>
          <w:color w:val="231F20"/>
          <w:w w:val="110"/>
        </w:rPr>
        <w:t>and maintains the work of General Assembly </w:t>
      </w:r>
      <w:r>
        <w:rPr>
          <w:color w:val="231F20"/>
          <w:spacing w:val="2"/>
          <w:w w:val="110"/>
        </w:rPr>
        <w:t>from </w:t>
      </w:r>
      <w:r>
        <w:rPr>
          <w:color w:val="231F20"/>
          <w:w w:val="110"/>
        </w:rPr>
        <w:t>one year to the next, it is principally concerned about the Church’s future direction and the </w:t>
      </w:r>
      <w:r>
        <w:rPr>
          <w:color w:val="231F20"/>
          <w:spacing w:val="2"/>
          <w:w w:val="110"/>
        </w:rPr>
        <w:t>support </w:t>
      </w:r>
      <w:r>
        <w:rPr>
          <w:color w:val="231F20"/>
          <w:w w:val="110"/>
        </w:rPr>
        <w:t>of all its</w:t>
      </w:r>
      <w:r>
        <w:rPr>
          <w:color w:val="231F20"/>
          <w:spacing w:val="3"/>
          <w:w w:val="110"/>
        </w:rPr>
        <w:t> </w:t>
      </w:r>
      <w:r>
        <w:rPr>
          <w:color w:val="231F20"/>
          <w:w w:val="110"/>
        </w:rPr>
        <w:t>members.</w:t>
      </w:r>
    </w:p>
    <w:p>
      <w:pPr>
        <w:pStyle w:val="BodyText"/>
        <w:spacing w:before="11"/>
        <w:rPr>
          <w:sz w:val="20"/>
        </w:rPr>
      </w:pPr>
    </w:p>
    <w:p>
      <w:pPr>
        <w:pStyle w:val="ListParagraph"/>
        <w:numPr>
          <w:ilvl w:val="1"/>
          <w:numId w:val="25"/>
        </w:numPr>
        <w:tabs>
          <w:tab w:pos="1960" w:val="left" w:leader="none"/>
          <w:tab w:pos="1961" w:val="left" w:leader="none"/>
        </w:tabs>
        <w:spacing w:line="273" w:lineRule="auto" w:before="0" w:after="0"/>
        <w:ind w:left="1240" w:right="2234" w:firstLine="0"/>
        <w:jc w:val="left"/>
        <w:rPr>
          <w:sz w:val="18"/>
        </w:rPr>
      </w:pPr>
      <w:r>
        <w:rPr>
          <w:color w:val="231F20"/>
          <w:w w:val="110"/>
          <w:sz w:val="18"/>
          <w:u w:val="single" w:color="231F20"/>
        </w:rPr>
        <w:t>Members:</w:t>
      </w:r>
      <w:r>
        <w:rPr>
          <w:color w:val="231F20"/>
          <w:w w:val="110"/>
          <w:sz w:val="18"/>
        </w:rPr>
        <w:t>  The officers of the General Assembly, the past </w:t>
      </w:r>
      <w:r>
        <w:rPr>
          <w:color w:val="231F20"/>
          <w:spacing w:val="-3"/>
          <w:w w:val="110"/>
          <w:sz w:val="18"/>
        </w:rPr>
        <w:t>Moderator, </w:t>
      </w:r>
      <w:r>
        <w:rPr>
          <w:color w:val="231F20"/>
          <w:w w:val="110"/>
          <w:sz w:val="18"/>
        </w:rPr>
        <w:t>the Moderator-elect, the Legal </w:t>
      </w:r>
      <w:r>
        <w:rPr>
          <w:color w:val="231F20"/>
          <w:spacing w:val="-3"/>
          <w:w w:val="110"/>
          <w:sz w:val="18"/>
        </w:rPr>
        <w:t>Adviser, </w:t>
      </w:r>
      <w:r>
        <w:rPr>
          <w:color w:val="231F20"/>
          <w:w w:val="110"/>
          <w:sz w:val="18"/>
        </w:rPr>
        <w:t>the conveners of the Assembly standing committees </w:t>
      </w:r>
      <w:r>
        <w:rPr>
          <w:color w:val="231F20"/>
          <w:spacing w:val="-4"/>
          <w:w w:val="110"/>
          <w:sz w:val="18"/>
        </w:rPr>
        <w:t>(except </w:t>
      </w:r>
      <w:r>
        <w:rPr>
          <w:color w:val="231F20"/>
          <w:w w:val="110"/>
          <w:sz w:val="18"/>
        </w:rPr>
        <w:t>the Pastoral Reference </w:t>
      </w:r>
      <w:r>
        <w:rPr>
          <w:color w:val="231F20"/>
          <w:spacing w:val="-3"/>
          <w:w w:val="110"/>
          <w:sz w:val="18"/>
        </w:rPr>
        <w:t>Committee), </w:t>
      </w:r>
      <w:r>
        <w:rPr>
          <w:color w:val="231F20"/>
          <w:w w:val="110"/>
          <w:sz w:val="18"/>
        </w:rPr>
        <w:t>the synod</w:t>
      </w:r>
      <w:r>
        <w:rPr>
          <w:color w:val="231F20"/>
          <w:spacing w:val="49"/>
          <w:w w:val="110"/>
          <w:sz w:val="18"/>
        </w:rPr>
        <w:t> </w:t>
      </w:r>
      <w:r>
        <w:rPr>
          <w:color w:val="231F20"/>
          <w:w w:val="110"/>
          <w:sz w:val="18"/>
        </w:rPr>
        <w:t>moderators,</w:t>
      </w:r>
    </w:p>
    <w:p>
      <w:pPr>
        <w:pStyle w:val="BodyText"/>
        <w:spacing w:before="2"/>
        <w:ind w:left="1240"/>
      </w:pPr>
      <w:r>
        <w:rPr>
          <w:color w:val="231F20"/>
          <w:w w:val="110"/>
        </w:rPr>
        <w:t>two representatives of FURY Council, and three representatives from each synod.</w:t>
      </w:r>
    </w:p>
    <w:p>
      <w:pPr>
        <w:pStyle w:val="BodyText"/>
        <w:spacing w:before="1"/>
        <w:rPr>
          <w:sz w:val="23"/>
        </w:rPr>
      </w:pPr>
    </w:p>
    <w:p>
      <w:pPr>
        <w:pStyle w:val="ListParagraph"/>
        <w:numPr>
          <w:ilvl w:val="1"/>
          <w:numId w:val="25"/>
        </w:numPr>
        <w:tabs>
          <w:tab w:pos="1960" w:val="left" w:leader="none"/>
          <w:tab w:pos="1961" w:val="left" w:leader="none"/>
        </w:tabs>
        <w:spacing w:line="273" w:lineRule="auto" w:before="0" w:after="0"/>
        <w:ind w:left="1240" w:right="2365" w:firstLine="0"/>
        <w:jc w:val="left"/>
        <w:rPr>
          <w:sz w:val="18"/>
        </w:rPr>
      </w:pPr>
      <w:r>
        <w:rPr>
          <w:color w:val="231F20"/>
          <w:w w:val="110"/>
          <w:sz w:val="18"/>
          <w:u w:val="single" w:color="231F20"/>
        </w:rPr>
        <w:t>Mission Council Representatives appointed by synods</w:t>
      </w:r>
      <w:r>
        <w:rPr>
          <w:color w:val="231F20"/>
          <w:w w:val="110"/>
          <w:sz w:val="18"/>
        </w:rPr>
        <w:t> (in March 2007) were:</w:t>
      </w:r>
    </w:p>
    <w:p>
      <w:pPr>
        <w:pStyle w:val="BodyText"/>
        <w:spacing w:before="8"/>
        <w:rPr>
          <w:sz w:val="20"/>
        </w:rPr>
      </w:pPr>
    </w:p>
    <w:p>
      <w:pPr>
        <w:pStyle w:val="BodyText"/>
        <w:tabs>
          <w:tab w:pos="2879" w:val="left" w:leader="none"/>
        </w:tabs>
        <w:ind w:right="2194"/>
        <w:jc w:val="center"/>
      </w:pPr>
      <w:r>
        <w:rPr>
          <w:color w:val="231F20"/>
          <w:w w:val="110"/>
        </w:rPr>
        <w:t>Northern</w:t>
      </w:r>
      <w:r>
        <w:rPr>
          <w:color w:val="231F20"/>
          <w:spacing w:val="2"/>
          <w:w w:val="110"/>
        </w:rPr>
        <w:t> </w:t>
      </w:r>
      <w:r>
        <w:rPr>
          <w:color w:val="231F20"/>
          <w:w w:val="110"/>
        </w:rPr>
        <w:t>Synod</w:t>
        <w:tab/>
        <w:t>Miss Elaine Colechin, </w:t>
      </w:r>
      <w:r>
        <w:rPr>
          <w:color w:val="231F20"/>
          <w:spacing w:val="-3"/>
          <w:w w:val="110"/>
        </w:rPr>
        <w:t>Revd </w:t>
      </w:r>
      <w:r>
        <w:rPr>
          <w:color w:val="231F20"/>
          <w:w w:val="110"/>
        </w:rPr>
        <w:t>John</w:t>
      </w:r>
      <w:r>
        <w:rPr>
          <w:color w:val="231F20"/>
          <w:spacing w:val="-16"/>
          <w:w w:val="110"/>
        </w:rPr>
        <w:t> </w:t>
      </w:r>
      <w:r>
        <w:rPr>
          <w:color w:val="231F20"/>
          <w:w w:val="110"/>
        </w:rPr>
        <w:t>Durell,</w:t>
      </w:r>
    </w:p>
    <w:p>
      <w:pPr>
        <w:pStyle w:val="BodyText"/>
        <w:spacing w:before="32"/>
        <w:ind w:left="1115" w:right="2667"/>
        <w:jc w:val="center"/>
      </w:pPr>
      <w:r>
        <w:rPr>
          <w:color w:val="231F20"/>
          <w:w w:val="110"/>
        </w:rPr>
        <w:t>Mr Michael Louis</w:t>
      </w:r>
    </w:p>
    <w:p>
      <w:pPr>
        <w:pStyle w:val="BodyText"/>
        <w:tabs>
          <w:tab w:pos="2879" w:val="left" w:leader="none"/>
        </w:tabs>
        <w:spacing w:before="31"/>
        <w:ind w:right="1651"/>
        <w:jc w:val="center"/>
      </w:pPr>
      <w:r>
        <w:rPr>
          <w:color w:val="231F20"/>
          <w:spacing w:val="2"/>
          <w:w w:val="110"/>
        </w:rPr>
        <w:t>North</w:t>
      </w:r>
      <w:r>
        <w:rPr>
          <w:color w:val="231F20"/>
          <w:spacing w:val="10"/>
          <w:w w:val="110"/>
        </w:rPr>
        <w:t> </w:t>
      </w:r>
      <w:r>
        <w:rPr>
          <w:color w:val="231F20"/>
          <w:w w:val="110"/>
        </w:rPr>
        <w:t>Western</w:t>
      </w:r>
      <w:r>
        <w:rPr>
          <w:color w:val="231F20"/>
          <w:spacing w:val="11"/>
          <w:w w:val="110"/>
        </w:rPr>
        <w:t> </w:t>
      </w:r>
      <w:r>
        <w:rPr>
          <w:color w:val="231F20"/>
          <w:w w:val="110"/>
        </w:rPr>
        <w:t>Synod</w:t>
        <w:tab/>
        <w:t>Miss Kathleen Cross, Revd Rachel</w:t>
      </w:r>
      <w:r>
        <w:rPr>
          <w:color w:val="231F20"/>
          <w:spacing w:val="18"/>
          <w:w w:val="110"/>
        </w:rPr>
        <w:t> </w:t>
      </w:r>
      <w:r>
        <w:rPr>
          <w:color w:val="231F20"/>
          <w:w w:val="110"/>
        </w:rPr>
        <w:t>Poolman,</w:t>
      </w:r>
    </w:p>
    <w:p>
      <w:pPr>
        <w:pStyle w:val="BodyText"/>
        <w:spacing w:before="31"/>
        <w:ind w:left="904" w:right="2194"/>
        <w:jc w:val="center"/>
      </w:pPr>
      <w:r>
        <w:rPr>
          <w:color w:val="231F20"/>
          <w:w w:val="110"/>
        </w:rPr>
        <w:t>Revd Alan Wickens</w:t>
      </w:r>
    </w:p>
    <w:p>
      <w:pPr>
        <w:pStyle w:val="BodyText"/>
        <w:tabs>
          <w:tab w:pos="4120" w:val="left" w:leader="none"/>
        </w:tabs>
        <w:spacing w:line="273" w:lineRule="auto" w:before="31"/>
        <w:ind w:left="4120" w:right="3181" w:hanging="2880"/>
      </w:pPr>
      <w:r>
        <w:rPr>
          <w:color w:val="231F20"/>
          <w:spacing w:val="2"/>
          <w:w w:val="110"/>
        </w:rPr>
        <w:t>Mersey</w:t>
      </w:r>
      <w:r>
        <w:rPr>
          <w:color w:val="231F20"/>
          <w:spacing w:val="7"/>
          <w:w w:val="110"/>
        </w:rPr>
        <w:t> </w:t>
      </w:r>
      <w:r>
        <w:rPr>
          <w:color w:val="231F20"/>
          <w:w w:val="110"/>
        </w:rPr>
        <w:t>Synod</w:t>
        <w:tab/>
        <w:t>Revd Jenny Morgan, </w:t>
      </w:r>
      <w:r>
        <w:rPr>
          <w:color w:val="231F20"/>
          <w:spacing w:val="2"/>
          <w:w w:val="110"/>
        </w:rPr>
        <w:t>Mrs </w:t>
      </w:r>
      <w:r>
        <w:rPr>
          <w:color w:val="231F20"/>
          <w:w w:val="110"/>
        </w:rPr>
        <w:t>Wilma Prentice, Mr Donald</w:t>
      </w:r>
      <w:r>
        <w:rPr>
          <w:color w:val="231F20"/>
          <w:spacing w:val="2"/>
          <w:w w:val="110"/>
        </w:rPr>
        <w:t> </w:t>
      </w:r>
      <w:r>
        <w:rPr>
          <w:color w:val="231F20"/>
          <w:w w:val="110"/>
        </w:rPr>
        <w:t>Swift</w:t>
      </w:r>
    </w:p>
    <w:p>
      <w:pPr>
        <w:pStyle w:val="BodyText"/>
        <w:tabs>
          <w:tab w:pos="4120" w:val="left" w:leader="none"/>
        </w:tabs>
        <w:spacing w:before="2"/>
        <w:ind w:left="1240"/>
      </w:pPr>
      <w:r>
        <w:rPr>
          <w:color w:val="231F20"/>
          <w:w w:val="110"/>
        </w:rPr>
        <w:t>Yorkshire</w:t>
      </w:r>
      <w:r>
        <w:rPr>
          <w:color w:val="231F20"/>
          <w:spacing w:val="9"/>
          <w:w w:val="110"/>
        </w:rPr>
        <w:t> </w:t>
      </w:r>
      <w:r>
        <w:rPr>
          <w:color w:val="231F20"/>
          <w:w w:val="110"/>
        </w:rPr>
        <w:t>Synod</w:t>
        <w:tab/>
        <w:t>Mr Roderick Garthwaite, Revd Pauline</w:t>
      </w:r>
      <w:r>
        <w:rPr>
          <w:color w:val="231F20"/>
          <w:spacing w:val="14"/>
          <w:w w:val="110"/>
        </w:rPr>
        <w:t> </w:t>
      </w:r>
      <w:r>
        <w:rPr>
          <w:color w:val="231F20"/>
          <w:w w:val="110"/>
        </w:rPr>
        <w:t>Loosemore,</w:t>
      </w:r>
    </w:p>
    <w:p>
      <w:pPr>
        <w:pStyle w:val="BodyText"/>
        <w:spacing w:before="31"/>
        <w:ind w:left="4120"/>
      </w:pPr>
      <w:r>
        <w:rPr>
          <w:color w:val="231F20"/>
          <w:w w:val="110"/>
        </w:rPr>
        <w:t>Mrs Val Morrison</w:t>
      </w:r>
    </w:p>
    <w:p>
      <w:pPr>
        <w:pStyle w:val="BodyText"/>
        <w:tabs>
          <w:tab w:pos="4120" w:val="left" w:leader="none"/>
        </w:tabs>
        <w:spacing w:line="273" w:lineRule="auto" w:before="31"/>
        <w:ind w:left="4120" w:right="2906" w:hanging="2880"/>
      </w:pPr>
      <w:r>
        <w:rPr>
          <w:color w:val="231F20"/>
          <w:w w:val="110"/>
        </w:rPr>
        <w:t>East</w:t>
      </w:r>
      <w:r>
        <w:rPr>
          <w:color w:val="231F20"/>
          <w:spacing w:val="9"/>
          <w:w w:val="110"/>
        </w:rPr>
        <w:t> </w:t>
      </w:r>
      <w:r>
        <w:rPr>
          <w:color w:val="231F20"/>
          <w:w w:val="110"/>
        </w:rPr>
        <w:t>Midlands</w:t>
      </w:r>
      <w:r>
        <w:rPr>
          <w:color w:val="231F20"/>
          <w:spacing w:val="10"/>
          <w:w w:val="110"/>
        </w:rPr>
        <w:t> </w:t>
      </w:r>
      <w:r>
        <w:rPr>
          <w:color w:val="231F20"/>
          <w:w w:val="110"/>
        </w:rPr>
        <w:t>Synod</w:t>
        <w:tab/>
        <w:t>Revd Jane Campbell, </w:t>
      </w:r>
      <w:r>
        <w:rPr>
          <w:color w:val="231F20"/>
          <w:spacing w:val="2"/>
          <w:w w:val="110"/>
        </w:rPr>
        <w:t>Mrs </w:t>
      </w:r>
      <w:r>
        <w:rPr>
          <w:color w:val="231F20"/>
          <w:w w:val="110"/>
        </w:rPr>
        <w:t>Margaret Gateley, </w:t>
      </w:r>
      <w:r>
        <w:rPr>
          <w:color w:val="231F20"/>
          <w:spacing w:val="2"/>
          <w:w w:val="110"/>
        </w:rPr>
        <w:t>Mrs </w:t>
      </w:r>
      <w:r>
        <w:rPr>
          <w:color w:val="231F20"/>
          <w:w w:val="110"/>
        </w:rPr>
        <w:t>Irene Wren</w:t>
      </w:r>
    </w:p>
    <w:p>
      <w:pPr>
        <w:pStyle w:val="BodyText"/>
        <w:tabs>
          <w:tab w:pos="4120" w:val="left" w:leader="none"/>
        </w:tabs>
        <w:spacing w:line="273" w:lineRule="auto" w:before="1"/>
        <w:ind w:left="4120" w:right="3107" w:hanging="2880"/>
      </w:pPr>
      <w:r>
        <w:rPr>
          <w:color w:val="231F20"/>
          <w:w w:val="110"/>
        </w:rPr>
        <w:t>West</w:t>
      </w:r>
      <w:r>
        <w:rPr>
          <w:color w:val="231F20"/>
          <w:spacing w:val="8"/>
          <w:w w:val="110"/>
        </w:rPr>
        <w:t> </w:t>
      </w:r>
      <w:r>
        <w:rPr>
          <w:color w:val="231F20"/>
          <w:w w:val="110"/>
        </w:rPr>
        <w:t>Midlands</w:t>
      </w:r>
      <w:r>
        <w:rPr>
          <w:color w:val="231F20"/>
          <w:spacing w:val="9"/>
          <w:w w:val="110"/>
        </w:rPr>
        <w:t> </w:t>
      </w:r>
      <w:r>
        <w:rPr>
          <w:color w:val="231F20"/>
          <w:w w:val="110"/>
        </w:rPr>
        <w:t>Synod</w:t>
        <w:tab/>
      </w:r>
      <w:r>
        <w:rPr>
          <w:color w:val="231F20"/>
          <w:spacing w:val="2"/>
          <w:w w:val="110"/>
        </w:rPr>
        <w:t>Mrs </w:t>
      </w:r>
      <w:r>
        <w:rPr>
          <w:color w:val="231F20"/>
          <w:w w:val="110"/>
        </w:rPr>
        <w:t>Melanie Frew, Revd Anthony Howells, Mr Bill</w:t>
      </w:r>
      <w:r>
        <w:rPr>
          <w:color w:val="231F20"/>
          <w:spacing w:val="2"/>
          <w:w w:val="110"/>
        </w:rPr>
        <w:t> </w:t>
      </w:r>
      <w:r>
        <w:rPr>
          <w:color w:val="231F20"/>
          <w:w w:val="110"/>
        </w:rPr>
        <w:t>Robson</w:t>
      </w:r>
    </w:p>
    <w:p>
      <w:pPr>
        <w:pStyle w:val="BodyText"/>
        <w:tabs>
          <w:tab w:pos="4120" w:val="left" w:leader="none"/>
        </w:tabs>
        <w:spacing w:line="273" w:lineRule="auto" w:before="2"/>
        <w:ind w:left="1240" w:right="2219"/>
      </w:pPr>
      <w:r>
        <w:rPr>
          <w:color w:val="231F20"/>
          <w:w w:val="110"/>
        </w:rPr>
        <w:t>Eastern</w:t>
      </w:r>
      <w:r>
        <w:rPr>
          <w:color w:val="231F20"/>
          <w:spacing w:val="12"/>
          <w:w w:val="110"/>
        </w:rPr>
        <w:t> </w:t>
      </w:r>
      <w:r>
        <w:rPr>
          <w:color w:val="231F20"/>
          <w:w w:val="110"/>
        </w:rPr>
        <w:t>Synod</w:t>
        <w:tab/>
        <w:t>Mr Mick Barnes, </w:t>
      </w:r>
      <w:r>
        <w:rPr>
          <w:color w:val="231F20"/>
          <w:spacing w:val="2"/>
          <w:w w:val="110"/>
        </w:rPr>
        <w:t>Mrs </w:t>
      </w:r>
      <w:r>
        <w:rPr>
          <w:color w:val="231F20"/>
          <w:w w:val="110"/>
        </w:rPr>
        <w:t>Joan </w:t>
      </w:r>
      <w:r>
        <w:rPr>
          <w:color w:val="231F20"/>
          <w:spacing w:val="-4"/>
          <w:w w:val="110"/>
        </w:rPr>
        <w:t>Turner, </w:t>
      </w:r>
      <w:r>
        <w:rPr>
          <w:color w:val="231F20"/>
          <w:w w:val="110"/>
        </w:rPr>
        <w:t>Revd Cecil White South</w:t>
      </w:r>
      <w:r>
        <w:rPr>
          <w:color w:val="231F20"/>
          <w:spacing w:val="11"/>
          <w:w w:val="110"/>
        </w:rPr>
        <w:t> </w:t>
      </w:r>
      <w:r>
        <w:rPr>
          <w:color w:val="231F20"/>
          <w:w w:val="110"/>
        </w:rPr>
        <w:t>Western</w:t>
      </w:r>
      <w:r>
        <w:rPr>
          <w:color w:val="231F20"/>
          <w:spacing w:val="11"/>
          <w:w w:val="110"/>
        </w:rPr>
        <w:t> </w:t>
      </w:r>
      <w:r>
        <w:rPr>
          <w:color w:val="231F20"/>
          <w:w w:val="110"/>
        </w:rPr>
        <w:t>Synod</w:t>
        <w:tab/>
      </w:r>
      <w:r>
        <w:rPr>
          <w:color w:val="231F20"/>
          <w:spacing w:val="2"/>
          <w:w w:val="110"/>
        </w:rPr>
        <w:t>Mrs </w:t>
      </w:r>
      <w:r>
        <w:rPr>
          <w:color w:val="231F20"/>
          <w:w w:val="110"/>
        </w:rPr>
        <w:t>Janet </w:t>
      </w:r>
      <w:r>
        <w:rPr>
          <w:color w:val="231F20"/>
          <w:spacing w:val="-3"/>
          <w:w w:val="110"/>
        </w:rPr>
        <w:t>Gray, </w:t>
      </w:r>
      <w:r>
        <w:rPr>
          <w:color w:val="231F20"/>
          <w:w w:val="110"/>
        </w:rPr>
        <w:t>Revd Roz</w:t>
      </w:r>
      <w:r>
        <w:rPr>
          <w:color w:val="231F20"/>
          <w:spacing w:val="11"/>
          <w:w w:val="110"/>
        </w:rPr>
        <w:t> </w:t>
      </w:r>
      <w:r>
        <w:rPr>
          <w:color w:val="231F20"/>
          <w:w w:val="110"/>
        </w:rPr>
        <w:t>Harrison,</w:t>
      </w:r>
    </w:p>
    <w:p>
      <w:pPr>
        <w:pStyle w:val="BodyText"/>
        <w:spacing w:before="1"/>
        <w:ind w:left="4120"/>
      </w:pPr>
      <w:r>
        <w:rPr>
          <w:color w:val="231F20"/>
          <w:w w:val="110"/>
        </w:rPr>
        <w:t>Revd Stephen Newell</w:t>
      </w:r>
    </w:p>
    <w:p>
      <w:pPr>
        <w:pStyle w:val="BodyText"/>
        <w:tabs>
          <w:tab w:pos="4120" w:val="left" w:leader="none"/>
        </w:tabs>
        <w:spacing w:line="273" w:lineRule="auto" w:before="31"/>
        <w:ind w:left="4120" w:right="3984" w:hanging="2880"/>
      </w:pPr>
      <w:r>
        <w:rPr>
          <w:color w:val="231F20"/>
          <w:w w:val="110"/>
        </w:rPr>
        <w:t>Wessex</w:t>
      </w:r>
      <w:r>
        <w:rPr>
          <w:color w:val="231F20"/>
          <w:spacing w:val="10"/>
          <w:w w:val="110"/>
        </w:rPr>
        <w:t> </w:t>
      </w:r>
      <w:r>
        <w:rPr>
          <w:color w:val="231F20"/>
          <w:w w:val="110"/>
        </w:rPr>
        <w:t>Synod</w:t>
        <w:tab/>
      </w:r>
      <w:r>
        <w:rPr>
          <w:color w:val="231F20"/>
          <w:spacing w:val="2"/>
          <w:w w:val="110"/>
        </w:rPr>
        <w:t>Mrs </w:t>
      </w:r>
      <w:r>
        <w:rPr>
          <w:color w:val="231F20"/>
          <w:w w:val="110"/>
        </w:rPr>
        <w:t>Glenis Massey, Mr Peter </w:t>
      </w:r>
      <w:r>
        <w:rPr>
          <w:color w:val="231F20"/>
          <w:spacing w:val="-5"/>
          <w:w w:val="110"/>
        </w:rPr>
        <w:t>Pay, </w:t>
      </w:r>
      <w:r>
        <w:rPr>
          <w:color w:val="231F20"/>
          <w:w w:val="110"/>
        </w:rPr>
        <w:t>Revd Ruth</w:t>
      </w:r>
      <w:r>
        <w:rPr>
          <w:color w:val="231F20"/>
          <w:spacing w:val="3"/>
          <w:w w:val="110"/>
        </w:rPr>
        <w:t> </w:t>
      </w:r>
      <w:r>
        <w:rPr>
          <w:color w:val="231F20"/>
          <w:w w:val="110"/>
        </w:rPr>
        <w:t>Whitehead</w:t>
      </w:r>
    </w:p>
    <w:p>
      <w:pPr>
        <w:pStyle w:val="BodyText"/>
        <w:tabs>
          <w:tab w:pos="4120" w:val="left" w:leader="none"/>
        </w:tabs>
        <w:spacing w:before="1"/>
        <w:ind w:left="1240"/>
      </w:pPr>
      <w:r>
        <w:rPr>
          <w:color w:val="231F20"/>
          <w:w w:val="110"/>
        </w:rPr>
        <w:t>Thames</w:t>
      </w:r>
      <w:r>
        <w:rPr>
          <w:color w:val="231F20"/>
          <w:spacing w:val="10"/>
          <w:w w:val="110"/>
        </w:rPr>
        <w:t> </w:t>
      </w:r>
      <w:r>
        <w:rPr>
          <w:color w:val="231F20"/>
          <w:spacing w:val="2"/>
          <w:w w:val="110"/>
        </w:rPr>
        <w:t>North</w:t>
      </w:r>
      <w:r>
        <w:rPr>
          <w:color w:val="231F20"/>
          <w:spacing w:val="11"/>
          <w:w w:val="110"/>
        </w:rPr>
        <w:t> </w:t>
      </w:r>
      <w:r>
        <w:rPr>
          <w:color w:val="231F20"/>
          <w:w w:val="110"/>
        </w:rPr>
        <w:t>Synod</w:t>
        <w:tab/>
        <w:t>Mr David Eldridge, Revd John</w:t>
      </w:r>
      <w:r>
        <w:rPr>
          <w:color w:val="231F20"/>
          <w:spacing w:val="6"/>
          <w:w w:val="110"/>
        </w:rPr>
        <w:t> </w:t>
      </w:r>
      <w:r>
        <w:rPr>
          <w:color w:val="231F20"/>
          <w:w w:val="110"/>
        </w:rPr>
        <w:t>Macauley,</w:t>
      </w:r>
    </w:p>
    <w:p>
      <w:pPr>
        <w:pStyle w:val="BodyText"/>
        <w:spacing w:before="32"/>
        <w:ind w:left="4120"/>
      </w:pPr>
      <w:r>
        <w:rPr>
          <w:color w:val="231F20"/>
          <w:w w:val="110"/>
        </w:rPr>
        <w:t>Revd David Varcoe</w:t>
      </w:r>
    </w:p>
    <w:p>
      <w:pPr>
        <w:pStyle w:val="BodyText"/>
        <w:tabs>
          <w:tab w:pos="4120" w:val="left" w:leader="none"/>
        </w:tabs>
        <w:spacing w:line="273" w:lineRule="auto" w:before="31"/>
        <w:ind w:left="4120" w:right="2665" w:hanging="2880"/>
      </w:pPr>
      <w:r>
        <w:rPr>
          <w:color w:val="231F20"/>
          <w:w w:val="110"/>
        </w:rPr>
        <w:t>Southern</w:t>
      </w:r>
      <w:r>
        <w:rPr>
          <w:color w:val="231F20"/>
          <w:spacing w:val="12"/>
          <w:w w:val="110"/>
        </w:rPr>
        <w:t> </w:t>
      </w:r>
      <w:r>
        <w:rPr>
          <w:color w:val="231F20"/>
          <w:w w:val="110"/>
        </w:rPr>
        <w:t>Synod</w:t>
        <w:tab/>
        <w:t>Dr Graham Campling, </w:t>
      </w:r>
      <w:r>
        <w:rPr>
          <w:color w:val="231F20"/>
          <w:spacing w:val="2"/>
          <w:w w:val="110"/>
        </w:rPr>
        <w:t>Mrs </w:t>
      </w:r>
      <w:r>
        <w:rPr>
          <w:color w:val="231F20"/>
          <w:w w:val="110"/>
        </w:rPr>
        <w:t>Maureen Lawrence, Mr Nigel</w:t>
      </w:r>
      <w:r>
        <w:rPr>
          <w:color w:val="231F20"/>
          <w:spacing w:val="2"/>
          <w:w w:val="110"/>
        </w:rPr>
        <w:t> </w:t>
      </w:r>
      <w:r>
        <w:rPr>
          <w:color w:val="231F20"/>
          <w:w w:val="110"/>
        </w:rPr>
        <w:t>Macdonald</w:t>
      </w:r>
    </w:p>
    <w:p>
      <w:pPr>
        <w:pStyle w:val="BodyText"/>
        <w:tabs>
          <w:tab w:pos="4120" w:val="left" w:leader="none"/>
        </w:tabs>
        <w:spacing w:before="1"/>
        <w:ind w:left="1240"/>
      </w:pPr>
      <w:r>
        <w:rPr>
          <w:color w:val="231F20"/>
          <w:w w:val="110"/>
        </w:rPr>
        <w:t>National Synod</w:t>
      </w:r>
      <w:r>
        <w:rPr>
          <w:color w:val="231F20"/>
          <w:spacing w:val="14"/>
          <w:w w:val="110"/>
        </w:rPr>
        <w:t> </w:t>
      </w:r>
      <w:r>
        <w:rPr>
          <w:color w:val="231F20"/>
          <w:w w:val="110"/>
        </w:rPr>
        <w:t>of</w:t>
      </w:r>
      <w:r>
        <w:rPr>
          <w:color w:val="231F20"/>
          <w:spacing w:val="7"/>
          <w:w w:val="110"/>
        </w:rPr>
        <w:t> </w:t>
      </w:r>
      <w:r>
        <w:rPr>
          <w:color w:val="231F20"/>
          <w:w w:val="110"/>
        </w:rPr>
        <w:t>Wales</w:t>
        <w:tab/>
        <w:t>Revd Stuart Jackson, </w:t>
      </w:r>
      <w:r>
        <w:rPr>
          <w:color w:val="231F20"/>
          <w:spacing w:val="2"/>
          <w:w w:val="110"/>
        </w:rPr>
        <w:t>Mrs </w:t>
      </w:r>
      <w:r>
        <w:rPr>
          <w:color w:val="231F20"/>
          <w:w w:val="110"/>
        </w:rPr>
        <w:t>Barbara</w:t>
      </w:r>
      <w:r>
        <w:rPr>
          <w:color w:val="231F20"/>
          <w:spacing w:val="9"/>
          <w:w w:val="110"/>
        </w:rPr>
        <w:t> </w:t>
      </w:r>
      <w:r>
        <w:rPr>
          <w:color w:val="231F20"/>
          <w:w w:val="110"/>
        </w:rPr>
        <w:t>Shapland,</w:t>
      </w:r>
    </w:p>
    <w:p>
      <w:pPr>
        <w:pStyle w:val="BodyText"/>
        <w:spacing w:before="31"/>
        <w:ind w:left="4120"/>
      </w:pPr>
      <w:r>
        <w:rPr>
          <w:color w:val="231F20"/>
          <w:w w:val="110"/>
        </w:rPr>
        <w:t>Mrs Liz Tadd</w:t>
      </w:r>
    </w:p>
    <w:p>
      <w:pPr>
        <w:pStyle w:val="BodyText"/>
        <w:spacing w:before="32"/>
        <w:ind w:left="1240"/>
      </w:pPr>
      <w:r>
        <w:rPr>
          <w:color w:val="231F20"/>
          <w:w w:val="110"/>
        </w:rPr>
        <w:t>National Synod of Scotland Miss Irene Hudson, Revd Alan Paterson,</w:t>
      </w:r>
    </w:p>
    <w:p>
      <w:pPr>
        <w:pStyle w:val="BodyText"/>
        <w:spacing w:before="31"/>
        <w:ind w:left="4120"/>
      </w:pPr>
      <w:r>
        <w:rPr>
          <w:color w:val="231F20"/>
          <w:w w:val="110"/>
        </w:rPr>
        <w:t>Mr Patrick Smyth</w:t>
      </w:r>
    </w:p>
    <w:p>
      <w:pPr>
        <w:pStyle w:val="BodyText"/>
        <w:spacing w:before="1"/>
        <w:rPr>
          <w:sz w:val="23"/>
        </w:rPr>
      </w:pPr>
    </w:p>
    <w:p>
      <w:pPr>
        <w:pStyle w:val="ListParagraph"/>
        <w:numPr>
          <w:ilvl w:val="1"/>
          <w:numId w:val="25"/>
        </w:numPr>
        <w:tabs>
          <w:tab w:pos="1921" w:val="left" w:leader="none"/>
          <w:tab w:pos="1922" w:val="left" w:leader="none"/>
        </w:tabs>
        <w:spacing w:line="273" w:lineRule="auto" w:before="1" w:after="0"/>
        <w:ind w:left="1240" w:right="2039" w:firstLine="0"/>
        <w:jc w:val="left"/>
        <w:rPr>
          <w:sz w:val="18"/>
        </w:rPr>
      </w:pPr>
      <w:r>
        <w:rPr>
          <w:color w:val="231F20"/>
          <w:w w:val="110"/>
          <w:sz w:val="18"/>
        </w:rPr>
        <w:t>Mission Council </w:t>
      </w:r>
      <w:r>
        <w:rPr>
          <w:color w:val="231F20"/>
          <w:w w:val="110"/>
          <w:sz w:val="18"/>
          <w:u w:val="single" w:color="231F20"/>
        </w:rPr>
        <w:t>acts on behalf of General Assembly</w:t>
      </w:r>
      <w:r>
        <w:rPr>
          <w:color w:val="231F20"/>
          <w:w w:val="110"/>
          <w:sz w:val="18"/>
        </w:rPr>
        <w:t>, taking decisions which are considered to be urgent or time-sensitive, and which need action between meetings of the Assembly. Mission Council </w:t>
      </w:r>
      <w:r>
        <w:rPr>
          <w:color w:val="231F20"/>
          <w:spacing w:val="-3"/>
          <w:w w:val="110"/>
          <w:sz w:val="18"/>
        </w:rPr>
        <w:t>may </w:t>
      </w:r>
      <w:r>
        <w:rPr>
          <w:color w:val="231F20"/>
          <w:w w:val="110"/>
          <w:sz w:val="18"/>
        </w:rPr>
        <w:t>also be asked to undertake a piece of work on General Assembly’s </w:t>
      </w:r>
      <w:r>
        <w:rPr>
          <w:color w:val="231F20"/>
          <w:spacing w:val="-3"/>
          <w:w w:val="110"/>
          <w:sz w:val="18"/>
        </w:rPr>
        <w:t>behalf. </w:t>
      </w:r>
      <w:r>
        <w:rPr>
          <w:color w:val="231F20"/>
          <w:w w:val="110"/>
          <w:sz w:val="18"/>
        </w:rPr>
        <w:t>In such cases, the action is reported to a following Assembly, as in </w:t>
      </w:r>
      <w:r>
        <w:rPr>
          <w:b/>
          <w:color w:val="231F20"/>
          <w:w w:val="110"/>
          <w:sz w:val="18"/>
        </w:rPr>
        <w:t>paragraphs 3 </w:t>
      </w:r>
      <w:r>
        <w:rPr>
          <w:color w:val="231F20"/>
          <w:w w:val="110"/>
          <w:sz w:val="18"/>
        </w:rPr>
        <w:t>and </w:t>
      </w:r>
      <w:r>
        <w:rPr>
          <w:b/>
          <w:color w:val="231F20"/>
          <w:w w:val="110"/>
          <w:sz w:val="18"/>
        </w:rPr>
        <w:t>4 </w:t>
      </w:r>
      <w:r>
        <w:rPr>
          <w:color w:val="231F20"/>
          <w:w w:val="110"/>
          <w:sz w:val="18"/>
        </w:rPr>
        <w:t>of this</w:t>
      </w:r>
      <w:r>
        <w:rPr>
          <w:color w:val="231F20"/>
          <w:spacing w:val="-39"/>
          <w:w w:val="110"/>
          <w:sz w:val="18"/>
        </w:rPr>
        <w:t> </w:t>
      </w:r>
      <w:r>
        <w:rPr>
          <w:color w:val="231F20"/>
          <w:w w:val="110"/>
          <w:sz w:val="18"/>
        </w:rPr>
        <w:t>report.</w:t>
      </w:r>
    </w:p>
    <w:p>
      <w:pPr>
        <w:pStyle w:val="ListParagraph"/>
        <w:numPr>
          <w:ilvl w:val="2"/>
          <w:numId w:val="25"/>
        </w:numPr>
        <w:tabs>
          <w:tab w:pos="1922" w:val="left" w:leader="none"/>
        </w:tabs>
        <w:spacing w:line="273" w:lineRule="auto" w:before="2" w:after="0"/>
        <w:ind w:left="1920" w:right="2053" w:hanging="681"/>
        <w:jc w:val="left"/>
        <w:rPr>
          <w:b/>
          <w:sz w:val="18"/>
        </w:rPr>
      </w:pPr>
      <w:r>
        <w:rPr>
          <w:color w:val="231F20"/>
          <w:w w:val="110"/>
          <w:sz w:val="18"/>
        </w:rPr>
        <w:t>Mission Council also </w:t>
      </w:r>
      <w:r>
        <w:rPr>
          <w:color w:val="231F20"/>
          <w:spacing w:val="3"/>
          <w:w w:val="110"/>
          <w:sz w:val="18"/>
          <w:u w:val="single" w:color="231F20"/>
        </w:rPr>
        <w:t>acts </w:t>
      </w:r>
      <w:r>
        <w:rPr>
          <w:color w:val="231F20"/>
          <w:w w:val="110"/>
          <w:sz w:val="18"/>
          <w:u w:val="single" w:color="231F20"/>
        </w:rPr>
        <w:t>on its own behalf</w:t>
      </w:r>
      <w:r>
        <w:rPr>
          <w:color w:val="231F20"/>
          <w:w w:val="110"/>
          <w:sz w:val="18"/>
        </w:rPr>
        <w:t>, taking advice </w:t>
      </w:r>
      <w:r>
        <w:rPr>
          <w:color w:val="231F20"/>
          <w:spacing w:val="2"/>
          <w:w w:val="110"/>
          <w:sz w:val="18"/>
        </w:rPr>
        <w:t>from </w:t>
      </w:r>
      <w:r>
        <w:rPr>
          <w:color w:val="231F20"/>
          <w:w w:val="110"/>
          <w:sz w:val="18"/>
        </w:rPr>
        <w:t>its </w:t>
      </w:r>
      <w:r>
        <w:rPr>
          <w:color w:val="231F20"/>
          <w:spacing w:val="2"/>
          <w:w w:val="110"/>
          <w:sz w:val="18"/>
        </w:rPr>
        <w:t>advisory </w:t>
      </w:r>
      <w:r>
        <w:rPr>
          <w:color w:val="231F20"/>
          <w:w w:val="110"/>
          <w:sz w:val="18"/>
        </w:rPr>
        <w:t>groups </w:t>
      </w:r>
      <w:r>
        <w:rPr>
          <w:color w:val="231F20"/>
          <w:spacing w:val="-5"/>
          <w:w w:val="110"/>
          <w:sz w:val="18"/>
        </w:rPr>
        <w:t>(e.g. </w:t>
      </w:r>
      <w:r>
        <w:rPr>
          <w:color w:val="231F20"/>
          <w:w w:val="110"/>
          <w:sz w:val="18"/>
        </w:rPr>
        <w:t>Ethical Investments, Grants and Loans, Staffing Advisory, </w:t>
      </w:r>
      <w:r>
        <w:rPr>
          <w:color w:val="231F20"/>
          <w:spacing w:val="2"/>
          <w:w w:val="110"/>
          <w:sz w:val="18"/>
        </w:rPr>
        <w:t>Section </w:t>
      </w:r>
      <w:r>
        <w:rPr>
          <w:color w:val="231F20"/>
          <w:spacing w:val="-6"/>
          <w:w w:val="110"/>
          <w:sz w:val="18"/>
        </w:rPr>
        <w:t>O) </w:t>
      </w:r>
      <w:r>
        <w:rPr>
          <w:color w:val="231F20"/>
          <w:w w:val="110"/>
          <w:sz w:val="18"/>
        </w:rPr>
        <w:t>which </w:t>
      </w:r>
      <w:r>
        <w:rPr>
          <w:color w:val="231F20"/>
          <w:spacing w:val="3"/>
          <w:w w:val="110"/>
          <w:sz w:val="18"/>
        </w:rPr>
        <w:t>report </w:t>
      </w:r>
      <w:r>
        <w:rPr>
          <w:color w:val="231F20"/>
          <w:w w:val="110"/>
          <w:sz w:val="18"/>
        </w:rPr>
        <w:t>to its meetings, and which may bring resolutions. </w:t>
      </w:r>
      <w:r>
        <w:rPr>
          <w:color w:val="231F20"/>
          <w:spacing w:val="2"/>
          <w:w w:val="110"/>
          <w:sz w:val="18"/>
        </w:rPr>
        <w:t>These </w:t>
      </w:r>
      <w:r>
        <w:rPr>
          <w:color w:val="231F20"/>
          <w:w w:val="110"/>
          <w:sz w:val="18"/>
        </w:rPr>
        <w:t>groups have </w:t>
      </w:r>
      <w:r>
        <w:rPr>
          <w:color w:val="231F20"/>
          <w:spacing w:val="2"/>
          <w:w w:val="110"/>
          <w:sz w:val="18"/>
        </w:rPr>
        <w:t>access </w:t>
      </w:r>
      <w:r>
        <w:rPr>
          <w:color w:val="231F20"/>
          <w:w w:val="110"/>
          <w:sz w:val="18"/>
        </w:rPr>
        <w:t>to General Assembly only through Mission Council, hence the </w:t>
      </w:r>
      <w:r>
        <w:rPr>
          <w:color w:val="231F20"/>
          <w:spacing w:val="3"/>
          <w:w w:val="110"/>
          <w:sz w:val="18"/>
        </w:rPr>
        <w:t>reports </w:t>
      </w:r>
      <w:r>
        <w:rPr>
          <w:color w:val="231F20"/>
          <w:w w:val="110"/>
          <w:sz w:val="18"/>
        </w:rPr>
        <w:t>at </w:t>
      </w:r>
      <w:r>
        <w:rPr>
          <w:b/>
          <w:color w:val="231F20"/>
          <w:w w:val="110"/>
          <w:sz w:val="18"/>
        </w:rPr>
        <w:t>paragraphs 6.1 </w:t>
      </w:r>
      <w:r>
        <w:rPr>
          <w:color w:val="231F20"/>
          <w:w w:val="110"/>
          <w:sz w:val="18"/>
        </w:rPr>
        <w:t>to </w:t>
      </w:r>
      <w:r>
        <w:rPr>
          <w:b/>
          <w:color w:val="231F20"/>
          <w:w w:val="110"/>
          <w:sz w:val="18"/>
        </w:rPr>
        <w:t>6.5</w:t>
      </w:r>
      <w:r>
        <w:rPr>
          <w:color w:val="231F20"/>
          <w:w w:val="110"/>
          <w:sz w:val="18"/>
        </w:rPr>
        <w:t>, and </w:t>
      </w:r>
      <w:r>
        <w:rPr>
          <w:b/>
          <w:color w:val="231F20"/>
          <w:w w:val="110"/>
          <w:sz w:val="18"/>
        </w:rPr>
        <w:t>Resolutions </w:t>
      </w:r>
      <w:r>
        <w:rPr>
          <w:b/>
          <w:color w:val="231F20"/>
          <w:spacing w:val="-4"/>
          <w:w w:val="110"/>
          <w:sz w:val="18"/>
        </w:rPr>
        <w:t>9–21</w:t>
      </w:r>
    </w:p>
    <w:p>
      <w:pPr>
        <w:pStyle w:val="ListParagraph"/>
        <w:numPr>
          <w:ilvl w:val="2"/>
          <w:numId w:val="25"/>
        </w:numPr>
        <w:tabs>
          <w:tab w:pos="1922" w:val="left" w:leader="none"/>
        </w:tabs>
        <w:spacing w:line="273" w:lineRule="auto" w:before="4" w:after="0"/>
        <w:ind w:left="1920" w:right="2153" w:hanging="681"/>
        <w:jc w:val="left"/>
        <w:rPr>
          <w:sz w:val="18"/>
        </w:rPr>
      </w:pPr>
      <w:r>
        <w:rPr>
          <w:color w:val="231F20"/>
          <w:w w:val="110"/>
          <w:sz w:val="18"/>
        </w:rPr>
        <w:t>Mission Council may </w:t>
      </w:r>
      <w:r>
        <w:rPr>
          <w:color w:val="231F20"/>
          <w:spacing w:val="2"/>
          <w:w w:val="110"/>
          <w:sz w:val="18"/>
        </w:rPr>
        <w:t>from </w:t>
      </w:r>
      <w:r>
        <w:rPr>
          <w:color w:val="231F20"/>
          <w:w w:val="110"/>
          <w:sz w:val="18"/>
        </w:rPr>
        <w:t>time-to-time instigate work, appointing a task </w:t>
      </w:r>
      <w:r>
        <w:rPr>
          <w:color w:val="231F20"/>
          <w:spacing w:val="-2"/>
          <w:w w:val="110"/>
          <w:sz w:val="18"/>
        </w:rPr>
        <w:t>group, </w:t>
      </w:r>
      <w:r>
        <w:rPr>
          <w:color w:val="231F20"/>
          <w:w w:val="110"/>
          <w:sz w:val="18"/>
        </w:rPr>
        <w:t>an existing Assembly Committee or Committees working together to undertake a piece of work on its </w:t>
      </w:r>
      <w:r>
        <w:rPr>
          <w:color w:val="231F20"/>
          <w:spacing w:val="-3"/>
          <w:w w:val="110"/>
          <w:sz w:val="18"/>
        </w:rPr>
        <w:t>behalf, </w:t>
      </w:r>
      <w:r>
        <w:rPr>
          <w:color w:val="231F20"/>
          <w:w w:val="110"/>
          <w:sz w:val="18"/>
        </w:rPr>
        <w:t>before bringing resolutions to General Assembly. </w:t>
      </w:r>
      <w:r>
        <w:rPr>
          <w:b/>
          <w:color w:val="231F20"/>
          <w:w w:val="110"/>
          <w:sz w:val="18"/>
        </w:rPr>
        <w:t>Paragraphs </w:t>
      </w:r>
      <w:r>
        <w:rPr>
          <w:b/>
          <w:color w:val="231F20"/>
          <w:spacing w:val="-3"/>
          <w:w w:val="110"/>
          <w:sz w:val="18"/>
        </w:rPr>
        <w:t>5.1 </w:t>
      </w:r>
      <w:r>
        <w:rPr>
          <w:color w:val="231F20"/>
          <w:w w:val="110"/>
          <w:sz w:val="18"/>
        </w:rPr>
        <w:t>and </w:t>
      </w:r>
      <w:r>
        <w:rPr>
          <w:b/>
          <w:color w:val="231F20"/>
          <w:w w:val="110"/>
          <w:sz w:val="18"/>
        </w:rPr>
        <w:t>5.2 </w:t>
      </w:r>
      <w:r>
        <w:rPr>
          <w:color w:val="231F20"/>
          <w:w w:val="110"/>
          <w:sz w:val="18"/>
        </w:rPr>
        <w:t>with </w:t>
      </w:r>
      <w:r>
        <w:rPr>
          <w:b/>
          <w:color w:val="231F20"/>
          <w:w w:val="110"/>
          <w:sz w:val="18"/>
        </w:rPr>
        <w:t>Resolutions 42–49 </w:t>
      </w:r>
      <w:r>
        <w:rPr>
          <w:color w:val="231F20"/>
          <w:w w:val="110"/>
          <w:sz w:val="18"/>
        </w:rPr>
        <w:t>are the result of this way of</w:t>
      </w:r>
      <w:r>
        <w:rPr>
          <w:color w:val="231F20"/>
          <w:spacing w:val="10"/>
          <w:w w:val="110"/>
          <w:sz w:val="18"/>
        </w:rPr>
        <w:t> </w:t>
      </w:r>
      <w:r>
        <w:rPr>
          <w:color w:val="231F20"/>
          <w:w w:val="110"/>
          <w:sz w:val="18"/>
        </w:rPr>
        <w:t>working.</w:t>
      </w:r>
    </w:p>
    <w:p>
      <w:pPr>
        <w:pStyle w:val="BodyText"/>
        <w:spacing w:before="11"/>
        <w:rPr>
          <w:sz w:val="9"/>
        </w:rPr>
      </w:pPr>
    </w:p>
    <w:p>
      <w:pPr>
        <w:spacing w:before="56"/>
        <w:ind w:left="0" w:right="1160" w:firstLine="0"/>
        <w:jc w:val="right"/>
        <w:rPr>
          <w:rFonts w:ascii="Eurostile Bold"/>
          <w:b/>
          <w:sz w:val="24"/>
        </w:rPr>
      </w:pPr>
      <w:r>
        <w:rPr>
          <w:rFonts w:ascii="Eurostile Bold"/>
          <w:b/>
          <w:color w:val="231F20"/>
          <w:w w:val="85"/>
          <w:sz w:val="24"/>
        </w:rPr>
        <w:t>45</w:t>
      </w:r>
    </w:p>
    <w:p>
      <w:pPr>
        <w:spacing w:after="0"/>
        <w:jc w:val="right"/>
        <w:rPr>
          <w:rFonts w:ascii="Eurostile Bold"/>
          <w:sz w:val="24"/>
        </w:rPr>
        <w:sectPr>
          <w:headerReference w:type="default" r:id="rId63"/>
          <w:footerReference w:type="default" r:id="rId64"/>
          <w:pgSz w:w="11910" w:h="16840"/>
          <w:pgMar w:header="0" w:footer="0" w:top="1000" w:bottom="280" w:left="460" w:right="0"/>
        </w:sectPr>
      </w:pPr>
    </w:p>
    <w:p>
      <w:pPr>
        <w:pStyle w:val="BodyText"/>
        <w:spacing w:before="8"/>
        <w:rPr>
          <w:rFonts w:ascii="Eurostile Bold"/>
          <w:b/>
          <w:sz w:val="11"/>
        </w:rPr>
      </w:pPr>
    </w:p>
    <w:p>
      <w:pPr>
        <w:numPr>
          <w:ilvl w:val="0"/>
          <w:numId w:val="26"/>
        </w:numPr>
        <w:tabs>
          <w:tab w:pos="1393" w:val="left" w:leader="none"/>
          <w:tab w:pos="1394" w:val="left" w:leader="none"/>
        </w:tabs>
        <w:spacing w:before="100"/>
        <w:ind w:left="1393" w:right="0" w:hanging="721"/>
        <w:jc w:val="left"/>
        <w:rPr>
          <w:b/>
          <w:sz w:val="18"/>
        </w:rPr>
      </w:pPr>
      <w:r>
        <w:rPr>
          <w:b/>
          <w:color w:val="231F20"/>
          <w:w w:val="110"/>
          <w:sz w:val="18"/>
        </w:rPr>
        <w:t>Our</w:t>
      </w:r>
      <w:r>
        <w:rPr>
          <w:b/>
          <w:color w:val="231F20"/>
          <w:spacing w:val="-1"/>
          <w:w w:val="110"/>
          <w:sz w:val="18"/>
        </w:rPr>
        <w:t> </w:t>
      </w:r>
      <w:r>
        <w:rPr>
          <w:b/>
          <w:color w:val="231F20"/>
          <w:spacing w:val="2"/>
          <w:w w:val="110"/>
          <w:sz w:val="18"/>
        </w:rPr>
        <w:t>meetings</w:t>
      </w:r>
    </w:p>
    <w:p>
      <w:pPr>
        <w:pStyle w:val="BodyText"/>
        <w:spacing w:before="2"/>
        <w:rPr>
          <w:b/>
          <w:sz w:val="23"/>
        </w:rPr>
      </w:pPr>
    </w:p>
    <w:p>
      <w:pPr>
        <w:pStyle w:val="ListParagraph"/>
        <w:numPr>
          <w:ilvl w:val="1"/>
          <w:numId w:val="26"/>
        </w:numPr>
        <w:tabs>
          <w:tab w:pos="1354" w:val="left" w:leader="none"/>
          <w:tab w:pos="1355" w:val="left" w:leader="none"/>
        </w:tabs>
        <w:spacing w:line="273" w:lineRule="auto" w:before="0" w:after="0"/>
        <w:ind w:left="673" w:right="1717" w:firstLine="0"/>
        <w:jc w:val="left"/>
        <w:rPr>
          <w:color w:val="231F20"/>
          <w:sz w:val="18"/>
        </w:rPr>
      </w:pPr>
      <w:r>
        <w:rPr>
          <w:color w:val="231F20"/>
          <w:w w:val="110"/>
          <w:sz w:val="18"/>
        </w:rPr>
        <w:t>Since last General Assembly, Mission Council has met twice residentially and once for a one-day meeting. </w:t>
      </w:r>
      <w:r>
        <w:rPr>
          <w:color w:val="231F20"/>
          <w:spacing w:val="2"/>
          <w:w w:val="110"/>
          <w:sz w:val="18"/>
        </w:rPr>
        <w:t>These </w:t>
      </w:r>
      <w:r>
        <w:rPr>
          <w:color w:val="231F20"/>
          <w:w w:val="110"/>
          <w:sz w:val="18"/>
        </w:rPr>
        <w:t>occasions were led by the Moderator and worship was conducted by the Moderator’s chaplain, the Revd Neil Thorogood. At the </w:t>
      </w:r>
      <w:r>
        <w:rPr>
          <w:color w:val="231F20"/>
          <w:spacing w:val="2"/>
          <w:w w:val="110"/>
          <w:sz w:val="18"/>
        </w:rPr>
        <w:t>October </w:t>
      </w:r>
      <w:r>
        <w:rPr>
          <w:color w:val="231F20"/>
          <w:w w:val="110"/>
          <w:sz w:val="18"/>
        </w:rPr>
        <w:t>Council Mr Lawrence Moore led a session on the identity and core values of the United Reformed Church, and introduced a presentation on Stewardship. The Revd Dr </w:t>
      </w:r>
      <w:r>
        <w:rPr>
          <w:color w:val="231F20"/>
          <w:spacing w:val="2"/>
          <w:w w:val="110"/>
          <w:sz w:val="18"/>
        </w:rPr>
        <w:t>Robert </w:t>
      </w:r>
      <w:r>
        <w:rPr>
          <w:color w:val="231F20"/>
          <w:w w:val="110"/>
          <w:sz w:val="18"/>
        </w:rPr>
        <w:t>Pope </w:t>
      </w:r>
      <w:r>
        <w:rPr>
          <w:color w:val="231F20"/>
          <w:spacing w:val="2"/>
          <w:w w:val="110"/>
          <w:sz w:val="18"/>
        </w:rPr>
        <w:t>acted  </w:t>
      </w:r>
      <w:r>
        <w:rPr>
          <w:color w:val="231F20"/>
          <w:w w:val="110"/>
          <w:sz w:val="18"/>
        </w:rPr>
        <w:t>as a theological </w:t>
      </w:r>
      <w:r>
        <w:rPr>
          <w:color w:val="231F20"/>
          <w:spacing w:val="2"/>
          <w:w w:val="110"/>
          <w:sz w:val="18"/>
        </w:rPr>
        <w:t>reflector </w:t>
      </w:r>
      <w:r>
        <w:rPr>
          <w:color w:val="231F20"/>
          <w:w w:val="110"/>
          <w:sz w:val="18"/>
        </w:rPr>
        <w:t>for the whole</w:t>
      </w:r>
      <w:r>
        <w:rPr>
          <w:color w:val="231F20"/>
          <w:spacing w:val="10"/>
          <w:w w:val="110"/>
          <w:sz w:val="18"/>
        </w:rPr>
        <w:t> </w:t>
      </w:r>
      <w:r>
        <w:rPr>
          <w:color w:val="231F20"/>
          <w:w w:val="110"/>
          <w:sz w:val="18"/>
        </w:rPr>
        <w:t>meeting.</w:t>
      </w:r>
    </w:p>
    <w:p>
      <w:pPr>
        <w:pStyle w:val="BodyText"/>
        <w:spacing w:before="11"/>
        <w:rPr>
          <w:sz w:val="20"/>
        </w:rPr>
      </w:pPr>
    </w:p>
    <w:p>
      <w:pPr>
        <w:pStyle w:val="ListParagraph"/>
        <w:numPr>
          <w:ilvl w:val="1"/>
          <w:numId w:val="26"/>
        </w:numPr>
        <w:tabs>
          <w:tab w:pos="1352" w:val="left" w:leader="none"/>
          <w:tab w:pos="1353" w:val="left" w:leader="none"/>
        </w:tabs>
        <w:spacing w:line="273" w:lineRule="auto" w:before="0" w:after="0"/>
        <w:ind w:left="673" w:right="1854" w:firstLine="0"/>
        <w:jc w:val="left"/>
        <w:rPr>
          <w:color w:val="231F20"/>
          <w:sz w:val="18"/>
        </w:rPr>
      </w:pPr>
      <w:r>
        <w:rPr>
          <w:color w:val="231F20"/>
          <w:w w:val="110"/>
          <w:sz w:val="18"/>
        </w:rPr>
        <w:t>On the resignation of the Revd Dr John </w:t>
      </w:r>
      <w:r>
        <w:rPr>
          <w:color w:val="231F20"/>
          <w:spacing w:val="2"/>
          <w:w w:val="110"/>
          <w:sz w:val="18"/>
        </w:rPr>
        <w:t>Parry </w:t>
      </w:r>
      <w:r>
        <w:rPr>
          <w:color w:val="231F20"/>
          <w:w w:val="110"/>
          <w:sz w:val="18"/>
        </w:rPr>
        <w:t>as convener of the Interfaith Relations Committee, Mission Council approved the appointment of the Revd Peter Colwell as his successor. The Revd Dr </w:t>
      </w:r>
      <w:r>
        <w:rPr>
          <w:color w:val="231F20"/>
          <w:spacing w:val="3"/>
          <w:w w:val="110"/>
          <w:sz w:val="18"/>
        </w:rPr>
        <w:t>Kirsty </w:t>
      </w:r>
      <w:r>
        <w:rPr>
          <w:color w:val="231F20"/>
          <w:w w:val="110"/>
          <w:sz w:val="18"/>
        </w:rPr>
        <w:t>Thorpe was appointed convener of the Communications and Editorial Committee on the appointment of the Revd Martin Hazell (formerly its convener) as </w:t>
      </w:r>
      <w:r>
        <w:rPr>
          <w:color w:val="231F20"/>
          <w:spacing w:val="2"/>
          <w:w w:val="110"/>
          <w:sz w:val="18"/>
        </w:rPr>
        <w:t>Director </w:t>
      </w:r>
      <w:r>
        <w:rPr>
          <w:color w:val="231F20"/>
          <w:w w:val="110"/>
          <w:sz w:val="18"/>
        </w:rPr>
        <w:t>of</w:t>
      </w:r>
      <w:r>
        <w:rPr>
          <w:color w:val="231F20"/>
          <w:spacing w:val="10"/>
          <w:w w:val="110"/>
          <w:sz w:val="18"/>
        </w:rPr>
        <w:t> </w:t>
      </w:r>
      <w:r>
        <w:rPr>
          <w:color w:val="231F20"/>
          <w:w w:val="110"/>
          <w:sz w:val="18"/>
        </w:rPr>
        <w:t>Communications.</w:t>
      </w:r>
    </w:p>
    <w:p>
      <w:pPr>
        <w:pStyle w:val="BodyText"/>
        <w:spacing w:before="10"/>
        <w:rPr>
          <w:sz w:val="20"/>
        </w:rPr>
      </w:pPr>
    </w:p>
    <w:p>
      <w:pPr>
        <w:pStyle w:val="ListParagraph"/>
        <w:numPr>
          <w:ilvl w:val="1"/>
          <w:numId w:val="26"/>
        </w:numPr>
        <w:tabs>
          <w:tab w:pos="1352" w:val="left" w:leader="none"/>
          <w:tab w:pos="1353" w:val="left" w:leader="none"/>
        </w:tabs>
        <w:spacing w:line="273" w:lineRule="auto" w:before="0" w:after="0"/>
        <w:ind w:left="673" w:right="1853" w:firstLine="0"/>
        <w:jc w:val="left"/>
        <w:rPr>
          <w:color w:val="231F20"/>
          <w:sz w:val="18"/>
        </w:rPr>
      </w:pPr>
      <w:r>
        <w:rPr>
          <w:color w:val="231F20"/>
          <w:w w:val="110"/>
          <w:sz w:val="18"/>
        </w:rPr>
        <w:t>The ‘Catch the Vision’ </w:t>
      </w:r>
      <w:r>
        <w:rPr>
          <w:color w:val="231F20"/>
          <w:spacing w:val="2"/>
          <w:w w:val="110"/>
          <w:sz w:val="18"/>
        </w:rPr>
        <w:t>process </w:t>
      </w:r>
      <w:r>
        <w:rPr>
          <w:color w:val="231F20"/>
          <w:w w:val="110"/>
          <w:sz w:val="18"/>
        </w:rPr>
        <w:t>(although its </w:t>
      </w:r>
      <w:r>
        <w:rPr>
          <w:color w:val="231F20"/>
          <w:spacing w:val="3"/>
          <w:w w:val="110"/>
          <w:sz w:val="18"/>
        </w:rPr>
        <w:t>report </w:t>
      </w:r>
      <w:r>
        <w:rPr>
          <w:color w:val="231F20"/>
          <w:w w:val="110"/>
          <w:sz w:val="18"/>
        </w:rPr>
        <w:t>appears separate </w:t>
      </w:r>
      <w:r>
        <w:rPr>
          <w:color w:val="231F20"/>
          <w:spacing w:val="2"/>
          <w:w w:val="110"/>
          <w:sz w:val="18"/>
        </w:rPr>
        <w:t>from </w:t>
      </w:r>
      <w:r>
        <w:rPr>
          <w:color w:val="231F20"/>
          <w:w w:val="110"/>
          <w:sz w:val="18"/>
        </w:rPr>
        <w:t>the main body of this report) was originally an initiative of Mission Council, and it remains one of the main drivers of Mission Council’s agenda. ‘Catch the Vision’ (spearheaded by the General </w:t>
      </w:r>
      <w:r>
        <w:rPr>
          <w:color w:val="231F20"/>
          <w:spacing w:val="3"/>
          <w:w w:val="110"/>
          <w:sz w:val="18"/>
        </w:rPr>
        <w:t>Secretary </w:t>
      </w:r>
      <w:r>
        <w:rPr>
          <w:color w:val="231F20"/>
          <w:w w:val="110"/>
          <w:sz w:val="18"/>
        </w:rPr>
        <w:t>and a small task group) has brought to Mission Council a diverse range of issues such as governance and the renewal of our spiritual</w:t>
      </w:r>
      <w:r>
        <w:rPr>
          <w:color w:val="231F20"/>
          <w:spacing w:val="47"/>
          <w:w w:val="110"/>
          <w:sz w:val="18"/>
        </w:rPr>
        <w:t> </w:t>
      </w:r>
      <w:r>
        <w:rPr>
          <w:color w:val="231F20"/>
          <w:w w:val="110"/>
          <w:sz w:val="18"/>
        </w:rPr>
        <w:t>life.</w:t>
      </w:r>
    </w:p>
    <w:p>
      <w:pPr>
        <w:pStyle w:val="BodyText"/>
        <w:spacing w:before="10"/>
        <w:rPr>
          <w:sz w:val="20"/>
        </w:rPr>
      </w:pPr>
    </w:p>
    <w:p>
      <w:pPr>
        <w:numPr>
          <w:ilvl w:val="0"/>
          <w:numId w:val="26"/>
        </w:numPr>
        <w:tabs>
          <w:tab w:pos="1393" w:val="left" w:leader="none"/>
          <w:tab w:pos="1394" w:val="left" w:leader="none"/>
        </w:tabs>
        <w:spacing w:line="273" w:lineRule="auto" w:before="0"/>
        <w:ind w:left="673" w:right="1978" w:firstLine="0"/>
        <w:jc w:val="left"/>
        <w:rPr>
          <w:b/>
          <w:sz w:val="18"/>
        </w:rPr>
      </w:pPr>
      <w:r>
        <w:rPr>
          <w:b/>
          <w:color w:val="231F20"/>
          <w:w w:val="110"/>
          <w:sz w:val="18"/>
        </w:rPr>
        <w:t>Action taken on previous </w:t>
      </w:r>
      <w:r>
        <w:rPr>
          <w:b/>
          <w:color w:val="231F20"/>
          <w:spacing w:val="2"/>
          <w:w w:val="110"/>
          <w:sz w:val="18"/>
        </w:rPr>
        <w:t>Assembly resolutions </w:t>
      </w:r>
      <w:r>
        <w:rPr>
          <w:b/>
          <w:color w:val="231F20"/>
          <w:w w:val="110"/>
          <w:sz w:val="18"/>
        </w:rPr>
        <w:t>which </w:t>
      </w:r>
      <w:r>
        <w:rPr>
          <w:b/>
          <w:color w:val="231F20"/>
          <w:spacing w:val="2"/>
          <w:w w:val="110"/>
          <w:sz w:val="18"/>
        </w:rPr>
        <w:t>referred matters </w:t>
      </w:r>
      <w:r>
        <w:rPr>
          <w:b/>
          <w:color w:val="231F20"/>
          <w:w w:val="110"/>
          <w:sz w:val="18"/>
        </w:rPr>
        <w:t>to Mission Council</w:t>
      </w:r>
    </w:p>
    <w:p>
      <w:pPr>
        <w:pStyle w:val="BodyText"/>
        <w:spacing w:before="8"/>
        <w:rPr>
          <w:b/>
          <w:sz w:val="20"/>
        </w:rPr>
      </w:pPr>
    </w:p>
    <w:p>
      <w:pPr>
        <w:spacing w:before="0"/>
        <w:ind w:left="1354" w:right="0" w:firstLine="0"/>
        <w:jc w:val="left"/>
        <w:rPr>
          <w:b/>
          <w:sz w:val="18"/>
        </w:rPr>
      </w:pPr>
      <w:r>
        <w:rPr>
          <w:b/>
          <w:color w:val="231F20"/>
          <w:w w:val="110"/>
          <w:sz w:val="18"/>
        </w:rPr>
        <w:t>From Assembly 2005:</w:t>
      </w:r>
    </w:p>
    <w:p>
      <w:pPr>
        <w:pStyle w:val="ListParagraph"/>
        <w:numPr>
          <w:ilvl w:val="1"/>
          <w:numId w:val="26"/>
        </w:numPr>
        <w:tabs>
          <w:tab w:pos="1354" w:val="left" w:leader="none"/>
          <w:tab w:pos="1355" w:val="left" w:leader="none"/>
        </w:tabs>
        <w:spacing w:line="273" w:lineRule="auto" w:before="31" w:after="0"/>
        <w:ind w:left="673" w:right="1871" w:firstLine="0"/>
        <w:jc w:val="left"/>
        <w:rPr>
          <w:color w:val="231F20"/>
          <w:sz w:val="18"/>
        </w:rPr>
      </w:pPr>
      <w:r>
        <w:rPr>
          <w:color w:val="231F20"/>
          <w:w w:val="110"/>
          <w:sz w:val="18"/>
          <w:u w:val="single" w:color="231F20"/>
        </w:rPr>
        <w:t>Resolution 2 </w:t>
      </w:r>
      <w:r>
        <w:rPr>
          <w:color w:val="231F20"/>
          <w:spacing w:val="-4"/>
          <w:w w:val="110"/>
          <w:sz w:val="18"/>
          <w:u w:val="single" w:color="231F20"/>
        </w:rPr>
        <w:t>(2005):  </w:t>
      </w:r>
      <w:r>
        <w:rPr>
          <w:color w:val="231F20"/>
          <w:w w:val="110"/>
          <w:sz w:val="18"/>
          <w:u w:val="single" w:color="231F20"/>
        </w:rPr>
        <w:t>‘Saying sorry’</w:t>
      </w:r>
      <w:r>
        <w:rPr>
          <w:color w:val="231F20"/>
          <w:w w:val="110"/>
          <w:sz w:val="18"/>
        </w:rPr>
        <w:t>: ‘General Assembly, noting the actions of   the Methodist Church with regard to those who have been sexually abused’, </w:t>
      </w:r>
      <w:r>
        <w:rPr>
          <w:color w:val="231F20"/>
          <w:spacing w:val="2"/>
          <w:w w:val="110"/>
          <w:sz w:val="18"/>
        </w:rPr>
        <w:t>instructed </w:t>
      </w:r>
      <w:r>
        <w:rPr>
          <w:color w:val="231F20"/>
          <w:w w:val="110"/>
          <w:sz w:val="18"/>
        </w:rPr>
        <w:t>Mission Council </w:t>
      </w:r>
      <w:r>
        <w:rPr>
          <w:color w:val="231F20"/>
          <w:spacing w:val="2"/>
          <w:w w:val="110"/>
          <w:sz w:val="18"/>
        </w:rPr>
        <w:t>‘to </w:t>
      </w:r>
      <w:r>
        <w:rPr>
          <w:color w:val="231F20"/>
          <w:w w:val="110"/>
          <w:sz w:val="18"/>
        </w:rPr>
        <w:t>prepare recommendations for similar actions on the </w:t>
      </w:r>
      <w:r>
        <w:rPr>
          <w:color w:val="231F20"/>
          <w:spacing w:val="2"/>
          <w:w w:val="110"/>
          <w:sz w:val="18"/>
        </w:rPr>
        <w:t>part </w:t>
      </w:r>
      <w:r>
        <w:rPr>
          <w:color w:val="231F20"/>
          <w:w w:val="110"/>
          <w:sz w:val="18"/>
        </w:rPr>
        <w:t>of the United</w:t>
      </w:r>
      <w:r>
        <w:rPr>
          <w:color w:val="231F20"/>
          <w:spacing w:val="12"/>
          <w:w w:val="110"/>
          <w:sz w:val="18"/>
        </w:rPr>
        <w:t> </w:t>
      </w:r>
      <w:r>
        <w:rPr>
          <w:color w:val="231F20"/>
          <w:w w:val="110"/>
          <w:sz w:val="18"/>
        </w:rPr>
        <w:t>Reformed</w:t>
      </w:r>
      <w:r>
        <w:rPr>
          <w:color w:val="231F20"/>
          <w:spacing w:val="13"/>
          <w:w w:val="110"/>
          <w:sz w:val="18"/>
        </w:rPr>
        <w:t> </w:t>
      </w:r>
      <w:r>
        <w:rPr>
          <w:color w:val="231F20"/>
          <w:w w:val="110"/>
          <w:sz w:val="18"/>
        </w:rPr>
        <w:t>Church</w:t>
      </w:r>
      <w:r>
        <w:rPr>
          <w:color w:val="231F20"/>
          <w:spacing w:val="12"/>
          <w:w w:val="110"/>
          <w:sz w:val="18"/>
        </w:rPr>
        <w:t> </w:t>
      </w:r>
      <w:r>
        <w:rPr>
          <w:color w:val="231F20"/>
          <w:w w:val="110"/>
          <w:sz w:val="18"/>
        </w:rPr>
        <w:t>and</w:t>
      </w:r>
      <w:r>
        <w:rPr>
          <w:color w:val="231F20"/>
          <w:spacing w:val="13"/>
          <w:w w:val="110"/>
          <w:sz w:val="18"/>
        </w:rPr>
        <w:t> </w:t>
      </w:r>
      <w:r>
        <w:rPr>
          <w:color w:val="231F20"/>
          <w:w w:val="110"/>
          <w:sz w:val="18"/>
        </w:rPr>
        <w:t>to</w:t>
      </w:r>
      <w:r>
        <w:rPr>
          <w:color w:val="231F20"/>
          <w:spacing w:val="12"/>
          <w:w w:val="110"/>
          <w:sz w:val="18"/>
        </w:rPr>
        <w:t> </w:t>
      </w:r>
      <w:r>
        <w:rPr>
          <w:color w:val="231F20"/>
          <w:w w:val="110"/>
          <w:sz w:val="18"/>
        </w:rPr>
        <w:t>bring</w:t>
      </w:r>
      <w:r>
        <w:rPr>
          <w:color w:val="231F20"/>
          <w:spacing w:val="13"/>
          <w:w w:val="110"/>
          <w:sz w:val="18"/>
        </w:rPr>
        <w:t> </w:t>
      </w:r>
      <w:r>
        <w:rPr>
          <w:color w:val="231F20"/>
          <w:w w:val="110"/>
          <w:sz w:val="18"/>
        </w:rPr>
        <w:t>them</w:t>
      </w:r>
      <w:r>
        <w:rPr>
          <w:color w:val="231F20"/>
          <w:spacing w:val="12"/>
          <w:w w:val="110"/>
          <w:sz w:val="18"/>
        </w:rPr>
        <w:t> </w:t>
      </w:r>
      <w:r>
        <w:rPr>
          <w:color w:val="231F20"/>
          <w:w w:val="110"/>
          <w:sz w:val="18"/>
        </w:rPr>
        <w:t>to</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Assembly</w:t>
      </w:r>
      <w:r>
        <w:rPr>
          <w:color w:val="231F20"/>
          <w:spacing w:val="12"/>
          <w:w w:val="110"/>
          <w:sz w:val="18"/>
        </w:rPr>
        <w:t> </w:t>
      </w:r>
      <w:r>
        <w:rPr>
          <w:color w:val="231F20"/>
          <w:w w:val="110"/>
          <w:sz w:val="18"/>
        </w:rPr>
        <w:t>of</w:t>
      </w:r>
      <w:r>
        <w:rPr>
          <w:color w:val="231F20"/>
          <w:spacing w:val="13"/>
          <w:w w:val="110"/>
          <w:sz w:val="18"/>
        </w:rPr>
        <w:t> </w:t>
      </w:r>
      <w:r>
        <w:rPr>
          <w:color w:val="231F20"/>
          <w:spacing w:val="-4"/>
          <w:w w:val="110"/>
          <w:sz w:val="18"/>
        </w:rPr>
        <w:t>2006’.</w:t>
      </w:r>
      <w:r>
        <w:rPr>
          <w:color w:val="231F20"/>
          <w:spacing w:val="12"/>
          <w:w w:val="110"/>
          <w:sz w:val="18"/>
        </w:rPr>
        <w:t> </w:t>
      </w:r>
      <w:r>
        <w:rPr>
          <w:color w:val="231F20"/>
          <w:spacing w:val="2"/>
          <w:w w:val="110"/>
          <w:sz w:val="18"/>
        </w:rPr>
        <w:t>After</w:t>
      </w:r>
      <w:r>
        <w:rPr>
          <w:color w:val="231F20"/>
          <w:spacing w:val="13"/>
          <w:w w:val="110"/>
          <w:sz w:val="18"/>
        </w:rPr>
        <w:t> </w:t>
      </w:r>
      <w:r>
        <w:rPr>
          <w:color w:val="231F20"/>
          <w:w w:val="110"/>
          <w:sz w:val="18"/>
        </w:rPr>
        <w:t>clarification</w:t>
      </w:r>
    </w:p>
    <w:p>
      <w:pPr>
        <w:pStyle w:val="BodyText"/>
        <w:spacing w:line="273" w:lineRule="auto" w:before="3"/>
        <w:ind w:left="673" w:right="1899"/>
      </w:pPr>
      <w:r>
        <w:rPr>
          <w:color w:val="231F20"/>
          <w:w w:val="110"/>
        </w:rPr>
        <w:t>with </w:t>
      </w:r>
      <w:r>
        <w:rPr>
          <w:color w:val="231F20"/>
          <w:spacing w:val="2"/>
          <w:w w:val="110"/>
        </w:rPr>
        <w:t>officers </w:t>
      </w:r>
      <w:r>
        <w:rPr>
          <w:color w:val="231F20"/>
          <w:w w:val="110"/>
        </w:rPr>
        <w:t>of the Methodist Church and careful discussion, Mission Council agreed that ‘as situations arise, and in particular circumstances, the Synod Moderator concerned   </w:t>
      </w:r>
      <w:r>
        <w:rPr>
          <w:color w:val="231F20"/>
          <w:spacing w:val="-3"/>
          <w:w w:val="110"/>
        </w:rPr>
        <w:t>may </w:t>
      </w:r>
      <w:r>
        <w:rPr>
          <w:color w:val="231F20"/>
          <w:w w:val="110"/>
        </w:rPr>
        <w:t>consult the General Secretary and the Assembly Moderator to see if a one-to-one meeting, offered in a pastoral context, would be both helpful and</w:t>
      </w:r>
      <w:r>
        <w:rPr>
          <w:color w:val="231F20"/>
          <w:spacing w:val="-30"/>
          <w:w w:val="110"/>
        </w:rPr>
        <w:t> </w:t>
      </w:r>
      <w:r>
        <w:rPr>
          <w:color w:val="231F20"/>
          <w:w w:val="110"/>
        </w:rPr>
        <w:t>appropriate.’</w:t>
      </w:r>
    </w:p>
    <w:p>
      <w:pPr>
        <w:pStyle w:val="BodyText"/>
        <w:spacing w:before="9"/>
        <w:rPr>
          <w:sz w:val="20"/>
        </w:rPr>
      </w:pPr>
    </w:p>
    <w:p>
      <w:pPr>
        <w:pStyle w:val="ListParagraph"/>
        <w:numPr>
          <w:ilvl w:val="1"/>
          <w:numId w:val="26"/>
        </w:numPr>
        <w:tabs>
          <w:tab w:pos="1354" w:val="left" w:leader="none"/>
          <w:tab w:pos="1355" w:val="left" w:leader="none"/>
        </w:tabs>
        <w:spacing w:line="273" w:lineRule="auto" w:before="0" w:after="0"/>
        <w:ind w:left="673" w:right="1921" w:firstLine="0"/>
        <w:jc w:val="left"/>
        <w:rPr>
          <w:color w:val="231F20"/>
          <w:sz w:val="18"/>
        </w:rPr>
      </w:pPr>
      <w:r>
        <w:rPr>
          <w:color w:val="231F20"/>
          <w:w w:val="110"/>
          <w:sz w:val="18"/>
          <w:u w:val="single" w:color="231F20"/>
        </w:rPr>
        <w:t>Resolution </w:t>
      </w:r>
      <w:r>
        <w:rPr>
          <w:color w:val="231F20"/>
          <w:spacing w:val="-7"/>
          <w:w w:val="110"/>
          <w:sz w:val="18"/>
          <w:u w:val="single" w:color="231F20"/>
        </w:rPr>
        <w:t>42: </w:t>
      </w:r>
      <w:r>
        <w:rPr>
          <w:color w:val="231F20"/>
          <w:w w:val="110"/>
          <w:sz w:val="18"/>
          <w:u w:val="single" w:color="231F20"/>
        </w:rPr>
        <w:t>London Synod Commission</w:t>
      </w:r>
      <w:r>
        <w:rPr>
          <w:color w:val="231F20"/>
          <w:w w:val="110"/>
          <w:sz w:val="18"/>
        </w:rPr>
        <w:t>: General Assembly asked Mission Council to appoint a Commission of Assembly to investigate the feasibility of creating a London synod, and to report back to the 2006 Assembly.  The Commission, convened by a former Assembly </w:t>
      </w:r>
      <w:r>
        <w:rPr>
          <w:color w:val="231F20"/>
          <w:spacing w:val="-3"/>
          <w:w w:val="110"/>
          <w:sz w:val="18"/>
        </w:rPr>
        <w:t>Moderator, </w:t>
      </w:r>
      <w:r>
        <w:rPr>
          <w:color w:val="231F20"/>
          <w:w w:val="110"/>
          <w:sz w:val="18"/>
        </w:rPr>
        <w:t>the </w:t>
      </w:r>
      <w:r>
        <w:rPr>
          <w:color w:val="231F20"/>
          <w:spacing w:val="-3"/>
          <w:w w:val="110"/>
          <w:sz w:val="18"/>
        </w:rPr>
        <w:t>Revd </w:t>
      </w:r>
      <w:r>
        <w:rPr>
          <w:color w:val="231F20"/>
          <w:w w:val="110"/>
          <w:sz w:val="18"/>
        </w:rPr>
        <w:t>Bill Mahood, assessed the rationale for a London synod, and sought to discover whether the advantages significantly outweighed the disadvantages. Mission Council, receiving the Commission’s report at its March </w:t>
      </w:r>
      <w:r>
        <w:rPr>
          <w:color w:val="231F20"/>
          <w:spacing w:val="-3"/>
          <w:w w:val="110"/>
          <w:sz w:val="18"/>
        </w:rPr>
        <w:t>2007 </w:t>
      </w:r>
      <w:r>
        <w:rPr>
          <w:color w:val="231F20"/>
          <w:w w:val="110"/>
          <w:sz w:val="18"/>
        </w:rPr>
        <w:t>meeting, noted that the majority view of the Commission was that the creation of a London Synod would be “visionary and </w:t>
      </w:r>
      <w:r>
        <w:rPr>
          <w:color w:val="231F20"/>
          <w:spacing w:val="-3"/>
          <w:w w:val="110"/>
          <w:sz w:val="18"/>
        </w:rPr>
        <w:t>timely”, </w:t>
      </w:r>
      <w:r>
        <w:rPr>
          <w:color w:val="231F20"/>
          <w:w w:val="110"/>
          <w:sz w:val="18"/>
        </w:rPr>
        <w:t>and that the consequences and costs of change would be “acceptable”. In preparation for future proposals to General</w:t>
      </w:r>
      <w:r>
        <w:rPr>
          <w:color w:val="231F20"/>
          <w:spacing w:val="-24"/>
          <w:w w:val="110"/>
          <w:sz w:val="18"/>
        </w:rPr>
        <w:t> </w:t>
      </w:r>
      <w:r>
        <w:rPr>
          <w:color w:val="231F20"/>
          <w:w w:val="110"/>
          <w:sz w:val="18"/>
        </w:rPr>
        <w:t>Assembly,</w:t>
      </w:r>
    </w:p>
    <w:p>
      <w:pPr>
        <w:pStyle w:val="BodyText"/>
        <w:spacing w:line="273" w:lineRule="auto" w:before="6"/>
        <w:ind w:left="673" w:right="1829"/>
      </w:pPr>
      <w:r>
        <w:rPr>
          <w:color w:val="231F20"/>
          <w:w w:val="110"/>
        </w:rPr>
        <w:t>Mission Council asked the London Synod Commission to facilitate and consider reports  on </w:t>
      </w:r>
      <w:r>
        <w:rPr>
          <w:color w:val="231F20"/>
          <w:spacing w:val="-3"/>
          <w:w w:val="110"/>
        </w:rPr>
        <w:t>(amongst </w:t>
      </w:r>
      <w:r>
        <w:rPr>
          <w:color w:val="231F20"/>
          <w:w w:val="110"/>
        </w:rPr>
        <w:t>other </w:t>
      </w:r>
      <w:r>
        <w:rPr>
          <w:color w:val="231F20"/>
          <w:spacing w:val="-4"/>
          <w:w w:val="110"/>
        </w:rPr>
        <w:t>things) </w:t>
      </w:r>
      <w:r>
        <w:rPr>
          <w:color w:val="231F20"/>
          <w:w w:val="110"/>
        </w:rPr>
        <w:t>the mission justification for a London synod, synod boundaries </w:t>
      </w:r>
      <w:r>
        <w:rPr>
          <w:color w:val="231F20"/>
          <w:spacing w:val="-4"/>
          <w:w w:val="110"/>
        </w:rPr>
        <w:t>(in </w:t>
      </w:r>
      <w:r>
        <w:rPr>
          <w:color w:val="231F20"/>
          <w:w w:val="110"/>
        </w:rPr>
        <w:t>consultation with all the synods affected); the division of resources; financial and staffing implications; synod offices; and Trusts. It also asked the Commission to consult Thames North and Southern synods by co-opting two representatives of each synod to the Commission. Mission Council also set a timetable, asking that initial proposals</w:t>
      </w:r>
      <w:r>
        <w:rPr>
          <w:color w:val="231F20"/>
          <w:spacing w:val="-9"/>
          <w:w w:val="110"/>
        </w:rPr>
        <w:t> </w:t>
      </w:r>
      <w:r>
        <w:rPr>
          <w:color w:val="231F20"/>
          <w:w w:val="110"/>
        </w:rPr>
        <w:t>should</w:t>
      </w:r>
    </w:p>
    <w:p>
      <w:pPr>
        <w:pStyle w:val="BodyText"/>
        <w:spacing w:line="273" w:lineRule="auto" w:before="3"/>
        <w:ind w:left="673" w:right="1778"/>
      </w:pPr>
      <w:r>
        <w:rPr>
          <w:color w:val="231F20"/>
          <w:w w:val="110"/>
        </w:rPr>
        <w:t>be brought to the synods’ Spring meetings in 2009, and firm proposals in Autumn 2009, so that final proposals could be brought to Mission Council in March 2010. If these proposals were accepted they would be presented to General Assembly in 2010. If approved, a London Synod could then be fully operative, with all structural arrangements in place, by General Assembly in 2012. In the meantime, regular progress reports should be made to the Thames North Synod Executive Committee; the Southern Synod Mission and Strategy Group; and to Mission Council.</w:t>
      </w:r>
    </w:p>
    <w:p>
      <w:pPr>
        <w:spacing w:after="0" w:line="273" w:lineRule="auto"/>
        <w:sectPr>
          <w:headerReference w:type="even" r:id="rId65"/>
          <w:headerReference w:type="default" r:id="rId66"/>
          <w:footerReference w:type="even" r:id="rId67"/>
          <w:footerReference w:type="default" r:id="rId68"/>
          <w:pgSz w:w="11910" w:h="16840"/>
          <w:pgMar w:header="581" w:footer="464" w:top="860" w:bottom="660" w:left="460" w:right="0"/>
          <w:pgNumType w:start="46"/>
        </w:sectPr>
      </w:pPr>
    </w:p>
    <w:p>
      <w:pPr>
        <w:pStyle w:val="BodyText"/>
        <w:spacing w:before="10"/>
        <w:rPr>
          <w:sz w:val="11"/>
        </w:rPr>
      </w:pPr>
    </w:p>
    <w:p>
      <w:pPr>
        <w:pStyle w:val="ListParagraph"/>
        <w:numPr>
          <w:ilvl w:val="1"/>
          <w:numId w:val="26"/>
        </w:numPr>
        <w:tabs>
          <w:tab w:pos="1921" w:val="left" w:leader="none"/>
          <w:tab w:pos="1922" w:val="left" w:leader="none"/>
        </w:tabs>
        <w:spacing w:line="273" w:lineRule="auto" w:before="101" w:after="0"/>
        <w:ind w:left="1240" w:right="1149" w:firstLine="0"/>
        <w:jc w:val="left"/>
        <w:rPr>
          <w:color w:val="231F20"/>
          <w:sz w:val="18"/>
        </w:rPr>
      </w:pPr>
      <w:r>
        <w:rPr>
          <w:color w:val="231F20"/>
          <w:w w:val="110"/>
          <w:sz w:val="18"/>
          <w:u w:val="single" w:color="231F20"/>
        </w:rPr>
        <w:t>Resolution </w:t>
      </w:r>
      <w:r>
        <w:rPr>
          <w:color w:val="231F20"/>
          <w:spacing w:val="-3"/>
          <w:w w:val="110"/>
          <w:sz w:val="18"/>
          <w:u w:val="single" w:color="231F20"/>
        </w:rPr>
        <w:t>34: </w:t>
      </w:r>
      <w:r>
        <w:rPr>
          <w:color w:val="231F20"/>
          <w:w w:val="110"/>
          <w:sz w:val="18"/>
          <w:u w:val="single" w:color="231F20"/>
        </w:rPr>
        <w:t>Developing Multicultural Ministry:</w:t>
      </w:r>
      <w:r>
        <w:rPr>
          <w:color w:val="231F20"/>
          <w:w w:val="110"/>
          <w:sz w:val="18"/>
        </w:rPr>
        <w:t>  General  Assembly  authorised the Racial Justice and Multicultural Ministry Committee to conduct an audit of church structures, policies, procedures and </w:t>
      </w:r>
      <w:r>
        <w:rPr>
          <w:color w:val="231F20"/>
          <w:spacing w:val="2"/>
          <w:w w:val="110"/>
          <w:sz w:val="18"/>
        </w:rPr>
        <w:t>practices </w:t>
      </w:r>
      <w:r>
        <w:rPr>
          <w:color w:val="231F20"/>
          <w:w w:val="110"/>
          <w:sz w:val="18"/>
        </w:rPr>
        <w:t>for the </w:t>
      </w:r>
      <w:r>
        <w:rPr>
          <w:color w:val="231F20"/>
          <w:spacing w:val="2"/>
          <w:w w:val="110"/>
          <w:sz w:val="18"/>
        </w:rPr>
        <w:t>presence </w:t>
      </w:r>
      <w:r>
        <w:rPr>
          <w:color w:val="231F20"/>
          <w:w w:val="110"/>
          <w:sz w:val="18"/>
        </w:rPr>
        <w:t>of </w:t>
      </w:r>
      <w:r>
        <w:rPr>
          <w:color w:val="231F20"/>
          <w:spacing w:val="2"/>
          <w:w w:val="110"/>
          <w:sz w:val="18"/>
        </w:rPr>
        <w:t>barriers </w:t>
      </w:r>
      <w:r>
        <w:rPr>
          <w:color w:val="231F20"/>
          <w:w w:val="110"/>
          <w:sz w:val="18"/>
        </w:rPr>
        <w:t>to the full participation of minority ethnic people. It also sought to evaluate the accessibility, to minority ethnic people, of the systems of candidacy and training for the Ministry of Word and Sacrament, Church Related Community Work, lay preaching and lay leadership; and to bring a </w:t>
      </w:r>
      <w:r>
        <w:rPr>
          <w:color w:val="231F20"/>
          <w:spacing w:val="3"/>
          <w:w w:val="110"/>
          <w:sz w:val="18"/>
        </w:rPr>
        <w:t>report </w:t>
      </w:r>
      <w:r>
        <w:rPr>
          <w:color w:val="231F20"/>
          <w:w w:val="110"/>
          <w:sz w:val="18"/>
        </w:rPr>
        <w:t>to Mission Council. The scale of the task meant that it took longer than anticipated</w:t>
      </w:r>
      <w:r>
        <w:rPr>
          <w:color w:val="231F20"/>
          <w:spacing w:val="7"/>
          <w:w w:val="110"/>
          <w:sz w:val="18"/>
        </w:rPr>
        <w:t> </w:t>
      </w:r>
      <w:r>
        <w:rPr>
          <w:color w:val="231F20"/>
          <w:w w:val="110"/>
          <w:sz w:val="18"/>
        </w:rPr>
        <w:t>to</w:t>
      </w:r>
      <w:r>
        <w:rPr>
          <w:color w:val="231F20"/>
          <w:spacing w:val="8"/>
          <w:w w:val="110"/>
          <w:sz w:val="18"/>
        </w:rPr>
        <w:t> </w:t>
      </w:r>
      <w:r>
        <w:rPr>
          <w:color w:val="231F20"/>
          <w:w w:val="110"/>
          <w:sz w:val="18"/>
        </w:rPr>
        <w:t>complete</w:t>
      </w:r>
      <w:r>
        <w:rPr>
          <w:color w:val="231F20"/>
          <w:spacing w:val="7"/>
          <w:w w:val="110"/>
          <w:sz w:val="18"/>
        </w:rPr>
        <w:t> </w:t>
      </w:r>
      <w:r>
        <w:rPr>
          <w:color w:val="231F20"/>
          <w:w w:val="110"/>
          <w:sz w:val="18"/>
        </w:rPr>
        <w:t>the</w:t>
      </w:r>
      <w:r>
        <w:rPr>
          <w:color w:val="231F20"/>
          <w:spacing w:val="8"/>
          <w:w w:val="110"/>
          <w:sz w:val="18"/>
        </w:rPr>
        <w:t> </w:t>
      </w:r>
      <w:r>
        <w:rPr>
          <w:color w:val="231F20"/>
          <w:spacing w:val="2"/>
          <w:w w:val="110"/>
          <w:sz w:val="18"/>
        </w:rPr>
        <w:t>report,</w:t>
      </w:r>
      <w:r>
        <w:rPr>
          <w:color w:val="231F20"/>
          <w:spacing w:val="8"/>
          <w:w w:val="110"/>
          <w:sz w:val="18"/>
        </w:rPr>
        <w:t> </w:t>
      </w:r>
      <w:r>
        <w:rPr>
          <w:color w:val="231F20"/>
          <w:w w:val="110"/>
          <w:sz w:val="18"/>
        </w:rPr>
        <w:t>but</w:t>
      </w:r>
      <w:r>
        <w:rPr>
          <w:color w:val="231F20"/>
          <w:spacing w:val="7"/>
          <w:w w:val="110"/>
          <w:sz w:val="18"/>
        </w:rPr>
        <w:t> </w:t>
      </w:r>
      <w:r>
        <w:rPr>
          <w:color w:val="231F20"/>
          <w:w w:val="110"/>
          <w:sz w:val="18"/>
        </w:rPr>
        <w:t>it</w:t>
      </w:r>
      <w:r>
        <w:rPr>
          <w:color w:val="231F20"/>
          <w:spacing w:val="8"/>
          <w:w w:val="110"/>
          <w:sz w:val="18"/>
        </w:rPr>
        <w:t> </w:t>
      </w:r>
      <w:r>
        <w:rPr>
          <w:color w:val="231F20"/>
          <w:w w:val="110"/>
          <w:sz w:val="18"/>
        </w:rPr>
        <w:t>was</w:t>
      </w:r>
      <w:r>
        <w:rPr>
          <w:color w:val="231F20"/>
          <w:spacing w:val="7"/>
          <w:w w:val="110"/>
          <w:sz w:val="18"/>
        </w:rPr>
        <w:t> </w:t>
      </w:r>
      <w:r>
        <w:rPr>
          <w:color w:val="231F20"/>
          <w:w w:val="110"/>
          <w:sz w:val="18"/>
        </w:rPr>
        <w:t>presented</w:t>
      </w:r>
      <w:r>
        <w:rPr>
          <w:color w:val="231F20"/>
          <w:spacing w:val="8"/>
          <w:w w:val="110"/>
          <w:sz w:val="18"/>
        </w:rPr>
        <w:t> </w:t>
      </w:r>
      <w:r>
        <w:rPr>
          <w:color w:val="231F20"/>
          <w:w w:val="110"/>
          <w:sz w:val="18"/>
        </w:rPr>
        <w:t>at</w:t>
      </w:r>
      <w:r>
        <w:rPr>
          <w:color w:val="231F20"/>
          <w:spacing w:val="8"/>
          <w:w w:val="110"/>
          <w:sz w:val="18"/>
        </w:rPr>
        <w:t> </w:t>
      </w:r>
      <w:r>
        <w:rPr>
          <w:color w:val="231F20"/>
          <w:w w:val="110"/>
          <w:sz w:val="18"/>
        </w:rPr>
        <w:t>the</w:t>
      </w:r>
      <w:r>
        <w:rPr>
          <w:color w:val="231F20"/>
          <w:spacing w:val="7"/>
          <w:w w:val="110"/>
          <w:sz w:val="18"/>
        </w:rPr>
        <w:t> </w:t>
      </w:r>
      <w:r>
        <w:rPr>
          <w:color w:val="231F20"/>
          <w:w w:val="110"/>
          <w:sz w:val="18"/>
        </w:rPr>
        <w:t>March</w:t>
      </w:r>
      <w:r>
        <w:rPr>
          <w:color w:val="231F20"/>
          <w:spacing w:val="8"/>
          <w:w w:val="110"/>
          <w:sz w:val="18"/>
        </w:rPr>
        <w:t> </w:t>
      </w:r>
      <w:r>
        <w:rPr>
          <w:color w:val="231F20"/>
          <w:w w:val="110"/>
          <w:sz w:val="18"/>
        </w:rPr>
        <w:t>2007</w:t>
      </w:r>
      <w:r>
        <w:rPr>
          <w:color w:val="231F20"/>
          <w:spacing w:val="7"/>
          <w:w w:val="110"/>
          <w:sz w:val="18"/>
        </w:rPr>
        <w:t> </w:t>
      </w:r>
      <w:r>
        <w:rPr>
          <w:color w:val="231F20"/>
          <w:w w:val="110"/>
          <w:sz w:val="18"/>
        </w:rPr>
        <w:t>meeting.</w:t>
      </w:r>
    </w:p>
    <w:p>
      <w:pPr>
        <w:pStyle w:val="BodyText"/>
        <w:spacing w:line="273" w:lineRule="auto" w:before="5"/>
        <w:ind w:left="1240" w:right="1492"/>
      </w:pPr>
      <w:r>
        <w:rPr>
          <w:color w:val="231F20"/>
          <w:w w:val="110"/>
        </w:rPr>
        <w:t>Mission Council consequently authorised the drafting of an ethnic monitoring form to   be included in the Annual Returns made by local churches; the Council also </w:t>
      </w:r>
      <w:r>
        <w:rPr>
          <w:color w:val="231F20"/>
          <w:spacing w:val="2"/>
          <w:w w:val="110"/>
        </w:rPr>
        <w:t>seeks </w:t>
      </w:r>
      <w:r>
        <w:rPr>
          <w:color w:val="231F20"/>
          <w:w w:val="110"/>
        </w:rPr>
        <w:t>to encourage all synods to support and enable URC Minority Ethnic Conferences; promote the use of training material prepared by the Committee; and generally </w:t>
      </w:r>
      <w:r>
        <w:rPr>
          <w:color w:val="231F20"/>
          <w:spacing w:val="2"/>
          <w:w w:val="110"/>
        </w:rPr>
        <w:t>seeks </w:t>
      </w:r>
      <w:r>
        <w:rPr>
          <w:color w:val="231F20"/>
          <w:w w:val="110"/>
        </w:rPr>
        <w:t>to make the</w:t>
      </w:r>
      <w:r>
        <w:rPr>
          <w:color w:val="231F20"/>
          <w:spacing w:val="10"/>
          <w:w w:val="110"/>
        </w:rPr>
        <w:t> </w:t>
      </w:r>
      <w:r>
        <w:rPr>
          <w:color w:val="231F20"/>
          <w:w w:val="110"/>
        </w:rPr>
        <w:t>Church</w:t>
      </w:r>
      <w:r>
        <w:rPr>
          <w:color w:val="231F20"/>
          <w:spacing w:val="11"/>
          <w:w w:val="110"/>
        </w:rPr>
        <w:t> </w:t>
      </w:r>
      <w:r>
        <w:rPr>
          <w:color w:val="231F20"/>
          <w:w w:val="110"/>
        </w:rPr>
        <w:t>at</w:t>
      </w:r>
      <w:r>
        <w:rPr>
          <w:color w:val="231F20"/>
          <w:spacing w:val="11"/>
          <w:w w:val="110"/>
        </w:rPr>
        <w:t> </w:t>
      </w:r>
      <w:r>
        <w:rPr>
          <w:color w:val="231F20"/>
          <w:w w:val="110"/>
        </w:rPr>
        <w:t>all</w:t>
      </w:r>
      <w:r>
        <w:rPr>
          <w:color w:val="231F20"/>
          <w:spacing w:val="11"/>
          <w:w w:val="110"/>
        </w:rPr>
        <w:t> </w:t>
      </w:r>
      <w:r>
        <w:rPr>
          <w:color w:val="231F20"/>
          <w:w w:val="110"/>
        </w:rPr>
        <w:t>levels</w:t>
      </w:r>
      <w:r>
        <w:rPr>
          <w:color w:val="231F20"/>
          <w:spacing w:val="11"/>
          <w:w w:val="110"/>
        </w:rPr>
        <w:t> </w:t>
      </w:r>
      <w:r>
        <w:rPr>
          <w:color w:val="231F20"/>
          <w:w w:val="110"/>
        </w:rPr>
        <w:t>more</w:t>
      </w:r>
      <w:r>
        <w:rPr>
          <w:color w:val="231F20"/>
          <w:spacing w:val="11"/>
          <w:w w:val="110"/>
        </w:rPr>
        <w:t> </w:t>
      </w:r>
      <w:r>
        <w:rPr>
          <w:color w:val="231F20"/>
          <w:w w:val="110"/>
        </w:rPr>
        <w:t>intentional</w:t>
      </w:r>
      <w:r>
        <w:rPr>
          <w:color w:val="231F20"/>
          <w:spacing w:val="11"/>
          <w:w w:val="110"/>
        </w:rPr>
        <w:t> </w:t>
      </w:r>
      <w:r>
        <w:rPr>
          <w:color w:val="231F20"/>
          <w:w w:val="110"/>
        </w:rPr>
        <w:t>about</w:t>
      </w:r>
      <w:r>
        <w:rPr>
          <w:color w:val="231F20"/>
          <w:spacing w:val="11"/>
          <w:w w:val="110"/>
        </w:rPr>
        <w:t> </w:t>
      </w:r>
      <w:r>
        <w:rPr>
          <w:color w:val="231F20"/>
          <w:w w:val="110"/>
        </w:rPr>
        <w:t>promoting</w:t>
      </w:r>
      <w:r>
        <w:rPr>
          <w:color w:val="231F20"/>
          <w:spacing w:val="11"/>
          <w:w w:val="110"/>
        </w:rPr>
        <w:t> </w:t>
      </w:r>
      <w:r>
        <w:rPr>
          <w:color w:val="231F20"/>
          <w:w w:val="110"/>
        </w:rPr>
        <w:t>multicultural</w:t>
      </w:r>
      <w:r>
        <w:rPr>
          <w:color w:val="231F20"/>
          <w:spacing w:val="11"/>
          <w:w w:val="110"/>
        </w:rPr>
        <w:t> </w:t>
      </w:r>
      <w:r>
        <w:rPr>
          <w:color w:val="231F20"/>
          <w:w w:val="110"/>
        </w:rPr>
        <w:t>inclusiveness.</w:t>
      </w:r>
    </w:p>
    <w:p>
      <w:pPr>
        <w:pStyle w:val="BodyText"/>
        <w:spacing w:before="10"/>
        <w:rPr>
          <w:sz w:val="20"/>
        </w:rPr>
      </w:pPr>
    </w:p>
    <w:p>
      <w:pPr>
        <w:spacing w:before="0"/>
        <w:ind w:left="1921" w:right="0" w:firstLine="0"/>
        <w:jc w:val="left"/>
        <w:rPr>
          <w:b/>
          <w:sz w:val="18"/>
        </w:rPr>
      </w:pPr>
      <w:r>
        <w:rPr>
          <w:b/>
          <w:color w:val="231F20"/>
          <w:w w:val="110"/>
          <w:sz w:val="18"/>
        </w:rPr>
        <w:t>From Assembly 2006:</w:t>
      </w:r>
    </w:p>
    <w:p>
      <w:pPr>
        <w:pStyle w:val="ListParagraph"/>
        <w:numPr>
          <w:ilvl w:val="1"/>
          <w:numId w:val="26"/>
        </w:numPr>
        <w:tabs>
          <w:tab w:pos="1910" w:val="left" w:leader="none"/>
          <w:tab w:pos="1911" w:val="left" w:leader="none"/>
        </w:tabs>
        <w:spacing w:line="273" w:lineRule="auto" w:before="31" w:after="0"/>
        <w:ind w:left="1240" w:right="1397" w:firstLine="0"/>
        <w:jc w:val="left"/>
        <w:rPr>
          <w:color w:val="231F20"/>
          <w:sz w:val="18"/>
        </w:rPr>
      </w:pPr>
      <w:r>
        <w:rPr>
          <w:color w:val="231F20"/>
          <w:w w:val="110"/>
          <w:sz w:val="18"/>
          <w:u w:val="single" w:color="231F20"/>
        </w:rPr>
        <w:t>Resolution 1</w:t>
      </w:r>
      <w:r>
        <w:rPr>
          <w:color w:val="231F20"/>
          <w:w w:val="110"/>
          <w:sz w:val="18"/>
        </w:rPr>
        <w:t> </w:t>
      </w:r>
      <w:r>
        <w:rPr>
          <w:color w:val="231F20"/>
          <w:spacing w:val="2"/>
          <w:w w:val="110"/>
          <w:sz w:val="18"/>
        </w:rPr>
        <w:t>instructed </w:t>
      </w:r>
      <w:r>
        <w:rPr>
          <w:color w:val="231F20"/>
          <w:w w:val="110"/>
          <w:sz w:val="18"/>
        </w:rPr>
        <w:t>Mission Council to explore consensus procedures for decision making at Assembly level and bring detailed proposals to the 2007 Assembly. Mission Council was asked also to explore ways in which the background information  on</w:t>
      </w:r>
      <w:r>
        <w:rPr>
          <w:color w:val="231F20"/>
          <w:spacing w:val="9"/>
          <w:w w:val="110"/>
          <w:sz w:val="18"/>
        </w:rPr>
        <w:t> </w:t>
      </w:r>
      <w:r>
        <w:rPr>
          <w:color w:val="231F20"/>
          <w:w w:val="110"/>
          <w:sz w:val="18"/>
        </w:rPr>
        <w:t>key</w:t>
      </w:r>
      <w:r>
        <w:rPr>
          <w:color w:val="231F20"/>
          <w:spacing w:val="9"/>
          <w:w w:val="110"/>
          <w:sz w:val="18"/>
        </w:rPr>
        <w:t> </w:t>
      </w:r>
      <w:r>
        <w:rPr>
          <w:color w:val="231F20"/>
          <w:w w:val="110"/>
          <w:sz w:val="18"/>
        </w:rPr>
        <w:t>resolutions</w:t>
      </w:r>
      <w:r>
        <w:rPr>
          <w:color w:val="231F20"/>
          <w:spacing w:val="9"/>
          <w:w w:val="110"/>
          <w:sz w:val="18"/>
        </w:rPr>
        <w:t> </w:t>
      </w:r>
      <w:r>
        <w:rPr>
          <w:color w:val="231F20"/>
          <w:w w:val="110"/>
          <w:sz w:val="18"/>
        </w:rPr>
        <w:t>could</w:t>
      </w:r>
      <w:r>
        <w:rPr>
          <w:color w:val="231F20"/>
          <w:spacing w:val="9"/>
          <w:w w:val="110"/>
          <w:sz w:val="18"/>
        </w:rPr>
        <w:t> </w:t>
      </w:r>
      <w:r>
        <w:rPr>
          <w:color w:val="231F20"/>
          <w:w w:val="110"/>
          <w:sz w:val="18"/>
        </w:rPr>
        <w:t>be</w:t>
      </w:r>
      <w:r>
        <w:rPr>
          <w:color w:val="231F20"/>
          <w:spacing w:val="9"/>
          <w:w w:val="110"/>
          <w:sz w:val="18"/>
        </w:rPr>
        <w:t> </w:t>
      </w:r>
      <w:r>
        <w:rPr>
          <w:color w:val="231F20"/>
          <w:w w:val="110"/>
          <w:sz w:val="18"/>
        </w:rPr>
        <w:t>made</w:t>
      </w:r>
      <w:r>
        <w:rPr>
          <w:color w:val="231F20"/>
          <w:spacing w:val="9"/>
          <w:w w:val="110"/>
          <w:sz w:val="18"/>
        </w:rPr>
        <w:t> </w:t>
      </w:r>
      <w:r>
        <w:rPr>
          <w:color w:val="231F20"/>
          <w:w w:val="110"/>
          <w:sz w:val="18"/>
        </w:rPr>
        <w:t>available</w:t>
      </w:r>
      <w:r>
        <w:rPr>
          <w:color w:val="231F20"/>
          <w:spacing w:val="9"/>
          <w:w w:val="110"/>
          <w:sz w:val="18"/>
        </w:rPr>
        <w:t> </w:t>
      </w:r>
      <w:r>
        <w:rPr>
          <w:color w:val="231F20"/>
          <w:w w:val="110"/>
          <w:sz w:val="18"/>
        </w:rPr>
        <w:t>to</w:t>
      </w:r>
      <w:r>
        <w:rPr>
          <w:color w:val="231F20"/>
          <w:spacing w:val="9"/>
          <w:w w:val="110"/>
          <w:sz w:val="18"/>
        </w:rPr>
        <w:t> </w:t>
      </w:r>
      <w:r>
        <w:rPr>
          <w:color w:val="231F20"/>
          <w:w w:val="110"/>
          <w:sz w:val="18"/>
        </w:rPr>
        <w:t>local</w:t>
      </w:r>
      <w:r>
        <w:rPr>
          <w:color w:val="231F20"/>
          <w:spacing w:val="9"/>
          <w:w w:val="110"/>
          <w:sz w:val="18"/>
        </w:rPr>
        <w:t> </w:t>
      </w:r>
      <w:r>
        <w:rPr>
          <w:color w:val="231F20"/>
          <w:w w:val="110"/>
          <w:sz w:val="18"/>
        </w:rPr>
        <w:t>churches</w:t>
      </w:r>
      <w:r>
        <w:rPr>
          <w:color w:val="231F20"/>
          <w:spacing w:val="9"/>
          <w:w w:val="110"/>
          <w:sz w:val="18"/>
        </w:rPr>
        <w:t> </w:t>
      </w:r>
      <w:r>
        <w:rPr>
          <w:color w:val="231F20"/>
          <w:w w:val="110"/>
          <w:sz w:val="18"/>
        </w:rPr>
        <w:t>sufficiently</w:t>
      </w:r>
      <w:r>
        <w:rPr>
          <w:color w:val="231F20"/>
          <w:spacing w:val="9"/>
          <w:w w:val="110"/>
          <w:sz w:val="18"/>
        </w:rPr>
        <w:t> </w:t>
      </w:r>
      <w:r>
        <w:rPr>
          <w:color w:val="231F20"/>
          <w:w w:val="110"/>
          <w:sz w:val="18"/>
        </w:rPr>
        <w:t>in</w:t>
      </w:r>
      <w:r>
        <w:rPr>
          <w:color w:val="231F20"/>
          <w:spacing w:val="9"/>
          <w:w w:val="110"/>
          <w:sz w:val="18"/>
        </w:rPr>
        <w:t> </w:t>
      </w:r>
      <w:r>
        <w:rPr>
          <w:color w:val="231F20"/>
          <w:w w:val="110"/>
          <w:sz w:val="18"/>
        </w:rPr>
        <w:t>advance</w:t>
      </w:r>
    </w:p>
    <w:p>
      <w:pPr>
        <w:pStyle w:val="BodyText"/>
        <w:spacing w:line="273" w:lineRule="auto" w:before="2"/>
        <w:ind w:left="1240" w:right="1365"/>
      </w:pPr>
      <w:r>
        <w:rPr>
          <w:color w:val="231F20"/>
          <w:w w:val="110"/>
        </w:rPr>
        <w:t>of Synod and General Assembly meetings to allow issues to be discussed so that representatives could be aware of the views of the wider membership. Mission Council agreed the report of a special task group set up to investigate these matters (See Booklet </w:t>
      </w:r>
      <w:r>
        <w:rPr>
          <w:i/>
          <w:color w:val="231F20"/>
          <w:w w:val="110"/>
        </w:rPr>
        <w:t>Consensus Decision Making for the United Reformed Church</w:t>
      </w:r>
      <w:r>
        <w:rPr>
          <w:color w:val="231F20"/>
          <w:w w:val="110"/>
        </w:rPr>
        <w:t>) and brings </w:t>
      </w:r>
      <w:r>
        <w:rPr>
          <w:b/>
          <w:color w:val="231F20"/>
          <w:w w:val="110"/>
        </w:rPr>
        <w:t>Resolution 50 </w:t>
      </w:r>
      <w:r>
        <w:rPr>
          <w:color w:val="231F20"/>
          <w:w w:val="110"/>
        </w:rPr>
        <w:t>to Assembly.</w:t>
      </w:r>
    </w:p>
    <w:p>
      <w:pPr>
        <w:pStyle w:val="BodyText"/>
        <w:spacing w:before="10"/>
        <w:rPr>
          <w:sz w:val="20"/>
        </w:rPr>
      </w:pPr>
    </w:p>
    <w:p>
      <w:pPr>
        <w:pStyle w:val="ListParagraph"/>
        <w:numPr>
          <w:ilvl w:val="1"/>
          <w:numId w:val="26"/>
        </w:numPr>
        <w:tabs>
          <w:tab w:pos="1921" w:val="left" w:leader="none"/>
          <w:tab w:pos="1922" w:val="left" w:leader="none"/>
        </w:tabs>
        <w:spacing w:line="273" w:lineRule="auto" w:before="0" w:after="0"/>
        <w:ind w:left="1240" w:right="1274" w:firstLine="0"/>
        <w:jc w:val="left"/>
        <w:rPr>
          <w:color w:val="231F20"/>
          <w:sz w:val="18"/>
        </w:rPr>
      </w:pPr>
      <w:r>
        <w:rPr>
          <w:color w:val="231F20"/>
          <w:w w:val="110"/>
          <w:sz w:val="18"/>
          <w:u w:val="single" w:color="231F20"/>
        </w:rPr>
        <w:t>Resolution 2</w:t>
      </w:r>
      <w:r>
        <w:rPr>
          <w:color w:val="231F20"/>
          <w:w w:val="110"/>
          <w:sz w:val="18"/>
        </w:rPr>
        <w:t> instructed Mission Council to investigate the possibility of changing United Reformed Church regulations to allow </w:t>
      </w:r>
      <w:r>
        <w:rPr>
          <w:b/>
          <w:color w:val="231F20"/>
          <w:w w:val="110"/>
          <w:sz w:val="18"/>
        </w:rPr>
        <w:t>flexibility in the provision and payment for housing for Non-stipendiary Ministers</w:t>
      </w:r>
      <w:r>
        <w:rPr>
          <w:color w:val="231F20"/>
          <w:w w:val="110"/>
          <w:sz w:val="18"/>
        </w:rPr>
        <w:t>. Mission Council agreed a paper produced by the Ministries Committee which set out the conditions under which synods would be permitted to provide ‘house for duties’ to ministers in non stipendiary service. Individual synods would be responsible for determining whether and under what additional conditions </w:t>
      </w:r>
      <w:r>
        <w:rPr>
          <w:color w:val="231F20"/>
          <w:spacing w:val="-4"/>
          <w:w w:val="110"/>
          <w:sz w:val="18"/>
        </w:rPr>
        <w:t>(to </w:t>
      </w:r>
      <w:r>
        <w:rPr>
          <w:color w:val="231F20"/>
          <w:w w:val="110"/>
          <w:sz w:val="18"/>
        </w:rPr>
        <w:t>those agreed by Mission Council) housing could be made</w:t>
      </w:r>
      <w:r>
        <w:rPr>
          <w:color w:val="231F20"/>
          <w:spacing w:val="-16"/>
          <w:w w:val="110"/>
          <w:sz w:val="18"/>
        </w:rPr>
        <w:t> </w:t>
      </w:r>
      <w:r>
        <w:rPr>
          <w:color w:val="231F20"/>
          <w:spacing w:val="-3"/>
          <w:w w:val="110"/>
          <w:sz w:val="18"/>
        </w:rPr>
        <w:t>available.</w:t>
      </w:r>
    </w:p>
    <w:p>
      <w:pPr>
        <w:pStyle w:val="BodyText"/>
        <w:spacing w:before="11"/>
        <w:rPr>
          <w:sz w:val="20"/>
        </w:rPr>
      </w:pPr>
    </w:p>
    <w:p>
      <w:pPr>
        <w:pStyle w:val="ListParagraph"/>
        <w:numPr>
          <w:ilvl w:val="1"/>
          <w:numId w:val="26"/>
        </w:numPr>
        <w:tabs>
          <w:tab w:pos="1921" w:val="left" w:leader="none"/>
          <w:tab w:pos="1922" w:val="left" w:leader="none"/>
        </w:tabs>
        <w:spacing w:line="273" w:lineRule="auto" w:before="1" w:after="0"/>
        <w:ind w:left="1240" w:right="1138" w:hanging="1"/>
        <w:jc w:val="left"/>
        <w:rPr>
          <w:color w:val="231F20"/>
          <w:sz w:val="18"/>
        </w:rPr>
      </w:pPr>
      <w:r>
        <w:rPr>
          <w:color w:val="231F20"/>
          <w:w w:val="110"/>
          <w:sz w:val="18"/>
          <w:u w:val="single" w:color="231F20"/>
        </w:rPr>
        <w:t>Resolution 4</w:t>
      </w:r>
      <w:r>
        <w:rPr>
          <w:color w:val="231F20"/>
          <w:w w:val="110"/>
          <w:sz w:val="18"/>
        </w:rPr>
        <w:t> </w:t>
      </w:r>
      <w:r>
        <w:rPr>
          <w:color w:val="231F20"/>
          <w:spacing w:val="2"/>
          <w:w w:val="110"/>
          <w:sz w:val="18"/>
        </w:rPr>
        <w:t>instructed </w:t>
      </w:r>
      <w:r>
        <w:rPr>
          <w:color w:val="231F20"/>
          <w:w w:val="110"/>
          <w:sz w:val="18"/>
        </w:rPr>
        <w:t>Mission Council, in the light of the diminishing government funding available for the repair and upkeep of historic church buildings, to revisit</w:t>
      </w:r>
    </w:p>
    <w:p>
      <w:pPr>
        <w:pStyle w:val="BodyText"/>
        <w:spacing w:line="273" w:lineRule="auto" w:before="1"/>
        <w:ind w:left="1240" w:right="1750"/>
      </w:pPr>
      <w:r>
        <w:rPr>
          <w:color w:val="231F20"/>
          <w:w w:val="110"/>
        </w:rPr>
        <w:t>the Assembly’s </w:t>
      </w:r>
      <w:r>
        <w:rPr>
          <w:color w:val="231F20"/>
          <w:spacing w:val="-3"/>
          <w:w w:val="110"/>
        </w:rPr>
        <w:t>1995 </w:t>
      </w:r>
      <w:r>
        <w:rPr>
          <w:color w:val="231F20"/>
          <w:w w:val="110"/>
        </w:rPr>
        <w:t>resolution which urged </w:t>
      </w:r>
      <w:r>
        <w:rPr>
          <w:color w:val="231F20"/>
          <w:spacing w:val="2"/>
          <w:w w:val="110"/>
        </w:rPr>
        <w:t>members </w:t>
      </w:r>
      <w:r>
        <w:rPr>
          <w:color w:val="231F20"/>
          <w:w w:val="110"/>
        </w:rPr>
        <w:t>and councils of the church   to</w:t>
      </w:r>
      <w:r>
        <w:rPr>
          <w:color w:val="231F20"/>
          <w:spacing w:val="14"/>
          <w:w w:val="110"/>
        </w:rPr>
        <w:t> </w:t>
      </w:r>
      <w:r>
        <w:rPr>
          <w:color w:val="231F20"/>
          <w:w w:val="110"/>
        </w:rPr>
        <w:t>dissociate</w:t>
      </w:r>
      <w:r>
        <w:rPr>
          <w:color w:val="231F20"/>
          <w:spacing w:val="15"/>
          <w:w w:val="110"/>
        </w:rPr>
        <w:t> </w:t>
      </w:r>
      <w:r>
        <w:rPr>
          <w:color w:val="231F20"/>
          <w:w w:val="110"/>
        </w:rPr>
        <w:t>themselves</w:t>
      </w:r>
      <w:r>
        <w:rPr>
          <w:color w:val="231F20"/>
          <w:spacing w:val="15"/>
          <w:w w:val="110"/>
        </w:rPr>
        <w:t> </w:t>
      </w:r>
      <w:r>
        <w:rPr>
          <w:color w:val="231F20"/>
          <w:spacing w:val="2"/>
          <w:w w:val="110"/>
        </w:rPr>
        <w:t>from</w:t>
      </w:r>
      <w:r>
        <w:rPr>
          <w:color w:val="231F20"/>
          <w:spacing w:val="15"/>
          <w:w w:val="110"/>
        </w:rPr>
        <w:t> </w:t>
      </w:r>
      <w:r>
        <w:rPr>
          <w:color w:val="231F20"/>
          <w:w w:val="110"/>
        </w:rPr>
        <w:t>the</w:t>
      </w:r>
      <w:r>
        <w:rPr>
          <w:color w:val="231F20"/>
          <w:spacing w:val="15"/>
          <w:w w:val="110"/>
        </w:rPr>
        <w:t> </w:t>
      </w:r>
      <w:r>
        <w:rPr>
          <w:b/>
          <w:color w:val="231F20"/>
          <w:w w:val="110"/>
        </w:rPr>
        <w:t>Lottery</w:t>
      </w:r>
      <w:r>
        <w:rPr>
          <w:color w:val="231F20"/>
          <w:w w:val="110"/>
        </w:rPr>
        <w:t>.</w:t>
      </w:r>
      <w:r>
        <w:rPr>
          <w:color w:val="231F20"/>
          <w:spacing w:val="15"/>
          <w:w w:val="110"/>
        </w:rPr>
        <w:t> </w:t>
      </w:r>
      <w:r>
        <w:rPr>
          <w:color w:val="231F20"/>
          <w:w w:val="110"/>
        </w:rPr>
        <w:t>Mission</w:t>
      </w:r>
      <w:r>
        <w:rPr>
          <w:color w:val="231F20"/>
          <w:spacing w:val="14"/>
          <w:w w:val="110"/>
        </w:rPr>
        <w:t> </w:t>
      </w:r>
      <w:r>
        <w:rPr>
          <w:color w:val="231F20"/>
          <w:w w:val="110"/>
        </w:rPr>
        <w:t>Council</w:t>
      </w:r>
      <w:r>
        <w:rPr>
          <w:color w:val="231F20"/>
          <w:spacing w:val="15"/>
          <w:w w:val="110"/>
        </w:rPr>
        <w:t> </w:t>
      </w:r>
      <w:r>
        <w:rPr>
          <w:color w:val="231F20"/>
          <w:w w:val="110"/>
        </w:rPr>
        <w:t>commissioned</w:t>
      </w:r>
      <w:r>
        <w:rPr>
          <w:color w:val="231F20"/>
          <w:spacing w:val="15"/>
          <w:w w:val="110"/>
        </w:rPr>
        <w:t> </w:t>
      </w:r>
      <w:r>
        <w:rPr>
          <w:color w:val="231F20"/>
          <w:w w:val="110"/>
        </w:rPr>
        <w:t>a</w:t>
      </w:r>
      <w:r>
        <w:rPr>
          <w:color w:val="231F20"/>
          <w:spacing w:val="15"/>
          <w:w w:val="110"/>
        </w:rPr>
        <w:t> </w:t>
      </w:r>
      <w:r>
        <w:rPr>
          <w:color w:val="231F20"/>
          <w:spacing w:val="3"/>
          <w:w w:val="110"/>
        </w:rPr>
        <w:t>report</w:t>
      </w:r>
    </w:p>
    <w:p>
      <w:pPr>
        <w:pStyle w:val="BodyText"/>
        <w:spacing w:before="1"/>
        <w:ind w:left="1240"/>
      </w:pPr>
      <w:r>
        <w:rPr>
          <w:color w:val="231F20"/>
          <w:spacing w:val="2"/>
          <w:w w:val="110"/>
        </w:rPr>
        <w:t>from </w:t>
      </w:r>
      <w:r>
        <w:rPr>
          <w:color w:val="231F20"/>
          <w:w w:val="110"/>
        </w:rPr>
        <w:t>the Church and </w:t>
      </w:r>
      <w:r>
        <w:rPr>
          <w:color w:val="231F20"/>
          <w:spacing w:val="2"/>
          <w:w w:val="110"/>
        </w:rPr>
        <w:t>Society </w:t>
      </w:r>
      <w:r>
        <w:rPr>
          <w:color w:val="231F20"/>
          <w:w w:val="110"/>
        </w:rPr>
        <w:t>Committee, and brings its findings </w:t>
      </w:r>
      <w:r>
        <w:rPr>
          <w:b/>
          <w:color w:val="231F20"/>
          <w:w w:val="110"/>
        </w:rPr>
        <w:t>(Document </w:t>
      </w:r>
      <w:r>
        <w:rPr>
          <w:b/>
          <w:color w:val="231F20"/>
          <w:spacing w:val="-9"/>
          <w:w w:val="110"/>
        </w:rPr>
        <w:t>1)</w:t>
      </w:r>
      <w:r>
        <w:rPr>
          <w:b/>
          <w:color w:val="231F20"/>
          <w:spacing w:val="48"/>
          <w:w w:val="110"/>
        </w:rPr>
        <w:t> </w:t>
      </w:r>
      <w:r>
        <w:rPr>
          <w:color w:val="231F20"/>
          <w:w w:val="110"/>
        </w:rPr>
        <w:t>and</w:t>
      </w:r>
    </w:p>
    <w:p>
      <w:pPr>
        <w:spacing w:before="31"/>
        <w:ind w:left="1240" w:right="0" w:firstLine="0"/>
        <w:jc w:val="left"/>
        <w:rPr>
          <w:sz w:val="18"/>
        </w:rPr>
      </w:pPr>
      <w:r>
        <w:rPr>
          <w:b/>
          <w:color w:val="231F20"/>
          <w:w w:val="110"/>
          <w:sz w:val="18"/>
        </w:rPr>
        <w:t>Resolution 41 </w:t>
      </w:r>
      <w:r>
        <w:rPr>
          <w:color w:val="231F20"/>
          <w:w w:val="110"/>
          <w:sz w:val="18"/>
        </w:rPr>
        <w:t>to Assembly for a decision.</w:t>
      </w:r>
    </w:p>
    <w:p>
      <w:pPr>
        <w:pStyle w:val="BodyText"/>
        <w:spacing w:before="2"/>
        <w:rPr>
          <w:sz w:val="23"/>
        </w:rPr>
      </w:pPr>
    </w:p>
    <w:p>
      <w:pPr>
        <w:pStyle w:val="ListParagraph"/>
        <w:numPr>
          <w:ilvl w:val="1"/>
          <w:numId w:val="26"/>
        </w:numPr>
        <w:tabs>
          <w:tab w:pos="1922" w:val="left" w:leader="none"/>
        </w:tabs>
        <w:spacing w:line="273" w:lineRule="auto" w:before="0" w:after="0"/>
        <w:ind w:left="1240" w:right="1487" w:firstLine="0"/>
        <w:jc w:val="both"/>
        <w:rPr>
          <w:b/>
          <w:color w:val="231F20"/>
          <w:sz w:val="18"/>
        </w:rPr>
      </w:pPr>
      <w:r>
        <w:rPr>
          <w:color w:val="231F20"/>
          <w:w w:val="110"/>
          <w:sz w:val="18"/>
          <w:u w:val="single" w:color="231F20"/>
        </w:rPr>
        <w:t>Resolution </w:t>
      </w:r>
      <w:r>
        <w:rPr>
          <w:color w:val="231F20"/>
          <w:spacing w:val="-4"/>
          <w:w w:val="110"/>
          <w:sz w:val="18"/>
          <w:u w:val="single" w:color="231F20"/>
        </w:rPr>
        <w:t>10</w:t>
      </w:r>
      <w:r>
        <w:rPr>
          <w:color w:val="231F20"/>
          <w:spacing w:val="-4"/>
          <w:w w:val="110"/>
          <w:sz w:val="18"/>
        </w:rPr>
        <w:t> </w:t>
      </w:r>
      <w:r>
        <w:rPr>
          <w:color w:val="231F20"/>
          <w:w w:val="110"/>
          <w:sz w:val="18"/>
        </w:rPr>
        <w:t>on the </w:t>
      </w:r>
      <w:r>
        <w:rPr>
          <w:b/>
          <w:color w:val="231F20"/>
          <w:w w:val="110"/>
          <w:sz w:val="18"/>
        </w:rPr>
        <w:t>Ministerial Incapacity Procedure </w:t>
      </w:r>
      <w:r>
        <w:rPr>
          <w:color w:val="231F20"/>
          <w:w w:val="110"/>
          <w:sz w:val="18"/>
        </w:rPr>
        <w:t>was </w:t>
      </w:r>
      <w:r>
        <w:rPr>
          <w:color w:val="231F20"/>
          <w:spacing w:val="2"/>
          <w:w w:val="110"/>
          <w:sz w:val="18"/>
        </w:rPr>
        <w:t>reconsidered </w:t>
      </w:r>
      <w:r>
        <w:rPr>
          <w:color w:val="231F20"/>
          <w:w w:val="110"/>
          <w:sz w:val="18"/>
        </w:rPr>
        <w:t>by the </w:t>
      </w:r>
      <w:r>
        <w:rPr>
          <w:color w:val="231F20"/>
          <w:spacing w:val="2"/>
          <w:w w:val="110"/>
          <w:sz w:val="18"/>
        </w:rPr>
        <w:t>Section </w:t>
      </w:r>
      <w:r>
        <w:rPr>
          <w:color w:val="231F20"/>
          <w:w w:val="110"/>
          <w:sz w:val="18"/>
        </w:rPr>
        <w:t>O </w:t>
      </w:r>
      <w:r>
        <w:rPr>
          <w:color w:val="231F20"/>
          <w:spacing w:val="2"/>
          <w:w w:val="110"/>
          <w:sz w:val="18"/>
        </w:rPr>
        <w:t>Advisory </w:t>
      </w:r>
      <w:r>
        <w:rPr>
          <w:color w:val="231F20"/>
          <w:w w:val="110"/>
          <w:sz w:val="18"/>
        </w:rPr>
        <w:t>Group. Mission Council agreed that resolutions be brought to Assembly for decision. </w:t>
      </w:r>
      <w:r>
        <w:rPr>
          <w:b/>
          <w:color w:val="231F20"/>
          <w:w w:val="110"/>
          <w:sz w:val="18"/>
        </w:rPr>
        <w:t>(Resolutions 12, 13, 14 </w:t>
      </w:r>
      <w:r>
        <w:rPr>
          <w:color w:val="231F20"/>
          <w:w w:val="110"/>
          <w:sz w:val="18"/>
        </w:rPr>
        <w:t>and </w:t>
      </w:r>
      <w:r>
        <w:rPr>
          <w:b/>
          <w:color w:val="231F20"/>
          <w:spacing w:val="-3"/>
          <w:w w:val="110"/>
          <w:sz w:val="18"/>
        </w:rPr>
        <w:t>15; </w:t>
      </w:r>
      <w:r>
        <w:rPr>
          <w:color w:val="231F20"/>
          <w:w w:val="110"/>
          <w:sz w:val="18"/>
        </w:rPr>
        <w:t>and </w:t>
      </w:r>
      <w:r>
        <w:rPr>
          <w:b/>
          <w:color w:val="231F20"/>
          <w:w w:val="110"/>
          <w:sz w:val="18"/>
        </w:rPr>
        <w:t>Document</w:t>
      </w:r>
      <w:r>
        <w:rPr>
          <w:b/>
          <w:color w:val="231F20"/>
          <w:spacing w:val="61"/>
          <w:w w:val="110"/>
          <w:sz w:val="18"/>
        </w:rPr>
        <w:t> </w:t>
      </w:r>
      <w:r>
        <w:rPr>
          <w:b/>
          <w:color w:val="231F20"/>
          <w:spacing w:val="-3"/>
          <w:w w:val="110"/>
          <w:sz w:val="18"/>
        </w:rPr>
        <w:t>5).</w:t>
      </w:r>
    </w:p>
    <w:p>
      <w:pPr>
        <w:pStyle w:val="BodyText"/>
        <w:spacing w:before="8"/>
        <w:rPr>
          <w:b/>
          <w:sz w:val="20"/>
        </w:rPr>
      </w:pPr>
    </w:p>
    <w:p>
      <w:pPr>
        <w:pStyle w:val="ListParagraph"/>
        <w:numPr>
          <w:ilvl w:val="1"/>
          <w:numId w:val="26"/>
        </w:numPr>
        <w:tabs>
          <w:tab w:pos="1921" w:val="left" w:leader="none"/>
          <w:tab w:pos="1922" w:val="left" w:leader="none"/>
        </w:tabs>
        <w:spacing w:line="273" w:lineRule="auto" w:before="1" w:after="0"/>
        <w:ind w:left="1240" w:right="1243" w:firstLine="0"/>
        <w:jc w:val="left"/>
        <w:rPr>
          <w:color w:val="231F20"/>
          <w:sz w:val="18"/>
        </w:rPr>
      </w:pPr>
      <w:r>
        <w:rPr>
          <w:color w:val="231F20"/>
          <w:w w:val="110"/>
          <w:sz w:val="18"/>
          <w:u w:val="single" w:color="231F20"/>
        </w:rPr>
        <w:t>Resolution 40</w:t>
      </w:r>
      <w:r>
        <w:rPr>
          <w:color w:val="231F20"/>
          <w:w w:val="110"/>
          <w:sz w:val="18"/>
        </w:rPr>
        <w:t> asked Mission Council to bring proposals on extending the ‘Declaration of a Safe Church’ to cover emotional, physical and domestic abuse and neglect. Mission Council appointed a task </w:t>
      </w:r>
      <w:r>
        <w:rPr>
          <w:color w:val="231F20"/>
          <w:spacing w:val="-3"/>
          <w:w w:val="110"/>
          <w:sz w:val="18"/>
        </w:rPr>
        <w:t>group, </w:t>
      </w:r>
      <w:r>
        <w:rPr>
          <w:color w:val="231F20"/>
          <w:w w:val="110"/>
          <w:sz w:val="18"/>
        </w:rPr>
        <w:t>convened by Mrs Rosemary Johnston, to investigate this </w:t>
      </w:r>
      <w:r>
        <w:rPr>
          <w:color w:val="231F20"/>
          <w:spacing w:val="-3"/>
          <w:w w:val="110"/>
          <w:sz w:val="18"/>
        </w:rPr>
        <w:t>matter. </w:t>
      </w:r>
      <w:r>
        <w:rPr>
          <w:color w:val="231F20"/>
          <w:w w:val="110"/>
          <w:sz w:val="18"/>
        </w:rPr>
        <w:t>The group intends to report to the October </w:t>
      </w:r>
      <w:r>
        <w:rPr>
          <w:color w:val="231F20"/>
          <w:spacing w:val="-3"/>
          <w:w w:val="110"/>
          <w:sz w:val="18"/>
        </w:rPr>
        <w:t>2007 </w:t>
      </w:r>
      <w:r>
        <w:rPr>
          <w:color w:val="231F20"/>
          <w:w w:val="110"/>
          <w:sz w:val="18"/>
        </w:rPr>
        <w:t>Mission</w:t>
      </w:r>
      <w:r>
        <w:rPr>
          <w:color w:val="231F20"/>
          <w:spacing w:val="6"/>
          <w:w w:val="110"/>
          <w:sz w:val="18"/>
        </w:rPr>
        <w:t> </w:t>
      </w:r>
      <w:r>
        <w:rPr>
          <w:color w:val="231F20"/>
          <w:w w:val="110"/>
          <w:sz w:val="18"/>
        </w:rPr>
        <w:t>Council.</w:t>
      </w:r>
    </w:p>
    <w:p>
      <w:pPr>
        <w:pStyle w:val="BodyText"/>
        <w:spacing w:before="9"/>
        <w:rPr>
          <w:sz w:val="20"/>
        </w:rPr>
      </w:pPr>
    </w:p>
    <w:p>
      <w:pPr>
        <w:numPr>
          <w:ilvl w:val="0"/>
          <w:numId w:val="26"/>
        </w:numPr>
        <w:tabs>
          <w:tab w:pos="1920" w:val="left" w:leader="none"/>
          <w:tab w:pos="1922" w:val="left" w:leader="none"/>
        </w:tabs>
        <w:spacing w:before="0"/>
        <w:ind w:left="1921" w:right="0" w:hanging="682"/>
        <w:jc w:val="left"/>
        <w:rPr>
          <w:b/>
          <w:sz w:val="18"/>
        </w:rPr>
      </w:pPr>
      <w:r>
        <w:rPr>
          <w:b/>
          <w:color w:val="231F20"/>
          <w:w w:val="110"/>
          <w:sz w:val="18"/>
        </w:rPr>
        <w:t>Actions taken on behalf of General</w:t>
      </w:r>
      <w:r>
        <w:rPr>
          <w:b/>
          <w:color w:val="231F20"/>
          <w:spacing w:val="6"/>
          <w:w w:val="110"/>
          <w:sz w:val="18"/>
        </w:rPr>
        <w:t> </w:t>
      </w:r>
      <w:r>
        <w:rPr>
          <w:b/>
          <w:color w:val="231F20"/>
          <w:spacing w:val="2"/>
          <w:w w:val="110"/>
          <w:sz w:val="18"/>
        </w:rPr>
        <w:t>Assembly</w:t>
      </w:r>
    </w:p>
    <w:p>
      <w:pPr>
        <w:pStyle w:val="BodyText"/>
        <w:spacing w:before="2"/>
        <w:rPr>
          <w:b/>
          <w:sz w:val="23"/>
        </w:rPr>
      </w:pPr>
    </w:p>
    <w:p>
      <w:pPr>
        <w:pStyle w:val="ListParagraph"/>
        <w:numPr>
          <w:ilvl w:val="1"/>
          <w:numId w:val="26"/>
        </w:numPr>
        <w:tabs>
          <w:tab w:pos="1921" w:val="left" w:leader="none"/>
          <w:tab w:pos="1922" w:val="left" w:leader="none"/>
        </w:tabs>
        <w:spacing w:line="240" w:lineRule="auto" w:before="0" w:after="0"/>
        <w:ind w:left="1921" w:right="0" w:hanging="682"/>
        <w:jc w:val="left"/>
        <w:rPr>
          <w:color w:val="231F20"/>
          <w:sz w:val="18"/>
        </w:rPr>
      </w:pPr>
      <w:r>
        <w:rPr>
          <w:color w:val="231F20"/>
          <w:w w:val="110"/>
          <w:sz w:val="18"/>
          <w:u w:val="single" w:color="231F20"/>
        </w:rPr>
        <w:t>Appointments:</w:t>
      </w:r>
      <w:r>
        <w:rPr>
          <w:color w:val="231F20"/>
          <w:spacing w:val="7"/>
          <w:sz w:val="18"/>
          <w:u w:val="single" w:color="231F20"/>
        </w:rPr>
        <w:t> </w:t>
      </w:r>
    </w:p>
    <w:p>
      <w:pPr>
        <w:pStyle w:val="BodyText"/>
        <w:spacing w:before="31"/>
        <w:ind w:left="1921"/>
      </w:pPr>
      <w:r>
        <w:rPr>
          <w:color w:val="231F20"/>
          <w:w w:val="110"/>
        </w:rPr>
        <w:t>Mission Council, acting on behalf of General Assembly,</w:t>
      </w:r>
    </w:p>
    <w:p>
      <w:pPr>
        <w:pStyle w:val="ListParagraph"/>
        <w:numPr>
          <w:ilvl w:val="2"/>
          <w:numId w:val="26"/>
        </w:numPr>
        <w:tabs>
          <w:tab w:pos="1922" w:val="left" w:leader="none"/>
        </w:tabs>
        <w:spacing w:line="273" w:lineRule="auto" w:before="31" w:after="0"/>
        <w:ind w:left="1921" w:right="1219" w:hanging="681"/>
        <w:jc w:val="left"/>
        <w:rPr>
          <w:sz w:val="18"/>
        </w:rPr>
      </w:pPr>
      <w:r>
        <w:rPr>
          <w:color w:val="231F20"/>
          <w:w w:val="110"/>
          <w:sz w:val="18"/>
        </w:rPr>
        <w:t>appointed the Revd Martin Hazell as </w:t>
      </w:r>
      <w:r>
        <w:rPr>
          <w:color w:val="231F20"/>
          <w:spacing w:val="2"/>
          <w:w w:val="110"/>
          <w:sz w:val="18"/>
          <w:u w:val="single" w:color="231F20"/>
        </w:rPr>
        <w:t>Director </w:t>
      </w:r>
      <w:r>
        <w:rPr>
          <w:color w:val="231F20"/>
          <w:w w:val="110"/>
          <w:sz w:val="18"/>
          <w:u w:val="single" w:color="231F20"/>
        </w:rPr>
        <w:t>of Communications</w:t>
      </w:r>
      <w:r>
        <w:rPr>
          <w:color w:val="231F20"/>
          <w:w w:val="110"/>
          <w:sz w:val="18"/>
        </w:rPr>
        <w:t> </w:t>
      </w:r>
      <w:r>
        <w:rPr>
          <w:color w:val="231F20"/>
          <w:spacing w:val="2"/>
          <w:w w:val="110"/>
          <w:sz w:val="18"/>
        </w:rPr>
        <w:t>from </w:t>
      </w:r>
      <w:r>
        <w:rPr>
          <w:color w:val="231F20"/>
          <w:w w:val="110"/>
          <w:sz w:val="18"/>
        </w:rPr>
        <w:t>1</w:t>
      </w:r>
      <w:r>
        <w:rPr>
          <w:color w:val="231F20"/>
          <w:w w:val="110"/>
          <w:position w:val="6"/>
          <w:sz w:val="10"/>
        </w:rPr>
        <w:t>st </w:t>
      </w:r>
      <w:r>
        <w:rPr>
          <w:color w:val="231F20"/>
          <w:w w:val="110"/>
          <w:sz w:val="18"/>
        </w:rPr>
        <w:t>January 2007 until 31</w:t>
      </w:r>
      <w:r>
        <w:rPr>
          <w:color w:val="231F20"/>
          <w:w w:val="110"/>
          <w:position w:val="6"/>
          <w:sz w:val="10"/>
        </w:rPr>
        <w:t>st </w:t>
      </w:r>
      <w:r>
        <w:rPr>
          <w:color w:val="231F20"/>
          <w:w w:val="110"/>
          <w:sz w:val="18"/>
        </w:rPr>
        <w:t>December</w:t>
      </w:r>
      <w:r>
        <w:rPr>
          <w:color w:val="231F20"/>
          <w:spacing w:val="-3"/>
          <w:w w:val="110"/>
          <w:sz w:val="18"/>
        </w:rPr>
        <w:t> </w:t>
      </w:r>
      <w:r>
        <w:rPr>
          <w:color w:val="231F20"/>
          <w:spacing w:val="-7"/>
          <w:w w:val="110"/>
          <w:sz w:val="18"/>
        </w:rPr>
        <w:t>2011;</w:t>
      </w:r>
    </w:p>
    <w:p>
      <w:pPr>
        <w:pStyle w:val="ListParagraph"/>
        <w:numPr>
          <w:ilvl w:val="2"/>
          <w:numId w:val="26"/>
        </w:numPr>
        <w:tabs>
          <w:tab w:pos="1922" w:val="left" w:leader="none"/>
        </w:tabs>
        <w:spacing w:line="273" w:lineRule="auto" w:before="1" w:after="0"/>
        <w:ind w:left="1921" w:right="1687" w:hanging="681"/>
        <w:jc w:val="left"/>
        <w:rPr>
          <w:sz w:val="18"/>
        </w:rPr>
      </w:pPr>
      <w:r>
        <w:rPr>
          <w:color w:val="231F20"/>
          <w:w w:val="110"/>
          <w:sz w:val="18"/>
        </w:rPr>
        <w:t>appointed the Revd Roy Lowes as </w:t>
      </w:r>
      <w:r>
        <w:rPr>
          <w:color w:val="231F20"/>
          <w:spacing w:val="3"/>
          <w:w w:val="110"/>
          <w:sz w:val="18"/>
          <w:u w:val="single" w:color="231F20"/>
        </w:rPr>
        <w:t>Secretary </w:t>
      </w:r>
      <w:r>
        <w:rPr>
          <w:color w:val="231F20"/>
          <w:w w:val="110"/>
          <w:sz w:val="18"/>
          <w:u w:val="single" w:color="231F20"/>
        </w:rPr>
        <w:t>for Education and Learning</w:t>
      </w:r>
      <w:r>
        <w:rPr>
          <w:color w:val="231F20"/>
          <w:w w:val="110"/>
          <w:sz w:val="18"/>
        </w:rPr>
        <w:t> for a </w:t>
      </w:r>
      <w:r>
        <w:rPr>
          <w:color w:val="231F20"/>
          <w:spacing w:val="2"/>
          <w:w w:val="110"/>
          <w:sz w:val="18"/>
        </w:rPr>
        <w:t>further </w:t>
      </w:r>
      <w:r>
        <w:rPr>
          <w:color w:val="231F20"/>
          <w:w w:val="110"/>
          <w:sz w:val="18"/>
        </w:rPr>
        <w:t>term </w:t>
      </w:r>
      <w:r>
        <w:rPr>
          <w:color w:val="231F20"/>
          <w:spacing w:val="2"/>
          <w:w w:val="110"/>
          <w:sz w:val="18"/>
        </w:rPr>
        <w:t>from </w:t>
      </w:r>
      <w:r>
        <w:rPr>
          <w:color w:val="231F20"/>
          <w:w w:val="110"/>
          <w:sz w:val="18"/>
        </w:rPr>
        <w:t>31</w:t>
      </w:r>
      <w:r>
        <w:rPr>
          <w:color w:val="231F20"/>
          <w:w w:val="110"/>
          <w:position w:val="6"/>
          <w:sz w:val="10"/>
        </w:rPr>
        <w:t>st </w:t>
      </w:r>
      <w:r>
        <w:rPr>
          <w:color w:val="231F20"/>
          <w:w w:val="110"/>
          <w:sz w:val="18"/>
        </w:rPr>
        <w:t>July 2007 until 1</w:t>
      </w:r>
      <w:r>
        <w:rPr>
          <w:color w:val="231F20"/>
          <w:w w:val="110"/>
          <w:position w:val="6"/>
          <w:sz w:val="10"/>
        </w:rPr>
        <w:t>st </w:t>
      </w:r>
      <w:r>
        <w:rPr>
          <w:color w:val="231F20"/>
          <w:w w:val="110"/>
          <w:sz w:val="18"/>
        </w:rPr>
        <w:t>August </w:t>
      </w:r>
      <w:r>
        <w:rPr>
          <w:color w:val="231F20"/>
          <w:spacing w:val="-5"/>
          <w:w w:val="110"/>
          <w:sz w:val="18"/>
        </w:rPr>
        <w:t>2012;</w:t>
      </w:r>
    </w:p>
    <w:p>
      <w:pPr>
        <w:pStyle w:val="ListParagraph"/>
        <w:numPr>
          <w:ilvl w:val="2"/>
          <w:numId w:val="26"/>
        </w:numPr>
        <w:tabs>
          <w:tab w:pos="1922" w:val="left" w:leader="none"/>
        </w:tabs>
        <w:spacing w:line="240" w:lineRule="auto" w:before="2" w:after="0"/>
        <w:ind w:left="1921" w:right="0" w:hanging="682"/>
        <w:jc w:val="left"/>
        <w:rPr>
          <w:sz w:val="18"/>
        </w:rPr>
      </w:pPr>
      <w:r>
        <w:rPr>
          <w:color w:val="231F20"/>
          <w:w w:val="110"/>
          <w:sz w:val="18"/>
        </w:rPr>
        <w:t>approved the continuation of the post of </w:t>
      </w:r>
      <w:r>
        <w:rPr>
          <w:color w:val="231F20"/>
          <w:spacing w:val="3"/>
          <w:w w:val="110"/>
          <w:sz w:val="18"/>
          <w:u w:val="single" w:color="231F20"/>
        </w:rPr>
        <w:t>Secretary </w:t>
      </w:r>
      <w:r>
        <w:rPr>
          <w:color w:val="231F20"/>
          <w:w w:val="110"/>
          <w:sz w:val="18"/>
          <w:u w:val="single" w:color="231F20"/>
        </w:rPr>
        <w:t>for Church and</w:t>
      </w:r>
      <w:r>
        <w:rPr>
          <w:color w:val="231F20"/>
          <w:spacing w:val="40"/>
          <w:w w:val="110"/>
          <w:sz w:val="18"/>
          <w:u w:val="single" w:color="231F20"/>
        </w:rPr>
        <w:t> </w:t>
      </w:r>
      <w:r>
        <w:rPr>
          <w:color w:val="231F20"/>
          <w:w w:val="110"/>
          <w:sz w:val="18"/>
          <w:u w:val="single" w:color="231F20"/>
        </w:rPr>
        <w:t>Society;</w:t>
      </w:r>
    </w:p>
    <w:p>
      <w:pPr>
        <w:spacing w:after="0" w:line="240" w:lineRule="auto"/>
        <w:jc w:val="left"/>
        <w:rPr>
          <w:sz w:val="18"/>
        </w:rPr>
        <w:sectPr>
          <w:pgSz w:w="11910" w:h="16840"/>
          <w:pgMar w:header="581" w:footer="544" w:top="860" w:bottom="740" w:left="460" w:right="0"/>
        </w:sectPr>
      </w:pPr>
    </w:p>
    <w:p>
      <w:pPr>
        <w:pStyle w:val="BodyText"/>
        <w:spacing w:before="10"/>
        <w:rPr>
          <w:sz w:val="11"/>
        </w:rPr>
      </w:pPr>
    </w:p>
    <w:p>
      <w:pPr>
        <w:pStyle w:val="ListParagraph"/>
        <w:numPr>
          <w:ilvl w:val="2"/>
          <w:numId w:val="26"/>
        </w:numPr>
        <w:tabs>
          <w:tab w:pos="1355" w:val="left" w:leader="none"/>
        </w:tabs>
        <w:spacing w:line="273" w:lineRule="auto" w:before="101" w:after="0"/>
        <w:ind w:left="1354" w:right="1647" w:hanging="681"/>
        <w:jc w:val="left"/>
        <w:rPr>
          <w:sz w:val="18"/>
        </w:rPr>
      </w:pPr>
      <w:r>
        <w:rPr>
          <w:color w:val="231F20"/>
          <w:w w:val="110"/>
          <w:sz w:val="18"/>
        </w:rPr>
        <w:t>authorised the part-time post of </w:t>
      </w:r>
      <w:r>
        <w:rPr>
          <w:color w:val="231F20"/>
          <w:w w:val="110"/>
          <w:sz w:val="18"/>
          <w:u w:val="single" w:color="231F20"/>
        </w:rPr>
        <w:t>Editor of the United Reformed Church’s Assembly Journal/Periodical</w:t>
      </w:r>
      <w:r>
        <w:rPr>
          <w:color w:val="231F20"/>
          <w:w w:val="110"/>
          <w:sz w:val="18"/>
        </w:rPr>
        <w:t>, and agreed that this should no longer be a General Assembly appointment;</w:t>
      </w:r>
    </w:p>
    <w:p>
      <w:pPr>
        <w:pStyle w:val="ListParagraph"/>
        <w:numPr>
          <w:ilvl w:val="2"/>
          <w:numId w:val="26"/>
        </w:numPr>
        <w:tabs>
          <w:tab w:pos="1355" w:val="left" w:leader="none"/>
        </w:tabs>
        <w:spacing w:line="240" w:lineRule="auto" w:before="1" w:after="0"/>
        <w:ind w:left="1354" w:right="0" w:hanging="682"/>
        <w:jc w:val="left"/>
        <w:rPr>
          <w:sz w:val="18"/>
        </w:rPr>
      </w:pPr>
      <w:r>
        <w:rPr>
          <w:color w:val="231F20"/>
          <w:w w:val="110"/>
          <w:sz w:val="18"/>
        </w:rPr>
        <w:t>approved the post of </w:t>
      </w:r>
      <w:r>
        <w:rPr>
          <w:color w:val="231F20"/>
          <w:spacing w:val="3"/>
          <w:w w:val="110"/>
          <w:sz w:val="18"/>
          <w:u w:val="single" w:color="231F20"/>
        </w:rPr>
        <w:t>Secretary </w:t>
      </w:r>
      <w:r>
        <w:rPr>
          <w:color w:val="231F20"/>
          <w:w w:val="110"/>
          <w:sz w:val="18"/>
          <w:u w:val="single" w:color="231F20"/>
        </w:rPr>
        <w:t>for</w:t>
      </w:r>
      <w:r>
        <w:rPr>
          <w:color w:val="231F20"/>
          <w:spacing w:val="4"/>
          <w:w w:val="110"/>
          <w:sz w:val="18"/>
          <w:u w:val="single" w:color="231F20"/>
        </w:rPr>
        <w:t> </w:t>
      </w:r>
      <w:r>
        <w:rPr>
          <w:color w:val="231F20"/>
          <w:w w:val="110"/>
          <w:sz w:val="18"/>
          <w:u w:val="single" w:color="231F20"/>
        </w:rPr>
        <w:t>Mission</w:t>
      </w:r>
      <w:r>
        <w:rPr>
          <w:color w:val="231F20"/>
          <w:w w:val="110"/>
          <w:sz w:val="18"/>
        </w:rPr>
        <w:t>;</w:t>
      </w:r>
    </w:p>
    <w:p>
      <w:pPr>
        <w:pStyle w:val="ListParagraph"/>
        <w:numPr>
          <w:ilvl w:val="2"/>
          <w:numId w:val="26"/>
        </w:numPr>
        <w:tabs>
          <w:tab w:pos="1355" w:val="left" w:leader="none"/>
        </w:tabs>
        <w:spacing w:line="273" w:lineRule="auto" w:before="32" w:after="0"/>
        <w:ind w:left="1354" w:right="1603" w:hanging="681"/>
        <w:jc w:val="left"/>
        <w:rPr>
          <w:sz w:val="18"/>
        </w:rPr>
      </w:pPr>
      <w:r>
        <w:rPr>
          <w:color w:val="231F20"/>
          <w:w w:val="110"/>
          <w:sz w:val="18"/>
        </w:rPr>
        <w:t>agreed an extension to the post of </w:t>
      </w:r>
      <w:r>
        <w:rPr>
          <w:color w:val="231F20"/>
          <w:w w:val="110"/>
          <w:sz w:val="18"/>
          <w:u w:val="single" w:color="231F20"/>
        </w:rPr>
        <w:t>Children’s Work Development </w:t>
      </w:r>
      <w:r>
        <w:rPr>
          <w:color w:val="231F20"/>
          <w:spacing w:val="-3"/>
          <w:w w:val="110"/>
          <w:sz w:val="18"/>
          <w:u w:val="single" w:color="231F20"/>
        </w:rPr>
        <w:t>Worker</w:t>
      </w:r>
      <w:r>
        <w:rPr>
          <w:color w:val="231F20"/>
          <w:spacing w:val="-3"/>
          <w:w w:val="110"/>
          <w:sz w:val="18"/>
        </w:rPr>
        <w:t> </w:t>
      </w:r>
      <w:r>
        <w:rPr>
          <w:color w:val="231F20"/>
          <w:w w:val="110"/>
          <w:sz w:val="18"/>
        </w:rPr>
        <w:t>until December 2009 (pending a review of staff in the area of </w:t>
      </w:r>
      <w:r>
        <w:rPr>
          <w:color w:val="231F20"/>
          <w:spacing w:val="-4"/>
          <w:w w:val="110"/>
          <w:sz w:val="18"/>
        </w:rPr>
        <w:t>Youth </w:t>
      </w:r>
      <w:r>
        <w:rPr>
          <w:color w:val="231F20"/>
          <w:w w:val="110"/>
          <w:sz w:val="18"/>
        </w:rPr>
        <w:t>and Children’s</w:t>
      </w:r>
      <w:r>
        <w:rPr>
          <w:color w:val="231F20"/>
          <w:spacing w:val="-1"/>
          <w:w w:val="110"/>
          <w:sz w:val="18"/>
        </w:rPr>
        <w:t> </w:t>
      </w:r>
      <w:r>
        <w:rPr>
          <w:color w:val="231F20"/>
          <w:spacing w:val="-6"/>
          <w:w w:val="110"/>
          <w:sz w:val="18"/>
        </w:rPr>
        <w:t>Work);</w:t>
      </w:r>
    </w:p>
    <w:p>
      <w:pPr>
        <w:pStyle w:val="ListParagraph"/>
        <w:numPr>
          <w:ilvl w:val="2"/>
          <w:numId w:val="26"/>
        </w:numPr>
        <w:tabs>
          <w:tab w:pos="1355" w:val="left" w:leader="none"/>
        </w:tabs>
        <w:spacing w:line="273" w:lineRule="auto" w:before="1" w:after="0"/>
        <w:ind w:left="1354" w:right="2368" w:hanging="681"/>
        <w:jc w:val="left"/>
        <w:rPr>
          <w:sz w:val="18"/>
        </w:rPr>
      </w:pPr>
      <w:r>
        <w:rPr>
          <w:color w:val="231F20"/>
          <w:w w:val="110"/>
          <w:sz w:val="18"/>
        </w:rPr>
        <w:t>agreed to </w:t>
      </w:r>
      <w:r>
        <w:rPr>
          <w:color w:val="231F20"/>
          <w:spacing w:val="2"/>
          <w:w w:val="110"/>
          <w:sz w:val="18"/>
        </w:rPr>
        <w:t>extend </w:t>
      </w:r>
      <w:r>
        <w:rPr>
          <w:color w:val="231F20"/>
          <w:w w:val="110"/>
          <w:sz w:val="18"/>
        </w:rPr>
        <w:t>the </w:t>
      </w:r>
      <w:r>
        <w:rPr>
          <w:color w:val="231F20"/>
          <w:spacing w:val="2"/>
          <w:w w:val="110"/>
          <w:sz w:val="18"/>
        </w:rPr>
        <w:t>service </w:t>
      </w:r>
      <w:r>
        <w:rPr>
          <w:color w:val="231F20"/>
          <w:w w:val="110"/>
          <w:sz w:val="18"/>
        </w:rPr>
        <w:t>of the Revd Christine Craven as </w:t>
      </w:r>
      <w:r>
        <w:rPr>
          <w:color w:val="231F20"/>
          <w:spacing w:val="3"/>
          <w:w w:val="110"/>
          <w:sz w:val="18"/>
          <w:u w:val="single" w:color="231F20"/>
        </w:rPr>
        <w:t>Secretary </w:t>
      </w:r>
      <w:r>
        <w:rPr>
          <w:color w:val="231F20"/>
          <w:w w:val="110"/>
          <w:sz w:val="18"/>
          <w:u w:val="single" w:color="231F20"/>
        </w:rPr>
        <w:t>for Ministries</w:t>
      </w:r>
      <w:r>
        <w:rPr>
          <w:color w:val="231F20"/>
          <w:w w:val="110"/>
          <w:sz w:val="18"/>
        </w:rPr>
        <w:t> until 31</w:t>
      </w:r>
      <w:r>
        <w:rPr>
          <w:color w:val="231F20"/>
          <w:w w:val="110"/>
          <w:position w:val="6"/>
          <w:sz w:val="10"/>
        </w:rPr>
        <w:t>st </w:t>
      </w:r>
      <w:r>
        <w:rPr>
          <w:color w:val="231F20"/>
          <w:w w:val="110"/>
          <w:sz w:val="18"/>
        </w:rPr>
        <w:t>July</w:t>
      </w:r>
      <w:r>
        <w:rPr>
          <w:color w:val="231F20"/>
          <w:spacing w:val="-4"/>
          <w:w w:val="110"/>
          <w:sz w:val="18"/>
        </w:rPr>
        <w:t> </w:t>
      </w:r>
      <w:r>
        <w:rPr>
          <w:color w:val="231F20"/>
          <w:w w:val="110"/>
          <w:sz w:val="18"/>
        </w:rPr>
        <w:t>2008;</w:t>
      </w:r>
    </w:p>
    <w:p>
      <w:pPr>
        <w:pStyle w:val="ListParagraph"/>
        <w:numPr>
          <w:ilvl w:val="2"/>
          <w:numId w:val="26"/>
        </w:numPr>
        <w:tabs>
          <w:tab w:pos="1355" w:val="left" w:leader="none"/>
        </w:tabs>
        <w:spacing w:line="273" w:lineRule="auto" w:before="1" w:after="0"/>
        <w:ind w:left="1354" w:right="2616" w:hanging="681"/>
        <w:jc w:val="left"/>
        <w:rPr>
          <w:sz w:val="18"/>
        </w:rPr>
      </w:pPr>
      <w:r>
        <w:rPr>
          <w:color w:val="231F20"/>
          <w:w w:val="110"/>
          <w:sz w:val="18"/>
        </w:rPr>
        <w:t>appointed the Revd Dr Susan Durber as Principal of Westminster College, Cambridge </w:t>
      </w:r>
      <w:r>
        <w:rPr>
          <w:color w:val="231F20"/>
          <w:spacing w:val="2"/>
          <w:w w:val="110"/>
          <w:sz w:val="18"/>
        </w:rPr>
        <w:t>from </w:t>
      </w:r>
      <w:r>
        <w:rPr>
          <w:color w:val="231F20"/>
          <w:w w:val="110"/>
          <w:sz w:val="18"/>
        </w:rPr>
        <w:t>the 1st August 2007 to 31st July</w:t>
      </w:r>
      <w:r>
        <w:rPr>
          <w:color w:val="231F20"/>
          <w:spacing w:val="19"/>
          <w:w w:val="110"/>
          <w:sz w:val="18"/>
        </w:rPr>
        <w:t> </w:t>
      </w:r>
      <w:r>
        <w:rPr>
          <w:color w:val="231F20"/>
          <w:spacing w:val="-7"/>
          <w:w w:val="110"/>
          <w:sz w:val="18"/>
        </w:rPr>
        <w:t>2014;</w:t>
      </w:r>
    </w:p>
    <w:p>
      <w:pPr>
        <w:pStyle w:val="ListParagraph"/>
        <w:numPr>
          <w:ilvl w:val="2"/>
          <w:numId w:val="26"/>
        </w:numPr>
        <w:tabs>
          <w:tab w:pos="1355" w:val="left" w:leader="none"/>
        </w:tabs>
        <w:spacing w:line="273" w:lineRule="auto" w:before="1" w:after="0"/>
        <w:ind w:left="1354" w:right="2161" w:hanging="681"/>
        <w:jc w:val="left"/>
        <w:rPr>
          <w:sz w:val="18"/>
        </w:rPr>
      </w:pPr>
      <w:r>
        <w:rPr>
          <w:color w:val="231F20"/>
          <w:w w:val="110"/>
          <w:sz w:val="18"/>
        </w:rPr>
        <w:t>nominated Ms Linda Austin, Mr John Ellis and the Revd Dr David Thompson as </w:t>
      </w:r>
      <w:r>
        <w:rPr>
          <w:color w:val="231F20"/>
          <w:spacing w:val="2"/>
          <w:w w:val="110"/>
          <w:sz w:val="18"/>
        </w:rPr>
        <w:t>directors </w:t>
      </w:r>
      <w:r>
        <w:rPr>
          <w:color w:val="231F20"/>
          <w:w w:val="110"/>
          <w:sz w:val="18"/>
        </w:rPr>
        <w:t>of the United Reformed Church</w:t>
      </w:r>
      <w:r>
        <w:rPr>
          <w:color w:val="231F20"/>
          <w:spacing w:val="10"/>
          <w:w w:val="110"/>
          <w:sz w:val="18"/>
        </w:rPr>
        <w:t> </w:t>
      </w:r>
      <w:r>
        <w:rPr>
          <w:color w:val="231F20"/>
          <w:w w:val="110"/>
          <w:sz w:val="18"/>
        </w:rPr>
        <w:t>Trust.</w:t>
      </w:r>
    </w:p>
    <w:p>
      <w:pPr>
        <w:pStyle w:val="BodyText"/>
        <w:spacing w:before="8"/>
        <w:rPr>
          <w:sz w:val="20"/>
        </w:rPr>
      </w:pPr>
    </w:p>
    <w:p>
      <w:pPr>
        <w:pStyle w:val="BodyText"/>
        <w:tabs>
          <w:tab w:pos="1393" w:val="left" w:leader="none"/>
        </w:tabs>
        <w:spacing w:line="273" w:lineRule="auto" w:before="1"/>
        <w:ind w:left="673" w:right="1593"/>
      </w:pPr>
      <w:r>
        <w:rPr>
          <w:color w:val="231F20"/>
          <w:w w:val="110"/>
        </w:rPr>
        <w:t>4.2.</w:t>
        <w:tab/>
      </w:r>
      <w:r>
        <w:rPr>
          <w:color w:val="231F20"/>
          <w:w w:val="110"/>
          <w:u w:val="single" w:color="231F20"/>
        </w:rPr>
        <w:t>Trident Debate</w:t>
      </w:r>
      <w:r>
        <w:rPr>
          <w:color w:val="231F20"/>
          <w:w w:val="110"/>
        </w:rPr>
        <w:t>: In the light of the 2006 Assembly’s adoption of the </w:t>
      </w:r>
      <w:r>
        <w:rPr>
          <w:color w:val="231F20"/>
          <w:spacing w:val="3"/>
          <w:w w:val="110"/>
        </w:rPr>
        <w:t>report </w:t>
      </w:r>
      <w:r>
        <w:rPr>
          <w:color w:val="231F20"/>
          <w:w w:val="110"/>
        </w:rPr>
        <w:t>‘Peacemaking: a Christian Vocation’, and </w:t>
      </w:r>
      <w:r>
        <w:rPr>
          <w:color w:val="231F20"/>
          <w:spacing w:val="2"/>
          <w:w w:val="110"/>
        </w:rPr>
        <w:t>because </w:t>
      </w:r>
      <w:r>
        <w:rPr>
          <w:color w:val="231F20"/>
          <w:w w:val="110"/>
        </w:rPr>
        <w:t>of the need to make a prompt  ecumenical </w:t>
      </w:r>
      <w:r>
        <w:rPr>
          <w:color w:val="231F20"/>
          <w:spacing w:val="2"/>
          <w:w w:val="110"/>
        </w:rPr>
        <w:t>response </w:t>
      </w:r>
      <w:r>
        <w:rPr>
          <w:color w:val="231F20"/>
          <w:w w:val="110"/>
        </w:rPr>
        <w:t>to the parliamentary debate on the renewal of the Trident nuclear submarine programme, Mission Council </w:t>
      </w:r>
      <w:r>
        <w:rPr>
          <w:color w:val="231F20"/>
          <w:spacing w:val="2"/>
          <w:w w:val="110"/>
        </w:rPr>
        <w:t>expressed </w:t>
      </w:r>
      <w:r>
        <w:rPr>
          <w:color w:val="231F20"/>
          <w:w w:val="110"/>
        </w:rPr>
        <w:t>support (with </w:t>
      </w:r>
      <w:r>
        <w:rPr>
          <w:color w:val="231F20"/>
          <w:spacing w:val="2"/>
          <w:w w:val="110"/>
        </w:rPr>
        <w:t>partner </w:t>
      </w:r>
      <w:r>
        <w:rPr>
          <w:color w:val="231F20"/>
          <w:w w:val="110"/>
        </w:rPr>
        <w:t>Churches) for the Big Trident Debate group; and called upon the UK government to publish comprehensive information on all key issues, including both nuclear and non-nuclear options, so that   there could be an informed public and parliamentary debate </w:t>
      </w:r>
      <w:r>
        <w:rPr>
          <w:color w:val="231F20"/>
          <w:spacing w:val="2"/>
          <w:w w:val="110"/>
        </w:rPr>
        <w:t>before </w:t>
      </w:r>
      <w:r>
        <w:rPr>
          <w:color w:val="231F20"/>
          <w:w w:val="110"/>
        </w:rPr>
        <w:t>any decision was  taken. Mission Council </w:t>
      </w:r>
      <w:r>
        <w:rPr>
          <w:color w:val="231F20"/>
          <w:spacing w:val="2"/>
          <w:w w:val="110"/>
        </w:rPr>
        <w:t>reaffirmed </w:t>
      </w:r>
      <w:r>
        <w:rPr>
          <w:color w:val="231F20"/>
          <w:w w:val="110"/>
        </w:rPr>
        <w:t>the churches’ opposition to Britain having a Trident nuclear weapons programme; and asked the Church and </w:t>
      </w:r>
      <w:r>
        <w:rPr>
          <w:color w:val="231F20"/>
          <w:spacing w:val="2"/>
          <w:w w:val="110"/>
        </w:rPr>
        <w:t>Society </w:t>
      </w:r>
      <w:r>
        <w:rPr>
          <w:color w:val="231F20"/>
          <w:w w:val="110"/>
        </w:rPr>
        <w:t>Committee, acting with colleague Churches if possible, to encourage church </w:t>
      </w:r>
      <w:r>
        <w:rPr>
          <w:color w:val="231F20"/>
          <w:spacing w:val="2"/>
          <w:w w:val="110"/>
        </w:rPr>
        <w:t>members </w:t>
      </w:r>
      <w:r>
        <w:rPr>
          <w:color w:val="231F20"/>
          <w:w w:val="110"/>
        </w:rPr>
        <w:t>to write to their MPs </w:t>
      </w:r>
      <w:r>
        <w:rPr>
          <w:color w:val="231F20"/>
          <w:spacing w:val="-4"/>
          <w:w w:val="110"/>
        </w:rPr>
        <w:t>(and, </w:t>
      </w:r>
      <w:r>
        <w:rPr>
          <w:color w:val="231F20"/>
          <w:w w:val="110"/>
        </w:rPr>
        <w:t>where appropriate, MSPs) expressing opposition to the renewal of</w:t>
      </w:r>
      <w:r>
        <w:rPr>
          <w:color w:val="231F20"/>
          <w:spacing w:val="37"/>
          <w:w w:val="110"/>
        </w:rPr>
        <w:t> </w:t>
      </w:r>
      <w:r>
        <w:rPr>
          <w:color w:val="231F20"/>
          <w:w w:val="110"/>
        </w:rPr>
        <w:t>Trident.</w:t>
      </w:r>
    </w:p>
    <w:p>
      <w:pPr>
        <w:pStyle w:val="BodyText"/>
        <w:spacing w:before="1"/>
        <w:rPr>
          <w:sz w:val="21"/>
        </w:rPr>
      </w:pPr>
    </w:p>
    <w:p>
      <w:pPr>
        <w:pStyle w:val="ListParagraph"/>
        <w:numPr>
          <w:ilvl w:val="1"/>
          <w:numId w:val="27"/>
        </w:numPr>
        <w:tabs>
          <w:tab w:pos="1393" w:val="left" w:leader="none"/>
          <w:tab w:pos="1394" w:val="left" w:leader="none"/>
        </w:tabs>
        <w:spacing w:line="240" w:lineRule="auto" w:before="0" w:after="0"/>
        <w:ind w:left="1393" w:right="0" w:hanging="721"/>
        <w:jc w:val="left"/>
        <w:rPr>
          <w:sz w:val="18"/>
        </w:rPr>
      </w:pPr>
      <w:r>
        <w:rPr>
          <w:color w:val="231F20"/>
          <w:w w:val="110"/>
          <w:sz w:val="18"/>
          <w:u w:val="single" w:color="231F20"/>
        </w:rPr>
        <w:t>Resolutions on behalf of General</w:t>
      </w:r>
      <w:r>
        <w:rPr>
          <w:color w:val="231F20"/>
          <w:spacing w:val="8"/>
          <w:w w:val="110"/>
          <w:sz w:val="18"/>
          <w:u w:val="single" w:color="231F20"/>
        </w:rPr>
        <w:t> </w:t>
      </w:r>
      <w:r>
        <w:rPr>
          <w:color w:val="231F20"/>
          <w:w w:val="110"/>
          <w:sz w:val="18"/>
          <w:u w:val="single" w:color="231F20"/>
        </w:rPr>
        <w:t>Assembly</w:t>
      </w:r>
    </w:p>
    <w:p>
      <w:pPr>
        <w:pStyle w:val="ListParagraph"/>
        <w:numPr>
          <w:ilvl w:val="2"/>
          <w:numId w:val="27"/>
        </w:numPr>
        <w:tabs>
          <w:tab w:pos="1393" w:val="left" w:leader="none"/>
          <w:tab w:pos="1394" w:val="left" w:leader="none"/>
        </w:tabs>
        <w:spacing w:line="240" w:lineRule="auto" w:before="31" w:after="0"/>
        <w:ind w:left="1393" w:right="0" w:hanging="721"/>
        <w:jc w:val="left"/>
        <w:rPr>
          <w:sz w:val="18"/>
        </w:rPr>
      </w:pPr>
      <w:r>
        <w:rPr>
          <w:color w:val="231F20"/>
          <w:w w:val="110"/>
          <w:sz w:val="18"/>
        </w:rPr>
        <w:t>Mission Council set the basic ministerial stipend for 2007 at</w:t>
      </w:r>
      <w:r>
        <w:rPr>
          <w:color w:val="231F20"/>
          <w:spacing w:val="27"/>
          <w:w w:val="110"/>
          <w:sz w:val="18"/>
        </w:rPr>
        <w:t> </w:t>
      </w:r>
      <w:r>
        <w:rPr>
          <w:color w:val="231F20"/>
          <w:spacing w:val="-4"/>
          <w:w w:val="110"/>
          <w:sz w:val="18"/>
        </w:rPr>
        <w:t>£20,424</w:t>
      </w:r>
    </w:p>
    <w:p>
      <w:pPr>
        <w:pStyle w:val="BodyText"/>
        <w:spacing w:before="2"/>
        <w:rPr>
          <w:sz w:val="23"/>
        </w:rPr>
      </w:pPr>
    </w:p>
    <w:p>
      <w:pPr>
        <w:numPr>
          <w:ilvl w:val="0"/>
          <w:numId w:val="26"/>
        </w:numPr>
        <w:tabs>
          <w:tab w:pos="1393" w:val="left" w:leader="none"/>
          <w:tab w:pos="1394" w:val="left" w:leader="none"/>
        </w:tabs>
        <w:spacing w:before="0"/>
        <w:ind w:left="1393" w:right="0" w:hanging="721"/>
        <w:jc w:val="left"/>
        <w:rPr>
          <w:b/>
          <w:sz w:val="18"/>
        </w:rPr>
      </w:pPr>
      <w:r>
        <w:rPr>
          <w:b/>
          <w:color w:val="231F20"/>
          <w:spacing w:val="2"/>
          <w:w w:val="110"/>
          <w:sz w:val="18"/>
        </w:rPr>
        <w:t>Other</w:t>
      </w:r>
      <w:r>
        <w:rPr>
          <w:b/>
          <w:color w:val="231F20"/>
          <w:w w:val="110"/>
          <w:sz w:val="18"/>
        </w:rPr>
        <w:t> Actions</w:t>
      </w:r>
    </w:p>
    <w:p>
      <w:pPr>
        <w:pStyle w:val="BodyText"/>
        <w:spacing w:before="2"/>
        <w:rPr>
          <w:b/>
          <w:sz w:val="23"/>
        </w:rPr>
      </w:pPr>
    </w:p>
    <w:p>
      <w:pPr>
        <w:pStyle w:val="ListParagraph"/>
        <w:numPr>
          <w:ilvl w:val="1"/>
          <w:numId w:val="26"/>
        </w:numPr>
        <w:tabs>
          <w:tab w:pos="1393" w:val="left" w:leader="none"/>
          <w:tab w:pos="1394" w:val="left" w:leader="none"/>
        </w:tabs>
        <w:spacing w:line="273" w:lineRule="auto" w:before="0" w:after="0"/>
        <w:ind w:left="673" w:right="1557" w:firstLine="0"/>
        <w:jc w:val="left"/>
        <w:rPr>
          <w:b/>
          <w:color w:val="231F20"/>
          <w:sz w:val="18"/>
        </w:rPr>
      </w:pPr>
      <w:r>
        <w:rPr>
          <w:color w:val="231F20"/>
          <w:w w:val="110"/>
          <w:sz w:val="18"/>
        </w:rPr>
        <w:t>Mission Council, noting that the moratorium on decision making about human sexuality in relation to ministers of word and sacrament was due to expire at Assembly </w:t>
      </w:r>
      <w:r>
        <w:rPr>
          <w:color w:val="231F20"/>
          <w:spacing w:val="-7"/>
          <w:w w:val="110"/>
          <w:sz w:val="18"/>
        </w:rPr>
        <w:t>2007, </w:t>
      </w:r>
      <w:r>
        <w:rPr>
          <w:color w:val="231F20"/>
          <w:w w:val="110"/>
          <w:sz w:val="18"/>
        </w:rPr>
        <w:t>set up a task group, convened by the Revd Malcolm Hanson, to consider the present situation and bring a proposal to the 2007 Assembly. The full </w:t>
      </w:r>
      <w:r>
        <w:rPr>
          <w:color w:val="231F20"/>
          <w:spacing w:val="3"/>
          <w:w w:val="110"/>
          <w:sz w:val="18"/>
        </w:rPr>
        <w:t>report </w:t>
      </w:r>
      <w:r>
        <w:rPr>
          <w:color w:val="231F20"/>
          <w:w w:val="110"/>
          <w:sz w:val="18"/>
        </w:rPr>
        <w:t>can be found in </w:t>
      </w:r>
      <w:r>
        <w:rPr>
          <w:b/>
          <w:color w:val="231F20"/>
          <w:w w:val="110"/>
          <w:sz w:val="18"/>
        </w:rPr>
        <w:t>Document 2</w:t>
      </w:r>
      <w:r>
        <w:rPr>
          <w:color w:val="231F20"/>
          <w:w w:val="110"/>
          <w:sz w:val="18"/>
        </w:rPr>
        <w:t>, with </w:t>
      </w:r>
      <w:r>
        <w:rPr>
          <w:b/>
          <w:color w:val="231F20"/>
          <w:w w:val="110"/>
          <w:sz w:val="18"/>
        </w:rPr>
        <w:t>Resolutions</w:t>
      </w:r>
      <w:r>
        <w:rPr>
          <w:b/>
          <w:color w:val="231F20"/>
          <w:spacing w:val="5"/>
          <w:w w:val="110"/>
          <w:sz w:val="18"/>
        </w:rPr>
        <w:t> </w:t>
      </w:r>
      <w:r>
        <w:rPr>
          <w:b/>
          <w:color w:val="231F20"/>
          <w:w w:val="110"/>
          <w:sz w:val="18"/>
        </w:rPr>
        <w:t>42–48.</w:t>
      </w:r>
    </w:p>
    <w:p>
      <w:pPr>
        <w:pStyle w:val="BodyText"/>
        <w:spacing w:before="10"/>
        <w:rPr>
          <w:b/>
          <w:sz w:val="20"/>
        </w:rPr>
      </w:pPr>
    </w:p>
    <w:p>
      <w:pPr>
        <w:pStyle w:val="ListParagraph"/>
        <w:numPr>
          <w:ilvl w:val="1"/>
          <w:numId w:val="26"/>
        </w:numPr>
        <w:tabs>
          <w:tab w:pos="1393" w:val="left" w:leader="none"/>
          <w:tab w:pos="1394" w:val="left" w:leader="none"/>
        </w:tabs>
        <w:spacing w:line="273" w:lineRule="auto" w:before="0" w:after="0"/>
        <w:ind w:left="673" w:right="1633" w:firstLine="0"/>
        <w:jc w:val="left"/>
        <w:rPr>
          <w:color w:val="231F20"/>
          <w:sz w:val="18"/>
        </w:rPr>
      </w:pPr>
      <w:r>
        <w:rPr>
          <w:color w:val="231F20"/>
          <w:w w:val="110"/>
          <w:sz w:val="18"/>
        </w:rPr>
        <w:t>The ‘Commitment for Life’ Sub-Committee in conjunction with the Church and </w:t>
      </w:r>
      <w:r>
        <w:rPr>
          <w:color w:val="231F20"/>
          <w:spacing w:val="2"/>
          <w:w w:val="110"/>
          <w:sz w:val="18"/>
        </w:rPr>
        <w:t>Society </w:t>
      </w:r>
      <w:r>
        <w:rPr>
          <w:color w:val="231F20"/>
          <w:w w:val="110"/>
          <w:sz w:val="18"/>
        </w:rPr>
        <w:t>and Ecumenical Committees submitted a paper to Mission Council on </w:t>
      </w:r>
      <w:r>
        <w:rPr>
          <w:b/>
          <w:color w:val="231F20"/>
          <w:w w:val="110"/>
          <w:sz w:val="18"/>
        </w:rPr>
        <w:t>Global Warming/Climate Change (Document </w:t>
      </w:r>
      <w:r>
        <w:rPr>
          <w:b/>
          <w:color w:val="231F20"/>
          <w:spacing w:val="-5"/>
          <w:w w:val="110"/>
          <w:sz w:val="18"/>
        </w:rPr>
        <w:t>3). </w:t>
      </w:r>
      <w:r>
        <w:rPr>
          <w:color w:val="231F20"/>
          <w:w w:val="110"/>
          <w:sz w:val="18"/>
        </w:rPr>
        <w:t>Mission Council agreed that </w:t>
      </w:r>
      <w:r>
        <w:rPr>
          <w:b/>
          <w:color w:val="231F20"/>
          <w:w w:val="110"/>
          <w:sz w:val="18"/>
        </w:rPr>
        <w:t>Resolution 49 </w:t>
      </w:r>
      <w:r>
        <w:rPr>
          <w:color w:val="231F20"/>
          <w:w w:val="110"/>
          <w:sz w:val="18"/>
        </w:rPr>
        <w:t>should be presented to</w:t>
      </w:r>
      <w:r>
        <w:rPr>
          <w:color w:val="231F20"/>
          <w:spacing w:val="5"/>
          <w:w w:val="110"/>
          <w:sz w:val="18"/>
        </w:rPr>
        <w:t> </w:t>
      </w:r>
      <w:r>
        <w:rPr>
          <w:color w:val="231F20"/>
          <w:w w:val="110"/>
          <w:sz w:val="18"/>
        </w:rPr>
        <w:t>Assembly.</w:t>
      </w:r>
    </w:p>
    <w:p>
      <w:pPr>
        <w:pStyle w:val="BodyText"/>
        <w:spacing w:before="9"/>
        <w:rPr>
          <w:sz w:val="20"/>
        </w:rPr>
      </w:pPr>
    </w:p>
    <w:p>
      <w:pPr>
        <w:pStyle w:val="ListParagraph"/>
        <w:numPr>
          <w:ilvl w:val="1"/>
          <w:numId w:val="26"/>
        </w:numPr>
        <w:tabs>
          <w:tab w:pos="1354" w:val="left" w:leader="none"/>
          <w:tab w:pos="1355" w:val="left" w:leader="none"/>
        </w:tabs>
        <w:spacing w:line="273" w:lineRule="auto" w:before="0" w:after="0"/>
        <w:ind w:left="673" w:right="1537" w:firstLine="0"/>
        <w:jc w:val="left"/>
        <w:rPr>
          <w:color w:val="231F20"/>
          <w:sz w:val="18"/>
        </w:rPr>
      </w:pPr>
      <w:r>
        <w:rPr>
          <w:color w:val="231F20"/>
          <w:w w:val="110"/>
          <w:sz w:val="18"/>
        </w:rPr>
        <w:t>Mission Council resolved that </w:t>
      </w:r>
      <w:r>
        <w:rPr>
          <w:color w:val="231F20"/>
          <w:spacing w:val="-3"/>
          <w:w w:val="110"/>
          <w:sz w:val="18"/>
        </w:rPr>
        <w:t>any </w:t>
      </w:r>
      <w:r>
        <w:rPr>
          <w:color w:val="231F20"/>
          <w:w w:val="110"/>
          <w:sz w:val="18"/>
        </w:rPr>
        <w:t>disciplinary situations involving CRCWs which arose before Assembly 2008 would be dealt with under the Section O Process in the same manner as if the CRCWs concerned were Ministers of Word and Sacrament </w:t>
      </w:r>
      <w:r>
        <w:rPr>
          <w:color w:val="231F20"/>
          <w:spacing w:val="-3"/>
          <w:w w:val="110"/>
          <w:sz w:val="18"/>
        </w:rPr>
        <w:t>(subject </w:t>
      </w:r>
      <w:r>
        <w:rPr>
          <w:color w:val="231F20"/>
          <w:w w:val="110"/>
          <w:sz w:val="18"/>
        </w:rPr>
        <w:t>only to </w:t>
      </w:r>
      <w:r>
        <w:rPr>
          <w:color w:val="231F20"/>
          <w:spacing w:val="-3"/>
          <w:w w:val="110"/>
          <w:sz w:val="18"/>
        </w:rPr>
        <w:t>any </w:t>
      </w:r>
      <w:r>
        <w:rPr>
          <w:color w:val="231F20"/>
          <w:w w:val="110"/>
          <w:sz w:val="18"/>
        </w:rPr>
        <w:t>necessary changes arising from the particular ministry exercised by</w:t>
      </w:r>
      <w:r>
        <w:rPr>
          <w:color w:val="231F20"/>
          <w:spacing w:val="-13"/>
          <w:w w:val="110"/>
          <w:sz w:val="18"/>
        </w:rPr>
        <w:t> </w:t>
      </w:r>
      <w:r>
        <w:rPr>
          <w:color w:val="231F20"/>
          <w:spacing w:val="-5"/>
          <w:w w:val="110"/>
          <w:sz w:val="18"/>
        </w:rPr>
        <w:t>CRCWs).</w:t>
      </w:r>
    </w:p>
    <w:p>
      <w:pPr>
        <w:pStyle w:val="BodyText"/>
        <w:spacing w:before="9"/>
        <w:rPr>
          <w:sz w:val="20"/>
        </w:rPr>
      </w:pPr>
    </w:p>
    <w:p>
      <w:pPr>
        <w:pStyle w:val="ListParagraph"/>
        <w:numPr>
          <w:ilvl w:val="1"/>
          <w:numId w:val="26"/>
        </w:numPr>
        <w:tabs>
          <w:tab w:pos="1354" w:val="left" w:leader="none"/>
          <w:tab w:pos="1355" w:val="left" w:leader="none"/>
        </w:tabs>
        <w:spacing w:line="273" w:lineRule="auto" w:before="1" w:after="0"/>
        <w:ind w:left="673" w:right="1718" w:firstLine="0"/>
        <w:jc w:val="left"/>
        <w:rPr>
          <w:color w:val="231F20"/>
          <w:sz w:val="18"/>
        </w:rPr>
      </w:pPr>
      <w:r>
        <w:rPr>
          <w:color w:val="231F20"/>
          <w:w w:val="110"/>
          <w:sz w:val="18"/>
        </w:rPr>
        <w:t>Mission Council welcomed the review of the pilot scheme </w:t>
      </w:r>
      <w:r>
        <w:rPr>
          <w:color w:val="231F20"/>
          <w:spacing w:val="-3"/>
          <w:w w:val="110"/>
          <w:sz w:val="18"/>
        </w:rPr>
        <w:t>(which </w:t>
      </w:r>
      <w:r>
        <w:rPr>
          <w:color w:val="231F20"/>
          <w:w w:val="110"/>
          <w:sz w:val="18"/>
        </w:rPr>
        <w:t>had operated  since 1</w:t>
      </w:r>
      <w:r>
        <w:rPr>
          <w:color w:val="231F20"/>
          <w:w w:val="110"/>
          <w:position w:val="6"/>
          <w:sz w:val="10"/>
        </w:rPr>
        <w:t>st </w:t>
      </w:r>
      <w:r>
        <w:rPr>
          <w:color w:val="231F20"/>
          <w:w w:val="110"/>
          <w:sz w:val="18"/>
        </w:rPr>
        <w:t>September </w:t>
      </w:r>
      <w:r>
        <w:rPr>
          <w:color w:val="231F20"/>
          <w:spacing w:val="-3"/>
          <w:w w:val="110"/>
          <w:sz w:val="18"/>
        </w:rPr>
        <w:t>2006) </w:t>
      </w:r>
      <w:r>
        <w:rPr>
          <w:color w:val="231F20"/>
          <w:w w:val="110"/>
          <w:sz w:val="18"/>
        </w:rPr>
        <w:t>of the </w:t>
      </w:r>
      <w:r>
        <w:rPr>
          <w:b/>
          <w:color w:val="231F20"/>
          <w:w w:val="110"/>
          <w:sz w:val="18"/>
        </w:rPr>
        <w:t>Joint Public Issues </w:t>
      </w:r>
      <w:r>
        <w:rPr>
          <w:b/>
          <w:color w:val="231F20"/>
          <w:spacing w:val="-5"/>
          <w:w w:val="110"/>
          <w:sz w:val="18"/>
        </w:rPr>
        <w:t>Team</w:t>
      </w:r>
      <w:r>
        <w:rPr>
          <w:color w:val="231F20"/>
          <w:spacing w:val="-5"/>
          <w:w w:val="110"/>
          <w:sz w:val="18"/>
        </w:rPr>
        <w:t>, </w:t>
      </w:r>
      <w:r>
        <w:rPr>
          <w:color w:val="231F20"/>
          <w:w w:val="110"/>
          <w:sz w:val="18"/>
        </w:rPr>
        <w:t>in which United Reformed, Methodist and Baptist Union staff collaborate on issues which include social justice, and other church and society matters in the public domain. Mission Council, noting that the JPIT Management Group was satisfied that ecumenical cooperation was the most</w:t>
      </w:r>
      <w:r>
        <w:rPr>
          <w:color w:val="231F20"/>
          <w:spacing w:val="15"/>
          <w:w w:val="110"/>
          <w:sz w:val="18"/>
        </w:rPr>
        <w:t> </w:t>
      </w:r>
      <w:r>
        <w:rPr>
          <w:color w:val="231F20"/>
          <w:w w:val="110"/>
          <w:sz w:val="18"/>
        </w:rPr>
        <w:t>effective</w:t>
      </w:r>
    </w:p>
    <w:p>
      <w:pPr>
        <w:pStyle w:val="BodyText"/>
        <w:spacing w:line="273" w:lineRule="auto" w:before="3"/>
        <w:ind w:left="673" w:right="1615"/>
        <w:jc w:val="both"/>
      </w:pPr>
      <w:r>
        <w:rPr>
          <w:color w:val="231F20"/>
          <w:spacing w:val="-3"/>
          <w:w w:val="110"/>
        </w:rPr>
        <w:t>way </w:t>
      </w:r>
      <w:r>
        <w:rPr>
          <w:color w:val="231F20"/>
          <w:w w:val="110"/>
        </w:rPr>
        <w:t>in which the three denominations could engage with Public Issues, resolved </w:t>
      </w:r>
      <w:r>
        <w:rPr>
          <w:color w:val="231F20"/>
          <w:spacing w:val="-3"/>
          <w:w w:val="110"/>
        </w:rPr>
        <w:t>(subject </w:t>
      </w:r>
      <w:r>
        <w:rPr>
          <w:color w:val="231F20"/>
          <w:w w:val="110"/>
        </w:rPr>
        <w:t>to the agreement of our ecumenical partners) that the </w:t>
      </w:r>
      <w:r>
        <w:rPr>
          <w:color w:val="231F20"/>
          <w:spacing w:val="-5"/>
          <w:w w:val="110"/>
        </w:rPr>
        <w:t>Team </w:t>
      </w:r>
      <w:r>
        <w:rPr>
          <w:color w:val="231F20"/>
          <w:w w:val="110"/>
        </w:rPr>
        <w:t>should continue beyond the pilot </w:t>
      </w:r>
      <w:r>
        <w:rPr>
          <w:color w:val="231F20"/>
          <w:spacing w:val="-6"/>
          <w:w w:val="110"/>
        </w:rPr>
        <w:t>year, </w:t>
      </w:r>
      <w:r>
        <w:rPr>
          <w:color w:val="231F20"/>
          <w:w w:val="110"/>
        </w:rPr>
        <w:t>subject to annual reports and three-yearly reviews.</w:t>
      </w:r>
    </w:p>
    <w:p>
      <w:pPr>
        <w:pStyle w:val="BodyText"/>
        <w:spacing w:before="8"/>
        <w:rPr>
          <w:sz w:val="20"/>
        </w:rPr>
      </w:pPr>
    </w:p>
    <w:p>
      <w:pPr>
        <w:pStyle w:val="ListParagraph"/>
        <w:numPr>
          <w:ilvl w:val="1"/>
          <w:numId w:val="26"/>
        </w:numPr>
        <w:tabs>
          <w:tab w:pos="1354" w:val="left" w:leader="none"/>
          <w:tab w:pos="1355" w:val="left" w:leader="none"/>
        </w:tabs>
        <w:spacing w:line="273" w:lineRule="auto" w:before="0" w:after="0"/>
        <w:ind w:left="673" w:right="2139" w:hanging="1"/>
        <w:jc w:val="left"/>
        <w:rPr>
          <w:color w:val="231F20"/>
          <w:sz w:val="18"/>
        </w:rPr>
      </w:pPr>
      <w:r>
        <w:rPr>
          <w:color w:val="231F20"/>
          <w:w w:val="110"/>
          <w:sz w:val="18"/>
        </w:rPr>
        <w:t>In </w:t>
      </w:r>
      <w:r>
        <w:rPr>
          <w:color w:val="231F20"/>
          <w:spacing w:val="3"/>
          <w:w w:val="110"/>
          <w:sz w:val="18"/>
        </w:rPr>
        <w:t>response </w:t>
      </w:r>
      <w:r>
        <w:rPr>
          <w:color w:val="231F20"/>
          <w:w w:val="110"/>
          <w:sz w:val="18"/>
        </w:rPr>
        <w:t>to </w:t>
      </w:r>
      <w:r>
        <w:rPr>
          <w:color w:val="231F20"/>
          <w:spacing w:val="2"/>
          <w:w w:val="110"/>
          <w:sz w:val="18"/>
        </w:rPr>
        <w:t>the </w:t>
      </w:r>
      <w:r>
        <w:rPr>
          <w:i/>
          <w:color w:val="231F20"/>
          <w:spacing w:val="3"/>
          <w:w w:val="110"/>
          <w:sz w:val="18"/>
        </w:rPr>
        <w:t>Catch </w:t>
      </w:r>
      <w:r>
        <w:rPr>
          <w:i/>
          <w:color w:val="231F20"/>
          <w:w w:val="110"/>
          <w:sz w:val="18"/>
        </w:rPr>
        <w:t>the </w:t>
      </w:r>
      <w:r>
        <w:rPr>
          <w:i/>
          <w:color w:val="231F20"/>
          <w:spacing w:val="2"/>
          <w:w w:val="110"/>
          <w:sz w:val="18"/>
        </w:rPr>
        <w:t>Vision </w:t>
      </w:r>
      <w:r>
        <w:rPr>
          <w:color w:val="231F20"/>
          <w:spacing w:val="3"/>
          <w:w w:val="110"/>
          <w:sz w:val="18"/>
        </w:rPr>
        <w:t>Report </w:t>
      </w:r>
      <w:r>
        <w:rPr>
          <w:color w:val="231F20"/>
          <w:spacing w:val="2"/>
          <w:w w:val="110"/>
          <w:sz w:val="18"/>
        </w:rPr>
        <w:t>brought </w:t>
      </w:r>
      <w:r>
        <w:rPr>
          <w:color w:val="231F20"/>
          <w:w w:val="110"/>
          <w:sz w:val="18"/>
        </w:rPr>
        <w:t>to </w:t>
      </w:r>
      <w:r>
        <w:rPr>
          <w:color w:val="231F20"/>
          <w:spacing w:val="2"/>
          <w:w w:val="110"/>
          <w:sz w:val="18"/>
        </w:rPr>
        <w:t>the </w:t>
      </w:r>
      <w:r>
        <w:rPr>
          <w:color w:val="231F20"/>
          <w:w w:val="110"/>
          <w:sz w:val="18"/>
        </w:rPr>
        <w:t>2006 </w:t>
      </w:r>
      <w:r>
        <w:rPr>
          <w:color w:val="231F20"/>
          <w:spacing w:val="3"/>
          <w:w w:val="110"/>
          <w:sz w:val="18"/>
        </w:rPr>
        <w:t>Assembly (Reports pages </w:t>
      </w:r>
      <w:r>
        <w:rPr>
          <w:color w:val="231F20"/>
          <w:spacing w:val="-4"/>
          <w:w w:val="110"/>
          <w:sz w:val="18"/>
        </w:rPr>
        <w:t>131, </w:t>
      </w:r>
      <w:r>
        <w:rPr>
          <w:color w:val="231F20"/>
          <w:w w:val="110"/>
          <w:sz w:val="18"/>
        </w:rPr>
        <w:t>132, 138 and </w:t>
      </w:r>
      <w:r>
        <w:rPr>
          <w:color w:val="231F20"/>
          <w:spacing w:val="-4"/>
          <w:w w:val="110"/>
          <w:sz w:val="18"/>
        </w:rPr>
        <w:t>139) </w:t>
      </w:r>
      <w:r>
        <w:rPr>
          <w:color w:val="231F20"/>
          <w:w w:val="110"/>
          <w:sz w:val="18"/>
        </w:rPr>
        <w:t>and </w:t>
      </w:r>
      <w:r>
        <w:rPr>
          <w:color w:val="231F20"/>
          <w:spacing w:val="2"/>
          <w:w w:val="110"/>
          <w:sz w:val="18"/>
        </w:rPr>
        <w:t>the </w:t>
      </w:r>
      <w:r>
        <w:rPr>
          <w:color w:val="231F20"/>
          <w:spacing w:val="3"/>
          <w:w w:val="110"/>
          <w:sz w:val="18"/>
        </w:rPr>
        <w:t>decision </w:t>
      </w:r>
      <w:r>
        <w:rPr>
          <w:color w:val="231F20"/>
          <w:w w:val="110"/>
          <w:sz w:val="18"/>
        </w:rPr>
        <w:t>to </w:t>
      </w:r>
      <w:r>
        <w:rPr>
          <w:color w:val="231F20"/>
          <w:spacing w:val="3"/>
          <w:w w:val="110"/>
          <w:sz w:val="18"/>
        </w:rPr>
        <w:t>establish </w:t>
      </w:r>
      <w:r>
        <w:rPr>
          <w:color w:val="231F20"/>
          <w:w w:val="110"/>
          <w:sz w:val="18"/>
        </w:rPr>
        <w:t>a new Trustee body, </w:t>
      </w:r>
      <w:r>
        <w:rPr>
          <w:color w:val="231F20"/>
          <w:spacing w:val="2"/>
          <w:w w:val="110"/>
          <w:sz w:val="18"/>
        </w:rPr>
        <w:t>Mission Council </w:t>
      </w:r>
      <w:r>
        <w:rPr>
          <w:color w:val="231F20"/>
          <w:spacing w:val="3"/>
          <w:w w:val="110"/>
          <w:sz w:val="18"/>
        </w:rPr>
        <w:t>considered </w:t>
      </w:r>
      <w:r>
        <w:rPr>
          <w:b/>
          <w:color w:val="231F20"/>
          <w:w w:val="110"/>
          <w:sz w:val="18"/>
        </w:rPr>
        <w:t>a new </w:t>
      </w:r>
      <w:r>
        <w:rPr>
          <w:b/>
          <w:color w:val="231F20"/>
          <w:spacing w:val="2"/>
          <w:w w:val="110"/>
          <w:sz w:val="18"/>
        </w:rPr>
        <w:t>Governing </w:t>
      </w:r>
      <w:r>
        <w:rPr>
          <w:b/>
          <w:color w:val="231F20"/>
          <w:spacing w:val="3"/>
          <w:w w:val="110"/>
          <w:sz w:val="18"/>
        </w:rPr>
        <w:t>Document </w:t>
      </w:r>
      <w:r>
        <w:rPr>
          <w:b/>
          <w:color w:val="231F20"/>
          <w:spacing w:val="2"/>
          <w:w w:val="110"/>
          <w:sz w:val="18"/>
        </w:rPr>
        <w:t>for </w:t>
      </w:r>
      <w:r>
        <w:rPr>
          <w:b/>
          <w:color w:val="231F20"/>
          <w:spacing w:val="3"/>
          <w:w w:val="110"/>
          <w:sz w:val="18"/>
        </w:rPr>
        <w:t>the United Reformed Church </w:t>
      </w:r>
      <w:r>
        <w:rPr>
          <w:color w:val="231F20"/>
          <w:w w:val="110"/>
          <w:sz w:val="18"/>
        </w:rPr>
        <w:t>(page</w:t>
      </w:r>
      <w:r>
        <w:rPr>
          <w:color w:val="231F20"/>
          <w:spacing w:val="10"/>
          <w:w w:val="110"/>
          <w:sz w:val="18"/>
        </w:rPr>
        <w:t> </w:t>
      </w:r>
      <w:r>
        <w:rPr>
          <w:color w:val="231F20"/>
          <w:spacing w:val="-4"/>
          <w:w w:val="110"/>
          <w:sz w:val="18"/>
        </w:rPr>
        <w:t>79).</w:t>
      </w:r>
    </w:p>
    <w:p>
      <w:pPr>
        <w:spacing w:after="0" w:line="273" w:lineRule="auto"/>
        <w:jc w:val="left"/>
        <w:rPr>
          <w:sz w:val="18"/>
        </w:rPr>
        <w:sectPr>
          <w:pgSz w:w="11910" w:h="16840"/>
          <w:pgMar w:header="581" w:footer="464" w:top="860" w:bottom="740" w:left="460" w:right="0"/>
        </w:sectPr>
      </w:pPr>
    </w:p>
    <w:p>
      <w:pPr>
        <w:pStyle w:val="BodyText"/>
        <w:spacing w:before="10"/>
        <w:rPr>
          <w:sz w:val="11"/>
        </w:rPr>
      </w:pPr>
    </w:p>
    <w:p>
      <w:pPr>
        <w:pStyle w:val="ListParagraph"/>
        <w:numPr>
          <w:ilvl w:val="1"/>
          <w:numId w:val="26"/>
        </w:numPr>
        <w:tabs>
          <w:tab w:pos="1960" w:val="left" w:leader="none"/>
          <w:tab w:pos="1961" w:val="left" w:leader="none"/>
        </w:tabs>
        <w:spacing w:line="273" w:lineRule="auto" w:before="101" w:after="0"/>
        <w:ind w:left="1240" w:right="1353" w:firstLine="0"/>
        <w:jc w:val="left"/>
        <w:rPr>
          <w:color w:val="231F20"/>
          <w:sz w:val="18"/>
        </w:rPr>
      </w:pPr>
      <w:r>
        <w:rPr>
          <w:color w:val="231F20"/>
          <w:w w:val="110"/>
          <w:sz w:val="18"/>
        </w:rPr>
        <w:t>Mission Council agreed a revised terms of </w:t>
      </w:r>
      <w:r>
        <w:rPr>
          <w:color w:val="231F20"/>
          <w:spacing w:val="2"/>
          <w:w w:val="110"/>
          <w:sz w:val="18"/>
        </w:rPr>
        <w:t>reference </w:t>
      </w:r>
      <w:r>
        <w:rPr>
          <w:color w:val="231F20"/>
          <w:w w:val="110"/>
          <w:sz w:val="18"/>
        </w:rPr>
        <w:t>for the Equal Opportunities Committee.</w:t>
      </w:r>
    </w:p>
    <w:p>
      <w:pPr>
        <w:pStyle w:val="BodyText"/>
        <w:spacing w:before="8"/>
        <w:rPr>
          <w:sz w:val="20"/>
        </w:rPr>
      </w:pPr>
    </w:p>
    <w:p>
      <w:pPr>
        <w:pStyle w:val="ListParagraph"/>
        <w:numPr>
          <w:ilvl w:val="1"/>
          <w:numId w:val="26"/>
        </w:numPr>
        <w:tabs>
          <w:tab w:pos="1960" w:val="left" w:leader="none"/>
          <w:tab w:pos="1961" w:val="left" w:leader="none"/>
        </w:tabs>
        <w:spacing w:line="273" w:lineRule="auto" w:before="0" w:after="0"/>
        <w:ind w:left="1240" w:right="1224" w:firstLine="0"/>
        <w:jc w:val="left"/>
        <w:rPr>
          <w:color w:val="231F20"/>
          <w:sz w:val="18"/>
        </w:rPr>
      </w:pPr>
      <w:r>
        <w:rPr>
          <w:b/>
          <w:color w:val="231F20"/>
          <w:w w:val="110"/>
          <w:sz w:val="18"/>
        </w:rPr>
        <w:t>Ministers’ Pension Fund Board Membership: </w:t>
      </w:r>
      <w:r>
        <w:rPr>
          <w:color w:val="231F20"/>
          <w:w w:val="110"/>
          <w:sz w:val="18"/>
        </w:rPr>
        <w:t>Mission Council agreed to bring  a resolution to General Assembly which approves a revised arrangement for nominating </w:t>
      </w:r>
      <w:r>
        <w:rPr>
          <w:color w:val="231F20"/>
          <w:spacing w:val="2"/>
          <w:w w:val="110"/>
          <w:sz w:val="18"/>
        </w:rPr>
        <w:t>directors </w:t>
      </w:r>
      <w:r>
        <w:rPr>
          <w:color w:val="231F20"/>
          <w:w w:val="110"/>
          <w:sz w:val="18"/>
        </w:rPr>
        <w:t>of the United Reformed Church Ministers’ Pension Fund. Currently the Board has twelve </w:t>
      </w:r>
      <w:r>
        <w:rPr>
          <w:color w:val="231F20"/>
          <w:spacing w:val="2"/>
          <w:w w:val="110"/>
          <w:sz w:val="18"/>
        </w:rPr>
        <w:t>directors </w:t>
      </w:r>
      <w:r>
        <w:rPr>
          <w:color w:val="231F20"/>
          <w:w w:val="110"/>
          <w:sz w:val="18"/>
        </w:rPr>
        <w:t>(the Trustees) comprising four ex officio directors, four </w:t>
      </w:r>
      <w:r>
        <w:rPr>
          <w:color w:val="231F20"/>
          <w:spacing w:val="2"/>
          <w:w w:val="110"/>
          <w:sz w:val="18"/>
        </w:rPr>
        <w:t>directors </w:t>
      </w:r>
      <w:r>
        <w:rPr>
          <w:color w:val="231F20"/>
          <w:w w:val="110"/>
          <w:sz w:val="18"/>
        </w:rPr>
        <w:t>nominated on behalf of the Church and four </w:t>
      </w:r>
      <w:r>
        <w:rPr>
          <w:color w:val="231F20"/>
          <w:spacing w:val="2"/>
          <w:w w:val="110"/>
          <w:sz w:val="18"/>
        </w:rPr>
        <w:t>directors </w:t>
      </w:r>
      <w:r>
        <w:rPr>
          <w:color w:val="231F20"/>
          <w:w w:val="110"/>
          <w:sz w:val="18"/>
        </w:rPr>
        <w:t>nominated on behalf of the members. The nominated </w:t>
      </w:r>
      <w:r>
        <w:rPr>
          <w:color w:val="231F20"/>
          <w:spacing w:val="2"/>
          <w:w w:val="110"/>
          <w:sz w:val="18"/>
        </w:rPr>
        <w:t>directors </w:t>
      </w:r>
      <w:r>
        <w:rPr>
          <w:color w:val="231F20"/>
          <w:w w:val="110"/>
          <w:sz w:val="18"/>
        </w:rPr>
        <w:t>are brought to General Assembly by Nominations Committee for</w:t>
      </w:r>
      <w:r>
        <w:rPr>
          <w:color w:val="231F20"/>
          <w:spacing w:val="2"/>
          <w:w w:val="110"/>
          <w:sz w:val="18"/>
        </w:rPr>
        <w:t> </w:t>
      </w:r>
      <w:r>
        <w:rPr>
          <w:color w:val="231F20"/>
          <w:w w:val="110"/>
          <w:sz w:val="18"/>
        </w:rPr>
        <w:t>approval.</w:t>
      </w:r>
    </w:p>
    <w:p>
      <w:pPr>
        <w:pStyle w:val="BodyText"/>
        <w:spacing w:before="11"/>
        <w:rPr>
          <w:sz w:val="20"/>
        </w:rPr>
      </w:pPr>
    </w:p>
    <w:p>
      <w:pPr>
        <w:pStyle w:val="ListParagraph"/>
        <w:numPr>
          <w:ilvl w:val="2"/>
          <w:numId w:val="26"/>
        </w:numPr>
        <w:tabs>
          <w:tab w:pos="1960" w:val="left" w:leader="none"/>
          <w:tab w:pos="1961" w:val="left" w:leader="none"/>
        </w:tabs>
        <w:spacing w:line="273" w:lineRule="auto" w:before="0" w:after="0"/>
        <w:ind w:left="1240" w:right="1221" w:firstLine="0"/>
        <w:jc w:val="left"/>
        <w:rPr>
          <w:sz w:val="18"/>
        </w:rPr>
      </w:pPr>
      <w:r>
        <w:rPr>
          <w:color w:val="231F20"/>
          <w:w w:val="110"/>
          <w:sz w:val="18"/>
        </w:rPr>
        <w:t>Recent changes in legislation relating to the membership of Pension Fund Boards requires</w:t>
      </w:r>
    </w:p>
    <w:p>
      <w:pPr>
        <w:pStyle w:val="ListParagraph"/>
        <w:numPr>
          <w:ilvl w:val="3"/>
          <w:numId w:val="26"/>
        </w:numPr>
        <w:tabs>
          <w:tab w:pos="2141" w:val="left" w:leader="none"/>
        </w:tabs>
        <w:spacing w:line="240" w:lineRule="auto" w:before="1" w:after="0"/>
        <w:ind w:left="2140" w:right="0" w:hanging="267"/>
        <w:jc w:val="left"/>
        <w:rPr>
          <w:sz w:val="18"/>
        </w:rPr>
      </w:pPr>
      <w:r>
        <w:rPr>
          <w:color w:val="231F20"/>
          <w:w w:val="110"/>
          <w:sz w:val="18"/>
        </w:rPr>
        <w:t>that not less than one third of the </w:t>
      </w:r>
      <w:r>
        <w:rPr>
          <w:color w:val="231F20"/>
          <w:spacing w:val="2"/>
          <w:w w:val="110"/>
          <w:sz w:val="18"/>
        </w:rPr>
        <w:t>directors </w:t>
      </w:r>
      <w:r>
        <w:rPr>
          <w:color w:val="231F20"/>
          <w:w w:val="110"/>
          <w:sz w:val="18"/>
        </w:rPr>
        <w:t>are member representatives</w:t>
      </w:r>
      <w:r>
        <w:rPr>
          <w:color w:val="231F20"/>
          <w:spacing w:val="55"/>
          <w:w w:val="110"/>
          <w:sz w:val="18"/>
        </w:rPr>
        <w:t> </w:t>
      </w:r>
      <w:r>
        <w:rPr>
          <w:color w:val="231F20"/>
          <w:w w:val="110"/>
          <w:sz w:val="18"/>
        </w:rPr>
        <w:t>and</w:t>
      </w:r>
    </w:p>
    <w:p>
      <w:pPr>
        <w:pStyle w:val="ListParagraph"/>
        <w:numPr>
          <w:ilvl w:val="3"/>
          <w:numId w:val="26"/>
        </w:numPr>
        <w:tabs>
          <w:tab w:pos="2146" w:val="left" w:leader="none"/>
        </w:tabs>
        <w:spacing w:line="273" w:lineRule="auto" w:before="31" w:after="0"/>
        <w:ind w:left="2132" w:right="1425" w:hanging="258"/>
        <w:jc w:val="left"/>
        <w:rPr>
          <w:sz w:val="18"/>
        </w:rPr>
      </w:pPr>
      <w:r>
        <w:rPr>
          <w:color w:val="231F20"/>
          <w:w w:val="110"/>
          <w:sz w:val="18"/>
        </w:rPr>
        <w:t>that they be nominated by the members, and not by Nominations Committee and General</w:t>
      </w:r>
      <w:r>
        <w:rPr>
          <w:color w:val="231F20"/>
          <w:spacing w:val="2"/>
          <w:w w:val="110"/>
          <w:sz w:val="18"/>
        </w:rPr>
        <w:t> </w:t>
      </w:r>
      <w:r>
        <w:rPr>
          <w:color w:val="231F20"/>
          <w:w w:val="110"/>
          <w:sz w:val="18"/>
        </w:rPr>
        <w:t>Assembly.</w:t>
      </w:r>
    </w:p>
    <w:p>
      <w:pPr>
        <w:pStyle w:val="BodyText"/>
        <w:spacing w:line="273" w:lineRule="auto" w:before="2"/>
        <w:ind w:left="1240" w:right="1593"/>
      </w:pPr>
      <w:r>
        <w:rPr>
          <w:color w:val="231F20"/>
          <w:w w:val="110"/>
        </w:rPr>
        <w:t>Accordingly a new process is being designed which complies with the law and will be brought into force from General Assembly 2007.</w:t>
      </w:r>
    </w:p>
    <w:p>
      <w:pPr>
        <w:pStyle w:val="BodyText"/>
        <w:spacing w:before="8"/>
        <w:rPr>
          <w:sz w:val="20"/>
        </w:rPr>
      </w:pPr>
    </w:p>
    <w:p>
      <w:pPr>
        <w:pStyle w:val="ListParagraph"/>
        <w:numPr>
          <w:ilvl w:val="2"/>
          <w:numId w:val="26"/>
        </w:numPr>
        <w:tabs>
          <w:tab w:pos="1960" w:val="left" w:leader="none"/>
          <w:tab w:pos="1961" w:val="left" w:leader="none"/>
        </w:tabs>
        <w:spacing w:line="273" w:lineRule="auto" w:before="0" w:after="0"/>
        <w:ind w:left="1240" w:right="1507" w:firstLine="0"/>
        <w:jc w:val="left"/>
        <w:rPr>
          <w:sz w:val="18"/>
        </w:rPr>
      </w:pPr>
      <w:r>
        <w:rPr>
          <w:color w:val="231F20"/>
          <w:w w:val="110"/>
          <w:sz w:val="18"/>
        </w:rPr>
        <w:t>The </w:t>
      </w:r>
      <w:r>
        <w:rPr>
          <w:color w:val="231F20"/>
          <w:spacing w:val="2"/>
          <w:w w:val="110"/>
          <w:sz w:val="18"/>
        </w:rPr>
        <w:t>opportunity </w:t>
      </w:r>
      <w:r>
        <w:rPr>
          <w:color w:val="231F20"/>
          <w:w w:val="110"/>
          <w:sz w:val="18"/>
        </w:rPr>
        <w:t>has been taken to review the company </w:t>
      </w:r>
      <w:r>
        <w:rPr>
          <w:color w:val="231F20"/>
          <w:spacing w:val="2"/>
          <w:w w:val="110"/>
          <w:sz w:val="18"/>
        </w:rPr>
        <w:t>Articles </w:t>
      </w:r>
      <w:r>
        <w:rPr>
          <w:color w:val="231F20"/>
          <w:w w:val="110"/>
          <w:sz w:val="18"/>
        </w:rPr>
        <w:t>of Association regarding the appointment of </w:t>
      </w:r>
      <w:r>
        <w:rPr>
          <w:color w:val="231F20"/>
          <w:spacing w:val="2"/>
          <w:w w:val="110"/>
          <w:sz w:val="18"/>
        </w:rPr>
        <w:t>directors. </w:t>
      </w:r>
      <w:r>
        <w:rPr>
          <w:color w:val="231F20"/>
          <w:w w:val="110"/>
          <w:sz w:val="18"/>
        </w:rPr>
        <w:t>Appropriate changes in the </w:t>
      </w:r>
      <w:r>
        <w:rPr>
          <w:color w:val="231F20"/>
          <w:spacing w:val="2"/>
          <w:w w:val="110"/>
          <w:sz w:val="18"/>
        </w:rPr>
        <w:t>Articles </w:t>
      </w:r>
      <w:r>
        <w:rPr>
          <w:color w:val="231F20"/>
          <w:w w:val="110"/>
          <w:sz w:val="18"/>
        </w:rPr>
        <w:t>were agreed at an </w:t>
      </w:r>
      <w:r>
        <w:rPr>
          <w:color w:val="231F20"/>
          <w:spacing w:val="2"/>
          <w:w w:val="110"/>
          <w:sz w:val="18"/>
        </w:rPr>
        <w:t>Extraordinary </w:t>
      </w:r>
      <w:r>
        <w:rPr>
          <w:color w:val="231F20"/>
          <w:w w:val="110"/>
          <w:sz w:val="18"/>
        </w:rPr>
        <w:t>Meeting of the</w:t>
      </w:r>
      <w:r>
        <w:rPr>
          <w:color w:val="231F20"/>
          <w:spacing w:val="10"/>
          <w:w w:val="110"/>
          <w:sz w:val="18"/>
        </w:rPr>
        <w:t> </w:t>
      </w:r>
      <w:r>
        <w:rPr>
          <w:color w:val="231F20"/>
          <w:w w:val="110"/>
          <w:sz w:val="18"/>
        </w:rPr>
        <w:t>Company.</w:t>
      </w:r>
    </w:p>
    <w:p>
      <w:pPr>
        <w:pStyle w:val="BodyText"/>
        <w:spacing w:before="8"/>
        <w:rPr>
          <w:sz w:val="20"/>
        </w:rPr>
      </w:pPr>
    </w:p>
    <w:p>
      <w:pPr>
        <w:pStyle w:val="ListParagraph"/>
        <w:numPr>
          <w:ilvl w:val="2"/>
          <w:numId w:val="26"/>
        </w:numPr>
        <w:tabs>
          <w:tab w:pos="1922" w:val="left" w:leader="none"/>
        </w:tabs>
        <w:spacing w:line="240" w:lineRule="auto" w:before="1" w:after="0"/>
        <w:ind w:left="1921" w:right="0" w:hanging="682"/>
        <w:jc w:val="left"/>
        <w:rPr>
          <w:sz w:val="18"/>
        </w:rPr>
      </w:pPr>
      <w:r>
        <w:rPr>
          <w:color w:val="231F20"/>
          <w:w w:val="110"/>
          <w:sz w:val="18"/>
        </w:rPr>
        <w:t>From General Assembly </w:t>
      </w:r>
      <w:r>
        <w:rPr>
          <w:color w:val="231F20"/>
          <w:spacing w:val="-7"/>
          <w:w w:val="110"/>
          <w:sz w:val="18"/>
        </w:rPr>
        <w:t>2007, </w:t>
      </w:r>
      <w:r>
        <w:rPr>
          <w:color w:val="231F20"/>
          <w:w w:val="110"/>
          <w:sz w:val="18"/>
        </w:rPr>
        <w:t>the Board will</w:t>
      </w:r>
      <w:r>
        <w:rPr>
          <w:color w:val="231F20"/>
          <w:spacing w:val="22"/>
          <w:w w:val="110"/>
          <w:sz w:val="18"/>
        </w:rPr>
        <w:t> </w:t>
      </w:r>
      <w:r>
        <w:rPr>
          <w:color w:val="231F20"/>
          <w:w w:val="110"/>
          <w:sz w:val="18"/>
        </w:rPr>
        <w:t>comprise:</w:t>
      </w:r>
    </w:p>
    <w:p>
      <w:pPr>
        <w:pStyle w:val="ListParagraph"/>
        <w:numPr>
          <w:ilvl w:val="0"/>
          <w:numId w:val="28"/>
        </w:numPr>
        <w:tabs>
          <w:tab w:pos="1921" w:val="left" w:leader="none"/>
          <w:tab w:pos="1922" w:val="left" w:leader="none"/>
        </w:tabs>
        <w:spacing w:line="273" w:lineRule="auto" w:before="31" w:after="0"/>
        <w:ind w:left="1921" w:right="1647" w:hanging="681"/>
        <w:jc w:val="left"/>
        <w:rPr>
          <w:sz w:val="18"/>
        </w:rPr>
      </w:pPr>
      <w:r>
        <w:rPr>
          <w:color w:val="231F20"/>
          <w:w w:val="110"/>
          <w:sz w:val="18"/>
        </w:rPr>
        <w:t>four </w:t>
      </w:r>
      <w:r>
        <w:rPr>
          <w:color w:val="231F20"/>
          <w:spacing w:val="2"/>
          <w:w w:val="110"/>
          <w:sz w:val="18"/>
        </w:rPr>
        <w:t>directors </w:t>
      </w:r>
      <w:r>
        <w:rPr>
          <w:color w:val="231F20"/>
          <w:w w:val="110"/>
          <w:sz w:val="18"/>
        </w:rPr>
        <w:t>who </w:t>
      </w:r>
      <w:r>
        <w:rPr>
          <w:color w:val="231F20"/>
          <w:spacing w:val="2"/>
          <w:w w:val="110"/>
          <w:sz w:val="18"/>
        </w:rPr>
        <w:t>serve </w:t>
      </w:r>
      <w:r>
        <w:rPr>
          <w:color w:val="231F20"/>
          <w:w w:val="110"/>
          <w:sz w:val="18"/>
        </w:rPr>
        <w:t>by </w:t>
      </w:r>
      <w:r>
        <w:rPr>
          <w:color w:val="231F20"/>
          <w:spacing w:val="2"/>
          <w:w w:val="110"/>
          <w:sz w:val="18"/>
        </w:rPr>
        <w:t>virtue </w:t>
      </w:r>
      <w:r>
        <w:rPr>
          <w:color w:val="231F20"/>
          <w:w w:val="110"/>
          <w:sz w:val="18"/>
        </w:rPr>
        <w:t>of their office: the </w:t>
      </w:r>
      <w:r>
        <w:rPr>
          <w:color w:val="231F20"/>
          <w:spacing w:val="2"/>
          <w:w w:val="110"/>
          <w:sz w:val="18"/>
        </w:rPr>
        <w:t>Honorary </w:t>
      </w:r>
      <w:r>
        <w:rPr>
          <w:color w:val="231F20"/>
          <w:w w:val="110"/>
          <w:sz w:val="18"/>
        </w:rPr>
        <w:t>Treasurer;  the Convener of the Maintenance of Ministry Committee; the Convener of the Pensions Executive; and the Convener of the Investment</w:t>
      </w:r>
      <w:r>
        <w:rPr>
          <w:color w:val="231F20"/>
          <w:spacing w:val="42"/>
          <w:w w:val="110"/>
          <w:sz w:val="18"/>
        </w:rPr>
        <w:t> </w:t>
      </w:r>
      <w:r>
        <w:rPr>
          <w:color w:val="231F20"/>
          <w:w w:val="110"/>
          <w:sz w:val="18"/>
        </w:rPr>
        <w:t>Committee;</w:t>
      </w:r>
    </w:p>
    <w:p>
      <w:pPr>
        <w:pStyle w:val="ListParagraph"/>
        <w:numPr>
          <w:ilvl w:val="0"/>
          <w:numId w:val="28"/>
        </w:numPr>
        <w:tabs>
          <w:tab w:pos="1921" w:val="left" w:leader="none"/>
          <w:tab w:pos="1922" w:val="left" w:leader="none"/>
        </w:tabs>
        <w:spacing w:line="273" w:lineRule="auto" w:before="2" w:after="0"/>
        <w:ind w:left="1921" w:right="1132" w:hanging="681"/>
        <w:jc w:val="left"/>
        <w:rPr>
          <w:sz w:val="18"/>
        </w:rPr>
      </w:pPr>
      <w:r>
        <w:rPr>
          <w:color w:val="231F20"/>
          <w:w w:val="110"/>
          <w:sz w:val="18"/>
        </w:rPr>
        <w:t>four </w:t>
      </w:r>
      <w:r>
        <w:rPr>
          <w:color w:val="231F20"/>
          <w:spacing w:val="2"/>
          <w:w w:val="110"/>
          <w:sz w:val="18"/>
        </w:rPr>
        <w:t>directors </w:t>
      </w:r>
      <w:r>
        <w:rPr>
          <w:color w:val="231F20"/>
          <w:w w:val="110"/>
          <w:sz w:val="18"/>
        </w:rPr>
        <w:t>nominated on behalf of the Church, </w:t>
      </w:r>
      <w:r>
        <w:rPr>
          <w:color w:val="231F20"/>
          <w:spacing w:val="2"/>
          <w:w w:val="110"/>
          <w:sz w:val="18"/>
        </w:rPr>
        <w:t>selected </w:t>
      </w:r>
      <w:r>
        <w:rPr>
          <w:color w:val="231F20"/>
          <w:w w:val="110"/>
          <w:sz w:val="18"/>
        </w:rPr>
        <w:t>by procedures recently introduced for </w:t>
      </w:r>
      <w:r>
        <w:rPr>
          <w:color w:val="231F20"/>
          <w:spacing w:val="2"/>
          <w:w w:val="110"/>
          <w:sz w:val="18"/>
        </w:rPr>
        <w:t>selecting </w:t>
      </w:r>
      <w:r>
        <w:rPr>
          <w:color w:val="231F20"/>
          <w:w w:val="110"/>
          <w:sz w:val="18"/>
        </w:rPr>
        <w:t>the Trustees of the</w:t>
      </w:r>
      <w:r>
        <w:rPr>
          <w:color w:val="231F20"/>
          <w:spacing w:val="12"/>
          <w:w w:val="110"/>
          <w:sz w:val="18"/>
        </w:rPr>
        <w:t> </w:t>
      </w:r>
      <w:r>
        <w:rPr>
          <w:color w:val="231F20"/>
          <w:w w:val="110"/>
          <w:sz w:val="18"/>
        </w:rPr>
        <w:t>Church;</w:t>
      </w:r>
    </w:p>
    <w:p>
      <w:pPr>
        <w:pStyle w:val="ListParagraph"/>
        <w:numPr>
          <w:ilvl w:val="0"/>
          <w:numId w:val="28"/>
        </w:numPr>
        <w:tabs>
          <w:tab w:pos="1921" w:val="left" w:leader="none"/>
          <w:tab w:pos="1922" w:val="left" w:leader="none"/>
        </w:tabs>
        <w:spacing w:line="240" w:lineRule="auto" w:before="1" w:after="0"/>
        <w:ind w:left="1921" w:right="0" w:hanging="682"/>
        <w:jc w:val="left"/>
        <w:rPr>
          <w:sz w:val="18"/>
        </w:rPr>
      </w:pPr>
      <w:r>
        <w:rPr>
          <w:color w:val="231F20"/>
          <w:w w:val="110"/>
          <w:sz w:val="18"/>
        </w:rPr>
        <w:t>four directors nominated on behalf of members, following the same new</w:t>
      </w:r>
      <w:r>
        <w:rPr>
          <w:color w:val="231F20"/>
          <w:spacing w:val="-25"/>
          <w:w w:val="110"/>
          <w:sz w:val="18"/>
        </w:rPr>
        <w:t> </w:t>
      </w:r>
      <w:r>
        <w:rPr>
          <w:color w:val="231F20"/>
          <w:w w:val="110"/>
          <w:sz w:val="18"/>
        </w:rPr>
        <w:t>procedure.</w:t>
      </w:r>
    </w:p>
    <w:p>
      <w:pPr>
        <w:pStyle w:val="BodyText"/>
        <w:spacing w:before="1"/>
        <w:rPr>
          <w:sz w:val="23"/>
        </w:rPr>
      </w:pPr>
    </w:p>
    <w:p>
      <w:pPr>
        <w:pStyle w:val="ListParagraph"/>
        <w:numPr>
          <w:ilvl w:val="2"/>
          <w:numId w:val="26"/>
        </w:numPr>
        <w:tabs>
          <w:tab w:pos="1960" w:val="left" w:leader="none"/>
          <w:tab w:pos="1961" w:val="left" w:leader="none"/>
        </w:tabs>
        <w:spacing w:line="273" w:lineRule="auto" w:before="1" w:after="0"/>
        <w:ind w:left="1240" w:right="1212" w:firstLine="0"/>
        <w:jc w:val="left"/>
        <w:rPr>
          <w:sz w:val="18"/>
        </w:rPr>
      </w:pPr>
      <w:r>
        <w:rPr>
          <w:color w:val="231F20"/>
          <w:w w:val="110"/>
          <w:sz w:val="18"/>
        </w:rPr>
        <w:t>Mission Council agreed the composition of the Board and the revised arrangements suggested for the nominating directors; and invites General Assembly for approval. (</w:t>
      </w:r>
      <w:r>
        <w:rPr>
          <w:b/>
          <w:color w:val="231F20"/>
          <w:w w:val="110"/>
          <w:sz w:val="18"/>
        </w:rPr>
        <w:t>Resolution 22</w:t>
      </w:r>
      <w:r>
        <w:rPr>
          <w:color w:val="231F20"/>
          <w:w w:val="110"/>
          <w:sz w:val="18"/>
        </w:rPr>
        <w:t>, page</w:t>
      </w:r>
      <w:r>
        <w:rPr>
          <w:color w:val="231F20"/>
          <w:spacing w:val="4"/>
          <w:w w:val="110"/>
          <w:sz w:val="18"/>
        </w:rPr>
        <w:t> </w:t>
      </w:r>
      <w:r>
        <w:rPr>
          <w:color w:val="231F20"/>
          <w:spacing w:val="-5"/>
          <w:w w:val="110"/>
          <w:sz w:val="18"/>
        </w:rPr>
        <w:t>76)</w:t>
      </w:r>
    </w:p>
    <w:p>
      <w:pPr>
        <w:pStyle w:val="BodyText"/>
        <w:spacing w:before="8"/>
        <w:rPr>
          <w:sz w:val="20"/>
        </w:rPr>
      </w:pPr>
    </w:p>
    <w:p>
      <w:pPr>
        <w:pStyle w:val="ListParagraph"/>
        <w:numPr>
          <w:ilvl w:val="1"/>
          <w:numId w:val="26"/>
        </w:numPr>
        <w:tabs>
          <w:tab w:pos="1960" w:val="left" w:leader="none"/>
          <w:tab w:pos="1961" w:val="left" w:leader="none"/>
        </w:tabs>
        <w:spacing w:line="273" w:lineRule="auto" w:before="0" w:after="0"/>
        <w:ind w:left="1240" w:right="1184" w:hanging="1"/>
        <w:jc w:val="left"/>
        <w:rPr>
          <w:color w:val="231F20"/>
          <w:sz w:val="18"/>
        </w:rPr>
      </w:pPr>
      <w:r>
        <w:rPr>
          <w:color w:val="231F20"/>
          <w:w w:val="110"/>
          <w:sz w:val="18"/>
        </w:rPr>
        <w:t>Mission Council discussed a revised remit for the Finance Committee, and agreed to bring a resolution to General Assembly for approval (</w:t>
      </w:r>
      <w:r>
        <w:rPr>
          <w:b/>
          <w:color w:val="231F20"/>
          <w:w w:val="110"/>
          <w:sz w:val="18"/>
        </w:rPr>
        <w:t>Document </w:t>
      </w:r>
      <w:r>
        <w:rPr>
          <w:b/>
          <w:color w:val="231F20"/>
          <w:spacing w:val="-14"/>
          <w:w w:val="110"/>
          <w:sz w:val="18"/>
        </w:rPr>
        <w:t>7</w:t>
      </w:r>
      <w:r>
        <w:rPr>
          <w:color w:val="231F20"/>
          <w:spacing w:val="-14"/>
          <w:w w:val="110"/>
          <w:sz w:val="18"/>
        </w:rPr>
        <w:t>, </w:t>
      </w:r>
      <w:r>
        <w:rPr>
          <w:color w:val="231F20"/>
          <w:w w:val="110"/>
          <w:sz w:val="18"/>
        </w:rPr>
        <w:t>page </w:t>
      </w:r>
      <w:r>
        <w:rPr>
          <w:color w:val="231F20"/>
          <w:spacing w:val="-6"/>
          <w:w w:val="110"/>
          <w:sz w:val="18"/>
        </w:rPr>
        <w:t>115 </w:t>
      </w:r>
      <w:r>
        <w:rPr>
          <w:color w:val="231F20"/>
          <w:w w:val="110"/>
          <w:sz w:val="18"/>
        </w:rPr>
        <w:t>and </w:t>
      </w:r>
      <w:r>
        <w:rPr>
          <w:b/>
          <w:color w:val="231F20"/>
          <w:w w:val="110"/>
          <w:sz w:val="18"/>
        </w:rPr>
        <w:t>Resolution 32</w:t>
      </w:r>
      <w:r>
        <w:rPr>
          <w:color w:val="231F20"/>
          <w:w w:val="110"/>
          <w:sz w:val="18"/>
        </w:rPr>
        <w:t>, page</w:t>
      </w:r>
      <w:r>
        <w:rPr>
          <w:color w:val="231F20"/>
          <w:spacing w:val="2"/>
          <w:w w:val="110"/>
          <w:sz w:val="18"/>
        </w:rPr>
        <w:t> </w:t>
      </w:r>
      <w:r>
        <w:rPr>
          <w:color w:val="231F20"/>
          <w:spacing w:val="-7"/>
          <w:w w:val="110"/>
          <w:sz w:val="18"/>
        </w:rPr>
        <w:t>116)</w:t>
      </w:r>
    </w:p>
    <w:p>
      <w:pPr>
        <w:pStyle w:val="BodyText"/>
        <w:spacing w:before="9"/>
        <w:rPr>
          <w:sz w:val="20"/>
        </w:rPr>
      </w:pPr>
    </w:p>
    <w:p>
      <w:pPr>
        <w:pStyle w:val="ListParagraph"/>
        <w:numPr>
          <w:ilvl w:val="1"/>
          <w:numId w:val="26"/>
        </w:numPr>
        <w:tabs>
          <w:tab w:pos="1960" w:val="left" w:leader="none"/>
          <w:tab w:pos="1961" w:val="left" w:leader="none"/>
        </w:tabs>
        <w:spacing w:line="273" w:lineRule="auto" w:before="0" w:after="0"/>
        <w:ind w:left="1240" w:right="1252" w:hanging="1"/>
        <w:jc w:val="left"/>
        <w:rPr>
          <w:color w:val="231F20"/>
          <w:sz w:val="18"/>
        </w:rPr>
      </w:pPr>
      <w:r>
        <w:rPr>
          <w:color w:val="231F20"/>
          <w:w w:val="110"/>
          <w:sz w:val="18"/>
        </w:rPr>
        <w:t>Mission Council discussed </w:t>
      </w:r>
      <w:r>
        <w:rPr>
          <w:color w:val="231F20"/>
          <w:spacing w:val="-3"/>
          <w:w w:val="110"/>
          <w:sz w:val="18"/>
        </w:rPr>
        <w:t>over </w:t>
      </w:r>
      <w:r>
        <w:rPr>
          <w:color w:val="231F20"/>
          <w:w w:val="110"/>
          <w:sz w:val="18"/>
        </w:rPr>
        <w:t>several meetings a series of papers produced by the Doctrine, Prayer and Worship Committee on the Ecclesiology of the United Reformed Church. These were authorised by Mission Council to be distributed by the Committee for discussion throughout the Church, and </w:t>
      </w:r>
      <w:r>
        <w:rPr>
          <w:color w:val="231F20"/>
          <w:spacing w:val="-3"/>
          <w:w w:val="110"/>
          <w:sz w:val="18"/>
        </w:rPr>
        <w:t>(where </w:t>
      </w:r>
      <w:r>
        <w:rPr>
          <w:color w:val="231F20"/>
          <w:w w:val="110"/>
          <w:sz w:val="18"/>
        </w:rPr>
        <w:t>appropriate) as an ecumenical</w:t>
      </w:r>
      <w:r>
        <w:rPr>
          <w:color w:val="231F20"/>
          <w:spacing w:val="-13"/>
          <w:w w:val="110"/>
          <w:sz w:val="18"/>
        </w:rPr>
        <w:t> </w:t>
      </w:r>
      <w:r>
        <w:rPr>
          <w:color w:val="231F20"/>
          <w:w w:val="110"/>
          <w:sz w:val="18"/>
        </w:rPr>
        <w:t>resource.</w:t>
      </w:r>
    </w:p>
    <w:p>
      <w:pPr>
        <w:pStyle w:val="BodyText"/>
        <w:spacing w:before="9"/>
        <w:rPr>
          <w:sz w:val="20"/>
        </w:rPr>
      </w:pPr>
    </w:p>
    <w:p>
      <w:pPr>
        <w:pStyle w:val="ListParagraph"/>
        <w:numPr>
          <w:ilvl w:val="1"/>
          <w:numId w:val="26"/>
        </w:numPr>
        <w:tabs>
          <w:tab w:pos="1960" w:val="left" w:leader="none"/>
          <w:tab w:pos="1961" w:val="left" w:leader="none"/>
        </w:tabs>
        <w:spacing w:line="273" w:lineRule="auto" w:before="1" w:after="0"/>
        <w:ind w:left="1240" w:right="1131" w:hanging="1"/>
        <w:jc w:val="left"/>
        <w:rPr>
          <w:color w:val="231F20"/>
          <w:sz w:val="18"/>
        </w:rPr>
      </w:pPr>
      <w:r>
        <w:rPr>
          <w:color w:val="231F20"/>
          <w:w w:val="110"/>
          <w:sz w:val="18"/>
        </w:rPr>
        <w:t>The </w:t>
      </w:r>
      <w:r>
        <w:rPr>
          <w:color w:val="231F20"/>
          <w:spacing w:val="-3"/>
          <w:w w:val="110"/>
          <w:sz w:val="18"/>
        </w:rPr>
        <w:t>Revd </w:t>
      </w:r>
      <w:r>
        <w:rPr>
          <w:color w:val="231F20"/>
          <w:w w:val="110"/>
          <w:sz w:val="18"/>
        </w:rPr>
        <w:t>Dr David Cornick completes his first term of service as General Secretary of the United Reformed Church at Assembly 2008. Mission Council appointed a group to initiate a process of review and bring a proposal to the </w:t>
      </w:r>
      <w:r>
        <w:rPr>
          <w:color w:val="231F20"/>
          <w:spacing w:val="-3"/>
          <w:w w:val="110"/>
          <w:sz w:val="18"/>
        </w:rPr>
        <w:t>2007 </w:t>
      </w:r>
      <w:r>
        <w:rPr>
          <w:color w:val="231F20"/>
          <w:w w:val="110"/>
          <w:sz w:val="18"/>
        </w:rPr>
        <w:t>General</w:t>
      </w:r>
      <w:r>
        <w:rPr>
          <w:color w:val="231F20"/>
          <w:spacing w:val="-32"/>
          <w:w w:val="110"/>
          <w:sz w:val="18"/>
        </w:rPr>
        <w:t> </w:t>
      </w:r>
      <w:r>
        <w:rPr>
          <w:color w:val="231F20"/>
          <w:w w:val="110"/>
          <w:sz w:val="18"/>
        </w:rPr>
        <w:t>Assembly.</w:t>
      </w:r>
    </w:p>
    <w:p>
      <w:pPr>
        <w:pStyle w:val="BodyText"/>
        <w:spacing w:before="8"/>
        <w:rPr>
          <w:sz w:val="20"/>
        </w:rPr>
      </w:pPr>
    </w:p>
    <w:p>
      <w:pPr>
        <w:numPr>
          <w:ilvl w:val="0"/>
          <w:numId w:val="26"/>
        </w:numPr>
        <w:tabs>
          <w:tab w:pos="1960" w:val="left" w:leader="none"/>
          <w:tab w:pos="1961" w:val="left" w:leader="none"/>
        </w:tabs>
        <w:spacing w:before="0"/>
        <w:ind w:left="1960" w:right="0" w:hanging="721"/>
        <w:jc w:val="left"/>
        <w:rPr>
          <w:b/>
          <w:sz w:val="18"/>
        </w:rPr>
      </w:pPr>
      <w:r>
        <w:rPr>
          <w:b/>
          <w:color w:val="231F20"/>
          <w:spacing w:val="2"/>
          <w:w w:val="110"/>
          <w:sz w:val="18"/>
        </w:rPr>
        <w:t>Reports </w:t>
      </w:r>
      <w:r>
        <w:rPr>
          <w:b/>
          <w:color w:val="231F20"/>
          <w:w w:val="110"/>
          <w:sz w:val="18"/>
        </w:rPr>
        <w:t>of Advisory Groups to Mission</w:t>
      </w:r>
      <w:r>
        <w:rPr>
          <w:b/>
          <w:color w:val="231F20"/>
          <w:spacing w:val="5"/>
          <w:w w:val="110"/>
          <w:sz w:val="18"/>
        </w:rPr>
        <w:t> </w:t>
      </w:r>
      <w:r>
        <w:rPr>
          <w:b/>
          <w:color w:val="231F20"/>
          <w:w w:val="110"/>
          <w:sz w:val="18"/>
        </w:rPr>
        <w:t>Council</w:t>
      </w:r>
    </w:p>
    <w:p>
      <w:pPr>
        <w:pStyle w:val="BodyText"/>
        <w:spacing w:before="2"/>
        <w:rPr>
          <w:b/>
          <w:sz w:val="23"/>
        </w:rPr>
      </w:pPr>
    </w:p>
    <w:p>
      <w:pPr>
        <w:pStyle w:val="ListParagraph"/>
        <w:numPr>
          <w:ilvl w:val="1"/>
          <w:numId w:val="26"/>
        </w:numPr>
        <w:tabs>
          <w:tab w:pos="1960" w:val="left" w:leader="none"/>
          <w:tab w:pos="1961" w:val="left" w:leader="none"/>
        </w:tabs>
        <w:spacing w:line="240" w:lineRule="auto" w:before="0" w:after="0"/>
        <w:ind w:left="1960" w:right="0" w:hanging="721"/>
        <w:jc w:val="left"/>
        <w:rPr>
          <w:b/>
          <w:color w:val="231F20"/>
          <w:sz w:val="18"/>
        </w:rPr>
      </w:pPr>
      <w:r>
        <w:rPr>
          <w:b/>
          <w:color w:val="231F20"/>
          <w:w w:val="110"/>
          <w:sz w:val="18"/>
        </w:rPr>
        <w:t>Resource Sharing </w:t>
      </w:r>
      <w:r>
        <w:rPr>
          <w:b/>
          <w:color w:val="231F20"/>
          <w:spacing w:val="-3"/>
          <w:w w:val="110"/>
          <w:sz w:val="18"/>
        </w:rPr>
        <w:t>Task</w:t>
      </w:r>
      <w:r>
        <w:rPr>
          <w:b/>
          <w:color w:val="231F20"/>
          <w:spacing w:val="1"/>
          <w:w w:val="110"/>
          <w:sz w:val="18"/>
        </w:rPr>
        <w:t> </w:t>
      </w:r>
      <w:r>
        <w:rPr>
          <w:b/>
          <w:color w:val="231F20"/>
          <w:w w:val="110"/>
          <w:sz w:val="18"/>
        </w:rPr>
        <w:t>Group</w:t>
      </w:r>
    </w:p>
    <w:p>
      <w:pPr>
        <w:pStyle w:val="BodyText"/>
        <w:spacing w:before="2"/>
        <w:rPr>
          <w:b/>
          <w:sz w:val="23"/>
        </w:rPr>
      </w:pPr>
    </w:p>
    <w:p>
      <w:pPr>
        <w:pStyle w:val="ListParagraph"/>
        <w:numPr>
          <w:ilvl w:val="2"/>
          <w:numId w:val="26"/>
        </w:numPr>
        <w:tabs>
          <w:tab w:pos="1960" w:val="left" w:leader="none"/>
          <w:tab w:pos="1961" w:val="left" w:leader="none"/>
        </w:tabs>
        <w:spacing w:line="273" w:lineRule="auto" w:before="0" w:after="0"/>
        <w:ind w:left="1240" w:right="1211" w:firstLine="0"/>
        <w:jc w:val="left"/>
        <w:rPr>
          <w:sz w:val="18"/>
        </w:rPr>
      </w:pPr>
      <w:r>
        <w:rPr>
          <w:color w:val="231F20"/>
          <w:w w:val="110"/>
          <w:sz w:val="18"/>
        </w:rPr>
        <w:t>The important change of emphasis in the approach to </w:t>
      </w:r>
      <w:r>
        <w:rPr>
          <w:color w:val="231F20"/>
          <w:spacing w:val="2"/>
          <w:w w:val="110"/>
          <w:sz w:val="18"/>
        </w:rPr>
        <w:t>resource </w:t>
      </w:r>
      <w:r>
        <w:rPr>
          <w:color w:val="231F20"/>
          <w:w w:val="110"/>
          <w:sz w:val="18"/>
        </w:rPr>
        <w:t>sharing as being “needs driven” continues. All meetings have been conducted in a good spirit with openness and transparency an essential element. The work towards the goal of greater sharing of </w:t>
      </w:r>
      <w:r>
        <w:rPr>
          <w:color w:val="231F20"/>
          <w:spacing w:val="2"/>
          <w:w w:val="110"/>
          <w:sz w:val="18"/>
        </w:rPr>
        <w:t>resources </w:t>
      </w:r>
      <w:r>
        <w:rPr>
          <w:color w:val="231F20"/>
          <w:w w:val="110"/>
          <w:sz w:val="18"/>
        </w:rPr>
        <w:t>between synods </w:t>
      </w:r>
      <w:r>
        <w:rPr>
          <w:color w:val="231F20"/>
          <w:spacing w:val="2"/>
          <w:w w:val="110"/>
          <w:sz w:val="18"/>
        </w:rPr>
        <w:t>carries </w:t>
      </w:r>
      <w:r>
        <w:rPr>
          <w:color w:val="231F20"/>
          <w:w w:val="110"/>
          <w:sz w:val="18"/>
        </w:rPr>
        <w:t>on and those involved in the </w:t>
      </w:r>
      <w:r>
        <w:rPr>
          <w:color w:val="231F20"/>
          <w:spacing w:val="2"/>
          <w:w w:val="110"/>
          <w:sz w:val="18"/>
        </w:rPr>
        <w:t>process </w:t>
      </w:r>
      <w:r>
        <w:rPr>
          <w:color w:val="231F20"/>
          <w:w w:val="110"/>
          <w:sz w:val="18"/>
        </w:rPr>
        <w:t>are always looking for new ideas and ways to improve what is already in</w:t>
      </w:r>
      <w:r>
        <w:rPr>
          <w:color w:val="231F20"/>
          <w:spacing w:val="42"/>
          <w:w w:val="110"/>
          <w:sz w:val="18"/>
        </w:rPr>
        <w:t> </w:t>
      </w:r>
      <w:r>
        <w:rPr>
          <w:color w:val="231F20"/>
          <w:w w:val="110"/>
          <w:sz w:val="18"/>
        </w:rPr>
        <w:t>place.</w:t>
      </w:r>
    </w:p>
    <w:p>
      <w:pPr>
        <w:spacing w:after="0" w:line="273" w:lineRule="auto"/>
        <w:jc w:val="left"/>
        <w:rPr>
          <w:sz w:val="18"/>
        </w:rPr>
        <w:sectPr>
          <w:pgSz w:w="11910" w:h="16840"/>
          <w:pgMar w:header="581" w:footer="544" w:top="860" w:bottom="740" w:left="460" w:right="0"/>
        </w:sectPr>
      </w:pPr>
    </w:p>
    <w:p>
      <w:pPr>
        <w:pStyle w:val="BodyText"/>
        <w:spacing w:before="10"/>
        <w:rPr>
          <w:sz w:val="11"/>
        </w:rPr>
      </w:pPr>
    </w:p>
    <w:p>
      <w:pPr>
        <w:pStyle w:val="ListParagraph"/>
        <w:numPr>
          <w:ilvl w:val="2"/>
          <w:numId w:val="26"/>
        </w:numPr>
        <w:tabs>
          <w:tab w:pos="1355" w:val="left" w:leader="none"/>
        </w:tabs>
        <w:spacing w:line="273" w:lineRule="auto" w:before="101" w:after="0"/>
        <w:ind w:left="673" w:right="1425" w:firstLine="0"/>
        <w:jc w:val="left"/>
        <w:rPr>
          <w:sz w:val="18"/>
        </w:rPr>
      </w:pPr>
      <w:r>
        <w:rPr>
          <w:color w:val="231F20"/>
          <w:w w:val="110"/>
          <w:sz w:val="18"/>
        </w:rPr>
        <w:t>The exchanges of information and ideas between synods have proved to be useful  and beneficial. </w:t>
      </w:r>
      <w:r>
        <w:rPr>
          <w:color w:val="231F20"/>
          <w:spacing w:val="2"/>
          <w:w w:val="110"/>
          <w:sz w:val="18"/>
        </w:rPr>
        <w:t>There </w:t>
      </w:r>
      <w:r>
        <w:rPr>
          <w:color w:val="231F20"/>
          <w:w w:val="110"/>
          <w:sz w:val="18"/>
        </w:rPr>
        <w:t>is evidence of a greater collective understanding of the problems and concerns faced by individual</w:t>
      </w:r>
      <w:r>
        <w:rPr>
          <w:color w:val="231F20"/>
          <w:spacing w:val="5"/>
          <w:w w:val="110"/>
          <w:sz w:val="18"/>
        </w:rPr>
        <w:t> </w:t>
      </w:r>
      <w:r>
        <w:rPr>
          <w:color w:val="231F20"/>
          <w:w w:val="110"/>
          <w:sz w:val="18"/>
        </w:rPr>
        <w:t>synods.</w:t>
      </w:r>
    </w:p>
    <w:p>
      <w:pPr>
        <w:pStyle w:val="BodyText"/>
        <w:spacing w:before="8"/>
        <w:rPr>
          <w:sz w:val="20"/>
        </w:rPr>
      </w:pPr>
    </w:p>
    <w:p>
      <w:pPr>
        <w:pStyle w:val="ListParagraph"/>
        <w:numPr>
          <w:ilvl w:val="2"/>
          <w:numId w:val="26"/>
        </w:numPr>
        <w:tabs>
          <w:tab w:pos="1355" w:val="left" w:leader="none"/>
        </w:tabs>
        <w:spacing w:line="273" w:lineRule="auto" w:before="0" w:after="0"/>
        <w:ind w:left="673" w:right="1445" w:firstLine="0"/>
        <w:jc w:val="left"/>
        <w:rPr>
          <w:sz w:val="18"/>
        </w:rPr>
      </w:pPr>
      <w:r>
        <w:rPr>
          <w:color w:val="231F20"/>
          <w:w w:val="110"/>
          <w:sz w:val="18"/>
        </w:rPr>
        <w:t>The three main issues under constant review are the use of </w:t>
      </w:r>
      <w:r>
        <w:rPr>
          <w:color w:val="231F20"/>
          <w:spacing w:val="2"/>
          <w:w w:val="110"/>
          <w:sz w:val="18"/>
        </w:rPr>
        <w:t>receipts from </w:t>
      </w:r>
      <w:r>
        <w:rPr>
          <w:color w:val="231F20"/>
          <w:w w:val="110"/>
          <w:sz w:val="18"/>
        </w:rPr>
        <w:t>the sale of properties; the use of manse funds; the expenditure of funds on church</w:t>
      </w:r>
      <w:r>
        <w:rPr>
          <w:color w:val="231F20"/>
          <w:spacing w:val="2"/>
          <w:w w:val="110"/>
          <w:sz w:val="18"/>
        </w:rPr>
        <w:t> </w:t>
      </w:r>
      <w:r>
        <w:rPr>
          <w:color w:val="231F20"/>
          <w:w w:val="110"/>
          <w:sz w:val="18"/>
        </w:rPr>
        <w:t>buildings.</w:t>
      </w:r>
    </w:p>
    <w:p>
      <w:pPr>
        <w:pStyle w:val="BodyText"/>
        <w:spacing w:before="8"/>
        <w:rPr>
          <w:sz w:val="20"/>
        </w:rPr>
      </w:pPr>
    </w:p>
    <w:p>
      <w:pPr>
        <w:pStyle w:val="ListParagraph"/>
        <w:numPr>
          <w:ilvl w:val="2"/>
          <w:numId w:val="26"/>
        </w:numPr>
        <w:tabs>
          <w:tab w:pos="1355" w:val="left" w:leader="none"/>
        </w:tabs>
        <w:spacing w:line="273" w:lineRule="auto" w:before="1" w:after="0"/>
        <w:ind w:left="673" w:right="1647" w:firstLine="0"/>
        <w:jc w:val="left"/>
        <w:rPr>
          <w:sz w:val="18"/>
        </w:rPr>
      </w:pPr>
      <w:r>
        <w:rPr>
          <w:color w:val="231F20"/>
          <w:w w:val="110"/>
          <w:sz w:val="18"/>
        </w:rPr>
        <w:t>Also under discussion at the full consultation held in September 2006, was the definition of “Core Tasks” of a new synod, </w:t>
      </w:r>
      <w:r>
        <w:rPr>
          <w:color w:val="231F20"/>
          <w:spacing w:val="2"/>
          <w:w w:val="110"/>
          <w:sz w:val="18"/>
        </w:rPr>
        <w:t>referred </w:t>
      </w:r>
      <w:r>
        <w:rPr>
          <w:color w:val="231F20"/>
          <w:w w:val="110"/>
          <w:sz w:val="18"/>
        </w:rPr>
        <w:t>to as Synod </w:t>
      </w:r>
      <w:r>
        <w:rPr>
          <w:color w:val="231F20"/>
          <w:spacing w:val="-6"/>
          <w:w w:val="110"/>
          <w:sz w:val="18"/>
        </w:rPr>
        <w:t>14. </w:t>
      </w:r>
      <w:r>
        <w:rPr>
          <w:color w:val="231F20"/>
          <w:w w:val="110"/>
          <w:sz w:val="18"/>
        </w:rPr>
        <w:t>Ms Rachel Greening presented a brief paper to the September 2006 consultation which attempted to define a model synod and what it might look like including what the “core </w:t>
      </w:r>
      <w:r>
        <w:rPr>
          <w:color w:val="231F20"/>
          <w:spacing w:val="2"/>
          <w:w w:val="110"/>
          <w:sz w:val="18"/>
        </w:rPr>
        <w:t>tasks” </w:t>
      </w:r>
      <w:r>
        <w:rPr>
          <w:color w:val="231F20"/>
          <w:w w:val="110"/>
          <w:sz w:val="18"/>
        </w:rPr>
        <w:t>may be if one was </w:t>
      </w:r>
      <w:r>
        <w:rPr>
          <w:color w:val="231F20"/>
          <w:spacing w:val="2"/>
          <w:w w:val="110"/>
          <w:sz w:val="18"/>
        </w:rPr>
        <w:t>starting </w:t>
      </w:r>
      <w:r>
        <w:rPr>
          <w:color w:val="231F20"/>
          <w:w w:val="110"/>
          <w:sz w:val="18"/>
        </w:rPr>
        <w:t>with a blank canvas. Whilst it is understood all synods would not be the same, Synod </w:t>
      </w:r>
      <w:r>
        <w:rPr>
          <w:color w:val="231F20"/>
          <w:spacing w:val="-6"/>
          <w:w w:val="110"/>
          <w:sz w:val="18"/>
        </w:rPr>
        <w:t>14 </w:t>
      </w:r>
      <w:r>
        <w:rPr>
          <w:color w:val="231F20"/>
          <w:w w:val="110"/>
          <w:sz w:val="18"/>
        </w:rPr>
        <w:t>as a model could be developed through consultation to establish core functions and </w:t>
      </w:r>
      <w:r>
        <w:rPr>
          <w:color w:val="231F20"/>
          <w:spacing w:val="2"/>
          <w:w w:val="110"/>
          <w:sz w:val="18"/>
        </w:rPr>
        <w:t>costs </w:t>
      </w:r>
      <w:r>
        <w:rPr>
          <w:color w:val="231F20"/>
          <w:w w:val="110"/>
          <w:sz w:val="18"/>
        </w:rPr>
        <w:t>and could be used as a template from which to measure individual synod variations to meet local needs.</w:t>
      </w:r>
    </w:p>
    <w:p>
      <w:pPr>
        <w:pStyle w:val="BodyText"/>
        <w:spacing w:before="11"/>
        <w:rPr>
          <w:sz w:val="20"/>
        </w:rPr>
      </w:pPr>
    </w:p>
    <w:p>
      <w:pPr>
        <w:spacing w:before="0"/>
        <w:ind w:left="673" w:right="0" w:firstLine="0"/>
        <w:jc w:val="left"/>
        <w:rPr>
          <w:b/>
          <w:sz w:val="18"/>
        </w:rPr>
      </w:pPr>
      <w:r>
        <w:rPr>
          <w:b/>
          <w:color w:val="231F20"/>
          <w:w w:val="110"/>
          <w:sz w:val="18"/>
        </w:rPr>
        <w:t>There was general consensus that the following topics were relevant to all synods:</w:t>
      </w: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what does the local church </w:t>
      </w:r>
      <w:r>
        <w:rPr>
          <w:color w:val="231F20"/>
          <w:spacing w:val="2"/>
          <w:w w:val="110"/>
          <w:sz w:val="18"/>
        </w:rPr>
        <w:t>expect </w:t>
      </w:r>
      <w:r>
        <w:rPr>
          <w:color w:val="231F20"/>
          <w:w w:val="110"/>
          <w:sz w:val="18"/>
        </w:rPr>
        <w:t>of the</w:t>
      </w:r>
      <w:r>
        <w:rPr>
          <w:color w:val="231F20"/>
          <w:spacing w:val="12"/>
          <w:w w:val="110"/>
          <w:sz w:val="18"/>
        </w:rPr>
        <w:t> </w:t>
      </w:r>
      <w:r>
        <w:rPr>
          <w:color w:val="231F20"/>
          <w:w w:val="110"/>
          <w:sz w:val="18"/>
        </w:rPr>
        <w:t>organisation?</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raising funds to meet the commitment to the Ministry and Mission</w:t>
      </w:r>
      <w:r>
        <w:rPr>
          <w:color w:val="231F20"/>
          <w:spacing w:val="35"/>
          <w:w w:val="110"/>
          <w:sz w:val="18"/>
        </w:rPr>
        <w:t> </w:t>
      </w:r>
      <w:r>
        <w:rPr>
          <w:color w:val="231F20"/>
          <w:spacing w:val="-3"/>
          <w:w w:val="110"/>
          <w:sz w:val="18"/>
        </w:rPr>
        <w:t>Fund;</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spacing w:val="2"/>
          <w:w w:val="110"/>
          <w:sz w:val="18"/>
        </w:rPr>
        <w:t>staffing </w:t>
      </w:r>
      <w:r>
        <w:rPr>
          <w:color w:val="231F20"/>
          <w:w w:val="110"/>
          <w:sz w:val="18"/>
        </w:rPr>
        <w:t>levels in synods;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fund raising – generally – how can sources outside the church be</w:t>
      </w:r>
      <w:r>
        <w:rPr>
          <w:color w:val="231F20"/>
          <w:spacing w:val="46"/>
          <w:w w:val="110"/>
          <w:sz w:val="18"/>
        </w:rPr>
        <w:t> </w:t>
      </w:r>
      <w:r>
        <w:rPr>
          <w:color w:val="231F20"/>
          <w:w w:val="110"/>
          <w:sz w:val="18"/>
        </w:rPr>
        <w:t>accessed?</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the creation of the Synod </w:t>
      </w:r>
      <w:r>
        <w:rPr>
          <w:color w:val="231F20"/>
          <w:spacing w:val="-6"/>
          <w:w w:val="110"/>
          <w:sz w:val="18"/>
        </w:rPr>
        <w:t>14 </w:t>
      </w:r>
      <w:r>
        <w:rPr>
          <w:color w:val="231F20"/>
          <w:w w:val="110"/>
          <w:sz w:val="18"/>
        </w:rPr>
        <w:t>model – how should it</w:t>
      </w:r>
      <w:r>
        <w:rPr>
          <w:color w:val="231F20"/>
          <w:spacing w:val="27"/>
          <w:w w:val="110"/>
          <w:sz w:val="18"/>
        </w:rPr>
        <w:t> </w:t>
      </w:r>
      <w:r>
        <w:rPr>
          <w:color w:val="231F20"/>
          <w:w w:val="110"/>
          <w:sz w:val="18"/>
        </w:rPr>
        <w:t>look?</w:t>
      </w:r>
    </w:p>
    <w:p>
      <w:pPr>
        <w:pStyle w:val="ListParagraph"/>
        <w:numPr>
          <w:ilvl w:val="2"/>
          <w:numId w:val="26"/>
        </w:numPr>
        <w:tabs>
          <w:tab w:pos="1355" w:val="left" w:leader="none"/>
        </w:tabs>
        <w:spacing w:line="240" w:lineRule="auto" w:before="227" w:after="0"/>
        <w:ind w:left="1354" w:right="0" w:hanging="682"/>
        <w:jc w:val="left"/>
        <w:rPr>
          <w:sz w:val="18"/>
        </w:rPr>
      </w:pPr>
      <w:r>
        <w:rPr>
          <w:color w:val="231F20"/>
          <w:w w:val="110"/>
          <w:sz w:val="18"/>
        </w:rPr>
        <w:t>Synods are asked to look at these issues and suggest ideas and ways of</w:t>
      </w:r>
      <w:r>
        <w:rPr>
          <w:color w:val="231F20"/>
          <w:spacing w:val="50"/>
          <w:w w:val="110"/>
          <w:sz w:val="18"/>
        </w:rPr>
        <w:t> </w:t>
      </w:r>
      <w:r>
        <w:rPr>
          <w:color w:val="231F20"/>
          <w:w w:val="110"/>
          <w:sz w:val="18"/>
        </w:rPr>
        <w:t>moving</w:t>
      </w:r>
    </w:p>
    <w:p>
      <w:pPr>
        <w:pStyle w:val="BodyText"/>
        <w:spacing w:line="273" w:lineRule="auto" w:before="31"/>
        <w:ind w:left="673" w:right="2397"/>
      </w:pPr>
      <w:r>
        <w:rPr>
          <w:color w:val="231F20"/>
          <w:spacing w:val="2"/>
          <w:w w:val="110"/>
        </w:rPr>
        <w:t>forward </w:t>
      </w:r>
      <w:r>
        <w:rPr>
          <w:color w:val="231F20"/>
          <w:w w:val="110"/>
        </w:rPr>
        <w:t>to meet the challenges of the future in a more </w:t>
      </w:r>
      <w:r>
        <w:rPr>
          <w:color w:val="231F20"/>
          <w:spacing w:val="2"/>
          <w:w w:val="110"/>
        </w:rPr>
        <w:t>effective </w:t>
      </w:r>
      <w:r>
        <w:rPr>
          <w:color w:val="231F20"/>
          <w:w w:val="110"/>
        </w:rPr>
        <w:t>and efficient </w:t>
      </w:r>
      <w:r>
        <w:rPr>
          <w:color w:val="231F20"/>
          <w:spacing w:val="-5"/>
          <w:w w:val="110"/>
        </w:rPr>
        <w:t>way.  </w:t>
      </w:r>
      <w:r>
        <w:rPr>
          <w:color w:val="231F20"/>
          <w:w w:val="110"/>
        </w:rPr>
        <w:t>It is suggested this can </w:t>
      </w:r>
      <w:r>
        <w:rPr>
          <w:color w:val="231F20"/>
          <w:spacing w:val="2"/>
          <w:w w:val="110"/>
        </w:rPr>
        <w:t>best </w:t>
      </w:r>
      <w:r>
        <w:rPr>
          <w:color w:val="231F20"/>
          <w:w w:val="110"/>
        </w:rPr>
        <w:t>be achieved through the quartet and quintet meetings of synod representatives to be held in June/July</w:t>
      </w:r>
      <w:r>
        <w:rPr>
          <w:color w:val="231F20"/>
          <w:spacing w:val="20"/>
          <w:w w:val="110"/>
        </w:rPr>
        <w:t> </w:t>
      </w:r>
      <w:r>
        <w:rPr>
          <w:color w:val="231F20"/>
          <w:spacing w:val="-6"/>
          <w:w w:val="110"/>
        </w:rPr>
        <w:t>2007.</w:t>
      </w:r>
    </w:p>
    <w:p>
      <w:pPr>
        <w:pStyle w:val="BodyText"/>
        <w:spacing w:before="9"/>
        <w:rPr>
          <w:sz w:val="20"/>
        </w:rPr>
      </w:pPr>
    </w:p>
    <w:p>
      <w:pPr>
        <w:pStyle w:val="ListParagraph"/>
        <w:numPr>
          <w:ilvl w:val="2"/>
          <w:numId w:val="26"/>
        </w:numPr>
        <w:tabs>
          <w:tab w:pos="1355" w:val="left" w:leader="none"/>
        </w:tabs>
        <w:spacing w:line="240" w:lineRule="auto" w:before="0" w:after="0"/>
        <w:ind w:left="1354" w:right="0" w:hanging="682"/>
        <w:jc w:val="left"/>
        <w:rPr>
          <w:sz w:val="18"/>
        </w:rPr>
      </w:pPr>
      <w:r>
        <w:rPr>
          <w:color w:val="231F20"/>
          <w:w w:val="110"/>
          <w:sz w:val="18"/>
        </w:rPr>
        <w:t>The </w:t>
      </w:r>
      <w:r>
        <w:rPr>
          <w:color w:val="231F20"/>
          <w:spacing w:val="-4"/>
          <w:w w:val="110"/>
          <w:sz w:val="18"/>
        </w:rPr>
        <w:t>Task </w:t>
      </w:r>
      <w:r>
        <w:rPr>
          <w:color w:val="231F20"/>
          <w:w w:val="110"/>
          <w:sz w:val="18"/>
        </w:rPr>
        <w:t>Group has met on several occasions since the General Assembly in</w:t>
      </w:r>
      <w:r>
        <w:rPr>
          <w:color w:val="231F20"/>
          <w:spacing w:val="65"/>
          <w:w w:val="110"/>
          <w:sz w:val="18"/>
        </w:rPr>
        <w:t> </w:t>
      </w:r>
      <w:r>
        <w:rPr>
          <w:color w:val="231F20"/>
          <w:w w:val="110"/>
          <w:sz w:val="18"/>
        </w:rPr>
        <w:t>2006.</w:t>
      </w:r>
    </w:p>
    <w:p>
      <w:pPr>
        <w:pStyle w:val="BodyText"/>
        <w:spacing w:before="31"/>
        <w:ind w:left="673"/>
      </w:pPr>
      <w:r>
        <w:rPr>
          <w:color w:val="231F20"/>
          <w:w w:val="110"/>
        </w:rPr>
        <w:t>In continuing their analysis of the “core tasks” and finance issues they have identified</w:t>
      </w:r>
    </w:p>
    <w:p>
      <w:pPr>
        <w:pStyle w:val="BodyText"/>
        <w:spacing w:before="31"/>
        <w:ind w:left="673"/>
      </w:pPr>
      <w:r>
        <w:rPr>
          <w:color w:val="231F20"/>
          <w:w w:val="110"/>
        </w:rPr>
        <w:t>a number of ideas which they will debate in the coming months. They are as follows:</w:t>
      </w: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mission – money follows mission – money enables</w:t>
      </w:r>
      <w:r>
        <w:rPr>
          <w:color w:val="231F20"/>
          <w:spacing w:val="15"/>
          <w:w w:val="110"/>
          <w:sz w:val="18"/>
        </w:rPr>
        <w:t> </w:t>
      </w:r>
      <w:r>
        <w:rPr>
          <w:color w:val="231F20"/>
          <w:w w:val="110"/>
          <w:sz w:val="18"/>
        </w:rPr>
        <w:t>mission;</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changes to the </w:t>
      </w:r>
      <w:r>
        <w:rPr>
          <w:color w:val="231F20"/>
          <w:spacing w:val="2"/>
          <w:w w:val="110"/>
          <w:sz w:val="18"/>
        </w:rPr>
        <w:t>structures </w:t>
      </w:r>
      <w:r>
        <w:rPr>
          <w:color w:val="231F20"/>
          <w:w w:val="110"/>
          <w:sz w:val="18"/>
        </w:rPr>
        <w:t>– the removal of </w:t>
      </w:r>
      <w:r>
        <w:rPr>
          <w:color w:val="231F20"/>
          <w:spacing w:val="2"/>
          <w:w w:val="110"/>
          <w:sz w:val="18"/>
        </w:rPr>
        <w:t>district</w:t>
      </w:r>
      <w:r>
        <w:rPr>
          <w:color w:val="231F20"/>
          <w:spacing w:val="15"/>
          <w:w w:val="110"/>
          <w:sz w:val="18"/>
        </w:rPr>
        <w:t> </w:t>
      </w:r>
      <w:r>
        <w:rPr>
          <w:color w:val="231F20"/>
          <w:w w:val="110"/>
          <w:sz w:val="18"/>
        </w:rPr>
        <w:t>councils;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the creation of new</w:t>
      </w:r>
      <w:r>
        <w:rPr>
          <w:color w:val="231F20"/>
          <w:spacing w:val="4"/>
          <w:w w:val="110"/>
          <w:sz w:val="18"/>
        </w:rPr>
        <w:t> </w:t>
      </w:r>
      <w:r>
        <w:rPr>
          <w:color w:val="231F20"/>
          <w:w w:val="110"/>
          <w:sz w:val="18"/>
        </w:rPr>
        <w:t>synods;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input </w:t>
      </w:r>
      <w:r>
        <w:rPr>
          <w:color w:val="231F20"/>
          <w:spacing w:val="2"/>
          <w:w w:val="110"/>
          <w:sz w:val="18"/>
        </w:rPr>
        <w:t>from </w:t>
      </w:r>
      <w:r>
        <w:rPr>
          <w:color w:val="231F20"/>
          <w:w w:val="110"/>
          <w:sz w:val="18"/>
        </w:rPr>
        <w:t>people – use of volunteers or</w:t>
      </w:r>
      <w:r>
        <w:rPr>
          <w:color w:val="231F20"/>
          <w:spacing w:val="9"/>
          <w:w w:val="110"/>
          <w:sz w:val="18"/>
        </w:rPr>
        <w:t> </w:t>
      </w:r>
      <w:r>
        <w:rPr>
          <w:color w:val="231F20"/>
          <w:w w:val="110"/>
          <w:sz w:val="18"/>
        </w:rPr>
        <w:t>not;</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meeting Mission and Ministry</w:t>
      </w:r>
      <w:r>
        <w:rPr>
          <w:color w:val="231F20"/>
          <w:spacing w:val="6"/>
          <w:w w:val="110"/>
          <w:sz w:val="18"/>
        </w:rPr>
        <w:t> </w:t>
      </w:r>
      <w:r>
        <w:rPr>
          <w:color w:val="231F20"/>
          <w:w w:val="110"/>
          <w:sz w:val="18"/>
        </w:rPr>
        <w:t>payments.</w:t>
      </w:r>
    </w:p>
    <w:p>
      <w:pPr>
        <w:pStyle w:val="ListParagraph"/>
        <w:numPr>
          <w:ilvl w:val="2"/>
          <w:numId w:val="26"/>
        </w:numPr>
        <w:tabs>
          <w:tab w:pos="1355" w:val="left" w:leader="none"/>
        </w:tabs>
        <w:spacing w:line="273" w:lineRule="auto" w:before="227" w:after="0"/>
        <w:ind w:left="673" w:right="1599" w:firstLine="0"/>
        <w:jc w:val="left"/>
        <w:rPr>
          <w:sz w:val="18"/>
        </w:rPr>
      </w:pPr>
      <w:r>
        <w:rPr>
          <w:color w:val="231F20"/>
          <w:w w:val="110"/>
          <w:sz w:val="18"/>
        </w:rPr>
        <w:t>It was also agreed some consideration should be given to looking for an alternative to what was called </w:t>
      </w:r>
      <w:r>
        <w:rPr>
          <w:color w:val="231F20"/>
          <w:spacing w:val="3"/>
          <w:w w:val="110"/>
          <w:sz w:val="18"/>
        </w:rPr>
        <w:t>‘soft’ </w:t>
      </w:r>
      <w:r>
        <w:rPr>
          <w:color w:val="231F20"/>
          <w:w w:val="110"/>
          <w:sz w:val="18"/>
        </w:rPr>
        <w:t>grant options.</w:t>
      </w:r>
      <w:r>
        <w:rPr>
          <w:color w:val="231F20"/>
          <w:spacing w:val="13"/>
          <w:w w:val="110"/>
          <w:sz w:val="18"/>
        </w:rPr>
        <w:t> </w:t>
      </w:r>
      <w:r>
        <w:rPr>
          <w:color w:val="231F20"/>
          <w:spacing w:val="2"/>
          <w:w w:val="110"/>
          <w:sz w:val="18"/>
        </w:rPr>
        <w:t>There </w:t>
      </w:r>
      <w:r>
        <w:rPr>
          <w:color w:val="231F20"/>
          <w:w w:val="110"/>
          <w:sz w:val="18"/>
        </w:rPr>
        <w:t>needs to be a change in the mind-set</w:t>
      </w:r>
    </w:p>
    <w:p>
      <w:pPr>
        <w:pStyle w:val="BodyText"/>
        <w:spacing w:line="273" w:lineRule="auto" w:before="1"/>
        <w:ind w:left="673" w:right="1829"/>
      </w:pPr>
      <w:r>
        <w:rPr>
          <w:color w:val="231F20"/>
          <w:w w:val="110"/>
        </w:rPr>
        <w:t>away </w:t>
      </w:r>
      <w:r>
        <w:rPr>
          <w:color w:val="231F20"/>
          <w:spacing w:val="2"/>
          <w:w w:val="110"/>
        </w:rPr>
        <w:t>from </w:t>
      </w:r>
      <w:r>
        <w:rPr>
          <w:color w:val="231F20"/>
          <w:w w:val="110"/>
        </w:rPr>
        <w:t>pouring money into buildings irrespective if their benefits for mission, to a more creative ecumenical </w:t>
      </w:r>
      <w:r>
        <w:rPr>
          <w:color w:val="231F20"/>
          <w:spacing w:val="2"/>
          <w:w w:val="110"/>
        </w:rPr>
        <w:t>partnership </w:t>
      </w:r>
      <w:r>
        <w:rPr>
          <w:color w:val="231F20"/>
          <w:w w:val="110"/>
        </w:rPr>
        <w:t>approach where churches come together, to share </w:t>
      </w:r>
      <w:r>
        <w:rPr>
          <w:color w:val="231F20"/>
          <w:spacing w:val="2"/>
          <w:w w:val="110"/>
        </w:rPr>
        <w:t>resources </w:t>
      </w:r>
      <w:r>
        <w:rPr>
          <w:color w:val="231F20"/>
          <w:w w:val="110"/>
        </w:rPr>
        <w:t>of buildings, finance and</w:t>
      </w:r>
      <w:r>
        <w:rPr>
          <w:color w:val="231F20"/>
          <w:spacing w:val="5"/>
          <w:w w:val="110"/>
        </w:rPr>
        <w:t> </w:t>
      </w:r>
      <w:r>
        <w:rPr>
          <w:color w:val="231F20"/>
          <w:w w:val="110"/>
        </w:rPr>
        <w:t>people.</w:t>
      </w:r>
    </w:p>
    <w:p>
      <w:pPr>
        <w:pStyle w:val="BodyText"/>
        <w:spacing w:before="8"/>
        <w:rPr>
          <w:sz w:val="20"/>
        </w:rPr>
      </w:pPr>
    </w:p>
    <w:p>
      <w:pPr>
        <w:pStyle w:val="ListParagraph"/>
        <w:numPr>
          <w:ilvl w:val="2"/>
          <w:numId w:val="26"/>
        </w:numPr>
        <w:tabs>
          <w:tab w:pos="1355" w:val="left" w:leader="none"/>
        </w:tabs>
        <w:spacing w:line="273" w:lineRule="auto" w:before="1" w:after="0"/>
        <w:ind w:left="673" w:right="1365" w:firstLine="0"/>
        <w:jc w:val="left"/>
        <w:rPr>
          <w:sz w:val="18"/>
        </w:rPr>
      </w:pPr>
      <w:r>
        <w:rPr>
          <w:color w:val="231F20"/>
          <w:w w:val="110"/>
          <w:sz w:val="18"/>
        </w:rPr>
        <w:t>There is still more work to be done in seeking to encourage all synods towards the harmonisation</w:t>
      </w:r>
      <w:r>
        <w:rPr>
          <w:color w:val="231F20"/>
          <w:spacing w:val="-18"/>
          <w:w w:val="110"/>
          <w:sz w:val="18"/>
        </w:rPr>
        <w:t> </w:t>
      </w:r>
      <w:r>
        <w:rPr>
          <w:color w:val="231F20"/>
          <w:w w:val="110"/>
          <w:sz w:val="18"/>
        </w:rPr>
        <w:t>of</w:t>
      </w:r>
      <w:r>
        <w:rPr>
          <w:color w:val="231F20"/>
          <w:spacing w:val="-18"/>
          <w:w w:val="110"/>
          <w:sz w:val="18"/>
        </w:rPr>
        <w:t> </w:t>
      </w:r>
      <w:r>
        <w:rPr>
          <w:color w:val="231F20"/>
          <w:w w:val="110"/>
          <w:sz w:val="18"/>
        </w:rPr>
        <w:t>policies</w:t>
      </w:r>
      <w:r>
        <w:rPr>
          <w:color w:val="231F20"/>
          <w:spacing w:val="-19"/>
          <w:w w:val="110"/>
          <w:sz w:val="18"/>
        </w:rPr>
        <w:t> </w:t>
      </w:r>
      <w:r>
        <w:rPr>
          <w:color w:val="231F20"/>
          <w:w w:val="110"/>
          <w:sz w:val="18"/>
        </w:rPr>
        <w:t>on</w:t>
      </w:r>
      <w:r>
        <w:rPr>
          <w:color w:val="231F20"/>
          <w:spacing w:val="-18"/>
          <w:w w:val="110"/>
          <w:sz w:val="18"/>
        </w:rPr>
        <w:t> </w:t>
      </w:r>
      <w:r>
        <w:rPr>
          <w:color w:val="231F20"/>
          <w:w w:val="110"/>
          <w:sz w:val="18"/>
        </w:rPr>
        <w:t>a</w:t>
      </w:r>
      <w:r>
        <w:rPr>
          <w:color w:val="231F20"/>
          <w:spacing w:val="-18"/>
          <w:w w:val="110"/>
          <w:sz w:val="18"/>
        </w:rPr>
        <w:t> </w:t>
      </w:r>
      <w:r>
        <w:rPr>
          <w:color w:val="231F20"/>
          <w:w w:val="110"/>
          <w:sz w:val="18"/>
        </w:rPr>
        <w:t>number</w:t>
      </w:r>
      <w:r>
        <w:rPr>
          <w:color w:val="231F20"/>
          <w:spacing w:val="-19"/>
          <w:w w:val="110"/>
          <w:sz w:val="18"/>
        </w:rPr>
        <w:t> </w:t>
      </w:r>
      <w:r>
        <w:rPr>
          <w:color w:val="231F20"/>
          <w:w w:val="110"/>
          <w:sz w:val="18"/>
        </w:rPr>
        <w:t>of</w:t>
      </w:r>
      <w:r>
        <w:rPr>
          <w:color w:val="231F20"/>
          <w:spacing w:val="-19"/>
          <w:w w:val="110"/>
          <w:sz w:val="18"/>
        </w:rPr>
        <w:t> </w:t>
      </w:r>
      <w:r>
        <w:rPr>
          <w:color w:val="231F20"/>
          <w:w w:val="110"/>
          <w:sz w:val="18"/>
        </w:rPr>
        <w:t>related</w:t>
      </w:r>
      <w:r>
        <w:rPr>
          <w:color w:val="231F20"/>
          <w:spacing w:val="-17"/>
          <w:w w:val="110"/>
          <w:sz w:val="18"/>
        </w:rPr>
        <w:t> </w:t>
      </w:r>
      <w:r>
        <w:rPr>
          <w:color w:val="231F20"/>
          <w:w w:val="110"/>
          <w:sz w:val="18"/>
        </w:rPr>
        <w:t>issues.</w:t>
      </w:r>
      <w:r>
        <w:rPr>
          <w:color w:val="231F20"/>
          <w:spacing w:val="-19"/>
          <w:w w:val="110"/>
          <w:sz w:val="18"/>
        </w:rPr>
        <w:t> </w:t>
      </w:r>
      <w:r>
        <w:rPr>
          <w:color w:val="231F20"/>
          <w:w w:val="110"/>
          <w:sz w:val="18"/>
        </w:rPr>
        <w:t>There</w:t>
      </w:r>
      <w:r>
        <w:rPr>
          <w:color w:val="231F20"/>
          <w:spacing w:val="-18"/>
          <w:w w:val="110"/>
          <w:sz w:val="18"/>
        </w:rPr>
        <w:t> </w:t>
      </w:r>
      <w:r>
        <w:rPr>
          <w:color w:val="231F20"/>
          <w:w w:val="110"/>
          <w:sz w:val="18"/>
        </w:rPr>
        <w:t>appears</w:t>
      </w:r>
      <w:r>
        <w:rPr>
          <w:color w:val="231F20"/>
          <w:spacing w:val="-18"/>
          <w:w w:val="110"/>
          <w:sz w:val="18"/>
        </w:rPr>
        <w:t> </w:t>
      </w:r>
      <w:r>
        <w:rPr>
          <w:color w:val="231F20"/>
          <w:w w:val="110"/>
          <w:sz w:val="18"/>
        </w:rPr>
        <w:t>to</w:t>
      </w:r>
      <w:r>
        <w:rPr>
          <w:color w:val="231F20"/>
          <w:spacing w:val="-17"/>
          <w:w w:val="110"/>
          <w:sz w:val="18"/>
        </w:rPr>
        <w:t> </w:t>
      </w:r>
      <w:r>
        <w:rPr>
          <w:color w:val="231F20"/>
          <w:w w:val="110"/>
          <w:sz w:val="18"/>
        </w:rPr>
        <w:t>be</w:t>
      </w:r>
      <w:r>
        <w:rPr>
          <w:color w:val="231F20"/>
          <w:spacing w:val="-18"/>
          <w:w w:val="110"/>
          <w:sz w:val="18"/>
        </w:rPr>
        <w:t> </w:t>
      </w:r>
      <w:r>
        <w:rPr>
          <w:color w:val="231F20"/>
          <w:w w:val="110"/>
          <w:sz w:val="18"/>
        </w:rPr>
        <w:t>some</w:t>
      </w:r>
      <w:r>
        <w:rPr>
          <w:color w:val="231F20"/>
          <w:spacing w:val="-18"/>
          <w:w w:val="110"/>
          <w:sz w:val="18"/>
        </w:rPr>
        <w:t> </w:t>
      </w:r>
      <w:r>
        <w:rPr>
          <w:color w:val="231F20"/>
          <w:w w:val="110"/>
          <w:sz w:val="18"/>
        </w:rPr>
        <w:t>evidence</w:t>
      </w:r>
      <w:r>
        <w:rPr>
          <w:color w:val="231F20"/>
          <w:spacing w:val="-18"/>
          <w:w w:val="110"/>
          <w:sz w:val="18"/>
        </w:rPr>
        <w:t> </w:t>
      </w:r>
      <w:r>
        <w:rPr>
          <w:color w:val="231F20"/>
          <w:w w:val="110"/>
          <w:sz w:val="18"/>
        </w:rPr>
        <w:t>of</w:t>
      </w:r>
      <w:r>
        <w:rPr>
          <w:color w:val="231F20"/>
          <w:spacing w:val="-19"/>
          <w:w w:val="110"/>
          <w:sz w:val="18"/>
        </w:rPr>
        <w:t> </w:t>
      </w:r>
      <w:r>
        <w:rPr>
          <w:color w:val="231F20"/>
          <w:w w:val="110"/>
          <w:sz w:val="18"/>
        </w:rPr>
        <w:t>a willingness</w:t>
      </w:r>
      <w:r>
        <w:rPr>
          <w:color w:val="231F20"/>
          <w:spacing w:val="-19"/>
          <w:w w:val="110"/>
          <w:sz w:val="18"/>
        </w:rPr>
        <w:t> </w:t>
      </w:r>
      <w:r>
        <w:rPr>
          <w:color w:val="231F20"/>
          <w:w w:val="110"/>
          <w:sz w:val="18"/>
        </w:rPr>
        <w:t>to</w:t>
      </w:r>
      <w:r>
        <w:rPr>
          <w:color w:val="231F20"/>
          <w:spacing w:val="-18"/>
          <w:w w:val="110"/>
          <w:sz w:val="18"/>
        </w:rPr>
        <w:t> </w:t>
      </w:r>
      <w:r>
        <w:rPr>
          <w:color w:val="231F20"/>
          <w:spacing w:val="-3"/>
          <w:w w:val="110"/>
          <w:sz w:val="18"/>
        </w:rPr>
        <w:t>move</w:t>
      </w:r>
      <w:r>
        <w:rPr>
          <w:color w:val="231F20"/>
          <w:spacing w:val="-19"/>
          <w:w w:val="110"/>
          <w:sz w:val="18"/>
        </w:rPr>
        <w:t> </w:t>
      </w:r>
      <w:r>
        <w:rPr>
          <w:color w:val="231F20"/>
          <w:w w:val="110"/>
          <w:sz w:val="18"/>
        </w:rPr>
        <w:t>closer</w:t>
      </w:r>
      <w:r>
        <w:rPr>
          <w:color w:val="231F20"/>
          <w:spacing w:val="-17"/>
          <w:w w:val="110"/>
          <w:sz w:val="18"/>
        </w:rPr>
        <w:t> </w:t>
      </w:r>
      <w:r>
        <w:rPr>
          <w:color w:val="231F20"/>
          <w:w w:val="110"/>
          <w:sz w:val="18"/>
        </w:rPr>
        <w:t>towards</w:t>
      </w:r>
      <w:r>
        <w:rPr>
          <w:color w:val="231F20"/>
          <w:spacing w:val="-19"/>
          <w:w w:val="110"/>
          <w:sz w:val="18"/>
        </w:rPr>
        <w:t> </w:t>
      </w:r>
      <w:r>
        <w:rPr>
          <w:color w:val="231F20"/>
          <w:w w:val="110"/>
          <w:sz w:val="18"/>
        </w:rPr>
        <w:t>the</w:t>
      </w:r>
      <w:r>
        <w:rPr>
          <w:color w:val="231F20"/>
          <w:spacing w:val="-18"/>
          <w:w w:val="110"/>
          <w:sz w:val="18"/>
        </w:rPr>
        <w:t> </w:t>
      </w:r>
      <w:r>
        <w:rPr>
          <w:color w:val="231F20"/>
          <w:w w:val="110"/>
          <w:sz w:val="18"/>
        </w:rPr>
        <w:t>objective</w:t>
      </w:r>
      <w:r>
        <w:rPr>
          <w:color w:val="231F20"/>
          <w:spacing w:val="-18"/>
          <w:w w:val="110"/>
          <w:sz w:val="18"/>
        </w:rPr>
        <w:t> </w:t>
      </w:r>
      <w:r>
        <w:rPr>
          <w:color w:val="231F20"/>
          <w:w w:val="110"/>
          <w:sz w:val="18"/>
        </w:rPr>
        <w:t>but</w:t>
      </w:r>
      <w:r>
        <w:rPr>
          <w:color w:val="231F20"/>
          <w:spacing w:val="-17"/>
          <w:w w:val="110"/>
          <w:sz w:val="18"/>
        </w:rPr>
        <w:t> </w:t>
      </w:r>
      <w:r>
        <w:rPr>
          <w:color w:val="231F20"/>
          <w:w w:val="110"/>
          <w:sz w:val="18"/>
        </w:rPr>
        <w:t>some</w:t>
      </w:r>
      <w:r>
        <w:rPr>
          <w:color w:val="231F20"/>
          <w:spacing w:val="-18"/>
          <w:w w:val="110"/>
          <w:sz w:val="18"/>
        </w:rPr>
        <w:t> </w:t>
      </w:r>
      <w:r>
        <w:rPr>
          <w:color w:val="231F20"/>
          <w:w w:val="110"/>
          <w:sz w:val="18"/>
        </w:rPr>
        <w:t>synods</w:t>
      </w:r>
      <w:r>
        <w:rPr>
          <w:color w:val="231F20"/>
          <w:spacing w:val="-19"/>
          <w:w w:val="110"/>
          <w:sz w:val="18"/>
        </w:rPr>
        <w:t> </w:t>
      </w:r>
      <w:r>
        <w:rPr>
          <w:color w:val="231F20"/>
          <w:w w:val="110"/>
          <w:sz w:val="18"/>
        </w:rPr>
        <w:t>still</w:t>
      </w:r>
      <w:r>
        <w:rPr>
          <w:color w:val="231F20"/>
          <w:spacing w:val="-18"/>
          <w:w w:val="110"/>
          <w:sz w:val="18"/>
        </w:rPr>
        <w:t> </w:t>
      </w:r>
      <w:r>
        <w:rPr>
          <w:color w:val="231F20"/>
          <w:w w:val="110"/>
          <w:sz w:val="18"/>
        </w:rPr>
        <w:t>remain</w:t>
      </w:r>
      <w:r>
        <w:rPr>
          <w:color w:val="231F20"/>
          <w:spacing w:val="-17"/>
          <w:w w:val="110"/>
          <w:sz w:val="18"/>
        </w:rPr>
        <w:t> </w:t>
      </w:r>
      <w:r>
        <w:rPr>
          <w:color w:val="231F20"/>
          <w:w w:val="110"/>
          <w:sz w:val="18"/>
        </w:rPr>
        <w:t>to</w:t>
      </w:r>
      <w:r>
        <w:rPr>
          <w:color w:val="231F20"/>
          <w:spacing w:val="-18"/>
          <w:w w:val="110"/>
          <w:sz w:val="18"/>
        </w:rPr>
        <w:t> </w:t>
      </w:r>
      <w:r>
        <w:rPr>
          <w:color w:val="231F20"/>
          <w:w w:val="110"/>
          <w:sz w:val="18"/>
        </w:rPr>
        <w:t>be</w:t>
      </w:r>
      <w:r>
        <w:rPr>
          <w:color w:val="231F20"/>
          <w:spacing w:val="-19"/>
          <w:w w:val="110"/>
          <w:sz w:val="18"/>
        </w:rPr>
        <w:t> </w:t>
      </w:r>
      <w:r>
        <w:rPr>
          <w:color w:val="231F20"/>
          <w:w w:val="110"/>
          <w:sz w:val="18"/>
        </w:rPr>
        <w:t>convinced.</w:t>
      </w:r>
    </w:p>
    <w:p>
      <w:pPr>
        <w:pStyle w:val="BodyText"/>
        <w:spacing w:before="8"/>
        <w:rPr>
          <w:sz w:val="20"/>
        </w:rPr>
      </w:pPr>
    </w:p>
    <w:p>
      <w:pPr>
        <w:pStyle w:val="ListParagraph"/>
        <w:numPr>
          <w:ilvl w:val="2"/>
          <w:numId w:val="26"/>
        </w:numPr>
        <w:tabs>
          <w:tab w:pos="1355" w:val="left" w:leader="none"/>
        </w:tabs>
        <w:spacing w:line="273" w:lineRule="auto" w:before="0" w:after="0"/>
        <w:ind w:left="673" w:right="1484" w:firstLine="0"/>
        <w:jc w:val="left"/>
        <w:rPr>
          <w:sz w:val="18"/>
        </w:rPr>
      </w:pPr>
      <w:r>
        <w:rPr>
          <w:color w:val="231F20"/>
          <w:w w:val="110"/>
          <w:sz w:val="18"/>
        </w:rPr>
        <w:t>The Revd Martin Hazell (Thames North) and Mr </w:t>
      </w:r>
      <w:r>
        <w:rPr>
          <w:color w:val="231F20"/>
          <w:spacing w:val="2"/>
          <w:w w:val="110"/>
          <w:sz w:val="18"/>
        </w:rPr>
        <w:t>Clifford </w:t>
      </w:r>
      <w:r>
        <w:rPr>
          <w:color w:val="231F20"/>
          <w:w w:val="110"/>
          <w:sz w:val="18"/>
        </w:rPr>
        <w:t>Patten (Eastern Synod) have both stood down as representatives to the consultation </w:t>
      </w:r>
      <w:r>
        <w:rPr>
          <w:color w:val="231F20"/>
          <w:spacing w:val="2"/>
          <w:w w:val="110"/>
          <w:sz w:val="18"/>
        </w:rPr>
        <w:t>process. </w:t>
      </w:r>
      <w:r>
        <w:rPr>
          <w:color w:val="231F20"/>
          <w:w w:val="110"/>
          <w:sz w:val="18"/>
        </w:rPr>
        <w:t>Mr Hazell also </w:t>
      </w:r>
      <w:r>
        <w:rPr>
          <w:color w:val="231F20"/>
          <w:spacing w:val="2"/>
          <w:w w:val="110"/>
          <w:sz w:val="18"/>
        </w:rPr>
        <w:t>served </w:t>
      </w:r>
      <w:r>
        <w:rPr>
          <w:color w:val="231F20"/>
          <w:w w:val="110"/>
          <w:sz w:val="18"/>
        </w:rPr>
        <w:t>on the </w:t>
      </w:r>
      <w:r>
        <w:rPr>
          <w:color w:val="231F20"/>
          <w:spacing w:val="-4"/>
          <w:w w:val="110"/>
          <w:sz w:val="18"/>
        </w:rPr>
        <w:t>Task </w:t>
      </w:r>
      <w:r>
        <w:rPr>
          <w:color w:val="231F20"/>
          <w:w w:val="110"/>
          <w:sz w:val="18"/>
        </w:rPr>
        <w:t>Group. Both have made significant contributions to the whole </w:t>
      </w:r>
      <w:r>
        <w:rPr>
          <w:color w:val="231F20"/>
          <w:spacing w:val="2"/>
          <w:w w:val="110"/>
          <w:sz w:val="18"/>
        </w:rPr>
        <w:t>process </w:t>
      </w:r>
      <w:r>
        <w:rPr>
          <w:color w:val="231F20"/>
          <w:w w:val="110"/>
          <w:sz w:val="18"/>
        </w:rPr>
        <w:t>over the years and the United Reformed Church is indebted to them for their valuable </w:t>
      </w:r>
      <w:r>
        <w:rPr>
          <w:color w:val="231F20"/>
          <w:spacing w:val="2"/>
          <w:w w:val="110"/>
          <w:sz w:val="18"/>
        </w:rPr>
        <w:t>service </w:t>
      </w:r>
      <w:r>
        <w:rPr>
          <w:color w:val="231F20"/>
          <w:w w:val="110"/>
          <w:sz w:val="18"/>
        </w:rPr>
        <w:t>to    the church. Replacements will be notified in due</w:t>
      </w:r>
      <w:r>
        <w:rPr>
          <w:color w:val="231F20"/>
          <w:spacing w:val="19"/>
          <w:w w:val="110"/>
          <w:sz w:val="18"/>
        </w:rPr>
        <w:t> </w:t>
      </w:r>
      <w:r>
        <w:rPr>
          <w:color w:val="231F20"/>
          <w:w w:val="110"/>
          <w:sz w:val="18"/>
        </w:rPr>
        <w:t>course.</w:t>
      </w:r>
    </w:p>
    <w:p>
      <w:pPr>
        <w:pStyle w:val="BodyText"/>
        <w:spacing w:before="10"/>
        <w:rPr>
          <w:sz w:val="20"/>
        </w:rPr>
      </w:pPr>
    </w:p>
    <w:p>
      <w:pPr>
        <w:numPr>
          <w:ilvl w:val="1"/>
          <w:numId w:val="26"/>
        </w:numPr>
        <w:tabs>
          <w:tab w:pos="1374" w:val="left" w:leader="none"/>
          <w:tab w:pos="1376" w:val="left" w:leader="none"/>
        </w:tabs>
        <w:spacing w:before="0"/>
        <w:ind w:left="1375" w:right="0" w:hanging="703"/>
        <w:jc w:val="left"/>
        <w:rPr>
          <w:b/>
          <w:color w:val="231F20"/>
          <w:sz w:val="18"/>
        </w:rPr>
      </w:pPr>
      <w:r>
        <w:rPr>
          <w:b/>
          <w:color w:val="231F20"/>
          <w:w w:val="110"/>
          <w:sz w:val="18"/>
        </w:rPr>
        <w:t>Ethical Investment Advisory</w:t>
      </w:r>
      <w:r>
        <w:rPr>
          <w:b/>
          <w:color w:val="231F20"/>
          <w:spacing w:val="2"/>
          <w:w w:val="110"/>
          <w:sz w:val="18"/>
        </w:rPr>
        <w:t> </w:t>
      </w:r>
      <w:r>
        <w:rPr>
          <w:b/>
          <w:color w:val="231F20"/>
          <w:w w:val="110"/>
          <w:sz w:val="18"/>
        </w:rPr>
        <w:t>Group</w:t>
      </w:r>
    </w:p>
    <w:p>
      <w:pPr>
        <w:pStyle w:val="BodyText"/>
        <w:spacing w:before="2"/>
        <w:rPr>
          <w:b/>
          <w:sz w:val="23"/>
        </w:rPr>
      </w:pPr>
    </w:p>
    <w:p>
      <w:pPr>
        <w:pStyle w:val="ListParagraph"/>
        <w:numPr>
          <w:ilvl w:val="2"/>
          <w:numId w:val="26"/>
        </w:numPr>
        <w:tabs>
          <w:tab w:pos="1355" w:val="left" w:leader="none"/>
        </w:tabs>
        <w:spacing w:line="273" w:lineRule="auto" w:before="0" w:after="0"/>
        <w:ind w:left="1354" w:right="1514" w:hanging="681"/>
        <w:jc w:val="left"/>
        <w:rPr>
          <w:sz w:val="18"/>
        </w:rPr>
      </w:pPr>
      <w:r>
        <w:rPr>
          <w:color w:val="231F20"/>
          <w:spacing w:val="3"/>
          <w:w w:val="110"/>
          <w:sz w:val="18"/>
        </w:rPr>
        <w:t>As </w:t>
      </w:r>
      <w:r>
        <w:rPr>
          <w:color w:val="231F20"/>
          <w:w w:val="110"/>
          <w:sz w:val="18"/>
        </w:rPr>
        <w:t>requested by Mission Council, the Ethical Investment </w:t>
      </w:r>
      <w:r>
        <w:rPr>
          <w:color w:val="231F20"/>
          <w:spacing w:val="2"/>
          <w:w w:val="110"/>
          <w:sz w:val="18"/>
        </w:rPr>
        <w:t>Advisory </w:t>
      </w:r>
      <w:r>
        <w:rPr>
          <w:color w:val="231F20"/>
          <w:w w:val="110"/>
          <w:sz w:val="18"/>
        </w:rPr>
        <w:t>Group has  obtained information </w:t>
      </w:r>
      <w:r>
        <w:rPr>
          <w:color w:val="231F20"/>
          <w:spacing w:val="2"/>
          <w:w w:val="110"/>
          <w:sz w:val="18"/>
        </w:rPr>
        <w:t>from </w:t>
      </w:r>
      <w:r>
        <w:rPr>
          <w:color w:val="231F20"/>
          <w:w w:val="110"/>
          <w:sz w:val="18"/>
        </w:rPr>
        <w:t>Synods on the value, management and allocation of their investments, and on their current ethical policies. The </w:t>
      </w:r>
      <w:r>
        <w:rPr>
          <w:color w:val="231F20"/>
          <w:spacing w:val="2"/>
          <w:w w:val="110"/>
          <w:sz w:val="18"/>
        </w:rPr>
        <w:t>response </w:t>
      </w:r>
      <w:r>
        <w:rPr>
          <w:color w:val="231F20"/>
          <w:w w:val="110"/>
          <w:sz w:val="18"/>
        </w:rPr>
        <w:t>was good, and the results are summarized</w:t>
      </w:r>
      <w:r>
        <w:rPr>
          <w:color w:val="231F20"/>
          <w:spacing w:val="3"/>
          <w:w w:val="110"/>
          <w:sz w:val="18"/>
        </w:rPr>
        <w:t> </w:t>
      </w:r>
      <w:r>
        <w:rPr>
          <w:color w:val="231F20"/>
          <w:w w:val="110"/>
          <w:sz w:val="18"/>
        </w:rPr>
        <w:t>below.</w:t>
      </w:r>
    </w:p>
    <w:p>
      <w:pPr>
        <w:spacing w:after="0" w:line="273" w:lineRule="auto"/>
        <w:jc w:val="left"/>
        <w:rPr>
          <w:sz w:val="18"/>
        </w:rPr>
        <w:sectPr>
          <w:pgSz w:w="11910" w:h="16840"/>
          <w:pgMar w:header="581" w:footer="464" w:top="860" w:bottom="740" w:left="460" w:right="0"/>
        </w:sectPr>
      </w:pPr>
    </w:p>
    <w:p>
      <w:pPr>
        <w:pStyle w:val="BodyText"/>
        <w:spacing w:before="10"/>
        <w:rPr>
          <w:sz w:val="11"/>
        </w:rPr>
      </w:pPr>
    </w:p>
    <w:p>
      <w:pPr>
        <w:pStyle w:val="ListParagraph"/>
        <w:numPr>
          <w:ilvl w:val="2"/>
          <w:numId w:val="26"/>
        </w:numPr>
        <w:tabs>
          <w:tab w:pos="1921" w:val="left" w:leader="none"/>
        </w:tabs>
        <w:spacing w:line="273" w:lineRule="auto" w:before="101" w:after="0"/>
        <w:ind w:left="1921" w:right="1214" w:hanging="681"/>
        <w:jc w:val="left"/>
        <w:rPr>
          <w:sz w:val="18"/>
        </w:rPr>
      </w:pPr>
      <w:r>
        <w:rPr>
          <w:color w:val="231F20"/>
          <w:w w:val="110"/>
          <w:sz w:val="18"/>
        </w:rPr>
        <w:t>Synod investments totalled </w:t>
      </w:r>
      <w:r>
        <w:rPr>
          <w:color w:val="231F20"/>
          <w:spacing w:val="-3"/>
          <w:w w:val="110"/>
          <w:sz w:val="18"/>
        </w:rPr>
        <w:t>over </w:t>
      </w:r>
      <w:r>
        <w:rPr>
          <w:color w:val="231F20"/>
          <w:spacing w:val="-5"/>
          <w:w w:val="110"/>
          <w:sz w:val="18"/>
        </w:rPr>
        <w:t>£63m; </w:t>
      </w:r>
      <w:r>
        <w:rPr>
          <w:color w:val="231F20"/>
          <w:w w:val="110"/>
          <w:sz w:val="18"/>
        </w:rPr>
        <w:t>in addition, the United Reformed Church </w:t>
      </w:r>
      <w:r>
        <w:rPr>
          <w:color w:val="231F20"/>
          <w:spacing w:val="-3"/>
          <w:w w:val="110"/>
          <w:sz w:val="18"/>
        </w:rPr>
        <w:t>Trust </w:t>
      </w:r>
      <w:r>
        <w:rPr>
          <w:color w:val="231F20"/>
          <w:w w:val="110"/>
          <w:sz w:val="18"/>
        </w:rPr>
        <w:t>had £20m invested, and the Ministers’ Pension Fund </w:t>
      </w:r>
      <w:r>
        <w:rPr>
          <w:color w:val="231F20"/>
          <w:spacing w:val="-4"/>
          <w:w w:val="110"/>
          <w:sz w:val="18"/>
        </w:rPr>
        <w:t>£72m. </w:t>
      </w:r>
      <w:r>
        <w:rPr>
          <w:color w:val="231F20"/>
          <w:w w:val="110"/>
          <w:sz w:val="18"/>
        </w:rPr>
        <w:t>Seven Synods, with investments totalling </w:t>
      </w:r>
      <w:r>
        <w:rPr>
          <w:color w:val="231F20"/>
          <w:spacing w:val="-3"/>
          <w:w w:val="110"/>
          <w:sz w:val="18"/>
        </w:rPr>
        <w:t>£44m, </w:t>
      </w:r>
      <w:r>
        <w:rPr>
          <w:color w:val="231F20"/>
          <w:w w:val="110"/>
          <w:sz w:val="18"/>
        </w:rPr>
        <w:t>invest entirely through charity-pooled investment funds, such as CCLA’s Charities Investment </w:t>
      </w:r>
      <w:r>
        <w:rPr>
          <w:color w:val="231F20"/>
          <w:spacing w:val="-3"/>
          <w:w w:val="110"/>
          <w:sz w:val="18"/>
        </w:rPr>
        <w:t>Fund, </w:t>
      </w:r>
      <w:r>
        <w:rPr>
          <w:color w:val="231F20"/>
          <w:w w:val="110"/>
          <w:sz w:val="18"/>
        </w:rPr>
        <w:t>Epworth’s Affirmative Equity Fund and </w:t>
      </w:r>
      <w:r>
        <w:rPr>
          <w:color w:val="231F20"/>
          <w:spacing w:val="-3"/>
          <w:w w:val="110"/>
          <w:sz w:val="18"/>
        </w:rPr>
        <w:t>M&amp;G’s </w:t>
      </w:r>
      <w:r>
        <w:rPr>
          <w:color w:val="231F20"/>
          <w:w w:val="110"/>
          <w:sz w:val="18"/>
        </w:rPr>
        <w:t>Charifund. The ethical policies of these funds are published, and are monitored by the investment committees of the United Reformed Church </w:t>
      </w:r>
      <w:r>
        <w:rPr>
          <w:color w:val="231F20"/>
          <w:spacing w:val="-3"/>
          <w:w w:val="110"/>
          <w:sz w:val="18"/>
        </w:rPr>
        <w:t>Trust </w:t>
      </w:r>
      <w:r>
        <w:rPr>
          <w:color w:val="231F20"/>
          <w:w w:val="110"/>
          <w:sz w:val="18"/>
        </w:rPr>
        <w:t>and Synods. Six Synods invest about £20m directly via stockbroker</w:t>
      </w:r>
      <w:r>
        <w:rPr>
          <w:color w:val="231F20"/>
          <w:spacing w:val="-22"/>
          <w:w w:val="110"/>
          <w:sz w:val="18"/>
        </w:rPr>
        <w:t> </w:t>
      </w:r>
      <w:r>
        <w:rPr>
          <w:color w:val="231F20"/>
          <w:w w:val="110"/>
          <w:sz w:val="18"/>
        </w:rPr>
        <w:t>managers.</w:t>
      </w:r>
    </w:p>
    <w:p>
      <w:pPr>
        <w:pStyle w:val="BodyText"/>
        <w:spacing w:line="273" w:lineRule="auto" w:before="4"/>
        <w:ind w:left="1921" w:right="1207"/>
      </w:pPr>
      <w:r>
        <w:rPr>
          <w:color w:val="231F20"/>
          <w:w w:val="110"/>
        </w:rPr>
        <w:t>For them, the ethical policy has to be agreed with the manager, and monitored more regularly. Most of these Synods have agreed policies in line with Assembly guidance; we noted that the policy of Northern Synod is more permissive, and that its investments were particularly wide-ranging.</w:t>
      </w:r>
    </w:p>
    <w:p>
      <w:pPr>
        <w:pStyle w:val="BodyText"/>
        <w:spacing w:before="9"/>
        <w:rPr>
          <w:sz w:val="20"/>
        </w:rPr>
      </w:pPr>
    </w:p>
    <w:p>
      <w:pPr>
        <w:pStyle w:val="ListParagraph"/>
        <w:numPr>
          <w:ilvl w:val="2"/>
          <w:numId w:val="26"/>
        </w:numPr>
        <w:tabs>
          <w:tab w:pos="1922" w:val="left" w:leader="none"/>
        </w:tabs>
        <w:spacing w:line="273" w:lineRule="auto" w:before="0" w:after="0"/>
        <w:ind w:left="1921" w:right="1189" w:hanging="681"/>
        <w:jc w:val="left"/>
        <w:rPr>
          <w:sz w:val="18"/>
        </w:rPr>
      </w:pPr>
      <w:r>
        <w:rPr>
          <w:color w:val="231F20"/>
          <w:w w:val="110"/>
          <w:sz w:val="18"/>
        </w:rPr>
        <w:t>In March 2006, Mission Council asked EIAG to explore the possibility of extending the scope of the United Reformed Church’s ethical investment guidelines, to include the impact of a company’s behaviour among the </w:t>
      </w:r>
      <w:r>
        <w:rPr>
          <w:color w:val="231F20"/>
          <w:spacing w:val="2"/>
          <w:w w:val="110"/>
          <w:sz w:val="18"/>
        </w:rPr>
        <w:t>factors </w:t>
      </w:r>
      <w:r>
        <w:rPr>
          <w:color w:val="231F20"/>
          <w:w w:val="110"/>
          <w:sz w:val="18"/>
        </w:rPr>
        <w:t>to be considered by United Reformed Church investors. This would be a substantial piece of work and the Group has been exploring the possibility of undertaking it jointly with colleague denominations. Discussions are</w:t>
      </w:r>
      <w:r>
        <w:rPr>
          <w:color w:val="231F20"/>
          <w:spacing w:val="10"/>
          <w:w w:val="110"/>
          <w:sz w:val="18"/>
        </w:rPr>
        <w:t> </w:t>
      </w:r>
      <w:r>
        <w:rPr>
          <w:color w:val="231F20"/>
          <w:w w:val="110"/>
          <w:sz w:val="18"/>
        </w:rPr>
        <w:t>continuing.</w:t>
      </w:r>
    </w:p>
    <w:p>
      <w:pPr>
        <w:pStyle w:val="BodyText"/>
        <w:spacing w:before="11"/>
        <w:rPr>
          <w:sz w:val="20"/>
        </w:rPr>
      </w:pPr>
    </w:p>
    <w:p>
      <w:pPr>
        <w:pStyle w:val="ListParagraph"/>
        <w:numPr>
          <w:ilvl w:val="2"/>
          <w:numId w:val="26"/>
        </w:numPr>
        <w:tabs>
          <w:tab w:pos="1922" w:val="left" w:leader="none"/>
        </w:tabs>
        <w:spacing w:line="273" w:lineRule="auto" w:before="0" w:after="0"/>
        <w:ind w:left="1921" w:right="1314" w:hanging="681"/>
        <w:jc w:val="left"/>
        <w:rPr>
          <w:sz w:val="18"/>
        </w:rPr>
      </w:pPr>
      <w:r>
        <w:rPr>
          <w:color w:val="231F20"/>
          <w:w w:val="110"/>
          <w:sz w:val="18"/>
        </w:rPr>
        <w:t>During the </w:t>
      </w:r>
      <w:r>
        <w:rPr>
          <w:color w:val="231F20"/>
          <w:spacing w:val="-4"/>
          <w:w w:val="110"/>
          <w:sz w:val="18"/>
        </w:rPr>
        <w:t>year, </w:t>
      </w:r>
      <w:r>
        <w:rPr>
          <w:color w:val="231F20"/>
          <w:w w:val="110"/>
          <w:sz w:val="18"/>
        </w:rPr>
        <w:t>the Church Investors Group, in which the United Reformed Church is active, wrote to British Airways expressing its concern that a Christian employee had been </w:t>
      </w:r>
      <w:r>
        <w:rPr>
          <w:color w:val="231F20"/>
          <w:spacing w:val="2"/>
          <w:w w:val="110"/>
          <w:sz w:val="18"/>
        </w:rPr>
        <w:t>refused </w:t>
      </w:r>
      <w:r>
        <w:rPr>
          <w:color w:val="231F20"/>
          <w:w w:val="110"/>
          <w:sz w:val="18"/>
        </w:rPr>
        <w:t>permission to wear a </w:t>
      </w:r>
      <w:r>
        <w:rPr>
          <w:color w:val="231F20"/>
          <w:spacing w:val="2"/>
          <w:w w:val="110"/>
          <w:sz w:val="18"/>
        </w:rPr>
        <w:t>cross </w:t>
      </w:r>
      <w:r>
        <w:rPr>
          <w:color w:val="231F20"/>
          <w:w w:val="110"/>
          <w:sz w:val="18"/>
        </w:rPr>
        <w:t>at work; CIG noted that the publicity arising could adversely </w:t>
      </w:r>
      <w:r>
        <w:rPr>
          <w:color w:val="231F20"/>
          <w:spacing w:val="3"/>
          <w:w w:val="110"/>
          <w:sz w:val="18"/>
        </w:rPr>
        <w:t>affect </w:t>
      </w:r>
      <w:r>
        <w:rPr>
          <w:color w:val="231F20"/>
          <w:w w:val="110"/>
          <w:sz w:val="18"/>
        </w:rPr>
        <w:t>share values. The United Reformed Church added its name to the letter, and the Ethical Investment </w:t>
      </w:r>
      <w:r>
        <w:rPr>
          <w:color w:val="231F20"/>
          <w:spacing w:val="2"/>
          <w:w w:val="110"/>
          <w:sz w:val="18"/>
        </w:rPr>
        <w:t>Advisory </w:t>
      </w:r>
      <w:r>
        <w:rPr>
          <w:color w:val="231F20"/>
          <w:w w:val="110"/>
          <w:sz w:val="18"/>
        </w:rPr>
        <w:t>Group welcomed the Church Investors Group</w:t>
      </w:r>
      <w:r>
        <w:rPr>
          <w:color w:val="231F20"/>
          <w:spacing w:val="11"/>
          <w:w w:val="110"/>
          <w:sz w:val="18"/>
        </w:rPr>
        <w:t> </w:t>
      </w:r>
      <w:r>
        <w:rPr>
          <w:color w:val="231F20"/>
          <w:w w:val="110"/>
          <w:sz w:val="18"/>
        </w:rPr>
        <w:t>initiative.</w:t>
      </w:r>
    </w:p>
    <w:p>
      <w:pPr>
        <w:pStyle w:val="BodyText"/>
        <w:spacing w:before="10"/>
        <w:rPr>
          <w:sz w:val="20"/>
        </w:rPr>
      </w:pPr>
    </w:p>
    <w:p>
      <w:pPr>
        <w:numPr>
          <w:ilvl w:val="1"/>
          <w:numId w:val="26"/>
        </w:numPr>
        <w:tabs>
          <w:tab w:pos="1960" w:val="left" w:leader="none"/>
          <w:tab w:pos="1961" w:val="left" w:leader="none"/>
        </w:tabs>
        <w:spacing w:before="1"/>
        <w:ind w:left="1960" w:right="0" w:hanging="721"/>
        <w:jc w:val="left"/>
        <w:rPr>
          <w:b/>
          <w:color w:val="231F20"/>
          <w:sz w:val="18"/>
        </w:rPr>
      </w:pPr>
      <w:r>
        <w:rPr>
          <w:b/>
          <w:color w:val="231F20"/>
          <w:spacing w:val="2"/>
          <w:w w:val="110"/>
          <w:sz w:val="18"/>
        </w:rPr>
        <w:t>Section </w:t>
      </w:r>
      <w:r>
        <w:rPr>
          <w:b/>
          <w:color w:val="231F20"/>
          <w:w w:val="110"/>
          <w:sz w:val="18"/>
        </w:rPr>
        <w:t>O Advisory</w:t>
      </w:r>
      <w:r>
        <w:rPr>
          <w:b/>
          <w:color w:val="231F20"/>
          <w:spacing w:val="-1"/>
          <w:w w:val="110"/>
          <w:sz w:val="18"/>
        </w:rPr>
        <w:t> </w:t>
      </w:r>
      <w:r>
        <w:rPr>
          <w:b/>
          <w:color w:val="231F20"/>
          <w:w w:val="110"/>
          <w:sz w:val="18"/>
        </w:rPr>
        <w:t>Group</w:t>
      </w:r>
    </w:p>
    <w:p>
      <w:pPr>
        <w:pStyle w:val="BodyText"/>
        <w:spacing w:before="1"/>
        <w:rPr>
          <w:b/>
          <w:sz w:val="23"/>
        </w:rPr>
      </w:pPr>
    </w:p>
    <w:p>
      <w:pPr>
        <w:pStyle w:val="ListParagraph"/>
        <w:numPr>
          <w:ilvl w:val="2"/>
          <w:numId w:val="26"/>
        </w:numPr>
        <w:tabs>
          <w:tab w:pos="1922" w:val="left" w:leader="none"/>
        </w:tabs>
        <w:spacing w:line="273" w:lineRule="auto" w:before="0" w:after="0"/>
        <w:ind w:left="1921" w:right="1219" w:hanging="681"/>
        <w:jc w:val="left"/>
        <w:rPr>
          <w:sz w:val="18"/>
        </w:rPr>
      </w:pPr>
      <w:r>
        <w:rPr>
          <w:color w:val="231F20"/>
          <w:w w:val="110"/>
          <w:sz w:val="18"/>
        </w:rPr>
        <w:t>The </w:t>
      </w:r>
      <w:r>
        <w:rPr>
          <w:color w:val="231F20"/>
          <w:spacing w:val="2"/>
          <w:w w:val="110"/>
          <w:sz w:val="18"/>
        </w:rPr>
        <w:t>Advisory </w:t>
      </w:r>
      <w:r>
        <w:rPr>
          <w:color w:val="231F20"/>
          <w:w w:val="110"/>
          <w:sz w:val="18"/>
        </w:rPr>
        <w:t>Group continues to review the Ministerial Disciplinary </w:t>
      </w:r>
      <w:r>
        <w:rPr>
          <w:color w:val="231F20"/>
          <w:spacing w:val="2"/>
          <w:w w:val="110"/>
          <w:sz w:val="18"/>
        </w:rPr>
        <w:t>Process </w:t>
      </w:r>
      <w:r>
        <w:rPr>
          <w:color w:val="231F20"/>
          <w:w w:val="110"/>
          <w:sz w:val="18"/>
        </w:rPr>
        <w:t>in    the light of experience. The </w:t>
      </w:r>
      <w:r>
        <w:rPr>
          <w:color w:val="231F20"/>
          <w:spacing w:val="2"/>
          <w:w w:val="110"/>
          <w:sz w:val="18"/>
        </w:rPr>
        <w:t>Process </w:t>
      </w:r>
      <w:r>
        <w:rPr>
          <w:color w:val="231F20"/>
          <w:w w:val="110"/>
          <w:sz w:val="18"/>
        </w:rPr>
        <w:t>is necessarily complex and detailed but we seek to do what can be done to help those who have the unenviable task of using it. The Group realises how much the Church owes to those who accept such responsibilities.</w:t>
      </w:r>
      <w:r>
        <w:rPr>
          <w:color w:val="231F20"/>
          <w:spacing w:val="12"/>
          <w:w w:val="110"/>
          <w:sz w:val="18"/>
        </w:rPr>
        <w:t> </w:t>
      </w:r>
      <w:r>
        <w:rPr>
          <w:color w:val="231F20"/>
          <w:spacing w:val="-3"/>
          <w:w w:val="110"/>
          <w:sz w:val="18"/>
        </w:rPr>
        <w:t>We</w:t>
      </w:r>
      <w:r>
        <w:rPr>
          <w:color w:val="231F20"/>
          <w:spacing w:val="12"/>
          <w:w w:val="110"/>
          <w:sz w:val="18"/>
        </w:rPr>
        <w:t> </w:t>
      </w:r>
      <w:r>
        <w:rPr>
          <w:color w:val="231F20"/>
          <w:w w:val="110"/>
          <w:sz w:val="18"/>
        </w:rPr>
        <w:t>both</w:t>
      </w:r>
      <w:r>
        <w:rPr>
          <w:color w:val="231F20"/>
          <w:spacing w:val="12"/>
          <w:w w:val="110"/>
          <w:sz w:val="18"/>
        </w:rPr>
        <w:t> </w:t>
      </w:r>
      <w:r>
        <w:rPr>
          <w:color w:val="231F20"/>
          <w:w w:val="110"/>
          <w:sz w:val="18"/>
        </w:rPr>
        <w:t>recognise</w:t>
      </w:r>
      <w:r>
        <w:rPr>
          <w:color w:val="231F20"/>
          <w:spacing w:val="12"/>
          <w:w w:val="110"/>
          <w:sz w:val="18"/>
        </w:rPr>
        <w:t> </w:t>
      </w:r>
      <w:r>
        <w:rPr>
          <w:color w:val="231F20"/>
          <w:w w:val="110"/>
          <w:sz w:val="18"/>
        </w:rPr>
        <w:t>and</w:t>
      </w:r>
      <w:r>
        <w:rPr>
          <w:color w:val="231F20"/>
          <w:spacing w:val="12"/>
          <w:w w:val="110"/>
          <w:sz w:val="18"/>
        </w:rPr>
        <w:t> </w:t>
      </w:r>
      <w:r>
        <w:rPr>
          <w:color w:val="231F20"/>
          <w:w w:val="110"/>
          <w:sz w:val="18"/>
        </w:rPr>
        <w:t>emphasise</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constraints</w:t>
      </w:r>
      <w:r>
        <w:rPr>
          <w:color w:val="231F20"/>
          <w:spacing w:val="12"/>
          <w:w w:val="110"/>
          <w:sz w:val="18"/>
        </w:rPr>
        <w:t> </w:t>
      </w:r>
      <w:r>
        <w:rPr>
          <w:color w:val="231F20"/>
          <w:w w:val="110"/>
          <w:sz w:val="18"/>
        </w:rPr>
        <w:t>imposed</w:t>
      </w:r>
      <w:r>
        <w:rPr>
          <w:color w:val="231F20"/>
          <w:spacing w:val="12"/>
          <w:w w:val="110"/>
          <w:sz w:val="18"/>
        </w:rPr>
        <w:t> </w:t>
      </w:r>
      <w:r>
        <w:rPr>
          <w:color w:val="231F20"/>
          <w:w w:val="110"/>
          <w:sz w:val="18"/>
        </w:rPr>
        <w:t>on</w:t>
      </w:r>
    </w:p>
    <w:p>
      <w:pPr>
        <w:pStyle w:val="BodyText"/>
        <w:spacing w:before="3"/>
        <w:ind w:left="1921"/>
      </w:pPr>
      <w:r>
        <w:rPr>
          <w:color w:val="231F20"/>
          <w:w w:val="110"/>
        </w:rPr>
        <w:t>all concerned by the need for complete confidentiality.</w:t>
      </w:r>
    </w:p>
    <w:p>
      <w:pPr>
        <w:pStyle w:val="BodyText"/>
        <w:spacing w:before="2"/>
        <w:rPr>
          <w:sz w:val="23"/>
        </w:rPr>
      </w:pPr>
    </w:p>
    <w:p>
      <w:pPr>
        <w:pStyle w:val="ListParagraph"/>
        <w:numPr>
          <w:ilvl w:val="2"/>
          <w:numId w:val="26"/>
        </w:numPr>
        <w:tabs>
          <w:tab w:pos="1922" w:val="left" w:leader="none"/>
        </w:tabs>
        <w:spacing w:line="273" w:lineRule="auto" w:before="0" w:after="0"/>
        <w:ind w:left="1921" w:right="1417" w:hanging="681"/>
        <w:jc w:val="left"/>
        <w:rPr>
          <w:sz w:val="18"/>
        </w:rPr>
      </w:pPr>
      <w:r>
        <w:rPr>
          <w:color w:val="231F20"/>
          <w:spacing w:val="-3"/>
          <w:w w:val="110"/>
          <w:sz w:val="18"/>
        </w:rPr>
        <w:t>We </w:t>
      </w:r>
      <w:r>
        <w:rPr>
          <w:color w:val="231F20"/>
          <w:w w:val="110"/>
          <w:sz w:val="18"/>
        </w:rPr>
        <w:t>have been happy to welcome </w:t>
      </w:r>
      <w:r>
        <w:rPr>
          <w:color w:val="231F20"/>
          <w:spacing w:val="2"/>
          <w:w w:val="110"/>
          <w:sz w:val="18"/>
        </w:rPr>
        <w:t>Mrs </w:t>
      </w:r>
      <w:r>
        <w:rPr>
          <w:color w:val="231F20"/>
          <w:w w:val="110"/>
          <w:sz w:val="18"/>
        </w:rPr>
        <w:t>Wilma Frew as </w:t>
      </w:r>
      <w:r>
        <w:rPr>
          <w:color w:val="231F20"/>
          <w:spacing w:val="3"/>
          <w:w w:val="110"/>
          <w:sz w:val="18"/>
        </w:rPr>
        <w:t>Secretary </w:t>
      </w:r>
      <w:r>
        <w:rPr>
          <w:color w:val="231F20"/>
          <w:w w:val="110"/>
          <w:sz w:val="18"/>
        </w:rPr>
        <w:t>of the Assembly Commission.</w:t>
      </w:r>
    </w:p>
    <w:p>
      <w:pPr>
        <w:pStyle w:val="BodyText"/>
        <w:spacing w:before="8"/>
        <w:rPr>
          <w:sz w:val="20"/>
        </w:rPr>
      </w:pPr>
    </w:p>
    <w:p>
      <w:pPr>
        <w:pStyle w:val="ListParagraph"/>
        <w:numPr>
          <w:ilvl w:val="2"/>
          <w:numId w:val="26"/>
        </w:numPr>
        <w:tabs>
          <w:tab w:pos="1922" w:val="left" w:leader="none"/>
        </w:tabs>
        <w:spacing w:line="273" w:lineRule="auto" w:before="0" w:after="0"/>
        <w:ind w:left="1921" w:right="1518" w:hanging="681"/>
        <w:jc w:val="left"/>
        <w:rPr>
          <w:sz w:val="18"/>
        </w:rPr>
      </w:pPr>
      <w:r>
        <w:rPr>
          <w:color w:val="231F20"/>
          <w:spacing w:val="-3"/>
          <w:w w:val="110"/>
          <w:sz w:val="18"/>
        </w:rPr>
        <w:t>We </w:t>
      </w:r>
      <w:r>
        <w:rPr>
          <w:color w:val="231F20"/>
          <w:w w:val="110"/>
          <w:sz w:val="18"/>
        </w:rPr>
        <w:t>are grateful to Mr Hartley Oldham for remaining a member of the Group, accepting a continuing responsibility for the training of those who operate the </w:t>
      </w:r>
      <w:r>
        <w:rPr>
          <w:color w:val="231F20"/>
          <w:spacing w:val="2"/>
          <w:w w:val="110"/>
          <w:sz w:val="18"/>
        </w:rPr>
        <w:t>Process. </w:t>
      </w:r>
      <w:r>
        <w:rPr>
          <w:color w:val="231F20"/>
          <w:spacing w:val="-3"/>
          <w:w w:val="110"/>
          <w:sz w:val="18"/>
        </w:rPr>
        <w:t>We </w:t>
      </w:r>
      <w:r>
        <w:rPr>
          <w:color w:val="231F20"/>
          <w:w w:val="110"/>
          <w:sz w:val="18"/>
        </w:rPr>
        <w:t>are about to undertake a major review of training for </w:t>
      </w:r>
      <w:r>
        <w:rPr>
          <w:color w:val="231F20"/>
          <w:spacing w:val="2"/>
          <w:w w:val="110"/>
          <w:sz w:val="18"/>
        </w:rPr>
        <w:t>members </w:t>
      </w:r>
      <w:r>
        <w:rPr>
          <w:color w:val="231F20"/>
          <w:w w:val="110"/>
          <w:sz w:val="18"/>
        </w:rPr>
        <w:t>of Mandated Groups and the Assembly</w:t>
      </w:r>
      <w:r>
        <w:rPr>
          <w:color w:val="231F20"/>
          <w:spacing w:val="12"/>
          <w:w w:val="110"/>
          <w:sz w:val="18"/>
        </w:rPr>
        <w:t> </w:t>
      </w:r>
      <w:r>
        <w:rPr>
          <w:color w:val="231F20"/>
          <w:w w:val="110"/>
          <w:sz w:val="18"/>
        </w:rPr>
        <w:t>Commission.</w:t>
      </w:r>
    </w:p>
    <w:p>
      <w:pPr>
        <w:pStyle w:val="BodyText"/>
        <w:spacing w:before="9"/>
        <w:rPr>
          <w:sz w:val="20"/>
        </w:rPr>
      </w:pPr>
    </w:p>
    <w:p>
      <w:pPr>
        <w:pStyle w:val="ListParagraph"/>
        <w:numPr>
          <w:ilvl w:val="2"/>
          <w:numId w:val="26"/>
        </w:numPr>
        <w:tabs>
          <w:tab w:pos="1922" w:val="left" w:leader="none"/>
        </w:tabs>
        <w:spacing w:line="273" w:lineRule="auto" w:before="1" w:after="0"/>
        <w:ind w:left="1921" w:right="1142" w:hanging="681"/>
        <w:jc w:val="left"/>
        <w:rPr>
          <w:sz w:val="18"/>
        </w:rPr>
      </w:pPr>
      <w:r>
        <w:rPr>
          <w:color w:val="231F20"/>
          <w:w w:val="110"/>
          <w:sz w:val="18"/>
        </w:rPr>
        <w:t>In the light of the Resolution concerning Church Related Community Workers </w:t>
      </w:r>
      <w:r>
        <w:rPr>
          <w:color w:val="231F20"/>
          <w:spacing w:val="-4"/>
          <w:w w:val="110"/>
          <w:sz w:val="18"/>
        </w:rPr>
        <w:t>(CRCWs) </w:t>
      </w:r>
      <w:r>
        <w:rPr>
          <w:color w:val="231F20"/>
          <w:spacing w:val="2"/>
          <w:w w:val="110"/>
          <w:sz w:val="18"/>
        </w:rPr>
        <w:t>passed </w:t>
      </w:r>
      <w:r>
        <w:rPr>
          <w:color w:val="231F20"/>
          <w:w w:val="110"/>
          <w:sz w:val="18"/>
        </w:rPr>
        <w:t>at General Assembly in 2002 and ratified in 2003 we are bringing resolutions which will bring Church Related Community Workers under the provisions of </w:t>
      </w:r>
      <w:r>
        <w:rPr>
          <w:color w:val="231F20"/>
          <w:spacing w:val="2"/>
          <w:w w:val="110"/>
          <w:sz w:val="18"/>
        </w:rPr>
        <w:t>Section</w:t>
      </w:r>
      <w:r>
        <w:rPr>
          <w:color w:val="231F20"/>
          <w:spacing w:val="3"/>
          <w:w w:val="110"/>
          <w:sz w:val="18"/>
        </w:rPr>
        <w:t> </w:t>
      </w:r>
      <w:r>
        <w:rPr>
          <w:color w:val="231F20"/>
          <w:spacing w:val="-4"/>
          <w:w w:val="110"/>
          <w:sz w:val="18"/>
        </w:rPr>
        <w:t>O.</w:t>
      </w:r>
    </w:p>
    <w:p>
      <w:pPr>
        <w:pStyle w:val="BodyText"/>
        <w:spacing w:before="9"/>
        <w:rPr>
          <w:sz w:val="20"/>
        </w:rPr>
      </w:pPr>
    </w:p>
    <w:p>
      <w:pPr>
        <w:pStyle w:val="ListParagraph"/>
        <w:numPr>
          <w:ilvl w:val="2"/>
          <w:numId w:val="26"/>
        </w:numPr>
        <w:tabs>
          <w:tab w:pos="1922" w:val="left" w:leader="none"/>
        </w:tabs>
        <w:spacing w:line="273" w:lineRule="auto" w:before="0" w:after="0"/>
        <w:ind w:left="1921" w:right="1183" w:hanging="681"/>
        <w:jc w:val="left"/>
        <w:rPr>
          <w:sz w:val="18"/>
        </w:rPr>
      </w:pPr>
      <w:r>
        <w:rPr>
          <w:color w:val="231F20"/>
          <w:w w:val="110"/>
          <w:sz w:val="18"/>
        </w:rPr>
        <w:t>Assembly asked the Group to prepare a separate Ministerial Incapacity Procedure </w:t>
      </w:r>
      <w:r>
        <w:rPr>
          <w:color w:val="231F20"/>
          <w:spacing w:val="-5"/>
          <w:w w:val="110"/>
          <w:sz w:val="18"/>
        </w:rPr>
        <w:t>(MIP), </w:t>
      </w:r>
      <w:r>
        <w:rPr>
          <w:color w:val="231F20"/>
          <w:w w:val="110"/>
          <w:sz w:val="18"/>
        </w:rPr>
        <w:t>and we emphasise that such a Procedure should not be seen in any sense  as disciplinary. Assembly in 2006 </w:t>
      </w:r>
      <w:r>
        <w:rPr>
          <w:color w:val="231F20"/>
          <w:spacing w:val="2"/>
          <w:w w:val="110"/>
          <w:sz w:val="18"/>
        </w:rPr>
        <w:t>referred </w:t>
      </w:r>
      <w:r>
        <w:rPr>
          <w:color w:val="231F20"/>
          <w:w w:val="110"/>
          <w:sz w:val="18"/>
        </w:rPr>
        <w:t>our proposals back to the Group and through </w:t>
      </w:r>
      <w:r>
        <w:rPr>
          <w:i/>
          <w:color w:val="231F20"/>
          <w:w w:val="110"/>
          <w:sz w:val="18"/>
        </w:rPr>
        <w:t>Reform </w:t>
      </w:r>
      <w:r>
        <w:rPr>
          <w:color w:val="231F20"/>
          <w:w w:val="110"/>
          <w:sz w:val="18"/>
        </w:rPr>
        <w:t>we sought wider views about areas of concern. In the event we received </w:t>
      </w:r>
      <w:r>
        <w:rPr>
          <w:color w:val="231F20"/>
          <w:spacing w:val="2"/>
          <w:w w:val="110"/>
          <w:sz w:val="18"/>
        </w:rPr>
        <w:t>very </w:t>
      </w:r>
      <w:r>
        <w:rPr>
          <w:color w:val="231F20"/>
          <w:w w:val="110"/>
          <w:sz w:val="18"/>
        </w:rPr>
        <w:t>few representations but have been able to take into account points made to us.  </w:t>
      </w:r>
      <w:r>
        <w:rPr>
          <w:color w:val="231F20"/>
          <w:spacing w:val="-3"/>
          <w:w w:val="110"/>
          <w:sz w:val="18"/>
        </w:rPr>
        <w:t>We </w:t>
      </w:r>
      <w:r>
        <w:rPr>
          <w:color w:val="231F20"/>
          <w:w w:val="110"/>
          <w:sz w:val="18"/>
        </w:rPr>
        <w:t>have also made the </w:t>
      </w:r>
      <w:r>
        <w:rPr>
          <w:color w:val="231F20"/>
          <w:spacing w:val="2"/>
          <w:w w:val="110"/>
          <w:sz w:val="18"/>
        </w:rPr>
        <w:t>necessary </w:t>
      </w:r>
      <w:r>
        <w:rPr>
          <w:color w:val="231F20"/>
          <w:w w:val="110"/>
          <w:sz w:val="18"/>
        </w:rPr>
        <w:t>changes to bring CRCWs under  the provisions of the</w:t>
      </w:r>
      <w:r>
        <w:rPr>
          <w:color w:val="231F20"/>
          <w:spacing w:val="4"/>
          <w:w w:val="110"/>
          <w:sz w:val="18"/>
        </w:rPr>
        <w:t> </w:t>
      </w:r>
      <w:r>
        <w:rPr>
          <w:color w:val="231F20"/>
          <w:spacing w:val="-7"/>
          <w:w w:val="110"/>
          <w:sz w:val="18"/>
        </w:rPr>
        <w:t>MIP.</w:t>
      </w:r>
    </w:p>
    <w:p>
      <w:pPr>
        <w:pStyle w:val="BodyText"/>
        <w:spacing w:before="11"/>
        <w:rPr>
          <w:sz w:val="20"/>
        </w:rPr>
      </w:pPr>
    </w:p>
    <w:p>
      <w:pPr>
        <w:pStyle w:val="ListParagraph"/>
        <w:numPr>
          <w:ilvl w:val="2"/>
          <w:numId w:val="26"/>
        </w:numPr>
        <w:tabs>
          <w:tab w:pos="1922" w:val="left" w:leader="none"/>
        </w:tabs>
        <w:spacing w:line="273" w:lineRule="auto" w:before="0" w:after="0"/>
        <w:ind w:left="1921" w:right="1482" w:hanging="681"/>
        <w:jc w:val="left"/>
        <w:rPr>
          <w:sz w:val="18"/>
        </w:rPr>
      </w:pPr>
      <w:r>
        <w:rPr>
          <w:color w:val="231F20"/>
          <w:w w:val="110"/>
          <w:sz w:val="18"/>
        </w:rPr>
        <w:t>The MIP is needed so that the Church can address a situation where a minister or CRCW can no longer exercise ministry on account of </w:t>
      </w:r>
      <w:r>
        <w:rPr>
          <w:color w:val="231F20"/>
          <w:spacing w:val="-3"/>
          <w:w w:val="110"/>
          <w:sz w:val="18"/>
          <w:u w:val="single" w:color="231F20"/>
        </w:rPr>
        <w:t>i) </w:t>
      </w:r>
      <w:r>
        <w:rPr>
          <w:color w:val="231F20"/>
          <w:w w:val="110"/>
          <w:sz w:val="18"/>
          <w:u w:val="single" w:color="231F20"/>
        </w:rPr>
        <w:t>medical and/or psychiatric illness and/or ii) psychological disorder and/or iii) addiction</w:t>
      </w:r>
      <w:r>
        <w:rPr>
          <w:color w:val="231F20"/>
          <w:w w:val="110"/>
          <w:sz w:val="18"/>
        </w:rPr>
        <w:t> but</w:t>
      </w:r>
      <w:r>
        <w:rPr>
          <w:color w:val="231F20"/>
          <w:spacing w:val="12"/>
          <w:w w:val="110"/>
          <w:sz w:val="18"/>
        </w:rPr>
        <w:t> </w:t>
      </w:r>
      <w:r>
        <w:rPr>
          <w:color w:val="231F20"/>
          <w:w w:val="110"/>
          <w:sz w:val="18"/>
        </w:rPr>
        <w:t>is</w:t>
      </w:r>
    </w:p>
    <w:p>
      <w:pPr>
        <w:spacing w:after="0" w:line="273" w:lineRule="auto"/>
        <w:jc w:val="left"/>
        <w:rPr>
          <w:sz w:val="18"/>
        </w:rPr>
        <w:sectPr>
          <w:pgSz w:w="11910" w:h="16840"/>
          <w:pgMar w:header="581" w:footer="544" w:top="860" w:bottom="740" w:left="460" w:right="0"/>
        </w:sectPr>
      </w:pPr>
    </w:p>
    <w:p>
      <w:pPr>
        <w:pStyle w:val="BodyText"/>
        <w:spacing w:before="10"/>
        <w:rPr>
          <w:sz w:val="11"/>
        </w:rPr>
      </w:pPr>
    </w:p>
    <w:p>
      <w:pPr>
        <w:pStyle w:val="BodyText"/>
        <w:spacing w:line="273" w:lineRule="auto" w:before="101"/>
        <w:ind w:left="1354" w:right="1540"/>
      </w:pPr>
      <w:r>
        <w:rPr>
          <w:color w:val="231F20"/>
          <w:w w:val="110"/>
        </w:rPr>
        <w:t>not able to recognise or accept that this is the case. It is hoped that in such    difficult circumstances issues can be resolved pastorally by those having oversight   of the minister or CRCW or through the Assembly Pastoral Reference Committee. However there could be </w:t>
      </w:r>
      <w:r>
        <w:rPr>
          <w:color w:val="231F20"/>
          <w:spacing w:val="2"/>
          <w:w w:val="110"/>
        </w:rPr>
        <w:t>circumstances </w:t>
      </w:r>
      <w:r>
        <w:rPr>
          <w:color w:val="231F20"/>
          <w:w w:val="110"/>
        </w:rPr>
        <w:t>where a situation cannot be so resolved and for the sake of the Church and the minister or CRCW a formal procedure is required as a last </w:t>
      </w:r>
      <w:r>
        <w:rPr>
          <w:color w:val="231F20"/>
          <w:spacing w:val="3"/>
          <w:w w:val="110"/>
        </w:rPr>
        <w:t>resort. </w:t>
      </w:r>
      <w:r>
        <w:rPr>
          <w:color w:val="231F20"/>
          <w:w w:val="110"/>
        </w:rPr>
        <w:t>It is important to note that should a MIP hearing decide to remove  a minister or CRCW </w:t>
      </w:r>
      <w:r>
        <w:rPr>
          <w:color w:val="231F20"/>
          <w:spacing w:val="2"/>
          <w:w w:val="110"/>
        </w:rPr>
        <w:t>from </w:t>
      </w:r>
      <w:r>
        <w:rPr>
          <w:color w:val="231F20"/>
          <w:w w:val="110"/>
        </w:rPr>
        <w:t>our roll the MIP does contain an appeal procedure, a point that may not have been made sufficiently clear</w:t>
      </w:r>
      <w:r>
        <w:rPr>
          <w:color w:val="231F20"/>
          <w:spacing w:val="18"/>
          <w:w w:val="110"/>
        </w:rPr>
        <w:t> </w:t>
      </w:r>
      <w:r>
        <w:rPr>
          <w:color w:val="231F20"/>
          <w:w w:val="110"/>
        </w:rPr>
        <w:t>previously.</w:t>
      </w:r>
    </w:p>
    <w:p>
      <w:pPr>
        <w:pStyle w:val="BodyText"/>
        <w:spacing w:before="11"/>
        <w:rPr>
          <w:sz w:val="20"/>
        </w:rPr>
      </w:pPr>
    </w:p>
    <w:p>
      <w:pPr>
        <w:pStyle w:val="ListParagraph"/>
        <w:numPr>
          <w:ilvl w:val="2"/>
          <w:numId w:val="26"/>
        </w:numPr>
        <w:tabs>
          <w:tab w:pos="1355" w:val="left" w:leader="none"/>
        </w:tabs>
        <w:spacing w:line="273" w:lineRule="auto" w:before="1" w:after="0"/>
        <w:ind w:left="1354" w:right="1958" w:hanging="681"/>
        <w:jc w:val="left"/>
        <w:rPr>
          <w:sz w:val="18"/>
        </w:rPr>
      </w:pPr>
      <w:r>
        <w:rPr>
          <w:color w:val="231F20"/>
          <w:spacing w:val="-3"/>
          <w:w w:val="110"/>
          <w:sz w:val="18"/>
        </w:rPr>
        <w:t>We </w:t>
      </w:r>
      <w:r>
        <w:rPr>
          <w:color w:val="231F20"/>
          <w:w w:val="110"/>
          <w:sz w:val="18"/>
        </w:rPr>
        <w:t>recommend that Mission Council appoints an </w:t>
      </w:r>
      <w:r>
        <w:rPr>
          <w:color w:val="231F20"/>
          <w:spacing w:val="2"/>
          <w:w w:val="110"/>
          <w:sz w:val="18"/>
        </w:rPr>
        <w:t>Advisory </w:t>
      </w:r>
      <w:r>
        <w:rPr>
          <w:color w:val="231F20"/>
          <w:w w:val="110"/>
          <w:sz w:val="18"/>
        </w:rPr>
        <w:t>Group to oversee the MIP (Section</w:t>
      </w:r>
      <w:r>
        <w:rPr>
          <w:color w:val="231F20"/>
          <w:spacing w:val="1"/>
          <w:w w:val="110"/>
          <w:sz w:val="18"/>
        </w:rPr>
        <w:t> </w:t>
      </w:r>
      <w:r>
        <w:rPr>
          <w:color w:val="231F20"/>
          <w:spacing w:val="-5"/>
          <w:w w:val="110"/>
          <w:sz w:val="18"/>
        </w:rPr>
        <w:t>P).</w:t>
      </w:r>
    </w:p>
    <w:p>
      <w:pPr>
        <w:pStyle w:val="BodyText"/>
        <w:spacing w:before="7"/>
        <w:rPr>
          <w:sz w:val="20"/>
        </w:rPr>
      </w:pPr>
    </w:p>
    <w:p>
      <w:pPr>
        <w:pStyle w:val="ListParagraph"/>
        <w:numPr>
          <w:ilvl w:val="2"/>
          <w:numId w:val="26"/>
        </w:numPr>
        <w:tabs>
          <w:tab w:pos="1355" w:val="left" w:leader="none"/>
        </w:tabs>
        <w:spacing w:line="273" w:lineRule="auto" w:before="1" w:after="0"/>
        <w:ind w:left="1354" w:right="1780" w:hanging="681"/>
        <w:jc w:val="left"/>
        <w:rPr>
          <w:sz w:val="18"/>
        </w:rPr>
      </w:pPr>
      <w:r>
        <w:rPr>
          <w:color w:val="231F20"/>
          <w:spacing w:val="-3"/>
          <w:w w:val="110"/>
          <w:sz w:val="18"/>
        </w:rPr>
        <w:t>We </w:t>
      </w:r>
      <w:r>
        <w:rPr>
          <w:color w:val="231F20"/>
          <w:w w:val="110"/>
          <w:sz w:val="18"/>
        </w:rPr>
        <w:t>are bringing eleven Resolutions to General Assembly </w:t>
      </w:r>
      <w:r>
        <w:rPr>
          <w:color w:val="231F20"/>
          <w:spacing w:val="-6"/>
          <w:w w:val="110"/>
          <w:sz w:val="18"/>
        </w:rPr>
        <w:t>2007. </w:t>
      </w:r>
      <w:r>
        <w:rPr>
          <w:b/>
          <w:color w:val="231F20"/>
          <w:w w:val="110"/>
          <w:sz w:val="18"/>
        </w:rPr>
        <w:t>Resolution 9 </w:t>
      </w:r>
      <w:r>
        <w:rPr>
          <w:color w:val="231F20"/>
          <w:w w:val="110"/>
          <w:sz w:val="18"/>
        </w:rPr>
        <w:t>invites the Assembly to </w:t>
      </w:r>
      <w:r>
        <w:rPr>
          <w:color w:val="231F20"/>
          <w:spacing w:val="2"/>
          <w:w w:val="110"/>
          <w:sz w:val="18"/>
        </w:rPr>
        <w:t>ratify </w:t>
      </w:r>
      <w:r>
        <w:rPr>
          <w:color w:val="231F20"/>
          <w:w w:val="110"/>
          <w:sz w:val="18"/>
        </w:rPr>
        <w:t>its decision of 2006 to introduce a new </w:t>
      </w:r>
      <w:r>
        <w:rPr>
          <w:color w:val="231F20"/>
          <w:spacing w:val="2"/>
          <w:w w:val="110"/>
          <w:sz w:val="18"/>
        </w:rPr>
        <w:t>Part </w:t>
      </w:r>
      <w:r>
        <w:rPr>
          <w:color w:val="231F20"/>
          <w:w w:val="110"/>
          <w:sz w:val="18"/>
        </w:rPr>
        <w:t>I of </w:t>
      </w:r>
      <w:r>
        <w:rPr>
          <w:color w:val="231F20"/>
          <w:spacing w:val="2"/>
          <w:w w:val="110"/>
          <w:sz w:val="18"/>
        </w:rPr>
        <w:t>Section </w:t>
      </w:r>
      <w:r>
        <w:rPr>
          <w:color w:val="231F20"/>
          <w:w w:val="110"/>
          <w:sz w:val="18"/>
        </w:rPr>
        <w:t>O (2006 Resolution </w:t>
      </w:r>
      <w:r>
        <w:rPr>
          <w:color w:val="231F20"/>
          <w:spacing w:val="-6"/>
          <w:w w:val="110"/>
          <w:sz w:val="18"/>
        </w:rPr>
        <w:t>8). </w:t>
      </w:r>
      <w:r>
        <w:rPr>
          <w:color w:val="231F20"/>
          <w:w w:val="110"/>
          <w:sz w:val="18"/>
        </w:rPr>
        <w:t>It should be noted that Mission Council, acting on behalf of the Assembly, altered the wording in order to remove </w:t>
      </w:r>
      <w:r>
        <w:rPr>
          <w:color w:val="231F20"/>
          <w:spacing w:val="2"/>
          <w:w w:val="110"/>
          <w:sz w:val="18"/>
        </w:rPr>
        <w:t>references </w:t>
      </w:r>
      <w:r>
        <w:rPr>
          <w:color w:val="231F20"/>
          <w:w w:val="110"/>
          <w:sz w:val="18"/>
        </w:rPr>
        <w:t>to the </w:t>
      </w:r>
      <w:r>
        <w:rPr>
          <w:color w:val="231F20"/>
          <w:spacing w:val="-7"/>
          <w:w w:val="110"/>
          <w:sz w:val="18"/>
        </w:rPr>
        <w:t>MIP. </w:t>
      </w:r>
      <w:r>
        <w:rPr>
          <w:color w:val="231F20"/>
          <w:w w:val="110"/>
          <w:sz w:val="18"/>
        </w:rPr>
        <w:t>It was this altered wording which was presented to the Synods for</w:t>
      </w:r>
      <w:r>
        <w:rPr>
          <w:color w:val="231F20"/>
          <w:spacing w:val="55"/>
          <w:w w:val="110"/>
          <w:sz w:val="18"/>
        </w:rPr>
        <w:t> </w:t>
      </w:r>
      <w:r>
        <w:rPr>
          <w:color w:val="231F20"/>
          <w:w w:val="110"/>
          <w:sz w:val="18"/>
        </w:rPr>
        <w:t>review.</w:t>
      </w:r>
    </w:p>
    <w:p>
      <w:pPr>
        <w:pStyle w:val="BodyText"/>
        <w:spacing w:before="9"/>
        <w:rPr>
          <w:sz w:val="20"/>
        </w:rPr>
      </w:pPr>
    </w:p>
    <w:p>
      <w:pPr>
        <w:pStyle w:val="ListParagraph"/>
        <w:numPr>
          <w:ilvl w:val="2"/>
          <w:numId w:val="26"/>
        </w:numPr>
        <w:tabs>
          <w:tab w:pos="681" w:val="left" w:leader="none"/>
        </w:tabs>
        <w:spacing w:line="240" w:lineRule="auto" w:before="1" w:after="0"/>
        <w:ind w:left="1354" w:right="1718" w:hanging="1355"/>
        <w:jc w:val="right"/>
        <w:rPr>
          <w:sz w:val="18"/>
        </w:rPr>
      </w:pPr>
      <w:r>
        <w:rPr>
          <w:b/>
          <w:color w:val="231F20"/>
          <w:w w:val="110"/>
          <w:sz w:val="18"/>
        </w:rPr>
        <w:t>Resolution</w:t>
      </w:r>
      <w:r>
        <w:rPr>
          <w:b/>
          <w:color w:val="231F20"/>
          <w:spacing w:val="11"/>
          <w:w w:val="110"/>
          <w:sz w:val="18"/>
        </w:rPr>
        <w:t> </w:t>
      </w:r>
      <w:r>
        <w:rPr>
          <w:b/>
          <w:color w:val="231F20"/>
          <w:spacing w:val="-3"/>
          <w:w w:val="110"/>
          <w:sz w:val="18"/>
        </w:rPr>
        <w:t>10</w:t>
      </w:r>
      <w:r>
        <w:rPr>
          <w:b/>
          <w:color w:val="231F20"/>
          <w:spacing w:val="16"/>
          <w:w w:val="110"/>
          <w:sz w:val="18"/>
        </w:rPr>
        <w:t> </w:t>
      </w:r>
      <w:r>
        <w:rPr>
          <w:color w:val="231F20"/>
          <w:w w:val="110"/>
          <w:sz w:val="18"/>
        </w:rPr>
        <w:t>invites</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Assembly</w:t>
      </w:r>
      <w:r>
        <w:rPr>
          <w:color w:val="231F20"/>
          <w:spacing w:val="13"/>
          <w:w w:val="110"/>
          <w:sz w:val="18"/>
        </w:rPr>
        <w:t> </w:t>
      </w:r>
      <w:r>
        <w:rPr>
          <w:color w:val="231F20"/>
          <w:w w:val="110"/>
          <w:sz w:val="18"/>
        </w:rPr>
        <w:t>to</w:t>
      </w:r>
      <w:r>
        <w:rPr>
          <w:color w:val="231F20"/>
          <w:spacing w:val="13"/>
          <w:w w:val="110"/>
          <w:sz w:val="18"/>
        </w:rPr>
        <w:t> </w:t>
      </w:r>
      <w:r>
        <w:rPr>
          <w:color w:val="231F20"/>
          <w:spacing w:val="2"/>
          <w:w w:val="110"/>
          <w:sz w:val="18"/>
        </w:rPr>
        <w:t>ratify</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amendments</w:t>
      </w:r>
      <w:r>
        <w:rPr>
          <w:color w:val="231F20"/>
          <w:spacing w:val="13"/>
          <w:w w:val="110"/>
          <w:sz w:val="18"/>
        </w:rPr>
        <w:t> </w:t>
      </w:r>
      <w:r>
        <w:rPr>
          <w:color w:val="231F20"/>
          <w:w w:val="110"/>
          <w:sz w:val="18"/>
        </w:rPr>
        <w:t>to</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Structure</w:t>
      </w:r>
      <w:r>
        <w:rPr>
          <w:color w:val="231F20"/>
          <w:spacing w:val="13"/>
          <w:w w:val="110"/>
          <w:sz w:val="18"/>
        </w:rPr>
        <w:t> </w:t>
      </w:r>
      <w:r>
        <w:rPr>
          <w:color w:val="231F20"/>
          <w:w w:val="110"/>
          <w:sz w:val="18"/>
        </w:rPr>
        <w:t>in</w:t>
      </w:r>
    </w:p>
    <w:p>
      <w:pPr>
        <w:pStyle w:val="BodyText"/>
        <w:spacing w:before="31"/>
        <w:ind w:right="1676"/>
        <w:jc w:val="right"/>
      </w:pPr>
      <w:r>
        <w:rPr>
          <w:color w:val="231F20"/>
          <w:w w:val="110"/>
        </w:rPr>
        <w:t>relation to Section O, first approved by the Assembly last year under Resolution 9.</w:t>
      </w:r>
    </w:p>
    <w:p>
      <w:pPr>
        <w:pStyle w:val="BodyText"/>
        <w:spacing w:before="1"/>
        <w:rPr>
          <w:sz w:val="23"/>
        </w:rPr>
      </w:pPr>
    </w:p>
    <w:p>
      <w:pPr>
        <w:pStyle w:val="ListParagraph"/>
        <w:numPr>
          <w:ilvl w:val="2"/>
          <w:numId w:val="26"/>
        </w:numPr>
        <w:tabs>
          <w:tab w:pos="1355" w:val="left" w:leader="none"/>
        </w:tabs>
        <w:spacing w:line="273" w:lineRule="auto" w:before="1" w:after="0"/>
        <w:ind w:left="1353" w:right="1540" w:hanging="681"/>
        <w:jc w:val="left"/>
        <w:rPr>
          <w:sz w:val="18"/>
        </w:rPr>
      </w:pPr>
      <w:r>
        <w:rPr>
          <w:color w:val="231F20"/>
          <w:spacing w:val="-3"/>
          <w:w w:val="110"/>
          <w:sz w:val="18"/>
        </w:rPr>
        <w:t>We </w:t>
      </w:r>
      <w:r>
        <w:rPr>
          <w:color w:val="231F20"/>
          <w:w w:val="110"/>
          <w:sz w:val="18"/>
        </w:rPr>
        <w:t>are presenting a revision of </w:t>
      </w:r>
      <w:r>
        <w:rPr>
          <w:color w:val="231F20"/>
          <w:spacing w:val="2"/>
          <w:w w:val="110"/>
          <w:sz w:val="18"/>
        </w:rPr>
        <w:t>Part </w:t>
      </w:r>
      <w:r>
        <w:rPr>
          <w:color w:val="231F20"/>
          <w:w w:val="110"/>
          <w:sz w:val="18"/>
        </w:rPr>
        <w:t>II of </w:t>
      </w:r>
      <w:r>
        <w:rPr>
          <w:color w:val="231F20"/>
          <w:spacing w:val="2"/>
          <w:w w:val="110"/>
          <w:sz w:val="18"/>
        </w:rPr>
        <w:t>Section </w:t>
      </w:r>
      <w:r>
        <w:rPr>
          <w:color w:val="231F20"/>
          <w:w w:val="110"/>
          <w:sz w:val="18"/>
        </w:rPr>
        <w:t>O at </w:t>
      </w:r>
      <w:r>
        <w:rPr>
          <w:b/>
          <w:color w:val="231F20"/>
          <w:w w:val="110"/>
          <w:sz w:val="18"/>
        </w:rPr>
        <w:t>Resolution </w:t>
      </w:r>
      <w:r>
        <w:rPr>
          <w:b/>
          <w:color w:val="231F20"/>
          <w:spacing w:val="-3"/>
          <w:w w:val="110"/>
          <w:sz w:val="18"/>
        </w:rPr>
        <w:t>11. </w:t>
      </w:r>
      <w:r>
        <w:rPr>
          <w:b/>
          <w:color w:val="231F20"/>
          <w:spacing w:val="61"/>
          <w:w w:val="110"/>
          <w:sz w:val="18"/>
        </w:rPr>
        <w:t> </w:t>
      </w:r>
      <w:r>
        <w:rPr>
          <w:color w:val="231F20"/>
          <w:w w:val="110"/>
          <w:sz w:val="18"/>
        </w:rPr>
        <w:t>The  changes are </w:t>
      </w:r>
      <w:r>
        <w:rPr>
          <w:color w:val="231F20"/>
          <w:spacing w:val="3"/>
          <w:w w:val="110"/>
          <w:sz w:val="18"/>
        </w:rPr>
        <w:t>necessary </w:t>
      </w:r>
      <w:r>
        <w:rPr>
          <w:color w:val="231F20"/>
          <w:spacing w:val="2"/>
          <w:w w:val="110"/>
          <w:sz w:val="18"/>
        </w:rPr>
        <w:t>because </w:t>
      </w:r>
      <w:r>
        <w:rPr>
          <w:color w:val="231F20"/>
          <w:w w:val="110"/>
          <w:sz w:val="18"/>
        </w:rPr>
        <w:t>of the new </w:t>
      </w:r>
      <w:r>
        <w:rPr>
          <w:color w:val="231F20"/>
          <w:spacing w:val="2"/>
          <w:w w:val="110"/>
          <w:sz w:val="18"/>
        </w:rPr>
        <w:t>Part </w:t>
      </w:r>
      <w:r>
        <w:rPr>
          <w:color w:val="231F20"/>
          <w:w w:val="110"/>
          <w:sz w:val="18"/>
        </w:rPr>
        <w:t>I, and </w:t>
      </w:r>
      <w:r>
        <w:rPr>
          <w:color w:val="231F20"/>
          <w:spacing w:val="2"/>
          <w:w w:val="110"/>
          <w:sz w:val="18"/>
        </w:rPr>
        <w:t>because </w:t>
      </w:r>
      <w:r>
        <w:rPr>
          <w:color w:val="231F20"/>
          <w:w w:val="110"/>
          <w:sz w:val="18"/>
        </w:rPr>
        <w:t>of some improvements which have been prompted by experience gained </w:t>
      </w:r>
      <w:r>
        <w:rPr>
          <w:color w:val="231F20"/>
          <w:spacing w:val="2"/>
          <w:w w:val="110"/>
          <w:sz w:val="18"/>
        </w:rPr>
        <w:t>from </w:t>
      </w:r>
      <w:r>
        <w:rPr>
          <w:color w:val="231F20"/>
          <w:w w:val="110"/>
          <w:sz w:val="18"/>
        </w:rPr>
        <w:t>recent cases. Recognising that many ministers </w:t>
      </w:r>
      <w:r>
        <w:rPr>
          <w:color w:val="231F20"/>
          <w:spacing w:val="2"/>
          <w:w w:val="110"/>
          <w:sz w:val="18"/>
        </w:rPr>
        <w:t>serve </w:t>
      </w:r>
      <w:r>
        <w:rPr>
          <w:color w:val="231F20"/>
          <w:w w:val="110"/>
          <w:sz w:val="18"/>
        </w:rPr>
        <w:t>in </w:t>
      </w:r>
      <w:r>
        <w:rPr>
          <w:color w:val="231F20"/>
          <w:spacing w:val="2"/>
          <w:w w:val="110"/>
          <w:sz w:val="18"/>
        </w:rPr>
        <w:t>posts </w:t>
      </w:r>
      <w:r>
        <w:rPr>
          <w:color w:val="231F20"/>
          <w:w w:val="110"/>
          <w:sz w:val="18"/>
        </w:rPr>
        <w:t>with outside bodies (for example prison and hospital chaplaincies, </w:t>
      </w:r>
      <w:r>
        <w:rPr>
          <w:color w:val="231F20"/>
          <w:spacing w:val="2"/>
          <w:w w:val="110"/>
          <w:sz w:val="18"/>
        </w:rPr>
        <w:t>posts </w:t>
      </w:r>
      <w:r>
        <w:rPr>
          <w:color w:val="231F20"/>
          <w:w w:val="110"/>
          <w:sz w:val="18"/>
        </w:rPr>
        <w:t>in education and youth and social </w:t>
      </w:r>
      <w:r>
        <w:rPr>
          <w:color w:val="231F20"/>
          <w:spacing w:val="-3"/>
          <w:w w:val="110"/>
          <w:sz w:val="18"/>
        </w:rPr>
        <w:t>work), </w:t>
      </w:r>
      <w:r>
        <w:rPr>
          <w:color w:val="231F20"/>
          <w:w w:val="110"/>
          <w:sz w:val="18"/>
        </w:rPr>
        <w:t>changes are being introduced to provide that any </w:t>
      </w:r>
      <w:r>
        <w:rPr>
          <w:color w:val="231F20"/>
          <w:spacing w:val="2"/>
          <w:w w:val="110"/>
          <w:sz w:val="18"/>
        </w:rPr>
        <w:t>necessary </w:t>
      </w:r>
      <w:r>
        <w:rPr>
          <w:color w:val="231F20"/>
          <w:w w:val="110"/>
          <w:sz w:val="18"/>
        </w:rPr>
        <w:t>information concerning disciplinary steps which involve a minister working in any such post is, where appropriate, brought to the attention of the organisation</w:t>
      </w:r>
      <w:r>
        <w:rPr>
          <w:color w:val="231F20"/>
          <w:spacing w:val="38"/>
          <w:w w:val="110"/>
          <w:sz w:val="18"/>
        </w:rPr>
        <w:t> </w:t>
      </w:r>
      <w:r>
        <w:rPr>
          <w:color w:val="231F20"/>
          <w:w w:val="110"/>
          <w:sz w:val="18"/>
        </w:rPr>
        <w:t>concerned.</w:t>
      </w:r>
    </w:p>
    <w:p>
      <w:pPr>
        <w:pStyle w:val="BodyText"/>
        <w:spacing w:before="11"/>
        <w:rPr>
          <w:sz w:val="20"/>
        </w:rPr>
      </w:pPr>
    </w:p>
    <w:p>
      <w:pPr>
        <w:pStyle w:val="ListParagraph"/>
        <w:numPr>
          <w:ilvl w:val="2"/>
          <w:numId w:val="26"/>
        </w:numPr>
        <w:tabs>
          <w:tab w:pos="1377" w:val="left" w:leader="none"/>
        </w:tabs>
        <w:spacing w:line="273" w:lineRule="auto" w:before="1" w:after="0"/>
        <w:ind w:left="1353" w:right="1691" w:hanging="681"/>
        <w:jc w:val="left"/>
        <w:rPr>
          <w:sz w:val="18"/>
        </w:rPr>
      </w:pPr>
      <w:r>
        <w:rPr>
          <w:color w:val="231F20"/>
          <w:w w:val="110"/>
          <w:sz w:val="18"/>
        </w:rPr>
        <w:t>The Assembly is asked to approve </w:t>
      </w:r>
      <w:r>
        <w:rPr>
          <w:color w:val="231F20"/>
          <w:spacing w:val="2"/>
          <w:w w:val="110"/>
          <w:sz w:val="18"/>
        </w:rPr>
        <w:t>Part </w:t>
      </w:r>
      <w:r>
        <w:rPr>
          <w:color w:val="231F20"/>
          <w:w w:val="110"/>
          <w:sz w:val="18"/>
        </w:rPr>
        <w:t>I of the Ministerial Incapacity Procedure at </w:t>
      </w:r>
      <w:r>
        <w:rPr>
          <w:b/>
          <w:color w:val="231F20"/>
          <w:w w:val="110"/>
          <w:sz w:val="18"/>
        </w:rPr>
        <w:t>Resolution 12</w:t>
      </w:r>
      <w:r>
        <w:rPr>
          <w:color w:val="231F20"/>
          <w:w w:val="110"/>
          <w:sz w:val="18"/>
        </w:rPr>
        <w:t>, and to note the </w:t>
      </w:r>
      <w:r>
        <w:rPr>
          <w:color w:val="231F20"/>
          <w:spacing w:val="2"/>
          <w:w w:val="110"/>
          <w:sz w:val="18"/>
        </w:rPr>
        <w:t>proposed Part </w:t>
      </w:r>
      <w:r>
        <w:rPr>
          <w:color w:val="231F20"/>
          <w:w w:val="110"/>
          <w:sz w:val="18"/>
        </w:rPr>
        <w:t>II at </w:t>
      </w:r>
      <w:r>
        <w:rPr>
          <w:b/>
          <w:color w:val="231F20"/>
          <w:w w:val="110"/>
          <w:sz w:val="18"/>
        </w:rPr>
        <w:t>Resolution </w:t>
      </w:r>
      <w:r>
        <w:rPr>
          <w:b/>
          <w:color w:val="231F20"/>
          <w:spacing w:val="-3"/>
          <w:w w:val="110"/>
          <w:sz w:val="18"/>
        </w:rPr>
        <w:t>13</w:t>
      </w:r>
      <w:r>
        <w:rPr>
          <w:color w:val="231F20"/>
          <w:spacing w:val="-3"/>
          <w:w w:val="110"/>
          <w:sz w:val="18"/>
        </w:rPr>
        <w:t>, </w:t>
      </w:r>
      <w:r>
        <w:rPr>
          <w:color w:val="231F20"/>
          <w:w w:val="110"/>
          <w:sz w:val="18"/>
        </w:rPr>
        <w:t>which takes the same form as Resolution </w:t>
      </w:r>
      <w:r>
        <w:rPr>
          <w:color w:val="231F20"/>
          <w:spacing w:val="-5"/>
          <w:w w:val="110"/>
          <w:sz w:val="18"/>
        </w:rPr>
        <w:t>11 </w:t>
      </w:r>
      <w:r>
        <w:rPr>
          <w:color w:val="231F20"/>
          <w:w w:val="110"/>
          <w:sz w:val="18"/>
        </w:rPr>
        <w:t>of</w:t>
      </w:r>
      <w:r>
        <w:rPr>
          <w:color w:val="231F20"/>
          <w:spacing w:val="16"/>
          <w:w w:val="110"/>
          <w:sz w:val="18"/>
        </w:rPr>
        <w:t> </w:t>
      </w:r>
      <w:r>
        <w:rPr>
          <w:color w:val="231F20"/>
          <w:w w:val="110"/>
          <w:sz w:val="18"/>
        </w:rPr>
        <w:t>2006.</w:t>
      </w:r>
    </w:p>
    <w:p>
      <w:pPr>
        <w:pStyle w:val="BodyText"/>
        <w:spacing w:before="8"/>
        <w:rPr>
          <w:sz w:val="20"/>
        </w:rPr>
      </w:pPr>
    </w:p>
    <w:p>
      <w:pPr>
        <w:pStyle w:val="ListParagraph"/>
        <w:numPr>
          <w:ilvl w:val="2"/>
          <w:numId w:val="26"/>
        </w:numPr>
        <w:tabs>
          <w:tab w:pos="1383" w:val="left" w:leader="none"/>
        </w:tabs>
        <w:spacing w:line="273" w:lineRule="auto" w:before="0" w:after="0"/>
        <w:ind w:left="1354" w:right="1628" w:hanging="681"/>
        <w:jc w:val="left"/>
        <w:rPr>
          <w:sz w:val="18"/>
        </w:rPr>
      </w:pPr>
      <w:r>
        <w:rPr>
          <w:color w:val="231F20"/>
          <w:w w:val="110"/>
          <w:sz w:val="18"/>
        </w:rPr>
        <w:t>It has been recognised that, when an Assembly Commission or an Appeals Commission makes recommendations concerning a minister’s future ministry, it is </w:t>
      </w:r>
      <w:r>
        <w:rPr>
          <w:color w:val="231F20"/>
          <w:spacing w:val="2"/>
          <w:w w:val="110"/>
          <w:sz w:val="18"/>
        </w:rPr>
        <w:t>necessary </w:t>
      </w:r>
      <w:r>
        <w:rPr>
          <w:color w:val="231F20"/>
          <w:w w:val="110"/>
          <w:sz w:val="18"/>
        </w:rPr>
        <w:t>for the Synod to monitor the situation to ensure that these are brought fully to the attention of those responsible for exercising oversight of the Minister in future. </w:t>
      </w:r>
      <w:r>
        <w:rPr>
          <w:b/>
          <w:color w:val="231F20"/>
          <w:w w:val="110"/>
          <w:sz w:val="18"/>
        </w:rPr>
        <w:t>Resolution 14 </w:t>
      </w:r>
      <w:r>
        <w:rPr>
          <w:color w:val="231F20"/>
          <w:spacing w:val="2"/>
          <w:w w:val="110"/>
          <w:sz w:val="18"/>
        </w:rPr>
        <w:t>creates </w:t>
      </w:r>
      <w:r>
        <w:rPr>
          <w:color w:val="231F20"/>
          <w:w w:val="110"/>
          <w:sz w:val="18"/>
        </w:rPr>
        <w:t>a new Synod function to cover</w:t>
      </w:r>
      <w:r>
        <w:rPr>
          <w:color w:val="231F20"/>
          <w:spacing w:val="36"/>
          <w:w w:val="110"/>
          <w:sz w:val="18"/>
        </w:rPr>
        <w:t> </w:t>
      </w:r>
      <w:r>
        <w:rPr>
          <w:color w:val="231F20"/>
          <w:w w:val="110"/>
          <w:sz w:val="18"/>
        </w:rPr>
        <w:t>this.</w:t>
      </w:r>
    </w:p>
    <w:p>
      <w:pPr>
        <w:pStyle w:val="BodyText"/>
        <w:spacing w:before="10"/>
        <w:rPr>
          <w:sz w:val="20"/>
        </w:rPr>
      </w:pPr>
    </w:p>
    <w:p>
      <w:pPr>
        <w:pStyle w:val="ListParagraph"/>
        <w:numPr>
          <w:ilvl w:val="2"/>
          <w:numId w:val="26"/>
        </w:numPr>
        <w:tabs>
          <w:tab w:pos="1353" w:val="left" w:leader="none"/>
        </w:tabs>
        <w:spacing w:line="273" w:lineRule="auto" w:before="0" w:after="0"/>
        <w:ind w:left="1354" w:right="1854" w:hanging="681"/>
        <w:jc w:val="left"/>
        <w:rPr>
          <w:sz w:val="18"/>
        </w:rPr>
      </w:pPr>
      <w:r>
        <w:rPr>
          <w:b/>
          <w:color w:val="231F20"/>
          <w:w w:val="110"/>
          <w:sz w:val="18"/>
        </w:rPr>
        <w:t>Resolution</w:t>
      </w:r>
      <w:r>
        <w:rPr>
          <w:b/>
          <w:color w:val="231F20"/>
          <w:spacing w:val="-12"/>
          <w:w w:val="110"/>
          <w:sz w:val="18"/>
        </w:rPr>
        <w:t> </w:t>
      </w:r>
      <w:r>
        <w:rPr>
          <w:b/>
          <w:color w:val="231F20"/>
          <w:spacing w:val="-4"/>
          <w:w w:val="110"/>
          <w:sz w:val="18"/>
        </w:rPr>
        <w:t>15,</w:t>
      </w:r>
      <w:r>
        <w:rPr>
          <w:b/>
          <w:color w:val="231F20"/>
          <w:spacing w:val="-9"/>
          <w:w w:val="110"/>
          <w:sz w:val="18"/>
        </w:rPr>
        <w:t> </w:t>
      </w:r>
      <w:r>
        <w:rPr>
          <w:color w:val="231F20"/>
          <w:w w:val="110"/>
          <w:sz w:val="18"/>
        </w:rPr>
        <w:t>which</w:t>
      </w:r>
      <w:r>
        <w:rPr>
          <w:color w:val="231F20"/>
          <w:spacing w:val="-12"/>
          <w:w w:val="110"/>
          <w:sz w:val="18"/>
        </w:rPr>
        <w:t> </w:t>
      </w:r>
      <w:r>
        <w:rPr>
          <w:color w:val="231F20"/>
          <w:w w:val="110"/>
          <w:sz w:val="18"/>
        </w:rPr>
        <w:t>is</w:t>
      </w:r>
      <w:r>
        <w:rPr>
          <w:color w:val="231F20"/>
          <w:spacing w:val="-13"/>
          <w:w w:val="110"/>
          <w:sz w:val="18"/>
        </w:rPr>
        <w:t> </w:t>
      </w:r>
      <w:r>
        <w:rPr>
          <w:color w:val="231F20"/>
          <w:w w:val="110"/>
          <w:sz w:val="18"/>
        </w:rPr>
        <w:t>the</w:t>
      </w:r>
      <w:r>
        <w:rPr>
          <w:color w:val="231F20"/>
          <w:spacing w:val="-12"/>
          <w:w w:val="110"/>
          <w:sz w:val="18"/>
        </w:rPr>
        <w:t> </w:t>
      </w:r>
      <w:r>
        <w:rPr>
          <w:color w:val="231F20"/>
          <w:w w:val="110"/>
          <w:sz w:val="18"/>
        </w:rPr>
        <w:t>same</w:t>
      </w:r>
      <w:r>
        <w:rPr>
          <w:color w:val="231F20"/>
          <w:spacing w:val="-12"/>
          <w:w w:val="110"/>
          <w:sz w:val="18"/>
        </w:rPr>
        <w:t> </w:t>
      </w:r>
      <w:r>
        <w:rPr>
          <w:color w:val="231F20"/>
          <w:w w:val="110"/>
          <w:sz w:val="18"/>
        </w:rPr>
        <w:t>as</w:t>
      </w:r>
      <w:r>
        <w:rPr>
          <w:color w:val="231F20"/>
          <w:spacing w:val="-12"/>
          <w:w w:val="110"/>
          <w:sz w:val="18"/>
        </w:rPr>
        <w:t> </w:t>
      </w:r>
      <w:r>
        <w:rPr>
          <w:color w:val="231F20"/>
          <w:w w:val="110"/>
          <w:sz w:val="18"/>
        </w:rPr>
        <w:t>Resolution</w:t>
      </w:r>
      <w:r>
        <w:rPr>
          <w:color w:val="231F20"/>
          <w:spacing w:val="-12"/>
          <w:w w:val="110"/>
          <w:sz w:val="18"/>
        </w:rPr>
        <w:t> </w:t>
      </w:r>
      <w:r>
        <w:rPr>
          <w:color w:val="231F20"/>
          <w:spacing w:val="-3"/>
          <w:w w:val="110"/>
          <w:sz w:val="18"/>
        </w:rPr>
        <w:t>12</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2006</w:t>
      </w:r>
      <w:r>
        <w:rPr>
          <w:color w:val="231F20"/>
          <w:spacing w:val="-12"/>
          <w:w w:val="110"/>
          <w:sz w:val="18"/>
        </w:rPr>
        <w:t> </w:t>
      </w:r>
      <w:r>
        <w:rPr>
          <w:color w:val="231F20"/>
          <w:w w:val="110"/>
          <w:sz w:val="18"/>
        </w:rPr>
        <w:t>apart</w:t>
      </w:r>
      <w:r>
        <w:rPr>
          <w:color w:val="231F20"/>
          <w:spacing w:val="-13"/>
          <w:w w:val="110"/>
          <w:sz w:val="18"/>
        </w:rPr>
        <w:t> </w:t>
      </w:r>
      <w:r>
        <w:rPr>
          <w:color w:val="231F20"/>
          <w:w w:val="110"/>
          <w:sz w:val="18"/>
        </w:rPr>
        <w:t>from</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deletion of the final paragraph which related to the Rules of Procedure on appeals and the addition</w:t>
      </w:r>
      <w:r>
        <w:rPr>
          <w:color w:val="231F20"/>
          <w:spacing w:val="-10"/>
          <w:w w:val="110"/>
          <w:sz w:val="18"/>
        </w:rPr>
        <w:t> </w:t>
      </w:r>
      <w:r>
        <w:rPr>
          <w:color w:val="231F20"/>
          <w:w w:val="110"/>
          <w:sz w:val="18"/>
        </w:rPr>
        <w:t>of</w:t>
      </w:r>
      <w:r>
        <w:rPr>
          <w:color w:val="231F20"/>
          <w:spacing w:val="-9"/>
          <w:w w:val="110"/>
          <w:sz w:val="18"/>
        </w:rPr>
        <w:t> </w:t>
      </w:r>
      <w:r>
        <w:rPr>
          <w:color w:val="231F20"/>
          <w:w w:val="110"/>
          <w:sz w:val="18"/>
        </w:rPr>
        <w:t>references</w:t>
      </w:r>
      <w:r>
        <w:rPr>
          <w:color w:val="231F20"/>
          <w:spacing w:val="-10"/>
          <w:w w:val="110"/>
          <w:sz w:val="18"/>
        </w:rPr>
        <w:t> </w:t>
      </w:r>
      <w:r>
        <w:rPr>
          <w:color w:val="231F20"/>
          <w:w w:val="110"/>
          <w:sz w:val="18"/>
        </w:rPr>
        <w:t>to</w:t>
      </w:r>
      <w:r>
        <w:rPr>
          <w:color w:val="231F20"/>
          <w:spacing w:val="-9"/>
          <w:w w:val="110"/>
          <w:sz w:val="18"/>
        </w:rPr>
        <w:t> </w:t>
      </w:r>
      <w:r>
        <w:rPr>
          <w:color w:val="231F20"/>
          <w:w w:val="110"/>
          <w:sz w:val="18"/>
        </w:rPr>
        <w:t>CRCWs,</w:t>
      </w:r>
      <w:r>
        <w:rPr>
          <w:color w:val="231F20"/>
          <w:spacing w:val="-10"/>
          <w:w w:val="110"/>
          <w:sz w:val="18"/>
        </w:rPr>
        <w:t> </w:t>
      </w:r>
      <w:r>
        <w:rPr>
          <w:color w:val="231F20"/>
          <w:w w:val="110"/>
          <w:sz w:val="18"/>
        </w:rPr>
        <w:t>amends</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Structure</w:t>
      </w:r>
      <w:r>
        <w:rPr>
          <w:color w:val="231F20"/>
          <w:spacing w:val="-9"/>
          <w:w w:val="110"/>
          <w:sz w:val="18"/>
        </w:rPr>
        <w:t> </w:t>
      </w:r>
      <w:r>
        <w:rPr>
          <w:color w:val="231F20"/>
          <w:w w:val="110"/>
          <w:sz w:val="18"/>
        </w:rPr>
        <w:t>in</w:t>
      </w:r>
      <w:r>
        <w:rPr>
          <w:color w:val="231F20"/>
          <w:spacing w:val="-10"/>
          <w:w w:val="110"/>
          <w:sz w:val="18"/>
        </w:rPr>
        <w:t> </w:t>
      </w:r>
      <w:r>
        <w:rPr>
          <w:color w:val="231F20"/>
          <w:w w:val="110"/>
          <w:sz w:val="18"/>
        </w:rPr>
        <w:t>relation</w:t>
      </w:r>
      <w:r>
        <w:rPr>
          <w:color w:val="231F20"/>
          <w:spacing w:val="-9"/>
          <w:w w:val="110"/>
          <w:sz w:val="18"/>
        </w:rPr>
        <w:t> </w:t>
      </w:r>
      <w:r>
        <w:rPr>
          <w:color w:val="231F20"/>
          <w:w w:val="110"/>
          <w:sz w:val="18"/>
        </w:rPr>
        <w:t>to</w:t>
      </w:r>
      <w:r>
        <w:rPr>
          <w:color w:val="231F20"/>
          <w:spacing w:val="-10"/>
          <w:w w:val="110"/>
          <w:sz w:val="18"/>
        </w:rPr>
        <w:t> </w:t>
      </w:r>
      <w:r>
        <w:rPr>
          <w:color w:val="231F20"/>
          <w:w w:val="110"/>
          <w:sz w:val="18"/>
        </w:rPr>
        <w:t>the</w:t>
      </w:r>
      <w:r>
        <w:rPr>
          <w:color w:val="231F20"/>
          <w:spacing w:val="-9"/>
          <w:w w:val="110"/>
          <w:sz w:val="18"/>
        </w:rPr>
        <w:t> MIP.</w:t>
      </w:r>
    </w:p>
    <w:p>
      <w:pPr>
        <w:pStyle w:val="BodyText"/>
        <w:spacing w:before="9"/>
        <w:rPr>
          <w:sz w:val="20"/>
        </w:rPr>
      </w:pPr>
    </w:p>
    <w:p>
      <w:pPr>
        <w:pStyle w:val="ListParagraph"/>
        <w:numPr>
          <w:ilvl w:val="2"/>
          <w:numId w:val="26"/>
        </w:numPr>
        <w:tabs>
          <w:tab w:pos="1374" w:val="left" w:leader="none"/>
        </w:tabs>
        <w:spacing w:line="273" w:lineRule="auto" w:before="0" w:after="0"/>
        <w:ind w:left="1354" w:right="2022" w:hanging="681"/>
        <w:jc w:val="left"/>
        <w:rPr>
          <w:sz w:val="18"/>
        </w:rPr>
      </w:pPr>
      <w:r>
        <w:rPr>
          <w:b/>
          <w:color w:val="231F20"/>
          <w:w w:val="110"/>
          <w:sz w:val="18"/>
        </w:rPr>
        <w:t>Resolution </w:t>
      </w:r>
      <w:r>
        <w:rPr>
          <w:b/>
          <w:color w:val="231F20"/>
          <w:spacing w:val="-3"/>
          <w:w w:val="110"/>
          <w:sz w:val="18"/>
        </w:rPr>
        <w:t>16 </w:t>
      </w:r>
      <w:r>
        <w:rPr>
          <w:color w:val="231F20"/>
          <w:spacing w:val="2"/>
          <w:w w:val="110"/>
          <w:sz w:val="18"/>
        </w:rPr>
        <w:t>seeks </w:t>
      </w:r>
      <w:r>
        <w:rPr>
          <w:color w:val="231F20"/>
          <w:w w:val="110"/>
          <w:sz w:val="18"/>
        </w:rPr>
        <w:t>to replace the changes to </w:t>
      </w:r>
      <w:r>
        <w:rPr>
          <w:color w:val="231F20"/>
          <w:spacing w:val="2"/>
          <w:w w:val="110"/>
          <w:sz w:val="18"/>
        </w:rPr>
        <w:t>Part </w:t>
      </w:r>
      <w:r>
        <w:rPr>
          <w:color w:val="231F20"/>
          <w:w w:val="110"/>
          <w:sz w:val="18"/>
        </w:rPr>
        <w:t>I of </w:t>
      </w:r>
      <w:r>
        <w:rPr>
          <w:color w:val="231F20"/>
          <w:spacing w:val="2"/>
          <w:w w:val="110"/>
          <w:sz w:val="18"/>
        </w:rPr>
        <w:t>Section </w:t>
      </w:r>
      <w:r>
        <w:rPr>
          <w:color w:val="231F20"/>
          <w:w w:val="110"/>
          <w:sz w:val="18"/>
        </w:rPr>
        <w:t>O which were removed by Mission Council when the MIP was </w:t>
      </w:r>
      <w:r>
        <w:rPr>
          <w:color w:val="231F20"/>
          <w:spacing w:val="2"/>
          <w:w w:val="110"/>
          <w:sz w:val="18"/>
        </w:rPr>
        <w:t>referred </w:t>
      </w:r>
      <w:r>
        <w:rPr>
          <w:color w:val="231F20"/>
          <w:w w:val="110"/>
          <w:sz w:val="18"/>
        </w:rPr>
        <w:t>back by the Assembly last </w:t>
      </w:r>
      <w:r>
        <w:rPr>
          <w:color w:val="231F20"/>
          <w:spacing w:val="-4"/>
          <w:w w:val="110"/>
          <w:sz w:val="18"/>
        </w:rPr>
        <w:t>year. </w:t>
      </w:r>
      <w:r>
        <w:rPr>
          <w:color w:val="231F20"/>
          <w:spacing w:val="2"/>
          <w:w w:val="110"/>
          <w:sz w:val="18"/>
        </w:rPr>
        <w:t>These </w:t>
      </w:r>
      <w:r>
        <w:rPr>
          <w:color w:val="231F20"/>
          <w:w w:val="110"/>
          <w:sz w:val="18"/>
        </w:rPr>
        <w:t>are the </w:t>
      </w:r>
      <w:r>
        <w:rPr>
          <w:color w:val="231F20"/>
          <w:spacing w:val="2"/>
          <w:w w:val="110"/>
          <w:sz w:val="18"/>
        </w:rPr>
        <w:t>necessary </w:t>
      </w:r>
      <w:r>
        <w:rPr>
          <w:color w:val="231F20"/>
          <w:w w:val="110"/>
          <w:sz w:val="18"/>
        </w:rPr>
        <w:t>changes to </w:t>
      </w:r>
      <w:r>
        <w:rPr>
          <w:color w:val="231F20"/>
          <w:spacing w:val="2"/>
          <w:w w:val="110"/>
          <w:sz w:val="18"/>
        </w:rPr>
        <w:t>Section </w:t>
      </w:r>
      <w:r>
        <w:rPr>
          <w:color w:val="231F20"/>
          <w:w w:val="110"/>
          <w:sz w:val="18"/>
        </w:rPr>
        <w:t>O occasioned by the introduction of the </w:t>
      </w:r>
      <w:r>
        <w:rPr>
          <w:color w:val="231F20"/>
          <w:spacing w:val="-7"/>
          <w:w w:val="110"/>
          <w:sz w:val="18"/>
        </w:rPr>
        <w:t>MIP. </w:t>
      </w:r>
      <w:r>
        <w:rPr>
          <w:color w:val="231F20"/>
          <w:w w:val="110"/>
          <w:sz w:val="18"/>
        </w:rPr>
        <w:t>It also includes the </w:t>
      </w:r>
      <w:r>
        <w:rPr>
          <w:color w:val="231F20"/>
          <w:spacing w:val="2"/>
          <w:w w:val="110"/>
          <w:sz w:val="18"/>
        </w:rPr>
        <w:t>necessary references </w:t>
      </w:r>
      <w:r>
        <w:rPr>
          <w:color w:val="231F20"/>
          <w:w w:val="110"/>
          <w:sz w:val="18"/>
        </w:rPr>
        <w:t>to</w:t>
      </w:r>
      <w:r>
        <w:rPr>
          <w:color w:val="231F20"/>
          <w:spacing w:val="49"/>
          <w:w w:val="110"/>
          <w:sz w:val="18"/>
        </w:rPr>
        <w:t> </w:t>
      </w:r>
      <w:r>
        <w:rPr>
          <w:color w:val="231F20"/>
          <w:w w:val="110"/>
          <w:sz w:val="18"/>
        </w:rPr>
        <w:t>CRCWs.</w:t>
      </w:r>
    </w:p>
    <w:p>
      <w:pPr>
        <w:pStyle w:val="BodyText"/>
        <w:spacing w:before="9"/>
        <w:rPr>
          <w:sz w:val="20"/>
        </w:rPr>
      </w:pPr>
    </w:p>
    <w:p>
      <w:pPr>
        <w:pStyle w:val="ListParagraph"/>
        <w:numPr>
          <w:ilvl w:val="2"/>
          <w:numId w:val="26"/>
        </w:numPr>
        <w:tabs>
          <w:tab w:pos="1380" w:val="left" w:leader="none"/>
        </w:tabs>
        <w:spacing w:line="273" w:lineRule="auto" w:before="0" w:after="0"/>
        <w:ind w:left="1354" w:right="1543" w:hanging="681"/>
        <w:jc w:val="left"/>
        <w:rPr>
          <w:sz w:val="18"/>
        </w:rPr>
      </w:pPr>
      <w:r>
        <w:rPr>
          <w:b/>
          <w:color w:val="231F20"/>
          <w:w w:val="110"/>
          <w:sz w:val="18"/>
        </w:rPr>
        <w:t>Resolution </w:t>
      </w:r>
      <w:r>
        <w:rPr>
          <w:b/>
          <w:color w:val="231F20"/>
          <w:spacing w:val="-4"/>
          <w:w w:val="110"/>
          <w:sz w:val="18"/>
        </w:rPr>
        <w:t>17 </w:t>
      </w:r>
      <w:r>
        <w:rPr>
          <w:color w:val="231F20"/>
          <w:spacing w:val="4"/>
          <w:w w:val="110"/>
          <w:sz w:val="18"/>
        </w:rPr>
        <w:t>effects </w:t>
      </w:r>
      <w:r>
        <w:rPr>
          <w:color w:val="231F20"/>
          <w:w w:val="110"/>
          <w:sz w:val="18"/>
        </w:rPr>
        <w:t>the same changes as Resolution </w:t>
      </w:r>
      <w:r>
        <w:rPr>
          <w:b/>
          <w:color w:val="231F20"/>
          <w:spacing w:val="-3"/>
          <w:w w:val="110"/>
          <w:sz w:val="18"/>
        </w:rPr>
        <w:t>16 </w:t>
      </w:r>
      <w:r>
        <w:rPr>
          <w:color w:val="231F20"/>
          <w:w w:val="110"/>
          <w:sz w:val="18"/>
        </w:rPr>
        <w:t>but without </w:t>
      </w:r>
      <w:r>
        <w:rPr>
          <w:color w:val="231F20"/>
          <w:spacing w:val="2"/>
          <w:w w:val="110"/>
          <w:sz w:val="18"/>
        </w:rPr>
        <w:t>references  </w:t>
      </w:r>
      <w:r>
        <w:rPr>
          <w:color w:val="231F20"/>
          <w:w w:val="110"/>
          <w:sz w:val="18"/>
        </w:rPr>
        <w:t>to the </w:t>
      </w:r>
      <w:r>
        <w:rPr>
          <w:color w:val="231F20"/>
          <w:spacing w:val="-7"/>
          <w:w w:val="110"/>
          <w:sz w:val="18"/>
        </w:rPr>
        <w:t>MIP. </w:t>
      </w:r>
      <w:r>
        <w:rPr>
          <w:color w:val="231F20"/>
          <w:w w:val="110"/>
          <w:sz w:val="18"/>
        </w:rPr>
        <w:t>(This resolution is </w:t>
      </w:r>
      <w:r>
        <w:rPr>
          <w:color w:val="231F20"/>
          <w:spacing w:val="2"/>
          <w:w w:val="110"/>
          <w:sz w:val="18"/>
        </w:rPr>
        <w:t>necessary </w:t>
      </w:r>
      <w:r>
        <w:rPr>
          <w:color w:val="231F20"/>
          <w:w w:val="110"/>
          <w:sz w:val="18"/>
        </w:rPr>
        <w:t>in </w:t>
      </w:r>
      <w:r>
        <w:rPr>
          <w:color w:val="231F20"/>
          <w:spacing w:val="2"/>
          <w:w w:val="110"/>
          <w:sz w:val="18"/>
        </w:rPr>
        <w:t>case </w:t>
      </w:r>
      <w:r>
        <w:rPr>
          <w:color w:val="231F20"/>
          <w:w w:val="110"/>
          <w:sz w:val="18"/>
        </w:rPr>
        <w:t>the Assembly either in 2007 or the </w:t>
      </w:r>
      <w:r>
        <w:rPr>
          <w:color w:val="231F20"/>
          <w:spacing w:val="2"/>
          <w:w w:val="110"/>
          <w:sz w:val="18"/>
        </w:rPr>
        <w:t>next </w:t>
      </w:r>
      <w:r>
        <w:rPr>
          <w:color w:val="231F20"/>
          <w:w w:val="110"/>
          <w:sz w:val="18"/>
        </w:rPr>
        <w:t>following Assembly </w:t>
      </w:r>
      <w:r>
        <w:rPr>
          <w:color w:val="231F20"/>
          <w:spacing w:val="2"/>
          <w:w w:val="110"/>
          <w:sz w:val="18"/>
        </w:rPr>
        <w:t>rejects </w:t>
      </w:r>
      <w:r>
        <w:rPr>
          <w:color w:val="231F20"/>
          <w:w w:val="110"/>
          <w:sz w:val="18"/>
        </w:rPr>
        <w:t>the</w:t>
      </w:r>
      <w:r>
        <w:rPr>
          <w:color w:val="231F20"/>
          <w:spacing w:val="4"/>
          <w:w w:val="110"/>
          <w:sz w:val="18"/>
        </w:rPr>
        <w:t> </w:t>
      </w:r>
      <w:r>
        <w:rPr>
          <w:color w:val="231F20"/>
          <w:spacing w:val="-9"/>
          <w:w w:val="110"/>
          <w:sz w:val="18"/>
        </w:rPr>
        <w:t>MIP.)</w:t>
      </w:r>
    </w:p>
    <w:p>
      <w:pPr>
        <w:spacing w:after="0" w:line="273" w:lineRule="auto"/>
        <w:jc w:val="left"/>
        <w:rPr>
          <w:sz w:val="18"/>
        </w:rPr>
        <w:sectPr>
          <w:pgSz w:w="11910" w:h="16840"/>
          <w:pgMar w:header="581" w:footer="464" w:top="860" w:bottom="740" w:left="460" w:right="0"/>
        </w:sectPr>
      </w:pPr>
    </w:p>
    <w:p>
      <w:pPr>
        <w:pStyle w:val="BodyText"/>
        <w:spacing w:before="10"/>
        <w:rPr>
          <w:sz w:val="11"/>
        </w:rPr>
      </w:pPr>
    </w:p>
    <w:p>
      <w:pPr>
        <w:pStyle w:val="ListParagraph"/>
        <w:numPr>
          <w:ilvl w:val="2"/>
          <w:numId w:val="26"/>
        </w:numPr>
        <w:tabs>
          <w:tab w:pos="1943" w:val="left" w:leader="none"/>
        </w:tabs>
        <w:spacing w:line="273" w:lineRule="auto" w:before="101" w:after="0"/>
        <w:ind w:left="1921" w:right="1235" w:hanging="681"/>
        <w:jc w:val="left"/>
        <w:rPr>
          <w:sz w:val="18"/>
        </w:rPr>
      </w:pPr>
      <w:r>
        <w:rPr>
          <w:b/>
          <w:color w:val="231F20"/>
          <w:w w:val="110"/>
          <w:sz w:val="18"/>
        </w:rPr>
        <w:t>Resolution 18 </w:t>
      </w:r>
      <w:r>
        <w:rPr>
          <w:color w:val="231F20"/>
          <w:w w:val="110"/>
          <w:sz w:val="18"/>
        </w:rPr>
        <w:t>amends the Structure to introduce a new </w:t>
      </w:r>
      <w:r>
        <w:rPr>
          <w:color w:val="231F20"/>
          <w:spacing w:val="2"/>
          <w:w w:val="110"/>
          <w:sz w:val="18"/>
        </w:rPr>
        <w:t>Part </w:t>
      </w:r>
      <w:r>
        <w:rPr>
          <w:color w:val="231F20"/>
          <w:w w:val="110"/>
          <w:sz w:val="18"/>
        </w:rPr>
        <w:t>II to Schedule F in order to make similar provisions for CRCWs to those which appear in Schedule E  in relation to Ministers of Word and Sacrament. It also makes one small change  to Schedule E</w:t>
      </w:r>
      <w:r>
        <w:rPr>
          <w:color w:val="231F20"/>
          <w:spacing w:val="3"/>
          <w:w w:val="110"/>
          <w:sz w:val="18"/>
        </w:rPr>
        <w:t> </w:t>
      </w:r>
      <w:r>
        <w:rPr>
          <w:color w:val="231F20"/>
          <w:w w:val="110"/>
          <w:sz w:val="18"/>
        </w:rPr>
        <w:t>itself.</w:t>
      </w:r>
    </w:p>
    <w:p>
      <w:pPr>
        <w:pStyle w:val="BodyText"/>
        <w:spacing w:before="9"/>
        <w:rPr>
          <w:sz w:val="20"/>
        </w:rPr>
      </w:pPr>
    </w:p>
    <w:p>
      <w:pPr>
        <w:pStyle w:val="ListParagraph"/>
        <w:numPr>
          <w:ilvl w:val="2"/>
          <w:numId w:val="26"/>
        </w:numPr>
        <w:tabs>
          <w:tab w:pos="1944" w:val="left" w:leader="none"/>
        </w:tabs>
        <w:spacing w:line="273" w:lineRule="auto" w:before="0" w:after="0"/>
        <w:ind w:left="1921" w:right="1645" w:hanging="681"/>
        <w:jc w:val="left"/>
        <w:rPr>
          <w:sz w:val="18"/>
        </w:rPr>
      </w:pPr>
      <w:r>
        <w:rPr>
          <w:color w:val="231F20"/>
          <w:w w:val="110"/>
          <w:sz w:val="18"/>
        </w:rPr>
        <w:t>Finally, </w:t>
      </w:r>
      <w:r>
        <w:rPr>
          <w:b/>
          <w:color w:val="231F20"/>
          <w:w w:val="110"/>
          <w:sz w:val="18"/>
        </w:rPr>
        <w:t>Resolution </w:t>
      </w:r>
      <w:r>
        <w:rPr>
          <w:b/>
          <w:color w:val="231F20"/>
          <w:spacing w:val="-4"/>
          <w:w w:val="110"/>
          <w:sz w:val="18"/>
        </w:rPr>
        <w:t>19 </w:t>
      </w:r>
      <w:r>
        <w:rPr>
          <w:color w:val="231F20"/>
          <w:w w:val="110"/>
          <w:sz w:val="18"/>
        </w:rPr>
        <w:t>introduces the </w:t>
      </w:r>
      <w:r>
        <w:rPr>
          <w:color w:val="231F20"/>
          <w:spacing w:val="2"/>
          <w:w w:val="110"/>
          <w:sz w:val="18"/>
        </w:rPr>
        <w:t>necessary </w:t>
      </w:r>
      <w:r>
        <w:rPr>
          <w:color w:val="231F20"/>
          <w:w w:val="110"/>
          <w:sz w:val="18"/>
        </w:rPr>
        <w:t>changes to the Structure to bring CRCWs under the provisions of </w:t>
      </w:r>
      <w:r>
        <w:rPr>
          <w:color w:val="231F20"/>
          <w:spacing w:val="2"/>
          <w:w w:val="110"/>
          <w:sz w:val="18"/>
        </w:rPr>
        <w:t>Section</w:t>
      </w:r>
      <w:r>
        <w:rPr>
          <w:color w:val="231F20"/>
          <w:spacing w:val="14"/>
          <w:w w:val="110"/>
          <w:sz w:val="18"/>
        </w:rPr>
        <w:t> </w:t>
      </w:r>
      <w:r>
        <w:rPr>
          <w:color w:val="231F20"/>
          <w:spacing w:val="-4"/>
          <w:w w:val="110"/>
          <w:sz w:val="18"/>
        </w:rPr>
        <w:t>O.</w:t>
      </w:r>
    </w:p>
    <w:p>
      <w:pPr>
        <w:pStyle w:val="BodyText"/>
        <w:spacing w:before="8"/>
        <w:rPr>
          <w:sz w:val="20"/>
        </w:rPr>
      </w:pPr>
    </w:p>
    <w:p>
      <w:pPr>
        <w:pStyle w:val="ListParagraph"/>
        <w:numPr>
          <w:ilvl w:val="2"/>
          <w:numId w:val="26"/>
        </w:numPr>
        <w:tabs>
          <w:tab w:pos="1949" w:val="left" w:leader="none"/>
        </w:tabs>
        <w:spacing w:line="273" w:lineRule="auto" w:before="0" w:after="0"/>
        <w:ind w:left="1921" w:right="1180" w:hanging="681"/>
        <w:jc w:val="left"/>
        <w:rPr>
          <w:sz w:val="18"/>
        </w:rPr>
      </w:pPr>
      <w:r>
        <w:rPr>
          <w:color w:val="231F20"/>
          <w:w w:val="110"/>
          <w:sz w:val="18"/>
        </w:rPr>
        <w:t>Resolutions </w:t>
      </w:r>
      <w:r>
        <w:rPr>
          <w:b/>
          <w:color w:val="231F20"/>
          <w:w w:val="110"/>
          <w:sz w:val="18"/>
        </w:rPr>
        <w:t>12, 14, 15, 16, </w:t>
      </w:r>
      <w:r>
        <w:rPr>
          <w:b/>
          <w:color w:val="231F20"/>
          <w:spacing w:val="-10"/>
          <w:w w:val="110"/>
          <w:sz w:val="18"/>
        </w:rPr>
        <w:t>17, </w:t>
      </w:r>
      <w:r>
        <w:rPr>
          <w:b/>
          <w:color w:val="231F20"/>
          <w:w w:val="110"/>
          <w:sz w:val="18"/>
        </w:rPr>
        <w:t>18 and </w:t>
      </w:r>
      <w:r>
        <w:rPr>
          <w:b/>
          <w:color w:val="231F20"/>
          <w:spacing w:val="-7"/>
          <w:w w:val="110"/>
          <w:sz w:val="18"/>
        </w:rPr>
        <w:t>19</w:t>
      </w:r>
      <w:r>
        <w:rPr>
          <w:color w:val="231F20"/>
          <w:spacing w:val="-7"/>
          <w:w w:val="110"/>
          <w:sz w:val="18"/>
        </w:rPr>
        <w:t>, </w:t>
      </w:r>
      <w:r>
        <w:rPr>
          <w:color w:val="231F20"/>
          <w:w w:val="110"/>
          <w:sz w:val="18"/>
        </w:rPr>
        <w:t>if passed, are subject to the </w:t>
      </w:r>
      <w:r>
        <w:rPr>
          <w:color w:val="231F20"/>
          <w:spacing w:val="3"/>
          <w:w w:val="110"/>
          <w:sz w:val="18"/>
        </w:rPr>
        <w:t>“two </w:t>
      </w:r>
      <w:r>
        <w:rPr>
          <w:color w:val="231F20"/>
          <w:w w:val="110"/>
          <w:sz w:val="18"/>
        </w:rPr>
        <w:t>year rule”, and will </w:t>
      </w:r>
      <w:r>
        <w:rPr>
          <w:color w:val="231F20"/>
          <w:spacing w:val="2"/>
          <w:w w:val="110"/>
          <w:sz w:val="18"/>
        </w:rPr>
        <w:t>therefore </w:t>
      </w:r>
      <w:r>
        <w:rPr>
          <w:color w:val="231F20"/>
          <w:w w:val="110"/>
          <w:sz w:val="18"/>
        </w:rPr>
        <w:t>be sent to Synods for consideration </w:t>
      </w:r>
      <w:r>
        <w:rPr>
          <w:color w:val="231F20"/>
          <w:spacing w:val="2"/>
          <w:w w:val="110"/>
          <w:sz w:val="18"/>
        </w:rPr>
        <w:t>before </w:t>
      </w:r>
      <w:r>
        <w:rPr>
          <w:color w:val="231F20"/>
          <w:w w:val="110"/>
          <w:sz w:val="18"/>
        </w:rPr>
        <w:t>returning to Assembly for</w:t>
      </w:r>
      <w:r>
        <w:rPr>
          <w:color w:val="231F20"/>
          <w:spacing w:val="4"/>
          <w:w w:val="110"/>
          <w:sz w:val="18"/>
        </w:rPr>
        <w:t> </w:t>
      </w:r>
      <w:r>
        <w:rPr>
          <w:color w:val="231F20"/>
          <w:w w:val="110"/>
          <w:sz w:val="18"/>
        </w:rPr>
        <w:t>ratification.</w:t>
      </w:r>
    </w:p>
    <w:p>
      <w:pPr>
        <w:pStyle w:val="BodyText"/>
        <w:spacing w:before="9"/>
        <w:rPr>
          <w:sz w:val="20"/>
        </w:rPr>
      </w:pPr>
    </w:p>
    <w:p>
      <w:pPr>
        <w:pStyle w:val="ListParagraph"/>
        <w:numPr>
          <w:ilvl w:val="2"/>
          <w:numId w:val="26"/>
        </w:numPr>
        <w:tabs>
          <w:tab w:pos="1945" w:val="left" w:leader="none"/>
        </w:tabs>
        <w:spacing w:line="273" w:lineRule="auto" w:before="0" w:after="0"/>
        <w:ind w:left="1921" w:right="1241" w:hanging="681"/>
        <w:jc w:val="both"/>
        <w:rPr>
          <w:sz w:val="18"/>
        </w:rPr>
      </w:pPr>
      <w:r>
        <w:rPr>
          <w:color w:val="231F20"/>
          <w:spacing w:val="2"/>
          <w:w w:val="110"/>
          <w:sz w:val="18"/>
        </w:rPr>
        <w:t>Part </w:t>
      </w:r>
      <w:r>
        <w:rPr>
          <w:color w:val="231F20"/>
          <w:w w:val="110"/>
          <w:sz w:val="18"/>
        </w:rPr>
        <w:t>II of both </w:t>
      </w:r>
      <w:r>
        <w:rPr>
          <w:color w:val="231F20"/>
          <w:spacing w:val="2"/>
          <w:w w:val="110"/>
          <w:sz w:val="18"/>
        </w:rPr>
        <w:t>Section </w:t>
      </w:r>
      <w:r>
        <w:rPr>
          <w:color w:val="231F20"/>
          <w:w w:val="110"/>
          <w:sz w:val="18"/>
        </w:rPr>
        <w:t>O and the Ministerial Incapacity Procedure (Section </w:t>
      </w:r>
      <w:r>
        <w:rPr>
          <w:color w:val="231F20"/>
          <w:spacing w:val="-4"/>
          <w:w w:val="110"/>
          <w:sz w:val="18"/>
        </w:rPr>
        <w:t>P) </w:t>
      </w:r>
      <w:r>
        <w:rPr>
          <w:color w:val="231F20"/>
          <w:w w:val="110"/>
          <w:sz w:val="18"/>
        </w:rPr>
        <w:t>will need to be amended to include </w:t>
      </w:r>
      <w:r>
        <w:rPr>
          <w:color w:val="231F20"/>
          <w:spacing w:val="2"/>
          <w:w w:val="110"/>
          <w:sz w:val="18"/>
        </w:rPr>
        <w:t>references </w:t>
      </w:r>
      <w:r>
        <w:rPr>
          <w:color w:val="231F20"/>
          <w:w w:val="110"/>
          <w:sz w:val="18"/>
        </w:rPr>
        <w:t>to CRCWs. Among others, that will be  a major task for the Group in the coming</w:t>
      </w:r>
      <w:r>
        <w:rPr>
          <w:color w:val="231F20"/>
          <w:spacing w:val="16"/>
          <w:w w:val="110"/>
          <w:sz w:val="18"/>
        </w:rPr>
        <w:t> </w:t>
      </w:r>
      <w:r>
        <w:rPr>
          <w:color w:val="231F20"/>
          <w:spacing w:val="-4"/>
          <w:w w:val="110"/>
          <w:sz w:val="18"/>
        </w:rPr>
        <w:t>year.</w:t>
      </w:r>
    </w:p>
    <w:p>
      <w:pPr>
        <w:pStyle w:val="BodyText"/>
        <w:spacing w:before="9"/>
        <w:rPr>
          <w:sz w:val="20"/>
        </w:rPr>
      </w:pPr>
    </w:p>
    <w:p>
      <w:pPr>
        <w:pStyle w:val="ListParagraph"/>
        <w:numPr>
          <w:ilvl w:val="1"/>
          <w:numId w:val="26"/>
        </w:numPr>
        <w:tabs>
          <w:tab w:pos="1873" w:val="left" w:leader="none"/>
          <w:tab w:pos="1874" w:val="left" w:leader="none"/>
        </w:tabs>
        <w:spacing w:line="273" w:lineRule="auto" w:before="0" w:after="0"/>
        <w:ind w:left="1240" w:right="1262" w:firstLine="0"/>
        <w:jc w:val="left"/>
        <w:rPr>
          <w:color w:val="231F20"/>
          <w:sz w:val="18"/>
        </w:rPr>
      </w:pPr>
      <w:r>
        <w:rPr>
          <w:b/>
          <w:color w:val="231F20"/>
          <w:w w:val="110"/>
          <w:sz w:val="18"/>
        </w:rPr>
        <w:t>The Grants and Loans Group </w:t>
      </w:r>
      <w:r>
        <w:rPr>
          <w:color w:val="231F20"/>
          <w:w w:val="110"/>
          <w:sz w:val="18"/>
        </w:rPr>
        <w:t>administers the Church Buildings Fund, which provides grants and loans to churches to assist with improvements/modifications to church buildings, and the Mission </w:t>
      </w:r>
      <w:r>
        <w:rPr>
          <w:color w:val="231F20"/>
          <w:spacing w:val="2"/>
          <w:w w:val="110"/>
          <w:sz w:val="18"/>
        </w:rPr>
        <w:t>Project </w:t>
      </w:r>
      <w:r>
        <w:rPr>
          <w:color w:val="231F20"/>
          <w:w w:val="110"/>
          <w:sz w:val="18"/>
        </w:rPr>
        <w:t>Fund, which provides grants for mission work. </w:t>
      </w:r>
      <w:r>
        <w:rPr>
          <w:color w:val="231F20"/>
          <w:spacing w:val="-3"/>
          <w:w w:val="110"/>
          <w:sz w:val="18"/>
        </w:rPr>
        <w:t>We </w:t>
      </w:r>
      <w:r>
        <w:rPr>
          <w:color w:val="231F20"/>
          <w:w w:val="110"/>
          <w:sz w:val="18"/>
        </w:rPr>
        <w:t>have continued our policy of giving grants only to synods and churches with the greatest need.</w:t>
      </w:r>
    </w:p>
    <w:p>
      <w:pPr>
        <w:pStyle w:val="BodyText"/>
        <w:spacing w:before="10"/>
        <w:rPr>
          <w:sz w:val="20"/>
        </w:rPr>
      </w:pPr>
    </w:p>
    <w:p>
      <w:pPr>
        <w:pStyle w:val="ListParagraph"/>
        <w:numPr>
          <w:ilvl w:val="2"/>
          <w:numId w:val="26"/>
        </w:numPr>
        <w:tabs>
          <w:tab w:pos="1922" w:val="left" w:leader="none"/>
        </w:tabs>
        <w:spacing w:line="240" w:lineRule="auto" w:before="0" w:after="0"/>
        <w:ind w:left="1921" w:right="0" w:hanging="682"/>
        <w:jc w:val="left"/>
        <w:rPr>
          <w:sz w:val="18"/>
        </w:rPr>
      </w:pPr>
      <w:r>
        <w:rPr>
          <w:color w:val="231F20"/>
          <w:w w:val="110"/>
          <w:sz w:val="18"/>
        </w:rPr>
        <w:t>Budget Provision</w:t>
      </w:r>
    </w:p>
    <w:p>
      <w:pPr>
        <w:pStyle w:val="BodyText"/>
        <w:spacing w:line="273" w:lineRule="auto" w:before="31"/>
        <w:ind w:left="1921" w:right="1693"/>
      </w:pPr>
      <w:r>
        <w:rPr>
          <w:color w:val="231F20"/>
          <w:w w:val="110"/>
        </w:rPr>
        <w:t>For the year 2006 the budget for grants </w:t>
      </w:r>
      <w:r>
        <w:rPr>
          <w:color w:val="231F20"/>
          <w:spacing w:val="2"/>
          <w:w w:val="110"/>
        </w:rPr>
        <w:t>from </w:t>
      </w:r>
      <w:r>
        <w:rPr>
          <w:color w:val="231F20"/>
          <w:w w:val="110"/>
        </w:rPr>
        <w:t>the Church Building Fund was approximately £97000, which has been used primarily for provision of funds for facilities for the disabled. By the end of the year £54000 had been spent, with £36000 granted but not yet spent and a </w:t>
      </w:r>
      <w:r>
        <w:rPr>
          <w:color w:val="231F20"/>
          <w:spacing w:val="2"/>
          <w:w w:val="110"/>
        </w:rPr>
        <w:t>further </w:t>
      </w:r>
      <w:r>
        <w:rPr>
          <w:color w:val="231F20"/>
          <w:w w:val="110"/>
        </w:rPr>
        <w:t>£20000 was approved at the December meeting. </w:t>
      </w:r>
      <w:r>
        <w:rPr>
          <w:color w:val="231F20"/>
          <w:spacing w:val="2"/>
          <w:w w:val="110"/>
        </w:rPr>
        <w:t>There </w:t>
      </w:r>
      <w:r>
        <w:rPr>
          <w:color w:val="231F20"/>
          <w:w w:val="110"/>
        </w:rPr>
        <w:t>is always a problem knowing when a grant will be taken up as there are </w:t>
      </w:r>
      <w:r>
        <w:rPr>
          <w:color w:val="231F20"/>
          <w:spacing w:val="2"/>
          <w:w w:val="110"/>
        </w:rPr>
        <w:t>often </w:t>
      </w:r>
      <w:r>
        <w:rPr>
          <w:color w:val="231F20"/>
          <w:w w:val="110"/>
        </w:rPr>
        <w:t>delays in building work being </w:t>
      </w:r>
      <w:r>
        <w:rPr>
          <w:color w:val="231F20"/>
          <w:spacing w:val="2"/>
          <w:w w:val="110"/>
        </w:rPr>
        <w:t>carried </w:t>
      </w:r>
      <w:r>
        <w:rPr>
          <w:color w:val="231F20"/>
          <w:w w:val="110"/>
        </w:rPr>
        <w:t>out. If   the grant is not taken up within </w:t>
      </w:r>
      <w:r>
        <w:rPr>
          <w:color w:val="231F20"/>
          <w:spacing w:val="-3"/>
          <w:w w:val="110"/>
        </w:rPr>
        <w:t>12 </w:t>
      </w:r>
      <w:r>
        <w:rPr>
          <w:color w:val="231F20"/>
          <w:w w:val="110"/>
        </w:rPr>
        <w:t>months an extension has to be applied </w:t>
      </w:r>
      <w:r>
        <w:rPr>
          <w:color w:val="231F20"/>
          <w:spacing w:val="-4"/>
          <w:w w:val="110"/>
        </w:rPr>
        <w:t>for, </w:t>
      </w:r>
      <w:r>
        <w:rPr>
          <w:color w:val="231F20"/>
          <w:w w:val="110"/>
        </w:rPr>
        <w:t>but will normally be given. </w:t>
      </w:r>
      <w:r>
        <w:rPr>
          <w:color w:val="231F20"/>
          <w:spacing w:val="-6"/>
          <w:w w:val="110"/>
        </w:rPr>
        <w:t>Two </w:t>
      </w:r>
      <w:r>
        <w:rPr>
          <w:color w:val="231F20"/>
          <w:w w:val="110"/>
        </w:rPr>
        <w:t>loans of £60000 and £100000 </w:t>
      </w:r>
      <w:r>
        <w:rPr>
          <w:color w:val="231F20"/>
          <w:spacing w:val="2"/>
          <w:w w:val="110"/>
        </w:rPr>
        <w:t>respectively </w:t>
      </w:r>
      <w:r>
        <w:rPr>
          <w:color w:val="231F20"/>
          <w:w w:val="110"/>
        </w:rPr>
        <w:t>have </w:t>
      </w:r>
      <w:r>
        <w:rPr>
          <w:color w:val="231F20"/>
          <w:spacing w:val="3"/>
          <w:w w:val="110"/>
        </w:rPr>
        <w:t>been </w:t>
      </w:r>
      <w:r>
        <w:rPr>
          <w:color w:val="231F20"/>
          <w:spacing w:val="2"/>
          <w:w w:val="110"/>
        </w:rPr>
        <w:t>approved for remedial work </w:t>
      </w:r>
      <w:r>
        <w:rPr>
          <w:color w:val="231F20"/>
          <w:w w:val="110"/>
        </w:rPr>
        <w:t>on </w:t>
      </w:r>
      <w:r>
        <w:rPr>
          <w:color w:val="231F20"/>
          <w:spacing w:val="3"/>
          <w:w w:val="110"/>
        </w:rPr>
        <w:t>church</w:t>
      </w:r>
      <w:r>
        <w:rPr>
          <w:color w:val="231F20"/>
          <w:spacing w:val="44"/>
          <w:w w:val="110"/>
        </w:rPr>
        <w:t> </w:t>
      </w:r>
      <w:r>
        <w:rPr>
          <w:color w:val="231F20"/>
          <w:spacing w:val="2"/>
          <w:w w:val="110"/>
        </w:rPr>
        <w:t>buildings.</w:t>
      </w:r>
    </w:p>
    <w:p>
      <w:pPr>
        <w:pStyle w:val="BodyText"/>
        <w:spacing w:line="273" w:lineRule="auto" w:before="5"/>
        <w:ind w:left="1921" w:right="1593"/>
      </w:pPr>
      <w:r>
        <w:rPr>
          <w:color w:val="231F20"/>
          <w:w w:val="110"/>
        </w:rPr>
        <w:t>The allocation for the Mission Project Fund was £135000 (including £20000 from Carmichael Montgomery Capital Fund) of which we have spent £95000, with outstanding grants of £16000 which have not yet been taken up.</w:t>
      </w:r>
    </w:p>
    <w:p>
      <w:pPr>
        <w:pStyle w:val="BodyText"/>
        <w:spacing w:before="9"/>
        <w:rPr>
          <w:sz w:val="20"/>
        </w:rPr>
      </w:pPr>
    </w:p>
    <w:p>
      <w:pPr>
        <w:pStyle w:val="ListParagraph"/>
        <w:numPr>
          <w:ilvl w:val="2"/>
          <w:numId w:val="26"/>
        </w:numPr>
        <w:tabs>
          <w:tab w:pos="1897" w:val="left" w:leader="none"/>
        </w:tabs>
        <w:spacing w:line="240" w:lineRule="auto" w:before="0" w:after="0"/>
        <w:ind w:left="1896" w:right="0" w:hanging="657"/>
        <w:jc w:val="left"/>
        <w:rPr>
          <w:sz w:val="18"/>
        </w:rPr>
      </w:pPr>
      <w:r>
        <w:rPr>
          <w:color w:val="231F20"/>
          <w:w w:val="110"/>
          <w:sz w:val="18"/>
        </w:rPr>
        <w:t>Grants for facilities for the</w:t>
      </w:r>
      <w:r>
        <w:rPr>
          <w:color w:val="231F20"/>
          <w:spacing w:val="7"/>
          <w:w w:val="110"/>
          <w:sz w:val="18"/>
        </w:rPr>
        <w:t> </w:t>
      </w:r>
      <w:r>
        <w:rPr>
          <w:color w:val="231F20"/>
          <w:w w:val="110"/>
          <w:sz w:val="18"/>
        </w:rPr>
        <w:t>disabled</w:t>
      </w:r>
    </w:p>
    <w:p>
      <w:pPr>
        <w:pStyle w:val="BodyText"/>
        <w:spacing w:line="273" w:lineRule="auto" w:before="32"/>
        <w:ind w:left="1921" w:right="1365" w:hanging="1"/>
      </w:pPr>
      <w:r>
        <w:rPr>
          <w:color w:val="231F20"/>
          <w:w w:val="110"/>
        </w:rPr>
        <w:t>Once again the expected large drop in applications for grants towards costs of facilities for the disabled did not occur. Thus we have not been able to consider any other projects in 2006. Twelve grants were paid this year and four more approved. Thus with the outstanding grants from earlier in the year already</w:t>
      </w:r>
    </w:p>
    <w:p>
      <w:pPr>
        <w:pStyle w:val="BodyText"/>
        <w:spacing w:before="2"/>
        <w:ind w:left="1921"/>
      </w:pPr>
      <w:r>
        <w:rPr>
          <w:color w:val="231F20"/>
          <w:w w:val="110"/>
        </w:rPr>
        <w:t>£56000 are committed for </w:t>
      </w:r>
      <w:r>
        <w:rPr>
          <w:color w:val="231F20"/>
          <w:spacing w:val="-6"/>
          <w:w w:val="110"/>
        </w:rPr>
        <w:t>2007. </w:t>
      </w:r>
      <w:r>
        <w:rPr>
          <w:color w:val="231F20"/>
          <w:w w:val="110"/>
        </w:rPr>
        <w:t>A summary of the expenditure is given</w:t>
      </w:r>
      <w:r>
        <w:rPr>
          <w:color w:val="231F20"/>
          <w:spacing w:val="51"/>
          <w:w w:val="110"/>
        </w:rPr>
        <w:t> </w:t>
      </w:r>
      <w:r>
        <w:rPr>
          <w:color w:val="231F20"/>
          <w:w w:val="110"/>
        </w:rPr>
        <w:t>in</w:t>
      </w:r>
    </w:p>
    <w:p>
      <w:pPr>
        <w:spacing w:before="31"/>
        <w:ind w:left="1921" w:right="0" w:firstLine="0"/>
        <w:jc w:val="left"/>
        <w:rPr>
          <w:sz w:val="18"/>
        </w:rPr>
      </w:pPr>
      <w:r>
        <w:rPr>
          <w:b/>
          <w:color w:val="231F20"/>
          <w:w w:val="110"/>
          <w:sz w:val="18"/>
        </w:rPr>
        <w:t>Document 6</w:t>
      </w:r>
      <w:r>
        <w:rPr>
          <w:color w:val="231F20"/>
          <w:w w:val="110"/>
          <w:sz w:val="18"/>
        </w:rPr>
        <w:t>, page 77.</w:t>
      </w:r>
    </w:p>
    <w:p>
      <w:pPr>
        <w:pStyle w:val="BodyText"/>
        <w:spacing w:before="2"/>
        <w:rPr>
          <w:sz w:val="23"/>
        </w:rPr>
      </w:pPr>
    </w:p>
    <w:p>
      <w:pPr>
        <w:pStyle w:val="BodyText"/>
        <w:spacing w:line="273" w:lineRule="auto"/>
        <w:ind w:left="1921" w:right="1365"/>
      </w:pPr>
      <w:r>
        <w:rPr>
          <w:color w:val="231F20"/>
          <w:w w:val="110"/>
        </w:rPr>
        <w:t>A grant awarded for work on disabled facilities at a church in 2004 was returned as the church subsequently closed in 2005 and was sold off in 2006. It is important that Synods evaluate applications from  local  churches  carefully before giving their approval.</w:t>
      </w:r>
    </w:p>
    <w:p>
      <w:pPr>
        <w:pStyle w:val="BodyText"/>
        <w:spacing w:before="9"/>
        <w:rPr>
          <w:sz w:val="20"/>
        </w:rPr>
      </w:pPr>
    </w:p>
    <w:p>
      <w:pPr>
        <w:pStyle w:val="ListParagraph"/>
        <w:numPr>
          <w:ilvl w:val="2"/>
          <w:numId w:val="26"/>
        </w:numPr>
        <w:tabs>
          <w:tab w:pos="1922" w:val="left" w:leader="none"/>
        </w:tabs>
        <w:spacing w:line="240" w:lineRule="auto" w:before="0" w:after="0"/>
        <w:ind w:left="1921" w:right="0" w:hanging="682"/>
        <w:jc w:val="left"/>
        <w:rPr>
          <w:sz w:val="18"/>
        </w:rPr>
      </w:pPr>
      <w:r>
        <w:rPr>
          <w:color w:val="231F20"/>
          <w:w w:val="110"/>
          <w:sz w:val="18"/>
        </w:rPr>
        <w:t>Mission </w:t>
      </w:r>
      <w:r>
        <w:rPr>
          <w:color w:val="231F20"/>
          <w:spacing w:val="2"/>
          <w:w w:val="110"/>
          <w:sz w:val="18"/>
        </w:rPr>
        <w:t>project </w:t>
      </w:r>
      <w:r>
        <w:rPr>
          <w:color w:val="231F20"/>
          <w:w w:val="110"/>
          <w:sz w:val="18"/>
        </w:rPr>
        <w:t>funding</w:t>
      </w:r>
    </w:p>
    <w:p>
      <w:pPr>
        <w:pStyle w:val="BodyText"/>
        <w:spacing w:line="273" w:lineRule="auto" w:before="31"/>
        <w:ind w:left="1921" w:right="1715"/>
      </w:pPr>
      <w:r>
        <w:rPr>
          <w:color w:val="231F20"/>
          <w:w w:val="110"/>
        </w:rPr>
        <w:t>In 2006 </w:t>
      </w:r>
      <w:r>
        <w:rPr>
          <w:color w:val="231F20"/>
          <w:spacing w:val="2"/>
          <w:w w:val="110"/>
        </w:rPr>
        <w:t>fifteen </w:t>
      </w:r>
      <w:r>
        <w:rPr>
          <w:color w:val="231F20"/>
          <w:w w:val="110"/>
        </w:rPr>
        <w:t>applications were received of which twelve were approved  </w:t>
      </w:r>
      <w:r>
        <w:rPr>
          <w:color w:val="231F20"/>
          <w:spacing w:val="-3"/>
          <w:w w:val="110"/>
        </w:rPr>
        <w:t>(five </w:t>
      </w:r>
      <w:r>
        <w:rPr>
          <w:color w:val="231F20"/>
          <w:w w:val="110"/>
        </w:rPr>
        <w:t>for extensions of existing projects) (see </w:t>
      </w:r>
      <w:r>
        <w:rPr>
          <w:b/>
          <w:color w:val="231F20"/>
          <w:w w:val="110"/>
        </w:rPr>
        <w:t>Document </w:t>
      </w:r>
      <w:r>
        <w:rPr>
          <w:b/>
          <w:color w:val="231F20"/>
          <w:spacing w:val="-5"/>
          <w:w w:val="110"/>
        </w:rPr>
        <w:t>6</w:t>
      </w:r>
      <w:r>
        <w:rPr>
          <w:color w:val="231F20"/>
          <w:spacing w:val="-5"/>
          <w:w w:val="110"/>
        </w:rPr>
        <w:t>). </w:t>
      </w:r>
      <w:r>
        <w:rPr>
          <w:color w:val="231F20"/>
          <w:w w:val="110"/>
        </w:rPr>
        <w:t>Annual </w:t>
      </w:r>
      <w:r>
        <w:rPr>
          <w:color w:val="231F20"/>
          <w:spacing w:val="3"/>
          <w:w w:val="110"/>
        </w:rPr>
        <w:t>reports </w:t>
      </w:r>
      <w:r>
        <w:rPr>
          <w:color w:val="231F20"/>
          <w:w w:val="110"/>
        </w:rPr>
        <w:t>submitted by all the mission </w:t>
      </w:r>
      <w:r>
        <w:rPr>
          <w:color w:val="231F20"/>
          <w:spacing w:val="2"/>
          <w:w w:val="110"/>
        </w:rPr>
        <w:t>projects </w:t>
      </w:r>
      <w:r>
        <w:rPr>
          <w:color w:val="231F20"/>
          <w:w w:val="110"/>
        </w:rPr>
        <w:t>give an encouraging picture of the initiative, determination and commitment of the people seeking to be ‘church’ in their</w:t>
      </w:r>
      <w:r>
        <w:rPr>
          <w:color w:val="231F20"/>
          <w:spacing w:val="2"/>
          <w:w w:val="110"/>
        </w:rPr>
        <w:t> </w:t>
      </w:r>
      <w:r>
        <w:rPr>
          <w:color w:val="231F20"/>
          <w:w w:val="110"/>
        </w:rPr>
        <w:t>communities.</w:t>
      </w:r>
    </w:p>
    <w:p>
      <w:pPr>
        <w:spacing w:after="0" w:line="273" w:lineRule="auto"/>
        <w:sectPr>
          <w:pgSz w:w="11910" w:h="16840"/>
          <w:pgMar w:header="581" w:footer="544" w:top="860" w:bottom="740" w:left="460" w:right="0"/>
        </w:sectPr>
      </w:pPr>
    </w:p>
    <w:p>
      <w:pPr>
        <w:pStyle w:val="BodyText"/>
        <w:spacing w:before="10"/>
        <w:rPr>
          <w:sz w:val="11"/>
        </w:rPr>
      </w:pPr>
    </w:p>
    <w:p>
      <w:pPr>
        <w:pStyle w:val="ListParagraph"/>
        <w:numPr>
          <w:ilvl w:val="2"/>
          <w:numId w:val="26"/>
        </w:numPr>
        <w:tabs>
          <w:tab w:pos="1355" w:val="left" w:leader="none"/>
        </w:tabs>
        <w:spacing w:line="240" w:lineRule="auto" w:before="101" w:after="0"/>
        <w:ind w:left="1354" w:right="0" w:hanging="682"/>
        <w:jc w:val="left"/>
        <w:rPr>
          <w:sz w:val="18"/>
        </w:rPr>
      </w:pPr>
      <w:r>
        <w:rPr>
          <w:color w:val="231F20"/>
          <w:w w:val="110"/>
          <w:sz w:val="18"/>
        </w:rPr>
        <w:t>Reflections</w:t>
      </w:r>
    </w:p>
    <w:p>
      <w:pPr>
        <w:pStyle w:val="BodyText"/>
        <w:spacing w:line="273" w:lineRule="auto" w:before="31"/>
        <w:ind w:left="1354" w:right="1664"/>
      </w:pPr>
      <w:r>
        <w:rPr>
          <w:color w:val="231F20"/>
          <w:w w:val="110"/>
        </w:rPr>
        <w:t>The Grants and Loans Group believes that the monies it makes available from Central Funds provides a real benefit, both to local churches and communities, and that without it </w:t>
      </w:r>
      <w:r>
        <w:rPr>
          <w:color w:val="231F20"/>
          <w:spacing w:val="-3"/>
          <w:w w:val="110"/>
        </w:rPr>
        <w:t>many </w:t>
      </w:r>
      <w:r>
        <w:rPr>
          <w:color w:val="231F20"/>
          <w:w w:val="110"/>
        </w:rPr>
        <w:t>projects would not get started. </w:t>
      </w:r>
      <w:r>
        <w:rPr>
          <w:color w:val="231F20"/>
          <w:spacing w:val="-4"/>
          <w:w w:val="110"/>
        </w:rPr>
        <w:t>We </w:t>
      </w:r>
      <w:r>
        <w:rPr>
          <w:color w:val="231F20"/>
          <w:w w:val="110"/>
        </w:rPr>
        <w:t>commented last year that the hope was that these projects if successful would become self financing. </w:t>
      </w:r>
      <w:r>
        <w:rPr>
          <w:color w:val="231F20"/>
          <w:spacing w:val="-3"/>
          <w:w w:val="110"/>
        </w:rPr>
        <w:t>However </w:t>
      </w:r>
      <w:r>
        <w:rPr>
          <w:color w:val="231F20"/>
          <w:w w:val="110"/>
        </w:rPr>
        <w:t>it is becoming clear that </w:t>
      </w:r>
      <w:r>
        <w:rPr>
          <w:color w:val="231F20"/>
          <w:spacing w:val="-3"/>
          <w:w w:val="110"/>
        </w:rPr>
        <w:t>many </w:t>
      </w:r>
      <w:r>
        <w:rPr>
          <w:color w:val="231F20"/>
          <w:w w:val="110"/>
        </w:rPr>
        <w:t>of the projects, especially those in inner cities, though very successful, will need continued financial support. </w:t>
      </w:r>
      <w:r>
        <w:rPr>
          <w:color w:val="231F20"/>
          <w:spacing w:val="-3"/>
          <w:w w:val="110"/>
        </w:rPr>
        <w:t>If </w:t>
      </w:r>
      <w:r>
        <w:rPr>
          <w:color w:val="231F20"/>
          <w:w w:val="110"/>
        </w:rPr>
        <w:t>we are to continue giving this extra support then we feel that it is very important that an independent objective evaluation should be carried out. Therefore as a pilot study we </w:t>
      </w:r>
      <w:r>
        <w:rPr>
          <w:color w:val="231F20"/>
          <w:spacing w:val="-3"/>
          <w:w w:val="110"/>
        </w:rPr>
        <w:t>have </w:t>
      </w:r>
      <w:r>
        <w:rPr>
          <w:color w:val="231F20"/>
          <w:w w:val="110"/>
        </w:rPr>
        <w:t>asked one of the projects which is asking for a 5 year extension to their support (Marlpool and </w:t>
      </w:r>
      <w:r>
        <w:rPr>
          <w:color w:val="231F20"/>
          <w:spacing w:val="-3"/>
          <w:w w:val="110"/>
        </w:rPr>
        <w:t>Langley) </w:t>
      </w:r>
      <w:r>
        <w:rPr>
          <w:color w:val="231F20"/>
          <w:w w:val="110"/>
        </w:rPr>
        <w:t>to get an independent assessment of their work up-to-date. </w:t>
      </w:r>
      <w:r>
        <w:rPr>
          <w:color w:val="231F20"/>
          <w:spacing w:val="-4"/>
          <w:w w:val="110"/>
        </w:rPr>
        <w:t>We </w:t>
      </w:r>
      <w:r>
        <w:rPr>
          <w:color w:val="231F20"/>
          <w:w w:val="110"/>
        </w:rPr>
        <w:t>will continue to support the work while this evaluation is being carried out.</w:t>
      </w:r>
    </w:p>
    <w:p>
      <w:pPr>
        <w:pStyle w:val="BodyText"/>
        <w:spacing w:before="1"/>
        <w:rPr>
          <w:sz w:val="21"/>
        </w:rPr>
      </w:pPr>
    </w:p>
    <w:p>
      <w:pPr>
        <w:pStyle w:val="BodyText"/>
        <w:spacing w:line="273" w:lineRule="auto"/>
        <w:ind w:left="1354" w:right="1799"/>
        <w:jc w:val="both"/>
      </w:pPr>
      <w:r>
        <w:rPr>
          <w:color w:val="231F20"/>
          <w:w w:val="110"/>
        </w:rPr>
        <w:t>In the view of the difficulty of assessing applications to the Mission Project Fund, the Group has decided not to consider applications unless a representative of the relevant synod is present.</w:t>
      </w:r>
    </w:p>
    <w:p>
      <w:pPr>
        <w:pStyle w:val="BodyText"/>
        <w:spacing w:before="9"/>
        <w:rPr>
          <w:sz w:val="20"/>
        </w:rPr>
      </w:pPr>
    </w:p>
    <w:p>
      <w:pPr>
        <w:pStyle w:val="BodyText"/>
        <w:ind w:left="1354"/>
        <w:jc w:val="both"/>
      </w:pPr>
      <w:r>
        <w:rPr>
          <w:color w:val="231F20"/>
          <w:w w:val="110"/>
        </w:rPr>
        <w:t>Thanks are due to the new secretary, Graham Rolfe, and Rob Seaman (Finance</w:t>
      </w:r>
    </w:p>
    <w:p>
      <w:pPr>
        <w:pStyle w:val="BodyText"/>
        <w:spacing w:before="31"/>
        <w:ind w:left="1354"/>
        <w:jc w:val="both"/>
      </w:pPr>
      <w:r>
        <w:rPr>
          <w:color w:val="231F20"/>
          <w:w w:val="110"/>
        </w:rPr>
        <w:t>Office) for their work.</w:t>
      </w:r>
    </w:p>
    <w:p>
      <w:pPr>
        <w:pStyle w:val="BodyText"/>
        <w:spacing w:before="2"/>
        <w:rPr>
          <w:sz w:val="23"/>
        </w:rPr>
      </w:pPr>
    </w:p>
    <w:p>
      <w:pPr>
        <w:numPr>
          <w:ilvl w:val="1"/>
          <w:numId w:val="26"/>
        </w:numPr>
        <w:tabs>
          <w:tab w:pos="1354" w:val="left" w:leader="none"/>
          <w:tab w:pos="1355" w:val="left" w:leader="none"/>
        </w:tabs>
        <w:spacing w:before="0"/>
        <w:ind w:left="1354" w:right="0" w:hanging="682"/>
        <w:jc w:val="left"/>
        <w:rPr>
          <w:b/>
          <w:color w:val="231F20"/>
          <w:sz w:val="18"/>
        </w:rPr>
      </w:pPr>
      <w:r>
        <w:rPr>
          <w:b/>
          <w:color w:val="231F20"/>
          <w:spacing w:val="2"/>
          <w:w w:val="110"/>
          <w:sz w:val="18"/>
        </w:rPr>
        <w:t>Listed </w:t>
      </w:r>
      <w:r>
        <w:rPr>
          <w:b/>
          <w:color w:val="231F20"/>
          <w:w w:val="110"/>
          <w:sz w:val="18"/>
        </w:rPr>
        <w:t>Buildings Advisory</w:t>
      </w:r>
      <w:r>
        <w:rPr>
          <w:b/>
          <w:color w:val="231F20"/>
          <w:spacing w:val="-1"/>
          <w:w w:val="110"/>
          <w:sz w:val="18"/>
        </w:rPr>
        <w:t> </w:t>
      </w:r>
      <w:r>
        <w:rPr>
          <w:b/>
          <w:color w:val="231F20"/>
          <w:w w:val="110"/>
          <w:sz w:val="18"/>
        </w:rPr>
        <w:t>Group</w:t>
      </w:r>
    </w:p>
    <w:p>
      <w:pPr>
        <w:pStyle w:val="BodyText"/>
        <w:spacing w:before="2"/>
        <w:rPr>
          <w:b/>
          <w:sz w:val="23"/>
        </w:rPr>
      </w:pPr>
    </w:p>
    <w:p>
      <w:pPr>
        <w:pStyle w:val="ListParagraph"/>
        <w:numPr>
          <w:ilvl w:val="2"/>
          <w:numId w:val="26"/>
        </w:numPr>
        <w:tabs>
          <w:tab w:pos="1355" w:val="left" w:leader="none"/>
        </w:tabs>
        <w:spacing w:line="273" w:lineRule="auto" w:before="0" w:after="0"/>
        <w:ind w:left="1354" w:right="1980" w:hanging="681"/>
        <w:jc w:val="left"/>
        <w:rPr>
          <w:sz w:val="18"/>
        </w:rPr>
      </w:pPr>
      <w:r>
        <w:rPr>
          <w:color w:val="231F20"/>
          <w:w w:val="110"/>
          <w:sz w:val="18"/>
        </w:rPr>
        <w:t>The Listed Buildings </w:t>
      </w:r>
      <w:r>
        <w:rPr>
          <w:color w:val="231F20"/>
          <w:spacing w:val="2"/>
          <w:w w:val="110"/>
          <w:sz w:val="18"/>
        </w:rPr>
        <w:t>Advisory </w:t>
      </w:r>
      <w:r>
        <w:rPr>
          <w:color w:val="231F20"/>
          <w:w w:val="110"/>
          <w:sz w:val="18"/>
        </w:rPr>
        <w:t>Group was established as a sub-committee of Mission Council, some twelve years ago as </w:t>
      </w:r>
      <w:r>
        <w:rPr>
          <w:color w:val="231F20"/>
          <w:spacing w:val="2"/>
          <w:w w:val="110"/>
          <w:sz w:val="18"/>
        </w:rPr>
        <w:t>part </w:t>
      </w:r>
      <w:r>
        <w:rPr>
          <w:color w:val="231F20"/>
          <w:w w:val="110"/>
          <w:sz w:val="18"/>
        </w:rPr>
        <w:t>of the Church’s </w:t>
      </w:r>
      <w:r>
        <w:rPr>
          <w:color w:val="231F20"/>
          <w:spacing w:val="2"/>
          <w:w w:val="110"/>
          <w:sz w:val="18"/>
        </w:rPr>
        <w:t>response </w:t>
      </w:r>
      <w:r>
        <w:rPr>
          <w:color w:val="231F20"/>
          <w:w w:val="110"/>
          <w:sz w:val="18"/>
        </w:rPr>
        <w:t>to   new listed buildings legislation and its wish to accept responsibility, under the Ecclesiastical Exemption arrangements, for managing the </w:t>
      </w:r>
      <w:r>
        <w:rPr>
          <w:color w:val="231F20"/>
          <w:spacing w:val="2"/>
          <w:w w:val="110"/>
          <w:sz w:val="18"/>
        </w:rPr>
        <w:t>statutory </w:t>
      </w:r>
      <w:r>
        <w:rPr>
          <w:color w:val="231F20"/>
          <w:w w:val="110"/>
          <w:sz w:val="18"/>
        </w:rPr>
        <w:t>controls for alterations to its own listed church</w:t>
      </w:r>
      <w:r>
        <w:rPr>
          <w:color w:val="231F20"/>
          <w:spacing w:val="12"/>
          <w:w w:val="110"/>
          <w:sz w:val="18"/>
        </w:rPr>
        <w:t> </w:t>
      </w:r>
      <w:r>
        <w:rPr>
          <w:color w:val="231F20"/>
          <w:w w:val="110"/>
          <w:sz w:val="18"/>
        </w:rPr>
        <w:t>buildings.</w:t>
      </w:r>
    </w:p>
    <w:p>
      <w:pPr>
        <w:pStyle w:val="BodyText"/>
        <w:spacing w:before="10"/>
        <w:rPr>
          <w:sz w:val="20"/>
        </w:rPr>
      </w:pPr>
    </w:p>
    <w:p>
      <w:pPr>
        <w:pStyle w:val="ListParagraph"/>
        <w:numPr>
          <w:ilvl w:val="2"/>
          <w:numId w:val="26"/>
        </w:numPr>
        <w:tabs>
          <w:tab w:pos="1355" w:val="left" w:leader="none"/>
        </w:tabs>
        <w:spacing w:line="240" w:lineRule="auto" w:before="0" w:after="0"/>
        <w:ind w:left="1354" w:right="0" w:hanging="682"/>
        <w:jc w:val="left"/>
        <w:rPr>
          <w:sz w:val="18"/>
        </w:rPr>
      </w:pPr>
      <w:r>
        <w:rPr>
          <w:color w:val="231F20"/>
          <w:w w:val="110"/>
          <w:sz w:val="18"/>
        </w:rPr>
        <w:t>Its principal current functions</w:t>
      </w:r>
      <w:r>
        <w:rPr>
          <w:color w:val="231F20"/>
          <w:spacing w:val="5"/>
          <w:w w:val="110"/>
          <w:sz w:val="18"/>
        </w:rPr>
        <w:t> </w:t>
      </w:r>
      <w:r>
        <w:rPr>
          <w:color w:val="231F20"/>
          <w:w w:val="110"/>
          <w:sz w:val="18"/>
        </w:rPr>
        <w:t>are:</w:t>
      </w:r>
    </w:p>
    <w:p>
      <w:pPr>
        <w:pStyle w:val="ListParagraph"/>
        <w:numPr>
          <w:ilvl w:val="0"/>
          <w:numId w:val="29"/>
        </w:numPr>
        <w:tabs>
          <w:tab w:pos="1695" w:val="left" w:leader="none"/>
        </w:tabs>
        <w:spacing w:line="273" w:lineRule="auto" w:before="31" w:after="0"/>
        <w:ind w:left="1694" w:right="2262" w:hanging="341"/>
        <w:jc w:val="left"/>
        <w:rPr>
          <w:sz w:val="18"/>
        </w:rPr>
      </w:pPr>
      <w:r>
        <w:rPr>
          <w:color w:val="231F20"/>
          <w:w w:val="110"/>
          <w:sz w:val="18"/>
        </w:rPr>
        <w:t>to liaise with the responsible Synod </w:t>
      </w:r>
      <w:r>
        <w:rPr>
          <w:color w:val="231F20"/>
          <w:spacing w:val="2"/>
          <w:w w:val="110"/>
          <w:sz w:val="18"/>
        </w:rPr>
        <w:t>officers, </w:t>
      </w:r>
      <w:r>
        <w:rPr>
          <w:color w:val="231F20"/>
          <w:w w:val="110"/>
          <w:sz w:val="18"/>
        </w:rPr>
        <w:t>to ensure that the managing </w:t>
      </w:r>
      <w:r>
        <w:rPr>
          <w:color w:val="231F20"/>
          <w:spacing w:val="2"/>
          <w:w w:val="110"/>
          <w:sz w:val="18"/>
        </w:rPr>
        <w:t>trustees </w:t>
      </w:r>
      <w:r>
        <w:rPr>
          <w:color w:val="231F20"/>
          <w:w w:val="110"/>
          <w:sz w:val="18"/>
        </w:rPr>
        <w:t>of churches occupying listed buildings and those who deal with applications for consent to </w:t>
      </w:r>
      <w:r>
        <w:rPr>
          <w:color w:val="231F20"/>
          <w:spacing w:val="3"/>
          <w:w w:val="110"/>
          <w:sz w:val="18"/>
        </w:rPr>
        <w:t>carry </w:t>
      </w:r>
      <w:r>
        <w:rPr>
          <w:color w:val="231F20"/>
          <w:w w:val="110"/>
          <w:sz w:val="18"/>
        </w:rPr>
        <w:t>out work on listed buildings all receive the </w:t>
      </w:r>
      <w:r>
        <w:rPr>
          <w:color w:val="231F20"/>
          <w:spacing w:val="2"/>
          <w:w w:val="110"/>
          <w:sz w:val="18"/>
        </w:rPr>
        <w:t>best </w:t>
      </w:r>
      <w:r>
        <w:rPr>
          <w:color w:val="231F20"/>
          <w:w w:val="110"/>
          <w:sz w:val="18"/>
        </w:rPr>
        <w:t>possible consistent </w:t>
      </w:r>
      <w:r>
        <w:rPr>
          <w:color w:val="231F20"/>
          <w:spacing w:val="2"/>
          <w:w w:val="110"/>
          <w:sz w:val="18"/>
        </w:rPr>
        <w:t>service </w:t>
      </w:r>
      <w:r>
        <w:rPr>
          <w:color w:val="231F20"/>
          <w:w w:val="110"/>
          <w:sz w:val="18"/>
        </w:rPr>
        <w:t>to support them in fulfilling their responsibilities under listed buildings</w:t>
      </w:r>
      <w:r>
        <w:rPr>
          <w:color w:val="231F20"/>
          <w:spacing w:val="11"/>
          <w:w w:val="110"/>
          <w:sz w:val="18"/>
        </w:rPr>
        <w:t> </w:t>
      </w:r>
      <w:r>
        <w:rPr>
          <w:color w:val="231F20"/>
          <w:w w:val="110"/>
          <w:sz w:val="18"/>
        </w:rPr>
        <w:t>legislation.</w:t>
      </w:r>
    </w:p>
    <w:p>
      <w:pPr>
        <w:pStyle w:val="ListParagraph"/>
        <w:numPr>
          <w:ilvl w:val="0"/>
          <w:numId w:val="29"/>
        </w:numPr>
        <w:tabs>
          <w:tab w:pos="1695" w:val="left" w:leader="none"/>
        </w:tabs>
        <w:spacing w:line="273" w:lineRule="auto" w:before="3" w:after="0"/>
        <w:ind w:left="1694" w:right="2604" w:hanging="341"/>
        <w:jc w:val="left"/>
        <w:rPr>
          <w:sz w:val="18"/>
        </w:rPr>
      </w:pPr>
      <w:r>
        <w:rPr>
          <w:color w:val="231F20"/>
          <w:w w:val="110"/>
          <w:sz w:val="18"/>
        </w:rPr>
        <w:t>to advise Mission Council and General Assembly on </w:t>
      </w:r>
      <w:r>
        <w:rPr>
          <w:color w:val="231F20"/>
          <w:spacing w:val="2"/>
          <w:w w:val="110"/>
          <w:sz w:val="18"/>
        </w:rPr>
        <w:t>matters </w:t>
      </w:r>
      <w:r>
        <w:rPr>
          <w:color w:val="231F20"/>
          <w:w w:val="110"/>
          <w:sz w:val="18"/>
        </w:rPr>
        <w:t>related to the legislation.</w:t>
      </w:r>
    </w:p>
    <w:p>
      <w:pPr>
        <w:pStyle w:val="ListParagraph"/>
        <w:numPr>
          <w:ilvl w:val="0"/>
          <w:numId w:val="29"/>
        </w:numPr>
        <w:tabs>
          <w:tab w:pos="1695" w:val="left" w:leader="none"/>
        </w:tabs>
        <w:spacing w:line="273" w:lineRule="auto" w:before="1" w:after="0"/>
        <w:ind w:left="1694" w:right="2708" w:hanging="341"/>
        <w:jc w:val="both"/>
        <w:rPr>
          <w:sz w:val="18"/>
        </w:rPr>
      </w:pPr>
      <w:r>
        <w:rPr>
          <w:color w:val="231F20"/>
          <w:w w:val="110"/>
          <w:sz w:val="18"/>
        </w:rPr>
        <w:t>to provide a point of </w:t>
      </w:r>
      <w:r>
        <w:rPr>
          <w:color w:val="231F20"/>
          <w:spacing w:val="2"/>
          <w:w w:val="110"/>
          <w:sz w:val="18"/>
        </w:rPr>
        <w:t>contact </w:t>
      </w:r>
      <w:r>
        <w:rPr>
          <w:color w:val="231F20"/>
          <w:w w:val="110"/>
          <w:sz w:val="18"/>
        </w:rPr>
        <w:t>with government and non governmental agencies on </w:t>
      </w:r>
      <w:r>
        <w:rPr>
          <w:color w:val="231F20"/>
          <w:spacing w:val="2"/>
          <w:w w:val="110"/>
          <w:sz w:val="18"/>
        </w:rPr>
        <w:t>matters </w:t>
      </w:r>
      <w:r>
        <w:rPr>
          <w:color w:val="231F20"/>
          <w:w w:val="110"/>
          <w:sz w:val="18"/>
        </w:rPr>
        <w:t>related to the maintenance and </w:t>
      </w:r>
      <w:r>
        <w:rPr>
          <w:color w:val="231F20"/>
          <w:spacing w:val="2"/>
          <w:w w:val="110"/>
          <w:sz w:val="18"/>
        </w:rPr>
        <w:t>conservation </w:t>
      </w:r>
      <w:r>
        <w:rPr>
          <w:color w:val="231F20"/>
          <w:w w:val="110"/>
          <w:sz w:val="18"/>
        </w:rPr>
        <w:t>of historic church</w:t>
      </w:r>
      <w:r>
        <w:rPr>
          <w:color w:val="231F20"/>
          <w:spacing w:val="2"/>
          <w:w w:val="110"/>
          <w:sz w:val="18"/>
        </w:rPr>
        <w:t> </w:t>
      </w:r>
      <w:r>
        <w:rPr>
          <w:color w:val="231F20"/>
          <w:w w:val="110"/>
          <w:sz w:val="18"/>
        </w:rPr>
        <w:t>buildings.</w:t>
      </w:r>
    </w:p>
    <w:p>
      <w:pPr>
        <w:pStyle w:val="ListParagraph"/>
        <w:numPr>
          <w:ilvl w:val="0"/>
          <w:numId w:val="29"/>
        </w:numPr>
        <w:tabs>
          <w:tab w:pos="1695" w:val="left" w:leader="none"/>
        </w:tabs>
        <w:spacing w:line="273" w:lineRule="auto" w:before="2" w:after="0"/>
        <w:ind w:left="1694" w:right="2190" w:hanging="341"/>
        <w:jc w:val="left"/>
        <w:rPr>
          <w:sz w:val="18"/>
        </w:rPr>
      </w:pPr>
      <w:r>
        <w:rPr>
          <w:color w:val="231F20"/>
          <w:w w:val="110"/>
          <w:sz w:val="18"/>
        </w:rPr>
        <w:t>to ensure that the voice of the United Reformed Church is heard on government and non governmental bodies concerned with the distribution of grant aid, and the development of national policy related to historic church</w:t>
      </w:r>
      <w:r>
        <w:rPr>
          <w:color w:val="231F20"/>
          <w:spacing w:val="1"/>
          <w:w w:val="110"/>
          <w:sz w:val="18"/>
        </w:rPr>
        <w:t> </w:t>
      </w:r>
      <w:r>
        <w:rPr>
          <w:color w:val="231F20"/>
          <w:w w:val="110"/>
          <w:sz w:val="18"/>
        </w:rPr>
        <w:t>buildings.</w:t>
      </w:r>
    </w:p>
    <w:p>
      <w:pPr>
        <w:pStyle w:val="BodyText"/>
        <w:spacing w:before="9"/>
        <w:rPr>
          <w:sz w:val="20"/>
        </w:rPr>
      </w:pPr>
    </w:p>
    <w:p>
      <w:pPr>
        <w:pStyle w:val="ListParagraph"/>
        <w:numPr>
          <w:ilvl w:val="2"/>
          <w:numId w:val="26"/>
        </w:numPr>
        <w:tabs>
          <w:tab w:pos="1355" w:val="left" w:leader="none"/>
        </w:tabs>
        <w:spacing w:line="240" w:lineRule="auto" w:before="1" w:after="0"/>
        <w:ind w:left="1354" w:right="0" w:hanging="682"/>
        <w:jc w:val="left"/>
        <w:rPr>
          <w:sz w:val="18"/>
        </w:rPr>
      </w:pPr>
      <w:r>
        <w:rPr>
          <w:color w:val="231F20"/>
          <w:spacing w:val="2"/>
          <w:w w:val="110"/>
          <w:sz w:val="18"/>
        </w:rPr>
        <w:t>These </w:t>
      </w:r>
      <w:r>
        <w:rPr>
          <w:color w:val="231F20"/>
          <w:w w:val="110"/>
          <w:sz w:val="18"/>
        </w:rPr>
        <w:t>functions take into account changes in the context for its</w:t>
      </w:r>
      <w:r>
        <w:rPr>
          <w:color w:val="231F20"/>
          <w:spacing w:val="29"/>
          <w:w w:val="110"/>
          <w:sz w:val="18"/>
        </w:rPr>
        <w:t> </w:t>
      </w:r>
      <w:r>
        <w:rPr>
          <w:color w:val="231F20"/>
          <w:w w:val="110"/>
          <w:sz w:val="18"/>
        </w:rPr>
        <w:t>work:</w:t>
      </w:r>
    </w:p>
    <w:p>
      <w:pPr>
        <w:pStyle w:val="ListParagraph"/>
        <w:numPr>
          <w:ilvl w:val="0"/>
          <w:numId w:val="30"/>
        </w:numPr>
        <w:tabs>
          <w:tab w:pos="1695" w:val="left" w:leader="none"/>
        </w:tabs>
        <w:spacing w:line="273" w:lineRule="auto" w:before="31" w:after="0"/>
        <w:ind w:left="1694" w:right="2280" w:hanging="340"/>
        <w:jc w:val="left"/>
        <w:rPr>
          <w:sz w:val="18"/>
        </w:rPr>
      </w:pPr>
      <w:r>
        <w:rPr>
          <w:color w:val="231F20"/>
          <w:w w:val="110"/>
          <w:sz w:val="18"/>
        </w:rPr>
        <w:t>Drastically reduced church membership: reduced </w:t>
      </w:r>
      <w:r>
        <w:rPr>
          <w:color w:val="231F20"/>
          <w:spacing w:val="2"/>
          <w:w w:val="110"/>
          <w:sz w:val="18"/>
        </w:rPr>
        <w:t>expertise </w:t>
      </w:r>
      <w:r>
        <w:rPr>
          <w:color w:val="231F20"/>
          <w:w w:val="110"/>
          <w:sz w:val="18"/>
        </w:rPr>
        <w:t>at local level; historic buildings perceived by some as an increasing</w:t>
      </w:r>
      <w:r>
        <w:rPr>
          <w:color w:val="231F20"/>
          <w:spacing w:val="39"/>
          <w:w w:val="110"/>
          <w:sz w:val="18"/>
        </w:rPr>
        <w:t> </w:t>
      </w:r>
      <w:r>
        <w:rPr>
          <w:color w:val="231F20"/>
          <w:w w:val="110"/>
          <w:sz w:val="18"/>
        </w:rPr>
        <w:t>burden.</w:t>
      </w:r>
    </w:p>
    <w:p>
      <w:pPr>
        <w:pStyle w:val="ListParagraph"/>
        <w:numPr>
          <w:ilvl w:val="0"/>
          <w:numId w:val="30"/>
        </w:numPr>
        <w:tabs>
          <w:tab w:pos="1695" w:val="left" w:leader="none"/>
        </w:tabs>
        <w:spacing w:line="273" w:lineRule="auto" w:before="1" w:after="0"/>
        <w:ind w:left="1694" w:right="2550" w:hanging="341"/>
        <w:jc w:val="left"/>
        <w:rPr>
          <w:sz w:val="18"/>
        </w:rPr>
      </w:pPr>
      <w:r>
        <w:rPr>
          <w:color w:val="231F20"/>
          <w:w w:val="110"/>
          <w:sz w:val="18"/>
        </w:rPr>
        <w:t>The fabric of historic </w:t>
      </w:r>
      <w:r>
        <w:rPr>
          <w:color w:val="231F20"/>
          <w:spacing w:val="-4"/>
          <w:w w:val="110"/>
          <w:sz w:val="18"/>
        </w:rPr>
        <w:t>(and </w:t>
      </w:r>
      <w:r>
        <w:rPr>
          <w:color w:val="231F20"/>
          <w:w w:val="110"/>
          <w:sz w:val="18"/>
        </w:rPr>
        <w:t>other) church buildings </w:t>
      </w:r>
      <w:r>
        <w:rPr>
          <w:color w:val="231F20"/>
          <w:spacing w:val="2"/>
          <w:w w:val="110"/>
          <w:sz w:val="18"/>
        </w:rPr>
        <w:t>further </w:t>
      </w:r>
      <w:r>
        <w:rPr>
          <w:color w:val="231F20"/>
          <w:w w:val="110"/>
          <w:sz w:val="18"/>
        </w:rPr>
        <w:t>deteriorating </w:t>
      </w:r>
      <w:r>
        <w:rPr>
          <w:color w:val="231F20"/>
          <w:spacing w:val="2"/>
          <w:w w:val="110"/>
          <w:sz w:val="18"/>
        </w:rPr>
        <w:t>because </w:t>
      </w:r>
      <w:r>
        <w:rPr>
          <w:color w:val="231F20"/>
          <w:w w:val="110"/>
          <w:sz w:val="18"/>
        </w:rPr>
        <w:t>of accumulating </w:t>
      </w:r>
      <w:r>
        <w:rPr>
          <w:color w:val="231F20"/>
          <w:spacing w:val="2"/>
          <w:w w:val="110"/>
          <w:sz w:val="18"/>
        </w:rPr>
        <w:t>arrears </w:t>
      </w:r>
      <w:r>
        <w:rPr>
          <w:color w:val="231F20"/>
          <w:w w:val="110"/>
          <w:sz w:val="18"/>
        </w:rPr>
        <w:t>of</w:t>
      </w:r>
      <w:r>
        <w:rPr>
          <w:color w:val="231F20"/>
          <w:spacing w:val="8"/>
          <w:w w:val="110"/>
          <w:sz w:val="18"/>
        </w:rPr>
        <w:t> </w:t>
      </w:r>
      <w:r>
        <w:rPr>
          <w:color w:val="231F20"/>
          <w:w w:val="110"/>
          <w:sz w:val="18"/>
        </w:rPr>
        <w:t>maintenance.</w:t>
      </w:r>
    </w:p>
    <w:p>
      <w:pPr>
        <w:pStyle w:val="ListParagraph"/>
        <w:numPr>
          <w:ilvl w:val="0"/>
          <w:numId w:val="30"/>
        </w:numPr>
        <w:tabs>
          <w:tab w:pos="1695" w:val="left" w:leader="none"/>
        </w:tabs>
        <w:spacing w:line="273" w:lineRule="auto" w:before="1" w:after="0"/>
        <w:ind w:left="1694" w:right="1952" w:hanging="341"/>
        <w:jc w:val="left"/>
        <w:rPr>
          <w:sz w:val="18"/>
        </w:rPr>
      </w:pPr>
      <w:r>
        <w:rPr>
          <w:color w:val="231F20"/>
          <w:w w:val="110"/>
          <w:sz w:val="18"/>
        </w:rPr>
        <w:t>Greater rigour </w:t>
      </w:r>
      <w:r>
        <w:rPr>
          <w:color w:val="231F20"/>
          <w:spacing w:val="2"/>
          <w:w w:val="110"/>
          <w:sz w:val="18"/>
        </w:rPr>
        <w:t>expected </w:t>
      </w:r>
      <w:r>
        <w:rPr>
          <w:color w:val="231F20"/>
          <w:w w:val="110"/>
          <w:sz w:val="18"/>
        </w:rPr>
        <w:t>in denominational management of the ecclesiastical exemption</w:t>
      </w:r>
      <w:r>
        <w:rPr>
          <w:color w:val="231F20"/>
          <w:spacing w:val="1"/>
          <w:w w:val="110"/>
          <w:sz w:val="18"/>
        </w:rPr>
        <w:t> </w:t>
      </w:r>
      <w:r>
        <w:rPr>
          <w:color w:val="231F20"/>
          <w:w w:val="110"/>
          <w:sz w:val="18"/>
        </w:rPr>
        <w:t>arrangements.</w:t>
      </w:r>
    </w:p>
    <w:p>
      <w:pPr>
        <w:pStyle w:val="ListParagraph"/>
        <w:numPr>
          <w:ilvl w:val="0"/>
          <w:numId w:val="30"/>
        </w:numPr>
        <w:tabs>
          <w:tab w:pos="1695" w:val="left" w:leader="none"/>
        </w:tabs>
        <w:spacing w:line="273" w:lineRule="auto" w:before="1" w:after="0"/>
        <w:ind w:left="1694" w:right="2237" w:hanging="341"/>
        <w:jc w:val="left"/>
        <w:rPr>
          <w:sz w:val="18"/>
        </w:rPr>
      </w:pPr>
      <w:r>
        <w:rPr>
          <w:color w:val="231F20"/>
          <w:w w:val="110"/>
          <w:sz w:val="18"/>
        </w:rPr>
        <w:t>Increased responsibility falling on the local leadership (usually the elders) under revised </w:t>
      </w:r>
      <w:r>
        <w:rPr>
          <w:color w:val="231F20"/>
          <w:spacing w:val="2"/>
          <w:w w:val="110"/>
          <w:sz w:val="18"/>
        </w:rPr>
        <w:t>charity</w:t>
      </w:r>
      <w:r>
        <w:rPr>
          <w:color w:val="231F20"/>
          <w:spacing w:val="3"/>
          <w:w w:val="110"/>
          <w:sz w:val="18"/>
        </w:rPr>
        <w:t> </w:t>
      </w:r>
      <w:r>
        <w:rPr>
          <w:color w:val="231F20"/>
          <w:spacing w:val="-3"/>
          <w:w w:val="110"/>
          <w:sz w:val="18"/>
        </w:rPr>
        <w:t>law.</w:t>
      </w:r>
    </w:p>
    <w:p>
      <w:pPr>
        <w:pStyle w:val="ListParagraph"/>
        <w:numPr>
          <w:ilvl w:val="0"/>
          <w:numId w:val="30"/>
        </w:numPr>
        <w:tabs>
          <w:tab w:pos="1695" w:val="left" w:leader="none"/>
        </w:tabs>
        <w:spacing w:line="273" w:lineRule="auto" w:before="2" w:after="0"/>
        <w:ind w:left="1694" w:right="2130" w:hanging="341"/>
        <w:jc w:val="left"/>
        <w:rPr>
          <w:sz w:val="18"/>
        </w:rPr>
      </w:pPr>
      <w:r>
        <w:rPr>
          <w:color w:val="231F20"/>
          <w:w w:val="110"/>
          <w:sz w:val="18"/>
        </w:rPr>
        <w:t>New attitudes to heritage </w:t>
      </w:r>
      <w:r>
        <w:rPr>
          <w:color w:val="231F20"/>
          <w:spacing w:val="2"/>
          <w:w w:val="110"/>
          <w:sz w:val="18"/>
        </w:rPr>
        <w:t>protection </w:t>
      </w:r>
      <w:r>
        <w:rPr>
          <w:color w:val="231F20"/>
          <w:w w:val="110"/>
          <w:sz w:val="18"/>
        </w:rPr>
        <w:t>at national and regional level: the Department of Culture, Media and </w:t>
      </w:r>
      <w:r>
        <w:rPr>
          <w:color w:val="231F20"/>
          <w:spacing w:val="2"/>
          <w:w w:val="110"/>
          <w:sz w:val="18"/>
        </w:rPr>
        <w:t>Sport </w:t>
      </w:r>
      <w:r>
        <w:rPr>
          <w:color w:val="231F20"/>
          <w:w w:val="110"/>
          <w:sz w:val="18"/>
        </w:rPr>
        <w:t>and English Heritage now actively seeking</w:t>
      </w:r>
      <w:r>
        <w:rPr>
          <w:color w:val="231F20"/>
          <w:spacing w:val="1"/>
          <w:w w:val="110"/>
          <w:sz w:val="18"/>
        </w:rPr>
        <w:t> </w:t>
      </w:r>
      <w:r>
        <w:rPr>
          <w:color w:val="231F20"/>
          <w:w w:val="110"/>
          <w:sz w:val="18"/>
        </w:rPr>
        <w:t>partnership.</w:t>
      </w:r>
    </w:p>
    <w:p>
      <w:pPr>
        <w:pStyle w:val="ListParagraph"/>
        <w:numPr>
          <w:ilvl w:val="0"/>
          <w:numId w:val="30"/>
        </w:numPr>
        <w:tabs>
          <w:tab w:pos="1695" w:val="left" w:leader="none"/>
        </w:tabs>
        <w:spacing w:line="240" w:lineRule="auto" w:before="2" w:after="0"/>
        <w:ind w:left="1694" w:right="0" w:hanging="341"/>
        <w:jc w:val="left"/>
        <w:rPr>
          <w:sz w:val="18"/>
        </w:rPr>
      </w:pPr>
      <w:r>
        <w:rPr>
          <w:color w:val="231F20"/>
          <w:w w:val="110"/>
          <w:sz w:val="18"/>
        </w:rPr>
        <w:t>Wider availability of finance and other </w:t>
      </w:r>
      <w:r>
        <w:rPr>
          <w:color w:val="231F20"/>
          <w:spacing w:val="2"/>
          <w:w w:val="110"/>
          <w:sz w:val="18"/>
        </w:rPr>
        <w:t>resources </w:t>
      </w:r>
      <w:r>
        <w:rPr>
          <w:color w:val="231F20"/>
          <w:w w:val="110"/>
          <w:sz w:val="18"/>
        </w:rPr>
        <w:t>to assist with</w:t>
      </w:r>
      <w:r>
        <w:rPr>
          <w:color w:val="231F20"/>
          <w:spacing w:val="22"/>
          <w:w w:val="110"/>
          <w:sz w:val="18"/>
        </w:rPr>
        <w:t> </w:t>
      </w:r>
      <w:r>
        <w:rPr>
          <w:color w:val="231F20"/>
          <w:w w:val="110"/>
          <w:sz w:val="18"/>
        </w:rPr>
        <w:t>the</w:t>
      </w:r>
    </w:p>
    <w:p>
      <w:pPr>
        <w:pStyle w:val="BodyText"/>
        <w:spacing w:before="31"/>
        <w:ind w:left="1694"/>
      </w:pPr>
      <w:r>
        <w:rPr>
          <w:color w:val="231F20"/>
          <w:w w:val="110"/>
        </w:rPr>
        <w:t>maintenance and development of historic church buildings.</w:t>
      </w:r>
    </w:p>
    <w:p>
      <w:pPr>
        <w:spacing w:after="0"/>
        <w:sectPr>
          <w:pgSz w:w="11910" w:h="16840"/>
          <w:pgMar w:header="581" w:footer="464" w:top="860" w:bottom="740" w:left="460" w:right="0"/>
        </w:sectPr>
      </w:pPr>
    </w:p>
    <w:p>
      <w:pPr>
        <w:pStyle w:val="BodyText"/>
        <w:spacing w:before="10"/>
        <w:rPr>
          <w:sz w:val="11"/>
        </w:rPr>
      </w:pPr>
    </w:p>
    <w:p>
      <w:pPr>
        <w:pStyle w:val="ListParagraph"/>
        <w:numPr>
          <w:ilvl w:val="2"/>
          <w:numId w:val="26"/>
        </w:numPr>
        <w:tabs>
          <w:tab w:pos="1922" w:val="left" w:leader="none"/>
        </w:tabs>
        <w:spacing w:line="273" w:lineRule="auto" w:before="101" w:after="0"/>
        <w:ind w:left="1921" w:right="1375" w:hanging="681"/>
        <w:jc w:val="left"/>
        <w:rPr>
          <w:sz w:val="18"/>
        </w:rPr>
      </w:pPr>
      <w:r>
        <w:rPr>
          <w:color w:val="231F20"/>
          <w:w w:val="110"/>
          <w:sz w:val="18"/>
        </w:rPr>
        <w:t>The year 2006 may well be </w:t>
      </w:r>
      <w:r>
        <w:rPr>
          <w:color w:val="231F20"/>
          <w:spacing w:val="2"/>
          <w:w w:val="110"/>
          <w:sz w:val="18"/>
        </w:rPr>
        <w:t>remembered </w:t>
      </w:r>
      <w:r>
        <w:rPr>
          <w:color w:val="231F20"/>
          <w:w w:val="110"/>
          <w:sz w:val="18"/>
        </w:rPr>
        <w:t>particularly as the year marked by   new</w:t>
      </w:r>
      <w:r>
        <w:rPr>
          <w:color w:val="231F20"/>
          <w:spacing w:val="13"/>
          <w:w w:val="110"/>
          <w:sz w:val="18"/>
        </w:rPr>
        <w:t> </w:t>
      </w:r>
      <w:r>
        <w:rPr>
          <w:color w:val="231F20"/>
          <w:w w:val="110"/>
          <w:sz w:val="18"/>
        </w:rPr>
        <w:t>public</w:t>
      </w:r>
      <w:r>
        <w:rPr>
          <w:color w:val="231F20"/>
          <w:spacing w:val="13"/>
          <w:w w:val="110"/>
          <w:sz w:val="18"/>
        </w:rPr>
        <w:t> </w:t>
      </w:r>
      <w:r>
        <w:rPr>
          <w:color w:val="231F20"/>
          <w:w w:val="110"/>
          <w:sz w:val="18"/>
        </w:rPr>
        <w:t>attitudes</w:t>
      </w:r>
      <w:r>
        <w:rPr>
          <w:color w:val="231F20"/>
          <w:spacing w:val="13"/>
          <w:w w:val="110"/>
          <w:sz w:val="18"/>
        </w:rPr>
        <w:t> </w:t>
      </w:r>
      <w:r>
        <w:rPr>
          <w:color w:val="231F20"/>
          <w:w w:val="110"/>
          <w:sz w:val="18"/>
        </w:rPr>
        <w:t>to</w:t>
      </w:r>
      <w:r>
        <w:rPr>
          <w:color w:val="231F20"/>
          <w:spacing w:val="13"/>
          <w:w w:val="110"/>
          <w:sz w:val="18"/>
        </w:rPr>
        <w:t> </w:t>
      </w:r>
      <w:r>
        <w:rPr>
          <w:color w:val="231F20"/>
          <w:w w:val="110"/>
          <w:sz w:val="18"/>
        </w:rPr>
        <w:t>listed</w:t>
      </w:r>
      <w:r>
        <w:rPr>
          <w:color w:val="231F20"/>
          <w:spacing w:val="13"/>
          <w:w w:val="110"/>
          <w:sz w:val="18"/>
        </w:rPr>
        <w:t> </w:t>
      </w:r>
      <w:r>
        <w:rPr>
          <w:color w:val="231F20"/>
          <w:w w:val="110"/>
          <w:sz w:val="18"/>
        </w:rPr>
        <w:t>buildings.</w:t>
      </w:r>
      <w:r>
        <w:rPr>
          <w:color w:val="231F20"/>
          <w:spacing w:val="13"/>
          <w:w w:val="110"/>
          <w:sz w:val="18"/>
        </w:rPr>
        <w:t> </w:t>
      </w:r>
      <w:r>
        <w:rPr>
          <w:color w:val="231F20"/>
          <w:w w:val="110"/>
          <w:sz w:val="18"/>
        </w:rPr>
        <w:t>Historic</w:t>
      </w:r>
      <w:r>
        <w:rPr>
          <w:color w:val="231F20"/>
          <w:spacing w:val="13"/>
          <w:w w:val="110"/>
          <w:sz w:val="18"/>
        </w:rPr>
        <w:t> </w:t>
      </w:r>
      <w:r>
        <w:rPr>
          <w:color w:val="231F20"/>
          <w:w w:val="110"/>
          <w:sz w:val="18"/>
        </w:rPr>
        <w:t>buildings</w:t>
      </w:r>
      <w:r>
        <w:rPr>
          <w:color w:val="231F20"/>
          <w:spacing w:val="13"/>
          <w:w w:val="110"/>
          <w:sz w:val="18"/>
        </w:rPr>
        <w:t> </w:t>
      </w:r>
      <w:r>
        <w:rPr>
          <w:color w:val="231F20"/>
          <w:w w:val="110"/>
          <w:sz w:val="18"/>
        </w:rPr>
        <w:t>and</w:t>
      </w:r>
      <w:r>
        <w:rPr>
          <w:color w:val="231F20"/>
          <w:spacing w:val="13"/>
          <w:w w:val="110"/>
          <w:sz w:val="18"/>
        </w:rPr>
        <w:t> </w:t>
      </w:r>
      <w:r>
        <w:rPr>
          <w:color w:val="231F20"/>
          <w:w w:val="110"/>
          <w:sz w:val="18"/>
        </w:rPr>
        <w:t>with</w:t>
      </w:r>
      <w:r>
        <w:rPr>
          <w:color w:val="231F20"/>
          <w:spacing w:val="13"/>
          <w:w w:val="110"/>
          <w:sz w:val="18"/>
        </w:rPr>
        <w:t> </w:t>
      </w:r>
      <w:r>
        <w:rPr>
          <w:color w:val="231F20"/>
          <w:w w:val="110"/>
          <w:sz w:val="18"/>
        </w:rPr>
        <w:t>them</w:t>
      </w:r>
      <w:r>
        <w:rPr>
          <w:color w:val="231F20"/>
          <w:spacing w:val="13"/>
          <w:w w:val="110"/>
          <w:sz w:val="18"/>
        </w:rPr>
        <w:t> </w:t>
      </w:r>
      <w:r>
        <w:rPr>
          <w:color w:val="231F20"/>
          <w:w w:val="110"/>
          <w:sz w:val="18"/>
        </w:rPr>
        <w:t>historic</w:t>
      </w:r>
    </w:p>
    <w:p>
      <w:pPr>
        <w:pStyle w:val="BodyText"/>
        <w:spacing w:line="273" w:lineRule="auto" w:before="1"/>
        <w:ind w:left="1921" w:right="1289"/>
      </w:pPr>
      <w:r>
        <w:rPr>
          <w:color w:val="231F20"/>
          <w:w w:val="110"/>
        </w:rPr>
        <w:t>churches, received a higher profile than hitherto. The work of bodies such as the Historic Chapels Trust and the Historic Churches </w:t>
      </w:r>
      <w:r>
        <w:rPr>
          <w:color w:val="231F20"/>
          <w:spacing w:val="2"/>
          <w:w w:val="110"/>
        </w:rPr>
        <w:t>Preservation </w:t>
      </w:r>
      <w:r>
        <w:rPr>
          <w:color w:val="231F20"/>
          <w:w w:val="110"/>
        </w:rPr>
        <w:t>Trust seemed to assume greater prominence. English Heritage, now responsible for managing the List, adopted a new approach to the denominations. With the high profile launch  of their national campaign ‘Inspired’ they declared that the majority of listed buildings were in </w:t>
      </w:r>
      <w:r>
        <w:rPr>
          <w:color w:val="231F20"/>
          <w:spacing w:val="2"/>
          <w:w w:val="110"/>
        </w:rPr>
        <w:t>fact </w:t>
      </w:r>
      <w:r>
        <w:rPr>
          <w:color w:val="231F20"/>
          <w:w w:val="110"/>
        </w:rPr>
        <w:t>churches, many of them at risk in one way or another. They </w:t>
      </w:r>
      <w:r>
        <w:rPr>
          <w:color w:val="231F20"/>
          <w:spacing w:val="3"/>
          <w:w w:val="110"/>
        </w:rPr>
        <w:t>started </w:t>
      </w:r>
      <w:r>
        <w:rPr>
          <w:color w:val="231F20"/>
          <w:w w:val="110"/>
        </w:rPr>
        <w:t>signalling that they wanted to work with the denominations. This goes beyond managing the List per se. It also includes recognising the current life of churches, wishing to work with them to advise on properly managed repairs and repair</w:t>
      </w:r>
      <w:r>
        <w:rPr>
          <w:color w:val="231F20"/>
          <w:spacing w:val="1"/>
          <w:w w:val="110"/>
        </w:rPr>
        <w:t> </w:t>
      </w:r>
      <w:r>
        <w:rPr>
          <w:color w:val="231F20"/>
          <w:w w:val="110"/>
        </w:rPr>
        <w:t>programmes.</w:t>
      </w:r>
    </w:p>
    <w:p>
      <w:pPr>
        <w:pStyle w:val="BodyText"/>
        <w:spacing w:before="1"/>
        <w:rPr>
          <w:sz w:val="21"/>
        </w:rPr>
      </w:pPr>
    </w:p>
    <w:p>
      <w:pPr>
        <w:pStyle w:val="ListParagraph"/>
        <w:numPr>
          <w:ilvl w:val="2"/>
          <w:numId w:val="26"/>
        </w:numPr>
        <w:tabs>
          <w:tab w:pos="1922" w:val="left" w:leader="none"/>
        </w:tabs>
        <w:spacing w:line="240" w:lineRule="auto" w:before="0" w:after="0"/>
        <w:ind w:left="1921" w:right="0" w:hanging="682"/>
        <w:jc w:val="left"/>
        <w:rPr>
          <w:sz w:val="18"/>
        </w:rPr>
      </w:pPr>
      <w:r>
        <w:rPr>
          <w:color w:val="231F20"/>
          <w:w w:val="110"/>
          <w:sz w:val="18"/>
          <w:u w:val="single" w:color="231F20"/>
        </w:rPr>
        <w:t>Working with English</w:t>
      </w:r>
      <w:r>
        <w:rPr>
          <w:color w:val="231F20"/>
          <w:spacing w:val="3"/>
          <w:w w:val="110"/>
          <w:sz w:val="18"/>
          <w:u w:val="single" w:color="231F20"/>
        </w:rPr>
        <w:t> </w:t>
      </w:r>
      <w:r>
        <w:rPr>
          <w:color w:val="231F20"/>
          <w:w w:val="110"/>
          <w:sz w:val="18"/>
          <w:u w:val="single" w:color="231F20"/>
        </w:rPr>
        <w:t>Heritage</w:t>
      </w:r>
    </w:p>
    <w:p>
      <w:pPr>
        <w:pStyle w:val="BodyText"/>
        <w:spacing w:line="273" w:lineRule="auto" w:before="31"/>
        <w:ind w:left="1921" w:right="1143"/>
      </w:pPr>
      <w:r>
        <w:rPr>
          <w:color w:val="231F20"/>
          <w:w w:val="110"/>
        </w:rPr>
        <w:t>Acting as a pilot study on behalf of the United Reformed Church as a whole, churches in the Yorkshire Synod area responded in 2006 by taking part in two English Heritage projects, the outcomes of which are due to be published shortly.</w:t>
      </w:r>
    </w:p>
    <w:p>
      <w:pPr>
        <w:pStyle w:val="BodyText"/>
        <w:spacing w:before="9"/>
        <w:rPr>
          <w:sz w:val="20"/>
        </w:rPr>
      </w:pPr>
    </w:p>
    <w:p>
      <w:pPr>
        <w:pStyle w:val="ListParagraph"/>
        <w:numPr>
          <w:ilvl w:val="3"/>
          <w:numId w:val="31"/>
        </w:numPr>
        <w:tabs>
          <w:tab w:pos="2261" w:val="left" w:leader="none"/>
          <w:tab w:pos="2262" w:val="left" w:leader="none"/>
        </w:tabs>
        <w:spacing w:line="273" w:lineRule="auto" w:before="0" w:after="0"/>
        <w:ind w:left="2261" w:right="1294" w:hanging="1021"/>
        <w:jc w:val="left"/>
        <w:rPr>
          <w:sz w:val="18"/>
        </w:rPr>
      </w:pPr>
      <w:r>
        <w:rPr>
          <w:color w:val="231F20"/>
          <w:w w:val="110"/>
          <w:sz w:val="18"/>
        </w:rPr>
        <w:t>‘</w:t>
      </w:r>
      <w:r>
        <w:rPr>
          <w:color w:val="231F20"/>
          <w:w w:val="110"/>
          <w:sz w:val="18"/>
          <w:u w:val="single" w:color="231F20"/>
        </w:rPr>
        <w:t>Religion and Place</w:t>
      </w:r>
      <w:r>
        <w:rPr>
          <w:color w:val="231F20"/>
          <w:w w:val="110"/>
          <w:sz w:val="18"/>
        </w:rPr>
        <w:t>’ was a national </w:t>
      </w:r>
      <w:r>
        <w:rPr>
          <w:color w:val="231F20"/>
          <w:spacing w:val="2"/>
          <w:w w:val="110"/>
          <w:sz w:val="18"/>
        </w:rPr>
        <w:t>project </w:t>
      </w:r>
      <w:r>
        <w:rPr>
          <w:color w:val="231F20"/>
          <w:w w:val="110"/>
          <w:sz w:val="18"/>
        </w:rPr>
        <w:t>by English Heritage designed to </w:t>
      </w:r>
      <w:r>
        <w:rPr>
          <w:color w:val="231F20"/>
          <w:spacing w:val="2"/>
          <w:w w:val="110"/>
          <w:sz w:val="18"/>
        </w:rPr>
        <w:t>‘focus </w:t>
      </w:r>
      <w:r>
        <w:rPr>
          <w:color w:val="231F20"/>
          <w:w w:val="110"/>
          <w:sz w:val="18"/>
        </w:rPr>
        <w:t>attention on thousands of buildings that are at the </w:t>
      </w:r>
      <w:r>
        <w:rPr>
          <w:color w:val="231F20"/>
          <w:spacing w:val="2"/>
          <w:w w:val="110"/>
          <w:sz w:val="18"/>
        </w:rPr>
        <w:t>heart </w:t>
      </w:r>
      <w:r>
        <w:rPr>
          <w:color w:val="231F20"/>
          <w:w w:val="110"/>
          <w:sz w:val="18"/>
        </w:rPr>
        <w:t>of religious, cultural and social life in England today’. During the </w:t>
      </w:r>
      <w:r>
        <w:rPr>
          <w:color w:val="231F20"/>
          <w:spacing w:val="-4"/>
          <w:w w:val="110"/>
          <w:sz w:val="18"/>
        </w:rPr>
        <w:t>year, </w:t>
      </w:r>
      <w:r>
        <w:rPr>
          <w:color w:val="231F20"/>
          <w:w w:val="110"/>
          <w:sz w:val="18"/>
        </w:rPr>
        <w:t>John Minnis, an architectural historian </w:t>
      </w:r>
      <w:r>
        <w:rPr>
          <w:color w:val="231F20"/>
          <w:spacing w:val="2"/>
          <w:w w:val="110"/>
          <w:sz w:val="18"/>
        </w:rPr>
        <w:t>from </w:t>
      </w:r>
      <w:r>
        <w:rPr>
          <w:color w:val="231F20"/>
          <w:w w:val="110"/>
          <w:sz w:val="18"/>
        </w:rPr>
        <w:t>English Heritage, prepared a study of religious buildings, including United Reformed Church buildings, in Leeds. It comprises a gazetteer of churches and other places of worship active since 1900, with some </w:t>
      </w:r>
      <w:r>
        <w:rPr>
          <w:color w:val="231F20"/>
          <w:spacing w:val="2"/>
          <w:w w:val="110"/>
          <w:sz w:val="18"/>
        </w:rPr>
        <w:t>selected </w:t>
      </w:r>
      <w:r>
        <w:rPr>
          <w:color w:val="231F20"/>
          <w:w w:val="110"/>
          <w:sz w:val="18"/>
        </w:rPr>
        <w:t>for more detailed</w:t>
      </w:r>
      <w:r>
        <w:rPr>
          <w:color w:val="231F20"/>
          <w:spacing w:val="6"/>
          <w:w w:val="110"/>
          <w:sz w:val="18"/>
        </w:rPr>
        <w:t> </w:t>
      </w:r>
      <w:r>
        <w:rPr>
          <w:color w:val="231F20"/>
          <w:w w:val="110"/>
          <w:sz w:val="18"/>
        </w:rPr>
        <w:t>study.</w:t>
      </w:r>
    </w:p>
    <w:p>
      <w:pPr>
        <w:pStyle w:val="BodyText"/>
        <w:spacing w:before="11"/>
        <w:rPr>
          <w:sz w:val="20"/>
        </w:rPr>
      </w:pPr>
    </w:p>
    <w:p>
      <w:pPr>
        <w:pStyle w:val="ListParagraph"/>
        <w:numPr>
          <w:ilvl w:val="3"/>
          <w:numId w:val="31"/>
        </w:numPr>
        <w:tabs>
          <w:tab w:pos="2261" w:val="left" w:leader="none"/>
          <w:tab w:pos="2262" w:val="left" w:leader="none"/>
        </w:tabs>
        <w:spacing w:line="273" w:lineRule="auto" w:before="0" w:after="0"/>
        <w:ind w:left="2261" w:right="1337" w:hanging="1021"/>
        <w:jc w:val="left"/>
        <w:rPr>
          <w:sz w:val="18"/>
        </w:rPr>
      </w:pPr>
      <w:r>
        <w:rPr>
          <w:color w:val="231F20"/>
          <w:w w:val="110"/>
          <w:sz w:val="18"/>
          <w:u w:val="single" w:color="231F20"/>
        </w:rPr>
        <w:t>Fabric needs survey</w:t>
      </w:r>
      <w:r>
        <w:rPr>
          <w:color w:val="231F20"/>
          <w:w w:val="110"/>
          <w:sz w:val="18"/>
        </w:rPr>
        <w:t>. In order to build up a more detailed picture of the situation, the Yorkshire Synod collaborated with English Heritage in a </w:t>
      </w:r>
      <w:r>
        <w:rPr>
          <w:color w:val="231F20"/>
          <w:spacing w:val="2"/>
          <w:w w:val="110"/>
          <w:sz w:val="18"/>
        </w:rPr>
        <w:t>project </w:t>
      </w:r>
      <w:r>
        <w:rPr>
          <w:color w:val="231F20"/>
          <w:w w:val="110"/>
          <w:sz w:val="18"/>
        </w:rPr>
        <w:t>designed to evaluate what was needed to put the historic church buildings into</w:t>
      </w:r>
      <w:r>
        <w:rPr>
          <w:color w:val="231F20"/>
          <w:spacing w:val="9"/>
          <w:w w:val="110"/>
          <w:sz w:val="18"/>
        </w:rPr>
        <w:t> </w:t>
      </w:r>
      <w:r>
        <w:rPr>
          <w:color w:val="231F20"/>
          <w:w w:val="110"/>
          <w:sz w:val="18"/>
        </w:rPr>
        <w:t>reasonable</w:t>
      </w:r>
      <w:r>
        <w:rPr>
          <w:color w:val="231F20"/>
          <w:spacing w:val="9"/>
          <w:w w:val="110"/>
          <w:sz w:val="18"/>
        </w:rPr>
        <w:t> </w:t>
      </w:r>
      <w:r>
        <w:rPr>
          <w:color w:val="231F20"/>
          <w:w w:val="110"/>
          <w:sz w:val="18"/>
        </w:rPr>
        <w:t>order</w:t>
      </w:r>
      <w:r>
        <w:rPr>
          <w:color w:val="231F20"/>
          <w:spacing w:val="10"/>
          <w:w w:val="110"/>
          <w:sz w:val="18"/>
        </w:rPr>
        <w:t> </w:t>
      </w:r>
      <w:r>
        <w:rPr>
          <w:color w:val="231F20"/>
          <w:w w:val="110"/>
          <w:sz w:val="18"/>
        </w:rPr>
        <w:t>and</w:t>
      </w:r>
      <w:r>
        <w:rPr>
          <w:color w:val="231F20"/>
          <w:spacing w:val="9"/>
          <w:w w:val="110"/>
          <w:sz w:val="18"/>
        </w:rPr>
        <w:t> </w:t>
      </w:r>
      <w:r>
        <w:rPr>
          <w:color w:val="231F20"/>
          <w:w w:val="110"/>
          <w:sz w:val="18"/>
        </w:rPr>
        <w:t>maintain</w:t>
      </w:r>
      <w:r>
        <w:rPr>
          <w:color w:val="231F20"/>
          <w:spacing w:val="9"/>
          <w:w w:val="110"/>
          <w:sz w:val="18"/>
        </w:rPr>
        <w:t> </w:t>
      </w:r>
      <w:r>
        <w:rPr>
          <w:color w:val="231F20"/>
          <w:w w:val="110"/>
          <w:sz w:val="18"/>
        </w:rPr>
        <w:t>them.</w:t>
      </w:r>
      <w:r>
        <w:rPr>
          <w:color w:val="231F20"/>
          <w:spacing w:val="10"/>
          <w:w w:val="110"/>
          <w:sz w:val="18"/>
        </w:rPr>
        <w:t> </w:t>
      </w:r>
      <w:r>
        <w:rPr>
          <w:color w:val="231F20"/>
          <w:w w:val="110"/>
          <w:sz w:val="18"/>
        </w:rPr>
        <w:t>In</w:t>
      </w:r>
      <w:r>
        <w:rPr>
          <w:color w:val="231F20"/>
          <w:spacing w:val="9"/>
          <w:w w:val="110"/>
          <w:sz w:val="18"/>
        </w:rPr>
        <w:t> </w:t>
      </w:r>
      <w:r>
        <w:rPr>
          <w:color w:val="231F20"/>
          <w:w w:val="110"/>
          <w:sz w:val="18"/>
        </w:rPr>
        <w:t>November,</w:t>
      </w:r>
      <w:r>
        <w:rPr>
          <w:color w:val="231F20"/>
          <w:spacing w:val="9"/>
          <w:w w:val="110"/>
          <w:sz w:val="18"/>
        </w:rPr>
        <w:t> </w:t>
      </w:r>
      <w:r>
        <w:rPr>
          <w:color w:val="231F20"/>
          <w:w w:val="110"/>
          <w:sz w:val="18"/>
        </w:rPr>
        <w:t>an</w:t>
      </w:r>
      <w:r>
        <w:rPr>
          <w:color w:val="231F20"/>
          <w:spacing w:val="10"/>
          <w:w w:val="110"/>
          <w:sz w:val="18"/>
        </w:rPr>
        <w:t> </w:t>
      </w:r>
      <w:r>
        <w:rPr>
          <w:color w:val="231F20"/>
          <w:w w:val="110"/>
          <w:sz w:val="18"/>
        </w:rPr>
        <w:t>English</w:t>
      </w:r>
      <w:r>
        <w:rPr>
          <w:color w:val="231F20"/>
          <w:spacing w:val="9"/>
          <w:w w:val="110"/>
          <w:sz w:val="18"/>
        </w:rPr>
        <w:t> </w:t>
      </w:r>
      <w:r>
        <w:rPr>
          <w:color w:val="231F20"/>
          <w:w w:val="110"/>
          <w:sz w:val="18"/>
        </w:rPr>
        <w:t>Heritage</w:t>
      </w:r>
    </w:p>
    <w:p>
      <w:pPr>
        <w:pStyle w:val="BodyText"/>
        <w:spacing w:line="273" w:lineRule="auto" w:before="2"/>
        <w:ind w:left="2261" w:right="1143"/>
      </w:pPr>
      <w:r>
        <w:rPr>
          <w:color w:val="231F20"/>
          <w:w w:val="110"/>
        </w:rPr>
        <w:t>architect worked with a cross-section of Yorkshire churches, making visits to a sample of them.</w:t>
      </w:r>
    </w:p>
    <w:p>
      <w:pPr>
        <w:pStyle w:val="BodyText"/>
        <w:spacing w:before="9"/>
        <w:rPr>
          <w:sz w:val="20"/>
        </w:rPr>
      </w:pPr>
    </w:p>
    <w:p>
      <w:pPr>
        <w:pStyle w:val="ListParagraph"/>
        <w:numPr>
          <w:ilvl w:val="3"/>
          <w:numId w:val="31"/>
        </w:numPr>
        <w:tabs>
          <w:tab w:pos="2261" w:val="left" w:leader="none"/>
          <w:tab w:pos="2262" w:val="left" w:leader="none"/>
        </w:tabs>
        <w:spacing w:line="273" w:lineRule="auto" w:before="0" w:after="0"/>
        <w:ind w:left="2261" w:right="1417" w:hanging="1021"/>
        <w:jc w:val="left"/>
        <w:rPr>
          <w:sz w:val="18"/>
        </w:rPr>
      </w:pPr>
      <w:r>
        <w:rPr>
          <w:color w:val="231F20"/>
          <w:w w:val="110"/>
          <w:sz w:val="18"/>
          <w:u w:val="single" w:color="231F20"/>
        </w:rPr>
        <w:t>Further review</w:t>
      </w:r>
      <w:r>
        <w:rPr>
          <w:color w:val="231F20"/>
          <w:w w:val="110"/>
          <w:sz w:val="18"/>
        </w:rPr>
        <w:t>.   Under discussion is an English Heritage proposal to build   on the fabric needs survey with a review, probably during </w:t>
      </w:r>
      <w:r>
        <w:rPr>
          <w:color w:val="231F20"/>
          <w:spacing w:val="-3"/>
          <w:w w:val="110"/>
          <w:sz w:val="18"/>
        </w:rPr>
        <w:t>2007/2008, </w:t>
      </w:r>
      <w:r>
        <w:rPr>
          <w:color w:val="231F20"/>
          <w:w w:val="110"/>
          <w:sz w:val="18"/>
        </w:rPr>
        <w:t>of the listing status of all the United Reformed Church buildings in the Yorkshire Synod area. A similar exercise involving Roman Catholic church</w:t>
      </w:r>
      <w:r>
        <w:rPr>
          <w:color w:val="231F20"/>
          <w:spacing w:val="5"/>
          <w:w w:val="110"/>
          <w:sz w:val="18"/>
        </w:rPr>
        <w:t> </w:t>
      </w:r>
      <w:r>
        <w:rPr>
          <w:color w:val="231F20"/>
          <w:w w:val="110"/>
          <w:sz w:val="18"/>
        </w:rPr>
        <w:t>buildings</w:t>
      </w:r>
    </w:p>
    <w:p>
      <w:pPr>
        <w:pStyle w:val="BodyText"/>
        <w:spacing w:line="273" w:lineRule="auto" w:before="2"/>
        <w:ind w:left="2261" w:right="1593"/>
      </w:pPr>
      <w:r>
        <w:rPr>
          <w:color w:val="231F20"/>
          <w:w w:val="110"/>
        </w:rPr>
        <w:t>in two sample Dioceses proved to be very helpful to that church and it is to be expected that significant advantages will follow a detailed study of the Yorkshire church buildings.</w:t>
      </w:r>
    </w:p>
    <w:p>
      <w:pPr>
        <w:pStyle w:val="BodyText"/>
        <w:spacing w:before="9"/>
        <w:rPr>
          <w:sz w:val="20"/>
        </w:rPr>
      </w:pPr>
    </w:p>
    <w:p>
      <w:pPr>
        <w:pStyle w:val="ListParagraph"/>
        <w:numPr>
          <w:ilvl w:val="3"/>
          <w:numId w:val="31"/>
        </w:numPr>
        <w:tabs>
          <w:tab w:pos="2261" w:val="left" w:leader="none"/>
          <w:tab w:pos="2262" w:val="left" w:leader="none"/>
        </w:tabs>
        <w:spacing w:line="273" w:lineRule="auto" w:before="0" w:after="0"/>
        <w:ind w:left="2261" w:right="1164" w:hanging="1021"/>
        <w:jc w:val="left"/>
        <w:rPr>
          <w:sz w:val="18"/>
        </w:rPr>
      </w:pPr>
      <w:r>
        <w:rPr>
          <w:color w:val="231F20"/>
          <w:w w:val="110"/>
          <w:sz w:val="18"/>
          <w:u w:val="single" w:color="231F20"/>
        </w:rPr>
        <w:t>Places of Worship Forum</w:t>
      </w:r>
      <w:r>
        <w:rPr>
          <w:color w:val="231F20"/>
          <w:w w:val="110"/>
          <w:sz w:val="18"/>
        </w:rPr>
        <w:t>. Just over twelve months ago English Heritage set up the Places of Worship Forum and gave it the remit of advising English Heritage concerning its work specifically in relation to historic places of worship. Although the United Reformed Church was not originally allotted a place on   the Forum, the Chair of our Listed Buildings </w:t>
      </w:r>
      <w:r>
        <w:rPr>
          <w:color w:val="231F20"/>
          <w:spacing w:val="2"/>
          <w:w w:val="110"/>
          <w:sz w:val="18"/>
        </w:rPr>
        <w:t>Advisory </w:t>
      </w:r>
      <w:r>
        <w:rPr>
          <w:color w:val="231F20"/>
          <w:w w:val="110"/>
          <w:sz w:val="18"/>
        </w:rPr>
        <w:t>Group has attended   most meetings so far on behalf of the Churches Main Committee and so has been able to </w:t>
      </w:r>
      <w:r>
        <w:rPr>
          <w:color w:val="231F20"/>
          <w:spacing w:val="2"/>
          <w:w w:val="110"/>
          <w:sz w:val="18"/>
        </w:rPr>
        <w:t>represent </w:t>
      </w:r>
      <w:r>
        <w:rPr>
          <w:color w:val="231F20"/>
          <w:w w:val="110"/>
          <w:sz w:val="18"/>
        </w:rPr>
        <w:t>the interests of our</w:t>
      </w:r>
      <w:r>
        <w:rPr>
          <w:color w:val="231F20"/>
          <w:spacing w:val="17"/>
          <w:w w:val="110"/>
          <w:sz w:val="18"/>
        </w:rPr>
        <w:t> </w:t>
      </w:r>
      <w:r>
        <w:rPr>
          <w:color w:val="231F20"/>
          <w:w w:val="110"/>
          <w:sz w:val="18"/>
        </w:rPr>
        <w:t>Church.</w:t>
      </w:r>
    </w:p>
    <w:p>
      <w:pPr>
        <w:pStyle w:val="BodyText"/>
        <w:spacing w:before="11"/>
        <w:rPr>
          <w:sz w:val="20"/>
        </w:rPr>
      </w:pPr>
    </w:p>
    <w:p>
      <w:pPr>
        <w:pStyle w:val="ListParagraph"/>
        <w:numPr>
          <w:ilvl w:val="3"/>
          <w:numId w:val="31"/>
        </w:numPr>
        <w:tabs>
          <w:tab w:pos="2261" w:val="left" w:leader="none"/>
          <w:tab w:pos="2262" w:val="left" w:leader="none"/>
        </w:tabs>
        <w:spacing w:line="273" w:lineRule="auto" w:before="0" w:after="0"/>
        <w:ind w:left="2261" w:right="1329" w:hanging="1021"/>
        <w:jc w:val="left"/>
        <w:rPr>
          <w:sz w:val="18"/>
        </w:rPr>
      </w:pPr>
      <w:r>
        <w:rPr>
          <w:color w:val="231F20"/>
          <w:w w:val="110"/>
          <w:sz w:val="18"/>
        </w:rPr>
        <w:t>The United Reformed Church has now been given a place on the Forum in its own right and so is assured of permanent representation. This is especially important</w:t>
      </w:r>
      <w:r>
        <w:rPr>
          <w:color w:val="231F20"/>
          <w:spacing w:val="12"/>
          <w:w w:val="110"/>
          <w:sz w:val="18"/>
        </w:rPr>
        <w:t> </w:t>
      </w:r>
      <w:r>
        <w:rPr>
          <w:color w:val="231F20"/>
          <w:w w:val="110"/>
          <w:sz w:val="18"/>
        </w:rPr>
        <w:t>in</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light</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imminent</w:t>
      </w:r>
      <w:r>
        <w:rPr>
          <w:color w:val="231F20"/>
          <w:spacing w:val="13"/>
          <w:w w:val="110"/>
          <w:sz w:val="18"/>
        </w:rPr>
        <w:t> </w:t>
      </w:r>
      <w:r>
        <w:rPr>
          <w:color w:val="231F20"/>
          <w:w w:val="110"/>
          <w:sz w:val="18"/>
        </w:rPr>
        <w:t>changes</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Churches</w:t>
      </w:r>
      <w:r>
        <w:rPr>
          <w:color w:val="231F20"/>
          <w:spacing w:val="12"/>
          <w:w w:val="110"/>
          <w:sz w:val="18"/>
        </w:rPr>
        <w:t> </w:t>
      </w:r>
      <w:r>
        <w:rPr>
          <w:color w:val="231F20"/>
          <w:w w:val="110"/>
          <w:sz w:val="18"/>
        </w:rPr>
        <w:t>Main</w:t>
      </w:r>
      <w:r>
        <w:rPr>
          <w:color w:val="231F20"/>
          <w:spacing w:val="13"/>
          <w:w w:val="110"/>
          <w:sz w:val="18"/>
        </w:rPr>
        <w:t> </w:t>
      </w:r>
      <w:r>
        <w:rPr>
          <w:color w:val="231F20"/>
          <w:w w:val="110"/>
          <w:sz w:val="18"/>
        </w:rPr>
        <w:t>Committee.</w:t>
      </w:r>
    </w:p>
    <w:p>
      <w:pPr>
        <w:pStyle w:val="BodyText"/>
        <w:spacing w:before="9"/>
        <w:rPr>
          <w:sz w:val="20"/>
        </w:rPr>
      </w:pPr>
    </w:p>
    <w:p>
      <w:pPr>
        <w:pStyle w:val="ListParagraph"/>
        <w:numPr>
          <w:ilvl w:val="3"/>
          <w:numId w:val="31"/>
        </w:numPr>
        <w:tabs>
          <w:tab w:pos="2261" w:val="left" w:leader="none"/>
          <w:tab w:pos="2262" w:val="left" w:leader="none"/>
        </w:tabs>
        <w:spacing w:line="273" w:lineRule="auto" w:before="0" w:after="0"/>
        <w:ind w:left="2261" w:right="1350" w:hanging="1021"/>
        <w:jc w:val="left"/>
        <w:rPr>
          <w:sz w:val="18"/>
        </w:rPr>
      </w:pPr>
      <w:r>
        <w:rPr>
          <w:color w:val="231F20"/>
          <w:w w:val="110"/>
          <w:sz w:val="18"/>
        </w:rPr>
        <w:t>With many listed church buildings in desperate need of assistance to keep them standing, in Yorkshire and beyond, these </w:t>
      </w:r>
      <w:r>
        <w:rPr>
          <w:color w:val="231F20"/>
          <w:spacing w:val="2"/>
          <w:w w:val="110"/>
          <w:sz w:val="18"/>
        </w:rPr>
        <w:t>projects </w:t>
      </w:r>
      <w:r>
        <w:rPr>
          <w:color w:val="231F20"/>
          <w:w w:val="110"/>
          <w:sz w:val="18"/>
        </w:rPr>
        <w:t>have the potential to make a contribution to securing funds to help maintain</w:t>
      </w:r>
      <w:r>
        <w:rPr>
          <w:color w:val="231F20"/>
          <w:spacing w:val="32"/>
          <w:w w:val="110"/>
          <w:sz w:val="18"/>
        </w:rPr>
        <w:t> </w:t>
      </w:r>
      <w:r>
        <w:rPr>
          <w:color w:val="231F20"/>
          <w:w w:val="110"/>
          <w:sz w:val="18"/>
        </w:rPr>
        <w:t>them.</w:t>
      </w:r>
    </w:p>
    <w:p>
      <w:pPr>
        <w:spacing w:after="0" w:line="273" w:lineRule="auto"/>
        <w:jc w:val="left"/>
        <w:rPr>
          <w:sz w:val="18"/>
        </w:rPr>
        <w:sectPr>
          <w:pgSz w:w="11910" w:h="16840"/>
          <w:pgMar w:header="581" w:footer="544" w:top="860" w:bottom="740" w:left="460" w:right="0"/>
        </w:sectPr>
      </w:pPr>
    </w:p>
    <w:p>
      <w:pPr>
        <w:pStyle w:val="BodyText"/>
        <w:spacing w:before="10"/>
        <w:rPr>
          <w:sz w:val="11"/>
        </w:rPr>
      </w:pPr>
    </w:p>
    <w:p>
      <w:pPr>
        <w:pStyle w:val="ListParagraph"/>
        <w:numPr>
          <w:ilvl w:val="2"/>
          <w:numId w:val="26"/>
        </w:numPr>
        <w:tabs>
          <w:tab w:pos="1355" w:val="left" w:leader="none"/>
        </w:tabs>
        <w:spacing w:line="240" w:lineRule="auto" w:before="101" w:after="0"/>
        <w:ind w:left="1354" w:right="0" w:hanging="682"/>
        <w:jc w:val="left"/>
        <w:rPr>
          <w:sz w:val="18"/>
        </w:rPr>
      </w:pPr>
      <w:r>
        <w:rPr>
          <w:color w:val="231F20"/>
          <w:w w:val="110"/>
          <w:sz w:val="18"/>
          <w:u w:val="single" w:color="231F20"/>
        </w:rPr>
        <w:t>The listed building, millstone or</w:t>
      </w:r>
      <w:r>
        <w:rPr>
          <w:color w:val="231F20"/>
          <w:spacing w:val="7"/>
          <w:w w:val="110"/>
          <w:sz w:val="18"/>
          <w:u w:val="single" w:color="231F20"/>
        </w:rPr>
        <w:t> </w:t>
      </w:r>
      <w:r>
        <w:rPr>
          <w:color w:val="231F20"/>
          <w:w w:val="110"/>
          <w:sz w:val="18"/>
          <w:u w:val="single" w:color="231F20"/>
        </w:rPr>
        <w:t>opportunity?</w:t>
      </w:r>
    </w:p>
    <w:p>
      <w:pPr>
        <w:pStyle w:val="BodyText"/>
        <w:spacing w:line="273" w:lineRule="auto" w:before="31"/>
        <w:ind w:left="1354" w:right="2219"/>
      </w:pPr>
      <w:r>
        <w:rPr>
          <w:color w:val="231F20"/>
          <w:w w:val="110"/>
        </w:rPr>
        <w:t>The Chair and Secretary of the Listed Buildings Advisory Group, together with other representatives of the United Reformed Church, attended in June the conference of the Historic Chapels Trust at their magnificently restored former Unitarian Church in Todmorden, and were impressed by its very positive tone. Also present were leaders of organisations with experience and expertise in helping to conserve and maintain historic places of worship, in almost every case seeing them enhanced as centres of community and spiritual activity.</w:t>
      </w:r>
    </w:p>
    <w:p>
      <w:pPr>
        <w:pStyle w:val="BodyText"/>
        <w:spacing w:line="273" w:lineRule="auto" w:before="4"/>
        <w:ind w:left="1354" w:right="1856"/>
      </w:pPr>
      <w:r>
        <w:rPr>
          <w:color w:val="231F20"/>
          <w:w w:val="110"/>
        </w:rPr>
        <w:t>The experience of the Methodists and Anglicans in particular as </w:t>
      </w:r>
      <w:r>
        <w:rPr>
          <w:color w:val="231F20"/>
          <w:spacing w:val="2"/>
          <w:w w:val="110"/>
        </w:rPr>
        <w:t>reported </w:t>
      </w:r>
      <w:r>
        <w:rPr>
          <w:color w:val="231F20"/>
          <w:w w:val="110"/>
        </w:rPr>
        <w:t>at the conference demonstrated the </w:t>
      </w:r>
      <w:r>
        <w:rPr>
          <w:color w:val="231F20"/>
          <w:spacing w:val="2"/>
          <w:w w:val="110"/>
        </w:rPr>
        <w:t>importance </w:t>
      </w:r>
      <w:r>
        <w:rPr>
          <w:color w:val="231F20"/>
          <w:w w:val="110"/>
        </w:rPr>
        <w:t>of exploring the value of historic church buildings as a significant asset in the context of mission, outreach and </w:t>
      </w:r>
      <w:r>
        <w:rPr>
          <w:color w:val="231F20"/>
          <w:spacing w:val="2"/>
          <w:w w:val="110"/>
        </w:rPr>
        <w:t>service </w:t>
      </w:r>
      <w:r>
        <w:rPr>
          <w:color w:val="231F20"/>
          <w:w w:val="110"/>
        </w:rPr>
        <w:t>to the community. They can show us new ways of developing mission in and </w:t>
      </w:r>
      <w:r>
        <w:rPr>
          <w:color w:val="231F20"/>
          <w:spacing w:val="2"/>
          <w:w w:val="110"/>
        </w:rPr>
        <w:t>from  </w:t>
      </w:r>
      <w:r>
        <w:rPr>
          <w:color w:val="231F20"/>
          <w:w w:val="110"/>
        </w:rPr>
        <w:t>the historic church</w:t>
      </w:r>
      <w:r>
        <w:rPr>
          <w:color w:val="231F20"/>
          <w:spacing w:val="3"/>
          <w:w w:val="110"/>
        </w:rPr>
        <w:t> </w:t>
      </w:r>
      <w:r>
        <w:rPr>
          <w:color w:val="231F20"/>
          <w:w w:val="110"/>
        </w:rPr>
        <w:t>building.</w:t>
      </w:r>
    </w:p>
    <w:p>
      <w:pPr>
        <w:pStyle w:val="BodyText"/>
        <w:spacing w:before="10"/>
        <w:rPr>
          <w:sz w:val="20"/>
        </w:rPr>
      </w:pPr>
    </w:p>
    <w:p>
      <w:pPr>
        <w:pStyle w:val="ListParagraph"/>
        <w:numPr>
          <w:ilvl w:val="2"/>
          <w:numId w:val="26"/>
        </w:numPr>
        <w:tabs>
          <w:tab w:pos="1355" w:val="left" w:leader="none"/>
        </w:tabs>
        <w:spacing w:line="240" w:lineRule="auto" w:before="0" w:after="0"/>
        <w:ind w:left="1354" w:right="0" w:hanging="682"/>
        <w:jc w:val="left"/>
        <w:rPr>
          <w:sz w:val="18"/>
        </w:rPr>
      </w:pPr>
      <w:r>
        <w:rPr>
          <w:color w:val="231F20"/>
          <w:w w:val="110"/>
          <w:sz w:val="18"/>
          <w:u w:val="single" w:color="231F20"/>
        </w:rPr>
        <w:t>The work of the Group</w:t>
      </w:r>
      <w:r>
        <w:rPr>
          <w:color w:val="231F20"/>
          <w:spacing w:val="5"/>
          <w:w w:val="110"/>
          <w:sz w:val="18"/>
          <w:u w:val="single" w:color="231F20"/>
        </w:rPr>
        <w:t> </w:t>
      </w:r>
      <w:r>
        <w:rPr>
          <w:color w:val="231F20"/>
          <w:w w:val="110"/>
          <w:sz w:val="18"/>
          <w:u w:val="single" w:color="231F20"/>
        </w:rPr>
        <w:t>itself</w:t>
      </w:r>
    </w:p>
    <w:p>
      <w:pPr>
        <w:pStyle w:val="BodyText"/>
        <w:spacing w:line="273" w:lineRule="auto" w:before="31"/>
        <w:ind w:left="1354" w:right="1593" w:hanging="1"/>
      </w:pPr>
      <w:r>
        <w:rPr>
          <w:color w:val="231F20"/>
          <w:w w:val="110"/>
        </w:rPr>
        <w:t>Meanwhile the valuable role played by the Listed Buildings </w:t>
      </w:r>
      <w:r>
        <w:rPr>
          <w:color w:val="231F20"/>
          <w:spacing w:val="2"/>
          <w:w w:val="110"/>
        </w:rPr>
        <w:t>Advisory </w:t>
      </w:r>
      <w:r>
        <w:rPr>
          <w:color w:val="231F20"/>
          <w:w w:val="110"/>
        </w:rPr>
        <w:t>and </w:t>
      </w:r>
      <w:r>
        <w:rPr>
          <w:color w:val="231F20"/>
          <w:spacing w:val="3"/>
          <w:w w:val="110"/>
        </w:rPr>
        <w:t>Property </w:t>
      </w:r>
      <w:r>
        <w:rPr>
          <w:color w:val="231F20"/>
          <w:w w:val="110"/>
        </w:rPr>
        <w:t>Committees of the various Synods goes on and the Chair and the </w:t>
      </w:r>
      <w:r>
        <w:rPr>
          <w:color w:val="231F20"/>
          <w:spacing w:val="3"/>
          <w:w w:val="110"/>
        </w:rPr>
        <w:t>Secretary </w:t>
      </w:r>
      <w:r>
        <w:rPr>
          <w:color w:val="231F20"/>
          <w:w w:val="110"/>
        </w:rPr>
        <w:t>of the </w:t>
      </w:r>
      <w:r>
        <w:rPr>
          <w:color w:val="231F20"/>
          <w:spacing w:val="2"/>
          <w:w w:val="110"/>
        </w:rPr>
        <w:t>Advisory </w:t>
      </w:r>
      <w:r>
        <w:rPr>
          <w:color w:val="231F20"/>
          <w:w w:val="110"/>
        </w:rPr>
        <w:t>Group wish to pay tribute to all their conscientious and time-consuming work. The </w:t>
      </w:r>
      <w:r>
        <w:rPr>
          <w:color w:val="231F20"/>
          <w:spacing w:val="2"/>
          <w:w w:val="110"/>
        </w:rPr>
        <w:t>Advisory </w:t>
      </w:r>
      <w:r>
        <w:rPr>
          <w:color w:val="231F20"/>
          <w:w w:val="110"/>
        </w:rPr>
        <w:t>Group </w:t>
      </w:r>
      <w:r>
        <w:rPr>
          <w:color w:val="231F20"/>
          <w:spacing w:val="2"/>
          <w:w w:val="110"/>
        </w:rPr>
        <w:t>meets </w:t>
      </w:r>
      <w:r>
        <w:rPr>
          <w:color w:val="231F20"/>
          <w:w w:val="110"/>
        </w:rPr>
        <w:t>twice a year and </w:t>
      </w:r>
      <w:r>
        <w:rPr>
          <w:color w:val="231F20"/>
          <w:spacing w:val="2"/>
          <w:w w:val="110"/>
        </w:rPr>
        <w:t>affords </w:t>
      </w:r>
      <w:r>
        <w:rPr>
          <w:color w:val="231F20"/>
          <w:w w:val="110"/>
        </w:rPr>
        <w:t>the</w:t>
      </w:r>
      <w:r>
        <w:rPr>
          <w:color w:val="231F20"/>
          <w:spacing w:val="55"/>
          <w:w w:val="110"/>
        </w:rPr>
        <w:t> </w:t>
      </w:r>
      <w:r>
        <w:rPr>
          <w:color w:val="231F20"/>
          <w:spacing w:val="2"/>
          <w:w w:val="110"/>
        </w:rPr>
        <w:t>opportunity</w:t>
      </w:r>
    </w:p>
    <w:p>
      <w:pPr>
        <w:pStyle w:val="BodyText"/>
        <w:spacing w:before="3"/>
        <w:ind w:left="1354"/>
      </w:pPr>
      <w:r>
        <w:rPr>
          <w:color w:val="231F20"/>
          <w:w w:val="110"/>
        </w:rPr>
        <w:t>of bringing all the Synod Listed Buildings officers together for discussion,</w:t>
      </w:r>
    </w:p>
    <w:p>
      <w:pPr>
        <w:pStyle w:val="BodyText"/>
        <w:spacing w:before="31"/>
        <w:ind w:left="1354"/>
      </w:pPr>
      <w:r>
        <w:rPr>
          <w:color w:val="231F20"/>
          <w:w w:val="110"/>
        </w:rPr>
        <w:t>information and mutual support.</w:t>
      </w:r>
    </w:p>
    <w:p>
      <w:pPr>
        <w:pStyle w:val="BodyText"/>
        <w:spacing w:before="2"/>
        <w:rPr>
          <w:sz w:val="23"/>
        </w:rPr>
      </w:pPr>
    </w:p>
    <w:p>
      <w:pPr>
        <w:pStyle w:val="ListParagraph"/>
        <w:numPr>
          <w:ilvl w:val="2"/>
          <w:numId w:val="26"/>
        </w:numPr>
        <w:tabs>
          <w:tab w:pos="1355" w:val="left" w:leader="none"/>
        </w:tabs>
        <w:spacing w:line="240" w:lineRule="auto" w:before="0" w:after="0"/>
        <w:ind w:left="1354" w:right="0" w:hanging="682"/>
        <w:jc w:val="left"/>
        <w:rPr>
          <w:sz w:val="18"/>
        </w:rPr>
      </w:pPr>
      <w:r>
        <w:rPr>
          <w:color w:val="231F20"/>
          <w:w w:val="110"/>
          <w:sz w:val="18"/>
          <w:u w:val="single" w:color="231F20"/>
        </w:rPr>
        <w:t>Appeals</w:t>
      </w:r>
      <w:r>
        <w:rPr>
          <w:color w:val="231F20"/>
          <w:spacing w:val="1"/>
          <w:w w:val="110"/>
          <w:sz w:val="18"/>
          <w:u w:val="single" w:color="231F20"/>
        </w:rPr>
        <w:t> </w:t>
      </w:r>
      <w:r>
        <w:rPr>
          <w:color w:val="231F20"/>
          <w:w w:val="110"/>
          <w:sz w:val="18"/>
          <w:u w:val="single" w:color="231F20"/>
        </w:rPr>
        <w:t>Procedure</w:t>
      </w:r>
    </w:p>
    <w:p>
      <w:pPr>
        <w:pStyle w:val="BodyText"/>
        <w:spacing w:before="1"/>
        <w:rPr>
          <w:sz w:val="23"/>
        </w:rPr>
      </w:pPr>
    </w:p>
    <w:p>
      <w:pPr>
        <w:pStyle w:val="BodyText"/>
        <w:spacing w:line="273" w:lineRule="auto"/>
        <w:ind w:left="1354" w:right="1835"/>
      </w:pPr>
      <w:r>
        <w:rPr>
          <w:color w:val="231F20"/>
          <w:w w:val="110"/>
        </w:rPr>
        <w:t>In 2006, General Assembly agreed to make changes to the Structure of the   Church to allow for the introduction of a separate appeals system under the Church’s Ecclesiastical Exemption Procedure for consenting to alterations to listed church buildings. This allows a church not satisfied with the decision of a Synod to put its </w:t>
      </w:r>
      <w:r>
        <w:rPr>
          <w:color w:val="231F20"/>
          <w:spacing w:val="2"/>
          <w:w w:val="110"/>
        </w:rPr>
        <w:t>case </w:t>
      </w:r>
      <w:r>
        <w:rPr>
          <w:color w:val="231F20"/>
          <w:w w:val="110"/>
        </w:rPr>
        <w:t>to a panel independent of those involved in the original</w:t>
      </w:r>
      <w:r>
        <w:rPr>
          <w:color w:val="231F20"/>
          <w:spacing w:val="5"/>
          <w:w w:val="110"/>
        </w:rPr>
        <w:t> </w:t>
      </w:r>
      <w:r>
        <w:rPr>
          <w:color w:val="231F20"/>
          <w:w w:val="110"/>
        </w:rPr>
        <w:t>decision.</w:t>
      </w:r>
    </w:p>
    <w:p>
      <w:pPr>
        <w:pStyle w:val="BodyText"/>
        <w:spacing w:before="10"/>
        <w:rPr>
          <w:sz w:val="20"/>
        </w:rPr>
      </w:pPr>
    </w:p>
    <w:p>
      <w:pPr>
        <w:pStyle w:val="BodyText"/>
        <w:spacing w:before="1"/>
        <w:ind w:left="1354"/>
      </w:pPr>
      <w:r>
        <w:rPr>
          <w:color w:val="231F20"/>
          <w:spacing w:val="3"/>
          <w:w w:val="110"/>
        </w:rPr>
        <w:t>As </w:t>
      </w:r>
      <w:r>
        <w:rPr>
          <w:color w:val="231F20"/>
          <w:w w:val="110"/>
        </w:rPr>
        <w:t>an alteration to the Structure, the original decision needs to be ratified at</w:t>
      </w:r>
      <w:r>
        <w:rPr>
          <w:color w:val="231F20"/>
          <w:spacing w:val="55"/>
          <w:w w:val="110"/>
        </w:rPr>
        <w:t> </w:t>
      </w:r>
      <w:r>
        <w:rPr>
          <w:color w:val="231F20"/>
          <w:w w:val="110"/>
        </w:rPr>
        <w:t>the</w:t>
      </w:r>
    </w:p>
    <w:p>
      <w:pPr>
        <w:pStyle w:val="BodyText"/>
        <w:spacing w:before="31"/>
        <w:ind w:left="1354"/>
      </w:pPr>
      <w:r>
        <w:rPr>
          <w:color w:val="231F20"/>
          <w:w w:val="110"/>
        </w:rPr>
        <w:t>present General Assembly and an appropriate resolution (</w:t>
      </w:r>
      <w:r>
        <w:rPr>
          <w:b/>
          <w:color w:val="231F20"/>
          <w:w w:val="110"/>
        </w:rPr>
        <w:t>Resolution 20</w:t>
      </w:r>
      <w:r>
        <w:rPr>
          <w:color w:val="231F20"/>
          <w:w w:val="110"/>
        </w:rPr>
        <w:t>, page</w:t>
      </w:r>
    </w:p>
    <w:p>
      <w:pPr>
        <w:pStyle w:val="BodyText"/>
        <w:spacing w:line="273" w:lineRule="auto" w:before="31"/>
        <w:ind w:left="1354" w:right="1593"/>
      </w:pPr>
      <w:r>
        <w:rPr>
          <w:color w:val="231F20"/>
          <w:w w:val="110"/>
        </w:rPr>
        <w:t>75) is followed by a resolution to make a consequential change to the Rules of Procedure on Appeals (</w:t>
      </w:r>
      <w:r>
        <w:rPr>
          <w:b/>
          <w:color w:val="231F20"/>
          <w:w w:val="110"/>
        </w:rPr>
        <w:t>Resolution 21</w:t>
      </w:r>
      <w:r>
        <w:rPr>
          <w:color w:val="231F20"/>
          <w:w w:val="110"/>
        </w:rPr>
        <w:t>, page 76).</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5"/>
        <w:ind w:left="0" w:right="1024" w:firstLine="0"/>
        <w:jc w:val="center"/>
        <w:rPr>
          <w:i/>
          <w:sz w:val="24"/>
        </w:rPr>
      </w:pPr>
      <w:r>
        <w:rPr>
          <w:i/>
          <w:color w:val="231F20"/>
          <w:w w:val="600"/>
          <w:sz w:val="24"/>
        </w:rPr>
        <w:t>   </w:t>
      </w:r>
    </w:p>
    <w:p>
      <w:pPr>
        <w:spacing w:after="0"/>
        <w:jc w:val="center"/>
        <w:rPr>
          <w:sz w:val="24"/>
        </w:rPr>
        <w:sectPr>
          <w:pgSz w:w="11910" w:h="16840"/>
          <w:pgMar w:header="581" w:footer="464" w:top="860" w:bottom="740" w:left="460" w:right="0"/>
        </w:sectPr>
      </w:pPr>
    </w:p>
    <w:p>
      <w:pPr>
        <w:spacing w:before="67"/>
        <w:ind w:left="1240" w:right="0" w:firstLine="0"/>
        <w:jc w:val="left"/>
        <w:rPr>
          <w:b/>
          <w:sz w:val="56"/>
        </w:rPr>
      </w:pPr>
      <w:r>
        <w:rPr/>
        <w:pict>
          <v:group style="position:absolute;margin-left:56.693001pt;margin-top:107.006073pt;width:514.8pt;height:691.1pt;mso-position-horizontal-relative:page;mso-position-vertical-relative:page;z-index:-275559424" coordorigin="1134,2140" coordsize="10296,13822">
            <v:shape style="position:absolute;left:1754;top:2205;width:4016;height:630" coordorigin="1754,2206" coordsize="4016,630" path="m5770,2532l1912,2532,1912,2206,1754,2206,1754,2532,1754,2836,5770,2836,5770,2532e" filled="true" fillcolor="#d8dadc" stroked="false">
              <v:path arrowok="t"/>
              <v:fill type="solid"/>
            </v:shape>
            <v:line style="position:absolute" from="1754,2199" to="5770,2199" stroked="true" strokeweight=".7pt" strokecolor="#d8dadc">
              <v:stroke dashstyle="solid"/>
            </v:line>
            <v:shape style="position:absolute;left:1912;top:2205;width:3858;height:328" coordorigin="1912,2205" coordsize="3858,328" path="m5770,2205l5355,2205,1912,2205,1912,2532,5355,2532,5770,2532,5770,2205e" filled="true" fillcolor="#d8dadc" stroked="false">
              <v:path arrowok="t"/>
              <v:fill type="solid"/>
            </v:shape>
            <v:shape style="position:absolute;left:1451;top:2140;width:9932;height:13564" type="#_x0000_t75" stroked="false">
              <v:imagedata r:id="rId69" o:title=""/>
            </v:shape>
            <v:rect style="position:absolute;left:1133;top:15461;width:10296;height:501" filled="true" fillcolor="#ffffff" stroked="false">
              <v:fill type="solid"/>
            </v:rect>
            <w10:wrap type="none"/>
          </v:group>
        </w:pict>
      </w:r>
      <w:r>
        <w:rPr>
          <w:b/>
          <w:color w:val="231F20"/>
          <w:sz w:val="56"/>
        </w:rPr>
        <w:t>Mission Council Resolutions</w:t>
      </w:r>
    </w:p>
    <w:p>
      <w:pPr>
        <w:tabs>
          <w:tab w:pos="6405" w:val="left" w:leader="none"/>
        </w:tabs>
        <w:spacing w:line="729" w:lineRule="exact" w:before="480"/>
        <w:ind w:left="1407" w:right="0" w:firstLine="0"/>
        <w:jc w:val="left"/>
        <w:rPr>
          <w:b/>
          <w:sz w:val="20"/>
        </w:rPr>
      </w:pPr>
      <w:r>
        <w:rPr>
          <w:b/>
          <w:color w:val="FFFFFF"/>
          <w:spacing w:val="2"/>
          <w:w w:val="111"/>
          <w:position w:val="22"/>
          <w:sz w:val="43"/>
        </w:rPr>
        <w:t>R</w:t>
      </w:r>
      <w:r>
        <w:rPr>
          <w:b/>
          <w:color w:val="FFFFFF"/>
          <w:spacing w:val="1"/>
          <w:w w:val="111"/>
          <w:position w:val="22"/>
          <w:sz w:val="43"/>
        </w:rPr>
        <w:t>E</w:t>
      </w:r>
      <w:r>
        <w:rPr>
          <w:b/>
          <w:color w:val="FFFFFF"/>
          <w:w w:val="111"/>
          <w:position w:val="22"/>
          <w:sz w:val="43"/>
        </w:rPr>
        <w:t>S</w:t>
      </w:r>
      <w:r>
        <w:rPr>
          <w:b/>
          <w:color w:val="FFFFFF"/>
          <w:spacing w:val="-4"/>
          <w:w w:val="111"/>
          <w:position w:val="22"/>
          <w:sz w:val="43"/>
        </w:rPr>
        <w:t>O</w:t>
      </w:r>
      <w:r>
        <w:rPr>
          <w:b/>
          <w:color w:val="FFFFFF"/>
          <w:spacing w:val="-6"/>
          <w:w w:val="111"/>
          <w:position w:val="22"/>
          <w:sz w:val="43"/>
        </w:rPr>
        <w:t>L</w:t>
      </w:r>
      <w:r>
        <w:rPr>
          <w:b/>
          <w:color w:val="FFFFFF"/>
          <w:spacing w:val="-2"/>
          <w:w w:val="111"/>
          <w:position w:val="22"/>
          <w:sz w:val="43"/>
        </w:rPr>
        <w:t>U</w:t>
      </w:r>
      <w:r>
        <w:rPr>
          <w:b/>
          <w:color w:val="FFFFFF"/>
          <w:spacing w:val="3"/>
          <w:w w:val="111"/>
          <w:position w:val="22"/>
          <w:sz w:val="43"/>
        </w:rPr>
        <w:t>T</w:t>
      </w:r>
      <w:r>
        <w:rPr>
          <w:b/>
          <w:color w:val="FFFFFF"/>
          <w:spacing w:val="-15"/>
          <w:w w:val="111"/>
          <w:position w:val="22"/>
          <w:sz w:val="43"/>
        </w:rPr>
        <w:t>I</w:t>
      </w:r>
      <w:r>
        <w:rPr>
          <w:b/>
          <w:color w:val="FFFFFF"/>
          <w:spacing w:val="-4"/>
          <w:w w:val="111"/>
          <w:position w:val="22"/>
          <w:sz w:val="43"/>
        </w:rPr>
        <w:t>O</w:t>
      </w:r>
      <w:r>
        <w:rPr>
          <w:b/>
          <w:color w:val="FFFFFF"/>
          <w:spacing w:val="-317"/>
          <w:w w:val="111"/>
          <w:position w:val="22"/>
          <w:sz w:val="43"/>
        </w:rPr>
        <w:t>N</w:t>
      </w:r>
      <w:r>
        <w:rPr>
          <w:b/>
          <w:color w:val="231F20"/>
          <w:w w:val="112"/>
          <w:sz w:val="50"/>
        </w:rPr>
        <w:t>9</w:t>
      </w:r>
      <w:r>
        <w:rPr>
          <w:b/>
          <w:color w:val="231F20"/>
          <w:sz w:val="50"/>
        </w:rPr>
        <w:tab/>
      </w:r>
      <w:r>
        <w:rPr>
          <w:b/>
          <w:color w:val="231F20"/>
          <w:w w:val="110"/>
          <w:sz w:val="20"/>
        </w:rPr>
        <w:t>M</w:t>
      </w:r>
      <w:r>
        <w:rPr>
          <w:b/>
          <w:color w:val="231F20"/>
          <w:spacing w:val="-1"/>
          <w:w w:val="109"/>
          <w:sz w:val="20"/>
        </w:rPr>
        <w:t>in</w:t>
      </w:r>
      <w:r>
        <w:rPr>
          <w:b/>
          <w:color w:val="231F20"/>
          <w:spacing w:val="2"/>
          <w:w w:val="109"/>
          <w:sz w:val="20"/>
        </w:rPr>
        <w:t>i</w:t>
      </w:r>
      <w:r>
        <w:rPr>
          <w:b/>
          <w:color w:val="231F20"/>
          <w:spacing w:val="3"/>
          <w:w w:val="109"/>
          <w:sz w:val="20"/>
        </w:rPr>
        <w:t>s</w:t>
      </w:r>
      <w:r>
        <w:rPr>
          <w:b/>
          <w:color w:val="231F20"/>
          <w:spacing w:val="2"/>
          <w:w w:val="110"/>
          <w:sz w:val="20"/>
        </w:rPr>
        <w:t>t</w:t>
      </w:r>
      <w:r>
        <w:rPr>
          <w:b/>
          <w:color w:val="231F20"/>
          <w:spacing w:val="2"/>
          <w:w w:val="109"/>
          <w:sz w:val="20"/>
        </w:rPr>
        <w:t>e</w:t>
      </w:r>
      <w:r>
        <w:rPr>
          <w:b/>
          <w:color w:val="231F20"/>
          <w:w w:val="109"/>
          <w:sz w:val="20"/>
        </w:rPr>
        <w:t>r</w:t>
      </w:r>
      <w:r>
        <w:rPr>
          <w:b/>
          <w:color w:val="231F20"/>
          <w:w w:val="110"/>
          <w:sz w:val="20"/>
        </w:rPr>
        <w:t>i</w:t>
      </w:r>
      <w:r>
        <w:rPr>
          <w:b/>
          <w:color w:val="231F20"/>
          <w:spacing w:val="-1"/>
          <w:w w:val="110"/>
          <w:sz w:val="20"/>
        </w:rPr>
        <w:t>a</w:t>
      </w:r>
      <w:r>
        <w:rPr>
          <w:b/>
          <w:color w:val="231F20"/>
          <w:w w:val="110"/>
          <w:sz w:val="20"/>
        </w:rPr>
        <w:t>l</w:t>
      </w:r>
      <w:r>
        <w:rPr>
          <w:b/>
          <w:color w:val="231F20"/>
          <w:spacing w:val="6"/>
          <w:sz w:val="20"/>
        </w:rPr>
        <w:t> </w:t>
      </w:r>
      <w:r>
        <w:rPr>
          <w:b/>
          <w:color w:val="231F20"/>
          <w:w w:val="109"/>
          <w:sz w:val="20"/>
        </w:rPr>
        <w:t>D</w:t>
      </w:r>
      <w:r>
        <w:rPr>
          <w:b/>
          <w:color w:val="231F20"/>
          <w:spacing w:val="2"/>
          <w:w w:val="110"/>
          <w:sz w:val="20"/>
        </w:rPr>
        <w:t>i</w:t>
      </w:r>
      <w:r>
        <w:rPr>
          <w:b/>
          <w:color w:val="231F20"/>
          <w:spacing w:val="2"/>
          <w:w w:val="109"/>
          <w:sz w:val="20"/>
        </w:rPr>
        <w:t>s</w:t>
      </w:r>
      <w:r>
        <w:rPr>
          <w:b/>
          <w:color w:val="231F20"/>
          <w:spacing w:val="3"/>
          <w:w w:val="109"/>
          <w:sz w:val="20"/>
        </w:rPr>
        <w:t>c</w:t>
      </w:r>
      <w:r>
        <w:rPr>
          <w:b/>
          <w:color w:val="231F20"/>
          <w:spacing w:val="-1"/>
          <w:w w:val="109"/>
          <w:sz w:val="20"/>
        </w:rPr>
        <w:t>i</w:t>
      </w:r>
      <w:r>
        <w:rPr>
          <w:b/>
          <w:color w:val="231F20"/>
          <w:spacing w:val="1"/>
          <w:w w:val="109"/>
          <w:sz w:val="20"/>
        </w:rPr>
        <w:t>p</w:t>
      </w:r>
      <w:r>
        <w:rPr>
          <w:b/>
          <w:color w:val="231F20"/>
          <w:spacing w:val="-1"/>
          <w:w w:val="109"/>
          <w:sz w:val="20"/>
        </w:rPr>
        <w:t>li</w:t>
      </w:r>
      <w:r>
        <w:rPr>
          <w:b/>
          <w:color w:val="231F20"/>
          <w:w w:val="109"/>
          <w:sz w:val="20"/>
        </w:rPr>
        <w:t>n</w:t>
      </w:r>
      <w:r>
        <w:rPr>
          <w:b/>
          <w:color w:val="231F20"/>
          <w:spacing w:val="-1"/>
          <w:w w:val="109"/>
          <w:sz w:val="20"/>
        </w:rPr>
        <w:t>a</w:t>
      </w:r>
      <w:r>
        <w:rPr>
          <w:b/>
          <w:color w:val="231F20"/>
          <w:spacing w:val="7"/>
          <w:w w:val="109"/>
          <w:sz w:val="20"/>
        </w:rPr>
        <w:t>r</w:t>
      </w:r>
      <w:r>
        <w:rPr>
          <w:b/>
          <w:color w:val="231F20"/>
          <w:w w:val="109"/>
          <w:sz w:val="20"/>
        </w:rPr>
        <w:t>y</w:t>
      </w:r>
      <w:r>
        <w:rPr>
          <w:b/>
          <w:color w:val="231F20"/>
          <w:spacing w:val="6"/>
          <w:sz w:val="20"/>
        </w:rPr>
        <w:t> </w:t>
      </w:r>
      <w:r>
        <w:rPr>
          <w:b/>
          <w:color w:val="231F20"/>
          <w:spacing w:val="-2"/>
          <w:w w:val="110"/>
          <w:sz w:val="20"/>
        </w:rPr>
        <w:t>P</w:t>
      </w:r>
      <w:r>
        <w:rPr>
          <w:b/>
          <w:color w:val="231F20"/>
          <w:spacing w:val="3"/>
          <w:w w:val="109"/>
          <w:sz w:val="20"/>
        </w:rPr>
        <w:t>r</w:t>
      </w:r>
      <w:r>
        <w:rPr>
          <w:b/>
          <w:color w:val="231F20"/>
          <w:spacing w:val="2"/>
          <w:w w:val="110"/>
          <w:sz w:val="20"/>
        </w:rPr>
        <w:t>o</w:t>
      </w:r>
      <w:r>
        <w:rPr>
          <w:b/>
          <w:color w:val="231F20"/>
          <w:spacing w:val="3"/>
          <w:w w:val="109"/>
          <w:sz w:val="20"/>
        </w:rPr>
        <w:t>c</w:t>
      </w:r>
      <w:r>
        <w:rPr>
          <w:b/>
          <w:color w:val="231F20"/>
          <w:spacing w:val="4"/>
          <w:w w:val="109"/>
          <w:sz w:val="20"/>
        </w:rPr>
        <w:t>e</w:t>
      </w:r>
      <w:r>
        <w:rPr>
          <w:b/>
          <w:color w:val="231F20"/>
          <w:spacing w:val="4"/>
          <w:w w:val="109"/>
          <w:sz w:val="20"/>
        </w:rPr>
        <w:t>s</w:t>
      </w:r>
      <w:r>
        <w:rPr>
          <w:b/>
          <w:color w:val="231F20"/>
          <w:w w:val="109"/>
          <w:sz w:val="20"/>
        </w:rPr>
        <w:t>s</w:t>
      </w:r>
    </w:p>
    <w:p>
      <w:pPr>
        <w:spacing w:line="215" w:lineRule="exact" w:before="0"/>
        <w:ind w:left="0" w:right="1132" w:firstLine="0"/>
        <w:jc w:val="right"/>
        <w:rPr>
          <w:b/>
          <w:sz w:val="20"/>
        </w:rPr>
      </w:pPr>
      <w:r>
        <w:rPr>
          <w:b/>
          <w:color w:val="231F20"/>
          <w:w w:val="110"/>
          <w:sz w:val="20"/>
        </w:rPr>
        <w:t>(Section</w:t>
      </w:r>
      <w:r>
        <w:rPr>
          <w:b/>
          <w:color w:val="231F20"/>
          <w:spacing w:val="-1"/>
          <w:w w:val="110"/>
          <w:sz w:val="20"/>
        </w:rPr>
        <w:t> </w:t>
      </w:r>
      <w:r>
        <w:rPr>
          <w:b/>
          <w:color w:val="231F20"/>
          <w:spacing w:val="-8"/>
          <w:w w:val="110"/>
          <w:sz w:val="20"/>
        </w:rPr>
        <w:t>O):</w:t>
      </w:r>
    </w:p>
    <w:p>
      <w:pPr>
        <w:spacing w:before="7"/>
        <w:ind w:left="0" w:right="1132" w:firstLine="0"/>
        <w:jc w:val="right"/>
        <w:rPr>
          <w:b/>
          <w:sz w:val="20"/>
        </w:rPr>
      </w:pPr>
      <w:r>
        <w:rPr>
          <w:b/>
          <w:color w:val="231F20"/>
          <w:w w:val="110"/>
          <w:sz w:val="20"/>
        </w:rPr>
        <w:t>Ratification of Replacement of existing Part</w:t>
      </w:r>
      <w:r>
        <w:rPr>
          <w:b/>
          <w:color w:val="231F20"/>
          <w:spacing w:val="28"/>
          <w:w w:val="110"/>
          <w:sz w:val="20"/>
        </w:rPr>
        <w:t> </w:t>
      </w:r>
      <w:r>
        <w:rPr>
          <w:b/>
          <w:color w:val="231F20"/>
          <w:w w:val="110"/>
          <w:sz w:val="20"/>
        </w:rPr>
        <w:t>1</w:t>
      </w:r>
    </w:p>
    <w:p>
      <w:pPr>
        <w:spacing w:before="27"/>
        <w:ind w:left="0" w:right="1132" w:firstLine="0"/>
        <w:jc w:val="right"/>
        <w:rPr>
          <w:i/>
          <w:sz w:val="18"/>
        </w:rPr>
      </w:pPr>
      <w:r>
        <w:rPr>
          <w:i/>
          <w:color w:val="231F20"/>
          <w:w w:val="110"/>
          <w:sz w:val="18"/>
        </w:rPr>
        <w:t>(Report page 52 para</w:t>
      </w:r>
      <w:r>
        <w:rPr>
          <w:i/>
          <w:color w:val="231F20"/>
          <w:spacing w:val="36"/>
          <w:w w:val="110"/>
          <w:sz w:val="18"/>
        </w:rPr>
        <w:t> </w:t>
      </w:r>
      <w:r>
        <w:rPr>
          <w:i/>
          <w:color w:val="231F20"/>
          <w:spacing w:val="-3"/>
          <w:w w:val="110"/>
          <w:sz w:val="18"/>
        </w:rPr>
        <w:t>6.3.8)</w:t>
      </w:r>
    </w:p>
    <w:p>
      <w:pPr>
        <w:pStyle w:val="BodyText"/>
        <w:spacing w:before="1"/>
        <w:rPr>
          <w:i/>
          <w:sz w:val="23"/>
        </w:rPr>
      </w:pPr>
    </w:p>
    <w:p>
      <w:pPr>
        <w:spacing w:line="273" w:lineRule="auto" w:before="0"/>
        <w:ind w:left="1240" w:right="1510" w:firstLine="0"/>
        <w:jc w:val="left"/>
        <w:rPr>
          <w:i/>
          <w:sz w:val="18"/>
        </w:rPr>
      </w:pPr>
      <w:r>
        <w:rPr>
          <w:i/>
          <w:color w:val="231F20"/>
          <w:w w:val="110"/>
          <w:sz w:val="18"/>
        </w:rPr>
        <w:t>Resolution 9 ratifies the replacement of the existing Part I, first approved by Assembly </w:t>
      </w:r>
      <w:r>
        <w:rPr>
          <w:i/>
          <w:color w:val="231F20"/>
          <w:w w:val="110"/>
          <w:sz w:val="18"/>
        </w:rPr>
        <w:t>last year under Resolution 8. Note that this ratifying resolution shows the wording of the new Part I stripped of the cross-references to</w:t>
      </w:r>
      <w:r>
        <w:rPr>
          <w:i/>
          <w:color w:val="231F20"/>
          <w:spacing w:val="21"/>
          <w:w w:val="110"/>
          <w:sz w:val="18"/>
        </w:rPr>
        <w:t> </w:t>
      </w:r>
      <w:r>
        <w:rPr>
          <w:i/>
          <w:color w:val="231F20"/>
          <w:spacing w:val="-4"/>
          <w:w w:val="110"/>
          <w:sz w:val="18"/>
        </w:rPr>
        <w:t>MIP.</w:t>
      </w:r>
    </w:p>
    <w:p>
      <w:pPr>
        <w:pStyle w:val="BodyText"/>
        <w:rPr>
          <w:i/>
          <w:sz w:val="22"/>
        </w:rPr>
      </w:pPr>
    </w:p>
    <w:p>
      <w:pPr>
        <w:pStyle w:val="BodyText"/>
        <w:spacing w:before="4"/>
        <w:rPr>
          <w:i/>
          <w:sz w:val="19"/>
        </w:rPr>
      </w:pPr>
    </w:p>
    <w:p>
      <w:pPr>
        <w:pStyle w:val="BodyText"/>
        <w:spacing w:line="273" w:lineRule="auto"/>
        <w:ind w:left="1240" w:right="1593"/>
      </w:pPr>
      <w:r>
        <w:rPr>
          <w:color w:val="231F20"/>
          <w:w w:val="110"/>
        </w:rPr>
        <w:t>General Assembly agrees to ratify its decision to replace the existing Part I of the Section O Process for Ministerial Discipline with the following:</w:t>
      </w:r>
    </w:p>
    <w:p>
      <w:pPr>
        <w:pStyle w:val="BodyText"/>
        <w:spacing w:before="8"/>
        <w:rPr>
          <w:sz w:val="20"/>
        </w:rPr>
      </w:pPr>
    </w:p>
    <w:p>
      <w:pPr>
        <w:spacing w:line="273" w:lineRule="auto" w:before="0"/>
        <w:ind w:left="1240" w:right="1133" w:firstLine="0"/>
        <w:jc w:val="both"/>
        <w:rPr>
          <w:i/>
          <w:sz w:val="18"/>
        </w:rPr>
      </w:pPr>
      <w:r>
        <w:rPr>
          <w:i/>
          <w:color w:val="231F20"/>
          <w:w w:val="110"/>
          <w:sz w:val="18"/>
        </w:rPr>
        <w:t>[Note: The wording below shows Part I without the </w:t>
      </w:r>
      <w:r>
        <w:rPr>
          <w:i/>
          <w:color w:val="231F20"/>
          <w:spacing w:val="2"/>
          <w:w w:val="110"/>
          <w:sz w:val="18"/>
        </w:rPr>
        <w:t>references </w:t>
      </w:r>
      <w:r>
        <w:rPr>
          <w:i/>
          <w:color w:val="231F20"/>
          <w:w w:val="110"/>
          <w:sz w:val="18"/>
        </w:rPr>
        <w:t>to the Ministerial Incapacity </w:t>
      </w:r>
      <w:r>
        <w:rPr>
          <w:i/>
          <w:color w:val="231F20"/>
          <w:w w:val="110"/>
          <w:sz w:val="18"/>
        </w:rPr>
        <w:t>Procedure, the introduction of which was deferred by General Assembly 2006. On behalf of</w:t>
      </w:r>
      <w:r>
        <w:rPr>
          <w:i/>
          <w:color w:val="231F20"/>
          <w:spacing w:val="7"/>
          <w:w w:val="110"/>
          <w:sz w:val="18"/>
        </w:rPr>
        <w:t> </w:t>
      </w:r>
      <w:r>
        <w:rPr>
          <w:i/>
          <w:color w:val="231F20"/>
          <w:w w:val="110"/>
          <w:sz w:val="18"/>
        </w:rPr>
        <w:t>the</w:t>
      </w:r>
      <w:r>
        <w:rPr>
          <w:i/>
          <w:color w:val="231F20"/>
          <w:spacing w:val="7"/>
          <w:w w:val="110"/>
          <w:sz w:val="18"/>
        </w:rPr>
        <w:t> </w:t>
      </w:r>
      <w:r>
        <w:rPr>
          <w:i/>
          <w:color w:val="231F20"/>
          <w:w w:val="110"/>
          <w:sz w:val="18"/>
        </w:rPr>
        <w:t>General</w:t>
      </w:r>
      <w:r>
        <w:rPr>
          <w:i/>
          <w:color w:val="231F20"/>
          <w:spacing w:val="7"/>
          <w:w w:val="110"/>
          <w:sz w:val="18"/>
        </w:rPr>
        <w:t> </w:t>
      </w:r>
      <w:r>
        <w:rPr>
          <w:i/>
          <w:color w:val="231F20"/>
          <w:w w:val="110"/>
          <w:sz w:val="18"/>
        </w:rPr>
        <w:t>Assembly</w:t>
      </w:r>
      <w:r>
        <w:rPr>
          <w:i/>
          <w:color w:val="231F20"/>
          <w:spacing w:val="7"/>
          <w:w w:val="110"/>
          <w:sz w:val="18"/>
        </w:rPr>
        <w:t> </w:t>
      </w:r>
      <w:r>
        <w:rPr>
          <w:i/>
          <w:color w:val="231F20"/>
          <w:w w:val="110"/>
          <w:sz w:val="18"/>
        </w:rPr>
        <w:t>Mission</w:t>
      </w:r>
      <w:r>
        <w:rPr>
          <w:i/>
          <w:color w:val="231F20"/>
          <w:spacing w:val="7"/>
          <w:w w:val="110"/>
          <w:sz w:val="18"/>
        </w:rPr>
        <w:t> </w:t>
      </w:r>
      <w:r>
        <w:rPr>
          <w:i/>
          <w:color w:val="231F20"/>
          <w:w w:val="110"/>
          <w:sz w:val="18"/>
        </w:rPr>
        <w:t>Council</w:t>
      </w:r>
      <w:r>
        <w:rPr>
          <w:i/>
          <w:color w:val="231F20"/>
          <w:spacing w:val="7"/>
          <w:w w:val="110"/>
          <w:sz w:val="18"/>
        </w:rPr>
        <w:t> </w:t>
      </w:r>
      <w:r>
        <w:rPr>
          <w:i/>
          <w:color w:val="231F20"/>
          <w:w w:val="110"/>
          <w:sz w:val="18"/>
        </w:rPr>
        <w:t>has</w:t>
      </w:r>
      <w:r>
        <w:rPr>
          <w:i/>
          <w:color w:val="231F20"/>
          <w:spacing w:val="7"/>
          <w:w w:val="110"/>
          <w:sz w:val="18"/>
        </w:rPr>
        <w:t> </w:t>
      </w:r>
      <w:r>
        <w:rPr>
          <w:i/>
          <w:color w:val="231F20"/>
          <w:w w:val="110"/>
          <w:sz w:val="18"/>
        </w:rPr>
        <w:t>agreed</w:t>
      </w:r>
      <w:r>
        <w:rPr>
          <w:i/>
          <w:color w:val="231F20"/>
          <w:spacing w:val="8"/>
          <w:w w:val="110"/>
          <w:sz w:val="18"/>
        </w:rPr>
        <w:t> </w:t>
      </w:r>
      <w:r>
        <w:rPr>
          <w:i/>
          <w:color w:val="231F20"/>
          <w:w w:val="110"/>
          <w:sz w:val="18"/>
        </w:rPr>
        <w:t>that</w:t>
      </w:r>
      <w:r>
        <w:rPr>
          <w:i/>
          <w:color w:val="231F20"/>
          <w:spacing w:val="7"/>
          <w:w w:val="110"/>
          <w:sz w:val="18"/>
        </w:rPr>
        <w:t> </w:t>
      </w:r>
      <w:r>
        <w:rPr>
          <w:i/>
          <w:color w:val="231F20"/>
          <w:w w:val="110"/>
          <w:sz w:val="18"/>
        </w:rPr>
        <w:t>these</w:t>
      </w:r>
      <w:r>
        <w:rPr>
          <w:i/>
          <w:color w:val="231F20"/>
          <w:spacing w:val="7"/>
          <w:w w:val="110"/>
          <w:sz w:val="18"/>
        </w:rPr>
        <w:t> </w:t>
      </w:r>
      <w:r>
        <w:rPr>
          <w:i/>
          <w:color w:val="231F20"/>
          <w:w w:val="110"/>
          <w:sz w:val="18"/>
        </w:rPr>
        <w:t>changes</w:t>
      </w:r>
      <w:r>
        <w:rPr>
          <w:i/>
          <w:color w:val="231F20"/>
          <w:spacing w:val="7"/>
          <w:w w:val="110"/>
          <w:sz w:val="18"/>
        </w:rPr>
        <w:t> </w:t>
      </w:r>
      <w:r>
        <w:rPr>
          <w:i/>
          <w:color w:val="231F20"/>
          <w:w w:val="110"/>
          <w:sz w:val="18"/>
        </w:rPr>
        <w:t>be</w:t>
      </w:r>
      <w:r>
        <w:rPr>
          <w:i/>
          <w:color w:val="231F20"/>
          <w:spacing w:val="7"/>
          <w:w w:val="110"/>
          <w:sz w:val="18"/>
        </w:rPr>
        <w:t> </w:t>
      </w:r>
      <w:r>
        <w:rPr>
          <w:i/>
          <w:color w:val="231F20"/>
          <w:spacing w:val="-3"/>
          <w:w w:val="110"/>
          <w:sz w:val="18"/>
        </w:rPr>
        <w:t>made.]</w:t>
      </w:r>
    </w:p>
    <w:p>
      <w:pPr>
        <w:pStyle w:val="BodyText"/>
        <w:spacing w:before="9"/>
        <w:rPr>
          <w:i/>
          <w:sz w:val="20"/>
        </w:rPr>
      </w:pPr>
    </w:p>
    <w:p>
      <w:pPr>
        <w:pStyle w:val="ListParagraph"/>
        <w:numPr>
          <w:ilvl w:val="0"/>
          <w:numId w:val="32"/>
        </w:numPr>
        <w:tabs>
          <w:tab w:pos="1807" w:val="left" w:leader="none"/>
          <w:tab w:pos="1808" w:val="left" w:leader="none"/>
          <w:tab w:pos="2374" w:val="left" w:leader="none"/>
        </w:tabs>
        <w:spacing w:line="273" w:lineRule="auto" w:before="0" w:after="0"/>
        <w:ind w:left="1240" w:right="1158" w:firstLine="0"/>
        <w:jc w:val="left"/>
        <w:rPr>
          <w:sz w:val="18"/>
        </w:rPr>
      </w:pPr>
      <w:r>
        <w:rPr>
          <w:color w:val="231F20"/>
          <w:spacing w:val="-5"/>
          <w:w w:val="110"/>
          <w:sz w:val="18"/>
        </w:rPr>
        <w:t>1.1</w:t>
        <w:tab/>
      </w:r>
      <w:r>
        <w:rPr>
          <w:color w:val="231F20"/>
          <w:w w:val="110"/>
          <w:sz w:val="18"/>
        </w:rPr>
        <w:t>Under the provisions of this </w:t>
      </w:r>
      <w:r>
        <w:rPr>
          <w:color w:val="231F20"/>
          <w:spacing w:val="2"/>
          <w:w w:val="110"/>
          <w:sz w:val="18"/>
        </w:rPr>
        <w:t>Section </w:t>
      </w:r>
      <w:r>
        <w:rPr>
          <w:color w:val="231F20"/>
          <w:w w:val="110"/>
          <w:sz w:val="18"/>
        </w:rPr>
        <w:t>O an Assembly Commission </w:t>
      </w:r>
      <w:r>
        <w:rPr>
          <w:color w:val="231F20"/>
          <w:spacing w:val="-6"/>
          <w:w w:val="110"/>
          <w:sz w:val="18"/>
        </w:rPr>
        <w:t>(as  </w:t>
      </w:r>
      <w:r>
        <w:rPr>
          <w:color w:val="231F20"/>
          <w:w w:val="110"/>
          <w:sz w:val="18"/>
        </w:rPr>
        <w:t>defined  in </w:t>
      </w:r>
      <w:r>
        <w:rPr>
          <w:color w:val="231F20"/>
          <w:spacing w:val="2"/>
          <w:w w:val="110"/>
          <w:sz w:val="18"/>
        </w:rPr>
        <w:t>Section </w:t>
      </w:r>
      <w:r>
        <w:rPr>
          <w:color w:val="231F20"/>
          <w:w w:val="110"/>
          <w:sz w:val="18"/>
        </w:rPr>
        <w:t>A of </w:t>
      </w:r>
      <w:r>
        <w:rPr>
          <w:color w:val="231F20"/>
          <w:spacing w:val="2"/>
          <w:w w:val="110"/>
          <w:sz w:val="18"/>
        </w:rPr>
        <w:t>Part </w:t>
      </w:r>
      <w:r>
        <w:rPr>
          <w:color w:val="231F20"/>
          <w:w w:val="110"/>
          <w:sz w:val="18"/>
        </w:rPr>
        <w:t>II) shall operate under the authority of the General Assembly for    the purpose of deciding (in </w:t>
      </w:r>
      <w:r>
        <w:rPr>
          <w:color w:val="231F20"/>
          <w:spacing w:val="2"/>
          <w:w w:val="110"/>
          <w:sz w:val="18"/>
        </w:rPr>
        <w:t>cases </w:t>
      </w:r>
      <w:r>
        <w:rPr>
          <w:color w:val="231F20"/>
          <w:w w:val="110"/>
          <w:sz w:val="18"/>
        </w:rPr>
        <w:t>properly </w:t>
      </w:r>
      <w:r>
        <w:rPr>
          <w:color w:val="231F20"/>
          <w:spacing w:val="2"/>
          <w:w w:val="110"/>
          <w:sz w:val="18"/>
        </w:rPr>
        <w:t>referred </w:t>
      </w:r>
      <w:r>
        <w:rPr>
          <w:color w:val="231F20"/>
          <w:w w:val="110"/>
          <w:sz w:val="18"/>
        </w:rPr>
        <w:t>to </w:t>
      </w:r>
      <w:r>
        <w:rPr>
          <w:color w:val="231F20"/>
          <w:spacing w:val="-3"/>
          <w:w w:val="110"/>
          <w:sz w:val="18"/>
        </w:rPr>
        <w:t>it) </w:t>
      </w:r>
      <w:r>
        <w:rPr>
          <w:color w:val="231F20"/>
          <w:w w:val="110"/>
          <w:sz w:val="18"/>
        </w:rPr>
        <w:t>the questions as to whether a Minister has committed a breach of discipline and, if the Assembly Commission </w:t>
      </w:r>
      <w:r>
        <w:rPr>
          <w:color w:val="231F20"/>
          <w:spacing w:val="-6"/>
          <w:w w:val="110"/>
          <w:sz w:val="18"/>
        </w:rPr>
        <w:t>or, </w:t>
      </w:r>
      <w:r>
        <w:rPr>
          <w:color w:val="231F20"/>
          <w:w w:val="110"/>
          <w:sz w:val="18"/>
        </w:rPr>
        <w:t>in the event of an appeal, the Appeals Commission should so decide, whether on that account his/her name should be deleted </w:t>
      </w:r>
      <w:r>
        <w:rPr>
          <w:color w:val="231F20"/>
          <w:spacing w:val="2"/>
          <w:w w:val="110"/>
          <w:sz w:val="18"/>
        </w:rPr>
        <w:t>from </w:t>
      </w:r>
      <w:r>
        <w:rPr>
          <w:color w:val="231F20"/>
          <w:w w:val="110"/>
          <w:sz w:val="18"/>
        </w:rPr>
        <w:t>the Roll of Ministers or alternatively whether a </w:t>
      </w:r>
      <w:r>
        <w:rPr>
          <w:color w:val="231F20"/>
          <w:spacing w:val="2"/>
          <w:w w:val="110"/>
          <w:sz w:val="18"/>
        </w:rPr>
        <w:t>written </w:t>
      </w:r>
      <w:r>
        <w:rPr>
          <w:color w:val="231F20"/>
          <w:w w:val="110"/>
          <w:sz w:val="18"/>
        </w:rPr>
        <w:t>warning should be issued to him/her. Under the Ministerial Disciplinary </w:t>
      </w:r>
      <w:r>
        <w:rPr>
          <w:color w:val="231F20"/>
          <w:spacing w:val="2"/>
          <w:w w:val="110"/>
          <w:sz w:val="18"/>
        </w:rPr>
        <w:t>Process </w:t>
      </w:r>
      <w:r>
        <w:rPr>
          <w:color w:val="231F20"/>
          <w:w w:val="110"/>
          <w:sz w:val="18"/>
        </w:rPr>
        <w:t>(known as </w:t>
      </w:r>
      <w:r>
        <w:rPr>
          <w:color w:val="231F20"/>
          <w:spacing w:val="2"/>
          <w:w w:val="110"/>
          <w:sz w:val="18"/>
        </w:rPr>
        <w:t>“the Section </w:t>
      </w:r>
      <w:r>
        <w:rPr>
          <w:color w:val="231F20"/>
          <w:w w:val="110"/>
          <w:sz w:val="18"/>
        </w:rPr>
        <w:t>O </w:t>
      </w:r>
      <w:r>
        <w:rPr>
          <w:color w:val="231F20"/>
          <w:spacing w:val="2"/>
          <w:w w:val="110"/>
          <w:sz w:val="18"/>
        </w:rPr>
        <w:t>Process”) </w:t>
      </w:r>
      <w:r>
        <w:rPr>
          <w:color w:val="231F20"/>
          <w:w w:val="110"/>
          <w:sz w:val="18"/>
        </w:rPr>
        <w:t>the Assembly Commission </w:t>
      </w:r>
      <w:r>
        <w:rPr>
          <w:color w:val="231F20"/>
          <w:spacing w:val="-6"/>
          <w:w w:val="110"/>
          <w:sz w:val="18"/>
        </w:rPr>
        <w:t>or, </w:t>
      </w:r>
      <w:r>
        <w:rPr>
          <w:color w:val="231F20"/>
          <w:w w:val="110"/>
          <w:sz w:val="18"/>
        </w:rPr>
        <w:t>in the event of an appeal, the Appeals Commission is also able to make recommendations and </w:t>
      </w:r>
      <w:r>
        <w:rPr>
          <w:color w:val="231F20"/>
          <w:spacing w:val="2"/>
          <w:w w:val="110"/>
          <w:sz w:val="18"/>
        </w:rPr>
        <w:t>offer </w:t>
      </w:r>
      <w:r>
        <w:rPr>
          <w:color w:val="231F20"/>
          <w:w w:val="110"/>
          <w:sz w:val="18"/>
        </w:rPr>
        <w:t>guidance but only within the limits </w:t>
      </w:r>
      <w:r>
        <w:rPr>
          <w:color w:val="231F20"/>
          <w:spacing w:val="2"/>
          <w:w w:val="110"/>
          <w:sz w:val="18"/>
        </w:rPr>
        <w:t>prescribed </w:t>
      </w:r>
      <w:r>
        <w:rPr>
          <w:color w:val="231F20"/>
          <w:w w:val="110"/>
          <w:sz w:val="18"/>
        </w:rPr>
        <w:t>in </w:t>
      </w:r>
      <w:r>
        <w:rPr>
          <w:color w:val="231F20"/>
          <w:spacing w:val="2"/>
          <w:w w:val="110"/>
          <w:sz w:val="18"/>
        </w:rPr>
        <w:t>Section </w:t>
      </w:r>
      <w:r>
        <w:rPr>
          <w:color w:val="231F20"/>
          <w:w w:val="110"/>
          <w:sz w:val="18"/>
        </w:rPr>
        <w:t>F of </w:t>
      </w:r>
      <w:r>
        <w:rPr>
          <w:color w:val="231F20"/>
          <w:spacing w:val="2"/>
          <w:w w:val="110"/>
          <w:sz w:val="18"/>
        </w:rPr>
        <w:t>Part</w:t>
      </w:r>
      <w:r>
        <w:rPr>
          <w:color w:val="231F20"/>
          <w:spacing w:val="28"/>
          <w:w w:val="110"/>
          <w:sz w:val="18"/>
        </w:rPr>
        <w:t> </w:t>
      </w:r>
      <w:r>
        <w:rPr>
          <w:color w:val="231F20"/>
          <w:w w:val="110"/>
          <w:sz w:val="18"/>
        </w:rPr>
        <w:t>II.</w:t>
      </w:r>
    </w:p>
    <w:p>
      <w:pPr>
        <w:pStyle w:val="BodyText"/>
        <w:spacing w:before="1"/>
        <w:rPr>
          <w:sz w:val="21"/>
        </w:rPr>
      </w:pPr>
    </w:p>
    <w:p>
      <w:pPr>
        <w:pStyle w:val="BodyText"/>
        <w:tabs>
          <w:tab w:pos="1960" w:val="left" w:leader="none"/>
        </w:tabs>
        <w:spacing w:line="273" w:lineRule="auto"/>
        <w:ind w:left="1240" w:right="1235"/>
      </w:pPr>
      <w:r>
        <w:rPr>
          <w:color w:val="231F20"/>
          <w:spacing w:val="-3"/>
          <w:w w:val="110"/>
        </w:rPr>
        <w:t>1.2</w:t>
        <w:tab/>
      </w:r>
      <w:r>
        <w:rPr>
          <w:color w:val="231F20"/>
          <w:w w:val="110"/>
        </w:rPr>
        <w:t>Once the disciplinary case of </w:t>
      </w:r>
      <w:r>
        <w:rPr>
          <w:color w:val="231F20"/>
          <w:spacing w:val="-3"/>
          <w:w w:val="110"/>
        </w:rPr>
        <w:t>any </w:t>
      </w:r>
      <w:r>
        <w:rPr>
          <w:color w:val="231F20"/>
          <w:w w:val="110"/>
        </w:rPr>
        <w:t>Minister is being dealt with under the Section O Process, it shall be conducted and concluded entirely in accordance with that Process and not through </w:t>
      </w:r>
      <w:r>
        <w:rPr>
          <w:color w:val="231F20"/>
          <w:spacing w:val="-3"/>
          <w:w w:val="110"/>
        </w:rPr>
        <w:t>any </w:t>
      </w:r>
      <w:r>
        <w:rPr>
          <w:color w:val="231F20"/>
          <w:w w:val="110"/>
        </w:rPr>
        <w:t>other procedure or process of the</w:t>
      </w:r>
      <w:r>
        <w:rPr>
          <w:color w:val="231F20"/>
          <w:spacing w:val="-25"/>
          <w:w w:val="110"/>
        </w:rPr>
        <w:t> </w:t>
      </w:r>
      <w:r>
        <w:rPr>
          <w:color w:val="231F20"/>
          <w:w w:val="110"/>
        </w:rPr>
        <w:t>Church.</w:t>
      </w:r>
    </w:p>
    <w:p>
      <w:pPr>
        <w:pStyle w:val="BodyText"/>
        <w:spacing w:before="8"/>
        <w:rPr>
          <w:sz w:val="20"/>
        </w:rPr>
      </w:pPr>
    </w:p>
    <w:p>
      <w:pPr>
        <w:pStyle w:val="ListParagraph"/>
        <w:numPr>
          <w:ilvl w:val="0"/>
          <w:numId w:val="32"/>
        </w:numPr>
        <w:tabs>
          <w:tab w:pos="1807" w:val="left" w:leader="none"/>
          <w:tab w:pos="1808" w:val="left" w:leader="none"/>
        </w:tabs>
        <w:spacing w:line="273" w:lineRule="auto" w:before="1" w:after="0"/>
        <w:ind w:left="1240" w:right="1172" w:firstLine="0"/>
        <w:jc w:val="left"/>
        <w:rPr>
          <w:sz w:val="18"/>
        </w:rPr>
      </w:pPr>
      <w:r>
        <w:rPr>
          <w:color w:val="231F20"/>
          <w:w w:val="110"/>
          <w:sz w:val="18"/>
        </w:rPr>
        <w:t>The Assembly Commission, the Commission Panel, the Appeals Commission and    all </w:t>
      </w:r>
      <w:r>
        <w:rPr>
          <w:color w:val="231F20"/>
          <w:spacing w:val="2"/>
          <w:w w:val="110"/>
          <w:sz w:val="18"/>
        </w:rPr>
        <w:t>aspects </w:t>
      </w:r>
      <w:r>
        <w:rPr>
          <w:color w:val="231F20"/>
          <w:w w:val="110"/>
          <w:sz w:val="18"/>
        </w:rPr>
        <w:t>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at all times remain under the jurisdiction and control of the General Assembly which has the authority through the exercise of its functions as contained in Paragraph </w:t>
      </w:r>
      <w:r>
        <w:rPr>
          <w:color w:val="231F20"/>
          <w:spacing w:val="-4"/>
          <w:w w:val="110"/>
          <w:sz w:val="18"/>
        </w:rPr>
        <w:t>2(5) </w:t>
      </w:r>
      <w:r>
        <w:rPr>
          <w:color w:val="231F20"/>
          <w:w w:val="110"/>
          <w:sz w:val="18"/>
        </w:rPr>
        <w:t>of the Structure to amend, enlarge or revoke  the whole or any </w:t>
      </w:r>
      <w:r>
        <w:rPr>
          <w:color w:val="231F20"/>
          <w:spacing w:val="2"/>
          <w:w w:val="110"/>
          <w:sz w:val="18"/>
        </w:rPr>
        <w:t>part </w:t>
      </w:r>
      <w:r>
        <w:rPr>
          <w:color w:val="231F20"/>
          <w:w w:val="110"/>
          <w:sz w:val="18"/>
        </w:rPr>
        <w:t>of the </w:t>
      </w:r>
      <w:r>
        <w:rPr>
          <w:color w:val="231F20"/>
          <w:spacing w:val="2"/>
          <w:w w:val="110"/>
          <w:sz w:val="18"/>
        </w:rPr>
        <w:t>Section </w:t>
      </w:r>
      <w:r>
        <w:rPr>
          <w:color w:val="231F20"/>
          <w:w w:val="110"/>
          <w:sz w:val="18"/>
        </w:rPr>
        <w:t>O Process, save only that, so long as it remains in force, the decision </w:t>
      </w:r>
      <w:r>
        <w:rPr>
          <w:color w:val="231F20"/>
          <w:spacing w:val="2"/>
          <w:w w:val="110"/>
          <w:sz w:val="18"/>
        </w:rPr>
        <w:t>reached </w:t>
      </w:r>
      <w:r>
        <w:rPr>
          <w:color w:val="231F20"/>
          <w:w w:val="110"/>
          <w:sz w:val="18"/>
        </w:rPr>
        <w:t>in any particular </w:t>
      </w:r>
      <w:r>
        <w:rPr>
          <w:color w:val="231F20"/>
          <w:spacing w:val="2"/>
          <w:w w:val="110"/>
          <w:sz w:val="18"/>
        </w:rPr>
        <w:t>case </w:t>
      </w:r>
      <w:r>
        <w:rPr>
          <w:color w:val="231F20"/>
          <w:w w:val="110"/>
          <w:sz w:val="18"/>
        </w:rPr>
        <w:t>(whether or not on appeal) and any </w:t>
      </w:r>
      <w:r>
        <w:rPr>
          <w:color w:val="231F20"/>
          <w:spacing w:val="2"/>
          <w:w w:val="110"/>
          <w:sz w:val="18"/>
        </w:rPr>
        <w:t>orders </w:t>
      </w:r>
      <w:r>
        <w:rPr>
          <w:color w:val="231F20"/>
          <w:w w:val="110"/>
          <w:sz w:val="18"/>
        </w:rPr>
        <w:t>made in accordance with this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be made in the name of the General Assembly and shall be final and binding on the Minister and on all the councils   of the</w:t>
      </w:r>
      <w:r>
        <w:rPr>
          <w:color w:val="231F20"/>
          <w:spacing w:val="1"/>
          <w:w w:val="110"/>
          <w:sz w:val="18"/>
        </w:rPr>
        <w:t> </w:t>
      </w:r>
      <w:r>
        <w:rPr>
          <w:color w:val="231F20"/>
          <w:w w:val="110"/>
          <w:sz w:val="18"/>
        </w:rPr>
        <w:t>Church.</w:t>
      </w:r>
    </w:p>
    <w:p>
      <w:pPr>
        <w:pStyle w:val="BodyText"/>
        <w:rPr>
          <w:sz w:val="21"/>
        </w:rPr>
      </w:pPr>
    </w:p>
    <w:p>
      <w:pPr>
        <w:pStyle w:val="ListParagraph"/>
        <w:numPr>
          <w:ilvl w:val="0"/>
          <w:numId w:val="32"/>
        </w:numPr>
        <w:tabs>
          <w:tab w:pos="1807" w:val="left" w:leader="none"/>
          <w:tab w:pos="1808" w:val="left" w:leader="none"/>
          <w:tab w:pos="2374" w:val="left" w:leader="none"/>
        </w:tabs>
        <w:spacing w:line="273" w:lineRule="auto" w:before="0" w:after="0"/>
        <w:ind w:left="1240" w:right="1446" w:firstLine="0"/>
        <w:jc w:val="left"/>
        <w:rPr>
          <w:sz w:val="18"/>
        </w:rPr>
      </w:pPr>
      <w:r>
        <w:rPr>
          <w:color w:val="231F20"/>
          <w:spacing w:val="-4"/>
          <w:w w:val="110"/>
          <w:sz w:val="18"/>
        </w:rPr>
        <w:t>3.1</w:t>
        <w:tab/>
      </w:r>
      <w:r>
        <w:rPr>
          <w:color w:val="231F20"/>
          <w:w w:val="110"/>
          <w:sz w:val="18"/>
        </w:rPr>
        <w:t>In considering the evidence and reaching its decision, the Assembly Commission </w:t>
      </w:r>
      <w:r>
        <w:rPr>
          <w:color w:val="231F20"/>
          <w:spacing w:val="-6"/>
          <w:w w:val="110"/>
          <w:sz w:val="18"/>
        </w:rPr>
        <w:t>or, </w:t>
      </w:r>
      <w:r>
        <w:rPr>
          <w:color w:val="231F20"/>
          <w:w w:val="110"/>
          <w:sz w:val="18"/>
        </w:rPr>
        <w:t>in the event of an appeal, the Appeals Commission shall in every </w:t>
      </w:r>
      <w:r>
        <w:rPr>
          <w:color w:val="231F20"/>
          <w:spacing w:val="2"/>
          <w:w w:val="110"/>
          <w:sz w:val="18"/>
        </w:rPr>
        <w:t>case </w:t>
      </w:r>
      <w:r>
        <w:rPr>
          <w:color w:val="231F20"/>
          <w:w w:val="110"/>
          <w:sz w:val="18"/>
        </w:rPr>
        <w:t>have full regard to the Basis of Union and in particular Paragraph 2 of Schedule E thereto which states the responsibilities undertaken by those who become Ministers   of the United Reformed Church and the criteria which they must apply in the exercise of their</w:t>
      </w:r>
      <w:r>
        <w:rPr>
          <w:color w:val="231F20"/>
          <w:spacing w:val="1"/>
          <w:w w:val="110"/>
          <w:sz w:val="18"/>
        </w:rPr>
        <w:t> </w:t>
      </w:r>
      <w:r>
        <w:rPr>
          <w:color w:val="231F20"/>
          <w:w w:val="110"/>
          <w:sz w:val="18"/>
        </w:rPr>
        <w:t>ministry.</w:t>
      </w:r>
    </w:p>
    <w:p>
      <w:pPr>
        <w:spacing w:after="0" w:line="273" w:lineRule="auto"/>
        <w:jc w:val="left"/>
        <w:rPr>
          <w:sz w:val="18"/>
        </w:rPr>
        <w:sectPr>
          <w:pgSz w:w="11910" w:h="16840"/>
          <w:pgMar w:header="581" w:footer="544" w:top="860" w:bottom="740" w:left="460" w:right="0"/>
        </w:sectPr>
      </w:pPr>
    </w:p>
    <w:p>
      <w:pPr>
        <w:pStyle w:val="BodyText"/>
        <w:spacing w:before="4"/>
        <w:rPr>
          <w:sz w:val="29"/>
        </w:rPr>
      </w:pPr>
    </w:p>
    <w:p>
      <w:pPr>
        <w:pStyle w:val="BodyText"/>
        <w:tabs>
          <w:tab w:pos="1490" w:val="left" w:leader="none"/>
        </w:tabs>
        <w:spacing w:line="273" w:lineRule="auto" w:before="100"/>
        <w:ind w:left="923" w:right="1365"/>
      </w:pPr>
      <w:r>
        <w:rPr/>
        <w:pict>
          <v:group style="position:absolute;margin-left:23.811001pt;margin-top:-12.306762pt;width:523.8pt;height:508.9pt;mso-position-horizontal-relative:page;mso-position-vertical-relative:paragraph;z-index:-275558400" coordorigin="476,-246" coordsize="10476,10178">
            <v:shape style="position:absolute;left:1050;top:-92;width:9872;height:9993" coordorigin="1050,-91" coordsize="9872,9993" path="m1050,9661l1054,9800,1080,9871,1152,9897,1290,9901,10682,9901,10820,9897,10892,9871,10918,9800,10922,9661,10922,149,10918,10,10892,-61,10820,-88,10682,-91,1290,-91,1152,-88,1080,-61,1054,10,1050,149,1050,9661xe" filled="false" stroked="true" strokeweight="3pt" strokecolor="#000000">
              <v:path arrowok="t"/>
              <v:stroke dashstyle="solid"/>
            </v:shape>
            <v:rect style="position:absolute;left:476;top:-247;width:10296;height:394" filled="true" fillcolor="#ffffff" stroked="false">
              <v:fill type="solid"/>
            </v:rect>
            <w10:wrap type="none"/>
          </v:group>
        </w:pict>
      </w:r>
      <w:r>
        <w:rPr>
          <w:color w:val="231F20"/>
          <w:w w:val="110"/>
        </w:rPr>
        <w:t>3.2</w:t>
        <w:tab/>
      </w:r>
      <w:r>
        <w:rPr>
          <w:color w:val="231F20"/>
          <w:spacing w:val="3"/>
          <w:w w:val="110"/>
        </w:rPr>
        <w:t>As </w:t>
      </w:r>
      <w:r>
        <w:rPr>
          <w:color w:val="231F20"/>
          <w:spacing w:val="2"/>
          <w:w w:val="110"/>
        </w:rPr>
        <w:t>part </w:t>
      </w:r>
      <w:r>
        <w:rPr>
          <w:color w:val="231F20"/>
          <w:w w:val="110"/>
        </w:rPr>
        <w:t>of such consideration, the Assembly Commission or the Appeals Commission shall be   entitled to have regard to any conduct on the </w:t>
      </w:r>
      <w:r>
        <w:rPr>
          <w:color w:val="231F20"/>
          <w:spacing w:val="2"/>
          <w:w w:val="110"/>
        </w:rPr>
        <w:t>part </w:t>
      </w:r>
      <w:r>
        <w:rPr>
          <w:color w:val="231F20"/>
          <w:w w:val="110"/>
        </w:rPr>
        <w:t>of a Minister occurring prior   to his/her ordination to the ministry which, in the Commission’s view and when viewed in the light of Schedule E to the Basis of Union, would have prevented, or was likely to have prevented, him/her </w:t>
      </w:r>
      <w:r>
        <w:rPr>
          <w:color w:val="231F20"/>
          <w:spacing w:val="2"/>
          <w:w w:val="110"/>
        </w:rPr>
        <w:t>from </w:t>
      </w:r>
      <w:r>
        <w:rPr>
          <w:color w:val="231F20"/>
          <w:w w:val="110"/>
        </w:rPr>
        <w:t>becoming ordained, where such conduct was not disclosed by   the Minister to those responsible for assessing his/her candidacy for</w:t>
      </w:r>
      <w:r>
        <w:rPr>
          <w:color w:val="231F20"/>
          <w:spacing w:val="67"/>
          <w:w w:val="110"/>
        </w:rPr>
        <w:t> </w:t>
      </w:r>
      <w:r>
        <w:rPr>
          <w:color w:val="231F20"/>
          <w:w w:val="110"/>
        </w:rPr>
        <w:t>ordination.</w:t>
      </w:r>
    </w:p>
    <w:p>
      <w:pPr>
        <w:pStyle w:val="BodyText"/>
        <w:spacing w:before="11"/>
        <w:rPr>
          <w:sz w:val="20"/>
        </w:rPr>
      </w:pPr>
    </w:p>
    <w:p>
      <w:pPr>
        <w:pStyle w:val="ListParagraph"/>
        <w:numPr>
          <w:ilvl w:val="0"/>
          <w:numId w:val="32"/>
        </w:numPr>
        <w:tabs>
          <w:tab w:pos="1490" w:val="left" w:leader="none"/>
          <w:tab w:pos="1491" w:val="left" w:leader="none"/>
          <w:tab w:pos="2057" w:val="left" w:leader="none"/>
        </w:tabs>
        <w:spacing w:line="273" w:lineRule="auto" w:before="0" w:after="0"/>
        <w:ind w:left="923" w:right="1373" w:firstLine="0"/>
        <w:jc w:val="left"/>
        <w:rPr>
          <w:sz w:val="18"/>
        </w:rPr>
      </w:pPr>
      <w:r>
        <w:rPr>
          <w:color w:val="231F20"/>
          <w:spacing w:val="-3"/>
          <w:w w:val="110"/>
          <w:sz w:val="18"/>
        </w:rPr>
        <w:t>4.1</w:t>
        <w:tab/>
      </w:r>
      <w:r>
        <w:rPr>
          <w:color w:val="231F20"/>
          <w:w w:val="110"/>
          <w:sz w:val="18"/>
        </w:rPr>
        <w:t>A </w:t>
      </w:r>
      <w:r>
        <w:rPr>
          <w:color w:val="231F20"/>
          <w:spacing w:val="2"/>
          <w:w w:val="110"/>
          <w:sz w:val="18"/>
        </w:rPr>
        <w:t>Minister </w:t>
      </w:r>
      <w:r>
        <w:rPr>
          <w:color w:val="231F20"/>
          <w:w w:val="110"/>
          <w:sz w:val="18"/>
        </w:rPr>
        <w:t>may </w:t>
      </w:r>
      <w:r>
        <w:rPr>
          <w:color w:val="231F20"/>
          <w:spacing w:val="2"/>
          <w:w w:val="110"/>
          <w:sz w:val="18"/>
        </w:rPr>
        <w:t>appeal against the </w:t>
      </w:r>
      <w:r>
        <w:rPr>
          <w:color w:val="231F20"/>
          <w:spacing w:val="3"/>
          <w:w w:val="110"/>
          <w:sz w:val="18"/>
        </w:rPr>
        <w:t>decision </w:t>
      </w:r>
      <w:r>
        <w:rPr>
          <w:color w:val="231F20"/>
          <w:w w:val="110"/>
          <w:sz w:val="18"/>
        </w:rPr>
        <w:t>of </w:t>
      </w:r>
      <w:r>
        <w:rPr>
          <w:color w:val="231F20"/>
          <w:spacing w:val="2"/>
          <w:w w:val="110"/>
          <w:sz w:val="18"/>
        </w:rPr>
        <w:t>the </w:t>
      </w:r>
      <w:r>
        <w:rPr>
          <w:color w:val="231F20"/>
          <w:spacing w:val="3"/>
          <w:w w:val="110"/>
          <w:sz w:val="18"/>
        </w:rPr>
        <w:t>Assembly Commission </w:t>
      </w:r>
      <w:r>
        <w:rPr>
          <w:color w:val="231F20"/>
          <w:w w:val="110"/>
          <w:sz w:val="18"/>
        </w:rPr>
        <w:t>to </w:t>
      </w:r>
      <w:r>
        <w:rPr>
          <w:color w:val="231F20"/>
          <w:spacing w:val="2"/>
          <w:w w:val="110"/>
          <w:sz w:val="18"/>
        </w:rPr>
        <w:t>delete his/her </w:t>
      </w:r>
      <w:r>
        <w:rPr>
          <w:color w:val="231F20"/>
          <w:w w:val="110"/>
          <w:sz w:val="18"/>
        </w:rPr>
        <w:t>name </w:t>
      </w:r>
      <w:r>
        <w:rPr>
          <w:color w:val="231F20"/>
          <w:spacing w:val="3"/>
          <w:w w:val="110"/>
          <w:sz w:val="18"/>
        </w:rPr>
        <w:t>from </w:t>
      </w:r>
      <w:r>
        <w:rPr>
          <w:color w:val="231F20"/>
          <w:spacing w:val="2"/>
          <w:w w:val="110"/>
          <w:sz w:val="18"/>
        </w:rPr>
        <w:t>the </w:t>
      </w:r>
      <w:r>
        <w:rPr>
          <w:color w:val="231F20"/>
          <w:w w:val="110"/>
          <w:sz w:val="18"/>
        </w:rPr>
        <w:t>Roll of </w:t>
      </w:r>
      <w:r>
        <w:rPr>
          <w:color w:val="231F20"/>
          <w:spacing w:val="3"/>
          <w:w w:val="110"/>
          <w:sz w:val="18"/>
        </w:rPr>
        <w:t>Ministers </w:t>
      </w:r>
      <w:r>
        <w:rPr>
          <w:color w:val="231F20"/>
          <w:spacing w:val="2"/>
          <w:w w:val="110"/>
          <w:sz w:val="18"/>
        </w:rPr>
        <w:t>under </w:t>
      </w:r>
      <w:r>
        <w:rPr>
          <w:color w:val="231F20"/>
          <w:spacing w:val="4"/>
          <w:w w:val="110"/>
          <w:sz w:val="18"/>
        </w:rPr>
        <w:t>Section </w:t>
      </w:r>
      <w:r>
        <w:rPr>
          <w:color w:val="231F20"/>
          <w:w w:val="110"/>
          <w:sz w:val="18"/>
        </w:rPr>
        <w:t>F of </w:t>
      </w:r>
      <w:r>
        <w:rPr>
          <w:color w:val="231F20"/>
          <w:spacing w:val="3"/>
          <w:w w:val="110"/>
          <w:sz w:val="18"/>
        </w:rPr>
        <w:t>Part </w:t>
      </w:r>
      <w:r>
        <w:rPr>
          <w:color w:val="231F20"/>
          <w:w w:val="110"/>
          <w:sz w:val="18"/>
        </w:rPr>
        <w:t>II or to </w:t>
      </w:r>
      <w:r>
        <w:rPr>
          <w:color w:val="231F20"/>
          <w:spacing w:val="3"/>
          <w:w w:val="110"/>
          <w:sz w:val="18"/>
        </w:rPr>
        <w:t>issue </w:t>
      </w:r>
      <w:r>
        <w:rPr>
          <w:color w:val="231F20"/>
          <w:w w:val="110"/>
          <w:sz w:val="18"/>
        </w:rPr>
        <w:t>a </w:t>
      </w:r>
      <w:r>
        <w:rPr>
          <w:color w:val="231F20"/>
          <w:spacing w:val="3"/>
          <w:w w:val="110"/>
          <w:sz w:val="18"/>
        </w:rPr>
        <w:t>written </w:t>
      </w:r>
      <w:r>
        <w:rPr>
          <w:color w:val="231F20"/>
          <w:spacing w:val="2"/>
          <w:w w:val="110"/>
          <w:sz w:val="18"/>
        </w:rPr>
        <w:t>warning under </w:t>
      </w:r>
      <w:r>
        <w:rPr>
          <w:color w:val="231F20"/>
          <w:w w:val="110"/>
          <w:sz w:val="18"/>
        </w:rPr>
        <w:t>that </w:t>
      </w:r>
      <w:r>
        <w:rPr>
          <w:color w:val="231F20"/>
          <w:spacing w:val="4"/>
          <w:w w:val="110"/>
          <w:sz w:val="18"/>
        </w:rPr>
        <w:t>Section </w:t>
      </w:r>
      <w:r>
        <w:rPr>
          <w:color w:val="231F20"/>
          <w:w w:val="110"/>
          <w:sz w:val="18"/>
        </w:rPr>
        <w:t>by </w:t>
      </w:r>
      <w:r>
        <w:rPr>
          <w:color w:val="231F20"/>
          <w:spacing w:val="2"/>
          <w:w w:val="110"/>
          <w:sz w:val="18"/>
        </w:rPr>
        <w:t>lodging </w:t>
      </w:r>
      <w:r>
        <w:rPr>
          <w:color w:val="231F20"/>
          <w:w w:val="110"/>
          <w:sz w:val="18"/>
        </w:rPr>
        <w:t>a </w:t>
      </w:r>
      <w:r>
        <w:rPr>
          <w:color w:val="231F20"/>
          <w:spacing w:val="3"/>
          <w:w w:val="110"/>
          <w:sz w:val="18"/>
        </w:rPr>
        <w:t>Notice </w:t>
      </w:r>
      <w:r>
        <w:rPr>
          <w:color w:val="231F20"/>
          <w:w w:val="110"/>
          <w:sz w:val="18"/>
        </w:rPr>
        <w:t>of </w:t>
      </w:r>
      <w:r>
        <w:rPr>
          <w:color w:val="231F20"/>
          <w:spacing w:val="3"/>
          <w:w w:val="110"/>
          <w:sz w:val="18"/>
        </w:rPr>
        <w:t>Appeal </w:t>
      </w:r>
      <w:r>
        <w:rPr>
          <w:color w:val="231F20"/>
          <w:w w:val="110"/>
          <w:sz w:val="18"/>
        </w:rPr>
        <w:t>in </w:t>
      </w:r>
      <w:r>
        <w:rPr>
          <w:color w:val="231F20"/>
          <w:spacing w:val="3"/>
          <w:w w:val="110"/>
          <w:sz w:val="18"/>
        </w:rPr>
        <w:t>accordance </w:t>
      </w:r>
      <w:r>
        <w:rPr>
          <w:color w:val="231F20"/>
          <w:spacing w:val="2"/>
          <w:w w:val="110"/>
          <w:sz w:val="18"/>
        </w:rPr>
        <w:t>with the </w:t>
      </w:r>
      <w:r>
        <w:rPr>
          <w:color w:val="231F20"/>
          <w:w w:val="110"/>
          <w:sz w:val="18"/>
        </w:rPr>
        <w:t>Rules of </w:t>
      </w:r>
      <w:r>
        <w:rPr>
          <w:color w:val="231F20"/>
          <w:spacing w:val="3"/>
          <w:w w:val="110"/>
          <w:sz w:val="18"/>
        </w:rPr>
        <w:t>Procedure </w:t>
      </w:r>
      <w:r>
        <w:rPr>
          <w:color w:val="231F20"/>
          <w:w w:val="110"/>
          <w:sz w:val="18"/>
        </w:rPr>
        <w:t>at </w:t>
      </w:r>
      <w:r>
        <w:rPr>
          <w:color w:val="231F20"/>
          <w:spacing w:val="3"/>
          <w:w w:val="110"/>
          <w:sz w:val="18"/>
        </w:rPr>
        <w:t>Part </w:t>
      </w:r>
      <w:r>
        <w:rPr>
          <w:color w:val="231F20"/>
          <w:w w:val="110"/>
          <w:sz w:val="18"/>
        </w:rPr>
        <w:t>II, </w:t>
      </w:r>
      <w:r>
        <w:rPr>
          <w:color w:val="231F20"/>
          <w:spacing w:val="3"/>
          <w:w w:val="110"/>
          <w:sz w:val="18"/>
        </w:rPr>
        <w:t>stating </w:t>
      </w:r>
      <w:r>
        <w:rPr>
          <w:color w:val="231F20"/>
          <w:spacing w:val="2"/>
          <w:w w:val="110"/>
          <w:sz w:val="18"/>
        </w:rPr>
        <w:t>the </w:t>
      </w:r>
      <w:r>
        <w:rPr>
          <w:color w:val="231F20"/>
          <w:w w:val="110"/>
          <w:sz w:val="18"/>
        </w:rPr>
        <w:t>ground/s of </w:t>
      </w:r>
      <w:r>
        <w:rPr>
          <w:color w:val="231F20"/>
          <w:spacing w:val="3"/>
          <w:w w:val="110"/>
          <w:sz w:val="18"/>
        </w:rPr>
        <w:t>such</w:t>
      </w:r>
      <w:r>
        <w:rPr>
          <w:color w:val="231F20"/>
          <w:spacing w:val="67"/>
          <w:w w:val="110"/>
          <w:sz w:val="18"/>
        </w:rPr>
        <w:t> </w:t>
      </w:r>
      <w:r>
        <w:rPr>
          <w:color w:val="231F20"/>
          <w:w w:val="110"/>
          <w:sz w:val="18"/>
        </w:rPr>
        <w:t>appeal.</w:t>
      </w:r>
    </w:p>
    <w:p>
      <w:pPr>
        <w:pStyle w:val="BodyText"/>
        <w:spacing w:before="9"/>
        <w:rPr>
          <w:sz w:val="20"/>
        </w:rPr>
      </w:pPr>
    </w:p>
    <w:p>
      <w:pPr>
        <w:pStyle w:val="ListParagraph"/>
        <w:numPr>
          <w:ilvl w:val="1"/>
          <w:numId w:val="33"/>
        </w:numPr>
        <w:tabs>
          <w:tab w:pos="1490" w:val="left" w:leader="none"/>
          <w:tab w:pos="1491" w:val="left" w:leader="none"/>
        </w:tabs>
        <w:spacing w:line="273" w:lineRule="auto" w:before="0" w:after="0"/>
        <w:ind w:left="923" w:right="1240" w:firstLine="0"/>
        <w:jc w:val="left"/>
        <w:rPr>
          <w:sz w:val="18"/>
        </w:rPr>
      </w:pPr>
      <w:r>
        <w:rPr>
          <w:color w:val="231F20"/>
          <w:spacing w:val="3"/>
          <w:w w:val="110"/>
          <w:sz w:val="18"/>
        </w:rPr>
        <w:t>The </w:t>
      </w:r>
      <w:r>
        <w:rPr>
          <w:color w:val="231F20"/>
          <w:spacing w:val="2"/>
          <w:w w:val="110"/>
          <w:sz w:val="18"/>
        </w:rPr>
        <w:t>Mandated </w:t>
      </w:r>
      <w:r>
        <w:rPr>
          <w:color w:val="231F20"/>
          <w:spacing w:val="3"/>
          <w:w w:val="110"/>
          <w:sz w:val="18"/>
        </w:rPr>
        <w:t>Group </w:t>
      </w:r>
      <w:r>
        <w:rPr>
          <w:color w:val="231F20"/>
          <w:w w:val="110"/>
          <w:sz w:val="18"/>
        </w:rPr>
        <w:t>of </w:t>
      </w:r>
      <w:r>
        <w:rPr>
          <w:color w:val="231F20"/>
          <w:spacing w:val="2"/>
          <w:w w:val="110"/>
          <w:sz w:val="18"/>
        </w:rPr>
        <w:t>the Council which </w:t>
      </w:r>
      <w:r>
        <w:rPr>
          <w:color w:val="231F20"/>
          <w:spacing w:val="3"/>
          <w:w w:val="110"/>
          <w:sz w:val="18"/>
        </w:rPr>
        <w:t>lodged </w:t>
      </w:r>
      <w:r>
        <w:rPr>
          <w:color w:val="231F20"/>
          <w:spacing w:val="2"/>
          <w:w w:val="110"/>
          <w:sz w:val="18"/>
        </w:rPr>
        <w:t>the </w:t>
      </w:r>
      <w:r>
        <w:rPr>
          <w:color w:val="231F20"/>
          <w:spacing w:val="3"/>
          <w:w w:val="110"/>
          <w:sz w:val="18"/>
        </w:rPr>
        <w:t>Referral Notice </w:t>
      </w:r>
      <w:r>
        <w:rPr>
          <w:color w:val="231F20"/>
          <w:w w:val="110"/>
          <w:sz w:val="18"/>
        </w:rPr>
        <w:t>in any </w:t>
      </w:r>
      <w:r>
        <w:rPr>
          <w:color w:val="231F20"/>
          <w:spacing w:val="3"/>
          <w:w w:val="110"/>
          <w:sz w:val="18"/>
        </w:rPr>
        <w:t>case  </w:t>
      </w:r>
      <w:r>
        <w:rPr>
          <w:color w:val="231F20"/>
          <w:w w:val="110"/>
          <w:sz w:val="18"/>
        </w:rPr>
        <w:t>may in </w:t>
      </w:r>
      <w:r>
        <w:rPr>
          <w:color w:val="231F20"/>
          <w:spacing w:val="2"/>
          <w:w w:val="110"/>
          <w:sz w:val="18"/>
        </w:rPr>
        <w:t>the </w:t>
      </w:r>
      <w:r>
        <w:rPr>
          <w:color w:val="231F20"/>
          <w:w w:val="110"/>
          <w:sz w:val="18"/>
        </w:rPr>
        <w:t>name of that </w:t>
      </w:r>
      <w:r>
        <w:rPr>
          <w:color w:val="231F20"/>
          <w:spacing w:val="2"/>
          <w:w w:val="110"/>
          <w:sz w:val="18"/>
        </w:rPr>
        <w:t>Council appeal against the </w:t>
      </w:r>
      <w:r>
        <w:rPr>
          <w:color w:val="231F20"/>
          <w:spacing w:val="3"/>
          <w:w w:val="110"/>
          <w:sz w:val="18"/>
        </w:rPr>
        <w:t>decision </w:t>
      </w:r>
      <w:r>
        <w:rPr>
          <w:color w:val="231F20"/>
          <w:w w:val="110"/>
          <w:sz w:val="18"/>
        </w:rPr>
        <w:t>of </w:t>
      </w:r>
      <w:r>
        <w:rPr>
          <w:color w:val="231F20"/>
          <w:spacing w:val="2"/>
          <w:w w:val="110"/>
          <w:sz w:val="18"/>
        </w:rPr>
        <w:t>the </w:t>
      </w:r>
      <w:r>
        <w:rPr>
          <w:color w:val="231F20"/>
          <w:spacing w:val="3"/>
          <w:w w:val="110"/>
          <w:sz w:val="18"/>
        </w:rPr>
        <w:t>Assembly Commission </w:t>
      </w:r>
      <w:r>
        <w:rPr>
          <w:color w:val="231F20"/>
          <w:w w:val="110"/>
          <w:sz w:val="18"/>
        </w:rPr>
        <w:t>not to </w:t>
      </w:r>
      <w:r>
        <w:rPr>
          <w:color w:val="231F20"/>
          <w:spacing w:val="2"/>
          <w:w w:val="110"/>
          <w:sz w:val="18"/>
        </w:rPr>
        <w:t>delete the </w:t>
      </w:r>
      <w:r>
        <w:rPr>
          <w:color w:val="231F20"/>
          <w:w w:val="110"/>
          <w:sz w:val="18"/>
        </w:rPr>
        <w:t>name of </w:t>
      </w:r>
      <w:r>
        <w:rPr>
          <w:color w:val="231F20"/>
          <w:spacing w:val="2"/>
          <w:w w:val="110"/>
          <w:sz w:val="18"/>
        </w:rPr>
        <w:t>the Minister </w:t>
      </w:r>
      <w:r>
        <w:rPr>
          <w:color w:val="231F20"/>
          <w:spacing w:val="3"/>
          <w:w w:val="110"/>
          <w:sz w:val="18"/>
        </w:rPr>
        <w:t>from </w:t>
      </w:r>
      <w:r>
        <w:rPr>
          <w:color w:val="231F20"/>
          <w:spacing w:val="2"/>
          <w:w w:val="110"/>
          <w:sz w:val="18"/>
        </w:rPr>
        <w:t>the </w:t>
      </w:r>
      <w:r>
        <w:rPr>
          <w:color w:val="231F20"/>
          <w:w w:val="110"/>
          <w:sz w:val="18"/>
        </w:rPr>
        <w:t>Roll of </w:t>
      </w:r>
      <w:r>
        <w:rPr>
          <w:color w:val="231F20"/>
          <w:spacing w:val="3"/>
          <w:w w:val="110"/>
          <w:sz w:val="18"/>
        </w:rPr>
        <w:t>Ministers </w:t>
      </w:r>
      <w:r>
        <w:rPr>
          <w:color w:val="231F20"/>
          <w:w w:val="110"/>
          <w:sz w:val="18"/>
        </w:rPr>
        <w:t>by </w:t>
      </w:r>
      <w:r>
        <w:rPr>
          <w:color w:val="231F20"/>
          <w:spacing w:val="2"/>
          <w:w w:val="110"/>
          <w:sz w:val="18"/>
        </w:rPr>
        <w:t>lodging </w:t>
      </w:r>
      <w:r>
        <w:rPr>
          <w:color w:val="231F20"/>
          <w:w w:val="110"/>
          <w:sz w:val="18"/>
        </w:rPr>
        <w:t>a </w:t>
      </w:r>
      <w:r>
        <w:rPr>
          <w:color w:val="231F20"/>
          <w:spacing w:val="3"/>
          <w:w w:val="110"/>
          <w:sz w:val="18"/>
        </w:rPr>
        <w:t>Notice </w:t>
      </w:r>
      <w:r>
        <w:rPr>
          <w:color w:val="231F20"/>
          <w:w w:val="110"/>
          <w:sz w:val="18"/>
        </w:rPr>
        <w:t>of </w:t>
      </w:r>
      <w:r>
        <w:rPr>
          <w:color w:val="231F20"/>
          <w:spacing w:val="3"/>
          <w:w w:val="110"/>
          <w:sz w:val="18"/>
        </w:rPr>
        <w:t>Appeal</w:t>
      </w:r>
      <w:r>
        <w:rPr>
          <w:color w:val="231F20"/>
          <w:spacing w:val="12"/>
          <w:w w:val="110"/>
          <w:sz w:val="18"/>
        </w:rPr>
        <w:t> </w:t>
      </w:r>
      <w:r>
        <w:rPr>
          <w:color w:val="231F20"/>
          <w:w w:val="110"/>
          <w:sz w:val="18"/>
        </w:rPr>
        <w:t>in</w:t>
      </w:r>
      <w:r>
        <w:rPr>
          <w:color w:val="231F20"/>
          <w:spacing w:val="11"/>
          <w:w w:val="110"/>
          <w:sz w:val="18"/>
        </w:rPr>
        <w:t> </w:t>
      </w:r>
      <w:r>
        <w:rPr>
          <w:color w:val="231F20"/>
          <w:spacing w:val="3"/>
          <w:w w:val="110"/>
          <w:sz w:val="18"/>
        </w:rPr>
        <w:t>accordance</w:t>
      </w:r>
      <w:r>
        <w:rPr>
          <w:color w:val="231F20"/>
          <w:spacing w:val="12"/>
          <w:w w:val="110"/>
          <w:sz w:val="18"/>
        </w:rPr>
        <w:t> </w:t>
      </w:r>
      <w:r>
        <w:rPr>
          <w:color w:val="231F20"/>
          <w:spacing w:val="2"/>
          <w:w w:val="110"/>
          <w:sz w:val="18"/>
        </w:rPr>
        <w:t>with</w:t>
      </w:r>
      <w:r>
        <w:rPr>
          <w:color w:val="231F20"/>
          <w:spacing w:val="11"/>
          <w:w w:val="110"/>
          <w:sz w:val="18"/>
        </w:rPr>
        <w:t> </w:t>
      </w:r>
      <w:r>
        <w:rPr>
          <w:color w:val="231F20"/>
          <w:spacing w:val="2"/>
          <w:w w:val="110"/>
          <w:sz w:val="18"/>
        </w:rPr>
        <w:t>the</w:t>
      </w:r>
      <w:r>
        <w:rPr>
          <w:color w:val="231F20"/>
          <w:spacing w:val="11"/>
          <w:w w:val="110"/>
          <w:sz w:val="18"/>
        </w:rPr>
        <w:t> </w:t>
      </w:r>
      <w:r>
        <w:rPr>
          <w:color w:val="231F20"/>
          <w:w w:val="110"/>
          <w:sz w:val="18"/>
        </w:rPr>
        <w:t>Rules</w:t>
      </w:r>
      <w:r>
        <w:rPr>
          <w:color w:val="231F20"/>
          <w:spacing w:val="13"/>
          <w:w w:val="110"/>
          <w:sz w:val="18"/>
        </w:rPr>
        <w:t> </w:t>
      </w:r>
      <w:r>
        <w:rPr>
          <w:color w:val="231F20"/>
          <w:w w:val="110"/>
          <w:sz w:val="18"/>
        </w:rPr>
        <w:t>of</w:t>
      </w:r>
      <w:r>
        <w:rPr>
          <w:color w:val="231F20"/>
          <w:spacing w:val="11"/>
          <w:w w:val="110"/>
          <w:sz w:val="18"/>
        </w:rPr>
        <w:t> </w:t>
      </w:r>
      <w:r>
        <w:rPr>
          <w:color w:val="231F20"/>
          <w:spacing w:val="3"/>
          <w:w w:val="110"/>
          <w:sz w:val="18"/>
        </w:rPr>
        <w:t>Procedure</w:t>
      </w:r>
      <w:r>
        <w:rPr>
          <w:color w:val="231F20"/>
          <w:spacing w:val="11"/>
          <w:w w:val="110"/>
          <w:sz w:val="18"/>
        </w:rPr>
        <w:t> </w:t>
      </w:r>
      <w:r>
        <w:rPr>
          <w:color w:val="231F20"/>
          <w:spacing w:val="3"/>
          <w:w w:val="110"/>
          <w:sz w:val="18"/>
        </w:rPr>
        <w:t>stating</w:t>
      </w:r>
      <w:r>
        <w:rPr>
          <w:color w:val="231F20"/>
          <w:spacing w:val="12"/>
          <w:w w:val="110"/>
          <w:sz w:val="18"/>
        </w:rPr>
        <w:t> </w:t>
      </w:r>
      <w:r>
        <w:rPr>
          <w:color w:val="231F20"/>
          <w:spacing w:val="2"/>
          <w:w w:val="110"/>
          <w:sz w:val="18"/>
        </w:rPr>
        <w:t>the</w:t>
      </w:r>
      <w:r>
        <w:rPr>
          <w:color w:val="231F20"/>
          <w:spacing w:val="12"/>
          <w:w w:val="110"/>
          <w:sz w:val="18"/>
        </w:rPr>
        <w:t> </w:t>
      </w:r>
      <w:r>
        <w:rPr>
          <w:color w:val="231F20"/>
          <w:w w:val="110"/>
          <w:sz w:val="18"/>
        </w:rPr>
        <w:t>ground/s</w:t>
      </w:r>
      <w:r>
        <w:rPr>
          <w:color w:val="231F20"/>
          <w:spacing w:val="11"/>
          <w:w w:val="110"/>
          <w:sz w:val="18"/>
        </w:rPr>
        <w:t> </w:t>
      </w:r>
      <w:r>
        <w:rPr>
          <w:color w:val="231F20"/>
          <w:w w:val="110"/>
          <w:sz w:val="18"/>
        </w:rPr>
        <w:t>of</w:t>
      </w:r>
      <w:r>
        <w:rPr>
          <w:color w:val="231F20"/>
          <w:spacing w:val="12"/>
          <w:w w:val="110"/>
          <w:sz w:val="18"/>
        </w:rPr>
        <w:t> </w:t>
      </w:r>
      <w:r>
        <w:rPr>
          <w:color w:val="231F20"/>
          <w:spacing w:val="3"/>
          <w:w w:val="110"/>
          <w:sz w:val="18"/>
        </w:rPr>
        <w:t>such</w:t>
      </w:r>
      <w:r>
        <w:rPr>
          <w:color w:val="231F20"/>
          <w:spacing w:val="12"/>
          <w:w w:val="110"/>
          <w:sz w:val="18"/>
        </w:rPr>
        <w:t> </w:t>
      </w:r>
      <w:r>
        <w:rPr>
          <w:color w:val="231F20"/>
          <w:w w:val="110"/>
          <w:sz w:val="18"/>
        </w:rPr>
        <w:t>appeal.</w:t>
      </w:r>
    </w:p>
    <w:p>
      <w:pPr>
        <w:pStyle w:val="BodyText"/>
        <w:spacing w:line="273" w:lineRule="auto" w:before="3"/>
        <w:ind w:left="923" w:right="1171"/>
      </w:pPr>
      <w:r>
        <w:rPr>
          <w:color w:val="231F20"/>
          <w:w w:val="110"/>
        </w:rPr>
        <w:t>In any case where no written warning is attached to the decision not to delete, the Notice may state, if the Mandated Group so desires, that the appeal is limited to the question of the issue of a written warning to the Minister.</w:t>
      </w:r>
    </w:p>
    <w:p>
      <w:pPr>
        <w:pStyle w:val="BodyText"/>
        <w:spacing w:before="9"/>
        <w:rPr>
          <w:sz w:val="20"/>
        </w:rPr>
      </w:pPr>
    </w:p>
    <w:p>
      <w:pPr>
        <w:pStyle w:val="ListParagraph"/>
        <w:numPr>
          <w:ilvl w:val="1"/>
          <w:numId w:val="33"/>
        </w:numPr>
        <w:tabs>
          <w:tab w:pos="1490" w:val="left" w:leader="none"/>
          <w:tab w:pos="1491" w:val="left" w:leader="none"/>
        </w:tabs>
        <w:spacing w:line="273" w:lineRule="auto" w:before="0" w:after="0"/>
        <w:ind w:left="923" w:right="2001" w:firstLine="0"/>
        <w:jc w:val="left"/>
        <w:rPr>
          <w:sz w:val="18"/>
        </w:rPr>
      </w:pPr>
      <w:r>
        <w:rPr>
          <w:color w:val="231F20"/>
          <w:w w:val="110"/>
          <w:sz w:val="18"/>
        </w:rPr>
        <w:t>No-one other than the </w:t>
      </w:r>
      <w:r>
        <w:rPr>
          <w:color w:val="231F20"/>
          <w:spacing w:val="2"/>
          <w:w w:val="110"/>
          <w:sz w:val="18"/>
        </w:rPr>
        <w:t>Parties </w:t>
      </w:r>
      <w:r>
        <w:rPr>
          <w:color w:val="231F20"/>
          <w:w w:val="110"/>
          <w:sz w:val="18"/>
        </w:rPr>
        <w:t>has any right of appeal </w:t>
      </w:r>
      <w:r>
        <w:rPr>
          <w:color w:val="231F20"/>
          <w:spacing w:val="2"/>
          <w:w w:val="110"/>
          <w:sz w:val="18"/>
        </w:rPr>
        <w:t>from </w:t>
      </w:r>
      <w:r>
        <w:rPr>
          <w:color w:val="231F20"/>
          <w:w w:val="110"/>
          <w:sz w:val="18"/>
        </w:rPr>
        <w:t>the decision of the Assembly</w:t>
      </w:r>
      <w:r>
        <w:rPr>
          <w:color w:val="231F20"/>
          <w:spacing w:val="1"/>
          <w:w w:val="110"/>
          <w:sz w:val="18"/>
        </w:rPr>
        <w:t> </w:t>
      </w:r>
      <w:r>
        <w:rPr>
          <w:color w:val="231F20"/>
          <w:w w:val="110"/>
          <w:sz w:val="18"/>
        </w:rPr>
        <w:t>Commission.</w:t>
      </w:r>
    </w:p>
    <w:p>
      <w:pPr>
        <w:pStyle w:val="BodyText"/>
        <w:spacing w:before="8"/>
        <w:rPr>
          <w:sz w:val="20"/>
        </w:rPr>
      </w:pPr>
    </w:p>
    <w:p>
      <w:pPr>
        <w:pStyle w:val="ListParagraph"/>
        <w:numPr>
          <w:ilvl w:val="0"/>
          <w:numId w:val="32"/>
        </w:numPr>
        <w:tabs>
          <w:tab w:pos="1490" w:val="left" w:leader="none"/>
          <w:tab w:pos="1491" w:val="left" w:leader="none"/>
        </w:tabs>
        <w:spacing w:line="273" w:lineRule="auto" w:before="0" w:after="0"/>
        <w:ind w:left="923" w:right="1673" w:firstLine="0"/>
        <w:jc w:val="left"/>
        <w:rPr>
          <w:sz w:val="18"/>
        </w:rPr>
      </w:pPr>
      <w:r>
        <w:rPr>
          <w:color w:val="231F20"/>
          <w:w w:val="110"/>
          <w:sz w:val="18"/>
        </w:rPr>
        <w:t>Procedural </w:t>
      </w:r>
      <w:r>
        <w:rPr>
          <w:color w:val="231F20"/>
          <w:spacing w:val="2"/>
          <w:w w:val="110"/>
          <w:sz w:val="18"/>
        </w:rPr>
        <w:t>matters </w:t>
      </w:r>
      <w:r>
        <w:rPr>
          <w:color w:val="231F20"/>
          <w:w w:val="110"/>
          <w:sz w:val="18"/>
        </w:rPr>
        <w:t>shall in every </w:t>
      </w:r>
      <w:r>
        <w:rPr>
          <w:color w:val="231F20"/>
          <w:spacing w:val="2"/>
          <w:w w:val="110"/>
          <w:sz w:val="18"/>
        </w:rPr>
        <w:t>case </w:t>
      </w:r>
      <w:r>
        <w:rPr>
          <w:color w:val="231F20"/>
          <w:w w:val="110"/>
          <w:sz w:val="18"/>
        </w:rPr>
        <w:t>be dealt with in accordance with the Rules of Procedure as contained in </w:t>
      </w:r>
      <w:r>
        <w:rPr>
          <w:color w:val="231F20"/>
          <w:spacing w:val="2"/>
          <w:w w:val="110"/>
          <w:sz w:val="18"/>
        </w:rPr>
        <w:t>Part</w:t>
      </w:r>
      <w:r>
        <w:rPr>
          <w:color w:val="231F20"/>
          <w:spacing w:val="8"/>
          <w:w w:val="110"/>
          <w:sz w:val="18"/>
        </w:rPr>
        <w:t> </w:t>
      </w:r>
      <w:r>
        <w:rPr>
          <w:color w:val="231F20"/>
          <w:w w:val="110"/>
          <w:sz w:val="18"/>
        </w:rPr>
        <w:t>II.</w:t>
      </w:r>
    </w:p>
    <w:p>
      <w:pPr>
        <w:pStyle w:val="BodyText"/>
        <w:spacing w:before="8"/>
        <w:rPr>
          <w:sz w:val="20"/>
        </w:rPr>
      </w:pPr>
    </w:p>
    <w:p>
      <w:pPr>
        <w:pStyle w:val="ListParagraph"/>
        <w:numPr>
          <w:ilvl w:val="0"/>
          <w:numId w:val="32"/>
        </w:numPr>
        <w:tabs>
          <w:tab w:pos="1490" w:val="left" w:leader="none"/>
          <w:tab w:pos="1491" w:val="left" w:leader="none"/>
          <w:tab w:pos="2057" w:val="left" w:leader="none"/>
        </w:tabs>
        <w:spacing w:line="273" w:lineRule="auto" w:before="0" w:after="0"/>
        <w:ind w:left="923" w:right="1444" w:firstLine="0"/>
        <w:jc w:val="left"/>
        <w:rPr>
          <w:sz w:val="18"/>
        </w:rPr>
      </w:pPr>
      <w:r>
        <w:rPr>
          <w:color w:val="231F20"/>
          <w:spacing w:val="-4"/>
          <w:w w:val="110"/>
          <w:sz w:val="18"/>
        </w:rPr>
        <w:t>6.1</w:t>
        <w:tab/>
      </w:r>
      <w:r>
        <w:rPr>
          <w:color w:val="231F20"/>
          <w:w w:val="110"/>
          <w:sz w:val="18"/>
        </w:rPr>
        <w:t>Save only as provided in Paragraph 6.2, this </w:t>
      </w:r>
      <w:r>
        <w:rPr>
          <w:color w:val="231F20"/>
          <w:spacing w:val="2"/>
          <w:w w:val="110"/>
          <w:sz w:val="18"/>
        </w:rPr>
        <w:t>Part </w:t>
      </w:r>
      <w:r>
        <w:rPr>
          <w:color w:val="231F20"/>
          <w:w w:val="110"/>
          <w:sz w:val="18"/>
        </w:rPr>
        <w:t>I 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is subject to Paragraph </w:t>
      </w:r>
      <w:r>
        <w:rPr>
          <w:color w:val="231F20"/>
          <w:spacing w:val="-9"/>
          <w:w w:val="110"/>
          <w:sz w:val="18"/>
        </w:rPr>
        <w:t>3(1) </w:t>
      </w:r>
      <w:r>
        <w:rPr>
          <w:color w:val="231F20"/>
          <w:w w:val="110"/>
          <w:sz w:val="18"/>
        </w:rPr>
        <w:t>of the</w:t>
      </w:r>
      <w:r>
        <w:rPr>
          <w:color w:val="231F20"/>
          <w:spacing w:val="19"/>
          <w:w w:val="110"/>
          <w:sz w:val="18"/>
        </w:rPr>
        <w:t> </w:t>
      </w:r>
      <w:r>
        <w:rPr>
          <w:color w:val="231F20"/>
          <w:w w:val="110"/>
          <w:sz w:val="18"/>
        </w:rPr>
        <w:t>Structure.</w:t>
      </w:r>
    </w:p>
    <w:p>
      <w:pPr>
        <w:pStyle w:val="BodyText"/>
        <w:spacing w:before="8"/>
        <w:rPr>
          <w:sz w:val="20"/>
        </w:rPr>
      </w:pPr>
    </w:p>
    <w:p>
      <w:pPr>
        <w:pStyle w:val="ListParagraph"/>
        <w:numPr>
          <w:ilvl w:val="1"/>
          <w:numId w:val="34"/>
        </w:numPr>
        <w:tabs>
          <w:tab w:pos="1490" w:val="left" w:leader="none"/>
          <w:tab w:pos="1491" w:val="left" w:leader="none"/>
        </w:tabs>
        <w:spacing w:line="273" w:lineRule="auto" w:before="0" w:after="0"/>
        <w:ind w:left="923" w:right="1439" w:firstLine="0"/>
        <w:jc w:val="left"/>
        <w:rPr>
          <w:sz w:val="18"/>
        </w:rPr>
      </w:pPr>
      <w:r>
        <w:rPr>
          <w:color w:val="231F20"/>
          <w:w w:val="110"/>
          <w:sz w:val="18"/>
        </w:rPr>
        <w:t>Mission Council acting in the name of General Assembly has authority by single resolution of that Council to make as and when </w:t>
      </w:r>
      <w:r>
        <w:rPr>
          <w:color w:val="231F20"/>
          <w:spacing w:val="2"/>
          <w:w w:val="110"/>
          <w:sz w:val="18"/>
        </w:rPr>
        <w:t>necessary </w:t>
      </w:r>
      <w:r>
        <w:rPr>
          <w:color w:val="231F20"/>
          <w:w w:val="110"/>
          <w:sz w:val="18"/>
        </w:rPr>
        <w:t>and with immediate </w:t>
      </w:r>
      <w:r>
        <w:rPr>
          <w:color w:val="231F20"/>
          <w:spacing w:val="3"/>
          <w:w w:val="110"/>
          <w:sz w:val="18"/>
        </w:rPr>
        <w:t>effect  </w:t>
      </w:r>
      <w:r>
        <w:rPr>
          <w:color w:val="231F20"/>
          <w:w w:val="110"/>
          <w:sz w:val="18"/>
        </w:rPr>
        <w:t>such changes to </w:t>
      </w:r>
      <w:r>
        <w:rPr>
          <w:color w:val="231F20"/>
          <w:spacing w:val="2"/>
          <w:w w:val="110"/>
          <w:sz w:val="18"/>
        </w:rPr>
        <w:t>Part </w:t>
      </w:r>
      <w:r>
        <w:rPr>
          <w:color w:val="231F20"/>
          <w:w w:val="110"/>
          <w:sz w:val="18"/>
        </w:rPr>
        <w:t>I as are, on the advice of the legal advisers to the United Reformed Church, required to bring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into line with the general law of the land consequent upon any changes in legislation and/or </w:t>
      </w:r>
      <w:r>
        <w:rPr>
          <w:color w:val="231F20"/>
          <w:spacing w:val="2"/>
          <w:w w:val="110"/>
          <w:sz w:val="18"/>
        </w:rPr>
        <w:t>case</w:t>
      </w:r>
      <w:r>
        <w:rPr>
          <w:color w:val="231F20"/>
          <w:spacing w:val="18"/>
          <w:w w:val="110"/>
          <w:sz w:val="18"/>
        </w:rPr>
        <w:t> </w:t>
      </w:r>
      <w:r>
        <w:rPr>
          <w:color w:val="231F20"/>
          <w:spacing w:val="-3"/>
          <w:w w:val="110"/>
          <w:sz w:val="18"/>
        </w:rPr>
        <w:t>law.</w:t>
      </w:r>
    </w:p>
    <w:p>
      <w:pPr>
        <w:pStyle w:val="BodyText"/>
        <w:spacing w:before="10"/>
        <w:rPr>
          <w:sz w:val="20"/>
        </w:rPr>
      </w:pPr>
    </w:p>
    <w:p>
      <w:pPr>
        <w:pStyle w:val="ListParagraph"/>
        <w:numPr>
          <w:ilvl w:val="1"/>
          <w:numId w:val="34"/>
        </w:numPr>
        <w:tabs>
          <w:tab w:pos="1490" w:val="left" w:leader="none"/>
          <w:tab w:pos="1491" w:val="left" w:leader="none"/>
        </w:tabs>
        <w:spacing w:line="273" w:lineRule="auto" w:before="0" w:after="0"/>
        <w:ind w:left="923" w:right="1758" w:firstLine="0"/>
        <w:jc w:val="left"/>
        <w:rPr>
          <w:sz w:val="18"/>
        </w:rPr>
      </w:pPr>
      <w:r>
        <w:rPr>
          <w:color w:val="231F20"/>
          <w:w w:val="110"/>
          <w:sz w:val="18"/>
        </w:rPr>
        <w:t>All such changes to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as are made by Mission Council under Paragraph 6.2 shall be </w:t>
      </w:r>
      <w:r>
        <w:rPr>
          <w:color w:val="231F20"/>
          <w:spacing w:val="2"/>
          <w:w w:val="110"/>
          <w:sz w:val="18"/>
        </w:rPr>
        <w:t>reported </w:t>
      </w:r>
      <w:r>
        <w:rPr>
          <w:color w:val="231F20"/>
          <w:w w:val="110"/>
          <w:sz w:val="18"/>
        </w:rPr>
        <w:t>to the </w:t>
      </w:r>
      <w:r>
        <w:rPr>
          <w:color w:val="231F20"/>
          <w:spacing w:val="2"/>
          <w:w w:val="110"/>
          <w:sz w:val="18"/>
        </w:rPr>
        <w:t>next </w:t>
      </w:r>
      <w:r>
        <w:rPr>
          <w:color w:val="231F20"/>
          <w:w w:val="110"/>
          <w:sz w:val="18"/>
        </w:rPr>
        <w:t>meeting of the General</w:t>
      </w:r>
      <w:r>
        <w:rPr>
          <w:color w:val="231F20"/>
          <w:spacing w:val="61"/>
          <w:w w:val="110"/>
          <w:sz w:val="18"/>
        </w:rPr>
        <w:t> </w:t>
      </w:r>
      <w:r>
        <w:rPr>
          <w:color w:val="231F20"/>
          <w:w w:val="110"/>
          <w:sz w:val="18"/>
        </w:rPr>
        <w:t>Assembly.</w:t>
      </w:r>
    </w:p>
    <w:p>
      <w:pPr>
        <w:spacing w:after="0" w:line="273" w:lineRule="auto"/>
        <w:jc w:val="left"/>
        <w:rPr>
          <w:sz w:val="18"/>
        </w:rPr>
        <w:sectPr>
          <w:pgSz w:w="11910" w:h="16840"/>
          <w:pgMar w:header="581" w:footer="464" w:top="860" w:bottom="740" w:left="460" w:right="0"/>
        </w:sectPr>
      </w:pPr>
    </w:p>
    <w:p>
      <w:pPr>
        <w:spacing w:before="140"/>
        <w:ind w:left="1331"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09"/>
          <w:w w:val="111"/>
          <w:sz w:val="43"/>
        </w:rPr>
        <w:t>O</w:t>
      </w:r>
      <w:r>
        <w:rPr>
          <w:b/>
          <w:color w:val="231F20"/>
          <w:spacing w:val="-193"/>
          <w:w w:val="112"/>
          <w:position w:val="-21"/>
          <w:sz w:val="50"/>
        </w:rPr>
        <w:t>1</w:t>
      </w:r>
      <w:r>
        <w:rPr>
          <w:b/>
          <w:color w:val="FFFFFF"/>
          <w:spacing w:val="-241"/>
          <w:w w:val="111"/>
          <w:sz w:val="43"/>
        </w:rPr>
        <w:t>N</w:t>
      </w:r>
      <w:r>
        <w:rPr>
          <w:b/>
          <w:color w:val="231F20"/>
          <w:spacing w:val="-27"/>
          <w:w w:val="112"/>
          <w:position w:val="-21"/>
          <w:sz w:val="50"/>
        </w:rPr>
        <w:t>0</w:t>
      </w:r>
    </w:p>
    <w:p>
      <w:pPr>
        <w:pStyle w:val="BodyText"/>
        <w:rPr>
          <w:b/>
          <w:sz w:val="22"/>
        </w:rPr>
      </w:pPr>
      <w:r>
        <w:rPr/>
        <w:br w:type="column"/>
      </w:r>
      <w:r>
        <w:rPr>
          <w:b/>
          <w:sz w:val="22"/>
        </w:rPr>
      </w:r>
    </w:p>
    <w:p>
      <w:pPr>
        <w:pStyle w:val="BodyText"/>
        <w:spacing w:before="8"/>
        <w:rPr>
          <w:b/>
          <w:sz w:val="26"/>
        </w:rPr>
      </w:pPr>
    </w:p>
    <w:p>
      <w:pPr>
        <w:spacing w:line="256" w:lineRule="auto" w:before="0"/>
        <w:ind w:left="1331" w:right="1132" w:firstLine="575"/>
        <w:jc w:val="right"/>
        <w:rPr>
          <w:i/>
          <w:sz w:val="18"/>
        </w:rPr>
      </w:pPr>
      <w:r>
        <w:rPr>
          <w:b/>
          <w:color w:val="231F20"/>
          <w:w w:val="110"/>
          <w:sz w:val="20"/>
        </w:rPr>
        <w:t>Section O: Ratification of amendments to the Structure</w:t>
      </w:r>
      <w:r>
        <w:rPr>
          <w:b/>
          <w:color w:val="231F20"/>
          <w:w w:val="109"/>
          <w:sz w:val="20"/>
        </w:rPr>
        <w:t> </w:t>
      </w:r>
      <w:r>
        <w:rPr>
          <w:i/>
          <w:color w:val="231F20"/>
          <w:w w:val="110"/>
          <w:sz w:val="18"/>
        </w:rPr>
        <w:t>(Report page 52 para 6.3.9)</w:t>
      </w:r>
    </w:p>
    <w:p>
      <w:pPr>
        <w:spacing w:after="0" w:line="256" w:lineRule="auto"/>
        <w:jc w:val="right"/>
        <w:rPr>
          <w:sz w:val="18"/>
        </w:rPr>
        <w:sectPr>
          <w:pgSz w:w="11910" w:h="16840"/>
          <w:pgMar w:header="581" w:footer="544" w:top="860" w:bottom="740" w:left="460" w:right="0"/>
          <w:cols w:num="2" w:equalWidth="0">
            <w:col w:w="5035" w:space="257"/>
            <w:col w:w="6158"/>
          </w:cols>
        </w:sectPr>
      </w:pPr>
    </w:p>
    <w:p>
      <w:pPr>
        <w:pStyle w:val="BodyText"/>
        <w:spacing w:before="8"/>
        <w:rPr>
          <w:i/>
          <w:sz w:val="13"/>
        </w:rPr>
      </w:pPr>
      <w:r>
        <w:rPr/>
        <w:pict>
          <v:group style="position:absolute;margin-left:51.023998pt;margin-top:52.441025pt;width:514.8pt;height:753.85pt;mso-position-horizontal-relative:page;mso-position-vertical-relative:page;z-index:-275557376" coordorigin="1020,1049" coordsize="10296,15077">
            <v:shape style="position:absolute;left:1677;top:1113;width:4016;height:630" coordorigin="1678,1114" coordsize="4016,630" path="m5693,1440l1836,1440,1836,1114,1678,1114,1678,1440,1678,1744,5693,1744,5693,1440e" filled="true" fillcolor="#d8dadc" stroked="false">
              <v:path arrowok="t"/>
              <v:fill type="solid"/>
            </v:shape>
            <v:line style="position:absolute" from="1678,1108" to="5693,1108" stroked="true" strokeweight=".6pt" strokecolor="#d8dadc">
              <v:stroke dashstyle="solid"/>
            </v:line>
            <v:shape style="position:absolute;left:1835;top:1113;width:3858;height:328" coordorigin="1836,1114" coordsize="3858,328" path="m5693,1114l5278,1114,1836,1114,1836,1441,5278,1441,5693,1441,5693,1114e" filled="true" fillcolor="#d8dadc" stroked="false">
              <v:path arrowok="t"/>
              <v:fill type="solid"/>
            </v:shape>
            <v:shape style="position:absolute;left:1374;top:1048;width:9932;height:15057" type="#_x0000_t75" stroked="false">
              <v:imagedata r:id="rId70" o:title=""/>
            </v:shape>
            <v:rect style="position:absolute;left:1020;top:15845;width:10296;height:280" filled="true" fillcolor="#ffffff" stroked="false">
              <v:fill type="solid"/>
            </v:rect>
            <w10:wrap type="none"/>
          </v:group>
        </w:pict>
      </w:r>
    </w:p>
    <w:p>
      <w:pPr>
        <w:spacing w:before="100"/>
        <w:ind w:left="1240" w:right="0" w:firstLine="0"/>
        <w:jc w:val="left"/>
        <w:rPr>
          <w:i/>
          <w:sz w:val="18"/>
        </w:rPr>
      </w:pPr>
      <w:r>
        <w:rPr>
          <w:i/>
          <w:color w:val="231F20"/>
          <w:w w:val="110"/>
          <w:sz w:val="18"/>
        </w:rPr>
        <w:t>Resolution </w:t>
      </w:r>
      <w:r>
        <w:rPr>
          <w:i/>
          <w:color w:val="231F20"/>
          <w:spacing w:val="-6"/>
          <w:w w:val="110"/>
          <w:sz w:val="18"/>
        </w:rPr>
        <w:t>10 </w:t>
      </w:r>
      <w:r>
        <w:rPr>
          <w:i/>
          <w:color w:val="231F20"/>
          <w:w w:val="110"/>
          <w:sz w:val="18"/>
        </w:rPr>
        <w:t>ratifies the amendments to the Structure in relation to Section O</w:t>
      </w:r>
      <w:r>
        <w:rPr>
          <w:i/>
          <w:color w:val="231F20"/>
          <w:spacing w:val="64"/>
          <w:w w:val="110"/>
          <w:sz w:val="18"/>
        </w:rPr>
        <w:t> </w:t>
      </w:r>
      <w:r>
        <w:rPr>
          <w:i/>
          <w:color w:val="231F20"/>
          <w:w w:val="110"/>
          <w:sz w:val="18"/>
        </w:rPr>
        <w:t>first</w:t>
      </w:r>
    </w:p>
    <w:p>
      <w:pPr>
        <w:spacing w:before="31"/>
        <w:ind w:left="1240" w:right="0" w:firstLine="0"/>
        <w:jc w:val="left"/>
        <w:rPr>
          <w:i/>
          <w:sz w:val="18"/>
        </w:rPr>
      </w:pPr>
      <w:r>
        <w:rPr>
          <w:i/>
          <w:color w:val="231F20"/>
          <w:w w:val="110"/>
          <w:sz w:val="18"/>
        </w:rPr>
        <w:t>approved by Assembly last year under Resolution 9.</w:t>
      </w:r>
    </w:p>
    <w:p>
      <w:pPr>
        <w:pStyle w:val="BodyText"/>
        <w:rPr>
          <w:i/>
          <w:sz w:val="22"/>
        </w:rPr>
      </w:pPr>
    </w:p>
    <w:p>
      <w:pPr>
        <w:pStyle w:val="BodyText"/>
        <w:spacing w:before="9"/>
        <w:rPr>
          <w:i/>
          <w:sz w:val="21"/>
        </w:rPr>
      </w:pPr>
    </w:p>
    <w:p>
      <w:pPr>
        <w:pStyle w:val="BodyText"/>
        <w:spacing w:line="273" w:lineRule="auto"/>
        <w:ind w:left="1240" w:right="1593"/>
      </w:pPr>
      <w:r>
        <w:rPr>
          <w:color w:val="231F20"/>
          <w:w w:val="110"/>
        </w:rPr>
        <w:t>General Assembly agrees to ratify its decision to make the following changes to the Structure of the United Reformed Church:</w:t>
      </w:r>
    </w:p>
    <w:p>
      <w:pPr>
        <w:pStyle w:val="BodyText"/>
        <w:spacing w:before="8"/>
        <w:rPr>
          <w:sz w:val="20"/>
        </w:rPr>
      </w:pPr>
    </w:p>
    <w:p>
      <w:pPr>
        <w:spacing w:before="0"/>
        <w:ind w:left="1240" w:right="0" w:firstLine="0"/>
        <w:jc w:val="left"/>
        <w:rPr>
          <w:b/>
          <w:sz w:val="18"/>
        </w:rPr>
      </w:pPr>
      <w:r>
        <w:rPr>
          <w:b/>
          <w:color w:val="231F20"/>
          <w:w w:val="110"/>
          <w:sz w:val="18"/>
        </w:rPr>
        <w:t>Paragraph 2(3)(A)(xviii)</w:t>
      </w:r>
    </w:p>
    <w:p>
      <w:pPr>
        <w:pStyle w:val="BodyText"/>
        <w:spacing w:before="2"/>
        <w:rPr>
          <w:b/>
          <w:sz w:val="23"/>
        </w:rPr>
      </w:pPr>
    </w:p>
    <w:p>
      <w:pPr>
        <w:pStyle w:val="BodyText"/>
        <w:ind w:left="1240"/>
      </w:pPr>
      <w:r>
        <w:rPr>
          <w:color w:val="231F20"/>
          <w:w w:val="110"/>
        </w:rPr>
        <w:t>Replace the existing 2(3)(A)(xviii) with the following:</w:t>
      </w:r>
    </w:p>
    <w:p>
      <w:pPr>
        <w:pStyle w:val="BodyText"/>
        <w:spacing w:before="1"/>
        <w:rPr>
          <w:sz w:val="23"/>
        </w:rPr>
      </w:pPr>
    </w:p>
    <w:p>
      <w:pPr>
        <w:spacing w:line="273" w:lineRule="auto" w:before="1"/>
        <w:ind w:left="1240" w:right="1633" w:firstLine="0"/>
        <w:jc w:val="left"/>
        <w:rPr>
          <w:b/>
          <w:sz w:val="18"/>
        </w:rPr>
      </w:pPr>
      <w:r>
        <w:rPr>
          <w:b/>
          <w:color w:val="231F20"/>
          <w:w w:val="110"/>
          <w:sz w:val="18"/>
        </w:rPr>
        <w:t>‘Where the </w:t>
      </w:r>
      <w:r>
        <w:rPr>
          <w:b/>
          <w:color w:val="231F20"/>
          <w:spacing w:val="2"/>
          <w:w w:val="110"/>
          <w:sz w:val="18"/>
        </w:rPr>
        <w:t>District </w:t>
      </w:r>
      <w:r>
        <w:rPr>
          <w:b/>
          <w:color w:val="231F20"/>
          <w:w w:val="110"/>
          <w:sz w:val="18"/>
        </w:rPr>
        <w:t>Council, acting through </w:t>
      </w:r>
      <w:r>
        <w:rPr>
          <w:b/>
          <w:color w:val="231F20"/>
          <w:spacing w:val="2"/>
          <w:w w:val="110"/>
          <w:sz w:val="18"/>
        </w:rPr>
        <w:t>its </w:t>
      </w:r>
      <w:r>
        <w:rPr>
          <w:b/>
          <w:color w:val="231F20"/>
          <w:w w:val="110"/>
          <w:sz w:val="18"/>
        </w:rPr>
        <w:t>Mandated Group as defined  in the Disciplinary </w:t>
      </w:r>
      <w:r>
        <w:rPr>
          <w:b/>
          <w:color w:val="231F20"/>
          <w:spacing w:val="2"/>
          <w:w w:val="110"/>
          <w:sz w:val="18"/>
        </w:rPr>
        <w:t>Process referred </w:t>
      </w:r>
      <w:r>
        <w:rPr>
          <w:b/>
          <w:color w:val="231F20"/>
          <w:w w:val="110"/>
          <w:sz w:val="18"/>
        </w:rPr>
        <w:t>to below, </w:t>
      </w:r>
      <w:r>
        <w:rPr>
          <w:b/>
          <w:color w:val="231F20"/>
          <w:spacing w:val="2"/>
          <w:w w:val="110"/>
          <w:sz w:val="18"/>
        </w:rPr>
        <w:t>considers </w:t>
      </w:r>
      <w:r>
        <w:rPr>
          <w:b/>
          <w:color w:val="231F20"/>
          <w:w w:val="110"/>
          <w:sz w:val="18"/>
        </w:rPr>
        <w:t>that a Minister is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w w:val="110"/>
          <w:sz w:val="18"/>
        </w:rPr>
        <w:t>of that Minister to the Commission</w:t>
      </w:r>
      <w:r>
        <w:rPr>
          <w:b/>
          <w:color w:val="231F20"/>
          <w:spacing w:val="13"/>
          <w:w w:val="110"/>
          <w:sz w:val="18"/>
        </w:rPr>
        <w:t> </w:t>
      </w:r>
      <w:r>
        <w:rPr>
          <w:b/>
          <w:color w:val="231F20"/>
          <w:w w:val="110"/>
          <w:sz w:val="18"/>
        </w:rPr>
        <w:t>Stage</w:t>
      </w:r>
      <w:r>
        <w:rPr>
          <w:b/>
          <w:color w:val="231F20"/>
          <w:spacing w:val="13"/>
          <w:w w:val="110"/>
          <w:sz w:val="18"/>
        </w:rPr>
        <w:t> </w:t>
      </w:r>
      <w:r>
        <w:rPr>
          <w:b/>
          <w:color w:val="231F20"/>
          <w:w w:val="110"/>
          <w:sz w:val="18"/>
        </w:rPr>
        <w:t>of</w:t>
      </w:r>
      <w:r>
        <w:rPr>
          <w:b/>
          <w:color w:val="231F20"/>
          <w:spacing w:val="13"/>
          <w:w w:val="110"/>
          <w:sz w:val="18"/>
        </w:rPr>
        <w:t> </w:t>
      </w:r>
      <w:r>
        <w:rPr>
          <w:b/>
          <w:color w:val="231F20"/>
          <w:w w:val="110"/>
          <w:sz w:val="18"/>
        </w:rPr>
        <w:t>the</w:t>
      </w:r>
      <w:r>
        <w:rPr>
          <w:b/>
          <w:color w:val="231F20"/>
          <w:spacing w:val="14"/>
          <w:w w:val="110"/>
          <w:sz w:val="18"/>
        </w:rPr>
        <w:t> </w:t>
      </w:r>
      <w:r>
        <w:rPr>
          <w:b/>
          <w:color w:val="231F20"/>
          <w:w w:val="110"/>
          <w:sz w:val="18"/>
        </w:rPr>
        <w:t>Disciplinary</w:t>
      </w:r>
      <w:r>
        <w:rPr>
          <w:b/>
          <w:color w:val="231F20"/>
          <w:spacing w:val="13"/>
          <w:w w:val="110"/>
          <w:sz w:val="18"/>
        </w:rPr>
        <w:t> </w:t>
      </w:r>
      <w:r>
        <w:rPr>
          <w:b/>
          <w:color w:val="231F20"/>
          <w:spacing w:val="2"/>
          <w:w w:val="110"/>
          <w:sz w:val="18"/>
        </w:rPr>
        <w:t>Process</w:t>
      </w:r>
      <w:r>
        <w:rPr>
          <w:b/>
          <w:color w:val="231F20"/>
          <w:spacing w:val="13"/>
          <w:w w:val="110"/>
          <w:sz w:val="18"/>
        </w:rPr>
        <w:t> </w:t>
      </w:r>
      <w:r>
        <w:rPr>
          <w:b/>
          <w:color w:val="231F20"/>
          <w:w w:val="110"/>
          <w:sz w:val="18"/>
        </w:rPr>
        <w:t>contained</w:t>
      </w:r>
      <w:r>
        <w:rPr>
          <w:b/>
          <w:color w:val="231F20"/>
          <w:spacing w:val="13"/>
          <w:w w:val="110"/>
          <w:sz w:val="18"/>
        </w:rPr>
        <w:t> </w:t>
      </w:r>
      <w:r>
        <w:rPr>
          <w:b/>
          <w:color w:val="231F20"/>
          <w:w w:val="110"/>
          <w:sz w:val="18"/>
        </w:rPr>
        <w:t>in</w:t>
      </w:r>
      <w:r>
        <w:rPr>
          <w:b/>
          <w:color w:val="231F20"/>
          <w:spacing w:val="14"/>
          <w:w w:val="110"/>
          <w:sz w:val="18"/>
        </w:rPr>
        <w:t> </w:t>
      </w:r>
      <w:r>
        <w:rPr>
          <w:b/>
          <w:color w:val="231F20"/>
          <w:spacing w:val="2"/>
          <w:w w:val="110"/>
          <w:sz w:val="18"/>
        </w:rPr>
        <w:t>Section</w:t>
      </w:r>
      <w:r>
        <w:rPr>
          <w:b/>
          <w:color w:val="231F20"/>
          <w:spacing w:val="13"/>
          <w:w w:val="110"/>
          <w:sz w:val="18"/>
        </w:rPr>
        <w:t> </w:t>
      </w:r>
      <w:r>
        <w:rPr>
          <w:b/>
          <w:color w:val="231F20"/>
          <w:w w:val="110"/>
          <w:sz w:val="18"/>
        </w:rPr>
        <w:t>O</w:t>
      </w:r>
      <w:r>
        <w:rPr>
          <w:b/>
          <w:color w:val="231F20"/>
          <w:spacing w:val="13"/>
          <w:w w:val="110"/>
          <w:sz w:val="18"/>
        </w:rPr>
        <w:t> </w:t>
      </w:r>
      <w:r>
        <w:rPr>
          <w:b/>
          <w:color w:val="231F20"/>
          <w:w w:val="110"/>
          <w:sz w:val="18"/>
        </w:rPr>
        <w:t>of</w:t>
      </w:r>
      <w:r>
        <w:rPr>
          <w:b/>
          <w:color w:val="231F20"/>
          <w:spacing w:val="14"/>
          <w:w w:val="110"/>
          <w:sz w:val="18"/>
        </w:rPr>
        <w:t> </w:t>
      </w:r>
      <w:r>
        <w:rPr>
          <w:b/>
          <w:color w:val="231F20"/>
          <w:w w:val="110"/>
          <w:sz w:val="18"/>
        </w:rPr>
        <w:t>the</w:t>
      </w:r>
    </w:p>
    <w:p>
      <w:pPr>
        <w:spacing w:line="273" w:lineRule="auto" w:before="3"/>
        <w:ind w:left="1240" w:right="1365" w:firstLine="0"/>
        <w:jc w:val="left"/>
        <w:rPr>
          <w:b/>
          <w:sz w:val="18"/>
        </w:rPr>
      </w:pPr>
      <w:r>
        <w:rPr>
          <w:b/>
          <w:color w:val="231F20"/>
          <w:w w:val="110"/>
          <w:sz w:val="18"/>
        </w:rPr>
        <w:t>Manual of the United Reformed Church and in every such </w:t>
      </w:r>
      <w:r>
        <w:rPr>
          <w:b/>
          <w:color w:val="231F20"/>
          <w:spacing w:val="2"/>
          <w:w w:val="110"/>
          <w:sz w:val="18"/>
        </w:rPr>
        <w:t>case </w:t>
      </w:r>
      <w:r>
        <w:rPr>
          <w:b/>
          <w:color w:val="231F20"/>
          <w:w w:val="110"/>
          <w:sz w:val="18"/>
        </w:rPr>
        <w:t>to suspend the Minister </w:t>
      </w:r>
      <w:r>
        <w:rPr>
          <w:b/>
          <w:color w:val="231F20"/>
          <w:spacing w:val="2"/>
          <w:w w:val="110"/>
          <w:sz w:val="18"/>
        </w:rPr>
        <w:t>concerned </w:t>
      </w:r>
      <w:r>
        <w:rPr>
          <w:b/>
          <w:color w:val="231F20"/>
          <w:w w:val="110"/>
          <w:sz w:val="18"/>
        </w:rPr>
        <w:t>pending the </w:t>
      </w:r>
      <w:r>
        <w:rPr>
          <w:b/>
          <w:color w:val="231F20"/>
          <w:spacing w:val="2"/>
          <w:w w:val="110"/>
          <w:sz w:val="18"/>
        </w:rPr>
        <w:t>resolution </w:t>
      </w:r>
      <w:r>
        <w:rPr>
          <w:b/>
          <w:color w:val="231F20"/>
          <w:w w:val="110"/>
          <w:sz w:val="18"/>
        </w:rPr>
        <w:t>of the </w:t>
      </w:r>
      <w:r>
        <w:rPr>
          <w:b/>
          <w:color w:val="231F20"/>
          <w:spacing w:val="2"/>
          <w:w w:val="110"/>
          <w:sz w:val="18"/>
        </w:rPr>
        <w:t>matter </w:t>
      </w:r>
      <w:r>
        <w:rPr>
          <w:b/>
          <w:color w:val="231F20"/>
          <w:w w:val="110"/>
          <w:sz w:val="18"/>
        </w:rPr>
        <w:t>under that </w:t>
      </w:r>
      <w:r>
        <w:rPr>
          <w:b/>
          <w:color w:val="231F20"/>
          <w:spacing w:val="2"/>
          <w:w w:val="110"/>
          <w:sz w:val="18"/>
        </w:rPr>
        <w:t>Process  </w:t>
      </w:r>
      <w:r>
        <w:rPr>
          <w:b/>
          <w:color w:val="231F20"/>
          <w:spacing w:val="-3"/>
          <w:w w:val="110"/>
          <w:sz w:val="18"/>
        </w:rPr>
        <w:t>(for </w:t>
      </w:r>
      <w:r>
        <w:rPr>
          <w:b/>
          <w:color w:val="231F20"/>
          <w:w w:val="110"/>
          <w:sz w:val="18"/>
        </w:rPr>
        <w:t>the avoidance of doubt the calling in of the Mandated Group under that </w:t>
      </w:r>
      <w:r>
        <w:rPr>
          <w:b/>
          <w:color w:val="231F20"/>
          <w:spacing w:val="2"/>
          <w:w w:val="110"/>
          <w:sz w:val="18"/>
        </w:rPr>
        <w:t>Process </w:t>
      </w:r>
      <w:r>
        <w:rPr>
          <w:b/>
          <w:color w:val="231F20"/>
          <w:w w:val="110"/>
          <w:sz w:val="18"/>
        </w:rPr>
        <w:t>in order to fulfil </w:t>
      </w:r>
      <w:r>
        <w:rPr>
          <w:b/>
          <w:color w:val="231F20"/>
          <w:spacing w:val="2"/>
          <w:w w:val="110"/>
          <w:sz w:val="18"/>
        </w:rPr>
        <w:t>its </w:t>
      </w:r>
      <w:r>
        <w:rPr>
          <w:b/>
          <w:color w:val="231F20"/>
          <w:w w:val="110"/>
          <w:sz w:val="18"/>
        </w:rPr>
        <w:t>responsibilities marking the commencement of the Disciplinary Process).’</w:t>
      </w:r>
    </w:p>
    <w:p>
      <w:pPr>
        <w:pStyle w:val="BodyText"/>
        <w:spacing w:before="10"/>
        <w:rPr>
          <w:b/>
          <w:sz w:val="20"/>
        </w:rPr>
      </w:pPr>
    </w:p>
    <w:p>
      <w:pPr>
        <w:spacing w:before="0"/>
        <w:ind w:left="1240" w:right="0" w:firstLine="0"/>
        <w:jc w:val="left"/>
        <w:rPr>
          <w:b/>
          <w:sz w:val="18"/>
        </w:rPr>
      </w:pPr>
      <w:r>
        <w:rPr>
          <w:b/>
          <w:color w:val="231F20"/>
          <w:w w:val="110"/>
          <w:sz w:val="18"/>
        </w:rPr>
        <w:t>Paragraph 2(3)(B)</w:t>
      </w:r>
    </w:p>
    <w:p>
      <w:pPr>
        <w:pStyle w:val="BodyText"/>
        <w:spacing w:before="2"/>
        <w:rPr>
          <w:b/>
          <w:sz w:val="23"/>
        </w:rPr>
      </w:pPr>
    </w:p>
    <w:p>
      <w:pPr>
        <w:pStyle w:val="BodyText"/>
        <w:ind w:left="1240"/>
      </w:pPr>
      <w:r>
        <w:rPr>
          <w:color w:val="231F20"/>
          <w:w w:val="110"/>
        </w:rPr>
        <w:t>Replace the existing 2(3)(B) with the following:</w:t>
      </w:r>
    </w:p>
    <w:p>
      <w:pPr>
        <w:pStyle w:val="BodyText"/>
        <w:spacing w:before="1"/>
        <w:rPr>
          <w:sz w:val="23"/>
        </w:rPr>
      </w:pPr>
    </w:p>
    <w:p>
      <w:pPr>
        <w:spacing w:line="273" w:lineRule="auto" w:before="0"/>
        <w:ind w:left="1240" w:right="1365" w:firstLine="0"/>
        <w:jc w:val="left"/>
        <w:rPr>
          <w:b/>
          <w:sz w:val="18"/>
        </w:rPr>
      </w:pPr>
      <w:r>
        <w:rPr>
          <w:b/>
          <w:color w:val="231F20"/>
          <w:w w:val="110"/>
          <w:sz w:val="18"/>
        </w:rPr>
        <w:t>‘Once the Disciplinary Process has commenced in the case of any Minister, whether by the District Council or by one of the other Councils of the Church, the District Council shall not exercise its functions in respect of that Minister (save only in the provision of such pastoral care as may be appropriate) until the Process has been duly concluded.’</w:t>
      </w:r>
    </w:p>
    <w:p>
      <w:pPr>
        <w:pStyle w:val="BodyText"/>
        <w:spacing w:before="10"/>
        <w:rPr>
          <w:b/>
          <w:sz w:val="20"/>
        </w:rPr>
      </w:pPr>
    </w:p>
    <w:p>
      <w:pPr>
        <w:spacing w:before="1"/>
        <w:ind w:left="1240" w:right="0" w:firstLine="0"/>
        <w:jc w:val="left"/>
        <w:rPr>
          <w:b/>
          <w:sz w:val="18"/>
        </w:rPr>
      </w:pPr>
      <w:r>
        <w:rPr>
          <w:b/>
          <w:color w:val="231F20"/>
          <w:w w:val="110"/>
          <w:sz w:val="18"/>
        </w:rPr>
        <w:t>Paragraph 2(3)(C)</w:t>
      </w:r>
    </w:p>
    <w:p>
      <w:pPr>
        <w:pStyle w:val="BodyText"/>
        <w:spacing w:before="1"/>
        <w:rPr>
          <w:b/>
          <w:sz w:val="23"/>
        </w:rPr>
      </w:pPr>
    </w:p>
    <w:p>
      <w:pPr>
        <w:pStyle w:val="BodyText"/>
        <w:ind w:left="1240"/>
      </w:pPr>
      <w:r>
        <w:rPr>
          <w:color w:val="231F20"/>
          <w:w w:val="110"/>
        </w:rPr>
        <w:t>Replace the existing 2(3)(C) with the following:</w:t>
      </w:r>
    </w:p>
    <w:p>
      <w:pPr>
        <w:pStyle w:val="BodyText"/>
        <w:spacing w:before="2"/>
        <w:rPr>
          <w:sz w:val="23"/>
        </w:rPr>
      </w:pPr>
    </w:p>
    <w:p>
      <w:pPr>
        <w:spacing w:line="273" w:lineRule="auto" w:before="0"/>
        <w:ind w:left="1240" w:right="1593" w:firstLine="0"/>
        <w:jc w:val="left"/>
        <w:rPr>
          <w:b/>
          <w:sz w:val="18"/>
        </w:rPr>
      </w:pPr>
      <w:r>
        <w:rPr>
          <w:b/>
          <w:color w:val="231F20"/>
          <w:w w:val="110"/>
          <w:sz w:val="18"/>
        </w:rPr>
        <w:t>‘No appeal shall lie against the decision by a District Council to initiate the Disciplinary Process in respect of any Minister under Function (xviii) above.’</w:t>
      </w:r>
    </w:p>
    <w:p>
      <w:pPr>
        <w:pStyle w:val="BodyText"/>
        <w:spacing w:before="8"/>
        <w:rPr>
          <w:b/>
          <w:sz w:val="20"/>
        </w:rPr>
      </w:pPr>
    </w:p>
    <w:p>
      <w:pPr>
        <w:spacing w:before="0"/>
        <w:ind w:left="1240" w:right="0" w:firstLine="0"/>
        <w:jc w:val="left"/>
        <w:rPr>
          <w:b/>
          <w:sz w:val="18"/>
        </w:rPr>
      </w:pPr>
      <w:r>
        <w:rPr>
          <w:b/>
          <w:color w:val="231F20"/>
          <w:w w:val="110"/>
          <w:sz w:val="18"/>
        </w:rPr>
        <w:t>Paragraph 2(4)(A)(xiv)</w:t>
      </w:r>
    </w:p>
    <w:p>
      <w:pPr>
        <w:pStyle w:val="BodyText"/>
        <w:spacing w:before="2"/>
        <w:rPr>
          <w:b/>
          <w:sz w:val="23"/>
        </w:rPr>
      </w:pPr>
    </w:p>
    <w:p>
      <w:pPr>
        <w:pStyle w:val="BodyText"/>
        <w:ind w:left="1240"/>
      </w:pPr>
      <w:r>
        <w:rPr>
          <w:color w:val="231F20"/>
          <w:w w:val="110"/>
        </w:rPr>
        <w:t>Replace the existing 2(4)(A)(xiv) with the following:</w:t>
      </w:r>
    </w:p>
    <w:p>
      <w:pPr>
        <w:pStyle w:val="BodyText"/>
        <w:spacing w:before="2"/>
        <w:rPr>
          <w:sz w:val="23"/>
        </w:rPr>
      </w:pPr>
    </w:p>
    <w:p>
      <w:pPr>
        <w:spacing w:line="273" w:lineRule="auto" w:before="0"/>
        <w:ind w:left="1240" w:right="1365" w:firstLine="0"/>
        <w:jc w:val="left"/>
        <w:rPr>
          <w:b/>
          <w:sz w:val="18"/>
        </w:rPr>
      </w:pPr>
      <w:r>
        <w:rPr>
          <w:b/>
          <w:color w:val="231F20"/>
          <w:w w:val="110"/>
          <w:sz w:val="18"/>
        </w:rPr>
        <w:t>‘In the absence of any </w:t>
      </w:r>
      <w:r>
        <w:rPr>
          <w:b/>
          <w:color w:val="231F20"/>
          <w:spacing w:val="2"/>
          <w:w w:val="110"/>
          <w:sz w:val="18"/>
        </w:rPr>
        <w:t>reference </w:t>
      </w:r>
      <w:r>
        <w:rPr>
          <w:b/>
          <w:color w:val="231F20"/>
          <w:w w:val="110"/>
          <w:sz w:val="18"/>
        </w:rPr>
        <w:t>into the Disciplinary </w:t>
      </w:r>
      <w:r>
        <w:rPr>
          <w:b/>
          <w:color w:val="231F20"/>
          <w:spacing w:val="2"/>
          <w:w w:val="110"/>
          <w:sz w:val="18"/>
        </w:rPr>
        <w:t>Process </w:t>
      </w:r>
      <w:r>
        <w:rPr>
          <w:b/>
          <w:color w:val="231F20"/>
          <w:w w:val="110"/>
          <w:sz w:val="18"/>
        </w:rPr>
        <w:t>by the appropriate district council and where the Synod, acting through </w:t>
      </w:r>
      <w:r>
        <w:rPr>
          <w:b/>
          <w:color w:val="231F20"/>
          <w:spacing w:val="2"/>
          <w:w w:val="110"/>
          <w:sz w:val="18"/>
        </w:rPr>
        <w:t>its </w:t>
      </w:r>
      <w:r>
        <w:rPr>
          <w:b/>
          <w:color w:val="231F20"/>
          <w:w w:val="110"/>
          <w:sz w:val="18"/>
        </w:rPr>
        <w:t>Mandated Group as defined in the Disciplinary </w:t>
      </w:r>
      <w:r>
        <w:rPr>
          <w:b/>
          <w:color w:val="231F20"/>
          <w:spacing w:val="2"/>
          <w:w w:val="110"/>
          <w:sz w:val="18"/>
        </w:rPr>
        <w:t>Process referred </w:t>
      </w:r>
      <w:r>
        <w:rPr>
          <w:b/>
          <w:color w:val="231F20"/>
          <w:w w:val="110"/>
          <w:sz w:val="18"/>
        </w:rPr>
        <w:t>to below,</w:t>
      </w:r>
      <w:r>
        <w:rPr>
          <w:b/>
          <w:color w:val="231F20"/>
          <w:spacing w:val="63"/>
          <w:w w:val="110"/>
          <w:sz w:val="18"/>
        </w:rPr>
        <w:t> </w:t>
      </w:r>
      <w:r>
        <w:rPr>
          <w:b/>
          <w:color w:val="231F20"/>
          <w:w w:val="110"/>
          <w:sz w:val="18"/>
        </w:rPr>
        <w:t>considers</w:t>
      </w:r>
    </w:p>
    <w:p>
      <w:pPr>
        <w:spacing w:line="273" w:lineRule="auto" w:before="2"/>
        <w:ind w:left="1240" w:right="1583" w:firstLine="0"/>
        <w:jc w:val="left"/>
        <w:rPr>
          <w:b/>
          <w:sz w:val="18"/>
        </w:rPr>
      </w:pPr>
      <w:r>
        <w:rPr>
          <w:b/>
          <w:color w:val="231F20"/>
          <w:w w:val="110"/>
          <w:sz w:val="18"/>
        </w:rPr>
        <w:t>that a Minister is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w w:val="110"/>
          <w:sz w:val="18"/>
        </w:rPr>
        <w:t>of   that Minister to the Commission Stage of the Disciplinary </w:t>
      </w:r>
      <w:r>
        <w:rPr>
          <w:b/>
          <w:color w:val="231F20"/>
          <w:spacing w:val="2"/>
          <w:w w:val="110"/>
          <w:sz w:val="18"/>
        </w:rPr>
        <w:t>Process </w:t>
      </w:r>
      <w:r>
        <w:rPr>
          <w:b/>
          <w:color w:val="231F20"/>
          <w:w w:val="110"/>
          <w:sz w:val="18"/>
        </w:rPr>
        <w:t>contained  in </w:t>
      </w:r>
      <w:r>
        <w:rPr>
          <w:b/>
          <w:color w:val="231F20"/>
          <w:spacing w:val="2"/>
          <w:w w:val="110"/>
          <w:sz w:val="18"/>
        </w:rPr>
        <w:t>Section </w:t>
      </w:r>
      <w:r>
        <w:rPr>
          <w:b/>
          <w:color w:val="231F20"/>
          <w:w w:val="110"/>
          <w:sz w:val="18"/>
        </w:rPr>
        <w:t>O of the Manual of the United Reformed Church and in every such </w:t>
      </w:r>
      <w:r>
        <w:rPr>
          <w:b/>
          <w:color w:val="231F20"/>
          <w:spacing w:val="2"/>
          <w:w w:val="110"/>
          <w:sz w:val="18"/>
        </w:rPr>
        <w:t>case </w:t>
      </w:r>
      <w:r>
        <w:rPr>
          <w:b/>
          <w:color w:val="231F20"/>
          <w:w w:val="110"/>
          <w:sz w:val="18"/>
        </w:rPr>
        <w:t>to suspend the Minister </w:t>
      </w:r>
      <w:r>
        <w:rPr>
          <w:b/>
          <w:color w:val="231F20"/>
          <w:spacing w:val="2"/>
          <w:w w:val="110"/>
          <w:sz w:val="18"/>
        </w:rPr>
        <w:t>concerned </w:t>
      </w:r>
      <w:r>
        <w:rPr>
          <w:b/>
          <w:color w:val="231F20"/>
          <w:w w:val="110"/>
          <w:sz w:val="18"/>
        </w:rPr>
        <w:t>pending the </w:t>
      </w:r>
      <w:r>
        <w:rPr>
          <w:b/>
          <w:color w:val="231F20"/>
          <w:spacing w:val="2"/>
          <w:w w:val="110"/>
          <w:sz w:val="18"/>
        </w:rPr>
        <w:t>resolution </w:t>
      </w:r>
      <w:r>
        <w:rPr>
          <w:b/>
          <w:color w:val="231F20"/>
          <w:w w:val="110"/>
          <w:sz w:val="18"/>
        </w:rPr>
        <w:t>of the </w:t>
      </w:r>
      <w:r>
        <w:rPr>
          <w:b/>
          <w:color w:val="231F20"/>
          <w:spacing w:val="2"/>
          <w:w w:val="110"/>
          <w:sz w:val="18"/>
        </w:rPr>
        <w:t>matter </w:t>
      </w:r>
      <w:r>
        <w:rPr>
          <w:b/>
          <w:color w:val="231F20"/>
          <w:w w:val="110"/>
          <w:sz w:val="18"/>
        </w:rPr>
        <w:t>under that </w:t>
      </w:r>
      <w:r>
        <w:rPr>
          <w:b/>
          <w:color w:val="231F20"/>
          <w:spacing w:val="2"/>
          <w:w w:val="110"/>
          <w:sz w:val="18"/>
        </w:rPr>
        <w:t>Process </w:t>
      </w:r>
      <w:r>
        <w:rPr>
          <w:b/>
          <w:color w:val="231F20"/>
          <w:spacing w:val="-3"/>
          <w:w w:val="110"/>
          <w:sz w:val="18"/>
        </w:rPr>
        <w:t>(for </w:t>
      </w:r>
      <w:r>
        <w:rPr>
          <w:b/>
          <w:color w:val="231F20"/>
          <w:w w:val="110"/>
          <w:sz w:val="18"/>
        </w:rPr>
        <w:t>the avoidance of doubt the calling in of the Mandated Group under that </w:t>
      </w:r>
      <w:r>
        <w:rPr>
          <w:b/>
          <w:color w:val="231F20"/>
          <w:spacing w:val="2"/>
          <w:w w:val="110"/>
          <w:sz w:val="18"/>
        </w:rPr>
        <w:t>Process </w:t>
      </w:r>
      <w:r>
        <w:rPr>
          <w:b/>
          <w:color w:val="231F20"/>
          <w:w w:val="110"/>
          <w:sz w:val="18"/>
        </w:rPr>
        <w:t>in order to fulfil </w:t>
      </w:r>
      <w:r>
        <w:rPr>
          <w:b/>
          <w:color w:val="231F20"/>
          <w:spacing w:val="2"/>
          <w:w w:val="110"/>
          <w:sz w:val="18"/>
        </w:rPr>
        <w:t>its </w:t>
      </w:r>
      <w:r>
        <w:rPr>
          <w:b/>
          <w:color w:val="231F20"/>
          <w:w w:val="110"/>
          <w:sz w:val="18"/>
        </w:rPr>
        <w:t>responsibilities marking the commencement of the Disciplinary</w:t>
      </w:r>
      <w:r>
        <w:rPr>
          <w:b/>
          <w:color w:val="231F20"/>
          <w:spacing w:val="5"/>
          <w:w w:val="110"/>
          <w:sz w:val="18"/>
        </w:rPr>
        <w:t> </w:t>
      </w:r>
      <w:r>
        <w:rPr>
          <w:b/>
          <w:color w:val="231F20"/>
          <w:w w:val="110"/>
          <w:sz w:val="18"/>
        </w:rPr>
        <w:t>Process).’</w:t>
      </w:r>
    </w:p>
    <w:p>
      <w:pPr>
        <w:spacing w:after="0" w:line="273" w:lineRule="auto"/>
        <w:jc w:val="left"/>
        <w:rPr>
          <w:sz w:val="18"/>
        </w:rPr>
        <w:sectPr>
          <w:type w:val="continuous"/>
          <w:pgSz w:w="11910" w:h="16840"/>
          <w:pgMar w:top="680" w:bottom="280" w:left="460" w:right="0"/>
        </w:sectPr>
      </w:pPr>
    </w:p>
    <w:p>
      <w:pPr>
        <w:pStyle w:val="BodyText"/>
        <w:rPr>
          <w:b/>
          <w:sz w:val="20"/>
        </w:rPr>
      </w:pPr>
      <w:r>
        <w:rPr/>
        <w:pict>
          <v:group style="position:absolute;margin-left:23.811001pt;margin-top:48.614014pt;width:514.8pt;height:689.35pt;mso-position-horizontal-relative:page;mso-position-vertical-relative:page;z-index:-275556352" coordorigin="476,972" coordsize="10296,13787">
            <v:shape style="position:absolute;left:823;top:1127;width:9872;height:13603" coordorigin="824,1127" coordsize="9872,13603" path="m824,14489l827,14628,854,14699,925,14725,1064,14729,10455,14729,10594,14725,10665,14699,10691,14628,10695,14489,10695,1367,10691,1228,10665,1157,10594,1131,10455,1127,1064,1127,925,1131,854,1157,827,1228,824,1367,824,14489xe" filled="false" stroked="true" strokeweight="3pt" strokecolor="#000000">
              <v:path arrowok="t"/>
              <v:stroke dashstyle="solid"/>
            </v:shape>
            <v:rect style="position:absolute;left:476;top:972;width:10296;height:394" filled="true" fillcolor="#ffffff" stroked="false">
              <v:fill type="solid"/>
            </v:rect>
            <w10:wrap type="none"/>
          </v:group>
        </w:pict>
      </w:r>
    </w:p>
    <w:p>
      <w:pPr>
        <w:pStyle w:val="BodyText"/>
        <w:spacing w:before="8"/>
        <w:rPr>
          <w:b/>
          <w:sz w:val="20"/>
        </w:rPr>
      </w:pPr>
    </w:p>
    <w:p>
      <w:pPr>
        <w:spacing w:before="0"/>
        <w:ind w:left="673" w:right="0" w:firstLine="0"/>
        <w:jc w:val="left"/>
        <w:rPr>
          <w:b/>
          <w:sz w:val="18"/>
        </w:rPr>
      </w:pPr>
      <w:r>
        <w:rPr>
          <w:b/>
          <w:color w:val="231F20"/>
          <w:w w:val="110"/>
          <w:sz w:val="18"/>
        </w:rPr>
        <w:t>Paragraph 2(4)(B)</w:t>
      </w:r>
    </w:p>
    <w:p>
      <w:pPr>
        <w:pStyle w:val="BodyText"/>
        <w:spacing w:before="2"/>
        <w:rPr>
          <w:b/>
          <w:sz w:val="23"/>
        </w:rPr>
      </w:pPr>
    </w:p>
    <w:p>
      <w:pPr>
        <w:pStyle w:val="BodyText"/>
        <w:ind w:left="673"/>
      </w:pPr>
      <w:r>
        <w:rPr>
          <w:color w:val="231F20"/>
          <w:w w:val="110"/>
        </w:rPr>
        <w:t>Replace the existing 2(4)(B) with the following:</w:t>
      </w:r>
    </w:p>
    <w:p>
      <w:pPr>
        <w:pStyle w:val="BodyText"/>
        <w:spacing w:before="1"/>
        <w:rPr>
          <w:sz w:val="23"/>
        </w:rPr>
      </w:pPr>
    </w:p>
    <w:p>
      <w:pPr>
        <w:spacing w:line="273" w:lineRule="auto" w:before="1"/>
        <w:ind w:left="673" w:right="1829" w:firstLine="0"/>
        <w:jc w:val="left"/>
        <w:rPr>
          <w:b/>
          <w:sz w:val="18"/>
        </w:rPr>
      </w:pPr>
      <w:r>
        <w:rPr>
          <w:b/>
          <w:color w:val="231F20"/>
          <w:w w:val="110"/>
          <w:sz w:val="18"/>
        </w:rPr>
        <w:t>‘Once the Disciplinary Process has commenced in the case of any Minister with the calling in of the Mandated Group under that Process, whether by the Synod or by one of the other Councils of the church, the synod shall not exercise its functions in respect of that Minister (save only in the provision of such pastoral care as may be appropriate) until the Process has been duly concluded.’</w:t>
      </w:r>
    </w:p>
    <w:p>
      <w:pPr>
        <w:pStyle w:val="BodyText"/>
        <w:spacing w:before="10"/>
        <w:rPr>
          <w:b/>
          <w:sz w:val="20"/>
        </w:rPr>
      </w:pPr>
    </w:p>
    <w:p>
      <w:pPr>
        <w:spacing w:before="0"/>
        <w:ind w:left="673" w:right="0" w:firstLine="0"/>
        <w:jc w:val="left"/>
        <w:rPr>
          <w:b/>
          <w:sz w:val="18"/>
        </w:rPr>
      </w:pPr>
      <w:r>
        <w:rPr>
          <w:b/>
          <w:color w:val="231F20"/>
          <w:w w:val="110"/>
          <w:sz w:val="18"/>
        </w:rPr>
        <w:t>Paragraph 2(4)(C)</w:t>
      </w:r>
    </w:p>
    <w:p>
      <w:pPr>
        <w:pStyle w:val="BodyText"/>
        <w:spacing w:before="1"/>
        <w:rPr>
          <w:b/>
          <w:sz w:val="23"/>
        </w:rPr>
      </w:pPr>
    </w:p>
    <w:p>
      <w:pPr>
        <w:pStyle w:val="BodyText"/>
        <w:ind w:left="673"/>
      </w:pPr>
      <w:r>
        <w:rPr>
          <w:color w:val="231F20"/>
          <w:w w:val="110"/>
        </w:rPr>
        <w:t>Replace the existing 2(4)(C) with the following:</w:t>
      </w:r>
    </w:p>
    <w:p>
      <w:pPr>
        <w:pStyle w:val="BodyText"/>
        <w:spacing w:before="2"/>
        <w:rPr>
          <w:sz w:val="23"/>
        </w:rPr>
      </w:pPr>
    </w:p>
    <w:p>
      <w:pPr>
        <w:spacing w:line="273" w:lineRule="auto" w:before="0"/>
        <w:ind w:left="673" w:right="1593" w:firstLine="0"/>
        <w:jc w:val="left"/>
        <w:rPr>
          <w:b/>
          <w:sz w:val="18"/>
        </w:rPr>
      </w:pPr>
      <w:r>
        <w:rPr>
          <w:b/>
          <w:color w:val="231F20"/>
          <w:w w:val="110"/>
          <w:sz w:val="18"/>
        </w:rPr>
        <w:t>‘No appeal shall lie against the decision by a Synod to initiate the Disciplinary Process in respect of any Minister under Function (xiv) above.’</w:t>
      </w:r>
    </w:p>
    <w:p>
      <w:pPr>
        <w:pStyle w:val="BodyText"/>
        <w:spacing w:before="8"/>
        <w:rPr>
          <w:b/>
          <w:sz w:val="20"/>
        </w:rPr>
      </w:pPr>
    </w:p>
    <w:p>
      <w:pPr>
        <w:spacing w:before="0"/>
        <w:ind w:left="673" w:right="0" w:firstLine="0"/>
        <w:jc w:val="left"/>
        <w:rPr>
          <w:b/>
          <w:sz w:val="18"/>
        </w:rPr>
      </w:pPr>
      <w:r>
        <w:rPr>
          <w:b/>
          <w:color w:val="231F20"/>
          <w:w w:val="110"/>
          <w:sz w:val="18"/>
        </w:rPr>
        <w:t>Paragraph 2(5)(A)(xxii)</w:t>
      </w:r>
    </w:p>
    <w:p>
      <w:pPr>
        <w:pStyle w:val="BodyText"/>
        <w:spacing w:before="2"/>
        <w:rPr>
          <w:b/>
          <w:sz w:val="23"/>
        </w:rPr>
      </w:pPr>
    </w:p>
    <w:p>
      <w:pPr>
        <w:pStyle w:val="BodyText"/>
        <w:ind w:left="673"/>
      </w:pPr>
      <w:r>
        <w:rPr>
          <w:color w:val="231F20"/>
          <w:w w:val="110"/>
        </w:rPr>
        <w:t>Replace the existing 2(5)(A)(xxii) with the following:</w:t>
      </w:r>
    </w:p>
    <w:p>
      <w:pPr>
        <w:pStyle w:val="BodyText"/>
        <w:spacing w:before="2"/>
        <w:rPr>
          <w:sz w:val="23"/>
        </w:rPr>
      </w:pPr>
    </w:p>
    <w:p>
      <w:pPr>
        <w:spacing w:line="273" w:lineRule="auto" w:before="0"/>
        <w:ind w:left="673" w:right="1593" w:firstLine="0"/>
        <w:jc w:val="left"/>
        <w:rPr>
          <w:b/>
          <w:sz w:val="18"/>
        </w:rPr>
      </w:pPr>
      <w:r>
        <w:rPr>
          <w:b/>
          <w:color w:val="231F20"/>
          <w:w w:val="110"/>
          <w:sz w:val="18"/>
        </w:rPr>
        <w:t>‘To provide for the setting up of an Appeals Commission in accordance with the Ministerial Disciplinary Process for the hearing of appeals under that Process.’</w:t>
      </w:r>
    </w:p>
    <w:p>
      <w:pPr>
        <w:pStyle w:val="BodyText"/>
        <w:spacing w:before="8"/>
        <w:rPr>
          <w:b/>
          <w:sz w:val="20"/>
        </w:rPr>
      </w:pPr>
    </w:p>
    <w:p>
      <w:pPr>
        <w:spacing w:before="0"/>
        <w:ind w:left="673" w:right="0" w:firstLine="0"/>
        <w:jc w:val="left"/>
        <w:rPr>
          <w:b/>
          <w:sz w:val="18"/>
        </w:rPr>
      </w:pPr>
      <w:r>
        <w:rPr>
          <w:b/>
          <w:color w:val="231F20"/>
          <w:w w:val="110"/>
          <w:sz w:val="18"/>
        </w:rPr>
        <w:t>Paragraph 2(5)(A)(xxiii)</w:t>
      </w:r>
    </w:p>
    <w:p>
      <w:pPr>
        <w:pStyle w:val="BodyText"/>
        <w:spacing w:before="2"/>
        <w:rPr>
          <w:b/>
          <w:sz w:val="23"/>
        </w:rPr>
      </w:pPr>
    </w:p>
    <w:p>
      <w:pPr>
        <w:pStyle w:val="BodyText"/>
        <w:ind w:left="673"/>
      </w:pPr>
      <w:r>
        <w:rPr>
          <w:color w:val="231F20"/>
          <w:w w:val="110"/>
        </w:rPr>
        <w:t>Replace the existing 2(5)(A)(xxiii) with the following:</w:t>
      </w:r>
    </w:p>
    <w:p>
      <w:pPr>
        <w:pStyle w:val="BodyText"/>
        <w:spacing w:before="1"/>
        <w:rPr>
          <w:sz w:val="23"/>
        </w:rPr>
      </w:pPr>
    </w:p>
    <w:p>
      <w:pPr>
        <w:spacing w:line="273" w:lineRule="auto" w:before="1"/>
        <w:ind w:left="673" w:right="1708" w:firstLine="0"/>
        <w:jc w:val="left"/>
        <w:rPr>
          <w:b/>
          <w:sz w:val="18"/>
        </w:rPr>
      </w:pPr>
      <w:r>
        <w:rPr>
          <w:b/>
          <w:color w:val="231F20"/>
          <w:spacing w:val="-2"/>
          <w:w w:val="110"/>
          <w:sz w:val="18"/>
        </w:rPr>
        <w:t>‘In </w:t>
      </w:r>
      <w:r>
        <w:rPr>
          <w:b/>
          <w:color w:val="231F20"/>
          <w:w w:val="110"/>
          <w:sz w:val="18"/>
        </w:rPr>
        <w:t>the absence of </w:t>
      </w:r>
      <w:r>
        <w:rPr>
          <w:b/>
          <w:color w:val="231F20"/>
          <w:spacing w:val="-3"/>
          <w:w w:val="110"/>
          <w:sz w:val="18"/>
        </w:rPr>
        <w:t>any </w:t>
      </w:r>
      <w:r>
        <w:rPr>
          <w:b/>
          <w:color w:val="231F20"/>
          <w:w w:val="110"/>
          <w:sz w:val="18"/>
        </w:rPr>
        <w:t>reference into the Disciplinary Process by the appropriate District Council or Synod </w:t>
      </w:r>
      <w:r>
        <w:rPr>
          <w:b/>
          <w:color w:val="231F20"/>
          <w:spacing w:val="-3"/>
          <w:w w:val="110"/>
          <w:sz w:val="18"/>
        </w:rPr>
        <w:t>(the </w:t>
      </w:r>
      <w:r>
        <w:rPr>
          <w:b/>
          <w:color w:val="231F20"/>
          <w:w w:val="110"/>
          <w:sz w:val="18"/>
        </w:rPr>
        <w:t>case of </w:t>
      </w:r>
      <w:r>
        <w:rPr>
          <w:b/>
          <w:color w:val="231F20"/>
          <w:spacing w:val="-3"/>
          <w:w w:val="110"/>
          <w:sz w:val="18"/>
        </w:rPr>
        <w:t>any </w:t>
      </w:r>
      <w:r>
        <w:rPr>
          <w:b/>
          <w:color w:val="231F20"/>
          <w:w w:val="110"/>
          <w:sz w:val="18"/>
        </w:rPr>
        <w:t>Minister who is a Moderator of Synod being necessarily dealt with under this </w:t>
      </w:r>
      <w:r>
        <w:rPr>
          <w:b/>
          <w:color w:val="231F20"/>
          <w:spacing w:val="-3"/>
          <w:w w:val="110"/>
          <w:sz w:val="18"/>
        </w:rPr>
        <w:t>provision) </w:t>
      </w:r>
      <w:r>
        <w:rPr>
          <w:b/>
          <w:color w:val="231F20"/>
          <w:w w:val="110"/>
          <w:sz w:val="18"/>
        </w:rPr>
        <w:t>and where the General Assembly </w:t>
      </w:r>
      <w:r>
        <w:rPr>
          <w:b/>
          <w:color w:val="231F20"/>
          <w:spacing w:val="-7"/>
          <w:w w:val="110"/>
          <w:sz w:val="18"/>
        </w:rPr>
        <w:t>(or </w:t>
      </w:r>
      <w:r>
        <w:rPr>
          <w:b/>
          <w:color w:val="231F20"/>
          <w:w w:val="110"/>
          <w:sz w:val="18"/>
        </w:rPr>
        <w:t>Mission Council on its behalf) acting through its Mandated Group  as defined in the Disciplinary Process referred to below considers that a Minister is or may not be exercising </w:t>
      </w:r>
      <w:r>
        <w:rPr>
          <w:b/>
          <w:color w:val="231F20"/>
          <w:spacing w:val="-3"/>
          <w:w w:val="110"/>
          <w:sz w:val="18"/>
        </w:rPr>
        <w:t>his/her </w:t>
      </w:r>
      <w:r>
        <w:rPr>
          <w:b/>
          <w:color w:val="231F20"/>
          <w:w w:val="110"/>
          <w:sz w:val="18"/>
        </w:rPr>
        <w:t>Ministry in accordance with Paragraph</w:t>
      </w:r>
      <w:r>
        <w:rPr>
          <w:b/>
          <w:color w:val="231F20"/>
          <w:spacing w:val="-17"/>
          <w:w w:val="110"/>
          <w:sz w:val="18"/>
        </w:rPr>
        <w:t> </w:t>
      </w:r>
      <w:r>
        <w:rPr>
          <w:b/>
          <w:color w:val="231F20"/>
          <w:w w:val="110"/>
          <w:sz w:val="18"/>
        </w:rPr>
        <w:t>2</w:t>
      </w:r>
    </w:p>
    <w:p>
      <w:pPr>
        <w:spacing w:line="273" w:lineRule="auto" w:before="3"/>
        <w:ind w:left="673" w:right="1957" w:firstLine="0"/>
        <w:jc w:val="left"/>
        <w:rPr>
          <w:b/>
          <w:sz w:val="18"/>
        </w:rPr>
      </w:pPr>
      <w:r>
        <w:rPr>
          <w:b/>
          <w:color w:val="231F20"/>
          <w:w w:val="110"/>
          <w:sz w:val="18"/>
        </w:rPr>
        <w:t>of Schedule E to the Basis of Union, to refer the case of that minister to the Commission Stage of the Disciplinary Process contained in Section O of the Manual of the United Reformed Church and in every such case to suspend the minister concerned pending the resolution of the matter under that Process (for the avoidance of doubt the calling in of the Mandated Group under that Process in order to fulfil its responsibilities marking the commencement of the Disciplinary Process).’</w:t>
      </w:r>
    </w:p>
    <w:p>
      <w:pPr>
        <w:pStyle w:val="BodyText"/>
        <w:rPr>
          <w:b/>
          <w:sz w:val="21"/>
        </w:rPr>
      </w:pPr>
    </w:p>
    <w:p>
      <w:pPr>
        <w:spacing w:before="0"/>
        <w:ind w:left="673" w:right="0" w:firstLine="0"/>
        <w:jc w:val="left"/>
        <w:rPr>
          <w:b/>
          <w:sz w:val="18"/>
        </w:rPr>
      </w:pPr>
      <w:r>
        <w:rPr>
          <w:b/>
          <w:color w:val="231F20"/>
          <w:w w:val="110"/>
          <w:sz w:val="18"/>
        </w:rPr>
        <w:t>Paragraph 2(5)(B)</w:t>
      </w:r>
    </w:p>
    <w:p>
      <w:pPr>
        <w:pStyle w:val="BodyText"/>
        <w:spacing w:before="1"/>
        <w:rPr>
          <w:b/>
          <w:sz w:val="23"/>
        </w:rPr>
      </w:pPr>
    </w:p>
    <w:p>
      <w:pPr>
        <w:pStyle w:val="BodyText"/>
        <w:spacing w:line="273" w:lineRule="auto"/>
        <w:ind w:left="673" w:right="2348"/>
      </w:pPr>
      <w:r>
        <w:rPr>
          <w:color w:val="231F20"/>
          <w:w w:val="110"/>
        </w:rPr>
        <w:t>Replace the existing unnumbered paragraph immediately following the functions of General Assembly with the following paragraph to be numbered</w:t>
      </w:r>
      <w:r>
        <w:rPr>
          <w:color w:val="231F20"/>
          <w:spacing w:val="52"/>
          <w:w w:val="110"/>
        </w:rPr>
        <w:t> </w:t>
      </w:r>
      <w:r>
        <w:rPr>
          <w:color w:val="231F20"/>
          <w:spacing w:val="-6"/>
          <w:w w:val="110"/>
        </w:rPr>
        <w:t>2(5)(B):</w:t>
      </w:r>
    </w:p>
    <w:p>
      <w:pPr>
        <w:pStyle w:val="BodyText"/>
        <w:spacing w:before="8"/>
        <w:rPr>
          <w:sz w:val="20"/>
        </w:rPr>
      </w:pPr>
    </w:p>
    <w:p>
      <w:pPr>
        <w:spacing w:line="273" w:lineRule="auto" w:before="1"/>
        <w:ind w:left="673" w:right="1718" w:firstLine="0"/>
        <w:jc w:val="left"/>
        <w:rPr>
          <w:b/>
          <w:sz w:val="18"/>
        </w:rPr>
      </w:pPr>
      <w:r>
        <w:rPr>
          <w:b/>
          <w:color w:val="231F20"/>
          <w:w w:val="110"/>
          <w:sz w:val="18"/>
        </w:rPr>
        <w:t>‘Once the Disciplinary Process has commenced in the case of any Minister, whether by the General Assembly or by one of the other Councils of the Church, the General Assembly shall not exercise its functions in respect of that Minister (save only in the provision of such pastoral care as may be appropriate) until the Process has been duly concluded.’</w:t>
      </w:r>
    </w:p>
    <w:p>
      <w:pPr>
        <w:spacing w:after="0" w:line="273" w:lineRule="auto"/>
        <w:jc w:val="left"/>
        <w:rPr>
          <w:sz w:val="18"/>
        </w:rPr>
        <w:sectPr>
          <w:pgSz w:w="11910" w:h="16840"/>
          <w:pgMar w:header="581" w:footer="464" w:top="860" w:bottom="740" w:left="460" w:right="0"/>
        </w:sectPr>
      </w:pPr>
    </w:p>
    <w:p>
      <w:pPr>
        <w:pStyle w:val="BodyText"/>
        <w:spacing w:before="2"/>
        <w:rPr>
          <w:b/>
          <w:sz w:val="10"/>
        </w:rPr>
      </w:pPr>
    </w:p>
    <w:p>
      <w:pPr>
        <w:spacing w:after="0"/>
        <w:rPr>
          <w:sz w:val="10"/>
        </w:rPr>
        <w:sectPr>
          <w:pgSz w:w="11910" w:h="16840"/>
          <w:pgMar w:header="581" w:footer="544" w:top="860" w:bottom="740" w:left="460" w:right="0"/>
        </w:sectPr>
      </w:pPr>
    </w:p>
    <w:p>
      <w:pPr>
        <w:spacing w:before="102"/>
        <w:ind w:left="1326" w:right="0" w:firstLine="0"/>
        <w:jc w:val="left"/>
        <w:rPr>
          <w:b/>
          <w:sz w:val="50"/>
        </w:rPr>
      </w:pPr>
      <w:r>
        <w:rPr/>
        <w:pict>
          <v:group style="position:absolute;margin-left:68.495590pt;margin-top:7.443323pt;width:496.6pt;height:110.6pt;mso-position-horizontal-relative:page;mso-position-vertical-relative:paragraph;z-index:-275554304" coordorigin="1370,149" coordsize="9932,2212">
            <v:shape style="position:absolute;left:1672;top:212;width:4016;height:632" coordorigin="1673,213" coordsize="4016,632" path="m5689,541l1831,541,1831,213,1673,213,1673,541,1673,845,5689,845,5689,541e" filled="true" fillcolor="#d8dadc" stroked="false">
              <v:path arrowok="t"/>
              <v:fill type="solid"/>
            </v:shape>
            <v:line style="position:absolute" from="1673,207" to="5689,207" stroked="true" strokeweight=".6pt" strokecolor="#d8dadc">
              <v:stroke dashstyle="solid"/>
            </v:line>
            <v:shape style="position:absolute;left:1830;top:213;width:3858;height:328" coordorigin="1831,214" coordsize="3858,328" path="m5689,214l5273,214,1831,214,1831,541,5273,541,5689,541,5689,214e" filled="true" fillcolor="#d8dadc" stroked="false">
              <v:path arrowok="t"/>
              <v:fill type="solid"/>
            </v:shape>
            <v:shape style="position:absolute;left:1369;top:148;width:9932;height:2212" type="#_x0000_t75" stroked="false">
              <v:imagedata r:id="rId71" o:title=""/>
            </v:shape>
            <w10:wrap type="none"/>
          </v:group>
        </w:pict>
      </w: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193"/>
          <w:w w:val="111"/>
          <w:sz w:val="43"/>
        </w:rPr>
        <w:t>O</w:t>
      </w:r>
      <w:r>
        <w:rPr>
          <w:b/>
          <w:color w:val="231F20"/>
          <w:spacing w:val="-210"/>
          <w:w w:val="112"/>
          <w:position w:val="-23"/>
          <w:sz w:val="50"/>
        </w:rPr>
        <w:t>1</w:t>
      </w:r>
      <w:r>
        <w:rPr>
          <w:b/>
          <w:color w:val="FFFFFF"/>
          <w:spacing w:val="-236"/>
          <w:w w:val="111"/>
          <w:sz w:val="43"/>
        </w:rPr>
        <w:t>N</w:t>
      </w:r>
      <w:r>
        <w:rPr>
          <w:b/>
          <w:color w:val="231F20"/>
          <w:w w:val="112"/>
          <w:position w:val="-23"/>
          <w:sz w:val="50"/>
        </w:rPr>
        <w:t>1</w:t>
      </w:r>
    </w:p>
    <w:p>
      <w:pPr>
        <w:pStyle w:val="BodyText"/>
        <w:rPr>
          <w:b/>
          <w:sz w:val="24"/>
        </w:rPr>
      </w:pPr>
      <w:r>
        <w:rPr/>
        <w:br w:type="column"/>
      </w:r>
      <w:r>
        <w:rPr>
          <w:b/>
          <w:sz w:val="24"/>
        </w:rPr>
      </w:r>
    </w:p>
    <w:p>
      <w:pPr>
        <w:pStyle w:val="BodyText"/>
        <w:spacing w:before="10"/>
        <w:rPr>
          <w:b/>
          <w:sz w:val="22"/>
        </w:rPr>
      </w:pPr>
    </w:p>
    <w:p>
      <w:pPr>
        <w:spacing w:before="0"/>
        <w:ind w:left="0" w:right="999" w:firstLine="0"/>
        <w:jc w:val="right"/>
        <w:rPr>
          <w:b/>
          <w:sz w:val="20"/>
        </w:rPr>
      </w:pPr>
      <w:r>
        <w:rPr>
          <w:b/>
          <w:color w:val="231F20"/>
          <w:w w:val="110"/>
          <w:sz w:val="20"/>
        </w:rPr>
        <w:t>Section O: Replacement</w:t>
      </w:r>
      <w:r>
        <w:rPr>
          <w:b/>
          <w:color w:val="231F20"/>
          <w:spacing w:val="18"/>
          <w:w w:val="110"/>
          <w:sz w:val="20"/>
        </w:rPr>
        <w:t> </w:t>
      </w:r>
      <w:r>
        <w:rPr>
          <w:b/>
          <w:color w:val="231F20"/>
          <w:w w:val="110"/>
          <w:sz w:val="20"/>
        </w:rPr>
        <w:t>of</w:t>
      </w:r>
    </w:p>
    <w:p>
      <w:pPr>
        <w:spacing w:before="7"/>
        <w:ind w:left="0" w:right="999" w:firstLine="0"/>
        <w:jc w:val="right"/>
        <w:rPr>
          <w:b/>
          <w:sz w:val="20"/>
        </w:rPr>
      </w:pPr>
      <w:r>
        <w:rPr>
          <w:b/>
          <w:color w:val="231F20"/>
          <w:w w:val="110"/>
          <w:sz w:val="20"/>
        </w:rPr>
        <w:t>existing Part</w:t>
      </w:r>
      <w:r>
        <w:rPr>
          <w:b/>
          <w:color w:val="231F20"/>
          <w:spacing w:val="13"/>
          <w:w w:val="110"/>
          <w:sz w:val="20"/>
        </w:rPr>
        <w:t> </w:t>
      </w:r>
      <w:r>
        <w:rPr>
          <w:b/>
          <w:color w:val="231F20"/>
          <w:w w:val="110"/>
          <w:sz w:val="20"/>
        </w:rPr>
        <w:t>II</w:t>
      </w:r>
    </w:p>
    <w:p>
      <w:pPr>
        <w:spacing w:before="27"/>
        <w:ind w:left="0" w:right="1000" w:firstLine="0"/>
        <w:jc w:val="right"/>
        <w:rPr>
          <w:i/>
          <w:sz w:val="18"/>
        </w:rPr>
      </w:pPr>
      <w:r>
        <w:rPr>
          <w:i/>
          <w:color w:val="231F20"/>
          <w:w w:val="110"/>
          <w:sz w:val="18"/>
        </w:rPr>
        <w:t>(Report page 52 para </w:t>
      </w:r>
      <w:r>
        <w:rPr>
          <w:i/>
          <w:color w:val="231F20"/>
          <w:spacing w:val="-4"/>
          <w:w w:val="110"/>
          <w:sz w:val="18"/>
        </w:rPr>
        <w:t>6.3.10 </w:t>
      </w:r>
      <w:r>
        <w:rPr>
          <w:i/>
          <w:color w:val="231F20"/>
          <w:w w:val="110"/>
          <w:sz w:val="18"/>
        </w:rPr>
        <w:t>and Document  </w:t>
      </w:r>
      <w:r>
        <w:rPr>
          <w:i/>
          <w:color w:val="231F20"/>
          <w:spacing w:val="-7"/>
          <w:w w:val="110"/>
          <w:sz w:val="18"/>
        </w:rPr>
        <w:t>4)</w:t>
      </w:r>
    </w:p>
    <w:p>
      <w:pPr>
        <w:spacing w:after="0"/>
        <w:jc w:val="right"/>
        <w:rPr>
          <w:sz w:val="18"/>
        </w:rPr>
        <w:sectPr>
          <w:type w:val="continuous"/>
          <w:pgSz w:w="11910" w:h="16840"/>
          <w:pgMar w:top="680" w:bottom="280" w:left="460" w:right="0"/>
          <w:cols w:num="2" w:equalWidth="0">
            <w:col w:w="5021" w:space="40"/>
            <w:col w:w="6389"/>
          </w:cols>
        </w:sectPr>
      </w:pPr>
    </w:p>
    <w:p>
      <w:pPr>
        <w:pStyle w:val="BodyText"/>
        <w:spacing w:before="11"/>
        <w:rPr>
          <w:i/>
          <w:sz w:val="14"/>
        </w:rPr>
      </w:pPr>
    </w:p>
    <w:p>
      <w:pPr>
        <w:pStyle w:val="BodyText"/>
        <w:spacing w:line="273" w:lineRule="auto" w:before="100"/>
        <w:ind w:left="1240" w:right="1593"/>
      </w:pPr>
      <w:r>
        <w:rPr>
          <w:color w:val="231F20"/>
          <w:w w:val="110"/>
        </w:rPr>
        <w:t>General Assembly agrees to replace the existing Part II of the Section O Process for Ministerial Discipline with that included as Document 4 in the Section O Papers.</w:t>
      </w:r>
    </w:p>
    <w:p>
      <w:pPr>
        <w:pStyle w:val="BodyText"/>
        <w:rPr>
          <w:sz w:val="20"/>
        </w:rPr>
      </w:pPr>
    </w:p>
    <w:p>
      <w:pPr>
        <w:pStyle w:val="BodyText"/>
        <w:rPr>
          <w:sz w:val="20"/>
        </w:rPr>
      </w:pPr>
    </w:p>
    <w:p>
      <w:pPr>
        <w:spacing w:after="0"/>
        <w:rPr>
          <w:sz w:val="20"/>
        </w:rPr>
        <w:sectPr>
          <w:type w:val="continuous"/>
          <w:pgSz w:w="11910" w:h="16840"/>
          <w:pgMar w:top="680" w:bottom="280" w:left="460" w:right="0"/>
        </w:sectPr>
      </w:pPr>
    </w:p>
    <w:p>
      <w:pPr>
        <w:pStyle w:val="Heading5"/>
        <w:spacing w:before="277"/>
        <w:ind w:left="1316"/>
        <w:rPr>
          <w:sz w:val="50"/>
        </w:rPr>
      </w:pPr>
      <w:r>
        <w:rPr/>
        <w:pict>
          <v:group style="position:absolute;margin-left:35.150002pt;margin-top:16.193052pt;width:529.450pt;height:597.3pt;mso-position-horizontal-relative:page;mso-position-vertical-relative:paragraph;z-index:-275555328" coordorigin="703,324" coordsize="10589,11946">
            <v:shape style="position:absolute;left:1663;top:388;width:4016;height:630" coordorigin="1664,388" coordsize="4016,630" path="m5679,716l1822,716,1822,388,1664,388,1664,716,1664,1018,5679,1018,5679,716e" filled="true" fillcolor="#d8dadc" stroked="false">
              <v:path arrowok="t"/>
              <v:fill type="solid"/>
            </v:shape>
            <v:line style="position:absolute" from="1664,382" to="5679,382" stroked="true" strokeweight=".6pt" strokecolor="#d8dadc">
              <v:stroke dashstyle="solid"/>
            </v:line>
            <v:shape style="position:absolute;left:1821;top:388;width:3858;height:328" coordorigin="1822,389" coordsize="3858,328" path="m5679,389l5264,389,1822,389,1822,716,5264,716,5679,716,5679,389e" filled="true" fillcolor="#d8dadc" stroked="false">
              <v:path arrowok="t"/>
              <v:fill type="solid"/>
            </v:shape>
            <v:shape style="position:absolute;left:1360;top:323;width:9932;height:11821" type="#_x0000_t75" stroked="false">
              <v:imagedata r:id="rId72" o:title=""/>
            </v:shape>
            <v:rect style="position:absolute;left:703;top:11520;width:10296;height:749" filled="true" fillcolor="#ffffff" stroked="false">
              <v:fill type="solid"/>
            </v:rect>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195"/>
          <w:w w:val="111"/>
        </w:rPr>
        <w:t>O</w:t>
      </w:r>
      <w:r>
        <w:rPr>
          <w:color w:val="231F20"/>
          <w:spacing w:val="-208"/>
          <w:w w:val="112"/>
          <w:position w:val="-23"/>
          <w:sz w:val="50"/>
        </w:rPr>
        <w:t>1</w:t>
      </w:r>
      <w:r>
        <w:rPr>
          <w:color w:val="FFFFFF"/>
          <w:spacing w:val="-226"/>
          <w:w w:val="111"/>
        </w:rPr>
        <w:t>N</w:t>
      </w:r>
      <w:r>
        <w:rPr>
          <w:color w:val="231F20"/>
          <w:spacing w:val="-27"/>
          <w:w w:val="112"/>
          <w:position w:val="-23"/>
          <w:sz w:val="50"/>
        </w:rPr>
        <w:t>2</w:t>
      </w:r>
    </w:p>
    <w:p>
      <w:pPr>
        <w:pStyle w:val="BodyText"/>
        <w:rPr>
          <w:b/>
          <w:sz w:val="24"/>
        </w:rPr>
      </w:pPr>
      <w:r>
        <w:rPr/>
        <w:br w:type="column"/>
      </w:r>
      <w:r>
        <w:rPr>
          <w:b/>
          <w:sz w:val="24"/>
        </w:rPr>
      </w:r>
    </w:p>
    <w:p>
      <w:pPr>
        <w:pStyle w:val="BodyText"/>
        <w:rPr>
          <w:b/>
          <w:sz w:val="24"/>
        </w:rPr>
      </w:pPr>
    </w:p>
    <w:p>
      <w:pPr>
        <w:spacing w:before="162"/>
        <w:ind w:left="0" w:right="999" w:firstLine="0"/>
        <w:jc w:val="right"/>
        <w:rPr>
          <w:b/>
          <w:sz w:val="20"/>
        </w:rPr>
      </w:pPr>
      <w:r>
        <w:rPr>
          <w:b/>
          <w:color w:val="231F20"/>
          <w:w w:val="110"/>
          <w:sz w:val="20"/>
        </w:rPr>
        <w:t>Ministerial Incapacity</w:t>
      </w:r>
      <w:r>
        <w:rPr>
          <w:b/>
          <w:color w:val="231F20"/>
          <w:spacing w:val="25"/>
          <w:w w:val="110"/>
          <w:sz w:val="20"/>
        </w:rPr>
        <w:t> </w:t>
      </w:r>
      <w:r>
        <w:rPr>
          <w:b/>
          <w:color w:val="231F20"/>
          <w:w w:val="110"/>
          <w:sz w:val="20"/>
        </w:rPr>
        <w:t>Procedure</w:t>
      </w:r>
    </w:p>
    <w:p>
      <w:pPr>
        <w:spacing w:before="27"/>
        <w:ind w:left="0" w:right="1000" w:firstLine="0"/>
        <w:jc w:val="right"/>
        <w:rPr>
          <w:i/>
          <w:sz w:val="18"/>
        </w:rPr>
      </w:pPr>
      <w:r>
        <w:rPr>
          <w:i/>
          <w:color w:val="231F20"/>
          <w:w w:val="110"/>
          <w:sz w:val="18"/>
        </w:rPr>
        <w:t>(Report page 52 para</w:t>
      </w:r>
      <w:r>
        <w:rPr>
          <w:i/>
          <w:color w:val="231F20"/>
          <w:spacing w:val="41"/>
          <w:w w:val="110"/>
          <w:sz w:val="18"/>
        </w:rPr>
        <w:t> </w:t>
      </w:r>
      <w:r>
        <w:rPr>
          <w:i/>
          <w:color w:val="231F20"/>
          <w:spacing w:val="-7"/>
          <w:w w:val="110"/>
          <w:sz w:val="18"/>
        </w:rPr>
        <w:t>6.3.11)</w:t>
      </w:r>
    </w:p>
    <w:p>
      <w:pPr>
        <w:spacing w:after="0"/>
        <w:jc w:val="right"/>
        <w:rPr>
          <w:sz w:val="18"/>
        </w:rPr>
        <w:sectPr>
          <w:type w:val="continuous"/>
          <w:pgSz w:w="11910" w:h="16840"/>
          <w:pgMar w:top="680" w:bottom="280" w:left="460" w:right="0"/>
          <w:cols w:num="2" w:equalWidth="0">
            <w:col w:w="4994" w:space="75"/>
            <w:col w:w="6381"/>
          </w:cols>
        </w:sectPr>
      </w:pPr>
    </w:p>
    <w:p>
      <w:pPr>
        <w:pStyle w:val="BodyText"/>
        <w:spacing w:before="4"/>
        <w:rPr>
          <w:i/>
          <w:sz w:val="22"/>
        </w:rPr>
      </w:pPr>
    </w:p>
    <w:p>
      <w:pPr>
        <w:spacing w:line="273" w:lineRule="auto" w:before="100"/>
        <w:ind w:left="1240" w:right="1143" w:firstLine="0"/>
        <w:jc w:val="left"/>
        <w:rPr>
          <w:i/>
          <w:sz w:val="18"/>
        </w:rPr>
      </w:pPr>
      <w:r>
        <w:rPr>
          <w:i/>
          <w:color w:val="231F20"/>
          <w:w w:val="110"/>
          <w:sz w:val="18"/>
        </w:rPr>
        <w:t>Resolution 12 is a resolution to introduce a procedure (to be known as ‘the Ministerial </w:t>
      </w:r>
      <w:r>
        <w:rPr>
          <w:i/>
          <w:color w:val="231F20"/>
          <w:w w:val="110"/>
          <w:sz w:val="18"/>
        </w:rPr>
        <w:t>Incapacity Procedure’) designed for dealing with cases of Ministers or Church-Related Community Workers who may be suffering from incapacity as instanced in the resolution below.</w:t>
      </w:r>
    </w:p>
    <w:p>
      <w:pPr>
        <w:pStyle w:val="BodyText"/>
        <w:spacing w:before="7"/>
        <w:rPr>
          <w:i/>
          <w:sz w:val="30"/>
        </w:rPr>
      </w:pPr>
    </w:p>
    <w:p>
      <w:pPr>
        <w:pStyle w:val="BodyText"/>
        <w:spacing w:line="273" w:lineRule="auto" w:before="1"/>
        <w:ind w:left="1240" w:right="1171"/>
      </w:pPr>
      <w:r>
        <w:rPr>
          <w:color w:val="231F20"/>
          <w:w w:val="110"/>
        </w:rPr>
        <w:t>General Assembly resolves to introduce a procedure (to be known as the “Ministerial Incapacity Procedure”) designed for dealing with cases involving Ministers of Word and Sacrament or Church Related Community Workers (CRCWs) who are regarded as being incapable of exercising, or of continuing to exercise, their respective ministries on account</w:t>
      </w:r>
    </w:p>
    <w:p>
      <w:pPr>
        <w:pStyle w:val="BodyText"/>
        <w:spacing w:line="273" w:lineRule="auto" w:before="2"/>
        <w:ind w:left="1240" w:right="884"/>
      </w:pPr>
      <w:r>
        <w:rPr>
          <w:color w:val="231F20"/>
          <w:w w:val="110"/>
        </w:rPr>
        <w:t>of </w:t>
      </w:r>
      <w:r>
        <w:rPr>
          <w:color w:val="231F20"/>
          <w:spacing w:val="-5"/>
          <w:w w:val="110"/>
        </w:rPr>
        <w:t>(i) </w:t>
      </w:r>
      <w:r>
        <w:rPr>
          <w:color w:val="231F20"/>
          <w:w w:val="110"/>
        </w:rPr>
        <w:t>medical </w:t>
      </w:r>
      <w:r>
        <w:rPr>
          <w:color w:val="231F20"/>
          <w:spacing w:val="-3"/>
          <w:w w:val="110"/>
        </w:rPr>
        <w:t>and/or </w:t>
      </w:r>
      <w:r>
        <w:rPr>
          <w:color w:val="231F20"/>
          <w:w w:val="110"/>
        </w:rPr>
        <w:t>psychiatric illness </w:t>
      </w:r>
      <w:r>
        <w:rPr>
          <w:color w:val="231F20"/>
          <w:spacing w:val="-3"/>
          <w:w w:val="110"/>
        </w:rPr>
        <w:t>and/or </w:t>
      </w:r>
      <w:r>
        <w:rPr>
          <w:color w:val="231F20"/>
          <w:spacing w:val="-4"/>
          <w:w w:val="110"/>
        </w:rPr>
        <w:t>(ii) </w:t>
      </w:r>
      <w:r>
        <w:rPr>
          <w:color w:val="231F20"/>
          <w:w w:val="110"/>
        </w:rPr>
        <w:t>psychological disorder </w:t>
      </w:r>
      <w:r>
        <w:rPr>
          <w:color w:val="231F20"/>
          <w:spacing w:val="-3"/>
          <w:w w:val="110"/>
        </w:rPr>
        <w:t>and/or </w:t>
      </w:r>
      <w:r>
        <w:rPr>
          <w:color w:val="231F20"/>
          <w:spacing w:val="-4"/>
          <w:w w:val="110"/>
        </w:rPr>
        <w:t>(iii) </w:t>
      </w:r>
      <w:r>
        <w:rPr>
          <w:color w:val="231F20"/>
          <w:w w:val="110"/>
        </w:rPr>
        <w:t>addiction and approves the Introduction and Part I of that Procedure in the form set out below:</w:t>
      </w:r>
    </w:p>
    <w:p>
      <w:pPr>
        <w:pStyle w:val="BodyText"/>
        <w:rPr>
          <w:sz w:val="22"/>
        </w:rPr>
      </w:pPr>
    </w:p>
    <w:p>
      <w:pPr>
        <w:pStyle w:val="BodyText"/>
        <w:spacing w:before="8"/>
        <w:rPr>
          <w:sz w:val="21"/>
        </w:rPr>
      </w:pPr>
    </w:p>
    <w:p>
      <w:pPr>
        <w:spacing w:before="0"/>
        <w:ind w:left="1115" w:right="876" w:firstLine="0"/>
        <w:jc w:val="center"/>
        <w:rPr>
          <w:b/>
          <w:sz w:val="29"/>
        </w:rPr>
      </w:pPr>
      <w:r>
        <w:rPr>
          <w:b/>
          <w:color w:val="231F20"/>
          <w:w w:val="110"/>
          <w:sz w:val="29"/>
        </w:rPr>
        <w:t>SECTION P</w:t>
      </w:r>
    </w:p>
    <w:p>
      <w:pPr>
        <w:pStyle w:val="BodyText"/>
        <w:spacing w:before="3"/>
        <w:rPr>
          <w:b/>
          <w:sz w:val="30"/>
        </w:rPr>
      </w:pPr>
    </w:p>
    <w:p>
      <w:pPr>
        <w:spacing w:line="244" w:lineRule="auto" w:before="0"/>
        <w:ind w:left="2249" w:right="2009" w:firstLine="0"/>
        <w:jc w:val="center"/>
        <w:rPr>
          <w:b/>
          <w:sz w:val="29"/>
        </w:rPr>
      </w:pPr>
      <w:r>
        <w:rPr>
          <w:b/>
          <w:color w:val="231F20"/>
          <w:w w:val="110"/>
          <w:sz w:val="29"/>
        </w:rPr>
        <w:t>PROCEDURE FOR DEALING WITH CASES OF MINISTERIAL INCAPACITY</w:t>
      </w:r>
    </w:p>
    <w:p>
      <w:pPr>
        <w:spacing w:line="273" w:lineRule="auto" w:before="252"/>
        <w:ind w:left="3013" w:right="2772" w:firstLine="0"/>
        <w:jc w:val="center"/>
        <w:rPr>
          <w:b/>
          <w:i/>
          <w:sz w:val="18"/>
        </w:rPr>
      </w:pPr>
      <w:r>
        <w:rPr>
          <w:b/>
          <w:i/>
          <w:color w:val="231F20"/>
          <w:w w:val="110"/>
          <w:sz w:val="18"/>
        </w:rPr>
        <w:t>The Introduction which follows does not form part </w:t>
      </w:r>
      <w:r>
        <w:rPr>
          <w:b/>
          <w:i/>
          <w:color w:val="231F20"/>
          <w:w w:val="110"/>
          <w:sz w:val="18"/>
        </w:rPr>
        <w:t>of the text of the Incapacity Procedure</w:t>
      </w:r>
    </w:p>
    <w:p>
      <w:pPr>
        <w:pStyle w:val="BodyText"/>
        <w:rPr>
          <w:b/>
          <w:i/>
          <w:sz w:val="22"/>
        </w:rPr>
      </w:pPr>
    </w:p>
    <w:p>
      <w:pPr>
        <w:pStyle w:val="BodyText"/>
        <w:spacing w:before="2"/>
        <w:rPr>
          <w:b/>
          <w:i/>
          <w:sz w:val="19"/>
        </w:rPr>
      </w:pPr>
    </w:p>
    <w:p>
      <w:pPr>
        <w:spacing w:before="1"/>
        <w:ind w:left="1115" w:right="876" w:firstLine="0"/>
        <w:jc w:val="center"/>
        <w:rPr>
          <w:b/>
          <w:sz w:val="18"/>
        </w:rPr>
      </w:pPr>
      <w:r>
        <w:rPr>
          <w:b/>
          <w:color w:val="231F20"/>
          <w:w w:val="110"/>
          <w:sz w:val="18"/>
        </w:rPr>
        <w:t>INTRODUCTION</w:t>
      </w:r>
    </w:p>
    <w:p>
      <w:pPr>
        <w:pStyle w:val="BodyText"/>
        <w:spacing w:before="1"/>
        <w:rPr>
          <w:b/>
          <w:sz w:val="23"/>
        </w:rPr>
      </w:pPr>
    </w:p>
    <w:p>
      <w:pPr>
        <w:pStyle w:val="BodyText"/>
        <w:spacing w:line="273" w:lineRule="auto"/>
        <w:ind w:left="1240" w:right="1143"/>
      </w:pPr>
      <w:r>
        <w:rPr>
          <w:color w:val="231F20"/>
          <w:w w:val="110"/>
        </w:rPr>
        <w:t>The Procedure which follows allows the Church to deal with the </w:t>
      </w:r>
      <w:r>
        <w:rPr>
          <w:color w:val="231F20"/>
          <w:spacing w:val="2"/>
          <w:w w:val="110"/>
        </w:rPr>
        <w:t>cases </w:t>
      </w:r>
      <w:r>
        <w:rPr>
          <w:color w:val="231F20"/>
          <w:w w:val="110"/>
        </w:rPr>
        <w:t>of Ministers of Word and Sacrament or Church Related Community Workers </w:t>
      </w:r>
      <w:r>
        <w:rPr>
          <w:color w:val="231F20"/>
          <w:spacing w:val="-4"/>
          <w:w w:val="110"/>
        </w:rPr>
        <w:t>(CRCWs) </w:t>
      </w:r>
      <w:r>
        <w:rPr>
          <w:color w:val="231F20"/>
          <w:w w:val="110"/>
        </w:rPr>
        <w:t>who are regarded as  being incapable of exercising, or of continuing to exercise, their </w:t>
      </w:r>
      <w:r>
        <w:rPr>
          <w:color w:val="231F20"/>
          <w:spacing w:val="2"/>
          <w:w w:val="110"/>
        </w:rPr>
        <w:t>respective </w:t>
      </w:r>
      <w:r>
        <w:rPr>
          <w:color w:val="231F20"/>
          <w:w w:val="110"/>
        </w:rPr>
        <w:t>ministries on account</w:t>
      </w:r>
      <w:r>
        <w:rPr>
          <w:color w:val="231F20"/>
          <w:spacing w:val="9"/>
          <w:w w:val="110"/>
        </w:rPr>
        <w:t> </w:t>
      </w:r>
      <w:r>
        <w:rPr>
          <w:color w:val="231F20"/>
          <w:w w:val="110"/>
        </w:rPr>
        <w:t>of</w:t>
      </w:r>
      <w:r>
        <w:rPr>
          <w:color w:val="231F20"/>
          <w:spacing w:val="9"/>
          <w:w w:val="110"/>
        </w:rPr>
        <w:t> </w:t>
      </w:r>
      <w:r>
        <w:rPr>
          <w:color w:val="231F20"/>
          <w:spacing w:val="-4"/>
          <w:w w:val="110"/>
        </w:rPr>
        <w:t>(i)</w:t>
      </w:r>
      <w:r>
        <w:rPr>
          <w:color w:val="231F20"/>
          <w:spacing w:val="9"/>
          <w:w w:val="110"/>
        </w:rPr>
        <w:t> </w:t>
      </w:r>
      <w:r>
        <w:rPr>
          <w:color w:val="231F20"/>
          <w:w w:val="110"/>
        </w:rPr>
        <w:t>medical</w:t>
      </w:r>
      <w:r>
        <w:rPr>
          <w:color w:val="231F20"/>
          <w:spacing w:val="9"/>
          <w:w w:val="110"/>
        </w:rPr>
        <w:t> </w:t>
      </w:r>
      <w:r>
        <w:rPr>
          <w:color w:val="231F20"/>
          <w:w w:val="110"/>
        </w:rPr>
        <w:t>and/or</w:t>
      </w:r>
      <w:r>
        <w:rPr>
          <w:color w:val="231F20"/>
          <w:spacing w:val="9"/>
          <w:w w:val="110"/>
        </w:rPr>
        <w:t> </w:t>
      </w:r>
      <w:r>
        <w:rPr>
          <w:color w:val="231F20"/>
          <w:w w:val="110"/>
        </w:rPr>
        <w:t>psychiatric</w:t>
      </w:r>
      <w:r>
        <w:rPr>
          <w:color w:val="231F20"/>
          <w:spacing w:val="9"/>
          <w:w w:val="110"/>
        </w:rPr>
        <w:t> </w:t>
      </w:r>
      <w:r>
        <w:rPr>
          <w:color w:val="231F20"/>
          <w:w w:val="110"/>
        </w:rPr>
        <w:t>illness</w:t>
      </w:r>
      <w:r>
        <w:rPr>
          <w:color w:val="231F20"/>
          <w:spacing w:val="9"/>
          <w:w w:val="110"/>
        </w:rPr>
        <w:t> </w:t>
      </w:r>
      <w:r>
        <w:rPr>
          <w:color w:val="231F20"/>
          <w:w w:val="110"/>
        </w:rPr>
        <w:t>and/or</w:t>
      </w:r>
      <w:r>
        <w:rPr>
          <w:color w:val="231F20"/>
          <w:spacing w:val="10"/>
          <w:w w:val="110"/>
        </w:rPr>
        <w:t> </w:t>
      </w:r>
      <w:r>
        <w:rPr>
          <w:color w:val="231F20"/>
          <w:spacing w:val="-3"/>
          <w:w w:val="110"/>
        </w:rPr>
        <w:t>(ii)</w:t>
      </w:r>
      <w:r>
        <w:rPr>
          <w:color w:val="231F20"/>
          <w:spacing w:val="9"/>
          <w:w w:val="110"/>
        </w:rPr>
        <w:t> </w:t>
      </w:r>
      <w:r>
        <w:rPr>
          <w:color w:val="231F20"/>
          <w:w w:val="110"/>
        </w:rPr>
        <w:t>psychological</w:t>
      </w:r>
      <w:r>
        <w:rPr>
          <w:color w:val="231F20"/>
          <w:spacing w:val="9"/>
          <w:w w:val="110"/>
        </w:rPr>
        <w:t> </w:t>
      </w:r>
      <w:r>
        <w:rPr>
          <w:color w:val="231F20"/>
          <w:w w:val="110"/>
        </w:rPr>
        <w:t>disorder</w:t>
      </w:r>
      <w:r>
        <w:rPr>
          <w:color w:val="231F20"/>
          <w:spacing w:val="9"/>
          <w:w w:val="110"/>
        </w:rPr>
        <w:t> </w:t>
      </w:r>
      <w:r>
        <w:rPr>
          <w:color w:val="231F20"/>
          <w:w w:val="110"/>
        </w:rPr>
        <w:t>and/or</w:t>
      </w:r>
    </w:p>
    <w:p>
      <w:pPr>
        <w:pStyle w:val="BodyText"/>
        <w:tabs>
          <w:tab w:pos="2855" w:val="left" w:leader="none"/>
        </w:tabs>
        <w:spacing w:line="273" w:lineRule="auto" w:before="3"/>
        <w:ind w:left="1240" w:right="1056"/>
      </w:pPr>
      <w:r>
        <w:rPr>
          <w:color w:val="231F20"/>
          <w:w w:val="110"/>
        </w:rPr>
        <w:t>(iii)</w:t>
      </w:r>
      <w:r>
        <w:rPr>
          <w:color w:val="231F20"/>
          <w:spacing w:val="6"/>
          <w:w w:val="110"/>
        </w:rPr>
        <w:t> </w:t>
      </w:r>
      <w:r>
        <w:rPr>
          <w:color w:val="231F20"/>
          <w:w w:val="110"/>
        </w:rPr>
        <w:t>addiction.</w:t>
        <w:tab/>
        <w:t>It is not a disciplinary </w:t>
      </w:r>
      <w:r>
        <w:rPr>
          <w:color w:val="231F20"/>
          <w:spacing w:val="2"/>
          <w:w w:val="110"/>
        </w:rPr>
        <w:t>process </w:t>
      </w:r>
      <w:r>
        <w:rPr>
          <w:color w:val="231F20"/>
          <w:w w:val="110"/>
        </w:rPr>
        <w:t>and will only be invoked in situations where the Assembly Pastoral Reference Committee, if that committee has been involved, has  said that it can do no</w:t>
      </w:r>
      <w:r>
        <w:rPr>
          <w:color w:val="231F20"/>
          <w:spacing w:val="6"/>
          <w:w w:val="110"/>
        </w:rPr>
        <w:t> </w:t>
      </w:r>
      <w:r>
        <w:rPr>
          <w:color w:val="231F20"/>
          <w:w w:val="110"/>
        </w:rPr>
        <w:t>more.</w:t>
      </w:r>
    </w:p>
    <w:p>
      <w:pPr>
        <w:pStyle w:val="BodyText"/>
        <w:spacing w:before="9"/>
        <w:rPr>
          <w:sz w:val="20"/>
        </w:rPr>
      </w:pPr>
    </w:p>
    <w:p>
      <w:pPr>
        <w:pStyle w:val="BodyText"/>
        <w:spacing w:line="273" w:lineRule="auto"/>
        <w:ind w:left="1240" w:right="1368"/>
      </w:pPr>
      <w:r>
        <w:rPr>
          <w:color w:val="231F20"/>
          <w:w w:val="110"/>
        </w:rPr>
        <w:t>Whilst considered as a last </w:t>
      </w:r>
      <w:r>
        <w:rPr>
          <w:color w:val="231F20"/>
          <w:spacing w:val="2"/>
          <w:w w:val="110"/>
        </w:rPr>
        <w:t>resort, </w:t>
      </w:r>
      <w:r>
        <w:rPr>
          <w:color w:val="231F20"/>
          <w:w w:val="110"/>
        </w:rPr>
        <w:t>the Incapacity Procedure will nevertheless enable the Church to take decisive </w:t>
      </w:r>
      <w:r>
        <w:rPr>
          <w:color w:val="231F20"/>
          <w:spacing w:val="2"/>
          <w:w w:val="110"/>
        </w:rPr>
        <w:t>action </w:t>
      </w:r>
      <w:r>
        <w:rPr>
          <w:color w:val="231F20"/>
          <w:w w:val="110"/>
        </w:rPr>
        <w:t>in </w:t>
      </w:r>
      <w:r>
        <w:rPr>
          <w:color w:val="231F20"/>
          <w:spacing w:val="2"/>
          <w:w w:val="110"/>
        </w:rPr>
        <w:t>cases </w:t>
      </w:r>
      <w:r>
        <w:rPr>
          <w:color w:val="231F20"/>
          <w:w w:val="110"/>
        </w:rPr>
        <w:t>where the continued exercise of ministry would undermine the promises made by the Minister at ordination </w:t>
      </w:r>
      <w:r>
        <w:rPr>
          <w:color w:val="231F20"/>
          <w:spacing w:val="-6"/>
          <w:w w:val="110"/>
        </w:rPr>
        <w:t>or, </w:t>
      </w:r>
      <w:r>
        <w:rPr>
          <w:color w:val="231F20"/>
          <w:w w:val="110"/>
        </w:rPr>
        <w:t>in the </w:t>
      </w:r>
      <w:r>
        <w:rPr>
          <w:color w:val="231F20"/>
          <w:spacing w:val="2"/>
          <w:w w:val="110"/>
        </w:rPr>
        <w:t>case </w:t>
      </w:r>
      <w:r>
        <w:rPr>
          <w:color w:val="231F20"/>
          <w:w w:val="110"/>
        </w:rPr>
        <w:t>of a CRCW,   at his/her</w:t>
      </w:r>
      <w:r>
        <w:rPr>
          <w:color w:val="231F20"/>
          <w:spacing w:val="2"/>
          <w:w w:val="110"/>
        </w:rPr>
        <w:t> </w:t>
      </w:r>
      <w:r>
        <w:rPr>
          <w:color w:val="231F20"/>
          <w:w w:val="110"/>
        </w:rPr>
        <w:t>commissioning.</w:t>
      </w:r>
    </w:p>
    <w:p>
      <w:pPr>
        <w:spacing w:after="0" w:line="273" w:lineRule="auto"/>
        <w:sectPr>
          <w:type w:val="continuous"/>
          <w:pgSz w:w="11910" w:h="16840"/>
          <w:pgMar w:top="680" w:bottom="280" w:left="460" w:right="0"/>
        </w:sectPr>
      </w:pPr>
    </w:p>
    <w:p>
      <w:pPr>
        <w:pStyle w:val="BodyText"/>
        <w:spacing w:before="10"/>
        <w:rPr>
          <w:sz w:val="11"/>
        </w:rPr>
      </w:pPr>
      <w:r>
        <w:rPr/>
        <w:pict>
          <v:group style="position:absolute;margin-left:23.811001pt;margin-top:44.362015pt;width:514.8pt;height:751.25pt;mso-position-horizontal-relative:page;mso-position-vertical-relative:page;z-index:-275553280" coordorigin="476,887" coordsize="10296,15025">
            <v:shape style="position:absolute;left:823;top:965;width:9872;height:14917" coordorigin="824,965" coordsize="9872,14917" path="m824,15642l827,15781,854,15852,925,15878,1064,15882,10455,15882,10594,15878,10665,15852,10691,15781,10695,15642,10695,1205,10691,1067,10665,995,10594,969,10455,965,1064,965,925,969,854,995,827,1067,824,1205,824,15642xe" filled="false" stroked="true" strokeweight="3pt" strokecolor="#000000">
              <v:path arrowok="t"/>
              <v:stroke dashstyle="solid"/>
            </v:shape>
            <v:rect style="position:absolute;left:476;top:887;width:10296;height:261" filled="true" fillcolor="#ffffff" stroked="false">
              <v:fill type="solid"/>
            </v:rect>
            <w10:wrap type="none"/>
          </v:group>
        </w:pict>
      </w:r>
    </w:p>
    <w:p>
      <w:pPr>
        <w:spacing w:before="101"/>
        <w:ind w:left="225" w:right="1251" w:firstLine="0"/>
        <w:jc w:val="center"/>
        <w:rPr>
          <w:b/>
          <w:sz w:val="18"/>
        </w:rPr>
      </w:pPr>
      <w:r>
        <w:rPr>
          <w:b/>
          <w:color w:val="231F20"/>
          <w:w w:val="110"/>
          <w:sz w:val="18"/>
        </w:rPr>
        <w:t>PART I – subject to Paragraph 3(1) of the Structure</w:t>
      </w:r>
    </w:p>
    <w:p>
      <w:pPr>
        <w:pStyle w:val="BodyText"/>
        <w:spacing w:line="273" w:lineRule="auto" w:before="31"/>
        <w:ind w:left="2713" w:right="3739"/>
        <w:jc w:val="center"/>
      </w:pPr>
      <w:r>
        <w:rPr>
          <w:color w:val="231F20"/>
          <w:w w:val="110"/>
        </w:rPr>
        <w:t>(governed by General Assembly Function 2(5)(xi) of the Structure of the United Reformed Church)</w:t>
      </w:r>
    </w:p>
    <w:p>
      <w:pPr>
        <w:pStyle w:val="BodyText"/>
        <w:spacing w:before="8"/>
        <w:rPr>
          <w:sz w:val="20"/>
        </w:rPr>
      </w:pPr>
    </w:p>
    <w:p>
      <w:pPr>
        <w:pStyle w:val="BodyText"/>
        <w:ind w:left="673"/>
      </w:pPr>
      <w:r>
        <w:rPr>
          <w:b/>
          <w:color w:val="231F20"/>
          <w:w w:val="110"/>
        </w:rPr>
        <w:t>Note: </w:t>
      </w:r>
      <w:r>
        <w:rPr>
          <w:color w:val="231F20"/>
          <w:w w:val="110"/>
        </w:rPr>
        <w:t>The words and expressions marked * (the first time they appear) are defined</w:t>
      </w:r>
      <w:r>
        <w:rPr>
          <w:color w:val="231F20"/>
          <w:spacing w:val="53"/>
          <w:w w:val="110"/>
        </w:rPr>
        <w:t> </w:t>
      </w:r>
      <w:r>
        <w:rPr>
          <w:color w:val="231F20"/>
          <w:w w:val="110"/>
        </w:rPr>
        <w:t>in</w:t>
      </w:r>
    </w:p>
    <w:p>
      <w:pPr>
        <w:pStyle w:val="BodyText"/>
        <w:spacing w:before="31"/>
        <w:ind w:left="673"/>
      </w:pPr>
      <w:r>
        <w:rPr>
          <w:color w:val="231F20"/>
          <w:w w:val="110"/>
        </w:rPr>
        <w:t>Part II of this Procedure.</w:t>
      </w:r>
    </w:p>
    <w:p>
      <w:pPr>
        <w:pStyle w:val="BodyText"/>
        <w:spacing w:before="2"/>
        <w:rPr>
          <w:sz w:val="23"/>
        </w:rPr>
      </w:pPr>
    </w:p>
    <w:p>
      <w:pPr>
        <w:pStyle w:val="ListParagraph"/>
        <w:numPr>
          <w:ilvl w:val="0"/>
          <w:numId w:val="35"/>
        </w:numPr>
        <w:tabs>
          <w:tab w:pos="1393" w:val="left" w:leader="none"/>
          <w:tab w:pos="1394" w:val="left" w:leader="none"/>
        </w:tabs>
        <w:spacing w:line="273" w:lineRule="auto" w:before="0" w:after="0"/>
        <w:ind w:left="673" w:right="1754" w:firstLine="0"/>
        <w:jc w:val="left"/>
        <w:rPr>
          <w:sz w:val="18"/>
        </w:rPr>
      </w:pPr>
      <w:r>
        <w:rPr>
          <w:color w:val="231F20"/>
          <w:w w:val="110"/>
          <w:sz w:val="18"/>
        </w:rPr>
        <w:t>Under the provisions of this Ministerial Incapacity Procedure (herein called </w:t>
      </w:r>
      <w:r>
        <w:rPr>
          <w:color w:val="231F20"/>
          <w:spacing w:val="2"/>
          <w:w w:val="110"/>
          <w:sz w:val="18"/>
        </w:rPr>
        <w:t>“the </w:t>
      </w:r>
      <w:r>
        <w:rPr>
          <w:color w:val="231F20"/>
          <w:w w:val="110"/>
          <w:sz w:val="18"/>
        </w:rPr>
        <w:t>Incapacity Procedure*”) a Review Commission* and, in the event of an appeal, an Appeals Review Commission* shall operate under the authority of the General Assembly for the purpose of considering and deciding upon </w:t>
      </w:r>
      <w:r>
        <w:rPr>
          <w:color w:val="231F20"/>
          <w:spacing w:val="2"/>
          <w:w w:val="110"/>
          <w:sz w:val="18"/>
        </w:rPr>
        <w:t>cases </w:t>
      </w:r>
      <w:r>
        <w:rPr>
          <w:color w:val="231F20"/>
          <w:w w:val="110"/>
          <w:sz w:val="18"/>
        </w:rPr>
        <w:t>properly </w:t>
      </w:r>
      <w:r>
        <w:rPr>
          <w:color w:val="231F20"/>
          <w:spacing w:val="2"/>
          <w:w w:val="110"/>
          <w:sz w:val="18"/>
        </w:rPr>
        <w:t>referred </w:t>
      </w:r>
      <w:r>
        <w:rPr>
          <w:color w:val="231F20"/>
          <w:w w:val="110"/>
          <w:sz w:val="18"/>
        </w:rPr>
        <w:t>to it in which Ministers* or Church Related Community Workers </w:t>
      </w:r>
      <w:r>
        <w:rPr>
          <w:color w:val="231F20"/>
          <w:spacing w:val="-5"/>
          <w:w w:val="110"/>
          <w:sz w:val="18"/>
        </w:rPr>
        <w:t>(CRCWs)*, </w:t>
      </w:r>
      <w:r>
        <w:rPr>
          <w:color w:val="231F20"/>
          <w:w w:val="110"/>
          <w:sz w:val="18"/>
        </w:rPr>
        <w:t>whilst not perceived to  have committed any breach of discipline, are nevertheless regarded as being incapable  of exercising, or of continuing to exercise, ministry on account of </w:t>
      </w:r>
      <w:r>
        <w:rPr>
          <w:color w:val="231F20"/>
          <w:spacing w:val="-4"/>
          <w:w w:val="110"/>
          <w:sz w:val="18"/>
        </w:rPr>
        <w:t>(i) </w:t>
      </w:r>
      <w:r>
        <w:rPr>
          <w:color w:val="231F20"/>
          <w:w w:val="110"/>
          <w:sz w:val="18"/>
        </w:rPr>
        <w:t>medical and/or psychiatric illness and/or </w:t>
      </w:r>
      <w:r>
        <w:rPr>
          <w:color w:val="231F20"/>
          <w:spacing w:val="-3"/>
          <w:w w:val="110"/>
          <w:sz w:val="18"/>
        </w:rPr>
        <w:t>(ii) </w:t>
      </w:r>
      <w:r>
        <w:rPr>
          <w:color w:val="231F20"/>
          <w:w w:val="110"/>
          <w:sz w:val="18"/>
        </w:rPr>
        <w:t>psychological disorder and/or (iii)</w:t>
      </w:r>
      <w:r>
        <w:rPr>
          <w:color w:val="231F20"/>
          <w:spacing w:val="33"/>
          <w:w w:val="110"/>
          <w:sz w:val="18"/>
        </w:rPr>
        <w:t> </w:t>
      </w:r>
      <w:r>
        <w:rPr>
          <w:color w:val="231F20"/>
          <w:w w:val="110"/>
          <w:sz w:val="18"/>
        </w:rPr>
        <w:t>addiction.</w:t>
      </w:r>
    </w:p>
    <w:p>
      <w:pPr>
        <w:pStyle w:val="BodyText"/>
        <w:rPr>
          <w:sz w:val="21"/>
        </w:rPr>
      </w:pPr>
    </w:p>
    <w:p>
      <w:pPr>
        <w:pStyle w:val="ListParagraph"/>
        <w:numPr>
          <w:ilvl w:val="0"/>
          <w:numId w:val="35"/>
        </w:numPr>
        <w:tabs>
          <w:tab w:pos="1393" w:val="left" w:leader="none"/>
          <w:tab w:pos="1394" w:val="left" w:leader="none"/>
        </w:tabs>
        <w:spacing w:line="273" w:lineRule="auto" w:before="0" w:after="0"/>
        <w:ind w:left="673" w:right="1932" w:firstLine="0"/>
        <w:jc w:val="left"/>
        <w:rPr>
          <w:sz w:val="18"/>
        </w:rPr>
      </w:pPr>
      <w:r>
        <w:rPr>
          <w:color w:val="231F20"/>
          <w:w w:val="110"/>
          <w:sz w:val="18"/>
        </w:rPr>
        <w:t>The Review Commission, the Standing </w:t>
      </w:r>
      <w:r>
        <w:rPr>
          <w:color w:val="231F20"/>
          <w:spacing w:val="-3"/>
          <w:w w:val="110"/>
          <w:sz w:val="18"/>
        </w:rPr>
        <w:t>Panel*, </w:t>
      </w:r>
      <w:r>
        <w:rPr>
          <w:color w:val="231F20"/>
          <w:w w:val="110"/>
          <w:sz w:val="18"/>
        </w:rPr>
        <w:t>the Appeals Review Commission, and all </w:t>
      </w:r>
      <w:r>
        <w:rPr>
          <w:color w:val="231F20"/>
          <w:spacing w:val="2"/>
          <w:w w:val="110"/>
          <w:sz w:val="18"/>
        </w:rPr>
        <w:t>aspects </w:t>
      </w:r>
      <w:r>
        <w:rPr>
          <w:color w:val="231F20"/>
          <w:w w:val="110"/>
          <w:sz w:val="18"/>
        </w:rPr>
        <w:t>of the Incapacity Procedure shall at all times remain under the jurisdiction and control of the General Assembly which has the authority through the exercise of its functions as contained in Paragraph </w:t>
      </w:r>
      <w:r>
        <w:rPr>
          <w:color w:val="231F20"/>
          <w:spacing w:val="-4"/>
          <w:w w:val="110"/>
          <w:sz w:val="18"/>
        </w:rPr>
        <w:t>2(5) </w:t>
      </w:r>
      <w:r>
        <w:rPr>
          <w:color w:val="231F20"/>
          <w:w w:val="110"/>
          <w:sz w:val="18"/>
        </w:rPr>
        <w:t>of the Structure* to amend, enlarge or revoke the whole or any </w:t>
      </w:r>
      <w:r>
        <w:rPr>
          <w:color w:val="231F20"/>
          <w:spacing w:val="2"/>
          <w:w w:val="110"/>
          <w:sz w:val="18"/>
        </w:rPr>
        <w:t>part </w:t>
      </w:r>
      <w:r>
        <w:rPr>
          <w:color w:val="231F20"/>
          <w:w w:val="110"/>
          <w:sz w:val="18"/>
        </w:rPr>
        <w:t>of this Incapacity Procedure, save only that,   as long as that Procedure remains in force, the decision </w:t>
      </w:r>
      <w:r>
        <w:rPr>
          <w:color w:val="231F20"/>
          <w:spacing w:val="2"/>
          <w:w w:val="110"/>
          <w:sz w:val="18"/>
        </w:rPr>
        <w:t>reached </w:t>
      </w:r>
      <w:r>
        <w:rPr>
          <w:color w:val="231F20"/>
          <w:w w:val="110"/>
          <w:sz w:val="18"/>
        </w:rPr>
        <w:t>in any particular </w:t>
      </w:r>
      <w:r>
        <w:rPr>
          <w:color w:val="231F20"/>
          <w:spacing w:val="2"/>
          <w:w w:val="110"/>
          <w:sz w:val="18"/>
        </w:rPr>
        <w:t>case</w:t>
      </w:r>
      <w:r>
        <w:rPr>
          <w:color w:val="231F20"/>
          <w:spacing w:val="73"/>
          <w:w w:val="110"/>
          <w:sz w:val="18"/>
        </w:rPr>
        <w:t> </w:t>
      </w:r>
      <w:r>
        <w:rPr>
          <w:color w:val="231F20"/>
          <w:w w:val="110"/>
          <w:sz w:val="18"/>
        </w:rPr>
        <w:t>(whether or not on appeal) and any </w:t>
      </w:r>
      <w:r>
        <w:rPr>
          <w:color w:val="231F20"/>
          <w:spacing w:val="2"/>
          <w:w w:val="110"/>
          <w:sz w:val="18"/>
        </w:rPr>
        <w:t>orders </w:t>
      </w:r>
      <w:r>
        <w:rPr>
          <w:color w:val="231F20"/>
          <w:w w:val="110"/>
          <w:sz w:val="18"/>
        </w:rPr>
        <w:t>made in accordance with the Incapacity Procedure shall be made in the name of the General Assembly and shall be final and binding on the Minister or CRCW and on all the councils of the</w:t>
      </w:r>
      <w:r>
        <w:rPr>
          <w:color w:val="231F20"/>
          <w:spacing w:val="42"/>
          <w:w w:val="110"/>
          <w:sz w:val="18"/>
        </w:rPr>
        <w:t> </w:t>
      </w:r>
      <w:r>
        <w:rPr>
          <w:color w:val="231F20"/>
          <w:w w:val="110"/>
          <w:sz w:val="18"/>
        </w:rPr>
        <w:t>Church*.</w:t>
      </w:r>
    </w:p>
    <w:p>
      <w:pPr>
        <w:pStyle w:val="BodyText"/>
        <w:rPr>
          <w:sz w:val="21"/>
        </w:rPr>
      </w:pPr>
    </w:p>
    <w:p>
      <w:pPr>
        <w:pStyle w:val="ListParagraph"/>
        <w:numPr>
          <w:ilvl w:val="0"/>
          <w:numId w:val="35"/>
        </w:numPr>
        <w:tabs>
          <w:tab w:pos="1393" w:val="left" w:leader="none"/>
          <w:tab w:pos="1394" w:val="left" w:leader="none"/>
        </w:tabs>
        <w:spacing w:line="273" w:lineRule="auto" w:before="0" w:after="0"/>
        <w:ind w:left="673" w:right="2032" w:firstLine="0"/>
        <w:jc w:val="left"/>
        <w:rPr>
          <w:sz w:val="18"/>
        </w:rPr>
      </w:pPr>
      <w:r>
        <w:rPr>
          <w:color w:val="231F20"/>
          <w:w w:val="110"/>
          <w:sz w:val="18"/>
        </w:rPr>
        <w:t>Subject only to </w:t>
      </w:r>
      <w:r>
        <w:rPr>
          <w:color w:val="231F20"/>
          <w:spacing w:val="2"/>
          <w:w w:val="110"/>
          <w:sz w:val="18"/>
        </w:rPr>
        <w:t>Section </w:t>
      </w:r>
      <w:r>
        <w:rPr>
          <w:color w:val="231F20"/>
          <w:w w:val="110"/>
          <w:sz w:val="18"/>
        </w:rPr>
        <w:t>H of </w:t>
      </w:r>
      <w:r>
        <w:rPr>
          <w:color w:val="231F20"/>
          <w:spacing w:val="2"/>
          <w:w w:val="110"/>
          <w:sz w:val="18"/>
        </w:rPr>
        <w:t>Part </w:t>
      </w:r>
      <w:r>
        <w:rPr>
          <w:color w:val="231F20"/>
          <w:w w:val="110"/>
          <w:sz w:val="18"/>
        </w:rPr>
        <w:t>II, when the </w:t>
      </w:r>
      <w:r>
        <w:rPr>
          <w:color w:val="231F20"/>
          <w:spacing w:val="2"/>
          <w:w w:val="110"/>
          <w:sz w:val="18"/>
        </w:rPr>
        <w:t>case </w:t>
      </w:r>
      <w:r>
        <w:rPr>
          <w:color w:val="231F20"/>
          <w:w w:val="110"/>
          <w:sz w:val="18"/>
        </w:rPr>
        <w:t>of any Minister or CRCW is being dealt with under the Incapacity Procedure, it must be conducted and concluded entirely in accordance with that procedure and not through any other procedure or </w:t>
      </w:r>
      <w:r>
        <w:rPr>
          <w:color w:val="231F20"/>
          <w:spacing w:val="2"/>
          <w:w w:val="110"/>
          <w:sz w:val="18"/>
        </w:rPr>
        <w:t>process </w:t>
      </w:r>
      <w:r>
        <w:rPr>
          <w:color w:val="231F20"/>
          <w:w w:val="110"/>
          <w:sz w:val="18"/>
        </w:rPr>
        <w:t>of the</w:t>
      </w:r>
      <w:r>
        <w:rPr>
          <w:color w:val="231F20"/>
          <w:spacing w:val="1"/>
          <w:w w:val="110"/>
          <w:sz w:val="18"/>
        </w:rPr>
        <w:t> </w:t>
      </w:r>
      <w:r>
        <w:rPr>
          <w:color w:val="231F20"/>
          <w:w w:val="110"/>
          <w:sz w:val="18"/>
        </w:rPr>
        <w:t>Church.</w:t>
      </w:r>
    </w:p>
    <w:p>
      <w:pPr>
        <w:pStyle w:val="BodyText"/>
        <w:spacing w:before="9"/>
        <w:rPr>
          <w:sz w:val="20"/>
        </w:rPr>
      </w:pPr>
    </w:p>
    <w:p>
      <w:pPr>
        <w:pStyle w:val="ListParagraph"/>
        <w:numPr>
          <w:ilvl w:val="0"/>
          <w:numId w:val="35"/>
        </w:numPr>
        <w:tabs>
          <w:tab w:pos="1393" w:val="left" w:leader="none"/>
          <w:tab w:pos="1394" w:val="left" w:leader="none"/>
        </w:tabs>
        <w:spacing w:line="273" w:lineRule="auto" w:before="0" w:after="0"/>
        <w:ind w:left="673" w:right="2001" w:firstLine="0"/>
        <w:jc w:val="left"/>
        <w:rPr>
          <w:sz w:val="18"/>
        </w:rPr>
      </w:pPr>
      <w:r>
        <w:rPr>
          <w:color w:val="231F20"/>
          <w:w w:val="110"/>
          <w:sz w:val="18"/>
        </w:rPr>
        <w:t>The Incapacity Procedure shall not be initiated in </w:t>
      </w:r>
      <w:r>
        <w:rPr>
          <w:color w:val="231F20"/>
          <w:spacing w:val="3"/>
          <w:w w:val="110"/>
          <w:sz w:val="18"/>
        </w:rPr>
        <w:t>respect </w:t>
      </w:r>
      <w:r>
        <w:rPr>
          <w:color w:val="231F20"/>
          <w:w w:val="110"/>
          <w:sz w:val="18"/>
        </w:rPr>
        <w:t>of any Minister or CRCW if his/her </w:t>
      </w:r>
      <w:r>
        <w:rPr>
          <w:color w:val="231F20"/>
          <w:spacing w:val="2"/>
          <w:w w:val="110"/>
          <w:sz w:val="18"/>
        </w:rPr>
        <w:t>case </w:t>
      </w:r>
      <w:r>
        <w:rPr>
          <w:color w:val="231F20"/>
          <w:w w:val="110"/>
          <w:sz w:val="18"/>
        </w:rPr>
        <w:t>is currently being dealt with under the Disciplinary Process,    save only where the Incapacity Procedure is initiated as a result of a recommendation </w:t>
      </w:r>
      <w:r>
        <w:rPr>
          <w:color w:val="231F20"/>
          <w:spacing w:val="2"/>
          <w:w w:val="110"/>
          <w:sz w:val="18"/>
        </w:rPr>
        <w:t>from </w:t>
      </w:r>
      <w:r>
        <w:rPr>
          <w:color w:val="231F20"/>
          <w:w w:val="110"/>
          <w:sz w:val="18"/>
        </w:rPr>
        <w:t>the Disciplinary Process, giving rise to a </w:t>
      </w:r>
      <w:r>
        <w:rPr>
          <w:color w:val="231F20"/>
          <w:spacing w:val="2"/>
          <w:w w:val="110"/>
          <w:sz w:val="18"/>
        </w:rPr>
        <w:t>short </w:t>
      </w:r>
      <w:r>
        <w:rPr>
          <w:color w:val="231F20"/>
          <w:w w:val="110"/>
          <w:sz w:val="18"/>
        </w:rPr>
        <w:t>transitional overlap between the commencement of the </w:t>
      </w:r>
      <w:r>
        <w:rPr>
          <w:color w:val="231F20"/>
          <w:spacing w:val="2"/>
          <w:w w:val="110"/>
          <w:sz w:val="18"/>
        </w:rPr>
        <w:t>case </w:t>
      </w:r>
      <w:r>
        <w:rPr>
          <w:color w:val="231F20"/>
          <w:w w:val="110"/>
          <w:sz w:val="18"/>
        </w:rPr>
        <w:t>within the Incapacity Procedure and the conclusion of the Disciplinary </w:t>
      </w:r>
      <w:r>
        <w:rPr>
          <w:color w:val="231F20"/>
          <w:spacing w:val="2"/>
          <w:w w:val="110"/>
          <w:sz w:val="18"/>
        </w:rPr>
        <w:t>Process </w:t>
      </w:r>
      <w:r>
        <w:rPr>
          <w:color w:val="231F20"/>
          <w:w w:val="110"/>
          <w:sz w:val="18"/>
        </w:rPr>
        <w:t>in relation to that Minister or</w:t>
      </w:r>
      <w:r>
        <w:rPr>
          <w:color w:val="231F20"/>
          <w:spacing w:val="16"/>
          <w:w w:val="110"/>
          <w:sz w:val="18"/>
        </w:rPr>
        <w:t> </w:t>
      </w:r>
      <w:r>
        <w:rPr>
          <w:color w:val="231F20"/>
          <w:w w:val="110"/>
          <w:sz w:val="18"/>
        </w:rPr>
        <w:t>CRCW.</w:t>
      </w:r>
    </w:p>
    <w:p>
      <w:pPr>
        <w:pStyle w:val="BodyText"/>
        <w:spacing w:before="11"/>
        <w:rPr>
          <w:sz w:val="20"/>
        </w:rPr>
      </w:pPr>
    </w:p>
    <w:p>
      <w:pPr>
        <w:pStyle w:val="ListParagraph"/>
        <w:numPr>
          <w:ilvl w:val="0"/>
          <w:numId w:val="35"/>
        </w:numPr>
        <w:tabs>
          <w:tab w:pos="1393" w:val="left" w:leader="none"/>
          <w:tab w:pos="1394" w:val="left" w:leader="none"/>
        </w:tabs>
        <w:spacing w:line="273" w:lineRule="auto" w:before="0" w:after="0"/>
        <w:ind w:left="673" w:right="1797" w:firstLine="0"/>
        <w:jc w:val="left"/>
        <w:rPr>
          <w:sz w:val="18"/>
        </w:rPr>
      </w:pPr>
      <w:r>
        <w:rPr>
          <w:color w:val="231F20"/>
          <w:w w:val="110"/>
          <w:sz w:val="18"/>
        </w:rPr>
        <w:t>Although the operation of the Incapacity Procedure is not based upon the conscious breach by the Minister or CRCW of the promises made at ordination or commissioning, the Review Commission </w:t>
      </w:r>
      <w:r>
        <w:rPr>
          <w:color w:val="231F20"/>
          <w:spacing w:val="-6"/>
          <w:w w:val="110"/>
          <w:sz w:val="18"/>
        </w:rPr>
        <w:t>or, </w:t>
      </w:r>
      <w:r>
        <w:rPr>
          <w:color w:val="231F20"/>
          <w:w w:val="110"/>
          <w:sz w:val="18"/>
        </w:rPr>
        <w:t>in the event of an appeal, the Appeals  Review Commission shall, in considering the matter and reaching its decision, in every </w:t>
      </w:r>
      <w:r>
        <w:rPr>
          <w:color w:val="231F20"/>
          <w:spacing w:val="2"/>
          <w:w w:val="110"/>
          <w:sz w:val="18"/>
        </w:rPr>
        <w:t>case </w:t>
      </w:r>
      <w:r>
        <w:rPr>
          <w:color w:val="231F20"/>
          <w:w w:val="110"/>
          <w:sz w:val="18"/>
        </w:rPr>
        <w:t>have full regard to the Basis of Union* and in particular (in the </w:t>
      </w:r>
      <w:r>
        <w:rPr>
          <w:color w:val="231F20"/>
          <w:spacing w:val="2"/>
          <w:w w:val="110"/>
          <w:sz w:val="18"/>
        </w:rPr>
        <w:t>case </w:t>
      </w:r>
      <w:r>
        <w:rPr>
          <w:color w:val="231F20"/>
          <w:w w:val="110"/>
          <w:sz w:val="18"/>
        </w:rPr>
        <w:t>of Ministers) Paragraph 2 of Schedule E thereto and (in the </w:t>
      </w:r>
      <w:r>
        <w:rPr>
          <w:color w:val="231F20"/>
          <w:spacing w:val="2"/>
          <w:w w:val="110"/>
          <w:sz w:val="18"/>
        </w:rPr>
        <w:t>case </w:t>
      </w:r>
      <w:r>
        <w:rPr>
          <w:color w:val="231F20"/>
          <w:w w:val="110"/>
          <w:sz w:val="18"/>
        </w:rPr>
        <w:t>of </w:t>
      </w:r>
      <w:r>
        <w:rPr>
          <w:color w:val="231F20"/>
          <w:spacing w:val="-2"/>
          <w:w w:val="110"/>
          <w:sz w:val="18"/>
        </w:rPr>
        <w:t>CRCWs) </w:t>
      </w:r>
      <w:r>
        <w:rPr>
          <w:color w:val="231F20"/>
          <w:w w:val="110"/>
          <w:sz w:val="18"/>
        </w:rPr>
        <w:t>Paragraph 2 of Schedule </w:t>
      </w:r>
      <w:r>
        <w:rPr>
          <w:color w:val="231F20"/>
          <w:spacing w:val="-12"/>
          <w:w w:val="110"/>
          <w:sz w:val="18"/>
        </w:rPr>
        <w:t>F, </w:t>
      </w:r>
      <w:r>
        <w:rPr>
          <w:color w:val="231F20"/>
          <w:spacing w:val="2"/>
          <w:w w:val="110"/>
          <w:sz w:val="18"/>
        </w:rPr>
        <w:t>Part </w:t>
      </w:r>
      <w:r>
        <w:rPr>
          <w:color w:val="231F20"/>
          <w:w w:val="110"/>
          <w:sz w:val="18"/>
        </w:rPr>
        <w:t>II thereto which state the responsibilities undertaken by those who become Ministers and CRCWs of the Church and the </w:t>
      </w:r>
      <w:r>
        <w:rPr>
          <w:color w:val="231F20"/>
          <w:spacing w:val="2"/>
          <w:w w:val="110"/>
          <w:sz w:val="18"/>
        </w:rPr>
        <w:t>respective </w:t>
      </w:r>
      <w:r>
        <w:rPr>
          <w:color w:val="231F20"/>
          <w:w w:val="110"/>
          <w:sz w:val="18"/>
        </w:rPr>
        <w:t>criteria which they must apply in the exercise of their</w:t>
      </w:r>
      <w:r>
        <w:rPr>
          <w:color w:val="231F20"/>
          <w:spacing w:val="5"/>
          <w:w w:val="110"/>
          <w:sz w:val="18"/>
        </w:rPr>
        <w:t> </w:t>
      </w:r>
      <w:r>
        <w:rPr>
          <w:color w:val="231F20"/>
          <w:w w:val="110"/>
          <w:sz w:val="18"/>
        </w:rPr>
        <w:t>ministries.</w:t>
      </w:r>
    </w:p>
    <w:p>
      <w:pPr>
        <w:pStyle w:val="BodyText"/>
        <w:rPr>
          <w:sz w:val="21"/>
        </w:rPr>
      </w:pPr>
    </w:p>
    <w:p>
      <w:pPr>
        <w:pStyle w:val="ListParagraph"/>
        <w:numPr>
          <w:ilvl w:val="0"/>
          <w:numId w:val="35"/>
        </w:numPr>
        <w:tabs>
          <w:tab w:pos="1393" w:val="left" w:leader="none"/>
          <w:tab w:pos="1394" w:val="left" w:leader="none"/>
        </w:tabs>
        <w:spacing w:line="273" w:lineRule="auto" w:before="0" w:after="0"/>
        <w:ind w:left="673" w:right="2010" w:firstLine="0"/>
        <w:jc w:val="left"/>
        <w:rPr>
          <w:sz w:val="18"/>
        </w:rPr>
      </w:pPr>
      <w:r>
        <w:rPr>
          <w:color w:val="231F20"/>
          <w:w w:val="110"/>
          <w:sz w:val="18"/>
        </w:rPr>
        <w:t>Save only as provided in Paragraph </w:t>
      </w:r>
      <w:r>
        <w:rPr>
          <w:color w:val="231F20"/>
          <w:spacing w:val="-14"/>
          <w:w w:val="110"/>
          <w:sz w:val="18"/>
        </w:rPr>
        <w:t>7, </w:t>
      </w:r>
      <w:r>
        <w:rPr>
          <w:color w:val="231F20"/>
          <w:w w:val="110"/>
          <w:sz w:val="18"/>
        </w:rPr>
        <w:t>this </w:t>
      </w:r>
      <w:r>
        <w:rPr>
          <w:color w:val="231F20"/>
          <w:spacing w:val="2"/>
          <w:w w:val="110"/>
          <w:sz w:val="18"/>
        </w:rPr>
        <w:t>Part </w:t>
      </w:r>
      <w:r>
        <w:rPr>
          <w:color w:val="231F20"/>
          <w:w w:val="110"/>
          <w:sz w:val="18"/>
        </w:rPr>
        <w:t>I of the Incapacity Procedure is subject to Paragraph </w:t>
      </w:r>
      <w:r>
        <w:rPr>
          <w:color w:val="231F20"/>
          <w:spacing w:val="-9"/>
          <w:w w:val="110"/>
          <w:sz w:val="18"/>
        </w:rPr>
        <w:t>3(1) </w:t>
      </w:r>
      <w:r>
        <w:rPr>
          <w:color w:val="231F20"/>
          <w:w w:val="110"/>
          <w:sz w:val="18"/>
        </w:rPr>
        <w:t>of the</w:t>
      </w:r>
      <w:r>
        <w:rPr>
          <w:color w:val="231F20"/>
          <w:spacing w:val="20"/>
          <w:w w:val="110"/>
          <w:sz w:val="18"/>
        </w:rPr>
        <w:t> </w:t>
      </w:r>
      <w:r>
        <w:rPr>
          <w:color w:val="231F20"/>
          <w:w w:val="110"/>
          <w:sz w:val="18"/>
        </w:rPr>
        <w:t>Structure.</w:t>
      </w:r>
    </w:p>
    <w:p>
      <w:pPr>
        <w:pStyle w:val="BodyText"/>
        <w:spacing w:before="8"/>
        <w:rPr>
          <w:sz w:val="20"/>
        </w:rPr>
      </w:pPr>
    </w:p>
    <w:p>
      <w:pPr>
        <w:pStyle w:val="ListParagraph"/>
        <w:numPr>
          <w:ilvl w:val="0"/>
          <w:numId w:val="35"/>
        </w:numPr>
        <w:tabs>
          <w:tab w:pos="1393" w:val="left" w:leader="none"/>
          <w:tab w:pos="1394" w:val="left" w:leader="none"/>
        </w:tabs>
        <w:spacing w:line="273" w:lineRule="auto" w:before="0" w:after="0"/>
        <w:ind w:left="673" w:right="1820" w:firstLine="0"/>
        <w:jc w:val="left"/>
        <w:rPr>
          <w:sz w:val="18"/>
        </w:rPr>
      </w:pPr>
      <w:r>
        <w:rPr>
          <w:color w:val="231F20"/>
          <w:spacing w:val="2"/>
          <w:w w:val="110"/>
          <w:sz w:val="18"/>
        </w:rPr>
        <w:t>Mission Council </w:t>
      </w:r>
      <w:r>
        <w:rPr>
          <w:color w:val="231F20"/>
          <w:spacing w:val="3"/>
          <w:w w:val="110"/>
          <w:sz w:val="18"/>
        </w:rPr>
        <w:t>acting </w:t>
      </w:r>
      <w:r>
        <w:rPr>
          <w:color w:val="231F20"/>
          <w:w w:val="110"/>
          <w:sz w:val="18"/>
        </w:rPr>
        <w:t>in </w:t>
      </w:r>
      <w:r>
        <w:rPr>
          <w:color w:val="231F20"/>
          <w:spacing w:val="2"/>
          <w:w w:val="110"/>
          <w:sz w:val="18"/>
        </w:rPr>
        <w:t>the </w:t>
      </w:r>
      <w:r>
        <w:rPr>
          <w:color w:val="231F20"/>
          <w:w w:val="110"/>
          <w:sz w:val="18"/>
        </w:rPr>
        <w:t>name of </w:t>
      </w:r>
      <w:r>
        <w:rPr>
          <w:color w:val="231F20"/>
          <w:spacing w:val="3"/>
          <w:w w:val="110"/>
          <w:sz w:val="18"/>
        </w:rPr>
        <w:t>General Assembly </w:t>
      </w:r>
      <w:r>
        <w:rPr>
          <w:color w:val="231F20"/>
          <w:w w:val="110"/>
          <w:sz w:val="18"/>
        </w:rPr>
        <w:t>has </w:t>
      </w:r>
      <w:r>
        <w:rPr>
          <w:color w:val="231F20"/>
          <w:spacing w:val="3"/>
          <w:w w:val="110"/>
          <w:sz w:val="18"/>
        </w:rPr>
        <w:t>authority </w:t>
      </w:r>
      <w:r>
        <w:rPr>
          <w:color w:val="231F20"/>
          <w:w w:val="110"/>
          <w:sz w:val="18"/>
        </w:rPr>
        <w:t>by a </w:t>
      </w:r>
      <w:r>
        <w:rPr>
          <w:color w:val="231F20"/>
          <w:spacing w:val="2"/>
          <w:w w:val="110"/>
          <w:sz w:val="18"/>
        </w:rPr>
        <w:t>single </w:t>
      </w:r>
      <w:r>
        <w:rPr>
          <w:color w:val="231F20"/>
          <w:spacing w:val="3"/>
          <w:w w:val="110"/>
          <w:sz w:val="18"/>
        </w:rPr>
        <w:t>resolution </w:t>
      </w:r>
      <w:r>
        <w:rPr>
          <w:color w:val="231F20"/>
          <w:w w:val="110"/>
          <w:sz w:val="18"/>
        </w:rPr>
        <w:t>of that </w:t>
      </w:r>
      <w:r>
        <w:rPr>
          <w:color w:val="231F20"/>
          <w:spacing w:val="2"/>
          <w:w w:val="110"/>
          <w:sz w:val="18"/>
        </w:rPr>
        <w:t>Council </w:t>
      </w:r>
      <w:r>
        <w:rPr>
          <w:color w:val="231F20"/>
          <w:w w:val="110"/>
          <w:sz w:val="18"/>
        </w:rPr>
        <w:t>to make as and </w:t>
      </w:r>
      <w:r>
        <w:rPr>
          <w:color w:val="231F20"/>
          <w:spacing w:val="2"/>
          <w:w w:val="110"/>
          <w:sz w:val="18"/>
        </w:rPr>
        <w:t>when </w:t>
      </w:r>
      <w:r>
        <w:rPr>
          <w:color w:val="231F20"/>
          <w:spacing w:val="4"/>
          <w:w w:val="110"/>
          <w:sz w:val="18"/>
        </w:rPr>
        <w:t>necessary </w:t>
      </w:r>
      <w:r>
        <w:rPr>
          <w:color w:val="231F20"/>
          <w:w w:val="110"/>
          <w:sz w:val="18"/>
        </w:rPr>
        <w:t>and </w:t>
      </w:r>
      <w:r>
        <w:rPr>
          <w:color w:val="231F20"/>
          <w:spacing w:val="2"/>
          <w:w w:val="110"/>
          <w:sz w:val="18"/>
        </w:rPr>
        <w:t>with immediate </w:t>
      </w:r>
      <w:r>
        <w:rPr>
          <w:color w:val="231F20"/>
          <w:spacing w:val="5"/>
          <w:w w:val="110"/>
          <w:sz w:val="18"/>
        </w:rPr>
        <w:t>effect </w:t>
      </w:r>
      <w:r>
        <w:rPr>
          <w:color w:val="231F20"/>
          <w:spacing w:val="3"/>
          <w:w w:val="110"/>
          <w:sz w:val="18"/>
        </w:rPr>
        <w:t>such changes </w:t>
      </w:r>
      <w:r>
        <w:rPr>
          <w:color w:val="231F20"/>
          <w:w w:val="110"/>
          <w:sz w:val="18"/>
        </w:rPr>
        <w:t>to any </w:t>
      </w:r>
      <w:r>
        <w:rPr>
          <w:color w:val="231F20"/>
          <w:spacing w:val="4"/>
          <w:w w:val="110"/>
          <w:sz w:val="18"/>
        </w:rPr>
        <w:t>part </w:t>
      </w:r>
      <w:r>
        <w:rPr>
          <w:color w:val="231F20"/>
          <w:w w:val="110"/>
          <w:sz w:val="18"/>
        </w:rPr>
        <w:t>of </w:t>
      </w:r>
      <w:r>
        <w:rPr>
          <w:color w:val="231F20"/>
          <w:spacing w:val="2"/>
          <w:w w:val="110"/>
          <w:sz w:val="18"/>
        </w:rPr>
        <w:t>the </w:t>
      </w:r>
      <w:r>
        <w:rPr>
          <w:color w:val="231F20"/>
          <w:spacing w:val="3"/>
          <w:w w:val="110"/>
          <w:sz w:val="18"/>
        </w:rPr>
        <w:t>Incapacity Procedure </w:t>
      </w:r>
      <w:r>
        <w:rPr>
          <w:color w:val="231F20"/>
          <w:w w:val="110"/>
          <w:sz w:val="18"/>
        </w:rPr>
        <w:t>as are, on </w:t>
      </w:r>
      <w:r>
        <w:rPr>
          <w:color w:val="231F20"/>
          <w:spacing w:val="2"/>
          <w:w w:val="110"/>
          <w:sz w:val="18"/>
        </w:rPr>
        <w:t>the advice </w:t>
      </w:r>
      <w:r>
        <w:rPr>
          <w:color w:val="231F20"/>
          <w:w w:val="110"/>
          <w:sz w:val="18"/>
        </w:rPr>
        <w:t>of </w:t>
      </w:r>
      <w:r>
        <w:rPr>
          <w:color w:val="231F20"/>
          <w:spacing w:val="2"/>
          <w:w w:val="110"/>
          <w:sz w:val="18"/>
        </w:rPr>
        <w:t>the legal </w:t>
      </w:r>
      <w:r>
        <w:rPr>
          <w:color w:val="231F20"/>
          <w:spacing w:val="3"/>
          <w:w w:val="110"/>
          <w:sz w:val="18"/>
        </w:rPr>
        <w:t>advisers </w:t>
      </w:r>
      <w:r>
        <w:rPr>
          <w:color w:val="231F20"/>
          <w:w w:val="110"/>
          <w:sz w:val="18"/>
        </w:rPr>
        <w:t>to </w:t>
      </w:r>
      <w:r>
        <w:rPr>
          <w:color w:val="231F20"/>
          <w:spacing w:val="2"/>
          <w:w w:val="110"/>
          <w:sz w:val="18"/>
        </w:rPr>
        <w:t>the Church, </w:t>
      </w:r>
      <w:r>
        <w:rPr>
          <w:color w:val="231F20"/>
          <w:spacing w:val="3"/>
          <w:w w:val="110"/>
          <w:sz w:val="18"/>
        </w:rPr>
        <w:t>required </w:t>
      </w:r>
      <w:r>
        <w:rPr>
          <w:color w:val="231F20"/>
          <w:w w:val="110"/>
          <w:sz w:val="18"/>
        </w:rPr>
        <w:t>to </w:t>
      </w:r>
      <w:r>
        <w:rPr>
          <w:color w:val="231F20"/>
          <w:spacing w:val="2"/>
          <w:w w:val="110"/>
          <w:sz w:val="18"/>
        </w:rPr>
        <w:t>bring </w:t>
      </w:r>
      <w:r>
        <w:rPr>
          <w:color w:val="231F20"/>
          <w:w w:val="110"/>
          <w:sz w:val="18"/>
        </w:rPr>
        <w:t>that </w:t>
      </w:r>
      <w:r>
        <w:rPr>
          <w:color w:val="231F20"/>
          <w:spacing w:val="3"/>
          <w:w w:val="110"/>
          <w:sz w:val="18"/>
        </w:rPr>
        <w:t>procedure </w:t>
      </w:r>
      <w:r>
        <w:rPr>
          <w:color w:val="231F20"/>
          <w:w w:val="110"/>
          <w:sz w:val="18"/>
        </w:rPr>
        <w:t>into line </w:t>
      </w:r>
      <w:r>
        <w:rPr>
          <w:color w:val="231F20"/>
          <w:spacing w:val="2"/>
          <w:w w:val="110"/>
          <w:sz w:val="18"/>
        </w:rPr>
        <w:t>with the</w:t>
      </w:r>
      <w:r>
        <w:rPr>
          <w:color w:val="231F20"/>
          <w:spacing w:val="73"/>
          <w:w w:val="110"/>
          <w:sz w:val="18"/>
        </w:rPr>
        <w:t> </w:t>
      </w:r>
      <w:r>
        <w:rPr>
          <w:color w:val="231F20"/>
          <w:spacing w:val="3"/>
          <w:w w:val="110"/>
          <w:sz w:val="18"/>
        </w:rPr>
        <w:t>general </w:t>
      </w:r>
      <w:r>
        <w:rPr>
          <w:color w:val="231F20"/>
          <w:w w:val="110"/>
          <w:sz w:val="18"/>
        </w:rPr>
        <w:t>law of </w:t>
      </w:r>
      <w:r>
        <w:rPr>
          <w:color w:val="231F20"/>
          <w:spacing w:val="2"/>
          <w:w w:val="110"/>
          <w:sz w:val="18"/>
        </w:rPr>
        <w:t>the </w:t>
      </w:r>
      <w:r>
        <w:rPr>
          <w:color w:val="231F20"/>
          <w:w w:val="110"/>
          <w:sz w:val="18"/>
        </w:rPr>
        <w:t>land </w:t>
      </w:r>
      <w:r>
        <w:rPr>
          <w:color w:val="231F20"/>
          <w:spacing w:val="3"/>
          <w:w w:val="110"/>
          <w:sz w:val="18"/>
        </w:rPr>
        <w:t>consequent </w:t>
      </w:r>
      <w:r>
        <w:rPr>
          <w:color w:val="231F20"/>
          <w:spacing w:val="2"/>
          <w:w w:val="110"/>
          <w:sz w:val="18"/>
        </w:rPr>
        <w:t>upon </w:t>
      </w:r>
      <w:r>
        <w:rPr>
          <w:color w:val="231F20"/>
          <w:w w:val="110"/>
          <w:sz w:val="18"/>
        </w:rPr>
        <w:t>any </w:t>
      </w:r>
      <w:r>
        <w:rPr>
          <w:color w:val="231F20"/>
          <w:spacing w:val="3"/>
          <w:w w:val="110"/>
          <w:sz w:val="18"/>
        </w:rPr>
        <w:t>changes </w:t>
      </w:r>
      <w:r>
        <w:rPr>
          <w:color w:val="231F20"/>
          <w:w w:val="110"/>
          <w:sz w:val="18"/>
        </w:rPr>
        <w:t>in </w:t>
      </w:r>
      <w:r>
        <w:rPr>
          <w:color w:val="231F20"/>
          <w:spacing w:val="2"/>
          <w:w w:val="110"/>
          <w:sz w:val="18"/>
        </w:rPr>
        <w:t>legislation </w:t>
      </w:r>
      <w:r>
        <w:rPr>
          <w:color w:val="231F20"/>
          <w:w w:val="110"/>
          <w:sz w:val="18"/>
        </w:rPr>
        <w:t>and/or </w:t>
      </w:r>
      <w:r>
        <w:rPr>
          <w:color w:val="231F20"/>
          <w:spacing w:val="3"/>
          <w:w w:val="110"/>
          <w:sz w:val="18"/>
        </w:rPr>
        <w:t>case </w:t>
      </w:r>
      <w:r>
        <w:rPr>
          <w:color w:val="231F20"/>
          <w:w w:val="110"/>
          <w:sz w:val="18"/>
        </w:rPr>
        <w:t>law  and any </w:t>
      </w:r>
      <w:r>
        <w:rPr>
          <w:color w:val="231F20"/>
          <w:spacing w:val="3"/>
          <w:w w:val="110"/>
          <w:sz w:val="18"/>
        </w:rPr>
        <w:t>such changes </w:t>
      </w:r>
      <w:r>
        <w:rPr>
          <w:color w:val="231F20"/>
          <w:w w:val="110"/>
          <w:sz w:val="18"/>
        </w:rPr>
        <w:t>as </w:t>
      </w:r>
      <w:r>
        <w:rPr>
          <w:color w:val="231F20"/>
          <w:spacing w:val="2"/>
          <w:w w:val="110"/>
          <w:sz w:val="18"/>
        </w:rPr>
        <w:t>are </w:t>
      </w:r>
      <w:r>
        <w:rPr>
          <w:color w:val="231F20"/>
          <w:w w:val="110"/>
          <w:sz w:val="18"/>
        </w:rPr>
        <w:t>made </w:t>
      </w:r>
      <w:r>
        <w:rPr>
          <w:color w:val="231F20"/>
          <w:spacing w:val="2"/>
          <w:w w:val="110"/>
          <w:sz w:val="18"/>
        </w:rPr>
        <w:t>under </w:t>
      </w:r>
      <w:r>
        <w:rPr>
          <w:color w:val="231F20"/>
          <w:w w:val="110"/>
          <w:sz w:val="18"/>
        </w:rPr>
        <w:t>this </w:t>
      </w:r>
      <w:r>
        <w:rPr>
          <w:color w:val="231F20"/>
          <w:spacing w:val="2"/>
          <w:w w:val="110"/>
          <w:sz w:val="18"/>
        </w:rPr>
        <w:t>Paragraph </w:t>
      </w:r>
      <w:r>
        <w:rPr>
          <w:color w:val="231F20"/>
          <w:w w:val="110"/>
          <w:sz w:val="18"/>
        </w:rPr>
        <w:t>shall </w:t>
      </w:r>
      <w:r>
        <w:rPr>
          <w:color w:val="231F20"/>
          <w:spacing w:val="2"/>
          <w:w w:val="110"/>
          <w:sz w:val="18"/>
        </w:rPr>
        <w:t>be </w:t>
      </w:r>
      <w:r>
        <w:rPr>
          <w:color w:val="231F20"/>
          <w:spacing w:val="4"/>
          <w:w w:val="110"/>
          <w:sz w:val="18"/>
        </w:rPr>
        <w:t>reported </w:t>
      </w:r>
      <w:r>
        <w:rPr>
          <w:color w:val="231F20"/>
          <w:w w:val="110"/>
          <w:sz w:val="18"/>
        </w:rPr>
        <w:t>to </w:t>
      </w:r>
      <w:r>
        <w:rPr>
          <w:color w:val="231F20"/>
          <w:spacing w:val="2"/>
          <w:w w:val="110"/>
          <w:sz w:val="18"/>
        </w:rPr>
        <w:t>the </w:t>
      </w:r>
      <w:r>
        <w:rPr>
          <w:color w:val="231F20"/>
          <w:spacing w:val="3"/>
          <w:w w:val="110"/>
          <w:sz w:val="18"/>
        </w:rPr>
        <w:t>next </w:t>
      </w:r>
      <w:r>
        <w:rPr>
          <w:color w:val="231F20"/>
          <w:w w:val="110"/>
          <w:sz w:val="18"/>
        </w:rPr>
        <w:t>annual </w:t>
      </w:r>
      <w:r>
        <w:rPr>
          <w:color w:val="231F20"/>
          <w:spacing w:val="3"/>
          <w:w w:val="110"/>
          <w:sz w:val="18"/>
        </w:rPr>
        <w:t>meeting </w:t>
      </w:r>
      <w:r>
        <w:rPr>
          <w:color w:val="231F20"/>
          <w:w w:val="110"/>
          <w:sz w:val="18"/>
        </w:rPr>
        <w:t>of </w:t>
      </w:r>
      <w:r>
        <w:rPr>
          <w:color w:val="231F20"/>
          <w:spacing w:val="2"/>
          <w:w w:val="110"/>
          <w:sz w:val="18"/>
        </w:rPr>
        <w:t>the </w:t>
      </w:r>
      <w:r>
        <w:rPr>
          <w:color w:val="231F20"/>
          <w:spacing w:val="3"/>
          <w:w w:val="110"/>
          <w:sz w:val="18"/>
        </w:rPr>
        <w:t>General</w:t>
      </w:r>
      <w:r>
        <w:rPr>
          <w:color w:val="231F20"/>
          <w:spacing w:val="20"/>
          <w:w w:val="110"/>
          <w:sz w:val="18"/>
        </w:rPr>
        <w:t> </w:t>
      </w:r>
      <w:r>
        <w:rPr>
          <w:color w:val="231F20"/>
          <w:w w:val="110"/>
          <w:sz w:val="18"/>
        </w:rPr>
        <w:t>Assembly.</w:t>
      </w:r>
    </w:p>
    <w:p>
      <w:pPr>
        <w:spacing w:after="0" w:line="273" w:lineRule="auto"/>
        <w:jc w:val="left"/>
        <w:rPr>
          <w:sz w:val="18"/>
        </w:rPr>
        <w:sectPr>
          <w:pgSz w:w="11910" w:h="16840"/>
          <w:pgMar w:header="581" w:footer="464" w:top="860" w:bottom="740" w:left="460" w:right="0"/>
        </w:sectPr>
      </w:pPr>
    </w:p>
    <w:p>
      <w:pPr>
        <w:pStyle w:val="BodyText"/>
        <w:spacing w:before="4" w:after="1"/>
        <w:rPr>
          <w:sz w:val="25"/>
        </w:rPr>
      </w:pPr>
    </w:p>
    <w:p>
      <w:pPr>
        <w:pStyle w:val="BodyText"/>
        <w:ind w:left="900"/>
        <w:rPr>
          <w:sz w:val="20"/>
        </w:rPr>
      </w:pPr>
      <w:r>
        <w:rPr>
          <w:sz w:val="20"/>
        </w:rPr>
        <w:pict>
          <v:group style="width:496.6pt;height:160.35pt;mso-position-horizontal-relative:char;mso-position-vertical-relative:line" coordorigin="0,0" coordsize="9932,3207">
            <v:rect style="position:absolute;left:302;top:441;width:4016;height:302" filled="true" fillcolor="#d8dadc" stroked="false">
              <v:fill type="solid"/>
            </v:rect>
            <v:rect style="position:absolute;left:302;top:113;width:159;height:328" filled="true" fillcolor="#d8dadc" stroked="false">
              <v:fill type="solid"/>
            </v:rect>
            <v:line style="position:absolute" from="303,108" to="4319,108"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932;height:3158" type="#_x0000_t75" stroked="false">
              <v:imagedata r:id="rId73" o:title=""/>
            </v:shape>
            <v:shape style="position:absolute;left:416;top:0;width:3724;height:748" type="#_x0000_t202" filled="false" stroked="false">
              <v:textbox inset="0,0,0,0">
                <w:txbxContent>
                  <w:p>
                    <w:pPr>
                      <w:spacing w:line="206" w:lineRule="auto" w:before="43"/>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01"/>
                        <w:w w:val="111"/>
                        <w:sz w:val="43"/>
                      </w:rPr>
                      <w:t>O</w:t>
                    </w:r>
                    <w:r>
                      <w:rPr>
                        <w:b/>
                        <w:color w:val="231F20"/>
                        <w:spacing w:val="-201"/>
                        <w:w w:val="112"/>
                        <w:position w:val="-20"/>
                        <w:sz w:val="50"/>
                      </w:rPr>
                      <w:t>1</w:t>
                    </w:r>
                    <w:r>
                      <w:rPr>
                        <w:b/>
                        <w:color w:val="FFFFFF"/>
                        <w:spacing w:val="-226"/>
                        <w:w w:val="111"/>
                        <w:sz w:val="43"/>
                      </w:rPr>
                      <w:t>N</w:t>
                    </w:r>
                    <w:r>
                      <w:rPr>
                        <w:b/>
                        <w:color w:val="231F20"/>
                        <w:w w:val="112"/>
                        <w:position w:val="-20"/>
                        <w:sz w:val="50"/>
                      </w:rPr>
                      <w:t>3</w:t>
                    </w:r>
                  </w:p>
                </w:txbxContent>
              </v:textbox>
              <w10:wrap type="none"/>
            </v:shape>
            <v:shape style="position:absolute;left:4502;top:442;width:4833;height:487" type="#_x0000_t202" filled="false" stroked="false">
              <v:textbox inset="0,0,0,0">
                <w:txbxContent>
                  <w:p>
                    <w:pPr>
                      <w:spacing w:line="241" w:lineRule="exact" w:before="0"/>
                      <w:ind w:left="0" w:right="0" w:firstLine="0"/>
                      <w:jc w:val="left"/>
                      <w:rPr>
                        <w:b/>
                        <w:sz w:val="20"/>
                      </w:rPr>
                    </w:pPr>
                    <w:r>
                      <w:rPr>
                        <w:b/>
                        <w:color w:val="231F20"/>
                        <w:w w:val="110"/>
                        <w:sz w:val="20"/>
                      </w:rPr>
                      <w:t>Ministerial</w:t>
                    </w:r>
                    <w:r>
                      <w:rPr>
                        <w:b/>
                        <w:color w:val="231F20"/>
                        <w:spacing w:val="-33"/>
                        <w:w w:val="110"/>
                        <w:sz w:val="20"/>
                      </w:rPr>
                      <w:t> </w:t>
                    </w:r>
                    <w:r>
                      <w:rPr>
                        <w:b/>
                        <w:color w:val="231F20"/>
                        <w:w w:val="110"/>
                        <w:sz w:val="20"/>
                      </w:rPr>
                      <w:t>Incapacity</w:t>
                    </w:r>
                    <w:r>
                      <w:rPr>
                        <w:b/>
                        <w:color w:val="231F20"/>
                        <w:spacing w:val="-32"/>
                        <w:w w:val="110"/>
                        <w:sz w:val="20"/>
                      </w:rPr>
                      <w:t> </w:t>
                    </w:r>
                    <w:r>
                      <w:rPr>
                        <w:b/>
                        <w:color w:val="231F20"/>
                        <w:w w:val="110"/>
                        <w:sz w:val="20"/>
                      </w:rPr>
                      <w:t>Procedure</w:t>
                    </w:r>
                    <w:r>
                      <w:rPr>
                        <w:b/>
                        <w:color w:val="231F20"/>
                        <w:spacing w:val="-32"/>
                        <w:w w:val="110"/>
                        <w:sz w:val="20"/>
                      </w:rPr>
                      <w:t> </w:t>
                    </w:r>
                    <w:r>
                      <w:rPr>
                        <w:b/>
                        <w:color w:val="231F20"/>
                        <w:w w:val="110"/>
                        <w:sz w:val="20"/>
                      </w:rPr>
                      <w:t>Part</w:t>
                    </w:r>
                    <w:r>
                      <w:rPr>
                        <w:b/>
                        <w:color w:val="231F20"/>
                        <w:spacing w:val="-32"/>
                        <w:w w:val="110"/>
                        <w:sz w:val="20"/>
                      </w:rPr>
                      <w:t> </w:t>
                    </w:r>
                    <w:r>
                      <w:rPr>
                        <w:b/>
                        <w:color w:val="231F20"/>
                        <w:w w:val="110"/>
                        <w:sz w:val="20"/>
                      </w:rPr>
                      <w:t>II</w:t>
                    </w:r>
                  </w:p>
                  <w:p>
                    <w:pPr>
                      <w:spacing w:before="27"/>
                      <w:ind w:left="100" w:right="0" w:firstLine="0"/>
                      <w:jc w:val="left"/>
                      <w:rPr>
                        <w:i/>
                        <w:sz w:val="18"/>
                      </w:rPr>
                    </w:pPr>
                    <w:r>
                      <w:rPr>
                        <w:i/>
                        <w:color w:val="231F20"/>
                        <w:w w:val="110"/>
                        <w:sz w:val="18"/>
                      </w:rPr>
                      <w:t>(Report page 52 para </w:t>
                    </w:r>
                    <w:r>
                      <w:rPr>
                        <w:i/>
                        <w:color w:val="231F20"/>
                        <w:spacing w:val="-4"/>
                        <w:w w:val="110"/>
                        <w:sz w:val="18"/>
                      </w:rPr>
                      <w:t>6.3.11 </w:t>
                    </w:r>
                    <w:r>
                      <w:rPr>
                        <w:i/>
                        <w:color w:val="231F20"/>
                        <w:w w:val="110"/>
                        <w:sz w:val="18"/>
                      </w:rPr>
                      <w:t>and Document</w:t>
                    </w:r>
                    <w:r>
                      <w:rPr>
                        <w:i/>
                        <w:color w:val="231F20"/>
                        <w:spacing w:val="68"/>
                        <w:w w:val="110"/>
                        <w:sz w:val="18"/>
                      </w:rPr>
                      <w:t> </w:t>
                    </w:r>
                    <w:r>
                      <w:rPr>
                        <w:i/>
                        <w:color w:val="231F20"/>
                        <w:spacing w:val="-3"/>
                        <w:w w:val="110"/>
                        <w:sz w:val="18"/>
                      </w:rPr>
                      <w:t>5)</w:t>
                    </w:r>
                  </w:p>
                </w:txbxContent>
              </v:textbox>
              <w10:wrap type="none"/>
            </v:shape>
            <v:shape style="position:absolute;left:340;top:1240;width:8972;height:1559" type="#_x0000_t202" filled="false" stroked="false">
              <v:textbox inset="0,0,0,0">
                <w:txbxContent>
                  <w:p>
                    <w:pPr>
                      <w:spacing w:before="0"/>
                      <w:ind w:left="0" w:right="0" w:firstLine="0"/>
                      <w:jc w:val="left"/>
                      <w:rPr>
                        <w:i/>
                        <w:sz w:val="18"/>
                      </w:rPr>
                    </w:pPr>
                    <w:r>
                      <w:rPr>
                        <w:i/>
                        <w:color w:val="231F20"/>
                        <w:w w:val="110"/>
                        <w:sz w:val="18"/>
                      </w:rPr>
                      <w:t>Resolution 13 takes the same form as Resolution 11 of 2006</w:t>
                    </w:r>
                  </w:p>
                  <w:p>
                    <w:pPr>
                      <w:spacing w:line="240" w:lineRule="auto" w:before="6"/>
                      <w:rPr>
                        <w:i/>
                        <w:sz w:val="30"/>
                      </w:rPr>
                    </w:pPr>
                  </w:p>
                  <w:p>
                    <w:pPr>
                      <w:spacing w:line="273" w:lineRule="auto" w:before="0"/>
                      <w:ind w:left="0" w:right="86" w:firstLine="0"/>
                      <w:jc w:val="left"/>
                      <w:rPr>
                        <w:sz w:val="18"/>
                      </w:rPr>
                    </w:pPr>
                    <w:r>
                      <w:rPr>
                        <w:color w:val="231F20"/>
                        <w:w w:val="110"/>
                        <w:sz w:val="18"/>
                      </w:rPr>
                      <w:t>General Assembly resolves to take note of Part II of the proposed Ministerial Incapacity Procedure contained in Document 5 and requests Mission Council to bring this to the next following Assembly for decision in this form, subject to such amendments as may be recommended by Mission</w:t>
                    </w:r>
                    <w:r>
                      <w:rPr>
                        <w:color w:val="231F20"/>
                        <w:spacing w:val="6"/>
                        <w:w w:val="110"/>
                        <w:sz w:val="18"/>
                      </w:rPr>
                      <w:t> </w:t>
                    </w:r>
                    <w:r>
                      <w:rPr>
                        <w:color w:val="231F20"/>
                        <w:w w:val="110"/>
                        <w:sz w:val="18"/>
                      </w:rPr>
                      <w:t>Council.</w:t>
                    </w:r>
                  </w:p>
                </w:txbxContent>
              </v:textbox>
              <w10:wrap type="none"/>
            </v:shape>
          </v:group>
        </w:pict>
      </w:r>
      <w:r>
        <w:rPr>
          <w:sz w:val="20"/>
        </w:rPr>
      </w:r>
    </w:p>
    <w:p>
      <w:pPr>
        <w:pStyle w:val="BodyText"/>
        <w:spacing w:before="4"/>
        <w:rPr>
          <w:sz w:val="23"/>
        </w:rPr>
      </w:pPr>
    </w:p>
    <w:p>
      <w:pPr>
        <w:spacing w:after="0"/>
        <w:rPr>
          <w:sz w:val="23"/>
        </w:rPr>
        <w:sectPr>
          <w:pgSz w:w="11910" w:h="16840"/>
          <w:pgMar w:header="581" w:footer="544" w:top="860" w:bottom="740" w:left="460" w:right="0"/>
        </w:sectPr>
      </w:pPr>
    </w:p>
    <w:p>
      <w:pPr>
        <w:pStyle w:val="Heading5"/>
        <w:ind w:left="1373"/>
        <w:rPr>
          <w:sz w:val="50"/>
        </w:rPr>
      </w:pPr>
      <w:r>
        <w:rPr/>
        <w:pict>
          <v:group style="position:absolute;margin-left:70.87159pt;margin-top:7.442907pt;width:496.6pt;height:487.7pt;mso-position-horizontal-relative:page;mso-position-vertical-relative:paragraph;z-index:-275548160" coordorigin="1417,149" coordsize="9932,9754">
            <v:shape style="position:absolute;left:1720;top:212;width:4016;height:632" coordorigin="1720,213" coordsize="4016,632" path="m5736,541l1878,541,1878,213,1720,213,1720,541,1720,845,5736,845,5736,541e" filled="true" fillcolor="#d8dadc" stroked="false">
              <v:path arrowok="t"/>
              <v:fill type="solid"/>
            </v:shape>
            <v:line style="position:absolute" from="1720,207" to="5736,207" stroked="true" strokeweight=".6pt" strokecolor="#d8dadc">
              <v:stroke dashstyle="solid"/>
            </v:line>
            <v:shape style="position:absolute;left:1878;top:213;width:3858;height:328" coordorigin="1878,214" coordsize="3858,328" path="m5736,214l5321,214,1878,214,1878,541,5321,541,5736,541,5736,214e" filled="true" fillcolor="#d8dadc" stroked="false">
              <v:path arrowok="t"/>
              <v:fill type="solid"/>
            </v:shape>
            <v:shape style="position:absolute;left:1417;top:148;width:9932;height:9754" type="#_x0000_t75" stroked="false">
              <v:imagedata r:id="rId74" o:title=""/>
            </v:shape>
            <w10:wrap type="none"/>
          </v:group>
        </w:pict>
      </w: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58"/>
          <w:w w:val="111"/>
        </w:rPr>
        <w:t>O</w:t>
      </w:r>
      <w:r>
        <w:rPr>
          <w:color w:val="231F20"/>
          <w:spacing w:val="-144"/>
          <w:w w:val="112"/>
          <w:position w:val="-20"/>
          <w:sz w:val="50"/>
        </w:rPr>
        <w:t>1</w:t>
      </w:r>
      <w:r>
        <w:rPr>
          <w:color w:val="FFFFFF"/>
          <w:spacing w:val="-283"/>
          <w:w w:val="111"/>
        </w:rPr>
        <w:t>N</w:t>
      </w:r>
      <w:r>
        <w:rPr>
          <w:color w:val="231F20"/>
          <w:spacing w:val="-21"/>
          <w:w w:val="112"/>
          <w:position w:val="-20"/>
          <w:sz w:val="50"/>
        </w:rPr>
        <w:t>4</w:t>
      </w:r>
    </w:p>
    <w:p>
      <w:pPr>
        <w:pStyle w:val="BodyText"/>
        <w:rPr>
          <w:b/>
          <w:sz w:val="22"/>
        </w:rPr>
      </w:pPr>
      <w:r>
        <w:rPr/>
        <w:br w:type="column"/>
      </w:r>
      <w:r>
        <w:rPr>
          <w:b/>
          <w:sz w:val="22"/>
        </w:rPr>
      </w:r>
    </w:p>
    <w:p>
      <w:pPr>
        <w:pStyle w:val="BodyText"/>
        <w:spacing w:before="9"/>
        <w:rPr>
          <w:b/>
          <w:sz w:val="22"/>
        </w:rPr>
      </w:pPr>
    </w:p>
    <w:p>
      <w:pPr>
        <w:spacing w:line="256" w:lineRule="auto" w:before="0"/>
        <w:ind w:left="2044" w:right="1226" w:hanging="1013"/>
        <w:jc w:val="right"/>
        <w:rPr>
          <w:i/>
          <w:sz w:val="18"/>
        </w:rPr>
      </w:pPr>
      <w:r>
        <w:rPr>
          <w:b/>
          <w:color w:val="231F20"/>
          <w:w w:val="110"/>
          <w:sz w:val="20"/>
        </w:rPr>
        <w:t>Ministerial Incapacity Procedure:</w:t>
      </w:r>
      <w:r>
        <w:rPr>
          <w:b/>
          <w:color w:val="231F20"/>
          <w:w w:val="109"/>
          <w:sz w:val="20"/>
        </w:rPr>
        <w:t> </w:t>
      </w:r>
      <w:r>
        <w:rPr>
          <w:b/>
          <w:color w:val="231F20"/>
          <w:w w:val="110"/>
          <w:sz w:val="20"/>
        </w:rPr>
        <w:t>Changes to the Structure</w:t>
      </w:r>
      <w:r>
        <w:rPr>
          <w:b/>
          <w:color w:val="231F20"/>
          <w:w w:val="109"/>
          <w:sz w:val="20"/>
        </w:rPr>
        <w:t> </w:t>
      </w:r>
      <w:r>
        <w:rPr>
          <w:i/>
          <w:color w:val="231F20"/>
          <w:w w:val="110"/>
          <w:sz w:val="18"/>
        </w:rPr>
        <w:t>(Report page 52 para 6.3.12)</w:t>
      </w:r>
    </w:p>
    <w:p>
      <w:pPr>
        <w:spacing w:after="0" w:line="256" w:lineRule="auto"/>
        <w:jc w:val="right"/>
        <w:rPr>
          <w:sz w:val="18"/>
        </w:rPr>
        <w:sectPr>
          <w:type w:val="continuous"/>
          <w:pgSz w:w="11910" w:h="16840"/>
          <w:pgMar w:top="680" w:bottom="280" w:left="460" w:right="0"/>
          <w:cols w:num="2" w:equalWidth="0">
            <w:col w:w="5001" w:space="40"/>
            <w:col w:w="6409"/>
          </w:cols>
        </w:sectPr>
      </w:pPr>
    </w:p>
    <w:p>
      <w:pPr>
        <w:pStyle w:val="BodyText"/>
        <w:spacing w:before="8"/>
        <w:rPr>
          <w:i/>
          <w:sz w:val="13"/>
        </w:rPr>
      </w:pPr>
    </w:p>
    <w:p>
      <w:pPr>
        <w:spacing w:line="273" w:lineRule="auto" w:before="100"/>
        <w:ind w:left="1240" w:right="1382" w:firstLine="0"/>
        <w:jc w:val="left"/>
        <w:rPr>
          <w:i/>
          <w:sz w:val="18"/>
        </w:rPr>
      </w:pPr>
      <w:r>
        <w:rPr>
          <w:i/>
          <w:color w:val="231F20"/>
          <w:w w:val="110"/>
          <w:sz w:val="18"/>
        </w:rPr>
        <w:t>Resolution </w:t>
      </w:r>
      <w:r>
        <w:rPr>
          <w:i/>
          <w:color w:val="231F20"/>
          <w:spacing w:val="-7"/>
          <w:w w:val="110"/>
          <w:sz w:val="18"/>
        </w:rPr>
        <w:t>14 </w:t>
      </w:r>
      <w:r>
        <w:rPr>
          <w:i/>
          <w:color w:val="231F20"/>
          <w:w w:val="110"/>
          <w:sz w:val="18"/>
        </w:rPr>
        <w:t>amends the Structure in order to create a new Synod function which will </w:t>
      </w:r>
      <w:r>
        <w:rPr>
          <w:i/>
          <w:color w:val="231F20"/>
          <w:w w:val="110"/>
          <w:sz w:val="18"/>
        </w:rPr>
        <w:t>give Synods a responsibility in relation to any recommendations or guidance made by   an Assembly Commission or Appeals Commission under the Section O </w:t>
      </w:r>
      <w:r>
        <w:rPr>
          <w:i/>
          <w:color w:val="231F20"/>
          <w:spacing w:val="2"/>
          <w:w w:val="110"/>
          <w:sz w:val="18"/>
        </w:rPr>
        <w:t>Process </w:t>
      </w:r>
      <w:r>
        <w:rPr>
          <w:i/>
          <w:color w:val="231F20"/>
          <w:spacing w:val="-5"/>
          <w:w w:val="110"/>
          <w:sz w:val="18"/>
        </w:rPr>
        <w:t>[or </w:t>
      </w:r>
      <w:r>
        <w:rPr>
          <w:i/>
          <w:color w:val="231F20"/>
          <w:w w:val="110"/>
          <w:sz w:val="18"/>
        </w:rPr>
        <w:t>a Review Commission or an Appeals Review Commission under the Ministerial Incapacity Procedure – to be added if the resolution to approve the introduction of MIP is approved by Assembly].</w:t>
      </w:r>
    </w:p>
    <w:p>
      <w:pPr>
        <w:pStyle w:val="BodyText"/>
        <w:rPr>
          <w:i/>
          <w:sz w:val="22"/>
        </w:rPr>
      </w:pPr>
    </w:p>
    <w:p>
      <w:pPr>
        <w:pStyle w:val="BodyText"/>
        <w:spacing w:before="6"/>
        <w:rPr>
          <w:i/>
          <w:sz w:val="19"/>
        </w:rPr>
      </w:pPr>
    </w:p>
    <w:p>
      <w:pPr>
        <w:pStyle w:val="BodyText"/>
        <w:spacing w:line="273" w:lineRule="auto"/>
        <w:ind w:left="1240" w:right="1365"/>
      </w:pPr>
      <w:r>
        <w:rPr>
          <w:color w:val="231F20"/>
          <w:w w:val="110"/>
        </w:rPr>
        <w:t>General Assembly agrees to make the following changes to the Structure of the United Reformed Church:</w:t>
      </w:r>
    </w:p>
    <w:p>
      <w:pPr>
        <w:pStyle w:val="BodyText"/>
        <w:spacing w:before="8"/>
        <w:rPr>
          <w:sz w:val="20"/>
        </w:rPr>
      </w:pPr>
    </w:p>
    <w:p>
      <w:pPr>
        <w:spacing w:before="0"/>
        <w:ind w:left="1240" w:right="0" w:firstLine="0"/>
        <w:jc w:val="left"/>
        <w:rPr>
          <w:b/>
          <w:sz w:val="18"/>
        </w:rPr>
      </w:pPr>
      <w:r>
        <w:rPr>
          <w:b/>
          <w:color w:val="231F20"/>
          <w:w w:val="110"/>
          <w:sz w:val="18"/>
        </w:rPr>
        <w:t>Paragraph</w:t>
      </w:r>
      <w:r>
        <w:rPr>
          <w:b/>
          <w:color w:val="231F20"/>
          <w:spacing w:val="21"/>
          <w:w w:val="110"/>
          <w:sz w:val="18"/>
        </w:rPr>
        <w:t> </w:t>
      </w:r>
      <w:r>
        <w:rPr>
          <w:b/>
          <w:color w:val="231F20"/>
          <w:spacing w:val="-8"/>
          <w:w w:val="110"/>
          <w:sz w:val="18"/>
        </w:rPr>
        <w:t>2(4)(A)</w:t>
      </w:r>
    </w:p>
    <w:p>
      <w:pPr>
        <w:pStyle w:val="BodyText"/>
        <w:spacing w:before="2"/>
        <w:rPr>
          <w:b/>
          <w:sz w:val="23"/>
        </w:rPr>
      </w:pPr>
    </w:p>
    <w:p>
      <w:pPr>
        <w:pStyle w:val="BodyText"/>
        <w:ind w:left="1240"/>
      </w:pPr>
      <w:r>
        <w:rPr>
          <w:color w:val="231F20"/>
          <w:w w:val="110"/>
        </w:rPr>
        <w:t>Add a new</w:t>
      </w:r>
      <w:r>
        <w:rPr>
          <w:color w:val="231F20"/>
          <w:spacing w:val="28"/>
          <w:w w:val="110"/>
        </w:rPr>
        <w:t> </w:t>
      </w:r>
      <w:r>
        <w:rPr>
          <w:color w:val="231F20"/>
          <w:w w:val="110"/>
        </w:rPr>
        <w:t>function:</w:t>
      </w:r>
    </w:p>
    <w:p>
      <w:pPr>
        <w:pStyle w:val="BodyText"/>
        <w:spacing w:before="1"/>
        <w:rPr>
          <w:sz w:val="23"/>
        </w:rPr>
      </w:pPr>
    </w:p>
    <w:p>
      <w:pPr>
        <w:spacing w:line="273" w:lineRule="auto" w:before="1"/>
        <w:ind w:left="1240" w:right="1593" w:firstLine="0"/>
        <w:jc w:val="left"/>
        <w:rPr>
          <w:b/>
          <w:i/>
          <w:sz w:val="18"/>
        </w:rPr>
      </w:pPr>
      <w:r>
        <w:rPr>
          <w:b/>
          <w:color w:val="231F20"/>
          <w:spacing w:val="-5"/>
          <w:w w:val="110"/>
          <w:sz w:val="18"/>
        </w:rPr>
        <w:t>2(4)(A)(xv) </w:t>
      </w:r>
      <w:r>
        <w:rPr>
          <w:b/>
          <w:color w:val="231F20"/>
          <w:spacing w:val="2"/>
          <w:w w:val="110"/>
          <w:sz w:val="18"/>
        </w:rPr>
        <w:t>to </w:t>
      </w:r>
      <w:r>
        <w:rPr>
          <w:b/>
          <w:color w:val="231F20"/>
          <w:spacing w:val="3"/>
          <w:w w:val="110"/>
          <w:sz w:val="18"/>
        </w:rPr>
        <w:t>ensure </w:t>
      </w:r>
      <w:r>
        <w:rPr>
          <w:b/>
          <w:color w:val="231F20"/>
          <w:spacing w:val="4"/>
          <w:w w:val="110"/>
          <w:sz w:val="18"/>
        </w:rPr>
        <w:t>that, </w:t>
      </w:r>
      <w:r>
        <w:rPr>
          <w:b/>
          <w:color w:val="231F20"/>
          <w:spacing w:val="3"/>
          <w:w w:val="110"/>
          <w:sz w:val="18"/>
        </w:rPr>
        <w:t>where </w:t>
      </w:r>
      <w:r>
        <w:rPr>
          <w:b/>
          <w:color w:val="231F20"/>
          <w:w w:val="110"/>
          <w:sz w:val="18"/>
        </w:rPr>
        <w:t>an </w:t>
      </w:r>
      <w:r>
        <w:rPr>
          <w:b/>
          <w:color w:val="231F20"/>
          <w:spacing w:val="4"/>
          <w:w w:val="110"/>
          <w:sz w:val="18"/>
        </w:rPr>
        <w:t>Assembly </w:t>
      </w:r>
      <w:r>
        <w:rPr>
          <w:b/>
          <w:color w:val="231F20"/>
          <w:spacing w:val="3"/>
          <w:w w:val="110"/>
          <w:sz w:val="18"/>
        </w:rPr>
        <w:t>Commission </w:t>
      </w:r>
      <w:r>
        <w:rPr>
          <w:b/>
          <w:color w:val="231F20"/>
          <w:w w:val="110"/>
          <w:sz w:val="18"/>
        </w:rPr>
        <w:t>or an </w:t>
      </w:r>
      <w:r>
        <w:rPr>
          <w:b/>
          <w:color w:val="231F20"/>
          <w:spacing w:val="3"/>
          <w:w w:val="110"/>
          <w:sz w:val="18"/>
        </w:rPr>
        <w:t>Appeals Commission </w:t>
      </w:r>
      <w:r>
        <w:rPr>
          <w:b/>
          <w:color w:val="231F20"/>
          <w:spacing w:val="2"/>
          <w:w w:val="110"/>
          <w:sz w:val="18"/>
        </w:rPr>
        <w:t>following </w:t>
      </w:r>
      <w:r>
        <w:rPr>
          <w:b/>
          <w:color w:val="231F20"/>
          <w:w w:val="110"/>
          <w:sz w:val="18"/>
        </w:rPr>
        <w:t>a </w:t>
      </w:r>
      <w:r>
        <w:rPr>
          <w:b/>
          <w:color w:val="231F20"/>
          <w:spacing w:val="2"/>
          <w:w w:val="110"/>
          <w:sz w:val="18"/>
        </w:rPr>
        <w:t>Hearing under </w:t>
      </w:r>
      <w:r>
        <w:rPr>
          <w:b/>
          <w:color w:val="231F20"/>
          <w:spacing w:val="3"/>
          <w:w w:val="110"/>
          <w:sz w:val="18"/>
        </w:rPr>
        <w:t>the </w:t>
      </w:r>
      <w:r>
        <w:rPr>
          <w:b/>
          <w:color w:val="231F20"/>
          <w:spacing w:val="4"/>
          <w:w w:val="110"/>
          <w:sz w:val="18"/>
        </w:rPr>
        <w:t>Section </w:t>
      </w:r>
      <w:r>
        <w:rPr>
          <w:b/>
          <w:color w:val="231F20"/>
          <w:w w:val="110"/>
          <w:sz w:val="18"/>
        </w:rPr>
        <w:t>O </w:t>
      </w:r>
      <w:r>
        <w:rPr>
          <w:b/>
          <w:color w:val="231F20"/>
          <w:spacing w:val="4"/>
          <w:w w:val="110"/>
          <w:sz w:val="18"/>
        </w:rPr>
        <w:t>Process </w:t>
      </w:r>
      <w:r>
        <w:rPr>
          <w:b/>
          <w:color w:val="231F20"/>
          <w:spacing w:val="-4"/>
          <w:w w:val="110"/>
          <w:sz w:val="18"/>
        </w:rPr>
        <w:t>[or </w:t>
      </w:r>
      <w:r>
        <w:rPr>
          <w:b/>
          <w:color w:val="231F20"/>
          <w:w w:val="110"/>
          <w:sz w:val="18"/>
        </w:rPr>
        <w:t>a Review </w:t>
      </w:r>
      <w:r>
        <w:rPr>
          <w:b/>
          <w:color w:val="231F20"/>
          <w:spacing w:val="3"/>
          <w:w w:val="110"/>
          <w:sz w:val="18"/>
        </w:rPr>
        <w:t>Commission </w:t>
      </w:r>
      <w:r>
        <w:rPr>
          <w:b/>
          <w:color w:val="231F20"/>
          <w:w w:val="110"/>
          <w:sz w:val="18"/>
        </w:rPr>
        <w:t>or an </w:t>
      </w:r>
      <w:r>
        <w:rPr>
          <w:b/>
          <w:color w:val="231F20"/>
          <w:spacing w:val="3"/>
          <w:w w:val="110"/>
          <w:sz w:val="18"/>
        </w:rPr>
        <w:t>Appeals </w:t>
      </w:r>
      <w:r>
        <w:rPr>
          <w:b/>
          <w:color w:val="231F20"/>
          <w:w w:val="110"/>
          <w:sz w:val="18"/>
        </w:rPr>
        <w:t>Review </w:t>
      </w:r>
      <w:r>
        <w:rPr>
          <w:b/>
          <w:color w:val="231F20"/>
          <w:spacing w:val="3"/>
          <w:w w:val="110"/>
          <w:sz w:val="18"/>
        </w:rPr>
        <w:t>Commission </w:t>
      </w:r>
      <w:r>
        <w:rPr>
          <w:b/>
          <w:color w:val="231F20"/>
          <w:spacing w:val="2"/>
          <w:w w:val="110"/>
          <w:sz w:val="18"/>
        </w:rPr>
        <w:t>following </w:t>
      </w:r>
      <w:r>
        <w:rPr>
          <w:b/>
          <w:color w:val="231F20"/>
          <w:w w:val="110"/>
          <w:sz w:val="18"/>
        </w:rPr>
        <w:t>a </w:t>
      </w:r>
      <w:r>
        <w:rPr>
          <w:b/>
          <w:color w:val="231F20"/>
          <w:spacing w:val="2"/>
          <w:w w:val="110"/>
          <w:sz w:val="18"/>
        </w:rPr>
        <w:t>Hearing under </w:t>
      </w:r>
      <w:r>
        <w:rPr>
          <w:b/>
          <w:color w:val="231F20"/>
          <w:spacing w:val="3"/>
          <w:w w:val="110"/>
          <w:sz w:val="18"/>
        </w:rPr>
        <w:t>the Ministerial Incapacity Procedure </w:t>
      </w:r>
      <w:r>
        <w:rPr>
          <w:b/>
          <w:color w:val="231F20"/>
          <w:w w:val="110"/>
          <w:sz w:val="18"/>
        </w:rPr>
        <w:t>– </w:t>
      </w:r>
      <w:r>
        <w:rPr>
          <w:b/>
          <w:i/>
          <w:color w:val="231F20"/>
          <w:w w:val="110"/>
          <w:sz w:val="18"/>
        </w:rPr>
        <w:t>to be </w:t>
      </w:r>
      <w:r>
        <w:rPr>
          <w:b/>
          <w:i/>
          <w:color w:val="231F20"/>
          <w:spacing w:val="2"/>
          <w:w w:val="110"/>
          <w:sz w:val="18"/>
        </w:rPr>
        <w:t>added </w:t>
      </w:r>
      <w:r>
        <w:rPr>
          <w:b/>
          <w:i/>
          <w:color w:val="231F20"/>
          <w:w w:val="110"/>
          <w:sz w:val="18"/>
        </w:rPr>
        <w:t>if </w:t>
      </w:r>
      <w:r>
        <w:rPr>
          <w:b/>
          <w:i/>
          <w:color w:val="231F20"/>
          <w:spacing w:val="2"/>
          <w:w w:val="110"/>
          <w:sz w:val="18"/>
        </w:rPr>
        <w:t>the</w:t>
      </w:r>
      <w:r>
        <w:rPr>
          <w:b/>
          <w:i/>
          <w:color w:val="231F20"/>
          <w:spacing w:val="71"/>
          <w:w w:val="110"/>
          <w:sz w:val="18"/>
        </w:rPr>
        <w:t> </w:t>
      </w:r>
      <w:r>
        <w:rPr>
          <w:b/>
          <w:i/>
          <w:color w:val="231F20"/>
          <w:spacing w:val="3"/>
          <w:w w:val="110"/>
          <w:sz w:val="18"/>
        </w:rPr>
        <w:t>resolution</w:t>
      </w:r>
    </w:p>
    <w:p>
      <w:pPr>
        <w:spacing w:line="273" w:lineRule="auto" w:before="2"/>
        <w:ind w:left="1240" w:right="1677" w:firstLine="0"/>
        <w:jc w:val="left"/>
        <w:rPr>
          <w:b/>
          <w:sz w:val="18"/>
        </w:rPr>
      </w:pPr>
      <w:r>
        <w:rPr>
          <w:b/>
          <w:i/>
          <w:color w:val="231F20"/>
          <w:w w:val="110"/>
          <w:sz w:val="18"/>
        </w:rPr>
        <w:t>to approve </w:t>
      </w:r>
      <w:r>
        <w:rPr>
          <w:b/>
          <w:i/>
          <w:color w:val="231F20"/>
          <w:spacing w:val="2"/>
          <w:w w:val="110"/>
          <w:sz w:val="18"/>
        </w:rPr>
        <w:t>the </w:t>
      </w:r>
      <w:r>
        <w:rPr>
          <w:b/>
          <w:i/>
          <w:color w:val="231F20"/>
          <w:spacing w:val="3"/>
          <w:w w:val="110"/>
          <w:sz w:val="18"/>
        </w:rPr>
        <w:t>introduction </w:t>
      </w:r>
      <w:r>
        <w:rPr>
          <w:b/>
          <w:i/>
          <w:color w:val="231F20"/>
          <w:w w:val="110"/>
          <w:sz w:val="18"/>
        </w:rPr>
        <w:t>of MIP is </w:t>
      </w:r>
      <w:r>
        <w:rPr>
          <w:b/>
          <w:i/>
          <w:color w:val="231F20"/>
          <w:spacing w:val="2"/>
          <w:w w:val="110"/>
          <w:sz w:val="18"/>
        </w:rPr>
        <w:t>approved </w:t>
      </w:r>
      <w:r>
        <w:rPr>
          <w:b/>
          <w:i/>
          <w:color w:val="231F20"/>
          <w:w w:val="110"/>
          <w:sz w:val="18"/>
        </w:rPr>
        <w:t>by Assembly] </w:t>
      </w:r>
      <w:r>
        <w:rPr>
          <w:b/>
          <w:color w:val="231F20"/>
          <w:spacing w:val="3"/>
          <w:w w:val="110"/>
          <w:sz w:val="18"/>
        </w:rPr>
        <w:t>appends recommendations </w:t>
      </w:r>
      <w:r>
        <w:rPr>
          <w:b/>
          <w:color w:val="231F20"/>
          <w:spacing w:val="2"/>
          <w:w w:val="110"/>
          <w:sz w:val="18"/>
        </w:rPr>
        <w:t>to </w:t>
      </w:r>
      <w:r>
        <w:rPr>
          <w:b/>
          <w:color w:val="231F20"/>
          <w:spacing w:val="3"/>
          <w:w w:val="110"/>
          <w:sz w:val="18"/>
        </w:rPr>
        <w:t>its decision </w:t>
      </w:r>
      <w:r>
        <w:rPr>
          <w:b/>
          <w:color w:val="231F20"/>
          <w:spacing w:val="2"/>
          <w:w w:val="110"/>
          <w:sz w:val="18"/>
        </w:rPr>
        <w:t>not to </w:t>
      </w:r>
      <w:r>
        <w:rPr>
          <w:b/>
          <w:color w:val="231F20"/>
          <w:spacing w:val="3"/>
          <w:w w:val="110"/>
          <w:sz w:val="18"/>
        </w:rPr>
        <w:t>delete the </w:t>
      </w:r>
      <w:r>
        <w:rPr>
          <w:b/>
          <w:color w:val="231F20"/>
          <w:w w:val="110"/>
          <w:sz w:val="18"/>
        </w:rPr>
        <w:t>name of a </w:t>
      </w:r>
      <w:r>
        <w:rPr>
          <w:b/>
          <w:color w:val="231F20"/>
          <w:spacing w:val="3"/>
          <w:w w:val="110"/>
          <w:sz w:val="18"/>
        </w:rPr>
        <w:t>minister  from the </w:t>
      </w:r>
      <w:r>
        <w:rPr>
          <w:b/>
          <w:color w:val="231F20"/>
          <w:w w:val="110"/>
          <w:sz w:val="18"/>
        </w:rPr>
        <w:t>Roll of </w:t>
      </w:r>
      <w:r>
        <w:rPr>
          <w:b/>
          <w:color w:val="231F20"/>
          <w:spacing w:val="3"/>
          <w:w w:val="110"/>
          <w:sz w:val="18"/>
        </w:rPr>
        <w:t>Ministers </w:t>
      </w:r>
      <w:r>
        <w:rPr>
          <w:b/>
          <w:color w:val="231F20"/>
          <w:w w:val="110"/>
          <w:sz w:val="18"/>
        </w:rPr>
        <w:t>or a </w:t>
      </w:r>
      <w:r>
        <w:rPr>
          <w:b/>
          <w:color w:val="231F20"/>
          <w:spacing w:val="3"/>
          <w:w w:val="110"/>
          <w:sz w:val="18"/>
        </w:rPr>
        <w:t>church </w:t>
      </w:r>
      <w:r>
        <w:rPr>
          <w:b/>
          <w:color w:val="231F20"/>
          <w:spacing w:val="4"/>
          <w:w w:val="110"/>
          <w:sz w:val="18"/>
        </w:rPr>
        <w:t>related </w:t>
      </w:r>
      <w:r>
        <w:rPr>
          <w:b/>
          <w:color w:val="231F20"/>
          <w:spacing w:val="3"/>
          <w:w w:val="110"/>
          <w:sz w:val="18"/>
        </w:rPr>
        <w:t>community </w:t>
      </w:r>
      <w:r>
        <w:rPr>
          <w:b/>
          <w:color w:val="231F20"/>
          <w:w w:val="110"/>
          <w:sz w:val="18"/>
        </w:rPr>
        <w:t>worker </w:t>
      </w:r>
      <w:r>
        <w:rPr>
          <w:b/>
          <w:color w:val="231F20"/>
          <w:spacing w:val="3"/>
          <w:w w:val="110"/>
          <w:sz w:val="18"/>
        </w:rPr>
        <w:t>from the </w:t>
      </w:r>
      <w:r>
        <w:rPr>
          <w:b/>
          <w:color w:val="231F20"/>
          <w:w w:val="110"/>
          <w:sz w:val="18"/>
        </w:rPr>
        <w:t>Roll of </w:t>
      </w:r>
      <w:r>
        <w:rPr>
          <w:b/>
          <w:color w:val="231F20"/>
          <w:spacing w:val="3"/>
          <w:w w:val="110"/>
          <w:sz w:val="18"/>
        </w:rPr>
        <w:t>Church Related Community </w:t>
      </w:r>
      <w:r>
        <w:rPr>
          <w:b/>
          <w:color w:val="231F20"/>
          <w:spacing w:val="2"/>
          <w:w w:val="110"/>
          <w:sz w:val="18"/>
        </w:rPr>
        <w:t>Workers </w:t>
      </w:r>
      <w:r>
        <w:rPr>
          <w:b/>
          <w:color w:val="231F20"/>
          <w:w w:val="110"/>
          <w:sz w:val="18"/>
        </w:rPr>
        <w:t>or </w:t>
      </w:r>
      <w:r>
        <w:rPr>
          <w:b/>
          <w:color w:val="231F20"/>
          <w:spacing w:val="3"/>
          <w:w w:val="110"/>
          <w:sz w:val="18"/>
        </w:rPr>
        <w:t>appends </w:t>
      </w:r>
      <w:r>
        <w:rPr>
          <w:b/>
          <w:color w:val="231F20"/>
          <w:spacing w:val="2"/>
          <w:w w:val="110"/>
          <w:sz w:val="18"/>
        </w:rPr>
        <w:t>guidance to </w:t>
      </w:r>
      <w:r>
        <w:rPr>
          <w:b/>
          <w:color w:val="231F20"/>
          <w:spacing w:val="3"/>
          <w:w w:val="110"/>
          <w:sz w:val="18"/>
        </w:rPr>
        <w:t>its decision </w:t>
      </w:r>
      <w:r>
        <w:rPr>
          <w:b/>
          <w:color w:val="231F20"/>
          <w:spacing w:val="2"/>
          <w:w w:val="110"/>
          <w:sz w:val="18"/>
        </w:rPr>
        <w:t>to </w:t>
      </w:r>
      <w:r>
        <w:rPr>
          <w:b/>
          <w:color w:val="231F20"/>
          <w:spacing w:val="3"/>
          <w:w w:val="110"/>
          <w:sz w:val="18"/>
        </w:rPr>
        <w:t>delete the </w:t>
      </w:r>
      <w:r>
        <w:rPr>
          <w:b/>
          <w:color w:val="231F20"/>
          <w:w w:val="110"/>
          <w:sz w:val="18"/>
        </w:rPr>
        <w:t>name of </w:t>
      </w:r>
      <w:r>
        <w:rPr>
          <w:b/>
          <w:color w:val="231F20"/>
          <w:spacing w:val="3"/>
          <w:w w:val="110"/>
          <w:sz w:val="18"/>
        </w:rPr>
        <w:t>the minister </w:t>
      </w:r>
      <w:r>
        <w:rPr>
          <w:b/>
          <w:color w:val="231F20"/>
          <w:w w:val="110"/>
          <w:sz w:val="18"/>
        </w:rPr>
        <w:t>or </w:t>
      </w:r>
      <w:r>
        <w:rPr>
          <w:b/>
          <w:color w:val="231F20"/>
          <w:spacing w:val="3"/>
          <w:w w:val="110"/>
          <w:sz w:val="18"/>
        </w:rPr>
        <w:t>church </w:t>
      </w:r>
      <w:r>
        <w:rPr>
          <w:b/>
          <w:color w:val="231F20"/>
          <w:spacing w:val="4"/>
          <w:w w:val="110"/>
          <w:sz w:val="18"/>
        </w:rPr>
        <w:t>related </w:t>
      </w:r>
      <w:r>
        <w:rPr>
          <w:b/>
          <w:color w:val="231F20"/>
          <w:spacing w:val="3"/>
          <w:w w:val="110"/>
          <w:sz w:val="18"/>
        </w:rPr>
        <w:t>community </w:t>
      </w:r>
      <w:r>
        <w:rPr>
          <w:b/>
          <w:color w:val="231F20"/>
          <w:w w:val="110"/>
          <w:sz w:val="18"/>
        </w:rPr>
        <w:t>worker </w:t>
      </w:r>
      <w:r>
        <w:rPr>
          <w:b/>
          <w:color w:val="231F20"/>
          <w:spacing w:val="3"/>
          <w:w w:val="110"/>
          <w:sz w:val="18"/>
        </w:rPr>
        <w:t>from the </w:t>
      </w:r>
      <w:r>
        <w:rPr>
          <w:b/>
          <w:color w:val="231F20"/>
          <w:spacing w:val="4"/>
          <w:w w:val="110"/>
          <w:sz w:val="18"/>
        </w:rPr>
        <w:t>respective </w:t>
      </w:r>
      <w:r>
        <w:rPr>
          <w:b/>
          <w:color w:val="231F20"/>
          <w:w w:val="110"/>
          <w:sz w:val="18"/>
        </w:rPr>
        <w:t>Roll, any </w:t>
      </w:r>
      <w:r>
        <w:rPr>
          <w:b/>
          <w:color w:val="231F20"/>
          <w:spacing w:val="3"/>
          <w:w w:val="110"/>
          <w:sz w:val="18"/>
        </w:rPr>
        <w:t>such recommendations </w:t>
      </w:r>
      <w:r>
        <w:rPr>
          <w:b/>
          <w:color w:val="231F20"/>
          <w:spacing w:val="2"/>
          <w:w w:val="110"/>
          <w:sz w:val="18"/>
        </w:rPr>
        <w:t>are </w:t>
      </w:r>
      <w:r>
        <w:rPr>
          <w:b/>
          <w:color w:val="231F20"/>
          <w:spacing w:val="3"/>
          <w:w w:val="110"/>
          <w:sz w:val="18"/>
        </w:rPr>
        <w:t>brought </w:t>
      </w:r>
      <w:r>
        <w:rPr>
          <w:b/>
          <w:color w:val="231F20"/>
          <w:w w:val="110"/>
          <w:sz w:val="18"/>
        </w:rPr>
        <w:t>fully </w:t>
      </w:r>
      <w:r>
        <w:rPr>
          <w:b/>
          <w:color w:val="231F20"/>
          <w:spacing w:val="2"/>
          <w:w w:val="110"/>
          <w:sz w:val="18"/>
        </w:rPr>
        <w:t>to </w:t>
      </w:r>
      <w:r>
        <w:rPr>
          <w:b/>
          <w:color w:val="231F20"/>
          <w:spacing w:val="3"/>
          <w:w w:val="110"/>
          <w:sz w:val="18"/>
        </w:rPr>
        <w:t>the </w:t>
      </w:r>
      <w:r>
        <w:rPr>
          <w:b/>
          <w:color w:val="231F20"/>
          <w:spacing w:val="4"/>
          <w:w w:val="110"/>
          <w:sz w:val="18"/>
        </w:rPr>
        <w:t>attention </w:t>
      </w:r>
      <w:r>
        <w:rPr>
          <w:b/>
          <w:color w:val="231F20"/>
          <w:w w:val="110"/>
          <w:sz w:val="18"/>
        </w:rPr>
        <w:t>of </w:t>
      </w:r>
      <w:r>
        <w:rPr>
          <w:b/>
          <w:color w:val="231F20"/>
          <w:spacing w:val="3"/>
          <w:w w:val="110"/>
          <w:sz w:val="18"/>
        </w:rPr>
        <w:t>those responsible </w:t>
      </w:r>
      <w:r>
        <w:rPr>
          <w:b/>
          <w:color w:val="231F20"/>
          <w:spacing w:val="2"/>
          <w:w w:val="110"/>
          <w:sz w:val="18"/>
        </w:rPr>
        <w:t>for </w:t>
      </w:r>
      <w:r>
        <w:rPr>
          <w:b/>
          <w:color w:val="231F20"/>
          <w:spacing w:val="3"/>
          <w:w w:val="110"/>
          <w:sz w:val="18"/>
        </w:rPr>
        <w:t>exercising </w:t>
      </w:r>
      <w:r>
        <w:rPr>
          <w:b/>
          <w:color w:val="231F20"/>
          <w:spacing w:val="2"/>
          <w:w w:val="110"/>
          <w:sz w:val="18"/>
        </w:rPr>
        <w:t>oversight </w:t>
      </w:r>
      <w:r>
        <w:rPr>
          <w:b/>
          <w:color w:val="231F20"/>
          <w:w w:val="110"/>
          <w:sz w:val="18"/>
        </w:rPr>
        <w:t>of </w:t>
      </w:r>
      <w:r>
        <w:rPr>
          <w:b/>
          <w:color w:val="231F20"/>
          <w:spacing w:val="3"/>
          <w:w w:val="110"/>
          <w:sz w:val="18"/>
        </w:rPr>
        <w:t>the minister</w:t>
      </w:r>
      <w:r>
        <w:rPr>
          <w:b/>
          <w:color w:val="231F20"/>
          <w:spacing w:val="12"/>
          <w:w w:val="110"/>
          <w:sz w:val="18"/>
        </w:rPr>
        <w:t> </w:t>
      </w:r>
      <w:r>
        <w:rPr>
          <w:b/>
          <w:color w:val="231F20"/>
          <w:w w:val="110"/>
          <w:sz w:val="18"/>
        </w:rPr>
        <w:t>or</w:t>
      </w:r>
      <w:r>
        <w:rPr>
          <w:b/>
          <w:color w:val="231F20"/>
          <w:spacing w:val="12"/>
          <w:w w:val="110"/>
          <w:sz w:val="18"/>
        </w:rPr>
        <w:t> </w:t>
      </w:r>
      <w:r>
        <w:rPr>
          <w:b/>
          <w:color w:val="231F20"/>
          <w:spacing w:val="3"/>
          <w:w w:val="110"/>
          <w:sz w:val="18"/>
        </w:rPr>
        <w:t>church</w:t>
      </w:r>
      <w:r>
        <w:rPr>
          <w:b/>
          <w:color w:val="231F20"/>
          <w:spacing w:val="12"/>
          <w:w w:val="110"/>
          <w:sz w:val="18"/>
        </w:rPr>
        <w:t> </w:t>
      </w:r>
      <w:r>
        <w:rPr>
          <w:b/>
          <w:color w:val="231F20"/>
          <w:spacing w:val="4"/>
          <w:w w:val="110"/>
          <w:sz w:val="18"/>
        </w:rPr>
        <w:t>related</w:t>
      </w:r>
      <w:r>
        <w:rPr>
          <w:b/>
          <w:color w:val="231F20"/>
          <w:spacing w:val="12"/>
          <w:w w:val="110"/>
          <w:sz w:val="18"/>
        </w:rPr>
        <w:t> </w:t>
      </w:r>
      <w:r>
        <w:rPr>
          <w:b/>
          <w:color w:val="231F20"/>
          <w:spacing w:val="3"/>
          <w:w w:val="110"/>
          <w:sz w:val="18"/>
        </w:rPr>
        <w:t>community</w:t>
      </w:r>
      <w:r>
        <w:rPr>
          <w:b/>
          <w:color w:val="231F20"/>
          <w:spacing w:val="12"/>
          <w:w w:val="110"/>
          <w:sz w:val="18"/>
        </w:rPr>
        <w:t> </w:t>
      </w:r>
      <w:r>
        <w:rPr>
          <w:b/>
          <w:color w:val="231F20"/>
          <w:w w:val="110"/>
          <w:sz w:val="18"/>
        </w:rPr>
        <w:t>worker</w:t>
      </w:r>
      <w:r>
        <w:rPr>
          <w:b/>
          <w:color w:val="231F20"/>
          <w:spacing w:val="12"/>
          <w:w w:val="110"/>
          <w:sz w:val="18"/>
        </w:rPr>
        <w:t> </w:t>
      </w:r>
      <w:r>
        <w:rPr>
          <w:b/>
          <w:color w:val="231F20"/>
          <w:w w:val="110"/>
          <w:sz w:val="18"/>
        </w:rPr>
        <w:t>in</w:t>
      </w:r>
      <w:r>
        <w:rPr>
          <w:b/>
          <w:color w:val="231F20"/>
          <w:spacing w:val="12"/>
          <w:w w:val="110"/>
          <w:sz w:val="18"/>
        </w:rPr>
        <w:t> </w:t>
      </w:r>
      <w:r>
        <w:rPr>
          <w:b/>
          <w:color w:val="231F20"/>
          <w:spacing w:val="3"/>
          <w:w w:val="110"/>
          <w:sz w:val="18"/>
        </w:rPr>
        <w:t>future</w:t>
      </w:r>
      <w:r>
        <w:rPr>
          <w:b/>
          <w:color w:val="231F20"/>
          <w:spacing w:val="12"/>
          <w:w w:val="110"/>
          <w:sz w:val="18"/>
        </w:rPr>
        <w:t> </w:t>
      </w:r>
      <w:r>
        <w:rPr>
          <w:b/>
          <w:color w:val="231F20"/>
          <w:spacing w:val="2"/>
          <w:w w:val="110"/>
          <w:sz w:val="18"/>
        </w:rPr>
        <w:t>and</w:t>
      </w:r>
      <w:r>
        <w:rPr>
          <w:b/>
          <w:color w:val="231F20"/>
          <w:spacing w:val="12"/>
          <w:w w:val="110"/>
          <w:sz w:val="18"/>
        </w:rPr>
        <w:t> </w:t>
      </w:r>
      <w:r>
        <w:rPr>
          <w:b/>
          <w:color w:val="231F20"/>
          <w:spacing w:val="3"/>
          <w:w w:val="110"/>
          <w:sz w:val="18"/>
        </w:rPr>
        <w:t>that</w:t>
      </w:r>
      <w:r>
        <w:rPr>
          <w:b/>
          <w:color w:val="231F20"/>
          <w:spacing w:val="12"/>
          <w:w w:val="110"/>
          <w:sz w:val="18"/>
        </w:rPr>
        <w:t> </w:t>
      </w:r>
      <w:r>
        <w:rPr>
          <w:b/>
          <w:color w:val="231F20"/>
          <w:w w:val="110"/>
          <w:sz w:val="18"/>
        </w:rPr>
        <w:t>any</w:t>
      </w:r>
      <w:r>
        <w:rPr>
          <w:b/>
          <w:color w:val="231F20"/>
          <w:spacing w:val="12"/>
          <w:w w:val="110"/>
          <w:sz w:val="18"/>
        </w:rPr>
        <w:t> </w:t>
      </w:r>
      <w:r>
        <w:rPr>
          <w:b/>
          <w:color w:val="231F20"/>
          <w:spacing w:val="3"/>
          <w:w w:val="110"/>
          <w:sz w:val="18"/>
        </w:rPr>
        <w:t>such</w:t>
      </w:r>
    </w:p>
    <w:p>
      <w:pPr>
        <w:spacing w:line="273" w:lineRule="auto" w:before="5"/>
        <w:ind w:left="1240" w:right="1565" w:firstLine="0"/>
        <w:jc w:val="left"/>
        <w:rPr>
          <w:b/>
          <w:sz w:val="18"/>
        </w:rPr>
      </w:pPr>
      <w:r>
        <w:rPr>
          <w:b/>
          <w:color w:val="231F20"/>
          <w:spacing w:val="3"/>
          <w:w w:val="110"/>
          <w:sz w:val="18"/>
        </w:rPr>
        <w:t>recommendations </w:t>
      </w:r>
      <w:r>
        <w:rPr>
          <w:b/>
          <w:color w:val="231F20"/>
          <w:spacing w:val="-4"/>
          <w:w w:val="110"/>
          <w:sz w:val="18"/>
        </w:rPr>
        <w:t>(or </w:t>
      </w:r>
      <w:r>
        <w:rPr>
          <w:b/>
          <w:color w:val="231F20"/>
          <w:spacing w:val="3"/>
          <w:w w:val="110"/>
          <w:sz w:val="18"/>
        </w:rPr>
        <w:t>guidance, </w:t>
      </w:r>
      <w:r>
        <w:rPr>
          <w:b/>
          <w:color w:val="231F20"/>
          <w:w w:val="110"/>
          <w:sz w:val="18"/>
        </w:rPr>
        <w:t>if </w:t>
      </w:r>
      <w:r>
        <w:rPr>
          <w:b/>
          <w:color w:val="231F20"/>
          <w:spacing w:val="3"/>
          <w:w w:val="110"/>
          <w:sz w:val="18"/>
        </w:rPr>
        <w:t>such </w:t>
      </w:r>
      <w:r>
        <w:rPr>
          <w:b/>
          <w:color w:val="231F20"/>
          <w:spacing w:val="2"/>
          <w:w w:val="110"/>
          <w:sz w:val="18"/>
        </w:rPr>
        <w:t>be </w:t>
      </w:r>
      <w:r>
        <w:rPr>
          <w:b/>
          <w:color w:val="231F20"/>
          <w:spacing w:val="3"/>
          <w:w w:val="110"/>
          <w:sz w:val="18"/>
        </w:rPr>
        <w:t>the </w:t>
      </w:r>
      <w:r>
        <w:rPr>
          <w:b/>
          <w:color w:val="231F20"/>
          <w:w w:val="110"/>
          <w:sz w:val="18"/>
        </w:rPr>
        <w:t>case) </w:t>
      </w:r>
      <w:r>
        <w:rPr>
          <w:b/>
          <w:color w:val="231F20"/>
          <w:spacing w:val="2"/>
          <w:w w:val="110"/>
          <w:sz w:val="18"/>
        </w:rPr>
        <w:t>are </w:t>
      </w:r>
      <w:r>
        <w:rPr>
          <w:b/>
          <w:color w:val="231F20"/>
          <w:spacing w:val="3"/>
          <w:w w:val="110"/>
          <w:sz w:val="18"/>
        </w:rPr>
        <w:t>brought </w:t>
      </w:r>
      <w:r>
        <w:rPr>
          <w:b/>
          <w:color w:val="231F20"/>
          <w:w w:val="110"/>
          <w:sz w:val="18"/>
        </w:rPr>
        <w:t>fully </w:t>
      </w:r>
      <w:r>
        <w:rPr>
          <w:b/>
          <w:color w:val="231F20"/>
          <w:spacing w:val="2"/>
          <w:w w:val="110"/>
          <w:sz w:val="18"/>
        </w:rPr>
        <w:t>to </w:t>
      </w:r>
      <w:r>
        <w:rPr>
          <w:b/>
          <w:color w:val="231F20"/>
          <w:spacing w:val="3"/>
          <w:w w:val="110"/>
          <w:sz w:val="18"/>
        </w:rPr>
        <w:t>the attention </w:t>
      </w:r>
      <w:r>
        <w:rPr>
          <w:b/>
          <w:color w:val="231F20"/>
          <w:w w:val="110"/>
          <w:sz w:val="18"/>
        </w:rPr>
        <w:t>of any </w:t>
      </w:r>
      <w:r>
        <w:rPr>
          <w:b/>
          <w:color w:val="231F20"/>
          <w:spacing w:val="3"/>
          <w:w w:val="110"/>
          <w:sz w:val="18"/>
        </w:rPr>
        <w:t>others identified </w:t>
      </w:r>
      <w:r>
        <w:rPr>
          <w:b/>
          <w:color w:val="231F20"/>
          <w:spacing w:val="2"/>
          <w:w w:val="110"/>
          <w:sz w:val="18"/>
        </w:rPr>
        <w:t>under </w:t>
      </w:r>
      <w:r>
        <w:rPr>
          <w:b/>
          <w:color w:val="231F20"/>
          <w:spacing w:val="3"/>
          <w:w w:val="110"/>
          <w:sz w:val="18"/>
        </w:rPr>
        <w:t>the </w:t>
      </w:r>
      <w:r>
        <w:rPr>
          <w:b/>
          <w:color w:val="231F20"/>
          <w:spacing w:val="2"/>
          <w:w w:val="110"/>
          <w:sz w:val="18"/>
        </w:rPr>
        <w:t>relevant </w:t>
      </w:r>
      <w:r>
        <w:rPr>
          <w:b/>
          <w:color w:val="231F20"/>
          <w:spacing w:val="4"/>
          <w:w w:val="110"/>
          <w:sz w:val="18"/>
        </w:rPr>
        <w:t>Process </w:t>
      </w:r>
      <w:r>
        <w:rPr>
          <w:b/>
          <w:color w:val="231F20"/>
          <w:w w:val="110"/>
          <w:sz w:val="18"/>
        </w:rPr>
        <w:t>or </w:t>
      </w:r>
      <w:r>
        <w:rPr>
          <w:b/>
          <w:color w:val="231F20"/>
          <w:spacing w:val="3"/>
          <w:w w:val="110"/>
          <w:sz w:val="18"/>
        </w:rPr>
        <w:t>Procedure  </w:t>
      </w:r>
      <w:r>
        <w:rPr>
          <w:b/>
          <w:color w:val="231F20"/>
          <w:w w:val="110"/>
          <w:sz w:val="18"/>
        </w:rPr>
        <w:t>as </w:t>
      </w:r>
      <w:r>
        <w:rPr>
          <w:b/>
          <w:color w:val="231F20"/>
          <w:spacing w:val="3"/>
          <w:w w:val="110"/>
          <w:sz w:val="18"/>
        </w:rPr>
        <w:t>being proper </w:t>
      </w:r>
      <w:r>
        <w:rPr>
          <w:b/>
          <w:color w:val="231F20"/>
          <w:spacing w:val="2"/>
          <w:w w:val="110"/>
          <w:sz w:val="18"/>
        </w:rPr>
        <w:t>and </w:t>
      </w:r>
      <w:r>
        <w:rPr>
          <w:b/>
          <w:color w:val="231F20"/>
          <w:spacing w:val="3"/>
          <w:w w:val="110"/>
          <w:sz w:val="18"/>
        </w:rPr>
        <w:t>appropriate </w:t>
      </w:r>
      <w:r>
        <w:rPr>
          <w:b/>
          <w:color w:val="231F20"/>
          <w:spacing w:val="4"/>
          <w:w w:val="110"/>
          <w:sz w:val="18"/>
        </w:rPr>
        <w:t>persons </w:t>
      </w:r>
      <w:r>
        <w:rPr>
          <w:b/>
          <w:color w:val="231F20"/>
          <w:spacing w:val="2"/>
          <w:w w:val="110"/>
          <w:sz w:val="18"/>
        </w:rPr>
        <w:t>to </w:t>
      </w:r>
      <w:r>
        <w:rPr>
          <w:b/>
          <w:color w:val="231F20"/>
          <w:spacing w:val="3"/>
          <w:w w:val="110"/>
          <w:sz w:val="18"/>
        </w:rPr>
        <w:t>receive such</w:t>
      </w:r>
      <w:r>
        <w:rPr>
          <w:b/>
          <w:color w:val="231F20"/>
          <w:spacing w:val="55"/>
          <w:w w:val="110"/>
          <w:sz w:val="18"/>
        </w:rPr>
        <w:t> </w:t>
      </w:r>
      <w:r>
        <w:rPr>
          <w:b/>
          <w:color w:val="231F20"/>
          <w:spacing w:val="3"/>
          <w:w w:val="110"/>
          <w:sz w:val="18"/>
        </w:rPr>
        <w:t>information.</w:t>
      </w:r>
    </w:p>
    <w:p>
      <w:pPr>
        <w:pStyle w:val="BodyText"/>
        <w:spacing w:before="9"/>
        <w:rPr>
          <w:b/>
          <w:sz w:val="20"/>
        </w:rPr>
      </w:pPr>
    </w:p>
    <w:p>
      <w:pPr>
        <w:pStyle w:val="BodyText"/>
        <w:ind w:left="1240"/>
      </w:pPr>
      <w:r>
        <w:rPr>
          <w:color w:val="231F20"/>
          <w:w w:val="110"/>
        </w:rPr>
        <w:t>Renumber the existing functions 2(4)(A)(xv) and (xvi) 2(4)(A)(xvi) and (xvii) respectively.</w:t>
      </w:r>
    </w:p>
    <w:p>
      <w:pPr>
        <w:spacing w:after="0"/>
        <w:sectPr>
          <w:type w:val="continuous"/>
          <w:pgSz w:w="11910" w:h="16840"/>
          <w:pgMar w:top="680" w:bottom="280" w:left="460" w:right="0"/>
        </w:sectPr>
      </w:pPr>
    </w:p>
    <w:p>
      <w:pPr>
        <w:pStyle w:val="BodyText"/>
        <w:spacing w:before="6"/>
        <w:rPr>
          <w:sz w:val="10"/>
        </w:rPr>
      </w:pPr>
    </w:p>
    <w:p>
      <w:pPr>
        <w:spacing w:after="0"/>
        <w:rPr>
          <w:sz w:val="10"/>
        </w:rPr>
        <w:sectPr>
          <w:pgSz w:w="11910" w:h="16840"/>
          <w:pgMar w:header="581" w:footer="464" w:top="860" w:bottom="740" w:left="460" w:right="0"/>
        </w:sectPr>
      </w:pPr>
    </w:p>
    <w:p>
      <w:pPr>
        <w:pStyle w:val="Heading5"/>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44"/>
          <w:w w:val="111"/>
        </w:rPr>
        <w:t>O</w:t>
      </w:r>
      <w:r>
        <w:rPr>
          <w:color w:val="231F20"/>
          <w:spacing w:val="-158"/>
          <w:w w:val="112"/>
          <w:position w:val="-20"/>
          <w:sz w:val="50"/>
        </w:rPr>
        <w:t>1</w:t>
      </w:r>
      <w:r>
        <w:rPr>
          <w:color w:val="FFFFFF"/>
          <w:spacing w:val="-273"/>
          <w:w w:val="111"/>
        </w:rPr>
        <w:t>N</w:t>
      </w:r>
      <w:r>
        <w:rPr>
          <w:color w:val="231F20"/>
          <w:spacing w:val="-25"/>
          <w:w w:val="112"/>
          <w:position w:val="-20"/>
          <w:sz w:val="50"/>
        </w:rPr>
        <w:t>5</w:t>
      </w:r>
    </w:p>
    <w:p>
      <w:pPr>
        <w:pStyle w:val="BodyText"/>
        <w:rPr>
          <w:b/>
          <w:sz w:val="22"/>
        </w:rPr>
      </w:pPr>
      <w:r>
        <w:rPr/>
        <w:br w:type="column"/>
      </w:r>
      <w:r>
        <w:rPr>
          <w:b/>
          <w:sz w:val="22"/>
        </w:rPr>
      </w:r>
    </w:p>
    <w:p>
      <w:pPr>
        <w:pStyle w:val="BodyText"/>
        <w:spacing w:before="7"/>
        <w:rPr>
          <w:b/>
          <w:sz w:val="22"/>
        </w:rPr>
      </w:pPr>
    </w:p>
    <w:p>
      <w:pPr>
        <w:spacing w:line="271" w:lineRule="auto" w:before="0"/>
        <w:ind w:left="818" w:right="1699" w:hanging="22"/>
        <w:jc w:val="right"/>
        <w:rPr>
          <w:i/>
          <w:sz w:val="18"/>
        </w:rPr>
      </w:pPr>
      <w:r>
        <w:rPr>
          <w:b/>
          <w:color w:val="231F20"/>
          <w:w w:val="110"/>
          <w:sz w:val="20"/>
        </w:rPr>
        <w:t>Ministerial Incapacity Procedure:</w:t>
      </w:r>
      <w:r>
        <w:rPr>
          <w:b/>
          <w:color w:val="231F20"/>
          <w:w w:val="109"/>
          <w:sz w:val="20"/>
        </w:rPr>
        <w:t> </w:t>
      </w:r>
      <w:r>
        <w:rPr>
          <w:b/>
          <w:color w:val="231F20"/>
          <w:w w:val="110"/>
          <w:sz w:val="18"/>
        </w:rPr>
        <w:t>Church Related Community Workers</w:t>
      </w:r>
      <w:r>
        <w:rPr>
          <w:b/>
          <w:color w:val="231F20"/>
          <w:w w:val="111"/>
          <w:sz w:val="18"/>
        </w:rPr>
        <w:t> </w:t>
      </w:r>
      <w:r>
        <w:rPr>
          <w:i/>
          <w:color w:val="231F20"/>
          <w:w w:val="110"/>
          <w:sz w:val="18"/>
        </w:rPr>
        <w:t>(Report page 52 para 6.3.13)</w:t>
      </w:r>
    </w:p>
    <w:p>
      <w:pPr>
        <w:spacing w:after="0" w:line="271" w:lineRule="auto"/>
        <w:jc w:val="right"/>
        <w:rPr>
          <w:sz w:val="18"/>
        </w:rPr>
        <w:sectPr>
          <w:type w:val="continuous"/>
          <w:pgSz w:w="11910" w:h="16840"/>
          <w:pgMar w:top="680" w:bottom="280" w:left="460" w:right="0"/>
          <w:cols w:num="2" w:equalWidth="0">
            <w:col w:w="4470" w:space="333"/>
            <w:col w:w="6647"/>
          </w:cols>
        </w:sectPr>
      </w:pPr>
    </w:p>
    <w:p>
      <w:pPr>
        <w:pStyle w:val="BodyText"/>
        <w:spacing w:before="5"/>
        <w:rPr>
          <w:i/>
          <w:sz w:val="12"/>
        </w:rPr>
      </w:pPr>
      <w:r>
        <w:rPr/>
        <w:pict>
          <v:group style="position:absolute;margin-left:23.811001pt;margin-top:56.901035pt;width:514.8pt;height:736.65pt;mso-position-horizontal-relative:page;mso-position-vertical-relative:page;z-index:-275547136" coordorigin="476,1138" coordsize="10296,14733">
            <v:shape style="position:absolute;left:1143;top:1203;width:4016;height:630" coordorigin="1143,1204" coordsize="4016,630" path="m5159,1530l1301,1530,1301,1204,1143,1204,1143,1530,1143,1834,5159,1834,5159,1530e" filled="true" fillcolor="#d8dadc" stroked="false">
              <v:path arrowok="t"/>
              <v:fill type="solid"/>
            </v:shape>
            <v:line style="position:absolute" from="1143,1197" to="5159,1197" stroked="true" strokeweight=".7pt" strokecolor="#d8dadc">
              <v:stroke dashstyle="solid"/>
            </v:line>
            <v:shape style="position:absolute;left:1301;top:1203;width:3858;height:327" coordorigin="1301,1203" coordsize="3858,327" path="m5159,1203l4744,1203,1301,1203,1301,1530,4744,1530,5159,1530,5159,1203e" filled="true" fillcolor="#d8dadc" stroked="false">
              <v:path arrowok="t"/>
              <v:fill type="solid"/>
            </v:shape>
            <v:shape style="position:absolute;left:840;top:1138;width:9932;height:14566" type="#_x0000_t75" stroked="false">
              <v:imagedata r:id="rId75" o:title=""/>
            </v:shape>
            <v:rect style="position:absolute;left:476;top:15477;width:10296;height:394" filled="true" fillcolor="#ffffff" stroked="false">
              <v:fill type="solid"/>
            </v:rect>
            <w10:wrap type="none"/>
          </v:group>
        </w:pict>
      </w:r>
    </w:p>
    <w:p>
      <w:pPr>
        <w:spacing w:before="100"/>
        <w:ind w:left="673" w:right="0" w:firstLine="0"/>
        <w:jc w:val="left"/>
        <w:rPr>
          <w:i/>
          <w:sz w:val="18"/>
        </w:rPr>
      </w:pPr>
      <w:r>
        <w:rPr>
          <w:i/>
          <w:color w:val="231F20"/>
          <w:w w:val="110"/>
          <w:sz w:val="18"/>
        </w:rPr>
        <w:t>Resolution 15 taking the same form as Resolution 12 of 2006 omitting the final part</w:t>
      </w:r>
    </w:p>
    <w:p>
      <w:pPr>
        <w:spacing w:line="273" w:lineRule="auto" w:before="32"/>
        <w:ind w:left="673" w:right="1593" w:firstLine="0"/>
        <w:jc w:val="left"/>
        <w:rPr>
          <w:i/>
          <w:sz w:val="18"/>
        </w:rPr>
      </w:pPr>
      <w:r>
        <w:rPr>
          <w:i/>
          <w:color w:val="231F20"/>
          <w:w w:val="110"/>
          <w:sz w:val="18"/>
        </w:rPr>
        <w:t>of last year’s resolution referring to Section C, the Rules of Procedure on Appeals, but </w:t>
      </w:r>
      <w:r>
        <w:rPr>
          <w:i/>
          <w:color w:val="231F20"/>
          <w:w w:val="110"/>
          <w:sz w:val="18"/>
        </w:rPr>
        <w:t>extended to bring church-related community workers within the ambit of the Ministerial Incapacity Procedure (MIP)</w:t>
      </w:r>
    </w:p>
    <w:p>
      <w:pPr>
        <w:pStyle w:val="BodyText"/>
        <w:rPr>
          <w:i/>
          <w:sz w:val="22"/>
        </w:rPr>
      </w:pPr>
    </w:p>
    <w:p>
      <w:pPr>
        <w:pStyle w:val="BodyText"/>
        <w:spacing w:before="3"/>
        <w:rPr>
          <w:i/>
          <w:sz w:val="19"/>
        </w:rPr>
      </w:pPr>
    </w:p>
    <w:p>
      <w:pPr>
        <w:pStyle w:val="BodyText"/>
        <w:spacing w:line="273" w:lineRule="auto"/>
        <w:ind w:left="673" w:right="1593"/>
      </w:pPr>
      <w:r>
        <w:rPr>
          <w:color w:val="231F20"/>
          <w:w w:val="110"/>
        </w:rPr>
        <w:t>General Assembly agrees to make the following changes to the Structure of the United Reformed Church to bring church-related community workers within the ambit of the Ministerial Incapacity Procedure (MIP):</w:t>
      </w:r>
    </w:p>
    <w:p>
      <w:pPr>
        <w:pStyle w:val="BodyText"/>
        <w:spacing w:before="9"/>
        <w:rPr>
          <w:sz w:val="20"/>
        </w:rPr>
      </w:pPr>
    </w:p>
    <w:p>
      <w:pPr>
        <w:spacing w:before="0"/>
        <w:ind w:left="673" w:right="0" w:firstLine="0"/>
        <w:jc w:val="left"/>
        <w:rPr>
          <w:b/>
          <w:sz w:val="18"/>
        </w:rPr>
      </w:pPr>
      <w:r>
        <w:rPr>
          <w:b/>
          <w:color w:val="231F20"/>
          <w:w w:val="110"/>
          <w:sz w:val="18"/>
        </w:rPr>
        <w:t>Paragraph [ ]</w:t>
      </w:r>
    </w:p>
    <w:p>
      <w:pPr>
        <w:pStyle w:val="BodyText"/>
        <w:spacing w:before="2"/>
        <w:rPr>
          <w:b/>
          <w:sz w:val="23"/>
        </w:rPr>
      </w:pPr>
    </w:p>
    <w:p>
      <w:pPr>
        <w:pStyle w:val="BodyText"/>
        <w:ind w:left="673"/>
      </w:pPr>
      <w:r>
        <w:rPr>
          <w:color w:val="231F20"/>
          <w:w w:val="110"/>
        </w:rPr>
        <w:t>The following to be introduced as a new Paragraph of the Structure to be numbered [</w:t>
      </w:r>
      <w:r>
        <w:rPr>
          <w:color w:val="231F20"/>
          <w:spacing w:val="66"/>
          <w:w w:val="110"/>
        </w:rPr>
        <w:t> </w:t>
      </w:r>
      <w:r>
        <w:rPr>
          <w:color w:val="231F20"/>
          <w:w w:val="110"/>
        </w:rPr>
        <w:t>]</w:t>
      </w:r>
    </w:p>
    <w:p>
      <w:pPr>
        <w:pStyle w:val="BodyText"/>
        <w:spacing w:before="2"/>
        <w:rPr>
          <w:sz w:val="23"/>
        </w:rPr>
      </w:pPr>
    </w:p>
    <w:p>
      <w:pPr>
        <w:tabs>
          <w:tab w:pos="1393" w:val="left" w:leader="none"/>
        </w:tabs>
        <w:spacing w:line="273" w:lineRule="auto" w:before="0"/>
        <w:ind w:left="673" w:right="1778" w:firstLine="0"/>
        <w:jc w:val="left"/>
        <w:rPr>
          <w:b/>
          <w:sz w:val="18"/>
        </w:rPr>
      </w:pPr>
      <w:r>
        <w:rPr>
          <w:b/>
          <w:color w:val="231F20"/>
          <w:w w:val="110"/>
          <w:sz w:val="18"/>
        </w:rPr>
        <w:t>[</w:t>
      </w:r>
      <w:r>
        <w:rPr>
          <w:b/>
          <w:color w:val="231F20"/>
          <w:spacing w:val="-1"/>
          <w:w w:val="110"/>
          <w:sz w:val="18"/>
        </w:rPr>
        <w:t> </w:t>
      </w:r>
      <w:r>
        <w:rPr>
          <w:b/>
          <w:color w:val="231F20"/>
          <w:w w:val="110"/>
          <w:sz w:val="18"/>
        </w:rPr>
        <w:t>].1</w:t>
        <w:tab/>
        <w:t>The Procedure contained in this Paragraph [ ] of the </w:t>
      </w:r>
      <w:r>
        <w:rPr>
          <w:b/>
          <w:color w:val="231F20"/>
          <w:spacing w:val="2"/>
          <w:w w:val="110"/>
          <w:sz w:val="18"/>
        </w:rPr>
        <w:t>Structure </w:t>
      </w:r>
      <w:r>
        <w:rPr>
          <w:b/>
          <w:color w:val="231F20"/>
          <w:w w:val="110"/>
          <w:sz w:val="18"/>
        </w:rPr>
        <w:t>(known as the Ministerial Incapacity Procedure) shall apply where </w:t>
      </w:r>
      <w:r>
        <w:rPr>
          <w:b/>
          <w:color w:val="231F20"/>
          <w:spacing w:val="2"/>
          <w:w w:val="110"/>
          <w:sz w:val="18"/>
        </w:rPr>
        <w:t>those </w:t>
      </w:r>
      <w:r>
        <w:rPr>
          <w:b/>
          <w:color w:val="231F20"/>
          <w:w w:val="110"/>
          <w:sz w:val="18"/>
        </w:rPr>
        <w:t>responsible for initiating it in </w:t>
      </w:r>
      <w:r>
        <w:rPr>
          <w:b/>
          <w:color w:val="231F20"/>
          <w:spacing w:val="3"/>
          <w:w w:val="110"/>
          <w:sz w:val="18"/>
        </w:rPr>
        <w:t>respect </w:t>
      </w:r>
      <w:r>
        <w:rPr>
          <w:b/>
          <w:color w:val="231F20"/>
          <w:w w:val="110"/>
          <w:sz w:val="18"/>
        </w:rPr>
        <w:t>of any particular minister or </w:t>
      </w:r>
      <w:r>
        <w:rPr>
          <w:b/>
          <w:color w:val="231F20"/>
          <w:spacing w:val="2"/>
          <w:w w:val="110"/>
          <w:sz w:val="18"/>
        </w:rPr>
        <w:t>church related </w:t>
      </w:r>
      <w:r>
        <w:rPr>
          <w:b/>
          <w:color w:val="231F20"/>
          <w:w w:val="110"/>
          <w:sz w:val="18"/>
        </w:rPr>
        <w:t>community worker</w:t>
      </w:r>
      <w:r>
        <w:rPr>
          <w:b/>
          <w:color w:val="231F20"/>
          <w:spacing w:val="6"/>
          <w:w w:val="110"/>
          <w:sz w:val="18"/>
        </w:rPr>
        <w:t> </w:t>
      </w:r>
      <w:r>
        <w:rPr>
          <w:b/>
          <w:color w:val="231F20"/>
          <w:w w:val="110"/>
          <w:sz w:val="18"/>
        </w:rPr>
        <w:t>consider</w:t>
      </w:r>
      <w:r>
        <w:rPr>
          <w:b/>
          <w:color w:val="231F20"/>
          <w:spacing w:val="7"/>
          <w:w w:val="110"/>
          <w:sz w:val="18"/>
        </w:rPr>
        <w:t> </w:t>
      </w:r>
      <w:r>
        <w:rPr>
          <w:b/>
          <w:color w:val="231F20"/>
          <w:w w:val="110"/>
          <w:sz w:val="18"/>
        </w:rPr>
        <w:t>that</w:t>
      </w:r>
      <w:r>
        <w:rPr>
          <w:b/>
          <w:color w:val="231F20"/>
          <w:spacing w:val="7"/>
          <w:w w:val="110"/>
          <w:sz w:val="18"/>
        </w:rPr>
        <w:t> </w:t>
      </w:r>
      <w:r>
        <w:rPr>
          <w:b/>
          <w:color w:val="231F20"/>
          <w:spacing w:val="-4"/>
          <w:w w:val="110"/>
          <w:sz w:val="18"/>
        </w:rPr>
        <w:t>s/he</w:t>
      </w:r>
      <w:r>
        <w:rPr>
          <w:b/>
          <w:color w:val="231F20"/>
          <w:spacing w:val="6"/>
          <w:w w:val="110"/>
          <w:sz w:val="18"/>
        </w:rPr>
        <w:t> </w:t>
      </w:r>
      <w:r>
        <w:rPr>
          <w:b/>
          <w:color w:val="231F20"/>
          <w:w w:val="110"/>
          <w:sz w:val="18"/>
        </w:rPr>
        <w:t>is</w:t>
      </w:r>
      <w:r>
        <w:rPr>
          <w:b/>
          <w:color w:val="231F20"/>
          <w:spacing w:val="7"/>
          <w:w w:val="110"/>
          <w:sz w:val="18"/>
        </w:rPr>
        <w:t> </w:t>
      </w:r>
      <w:r>
        <w:rPr>
          <w:b/>
          <w:color w:val="231F20"/>
          <w:w w:val="110"/>
          <w:sz w:val="18"/>
        </w:rPr>
        <w:t>or</w:t>
      </w:r>
      <w:r>
        <w:rPr>
          <w:b/>
          <w:color w:val="231F20"/>
          <w:spacing w:val="7"/>
          <w:w w:val="110"/>
          <w:sz w:val="18"/>
        </w:rPr>
        <w:t> </w:t>
      </w:r>
      <w:r>
        <w:rPr>
          <w:b/>
          <w:color w:val="231F20"/>
          <w:w w:val="110"/>
          <w:sz w:val="18"/>
        </w:rPr>
        <w:t>may</w:t>
      </w:r>
      <w:r>
        <w:rPr>
          <w:b/>
          <w:color w:val="231F20"/>
          <w:spacing w:val="6"/>
          <w:w w:val="110"/>
          <w:sz w:val="18"/>
        </w:rPr>
        <w:t> </w:t>
      </w:r>
      <w:r>
        <w:rPr>
          <w:b/>
          <w:color w:val="231F20"/>
          <w:w w:val="110"/>
          <w:sz w:val="18"/>
        </w:rPr>
        <w:t>not</w:t>
      </w:r>
      <w:r>
        <w:rPr>
          <w:b/>
          <w:color w:val="231F20"/>
          <w:spacing w:val="7"/>
          <w:w w:val="110"/>
          <w:sz w:val="18"/>
        </w:rPr>
        <w:t> </w:t>
      </w:r>
      <w:r>
        <w:rPr>
          <w:b/>
          <w:color w:val="231F20"/>
          <w:w w:val="110"/>
          <w:sz w:val="18"/>
        </w:rPr>
        <w:t>be</w:t>
      </w:r>
      <w:r>
        <w:rPr>
          <w:b/>
          <w:color w:val="231F20"/>
          <w:spacing w:val="7"/>
          <w:w w:val="110"/>
          <w:sz w:val="18"/>
        </w:rPr>
        <w:t> </w:t>
      </w:r>
      <w:r>
        <w:rPr>
          <w:b/>
          <w:color w:val="231F20"/>
          <w:w w:val="110"/>
          <w:sz w:val="18"/>
        </w:rPr>
        <w:t>exercising</w:t>
      </w:r>
      <w:r>
        <w:rPr>
          <w:b/>
          <w:color w:val="231F20"/>
          <w:spacing w:val="7"/>
          <w:w w:val="110"/>
          <w:sz w:val="18"/>
        </w:rPr>
        <w:t> </w:t>
      </w:r>
      <w:r>
        <w:rPr>
          <w:b/>
          <w:color w:val="231F20"/>
          <w:w w:val="110"/>
          <w:sz w:val="18"/>
        </w:rPr>
        <w:t>the</w:t>
      </w:r>
      <w:r>
        <w:rPr>
          <w:b/>
          <w:color w:val="231F20"/>
          <w:spacing w:val="6"/>
          <w:w w:val="110"/>
          <w:sz w:val="18"/>
        </w:rPr>
        <w:t> </w:t>
      </w:r>
      <w:r>
        <w:rPr>
          <w:b/>
          <w:color w:val="231F20"/>
          <w:w w:val="110"/>
          <w:sz w:val="18"/>
        </w:rPr>
        <w:t>ministry</w:t>
      </w:r>
      <w:r>
        <w:rPr>
          <w:b/>
          <w:color w:val="231F20"/>
          <w:spacing w:val="7"/>
          <w:w w:val="110"/>
          <w:sz w:val="18"/>
        </w:rPr>
        <w:t> </w:t>
      </w:r>
      <w:r>
        <w:rPr>
          <w:b/>
          <w:color w:val="231F20"/>
          <w:w w:val="110"/>
          <w:sz w:val="18"/>
        </w:rPr>
        <w:t>of</w:t>
      </w:r>
      <w:r>
        <w:rPr>
          <w:b/>
          <w:color w:val="231F20"/>
          <w:spacing w:val="7"/>
          <w:w w:val="110"/>
          <w:sz w:val="18"/>
        </w:rPr>
        <w:t> </w:t>
      </w:r>
      <w:r>
        <w:rPr>
          <w:b/>
          <w:color w:val="231F20"/>
          <w:w w:val="110"/>
          <w:sz w:val="18"/>
        </w:rPr>
        <w:t>Word</w:t>
      </w:r>
    </w:p>
    <w:p>
      <w:pPr>
        <w:spacing w:line="273" w:lineRule="auto" w:before="2"/>
        <w:ind w:left="673" w:right="1979" w:firstLine="0"/>
        <w:jc w:val="left"/>
        <w:rPr>
          <w:b/>
          <w:sz w:val="18"/>
        </w:rPr>
      </w:pPr>
      <w:r>
        <w:rPr>
          <w:b/>
          <w:color w:val="231F20"/>
          <w:w w:val="110"/>
          <w:sz w:val="18"/>
        </w:rPr>
        <w:t>and Sacrament or the ministry of Church Related Community Work as the </w:t>
      </w:r>
      <w:r>
        <w:rPr>
          <w:b/>
          <w:color w:val="231F20"/>
          <w:spacing w:val="2"/>
          <w:w w:val="110"/>
          <w:sz w:val="18"/>
        </w:rPr>
        <w:t>case</w:t>
      </w:r>
      <w:r>
        <w:rPr>
          <w:b/>
          <w:color w:val="231F20"/>
          <w:spacing w:val="71"/>
          <w:w w:val="110"/>
          <w:sz w:val="18"/>
        </w:rPr>
        <w:t> </w:t>
      </w:r>
      <w:r>
        <w:rPr>
          <w:b/>
          <w:color w:val="231F20"/>
          <w:w w:val="110"/>
          <w:sz w:val="18"/>
        </w:rPr>
        <w:t>may be in accordance (in the </w:t>
      </w:r>
      <w:r>
        <w:rPr>
          <w:b/>
          <w:color w:val="231F20"/>
          <w:spacing w:val="2"/>
          <w:w w:val="110"/>
          <w:sz w:val="18"/>
        </w:rPr>
        <w:t>case </w:t>
      </w:r>
      <w:r>
        <w:rPr>
          <w:b/>
          <w:color w:val="231F20"/>
          <w:w w:val="110"/>
          <w:sz w:val="18"/>
        </w:rPr>
        <w:t>of ministers) with Paragraph 2 of Schedule   E </w:t>
      </w:r>
      <w:r>
        <w:rPr>
          <w:b/>
          <w:color w:val="231F20"/>
          <w:spacing w:val="2"/>
          <w:w w:val="110"/>
          <w:sz w:val="18"/>
        </w:rPr>
        <w:t>thereto </w:t>
      </w:r>
      <w:r>
        <w:rPr>
          <w:b/>
          <w:color w:val="231F20"/>
          <w:w w:val="110"/>
          <w:sz w:val="18"/>
        </w:rPr>
        <w:t>and (in the </w:t>
      </w:r>
      <w:r>
        <w:rPr>
          <w:b/>
          <w:color w:val="231F20"/>
          <w:spacing w:val="2"/>
          <w:w w:val="110"/>
          <w:sz w:val="18"/>
        </w:rPr>
        <w:t>case </w:t>
      </w:r>
      <w:r>
        <w:rPr>
          <w:b/>
          <w:color w:val="231F20"/>
          <w:w w:val="110"/>
          <w:sz w:val="18"/>
        </w:rPr>
        <w:t>of CRCWs) with Paragraph 2 of Schedule </w:t>
      </w:r>
      <w:r>
        <w:rPr>
          <w:b/>
          <w:color w:val="231F20"/>
          <w:spacing w:val="-7"/>
          <w:w w:val="110"/>
          <w:sz w:val="18"/>
        </w:rPr>
        <w:t>F, </w:t>
      </w:r>
      <w:r>
        <w:rPr>
          <w:b/>
          <w:color w:val="231F20"/>
          <w:w w:val="110"/>
          <w:sz w:val="18"/>
        </w:rPr>
        <w:t>Part II </w:t>
      </w:r>
      <w:r>
        <w:rPr>
          <w:b/>
          <w:color w:val="231F20"/>
          <w:spacing w:val="2"/>
          <w:w w:val="110"/>
          <w:sz w:val="18"/>
        </w:rPr>
        <w:t>thereto </w:t>
      </w:r>
      <w:r>
        <w:rPr>
          <w:b/>
          <w:color w:val="231F20"/>
          <w:w w:val="110"/>
          <w:sz w:val="18"/>
        </w:rPr>
        <w:t>and perceive the issue as relating to the </w:t>
      </w:r>
      <w:r>
        <w:rPr>
          <w:b/>
          <w:color w:val="231F20"/>
          <w:spacing w:val="2"/>
          <w:w w:val="110"/>
          <w:sz w:val="18"/>
        </w:rPr>
        <w:t>incapacity </w:t>
      </w:r>
      <w:r>
        <w:rPr>
          <w:b/>
          <w:color w:val="231F20"/>
          <w:w w:val="110"/>
          <w:sz w:val="18"/>
        </w:rPr>
        <w:t>of the minister or CRCW on account of </w:t>
      </w:r>
      <w:r>
        <w:rPr>
          <w:b/>
          <w:color w:val="231F20"/>
          <w:spacing w:val="-3"/>
          <w:w w:val="110"/>
          <w:sz w:val="18"/>
        </w:rPr>
        <w:t>(i) </w:t>
      </w:r>
      <w:r>
        <w:rPr>
          <w:b/>
          <w:color w:val="231F20"/>
          <w:w w:val="110"/>
          <w:sz w:val="18"/>
        </w:rPr>
        <w:t>medical </w:t>
      </w:r>
      <w:r>
        <w:rPr>
          <w:b/>
          <w:color w:val="231F20"/>
          <w:spacing w:val="-4"/>
          <w:w w:val="110"/>
          <w:sz w:val="18"/>
        </w:rPr>
        <w:t>and/or </w:t>
      </w:r>
      <w:r>
        <w:rPr>
          <w:b/>
          <w:color w:val="231F20"/>
          <w:w w:val="110"/>
          <w:sz w:val="18"/>
        </w:rPr>
        <w:t>psychiatric illness or (ii) psychological disorder or (iii)</w:t>
      </w:r>
      <w:r>
        <w:rPr>
          <w:b/>
          <w:color w:val="231F20"/>
          <w:spacing w:val="1"/>
          <w:w w:val="110"/>
          <w:sz w:val="18"/>
        </w:rPr>
        <w:t> </w:t>
      </w:r>
      <w:r>
        <w:rPr>
          <w:b/>
          <w:color w:val="231F20"/>
          <w:w w:val="110"/>
          <w:sz w:val="18"/>
        </w:rPr>
        <w:t>addiction.</w:t>
      </w:r>
    </w:p>
    <w:p>
      <w:pPr>
        <w:pStyle w:val="BodyText"/>
        <w:spacing w:before="10"/>
        <w:rPr>
          <w:b/>
          <w:sz w:val="20"/>
        </w:rPr>
      </w:pPr>
    </w:p>
    <w:p>
      <w:pPr>
        <w:tabs>
          <w:tab w:pos="1393" w:val="left" w:leader="none"/>
        </w:tabs>
        <w:spacing w:line="273" w:lineRule="auto" w:before="1"/>
        <w:ind w:left="673" w:right="2061" w:firstLine="0"/>
        <w:jc w:val="left"/>
        <w:rPr>
          <w:b/>
          <w:sz w:val="18"/>
        </w:rPr>
      </w:pPr>
      <w:r>
        <w:rPr>
          <w:b/>
          <w:color w:val="231F20"/>
          <w:w w:val="110"/>
          <w:sz w:val="18"/>
        </w:rPr>
        <w:t>[ ].2</w:t>
        <w:tab/>
        <w:t>No right of appeal shall lie against the decision taken in accordance with Paragraph [ ].1 above to initiate the Ministerial Incapacity Procedure in </w:t>
      </w:r>
      <w:r>
        <w:rPr>
          <w:b/>
          <w:color w:val="231F20"/>
          <w:spacing w:val="3"/>
          <w:w w:val="110"/>
          <w:sz w:val="18"/>
        </w:rPr>
        <w:t>respect </w:t>
      </w:r>
      <w:r>
        <w:rPr>
          <w:b/>
          <w:color w:val="231F20"/>
          <w:w w:val="110"/>
          <w:sz w:val="18"/>
        </w:rPr>
        <w:t>of any minister or</w:t>
      </w:r>
      <w:r>
        <w:rPr>
          <w:b/>
          <w:color w:val="231F20"/>
          <w:spacing w:val="-1"/>
          <w:w w:val="110"/>
          <w:sz w:val="18"/>
        </w:rPr>
        <w:t> </w:t>
      </w:r>
      <w:r>
        <w:rPr>
          <w:b/>
          <w:color w:val="231F20"/>
          <w:w w:val="110"/>
          <w:sz w:val="18"/>
        </w:rPr>
        <w:t>CRCW.</w:t>
      </w:r>
    </w:p>
    <w:p>
      <w:pPr>
        <w:pStyle w:val="BodyText"/>
        <w:spacing w:before="8"/>
        <w:rPr>
          <w:b/>
          <w:sz w:val="20"/>
        </w:rPr>
      </w:pPr>
    </w:p>
    <w:p>
      <w:pPr>
        <w:tabs>
          <w:tab w:pos="1393" w:val="left" w:leader="none"/>
        </w:tabs>
        <w:spacing w:line="273" w:lineRule="auto" w:before="0"/>
        <w:ind w:left="673" w:right="2061" w:firstLine="0"/>
        <w:jc w:val="left"/>
        <w:rPr>
          <w:b/>
          <w:sz w:val="18"/>
        </w:rPr>
      </w:pPr>
      <w:r>
        <w:rPr>
          <w:b/>
          <w:color w:val="231F20"/>
          <w:w w:val="110"/>
          <w:sz w:val="18"/>
        </w:rPr>
        <w:t>[</w:t>
      </w:r>
      <w:r>
        <w:rPr>
          <w:b/>
          <w:color w:val="231F20"/>
          <w:spacing w:val="1"/>
          <w:w w:val="110"/>
          <w:sz w:val="18"/>
        </w:rPr>
        <w:t> </w:t>
      </w:r>
      <w:r>
        <w:rPr>
          <w:b/>
          <w:color w:val="231F20"/>
          <w:w w:val="110"/>
          <w:sz w:val="18"/>
        </w:rPr>
        <w:t>].3</w:t>
        <w:tab/>
        <w:t>The decision </w:t>
      </w:r>
      <w:r>
        <w:rPr>
          <w:b/>
          <w:color w:val="231F20"/>
          <w:spacing w:val="2"/>
          <w:w w:val="110"/>
          <w:sz w:val="18"/>
        </w:rPr>
        <w:t>reached </w:t>
      </w:r>
      <w:r>
        <w:rPr>
          <w:b/>
          <w:color w:val="231F20"/>
          <w:w w:val="110"/>
          <w:sz w:val="18"/>
        </w:rPr>
        <w:t>in any particular </w:t>
      </w:r>
      <w:r>
        <w:rPr>
          <w:b/>
          <w:color w:val="231F20"/>
          <w:spacing w:val="2"/>
          <w:w w:val="110"/>
          <w:sz w:val="18"/>
        </w:rPr>
        <w:t>case </w:t>
      </w:r>
      <w:r>
        <w:rPr>
          <w:b/>
          <w:color w:val="231F20"/>
          <w:w w:val="110"/>
          <w:sz w:val="18"/>
        </w:rPr>
        <w:t>(whether or not on appeal) under the Ministerial Incapacity Procedure shall be made in the name of the General </w:t>
      </w:r>
      <w:r>
        <w:rPr>
          <w:b/>
          <w:color w:val="231F20"/>
          <w:spacing w:val="2"/>
          <w:w w:val="110"/>
          <w:sz w:val="18"/>
        </w:rPr>
        <w:t>Assembly </w:t>
      </w:r>
      <w:r>
        <w:rPr>
          <w:b/>
          <w:color w:val="231F20"/>
          <w:w w:val="110"/>
          <w:sz w:val="18"/>
        </w:rPr>
        <w:t>and shall be final and</w:t>
      </w:r>
      <w:r>
        <w:rPr>
          <w:b/>
          <w:color w:val="231F20"/>
          <w:spacing w:val="4"/>
          <w:w w:val="110"/>
          <w:sz w:val="18"/>
        </w:rPr>
        <w:t> </w:t>
      </w:r>
      <w:r>
        <w:rPr>
          <w:b/>
          <w:color w:val="231F20"/>
          <w:w w:val="110"/>
          <w:sz w:val="18"/>
        </w:rPr>
        <w:t>binding.</w:t>
      </w:r>
    </w:p>
    <w:p>
      <w:pPr>
        <w:pStyle w:val="BodyText"/>
        <w:spacing w:before="9"/>
        <w:rPr>
          <w:b/>
          <w:sz w:val="20"/>
        </w:rPr>
      </w:pPr>
    </w:p>
    <w:p>
      <w:pPr>
        <w:tabs>
          <w:tab w:pos="1393" w:val="left" w:leader="none"/>
        </w:tabs>
        <w:spacing w:line="273" w:lineRule="auto" w:before="0"/>
        <w:ind w:left="673" w:right="2061" w:firstLine="0"/>
        <w:jc w:val="left"/>
        <w:rPr>
          <w:b/>
          <w:sz w:val="18"/>
        </w:rPr>
      </w:pPr>
      <w:r>
        <w:rPr>
          <w:b/>
          <w:color w:val="231F20"/>
          <w:w w:val="110"/>
          <w:sz w:val="18"/>
        </w:rPr>
        <w:t>[ ].4</w:t>
        <w:tab/>
      </w:r>
      <w:r>
        <w:rPr>
          <w:b/>
          <w:color w:val="231F20"/>
          <w:spacing w:val="2"/>
          <w:w w:val="110"/>
          <w:sz w:val="18"/>
        </w:rPr>
        <w:t>As </w:t>
      </w:r>
      <w:r>
        <w:rPr>
          <w:b/>
          <w:color w:val="231F20"/>
          <w:w w:val="110"/>
          <w:sz w:val="18"/>
        </w:rPr>
        <w:t>soon as any minister or CRCW </w:t>
      </w:r>
      <w:r>
        <w:rPr>
          <w:b/>
          <w:color w:val="231F20"/>
          <w:spacing w:val="2"/>
          <w:w w:val="110"/>
          <w:sz w:val="18"/>
        </w:rPr>
        <w:t>becomes </w:t>
      </w:r>
      <w:r>
        <w:rPr>
          <w:b/>
          <w:color w:val="231F20"/>
          <w:w w:val="110"/>
          <w:sz w:val="18"/>
        </w:rPr>
        <w:t>the subject of a </w:t>
      </w:r>
      <w:r>
        <w:rPr>
          <w:b/>
          <w:color w:val="231F20"/>
          <w:spacing w:val="2"/>
          <w:w w:val="110"/>
          <w:sz w:val="18"/>
        </w:rPr>
        <w:t>case </w:t>
      </w:r>
      <w:r>
        <w:rPr>
          <w:b/>
          <w:color w:val="231F20"/>
          <w:w w:val="110"/>
          <w:sz w:val="18"/>
        </w:rPr>
        <w:t>under the Ministerial Incapacity </w:t>
      </w:r>
      <w:r>
        <w:rPr>
          <w:b/>
          <w:color w:val="231F20"/>
          <w:spacing w:val="2"/>
          <w:w w:val="110"/>
          <w:sz w:val="18"/>
        </w:rPr>
        <w:t>Procedure, </w:t>
      </w:r>
      <w:r>
        <w:rPr>
          <w:b/>
          <w:color w:val="231F20"/>
          <w:w w:val="110"/>
          <w:sz w:val="18"/>
        </w:rPr>
        <w:t>none of the Councils of the Church shall exercise any of </w:t>
      </w:r>
      <w:r>
        <w:rPr>
          <w:b/>
          <w:color w:val="231F20"/>
          <w:spacing w:val="2"/>
          <w:w w:val="110"/>
          <w:sz w:val="18"/>
        </w:rPr>
        <w:t>its </w:t>
      </w:r>
      <w:r>
        <w:rPr>
          <w:b/>
          <w:color w:val="231F20"/>
          <w:w w:val="110"/>
          <w:sz w:val="18"/>
        </w:rPr>
        <w:t>functions in </w:t>
      </w:r>
      <w:r>
        <w:rPr>
          <w:b/>
          <w:color w:val="231F20"/>
          <w:spacing w:val="3"/>
          <w:w w:val="110"/>
          <w:sz w:val="18"/>
        </w:rPr>
        <w:t>respect </w:t>
      </w:r>
      <w:r>
        <w:rPr>
          <w:b/>
          <w:color w:val="231F20"/>
          <w:w w:val="110"/>
          <w:sz w:val="18"/>
        </w:rPr>
        <w:t>of that minister or CRCW in such a manner as to </w:t>
      </w:r>
      <w:r>
        <w:rPr>
          <w:b/>
          <w:color w:val="231F20"/>
          <w:spacing w:val="3"/>
          <w:w w:val="110"/>
          <w:sz w:val="18"/>
        </w:rPr>
        <w:t>affect, </w:t>
      </w:r>
      <w:r>
        <w:rPr>
          <w:b/>
          <w:color w:val="231F20"/>
          <w:w w:val="110"/>
          <w:sz w:val="18"/>
        </w:rPr>
        <w:t>compromise or </w:t>
      </w:r>
      <w:r>
        <w:rPr>
          <w:b/>
          <w:color w:val="231F20"/>
          <w:spacing w:val="2"/>
          <w:w w:val="110"/>
          <w:sz w:val="18"/>
        </w:rPr>
        <w:t>interfere </w:t>
      </w:r>
      <w:r>
        <w:rPr>
          <w:b/>
          <w:color w:val="231F20"/>
          <w:w w:val="110"/>
          <w:sz w:val="18"/>
        </w:rPr>
        <w:t>with the due </w:t>
      </w:r>
      <w:r>
        <w:rPr>
          <w:b/>
          <w:color w:val="231F20"/>
          <w:spacing w:val="2"/>
          <w:w w:val="110"/>
          <w:sz w:val="18"/>
        </w:rPr>
        <w:t>process </w:t>
      </w:r>
      <w:r>
        <w:rPr>
          <w:b/>
          <w:color w:val="231F20"/>
          <w:w w:val="110"/>
          <w:sz w:val="18"/>
        </w:rPr>
        <w:t>of that </w:t>
      </w:r>
      <w:r>
        <w:rPr>
          <w:b/>
          <w:color w:val="231F20"/>
          <w:spacing w:val="2"/>
          <w:w w:val="110"/>
          <w:sz w:val="18"/>
        </w:rPr>
        <w:t>case, </w:t>
      </w:r>
      <w:r>
        <w:rPr>
          <w:b/>
          <w:color w:val="231F20"/>
          <w:w w:val="110"/>
          <w:sz w:val="18"/>
        </w:rPr>
        <w:t>provided that the provision of such pastoral care as shall be </w:t>
      </w:r>
      <w:r>
        <w:rPr>
          <w:b/>
          <w:color w:val="231F20"/>
          <w:spacing w:val="2"/>
          <w:w w:val="110"/>
          <w:sz w:val="18"/>
        </w:rPr>
        <w:t>deemed </w:t>
      </w:r>
      <w:r>
        <w:rPr>
          <w:b/>
          <w:color w:val="231F20"/>
          <w:w w:val="110"/>
          <w:sz w:val="18"/>
        </w:rPr>
        <w:t>appropriate shall not be </w:t>
      </w:r>
      <w:r>
        <w:rPr>
          <w:b/>
          <w:color w:val="231F20"/>
          <w:spacing w:val="2"/>
          <w:w w:val="110"/>
          <w:sz w:val="18"/>
        </w:rPr>
        <w:t>regarded </w:t>
      </w:r>
      <w:r>
        <w:rPr>
          <w:b/>
          <w:color w:val="231F20"/>
          <w:w w:val="110"/>
          <w:sz w:val="18"/>
        </w:rPr>
        <w:t>as a </w:t>
      </w:r>
      <w:r>
        <w:rPr>
          <w:b/>
          <w:color w:val="231F20"/>
          <w:spacing w:val="2"/>
          <w:w w:val="110"/>
          <w:sz w:val="18"/>
        </w:rPr>
        <w:t>breach </w:t>
      </w:r>
      <w:r>
        <w:rPr>
          <w:b/>
          <w:color w:val="231F20"/>
          <w:w w:val="110"/>
          <w:sz w:val="18"/>
        </w:rPr>
        <w:t>of this</w:t>
      </w:r>
      <w:r>
        <w:rPr>
          <w:b/>
          <w:color w:val="231F20"/>
          <w:spacing w:val="26"/>
          <w:w w:val="110"/>
          <w:sz w:val="18"/>
        </w:rPr>
        <w:t> </w:t>
      </w:r>
      <w:r>
        <w:rPr>
          <w:b/>
          <w:color w:val="231F20"/>
          <w:w w:val="110"/>
          <w:sz w:val="18"/>
        </w:rPr>
        <w:t>paragraph.</w:t>
      </w:r>
    </w:p>
    <w:p>
      <w:pPr>
        <w:pStyle w:val="BodyText"/>
        <w:spacing w:before="11"/>
        <w:rPr>
          <w:b/>
          <w:sz w:val="20"/>
        </w:rPr>
      </w:pPr>
    </w:p>
    <w:p>
      <w:pPr>
        <w:spacing w:before="0"/>
        <w:ind w:left="673" w:right="0" w:firstLine="0"/>
        <w:jc w:val="left"/>
        <w:rPr>
          <w:b/>
          <w:sz w:val="18"/>
        </w:rPr>
      </w:pPr>
      <w:r>
        <w:rPr>
          <w:b/>
          <w:color w:val="231F20"/>
          <w:w w:val="110"/>
          <w:sz w:val="18"/>
        </w:rPr>
        <w:t>Paragraph 2(4)(A)(viii)</w:t>
      </w:r>
    </w:p>
    <w:p>
      <w:pPr>
        <w:pStyle w:val="BodyText"/>
        <w:spacing w:before="1"/>
        <w:rPr>
          <w:b/>
          <w:sz w:val="23"/>
        </w:rPr>
      </w:pPr>
    </w:p>
    <w:p>
      <w:pPr>
        <w:spacing w:line="273" w:lineRule="auto" w:before="0"/>
        <w:ind w:left="673" w:right="2009" w:firstLine="0"/>
        <w:jc w:val="left"/>
        <w:rPr>
          <w:sz w:val="18"/>
        </w:rPr>
      </w:pPr>
      <w:r>
        <w:rPr>
          <w:color w:val="231F20"/>
          <w:w w:val="110"/>
          <w:sz w:val="18"/>
        </w:rPr>
        <w:t>Replace the words </w:t>
      </w:r>
      <w:r>
        <w:rPr>
          <w:color w:val="231F20"/>
          <w:spacing w:val="3"/>
          <w:w w:val="110"/>
          <w:sz w:val="18"/>
        </w:rPr>
        <w:t>‘</w:t>
      </w:r>
      <w:r>
        <w:rPr>
          <w:b/>
          <w:color w:val="231F20"/>
          <w:spacing w:val="3"/>
          <w:w w:val="110"/>
          <w:sz w:val="18"/>
        </w:rPr>
        <w:t>the </w:t>
      </w:r>
      <w:r>
        <w:rPr>
          <w:b/>
          <w:color w:val="231F20"/>
          <w:w w:val="110"/>
          <w:sz w:val="18"/>
        </w:rPr>
        <w:t>Disciplinary </w:t>
      </w:r>
      <w:r>
        <w:rPr>
          <w:b/>
          <w:color w:val="231F20"/>
          <w:spacing w:val="2"/>
          <w:w w:val="110"/>
          <w:sz w:val="18"/>
        </w:rPr>
        <w:t>Process referred </w:t>
      </w:r>
      <w:r>
        <w:rPr>
          <w:b/>
          <w:color w:val="231F20"/>
          <w:w w:val="110"/>
          <w:sz w:val="18"/>
        </w:rPr>
        <w:t>to in Function </w:t>
      </w:r>
      <w:r>
        <w:rPr>
          <w:b/>
          <w:color w:val="231F20"/>
          <w:spacing w:val="-4"/>
          <w:w w:val="110"/>
          <w:sz w:val="18"/>
        </w:rPr>
        <w:t>(xv) </w:t>
      </w:r>
      <w:r>
        <w:rPr>
          <w:b/>
          <w:color w:val="231F20"/>
          <w:w w:val="110"/>
          <w:sz w:val="18"/>
        </w:rPr>
        <w:t>below</w:t>
      </w:r>
      <w:r>
        <w:rPr>
          <w:color w:val="231F20"/>
          <w:w w:val="110"/>
          <w:sz w:val="18"/>
        </w:rPr>
        <w:t>’ with the words </w:t>
      </w:r>
      <w:r>
        <w:rPr>
          <w:color w:val="231F20"/>
          <w:spacing w:val="3"/>
          <w:w w:val="110"/>
          <w:sz w:val="18"/>
        </w:rPr>
        <w:t>‘</w:t>
      </w:r>
      <w:r>
        <w:rPr>
          <w:b/>
          <w:color w:val="231F20"/>
          <w:spacing w:val="3"/>
          <w:w w:val="110"/>
          <w:sz w:val="18"/>
        </w:rPr>
        <w:t>the </w:t>
      </w:r>
      <w:r>
        <w:rPr>
          <w:b/>
          <w:color w:val="231F20"/>
          <w:w w:val="110"/>
          <w:sz w:val="18"/>
        </w:rPr>
        <w:t>Ministerial Disciplinary </w:t>
      </w:r>
      <w:r>
        <w:rPr>
          <w:b/>
          <w:color w:val="231F20"/>
          <w:spacing w:val="2"/>
          <w:w w:val="110"/>
          <w:sz w:val="18"/>
        </w:rPr>
        <w:t>Process referred </w:t>
      </w:r>
      <w:r>
        <w:rPr>
          <w:b/>
          <w:color w:val="231F20"/>
          <w:w w:val="110"/>
          <w:sz w:val="18"/>
        </w:rPr>
        <w:t>to in Function </w:t>
      </w:r>
      <w:r>
        <w:rPr>
          <w:b/>
          <w:color w:val="231F20"/>
          <w:spacing w:val="-4"/>
          <w:w w:val="110"/>
          <w:sz w:val="18"/>
        </w:rPr>
        <w:t>(xiv) </w:t>
      </w:r>
      <w:r>
        <w:rPr>
          <w:b/>
          <w:color w:val="231F20"/>
          <w:w w:val="110"/>
          <w:sz w:val="18"/>
        </w:rPr>
        <w:t>below or the Ministerial Incapacity Procedure </w:t>
      </w:r>
      <w:r>
        <w:rPr>
          <w:b/>
          <w:color w:val="231F20"/>
          <w:spacing w:val="2"/>
          <w:w w:val="110"/>
          <w:sz w:val="18"/>
        </w:rPr>
        <w:t>referred </w:t>
      </w:r>
      <w:r>
        <w:rPr>
          <w:b/>
          <w:color w:val="231F20"/>
          <w:w w:val="110"/>
          <w:sz w:val="18"/>
        </w:rPr>
        <w:t>to in Paragraph [ ] of the Structure.</w:t>
      </w:r>
      <w:r>
        <w:rPr>
          <w:color w:val="231F20"/>
          <w:w w:val="110"/>
          <w:sz w:val="18"/>
        </w:rPr>
        <w:t>’</w:t>
      </w:r>
    </w:p>
    <w:p>
      <w:pPr>
        <w:pStyle w:val="BodyText"/>
        <w:spacing w:before="10"/>
        <w:rPr>
          <w:sz w:val="20"/>
        </w:rPr>
      </w:pPr>
    </w:p>
    <w:p>
      <w:pPr>
        <w:spacing w:before="0"/>
        <w:ind w:left="673" w:right="0" w:firstLine="0"/>
        <w:jc w:val="left"/>
        <w:rPr>
          <w:b/>
          <w:sz w:val="18"/>
        </w:rPr>
      </w:pPr>
      <w:r>
        <w:rPr>
          <w:b/>
          <w:color w:val="231F20"/>
          <w:w w:val="110"/>
          <w:sz w:val="18"/>
        </w:rPr>
        <w:t>Paragraph 2(5)(A)(xi)</w:t>
      </w:r>
    </w:p>
    <w:p>
      <w:pPr>
        <w:pStyle w:val="BodyText"/>
        <w:spacing w:before="2"/>
        <w:rPr>
          <w:b/>
          <w:sz w:val="23"/>
        </w:rPr>
      </w:pPr>
    </w:p>
    <w:p>
      <w:pPr>
        <w:spacing w:line="273" w:lineRule="auto" w:before="0"/>
        <w:ind w:left="673" w:right="2061" w:firstLine="0"/>
        <w:jc w:val="left"/>
        <w:rPr>
          <w:sz w:val="18"/>
        </w:rPr>
      </w:pPr>
      <w:r>
        <w:rPr>
          <w:color w:val="231F20"/>
          <w:w w:val="110"/>
          <w:sz w:val="18"/>
        </w:rPr>
        <w:t>Add the words ‘</w:t>
      </w:r>
      <w:r>
        <w:rPr>
          <w:b/>
          <w:color w:val="231F20"/>
          <w:w w:val="110"/>
          <w:sz w:val="18"/>
        </w:rPr>
        <w:t>… and Part I of the Ministerial Incapacity Procedure referred to in Paragraph [ ] of the Structure.</w:t>
      </w:r>
      <w:r>
        <w:rPr>
          <w:color w:val="231F20"/>
          <w:w w:val="110"/>
          <w:sz w:val="18"/>
        </w:rPr>
        <w:t>’</w:t>
      </w:r>
    </w:p>
    <w:p>
      <w:pPr>
        <w:spacing w:after="0" w:line="273" w:lineRule="auto"/>
        <w:jc w:val="left"/>
        <w:rPr>
          <w:sz w:val="18"/>
        </w:rPr>
        <w:sectPr>
          <w:type w:val="continuous"/>
          <w:pgSz w:w="11910" w:h="16840"/>
          <w:pgMar w:top="680" w:bottom="280" w:left="460" w:right="0"/>
        </w:sectPr>
      </w:pPr>
    </w:p>
    <w:p>
      <w:pPr>
        <w:pStyle w:val="BodyText"/>
        <w:spacing w:before="6"/>
        <w:rPr>
          <w:sz w:val="16"/>
        </w:rPr>
      </w:pPr>
    </w:p>
    <w:p>
      <w:pPr>
        <w:spacing w:before="100"/>
        <w:ind w:left="1240" w:right="0" w:firstLine="0"/>
        <w:jc w:val="left"/>
        <w:rPr>
          <w:b/>
          <w:sz w:val="18"/>
        </w:rPr>
      </w:pPr>
      <w:r>
        <w:rPr/>
        <w:pict>
          <v:group style="position:absolute;margin-left:45.354pt;margin-top:-6.259474pt;width:519.25pt;height:381.2pt;mso-position-horizontal-relative:page;mso-position-vertical-relative:paragraph;z-index:-275545088" coordorigin="907,-125" coordsize="10385,7624">
            <v:shape style="position:absolute;left:1360;top:-80;width:9932;height:7578" type="#_x0000_t75" stroked="false">
              <v:imagedata r:id="rId76" o:title=""/>
            </v:shape>
            <v:rect style="position:absolute;left:907;top:-126;width:10296;height:329" filled="true" fillcolor="#ffffff" stroked="false">
              <v:fill type="solid"/>
            </v:rect>
            <w10:wrap type="none"/>
          </v:group>
        </w:pict>
      </w:r>
      <w:r>
        <w:rPr>
          <w:b/>
          <w:color w:val="231F20"/>
          <w:w w:val="110"/>
          <w:sz w:val="18"/>
        </w:rPr>
        <w:t>Paragraph 2(5)(A)(xviii)</w:t>
      </w:r>
    </w:p>
    <w:p>
      <w:pPr>
        <w:pStyle w:val="BodyText"/>
        <w:spacing w:before="2"/>
        <w:rPr>
          <w:b/>
          <w:sz w:val="23"/>
        </w:rPr>
      </w:pPr>
    </w:p>
    <w:p>
      <w:pPr>
        <w:spacing w:line="273" w:lineRule="auto" w:before="0"/>
        <w:ind w:left="1240" w:right="1308" w:firstLine="0"/>
        <w:jc w:val="left"/>
        <w:rPr>
          <w:sz w:val="18"/>
        </w:rPr>
      </w:pPr>
      <w:r>
        <w:rPr>
          <w:color w:val="231F20"/>
          <w:w w:val="110"/>
          <w:sz w:val="18"/>
        </w:rPr>
        <w:t>Replace the words </w:t>
      </w:r>
      <w:r>
        <w:rPr>
          <w:color w:val="231F20"/>
          <w:spacing w:val="3"/>
          <w:w w:val="110"/>
          <w:sz w:val="18"/>
        </w:rPr>
        <w:t>‘</w:t>
      </w:r>
      <w:r>
        <w:rPr>
          <w:b/>
          <w:color w:val="231F20"/>
          <w:spacing w:val="3"/>
          <w:w w:val="110"/>
          <w:sz w:val="18"/>
        </w:rPr>
        <w:t>the </w:t>
      </w:r>
      <w:r>
        <w:rPr>
          <w:b/>
          <w:color w:val="231F20"/>
          <w:w w:val="110"/>
          <w:sz w:val="18"/>
        </w:rPr>
        <w:t>Disciplinary </w:t>
      </w:r>
      <w:r>
        <w:rPr>
          <w:b/>
          <w:color w:val="231F20"/>
          <w:spacing w:val="2"/>
          <w:w w:val="110"/>
          <w:sz w:val="18"/>
        </w:rPr>
        <w:t>Process referred </w:t>
      </w:r>
      <w:r>
        <w:rPr>
          <w:b/>
          <w:color w:val="231F20"/>
          <w:w w:val="110"/>
          <w:sz w:val="18"/>
        </w:rPr>
        <w:t>to in Function (xxiii) below</w:t>
      </w:r>
      <w:r>
        <w:rPr>
          <w:color w:val="231F20"/>
          <w:w w:val="110"/>
          <w:sz w:val="18"/>
        </w:rPr>
        <w:t>’ with the words </w:t>
      </w:r>
      <w:r>
        <w:rPr>
          <w:color w:val="231F20"/>
          <w:spacing w:val="3"/>
          <w:w w:val="110"/>
          <w:sz w:val="18"/>
        </w:rPr>
        <w:t>‘</w:t>
      </w:r>
      <w:r>
        <w:rPr>
          <w:b/>
          <w:color w:val="231F20"/>
          <w:spacing w:val="3"/>
          <w:w w:val="110"/>
          <w:sz w:val="18"/>
        </w:rPr>
        <w:t>the </w:t>
      </w:r>
      <w:r>
        <w:rPr>
          <w:b/>
          <w:color w:val="231F20"/>
          <w:w w:val="110"/>
          <w:sz w:val="18"/>
        </w:rPr>
        <w:t>Ministerial Disciplinary </w:t>
      </w:r>
      <w:r>
        <w:rPr>
          <w:b/>
          <w:color w:val="231F20"/>
          <w:spacing w:val="2"/>
          <w:w w:val="110"/>
          <w:sz w:val="18"/>
        </w:rPr>
        <w:t>Process referred </w:t>
      </w:r>
      <w:r>
        <w:rPr>
          <w:b/>
          <w:color w:val="231F20"/>
          <w:w w:val="110"/>
          <w:sz w:val="18"/>
        </w:rPr>
        <w:t>to in Function (xxiii) below or the Ministerial Incapacity Procedure </w:t>
      </w:r>
      <w:r>
        <w:rPr>
          <w:b/>
          <w:color w:val="231F20"/>
          <w:spacing w:val="2"/>
          <w:w w:val="110"/>
          <w:sz w:val="18"/>
        </w:rPr>
        <w:t>referred </w:t>
      </w:r>
      <w:r>
        <w:rPr>
          <w:b/>
          <w:color w:val="231F20"/>
          <w:w w:val="110"/>
          <w:sz w:val="18"/>
        </w:rPr>
        <w:t>to in Paragraph [ ] of   the Structure.</w:t>
      </w:r>
      <w:r>
        <w:rPr>
          <w:color w:val="231F20"/>
          <w:w w:val="110"/>
          <w:sz w:val="18"/>
        </w:rPr>
        <w:t>’</w:t>
      </w:r>
    </w:p>
    <w:p>
      <w:pPr>
        <w:pStyle w:val="BodyText"/>
        <w:spacing w:before="9"/>
        <w:rPr>
          <w:sz w:val="20"/>
        </w:rPr>
      </w:pPr>
    </w:p>
    <w:p>
      <w:pPr>
        <w:spacing w:before="1"/>
        <w:ind w:left="1240" w:right="0" w:firstLine="0"/>
        <w:jc w:val="left"/>
        <w:rPr>
          <w:b/>
          <w:sz w:val="18"/>
        </w:rPr>
      </w:pPr>
      <w:r>
        <w:rPr>
          <w:b/>
          <w:color w:val="231F20"/>
          <w:w w:val="110"/>
          <w:sz w:val="18"/>
        </w:rPr>
        <w:t>Paragraphs 2(5)(A)(xxiv) and (xxv)</w:t>
      </w:r>
    </w:p>
    <w:p>
      <w:pPr>
        <w:pStyle w:val="BodyText"/>
        <w:spacing w:before="1"/>
        <w:rPr>
          <w:b/>
          <w:sz w:val="23"/>
        </w:rPr>
      </w:pPr>
    </w:p>
    <w:p>
      <w:pPr>
        <w:pStyle w:val="BodyText"/>
        <w:ind w:left="1240"/>
      </w:pPr>
      <w:r>
        <w:rPr>
          <w:color w:val="231F20"/>
          <w:w w:val="110"/>
        </w:rPr>
        <w:t>Add new Paragraphs 2(5)(A) (xxiv) and (xxv) as follows:</w:t>
      </w:r>
    </w:p>
    <w:p>
      <w:pPr>
        <w:pStyle w:val="BodyText"/>
        <w:spacing w:before="2"/>
        <w:rPr>
          <w:sz w:val="23"/>
        </w:rPr>
      </w:pPr>
    </w:p>
    <w:p>
      <w:pPr>
        <w:spacing w:before="0"/>
        <w:ind w:left="1240" w:right="0" w:firstLine="0"/>
        <w:jc w:val="left"/>
        <w:rPr>
          <w:b/>
          <w:sz w:val="18"/>
        </w:rPr>
      </w:pPr>
      <w:r>
        <w:rPr>
          <w:b/>
          <w:color w:val="231F20"/>
          <w:w w:val="110"/>
          <w:sz w:val="18"/>
        </w:rPr>
        <w:t>Paragraph 2(5)(A)(xxiv)</w:t>
      </w:r>
    </w:p>
    <w:p>
      <w:pPr>
        <w:pStyle w:val="BodyText"/>
        <w:spacing w:before="2"/>
        <w:rPr>
          <w:b/>
          <w:sz w:val="23"/>
        </w:rPr>
      </w:pPr>
    </w:p>
    <w:p>
      <w:pPr>
        <w:spacing w:line="273" w:lineRule="auto" w:before="0"/>
        <w:ind w:left="1240" w:right="1172" w:firstLine="0"/>
        <w:jc w:val="left"/>
        <w:rPr>
          <w:b/>
          <w:sz w:val="18"/>
        </w:rPr>
      </w:pPr>
      <w:r>
        <w:rPr>
          <w:b/>
          <w:color w:val="231F20"/>
          <w:spacing w:val="-4"/>
          <w:w w:val="110"/>
          <w:sz w:val="18"/>
        </w:rPr>
        <w:t>‘To </w:t>
      </w:r>
      <w:r>
        <w:rPr>
          <w:b/>
          <w:color w:val="231F20"/>
          <w:w w:val="110"/>
          <w:sz w:val="18"/>
        </w:rPr>
        <w:t>make and (if necessary) to terminate all appointments to the Standing   Panel and to any administrative </w:t>
      </w:r>
      <w:r>
        <w:rPr>
          <w:b/>
          <w:color w:val="231F20"/>
          <w:spacing w:val="2"/>
          <w:w w:val="110"/>
          <w:sz w:val="18"/>
        </w:rPr>
        <w:t>office </w:t>
      </w:r>
      <w:r>
        <w:rPr>
          <w:b/>
          <w:color w:val="231F20"/>
          <w:w w:val="110"/>
          <w:sz w:val="18"/>
        </w:rPr>
        <w:t>under the Ministerial Incapacity Procedure and to exercise general oversight and supervision of the operation   of that Procedure </w:t>
      </w:r>
      <w:r>
        <w:rPr>
          <w:b/>
          <w:color w:val="231F20"/>
          <w:spacing w:val="-4"/>
          <w:w w:val="110"/>
          <w:sz w:val="18"/>
        </w:rPr>
        <w:t>(save </w:t>
      </w:r>
      <w:r>
        <w:rPr>
          <w:b/>
          <w:color w:val="231F20"/>
          <w:w w:val="110"/>
          <w:sz w:val="18"/>
        </w:rPr>
        <w:t>only that decisions in individual </w:t>
      </w:r>
      <w:r>
        <w:rPr>
          <w:b/>
          <w:color w:val="231F20"/>
          <w:spacing w:val="2"/>
          <w:w w:val="110"/>
          <w:sz w:val="18"/>
        </w:rPr>
        <w:t>cases </w:t>
      </w:r>
      <w:r>
        <w:rPr>
          <w:b/>
          <w:color w:val="231F20"/>
          <w:w w:val="110"/>
          <w:sz w:val="18"/>
        </w:rPr>
        <w:t>taken in accordance with that Procedure are made in the name of the General </w:t>
      </w:r>
      <w:r>
        <w:rPr>
          <w:b/>
          <w:color w:val="231F20"/>
          <w:spacing w:val="2"/>
          <w:w w:val="110"/>
          <w:sz w:val="18"/>
        </w:rPr>
        <w:t>Assembly</w:t>
      </w:r>
      <w:r>
        <w:rPr>
          <w:b/>
          <w:color w:val="231F20"/>
          <w:spacing w:val="71"/>
          <w:w w:val="110"/>
          <w:sz w:val="18"/>
        </w:rPr>
        <w:t> </w:t>
      </w:r>
      <w:r>
        <w:rPr>
          <w:b/>
          <w:color w:val="231F20"/>
          <w:w w:val="110"/>
          <w:sz w:val="18"/>
        </w:rPr>
        <w:t>and are final and</w:t>
      </w:r>
      <w:r>
        <w:rPr>
          <w:b/>
          <w:color w:val="231F20"/>
          <w:spacing w:val="-1"/>
          <w:w w:val="110"/>
          <w:sz w:val="18"/>
        </w:rPr>
        <w:t> </w:t>
      </w:r>
      <w:r>
        <w:rPr>
          <w:b/>
          <w:color w:val="231F20"/>
          <w:w w:val="110"/>
          <w:sz w:val="18"/>
        </w:rPr>
        <w:t>binding).’</w:t>
      </w:r>
    </w:p>
    <w:p>
      <w:pPr>
        <w:pStyle w:val="BodyText"/>
        <w:spacing w:before="10"/>
        <w:rPr>
          <w:b/>
          <w:sz w:val="20"/>
        </w:rPr>
      </w:pPr>
    </w:p>
    <w:p>
      <w:pPr>
        <w:spacing w:before="1"/>
        <w:ind w:left="1240" w:right="0" w:firstLine="0"/>
        <w:jc w:val="left"/>
        <w:rPr>
          <w:b/>
          <w:sz w:val="18"/>
        </w:rPr>
      </w:pPr>
      <w:r>
        <w:rPr>
          <w:b/>
          <w:color w:val="231F20"/>
          <w:w w:val="110"/>
          <w:sz w:val="18"/>
        </w:rPr>
        <w:t>Paragraph 2(5)(A)(xxv)</w:t>
      </w:r>
    </w:p>
    <w:p>
      <w:pPr>
        <w:pStyle w:val="BodyText"/>
        <w:spacing w:before="1"/>
        <w:rPr>
          <w:b/>
          <w:sz w:val="23"/>
        </w:rPr>
      </w:pPr>
    </w:p>
    <w:p>
      <w:pPr>
        <w:spacing w:line="273" w:lineRule="auto" w:before="0"/>
        <w:ind w:left="1240" w:right="1365" w:firstLine="0"/>
        <w:jc w:val="left"/>
        <w:rPr>
          <w:b/>
          <w:sz w:val="18"/>
        </w:rPr>
      </w:pPr>
      <w:r>
        <w:rPr>
          <w:b/>
          <w:color w:val="231F20"/>
          <w:w w:val="110"/>
          <w:sz w:val="18"/>
        </w:rPr>
        <w:t>‘To provide for the setting up of an Appeals Review Commission in accordance with the Ministerial Incapacity Procedure for the hearing of appeals under that Procedure.’</w:t>
      </w:r>
    </w:p>
    <w:p>
      <w:pPr>
        <w:pStyle w:val="BodyText"/>
        <w:spacing w:before="9"/>
        <w:rPr>
          <w:b/>
          <w:sz w:val="20"/>
        </w:rPr>
      </w:pPr>
    </w:p>
    <w:p>
      <w:pPr>
        <w:pStyle w:val="BodyText"/>
        <w:ind w:left="1240"/>
      </w:pPr>
      <w:r>
        <w:rPr>
          <w:color w:val="231F20"/>
          <w:w w:val="110"/>
        </w:rPr>
        <w:t>Renumber the existing Paragraph 2(5)(A)(xxiv) as (xxvi)</w:t>
      </w:r>
    </w:p>
    <w:p>
      <w:pPr>
        <w:pStyle w:val="BodyText"/>
        <w:spacing w:before="2"/>
        <w:rPr>
          <w:sz w:val="23"/>
        </w:rPr>
      </w:pPr>
    </w:p>
    <w:p>
      <w:pPr>
        <w:pStyle w:val="BodyText"/>
        <w:ind w:left="1240"/>
      </w:pPr>
      <w:r>
        <w:rPr>
          <w:color w:val="231F20"/>
          <w:w w:val="110"/>
        </w:rPr>
        <w:t>Identify the Paragraph immediately </w:t>
      </w:r>
      <w:r>
        <w:rPr>
          <w:color w:val="231F20"/>
          <w:spacing w:val="2"/>
          <w:w w:val="110"/>
        </w:rPr>
        <w:t>after </w:t>
      </w:r>
      <w:r>
        <w:rPr>
          <w:color w:val="231F20"/>
          <w:w w:val="110"/>
        </w:rPr>
        <w:t>the General Assembly Functions as</w:t>
      </w:r>
      <w:r>
        <w:rPr>
          <w:color w:val="231F20"/>
          <w:spacing w:val="51"/>
          <w:w w:val="110"/>
        </w:rPr>
        <w:t> </w:t>
      </w:r>
      <w:r>
        <w:rPr>
          <w:color w:val="231F20"/>
          <w:spacing w:val="-6"/>
          <w:w w:val="110"/>
        </w:rPr>
        <w:t>2(5)(B)</w:t>
      </w:r>
    </w:p>
    <w:p>
      <w:pPr>
        <w:pStyle w:val="BodyText"/>
        <w:rPr>
          <w:sz w:val="22"/>
        </w:rPr>
      </w:pPr>
    </w:p>
    <w:p>
      <w:pPr>
        <w:pStyle w:val="BodyText"/>
        <w:spacing w:before="4"/>
        <w:rPr>
          <w:sz w:val="22"/>
        </w:rPr>
      </w:pPr>
    </w:p>
    <w:p>
      <w:pPr>
        <w:tabs>
          <w:tab w:pos="6822" w:val="left" w:leader="none"/>
        </w:tabs>
        <w:spacing w:line="759" w:lineRule="exact" w:before="1"/>
        <w:ind w:left="1316" w:right="0" w:firstLine="0"/>
        <w:jc w:val="left"/>
        <w:rPr>
          <w:b/>
          <w:sz w:val="20"/>
        </w:rPr>
      </w:pPr>
      <w:r>
        <w:rPr/>
        <w:pict>
          <v:group style="position:absolute;margin-left:34.015999pt;margin-top:2.574691pt;width:530.6pt;height:352.85pt;mso-position-horizontal-relative:page;mso-position-vertical-relative:paragraph;z-index:-275546112" coordorigin="680,51" coordsize="10612,7057">
            <v:shape style="position:absolute;left:1663;top:115;width:4016;height:630" coordorigin="1664,116" coordsize="4016,630" path="m5679,444l1822,444,1822,116,1664,116,1664,444,1664,746,5679,746,5679,444e" filled="true" fillcolor="#d8dadc" stroked="false">
              <v:path arrowok="t"/>
              <v:fill type="solid"/>
            </v:shape>
            <v:line style="position:absolute" from="1664,110" to="5679,110" stroked="true" strokeweight=".6pt" strokecolor="#d8dadc">
              <v:stroke dashstyle="solid"/>
            </v:line>
            <v:shape style="position:absolute;left:1821;top:116;width:3858;height:328" coordorigin="1822,116" coordsize="3858,328" path="m5679,116l5264,116,1822,116,1822,443,5264,443,5679,443,5679,116e" filled="true" fillcolor="#d8dadc" stroked="false">
              <v:path arrowok="t"/>
              <v:fill type="solid"/>
            </v:shape>
            <v:shape style="position:absolute;left:1360;top:51;width:9932;height:6960" type="#_x0000_t75" stroked="false">
              <v:imagedata r:id="rId77" o:title=""/>
            </v:shape>
            <v:rect style="position:absolute;left:680;top:6670;width:10296;height:438" filled="true" fillcolor="#ffffff" stroked="false">
              <v:fill type="solid"/>
            </v:rect>
            <w10:wrap type="none"/>
          </v:group>
        </w:pict>
      </w:r>
      <w:r>
        <w:rPr>
          <w:b/>
          <w:color w:val="FFFFFF"/>
          <w:spacing w:val="2"/>
          <w:w w:val="111"/>
          <w:position w:val="24"/>
          <w:sz w:val="43"/>
        </w:rPr>
        <w:t>R</w:t>
      </w:r>
      <w:r>
        <w:rPr>
          <w:b/>
          <w:color w:val="FFFFFF"/>
          <w:spacing w:val="1"/>
          <w:w w:val="111"/>
          <w:position w:val="24"/>
          <w:sz w:val="43"/>
        </w:rPr>
        <w:t>E</w:t>
      </w:r>
      <w:r>
        <w:rPr>
          <w:b/>
          <w:color w:val="FFFFFF"/>
          <w:w w:val="111"/>
          <w:position w:val="24"/>
          <w:sz w:val="43"/>
        </w:rPr>
        <w:t>S</w:t>
      </w:r>
      <w:r>
        <w:rPr>
          <w:b/>
          <w:color w:val="FFFFFF"/>
          <w:spacing w:val="-4"/>
          <w:w w:val="111"/>
          <w:position w:val="24"/>
          <w:sz w:val="43"/>
        </w:rPr>
        <w:t>O</w:t>
      </w:r>
      <w:r>
        <w:rPr>
          <w:b/>
          <w:color w:val="FFFFFF"/>
          <w:spacing w:val="-6"/>
          <w:w w:val="111"/>
          <w:position w:val="24"/>
          <w:sz w:val="43"/>
        </w:rPr>
        <w:t>L</w:t>
      </w:r>
      <w:r>
        <w:rPr>
          <w:b/>
          <w:color w:val="FFFFFF"/>
          <w:spacing w:val="-2"/>
          <w:w w:val="111"/>
          <w:position w:val="24"/>
          <w:sz w:val="43"/>
        </w:rPr>
        <w:t>U</w:t>
      </w:r>
      <w:r>
        <w:rPr>
          <w:b/>
          <w:color w:val="FFFFFF"/>
          <w:spacing w:val="3"/>
          <w:w w:val="111"/>
          <w:position w:val="24"/>
          <w:sz w:val="43"/>
        </w:rPr>
        <w:t>T</w:t>
      </w:r>
      <w:r>
        <w:rPr>
          <w:b/>
          <w:color w:val="FFFFFF"/>
          <w:spacing w:val="-15"/>
          <w:w w:val="111"/>
          <w:position w:val="24"/>
          <w:sz w:val="43"/>
        </w:rPr>
        <w:t>I</w:t>
      </w:r>
      <w:r>
        <w:rPr>
          <w:b/>
          <w:color w:val="FFFFFF"/>
          <w:spacing w:val="-192"/>
          <w:w w:val="111"/>
          <w:position w:val="24"/>
          <w:sz w:val="43"/>
        </w:rPr>
        <w:t>O</w:t>
      </w:r>
      <w:r>
        <w:rPr>
          <w:b/>
          <w:color w:val="231F20"/>
          <w:spacing w:val="-210"/>
          <w:w w:val="112"/>
          <w:sz w:val="50"/>
        </w:rPr>
        <w:t>1</w:t>
      </w:r>
      <w:r>
        <w:rPr>
          <w:b/>
          <w:color w:val="FFFFFF"/>
          <w:spacing w:val="-226"/>
          <w:w w:val="111"/>
          <w:position w:val="24"/>
          <w:sz w:val="43"/>
        </w:rPr>
        <w:t>N</w:t>
      </w:r>
      <w:r>
        <w:rPr>
          <w:b/>
          <w:color w:val="231F20"/>
          <w:w w:val="112"/>
          <w:sz w:val="50"/>
        </w:rPr>
        <w:t>6</w:t>
      </w:r>
      <w:r>
        <w:rPr>
          <w:b/>
          <w:color w:val="231F20"/>
          <w:sz w:val="50"/>
        </w:rPr>
        <w:tab/>
      </w:r>
      <w:r>
        <w:rPr>
          <w:b/>
          <w:color w:val="231F20"/>
          <w:spacing w:val="2"/>
          <w:w w:val="110"/>
          <w:sz w:val="20"/>
        </w:rPr>
        <w:t>C</w:t>
      </w:r>
      <w:r>
        <w:rPr>
          <w:b/>
          <w:color w:val="231F20"/>
          <w:w w:val="109"/>
          <w:sz w:val="20"/>
        </w:rPr>
        <w:t>h</w:t>
      </w:r>
      <w:r>
        <w:rPr>
          <w:b/>
          <w:color w:val="231F20"/>
          <w:spacing w:val="-1"/>
          <w:w w:val="110"/>
          <w:sz w:val="20"/>
        </w:rPr>
        <w:t>a</w:t>
      </w:r>
      <w:r>
        <w:rPr>
          <w:b/>
          <w:color w:val="231F20"/>
          <w:spacing w:val="1"/>
          <w:w w:val="109"/>
          <w:sz w:val="20"/>
        </w:rPr>
        <w:t>n</w:t>
      </w:r>
      <w:r>
        <w:rPr>
          <w:b/>
          <w:color w:val="231F20"/>
          <w:spacing w:val="1"/>
          <w:w w:val="109"/>
          <w:sz w:val="20"/>
        </w:rPr>
        <w:t>g</w:t>
      </w:r>
      <w:r>
        <w:rPr>
          <w:b/>
          <w:color w:val="231F20"/>
          <w:spacing w:val="4"/>
          <w:w w:val="109"/>
          <w:sz w:val="20"/>
        </w:rPr>
        <w:t>e</w:t>
      </w:r>
      <w:r>
        <w:rPr>
          <w:b/>
          <w:color w:val="231F20"/>
          <w:w w:val="109"/>
          <w:sz w:val="20"/>
        </w:rPr>
        <w:t>s</w:t>
      </w:r>
      <w:r>
        <w:rPr>
          <w:b/>
          <w:color w:val="231F20"/>
          <w:spacing w:val="6"/>
          <w:sz w:val="20"/>
        </w:rPr>
        <w:t> </w:t>
      </w:r>
      <w:r>
        <w:rPr>
          <w:b/>
          <w:color w:val="231F20"/>
          <w:spacing w:val="2"/>
          <w:w w:val="110"/>
          <w:sz w:val="20"/>
        </w:rPr>
        <w:t>t</w:t>
      </w:r>
      <w:r>
        <w:rPr>
          <w:b/>
          <w:color w:val="231F20"/>
          <w:w w:val="110"/>
          <w:sz w:val="20"/>
        </w:rPr>
        <w:t>o</w:t>
      </w:r>
      <w:r>
        <w:rPr>
          <w:b/>
          <w:color w:val="231F20"/>
          <w:spacing w:val="6"/>
          <w:sz w:val="20"/>
        </w:rPr>
        <w:t> </w:t>
      </w:r>
      <w:r>
        <w:rPr>
          <w:b/>
          <w:color w:val="231F20"/>
          <w:spacing w:val="3"/>
          <w:w w:val="109"/>
          <w:sz w:val="20"/>
        </w:rPr>
        <w:t>S</w:t>
      </w:r>
      <w:r>
        <w:rPr>
          <w:b/>
          <w:color w:val="231F20"/>
          <w:spacing w:val="3"/>
          <w:w w:val="109"/>
          <w:sz w:val="20"/>
        </w:rPr>
        <w:t>e</w:t>
      </w:r>
      <w:r>
        <w:rPr>
          <w:b/>
          <w:color w:val="231F20"/>
          <w:spacing w:val="5"/>
          <w:w w:val="109"/>
          <w:sz w:val="20"/>
        </w:rPr>
        <w:t>c</w:t>
      </w:r>
      <w:r>
        <w:rPr>
          <w:b/>
          <w:color w:val="231F20"/>
          <w:spacing w:val="3"/>
          <w:w w:val="110"/>
          <w:sz w:val="20"/>
        </w:rPr>
        <w:t>t</w:t>
      </w:r>
      <w:r>
        <w:rPr>
          <w:b/>
          <w:color w:val="231F20"/>
          <w:w w:val="110"/>
          <w:sz w:val="20"/>
        </w:rPr>
        <w:t>io</w:t>
      </w:r>
      <w:r>
        <w:rPr>
          <w:b/>
          <w:color w:val="231F20"/>
          <w:w w:val="109"/>
          <w:sz w:val="20"/>
        </w:rPr>
        <w:t>n</w:t>
      </w:r>
      <w:r>
        <w:rPr>
          <w:b/>
          <w:color w:val="231F20"/>
          <w:spacing w:val="6"/>
          <w:sz w:val="20"/>
        </w:rPr>
        <w:t> </w:t>
      </w:r>
      <w:r>
        <w:rPr>
          <w:b/>
          <w:color w:val="231F20"/>
          <w:w w:val="109"/>
          <w:sz w:val="20"/>
        </w:rPr>
        <w:t>O</w:t>
      </w:r>
      <w:r>
        <w:rPr>
          <w:b/>
          <w:color w:val="231F20"/>
          <w:spacing w:val="6"/>
          <w:sz w:val="20"/>
        </w:rPr>
        <w:t> </w:t>
      </w:r>
      <w:r>
        <w:rPr>
          <w:b/>
          <w:color w:val="231F20"/>
          <w:spacing w:val="-2"/>
          <w:w w:val="110"/>
          <w:sz w:val="20"/>
        </w:rPr>
        <w:t>P</w:t>
      </w:r>
      <w:r>
        <w:rPr>
          <w:b/>
          <w:color w:val="231F20"/>
          <w:spacing w:val="-1"/>
          <w:w w:val="110"/>
          <w:sz w:val="20"/>
        </w:rPr>
        <w:t>a</w:t>
      </w:r>
      <w:r>
        <w:rPr>
          <w:b/>
          <w:color w:val="231F20"/>
          <w:spacing w:val="7"/>
          <w:w w:val="109"/>
          <w:sz w:val="20"/>
        </w:rPr>
        <w:t>r</w:t>
      </w:r>
      <w:r>
        <w:rPr>
          <w:b/>
          <w:color w:val="231F20"/>
          <w:w w:val="110"/>
          <w:sz w:val="20"/>
        </w:rPr>
        <w:t>t</w:t>
      </w:r>
      <w:r>
        <w:rPr>
          <w:b/>
          <w:color w:val="231F20"/>
          <w:spacing w:val="6"/>
          <w:sz w:val="20"/>
        </w:rPr>
        <w:t> </w:t>
      </w:r>
      <w:r>
        <w:rPr>
          <w:b/>
          <w:color w:val="231F20"/>
          <w:w w:val="110"/>
          <w:sz w:val="20"/>
        </w:rPr>
        <w:t>1</w:t>
      </w:r>
    </w:p>
    <w:p>
      <w:pPr>
        <w:spacing w:line="201" w:lineRule="exact" w:before="0"/>
        <w:ind w:left="7357" w:right="0" w:firstLine="0"/>
        <w:jc w:val="left"/>
        <w:rPr>
          <w:i/>
          <w:sz w:val="18"/>
        </w:rPr>
      </w:pPr>
      <w:r>
        <w:rPr>
          <w:i/>
          <w:color w:val="231F20"/>
          <w:w w:val="110"/>
          <w:sz w:val="18"/>
        </w:rPr>
        <w:t>(Report page 52 para</w:t>
      </w:r>
      <w:r>
        <w:rPr>
          <w:i/>
          <w:color w:val="231F20"/>
          <w:spacing w:val="39"/>
          <w:w w:val="110"/>
          <w:sz w:val="18"/>
        </w:rPr>
        <w:t> </w:t>
      </w:r>
      <w:r>
        <w:rPr>
          <w:i/>
          <w:color w:val="231F20"/>
          <w:spacing w:val="-6"/>
          <w:w w:val="110"/>
          <w:sz w:val="18"/>
        </w:rPr>
        <w:t>6.3.14)</w:t>
      </w:r>
    </w:p>
    <w:p>
      <w:pPr>
        <w:pStyle w:val="BodyText"/>
        <w:spacing w:before="1"/>
        <w:rPr>
          <w:i/>
          <w:sz w:val="23"/>
        </w:rPr>
      </w:pPr>
    </w:p>
    <w:p>
      <w:pPr>
        <w:spacing w:line="273" w:lineRule="auto" w:before="0"/>
        <w:ind w:left="1240" w:right="1143" w:firstLine="0"/>
        <w:jc w:val="left"/>
        <w:rPr>
          <w:i/>
          <w:sz w:val="18"/>
        </w:rPr>
      </w:pPr>
      <w:r>
        <w:rPr>
          <w:i/>
          <w:color w:val="231F20"/>
          <w:w w:val="110"/>
          <w:sz w:val="18"/>
        </w:rPr>
        <w:t>Resolution 16 makes changes to Section O, Part I, based on Resolution 1 but extended to </w:t>
      </w:r>
      <w:r>
        <w:rPr>
          <w:i/>
          <w:color w:val="231F20"/>
          <w:w w:val="110"/>
          <w:sz w:val="18"/>
        </w:rPr>
        <w:t>make the necessary changes to Section O occasioned by the introduction of the MIP and the intention to bring CRCWs in to the Church’s ministerial disciplinary process.</w:t>
      </w:r>
    </w:p>
    <w:p>
      <w:pPr>
        <w:pStyle w:val="BodyText"/>
        <w:rPr>
          <w:i/>
          <w:sz w:val="22"/>
        </w:rPr>
      </w:pPr>
    </w:p>
    <w:p>
      <w:pPr>
        <w:pStyle w:val="BodyText"/>
        <w:spacing w:before="4"/>
        <w:rPr>
          <w:i/>
          <w:sz w:val="19"/>
        </w:rPr>
      </w:pPr>
    </w:p>
    <w:p>
      <w:pPr>
        <w:pStyle w:val="BodyText"/>
        <w:spacing w:line="273" w:lineRule="auto"/>
        <w:ind w:left="1240" w:right="1593"/>
      </w:pPr>
      <w:r>
        <w:rPr>
          <w:color w:val="231F20"/>
          <w:w w:val="110"/>
        </w:rPr>
        <w:t>General Assembly agrees to replace the whole of the existing Part I of Section O with the following:</w:t>
      </w:r>
    </w:p>
    <w:p>
      <w:pPr>
        <w:pStyle w:val="BodyText"/>
        <w:spacing w:before="7"/>
        <w:rPr>
          <w:sz w:val="12"/>
        </w:rPr>
      </w:pPr>
    </w:p>
    <w:p>
      <w:pPr>
        <w:spacing w:before="98"/>
        <w:ind w:left="1115" w:right="1009" w:firstLine="0"/>
        <w:jc w:val="center"/>
        <w:rPr>
          <w:b/>
          <w:sz w:val="29"/>
        </w:rPr>
      </w:pPr>
      <w:r>
        <w:rPr>
          <w:b/>
          <w:color w:val="231F20"/>
          <w:w w:val="110"/>
          <w:sz w:val="29"/>
        </w:rPr>
        <w:t>SECTION O</w:t>
      </w:r>
    </w:p>
    <w:p>
      <w:pPr>
        <w:pStyle w:val="BodyText"/>
        <w:spacing w:before="2"/>
        <w:rPr>
          <w:b/>
          <w:sz w:val="30"/>
        </w:rPr>
      </w:pPr>
    </w:p>
    <w:p>
      <w:pPr>
        <w:spacing w:line="244" w:lineRule="auto" w:before="1"/>
        <w:ind w:left="2249" w:right="2141" w:firstLine="0"/>
        <w:jc w:val="center"/>
        <w:rPr>
          <w:b/>
          <w:sz w:val="29"/>
        </w:rPr>
      </w:pPr>
      <w:r>
        <w:rPr>
          <w:b/>
          <w:color w:val="231F20"/>
          <w:w w:val="110"/>
          <w:sz w:val="29"/>
        </w:rPr>
        <w:t>Process for dealing with cases of Ministerial Discipline</w:t>
      </w:r>
    </w:p>
    <w:p>
      <w:pPr>
        <w:spacing w:line="273" w:lineRule="auto" w:before="251"/>
        <w:ind w:left="3264" w:right="3181" w:firstLine="686"/>
        <w:jc w:val="left"/>
        <w:rPr>
          <w:sz w:val="18"/>
        </w:rPr>
      </w:pPr>
      <w:r>
        <w:rPr>
          <w:b/>
          <w:color w:val="231F20"/>
          <w:w w:val="110"/>
          <w:sz w:val="18"/>
        </w:rPr>
        <w:t>PART I – Substantive Provisions </w:t>
      </w:r>
      <w:r>
        <w:rPr>
          <w:color w:val="231F20"/>
          <w:w w:val="110"/>
          <w:sz w:val="18"/>
        </w:rPr>
        <w:t>(governed by General Assembly Function 2(5)(xi) of the Structure of the United Reformed Church)</w:t>
      </w:r>
    </w:p>
    <w:p>
      <w:pPr>
        <w:pStyle w:val="BodyText"/>
        <w:spacing w:before="9"/>
        <w:rPr>
          <w:sz w:val="20"/>
        </w:rPr>
      </w:pPr>
    </w:p>
    <w:p>
      <w:pPr>
        <w:pStyle w:val="ListParagraph"/>
        <w:numPr>
          <w:ilvl w:val="1"/>
          <w:numId w:val="35"/>
        </w:numPr>
        <w:tabs>
          <w:tab w:pos="1718" w:val="left" w:leader="none"/>
        </w:tabs>
        <w:spacing w:line="273" w:lineRule="auto" w:before="0" w:after="0"/>
        <w:ind w:left="1240" w:right="1535" w:firstLine="0"/>
        <w:jc w:val="both"/>
        <w:rPr>
          <w:sz w:val="18"/>
        </w:rPr>
      </w:pPr>
      <w:r>
        <w:rPr>
          <w:color w:val="231F20"/>
          <w:spacing w:val="-5"/>
          <w:w w:val="110"/>
          <w:sz w:val="18"/>
        </w:rPr>
        <w:t>1.1 </w:t>
      </w:r>
      <w:r>
        <w:rPr>
          <w:color w:val="231F20"/>
          <w:w w:val="110"/>
          <w:sz w:val="18"/>
        </w:rPr>
        <w:t>Under the provisions of this </w:t>
      </w:r>
      <w:r>
        <w:rPr>
          <w:color w:val="231F20"/>
          <w:spacing w:val="2"/>
          <w:w w:val="110"/>
          <w:sz w:val="18"/>
        </w:rPr>
        <w:t>Section </w:t>
      </w:r>
      <w:r>
        <w:rPr>
          <w:color w:val="231F20"/>
          <w:w w:val="110"/>
          <w:sz w:val="18"/>
        </w:rPr>
        <w:t>O an Assembly Commission </w:t>
      </w:r>
      <w:r>
        <w:rPr>
          <w:color w:val="231F20"/>
          <w:spacing w:val="-6"/>
          <w:w w:val="110"/>
          <w:sz w:val="18"/>
        </w:rPr>
        <w:t>(as </w:t>
      </w:r>
      <w:r>
        <w:rPr>
          <w:color w:val="231F20"/>
          <w:w w:val="110"/>
          <w:sz w:val="18"/>
        </w:rPr>
        <w:t>defined  in </w:t>
      </w:r>
      <w:r>
        <w:rPr>
          <w:color w:val="231F20"/>
          <w:spacing w:val="2"/>
          <w:w w:val="110"/>
          <w:sz w:val="18"/>
        </w:rPr>
        <w:t>Section </w:t>
      </w:r>
      <w:r>
        <w:rPr>
          <w:color w:val="231F20"/>
          <w:w w:val="110"/>
          <w:sz w:val="18"/>
        </w:rPr>
        <w:t>A of </w:t>
      </w:r>
      <w:r>
        <w:rPr>
          <w:color w:val="231F20"/>
          <w:spacing w:val="2"/>
          <w:w w:val="110"/>
          <w:sz w:val="18"/>
        </w:rPr>
        <w:t>Part </w:t>
      </w:r>
      <w:r>
        <w:rPr>
          <w:color w:val="231F20"/>
          <w:w w:val="110"/>
          <w:sz w:val="18"/>
        </w:rPr>
        <w:t>II) shall operate under the authority of the General Assembly for the</w:t>
      </w:r>
      <w:r>
        <w:rPr>
          <w:color w:val="231F20"/>
          <w:spacing w:val="10"/>
          <w:w w:val="110"/>
          <w:sz w:val="18"/>
        </w:rPr>
        <w:t> </w:t>
      </w:r>
      <w:r>
        <w:rPr>
          <w:color w:val="231F20"/>
          <w:w w:val="110"/>
          <w:sz w:val="18"/>
        </w:rPr>
        <w:t>purpose</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deciding</w:t>
      </w:r>
      <w:r>
        <w:rPr>
          <w:color w:val="231F20"/>
          <w:spacing w:val="10"/>
          <w:w w:val="110"/>
          <w:sz w:val="18"/>
        </w:rPr>
        <w:t> </w:t>
      </w:r>
      <w:r>
        <w:rPr>
          <w:color w:val="231F20"/>
          <w:w w:val="110"/>
          <w:sz w:val="18"/>
        </w:rPr>
        <w:t>(in</w:t>
      </w:r>
      <w:r>
        <w:rPr>
          <w:color w:val="231F20"/>
          <w:spacing w:val="11"/>
          <w:w w:val="110"/>
          <w:sz w:val="18"/>
        </w:rPr>
        <w:t> </w:t>
      </w:r>
      <w:r>
        <w:rPr>
          <w:color w:val="231F20"/>
          <w:spacing w:val="2"/>
          <w:w w:val="110"/>
          <w:sz w:val="18"/>
        </w:rPr>
        <w:t>cases</w:t>
      </w:r>
      <w:r>
        <w:rPr>
          <w:color w:val="231F20"/>
          <w:spacing w:val="11"/>
          <w:w w:val="110"/>
          <w:sz w:val="18"/>
        </w:rPr>
        <w:t> </w:t>
      </w:r>
      <w:r>
        <w:rPr>
          <w:color w:val="231F20"/>
          <w:w w:val="110"/>
          <w:sz w:val="18"/>
        </w:rPr>
        <w:t>properly</w:t>
      </w:r>
      <w:r>
        <w:rPr>
          <w:color w:val="231F20"/>
          <w:spacing w:val="11"/>
          <w:w w:val="110"/>
          <w:sz w:val="18"/>
        </w:rPr>
        <w:t> </w:t>
      </w:r>
      <w:r>
        <w:rPr>
          <w:color w:val="231F20"/>
          <w:spacing w:val="2"/>
          <w:w w:val="110"/>
          <w:sz w:val="18"/>
        </w:rPr>
        <w:t>referred</w:t>
      </w:r>
      <w:r>
        <w:rPr>
          <w:color w:val="231F20"/>
          <w:spacing w:val="10"/>
          <w:w w:val="110"/>
          <w:sz w:val="18"/>
        </w:rPr>
        <w:t> </w:t>
      </w:r>
      <w:r>
        <w:rPr>
          <w:color w:val="231F20"/>
          <w:w w:val="110"/>
          <w:sz w:val="18"/>
        </w:rPr>
        <w:t>to</w:t>
      </w:r>
      <w:r>
        <w:rPr>
          <w:color w:val="231F20"/>
          <w:spacing w:val="11"/>
          <w:w w:val="110"/>
          <w:sz w:val="18"/>
        </w:rPr>
        <w:t> </w:t>
      </w:r>
      <w:r>
        <w:rPr>
          <w:color w:val="231F20"/>
          <w:spacing w:val="-3"/>
          <w:w w:val="110"/>
          <w:sz w:val="18"/>
        </w:rPr>
        <w:t>it)</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questions</w:t>
      </w:r>
      <w:r>
        <w:rPr>
          <w:color w:val="231F20"/>
          <w:spacing w:val="11"/>
          <w:w w:val="110"/>
          <w:sz w:val="18"/>
        </w:rPr>
        <w:t> </w:t>
      </w:r>
      <w:r>
        <w:rPr>
          <w:color w:val="231F20"/>
          <w:w w:val="110"/>
          <w:sz w:val="18"/>
        </w:rPr>
        <w:t>as</w:t>
      </w:r>
      <w:r>
        <w:rPr>
          <w:color w:val="231F20"/>
          <w:spacing w:val="11"/>
          <w:w w:val="110"/>
          <w:sz w:val="18"/>
        </w:rPr>
        <w:t> </w:t>
      </w:r>
      <w:r>
        <w:rPr>
          <w:color w:val="231F20"/>
          <w:w w:val="110"/>
          <w:sz w:val="18"/>
        </w:rPr>
        <w:t>to</w:t>
      </w:r>
      <w:r>
        <w:rPr>
          <w:color w:val="231F20"/>
          <w:spacing w:val="11"/>
          <w:w w:val="110"/>
          <w:sz w:val="18"/>
        </w:rPr>
        <w:t> </w:t>
      </w:r>
      <w:r>
        <w:rPr>
          <w:color w:val="231F20"/>
          <w:w w:val="110"/>
          <w:sz w:val="18"/>
        </w:rPr>
        <w:t>whether</w:t>
      </w:r>
    </w:p>
    <w:p>
      <w:pPr>
        <w:spacing w:after="0" w:line="273" w:lineRule="auto"/>
        <w:jc w:val="both"/>
        <w:rPr>
          <w:sz w:val="18"/>
        </w:rPr>
        <w:sectPr>
          <w:pgSz w:w="11910" w:h="16840"/>
          <w:pgMar w:header="581" w:footer="544" w:top="860" w:bottom="720" w:left="460" w:right="0"/>
        </w:sectPr>
      </w:pPr>
    </w:p>
    <w:p>
      <w:pPr>
        <w:pStyle w:val="BodyText"/>
        <w:spacing w:before="11"/>
        <w:rPr>
          <w:sz w:val="24"/>
        </w:rPr>
      </w:pPr>
      <w:r>
        <w:rPr/>
        <w:pict>
          <v:group style="position:absolute;margin-left:11.339pt;margin-top:48.189014pt;width:527.25pt;height:749.8pt;mso-position-horizontal-relative:page;mso-position-vertical-relative:page;z-index:-275544064" coordorigin="227,964" coordsize="10545,14996">
            <v:shape style="position:absolute;left:823;top:1127;width:9872;height:14661" coordorigin="824,1127" coordsize="9872,14661" path="m824,15547l827,15686,854,15757,925,15784,1064,15787,10455,15787,10594,15784,10665,15757,10691,15686,10695,15547,10695,1367,10691,1228,10665,1157,10594,1131,10455,1127,1064,1127,925,1131,854,1157,827,1228,824,1367,824,15547xe" filled="false" stroked="true" strokeweight="3pt" strokecolor="#000000">
              <v:path arrowok="t"/>
              <v:stroke dashstyle="solid"/>
            </v:shape>
            <v:shape style="position:absolute;left:226;top:963;width:10545;height:14996" coordorigin="227,964" coordsize="10545,14996" path="m10522,15543l227,15543,227,15959,10522,15959,10522,15543m10772,964l476,964,476,1309,10772,1309,10772,964e" filled="true" fillcolor="#ffffff" stroked="false">
              <v:path arrowok="t"/>
              <v:fill type="solid"/>
            </v:shape>
            <w10:wrap type="none"/>
          </v:group>
        </w:pict>
      </w:r>
    </w:p>
    <w:p>
      <w:pPr>
        <w:pStyle w:val="BodyText"/>
        <w:spacing w:line="273" w:lineRule="auto" w:before="100"/>
        <w:ind w:left="673" w:right="1829"/>
      </w:pPr>
      <w:r>
        <w:rPr>
          <w:color w:val="231F20"/>
          <w:w w:val="110"/>
        </w:rPr>
        <w:t>a Minister or a church-related community worker (CRCW) has committed a breach of discipline and, if the Assembly Commission </w:t>
      </w:r>
      <w:r>
        <w:rPr>
          <w:color w:val="231F20"/>
          <w:spacing w:val="-6"/>
          <w:w w:val="110"/>
        </w:rPr>
        <w:t>or, </w:t>
      </w:r>
      <w:r>
        <w:rPr>
          <w:color w:val="231F20"/>
          <w:w w:val="110"/>
        </w:rPr>
        <w:t>in the event of an appeal, the Appeals Commission should so decide, whether on that account his/her name should be deleted </w:t>
      </w:r>
      <w:r>
        <w:rPr>
          <w:color w:val="231F20"/>
          <w:spacing w:val="2"/>
          <w:w w:val="110"/>
        </w:rPr>
        <w:t>from </w:t>
      </w:r>
      <w:r>
        <w:rPr>
          <w:color w:val="231F20"/>
          <w:w w:val="110"/>
        </w:rPr>
        <w:t>the Roll of Ministers or CRCWs as the </w:t>
      </w:r>
      <w:r>
        <w:rPr>
          <w:color w:val="231F20"/>
          <w:spacing w:val="2"/>
          <w:w w:val="110"/>
        </w:rPr>
        <w:t>case </w:t>
      </w:r>
      <w:r>
        <w:rPr>
          <w:color w:val="231F20"/>
          <w:w w:val="110"/>
        </w:rPr>
        <w:t>may be or alternatively whether a  </w:t>
      </w:r>
      <w:r>
        <w:rPr>
          <w:color w:val="231F20"/>
          <w:spacing w:val="2"/>
          <w:w w:val="110"/>
        </w:rPr>
        <w:t>written </w:t>
      </w:r>
      <w:r>
        <w:rPr>
          <w:color w:val="231F20"/>
          <w:w w:val="110"/>
        </w:rPr>
        <w:t>warning should be issued to him/her. The Assembly Commission </w:t>
      </w:r>
      <w:r>
        <w:rPr>
          <w:color w:val="231F20"/>
          <w:spacing w:val="-6"/>
          <w:w w:val="110"/>
        </w:rPr>
        <w:t>or, </w:t>
      </w:r>
      <w:r>
        <w:rPr>
          <w:color w:val="231F20"/>
          <w:w w:val="110"/>
        </w:rPr>
        <w:t>in the event of an appeal, the Appeals Commission may also decide to make a recommendation/ </w:t>
      </w:r>
      <w:r>
        <w:rPr>
          <w:color w:val="231F20"/>
          <w:spacing w:val="2"/>
          <w:w w:val="110"/>
        </w:rPr>
        <w:t>referral </w:t>
      </w:r>
      <w:r>
        <w:rPr>
          <w:color w:val="231F20"/>
          <w:w w:val="110"/>
        </w:rPr>
        <w:t>in accordance with provisions of Paragraph </w:t>
      </w:r>
      <w:r>
        <w:rPr>
          <w:color w:val="231F20"/>
          <w:spacing w:val="-3"/>
          <w:w w:val="110"/>
        </w:rPr>
        <w:t>1.3.  </w:t>
      </w:r>
      <w:r>
        <w:rPr>
          <w:color w:val="231F20"/>
          <w:w w:val="110"/>
        </w:rPr>
        <w:t>Under  the  Ministerial Disciplinary </w:t>
      </w:r>
      <w:r>
        <w:rPr>
          <w:color w:val="231F20"/>
          <w:spacing w:val="2"/>
          <w:w w:val="110"/>
        </w:rPr>
        <w:t>Process </w:t>
      </w:r>
      <w:r>
        <w:rPr>
          <w:color w:val="231F20"/>
          <w:w w:val="110"/>
        </w:rPr>
        <w:t>(known as </w:t>
      </w:r>
      <w:r>
        <w:rPr>
          <w:color w:val="231F20"/>
          <w:spacing w:val="2"/>
          <w:w w:val="110"/>
        </w:rPr>
        <w:t>“the Section </w:t>
      </w:r>
      <w:r>
        <w:rPr>
          <w:color w:val="231F20"/>
          <w:w w:val="110"/>
        </w:rPr>
        <w:t>O </w:t>
      </w:r>
      <w:r>
        <w:rPr>
          <w:color w:val="231F20"/>
          <w:spacing w:val="2"/>
          <w:w w:val="110"/>
        </w:rPr>
        <w:t>Process”) </w:t>
      </w:r>
      <w:r>
        <w:rPr>
          <w:color w:val="231F20"/>
          <w:w w:val="110"/>
        </w:rPr>
        <w:t>the Assembly Commission </w:t>
      </w:r>
      <w:r>
        <w:rPr>
          <w:color w:val="231F20"/>
          <w:spacing w:val="-6"/>
          <w:w w:val="110"/>
        </w:rPr>
        <w:t>or, </w:t>
      </w:r>
      <w:r>
        <w:rPr>
          <w:color w:val="231F20"/>
          <w:w w:val="110"/>
        </w:rPr>
        <w:t>in the event of an appeal, the Appeals Commission is also able to make recommendations (other than recommendations under Paragraph </w:t>
      </w:r>
      <w:r>
        <w:rPr>
          <w:color w:val="231F20"/>
          <w:spacing w:val="-4"/>
          <w:w w:val="110"/>
        </w:rPr>
        <w:t>1.3) </w:t>
      </w:r>
      <w:r>
        <w:rPr>
          <w:color w:val="231F20"/>
          <w:w w:val="110"/>
        </w:rPr>
        <w:t>and </w:t>
      </w:r>
      <w:r>
        <w:rPr>
          <w:color w:val="231F20"/>
          <w:spacing w:val="2"/>
          <w:w w:val="110"/>
        </w:rPr>
        <w:t>offer </w:t>
      </w:r>
      <w:r>
        <w:rPr>
          <w:color w:val="231F20"/>
          <w:w w:val="110"/>
        </w:rPr>
        <w:t>guidance but only within  the limits </w:t>
      </w:r>
      <w:r>
        <w:rPr>
          <w:color w:val="231F20"/>
          <w:spacing w:val="2"/>
          <w:w w:val="110"/>
        </w:rPr>
        <w:t>prescribed </w:t>
      </w:r>
      <w:r>
        <w:rPr>
          <w:color w:val="231F20"/>
          <w:w w:val="110"/>
        </w:rPr>
        <w:t>in </w:t>
      </w:r>
      <w:r>
        <w:rPr>
          <w:color w:val="231F20"/>
          <w:spacing w:val="2"/>
          <w:w w:val="110"/>
        </w:rPr>
        <w:t>Section </w:t>
      </w:r>
      <w:r>
        <w:rPr>
          <w:color w:val="231F20"/>
          <w:w w:val="110"/>
        </w:rPr>
        <w:t>F of </w:t>
      </w:r>
      <w:r>
        <w:rPr>
          <w:color w:val="231F20"/>
          <w:spacing w:val="2"/>
          <w:w w:val="110"/>
        </w:rPr>
        <w:t>Part</w:t>
      </w:r>
      <w:r>
        <w:rPr>
          <w:color w:val="231F20"/>
          <w:spacing w:val="7"/>
          <w:w w:val="110"/>
        </w:rPr>
        <w:t> </w:t>
      </w:r>
      <w:r>
        <w:rPr>
          <w:color w:val="231F20"/>
          <w:w w:val="110"/>
        </w:rPr>
        <w:t>II.</w:t>
      </w:r>
    </w:p>
    <w:p>
      <w:pPr>
        <w:pStyle w:val="BodyText"/>
        <w:spacing w:before="2"/>
        <w:rPr>
          <w:sz w:val="21"/>
        </w:rPr>
      </w:pPr>
    </w:p>
    <w:p>
      <w:pPr>
        <w:pStyle w:val="BodyText"/>
        <w:tabs>
          <w:tab w:pos="1393" w:val="left" w:leader="none"/>
        </w:tabs>
        <w:spacing w:line="273" w:lineRule="auto"/>
        <w:ind w:left="673" w:right="1829"/>
      </w:pPr>
      <w:r>
        <w:rPr>
          <w:color w:val="231F20"/>
          <w:w w:val="110"/>
        </w:rPr>
        <w:t>1.2</w:t>
        <w:tab/>
        <w:t>Subject only to Paragraph </w:t>
      </w:r>
      <w:r>
        <w:rPr>
          <w:color w:val="231F20"/>
          <w:spacing w:val="-3"/>
          <w:w w:val="110"/>
        </w:rPr>
        <w:t>1.3, </w:t>
      </w:r>
      <w:r>
        <w:rPr>
          <w:color w:val="231F20"/>
          <w:w w:val="110"/>
        </w:rPr>
        <w:t>once the disciplinary </w:t>
      </w:r>
      <w:r>
        <w:rPr>
          <w:color w:val="231F20"/>
          <w:spacing w:val="2"/>
          <w:w w:val="110"/>
        </w:rPr>
        <w:t>case </w:t>
      </w:r>
      <w:r>
        <w:rPr>
          <w:color w:val="231F20"/>
          <w:w w:val="110"/>
        </w:rPr>
        <w:t>of any Minister or CRCW is being dealt with under the </w:t>
      </w:r>
      <w:r>
        <w:rPr>
          <w:color w:val="231F20"/>
          <w:spacing w:val="2"/>
          <w:w w:val="110"/>
        </w:rPr>
        <w:t>Section </w:t>
      </w:r>
      <w:r>
        <w:rPr>
          <w:color w:val="231F20"/>
          <w:w w:val="110"/>
        </w:rPr>
        <w:t>O Process, it shall be conducted and concluded entirely in accordance with that </w:t>
      </w:r>
      <w:r>
        <w:rPr>
          <w:color w:val="231F20"/>
          <w:spacing w:val="2"/>
          <w:w w:val="110"/>
        </w:rPr>
        <w:t>Process </w:t>
      </w:r>
      <w:r>
        <w:rPr>
          <w:color w:val="231F20"/>
          <w:w w:val="110"/>
        </w:rPr>
        <w:t>and not through any other procedure or </w:t>
      </w:r>
      <w:r>
        <w:rPr>
          <w:color w:val="231F20"/>
          <w:spacing w:val="2"/>
          <w:w w:val="110"/>
        </w:rPr>
        <w:t>process</w:t>
      </w:r>
      <w:r>
        <w:rPr>
          <w:color w:val="231F20"/>
          <w:spacing w:val="73"/>
          <w:w w:val="110"/>
        </w:rPr>
        <w:t> </w:t>
      </w:r>
      <w:r>
        <w:rPr>
          <w:color w:val="231F20"/>
          <w:w w:val="110"/>
        </w:rPr>
        <w:t>of the</w:t>
      </w:r>
      <w:r>
        <w:rPr>
          <w:color w:val="231F20"/>
          <w:spacing w:val="1"/>
          <w:w w:val="110"/>
        </w:rPr>
        <w:t> </w:t>
      </w:r>
      <w:r>
        <w:rPr>
          <w:color w:val="231F20"/>
          <w:w w:val="110"/>
        </w:rPr>
        <w:t>Church.</w:t>
      </w:r>
    </w:p>
    <w:p>
      <w:pPr>
        <w:pStyle w:val="BodyText"/>
        <w:spacing w:before="9"/>
        <w:rPr>
          <w:sz w:val="20"/>
        </w:rPr>
      </w:pPr>
    </w:p>
    <w:p>
      <w:pPr>
        <w:pStyle w:val="ListParagraph"/>
        <w:numPr>
          <w:ilvl w:val="2"/>
          <w:numId w:val="36"/>
        </w:numPr>
        <w:tabs>
          <w:tab w:pos="1393" w:val="left" w:leader="none"/>
          <w:tab w:pos="1394" w:val="left" w:leader="none"/>
        </w:tabs>
        <w:spacing w:line="273" w:lineRule="auto" w:before="0" w:after="0"/>
        <w:ind w:left="673" w:right="1741" w:firstLine="0"/>
        <w:jc w:val="left"/>
        <w:rPr>
          <w:sz w:val="18"/>
        </w:rPr>
      </w:pPr>
      <w:r>
        <w:rPr>
          <w:color w:val="231F20"/>
          <w:w w:val="110"/>
          <w:sz w:val="18"/>
        </w:rPr>
        <w:t>If it considers that the situation concerning a Minister or CRCW involved in a case within</w:t>
      </w:r>
      <w:r>
        <w:rPr>
          <w:color w:val="231F20"/>
          <w:spacing w:val="7"/>
          <w:w w:val="110"/>
          <w:sz w:val="18"/>
        </w:rPr>
        <w:t> </w:t>
      </w:r>
      <w:r>
        <w:rPr>
          <w:color w:val="231F20"/>
          <w:w w:val="110"/>
          <w:sz w:val="18"/>
        </w:rPr>
        <w:t>the</w:t>
      </w:r>
      <w:r>
        <w:rPr>
          <w:color w:val="231F20"/>
          <w:spacing w:val="7"/>
          <w:w w:val="110"/>
          <w:sz w:val="18"/>
        </w:rPr>
        <w:t> </w:t>
      </w:r>
      <w:r>
        <w:rPr>
          <w:color w:val="231F20"/>
          <w:spacing w:val="2"/>
          <w:w w:val="110"/>
          <w:sz w:val="18"/>
        </w:rPr>
        <w:t>Section</w:t>
      </w:r>
      <w:r>
        <w:rPr>
          <w:color w:val="231F20"/>
          <w:spacing w:val="8"/>
          <w:w w:val="110"/>
          <w:sz w:val="18"/>
        </w:rPr>
        <w:t> </w:t>
      </w:r>
      <w:r>
        <w:rPr>
          <w:color w:val="231F20"/>
          <w:w w:val="110"/>
          <w:sz w:val="18"/>
        </w:rPr>
        <w:t>O</w:t>
      </w:r>
      <w:r>
        <w:rPr>
          <w:color w:val="231F20"/>
          <w:spacing w:val="7"/>
          <w:w w:val="110"/>
          <w:sz w:val="18"/>
        </w:rPr>
        <w:t> </w:t>
      </w:r>
      <w:r>
        <w:rPr>
          <w:color w:val="231F20"/>
          <w:spacing w:val="2"/>
          <w:w w:val="110"/>
          <w:sz w:val="18"/>
        </w:rPr>
        <w:t>Process</w:t>
      </w:r>
      <w:r>
        <w:rPr>
          <w:color w:val="231F20"/>
          <w:spacing w:val="8"/>
          <w:w w:val="110"/>
          <w:sz w:val="18"/>
        </w:rPr>
        <w:t> </w:t>
      </w:r>
      <w:r>
        <w:rPr>
          <w:color w:val="231F20"/>
          <w:w w:val="110"/>
          <w:sz w:val="18"/>
        </w:rPr>
        <w:t>relates</w:t>
      </w:r>
      <w:r>
        <w:rPr>
          <w:color w:val="231F20"/>
          <w:spacing w:val="7"/>
          <w:w w:val="110"/>
          <w:sz w:val="18"/>
        </w:rPr>
        <w:t> </w:t>
      </w:r>
      <w:r>
        <w:rPr>
          <w:color w:val="231F20"/>
          <w:w w:val="110"/>
          <w:sz w:val="18"/>
        </w:rPr>
        <w:t>to</w:t>
      </w:r>
      <w:r>
        <w:rPr>
          <w:color w:val="231F20"/>
          <w:spacing w:val="7"/>
          <w:w w:val="110"/>
          <w:sz w:val="18"/>
        </w:rPr>
        <w:t> </w:t>
      </w:r>
      <w:r>
        <w:rPr>
          <w:color w:val="231F20"/>
          <w:w w:val="110"/>
          <w:sz w:val="18"/>
        </w:rPr>
        <w:t>or</w:t>
      </w:r>
      <w:r>
        <w:rPr>
          <w:color w:val="231F20"/>
          <w:spacing w:val="8"/>
          <w:w w:val="110"/>
          <w:sz w:val="18"/>
        </w:rPr>
        <w:t> </w:t>
      </w:r>
      <w:r>
        <w:rPr>
          <w:color w:val="231F20"/>
          <w:w w:val="110"/>
          <w:sz w:val="18"/>
        </w:rPr>
        <w:t>involves</w:t>
      </w:r>
      <w:r>
        <w:rPr>
          <w:color w:val="231F20"/>
          <w:spacing w:val="7"/>
          <w:w w:val="110"/>
          <w:sz w:val="18"/>
        </w:rPr>
        <w:t> </w:t>
      </w:r>
      <w:r>
        <w:rPr>
          <w:color w:val="231F20"/>
          <w:w w:val="110"/>
          <w:sz w:val="18"/>
        </w:rPr>
        <w:t>a</w:t>
      </w:r>
      <w:r>
        <w:rPr>
          <w:color w:val="231F20"/>
          <w:spacing w:val="8"/>
          <w:w w:val="110"/>
          <w:sz w:val="18"/>
        </w:rPr>
        <w:t> </w:t>
      </w:r>
      <w:r>
        <w:rPr>
          <w:color w:val="231F20"/>
          <w:w w:val="110"/>
          <w:sz w:val="18"/>
        </w:rPr>
        <w:t>perceived</w:t>
      </w:r>
      <w:r>
        <w:rPr>
          <w:color w:val="231F20"/>
          <w:spacing w:val="7"/>
          <w:w w:val="110"/>
          <w:sz w:val="18"/>
        </w:rPr>
        <w:t> </w:t>
      </w:r>
      <w:r>
        <w:rPr>
          <w:color w:val="231F20"/>
          <w:w w:val="110"/>
          <w:sz w:val="18"/>
        </w:rPr>
        <w:t>incapacity</w:t>
      </w:r>
      <w:r>
        <w:rPr>
          <w:color w:val="231F20"/>
          <w:spacing w:val="8"/>
          <w:w w:val="110"/>
          <w:sz w:val="18"/>
        </w:rPr>
        <w:t> </w:t>
      </w:r>
      <w:r>
        <w:rPr>
          <w:color w:val="231F20"/>
          <w:w w:val="110"/>
          <w:sz w:val="18"/>
        </w:rPr>
        <w:t>on</w:t>
      </w:r>
      <w:r>
        <w:rPr>
          <w:color w:val="231F20"/>
          <w:spacing w:val="7"/>
          <w:w w:val="110"/>
          <w:sz w:val="18"/>
        </w:rPr>
        <w:t> </w:t>
      </w:r>
      <w:r>
        <w:rPr>
          <w:color w:val="231F20"/>
          <w:w w:val="110"/>
          <w:sz w:val="18"/>
        </w:rPr>
        <w:t>the</w:t>
      </w:r>
      <w:r>
        <w:rPr>
          <w:color w:val="231F20"/>
          <w:spacing w:val="7"/>
          <w:w w:val="110"/>
          <w:sz w:val="18"/>
        </w:rPr>
        <w:t> </w:t>
      </w:r>
      <w:r>
        <w:rPr>
          <w:color w:val="231F20"/>
          <w:spacing w:val="2"/>
          <w:w w:val="110"/>
          <w:sz w:val="18"/>
        </w:rPr>
        <w:t>part</w:t>
      </w:r>
    </w:p>
    <w:p>
      <w:pPr>
        <w:pStyle w:val="BodyText"/>
        <w:spacing w:before="1"/>
        <w:ind w:left="673"/>
      </w:pPr>
      <w:r>
        <w:rPr>
          <w:color w:val="231F20"/>
          <w:w w:val="110"/>
        </w:rPr>
        <w:t>of that Minister or CRCW which might render him/her unfit to exercise, or to continue</w:t>
      </w:r>
    </w:p>
    <w:p>
      <w:pPr>
        <w:pStyle w:val="BodyText"/>
        <w:spacing w:line="273" w:lineRule="auto" w:before="32"/>
        <w:ind w:left="673" w:right="1829"/>
      </w:pPr>
      <w:r>
        <w:rPr>
          <w:color w:val="231F20"/>
          <w:w w:val="110"/>
        </w:rPr>
        <w:t>to exercise, the ministry of Word and Sacrament or the ministry of Church Related Community Work on account of (i) medical and/or psychiatric illness or (ii) psychological disorder or (iii) addiction, the Assembly Commission or, in the event of an appeal, the Appeals Commission may make an Order in accordance with the Rules of Procedure referring the case back to the Synod Moderator/Deputy General Secretary or other person who called in the Mandated Group with a recommendation that the Ministerial Incapacity Procedure (as defined in Section A of Part II) be initiated in respect of the Minister or CRCW concerned, whereupon the Section O Process shall stand adjourned pending the outcome of such recommendation.</w:t>
      </w:r>
    </w:p>
    <w:p>
      <w:pPr>
        <w:pStyle w:val="BodyText"/>
        <w:rPr>
          <w:sz w:val="21"/>
        </w:rPr>
      </w:pPr>
    </w:p>
    <w:p>
      <w:pPr>
        <w:pStyle w:val="ListParagraph"/>
        <w:numPr>
          <w:ilvl w:val="2"/>
          <w:numId w:val="36"/>
        </w:numPr>
        <w:tabs>
          <w:tab w:pos="1393" w:val="left" w:leader="none"/>
          <w:tab w:pos="1394" w:val="left" w:leader="none"/>
        </w:tabs>
        <w:spacing w:line="273" w:lineRule="auto" w:before="0" w:after="0"/>
        <w:ind w:left="673" w:right="2111" w:firstLine="0"/>
        <w:jc w:val="left"/>
        <w:rPr>
          <w:sz w:val="18"/>
        </w:rPr>
      </w:pPr>
      <w:r>
        <w:rPr>
          <w:color w:val="231F20"/>
          <w:w w:val="110"/>
          <w:sz w:val="18"/>
        </w:rPr>
        <w:t>The Rules of Procedure contained in </w:t>
      </w:r>
      <w:r>
        <w:rPr>
          <w:color w:val="231F20"/>
          <w:spacing w:val="2"/>
          <w:w w:val="110"/>
          <w:sz w:val="18"/>
        </w:rPr>
        <w:t>Part </w:t>
      </w:r>
      <w:r>
        <w:rPr>
          <w:color w:val="231F20"/>
          <w:w w:val="110"/>
          <w:sz w:val="18"/>
        </w:rPr>
        <w:t>II shall provide for the </w:t>
      </w:r>
      <w:r>
        <w:rPr>
          <w:color w:val="231F20"/>
          <w:spacing w:val="2"/>
          <w:w w:val="110"/>
          <w:sz w:val="18"/>
        </w:rPr>
        <w:t>service </w:t>
      </w:r>
      <w:r>
        <w:rPr>
          <w:color w:val="231F20"/>
          <w:w w:val="110"/>
          <w:sz w:val="18"/>
        </w:rPr>
        <w:t>of    the</w:t>
      </w:r>
      <w:r>
        <w:rPr>
          <w:color w:val="231F20"/>
          <w:spacing w:val="11"/>
          <w:w w:val="110"/>
          <w:sz w:val="18"/>
        </w:rPr>
        <w:t> </w:t>
      </w:r>
      <w:r>
        <w:rPr>
          <w:color w:val="231F20"/>
          <w:w w:val="110"/>
          <w:sz w:val="18"/>
        </w:rPr>
        <w:t>above</w:t>
      </w:r>
      <w:r>
        <w:rPr>
          <w:color w:val="231F20"/>
          <w:spacing w:val="11"/>
          <w:w w:val="110"/>
          <w:sz w:val="18"/>
        </w:rPr>
        <w:t> </w:t>
      </w:r>
      <w:r>
        <w:rPr>
          <w:color w:val="231F20"/>
          <w:w w:val="110"/>
          <w:sz w:val="18"/>
        </w:rPr>
        <w:t>Order</w:t>
      </w:r>
      <w:r>
        <w:rPr>
          <w:color w:val="231F20"/>
          <w:spacing w:val="11"/>
          <w:w w:val="110"/>
          <w:sz w:val="18"/>
        </w:rPr>
        <w:t> </w:t>
      </w:r>
      <w:r>
        <w:rPr>
          <w:color w:val="231F20"/>
          <w:spacing w:val="-4"/>
          <w:w w:val="110"/>
          <w:sz w:val="18"/>
        </w:rPr>
        <w:t>(and</w:t>
      </w:r>
      <w:r>
        <w:rPr>
          <w:color w:val="231F20"/>
          <w:spacing w:val="12"/>
          <w:w w:val="110"/>
          <w:sz w:val="18"/>
        </w:rPr>
        <w:t> </w:t>
      </w:r>
      <w:r>
        <w:rPr>
          <w:color w:val="231F20"/>
          <w:w w:val="110"/>
          <w:sz w:val="18"/>
        </w:rPr>
        <w:t>any</w:t>
      </w:r>
      <w:r>
        <w:rPr>
          <w:color w:val="231F20"/>
          <w:spacing w:val="11"/>
          <w:w w:val="110"/>
          <w:sz w:val="18"/>
        </w:rPr>
        <w:t> </w:t>
      </w:r>
      <w:r>
        <w:rPr>
          <w:color w:val="231F20"/>
          <w:w w:val="110"/>
          <w:sz w:val="18"/>
        </w:rPr>
        <w:t>accompanying</w:t>
      </w:r>
      <w:r>
        <w:rPr>
          <w:color w:val="231F20"/>
          <w:spacing w:val="11"/>
          <w:w w:val="110"/>
          <w:sz w:val="18"/>
        </w:rPr>
        <w:t> </w:t>
      </w:r>
      <w:r>
        <w:rPr>
          <w:color w:val="231F20"/>
          <w:w w:val="110"/>
          <w:sz w:val="18"/>
        </w:rPr>
        <w:t>documentation</w:t>
      </w:r>
      <w:r>
        <w:rPr>
          <w:color w:val="231F20"/>
          <w:spacing w:val="12"/>
          <w:w w:val="110"/>
          <w:sz w:val="18"/>
        </w:rPr>
        <w:t> </w:t>
      </w:r>
      <w:r>
        <w:rPr>
          <w:color w:val="231F20"/>
          <w:w w:val="110"/>
          <w:sz w:val="18"/>
        </w:rPr>
        <w:t>if</w:t>
      </w:r>
      <w:r>
        <w:rPr>
          <w:color w:val="231F20"/>
          <w:spacing w:val="11"/>
          <w:w w:val="110"/>
          <w:sz w:val="18"/>
        </w:rPr>
        <w:t> </w:t>
      </w:r>
      <w:r>
        <w:rPr>
          <w:color w:val="231F20"/>
          <w:w w:val="110"/>
          <w:sz w:val="18"/>
        </w:rPr>
        <w:t>appropriate)</w:t>
      </w:r>
      <w:r>
        <w:rPr>
          <w:color w:val="231F20"/>
          <w:spacing w:val="11"/>
          <w:w w:val="110"/>
          <w:sz w:val="18"/>
        </w:rPr>
        <w:t> </w:t>
      </w:r>
      <w:r>
        <w:rPr>
          <w:color w:val="231F20"/>
          <w:w w:val="110"/>
          <w:sz w:val="18"/>
        </w:rPr>
        <w:t>on</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Synod</w:t>
      </w:r>
    </w:p>
    <w:p>
      <w:pPr>
        <w:pStyle w:val="BodyText"/>
        <w:spacing w:before="1"/>
        <w:ind w:left="673"/>
      </w:pPr>
      <w:r>
        <w:rPr>
          <w:color w:val="231F20"/>
          <w:w w:val="110"/>
        </w:rPr>
        <w:t>Moderator/Deputy General Secretary or other person who called in the Mandated Group</w:t>
      </w:r>
    </w:p>
    <w:p>
      <w:pPr>
        <w:pStyle w:val="BodyText"/>
        <w:spacing w:line="273" w:lineRule="auto" w:before="31"/>
        <w:ind w:left="673" w:right="1844"/>
      </w:pPr>
      <w:r>
        <w:rPr>
          <w:color w:val="231F20"/>
          <w:w w:val="110"/>
        </w:rPr>
        <w:t>and under those Rules s/he shall be required, within the time therein specified, to   </w:t>
      </w:r>
      <w:r>
        <w:rPr>
          <w:color w:val="231F20"/>
          <w:spacing w:val="2"/>
          <w:w w:val="110"/>
        </w:rPr>
        <w:t>notify </w:t>
      </w:r>
      <w:r>
        <w:rPr>
          <w:color w:val="231F20"/>
          <w:w w:val="110"/>
        </w:rPr>
        <w:t>the </w:t>
      </w:r>
      <w:r>
        <w:rPr>
          <w:color w:val="231F20"/>
          <w:spacing w:val="3"/>
          <w:w w:val="110"/>
        </w:rPr>
        <w:t>Secretary </w:t>
      </w:r>
      <w:r>
        <w:rPr>
          <w:color w:val="231F20"/>
          <w:w w:val="110"/>
        </w:rPr>
        <w:t>of the Assembly Commission or the Appeals Commission in writing whether the recommendation has been accepted or</w:t>
      </w:r>
      <w:r>
        <w:rPr>
          <w:color w:val="231F20"/>
          <w:spacing w:val="24"/>
          <w:w w:val="110"/>
        </w:rPr>
        <w:t> </w:t>
      </w:r>
      <w:r>
        <w:rPr>
          <w:color w:val="231F20"/>
          <w:w w:val="110"/>
        </w:rPr>
        <w:t>rejected.</w:t>
      </w:r>
    </w:p>
    <w:p>
      <w:pPr>
        <w:pStyle w:val="BodyText"/>
        <w:spacing w:before="9"/>
        <w:rPr>
          <w:sz w:val="20"/>
        </w:rPr>
      </w:pPr>
    </w:p>
    <w:p>
      <w:pPr>
        <w:pStyle w:val="ListParagraph"/>
        <w:numPr>
          <w:ilvl w:val="2"/>
          <w:numId w:val="36"/>
        </w:numPr>
        <w:tabs>
          <w:tab w:pos="1393" w:val="left" w:leader="none"/>
          <w:tab w:pos="1394" w:val="left" w:leader="none"/>
        </w:tabs>
        <w:spacing w:line="273" w:lineRule="auto" w:before="0" w:after="0"/>
        <w:ind w:left="673" w:right="1835" w:firstLine="0"/>
        <w:jc w:val="left"/>
        <w:rPr>
          <w:sz w:val="18"/>
        </w:rPr>
      </w:pPr>
      <w:r>
        <w:rPr>
          <w:color w:val="231F20"/>
          <w:w w:val="110"/>
          <w:sz w:val="18"/>
        </w:rPr>
        <w:t>If the recommendation has been accepted, the notification shall </w:t>
      </w:r>
      <w:r>
        <w:rPr>
          <w:color w:val="231F20"/>
          <w:spacing w:val="2"/>
          <w:w w:val="110"/>
          <w:sz w:val="18"/>
        </w:rPr>
        <w:t>specify </w:t>
      </w:r>
      <w:r>
        <w:rPr>
          <w:color w:val="231F20"/>
          <w:w w:val="110"/>
          <w:sz w:val="18"/>
        </w:rPr>
        <w:t>the date on which the Ministerial Incapacity Procedure was initiated, whereupon the Assembly Commission or the Appeals Commission shall make a </w:t>
      </w:r>
      <w:r>
        <w:rPr>
          <w:color w:val="231F20"/>
          <w:spacing w:val="2"/>
          <w:w w:val="110"/>
          <w:sz w:val="18"/>
        </w:rPr>
        <w:t>further </w:t>
      </w:r>
      <w:r>
        <w:rPr>
          <w:color w:val="231F20"/>
          <w:w w:val="110"/>
          <w:sz w:val="18"/>
        </w:rPr>
        <w:t>Order declaring the Ministerial Disciplinary </w:t>
      </w:r>
      <w:r>
        <w:rPr>
          <w:color w:val="231F20"/>
          <w:spacing w:val="2"/>
          <w:w w:val="110"/>
          <w:sz w:val="18"/>
        </w:rPr>
        <w:t>case </w:t>
      </w:r>
      <w:r>
        <w:rPr>
          <w:color w:val="231F20"/>
          <w:w w:val="110"/>
          <w:sz w:val="18"/>
        </w:rPr>
        <w:t>to be concluded, subject only to the continuation of the Minister’s or the CRCW’s Suspension until the issue of his/her Suspension has been resolved in accordance with the Ministerial Incapacity</w:t>
      </w:r>
      <w:r>
        <w:rPr>
          <w:color w:val="231F20"/>
          <w:spacing w:val="28"/>
          <w:w w:val="110"/>
          <w:sz w:val="18"/>
        </w:rPr>
        <w:t> </w:t>
      </w:r>
      <w:r>
        <w:rPr>
          <w:color w:val="231F20"/>
          <w:w w:val="110"/>
          <w:sz w:val="18"/>
        </w:rPr>
        <w:t>Procedure.</w:t>
      </w:r>
    </w:p>
    <w:p>
      <w:pPr>
        <w:pStyle w:val="BodyText"/>
        <w:spacing w:before="11"/>
        <w:rPr>
          <w:sz w:val="20"/>
        </w:rPr>
      </w:pPr>
    </w:p>
    <w:p>
      <w:pPr>
        <w:pStyle w:val="ListParagraph"/>
        <w:numPr>
          <w:ilvl w:val="2"/>
          <w:numId w:val="36"/>
        </w:numPr>
        <w:tabs>
          <w:tab w:pos="1394" w:val="left" w:leader="none"/>
        </w:tabs>
        <w:spacing w:line="273" w:lineRule="auto" w:before="0" w:after="0"/>
        <w:ind w:left="673" w:right="1762" w:firstLine="0"/>
        <w:jc w:val="both"/>
        <w:rPr>
          <w:sz w:val="18"/>
        </w:rPr>
      </w:pPr>
      <w:r>
        <w:rPr>
          <w:color w:val="231F20"/>
          <w:w w:val="110"/>
          <w:sz w:val="18"/>
        </w:rPr>
        <w:t>If the recommendation has been rejected, the notification shall state the reasons and the Assembly Commission or the Appeals Commission shall forthwith reactivate the Ministerial Disciplinary</w:t>
      </w:r>
      <w:r>
        <w:rPr>
          <w:color w:val="231F20"/>
          <w:spacing w:val="2"/>
          <w:w w:val="110"/>
          <w:sz w:val="18"/>
        </w:rPr>
        <w:t> </w:t>
      </w:r>
      <w:r>
        <w:rPr>
          <w:color w:val="231F20"/>
          <w:w w:val="110"/>
          <w:sz w:val="18"/>
        </w:rPr>
        <w:t>case.</w:t>
      </w:r>
    </w:p>
    <w:p>
      <w:pPr>
        <w:pStyle w:val="BodyText"/>
        <w:spacing w:before="8"/>
        <w:rPr>
          <w:sz w:val="20"/>
        </w:rPr>
      </w:pPr>
    </w:p>
    <w:p>
      <w:pPr>
        <w:pStyle w:val="ListParagraph"/>
        <w:numPr>
          <w:ilvl w:val="1"/>
          <w:numId w:val="35"/>
        </w:numPr>
        <w:tabs>
          <w:tab w:pos="1393" w:val="left" w:leader="none"/>
          <w:tab w:pos="1394" w:val="left" w:leader="none"/>
        </w:tabs>
        <w:spacing w:line="273" w:lineRule="auto" w:before="1" w:after="0"/>
        <w:ind w:left="673" w:right="1739" w:firstLine="0"/>
        <w:jc w:val="left"/>
        <w:rPr>
          <w:sz w:val="18"/>
        </w:rPr>
      </w:pPr>
      <w:r>
        <w:rPr>
          <w:color w:val="231F20"/>
          <w:w w:val="110"/>
          <w:sz w:val="18"/>
        </w:rPr>
        <w:t>The Assembly Commission, the Commission Panel, the Appeals Commission and  all </w:t>
      </w:r>
      <w:r>
        <w:rPr>
          <w:color w:val="231F20"/>
          <w:spacing w:val="2"/>
          <w:w w:val="110"/>
          <w:sz w:val="18"/>
        </w:rPr>
        <w:t>aspects </w:t>
      </w:r>
      <w:r>
        <w:rPr>
          <w:color w:val="231F20"/>
          <w:w w:val="110"/>
          <w:sz w:val="18"/>
        </w:rPr>
        <w:t>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at all times remain under the jurisdiction and control of the General Assembly which has the authority through the exercise of its functions as contained in Paragraph </w:t>
      </w:r>
      <w:r>
        <w:rPr>
          <w:color w:val="231F20"/>
          <w:spacing w:val="-4"/>
          <w:w w:val="110"/>
          <w:sz w:val="18"/>
        </w:rPr>
        <w:t>2(5) </w:t>
      </w:r>
      <w:r>
        <w:rPr>
          <w:color w:val="231F20"/>
          <w:w w:val="110"/>
          <w:sz w:val="18"/>
        </w:rPr>
        <w:t>of the Structure to amend, enlarge or revoke  the whole or any </w:t>
      </w:r>
      <w:r>
        <w:rPr>
          <w:color w:val="231F20"/>
          <w:spacing w:val="2"/>
          <w:w w:val="110"/>
          <w:sz w:val="18"/>
        </w:rPr>
        <w:t>part </w:t>
      </w:r>
      <w:r>
        <w:rPr>
          <w:color w:val="231F20"/>
          <w:w w:val="110"/>
          <w:sz w:val="18"/>
        </w:rPr>
        <w:t>of the </w:t>
      </w:r>
      <w:r>
        <w:rPr>
          <w:color w:val="231F20"/>
          <w:spacing w:val="2"/>
          <w:w w:val="110"/>
          <w:sz w:val="18"/>
        </w:rPr>
        <w:t>Section </w:t>
      </w:r>
      <w:r>
        <w:rPr>
          <w:color w:val="231F20"/>
          <w:w w:val="110"/>
          <w:sz w:val="18"/>
        </w:rPr>
        <w:t>O Process, save only that, so long as it remains in force, the decision </w:t>
      </w:r>
      <w:r>
        <w:rPr>
          <w:color w:val="231F20"/>
          <w:spacing w:val="2"/>
          <w:w w:val="110"/>
          <w:sz w:val="18"/>
        </w:rPr>
        <w:t>reached </w:t>
      </w:r>
      <w:r>
        <w:rPr>
          <w:color w:val="231F20"/>
          <w:w w:val="110"/>
          <w:sz w:val="18"/>
        </w:rPr>
        <w:t>in any particular </w:t>
      </w:r>
      <w:r>
        <w:rPr>
          <w:color w:val="231F20"/>
          <w:spacing w:val="2"/>
          <w:w w:val="110"/>
          <w:sz w:val="18"/>
        </w:rPr>
        <w:t>case </w:t>
      </w:r>
      <w:r>
        <w:rPr>
          <w:color w:val="231F20"/>
          <w:w w:val="110"/>
          <w:sz w:val="18"/>
        </w:rPr>
        <w:t>(whether or not on appeal) and any </w:t>
      </w:r>
      <w:r>
        <w:rPr>
          <w:color w:val="231F20"/>
          <w:spacing w:val="2"/>
          <w:w w:val="110"/>
          <w:sz w:val="18"/>
        </w:rPr>
        <w:t>orders </w:t>
      </w:r>
      <w:r>
        <w:rPr>
          <w:color w:val="231F20"/>
          <w:w w:val="110"/>
          <w:sz w:val="18"/>
        </w:rPr>
        <w:t>made in accordance with this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be made in the name of the General Assembly and shall be final and binding on the Minister or the CRCW and on all the councils of the</w:t>
      </w:r>
      <w:r>
        <w:rPr>
          <w:color w:val="231F20"/>
          <w:spacing w:val="4"/>
          <w:w w:val="110"/>
          <w:sz w:val="18"/>
        </w:rPr>
        <w:t> </w:t>
      </w:r>
      <w:r>
        <w:rPr>
          <w:color w:val="231F20"/>
          <w:w w:val="110"/>
          <w:sz w:val="18"/>
        </w:rPr>
        <w:t>Church.</w:t>
      </w:r>
    </w:p>
    <w:p>
      <w:pPr>
        <w:spacing w:after="0" w:line="273" w:lineRule="auto"/>
        <w:jc w:val="left"/>
        <w:rPr>
          <w:sz w:val="18"/>
        </w:rPr>
        <w:sectPr>
          <w:pgSz w:w="11910" w:h="16840"/>
          <w:pgMar w:header="581" w:footer="464" w:top="860" w:bottom="740" w:left="460" w:right="0"/>
        </w:sectPr>
      </w:pPr>
    </w:p>
    <w:p>
      <w:pPr>
        <w:pStyle w:val="BodyText"/>
        <w:rPr>
          <w:sz w:val="20"/>
        </w:rPr>
      </w:pPr>
      <w:r>
        <w:rPr/>
        <w:pict>
          <v:group style="position:absolute;margin-left:48.188999pt;margin-top:53.291016pt;width:514.8pt;height:730.5pt;mso-position-horizontal-relative:page;mso-position-vertical-relative:page;z-index:-275543040" coordorigin="964,1066" coordsize="10296,14610">
            <v:shape style="position:absolute;left:1311;top:1200;width:9872;height:14445" coordorigin="1311,1201" coordsize="9872,14445" path="m1311,15406l1315,15544,1341,15616,1413,15642,1551,15646,10943,15646,11081,15642,11153,15616,11179,15544,11183,15406,11183,1441,11179,1302,11153,1231,11081,1204,10943,1201,1551,1201,1413,1204,1341,1231,1315,1302,1311,1441,1311,15406xe" filled="false" stroked="true" strokeweight="3pt" strokecolor="#000000">
              <v:path arrowok="t"/>
              <v:stroke dashstyle="solid"/>
            </v:shape>
            <v:rect style="position:absolute;left:963;top:1065;width:10296;height:345" filled="true" fillcolor="#ffffff" stroked="false">
              <v:fill type="solid"/>
            </v:rect>
            <w10:wrap type="none"/>
          </v:group>
        </w:pict>
      </w:r>
    </w:p>
    <w:p>
      <w:pPr>
        <w:pStyle w:val="BodyText"/>
        <w:spacing w:before="9"/>
      </w:pPr>
    </w:p>
    <w:p>
      <w:pPr>
        <w:pStyle w:val="ListParagraph"/>
        <w:numPr>
          <w:ilvl w:val="1"/>
          <w:numId w:val="35"/>
        </w:numPr>
        <w:tabs>
          <w:tab w:pos="1720" w:val="left" w:leader="none"/>
        </w:tabs>
        <w:spacing w:line="273" w:lineRule="auto" w:before="0" w:after="0"/>
        <w:ind w:left="1240" w:right="1424" w:firstLine="0"/>
        <w:jc w:val="both"/>
        <w:rPr>
          <w:sz w:val="18"/>
        </w:rPr>
      </w:pPr>
      <w:r>
        <w:rPr>
          <w:color w:val="231F20"/>
          <w:spacing w:val="-4"/>
          <w:w w:val="110"/>
          <w:sz w:val="18"/>
        </w:rPr>
        <w:t>3.1 </w:t>
      </w:r>
      <w:r>
        <w:rPr>
          <w:color w:val="231F20"/>
          <w:w w:val="110"/>
          <w:sz w:val="18"/>
        </w:rPr>
        <w:t>Subject only to Paragraph 3.2,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not be initiated in </w:t>
      </w:r>
      <w:r>
        <w:rPr>
          <w:color w:val="231F20"/>
          <w:spacing w:val="3"/>
          <w:w w:val="110"/>
          <w:sz w:val="18"/>
        </w:rPr>
        <w:t>respect </w:t>
      </w:r>
      <w:r>
        <w:rPr>
          <w:color w:val="231F20"/>
          <w:w w:val="110"/>
          <w:sz w:val="18"/>
        </w:rPr>
        <w:t>of any Minister or CRCW if his/her </w:t>
      </w:r>
      <w:r>
        <w:rPr>
          <w:color w:val="231F20"/>
          <w:spacing w:val="2"/>
          <w:w w:val="110"/>
          <w:sz w:val="18"/>
        </w:rPr>
        <w:t>case </w:t>
      </w:r>
      <w:r>
        <w:rPr>
          <w:color w:val="231F20"/>
          <w:w w:val="110"/>
          <w:sz w:val="18"/>
        </w:rPr>
        <w:t>is currently being dealt with under the Ministerial Incapacity</w:t>
      </w:r>
      <w:r>
        <w:rPr>
          <w:color w:val="231F20"/>
          <w:spacing w:val="3"/>
          <w:w w:val="110"/>
          <w:sz w:val="18"/>
        </w:rPr>
        <w:t> </w:t>
      </w:r>
      <w:r>
        <w:rPr>
          <w:color w:val="231F20"/>
          <w:w w:val="110"/>
          <w:sz w:val="18"/>
        </w:rPr>
        <w:t>Procedure.</w:t>
      </w:r>
    </w:p>
    <w:p>
      <w:pPr>
        <w:pStyle w:val="BodyText"/>
        <w:spacing w:before="9"/>
        <w:rPr>
          <w:sz w:val="20"/>
        </w:rPr>
      </w:pPr>
    </w:p>
    <w:p>
      <w:pPr>
        <w:pStyle w:val="BodyText"/>
        <w:tabs>
          <w:tab w:pos="1960" w:val="left" w:leader="none"/>
        </w:tabs>
        <w:spacing w:line="273" w:lineRule="auto"/>
        <w:ind w:left="1240" w:right="1131"/>
      </w:pPr>
      <w:r>
        <w:rPr>
          <w:color w:val="231F20"/>
          <w:spacing w:val="-3"/>
          <w:w w:val="110"/>
        </w:rPr>
        <w:t>3.2</w:t>
        <w:tab/>
      </w:r>
      <w:r>
        <w:rPr>
          <w:color w:val="231F20"/>
          <w:w w:val="110"/>
        </w:rPr>
        <w:t>The Section O Process </w:t>
      </w:r>
      <w:r>
        <w:rPr>
          <w:color w:val="231F20"/>
          <w:spacing w:val="-3"/>
          <w:w w:val="110"/>
        </w:rPr>
        <w:t>may </w:t>
      </w:r>
      <w:r>
        <w:rPr>
          <w:color w:val="231F20"/>
          <w:w w:val="110"/>
        </w:rPr>
        <w:t>be initiated in respect of a Minister or CRCW as a result of a recommendation issuing from the Ministerial Incapacity Procedure, in which case there </w:t>
      </w:r>
      <w:r>
        <w:rPr>
          <w:color w:val="231F20"/>
          <w:spacing w:val="-3"/>
          <w:w w:val="110"/>
        </w:rPr>
        <w:t>may </w:t>
      </w:r>
      <w:r>
        <w:rPr>
          <w:color w:val="231F20"/>
          <w:w w:val="110"/>
        </w:rPr>
        <w:t>be a short transitional overlap between the commencement of the Ministerial Disciplinary</w:t>
      </w:r>
      <w:r>
        <w:rPr>
          <w:color w:val="231F20"/>
          <w:spacing w:val="-7"/>
          <w:w w:val="110"/>
        </w:rPr>
        <w:t> </w:t>
      </w:r>
      <w:r>
        <w:rPr>
          <w:color w:val="231F20"/>
          <w:w w:val="110"/>
        </w:rPr>
        <w:t>case</w:t>
      </w:r>
      <w:r>
        <w:rPr>
          <w:color w:val="231F20"/>
          <w:spacing w:val="-7"/>
          <w:w w:val="110"/>
        </w:rPr>
        <w:t> </w:t>
      </w:r>
      <w:r>
        <w:rPr>
          <w:color w:val="231F20"/>
          <w:w w:val="110"/>
        </w:rPr>
        <w:t>and</w:t>
      </w:r>
      <w:r>
        <w:rPr>
          <w:color w:val="231F20"/>
          <w:spacing w:val="-7"/>
          <w:w w:val="110"/>
        </w:rPr>
        <w:t> </w:t>
      </w:r>
      <w:r>
        <w:rPr>
          <w:color w:val="231F20"/>
          <w:w w:val="110"/>
        </w:rPr>
        <w:t>the</w:t>
      </w:r>
      <w:r>
        <w:rPr>
          <w:color w:val="231F20"/>
          <w:spacing w:val="-7"/>
          <w:w w:val="110"/>
        </w:rPr>
        <w:t> </w:t>
      </w:r>
      <w:r>
        <w:rPr>
          <w:color w:val="231F20"/>
          <w:w w:val="110"/>
        </w:rPr>
        <w:t>conclusion</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case</w:t>
      </w:r>
      <w:r>
        <w:rPr>
          <w:color w:val="231F20"/>
          <w:spacing w:val="-7"/>
          <w:w w:val="110"/>
        </w:rPr>
        <w:t> </w:t>
      </w:r>
      <w:r>
        <w:rPr>
          <w:color w:val="231F20"/>
          <w:w w:val="110"/>
        </w:rPr>
        <w:t>within</w:t>
      </w:r>
      <w:r>
        <w:rPr>
          <w:color w:val="231F20"/>
          <w:spacing w:val="-7"/>
          <w:w w:val="110"/>
        </w:rPr>
        <w:t> </w:t>
      </w:r>
      <w:r>
        <w:rPr>
          <w:color w:val="231F20"/>
          <w:w w:val="110"/>
        </w:rPr>
        <w:t>the</w:t>
      </w:r>
      <w:r>
        <w:rPr>
          <w:color w:val="231F20"/>
          <w:spacing w:val="-7"/>
          <w:w w:val="110"/>
        </w:rPr>
        <w:t> </w:t>
      </w:r>
      <w:r>
        <w:rPr>
          <w:color w:val="231F20"/>
          <w:w w:val="110"/>
        </w:rPr>
        <w:t>Ministerial</w:t>
      </w:r>
      <w:r>
        <w:rPr>
          <w:color w:val="231F20"/>
          <w:spacing w:val="-7"/>
          <w:w w:val="110"/>
        </w:rPr>
        <w:t> </w:t>
      </w:r>
      <w:r>
        <w:rPr>
          <w:color w:val="231F20"/>
          <w:w w:val="110"/>
        </w:rPr>
        <w:t>Incapacity</w:t>
      </w:r>
      <w:r>
        <w:rPr>
          <w:color w:val="231F20"/>
          <w:spacing w:val="-6"/>
          <w:w w:val="110"/>
        </w:rPr>
        <w:t> </w:t>
      </w:r>
      <w:r>
        <w:rPr>
          <w:color w:val="231F20"/>
          <w:w w:val="110"/>
        </w:rPr>
        <w:t>Procedure.</w:t>
      </w:r>
    </w:p>
    <w:p>
      <w:pPr>
        <w:pStyle w:val="BodyText"/>
        <w:spacing w:before="9"/>
        <w:rPr>
          <w:sz w:val="20"/>
        </w:rPr>
      </w:pPr>
    </w:p>
    <w:p>
      <w:pPr>
        <w:pStyle w:val="ListParagraph"/>
        <w:numPr>
          <w:ilvl w:val="1"/>
          <w:numId w:val="35"/>
        </w:numPr>
        <w:tabs>
          <w:tab w:pos="1787" w:val="left" w:leader="none"/>
          <w:tab w:pos="1788" w:val="left" w:leader="none"/>
        </w:tabs>
        <w:spacing w:line="273" w:lineRule="auto" w:before="0" w:after="0"/>
        <w:ind w:left="1240" w:right="1559" w:firstLine="0"/>
        <w:jc w:val="left"/>
        <w:rPr>
          <w:sz w:val="18"/>
        </w:rPr>
      </w:pPr>
      <w:r>
        <w:rPr>
          <w:color w:val="231F20"/>
          <w:spacing w:val="-5"/>
          <w:w w:val="110"/>
          <w:sz w:val="18"/>
        </w:rPr>
        <w:t>4.1 </w:t>
      </w:r>
      <w:r>
        <w:rPr>
          <w:color w:val="231F20"/>
          <w:w w:val="110"/>
          <w:sz w:val="18"/>
        </w:rPr>
        <w:t>In considering the evidence and reaching its decision, the Assembly Commission </w:t>
      </w:r>
      <w:r>
        <w:rPr>
          <w:color w:val="231F20"/>
          <w:spacing w:val="-6"/>
          <w:w w:val="110"/>
          <w:sz w:val="18"/>
        </w:rPr>
        <w:t>or, </w:t>
      </w:r>
      <w:r>
        <w:rPr>
          <w:color w:val="231F20"/>
          <w:w w:val="110"/>
          <w:sz w:val="18"/>
        </w:rPr>
        <w:t>in the event of an appeal, the Appeals Commission shall in every  </w:t>
      </w:r>
      <w:r>
        <w:rPr>
          <w:color w:val="231F20"/>
          <w:spacing w:val="2"/>
          <w:w w:val="110"/>
          <w:sz w:val="18"/>
        </w:rPr>
        <w:t>case</w:t>
      </w:r>
      <w:r>
        <w:rPr>
          <w:color w:val="231F20"/>
          <w:spacing w:val="7"/>
          <w:w w:val="110"/>
          <w:sz w:val="18"/>
        </w:rPr>
        <w:t> </w:t>
      </w:r>
      <w:r>
        <w:rPr>
          <w:color w:val="231F20"/>
          <w:w w:val="110"/>
          <w:sz w:val="18"/>
        </w:rPr>
        <w:t>have</w:t>
      </w:r>
      <w:r>
        <w:rPr>
          <w:color w:val="231F20"/>
          <w:spacing w:val="7"/>
          <w:w w:val="110"/>
          <w:sz w:val="18"/>
        </w:rPr>
        <w:t> </w:t>
      </w:r>
      <w:r>
        <w:rPr>
          <w:color w:val="231F20"/>
          <w:w w:val="110"/>
          <w:sz w:val="18"/>
        </w:rPr>
        <w:t>full</w:t>
      </w:r>
      <w:r>
        <w:rPr>
          <w:color w:val="231F20"/>
          <w:spacing w:val="8"/>
          <w:w w:val="110"/>
          <w:sz w:val="18"/>
        </w:rPr>
        <w:t> </w:t>
      </w:r>
      <w:r>
        <w:rPr>
          <w:color w:val="231F20"/>
          <w:w w:val="110"/>
          <w:sz w:val="18"/>
        </w:rPr>
        <w:t>regard</w:t>
      </w:r>
      <w:r>
        <w:rPr>
          <w:color w:val="231F20"/>
          <w:spacing w:val="7"/>
          <w:w w:val="110"/>
          <w:sz w:val="18"/>
        </w:rPr>
        <w:t> </w:t>
      </w:r>
      <w:r>
        <w:rPr>
          <w:color w:val="231F20"/>
          <w:w w:val="110"/>
          <w:sz w:val="18"/>
        </w:rPr>
        <w:t>to</w:t>
      </w:r>
      <w:r>
        <w:rPr>
          <w:color w:val="231F20"/>
          <w:spacing w:val="8"/>
          <w:w w:val="110"/>
          <w:sz w:val="18"/>
        </w:rPr>
        <w:t> </w:t>
      </w:r>
      <w:r>
        <w:rPr>
          <w:color w:val="231F20"/>
          <w:w w:val="110"/>
          <w:sz w:val="18"/>
        </w:rPr>
        <w:t>the</w:t>
      </w:r>
      <w:r>
        <w:rPr>
          <w:color w:val="231F20"/>
          <w:spacing w:val="7"/>
          <w:w w:val="110"/>
          <w:sz w:val="18"/>
        </w:rPr>
        <w:t> </w:t>
      </w:r>
      <w:r>
        <w:rPr>
          <w:color w:val="231F20"/>
          <w:w w:val="110"/>
          <w:sz w:val="18"/>
        </w:rPr>
        <w:t>Basis</w:t>
      </w:r>
      <w:r>
        <w:rPr>
          <w:color w:val="231F20"/>
          <w:spacing w:val="8"/>
          <w:w w:val="110"/>
          <w:sz w:val="18"/>
        </w:rPr>
        <w:t> </w:t>
      </w:r>
      <w:r>
        <w:rPr>
          <w:color w:val="231F20"/>
          <w:w w:val="110"/>
          <w:sz w:val="18"/>
        </w:rPr>
        <w:t>of</w:t>
      </w:r>
      <w:r>
        <w:rPr>
          <w:color w:val="231F20"/>
          <w:spacing w:val="7"/>
          <w:w w:val="110"/>
          <w:sz w:val="18"/>
        </w:rPr>
        <w:t> </w:t>
      </w:r>
      <w:r>
        <w:rPr>
          <w:color w:val="231F20"/>
          <w:w w:val="110"/>
          <w:sz w:val="18"/>
        </w:rPr>
        <w:t>Union</w:t>
      </w:r>
      <w:r>
        <w:rPr>
          <w:color w:val="231F20"/>
          <w:spacing w:val="8"/>
          <w:w w:val="110"/>
          <w:sz w:val="18"/>
        </w:rPr>
        <w:t> </w:t>
      </w:r>
      <w:r>
        <w:rPr>
          <w:color w:val="231F20"/>
          <w:w w:val="110"/>
          <w:sz w:val="18"/>
        </w:rPr>
        <w:t>and</w:t>
      </w:r>
      <w:r>
        <w:rPr>
          <w:color w:val="231F20"/>
          <w:spacing w:val="7"/>
          <w:w w:val="110"/>
          <w:sz w:val="18"/>
        </w:rPr>
        <w:t> </w:t>
      </w:r>
      <w:r>
        <w:rPr>
          <w:color w:val="231F20"/>
          <w:w w:val="110"/>
          <w:sz w:val="18"/>
        </w:rPr>
        <w:t>in</w:t>
      </w:r>
      <w:r>
        <w:rPr>
          <w:color w:val="231F20"/>
          <w:spacing w:val="7"/>
          <w:w w:val="110"/>
          <w:sz w:val="18"/>
        </w:rPr>
        <w:t> </w:t>
      </w:r>
      <w:r>
        <w:rPr>
          <w:color w:val="231F20"/>
          <w:w w:val="110"/>
          <w:sz w:val="18"/>
        </w:rPr>
        <w:t>particular</w:t>
      </w:r>
      <w:r>
        <w:rPr>
          <w:color w:val="231F20"/>
          <w:spacing w:val="8"/>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8"/>
          <w:w w:val="110"/>
          <w:sz w:val="18"/>
        </w:rPr>
        <w:t> </w:t>
      </w:r>
      <w:r>
        <w:rPr>
          <w:color w:val="231F20"/>
          <w:spacing w:val="2"/>
          <w:w w:val="110"/>
          <w:sz w:val="18"/>
        </w:rPr>
        <w:t>case</w:t>
      </w:r>
      <w:r>
        <w:rPr>
          <w:color w:val="231F20"/>
          <w:spacing w:val="7"/>
          <w:w w:val="110"/>
          <w:sz w:val="18"/>
        </w:rPr>
        <w:t> </w:t>
      </w:r>
      <w:r>
        <w:rPr>
          <w:color w:val="231F20"/>
          <w:w w:val="110"/>
          <w:sz w:val="18"/>
        </w:rPr>
        <w:t>of</w:t>
      </w:r>
      <w:r>
        <w:rPr>
          <w:color w:val="231F20"/>
          <w:spacing w:val="8"/>
          <w:w w:val="110"/>
          <w:sz w:val="18"/>
        </w:rPr>
        <w:t> </w:t>
      </w:r>
      <w:r>
        <w:rPr>
          <w:color w:val="231F20"/>
          <w:w w:val="110"/>
          <w:sz w:val="18"/>
        </w:rPr>
        <w:t>Ministers)</w:t>
      </w:r>
    </w:p>
    <w:p>
      <w:pPr>
        <w:pStyle w:val="BodyText"/>
        <w:spacing w:line="273" w:lineRule="auto" w:before="2"/>
        <w:ind w:left="1240" w:right="1365"/>
      </w:pPr>
      <w:r>
        <w:rPr>
          <w:color w:val="231F20"/>
          <w:w w:val="110"/>
        </w:rPr>
        <w:t>Paragraph 2 of Schedule E thereto and (in the </w:t>
      </w:r>
      <w:r>
        <w:rPr>
          <w:color w:val="231F20"/>
          <w:spacing w:val="2"/>
          <w:w w:val="110"/>
        </w:rPr>
        <w:t>case </w:t>
      </w:r>
      <w:r>
        <w:rPr>
          <w:color w:val="231F20"/>
          <w:w w:val="110"/>
        </w:rPr>
        <w:t>of </w:t>
      </w:r>
      <w:r>
        <w:rPr>
          <w:color w:val="231F20"/>
          <w:spacing w:val="-2"/>
          <w:w w:val="110"/>
        </w:rPr>
        <w:t>CRCWs) </w:t>
      </w:r>
      <w:r>
        <w:rPr>
          <w:color w:val="231F20"/>
          <w:w w:val="110"/>
        </w:rPr>
        <w:t>Paragraph 2 of Schedule </w:t>
      </w:r>
      <w:r>
        <w:rPr>
          <w:color w:val="231F20"/>
          <w:spacing w:val="-12"/>
          <w:w w:val="110"/>
        </w:rPr>
        <w:t>F, </w:t>
      </w:r>
      <w:r>
        <w:rPr>
          <w:color w:val="231F20"/>
          <w:spacing w:val="2"/>
          <w:w w:val="110"/>
        </w:rPr>
        <w:t>Part </w:t>
      </w:r>
      <w:r>
        <w:rPr>
          <w:color w:val="231F20"/>
          <w:w w:val="110"/>
        </w:rPr>
        <w:t>II thereto which state the responsibilities undertaken by those who become Ministers and CRCWs of the United Reformed Church and the </w:t>
      </w:r>
      <w:r>
        <w:rPr>
          <w:color w:val="231F20"/>
          <w:spacing w:val="2"/>
          <w:w w:val="110"/>
        </w:rPr>
        <w:t>respective </w:t>
      </w:r>
      <w:r>
        <w:rPr>
          <w:color w:val="231F20"/>
          <w:w w:val="110"/>
        </w:rPr>
        <w:t>criteria which they must apply in the exercise of their</w:t>
      </w:r>
      <w:r>
        <w:rPr>
          <w:color w:val="231F20"/>
          <w:spacing w:val="16"/>
          <w:w w:val="110"/>
        </w:rPr>
        <w:t> </w:t>
      </w:r>
      <w:r>
        <w:rPr>
          <w:color w:val="231F20"/>
          <w:w w:val="110"/>
        </w:rPr>
        <w:t>ministries.</w:t>
      </w:r>
    </w:p>
    <w:p>
      <w:pPr>
        <w:pStyle w:val="BodyText"/>
        <w:spacing w:before="9"/>
        <w:rPr>
          <w:sz w:val="20"/>
        </w:rPr>
      </w:pPr>
    </w:p>
    <w:p>
      <w:pPr>
        <w:pStyle w:val="BodyText"/>
        <w:tabs>
          <w:tab w:pos="1960" w:val="left" w:leader="none"/>
        </w:tabs>
        <w:spacing w:line="273" w:lineRule="auto" w:before="1"/>
        <w:ind w:left="1240" w:right="1145"/>
      </w:pPr>
      <w:r>
        <w:rPr>
          <w:color w:val="231F20"/>
          <w:spacing w:val="-3"/>
          <w:w w:val="110"/>
        </w:rPr>
        <w:t>4.2</w:t>
        <w:tab/>
      </w:r>
      <w:r>
        <w:rPr>
          <w:color w:val="231F20"/>
          <w:w w:val="110"/>
        </w:rPr>
        <w:t>As part of such consideration, the Assembly Commission or Appeals Commission shall</w:t>
      </w:r>
      <w:r>
        <w:rPr>
          <w:color w:val="231F20"/>
          <w:spacing w:val="-6"/>
          <w:w w:val="110"/>
        </w:rPr>
        <w:t> </w:t>
      </w:r>
      <w:r>
        <w:rPr>
          <w:color w:val="231F20"/>
          <w:w w:val="110"/>
        </w:rPr>
        <w:t>be</w:t>
      </w:r>
      <w:r>
        <w:rPr>
          <w:color w:val="231F20"/>
          <w:spacing w:val="-5"/>
          <w:w w:val="110"/>
        </w:rPr>
        <w:t> </w:t>
      </w:r>
      <w:r>
        <w:rPr>
          <w:color w:val="231F20"/>
          <w:w w:val="110"/>
        </w:rPr>
        <w:t>entitled</w:t>
      </w:r>
      <w:r>
        <w:rPr>
          <w:color w:val="231F20"/>
          <w:spacing w:val="-5"/>
          <w:w w:val="110"/>
        </w:rPr>
        <w:t> </w:t>
      </w:r>
      <w:r>
        <w:rPr>
          <w:color w:val="231F20"/>
          <w:w w:val="110"/>
        </w:rPr>
        <w:t>to</w:t>
      </w:r>
      <w:r>
        <w:rPr>
          <w:color w:val="231F20"/>
          <w:spacing w:val="-5"/>
          <w:w w:val="110"/>
        </w:rPr>
        <w:t> </w:t>
      </w:r>
      <w:r>
        <w:rPr>
          <w:color w:val="231F20"/>
          <w:spacing w:val="-3"/>
          <w:w w:val="110"/>
        </w:rPr>
        <w:t>have</w:t>
      </w:r>
      <w:r>
        <w:rPr>
          <w:color w:val="231F20"/>
          <w:spacing w:val="-5"/>
          <w:w w:val="110"/>
        </w:rPr>
        <w:t> </w:t>
      </w:r>
      <w:r>
        <w:rPr>
          <w:color w:val="231F20"/>
          <w:w w:val="110"/>
        </w:rPr>
        <w:t>regard</w:t>
      </w:r>
      <w:r>
        <w:rPr>
          <w:color w:val="231F20"/>
          <w:spacing w:val="-5"/>
          <w:w w:val="110"/>
        </w:rPr>
        <w:t> </w:t>
      </w:r>
      <w:r>
        <w:rPr>
          <w:color w:val="231F20"/>
          <w:w w:val="110"/>
        </w:rPr>
        <w:t>to</w:t>
      </w:r>
      <w:r>
        <w:rPr>
          <w:color w:val="231F20"/>
          <w:spacing w:val="-6"/>
          <w:w w:val="110"/>
        </w:rPr>
        <w:t> </w:t>
      </w:r>
      <w:r>
        <w:rPr>
          <w:color w:val="231F20"/>
          <w:spacing w:val="-3"/>
          <w:w w:val="110"/>
        </w:rPr>
        <w:t>any</w:t>
      </w:r>
      <w:r>
        <w:rPr>
          <w:color w:val="231F20"/>
          <w:spacing w:val="-5"/>
          <w:w w:val="110"/>
        </w:rPr>
        <w:t> </w:t>
      </w:r>
      <w:r>
        <w:rPr>
          <w:color w:val="231F20"/>
          <w:w w:val="110"/>
        </w:rPr>
        <w:t>conduct</w:t>
      </w:r>
      <w:r>
        <w:rPr>
          <w:color w:val="231F20"/>
          <w:spacing w:val="-5"/>
          <w:w w:val="110"/>
        </w:rPr>
        <w:t> </w:t>
      </w:r>
      <w:r>
        <w:rPr>
          <w:color w:val="231F20"/>
          <w:w w:val="110"/>
        </w:rPr>
        <w:t>on</w:t>
      </w:r>
      <w:r>
        <w:rPr>
          <w:color w:val="231F20"/>
          <w:spacing w:val="-5"/>
          <w:w w:val="110"/>
        </w:rPr>
        <w:t> </w:t>
      </w:r>
      <w:r>
        <w:rPr>
          <w:color w:val="231F20"/>
          <w:w w:val="110"/>
        </w:rPr>
        <w:t>the</w:t>
      </w:r>
      <w:r>
        <w:rPr>
          <w:color w:val="231F20"/>
          <w:spacing w:val="-5"/>
          <w:w w:val="110"/>
        </w:rPr>
        <w:t> </w:t>
      </w:r>
      <w:r>
        <w:rPr>
          <w:color w:val="231F20"/>
          <w:w w:val="110"/>
        </w:rPr>
        <w:t>part</w:t>
      </w:r>
      <w:r>
        <w:rPr>
          <w:color w:val="231F20"/>
          <w:spacing w:val="-5"/>
          <w:w w:val="110"/>
        </w:rPr>
        <w:t> </w:t>
      </w:r>
      <w:r>
        <w:rPr>
          <w:color w:val="231F20"/>
          <w:w w:val="110"/>
        </w:rPr>
        <w:t>of</w:t>
      </w:r>
      <w:r>
        <w:rPr>
          <w:color w:val="231F20"/>
          <w:spacing w:val="-5"/>
          <w:w w:val="110"/>
        </w:rPr>
        <w:t> </w:t>
      </w:r>
      <w:r>
        <w:rPr>
          <w:color w:val="231F20"/>
          <w:w w:val="110"/>
        </w:rPr>
        <w:t>a</w:t>
      </w:r>
      <w:r>
        <w:rPr>
          <w:color w:val="231F20"/>
          <w:spacing w:val="-6"/>
          <w:w w:val="110"/>
        </w:rPr>
        <w:t> </w:t>
      </w:r>
      <w:r>
        <w:rPr>
          <w:color w:val="231F20"/>
          <w:w w:val="110"/>
        </w:rPr>
        <w:t>Minister</w:t>
      </w:r>
      <w:r>
        <w:rPr>
          <w:color w:val="231F20"/>
          <w:spacing w:val="-5"/>
          <w:w w:val="110"/>
        </w:rPr>
        <w:t> </w:t>
      </w:r>
      <w:r>
        <w:rPr>
          <w:color w:val="231F20"/>
          <w:w w:val="110"/>
        </w:rPr>
        <w:t>or</w:t>
      </w:r>
      <w:r>
        <w:rPr>
          <w:color w:val="231F20"/>
          <w:spacing w:val="-5"/>
          <w:w w:val="110"/>
        </w:rPr>
        <w:t> </w:t>
      </w:r>
      <w:r>
        <w:rPr>
          <w:color w:val="231F20"/>
          <w:w w:val="110"/>
        </w:rPr>
        <w:t>CRCW</w:t>
      </w:r>
      <w:r>
        <w:rPr>
          <w:color w:val="231F20"/>
          <w:spacing w:val="-5"/>
          <w:w w:val="110"/>
        </w:rPr>
        <w:t> </w:t>
      </w:r>
      <w:r>
        <w:rPr>
          <w:color w:val="231F20"/>
          <w:w w:val="110"/>
        </w:rPr>
        <w:t>occurring prior</w:t>
      </w:r>
      <w:r>
        <w:rPr>
          <w:color w:val="231F20"/>
          <w:spacing w:val="-9"/>
          <w:w w:val="110"/>
        </w:rPr>
        <w:t> </w:t>
      </w:r>
      <w:r>
        <w:rPr>
          <w:color w:val="231F20"/>
          <w:w w:val="110"/>
        </w:rPr>
        <w:t>to</w:t>
      </w:r>
      <w:r>
        <w:rPr>
          <w:color w:val="231F20"/>
          <w:spacing w:val="-8"/>
          <w:w w:val="110"/>
        </w:rPr>
        <w:t> </w:t>
      </w:r>
      <w:r>
        <w:rPr>
          <w:color w:val="231F20"/>
          <w:w w:val="110"/>
        </w:rPr>
        <w:t>his/her</w:t>
      </w:r>
      <w:r>
        <w:rPr>
          <w:color w:val="231F20"/>
          <w:spacing w:val="-8"/>
          <w:w w:val="110"/>
        </w:rPr>
        <w:t> </w:t>
      </w:r>
      <w:r>
        <w:rPr>
          <w:color w:val="231F20"/>
          <w:w w:val="110"/>
        </w:rPr>
        <w:t>ordination</w:t>
      </w:r>
      <w:r>
        <w:rPr>
          <w:color w:val="231F20"/>
          <w:spacing w:val="-8"/>
          <w:w w:val="110"/>
        </w:rPr>
        <w:t> </w:t>
      </w:r>
      <w:r>
        <w:rPr>
          <w:color w:val="231F20"/>
          <w:w w:val="110"/>
        </w:rPr>
        <w:t>to</w:t>
      </w:r>
      <w:r>
        <w:rPr>
          <w:color w:val="231F20"/>
          <w:spacing w:val="-8"/>
          <w:w w:val="110"/>
        </w:rPr>
        <w:t> </w:t>
      </w:r>
      <w:r>
        <w:rPr>
          <w:color w:val="231F20"/>
          <w:w w:val="110"/>
        </w:rPr>
        <w:t>the</w:t>
      </w:r>
      <w:r>
        <w:rPr>
          <w:color w:val="231F20"/>
          <w:spacing w:val="-8"/>
          <w:w w:val="110"/>
        </w:rPr>
        <w:t> </w:t>
      </w:r>
      <w:r>
        <w:rPr>
          <w:color w:val="231F20"/>
          <w:w w:val="110"/>
        </w:rPr>
        <w:t>ministry</w:t>
      </w:r>
      <w:r>
        <w:rPr>
          <w:color w:val="231F20"/>
          <w:spacing w:val="-9"/>
          <w:w w:val="110"/>
        </w:rPr>
        <w:t> </w:t>
      </w:r>
      <w:r>
        <w:rPr>
          <w:color w:val="231F20"/>
          <w:w w:val="110"/>
        </w:rPr>
        <w:t>of</w:t>
      </w:r>
      <w:r>
        <w:rPr>
          <w:color w:val="231F20"/>
          <w:spacing w:val="-8"/>
          <w:w w:val="110"/>
        </w:rPr>
        <w:t> </w:t>
      </w:r>
      <w:r>
        <w:rPr>
          <w:color w:val="231F20"/>
          <w:w w:val="110"/>
        </w:rPr>
        <w:t>Word</w:t>
      </w:r>
      <w:r>
        <w:rPr>
          <w:color w:val="231F20"/>
          <w:spacing w:val="-8"/>
          <w:w w:val="110"/>
        </w:rPr>
        <w:t> </w:t>
      </w:r>
      <w:r>
        <w:rPr>
          <w:color w:val="231F20"/>
          <w:w w:val="110"/>
        </w:rPr>
        <w:t>and</w:t>
      </w:r>
      <w:r>
        <w:rPr>
          <w:color w:val="231F20"/>
          <w:spacing w:val="-8"/>
          <w:w w:val="110"/>
        </w:rPr>
        <w:t> </w:t>
      </w:r>
      <w:r>
        <w:rPr>
          <w:color w:val="231F20"/>
          <w:w w:val="110"/>
        </w:rPr>
        <w:t>Sacrament</w:t>
      </w:r>
      <w:r>
        <w:rPr>
          <w:color w:val="231F20"/>
          <w:spacing w:val="-8"/>
          <w:w w:val="110"/>
        </w:rPr>
        <w:t> </w:t>
      </w:r>
      <w:r>
        <w:rPr>
          <w:color w:val="231F20"/>
          <w:w w:val="110"/>
        </w:rPr>
        <w:t>or</w:t>
      </w:r>
      <w:r>
        <w:rPr>
          <w:color w:val="231F20"/>
          <w:spacing w:val="-8"/>
          <w:w w:val="110"/>
        </w:rPr>
        <w:t> </w:t>
      </w:r>
      <w:r>
        <w:rPr>
          <w:color w:val="231F20"/>
          <w:w w:val="110"/>
        </w:rPr>
        <w:t>his/her</w:t>
      </w:r>
      <w:r>
        <w:rPr>
          <w:color w:val="231F20"/>
          <w:spacing w:val="-9"/>
          <w:w w:val="110"/>
        </w:rPr>
        <w:t> </w:t>
      </w:r>
      <w:r>
        <w:rPr>
          <w:color w:val="231F20"/>
          <w:w w:val="110"/>
        </w:rPr>
        <w:t>commissioning to the ministry of Church Related Community Work as the case </w:t>
      </w:r>
      <w:r>
        <w:rPr>
          <w:color w:val="231F20"/>
          <w:spacing w:val="-3"/>
          <w:w w:val="110"/>
        </w:rPr>
        <w:t>may </w:t>
      </w:r>
      <w:r>
        <w:rPr>
          <w:color w:val="231F20"/>
          <w:w w:val="110"/>
        </w:rPr>
        <w:t>be which, in the Commission’s view and when viewed in the light of Schedule E or Schedule F to the Basis of Union, would </w:t>
      </w:r>
      <w:r>
        <w:rPr>
          <w:color w:val="231F20"/>
          <w:spacing w:val="-3"/>
          <w:w w:val="110"/>
        </w:rPr>
        <w:t>have </w:t>
      </w:r>
      <w:r>
        <w:rPr>
          <w:color w:val="231F20"/>
          <w:w w:val="110"/>
        </w:rPr>
        <w:t>prevented, or was </w:t>
      </w:r>
      <w:r>
        <w:rPr>
          <w:color w:val="231F20"/>
          <w:spacing w:val="-2"/>
          <w:w w:val="110"/>
        </w:rPr>
        <w:t>likely </w:t>
      </w:r>
      <w:r>
        <w:rPr>
          <w:color w:val="231F20"/>
          <w:w w:val="110"/>
        </w:rPr>
        <w:t>to </w:t>
      </w:r>
      <w:r>
        <w:rPr>
          <w:color w:val="231F20"/>
          <w:spacing w:val="-3"/>
          <w:w w:val="110"/>
        </w:rPr>
        <w:t>have </w:t>
      </w:r>
      <w:r>
        <w:rPr>
          <w:color w:val="231F20"/>
          <w:w w:val="110"/>
        </w:rPr>
        <w:t>prevented, him/her from becoming ordained</w:t>
      </w:r>
      <w:r>
        <w:rPr>
          <w:color w:val="231F20"/>
          <w:spacing w:val="-8"/>
          <w:w w:val="110"/>
        </w:rPr>
        <w:t> </w:t>
      </w:r>
      <w:r>
        <w:rPr>
          <w:color w:val="231F20"/>
          <w:w w:val="110"/>
        </w:rPr>
        <w:t>or</w:t>
      </w:r>
      <w:r>
        <w:rPr>
          <w:color w:val="231F20"/>
          <w:spacing w:val="-7"/>
          <w:w w:val="110"/>
        </w:rPr>
        <w:t> </w:t>
      </w:r>
      <w:r>
        <w:rPr>
          <w:color w:val="231F20"/>
          <w:w w:val="110"/>
        </w:rPr>
        <w:t>commissioned,</w:t>
      </w:r>
      <w:r>
        <w:rPr>
          <w:color w:val="231F20"/>
          <w:spacing w:val="-7"/>
          <w:w w:val="110"/>
        </w:rPr>
        <w:t> </w:t>
      </w:r>
      <w:r>
        <w:rPr>
          <w:color w:val="231F20"/>
          <w:w w:val="110"/>
        </w:rPr>
        <w:t>where</w:t>
      </w:r>
      <w:r>
        <w:rPr>
          <w:color w:val="231F20"/>
          <w:spacing w:val="-7"/>
          <w:w w:val="110"/>
        </w:rPr>
        <w:t> </w:t>
      </w:r>
      <w:r>
        <w:rPr>
          <w:color w:val="231F20"/>
          <w:w w:val="110"/>
        </w:rPr>
        <w:t>such</w:t>
      </w:r>
      <w:r>
        <w:rPr>
          <w:color w:val="231F20"/>
          <w:spacing w:val="-7"/>
          <w:w w:val="110"/>
        </w:rPr>
        <w:t> </w:t>
      </w:r>
      <w:r>
        <w:rPr>
          <w:color w:val="231F20"/>
          <w:w w:val="110"/>
        </w:rPr>
        <w:t>conduct</w:t>
      </w:r>
      <w:r>
        <w:rPr>
          <w:color w:val="231F20"/>
          <w:spacing w:val="-8"/>
          <w:w w:val="110"/>
        </w:rPr>
        <w:t> </w:t>
      </w:r>
      <w:r>
        <w:rPr>
          <w:color w:val="231F20"/>
          <w:w w:val="110"/>
        </w:rPr>
        <w:t>was</w:t>
      </w:r>
      <w:r>
        <w:rPr>
          <w:color w:val="231F20"/>
          <w:spacing w:val="-7"/>
          <w:w w:val="110"/>
        </w:rPr>
        <w:t> </w:t>
      </w:r>
      <w:r>
        <w:rPr>
          <w:color w:val="231F20"/>
          <w:w w:val="110"/>
        </w:rPr>
        <w:t>not</w:t>
      </w:r>
      <w:r>
        <w:rPr>
          <w:color w:val="231F20"/>
          <w:spacing w:val="-7"/>
          <w:w w:val="110"/>
        </w:rPr>
        <w:t> </w:t>
      </w:r>
      <w:r>
        <w:rPr>
          <w:color w:val="231F20"/>
          <w:w w:val="110"/>
        </w:rPr>
        <w:t>disclosed</w:t>
      </w:r>
      <w:r>
        <w:rPr>
          <w:color w:val="231F20"/>
          <w:spacing w:val="-7"/>
          <w:w w:val="110"/>
        </w:rPr>
        <w:t> </w:t>
      </w:r>
      <w:r>
        <w:rPr>
          <w:color w:val="231F20"/>
          <w:w w:val="110"/>
        </w:rPr>
        <w:t>by</w:t>
      </w:r>
      <w:r>
        <w:rPr>
          <w:color w:val="231F20"/>
          <w:spacing w:val="-7"/>
          <w:w w:val="110"/>
        </w:rPr>
        <w:t> </w:t>
      </w:r>
      <w:r>
        <w:rPr>
          <w:color w:val="231F20"/>
          <w:w w:val="110"/>
        </w:rPr>
        <w:t>the</w:t>
      </w:r>
      <w:r>
        <w:rPr>
          <w:color w:val="231F20"/>
          <w:spacing w:val="-7"/>
          <w:w w:val="110"/>
        </w:rPr>
        <w:t> </w:t>
      </w:r>
      <w:r>
        <w:rPr>
          <w:color w:val="231F20"/>
          <w:w w:val="110"/>
        </w:rPr>
        <w:t>Minister</w:t>
      </w:r>
      <w:r>
        <w:rPr>
          <w:color w:val="231F20"/>
          <w:spacing w:val="-8"/>
          <w:w w:val="110"/>
        </w:rPr>
        <w:t> </w:t>
      </w:r>
      <w:r>
        <w:rPr>
          <w:color w:val="231F20"/>
          <w:w w:val="110"/>
        </w:rPr>
        <w:t>or</w:t>
      </w:r>
      <w:r>
        <w:rPr>
          <w:color w:val="231F20"/>
          <w:spacing w:val="-7"/>
          <w:w w:val="110"/>
        </w:rPr>
        <w:t> </w:t>
      </w:r>
      <w:r>
        <w:rPr>
          <w:color w:val="231F20"/>
          <w:w w:val="110"/>
        </w:rPr>
        <w:t>CRCW to</w:t>
      </w:r>
      <w:r>
        <w:rPr>
          <w:color w:val="231F20"/>
          <w:spacing w:val="-7"/>
          <w:w w:val="110"/>
        </w:rPr>
        <w:t> </w:t>
      </w:r>
      <w:r>
        <w:rPr>
          <w:color w:val="231F20"/>
          <w:w w:val="110"/>
        </w:rPr>
        <w:t>those</w:t>
      </w:r>
      <w:r>
        <w:rPr>
          <w:color w:val="231F20"/>
          <w:spacing w:val="-6"/>
          <w:w w:val="110"/>
        </w:rPr>
        <w:t> </w:t>
      </w:r>
      <w:r>
        <w:rPr>
          <w:color w:val="231F20"/>
          <w:w w:val="110"/>
        </w:rPr>
        <w:t>responsible</w:t>
      </w:r>
      <w:r>
        <w:rPr>
          <w:color w:val="231F20"/>
          <w:spacing w:val="-6"/>
          <w:w w:val="110"/>
        </w:rPr>
        <w:t> </w:t>
      </w:r>
      <w:r>
        <w:rPr>
          <w:color w:val="231F20"/>
          <w:w w:val="110"/>
        </w:rPr>
        <w:t>for</w:t>
      </w:r>
      <w:r>
        <w:rPr>
          <w:color w:val="231F20"/>
          <w:spacing w:val="-7"/>
          <w:w w:val="110"/>
        </w:rPr>
        <w:t> </w:t>
      </w:r>
      <w:r>
        <w:rPr>
          <w:color w:val="231F20"/>
          <w:w w:val="110"/>
        </w:rPr>
        <w:t>assessing</w:t>
      </w:r>
      <w:r>
        <w:rPr>
          <w:color w:val="231F20"/>
          <w:spacing w:val="-6"/>
          <w:w w:val="110"/>
        </w:rPr>
        <w:t> </w:t>
      </w:r>
      <w:r>
        <w:rPr>
          <w:color w:val="231F20"/>
          <w:w w:val="110"/>
        </w:rPr>
        <w:t>his/her</w:t>
      </w:r>
      <w:r>
        <w:rPr>
          <w:color w:val="231F20"/>
          <w:spacing w:val="-6"/>
          <w:w w:val="110"/>
        </w:rPr>
        <w:t> </w:t>
      </w:r>
      <w:r>
        <w:rPr>
          <w:color w:val="231F20"/>
          <w:w w:val="110"/>
        </w:rPr>
        <w:t>candidacy</w:t>
      </w:r>
      <w:r>
        <w:rPr>
          <w:color w:val="231F20"/>
          <w:spacing w:val="-7"/>
          <w:w w:val="110"/>
        </w:rPr>
        <w:t> </w:t>
      </w:r>
      <w:r>
        <w:rPr>
          <w:color w:val="231F20"/>
          <w:w w:val="110"/>
        </w:rPr>
        <w:t>for</w:t>
      </w:r>
      <w:r>
        <w:rPr>
          <w:color w:val="231F20"/>
          <w:spacing w:val="-6"/>
          <w:w w:val="110"/>
        </w:rPr>
        <w:t> </w:t>
      </w:r>
      <w:r>
        <w:rPr>
          <w:color w:val="231F20"/>
          <w:w w:val="110"/>
        </w:rPr>
        <w:t>ordination</w:t>
      </w:r>
      <w:r>
        <w:rPr>
          <w:color w:val="231F20"/>
          <w:spacing w:val="-6"/>
          <w:w w:val="110"/>
        </w:rPr>
        <w:t> </w:t>
      </w:r>
      <w:r>
        <w:rPr>
          <w:color w:val="231F20"/>
          <w:w w:val="110"/>
        </w:rPr>
        <w:t>or</w:t>
      </w:r>
      <w:r>
        <w:rPr>
          <w:color w:val="231F20"/>
          <w:spacing w:val="-6"/>
          <w:w w:val="110"/>
        </w:rPr>
        <w:t> </w:t>
      </w:r>
      <w:r>
        <w:rPr>
          <w:color w:val="231F20"/>
          <w:w w:val="110"/>
        </w:rPr>
        <w:t>commissioning.</w:t>
      </w:r>
    </w:p>
    <w:p>
      <w:pPr>
        <w:pStyle w:val="BodyText"/>
        <w:spacing w:before="11"/>
        <w:rPr>
          <w:sz w:val="20"/>
        </w:rPr>
      </w:pPr>
    </w:p>
    <w:p>
      <w:pPr>
        <w:pStyle w:val="ListParagraph"/>
        <w:numPr>
          <w:ilvl w:val="1"/>
          <w:numId w:val="35"/>
        </w:numPr>
        <w:tabs>
          <w:tab w:pos="1774" w:val="left" w:leader="none"/>
          <w:tab w:pos="1775" w:val="left" w:leader="none"/>
        </w:tabs>
        <w:spacing w:line="273" w:lineRule="auto" w:before="0" w:after="0"/>
        <w:ind w:left="1240" w:right="1207" w:firstLine="0"/>
        <w:jc w:val="left"/>
        <w:rPr>
          <w:sz w:val="18"/>
        </w:rPr>
      </w:pPr>
      <w:r>
        <w:rPr>
          <w:color w:val="231F20"/>
          <w:spacing w:val="-6"/>
          <w:w w:val="110"/>
          <w:sz w:val="18"/>
        </w:rPr>
        <w:t>5.1 </w:t>
      </w:r>
      <w:r>
        <w:rPr>
          <w:color w:val="231F20"/>
          <w:w w:val="110"/>
          <w:sz w:val="18"/>
        </w:rPr>
        <w:t>A Minister or CRCW </w:t>
      </w:r>
      <w:r>
        <w:rPr>
          <w:color w:val="231F20"/>
          <w:spacing w:val="-3"/>
          <w:w w:val="110"/>
          <w:sz w:val="18"/>
        </w:rPr>
        <w:t>may </w:t>
      </w:r>
      <w:r>
        <w:rPr>
          <w:color w:val="231F20"/>
          <w:w w:val="110"/>
          <w:sz w:val="18"/>
        </w:rPr>
        <w:t>appeal against the decision of the Assembly Commission to delete his/her name from the Roll of Ministers or CRCWs under Section F of Part II or to issue a written warning under that Section by lodging a Notice of Appeal in accordance with the Rules of Procedure at Part </w:t>
      </w:r>
      <w:r>
        <w:rPr>
          <w:color w:val="231F20"/>
          <w:spacing w:val="-3"/>
          <w:w w:val="110"/>
          <w:sz w:val="18"/>
        </w:rPr>
        <w:t>II, </w:t>
      </w:r>
      <w:r>
        <w:rPr>
          <w:color w:val="231F20"/>
          <w:w w:val="110"/>
          <w:sz w:val="18"/>
        </w:rPr>
        <w:t>stating the ground/s of such</w:t>
      </w:r>
      <w:r>
        <w:rPr>
          <w:color w:val="231F20"/>
          <w:spacing w:val="-23"/>
          <w:w w:val="110"/>
          <w:sz w:val="18"/>
        </w:rPr>
        <w:t> </w:t>
      </w:r>
      <w:r>
        <w:rPr>
          <w:color w:val="231F20"/>
          <w:w w:val="110"/>
          <w:sz w:val="18"/>
        </w:rPr>
        <w:t>appeal.</w:t>
      </w:r>
    </w:p>
    <w:p>
      <w:pPr>
        <w:pStyle w:val="BodyText"/>
        <w:spacing w:before="10"/>
        <w:rPr>
          <w:sz w:val="20"/>
        </w:rPr>
      </w:pPr>
    </w:p>
    <w:p>
      <w:pPr>
        <w:pStyle w:val="ListParagraph"/>
        <w:numPr>
          <w:ilvl w:val="1"/>
          <w:numId w:val="37"/>
        </w:numPr>
        <w:tabs>
          <w:tab w:pos="1960" w:val="left" w:leader="none"/>
          <w:tab w:pos="1961" w:val="left" w:leader="none"/>
        </w:tabs>
        <w:spacing w:line="273" w:lineRule="auto" w:before="0" w:after="0"/>
        <w:ind w:left="1240" w:right="1226" w:firstLine="0"/>
        <w:jc w:val="left"/>
        <w:rPr>
          <w:sz w:val="18"/>
        </w:rPr>
      </w:pPr>
      <w:r>
        <w:rPr>
          <w:color w:val="231F20"/>
          <w:w w:val="110"/>
          <w:sz w:val="18"/>
        </w:rPr>
        <w:t>The Mandated Group of the Council which lodged the Referral Notice in </w:t>
      </w:r>
      <w:r>
        <w:rPr>
          <w:color w:val="231F20"/>
          <w:spacing w:val="-3"/>
          <w:w w:val="110"/>
          <w:sz w:val="18"/>
        </w:rPr>
        <w:t>any </w:t>
      </w:r>
      <w:r>
        <w:rPr>
          <w:color w:val="231F20"/>
          <w:w w:val="110"/>
          <w:sz w:val="18"/>
        </w:rPr>
        <w:t>case </w:t>
      </w:r>
      <w:r>
        <w:rPr>
          <w:color w:val="231F20"/>
          <w:spacing w:val="-3"/>
          <w:w w:val="110"/>
          <w:sz w:val="18"/>
        </w:rPr>
        <w:t>may </w:t>
      </w:r>
      <w:r>
        <w:rPr>
          <w:color w:val="231F20"/>
          <w:w w:val="110"/>
          <w:sz w:val="18"/>
        </w:rPr>
        <w:t>in the name of that Council appeal against the decision of the Assembly Commission not to delete the name of the Minister or CRCW from the Roll of Ministers or CRCWs by lodging a Notice of Appeal in accordance with the Rules of Procedure stating the ground/s of such appeal. In </w:t>
      </w:r>
      <w:r>
        <w:rPr>
          <w:color w:val="231F20"/>
          <w:spacing w:val="-3"/>
          <w:w w:val="110"/>
          <w:sz w:val="18"/>
        </w:rPr>
        <w:t>any </w:t>
      </w:r>
      <w:r>
        <w:rPr>
          <w:color w:val="231F20"/>
          <w:w w:val="110"/>
          <w:sz w:val="18"/>
        </w:rPr>
        <w:t>case where no written warning is attached to the decision not to delete, the Notice </w:t>
      </w:r>
      <w:r>
        <w:rPr>
          <w:color w:val="231F20"/>
          <w:spacing w:val="-3"/>
          <w:w w:val="110"/>
          <w:sz w:val="18"/>
        </w:rPr>
        <w:t>may </w:t>
      </w:r>
      <w:r>
        <w:rPr>
          <w:color w:val="231F20"/>
          <w:w w:val="110"/>
          <w:sz w:val="18"/>
        </w:rPr>
        <w:t>state, if the Mandated Group so desires, that the appeal is limited to the question of the issue of a written warning to the Minister or</w:t>
      </w:r>
      <w:r>
        <w:rPr>
          <w:color w:val="231F20"/>
          <w:spacing w:val="-40"/>
          <w:w w:val="110"/>
          <w:sz w:val="18"/>
        </w:rPr>
        <w:t> </w:t>
      </w:r>
      <w:r>
        <w:rPr>
          <w:color w:val="231F20"/>
          <w:spacing w:val="-3"/>
          <w:w w:val="110"/>
          <w:sz w:val="18"/>
        </w:rPr>
        <w:t>CRCW.</w:t>
      </w:r>
    </w:p>
    <w:p>
      <w:pPr>
        <w:pStyle w:val="BodyText"/>
        <w:spacing w:before="11"/>
        <w:rPr>
          <w:sz w:val="20"/>
        </w:rPr>
      </w:pPr>
    </w:p>
    <w:p>
      <w:pPr>
        <w:pStyle w:val="ListParagraph"/>
        <w:numPr>
          <w:ilvl w:val="1"/>
          <w:numId w:val="37"/>
        </w:numPr>
        <w:tabs>
          <w:tab w:pos="1960" w:val="left" w:leader="none"/>
          <w:tab w:pos="1961" w:val="left" w:leader="none"/>
        </w:tabs>
        <w:spacing w:line="273" w:lineRule="auto" w:before="0" w:after="0"/>
        <w:ind w:left="1240" w:right="1530" w:firstLine="0"/>
        <w:jc w:val="left"/>
        <w:rPr>
          <w:sz w:val="18"/>
        </w:rPr>
      </w:pPr>
      <w:r>
        <w:rPr>
          <w:color w:val="231F20"/>
          <w:w w:val="110"/>
          <w:sz w:val="18"/>
        </w:rPr>
        <w:t>No-one other than the </w:t>
      </w:r>
      <w:r>
        <w:rPr>
          <w:color w:val="231F20"/>
          <w:spacing w:val="2"/>
          <w:w w:val="110"/>
          <w:sz w:val="18"/>
        </w:rPr>
        <w:t>Parties </w:t>
      </w:r>
      <w:r>
        <w:rPr>
          <w:color w:val="231F20"/>
          <w:w w:val="110"/>
          <w:sz w:val="18"/>
        </w:rPr>
        <w:t>has any right of appeal </w:t>
      </w:r>
      <w:r>
        <w:rPr>
          <w:color w:val="231F20"/>
          <w:spacing w:val="2"/>
          <w:w w:val="110"/>
          <w:sz w:val="18"/>
        </w:rPr>
        <w:t>from </w:t>
      </w:r>
      <w:r>
        <w:rPr>
          <w:color w:val="231F20"/>
          <w:w w:val="110"/>
          <w:sz w:val="18"/>
        </w:rPr>
        <w:t>the decision of the Assembly</w:t>
      </w:r>
      <w:r>
        <w:rPr>
          <w:color w:val="231F20"/>
          <w:spacing w:val="1"/>
          <w:w w:val="110"/>
          <w:sz w:val="18"/>
        </w:rPr>
        <w:t> </w:t>
      </w:r>
      <w:r>
        <w:rPr>
          <w:color w:val="231F20"/>
          <w:w w:val="110"/>
          <w:sz w:val="18"/>
        </w:rPr>
        <w:t>Commission.</w:t>
      </w:r>
    </w:p>
    <w:p>
      <w:pPr>
        <w:pStyle w:val="BodyText"/>
        <w:spacing w:before="8"/>
        <w:rPr>
          <w:sz w:val="20"/>
        </w:rPr>
      </w:pPr>
    </w:p>
    <w:p>
      <w:pPr>
        <w:pStyle w:val="ListParagraph"/>
        <w:numPr>
          <w:ilvl w:val="1"/>
          <w:numId w:val="35"/>
        </w:numPr>
        <w:tabs>
          <w:tab w:pos="1960" w:val="left" w:leader="none"/>
          <w:tab w:pos="1961" w:val="left" w:leader="none"/>
        </w:tabs>
        <w:spacing w:line="273" w:lineRule="auto" w:before="0" w:after="0"/>
        <w:ind w:left="1240" w:right="1203" w:firstLine="0"/>
        <w:jc w:val="left"/>
        <w:rPr>
          <w:sz w:val="18"/>
        </w:rPr>
      </w:pPr>
      <w:r>
        <w:rPr>
          <w:color w:val="231F20"/>
          <w:w w:val="110"/>
          <w:sz w:val="18"/>
        </w:rPr>
        <w:t>Procedural </w:t>
      </w:r>
      <w:r>
        <w:rPr>
          <w:color w:val="231F20"/>
          <w:spacing w:val="2"/>
          <w:w w:val="110"/>
          <w:sz w:val="18"/>
        </w:rPr>
        <w:t>matters </w:t>
      </w:r>
      <w:r>
        <w:rPr>
          <w:color w:val="231F20"/>
          <w:w w:val="110"/>
          <w:sz w:val="18"/>
        </w:rPr>
        <w:t>shall in every </w:t>
      </w:r>
      <w:r>
        <w:rPr>
          <w:color w:val="231F20"/>
          <w:spacing w:val="2"/>
          <w:w w:val="110"/>
          <w:sz w:val="18"/>
        </w:rPr>
        <w:t>case </w:t>
      </w:r>
      <w:r>
        <w:rPr>
          <w:color w:val="231F20"/>
          <w:w w:val="110"/>
          <w:sz w:val="18"/>
        </w:rPr>
        <w:t>be dealt with in accordance with the Rules of Procedure as contained in </w:t>
      </w:r>
      <w:r>
        <w:rPr>
          <w:color w:val="231F20"/>
          <w:spacing w:val="2"/>
          <w:w w:val="110"/>
          <w:sz w:val="18"/>
        </w:rPr>
        <w:t>Part</w:t>
      </w:r>
      <w:r>
        <w:rPr>
          <w:color w:val="231F20"/>
          <w:spacing w:val="8"/>
          <w:w w:val="110"/>
          <w:sz w:val="18"/>
        </w:rPr>
        <w:t> </w:t>
      </w:r>
      <w:r>
        <w:rPr>
          <w:color w:val="231F20"/>
          <w:w w:val="110"/>
          <w:sz w:val="18"/>
        </w:rPr>
        <w:t>II.</w:t>
      </w:r>
    </w:p>
    <w:p>
      <w:pPr>
        <w:pStyle w:val="BodyText"/>
        <w:spacing w:before="8"/>
        <w:rPr>
          <w:sz w:val="20"/>
        </w:rPr>
      </w:pPr>
    </w:p>
    <w:p>
      <w:pPr>
        <w:pStyle w:val="ListParagraph"/>
        <w:numPr>
          <w:ilvl w:val="1"/>
          <w:numId w:val="35"/>
        </w:numPr>
        <w:tabs>
          <w:tab w:pos="1767" w:val="left" w:leader="none"/>
          <w:tab w:pos="1768" w:val="left" w:leader="none"/>
        </w:tabs>
        <w:spacing w:line="273" w:lineRule="auto" w:before="0" w:after="0"/>
        <w:ind w:left="1240" w:right="1322" w:firstLine="0"/>
        <w:jc w:val="left"/>
        <w:rPr>
          <w:sz w:val="18"/>
        </w:rPr>
      </w:pPr>
      <w:r>
        <w:rPr>
          <w:color w:val="231F20"/>
          <w:spacing w:val="-12"/>
          <w:w w:val="110"/>
          <w:sz w:val="18"/>
        </w:rPr>
        <w:t>7.1 </w:t>
      </w:r>
      <w:r>
        <w:rPr>
          <w:color w:val="231F20"/>
          <w:w w:val="110"/>
          <w:sz w:val="18"/>
        </w:rPr>
        <w:t>Save only as provided in Paragraph </w:t>
      </w:r>
      <w:r>
        <w:rPr>
          <w:color w:val="231F20"/>
          <w:spacing w:val="-8"/>
          <w:w w:val="110"/>
          <w:sz w:val="18"/>
        </w:rPr>
        <w:t>7.2, </w:t>
      </w:r>
      <w:r>
        <w:rPr>
          <w:color w:val="231F20"/>
          <w:w w:val="110"/>
          <w:sz w:val="18"/>
        </w:rPr>
        <w:t>this </w:t>
      </w:r>
      <w:r>
        <w:rPr>
          <w:color w:val="231F20"/>
          <w:spacing w:val="2"/>
          <w:w w:val="110"/>
          <w:sz w:val="18"/>
        </w:rPr>
        <w:t>Part </w:t>
      </w:r>
      <w:r>
        <w:rPr>
          <w:color w:val="231F20"/>
          <w:w w:val="110"/>
          <w:sz w:val="18"/>
        </w:rPr>
        <w:t>I 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is subject to Paragraph </w:t>
      </w:r>
      <w:r>
        <w:rPr>
          <w:color w:val="231F20"/>
          <w:spacing w:val="-9"/>
          <w:w w:val="110"/>
          <w:sz w:val="18"/>
        </w:rPr>
        <w:t>3(1) </w:t>
      </w:r>
      <w:r>
        <w:rPr>
          <w:color w:val="231F20"/>
          <w:w w:val="110"/>
          <w:sz w:val="18"/>
        </w:rPr>
        <w:t>of the</w:t>
      </w:r>
      <w:r>
        <w:rPr>
          <w:color w:val="231F20"/>
          <w:spacing w:val="19"/>
          <w:w w:val="110"/>
          <w:sz w:val="18"/>
        </w:rPr>
        <w:t> </w:t>
      </w:r>
      <w:r>
        <w:rPr>
          <w:color w:val="231F20"/>
          <w:w w:val="110"/>
          <w:sz w:val="18"/>
        </w:rPr>
        <w:t>Structure.</w:t>
      </w:r>
    </w:p>
    <w:p>
      <w:pPr>
        <w:pStyle w:val="BodyText"/>
        <w:spacing w:before="8"/>
        <w:rPr>
          <w:sz w:val="20"/>
        </w:rPr>
      </w:pPr>
    </w:p>
    <w:p>
      <w:pPr>
        <w:pStyle w:val="ListParagraph"/>
        <w:numPr>
          <w:ilvl w:val="1"/>
          <w:numId w:val="38"/>
        </w:numPr>
        <w:tabs>
          <w:tab w:pos="1960" w:val="left" w:leader="none"/>
          <w:tab w:pos="1961" w:val="left" w:leader="none"/>
        </w:tabs>
        <w:spacing w:line="273" w:lineRule="auto" w:before="1" w:after="0"/>
        <w:ind w:left="1240" w:right="1523" w:firstLine="0"/>
        <w:jc w:val="left"/>
        <w:rPr>
          <w:sz w:val="18"/>
        </w:rPr>
      </w:pPr>
      <w:r>
        <w:rPr>
          <w:color w:val="231F20"/>
          <w:w w:val="110"/>
          <w:sz w:val="18"/>
        </w:rPr>
        <w:t>Mission Council acting in the name of General Assembly has authority by  single resolution of that Council to make as and when </w:t>
      </w:r>
      <w:r>
        <w:rPr>
          <w:color w:val="231F20"/>
          <w:spacing w:val="2"/>
          <w:w w:val="110"/>
          <w:sz w:val="18"/>
        </w:rPr>
        <w:t>necessary </w:t>
      </w:r>
      <w:r>
        <w:rPr>
          <w:color w:val="231F20"/>
          <w:w w:val="110"/>
          <w:sz w:val="18"/>
        </w:rPr>
        <w:t>and with immediate </w:t>
      </w:r>
      <w:r>
        <w:rPr>
          <w:color w:val="231F20"/>
          <w:spacing w:val="3"/>
          <w:w w:val="110"/>
          <w:sz w:val="18"/>
        </w:rPr>
        <w:t>effect</w:t>
      </w:r>
      <w:r>
        <w:rPr>
          <w:color w:val="231F20"/>
          <w:spacing w:val="8"/>
          <w:w w:val="110"/>
          <w:sz w:val="18"/>
        </w:rPr>
        <w:t> </w:t>
      </w:r>
      <w:r>
        <w:rPr>
          <w:color w:val="231F20"/>
          <w:w w:val="110"/>
          <w:sz w:val="18"/>
        </w:rPr>
        <w:t>such</w:t>
      </w:r>
      <w:r>
        <w:rPr>
          <w:color w:val="231F20"/>
          <w:spacing w:val="9"/>
          <w:w w:val="110"/>
          <w:sz w:val="18"/>
        </w:rPr>
        <w:t> </w:t>
      </w:r>
      <w:r>
        <w:rPr>
          <w:color w:val="231F20"/>
          <w:w w:val="110"/>
          <w:sz w:val="18"/>
        </w:rPr>
        <w:t>changes</w:t>
      </w:r>
      <w:r>
        <w:rPr>
          <w:color w:val="231F20"/>
          <w:spacing w:val="9"/>
          <w:w w:val="110"/>
          <w:sz w:val="18"/>
        </w:rPr>
        <w:t> </w:t>
      </w:r>
      <w:r>
        <w:rPr>
          <w:color w:val="231F20"/>
          <w:w w:val="110"/>
          <w:sz w:val="18"/>
        </w:rPr>
        <w:t>to</w:t>
      </w:r>
      <w:r>
        <w:rPr>
          <w:color w:val="231F20"/>
          <w:spacing w:val="9"/>
          <w:w w:val="110"/>
          <w:sz w:val="18"/>
        </w:rPr>
        <w:t> </w:t>
      </w:r>
      <w:r>
        <w:rPr>
          <w:color w:val="231F20"/>
          <w:spacing w:val="2"/>
          <w:w w:val="110"/>
          <w:sz w:val="18"/>
        </w:rPr>
        <w:t>Part</w:t>
      </w:r>
      <w:r>
        <w:rPr>
          <w:color w:val="231F20"/>
          <w:spacing w:val="8"/>
          <w:w w:val="110"/>
          <w:sz w:val="18"/>
        </w:rPr>
        <w:t> </w:t>
      </w:r>
      <w:r>
        <w:rPr>
          <w:color w:val="231F20"/>
          <w:w w:val="110"/>
          <w:sz w:val="18"/>
        </w:rPr>
        <w:t>I</w:t>
      </w:r>
      <w:r>
        <w:rPr>
          <w:color w:val="231F20"/>
          <w:spacing w:val="9"/>
          <w:w w:val="110"/>
          <w:sz w:val="18"/>
        </w:rPr>
        <w:t> </w:t>
      </w:r>
      <w:r>
        <w:rPr>
          <w:color w:val="231F20"/>
          <w:w w:val="110"/>
          <w:sz w:val="18"/>
        </w:rPr>
        <w:t>as</w:t>
      </w:r>
      <w:r>
        <w:rPr>
          <w:color w:val="231F20"/>
          <w:spacing w:val="9"/>
          <w:w w:val="110"/>
          <w:sz w:val="18"/>
        </w:rPr>
        <w:t> </w:t>
      </w:r>
      <w:r>
        <w:rPr>
          <w:color w:val="231F20"/>
          <w:w w:val="110"/>
          <w:sz w:val="18"/>
        </w:rPr>
        <w:t>are,</w:t>
      </w:r>
      <w:r>
        <w:rPr>
          <w:color w:val="231F20"/>
          <w:spacing w:val="9"/>
          <w:w w:val="110"/>
          <w:sz w:val="18"/>
        </w:rPr>
        <w:t> </w:t>
      </w:r>
      <w:r>
        <w:rPr>
          <w:color w:val="231F20"/>
          <w:w w:val="110"/>
          <w:sz w:val="18"/>
        </w:rPr>
        <w:t>on</w:t>
      </w:r>
      <w:r>
        <w:rPr>
          <w:color w:val="231F20"/>
          <w:spacing w:val="9"/>
          <w:w w:val="110"/>
          <w:sz w:val="18"/>
        </w:rPr>
        <w:t> </w:t>
      </w:r>
      <w:r>
        <w:rPr>
          <w:color w:val="231F20"/>
          <w:w w:val="110"/>
          <w:sz w:val="18"/>
        </w:rPr>
        <w:t>the</w:t>
      </w:r>
      <w:r>
        <w:rPr>
          <w:color w:val="231F20"/>
          <w:spacing w:val="8"/>
          <w:w w:val="110"/>
          <w:sz w:val="18"/>
        </w:rPr>
        <w:t> </w:t>
      </w:r>
      <w:r>
        <w:rPr>
          <w:color w:val="231F20"/>
          <w:w w:val="110"/>
          <w:sz w:val="18"/>
        </w:rPr>
        <w:t>advice</w:t>
      </w:r>
      <w:r>
        <w:rPr>
          <w:color w:val="231F20"/>
          <w:spacing w:val="9"/>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9"/>
          <w:w w:val="110"/>
          <w:sz w:val="18"/>
        </w:rPr>
        <w:t> </w:t>
      </w:r>
      <w:r>
        <w:rPr>
          <w:color w:val="231F20"/>
          <w:w w:val="110"/>
          <w:sz w:val="18"/>
        </w:rPr>
        <w:t>legal</w:t>
      </w:r>
      <w:r>
        <w:rPr>
          <w:color w:val="231F20"/>
          <w:spacing w:val="8"/>
          <w:w w:val="110"/>
          <w:sz w:val="18"/>
        </w:rPr>
        <w:t> </w:t>
      </w:r>
      <w:r>
        <w:rPr>
          <w:color w:val="231F20"/>
          <w:w w:val="110"/>
          <w:sz w:val="18"/>
        </w:rPr>
        <w:t>advisers</w:t>
      </w:r>
      <w:r>
        <w:rPr>
          <w:color w:val="231F20"/>
          <w:spacing w:val="9"/>
          <w:w w:val="110"/>
          <w:sz w:val="18"/>
        </w:rPr>
        <w:t> </w:t>
      </w:r>
      <w:r>
        <w:rPr>
          <w:color w:val="231F20"/>
          <w:w w:val="110"/>
          <w:sz w:val="18"/>
        </w:rPr>
        <w:t>to</w:t>
      </w:r>
      <w:r>
        <w:rPr>
          <w:color w:val="231F20"/>
          <w:spacing w:val="9"/>
          <w:w w:val="110"/>
          <w:sz w:val="18"/>
        </w:rPr>
        <w:t> </w:t>
      </w:r>
      <w:r>
        <w:rPr>
          <w:color w:val="231F20"/>
          <w:w w:val="110"/>
          <w:sz w:val="18"/>
        </w:rPr>
        <w:t>the</w:t>
      </w:r>
      <w:r>
        <w:rPr>
          <w:color w:val="231F20"/>
          <w:spacing w:val="9"/>
          <w:w w:val="110"/>
          <w:sz w:val="18"/>
        </w:rPr>
        <w:t> </w:t>
      </w:r>
      <w:r>
        <w:rPr>
          <w:color w:val="231F20"/>
          <w:w w:val="110"/>
          <w:sz w:val="18"/>
        </w:rPr>
        <w:t>United</w:t>
      </w:r>
    </w:p>
    <w:p>
      <w:pPr>
        <w:pStyle w:val="BodyText"/>
        <w:spacing w:line="273" w:lineRule="auto" w:before="1"/>
        <w:ind w:left="1240" w:right="1365"/>
      </w:pPr>
      <w:r>
        <w:rPr>
          <w:color w:val="231F20"/>
          <w:w w:val="110"/>
        </w:rPr>
        <w:t>Reformed Church, required to bring the Section O Process into line with the general law of the land consequent upon any changes in legislation and/or case law.</w:t>
      </w:r>
    </w:p>
    <w:p>
      <w:pPr>
        <w:pStyle w:val="BodyText"/>
        <w:spacing w:before="8"/>
        <w:rPr>
          <w:sz w:val="20"/>
        </w:rPr>
      </w:pPr>
    </w:p>
    <w:p>
      <w:pPr>
        <w:pStyle w:val="ListParagraph"/>
        <w:numPr>
          <w:ilvl w:val="1"/>
          <w:numId w:val="38"/>
        </w:numPr>
        <w:tabs>
          <w:tab w:pos="1960" w:val="left" w:leader="none"/>
          <w:tab w:pos="1961" w:val="left" w:leader="none"/>
        </w:tabs>
        <w:spacing w:line="273" w:lineRule="auto" w:before="1" w:after="0"/>
        <w:ind w:left="1240" w:right="1288" w:firstLine="0"/>
        <w:jc w:val="left"/>
        <w:rPr>
          <w:sz w:val="18"/>
        </w:rPr>
      </w:pPr>
      <w:r>
        <w:rPr>
          <w:color w:val="231F20"/>
          <w:w w:val="110"/>
          <w:sz w:val="18"/>
        </w:rPr>
        <w:t>All such changes to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as are made by Mission Council under Paragraph </w:t>
      </w:r>
      <w:r>
        <w:rPr>
          <w:color w:val="231F20"/>
          <w:spacing w:val="-9"/>
          <w:w w:val="110"/>
          <w:sz w:val="18"/>
        </w:rPr>
        <w:t>7.2 </w:t>
      </w:r>
      <w:r>
        <w:rPr>
          <w:color w:val="231F20"/>
          <w:w w:val="110"/>
          <w:sz w:val="18"/>
        </w:rPr>
        <w:t>shall be </w:t>
      </w:r>
      <w:r>
        <w:rPr>
          <w:color w:val="231F20"/>
          <w:spacing w:val="2"/>
          <w:w w:val="110"/>
          <w:sz w:val="18"/>
        </w:rPr>
        <w:t>reported </w:t>
      </w:r>
      <w:r>
        <w:rPr>
          <w:color w:val="231F20"/>
          <w:w w:val="110"/>
          <w:sz w:val="18"/>
        </w:rPr>
        <w:t>to the </w:t>
      </w:r>
      <w:r>
        <w:rPr>
          <w:color w:val="231F20"/>
          <w:spacing w:val="2"/>
          <w:w w:val="110"/>
          <w:sz w:val="18"/>
        </w:rPr>
        <w:t>next </w:t>
      </w:r>
      <w:r>
        <w:rPr>
          <w:color w:val="231F20"/>
          <w:w w:val="110"/>
          <w:sz w:val="18"/>
        </w:rPr>
        <w:t>meeting of the General</w:t>
      </w:r>
      <w:r>
        <w:rPr>
          <w:color w:val="231F20"/>
          <w:spacing w:val="66"/>
          <w:w w:val="110"/>
          <w:sz w:val="18"/>
        </w:rPr>
        <w:t> </w:t>
      </w:r>
      <w:r>
        <w:rPr>
          <w:color w:val="231F20"/>
          <w:w w:val="110"/>
          <w:sz w:val="18"/>
        </w:rPr>
        <w:t>Assembly.</w:t>
      </w:r>
    </w:p>
    <w:p>
      <w:pPr>
        <w:spacing w:after="0" w:line="273" w:lineRule="auto"/>
        <w:jc w:val="left"/>
        <w:rPr>
          <w:sz w:val="18"/>
        </w:rPr>
        <w:sectPr>
          <w:pgSz w:w="11910" w:h="16840"/>
          <w:pgMar w:header="581" w:footer="544" w:top="860" w:bottom="740" w:left="460" w:right="0"/>
        </w:sectPr>
      </w:pPr>
    </w:p>
    <w:p>
      <w:pPr>
        <w:pStyle w:val="BodyText"/>
        <w:spacing w:before="2"/>
        <w:rPr>
          <w:sz w:val="15"/>
        </w:rPr>
      </w:pPr>
    </w:p>
    <w:p>
      <w:pPr>
        <w:spacing w:after="0"/>
        <w:rPr>
          <w:sz w:val="15"/>
        </w:rPr>
        <w:sectPr>
          <w:pgSz w:w="11910" w:h="16840"/>
          <w:pgMar w:header="581" w:footer="464" w:top="860" w:bottom="740" w:left="460" w:right="0"/>
        </w:sectPr>
      </w:pPr>
    </w:p>
    <w:p>
      <w:pPr>
        <w:pStyle w:val="Heading5"/>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36"/>
          <w:w w:val="111"/>
        </w:rPr>
        <w:t>O</w:t>
      </w:r>
      <w:r>
        <w:rPr>
          <w:color w:val="231F20"/>
          <w:spacing w:val="-166"/>
          <w:w w:val="112"/>
          <w:position w:val="-20"/>
          <w:sz w:val="50"/>
        </w:rPr>
        <w:t>1</w:t>
      </w:r>
      <w:r>
        <w:rPr>
          <w:color w:val="FFFFFF"/>
          <w:spacing w:val="-273"/>
          <w:w w:val="111"/>
        </w:rPr>
        <w:t>N</w:t>
      </w:r>
      <w:r>
        <w:rPr>
          <w:color w:val="231F20"/>
          <w:spacing w:val="-32"/>
          <w:w w:val="112"/>
          <w:position w:val="-20"/>
          <w:sz w:val="50"/>
        </w:rPr>
        <w:t>7</w:t>
      </w:r>
    </w:p>
    <w:p>
      <w:pPr>
        <w:pStyle w:val="BodyText"/>
        <w:rPr>
          <w:b/>
          <w:sz w:val="24"/>
        </w:rPr>
      </w:pPr>
      <w:r>
        <w:rPr/>
        <w:br w:type="column"/>
      </w:r>
      <w:r>
        <w:rPr>
          <w:b/>
          <w:sz w:val="24"/>
        </w:rPr>
      </w:r>
    </w:p>
    <w:p>
      <w:pPr>
        <w:pStyle w:val="BodyText"/>
        <w:spacing w:before="5"/>
        <w:rPr>
          <w:b/>
          <w:sz w:val="20"/>
        </w:rPr>
      </w:pPr>
    </w:p>
    <w:p>
      <w:pPr>
        <w:spacing w:before="0"/>
        <w:ind w:left="0" w:right="1699" w:firstLine="0"/>
        <w:jc w:val="right"/>
        <w:rPr>
          <w:b/>
          <w:sz w:val="20"/>
        </w:rPr>
      </w:pPr>
      <w:r>
        <w:rPr>
          <w:b/>
          <w:color w:val="231F20"/>
          <w:w w:val="110"/>
          <w:sz w:val="20"/>
        </w:rPr>
        <w:t>Changes to Section O Part</w:t>
      </w:r>
      <w:r>
        <w:rPr>
          <w:b/>
          <w:color w:val="231F20"/>
          <w:spacing w:val="22"/>
          <w:w w:val="110"/>
          <w:sz w:val="20"/>
        </w:rPr>
        <w:t> </w:t>
      </w:r>
      <w:r>
        <w:rPr>
          <w:b/>
          <w:color w:val="231F20"/>
          <w:w w:val="110"/>
          <w:sz w:val="20"/>
        </w:rPr>
        <w:t>1</w:t>
      </w:r>
    </w:p>
    <w:p>
      <w:pPr>
        <w:spacing w:before="27"/>
        <w:ind w:left="0" w:right="1699" w:firstLine="0"/>
        <w:jc w:val="right"/>
        <w:rPr>
          <w:i/>
          <w:sz w:val="18"/>
        </w:rPr>
      </w:pPr>
      <w:r>
        <w:rPr>
          <w:i/>
          <w:color w:val="231F20"/>
          <w:w w:val="110"/>
          <w:sz w:val="18"/>
        </w:rPr>
        <w:t>(Report page 52 para</w:t>
      </w:r>
      <w:r>
        <w:rPr>
          <w:i/>
          <w:color w:val="231F20"/>
          <w:spacing w:val="36"/>
          <w:w w:val="110"/>
          <w:sz w:val="18"/>
        </w:rPr>
        <w:t> </w:t>
      </w:r>
      <w:r>
        <w:rPr>
          <w:i/>
          <w:color w:val="231F20"/>
          <w:spacing w:val="-4"/>
          <w:w w:val="110"/>
          <w:sz w:val="18"/>
        </w:rPr>
        <w:t>6.3.15)</w:t>
      </w:r>
    </w:p>
    <w:p>
      <w:pPr>
        <w:spacing w:after="0"/>
        <w:jc w:val="right"/>
        <w:rPr>
          <w:sz w:val="18"/>
        </w:rPr>
        <w:sectPr>
          <w:type w:val="continuous"/>
          <w:pgSz w:w="11910" w:h="16840"/>
          <w:pgMar w:top="680" w:bottom="280" w:left="460" w:right="0"/>
          <w:cols w:num="2" w:equalWidth="0">
            <w:col w:w="4462" w:space="997"/>
            <w:col w:w="5991"/>
          </w:cols>
        </w:sectPr>
      </w:pPr>
    </w:p>
    <w:p>
      <w:pPr>
        <w:pStyle w:val="BodyText"/>
        <w:spacing w:before="11"/>
        <w:rPr>
          <w:i/>
          <w:sz w:val="14"/>
        </w:rPr>
      </w:pPr>
      <w:r>
        <w:rPr/>
        <w:pict>
          <v:group style="position:absolute;margin-left:17.007999pt;margin-top:58.819042pt;width:542pt;height:741.5pt;mso-position-horizontal-relative:page;mso-position-vertical-relative:page;z-index:-275542016" coordorigin="340,1176" coordsize="10840,14830">
            <v:shape style="position:absolute;left:840;top:1176;width:9932;height:14755" type="#_x0000_t75" stroked="false">
              <v:imagedata r:id="rId78" o:title=""/>
            </v:shape>
            <v:shape style="position:absolute;left:1143;top:1259;width:4016;height:630" coordorigin="1143,1260" coordsize="4016,630" path="m5159,1586l1301,1586,1301,1260,1143,1260,1143,1586,1143,1890,5159,1890,5159,1586e" filled="true" fillcolor="#d8dadc" stroked="false">
              <v:path arrowok="t"/>
              <v:fill type="solid"/>
            </v:shape>
            <v:line style="position:absolute" from="1143,1254" to="5159,1254" stroked="true" strokeweight=".6pt" strokecolor="#d8dadc">
              <v:stroke dashstyle="solid"/>
            </v:line>
            <v:shape style="position:absolute;left:1301;top:1259;width:3858;height:327" coordorigin="1301,1260" coordsize="3858,327" path="m5159,1260l4744,1260,1301,1260,1301,1587,4744,1587,5159,1587,5159,1260e" filled="true" fillcolor="#d8dadc" stroked="false">
              <v:path arrowok="t"/>
              <v:fill type="solid"/>
            </v:shape>
            <v:rect style="position:absolute;left:340;top:15703;width:10840;height:303" filled="true" fillcolor="#ffffff" stroked="false">
              <v:fill type="solid"/>
            </v:rect>
            <w10:wrap type="none"/>
          </v:group>
        </w:pict>
      </w:r>
    </w:p>
    <w:p>
      <w:pPr>
        <w:spacing w:line="273" w:lineRule="auto" w:before="100"/>
        <w:ind w:left="673" w:right="1834" w:firstLine="0"/>
        <w:jc w:val="left"/>
        <w:rPr>
          <w:i/>
          <w:sz w:val="18"/>
        </w:rPr>
      </w:pPr>
      <w:r>
        <w:rPr>
          <w:i/>
          <w:color w:val="231F20"/>
          <w:w w:val="110"/>
          <w:sz w:val="18"/>
        </w:rPr>
        <w:t>Resolution </w:t>
      </w:r>
      <w:r>
        <w:rPr>
          <w:i/>
          <w:color w:val="231F20"/>
          <w:spacing w:val="-6"/>
          <w:w w:val="110"/>
          <w:sz w:val="18"/>
        </w:rPr>
        <w:t>17  </w:t>
      </w:r>
      <w:r>
        <w:rPr>
          <w:i/>
          <w:color w:val="231F20"/>
          <w:w w:val="110"/>
          <w:sz w:val="18"/>
        </w:rPr>
        <w:t>makes changes to Section </w:t>
      </w:r>
      <w:r>
        <w:rPr>
          <w:i/>
          <w:color w:val="231F20"/>
          <w:spacing w:val="-3"/>
          <w:w w:val="110"/>
          <w:sz w:val="18"/>
        </w:rPr>
        <w:t>O, </w:t>
      </w:r>
      <w:r>
        <w:rPr>
          <w:i/>
          <w:color w:val="231F20"/>
          <w:w w:val="110"/>
          <w:sz w:val="18"/>
        </w:rPr>
        <w:t>Part I, based on Resolution 1 but extended   </w:t>
      </w:r>
      <w:r>
        <w:rPr>
          <w:i/>
          <w:color w:val="231F20"/>
          <w:w w:val="110"/>
          <w:sz w:val="18"/>
        </w:rPr>
        <w:t>to make the </w:t>
      </w:r>
      <w:r>
        <w:rPr>
          <w:i/>
          <w:color w:val="231F20"/>
          <w:spacing w:val="2"/>
          <w:w w:val="110"/>
          <w:sz w:val="18"/>
        </w:rPr>
        <w:t>necessary </w:t>
      </w:r>
      <w:r>
        <w:rPr>
          <w:i/>
          <w:color w:val="231F20"/>
          <w:w w:val="110"/>
          <w:sz w:val="18"/>
        </w:rPr>
        <w:t>changes to Section O occasioned by the intention to bring CRCWs into the Church’s ministerial disciplinary </w:t>
      </w:r>
      <w:r>
        <w:rPr>
          <w:i/>
          <w:color w:val="231F20"/>
          <w:spacing w:val="2"/>
          <w:w w:val="110"/>
          <w:sz w:val="18"/>
        </w:rPr>
        <w:t>process. </w:t>
      </w:r>
      <w:r>
        <w:rPr>
          <w:i/>
          <w:color w:val="231F20"/>
          <w:w w:val="110"/>
          <w:sz w:val="18"/>
        </w:rPr>
        <w:t>Unlike Resolution </w:t>
      </w:r>
      <w:r>
        <w:rPr>
          <w:i/>
          <w:color w:val="231F20"/>
          <w:spacing w:val="-6"/>
          <w:w w:val="110"/>
          <w:sz w:val="18"/>
        </w:rPr>
        <w:t>16 </w:t>
      </w:r>
      <w:r>
        <w:rPr>
          <w:i/>
          <w:color w:val="231F20"/>
          <w:w w:val="110"/>
          <w:sz w:val="18"/>
        </w:rPr>
        <w:t>this resolution  does not include </w:t>
      </w:r>
      <w:r>
        <w:rPr>
          <w:i/>
          <w:color w:val="231F20"/>
          <w:spacing w:val="2"/>
          <w:w w:val="110"/>
          <w:sz w:val="18"/>
        </w:rPr>
        <w:t>references </w:t>
      </w:r>
      <w:r>
        <w:rPr>
          <w:i/>
          <w:color w:val="231F20"/>
          <w:w w:val="110"/>
          <w:sz w:val="18"/>
        </w:rPr>
        <w:t>to the</w:t>
      </w:r>
      <w:r>
        <w:rPr>
          <w:i/>
          <w:color w:val="231F20"/>
          <w:spacing w:val="6"/>
          <w:w w:val="110"/>
          <w:sz w:val="18"/>
        </w:rPr>
        <w:t> </w:t>
      </w:r>
      <w:r>
        <w:rPr>
          <w:i/>
          <w:color w:val="231F20"/>
          <w:spacing w:val="-4"/>
          <w:w w:val="110"/>
          <w:sz w:val="18"/>
        </w:rPr>
        <w:t>MIP.</w:t>
      </w:r>
    </w:p>
    <w:p>
      <w:pPr>
        <w:pStyle w:val="BodyText"/>
        <w:rPr>
          <w:i/>
          <w:sz w:val="22"/>
        </w:rPr>
      </w:pPr>
    </w:p>
    <w:p>
      <w:pPr>
        <w:pStyle w:val="BodyText"/>
        <w:spacing w:before="4"/>
        <w:rPr>
          <w:i/>
          <w:sz w:val="19"/>
        </w:rPr>
      </w:pPr>
    </w:p>
    <w:p>
      <w:pPr>
        <w:pStyle w:val="BodyText"/>
        <w:spacing w:line="273" w:lineRule="auto"/>
        <w:ind w:left="673" w:right="2219"/>
      </w:pPr>
      <w:r>
        <w:rPr>
          <w:color w:val="231F20"/>
          <w:w w:val="110"/>
        </w:rPr>
        <w:t>General Assembly agrees to replace the whole of the existing Part I of Section O with the following:</w:t>
      </w:r>
    </w:p>
    <w:p>
      <w:pPr>
        <w:pStyle w:val="BodyText"/>
        <w:spacing w:before="9"/>
        <w:rPr>
          <w:sz w:val="11"/>
        </w:rPr>
      </w:pPr>
    </w:p>
    <w:p>
      <w:pPr>
        <w:spacing w:before="98"/>
        <w:ind w:left="336" w:right="1251" w:firstLine="0"/>
        <w:jc w:val="center"/>
        <w:rPr>
          <w:b/>
          <w:sz w:val="29"/>
        </w:rPr>
      </w:pPr>
      <w:r>
        <w:rPr>
          <w:b/>
          <w:color w:val="231F20"/>
          <w:w w:val="110"/>
          <w:sz w:val="29"/>
        </w:rPr>
        <w:t>SECTION O</w:t>
      </w:r>
    </w:p>
    <w:p>
      <w:pPr>
        <w:spacing w:line="244" w:lineRule="auto" w:before="258"/>
        <w:ind w:left="3353" w:right="3276" w:hanging="1102"/>
        <w:jc w:val="left"/>
        <w:rPr>
          <w:b/>
          <w:sz w:val="29"/>
        </w:rPr>
      </w:pPr>
      <w:r>
        <w:rPr>
          <w:b/>
          <w:color w:val="231F20"/>
          <w:w w:val="110"/>
          <w:sz w:val="29"/>
        </w:rPr>
        <w:t>Process for dealing with cases of Ministerial Discipline</w:t>
      </w:r>
    </w:p>
    <w:p>
      <w:pPr>
        <w:spacing w:line="273" w:lineRule="auto" w:before="251"/>
        <w:ind w:left="2697" w:right="3653" w:firstLine="686"/>
        <w:jc w:val="left"/>
        <w:rPr>
          <w:sz w:val="18"/>
        </w:rPr>
      </w:pPr>
      <w:r>
        <w:rPr>
          <w:b/>
          <w:color w:val="231F20"/>
          <w:w w:val="110"/>
          <w:sz w:val="18"/>
        </w:rPr>
        <w:t>PART I – Substantive Provisions </w:t>
      </w:r>
      <w:r>
        <w:rPr>
          <w:color w:val="231F20"/>
          <w:w w:val="110"/>
          <w:sz w:val="18"/>
        </w:rPr>
        <w:t>(governed by General Assembly Function 2(5)(xi) of the Structure of the United Reformed Church)</w:t>
      </w:r>
    </w:p>
    <w:p>
      <w:pPr>
        <w:pStyle w:val="BodyText"/>
        <w:rPr>
          <w:sz w:val="22"/>
        </w:rPr>
      </w:pPr>
    </w:p>
    <w:p>
      <w:pPr>
        <w:pStyle w:val="BodyText"/>
        <w:spacing w:before="4"/>
        <w:rPr>
          <w:sz w:val="19"/>
        </w:rPr>
      </w:pPr>
    </w:p>
    <w:p>
      <w:pPr>
        <w:pStyle w:val="ListParagraph"/>
        <w:numPr>
          <w:ilvl w:val="0"/>
          <w:numId w:val="39"/>
        </w:numPr>
        <w:tabs>
          <w:tab w:pos="1240" w:val="left" w:leader="none"/>
          <w:tab w:pos="1241" w:val="left" w:leader="none"/>
          <w:tab w:pos="1807" w:val="left" w:leader="none"/>
        </w:tabs>
        <w:spacing w:line="273" w:lineRule="auto" w:before="0" w:after="0"/>
        <w:ind w:left="673" w:right="1914" w:firstLine="0"/>
        <w:jc w:val="left"/>
        <w:rPr>
          <w:sz w:val="18"/>
        </w:rPr>
      </w:pPr>
      <w:r>
        <w:rPr>
          <w:color w:val="231F20"/>
          <w:spacing w:val="-5"/>
          <w:w w:val="110"/>
          <w:sz w:val="18"/>
        </w:rPr>
        <w:t>1.1</w:t>
        <w:tab/>
      </w:r>
      <w:r>
        <w:rPr>
          <w:color w:val="231F20"/>
          <w:w w:val="110"/>
          <w:sz w:val="18"/>
        </w:rPr>
        <w:t>Under the provisions of this </w:t>
      </w:r>
      <w:r>
        <w:rPr>
          <w:color w:val="231F20"/>
          <w:spacing w:val="2"/>
          <w:w w:val="110"/>
          <w:sz w:val="18"/>
        </w:rPr>
        <w:t>Section </w:t>
      </w:r>
      <w:r>
        <w:rPr>
          <w:color w:val="231F20"/>
          <w:w w:val="110"/>
          <w:sz w:val="18"/>
        </w:rPr>
        <w:t>O an Assembly Commission </w:t>
      </w:r>
      <w:r>
        <w:rPr>
          <w:color w:val="231F20"/>
          <w:spacing w:val="-6"/>
          <w:w w:val="110"/>
          <w:sz w:val="18"/>
        </w:rPr>
        <w:t>(as </w:t>
      </w:r>
      <w:r>
        <w:rPr>
          <w:color w:val="231F20"/>
          <w:w w:val="110"/>
          <w:sz w:val="18"/>
        </w:rPr>
        <w:t>defined in </w:t>
      </w:r>
      <w:r>
        <w:rPr>
          <w:color w:val="231F20"/>
          <w:spacing w:val="2"/>
          <w:w w:val="110"/>
          <w:sz w:val="18"/>
        </w:rPr>
        <w:t>Section </w:t>
      </w:r>
      <w:r>
        <w:rPr>
          <w:color w:val="231F20"/>
          <w:w w:val="110"/>
          <w:sz w:val="18"/>
        </w:rPr>
        <w:t>A of </w:t>
      </w:r>
      <w:r>
        <w:rPr>
          <w:color w:val="231F20"/>
          <w:spacing w:val="2"/>
          <w:w w:val="110"/>
          <w:sz w:val="18"/>
        </w:rPr>
        <w:t>Part </w:t>
      </w:r>
      <w:r>
        <w:rPr>
          <w:color w:val="231F20"/>
          <w:w w:val="110"/>
          <w:sz w:val="18"/>
        </w:rPr>
        <w:t>II) shall operate under the authority of the General Assembly for the purpose of deciding (in </w:t>
      </w:r>
      <w:r>
        <w:rPr>
          <w:color w:val="231F20"/>
          <w:spacing w:val="2"/>
          <w:w w:val="110"/>
          <w:sz w:val="18"/>
        </w:rPr>
        <w:t>cases </w:t>
      </w:r>
      <w:r>
        <w:rPr>
          <w:color w:val="231F20"/>
          <w:w w:val="110"/>
          <w:sz w:val="18"/>
        </w:rPr>
        <w:t>properly </w:t>
      </w:r>
      <w:r>
        <w:rPr>
          <w:color w:val="231F20"/>
          <w:spacing w:val="2"/>
          <w:w w:val="110"/>
          <w:sz w:val="18"/>
        </w:rPr>
        <w:t>referred </w:t>
      </w:r>
      <w:r>
        <w:rPr>
          <w:color w:val="231F20"/>
          <w:w w:val="110"/>
          <w:sz w:val="18"/>
        </w:rPr>
        <w:t>to </w:t>
      </w:r>
      <w:r>
        <w:rPr>
          <w:color w:val="231F20"/>
          <w:spacing w:val="-3"/>
          <w:w w:val="110"/>
          <w:sz w:val="18"/>
        </w:rPr>
        <w:t>it)  </w:t>
      </w:r>
      <w:r>
        <w:rPr>
          <w:color w:val="231F20"/>
          <w:w w:val="110"/>
          <w:sz w:val="18"/>
        </w:rPr>
        <w:t>the questions as to whether   a Minister or a Church Related Community Worker (CRCW) has committed a breach of discipline</w:t>
      </w:r>
      <w:r>
        <w:rPr>
          <w:color w:val="231F20"/>
          <w:spacing w:val="8"/>
          <w:w w:val="110"/>
          <w:sz w:val="18"/>
        </w:rPr>
        <w:t> </w:t>
      </w:r>
      <w:r>
        <w:rPr>
          <w:color w:val="231F20"/>
          <w:w w:val="110"/>
          <w:sz w:val="18"/>
        </w:rPr>
        <w:t>and,</w:t>
      </w:r>
      <w:r>
        <w:rPr>
          <w:color w:val="231F20"/>
          <w:spacing w:val="8"/>
          <w:w w:val="110"/>
          <w:sz w:val="18"/>
        </w:rPr>
        <w:t> </w:t>
      </w:r>
      <w:r>
        <w:rPr>
          <w:color w:val="231F20"/>
          <w:w w:val="110"/>
          <w:sz w:val="18"/>
        </w:rPr>
        <w:t>if</w:t>
      </w:r>
      <w:r>
        <w:rPr>
          <w:color w:val="231F20"/>
          <w:spacing w:val="7"/>
          <w:w w:val="110"/>
          <w:sz w:val="18"/>
        </w:rPr>
        <w:t> </w:t>
      </w:r>
      <w:r>
        <w:rPr>
          <w:color w:val="231F20"/>
          <w:w w:val="110"/>
          <w:sz w:val="18"/>
        </w:rPr>
        <w:t>the</w:t>
      </w:r>
      <w:r>
        <w:rPr>
          <w:color w:val="231F20"/>
          <w:spacing w:val="8"/>
          <w:w w:val="110"/>
          <w:sz w:val="18"/>
        </w:rPr>
        <w:t> </w:t>
      </w:r>
      <w:r>
        <w:rPr>
          <w:color w:val="231F20"/>
          <w:w w:val="110"/>
          <w:sz w:val="18"/>
        </w:rPr>
        <w:t>Assembly</w:t>
      </w:r>
      <w:r>
        <w:rPr>
          <w:color w:val="231F20"/>
          <w:spacing w:val="8"/>
          <w:w w:val="110"/>
          <w:sz w:val="18"/>
        </w:rPr>
        <w:t> </w:t>
      </w:r>
      <w:r>
        <w:rPr>
          <w:color w:val="231F20"/>
          <w:w w:val="110"/>
          <w:sz w:val="18"/>
        </w:rPr>
        <w:t>Commission</w:t>
      </w:r>
      <w:r>
        <w:rPr>
          <w:color w:val="231F20"/>
          <w:spacing w:val="8"/>
          <w:w w:val="110"/>
          <w:sz w:val="18"/>
        </w:rPr>
        <w:t> </w:t>
      </w:r>
      <w:r>
        <w:rPr>
          <w:color w:val="231F20"/>
          <w:spacing w:val="-6"/>
          <w:w w:val="110"/>
          <w:sz w:val="18"/>
        </w:rPr>
        <w:t>or,</w:t>
      </w:r>
      <w:r>
        <w:rPr>
          <w:color w:val="231F20"/>
          <w:spacing w:val="8"/>
          <w:w w:val="110"/>
          <w:sz w:val="18"/>
        </w:rPr>
        <w:t> </w:t>
      </w:r>
      <w:r>
        <w:rPr>
          <w:color w:val="231F20"/>
          <w:w w:val="110"/>
          <w:sz w:val="18"/>
        </w:rPr>
        <w:t>in</w:t>
      </w:r>
      <w:r>
        <w:rPr>
          <w:color w:val="231F20"/>
          <w:spacing w:val="8"/>
          <w:w w:val="110"/>
          <w:sz w:val="18"/>
        </w:rPr>
        <w:t> </w:t>
      </w:r>
      <w:r>
        <w:rPr>
          <w:color w:val="231F20"/>
          <w:w w:val="110"/>
          <w:sz w:val="18"/>
        </w:rPr>
        <w:t>the</w:t>
      </w:r>
      <w:r>
        <w:rPr>
          <w:color w:val="231F20"/>
          <w:spacing w:val="8"/>
          <w:w w:val="110"/>
          <w:sz w:val="18"/>
        </w:rPr>
        <w:t> </w:t>
      </w:r>
      <w:r>
        <w:rPr>
          <w:color w:val="231F20"/>
          <w:w w:val="110"/>
          <w:sz w:val="18"/>
        </w:rPr>
        <w:t>event</w:t>
      </w:r>
      <w:r>
        <w:rPr>
          <w:color w:val="231F20"/>
          <w:spacing w:val="8"/>
          <w:w w:val="110"/>
          <w:sz w:val="18"/>
        </w:rPr>
        <w:t> </w:t>
      </w:r>
      <w:r>
        <w:rPr>
          <w:color w:val="231F20"/>
          <w:w w:val="110"/>
          <w:sz w:val="18"/>
        </w:rPr>
        <w:t>of</w:t>
      </w:r>
      <w:r>
        <w:rPr>
          <w:color w:val="231F20"/>
          <w:spacing w:val="8"/>
          <w:w w:val="110"/>
          <w:sz w:val="18"/>
        </w:rPr>
        <w:t> </w:t>
      </w:r>
      <w:r>
        <w:rPr>
          <w:color w:val="231F20"/>
          <w:w w:val="110"/>
          <w:sz w:val="18"/>
        </w:rPr>
        <w:t>an</w:t>
      </w:r>
      <w:r>
        <w:rPr>
          <w:color w:val="231F20"/>
          <w:spacing w:val="8"/>
          <w:w w:val="110"/>
          <w:sz w:val="18"/>
        </w:rPr>
        <w:t> </w:t>
      </w:r>
      <w:r>
        <w:rPr>
          <w:color w:val="231F20"/>
          <w:w w:val="110"/>
          <w:sz w:val="18"/>
        </w:rPr>
        <w:t>appeal,</w:t>
      </w:r>
      <w:r>
        <w:rPr>
          <w:color w:val="231F20"/>
          <w:spacing w:val="8"/>
          <w:w w:val="110"/>
          <w:sz w:val="18"/>
        </w:rPr>
        <w:t> </w:t>
      </w:r>
      <w:r>
        <w:rPr>
          <w:color w:val="231F20"/>
          <w:w w:val="110"/>
          <w:sz w:val="18"/>
        </w:rPr>
        <w:t>the</w:t>
      </w:r>
      <w:r>
        <w:rPr>
          <w:color w:val="231F20"/>
          <w:spacing w:val="8"/>
          <w:w w:val="110"/>
          <w:sz w:val="18"/>
        </w:rPr>
        <w:t> </w:t>
      </w:r>
      <w:r>
        <w:rPr>
          <w:color w:val="231F20"/>
          <w:w w:val="110"/>
          <w:sz w:val="18"/>
        </w:rPr>
        <w:t>Appeals</w:t>
      </w:r>
    </w:p>
    <w:p>
      <w:pPr>
        <w:pStyle w:val="BodyText"/>
        <w:spacing w:line="273" w:lineRule="auto" w:before="3"/>
        <w:ind w:left="673" w:right="1957"/>
      </w:pPr>
      <w:r>
        <w:rPr>
          <w:color w:val="231F20"/>
          <w:w w:val="110"/>
        </w:rPr>
        <w:t>Commission should so decide, whether on that account his/her name should be deleted from the Roll of Ministers or CRCWs as the case may be or alternatively whether a written warning should be issued to him/her. Under the Ministerial Disciplinary Process (known as “the Section O Process”) the Assembly Commission or, in the event of an appeal, the Appeals Commission is also able to make recommendations and offer guidance but only within the limits prescribed in Section F of Part II.</w:t>
      </w:r>
    </w:p>
    <w:p>
      <w:pPr>
        <w:pStyle w:val="BodyText"/>
        <w:spacing w:before="11"/>
        <w:rPr>
          <w:sz w:val="20"/>
        </w:rPr>
      </w:pPr>
    </w:p>
    <w:p>
      <w:pPr>
        <w:pStyle w:val="BodyText"/>
        <w:spacing w:line="273" w:lineRule="auto"/>
        <w:ind w:left="673" w:right="1698"/>
        <w:jc w:val="both"/>
      </w:pPr>
      <w:r>
        <w:rPr>
          <w:color w:val="231F20"/>
          <w:w w:val="110"/>
        </w:rPr>
        <w:t>1.2 Once the disciplinary case of any Minister or CRCW is being dealt with under the Section O Process, it shall be conducted and concluded entirely in accordance with that Process and not through any other procedure or process of the Church.</w:t>
      </w:r>
    </w:p>
    <w:p>
      <w:pPr>
        <w:pStyle w:val="BodyText"/>
        <w:spacing w:before="9"/>
        <w:rPr>
          <w:sz w:val="20"/>
        </w:rPr>
      </w:pPr>
    </w:p>
    <w:p>
      <w:pPr>
        <w:pStyle w:val="ListParagraph"/>
        <w:numPr>
          <w:ilvl w:val="0"/>
          <w:numId w:val="39"/>
        </w:numPr>
        <w:tabs>
          <w:tab w:pos="1240" w:val="left" w:leader="none"/>
          <w:tab w:pos="1241" w:val="left" w:leader="none"/>
        </w:tabs>
        <w:spacing w:line="273" w:lineRule="auto" w:before="0" w:after="0"/>
        <w:ind w:left="673" w:right="1739" w:firstLine="0"/>
        <w:jc w:val="left"/>
        <w:rPr>
          <w:sz w:val="18"/>
        </w:rPr>
      </w:pPr>
      <w:r>
        <w:rPr>
          <w:color w:val="231F20"/>
          <w:w w:val="110"/>
          <w:sz w:val="18"/>
        </w:rPr>
        <w:t>The Assembly Commission, the Commission Panel, the Appeals Commission and    all </w:t>
      </w:r>
      <w:r>
        <w:rPr>
          <w:color w:val="231F20"/>
          <w:spacing w:val="2"/>
          <w:w w:val="110"/>
          <w:sz w:val="18"/>
        </w:rPr>
        <w:t>aspects </w:t>
      </w:r>
      <w:r>
        <w:rPr>
          <w:color w:val="231F20"/>
          <w:w w:val="110"/>
          <w:sz w:val="18"/>
        </w:rPr>
        <w:t>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at all times remain under the jurisdiction and control of the General Assembly which has the authority through the exercise of its functions as contained in Paragraph </w:t>
      </w:r>
      <w:r>
        <w:rPr>
          <w:color w:val="231F20"/>
          <w:spacing w:val="-4"/>
          <w:w w:val="110"/>
          <w:sz w:val="18"/>
        </w:rPr>
        <w:t>2(5) </w:t>
      </w:r>
      <w:r>
        <w:rPr>
          <w:color w:val="231F20"/>
          <w:w w:val="110"/>
          <w:sz w:val="18"/>
        </w:rPr>
        <w:t>of the Structure to amend, enlarge or revoke  the whole or any </w:t>
      </w:r>
      <w:r>
        <w:rPr>
          <w:color w:val="231F20"/>
          <w:spacing w:val="2"/>
          <w:w w:val="110"/>
          <w:sz w:val="18"/>
        </w:rPr>
        <w:t>part </w:t>
      </w:r>
      <w:r>
        <w:rPr>
          <w:color w:val="231F20"/>
          <w:w w:val="110"/>
          <w:sz w:val="18"/>
        </w:rPr>
        <w:t>of the </w:t>
      </w:r>
      <w:r>
        <w:rPr>
          <w:color w:val="231F20"/>
          <w:spacing w:val="2"/>
          <w:w w:val="110"/>
          <w:sz w:val="18"/>
        </w:rPr>
        <w:t>Section </w:t>
      </w:r>
      <w:r>
        <w:rPr>
          <w:color w:val="231F20"/>
          <w:w w:val="110"/>
          <w:sz w:val="18"/>
        </w:rPr>
        <w:t>O Process, save only that, so long as it remains in force, the decision </w:t>
      </w:r>
      <w:r>
        <w:rPr>
          <w:color w:val="231F20"/>
          <w:spacing w:val="2"/>
          <w:w w:val="110"/>
          <w:sz w:val="18"/>
        </w:rPr>
        <w:t>reached </w:t>
      </w:r>
      <w:r>
        <w:rPr>
          <w:color w:val="231F20"/>
          <w:w w:val="110"/>
          <w:sz w:val="18"/>
        </w:rPr>
        <w:t>in any particular </w:t>
      </w:r>
      <w:r>
        <w:rPr>
          <w:color w:val="231F20"/>
          <w:spacing w:val="2"/>
          <w:w w:val="110"/>
          <w:sz w:val="18"/>
        </w:rPr>
        <w:t>case </w:t>
      </w:r>
      <w:r>
        <w:rPr>
          <w:color w:val="231F20"/>
          <w:w w:val="110"/>
          <w:sz w:val="18"/>
        </w:rPr>
        <w:t>(whether or not on appeal) and any </w:t>
      </w:r>
      <w:r>
        <w:rPr>
          <w:color w:val="231F20"/>
          <w:spacing w:val="2"/>
          <w:w w:val="110"/>
          <w:sz w:val="18"/>
        </w:rPr>
        <w:t>orders </w:t>
      </w:r>
      <w:r>
        <w:rPr>
          <w:color w:val="231F20"/>
          <w:w w:val="110"/>
          <w:sz w:val="18"/>
        </w:rPr>
        <w:t>made in accordance with this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be made in the name of the General Assembly and shall be final and binding on the Minister or CRCW and on all the councils of the</w:t>
      </w:r>
      <w:r>
        <w:rPr>
          <w:color w:val="231F20"/>
          <w:spacing w:val="3"/>
          <w:w w:val="110"/>
          <w:sz w:val="18"/>
        </w:rPr>
        <w:t> </w:t>
      </w:r>
      <w:r>
        <w:rPr>
          <w:color w:val="231F20"/>
          <w:w w:val="110"/>
          <w:sz w:val="18"/>
        </w:rPr>
        <w:t>Church.</w:t>
      </w:r>
    </w:p>
    <w:p>
      <w:pPr>
        <w:pStyle w:val="BodyText"/>
        <w:rPr>
          <w:sz w:val="21"/>
        </w:rPr>
      </w:pPr>
    </w:p>
    <w:p>
      <w:pPr>
        <w:pStyle w:val="ListParagraph"/>
        <w:numPr>
          <w:ilvl w:val="0"/>
          <w:numId w:val="39"/>
        </w:numPr>
        <w:tabs>
          <w:tab w:pos="1240" w:val="left" w:leader="none"/>
          <w:tab w:pos="1241" w:val="left" w:leader="none"/>
          <w:tab w:pos="1807" w:val="left" w:leader="none"/>
        </w:tabs>
        <w:spacing w:line="273" w:lineRule="auto" w:before="0" w:after="0"/>
        <w:ind w:left="673" w:right="2126" w:firstLine="0"/>
        <w:jc w:val="left"/>
        <w:rPr>
          <w:sz w:val="18"/>
        </w:rPr>
      </w:pPr>
      <w:r>
        <w:rPr>
          <w:color w:val="231F20"/>
          <w:spacing w:val="-4"/>
          <w:w w:val="110"/>
          <w:sz w:val="18"/>
        </w:rPr>
        <w:t>3.1</w:t>
        <w:tab/>
      </w:r>
      <w:r>
        <w:rPr>
          <w:color w:val="231F20"/>
          <w:w w:val="110"/>
          <w:sz w:val="18"/>
        </w:rPr>
        <w:t>In considering the evidence and reaching its decision, the Assembly Commission </w:t>
      </w:r>
      <w:r>
        <w:rPr>
          <w:color w:val="231F20"/>
          <w:spacing w:val="-6"/>
          <w:w w:val="110"/>
          <w:sz w:val="18"/>
        </w:rPr>
        <w:t>or, </w:t>
      </w:r>
      <w:r>
        <w:rPr>
          <w:color w:val="231F20"/>
          <w:w w:val="110"/>
          <w:sz w:val="18"/>
        </w:rPr>
        <w:t>in the event of an appeal, the Appeals Commission shall in every  </w:t>
      </w:r>
      <w:r>
        <w:rPr>
          <w:color w:val="231F20"/>
          <w:spacing w:val="2"/>
          <w:w w:val="110"/>
          <w:sz w:val="18"/>
        </w:rPr>
        <w:t>case</w:t>
      </w:r>
      <w:r>
        <w:rPr>
          <w:color w:val="231F20"/>
          <w:spacing w:val="7"/>
          <w:w w:val="110"/>
          <w:sz w:val="18"/>
        </w:rPr>
        <w:t> </w:t>
      </w:r>
      <w:r>
        <w:rPr>
          <w:color w:val="231F20"/>
          <w:w w:val="110"/>
          <w:sz w:val="18"/>
        </w:rPr>
        <w:t>have</w:t>
      </w:r>
      <w:r>
        <w:rPr>
          <w:color w:val="231F20"/>
          <w:spacing w:val="7"/>
          <w:w w:val="110"/>
          <w:sz w:val="18"/>
        </w:rPr>
        <w:t> </w:t>
      </w:r>
      <w:r>
        <w:rPr>
          <w:color w:val="231F20"/>
          <w:w w:val="110"/>
          <w:sz w:val="18"/>
        </w:rPr>
        <w:t>full</w:t>
      </w:r>
      <w:r>
        <w:rPr>
          <w:color w:val="231F20"/>
          <w:spacing w:val="8"/>
          <w:w w:val="110"/>
          <w:sz w:val="18"/>
        </w:rPr>
        <w:t> </w:t>
      </w:r>
      <w:r>
        <w:rPr>
          <w:color w:val="231F20"/>
          <w:w w:val="110"/>
          <w:sz w:val="18"/>
        </w:rPr>
        <w:t>regard</w:t>
      </w:r>
      <w:r>
        <w:rPr>
          <w:color w:val="231F20"/>
          <w:spacing w:val="7"/>
          <w:w w:val="110"/>
          <w:sz w:val="18"/>
        </w:rPr>
        <w:t> </w:t>
      </w:r>
      <w:r>
        <w:rPr>
          <w:color w:val="231F20"/>
          <w:w w:val="110"/>
          <w:sz w:val="18"/>
        </w:rPr>
        <w:t>to</w:t>
      </w:r>
      <w:r>
        <w:rPr>
          <w:color w:val="231F20"/>
          <w:spacing w:val="8"/>
          <w:w w:val="110"/>
          <w:sz w:val="18"/>
        </w:rPr>
        <w:t> </w:t>
      </w:r>
      <w:r>
        <w:rPr>
          <w:color w:val="231F20"/>
          <w:w w:val="110"/>
          <w:sz w:val="18"/>
        </w:rPr>
        <w:t>the</w:t>
      </w:r>
      <w:r>
        <w:rPr>
          <w:color w:val="231F20"/>
          <w:spacing w:val="7"/>
          <w:w w:val="110"/>
          <w:sz w:val="18"/>
        </w:rPr>
        <w:t> </w:t>
      </w:r>
      <w:r>
        <w:rPr>
          <w:color w:val="231F20"/>
          <w:w w:val="110"/>
          <w:sz w:val="18"/>
        </w:rPr>
        <w:t>Basis</w:t>
      </w:r>
      <w:r>
        <w:rPr>
          <w:color w:val="231F20"/>
          <w:spacing w:val="8"/>
          <w:w w:val="110"/>
          <w:sz w:val="18"/>
        </w:rPr>
        <w:t> </w:t>
      </w:r>
      <w:r>
        <w:rPr>
          <w:color w:val="231F20"/>
          <w:w w:val="110"/>
          <w:sz w:val="18"/>
        </w:rPr>
        <w:t>of</w:t>
      </w:r>
      <w:r>
        <w:rPr>
          <w:color w:val="231F20"/>
          <w:spacing w:val="7"/>
          <w:w w:val="110"/>
          <w:sz w:val="18"/>
        </w:rPr>
        <w:t> </w:t>
      </w:r>
      <w:r>
        <w:rPr>
          <w:color w:val="231F20"/>
          <w:w w:val="110"/>
          <w:sz w:val="18"/>
        </w:rPr>
        <w:t>Union</w:t>
      </w:r>
      <w:r>
        <w:rPr>
          <w:color w:val="231F20"/>
          <w:spacing w:val="8"/>
          <w:w w:val="110"/>
          <w:sz w:val="18"/>
        </w:rPr>
        <w:t> </w:t>
      </w:r>
      <w:r>
        <w:rPr>
          <w:color w:val="231F20"/>
          <w:w w:val="110"/>
          <w:sz w:val="18"/>
        </w:rPr>
        <w:t>and</w:t>
      </w:r>
      <w:r>
        <w:rPr>
          <w:color w:val="231F20"/>
          <w:spacing w:val="7"/>
          <w:w w:val="110"/>
          <w:sz w:val="18"/>
        </w:rPr>
        <w:t> </w:t>
      </w:r>
      <w:r>
        <w:rPr>
          <w:color w:val="231F20"/>
          <w:w w:val="110"/>
          <w:sz w:val="18"/>
        </w:rPr>
        <w:t>in</w:t>
      </w:r>
      <w:r>
        <w:rPr>
          <w:color w:val="231F20"/>
          <w:spacing w:val="7"/>
          <w:w w:val="110"/>
          <w:sz w:val="18"/>
        </w:rPr>
        <w:t> </w:t>
      </w:r>
      <w:r>
        <w:rPr>
          <w:color w:val="231F20"/>
          <w:w w:val="110"/>
          <w:sz w:val="18"/>
        </w:rPr>
        <w:t>particular</w:t>
      </w:r>
      <w:r>
        <w:rPr>
          <w:color w:val="231F20"/>
          <w:spacing w:val="8"/>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8"/>
          <w:w w:val="110"/>
          <w:sz w:val="18"/>
        </w:rPr>
        <w:t> </w:t>
      </w:r>
      <w:r>
        <w:rPr>
          <w:color w:val="231F20"/>
          <w:spacing w:val="2"/>
          <w:w w:val="110"/>
          <w:sz w:val="18"/>
        </w:rPr>
        <w:t>case</w:t>
      </w:r>
      <w:r>
        <w:rPr>
          <w:color w:val="231F20"/>
          <w:spacing w:val="7"/>
          <w:w w:val="110"/>
          <w:sz w:val="18"/>
        </w:rPr>
        <w:t> </w:t>
      </w:r>
      <w:r>
        <w:rPr>
          <w:color w:val="231F20"/>
          <w:w w:val="110"/>
          <w:sz w:val="18"/>
        </w:rPr>
        <w:t>of</w:t>
      </w:r>
      <w:r>
        <w:rPr>
          <w:color w:val="231F20"/>
          <w:spacing w:val="8"/>
          <w:w w:val="110"/>
          <w:sz w:val="18"/>
        </w:rPr>
        <w:t> </w:t>
      </w:r>
      <w:r>
        <w:rPr>
          <w:color w:val="231F20"/>
          <w:w w:val="110"/>
          <w:sz w:val="18"/>
        </w:rPr>
        <w:t>Ministers)</w:t>
      </w:r>
    </w:p>
    <w:p>
      <w:pPr>
        <w:pStyle w:val="BodyText"/>
        <w:spacing w:line="273" w:lineRule="auto" w:before="2"/>
        <w:ind w:left="673" w:right="1957"/>
      </w:pPr>
      <w:r>
        <w:rPr>
          <w:color w:val="231F20"/>
          <w:w w:val="110"/>
        </w:rPr>
        <w:t>Paragraph 2 of Schedule E thereto and (in the </w:t>
      </w:r>
      <w:r>
        <w:rPr>
          <w:color w:val="231F20"/>
          <w:spacing w:val="2"/>
          <w:w w:val="110"/>
        </w:rPr>
        <w:t>case </w:t>
      </w:r>
      <w:r>
        <w:rPr>
          <w:color w:val="231F20"/>
          <w:w w:val="110"/>
        </w:rPr>
        <w:t>of </w:t>
      </w:r>
      <w:r>
        <w:rPr>
          <w:color w:val="231F20"/>
          <w:spacing w:val="-2"/>
          <w:w w:val="110"/>
        </w:rPr>
        <w:t>CRCWs) </w:t>
      </w:r>
      <w:r>
        <w:rPr>
          <w:color w:val="231F20"/>
          <w:w w:val="110"/>
        </w:rPr>
        <w:t>Paragraph 2 of Schedule </w:t>
      </w:r>
      <w:r>
        <w:rPr>
          <w:color w:val="231F20"/>
          <w:spacing w:val="-12"/>
          <w:w w:val="110"/>
        </w:rPr>
        <w:t>F, </w:t>
      </w:r>
      <w:r>
        <w:rPr>
          <w:color w:val="231F20"/>
          <w:spacing w:val="2"/>
          <w:w w:val="110"/>
        </w:rPr>
        <w:t>Part </w:t>
      </w:r>
      <w:r>
        <w:rPr>
          <w:color w:val="231F20"/>
          <w:w w:val="110"/>
        </w:rPr>
        <w:t>II thereto, which state the </w:t>
      </w:r>
      <w:r>
        <w:rPr>
          <w:color w:val="231F20"/>
          <w:spacing w:val="2"/>
          <w:w w:val="110"/>
        </w:rPr>
        <w:t>respective </w:t>
      </w:r>
      <w:r>
        <w:rPr>
          <w:color w:val="231F20"/>
          <w:w w:val="110"/>
        </w:rPr>
        <w:t>responsibilities undertaken by those who become Ministers or CRCWs of the United Reformed Church and the criteria which they must apply in the exercise of their</w:t>
      </w:r>
      <w:r>
        <w:rPr>
          <w:color w:val="231F20"/>
          <w:spacing w:val="12"/>
          <w:w w:val="110"/>
        </w:rPr>
        <w:t> </w:t>
      </w:r>
      <w:r>
        <w:rPr>
          <w:color w:val="231F20"/>
          <w:w w:val="110"/>
        </w:rPr>
        <w:t>ministries.</w:t>
      </w:r>
    </w:p>
    <w:p>
      <w:pPr>
        <w:spacing w:after="0" w:line="273" w:lineRule="auto"/>
        <w:sectPr>
          <w:type w:val="continuous"/>
          <w:pgSz w:w="11910" w:h="16840"/>
          <w:pgMar w:top="680" w:bottom="280" w:left="460" w:right="0"/>
        </w:sectPr>
      </w:pPr>
    </w:p>
    <w:p>
      <w:pPr>
        <w:pStyle w:val="BodyText"/>
        <w:rPr>
          <w:sz w:val="20"/>
        </w:rPr>
      </w:pPr>
    </w:p>
    <w:p>
      <w:pPr>
        <w:pStyle w:val="BodyText"/>
        <w:spacing w:before="3"/>
      </w:pPr>
    </w:p>
    <w:p>
      <w:pPr>
        <w:pStyle w:val="BodyText"/>
        <w:tabs>
          <w:tab w:pos="1807" w:val="left" w:leader="none"/>
        </w:tabs>
        <w:spacing w:line="273" w:lineRule="auto" w:before="100"/>
        <w:ind w:left="1240" w:right="1194"/>
      </w:pPr>
      <w:r>
        <w:rPr/>
        <w:pict>
          <v:group style="position:absolute;margin-left:48.188999pt;margin-top:-18.146152pt;width:514.8pt;height:542.6pt;mso-position-horizontal-relative:page;mso-position-vertical-relative:paragraph;z-index:-275540992" coordorigin="964,-363" coordsize="10296,10852">
            <v:shape style="position:absolute;left:1311;top:-239;width:9872;height:10697" coordorigin="1311,-238" coordsize="9872,10697" path="m1311,10218l1315,10357,1341,10428,1413,10454,1551,10458,10943,10458,11081,10454,11153,10428,11179,10357,11183,10218,11183,2,11179,-137,11153,-208,11081,-235,10943,-238,1551,-238,1413,-235,1341,-208,1315,-137,1311,2,1311,10218xe" filled="false" stroked="true" strokeweight="3pt" strokecolor="#000000">
              <v:path arrowok="t"/>
              <v:stroke dashstyle="solid"/>
            </v:shape>
            <v:rect style="position:absolute;left:963;top:-363;width:10296;height:447" filled="true" fillcolor="#ffffff" stroked="false">
              <v:fill type="solid"/>
            </v:rect>
            <w10:wrap type="none"/>
          </v:group>
        </w:pict>
      </w:r>
      <w:r>
        <w:rPr>
          <w:color w:val="231F20"/>
          <w:w w:val="110"/>
        </w:rPr>
        <w:t>3.2</w:t>
        <w:tab/>
      </w:r>
      <w:r>
        <w:rPr>
          <w:color w:val="231F20"/>
          <w:spacing w:val="3"/>
          <w:w w:val="110"/>
        </w:rPr>
        <w:t>As </w:t>
      </w:r>
      <w:r>
        <w:rPr>
          <w:color w:val="231F20"/>
          <w:spacing w:val="2"/>
          <w:w w:val="110"/>
        </w:rPr>
        <w:t>part </w:t>
      </w:r>
      <w:r>
        <w:rPr>
          <w:color w:val="231F20"/>
          <w:w w:val="110"/>
        </w:rPr>
        <w:t>of such consideration, the Assembly Commission or the Appeals  Commission shall be entitled to have regard to any conduct on the </w:t>
      </w:r>
      <w:r>
        <w:rPr>
          <w:color w:val="231F20"/>
          <w:spacing w:val="2"/>
          <w:w w:val="110"/>
        </w:rPr>
        <w:t>part </w:t>
      </w:r>
      <w:r>
        <w:rPr>
          <w:color w:val="231F20"/>
          <w:w w:val="110"/>
        </w:rPr>
        <w:t>of a Minister or CRCW occurring prior to his/her ordination to the ministry of Word and Sacrament or his/her commissioning to the ministry of Church related Community Work as the </w:t>
      </w:r>
      <w:r>
        <w:rPr>
          <w:color w:val="231F20"/>
          <w:spacing w:val="2"/>
          <w:w w:val="110"/>
        </w:rPr>
        <w:t>case </w:t>
      </w:r>
      <w:r>
        <w:rPr>
          <w:color w:val="231F20"/>
          <w:w w:val="110"/>
        </w:rPr>
        <w:t>may be which, in the Commission’s view and when viewed in the light of Schedule E or Schedule F to the Basis of Union, would have prevented, or was likely to have prevented, him/her </w:t>
      </w:r>
      <w:r>
        <w:rPr>
          <w:color w:val="231F20"/>
          <w:spacing w:val="2"/>
          <w:w w:val="110"/>
        </w:rPr>
        <w:t>from </w:t>
      </w:r>
      <w:r>
        <w:rPr>
          <w:color w:val="231F20"/>
          <w:w w:val="110"/>
        </w:rPr>
        <w:t>becoming ordained or commissioned, where such conduct was not  disclosed by the Minister or CRCW to those responsible for assessing his/her candidacy  for ordination or</w:t>
      </w:r>
      <w:r>
        <w:rPr>
          <w:color w:val="231F20"/>
          <w:spacing w:val="3"/>
          <w:w w:val="110"/>
        </w:rPr>
        <w:t> </w:t>
      </w:r>
      <w:r>
        <w:rPr>
          <w:color w:val="231F20"/>
          <w:w w:val="110"/>
        </w:rPr>
        <w:t>commissioning.</w:t>
      </w:r>
    </w:p>
    <w:p>
      <w:pPr>
        <w:pStyle w:val="BodyText"/>
        <w:spacing w:before="1"/>
        <w:rPr>
          <w:sz w:val="21"/>
        </w:rPr>
      </w:pPr>
    </w:p>
    <w:p>
      <w:pPr>
        <w:pStyle w:val="ListParagraph"/>
        <w:numPr>
          <w:ilvl w:val="0"/>
          <w:numId w:val="39"/>
        </w:numPr>
        <w:tabs>
          <w:tab w:pos="1807" w:val="left" w:leader="none"/>
          <w:tab w:pos="1808" w:val="left" w:leader="none"/>
          <w:tab w:pos="2374" w:val="left" w:leader="none"/>
        </w:tabs>
        <w:spacing w:line="273" w:lineRule="auto" w:before="0" w:after="0"/>
        <w:ind w:left="1240" w:right="1207" w:firstLine="0"/>
        <w:jc w:val="left"/>
        <w:rPr>
          <w:sz w:val="18"/>
        </w:rPr>
      </w:pPr>
      <w:r>
        <w:rPr>
          <w:color w:val="231F20"/>
          <w:spacing w:val="-6"/>
          <w:w w:val="110"/>
          <w:sz w:val="18"/>
        </w:rPr>
        <w:t>4.1</w:t>
        <w:tab/>
      </w:r>
      <w:r>
        <w:rPr>
          <w:color w:val="231F20"/>
          <w:w w:val="110"/>
          <w:sz w:val="18"/>
        </w:rPr>
        <w:t>A Minister or CRCW </w:t>
      </w:r>
      <w:r>
        <w:rPr>
          <w:color w:val="231F20"/>
          <w:spacing w:val="-3"/>
          <w:w w:val="110"/>
          <w:sz w:val="18"/>
        </w:rPr>
        <w:t>may </w:t>
      </w:r>
      <w:r>
        <w:rPr>
          <w:color w:val="231F20"/>
          <w:w w:val="110"/>
          <w:sz w:val="18"/>
        </w:rPr>
        <w:t>appeal against the decision of the Assembly Commission to delete his/her name from the Roll of Ministers or CRCWs under Section F of Part II or to issue a written warning under that Section by lodging a Notice of Appeal in accordance with the Rules of Procedure at Part </w:t>
      </w:r>
      <w:r>
        <w:rPr>
          <w:color w:val="231F20"/>
          <w:spacing w:val="-3"/>
          <w:w w:val="110"/>
          <w:sz w:val="18"/>
        </w:rPr>
        <w:t>II, </w:t>
      </w:r>
      <w:r>
        <w:rPr>
          <w:color w:val="231F20"/>
          <w:w w:val="110"/>
          <w:sz w:val="18"/>
        </w:rPr>
        <w:t>stating the ground/s of such</w:t>
      </w:r>
      <w:r>
        <w:rPr>
          <w:color w:val="231F20"/>
          <w:spacing w:val="-23"/>
          <w:w w:val="110"/>
          <w:sz w:val="18"/>
        </w:rPr>
        <w:t> </w:t>
      </w:r>
      <w:r>
        <w:rPr>
          <w:color w:val="231F20"/>
          <w:w w:val="110"/>
          <w:sz w:val="18"/>
        </w:rPr>
        <w:t>appeal.</w:t>
      </w:r>
    </w:p>
    <w:p>
      <w:pPr>
        <w:pStyle w:val="BodyText"/>
        <w:spacing w:before="9"/>
        <w:rPr>
          <w:sz w:val="20"/>
        </w:rPr>
      </w:pPr>
    </w:p>
    <w:p>
      <w:pPr>
        <w:pStyle w:val="ListParagraph"/>
        <w:numPr>
          <w:ilvl w:val="1"/>
          <w:numId w:val="40"/>
        </w:numPr>
        <w:tabs>
          <w:tab w:pos="1807" w:val="left" w:leader="none"/>
          <w:tab w:pos="1808" w:val="left" w:leader="none"/>
        </w:tabs>
        <w:spacing w:line="273" w:lineRule="auto" w:before="0" w:after="0"/>
        <w:ind w:left="1240" w:right="1226" w:firstLine="0"/>
        <w:jc w:val="left"/>
        <w:rPr>
          <w:sz w:val="18"/>
        </w:rPr>
      </w:pPr>
      <w:r>
        <w:rPr>
          <w:color w:val="231F20"/>
          <w:w w:val="110"/>
          <w:sz w:val="18"/>
        </w:rPr>
        <w:t>The Mandated Group of the Council which lodged the Referral Notice in </w:t>
      </w:r>
      <w:r>
        <w:rPr>
          <w:color w:val="231F20"/>
          <w:spacing w:val="-3"/>
          <w:w w:val="110"/>
          <w:sz w:val="18"/>
        </w:rPr>
        <w:t>any </w:t>
      </w:r>
      <w:r>
        <w:rPr>
          <w:color w:val="231F20"/>
          <w:w w:val="110"/>
          <w:sz w:val="18"/>
        </w:rPr>
        <w:t>case </w:t>
      </w:r>
      <w:r>
        <w:rPr>
          <w:color w:val="231F20"/>
          <w:spacing w:val="-3"/>
          <w:w w:val="110"/>
          <w:sz w:val="18"/>
        </w:rPr>
        <w:t>may </w:t>
      </w:r>
      <w:r>
        <w:rPr>
          <w:color w:val="231F20"/>
          <w:w w:val="110"/>
          <w:sz w:val="18"/>
        </w:rPr>
        <w:t>in the name of that Council appeal against the decision of the Assembly Commission not to delete the name of the Minister or CRCW from the Roll of Ministers or CRCWs by lodging a Notice of Appeal in accordance with the Rules of Procedure stating the ground/s of such appeal. In </w:t>
      </w:r>
      <w:r>
        <w:rPr>
          <w:color w:val="231F20"/>
          <w:spacing w:val="-3"/>
          <w:w w:val="110"/>
          <w:sz w:val="18"/>
        </w:rPr>
        <w:t>any </w:t>
      </w:r>
      <w:r>
        <w:rPr>
          <w:color w:val="231F20"/>
          <w:w w:val="110"/>
          <w:sz w:val="18"/>
        </w:rPr>
        <w:t>case where no written warning is attached to the decision not to delete, the Notice </w:t>
      </w:r>
      <w:r>
        <w:rPr>
          <w:color w:val="231F20"/>
          <w:spacing w:val="-3"/>
          <w:w w:val="110"/>
          <w:sz w:val="18"/>
        </w:rPr>
        <w:t>may </w:t>
      </w:r>
      <w:r>
        <w:rPr>
          <w:color w:val="231F20"/>
          <w:w w:val="110"/>
          <w:sz w:val="18"/>
        </w:rPr>
        <w:t>state, if the Mandated Group so desires, that the appeal is limited to the question of the issue of a written warning to the Minister or</w:t>
      </w:r>
      <w:r>
        <w:rPr>
          <w:color w:val="231F20"/>
          <w:spacing w:val="-40"/>
          <w:w w:val="110"/>
          <w:sz w:val="18"/>
        </w:rPr>
        <w:t> </w:t>
      </w:r>
      <w:r>
        <w:rPr>
          <w:color w:val="231F20"/>
          <w:spacing w:val="-3"/>
          <w:w w:val="110"/>
          <w:sz w:val="18"/>
        </w:rPr>
        <w:t>CRCW.</w:t>
      </w:r>
    </w:p>
    <w:p>
      <w:pPr>
        <w:pStyle w:val="BodyText"/>
        <w:spacing w:before="11"/>
        <w:rPr>
          <w:sz w:val="20"/>
        </w:rPr>
      </w:pPr>
    </w:p>
    <w:p>
      <w:pPr>
        <w:pStyle w:val="ListParagraph"/>
        <w:numPr>
          <w:ilvl w:val="1"/>
          <w:numId w:val="40"/>
        </w:numPr>
        <w:tabs>
          <w:tab w:pos="1807" w:val="left" w:leader="none"/>
          <w:tab w:pos="1808" w:val="left" w:leader="none"/>
        </w:tabs>
        <w:spacing w:line="273" w:lineRule="auto" w:before="0" w:after="0"/>
        <w:ind w:left="1240" w:right="1683" w:firstLine="0"/>
        <w:jc w:val="left"/>
        <w:rPr>
          <w:sz w:val="18"/>
        </w:rPr>
      </w:pPr>
      <w:r>
        <w:rPr>
          <w:color w:val="231F20"/>
          <w:w w:val="110"/>
          <w:sz w:val="18"/>
        </w:rPr>
        <w:t>No-one other than the </w:t>
      </w:r>
      <w:r>
        <w:rPr>
          <w:color w:val="231F20"/>
          <w:spacing w:val="2"/>
          <w:w w:val="110"/>
          <w:sz w:val="18"/>
        </w:rPr>
        <w:t>Parties </w:t>
      </w:r>
      <w:r>
        <w:rPr>
          <w:color w:val="231F20"/>
          <w:w w:val="110"/>
          <w:sz w:val="18"/>
        </w:rPr>
        <w:t>has any right of appeal </w:t>
      </w:r>
      <w:r>
        <w:rPr>
          <w:color w:val="231F20"/>
          <w:spacing w:val="2"/>
          <w:w w:val="110"/>
          <w:sz w:val="18"/>
        </w:rPr>
        <w:t>from </w:t>
      </w:r>
      <w:r>
        <w:rPr>
          <w:color w:val="231F20"/>
          <w:w w:val="110"/>
          <w:sz w:val="18"/>
        </w:rPr>
        <w:t>the decision of the Assembly</w:t>
      </w:r>
      <w:r>
        <w:rPr>
          <w:color w:val="231F20"/>
          <w:spacing w:val="1"/>
          <w:w w:val="110"/>
          <w:sz w:val="18"/>
        </w:rPr>
        <w:t> </w:t>
      </w:r>
      <w:r>
        <w:rPr>
          <w:color w:val="231F20"/>
          <w:w w:val="110"/>
          <w:sz w:val="18"/>
        </w:rPr>
        <w:t>Commission.</w:t>
      </w:r>
    </w:p>
    <w:p>
      <w:pPr>
        <w:pStyle w:val="BodyText"/>
        <w:spacing w:before="8"/>
        <w:rPr>
          <w:sz w:val="20"/>
        </w:rPr>
      </w:pPr>
    </w:p>
    <w:p>
      <w:pPr>
        <w:pStyle w:val="ListParagraph"/>
        <w:numPr>
          <w:ilvl w:val="0"/>
          <w:numId w:val="39"/>
        </w:numPr>
        <w:tabs>
          <w:tab w:pos="1807" w:val="left" w:leader="none"/>
          <w:tab w:pos="1808" w:val="left" w:leader="none"/>
        </w:tabs>
        <w:spacing w:line="273" w:lineRule="auto" w:before="0" w:after="0"/>
        <w:ind w:left="1240" w:right="1356" w:firstLine="0"/>
        <w:jc w:val="left"/>
        <w:rPr>
          <w:sz w:val="18"/>
        </w:rPr>
      </w:pPr>
      <w:r>
        <w:rPr>
          <w:color w:val="231F20"/>
          <w:w w:val="110"/>
          <w:sz w:val="18"/>
        </w:rPr>
        <w:t>Procedural </w:t>
      </w:r>
      <w:r>
        <w:rPr>
          <w:color w:val="231F20"/>
          <w:spacing w:val="2"/>
          <w:w w:val="110"/>
          <w:sz w:val="18"/>
        </w:rPr>
        <w:t>matters </w:t>
      </w:r>
      <w:r>
        <w:rPr>
          <w:color w:val="231F20"/>
          <w:w w:val="110"/>
          <w:sz w:val="18"/>
        </w:rPr>
        <w:t>shall in every </w:t>
      </w:r>
      <w:r>
        <w:rPr>
          <w:color w:val="231F20"/>
          <w:spacing w:val="2"/>
          <w:w w:val="110"/>
          <w:sz w:val="18"/>
        </w:rPr>
        <w:t>case </w:t>
      </w:r>
      <w:r>
        <w:rPr>
          <w:color w:val="231F20"/>
          <w:w w:val="110"/>
          <w:sz w:val="18"/>
        </w:rPr>
        <w:t>be dealt with in accordance with the Rules of Procedure as contained in </w:t>
      </w:r>
      <w:r>
        <w:rPr>
          <w:color w:val="231F20"/>
          <w:spacing w:val="2"/>
          <w:w w:val="110"/>
          <w:sz w:val="18"/>
        </w:rPr>
        <w:t>Part</w:t>
      </w:r>
      <w:r>
        <w:rPr>
          <w:color w:val="231F20"/>
          <w:spacing w:val="8"/>
          <w:w w:val="110"/>
          <w:sz w:val="18"/>
        </w:rPr>
        <w:t> </w:t>
      </w:r>
      <w:r>
        <w:rPr>
          <w:color w:val="231F20"/>
          <w:w w:val="110"/>
          <w:sz w:val="18"/>
        </w:rPr>
        <w:t>II.</w:t>
      </w:r>
    </w:p>
    <w:p>
      <w:pPr>
        <w:pStyle w:val="BodyText"/>
        <w:spacing w:before="8"/>
        <w:rPr>
          <w:sz w:val="20"/>
        </w:rPr>
      </w:pPr>
    </w:p>
    <w:p>
      <w:pPr>
        <w:pStyle w:val="ListParagraph"/>
        <w:numPr>
          <w:ilvl w:val="0"/>
          <w:numId w:val="39"/>
        </w:numPr>
        <w:tabs>
          <w:tab w:pos="1807" w:val="left" w:leader="none"/>
          <w:tab w:pos="1808" w:val="left" w:leader="none"/>
          <w:tab w:pos="2374" w:val="left" w:leader="none"/>
        </w:tabs>
        <w:spacing w:line="273" w:lineRule="auto" w:before="1" w:after="0"/>
        <w:ind w:left="1240" w:right="1357" w:firstLine="0"/>
        <w:jc w:val="left"/>
        <w:rPr>
          <w:sz w:val="18"/>
        </w:rPr>
      </w:pPr>
      <w:r>
        <w:rPr>
          <w:color w:val="231F20"/>
          <w:spacing w:val="-4"/>
          <w:w w:val="110"/>
          <w:sz w:val="18"/>
        </w:rPr>
        <w:t>6.1</w:t>
        <w:tab/>
      </w:r>
      <w:r>
        <w:rPr>
          <w:color w:val="231F20"/>
          <w:w w:val="110"/>
          <w:sz w:val="18"/>
        </w:rPr>
        <w:t>Save only as provided in Paragraph 6.2, this </w:t>
      </w:r>
      <w:r>
        <w:rPr>
          <w:color w:val="231F20"/>
          <w:spacing w:val="2"/>
          <w:w w:val="110"/>
          <w:sz w:val="18"/>
        </w:rPr>
        <w:t>Part </w:t>
      </w:r>
      <w:r>
        <w:rPr>
          <w:color w:val="231F20"/>
          <w:w w:val="110"/>
          <w:sz w:val="18"/>
        </w:rPr>
        <w:t>I 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is subject to Paragraph </w:t>
      </w:r>
      <w:r>
        <w:rPr>
          <w:color w:val="231F20"/>
          <w:spacing w:val="-9"/>
          <w:w w:val="110"/>
          <w:sz w:val="18"/>
        </w:rPr>
        <w:t>3(1) </w:t>
      </w:r>
      <w:r>
        <w:rPr>
          <w:color w:val="231F20"/>
          <w:w w:val="110"/>
          <w:sz w:val="18"/>
        </w:rPr>
        <w:t>of the</w:t>
      </w:r>
      <w:r>
        <w:rPr>
          <w:color w:val="231F20"/>
          <w:spacing w:val="22"/>
          <w:w w:val="110"/>
          <w:sz w:val="18"/>
        </w:rPr>
        <w:t> </w:t>
      </w:r>
      <w:r>
        <w:rPr>
          <w:color w:val="231F20"/>
          <w:w w:val="110"/>
          <w:sz w:val="18"/>
        </w:rPr>
        <w:t>Structure.</w:t>
      </w:r>
    </w:p>
    <w:p>
      <w:pPr>
        <w:pStyle w:val="BodyText"/>
        <w:spacing w:before="8"/>
        <w:rPr>
          <w:sz w:val="20"/>
        </w:rPr>
      </w:pPr>
    </w:p>
    <w:p>
      <w:pPr>
        <w:pStyle w:val="ListParagraph"/>
        <w:numPr>
          <w:ilvl w:val="1"/>
          <w:numId w:val="41"/>
        </w:numPr>
        <w:tabs>
          <w:tab w:pos="1807" w:val="left" w:leader="none"/>
          <w:tab w:pos="1808" w:val="left" w:leader="none"/>
        </w:tabs>
        <w:spacing w:line="273" w:lineRule="auto" w:before="0" w:after="0"/>
        <w:ind w:left="1240" w:right="1133" w:firstLine="0"/>
        <w:jc w:val="left"/>
        <w:rPr>
          <w:sz w:val="18"/>
        </w:rPr>
      </w:pPr>
      <w:r>
        <w:rPr>
          <w:color w:val="231F20"/>
          <w:w w:val="110"/>
          <w:sz w:val="18"/>
        </w:rPr>
        <w:t>Mission Council acting in the name of General Assembly has authority by single resolution of that Council to make as and when </w:t>
      </w:r>
      <w:r>
        <w:rPr>
          <w:color w:val="231F20"/>
          <w:spacing w:val="2"/>
          <w:w w:val="110"/>
          <w:sz w:val="18"/>
        </w:rPr>
        <w:t>necessary </w:t>
      </w:r>
      <w:r>
        <w:rPr>
          <w:color w:val="231F20"/>
          <w:w w:val="110"/>
          <w:sz w:val="18"/>
        </w:rPr>
        <w:t>and with immediate </w:t>
      </w:r>
      <w:r>
        <w:rPr>
          <w:color w:val="231F20"/>
          <w:spacing w:val="3"/>
          <w:w w:val="110"/>
          <w:sz w:val="18"/>
        </w:rPr>
        <w:t>effect  </w:t>
      </w:r>
      <w:r>
        <w:rPr>
          <w:color w:val="231F20"/>
          <w:w w:val="110"/>
          <w:sz w:val="18"/>
        </w:rPr>
        <w:t>such changes to </w:t>
      </w:r>
      <w:r>
        <w:rPr>
          <w:color w:val="231F20"/>
          <w:spacing w:val="2"/>
          <w:w w:val="110"/>
          <w:sz w:val="18"/>
        </w:rPr>
        <w:t>Part </w:t>
      </w:r>
      <w:r>
        <w:rPr>
          <w:color w:val="231F20"/>
          <w:w w:val="110"/>
          <w:sz w:val="18"/>
        </w:rPr>
        <w:t>I as are, on the advice of the legal advisers to the United Reformed Church, required to bring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into line with the general law of the land consequent upon any changes in legislation and/or </w:t>
      </w:r>
      <w:r>
        <w:rPr>
          <w:color w:val="231F20"/>
          <w:spacing w:val="2"/>
          <w:w w:val="110"/>
          <w:sz w:val="18"/>
        </w:rPr>
        <w:t>case</w:t>
      </w:r>
      <w:r>
        <w:rPr>
          <w:color w:val="231F20"/>
          <w:spacing w:val="18"/>
          <w:w w:val="110"/>
          <w:sz w:val="18"/>
        </w:rPr>
        <w:t> </w:t>
      </w:r>
      <w:r>
        <w:rPr>
          <w:color w:val="231F20"/>
          <w:spacing w:val="-3"/>
          <w:w w:val="110"/>
          <w:sz w:val="18"/>
        </w:rPr>
        <w:t>law.</w:t>
      </w:r>
    </w:p>
    <w:p>
      <w:pPr>
        <w:pStyle w:val="BodyText"/>
        <w:spacing w:before="10"/>
        <w:rPr>
          <w:sz w:val="20"/>
        </w:rPr>
      </w:pPr>
    </w:p>
    <w:p>
      <w:pPr>
        <w:pStyle w:val="ListParagraph"/>
        <w:numPr>
          <w:ilvl w:val="1"/>
          <w:numId w:val="41"/>
        </w:numPr>
        <w:tabs>
          <w:tab w:pos="1807" w:val="left" w:leader="none"/>
          <w:tab w:pos="1808" w:val="left" w:leader="none"/>
        </w:tabs>
        <w:spacing w:line="273" w:lineRule="auto" w:before="0" w:after="0"/>
        <w:ind w:left="1240" w:right="1441" w:firstLine="0"/>
        <w:jc w:val="left"/>
        <w:rPr>
          <w:sz w:val="18"/>
        </w:rPr>
      </w:pPr>
      <w:r>
        <w:rPr>
          <w:color w:val="231F20"/>
          <w:w w:val="110"/>
          <w:sz w:val="18"/>
        </w:rPr>
        <w:t>All such changes to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as are made by Mission Council under Paragraph 6.2 shall be </w:t>
      </w:r>
      <w:r>
        <w:rPr>
          <w:color w:val="231F20"/>
          <w:spacing w:val="2"/>
          <w:w w:val="110"/>
          <w:sz w:val="18"/>
        </w:rPr>
        <w:t>reported </w:t>
      </w:r>
      <w:r>
        <w:rPr>
          <w:color w:val="231F20"/>
          <w:w w:val="110"/>
          <w:sz w:val="18"/>
        </w:rPr>
        <w:t>to the </w:t>
      </w:r>
      <w:r>
        <w:rPr>
          <w:color w:val="231F20"/>
          <w:spacing w:val="2"/>
          <w:w w:val="110"/>
          <w:sz w:val="18"/>
        </w:rPr>
        <w:t>next </w:t>
      </w:r>
      <w:r>
        <w:rPr>
          <w:color w:val="231F20"/>
          <w:w w:val="110"/>
          <w:sz w:val="18"/>
        </w:rPr>
        <w:t>meeting of the General</w:t>
      </w:r>
      <w:r>
        <w:rPr>
          <w:color w:val="231F20"/>
          <w:spacing w:val="61"/>
          <w:w w:val="110"/>
          <w:sz w:val="18"/>
        </w:rPr>
        <w:t> </w:t>
      </w:r>
      <w:r>
        <w:rPr>
          <w:color w:val="231F20"/>
          <w:w w:val="110"/>
          <w:sz w:val="18"/>
        </w:rPr>
        <w:t>Assembly.</w:t>
      </w:r>
    </w:p>
    <w:p>
      <w:pPr>
        <w:spacing w:after="0" w:line="273" w:lineRule="auto"/>
        <w:jc w:val="left"/>
        <w:rPr>
          <w:sz w:val="18"/>
        </w:rPr>
        <w:sectPr>
          <w:pgSz w:w="11910" w:h="16840"/>
          <w:pgMar w:header="581" w:footer="544" w:top="860" w:bottom="740" w:left="460" w:right="0"/>
        </w:sectPr>
      </w:pPr>
    </w:p>
    <w:p>
      <w:pPr>
        <w:pStyle w:val="BodyText"/>
        <w:spacing w:before="2"/>
        <w:rPr>
          <w:sz w:val="15"/>
        </w:rPr>
      </w:pPr>
    </w:p>
    <w:p>
      <w:pPr>
        <w:spacing w:after="0"/>
        <w:rPr>
          <w:sz w:val="15"/>
        </w:rPr>
        <w:sectPr>
          <w:pgSz w:w="11910" w:h="16840"/>
          <w:pgMar w:header="581" w:footer="464" w:top="860" w:bottom="740" w:left="460" w:right="0"/>
        </w:sectPr>
      </w:pPr>
    </w:p>
    <w:p>
      <w:pPr>
        <w:pStyle w:val="Heading5"/>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51"/>
          <w:w w:val="111"/>
        </w:rPr>
        <w:t>O</w:t>
      </w:r>
      <w:r>
        <w:rPr>
          <w:color w:val="231F20"/>
          <w:spacing w:val="-151"/>
          <w:w w:val="112"/>
          <w:position w:val="-20"/>
          <w:sz w:val="50"/>
        </w:rPr>
        <w:t>1</w:t>
      </w:r>
      <w:r>
        <w:rPr>
          <w:color w:val="FFFFFF"/>
          <w:spacing w:val="-273"/>
          <w:w w:val="111"/>
        </w:rPr>
        <w:t>N</w:t>
      </w:r>
      <w:r>
        <w:rPr>
          <w:color w:val="231F20"/>
          <w:spacing w:val="-17"/>
          <w:w w:val="112"/>
          <w:position w:val="-20"/>
          <w:sz w:val="50"/>
        </w:rPr>
        <w:t>8</w:t>
      </w:r>
    </w:p>
    <w:p>
      <w:pPr>
        <w:pStyle w:val="BodyText"/>
        <w:rPr>
          <w:b/>
          <w:sz w:val="24"/>
        </w:rPr>
      </w:pPr>
      <w:r>
        <w:rPr/>
        <w:br w:type="column"/>
      </w:r>
      <w:r>
        <w:rPr>
          <w:b/>
          <w:sz w:val="24"/>
        </w:rPr>
      </w:r>
    </w:p>
    <w:p>
      <w:pPr>
        <w:pStyle w:val="BodyText"/>
        <w:spacing w:before="5"/>
        <w:rPr>
          <w:b/>
          <w:sz w:val="20"/>
        </w:rPr>
      </w:pPr>
    </w:p>
    <w:p>
      <w:pPr>
        <w:spacing w:line="247" w:lineRule="auto" w:before="0"/>
        <w:ind w:left="803" w:right="1699" w:hanging="7"/>
        <w:jc w:val="right"/>
        <w:rPr>
          <w:b/>
          <w:sz w:val="20"/>
        </w:rPr>
      </w:pPr>
      <w:r>
        <w:rPr>
          <w:b/>
          <w:color w:val="231F20"/>
          <w:w w:val="110"/>
          <w:sz w:val="20"/>
        </w:rPr>
        <w:t>Changes to the Basis of</w:t>
      </w:r>
      <w:r>
        <w:rPr>
          <w:b/>
          <w:color w:val="231F20"/>
          <w:spacing w:val="14"/>
          <w:w w:val="110"/>
          <w:sz w:val="20"/>
        </w:rPr>
        <w:t> </w:t>
      </w:r>
      <w:r>
        <w:rPr>
          <w:b/>
          <w:color w:val="231F20"/>
          <w:w w:val="110"/>
          <w:sz w:val="20"/>
        </w:rPr>
        <w:t>Union</w:t>
      </w:r>
      <w:r>
        <w:rPr>
          <w:b/>
          <w:color w:val="231F20"/>
          <w:spacing w:val="3"/>
          <w:w w:val="110"/>
          <w:sz w:val="20"/>
        </w:rPr>
        <w:t> </w:t>
      </w:r>
      <w:r>
        <w:rPr>
          <w:b/>
          <w:color w:val="231F20"/>
          <w:w w:val="110"/>
          <w:sz w:val="20"/>
        </w:rPr>
        <w:t>to include CRCWs in the</w:t>
      </w:r>
      <w:r>
        <w:rPr>
          <w:b/>
          <w:color w:val="231F20"/>
          <w:spacing w:val="7"/>
          <w:w w:val="110"/>
          <w:sz w:val="20"/>
        </w:rPr>
        <w:t> </w:t>
      </w:r>
      <w:r>
        <w:rPr>
          <w:b/>
          <w:color w:val="231F20"/>
          <w:w w:val="110"/>
          <w:sz w:val="20"/>
        </w:rPr>
        <w:t>ministerial</w:t>
      </w:r>
    </w:p>
    <w:p>
      <w:pPr>
        <w:spacing w:line="242" w:lineRule="exact" w:before="0"/>
        <w:ind w:left="0" w:right="1698" w:firstLine="0"/>
        <w:jc w:val="right"/>
        <w:rPr>
          <w:b/>
          <w:sz w:val="20"/>
        </w:rPr>
      </w:pPr>
      <w:r>
        <w:rPr>
          <w:b/>
          <w:color w:val="231F20"/>
          <w:w w:val="110"/>
          <w:sz w:val="20"/>
        </w:rPr>
        <w:t>disciplinary</w:t>
      </w:r>
      <w:r>
        <w:rPr>
          <w:b/>
          <w:color w:val="231F20"/>
          <w:spacing w:val="11"/>
          <w:w w:val="110"/>
          <w:sz w:val="20"/>
        </w:rPr>
        <w:t> </w:t>
      </w:r>
      <w:r>
        <w:rPr>
          <w:b/>
          <w:color w:val="231F20"/>
          <w:spacing w:val="2"/>
          <w:w w:val="110"/>
          <w:sz w:val="20"/>
        </w:rPr>
        <w:t>process</w:t>
      </w:r>
    </w:p>
    <w:p>
      <w:pPr>
        <w:spacing w:before="27"/>
        <w:ind w:left="0" w:right="1699" w:firstLine="0"/>
        <w:jc w:val="right"/>
        <w:rPr>
          <w:i/>
          <w:sz w:val="18"/>
        </w:rPr>
      </w:pPr>
      <w:r>
        <w:rPr>
          <w:i/>
          <w:color w:val="231F20"/>
          <w:w w:val="110"/>
          <w:sz w:val="18"/>
        </w:rPr>
        <w:t>(Report page 53 para</w:t>
      </w:r>
      <w:r>
        <w:rPr>
          <w:i/>
          <w:color w:val="231F20"/>
          <w:spacing w:val="38"/>
          <w:w w:val="110"/>
          <w:sz w:val="18"/>
        </w:rPr>
        <w:t> </w:t>
      </w:r>
      <w:r>
        <w:rPr>
          <w:i/>
          <w:color w:val="231F20"/>
          <w:spacing w:val="-6"/>
          <w:w w:val="110"/>
          <w:sz w:val="18"/>
        </w:rPr>
        <w:t>6.3.16)</w:t>
      </w:r>
    </w:p>
    <w:p>
      <w:pPr>
        <w:spacing w:after="0"/>
        <w:jc w:val="right"/>
        <w:rPr>
          <w:sz w:val="18"/>
        </w:rPr>
        <w:sectPr>
          <w:type w:val="continuous"/>
          <w:pgSz w:w="11910" w:h="16840"/>
          <w:pgMar w:top="680" w:bottom="280" w:left="460" w:right="0"/>
          <w:cols w:num="2" w:equalWidth="0">
            <w:col w:w="4478" w:space="419"/>
            <w:col w:w="6553"/>
          </w:cols>
        </w:sectPr>
      </w:pPr>
    </w:p>
    <w:p>
      <w:pPr>
        <w:pStyle w:val="BodyText"/>
        <w:spacing w:before="11"/>
        <w:rPr>
          <w:i/>
          <w:sz w:val="14"/>
        </w:rPr>
      </w:pPr>
      <w:r>
        <w:rPr/>
        <w:pict>
          <v:group style="position:absolute;margin-left:17.007999pt;margin-top:58.819046pt;width:542pt;height:733.75pt;mso-position-horizontal-relative:page;mso-position-vertical-relative:page;z-index:-275539968" coordorigin="340,1176" coordsize="10840,14675">
            <v:shape style="position:absolute;left:840;top:1176;width:9932;height:14528" type="#_x0000_t75" stroked="false">
              <v:imagedata r:id="rId79" o:title=""/>
            </v:shape>
            <v:shape style="position:absolute;left:1143;top:1259;width:4016;height:630" coordorigin="1143,1260" coordsize="4016,630" path="m5159,1586l1301,1586,1301,1260,1143,1260,1143,1586,1143,1890,5159,1890,5159,1586e" filled="true" fillcolor="#d8dadc" stroked="false">
              <v:path arrowok="t"/>
              <v:fill type="solid"/>
            </v:shape>
            <v:line style="position:absolute" from="1143,1254" to="5159,1254" stroked="true" strokeweight=".6pt" strokecolor="#d8dadc">
              <v:stroke dashstyle="solid"/>
            </v:line>
            <v:shape style="position:absolute;left:1301;top:1259;width:3858;height:327" coordorigin="1301,1260" coordsize="3858,327" path="m5159,1260l4744,1260,1301,1260,1301,1587,4744,1587,5159,1587,5159,1260e" filled="true" fillcolor="#d8dadc" stroked="false">
              <v:path arrowok="t"/>
              <v:fill type="solid"/>
            </v:shape>
            <v:rect style="position:absolute;left:340;top:15080;width:10840;height:772" filled="true" fillcolor="#ffffff" stroked="false">
              <v:fill type="solid"/>
            </v:rect>
            <w10:wrap type="none"/>
          </v:group>
        </w:pict>
      </w:r>
    </w:p>
    <w:p>
      <w:pPr>
        <w:spacing w:before="100"/>
        <w:ind w:left="673" w:right="0" w:firstLine="0"/>
        <w:jc w:val="left"/>
        <w:rPr>
          <w:i/>
          <w:sz w:val="18"/>
        </w:rPr>
      </w:pPr>
      <w:r>
        <w:rPr>
          <w:i/>
          <w:color w:val="231F20"/>
          <w:w w:val="110"/>
          <w:sz w:val="18"/>
        </w:rPr>
        <w:t>Resolution 18 makes changes to the Basis of Union to bring church-related community</w:t>
      </w:r>
    </w:p>
    <w:p>
      <w:pPr>
        <w:spacing w:before="31"/>
        <w:ind w:left="673" w:right="0" w:firstLine="0"/>
        <w:jc w:val="left"/>
        <w:rPr>
          <w:i/>
          <w:sz w:val="18"/>
        </w:rPr>
      </w:pPr>
      <w:r>
        <w:rPr>
          <w:i/>
          <w:color w:val="231F20"/>
          <w:w w:val="110"/>
          <w:sz w:val="18"/>
        </w:rPr>
        <w:t>workers within the ambit of the Church’s ministerial disciplinary process</w:t>
      </w:r>
    </w:p>
    <w:p>
      <w:pPr>
        <w:pStyle w:val="BodyText"/>
        <w:rPr>
          <w:i/>
          <w:sz w:val="22"/>
        </w:rPr>
      </w:pPr>
    </w:p>
    <w:p>
      <w:pPr>
        <w:pStyle w:val="BodyText"/>
        <w:spacing w:before="9"/>
        <w:rPr>
          <w:i/>
          <w:sz w:val="21"/>
        </w:rPr>
      </w:pPr>
    </w:p>
    <w:p>
      <w:pPr>
        <w:pStyle w:val="BodyText"/>
        <w:spacing w:line="273" w:lineRule="auto"/>
        <w:ind w:left="673" w:right="1829"/>
      </w:pPr>
      <w:r>
        <w:rPr>
          <w:color w:val="231F20"/>
          <w:w w:val="110"/>
        </w:rPr>
        <w:t>General Assembly agrees to make the following changes to the Basis of Union to provide for the Section O process to include church-related community workers:</w:t>
      </w:r>
    </w:p>
    <w:p>
      <w:pPr>
        <w:pStyle w:val="BodyText"/>
        <w:spacing w:before="8"/>
        <w:rPr>
          <w:sz w:val="20"/>
        </w:rPr>
      </w:pPr>
    </w:p>
    <w:p>
      <w:pPr>
        <w:spacing w:before="0"/>
        <w:ind w:left="673" w:right="0" w:firstLine="0"/>
        <w:jc w:val="left"/>
        <w:rPr>
          <w:b/>
          <w:sz w:val="18"/>
        </w:rPr>
      </w:pPr>
      <w:r>
        <w:rPr>
          <w:b/>
          <w:color w:val="231F20"/>
          <w:w w:val="110"/>
          <w:sz w:val="18"/>
        </w:rPr>
        <w:t>Paragraph 20</w:t>
      </w:r>
    </w:p>
    <w:p>
      <w:pPr>
        <w:pStyle w:val="BodyText"/>
        <w:spacing w:before="2"/>
        <w:rPr>
          <w:b/>
          <w:sz w:val="23"/>
        </w:rPr>
      </w:pPr>
    </w:p>
    <w:p>
      <w:pPr>
        <w:pStyle w:val="BodyText"/>
        <w:ind w:left="673"/>
      </w:pPr>
      <w:r>
        <w:rPr>
          <w:color w:val="231F20"/>
          <w:w w:val="110"/>
        </w:rPr>
        <w:t>Add the following sentences at the end of the paragraph:</w:t>
      </w:r>
    </w:p>
    <w:p>
      <w:pPr>
        <w:pStyle w:val="BodyText"/>
        <w:spacing w:before="2"/>
        <w:rPr>
          <w:sz w:val="23"/>
        </w:rPr>
      </w:pPr>
    </w:p>
    <w:p>
      <w:pPr>
        <w:spacing w:line="273" w:lineRule="auto" w:before="0"/>
        <w:ind w:left="673" w:right="1829" w:firstLine="0"/>
        <w:jc w:val="left"/>
        <w:rPr>
          <w:b/>
          <w:sz w:val="18"/>
        </w:rPr>
      </w:pPr>
      <w:r>
        <w:rPr>
          <w:b/>
          <w:color w:val="231F20"/>
          <w:w w:val="110"/>
          <w:sz w:val="18"/>
        </w:rPr>
        <w:t>In the United Reformed Church all ministries within the life of the Church shall be open to </w:t>
      </w:r>
      <w:r>
        <w:rPr>
          <w:b/>
          <w:color w:val="231F20"/>
          <w:spacing w:val="2"/>
          <w:w w:val="110"/>
          <w:sz w:val="18"/>
        </w:rPr>
        <w:t>both </w:t>
      </w:r>
      <w:r>
        <w:rPr>
          <w:b/>
          <w:color w:val="231F20"/>
          <w:w w:val="110"/>
          <w:sz w:val="18"/>
        </w:rPr>
        <w:t>men and women. Appropriate affirmations of faith shall be made by </w:t>
      </w:r>
      <w:r>
        <w:rPr>
          <w:b/>
          <w:color w:val="231F20"/>
          <w:spacing w:val="2"/>
          <w:w w:val="110"/>
          <w:sz w:val="18"/>
        </w:rPr>
        <w:t>those </w:t>
      </w:r>
      <w:r>
        <w:rPr>
          <w:b/>
          <w:color w:val="231F20"/>
          <w:w w:val="110"/>
          <w:sz w:val="18"/>
        </w:rPr>
        <w:t>entering upon all ministries within the life of the</w:t>
      </w:r>
      <w:r>
        <w:rPr>
          <w:b/>
          <w:color w:val="231F20"/>
          <w:spacing w:val="67"/>
          <w:w w:val="110"/>
          <w:sz w:val="18"/>
        </w:rPr>
        <w:t> </w:t>
      </w:r>
      <w:r>
        <w:rPr>
          <w:b/>
          <w:color w:val="231F20"/>
          <w:w w:val="110"/>
          <w:sz w:val="18"/>
        </w:rPr>
        <w:t>Church.</w:t>
      </w:r>
    </w:p>
    <w:p>
      <w:pPr>
        <w:pStyle w:val="BodyText"/>
        <w:spacing w:before="8"/>
        <w:rPr>
          <w:b/>
          <w:sz w:val="20"/>
        </w:rPr>
      </w:pPr>
    </w:p>
    <w:p>
      <w:pPr>
        <w:spacing w:before="1"/>
        <w:ind w:left="673" w:right="0" w:firstLine="0"/>
        <w:jc w:val="left"/>
        <w:rPr>
          <w:b/>
          <w:sz w:val="18"/>
        </w:rPr>
      </w:pPr>
      <w:r>
        <w:rPr>
          <w:b/>
          <w:color w:val="231F20"/>
          <w:w w:val="110"/>
          <w:sz w:val="18"/>
        </w:rPr>
        <w:t>Paragraph 21</w:t>
      </w:r>
    </w:p>
    <w:p>
      <w:pPr>
        <w:pStyle w:val="BodyText"/>
        <w:spacing w:before="1"/>
        <w:rPr>
          <w:b/>
          <w:sz w:val="23"/>
        </w:rPr>
      </w:pPr>
    </w:p>
    <w:p>
      <w:pPr>
        <w:spacing w:before="0"/>
        <w:ind w:left="673" w:right="0" w:firstLine="0"/>
        <w:jc w:val="left"/>
        <w:rPr>
          <w:b/>
          <w:sz w:val="18"/>
        </w:rPr>
      </w:pPr>
      <w:r>
        <w:rPr>
          <w:color w:val="231F20"/>
          <w:w w:val="110"/>
          <w:sz w:val="18"/>
        </w:rPr>
        <w:t>After the words </w:t>
      </w:r>
      <w:r>
        <w:rPr>
          <w:b/>
          <w:color w:val="231F20"/>
          <w:w w:val="110"/>
          <w:sz w:val="18"/>
        </w:rPr>
        <w:t>‘to their office.’ </w:t>
      </w:r>
      <w:r>
        <w:rPr>
          <w:color w:val="231F20"/>
          <w:w w:val="110"/>
          <w:sz w:val="18"/>
        </w:rPr>
        <w:t>add a new sentence as follows</w:t>
      </w:r>
      <w:r>
        <w:rPr>
          <w:b/>
          <w:color w:val="231F20"/>
          <w:w w:val="110"/>
          <w:sz w:val="18"/>
        </w:rPr>
        <w:t>:</w:t>
      </w:r>
    </w:p>
    <w:p>
      <w:pPr>
        <w:pStyle w:val="BodyText"/>
        <w:spacing w:before="2"/>
        <w:rPr>
          <w:b/>
          <w:sz w:val="23"/>
        </w:rPr>
      </w:pPr>
    </w:p>
    <w:p>
      <w:pPr>
        <w:spacing w:line="273" w:lineRule="auto" w:before="0"/>
        <w:ind w:left="673" w:right="2348" w:firstLine="0"/>
        <w:jc w:val="left"/>
        <w:rPr>
          <w:b/>
          <w:sz w:val="18"/>
        </w:rPr>
      </w:pPr>
      <w:r>
        <w:rPr>
          <w:b/>
          <w:color w:val="231F20"/>
          <w:w w:val="110"/>
          <w:sz w:val="18"/>
        </w:rPr>
        <w:t>The ordination and induction of ministers shall be in accordance with Schedules C and D.</w:t>
      </w:r>
    </w:p>
    <w:p>
      <w:pPr>
        <w:pStyle w:val="BodyText"/>
        <w:spacing w:before="8"/>
        <w:rPr>
          <w:b/>
          <w:sz w:val="20"/>
        </w:rPr>
      </w:pPr>
    </w:p>
    <w:p>
      <w:pPr>
        <w:pStyle w:val="BodyText"/>
        <w:ind w:left="673"/>
      </w:pPr>
      <w:r>
        <w:rPr>
          <w:color w:val="231F20"/>
          <w:w w:val="110"/>
        </w:rPr>
        <w:t>After the first paragraph, add an additional paragraph as follows:</w:t>
      </w:r>
    </w:p>
    <w:p>
      <w:pPr>
        <w:pStyle w:val="BodyText"/>
        <w:spacing w:before="2"/>
        <w:rPr>
          <w:sz w:val="23"/>
        </w:rPr>
      </w:pPr>
    </w:p>
    <w:p>
      <w:pPr>
        <w:spacing w:line="273" w:lineRule="auto" w:before="0"/>
        <w:ind w:left="673" w:right="2219" w:firstLine="0"/>
        <w:jc w:val="left"/>
        <w:rPr>
          <w:b/>
          <w:sz w:val="18"/>
        </w:rPr>
      </w:pPr>
      <w:r>
        <w:rPr>
          <w:b/>
          <w:color w:val="231F20"/>
          <w:w w:val="110"/>
          <w:sz w:val="18"/>
        </w:rPr>
        <w:t>The totality of ministers who fall within any of the categories defined within Schedule E, Paragraph 1 and are in good standing may be referred to as the Roll of Ministers. Ministers shall conduct their ministry according to the criteria set out in Schedule E.</w:t>
      </w:r>
    </w:p>
    <w:p>
      <w:pPr>
        <w:pStyle w:val="BodyText"/>
        <w:spacing w:before="9"/>
        <w:rPr>
          <w:b/>
          <w:sz w:val="20"/>
        </w:rPr>
      </w:pPr>
    </w:p>
    <w:p>
      <w:pPr>
        <w:spacing w:before="1"/>
        <w:ind w:left="673" w:right="0" w:firstLine="0"/>
        <w:jc w:val="left"/>
        <w:rPr>
          <w:b/>
          <w:sz w:val="18"/>
        </w:rPr>
      </w:pPr>
      <w:r>
        <w:rPr>
          <w:b/>
          <w:color w:val="231F20"/>
          <w:w w:val="110"/>
          <w:sz w:val="18"/>
        </w:rPr>
        <w:t>Paragraph 22</w:t>
      </w:r>
    </w:p>
    <w:p>
      <w:pPr>
        <w:pStyle w:val="BodyText"/>
        <w:spacing w:before="1"/>
        <w:rPr>
          <w:b/>
          <w:sz w:val="23"/>
        </w:rPr>
      </w:pPr>
    </w:p>
    <w:p>
      <w:pPr>
        <w:spacing w:line="273" w:lineRule="auto" w:before="0"/>
        <w:ind w:left="673" w:right="1829" w:firstLine="0"/>
        <w:jc w:val="left"/>
        <w:rPr>
          <w:sz w:val="18"/>
        </w:rPr>
      </w:pPr>
      <w:r>
        <w:rPr>
          <w:color w:val="231F20"/>
          <w:w w:val="110"/>
          <w:sz w:val="18"/>
        </w:rPr>
        <w:t>Replace the words </w:t>
      </w:r>
      <w:r>
        <w:rPr>
          <w:b/>
          <w:color w:val="231F20"/>
          <w:w w:val="110"/>
          <w:sz w:val="18"/>
        </w:rPr>
        <w:t>‘and are then commissioned and inducted to their </w:t>
      </w:r>
      <w:r>
        <w:rPr>
          <w:b/>
          <w:color w:val="231F20"/>
          <w:spacing w:val="2"/>
          <w:w w:val="110"/>
          <w:sz w:val="18"/>
        </w:rPr>
        <w:t>office </w:t>
      </w:r>
      <w:r>
        <w:rPr>
          <w:b/>
          <w:color w:val="231F20"/>
          <w:w w:val="110"/>
          <w:sz w:val="18"/>
        </w:rPr>
        <w:t>to </w:t>
      </w:r>
      <w:r>
        <w:rPr>
          <w:b/>
          <w:color w:val="231F20"/>
          <w:spacing w:val="2"/>
          <w:w w:val="110"/>
          <w:sz w:val="18"/>
        </w:rPr>
        <w:t>serve </w:t>
      </w:r>
      <w:r>
        <w:rPr>
          <w:b/>
          <w:color w:val="231F20"/>
          <w:w w:val="110"/>
          <w:sz w:val="18"/>
        </w:rPr>
        <w:t>for a designated period’ </w:t>
      </w:r>
      <w:r>
        <w:rPr>
          <w:color w:val="231F20"/>
          <w:w w:val="110"/>
          <w:sz w:val="18"/>
        </w:rPr>
        <w:t>with </w:t>
      </w:r>
      <w:r>
        <w:rPr>
          <w:b/>
          <w:color w:val="231F20"/>
          <w:w w:val="110"/>
          <w:sz w:val="18"/>
        </w:rPr>
        <w:t>‘are then commissioned to the </w:t>
      </w:r>
      <w:r>
        <w:rPr>
          <w:b/>
          <w:color w:val="231F20"/>
          <w:spacing w:val="2"/>
          <w:w w:val="110"/>
          <w:sz w:val="18"/>
        </w:rPr>
        <w:t>office </w:t>
      </w:r>
      <w:r>
        <w:rPr>
          <w:b/>
          <w:color w:val="231F20"/>
          <w:w w:val="110"/>
          <w:sz w:val="18"/>
        </w:rPr>
        <w:t>of </w:t>
      </w:r>
      <w:r>
        <w:rPr>
          <w:b/>
          <w:color w:val="231F20"/>
          <w:spacing w:val="2"/>
          <w:w w:val="110"/>
          <w:sz w:val="18"/>
        </w:rPr>
        <w:t>church related </w:t>
      </w:r>
      <w:r>
        <w:rPr>
          <w:b/>
          <w:color w:val="231F20"/>
          <w:w w:val="110"/>
          <w:sz w:val="18"/>
        </w:rPr>
        <w:t>community worker and inducted to </w:t>
      </w:r>
      <w:r>
        <w:rPr>
          <w:b/>
          <w:color w:val="231F20"/>
          <w:spacing w:val="2"/>
          <w:w w:val="110"/>
          <w:sz w:val="18"/>
        </w:rPr>
        <w:t>serve </w:t>
      </w:r>
      <w:r>
        <w:rPr>
          <w:b/>
          <w:color w:val="231F20"/>
          <w:w w:val="110"/>
          <w:sz w:val="18"/>
        </w:rPr>
        <w:t>in a particular </w:t>
      </w:r>
      <w:r>
        <w:rPr>
          <w:b/>
          <w:color w:val="231F20"/>
          <w:spacing w:val="2"/>
          <w:w w:val="110"/>
          <w:sz w:val="18"/>
        </w:rPr>
        <w:t>post </w:t>
      </w:r>
      <w:r>
        <w:rPr>
          <w:b/>
          <w:color w:val="231F20"/>
          <w:w w:val="110"/>
          <w:sz w:val="18"/>
        </w:rPr>
        <w:t>for a designated period’</w:t>
      </w:r>
      <w:r>
        <w:rPr>
          <w:color w:val="231F20"/>
          <w:w w:val="110"/>
          <w:sz w:val="18"/>
        </w:rPr>
        <w:t>.</w:t>
      </w:r>
    </w:p>
    <w:p>
      <w:pPr>
        <w:pStyle w:val="BodyText"/>
        <w:spacing w:before="10"/>
        <w:rPr>
          <w:sz w:val="20"/>
        </w:rPr>
      </w:pPr>
    </w:p>
    <w:p>
      <w:pPr>
        <w:spacing w:before="0"/>
        <w:ind w:left="673" w:right="0" w:firstLine="0"/>
        <w:jc w:val="left"/>
        <w:rPr>
          <w:b/>
          <w:sz w:val="18"/>
        </w:rPr>
      </w:pPr>
      <w:r>
        <w:rPr>
          <w:b/>
          <w:color w:val="231F20"/>
          <w:w w:val="110"/>
          <w:sz w:val="18"/>
        </w:rPr>
        <w:t>Paragraph 26</w:t>
      </w:r>
    </w:p>
    <w:p>
      <w:pPr>
        <w:pStyle w:val="BodyText"/>
        <w:spacing w:before="1"/>
        <w:rPr>
          <w:b/>
          <w:sz w:val="23"/>
        </w:rPr>
      </w:pPr>
    </w:p>
    <w:p>
      <w:pPr>
        <w:pStyle w:val="BodyText"/>
        <w:spacing w:line="273" w:lineRule="auto" w:before="1"/>
        <w:ind w:left="673" w:right="2061"/>
      </w:pPr>
      <w:r>
        <w:rPr>
          <w:color w:val="231F20"/>
          <w:w w:val="110"/>
        </w:rPr>
        <w:t>Remove this paragraph as its contents have been transferred to Paragraphs 20 and 21 in the changes proposed above.</w:t>
      </w:r>
    </w:p>
    <w:p>
      <w:pPr>
        <w:pStyle w:val="BodyText"/>
        <w:spacing w:before="8"/>
        <w:rPr>
          <w:sz w:val="20"/>
        </w:rPr>
      </w:pPr>
    </w:p>
    <w:p>
      <w:pPr>
        <w:spacing w:before="0"/>
        <w:ind w:left="673" w:right="0" w:firstLine="0"/>
        <w:jc w:val="left"/>
        <w:rPr>
          <w:b/>
          <w:sz w:val="18"/>
        </w:rPr>
      </w:pPr>
      <w:r>
        <w:rPr>
          <w:b/>
          <w:color w:val="231F20"/>
          <w:w w:val="110"/>
          <w:sz w:val="18"/>
        </w:rPr>
        <w:t>Schedule E, Paragraph 4</w:t>
      </w:r>
    </w:p>
    <w:p>
      <w:pPr>
        <w:pStyle w:val="BodyText"/>
        <w:spacing w:before="1"/>
        <w:rPr>
          <w:b/>
          <w:sz w:val="23"/>
        </w:rPr>
      </w:pPr>
    </w:p>
    <w:p>
      <w:pPr>
        <w:spacing w:before="1"/>
        <w:ind w:left="673" w:right="0" w:firstLine="0"/>
        <w:jc w:val="left"/>
        <w:rPr>
          <w:sz w:val="18"/>
        </w:rPr>
      </w:pPr>
      <w:r>
        <w:rPr>
          <w:color w:val="231F20"/>
          <w:w w:val="110"/>
          <w:sz w:val="18"/>
        </w:rPr>
        <w:t>Remove the word </w:t>
      </w:r>
      <w:r>
        <w:rPr>
          <w:b/>
          <w:color w:val="231F20"/>
          <w:w w:val="110"/>
          <w:sz w:val="18"/>
        </w:rPr>
        <w:t>‘disciplinary’ </w:t>
      </w:r>
      <w:r>
        <w:rPr>
          <w:color w:val="231F20"/>
          <w:w w:val="110"/>
          <w:sz w:val="18"/>
        </w:rPr>
        <w:t>on the last line.</w:t>
      </w:r>
    </w:p>
    <w:p>
      <w:pPr>
        <w:pStyle w:val="BodyText"/>
        <w:spacing w:before="1"/>
        <w:rPr>
          <w:sz w:val="23"/>
        </w:rPr>
      </w:pPr>
    </w:p>
    <w:p>
      <w:pPr>
        <w:spacing w:before="0"/>
        <w:ind w:left="673" w:right="0" w:firstLine="0"/>
        <w:jc w:val="left"/>
        <w:rPr>
          <w:b/>
          <w:sz w:val="18"/>
        </w:rPr>
      </w:pPr>
      <w:r>
        <w:rPr>
          <w:b/>
          <w:color w:val="231F20"/>
          <w:w w:val="110"/>
          <w:sz w:val="18"/>
        </w:rPr>
        <w:t>Schedule F</w:t>
      </w:r>
    </w:p>
    <w:p>
      <w:pPr>
        <w:pStyle w:val="BodyText"/>
        <w:spacing w:before="2"/>
        <w:rPr>
          <w:b/>
          <w:sz w:val="23"/>
        </w:rPr>
      </w:pPr>
    </w:p>
    <w:p>
      <w:pPr>
        <w:pStyle w:val="BodyText"/>
        <w:spacing w:line="273" w:lineRule="auto"/>
        <w:ind w:left="673" w:right="2061"/>
      </w:pPr>
      <w:r>
        <w:rPr>
          <w:color w:val="231F20"/>
          <w:w w:val="110"/>
        </w:rPr>
        <w:t>The existing Schedule F to become Schedule F, Part I and a new Schedule F, Part II to be added as follows:</w:t>
      </w:r>
    </w:p>
    <w:p>
      <w:pPr>
        <w:spacing w:after="0" w:line="273" w:lineRule="auto"/>
        <w:sectPr>
          <w:type w:val="continuous"/>
          <w:pgSz w:w="11910" w:h="16840"/>
          <w:pgMar w:top="680" w:bottom="280" w:left="460" w:right="0"/>
        </w:sectPr>
      </w:pPr>
    </w:p>
    <w:p>
      <w:pPr>
        <w:pStyle w:val="BodyText"/>
        <w:rPr>
          <w:sz w:val="20"/>
        </w:rPr>
      </w:pPr>
    </w:p>
    <w:p>
      <w:pPr>
        <w:pStyle w:val="BodyText"/>
        <w:rPr>
          <w:sz w:val="17"/>
        </w:rPr>
      </w:pPr>
    </w:p>
    <w:p>
      <w:pPr>
        <w:spacing w:before="101"/>
        <w:ind w:left="1240" w:right="0" w:firstLine="0"/>
        <w:jc w:val="left"/>
        <w:rPr>
          <w:b/>
          <w:sz w:val="18"/>
        </w:rPr>
      </w:pPr>
      <w:r>
        <w:rPr/>
        <w:pict>
          <v:group style="position:absolute;margin-left:48.188999pt;margin-top:-12.256947pt;width:514.8pt;height:463.75pt;mso-position-horizontal-relative:page;mso-position-vertical-relative:paragraph;z-index:-275538944" coordorigin="964,-245" coordsize="10296,9275">
            <v:shape style="position:absolute;left:1311;top:-82;width:9872;height:9082" coordorigin="1311,-82" coordsize="9872,9082" path="m1311,8760l1315,8899,1341,8970,1413,8996,1551,9000,10943,9000,11081,8996,11153,8970,11179,8899,11183,8760,11183,158,11179,19,11153,-52,11081,-78,10943,-82,1551,-82,1413,-78,1341,-52,1315,19,1311,158,1311,8760xe" filled="false" stroked="true" strokeweight="3pt" strokecolor="#000000">
              <v:path arrowok="t"/>
              <v:stroke dashstyle="solid"/>
            </v:shape>
            <v:rect style="position:absolute;left:963;top:-246;width:10296;height:345" filled="true" fillcolor="#ffffff" stroked="false">
              <v:fill type="solid"/>
            </v:rect>
            <w10:wrap type="none"/>
          </v:group>
        </w:pict>
      </w:r>
      <w:r>
        <w:rPr>
          <w:b/>
          <w:color w:val="231F20"/>
          <w:w w:val="110"/>
          <w:sz w:val="18"/>
        </w:rPr>
        <w:t>Part II</w:t>
      </w:r>
    </w:p>
    <w:p>
      <w:pPr>
        <w:pStyle w:val="BodyText"/>
        <w:spacing w:before="1"/>
        <w:rPr>
          <w:b/>
          <w:sz w:val="23"/>
        </w:rPr>
      </w:pPr>
    </w:p>
    <w:p>
      <w:pPr>
        <w:pStyle w:val="BodyText"/>
        <w:spacing w:line="273" w:lineRule="auto"/>
        <w:ind w:left="1240" w:right="1365"/>
      </w:pPr>
      <w:r>
        <w:rPr>
          <w:color w:val="231F20"/>
          <w:w w:val="110"/>
        </w:rPr>
        <w:t>Those who have been called to the Ministry of Church Related Community Work and commissioned and inducted to their </w:t>
      </w:r>
      <w:r>
        <w:rPr>
          <w:color w:val="231F20"/>
          <w:spacing w:val="2"/>
          <w:w w:val="110"/>
        </w:rPr>
        <w:t>office </w:t>
      </w:r>
      <w:r>
        <w:rPr>
          <w:color w:val="231F20"/>
          <w:w w:val="110"/>
        </w:rPr>
        <w:t>in accordance with Paragraph 22 of the Basis of Union shall constitute the Roll of Church Related Community Workers </w:t>
      </w:r>
      <w:r>
        <w:rPr>
          <w:color w:val="231F20"/>
          <w:spacing w:val="-4"/>
          <w:w w:val="110"/>
        </w:rPr>
        <w:t>(CRCWs) </w:t>
      </w:r>
      <w:r>
        <w:rPr>
          <w:color w:val="231F20"/>
          <w:w w:val="110"/>
        </w:rPr>
        <w:t>of the United Reformed</w:t>
      </w:r>
      <w:r>
        <w:rPr>
          <w:color w:val="231F20"/>
          <w:spacing w:val="2"/>
          <w:w w:val="110"/>
        </w:rPr>
        <w:t> </w:t>
      </w:r>
      <w:r>
        <w:rPr>
          <w:color w:val="231F20"/>
          <w:w w:val="110"/>
        </w:rPr>
        <w:t>Church.</w:t>
      </w:r>
    </w:p>
    <w:p>
      <w:pPr>
        <w:pStyle w:val="BodyText"/>
        <w:spacing w:before="10"/>
        <w:rPr>
          <w:sz w:val="20"/>
        </w:rPr>
      </w:pPr>
    </w:p>
    <w:p>
      <w:pPr>
        <w:pStyle w:val="BodyText"/>
        <w:spacing w:line="273" w:lineRule="auto"/>
        <w:ind w:left="1240" w:right="1311"/>
      </w:pPr>
      <w:r>
        <w:rPr>
          <w:color w:val="231F20"/>
          <w:w w:val="110"/>
        </w:rPr>
        <w:t>CRCWs must conduct themselves and exercise all </w:t>
      </w:r>
      <w:r>
        <w:rPr>
          <w:color w:val="231F20"/>
          <w:spacing w:val="2"/>
          <w:w w:val="110"/>
        </w:rPr>
        <w:t>aspects </w:t>
      </w:r>
      <w:r>
        <w:rPr>
          <w:color w:val="231F20"/>
          <w:w w:val="110"/>
        </w:rPr>
        <w:t>of their ministries in a manner which is compatible with the unity and peace of the United Reformed Church and the affirmations made by CRCWs at commissioning and induction (Schedule F </w:t>
      </w:r>
      <w:r>
        <w:rPr>
          <w:color w:val="231F20"/>
          <w:spacing w:val="2"/>
          <w:w w:val="110"/>
        </w:rPr>
        <w:t>Part </w:t>
      </w:r>
      <w:r>
        <w:rPr>
          <w:color w:val="231F20"/>
          <w:w w:val="110"/>
        </w:rPr>
        <w:t>I) and    the Statement concerning the nature, faith and order of the United Reformed Church (Schedule </w:t>
      </w:r>
      <w:r>
        <w:rPr>
          <w:color w:val="231F20"/>
          <w:spacing w:val="-7"/>
          <w:w w:val="110"/>
        </w:rPr>
        <w:t>D)</w:t>
      </w:r>
      <w:r>
        <w:rPr>
          <w:color w:val="231F20"/>
          <w:spacing w:val="16"/>
          <w:w w:val="110"/>
        </w:rPr>
        <w:t> </w:t>
      </w:r>
      <w:r>
        <w:rPr>
          <w:color w:val="231F20"/>
          <w:w w:val="110"/>
        </w:rPr>
        <w:t>in accordance with which CRCWs undertake to exercise their ministry.</w:t>
      </w:r>
    </w:p>
    <w:p>
      <w:pPr>
        <w:pStyle w:val="BodyText"/>
        <w:spacing w:before="10"/>
        <w:rPr>
          <w:sz w:val="20"/>
        </w:rPr>
      </w:pPr>
    </w:p>
    <w:p>
      <w:pPr>
        <w:pStyle w:val="BodyText"/>
        <w:spacing w:line="273" w:lineRule="auto"/>
        <w:ind w:left="1240" w:right="1365"/>
      </w:pPr>
      <w:r>
        <w:rPr>
          <w:color w:val="231F20"/>
          <w:w w:val="110"/>
        </w:rPr>
        <w:t>Acting in due exercise of their functions as contained in the Structure of the United Reformed Church, the councils of the Church have authority in </w:t>
      </w:r>
      <w:r>
        <w:rPr>
          <w:color w:val="231F20"/>
          <w:spacing w:val="2"/>
          <w:w w:val="110"/>
        </w:rPr>
        <w:t>certain circumstances </w:t>
      </w:r>
      <w:r>
        <w:rPr>
          <w:color w:val="231F20"/>
          <w:w w:val="110"/>
        </w:rPr>
        <w:t>(without prejudice to a CRCW’s conditions under the plan for </w:t>
      </w:r>
      <w:r>
        <w:rPr>
          <w:color w:val="231F20"/>
          <w:spacing w:val="2"/>
          <w:w w:val="110"/>
        </w:rPr>
        <w:t>partnership </w:t>
      </w:r>
      <w:r>
        <w:rPr>
          <w:color w:val="231F20"/>
          <w:w w:val="110"/>
        </w:rPr>
        <w:t>in ministerial remuneration) to suspend a CRCW which involves a </w:t>
      </w:r>
      <w:r>
        <w:rPr>
          <w:color w:val="231F20"/>
          <w:spacing w:val="2"/>
          <w:w w:val="110"/>
        </w:rPr>
        <w:t>temporary </w:t>
      </w:r>
      <w:r>
        <w:rPr>
          <w:color w:val="231F20"/>
          <w:w w:val="110"/>
        </w:rPr>
        <w:t>ban on the exercise of the duties of his/her ministry by the CRCW concerned but not his/her removal </w:t>
      </w:r>
      <w:r>
        <w:rPr>
          <w:color w:val="231F20"/>
          <w:spacing w:val="2"/>
          <w:w w:val="110"/>
        </w:rPr>
        <w:t>from </w:t>
      </w:r>
      <w:r>
        <w:rPr>
          <w:color w:val="231F20"/>
          <w:w w:val="110"/>
        </w:rPr>
        <w:t>the Roll of</w:t>
      </w:r>
      <w:r>
        <w:rPr>
          <w:color w:val="231F20"/>
          <w:spacing w:val="1"/>
          <w:w w:val="110"/>
        </w:rPr>
        <w:t> </w:t>
      </w:r>
      <w:r>
        <w:rPr>
          <w:color w:val="231F20"/>
          <w:w w:val="110"/>
        </w:rPr>
        <w:t>CRCWs.</w:t>
      </w:r>
    </w:p>
    <w:p>
      <w:pPr>
        <w:pStyle w:val="BodyText"/>
        <w:spacing w:before="11"/>
        <w:rPr>
          <w:sz w:val="20"/>
        </w:rPr>
      </w:pPr>
    </w:p>
    <w:p>
      <w:pPr>
        <w:pStyle w:val="BodyText"/>
        <w:spacing w:line="273" w:lineRule="auto"/>
        <w:ind w:left="1240" w:right="1365"/>
      </w:pPr>
      <w:r>
        <w:rPr>
          <w:color w:val="231F20"/>
          <w:w w:val="110"/>
        </w:rPr>
        <w:t>A CRCW under suspension shall not </w:t>
      </w:r>
      <w:r>
        <w:rPr>
          <w:color w:val="231F20"/>
          <w:spacing w:val="2"/>
          <w:w w:val="110"/>
        </w:rPr>
        <w:t>represent </w:t>
      </w:r>
      <w:r>
        <w:rPr>
          <w:color w:val="231F20"/>
          <w:w w:val="110"/>
        </w:rPr>
        <w:t>him/herself as a CRCW and shall refrain </w:t>
      </w:r>
      <w:r>
        <w:rPr>
          <w:color w:val="231F20"/>
          <w:spacing w:val="2"/>
          <w:w w:val="110"/>
        </w:rPr>
        <w:t>from </w:t>
      </w:r>
      <w:r>
        <w:rPr>
          <w:color w:val="231F20"/>
          <w:w w:val="110"/>
        </w:rPr>
        <w:t>all </w:t>
      </w:r>
      <w:r>
        <w:rPr>
          <w:color w:val="231F20"/>
          <w:spacing w:val="2"/>
          <w:w w:val="110"/>
        </w:rPr>
        <w:t>activity </w:t>
      </w:r>
      <w:r>
        <w:rPr>
          <w:color w:val="231F20"/>
          <w:w w:val="110"/>
        </w:rPr>
        <w:t>which may lead others to believe that he/she is acting as</w:t>
      </w:r>
      <w:r>
        <w:rPr>
          <w:color w:val="231F20"/>
          <w:spacing w:val="67"/>
          <w:w w:val="110"/>
        </w:rPr>
        <w:t> </w:t>
      </w:r>
      <w:r>
        <w:rPr>
          <w:color w:val="231F20"/>
          <w:w w:val="110"/>
        </w:rPr>
        <w:t>such.</w:t>
      </w:r>
    </w:p>
    <w:p>
      <w:pPr>
        <w:pStyle w:val="BodyText"/>
        <w:spacing w:line="273" w:lineRule="auto" w:before="1"/>
        <w:ind w:left="1240" w:right="1593"/>
      </w:pPr>
      <w:r>
        <w:rPr>
          <w:color w:val="231F20"/>
          <w:w w:val="110"/>
        </w:rPr>
        <w:t>Suspension also means that the CRCW may not exercise the rights of membership of any council of the Church. Suspension does not remove any of the rights accorded by the process of determining the matter which had led to the suspension.</w:t>
      </w:r>
    </w:p>
    <w:p>
      <w:pPr>
        <w:pStyle w:val="BodyText"/>
        <w:spacing w:before="9"/>
        <w:rPr>
          <w:sz w:val="20"/>
        </w:rPr>
      </w:pPr>
    </w:p>
    <w:p>
      <w:pPr>
        <w:pStyle w:val="BodyText"/>
        <w:spacing w:line="273" w:lineRule="auto"/>
        <w:ind w:left="1240" w:right="1191"/>
      </w:pPr>
      <w:r>
        <w:rPr>
          <w:color w:val="231F20"/>
          <w:w w:val="110"/>
        </w:rPr>
        <w:t>A </w:t>
      </w:r>
      <w:r>
        <w:rPr>
          <w:color w:val="231F20"/>
          <w:spacing w:val="2"/>
          <w:w w:val="110"/>
        </w:rPr>
        <w:t>person </w:t>
      </w:r>
      <w:r>
        <w:rPr>
          <w:color w:val="231F20"/>
          <w:w w:val="110"/>
        </w:rPr>
        <w:t>whose name has been deleted </w:t>
      </w:r>
      <w:r>
        <w:rPr>
          <w:color w:val="231F20"/>
          <w:spacing w:val="2"/>
          <w:w w:val="110"/>
        </w:rPr>
        <w:t>from </w:t>
      </w:r>
      <w:r>
        <w:rPr>
          <w:color w:val="231F20"/>
          <w:w w:val="110"/>
        </w:rPr>
        <w:t>the Roll of CRCWs and who remains a member of the United Reformed Church has the privileges and responsibilities of that membership, but not those of a CRCW and should refrain </w:t>
      </w:r>
      <w:r>
        <w:rPr>
          <w:color w:val="231F20"/>
          <w:spacing w:val="2"/>
          <w:w w:val="110"/>
        </w:rPr>
        <w:t>from </w:t>
      </w:r>
      <w:r>
        <w:rPr>
          <w:color w:val="231F20"/>
          <w:w w:val="110"/>
        </w:rPr>
        <w:t>all </w:t>
      </w:r>
      <w:r>
        <w:rPr>
          <w:color w:val="231F20"/>
          <w:spacing w:val="2"/>
          <w:w w:val="110"/>
        </w:rPr>
        <w:t>activity </w:t>
      </w:r>
      <w:r>
        <w:rPr>
          <w:color w:val="231F20"/>
          <w:w w:val="110"/>
        </w:rPr>
        <w:t>which may  lead others to believe that he/she is acting as a CRCW. </w:t>
      </w:r>
      <w:r>
        <w:rPr>
          <w:color w:val="231F20"/>
          <w:spacing w:val="-3"/>
          <w:w w:val="110"/>
        </w:rPr>
        <w:t>However, </w:t>
      </w:r>
      <w:r>
        <w:rPr>
          <w:color w:val="231F20"/>
          <w:w w:val="110"/>
        </w:rPr>
        <w:t>should that </w:t>
      </w:r>
      <w:r>
        <w:rPr>
          <w:color w:val="231F20"/>
          <w:spacing w:val="2"/>
          <w:w w:val="110"/>
        </w:rPr>
        <w:t>person </w:t>
      </w:r>
      <w:r>
        <w:rPr>
          <w:color w:val="231F20"/>
          <w:w w:val="110"/>
        </w:rPr>
        <w:t>be re-instated to the Roll of CRCWs he/she would on being called to a post approved by the United Reformed Church need to be inducted to that post but not commissioned since commissioning is not</w:t>
      </w:r>
      <w:r>
        <w:rPr>
          <w:color w:val="231F20"/>
          <w:spacing w:val="4"/>
          <w:w w:val="110"/>
        </w:rPr>
        <w:t> </w:t>
      </w:r>
      <w:r>
        <w:rPr>
          <w:color w:val="231F20"/>
          <w:w w:val="110"/>
        </w:rPr>
        <w:t>repeatable.</w:t>
      </w:r>
    </w:p>
    <w:p>
      <w:pPr>
        <w:spacing w:after="0" w:line="273" w:lineRule="auto"/>
        <w:sectPr>
          <w:pgSz w:w="11910" w:h="16840"/>
          <w:pgMar w:header="581" w:footer="544" w:top="860" w:bottom="740" w:left="460" w:right="0"/>
        </w:sectPr>
      </w:pPr>
    </w:p>
    <w:p>
      <w:pPr>
        <w:pStyle w:val="BodyText"/>
        <w:spacing w:before="2"/>
        <w:rPr>
          <w:sz w:val="15"/>
        </w:rPr>
      </w:pPr>
    </w:p>
    <w:p>
      <w:pPr>
        <w:spacing w:after="0"/>
        <w:rPr>
          <w:sz w:val="15"/>
        </w:rPr>
        <w:sectPr>
          <w:pgSz w:w="11910" w:h="16840"/>
          <w:pgMar w:header="581" w:footer="464" w:top="860" w:bottom="740" w:left="460" w:right="0"/>
        </w:sectPr>
      </w:pPr>
    </w:p>
    <w:p>
      <w:pPr>
        <w:pStyle w:val="Heading5"/>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36"/>
          <w:w w:val="111"/>
        </w:rPr>
        <w:t>O</w:t>
      </w:r>
      <w:r>
        <w:rPr>
          <w:color w:val="231F20"/>
          <w:spacing w:val="-167"/>
          <w:w w:val="112"/>
          <w:position w:val="-20"/>
          <w:sz w:val="50"/>
        </w:rPr>
        <w:t>1</w:t>
      </w:r>
      <w:r>
        <w:rPr>
          <w:color w:val="FFFFFF"/>
          <w:spacing w:val="-273"/>
          <w:w w:val="111"/>
        </w:rPr>
        <w:t>N</w:t>
      </w:r>
      <w:r>
        <w:rPr>
          <w:color w:val="231F20"/>
          <w:spacing w:val="-33"/>
          <w:w w:val="112"/>
          <w:position w:val="-20"/>
          <w:sz w:val="50"/>
        </w:rPr>
        <w:t>9</w:t>
      </w:r>
    </w:p>
    <w:p>
      <w:pPr>
        <w:pStyle w:val="BodyText"/>
        <w:rPr>
          <w:b/>
          <w:sz w:val="24"/>
        </w:rPr>
      </w:pPr>
      <w:r>
        <w:rPr/>
        <w:br w:type="column"/>
      </w:r>
      <w:r>
        <w:rPr>
          <w:b/>
          <w:sz w:val="24"/>
        </w:rPr>
      </w:r>
    </w:p>
    <w:p>
      <w:pPr>
        <w:pStyle w:val="BodyText"/>
        <w:spacing w:before="5"/>
        <w:rPr>
          <w:b/>
          <w:sz w:val="20"/>
        </w:rPr>
      </w:pPr>
    </w:p>
    <w:p>
      <w:pPr>
        <w:spacing w:line="247" w:lineRule="auto" w:before="0"/>
        <w:ind w:left="186" w:right="1566" w:firstLine="838"/>
        <w:jc w:val="right"/>
        <w:rPr>
          <w:b/>
          <w:sz w:val="18"/>
        </w:rPr>
      </w:pPr>
      <w:r>
        <w:rPr>
          <w:b/>
          <w:color w:val="231F20"/>
          <w:w w:val="110"/>
          <w:sz w:val="20"/>
        </w:rPr>
        <w:t>Amendment of Structure</w:t>
      </w:r>
      <w:r>
        <w:rPr>
          <w:b/>
          <w:color w:val="231F20"/>
          <w:spacing w:val="18"/>
          <w:w w:val="110"/>
          <w:sz w:val="20"/>
        </w:rPr>
        <w:t> </w:t>
      </w:r>
      <w:r>
        <w:rPr>
          <w:b/>
          <w:color w:val="231F20"/>
          <w:w w:val="110"/>
          <w:sz w:val="20"/>
        </w:rPr>
        <w:t>to</w:t>
      </w:r>
      <w:r>
        <w:rPr>
          <w:b/>
          <w:color w:val="231F20"/>
          <w:spacing w:val="6"/>
          <w:w w:val="110"/>
          <w:sz w:val="20"/>
        </w:rPr>
        <w:t> </w:t>
      </w:r>
      <w:r>
        <w:rPr>
          <w:b/>
          <w:color w:val="231F20"/>
          <w:w w:val="110"/>
          <w:sz w:val="20"/>
        </w:rPr>
        <w:t>include</w:t>
      </w:r>
      <w:r>
        <w:rPr>
          <w:b/>
          <w:color w:val="231F20"/>
          <w:w w:val="109"/>
          <w:sz w:val="20"/>
        </w:rPr>
        <w:t> </w:t>
      </w:r>
      <w:r>
        <w:rPr>
          <w:b/>
          <w:color w:val="231F20"/>
          <w:w w:val="110"/>
          <w:sz w:val="20"/>
        </w:rPr>
        <w:t>CRCWs </w:t>
      </w:r>
      <w:r>
        <w:rPr>
          <w:b/>
          <w:color w:val="231F20"/>
          <w:w w:val="110"/>
          <w:sz w:val="18"/>
        </w:rPr>
        <w:t>in the ministerial disciplinary </w:t>
      </w:r>
      <w:r>
        <w:rPr>
          <w:b/>
          <w:color w:val="231F20"/>
          <w:spacing w:val="13"/>
          <w:w w:val="110"/>
          <w:sz w:val="18"/>
        </w:rPr>
        <w:t> </w:t>
      </w:r>
      <w:r>
        <w:rPr>
          <w:b/>
          <w:color w:val="231F20"/>
          <w:spacing w:val="2"/>
          <w:w w:val="110"/>
          <w:sz w:val="18"/>
        </w:rPr>
        <w:t>process</w:t>
      </w:r>
    </w:p>
    <w:p>
      <w:pPr>
        <w:spacing w:before="19"/>
        <w:ind w:left="0" w:right="1567" w:firstLine="0"/>
        <w:jc w:val="right"/>
        <w:rPr>
          <w:i/>
          <w:sz w:val="18"/>
        </w:rPr>
      </w:pPr>
      <w:r>
        <w:rPr>
          <w:i/>
          <w:color w:val="231F20"/>
          <w:w w:val="110"/>
          <w:sz w:val="18"/>
        </w:rPr>
        <w:t>(Report page 53 para</w:t>
      </w:r>
      <w:r>
        <w:rPr>
          <w:i/>
          <w:color w:val="231F20"/>
          <w:spacing w:val="39"/>
          <w:w w:val="110"/>
          <w:sz w:val="18"/>
        </w:rPr>
        <w:t> </w:t>
      </w:r>
      <w:r>
        <w:rPr>
          <w:i/>
          <w:color w:val="231F20"/>
          <w:spacing w:val="-5"/>
          <w:w w:val="110"/>
          <w:sz w:val="18"/>
        </w:rPr>
        <w:t>6.3.17)</w:t>
      </w:r>
    </w:p>
    <w:p>
      <w:pPr>
        <w:spacing w:after="0"/>
        <w:jc w:val="right"/>
        <w:rPr>
          <w:sz w:val="18"/>
        </w:rPr>
        <w:sectPr>
          <w:type w:val="continuous"/>
          <w:pgSz w:w="11910" w:h="16840"/>
          <w:pgMar w:top="680" w:bottom="280" w:left="460" w:right="0"/>
          <w:cols w:num="2" w:equalWidth="0">
            <w:col w:w="4422" w:space="40"/>
            <w:col w:w="6988"/>
          </w:cols>
        </w:sectPr>
      </w:pPr>
    </w:p>
    <w:p>
      <w:pPr>
        <w:pStyle w:val="BodyText"/>
        <w:spacing w:before="11"/>
        <w:rPr>
          <w:i/>
          <w:sz w:val="14"/>
        </w:rPr>
      </w:pPr>
      <w:r>
        <w:rPr/>
        <w:pict>
          <v:group style="position:absolute;margin-left:17.007999pt;margin-top:58.819023pt;width:542pt;height:740.85pt;mso-position-horizontal-relative:page;mso-position-vertical-relative:page;z-index:-275537920" coordorigin="340,1176" coordsize="10840,14817">
            <v:shape style="position:absolute;left:840;top:1176;width:9932;height:14698" type="#_x0000_t75" stroked="false">
              <v:imagedata r:id="rId80" o:title=""/>
            </v:shape>
            <v:shape style="position:absolute;left:1143;top:1259;width:4016;height:630" coordorigin="1143,1260" coordsize="4016,630" path="m5159,1586l1301,1586,1301,1260,1143,1260,1143,1586,1143,1890,5159,1890,5159,1586e" filled="true" fillcolor="#d8dadc" stroked="false">
              <v:path arrowok="t"/>
              <v:fill type="solid"/>
            </v:shape>
            <v:line style="position:absolute" from="1143,1254" to="5159,1254" stroked="true" strokeweight=".6pt" strokecolor="#d8dadc">
              <v:stroke dashstyle="solid"/>
            </v:line>
            <v:shape style="position:absolute;left:1301;top:1259;width:3858;height:327" coordorigin="1301,1260" coordsize="3858,327" path="m5159,1260l4744,1260,1301,1260,1301,1587,4744,1587,5159,1587,5159,1260e" filled="true" fillcolor="#d8dadc" stroked="false">
              <v:path arrowok="t"/>
              <v:fill type="solid"/>
            </v:shape>
            <v:rect style="position:absolute;left:340;top:15505;width:10840;height:488" filled="true" fillcolor="#ffffff" stroked="false">
              <v:fill type="solid"/>
            </v:rect>
            <w10:wrap type="none"/>
          </v:group>
        </w:pict>
      </w:r>
    </w:p>
    <w:p>
      <w:pPr>
        <w:spacing w:before="101"/>
        <w:ind w:left="673" w:right="0" w:firstLine="0"/>
        <w:jc w:val="left"/>
        <w:rPr>
          <w:i/>
          <w:sz w:val="18"/>
        </w:rPr>
      </w:pPr>
      <w:r>
        <w:rPr>
          <w:i/>
          <w:color w:val="231F20"/>
          <w:w w:val="110"/>
          <w:sz w:val="18"/>
        </w:rPr>
        <w:t>Resolution 19 amends the Structure to bring CRCWs within the ambit of Section O</w:t>
      </w:r>
    </w:p>
    <w:p>
      <w:pPr>
        <w:pStyle w:val="BodyText"/>
        <w:rPr>
          <w:i/>
          <w:sz w:val="22"/>
        </w:rPr>
      </w:pPr>
    </w:p>
    <w:p>
      <w:pPr>
        <w:pStyle w:val="BodyText"/>
        <w:spacing w:before="8"/>
        <w:rPr>
          <w:i/>
          <w:sz w:val="21"/>
        </w:rPr>
      </w:pPr>
    </w:p>
    <w:p>
      <w:pPr>
        <w:pStyle w:val="BodyText"/>
        <w:spacing w:line="273" w:lineRule="auto"/>
        <w:ind w:left="673" w:right="1829"/>
      </w:pPr>
      <w:r>
        <w:rPr>
          <w:color w:val="231F20"/>
          <w:w w:val="110"/>
        </w:rPr>
        <w:t>General Assembly agrees to make the following changes to the Structure of the United Reformed Church to provide for the Section O Process to include church-related community workers:</w:t>
      </w:r>
    </w:p>
    <w:p>
      <w:pPr>
        <w:pStyle w:val="BodyText"/>
        <w:spacing w:before="9"/>
        <w:rPr>
          <w:sz w:val="20"/>
        </w:rPr>
      </w:pPr>
    </w:p>
    <w:p>
      <w:pPr>
        <w:spacing w:before="0"/>
        <w:ind w:left="673" w:right="0" w:firstLine="0"/>
        <w:jc w:val="left"/>
        <w:rPr>
          <w:b/>
          <w:sz w:val="18"/>
        </w:rPr>
      </w:pPr>
      <w:r>
        <w:rPr>
          <w:b/>
          <w:color w:val="231F20"/>
          <w:w w:val="110"/>
          <w:sz w:val="18"/>
        </w:rPr>
        <w:t>Paragraph 1(4)</w:t>
      </w:r>
    </w:p>
    <w:p>
      <w:pPr>
        <w:pStyle w:val="BodyText"/>
        <w:spacing w:before="2"/>
        <w:rPr>
          <w:b/>
          <w:sz w:val="23"/>
        </w:rPr>
      </w:pPr>
    </w:p>
    <w:p>
      <w:pPr>
        <w:pStyle w:val="BodyText"/>
        <w:ind w:left="673"/>
      </w:pPr>
      <w:r>
        <w:rPr>
          <w:color w:val="231F20"/>
          <w:w w:val="110"/>
        </w:rPr>
        <w:t>Add an additional Paragraph 1(4) as follows:</w:t>
      </w:r>
    </w:p>
    <w:p>
      <w:pPr>
        <w:pStyle w:val="BodyText"/>
        <w:spacing w:before="1"/>
        <w:rPr>
          <w:sz w:val="23"/>
        </w:rPr>
      </w:pPr>
    </w:p>
    <w:p>
      <w:pPr>
        <w:spacing w:line="273" w:lineRule="auto" w:before="1"/>
        <w:ind w:left="673" w:right="1593" w:firstLine="0"/>
        <w:jc w:val="left"/>
        <w:rPr>
          <w:b/>
          <w:sz w:val="18"/>
        </w:rPr>
      </w:pPr>
      <w:r>
        <w:rPr>
          <w:b/>
          <w:color w:val="231F20"/>
          <w:w w:val="110"/>
          <w:sz w:val="18"/>
        </w:rPr>
        <w:t>Unless otherwise expressly stated or clearly excluded by the context, the expressions ‘minister’,’ ministers’, ‘ministry’ and ‘ministerial’ when used in the Structure shall refer to the ministry of Word and Sacrament.</w:t>
      </w:r>
    </w:p>
    <w:p>
      <w:pPr>
        <w:pStyle w:val="BodyText"/>
        <w:spacing w:before="8"/>
        <w:rPr>
          <w:b/>
          <w:sz w:val="20"/>
        </w:rPr>
      </w:pPr>
    </w:p>
    <w:p>
      <w:pPr>
        <w:spacing w:before="1"/>
        <w:ind w:left="673" w:right="0" w:firstLine="0"/>
        <w:jc w:val="left"/>
        <w:rPr>
          <w:b/>
          <w:sz w:val="18"/>
        </w:rPr>
      </w:pPr>
      <w:r>
        <w:rPr>
          <w:b/>
          <w:color w:val="231F20"/>
          <w:w w:val="110"/>
          <w:sz w:val="18"/>
        </w:rPr>
        <w:t>Paragraph 2(3)(A)(i)</w:t>
      </w:r>
    </w:p>
    <w:p>
      <w:pPr>
        <w:pStyle w:val="BodyText"/>
        <w:spacing w:before="1"/>
        <w:rPr>
          <w:b/>
          <w:sz w:val="23"/>
        </w:rPr>
      </w:pPr>
    </w:p>
    <w:p>
      <w:pPr>
        <w:spacing w:line="273" w:lineRule="auto" w:before="0"/>
        <w:ind w:left="673" w:right="1829" w:firstLine="0"/>
        <w:jc w:val="left"/>
        <w:rPr>
          <w:sz w:val="18"/>
        </w:rPr>
      </w:pPr>
      <w:r>
        <w:rPr>
          <w:color w:val="231F20"/>
          <w:w w:val="110"/>
          <w:sz w:val="18"/>
        </w:rPr>
        <w:t>After the words ‘</w:t>
      </w:r>
      <w:r>
        <w:rPr>
          <w:b/>
          <w:color w:val="231F20"/>
          <w:w w:val="110"/>
          <w:sz w:val="18"/>
        </w:rPr>
        <w:t>oversight of</w:t>
      </w:r>
      <w:r>
        <w:rPr>
          <w:color w:val="231F20"/>
          <w:w w:val="110"/>
          <w:sz w:val="18"/>
        </w:rPr>
        <w:t>’ add ‘</w:t>
      </w:r>
      <w:r>
        <w:rPr>
          <w:b/>
          <w:color w:val="231F20"/>
          <w:w w:val="110"/>
          <w:sz w:val="18"/>
        </w:rPr>
        <w:t>(i)</w:t>
      </w:r>
      <w:r>
        <w:rPr>
          <w:color w:val="231F20"/>
          <w:w w:val="110"/>
          <w:sz w:val="18"/>
        </w:rPr>
        <w:t>’ and after the words ‘</w:t>
      </w:r>
      <w:r>
        <w:rPr>
          <w:b/>
          <w:color w:val="231F20"/>
          <w:w w:val="110"/>
          <w:sz w:val="18"/>
        </w:rPr>
        <w:t>General Assembly</w:t>
      </w:r>
      <w:r>
        <w:rPr>
          <w:color w:val="231F20"/>
          <w:w w:val="110"/>
          <w:sz w:val="18"/>
        </w:rPr>
        <w:t>’ add ‘</w:t>
      </w:r>
      <w:r>
        <w:rPr>
          <w:b/>
          <w:color w:val="231F20"/>
          <w:w w:val="110"/>
          <w:sz w:val="18"/>
        </w:rPr>
        <w:t>and (ii) church-related community workers</w:t>
      </w:r>
      <w:r>
        <w:rPr>
          <w:color w:val="231F20"/>
          <w:w w:val="110"/>
          <w:sz w:val="18"/>
        </w:rPr>
        <w:t>’.</w:t>
      </w:r>
    </w:p>
    <w:p>
      <w:pPr>
        <w:pStyle w:val="BodyText"/>
        <w:spacing w:before="8"/>
        <w:rPr>
          <w:sz w:val="20"/>
        </w:rPr>
      </w:pPr>
    </w:p>
    <w:p>
      <w:pPr>
        <w:spacing w:before="0"/>
        <w:ind w:left="673" w:right="0" w:firstLine="0"/>
        <w:jc w:val="left"/>
        <w:rPr>
          <w:b/>
          <w:sz w:val="18"/>
        </w:rPr>
      </w:pPr>
      <w:r>
        <w:rPr>
          <w:b/>
          <w:color w:val="231F20"/>
          <w:w w:val="110"/>
          <w:sz w:val="18"/>
        </w:rPr>
        <w:t>Paragraph 2(3)(A)(ii)</w:t>
      </w:r>
    </w:p>
    <w:p>
      <w:pPr>
        <w:pStyle w:val="BodyText"/>
        <w:spacing w:before="2"/>
        <w:rPr>
          <w:b/>
          <w:sz w:val="23"/>
        </w:rPr>
      </w:pPr>
    </w:p>
    <w:p>
      <w:pPr>
        <w:spacing w:line="273" w:lineRule="auto" w:before="0"/>
        <w:ind w:left="673" w:right="1829" w:hanging="1"/>
        <w:jc w:val="left"/>
        <w:rPr>
          <w:sz w:val="18"/>
        </w:rPr>
      </w:pPr>
      <w:r>
        <w:rPr>
          <w:color w:val="231F20"/>
          <w:w w:val="110"/>
          <w:sz w:val="18"/>
        </w:rPr>
        <w:t>After the word ‘</w:t>
      </w:r>
      <w:r>
        <w:rPr>
          <w:b/>
          <w:color w:val="231F20"/>
          <w:w w:val="110"/>
          <w:sz w:val="18"/>
        </w:rPr>
        <w:t>ministers</w:t>
      </w:r>
      <w:r>
        <w:rPr>
          <w:color w:val="231F20"/>
          <w:w w:val="110"/>
          <w:sz w:val="18"/>
        </w:rPr>
        <w:t>’ (the first time it appears) add ‘</w:t>
      </w:r>
      <w:r>
        <w:rPr>
          <w:b/>
          <w:color w:val="231F20"/>
          <w:w w:val="110"/>
          <w:sz w:val="18"/>
        </w:rPr>
        <w:t>or church-related community workers</w:t>
      </w:r>
      <w:r>
        <w:rPr>
          <w:color w:val="231F20"/>
          <w:w w:val="110"/>
          <w:sz w:val="18"/>
        </w:rPr>
        <w:t>’ and after the word ‘</w:t>
      </w:r>
      <w:r>
        <w:rPr>
          <w:b/>
          <w:color w:val="231F20"/>
          <w:w w:val="110"/>
          <w:sz w:val="18"/>
        </w:rPr>
        <w:t>ministers</w:t>
      </w:r>
      <w:r>
        <w:rPr>
          <w:color w:val="231F20"/>
          <w:w w:val="110"/>
          <w:sz w:val="18"/>
        </w:rPr>
        <w:t>’ (the second time it appears) add ‘</w:t>
      </w:r>
      <w:r>
        <w:rPr>
          <w:b/>
          <w:color w:val="231F20"/>
          <w:w w:val="110"/>
          <w:sz w:val="18"/>
        </w:rPr>
        <w:t>and any commissioning and induction of church-related community workers</w:t>
      </w:r>
      <w:r>
        <w:rPr>
          <w:color w:val="231F20"/>
          <w:w w:val="110"/>
          <w:sz w:val="18"/>
        </w:rPr>
        <w:t>’.</w:t>
      </w:r>
    </w:p>
    <w:p>
      <w:pPr>
        <w:pStyle w:val="BodyText"/>
        <w:spacing w:before="9"/>
        <w:rPr>
          <w:sz w:val="20"/>
        </w:rPr>
      </w:pPr>
    </w:p>
    <w:p>
      <w:pPr>
        <w:spacing w:before="0"/>
        <w:ind w:left="673" w:right="0" w:firstLine="0"/>
        <w:jc w:val="left"/>
        <w:rPr>
          <w:b/>
          <w:sz w:val="18"/>
        </w:rPr>
      </w:pPr>
      <w:r>
        <w:rPr>
          <w:b/>
          <w:color w:val="231F20"/>
          <w:w w:val="110"/>
          <w:sz w:val="18"/>
        </w:rPr>
        <w:t>Paragraph 2(3)(A)(vi)</w:t>
      </w:r>
    </w:p>
    <w:p>
      <w:pPr>
        <w:pStyle w:val="BodyText"/>
        <w:spacing w:before="2"/>
        <w:rPr>
          <w:b/>
          <w:sz w:val="23"/>
        </w:rPr>
      </w:pPr>
    </w:p>
    <w:p>
      <w:pPr>
        <w:spacing w:line="273" w:lineRule="auto" w:before="0"/>
        <w:ind w:left="673" w:right="1593" w:firstLine="0"/>
        <w:jc w:val="left"/>
        <w:rPr>
          <w:sz w:val="18"/>
        </w:rPr>
      </w:pPr>
      <w:r>
        <w:rPr>
          <w:color w:val="231F20"/>
          <w:spacing w:val="2"/>
          <w:w w:val="110"/>
          <w:sz w:val="18"/>
        </w:rPr>
        <w:t>After </w:t>
      </w:r>
      <w:r>
        <w:rPr>
          <w:color w:val="231F20"/>
          <w:w w:val="110"/>
          <w:sz w:val="18"/>
        </w:rPr>
        <w:t>the word </w:t>
      </w:r>
      <w:r>
        <w:rPr>
          <w:b/>
          <w:color w:val="231F20"/>
          <w:w w:val="110"/>
          <w:sz w:val="18"/>
        </w:rPr>
        <w:t>’ministry’ </w:t>
      </w:r>
      <w:r>
        <w:rPr>
          <w:color w:val="231F20"/>
          <w:w w:val="110"/>
          <w:sz w:val="18"/>
        </w:rPr>
        <w:t>add ‘</w:t>
      </w:r>
      <w:r>
        <w:rPr>
          <w:b/>
          <w:color w:val="231F20"/>
          <w:w w:val="110"/>
          <w:sz w:val="18"/>
        </w:rPr>
        <w:t>of word and sacrament or the ministry of </w:t>
      </w:r>
      <w:r>
        <w:rPr>
          <w:b/>
          <w:color w:val="231F20"/>
          <w:spacing w:val="2"/>
          <w:w w:val="110"/>
          <w:sz w:val="18"/>
        </w:rPr>
        <w:t>church-</w:t>
      </w:r>
      <w:r>
        <w:rPr>
          <w:b/>
          <w:color w:val="231F20"/>
          <w:spacing w:val="71"/>
          <w:w w:val="110"/>
          <w:sz w:val="18"/>
        </w:rPr>
        <w:t> </w:t>
      </w:r>
      <w:r>
        <w:rPr>
          <w:b/>
          <w:color w:val="231F20"/>
          <w:spacing w:val="2"/>
          <w:w w:val="110"/>
          <w:sz w:val="18"/>
        </w:rPr>
        <w:t>related </w:t>
      </w:r>
      <w:r>
        <w:rPr>
          <w:b/>
          <w:color w:val="231F20"/>
          <w:w w:val="110"/>
          <w:sz w:val="18"/>
        </w:rPr>
        <w:t>community </w:t>
      </w:r>
      <w:r>
        <w:rPr>
          <w:b/>
          <w:color w:val="231F20"/>
          <w:spacing w:val="-3"/>
          <w:w w:val="110"/>
          <w:sz w:val="18"/>
        </w:rPr>
        <w:t>work</w:t>
      </w:r>
      <w:r>
        <w:rPr>
          <w:color w:val="231F20"/>
          <w:spacing w:val="-3"/>
          <w:w w:val="110"/>
          <w:sz w:val="18"/>
        </w:rPr>
        <w:t>’.</w:t>
      </w:r>
    </w:p>
    <w:p>
      <w:pPr>
        <w:pStyle w:val="BodyText"/>
        <w:spacing w:before="8"/>
        <w:rPr>
          <w:sz w:val="20"/>
        </w:rPr>
      </w:pPr>
    </w:p>
    <w:p>
      <w:pPr>
        <w:spacing w:before="0"/>
        <w:ind w:left="673" w:right="0" w:firstLine="0"/>
        <w:jc w:val="left"/>
        <w:rPr>
          <w:b/>
          <w:sz w:val="18"/>
        </w:rPr>
      </w:pPr>
      <w:r>
        <w:rPr>
          <w:b/>
          <w:color w:val="231F20"/>
          <w:w w:val="110"/>
          <w:sz w:val="18"/>
        </w:rPr>
        <w:t>Paragraph 2(3)(A)(viii)</w:t>
      </w:r>
    </w:p>
    <w:p>
      <w:pPr>
        <w:pStyle w:val="BodyText"/>
        <w:spacing w:before="2"/>
        <w:rPr>
          <w:b/>
          <w:sz w:val="23"/>
        </w:rPr>
      </w:pPr>
    </w:p>
    <w:p>
      <w:pPr>
        <w:spacing w:line="549" w:lineRule="auto" w:before="0"/>
        <w:ind w:left="673" w:right="2348" w:firstLine="0"/>
        <w:jc w:val="left"/>
        <w:rPr>
          <w:b/>
          <w:sz w:val="18"/>
        </w:rPr>
      </w:pPr>
      <w:r>
        <w:rPr>
          <w:color w:val="231F20"/>
          <w:w w:val="110"/>
          <w:sz w:val="18"/>
        </w:rPr>
        <w:t>After the word ‘</w:t>
      </w:r>
      <w:r>
        <w:rPr>
          <w:b/>
          <w:color w:val="231F20"/>
          <w:w w:val="110"/>
          <w:sz w:val="18"/>
        </w:rPr>
        <w:t>ministers</w:t>
      </w:r>
      <w:r>
        <w:rPr>
          <w:color w:val="231F20"/>
          <w:w w:val="110"/>
          <w:sz w:val="18"/>
        </w:rPr>
        <w:t>’ add ‘</w:t>
      </w:r>
      <w:r>
        <w:rPr>
          <w:b/>
          <w:color w:val="231F20"/>
          <w:w w:val="110"/>
          <w:sz w:val="18"/>
        </w:rPr>
        <w:t>or church-related community workers</w:t>
      </w:r>
      <w:r>
        <w:rPr>
          <w:color w:val="231F20"/>
          <w:w w:val="110"/>
          <w:sz w:val="18"/>
        </w:rPr>
        <w:t>’. </w:t>
      </w:r>
      <w:r>
        <w:rPr>
          <w:b/>
          <w:color w:val="231F20"/>
          <w:w w:val="110"/>
          <w:sz w:val="18"/>
        </w:rPr>
        <w:t>Paragraph 2(3)(A)(xviii)</w:t>
      </w:r>
    </w:p>
    <w:p>
      <w:pPr>
        <w:pStyle w:val="BodyText"/>
        <w:spacing w:line="217" w:lineRule="exact"/>
        <w:ind w:left="673"/>
      </w:pPr>
      <w:r>
        <w:rPr>
          <w:color w:val="231F20"/>
          <w:w w:val="110"/>
        </w:rPr>
        <w:t>Replace the existing 2(3)(A)(xviii) with the following:</w:t>
      </w:r>
    </w:p>
    <w:p>
      <w:pPr>
        <w:pStyle w:val="BodyText"/>
        <w:spacing w:before="1"/>
        <w:rPr>
          <w:sz w:val="23"/>
        </w:rPr>
      </w:pPr>
    </w:p>
    <w:p>
      <w:pPr>
        <w:spacing w:line="273" w:lineRule="auto" w:before="0"/>
        <w:ind w:left="673" w:right="1403" w:firstLine="0"/>
        <w:jc w:val="left"/>
        <w:rPr>
          <w:b/>
          <w:sz w:val="18"/>
        </w:rPr>
      </w:pPr>
      <w:r>
        <w:rPr>
          <w:b/>
          <w:color w:val="231F20"/>
          <w:w w:val="110"/>
          <w:sz w:val="18"/>
        </w:rPr>
        <w:t>Where the District Council, acting through its Mandated Group as defined in the Disciplinary Process referred to below, considers that a minister or church-related community worker is or may not be exercising his/her ministry of word and sacrament or church-related community work as the case may be in accordance with Paragraph 2 of Schedule E (in the case of ministers) or Paragraph 2 of Schedule F, Part II (in the case of church-related community workers) to the Basis of Union, to refer the case of that minister or church-related community worker to be dealt with in accordance with the Disciplinary Process contained in Section O of the Manual of the United Reformed Church and in every such case to suspend the minister or church-related community worker concerned pending the resolution</w:t>
      </w:r>
    </w:p>
    <w:p>
      <w:pPr>
        <w:spacing w:line="273" w:lineRule="auto" w:before="6"/>
        <w:ind w:left="673" w:right="1857" w:firstLine="0"/>
        <w:jc w:val="both"/>
        <w:rPr>
          <w:b/>
          <w:sz w:val="18"/>
        </w:rPr>
      </w:pPr>
      <w:r>
        <w:rPr>
          <w:b/>
          <w:color w:val="231F20"/>
          <w:w w:val="110"/>
          <w:sz w:val="18"/>
        </w:rPr>
        <w:t>of</w:t>
      </w:r>
      <w:r>
        <w:rPr>
          <w:b/>
          <w:color w:val="231F20"/>
          <w:spacing w:val="-6"/>
          <w:w w:val="110"/>
          <w:sz w:val="18"/>
        </w:rPr>
        <w:t> </w:t>
      </w:r>
      <w:r>
        <w:rPr>
          <w:b/>
          <w:color w:val="231F20"/>
          <w:w w:val="110"/>
          <w:sz w:val="18"/>
        </w:rPr>
        <w:t>the</w:t>
      </w:r>
      <w:r>
        <w:rPr>
          <w:b/>
          <w:color w:val="231F20"/>
          <w:spacing w:val="-5"/>
          <w:w w:val="110"/>
          <w:sz w:val="18"/>
        </w:rPr>
        <w:t> </w:t>
      </w:r>
      <w:r>
        <w:rPr>
          <w:b/>
          <w:color w:val="231F20"/>
          <w:w w:val="110"/>
          <w:sz w:val="18"/>
        </w:rPr>
        <w:t>matter</w:t>
      </w:r>
      <w:r>
        <w:rPr>
          <w:b/>
          <w:color w:val="231F20"/>
          <w:spacing w:val="-5"/>
          <w:w w:val="110"/>
          <w:sz w:val="18"/>
        </w:rPr>
        <w:t> </w:t>
      </w:r>
      <w:r>
        <w:rPr>
          <w:b/>
          <w:color w:val="231F20"/>
          <w:w w:val="110"/>
          <w:sz w:val="18"/>
        </w:rPr>
        <w:t>under</w:t>
      </w:r>
      <w:r>
        <w:rPr>
          <w:b/>
          <w:color w:val="231F20"/>
          <w:spacing w:val="-5"/>
          <w:w w:val="110"/>
          <w:sz w:val="18"/>
        </w:rPr>
        <w:t> </w:t>
      </w:r>
      <w:r>
        <w:rPr>
          <w:b/>
          <w:color w:val="231F20"/>
          <w:w w:val="110"/>
          <w:sz w:val="18"/>
        </w:rPr>
        <w:t>that</w:t>
      </w:r>
      <w:r>
        <w:rPr>
          <w:b/>
          <w:color w:val="231F20"/>
          <w:spacing w:val="-5"/>
          <w:w w:val="110"/>
          <w:sz w:val="18"/>
        </w:rPr>
        <w:t> </w:t>
      </w:r>
      <w:r>
        <w:rPr>
          <w:b/>
          <w:color w:val="231F20"/>
          <w:w w:val="110"/>
          <w:sz w:val="18"/>
        </w:rPr>
        <w:t>Process</w:t>
      </w:r>
      <w:r>
        <w:rPr>
          <w:b/>
          <w:color w:val="231F20"/>
          <w:spacing w:val="-5"/>
          <w:w w:val="110"/>
          <w:sz w:val="18"/>
        </w:rPr>
        <w:t> </w:t>
      </w:r>
      <w:r>
        <w:rPr>
          <w:b/>
          <w:color w:val="231F20"/>
          <w:spacing w:val="-4"/>
          <w:w w:val="110"/>
          <w:sz w:val="18"/>
        </w:rPr>
        <w:t>(for</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avoidance</w:t>
      </w:r>
      <w:r>
        <w:rPr>
          <w:b/>
          <w:color w:val="231F20"/>
          <w:spacing w:val="-5"/>
          <w:w w:val="110"/>
          <w:sz w:val="18"/>
        </w:rPr>
        <w:t> </w:t>
      </w:r>
      <w:r>
        <w:rPr>
          <w:b/>
          <w:color w:val="231F20"/>
          <w:w w:val="110"/>
          <w:sz w:val="18"/>
        </w:rPr>
        <w:t>of</w:t>
      </w:r>
      <w:r>
        <w:rPr>
          <w:b/>
          <w:color w:val="231F20"/>
          <w:spacing w:val="-5"/>
          <w:w w:val="110"/>
          <w:sz w:val="18"/>
        </w:rPr>
        <w:t> </w:t>
      </w:r>
      <w:r>
        <w:rPr>
          <w:b/>
          <w:color w:val="231F20"/>
          <w:w w:val="110"/>
          <w:sz w:val="18"/>
        </w:rPr>
        <w:t>doubt</w:t>
      </w:r>
      <w:r>
        <w:rPr>
          <w:b/>
          <w:color w:val="231F20"/>
          <w:spacing w:val="-5"/>
          <w:w w:val="110"/>
          <w:sz w:val="18"/>
        </w:rPr>
        <w:t> </w:t>
      </w:r>
      <w:r>
        <w:rPr>
          <w:b/>
          <w:color w:val="231F20"/>
          <w:w w:val="110"/>
          <w:sz w:val="18"/>
        </w:rPr>
        <w:t>the</w:t>
      </w:r>
      <w:r>
        <w:rPr>
          <w:b/>
          <w:color w:val="231F20"/>
          <w:spacing w:val="-5"/>
          <w:w w:val="110"/>
          <w:sz w:val="18"/>
        </w:rPr>
        <w:t> </w:t>
      </w:r>
      <w:r>
        <w:rPr>
          <w:b/>
          <w:color w:val="231F20"/>
          <w:w w:val="110"/>
          <w:sz w:val="18"/>
        </w:rPr>
        <w:t>calling</w:t>
      </w:r>
      <w:r>
        <w:rPr>
          <w:b/>
          <w:color w:val="231F20"/>
          <w:spacing w:val="-5"/>
          <w:w w:val="110"/>
          <w:sz w:val="18"/>
        </w:rPr>
        <w:t> </w:t>
      </w:r>
      <w:r>
        <w:rPr>
          <w:b/>
          <w:color w:val="231F20"/>
          <w:w w:val="110"/>
          <w:sz w:val="18"/>
        </w:rPr>
        <w:t>in</w:t>
      </w:r>
      <w:r>
        <w:rPr>
          <w:b/>
          <w:color w:val="231F20"/>
          <w:spacing w:val="-5"/>
          <w:w w:val="110"/>
          <w:sz w:val="18"/>
        </w:rPr>
        <w:t> </w:t>
      </w:r>
      <w:r>
        <w:rPr>
          <w:b/>
          <w:color w:val="231F20"/>
          <w:w w:val="110"/>
          <w:sz w:val="18"/>
        </w:rPr>
        <w:t>of</w:t>
      </w:r>
      <w:r>
        <w:rPr>
          <w:b/>
          <w:color w:val="231F20"/>
          <w:spacing w:val="-5"/>
          <w:w w:val="110"/>
          <w:sz w:val="18"/>
        </w:rPr>
        <w:t> </w:t>
      </w:r>
      <w:r>
        <w:rPr>
          <w:b/>
          <w:color w:val="231F20"/>
          <w:w w:val="110"/>
          <w:sz w:val="18"/>
        </w:rPr>
        <w:t>the Mandated Group under that Process in order to fulfil its responsibilities marking the commencement of the Disciplinary</w:t>
      </w:r>
      <w:r>
        <w:rPr>
          <w:b/>
          <w:color w:val="231F20"/>
          <w:spacing w:val="-23"/>
          <w:w w:val="110"/>
          <w:sz w:val="18"/>
        </w:rPr>
        <w:t> </w:t>
      </w:r>
      <w:r>
        <w:rPr>
          <w:b/>
          <w:color w:val="231F20"/>
          <w:w w:val="110"/>
          <w:sz w:val="18"/>
        </w:rPr>
        <w:t>Process).</w:t>
      </w:r>
    </w:p>
    <w:p>
      <w:pPr>
        <w:spacing w:after="0" w:line="273" w:lineRule="auto"/>
        <w:jc w:val="both"/>
        <w:rPr>
          <w:sz w:val="18"/>
        </w:rPr>
        <w:sectPr>
          <w:type w:val="continuous"/>
          <w:pgSz w:w="11910" w:h="16840"/>
          <w:pgMar w:top="680" w:bottom="280" w:left="460" w:right="0"/>
        </w:sectPr>
      </w:pPr>
    </w:p>
    <w:p>
      <w:pPr>
        <w:pStyle w:val="BodyText"/>
        <w:rPr>
          <w:b/>
          <w:sz w:val="20"/>
        </w:rPr>
      </w:pPr>
      <w:r>
        <w:rPr/>
        <w:pict>
          <v:group style="position:absolute;margin-left:39.685001pt;margin-top:53.291016pt;width:542pt;height:746.1pt;mso-position-horizontal-relative:page;mso-position-vertical-relative:page;z-index:-275536896" coordorigin="794,1066" coordsize="10840,14922">
            <v:shape style="position:absolute;left:1311;top:1163;width:9872;height:14726" coordorigin="1311,1164" coordsize="9872,14726" path="m1311,15649l1315,15788,1341,15859,1413,15886,1551,15889,10943,15889,11081,15886,11153,15859,11179,15788,11183,15649,11183,1404,11179,1265,11153,1194,11081,1168,10943,1164,1551,1164,1413,1168,1341,1194,1315,1265,1311,1404,1311,15649xe" filled="false" stroked="true" strokeweight="3pt" strokecolor="#000000">
              <v:path arrowok="t"/>
              <v:stroke dashstyle="solid"/>
            </v:shape>
            <v:shape style="position:absolute;left:793;top:1065;width:10840;height:14922" coordorigin="794,1066" coordsize="10840,14922" path="m11259,1066l964,1066,964,1411,11259,1411,11259,1066m11633,15625l794,15625,794,15987,11633,15987,11633,15625e" filled="true" fillcolor="#ffffff" stroked="false">
              <v:path arrowok="t"/>
              <v:fill type="solid"/>
            </v:shape>
            <w10:wrap type="none"/>
          </v:group>
        </w:pict>
      </w:r>
    </w:p>
    <w:p>
      <w:pPr>
        <w:pStyle w:val="BodyText"/>
        <w:spacing w:before="1"/>
        <w:rPr>
          <w:b/>
          <w:sz w:val="21"/>
        </w:rPr>
      </w:pPr>
    </w:p>
    <w:p>
      <w:pPr>
        <w:spacing w:before="0"/>
        <w:ind w:left="1240" w:right="0" w:firstLine="0"/>
        <w:jc w:val="left"/>
        <w:rPr>
          <w:b/>
          <w:sz w:val="18"/>
        </w:rPr>
      </w:pPr>
      <w:r>
        <w:rPr>
          <w:b/>
          <w:color w:val="231F20"/>
          <w:w w:val="110"/>
          <w:sz w:val="18"/>
        </w:rPr>
        <w:t>Paragraph 2(3)(A)(xix)(I)</w:t>
      </w:r>
    </w:p>
    <w:p>
      <w:pPr>
        <w:pStyle w:val="BodyText"/>
        <w:spacing w:before="2"/>
        <w:rPr>
          <w:b/>
          <w:sz w:val="23"/>
        </w:rPr>
      </w:pPr>
    </w:p>
    <w:p>
      <w:pPr>
        <w:spacing w:line="549" w:lineRule="auto" w:before="0"/>
        <w:ind w:left="1240" w:right="1593" w:firstLine="0"/>
        <w:jc w:val="left"/>
        <w:rPr>
          <w:b/>
          <w:sz w:val="18"/>
        </w:rPr>
      </w:pPr>
      <w:r>
        <w:rPr>
          <w:color w:val="231F20"/>
          <w:w w:val="110"/>
          <w:sz w:val="18"/>
        </w:rPr>
        <w:t>After the words ‘</w:t>
      </w:r>
      <w:r>
        <w:rPr>
          <w:b/>
          <w:color w:val="231F20"/>
          <w:w w:val="110"/>
          <w:sz w:val="18"/>
        </w:rPr>
        <w:t>lay people</w:t>
      </w:r>
      <w:r>
        <w:rPr>
          <w:color w:val="231F20"/>
          <w:w w:val="110"/>
          <w:sz w:val="18"/>
        </w:rPr>
        <w:t>’ add ‘</w:t>
      </w:r>
      <w:r>
        <w:rPr>
          <w:b/>
          <w:color w:val="231F20"/>
          <w:w w:val="110"/>
          <w:sz w:val="18"/>
        </w:rPr>
        <w:t>/church-related community workers</w:t>
      </w:r>
      <w:r>
        <w:rPr>
          <w:color w:val="231F20"/>
          <w:w w:val="110"/>
          <w:sz w:val="18"/>
        </w:rPr>
        <w:t>’. </w:t>
      </w:r>
      <w:r>
        <w:rPr>
          <w:b/>
          <w:color w:val="231F20"/>
          <w:w w:val="110"/>
          <w:sz w:val="18"/>
        </w:rPr>
        <w:t>Paragraph 2(3)(B)</w:t>
      </w:r>
    </w:p>
    <w:p>
      <w:pPr>
        <w:pStyle w:val="BodyText"/>
        <w:spacing w:line="217" w:lineRule="exact"/>
        <w:ind w:left="1240"/>
      </w:pPr>
      <w:r>
        <w:rPr>
          <w:color w:val="231F20"/>
          <w:w w:val="110"/>
        </w:rPr>
        <w:t>Replace the existing 2(3)(B) with the following:</w:t>
      </w:r>
    </w:p>
    <w:p>
      <w:pPr>
        <w:pStyle w:val="BodyText"/>
        <w:spacing w:before="1"/>
        <w:rPr>
          <w:sz w:val="23"/>
        </w:rPr>
      </w:pPr>
    </w:p>
    <w:p>
      <w:pPr>
        <w:spacing w:line="273" w:lineRule="auto" w:before="1"/>
        <w:ind w:left="1240" w:right="1257" w:firstLine="0"/>
        <w:jc w:val="left"/>
        <w:rPr>
          <w:b/>
          <w:sz w:val="18"/>
        </w:rPr>
      </w:pPr>
      <w:r>
        <w:rPr>
          <w:b/>
          <w:color w:val="231F20"/>
          <w:w w:val="110"/>
          <w:sz w:val="18"/>
        </w:rPr>
        <w:t>Once the Disciplinary Process has commenced in the case of any minister or church-related community worker with the calling in of the Mandated Group under that Process, whether by the Synod or by one of the other Councils of the church, the Synod shall not exercise its functions in respect of that minister or church-related community worker (save only in the provision of such pastoral care as may be appropriate) until the Process has been duly concluded.</w:t>
      </w:r>
    </w:p>
    <w:p>
      <w:pPr>
        <w:pStyle w:val="BodyText"/>
        <w:spacing w:before="10"/>
        <w:rPr>
          <w:b/>
          <w:sz w:val="20"/>
        </w:rPr>
      </w:pPr>
    </w:p>
    <w:p>
      <w:pPr>
        <w:spacing w:before="0"/>
        <w:ind w:left="1240" w:right="0" w:firstLine="0"/>
        <w:jc w:val="left"/>
        <w:rPr>
          <w:b/>
          <w:sz w:val="18"/>
        </w:rPr>
      </w:pPr>
      <w:r>
        <w:rPr>
          <w:b/>
          <w:color w:val="231F20"/>
          <w:w w:val="110"/>
          <w:sz w:val="18"/>
        </w:rPr>
        <w:t>Paragraph 2(3)(C)</w:t>
      </w:r>
    </w:p>
    <w:p>
      <w:pPr>
        <w:pStyle w:val="BodyText"/>
        <w:spacing w:before="2"/>
        <w:rPr>
          <w:b/>
          <w:sz w:val="23"/>
        </w:rPr>
      </w:pPr>
    </w:p>
    <w:p>
      <w:pPr>
        <w:pStyle w:val="BodyText"/>
        <w:ind w:left="1240"/>
      </w:pPr>
      <w:r>
        <w:rPr>
          <w:color w:val="231F20"/>
          <w:w w:val="110"/>
        </w:rPr>
        <w:t>Replace the existing 2(3)(C) with the following:</w:t>
      </w:r>
    </w:p>
    <w:p>
      <w:pPr>
        <w:pStyle w:val="BodyText"/>
        <w:spacing w:before="2"/>
        <w:rPr>
          <w:sz w:val="23"/>
        </w:rPr>
      </w:pPr>
    </w:p>
    <w:p>
      <w:pPr>
        <w:spacing w:line="273" w:lineRule="auto" w:before="0"/>
        <w:ind w:left="1240" w:right="1593" w:firstLine="0"/>
        <w:jc w:val="left"/>
        <w:rPr>
          <w:b/>
          <w:sz w:val="18"/>
        </w:rPr>
      </w:pPr>
      <w:r>
        <w:rPr>
          <w:b/>
          <w:color w:val="231F20"/>
          <w:w w:val="110"/>
          <w:sz w:val="18"/>
        </w:rPr>
        <w:t>No appeal shall lie against the decision by a District Council to initiate the Disciplinary Process in respect of any minister or church-related community worker under Function (xviii) above.</w:t>
      </w:r>
    </w:p>
    <w:p>
      <w:pPr>
        <w:pStyle w:val="BodyText"/>
        <w:spacing w:before="8"/>
        <w:rPr>
          <w:b/>
          <w:sz w:val="20"/>
        </w:rPr>
      </w:pPr>
    </w:p>
    <w:p>
      <w:pPr>
        <w:spacing w:before="1"/>
        <w:ind w:left="1240" w:right="0" w:firstLine="0"/>
        <w:jc w:val="left"/>
        <w:rPr>
          <w:b/>
          <w:sz w:val="18"/>
        </w:rPr>
      </w:pPr>
      <w:r>
        <w:rPr>
          <w:b/>
          <w:color w:val="231F20"/>
          <w:w w:val="110"/>
          <w:sz w:val="18"/>
        </w:rPr>
        <w:t>Paragraph 2(4)(A)(v)</w:t>
      </w:r>
    </w:p>
    <w:p>
      <w:pPr>
        <w:pStyle w:val="BodyText"/>
        <w:spacing w:before="1"/>
        <w:rPr>
          <w:b/>
          <w:sz w:val="23"/>
        </w:rPr>
      </w:pPr>
    </w:p>
    <w:p>
      <w:pPr>
        <w:spacing w:line="273" w:lineRule="auto" w:before="0"/>
        <w:ind w:left="1240" w:right="474" w:firstLine="0"/>
        <w:jc w:val="left"/>
        <w:rPr>
          <w:b/>
          <w:sz w:val="18"/>
        </w:rPr>
      </w:pPr>
      <w:r>
        <w:rPr>
          <w:color w:val="231F20"/>
          <w:w w:val="110"/>
          <w:sz w:val="18"/>
        </w:rPr>
        <w:t>Alter the word </w:t>
      </w:r>
      <w:r>
        <w:rPr>
          <w:b/>
          <w:color w:val="231F20"/>
          <w:w w:val="110"/>
          <w:sz w:val="18"/>
        </w:rPr>
        <w:t>‘ministry’ </w:t>
      </w:r>
      <w:r>
        <w:rPr>
          <w:color w:val="231F20"/>
          <w:w w:val="110"/>
          <w:sz w:val="18"/>
        </w:rPr>
        <w:t>to </w:t>
      </w:r>
      <w:r>
        <w:rPr>
          <w:b/>
          <w:color w:val="231F20"/>
          <w:w w:val="110"/>
          <w:sz w:val="18"/>
        </w:rPr>
        <w:t>‘ministries of word and sacrament and church-related community work’.</w:t>
      </w:r>
    </w:p>
    <w:p>
      <w:pPr>
        <w:pStyle w:val="BodyText"/>
        <w:spacing w:before="8"/>
        <w:rPr>
          <w:b/>
          <w:sz w:val="20"/>
        </w:rPr>
      </w:pPr>
    </w:p>
    <w:p>
      <w:pPr>
        <w:spacing w:before="1"/>
        <w:ind w:left="1240" w:right="0" w:firstLine="0"/>
        <w:jc w:val="left"/>
        <w:rPr>
          <w:b/>
          <w:sz w:val="18"/>
        </w:rPr>
      </w:pPr>
      <w:r>
        <w:rPr>
          <w:b/>
          <w:color w:val="231F20"/>
          <w:w w:val="110"/>
          <w:sz w:val="18"/>
        </w:rPr>
        <w:t>Paragraph 2(4)(A)(vi)</w:t>
      </w:r>
    </w:p>
    <w:p>
      <w:pPr>
        <w:pStyle w:val="BodyText"/>
        <w:spacing w:before="1"/>
        <w:rPr>
          <w:b/>
          <w:sz w:val="23"/>
        </w:rPr>
      </w:pPr>
    </w:p>
    <w:p>
      <w:pPr>
        <w:spacing w:line="273" w:lineRule="auto" w:before="0"/>
        <w:ind w:left="1240" w:right="1593" w:hanging="1"/>
        <w:jc w:val="left"/>
        <w:rPr>
          <w:sz w:val="18"/>
        </w:rPr>
      </w:pPr>
      <w:r>
        <w:rPr>
          <w:color w:val="231F20"/>
          <w:w w:val="110"/>
          <w:sz w:val="18"/>
        </w:rPr>
        <w:t>Alter the word ‘</w:t>
      </w:r>
      <w:r>
        <w:rPr>
          <w:b/>
          <w:color w:val="231F20"/>
          <w:w w:val="110"/>
          <w:sz w:val="18"/>
        </w:rPr>
        <w:t>ministry</w:t>
      </w:r>
      <w:r>
        <w:rPr>
          <w:color w:val="231F20"/>
          <w:w w:val="110"/>
          <w:sz w:val="18"/>
        </w:rPr>
        <w:t>’ (the first time it appears) to ‘</w:t>
      </w:r>
      <w:r>
        <w:rPr>
          <w:b/>
          <w:color w:val="231F20"/>
          <w:w w:val="110"/>
          <w:sz w:val="18"/>
        </w:rPr>
        <w:t>ministries of word and sacrament and church-related community work</w:t>
      </w:r>
      <w:r>
        <w:rPr>
          <w:color w:val="231F20"/>
          <w:w w:val="110"/>
          <w:sz w:val="18"/>
        </w:rPr>
        <w:t>’ and alter the word ‘</w:t>
      </w:r>
      <w:r>
        <w:rPr>
          <w:b/>
          <w:color w:val="231F20"/>
          <w:w w:val="110"/>
          <w:sz w:val="18"/>
        </w:rPr>
        <w:t>ministries</w:t>
      </w:r>
      <w:r>
        <w:rPr>
          <w:color w:val="231F20"/>
          <w:w w:val="110"/>
          <w:sz w:val="18"/>
        </w:rPr>
        <w:t>’ (the second time it appears) to ‘</w:t>
      </w:r>
      <w:r>
        <w:rPr>
          <w:b/>
          <w:color w:val="231F20"/>
          <w:w w:val="110"/>
          <w:sz w:val="18"/>
        </w:rPr>
        <w:t>the above ministries</w:t>
      </w:r>
      <w:r>
        <w:rPr>
          <w:color w:val="231F20"/>
          <w:w w:val="110"/>
          <w:sz w:val="18"/>
        </w:rPr>
        <w:t>’.</w:t>
      </w:r>
    </w:p>
    <w:p>
      <w:pPr>
        <w:pStyle w:val="BodyText"/>
        <w:spacing w:before="9"/>
        <w:rPr>
          <w:sz w:val="20"/>
        </w:rPr>
      </w:pPr>
    </w:p>
    <w:p>
      <w:pPr>
        <w:spacing w:before="0"/>
        <w:ind w:left="1240" w:right="0" w:firstLine="0"/>
        <w:jc w:val="left"/>
        <w:rPr>
          <w:b/>
          <w:sz w:val="18"/>
        </w:rPr>
      </w:pPr>
      <w:r>
        <w:rPr>
          <w:b/>
          <w:color w:val="231F20"/>
          <w:w w:val="110"/>
          <w:sz w:val="18"/>
        </w:rPr>
        <w:t>Paragraph 2(4)(A)(vii)</w:t>
      </w:r>
    </w:p>
    <w:p>
      <w:pPr>
        <w:pStyle w:val="BodyText"/>
        <w:spacing w:before="2"/>
        <w:rPr>
          <w:b/>
          <w:sz w:val="23"/>
        </w:rPr>
      </w:pPr>
    </w:p>
    <w:p>
      <w:pPr>
        <w:spacing w:line="273" w:lineRule="auto" w:before="0"/>
        <w:ind w:left="1240" w:right="1365" w:firstLine="0"/>
        <w:jc w:val="left"/>
        <w:rPr>
          <w:sz w:val="18"/>
        </w:rPr>
      </w:pPr>
      <w:r>
        <w:rPr>
          <w:color w:val="231F20"/>
          <w:w w:val="110"/>
          <w:sz w:val="18"/>
        </w:rPr>
        <w:t>After the words ‘</w:t>
      </w:r>
      <w:r>
        <w:rPr>
          <w:b/>
          <w:color w:val="231F20"/>
          <w:w w:val="110"/>
          <w:sz w:val="18"/>
        </w:rPr>
        <w:t>Roll of Ministers</w:t>
      </w:r>
      <w:r>
        <w:rPr>
          <w:color w:val="231F20"/>
          <w:w w:val="110"/>
          <w:sz w:val="18"/>
        </w:rPr>
        <w:t>’ add ‘</w:t>
      </w:r>
      <w:r>
        <w:rPr>
          <w:b/>
          <w:color w:val="231F20"/>
          <w:w w:val="110"/>
          <w:sz w:val="18"/>
        </w:rPr>
        <w:t>or the Roll of Church-Related Community Workers</w:t>
      </w:r>
      <w:r>
        <w:rPr>
          <w:color w:val="231F20"/>
          <w:w w:val="110"/>
          <w:sz w:val="18"/>
        </w:rPr>
        <w:t>’.</w:t>
      </w:r>
    </w:p>
    <w:p>
      <w:pPr>
        <w:pStyle w:val="BodyText"/>
        <w:spacing w:before="8"/>
        <w:rPr>
          <w:sz w:val="20"/>
        </w:rPr>
      </w:pPr>
    </w:p>
    <w:p>
      <w:pPr>
        <w:spacing w:line="549" w:lineRule="auto" w:before="0"/>
        <w:ind w:left="1240" w:right="4783" w:firstLine="0"/>
        <w:jc w:val="left"/>
        <w:rPr>
          <w:b/>
          <w:sz w:val="18"/>
        </w:rPr>
      </w:pPr>
      <w:r>
        <w:rPr>
          <w:color w:val="231F20"/>
          <w:w w:val="110"/>
          <w:sz w:val="18"/>
        </w:rPr>
        <w:t>Alter the words ‘</w:t>
      </w:r>
      <w:r>
        <w:rPr>
          <w:b/>
          <w:color w:val="231F20"/>
          <w:w w:val="110"/>
          <w:sz w:val="18"/>
        </w:rPr>
        <w:t>Function (xv)</w:t>
      </w:r>
      <w:r>
        <w:rPr>
          <w:color w:val="231F20"/>
          <w:w w:val="110"/>
          <w:sz w:val="18"/>
        </w:rPr>
        <w:t>’ to ‘</w:t>
      </w:r>
      <w:r>
        <w:rPr>
          <w:b/>
          <w:color w:val="231F20"/>
          <w:w w:val="110"/>
          <w:sz w:val="18"/>
        </w:rPr>
        <w:t>Function (xiv)</w:t>
      </w:r>
      <w:r>
        <w:rPr>
          <w:color w:val="231F20"/>
          <w:w w:val="110"/>
          <w:sz w:val="18"/>
        </w:rPr>
        <w:t>’. </w:t>
      </w:r>
      <w:r>
        <w:rPr>
          <w:b/>
          <w:color w:val="231F20"/>
          <w:w w:val="110"/>
          <w:sz w:val="18"/>
        </w:rPr>
        <w:t>Paragraph 2(4)(A)(xiv)</w:t>
      </w:r>
    </w:p>
    <w:p>
      <w:pPr>
        <w:pStyle w:val="BodyText"/>
        <w:spacing w:line="217" w:lineRule="exact"/>
        <w:ind w:left="1240"/>
      </w:pPr>
      <w:r>
        <w:rPr>
          <w:color w:val="231F20"/>
          <w:w w:val="110"/>
        </w:rPr>
        <w:t>Replace the existing 2(4)(A)(xiv) with the following:</w:t>
      </w:r>
    </w:p>
    <w:p>
      <w:pPr>
        <w:pStyle w:val="BodyText"/>
        <w:spacing w:before="1"/>
        <w:rPr>
          <w:sz w:val="23"/>
        </w:rPr>
      </w:pPr>
    </w:p>
    <w:p>
      <w:pPr>
        <w:spacing w:line="273" w:lineRule="auto" w:before="0"/>
        <w:ind w:left="1240" w:right="1145" w:firstLine="0"/>
        <w:jc w:val="left"/>
        <w:rPr>
          <w:b/>
          <w:sz w:val="18"/>
        </w:rPr>
      </w:pPr>
      <w:r>
        <w:rPr>
          <w:b/>
          <w:color w:val="231F20"/>
          <w:w w:val="110"/>
          <w:sz w:val="18"/>
        </w:rPr>
        <w:t>In the absence of </w:t>
      </w:r>
      <w:r>
        <w:rPr>
          <w:b/>
          <w:color w:val="231F20"/>
          <w:spacing w:val="-3"/>
          <w:w w:val="110"/>
          <w:sz w:val="18"/>
        </w:rPr>
        <w:t>any </w:t>
      </w:r>
      <w:r>
        <w:rPr>
          <w:b/>
          <w:color w:val="231F20"/>
          <w:w w:val="110"/>
          <w:sz w:val="18"/>
        </w:rPr>
        <w:t>reference into the Disciplinary Process by the appropriate district council and where the Synod, acting through its Mandated Group as defined</w:t>
      </w:r>
      <w:r>
        <w:rPr>
          <w:b/>
          <w:color w:val="231F20"/>
          <w:spacing w:val="-12"/>
          <w:w w:val="110"/>
          <w:sz w:val="18"/>
        </w:rPr>
        <w:t> </w:t>
      </w:r>
      <w:r>
        <w:rPr>
          <w:b/>
          <w:color w:val="231F20"/>
          <w:w w:val="110"/>
          <w:sz w:val="18"/>
        </w:rPr>
        <w:t>in</w:t>
      </w:r>
      <w:r>
        <w:rPr>
          <w:b/>
          <w:color w:val="231F20"/>
          <w:spacing w:val="-12"/>
          <w:w w:val="110"/>
          <w:sz w:val="18"/>
        </w:rPr>
        <w:t> </w:t>
      </w:r>
      <w:r>
        <w:rPr>
          <w:b/>
          <w:color w:val="231F20"/>
          <w:w w:val="110"/>
          <w:sz w:val="18"/>
        </w:rPr>
        <w:t>the</w:t>
      </w:r>
      <w:r>
        <w:rPr>
          <w:b/>
          <w:color w:val="231F20"/>
          <w:spacing w:val="-12"/>
          <w:w w:val="110"/>
          <w:sz w:val="18"/>
        </w:rPr>
        <w:t> </w:t>
      </w:r>
      <w:r>
        <w:rPr>
          <w:b/>
          <w:color w:val="231F20"/>
          <w:w w:val="110"/>
          <w:sz w:val="18"/>
        </w:rPr>
        <w:t>Disciplinary</w:t>
      </w:r>
      <w:r>
        <w:rPr>
          <w:b/>
          <w:color w:val="231F20"/>
          <w:spacing w:val="-12"/>
          <w:w w:val="110"/>
          <w:sz w:val="18"/>
        </w:rPr>
        <w:t> </w:t>
      </w:r>
      <w:r>
        <w:rPr>
          <w:b/>
          <w:color w:val="231F20"/>
          <w:w w:val="110"/>
          <w:sz w:val="18"/>
        </w:rPr>
        <w:t>Process</w:t>
      </w:r>
      <w:r>
        <w:rPr>
          <w:b/>
          <w:color w:val="231F20"/>
          <w:spacing w:val="-12"/>
          <w:w w:val="110"/>
          <w:sz w:val="18"/>
        </w:rPr>
        <w:t> </w:t>
      </w:r>
      <w:r>
        <w:rPr>
          <w:b/>
          <w:color w:val="231F20"/>
          <w:w w:val="110"/>
          <w:sz w:val="18"/>
        </w:rPr>
        <w:t>referred</w:t>
      </w:r>
      <w:r>
        <w:rPr>
          <w:b/>
          <w:color w:val="231F20"/>
          <w:spacing w:val="-12"/>
          <w:w w:val="110"/>
          <w:sz w:val="18"/>
        </w:rPr>
        <w:t> </w:t>
      </w:r>
      <w:r>
        <w:rPr>
          <w:b/>
          <w:color w:val="231F20"/>
          <w:w w:val="110"/>
          <w:sz w:val="18"/>
        </w:rPr>
        <w:t>to</w:t>
      </w:r>
      <w:r>
        <w:rPr>
          <w:b/>
          <w:color w:val="231F20"/>
          <w:spacing w:val="-12"/>
          <w:w w:val="110"/>
          <w:sz w:val="18"/>
        </w:rPr>
        <w:t> </w:t>
      </w:r>
      <w:r>
        <w:rPr>
          <w:b/>
          <w:color w:val="231F20"/>
          <w:w w:val="110"/>
          <w:sz w:val="18"/>
        </w:rPr>
        <w:t>below,</w:t>
      </w:r>
      <w:r>
        <w:rPr>
          <w:b/>
          <w:color w:val="231F20"/>
          <w:spacing w:val="-12"/>
          <w:w w:val="110"/>
          <w:sz w:val="18"/>
        </w:rPr>
        <w:t> </w:t>
      </w:r>
      <w:r>
        <w:rPr>
          <w:b/>
          <w:color w:val="231F20"/>
          <w:w w:val="110"/>
          <w:sz w:val="18"/>
        </w:rPr>
        <w:t>considers</w:t>
      </w:r>
      <w:r>
        <w:rPr>
          <w:b/>
          <w:color w:val="231F20"/>
          <w:spacing w:val="-12"/>
          <w:w w:val="110"/>
          <w:sz w:val="18"/>
        </w:rPr>
        <w:t> </w:t>
      </w:r>
      <w:r>
        <w:rPr>
          <w:b/>
          <w:color w:val="231F20"/>
          <w:w w:val="110"/>
          <w:sz w:val="18"/>
        </w:rPr>
        <w:t>that</w:t>
      </w:r>
      <w:r>
        <w:rPr>
          <w:b/>
          <w:color w:val="231F20"/>
          <w:spacing w:val="-12"/>
          <w:w w:val="110"/>
          <w:sz w:val="18"/>
        </w:rPr>
        <w:t> </w:t>
      </w:r>
      <w:r>
        <w:rPr>
          <w:b/>
          <w:color w:val="231F20"/>
          <w:w w:val="110"/>
          <w:sz w:val="18"/>
        </w:rPr>
        <w:t>a</w:t>
      </w:r>
      <w:r>
        <w:rPr>
          <w:b/>
          <w:color w:val="231F20"/>
          <w:spacing w:val="-12"/>
          <w:w w:val="110"/>
          <w:sz w:val="18"/>
        </w:rPr>
        <w:t> </w:t>
      </w:r>
      <w:r>
        <w:rPr>
          <w:b/>
          <w:color w:val="231F20"/>
          <w:w w:val="110"/>
          <w:sz w:val="18"/>
        </w:rPr>
        <w:t>minister</w:t>
      </w:r>
      <w:r>
        <w:rPr>
          <w:b/>
          <w:color w:val="231F20"/>
          <w:spacing w:val="-12"/>
          <w:w w:val="110"/>
          <w:sz w:val="18"/>
        </w:rPr>
        <w:t> </w:t>
      </w:r>
      <w:r>
        <w:rPr>
          <w:b/>
          <w:color w:val="231F20"/>
          <w:w w:val="110"/>
          <w:sz w:val="18"/>
        </w:rPr>
        <w:t>or church-related community worker is or may not be exercising </w:t>
      </w:r>
      <w:r>
        <w:rPr>
          <w:b/>
          <w:color w:val="231F20"/>
          <w:spacing w:val="-3"/>
          <w:w w:val="110"/>
          <w:sz w:val="18"/>
        </w:rPr>
        <w:t>his/her </w:t>
      </w:r>
      <w:r>
        <w:rPr>
          <w:b/>
          <w:color w:val="231F20"/>
          <w:w w:val="110"/>
          <w:sz w:val="18"/>
        </w:rPr>
        <w:t>ministry in accordance</w:t>
      </w:r>
      <w:r>
        <w:rPr>
          <w:b/>
          <w:color w:val="231F20"/>
          <w:spacing w:val="-13"/>
          <w:w w:val="110"/>
          <w:sz w:val="18"/>
        </w:rPr>
        <w:t> </w:t>
      </w:r>
      <w:r>
        <w:rPr>
          <w:b/>
          <w:color w:val="231F20"/>
          <w:w w:val="110"/>
          <w:sz w:val="18"/>
        </w:rPr>
        <w:t>with</w:t>
      </w:r>
      <w:r>
        <w:rPr>
          <w:b/>
          <w:color w:val="231F20"/>
          <w:spacing w:val="-13"/>
          <w:w w:val="110"/>
          <w:sz w:val="18"/>
        </w:rPr>
        <w:t> </w:t>
      </w:r>
      <w:r>
        <w:rPr>
          <w:b/>
          <w:color w:val="231F20"/>
          <w:w w:val="110"/>
          <w:sz w:val="18"/>
        </w:rPr>
        <w:t>Paragraph</w:t>
      </w:r>
      <w:r>
        <w:rPr>
          <w:b/>
          <w:color w:val="231F20"/>
          <w:spacing w:val="-13"/>
          <w:w w:val="110"/>
          <w:sz w:val="18"/>
        </w:rPr>
        <w:t> </w:t>
      </w:r>
      <w:r>
        <w:rPr>
          <w:b/>
          <w:color w:val="231F20"/>
          <w:w w:val="110"/>
          <w:sz w:val="18"/>
        </w:rPr>
        <w:t>2</w:t>
      </w:r>
      <w:r>
        <w:rPr>
          <w:b/>
          <w:color w:val="231F20"/>
          <w:spacing w:val="-12"/>
          <w:w w:val="110"/>
          <w:sz w:val="18"/>
        </w:rPr>
        <w:t> </w:t>
      </w:r>
      <w:r>
        <w:rPr>
          <w:b/>
          <w:color w:val="231F20"/>
          <w:w w:val="110"/>
          <w:sz w:val="18"/>
        </w:rPr>
        <w:t>of</w:t>
      </w:r>
      <w:r>
        <w:rPr>
          <w:b/>
          <w:color w:val="231F20"/>
          <w:spacing w:val="-13"/>
          <w:w w:val="110"/>
          <w:sz w:val="18"/>
        </w:rPr>
        <w:t> </w:t>
      </w:r>
      <w:r>
        <w:rPr>
          <w:b/>
          <w:color w:val="231F20"/>
          <w:w w:val="110"/>
          <w:sz w:val="18"/>
        </w:rPr>
        <w:t>Schedule</w:t>
      </w:r>
      <w:r>
        <w:rPr>
          <w:b/>
          <w:color w:val="231F20"/>
          <w:spacing w:val="-13"/>
          <w:w w:val="110"/>
          <w:sz w:val="18"/>
        </w:rPr>
        <w:t> </w:t>
      </w:r>
      <w:r>
        <w:rPr>
          <w:b/>
          <w:color w:val="231F20"/>
          <w:w w:val="110"/>
          <w:sz w:val="18"/>
        </w:rPr>
        <w:t>E</w:t>
      </w:r>
      <w:r>
        <w:rPr>
          <w:b/>
          <w:color w:val="231F20"/>
          <w:spacing w:val="-13"/>
          <w:w w:val="110"/>
          <w:sz w:val="18"/>
        </w:rPr>
        <w:t> </w:t>
      </w:r>
      <w:r>
        <w:rPr>
          <w:b/>
          <w:color w:val="231F20"/>
          <w:w w:val="110"/>
          <w:sz w:val="18"/>
        </w:rPr>
        <w:t>to</w:t>
      </w:r>
      <w:r>
        <w:rPr>
          <w:b/>
          <w:color w:val="231F20"/>
          <w:spacing w:val="-12"/>
          <w:w w:val="110"/>
          <w:sz w:val="18"/>
        </w:rPr>
        <w:t> </w:t>
      </w:r>
      <w:r>
        <w:rPr>
          <w:b/>
          <w:color w:val="231F20"/>
          <w:w w:val="110"/>
          <w:sz w:val="18"/>
        </w:rPr>
        <w:t>the</w:t>
      </w:r>
      <w:r>
        <w:rPr>
          <w:b/>
          <w:color w:val="231F20"/>
          <w:spacing w:val="-13"/>
          <w:w w:val="110"/>
          <w:sz w:val="18"/>
        </w:rPr>
        <w:t> </w:t>
      </w:r>
      <w:r>
        <w:rPr>
          <w:b/>
          <w:color w:val="231F20"/>
          <w:w w:val="110"/>
          <w:sz w:val="18"/>
        </w:rPr>
        <w:t>Basis</w:t>
      </w:r>
      <w:r>
        <w:rPr>
          <w:b/>
          <w:color w:val="231F20"/>
          <w:spacing w:val="-13"/>
          <w:w w:val="110"/>
          <w:sz w:val="18"/>
        </w:rPr>
        <w:t> </w:t>
      </w:r>
      <w:r>
        <w:rPr>
          <w:b/>
          <w:color w:val="231F20"/>
          <w:w w:val="110"/>
          <w:sz w:val="18"/>
        </w:rPr>
        <w:t>of</w:t>
      </w:r>
      <w:r>
        <w:rPr>
          <w:b/>
          <w:color w:val="231F20"/>
          <w:spacing w:val="-13"/>
          <w:w w:val="110"/>
          <w:sz w:val="18"/>
        </w:rPr>
        <w:t> </w:t>
      </w:r>
      <w:r>
        <w:rPr>
          <w:b/>
          <w:color w:val="231F20"/>
          <w:w w:val="110"/>
          <w:sz w:val="18"/>
        </w:rPr>
        <w:t>Union</w:t>
      </w:r>
      <w:r>
        <w:rPr>
          <w:b/>
          <w:color w:val="231F20"/>
          <w:spacing w:val="-12"/>
          <w:w w:val="110"/>
          <w:sz w:val="18"/>
        </w:rPr>
        <w:t> </w:t>
      </w:r>
      <w:r>
        <w:rPr>
          <w:b/>
          <w:color w:val="231F20"/>
          <w:w w:val="110"/>
          <w:sz w:val="18"/>
        </w:rPr>
        <w:t>or</w:t>
      </w:r>
      <w:r>
        <w:rPr>
          <w:b/>
          <w:color w:val="231F20"/>
          <w:spacing w:val="-13"/>
          <w:w w:val="110"/>
          <w:sz w:val="18"/>
        </w:rPr>
        <w:t> </w:t>
      </w:r>
      <w:r>
        <w:rPr>
          <w:b/>
          <w:color w:val="231F20"/>
          <w:w w:val="110"/>
          <w:sz w:val="18"/>
        </w:rPr>
        <w:t>Paragraph</w:t>
      </w:r>
      <w:r>
        <w:rPr>
          <w:b/>
          <w:color w:val="231F20"/>
          <w:spacing w:val="-13"/>
          <w:w w:val="110"/>
          <w:sz w:val="18"/>
        </w:rPr>
        <w:t> </w:t>
      </w:r>
      <w:r>
        <w:rPr>
          <w:b/>
          <w:color w:val="231F20"/>
          <w:w w:val="110"/>
          <w:sz w:val="18"/>
        </w:rPr>
        <w:t>2</w:t>
      </w:r>
      <w:r>
        <w:rPr>
          <w:b/>
          <w:color w:val="231F20"/>
          <w:spacing w:val="-13"/>
          <w:w w:val="110"/>
          <w:sz w:val="18"/>
        </w:rPr>
        <w:t> </w:t>
      </w:r>
      <w:r>
        <w:rPr>
          <w:b/>
          <w:color w:val="231F20"/>
          <w:w w:val="110"/>
          <w:sz w:val="18"/>
        </w:rPr>
        <w:t>of</w:t>
      </w:r>
    </w:p>
    <w:p>
      <w:pPr>
        <w:spacing w:line="273" w:lineRule="auto" w:before="3"/>
        <w:ind w:left="1240" w:right="974" w:firstLine="0"/>
        <w:jc w:val="left"/>
        <w:rPr>
          <w:b/>
          <w:sz w:val="18"/>
        </w:rPr>
      </w:pPr>
      <w:r>
        <w:rPr>
          <w:b/>
          <w:color w:val="231F20"/>
          <w:w w:val="110"/>
          <w:sz w:val="18"/>
        </w:rPr>
        <w:t>Schedule</w:t>
      </w:r>
      <w:r>
        <w:rPr>
          <w:b/>
          <w:color w:val="231F20"/>
          <w:spacing w:val="-10"/>
          <w:w w:val="110"/>
          <w:sz w:val="18"/>
        </w:rPr>
        <w:t> </w:t>
      </w:r>
      <w:r>
        <w:rPr>
          <w:b/>
          <w:color w:val="231F20"/>
          <w:spacing w:val="-8"/>
          <w:w w:val="110"/>
          <w:sz w:val="18"/>
        </w:rPr>
        <w:t>F,</w:t>
      </w:r>
      <w:r>
        <w:rPr>
          <w:b/>
          <w:color w:val="231F20"/>
          <w:spacing w:val="-10"/>
          <w:w w:val="110"/>
          <w:sz w:val="18"/>
        </w:rPr>
        <w:t> </w:t>
      </w:r>
      <w:r>
        <w:rPr>
          <w:b/>
          <w:color w:val="231F20"/>
          <w:w w:val="110"/>
          <w:sz w:val="18"/>
        </w:rPr>
        <w:t>Part</w:t>
      </w:r>
      <w:r>
        <w:rPr>
          <w:b/>
          <w:color w:val="231F20"/>
          <w:spacing w:val="-9"/>
          <w:w w:val="110"/>
          <w:sz w:val="18"/>
        </w:rPr>
        <w:t> </w:t>
      </w:r>
      <w:r>
        <w:rPr>
          <w:b/>
          <w:color w:val="231F20"/>
          <w:w w:val="110"/>
          <w:sz w:val="18"/>
        </w:rPr>
        <w:t>II,</w:t>
      </w:r>
      <w:r>
        <w:rPr>
          <w:b/>
          <w:color w:val="231F20"/>
          <w:spacing w:val="-10"/>
          <w:w w:val="110"/>
          <w:sz w:val="18"/>
        </w:rPr>
        <w:t> </w:t>
      </w:r>
      <w:r>
        <w:rPr>
          <w:b/>
          <w:color w:val="231F20"/>
          <w:w w:val="110"/>
          <w:sz w:val="18"/>
        </w:rPr>
        <w:t>as</w:t>
      </w:r>
      <w:r>
        <w:rPr>
          <w:b/>
          <w:color w:val="231F20"/>
          <w:spacing w:val="-10"/>
          <w:w w:val="110"/>
          <w:sz w:val="18"/>
        </w:rPr>
        <w:t> </w:t>
      </w:r>
      <w:r>
        <w:rPr>
          <w:b/>
          <w:color w:val="231F20"/>
          <w:w w:val="110"/>
          <w:sz w:val="18"/>
        </w:rPr>
        <w:t>the</w:t>
      </w:r>
      <w:r>
        <w:rPr>
          <w:b/>
          <w:color w:val="231F20"/>
          <w:spacing w:val="-9"/>
          <w:w w:val="110"/>
          <w:sz w:val="18"/>
        </w:rPr>
        <w:t> </w:t>
      </w:r>
      <w:r>
        <w:rPr>
          <w:b/>
          <w:color w:val="231F20"/>
          <w:w w:val="110"/>
          <w:sz w:val="18"/>
        </w:rPr>
        <w:t>case</w:t>
      </w:r>
      <w:r>
        <w:rPr>
          <w:b/>
          <w:color w:val="231F20"/>
          <w:spacing w:val="-10"/>
          <w:w w:val="110"/>
          <w:sz w:val="18"/>
        </w:rPr>
        <w:t> </w:t>
      </w:r>
      <w:r>
        <w:rPr>
          <w:b/>
          <w:color w:val="231F20"/>
          <w:w w:val="110"/>
          <w:sz w:val="18"/>
        </w:rPr>
        <w:t>may</w:t>
      </w:r>
      <w:r>
        <w:rPr>
          <w:b/>
          <w:color w:val="231F20"/>
          <w:spacing w:val="-10"/>
          <w:w w:val="110"/>
          <w:sz w:val="18"/>
        </w:rPr>
        <w:t> </w:t>
      </w:r>
      <w:r>
        <w:rPr>
          <w:b/>
          <w:color w:val="231F20"/>
          <w:w w:val="110"/>
          <w:sz w:val="18"/>
        </w:rPr>
        <w:t>be,</w:t>
      </w:r>
      <w:r>
        <w:rPr>
          <w:b/>
          <w:color w:val="231F20"/>
          <w:spacing w:val="-9"/>
          <w:w w:val="110"/>
          <w:sz w:val="18"/>
        </w:rPr>
        <w:t> </w:t>
      </w:r>
      <w:r>
        <w:rPr>
          <w:b/>
          <w:color w:val="231F20"/>
          <w:w w:val="110"/>
          <w:sz w:val="18"/>
        </w:rPr>
        <w:t>to</w:t>
      </w:r>
      <w:r>
        <w:rPr>
          <w:b/>
          <w:color w:val="231F20"/>
          <w:spacing w:val="-10"/>
          <w:w w:val="110"/>
          <w:sz w:val="18"/>
        </w:rPr>
        <w:t> </w:t>
      </w:r>
      <w:r>
        <w:rPr>
          <w:b/>
          <w:color w:val="231F20"/>
          <w:w w:val="110"/>
          <w:sz w:val="18"/>
        </w:rPr>
        <w:t>refer</w:t>
      </w:r>
      <w:r>
        <w:rPr>
          <w:b/>
          <w:color w:val="231F20"/>
          <w:spacing w:val="-10"/>
          <w:w w:val="110"/>
          <w:sz w:val="18"/>
        </w:rPr>
        <w:t> </w:t>
      </w:r>
      <w:r>
        <w:rPr>
          <w:b/>
          <w:color w:val="231F20"/>
          <w:w w:val="110"/>
          <w:sz w:val="18"/>
        </w:rPr>
        <w:t>the</w:t>
      </w:r>
      <w:r>
        <w:rPr>
          <w:b/>
          <w:color w:val="231F20"/>
          <w:spacing w:val="-9"/>
          <w:w w:val="110"/>
          <w:sz w:val="18"/>
        </w:rPr>
        <w:t> </w:t>
      </w:r>
      <w:r>
        <w:rPr>
          <w:b/>
          <w:color w:val="231F20"/>
          <w:w w:val="110"/>
          <w:sz w:val="18"/>
        </w:rPr>
        <w:t>case</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that</w:t>
      </w:r>
      <w:r>
        <w:rPr>
          <w:b/>
          <w:color w:val="231F20"/>
          <w:spacing w:val="-9"/>
          <w:w w:val="110"/>
          <w:sz w:val="18"/>
        </w:rPr>
        <w:t> </w:t>
      </w:r>
      <w:r>
        <w:rPr>
          <w:b/>
          <w:color w:val="231F20"/>
          <w:w w:val="110"/>
          <w:sz w:val="18"/>
        </w:rPr>
        <w:t>minister</w:t>
      </w:r>
      <w:r>
        <w:rPr>
          <w:b/>
          <w:color w:val="231F20"/>
          <w:spacing w:val="-10"/>
          <w:w w:val="110"/>
          <w:sz w:val="18"/>
        </w:rPr>
        <w:t> </w:t>
      </w:r>
      <w:r>
        <w:rPr>
          <w:b/>
          <w:color w:val="231F20"/>
          <w:w w:val="110"/>
          <w:sz w:val="18"/>
        </w:rPr>
        <w:t>or</w:t>
      </w:r>
      <w:r>
        <w:rPr>
          <w:b/>
          <w:color w:val="231F20"/>
          <w:spacing w:val="-10"/>
          <w:w w:val="110"/>
          <w:sz w:val="18"/>
        </w:rPr>
        <w:t> </w:t>
      </w:r>
      <w:r>
        <w:rPr>
          <w:b/>
          <w:color w:val="231F20"/>
          <w:w w:val="110"/>
          <w:sz w:val="18"/>
        </w:rPr>
        <w:t>church- related community worker to the Commission Stage of the Disciplinary Process contained in Section O of the Manual of the United Reformed Church and in every such case to suspend the minister or church-related community worker concerned pending the resolution of the matter under that Process </w:t>
      </w:r>
      <w:r>
        <w:rPr>
          <w:b/>
          <w:color w:val="231F20"/>
          <w:spacing w:val="-4"/>
          <w:w w:val="110"/>
          <w:sz w:val="18"/>
        </w:rPr>
        <w:t>(for </w:t>
      </w:r>
      <w:r>
        <w:rPr>
          <w:b/>
          <w:color w:val="231F20"/>
          <w:w w:val="110"/>
          <w:sz w:val="18"/>
        </w:rPr>
        <w:t>the avoidance of doubt the calling in of the Mandated Group under that Process in order to fulfil its responsibilities</w:t>
      </w:r>
      <w:r>
        <w:rPr>
          <w:b/>
          <w:color w:val="231F20"/>
          <w:spacing w:val="-10"/>
          <w:w w:val="110"/>
          <w:sz w:val="18"/>
        </w:rPr>
        <w:t> </w:t>
      </w:r>
      <w:r>
        <w:rPr>
          <w:b/>
          <w:color w:val="231F20"/>
          <w:w w:val="110"/>
          <w:sz w:val="18"/>
        </w:rPr>
        <w:t>marking</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commencement</w:t>
      </w:r>
      <w:r>
        <w:rPr>
          <w:b/>
          <w:color w:val="231F20"/>
          <w:spacing w:val="-9"/>
          <w:w w:val="110"/>
          <w:sz w:val="18"/>
        </w:rPr>
        <w:t> </w:t>
      </w:r>
      <w:r>
        <w:rPr>
          <w:b/>
          <w:color w:val="231F20"/>
          <w:w w:val="110"/>
          <w:sz w:val="18"/>
        </w:rPr>
        <w:t>of</w:t>
      </w:r>
      <w:r>
        <w:rPr>
          <w:b/>
          <w:color w:val="231F20"/>
          <w:spacing w:val="-9"/>
          <w:w w:val="110"/>
          <w:sz w:val="18"/>
        </w:rPr>
        <w:t> </w:t>
      </w:r>
      <w:r>
        <w:rPr>
          <w:b/>
          <w:color w:val="231F20"/>
          <w:w w:val="110"/>
          <w:sz w:val="18"/>
        </w:rPr>
        <w:t>the</w:t>
      </w:r>
      <w:r>
        <w:rPr>
          <w:b/>
          <w:color w:val="231F20"/>
          <w:spacing w:val="-9"/>
          <w:w w:val="110"/>
          <w:sz w:val="18"/>
        </w:rPr>
        <w:t> </w:t>
      </w:r>
      <w:r>
        <w:rPr>
          <w:b/>
          <w:color w:val="231F20"/>
          <w:w w:val="110"/>
          <w:sz w:val="18"/>
        </w:rPr>
        <w:t>Disciplinary</w:t>
      </w:r>
      <w:r>
        <w:rPr>
          <w:b/>
          <w:color w:val="231F20"/>
          <w:spacing w:val="-9"/>
          <w:w w:val="110"/>
          <w:sz w:val="18"/>
        </w:rPr>
        <w:t> </w:t>
      </w:r>
      <w:r>
        <w:rPr>
          <w:b/>
          <w:color w:val="231F20"/>
          <w:w w:val="110"/>
          <w:sz w:val="18"/>
        </w:rPr>
        <w:t>Process).</w:t>
      </w:r>
    </w:p>
    <w:p>
      <w:pPr>
        <w:spacing w:after="0" w:line="273" w:lineRule="auto"/>
        <w:jc w:val="left"/>
        <w:rPr>
          <w:sz w:val="18"/>
        </w:rPr>
        <w:sectPr>
          <w:pgSz w:w="11910" w:h="16840"/>
          <w:pgMar w:header="581" w:footer="544" w:top="860" w:bottom="740" w:left="460" w:right="0"/>
        </w:sectPr>
      </w:pPr>
    </w:p>
    <w:p>
      <w:pPr>
        <w:pStyle w:val="BodyText"/>
        <w:rPr>
          <w:b/>
          <w:sz w:val="20"/>
        </w:rPr>
      </w:pPr>
      <w:r>
        <w:rPr/>
        <w:pict>
          <v:group style="position:absolute;margin-left:17.007999pt;margin-top:47.622013pt;width:552.2pt;height:744.95pt;mso-position-horizontal-relative:page;mso-position-vertical-relative:page;z-index:-275535872" coordorigin="340,952" coordsize="11044,14899">
            <v:shape style="position:absolute;left:870;top:1206;width:9872;height:14570" coordorigin="870,1206" coordsize="9872,14570" path="m870,15536l874,15675,900,15746,972,15772,1110,15776,10502,15776,10640,15772,10712,15746,10738,15675,10742,15536,10742,1446,10738,1308,10712,1236,10640,1210,10502,1206,1110,1206,972,1210,900,1236,874,1308,870,1446,870,15536xe" filled="false" stroked="true" strokeweight="3pt" strokecolor="#000000">
              <v:path arrowok="t"/>
              <v:stroke dashstyle="solid"/>
            </v:shape>
            <v:shape style="position:absolute;left:340;top:952;width:11044;height:14899" coordorigin="340,952" coordsize="11044,14899" path="m11180,15557l340,15557,340,15851,11180,15851,11180,15557m11384,952l544,952,544,1429,11384,1429,11384,952e" filled="true" fillcolor="#ffffff" stroked="false">
              <v:path arrowok="t"/>
              <v:fill type="solid"/>
            </v:shape>
            <w10:wrap type="none"/>
          </v:group>
        </w:pict>
      </w:r>
    </w:p>
    <w:p>
      <w:pPr>
        <w:pStyle w:val="BodyText"/>
        <w:spacing w:before="8"/>
        <w:rPr>
          <w:b/>
          <w:sz w:val="20"/>
        </w:rPr>
      </w:pPr>
    </w:p>
    <w:p>
      <w:pPr>
        <w:spacing w:before="0"/>
        <w:ind w:left="673" w:right="0" w:firstLine="0"/>
        <w:jc w:val="left"/>
        <w:rPr>
          <w:b/>
          <w:sz w:val="18"/>
        </w:rPr>
      </w:pPr>
      <w:r>
        <w:rPr>
          <w:b/>
          <w:color w:val="231F20"/>
          <w:w w:val="110"/>
          <w:sz w:val="18"/>
        </w:rPr>
        <w:t>Paragraph 2(4)(B)</w:t>
      </w:r>
    </w:p>
    <w:p>
      <w:pPr>
        <w:pStyle w:val="BodyText"/>
        <w:spacing w:before="2"/>
        <w:rPr>
          <w:b/>
          <w:sz w:val="23"/>
        </w:rPr>
      </w:pPr>
    </w:p>
    <w:p>
      <w:pPr>
        <w:pStyle w:val="BodyText"/>
        <w:ind w:left="673"/>
      </w:pPr>
      <w:r>
        <w:rPr>
          <w:color w:val="231F20"/>
          <w:w w:val="110"/>
        </w:rPr>
        <w:t>Replace the existing 2(4)(B) with the following:</w:t>
      </w:r>
    </w:p>
    <w:p>
      <w:pPr>
        <w:pStyle w:val="BodyText"/>
        <w:spacing w:before="1"/>
        <w:rPr>
          <w:sz w:val="23"/>
        </w:rPr>
      </w:pPr>
    </w:p>
    <w:p>
      <w:pPr>
        <w:spacing w:line="273" w:lineRule="auto" w:before="1"/>
        <w:ind w:left="673" w:right="1824" w:firstLine="0"/>
        <w:jc w:val="left"/>
        <w:rPr>
          <w:b/>
          <w:sz w:val="18"/>
        </w:rPr>
      </w:pPr>
      <w:r>
        <w:rPr>
          <w:b/>
          <w:color w:val="231F20"/>
          <w:w w:val="110"/>
          <w:sz w:val="18"/>
        </w:rPr>
        <w:t>Once the Disciplinary Process has commenced in the case of any minister or church-related community worker with the calling in of the Mandated Group under that Process, whether by the Synod or by one of the other Councils of the church, the synod shall not exercise its functions in respect of that minister or church-related community worker (save only in the provision of such pastoral care as may be appropriate) until the Process has been duly concluded.</w:t>
      </w:r>
    </w:p>
    <w:p>
      <w:pPr>
        <w:pStyle w:val="BodyText"/>
        <w:spacing w:before="10"/>
        <w:rPr>
          <w:b/>
          <w:sz w:val="20"/>
        </w:rPr>
      </w:pPr>
    </w:p>
    <w:p>
      <w:pPr>
        <w:spacing w:before="0"/>
        <w:ind w:left="673" w:right="0" w:firstLine="0"/>
        <w:jc w:val="left"/>
        <w:rPr>
          <w:b/>
          <w:sz w:val="18"/>
        </w:rPr>
      </w:pPr>
      <w:r>
        <w:rPr>
          <w:b/>
          <w:color w:val="231F20"/>
          <w:w w:val="110"/>
          <w:sz w:val="18"/>
        </w:rPr>
        <w:t>Paragraph 2(4)(C)</w:t>
      </w:r>
    </w:p>
    <w:p>
      <w:pPr>
        <w:pStyle w:val="BodyText"/>
        <w:spacing w:before="2"/>
        <w:rPr>
          <w:b/>
          <w:sz w:val="23"/>
        </w:rPr>
      </w:pPr>
    </w:p>
    <w:p>
      <w:pPr>
        <w:pStyle w:val="BodyText"/>
        <w:ind w:left="673"/>
      </w:pPr>
      <w:r>
        <w:rPr>
          <w:color w:val="231F20"/>
          <w:w w:val="110"/>
        </w:rPr>
        <w:t>Replace the existing 2(4)(C) with the following:</w:t>
      </w:r>
    </w:p>
    <w:p>
      <w:pPr>
        <w:pStyle w:val="BodyText"/>
        <w:spacing w:before="2"/>
        <w:rPr>
          <w:sz w:val="23"/>
        </w:rPr>
      </w:pPr>
    </w:p>
    <w:p>
      <w:pPr>
        <w:spacing w:line="273" w:lineRule="auto" w:before="0"/>
        <w:ind w:left="673" w:right="1593" w:firstLine="0"/>
        <w:jc w:val="left"/>
        <w:rPr>
          <w:b/>
          <w:sz w:val="18"/>
        </w:rPr>
      </w:pPr>
      <w:r>
        <w:rPr>
          <w:b/>
          <w:color w:val="231F20"/>
          <w:w w:val="110"/>
          <w:sz w:val="18"/>
        </w:rPr>
        <w:t>No appeal shall lie against the decision by a Synod to initiate the Disciplinary Process in respect of any minister or church-related community worker under Function (xiv) above.</w:t>
      </w:r>
    </w:p>
    <w:p>
      <w:pPr>
        <w:pStyle w:val="BodyText"/>
        <w:spacing w:before="9"/>
        <w:rPr>
          <w:b/>
          <w:sz w:val="20"/>
        </w:rPr>
      </w:pPr>
    </w:p>
    <w:p>
      <w:pPr>
        <w:spacing w:before="0"/>
        <w:ind w:left="673" w:right="0" w:firstLine="0"/>
        <w:jc w:val="left"/>
        <w:rPr>
          <w:b/>
          <w:sz w:val="18"/>
        </w:rPr>
      </w:pPr>
      <w:r>
        <w:rPr>
          <w:b/>
          <w:color w:val="231F20"/>
          <w:w w:val="110"/>
          <w:sz w:val="18"/>
        </w:rPr>
        <w:t>Paragraph 2(5)(f)</w:t>
      </w:r>
    </w:p>
    <w:p>
      <w:pPr>
        <w:pStyle w:val="BodyText"/>
        <w:spacing w:before="1"/>
        <w:rPr>
          <w:b/>
          <w:sz w:val="23"/>
        </w:rPr>
      </w:pPr>
    </w:p>
    <w:p>
      <w:pPr>
        <w:spacing w:line="273" w:lineRule="auto" w:before="0"/>
        <w:ind w:left="673" w:right="1593" w:firstLine="0"/>
        <w:jc w:val="left"/>
        <w:rPr>
          <w:b/>
          <w:sz w:val="18"/>
        </w:rPr>
      </w:pPr>
      <w:r>
        <w:rPr>
          <w:color w:val="231F20"/>
          <w:w w:val="110"/>
          <w:sz w:val="18"/>
        </w:rPr>
        <w:t>After the word </w:t>
      </w:r>
      <w:r>
        <w:rPr>
          <w:b/>
          <w:color w:val="231F20"/>
          <w:w w:val="110"/>
          <w:sz w:val="18"/>
        </w:rPr>
        <w:t>‘ministers’ </w:t>
      </w:r>
      <w:r>
        <w:rPr>
          <w:color w:val="231F20"/>
          <w:w w:val="110"/>
          <w:sz w:val="18"/>
        </w:rPr>
        <w:t>add a comma and the words </w:t>
      </w:r>
      <w:r>
        <w:rPr>
          <w:b/>
          <w:color w:val="231F20"/>
          <w:w w:val="110"/>
          <w:sz w:val="18"/>
        </w:rPr>
        <w:t>‘church-related community workers’.</w:t>
      </w:r>
    </w:p>
    <w:p>
      <w:pPr>
        <w:pStyle w:val="BodyText"/>
        <w:spacing w:before="8"/>
        <w:rPr>
          <w:b/>
          <w:sz w:val="20"/>
        </w:rPr>
      </w:pPr>
    </w:p>
    <w:p>
      <w:pPr>
        <w:spacing w:before="1"/>
        <w:ind w:left="673" w:right="0" w:firstLine="0"/>
        <w:jc w:val="left"/>
        <w:rPr>
          <w:b/>
          <w:sz w:val="18"/>
        </w:rPr>
      </w:pPr>
      <w:r>
        <w:rPr>
          <w:b/>
          <w:color w:val="231F20"/>
          <w:w w:val="110"/>
          <w:sz w:val="18"/>
        </w:rPr>
        <w:t>Paragraph 2(5)(A)(v)</w:t>
      </w:r>
    </w:p>
    <w:p>
      <w:pPr>
        <w:pStyle w:val="BodyText"/>
        <w:spacing w:before="1"/>
        <w:rPr>
          <w:b/>
          <w:sz w:val="23"/>
        </w:rPr>
      </w:pPr>
    </w:p>
    <w:p>
      <w:pPr>
        <w:spacing w:line="273" w:lineRule="auto" w:before="0"/>
        <w:ind w:left="673" w:right="1593" w:firstLine="0"/>
        <w:jc w:val="left"/>
        <w:rPr>
          <w:b/>
          <w:sz w:val="18"/>
        </w:rPr>
      </w:pPr>
      <w:r>
        <w:rPr>
          <w:color w:val="231F20"/>
          <w:w w:val="110"/>
          <w:sz w:val="18"/>
        </w:rPr>
        <w:t>Alter the words </w:t>
      </w:r>
      <w:r>
        <w:rPr>
          <w:b/>
          <w:color w:val="231F20"/>
          <w:w w:val="110"/>
          <w:sz w:val="18"/>
        </w:rPr>
        <w:t>‘adequate ministerial training’ </w:t>
      </w:r>
      <w:r>
        <w:rPr>
          <w:color w:val="231F20"/>
          <w:w w:val="110"/>
          <w:sz w:val="18"/>
        </w:rPr>
        <w:t>to </w:t>
      </w:r>
      <w:r>
        <w:rPr>
          <w:b/>
          <w:color w:val="231F20"/>
          <w:w w:val="110"/>
          <w:sz w:val="18"/>
        </w:rPr>
        <w:t>‘adequate training for ministers and church-related community workers’.</w:t>
      </w:r>
    </w:p>
    <w:p>
      <w:pPr>
        <w:pStyle w:val="BodyText"/>
        <w:spacing w:before="8"/>
        <w:rPr>
          <w:b/>
          <w:sz w:val="20"/>
        </w:rPr>
      </w:pPr>
    </w:p>
    <w:p>
      <w:pPr>
        <w:spacing w:before="1"/>
        <w:ind w:left="673" w:right="0" w:firstLine="0"/>
        <w:jc w:val="left"/>
        <w:rPr>
          <w:b/>
          <w:sz w:val="18"/>
        </w:rPr>
      </w:pPr>
      <w:r>
        <w:rPr>
          <w:b/>
          <w:color w:val="231F20"/>
          <w:w w:val="110"/>
          <w:sz w:val="18"/>
        </w:rPr>
        <w:t>Paragraph 2(5)(A)(xviii)</w:t>
      </w:r>
    </w:p>
    <w:p>
      <w:pPr>
        <w:pStyle w:val="BodyText"/>
        <w:spacing w:before="1"/>
        <w:rPr>
          <w:b/>
          <w:sz w:val="23"/>
        </w:rPr>
      </w:pPr>
    </w:p>
    <w:p>
      <w:pPr>
        <w:spacing w:line="273" w:lineRule="auto" w:before="0"/>
        <w:ind w:left="673" w:right="1593" w:firstLine="0"/>
        <w:jc w:val="left"/>
        <w:rPr>
          <w:b/>
          <w:sz w:val="18"/>
        </w:rPr>
      </w:pPr>
      <w:r>
        <w:rPr>
          <w:color w:val="231F20"/>
          <w:w w:val="110"/>
          <w:sz w:val="18"/>
        </w:rPr>
        <w:t>After the words </w:t>
      </w:r>
      <w:r>
        <w:rPr>
          <w:b/>
          <w:color w:val="231F20"/>
          <w:w w:val="110"/>
          <w:sz w:val="18"/>
        </w:rPr>
        <w:t>’Roll of Ministers’ </w:t>
      </w:r>
      <w:r>
        <w:rPr>
          <w:color w:val="231F20"/>
          <w:w w:val="110"/>
          <w:sz w:val="18"/>
        </w:rPr>
        <w:t>add </w:t>
      </w:r>
      <w:r>
        <w:rPr>
          <w:b/>
          <w:color w:val="231F20"/>
          <w:w w:val="110"/>
          <w:sz w:val="18"/>
        </w:rPr>
        <w:t>‘and the Roll of Church-Related Community Workers’.</w:t>
      </w:r>
    </w:p>
    <w:p>
      <w:pPr>
        <w:pStyle w:val="BodyText"/>
        <w:spacing w:before="8"/>
        <w:rPr>
          <w:b/>
          <w:sz w:val="20"/>
        </w:rPr>
      </w:pPr>
    </w:p>
    <w:p>
      <w:pPr>
        <w:spacing w:before="1"/>
        <w:ind w:left="673" w:right="0" w:firstLine="0"/>
        <w:jc w:val="left"/>
        <w:rPr>
          <w:b/>
          <w:sz w:val="18"/>
        </w:rPr>
      </w:pPr>
      <w:r>
        <w:rPr>
          <w:b/>
          <w:color w:val="231F20"/>
          <w:w w:val="110"/>
          <w:sz w:val="18"/>
        </w:rPr>
        <w:t>Paragraph 2(5)(A)(xix)</w:t>
      </w:r>
    </w:p>
    <w:p>
      <w:pPr>
        <w:pStyle w:val="BodyText"/>
        <w:spacing w:before="1"/>
        <w:rPr>
          <w:b/>
          <w:sz w:val="23"/>
        </w:rPr>
      </w:pPr>
    </w:p>
    <w:p>
      <w:pPr>
        <w:spacing w:line="273" w:lineRule="auto" w:before="0"/>
        <w:ind w:left="673" w:right="1593" w:firstLine="0"/>
        <w:jc w:val="left"/>
        <w:rPr>
          <w:sz w:val="18"/>
        </w:rPr>
      </w:pPr>
      <w:r>
        <w:rPr>
          <w:color w:val="231F20"/>
          <w:w w:val="110"/>
          <w:sz w:val="18"/>
        </w:rPr>
        <w:t>After the word </w:t>
      </w:r>
      <w:r>
        <w:rPr>
          <w:b/>
          <w:color w:val="231F20"/>
          <w:w w:val="110"/>
          <w:sz w:val="18"/>
        </w:rPr>
        <w:t>‘ministers’ </w:t>
      </w:r>
      <w:r>
        <w:rPr>
          <w:color w:val="231F20"/>
          <w:w w:val="110"/>
          <w:sz w:val="18"/>
        </w:rPr>
        <w:t>add a comma and the words </w:t>
      </w:r>
      <w:r>
        <w:rPr>
          <w:b/>
          <w:color w:val="231F20"/>
          <w:w w:val="110"/>
          <w:sz w:val="18"/>
        </w:rPr>
        <w:t>‘church-related community workers’</w:t>
      </w:r>
      <w:r>
        <w:rPr>
          <w:color w:val="231F20"/>
          <w:w w:val="110"/>
          <w:sz w:val="18"/>
        </w:rPr>
        <w:t>.</w:t>
      </w:r>
    </w:p>
    <w:p>
      <w:pPr>
        <w:pStyle w:val="BodyText"/>
        <w:spacing w:before="8"/>
        <w:rPr>
          <w:sz w:val="20"/>
        </w:rPr>
      </w:pPr>
    </w:p>
    <w:p>
      <w:pPr>
        <w:spacing w:before="1"/>
        <w:ind w:left="673" w:right="0" w:firstLine="0"/>
        <w:jc w:val="left"/>
        <w:rPr>
          <w:b/>
          <w:sz w:val="18"/>
        </w:rPr>
      </w:pPr>
      <w:r>
        <w:rPr>
          <w:b/>
          <w:color w:val="231F20"/>
          <w:w w:val="110"/>
          <w:sz w:val="18"/>
        </w:rPr>
        <w:t>Paragraph 2(5)(A)(xxii)</w:t>
      </w:r>
    </w:p>
    <w:p>
      <w:pPr>
        <w:pStyle w:val="BodyText"/>
        <w:spacing w:before="1"/>
        <w:rPr>
          <w:b/>
          <w:sz w:val="23"/>
        </w:rPr>
      </w:pPr>
    </w:p>
    <w:p>
      <w:pPr>
        <w:pStyle w:val="BodyText"/>
        <w:ind w:left="673"/>
      </w:pPr>
      <w:r>
        <w:rPr>
          <w:color w:val="231F20"/>
          <w:w w:val="110"/>
        </w:rPr>
        <w:t>Replace the existing 2(5)(A)(xxii) with the following:</w:t>
      </w:r>
    </w:p>
    <w:p>
      <w:pPr>
        <w:pStyle w:val="BodyText"/>
        <w:spacing w:before="2"/>
        <w:rPr>
          <w:sz w:val="23"/>
        </w:rPr>
      </w:pPr>
    </w:p>
    <w:p>
      <w:pPr>
        <w:spacing w:line="273" w:lineRule="auto" w:before="0"/>
        <w:ind w:left="673" w:right="1593" w:firstLine="0"/>
        <w:jc w:val="left"/>
        <w:rPr>
          <w:b/>
          <w:sz w:val="18"/>
        </w:rPr>
      </w:pPr>
      <w:r>
        <w:rPr>
          <w:b/>
          <w:color w:val="231F20"/>
          <w:w w:val="110"/>
          <w:sz w:val="18"/>
        </w:rPr>
        <w:t>To provide for the setting up of an Appeals Commission in accordance with the Ministerial Disciplinary Process for the hearing of appeals under that Process.</w:t>
      </w:r>
    </w:p>
    <w:p>
      <w:pPr>
        <w:pStyle w:val="BodyText"/>
        <w:spacing w:before="8"/>
        <w:rPr>
          <w:b/>
          <w:sz w:val="20"/>
        </w:rPr>
      </w:pPr>
    </w:p>
    <w:p>
      <w:pPr>
        <w:spacing w:before="0"/>
        <w:ind w:left="673" w:right="0" w:firstLine="0"/>
        <w:jc w:val="left"/>
        <w:rPr>
          <w:b/>
          <w:sz w:val="18"/>
        </w:rPr>
      </w:pPr>
      <w:r>
        <w:rPr>
          <w:b/>
          <w:color w:val="231F20"/>
          <w:w w:val="110"/>
          <w:sz w:val="18"/>
        </w:rPr>
        <w:t>Paragraph 2(5)(A)(xxiii)</w:t>
      </w:r>
    </w:p>
    <w:p>
      <w:pPr>
        <w:pStyle w:val="BodyText"/>
        <w:spacing w:before="2"/>
        <w:rPr>
          <w:b/>
          <w:sz w:val="23"/>
        </w:rPr>
      </w:pPr>
    </w:p>
    <w:p>
      <w:pPr>
        <w:pStyle w:val="BodyText"/>
        <w:ind w:left="673"/>
      </w:pPr>
      <w:r>
        <w:rPr>
          <w:color w:val="231F20"/>
          <w:w w:val="110"/>
        </w:rPr>
        <w:t>Replace the existing 2(5)(A)(xxiii) with the following:</w:t>
      </w:r>
    </w:p>
    <w:p>
      <w:pPr>
        <w:pStyle w:val="BodyText"/>
        <w:spacing w:before="2"/>
        <w:rPr>
          <w:sz w:val="23"/>
        </w:rPr>
      </w:pPr>
    </w:p>
    <w:p>
      <w:pPr>
        <w:spacing w:line="273" w:lineRule="auto" w:before="0"/>
        <w:ind w:left="673" w:right="2061" w:firstLine="0"/>
        <w:jc w:val="left"/>
        <w:rPr>
          <w:b/>
          <w:sz w:val="18"/>
        </w:rPr>
      </w:pPr>
      <w:r>
        <w:rPr>
          <w:b/>
          <w:color w:val="231F20"/>
          <w:w w:val="110"/>
          <w:sz w:val="18"/>
        </w:rPr>
        <w:t>In the absence of any </w:t>
      </w:r>
      <w:r>
        <w:rPr>
          <w:b/>
          <w:color w:val="231F20"/>
          <w:spacing w:val="2"/>
          <w:w w:val="110"/>
          <w:sz w:val="18"/>
        </w:rPr>
        <w:t>reference </w:t>
      </w:r>
      <w:r>
        <w:rPr>
          <w:b/>
          <w:color w:val="231F20"/>
          <w:w w:val="110"/>
          <w:sz w:val="18"/>
        </w:rPr>
        <w:t>into the Disciplinary </w:t>
      </w:r>
      <w:r>
        <w:rPr>
          <w:b/>
          <w:color w:val="231F20"/>
          <w:spacing w:val="2"/>
          <w:w w:val="110"/>
          <w:sz w:val="18"/>
        </w:rPr>
        <w:t>Process </w:t>
      </w:r>
      <w:r>
        <w:rPr>
          <w:b/>
          <w:color w:val="231F20"/>
          <w:w w:val="110"/>
          <w:sz w:val="18"/>
        </w:rPr>
        <w:t>by the appropriate </w:t>
      </w:r>
      <w:r>
        <w:rPr>
          <w:b/>
          <w:color w:val="231F20"/>
          <w:spacing w:val="2"/>
          <w:w w:val="110"/>
          <w:sz w:val="18"/>
        </w:rPr>
        <w:t>District </w:t>
      </w:r>
      <w:r>
        <w:rPr>
          <w:b/>
          <w:color w:val="231F20"/>
          <w:w w:val="110"/>
          <w:sz w:val="18"/>
        </w:rPr>
        <w:t>Council or Synod (the </w:t>
      </w:r>
      <w:r>
        <w:rPr>
          <w:b/>
          <w:color w:val="231F20"/>
          <w:spacing w:val="2"/>
          <w:w w:val="110"/>
          <w:sz w:val="18"/>
        </w:rPr>
        <w:t>case </w:t>
      </w:r>
      <w:r>
        <w:rPr>
          <w:b/>
          <w:color w:val="231F20"/>
          <w:w w:val="110"/>
          <w:sz w:val="18"/>
        </w:rPr>
        <w:t>of any minister who is a Moderator of Synod being </w:t>
      </w:r>
      <w:r>
        <w:rPr>
          <w:b/>
          <w:color w:val="231F20"/>
          <w:spacing w:val="2"/>
          <w:w w:val="110"/>
          <w:sz w:val="18"/>
        </w:rPr>
        <w:t>necessarily </w:t>
      </w:r>
      <w:r>
        <w:rPr>
          <w:b/>
          <w:color w:val="231F20"/>
          <w:w w:val="110"/>
          <w:sz w:val="18"/>
        </w:rPr>
        <w:t>dealt with under this provision) and where the General </w:t>
      </w:r>
      <w:r>
        <w:rPr>
          <w:b/>
          <w:color w:val="231F20"/>
          <w:spacing w:val="2"/>
          <w:w w:val="110"/>
          <w:sz w:val="18"/>
        </w:rPr>
        <w:t>Assembly </w:t>
      </w:r>
      <w:r>
        <w:rPr>
          <w:b/>
          <w:color w:val="231F20"/>
          <w:spacing w:val="-5"/>
          <w:w w:val="110"/>
          <w:sz w:val="18"/>
        </w:rPr>
        <w:t>(or </w:t>
      </w:r>
      <w:r>
        <w:rPr>
          <w:b/>
          <w:color w:val="231F20"/>
          <w:w w:val="110"/>
          <w:sz w:val="18"/>
        </w:rPr>
        <w:t>Mission Council on </w:t>
      </w:r>
      <w:r>
        <w:rPr>
          <w:b/>
          <w:color w:val="231F20"/>
          <w:spacing w:val="2"/>
          <w:w w:val="110"/>
          <w:sz w:val="18"/>
        </w:rPr>
        <w:t>its </w:t>
      </w:r>
      <w:r>
        <w:rPr>
          <w:b/>
          <w:color w:val="231F20"/>
          <w:w w:val="110"/>
          <w:sz w:val="18"/>
        </w:rPr>
        <w:t>behalf) acting through </w:t>
      </w:r>
      <w:r>
        <w:rPr>
          <w:b/>
          <w:color w:val="231F20"/>
          <w:spacing w:val="2"/>
          <w:w w:val="110"/>
          <w:sz w:val="18"/>
        </w:rPr>
        <w:t>its </w:t>
      </w:r>
      <w:r>
        <w:rPr>
          <w:b/>
          <w:color w:val="231F20"/>
          <w:w w:val="110"/>
          <w:sz w:val="18"/>
        </w:rPr>
        <w:t>Mandated Group as defined in the Disciplinary </w:t>
      </w:r>
      <w:r>
        <w:rPr>
          <w:b/>
          <w:color w:val="231F20"/>
          <w:spacing w:val="2"/>
          <w:w w:val="110"/>
          <w:sz w:val="18"/>
        </w:rPr>
        <w:t>Process referred </w:t>
      </w:r>
      <w:r>
        <w:rPr>
          <w:b/>
          <w:color w:val="231F20"/>
          <w:w w:val="110"/>
          <w:sz w:val="18"/>
        </w:rPr>
        <w:t>to below </w:t>
      </w:r>
      <w:r>
        <w:rPr>
          <w:b/>
          <w:color w:val="231F20"/>
          <w:spacing w:val="2"/>
          <w:w w:val="110"/>
          <w:sz w:val="18"/>
        </w:rPr>
        <w:t>considers </w:t>
      </w:r>
      <w:r>
        <w:rPr>
          <w:b/>
          <w:color w:val="231F20"/>
          <w:w w:val="110"/>
          <w:sz w:val="18"/>
        </w:rPr>
        <w:t>that a minister or </w:t>
      </w:r>
      <w:r>
        <w:rPr>
          <w:b/>
          <w:color w:val="231F20"/>
          <w:spacing w:val="2"/>
          <w:w w:val="110"/>
          <w:sz w:val="18"/>
        </w:rPr>
        <w:t>church-related </w:t>
      </w:r>
      <w:r>
        <w:rPr>
          <w:b/>
          <w:color w:val="231F20"/>
          <w:w w:val="110"/>
          <w:sz w:val="18"/>
        </w:rPr>
        <w:t>community worker is or may not be</w:t>
      </w:r>
      <w:r>
        <w:rPr>
          <w:b/>
          <w:color w:val="231F20"/>
          <w:spacing w:val="10"/>
          <w:w w:val="110"/>
          <w:sz w:val="18"/>
        </w:rPr>
        <w:t> </w:t>
      </w:r>
      <w:r>
        <w:rPr>
          <w:b/>
          <w:color w:val="231F20"/>
          <w:w w:val="110"/>
          <w:sz w:val="18"/>
        </w:rPr>
        <w:t>exercising</w:t>
      </w:r>
      <w:r>
        <w:rPr>
          <w:b/>
          <w:color w:val="231F20"/>
          <w:spacing w:val="11"/>
          <w:w w:val="110"/>
          <w:sz w:val="18"/>
        </w:rPr>
        <w:t> </w:t>
      </w:r>
      <w:r>
        <w:rPr>
          <w:b/>
          <w:color w:val="231F20"/>
          <w:w w:val="110"/>
          <w:sz w:val="18"/>
        </w:rPr>
        <w:t>his/her</w:t>
      </w:r>
      <w:r>
        <w:rPr>
          <w:b/>
          <w:color w:val="231F20"/>
          <w:spacing w:val="11"/>
          <w:w w:val="110"/>
          <w:sz w:val="18"/>
        </w:rPr>
        <w:t> </w:t>
      </w:r>
      <w:r>
        <w:rPr>
          <w:b/>
          <w:color w:val="231F20"/>
          <w:w w:val="110"/>
          <w:sz w:val="18"/>
        </w:rPr>
        <w:t>ministry</w:t>
      </w:r>
      <w:r>
        <w:rPr>
          <w:b/>
          <w:color w:val="231F20"/>
          <w:spacing w:val="10"/>
          <w:w w:val="110"/>
          <w:sz w:val="18"/>
        </w:rPr>
        <w:t> </w:t>
      </w:r>
      <w:r>
        <w:rPr>
          <w:b/>
          <w:color w:val="231F20"/>
          <w:w w:val="110"/>
          <w:sz w:val="18"/>
        </w:rPr>
        <w:t>in</w:t>
      </w:r>
      <w:r>
        <w:rPr>
          <w:b/>
          <w:color w:val="231F20"/>
          <w:spacing w:val="11"/>
          <w:w w:val="110"/>
          <w:sz w:val="18"/>
        </w:rPr>
        <w:t> </w:t>
      </w:r>
      <w:r>
        <w:rPr>
          <w:b/>
          <w:color w:val="231F20"/>
          <w:w w:val="110"/>
          <w:sz w:val="18"/>
        </w:rPr>
        <w:t>accordance</w:t>
      </w:r>
      <w:r>
        <w:rPr>
          <w:b/>
          <w:color w:val="231F20"/>
          <w:spacing w:val="11"/>
          <w:w w:val="110"/>
          <w:sz w:val="18"/>
        </w:rPr>
        <w:t> </w:t>
      </w:r>
      <w:r>
        <w:rPr>
          <w:b/>
          <w:color w:val="231F20"/>
          <w:w w:val="110"/>
          <w:sz w:val="18"/>
        </w:rPr>
        <w:t>with</w:t>
      </w:r>
      <w:r>
        <w:rPr>
          <w:b/>
          <w:color w:val="231F20"/>
          <w:spacing w:val="10"/>
          <w:w w:val="110"/>
          <w:sz w:val="18"/>
        </w:rPr>
        <w:t> </w:t>
      </w:r>
      <w:r>
        <w:rPr>
          <w:b/>
          <w:color w:val="231F20"/>
          <w:w w:val="110"/>
          <w:sz w:val="18"/>
        </w:rPr>
        <w:t>Paragraph</w:t>
      </w:r>
      <w:r>
        <w:rPr>
          <w:b/>
          <w:color w:val="231F20"/>
          <w:spacing w:val="11"/>
          <w:w w:val="110"/>
          <w:sz w:val="18"/>
        </w:rPr>
        <w:t> </w:t>
      </w:r>
      <w:r>
        <w:rPr>
          <w:b/>
          <w:color w:val="231F20"/>
          <w:w w:val="110"/>
          <w:sz w:val="18"/>
        </w:rPr>
        <w:t>2</w:t>
      </w:r>
      <w:r>
        <w:rPr>
          <w:b/>
          <w:color w:val="231F20"/>
          <w:spacing w:val="11"/>
          <w:w w:val="110"/>
          <w:sz w:val="18"/>
        </w:rPr>
        <w:t> </w:t>
      </w:r>
      <w:r>
        <w:rPr>
          <w:b/>
          <w:color w:val="231F20"/>
          <w:w w:val="110"/>
          <w:sz w:val="18"/>
        </w:rPr>
        <w:t>of</w:t>
      </w:r>
      <w:r>
        <w:rPr>
          <w:b/>
          <w:color w:val="231F20"/>
          <w:spacing w:val="11"/>
          <w:w w:val="110"/>
          <w:sz w:val="18"/>
        </w:rPr>
        <w:t> </w:t>
      </w:r>
      <w:r>
        <w:rPr>
          <w:b/>
          <w:color w:val="231F20"/>
          <w:w w:val="110"/>
          <w:sz w:val="18"/>
        </w:rPr>
        <w:t>Schedule</w:t>
      </w:r>
      <w:r>
        <w:rPr>
          <w:b/>
          <w:color w:val="231F20"/>
          <w:spacing w:val="10"/>
          <w:w w:val="110"/>
          <w:sz w:val="18"/>
        </w:rPr>
        <w:t> </w:t>
      </w:r>
      <w:r>
        <w:rPr>
          <w:b/>
          <w:color w:val="231F20"/>
          <w:w w:val="110"/>
          <w:sz w:val="18"/>
        </w:rPr>
        <w:t>E</w:t>
      </w:r>
    </w:p>
    <w:p>
      <w:pPr>
        <w:spacing w:after="0" w:line="273" w:lineRule="auto"/>
        <w:jc w:val="left"/>
        <w:rPr>
          <w:sz w:val="18"/>
        </w:rPr>
        <w:sectPr>
          <w:pgSz w:w="11910" w:h="16840"/>
          <w:pgMar w:header="581" w:footer="464" w:top="860" w:bottom="740" w:left="460" w:right="0"/>
        </w:sectPr>
      </w:pPr>
    </w:p>
    <w:p>
      <w:pPr>
        <w:pStyle w:val="BodyText"/>
        <w:spacing w:before="10"/>
        <w:rPr>
          <w:b/>
          <w:sz w:val="6"/>
        </w:rPr>
      </w:pPr>
    </w:p>
    <w:p>
      <w:pPr>
        <w:pStyle w:val="BodyText"/>
        <w:ind w:left="503"/>
        <w:rPr>
          <w:sz w:val="20"/>
        </w:rPr>
      </w:pPr>
      <w:r>
        <w:rPr>
          <w:sz w:val="20"/>
        </w:rPr>
        <w:pict>
          <v:group style="width:519.5500pt;height:271.2pt;mso-position-horizontal-relative:char;mso-position-vertical-relative:line" coordorigin="0,0" coordsize="10391,5424">
            <v:shape style="position:absolute;left:459;top:118;width:9932;height:5306" type="#_x0000_t75" stroked="false">
              <v:imagedata r:id="rId81" o:title=""/>
            </v:shape>
            <v:rect style="position:absolute;left:0;top:0;width:10296;height:424" filled="true" fillcolor="#ffffff" stroked="false">
              <v:fill type="solid"/>
            </v:rect>
            <v:shape style="position:absolute;left:0;top:0;width:10391;height:5424" type="#_x0000_t202" filled="false" stroked="false">
              <v:textbox inset="0,0,0,0">
                <w:txbxContent>
                  <w:p>
                    <w:pPr>
                      <w:spacing w:line="240" w:lineRule="auto" w:before="0"/>
                      <w:rPr>
                        <w:b/>
                        <w:sz w:val="30"/>
                      </w:rPr>
                    </w:pPr>
                  </w:p>
                  <w:p>
                    <w:pPr>
                      <w:spacing w:line="273" w:lineRule="auto" w:before="0"/>
                      <w:ind w:left="737" w:right="900" w:firstLine="0"/>
                      <w:jc w:val="left"/>
                      <w:rPr>
                        <w:b/>
                        <w:sz w:val="18"/>
                      </w:rPr>
                    </w:pPr>
                    <w:r>
                      <w:rPr>
                        <w:b/>
                        <w:color w:val="231F20"/>
                        <w:w w:val="110"/>
                        <w:sz w:val="18"/>
                      </w:rPr>
                      <w:t>or Paragraph 2 of Schedule </w:t>
                    </w:r>
                    <w:r>
                      <w:rPr>
                        <w:b/>
                        <w:color w:val="231F20"/>
                        <w:spacing w:val="-7"/>
                        <w:w w:val="110"/>
                        <w:sz w:val="18"/>
                      </w:rPr>
                      <w:t>F, </w:t>
                    </w:r>
                    <w:r>
                      <w:rPr>
                        <w:b/>
                        <w:color w:val="231F20"/>
                        <w:w w:val="110"/>
                        <w:sz w:val="18"/>
                      </w:rPr>
                      <w:t>Part II to the Basis of Union, to refer the case of that minister or church-related community worker to the Commission Stage    of the Disciplinary Process contained in Section O of the Manual of the United Reformed Church and in every such case to suspend the minister or church- related community worker concerned pending the resolution of the </w:t>
                    </w:r>
                    <w:r>
                      <w:rPr>
                        <w:b/>
                        <w:color w:val="231F20"/>
                        <w:spacing w:val="2"/>
                        <w:w w:val="110"/>
                        <w:sz w:val="18"/>
                      </w:rPr>
                      <w:t>matter </w:t>
                    </w:r>
                    <w:r>
                      <w:rPr>
                        <w:b/>
                        <w:color w:val="231F20"/>
                        <w:w w:val="110"/>
                        <w:sz w:val="18"/>
                      </w:rPr>
                      <w:t>under that Process </w:t>
                    </w:r>
                    <w:r>
                      <w:rPr>
                        <w:b/>
                        <w:color w:val="231F20"/>
                        <w:spacing w:val="-3"/>
                        <w:w w:val="110"/>
                        <w:sz w:val="18"/>
                      </w:rPr>
                      <w:t>(for </w:t>
                    </w:r>
                    <w:r>
                      <w:rPr>
                        <w:b/>
                        <w:color w:val="231F20"/>
                        <w:w w:val="110"/>
                        <w:sz w:val="18"/>
                      </w:rPr>
                      <w:t>the avoidance of doubt the calling in of the Mandated Group under that Process in order to fulfil </w:t>
                    </w:r>
                    <w:r>
                      <w:rPr>
                        <w:b/>
                        <w:color w:val="231F20"/>
                        <w:spacing w:val="2"/>
                        <w:w w:val="110"/>
                        <w:sz w:val="18"/>
                      </w:rPr>
                      <w:t>its </w:t>
                    </w:r>
                    <w:r>
                      <w:rPr>
                        <w:b/>
                        <w:color w:val="231F20"/>
                        <w:w w:val="110"/>
                        <w:sz w:val="18"/>
                      </w:rPr>
                      <w:t>responsibilities marking the commencement of the Disciplinary</w:t>
                    </w:r>
                    <w:r>
                      <w:rPr>
                        <w:b/>
                        <w:color w:val="231F20"/>
                        <w:spacing w:val="5"/>
                        <w:w w:val="110"/>
                        <w:sz w:val="18"/>
                      </w:rPr>
                      <w:t> </w:t>
                    </w:r>
                    <w:r>
                      <w:rPr>
                        <w:b/>
                        <w:color w:val="231F20"/>
                        <w:w w:val="110"/>
                        <w:sz w:val="18"/>
                      </w:rPr>
                      <w:t>Process).</w:t>
                    </w:r>
                  </w:p>
                  <w:p>
                    <w:pPr>
                      <w:spacing w:line="240" w:lineRule="auto" w:before="0"/>
                      <w:rPr>
                        <w:b/>
                        <w:sz w:val="21"/>
                      </w:rPr>
                    </w:pPr>
                  </w:p>
                  <w:p>
                    <w:pPr>
                      <w:spacing w:before="0"/>
                      <w:ind w:left="737" w:right="0" w:firstLine="0"/>
                      <w:jc w:val="left"/>
                      <w:rPr>
                        <w:b/>
                        <w:sz w:val="18"/>
                      </w:rPr>
                    </w:pPr>
                    <w:r>
                      <w:rPr>
                        <w:b/>
                        <w:color w:val="231F20"/>
                        <w:w w:val="110"/>
                        <w:sz w:val="18"/>
                      </w:rPr>
                      <w:t>Paragraph 2(5)(B)</w:t>
                    </w:r>
                  </w:p>
                  <w:p>
                    <w:pPr>
                      <w:spacing w:line="240" w:lineRule="auto" w:before="2"/>
                      <w:rPr>
                        <w:b/>
                        <w:sz w:val="23"/>
                      </w:rPr>
                    </w:pPr>
                  </w:p>
                  <w:p>
                    <w:pPr>
                      <w:spacing w:before="0"/>
                      <w:ind w:left="737" w:right="0" w:firstLine="0"/>
                      <w:jc w:val="left"/>
                      <w:rPr>
                        <w:sz w:val="18"/>
                      </w:rPr>
                    </w:pPr>
                    <w:r>
                      <w:rPr>
                        <w:color w:val="231F20"/>
                        <w:w w:val="110"/>
                        <w:sz w:val="18"/>
                      </w:rPr>
                      <w:t>Replace the existing 2(5)(B) with the following:</w:t>
                    </w:r>
                  </w:p>
                  <w:p>
                    <w:pPr>
                      <w:spacing w:line="240" w:lineRule="auto" w:before="1"/>
                      <w:rPr>
                        <w:sz w:val="23"/>
                      </w:rPr>
                    </w:pPr>
                  </w:p>
                  <w:p>
                    <w:pPr>
                      <w:spacing w:line="273" w:lineRule="auto" w:before="1"/>
                      <w:ind w:left="737" w:right="585" w:firstLine="0"/>
                      <w:jc w:val="left"/>
                      <w:rPr>
                        <w:b/>
                        <w:sz w:val="18"/>
                      </w:rPr>
                    </w:pPr>
                    <w:r>
                      <w:rPr>
                        <w:b/>
                        <w:color w:val="231F20"/>
                        <w:w w:val="110"/>
                        <w:sz w:val="18"/>
                      </w:rPr>
                      <w:t>Once the Disciplinary Process has commenced in the case of any minister or church-related community worker, whether by the General Assembly or by one of the other Councils of the Church, the General Assembly shall not exercise </w:t>
                    </w:r>
                    <w:r>
                      <w:rPr>
                        <w:b/>
                        <w:color w:val="231F20"/>
                        <w:spacing w:val="2"/>
                        <w:w w:val="110"/>
                        <w:sz w:val="18"/>
                      </w:rPr>
                      <w:t>its </w:t>
                    </w:r>
                    <w:r>
                      <w:rPr>
                        <w:b/>
                        <w:color w:val="231F20"/>
                        <w:w w:val="110"/>
                        <w:sz w:val="18"/>
                      </w:rPr>
                      <w:t>functions in </w:t>
                    </w:r>
                    <w:r>
                      <w:rPr>
                        <w:b/>
                        <w:color w:val="231F20"/>
                        <w:spacing w:val="3"/>
                        <w:w w:val="110"/>
                        <w:sz w:val="18"/>
                      </w:rPr>
                      <w:t>respect </w:t>
                    </w:r>
                    <w:r>
                      <w:rPr>
                        <w:b/>
                        <w:color w:val="231F20"/>
                        <w:w w:val="110"/>
                        <w:sz w:val="18"/>
                      </w:rPr>
                      <w:t>of that minister or church-related community worker </w:t>
                    </w:r>
                    <w:r>
                      <w:rPr>
                        <w:b/>
                        <w:color w:val="231F20"/>
                        <w:spacing w:val="-4"/>
                        <w:w w:val="110"/>
                        <w:sz w:val="18"/>
                      </w:rPr>
                      <w:t>(save </w:t>
                    </w:r>
                    <w:r>
                      <w:rPr>
                        <w:b/>
                        <w:color w:val="231F20"/>
                        <w:w w:val="110"/>
                        <w:sz w:val="18"/>
                      </w:rPr>
                      <w:t>only in the provision of such pastoral care as may be appropriate) until the Process has been duly</w:t>
                    </w:r>
                    <w:r>
                      <w:rPr>
                        <w:b/>
                        <w:color w:val="231F20"/>
                        <w:spacing w:val="5"/>
                        <w:w w:val="110"/>
                        <w:sz w:val="18"/>
                      </w:rPr>
                      <w:t> </w:t>
                    </w:r>
                    <w:r>
                      <w:rPr>
                        <w:b/>
                        <w:color w:val="231F20"/>
                        <w:w w:val="110"/>
                        <w:sz w:val="18"/>
                      </w:rPr>
                      <w:t>concluded.</w:t>
                    </w:r>
                  </w:p>
                </w:txbxContent>
              </v:textbox>
              <w10:wrap type="none"/>
            </v:shape>
          </v:group>
        </w:pict>
      </w:r>
      <w:r>
        <w:rPr>
          <w:sz w:val="20"/>
        </w:rPr>
      </w:r>
    </w:p>
    <w:p>
      <w:pPr>
        <w:pStyle w:val="BodyText"/>
        <w:spacing w:before="7"/>
        <w:rPr>
          <w:b/>
          <w:sz w:val="25"/>
        </w:rPr>
      </w:pPr>
    </w:p>
    <w:p>
      <w:pPr>
        <w:spacing w:after="0"/>
        <w:rPr>
          <w:sz w:val="25"/>
        </w:rPr>
        <w:sectPr>
          <w:pgSz w:w="11910" w:h="16840"/>
          <w:pgMar w:header="581" w:footer="544" w:top="860" w:bottom="740" w:left="460" w:right="0"/>
        </w:sectPr>
      </w:pPr>
    </w:p>
    <w:p>
      <w:pPr>
        <w:spacing w:before="103"/>
        <w:ind w:left="1373" w:right="0" w:firstLine="0"/>
        <w:jc w:val="left"/>
        <w:rPr>
          <w:b/>
          <w:sz w:val="50"/>
        </w:rPr>
      </w:pPr>
      <w:r>
        <w:rPr/>
        <w:pict>
          <v:group style="position:absolute;margin-left:70.87159pt;margin-top:7.493102pt;width:496.6pt;height:336.4pt;mso-position-horizontal-relative:page;mso-position-vertical-relative:paragraph;z-index:-275532800" coordorigin="1417,150" coordsize="9932,6728">
            <v:shape style="position:absolute;left:1720;top:213;width:4016;height:632" coordorigin="1720,214" coordsize="4016,632" path="m5736,542l1878,542,1878,214,1720,214,1720,542,1720,846,5736,846,5736,542e" filled="true" fillcolor="#d8dadc" stroked="false">
              <v:path arrowok="t"/>
              <v:fill type="solid"/>
            </v:shape>
            <v:line style="position:absolute" from="1720,208" to="5736,208" stroked="true" strokeweight=".6pt" strokecolor="#d8dadc">
              <v:stroke dashstyle="solid"/>
            </v:line>
            <v:shape style="position:absolute;left:1878;top:214;width:3858;height:328" coordorigin="1878,215" coordsize="3858,328" path="m5736,215l5321,215,1878,215,1878,542,5321,542,5736,542,5736,215e" filled="true" fillcolor="#d8dadc" stroked="false">
              <v:path arrowok="t"/>
              <v:fill type="solid"/>
            </v:shape>
            <v:shape style="position:absolute;left:1417;top:149;width:9932;height:6728" type="#_x0000_t75" stroked="false">
              <v:imagedata r:id="rId82" o:title=""/>
            </v:shape>
            <w10:wrap type="none"/>
          </v:group>
        </w:pict>
      </w: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71"/>
          <w:w w:val="111"/>
          <w:sz w:val="43"/>
        </w:rPr>
        <w:t>O</w:t>
      </w:r>
      <w:r>
        <w:rPr>
          <w:b/>
          <w:color w:val="231F20"/>
          <w:spacing w:val="-131"/>
          <w:w w:val="112"/>
          <w:position w:val="-23"/>
          <w:sz w:val="50"/>
        </w:rPr>
        <w:t>2</w:t>
      </w:r>
      <w:r>
        <w:rPr>
          <w:b/>
          <w:color w:val="FFFFFF"/>
          <w:spacing w:val="-283"/>
          <w:w w:val="111"/>
          <w:sz w:val="43"/>
        </w:rPr>
        <w:t>N</w:t>
      </w:r>
      <w:r>
        <w:rPr>
          <w:b/>
          <w:color w:val="231F20"/>
          <w:spacing w:val="-7"/>
          <w:w w:val="112"/>
          <w:position w:val="-23"/>
          <w:sz w:val="50"/>
        </w:rPr>
        <w:t>0</w:t>
      </w:r>
    </w:p>
    <w:p>
      <w:pPr>
        <w:pStyle w:val="BodyText"/>
        <w:rPr>
          <w:b/>
          <w:sz w:val="24"/>
        </w:rPr>
      </w:pPr>
      <w:r>
        <w:rPr/>
        <w:br w:type="column"/>
      </w:r>
      <w:r>
        <w:rPr>
          <w:b/>
          <w:sz w:val="24"/>
        </w:rPr>
      </w:r>
    </w:p>
    <w:p>
      <w:pPr>
        <w:pStyle w:val="BodyText"/>
        <w:spacing w:before="10"/>
        <w:rPr>
          <w:b/>
          <w:sz w:val="22"/>
        </w:rPr>
      </w:pPr>
    </w:p>
    <w:p>
      <w:pPr>
        <w:spacing w:before="0"/>
        <w:ind w:left="0" w:right="1132" w:firstLine="0"/>
        <w:jc w:val="right"/>
        <w:rPr>
          <w:b/>
          <w:sz w:val="20"/>
        </w:rPr>
      </w:pPr>
      <w:r>
        <w:rPr>
          <w:b/>
          <w:color w:val="231F20"/>
          <w:w w:val="110"/>
          <w:sz w:val="20"/>
        </w:rPr>
        <w:t>Ratification of the Listed</w:t>
      </w:r>
      <w:r>
        <w:rPr>
          <w:b/>
          <w:color w:val="231F20"/>
          <w:spacing w:val="19"/>
          <w:w w:val="110"/>
          <w:sz w:val="20"/>
        </w:rPr>
        <w:t> </w:t>
      </w:r>
      <w:r>
        <w:rPr>
          <w:b/>
          <w:color w:val="231F20"/>
          <w:w w:val="110"/>
          <w:sz w:val="20"/>
        </w:rPr>
        <w:t>Buildings</w:t>
      </w:r>
    </w:p>
    <w:p>
      <w:pPr>
        <w:spacing w:before="7"/>
        <w:ind w:left="0" w:right="1132" w:firstLine="0"/>
        <w:jc w:val="right"/>
        <w:rPr>
          <w:b/>
          <w:sz w:val="20"/>
        </w:rPr>
      </w:pPr>
      <w:r>
        <w:rPr>
          <w:b/>
          <w:color w:val="231F20"/>
          <w:w w:val="110"/>
          <w:sz w:val="20"/>
        </w:rPr>
        <w:t>Appeals</w:t>
      </w:r>
      <w:r>
        <w:rPr>
          <w:b/>
          <w:color w:val="231F20"/>
          <w:spacing w:val="15"/>
          <w:w w:val="110"/>
          <w:sz w:val="20"/>
        </w:rPr>
        <w:t> </w:t>
      </w:r>
      <w:r>
        <w:rPr>
          <w:b/>
          <w:color w:val="231F20"/>
          <w:w w:val="110"/>
          <w:sz w:val="20"/>
        </w:rPr>
        <w:t>Procedure</w:t>
      </w:r>
    </w:p>
    <w:p>
      <w:pPr>
        <w:spacing w:before="27"/>
        <w:ind w:left="0" w:right="1132" w:firstLine="0"/>
        <w:jc w:val="right"/>
        <w:rPr>
          <w:i/>
          <w:sz w:val="18"/>
        </w:rPr>
      </w:pPr>
      <w:r>
        <w:rPr>
          <w:i/>
          <w:color w:val="231F20"/>
          <w:w w:val="110"/>
          <w:sz w:val="18"/>
        </w:rPr>
        <w:t>(Report page 56 para</w:t>
      </w:r>
      <w:r>
        <w:rPr>
          <w:i/>
          <w:color w:val="231F20"/>
          <w:spacing w:val="38"/>
          <w:w w:val="110"/>
          <w:sz w:val="18"/>
        </w:rPr>
        <w:t> </w:t>
      </w:r>
      <w:r>
        <w:rPr>
          <w:i/>
          <w:color w:val="231F20"/>
          <w:spacing w:val="-3"/>
          <w:w w:val="110"/>
          <w:sz w:val="18"/>
        </w:rPr>
        <w:t>6.5.8)</w:t>
      </w:r>
    </w:p>
    <w:p>
      <w:pPr>
        <w:spacing w:after="0"/>
        <w:jc w:val="right"/>
        <w:rPr>
          <w:sz w:val="18"/>
        </w:rPr>
        <w:sectPr>
          <w:type w:val="continuous"/>
          <w:pgSz w:w="11910" w:h="16840"/>
          <w:pgMar w:top="680" w:bottom="280" w:left="460" w:right="0"/>
          <w:cols w:num="2" w:equalWidth="0">
            <w:col w:w="5015" w:space="40"/>
            <w:col w:w="6395"/>
          </w:cols>
        </w:sectPr>
      </w:pPr>
    </w:p>
    <w:p>
      <w:pPr>
        <w:pStyle w:val="BodyText"/>
        <w:spacing w:before="11"/>
        <w:rPr>
          <w:i/>
          <w:sz w:val="14"/>
        </w:rPr>
      </w:pPr>
    </w:p>
    <w:p>
      <w:pPr>
        <w:spacing w:line="273" w:lineRule="auto" w:before="100"/>
        <w:ind w:left="1240" w:right="1194" w:firstLine="0"/>
        <w:jc w:val="left"/>
        <w:rPr>
          <w:i/>
          <w:sz w:val="18"/>
        </w:rPr>
      </w:pPr>
      <w:r>
        <w:rPr>
          <w:i/>
          <w:color w:val="231F20"/>
          <w:w w:val="110"/>
          <w:sz w:val="18"/>
        </w:rPr>
        <w:t>A resolution to </w:t>
      </w:r>
      <w:r>
        <w:rPr>
          <w:i/>
          <w:color w:val="231F20"/>
          <w:spacing w:val="2"/>
          <w:w w:val="110"/>
          <w:sz w:val="18"/>
        </w:rPr>
        <w:t>ratify </w:t>
      </w:r>
      <w:r>
        <w:rPr>
          <w:i/>
          <w:color w:val="231F20"/>
          <w:w w:val="110"/>
          <w:sz w:val="18"/>
        </w:rPr>
        <w:t>Resolution </w:t>
      </w:r>
      <w:r>
        <w:rPr>
          <w:i/>
          <w:color w:val="231F20"/>
          <w:spacing w:val="-7"/>
          <w:w w:val="110"/>
          <w:sz w:val="18"/>
        </w:rPr>
        <w:t>14 </w:t>
      </w:r>
      <w:r>
        <w:rPr>
          <w:i/>
          <w:color w:val="231F20"/>
          <w:w w:val="110"/>
          <w:sz w:val="18"/>
        </w:rPr>
        <w:t>of 2006 as regards a new Appeals Procedure to apply </w:t>
      </w:r>
      <w:r>
        <w:rPr>
          <w:i/>
          <w:color w:val="231F20"/>
          <w:w w:val="110"/>
          <w:sz w:val="18"/>
        </w:rPr>
        <w:t>in the case of Listed</w:t>
      </w:r>
      <w:r>
        <w:rPr>
          <w:i/>
          <w:color w:val="231F20"/>
          <w:spacing w:val="5"/>
          <w:w w:val="110"/>
          <w:sz w:val="18"/>
        </w:rPr>
        <w:t> </w:t>
      </w:r>
      <w:r>
        <w:rPr>
          <w:i/>
          <w:color w:val="231F20"/>
          <w:w w:val="110"/>
          <w:sz w:val="18"/>
        </w:rPr>
        <w:t>Buildings:</w:t>
      </w:r>
    </w:p>
    <w:p>
      <w:pPr>
        <w:pStyle w:val="BodyText"/>
        <w:rPr>
          <w:i/>
          <w:sz w:val="22"/>
        </w:rPr>
      </w:pPr>
    </w:p>
    <w:p>
      <w:pPr>
        <w:pStyle w:val="BodyText"/>
        <w:spacing w:before="3"/>
        <w:rPr>
          <w:i/>
          <w:sz w:val="19"/>
        </w:rPr>
      </w:pPr>
    </w:p>
    <w:p>
      <w:pPr>
        <w:pStyle w:val="BodyText"/>
        <w:spacing w:line="273" w:lineRule="auto"/>
        <w:ind w:left="1240" w:right="1593"/>
      </w:pPr>
      <w:r>
        <w:rPr>
          <w:color w:val="231F20"/>
          <w:w w:val="110"/>
        </w:rPr>
        <w:t>General Assembly agrees to ratify its decision taken under Resolution 14 of 2006 to make the following changes to the Structure of the United Reformed Church:</w:t>
      </w:r>
    </w:p>
    <w:p>
      <w:pPr>
        <w:pStyle w:val="BodyText"/>
        <w:spacing w:before="9"/>
        <w:rPr>
          <w:sz w:val="20"/>
        </w:rPr>
      </w:pPr>
    </w:p>
    <w:p>
      <w:pPr>
        <w:spacing w:before="0"/>
        <w:ind w:left="1240" w:right="0" w:firstLine="0"/>
        <w:jc w:val="left"/>
        <w:rPr>
          <w:b/>
          <w:sz w:val="18"/>
        </w:rPr>
      </w:pPr>
      <w:r>
        <w:rPr>
          <w:b/>
          <w:color w:val="231F20"/>
          <w:w w:val="110"/>
          <w:sz w:val="18"/>
        </w:rPr>
        <w:t>Paragraph</w:t>
      </w:r>
      <w:r>
        <w:rPr>
          <w:b/>
          <w:color w:val="231F20"/>
          <w:spacing w:val="20"/>
          <w:w w:val="110"/>
          <w:sz w:val="18"/>
        </w:rPr>
        <w:t> </w:t>
      </w:r>
      <w:r>
        <w:rPr>
          <w:b/>
          <w:color w:val="231F20"/>
          <w:spacing w:val="-7"/>
          <w:w w:val="110"/>
          <w:sz w:val="18"/>
        </w:rPr>
        <w:t>5(2)</w:t>
      </w:r>
    </w:p>
    <w:p>
      <w:pPr>
        <w:pStyle w:val="BodyText"/>
        <w:spacing w:before="1"/>
        <w:rPr>
          <w:b/>
          <w:sz w:val="23"/>
        </w:rPr>
      </w:pPr>
    </w:p>
    <w:p>
      <w:pPr>
        <w:spacing w:line="549" w:lineRule="auto" w:before="0"/>
        <w:ind w:left="1240" w:right="1593" w:firstLine="0"/>
        <w:jc w:val="left"/>
        <w:rPr>
          <w:b/>
          <w:sz w:val="18"/>
        </w:rPr>
      </w:pPr>
      <w:r>
        <w:rPr>
          <w:color w:val="231F20"/>
          <w:w w:val="110"/>
          <w:sz w:val="18"/>
        </w:rPr>
        <w:t>In the opening sentence, </w:t>
      </w:r>
      <w:r>
        <w:rPr>
          <w:color w:val="231F20"/>
          <w:spacing w:val="2"/>
          <w:w w:val="110"/>
          <w:sz w:val="18"/>
        </w:rPr>
        <w:t>after </w:t>
      </w:r>
      <w:r>
        <w:rPr>
          <w:color w:val="231F20"/>
          <w:w w:val="110"/>
          <w:sz w:val="18"/>
        </w:rPr>
        <w:t>‘</w:t>
      </w:r>
      <w:r>
        <w:rPr>
          <w:b/>
          <w:color w:val="231F20"/>
          <w:w w:val="110"/>
          <w:sz w:val="18"/>
        </w:rPr>
        <w:t>outside paragraph </w:t>
      </w:r>
      <w:r>
        <w:rPr>
          <w:b/>
          <w:color w:val="231F20"/>
          <w:spacing w:val="-9"/>
          <w:w w:val="110"/>
          <w:sz w:val="18"/>
        </w:rPr>
        <w:t>5(1)</w:t>
      </w:r>
      <w:r>
        <w:rPr>
          <w:color w:val="231F20"/>
          <w:spacing w:val="-9"/>
          <w:w w:val="110"/>
          <w:sz w:val="18"/>
        </w:rPr>
        <w:t>’ </w:t>
      </w:r>
      <w:r>
        <w:rPr>
          <w:color w:val="231F20"/>
          <w:w w:val="110"/>
          <w:sz w:val="18"/>
        </w:rPr>
        <w:t>add ‘</w:t>
      </w:r>
      <w:r>
        <w:rPr>
          <w:b/>
          <w:color w:val="231F20"/>
          <w:w w:val="110"/>
          <w:sz w:val="18"/>
        </w:rPr>
        <w:t>or paragraph </w:t>
      </w:r>
      <w:r>
        <w:rPr>
          <w:b/>
          <w:color w:val="231F20"/>
          <w:spacing w:val="-9"/>
          <w:w w:val="110"/>
          <w:sz w:val="18"/>
        </w:rPr>
        <w:t>5(3)</w:t>
      </w:r>
      <w:r>
        <w:rPr>
          <w:color w:val="231F20"/>
          <w:spacing w:val="-9"/>
          <w:w w:val="110"/>
          <w:sz w:val="18"/>
        </w:rPr>
        <w:t>’. </w:t>
      </w:r>
      <w:r>
        <w:rPr>
          <w:b/>
          <w:color w:val="231F20"/>
          <w:w w:val="110"/>
          <w:sz w:val="18"/>
        </w:rPr>
        <w:t>Paragraph </w:t>
      </w:r>
      <w:r>
        <w:rPr>
          <w:b/>
          <w:color w:val="231F20"/>
          <w:spacing w:val="-6"/>
          <w:w w:val="110"/>
          <w:sz w:val="18"/>
        </w:rPr>
        <w:t>5(3)</w:t>
      </w:r>
    </w:p>
    <w:p>
      <w:pPr>
        <w:pStyle w:val="BodyText"/>
        <w:spacing w:line="217" w:lineRule="exact"/>
        <w:ind w:left="1240"/>
      </w:pPr>
      <w:r>
        <w:rPr>
          <w:color w:val="231F20"/>
          <w:w w:val="110"/>
        </w:rPr>
        <w:t>Add a new paragraph as follows:</w:t>
      </w:r>
    </w:p>
    <w:p>
      <w:pPr>
        <w:pStyle w:val="BodyText"/>
        <w:spacing w:before="2"/>
        <w:rPr>
          <w:sz w:val="23"/>
        </w:rPr>
      </w:pPr>
    </w:p>
    <w:p>
      <w:pPr>
        <w:spacing w:line="273" w:lineRule="auto" w:before="0"/>
        <w:ind w:left="1240" w:right="1726" w:firstLine="0"/>
        <w:jc w:val="left"/>
        <w:rPr>
          <w:b/>
          <w:sz w:val="18"/>
        </w:rPr>
      </w:pPr>
      <w:r>
        <w:rPr>
          <w:color w:val="231F20"/>
          <w:w w:val="110"/>
          <w:sz w:val="18"/>
        </w:rPr>
        <w:t>‘</w:t>
      </w:r>
      <w:r>
        <w:rPr>
          <w:b/>
          <w:color w:val="231F20"/>
          <w:w w:val="110"/>
          <w:sz w:val="18"/>
        </w:rPr>
        <w:t>Applications for </w:t>
      </w:r>
      <w:r>
        <w:rPr>
          <w:b/>
          <w:color w:val="231F20"/>
          <w:spacing w:val="2"/>
          <w:w w:val="110"/>
          <w:sz w:val="18"/>
        </w:rPr>
        <w:t>consent </w:t>
      </w:r>
      <w:r>
        <w:rPr>
          <w:b/>
          <w:color w:val="231F20"/>
          <w:w w:val="110"/>
          <w:sz w:val="18"/>
        </w:rPr>
        <w:t>to </w:t>
      </w:r>
      <w:r>
        <w:rPr>
          <w:b/>
          <w:color w:val="231F20"/>
          <w:spacing w:val="2"/>
          <w:w w:val="110"/>
          <w:sz w:val="18"/>
        </w:rPr>
        <w:t>carry </w:t>
      </w:r>
      <w:r>
        <w:rPr>
          <w:b/>
          <w:color w:val="231F20"/>
          <w:w w:val="110"/>
          <w:sz w:val="18"/>
        </w:rPr>
        <w:t>out works to  buildings  coming  within the</w:t>
      </w:r>
      <w:r>
        <w:rPr>
          <w:b/>
          <w:color w:val="231F20"/>
          <w:spacing w:val="17"/>
          <w:w w:val="110"/>
          <w:sz w:val="18"/>
        </w:rPr>
        <w:t> </w:t>
      </w:r>
      <w:r>
        <w:rPr>
          <w:b/>
          <w:color w:val="231F20"/>
          <w:w w:val="110"/>
          <w:sz w:val="18"/>
        </w:rPr>
        <w:t>Church’s</w:t>
      </w:r>
      <w:r>
        <w:rPr>
          <w:b/>
          <w:color w:val="231F20"/>
          <w:spacing w:val="17"/>
          <w:w w:val="110"/>
          <w:sz w:val="18"/>
        </w:rPr>
        <w:t> </w:t>
      </w:r>
      <w:r>
        <w:rPr>
          <w:b/>
          <w:color w:val="231F20"/>
          <w:w w:val="110"/>
          <w:sz w:val="18"/>
        </w:rPr>
        <w:t>Control</w:t>
      </w:r>
      <w:r>
        <w:rPr>
          <w:b/>
          <w:color w:val="231F20"/>
          <w:spacing w:val="18"/>
          <w:w w:val="110"/>
          <w:sz w:val="18"/>
        </w:rPr>
        <w:t> </w:t>
      </w:r>
      <w:r>
        <w:rPr>
          <w:b/>
          <w:color w:val="231F20"/>
          <w:w w:val="110"/>
          <w:sz w:val="18"/>
        </w:rPr>
        <w:t>Procedure</w:t>
      </w:r>
      <w:r>
        <w:rPr>
          <w:b/>
          <w:color w:val="231F20"/>
          <w:spacing w:val="17"/>
          <w:w w:val="110"/>
          <w:sz w:val="18"/>
        </w:rPr>
        <w:t> </w:t>
      </w:r>
      <w:r>
        <w:rPr>
          <w:b/>
          <w:color w:val="231F20"/>
          <w:w w:val="110"/>
          <w:sz w:val="18"/>
        </w:rPr>
        <w:t>under</w:t>
      </w:r>
      <w:r>
        <w:rPr>
          <w:b/>
          <w:color w:val="231F20"/>
          <w:spacing w:val="17"/>
          <w:w w:val="110"/>
          <w:sz w:val="18"/>
        </w:rPr>
        <w:t> </w:t>
      </w:r>
      <w:r>
        <w:rPr>
          <w:b/>
          <w:color w:val="231F20"/>
          <w:w w:val="110"/>
          <w:sz w:val="18"/>
        </w:rPr>
        <w:t>the</w:t>
      </w:r>
      <w:r>
        <w:rPr>
          <w:b/>
          <w:color w:val="231F20"/>
          <w:spacing w:val="18"/>
          <w:w w:val="110"/>
          <w:sz w:val="18"/>
        </w:rPr>
        <w:t> </w:t>
      </w:r>
      <w:r>
        <w:rPr>
          <w:b/>
          <w:color w:val="231F20"/>
          <w:spacing w:val="2"/>
          <w:w w:val="110"/>
          <w:sz w:val="18"/>
        </w:rPr>
        <w:t>Ecclesiastical</w:t>
      </w:r>
      <w:r>
        <w:rPr>
          <w:b/>
          <w:color w:val="231F20"/>
          <w:spacing w:val="17"/>
          <w:w w:val="110"/>
          <w:sz w:val="18"/>
        </w:rPr>
        <w:t> </w:t>
      </w:r>
      <w:r>
        <w:rPr>
          <w:b/>
          <w:color w:val="231F20"/>
          <w:w w:val="110"/>
          <w:sz w:val="18"/>
        </w:rPr>
        <w:t>Exemption</w:t>
      </w:r>
      <w:r>
        <w:rPr>
          <w:b/>
          <w:color w:val="231F20"/>
          <w:spacing w:val="17"/>
          <w:w w:val="110"/>
          <w:sz w:val="18"/>
        </w:rPr>
        <w:t> </w:t>
      </w:r>
      <w:r>
        <w:rPr>
          <w:b/>
          <w:color w:val="231F20"/>
          <w:w w:val="110"/>
          <w:sz w:val="18"/>
        </w:rPr>
        <w:t>(Listed</w:t>
      </w:r>
    </w:p>
    <w:p>
      <w:pPr>
        <w:spacing w:line="273" w:lineRule="auto" w:before="1"/>
        <w:ind w:left="1240" w:right="1143" w:firstLine="0"/>
        <w:jc w:val="left"/>
        <w:rPr>
          <w:sz w:val="18"/>
        </w:rPr>
      </w:pPr>
      <w:r>
        <w:rPr>
          <w:b/>
          <w:color w:val="231F20"/>
          <w:w w:val="110"/>
          <w:sz w:val="18"/>
        </w:rPr>
        <w:t>Buildings and Conservation Areas) Regulations for the time being in force and appeals from decisions made thereunder shall be dealt with in accordance with that procedure and not under paragraph 5(2) above.</w:t>
      </w:r>
      <w:r>
        <w:rPr>
          <w:color w:val="231F20"/>
          <w:w w:val="110"/>
          <w:sz w:val="18"/>
        </w:rPr>
        <w:t>’</w:t>
      </w:r>
    </w:p>
    <w:p>
      <w:pPr>
        <w:spacing w:after="0" w:line="273" w:lineRule="auto"/>
        <w:jc w:val="left"/>
        <w:rPr>
          <w:sz w:val="18"/>
        </w:rPr>
        <w:sectPr>
          <w:type w:val="continuous"/>
          <w:pgSz w:w="11910" w:h="16840"/>
          <w:pgMar w:top="680" w:bottom="280" w:left="460" w:right="0"/>
        </w:sectPr>
      </w:pPr>
    </w:p>
    <w:p>
      <w:pPr>
        <w:pStyle w:val="BodyText"/>
        <w:spacing w:before="2" w:after="1"/>
        <w:rPr>
          <w:sz w:val="22"/>
        </w:rPr>
      </w:pPr>
    </w:p>
    <w:p>
      <w:pPr>
        <w:pStyle w:val="BodyText"/>
        <w:ind w:left="380"/>
        <w:rPr>
          <w:sz w:val="20"/>
        </w:rPr>
      </w:pPr>
      <w:r>
        <w:rPr>
          <w:sz w:val="20"/>
        </w:rPr>
        <w:pict>
          <v:group style="width:496.6pt;height:244.85pt;mso-position-horizontal-relative:char;mso-position-vertical-relative:line" coordorigin="0,0" coordsize="9932,4897">
            <v:rect style="position:absolute;left:302;top:440;width:4016;height:304" filled="true" fillcolor="#d8dadc" stroked="false">
              <v:fill type="solid"/>
            </v:rect>
            <v:rect style="position:absolute;left:302;top:114;width:159;height:326" filled="true" fillcolor="#d8dadc" stroked="false">
              <v:fill type="solid"/>
            </v:rect>
            <v:line style="position:absolute" from="303,108" to="4318,108"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932;height:4848" type="#_x0000_t75" stroked="false">
              <v:imagedata r:id="rId83" o:title=""/>
            </v:shape>
            <v:shape style="position:absolute;left:416;top:0;width:3652;height:761"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43"/>
                        <w:w w:val="111"/>
                        <w:sz w:val="43"/>
                      </w:rPr>
                      <w:t>O</w:t>
                    </w:r>
                    <w:r>
                      <w:rPr>
                        <w:b/>
                        <w:color w:val="231F20"/>
                        <w:spacing w:val="-159"/>
                        <w:w w:val="112"/>
                        <w:position w:val="-21"/>
                        <w:sz w:val="50"/>
                      </w:rPr>
                      <w:t>2</w:t>
                    </w:r>
                    <w:r>
                      <w:rPr>
                        <w:b/>
                        <w:color w:val="FFFFFF"/>
                        <w:spacing w:val="-273"/>
                        <w:w w:val="111"/>
                        <w:sz w:val="43"/>
                      </w:rPr>
                      <w:t>N</w:t>
                    </w:r>
                    <w:r>
                      <w:rPr>
                        <w:b/>
                        <w:color w:val="231F20"/>
                        <w:spacing w:val="-26"/>
                        <w:w w:val="112"/>
                        <w:position w:val="-21"/>
                        <w:sz w:val="50"/>
                      </w:rPr>
                      <w:t>1</w:t>
                    </w:r>
                  </w:p>
                </w:txbxContent>
              </v:textbox>
              <w10:wrap type="none"/>
            </v:shape>
            <v:shape style="position:absolute;left:5123;top:456;width:4261;height:737" type="#_x0000_t202" filled="false" stroked="false">
              <v:textbox inset="0,0,0,0">
                <w:txbxContent>
                  <w:p>
                    <w:pPr>
                      <w:spacing w:line="256" w:lineRule="auto" w:before="0"/>
                      <w:ind w:left="595" w:right="18" w:hanging="596"/>
                      <w:jc w:val="right"/>
                      <w:rPr>
                        <w:i/>
                        <w:sz w:val="18"/>
                      </w:rPr>
                    </w:pPr>
                    <w:r>
                      <w:rPr>
                        <w:b/>
                        <w:color w:val="231F20"/>
                        <w:w w:val="110"/>
                        <w:sz w:val="20"/>
                      </w:rPr>
                      <w:t>Changes to the rules of procedure</w:t>
                    </w:r>
                    <w:r>
                      <w:rPr>
                        <w:b/>
                        <w:color w:val="231F20"/>
                        <w:w w:val="109"/>
                        <w:sz w:val="20"/>
                      </w:rPr>
                      <w:t> </w:t>
                    </w:r>
                    <w:r>
                      <w:rPr>
                        <w:b/>
                        <w:color w:val="231F20"/>
                        <w:w w:val="110"/>
                        <w:sz w:val="20"/>
                      </w:rPr>
                      <w:t>on Appeals (Listed Buildings)</w:t>
                    </w:r>
                    <w:r>
                      <w:rPr>
                        <w:b/>
                        <w:color w:val="231F20"/>
                        <w:w w:val="109"/>
                        <w:sz w:val="20"/>
                      </w:rPr>
                      <w:t> </w:t>
                    </w:r>
                    <w:r>
                      <w:rPr>
                        <w:i/>
                        <w:color w:val="231F20"/>
                        <w:w w:val="110"/>
                        <w:sz w:val="18"/>
                      </w:rPr>
                      <w:t>(Report page 56 para 6.5.8)</w:t>
                    </w:r>
                  </w:p>
                </w:txbxContent>
              </v:textbox>
              <w10:wrap type="none"/>
            </v:shape>
            <v:shape style="position:absolute;left:293;top:1474;width:8278;height:469" type="#_x0000_t202" filled="false" stroked="false">
              <v:textbox inset="0,0,0,0">
                <w:txbxContent>
                  <w:p>
                    <w:pPr>
                      <w:spacing w:line="273" w:lineRule="auto" w:before="0"/>
                      <w:ind w:left="0" w:right="0" w:firstLine="0"/>
                      <w:jc w:val="left"/>
                      <w:rPr>
                        <w:i/>
                        <w:sz w:val="18"/>
                      </w:rPr>
                    </w:pPr>
                    <w:r>
                      <w:rPr>
                        <w:i/>
                        <w:color w:val="231F20"/>
                        <w:w w:val="110"/>
                        <w:sz w:val="18"/>
                      </w:rPr>
                      <w:t>A resolution to make a change to the Rules of Procedure on Appeals as regards a </w:t>
                    </w:r>
                    <w:r>
                      <w:rPr>
                        <w:i/>
                        <w:color w:val="231F20"/>
                        <w:w w:val="110"/>
                        <w:sz w:val="18"/>
                      </w:rPr>
                      <w:t>new Appeals Procedure to apply in the case of Listed Buildings:</w:t>
                    </w:r>
                  </w:p>
                </w:txbxContent>
              </v:textbox>
              <w10:wrap type="none"/>
            </v:shape>
            <v:shape style="position:absolute;left:293;top:2474;width:8693;height:1969" type="#_x0000_t202" filled="false" stroked="false">
              <v:textbox inset="0,0,0,0">
                <w:txbxContent>
                  <w:p>
                    <w:pPr>
                      <w:spacing w:line="273" w:lineRule="auto" w:before="0"/>
                      <w:ind w:left="0" w:right="339" w:firstLine="0"/>
                      <w:jc w:val="left"/>
                      <w:rPr>
                        <w:sz w:val="18"/>
                      </w:rPr>
                    </w:pPr>
                    <w:r>
                      <w:rPr>
                        <w:color w:val="231F20"/>
                        <w:w w:val="110"/>
                        <w:sz w:val="18"/>
                      </w:rPr>
                      <w:t>General Assembly agrees to make the following change to the Rules of Procedure on Appeals:</w:t>
                    </w:r>
                  </w:p>
                  <w:p>
                    <w:pPr>
                      <w:spacing w:line="240" w:lineRule="auto" w:before="8"/>
                      <w:rPr>
                        <w:sz w:val="20"/>
                      </w:rPr>
                    </w:pPr>
                  </w:p>
                  <w:p>
                    <w:pPr>
                      <w:spacing w:line="273" w:lineRule="auto" w:before="0"/>
                      <w:ind w:left="0" w:right="0" w:firstLine="0"/>
                      <w:jc w:val="left"/>
                      <w:rPr>
                        <w:b/>
                        <w:sz w:val="18"/>
                      </w:rPr>
                    </w:pPr>
                    <w:r>
                      <w:rPr>
                        <w:color w:val="231F20"/>
                        <w:w w:val="110"/>
                        <w:sz w:val="18"/>
                      </w:rPr>
                      <w:t>Replace the existing Paragraph 8.11 with the following: </w:t>
                    </w:r>
                    <w:r>
                      <w:rPr>
                        <w:b/>
                        <w:color w:val="231F20"/>
                        <w:w w:val="110"/>
                        <w:sz w:val="18"/>
                      </w:rPr>
                      <w:t>‘The provisions of this Section “Rules of Procedure on Appeals” shall not apply to cases which are being determined within the Ministerial Disciplinary Process or the Church’s Control Procedure under the Ecclesiastical Exemption (Listed Buildings and Conservation Areas) Regulations for the time being in force.”</w:t>
                    </w:r>
                  </w:p>
                </w:txbxContent>
              </v:textbox>
              <w10:wrap type="none"/>
            </v:shape>
          </v:group>
        </w:pict>
      </w:r>
      <w:r>
        <w:rPr>
          <w:sz w:val="20"/>
        </w:rPr>
      </w:r>
    </w:p>
    <w:p>
      <w:pPr>
        <w:pStyle w:val="BodyText"/>
        <w:rPr>
          <w:sz w:val="20"/>
        </w:rPr>
      </w:pPr>
    </w:p>
    <w:p>
      <w:pPr>
        <w:pStyle w:val="BodyText"/>
        <w:spacing w:before="10"/>
      </w:pPr>
    </w:p>
    <w:p>
      <w:pPr>
        <w:spacing w:after="0"/>
        <w:sectPr>
          <w:pgSz w:w="11910" w:h="16840"/>
          <w:pgMar w:header="581" w:footer="464" w:top="860" w:bottom="740" w:left="460" w:right="0"/>
        </w:sectPr>
      </w:pPr>
    </w:p>
    <w:p>
      <w:pPr>
        <w:spacing w:before="103"/>
        <w:ind w:left="796" w:right="0" w:firstLine="0"/>
        <w:jc w:val="left"/>
        <w:rPr>
          <w:b/>
          <w:sz w:val="50"/>
        </w:rPr>
      </w:pPr>
      <w:r>
        <w:rPr/>
        <w:pict>
          <v:group style="position:absolute;margin-left:42.025169pt;margin-top:7.493187pt;width:496.6pt;height:126.1pt;mso-position-horizontal-relative:page;mso-position-vertical-relative:paragraph;z-index:-275526656" coordorigin="841,150" coordsize="9932,2522">
            <v:shape style="position:absolute;left:1143;top:214;width:4016;height:630" coordorigin="1143,214" coordsize="4016,630" path="m5159,542l1301,542,1301,214,1143,214,1143,542,1143,844,5159,844,5159,542e" filled="true" fillcolor="#d8dadc" stroked="false">
              <v:path arrowok="t"/>
              <v:fill type="solid"/>
            </v:shape>
            <v:line style="position:absolute" from="1143,208" to="5159,208" stroked="true" strokeweight=".6pt" strokecolor="#d8dadc">
              <v:stroke dashstyle="solid"/>
            </v:line>
            <v:shape style="position:absolute;left:1301;top:214;width:3858;height:328" coordorigin="1301,215" coordsize="3858,328" path="m5159,215l4744,215,1301,215,1301,542,4744,542,5159,542,5159,215e" filled="true" fillcolor="#d8dadc" stroked="false">
              <v:path arrowok="t"/>
              <v:fill type="solid"/>
            </v:shape>
            <v:shape style="position:absolute;left:840;top:149;width:9932;height:2522" type="#_x0000_t75" stroked="false">
              <v:imagedata r:id="rId84" o:title=""/>
            </v:shape>
            <w10:wrap type="none"/>
          </v:group>
        </w:pict>
      </w: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4"/>
          <w:w w:val="111"/>
          <w:sz w:val="43"/>
        </w:rPr>
        <w:t>O</w:t>
      </w:r>
      <w:r>
        <w:rPr>
          <w:b/>
          <w:color w:val="231F20"/>
          <w:spacing w:val="-148"/>
          <w:w w:val="112"/>
          <w:position w:val="-21"/>
          <w:sz w:val="50"/>
        </w:rPr>
        <w:t>2</w:t>
      </w:r>
      <w:r>
        <w:rPr>
          <w:b/>
          <w:color w:val="FFFFFF"/>
          <w:spacing w:val="-273"/>
          <w:w w:val="111"/>
          <w:sz w:val="43"/>
        </w:rPr>
        <w:t>N</w:t>
      </w:r>
      <w:r>
        <w:rPr>
          <w:b/>
          <w:color w:val="231F20"/>
          <w:spacing w:val="-14"/>
          <w:w w:val="112"/>
          <w:position w:val="-21"/>
          <w:sz w:val="50"/>
        </w:rPr>
        <w:t>2</w:t>
      </w:r>
    </w:p>
    <w:p>
      <w:pPr>
        <w:pStyle w:val="BodyText"/>
        <w:rPr>
          <w:b/>
          <w:sz w:val="24"/>
        </w:rPr>
      </w:pPr>
      <w:r>
        <w:rPr/>
        <w:br w:type="column"/>
      </w:r>
      <w:r>
        <w:rPr>
          <w:b/>
          <w:sz w:val="24"/>
        </w:rPr>
      </w:r>
    </w:p>
    <w:p>
      <w:pPr>
        <w:pStyle w:val="BodyText"/>
        <w:spacing w:before="7"/>
        <w:rPr>
          <w:b/>
          <w:sz w:val="21"/>
        </w:rPr>
      </w:pPr>
    </w:p>
    <w:p>
      <w:pPr>
        <w:spacing w:line="247" w:lineRule="auto" w:before="0"/>
        <w:ind w:left="1153" w:right="1698" w:hanging="632"/>
        <w:jc w:val="right"/>
        <w:rPr>
          <w:b/>
          <w:sz w:val="20"/>
        </w:rPr>
      </w:pPr>
      <w:r>
        <w:rPr>
          <w:b/>
          <w:color w:val="231F20"/>
          <w:w w:val="110"/>
          <w:sz w:val="20"/>
        </w:rPr>
        <w:t>Revised Arrangements</w:t>
      </w:r>
      <w:r>
        <w:rPr>
          <w:b/>
          <w:color w:val="231F20"/>
          <w:spacing w:val="8"/>
          <w:w w:val="110"/>
          <w:sz w:val="20"/>
        </w:rPr>
        <w:t> </w:t>
      </w:r>
      <w:r>
        <w:rPr>
          <w:b/>
          <w:color w:val="231F20"/>
          <w:w w:val="110"/>
          <w:sz w:val="20"/>
        </w:rPr>
        <w:t>for</w:t>
      </w:r>
      <w:r>
        <w:rPr>
          <w:b/>
          <w:color w:val="231F20"/>
          <w:spacing w:val="4"/>
          <w:w w:val="110"/>
          <w:sz w:val="20"/>
        </w:rPr>
        <w:t> </w:t>
      </w:r>
      <w:r>
        <w:rPr>
          <w:b/>
          <w:color w:val="231F20"/>
          <w:w w:val="110"/>
          <w:sz w:val="20"/>
        </w:rPr>
        <w:t>nominating</w:t>
      </w:r>
      <w:r>
        <w:rPr>
          <w:b/>
          <w:color w:val="231F20"/>
          <w:w w:val="109"/>
          <w:sz w:val="20"/>
        </w:rPr>
        <w:t> </w:t>
      </w:r>
      <w:r>
        <w:rPr>
          <w:b/>
          <w:color w:val="231F20"/>
          <w:w w:val="110"/>
          <w:sz w:val="20"/>
        </w:rPr>
        <w:t>directors of the</w:t>
      </w:r>
      <w:r>
        <w:rPr>
          <w:b/>
          <w:color w:val="231F20"/>
          <w:spacing w:val="19"/>
          <w:w w:val="110"/>
          <w:sz w:val="20"/>
        </w:rPr>
        <w:t> </w:t>
      </w:r>
      <w:r>
        <w:rPr>
          <w:b/>
          <w:color w:val="231F20"/>
          <w:w w:val="110"/>
          <w:sz w:val="20"/>
        </w:rPr>
        <w:t>United</w:t>
      </w:r>
      <w:r>
        <w:rPr>
          <w:b/>
          <w:color w:val="231F20"/>
          <w:spacing w:val="6"/>
          <w:w w:val="110"/>
          <w:sz w:val="20"/>
        </w:rPr>
        <w:t> </w:t>
      </w:r>
      <w:r>
        <w:rPr>
          <w:b/>
          <w:color w:val="231F20"/>
          <w:w w:val="110"/>
          <w:sz w:val="20"/>
        </w:rPr>
        <w:t>Reformed</w:t>
      </w:r>
      <w:r>
        <w:rPr>
          <w:b/>
          <w:color w:val="231F20"/>
          <w:w w:val="109"/>
          <w:sz w:val="20"/>
        </w:rPr>
        <w:t> </w:t>
      </w:r>
      <w:r>
        <w:rPr>
          <w:b/>
          <w:color w:val="231F20"/>
          <w:w w:val="110"/>
          <w:sz w:val="20"/>
        </w:rPr>
        <w:t>Church Ministers’ Pension</w:t>
      </w:r>
      <w:r>
        <w:rPr>
          <w:b/>
          <w:color w:val="231F20"/>
          <w:spacing w:val="17"/>
          <w:w w:val="110"/>
          <w:sz w:val="20"/>
        </w:rPr>
        <w:t> </w:t>
      </w:r>
      <w:r>
        <w:rPr>
          <w:b/>
          <w:color w:val="231F20"/>
          <w:w w:val="110"/>
          <w:sz w:val="20"/>
        </w:rPr>
        <w:t>Fund</w:t>
      </w:r>
    </w:p>
    <w:p>
      <w:pPr>
        <w:spacing w:before="19"/>
        <w:ind w:left="0" w:right="1699" w:firstLine="0"/>
        <w:jc w:val="right"/>
        <w:rPr>
          <w:i/>
          <w:sz w:val="18"/>
        </w:rPr>
      </w:pPr>
      <w:r>
        <w:rPr>
          <w:i/>
          <w:color w:val="231F20"/>
          <w:w w:val="110"/>
          <w:sz w:val="18"/>
        </w:rPr>
        <w:t>(Report page 49 para</w:t>
      </w:r>
      <w:r>
        <w:rPr>
          <w:i/>
          <w:color w:val="231F20"/>
          <w:spacing w:val="33"/>
          <w:w w:val="110"/>
          <w:sz w:val="18"/>
        </w:rPr>
        <w:t> </w:t>
      </w:r>
      <w:r>
        <w:rPr>
          <w:i/>
          <w:color w:val="231F20"/>
          <w:spacing w:val="-4"/>
          <w:w w:val="110"/>
          <w:sz w:val="18"/>
        </w:rPr>
        <w:t>5.7)</w:t>
      </w:r>
    </w:p>
    <w:p>
      <w:pPr>
        <w:spacing w:after="0"/>
        <w:jc w:val="right"/>
        <w:rPr>
          <w:sz w:val="18"/>
        </w:rPr>
        <w:sectPr>
          <w:type w:val="continuous"/>
          <w:pgSz w:w="11910" w:h="16840"/>
          <w:pgMar w:top="680" w:bottom="280" w:left="460" w:right="0"/>
          <w:cols w:num="2" w:equalWidth="0">
            <w:col w:w="4440" w:space="40"/>
            <w:col w:w="6970"/>
          </w:cols>
        </w:sectPr>
      </w:pPr>
    </w:p>
    <w:p>
      <w:pPr>
        <w:pStyle w:val="BodyText"/>
        <w:spacing w:before="11"/>
        <w:rPr>
          <w:i/>
          <w:sz w:val="14"/>
        </w:rPr>
      </w:pPr>
    </w:p>
    <w:p>
      <w:pPr>
        <w:pStyle w:val="BodyText"/>
        <w:spacing w:line="273" w:lineRule="auto" w:before="100"/>
        <w:ind w:left="673" w:right="2348"/>
      </w:pPr>
      <w:r>
        <w:rPr>
          <w:color w:val="231F20"/>
          <w:w w:val="110"/>
        </w:rPr>
        <w:t>General Assembly agrees the revised arrangements for nominating directors of the United Reformed Church Ministers’ Pension Fund.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30"/>
        </w:rPr>
      </w:pPr>
    </w:p>
    <w:p>
      <w:pPr>
        <w:spacing w:before="0"/>
        <w:ind w:left="0" w:right="1591"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type w:val="continuous"/>
          <w:pgSz w:w="11910" w:h="16840"/>
          <w:pgMar w:top="680" w:bottom="280" w:left="460" w:right="0"/>
        </w:sectPr>
      </w:pPr>
    </w:p>
    <w:p>
      <w:pPr>
        <w:spacing w:before="81"/>
        <w:ind w:left="1240" w:right="0" w:firstLine="0"/>
        <w:jc w:val="left"/>
        <w:rPr>
          <w:b/>
          <w:sz w:val="56"/>
        </w:rPr>
      </w:pPr>
      <w:r>
        <w:rPr/>
        <w:pict>
          <v:shape style="position:absolute;margin-left:507.698578pt;margin-top:36.840614pt;width:66.45pt;height:742.85pt;mso-position-horizontal-relative:page;mso-position-vertical-relative:page;z-index:251739136" type="#_x0000_t202" filled="false" stroked="false">
            <v:textbox inset="0,0,0,0" style="layout-flow:vertical">
              <w:txbxContent>
                <w:p>
                  <w:pPr>
                    <w:spacing w:line="917" w:lineRule="exact" w:before="20"/>
                    <w:ind w:left="20" w:right="0" w:firstLine="0"/>
                    <w:jc w:val="left"/>
                    <w:rPr>
                      <w:b/>
                      <w:sz w:val="80"/>
                    </w:rPr>
                  </w:pPr>
                  <w:r>
                    <w:rPr>
                      <w:b/>
                      <w:color w:val="231F20"/>
                      <w:spacing w:val="-9"/>
                      <w:sz w:val="80"/>
                    </w:rPr>
                    <w:t>Mission </w:t>
                  </w:r>
                  <w:r>
                    <w:rPr>
                      <w:b/>
                      <w:color w:val="231F20"/>
                      <w:spacing w:val="-10"/>
                      <w:sz w:val="80"/>
                    </w:rPr>
                    <w:t>Council </w:t>
                  </w:r>
                  <w:r>
                    <w:rPr>
                      <w:b/>
                      <w:color w:val="231F20"/>
                      <w:spacing w:val="-8"/>
                      <w:sz w:val="80"/>
                    </w:rPr>
                    <w:t>Grants </w:t>
                  </w:r>
                  <w:r>
                    <w:rPr>
                      <w:b/>
                      <w:color w:val="231F20"/>
                      <w:spacing w:val="-10"/>
                      <w:sz w:val="80"/>
                    </w:rPr>
                    <w:t>and </w:t>
                  </w:r>
                  <w:r>
                    <w:rPr>
                      <w:b/>
                      <w:color w:val="231F20"/>
                      <w:spacing w:val="-8"/>
                      <w:sz w:val="80"/>
                    </w:rPr>
                    <w:t>Loans</w:t>
                  </w:r>
                </w:p>
                <w:p>
                  <w:pPr>
                    <w:spacing w:line="390" w:lineRule="exact" w:before="0"/>
                    <w:ind w:left="0" w:right="966"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z w:val="56"/>
        </w:rPr>
        <w:t>Document 6</w:t>
      </w:r>
    </w:p>
    <w:p>
      <w:pPr>
        <w:spacing w:before="451"/>
        <w:ind w:left="1240" w:right="0" w:firstLine="0"/>
        <w:jc w:val="left"/>
        <w:rPr>
          <w:b/>
          <w:sz w:val="29"/>
        </w:rPr>
      </w:pPr>
      <w:r>
        <w:rPr>
          <w:b/>
          <w:color w:val="231F20"/>
          <w:w w:val="110"/>
          <w:sz w:val="29"/>
        </w:rPr>
        <w:t>Mission Council Grants and Loans Group</w:t>
      </w:r>
    </w:p>
    <w:p>
      <w:pPr>
        <w:pStyle w:val="BodyText"/>
        <w:rPr>
          <w:b/>
          <w:sz w:val="20"/>
        </w:rPr>
      </w:pPr>
    </w:p>
    <w:p>
      <w:pPr>
        <w:pStyle w:val="BodyText"/>
        <w:spacing w:before="8"/>
        <w:rPr>
          <w:b/>
          <w:sz w:val="17"/>
        </w:rPr>
      </w:pPr>
    </w:p>
    <w:tbl>
      <w:tblPr>
        <w:tblW w:w="0" w:type="auto"/>
        <w:jc w:val="left"/>
        <w:tblInd w:w="1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4"/>
        <w:gridCol w:w="1167"/>
        <w:gridCol w:w="1082"/>
        <w:gridCol w:w="2767"/>
      </w:tblGrid>
      <w:tr>
        <w:trPr>
          <w:trHeight w:val="409" w:hRule="atLeast"/>
        </w:trPr>
        <w:tc>
          <w:tcPr>
            <w:tcW w:w="5383" w:type="dxa"/>
            <w:gridSpan w:val="3"/>
          </w:tcPr>
          <w:p>
            <w:pPr>
              <w:pStyle w:val="TableParagraph"/>
              <w:tabs>
                <w:tab w:pos="770" w:val="left" w:leader="none"/>
              </w:tabs>
              <w:spacing w:before="50"/>
              <w:ind w:left="50"/>
              <w:rPr>
                <w:rFonts w:ascii="Verdana"/>
                <w:sz w:val="18"/>
              </w:rPr>
            </w:pPr>
            <w:r>
              <w:rPr>
                <w:rFonts w:ascii="Verdana"/>
                <w:color w:val="231F20"/>
                <w:spacing w:val="-3"/>
                <w:w w:val="110"/>
                <w:sz w:val="18"/>
              </w:rPr>
              <w:t>1.</w:t>
              <w:tab/>
            </w:r>
            <w:r>
              <w:rPr>
                <w:rFonts w:ascii="Verdana"/>
                <w:color w:val="231F20"/>
                <w:w w:val="110"/>
                <w:sz w:val="18"/>
              </w:rPr>
              <w:t>SUMMARY OF </w:t>
            </w:r>
            <w:r>
              <w:rPr>
                <w:rFonts w:ascii="Verdana"/>
                <w:color w:val="231F20"/>
                <w:spacing w:val="4"/>
                <w:w w:val="110"/>
                <w:sz w:val="18"/>
              </w:rPr>
              <w:t>GRANTS </w:t>
            </w:r>
            <w:r>
              <w:rPr>
                <w:rFonts w:ascii="Verdana"/>
                <w:color w:val="231F20"/>
                <w:w w:val="110"/>
                <w:sz w:val="18"/>
              </w:rPr>
              <w:t>PAID FOR</w:t>
            </w:r>
            <w:r>
              <w:rPr>
                <w:rFonts w:ascii="Verdana"/>
                <w:color w:val="231F20"/>
                <w:spacing w:val="58"/>
                <w:w w:val="110"/>
                <w:sz w:val="18"/>
              </w:rPr>
              <w:t> </w:t>
            </w:r>
            <w:r>
              <w:rPr>
                <w:rFonts w:ascii="Verdana"/>
                <w:color w:val="231F20"/>
                <w:w w:val="110"/>
                <w:sz w:val="18"/>
              </w:rPr>
              <w:t>FACILITIES</w:t>
            </w:r>
          </w:p>
        </w:tc>
        <w:tc>
          <w:tcPr>
            <w:tcW w:w="2767" w:type="dxa"/>
          </w:tcPr>
          <w:p>
            <w:pPr>
              <w:pStyle w:val="TableParagraph"/>
              <w:spacing w:before="50"/>
              <w:ind w:left="46"/>
              <w:rPr>
                <w:rFonts w:ascii="Verdana"/>
                <w:sz w:val="18"/>
              </w:rPr>
            </w:pPr>
            <w:r>
              <w:rPr>
                <w:rFonts w:ascii="Verdana"/>
                <w:color w:val="231F20"/>
                <w:w w:val="110"/>
                <w:sz w:val="18"/>
              </w:rPr>
              <w:t>FOR DISABLED</w:t>
            </w:r>
          </w:p>
        </w:tc>
      </w:tr>
      <w:tr>
        <w:trPr>
          <w:trHeight w:val="500" w:hRule="atLeast"/>
        </w:trPr>
        <w:tc>
          <w:tcPr>
            <w:tcW w:w="5383" w:type="dxa"/>
            <w:gridSpan w:val="3"/>
          </w:tcPr>
          <w:p>
            <w:pPr>
              <w:pStyle w:val="TableParagraph"/>
              <w:tabs>
                <w:tab w:pos="2870" w:val="left" w:leader="none"/>
                <w:tab w:pos="4530" w:val="left" w:leader="none"/>
              </w:tabs>
              <w:spacing w:before="140"/>
              <w:ind w:left="50"/>
              <w:rPr>
                <w:rFonts w:ascii="Verdana"/>
                <w:sz w:val="18"/>
              </w:rPr>
            </w:pPr>
            <w:r>
              <w:rPr>
                <w:rFonts w:ascii="Verdana"/>
                <w:color w:val="231F20"/>
                <w:spacing w:val="2"/>
                <w:w w:val="110"/>
                <w:sz w:val="18"/>
              </w:rPr>
              <w:t>North</w:t>
            </w:r>
            <w:r>
              <w:rPr>
                <w:rFonts w:ascii="Verdana"/>
                <w:color w:val="231F20"/>
                <w:spacing w:val="10"/>
                <w:w w:val="110"/>
                <w:sz w:val="18"/>
              </w:rPr>
              <w:t> </w:t>
            </w:r>
            <w:r>
              <w:rPr>
                <w:rFonts w:ascii="Verdana"/>
                <w:color w:val="231F20"/>
                <w:w w:val="110"/>
                <w:sz w:val="18"/>
              </w:rPr>
              <w:t>Western</w:t>
            </w:r>
            <w:r>
              <w:rPr>
                <w:rFonts w:ascii="Verdana"/>
                <w:color w:val="231F20"/>
                <w:spacing w:val="11"/>
                <w:w w:val="110"/>
                <w:sz w:val="18"/>
              </w:rPr>
              <w:t> </w:t>
            </w:r>
            <w:r>
              <w:rPr>
                <w:rFonts w:ascii="Verdana"/>
                <w:color w:val="231F20"/>
                <w:w w:val="110"/>
                <w:sz w:val="18"/>
              </w:rPr>
              <w:t>Synod</w:t>
              <w:tab/>
              <w:t>3</w:t>
            </w:r>
            <w:r>
              <w:rPr>
                <w:rFonts w:ascii="Verdana"/>
                <w:color w:val="231F20"/>
                <w:spacing w:val="8"/>
                <w:w w:val="110"/>
                <w:sz w:val="18"/>
              </w:rPr>
              <w:t> </w:t>
            </w:r>
            <w:r>
              <w:rPr>
                <w:rFonts w:ascii="Verdana"/>
                <w:color w:val="231F20"/>
                <w:w w:val="110"/>
                <w:sz w:val="18"/>
              </w:rPr>
              <w:t>Grants</w:t>
              <w:tab/>
              <w:t>Total</w:t>
            </w:r>
          </w:p>
        </w:tc>
        <w:tc>
          <w:tcPr>
            <w:tcW w:w="2767" w:type="dxa"/>
          </w:tcPr>
          <w:p>
            <w:pPr>
              <w:pStyle w:val="TableParagraph"/>
              <w:spacing w:before="140"/>
              <w:ind w:left="182"/>
              <w:rPr>
                <w:rFonts w:ascii="Verdana" w:hAnsi="Verdana"/>
                <w:sz w:val="18"/>
              </w:rPr>
            </w:pPr>
            <w:r>
              <w:rPr>
                <w:rFonts w:ascii="Verdana" w:hAnsi="Verdana"/>
                <w:color w:val="231F20"/>
                <w:w w:val="110"/>
                <w:sz w:val="18"/>
              </w:rPr>
              <w:t>£12720</w:t>
            </w:r>
          </w:p>
        </w:tc>
      </w:tr>
      <w:tr>
        <w:trPr>
          <w:trHeight w:val="499" w:hRule="atLeast"/>
        </w:trPr>
        <w:tc>
          <w:tcPr>
            <w:tcW w:w="5383" w:type="dxa"/>
            <w:gridSpan w:val="3"/>
          </w:tcPr>
          <w:p>
            <w:pPr>
              <w:pStyle w:val="TableParagraph"/>
              <w:tabs>
                <w:tab w:pos="2870" w:val="left" w:leader="none"/>
                <w:tab w:pos="4530" w:val="left" w:leader="none"/>
              </w:tabs>
              <w:spacing w:before="140"/>
              <w:ind w:left="50"/>
              <w:rPr>
                <w:rFonts w:ascii="Verdana"/>
                <w:sz w:val="18"/>
              </w:rPr>
            </w:pPr>
            <w:r>
              <w:rPr>
                <w:rFonts w:ascii="Verdana"/>
                <w:color w:val="231F20"/>
                <w:spacing w:val="2"/>
                <w:w w:val="110"/>
                <w:sz w:val="18"/>
              </w:rPr>
              <w:t>Mersey</w:t>
            </w:r>
            <w:r>
              <w:rPr>
                <w:rFonts w:ascii="Verdana"/>
                <w:color w:val="231F20"/>
                <w:spacing w:val="7"/>
                <w:w w:val="110"/>
                <w:sz w:val="18"/>
              </w:rPr>
              <w:t> </w:t>
            </w:r>
            <w:r>
              <w:rPr>
                <w:rFonts w:ascii="Verdana"/>
                <w:color w:val="231F20"/>
                <w:w w:val="110"/>
                <w:sz w:val="18"/>
              </w:rPr>
              <w:t>Synod</w:t>
              <w:tab/>
              <w:t>4</w:t>
            </w:r>
            <w:r>
              <w:rPr>
                <w:rFonts w:ascii="Verdana"/>
                <w:color w:val="231F20"/>
                <w:spacing w:val="8"/>
                <w:w w:val="110"/>
                <w:sz w:val="18"/>
              </w:rPr>
              <w:t> </w:t>
            </w:r>
            <w:r>
              <w:rPr>
                <w:rFonts w:ascii="Verdana"/>
                <w:color w:val="231F20"/>
                <w:w w:val="110"/>
                <w:sz w:val="18"/>
              </w:rPr>
              <w:t>Grants</w:t>
              <w:tab/>
              <w:t>Total</w:t>
            </w:r>
          </w:p>
        </w:tc>
        <w:tc>
          <w:tcPr>
            <w:tcW w:w="2767" w:type="dxa"/>
          </w:tcPr>
          <w:p>
            <w:pPr>
              <w:pStyle w:val="TableParagraph"/>
              <w:spacing w:before="140"/>
              <w:ind w:left="286"/>
              <w:rPr>
                <w:rFonts w:ascii="Verdana" w:hAnsi="Verdana"/>
                <w:sz w:val="18"/>
              </w:rPr>
            </w:pPr>
            <w:r>
              <w:rPr>
                <w:rFonts w:ascii="Verdana" w:hAnsi="Verdana"/>
                <w:color w:val="231F20"/>
                <w:w w:val="110"/>
                <w:sz w:val="18"/>
              </w:rPr>
              <w:t>£5000</w:t>
            </w:r>
          </w:p>
        </w:tc>
      </w:tr>
      <w:tr>
        <w:trPr>
          <w:trHeight w:val="500" w:hRule="atLeast"/>
        </w:trPr>
        <w:tc>
          <w:tcPr>
            <w:tcW w:w="5383" w:type="dxa"/>
            <w:gridSpan w:val="3"/>
          </w:tcPr>
          <w:p>
            <w:pPr>
              <w:pStyle w:val="TableParagraph"/>
              <w:tabs>
                <w:tab w:pos="2869" w:val="left" w:leader="none"/>
                <w:tab w:pos="4529" w:val="left" w:leader="none"/>
              </w:tabs>
              <w:spacing w:before="140"/>
              <w:ind w:left="50"/>
              <w:rPr>
                <w:rFonts w:ascii="Verdana"/>
                <w:sz w:val="18"/>
              </w:rPr>
            </w:pPr>
            <w:r>
              <w:rPr>
                <w:rFonts w:ascii="Verdana"/>
                <w:color w:val="231F20"/>
                <w:w w:val="110"/>
                <w:sz w:val="18"/>
              </w:rPr>
              <w:t>East</w:t>
            </w:r>
            <w:r>
              <w:rPr>
                <w:rFonts w:ascii="Verdana"/>
                <w:color w:val="231F20"/>
                <w:spacing w:val="9"/>
                <w:w w:val="110"/>
                <w:sz w:val="18"/>
              </w:rPr>
              <w:t> </w:t>
            </w:r>
            <w:r>
              <w:rPr>
                <w:rFonts w:ascii="Verdana"/>
                <w:color w:val="231F20"/>
                <w:w w:val="110"/>
                <w:sz w:val="18"/>
              </w:rPr>
              <w:t>Midlands</w:t>
            </w:r>
            <w:r>
              <w:rPr>
                <w:rFonts w:ascii="Verdana"/>
                <w:color w:val="231F20"/>
                <w:spacing w:val="10"/>
                <w:w w:val="110"/>
                <w:sz w:val="18"/>
              </w:rPr>
              <w:t> </w:t>
            </w:r>
            <w:r>
              <w:rPr>
                <w:rFonts w:ascii="Verdana"/>
                <w:color w:val="231F20"/>
                <w:w w:val="110"/>
                <w:sz w:val="18"/>
              </w:rPr>
              <w:t>Synod</w:t>
              <w:tab/>
              <w:t>4</w:t>
            </w:r>
            <w:r>
              <w:rPr>
                <w:rFonts w:ascii="Verdana"/>
                <w:color w:val="231F20"/>
                <w:spacing w:val="8"/>
                <w:w w:val="110"/>
                <w:sz w:val="18"/>
              </w:rPr>
              <w:t> </w:t>
            </w:r>
            <w:r>
              <w:rPr>
                <w:rFonts w:ascii="Verdana"/>
                <w:color w:val="231F20"/>
                <w:w w:val="110"/>
                <w:sz w:val="18"/>
              </w:rPr>
              <w:t>Grants</w:t>
              <w:tab/>
              <w:t>Total</w:t>
            </w:r>
          </w:p>
        </w:tc>
        <w:tc>
          <w:tcPr>
            <w:tcW w:w="2767" w:type="dxa"/>
          </w:tcPr>
          <w:p>
            <w:pPr>
              <w:pStyle w:val="TableParagraph"/>
              <w:spacing w:before="140"/>
              <w:ind w:left="178"/>
              <w:rPr>
                <w:rFonts w:ascii="Verdana" w:hAnsi="Verdana"/>
                <w:sz w:val="18"/>
              </w:rPr>
            </w:pPr>
            <w:r>
              <w:rPr>
                <w:rFonts w:ascii="Verdana" w:hAnsi="Verdana"/>
                <w:color w:val="231F20"/>
                <w:w w:val="110"/>
                <w:sz w:val="18"/>
              </w:rPr>
              <w:t>£19450</w:t>
            </w:r>
          </w:p>
        </w:tc>
      </w:tr>
      <w:tr>
        <w:trPr>
          <w:trHeight w:val="500" w:hRule="atLeast"/>
        </w:trPr>
        <w:tc>
          <w:tcPr>
            <w:tcW w:w="5383" w:type="dxa"/>
            <w:gridSpan w:val="3"/>
          </w:tcPr>
          <w:p>
            <w:pPr>
              <w:pStyle w:val="TableParagraph"/>
              <w:tabs>
                <w:tab w:pos="2869" w:val="left" w:leader="none"/>
                <w:tab w:pos="4529" w:val="left" w:leader="none"/>
              </w:tabs>
              <w:spacing w:before="140"/>
              <w:ind w:left="50"/>
              <w:rPr>
                <w:rFonts w:ascii="Verdana"/>
                <w:sz w:val="18"/>
              </w:rPr>
            </w:pPr>
            <w:r>
              <w:rPr>
                <w:rFonts w:ascii="Verdana"/>
                <w:color w:val="231F20"/>
                <w:w w:val="110"/>
                <w:sz w:val="18"/>
              </w:rPr>
              <w:t>Eastern</w:t>
            </w:r>
            <w:r>
              <w:rPr>
                <w:rFonts w:ascii="Verdana"/>
                <w:color w:val="231F20"/>
                <w:spacing w:val="12"/>
                <w:w w:val="110"/>
                <w:sz w:val="18"/>
              </w:rPr>
              <w:t> </w:t>
            </w:r>
            <w:r>
              <w:rPr>
                <w:rFonts w:ascii="Verdana"/>
                <w:color w:val="231F20"/>
                <w:w w:val="110"/>
                <w:sz w:val="18"/>
              </w:rPr>
              <w:t>Synod</w:t>
              <w:tab/>
              <w:t>3</w:t>
            </w:r>
            <w:r>
              <w:rPr>
                <w:rFonts w:ascii="Verdana"/>
                <w:color w:val="231F20"/>
                <w:spacing w:val="8"/>
                <w:w w:val="110"/>
                <w:sz w:val="18"/>
              </w:rPr>
              <w:t> </w:t>
            </w:r>
            <w:r>
              <w:rPr>
                <w:rFonts w:ascii="Verdana"/>
                <w:color w:val="231F20"/>
                <w:w w:val="110"/>
                <w:sz w:val="18"/>
              </w:rPr>
              <w:t>Grants</w:t>
              <w:tab/>
              <w:t>Total</w:t>
            </w:r>
          </w:p>
        </w:tc>
        <w:tc>
          <w:tcPr>
            <w:tcW w:w="2767" w:type="dxa"/>
          </w:tcPr>
          <w:p>
            <w:pPr>
              <w:pStyle w:val="TableParagraph"/>
              <w:spacing w:before="140"/>
              <w:ind w:left="192"/>
              <w:rPr>
                <w:rFonts w:ascii="Verdana" w:hAnsi="Verdana"/>
                <w:sz w:val="18"/>
              </w:rPr>
            </w:pPr>
            <w:r>
              <w:rPr>
                <w:rFonts w:ascii="Verdana" w:hAnsi="Verdana"/>
                <w:color w:val="231F20"/>
                <w:w w:val="110"/>
                <w:sz w:val="18"/>
              </w:rPr>
              <w:t>£11760</w:t>
            </w:r>
          </w:p>
        </w:tc>
      </w:tr>
      <w:tr>
        <w:trPr>
          <w:trHeight w:val="625" w:hRule="atLeast"/>
        </w:trPr>
        <w:tc>
          <w:tcPr>
            <w:tcW w:w="5383" w:type="dxa"/>
            <w:gridSpan w:val="3"/>
          </w:tcPr>
          <w:p>
            <w:pPr>
              <w:pStyle w:val="TableParagraph"/>
              <w:tabs>
                <w:tab w:pos="2869" w:val="left" w:leader="none"/>
                <w:tab w:pos="4529" w:val="left" w:leader="none"/>
              </w:tabs>
              <w:spacing w:before="140"/>
              <w:ind w:left="50"/>
              <w:rPr>
                <w:rFonts w:ascii="Verdana"/>
                <w:sz w:val="18"/>
              </w:rPr>
            </w:pPr>
            <w:r>
              <w:rPr>
                <w:rFonts w:ascii="Verdana"/>
                <w:color w:val="231F20"/>
                <w:w w:val="110"/>
                <w:sz w:val="18"/>
              </w:rPr>
              <w:t>South</w:t>
            </w:r>
            <w:r>
              <w:rPr>
                <w:rFonts w:ascii="Verdana"/>
                <w:color w:val="231F20"/>
                <w:spacing w:val="11"/>
                <w:w w:val="110"/>
                <w:sz w:val="18"/>
              </w:rPr>
              <w:t> </w:t>
            </w:r>
            <w:r>
              <w:rPr>
                <w:rFonts w:ascii="Verdana"/>
                <w:color w:val="231F20"/>
                <w:w w:val="110"/>
                <w:sz w:val="18"/>
              </w:rPr>
              <w:t>Western</w:t>
            </w:r>
            <w:r>
              <w:rPr>
                <w:rFonts w:ascii="Verdana"/>
                <w:color w:val="231F20"/>
                <w:spacing w:val="11"/>
                <w:w w:val="110"/>
                <w:sz w:val="18"/>
              </w:rPr>
              <w:t> </w:t>
            </w:r>
            <w:r>
              <w:rPr>
                <w:rFonts w:ascii="Verdana"/>
                <w:color w:val="231F20"/>
                <w:w w:val="110"/>
                <w:sz w:val="18"/>
              </w:rPr>
              <w:t>Synod</w:t>
              <w:tab/>
              <w:t>1</w:t>
            </w:r>
            <w:r>
              <w:rPr>
                <w:rFonts w:ascii="Verdana"/>
                <w:color w:val="231F20"/>
                <w:spacing w:val="8"/>
                <w:w w:val="110"/>
                <w:sz w:val="18"/>
              </w:rPr>
              <w:t> </w:t>
            </w:r>
            <w:r>
              <w:rPr>
                <w:rFonts w:ascii="Verdana"/>
                <w:color w:val="231F20"/>
                <w:w w:val="110"/>
                <w:sz w:val="18"/>
              </w:rPr>
              <w:t>Grants</w:t>
              <w:tab/>
              <w:t>Total</w:t>
            </w:r>
          </w:p>
        </w:tc>
        <w:tc>
          <w:tcPr>
            <w:tcW w:w="2767" w:type="dxa"/>
          </w:tcPr>
          <w:p>
            <w:pPr>
              <w:pStyle w:val="TableParagraph"/>
              <w:spacing w:before="140"/>
              <w:ind w:left="286"/>
              <w:rPr>
                <w:rFonts w:ascii="Verdana" w:hAnsi="Verdana"/>
                <w:sz w:val="18"/>
              </w:rPr>
            </w:pPr>
            <w:r>
              <w:rPr>
                <w:rFonts w:ascii="Verdana" w:hAnsi="Verdana"/>
                <w:color w:val="231F20"/>
                <w:w w:val="110"/>
                <w:sz w:val="18"/>
              </w:rPr>
              <w:t>£5000</w:t>
            </w:r>
          </w:p>
        </w:tc>
      </w:tr>
      <w:tr>
        <w:trPr>
          <w:trHeight w:val="624" w:hRule="atLeast"/>
        </w:trPr>
        <w:tc>
          <w:tcPr>
            <w:tcW w:w="5383" w:type="dxa"/>
            <w:gridSpan w:val="3"/>
          </w:tcPr>
          <w:p>
            <w:pPr>
              <w:pStyle w:val="TableParagraph"/>
              <w:spacing w:before="10"/>
              <w:rPr>
                <w:rFonts w:ascii="Verdana"/>
                <w:b/>
                <w:sz w:val="21"/>
              </w:rPr>
            </w:pPr>
          </w:p>
          <w:p>
            <w:pPr>
              <w:pStyle w:val="TableParagraph"/>
              <w:tabs>
                <w:tab w:pos="769" w:val="left" w:leader="none"/>
              </w:tabs>
              <w:ind w:left="50"/>
              <w:rPr>
                <w:rFonts w:ascii="Verdana"/>
                <w:sz w:val="18"/>
              </w:rPr>
            </w:pPr>
            <w:r>
              <w:rPr>
                <w:rFonts w:ascii="Verdana"/>
                <w:color w:val="231F20"/>
                <w:w w:val="110"/>
                <w:sz w:val="18"/>
              </w:rPr>
              <w:t>2.</w:t>
              <w:tab/>
              <w:t>SUMMARY OF</w:t>
            </w:r>
            <w:r>
              <w:rPr>
                <w:rFonts w:ascii="Verdana"/>
                <w:color w:val="231F20"/>
                <w:spacing w:val="2"/>
                <w:w w:val="110"/>
                <w:sz w:val="18"/>
              </w:rPr>
              <w:t> </w:t>
            </w:r>
            <w:r>
              <w:rPr>
                <w:rFonts w:ascii="Verdana"/>
                <w:color w:val="231F20"/>
                <w:w w:val="110"/>
                <w:sz w:val="18"/>
              </w:rPr>
              <w:t>LOANS</w:t>
            </w:r>
          </w:p>
        </w:tc>
        <w:tc>
          <w:tcPr>
            <w:tcW w:w="2767" w:type="dxa"/>
          </w:tcPr>
          <w:p>
            <w:pPr>
              <w:pStyle w:val="TableParagraph"/>
              <w:rPr>
                <w:sz w:val="22"/>
              </w:rPr>
            </w:pPr>
          </w:p>
        </w:tc>
      </w:tr>
      <w:tr>
        <w:trPr>
          <w:trHeight w:val="624" w:hRule="atLeast"/>
        </w:trPr>
        <w:tc>
          <w:tcPr>
            <w:tcW w:w="5383" w:type="dxa"/>
            <w:gridSpan w:val="3"/>
          </w:tcPr>
          <w:p>
            <w:pPr>
              <w:pStyle w:val="TableParagraph"/>
              <w:tabs>
                <w:tab w:pos="2918" w:val="left" w:leader="none"/>
                <w:tab w:pos="4562" w:val="left" w:leader="none"/>
              </w:tabs>
              <w:spacing w:before="140"/>
              <w:ind w:left="50"/>
              <w:rPr>
                <w:rFonts w:ascii="Verdana"/>
                <w:sz w:val="18"/>
              </w:rPr>
            </w:pPr>
            <w:r>
              <w:rPr>
                <w:rFonts w:ascii="Verdana"/>
                <w:color w:val="231F20"/>
                <w:w w:val="110"/>
                <w:sz w:val="18"/>
              </w:rPr>
              <w:t>East</w:t>
            </w:r>
            <w:r>
              <w:rPr>
                <w:rFonts w:ascii="Verdana"/>
                <w:color w:val="231F20"/>
                <w:spacing w:val="9"/>
                <w:w w:val="110"/>
                <w:sz w:val="18"/>
              </w:rPr>
              <w:t> </w:t>
            </w:r>
            <w:r>
              <w:rPr>
                <w:rFonts w:ascii="Verdana"/>
                <w:color w:val="231F20"/>
                <w:w w:val="110"/>
                <w:sz w:val="18"/>
              </w:rPr>
              <w:t>Midlands</w:t>
            </w:r>
            <w:r>
              <w:rPr>
                <w:rFonts w:ascii="Verdana"/>
                <w:color w:val="231F20"/>
                <w:spacing w:val="10"/>
                <w:w w:val="110"/>
                <w:sz w:val="18"/>
              </w:rPr>
              <w:t> </w:t>
            </w:r>
            <w:r>
              <w:rPr>
                <w:rFonts w:ascii="Verdana"/>
                <w:color w:val="231F20"/>
                <w:w w:val="110"/>
                <w:sz w:val="18"/>
              </w:rPr>
              <w:t>Synod</w:t>
              <w:tab/>
              <w:t>2</w:t>
            </w:r>
            <w:r>
              <w:rPr>
                <w:rFonts w:ascii="Verdana"/>
                <w:color w:val="231F20"/>
                <w:spacing w:val="5"/>
                <w:w w:val="110"/>
                <w:sz w:val="18"/>
              </w:rPr>
              <w:t> </w:t>
            </w:r>
            <w:r>
              <w:rPr>
                <w:rFonts w:ascii="Verdana"/>
                <w:color w:val="231F20"/>
                <w:w w:val="110"/>
                <w:sz w:val="18"/>
              </w:rPr>
              <w:t>loans</w:t>
              <w:tab/>
            </w:r>
            <w:r>
              <w:rPr>
                <w:rFonts w:ascii="Verdana"/>
                <w:color w:val="231F20"/>
                <w:spacing w:val="-3"/>
                <w:w w:val="110"/>
                <w:sz w:val="18"/>
              </w:rPr>
              <w:t>Total</w:t>
            </w:r>
          </w:p>
        </w:tc>
        <w:tc>
          <w:tcPr>
            <w:tcW w:w="2767" w:type="dxa"/>
          </w:tcPr>
          <w:p>
            <w:pPr>
              <w:pStyle w:val="TableParagraph"/>
              <w:spacing w:before="140"/>
              <w:ind w:left="20"/>
              <w:rPr>
                <w:rFonts w:ascii="Verdana" w:hAnsi="Verdana"/>
                <w:sz w:val="18"/>
              </w:rPr>
            </w:pPr>
            <w:r>
              <w:rPr>
                <w:rFonts w:ascii="Verdana" w:hAnsi="Verdana"/>
                <w:color w:val="231F20"/>
                <w:w w:val="110"/>
                <w:sz w:val="18"/>
              </w:rPr>
              <w:t>£160000</w:t>
            </w:r>
          </w:p>
        </w:tc>
      </w:tr>
      <w:tr>
        <w:trPr>
          <w:trHeight w:val="650" w:hRule="atLeast"/>
        </w:trPr>
        <w:tc>
          <w:tcPr>
            <w:tcW w:w="5383" w:type="dxa"/>
            <w:gridSpan w:val="3"/>
          </w:tcPr>
          <w:p>
            <w:pPr>
              <w:pStyle w:val="TableParagraph"/>
              <w:spacing w:before="10"/>
              <w:rPr>
                <w:rFonts w:ascii="Verdana"/>
                <w:b/>
                <w:sz w:val="21"/>
              </w:rPr>
            </w:pPr>
          </w:p>
          <w:p>
            <w:pPr>
              <w:pStyle w:val="TableParagraph"/>
              <w:tabs>
                <w:tab w:pos="769" w:val="left" w:leader="none"/>
              </w:tabs>
              <w:ind w:left="50"/>
              <w:rPr>
                <w:rFonts w:ascii="Verdana" w:hAnsi="Verdana"/>
                <w:sz w:val="18"/>
              </w:rPr>
            </w:pPr>
            <w:r>
              <w:rPr>
                <w:rFonts w:ascii="Verdana" w:hAnsi="Verdana"/>
                <w:color w:val="231F20"/>
                <w:w w:val="110"/>
                <w:sz w:val="18"/>
              </w:rPr>
              <w:t>3.</w:t>
              <w:tab/>
              <w:t>SUMMARY OF ‘MISSION </w:t>
            </w:r>
            <w:r>
              <w:rPr>
                <w:rFonts w:ascii="Verdana" w:hAnsi="Verdana"/>
                <w:color w:val="231F20"/>
                <w:spacing w:val="4"/>
                <w:w w:val="110"/>
                <w:sz w:val="18"/>
              </w:rPr>
              <w:t>GRANTS</w:t>
            </w:r>
            <w:r>
              <w:rPr>
                <w:rFonts w:ascii="Verdana" w:hAnsi="Verdana"/>
                <w:color w:val="231F20"/>
                <w:spacing w:val="25"/>
                <w:w w:val="110"/>
                <w:sz w:val="18"/>
              </w:rPr>
              <w:t> </w:t>
            </w:r>
            <w:r>
              <w:rPr>
                <w:rFonts w:ascii="Verdana" w:hAnsi="Verdana"/>
                <w:color w:val="231F20"/>
                <w:w w:val="110"/>
                <w:sz w:val="18"/>
              </w:rPr>
              <w:t>AGREED</w:t>
            </w:r>
          </w:p>
        </w:tc>
        <w:tc>
          <w:tcPr>
            <w:tcW w:w="2767" w:type="dxa"/>
          </w:tcPr>
          <w:p>
            <w:pPr>
              <w:pStyle w:val="TableParagraph"/>
              <w:rPr>
                <w:sz w:val="22"/>
              </w:rPr>
            </w:pPr>
          </w:p>
        </w:tc>
      </w:tr>
      <w:tr>
        <w:trPr>
          <w:trHeight w:val="425" w:hRule="atLeast"/>
        </w:trPr>
        <w:tc>
          <w:tcPr>
            <w:tcW w:w="3134" w:type="dxa"/>
          </w:tcPr>
          <w:p>
            <w:pPr>
              <w:pStyle w:val="TableParagraph"/>
              <w:spacing w:before="165"/>
              <w:ind w:left="50"/>
              <w:rPr>
                <w:rFonts w:ascii="Verdana"/>
                <w:sz w:val="18"/>
              </w:rPr>
            </w:pPr>
            <w:r>
              <w:rPr>
                <w:rFonts w:ascii="Verdana"/>
                <w:color w:val="231F20"/>
                <w:w w:val="110"/>
                <w:sz w:val="18"/>
              </w:rPr>
              <w:t>Inner Manchester Churches</w:t>
            </w:r>
          </w:p>
        </w:tc>
        <w:tc>
          <w:tcPr>
            <w:tcW w:w="1167" w:type="dxa"/>
          </w:tcPr>
          <w:p>
            <w:pPr>
              <w:pStyle w:val="TableParagraph"/>
              <w:spacing w:before="165"/>
              <w:ind w:right="129"/>
              <w:jc w:val="right"/>
              <w:rPr>
                <w:rFonts w:ascii="Verdana" w:hAnsi="Verdana"/>
                <w:sz w:val="18"/>
              </w:rPr>
            </w:pPr>
            <w:r>
              <w:rPr>
                <w:rFonts w:ascii="Verdana" w:hAnsi="Verdana"/>
                <w:color w:val="231F20"/>
                <w:w w:val="110"/>
                <w:sz w:val="18"/>
              </w:rPr>
              <w:t>£16250</w:t>
            </w:r>
          </w:p>
        </w:tc>
        <w:tc>
          <w:tcPr>
            <w:tcW w:w="3849" w:type="dxa"/>
            <w:gridSpan w:val="2"/>
          </w:tcPr>
          <w:p>
            <w:pPr>
              <w:pStyle w:val="TableParagraph"/>
              <w:spacing w:before="165"/>
              <w:ind w:left="129"/>
              <w:rPr>
                <w:rFonts w:ascii="Verdana"/>
                <w:sz w:val="18"/>
              </w:rPr>
            </w:pPr>
            <w:r>
              <w:rPr>
                <w:rFonts w:ascii="Verdana"/>
                <w:color w:val="231F20"/>
                <w:w w:val="110"/>
                <w:sz w:val="18"/>
              </w:rPr>
              <w:t>over 5 years (NW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Tonge Moor</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£15000</w:t>
            </w:r>
          </w:p>
        </w:tc>
        <w:tc>
          <w:tcPr>
            <w:tcW w:w="3849" w:type="dxa"/>
            <w:gridSpan w:val="2"/>
          </w:tcPr>
          <w:p>
            <w:pPr>
              <w:pStyle w:val="TableParagraph"/>
              <w:spacing w:before="40"/>
              <w:ind w:left="129"/>
              <w:rPr>
                <w:rFonts w:ascii="Verdana"/>
                <w:sz w:val="18"/>
              </w:rPr>
            </w:pPr>
            <w:r>
              <w:rPr>
                <w:rFonts w:ascii="Verdana"/>
                <w:color w:val="231F20"/>
                <w:w w:val="110"/>
                <w:sz w:val="18"/>
              </w:rPr>
              <w:t>over 5 years (NW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Abbey Meads</w:t>
            </w:r>
          </w:p>
        </w:tc>
        <w:tc>
          <w:tcPr>
            <w:tcW w:w="1167" w:type="dxa"/>
          </w:tcPr>
          <w:p>
            <w:pPr>
              <w:pStyle w:val="TableParagraph"/>
              <w:spacing w:before="40"/>
              <w:ind w:right="128"/>
              <w:jc w:val="right"/>
              <w:rPr>
                <w:rFonts w:ascii="Verdana" w:hAnsi="Verdana"/>
                <w:sz w:val="18"/>
              </w:rPr>
            </w:pPr>
            <w:r>
              <w:rPr>
                <w:rFonts w:ascii="Verdana" w:hAnsi="Verdana"/>
                <w:color w:val="231F20"/>
                <w:w w:val="110"/>
                <w:sz w:val="18"/>
              </w:rPr>
              <w:t>£7000</w:t>
            </w:r>
          </w:p>
        </w:tc>
        <w:tc>
          <w:tcPr>
            <w:tcW w:w="3849" w:type="dxa"/>
            <w:gridSpan w:val="2"/>
          </w:tcPr>
          <w:p>
            <w:pPr>
              <w:pStyle w:val="TableParagraph"/>
              <w:spacing w:before="40"/>
              <w:ind w:left="129"/>
              <w:rPr>
                <w:rFonts w:ascii="Verdana"/>
                <w:sz w:val="18"/>
              </w:rPr>
            </w:pPr>
            <w:r>
              <w:rPr>
                <w:rFonts w:ascii="Verdana"/>
                <w:color w:val="231F20"/>
                <w:w w:val="110"/>
                <w:sz w:val="18"/>
              </w:rPr>
              <w:t>over 2 years (SW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Cannington</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£2780</w:t>
            </w:r>
          </w:p>
        </w:tc>
        <w:tc>
          <w:tcPr>
            <w:tcW w:w="3849" w:type="dxa"/>
            <w:gridSpan w:val="2"/>
          </w:tcPr>
          <w:p>
            <w:pPr>
              <w:pStyle w:val="TableParagraph"/>
              <w:spacing w:before="40"/>
              <w:ind w:left="129"/>
              <w:rPr>
                <w:rFonts w:ascii="Verdana"/>
                <w:sz w:val="18"/>
              </w:rPr>
            </w:pPr>
            <w:r>
              <w:rPr>
                <w:rFonts w:ascii="Verdana"/>
                <w:color w:val="231F20"/>
                <w:w w:val="110"/>
                <w:sz w:val="18"/>
              </w:rPr>
              <w:t>over 1 year (SW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Brixham</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£5000</w:t>
            </w:r>
          </w:p>
        </w:tc>
        <w:tc>
          <w:tcPr>
            <w:tcW w:w="3849" w:type="dxa"/>
            <w:gridSpan w:val="2"/>
          </w:tcPr>
          <w:p>
            <w:pPr>
              <w:pStyle w:val="TableParagraph"/>
              <w:spacing w:before="40"/>
              <w:ind w:left="129"/>
              <w:rPr>
                <w:rFonts w:ascii="Verdana"/>
                <w:sz w:val="18"/>
              </w:rPr>
            </w:pPr>
            <w:r>
              <w:rPr>
                <w:rFonts w:ascii="Verdana"/>
                <w:color w:val="231F20"/>
                <w:w w:val="110"/>
                <w:sz w:val="18"/>
              </w:rPr>
              <w:t>over 3 years (SW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Plume Avenue Colchester</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£9300</w:t>
            </w:r>
          </w:p>
        </w:tc>
        <w:tc>
          <w:tcPr>
            <w:tcW w:w="3849" w:type="dxa"/>
            <w:gridSpan w:val="2"/>
          </w:tcPr>
          <w:p>
            <w:pPr>
              <w:pStyle w:val="TableParagraph"/>
              <w:spacing w:before="40"/>
              <w:ind w:left="129"/>
              <w:rPr>
                <w:rFonts w:ascii="Verdana"/>
                <w:sz w:val="18"/>
              </w:rPr>
            </w:pPr>
            <w:r>
              <w:rPr>
                <w:rFonts w:ascii="Verdana"/>
                <w:color w:val="231F20"/>
                <w:w w:val="110"/>
                <w:sz w:val="18"/>
              </w:rPr>
              <w:t>over 5 years (Eastern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Cambourne</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£5485</w:t>
            </w:r>
          </w:p>
        </w:tc>
        <w:tc>
          <w:tcPr>
            <w:tcW w:w="3849" w:type="dxa"/>
            <w:gridSpan w:val="2"/>
          </w:tcPr>
          <w:p>
            <w:pPr>
              <w:pStyle w:val="TableParagraph"/>
              <w:spacing w:before="40"/>
              <w:ind w:left="129"/>
              <w:rPr>
                <w:rFonts w:ascii="Verdana"/>
                <w:sz w:val="18"/>
              </w:rPr>
            </w:pPr>
            <w:r>
              <w:rPr>
                <w:rFonts w:ascii="Verdana"/>
                <w:color w:val="231F20"/>
                <w:w w:val="110"/>
                <w:sz w:val="18"/>
              </w:rPr>
              <w:t>over 3 years (Eastern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Bury Park, Luton</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£9000</w:t>
            </w:r>
          </w:p>
        </w:tc>
        <w:tc>
          <w:tcPr>
            <w:tcW w:w="3849" w:type="dxa"/>
            <w:gridSpan w:val="2"/>
          </w:tcPr>
          <w:p>
            <w:pPr>
              <w:pStyle w:val="TableParagraph"/>
              <w:spacing w:before="40"/>
              <w:ind w:left="129"/>
              <w:rPr>
                <w:rFonts w:ascii="Verdana"/>
                <w:sz w:val="18"/>
              </w:rPr>
            </w:pPr>
            <w:r>
              <w:rPr>
                <w:rFonts w:ascii="Verdana"/>
                <w:color w:val="231F20"/>
                <w:w w:val="110"/>
                <w:sz w:val="18"/>
              </w:rPr>
              <w:t>over 3 years (Thames North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Marlpool and Langley</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£14000</w:t>
            </w:r>
          </w:p>
        </w:tc>
        <w:tc>
          <w:tcPr>
            <w:tcW w:w="3849" w:type="dxa"/>
            <w:gridSpan w:val="2"/>
          </w:tcPr>
          <w:p>
            <w:pPr>
              <w:pStyle w:val="TableParagraph"/>
              <w:spacing w:before="40"/>
              <w:ind w:left="129"/>
              <w:rPr>
                <w:rFonts w:ascii="Verdana"/>
                <w:sz w:val="18"/>
              </w:rPr>
            </w:pPr>
            <w:r>
              <w:rPr>
                <w:rFonts w:ascii="Verdana"/>
                <w:color w:val="231F20"/>
                <w:w w:val="110"/>
                <w:sz w:val="18"/>
              </w:rPr>
              <w:t>over 2 years (East Midlands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Friary, West Bridgeford</w:t>
            </w:r>
          </w:p>
        </w:tc>
        <w:tc>
          <w:tcPr>
            <w:tcW w:w="1167" w:type="dxa"/>
          </w:tcPr>
          <w:p>
            <w:pPr>
              <w:pStyle w:val="TableParagraph"/>
              <w:spacing w:before="40"/>
              <w:ind w:right="128"/>
              <w:jc w:val="right"/>
              <w:rPr>
                <w:rFonts w:ascii="Verdana" w:hAnsi="Verdana"/>
                <w:sz w:val="18"/>
              </w:rPr>
            </w:pPr>
            <w:r>
              <w:rPr>
                <w:rFonts w:ascii="Verdana" w:hAnsi="Verdana"/>
                <w:color w:val="231F20"/>
                <w:w w:val="110"/>
                <w:sz w:val="18"/>
              </w:rPr>
              <w:t>£37500</w:t>
            </w:r>
          </w:p>
        </w:tc>
        <w:tc>
          <w:tcPr>
            <w:tcW w:w="3849" w:type="dxa"/>
            <w:gridSpan w:val="2"/>
          </w:tcPr>
          <w:p>
            <w:pPr>
              <w:pStyle w:val="TableParagraph"/>
              <w:spacing w:before="40"/>
              <w:ind w:left="129"/>
              <w:rPr>
                <w:rFonts w:ascii="Verdana"/>
                <w:sz w:val="18"/>
              </w:rPr>
            </w:pPr>
            <w:r>
              <w:rPr>
                <w:rFonts w:ascii="Verdana"/>
                <w:color w:val="231F20"/>
                <w:w w:val="110"/>
                <w:sz w:val="18"/>
              </w:rPr>
              <w:t>over 5 years (East Midlands Synod)</w:t>
            </w:r>
          </w:p>
        </w:tc>
      </w:tr>
      <w:tr>
        <w:trPr>
          <w:trHeight w:val="300" w:hRule="atLeast"/>
        </w:trPr>
        <w:tc>
          <w:tcPr>
            <w:tcW w:w="3134" w:type="dxa"/>
          </w:tcPr>
          <w:p>
            <w:pPr>
              <w:pStyle w:val="TableParagraph"/>
              <w:spacing w:before="40"/>
              <w:ind w:left="50"/>
              <w:rPr>
                <w:rFonts w:ascii="Verdana"/>
                <w:sz w:val="18"/>
              </w:rPr>
            </w:pPr>
            <w:r>
              <w:rPr>
                <w:rFonts w:ascii="Verdana"/>
                <w:color w:val="231F20"/>
                <w:w w:val="110"/>
                <w:sz w:val="18"/>
              </w:rPr>
              <w:t>Falmouth</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£10500</w:t>
            </w:r>
          </w:p>
        </w:tc>
        <w:tc>
          <w:tcPr>
            <w:tcW w:w="3849" w:type="dxa"/>
            <w:gridSpan w:val="2"/>
          </w:tcPr>
          <w:p>
            <w:pPr>
              <w:pStyle w:val="TableParagraph"/>
              <w:spacing w:before="40"/>
              <w:ind w:left="129"/>
              <w:rPr>
                <w:rFonts w:ascii="Verdana"/>
                <w:sz w:val="18"/>
              </w:rPr>
            </w:pPr>
            <w:r>
              <w:rPr>
                <w:rFonts w:ascii="Verdana"/>
                <w:color w:val="231F20"/>
                <w:w w:val="110"/>
                <w:sz w:val="18"/>
              </w:rPr>
              <w:t>over 3 years (SW Synod)</w:t>
            </w:r>
          </w:p>
        </w:tc>
      </w:tr>
      <w:tr>
        <w:trPr>
          <w:trHeight w:val="309" w:hRule="atLeast"/>
        </w:trPr>
        <w:tc>
          <w:tcPr>
            <w:tcW w:w="3134" w:type="dxa"/>
          </w:tcPr>
          <w:p>
            <w:pPr>
              <w:pStyle w:val="TableParagraph"/>
              <w:spacing w:before="40"/>
              <w:ind w:left="50"/>
              <w:rPr>
                <w:rFonts w:ascii="Verdana"/>
                <w:sz w:val="18"/>
              </w:rPr>
            </w:pPr>
            <w:r>
              <w:rPr>
                <w:rFonts w:ascii="Verdana"/>
                <w:color w:val="231F20"/>
                <w:w w:val="110"/>
                <w:sz w:val="18"/>
              </w:rPr>
              <w:t>Barnstaple</w:t>
            </w:r>
          </w:p>
        </w:tc>
        <w:tc>
          <w:tcPr>
            <w:tcW w:w="1167" w:type="dxa"/>
          </w:tcPr>
          <w:p>
            <w:pPr>
              <w:pStyle w:val="TableParagraph"/>
              <w:spacing w:before="40"/>
              <w:ind w:right="129"/>
              <w:jc w:val="right"/>
              <w:rPr>
                <w:rFonts w:ascii="Verdana" w:hAnsi="Verdana"/>
                <w:sz w:val="18"/>
              </w:rPr>
            </w:pPr>
            <w:r>
              <w:rPr>
                <w:rFonts w:ascii="Verdana" w:hAnsi="Verdana"/>
                <w:color w:val="231F20"/>
                <w:w w:val="110"/>
                <w:sz w:val="18"/>
              </w:rPr>
              <w:t>£6600</w:t>
            </w:r>
          </w:p>
        </w:tc>
        <w:tc>
          <w:tcPr>
            <w:tcW w:w="3849" w:type="dxa"/>
            <w:gridSpan w:val="2"/>
          </w:tcPr>
          <w:p>
            <w:pPr>
              <w:pStyle w:val="TableParagraph"/>
              <w:spacing w:before="40"/>
              <w:ind w:left="129"/>
              <w:rPr>
                <w:rFonts w:ascii="Verdana"/>
                <w:sz w:val="18"/>
              </w:rPr>
            </w:pPr>
            <w:r>
              <w:rPr>
                <w:rFonts w:ascii="Verdana"/>
                <w:color w:val="231F20"/>
                <w:w w:val="110"/>
                <w:sz w:val="18"/>
              </w:rPr>
              <w:t>over 3 years (SW Synod)</w:t>
            </w:r>
          </w:p>
        </w:tc>
      </w:tr>
    </w:tbl>
    <w:p>
      <w:pPr>
        <w:pStyle w:val="BodyText"/>
        <w:rPr>
          <w:b/>
          <w:sz w:val="20"/>
        </w:rPr>
      </w:pPr>
    </w:p>
    <w:p>
      <w:pPr>
        <w:pStyle w:val="BodyText"/>
        <w:rPr>
          <w:b/>
          <w:sz w:val="20"/>
        </w:rPr>
      </w:pPr>
    </w:p>
    <w:p>
      <w:pPr>
        <w:pStyle w:val="BodyText"/>
        <w:rPr>
          <w:b/>
          <w:sz w:val="20"/>
        </w:rPr>
      </w:pPr>
    </w:p>
    <w:p>
      <w:pPr>
        <w:pStyle w:val="BodyText"/>
        <w:spacing w:before="3"/>
        <w:rPr>
          <w:b/>
          <w:sz w:val="19"/>
        </w:rPr>
      </w:pPr>
    </w:p>
    <w:p>
      <w:pPr>
        <w:spacing w:before="309"/>
        <w:ind w:left="0" w:right="948" w:firstLine="0"/>
        <w:jc w:val="center"/>
        <w:rPr>
          <w:i/>
          <w:sz w:val="24"/>
        </w:rPr>
      </w:pPr>
      <w:r>
        <w:rPr>
          <w:i/>
          <w:color w:val="231F20"/>
          <w:w w:val="600"/>
          <w:sz w:val="24"/>
        </w:rPr>
        <w:t>   </w:t>
      </w:r>
    </w:p>
    <w:p>
      <w:pPr>
        <w:spacing w:after="0"/>
        <w:jc w:val="center"/>
        <w:rPr>
          <w:sz w:val="24"/>
        </w:rPr>
        <w:sectPr>
          <w:headerReference w:type="default" r:id="rId85"/>
          <w:footerReference w:type="default" r:id="rId86"/>
          <w:footerReference w:type="even" r:id="rId87"/>
          <w:pgSz w:w="11910" w:h="16840"/>
          <w:pgMar w:header="0" w:footer="564" w:top="900" w:bottom="760" w:left="460" w:right="0"/>
          <w:pgNumType w:start="77"/>
        </w:sectPr>
      </w:pPr>
    </w:p>
    <w:p>
      <w:pPr>
        <w:pStyle w:val="BodyText"/>
        <w:spacing w:before="5"/>
        <w:rPr>
          <w:i/>
          <w:sz w:val="16"/>
        </w:rPr>
      </w:pPr>
    </w:p>
    <w:p>
      <w:pPr>
        <w:spacing w:after="0"/>
        <w:rPr>
          <w:sz w:val="16"/>
        </w:rPr>
        <w:sectPr>
          <w:headerReference w:type="even" r:id="rId88"/>
          <w:pgSz w:w="11910" w:h="16840"/>
          <w:pgMar w:header="0" w:footer="484" w:top="1580" w:bottom="680" w:left="460" w:right="0"/>
        </w:sectPr>
      </w:pPr>
    </w:p>
    <w:p>
      <w:pPr>
        <w:spacing w:line="273" w:lineRule="auto" w:before="88"/>
        <w:ind w:left="1240" w:right="2464" w:firstLine="0"/>
        <w:jc w:val="left"/>
        <w:rPr>
          <w:b/>
          <w:sz w:val="18"/>
        </w:rPr>
      </w:pPr>
      <w:r>
        <w:rPr/>
        <w:pict>
          <v:shape style="position:absolute;margin-left:503.471283pt;margin-top:36.840614pt;width:72.5pt;height:636.3pt;mso-position-horizontal-relative:page;mso-position-vertical-relative:page;z-index:251740160" type="#_x0000_t202" filled="false" stroked="false">
            <v:textbox inset="0,0,0,0" style="layout-flow:vertical">
              <w:txbxContent>
                <w:p>
                  <w:pPr>
                    <w:spacing w:line="1026" w:lineRule="exact" w:before="20"/>
                    <w:ind w:left="20" w:right="0" w:firstLine="0"/>
                    <w:jc w:val="left"/>
                    <w:rPr>
                      <w:b/>
                      <w:sz w:val="88"/>
                    </w:rPr>
                  </w:pPr>
                  <w:r>
                    <w:rPr>
                      <w:b/>
                      <w:color w:val="231F20"/>
                      <w:sz w:val="88"/>
                    </w:rPr>
                    <w:t>Governing Document</w:t>
                  </w:r>
                </w:p>
                <w:p>
                  <w:pPr>
                    <w:spacing w:line="401"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Concerning the United Reformed Church and the constitution of a body to take responsibility for and be accountable to the temporal authorities for its religious and other charitable work.</w:t>
      </w:r>
    </w:p>
    <w:p>
      <w:pPr>
        <w:pStyle w:val="BodyText"/>
        <w:spacing w:before="8"/>
        <w:rPr>
          <w:b/>
          <w:sz w:val="20"/>
        </w:rPr>
      </w:pPr>
    </w:p>
    <w:p>
      <w:pPr>
        <w:pStyle w:val="BodyText"/>
        <w:spacing w:line="273" w:lineRule="auto" w:before="1"/>
        <w:ind w:left="1240" w:right="2464"/>
      </w:pPr>
      <w:r>
        <w:rPr>
          <w:color w:val="231F20"/>
          <w:w w:val="110"/>
        </w:rPr>
        <w:t>Adopted on the </w:t>
      </w:r>
      <w:r>
        <w:rPr>
          <w:color w:val="231F20"/>
          <w:spacing w:val="-6"/>
          <w:w w:val="110"/>
        </w:rPr>
        <w:t>........ </w:t>
      </w:r>
      <w:r>
        <w:rPr>
          <w:color w:val="231F20"/>
          <w:w w:val="110"/>
        </w:rPr>
        <w:t>day </w:t>
      </w:r>
      <w:r>
        <w:rPr>
          <w:color w:val="231F20"/>
          <w:spacing w:val="-6"/>
          <w:w w:val="110"/>
        </w:rPr>
        <w:t>of.......................20..... </w:t>
      </w:r>
      <w:r>
        <w:rPr>
          <w:color w:val="231F20"/>
          <w:w w:val="110"/>
        </w:rPr>
        <w:t>by Minute……… of the General Assembly of the United Reformed Church.</w:t>
      </w:r>
    </w:p>
    <w:p>
      <w:pPr>
        <w:pStyle w:val="BodyText"/>
        <w:spacing w:before="8"/>
        <w:rPr>
          <w:sz w:val="20"/>
        </w:rPr>
      </w:pPr>
    </w:p>
    <w:p>
      <w:pPr>
        <w:spacing w:before="0"/>
        <w:ind w:left="1240" w:right="0" w:firstLine="0"/>
        <w:jc w:val="left"/>
        <w:rPr>
          <w:b/>
          <w:sz w:val="18"/>
        </w:rPr>
      </w:pPr>
      <w:r>
        <w:rPr>
          <w:b/>
          <w:color w:val="231F20"/>
          <w:w w:val="110"/>
          <w:sz w:val="18"/>
        </w:rPr>
        <w:t>Statements</w:t>
      </w:r>
    </w:p>
    <w:p>
      <w:pPr>
        <w:pStyle w:val="BodyText"/>
        <w:spacing w:before="1"/>
        <w:rPr>
          <w:b/>
          <w:sz w:val="23"/>
        </w:rPr>
      </w:pPr>
    </w:p>
    <w:p>
      <w:pPr>
        <w:spacing w:line="273" w:lineRule="auto" w:before="1"/>
        <w:ind w:left="1240" w:right="2464" w:firstLine="0"/>
        <w:jc w:val="left"/>
        <w:rPr>
          <w:b/>
          <w:sz w:val="18"/>
        </w:rPr>
      </w:pPr>
      <w:r>
        <w:rPr>
          <w:b/>
          <w:color w:val="231F20"/>
          <w:w w:val="110"/>
          <w:sz w:val="18"/>
        </w:rPr>
        <w:t>The United Reformed Church was formed in </w:t>
      </w:r>
      <w:r>
        <w:rPr>
          <w:b/>
          <w:color w:val="231F20"/>
          <w:spacing w:val="-4"/>
          <w:w w:val="110"/>
          <w:sz w:val="18"/>
        </w:rPr>
        <w:t>1972 </w:t>
      </w:r>
      <w:r>
        <w:rPr>
          <w:b/>
          <w:color w:val="231F20"/>
          <w:w w:val="110"/>
          <w:sz w:val="18"/>
        </w:rPr>
        <w:t>by the union of   the </w:t>
      </w:r>
      <w:r>
        <w:rPr>
          <w:b/>
          <w:color w:val="231F20"/>
          <w:spacing w:val="2"/>
          <w:w w:val="110"/>
          <w:sz w:val="18"/>
        </w:rPr>
        <w:t>Presbyterian </w:t>
      </w:r>
      <w:r>
        <w:rPr>
          <w:b/>
          <w:color w:val="231F20"/>
          <w:w w:val="110"/>
          <w:sz w:val="18"/>
        </w:rPr>
        <w:t>Church of England and the uniting </w:t>
      </w:r>
      <w:r>
        <w:rPr>
          <w:b/>
          <w:color w:val="231F20"/>
          <w:spacing w:val="2"/>
          <w:w w:val="110"/>
          <w:sz w:val="18"/>
        </w:rPr>
        <w:t>churches </w:t>
      </w:r>
      <w:r>
        <w:rPr>
          <w:b/>
          <w:color w:val="231F20"/>
          <w:w w:val="110"/>
          <w:sz w:val="18"/>
        </w:rPr>
        <w:t>of the Congregational Church in England and Wales, and was enlarged in </w:t>
      </w:r>
      <w:r>
        <w:rPr>
          <w:b/>
          <w:color w:val="231F20"/>
          <w:spacing w:val="-4"/>
          <w:w w:val="110"/>
          <w:sz w:val="18"/>
        </w:rPr>
        <w:t>1981</w:t>
      </w:r>
      <w:r>
        <w:rPr>
          <w:b/>
          <w:color w:val="231F20"/>
          <w:spacing w:val="11"/>
          <w:w w:val="110"/>
          <w:sz w:val="18"/>
        </w:rPr>
        <w:t> </w:t>
      </w:r>
      <w:r>
        <w:rPr>
          <w:b/>
          <w:color w:val="231F20"/>
          <w:w w:val="110"/>
          <w:sz w:val="18"/>
        </w:rPr>
        <w:t>by</w:t>
      </w:r>
      <w:r>
        <w:rPr>
          <w:b/>
          <w:color w:val="231F20"/>
          <w:spacing w:val="11"/>
          <w:w w:val="110"/>
          <w:sz w:val="18"/>
        </w:rPr>
        <w:t> </w:t>
      </w:r>
      <w:r>
        <w:rPr>
          <w:b/>
          <w:color w:val="231F20"/>
          <w:w w:val="110"/>
          <w:sz w:val="18"/>
        </w:rPr>
        <w:t>union</w:t>
      </w:r>
      <w:r>
        <w:rPr>
          <w:b/>
          <w:color w:val="231F20"/>
          <w:spacing w:val="11"/>
          <w:w w:val="110"/>
          <w:sz w:val="18"/>
        </w:rPr>
        <w:t> </w:t>
      </w:r>
      <w:r>
        <w:rPr>
          <w:b/>
          <w:color w:val="231F20"/>
          <w:w w:val="110"/>
          <w:sz w:val="18"/>
        </w:rPr>
        <w:t>with</w:t>
      </w:r>
      <w:r>
        <w:rPr>
          <w:b/>
          <w:color w:val="231F20"/>
          <w:spacing w:val="11"/>
          <w:w w:val="110"/>
          <w:sz w:val="18"/>
        </w:rPr>
        <w:t> </w:t>
      </w:r>
      <w:r>
        <w:rPr>
          <w:b/>
          <w:color w:val="231F20"/>
          <w:w w:val="110"/>
          <w:sz w:val="18"/>
        </w:rPr>
        <w:t>the</w:t>
      </w:r>
      <w:r>
        <w:rPr>
          <w:b/>
          <w:color w:val="231F20"/>
          <w:spacing w:val="11"/>
          <w:w w:val="110"/>
          <w:sz w:val="18"/>
        </w:rPr>
        <w:t> </w:t>
      </w:r>
      <w:r>
        <w:rPr>
          <w:b/>
          <w:color w:val="231F20"/>
          <w:w w:val="110"/>
          <w:sz w:val="18"/>
        </w:rPr>
        <w:t>Re-formed</w:t>
      </w:r>
      <w:r>
        <w:rPr>
          <w:b/>
          <w:color w:val="231F20"/>
          <w:spacing w:val="11"/>
          <w:w w:val="110"/>
          <w:sz w:val="18"/>
        </w:rPr>
        <w:t> </w:t>
      </w:r>
      <w:r>
        <w:rPr>
          <w:b/>
          <w:color w:val="231F20"/>
          <w:spacing w:val="2"/>
          <w:w w:val="110"/>
          <w:sz w:val="18"/>
        </w:rPr>
        <w:t>Association</w:t>
      </w:r>
      <w:r>
        <w:rPr>
          <w:b/>
          <w:color w:val="231F20"/>
          <w:spacing w:val="12"/>
          <w:w w:val="110"/>
          <w:sz w:val="18"/>
        </w:rPr>
        <w:t> </w:t>
      </w:r>
      <w:r>
        <w:rPr>
          <w:b/>
          <w:color w:val="231F20"/>
          <w:w w:val="110"/>
          <w:sz w:val="18"/>
        </w:rPr>
        <w:t>of</w:t>
      </w:r>
      <w:r>
        <w:rPr>
          <w:b/>
          <w:color w:val="231F20"/>
          <w:spacing w:val="11"/>
          <w:w w:val="110"/>
          <w:sz w:val="18"/>
        </w:rPr>
        <w:t> </w:t>
      </w:r>
      <w:r>
        <w:rPr>
          <w:b/>
          <w:color w:val="231F20"/>
          <w:spacing w:val="2"/>
          <w:w w:val="110"/>
          <w:sz w:val="18"/>
        </w:rPr>
        <w:t>Churches</w:t>
      </w:r>
      <w:r>
        <w:rPr>
          <w:b/>
          <w:color w:val="231F20"/>
          <w:spacing w:val="11"/>
          <w:w w:val="110"/>
          <w:sz w:val="18"/>
        </w:rPr>
        <w:t> </w:t>
      </w:r>
      <w:r>
        <w:rPr>
          <w:b/>
          <w:color w:val="231F20"/>
          <w:w w:val="110"/>
          <w:sz w:val="18"/>
        </w:rPr>
        <w:t>of</w:t>
      </w:r>
      <w:r>
        <w:rPr>
          <w:b/>
          <w:color w:val="231F20"/>
          <w:spacing w:val="11"/>
          <w:w w:val="110"/>
          <w:sz w:val="18"/>
        </w:rPr>
        <w:t> </w:t>
      </w:r>
      <w:r>
        <w:rPr>
          <w:b/>
          <w:color w:val="231F20"/>
          <w:w w:val="110"/>
          <w:sz w:val="18"/>
        </w:rPr>
        <w:t>Christ</w:t>
      </w:r>
    </w:p>
    <w:p>
      <w:pPr>
        <w:spacing w:line="273" w:lineRule="auto" w:before="2"/>
        <w:ind w:left="1240" w:right="2232" w:firstLine="0"/>
        <w:jc w:val="both"/>
        <w:rPr>
          <w:b/>
          <w:sz w:val="18"/>
        </w:rPr>
      </w:pPr>
      <w:r>
        <w:rPr>
          <w:b/>
          <w:color w:val="231F20"/>
          <w:w w:val="110"/>
          <w:sz w:val="18"/>
        </w:rPr>
        <w:t>in Great Britain and Ireland, and in 2000 by union with the concurring churches of the Congregational Union of Scotland, in accordance with the United Reformed Church Acts of 1972, 1981 and 2000.</w:t>
      </w:r>
    </w:p>
    <w:p>
      <w:pPr>
        <w:pStyle w:val="BodyText"/>
        <w:spacing w:before="9"/>
        <w:rPr>
          <w:b/>
          <w:sz w:val="20"/>
        </w:rPr>
      </w:pPr>
    </w:p>
    <w:p>
      <w:pPr>
        <w:spacing w:line="273" w:lineRule="auto" w:before="0"/>
        <w:ind w:left="1240" w:right="2348" w:firstLine="0"/>
        <w:jc w:val="left"/>
        <w:rPr>
          <w:b/>
          <w:sz w:val="18"/>
        </w:rPr>
      </w:pPr>
      <w:r>
        <w:rPr>
          <w:b/>
          <w:color w:val="231F20"/>
          <w:w w:val="110"/>
          <w:sz w:val="18"/>
        </w:rPr>
        <w:t>The </w:t>
      </w:r>
      <w:r>
        <w:rPr>
          <w:b/>
          <w:color w:val="231F20"/>
          <w:spacing w:val="3"/>
          <w:w w:val="110"/>
          <w:sz w:val="18"/>
        </w:rPr>
        <w:t>General </w:t>
      </w:r>
      <w:r>
        <w:rPr>
          <w:b/>
          <w:color w:val="231F20"/>
          <w:spacing w:val="4"/>
          <w:w w:val="110"/>
          <w:sz w:val="18"/>
        </w:rPr>
        <w:t>Assembly </w:t>
      </w:r>
      <w:r>
        <w:rPr>
          <w:b/>
          <w:color w:val="231F20"/>
          <w:w w:val="110"/>
          <w:sz w:val="18"/>
        </w:rPr>
        <w:t>of </w:t>
      </w:r>
      <w:r>
        <w:rPr>
          <w:b/>
          <w:color w:val="231F20"/>
          <w:spacing w:val="3"/>
          <w:w w:val="110"/>
          <w:sz w:val="18"/>
        </w:rPr>
        <w:t>the United Reformed Church </w:t>
      </w:r>
      <w:r>
        <w:rPr>
          <w:b/>
          <w:color w:val="231F20"/>
          <w:spacing w:val="4"/>
          <w:w w:val="110"/>
          <w:sz w:val="18"/>
        </w:rPr>
        <w:t>represents </w:t>
      </w:r>
      <w:r>
        <w:rPr>
          <w:b/>
          <w:color w:val="231F20"/>
          <w:spacing w:val="3"/>
          <w:w w:val="110"/>
          <w:sz w:val="18"/>
        </w:rPr>
        <w:t>that church </w:t>
      </w:r>
      <w:r>
        <w:rPr>
          <w:b/>
          <w:color w:val="231F20"/>
          <w:w w:val="110"/>
          <w:sz w:val="18"/>
        </w:rPr>
        <w:t>in </w:t>
      </w:r>
      <w:r>
        <w:rPr>
          <w:b/>
          <w:color w:val="231F20"/>
          <w:spacing w:val="3"/>
          <w:w w:val="110"/>
          <w:sz w:val="18"/>
        </w:rPr>
        <w:t>its </w:t>
      </w:r>
      <w:r>
        <w:rPr>
          <w:b/>
          <w:color w:val="231F20"/>
          <w:spacing w:val="4"/>
          <w:w w:val="110"/>
          <w:sz w:val="18"/>
        </w:rPr>
        <w:t>entirety </w:t>
      </w:r>
      <w:r>
        <w:rPr>
          <w:b/>
          <w:color w:val="231F20"/>
          <w:spacing w:val="2"/>
          <w:w w:val="110"/>
          <w:sz w:val="18"/>
        </w:rPr>
        <w:t>including </w:t>
      </w:r>
      <w:r>
        <w:rPr>
          <w:b/>
          <w:color w:val="231F20"/>
          <w:spacing w:val="3"/>
          <w:w w:val="110"/>
          <w:sz w:val="18"/>
        </w:rPr>
        <w:t>its </w:t>
      </w:r>
      <w:r>
        <w:rPr>
          <w:b/>
          <w:color w:val="231F20"/>
          <w:spacing w:val="4"/>
          <w:w w:val="110"/>
          <w:sz w:val="18"/>
        </w:rPr>
        <w:t>constituent </w:t>
      </w:r>
      <w:r>
        <w:rPr>
          <w:b/>
          <w:color w:val="231F20"/>
          <w:spacing w:val="3"/>
          <w:w w:val="110"/>
          <w:sz w:val="18"/>
        </w:rPr>
        <w:t>synods </w:t>
      </w:r>
      <w:r>
        <w:rPr>
          <w:b/>
          <w:color w:val="231F20"/>
          <w:spacing w:val="2"/>
          <w:w w:val="110"/>
          <w:sz w:val="18"/>
        </w:rPr>
        <w:t>and </w:t>
      </w:r>
      <w:r>
        <w:rPr>
          <w:b/>
          <w:color w:val="231F20"/>
          <w:spacing w:val="3"/>
          <w:w w:val="110"/>
          <w:sz w:val="18"/>
        </w:rPr>
        <w:t>local </w:t>
      </w:r>
      <w:r>
        <w:rPr>
          <w:b/>
          <w:color w:val="231F20"/>
          <w:spacing w:val="4"/>
          <w:w w:val="110"/>
          <w:sz w:val="18"/>
        </w:rPr>
        <w:t>churches </w:t>
      </w:r>
      <w:r>
        <w:rPr>
          <w:b/>
          <w:color w:val="231F20"/>
          <w:spacing w:val="2"/>
          <w:w w:val="110"/>
          <w:sz w:val="18"/>
        </w:rPr>
        <w:t>and </w:t>
      </w:r>
      <w:r>
        <w:rPr>
          <w:b/>
          <w:color w:val="231F20"/>
          <w:spacing w:val="3"/>
          <w:w w:val="110"/>
          <w:sz w:val="18"/>
        </w:rPr>
        <w:t>its </w:t>
      </w:r>
      <w:r>
        <w:rPr>
          <w:b/>
          <w:color w:val="231F20"/>
          <w:spacing w:val="4"/>
          <w:w w:val="110"/>
          <w:sz w:val="18"/>
        </w:rPr>
        <w:t>associated </w:t>
      </w:r>
      <w:r>
        <w:rPr>
          <w:b/>
          <w:color w:val="231F20"/>
          <w:spacing w:val="3"/>
          <w:w w:val="110"/>
          <w:sz w:val="18"/>
        </w:rPr>
        <w:t>bodies </w:t>
      </w:r>
      <w:r>
        <w:rPr>
          <w:b/>
          <w:color w:val="231F20"/>
          <w:spacing w:val="2"/>
          <w:w w:val="110"/>
          <w:sz w:val="18"/>
        </w:rPr>
        <w:t>and </w:t>
      </w:r>
      <w:r>
        <w:rPr>
          <w:b/>
          <w:color w:val="231F20"/>
          <w:spacing w:val="3"/>
          <w:w w:val="110"/>
          <w:sz w:val="18"/>
        </w:rPr>
        <w:t>its </w:t>
      </w:r>
      <w:r>
        <w:rPr>
          <w:b/>
          <w:color w:val="231F20"/>
          <w:spacing w:val="4"/>
          <w:w w:val="110"/>
          <w:sz w:val="18"/>
        </w:rPr>
        <w:t>committees constituted </w:t>
      </w:r>
      <w:r>
        <w:rPr>
          <w:b/>
          <w:color w:val="231F20"/>
          <w:spacing w:val="2"/>
          <w:w w:val="110"/>
          <w:sz w:val="18"/>
        </w:rPr>
        <w:t>and </w:t>
      </w:r>
      <w:r>
        <w:rPr>
          <w:b/>
          <w:color w:val="231F20"/>
          <w:spacing w:val="3"/>
          <w:w w:val="110"/>
          <w:sz w:val="18"/>
        </w:rPr>
        <w:t>appointed </w:t>
      </w:r>
      <w:r>
        <w:rPr>
          <w:b/>
          <w:color w:val="231F20"/>
          <w:spacing w:val="2"/>
          <w:w w:val="110"/>
          <w:sz w:val="18"/>
        </w:rPr>
        <w:t>to </w:t>
      </w:r>
      <w:r>
        <w:rPr>
          <w:b/>
          <w:color w:val="231F20"/>
          <w:spacing w:val="4"/>
          <w:w w:val="110"/>
          <w:sz w:val="18"/>
        </w:rPr>
        <w:t>carry </w:t>
      </w:r>
      <w:r>
        <w:rPr>
          <w:b/>
          <w:color w:val="231F20"/>
          <w:spacing w:val="2"/>
          <w:w w:val="110"/>
          <w:sz w:val="18"/>
        </w:rPr>
        <w:t>out </w:t>
      </w:r>
      <w:r>
        <w:rPr>
          <w:b/>
          <w:color w:val="231F20"/>
          <w:spacing w:val="3"/>
          <w:w w:val="110"/>
          <w:sz w:val="18"/>
        </w:rPr>
        <w:t>the </w:t>
      </w:r>
      <w:r>
        <w:rPr>
          <w:b/>
          <w:color w:val="231F20"/>
          <w:w w:val="110"/>
          <w:sz w:val="18"/>
        </w:rPr>
        <w:t>work </w:t>
      </w:r>
      <w:r>
        <w:rPr>
          <w:b/>
          <w:color w:val="231F20"/>
          <w:spacing w:val="3"/>
          <w:w w:val="110"/>
          <w:sz w:val="18"/>
        </w:rPr>
        <w:t>that </w:t>
      </w:r>
      <w:r>
        <w:rPr>
          <w:b/>
          <w:color w:val="231F20"/>
          <w:w w:val="110"/>
          <w:sz w:val="18"/>
        </w:rPr>
        <w:t>is </w:t>
      </w:r>
      <w:r>
        <w:rPr>
          <w:b/>
          <w:color w:val="231F20"/>
          <w:spacing w:val="4"/>
          <w:w w:val="110"/>
          <w:sz w:val="18"/>
        </w:rPr>
        <w:t>conducted</w:t>
      </w:r>
      <w:r>
        <w:rPr>
          <w:b/>
          <w:color w:val="231F20"/>
          <w:spacing w:val="65"/>
          <w:w w:val="110"/>
          <w:sz w:val="18"/>
        </w:rPr>
        <w:t> </w:t>
      </w:r>
      <w:r>
        <w:rPr>
          <w:b/>
          <w:color w:val="231F20"/>
          <w:spacing w:val="3"/>
          <w:w w:val="110"/>
          <w:sz w:val="18"/>
        </w:rPr>
        <w:t>centrally</w:t>
      </w:r>
    </w:p>
    <w:p>
      <w:pPr>
        <w:spacing w:line="273" w:lineRule="auto" w:before="2"/>
        <w:ind w:left="1240" w:right="2348" w:firstLine="0"/>
        <w:jc w:val="left"/>
        <w:rPr>
          <w:sz w:val="18"/>
        </w:rPr>
      </w:pPr>
      <w:r>
        <w:rPr>
          <w:b/>
          <w:color w:val="231F20"/>
          <w:w w:val="110"/>
          <w:sz w:val="18"/>
        </w:rPr>
        <w:t>on behalf of all the members of the United Reformed Church. The General Assembly meets once every two years but the members elected to serve or are otherwise entitled to be present and vote thereat shall continue to hold office until the next ordinary meeting of General Assembly</w:t>
      </w:r>
      <w:r>
        <w:rPr>
          <w:color w:val="231F20"/>
          <w:w w:val="110"/>
          <w:sz w:val="18"/>
        </w:rPr>
        <w:t>.</w:t>
      </w:r>
    </w:p>
    <w:p>
      <w:pPr>
        <w:pStyle w:val="BodyText"/>
        <w:spacing w:before="10"/>
        <w:rPr>
          <w:sz w:val="20"/>
        </w:rPr>
      </w:pPr>
    </w:p>
    <w:p>
      <w:pPr>
        <w:spacing w:line="273" w:lineRule="auto" w:before="1"/>
        <w:ind w:left="1240" w:right="2219" w:firstLine="0"/>
        <w:jc w:val="left"/>
        <w:rPr>
          <w:b/>
          <w:sz w:val="18"/>
        </w:rPr>
      </w:pPr>
      <w:r>
        <w:rPr>
          <w:b/>
          <w:color w:val="231F20"/>
          <w:w w:val="110"/>
          <w:sz w:val="18"/>
        </w:rPr>
        <w:t>The General </w:t>
      </w:r>
      <w:r>
        <w:rPr>
          <w:b/>
          <w:color w:val="231F20"/>
          <w:spacing w:val="2"/>
          <w:w w:val="110"/>
          <w:sz w:val="18"/>
        </w:rPr>
        <w:t>Assembly </w:t>
      </w:r>
      <w:r>
        <w:rPr>
          <w:b/>
          <w:color w:val="231F20"/>
          <w:w w:val="110"/>
          <w:sz w:val="18"/>
        </w:rPr>
        <w:t>is the highest review body and the final authority of the United Reformed Church and has under the Basis of Union and </w:t>
      </w:r>
      <w:r>
        <w:rPr>
          <w:b/>
          <w:color w:val="231F20"/>
          <w:spacing w:val="2"/>
          <w:w w:val="110"/>
          <w:sz w:val="18"/>
        </w:rPr>
        <w:t>Structure </w:t>
      </w:r>
      <w:r>
        <w:rPr>
          <w:b/>
          <w:color w:val="231F20"/>
          <w:w w:val="110"/>
          <w:sz w:val="18"/>
        </w:rPr>
        <w:t>of the Church the power to make, alter or </w:t>
      </w:r>
      <w:r>
        <w:rPr>
          <w:b/>
          <w:color w:val="231F20"/>
          <w:spacing w:val="2"/>
          <w:w w:val="110"/>
          <w:sz w:val="18"/>
        </w:rPr>
        <w:t>rescind </w:t>
      </w:r>
      <w:r>
        <w:rPr>
          <w:b/>
          <w:color w:val="231F20"/>
          <w:w w:val="110"/>
          <w:sz w:val="18"/>
        </w:rPr>
        <w:t>rules for the conduct of </w:t>
      </w:r>
      <w:r>
        <w:rPr>
          <w:b/>
          <w:color w:val="231F20"/>
          <w:spacing w:val="2"/>
          <w:w w:val="110"/>
          <w:sz w:val="18"/>
        </w:rPr>
        <w:t>its </w:t>
      </w:r>
      <w:r>
        <w:rPr>
          <w:b/>
          <w:color w:val="231F20"/>
          <w:w w:val="110"/>
          <w:sz w:val="18"/>
        </w:rPr>
        <w:t>own </w:t>
      </w:r>
      <w:r>
        <w:rPr>
          <w:b/>
          <w:color w:val="231F20"/>
          <w:spacing w:val="2"/>
          <w:w w:val="110"/>
          <w:sz w:val="18"/>
        </w:rPr>
        <w:t>proceedings </w:t>
      </w:r>
      <w:r>
        <w:rPr>
          <w:b/>
          <w:color w:val="231F20"/>
          <w:w w:val="110"/>
          <w:sz w:val="18"/>
        </w:rPr>
        <w:t>and of </w:t>
      </w:r>
      <w:r>
        <w:rPr>
          <w:b/>
          <w:color w:val="231F20"/>
          <w:spacing w:val="2"/>
          <w:w w:val="110"/>
          <w:sz w:val="18"/>
        </w:rPr>
        <w:t>those </w:t>
      </w:r>
      <w:r>
        <w:rPr>
          <w:b/>
          <w:color w:val="231F20"/>
          <w:w w:val="110"/>
          <w:sz w:val="18"/>
        </w:rPr>
        <w:t>of other councils and commissions of the United Reformed</w:t>
      </w:r>
      <w:r>
        <w:rPr>
          <w:b/>
          <w:color w:val="231F20"/>
          <w:spacing w:val="32"/>
          <w:w w:val="110"/>
          <w:sz w:val="18"/>
        </w:rPr>
        <w:t> </w:t>
      </w:r>
      <w:r>
        <w:rPr>
          <w:b/>
          <w:color w:val="231F20"/>
          <w:w w:val="110"/>
          <w:sz w:val="18"/>
        </w:rPr>
        <w:t>Church.</w:t>
      </w:r>
    </w:p>
    <w:p>
      <w:pPr>
        <w:pStyle w:val="BodyText"/>
        <w:spacing w:before="10"/>
        <w:rPr>
          <w:b/>
          <w:sz w:val="20"/>
        </w:rPr>
      </w:pPr>
    </w:p>
    <w:p>
      <w:pPr>
        <w:spacing w:line="273" w:lineRule="auto" w:before="0"/>
        <w:ind w:left="1240" w:right="2885" w:firstLine="0"/>
        <w:jc w:val="both"/>
        <w:rPr>
          <w:b/>
          <w:sz w:val="18"/>
        </w:rPr>
      </w:pPr>
      <w:r>
        <w:rPr>
          <w:b/>
          <w:color w:val="231F20"/>
          <w:w w:val="110"/>
          <w:sz w:val="18"/>
        </w:rPr>
        <w:t>The object of the United Reformed Church is to advance religion in accordance with the Basis of Union and to conduct such other ancillary and incidental charitable work.</w:t>
      </w:r>
    </w:p>
    <w:p>
      <w:pPr>
        <w:pStyle w:val="BodyText"/>
        <w:spacing w:before="8"/>
        <w:rPr>
          <w:b/>
          <w:sz w:val="20"/>
        </w:rPr>
      </w:pPr>
    </w:p>
    <w:p>
      <w:pPr>
        <w:pStyle w:val="ListParagraph"/>
        <w:numPr>
          <w:ilvl w:val="0"/>
          <w:numId w:val="42"/>
        </w:numPr>
        <w:tabs>
          <w:tab w:pos="1960" w:val="left" w:leader="none"/>
          <w:tab w:pos="1961" w:val="left" w:leader="none"/>
        </w:tabs>
        <w:spacing w:line="240" w:lineRule="auto" w:before="1" w:after="0"/>
        <w:ind w:left="1960" w:right="0" w:hanging="721"/>
        <w:jc w:val="left"/>
        <w:rPr>
          <w:b/>
          <w:sz w:val="18"/>
        </w:rPr>
      </w:pPr>
      <w:r>
        <w:rPr>
          <w:b/>
          <w:color w:val="231F20"/>
          <w:w w:val="110"/>
          <w:sz w:val="18"/>
        </w:rPr>
        <w:t>Governing Document</w:t>
      </w:r>
    </w:p>
    <w:p>
      <w:pPr>
        <w:pStyle w:val="BodyText"/>
        <w:rPr>
          <w:b/>
          <w:sz w:val="23"/>
        </w:rPr>
      </w:pPr>
    </w:p>
    <w:p>
      <w:pPr>
        <w:pStyle w:val="ListParagraph"/>
        <w:numPr>
          <w:ilvl w:val="1"/>
          <w:numId w:val="42"/>
        </w:numPr>
        <w:tabs>
          <w:tab w:pos="1960" w:val="left" w:leader="none"/>
          <w:tab w:pos="1961" w:val="left" w:leader="none"/>
        </w:tabs>
        <w:spacing w:line="273" w:lineRule="auto" w:before="1" w:after="0"/>
        <w:ind w:left="1240" w:right="2725" w:firstLine="0"/>
        <w:jc w:val="left"/>
        <w:rPr>
          <w:sz w:val="18"/>
        </w:rPr>
      </w:pPr>
      <w:r>
        <w:rPr>
          <w:color w:val="231F20"/>
          <w:w w:val="110"/>
          <w:sz w:val="18"/>
        </w:rPr>
        <w:t>The </w:t>
      </w:r>
      <w:r>
        <w:rPr>
          <w:color w:val="231F20"/>
          <w:spacing w:val="3"/>
          <w:w w:val="110"/>
          <w:sz w:val="18"/>
        </w:rPr>
        <w:t>property </w:t>
      </w:r>
      <w:r>
        <w:rPr>
          <w:color w:val="231F20"/>
          <w:w w:val="110"/>
          <w:sz w:val="18"/>
        </w:rPr>
        <w:t>of the United Reformed Church for which General Assembly has responsibility and is accountable shall be administered and managed</w:t>
      </w:r>
      <w:r>
        <w:rPr>
          <w:color w:val="231F20"/>
          <w:spacing w:val="11"/>
          <w:w w:val="110"/>
          <w:sz w:val="18"/>
        </w:rPr>
        <w:t> </w:t>
      </w:r>
      <w:r>
        <w:rPr>
          <w:color w:val="231F20"/>
          <w:w w:val="110"/>
          <w:sz w:val="18"/>
        </w:rPr>
        <w:t>in</w:t>
      </w:r>
      <w:r>
        <w:rPr>
          <w:color w:val="231F20"/>
          <w:spacing w:val="12"/>
          <w:w w:val="110"/>
          <w:sz w:val="18"/>
        </w:rPr>
        <w:t> </w:t>
      </w:r>
      <w:r>
        <w:rPr>
          <w:color w:val="231F20"/>
          <w:w w:val="110"/>
          <w:sz w:val="18"/>
        </w:rPr>
        <w:t>accordance</w:t>
      </w:r>
      <w:r>
        <w:rPr>
          <w:color w:val="231F20"/>
          <w:spacing w:val="12"/>
          <w:w w:val="110"/>
          <w:sz w:val="18"/>
        </w:rPr>
        <w:t> </w:t>
      </w:r>
      <w:r>
        <w:rPr>
          <w:color w:val="231F20"/>
          <w:w w:val="110"/>
          <w:sz w:val="18"/>
        </w:rPr>
        <w:t>with</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provisions</w:t>
      </w:r>
      <w:r>
        <w:rPr>
          <w:color w:val="231F20"/>
          <w:spacing w:val="11"/>
          <w:w w:val="110"/>
          <w:sz w:val="18"/>
        </w:rPr>
        <w:t> </w:t>
      </w:r>
      <w:r>
        <w:rPr>
          <w:color w:val="231F20"/>
          <w:w w:val="110"/>
          <w:sz w:val="18"/>
        </w:rPr>
        <w:t>in</w:t>
      </w:r>
      <w:r>
        <w:rPr>
          <w:color w:val="231F20"/>
          <w:spacing w:val="12"/>
          <w:w w:val="110"/>
          <w:sz w:val="18"/>
        </w:rPr>
        <w:t> </w:t>
      </w:r>
      <w:r>
        <w:rPr>
          <w:color w:val="231F20"/>
          <w:w w:val="110"/>
          <w:sz w:val="18"/>
        </w:rPr>
        <w:t>this</w:t>
      </w:r>
      <w:r>
        <w:rPr>
          <w:color w:val="231F20"/>
          <w:spacing w:val="12"/>
          <w:w w:val="110"/>
          <w:sz w:val="18"/>
        </w:rPr>
        <w:t> </w:t>
      </w:r>
      <w:r>
        <w:rPr>
          <w:color w:val="231F20"/>
          <w:w w:val="110"/>
          <w:sz w:val="18"/>
        </w:rPr>
        <w:t>Governing</w:t>
      </w:r>
      <w:r>
        <w:rPr>
          <w:color w:val="231F20"/>
          <w:spacing w:val="12"/>
          <w:w w:val="110"/>
          <w:sz w:val="18"/>
        </w:rPr>
        <w:t> </w:t>
      </w:r>
      <w:r>
        <w:rPr>
          <w:color w:val="231F20"/>
          <w:w w:val="110"/>
          <w:sz w:val="18"/>
        </w:rPr>
        <w:t>Document.</w:t>
      </w:r>
    </w:p>
    <w:p>
      <w:pPr>
        <w:pStyle w:val="BodyText"/>
        <w:spacing w:before="8"/>
        <w:rPr>
          <w:sz w:val="20"/>
        </w:rPr>
      </w:pPr>
    </w:p>
    <w:p>
      <w:pPr>
        <w:numPr>
          <w:ilvl w:val="0"/>
          <w:numId w:val="42"/>
        </w:numPr>
        <w:tabs>
          <w:tab w:pos="1960" w:val="left" w:leader="none"/>
          <w:tab w:pos="1961" w:val="left" w:leader="none"/>
        </w:tabs>
        <w:spacing w:before="0"/>
        <w:ind w:left="1960" w:right="0" w:hanging="721"/>
        <w:jc w:val="left"/>
        <w:rPr>
          <w:b/>
          <w:sz w:val="18"/>
        </w:rPr>
      </w:pPr>
      <w:r>
        <w:rPr>
          <w:b/>
          <w:color w:val="231F20"/>
          <w:w w:val="110"/>
          <w:sz w:val="18"/>
        </w:rPr>
        <w:t>Name</w:t>
      </w:r>
    </w:p>
    <w:p>
      <w:pPr>
        <w:pStyle w:val="BodyText"/>
        <w:spacing w:before="2"/>
        <w:rPr>
          <w:b/>
          <w:sz w:val="23"/>
        </w:rPr>
      </w:pPr>
    </w:p>
    <w:p>
      <w:pPr>
        <w:pStyle w:val="ListParagraph"/>
        <w:numPr>
          <w:ilvl w:val="1"/>
          <w:numId w:val="42"/>
        </w:numPr>
        <w:tabs>
          <w:tab w:pos="1960" w:val="left" w:leader="none"/>
          <w:tab w:pos="1961" w:val="left" w:leader="none"/>
        </w:tabs>
        <w:spacing w:line="273" w:lineRule="auto" w:before="0" w:after="0"/>
        <w:ind w:left="1240" w:right="2311" w:firstLine="0"/>
        <w:jc w:val="left"/>
        <w:rPr>
          <w:sz w:val="18"/>
        </w:rPr>
      </w:pPr>
      <w:r>
        <w:rPr>
          <w:color w:val="231F20"/>
          <w:w w:val="110"/>
          <w:sz w:val="18"/>
        </w:rPr>
        <w:t>The name of the body hereby constituted is the Trustees of the United Reformed Church (the</w:t>
      </w:r>
      <w:r>
        <w:rPr>
          <w:color w:val="231F20"/>
          <w:spacing w:val="3"/>
          <w:w w:val="110"/>
          <w:sz w:val="18"/>
        </w:rPr>
        <w:t> </w:t>
      </w:r>
      <w:r>
        <w:rPr>
          <w:color w:val="231F20"/>
          <w:w w:val="110"/>
          <w:sz w:val="18"/>
        </w:rPr>
        <w:t>Trustees).</w:t>
      </w:r>
    </w:p>
    <w:p>
      <w:pPr>
        <w:pStyle w:val="BodyText"/>
        <w:spacing w:before="8"/>
        <w:rPr>
          <w:sz w:val="20"/>
        </w:rPr>
      </w:pPr>
    </w:p>
    <w:p>
      <w:pPr>
        <w:numPr>
          <w:ilvl w:val="0"/>
          <w:numId w:val="42"/>
        </w:numPr>
        <w:tabs>
          <w:tab w:pos="1960" w:val="left" w:leader="none"/>
          <w:tab w:pos="1961" w:val="left" w:leader="none"/>
        </w:tabs>
        <w:spacing w:before="0"/>
        <w:ind w:left="1960" w:right="0" w:hanging="721"/>
        <w:jc w:val="left"/>
        <w:rPr>
          <w:b/>
          <w:sz w:val="18"/>
        </w:rPr>
      </w:pPr>
      <w:r>
        <w:rPr>
          <w:b/>
          <w:color w:val="231F20"/>
          <w:spacing w:val="2"/>
          <w:w w:val="110"/>
          <w:sz w:val="18"/>
        </w:rPr>
        <w:t>Object</w:t>
      </w:r>
    </w:p>
    <w:p>
      <w:pPr>
        <w:pStyle w:val="BodyText"/>
        <w:spacing w:before="2"/>
        <w:rPr>
          <w:b/>
          <w:sz w:val="23"/>
        </w:rPr>
      </w:pPr>
    </w:p>
    <w:p>
      <w:pPr>
        <w:pStyle w:val="ListParagraph"/>
        <w:numPr>
          <w:ilvl w:val="1"/>
          <w:numId w:val="42"/>
        </w:numPr>
        <w:tabs>
          <w:tab w:pos="1960" w:val="left" w:leader="none"/>
          <w:tab w:pos="1961" w:val="left" w:leader="none"/>
        </w:tabs>
        <w:spacing w:line="273" w:lineRule="auto" w:before="0" w:after="0"/>
        <w:ind w:left="1240" w:right="2591" w:firstLine="0"/>
        <w:jc w:val="left"/>
        <w:rPr>
          <w:sz w:val="18"/>
        </w:rPr>
      </w:pPr>
      <w:r>
        <w:rPr>
          <w:color w:val="231F20"/>
          <w:w w:val="110"/>
          <w:sz w:val="18"/>
        </w:rPr>
        <w:t>The object of the Trustees is to administer and manage the general </w:t>
      </w:r>
      <w:r>
        <w:rPr>
          <w:color w:val="231F20"/>
          <w:spacing w:val="3"/>
          <w:w w:val="110"/>
          <w:sz w:val="18"/>
        </w:rPr>
        <w:t>property </w:t>
      </w:r>
      <w:r>
        <w:rPr>
          <w:color w:val="231F20"/>
          <w:w w:val="110"/>
          <w:sz w:val="18"/>
        </w:rPr>
        <w:t>held in connection with the United Reformed Church for which General Assembly has responsibility and is accountable and conduct the temporal affairs, dealings and </w:t>
      </w:r>
      <w:r>
        <w:rPr>
          <w:color w:val="231F20"/>
          <w:spacing w:val="2"/>
          <w:w w:val="110"/>
          <w:sz w:val="18"/>
        </w:rPr>
        <w:t>matters </w:t>
      </w:r>
      <w:r>
        <w:rPr>
          <w:color w:val="231F20"/>
          <w:w w:val="110"/>
          <w:sz w:val="18"/>
        </w:rPr>
        <w:t>of the United Reformed Church which</w:t>
      </w:r>
      <w:r>
        <w:rPr>
          <w:color w:val="231F20"/>
          <w:spacing w:val="14"/>
          <w:w w:val="110"/>
          <w:sz w:val="18"/>
        </w:rPr>
        <w:t> </w:t>
      </w:r>
      <w:r>
        <w:rPr>
          <w:color w:val="231F20"/>
          <w:w w:val="110"/>
          <w:sz w:val="18"/>
        </w:rPr>
        <w:t>are</w:t>
      </w:r>
      <w:r>
        <w:rPr>
          <w:color w:val="231F20"/>
          <w:spacing w:val="15"/>
          <w:w w:val="110"/>
          <w:sz w:val="18"/>
        </w:rPr>
        <w:t> </w:t>
      </w:r>
      <w:r>
        <w:rPr>
          <w:color w:val="231F20"/>
          <w:w w:val="110"/>
          <w:sz w:val="18"/>
        </w:rPr>
        <w:t>administered</w:t>
      </w:r>
      <w:r>
        <w:rPr>
          <w:color w:val="231F20"/>
          <w:spacing w:val="15"/>
          <w:w w:val="110"/>
          <w:sz w:val="18"/>
        </w:rPr>
        <w:t> </w:t>
      </w:r>
      <w:r>
        <w:rPr>
          <w:color w:val="231F20"/>
          <w:w w:val="110"/>
          <w:sz w:val="18"/>
        </w:rPr>
        <w:t>centrally</w:t>
      </w:r>
      <w:r>
        <w:rPr>
          <w:color w:val="231F20"/>
          <w:spacing w:val="15"/>
          <w:w w:val="110"/>
          <w:sz w:val="18"/>
        </w:rPr>
        <w:t> </w:t>
      </w:r>
      <w:r>
        <w:rPr>
          <w:color w:val="231F20"/>
          <w:w w:val="110"/>
          <w:sz w:val="18"/>
        </w:rPr>
        <w:t>and</w:t>
      </w:r>
      <w:r>
        <w:rPr>
          <w:color w:val="231F20"/>
          <w:spacing w:val="15"/>
          <w:w w:val="110"/>
          <w:sz w:val="18"/>
        </w:rPr>
        <w:t> </w:t>
      </w:r>
      <w:r>
        <w:rPr>
          <w:color w:val="231F20"/>
          <w:w w:val="110"/>
          <w:sz w:val="18"/>
        </w:rPr>
        <w:t>ensure</w:t>
      </w:r>
      <w:r>
        <w:rPr>
          <w:color w:val="231F20"/>
          <w:spacing w:val="14"/>
          <w:w w:val="110"/>
          <w:sz w:val="18"/>
        </w:rPr>
        <w:t> </w:t>
      </w:r>
      <w:r>
        <w:rPr>
          <w:color w:val="231F20"/>
          <w:w w:val="110"/>
          <w:sz w:val="18"/>
        </w:rPr>
        <w:t>compliance</w:t>
      </w:r>
      <w:r>
        <w:rPr>
          <w:color w:val="231F20"/>
          <w:spacing w:val="15"/>
          <w:w w:val="110"/>
          <w:sz w:val="18"/>
        </w:rPr>
        <w:t> </w:t>
      </w:r>
      <w:r>
        <w:rPr>
          <w:color w:val="231F20"/>
          <w:w w:val="110"/>
          <w:sz w:val="18"/>
        </w:rPr>
        <w:t>with</w:t>
      </w:r>
      <w:r>
        <w:rPr>
          <w:color w:val="231F20"/>
          <w:spacing w:val="15"/>
          <w:w w:val="110"/>
          <w:sz w:val="18"/>
        </w:rPr>
        <w:t> </w:t>
      </w:r>
      <w:r>
        <w:rPr>
          <w:color w:val="231F20"/>
          <w:w w:val="110"/>
          <w:sz w:val="18"/>
        </w:rPr>
        <w:t>the</w:t>
      </w:r>
      <w:r>
        <w:rPr>
          <w:color w:val="231F20"/>
          <w:spacing w:val="15"/>
          <w:w w:val="110"/>
          <w:sz w:val="18"/>
        </w:rPr>
        <w:t> </w:t>
      </w:r>
      <w:r>
        <w:rPr>
          <w:color w:val="231F20"/>
          <w:w w:val="110"/>
          <w:sz w:val="18"/>
        </w:rPr>
        <w:t>temporal</w:t>
      </w:r>
    </w:p>
    <w:p>
      <w:pPr>
        <w:pStyle w:val="BodyText"/>
        <w:spacing w:line="273" w:lineRule="auto" w:before="3"/>
        <w:ind w:left="1240" w:right="2375"/>
      </w:pPr>
      <w:r>
        <w:rPr>
          <w:color w:val="231F20"/>
          <w:w w:val="110"/>
        </w:rPr>
        <w:t>obligations of the United Reformed Church arising </w:t>
      </w:r>
      <w:r>
        <w:rPr>
          <w:color w:val="231F20"/>
          <w:spacing w:val="2"/>
          <w:w w:val="110"/>
        </w:rPr>
        <w:t>from </w:t>
      </w:r>
      <w:r>
        <w:rPr>
          <w:color w:val="231F20"/>
          <w:w w:val="110"/>
        </w:rPr>
        <w:t>its status and </w:t>
      </w:r>
      <w:r>
        <w:rPr>
          <w:color w:val="231F20"/>
          <w:spacing w:val="2"/>
          <w:w w:val="110"/>
        </w:rPr>
        <w:t>from </w:t>
      </w:r>
      <w:r>
        <w:rPr>
          <w:color w:val="231F20"/>
          <w:w w:val="110"/>
        </w:rPr>
        <w:t>its pursuance of its </w:t>
      </w:r>
      <w:r>
        <w:rPr>
          <w:color w:val="231F20"/>
          <w:spacing w:val="2"/>
          <w:w w:val="110"/>
        </w:rPr>
        <w:t>objects </w:t>
      </w:r>
      <w:r>
        <w:rPr>
          <w:color w:val="231F20"/>
          <w:w w:val="110"/>
        </w:rPr>
        <w:t>and work. Within the meaning of the expression in  the Charities </w:t>
      </w:r>
      <w:r>
        <w:rPr>
          <w:color w:val="231F20"/>
          <w:spacing w:val="2"/>
          <w:w w:val="110"/>
        </w:rPr>
        <w:t>Act </w:t>
      </w:r>
      <w:r>
        <w:rPr>
          <w:color w:val="231F20"/>
          <w:spacing w:val="-4"/>
          <w:w w:val="110"/>
        </w:rPr>
        <w:t>1993 </w:t>
      </w:r>
      <w:r>
        <w:rPr>
          <w:color w:val="231F20"/>
          <w:w w:val="110"/>
        </w:rPr>
        <w:t>they are the </w:t>
      </w:r>
      <w:r>
        <w:rPr>
          <w:color w:val="231F20"/>
          <w:spacing w:val="2"/>
          <w:w w:val="110"/>
        </w:rPr>
        <w:t>charity trustees </w:t>
      </w:r>
      <w:r>
        <w:rPr>
          <w:color w:val="231F20"/>
          <w:w w:val="110"/>
        </w:rPr>
        <w:t>of the general </w:t>
      </w:r>
      <w:r>
        <w:rPr>
          <w:color w:val="231F20"/>
          <w:spacing w:val="3"/>
          <w:w w:val="110"/>
        </w:rPr>
        <w:t>property </w:t>
      </w:r>
      <w:r>
        <w:rPr>
          <w:color w:val="231F20"/>
          <w:w w:val="110"/>
        </w:rPr>
        <w:t>held in connection with the United Reformed</w:t>
      </w:r>
      <w:r>
        <w:rPr>
          <w:color w:val="231F20"/>
          <w:spacing w:val="20"/>
          <w:w w:val="110"/>
        </w:rPr>
        <w:t> </w:t>
      </w:r>
      <w:r>
        <w:rPr>
          <w:color w:val="231F20"/>
          <w:w w:val="110"/>
        </w:rPr>
        <w:t>Church.</w:t>
      </w:r>
    </w:p>
    <w:p>
      <w:pPr>
        <w:spacing w:after="0" w:line="273" w:lineRule="auto"/>
        <w:sectPr>
          <w:headerReference w:type="default" r:id="rId89"/>
          <w:footerReference w:type="default" r:id="rId90"/>
          <w:footerReference w:type="even" r:id="rId91"/>
          <w:pgSz w:w="11910" w:h="16840"/>
          <w:pgMar w:header="0" w:footer="564" w:top="1000" w:bottom="760" w:left="460" w:right="0"/>
          <w:pgNumType w:start="79"/>
        </w:sectPr>
      </w:pPr>
    </w:p>
    <w:p>
      <w:pPr>
        <w:pStyle w:val="BodyText"/>
        <w:spacing w:before="10"/>
        <w:rPr>
          <w:sz w:val="11"/>
        </w:rPr>
      </w:pPr>
    </w:p>
    <w:p>
      <w:pPr>
        <w:numPr>
          <w:ilvl w:val="0"/>
          <w:numId w:val="42"/>
        </w:numPr>
        <w:tabs>
          <w:tab w:pos="1393" w:val="left" w:leader="none"/>
          <w:tab w:pos="1394" w:val="left" w:leader="none"/>
        </w:tabs>
        <w:spacing w:before="101"/>
        <w:ind w:left="1393" w:right="0" w:hanging="721"/>
        <w:jc w:val="left"/>
        <w:rPr>
          <w:b/>
          <w:sz w:val="18"/>
        </w:rPr>
      </w:pPr>
      <w:r>
        <w:rPr>
          <w:b/>
          <w:color w:val="231F20"/>
          <w:w w:val="110"/>
          <w:sz w:val="18"/>
        </w:rPr>
        <w:t>Application of Income and</w:t>
      </w:r>
      <w:r>
        <w:rPr>
          <w:b/>
          <w:color w:val="231F20"/>
          <w:spacing w:val="2"/>
          <w:w w:val="110"/>
          <w:sz w:val="18"/>
        </w:rPr>
        <w:t> </w:t>
      </w:r>
      <w:r>
        <w:rPr>
          <w:b/>
          <w:color w:val="231F20"/>
          <w:spacing w:val="3"/>
          <w:w w:val="110"/>
          <w:sz w:val="18"/>
        </w:rPr>
        <w:t>Property</w:t>
      </w:r>
    </w:p>
    <w:p>
      <w:pPr>
        <w:pStyle w:val="BodyText"/>
        <w:spacing w:before="1"/>
        <w:rPr>
          <w:b/>
          <w:sz w:val="23"/>
        </w:rPr>
      </w:pPr>
    </w:p>
    <w:p>
      <w:pPr>
        <w:pStyle w:val="ListParagraph"/>
        <w:numPr>
          <w:ilvl w:val="1"/>
          <w:numId w:val="42"/>
        </w:numPr>
        <w:tabs>
          <w:tab w:pos="1393" w:val="left" w:leader="none"/>
          <w:tab w:pos="1394" w:val="left" w:leader="none"/>
        </w:tabs>
        <w:spacing w:line="273" w:lineRule="auto" w:before="0" w:after="0"/>
        <w:ind w:left="673" w:right="1992" w:firstLine="0"/>
        <w:jc w:val="left"/>
        <w:rPr>
          <w:sz w:val="18"/>
        </w:rPr>
      </w:pPr>
      <w:r>
        <w:rPr>
          <w:color w:val="231F20"/>
          <w:w w:val="110"/>
          <w:sz w:val="18"/>
        </w:rPr>
        <w:t>Money and </w:t>
      </w:r>
      <w:r>
        <w:rPr>
          <w:color w:val="231F20"/>
          <w:spacing w:val="3"/>
          <w:w w:val="110"/>
          <w:sz w:val="18"/>
        </w:rPr>
        <w:t>property </w:t>
      </w:r>
      <w:r>
        <w:rPr>
          <w:color w:val="231F20"/>
          <w:w w:val="110"/>
          <w:sz w:val="18"/>
        </w:rPr>
        <w:t>will be held by or under the control of the Trustees and be used to </w:t>
      </w:r>
      <w:r>
        <w:rPr>
          <w:color w:val="231F20"/>
          <w:spacing w:val="2"/>
          <w:w w:val="110"/>
          <w:sz w:val="18"/>
        </w:rPr>
        <w:t>further </w:t>
      </w:r>
      <w:r>
        <w:rPr>
          <w:color w:val="231F20"/>
          <w:w w:val="110"/>
          <w:sz w:val="18"/>
        </w:rPr>
        <w:t>the work of the United Reformed</w:t>
      </w:r>
      <w:r>
        <w:rPr>
          <w:color w:val="231F20"/>
          <w:spacing w:val="20"/>
          <w:w w:val="110"/>
          <w:sz w:val="18"/>
        </w:rPr>
        <w:t> </w:t>
      </w:r>
      <w:r>
        <w:rPr>
          <w:color w:val="231F20"/>
          <w:w w:val="110"/>
          <w:sz w:val="18"/>
        </w:rPr>
        <w:t>Church.</w:t>
      </w:r>
    </w:p>
    <w:p>
      <w:pPr>
        <w:pStyle w:val="BodyText"/>
        <w:spacing w:before="8"/>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Amendments</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557" w:firstLine="0"/>
        <w:jc w:val="left"/>
        <w:rPr>
          <w:sz w:val="18"/>
        </w:rPr>
      </w:pPr>
      <w:r>
        <w:rPr>
          <w:color w:val="231F20"/>
          <w:w w:val="110"/>
          <w:sz w:val="18"/>
        </w:rPr>
        <w:t>Amendments to this governing document </w:t>
      </w:r>
      <w:r>
        <w:rPr>
          <w:color w:val="231F20"/>
          <w:spacing w:val="-3"/>
          <w:w w:val="110"/>
          <w:sz w:val="18"/>
        </w:rPr>
        <w:t>may </w:t>
      </w:r>
      <w:r>
        <w:rPr>
          <w:color w:val="231F20"/>
          <w:w w:val="110"/>
          <w:sz w:val="18"/>
        </w:rPr>
        <w:t>only be effected by General Assembly by a two thirds majority vote at the meeting at which </w:t>
      </w:r>
      <w:r>
        <w:rPr>
          <w:color w:val="231F20"/>
          <w:spacing w:val="-3"/>
          <w:w w:val="110"/>
          <w:sz w:val="18"/>
        </w:rPr>
        <w:t>any </w:t>
      </w:r>
      <w:r>
        <w:rPr>
          <w:color w:val="231F20"/>
          <w:w w:val="110"/>
          <w:sz w:val="18"/>
        </w:rPr>
        <w:t>amendment is</w:t>
      </w:r>
      <w:r>
        <w:rPr>
          <w:color w:val="231F20"/>
          <w:spacing w:val="-29"/>
          <w:w w:val="110"/>
          <w:sz w:val="18"/>
        </w:rPr>
        <w:t> </w:t>
      </w:r>
      <w:r>
        <w:rPr>
          <w:color w:val="231F20"/>
          <w:w w:val="110"/>
          <w:sz w:val="18"/>
        </w:rPr>
        <w:t>proposed.</w:t>
      </w:r>
    </w:p>
    <w:p>
      <w:pPr>
        <w:pStyle w:val="BodyText"/>
        <w:spacing w:before="8"/>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The conduct of business</w:t>
      </w:r>
      <w:r>
        <w:rPr>
          <w:b/>
          <w:color w:val="231F20"/>
          <w:spacing w:val="2"/>
          <w:w w:val="110"/>
          <w:sz w:val="18"/>
        </w:rPr>
        <w:t> meetings</w:t>
      </w:r>
    </w:p>
    <w:p>
      <w:pPr>
        <w:pStyle w:val="BodyText"/>
        <w:spacing w:before="2"/>
        <w:rPr>
          <w:b/>
          <w:sz w:val="23"/>
        </w:rPr>
      </w:pPr>
    </w:p>
    <w:p>
      <w:pPr>
        <w:pStyle w:val="ListParagraph"/>
        <w:numPr>
          <w:ilvl w:val="1"/>
          <w:numId w:val="42"/>
        </w:numPr>
        <w:tabs>
          <w:tab w:pos="1393" w:val="left" w:leader="none"/>
          <w:tab w:pos="1394" w:val="left" w:leader="none"/>
        </w:tabs>
        <w:spacing w:line="240" w:lineRule="auto" w:before="0" w:after="0"/>
        <w:ind w:left="1393" w:right="0" w:hanging="721"/>
        <w:jc w:val="left"/>
        <w:rPr>
          <w:sz w:val="18"/>
        </w:rPr>
      </w:pPr>
      <w:r>
        <w:rPr>
          <w:color w:val="231F20"/>
          <w:w w:val="110"/>
          <w:sz w:val="18"/>
        </w:rPr>
        <w:t>The Trustees shall hold at least four regular meetings each</w:t>
      </w:r>
      <w:r>
        <w:rPr>
          <w:color w:val="231F20"/>
          <w:spacing w:val="23"/>
          <w:w w:val="110"/>
          <w:sz w:val="18"/>
        </w:rPr>
        <w:t> </w:t>
      </w:r>
      <w:r>
        <w:rPr>
          <w:color w:val="231F20"/>
          <w:spacing w:val="-4"/>
          <w:w w:val="110"/>
          <w:sz w:val="18"/>
        </w:rPr>
        <w:t>year.</w:t>
      </w:r>
    </w:p>
    <w:p>
      <w:pPr>
        <w:pStyle w:val="BodyText"/>
        <w:spacing w:before="2"/>
        <w:rPr>
          <w:sz w:val="23"/>
        </w:rPr>
      </w:pPr>
    </w:p>
    <w:p>
      <w:pPr>
        <w:pStyle w:val="ListParagraph"/>
        <w:numPr>
          <w:ilvl w:val="1"/>
          <w:numId w:val="42"/>
        </w:numPr>
        <w:tabs>
          <w:tab w:pos="1393" w:val="left" w:leader="none"/>
          <w:tab w:pos="1394" w:val="left" w:leader="none"/>
        </w:tabs>
        <w:spacing w:line="273" w:lineRule="auto" w:before="0" w:after="0"/>
        <w:ind w:left="673" w:right="1648" w:firstLine="0"/>
        <w:jc w:val="left"/>
        <w:rPr>
          <w:sz w:val="18"/>
        </w:rPr>
      </w:pPr>
      <w:r>
        <w:rPr>
          <w:color w:val="231F20"/>
          <w:w w:val="110"/>
          <w:sz w:val="18"/>
        </w:rPr>
        <w:t>Special meetings may be called by the Chairperson or by any two Trustees  provided that at least two weeks clear notice is given to all the Trustees and the business to be discussed is adequately</w:t>
      </w:r>
      <w:r>
        <w:rPr>
          <w:color w:val="231F20"/>
          <w:spacing w:val="7"/>
          <w:w w:val="110"/>
          <w:sz w:val="18"/>
        </w:rPr>
        <w:t> </w:t>
      </w:r>
      <w:r>
        <w:rPr>
          <w:color w:val="231F20"/>
          <w:w w:val="110"/>
          <w:sz w:val="18"/>
        </w:rPr>
        <w:t>stated.</w:t>
      </w:r>
    </w:p>
    <w:p>
      <w:pPr>
        <w:pStyle w:val="BodyText"/>
        <w:spacing w:before="8"/>
        <w:rPr>
          <w:sz w:val="20"/>
        </w:rPr>
      </w:pPr>
    </w:p>
    <w:p>
      <w:pPr>
        <w:pStyle w:val="ListParagraph"/>
        <w:numPr>
          <w:ilvl w:val="1"/>
          <w:numId w:val="42"/>
        </w:numPr>
        <w:tabs>
          <w:tab w:pos="1393" w:val="left" w:leader="none"/>
          <w:tab w:pos="1394" w:val="left" w:leader="none"/>
        </w:tabs>
        <w:spacing w:line="240" w:lineRule="auto" w:before="0" w:after="0"/>
        <w:ind w:left="1393" w:right="0" w:hanging="721"/>
        <w:jc w:val="left"/>
        <w:rPr>
          <w:sz w:val="18"/>
        </w:rPr>
      </w:pPr>
      <w:r>
        <w:rPr>
          <w:color w:val="231F20"/>
          <w:w w:val="110"/>
          <w:sz w:val="18"/>
        </w:rPr>
        <w:t>The quorum of the Board of Trustees is six or</w:t>
      </w:r>
      <w:r>
        <w:rPr>
          <w:color w:val="231F20"/>
          <w:spacing w:val="14"/>
          <w:w w:val="110"/>
          <w:sz w:val="18"/>
        </w:rPr>
        <w:t> </w:t>
      </w:r>
      <w:r>
        <w:rPr>
          <w:color w:val="231F20"/>
          <w:w w:val="110"/>
          <w:sz w:val="18"/>
        </w:rPr>
        <w:t>greater.</w:t>
      </w:r>
    </w:p>
    <w:p>
      <w:pPr>
        <w:pStyle w:val="BodyText"/>
        <w:spacing w:before="2"/>
        <w:rPr>
          <w:sz w:val="23"/>
        </w:rPr>
      </w:pPr>
    </w:p>
    <w:p>
      <w:pPr>
        <w:pStyle w:val="ListParagraph"/>
        <w:numPr>
          <w:ilvl w:val="1"/>
          <w:numId w:val="42"/>
        </w:numPr>
        <w:tabs>
          <w:tab w:pos="1393" w:val="left" w:leader="none"/>
          <w:tab w:pos="1394" w:val="left" w:leader="none"/>
        </w:tabs>
        <w:spacing w:line="273" w:lineRule="auto" w:before="0" w:after="0"/>
        <w:ind w:left="673" w:right="1701" w:firstLine="0"/>
        <w:jc w:val="left"/>
        <w:rPr>
          <w:sz w:val="18"/>
        </w:rPr>
      </w:pPr>
      <w:r>
        <w:rPr>
          <w:color w:val="231F20"/>
          <w:w w:val="110"/>
          <w:sz w:val="18"/>
        </w:rPr>
        <w:t>At meetings, decisions must be made by a majority of the Trustees present and voting. The </w:t>
      </w:r>
      <w:r>
        <w:rPr>
          <w:color w:val="231F20"/>
          <w:spacing w:val="2"/>
          <w:w w:val="110"/>
          <w:sz w:val="18"/>
        </w:rPr>
        <w:t>person </w:t>
      </w:r>
      <w:r>
        <w:rPr>
          <w:color w:val="231F20"/>
          <w:w w:val="110"/>
          <w:sz w:val="18"/>
        </w:rPr>
        <w:t>chairing the meeting shall have a casting vote whether or not he/she has voted previously on the same</w:t>
      </w:r>
      <w:r>
        <w:rPr>
          <w:color w:val="231F20"/>
          <w:spacing w:val="9"/>
          <w:w w:val="110"/>
          <w:sz w:val="18"/>
        </w:rPr>
        <w:t> </w:t>
      </w:r>
      <w:r>
        <w:rPr>
          <w:color w:val="231F20"/>
          <w:w w:val="110"/>
          <w:sz w:val="18"/>
        </w:rPr>
        <w:t>question.</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Trustees</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607" w:firstLine="0"/>
        <w:jc w:val="left"/>
        <w:rPr>
          <w:sz w:val="18"/>
        </w:rPr>
      </w:pPr>
      <w:r>
        <w:rPr>
          <w:color w:val="231F20"/>
          <w:w w:val="110"/>
          <w:sz w:val="18"/>
        </w:rPr>
        <w:t>The body of Trustees when complete shall consist of </w:t>
      </w:r>
      <w:r>
        <w:rPr>
          <w:color w:val="231F20"/>
          <w:spacing w:val="-5"/>
          <w:w w:val="110"/>
          <w:sz w:val="18"/>
        </w:rPr>
        <w:t>16 </w:t>
      </w:r>
      <w:r>
        <w:rPr>
          <w:color w:val="231F20"/>
          <w:spacing w:val="2"/>
          <w:w w:val="110"/>
          <w:sz w:val="18"/>
        </w:rPr>
        <w:t>members </w:t>
      </w:r>
      <w:r>
        <w:rPr>
          <w:color w:val="231F20"/>
          <w:w w:val="110"/>
          <w:sz w:val="18"/>
        </w:rPr>
        <w:t>consisting of 3 ex-officio Trustees, </w:t>
      </w:r>
      <w:r>
        <w:rPr>
          <w:color w:val="231F20"/>
          <w:spacing w:val="-3"/>
          <w:w w:val="110"/>
          <w:sz w:val="18"/>
        </w:rPr>
        <w:t>12 </w:t>
      </w:r>
      <w:r>
        <w:rPr>
          <w:color w:val="231F20"/>
          <w:spacing w:val="2"/>
          <w:w w:val="110"/>
          <w:sz w:val="18"/>
        </w:rPr>
        <w:t>elected </w:t>
      </w:r>
      <w:r>
        <w:rPr>
          <w:color w:val="231F20"/>
          <w:w w:val="110"/>
          <w:sz w:val="18"/>
        </w:rPr>
        <w:t>Trustees and one nominated Trustee. Exceptionally this  may be increased temporarily if additional Trustees are co-opted or the term of </w:t>
      </w:r>
      <w:r>
        <w:rPr>
          <w:color w:val="231F20"/>
          <w:spacing w:val="2"/>
          <w:w w:val="110"/>
          <w:sz w:val="18"/>
        </w:rPr>
        <w:t>service </w:t>
      </w:r>
      <w:r>
        <w:rPr>
          <w:color w:val="231F20"/>
          <w:w w:val="110"/>
          <w:sz w:val="18"/>
        </w:rPr>
        <w:t>of the Chairperson is extended, as provided</w:t>
      </w:r>
      <w:r>
        <w:rPr>
          <w:color w:val="231F20"/>
          <w:spacing w:val="11"/>
          <w:w w:val="110"/>
          <w:sz w:val="18"/>
        </w:rPr>
        <w:t> </w:t>
      </w:r>
      <w:r>
        <w:rPr>
          <w:color w:val="231F20"/>
          <w:w w:val="110"/>
          <w:sz w:val="18"/>
        </w:rPr>
        <w:t>below.</w:t>
      </w:r>
    </w:p>
    <w:p>
      <w:pPr>
        <w:pStyle w:val="BodyText"/>
        <w:spacing w:before="9"/>
        <w:rPr>
          <w:sz w:val="20"/>
        </w:rPr>
      </w:pPr>
    </w:p>
    <w:p>
      <w:pPr>
        <w:pStyle w:val="ListParagraph"/>
        <w:numPr>
          <w:ilvl w:val="1"/>
          <w:numId w:val="42"/>
        </w:numPr>
        <w:tabs>
          <w:tab w:pos="1393" w:val="left" w:leader="none"/>
          <w:tab w:pos="1394" w:val="left" w:leader="none"/>
        </w:tabs>
        <w:spacing w:line="240" w:lineRule="auto" w:before="0" w:after="0"/>
        <w:ind w:left="1393" w:right="0" w:hanging="721"/>
        <w:jc w:val="left"/>
        <w:rPr>
          <w:sz w:val="18"/>
        </w:rPr>
      </w:pPr>
      <w:r>
        <w:rPr>
          <w:color w:val="231F20"/>
          <w:w w:val="110"/>
          <w:sz w:val="18"/>
        </w:rPr>
        <w:t>The ex-officio Trustees shall be the Moderator of the General Assembly, the</w:t>
      </w:r>
      <w:r>
        <w:rPr>
          <w:color w:val="231F20"/>
          <w:spacing w:val="44"/>
          <w:w w:val="110"/>
          <w:sz w:val="18"/>
        </w:rPr>
        <w:t> </w:t>
      </w:r>
      <w:r>
        <w:rPr>
          <w:color w:val="231F20"/>
          <w:w w:val="110"/>
          <w:sz w:val="18"/>
        </w:rPr>
        <w:t>General</w:t>
      </w:r>
    </w:p>
    <w:p>
      <w:pPr>
        <w:pStyle w:val="BodyText"/>
        <w:spacing w:before="31"/>
        <w:ind w:left="673"/>
      </w:pPr>
      <w:r>
        <w:rPr>
          <w:color w:val="231F20"/>
          <w:w w:val="110"/>
        </w:rPr>
        <w:t>Secretary, and the Deputy General Secretary.</w:t>
      </w:r>
    </w:p>
    <w:p>
      <w:pPr>
        <w:pStyle w:val="BodyText"/>
        <w:spacing w:before="2"/>
        <w:rPr>
          <w:sz w:val="23"/>
        </w:rPr>
      </w:pPr>
    </w:p>
    <w:p>
      <w:pPr>
        <w:pStyle w:val="ListParagraph"/>
        <w:numPr>
          <w:ilvl w:val="1"/>
          <w:numId w:val="42"/>
        </w:numPr>
        <w:tabs>
          <w:tab w:pos="1393" w:val="left" w:leader="none"/>
          <w:tab w:pos="1394" w:val="left" w:leader="none"/>
        </w:tabs>
        <w:spacing w:line="273" w:lineRule="auto" w:before="0" w:after="0"/>
        <w:ind w:left="673" w:right="2075" w:firstLine="0"/>
        <w:jc w:val="left"/>
        <w:rPr>
          <w:sz w:val="18"/>
        </w:rPr>
      </w:pPr>
      <w:r>
        <w:rPr>
          <w:color w:val="231F20"/>
          <w:w w:val="110"/>
          <w:sz w:val="18"/>
        </w:rPr>
        <w:t>Subject to the </w:t>
      </w:r>
      <w:r>
        <w:rPr>
          <w:color w:val="231F20"/>
          <w:spacing w:val="2"/>
          <w:w w:val="110"/>
          <w:sz w:val="18"/>
        </w:rPr>
        <w:t>hereafter </w:t>
      </w:r>
      <w:r>
        <w:rPr>
          <w:color w:val="231F20"/>
          <w:w w:val="110"/>
          <w:sz w:val="18"/>
        </w:rPr>
        <w:t>mentioned the </w:t>
      </w:r>
      <w:r>
        <w:rPr>
          <w:color w:val="231F20"/>
          <w:spacing w:val="2"/>
          <w:w w:val="110"/>
          <w:sz w:val="18"/>
        </w:rPr>
        <w:t>elected </w:t>
      </w:r>
      <w:r>
        <w:rPr>
          <w:color w:val="231F20"/>
          <w:w w:val="110"/>
          <w:sz w:val="18"/>
        </w:rPr>
        <w:t>Trustees shall be appointed as follows, namely,</w:t>
      </w:r>
    </w:p>
    <w:p>
      <w:pPr>
        <w:pStyle w:val="BodyText"/>
        <w:spacing w:before="8"/>
        <w:rPr>
          <w:sz w:val="20"/>
        </w:rPr>
      </w:pPr>
    </w:p>
    <w:p>
      <w:pPr>
        <w:pStyle w:val="BodyText"/>
        <w:ind w:left="673"/>
      </w:pPr>
      <w:r>
        <w:rPr>
          <w:color w:val="231F20"/>
          <w:w w:val="110"/>
        </w:rPr>
        <w:t>Synods will be grouped into three constituencies (Synod groups)</w:t>
      </w:r>
    </w:p>
    <w:p>
      <w:pPr>
        <w:pStyle w:val="BodyText"/>
        <w:spacing w:before="8"/>
        <w:rPr>
          <w:sz w:val="20"/>
        </w:rPr>
      </w:pP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Northern, </w:t>
      </w:r>
      <w:r>
        <w:rPr>
          <w:color w:val="231F20"/>
          <w:spacing w:val="2"/>
          <w:w w:val="110"/>
          <w:sz w:val="18"/>
        </w:rPr>
        <w:t>North </w:t>
      </w:r>
      <w:r>
        <w:rPr>
          <w:color w:val="231F20"/>
          <w:w w:val="110"/>
          <w:sz w:val="18"/>
        </w:rPr>
        <w:t>Western, Mersey, Yorkshire and</w:t>
      </w:r>
      <w:r>
        <w:rPr>
          <w:color w:val="231F20"/>
          <w:spacing w:val="9"/>
          <w:w w:val="110"/>
          <w:sz w:val="18"/>
        </w:rPr>
        <w:t> </w:t>
      </w:r>
      <w:r>
        <w:rPr>
          <w:color w:val="231F20"/>
          <w:w w:val="110"/>
          <w:sz w:val="18"/>
        </w:rPr>
        <w:t>Scotland</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West Midlands, South Western, Wessex and</w:t>
      </w:r>
      <w:r>
        <w:rPr>
          <w:color w:val="231F20"/>
          <w:spacing w:val="8"/>
          <w:w w:val="110"/>
          <w:sz w:val="18"/>
        </w:rPr>
        <w:t> </w:t>
      </w:r>
      <w:r>
        <w:rPr>
          <w:color w:val="231F20"/>
          <w:w w:val="110"/>
          <w:sz w:val="18"/>
        </w:rPr>
        <w:t>Wales</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East Midlands, Eastern, Thames </w:t>
      </w:r>
      <w:r>
        <w:rPr>
          <w:color w:val="231F20"/>
          <w:spacing w:val="2"/>
          <w:w w:val="110"/>
          <w:sz w:val="18"/>
        </w:rPr>
        <w:t>North </w:t>
      </w:r>
      <w:r>
        <w:rPr>
          <w:color w:val="231F20"/>
          <w:w w:val="110"/>
          <w:sz w:val="18"/>
        </w:rPr>
        <w:t>and</w:t>
      </w:r>
      <w:r>
        <w:rPr>
          <w:color w:val="231F20"/>
          <w:spacing w:val="9"/>
          <w:w w:val="110"/>
          <w:sz w:val="18"/>
        </w:rPr>
        <w:t> </w:t>
      </w:r>
      <w:r>
        <w:rPr>
          <w:color w:val="231F20"/>
          <w:w w:val="110"/>
          <w:sz w:val="18"/>
        </w:rPr>
        <w:t>Southern.</w:t>
      </w:r>
    </w:p>
    <w:p>
      <w:pPr>
        <w:pStyle w:val="BodyText"/>
        <w:spacing w:line="273" w:lineRule="auto" w:before="227"/>
        <w:ind w:left="673" w:right="1713"/>
      </w:pPr>
      <w:r>
        <w:rPr>
          <w:color w:val="231F20"/>
          <w:w w:val="110"/>
        </w:rPr>
        <w:t>Each group may nominate three Trustees. A Trustee will </w:t>
      </w:r>
      <w:r>
        <w:rPr>
          <w:color w:val="231F20"/>
          <w:spacing w:val="2"/>
          <w:w w:val="110"/>
        </w:rPr>
        <w:t>serve from </w:t>
      </w:r>
      <w:r>
        <w:rPr>
          <w:color w:val="231F20"/>
          <w:w w:val="110"/>
        </w:rPr>
        <w:t>the end of the General</w:t>
      </w:r>
      <w:r>
        <w:rPr>
          <w:color w:val="231F20"/>
          <w:spacing w:val="10"/>
          <w:w w:val="110"/>
        </w:rPr>
        <w:t> </w:t>
      </w:r>
      <w:r>
        <w:rPr>
          <w:color w:val="231F20"/>
          <w:w w:val="110"/>
        </w:rPr>
        <w:t>Assembly</w:t>
      </w:r>
      <w:r>
        <w:rPr>
          <w:color w:val="231F20"/>
          <w:spacing w:val="10"/>
          <w:w w:val="110"/>
        </w:rPr>
        <w:t> </w:t>
      </w:r>
      <w:r>
        <w:rPr>
          <w:color w:val="231F20"/>
          <w:w w:val="110"/>
        </w:rPr>
        <w:t>at</w:t>
      </w:r>
      <w:r>
        <w:rPr>
          <w:color w:val="231F20"/>
          <w:spacing w:val="10"/>
          <w:w w:val="110"/>
        </w:rPr>
        <w:t> </w:t>
      </w:r>
      <w:r>
        <w:rPr>
          <w:color w:val="231F20"/>
          <w:w w:val="110"/>
        </w:rPr>
        <w:t>which</w:t>
      </w:r>
      <w:r>
        <w:rPr>
          <w:color w:val="231F20"/>
          <w:spacing w:val="10"/>
          <w:w w:val="110"/>
        </w:rPr>
        <w:t> </w:t>
      </w:r>
      <w:r>
        <w:rPr>
          <w:color w:val="231F20"/>
          <w:w w:val="110"/>
        </w:rPr>
        <w:t>the</w:t>
      </w:r>
      <w:r>
        <w:rPr>
          <w:color w:val="231F20"/>
          <w:spacing w:val="10"/>
          <w:w w:val="110"/>
        </w:rPr>
        <w:t> </w:t>
      </w:r>
      <w:r>
        <w:rPr>
          <w:color w:val="231F20"/>
          <w:w w:val="110"/>
        </w:rPr>
        <w:t>Trustee</w:t>
      </w:r>
      <w:r>
        <w:rPr>
          <w:color w:val="231F20"/>
          <w:spacing w:val="10"/>
          <w:w w:val="110"/>
        </w:rPr>
        <w:t> </w:t>
      </w:r>
      <w:r>
        <w:rPr>
          <w:color w:val="231F20"/>
          <w:spacing w:val="2"/>
          <w:w w:val="110"/>
        </w:rPr>
        <w:t>from</w:t>
      </w:r>
      <w:r>
        <w:rPr>
          <w:color w:val="231F20"/>
          <w:spacing w:val="10"/>
          <w:w w:val="110"/>
        </w:rPr>
        <w:t> </w:t>
      </w:r>
      <w:r>
        <w:rPr>
          <w:color w:val="231F20"/>
          <w:w w:val="110"/>
        </w:rPr>
        <w:t>the</w:t>
      </w:r>
      <w:r>
        <w:rPr>
          <w:color w:val="231F20"/>
          <w:spacing w:val="11"/>
          <w:w w:val="110"/>
        </w:rPr>
        <w:t> </w:t>
      </w:r>
      <w:r>
        <w:rPr>
          <w:color w:val="231F20"/>
          <w:spacing w:val="2"/>
          <w:w w:val="110"/>
        </w:rPr>
        <w:t>respective</w:t>
      </w:r>
      <w:r>
        <w:rPr>
          <w:color w:val="231F20"/>
          <w:spacing w:val="10"/>
          <w:w w:val="110"/>
        </w:rPr>
        <w:t> </w:t>
      </w:r>
      <w:r>
        <w:rPr>
          <w:color w:val="231F20"/>
          <w:w w:val="110"/>
        </w:rPr>
        <w:t>Synod</w:t>
      </w:r>
      <w:r>
        <w:rPr>
          <w:color w:val="231F20"/>
          <w:spacing w:val="10"/>
          <w:w w:val="110"/>
        </w:rPr>
        <w:t> </w:t>
      </w:r>
      <w:r>
        <w:rPr>
          <w:color w:val="231F20"/>
          <w:w w:val="110"/>
        </w:rPr>
        <w:t>group</w:t>
      </w:r>
      <w:r>
        <w:rPr>
          <w:color w:val="231F20"/>
          <w:spacing w:val="10"/>
          <w:w w:val="110"/>
        </w:rPr>
        <w:t> </w:t>
      </w:r>
      <w:r>
        <w:rPr>
          <w:color w:val="231F20"/>
          <w:w w:val="110"/>
        </w:rPr>
        <w:t>is</w:t>
      </w:r>
      <w:r>
        <w:rPr>
          <w:color w:val="231F20"/>
          <w:spacing w:val="10"/>
          <w:w w:val="110"/>
        </w:rPr>
        <w:t> </w:t>
      </w:r>
      <w:r>
        <w:rPr>
          <w:color w:val="231F20"/>
          <w:w w:val="110"/>
        </w:rPr>
        <w:t>due</w:t>
      </w:r>
      <w:r>
        <w:rPr>
          <w:color w:val="231F20"/>
          <w:spacing w:val="10"/>
          <w:w w:val="110"/>
        </w:rPr>
        <w:t> </w:t>
      </w:r>
      <w:r>
        <w:rPr>
          <w:color w:val="231F20"/>
          <w:w w:val="110"/>
        </w:rPr>
        <w:t>to</w:t>
      </w:r>
      <w:r>
        <w:rPr>
          <w:color w:val="231F20"/>
          <w:spacing w:val="10"/>
          <w:w w:val="110"/>
        </w:rPr>
        <w:t> </w:t>
      </w:r>
      <w:r>
        <w:rPr>
          <w:color w:val="231F20"/>
          <w:w w:val="110"/>
        </w:rPr>
        <w:t>retire.</w:t>
      </w:r>
    </w:p>
    <w:p>
      <w:pPr>
        <w:pStyle w:val="BodyText"/>
        <w:spacing w:before="8"/>
        <w:rPr>
          <w:sz w:val="20"/>
        </w:rPr>
      </w:pPr>
    </w:p>
    <w:p>
      <w:pPr>
        <w:pStyle w:val="ListParagraph"/>
        <w:numPr>
          <w:ilvl w:val="1"/>
          <w:numId w:val="42"/>
        </w:numPr>
        <w:tabs>
          <w:tab w:pos="1393" w:val="left" w:leader="none"/>
          <w:tab w:pos="1394" w:val="left" w:leader="none"/>
          <w:tab w:pos="8377" w:val="left" w:leader="none"/>
        </w:tabs>
        <w:spacing w:line="273" w:lineRule="auto" w:before="0" w:after="0"/>
        <w:ind w:left="673" w:right="1703" w:hanging="1"/>
        <w:jc w:val="left"/>
        <w:rPr>
          <w:sz w:val="18"/>
        </w:rPr>
      </w:pPr>
      <w:r>
        <w:rPr>
          <w:color w:val="231F20"/>
          <w:w w:val="110"/>
          <w:sz w:val="18"/>
        </w:rPr>
        <w:t>So far as reasonably possible the Synods will co-operate so that the trustee body has the composite skills and is representative of the life of the Church; namely that it   has in its number at least one Trustee who has legal experience, at least one who has investment experience, at least one who has finance experience, at least one who has human </w:t>
      </w:r>
      <w:r>
        <w:rPr>
          <w:color w:val="231F20"/>
          <w:spacing w:val="2"/>
          <w:w w:val="110"/>
          <w:sz w:val="18"/>
        </w:rPr>
        <w:t>resources </w:t>
      </w:r>
      <w:r>
        <w:rPr>
          <w:color w:val="231F20"/>
          <w:w w:val="110"/>
          <w:sz w:val="18"/>
        </w:rPr>
        <w:t>experience and at least one who has full involvement in leading the life and</w:t>
      </w:r>
      <w:r>
        <w:rPr>
          <w:color w:val="231F20"/>
          <w:spacing w:val="7"/>
          <w:w w:val="110"/>
          <w:sz w:val="18"/>
        </w:rPr>
        <w:t> </w:t>
      </w:r>
      <w:r>
        <w:rPr>
          <w:color w:val="231F20"/>
          <w:w w:val="110"/>
          <w:sz w:val="18"/>
        </w:rPr>
        <w:t>witness</w:t>
      </w:r>
      <w:r>
        <w:rPr>
          <w:color w:val="231F20"/>
          <w:spacing w:val="7"/>
          <w:w w:val="110"/>
          <w:sz w:val="18"/>
        </w:rPr>
        <w:t> </w:t>
      </w:r>
      <w:r>
        <w:rPr>
          <w:color w:val="231F20"/>
          <w:w w:val="110"/>
          <w:sz w:val="18"/>
        </w:rPr>
        <w:t>of</w:t>
      </w:r>
      <w:r>
        <w:rPr>
          <w:color w:val="231F20"/>
          <w:spacing w:val="7"/>
          <w:w w:val="110"/>
          <w:sz w:val="18"/>
        </w:rPr>
        <w:t> </w:t>
      </w:r>
      <w:r>
        <w:rPr>
          <w:color w:val="231F20"/>
          <w:w w:val="110"/>
          <w:sz w:val="18"/>
        </w:rPr>
        <w:t>a</w:t>
      </w:r>
      <w:r>
        <w:rPr>
          <w:color w:val="231F20"/>
          <w:spacing w:val="7"/>
          <w:w w:val="110"/>
          <w:sz w:val="18"/>
        </w:rPr>
        <w:t> </w:t>
      </w:r>
      <w:r>
        <w:rPr>
          <w:color w:val="231F20"/>
          <w:w w:val="110"/>
          <w:sz w:val="18"/>
        </w:rPr>
        <w:t>local</w:t>
      </w:r>
      <w:r>
        <w:rPr>
          <w:color w:val="231F20"/>
          <w:spacing w:val="7"/>
          <w:w w:val="110"/>
          <w:sz w:val="18"/>
        </w:rPr>
        <w:t> </w:t>
      </w:r>
      <w:r>
        <w:rPr>
          <w:color w:val="231F20"/>
          <w:w w:val="110"/>
          <w:sz w:val="18"/>
        </w:rPr>
        <w:t>church,</w:t>
      </w:r>
      <w:r>
        <w:rPr>
          <w:color w:val="231F20"/>
          <w:spacing w:val="7"/>
          <w:w w:val="110"/>
          <w:sz w:val="18"/>
        </w:rPr>
        <w:t> </w:t>
      </w:r>
      <w:r>
        <w:rPr>
          <w:color w:val="231F20"/>
          <w:w w:val="110"/>
          <w:sz w:val="18"/>
        </w:rPr>
        <w:t>whether</w:t>
      </w:r>
      <w:r>
        <w:rPr>
          <w:color w:val="231F20"/>
          <w:spacing w:val="8"/>
          <w:w w:val="110"/>
          <w:sz w:val="18"/>
        </w:rPr>
        <w:t> </w:t>
      </w:r>
      <w:r>
        <w:rPr>
          <w:color w:val="231F20"/>
          <w:w w:val="110"/>
          <w:sz w:val="18"/>
        </w:rPr>
        <w:t>he</w:t>
      </w:r>
      <w:r>
        <w:rPr>
          <w:color w:val="231F20"/>
          <w:spacing w:val="7"/>
          <w:w w:val="110"/>
          <w:sz w:val="18"/>
        </w:rPr>
        <w:t> </w:t>
      </w:r>
      <w:r>
        <w:rPr>
          <w:color w:val="231F20"/>
          <w:w w:val="110"/>
          <w:sz w:val="18"/>
        </w:rPr>
        <w:t>or</w:t>
      </w:r>
      <w:r>
        <w:rPr>
          <w:color w:val="231F20"/>
          <w:spacing w:val="7"/>
          <w:w w:val="110"/>
          <w:sz w:val="18"/>
        </w:rPr>
        <w:t> </w:t>
      </w:r>
      <w:r>
        <w:rPr>
          <w:color w:val="231F20"/>
          <w:w w:val="110"/>
          <w:sz w:val="18"/>
        </w:rPr>
        <w:t>she</w:t>
      </w:r>
      <w:r>
        <w:rPr>
          <w:color w:val="231F20"/>
          <w:spacing w:val="7"/>
          <w:w w:val="110"/>
          <w:sz w:val="18"/>
        </w:rPr>
        <w:t> </w:t>
      </w:r>
      <w:r>
        <w:rPr>
          <w:color w:val="231F20"/>
          <w:w w:val="110"/>
          <w:sz w:val="18"/>
        </w:rPr>
        <w:t>is</w:t>
      </w:r>
      <w:r>
        <w:rPr>
          <w:color w:val="231F20"/>
          <w:spacing w:val="7"/>
          <w:w w:val="110"/>
          <w:sz w:val="18"/>
        </w:rPr>
        <w:t> </w:t>
      </w:r>
      <w:r>
        <w:rPr>
          <w:color w:val="231F20"/>
          <w:w w:val="110"/>
          <w:sz w:val="18"/>
        </w:rPr>
        <w:t>a</w:t>
      </w:r>
      <w:r>
        <w:rPr>
          <w:color w:val="231F20"/>
          <w:spacing w:val="7"/>
          <w:w w:val="110"/>
          <w:sz w:val="18"/>
        </w:rPr>
        <w:t> </w:t>
      </w:r>
      <w:r>
        <w:rPr>
          <w:color w:val="231F20"/>
          <w:w w:val="110"/>
          <w:sz w:val="18"/>
        </w:rPr>
        <w:t>minister</w:t>
      </w:r>
      <w:r>
        <w:rPr>
          <w:color w:val="231F20"/>
          <w:spacing w:val="8"/>
          <w:w w:val="110"/>
          <w:sz w:val="18"/>
        </w:rPr>
        <w:t> </w:t>
      </w:r>
      <w:r>
        <w:rPr>
          <w:color w:val="231F20"/>
          <w:w w:val="110"/>
          <w:sz w:val="18"/>
        </w:rPr>
        <w:t>or</w:t>
      </w:r>
      <w:r>
        <w:rPr>
          <w:color w:val="231F20"/>
          <w:spacing w:val="7"/>
          <w:w w:val="110"/>
          <w:sz w:val="18"/>
        </w:rPr>
        <w:t> </w:t>
      </w:r>
      <w:r>
        <w:rPr>
          <w:color w:val="231F20"/>
          <w:w w:val="110"/>
          <w:sz w:val="18"/>
        </w:rPr>
        <w:t>an</w:t>
      </w:r>
      <w:r>
        <w:rPr>
          <w:color w:val="231F20"/>
          <w:spacing w:val="7"/>
          <w:w w:val="110"/>
          <w:sz w:val="18"/>
        </w:rPr>
        <w:t> </w:t>
      </w:r>
      <w:r>
        <w:rPr>
          <w:color w:val="231F20"/>
          <w:w w:val="110"/>
          <w:sz w:val="18"/>
        </w:rPr>
        <w:t>elder.</w:t>
        <w:tab/>
      </w:r>
      <w:r>
        <w:rPr>
          <w:color w:val="231F20"/>
          <w:spacing w:val="-8"/>
          <w:w w:val="110"/>
          <w:sz w:val="18"/>
        </w:rPr>
        <w:t>To </w:t>
      </w:r>
      <w:r>
        <w:rPr>
          <w:color w:val="231F20"/>
          <w:w w:val="110"/>
          <w:sz w:val="18"/>
        </w:rPr>
        <w:t>that end, by mutual agreement and subject to the approval of Mission Council on each occasion,  the Synods may </w:t>
      </w:r>
      <w:r>
        <w:rPr>
          <w:color w:val="231F20"/>
          <w:spacing w:val="2"/>
          <w:w w:val="110"/>
          <w:sz w:val="18"/>
        </w:rPr>
        <w:t>vary </w:t>
      </w:r>
      <w:r>
        <w:rPr>
          <w:color w:val="231F20"/>
          <w:w w:val="110"/>
          <w:sz w:val="18"/>
        </w:rPr>
        <w:t>the Synod representation. The first </w:t>
      </w:r>
      <w:r>
        <w:rPr>
          <w:color w:val="231F20"/>
          <w:spacing w:val="2"/>
          <w:w w:val="110"/>
          <w:sz w:val="18"/>
        </w:rPr>
        <w:t>elected </w:t>
      </w:r>
      <w:r>
        <w:rPr>
          <w:color w:val="231F20"/>
          <w:w w:val="110"/>
          <w:sz w:val="18"/>
        </w:rPr>
        <w:t>Trustees shall be the individuals listed in the first column of the schedule hereto who have been nominated by the Synod in the corresponding row of the second column of the</w:t>
      </w:r>
      <w:r>
        <w:rPr>
          <w:color w:val="231F20"/>
          <w:spacing w:val="56"/>
          <w:w w:val="110"/>
          <w:sz w:val="18"/>
        </w:rPr>
        <w:t> </w:t>
      </w:r>
      <w:r>
        <w:rPr>
          <w:color w:val="231F20"/>
          <w:w w:val="110"/>
          <w:sz w:val="18"/>
        </w:rPr>
        <w:t>schedule.</w:t>
      </w:r>
    </w:p>
    <w:p>
      <w:pPr>
        <w:pStyle w:val="BodyText"/>
        <w:spacing w:before="1"/>
        <w:rPr>
          <w:sz w:val="21"/>
        </w:rPr>
      </w:pPr>
    </w:p>
    <w:p>
      <w:pPr>
        <w:pStyle w:val="ListParagraph"/>
        <w:numPr>
          <w:ilvl w:val="1"/>
          <w:numId w:val="42"/>
        </w:numPr>
        <w:tabs>
          <w:tab w:pos="1393" w:val="left" w:leader="none"/>
          <w:tab w:pos="1394" w:val="left" w:leader="none"/>
        </w:tabs>
        <w:spacing w:line="273" w:lineRule="auto" w:before="0" w:after="0"/>
        <w:ind w:left="673" w:right="1881" w:firstLine="0"/>
        <w:jc w:val="left"/>
        <w:rPr>
          <w:sz w:val="18"/>
        </w:rPr>
      </w:pPr>
      <w:r>
        <w:rPr>
          <w:color w:val="231F20"/>
          <w:w w:val="110"/>
          <w:sz w:val="18"/>
        </w:rPr>
        <w:t>Except during the initial sequence of retirement, on the occasion of each ordinary General Assembly one elected Trustee from each Synod group shall retire. In respect</w:t>
      </w:r>
      <w:r>
        <w:rPr>
          <w:color w:val="231F20"/>
          <w:spacing w:val="11"/>
          <w:w w:val="110"/>
          <w:sz w:val="18"/>
        </w:rPr>
        <w:t> </w:t>
      </w:r>
      <w:r>
        <w:rPr>
          <w:color w:val="231F20"/>
          <w:w w:val="110"/>
          <w:sz w:val="18"/>
        </w:rPr>
        <w:t>of</w:t>
      </w:r>
    </w:p>
    <w:p>
      <w:pPr>
        <w:spacing w:after="0" w:line="273" w:lineRule="auto"/>
        <w:jc w:val="left"/>
        <w:rPr>
          <w:sz w:val="18"/>
        </w:rPr>
        <w:sectPr>
          <w:headerReference w:type="even" r:id="rId92"/>
          <w:headerReference w:type="default" r:id="rId93"/>
          <w:pgSz w:w="11910" w:h="16840"/>
          <w:pgMar w:header="581" w:footer="464" w:top="860" w:bottom="660" w:left="460" w:right="0"/>
        </w:sectPr>
      </w:pPr>
    </w:p>
    <w:p>
      <w:pPr>
        <w:pStyle w:val="BodyText"/>
        <w:spacing w:before="10"/>
        <w:rPr>
          <w:sz w:val="11"/>
        </w:rPr>
      </w:pPr>
    </w:p>
    <w:p>
      <w:pPr>
        <w:pStyle w:val="BodyText"/>
        <w:spacing w:line="273" w:lineRule="auto" w:before="101"/>
        <w:ind w:left="1240" w:right="1194"/>
      </w:pPr>
      <w:r>
        <w:rPr>
          <w:color w:val="231F20"/>
          <w:w w:val="110"/>
        </w:rPr>
        <w:t>each </w:t>
      </w:r>
      <w:r>
        <w:rPr>
          <w:color w:val="231F20"/>
          <w:spacing w:val="-3"/>
          <w:w w:val="110"/>
        </w:rPr>
        <w:t>group, </w:t>
      </w:r>
      <w:r>
        <w:rPr>
          <w:color w:val="231F20"/>
          <w:w w:val="110"/>
        </w:rPr>
        <w:t>the </w:t>
      </w:r>
      <w:r>
        <w:rPr>
          <w:color w:val="231F20"/>
          <w:spacing w:val="-3"/>
          <w:w w:val="110"/>
        </w:rPr>
        <w:t>Trustee </w:t>
      </w:r>
      <w:r>
        <w:rPr>
          <w:color w:val="231F20"/>
          <w:w w:val="110"/>
        </w:rPr>
        <w:t>to retire shall be the one who has been longest in office. This means that, </w:t>
      </w:r>
      <w:r>
        <w:rPr>
          <w:color w:val="231F20"/>
          <w:spacing w:val="-3"/>
          <w:w w:val="110"/>
        </w:rPr>
        <w:t>normally, </w:t>
      </w:r>
      <w:r>
        <w:rPr>
          <w:color w:val="231F20"/>
          <w:w w:val="110"/>
        </w:rPr>
        <w:t>Trustees elected from Synod nominations shall retire at the General Assembly when they </w:t>
      </w:r>
      <w:r>
        <w:rPr>
          <w:color w:val="231F20"/>
          <w:spacing w:val="-3"/>
          <w:w w:val="110"/>
        </w:rPr>
        <w:t>have </w:t>
      </w:r>
      <w:r>
        <w:rPr>
          <w:color w:val="231F20"/>
          <w:w w:val="110"/>
        </w:rPr>
        <w:t>completed six years service. The initial sequence of retirement shall be as follows, </w:t>
      </w:r>
      <w:r>
        <w:rPr>
          <w:color w:val="231F20"/>
          <w:spacing w:val="-4"/>
          <w:w w:val="110"/>
        </w:rPr>
        <w:t>namely, </w:t>
      </w:r>
      <w:r>
        <w:rPr>
          <w:color w:val="231F20"/>
          <w:w w:val="110"/>
        </w:rPr>
        <w:t>one elected Trustee from each group shall retire  at the General Assembly in </w:t>
      </w:r>
      <w:r>
        <w:rPr>
          <w:color w:val="231F20"/>
          <w:spacing w:val="-7"/>
          <w:w w:val="110"/>
        </w:rPr>
        <w:t>2010; </w:t>
      </w:r>
      <w:r>
        <w:rPr>
          <w:color w:val="231F20"/>
          <w:w w:val="110"/>
        </w:rPr>
        <w:t>followed by one Trustee from each group at the General Assembly in </w:t>
      </w:r>
      <w:r>
        <w:rPr>
          <w:color w:val="231F20"/>
          <w:spacing w:val="-7"/>
          <w:w w:val="110"/>
        </w:rPr>
        <w:t>2012; </w:t>
      </w:r>
      <w:r>
        <w:rPr>
          <w:color w:val="231F20"/>
          <w:w w:val="110"/>
        </w:rPr>
        <w:t>followed by one Trustee from each group at General Assembly in</w:t>
      </w:r>
      <w:r>
        <w:rPr>
          <w:color w:val="231F20"/>
          <w:spacing w:val="9"/>
          <w:w w:val="110"/>
        </w:rPr>
        <w:t> </w:t>
      </w:r>
      <w:r>
        <w:rPr>
          <w:color w:val="231F20"/>
          <w:spacing w:val="-7"/>
          <w:w w:val="110"/>
        </w:rPr>
        <w:t>2014.</w:t>
      </w:r>
    </w:p>
    <w:p>
      <w:pPr>
        <w:pStyle w:val="BodyText"/>
        <w:spacing w:before="10"/>
        <w:rPr>
          <w:sz w:val="20"/>
        </w:rPr>
      </w:pPr>
    </w:p>
    <w:p>
      <w:pPr>
        <w:pStyle w:val="ListParagraph"/>
        <w:numPr>
          <w:ilvl w:val="1"/>
          <w:numId w:val="42"/>
        </w:numPr>
        <w:tabs>
          <w:tab w:pos="1960" w:val="left" w:leader="none"/>
          <w:tab w:pos="1961" w:val="left" w:leader="none"/>
        </w:tabs>
        <w:spacing w:line="273" w:lineRule="auto" w:before="0" w:after="0"/>
        <w:ind w:left="1240" w:right="1625" w:firstLine="0"/>
        <w:jc w:val="left"/>
        <w:rPr>
          <w:sz w:val="18"/>
        </w:rPr>
      </w:pPr>
      <w:r>
        <w:rPr>
          <w:color w:val="231F20"/>
          <w:w w:val="110"/>
          <w:sz w:val="18"/>
        </w:rPr>
        <w:t>Mission Council may nominate three Trustees for election, namely, one to be  a representative of FURY and two to ensure there is adequate gender and ethnic </w:t>
      </w:r>
      <w:r>
        <w:rPr>
          <w:color w:val="231F20"/>
          <w:spacing w:val="2"/>
          <w:w w:val="110"/>
          <w:sz w:val="18"/>
        </w:rPr>
        <w:t>representation </w:t>
      </w:r>
      <w:r>
        <w:rPr>
          <w:color w:val="231F20"/>
          <w:w w:val="110"/>
          <w:sz w:val="18"/>
        </w:rPr>
        <w:t>of the life of the Church. Trustees </w:t>
      </w:r>
      <w:r>
        <w:rPr>
          <w:color w:val="231F20"/>
          <w:spacing w:val="2"/>
          <w:w w:val="110"/>
          <w:sz w:val="18"/>
        </w:rPr>
        <w:t>elected from </w:t>
      </w:r>
      <w:r>
        <w:rPr>
          <w:color w:val="231F20"/>
          <w:w w:val="110"/>
          <w:sz w:val="18"/>
        </w:rPr>
        <w:t>Mission Council shall </w:t>
      </w:r>
      <w:r>
        <w:rPr>
          <w:color w:val="231F20"/>
          <w:spacing w:val="2"/>
          <w:w w:val="110"/>
          <w:sz w:val="18"/>
        </w:rPr>
        <w:t>retire </w:t>
      </w:r>
      <w:r>
        <w:rPr>
          <w:color w:val="231F20"/>
          <w:w w:val="110"/>
          <w:sz w:val="18"/>
        </w:rPr>
        <w:t>at the General Assembly when they have completed six years</w:t>
      </w:r>
      <w:r>
        <w:rPr>
          <w:color w:val="231F20"/>
          <w:spacing w:val="63"/>
          <w:w w:val="110"/>
          <w:sz w:val="18"/>
        </w:rPr>
        <w:t> </w:t>
      </w:r>
      <w:r>
        <w:rPr>
          <w:color w:val="231F20"/>
          <w:spacing w:val="2"/>
          <w:w w:val="110"/>
          <w:sz w:val="18"/>
        </w:rPr>
        <w:t>service.</w:t>
      </w:r>
    </w:p>
    <w:p>
      <w:pPr>
        <w:pStyle w:val="BodyText"/>
        <w:spacing w:before="9"/>
        <w:rPr>
          <w:sz w:val="20"/>
        </w:rPr>
      </w:pPr>
    </w:p>
    <w:p>
      <w:pPr>
        <w:pStyle w:val="ListParagraph"/>
        <w:numPr>
          <w:ilvl w:val="1"/>
          <w:numId w:val="42"/>
        </w:numPr>
        <w:tabs>
          <w:tab w:pos="1960" w:val="left" w:leader="none"/>
          <w:tab w:pos="1961" w:val="left" w:leader="none"/>
        </w:tabs>
        <w:spacing w:line="240" w:lineRule="auto" w:before="1" w:after="0"/>
        <w:ind w:left="1960" w:right="0" w:hanging="721"/>
        <w:jc w:val="left"/>
        <w:rPr>
          <w:sz w:val="18"/>
        </w:rPr>
      </w:pPr>
      <w:r>
        <w:rPr>
          <w:color w:val="231F20"/>
          <w:w w:val="110"/>
          <w:sz w:val="18"/>
        </w:rPr>
        <w:t>The </w:t>
      </w:r>
      <w:r>
        <w:rPr>
          <w:color w:val="231F20"/>
          <w:spacing w:val="2"/>
          <w:w w:val="110"/>
          <w:sz w:val="18"/>
        </w:rPr>
        <w:t>Honorary </w:t>
      </w:r>
      <w:r>
        <w:rPr>
          <w:color w:val="231F20"/>
          <w:w w:val="110"/>
          <w:sz w:val="18"/>
        </w:rPr>
        <w:t>Treasurer shall be the nominated Trustee appointed by</w:t>
      </w:r>
      <w:r>
        <w:rPr>
          <w:color w:val="231F20"/>
          <w:spacing w:val="34"/>
          <w:w w:val="110"/>
          <w:sz w:val="18"/>
        </w:rPr>
        <w:t> </w:t>
      </w:r>
      <w:r>
        <w:rPr>
          <w:color w:val="231F20"/>
          <w:w w:val="110"/>
          <w:sz w:val="18"/>
        </w:rPr>
        <w:t>Mission</w:t>
      </w:r>
    </w:p>
    <w:p>
      <w:pPr>
        <w:pStyle w:val="BodyText"/>
        <w:spacing w:before="31"/>
        <w:ind w:left="1240"/>
      </w:pPr>
      <w:r>
        <w:rPr>
          <w:color w:val="231F20"/>
          <w:w w:val="110"/>
        </w:rPr>
        <w:t>Council and he or she shall hold office for 4 years.</w:t>
      </w:r>
    </w:p>
    <w:p>
      <w:pPr>
        <w:pStyle w:val="BodyText"/>
        <w:spacing w:before="1"/>
        <w:rPr>
          <w:sz w:val="23"/>
        </w:rPr>
      </w:pPr>
    </w:p>
    <w:p>
      <w:pPr>
        <w:pStyle w:val="ListParagraph"/>
        <w:numPr>
          <w:ilvl w:val="1"/>
          <w:numId w:val="42"/>
        </w:numPr>
        <w:tabs>
          <w:tab w:pos="1960" w:val="left" w:leader="none"/>
          <w:tab w:pos="1961" w:val="left" w:leader="none"/>
        </w:tabs>
        <w:spacing w:line="240" w:lineRule="auto" w:before="1" w:after="0"/>
        <w:ind w:left="1960" w:right="0" w:hanging="721"/>
        <w:jc w:val="left"/>
        <w:rPr>
          <w:sz w:val="18"/>
        </w:rPr>
      </w:pPr>
      <w:r>
        <w:rPr>
          <w:color w:val="231F20"/>
          <w:w w:val="110"/>
          <w:sz w:val="18"/>
        </w:rPr>
        <w:t>In the event</w:t>
      </w:r>
      <w:r>
        <w:rPr>
          <w:color w:val="231F20"/>
          <w:spacing w:val="2"/>
          <w:w w:val="110"/>
          <w:sz w:val="18"/>
        </w:rPr>
        <w:t> </w:t>
      </w:r>
      <w:r>
        <w:rPr>
          <w:color w:val="231F20"/>
          <w:w w:val="110"/>
          <w:sz w:val="18"/>
        </w:rPr>
        <w:t>of:</w:t>
      </w:r>
    </w:p>
    <w:p>
      <w:pPr>
        <w:pStyle w:val="BodyText"/>
        <w:spacing w:before="7"/>
        <w:rPr>
          <w:sz w:val="20"/>
        </w:rPr>
      </w:pPr>
    </w:p>
    <w:p>
      <w:pPr>
        <w:pStyle w:val="ListParagraph"/>
        <w:numPr>
          <w:ilvl w:val="0"/>
          <w:numId w:val="43"/>
        </w:numPr>
        <w:tabs>
          <w:tab w:pos="1921" w:val="left" w:leader="none"/>
          <w:tab w:pos="1922" w:val="left" w:leader="none"/>
        </w:tabs>
        <w:spacing w:line="240" w:lineRule="auto" w:before="0" w:after="0"/>
        <w:ind w:left="1921" w:right="0" w:hanging="682"/>
        <w:jc w:val="left"/>
        <w:rPr>
          <w:sz w:val="18"/>
        </w:rPr>
      </w:pPr>
      <w:r>
        <w:rPr>
          <w:color w:val="231F20"/>
          <w:spacing w:val="2"/>
          <w:w w:val="110"/>
          <w:sz w:val="18"/>
        </w:rPr>
        <w:t>Unexpected</w:t>
      </w:r>
      <w:r>
        <w:rPr>
          <w:color w:val="231F20"/>
          <w:w w:val="110"/>
          <w:sz w:val="18"/>
        </w:rPr>
        <w:t> vacancy</w:t>
      </w:r>
    </w:p>
    <w:p>
      <w:pPr>
        <w:pStyle w:val="ListParagraph"/>
        <w:numPr>
          <w:ilvl w:val="0"/>
          <w:numId w:val="43"/>
        </w:numPr>
        <w:tabs>
          <w:tab w:pos="1921" w:val="left" w:leader="none"/>
          <w:tab w:pos="1922" w:val="left" w:leader="none"/>
        </w:tabs>
        <w:spacing w:line="240" w:lineRule="auto" w:before="196" w:after="0"/>
        <w:ind w:left="1921" w:right="0" w:hanging="682"/>
        <w:jc w:val="left"/>
        <w:rPr>
          <w:sz w:val="18"/>
        </w:rPr>
      </w:pPr>
      <w:r>
        <w:rPr>
          <w:color w:val="231F20"/>
          <w:w w:val="110"/>
          <w:sz w:val="18"/>
        </w:rPr>
        <w:t>Requirement of specific</w:t>
      </w:r>
      <w:r>
        <w:rPr>
          <w:color w:val="231F20"/>
          <w:spacing w:val="3"/>
          <w:w w:val="110"/>
          <w:sz w:val="18"/>
        </w:rPr>
        <w:t> </w:t>
      </w:r>
      <w:r>
        <w:rPr>
          <w:color w:val="231F20"/>
          <w:spacing w:val="2"/>
          <w:w w:val="110"/>
          <w:sz w:val="18"/>
        </w:rPr>
        <w:t>expertise</w:t>
      </w:r>
    </w:p>
    <w:p>
      <w:pPr>
        <w:pStyle w:val="BodyText"/>
        <w:spacing w:line="273" w:lineRule="auto" w:before="227"/>
        <w:ind w:left="1240" w:right="1489"/>
      </w:pPr>
      <w:r>
        <w:rPr>
          <w:color w:val="231F20"/>
          <w:w w:val="110"/>
        </w:rPr>
        <w:t>the Trustees may co-opt up to 2 additional Trustees, with the agreement of Mission Council for such period as the Trustees and Mission Council agree being no longer  than</w:t>
      </w:r>
      <w:r>
        <w:rPr>
          <w:color w:val="231F20"/>
          <w:spacing w:val="10"/>
          <w:w w:val="110"/>
        </w:rPr>
        <w:t> </w:t>
      </w:r>
      <w:r>
        <w:rPr>
          <w:color w:val="231F20"/>
          <w:w w:val="110"/>
        </w:rPr>
        <w:t>2</w:t>
      </w:r>
      <w:r>
        <w:rPr>
          <w:color w:val="231F20"/>
          <w:spacing w:val="11"/>
          <w:w w:val="110"/>
        </w:rPr>
        <w:t> </w:t>
      </w:r>
      <w:r>
        <w:rPr>
          <w:color w:val="231F20"/>
          <w:w w:val="110"/>
        </w:rPr>
        <w:t>years</w:t>
      </w:r>
      <w:r>
        <w:rPr>
          <w:color w:val="231F20"/>
          <w:spacing w:val="11"/>
          <w:w w:val="110"/>
        </w:rPr>
        <w:t> </w:t>
      </w:r>
      <w:r>
        <w:rPr>
          <w:color w:val="231F20"/>
          <w:w w:val="110"/>
        </w:rPr>
        <w:t>or</w:t>
      </w:r>
      <w:r>
        <w:rPr>
          <w:color w:val="231F20"/>
          <w:spacing w:val="11"/>
          <w:w w:val="110"/>
        </w:rPr>
        <w:t> </w:t>
      </w:r>
      <w:r>
        <w:rPr>
          <w:color w:val="231F20"/>
          <w:w w:val="110"/>
        </w:rPr>
        <w:t>until</w:t>
      </w:r>
      <w:r>
        <w:rPr>
          <w:color w:val="231F20"/>
          <w:spacing w:val="11"/>
          <w:w w:val="110"/>
        </w:rPr>
        <w:t> </w:t>
      </w:r>
      <w:r>
        <w:rPr>
          <w:color w:val="231F20"/>
          <w:w w:val="110"/>
        </w:rPr>
        <w:t>the</w:t>
      </w:r>
      <w:r>
        <w:rPr>
          <w:color w:val="231F20"/>
          <w:spacing w:val="11"/>
          <w:w w:val="110"/>
        </w:rPr>
        <w:t> </w:t>
      </w:r>
      <w:r>
        <w:rPr>
          <w:color w:val="231F20"/>
          <w:spacing w:val="2"/>
          <w:w w:val="110"/>
        </w:rPr>
        <w:t>next</w:t>
      </w:r>
      <w:r>
        <w:rPr>
          <w:color w:val="231F20"/>
          <w:spacing w:val="10"/>
          <w:w w:val="110"/>
        </w:rPr>
        <w:t> </w:t>
      </w:r>
      <w:r>
        <w:rPr>
          <w:color w:val="231F20"/>
          <w:w w:val="110"/>
        </w:rPr>
        <w:t>ordinary</w:t>
      </w:r>
      <w:r>
        <w:rPr>
          <w:color w:val="231F20"/>
          <w:spacing w:val="11"/>
          <w:w w:val="110"/>
        </w:rPr>
        <w:t> </w:t>
      </w:r>
      <w:r>
        <w:rPr>
          <w:color w:val="231F20"/>
          <w:w w:val="110"/>
        </w:rPr>
        <w:t>General</w:t>
      </w:r>
      <w:r>
        <w:rPr>
          <w:color w:val="231F20"/>
          <w:spacing w:val="11"/>
          <w:w w:val="110"/>
        </w:rPr>
        <w:t> </w:t>
      </w:r>
      <w:r>
        <w:rPr>
          <w:color w:val="231F20"/>
          <w:w w:val="110"/>
        </w:rPr>
        <w:t>Assembly</w:t>
      </w:r>
      <w:r>
        <w:rPr>
          <w:color w:val="231F20"/>
          <w:spacing w:val="11"/>
          <w:w w:val="110"/>
        </w:rPr>
        <w:t> </w:t>
      </w:r>
      <w:r>
        <w:rPr>
          <w:color w:val="231F20"/>
          <w:spacing w:val="2"/>
          <w:w w:val="110"/>
        </w:rPr>
        <w:t>meets</w:t>
      </w:r>
      <w:r>
        <w:rPr>
          <w:color w:val="231F20"/>
          <w:spacing w:val="11"/>
          <w:w w:val="110"/>
        </w:rPr>
        <w:t> </w:t>
      </w:r>
      <w:r>
        <w:rPr>
          <w:color w:val="231F20"/>
          <w:w w:val="110"/>
        </w:rPr>
        <w:t>whichever</w:t>
      </w:r>
      <w:r>
        <w:rPr>
          <w:color w:val="231F20"/>
          <w:spacing w:val="11"/>
          <w:w w:val="110"/>
        </w:rPr>
        <w:t> </w:t>
      </w:r>
      <w:r>
        <w:rPr>
          <w:color w:val="231F20"/>
          <w:w w:val="110"/>
        </w:rPr>
        <w:t>is</w:t>
      </w:r>
      <w:r>
        <w:rPr>
          <w:color w:val="231F20"/>
          <w:spacing w:val="10"/>
          <w:w w:val="110"/>
        </w:rPr>
        <w:t> </w:t>
      </w:r>
      <w:r>
        <w:rPr>
          <w:color w:val="231F20"/>
          <w:w w:val="110"/>
        </w:rPr>
        <w:t>shorter.</w:t>
      </w:r>
    </w:p>
    <w:p>
      <w:pPr>
        <w:pStyle w:val="BodyText"/>
        <w:spacing w:line="273" w:lineRule="auto" w:before="2"/>
        <w:ind w:left="1240" w:right="1403"/>
      </w:pPr>
      <w:r>
        <w:rPr>
          <w:color w:val="231F20"/>
          <w:w w:val="110"/>
        </w:rPr>
        <w:t>A Trustee so co-opted may be nominated for </w:t>
      </w:r>
      <w:r>
        <w:rPr>
          <w:color w:val="231F20"/>
          <w:spacing w:val="2"/>
          <w:w w:val="110"/>
        </w:rPr>
        <w:t>election </w:t>
      </w:r>
      <w:r>
        <w:rPr>
          <w:color w:val="231F20"/>
          <w:w w:val="110"/>
        </w:rPr>
        <w:t>at the </w:t>
      </w:r>
      <w:r>
        <w:rPr>
          <w:color w:val="231F20"/>
          <w:spacing w:val="2"/>
          <w:w w:val="110"/>
        </w:rPr>
        <w:t>next </w:t>
      </w:r>
      <w:r>
        <w:rPr>
          <w:color w:val="231F20"/>
          <w:w w:val="110"/>
        </w:rPr>
        <w:t>General Assembly for a Synod or Mission Council</w:t>
      </w:r>
      <w:r>
        <w:rPr>
          <w:color w:val="231F20"/>
          <w:spacing w:val="6"/>
          <w:w w:val="110"/>
        </w:rPr>
        <w:t> </w:t>
      </w:r>
      <w:r>
        <w:rPr>
          <w:color w:val="231F20"/>
          <w:w w:val="110"/>
        </w:rPr>
        <w:t>vacancy.</w:t>
      </w:r>
    </w:p>
    <w:p>
      <w:pPr>
        <w:pStyle w:val="BodyText"/>
        <w:spacing w:before="8"/>
        <w:rPr>
          <w:sz w:val="20"/>
        </w:rPr>
      </w:pPr>
    </w:p>
    <w:p>
      <w:pPr>
        <w:pStyle w:val="ListParagraph"/>
        <w:numPr>
          <w:ilvl w:val="1"/>
          <w:numId w:val="42"/>
        </w:numPr>
        <w:tabs>
          <w:tab w:pos="1960" w:val="left" w:leader="none"/>
          <w:tab w:pos="1961" w:val="left" w:leader="none"/>
        </w:tabs>
        <w:spacing w:line="240" w:lineRule="auto" w:before="0" w:after="0"/>
        <w:ind w:left="1960" w:right="0" w:hanging="721"/>
        <w:jc w:val="left"/>
        <w:rPr>
          <w:sz w:val="18"/>
        </w:rPr>
      </w:pPr>
      <w:r>
        <w:rPr>
          <w:color w:val="231F20"/>
          <w:w w:val="110"/>
          <w:sz w:val="18"/>
        </w:rPr>
        <w:t>Trustee indemnity insurance will be</w:t>
      </w:r>
      <w:r>
        <w:rPr>
          <w:color w:val="231F20"/>
          <w:spacing w:val="7"/>
          <w:w w:val="110"/>
          <w:sz w:val="18"/>
        </w:rPr>
        <w:t> </w:t>
      </w:r>
      <w:r>
        <w:rPr>
          <w:color w:val="231F20"/>
          <w:w w:val="110"/>
          <w:sz w:val="18"/>
        </w:rPr>
        <w:t>provided.</w:t>
      </w:r>
    </w:p>
    <w:p>
      <w:pPr>
        <w:pStyle w:val="BodyText"/>
        <w:spacing w:before="2"/>
        <w:rPr>
          <w:sz w:val="23"/>
        </w:rPr>
      </w:pPr>
    </w:p>
    <w:p>
      <w:pPr>
        <w:pStyle w:val="ListParagraph"/>
        <w:numPr>
          <w:ilvl w:val="1"/>
          <w:numId w:val="42"/>
        </w:numPr>
        <w:tabs>
          <w:tab w:pos="1960" w:val="left" w:leader="none"/>
          <w:tab w:pos="1961" w:val="left" w:leader="none"/>
        </w:tabs>
        <w:spacing w:line="273" w:lineRule="auto" w:before="0" w:after="0"/>
        <w:ind w:left="1240" w:right="1229" w:firstLine="0"/>
        <w:jc w:val="left"/>
        <w:rPr>
          <w:sz w:val="18"/>
        </w:rPr>
      </w:pPr>
      <w:r>
        <w:rPr>
          <w:color w:val="231F20"/>
          <w:spacing w:val="2"/>
          <w:w w:val="110"/>
          <w:sz w:val="18"/>
        </w:rPr>
        <w:t>After </w:t>
      </w:r>
      <w:r>
        <w:rPr>
          <w:color w:val="231F20"/>
          <w:w w:val="110"/>
          <w:sz w:val="18"/>
        </w:rPr>
        <w:t>they have </w:t>
      </w:r>
      <w:r>
        <w:rPr>
          <w:color w:val="231F20"/>
          <w:spacing w:val="2"/>
          <w:w w:val="110"/>
          <w:sz w:val="18"/>
        </w:rPr>
        <w:t>served </w:t>
      </w:r>
      <w:r>
        <w:rPr>
          <w:color w:val="231F20"/>
          <w:w w:val="110"/>
          <w:sz w:val="18"/>
        </w:rPr>
        <w:t>their term, each Trustee must stand down for a minimum of two years but will then be eligible for</w:t>
      </w:r>
      <w:r>
        <w:rPr>
          <w:color w:val="231F20"/>
          <w:spacing w:val="19"/>
          <w:w w:val="110"/>
          <w:sz w:val="18"/>
        </w:rPr>
        <w:t> </w:t>
      </w:r>
      <w:r>
        <w:rPr>
          <w:color w:val="231F20"/>
          <w:w w:val="110"/>
          <w:sz w:val="18"/>
        </w:rPr>
        <w:t>re-election.</w:t>
      </w:r>
    </w:p>
    <w:p>
      <w:pPr>
        <w:pStyle w:val="BodyText"/>
        <w:spacing w:before="8"/>
        <w:rPr>
          <w:sz w:val="20"/>
        </w:rPr>
      </w:pPr>
    </w:p>
    <w:p>
      <w:pPr>
        <w:pStyle w:val="ListParagraph"/>
        <w:numPr>
          <w:ilvl w:val="1"/>
          <w:numId w:val="42"/>
        </w:numPr>
        <w:tabs>
          <w:tab w:pos="1960" w:val="left" w:leader="none"/>
          <w:tab w:pos="1961" w:val="left" w:leader="none"/>
        </w:tabs>
        <w:spacing w:line="273" w:lineRule="auto" w:before="0" w:after="0"/>
        <w:ind w:left="1240" w:right="1316" w:firstLine="0"/>
        <w:jc w:val="left"/>
        <w:rPr>
          <w:sz w:val="18"/>
        </w:rPr>
      </w:pPr>
      <w:r>
        <w:rPr>
          <w:color w:val="231F20"/>
          <w:w w:val="110"/>
          <w:sz w:val="18"/>
        </w:rPr>
        <w:t>Timetable and </w:t>
      </w:r>
      <w:r>
        <w:rPr>
          <w:color w:val="231F20"/>
          <w:spacing w:val="2"/>
          <w:w w:val="110"/>
          <w:sz w:val="18"/>
        </w:rPr>
        <w:t>process </w:t>
      </w:r>
      <w:r>
        <w:rPr>
          <w:color w:val="231F20"/>
          <w:w w:val="110"/>
          <w:sz w:val="18"/>
        </w:rPr>
        <w:t>for nomination (every two years to coincide with General Assembly):</w:t>
      </w:r>
    </w:p>
    <w:p>
      <w:pPr>
        <w:pStyle w:val="ListParagraph"/>
        <w:numPr>
          <w:ilvl w:val="0"/>
          <w:numId w:val="44"/>
        </w:numPr>
        <w:tabs>
          <w:tab w:pos="1921" w:val="left" w:leader="none"/>
          <w:tab w:pos="1922" w:val="left" w:leader="none"/>
        </w:tabs>
        <w:spacing w:line="218" w:lineRule="auto" w:before="0" w:after="0"/>
        <w:ind w:left="1921" w:right="1157" w:hanging="681"/>
        <w:jc w:val="left"/>
        <w:rPr>
          <w:sz w:val="18"/>
        </w:rPr>
      </w:pPr>
      <w:r>
        <w:rPr>
          <w:color w:val="231F20"/>
          <w:w w:val="110"/>
          <w:sz w:val="18"/>
        </w:rPr>
        <w:t>Synods and Mission Council consider candidates for Trustees whom they will nominate and seek their consent and agreement to stand for election. Synod</w:t>
      </w:r>
      <w:r>
        <w:rPr>
          <w:color w:val="231F20"/>
          <w:spacing w:val="12"/>
          <w:w w:val="110"/>
          <w:sz w:val="18"/>
        </w:rPr>
        <w:t> </w:t>
      </w:r>
      <w:r>
        <w:rPr>
          <w:color w:val="231F20"/>
          <w:w w:val="110"/>
          <w:sz w:val="18"/>
        </w:rPr>
        <w:t>and</w:t>
      </w:r>
    </w:p>
    <w:p>
      <w:pPr>
        <w:pStyle w:val="BodyText"/>
        <w:spacing w:line="273" w:lineRule="auto" w:before="26"/>
        <w:ind w:left="1921" w:right="1593"/>
      </w:pPr>
      <w:r>
        <w:rPr>
          <w:color w:val="231F20"/>
          <w:w w:val="110"/>
        </w:rPr>
        <w:t>Mission Council may nominate more candidates than the number of vacancies provided that they list candidates in order of preference.</w:t>
      </w:r>
    </w:p>
    <w:p>
      <w:pPr>
        <w:pStyle w:val="ListParagraph"/>
        <w:numPr>
          <w:ilvl w:val="0"/>
          <w:numId w:val="44"/>
        </w:numPr>
        <w:tabs>
          <w:tab w:pos="1921" w:val="left" w:leader="none"/>
          <w:tab w:pos="1922" w:val="left" w:leader="none"/>
        </w:tabs>
        <w:spacing w:line="218" w:lineRule="auto" w:before="0" w:after="0"/>
        <w:ind w:left="1921" w:right="1133" w:hanging="681"/>
        <w:jc w:val="left"/>
        <w:rPr>
          <w:sz w:val="18"/>
        </w:rPr>
      </w:pPr>
      <w:r>
        <w:rPr>
          <w:color w:val="231F20"/>
          <w:w w:val="110"/>
          <w:sz w:val="18"/>
        </w:rPr>
        <w:t>Synods and Mission Council provide nominations (together with </w:t>
      </w:r>
      <w:r>
        <w:rPr>
          <w:color w:val="231F20"/>
          <w:spacing w:val="3"/>
          <w:w w:val="110"/>
          <w:sz w:val="18"/>
        </w:rPr>
        <w:t>CV </w:t>
      </w:r>
      <w:r>
        <w:rPr>
          <w:color w:val="231F20"/>
          <w:w w:val="110"/>
          <w:sz w:val="18"/>
        </w:rPr>
        <w:t>and two </w:t>
      </w:r>
      <w:r>
        <w:rPr>
          <w:color w:val="231F20"/>
          <w:spacing w:val="2"/>
          <w:w w:val="110"/>
          <w:sz w:val="18"/>
        </w:rPr>
        <w:t>references</w:t>
      </w:r>
      <w:r>
        <w:rPr>
          <w:color w:val="231F20"/>
          <w:spacing w:val="9"/>
          <w:w w:val="110"/>
          <w:sz w:val="18"/>
        </w:rPr>
        <w:t> </w:t>
      </w:r>
      <w:r>
        <w:rPr>
          <w:color w:val="231F20"/>
          <w:w w:val="110"/>
          <w:sz w:val="18"/>
        </w:rPr>
        <w:t>–</w:t>
      </w:r>
      <w:r>
        <w:rPr>
          <w:color w:val="231F20"/>
          <w:spacing w:val="10"/>
          <w:w w:val="110"/>
          <w:sz w:val="18"/>
        </w:rPr>
        <w:t> </w:t>
      </w:r>
      <w:r>
        <w:rPr>
          <w:color w:val="231F20"/>
          <w:w w:val="110"/>
          <w:sz w:val="18"/>
        </w:rPr>
        <w:t>one</w:t>
      </w:r>
      <w:r>
        <w:rPr>
          <w:color w:val="231F20"/>
          <w:spacing w:val="9"/>
          <w:w w:val="110"/>
          <w:sz w:val="18"/>
        </w:rPr>
        <w:t> </w:t>
      </w:r>
      <w:r>
        <w:rPr>
          <w:color w:val="231F20"/>
          <w:spacing w:val="2"/>
          <w:w w:val="110"/>
          <w:sz w:val="18"/>
        </w:rPr>
        <w:t>from</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local</w:t>
      </w:r>
      <w:r>
        <w:rPr>
          <w:color w:val="231F20"/>
          <w:spacing w:val="10"/>
          <w:w w:val="110"/>
          <w:sz w:val="18"/>
        </w:rPr>
        <w:t> </w:t>
      </w:r>
      <w:r>
        <w:rPr>
          <w:color w:val="231F20"/>
          <w:w w:val="110"/>
          <w:sz w:val="18"/>
        </w:rPr>
        <w:t>church</w:t>
      </w:r>
      <w:r>
        <w:rPr>
          <w:color w:val="231F20"/>
          <w:spacing w:val="9"/>
          <w:w w:val="110"/>
          <w:sz w:val="18"/>
        </w:rPr>
        <w:t> </w:t>
      </w:r>
      <w:r>
        <w:rPr>
          <w:color w:val="231F20"/>
          <w:w w:val="110"/>
          <w:sz w:val="18"/>
        </w:rPr>
        <w:t>and</w:t>
      </w:r>
      <w:r>
        <w:rPr>
          <w:color w:val="231F20"/>
          <w:spacing w:val="10"/>
          <w:w w:val="110"/>
          <w:sz w:val="18"/>
        </w:rPr>
        <w:t> </w:t>
      </w:r>
      <w:r>
        <w:rPr>
          <w:color w:val="231F20"/>
          <w:w w:val="110"/>
          <w:sz w:val="18"/>
        </w:rPr>
        <w:t>one</w:t>
      </w:r>
      <w:r>
        <w:rPr>
          <w:color w:val="231F20"/>
          <w:spacing w:val="9"/>
          <w:w w:val="110"/>
          <w:sz w:val="18"/>
        </w:rPr>
        <w:t> </w:t>
      </w:r>
      <w:r>
        <w:rPr>
          <w:color w:val="231F20"/>
          <w:w w:val="110"/>
          <w:sz w:val="18"/>
        </w:rPr>
        <w:t>professional,</w:t>
      </w:r>
      <w:r>
        <w:rPr>
          <w:color w:val="231F20"/>
          <w:spacing w:val="10"/>
          <w:w w:val="110"/>
          <w:sz w:val="18"/>
        </w:rPr>
        <w:t> </w:t>
      </w:r>
      <w:r>
        <w:rPr>
          <w:color w:val="231F20"/>
          <w:w w:val="110"/>
          <w:sz w:val="18"/>
        </w:rPr>
        <w:t>for</w:t>
      </w:r>
      <w:r>
        <w:rPr>
          <w:color w:val="231F20"/>
          <w:spacing w:val="9"/>
          <w:w w:val="110"/>
          <w:sz w:val="18"/>
        </w:rPr>
        <w:t> </w:t>
      </w:r>
      <w:r>
        <w:rPr>
          <w:color w:val="231F20"/>
          <w:w w:val="110"/>
          <w:sz w:val="18"/>
        </w:rPr>
        <w:t>each</w:t>
      </w:r>
      <w:r>
        <w:rPr>
          <w:color w:val="231F20"/>
          <w:spacing w:val="10"/>
          <w:w w:val="110"/>
          <w:sz w:val="18"/>
        </w:rPr>
        <w:t> </w:t>
      </w:r>
      <w:r>
        <w:rPr>
          <w:color w:val="231F20"/>
          <w:w w:val="110"/>
          <w:sz w:val="18"/>
        </w:rPr>
        <w:t>nomination)</w:t>
      </w:r>
    </w:p>
    <w:p>
      <w:pPr>
        <w:pStyle w:val="BodyText"/>
        <w:spacing w:before="25"/>
        <w:ind w:left="1921"/>
      </w:pPr>
      <w:r>
        <w:rPr>
          <w:color w:val="231F20"/>
          <w:w w:val="110"/>
        </w:rPr>
        <w:t>to the Nominations Committee by the end of November.</w:t>
      </w:r>
    </w:p>
    <w:p>
      <w:pPr>
        <w:pStyle w:val="ListParagraph"/>
        <w:numPr>
          <w:ilvl w:val="0"/>
          <w:numId w:val="44"/>
        </w:numPr>
        <w:tabs>
          <w:tab w:pos="1921" w:val="left" w:leader="none"/>
          <w:tab w:pos="1922" w:val="left" w:leader="none"/>
        </w:tabs>
        <w:spacing w:line="218" w:lineRule="auto" w:before="20" w:after="0"/>
        <w:ind w:left="1921" w:right="1157" w:hanging="681"/>
        <w:jc w:val="left"/>
        <w:rPr>
          <w:sz w:val="18"/>
        </w:rPr>
      </w:pPr>
      <w:r>
        <w:rPr>
          <w:color w:val="231F20"/>
          <w:w w:val="110"/>
          <w:sz w:val="18"/>
        </w:rPr>
        <w:t>Nominations Committee take up references, review eligibility and discuss with the Trustees at their Spring</w:t>
      </w:r>
      <w:r>
        <w:rPr>
          <w:color w:val="231F20"/>
          <w:spacing w:val="5"/>
          <w:w w:val="110"/>
          <w:sz w:val="18"/>
        </w:rPr>
        <w:t> </w:t>
      </w:r>
      <w:r>
        <w:rPr>
          <w:color w:val="231F20"/>
          <w:w w:val="110"/>
          <w:sz w:val="18"/>
        </w:rPr>
        <w:t>meeting.</w:t>
      </w:r>
    </w:p>
    <w:p>
      <w:pPr>
        <w:pStyle w:val="ListParagraph"/>
        <w:numPr>
          <w:ilvl w:val="0"/>
          <w:numId w:val="44"/>
        </w:numPr>
        <w:tabs>
          <w:tab w:pos="1921" w:val="left" w:leader="none"/>
          <w:tab w:pos="1922" w:val="left" w:leader="none"/>
        </w:tabs>
        <w:spacing w:line="277" w:lineRule="exact" w:before="5" w:after="0"/>
        <w:ind w:left="1921" w:right="0" w:hanging="682"/>
        <w:jc w:val="left"/>
        <w:rPr>
          <w:sz w:val="18"/>
        </w:rPr>
      </w:pPr>
      <w:r>
        <w:rPr>
          <w:color w:val="231F20"/>
          <w:w w:val="110"/>
          <w:sz w:val="18"/>
        </w:rPr>
        <w:t>The Trustees may then interview</w:t>
      </w:r>
      <w:r>
        <w:rPr>
          <w:color w:val="231F20"/>
          <w:spacing w:val="8"/>
          <w:w w:val="110"/>
          <w:sz w:val="18"/>
        </w:rPr>
        <w:t> </w:t>
      </w:r>
      <w:r>
        <w:rPr>
          <w:color w:val="231F20"/>
          <w:w w:val="110"/>
          <w:sz w:val="18"/>
        </w:rPr>
        <w:t>candidates.</w:t>
      </w:r>
    </w:p>
    <w:p>
      <w:pPr>
        <w:pStyle w:val="ListParagraph"/>
        <w:numPr>
          <w:ilvl w:val="0"/>
          <w:numId w:val="44"/>
        </w:numPr>
        <w:tabs>
          <w:tab w:pos="1921" w:val="left" w:leader="none"/>
          <w:tab w:pos="1922" w:val="left" w:leader="none"/>
        </w:tabs>
        <w:spacing w:line="218" w:lineRule="auto" w:before="0" w:after="0"/>
        <w:ind w:left="1921" w:right="1367" w:hanging="681"/>
        <w:jc w:val="left"/>
        <w:rPr>
          <w:sz w:val="18"/>
        </w:rPr>
      </w:pPr>
      <w:r>
        <w:rPr>
          <w:color w:val="231F20"/>
          <w:w w:val="110"/>
          <w:sz w:val="18"/>
        </w:rPr>
        <w:t>Nominations Committee in agreement with the Trustees will nominate </w:t>
      </w:r>
      <w:r>
        <w:rPr>
          <w:color w:val="231F20"/>
          <w:spacing w:val="2"/>
          <w:w w:val="110"/>
          <w:sz w:val="18"/>
        </w:rPr>
        <w:t>preferred </w:t>
      </w:r>
      <w:r>
        <w:rPr>
          <w:color w:val="231F20"/>
          <w:w w:val="110"/>
          <w:sz w:val="18"/>
        </w:rPr>
        <w:t>candidates to the General Assembly for</w:t>
      </w:r>
      <w:r>
        <w:rPr>
          <w:color w:val="231F20"/>
          <w:spacing w:val="16"/>
          <w:w w:val="110"/>
          <w:sz w:val="18"/>
        </w:rPr>
        <w:t> </w:t>
      </w:r>
      <w:r>
        <w:rPr>
          <w:color w:val="231F20"/>
          <w:w w:val="110"/>
          <w:sz w:val="18"/>
        </w:rPr>
        <w:t>election.</w:t>
      </w:r>
    </w:p>
    <w:p>
      <w:pPr>
        <w:pStyle w:val="BodyText"/>
        <w:spacing w:before="11"/>
        <w:rPr>
          <w:sz w:val="22"/>
        </w:rPr>
      </w:pPr>
    </w:p>
    <w:p>
      <w:pPr>
        <w:pStyle w:val="ListParagraph"/>
        <w:numPr>
          <w:ilvl w:val="1"/>
          <w:numId w:val="42"/>
        </w:numPr>
        <w:tabs>
          <w:tab w:pos="1960" w:val="left" w:leader="none"/>
          <w:tab w:pos="1961" w:val="left" w:leader="none"/>
        </w:tabs>
        <w:spacing w:line="273" w:lineRule="auto" w:before="0" w:after="0"/>
        <w:ind w:left="1240" w:right="1207" w:hanging="1"/>
        <w:jc w:val="left"/>
        <w:rPr>
          <w:sz w:val="18"/>
        </w:rPr>
      </w:pPr>
      <w:r>
        <w:rPr>
          <w:color w:val="231F20"/>
          <w:w w:val="110"/>
          <w:sz w:val="18"/>
        </w:rPr>
        <w:t>On the occasion of the impending retirement of the </w:t>
      </w:r>
      <w:r>
        <w:rPr>
          <w:color w:val="231F20"/>
          <w:spacing w:val="2"/>
          <w:w w:val="110"/>
          <w:sz w:val="18"/>
        </w:rPr>
        <w:t>Honorary </w:t>
      </w:r>
      <w:r>
        <w:rPr>
          <w:color w:val="231F20"/>
          <w:w w:val="110"/>
          <w:sz w:val="18"/>
        </w:rPr>
        <w:t>Treasurer, Mission Council will advise Synods and ask for nominations to be provided to the General Assembly</w:t>
      </w:r>
      <w:r>
        <w:rPr>
          <w:color w:val="231F20"/>
          <w:spacing w:val="11"/>
          <w:w w:val="110"/>
          <w:sz w:val="18"/>
        </w:rPr>
        <w:t> </w:t>
      </w:r>
      <w:r>
        <w:rPr>
          <w:color w:val="231F20"/>
          <w:w w:val="110"/>
          <w:sz w:val="18"/>
        </w:rPr>
        <w:t>appointment</w:t>
      </w:r>
      <w:r>
        <w:rPr>
          <w:color w:val="231F20"/>
          <w:spacing w:val="11"/>
          <w:w w:val="110"/>
          <w:sz w:val="18"/>
        </w:rPr>
        <w:t> </w:t>
      </w:r>
      <w:r>
        <w:rPr>
          <w:color w:val="231F20"/>
          <w:w w:val="110"/>
          <w:sz w:val="18"/>
        </w:rPr>
        <w:t>group</w:t>
      </w:r>
      <w:r>
        <w:rPr>
          <w:color w:val="231F20"/>
          <w:spacing w:val="11"/>
          <w:w w:val="110"/>
          <w:sz w:val="18"/>
        </w:rPr>
        <w:t> </w:t>
      </w:r>
      <w:r>
        <w:rPr>
          <w:color w:val="231F20"/>
          <w:w w:val="110"/>
          <w:sz w:val="18"/>
        </w:rPr>
        <w:t>who</w:t>
      </w:r>
      <w:r>
        <w:rPr>
          <w:color w:val="231F20"/>
          <w:spacing w:val="11"/>
          <w:w w:val="110"/>
          <w:sz w:val="18"/>
        </w:rPr>
        <w:t> </w:t>
      </w:r>
      <w:r>
        <w:rPr>
          <w:color w:val="231F20"/>
          <w:w w:val="110"/>
          <w:sz w:val="18"/>
        </w:rPr>
        <w:t>will</w:t>
      </w:r>
      <w:r>
        <w:rPr>
          <w:color w:val="231F20"/>
          <w:spacing w:val="11"/>
          <w:w w:val="110"/>
          <w:sz w:val="18"/>
        </w:rPr>
        <w:t> </w:t>
      </w:r>
      <w:r>
        <w:rPr>
          <w:color w:val="231F20"/>
          <w:w w:val="110"/>
          <w:sz w:val="18"/>
        </w:rPr>
        <w:t>follow</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above</w:t>
      </w:r>
      <w:r>
        <w:rPr>
          <w:color w:val="231F20"/>
          <w:spacing w:val="11"/>
          <w:w w:val="110"/>
          <w:sz w:val="18"/>
        </w:rPr>
        <w:t> </w:t>
      </w:r>
      <w:r>
        <w:rPr>
          <w:color w:val="231F20"/>
          <w:w w:val="110"/>
          <w:sz w:val="18"/>
        </w:rPr>
        <w:t>procedure</w:t>
      </w:r>
      <w:r>
        <w:rPr>
          <w:color w:val="231F20"/>
          <w:spacing w:val="12"/>
          <w:w w:val="110"/>
          <w:sz w:val="18"/>
        </w:rPr>
        <w:t> </w:t>
      </w:r>
      <w:r>
        <w:rPr>
          <w:color w:val="231F20"/>
          <w:w w:val="110"/>
          <w:sz w:val="18"/>
        </w:rPr>
        <w:t>as</w:t>
      </w:r>
      <w:r>
        <w:rPr>
          <w:color w:val="231F20"/>
          <w:spacing w:val="11"/>
          <w:w w:val="110"/>
          <w:sz w:val="18"/>
        </w:rPr>
        <w:t> </w:t>
      </w:r>
      <w:r>
        <w:rPr>
          <w:color w:val="231F20"/>
          <w:spacing w:val="2"/>
          <w:w w:val="110"/>
          <w:sz w:val="18"/>
        </w:rPr>
        <w:t>part</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its</w:t>
      </w:r>
      <w:r>
        <w:rPr>
          <w:color w:val="231F20"/>
          <w:spacing w:val="11"/>
          <w:w w:val="110"/>
          <w:sz w:val="18"/>
        </w:rPr>
        <w:t> </w:t>
      </w:r>
      <w:r>
        <w:rPr>
          <w:color w:val="231F20"/>
          <w:spacing w:val="2"/>
          <w:w w:val="110"/>
          <w:sz w:val="18"/>
        </w:rPr>
        <w:t>process.</w:t>
      </w:r>
    </w:p>
    <w:p>
      <w:pPr>
        <w:pStyle w:val="BodyText"/>
        <w:spacing w:before="9"/>
        <w:rPr>
          <w:sz w:val="20"/>
        </w:rPr>
      </w:pPr>
    </w:p>
    <w:p>
      <w:pPr>
        <w:pStyle w:val="ListParagraph"/>
        <w:numPr>
          <w:ilvl w:val="1"/>
          <w:numId w:val="42"/>
        </w:numPr>
        <w:tabs>
          <w:tab w:pos="1960" w:val="left" w:leader="none"/>
          <w:tab w:pos="1961" w:val="left" w:leader="none"/>
        </w:tabs>
        <w:spacing w:line="273" w:lineRule="auto" w:before="0" w:after="0"/>
        <w:ind w:left="1240" w:right="1235" w:firstLine="0"/>
        <w:jc w:val="left"/>
        <w:rPr>
          <w:sz w:val="18"/>
        </w:rPr>
      </w:pPr>
      <w:r>
        <w:rPr>
          <w:color w:val="231F20"/>
          <w:w w:val="110"/>
          <w:sz w:val="18"/>
        </w:rPr>
        <w:t>The Trustees will </w:t>
      </w:r>
      <w:r>
        <w:rPr>
          <w:color w:val="231F20"/>
          <w:spacing w:val="2"/>
          <w:w w:val="110"/>
          <w:sz w:val="18"/>
        </w:rPr>
        <w:t>elect </w:t>
      </w:r>
      <w:r>
        <w:rPr>
          <w:color w:val="231F20"/>
          <w:w w:val="110"/>
          <w:sz w:val="18"/>
        </w:rPr>
        <w:t>one of their Synod nominated </w:t>
      </w:r>
      <w:r>
        <w:rPr>
          <w:color w:val="231F20"/>
          <w:spacing w:val="2"/>
          <w:w w:val="110"/>
          <w:sz w:val="18"/>
        </w:rPr>
        <w:t>members </w:t>
      </w:r>
      <w:r>
        <w:rPr>
          <w:color w:val="231F20"/>
          <w:w w:val="110"/>
          <w:sz w:val="18"/>
        </w:rPr>
        <w:t>as Chairperson who will </w:t>
      </w:r>
      <w:r>
        <w:rPr>
          <w:color w:val="231F20"/>
          <w:spacing w:val="2"/>
          <w:w w:val="110"/>
          <w:sz w:val="18"/>
        </w:rPr>
        <w:t>act </w:t>
      </w:r>
      <w:r>
        <w:rPr>
          <w:color w:val="231F20"/>
          <w:w w:val="110"/>
          <w:sz w:val="18"/>
        </w:rPr>
        <w:t>as a facilitator and </w:t>
      </w:r>
      <w:r>
        <w:rPr>
          <w:color w:val="231F20"/>
          <w:spacing w:val="2"/>
          <w:w w:val="110"/>
          <w:sz w:val="18"/>
        </w:rPr>
        <w:t>serve </w:t>
      </w:r>
      <w:r>
        <w:rPr>
          <w:color w:val="231F20"/>
          <w:w w:val="110"/>
          <w:sz w:val="18"/>
        </w:rPr>
        <w:t>the </w:t>
      </w:r>
      <w:r>
        <w:rPr>
          <w:color w:val="231F20"/>
          <w:spacing w:val="2"/>
          <w:w w:val="110"/>
          <w:sz w:val="18"/>
        </w:rPr>
        <w:t>office </w:t>
      </w:r>
      <w:r>
        <w:rPr>
          <w:color w:val="231F20"/>
          <w:w w:val="110"/>
          <w:sz w:val="18"/>
        </w:rPr>
        <w:t>of Chairperson. His/her term of </w:t>
      </w:r>
      <w:r>
        <w:rPr>
          <w:color w:val="231F20"/>
          <w:spacing w:val="2"/>
          <w:w w:val="110"/>
          <w:sz w:val="18"/>
        </w:rPr>
        <w:t>service </w:t>
      </w:r>
      <w:r>
        <w:rPr>
          <w:color w:val="231F20"/>
          <w:w w:val="110"/>
          <w:sz w:val="18"/>
        </w:rPr>
        <w:t>as a Trustee may be </w:t>
      </w:r>
      <w:r>
        <w:rPr>
          <w:color w:val="231F20"/>
          <w:spacing w:val="2"/>
          <w:w w:val="110"/>
          <w:sz w:val="18"/>
        </w:rPr>
        <w:t>extended </w:t>
      </w:r>
      <w:r>
        <w:rPr>
          <w:color w:val="231F20"/>
          <w:w w:val="110"/>
          <w:sz w:val="18"/>
        </w:rPr>
        <w:t>by up to two years if </w:t>
      </w:r>
      <w:r>
        <w:rPr>
          <w:color w:val="231F20"/>
          <w:spacing w:val="2"/>
          <w:w w:val="110"/>
          <w:sz w:val="18"/>
        </w:rPr>
        <w:t>necessary </w:t>
      </w:r>
      <w:r>
        <w:rPr>
          <w:color w:val="231F20"/>
          <w:w w:val="110"/>
          <w:sz w:val="18"/>
        </w:rPr>
        <w:t>to provide continuity of Chairperson in which </w:t>
      </w:r>
      <w:r>
        <w:rPr>
          <w:color w:val="231F20"/>
          <w:spacing w:val="2"/>
          <w:w w:val="110"/>
          <w:sz w:val="18"/>
        </w:rPr>
        <w:t>case </w:t>
      </w:r>
      <w:r>
        <w:rPr>
          <w:color w:val="231F20"/>
          <w:w w:val="110"/>
          <w:sz w:val="18"/>
        </w:rPr>
        <w:t>he/she would be an additional Trustee so that the normal </w:t>
      </w:r>
      <w:r>
        <w:rPr>
          <w:color w:val="231F20"/>
          <w:spacing w:val="2"/>
          <w:w w:val="110"/>
          <w:sz w:val="18"/>
        </w:rPr>
        <w:t>pattern </w:t>
      </w:r>
      <w:r>
        <w:rPr>
          <w:color w:val="231F20"/>
          <w:w w:val="110"/>
          <w:sz w:val="18"/>
        </w:rPr>
        <w:t>of rotation of Trustees is maintained. The appointment, and any extension of </w:t>
      </w:r>
      <w:r>
        <w:rPr>
          <w:color w:val="231F20"/>
          <w:spacing w:val="2"/>
          <w:w w:val="110"/>
          <w:sz w:val="18"/>
        </w:rPr>
        <w:t>service, </w:t>
      </w:r>
      <w:r>
        <w:rPr>
          <w:color w:val="231F20"/>
          <w:w w:val="110"/>
          <w:sz w:val="18"/>
        </w:rPr>
        <w:t>will be </w:t>
      </w:r>
      <w:r>
        <w:rPr>
          <w:color w:val="231F20"/>
          <w:spacing w:val="2"/>
          <w:w w:val="110"/>
          <w:sz w:val="18"/>
        </w:rPr>
        <w:t>endorsed </w:t>
      </w:r>
      <w:r>
        <w:rPr>
          <w:color w:val="231F20"/>
          <w:w w:val="110"/>
          <w:sz w:val="18"/>
        </w:rPr>
        <w:t>by Mission Council. </w:t>
      </w:r>
      <w:r>
        <w:rPr>
          <w:color w:val="231F20"/>
          <w:spacing w:val="2"/>
          <w:w w:val="110"/>
          <w:sz w:val="18"/>
        </w:rPr>
        <w:t>After </w:t>
      </w:r>
      <w:r>
        <w:rPr>
          <w:color w:val="231F20"/>
          <w:w w:val="110"/>
          <w:sz w:val="18"/>
        </w:rPr>
        <w:t>the term of </w:t>
      </w:r>
      <w:r>
        <w:rPr>
          <w:color w:val="231F20"/>
          <w:spacing w:val="2"/>
          <w:w w:val="110"/>
          <w:sz w:val="18"/>
        </w:rPr>
        <w:t>service, </w:t>
      </w:r>
      <w:r>
        <w:rPr>
          <w:color w:val="231F20"/>
          <w:w w:val="110"/>
          <w:sz w:val="18"/>
        </w:rPr>
        <w:t>the Chairperson must stand down for a minimum of two</w:t>
      </w:r>
      <w:r>
        <w:rPr>
          <w:color w:val="231F20"/>
          <w:spacing w:val="13"/>
          <w:w w:val="110"/>
          <w:sz w:val="18"/>
        </w:rPr>
        <w:t> </w:t>
      </w:r>
      <w:r>
        <w:rPr>
          <w:color w:val="231F20"/>
          <w:w w:val="110"/>
          <w:sz w:val="18"/>
        </w:rPr>
        <w:t>years.</w:t>
      </w:r>
    </w:p>
    <w:p>
      <w:pPr>
        <w:spacing w:after="0" w:line="273" w:lineRule="auto"/>
        <w:jc w:val="left"/>
        <w:rPr>
          <w:sz w:val="18"/>
        </w:rPr>
        <w:sectPr>
          <w:footerReference w:type="default" r:id="rId94"/>
          <w:footerReference w:type="even" r:id="rId95"/>
          <w:pgSz w:w="11910" w:h="16840"/>
          <w:pgMar w:footer="544" w:header="581" w:top="860" w:bottom="740" w:left="460" w:right="0"/>
          <w:pgNumType w:start="81"/>
        </w:sectPr>
      </w:pPr>
    </w:p>
    <w:p>
      <w:pPr>
        <w:pStyle w:val="BodyText"/>
        <w:spacing w:before="10"/>
        <w:rPr>
          <w:sz w:val="11"/>
        </w:rPr>
      </w:pPr>
    </w:p>
    <w:p>
      <w:pPr>
        <w:pStyle w:val="ListParagraph"/>
        <w:numPr>
          <w:ilvl w:val="1"/>
          <w:numId w:val="42"/>
        </w:numPr>
        <w:tabs>
          <w:tab w:pos="1393" w:val="left" w:leader="none"/>
          <w:tab w:pos="1394" w:val="left" w:leader="none"/>
        </w:tabs>
        <w:spacing w:line="273" w:lineRule="auto" w:before="101" w:after="0"/>
        <w:ind w:left="673" w:right="1791" w:firstLine="0"/>
        <w:jc w:val="left"/>
        <w:rPr>
          <w:sz w:val="18"/>
        </w:rPr>
      </w:pPr>
      <w:r>
        <w:rPr>
          <w:color w:val="231F20"/>
          <w:w w:val="110"/>
          <w:sz w:val="18"/>
        </w:rPr>
        <w:t>If an </w:t>
      </w:r>
      <w:r>
        <w:rPr>
          <w:color w:val="231F20"/>
          <w:spacing w:val="2"/>
          <w:w w:val="110"/>
          <w:sz w:val="18"/>
        </w:rPr>
        <w:t>elected </w:t>
      </w:r>
      <w:r>
        <w:rPr>
          <w:color w:val="231F20"/>
          <w:w w:val="110"/>
          <w:sz w:val="18"/>
        </w:rPr>
        <w:t>Trustee is appointed </w:t>
      </w:r>
      <w:r>
        <w:rPr>
          <w:color w:val="231F20"/>
          <w:spacing w:val="2"/>
          <w:w w:val="110"/>
          <w:sz w:val="18"/>
        </w:rPr>
        <w:t>Honorary </w:t>
      </w:r>
      <w:r>
        <w:rPr>
          <w:color w:val="231F20"/>
          <w:w w:val="110"/>
          <w:sz w:val="18"/>
        </w:rPr>
        <w:t>Treasurer his/her term of </w:t>
      </w:r>
      <w:r>
        <w:rPr>
          <w:color w:val="231F20"/>
          <w:spacing w:val="2"/>
          <w:w w:val="110"/>
          <w:sz w:val="18"/>
        </w:rPr>
        <w:t>service  </w:t>
      </w:r>
      <w:r>
        <w:rPr>
          <w:color w:val="231F20"/>
          <w:w w:val="110"/>
          <w:sz w:val="18"/>
        </w:rPr>
        <w:t>may be </w:t>
      </w:r>
      <w:r>
        <w:rPr>
          <w:color w:val="231F20"/>
          <w:spacing w:val="2"/>
          <w:w w:val="110"/>
          <w:sz w:val="18"/>
        </w:rPr>
        <w:t>extended </w:t>
      </w:r>
      <w:r>
        <w:rPr>
          <w:color w:val="231F20"/>
          <w:w w:val="110"/>
          <w:sz w:val="18"/>
        </w:rPr>
        <w:t>by up to two years if </w:t>
      </w:r>
      <w:r>
        <w:rPr>
          <w:color w:val="231F20"/>
          <w:spacing w:val="2"/>
          <w:w w:val="110"/>
          <w:sz w:val="18"/>
        </w:rPr>
        <w:t>necessary </w:t>
      </w:r>
      <w:r>
        <w:rPr>
          <w:color w:val="231F20"/>
          <w:w w:val="110"/>
          <w:sz w:val="18"/>
        </w:rPr>
        <w:t>to provide continuity and in this event he/she would be an additional Trustee as</w:t>
      </w:r>
      <w:r>
        <w:rPr>
          <w:color w:val="231F20"/>
          <w:spacing w:val="12"/>
          <w:w w:val="110"/>
          <w:sz w:val="18"/>
        </w:rPr>
        <w:t> </w:t>
      </w:r>
      <w:r>
        <w:rPr>
          <w:color w:val="231F20"/>
          <w:w w:val="110"/>
          <w:sz w:val="18"/>
        </w:rPr>
        <w:t>aforesaid.</w:t>
      </w:r>
    </w:p>
    <w:p>
      <w:pPr>
        <w:pStyle w:val="BodyText"/>
        <w:spacing w:before="8"/>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Mission Council’s relationship to the</w:t>
      </w:r>
      <w:r>
        <w:rPr>
          <w:b/>
          <w:color w:val="231F20"/>
          <w:spacing w:val="5"/>
          <w:w w:val="110"/>
          <w:sz w:val="18"/>
        </w:rPr>
        <w:t> </w:t>
      </w:r>
      <w:r>
        <w:rPr>
          <w:b/>
          <w:color w:val="231F20"/>
          <w:w w:val="110"/>
          <w:sz w:val="18"/>
        </w:rPr>
        <w:t>Trustees</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876" w:firstLine="0"/>
        <w:jc w:val="left"/>
        <w:rPr>
          <w:sz w:val="18"/>
        </w:rPr>
      </w:pPr>
      <w:r>
        <w:rPr>
          <w:color w:val="231F20"/>
          <w:w w:val="110"/>
          <w:sz w:val="18"/>
        </w:rPr>
        <w:t>Mission Council is the standing representative body entrusted with the general </w:t>
      </w:r>
      <w:r>
        <w:rPr>
          <w:color w:val="231F20"/>
          <w:spacing w:val="2"/>
          <w:w w:val="110"/>
          <w:sz w:val="18"/>
        </w:rPr>
        <w:t>care </w:t>
      </w:r>
      <w:r>
        <w:rPr>
          <w:color w:val="231F20"/>
          <w:w w:val="110"/>
          <w:sz w:val="18"/>
        </w:rPr>
        <w:t>of the spiritual and ecclesiastical </w:t>
      </w:r>
      <w:r>
        <w:rPr>
          <w:color w:val="231F20"/>
          <w:spacing w:val="2"/>
          <w:w w:val="110"/>
          <w:sz w:val="18"/>
        </w:rPr>
        <w:t>matters </w:t>
      </w:r>
      <w:r>
        <w:rPr>
          <w:color w:val="231F20"/>
          <w:w w:val="110"/>
          <w:sz w:val="18"/>
        </w:rPr>
        <w:t>of the United Reformed Church. Mission Council is responsible for ensuring that policy, directions and resolutions of General Assembly</w:t>
      </w:r>
      <w:r>
        <w:rPr>
          <w:color w:val="231F20"/>
          <w:spacing w:val="9"/>
          <w:w w:val="110"/>
          <w:sz w:val="18"/>
        </w:rPr>
        <w:t> </w:t>
      </w:r>
      <w:r>
        <w:rPr>
          <w:color w:val="231F20"/>
          <w:w w:val="110"/>
          <w:sz w:val="18"/>
        </w:rPr>
        <w:t>are</w:t>
      </w:r>
      <w:r>
        <w:rPr>
          <w:color w:val="231F20"/>
          <w:spacing w:val="9"/>
          <w:w w:val="110"/>
          <w:sz w:val="18"/>
        </w:rPr>
        <w:t> </w:t>
      </w:r>
      <w:r>
        <w:rPr>
          <w:color w:val="231F20"/>
          <w:spacing w:val="2"/>
          <w:w w:val="110"/>
          <w:sz w:val="18"/>
        </w:rPr>
        <w:t>carried</w:t>
      </w:r>
      <w:r>
        <w:rPr>
          <w:color w:val="231F20"/>
          <w:spacing w:val="9"/>
          <w:w w:val="110"/>
          <w:sz w:val="18"/>
        </w:rPr>
        <w:t> </w:t>
      </w:r>
      <w:r>
        <w:rPr>
          <w:color w:val="231F20"/>
          <w:w w:val="110"/>
          <w:sz w:val="18"/>
        </w:rPr>
        <w:t>out</w:t>
      </w:r>
      <w:r>
        <w:rPr>
          <w:color w:val="231F20"/>
          <w:spacing w:val="9"/>
          <w:w w:val="110"/>
          <w:sz w:val="18"/>
        </w:rPr>
        <w:t> </w:t>
      </w:r>
      <w:r>
        <w:rPr>
          <w:color w:val="231F20"/>
          <w:w w:val="110"/>
          <w:sz w:val="18"/>
        </w:rPr>
        <w:t>and</w:t>
      </w:r>
      <w:r>
        <w:rPr>
          <w:color w:val="231F20"/>
          <w:spacing w:val="9"/>
          <w:w w:val="110"/>
          <w:sz w:val="18"/>
        </w:rPr>
        <w:t> </w:t>
      </w:r>
      <w:r>
        <w:rPr>
          <w:color w:val="231F20"/>
          <w:w w:val="110"/>
          <w:sz w:val="18"/>
        </w:rPr>
        <w:t>for</w:t>
      </w:r>
      <w:r>
        <w:rPr>
          <w:color w:val="231F20"/>
          <w:spacing w:val="9"/>
          <w:w w:val="110"/>
          <w:sz w:val="18"/>
        </w:rPr>
        <w:t> </w:t>
      </w:r>
      <w:r>
        <w:rPr>
          <w:color w:val="231F20"/>
          <w:w w:val="110"/>
          <w:sz w:val="18"/>
        </w:rPr>
        <w:t>implementing</w:t>
      </w:r>
      <w:r>
        <w:rPr>
          <w:color w:val="231F20"/>
          <w:spacing w:val="9"/>
          <w:w w:val="110"/>
          <w:sz w:val="18"/>
        </w:rPr>
        <w:t> </w:t>
      </w:r>
      <w:r>
        <w:rPr>
          <w:color w:val="231F20"/>
          <w:w w:val="110"/>
          <w:sz w:val="18"/>
        </w:rPr>
        <w:t>policy</w:t>
      </w:r>
      <w:r>
        <w:rPr>
          <w:color w:val="231F20"/>
          <w:spacing w:val="9"/>
          <w:w w:val="110"/>
          <w:sz w:val="18"/>
        </w:rPr>
        <w:t> </w:t>
      </w:r>
      <w:r>
        <w:rPr>
          <w:color w:val="231F20"/>
          <w:w w:val="110"/>
          <w:sz w:val="18"/>
        </w:rPr>
        <w:t>and</w:t>
      </w:r>
      <w:r>
        <w:rPr>
          <w:color w:val="231F20"/>
          <w:spacing w:val="9"/>
          <w:w w:val="110"/>
          <w:sz w:val="18"/>
        </w:rPr>
        <w:t> </w:t>
      </w:r>
      <w:r>
        <w:rPr>
          <w:color w:val="231F20"/>
          <w:w w:val="110"/>
          <w:sz w:val="18"/>
        </w:rPr>
        <w:t>determining</w:t>
      </w:r>
      <w:r>
        <w:rPr>
          <w:color w:val="231F20"/>
          <w:spacing w:val="9"/>
          <w:w w:val="110"/>
          <w:sz w:val="18"/>
        </w:rPr>
        <w:t> </w:t>
      </w:r>
      <w:r>
        <w:rPr>
          <w:color w:val="231F20"/>
          <w:w w:val="110"/>
          <w:sz w:val="18"/>
        </w:rPr>
        <w:t>priorities</w:t>
      </w:r>
      <w:r>
        <w:rPr>
          <w:color w:val="231F20"/>
          <w:spacing w:val="9"/>
          <w:w w:val="110"/>
          <w:sz w:val="18"/>
        </w:rPr>
        <w:t> </w:t>
      </w:r>
      <w:r>
        <w:rPr>
          <w:color w:val="231F20"/>
          <w:w w:val="110"/>
          <w:sz w:val="18"/>
        </w:rPr>
        <w:t>in</w:t>
      </w:r>
    </w:p>
    <w:p>
      <w:pPr>
        <w:pStyle w:val="BodyText"/>
        <w:spacing w:line="273" w:lineRule="auto" w:before="2"/>
        <w:ind w:left="673" w:right="2061"/>
      </w:pPr>
      <w:r>
        <w:rPr>
          <w:color w:val="231F20"/>
          <w:w w:val="110"/>
        </w:rPr>
        <w:t>the conduct of the work of the United Reformed Church between meetings of General Assembly. Subject to these directions, the Trustees are responsible for the application  of the income and </w:t>
      </w:r>
      <w:r>
        <w:rPr>
          <w:color w:val="231F20"/>
          <w:spacing w:val="3"/>
          <w:w w:val="110"/>
        </w:rPr>
        <w:t>property </w:t>
      </w:r>
      <w:r>
        <w:rPr>
          <w:color w:val="231F20"/>
          <w:w w:val="110"/>
        </w:rPr>
        <w:t>of the United Reformed</w:t>
      </w:r>
      <w:r>
        <w:rPr>
          <w:color w:val="231F20"/>
          <w:spacing w:val="20"/>
          <w:w w:val="110"/>
        </w:rPr>
        <w:t> </w:t>
      </w:r>
      <w:r>
        <w:rPr>
          <w:color w:val="231F20"/>
          <w:w w:val="110"/>
        </w:rPr>
        <w:t>Church.</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Clerk</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989" w:firstLine="0"/>
        <w:jc w:val="left"/>
        <w:rPr>
          <w:sz w:val="18"/>
        </w:rPr>
      </w:pPr>
      <w:r>
        <w:rPr>
          <w:color w:val="231F20"/>
          <w:w w:val="110"/>
          <w:sz w:val="18"/>
        </w:rPr>
        <w:t>The Trustees at their first meeting </w:t>
      </w:r>
      <w:r>
        <w:rPr>
          <w:color w:val="231F20"/>
          <w:spacing w:val="2"/>
          <w:w w:val="110"/>
          <w:sz w:val="18"/>
        </w:rPr>
        <w:t>after </w:t>
      </w:r>
      <w:r>
        <w:rPr>
          <w:color w:val="231F20"/>
          <w:w w:val="110"/>
          <w:sz w:val="18"/>
        </w:rPr>
        <w:t>each General Assembly shall appoint a clerk who need not be a Trustee. In this </w:t>
      </w:r>
      <w:r>
        <w:rPr>
          <w:color w:val="231F20"/>
          <w:spacing w:val="2"/>
          <w:w w:val="110"/>
          <w:sz w:val="18"/>
        </w:rPr>
        <w:t>case </w:t>
      </w:r>
      <w:r>
        <w:rPr>
          <w:color w:val="231F20"/>
          <w:w w:val="110"/>
          <w:sz w:val="18"/>
        </w:rPr>
        <w:t>the clerk may attend all meetings and, with permission of the meeting, may speak but not</w:t>
      </w:r>
      <w:r>
        <w:rPr>
          <w:color w:val="231F20"/>
          <w:spacing w:val="20"/>
          <w:w w:val="110"/>
          <w:sz w:val="18"/>
        </w:rPr>
        <w:t> </w:t>
      </w:r>
      <w:r>
        <w:rPr>
          <w:color w:val="231F20"/>
          <w:w w:val="110"/>
          <w:sz w:val="18"/>
        </w:rPr>
        <w:t>vote.</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Holding Trustee</w:t>
      </w:r>
    </w:p>
    <w:p>
      <w:pPr>
        <w:pStyle w:val="BodyText"/>
        <w:spacing w:before="1"/>
        <w:rPr>
          <w:b/>
          <w:sz w:val="23"/>
        </w:rPr>
      </w:pPr>
    </w:p>
    <w:p>
      <w:pPr>
        <w:pStyle w:val="ListParagraph"/>
        <w:numPr>
          <w:ilvl w:val="1"/>
          <w:numId w:val="42"/>
        </w:numPr>
        <w:tabs>
          <w:tab w:pos="1394" w:val="left" w:leader="none"/>
        </w:tabs>
        <w:spacing w:line="273" w:lineRule="auto" w:before="1" w:after="0"/>
        <w:ind w:left="673" w:right="2609" w:firstLine="0"/>
        <w:jc w:val="both"/>
        <w:rPr>
          <w:sz w:val="18"/>
        </w:rPr>
      </w:pPr>
      <w:r>
        <w:rPr>
          <w:color w:val="231F20"/>
          <w:w w:val="110"/>
          <w:sz w:val="18"/>
        </w:rPr>
        <w:t>United Reformed Church Trust shall be the holding trustee of the general </w:t>
      </w:r>
      <w:r>
        <w:rPr>
          <w:color w:val="231F20"/>
          <w:spacing w:val="3"/>
          <w:w w:val="110"/>
          <w:sz w:val="18"/>
        </w:rPr>
        <w:t>property </w:t>
      </w:r>
      <w:r>
        <w:rPr>
          <w:color w:val="231F20"/>
          <w:w w:val="110"/>
          <w:sz w:val="18"/>
        </w:rPr>
        <w:t>of the United Reformed Church which the Trustees consider may more conveniently be held by that body than by the</w:t>
      </w:r>
      <w:r>
        <w:rPr>
          <w:color w:val="231F20"/>
          <w:spacing w:val="20"/>
          <w:w w:val="110"/>
          <w:sz w:val="18"/>
        </w:rPr>
        <w:t> </w:t>
      </w:r>
      <w:r>
        <w:rPr>
          <w:color w:val="231F20"/>
          <w:w w:val="110"/>
          <w:sz w:val="18"/>
        </w:rPr>
        <w:t>Trustees.</w:t>
      </w:r>
    </w:p>
    <w:p>
      <w:pPr>
        <w:pStyle w:val="BodyText"/>
        <w:spacing w:before="8"/>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Disqualification and removal of</w:t>
      </w:r>
      <w:r>
        <w:rPr>
          <w:b/>
          <w:color w:val="231F20"/>
          <w:spacing w:val="2"/>
          <w:w w:val="110"/>
          <w:sz w:val="18"/>
        </w:rPr>
        <w:t> trustees</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885" w:firstLine="0"/>
        <w:jc w:val="left"/>
        <w:rPr>
          <w:sz w:val="18"/>
        </w:rPr>
      </w:pPr>
      <w:r>
        <w:rPr>
          <w:color w:val="231F20"/>
          <w:w w:val="110"/>
          <w:sz w:val="18"/>
        </w:rPr>
        <w:t>Individuals who are disqualified for acting as </w:t>
      </w:r>
      <w:r>
        <w:rPr>
          <w:color w:val="231F20"/>
          <w:spacing w:val="2"/>
          <w:w w:val="110"/>
          <w:sz w:val="18"/>
        </w:rPr>
        <w:t>trustees </w:t>
      </w:r>
      <w:r>
        <w:rPr>
          <w:color w:val="231F20"/>
          <w:w w:val="110"/>
          <w:sz w:val="18"/>
        </w:rPr>
        <w:t>by </w:t>
      </w:r>
      <w:r>
        <w:rPr>
          <w:color w:val="231F20"/>
          <w:spacing w:val="2"/>
          <w:w w:val="110"/>
          <w:sz w:val="18"/>
        </w:rPr>
        <w:t>virtue </w:t>
      </w:r>
      <w:r>
        <w:rPr>
          <w:color w:val="231F20"/>
          <w:w w:val="110"/>
          <w:sz w:val="18"/>
        </w:rPr>
        <w:t>of the Charities </w:t>
      </w:r>
      <w:r>
        <w:rPr>
          <w:color w:val="231F20"/>
          <w:spacing w:val="2"/>
          <w:w w:val="110"/>
          <w:sz w:val="18"/>
        </w:rPr>
        <w:t>Act </w:t>
      </w:r>
      <w:r>
        <w:rPr>
          <w:color w:val="231F20"/>
          <w:spacing w:val="-4"/>
          <w:w w:val="110"/>
          <w:sz w:val="18"/>
        </w:rPr>
        <w:t>1993 </w:t>
      </w:r>
      <w:r>
        <w:rPr>
          <w:color w:val="231F20"/>
          <w:w w:val="110"/>
          <w:sz w:val="18"/>
        </w:rPr>
        <w:t>or the United Reformed Church </w:t>
      </w:r>
      <w:r>
        <w:rPr>
          <w:color w:val="231F20"/>
          <w:spacing w:val="3"/>
          <w:w w:val="110"/>
          <w:sz w:val="18"/>
        </w:rPr>
        <w:t>Acts </w:t>
      </w:r>
      <w:r>
        <w:rPr>
          <w:color w:val="231F20"/>
          <w:w w:val="110"/>
          <w:sz w:val="18"/>
        </w:rPr>
        <w:t>of </w:t>
      </w:r>
      <w:r>
        <w:rPr>
          <w:color w:val="231F20"/>
          <w:spacing w:val="-4"/>
          <w:w w:val="110"/>
          <w:sz w:val="18"/>
        </w:rPr>
        <w:t>1972, 1981 </w:t>
      </w:r>
      <w:r>
        <w:rPr>
          <w:color w:val="231F20"/>
          <w:w w:val="110"/>
          <w:sz w:val="18"/>
        </w:rPr>
        <w:t>and 2000 shall not be able to</w:t>
      </w:r>
      <w:r>
        <w:rPr>
          <w:color w:val="231F20"/>
          <w:spacing w:val="6"/>
          <w:w w:val="110"/>
          <w:sz w:val="18"/>
        </w:rPr>
        <w:t> </w:t>
      </w:r>
      <w:r>
        <w:rPr>
          <w:color w:val="231F20"/>
          <w:w w:val="110"/>
          <w:sz w:val="18"/>
        </w:rPr>
        <w:t>take</w:t>
      </w:r>
      <w:r>
        <w:rPr>
          <w:color w:val="231F20"/>
          <w:spacing w:val="6"/>
          <w:w w:val="110"/>
          <w:sz w:val="18"/>
        </w:rPr>
        <w:t> </w:t>
      </w:r>
      <w:r>
        <w:rPr>
          <w:color w:val="231F20"/>
          <w:spacing w:val="2"/>
          <w:w w:val="110"/>
          <w:sz w:val="18"/>
        </w:rPr>
        <w:t>office</w:t>
      </w:r>
      <w:r>
        <w:rPr>
          <w:color w:val="231F20"/>
          <w:spacing w:val="7"/>
          <w:w w:val="110"/>
          <w:sz w:val="18"/>
        </w:rPr>
        <w:t> </w:t>
      </w:r>
      <w:r>
        <w:rPr>
          <w:color w:val="231F20"/>
          <w:w w:val="110"/>
          <w:sz w:val="18"/>
        </w:rPr>
        <w:t>as</w:t>
      </w:r>
      <w:r>
        <w:rPr>
          <w:color w:val="231F20"/>
          <w:spacing w:val="6"/>
          <w:w w:val="110"/>
          <w:sz w:val="18"/>
        </w:rPr>
        <w:t> </w:t>
      </w:r>
      <w:r>
        <w:rPr>
          <w:color w:val="231F20"/>
          <w:w w:val="110"/>
          <w:sz w:val="18"/>
        </w:rPr>
        <w:t>Trustee</w:t>
      </w:r>
      <w:r>
        <w:rPr>
          <w:color w:val="231F20"/>
          <w:spacing w:val="7"/>
          <w:w w:val="110"/>
          <w:sz w:val="18"/>
        </w:rPr>
        <w:t> </w:t>
      </w:r>
      <w:r>
        <w:rPr>
          <w:color w:val="231F20"/>
          <w:w w:val="110"/>
          <w:sz w:val="18"/>
        </w:rPr>
        <w:t>and</w:t>
      </w:r>
      <w:r>
        <w:rPr>
          <w:color w:val="231F20"/>
          <w:spacing w:val="6"/>
          <w:w w:val="110"/>
          <w:sz w:val="18"/>
        </w:rPr>
        <w:t> </w:t>
      </w:r>
      <w:r>
        <w:rPr>
          <w:color w:val="231F20"/>
          <w:w w:val="110"/>
          <w:sz w:val="18"/>
        </w:rPr>
        <w:t>if</w:t>
      </w:r>
      <w:r>
        <w:rPr>
          <w:color w:val="231F20"/>
          <w:spacing w:val="7"/>
          <w:w w:val="110"/>
          <w:sz w:val="18"/>
        </w:rPr>
        <w:t> </w:t>
      </w:r>
      <w:r>
        <w:rPr>
          <w:color w:val="231F20"/>
          <w:w w:val="110"/>
          <w:sz w:val="18"/>
        </w:rPr>
        <w:t>disqualified</w:t>
      </w:r>
      <w:r>
        <w:rPr>
          <w:color w:val="231F20"/>
          <w:spacing w:val="6"/>
          <w:w w:val="110"/>
          <w:sz w:val="18"/>
        </w:rPr>
        <w:t> </w:t>
      </w:r>
      <w:r>
        <w:rPr>
          <w:color w:val="231F20"/>
          <w:w w:val="110"/>
          <w:sz w:val="18"/>
        </w:rPr>
        <w:t>whilst</w:t>
      </w:r>
      <w:r>
        <w:rPr>
          <w:color w:val="231F20"/>
          <w:spacing w:val="7"/>
          <w:w w:val="110"/>
          <w:sz w:val="18"/>
        </w:rPr>
        <w:t> </w:t>
      </w:r>
      <w:r>
        <w:rPr>
          <w:color w:val="231F20"/>
          <w:w w:val="110"/>
          <w:sz w:val="18"/>
        </w:rPr>
        <w:t>a</w:t>
      </w:r>
      <w:r>
        <w:rPr>
          <w:color w:val="231F20"/>
          <w:spacing w:val="6"/>
          <w:w w:val="110"/>
          <w:sz w:val="18"/>
        </w:rPr>
        <w:t> </w:t>
      </w:r>
      <w:r>
        <w:rPr>
          <w:color w:val="231F20"/>
          <w:w w:val="110"/>
          <w:sz w:val="18"/>
        </w:rPr>
        <w:t>Trustee</w:t>
      </w:r>
      <w:r>
        <w:rPr>
          <w:color w:val="231F20"/>
          <w:spacing w:val="7"/>
          <w:w w:val="110"/>
          <w:sz w:val="18"/>
        </w:rPr>
        <w:t> </w:t>
      </w:r>
      <w:r>
        <w:rPr>
          <w:color w:val="231F20"/>
          <w:w w:val="110"/>
          <w:sz w:val="18"/>
        </w:rPr>
        <w:t>shall</w:t>
      </w:r>
      <w:r>
        <w:rPr>
          <w:color w:val="231F20"/>
          <w:spacing w:val="5"/>
          <w:w w:val="110"/>
          <w:sz w:val="18"/>
        </w:rPr>
        <w:t> </w:t>
      </w:r>
      <w:r>
        <w:rPr>
          <w:color w:val="231F20"/>
          <w:w w:val="110"/>
          <w:sz w:val="18"/>
        </w:rPr>
        <w:t>cease</w:t>
      </w:r>
      <w:r>
        <w:rPr>
          <w:color w:val="231F20"/>
          <w:spacing w:val="6"/>
          <w:w w:val="110"/>
          <w:sz w:val="18"/>
        </w:rPr>
        <w:t> </w:t>
      </w:r>
      <w:r>
        <w:rPr>
          <w:color w:val="231F20"/>
          <w:w w:val="110"/>
          <w:sz w:val="18"/>
        </w:rPr>
        <w:t>to</w:t>
      </w:r>
      <w:r>
        <w:rPr>
          <w:color w:val="231F20"/>
          <w:spacing w:val="7"/>
          <w:w w:val="110"/>
          <w:sz w:val="18"/>
        </w:rPr>
        <w:t> </w:t>
      </w:r>
      <w:r>
        <w:rPr>
          <w:color w:val="231F20"/>
          <w:w w:val="110"/>
          <w:sz w:val="18"/>
        </w:rPr>
        <w:t>hold</w:t>
      </w:r>
      <w:r>
        <w:rPr>
          <w:color w:val="231F20"/>
          <w:spacing w:val="6"/>
          <w:w w:val="110"/>
          <w:sz w:val="18"/>
        </w:rPr>
        <w:t> </w:t>
      </w:r>
      <w:r>
        <w:rPr>
          <w:color w:val="231F20"/>
          <w:w w:val="110"/>
          <w:sz w:val="18"/>
        </w:rPr>
        <w:t>office.</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The centrally-managed work of the United Reformed</w:t>
      </w:r>
      <w:r>
        <w:rPr>
          <w:b/>
          <w:color w:val="231F20"/>
          <w:spacing w:val="15"/>
          <w:w w:val="110"/>
          <w:sz w:val="18"/>
        </w:rPr>
        <w:t> </w:t>
      </w:r>
      <w:r>
        <w:rPr>
          <w:b/>
          <w:color w:val="231F20"/>
          <w:w w:val="110"/>
          <w:sz w:val="18"/>
        </w:rPr>
        <w:t>Church</w:t>
      </w:r>
    </w:p>
    <w:p>
      <w:pPr>
        <w:pStyle w:val="BodyText"/>
        <w:spacing w:before="1"/>
        <w:rPr>
          <w:b/>
          <w:sz w:val="23"/>
        </w:rPr>
      </w:pPr>
    </w:p>
    <w:p>
      <w:pPr>
        <w:pStyle w:val="ListParagraph"/>
        <w:numPr>
          <w:ilvl w:val="1"/>
          <w:numId w:val="42"/>
        </w:numPr>
        <w:tabs>
          <w:tab w:pos="1393" w:val="left" w:leader="none"/>
          <w:tab w:pos="1394" w:val="left" w:leader="none"/>
        </w:tabs>
        <w:spacing w:line="273" w:lineRule="auto" w:before="0" w:after="0"/>
        <w:ind w:left="673" w:right="2035" w:firstLine="0"/>
        <w:jc w:val="left"/>
        <w:rPr>
          <w:sz w:val="18"/>
        </w:rPr>
      </w:pPr>
      <w:r>
        <w:rPr>
          <w:color w:val="231F20"/>
          <w:w w:val="110"/>
          <w:sz w:val="18"/>
        </w:rPr>
        <w:t>General Assembly </w:t>
      </w:r>
      <w:r>
        <w:rPr>
          <w:color w:val="231F20"/>
          <w:spacing w:val="2"/>
          <w:w w:val="110"/>
          <w:sz w:val="18"/>
        </w:rPr>
        <w:t>entrusts </w:t>
      </w:r>
      <w:r>
        <w:rPr>
          <w:color w:val="231F20"/>
          <w:w w:val="110"/>
          <w:sz w:val="18"/>
        </w:rPr>
        <w:t>to Mission Council the employment of </w:t>
      </w:r>
      <w:r>
        <w:rPr>
          <w:color w:val="231F20"/>
          <w:spacing w:val="3"/>
          <w:w w:val="110"/>
          <w:sz w:val="18"/>
        </w:rPr>
        <w:t>staff </w:t>
      </w:r>
      <w:r>
        <w:rPr>
          <w:color w:val="231F20"/>
          <w:w w:val="110"/>
          <w:sz w:val="18"/>
        </w:rPr>
        <w:t>and the control of </w:t>
      </w:r>
      <w:r>
        <w:rPr>
          <w:color w:val="231F20"/>
          <w:spacing w:val="2"/>
          <w:w w:val="110"/>
          <w:sz w:val="18"/>
        </w:rPr>
        <w:t>costs </w:t>
      </w:r>
      <w:r>
        <w:rPr>
          <w:color w:val="231F20"/>
          <w:w w:val="110"/>
          <w:sz w:val="18"/>
        </w:rPr>
        <w:t>within a budget agreed by the</w:t>
      </w:r>
      <w:r>
        <w:rPr>
          <w:color w:val="231F20"/>
          <w:spacing w:val="18"/>
          <w:w w:val="110"/>
          <w:sz w:val="18"/>
        </w:rPr>
        <w:t> </w:t>
      </w:r>
      <w:r>
        <w:rPr>
          <w:color w:val="231F20"/>
          <w:w w:val="110"/>
          <w:sz w:val="18"/>
        </w:rPr>
        <w:t>Trustees.</w:t>
      </w:r>
    </w:p>
    <w:p>
      <w:pPr>
        <w:pStyle w:val="BodyText"/>
        <w:spacing w:before="8"/>
        <w:rPr>
          <w:sz w:val="20"/>
        </w:rPr>
      </w:pPr>
    </w:p>
    <w:p>
      <w:pPr>
        <w:numPr>
          <w:ilvl w:val="0"/>
          <w:numId w:val="42"/>
        </w:numPr>
        <w:tabs>
          <w:tab w:pos="1393" w:val="left" w:leader="none"/>
          <w:tab w:pos="1394" w:val="left" w:leader="none"/>
        </w:tabs>
        <w:spacing w:before="1"/>
        <w:ind w:left="1393" w:right="0" w:hanging="721"/>
        <w:jc w:val="left"/>
        <w:rPr>
          <w:b/>
          <w:sz w:val="18"/>
        </w:rPr>
      </w:pPr>
      <w:r>
        <w:rPr>
          <w:b/>
          <w:color w:val="231F20"/>
          <w:w w:val="110"/>
          <w:sz w:val="18"/>
        </w:rPr>
        <w:t>Trustees not to be personally</w:t>
      </w:r>
      <w:r>
        <w:rPr>
          <w:b/>
          <w:color w:val="231F20"/>
          <w:spacing w:val="3"/>
          <w:w w:val="110"/>
          <w:sz w:val="18"/>
        </w:rPr>
        <w:t> </w:t>
      </w:r>
      <w:r>
        <w:rPr>
          <w:b/>
          <w:color w:val="231F20"/>
          <w:spacing w:val="2"/>
          <w:w w:val="110"/>
          <w:sz w:val="18"/>
        </w:rPr>
        <w:t>interested</w:t>
      </w:r>
    </w:p>
    <w:p>
      <w:pPr>
        <w:pStyle w:val="BodyText"/>
        <w:spacing w:before="1"/>
        <w:rPr>
          <w:b/>
          <w:sz w:val="23"/>
        </w:rPr>
      </w:pPr>
    </w:p>
    <w:p>
      <w:pPr>
        <w:pStyle w:val="ListParagraph"/>
        <w:numPr>
          <w:ilvl w:val="1"/>
          <w:numId w:val="42"/>
        </w:numPr>
        <w:tabs>
          <w:tab w:pos="1393" w:val="left" w:leader="none"/>
          <w:tab w:pos="1394" w:val="left" w:leader="none"/>
        </w:tabs>
        <w:spacing w:line="273" w:lineRule="auto" w:before="0" w:after="0"/>
        <w:ind w:left="673" w:right="1735" w:firstLine="0"/>
        <w:jc w:val="left"/>
        <w:rPr>
          <w:sz w:val="18"/>
        </w:rPr>
      </w:pPr>
      <w:r>
        <w:rPr>
          <w:color w:val="231F20"/>
          <w:w w:val="110"/>
          <w:sz w:val="18"/>
        </w:rPr>
        <w:t>No trustee shall acquire any interest in </w:t>
      </w:r>
      <w:r>
        <w:rPr>
          <w:color w:val="231F20"/>
          <w:spacing w:val="3"/>
          <w:w w:val="110"/>
          <w:sz w:val="18"/>
        </w:rPr>
        <w:t>property </w:t>
      </w:r>
      <w:r>
        <w:rPr>
          <w:color w:val="231F20"/>
          <w:w w:val="110"/>
          <w:sz w:val="18"/>
        </w:rPr>
        <w:t>belonging to the United  Reformed Church (otherwise than as a trustee) or receive remuneration or be interested (otherwise than as a trustee) in any </w:t>
      </w:r>
      <w:r>
        <w:rPr>
          <w:color w:val="231F20"/>
          <w:spacing w:val="2"/>
          <w:w w:val="110"/>
          <w:sz w:val="18"/>
        </w:rPr>
        <w:t>contract </w:t>
      </w:r>
      <w:r>
        <w:rPr>
          <w:color w:val="231F20"/>
          <w:w w:val="110"/>
          <w:sz w:val="18"/>
        </w:rPr>
        <w:t>entered into by the</w:t>
      </w:r>
      <w:r>
        <w:rPr>
          <w:color w:val="231F20"/>
          <w:spacing w:val="41"/>
          <w:w w:val="110"/>
          <w:sz w:val="18"/>
        </w:rPr>
        <w:t> </w:t>
      </w:r>
      <w:r>
        <w:rPr>
          <w:color w:val="231F20"/>
          <w:w w:val="110"/>
          <w:sz w:val="18"/>
        </w:rPr>
        <w:t>trustees.</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Repair and insurance</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811" w:firstLine="0"/>
        <w:jc w:val="left"/>
        <w:rPr>
          <w:sz w:val="18"/>
        </w:rPr>
      </w:pPr>
      <w:r>
        <w:rPr>
          <w:color w:val="231F20"/>
          <w:w w:val="110"/>
          <w:sz w:val="18"/>
        </w:rPr>
        <w:t>All buildings being general </w:t>
      </w:r>
      <w:r>
        <w:rPr>
          <w:color w:val="231F20"/>
          <w:spacing w:val="3"/>
          <w:w w:val="110"/>
          <w:sz w:val="18"/>
        </w:rPr>
        <w:t>property </w:t>
      </w:r>
      <w:r>
        <w:rPr>
          <w:color w:val="231F20"/>
          <w:w w:val="110"/>
          <w:sz w:val="18"/>
        </w:rPr>
        <w:t>of the United Reformed Church shall be kept in repair and shall be adequately insured, including third-party and accident insurance  as well as buildings and contents insurance. The </w:t>
      </w:r>
      <w:r>
        <w:rPr>
          <w:color w:val="231F20"/>
          <w:spacing w:val="2"/>
          <w:w w:val="110"/>
          <w:sz w:val="18"/>
        </w:rPr>
        <w:t>trustees </w:t>
      </w:r>
      <w:r>
        <w:rPr>
          <w:color w:val="231F20"/>
          <w:w w:val="110"/>
          <w:sz w:val="18"/>
        </w:rPr>
        <w:t>shall also insure suitably in </w:t>
      </w:r>
      <w:r>
        <w:rPr>
          <w:color w:val="231F20"/>
          <w:spacing w:val="3"/>
          <w:w w:val="110"/>
          <w:sz w:val="18"/>
        </w:rPr>
        <w:t>respect </w:t>
      </w:r>
      <w:r>
        <w:rPr>
          <w:color w:val="231F20"/>
          <w:w w:val="110"/>
          <w:sz w:val="18"/>
        </w:rPr>
        <w:t>of public liability and employer’s</w:t>
      </w:r>
      <w:r>
        <w:rPr>
          <w:color w:val="231F20"/>
          <w:spacing w:val="5"/>
          <w:w w:val="110"/>
          <w:sz w:val="18"/>
        </w:rPr>
        <w:t> </w:t>
      </w:r>
      <w:r>
        <w:rPr>
          <w:color w:val="231F20"/>
          <w:w w:val="110"/>
          <w:sz w:val="18"/>
        </w:rPr>
        <w:t>liability.</w:t>
      </w:r>
    </w:p>
    <w:p>
      <w:pPr>
        <w:pStyle w:val="BodyText"/>
        <w:spacing w:before="9"/>
        <w:rPr>
          <w:sz w:val="20"/>
        </w:rPr>
      </w:pPr>
    </w:p>
    <w:p>
      <w:pPr>
        <w:numPr>
          <w:ilvl w:val="0"/>
          <w:numId w:val="42"/>
        </w:numPr>
        <w:tabs>
          <w:tab w:pos="1393" w:val="left" w:leader="none"/>
          <w:tab w:pos="1394" w:val="left" w:leader="none"/>
        </w:tabs>
        <w:spacing w:before="0"/>
        <w:ind w:left="1393" w:right="0" w:hanging="721"/>
        <w:jc w:val="left"/>
        <w:rPr>
          <w:b/>
          <w:sz w:val="18"/>
        </w:rPr>
      </w:pPr>
      <w:r>
        <w:rPr>
          <w:b/>
          <w:color w:val="231F20"/>
          <w:w w:val="110"/>
          <w:sz w:val="18"/>
        </w:rPr>
        <w:t>Annual </w:t>
      </w:r>
      <w:r>
        <w:rPr>
          <w:b/>
          <w:color w:val="231F20"/>
          <w:spacing w:val="2"/>
          <w:w w:val="110"/>
          <w:sz w:val="18"/>
        </w:rPr>
        <w:t>Report </w:t>
      </w:r>
      <w:r>
        <w:rPr>
          <w:b/>
          <w:color w:val="231F20"/>
          <w:w w:val="110"/>
          <w:sz w:val="18"/>
        </w:rPr>
        <w:t>and</w:t>
      </w:r>
      <w:r>
        <w:rPr>
          <w:b/>
          <w:color w:val="231F20"/>
          <w:spacing w:val="-1"/>
          <w:w w:val="110"/>
          <w:sz w:val="18"/>
        </w:rPr>
        <w:t> </w:t>
      </w:r>
      <w:r>
        <w:rPr>
          <w:b/>
          <w:color w:val="231F20"/>
          <w:w w:val="110"/>
          <w:sz w:val="18"/>
        </w:rPr>
        <w:t>Accounts</w:t>
      </w:r>
    </w:p>
    <w:p>
      <w:pPr>
        <w:pStyle w:val="BodyText"/>
        <w:spacing w:before="2"/>
        <w:rPr>
          <w:b/>
          <w:sz w:val="23"/>
        </w:rPr>
      </w:pPr>
    </w:p>
    <w:p>
      <w:pPr>
        <w:pStyle w:val="ListParagraph"/>
        <w:numPr>
          <w:ilvl w:val="1"/>
          <w:numId w:val="42"/>
        </w:numPr>
        <w:tabs>
          <w:tab w:pos="1393" w:val="left" w:leader="none"/>
          <w:tab w:pos="1394" w:val="left" w:leader="none"/>
        </w:tabs>
        <w:spacing w:line="273" w:lineRule="auto" w:before="0" w:after="0"/>
        <w:ind w:left="673" w:right="1738" w:firstLine="0"/>
        <w:jc w:val="left"/>
        <w:rPr>
          <w:sz w:val="18"/>
        </w:rPr>
      </w:pPr>
      <w:r>
        <w:rPr>
          <w:color w:val="231F20"/>
          <w:w w:val="110"/>
          <w:sz w:val="18"/>
        </w:rPr>
        <w:t>The Trustees’ </w:t>
      </w:r>
      <w:r>
        <w:rPr>
          <w:color w:val="231F20"/>
          <w:spacing w:val="3"/>
          <w:w w:val="110"/>
          <w:sz w:val="18"/>
        </w:rPr>
        <w:t>report </w:t>
      </w:r>
      <w:r>
        <w:rPr>
          <w:color w:val="231F20"/>
          <w:w w:val="110"/>
          <w:sz w:val="18"/>
        </w:rPr>
        <w:t>and accounts shall be prepared on an annual basis and presented to General Assembly when it </w:t>
      </w:r>
      <w:r>
        <w:rPr>
          <w:color w:val="231F20"/>
          <w:spacing w:val="2"/>
          <w:w w:val="110"/>
          <w:sz w:val="18"/>
        </w:rPr>
        <w:t>meets </w:t>
      </w:r>
      <w:r>
        <w:rPr>
          <w:color w:val="231F20"/>
          <w:w w:val="110"/>
          <w:sz w:val="18"/>
        </w:rPr>
        <w:t>and to Mission Council in the intervening years. When General Assembly </w:t>
      </w:r>
      <w:r>
        <w:rPr>
          <w:color w:val="231F20"/>
          <w:spacing w:val="2"/>
          <w:w w:val="110"/>
          <w:sz w:val="18"/>
        </w:rPr>
        <w:t>meets </w:t>
      </w:r>
      <w:r>
        <w:rPr>
          <w:color w:val="231F20"/>
          <w:w w:val="110"/>
          <w:sz w:val="18"/>
        </w:rPr>
        <w:t>it will also be presented with the Trustees’ </w:t>
      </w:r>
      <w:r>
        <w:rPr>
          <w:color w:val="231F20"/>
          <w:spacing w:val="3"/>
          <w:w w:val="110"/>
          <w:sz w:val="18"/>
        </w:rPr>
        <w:t>report </w:t>
      </w:r>
      <w:r>
        <w:rPr>
          <w:color w:val="231F20"/>
          <w:w w:val="110"/>
          <w:sz w:val="18"/>
        </w:rPr>
        <w:t>and accounts for the intervening</w:t>
      </w:r>
      <w:r>
        <w:rPr>
          <w:color w:val="231F20"/>
          <w:spacing w:val="7"/>
          <w:w w:val="110"/>
          <w:sz w:val="18"/>
        </w:rPr>
        <w:t> </w:t>
      </w:r>
      <w:r>
        <w:rPr>
          <w:color w:val="231F20"/>
          <w:spacing w:val="-4"/>
          <w:w w:val="110"/>
          <w:sz w:val="18"/>
        </w:rPr>
        <w:t>year.</w:t>
      </w:r>
    </w:p>
    <w:p>
      <w:pPr>
        <w:spacing w:after="0" w:line="273" w:lineRule="auto"/>
        <w:jc w:val="left"/>
        <w:rPr>
          <w:sz w:val="18"/>
        </w:rPr>
        <w:sectPr>
          <w:pgSz w:w="11910" w:h="16840"/>
          <w:pgMar w:header="581" w:footer="544" w:top="860" w:bottom="740" w:left="460" w:right="0"/>
        </w:sectPr>
      </w:pPr>
    </w:p>
    <w:p>
      <w:pPr>
        <w:pStyle w:val="BodyText"/>
        <w:rPr>
          <w:sz w:val="20"/>
        </w:rPr>
      </w:pPr>
    </w:p>
    <w:p>
      <w:pPr>
        <w:pStyle w:val="BodyText"/>
        <w:spacing w:before="1"/>
        <w:rPr>
          <w:sz w:val="24"/>
        </w:rPr>
      </w:pPr>
    </w:p>
    <w:p>
      <w:pPr>
        <w:pStyle w:val="BodyText"/>
        <w:ind w:left="957"/>
        <w:rPr>
          <w:sz w:val="20"/>
        </w:rPr>
      </w:pPr>
      <w:r>
        <w:rPr>
          <w:sz w:val="20"/>
        </w:rPr>
        <w:pict>
          <v:group style="width:496.6pt;height:97.4pt;mso-position-horizontal-relative:char;mso-position-vertical-relative:line" coordorigin="0,0" coordsize="9932,1948">
            <v:rect style="position:absolute;left:302;top:440;width:4016;height:304" filled="true" fillcolor="#d8dadc" stroked="false">
              <v:fill type="solid"/>
            </v:rect>
            <v:rect style="position:absolute;left:302;top:114;width:159;height:326" filled="true" fillcolor="#d8dadc" stroked="false">
              <v:fill type="solid"/>
            </v:rect>
            <v:line style="position:absolute" from="303,108" to="4319,108" stroked="true" strokeweight=".6pt" strokecolor="#d8dadc">
              <v:stroke dashstyle="solid"/>
            </v:line>
            <v:rect style="position:absolute;left:3903;top:113;width:416;height:328" filled="true" fillcolor="#d8dadc" stroked="false">
              <v:fill type="solid"/>
            </v:rect>
            <v:rect style="position:absolute;left:460;top:113;width:3443;height:328" filled="true" fillcolor="#d8dadc" stroked="false">
              <v:fill type="solid"/>
            </v:rect>
            <v:shape style="position:absolute;left:0;top:48;width:9932;height:1899" type="#_x0000_t75" stroked="false">
              <v:imagedata r:id="rId96" o:title=""/>
            </v:shape>
            <v:shape style="position:absolute;left:416;top:0;width:3660;height:74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71"/>
                        <w:w w:val="111"/>
                        <w:sz w:val="43"/>
                      </w:rPr>
                      <w:t>O</w:t>
                    </w:r>
                    <w:r>
                      <w:rPr>
                        <w:b/>
                        <w:color w:val="231F20"/>
                        <w:spacing w:val="-132"/>
                        <w:w w:val="112"/>
                        <w:position w:val="-19"/>
                        <w:sz w:val="50"/>
                      </w:rPr>
                      <w:t>2</w:t>
                    </w:r>
                    <w:r>
                      <w:rPr>
                        <w:b/>
                        <w:color w:val="FFFFFF"/>
                        <w:spacing w:val="-283"/>
                        <w:w w:val="111"/>
                        <w:sz w:val="43"/>
                      </w:rPr>
                      <w:t>N</w:t>
                    </w:r>
                    <w:r>
                      <w:rPr>
                        <w:b/>
                        <w:color w:val="231F20"/>
                        <w:spacing w:val="-8"/>
                        <w:w w:val="112"/>
                        <w:position w:val="-19"/>
                        <w:sz w:val="50"/>
                      </w:rPr>
                      <w:t>3</w:t>
                    </w:r>
                  </w:p>
                </w:txbxContent>
              </v:textbox>
              <w10:wrap type="none"/>
            </v:shape>
            <v:shape style="position:absolute;left:6229;top:439;width:2634;height:241" type="#_x0000_t202" filled="false" stroked="false">
              <v:textbox inset="0,0,0,0">
                <w:txbxContent>
                  <w:p>
                    <w:pPr>
                      <w:spacing w:line="241" w:lineRule="exact" w:before="0"/>
                      <w:ind w:left="0" w:right="0" w:firstLine="0"/>
                      <w:jc w:val="left"/>
                      <w:rPr>
                        <w:b/>
                        <w:sz w:val="20"/>
                      </w:rPr>
                    </w:pPr>
                    <w:r>
                      <w:rPr>
                        <w:b/>
                        <w:color w:val="231F20"/>
                        <w:w w:val="110"/>
                        <w:sz w:val="20"/>
                      </w:rPr>
                      <w:t>Governing Document</w:t>
                    </w:r>
                  </w:p>
                </w:txbxContent>
              </v:textbox>
              <w10:wrap type="none"/>
            </v:shape>
            <v:shape style="position:absolute;left:283;top:958;width:8750;height:719" type="#_x0000_t202" filled="false" stroked="false">
              <v:textbox inset="0,0,0,0">
                <w:txbxContent>
                  <w:p>
                    <w:pPr>
                      <w:spacing w:line="273" w:lineRule="auto" w:before="0"/>
                      <w:ind w:left="0" w:right="0" w:firstLine="0"/>
                      <w:jc w:val="left"/>
                      <w:rPr>
                        <w:sz w:val="18"/>
                      </w:rPr>
                    </w:pPr>
                    <w:r>
                      <w:rPr>
                        <w:color w:val="231F20"/>
                        <w:w w:val="110"/>
                        <w:sz w:val="18"/>
                      </w:rPr>
                      <w:t>General Assembly adopts the Governing Document for the constitution of the body to take responsibility for and be accountable to the temporal authorities for its religious and other charitable work.</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7"/>
        <w:rPr>
          <w:sz w:val="24"/>
        </w:rPr>
      </w:pPr>
    </w:p>
    <w:p>
      <w:pPr>
        <w:spacing w:before="100"/>
        <w:ind w:left="3816" w:right="0" w:firstLine="0"/>
        <w:jc w:val="left"/>
        <w:rPr>
          <w:b/>
          <w:sz w:val="56"/>
        </w:rPr>
      </w:pPr>
      <w:r>
        <w:rPr>
          <w:b/>
          <w:color w:val="231F20"/>
          <w:sz w:val="56"/>
        </w:rPr>
        <w:t>Schedule of Trustees</w:t>
      </w:r>
    </w:p>
    <w:p>
      <w:pPr>
        <w:numPr>
          <w:ilvl w:val="2"/>
          <w:numId w:val="42"/>
        </w:numPr>
        <w:tabs>
          <w:tab w:pos="2557" w:val="left" w:leader="none"/>
        </w:tabs>
        <w:spacing w:before="202"/>
        <w:ind w:left="2556" w:right="0" w:hanging="353"/>
        <w:jc w:val="left"/>
        <w:rPr>
          <w:b/>
          <w:sz w:val="18"/>
        </w:rPr>
      </w:pPr>
      <w:r>
        <w:rPr>
          <w:b/>
          <w:color w:val="231F20"/>
          <w:w w:val="110"/>
          <w:sz w:val="18"/>
        </w:rPr>
        <w:t>Ex-officio</w:t>
      </w:r>
      <w:r>
        <w:rPr>
          <w:b/>
          <w:color w:val="231F20"/>
          <w:spacing w:val="1"/>
          <w:w w:val="110"/>
          <w:sz w:val="18"/>
        </w:rPr>
        <w:t> </w:t>
      </w:r>
      <w:r>
        <w:rPr>
          <w:b/>
          <w:color w:val="231F20"/>
          <w:w w:val="110"/>
          <w:sz w:val="18"/>
        </w:rPr>
        <w:t>Trustees</w:t>
      </w:r>
    </w:p>
    <w:p>
      <w:pPr>
        <w:pStyle w:val="BodyText"/>
        <w:spacing w:before="1"/>
        <w:rPr>
          <w:b/>
          <w:sz w:val="23"/>
        </w:rPr>
      </w:pPr>
    </w:p>
    <w:p>
      <w:pPr>
        <w:pStyle w:val="BodyText"/>
        <w:tabs>
          <w:tab w:pos="6280" w:val="left" w:leader="none"/>
        </w:tabs>
        <w:spacing w:before="1"/>
        <w:ind w:left="2204"/>
      </w:pPr>
      <w:r>
        <w:rPr>
          <w:color w:val="231F20"/>
          <w:w w:val="110"/>
        </w:rPr>
        <w:t>The Revd Dr</w:t>
      </w:r>
      <w:r>
        <w:rPr>
          <w:color w:val="231F20"/>
          <w:spacing w:val="27"/>
          <w:w w:val="110"/>
        </w:rPr>
        <w:t> </w:t>
      </w:r>
      <w:r>
        <w:rPr>
          <w:color w:val="231F20"/>
          <w:w w:val="110"/>
        </w:rPr>
        <w:t>Stephen</w:t>
      </w:r>
      <w:r>
        <w:rPr>
          <w:color w:val="231F20"/>
          <w:spacing w:val="9"/>
          <w:w w:val="110"/>
        </w:rPr>
        <w:t> </w:t>
      </w:r>
      <w:r>
        <w:rPr>
          <w:color w:val="231F20"/>
          <w:w w:val="110"/>
        </w:rPr>
        <w:t>Orchard</w:t>
        <w:tab/>
        <w:t>Moderator</w:t>
      </w:r>
    </w:p>
    <w:p>
      <w:pPr>
        <w:pStyle w:val="BodyText"/>
        <w:tabs>
          <w:tab w:pos="6280" w:val="left" w:leader="none"/>
        </w:tabs>
        <w:spacing w:before="31"/>
        <w:ind w:left="2204"/>
      </w:pPr>
      <w:r>
        <w:rPr>
          <w:color w:val="231F20"/>
          <w:w w:val="110"/>
        </w:rPr>
        <w:t>The Revd Dr</w:t>
      </w:r>
      <w:r>
        <w:rPr>
          <w:color w:val="231F20"/>
          <w:spacing w:val="20"/>
          <w:w w:val="110"/>
        </w:rPr>
        <w:t> </w:t>
      </w:r>
      <w:r>
        <w:rPr>
          <w:color w:val="231F20"/>
          <w:w w:val="110"/>
        </w:rPr>
        <w:t>David</w:t>
      </w:r>
      <w:r>
        <w:rPr>
          <w:color w:val="231F20"/>
          <w:spacing w:val="7"/>
          <w:w w:val="110"/>
        </w:rPr>
        <w:t> </w:t>
      </w:r>
      <w:r>
        <w:rPr>
          <w:color w:val="231F20"/>
          <w:w w:val="110"/>
        </w:rPr>
        <w:t>Cornick</w:t>
        <w:tab/>
        <w:t>General</w:t>
      </w:r>
      <w:r>
        <w:rPr>
          <w:color w:val="231F20"/>
          <w:spacing w:val="1"/>
          <w:w w:val="110"/>
        </w:rPr>
        <w:t> </w:t>
      </w:r>
      <w:r>
        <w:rPr>
          <w:color w:val="231F20"/>
          <w:spacing w:val="3"/>
          <w:w w:val="110"/>
        </w:rPr>
        <w:t>Secretary</w:t>
      </w:r>
    </w:p>
    <w:p>
      <w:pPr>
        <w:pStyle w:val="BodyText"/>
        <w:tabs>
          <w:tab w:pos="6280" w:val="left" w:leader="none"/>
        </w:tabs>
        <w:spacing w:before="31"/>
        <w:ind w:left="2204"/>
      </w:pPr>
      <w:r>
        <w:rPr>
          <w:color w:val="231F20"/>
          <w:w w:val="110"/>
        </w:rPr>
        <w:t>The Revd</w:t>
      </w:r>
      <w:r>
        <w:rPr>
          <w:color w:val="231F20"/>
          <w:spacing w:val="10"/>
          <w:w w:val="110"/>
        </w:rPr>
        <w:t> </w:t>
      </w:r>
      <w:r>
        <w:rPr>
          <w:color w:val="231F20"/>
          <w:w w:val="110"/>
        </w:rPr>
        <w:t>Ray</w:t>
      </w:r>
      <w:r>
        <w:rPr>
          <w:color w:val="231F20"/>
          <w:spacing w:val="5"/>
          <w:w w:val="110"/>
        </w:rPr>
        <w:t> </w:t>
      </w:r>
      <w:r>
        <w:rPr>
          <w:color w:val="231F20"/>
          <w:w w:val="110"/>
        </w:rPr>
        <w:t>Adams</w:t>
        <w:tab/>
        <w:t>Deputy General</w:t>
      </w:r>
      <w:r>
        <w:rPr>
          <w:color w:val="231F20"/>
          <w:spacing w:val="4"/>
          <w:w w:val="110"/>
        </w:rPr>
        <w:t> </w:t>
      </w:r>
      <w:r>
        <w:rPr>
          <w:color w:val="231F20"/>
          <w:spacing w:val="3"/>
          <w:w w:val="110"/>
        </w:rPr>
        <w:t>Secretary</w:t>
      </w:r>
    </w:p>
    <w:p>
      <w:pPr>
        <w:pStyle w:val="BodyText"/>
        <w:spacing w:before="2"/>
        <w:rPr>
          <w:sz w:val="23"/>
        </w:rPr>
      </w:pPr>
    </w:p>
    <w:tbl>
      <w:tblPr>
        <w:tblW w:w="0" w:type="auto"/>
        <w:jc w:val="left"/>
        <w:tblInd w:w="2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2"/>
        <w:gridCol w:w="2135"/>
        <w:gridCol w:w="1316"/>
      </w:tblGrid>
      <w:tr>
        <w:trPr>
          <w:trHeight w:val="609" w:hRule="atLeast"/>
        </w:trPr>
        <w:tc>
          <w:tcPr>
            <w:tcW w:w="4012" w:type="dxa"/>
          </w:tcPr>
          <w:p>
            <w:pPr>
              <w:pStyle w:val="TableParagraph"/>
              <w:ind w:left="50"/>
              <w:rPr>
                <w:rFonts w:ascii="Verdana"/>
                <w:b/>
                <w:sz w:val="18"/>
              </w:rPr>
            </w:pPr>
            <w:r>
              <w:rPr>
                <w:rFonts w:ascii="Verdana"/>
                <w:b/>
                <w:color w:val="231F20"/>
                <w:w w:val="110"/>
                <w:sz w:val="18"/>
              </w:rPr>
              <w:t>2. Trustees nominated by Synods</w:t>
            </w:r>
          </w:p>
        </w:tc>
        <w:tc>
          <w:tcPr>
            <w:tcW w:w="2135" w:type="dxa"/>
          </w:tcPr>
          <w:p>
            <w:pPr>
              <w:pStyle w:val="TableParagraph"/>
              <w:spacing w:before="6"/>
              <w:rPr>
                <w:rFonts w:ascii="Verdana"/>
                <w:sz w:val="20"/>
              </w:rPr>
            </w:pPr>
          </w:p>
          <w:p>
            <w:pPr>
              <w:pStyle w:val="TableParagraph"/>
              <w:spacing w:before="1"/>
              <w:ind w:left="114"/>
              <w:rPr>
                <w:rFonts w:ascii="Verdana"/>
                <w:sz w:val="18"/>
              </w:rPr>
            </w:pPr>
            <w:r>
              <w:rPr>
                <w:rFonts w:ascii="Verdana"/>
                <w:color w:val="231F20"/>
                <w:w w:val="110"/>
                <w:sz w:val="18"/>
              </w:rPr>
              <w:t>Synod</w:t>
            </w:r>
          </w:p>
        </w:tc>
        <w:tc>
          <w:tcPr>
            <w:tcW w:w="1316" w:type="dxa"/>
          </w:tcPr>
          <w:p>
            <w:pPr>
              <w:pStyle w:val="TableParagraph"/>
              <w:spacing w:before="6"/>
              <w:rPr>
                <w:rFonts w:ascii="Verdana"/>
                <w:sz w:val="20"/>
              </w:rPr>
            </w:pPr>
          </w:p>
          <w:p>
            <w:pPr>
              <w:pStyle w:val="TableParagraph"/>
              <w:spacing w:before="1"/>
              <w:ind w:left="131" w:right="40"/>
              <w:jc w:val="center"/>
              <w:rPr>
                <w:rFonts w:ascii="Verdana"/>
                <w:sz w:val="18"/>
              </w:rPr>
            </w:pPr>
            <w:r>
              <w:rPr>
                <w:rFonts w:ascii="Verdana"/>
                <w:color w:val="231F20"/>
                <w:w w:val="110"/>
                <w:sz w:val="18"/>
              </w:rPr>
              <w:t>Retirement</w:t>
            </w:r>
          </w:p>
        </w:tc>
      </w:tr>
      <w:tr>
        <w:trPr>
          <w:trHeight w:val="375" w:hRule="atLeast"/>
        </w:trPr>
        <w:tc>
          <w:tcPr>
            <w:tcW w:w="4012" w:type="dxa"/>
          </w:tcPr>
          <w:p>
            <w:pPr>
              <w:pStyle w:val="TableParagraph"/>
              <w:spacing w:line="214" w:lineRule="exact" w:before="140"/>
              <w:ind w:left="50"/>
              <w:rPr>
                <w:rFonts w:ascii="Verdana"/>
                <w:sz w:val="18"/>
              </w:rPr>
            </w:pPr>
            <w:r>
              <w:rPr>
                <w:rFonts w:ascii="Verdana"/>
                <w:color w:val="231F20"/>
                <w:w w:val="110"/>
                <w:sz w:val="18"/>
              </w:rPr>
              <w:t>Miss Joyce Bain</w:t>
            </w:r>
          </w:p>
        </w:tc>
        <w:tc>
          <w:tcPr>
            <w:tcW w:w="2135" w:type="dxa"/>
          </w:tcPr>
          <w:p>
            <w:pPr>
              <w:pStyle w:val="TableParagraph"/>
              <w:spacing w:line="214" w:lineRule="exact" w:before="140"/>
              <w:ind w:left="114"/>
              <w:rPr>
                <w:rFonts w:ascii="Verdana"/>
                <w:sz w:val="18"/>
              </w:rPr>
            </w:pPr>
            <w:r>
              <w:rPr>
                <w:rFonts w:ascii="Verdana"/>
                <w:color w:val="231F20"/>
                <w:w w:val="110"/>
                <w:sz w:val="18"/>
              </w:rPr>
              <w:t>Scotland</w:t>
            </w:r>
          </w:p>
        </w:tc>
        <w:tc>
          <w:tcPr>
            <w:tcW w:w="1316" w:type="dxa"/>
          </w:tcPr>
          <w:p>
            <w:pPr>
              <w:pStyle w:val="TableParagraph"/>
              <w:spacing w:line="214" w:lineRule="exact" w:before="140"/>
              <w:ind w:left="196" w:right="40"/>
              <w:jc w:val="center"/>
              <w:rPr>
                <w:rFonts w:ascii="Verdana"/>
                <w:sz w:val="18"/>
              </w:rPr>
            </w:pPr>
            <w:r>
              <w:rPr>
                <w:rFonts w:ascii="Verdana"/>
                <w:color w:val="231F20"/>
                <w:w w:val="110"/>
                <w:sz w:val="18"/>
              </w:rPr>
              <w:t>2010</w:t>
            </w:r>
          </w:p>
        </w:tc>
      </w:tr>
      <w:tr>
        <w:trPr>
          <w:trHeight w:val="250" w:hRule="atLeast"/>
        </w:trPr>
        <w:tc>
          <w:tcPr>
            <w:tcW w:w="4012" w:type="dxa"/>
          </w:tcPr>
          <w:p>
            <w:pPr>
              <w:pStyle w:val="TableParagraph"/>
              <w:spacing w:line="214" w:lineRule="exact" w:before="15"/>
              <w:ind w:left="50"/>
              <w:rPr>
                <w:rFonts w:ascii="Verdana"/>
                <w:sz w:val="18"/>
              </w:rPr>
            </w:pPr>
            <w:r>
              <w:rPr>
                <w:rFonts w:ascii="Verdana"/>
                <w:color w:val="231F20"/>
                <w:w w:val="110"/>
                <w:sz w:val="18"/>
              </w:rPr>
              <w:t>Dr David Robinson</w:t>
            </w:r>
          </w:p>
        </w:tc>
        <w:tc>
          <w:tcPr>
            <w:tcW w:w="2135" w:type="dxa"/>
          </w:tcPr>
          <w:p>
            <w:pPr>
              <w:pStyle w:val="TableParagraph"/>
              <w:spacing w:line="214" w:lineRule="exact" w:before="15"/>
              <w:ind w:left="114"/>
              <w:rPr>
                <w:rFonts w:ascii="Verdana"/>
                <w:sz w:val="18"/>
              </w:rPr>
            </w:pPr>
            <w:r>
              <w:rPr>
                <w:rFonts w:ascii="Verdana"/>
                <w:color w:val="231F20"/>
                <w:w w:val="110"/>
                <w:sz w:val="18"/>
              </w:rPr>
              <w:t>Yorkshire</w:t>
            </w:r>
          </w:p>
        </w:tc>
        <w:tc>
          <w:tcPr>
            <w:tcW w:w="1316" w:type="dxa"/>
          </w:tcPr>
          <w:p>
            <w:pPr>
              <w:pStyle w:val="TableParagraph"/>
              <w:spacing w:line="214" w:lineRule="exact" w:before="15"/>
              <w:ind w:left="193" w:right="40"/>
              <w:jc w:val="center"/>
              <w:rPr>
                <w:rFonts w:ascii="Verdana"/>
                <w:sz w:val="18"/>
              </w:rPr>
            </w:pPr>
            <w:r>
              <w:rPr>
                <w:rFonts w:ascii="Verdana"/>
                <w:color w:val="231F20"/>
                <w:w w:val="110"/>
                <w:sz w:val="18"/>
              </w:rPr>
              <w:t>2014</w:t>
            </w:r>
          </w:p>
        </w:tc>
      </w:tr>
      <w:tr>
        <w:trPr>
          <w:trHeight w:val="250" w:hRule="atLeast"/>
        </w:trPr>
        <w:tc>
          <w:tcPr>
            <w:tcW w:w="4012" w:type="dxa"/>
          </w:tcPr>
          <w:p>
            <w:pPr>
              <w:pStyle w:val="TableParagraph"/>
              <w:spacing w:line="214" w:lineRule="exact" w:before="15"/>
              <w:ind w:left="50"/>
              <w:rPr>
                <w:rFonts w:ascii="Verdana"/>
                <w:sz w:val="18"/>
              </w:rPr>
            </w:pPr>
            <w:r>
              <w:rPr>
                <w:rFonts w:ascii="Verdana"/>
                <w:color w:val="231F20"/>
                <w:w w:val="110"/>
                <w:sz w:val="18"/>
              </w:rPr>
              <w:t>Mr Alan Small</w:t>
            </w:r>
          </w:p>
        </w:tc>
        <w:tc>
          <w:tcPr>
            <w:tcW w:w="2135" w:type="dxa"/>
          </w:tcPr>
          <w:p>
            <w:pPr>
              <w:pStyle w:val="TableParagraph"/>
              <w:spacing w:line="214" w:lineRule="exact" w:before="15"/>
              <w:ind w:left="114"/>
              <w:rPr>
                <w:rFonts w:ascii="Verdana"/>
                <w:sz w:val="18"/>
              </w:rPr>
            </w:pPr>
            <w:r>
              <w:rPr>
                <w:rFonts w:ascii="Verdana"/>
                <w:color w:val="231F20"/>
                <w:w w:val="110"/>
                <w:sz w:val="18"/>
              </w:rPr>
              <w:t>Mersey</w:t>
            </w:r>
          </w:p>
        </w:tc>
        <w:tc>
          <w:tcPr>
            <w:tcW w:w="1316" w:type="dxa"/>
          </w:tcPr>
          <w:p>
            <w:pPr>
              <w:pStyle w:val="TableParagraph"/>
              <w:spacing w:line="214" w:lineRule="exact" w:before="15"/>
              <w:ind w:left="200" w:right="40"/>
              <w:jc w:val="center"/>
              <w:rPr>
                <w:rFonts w:ascii="Verdana"/>
                <w:sz w:val="18"/>
              </w:rPr>
            </w:pPr>
            <w:r>
              <w:rPr>
                <w:rFonts w:ascii="Verdana"/>
                <w:color w:val="231F20"/>
                <w:w w:val="110"/>
                <w:sz w:val="18"/>
              </w:rPr>
              <w:t>2012</w:t>
            </w:r>
          </w:p>
        </w:tc>
      </w:tr>
      <w:tr>
        <w:trPr>
          <w:trHeight w:val="375" w:hRule="atLeast"/>
        </w:trPr>
        <w:tc>
          <w:tcPr>
            <w:tcW w:w="4012" w:type="dxa"/>
          </w:tcPr>
          <w:p>
            <w:pPr>
              <w:pStyle w:val="TableParagraph"/>
              <w:spacing w:before="15"/>
              <w:ind w:left="50"/>
              <w:rPr>
                <w:rFonts w:ascii="Verdana"/>
                <w:sz w:val="18"/>
              </w:rPr>
            </w:pPr>
            <w:r>
              <w:rPr>
                <w:rFonts w:ascii="Verdana"/>
                <w:color w:val="231F20"/>
                <w:w w:val="110"/>
                <w:sz w:val="18"/>
              </w:rPr>
              <w:t>Dr Brian Woodhall</w:t>
            </w:r>
          </w:p>
        </w:tc>
        <w:tc>
          <w:tcPr>
            <w:tcW w:w="2135" w:type="dxa"/>
          </w:tcPr>
          <w:p>
            <w:pPr>
              <w:pStyle w:val="TableParagraph"/>
              <w:spacing w:before="15"/>
              <w:ind w:left="114"/>
              <w:rPr>
                <w:rFonts w:ascii="Verdana"/>
                <w:sz w:val="18"/>
              </w:rPr>
            </w:pPr>
            <w:r>
              <w:rPr>
                <w:rFonts w:ascii="Verdana"/>
                <w:color w:val="231F20"/>
                <w:w w:val="110"/>
                <w:sz w:val="18"/>
              </w:rPr>
              <w:t>North Western</w:t>
            </w:r>
          </w:p>
        </w:tc>
        <w:tc>
          <w:tcPr>
            <w:tcW w:w="1316" w:type="dxa"/>
          </w:tcPr>
          <w:p>
            <w:pPr>
              <w:pStyle w:val="TableParagraph"/>
              <w:spacing w:before="15"/>
              <w:ind w:left="196" w:right="40"/>
              <w:jc w:val="center"/>
              <w:rPr>
                <w:rFonts w:ascii="Verdana"/>
                <w:sz w:val="18"/>
              </w:rPr>
            </w:pPr>
            <w:r>
              <w:rPr>
                <w:rFonts w:ascii="Verdana"/>
                <w:color w:val="231F20"/>
                <w:w w:val="110"/>
                <w:sz w:val="18"/>
              </w:rPr>
              <w:t>2010</w:t>
            </w:r>
          </w:p>
        </w:tc>
      </w:tr>
      <w:tr>
        <w:trPr>
          <w:trHeight w:val="375" w:hRule="atLeast"/>
        </w:trPr>
        <w:tc>
          <w:tcPr>
            <w:tcW w:w="4012" w:type="dxa"/>
          </w:tcPr>
          <w:p>
            <w:pPr>
              <w:pStyle w:val="TableParagraph"/>
              <w:spacing w:line="214" w:lineRule="exact" w:before="140"/>
              <w:ind w:left="50"/>
              <w:rPr>
                <w:rFonts w:ascii="Verdana"/>
                <w:sz w:val="18"/>
              </w:rPr>
            </w:pPr>
            <w:r>
              <w:rPr>
                <w:rFonts w:ascii="Verdana"/>
                <w:color w:val="231F20"/>
                <w:w w:val="110"/>
                <w:sz w:val="18"/>
              </w:rPr>
              <w:t>Miss Rachel Greening</w:t>
            </w:r>
          </w:p>
        </w:tc>
        <w:tc>
          <w:tcPr>
            <w:tcW w:w="2135" w:type="dxa"/>
          </w:tcPr>
          <w:p>
            <w:pPr>
              <w:pStyle w:val="TableParagraph"/>
              <w:spacing w:line="214" w:lineRule="exact" w:before="140"/>
              <w:ind w:left="114"/>
              <w:rPr>
                <w:rFonts w:ascii="Verdana"/>
                <w:sz w:val="18"/>
              </w:rPr>
            </w:pPr>
            <w:r>
              <w:rPr>
                <w:rFonts w:ascii="Verdana"/>
                <w:color w:val="231F20"/>
                <w:w w:val="110"/>
                <w:sz w:val="18"/>
              </w:rPr>
              <w:t>West Midlands</w:t>
            </w:r>
          </w:p>
        </w:tc>
        <w:tc>
          <w:tcPr>
            <w:tcW w:w="1316" w:type="dxa"/>
          </w:tcPr>
          <w:p>
            <w:pPr>
              <w:pStyle w:val="TableParagraph"/>
              <w:spacing w:line="214" w:lineRule="exact" w:before="140"/>
              <w:ind w:left="193" w:right="40"/>
              <w:jc w:val="center"/>
              <w:rPr>
                <w:rFonts w:ascii="Verdana"/>
                <w:sz w:val="18"/>
              </w:rPr>
            </w:pPr>
            <w:r>
              <w:rPr>
                <w:rFonts w:ascii="Verdana"/>
                <w:color w:val="231F20"/>
                <w:w w:val="110"/>
                <w:sz w:val="18"/>
              </w:rPr>
              <w:t>2014</w:t>
            </w:r>
          </w:p>
        </w:tc>
      </w:tr>
      <w:tr>
        <w:trPr>
          <w:trHeight w:val="250" w:hRule="atLeast"/>
        </w:trPr>
        <w:tc>
          <w:tcPr>
            <w:tcW w:w="4012" w:type="dxa"/>
          </w:tcPr>
          <w:p>
            <w:pPr>
              <w:pStyle w:val="TableParagraph"/>
              <w:spacing w:line="214" w:lineRule="exact" w:before="15"/>
              <w:ind w:left="50"/>
              <w:rPr>
                <w:rFonts w:ascii="Verdana"/>
                <w:sz w:val="18"/>
              </w:rPr>
            </w:pPr>
            <w:r>
              <w:rPr>
                <w:rFonts w:ascii="Verdana"/>
                <w:color w:val="231F20"/>
                <w:w w:val="110"/>
                <w:sz w:val="18"/>
              </w:rPr>
              <w:t>Mr Ernest Gudgeon</w:t>
            </w:r>
          </w:p>
        </w:tc>
        <w:tc>
          <w:tcPr>
            <w:tcW w:w="2135" w:type="dxa"/>
          </w:tcPr>
          <w:p>
            <w:pPr>
              <w:pStyle w:val="TableParagraph"/>
              <w:spacing w:line="214" w:lineRule="exact" w:before="15"/>
              <w:ind w:left="114"/>
              <w:rPr>
                <w:rFonts w:ascii="Verdana"/>
                <w:sz w:val="18"/>
              </w:rPr>
            </w:pPr>
            <w:r>
              <w:rPr>
                <w:rFonts w:ascii="Verdana"/>
                <w:color w:val="231F20"/>
                <w:w w:val="110"/>
                <w:sz w:val="18"/>
              </w:rPr>
              <w:t>South Western</w:t>
            </w:r>
          </w:p>
        </w:tc>
        <w:tc>
          <w:tcPr>
            <w:tcW w:w="1316" w:type="dxa"/>
          </w:tcPr>
          <w:p>
            <w:pPr>
              <w:pStyle w:val="TableParagraph"/>
              <w:spacing w:line="214" w:lineRule="exact" w:before="15"/>
              <w:ind w:left="196" w:right="40"/>
              <w:jc w:val="center"/>
              <w:rPr>
                <w:rFonts w:ascii="Verdana"/>
                <w:sz w:val="18"/>
              </w:rPr>
            </w:pPr>
            <w:r>
              <w:rPr>
                <w:rFonts w:ascii="Verdana"/>
                <w:color w:val="231F20"/>
                <w:w w:val="110"/>
                <w:sz w:val="18"/>
              </w:rPr>
              <w:t>2010</w:t>
            </w:r>
          </w:p>
        </w:tc>
      </w:tr>
      <w:tr>
        <w:trPr>
          <w:trHeight w:val="375" w:hRule="atLeast"/>
        </w:trPr>
        <w:tc>
          <w:tcPr>
            <w:tcW w:w="4012" w:type="dxa"/>
          </w:tcPr>
          <w:p>
            <w:pPr>
              <w:pStyle w:val="TableParagraph"/>
              <w:spacing w:before="15"/>
              <w:ind w:left="50"/>
              <w:rPr>
                <w:rFonts w:ascii="Verdana"/>
                <w:sz w:val="18"/>
              </w:rPr>
            </w:pPr>
            <w:r>
              <w:rPr>
                <w:rFonts w:ascii="Verdana"/>
                <w:color w:val="231F20"/>
                <w:w w:val="110"/>
                <w:sz w:val="18"/>
              </w:rPr>
              <w:t>Dr Augur Pearce</w:t>
            </w:r>
          </w:p>
        </w:tc>
        <w:tc>
          <w:tcPr>
            <w:tcW w:w="2135" w:type="dxa"/>
          </w:tcPr>
          <w:p>
            <w:pPr>
              <w:pStyle w:val="TableParagraph"/>
              <w:spacing w:before="15"/>
              <w:ind w:left="114"/>
              <w:rPr>
                <w:rFonts w:ascii="Verdana"/>
                <w:sz w:val="18"/>
              </w:rPr>
            </w:pPr>
            <w:r>
              <w:rPr>
                <w:rFonts w:ascii="Verdana"/>
                <w:color w:val="231F20"/>
                <w:w w:val="110"/>
                <w:sz w:val="18"/>
              </w:rPr>
              <w:t>Wales</w:t>
            </w:r>
          </w:p>
        </w:tc>
        <w:tc>
          <w:tcPr>
            <w:tcW w:w="1316" w:type="dxa"/>
          </w:tcPr>
          <w:p>
            <w:pPr>
              <w:pStyle w:val="TableParagraph"/>
              <w:spacing w:before="15"/>
              <w:ind w:left="200" w:right="40"/>
              <w:jc w:val="center"/>
              <w:rPr>
                <w:rFonts w:ascii="Verdana"/>
                <w:sz w:val="18"/>
              </w:rPr>
            </w:pPr>
            <w:r>
              <w:rPr>
                <w:rFonts w:ascii="Verdana"/>
                <w:color w:val="231F20"/>
                <w:w w:val="110"/>
                <w:sz w:val="18"/>
              </w:rPr>
              <w:t>2012</w:t>
            </w:r>
          </w:p>
        </w:tc>
      </w:tr>
      <w:tr>
        <w:trPr>
          <w:trHeight w:val="375" w:hRule="atLeast"/>
        </w:trPr>
        <w:tc>
          <w:tcPr>
            <w:tcW w:w="4012" w:type="dxa"/>
          </w:tcPr>
          <w:p>
            <w:pPr>
              <w:pStyle w:val="TableParagraph"/>
              <w:spacing w:line="214" w:lineRule="exact" w:before="140"/>
              <w:ind w:left="50"/>
              <w:rPr>
                <w:rFonts w:ascii="Verdana"/>
                <w:sz w:val="18"/>
              </w:rPr>
            </w:pPr>
            <w:r>
              <w:rPr>
                <w:rFonts w:ascii="Verdana"/>
                <w:color w:val="231F20"/>
                <w:w w:val="110"/>
                <w:sz w:val="18"/>
              </w:rPr>
              <w:t>The Revd Dr David Thompson</w:t>
            </w:r>
          </w:p>
        </w:tc>
        <w:tc>
          <w:tcPr>
            <w:tcW w:w="2135" w:type="dxa"/>
          </w:tcPr>
          <w:p>
            <w:pPr>
              <w:pStyle w:val="TableParagraph"/>
              <w:spacing w:line="214" w:lineRule="exact" w:before="140"/>
              <w:ind w:left="114"/>
              <w:rPr>
                <w:rFonts w:ascii="Verdana"/>
                <w:sz w:val="18"/>
              </w:rPr>
            </w:pPr>
            <w:r>
              <w:rPr>
                <w:rFonts w:ascii="Verdana"/>
                <w:color w:val="231F20"/>
                <w:w w:val="110"/>
                <w:sz w:val="18"/>
              </w:rPr>
              <w:t>Eastern</w:t>
            </w:r>
          </w:p>
        </w:tc>
        <w:tc>
          <w:tcPr>
            <w:tcW w:w="1316" w:type="dxa"/>
          </w:tcPr>
          <w:p>
            <w:pPr>
              <w:pStyle w:val="TableParagraph"/>
              <w:spacing w:line="214" w:lineRule="exact" w:before="140"/>
              <w:ind w:left="200" w:right="40"/>
              <w:jc w:val="center"/>
              <w:rPr>
                <w:rFonts w:ascii="Verdana"/>
                <w:sz w:val="18"/>
              </w:rPr>
            </w:pPr>
            <w:r>
              <w:rPr>
                <w:rFonts w:ascii="Verdana"/>
                <w:color w:val="231F20"/>
                <w:w w:val="110"/>
                <w:sz w:val="18"/>
              </w:rPr>
              <w:t>2012</w:t>
            </w:r>
          </w:p>
        </w:tc>
      </w:tr>
      <w:tr>
        <w:trPr>
          <w:trHeight w:val="234" w:hRule="atLeast"/>
        </w:trPr>
        <w:tc>
          <w:tcPr>
            <w:tcW w:w="4012" w:type="dxa"/>
          </w:tcPr>
          <w:p>
            <w:pPr>
              <w:pStyle w:val="TableParagraph"/>
              <w:spacing w:line="199" w:lineRule="exact" w:before="15"/>
              <w:ind w:left="50"/>
              <w:rPr>
                <w:rFonts w:ascii="Verdana"/>
                <w:sz w:val="18"/>
              </w:rPr>
            </w:pPr>
            <w:r>
              <w:rPr>
                <w:rFonts w:ascii="Verdana"/>
                <w:color w:val="231F20"/>
                <w:w w:val="110"/>
                <w:sz w:val="18"/>
              </w:rPr>
              <w:t>Mr John Woodman</w:t>
            </w:r>
          </w:p>
        </w:tc>
        <w:tc>
          <w:tcPr>
            <w:tcW w:w="2135" w:type="dxa"/>
          </w:tcPr>
          <w:p>
            <w:pPr>
              <w:pStyle w:val="TableParagraph"/>
              <w:spacing w:line="199" w:lineRule="exact" w:before="15"/>
              <w:ind w:left="114"/>
              <w:rPr>
                <w:rFonts w:ascii="Verdana"/>
                <w:sz w:val="18"/>
              </w:rPr>
            </w:pPr>
            <w:r>
              <w:rPr>
                <w:rFonts w:ascii="Verdana"/>
                <w:color w:val="231F20"/>
                <w:w w:val="110"/>
                <w:sz w:val="18"/>
              </w:rPr>
              <w:t>Eastern</w:t>
            </w:r>
          </w:p>
        </w:tc>
        <w:tc>
          <w:tcPr>
            <w:tcW w:w="1316" w:type="dxa"/>
          </w:tcPr>
          <w:p>
            <w:pPr>
              <w:pStyle w:val="TableParagraph"/>
              <w:spacing w:line="199" w:lineRule="exact" w:before="15"/>
              <w:ind w:left="193" w:right="40"/>
              <w:jc w:val="center"/>
              <w:rPr>
                <w:rFonts w:ascii="Verdana"/>
                <w:sz w:val="18"/>
              </w:rPr>
            </w:pPr>
            <w:r>
              <w:rPr>
                <w:rFonts w:ascii="Verdana"/>
                <w:color w:val="231F20"/>
                <w:w w:val="110"/>
                <w:sz w:val="18"/>
              </w:rPr>
              <w:t>2014</w:t>
            </w:r>
          </w:p>
        </w:tc>
      </w:tr>
      <w:tr>
        <w:trPr>
          <w:trHeight w:val="640" w:hRule="atLeast"/>
        </w:trPr>
        <w:tc>
          <w:tcPr>
            <w:tcW w:w="6147" w:type="dxa"/>
            <w:gridSpan w:val="2"/>
          </w:tcPr>
          <w:p>
            <w:pPr>
              <w:pStyle w:val="TableParagraph"/>
              <w:spacing w:before="1"/>
              <w:rPr>
                <w:rFonts w:ascii="Verdana"/>
                <w:sz w:val="23"/>
              </w:rPr>
            </w:pPr>
          </w:p>
          <w:p>
            <w:pPr>
              <w:pStyle w:val="TableParagraph"/>
              <w:ind w:left="50"/>
              <w:rPr>
                <w:rFonts w:ascii="Verdana"/>
                <w:b/>
                <w:sz w:val="18"/>
              </w:rPr>
            </w:pPr>
            <w:r>
              <w:rPr>
                <w:rFonts w:ascii="Verdana"/>
                <w:b/>
                <w:color w:val="231F20"/>
                <w:w w:val="110"/>
                <w:sz w:val="18"/>
              </w:rPr>
              <w:t>3. Trustees nominated by Mission Council</w:t>
            </w:r>
          </w:p>
        </w:tc>
        <w:tc>
          <w:tcPr>
            <w:tcW w:w="1316" w:type="dxa"/>
          </w:tcPr>
          <w:p>
            <w:pPr>
              <w:pStyle w:val="TableParagraph"/>
              <w:rPr>
                <w:sz w:val="20"/>
              </w:rPr>
            </w:pPr>
          </w:p>
        </w:tc>
      </w:tr>
      <w:tr>
        <w:trPr>
          <w:trHeight w:val="375" w:hRule="atLeast"/>
        </w:trPr>
        <w:tc>
          <w:tcPr>
            <w:tcW w:w="6147" w:type="dxa"/>
            <w:gridSpan w:val="2"/>
          </w:tcPr>
          <w:p>
            <w:pPr>
              <w:pStyle w:val="TableParagraph"/>
              <w:spacing w:line="214" w:lineRule="exact" w:before="140"/>
              <w:ind w:left="50"/>
              <w:rPr>
                <w:rFonts w:ascii="Verdana"/>
                <w:sz w:val="18"/>
              </w:rPr>
            </w:pPr>
            <w:r>
              <w:rPr>
                <w:rFonts w:ascii="Verdana"/>
                <w:color w:val="231F20"/>
                <w:w w:val="110"/>
                <w:sz w:val="18"/>
              </w:rPr>
              <w:t>Mrs Val Morrison</w:t>
            </w:r>
          </w:p>
        </w:tc>
        <w:tc>
          <w:tcPr>
            <w:tcW w:w="1316" w:type="dxa"/>
          </w:tcPr>
          <w:p>
            <w:pPr>
              <w:pStyle w:val="TableParagraph"/>
              <w:spacing w:line="214" w:lineRule="exact" w:before="140"/>
              <w:ind w:left="200" w:right="40"/>
              <w:jc w:val="center"/>
              <w:rPr>
                <w:rFonts w:ascii="Verdana"/>
                <w:sz w:val="18"/>
              </w:rPr>
            </w:pPr>
            <w:r>
              <w:rPr>
                <w:rFonts w:ascii="Verdana"/>
                <w:color w:val="231F20"/>
                <w:w w:val="110"/>
                <w:sz w:val="18"/>
              </w:rPr>
              <w:t>2012</w:t>
            </w:r>
          </w:p>
        </w:tc>
      </w:tr>
      <w:tr>
        <w:trPr>
          <w:trHeight w:val="374" w:hRule="atLeast"/>
        </w:trPr>
        <w:tc>
          <w:tcPr>
            <w:tcW w:w="6147" w:type="dxa"/>
            <w:gridSpan w:val="2"/>
          </w:tcPr>
          <w:p>
            <w:pPr>
              <w:pStyle w:val="TableParagraph"/>
              <w:spacing w:before="15"/>
              <w:ind w:left="50"/>
              <w:rPr>
                <w:rFonts w:ascii="Verdana"/>
                <w:sz w:val="18"/>
              </w:rPr>
            </w:pPr>
            <w:r>
              <w:rPr>
                <w:rFonts w:ascii="Verdana"/>
                <w:color w:val="231F20"/>
                <w:w w:val="110"/>
                <w:sz w:val="18"/>
              </w:rPr>
              <w:t>The Revd Michael Davies</w:t>
            </w:r>
          </w:p>
        </w:tc>
        <w:tc>
          <w:tcPr>
            <w:tcW w:w="1316" w:type="dxa"/>
          </w:tcPr>
          <w:p>
            <w:pPr>
              <w:pStyle w:val="TableParagraph"/>
              <w:spacing w:before="15"/>
              <w:ind w:left="196" w:right="40"/>
              <w:jc w:val="center"/>
              <w:rPr>
                <w:rFonts w:ascii="Verdana"/>
                <w:sz w:val="18"/>
              </w:rPr>
            </w:pPr>
            <w:r>
              <w:rPr>
                <w:rFonts w:ascii="Verdana"/>
                <w:color w:val="231F20"/>
                <w:w w:val="110"/>
                <w:sz w:val="18"/>
              </w:rPr>
              <w:t>2010</w:t>
            </w:r>
          </w:p>
        </w:tc>
      </w:tr>
      <w:tr>
        <w:trPr>
          <w:trHeight w:val="499" w:hRule="atLeast"/>
        </w:trPr>
        <w:tc>
          <w:tcPr>
            <w:tcW w:w="6147" w:type="dxa"/>
            <w:gridSpan w:val="2"/>
          </w:tcPr>
          <w:p>
            <w:pPr>
              <w:pStyle w:val="TableParagraph"/>
              <w:spacing w:before="140"/>
              <w:ind w:left="50"/>
              <w:rPr>
                <w:rFonts w:ascii="Verdana"/>
                <w:b/>
                <w:sz w:val="18"/>
              </w:rPr>
            </w:pPr>
            <w:r>
              <w:rPr>
                <w:rFonts w:ascii="Verdana"/>
                <w:b/>
                <w:color w:val="231F20"/>
                <w:w w:val="110"/>
                <w:sz w:val="18"/>
              </w:rPr>
              <w:t>4. Nominated Trustee being the Honorary Treasurer</w:t>
            </w:r>
          </w:p>
        </w:tc>
        <w:tc>
          <w:tcPr>
            <w:tcW w:w="1316" w:type="dxa"/>
          </w:tcPr>
          <w:p>
            <w:pPr>
              <w:pStyle w:val="TableParagraph"/>
              <w:rPr>
                <w:sz w:val="20"/>
              </w:rPr>
            </w:pPr>
          </w:p>
        </w:tc>
      </w:tr>
      <w:tr>
        <w:trPr>
          <w:trHeight w:val="359" w:hRule="atLeast"/>
        </w:trPr>
        <w:tc>
          <w:tcPr>
            <w:tcW w:w="6147" w:type="dxa"/>
            <w:gridSpan w:val="2"/>
          </w:tcPr>
          <w:p>
            <w:pPr>
              <w:pStyle w:val="TableParagraph"/>
              <w:spacing w:line="199" w:lineRule="exact" w:before="140"/>
              <w:ind w:left="50"/>
              <w:rPr>
                <w:rFonts w:ascii="Verdana"/>
                <w:sz w:val="18"/>
              </w:rPr>
            </w:pPr>
            <w:r>
              <w:rPr>
                <w:rFonts w:ascii="Verdana"/>
                <w:color w:val="231F20"/>
                <w:w w:val="110"/>
                <w:sz w:val="18"/>
              </w:rPr>
              <w:t>Mr John Ellis</w:t>
            </w:r>
          </w:p>
        </w:tc>
        <w:tc>
          <w:tcPr>
            <w:tcW w:w="1316" w:type="dxa"/>
          </w:tcPr>
          <w:p>
            <w:pPr>
              <w:pStyle w:val="TableParagraph"/>
              <w:spacing w:line="199" w:lineRule="exact" w:before="140"/>
              <w:ind w:left="194" w:right="40"/>
              <w:jc w:val="center"/>
              <w:rPr>
                <w:rFonts w:ascii="Verdana"/>
                <w:sz w:val="18"/>
              </w:rPr>
            </w:pPr>
            <w:r>
              <w:rPr>
                <w:rFonts w:ascii="Verdana"/>
                <w:color w:val="231F20"/>
                <w:w w:val="110"/>
                <w:sz w:val="18"/>
              </w:rPr>
              <w:t>2011</w:t>
            </w: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6"/>
        </w:rPr>
      </w:pPr>
    </w:p>
    <w:p>
      <w:pPr>
        <w:spacing w:before="0"/>
        <w:ind w:left="106" w:right="0"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pgSz w:w="11910" w:h="16840"/>
          <w:pgMar w:header="581" w:footer="544" w:top="860" w:bottom="740" w:left="460" w:right="0"/>
        </w:sectPr>
      </w:pPr>
    </w:p>
    <w:p>
      <w:pPr>
        <w:pStyle w:val="BodyText"/>
        <w:spacing w:before="5"/>
        <w:rPr>
          <w:i/>
          <w:sz w:val="16"/>
        </w:rPr>
      </w:pPr>
    </w:p>
    <w:p>
      <w:pPr>
        <w:spacing w:after="0"/>
        <w:rPr>
          <w:sz w:val="16"/>
        </w:rPr>
        <w:sectPr>
          <w:headerReference w:type="even" r:id="rId97"/>
          <w:footerReference w:type="even" r:id="rId98"/>
          <w:pgSz w:w="11910" w:h="16840"/>
          <w:pgMar w:header="0" w:footer="484" w:top="1580" w:bottom="680" w:left="460" w:right="0"/>
          <w:pgNumType w:start="84"/>
        </w:sectPr>
      </w:pPr>
    </w:p>
    <w:p>
      <w:pPr>
        <w:pStyle w:val="BodyText"/>
        <w:spacing w:line="273" w:lineRule="auto" w:before="75"/>
        <w:ind w:left="1155" w:right="2562"/>
      </w:pPr>
      <w:r>
        <w:rPr/>
        <w:pict>
          <v:shape style="position:absolute;margin-left:507.723297pt;margin-top:36.840614pt;width:67.25pt;height:737.8pt;mso-position-horizontal-relative:page;mso-position-vertical-relative:page;z-index:251746304" type="#_x0000_t202" filled="false" stroked="false">
            <v:textbox inset="0,0,0,0" style="layout-flow:vertical">
              <w:txbxContent>
                <w:p>
                  <w:pPr>
                    <w:spacing w:line="925" w:lineRule="exact" w:before="20"/>
                    <w:ind w:left="20" w:right="0" w:firstLine="0"/>
                    <w:jc w:val="left"/>
                    <w:rPr>
                      <w:b/>
                      <w:sz w:val="80"/>
                    </w:rPr>
                  </w:pPr>
                  <w:r>
                    <w:rPr>
                      <w:b/>
                      <w:color w:val="231F20"/>
                      <w:spacing w:val="-8"/>
                      <w:sz w:val="80"/>
                    </w:rPr>
                    <w:t>Changes </w:t>
                  </w:r>
                  <w:r>
                    <w:rPr>
                      <w:b/>
                      <w:color w:val="231F20"/>
                      <w:spacing w:val="-3"/>
                      <w:sz w:val="80"/>
                    </w:rPr>
                    <w:t>to </w:t>
                  </w:r>
                  <w:r>
                    <w:rPr>
                      <w:b/>
                      <w:color w:val="231F20"/>
                      <w:spacing w:val="-4"/>
                      <w:sz w:val="80"/>
                    </w:rPr>
                    <w:t>the </w:t>
                  </w:r>
                  <w:r>
                    <w:rPr>
                      <w:b/>
                      <w:color w:val="231F20"/>
                      <w:spacing w:val="-7"/>
                      <w:sz w:val="80"/>
                    </w:rPr>
                    <w:t>Basis </w:t>
                  </w:r>
                  <w:r>
                    <w:rPr>
                      <w:b/>
                      <w:color w:val="231F20"/>
                      <w:sz w:val="80"/>
                    </w:rPr>
                    <w:t>&amp; </w:t>
                  </w:r>
                  <w:r>
                    <w:rPr>
                      <w:b/>
                      <w:color w:val="231F20"/>
                      <w:spacing w:val="-5"/>
                      <w:sz w:val="80"/>
                    </w:rPr>
                    <w:t>Structure</w:t>
                  </w:r>
                </w:p>
                <w:p>
                  <w:pPr>
                    <w:spacing w:line="398" w:lineRule="exact" w:before="0"/>
                    <w:ind w:left="9068" w:right="0" w:firstLine="0"/>
                    <w:jc w:val="left"/>
                    <w:rPr>
                      <w:rFonts w:ascii="Eurostile Bold"/>
                      <w:b/>
                      <w:sz w:val="36"/>
                    </w:rPr>
                  </w:pPr>
                  <w:r>
                    <w:rPr>
                      <w:rFonts w:ascii="Eurostile Bold"/>
                      <w:b/>
                      <w:color w:val="A7A9AC"/>
                      <w:w w:val="95"/>
                      <w:sz w:val="36"/>
                    </w:rPr>
                    <w:t>General Assembly</w:t>
                  </w:r>
                  <w:r>
                    <w:rPr>
                      <w:rFonts w:ascii="Eurostile Bold"/>
                      <w:b/>
                      <w:color w:val="A7A9AC"/>
                      <w:spacing w:val="-101"/>
                      <w:w w:val="95"/>
                      <w:sz w:val="36"/>
                    </w:rPr>
                    <w:t> </w:t>
                  </w:r>
                  <w:r>
                    <w:rPr>
                      <w:rFonts w:ascii="Eurostile Bold"/>
                      <w:b/>
                      <w:color w:val="A7A9AC"/>
                      <w:w w:val="95"/>
                      <w:sz w:val="36"/>
                    </w:rPr>
                    <w:t>2007</w:t>
                  </w:r>
                </w:p>
              </w:txbxContent>
            </v:textbox>
            <w10:wrap type="none"/>
          </v:shape>
        </w:pict>
      </w:r>
      <w:r>
        <w:rPr>
          <w:color w:val="231F20"/>
          <w:w w:val="110"/>
        </w:rPr>
        <w:t>The General Assembly of 2006 resolved to move to a single tier of Church Governance between the </w:t>
      </w:r>
      <w:r>
        <w:rPr>
          <w:color w:val="231F20"/>
          <w:spacing w:val="2"/>
          <w:w w:val="110"/>
        </w:rPr>
        <w:t>Local </w:t>
      </w:r>
      <w:r>
        <w:rPr>
          <w:color w:val="231F20"/>
          <w:w w:val="110"/>
        </w:rPr>
        <w:t>Church and the General Assembly, this to   be the “new” synod. Proposals to bring about the </w:t>
      </w:r>
      <w:r>
        <w:rPr>
          <w:color w:val="231F20"/>
          <w:spacing w:val="2"/>
          <w:w w:val="110"/>
        </w:rPr>
        <w:t>necessary </w:t>
      </w:r>
      <w:r>
        <w:rPr>
          <w:color w:val="231F20"/>
          <w:w w:val="110"/>
        </w:rPr>
        <w:t>changes by abolishing </w:t>
      </w:r>
      <w:r>
        <w:rPr>
          <w:color w:val="231F20"/>
          <w:spacing w:val="2"/>
          <w:w w:val="110"/>
        </w:rPr>
        <w:t>district </w:t>
      </w:r>
      <w:r>
        <w:rPr>
          <w:color w:val="231F20"/>
          <w:w w:val="110"/>
        </w:rPr>
        <w:t>councils were brought and agreed and </w:t>
      </w:r>
      <w:r>
        <w:rPr>
          <w:color w:val="231F20"/>
          <w:spacing w:val="2"/>
          <w:w w:val="110"/>
        </w:rPr>
        <w:t>referred </w:t>
      </w:r>
      <w:r>
        <w:rPr>
          <w:color w:val="231F20"/>
          <w:w w:val="110"/>
        </w:rPr>
        <w:t>to synods for </w:t>
      </w:r>
      <w:r>
        <w:rPr>
          <w:color w:val="231F20"/>
          <w:spacing w:val="2"/>
          <w:w w:val="110"/>
        </w:rPr>
        <w:t>further </w:t>
      </w:r>
      <w:r>
        <w:rPr>
          <w:color w:val="231F20"/>
          <w:w w:val="110"/>
        </w:rPr>
        <w:t>consideration.</w:t>
      </w:r>
    </w:p>
    <w:p>
      <w:pPr>
        <w:pStyle w:val="BodyText"/>
        <w:spacing w:before="10"/>
        <w:rPr>
          <w:sz w:val="20"/>
        </w:rPr>
      </w:pPr>
    </w:p>
    <w:p>
      <w:pPr>
        <w:pStyle w:val="BodyText"/>
        <w:spacing w:line="273" w:lineRule="auto" w:before="1"/>
        <w:ind w:left="1155" w:right="2303"/>
      </w:pPr>
      <w:r>
        <w:rPr>
          <w:color w:val="231F20"/>
          <w:spacing w:val="2"/>
          <w:w w:val="110"/>
        </w:rPr>
        <w:t>After </w:t>
      </w:r>
      <w:r>
        <w:rPr>
          <w:color w:val="231F20"/>
          <w:w w:val="110"/>
        </w:rPr>
        <w:t>taking extensive advice we have concluded that the resolutions adopted  by the Assembly of 2006 would require changes to the URC </w:t>
      </w:r>
      <w:r>
        <w:rPr>
          <w:color w:val="231F20"/>
          <w:spacing w:val="3"/>
          <w:w w:val="110"/>
        </w:rPr>
        <w:t>Acts </w:t>
      </w:r>
      <w:r>
        <w:rPr>
          <w:color w:val="231F20"/>
          <w:w w:val="110"/>
        </w:rPr>
        <w:t>and that while this is possible, the obtaining of the </w:t>
      </w:r>
      <w:r>
        <w:rPr>
          <w:color w:val="231F20"/>
          <w:spacing w:val="2"/>
          <w:w w:val="110"/>
        </w:rPr>
        <w:t>necessary Statutory </w:t>
      </w:r>
      <w:r>
        <w:rPr>
          <w:color w:val="231F20"/>
          <w:w w:val="110"/>
        </w:rPr>
        <w:t>Instrument would be both expensive and time consuming. </w:t>
      </w:r>
      <w:r>
        <w:rPr>
          <w:color w:val="231F20"/>
          <w:spacing w:val="-3"/>
          <w:w w:val="110"/>
        </w:rPr>
        <w:t>We </w:t>
      </w:r>
      <w:r>
        <w:rPr>
          <w:color w:val="231F20"/>
          <w:w w:val="110"/>
        </w:rPr>
        <w:t>do not believe that the mission of the church would be well </w:t>
      </w:r>
      <w:r>
        <w:rPr>
          <w:color w:val="231F20"/>
          <w:spacing w:val="2"/>
          <w:w w:val="110"/>
        </w:rPr>
        <w:t>served </w:t>
      </w:r>
      <w:r>
        <w:rPr>
          <w:color w:val="231F20"/>
          <w:w w:val="110"/>
        </w:rPr>
        <w:t>by this </w:t>
      </w:r>
      <w:r>
        <w:rPr>
          <w:color w:val="231F20"/>
          <w:spacing w:val="-3"/>
          <w:w w:val="110"/>
        </w:rPr>
        <w:t>outlay, </w:t>
      </w:r>
      <w:r>
        <w:rPr>
          <w:color w:val="231F20"/>
          <w:w w:val="110"/>
        </w:rPr>
        <w:t>and we have </w:t>
      </w:r>
      <w:r>
        <w:rPr>
          <w:color w:val="231F20"/>
          <w:spacing w:val="2"/>
          <w:w w:val="110"/>
        </w:rPr>
        <w:t>therefore </w:t>
      </w:r>
      <w:r>
        <w:rPr>
          <w:color w:val="231F20"/>
          <w:w w:val="110"/>
        </w:rPr>
        <w:t>sought a </w:t>
      </w:r>
      <w:r>
        <w:rPr>
          <w:color w:val="231F20"/>
          <w:spacing w:val="2"/>
          <w:w w:val="110"/>
        </w:rPr>
        <w:t>different </w:t>
      </w:r>
      <w:r>
        <w:rPr>
          <w:color w:val="231F20"/>
          <w:w w:val="110"/>
        </w:rPr>
        <w:t>way of enabling the church to do what it wishes to</w:t>
      </w:r>
      <w:r>
        <w:rPr>
          <w:color w:val="231F20"/>
          <w:spacing w:val="32"/>
          <w:w w:val="110"/>
        </w:rPr>
        <w:t> </w:t>
      </w:r>
      <w:r>
        <w:rPr>
          <w:color w:val="231F20"/>
          <w:w w:val="110"/>
        </w:rPr>
        <w:t>do.</w:t>
      </w:r>
    </w:p>
    <w:p>
      <w:pPr>
        <w:pStyle w:val="BodyText"/>
        <w:spacing w:before="10"/>
        <w:rPr>
          <w:sz w:val="20"/>
        </w:rPr>
      </w:pPr>
    </w:p>
    <w:p>
      <w:pPr>
        <w:pStyle w:val="BodyText"/>
        <w:spacing w:line="273" w:lineRule="auto"/>
        <w:ind w:left="1155" w:right="2330"/>
      </w:pPr>
      <w:r>
        <w:rPr>
          <w:color w:val="231F20"/>
          <w:w w:val="110"/>
        </w:rPr>
        <w:t>That can be achieved by the simple step of combining the work of synods and </w:t>
      </w:r>
      <w:r>
        <w:rPr>
          <w:color w:val="231F20"/>
          <w:spacing w:val="2"/>
          <w:w w:val="110"/>
        </w:rPr>
        <w:t>districts </w:t>
      </w:r>
      <w:r>
        <w:rPr>
          <w:color w:val="231F20"/>
          <w:w w:val="110"/>
        </w:rPr>
        <w:t>as far as it is possible, and this paper </w:t>
      </w:r>
      <w:r>
        <w:rPr>
          <w:color w:val="231F20"/>
          <w:spacing w:val="2"/>
          <w:w w:val="110"/>
        </w:rPr>
        <w:t>sets </w:t>
      </w:r>
      <w:r>
        <w:rPr>
          <w:color w:val="231F20"/>
          <w:w w:val="110"/>
        </w:rPr>
        <w:t>out the ways in which this can be achieved. In order to avoid a </w:t>
      </w:r>
      <w:r>
        <w:rPr>
          <w:color w:val="231F20"/>
          <w:spacing w:val="2"/>
          <w:w w:val="110"/>
        </w:rPr>
        <w:t>Statutory </w:t>
      </w:r>
      <w:r>
        <w:rPr>
          <w:color w:val="231F20"/>
          <w:w w:val="110"/>
        </w:rPr>
        <w:t>Instrument, </w:t>
      </w:r>
      <w:r>
        <w:rPr>
          <w:color w:val="231F20"/>
          <w:spacing w:val="2"/>
          <w:w w:val="110"/>
        </w:rPr>
        <w:t>district </w:t>
      </w:r>
      <w:r>
        <w:rPr>
          <w:color w:val="231F20"/>
          <w:w w:val="110"/>
        </w:rPr>
        <w:t>councils  will need to meet only to </w:t>
      </w:r>
      <w:r>
        <w:rPr>
          <w:color w:val="231F20"/>
          <w:spacing w:val="2"/>
          <w:w w:val="110"/>
        </w:rPr>
        <w:t>transact </w:t>
      </w:r>
      <w:r>
        <w:rPr>
          <w:color w:val="231F20"/>
          <w:w w:val="110"/>
        </w:rPr>
        <w:t>the business required under Paragraph 5 of the Scheduled Trusts </w:t>
      </w:r>
      <w:r>
        <w:rPr>
          <w:color w:val="231F20"/>
          <w:spacing w:val="2"/>
          <w:w w:val="110"/>
        </w:rPr>
        <w:t>Section </w:t>
      </w:r>
      <w:r>
        <w:rPr>
          <w:color w:val="231F20"/>
          <w:w w:val="110"/>
        </w:rPr>
        <w:t>of the URC </w:t>
      </w:r>
      <w:r>
        <w:rPr>
          <w:color w:val="231F20"/>
          <w:spacing w:val="2"/>
          <w:w w:val="110"/>
        </w:rPr>
        <w:t>Acts. </w:t>
      </w:r>
      <w:r>
        <w:rPr>
          <w:color w:val="231F20"/>
          <w:w w:val="110"/>
        </w:rPr>
        <w:t>It is, of course, up to synods   to decide how many </w:t>
      </w:r>
      <w:r>
        <w:rPr>
          <w:color w:val="231F20"/>
          <w:spacing w:val="2"/>
          <w:w w:val="110"/>
        </w:rPr>
        <w:t>districts </w:t>
      </w:r>
      <w:r>
        <w:rPr>
          <w:color w:val="231F20"/>
          <w:w w:val="110"/>
        </w:rPr>
        <w:t>they would wish to retain in this </w:t>
      </w:r>
      <w:r>
        <w:rPr>
          <w:color w:val="231F20"/>
          <w:spacing w:val="2"/>
          <w:w w:val="110"/>
        </w:rPr>
        <w:t>very </w:t>
      </w:r>
      <w:r>
        <w:rPr>
          <w:color w:val="231F20"/>
          <w:w w:val="110"/>
        </w:rPr>
        <w:t>limited sense, but our strong recommendation would be one, or at most two, to meet co-terminously</w:t>
      </w:r>
      <w:r>
        <w:rPr>
          <w:color w:val="231F20"/>
          <w:spacing w:val="8"/>
          <w:w w:val="110"/>
        </w:rPr>
        <w:t> </w:t>
      </w:r>
      <w:r>
        <w:rPr>
          <w:color w:val="231F20"/>
          <w:w w:val="110"/>
        </w:rPr>
        <w:t>with</w:t>
      </w:r>
      <w:r>
        <w:rPr>
          <w:color w:val="231F20"/>
          <w:spacing w:val="9"/>
          <w:w w:val="110"/>
        </w:rPr>
        <w:t> </w:t>
      </w:r>
      <w:r>
        <w:rPr>
          <w:color w:val="231F20"/>
          <w:w w:val="110"/>
        </w:rPr>
        <w:t>synod.</w:t>
      </w:r>
      <w:r>
        <w:rPr>
          <w:color w:val="231F20"/>
          <w:spacing w:val="9"/>
          <w:w w:val="110"/>
        </w:rPr>
        <w:t> </w:t>
      </w:r>
      <w:r>
        <w:rPr>
          <w:color w:val="231F20"/>
          <w:w w:val="110"/>
        </w:rPr>
        <w:t>The</w:t>
      </w:r>
      <w:r>
        <w:rPr>
          <w:color w:val="231F20"/>
          <w:spacing w:val="8"/>
          <w:w w:val="110"/>
        </w:rPr>
        <w:t> </w:t>
      </w:r>
      <w:r>
        <w:rPr>
          <w:color w:val="231F20"/>
          <w:w w:val="110"/>
        </w:rPr>
        <w:t>only</w:t>
      </w:r>
      <w:r>
        <w:rPr>
          <w:color w:val="231F20"/>
          <w:spacing w:val="9"/>
          <w:w w:val="110"/>
        </w:rPr>
        <w:t> </w:t>
      </w:r>
      <w:r>
        <w:rPr>
          <w:color w:val="231F20"/>
          <w:w w:val="110"/>
        </w:rPr>
        <w:t>time</w:t>
      </w:r>
      <w:r>
        <w:rPr>
          <w:color w:val="231F20"/>
          <w:spacing w:val="9"/>
          <w:w w:val="110"/>
        </w:rPr>
        <w:t> </w:t>
      </w:r>
      <w:r>
        <w:rPr>
          <w:color w:val="231F20"/>
          <w:w w:val="110"/>
        </w:rPr>
        <w:t>that</w:t>
      </w:r>
      <w:r>
        <w:rPr>
          <w:color w:val="231F20"/>
          <w:spacing w:val="8"/>
          <w:w w:val="110"/>
        </w:rPr>
        <w:t> </w:t>
      </w:r>
      <w:r>
        <w:rPr>
          <w:color w:val="231F20"/>
          <w:w w:val="110"/>
        </w:rPr>
        <w:t>this</w:t>
      </w:r>
      <w:r>
        <w:rPr>
          <w:color w:val="231F20"/>
          <w:spacing w:val="9"/>
          <w:w w:val="110"/>
        </w:rPr>
        <w:t> </w:t>
      </w:r>
      <w:r>
        <w:rPr>
          <w:color w:val="231F20"/>
          <w:w w:val="110"/>
        </w:rPr>
        <w:t>will</w:t>
      </w:r>
      <w:r>
        <w:rPr>
          <w:color w:val="231F20"/>
          <w:spacing w:val="9"/>
          <w:w w:val="110"/>
        </w:rPr>
        <w:t> </w:t>
      </w:r>
      <w:r>
        <w:rPr>
          <w:color w:val="231F20"/>
          <w:w w:val="110"/>
        </w:rPr>
        <w:t>be</w:t>
      </w:r>
      <w:r>
        <w:rPr>
          <w:color w:val="231F20"/>
          <w:spacing w:val="8"/>
          <w:w w:val="110"/>
        </w:rPr>
        <w:t> </w:t>
      </w:r>
      <w:r>
        <w:rPr>
          <w:color w:val="231F20"/>
          <w:spacing w:val="2"/>
          <w:w w:val="110"/>
        </w:rPr>
        <w:t>necessary</w:t>
      </w:r>
      <w:r>
        <w:rPr>
          <w:color w:val="231F20"/>
          <w:spacing w:val="9"/>
          <w:w w:val="110"/>
        </w:rPr>
        <w:t> </w:t>
      </w:r>
      <w:r>
        <w:rPr>
          <w:color w:val="231F20"/>
          <w:w w:val="110"/>
        </w:rPr>
        <w:t>is</w:t>
      </w:r>
      <w:r>
        <w:rPr>
          <w:color w:val="231F20"/>
          <w:spacing w:val="9"/>
          <w:w w:val="110"/>
        </w:rPr>
        <w:t> </w:t>
      </w:r>
      <w:r>
        <w:rPr>
          <w:color w:val="231F20"/>
          <w:w w:val="110"/>
        </w:rPr>
        <w:t>when</w:t>
      </w:r>
    </w:p>
    <w:p>
      <w:pPr>
        <w:pStyle w:val="BodyText"/>
        <w:spacing w:line="273" w:lineRule="auto" w:before="5"/>
        <w:ind w:left="1155" w:right="2219"/>
      </w:pPr>
      <w:r>
        <w:rPr>
          <w:color w:val="231F20"/>
          <w:w w:val="110"/>
        </w:rPr>
        <w:t>Paragraph 5 business about the disposal of premises which are no longer useful has to be dealt with.</w:t>
      </w:r>
    </w:p>
    <w:p>
      <w:pPr>
        <w:pStyle w:val="BodyText"/>
        <w:spacing w:before="8"/>
        <w:rPr>
          <w:sz w:val="20"/>
        </w:rPr>
      </w:pPr>
    </w:p>
    <w:p>
      <w:pPr>
        <w:pStyle w:val="BodyText"/>
        <w:spacing w:line="273" w:lineRule="auto" w:before="1"/>
        <w:ind w:left="1155" w:right="2348"/>
      </w:pPr>
      <w:r>
        <w:rPr>
          <w:color w:val="231F20"/>
          <w:w w:val="110"/>
        </w:rPr>
        <w:t>However, these resolutions also permit synods to delegate other powers to district councils and we recommend that ecumenical areas, which are both United Reformed Districts and Methodist circuits, be granted the same powers as they currently hold. This will ensure that the intention of resolution 47 of 2006 is retained.</w:t>
      </w:r>
    </w:p>
    <w:p>
      <w:pPr>
        <w:pStyle w:val="BodyText"/>
        <w:rPr>
          <w:sz w:val="22"/>
        </w:rPr>
      </w:pPr>
    </w:p>
    <w:p>
      <w:pPr>
        <w:tabs>
          <w:tab w:pos="6712" w:val="left" w:leader="none"/>
        </w:tabs>
        <w:spacing w:line="196" w:lineRule="auto" w:before="144"/>
        <w:ind w:left="7601" w:right="2124" w:hanging="6228"/>
        <w:jc w:val="left"/>
        <w:rPr>
          <w:b/>
          <w:sz w:val="20"/>
        </w:rPr>
      </w:pPr>
      <w:r>
        <w:rPr/>
        <w:pict>
          <v:group style="position:absolute;margin-left:33.070999pt;margin-top:5.015342pt;width:496.1pt;height:397.35pt;mso-position-horizontal-relative:page;mso-position-vertical-relative:paragraph;z-index:-275519488" coordorigin="661,100" coordsize="9922,7947">
            <v:shape style="position:absolute;left:1720;top:165;width:4016;height:630" coordorigin="1720,165" coordsize="4016,630" path="m5736,493l1878,493,1878,165,1720,165,1720,493,1720,795,5736,795,5736,493e" filled="true" fillcolor="#d8dadc" stroked="false">
              <v:path arrowok="t"/>
              <v:fill type="solid"/>
            </v:shape>
            <v:line style="position:absolute" from="1720,159" to="5736,159" stroked="true" strokeweight=".6pt" strokecolor="#d8dadc">
              <v:stroke dashstyle="solid"/>
            </v:line>
            <v:shape style="position:absolute;left:1878;top:165;width:3858;height:328" coordorigin="1878,165" coordsize="3858,328" path="m5736,165l5321,165,1878,165,1878,492,5321,492,5736,492,5736,165e" filled="true" fillcolor="#d8dadc" stroked="false">
              <v:path arrowok="t"/>
              <v:fill type="solid"/>
            </v:shape>
            <v:shape style="position:absolute;left:1417;top:100;width:8712;height:7602" type="#_x0000_t75" stroked="false">
              <v:imagedata r:id="rId101" o:title=""/>
            </v:shape>
            <v:rect style="position:absolute;left:661;top:7498;width:9922;height:549" filled="true" fillcolor="#ffffff" stroked="false">
              <v:fill type="solid"/>
            </v:rect>
            <w10:wrap type="none"/>
          </v:group>
        </w:pict>
      </w:r>
      <w:r>
        <w:rPr>
          <w:b/>
          <w:color w:val="FFFFFF"/>
          <w:spacing w:val="2"/>
          <w:w w:val="111"/>
          <w:position w:val="22"/>
          <w:sz w:val="43"/>
        </w:rPr>
        <w:t>R</w:t>
      </w:r>
      <w:r>
        <w:rPr>
          <w:b/>
          <w:color w:val="FFFFFF"/>
          <w:spacing w:val="1"/>
          <w:w w:val="111"/>
          <w:position w:val="22"/>
          <w:sz w:val="43"/>
        </w:rPr>
        <w:t>E</w:t>
      </w:r>
      <w:r>
        <w:rPr>
          <w:b/>
          <w:color w:val="FFFFFF"/>
          <w:w w:val="111"/>
          <w:position w:val="22"/>
          <w:sz w:val="43"/>
        </w:rPr>
        <w:t>S</w:t>
      </w:r>
      <w:r>
        <w:rPr>
          <w:b/>
          <w:color w:val="FFFFFF"/>
          <w:spacing w:val="-4"/>
          <w:w w:val="111"/>
          <w:position w:val="22"/>
          <w:sz w:val="43"/>
        </w:rPr>
        <w:t>O</w:t>
      </w:r>
      <w:r>
        <w:rPr>
          <w:b/>
          <w:color w:val="FFFFFF"/>
          <w:spacing w:val="-6"/>
          <w:w w:val="111"/>
          <w:position w:val="22"/>
          <w:sz w:val="43"/>
        </w:rPr>
        <w:t>L</w:t>
      </w:r>
      <w:r>
        <w:rPr>
          <w:b/>
          <w:color w:val="FFFFFF"/>
          <w:spacing w:val="-2"/>
          <w:w w:val="111"/>
          <w:position w:val="22"/>
          <w:sz w:val="43"/>
        </w:rPr>
        <w:t>U</w:t>
      </w:r>
      <w:r>
        <w:rPr>
          <w:b/>
          <w:color w:val="FFFFFF"/>
          <w:spacing w:val="3"/>
          <w:w w:val="111"/>
          <w:position w:val="22"/>
          <w:sz w:val="43"/>
        </w:rPr>
        <w:t>T</w:t>
      </w:r>
      <w:r>
        <w:rPr>
          <w:b/>
          <w:color w:val="FFFFFF"/>
          <w:spacing w:val="-15"/>
          <w:w w:val="111"/>
          <w:position w:val="22"/>
          <w:sz w:val="43"/>
        </w:rPr>
        <w:t>I</w:t>
      </w:r>
      <w:r>
        <w:rPr>
          <w:b/>
          <w:color w:val="FFFFFF"/>
          <w:spacing w:val="-304"/>
          <w:w w:val="111"/>
          <w:position w:val="22"/>
          <w:sz w:val="43"/>
        </w:rPr>
        <w:t>O</w:t>
      </w:r>
      <w:r>
        <w:rPr>
          <w:b/>
          <w:color w:val="231F20"/>
          <w:spacing w:val="-98"/>
          <w:w w:val="112"/>
          <w:sz w:val="50"/>
        </w:rPr>
        <w:t>2</w:t>
      </w:r>
      <w:r>
        <w:rPr>
          <w:b/>
          <w:color w:val="FFFFFF"/>
          <w:spacing w:val="-314"/>
          <w:w w:val="111"/>
          <w:position w:val="22"/>
          <w:sz w:val="43"/>
        </w:rPr>
        <w:t>N</w:t>
      </w:r>
      <w:r>
        <w:rPr>
          <w:b/>
          <w:color w:val="231F20"/>
          <w:w w:val="112"/>
          <w:sz w:val="50"/>
        </w:rPr>
        <w:t>4</w:t>
      </w:r>
      <w:r>
        <w:rPr>
          <w:b/>
          <w:color w:val="231F20"/>
          <w:sz w:val="50"/>
        </w:rPr>
        <w:tab/>
      </w:r>
      <w:r>
        <w:rPr>
          <w:b/>
          <w:color w:val="231F20"/>
          <w:spacing w:val="2"/>
          <w:w w:val="110"/>
          <w:sz w:val="20"/>
        </w:rPr>
        <w:t>C</w:t>
      </w:r>
      <w:r>
        <w:rPr>
          <w:b/>
          <w:color w:val="231F20"/>
          <w:w w:val="109"/>
          <w:sz w:val="20"/>
        </w:rPr>
        <w:t>h</w:t>
      </w:r>
      <w:r>
        <w:rPr>
          <w:b/>
          <w:color w:val="231F20"/>
          <w:spacing w:val="-1"/>
          <w:w w:val="110"/>
          <w:sz w:val="20"/>
        </w:rPr>
        <w:t>a</w:t>
      </w:r>
      <w:r>
        <w:rPr>
          <w:b/>
          <w:color w:val="231F20"/>
          <w:spacing w:val="1"/>
          <w:w w:val="109"/>
          <w:sz w:val="20"/>
        </w:rPr>
        <w:t>n</w:t>
      </w:r>
      <w:r>
        <w:rPr>
          <w:b/>
          <w:color w:val="231F20"/>
          <w:spacing w:val="1"/>
          <w:w w:val="109"/>
          <w:sz w:val="20"/>
        </w:rPr>
        <w:t>g</w:t>
      </w:r>
      <w:r>
        <w:rPr>
          <w:b/>
          <w:color w:val="231F20"/>
          <w:spacing w:val="4"/>
          <w:w w:val="109"/>
          <w:sz w:val="20"/>
        </w:rPr>
        <w:t>e</w:t>
      </w:r>
      <w:r>
        <w:rPr>
          <w:b/>
          <w:color w:val="231F20"/>
          <w:w w:val="109"/>
          <w:sz w:val="20"/>
        </w:rPr>
        <w:t>s</w:t>
      </w:r>
      <w:r>
        <w:rPr>
          <w:b/>
          <w:color w:val="231F20"/>
          <w:spacing w:val="6"/>
          <w:sz w:val="20"/>
        </w:rPr>
        <w:t> </w:t>
      </w:r>
      <w:r>
        <w:rPr>
          <w:b/>
          <w:color w:val="231F20"/>
          <w:spacing w:val="2"/>
          <w:w w:val="110"/>
          <w:sz w:val="20"/>
        </w:rPr>
        <w:t>t</w:t>
      </w:r>
      <w:r>
        <w:rPr>
          <w:b/>
          <w:color w:val="231F20"/>
          <w:w w:val="110"/>
          <w:sz w:val="20"/>
        </w:rPr>
        <w:t>o</w:t>
      </w:r>
      <w:r>
        <w:rPr>
          <w:b/>
          <w:color w:val="231F20"/>
          <w:spacing w:val="6"/>
          <w:sz w:val="20"/>
        </w:rPr>
        <w:t> </w:t>
      </w:r>
      <w:r>
        <w:rPr>
          <w:b/>
          <w:color w:val="231F20"/>
          <w:spacing w:val="4"/>
          <w:w w:val="110"/>
          <w:sz w:val="20"/>
        </w:rPr>
        <w:t>t</w:t>
      </w:r>
      <w:r>
        <w:rPr>
          <w:b/>
          <w:color w:val="231F20"/>
          <w:w w:val="109"/>
          <w:sz w:val="20"/>
        </w:rPr>
        <w:t>h</w:t>
      </w:r>
      <w:r>
        <w:rPr>
          <w:b/>
          <w:color w:val="231F20"/>
          <w:w w:val="109"/>
          <w:sz w:val="20"/>
        </w:rPr>
        <w:t>e</w:t>
      </w:r>
      <w:r>
        <w:rPr>
          <w:b/>
          <w:color w:val="231F20"/>
          <w:spacing w:val="6"/>
          <w:sz w:val="20"/>
        </w:rPr>
        <w:t> </w:t>
      </w:r>
      <w:r>
        <w:rPr>
          <w:b/>
          <w:color w:val="231F20"/>
          <w:spacing w:val="2"/>
          <w:w w:val="110"/>
          <w:sz w:val="20"/>
        </w:rPr>
        <w:t>Ba</w:t>
      </w:r>
      <w:r>
        <w:rPr>
          <w:b/>
          <w:color w:val="231F20"/>
          <w:spacing w:val="2"/>
          <w:w w:val="109"/>
          <w:sz w:val="20"/>
        </w:rPr>
        <w:t>s</w:t>
      </w:r>
      <w:r>
        <w:rPr>
          <w:b/>
          <w:color w:val="231F20"/>
          <w:spacing w:val="2"/>
          <w:w w:val="110"/>
          <w:sz w:val="20"/>
        </w:rPr>
        <w:t>i</w:t>
      </w:r>
      <w:r>
        <w:rPr>
          <w:b/>
          <w:color w:val="231F20"/>
          <w:w w:val="109"/>
          <w:sz w:val="20"/>
        </w:rPr>
        <w:t>s </w:t>
      </w:r>
      <w:r>
        <w:rPr>
          <w:b/>
          <w:color w:val="231F20"/>
          <w:w w:val="110"/>
          <w:sz w:val="20"/>
        </w:rPr>
        <w:t>and</w:t>
      </w:r>
      <w:r>
        <w:rPr>
          <w:b/>
          <w:color w:val="231F20"/>
          <w:spacing w:val="2"/>
          <w:w w:val="110"/>
          <w:sz w:val="20"/>
        </w:rPr>
        <w:t> </w:t>
      </w:r>
      <w:r>
        <w:rPr>
          <w:b/>
          <w:color w:val="231F20"/>
          <w:w w:val="110"/>
          <w:sz w:val="20"/>
        </w:rPr>
        <w:t>Structure</w:t>
      </w:r>
    </w:p>
    <w:p>
      <w:pPr>
        <w:pStyle w:val="BodyText"/>
        <w:spacing w:before="4"/>
        <w:rPr>
          <w:b/>
          <w:sz w:val="23"/>
        </w:rPr>
      </w:pPr>
    </w:p>
    <w:p>
      <w:pPr>
        <w:pStyle w:val="ListParagraph"/>
        <w:numPr>
          <w:ilvl w:val="0"/>
          <w:numId w:val="45"/>
        </w:numPr>
        <w:tabs>
          <w:tab w:pos="1875" w:val="left" w:leader="none"/>
          <w:tab w:pos="1876" w:val="left" w:leader="none"/>
        </w:tabs>
        <w:spacing w:line="273" w:lineRule="auto" w:before="0" w:after="0"/>
        <w:ind w:left="1155" w:right="2676" w:firstLine="0"/>
        <w:jc w:val="left"/>
        <w:rPr>
          <w:sz w:val="18"/>
        </w:rPr>
      </w:pPr>
      <w:r>
        <w:rPr>
          <w:color w:val="231F20"/>
          <w:w w:val="110"/>
          <w:sz w:val="18"/>
        </w:rPr>
        <w:t>General Assembly resolves to amend the Basis of Union by deleting the words </w:t>
      </w:r>
      <w:r>
        <w:rPr>
          <w:color w:val="231F20"/>
          <w:spacing w:val="2"/>
          <w:w w:val="110"/>
          <w:sz w:val="18"/>
        </w:rPr>
        <w:t>“</w:t>
      </w:r>
      <w:r>
        <w:rPr>
          <w:b/>
          <w:color w:val="231F20"/>
          <w:spacing w:val="2"/>
          <w:w w:val="110"/>
          <w:sz w:val="18"/>
        </w:rPr>
        <w:t>District </w:t>
      </w:r>
      <w:r>
        <w:rPr>
          <w:b/>
          <w:color w:val="231F20"/>
          <w:w w:val="110"/>
          <w:sz w:val="18"/>
        </w:rPr>
        <w:t>or </w:t>
      </w:r>
      <w:r>
        <w:rPr>
          <w:b/>
          <w:color w:val="231F20"/>
          <w:spacing w:val="2"/>
          <w:w w:val="110"/>
          <w:sz w:val="18"/>
        </w:rPr>
        <w:t>Area </w:t>
      </w:r>
      <w:r>
        <w:rPr>
          <w:b/>
          <w:color w:val="231F20"/>
          <w:w w:val="110"/>
          <w:sz w:val="18"/>
        </w:rPr>
        <w:t>Council</w:t>
      </w:r>
      <w:r>
        <w:rPr>
          <w:color w:val="231F20"/>
          <w:w w:val="110"/>
          <w:sz w:val="18"/>
        </w:rPr>
        <w:t>” and substituting the term “</w:t>
      </w:r>
      <w:r>
        <w:rPr>
          <w:b/>
          <w:color w:val="231F20"/>
          <w:w w:val="110"/>
          <w:sz w:val="18"/>
        </w:rPr>
        <w:t>synod</w:t>
      </w:r>
      <w:r>
        <w:rPr>
          <w:color w:val="231F20"/>
          <w:w w:val="110"/>
          <w:sz w:val="18"/>
        </w:rPr>
        <w:t>” throughout, save in those </w:t>
      </w:r>
      <w:r>
        <w:rPr>
          <w:color w:val="231F20"/>
          <w:spacing w:val="2"/>
          <w:w w:val="110"/>
          <w:sz w:val="18"/>
        </w:rPr>
        <w:t>cases </w:t>
      </w:r>
      <w:r>
        <w:rPr>
          <w:color w:val="231F20"/>
          <w:w w:val="110"/>
          <w:sz w:val="18"/>
        </w:rPr>
        <w:t>where such substitution would lead to duplication, in which </w:t>
      </w:r>
      <w:r>
        <w:rPr>
          <w:color w:val="231F20"/>
          <w:spacing w:val="2"/>
          <w:w w:val="110"/>
          <w:sz w:val="18"/>
        </w:rPr>
        <w:t>case </w:t>
      </w:r>
      <w:r>
        <w:rPr>
          <w:color w:val="231F20"/>
          <w:w w:val="110"/>
          <w:sz w:val="18"/>
        </w:rPr>
        <w:t>the words shall simply be</w:t>
      </w:r>
      <w:r>
        <w:rPr>
          <w:color w:val="231F20"/>
          <w:spacing w:val="31"/>
          <w:w w:val="110"/>
          <w:sz w:val="18"/>
        </w:rPr>
        <w:t> </w:t>
      </w:r>
      <w:r>
        <w:rPr>
          <w:color w:val="231F20"/>
          <w:w w:val="110"/>
          <w:sz w:val="18"/>
        </w:rPr>
        <w:t>omitted.</w:t>
      </w:r>
    </w:p>
    <w:p>
      <w:pPr>
        <w:pStyle w:val="BodyText"/>
        <w:spacing w:before="9"/>
        <w:rPr>
          <w:sz w:val="20"/>
        </w:rPr>
      </w:pPr>
    </w:p>
    <w:p>
      <w:pPr>
        <w:pStyle w:val="ListParagraph"/>
        <w:numPr>
          <w:ilvl w:val="0"/>
          <w:numId w:val="45"/>
        </w:numPr>
        <w:tabs>
          <w:tab w:pos="1875" w:val="left" w:leader="none"/>
          <w:tab w:pos="1876" w:val="left" w:leader="none"/>
        </w:tabs>
        <w:spacing w:line="273" w:lineRule="auto" w:before="1" w:after="0"/>
        <w:ind w:left="1155" w:right="2962" w:firstLine="0"/>
        <w:jc w:val="left"/>
        <w:rPr>
          <w:sz w:val="18"/>
        </w:rPr>
      </w:pPr>
      <w:r>
        <w:rPr>
          <w:color w:val="231F20"/>
          <w:w w:val="110"/>
          <w:sz w:val="18"/>
        </w:rPr>
        <w:t>General Assembly resolves to amend the Structure of the United Reformed Church by amending the following </w:t>
      </w:r>
      <w:r>
        <w:rPr>
          <w:color w:val="231F20"/>
          <w:spacing w:val="2"/>
          <w:w w:val="110"/>
          <w:sz w:val="18"/>
        </w:rPr>
        <w:t>sections </w:t>
      </w:r>
      <w:r>
        <w:rPr>
          <w:color w:val="231F20"/>
          <w:w w:val="110"/>
          <w:sz w:val="18"/>
        </w:rPr>
        <w:t>relating to </w:t>
      </w:r>
      <w:r>
        <w:rPr>
          <w:color w:val="231F20"/>
          <w:spacing w:val="2"/>
          <w:w w:val="110"/>
          <w:sz w:val="18"/>
        </w:rPr>
        <w:t>Local </w:t>
      </w:r>
      <w:r>
        <w:rPr>
          <w:color w:val="231F20"/>
          <w:w w:val="110"/>
          <w:sz w:val="18"/>
        </w:rPr>
        <w:t>Churches to</w:t>
      </w:r>
      <w:r>
        <w:rPr>
          <w:color w:val="231F20"/>
          <w:spacing w:val="2"/>
          <w:w w:val="110"/>
          <w:sz w:val="18"/>
        </w:rPr>
        <w:t> </w:t>
      </w:r>
      <w:r>
        <w:rPr>
          <w:color w:val="231F20"/>
          <w:w w:val="110"/>
          <w:sz w:val="18"/>
        </w:rPr>
        <w:t>read:</w:t>
      </w:r>
    </w:p>
    <w:p>
      <w:pPr>
        <w:pStyle w:val="BodyText"/>
        <w:spacing w:before="5"/>
        <w:rPr>
          <w:sz w:val="12"/>
        </w:rPr>
      </w:pPr>
    </w:p>
    <w:p>
      <w:pPr>
        <w:spacing w:before="101"/>
        <w:ind w:left="1155" w:right="0" w:firstLine="0"/>
        <w:jc w:val="left"/>
        <w:rPr>
          <w:b/>
          <w:sz w:val="18"/>
        </w:rPr>
      </w:pPr>
      <w:r>
        <w:rPr>
          <w:b/>
          <w:color w:val="231F20"/>
          <w:w w:val="110"/>
          <w:sz w:val="18"/>
        </w:rPr>
        <w:t>Paragraph 1.(2)(a)</w:t>
      </w:r>
    </w:p>
    <w:p>
      <w:pPr>
        <w:spacing w:line="273" w:lineRule="auto" w:before="31"/>
        <w:ind w:left="1715" w:right="2124" w:firstLine="0"/>
        <w:jc w:val="left"/>
        <w:rPr>
          <w:b/>
          <w:i/>
          <w:sz w:val="18"/>
        </w:rPr>
      </w:pPr>
      <w:r>
        <w:rPr>
          <w:b/>
          <w:color w:val="231F20"/>
          <w:w w:val="110"/>
          <w:sz w:val="18"/>
        </w:rPr>
        <w:t>The United Reformed Church in England shall be divided into provinces, each having a synod. In Wales and in Scotland, in recognition of the different status of these nations there shall in each case be a single synod to be known as a national synod. The expression “Provincial synod” when used in the United Reformed Church Acts of 1972 and 1981 shall in relation to property in Wales be read as referring to the national synod of Wales. In England and Wales each synod, </w:t>
      </w:r>
      <w:r>
        <w:rPr>
          <w:b/>
          <w:i/>
          <w:color w:val="231F20"/>
          <w:w w:val="110"/>
          <w:sz w:val="18"/>
        </w:rPr>
        <w:t>if it so determines, </w:t>
      </w:r>
      <w:r>
        <w:rPr>
          <w:b/>
          <w:color w:val="231F20"/>
          <w:w w:val="110"/>
          <w:sz w:val="18"/>
        </w:rPr>
        <w:t>shall be divided into districts or areas of ecumenical co-operation; in Scotland the synod, </w:t>
      </w:r>
      <w:r>
        <w:rPr>
          <w:b/>
          <w:i/>
          <w:color w:val="231F20"/>
          <w:w w:val="110"/>
          <w:sz w:val="18"/>
        </w:rPr>
        <w:t>if it</w:t>
      </w:r>
    </w:p>
    <w:p>
      <w:pPr>
        <w:spacing w:line="273" w:lineRule="auto" w:before="6"/>
        <w:ind w:left="1715" w:right="2181" w:firstLine="0"/>
        <w:jc w:val="left"/>
        <w:rPr>
          <w:b/>
          <w:sz w:val="18"/>
        </w:rPr>
      </w:pPr>
      <w:r>
        <w:rPr>
          <w:b/>
          <w:i/>
          <w:color w:val="231F20"/>
          <w:w w:val="110"/>
          <w:sz w:val="18"/>
        </w:rPr>
        <w:t>so determines, </w:t>
      </w:r>
      <w:r>
        <w:rPr>
          <w:b/>
          <w:color w:val="231F20"/>
          <w:w w:val="110"/>
          <w:sz w:val="18"/>
        </w:rPr>
        <w:t>shall be divided into areas or areas of ecumenical co-operation. Each such division shall comprise the geographical area from time to time assigned to it by the General Assembly or  by a synod under synod Function(ii). Where the General Assembly or synod has not so determined each synod shall consist of a single district council as hereinafter</w:t>
      </w:r>
      <w:r>
        <w:rPr>
          <w:b/>
          <w:color w:val="231F20"/>
          <w:spacing w:val="-15"/>
          <w:w w:val="110"/>
          <w:sz w:val="18"/>
        </w:rPr>
        <w:t> </w:t>
      </w:r>
      <w:r>
        <w:rPr>
          <w:b/>
          <w:color w:val="231F20"/>
          <w:w w:val="110"/>
          <w:sz w:val="18"/>
        </w:rPr>
        <w:t>defined.</w:t>
      </w:r>
    </w:p>
    <w:p>
      <w:pPr>
        <w:spacing w:before="18"/>
        <w:ind w:left="0" w:right="1160" w:firstLine="0"/>
        <w:jc w:val="right"/>
        <w:rPr>
          <w:rFonts w:ascii="Eurostile Bold"/>
          <w:b/>
          <w:sz w:val="24"/>
        </w:rPr>
      </w:pPr>
      <w:r>
        <w:rPr>
          <w:rFonts w:ascii="Eurostile Bold"/>
          <w:b/>
          <w:color w:val="231F20"/>
          <w:w w:val="85"/>
          <w:sz w:val="24"/>
        </w:rPr>
        <w:t>85</w:t>
      </w:r>
    </w:p>
    <w:p>
      <w:pPr>
        <w:spacing w:after="0"/>
        <w:jc w:val="right"/>
        <w:rPr>
          <w:rFonts w:ascii="Eurostile Bold"/>
          <w:sz w:val="24"/>
        </w:rPr>
        <w:sectPr>
          <w:headerReference w:type="default" r:id="rId99"/>
          <w:footerReference w:type="default" r:id="rId100"/>
          <w:pgSz w:w="11910" w:h="16840"/>
          <w:pgMar w:header="0" w:footer="0" w:top="880" w:bottom="0" w:left="460" w:right="0"/>
        </w:sectPr>
      </w:pPr>
    </w:p>
    <w:p>
      <w:pPr>
        <w:pStyle w:val="BodyText"/>
        <w:spacing w:before="1"/>
        <w:rPr>
          <w:rFonts w:ascii="Eurostile Bold"/>
          <w:b/>
          <w:sz w:val="15"/>
        </w:rPr>
      </w:pPr>
      <w:r>
        <w:rPr/>
        <w:pict>
          <v:group style="position:absolute;margin-left:18.424999pt;margin-top:43.464016pt;width:542pt;height:759pt;mso-position-horizontal-relative:page;mso-position-vertical-relative:page;z-index:-275517440" coordorigin="368,869" coordsize="10840,15180">
            <v:shape style="position:absolute;left:886;top:955;width:9872;height:14983" coordorigin="886,956" coordsize="9872,14983" path="m886,15699l890,15837,916,15909,987,15935,1126,15939,10517,15939,10656,15935,10727,15909,10754,15837,10757,15699,10757,1196,10754,1057,10727,986,10656,960,10517,956,1126,956,987,960,916,986,890,1057,886,1196,886,15699xe" filled="false" stroked="true" strokeweight="3.0pt" strokecolor="#000000">
              <v:path arrowok="t"/>
              <v:stroke dashstyle="solid"/>
            </v:shape>
            <v:shape style="position:absolute;left:368;top:869;width:10840;height:15180" coordorigin="369,869" coordsize="10840,15180" path="m10834,869l539,869,539,1191,10834,1191,10834,869m11208,15742l369,15742,369,16049,11208,16049,11208,15742e" filled="true" fillcolor="#ffffff" stroked="false">
              <v:path arrowok="t"/>
              <v:fill type="solid"/>
            </v:shape>
            <w10:wrap type="none"/>
          </v:group>
        </w:pict>
      </w:r>
    </w:p>
    <w:p>
      <w:pPr>
        <w:spacing w:before="100"/>
        <w:ind w:left="673" w:right="0" w:firstLine="0"/>
        <w:jc w:val="left"/>
        <w:rPr>
          <w:b/>
          <w:sz w:val="18"/>
        </w:rPr>
      </w:pPr>
      <w:r>
        <w:rPr>
          <w:b/>
          <w:color w:val="231F20"/>
          <w:w w:val="110"/>
          <w:sz w:val="18"/>
        </w:rPr>
        <w:t>Paragraph 2(1)(vii)</w:t>
      </w:r>
    </w:p>
    <w:p>
      <w:pPr>
        <w:spacing w:line="271" w:lineRule="auto" w:before="30"/>
        <w:ind w:left="1233" w:right="2210" w:firstLine="0"/>
        <w:jc w:val="left"/>
        <w:rPr>
          <w:b/>
          <w:sz w:val="18"/>
        </w:rPr>
      </w:pPr>
      <w:r>
        <w:rPr>
          <w:b/>
          <w:color w:val="231F20"/>
          <w:w w:val="110"/>
          <w:sz w:val="18"/>
        </w:rPr>
        <w:t>to call a minister with the </w:t>
      </w:r>
      <w:r>
        <w:rPr>
          <w:b/>
          <w:color w:val="231F20"/>
          <w:spacing w:val="2"/>
          <w:w w:val="110"/>
          <w:sz w:val="18"/>
        </w:rPr>
        <w:t>concurrence </w:t>
      </w:r>
      <w:r>
        <w:rPr>
          <w:b/>
          <w:color w:val="231F20"/>
          <w:w w:val="110"/>
          <w:sz w:val="18"/>
        </w:rPr>
        <w:t>of the </w:t>
      </w:r>
      <w:r>
        <w:rPr>
          <w:b/>
          <w:color w:val="231F20"/>
          <w:spacing w:val="-3"/>
          <w:w w:val="110"/>
          <w:sz w:val="18"/>
        </w:rPr>
        <w:t>synod(s) </w:t>
      </w:r>
      <w:r>
        <w:rPr>
          <w:b/>
          <w:color w:val="231F20"/>
          <w:w w:val="110"/>
          <w:sz w:val="18"/>
        </w:rPr>
        <w:t>(see paragraph   2 </w:t>
      </w:r>
      <w:r>
        <w:rPr>
          <w:b/>
          <w:color w:val="231F20"/>
          <w:spacing w:val="-7"/>
          <w:w w:val="110"/>
          <w:sz w:val="18"/>
        </w:rPr>
        <w:t>(3) </w:t>
      </w:r>
      <w:r>
        <w:rPr>
          <w:b/>
          <w:color w:val="231F20"/>
          <w:spacing w:val="-6"/>
          <w:w w:val="110"/>
          <w:sz w:val="18"/>
        </w:rPr>
        <w:t>(ii)); </w:t>
      </w:r>
      <w:r>
        <w:rPr>
          <w:b/>
          <w:color w:val="231F20"/>
          <w:w w:val="110"/>
          <w:sz w:val="18"/>
        </w:rPr>
        <w:t>(Where two or more </w:t>
      </w:r>
      <w:r>
        <w:rPr>
          <w:b/>
          <w:color w:val="231F20"/>
          <w:spacing w:val="2"/>
          <w:w w:val="110"/>
          <w:sz w:val="18"/>
        </w:rPr>
        <w:t>churches </w:t>
      </w:r>
      <w:r>
        <w:rPr>
          <w:b/>
          <w:color w:val="231F20"/>
          <w:w w:val="110"/>
          <w:sz w:val="18"/>
        </w:rPr>
        <w:t>have formed a group or joint pastorate in accordance with paragraph </w:t>
      </w:r>
      <w:r>
        <w:rPr>
          <w:b/>
          <w:color w:val="231F20"/>
          <w:spacing w:val="-10"/>
          <w:w w:val="110"/>
          <w:sz w:val="18"/>
        </w:rPr>
        <w:t>1(1)(b) </w:t>
      </w:r>
      <w:r>
        <w:rPr>
          <w:b/>
          <w:color w:val="231F20"/>
          <w:w w:val="110"/>
          <w:sz w:val="18"/>
        </w:rPr>
        <w:t>or </w:t>
      </w:r>
      <w:r>
        <w:rPr>
          <w:b/>
          <w:color w:val="231F20"/>
          <w:spacing w:val="-10"/>
          <w:w w:val="110"/>
          <w:sz w:val="18"/>
        </w:rPr>
        <w:t>(c) </w:t>
      </w:r>
      <w:r>
        <w:rPr>
          <w:b/>
          <w:color w:val="231F20"/>
          <w:w w:val="110"/>
          <w:sz w:val="18"/>
        </w:rPr>
        <w:t>above on the decision of synod under </w:t>
      </w:r>
      <w:r>
        <w:rPr>
          <w:b/>
          <w:color w:val="231F20"/>
          <w:spacing w:val="2"/>
          <w:w w:val="110"/>
          <w:sz w:val="18"/>
        </w:rPr>
        <w:t>its </w:t>
      </w:r>
      <w:r>
        <w:rPr>
          <w:b/>
          <w:color w:val="231F20"/>
          <w:w w:val="110"/>
          <w:sz w:val="18"/>
        </w:rPr>
        <w:t>function </w:t>
      </w:r>
      <w:r>
        <w:rPr>
          <w:b/>
          <w:color w:val="231F20"/>
          <w:spacing w:val="-7"/>
          <w:w w:val="110"/>
          <w:sz w:val="18"/>
        </w:rPr>
        <w:t>2(4)(A)(iv), </w:t>
      </w:r>
      <w:r>
        <w:rPr>
          <w:b/>
          <w:color w:val="231F20"/>
          <w:w w:val="110"/>
          <w:sz w:val="18"/>
        </w:rPr>
        <w:t>the </w:t>
      </w:r>
      <w:r>
        <w:rPr>
          <w:b/>
          <w:color w:val="231F20"/>
          <w:spacing w:val="2"/>
          <w:w w:val="110"/>
          <w:sz w:val="18"/>
        </w:rPr>
        <w:t>church meetings </w:t>
      </w:r>
      <w:r>
        <w:rPr>
          <w:b/>
          <w:color w:val="231F20"/>
          <w:w w:val="110"/>
          <w:sz w:val="18"/>
        </w:rPr>
        <w:t>of each </w:t>
      </w:r>
      <w:r>
        <w:rPr>
          <w:b/>
          <w:color w:val="231F20"/>
          <w:spacing w:val="2"/>
          <w:w w:val="110"/>
          <w:sz w:val="18"/>
        </w:rPr>
        <w:t>church </w:t>
      </w:r>
      <w:r>
        <w:rPr>
          <w:b/>
          <w:color w:val="231F20"/>
          <w:spacing w:val="-3"/>
          <w:w w:val="110"/>
          <w:sz w:val="18"/>
        </w:rPr>
        <w:t>may, </w:t>
      </w:r>
      <w:r>
        <w:rPr>
          <w:b/>
          <w:color w:val="231F20"/>
          <w:w w:val="110"/>
          <w:sz w:val="18"/>
        </w:rPr>
        <w:t>with the agreement of the synod and so long as the group </w:t>
      </w:r>
      <w:r>
        <w:rPr>
          <w:b/>
          <w:color w:val="231F20"/>
          <w:spacing w:val="2"/>
          <w:w w:val="110"/>
          <w:sz w:val="18"/>
        </w:rPr>
        <w:t>constitution </w:t>
      </w:r>
      <w:r>
        <w:rPr>
          <w:b/>
          <w:color w:val="231F20"/>
          <w:w w:val="110"/>
          <w:sz w:val="18"/>
        </w:rPr>
        <w:t>or the </w:t>
      </w:r>
      <w:r>
        <w:rPr>
          <w:b/>
          <w:color w:val="231F20"/>
          <w:spacing w:val="2"/>
          <w:w w:val="110"/>
          <w:sz w:val="18"/>
        </w:rPr>
        <w:t>statement </w:t>
      </w:r>
      <w:r>
        <w:rPr>
          <w:b/>
          <w:color w:val="231F20"/>
          <w:w w:val="110"/>
          <w:sz w:val="18"/>
        </w:rPr>
        <w:t>of intent as appropriate shall so provide, join </w:t>
      </w:r>
      <w:r>
        <w:rPr>
          <w:b/>
          <w:color w:val="231F20"/>
          <w:spacing w:val="2"/>
          <w:w w:val="110"/>
          <w:sz w:val="18"/>
        </w:rPr>
        <w:t>together </w:t>
      </w:r>
      <w:r>
        <w:rPr>
          <w:b/>
          <w:color w:val="231F20"/>
          <w:w w:val="110"/>
          <w:sz w:val="18"/>
        </w:rPr>
        <w:t>as a group or joint pastorate </w:t>
      </w:r>
      <w:r>
        <w:rPr>
          <w:b/>
          <w:color w:val="231F20"/>
          <w:spacing w:val="2"/>
          <w:w w:val="110"/>
          <w:sz w:val="18"/>
        </w:rPr>
        <w:t>church </w:t>
      </w:r>
      <w:r>
        <w:rPr>
          <w:b/>
          <w:color w:val="231F20"/>
          <w:w w:val="110"/>
          <w:sz w:val="18"/>
        </w:rPr>
        <w:t>meeting for the purpose of calling a minister, in which </w:t>
      </w:r>
      <w:r>
        <w:rPr>
          <w:b/>
          <w:color w:val="231F20"/>
          <w:spacing w:val="2"/>
          <w:w w:val="110"/>
          <w:sz w:val="18"/>
        </w:rPr>
        <w:t>case </w:t>
      </w:r>
      <w:r>
        <w:rPr>
          <w:b/>
          <w:color w:val="231F20"/>
          <w:w w:val="110"/>
          <w:sz w:val="18"/>
        </w:rPr>
        <w:t>this function shall be </w:t>
      </w:r>
      <w:r>
        <w:rPr>
          <w:b/>
          <w:color w:val="231F20"/>
          <w:spacing w:val="2"/>
          <w:w w:val="110"/>
          <w:sz w:val="18"/>
        </w:rPr>
        <w:t>exercised </w:t>
      </w:r>
      <w:r>
        <w:rPr>
          <w:b/>
          <w:color w:val="231F20"/>
          <w:w w:val="110"/>
          <w:sz w:val="18"/>
        </w:rPr>
        <w:t>by the group or joint pastorate </w:t>
      </w:r>
      <w:r>
        <w:rPr>
          <w:b/>
          <w:color w:val="231F20"/>
          <w:spacing w:val="2"/>
          <w:w w:val="110"/>
          <w:sz w:val="18"/>
        </w:rPr>
        <w:t>church</w:t>
      </w:r>
      <w:r>
        <w:rPr>
          <w:b/>
          <w:color w:val="231F20"/>
          <w:spacing w:val="20"/>
          <w:w w:val="110"/>
          <w:sz w:val="18"/>
        </w:rPr>
        <w:t> </w:t>
      </w:r>
      <w:r>
        <w:rPr>
          <w:b/>
          <w:color w:val="231F20"/>
          <w:w w:val="110"/>
          <w:sz w:val="18"/>
        </w:rPr>
        <w:t>meeting.)</w:t>
      </w:r>
    </w:p>
    <w:p>
      <w:pPr>
        <w:pStyle w:val="BodyText"/>
        <w:rPr>
          <w:b/>
          <w:sz w:val="21"/>
        </w:rPr>
      </w:pPr>
    </w:p>
    <w:p>
      <w:pPr>
        <w:spacing w:before="0"/>
        <w:ind w:left="673" w:right="0" w:firstLine="0"/>
        <w:jc w:val="left"/>
        <w:rPr>
          <w:b/>
          <w:sz w:val="18"/>
        </w:rPr>
      </w:pPr>
      <w:r>
        <w:rPr>
          <w:b/>
          <w:color w:val="231F20"/>
          <w:w w:val="110"/>
          <w:sz w:val="18"/>
        </w:rPr>
        <w:t>Paragraph</w:t>
      </w:r>
      <w:r>
        <w:rPr>
          <w:b/>
          <w:color w:val="231F20"/>
          <w:spacing w:val="20"/>
          <w:w w:val="110"/>
          <w:sz w:val="18"/>
        </w:rPr>
        <w:t> </w:t>
      </w:r>
      <w:r>
        <w:rPr>
          <w:b/>
          <w:color w:val="231F20"/>
          <w:spacing w:val="-9"/>
          <w:w w:val="110"/>
          <w:sz w:val="18"/>
        </w:rPr>
        <w:t>2(1)(x)</w:t>
      </w:r>
    </w:p>
    <w:p>
      <w:pPr>
        <w:spacing w:line="271" w:lineRule="auto" w:before="29"/>
        <w:ind w:left="1233" w:right="1829" w:firstLine="0"/>
        <w:jc w:val="left"/>
        <w:rPr>
          <w:b/>
          <w:sz w:val="18"/>
        </w:rPr>
      </w:pPr>
      <w:r>
        <w:rPr>
          <w:b/>
          <w:color w:val="231F20"/>
          <w:w w:val="110"/>
          <w:sz w:val="18"/>
        </w:rPr>
        <w:t>to consider, always on advice from the </w:t>
      </w:r>
      <w:r>
        <w:rPr>
          <w:b/>
          <w:color w:val="231F20"/>
          <w:spacing w:val="2"/>
          <w:w w:val="110"/>
          <w:sz w:val="18"/>
        </w:rPr>
        <w:t>elders’ </w:t>
      </w:r>
      <w:r>
        <w:rPr>
          <w:b/>
          <w:color w:val="231F20"/>
          <w:w w:val="110"/>
          <w:sz w:val="18"/>
        </w:rPr>
        <w:t>meeting, any application for </w:t>
      </w:r>
      <w:r>
        <w:rPr>
          <w:b/>
          <w:color w:val="231F20"/>
          <w:spacing w:val="2"/>
          <w:w w:val="110"/>
          <w:sz w:val="18"/>
        </w:rPr>
        <w:t>recognition </w:t>
      </w:r>
      <w:r>
        <w:rPr>
          <w:b/>
          <w:color w:val="231F20"/>
          <w:w w:val="110"/>
          <w:sz w:val="18"/>
        </w:rPr>
        <w:t>as a candidate for the ministry and to transmit </w:t>
      </w:r>
      <w:r>
        <w:rPr>
          <w:b/>
          <w:color w:val="231F20"/>
          <w:spacing w:val="2"/>
          <w:w w:val="110"/>
          <w:sz w:val="18"/>
        </w:rPr>
        <w:t>it, </w:t>
      </w:r>
      <w:r>
        <w:rPr>
          <w:b/>
          <w:color w:val="231F20"/>
          <w:w w:val="110"/>
          <w:sz w:val="18"/>
        </w:rPr>
        <w:t>if approved, to the synod.</w:t>
      </w:r>
    </w:p>
    <w:p>
      <w:pPr>
        <w:pStyle w:val="BodyText"/>
        <w:spacing w:before="7"/>
        <w:rPr>
          <w:b/>
          <w:sz w:val="20"/>
        </w:rPr>
      </w:pPr>
    </w:p>
    <w:p>
      <w:pPr>
        <w:spacing w:before="0"/>
        <w:ind w:left="673" w:right="0" w:firstLine="0"/>
        <w:jc w:val="both"/>
        <w:rPr>
          <w:b/>
          <w:sz w:val="18"/>
        </w:rPr>
      </w:pPr>
      <w:r>
        <w:rPr>
          <w:b/>
          <w:color w:val="231F20"/>
          <w:w w:val="110"/>
          <w:sz w:val="18"/>
        </w:rPr>
        <w:t>Paragraph 2(2)(ix)</w:t>
      </w:r>
    </w:p>
    <w:p>
      <w:pPr>
        <w:spacing w:line="271" w:lineRule="auto" w:before="29"/>
        <w:ind w:left="1233" w:right="1701" w:firstLine="0"/>
        <w:jc w:val="both"/>
        <w:rPr>
          <w:b/>
          <w:sz w:val="18"/>
        </w:rPr>
      </w:pPr>
      <w:r>
        <w:rPr>
          <w:b/>
          <w:color w:val="231F20"/>
          <w:w w:val="110"/>
          <w:sz w:val="18"/>
        </w:rPr>
        <w:t>to consider the suitability of </w:t>
      </w:r>
      <w:r>
        <w:rPr>
          <w:b/>
          <w:color w:val="231F20"/>
          <w:spacing w:val="-3"/>
          <w:w w:val="110"/>
          <w:sz w:val="18"/>
        </w:rPr>
        <w:t>any </w:t>
      </w:r>
      <w:r>
        <w:rPr>
          <w:b/>
          <w:color w:val="231F20"/>
          <w:w w:val="110"/>
          <w:sz w:val="18"/>
        </w:rPr>
        <w:t>applicant for recognition as a candidate for the ministry and to advise the church meeting about its recommendation to the</w:t>
      </w:r>
      <w:r>
        <w:rPr>
          <w:b/>
          <w:color w:val="231F20"/>
          <w:spacing w:val="-5"/>
          <w:w w:val="110"/>
          <w:sz w:val="18"/>
        </w:rPr>
        <w:t> </w:t>
      </w:r>
      <w:r>
        <w:rPr>
          <w:b/>
          <w:color w:val="231F20"/>
          <w:w w:val="110"/>
          <w:sz w:val="18"/>
        </w:rPr>
        <w:t>synod;</w:t>
      </w:r>
    </w:p>
    <w:p>
      <w:pPr>
        <w:pStyle w:val="BodyText"/>
        <w:rPr>
          <w:b/>
          <w:sz w:val="22"/>
        </w:rPr>
      </w:pPr>
    </w:p>
    <w:p>
      <w:pPr>
        <w:pStyle w:val="BodyText"/>
        <w:rPr>
          <w:b/>
          <w:sz w:val="19"/>
        </w:rPr>
      </w:pPr>
    </w:p>
    <w:p>
      <w:pPr>
        <w:pStyle w:val="ListParagraph"/>
        <w:numPr>
          <w:ilvl w:val="0"/>
          <w:numId w:val="45"/>
        </w:numPr>
        <w:tabs>
          <w:tab w:pos="1393" w:val="left" w:leader="none"/>
          <w:tab w:pos="1394" w:val="left" w:leader="none"/>
        </w:tabs>
        <w:spacing w:line="271" w:lineRule="auto" w:before="1" w:after="0"/>
        <w:ind w:left="673" w:right="1758" w:hanging="1"/>
        <w:jc w:val="left"/>
        <w:rPr>
          <w:sz w:val="18"/>
        </w:rPr>
      </w:pPr>
      <w:r>
        <w:rPr>
          <w:color w:val="231F20"/>
          <w:w w:val="110"/>
          <w:sz w:val="18"/>
        </w:rPr>
        <w:t>General Assembly resolves to amend the Structure of the United Reformed  Church relating to </w:t>
      </w:r>
      <w:r>
        <w:rPr>
          <w:color w:val="231F20"/>
          <w:spacing w:val="2"/>
          <w:w w:val="110"/>
          <w:sz w:val="18"/>
        </w:rPr>
        <w:t>district </w:t>
      </w:r>
      <w:r>
        <w:rPr>
          <w:color w:val="231F20"/>
          <w:w w:val="110"/>
          <w:sz w:val="18"/>
        </w:rPr>
        <w:t>and area councils by deleting the whole of Paragraph </w:t>
      </w:r>
      <w:r>
        <w:rPr>
          <w:color w:val="231F20"/>
          <w:spacing w:val="-6"/>
          <w:w w:val="110"/>
          <w:sz w:val="18"/>
        </w:rPr>
        <w:t>2(3) </w:t>
      </w:r>
      <w:r>
        <w:rPr>
          <w:color w:val="231F20"/>
          <w:w w:val="110"/>
          <w:sz w:val="18"/>
        </w:rPr>
        <w:t>and replacing it</w:t>
      </w:r>
      <w:r>
        <w:rPr>
          <w:color w:val="231F20"/>
          <w:spacing w:val="1"/>
          <w:w w:val="110"/>
          <w:sz w:val="18"/>
        </w:rPr>
        <w:t> </w:t>
      </w:r>
      <w:r>
        <w:rPr>
          <w:color w:val="231F20"/>
          <w:w w:val="110"/>
          <w:sz w:val="18"/>
        </w:rPr>
        <w:t>with:</w:t>
      </w:r>
    </w:p>
    <w:p>
      <w:pPr>
        <w:pStyle w:val="BodyText"/>
        <w:spacing w:before="7"/>
        <w:rPr>
          <w:sz w:val="20"/>
        </w:rPr>
      </w:pPr>
    </w:p>
    <w:p>
      <w:pPr>
        <w:tabs>
          <w:tab w:pos="1436" w:val="left" w:leader="none"/>
        </w:tabs>
        <w:spacing w:line="271" w:lineRule="auto" w:before="0"/>
        <w:ind w:left="673" w:right="2219" w:firstLine="0"/>
        <w:jc w:val="left"/>
        <w:rPr>
          <w:b/>
          <w:sz w:val="18"/>
        </w:rPr>
      </w:pPr>
      <w:r>
        <w:rPr>
          <w:b/>
          <w:color w:val="231F20"/>
          <w:spacing w:val="-4"/>
          <w:w w:val="110"/>
          <w:sz w:val="18"/>
        </w:rPr>
        <w:t>2.(3)</w:t>
        <w:tab/>
      </w:r>
      <w:r>
        <w:rPr>
          <w:b/>
          <w:color w:val="231F20"/>
          <w:w w:val="110"/>
          <w:sz w:val="18"/>
        </w:rPr>
        <w:t>The district council of each district [being </w:t>
      </w:r>
      <w:r>
        <w:rPr>
          <w:b/>
          <w:color w:val="231F20"/>
          <w:spacing w:val="2"/>
          <w:w w:val="110"/>
          <w:sz w:val="18"/>
        </w:rPr>
        <w:t>representative </w:t>
      </w:r>
      <w:r>
        <w:rPr>
          <w:b/>
          <w:color w:val="231F20"/>
          <w:w w:val="110"/>
          <w:sz w:val="18"/>
        </w:rPr>
        <w:t>of the </w:t>
      </w:r>
      <w:r>
        <w:rPr>
          <w:b/>
          <w:color w:val="231F20"/>
          <w:spacing w:val="2"/>
          <w:w w:val="110"/>
          <w:sz w:val="18"/>
        </w:rPr>
        <w:t>Local Churches </w:t>
      </w:r>
      <w:r>
        <w:rPr>
          <w:b/>
          <w:color w:val="231F20"/>
          <w:w w:val="110"/>
          <w:sz w:val="18"/>
        </w:rPr>
        <w:t>in that district grouped </w:t>
      </w:r>
      <w:r>
        <w:rPr>
          <w:b/>
          <w:color w:val="231F20"/>
          <w:spacing w:val="2"/>
          <w:w w:val="110"/>
          <w:sz w:val="18"/>
        </w:rPr>
        <w:t>together </w:t>
      </w:r>
      <w:r>
        <w:rPr>
          <w:b/>
          <w:color w:val="231F20"/>
          <w:w w:val="110"/>
          <w:sz w:val="18"/>
        </w:rPr>
        <w:t>for the purpose of fellowship, </w:t>
      </w:r>
      <w:r>
        <w:rPr>
          <w:b/>
          <w:color w:val="231F20"/>
          <w:spacing w:val="2"/>
          <w:w w:val="110"/>
          <w:sz w:val="18"/>
        </w:rPr>
        <w:t>support, </w:t>
      </w:r>
      <w:r>
        <w:rPr>
          <w:b/>
          <w:color w:val="231F20"/>
          <w:w w:val="110"/>
          <w:sz w:val="18"/>
        </w:rPr>
        <w:t>intimate mutual oversight and united action] shall </w:t>
      </w:r>
      <w:r>
        <w:rPr>
          <w:b/>
          <w:color w:val="231F20"/>
          <w:spacing w:val="2"/>
          <w:w w:val="110"/>
          <w:sz w:val="18"/>
        </w:rPr>
        <w:t>consist</w:t>
      </w:r>
      <w:r>
        <w:rPr>
          <w:b/>
          <w:color w:val="231F20"/>
          <w:spacing w:val="46"/>
          <w:w w:val="110"/>
          <w:sz w:val="18"/>
        </w:rPr>
        <w:t> </w:t>
      </w:r>
      <w:r>
        <w:rPr>
          <w:b/>
          <w:color w:val="231F20"/>
          <w:w w:val="110"/>
          <w:sz w:val="18"/>
        </w:rPr>
        <w:t>of:</w:t>
      </w:r>
    </w:p>
    <w:p>
      <w:pPr>
        <w:pStyle w:val="BodyText"/>
        <w:spacing w:before="7"/>
        <w:rPr>
          <w:b/>
          <w:sz w:val="20"/>
        </w:rPr>
      </w:pPr>
    </w:p>
    <w:p>
      <w:pPr>
        <w:pStyle w:val="ListParagraph"/>
        <w:numPr>
          <w:ilvl w:val="0"/>
          <w:numId w:val="46"/>
        </w:numPr>
        <w:tabs>
          <w:tab w:pos="1354" w:val="left" w:leader="none"/>
          <w:tab w:pos="1355" w:val="left" w:leader="none"/>
        </w:tabs>
        <w:spacing w:line="240" w:lineRule="auto" w:before="0" w:after="0"/>
        <w:ind w:left="1354" w:right="0" w:hanging="682"/>
        <w:jc w:val="left"/>
        <w:rPr>
          <w:b/>
          <w:sz w:val="18"/>
        </w:rPr>
      </w:pPr>
      <w:r>
        <w:rPr>
          <w:b/>
          <w:color w:val="231F20"/>
          <w:w w:val="110"/>
          <w:sz w:val="18"/>
        </w:rPr>
        <w:t>The moderator of the synod for the time</w:t>
      </w:r>
      <w:r>
        <w:rPr>
          <w:b/>
          <w:color w:val="231F20"/>
          <w:spacing w:val="8"/>
          <w:w w:val="110"/>
          <w:sz w:val="18"/>
        </w:rPr>
        <w:t> </w:t>
      </w:r>
      <w:r>
        <w:rPr>
          <w:b/>
          <w:color w:val="231F20"/>
          <w:w w:val="110"/>
          <w:sz w:val="18"/>
        </w:rPr>
        <w:t>being;</w:t>
      </w:r>
    </w:p>
    <w:p>
      <w:pPr>
        <w:pStyle w:val="BodyText"/>
        <w:spacing w:before="10"/>
        <w:rPr>
          <w:b/>
          <w:sz w:val="22"/>
        </w:rPr>
      </w:pPr>
    </w:p>
    <w:p>
      <w:pPr>
        <w:pStyle w:val="ListParagraph"/>
        <w:numPr>
          <w:ilvl w:val="0"/>
          <w:numId w:val="46"/>
        </w:numPr>
        <w:tabs>
          <w:tab w:pos="1355" w:val="left" w:leader="none"/>
        </w:tabs>
        <w:spacing w:line="271" w:lineRule="auto" w:before="0" w:after="0"/>
        <w:ind w:left="1354" w:right="2240" w:hanging="681"/>
        <w:jc w:val="both"/>
        <w:rPr>
          <w:b/>
          <w:sz w:val="18"/>
        </w:rPr>
      </w:pPr>
      <w:r>
        <w:rPr>
          <w:b/>
          <w:color w:val="231F20"/>
          <w:w w:val="110"/>
          <w:sz w:val="18"/>
        </w:rPr>
        <w:t>A </w:t>
      </w:r>
      <w:r>
        <w:rPr>
          <w:b/>
          <w:color w:val="231F20"/>
          <w:spacing w:val="2"/>
          <w:w w:val="110"/>
          <w:sz w:val="18"/>
        </w:rPr>
        <w:t>president </w:t>
      </w:r>
      <w:r>
        <w:rPr>
          <w:b/>
          <w:color w:val="231F20"/>
          <w:w w:val="110"/>
          <w:sz w:val="18"/>
        </w:rPr>
        <w:t>appointed by the synod, who shall </w:t>
      </w:r>
      <w:r>
        <w:rPr>
          <w:b/>
          <w:color w:val="231F20"/>
          <w:spacing w:val="2"/>
          <w:w w:val="110"/>
          <w:sz w:val="18"/>
        </w:rPr>
        <w:t>perform </w:t>
      </w:r>
      <w:r>
        <w:rPr>
          <w:b/>
          <w:color w:val="231F20"/>
          <w:w w:val="110"/>
          <w:sz w:val="18"/>
        </w:rPr>
        <w:t>the functions defined as applicable to the chairman in the United Reformed Church </w:t>
      </w:r>
      <w:r>
        <w:rPr>
          <w:b/>
          <w:color w:val="231F20"/>
          <w:spacing w:val="2"/>
          <w:w w:val="110"/>
          <w:sz w:val="18"/>
        </w:rPr>
        <w:t>Acts </w:t>
      </w:r>
      <w:r>
        <w:rPr>
          <w:b/>
          <w:color w:val="231F20"/>
          <w:spacing w:val="-3"/>
          <w:w w:val="110"/>
          <w:sz w:val="18"/>
        </w:rPr>
        <w:t>1972, </w:t>
      </w:r>
      <w:r>
        <w:rPr>
          <w:b/>
          <w:color w:val="231F20"/>
          <w:spacing w:val="-4"/>
          <w:w w:val="110"/>
          <w:sz w:val="18"/>
        </w:rPr>
        <w:t>1981 </w:t>
      </w:r>
      <w:r>
        <w:rPr>
          <w:b/>
          <w:color w:val="231F20"/>
          <w:w w:val="110"/>
          <w:sz w:val="18"/>
        </w:rPr>
        <w:t>and</w:t>
      </w:r>
      <w:r>
        <w:rPr>
          <w:b/>
          <w:color w:val="231F20"/>
          <w:spacing w:val="6"/>
          <w:w w:val="110"/>
          <w:sz w:val="18"/>
        </w:rPr>
        <w:t> </w:t>
      </w:r>
      <w:r>
        <w:rPr>
          <w:b/>
          <w:color w:val="231F20"/>
          <w:w w:val="110"/>
          <w:sz w:val="18"/>
        </w:rPr>
        <w:t>2000;</w:t>
      </w:r>
    </w:p>
    <w:p>
      <w:pPr>
        <w:pStyle w:val="BodyText"/>
        <w:spacing w:before="7"/>
        <w:rPr>
          <w:b/>
          <w:sz w:val="20"/>
        </w:rPr>
      </w:pPr>
    </w:p>
    <w:p>
      <w:pPr>
        <w:pStyle w:val="ListParagraph"/>
        <w:numPr>
          <w:ilvl w:val="0"/>
          <w:numId w:val="46"/>
        </w:numPr>
        <w:tabs>
          <w:tab w:pos="1354" w:val="left" w:leader="none"/>
          <w:tab w:pos="1355" w:val="left" w:leader="none"/>
        </w:tabs>
        <w:spacing w:line="240" w:lineRule="auto" w:before="1" w:after="0"/>
        <w:ind w:left="1354" w:right="0" w:hanging="682"/>
        <w:jc w:val="left"/>
        <w:rPr>
          <w:b/>
          <w:sz w:val="18"/>
        </w:rPr>
      </w:pPr>
      <w:r>
        <w:rPr>
          <w:b/>
          <w:color w:val="231F20"/>
          <w:w w:val="110"/>
          <w:sz w:val="18"/>
        </w:rPr>
        <w:t>A </w:t>
      </w:r>
      <w:r>
        <w:rPr>
          <w:b/>
          <w:color w:val="231F20"/>
          <w:spacing w:val="3"/>
          <w:w w:val="110"/>
          <w:sz w:val="18"/>
        </w:rPr>
        <w:t>secretary </w:t>
      </w:r>
      <w:r>
        <w:rPr>
          <w:b/>
          <w:color w:val="231F20"/>
          <w:w w:val="110"/>
          <w:sz w:val="18"/>
        </w:rPr>
        <w:t>appointed by the</w:t>
      </w:r>
      <w:r>
        <w:rPr>
          <w:b/>
          <w:color w:val="231F20"/>
          <w:spacing w:val="-1"/>
          <w:w w:val="110"/>
          <w:sz w:val="18"/>
        </w:rPr>
        <w:t> </w:t>
      </w:r>
      <w:r>
        <w:rPr>
          <w:b/>
          <w:color w:val="231F20"/>
          <w:w w:val="110"/>
          <w:sz w:val="18"/>
        </w:rPr>
        <w:t>synod;</w:t>
      </w:r>
    </w:p>
    <w:p>
      <w:pPr>
        <w:pStyle w:val="BodyText"/>
        <w:spacing w:before="9"/>
        <w:rPr>
          <w:b/>
          <w:sz w:val="22"/>
        </w:rPr>
      </w:pPr>
    </w:p>
    <w:p>
      <w:pPr>
        <w:pStyle w:val="ListParagraph"/>
        <w:numPr>
          <w:ilvl w:val="0"/>
          <w:numId w:val="46"/>
        </w:numPr>
        <w:tabs>
          <w:tab w:pos="1354" w:val="left" w:leader="none"/>
          <w:tab w:pos="1355" w:val="left" w:leader="none"/>
        </w:tabs>
        <w:spacing w:line="271" w:lineRule="auto" w:before="0" w:after="0"/>
        <w:ind w:left="1354" w:right="1741" w:hanging="681"/>
        <w:jc w:val="left"/>
        <w:rPr>
          <w:b/>
          <w:sz w:val="18"/>
        </w:rPr>
      </w:pPr>
      <w:r>
        <w:rPr>
          <w:b/>
          <w:color w:val="231F20"/>
          <w:w w:val="110"/>
          <w:sz w:val="18"/>
        </w:rPr>
        <w:t>Such number of representatives of Local Churches within the district, (currently </w:t>
      </w:r>
      <w:r>
        <w:rPr>
          <w:b/>
          <w:color w:val="231F20"/>
          <w:spacing w:val="-4"/>
          <w:w w:val="110"/>
          <w:sz w:val="18"/>
        </w:rPr>
        <w:t>four) </w:t>
      </w:r>
      <w:r>
        <w:rPr>
          <w:b/>
          <w:color w:val="231F20"/>
          <w:w w:val="110"/>
          <w:sz w:val="18"/>
        </w:rPr>
        <w:t>as the General Assembly shall direct, including both ministers and elders, such that the total number of members in categories </w:t>
      </w:r>
      <w:r>
        <w:rPr>
          <w:b/>
          <w:color w:val="231F20"/>
          <w:spacing w:val="-8"/>
          <w:w w:val="110"/>
          <w:sz w:val="18"/>
        </w:rPr>
        <w:t>(b), </w:t>
      </w:r>
      <w:r>
        <w:rPr>
          <w:b/>
          <w:color w:val="231F20"/>
          <w:spacing w:val="-11"/>
          <w:w w:val="110"/>
          <w:sz w:val="18"/>
        </w:rPr>
        <w:t>(c) </w:t>
      </w:r>
      <w:r>
        <w:rPr>
          <w:b/>
          <w:color w:val="231F20"/>
          <w:w w:val="110"/>
          <w:sz w:val="18"/>
        </w:rPr>
        <w:t>and </w:t>
      </w:r>
      <w:r>
        <w:rPr>
          <w:b/>
          <w:color w:val="231F20"/>
          <w:spacing w:val="-8"/>
          <w:w w:val="110"/>
          <w:sz w:val="18"/>
        </w:rPr>
        <w:t>(d) </w:t>
      </w:r>
      <w:r>
        <w:rPr>
          <w:b/>
          <w:color w:val="231F20"/>
          <w:w w:val="110"/>
          <w:sz w:val="18"/>
        </w:rPr>
        <w:t>shall be equally divided between ministers and elders, to be chosen in such manner as the Local Churches concerned</w:t>
      </w:r>
      <w:r>
        <w:rPr>
          <w:b/>
          <w:color w:val="231F20"/>
          <w:spacing w:val="-18"/>
          <w:w w:val="110"/>
          <w:sz w:val="18"/>
        </w:rPr>
        <w:t> </w:t>
      </w:r>
      <w:r>
        <w:rPr>
          <w:b/>
          <w:color w:val="231F20"/>
          <w:w w:val="110"/>
          <w:sz w:val="18"/>
        </w:rPr>
        <w:t>shall;</w:t>
      </w:r>
    </w:p>
    <w:p>
      <w:pPr>
        <w:pStyle w:val="BodyText"/>
        <w:spacing w:before="9"/>
        <w:rPr>
          <w:b/>
          <w:sz w:val="20"/>
        </w:rPr>
      </w:pPr>
    </w:p>
    <w:p>
      <w:pPr>
        <w:pStyle w:val="ListParagraph"/>
        <w:numPr>
          <w:ilvl w:val="0"/>
          <w:numId w:val="46"/>
        </w:numPr>
        <w:tabs>
          <w:tab w:pos="1354" w:val="left" w:leader="none"/>
          <w:tab w:pos="1355" w:val="left" w:leader="none"/>
        </w:tabs>
        <w:spacing w:line="271" w:lineRule="auto" w:before="0" w:after="0"/>
        <w:ind w:left="1354" w:right="2197" w:hanging="681"/>
        <w:jc w:val="left"/>
        <w:rPr>
          <w:b/>
          <w:sz w:val="18"/>
        </w:rPr>
      </w:pPr>
      <w:r>
        <w:rPr>
          <w:b/>
          <w:color w:val="231F20"/>
          <w:w w:val="110"/>
          <w:sz w:val="18"/>
        </w:rPr>
        <w:t>Up to six </w:t>
      </w:r>
      <w:r>
        <w:rPr>
          <w:b/>
          <w:color w:val="231F20"/>
          <w:spacing w:val="3"/>
          <w:w w:val="110"/>
          <w:sz w:val="18"/>
        </w:rPr>
        <w:t>co-opted </w:t>
      </w:r>
      <w:r>
        <w:rPr>
          <w:b/>
          <w:color w:val="231F20"/>
          <w:w w:val="110"/>
          <w:sz w:val="18"/>
        </w:rPr>
        <w:t>ministers or members of </w:t>
      </w:r>
      <w:r>
        <w:rPr>
          <w:b/>
          <w:color w:val="231F20"/>
          <w:spacing w:val="2"/>
          <w:w w:val="110"/>
          <w:sz w:val="18"/>
        </w:rPr>
        <w:t>Local Churches, </w:t>
      </w:r>
      <w:r>
        <w:rPr>
          <w:b/>
          <w:color w:val="231F20"/>
          <w:w w:val="110"/>
          <w:sz w:val="18"/>
        </w:rPr>
        <w:t>normally </w:t>
      </w:r>
      <w:r>
        <w:rPr>
          <w:b/>
          <w:color w:val="231F20"/>
          <w:spacing w:val="2"/>
          <w:w w:val="110"/>
          <w:sz w:val="18"/>
        </w:rPr>
        <w:t>elders, </w:t>
      </w:r>
      <w:r>
        <w:rPr>
          <w:b/>
          <w:color w:val="231F20"/>
          <w:w w:val="110"/>
          <w:sz w:val="18"/>
        </w:rPr>
        <w:t>not exceeding six, if the synod so</w:t>
      </w:r>
      <w:r>
        <w:rPr>
          <w:b/>
          <w:color w:val="231F20"/>
          <w:spacing w:val="23"/>
          <w:w w:val="110"/>
          <w:sz w:val="18"/>
        </w:rPr>
        <w:t> </w:t>
      </w:r>
      <w:r>
        <w:rPr>
          <w:b/>
          <w:color w:val="231F20"/>
          <w:w w:val="110"/>
          <w:sz w:val="18"/>
        </w:rPr>
        <w:t>determines.</w:t>
      </w:r>
    </w:p>
    <w:p>
      <w:pPr>
        <w:pStyle w:val="BodyText"/>
        <w:spacing w:before="7"/>
        <w:rPr>
          <w:b/>
          <w:sz w:val="20"/>
        </w:rPr>
      </w:pPr>
    </w:p>
    <w:p>
      <w:pPr>
        <w:spacing w:before="0"/>
        <w:ind w:left="673" w:right="0" w:firstLine="0"/>
        <w:jc w:val="both"/>
        <w:rPr>
          <w:b/>
          <w:sz w:val="18"/>
        </w:rPr>
      </w:pPr>
      <w:r>
        <w:rPr>
          <w:b/>
          <w:color w:val="231F20"/>
          <w:w w:val="110"/>
          <w:sz w:val="18"/>
        </w:rPr>
        <w:t>The district council shall meet at least once a year, unless the secretary notifies</w:t>
      </w:r>
    </w:p>
    <w:p>
      <w:pPr>
        <w:spacing w:line="544" w:lineRule="auto" w:before="29"/>
        <w:ind w:left="673" w:right="1593" w:firstLine="0"/>
        <w:jc w:val="left"/>
        <w:rPr>
          <w:b/>
          <w:sz w:val="18"/>
        </w:rPr>
      </w:pPr>
      <w:r>
        <w:rPr>
          <w:b/>
          <w:color w:val="231F20"/>
          <w:w w:val="110"/>
          <w:sz w:val="18"/>
        </w:rPr>
        <w:t>the members in writing that there is no business for the council to transact. Functions:</w:t>
      </w:r>
    </w:p>
    <w:p>
      <w:pPr>
        <w:pStyle w:val="ListParagraph"/>
        <w:numPr>
          <w:ilvl w:val="0"/>
          <w:numId w:val="47"/>
        </w:numPr>
        <w:tabs>
          <w:tab w:pos="1366" w:val="left" w:leader="none"/>
          <w:tab w:pos="1367" w:val="left" w:leader="none"/>
        </w:tabs>
        <w:spacing w:line="218" w:lineRule="exact" w:before="0" w:after="0"/>
        <w:ind w:left="1366" w:right="0" w:hanging="694"/>
        <w:jc w:val="left"/>
        <w:rPr>
          <w:b/>
          <w:sz w:val="18"/>
        </w:rPr>
      </w:pPr>
      <w:r>
        <w:rPr>
          <w:b/>
          <w:color w:val="231F20"/>
          <w:w w:val="110"/>
          <w:sz w:val="18"/>
        </w:rPr>
        <w:t>The district council is responsible for exercising the following</w:t>
      </w:r>
      <w:r>
        <w:rPr>
          <w:b/>
          <w:color w:val="231F20"/>
          <w:spacing w:val="-25"/>
          <w:w w:val="110"/>
          <w:sz w:val="18"/>
        </w:rPr>
        <w:t> </w:t>
      </w:r>
      <w:r>
        <w:rPr>
          <w:b/>
          <w:color w:val="231F20"/>
          <w:w w:val="110"/>
          <w:sz w:val="18"/>
        </w:rPr>
        <w:t>Functions:</w:t>
      </w:r>
    </w:p>
    <w:p>
      <w:pPr>
        <w:pStyle w:val="BodyText"/>
        <w:spacing w:before="10"/>
        <w:rPr>
          <w:b/>
          <w:sz w:val="22"/>
        </w:rPr>
      </w:pPr>
    </w:p>
    <w:p>
      <w:pPr>
        <w:pStyle w:val="ListParagraph"/>
        <w:numPr>
          <w:ilvl w:val="0"/>
          <w:numId w:val="48"/>
        </w:numPr>
        <w:tabs>
          <w:tab w:pos="1354" w:val="left" w:leader="none"/>
          <w:tab w:pos="1355" w:val="left" w:leader="none"/>
        </w:tabs>
        <w:spacing w:line="271" w:lineRule="auto" w:before="0" w:after="0"/>
        <w:ind w:left="1354" w:right="1882" w:hanging="681"/>
        <w:jc w:val="left"/>
        <w:rPr>
          <w:b/>
          <w:sz w:val="18"/>
        </w:rPr>
      </w:pPr>
      <w:r>
        <w:rPr>
          <w:b/>
          <w:color w:val="231F20"/>
          <w:spacing w:val="2"/>
          <w:w w:val="110"/>
          <w:sz w:val="18"/>
        </w:rPr>
        <w:t>those matters </w:t>
      </w:r>
      <w:r>
        <w:rPr>
          <w:b/>
          <w:color w:val="231F20"/>
          <w:w w:val="110"/>
          <w:sz w:val="18"/>
        </w:rPr>
        <w:t>which are the </w:t>
      </w:r>
      <w:r>
        <w:rPr>
          <w:b/>
          <w:color w:val="231F20"/>
          <w:spacing w:val="2"/>
          <w:w w:val="110"/>
          <w:sz w:val="18"/>
        </w:rPr>
        <w:t>responsibility </w:t>
      </w:r>
      <w:r>
        <w:rPr>
          <w:b/>
          <w:color w:val="231F20"/>
          <w:w w:val="110"/>
          <w:sz w:val="18"/>
        </w:rPr>
        <w:t>of the district council under the United Reformed Church </w:t>
      </w:r>
      <w:r>
        <w:rPr>
          <w:b/>
          <w:color w:val="231F20"/>
          <w:spacing w:val="2"/>
          <w:w w:val="110"/>
          <w:sz w:val="18"/>
        </w:rPr>
        <w:t>Acts </w:t>
      </w:r>
      <w:r>
        <w:rPr>
          <w:b/>
          <w:color w:val="231F20"/>
          <w:w w:val="110"/>
          <w:sz w:val="18"/>
        </w:rPr>
        <w:t>of </w:t>
      </w:r>
      <w:r>
        <w:rPr>
          <w:b/>
          <w:color w:val="231F20"/>
          <w:spacing w:val="-3"/>
          <w:w w:val="110"/>
          <w:sz w:val="18"/>
        </w:rPr>
        <w:t>1972, </w:t>
      </w:r>
      <w:r>
        <w:rPr>
          <w:b/>
          <w:color w:val="231F20"/>
          <w:spacing w:val="-4"/>
          <w:w w:val="110"/>
          <w:sz w:val="18"/>
        </w:rPr>
        <w:t>1981 </w:t>
      </w:r>
      <w:r>
        <w:rPr>
          <w:b/>
          <w:color w:val="231F20"/>
          <w:w w:val="110"/>
          <w:sz w:val="18"/>
        </w:rPr>
        <w:t>and </w:t>
      </w:r>
      <w:r>
        <w:rPr>
          <w:b/>
          <w:color w:val="231F20"/>
          <w:spacing w:val="2"/>
          <w:w w:val="110"/>
          <w:sz w:val="18"/>
        </w:rPr>
        <w:t>2000 </w:t>
      </w:r>
      <w:r>
        <w:rPr>
          <w:b/>
          <w:color w:val="231F20"/>
          <w:w w:val="110"/>
          <w:sz w:val="18"/>
        </w:rPr>
        <w:t>(including the </w:t>
      </w:r>
      <w:r>
        <w:rPr>
          <w:b/>
          <w:color w:val="231F20"/>
          <w:spacing w:val="2"/>
          <w:w w:val="110"/>
          <w:sz w:val="18"/>
        </w:rPr>
        <w:t>Schedules </w:t>
      </w:r>
      <w:r>
        <w:rPr>
          <w:b/>
          <w:color w:val="231F20"/>
          <w:w w:val="110"/>
          <w:sz w:val="18"/>
        </w:rPr>
        <w:t>to </w:t>
      </w:r>
      <w:r>
        <w:rPr>
          <w:b/>
          <w:color w:val="231F20"/>
          <w:spacing w:val="2"/>
          <w:w w:val="110"/>
          <w:sz w:val="18"/>
        </w:rPr>
        <w:t>those</w:t>
      </w:r>
      <w:r>
        <w:rPr>
          <w:b/>
          <w:color w:val="231F20"/>
          <w:spacing w:val="-2"/>
          <w:w w:val="110"/>
          <w:sz w:val="18"/>
        </w:rPr>
        <w:t> </w:t>
      </w:r>
      <w:r>
        <w:rPr>
          <w:b/>
          <w:color w:val="231F20"/>
          <w:w w:val="110"/>
          <w:sz w:val="18"/>
        </w:rPr>
        <w:t>Acts);</w:t>
      </w:r>
    </w:p>
    <w:p>
      <w:pPr>
        <w:pStyle w:val="BodyText"/>
        <w:spacing w:before="7"/>
        <w:rPr>
          <w:b/>
          <w:sz w:val="20"/>
        </w:rPr>
      </w:pPr>
    </w:p>
    <w:p>
      <w:pPr>
        <w:pStyle w:val="ListParagraph"/>
        <w:numPr>
          <w:ilvl w:val="0"/>
          <w:numId w:val="48"/>
        </w:numPr>
        <w:tabs>
          <w:tab w:pos="1354" w:val="left" w:leader="none"/>
          <w:tab w:pos="1355" w:val="left" w:leader="none"/>
        </w:tabs>
        <w:spacing w:line="240" w:lineRule="auto" w:before="0" w:after="0"/>
        <w:ind w:left="1354" w:right="0" w:hanging="682"/>
        <w:jc w:val="left"/>
        <w:rPr>
          <w:b/>
          <w:sz w:val="18"/>
        </w:rPr>
      </w:pPr>
      <w:r>
        <w:rPr>
          <w:b/>
          <w:color w:val="231F20"/>
          <w:w w:val="110"/>
          <w:sz w:val="18"/>
        </w:rPr>
        <w:t>such other </w:t>
      </w:r>
      <w:r>
        <w:rPr>
          <w:b/>
          <w:color w:val="231F20"/>
          <w:spacing w:val="2"/>
          <w:w w:val="110"/>
          <w:sz w:val="18"/>
        </w:rPr>
        <w:t>matters </w:t>
      </w:r>
      <w:r>
        <w:rPr>
          <w:b/>
          <w:color w:val="231F20"/>
          <w:w w:val="110"/>
          <w:sz w:val="18"/>
        </w:rPr>
        <w:t>as may be </w:t>
      </w:r>
      <w:r>
        <w:rPr>
          <w:b/>
          <w:color w:val="231F20"/>
          <w:spacing w:val="2"/>
          <w:w w:val="110"/>
          <w:sz w:val="18"/>
        </w:rPr>
        <w:t>delegated </w:t>
      </w:r>
      <w:r>
        <w:rPr>
          <w:b/>
          <w:color w:val="231F20"/>
          <w:w w:val="110"/>
          <w:sz w:val="18"/>
        </w:rPr>
        <w:t>to it by the</w:t>
      </w:r>
      <w:r>
        <w:rPr>
          <w:b/>
          <w:color w:val="231F20"/>
          <w:spacing w:val="11"/>
          <w:w w:val="110"/>
          <w:sz w:val="18"/>
        </w:rPr>
        <w:t> </w:t>
      </w:r>
      <w:r>
        <w:rPr>
          <w:b/>
          <w:color w:val="231F20"/>
          <w:w w:val="110"/>
          <w:sz w:val="18"/>
        </w:rPr>
        <w:t>synod.</w:t>
      </w:r>
    </w:p>
    <w:p>
      <w:pPr>
        <w:spacing w:after="0" w:line="240" w:lineRule="auto"/>
        <w:jc w:val="left"/>
        <w:rPr>
          <w:sz w:val="18"/>
        </w:rPr>
        <w:sectPr>
          <w:headerReference w:type="even" r:id="rId102"/>
          <w:headerReference w:type="default" r:id="rId103"/>
          <w:footerReference w:type="even" r:id="rId104"/>
          <w:footerReference w:type="default" r:id="rId105"/>
          <w:pgSz w:w="11910" w:h="16840"/>
          <w:pgMar w:header="581" w:footer="464" w:top="860" w:bottom="660" w:left="460" w:right="0"/>
          <w:pgNumType w:start="86"/>
        </w:sectPr>
      </w:pPr>
    </w:p>
    <w:p>
      <w:pPr>
        <w:pStyle w:val="BodyText"/>
        <w:spacing w:before="10"/>
        <w:rPr>
          <w:b/>
        </w:rPr>
      </w:pPr>
      <w:r>
        <w:rPr/>
        <w:pict>
          <v:group style="position:absolute;margin-left:39.685001pt;margin-top:46.299015pt;width:542pt;height:759pt;mso-position-horizontal-relative:page;mso-position-vertical-relative:page;z-index:-275516416" coordorigin="794,926" coordsize="10840,15180">
            <v:shape style="position:absolute;left:1311;top:1012;width:9872;height:14983" coordorigin="1311,1013" coordsize="9872,14983" path="m1311,15755l1315,15894,1341,15965,1413,15991,1551,15995,10943,15995,11081,15991,11153,15965,11179,15894,11183,15755,11183,1253,11179,1114,11153,1043,11081,1016,10943,1013,1551,1013,1413,1016,1341,1043,1315,1114,1311,1253,1311,15755xe" filled="false" stroked="true" strokeweight="3.0pt" strokecolor="#000000">
              <v:path arrowok="t"/>
              <v:stroke dashstyle="solid"/>
            </v:shape>
            <v:shape style="position:absolute;left:793;top:925;width:10840;height:15180" coordorigin="794,926" coordsize="10840,15180" path="m11259,926l964,926,964,1247,11259,1247,11259,926m11633,15798l794,15798,794,16106,11633,16106,11633,15798e" filled="true" fillcolor="#ffffff" stroked="false">
              <v:path arrowok="t"/>
              <v:fill type="solid"/>
            </v:shape>
            <w10:wrap type="none"/>
          </v:group>
        </w:pict>
      </w:r>
    </w:p>
    <w:p>
      <w:pPr>
        <w:pStyle w:val="ListParagraph"/>
        <w:numPr>
          <w:ilvl w:val="0"/>
          <w:numId w:val="45"/>
        </w:numPr>
        <w:tabs>
          <w:tab w:pos="1790" w:val="left" w:leader="none"/>
          <w:tab w:pos="1791" w:val="left" w:leader="none"/>
        </w:tabs>
        <w:spacing w:line="273" w:lineRule="auto" w:before="100" w:after="0"/>
        <w:ind w:left="1070" w:right="1199" w:firstLine="0"/>
        <w:jc w:val="left"/>
        <w:rPr>
          <w:sz w:val="18"/>
        </w:rPr>
      </w:pPr>
      <w:r>
        <w:rPr>
          <w:color w:val="231F20"/>
          <w:w w:val="110"/>
          <w:sz w:val="18"/>
        </w:rPr>
        <w:t>General Assembly resolves to amend the Structure of the United Reformed Church relating to synods by deleting the whole of Paragraph </w:t>
      </w:r>
      <w:r>
        <w:rPr>
          <w:color w:val="231F20"/>
          <w:spacing w:val="-8"/>
          <w:w w:val="110"/>
          <w:sz w:val="18"/>
        </w:rPr>
        <w:t>2(4) </w:t>
      </w:r>
      <w:r>
        <w:rPr>
          <w:color w:val="231F20"/>
          <w:w w:val="110"/>
          <w:sz w:val="18"/>
        </w:rPr>
        <w:t>and replacing it</w:t>
      </w:r>
      <w:r>
        <w:rPr>
          <w:color w:val="231F20"/>
          <w:spacing w:val="3"/>
          <w:w w:val="110"/>
          <w:sz w:val="18"/>
        </w:rPr>
        <w:t> </w:t>
      </w:r>
      <w:r>
        <w:rPr>
          <w:color w:val="231F20"/>
          <w:w w:val="110"/>
          <w:sz w:val="18"/>
        </w:rPr>
        <w:t>with:</w:t>
      </w:r>
    </w:p>
    <w:p>
      <w:pPr>
        <w:pStyle w:val="BodyText"/>
        <w:spacing w:before="9"/>
        <w:rPr>
          <w:sz w:val="20"/>
        </w:rPr>
      </w:pPr>
    </w:p>
    <w:p>
      <w:pPr>
        <w:spacing w:line="273" w:lineRule="auto" w:before="0"/>
        <w:ind w:left="1070" w:right="1550" w:firstLine="0"/>
        <w:jc w:val="left"/>
        <w:rPr>
          <w:b/>
          <w:sz w:val="18"/>
        </w:rPr>
      </w:pPr>
      <w:r>
        <w:rPr>
          <w:b/>
          <w:color w:val="231F20"/>
          <w:spacing w:val="-5"/>
          <w:w w:val="110"/>
          <w:sz w:val="18"/>
        </w:rPr>
        <w:t>2.(4)   </w:t>
      </w:r>
      <w:r>
        <w:rPr>
          <w:b/>
          <w:color w:val="231F20"/>
          <w:w w:val="110"/>
          <w:sz w:val="18"/>
        </w:rPr>
        <w:t>The synod being </w:t>
      </w:r>
      <w:r>
        <w:rPr>
          <w:b/>
          <w:color w:val="231F20"/>
          <w:spacing w:val="2"/>
          <w:w w:val="110"/>
          <w:sz w:val="18"/>
        </w:rPr>
        <w:t>representative </w:t>
      </w:r>
      <w:r>
        <w:rPr>
          <w:b/>
          <w:color w:val="231F20"/>
          <w:w w:val="110"/>
          <w:sz w:val="18"/>
        </w:rPr>
        <w:t>of the </w:t>
      </w:r>
      <w:r>
        <w:rPr>
          <w:b/>
          <w:color w:val="231F20"/>
          <w:spacing w:val="2"/>
          <w:w w:val="110"/>
          <w:sz w:val="18"/>
        </w:rPr>
        <w:t>Local Churches </w:t>
      </w:r>
      <w:r>
        <w:rPr>
          <w:b/>
          <w:color w:val="231F20"/>
          <w:w w:val="110"/>
          <w:sz w:val="18"/>
        </w:rPr>
        <w:t>in that province   or nation united for the purpose of dealing with </w:t>
      </w:r>
      <w:r>
        <w:rPr>
          <w:b/>
          <w:color w:val="231F20"/>
          <w:spacing w:val="2"/>
          <w:w w:val="110"/>
          <w:sz w:val="18"/>
        </w:rPr>
        <w:t>matters </w:t>
      </w:r>
      <w:r>
        <w:rPr>
          <w:b/>
          <w:color w:val="231F20"/>
          <w:w w:val="110"/>
          <w:sz w:val="18"/>
        </w:rPr>
        <w:t>of wider concern shall </w:t>
      </w:r>
      <w:r>
        <w:rPr>
          <w:b/>
          <w:color w:val="231F20"/>
          <w:spacing w:val="2"/>
          <w:w w:val="110"/>
          <w:sz w:val="18"/>
        </w:rPr>
        <w:t>consist</w:t>
      </w:r>
      <w:r>
        <w:rPr>
          <w:b/>
          <w:color w:val="231F20"/>
          <w:spacing w:val="-1"/>
          <w:w w:val="110"/>
          <w:sz w:val="18"/>
        </w:rPr>
        <w:t> </w:t>
      </w:r>
      <w:r>
        <w:rPr>
          <w:b/>
          <w:color w:val="231F20"/>
          <w:w w:val="110"/>
          <w:sz w:val="18"/>
        </w:rPr>
        <w:t>of:</w:t>
      </w:r>
    </w:p>
    <w:p>
      <w:pPr>
        <w:pStyle w:val="BodyText"/>
        <w:spacing w:before="8"/>
        <w:rPr>
          <w:b/>
          <w:sz w:val="20"/>
        </w:rPr>
      </w:pPr>
    </w:p>
    <w:p>
      <w:pPr>
        <w:pStyle w:val="ListParagraph"/>
        <w:numPr>
          <w:ilvl w:val="0"/>
          <w:numId w:val="49"/>
        </w:numPr>
        <w:tabs>
          <w:tab w:pos="1752" w:val="left" w:leader="none"/>
        </w:tabs>
        <w:spacing w:line="273" w:lineRule="auto" w:before="1" w:after="0"/>
        <w:ind w:left="1751" w:right="2242" w:hanging="681"/>
        <w:jc w:val="both"/>
        <w:rPr>
          <w:b/>
          <w:sz w:val="18"/>
        </w:rPr>
      </w:pPr>
      <w:r>
        <w:rPr>
          <w:b/>
          <w:color w:val="231F20"/>
          <w:w w:val="110"/>
          <w:sz w:val="18"/>
        </w:rPr>
        <w:t>All ministers, </w:t>
      </w:r>
      <w:r>
        <w:rPr>
          <w:b/>
          <w:color w:val="231F20"/>
          <w:spacing w:val="2"/>
          <w:w w:val="110"/>
          <w:sz w:val="18"/>
        </w:rPr>
        <w:t>registered pastors </w:t>
      </w:r>
      <w:r>
        <w:rPr>
          <w:b/>
          <w:color w:val="231F20"/>
          <w:w w:val="110"/>
          <w:sz w:val="18"/>
        </w:rPr>
        <w:t>(in Scotland) and </w:t>
      </w:r>
      <w:r>
        <w:rPr>
          <w:b/>
          <w:color w:val="231F20"/>
          <w:spacing w:val="2"/>
          <w:w w:val="110"/>
          <w:sz w:val="18"/>
        </w:rPr>
        <w:t>church related </w:t>
      </w:r>
      <w:r>
        <w:rPr>
          <w:b/>
          <w:color w:val="231F20"/>
          <w:w w:val="110"/>
          <w:sz w:val="18"/>
        </w:rPr>
        <w:t>community workers engaged </w:t>
      </w:r>
      <w:r>
        <w:rPr>
          <w:b/>
          <w:color w:val="231F20"/>
          <w:spacing w:val="2"/>
          <w:w w:val="110"/>
          <w:sz w:val="18"/>
        </w:rPr>
        <w:t>directly </w:t>
      </w:r>
      <w:r>
        <w:rPr>
          <w:b/>
          <w:color w:val="231F20"/>
          <w:w w:val="110"/>
          <w:sz w:val="18"/>
        </w:rPr>
        <w:t>in the </w:t>
      </w:r>
      <w:r>
        <w:rPr>
          <w:b/>
          <w:color w:val="231F20"/>
          <w:spacing w:val="2"/>
          <w:w w:val="110"/>
          <w:sz w:val="18"/>
        </w:rPr>
        <w:t>service </w:t>
      </w:r>
      <w:r>
        <w:rPr>
          <w:b/>
          <w:color w:val="231F20"/>
          <w:w w:val="110"/>
          <w:sz w:val="18"/>
        </w:rPr>
        <w:t>of the United Reformed Church within that</w:t>
      </w:r>
      <w:r>
        <w:rPr>
          <w:b/>
          <w:color w:val="231F20"/>
          <w:spacing w:val="5"/>
          <w:w w:val="110"/>
          <w:sz w:val="18"/>
        </w:rPr>
        <w:t> </w:t>
      </w:r>
      <w:r>
        <w:rPr>
          <w:b/>
          <w:color w:val="231F20"/>
          <w:w w:val="110"/>
          <w:sz w:val="18"/>
        </w:rPr>
        <w:t>synod;</w:t>
      </w:r>
    </w:p>
    <w:p>
      <w:pPr>
        <w:pStyle w:val="BodyText"/>
        <w:spacing w:before="8"/>
        <w:rPr>
          <w:b/>
          <w:sz w:val="20"/>
        </w:rPr>
      </w:pPr>
    </w:p>
    <w:p>
      <w:pPr>
        <w:pStyle w:val="ListParagraph"/>
        <w:numPr>
          <w:ilvl w:val="0"/>
          <w:numId w:val="49"/>
        </w:numPr>
        <w:tabs>
          <w:tab w:pos="1751" w:val="left" w:leader="none"/>
          <w:tab w:pos="1752" w:val="left" w:leader="none"/>
        </w:tabs>
        <w:spacing w:line="273" w:lineRule="auto" w:before="0" w:after="0"/>
        <w:ind w:left="1751" w:right="1662" w:hanging="681"/>
        <w:jc w:val="left"/>
        <w:rPr>
          <w:b/>
          <w:sz w:val="18"/>
        </w:rPr>
      </w:pPr>
      <w:r>
        <w:rPr>
          <w:b/>
          <w:color w:val="231F20"/>
          <w:w w:val="110"/>
          <w:sz w:val="18"/>
        </w:rPr>
        <w:t>All missionaries of the United Reformed Church for the time being on furlough</w:t>
      </w:r>
      <w:r>
        <w:rPr>
          <w:b/>
          <w:color w:val="231F20"/>
          <w:spacing w:val="10"/>
          <w:w w:val="110"/>
          <w:sz w:val="18"/>
        </w:rPr>
        <w:t> </w:t>
      </w:r>
      <w:r>
        <w:rPr>
          <w:b/>
          <w:color w:val="231F20"/>
          <w:w w:val="110"/>
          <w:sz w:val="18"/>
        </w:rPr>
        <w:t>and</w:t>
      </w:r>
      <w:r>
        <w:rPr>
          <w:b/>
          <w:color w:val="231F20"/>
          <w:spacing w:val="11"/>
          <w:w w:val="110"/>
          <w:sz w:val="18"/>
        </w:rPr>
        <w:t> </w:t>
      </w:r>
      <w:r>
        <w:rPr>
          <w:b/>
          <w:color w:val="231F20"/>
          <w:w w:val="110"/>
          <w:sz w:val="18"/>
        </w:rPr>
        <w:t>for</w:t>
      </w:r>
      <w:r>
        <w:rPr>
          <w:b/>
          <w:color w:val="231F20"/>
          <w:spacing w:val="11"/>
          <w:w w:val="110"/>
          <w:sz w:val="18"/>
        </w:rPr>
        <w:t> </w:t>
      </w:r>
      <w:r>
        <w:rPr>
          <w:b/>
          <w:color w:val="231F20"/>
          <w:w w:val="110"/>
          <w:sz w:val="18"/>
        </w:rPr>
        <w:t>the</w:t>
      </w:r>
      <w:r>
        <w:rPr>
          <w:b/>
          <w:color w:val="231F20"/>
          <w:spacing w:val="10"/>
          <w:w w:val="110"/>
          <w:sz w:val="18"/>
        </w:rPr>
        <w:t> </w:t>
      </w:r>
      <w:r>
        <w:rPr>
          <w:b/>
          <w:color w:val="231F20"/>
          <w:w w:val="110"/>
          <w:sz w:val="18"/>
        </w:rPr>
        <w:t>time</w:t>
      </w:r>
      <w:r>
        <w:rPr>
          <w:b/>
          <w:color w:val="231F20"/>
          <w:spacing w:val="11"/>
          <w:w w:val="110"/>
          <w:sz w:val="18"/>
        </w:rPr>
        <w:t> </w:t>
      </w:r>
      <w:r>
        <w:rPr>
          <w:b/>
          <w:color w:val="231F20"/>
          <w:w w:val="110"/>
          <w:sz w:val="18"/>
        </w:rPr>
        <w:t>being</w:t>
      </w:r>
      <w:r>
        <w:rPr>
          <w:b/>
          <w:color w:val="231F20"/>
          <w:spacing w:val="11"/>
          <w:w w:val="110"/>
          <w:sz w:val="18"/>
        </w:rPr>
        <w:t> </w:t>
      </w:r>
      <w:r>
        <w:rPr>
          <w:b/>
          <w:color w:val="231F20"/>
          <w:spacing w:val="2"/>
          <w:w w:val="110"/>
          <w:sz w:val="18"/>
        </w:rPr>
        <w:t>resident</w:t>
      </w:r>
      <w:r>
        <w:rPr>
          <w:b/>
          <w:color w:val="231F20"/>
          <w:spacing w:val="10"/>
          <w:w w:val="110"/>
          <w:sz w:val="18"/>
        </w:rPr>
        <w:t> </w:t>
      </w:r>
      <w:r>
        <w:rPr>
          <w:b/>
          <w:color w:val="231F20"/>
          <w:w w:val="110"/>
          <w:sz w:val="18"/>
        </w:rPr>
        <w:t>within</w:t>
      </w:r>
      <w:r>
        <w:rPr>
          <w:b/>
          <w:color w:val="231F20"/>
          <w:spacing w:val="11"/>
          <w:w w:val="110"/>
          <w:sz w:val="18"/>
        </w:rPr>
        <w:t> </w:t>
      </w:r>
      <w:r>
        <w:rPr>
          <w:b/>
          <w:color w:val="231F20"/>
          <w:w w:val="110"/>
          <w:sz w:val="18"/>
        </w:rPr>
        <w:t>the</w:t>
      </w:r>
      <w:r>
        <w:rPr>
          <w:b/>
          <w:color w:val="231F20"/>
          <w:spacing w:val="11"/>
          <w:w w:val="110"/>
          <w:sz w:val="18"/>
        </w:rPr>
        <w:t> </w:t>
      </w:r>
      <w:r>
        <w:rPr>
          <w:b/>
          <w:color w:val="231F20"/>
          <w:w w:val="110"/>
          <w:sz w:val="18"/>
        </w:rPr>
        <w:t>province</w:t>
      </w:r>
      <w:r>
        <w:rPr>
          <w:b/>
          <w:color w:val="231F20"/>
          <w:spacing w:val="10"/>
          <w:w w:val="110"/>
          <w:sz w:val="18"/>
        </w:rPr>
        <w:t> </w:t>
      </w:r>
      <w:r>
        <w:rPr>
          <w:b/>
          <w:color w:val="231F20"/>
          <w:w w:val="110"/>
          <w:sz w:val="18"/>
        </w:rPr>
        <w:t>or</w:t>
      </w:r>
      <w:r>
        <w:rPr>
          <w:b/>
          <w:color w:val="231F20"/>
          <w:spacing w:val="11"/>
          <w:w w:val="110"/>
          <w:sz w:val="18"/>
        </w:rPr>
        <w:t> </w:t>
      </w:r>
      <w:r>
        <w:rPr>
          <w:b/>
          <w:color w:val="231F20"/>
          <w:w w:val="110"/>
          <w:sz w:val="18"/>
        </w:rPr>
        <w:t>nation;</w:t>
      </w:r>
    </w:p>
    <w:p>
      <w:pPr>
        <w:pStyle w:val="BodyText"/>
        <w:spacing w:before="8"/>
        <w:rPr>
          <w:b/>
          <w:sz w:val="20"/>
        </w:rPr>
      </w:pPr>
    </w:p>
    <w:p>
      <w:pPr>
        <w:pStyle w:val="ListParagraph"/>
        <w:numPr>
          <w:ilvl w:val="0"/>
          <w:numId w:val="49"/>
        </w:numPr>
        <w:tabs>
          <w:tab w:pos="1750" w:val="left" w:leader="none"/>
          <w:tab w:pos="1752" w:val="left" w:leader="none"/>
        </w:tabs>
        <w:spacing w:line="273" w:lineRule="auto" w:before="0" w:after="0"/>
        <w:ind w:left="1751" w:right="1830" w:hanging="681"/>
        <w:jc w:val="left"/>
        <w:rPr>
          <w:b/>
          <w:sz w:val="18"/>
        </w:rPr>
      </w:pPr>
      <w:r>
        <w:rPr>
          <w:b/>
          <w:color w:val="231F20"/>
          <w:spacing w:val="2"/>
          <w:w w:val="110"/>
          <w:sz w:val="18"/>
        </w:rPr>
        <w:t>Representatives </w:t>
      </w:r>
      <w:r>
        <w:rPr>
          <w:b/>
          <w:color w:val="231F20"/>
          <w:w w:val="110"/>
          <w:sz w:val="18"/>
        </w:rPr>
        <w:t>of </w:t>
      </w:r>
      <w:r>
        <w:rPr>
          <w:b/>
          <w:color w:val="231F20"/>
          <w:spacing w:val="2"/>
          <w:w w:val="110"/>
          <w:sz w:val="18"/>
        </w:rPr>
        <w:t>Local Churches </w:t>
      </w:r>
      <w:r>
        <w:rPr>
          <w:b/>
          <w:color w:val="231F20"/>
          <w:w w:val="110"/>
          <w:sz w:val="18"/>
        </w:rPr>
        <w:t>within the province or nation who shall</w:t>
      </w:r>
      <w:r>
        <w:rPr>
          <w:b/>
          <w:color w:val="231F20"/>
          <w:spacing w:val="8"/>
          <w:w w:val="110"/>
          <w:sz w:val="18"/>
        </w:rPr>
        <w:t> </w:t>
      </w:r>
      <w:r>
        <w:rPr>
          <w:b/>
          <w:color w:val="231F20"/>
          <w:w w:val="110"/>
          <w:sz w:val="18"/>
        </w:rPr>
        <w:t>normally</w:t>
      </w:r>
      <w:r>
        <w:rPr>
          <w:b/>
          <w:color w:val="231F20"/>
          <w:spacing w:val="9"/>
          <w:w w:val="110"/>
          <w:sz w:val="18"/>
        </w:rPr>
        <w:t> </w:t>
      </w:r>
      <w:r>
        <w:rPr>
          <w:b/>
          <w:color w:val="231F20"/>
          <w:w w:val="110"/>
          <w:sz w:val="18"/>
        </w:rPr>
        <w:t>be</w:t>
      </w:r>
      <w:r>
        <w:rPr>
          <w:b/>
          <w:color w:val="231F20"/>
          <w:spacing w:val="9"/>
          <w:w w:val="110"/>
          <w:sz w:val="18"/>
        </w:rPr>
        <w:t> </w:t>
      </w:r>
      <w:r>
        <w:rPr>
          <w:b/>
          <w:color w:val="231F20"/>
          <w:w w:val="110"/>
          <w:sz w:val="18"/>
        </w:rPr>
        <w:t>members</w:t>
      </w:r>
      <w:r>
        <w:rPr>
          <w:b/>
          <w:color w:val="231F20"/>
          <w:spacing w:val="9"/>
          <w:w w:val="110"/>
          <w:sz w:val="18"/>
        </w:rPr>
        <w:t> </w:t>
      </w:r>
      <w:r>
        <w:rPr>
          <w:b/>
          <w:color w:val="231F20"/>
          <w:w w:val="110"/>
          <w:sz w:val="18"/>
        </w:rPr>
        <w:t>of</w:t>
      </w:r>
      <w:r>
        <w:rPr>
          <w:b/>
          <w:color w:val="231F20"/>
          <w:spacing w:val="9"/>
          <w:w w:val="110"/>
          <w:sz w:val="18"/>
        </w:rPr>
        <w:t> </w:t>
      </w:r>
      <w:r>
        <w:rPr>
          <w:b/>
          <w:color w:val="231F20"/>
          <w:w w:val="110"/>
          <w:sz w:val="18"/>
        </w:rPr>
        <w:t>the</w:t>
      </w:r>
      <w:r>
        <w:rPr>
          <w:b/>
          <w:color w:val="231F20"/>
          <w:spacing w:val="9"/>
          <w:w w:val="110"/>
          <w:sz w:val="18"/>
        </w:rPr>
        <w:t> </w:t>
      </w:r>
      <w:r>
        <w:rPr>
          <w:b/>
          <w:color w:val="231F20"/>
          <w:spacing w:val="2"/>
          <w:w w:val="110"/>
          <w:sz w:val="18"/>
        </w:rPr>
        <w:t>elders’</w:t>
      </w:r>
      <w:r>
        <w:rPr>
          <w:b/>
          <w:color w:val="231F20"/>
          <w:spacing w:val="9"/>
          <w:w w:val="110"/>
          <w:sz w:val="18"/>
        </w:rPr>
        <w:t> </w:t>
      </w:r>
      <w:r>
        <w:rPr>
          <w:b/>
          <w:color w:val="231F20"/>
          <w:w w:val="110"/>
          <w:sz w:val="18"/>
        </w:rPr>
        <w:t>meeting</w:t>
      </w:r>
      <w:r>
        <w:rPr>
          <w:b/>
          <w:color w:val="231F20"/>
          <w:spacing w:val="9"/>
          <w:w w:val="110"/>
          <w:sz w:val="18"/>
        </w:rPr>
        <w:t> </w:t>
      </w:r>
      <w:r>
        <w:rPr>
          <w:b/>
          <w:color w:val="231F20"/>
          <w:w w:val="110"/>
          <w:sz w:val="18"/>
        </w:rPr>
        <w:t>of</w:t>
      </w:r>
      <w:r>
        <w:rPr>
          <w:b/>
          <w:color w:val="231F20"/>
          <w:spacing w:val="9"/>
          <w:w w:val="110"/>
          <w:sz w:val="18"/>
        </w:rPr>
        <w:t> </w:t>
      </w:r>
      <w:r>
        <w:rPr>
          <w:b/>
          <w:color w:val="231F20"/>
          <w:w w:val="110"/>
          <w:sz w:val="18"/>
        </w:rPr>
        <w:t>a</w:t>
      </w:r>
      <w:r>
        <w:rPr>
          <w:b/>
          <w:color w:val="231F20"/>
          <w:spacing w:val="9"/>
          <w:w w:val="110"/>
          <w:sz w:val="18"/>
        </w:rPr>
        <w:t> </w:t>
      </w:r>
      <w:r>
        <w:rPr>
          <w:b/>
          <w:color w:val="231F20"/>
          <w:spacing w:val="2"/>
          <w:w w:val="110"/>
          <w:sz w:val="18"/>
        </w:rPr>
        <w:t>Local</w:t>
      </w:r>
      <w:r>
        <w:rPr>
          <w:b/>
          <w:color w:val="231F20"/>
          <w:spacing w:val="9"/>
          <w:w w:val="110"/>
          <w:sz w:val="18"/>
        </w:rPr>
        <w:t> </w:t>
      </w:r>
      <w:r>
        <w:rPr>
          <w:b/>
          <w:color w:val="231F20"/>
          <w:w w:val="110"/>
          <w:sz w:val="18"/>
        </w:rPr>
        <w:t>Church</w:t>
      </w:r>
    </w:p>
    <w:p>
      <w:pPr>
        <w:spacing w:line="273" w:lineRule="auto" w:before="2"/>
        <w:ind w:left="1751" w:right="1365" w:firstLine="0"/>
        <w:jc w:val="left"/>
        <w:rPr>
          <w:b/>
          <w:sz w:val="18"/>
        </w:rPr>
      </w:pPr>
      <w:r>
        <w:rPr>
          <w:b/>
          <w:color w:val="231F20"/>
          <w:w w:val="110"/>
          <w:sz w:val="18"/>
        </w:rPr>
        <w:t>and who shall be appointed by the church meeting of such Local Church, the number of such representatives to be in all cases two.</w:t>
      </w:r>
    </w:p>
    <w:p>
      <w:pPr>
        <w:spacing w:line="273" w:lineRule="auto" w:before="1"/>
        <w:ind w:left="1750" w:right="1365" w:firstLine="0"/>
        <w:jc w:val="left"/>
        <w:rPr>
          <w:b/>
          <w:sz w:val="18"/>
        </w:rPr>
      </w:pPr>
      <w:r>
        <w:rPr>
          <w:b/>
          <w:color w:val="231F20"/>
          <w:w w:val="110"/>
          <w:sz w:val="18"/>
        </w:rPr>
        <w:t>(where a Local Church, whether a local ecumenical partnership or a Local Church organised according to the second sentence of paragraph 1.(1), comprises two or more congregations worshipping in separate locations, the synod may, on the advice of the district council, authorise that Local Church to appoint representatives to the synod from each constituent congregation to such numbers as would be permitted by the above rule if each congregation were a separate Local Church);</w:t>
      </w:r>
    </w:p>
    <w:p>
      <w:pPr>
        <w:pStyle w:val="BodyText"/>
        <w:spacing w:before="11"/>
        <w:rPr>
          <w:b/>
          <w:sz w:val="20"/>
        </w:rPr>
      </w:pPr>
    </w:p>
    <w:p>
      <w:pPr>
        <w:pStyle w:val="ListParagraph"/>
        <w:numPr>
          <w:ilvl w:val="0"/>
          <w:numId w:val="49"/>
        </w:numPr>
        <w:tabs>
          <w:tab w:pos="1751" w:val="left" w:leader="none"/>
          <w:tab w:pos="1752" w:val="left" w:leader="none"/>
        </w:tabs>
        <w:spacing w:line="273" w:lineRule="auto" w:before="0" w:after="0"/>
        <w:ind w:left="1751" w:right="1481" w:hanging="681"/>
        <w:jc w:val="left"/>
        <w:rPr>
          <w:b/>
          <w:sz w:val="18"/>
        </w:rPr>
      </w:pPr>
      <w:r>
        <w:rPr>
          <w:b/>
          <w:color w:val="231F20"/>
          <w:w w:val="110"/>
          <w:sz w:val="18"/>
        </w:rPr>
        <w:t>An elder appointed by the synod as an interim moderator who shall be a full member of the synod for the period of the</w:t>
      </w:r>
      <w:r>
        <w:rPr>
          <w:b/>
          <w:color w:val="231F20"/>
          <w:spacing w:val="40"/>
          <w:w w:val="110"/>
          <w:sz w:val="18"/>
        </w:rPr>
        <w:t> </w:t>
      </w:r>
      <w:r>
        <w:rPr>
          <w:b/>
          <w:color w:val="231F20"/>
          <w:w w:val="110"/>
          <w:sz w:val="18"/>
        </w:rPr>
        <w:t>appointment.</w:t>
      </w:r>
    </w:p>
    <w:p>
      <w:pPr>
        <w:pStyle w:val="BodyText"/>
        <w:spacing w:before="8"/>
        <w:rPr>
          <w:b/>
          <w:sz w:val="20"/>
        </w:rPr>
      </w:pPr>
    </w:p>
    <w:p>
      <w:pPr>
        <w:spacing w:before="0"/>
        <w:ind w:left="1070" w:right="0" w:firstLine="0"/>
        <w:jc w:val="left"/>
        <w:rPr>
          <w:b/>
          <w:sz w:val="18"/>
        </w:rPr>
      </w:pPr>
      <w:r>
        <w:rPr>
          <w:b/>
          <w:color w:val="231F20"/>
          <w:w w:val="110"/>
          <w:sz w:val="18"/>
        </w:rPr>
        <w:t>Functions of</w:t>
      </w:r>
      <w:r>
        <w:rPr>
          <w:b/>
          <w:color w:val="231F20"/>
          <w:spacing w:val="40"/>
          <w:w w:val="110"/>
          <w:sz w:val="18"/>
        </w:rPr>
        <w:t> </w:t>
      </w:r>
      <w:r>
        <w:rPr>
          <w:b/>
          <w:color w:val="231F20"/>
          <w:w w:val="110"/>
          <w:sz w:val="18"/>
        </w:rPr>
        <w:t>synod:</w:t>
      </w:r>
    </w:p>
    <w:p>
      <w:pPr>
        <w:pStyle w:val="BodyText"/>
        <w:spacing w:before="2"/>
        <w:rPr>
          <w:b/>
          <w:sz w:val="23"/>
        </w:rPr>
      </w:pPr>
    </w:p>
    <w:p>
      <w:pPr>
        <w:tabs>
          <w:tab w:pos="1790" w:val="left" w:leader="none"/>
        </w:tabs>
        <w:spacing w:line="273" w:lineRule="auto" w:before="0"/>
        <w:ind w:left="1070" w:right="1194" w:firstLine="0"/>
        <w:jc w:val="left"/>
        <w:rPr>
          <w:b/>
          <w:sz w:val="18"/>
        </w:rPr>
      </w:pPr>
      <w:r>
        <w:rPr>
          <w:b/>
          <w:color w:val="231F20"/>
          <w:spacing w:val="3"/>
          <w:w w:val="110"/>
          <w:sz w:val="18"/>
        </w:rPr>
        <w:t>A.</w:t>
        <w:tab/>
      </w:r>
      <w:r>
        <w:rPr>
          <w:b/>
          <w:color w:val="231F20"/>
          <w:w w:val="110"/>
          <w:sz w:val="18"/>
        </w:rPr>
        <w:t>The synod is </w:t>
      </w:r>
      <w:r>
        <w:rPr>
          <w:b/>
          <w:color w:val="231F20"/>
          <w:spacing w:val="2"/>
          <w:w w:val="110"/>
          <w:sz w:val="18"/>
        </w:rPr>
        <w:t>responsible </w:t>
      </w:r>
      <w:r>
        <w:rPr>
          <w:b/>
          <w:color w:val="231F20"/>
          <w:w w:val="110"/>
          <w:sz w:val="18"/>
        </w:rPr>
        <w:t>for exercising the following Functions (subject to the </w:t>
      </w:r>
      <w:r>
        <w:rPr>
          <w:b/>
          <w:color w:val="231F20"/>
          <w:spacing w:val="2"/>
          <w:w w:val="110"/>
          <w:sz w:val="18"/>
        </w:rPr>
        <w:t>restriction referred </w:t>
      </w:r>
      <w:r>
        <w:rPr>
          <w:b/>
          <w:color w:val="231F20"/>
          <w:w w:val="110"/>
          <w:sz w:val="18"/>
        </w:rPr>
        <w:t>to in Paragraph </w:t>
      </w:r>
      <w:r>
        <w:rPr>
          <w:b/>
          <w:color w:val="231F20"/>
          <w:spacing w:val="-7"/>
          <w:w w:val="110"/>
          <w:sz w:val="18"/>
        </w:rPr>
        <w:t>(B)</w:t>
      </w:r>
      <w:r>
        <w:rPr>
          <w:b/>
          <w:color w:val="231F20"/>
          <w:spacing w:val="2"/>
          <w:w w:val="110"/>
          <w:sz w:val="18"/>
        </w:rPr>
        <w:t> </w:t>
      </w:r>
      <w:r>
        <w:rPr>
          <w:b/>
          <w:color w:val="231F20"/>
          <w:w w:val="110"/>
          <w:sz w:val="18"/>
        </w:rPr>
        <w:t>below):</w:t>
      </w:r>
    </w:p>
    <w:p>
      <w:pPr>
        <w:pStyle w:val="BodyText"/>
        <w:spacing w:before="8"/>
        <w:rPr>
          <w:b/>
          <w:sz w:val="20"/>
        </w:rPr>
      </w:pPr>
    </w:p>
    <w:p>
      <w:pPr>
        <w:pStyle w:val="ListParagraph"/>
        <w:numPr>
          <w:ilvl w:val="0"/>
          <w:numId w:val="50"/>
        </w:numPr>
        <w:tabs>
          <w:tab w:pos="1790" w:val="left" w:leader="none"/>
          <w:tab w:pos="1791" w:val="left" w:leader="none"/>
        </w:tabs>
        <w:spacing w:line="240" w:lineRule="auto" w:before="0" w:after="0"/>
        <w:ind w:left="1790" w:right="0" w:hanging="721"/>
        <w:jc w:val="left"/>
        <w:rPr>
          <w:b/>
          <w:sz w:val="18"/>
        </w:rPr>
      </w:pPr>
      <w:r>
        <w:rPr>
          <w:b/>
          <w:color w:val="231F20"/>
          <w:w w:val="110"/>
          <w:sz w:val="18"/>
        </w:rPr>
        <w:t>to take </w:t>
      </w:r>
      <w:r>
        <w:rPr>
          <w:b/>
          <w:color w:val="231F20"/>
          <w:spacing w:val="2"/>
          <w:w w:val="110"/>
          <w:sz w:val="18"/>
        </w:rPr>
        <w:t>action </w:t>
      </w:r>
      <w:r>
        <w:rPr>
          <w:b/>
          <w:color w:val="231F20"/>
          <w:w w:val="110"/>
          <w:sz w:val="18"/>
        </w:rPr>
        <w:t>which</w:t>
      </w:r>
      <w:r>
        <w:rPr>
          <w:b/>
          <w:color w:val="231F20"/>
          <w:spacing w:val="-1"/>
          <w:w w:val="110"/>
          <w:sz w:val="18"/>
        </w:rPr>
        <w:t> </w:t>
      </w:r>
      <w:r>
        <w:rPr>
          <w:b/>
          <w:color w:val="231F20"/>
          <w:spacing w:val="2"/>
          <w:w w:val="110"/>
          <w:sz w:val="18"/>
        </w:rPr>
        <w:t>supports</w:t>
      </w:r>
    </w:p>
    <w:p>
      <w:pPr>
        <w:pStyle w:val="ListParagraph"/>
        <w:numPr>
          <w:ilvl w:val="1"/>
          <w:numId w:val="50"/>
        </w:numPr>
        <w:tabs>
          <w:tab w:pos="2510" w:val="left" w:leader="none"/>
          <w:tab w:pos="2511" w:val="left" w:leader="none"/>
        </w:tabs>
        <w:spacing w:line="277" w:lineRule="exact" w:before="1" w:after="0"/>
        <w:ind w:left="2510" w:right="0" w:hanging="760"/>
        <w:jc w:val="left"/>
        <w:rPr>
          <w:b/>
          <w:sz w:val="18"/>
        </w:rPr>
      </w:pPr>
      <w:r>
        <w:rPr>
          <w:b/>
          <w:color w:val="231F20"/>
          <w:w w:val="110"/>
          <w:sz w:val="18"/>
        </w:rPr>
        <w:t>the spreading of the </w:t>
      </w:r>
      <w:r>
        <w:rPr>
          <w:b/>
          <w:color w:val="231F20"/>
          <w:spacing w:val="2"/>
          <w:w w:val="110"/>
          <w:sz w:val="18"/>
        </w:rPr>
        <w:t>Gospel </w:t>
      </w:r>
      <w:r>
        <w:rPr>
          <w:b/>
          <w:color w:val="231F20"/>
          <w:w w:val="110"/>
          <w:sz w:val="18"/>
        </w:rPr>
        <w:t>at home and</w:t>
      </w:r>
      <w:r>
        <w:rPr>
          <w:b/>
          <w:color w:val="231F20"/>
          <w:spacing w:val="9"/>
          <w:w w:val="110"/>
          <w:sz w:val="18"/>
        </w:rPr>
        <w:t> </w:t>
      </w:r>
      <w:r>
        <w:rPr>
          <w:b/>
          <w:color w:val="231F20"/>
          <w:w w:val="110"/>
          <w:sz w:val="18"/>
        </w:rPr>
        <w:t>abroad,</w:t>
      </w:r>
    </w:p>
    <w:p>
      <w:pPr>
        <w:pStyle w:val="ListParagraph"/>
        <w:numPr>
          <w:ilvl w:val="1"/>
          <w:numId w:val="50"/>
        </w:numPr>
        <w:tabs>
          <w:tab w:pos="2510" w:val="left" w:leader="none"/>
          <w:tab w:pos="2511" w:val="left" w:leader="none"/>
        </w:tabs>
        <w:spacing w:line="250" w:lineRule="exact" w:before="0" w:after="0"/>
        <w:ind w:left="2510" w:right="0" w:hanging="760"/>
        <w:jc w:val="left"/>
        <w:rPr>
          <w:b/>
          <w:sz w:val="18"/>
        </w:rPr>
      </w:pPr>
      <w:r>
        <w:rPr>
          <w:b/>
          <w:color w:val="231F20"/>
          <w:w w:val="110"/>
          <w:sz w:val="18"/>
        </w:rPr>
        <w:t>the life and </w:t>
      </w:r>
      <w:r>
        <w:rPr>
          <w:b/>
          <w:color w:val="231F20"/>
          <w:spacing w:val="2"/>
          <w:w w:val="110"/>
          <w:sz w:val="18"/>
        </w:rPr>
        <w:t>witness </w:t>
      </w:r>
      <w:r>
        <w:rPr>
          <w:b/>
          <w:color w:val="231F20"/>
          <w:w w:val="110"/>
          <w:sz w:val="18"/>
        </w:rPr>
        <w:t>of the United Reformed</w:t>
      </w:r>
      <w:r>
        <w:rPr>
          <w:b/>
          <w:color w:val="231F20"/>
          <w:spacing w:val="12"/>
          <w:w w:val="110"/>
          <w:sz w:val="18"/>
        </w:rPr>
        <w:t> </w:t>
      </w:r>
      <w:r>
        <w:rPr>
          <w:b/>
          <w:color w:val="231F20"/>
          <w:w w:val="110"/>
          <w:sz w:val="18"/>
        </w:rPr>
        <w:t>Church,</w:t>
      </w:r>
    </w:p>
    <w:p>
      <w:pPr>
        <w:pStyle w:val="ListParagraph"/>
        <w:numPr>
          <w:ilvl w:val="1"/>
          <w:numId w:val="50"/>
        </w:numPr>
        <w:tabs>
          <w:tab w:pos="2510" w:val="left" w:leader="none"/>
          <w:tab w:pos="2511" w:val="left" w:leader="none"/>
        </w:tabs>
        <w:spacing w:line="250" w:lineRule="exact" w:before="0" w:after="0"/>
        <w:ind w:left="2510" w:right="0" w:hanging="760"/>
        <w:jc w:val="left"/>
        <w:rPr>
          <w:b/>
          <w:sz w:val="18"/>
        </w:rPr>
      </w:pPr>
      <w:r>
        <w:rPr>
          <w:b/>
          <w:color w:val="231F20"/>
          <w:w w:val="110"/>
          <w:sz w:val="18"/>
        </w:rPr>
        <w:t>the </w:t>
      </w:r>
      <w:r>
        <w:rPr>
          <w:b/>
          <w:color w:val="231F20"/>
          <w:spacing w:val="2"/>
          <w:w w:val="110"/>
          <w:sz w:val="18"/>
        </w:rPr>
        <w:t>interests </w:t>
      </w:r>
      <w:r>
        <w:rPr>
          <w:b/>
          <w:color w:val="231F20"/>
          <w:w w:val="110"/>
          <w:sz w:val="18"/>
        </w:rPr>
        <w:t>of the Church of Christ as a</w:t>
      </w:r>
      <w:r>
        <w:rPr>
          <w:b/>
          <w:color w:val="231F20"/>
          <w:spacing w:val="10"/>
          <w:w w:val="110"/>
          <w:sz w:val="18"/>
        </w:rPr>
        <w:t> </w:t>
      </w:r>
      <w:r>
        <w:rPr>
          <w:b/>
          <w:color w:val="231F20"/>
          <w:w w:val="110"/>
          <w:sz w:val="18"/>
        </w:rPr>
        <w:t>whole,</w:t>
      </w:r>
    </w:p>
    <w:p>
      <w:pPr>
        <w:pStyle w:val="ListParagraph"/>
        <w:numPr>
          <w:ilvl w:val="1"/>
          <w:numId w:val="50"/>
        </w:numPr>
        <w:tabs>
          <w:tab w:pos="2510" w:val="left" w:leader="none"/>
          <w:tab w:pos="2511" w:val="left" w:leader="none"/>
        </w:tabs>
        <w:spacing w:line="277" w:lineRule="exact" w:before="0" w:after="0"/>
        <w:ind w:left="2510" w:right="0" w:hanging="760"/>
        <w:jc w:val="left"/>
        <w:rPr>
          <w:b/>
          <w:sz w:val="18"/>
        </w:rPr>
      </w:pPr>
      <w:r>
        <w:rPr>
          <w:b/>
          <w:color w:val="231F20"/>
          <w:w w:val="110"/>
          <w:sz w:val="18"/>
        </w:rPr>
        <w:t>the well-being of the community in which the Church is</w:t>
      </w:r>
      <w:r>
        <w:rPr>
          <w:b/>
          <w:color w:val="231F20"/>
          <w:spacing w:val="36"/>
          <w:w w:val="110"/>
          <w:sz w:val="18"/>
        </w:rPr>
        <w:t> </w:t>
      </w:r>
      <w:r>
        <w:rPr>
          <w:b/>
          <w:color w:val="231F20"/>
          <w:w w:val="110"/>
          <w:sz w:val="18"/>
        </w:rPr>
        <w:t>placed;</w:t>
      </w:r>
    </w:p>
    <w:p>
      <w:pPr>
        <w:pStyle w:val="ListParagraph"/>
        <w:numPr>
          <w:ilvl w:val="0"/>
          <w:numId w:val="50"/>
        </w:numPr>
        <w:tabs>
          <w:tab w:pos="1750" w:val="left" w:leader="none"/>
          <w:tab w:pos="1752" w:val="left" w:leader="none"/>
        </w:tabs>
        <w:spacing w:line="273" w:lineRule="auto" w:before="227" w:after="0"/>
        <w:ind w:left="1751" w:right="1265" w:hanging="681"/>
        <w:jc w:val="left"/>
        <w:rPr>
          <w:b/>
          <w:sz w:val="18"/>
        </w:rPr>
      </w:pPr>
      <w:r>
        <w:rPr>
          <w:b/>
          <w:color w:val="231F20"/>
          <w:w w:val="110"/>
          <w:sz w:val="18"/>
        </w:rPr>
        <w:t>to encourage </w:t>
      </w:r>
      <w:r>
        <w:rPr>
          <w:b/>
          <w:color w:val="231F20"/>
          <w:spacing w:val="2"/>
          <w:w w:val="110"/>
          <w:sz w:val="18"/>
        </w:rPr>
        <w:t>church extension </w:t>
      </w:r>
      <w:r>
        <w:rPr>
          <w:b/>
          <w:color w:val="231F20"/>
          <w:w w:val="110"/>
          <w:sz w:val="18"/>
        </w:rPr>
        <w:t>within the province or nation, decide upon the</w:t>
      </w:r>
      <w:r>
        <w:rPr>
          <w:b/>
          <w:color w:val="231F20"/>
          <w:spacing w:val="11"/>
          <w:w w:val="110"/>
          <w:sz w:val="18"/>
        </w:rPr>
        <w:t> </w:t>
      </w:r>
      <w:r>
        <w:rPr>
          <w:b/>
          <w:color w:val="231F20"/>
          <w:w w:val="110"/>
          <w:sz w:val="18"/>
        </w:rPr>
        <w:t>establishment</w:t>
      </w:r>
      <w:r>
        <w:rPr>
          <w:b/>
          <w:color w:val="231F20"/>
          <w:spacing w:val="11"/>
          <w:w w:val="110"/>
          <w:sz w:val="18"/>
        </w:rPr>
        <w:t> </w:t>
      </w:r>
      <w:r>
        <w:rPr>
          <w:b/>
          <w:color w:val="231F20"/>
          <w:w w:val="110"/>
          <w:sz w:val="18"/>
        </w:rPr>
        <w:t>of</w:t>
      </w:r>
      <w:r>
        <w:rPr>
          <w:b/>
          <w:color w:val="231F20"/>
          <w:spacing w:val="12"/>
          <w:w w:val="110"/>
          <w:sz w:val="18"/>
        </w:rPr>
        <w:t> </w:t>
      </w:r>
      <w:r>
        <w:rPr>
          <w:b/>
          <w:color w:val="231F20"/>
          <w:w w:val="110"/>
          <w:sz w:val="18"/>
        </w:rPr>
        <w:t>new</w:t>
      </w:r>
      <w:r>
        <w:rPr>
          <w:b/>
          <w:color w:val="231F20"/>
          <w:spacing w:val="11"/>
          <w:w w:val="110"/>
          <w:sz w:val="18"/>
        </w:rPr>
        <w:t> </w:t>
      </w:r>
      <w:r>
        <w:rPr>
          <w:b/>
          <w:color w:val="231F20"/>
          <w:spacing w:val="2"/>
          <w:w w:val="110"/>
          <w:sz w:val="18"/>
        </w:rPr>
        <w:t>causes</w:t>
      </w:r>
      <w:r>
        <w:rPr>
          <w:b/>
          <w:color w:val="231F20"/>
          <w:spacing w:val="11"/>
          <w:w w:val="110"/>
          <w:sz w:val="18"/>
        </w:rPr>
        <w:t> </w:t>
      </w:r>
      <w:r>
        <w:rPr>
          <w:b/>
          <w:color w:val="231F20"/>
          <w:w w:val="110"/>
          <w:sz w:val="18"/>
        </w:rPr>
        <w:t>and</w:t>
      </w:r>
      <w:r>
        <w:rPr>
          <w:b/>
          <w:color w:val="231F20"/>
          <w:spacing w:val="12"/>
          <w:w w:val="110"/>
          <w:sz w:val="18"/>
        </w:rPr>
        <w:t> </w:t>
      </w:r>
      <w:r>
        <w:rPr>
          <w:b/>
          <w:color w:val="231F20"/>
          <w:w w:val="110"/>
          <w:sz w:val="18"/>
        </w:rPr>
        <w:t>the</w:t>
      </w:r>
      <w:r>
        <w:rPr>
          <w:b/>
          <w:color w:val="231F20"/>
          <w:spacing w:val="11"/>
          <w:w w:val="110"/>
          <w:sz w:val="18"/>
        </w:rPr>
        <w:t> </w:t>
      </w:r>
      <w:r>
        <w:rPr>
          <w:b/>
          <w:color w:val="231F20"/>
          <w:spacing w:val="2"/>
          <w:w w:val="110"/>
          <w:sz w:val="18"/>
        </w:rPr>
        <w:t>recognition</w:t>
      </w:r>
      <w:r>
        <w:rPr>
          <w:b/>
          <w:color w:val="231F20"/>
          <w:spacing w:val="11"/>
          <w:w w:val="110"/>
          <w:sz w:val="18"/>
        </w:rPr>
        <w:t> </w:t>
      </w:r>
      <w:r>
        <w:rPr>
          <w:b/>
          <w:color w:val="231F20"/>
          <w:w w:val="110"/>
          <w:sz w:val="18"/>
        </w:rPr>
        <w:t>of</w:t>
      </w:r>
      <w:r>
        <w:rPr>
          <w:b/>
          <w:color w:val="231F20"/>
          <w:spacing w:val="12"/>
          <w:w w:val="110"/>
          <w:sz w:val="18"/>
        </w:rPr>
        <w:t> </w:t>
      </w:r>
      <w:r>
        <w:rPr>
          <w:b/>
          <w:color w:val="231F20"/>
          <w:w w:val="110"/>
          <w:sz w:val="18"/>
        </w:rPr>
        <w:t>mission</w:t>
      </w:r>
      <w:r>
        <w:rPr>
          <w:b/>
          <w:color w:val="231F20"/>
          <w:spacing w:val="11"/>
          <w:w w:val="110"/>
          <w:sz w:val="18"/>
        </w:rPr>
        <w:t> </w:t>
      </w:r>
      <w:r>
        <w:rPr>
          <w:b/>
          <w:color w:val="231F20"/>
          <w:spacing w:val="2"/>
          <w:w w:val="110"/>
          <w:sz w:val="18"/>
        </w:rPr>
        <w:t>projects;</w:t>
      </w:r>
    </w:p>
    <w:p>
      <w:pPr>
        <w:pStyle w:val="BodyText"/>
        <w:spacing w:before="8"/>
        <w:rPr>
          <w:b/>
          <w:sz w:val="20"/>
        </w:rPr>
      </w:pPr>
    </w:p>
    <w:p>
      <w:pPr>
        <w:pStyle w:val="ListParagraph"/>
        <w:numPr>
          <w:ilvl w:val="0"/>
          <w:numId w:val="50"/>
        </w:numPr>
        <w:tabs>
          <w:tab w:pos="1750" w:val="left" w:leader="none"/>
          <w:tab w:pos="1752" w:val="left" w:leader="none"/>
        </w:tabs>
        <w:spacing w:line="273" w:lineRule="auto" w:before="0" w:after="0"/>
        <w:ind w:left="1751" w:right="1925" w:hanging="681"/>
        <w:jc w:val="left"/>
        <w:rPr>
          <w:b/>
          <w:sz w:val="18"/>
        </w:rPr>
      </w:pPr>
      <w:r>
        <w:rPr>
          <w:b/>
          <w:color w:val="231F20"/>
          <w:w w:val="110"/>
          <w:sz w:val="18"/>
        </w:rPr>
        <w:t>to decide upon all </w:t>
      </w:r>
      <w:r>
        <w:rPr>
          <w:b/>
          <w:color w:val="231F20"/>
          <w:spacing w:val="2"/>
          <w:w w:val="110"/>
          <w:sz w:val="18"/>
        </w:rPr>
        <w:t>matters </w:t>
      </w:r>
      <w:r>
        <w:rPr>
          <w:b/>
          <w:color w:val="231F20"/>
          <w:w w:val="110"/>
          <w:sz w:val="18"/>
        </w:rPr>
        <w:t>regarding the grouping, amalgamation or dissolution of </w:t>
      </w:r>
      <w:r>
        <w:rPr>
          <w:b/>
          <w:color w:val="231F20"/>
          <w:spacing w:val="2"/>
          <w:w w:val="110"/>
          <w:sz w:val="18"/>
        </w:rPr>
        <w:t>Local</w:t>
      </w:r>
      <w:r>
        <w:rPr>
          <w:b/>
          <w:color w:val="231F20"/>
          <w:spacing w:val="1"/>
          <w:w w:val="110"/>
          <w:sz w:val="18"/>
        </w:rPr>
        <w:t> </w:t>
      </w:r>
      <w:r>
        <w:rPr>
          <w:b/>
          <w:color w:val="231F20"/>
          <w:spacing w:val="2"/>
          <w:w w:val="110"/>
          <w:sz w:val="18"/>
        </w:rPr>
        <w:t>Churches.</w:t>
      </w:r>
    </w:p>
    <w:p>
      <w:pPr>
        <w:pStyle w:val="BodyText"/>
        <w:spacing w:before="8"/>
        <w:rPr>
          <w:b/>
          <w:sz w:val="20"/>
        </w:rPr>
      </w:pPr>
    </w:p>
    <w:p>
      <w:pPr>
        <w:pStyle w:val="ListParagraph"/>
        <w:numPr>
          <w:ilvl w:val="0"/>
          <w:numId w:val="50"/>
        </w:numPr>
        <w:tabs>
          <w:tab w:pos="1750" w:val="left" w:leader="none"/>
          <w:tab w:pos="1752" w:val="left" w:leader="none"/>
        </w:tabs>
        <w:spacing w:line="240" w:lineRule="auto" w:before="0" w:after="0"/>
        <w:ind w:left="1751" w:right="0" w:hanging="682"/>
        <w:jc w:val="left"/>
        <w:rPr>
          <w:b/>
          <w:sz w:val="18"/>
        </w:rPr>
      </w:pPr>
      <w:r>
        <w:rPr>
          <w:b/>
          <w:color w:val="231F20"/>
          <w:w w:val="110"/>
          <w:sz w:val="18"/>
        </w:rPr>
        <w:t>to</w:t>
      </w:r>
      <w:r>
        <w:rPr>
          <w:b/>
          <w:color w:val="231F20"/>
          <w:spacing w:val="-5"/>
          <w:w w:val="110"/>
          <w:sz w:val="18"/>
        </w:rPr>
        <w:t> </w:t>
      </w:r>
      <w:r>
        <w:rPr>
          <w:b/>
          <w:color w:val="231F20"/>
          <w:w w:val="110"/>
          <w:sz w:val="18"/>
        </w:rPr>
        <w:t>take</w:t>
      </w:r>
      <w:r>
        <w:rPr>
          <w:b/>
          <w:color w:val="231F20"/>
          <w:spacing w:val="-4"/>
          <w:w w:val="110"/>
          <w:sz w:val="18"/>
        </w:rPr>
        <w:t> </w:t>
      </w:r>
      <w:r>
        <w:rPr>
          <w:b/>
          <w:color w:val="231F20"/>
          <w:w w:val="110"/>
          <w:sz w:val="18"/>
        </w:rPr>
        <w:t>appropriate</w:t>
      </w:r>
      <w:r>
        <w:rPr>
          <w:b/>
          <w:color w:val="231F20"/>
          <w:spacing w:val="-4"/>
          <w:w w:val="110"/>
          <w:sz w:val="18"/>
        </w:rPr>
        <w:t> </w:t>
      </w:r>
      <w:r>
        <w:rPr>
          <w:b/>
          <w:color w:val="231F20"/>
          <w:w w:val="110"/>
          <w:sz w:val="18"/>
        </w:rPr>
        <w:t>action</w:t>
      </w:r>
      <w:r>
        <w:rPr>
          <w:b/>
          <w:color w:val="231F20"/>
          <w:spacing w:val="-4"/>
          <w:w w:val="110"/>
          <w:sz w:val="18"/>
        </w:rPr>
        <w:t> </w:t>
      </w:r>
      <w:r>
        <w:rPr>
          <w:b/>
          <w:color w:val="231F20"/>
          <w:w w:val="110"/>
          <w:sz w:val="18"/>
        </w:rPr>
        <w:t>on</w:t>
      </w:r>
      <w:r>
        <w:rPr>
          <w:b/>
          <w:color w:val="231F20"/>
          <w:spacing w:val="-4"/>
          <w:w w:val="110"/>
          <w:sz w:val="18"/>
        </w:rPr>
        <w:t> </w:t>
      </w:r>
      <w:r>
        <w:rPr>
          <w:b/>
          <w:color w:val="231F20"/>
          <w:w w:val="110"/>
          <w:sz w:val="18"/>
        </w:rPr>
        <w:t>matters</w:t>
      </w:r>
      <w:r>
        <w:rPr>
          <w:b/>
          <w:color w:val="231F20"/>
          <w:spacing w:val="-4"/>
          <w:w w:val="110"/>
          <w:sz w:val="18"/>
        </w:rPr>
        <w:t> </w:t>
      </w:r>
      <w:r>
        <w:rPr>
          <w:b/>
          <w:color w:val="231F20"/>
          <w:w w:val="110"/>
          <w:sz w:val="18"/>
        </w:rPr>
        <w:t>referred</w:t>
      </w:r>
      <w:r>
        <w:rPr>
          <w:b/>
          <w:color w:val="231F20"/>
          <w:spacing w:val="-4"/>
          <w:w w:val="110"/>
          <w:sz w:val="18"/>
        </w:rPr>
        <w:t> </w:t>
      </w:r>
      <w:r>
        <w:rPr>
          <w:b/>
          <w:color w:val="231F20"/>
          <w:w w:val="110"/>
          <w:sz w:val="18"/>
        </w:rPr>
        <w:t>to</w:t>
      </w:r>
      <w:r>
        <w:rPr>
          <w:b/>
          <w:color w:val="231F20"/>
          <w:spacing w:val="-5"/>
          <w:w w:val="110"/>
          <w:sz w:val="18"/>
        </w:rPr>
        <w:t> </w:t>
      </w:r>
      <w:r>
        <w:rPr>
          <w:b/>
          <w:color w:val="231F20"/>
          <w:w w:val="110"/>
          <w:sz w:val="18"/>
        </w:rPr>
        <w:t>it</w:t>
      </w:r>
      <w:r>
        <w:rPr>
          <w:b/>
          <w:color w:val="231F20"/>
          <w:spacing w:val="-4"/>
          <w:w w:val="110"/>
          <w:sz w:val="18"/>
        </w:rPr>
        <w:t> </w:t>
      </w:r>
      <w:r>
        <w:rPr>
          <w:b/>
          <w:color w:val="231F20"/>
          <w:w w:val="110"/>
          <w:sz w:val="18"/>
        </w:rPr>
        <w:t>by</w:t>
      </w:r>
      <w:r>
        <w:rPr>
          <w:b/>
          <w:color w:val="231F20"/>
          <w:spacing w:val="-4"/>
          <w:w w:val="110"/>
          <w:sz w:val="18"/>
        </w:rPr>
        <w:t> </w:t>
      </w:r>
      <w:r>
        <w:rPr>
          <w:b/>
          <w:color w:val="231F20"/>
          <w:w w:val="110"/>
          <w:sz w:val="18"/>
        </w:rPr>
        <w:t>the</w:t>
      </w:r>
      <w:r>
        <w:rPr>
          <w:b/>
          <w:color w:val="231F20"/>
          <w:spacing w:val="-4"/>
          <w:w w:val="110"/>
          <w:sz w:val="18"/>
        </w:rPr>
        <w:t> </w:t>
      </w:r>
      <w:r>
        <w:rPr>
          <w:b/>
          <w:color w:val="231F20"/>
          <w:w w:val="110"/>
          <w:sz w:val="18"/>
        </w:rPr>
        <w:t>General</w:t>
      </w:r>
      <w:r>
        <w:rPr>
          <w:b/>
          <w:color w:val="231F20"/>
          <w:spacing w:val="-4"/>
          <w:w w:val="110"/>
          <w:sz w:val="18"/>
        </w:rPr>
        <w:t> </w:t>
      </w:r>
      <w:r>
        <w:rPr>
          <w:b/>
          <w:color w:val="231F20"/>
          <w:w w:val="110"/>
          <w:sz w:val="18"/>
        </w:rPr>
        <w:t>Assembly</w:t>
      </w:r>
    </w:p>
    <w:p>
      <w:pPr>
        <w:pStyle w:val="BodyText"/>
        <w:spacing w:before="1"/>
        <w:rPr>
          <w:b/>
          <w:sz w:val="23"/>
        </w:rPr>
      </w:pPr>
    </w:p>
    <w:p>
      <w:pPr>
        <w:pStyle w:val="ListParagraph"/>
        <w:numPr>
          <w:ilvl w:val="0"/>
          <w:numId w:val="50"/>
        </w:numPr>
        <w:tabs>
          <w:tab w:pos="1750" w:val="left" w:leader="none"/>
          <w:tab w:pos="1752" w:val="left" w:leader="none"/>
        </w:tabs>
        <w:spacing w:line="273" w:lineRule="auto" w:before="1" w:after="0"/>
        <w:ind w:left="1751" w:right="1232" w:hanging="681"/>
        <w:jc w:val="left"/>
        <w:rPr>
          <w:b/>
          <w:sz w:val="18"/>
        </w:rPr>
      </w:pPr>
      <w:r>
        <w:rPr>
          <w:b/>
          <w:color w:val="231F20"/>
          <w:w w:val="110"/>
          <w:sz w:val="18"/>
        </w:rPr>
        <w:t>to provide a forum for </w:t>
      </w:r>
      <w:r>
        <w:rPr>
          <w:b/>
          <w:color w:val="231F20"/>
          <w:spacing w:val="2"/>
          <w:w w:val="110"/>
          <w:sz w:val="18"/>
        </w:rPr>
        <w:t>concerns </w:t>
      </w:r>
      <w:r>
        <w:rPr>
          <w:b/>
          <w:color w:val="231F20"/>
          <w:w w:val="110"/>
          <w:sz w:val="18"/>
        </w:rPr>
        <w:t>brought forward by </w:t>
      </w:r>
      <w:r>
        <w:rPr>
          <w:b/>
          <w:color w:val="231F20"/>
          <w:spacing w:val="2"/>
          <w:w w:val="110"/>
          <w:sz w:val="18"/>
        </w:rPr>
        <w:t>Local Churches </w:t>
      </w:r>
      <w:r>
        <w:rPr>
          <w:b/>
          <w:color w:val="231F20"/>
          <w:w w:val="110"/>
          <w:sz w:val="18"/>
        </w:rPr>
        <w:t>and to advise </w:t>
      </w:r>
      <w:r>
        <w:rPr>
          <w:b/>
          <w:color w:val="231F20"/>
          <w:spacing w:val="2"/>
          <w:w w:val="110"/>
          <w:sz w:val="18"/>
        </w:rPr>
        <w:t>thereon.</w:t>
      </w:r>
    </w:p>
    <w:p>
      <w:pPr>
        <w:pStyle w:val="BodyText"/>
        <w:spacing w:before="8"/>
        <w:rPr>
          <w:b/>
          <w:sz w:val="20"/>
        </w:rPr>
      </w:pPr>
    </w:p>
    <w:p>
      <w:pPr>
        <w:pStyle w:val="ListParagraph"/>
        <w:numPr>
          <w:ilvl w:val="0"/>
          <w:numId w:val="50"/>
        </w:numPr>
        <w:tabs>
          <w:tab w:pos="1750" w:val="left" w:leader="none"/>
          <w:tab w:pos="1752" w:val="left" w:leader="none"/>
        </w:tabs>
        <w:spacing w:line="273" w:lineRule="auto" w:before="0" w:after="0"/>
        <w:ind w:left="1751" w:right="1340" w:hanging="681"/>
        <w:jc w:val="left"/>
        <w:rPr>
          <w:b/>
          <w:sz w:val="18"/>
        </w:rPr>
      </w:pPr>
      <w:r>
        <w:rPr>
          <w:b/>
          <w:color w:val="231F20"/>
          <w:w w:val="110"/>
          <w:sz w:val="18"/>
        </w:rPr>
        <w:t>to make proposals to and raise </w:t>
      </w:r>
      <w:r>
        <w:rPr>
          <w:b/>
          <w:color w:val="231F20"/>
          <w:spacing w:val="2"/>
          <w:w w:val="110"/>
          <w:sz w:val="18"/>
        </w:rPr>
        <w:t>concerns </w:t>
      </w:r>
      <w:r>
        <w:rPr>
          <w:b/>
          <w:color w:val="231F20"/>
          <w:w w:val="110"/>
          <w:sz w:val="18"/>
        </w:rPr>
        <w:t>for consideration by the General Assembly.</w:t>
      </w:r>
    </w:p>
    <w:p>
      <w:pPr>
        <w:pStyle w:val="BodyText"/>
        <w:spacing w:before="8"/>
        <w:rPr>
          <w:b/>
          <w:sz w:val="20"/>
        </w:rPr>
      </w:pPr>
    </w:p>
    <w:p>
      <w:pPr>
        <w:pStyle w:val="ListParagraph"/>
        <w:numPr>
          <w:ilvl w:val="0"/>
          <w:numId w:val="50"/>
        </w:numPr>
        <w:tabs>
          <w:tab w:pos="1750" w:val="left" w:leader="none"/>
          <w:tab w:pos="1752" w:val="left" w:leader="none"/>
        </w:tabs>
        <w:spacing w:line="273" w:lineRule="auto" w:before="0" w:after="0"/>
        <w:ind w:left="1751" w:right="1237" w:hanging="681"/>
        <w:jc w:val="left"/>
        <w:rPr>
          <w:b/>
          <w:sz w:val="18"/>
        </w:rPr>
      </w:pPr>
      <w:r>
        <w:rPr>
          <w:b/>
          <w:color w:val="231F20"/>
          <w:w w:val="110"/>
          <w:sz w:val="18"/>
        </w:rPr>
        <w:t>to give </w:t>
      </w:r>
      <w:r>
        <w:rPr>
          <w:b/>
          <w:color w:val="231F20"/>
          <w:spacing w:val="-7"/>
          <w:w w:val="110"/>
          <w:sz w:val="18"/>
        </w:rPr>
        <w:t>(or, </w:t>
      </w:r>
      <w:r>
        <w:rPr>
          <w:b/>
          <w:color w:val="231F20"/>
          <w:w w:val="110"/>
          <w:sz w:val="18"/>
        </w:rPr>
        <w:t>where deep pastoral concern for the </w:t>
      </w:r>
      <w:r>
        <w:rPr>
          <w:b/>
          <w:color w:val="231F20"/>
          <w:spacing w:val="2"/>
          <w:w w:val="110"/>
          <w:sz w:val="18"/>
        </w:rPr>
        <w:t>church requires it, </w:t>
      </w:r>
      <w:r>
        <w:rPr>
          <w:b/>
          <w:color w:val="231F20"/>
          <w:w w:val="110"/>
          <w:sz w:val="18"/>
        </w:rPr>
        <w:t>to withhold) </w:t>
      </w:r>
      <w:r>
        <w:rPr>
          <w:b/>
          <w:color w:val="231F20"/>
          <w:spacing w:val="2"/>
          <w:w w:val="110"/>
          <w:sz w:val="18"/>
        </w:rPr>
        <w:t>concurrence </w:t>
      </w:r>
      <w:r>
        <w:rPr>
          <w:b/>
          <w:color w:val="231F20"/>
          <w:w w:val="110"/>
          <w:sz w:val="18"/>
        </w:rPr>
        <w:t>in calls to ministers and, with the moderator of the synod or the moderator’s </w:t>
      </w:r>
      <w:r>
        <w:rPr>
          <w:b/>
          <w:color w:val="231F20"/>
          <w:spacing w:val="2"/>
          <w:w w:val="110"/>
          <w:sz w:val="18"/>
        </w:rPr>
        <w:t>deputy </w:t>
      </w:r>
      <w:r>
        <w:rPr>
          <w:b/>
          <w:color w:val="231F20"/>
          <w:w w:val="110"/>
          <w:sz w:val="18"/>
        </w:rPr>
        <w:t>presiding, to </w:t>
      </w:r>
      <w:r>
        <w:rPr>
          <w:b/>
          <w:color w:val="231F20"/>
          <w:spacing w:val="2"/>
          <w:w w:val="110"/>
          <w:sz w:val="18"/>
        </w:rPr>
        <w:t>conduct, </w:t>
      </w:r>
      <w:r>
        <w:rPr>
          <w:b/>
          <w:color w:val="231F20"/>
          <w:w w:val="110"/>
          <w:sz w:val="18"/>
        </w:rPr>
        <w:t>in fellowship with the </w:t>
      </w:r>
      <w:r>
        <w:rPr>
          <w:b/>
          <w:color w:val="231F20"/>
          <w:spacing w:val="2"/>
          <w:w w:val="110"/>
          <w:sz w:val="18"/>
        </w:rPr>
        <w:t>Local </w:t>
      </w:r>
      <w:r>
        <w:rPr>
          <w:b/>
          <w:color w:val="231F20"/>
          <w:w w:val="110"/>
          <w:sz w:val="18"/>
        </w:rPr>
        <w:t>Church, any ordinations </w:t>
      </w:r>
      <w:r>
        <w:rPr>
          <w:b/>
          <w:color w:val="231F20"/>
          <w:spacing w:val="-4"/>
          <w:w w:val="110"/>
          <w:sz w:val="18"/>
        </w:rPr>
        <w:t>and/or  </w:t>
      </w:r>
      <w:r>
        <w:rPr>
          <w:b/>
          <w:color w:val="231F20"/>
          <w:w w:val="110"/>
          <w:sz w:val="18"/>
        </w:rPr>
        <w:t>inductions of ministers within  the synod.</w:t>
      </w:r>
    </w:p>
    <w:p>
      <w:pPr>
        <w:spacing w:after="0" w:line="273" w:lineRule="auto"/>
        <w:jc w:val="left"/>
        <w:rPr>
          <w:sz w:val="18"/>
        </w:rPr>
        <w:sectPr>
          <w:pgSz w:w="11910" w:h="16840"/>
          <w:pgMar w:header="581" w:footer="544" w:top="860" w:bottom="740" w:left="460" w:right="0"/>
        </w:sectPr>
      </w:pPr>
    </w:p>
    <w:p>
      <w:pPr>
        <w:pStyle w:val="BodyText"/>
        <w:rPr>
          <w:b/>
          <w:sz w:val="20"/>
        </w:rPr>
      </w:pPr>
      <w:r>
        <w:rPr/>
        <w:pict>
          <v:group style="position:absolute;margin-left:18.424999pt;margin-top:43.464016pt;width:542pt;height:759pt;mso-position-horizontal-relative:page;mso-position-vertical-relative:page;z-index:-275515392" coordorigin="368,869" coordsize="10840,15180">
            <v:shape style="position:absolute;left:886;top:955;width:9872;height:14983" coordorigin="886,956" coordsize="9872,14983" path="m886,15699l890,15837,916,15909,987,15935,1126,15939,10517,15939,10656,15935,10727,15909,10754,15837,10757,15699,10757,1196,10754,1057,10727,986,10656,960,10517,956,1126,956,987,960,916,986,890,1057,886,1196,886,15699xe" filled="false" stroked="true" strokeweight="3.0pt" strokecolor="#000000">
              <v:path arrowok="t"/>
              <v:stroke dashstyle="solid"/>
            </v:shape>
            <v:shape style="position:absolute;left:368;top:869;width:10840;height:15180" coordorigin="369,869" coordsize="10840,15180" path="m10834,869l539,869,539,1191,10834,1191,10834,869m11208,15742l369,15742,369,16049,11208,16049,11208,15742e" filled="true" fillcolor="#ffffff" stroked="false">
              <v:path arrowok="t"/>
              <v:fill type="solid"/>
            </v:shape>
            <w10:wrap type="none"/>
          </v:group>
        </w:pict>
      </w:r>
    </w:p>
    <w:p>
      <w:pPr>
        <w:pStyle w:val="BodyText"/>
        <w:spacing w:before="8"/>
        <w:rPr>
          <w:b/>
          <w:sz w:val="20"/>
        </w:rPr>
      </w:pPr>
    </w:p>
    <w:p>
      <w:pPr>
        <w:pStyle w:val="ListParagraph"/>
        <w:numPr>
          <w:ilvl w:val="0"/>
          <w:numId w:val="50"/>
        </w:numPr>
        <w:tabs>
          <w:tab w:pos="1355" w:val="left" w:leader="none"/>
        </w:tabs>
        <w:spacing w:line="273" w:lineRule="auto" w:before="0" w:after="0"/>
        <w:ind w:left="1354" w:right="1956" w:hanging="681"/>
        <w:jc w:val="left"/>
        <w:rPr>
          <w:b/>
          <w:sz w:val="18"/>
        </w:rPr>
      </w:pPr>
      <w:r>
        <w:rPr>
          <w:b/>
          <w:color w:val="231F20"/>
          <w:w w:val="110"/>
          <w:sz w:val="18"/>
        </w:rPr>
        <w:t>to appoint, in consultation with the </w:t>
      </w:r>
      <w:r>
        <w:rPr>
          <w:b/>
          <w:color w:val="231F20"/>
          <w:spacing w:val="2"/>
          <w:w w:val="110"/>
          <w:sz w:val="18"/>
        </w:rPr>
        <w:t>Local </w:t>
      </w:r>
      <w:r>
        <w:rPr>
          <w:b/>
          <w:color w:val="231F20"/>
          <w:w w:val="110"/>
          <w:sz w:val="18"/>
        </w:rPr>
        <w:t>Church, an interim moderator during a pastoral vacancy, such interim moderator normally being a </w:t>
      </w:r>
      <w:r>
        <w:rPr>
          <w:b/>
          <w:color w:val="231F20"/>
          <w:spacing w:val="2"/>
          <w:w w:val="110"/>
          <w:sz w:val="18"/>
        </w:rPr>
        <w:t>serving </w:t>
      </w:r>
      <w:r>
        <w:rPr>
          <w:b/>
          <w:color w:val="231F20"/>
          <w:w w:val="110"/>
          <w:sz w:val="18"/>
        </w:rPr>
        <w:t>minister or a </w:t>
      </w:r>
      <w:r>
        <w:rPr>
          <w:b/>
          <w:color w:val="231F20"/>
          <w:spacing w:val="2"/>
          <w:w w:val="110"/>
          <w:sz w:val="18"/>
        </w:rPr>
        <w:t>retired </w:t>
      </w:r>
      <w:r>
        <w:rPr>
          <w:b/>
          <w:color w:val="231F20"/>
          <w:w w:val="110"/>
          <w:sz w:val="18"/>
        </w:rPr>
        <w:t>minister. In exceptional </w:t>
      </w:r>
      <w:r>
        <w:rPr>
          <w:b/>
          <w:color w:val="231F20"/>
          <w:spacing w:val="2"/>
          <w:w w:val="110"/>
          <w:sz w:val="18"/>
        </w:rPr>
        <w:t>circumstances </w:t>
      </w:r>
      <w:r>
        <w:rPr>
          <w:b/>
          <w:color w:val="231F20"/>
          <w:w w:val="110"/>
          <w:sz w:val="18"/>
        </w:rPr>
        <w:t>an elder may be</w:t>
      </w:r>
      <w:r>
        <w:rPr>
          <w:b/>
          <w:color w:val="231F20"/>
          <w:spacing w:val="1"/>
          <w:w w:val="110"/>
          <w:sz w:val="18"/>
        </w:rPr>
        <w:t> </w:t>
      </w:r>
      <w:r>
        <w:rPr>
          <w:b/>
          <w:color w:val="231F20"/>
          <w:w w:val="110"/>
          <w:sz w:val="18"/>
        </w:rPr>
        <w:t>appointed;</w:t>
      </w:r>
    </w:p>
    <w:p>
      <w:pPr>
        <w:pStyle w:val="BodyText"/>
        <w:spacing w:before="9"/>
        <w:rPr>
          <w:b/>
          <w:sz w:val="20"/>
        </w:rPr>
      </w:pPr>
    </w:p>
    <w:p>
      <w:pPr>
        <w:pStyle w:val="ListParagraph"/>
        <w:numPr>
          <w:ilvl w:val="0"/>
          <w:numId w:val="50"/>
        </w:numPr>
        <w:tabs>
          <w:tab w:pos="1354" w:val="left" w:leader="none"/>
          <w:tab w:pos="1355" w:val="left" w:leader="none"/>
        </w:tabs>
        <w:spacing w:line="273" w:lineRule="auto" w:before="1" w:after="0"/>
        <w:ind w:left="1354" w:right="1837" w:hanging="681"/>
        <w:jc w:val="left"/>
        <w:rPr>
          <w:b/>
          <w:sz w:val="18"/>
        </w:rPr>
      </w:pPr>
      <w:r>
        <w:rPr>
          <w:b/>
          <w:color w:val="231F20"/>
          <w:w w:val="110"/>
          <w:sz w:val="18"/>
        </w:rPr>
        <w:t>to care for all the </w:t>
      </w:r>
      <w:r>
        <w:rPr>
          <w:b/>
          <w:color w:val="231F20"/>
          <w:spacing w:val="2"/>
          <w:w w:val="110"/>
          <w:sz w:val="18"/>
        </w:rPr>
        <w:t>churches </w:t>
      </w:r>
      <w:r>
        <w:rPr>
          <w:b/>
          <w:color w:val="231F20"/>
          <w:w w:val="110"/>
          <w:sz w:val="18"/>
        </w:rPr>
        <w:t>of the synod ensuring that visits are made at regular intervals for consultation concerning their life and</w:t>
      </w:r>
      <w:r>
        <w:rPr>
          <w:b/>
          <w:color w:val="231F20"/>
          <w:spacing w:val="54"/>
          <w:w w:val="110"/>
          <w:sz w:val="18"/>
        </w:rPr>
        <w:t> </w:t>
      </w:r>
      <w:r>
        <w:rPr>
          <w:b/>
          <w:color w:val="231F20"/>
          <w:w w:val="110"/>
          <w:sz w:val="18"/>
        </w:rPr>
        <w:t>work.</w:t>
      </w:r>
    </w:p>
    <w:p>
      <w:pPr>
        <w:pStyle w:val="BodyText"/>
        <w:spacing w:before="7"/>
        <w:rPr>
          <w:b/>
          <w:sz w:val="20"/>
        </w:rPr>
      </w:pPr>
    </w:p>
    <w:p>
      <w:pPr>
        <w:pStyle w:val="ListParagraph"/>
        <w:numPr>
          <w:ilvl w:val="0"/>
          <w:numId w:val="50"/>
        </w:numPr>
        <w:tabs>
          <w:tab w:pos="1354" w:val="left" w:leader="none"/>
          <w:tab w:pos="1355" w:val="left" w:leader="none"/>
        </w:tabs>
        <w:spacing w:line="273" w:lineRule="auto" w:before="1" w:after="0"/>
        <w:ind w:left="1354" w:right="1789" w:hanging="681"/>
        <w:jc w:val="left"/>
        <w:rPr>
          <w:b/>
          <w:sz w:val="18"/>
        </w:rPr>
      </w:pPr>
      <w:r>
        <w:rPr>
          <w:b/>
          <w:color w:val="231F20"/>
          <w:w w:val="110"/>
          <w:sz w:val="18"/>
        </w:rPr>
        <w:t>to appoint from time to time such number of </w:t>
      </w:r>
      <w:r>
        <w:rPr>
          <w:b/>
          <w:color w:val="231F20"/>
          <w:spacing w:val="2"/>
          <w:w w:val="110"/>
          <w:sz w:val="18"/>
        </w:rPr>
        <w:t>representatives </w:t>
      </w:r>
      <w:r>
        <w:rPr>
          <w:b/>
          <w:color w:val="231F20"/>
          <w:w w:val="110"/>
          <w:sz w:val="18"/>
        </w:rPr>
        <w:t>to the General </w:t>
      </w:r>
      <w:r>
        <w:rPr>
          <w:b/>
          <w:color w:val="231F20"/>
          <w:spacing w:val="2"/>
          <w:w w:val="110"/>
          <w:sz w:val="18"/>
        </w:rPr>
        <w:t>Assembly </w:t>
      </w:r>
      <w:r>
        <w:rPr>
          <w:b/>
          <w:color w:val="231F20"/>
          <w:w w:val="110"/>
          <w:sz w:val="18"/>
        </w:rPr>
        <w:t>(ministerial and lay in equal numbers) as the General </w:t>
      </w:r>
      <w:r>
        <w:rPr>
          <w:b/>
          <w:color w:val="231F20"/>
          <w:spacing w:val="2"/>
          <w:w w:val="110"/>
          <w:sz w:val="18"/>
        </w:rPr>
        <w:t>Assembly </w:t>
      </w:r>
      <w:r>
        <w:rPr>
          <w:b/>
          <w:color w:val="231F20"/>
          <w:w w:val="110"/>
          <w:sz w:val="18"/>
        </w:rPr>
        <w:t>shall determine. This shall include, when </w:t>
      </w:r>
      <w:r>
        <w:rPr>
          <w:b/>
          <w:color w:val="231F20"/>
          <w:spacing w:val="2"/>
          <w:w w:val="110"/>
          <w:sz w:val="18"/>
        </w:rPr>
        <w:t>possible, </w:t>
      </w:r>
      <w:r>
        <w:rPr>
          <w:b/>
          <w:color w:val="231F20"/>
          <w:w w:val="110"/>
          <w:sz w:val="18"/>
        </w:rPr>
        <w:t>at least one </w:t>
      </w:r>
      <w:r>
        <w:rPr>
          <w:b/>
          <w:color w:val="231F20"/>
          <w:spacing w:val="2"/>
          <w:w w:val="110"/>
          <w:sz w:val="18"/>
        </w:rPr>
        <w:t>representative </w:t>
      </w:r>
      <w:r>
        <w:rPr>
          <w:b/>
          <w:color w:val="231F20"/>
          <w:w w:val="110"/>
          <w:sz w:val="18"/>
        </w:rPr>
        <w:t>under the age of 26. </w:t>
      </w:r>
      <w:r>
        <w:rPr>
          <w:b/>
          <w:color w:val="231F20"/>
          <w:spacing w:val="2"/>
          <w:w w:val="110"/>
          <w:sz w:val="18"/>
        </w:rPr>
        <w:t>As </w:t>
      </w:r>
      <w:r>
        <w:rPr>
          <w:b/>
          <w:color w:val="231F20"/>
          <w:w w:val="110"/>
          <w:sz w:val="18"/>
        </w:rPr>
        <w:t>far as possible all appointments shall be made in </w:t>
      </w:r>
      <w:r>
        <w:rPr>
          <w:b/>
          <w:color w:val="231F20"/>
          <w:spacing w:val="2"/>
          <w:w w:val="110"/>
          <w:sz w:val="18"/>
        </w:rPr>
        <w:t>rotation </w:t>
      </w:r>
      <w:r>
        <w:rPr>
          <w:b/>
          <w:color w:val="231F20"/>
          <w:w w:val="110"/>
          <w:sz w:val="18"/>
        </w:rPr>
        <w:t>from local</w:t>
      </w:r>
      <w:r>
        <w:rPr>
          <w:b/>
          <w:color w:val="231F20"/>
          <w:spacing w:val="6"/>
          <w:w w:val="110"/>
          <w:sz w:val="18"/>
        </w:rPr>
        <w:t> </w:t>
      </w:r>
      <w:r>
        <w:rPr>
          <w:b/>
          <w:color w:val="231F20"/>
          <w:spacing w:val="2"/>
          <w:w w:val="110"/>
          <w:sz w:val="18"/>
        </w:rPr>
        <w:t>churches.</w:t>
      </w:r>
    </w:p>
    <w:p>
      <w:pPr>
        <w:pStyle w:val="BodyText"/>
        <w:spacing w:before="10"/>
        <w:rPr>
          <w:b/>
          <w:sz w:val="20"/>
        </w:rPr>
      </w:pPr>
    </w:p>
    <w:p>
      <w:pPr>
        <w:pStyle w:val="ListParagraph"/>
        <w:numPr>
          <w:ilvl w:val="0"/>
          <w:numId w:val="50"/>
        </w:numPr>
        <w:tabs>
          <w:tab w:pos="1354" w:val="left" w:leader="none"/>
          <w:tab w:pos="1355" w:val="left" w:leader="none"/>
        </w:tabs>
        <w:spacing w:line="273" w:lineRule="auto" w:before="0" w:after="0"/>
        <w:ind w:left="1354" w:right="2093" w:hanging="681"/>
        <w:jc w:val="left"/>
        <w:rPr>
          <w:b/>
          <w:sz w:val="18"/>
        </w:rPr>
      </w:pPr>
      <w:r>
        <w:rPr>
          <w:b/>
          <w:color w:val="231F20"/>
          <w:w w:val="110"/>
          <w:sz w:val="18"/>
        </w:rPr>
        <w:t>to appoint from time to time the </w:t>
      </w:r>
      <w:r>
        <w:rPr>
          <w:b/>
          <w:color w:val="231F20"/>
          <w:spacing w:val="2"/>
          <w:w w:val="110"/>
          <w:sz w:val="18"/>
        </w:rPr>
        <w:t>President, </w:t>
      </w:r>
      <w:r>
        <w:rPr>
          <w:b/>
          <w:color w:val="231F20"/>
          <w:spacing w:val="3"/>
          <w:w w:val="110"/>
          <w:sz w:val="18"/>
        </w:rPr>
        <w:t>Secretary </w:t>
      </w:r>
      <w:r>
        <w:rPr>
          <w:b/>
          <w:color w:val="231F20"/>
          <w:w w:val="110"/>
          <w:sz w:val="18"/>
        </w:rPr>
        <w:t>and members of the district council or councils within </w:t>
      </w:r>
      <w:r>
        <w:rPr>
          <w:b/>
          <w:color w:val="231F20"/>
          <w:spacing w:val="2"/>
          <w:w w:val="110"/>
          <w:sz w:val="18"/>
        </w:rPr>
        <w:t>its</w:t>
      </w:r>
      <w:r>
        <w:rPr>
          <w:b/>
          <w:color w:val="231F20"/>
          <w:spacing w:val="21"/>
          <w:w w:val="110"/>
          <w:sz w:val="18"/>
        </w:rPr>
        <w:t> </w:t>
      </w:r>
      <w:r>
        <w:rPr>
          <w:b/>
          <w:color w:val="231F20"/>
          <w:w w:val="110"/>
          <w:sz w:val="18"/>
        </w:rPr>
        <w:t>boundaries.</w:t>
      </w:r>
    </w:p>
    <w:p>
      <w:pPr>
        <w:pStyle w:val="BodyText"/>
        <w:spacing w:before="8"/>
        <w:rPr>
          <w:b/>
          <w:sz w:val="20"/>
        </w:rPr>
      </w:pPr>
    </w:p>
    <w:p>
      <w:pPr>
        <w:pStyle w:val="ListParagraph"/>
        <w:numPr>
          <w:ilvl w:val="0"/>
          <w:numId w:val="50"/>
        </w:numPr>
        <w:tabs>
          <w:tab w:pos="1354" w:val="left" w:leader="none"/>
          <w:tab w:pos="1355" w:val="left" w:leader="none"/>
        </w:tabs>
        <w:spacing w:line="240" w:lineRule="auto" w:before="0" w:after="0"/>
        <w:ind w:left="1354" w:right="0" w:hanging="682"/>
        <w:jc w:val="left"/>
        <w:rPr>
          <w:b/>
          <w:sz w:val="18"/>
        </w:rPr>
      </w:pPr>
      <w:r>
        <w:rPr>
          <w:b/>
          <w:color w:val="231F20"/>
          <w:w w:val="110"/>
          <w:sz w:val="18"/>
        </w:rPr>
        <w:t>to appoint to </w:t>
      </w:r>
      <w:r>
        <w:rPr>
          <w:b/>
          <w:color w:val="231F20"/>
          <w:spacing w:val="2"/>
          <w:w w:val="110"/>
          <w:sz w:val="18"/>
        </w:rPr>
        <w:t>service </w:t>
      </w:r>
      <w:r>
        <w:rPr>
          <w:b/>
          <w:color w:val="231F20"/>
          <w:w w:val="110"/>
          <w:sz w:val="18"/>
        </w:rPr>
        <w:t>on</w:t>
      </w:r>
      <w:r>
        <w:rPr>
          <w:b/>
          <w:color w:val="231F20"/>
          <w:spacing w:val="-1"/>
          <w:w w:val="110"/>
          <w:sz w:val="18"/>
        </w:rPr>
        <w:t> </w:t>
      </w:r>
      <w:r>
        <w:rPr>
          <w:b/>
          <w:color w:val="231F20"/>
          <w:w w:val="110"/>
          <w:sz w:val="18"/>
        </w:rPr>
        <w:t>synod:</w:t>
      </w:r>
    </w:p>
    <w:p>
      <w:pPr>
        <w:pStyle w:val="BodyText"/>
        <w:spacing w:before="1"/>
        <w:rPr>
          <w:b/>
          <w:sz w:val="23"/>
        </w:rPr>
      </w:pPr>
    </w:p>
    <w:p>
      <w:pPr>
        <w:pStyle w:val="ListParagraph"/>
        <w:numPr>
          <w:ilvl w:val="0"/>
          <w:numId w:val="51"/>
        </w:numPr>
        <w:tabs>
          <w:tab w:pos="1921" w:val="left" w:leader="none"/>
          <w:tab w:pos="1922" w:val="left" w:leader="none"/>
        </w:tabs>
        <w:spacing w:line="240" w:lineRule="auto" w:before="1" w:after="0"/>
        <w:ind w:left="1921" w:right="0" w:hanging="568"/>
        <w:jc w:val="left"/>
        <w:rPr>
          <w:b/>
          <w:sz w:val="18"/>
        </w:rPr>
      </w:pPr>
      <w:r>
        <w:rPr>
          <w:b/>
          <w:color w:val="231F20"/>
          <w:w w:val="110"/>
          <w:sz w:val="18"/>
        </w:rPr>
        <w:t>United Reformed Church ministers/lay people </w:t>
      </w:r>
      <w:r>
        <w:rPr>
          <w:b/>
          <w:color w:val="231F20"/>
          <w:spacing w:val="2"/>
          <w:w w:val="110"/>
          <w:sz w:val="18"/>
        </w:rPr>
        <w:t>serving</w:t>
      </w:r>
      <w:r>
        <w:rPr>
          <w:b/>
          <w:color w:val="231F20"/>
          <w:spacing w:val="11"/>
          <w:w w:val="110"/>
          <w:sz w:val="18"/>
        </w:rPr>
        <w:t> </w:t>
      </w:r>
      <w:r>
        <w:rPr>
          <w:b/>
          <w:color w:val="231F20"/>
          <w:w w:val="110"/>
          <w:sz w:val="18"/>
        </w:rPr>
        <w:t>as</w:t>
      </w:r>
    </w:p>
    <w:p>
      <w:pPr>
        <w:pStyle w:val="ListParagraph"/>
        <w:numPr>
          <w:ilvl w:val="1"/>
          <w:numId w:val="51"/>
        </w:numPr>
        <w:tabs>
          <w:tab w:pos="2309" w:val="left" w:leader="none"/>
        </w:tabs>
        <w:spacing w:line="273" w:lineRule="auto" w:before="31" w:after="0"/>
        <w:ind w:left="1921" w:right="1820" w:firstLine="0"/>
        <w:jc w:val="left"/>
        <w:rPr>
          <w:b/>
          <w:sz w:val="18"/>
        </w:rPr>
      </w:pPr>
      <w:r>
        <w:rPr>
          <w:b/>
          <w:color w:val="231F20"/>
          <w:w w:val="110"/>
          <w:sz w:val="18"/>
        </w:rPr>
        <w:t>full-time chaplains to universities, </w:t>
      </w:r>
      <w:r>
        <w:rPr>
          <w:b/>
          <w:color w:val="231F20"/>
          <w:spacing w:val="2"/>
          <w:w w:val="110"/>
          <w:sz w:val="18"/>
        </w:rPr>
        <w:t>colleges, </w:t>
      </w:r>
      <w:r>
        <w:rPr>
          <w:b/>
          <w:color w:val="231F20"/>
          <w:w w:val="110"/>
          <w:sz w:val="18"/>
        </w:rPr>
        <w:t>hospitals, factories, where their work is </w:t>
      </w:r>
      <w:r>
        <w:rPr>
          <w:b/>
          <w:color w:val="231F20"/>
          <w:spacing w:val="2"/>
          <w:w w:val="110"/>
          <w:sz w:val="18"/>
        </w:rPr>
        <w:t>seen </w:t>
      </w:r>
      <w:r>
        <w:rPr>
          <w:b/>
          <w:color w:val="231F20"/>
          <w:w w:val="110"/>
          <w:sz w:val="18"/>
        </w:rPr>
        <w:t>to be an </w:t>
      </w:r>
      <w:r>
        <w:rPr>
          <w:b/>
          <w:color w:val="231F20"/>
          <w:spacing w:val="2"/>
          <w:w w:val="110"/>
          <w:sz w:val="18"/>
        </w:rPr>
        <w:t>extension </w:t>
      </w:r>
      <w:r>
        <w:rPr>
          <w:b/>
          <w:color w:val="231F20"/>
          <w:w w:val="110"/>
          <w:sz w:val="18"/>
        </w:rPr>
        <w:t>of the ministry</w:t>
      </w:r>
      <w:r>
        <w:rPr>
          <w:b/>
          <w:color w:val="231F20"/>
          <w:spacing w:val="57"/>
          <w:w w:val="110"/>
          <w:sz w:val="18"/>
        </w:rPr>
        <w:t> </w:t>
      </w:r>
      <w:r>
        <w:rPr>
          <w:b/>
          <w:color w:val="231F20"/>
          <w:w w:val="110"/>
          <w:sz w:val="18"/>
        </w:rPr>
        <w:t>of</w:t>
      </w:r>
    </w:p>
    <w:p>
      <w:pPr>
        <w:spacing w:line="273" w:lineRule="auto" w:before="1"/>
        <w:ind w:left="1921" w:right="2219" w:firstLine="0"/>
        <w:jc w:val="left"/>
        <w:rPr>
          <w:b/>
          <w:sz w:val="18"/>
        </w:rPr>
      </w:pPr>
      <w:r>
        <w:rPr>
          <w:b/>
          <w:color w:val="231F20"/>
          <w:w w:val="110"/>
          <w:sz w:val="18"/>
        </w:rPr>
        <w:t>the synod concerned, </w:t>
      </w:r>
      <w:r>
        <w:rPr>
          <w:b/>
          <w:color w:val="231F20"/>
          <w:spacing w:val="-7"/>
          <w:w w:val="110"/>
          <w:sz w:val="18"/>
        </w:rPr>
        <w:t>(b) </w:t>
      </w:r>
      <w:r>
        <w:rPr>
          <w:b/>
          <w:color w:val="231F20"/>
          <w:spacing w:val="2"/>
          <w:w w:val="110"/>
          <w:sz w:val="18"/>
        </w:rPr>
        <w:t>secretaries </w:t>
      </w:r>
      <w:r>
        <w:rPr>
          <w:b/>
          <w:color w:val="231F20"/>
          <w:w w:val="110"/>
          <w:sz w:val="18"/>
        </w:rPr>
        <w:t>and other full-time </w:t>
      </w:r>
      <w:r>
        <w:rPr>
          <w:b/>
          <w:color w:val="231F20"/>
          <w:spacing w:val="2"/>
          <w:w w:val="110"/>
          <w:sz w:val="18"/>
        </w:rPr>
        <w:t>officials </w:t>
      </w:r>
      <w:r>
        <w:rPr>
          <w:b/>
          <w:color w:val="231F20"/>
          <w:w w:val="110"/>
          <w:sz w:val="18"/>
        </w:rPr>
        <w:t>of ecumenical bodies with which the United Reformed Church is in relationship;</w:t>
      </w:r>
    </w:p>
    <w:p>
      <w:pPr>
        <w:pStyle w:val="BodyText"/>
        <w:spacing w:before="9"/>
        <w:rPr>
          <w:b/>
          <w:sz w:val="20"/>
        </w:rPr>
      </w:pPr>
    </w:p>
    <w:p>
      <w:pPr>
        <w:pStyle w:val="ListParagraph"/>
        <w:numPr>
          <w:ilvl w:val="0"/>
          <w:numId w:val="51"/>
        </w:numPr>
        <w:tabs>
          <w:tab w:pos="1922" w:val="left" w:leader="none"/>
        </w:tabs>
        <w:spacing w:line="240" w:lineRule="auto" w:before="0" w:after="0"/>
        <w:ind w:left="1921" w:right="0" w:hanging="568"/>
        <w:jc w:val="left"/>
        <w:rPr>
          <w:b/>
          <w:sz w:val="18"/>
        </w:rPr>
      </w:pPr>
      <w:r>
        <w:rPr>
          <w:b/>
          <w:color w:val="231F20"/>
          <w:w w:val="110"/>
          <w:sz w:val="18"/>
        </w:rPr>
        <w:t>United Reformed Church ministers giving significant oversight</w:t>
      </w:r>
      <w:r>
        <w:rPr>
          <w:b/>
          <w:color w:val="231F20"/>
          <w:spacing w:val="24"/>
          <w:w w:val="110"/>
          <w:sz w:val="18"/>
        </w:rPr>
        <w:t> </w:t>
      </w:r>
      <w:r>
        <w:rPr>
          <w:b/>
          <w:color w:val="231F20"/>
          <w:w w:val="110"/>
          <w:sz w:val="18"/>
        </w:rPr>
        <w:t>to</w:t>
      </w:r>
    </w:p>
    <w:p>
      <w:pPr>
        <w:spacing w:before="31"/>
        <w:ind w:left="1921" w:right="0" w:firstLine="0"/>
        <w:jc w:val="left"/>
        <w:rPr>
          <w:b/>
          <w:sz w:val="18"/>
        </w:rPr>
      </w:pPr>
      <w:r>
        <w:rPr>
          <w:b/>
          <w:color w:val="231F20"/>
          <w:w w:val="110"/>
          <w:sz w:val="18"/>
        </w:rPr>
        <w:t>Local Churches, under the general direction of the synod concerned;</w:t>
      </w:r>
    </w:p>
    <w:p>
      <w:pPr>
        <w:pStyle w:val="BodyText"/>
        <w:spacing w:before="2"/>
        <w:rPr>
          <w:b/>
          <w:sz w:val="23"/>
        </w:rPr>
      </w:pPr>
    </w:p>
    <w:p>
      <w:pPr>
        <w:pStyle w:val="ListParagraph"/>
        <w:numPr>
          <w:ilvl w:val="0"/>
          <w:numId w:val="51"/>
        </w:numPr>
        <w:tabs>
          <w:tab w:pos="1922" w:val="left" w:leader="none"/>
        </w:tabs>
        <w:spacing w:line="273" w:lineRule="auto" w:before="0" w:after="0"/>
        <w:ind w:left="1921" w:right="2364" w:hanging="567"/>
        <w:jc w:val="left"/>
        <w:rPr>
          <w:b/>
          <w:sz w:val="18"/>
        </w:rPr>
      </w:pPr>
      <w:r>
        <w:rPr>
          <w:b/>
          <w:color w:val="231F20"/>
          <w:w w:val="110"/>
          <w:sz w:val="18"/>
        </w:rPr>
        <w:t>Ministers, or members of Diaconal </w:t>
      </w:r>
      <w:r>
        <w:rPr>
          <w:b/>
          <w:color w:val="231F20"/>
          <w:spacing w:val="2"/>
          <w:w w:val="110"/>
          <w:sz w:val="18"/>
        </w:rPr>
        <w:t>Orders, </w:t>
      </w:r>
      <w:r>
        <w:rPr>
          <w:b/>
          <w:color w:val="231F20"/>
          <w:w w:val="110"/>
          <w:sz w:val="18"/>
        </w:rPr>
        <w:t>of other </w:t>
      </w:r>
      <w:r>
        <w:rPr>
          <w:b/>
          <w:color w:val="231F20"/>
          <w:spacing w:val="2"/>
          <w:w w:val="110"/>
          <w:sz w:val="18"/>
        </w:rPr>
        <w:t>churches </w:t>
      </w:r>
      <w:r>
        <w:rPr>
          <w:b/>
          <w:color w:val="231F20"/>
          <w:w w:val="110"/>
          <w:sz w:val="18"/>
        </w:rPr>
        <w:t>appointed to </w:t>
      </w:r>
      <w:r>
        <w:rPr>
          <w:b/>
          <w:color w:val="231F20"/>
          <w:spacing w:val="2"/>
          <w:w w:val="110"/>
          <w:sz w:val="18"/>
        </w:rPr>
        <w:t>serve </w:t>
      </w:r>
      <w:r>
        <w:rPr>
          <w:b/>
          <w:color w:val="231F20"/>
          <w:w w:val="110"/>
          <w:sz w:val="18"/>
        </w:rPr>
        <w:t>on behalf of the United Reformed Church in charge of a United Reformed Church or in an ecumenical group including United Reformed Church</w:t>
      </w:r>
      <w:r>
        <w:rPr>
          <w:b/>
          <w:color w:val="231F20"/>
          <w:spacing w:val="9"/>
          <w:w w:val="110"/>
          <w:sz w:val="18"/>
        </w:rPr>
        <w:t> </w:t>
      </w:r>
      <w:r>
        <w:rPr>
          <w:b/>
          <w:color w:val="231F20"/>
          <w:spacing w:val="2"/>
          <w:w w:val="110"/>
          <w:sz w:val="18"/>
        </w:rPr>
        <w:t>interests;</w:t>
      </w:r>
    </w:p>
    <w:p>
      <w:pPr>
        <w:pStyle w:val="BodyText"/>
        <w:spacing w:before="9"/>
        <w:rPr>
          <w:b/>
          <w:sz w:val="20"/>
        </w:rPr>
      </w:pPr>
    </w:p>
    <w:p>
      <w:pPr>
        <w:pStyle w:val="ListParagraph"/>
        <w:numPr>
          <w:ilvl w:val="0"/>
          <w:numId w:val="51"/>
        </w:numPr>
        <w:tabs>
          <w:tab w:pos="1922" w:val="left" w:leader="none"/>
        </w:tabs>
        <w:spacing w:line="273" w:lineRule="auto" w:before="0" w:after="0"/>
        <w:ind w:left="1921" w:right="1836" w:hanging="567"/>
        <w:jc w:val="left"/>
        <w:rPr>
          <w:b/>
          <w:sz w:val="18"/>
        </w:rPr>
      </w:pPr>
      <w:r>
        <w:rPr>
          <w:b/>
          <w:color w:val="231F20"/>
          <w:w w:val="110"/>
          <w:sz w:val="18"/>
        </w:rPr>
        <w:t>Ministers not in pastoral charge who </w:t>
      </w:r>
      <w:r>
        <w:rPr>
          <w:b/>
          <w:color w:val="231F20"/>
          <w:spacing w:val="2"/>
          <w:w w:val="110"/>
          <w:sz w:val="18"/>
        </w:rPr>
        <w:t>perform duties </w:t>
      </w:r>
      <w:r>
        <w:rPr>
          <w:b/>
          <w:color w:val="231F20"/>
          <w:w w:val="110"/>
          <w:sz w:val="18"/>
        </w:rPr>
        <w:t>within the synod</w:t>
      </w:r>
      <w:r>
        <w:rPr>
          <w:b/>
          <w:color w:val="231F20"/>
          <w:spacing w:val="12"/>
          <w:w w:val="110"/>
          <w:sz w:val="18"/>
        </w:rPr>
        <w:t> </w:t>
      </w:r>
      <w:r>
        <w:rPr>
          <w:b/>
          <w:color w:val="231F20"/>
          <w:w w:val="110"/>
          <w:sz w:val="18"/>
        </w:rPr>
        <w:t>in</w:t>
      </w:r>
      <w:r>
        <w:rPr>
          <w:b/>
          <w:color w:val="231F20"/>
          <w:spacing w:val="13"/>
          <w:w w:val="110"/>
          <w:sz w:val="18"/>
        </w:rPr>
        <w:t> </w:t>
      </w:r>
      <w:r>
        <w:rPr>
          <w:b/>
          <w:color w:val="231F20"/>
          <w:spacing w:val="3"/>
          <w:w w:val="110"/>
          <w:sz w:val="18"/>
        </w:rPr>
        <w:t>respect</w:t>
      </w:r>
      <w:r>
        <w:rPr>
          <w:b/>
          <w:color w:val="231F20"/>
          <w:spacing w:val="12"/>
          <w:w w:val="110"/>
          <w:sz w:val="18"/>
        </w:rPr>
        <w:t> </w:t>
      </w:r>
      <w:r>
        <w:rPr>
          <w:b/>
          <w:color w:val="231F20"/>
          <w:w w:val="110"/>
          <w:sz w:val="18"/>
        </w:rPr>
        <w:t>of</w:t>
      </w:r>
      <w:r>
        <w:rPr>
          <w:b/>
          <w:color w:val="231F20"/>
          <w:spacing w:val="13"/>
          <w:w w:val="110"/>
          <w:sz w:val="18"/>
        </w:rPr>
        <w:t> </w:t>
      </w:r>
      <w:r>
        <w:rPr>
          <w:b/>
          <w:color w:val="231F20"/>
          <w:w w:val="110"/>
          <w:sz w:val="18"/>
        </w:rPr>
        <w:t>which</w:t>
      </w:r>
      <w:r>
        <w:rPr>
          <w:b/>
          <w:color w:val="231F20"/>
          <w:spacing w:val="12"/>
          <w:w w:val="110"/>
          <w:sz w:val="18"/>
        </w:rPr>
        <w:t> </w:t>
      </w:r>
      <w:r>
        <w:rPr>
          <w:b/>
          <w:color w:val="231F20"/>
          <w:w w:val="110"/>
          <w:sz w:val="18"/>
        </w:rPr>
        <w:t>the</w:t>
      </w:r>
      <w:r>
        <w:rPr>
          <w:b/>
          <w:color w:val="231F20"/>
          <w:spacing w:val="13"/>
          <w:w w:val="110"/>
          <w:sz w:val="18"/>
        </w:rPr>
        <w:t> </w:t>
      </w:r>
      <w:r>
        <w:rPr>
          <w:b/>
          <w:color w:val="231F20"/>
          <w:w w:val="110"/>
          <w:sz w:val="18"/>
        </w:rPr>
        <w:t>synod</w:t>
      </w:r>
      <w:r>
        <w:rPr>
          <w:b/>
          <w:color w:val="231F20"/>
          <w:spacing w:val="12"/>
          <w:w w:val="110"/>
          <w:sz w:val="18"/>
        </w:rPr>
        <w:t> </w:t>
      </w:r>
      <w:r>
        <w:rPr>
          <w:b/>
          <w:color w:val="231F20"/>
          <w:w w:val="110"/>
          <w:sz w:val="18"/>
        </w:rPr>
        <w:t>has</w:t>
      </w:r>
      <w:r>
        <w:rPr>
          <w:b/>
          <w:color w:val="231F20"/>
          <w:spacing w:val="13"/>
          <w:w w:val="110"/>
          <w:sz w:val="18"/>
        </w:rPr>
        <w:t> </w:t>
      </w:r>
      <w:r>
        <w:rPr>
          <w:b/>
          <w:color w:val="231F20"/>
          <w:w w:val="110"/>
          <w:sz w:val="18"/>
        </w:rPr>
        <w:t>some</w:t>
      </w:r>
      <w:r>
        <w:rPr>
          <w:b/>
          <w:color w:val="231F20"/>
          <w:spacing w:val="13"/>
          <w:w w:val="110"/>
          <w:sz w:val="18"/>
        </w:rPr>
        <w:t> </w:t>
      </w:r>
      <w:r>
        <w:rPr>
          <w:b/>
          <w:color w:val="231F20"/>
          <w:spacing w:val="2"/>
          <w:w w:val="110"/>
          <w:sz w:val="18"/>
        </w:rPr>
        <w:t>direct</w:t>
      </w:r>
      <w:r>
        <w:rPr>
          <w:b/>
          <w:color w:val="231F20"/>
          <w:spacing w:val="12"/>
          <w:w w:val="110"/>
          <w:sz w:val="18"/>
        </w:rPr>
        <w:t> </w:t>
      </w:r>
      <w:r>
        <w:rPr>
          <w:b/>
          <w:color w:val="231F20"/>
          <w:w w:val="110"/>
          <w:sz w:val="18"/>
        </w:rPr>
        <w:t>responsibility;</w:t>
      </w:r>
    </w:p>
    <w:p>
      <w:pPr>
        <w:pStyle w:val="BodyText"/>
        <w:spacing w:before="8"/>
        <w:rPr>
          <w:b/>
          <w:sz w:val="20"/>
        </w:rPr>
      </w:pPr>
    </w:p>
    <w:p>
      <w:pPr>
        <w:pStyle w:val="ListParagraph"/>
        <w:numPr>
          <w:ilvl w:val="0"/>
          <w:numId w:val="50"/>
        </w:numPr>
        <w:tabs>
          <w:tab w:pos="1355" w:val="left" w:leader="none"/>
        </w:tabs>
        <w:spacing w:line="240" w:lineRule="auto" w:before="0" w:after="0"/>
        <w:ind w:left="1354" w:right="0" w:hanging="682"/>
        <w:jc w:val="left"/>
        <w:rPr>
          <w:b/>
          <w:sz w:val="18"/>
        </w:rPr>
      </w:pPr>
      <w:r>
        <w:rPr>
          <w:b/>
          <w:color w:val="231F20"/>
          <w:w w:val="110"/>
          <w:sz w:val="18"/>
        </w:rPr>
        <w:t>to consider and where appropriate appoint to </w:t>
      </w:r>
      <w:r>
        <w:rPr>
          <w:b/>
          <w:color w:val="231F20"/>
          <w:spacing w:val="2"/>
          <w:w w:val="110"/>
          <w:sz w:val="18"/>
        </w:rPr>
        <w:t>service </w:t>
      </w:r>
      <w:r>
        <w:rPr>
          <w:b/>
          <w:color w:val="231F20"/>
          <w:w w:val="110"/>
          <w:sz w:val="18"/>
        </w:rPr>
        <w:t>on</w:t>
      </w:r>
      <w:r>
        <w:rPr>
          <w:b/>
          <w:color w:val="231F20"/>
          <w:spacing w:val="18"/>
          <w:w w:val="110"/>
          <w:sz w:val="18"/>
        </w:rPr>
        <w:t> </w:t>
      </w:r>
      <w:r>
        <w:rPr>
          <w:b/>
          <w:color w:val="231F20"/>
          <w:w w:val="110"/>
          <w:sz w:val="18"/>
        </w:rPr>
        <w:t>synod</w:t>
      </w:r>
    </w:p>
    <w:p>
      <w:pPr>
        <w:pStyle w:val="BodyText"/>
        <w:spacing w:before="2"/>
        <w:rPr>
          <w:b/>
          <w:sz w:val="23"/>
        </w:rPr>
      </w:pPr>
    </w:p>
    <w:p>
      <w:pPr>
        <w:tabs>
          <w:tab w:pos="1920" w:val="left" w:leader="none"/>
        </w:tabs>
        <w:spacing w:line="273" w:lineRule="auto" w:before="0"/>
        <w:ind w:left="1921" w:right="2009" w:hanging="568"/>
        <w:jc w:val="left"/>
        <w:rPr>
          <w:b/>
          <w:sz w:val="18"/>
        </w:rPr>
      </w:pPr>
      <w:r>
        <w:rPr>
          <w:b/>
          <w:color w:val="231F20"/>
          <w:w w:val="110"/>
          <w:sz w:val="18"/>
        </w:rPr>
        <w:t>(I)</w:t>
        <w:tab/>
        <w:t>United Reformed Church ministers/lay people </w:t>
      </w:r>
      <w:r>
        <w:rPr>
          <w:b/>
          <w:color w:val="231F20"/>
          <w:spacing w:val="2"/>
          <w:w w:val="110"/>
          <w:sz w:val="18"/>
        </w:rPr>
        <w:t>serving </w:t>
      </w:r>
      <w:r>
        <w:rPr>
          <w:b/>
          <w:color w:val="231F20"/>
          <w:w w:val="110"/>
          <w:sz w:val="18"/>
        </w:rPr>
        <w:t>as </w:t>
      </w:r>
      <w:r>
        <w:rPr>
          <w:b/>
          <w:color w:val="231F20"/>
          <w:spacing w:val="-11"/>
          <w:w w:val="110"/>
          <w:sz w:val="18"/>
        </w:rPr>
        <w:t>(a) </w:t>
      </w:r>
      <w:r>
        <w:rPr>
          <w:b/>
          <w:color w:val="231F20"/>
          <w:w w:val="110"/>
          <w:sz w:val="18"/>
        </w:rPr>
        <w:t>part- time chaplains to universities, </w:t>
      </w:r>
      <w:r>
        <w:rPr>
          <w:b/>
          <w:color w:val="231F20"/>
          <w:spacing w:val="2"/>
          <w:w w:val="110"/>
          <w:sz w:val="18"/>
        </w:rPr>
        <w:t>colleges, </w:t>
      </w:r>
      <w:r>
        <w:rPr>
          <w:b/>
          <w:color w:val="231F20"/>
          <w:w w:val="110"/>
          <w:sz w:val="18"/>
        </w:rPr>
        <w:t>hospitals, factories, where their work is </w:t>
      </w:r>
      <w:r>
        <w:rPr>
          <w:b/>
          <w:color w:val="231F20"/>
          <w:spacing w:val="2"/>
          <w:w w:val="110"/>
          <w:sz w:val="18"/>
        </w:rPr>
        <w:t>seen </w:t>
      </w:r>
      <w:r>
        <w:rPr>
          <w:b/>
          <w:color w:val="231F20"/>
          <w:w w:val="110"/>
          <w:sz w:val="18"/>
        </w:rPr>
        <w:t>to be an </w:t>
      </w:r>
      <w:r>
        <w:rPr>
          <w:b/>
          <w:color w:val="231F20"/>
          <w:spacing w:val="2"/>
          <w:w w:val="110"/>
          <w:sz w:val="18"/>
        </w:rPr>
        <w:t>extension </w:t>
      </w:r>
      <w:r>
        <w:rPr>
          <w:b/>
          <w:color w:val="231F20"/>
          <w:w w:val="110"/>
          <w:sz w:val="18"/>
        </w:rPr>
        <w:t>of the ministry of the synod concerned, </w:t>
      </w:r>
      <w:r>
        <w:rPr>
          <w:b/>
          <w:color w:val="231F20"/>
          <w:spacing w:val="-7"/>
          <w:w w:val="110"/>
          <w:sz w:val="18"/>
        </w:rPr>
        <w:t>(b) </w:t>
      </w:r>
      <w:r>
        <w:rPr>
          <w:b/>
          <w:color w:val="231F20"/>
          <w:w w:val="110"/>
          <w:sz w:val="18"/>
        </w:rPr>
        <w:t>part-time </w:t>
      </w:r>
      <w:r>
        <w:rPr>
          <w:b/>
          <w:color w:val="231F20"/>
          <w:spacing w:val="2"/>
          <w:w w:val="110"/>
          <w:sz w:val="18"/>
        </w:rPr>
        <w:t>officials </w:t>
      </w:r>
      <w:r>
        <w:rPr>
          <w:b/>
          <w:color w:val="231F20"/>
          <w:w w:val="110"/>
          <w:sz w:val="18"/>
        </w:rPr>
        <w:t>of ecumenical bodies with which the United Reformed Church is in</w:t>
      </w:r>
      <w:r>
        <w:rPr>
          <w:b/>
          <w:color w:val="231F20"/>
          <w:spacing w:val="14"/>
          <w:w w:val="110"/>
          <w:sz w:val="18"/>
        </w:rPr>
        <w:t> </w:t>
      </w:r>
      <w:r>
        <w:rPr>
          <w:b/>
          <w:color w:val="231F20"/>
          <w:w w:val="110"/>
          <w:sz w:val="18"/>
        </w:rPr>
        <w:t>relationship;</w:t>
      </w:r>
    </w:p>
    <w:p>
      <w:pPr>
        <w:pStyle w:val="BodyText"/>
        <w:spacing w:before="10"/>
        <w:rPr>
          <w:b/>
          <w:sz w:val="20"/>
        </w:rPr>
      </w:pPr>
    </w:p>
    <w:p>
      <w:pPr>
        <w:pStyle w:val="ListParagraph"/>
        <w:numPr>
          <w:ilvl w:val="0"/>
          <w:numId w:val="50"/>
        </w:numPr>
        <w:tabs>
          <w:tab w:pos="1355" w:val="left" w:leader="none"/>
        </w:tabs>
        <w:spacing w:line="273" w:lineRule="auto" w:before="0" w:after="0"/>
        <w:ind w:left="1354" w:right="1756" w:hanging="681"/>
        <w:jc w:val="left"/>
        <w:rPr>
          <w:b/>
          <w:sz w:val="18"/>
        </w:rPr>
      </w:pPr>
      <w:r>
        <w:rPr>
          <w:b/>
          <w:color w:val="231F20"/>
          <w:w w:val="110"/>
          <w:sz w:val="18"/>
        </w:rPr>
        <w:t>to devise </w:t>
      </w:r>
      <w:r>
        <w:rPr>
          <w:b/>
          <w:color w:val="231F20"/>
          <w:spacing w:val="2"/>
          <w:w w:val="110"/>
          <w:sz w:val="18"/>
        </w:rPr>
        <w:t>strategies </w:t>
      </w:r>
      <w:r>
        <w:rPr>
          <w:b/>
          <w:color w:val="231F20"/>
          <w:w w:val="110"/>
          <w:sz w:val="18"/>
        </w:rPr>
        <w:t>which enable and support the exploration of mission </w:t>
      </w:r>
      <w:r>
        <w:rPr>
          <w:b/>
          <w:color w:val="231F20"/>
          <w:spacing w:val="2"/>
          <w:w w:val="110"/>
          <w:sz w:val="18"/>
        </w:rPr>
        <w:t>opportunities </w:t>
      </w:r>
      <w:r>
        <w:rPr>
          <w:b/>
          <w:color w:val="231F20"/>
          <w:w w:val="110"/>
          <w:sz w:val="18"/>
        </w:rPr>
        <w:t>in the region and to encourage in </w:t>
      </w:r>
      <w:r>
        <w:rPr>
          <w:b/>
          <w:color w:val="231F20"/>
          <w:spacing w:val="2"/>
          <w:w w:val="110"/>
          <w:sz w:val="18"/>
        </w:rPr>
        <w:t>Local Churches </w:t>
      </w:r>
      <w:r>
        <w:rPr>
          <w:b/>
          <w:color w:val="231F20"/>
          <w:w w:val="110"/>
          <w:sz w:val="18"/>
        </w:rPr>
        <w:t>concern for </w:t>
      </w:r>
      <w:r>
        <w:rPr>
          <w:b/>
          <w:color w:val="231F20"/>
          <w:spacing w:val="2"/>
          <w:w w:val="110"/>
          <w:sz w:val="18"/>
        </w:rPr>
        <w:t>service </w:t>
      </w:r>
      <w:r>
        <w:rPr>
          <w:b/>
          <w:color w:val="231F20"/>
          <w:w w:val="110"/>
          <w:sz w:val="18"/>
        </w:rPr>
        <w:t>and a </w:t>
      </w:r>
      <w:r>
        <w:rPr>
          <w:b/>
          <w:color w:val="231F20"/>
          <w:spacing w:val="2"/>
          <w:w w:val="110"/>
          <w:sz w:val="18"/>
        </w:rPr>
        <w:t>sense </w:t>
      </w:r>
      <w:r>
        <w:rPr>
          <w:b/>
          <w:color w:val="231F20"/>
          <w:w w:val="110"/>
          <w:sz w:val="18"/>
        </w:rPr>
        <w:t>of </w:t>
      </w:r>
      <w:r>
        <w:rPr>
          <w:b/>
          <w:color w:val="231F20"/>
          <w:spacing w:val="2"/>
          <w:w w:val="110"/>
          <w:sz w:val="18"/>
        </w:rPr>
        <w:t>responsibility </w:t>
      </w:r>
      <w:r>
        <w:rPr>
          <w:b/>
          <w:color w:val="231F20"/>
          <w:w w:val="110"/>
          <w:sz w:val="18"/>
        </w:rPr>
        <w:t>for the wider work of the Church at home and abroad.</w:t>
      </w:r>
    </w:p>
    <w:p>
      <w:pPr>
        <w:pStyle w:val="BodyText"/>
        <w:spacing w:before="9"/>
        <w:rPr>
          <w:b/>
          <w:sz w:val="20"/>
        </w:rPr>
      </w:pPr>
    </w:p>
    <w:p>
      <w:pPr>
        <w:pStyle w:val="ListParagraph"/>
        <w:numPr>
          <w:ilvl w:val="0"/>
          <w:numId w:val="50"/>
        </w:numPr>
        <w:tabs>
          <w:tab w:pos="1354" w:val="left" w:leader="none"/>
          <w:tab w:pos="1355" w:val="left" w:leader="none"/>
        </w:tabs>
        <w:spacing w:line="273" w:lineRule="auto" w:before="0" w:after="0"/>
        <w:ind w:left="1354" w:right="1891" w:hanging="681"/>
        <w:jc w:val="left"/>
        <w:rPr>
          <w:b/>
          <w:sz w:val="18"/>
        </w:rPr>
      </w:pPr>
      <w:r>
        <w:rPr>
          <w:b/>
          <w:color w:val="231F20"/>
          <w:w w:val="110"/>
          <w:sz w:val="18"/>
        </w:rPr>
        <w:t>to exercise oversight of all ministers falling within any of the </w:t>
      </w:r>
      <w:r>
        <w:rPr>
          <w:b/>
          <w:color w:val="231F20"/>
          <w:spacing w:val="2"/>
          <w:w w:val="110"/>
          <w:sz w:val="18"/>
        </w:rPr>
        <w:t>categories </w:t>
      </w:r>
      <w:r>
        <w:rPr>
          <w:b/>
          <w:color w:val="231F20"/>
          <w:spacing w:val="-6"/>
          <w:w w:val="110"/>
          <w:sz w:val="18"/>
        </w:rPr>
        <w:t>2(3) </w:t>
      </w:r>
      <w:r>
        <w:rPr>
          <w:b/>
          <w:color w:val="231F20"/>
          <w:spacing w:val="-9"/>
          <w:w w:val="110"/>
          <w:sz w:val="18"/>
        </w:rPr>
        <w:t>(a), </w:t>
      </w:r>
      <w:r>
        <w:rPr>
          <w:b/>
          <w:color w:val="231F20"/>
          <w:spacing w:val="-6"/>
          <w:w w:val="110"/>
          <w:sz w:val="18"/>
        </w:rPr>
        <w:t>(b), </w:t>
      </w:r>
      <w:r>
        <w:rPr>
          <w:b/>
          <w:color w:val="231F20"/>
          <w:spacing w:val="-3"/>
          <w:w w:val="110"/>
          <w:sz w:val="18"/>
        </w:rPr>
        <w:t>(f) </w:t>
      </w:r>
      <w:r>
        <w:rPr>
          <w:b/>
          <w:color w:val="231F20"/>
          <w:w w:val="110"/>
          <w:sz w:val="18"/>
        </w:rPr>
        <w:t>and </w:t>
      </w:r>
      <w:r>
        <w:rPr>
          <w:b/>
          <w:color w:val="231F20"/>
          <w:spacing w:val="-7"/>
          <w:w w:val="110"/>
          <w:sz w:val="18"/>
        </w:rPr>
        <w:t>(g) </w:t>
      </w:r>
      <w:r>
        <w:rPr>
          <w:b/>
          <w:color w:val="231F20"/>
          <w:w w:val="110"/>
          <w:sz w:val="18"/>
        </w:rPr>
        <w:t>except moderators of synods who are the </w:t>
      </w:r>
      <w:r>
        <w:rPr>
          <w:b/>
          <w:color w:val="231F20"/>
          <w:spacing w:val="2"/>
          <w:w w:val="110"/>
          <w:sz w:val="18"/>
        </w:rPr>
        <w:t>responsibility </w:t>
      </w:r>
      <w:r>
        <w:rPr>
          <w:b/>
          <w:color w:val="231F20"/>
          <w:w w:val="110"/>
          <w:sz w:val="18"/>
        </w:rPr>
        <w:t>of the General</w:t>
      </w:r>
      <w:r>
        <w:rPr>
          <w:b/>
          <w:color w:val="231F20"/>
          <w:spacing w:val="1"/>
          <w:w w:val="110"/>
          <w:sz w:val="18"/>
        </w:rPr>
        <w:t> </w:t>
      </w:r>
      <w:r>
        <w:rPr>
          <w:b/>
          <w:color w:val="231F20"/>
          <w:w w:val="110"/>
          <w:sz w:val="18"/>
        </w:rPr>
        <w:t>Assembly.</w:t>
      </w:r>
    </w:p>
    <w:p>
      <w:pPr>
        <w:pStyle w:val="BodyText"/>
        <w:spacing w:before="9"/>
        <w:rPr>
          <w:b/>
          <w:sz w:val="20"/>
        </w:rPr>
      </w:pPr>
    </w:p>
    <w:p>
      <w:pPr>
        <w:pStyle w:val="ListParagraph"/>
        <w:numPr>
          <w:ilvl w:val="0"/>
          <w:numId w:val="50"/>
        </w:numPr>
        <w:tabs>
          <w:tab w:pos="1355" w:val="left" w:leader="none"/>
        </w:tabs>
        <w:spacing w:line="273" w:lineRule="auto" w:before="0" w:after="0"/>
        <w:ind w:left="1354" w:right="1759" w:hanging="681"/>
        <w:jc w:val="left"/>
        <w:rPr>
          <w:b/>
          <w:sz w:val="18"/>
        </w:rPr>
      </w:pPr>
      <w:r>
        <w:rPr>
          <w:b/>
          <w:color w:val="231F20"/>
          <w:w w:val="110"/>
          <w:sz w:val="18"/>
        </w:rPr>
        <w:t>to give oversight to candidates for the ministry and to candidates for any form of full-time </w:t>
      </w:r>
      <w:r>
        <w:rPr>
          <w:b/>
          <w:color w:val="231F20"/>
          <w:spacing w:val="2"/>
          <w:w w:val="110"/>
          <w:sz w:val="18"/>
        </w:rPr>
        <w:t>service </w:t>
      </w:r>
      <w:r>
        <w:rPr>
          <w:b/>
          <w:color w:val="231F20"/>
          <w:w w:val="110"/>
          <w:sz w:val="18"/>
        </w:rPr>
        <w:t>in the Church at home and abroad, and, in the </w:t>
      </w:r>
      <w:r>
        <w:rPr>
          <w:b/>
          <w:color w:val="231F20"/>
          <w:spacing w:val="2"/>
          <w:w w:val="110"/>
          <w:sz w:val="18"/>
        </w:rPr>
        <w:t>case</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candidates</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ministry,</w:t>
      </w:r>
      <w:r>
        <w:rPr>
          <w:b/>
          <w:color w:val="231F20"/>
          <w:spacing w:val="10"/>
          <w:w w:val="110"/>
          <w:sz w:val="18"/>
        </w:rPr>
        <w:t> </w:t>
      </w:r>
      <w:r>
        <w:rPr>
          <w:b/>
          <w:color w:val="231F20"/>
          <w:w w:val="110"/>
          <w:sz w:val="18"/>
        </w:rPr>
        <w:t>determine</w:t>
      </w:r>
      <w:r>
        <w:rPr>
          <w:b/>
          <w:color w:val="231F20"/>
          <w:spacing w:val="10"/>
          <w:w w:val="110"/>
          <w:sz w:val="18"/>
        </w:rPr>
        <w:t> </w:t>
      </w:r>
      <w:r>
        <w:rPr>
          <w:b/>
          <w:color w:val="231F20"/>
          <w:w w:val="110"/>
          <w:sz w:val="18"/>
        </w:rPr>
        <w:t>their</w:t>
      </w:r>
      <w:r>
        <w:rPr>
          <w:b/>
          <w:color w:val="231F20"/>
          <w:spacing w:val="10"/>
          <w:w w:val="110"/>
          <w:sz w:val="18"/>
        </w:rPr>
        <w:t> </w:t>
      </w:r>
      <w:r>
        <w:rPr>
          <w:b/>
          <w:color w:val="231F20"/>
          <w:w w:val="110"/>
          <w:sz w:val="18"/>
        </w:rPr>
        <w:t>eligibility</w:t>
      </w:r>
      <w:r>
        <w:rPr>
          <w:b/>
          <w:color w:val="231F20"/>
          <w:spacing w:val="10"/>
          <w:w w:val="110"/>
          <w:sz w:val="18"/>
        </w:rPr>
        <w:t> </w:t>
      </w:r>
      <w:r>
        <w:rPr>
          <w:b/>
          <w:color w:val="231F20"/>
          <w:w w:val="110"/>
          <w:sz w:val="18"/>
        </w:rPr>
        <w:t>for</w:t>
      </w:r>
      <w:r>
        <w:rPr>
          <w:b/>
          <w:color w:val="231F20"/>
          <w:spacing w:val="10"/>
          <w:w w:val="110"/>
          <w:sz w:val="18"/>
        </w:rPr>
        <w:t> </w:t>
      </w:r>
      <w:r>
        <w:rPr>
          <w:b/>
          <w:color w:val="231F20"/>
          <w:w w:val="110"/>
          <w:sz w:val="18"/>
        </w:rPr>
        <w:t>a</w:t>
      </w:r>
      <w:r>
        <w:rPr>
          <w:b/>
          <w:color w:val="231F20"/>
          <w:spacing w:val="10"/>
          <w:w w:val="110"/>
          <w:sz w:val="18"/>
        </w:rPr>
        <w:t> </w:t>
      </w:r>
      <w:r>
        <w:rPr>
          <w:b/>
          <w:color w:val="231F20"/>
          <w:w w:val="110"/>
          <w:sz w:val="18"/>
        </w:rPr>
        <w:t>call.</w:t>
      </w:r>
    </w:p>
    <w:p>
      <w:pPr>
        <w:spacing w:after="0" w:line="273" w:lineRule="auto"/>
        <w:jc w:val="left"/>
        <w:rPr>
          <w:sz w:val="18"/>
        </w:rPr>
        <w:sectPr>
          <w:pgSz w:w="11910" w:h="16840"/>
          <w:pgMar w:header="581" w:footer="464" w:top="860" w:bottom="740" w:left="460" w:right="0"/>
        </w:sectPr>
      </w:pPr>
    </w:p>
    <w:p>
      <w:pPr>
        <w:pStyle w:val="BodyText"/>
        <w:spacing w:before="4"/>
        <w:rPr>
          <w:b/>
          <w:sz w:val="22"/>
        </w:rPr>
      </w:pPr>
      <w:r>
        <w:rPr/>
        <w:pict>
          <v:group style="position:absolute;margin-left:39.685001pt;margin-top:46.299015pt;width:542pt;height:759pt;mso-position-horizontal-relative:page;mso-position-vertical-relative:page;z-index:-275514368" coordorigin="794,926" coordsize="10840,15180">
            <v:shape style="position:absolute;left:1311;top:1012;width:9872;height:14983" coordorigin="1311,1013" coordsize="9872,14983" path="m1311,15755l1315,15894,1341,15965,1413,15991,1551,15995,10943,15995,11081,15991,11153,15965,11179,15894,11183,15755,11183,1253,11179,1114,11153,1043,11081,1016,10943,1013,1551,1013,1413,1016,1341,1043,1315,1114,1311,1253,1311,15755xe" filled="false" stroked="true" strokeweight="3.0pt" strokecolor="#000000">
              <v:path arrowok="t"/>
              <v:stroke dashstyle="solid"/>
            </v:shape>
            <v:shape style="position:absolute;left:793;top:925;width:10840;height:15180" coordorigin="794,926" coordsize="10840,15180" path="m11259,926l964,926,964,1247,11259,1247,11259,926m11633,15798l794,15798,794,16106,11633,16106,11633,15798e" filled="true" fillcolor="#ffffff" stroked="false">
              <v:path arrowok="t"/>
              <v:fill type="solid"/>
            </v:shape>
            <w10:wrap type="none"/>
          </v:group>
        </w:pict>
      </w:r>
    </w:p>
    <w:p>
      <w:pPr>
        <w:pStyle w:val="ListParagraph"/>
        <w:numPr>
          <w:ilvl w:val="0"/>
          <w:numId w:val="50"/>
        </w:numPr>
        <w:tabs>
          <w:tab w:pos="1992" w:val="left" w:leader="none"/>
        </w:tabs>
        <w:spacing w:line="273" w:lineRule="auto" w:before="100" w:after="0"/>
        <w:ind w:left="1921" w:right="1151" w:hanging="612"/>
        <w:jc w:val="left"/>
        <w:rPr>
          <w:b/>
          <w:sz w:val="18"/>
        </w:rPr>
      </w:pPr>
      <w:r>
        <w:rPr>
          <w:b/>
          <w:color w:val="231F20"/>
          <w:w w:val="110"/>
          <w:sz w:val="18"/>
        </w:rPr>
        <w:t>where following initial enquiry either on </w:t>
      </w:r>
      <w:r>
        <w:rPr>
          <w:b/>
          <w:color w:val="231F20"/>
          <w:spacing w:val="2"/>
          <w:w w:val="110"/>
          <w:sz w:val="18"/>
        </w:rPr>
        <w:t>its </w:t>
      </w:r>
      <w:r>
        <w:rPr>
          <w:b/>
          <w:color w:val="231F20"/>
          <w:w w:val="110"/>
          <w:sz w:val="18"/>
        </w:rPr>
        <w:t>own initiative or on a </w:t>
      </w:r>
      <w:r>
        <w:rPr>
          <w:b/>
          <w:color w:val="231F20"/>
          <w:spacing w:val="2"/>
          <w:w w:val="110"/>
          <w:sz w:val="18"/>
        </w:rPr>
        <w:t>reference </w:t>
      </w:r>
      <w:r>
        <w:rPr>
          <w:b/>
          <w:color w:val="231F20"/>
          <w:w w:val="110"/>
          <w:sz w:val="18"/>
        </w:rPr>
        <w:t>or appeal brought by any other </w:t>
      </w:r>
      <w:r>
        <w:rPr>
          <w:b/>
          <w:color w:val="231F20"/>
          <w:spacing w:val="3"/>
          <w:w w:val="110"/>
          <w:sz w:val="18"/>
        </w:rPr>
        <w:t>party </w:t>
      </w:r>
      <w:r>
        <w:rPr>
          <w:b/>
          <w:color w:val="231F20"/>
          <w:w w:val="110"/>
          <w:sz w:val="18"/>
        </w:rPr>
        <w:t>the synod </w:t>
      </w:r>
      <w:r>
        <w:rPr>
          <w:b/>
          <w:color w:val="231F20"/>
          <w:spacing w:val="2"/>
          <w:w w:val="110"/>
          <w:sz w:val="18"/>
        </w:rPr>
        <w:t>considers </w:t>
      </w:r>
      <w:r>
        <w:rPr>
          <w:b/>
          <w:color w:val="231F20"/>
          <w:w w:val="110"/>
          <w:sz w:val="18"/>
        </w:rPr>
        <w:t>that  a Minister is not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w w:val="110"/>
          <w:sz w:val="18"/>
        </w:rPr>
        <w:t>of that minister to be dealt with in accordance with the Disciplinary </w:t>
      </w:r>
      <w:r>
        <w:rPr>
          <w:b/>
          <w:color w:val="231F20"/>
          <w:spacing w:val="2"/>
          <w:w w:val="110"/>
          <w:sz w:val="18"/>
        </w:rPr>
        <w:t>Process</w:t>
      </w:r>
      <w:r>
        <w:rPr>
          <w:b/>
          <w:color w:val="231F20"/>
          <w:spacing w:val="71"/>
          <w:w w:val="110"/>
          <w:sz w:val="18"/>
        </w:rPr>
        <w:t> </w:t>
      </w:r>
      <w:r>
        <w:rPr>
          <w:b/>
          <w:color w:val="231F20"/>
          <w:w w:val="110"/>
          <w:sz w:val="18"/>
        </w:rPr>
        <w:t>contained in </w:t>
      </w:r>
      <w:r>
        <w:rPr>
          <w:b/>
          <w:color w:val="231F20"/>
          <w:spacing w:val="2"/>
          <w:w w:val="110"/>
          <w:sz w:val="18"/>
        </w:rPr>
        <w:t>Section </w:t>
      </w:r>
      <w:r>
        <w:rPr>
          <w:b/>
          <w:color w:val="231F20"/>
          <w:w w:val="110"/>
          <w:sz w:val="18"/>
        </w:rPr>
        <w:t>O of the Manual of the United Reformed</w:t>
      </w:r>
      <w:r>
        <w:rPr>
          <w:b/>
          <w:color w:val="231F20"/>
          <w:spacing w:val="1"/>
          <w:w w:val="110"/>
          <w:sz w:val="18"/>
        </w:rPr>
        <w:t> </w:t>
      </w:r>
      <w:r>
        <w:rPr>
          <w:b/>
          <w:color w:val="231F20"/>
          <w:w w:val="110"/>
          <w:sz w:val="18"/>
        </w:rPr>
        <w:t>Church</w:t>
      </w:r>
    </w:p>
    <w:p>
      <w:pPr>
        <w:spacing w:line="273" w:lineRule="auto" w:before="4"/>
        <w:ind w:left="1921" w:right="1593" w:firstLine="0"/>
        <w:jc w:val="left"/>
        <w:rPr>
          <w:b/>
          <w:sz w:val="18"/>
        </w:rPr>
      </w:pPr>
      <w:r>
        <w:rPr>
          <w:b/>
          <w:color w:val="231F20"/>
          <w:w w:val="110"/>
          <w:sz w:val="18"/>
        </w:rPr>
        <w:t>and in every such case to suspend the minister concerned pending the resolution of the matter under that Process;</w:t>
      </w:r>
    </w:p>
    <w:p>
      <w:pPr>
        <w:pStyle w:val="BodyText"/>
        <w:spacing w:before="8"/>
        <w:rPr>
          <w:b/>
          <w:sz w:val="20"/>
        </w:rPr>
      </w:pPr>
    </w:p>
    <w:p>
      <w:pPr>
        <w:pStyle w:val="ListParagraph"/>
        <w:numPr>
          <w:ilvl w:val="0"/>
          <w:numId w:val="50"/>
        </w:numPr>
        <w:tabs>
          <w:tab w:pos="1993" w:val="left" w:leader="none"/>
        </w:tabs>
        <w:spacing w:line="273" w:lineRule="auto" w:before="0" w:after="0"/>
        <w:ind w:left="1921" w:right="1142" w:hanging="681"/>
        <w:jc w:val="left"/>
        <w:rPr>
          <w:b/>
          <w:sz w:val="18"/>
        </w:rPr>
      </w:pPr>
      <w:r>
        <w:rPr>
          <w:b/>
          <w:color w:val="231F20"/>
          <w:w w:val="110"/>
          <w:sz w:val="18"/>
        </w:rPr>
        <w:t>to appoint, or to concur in the appointment of, </w:t>
      </w:r>
      <w:r>
        <w:rPr>
          <w:b/>
          <w:color w:val="231F20"/>
          <w:spacing w:val="2"/>
          <w:w w:val="110"/>
          <w:sz w:val="18"/>
        </w:rPr>
        <w:t>non-stipendiary </w:t>
      </w:r>
      <w:r>
        <w:rPr>
          <w:b/>
          <w:color w:val="231F20"/>
          <w:w w:val="110"/>
          <w:sz w:val="18"/>
        </w:rPr>
        <w:t>ministers to</w:t>
      </w:r>
      <w:r>
        <w:rPr>
          <w:b/>
          <w:color w:val="231F20"/>
          <w:spacing w:val="10"/>
          <w:w w:val="110"/>
          <w:sz w:val="18"/>
        </w:rPr>
        <w:t> </w:t>
      </w:r>
      <w:r>
        <w:rPr>
          <w:b/>
          <w:color w:val="231F20"/>
          <w:w w:val="110"/>
          <w:sz w:val="18"/>
        </w:rPr>
        <w:t>their</w:t>
      </w:r>
      <w:r>
        <w:rPr>
          <w:b/>
          <w:color w:val="231F20"/>
          <w:spacing w:val="10"/>
          <w:w w:val="110"/>
          <w:sz w:val="18"/>
        </w:rPr>
        <w:t> </w:t>
      </w:r>
      <w:r>
        <w:rPr>
          <w:b/>
          <w:color w:val="231F20"/>
          <w:w w:val="110"/>
          <w:sz w:val="18"/>
        </w:rPr>
        <w:t>particular</w:t>
      </w:r>
      <w:r>
        <w:rPr>
          <w:b/>
          <w:color w:val="231F20"/>
          <w:spacing w:val="10"/>
          <w:w w:val="110"/>
          <w:sz w:val="18"/>
        </w:rPr>
        <w:t> </w:t>
      </w:r>
      <w:r>
        <w:rPr>
          <w:b/>
          <w:color w:val="231F20"/>
          <w:spacing w:val="2"/>
          <w:w w:val="110"/>
          <w:sz w:val="18"/>
        </w:rPr>
        <w:t>service</w:t>
      </w:r>
      <w:r>
        <w:rPr>
          <w:b/>
          <w:color w:val="231F20"/>
          <w:spacing w:val="10"/>
          <w:w w:val="110"/>
          <w:sz w:val="18"/>
        </w:rPr>
        <w:t> </w:t>
      </w:r>
      <w:r>
        <w:rPr>
          <w:b/>
          <w:color w:val="231F20"/>
          <w:w w:val="110"/>
          <w:sz w:val="18"/>
        </w:rPr>
        <w:t>and</w:t>
      </w:r>
      <w:r>
        <w:rPr>
          <w:b/>
          <w:color w:val="231F20"/>
          <w:spacing w:val="10"/>
          <w:w w:val="110"/>
          <w:sz w:val="18"/>
        </w:rPr>
        <w:t> </w:t>
      </w:r>
      <w:r>
        <w:rPr>
          <w:b/>
          <w:color w:val="231F20"/>
          <w:w w:val="110"/>
          <w:sz w:val="18"/>
        </w:rPr>
        <w:t>to</w:t>
      </w:r>
      <w:r>
        <w:rPr>
          <w:b/>
          <w:color w:val="231F20"/>
          <w:spacing w:val="10"/>
          <w:w w:val="110"/>
          <w:sz w:val="18"/>
        </w:rPr>
        <w:t> </w:t>
      </w:r>
      <w:r>
        <w:rPr>
          <w:b/>
          <w:color w:val="231F20"/>
          <w:w w:val="110"/>
          <w:sz w:val="18"/>
        </w:rPr>
        <w:t>review</w:t>
      </w:r>
      <w:r>
        <w:rPr>
          <w:b/>
          <w:color w:val="231F20"/>
          <w:spacing w:val="11"/>
          <w:w w:val="110"/>
          <w:sz w:val="18"/>
        </w:rPr>
        <w:t> </w:t>
      </w:r>
      <w:r>
        <w:rPr>
          <w:b/>
          <w:color w:val="231F20"/>
          <w:w w:val="110"/>
          <w:sz w:val="18"/>
        </w:rPr>
        <w:t>this</w:t>
      </w:r>
      <w:r>
        <w:rPr>
          <w:b/>
          <w:color w:val="231F20"/>
          <w:spacing w:val="10"/>
          <w:w w:val="110"/>
          <w:sz w:val="18"/>
        </w:rPr>
        <w:t> </w:t>
      </w:r>
      <w:r>
        <w:rPr>
          <w:b/>
          <w:color w:val="231F20"/>
          <w:spacing w:val="2"/>
          <w:w w:val="110"/>
          <w:sz w:val="18"/>
        </w:rPr>
        <w:t>service</w:t>
      </w:r>
      <w:r>
        <w:rPr>
          <w:b/>
          <w:color w:val="231F20"/>
          <w:spacing w:val="10"/>
          <w:w w:val="110"/>
          <w:sz w:val="18"/>
        </w:rPr>
        <w:t> </w:t>
      </w:r>
      <w:r>
        <w:rPr>
          <w:b/>
          <w:color w:val="231F20"/>
          <w:w w:val="110"/>
          <w:sz w:val="18"/>
        </w:rPr>
        <w:t>at</w:t>
      </w:r>
      <w:r>
        <w:rPr>
          <w:b/>
          <w:color w:val="231F20"/>
          <w:spacing w:val="10"/>
          <w:w w:val="110"/>
          <w:sz w:val="18"/>
        </w:rPr>
        <w:t> </w:t>
      </w:r>
      <w:r>
        <w:rPr>
          <w:b/>
          <w:color w:val="231F20"/>
          <w:spacing w:val="2"/>
          <w:w w:val="110"/>
          <w:sz w:val="18"/>
        </w:rPr>
        <w:t>stated</w:t>
      </w:r>
      <w:r>
        <w:rPr>
          <w:b/>
          <w:color w:val="231F20"/>
          <w:spacing w:val="10"/>
          <w:w w:val="110"/>
          <w:sz w:val="18"/>
        </w:rPr>
        <w:t> </w:t>
      </w:r>
      <w:r>
        <w:rPr>
          <w:b/>
          <w:color w:val="231F20"/>
          <w:w w:val="110"/>
          <w:sz w:val="18"/>
        </w:rPr>
        <w:t>intervals.</w:t>
      </w:r>
    </w:p>
    <w:p>
      <w:pPr>
        <w:pStyle w:val="BodyText"/>
        <w:spacing w:before="8"/>
        <w:rPr>
          <w:b/>
          <w:sz w:val="20"/>
        </w:rPr>
      </w:pPr>
    </w:p>
    <w:p>
      <w:pPr>
        <w:pStyle w:val="ListParagraph"/>
        <w:numPr>
          <w:ilvl w:val="0"/>
          <w:numId w:val="50"/>
        </w:numPr>
        <w:tabs>
          <w:tab w:pos="1922" w:val="left" w:leader="none"/>
        </w:tabs>
        <w:spacing w:line="273" w:lineRule="auto" w:before="0" w:after="0"/>
        <w:ind w:left="1921" w:right="1242" w:hanging="681"/>
        <w:jc w:val="left"/>
        <w:rPr>
          <w:b/>
          <w:sz w:val="18"/>
        </w:rPr>
      </w:pPr>
      <w:r>
        <w:rPr>
          <w:b/>
          <w:color w:val="231F20"/>
          <w:w w:val="110"/>
          <w:sz w:val="18"/>
        </w:rPr>
        <w:t>to </w:t>
      </w:r>
      <w:r>
        <w:rPr>
          <w:b/>
          <w:color w:val="231F20"/>
          <w:spacing w:val="2"/>
          <w:w w:val="110"/>
          <w:sz w:val="18"/>
        </w:rPr>
        <w:t>accredit </w:t>
      </w:r>
      <w:r>
        <w:rPr>
          <w:b/>
          <w:color w:val="231F20"/>
          <w:w w:val="110"/>
          <w:sz w:val="18"/>
        </w:rPr>
        <w:t>and provide support and training for lay </w:t>
      </w:r>
      <w:r>
        <w:rPr>
          <w:b/>
          <w:color w:val="231F20"/>
          <w:spacing w:val="2"/>
          <w:w w:val="110"/>
          <w:sz w:val="18"/>
        </w:rPr>
        <w:t>preachers </w:t>
      </w:r>
      <w:r>
        <w:rPr>
          <w:b/>
          <w:color w:val="231F20"/>
          <w:w w:val="110"/>
          <w:sz w:val="18"/>
        </w:rPr>
        <w:t>and worship leaders and, in consultation with the </w:t>
      </w:r>
      <w:r>
        <w:rPr>
          <w:b/>
          <w:color w:val="231F20"/>
          <w:spacing w:val="2"/>
          <w:w w:val="110"/>
          <w:sz w:val="18"/>
        </w:rPr>
        <w:t>Local Churches concerned, </w:t>
      </w:r>
      <w:r>
        <w:rPr>
          <w:b/>
          <w:color w:val="231F20"/>
          <w:w w:val="110"/>
          <w:sz w:val="18"/>
        </w:rPr>
        <w:t>to give authority for appropriate lay </w:t>
      </w:r>
      <w:r>
        <w:rPr>
          <w:b/>
          <w:color w:val="231F20"/>
          <w:spacing w:val="2"/>
          <w:w w:val="110"/>
          <w:sz w:val="18"/>
        </w:rPr>
        <w:t>persons </w:t>
      </w:r>
      <w:r>
        <w:rPr>
          <w:b/>
          <w:color w:val="231F20"/>
          <w:w w:val="110"/>
          <w:sz w:val="18"/>
        </w:rPr>
        <w:t>to preside at the sacraments. Authorisation for lay </w:t>
      </w:r>
      <w:r>
        <w:rPr>
          <w:b/>
          <w:color w:val="231F20"/>
          <w:spacing w:val="2"/>
          <w:w w:val="110"/>
          <w:sz w:val="18"/>
        </w:rPr>
        <w:t>persons </w:t>
      </w:r>
      <w:r>
        <w:rPr>
          <w:b/>
          <w:color w:val="231F20"/>
          <w:w w:val="110"/>
          <w:sz w:val="18"/>
        </w:rPr>
        <w:t>to preside at the Sacraments  in ecumenical areas shall only be given </w:t>
      </w:r>
      <w:r>
        <w:rPr>
          <w:b/>
          <w:color w:val="231F20"/>
          <w:spacing w:val="2"/>
          <w:w w:val="110"/>
          <w:sz w:val="18"/>
        </w:rPr>
        <w:t>after </w:t>
      </w:r>
      <w:r>
        <w:rPr>
          <w:b/>
          <w:color w:val="231F20"/>
          <w:w w:val="110"/>
          <w:sz w:val="18"/>
        </w:rPr>
        <w:t>consultation with the appropriate</w:t>
      </w:r>
      <w:r>
        <w:rPr>
          <w:b/>
          <w:color w:val="231F20"/>
          <w:spacing w:val="11"/>
          <w:w w:val="110"/>
          <w:sz w:val="18"/>
        </w:rPr>
        <w:t> </w:t>
      </w:r>
      <w:r>
        <w:rPr>
          <w:b/>
          <w:color w:val="231F20"/>
          <w:w w:val="110"/>
          <w:sz w:val="18"/>
        </w:rPr>
        <w:t>ecumenical</w:t>
      </w:r>
      <w:r>
        <w:rPr>
          <w:b/>
          <w:color w:val="231F20"/>
          <w:spacing w:val="12"/>
          <w:w w:val="110"/>
          <w:sz w:val="18"/>
        </w:rPr>
        <w:t> </w:t>
      </w:r>
      <w:r>
        <w:rPr>
          <w:b/>
          <w:color w:val="231F20"/>
          <w:w w:val="110"/>
          <w:sz w:val="18"/>
        </w:rPr>
        <w:t>partner,</w:t>
      </w:r>
      <w:r>
        <w:rPr>
          <w:b/>
          <w:color w:val="231F20"/>
          <w:spacing w:val="12"/>
          <w:w w:val="110"/>
          <w:sz w:val="18"/>
        </w:rPr>
        <w:t> </w:t>
      </w:r>
      <w:r>
        <w:rPr>
          <w:b/>
          <w:color w:val="231F20"/>
          <w:w w:val="110"/>
          <w:sz w:val="18"/>
        </w:rPr>
        <w:t>(in</w:t>
      </w:r>
      <w:r>
        <w:rPr>
          <w:b/>
          <w:color w:val="231F20"/>
          <w:spacing w:val="12"/>
          <w:w w:val="110"/>
          <w:sz w:val="18"/>
        </w:rPr>
        <w:t> </w:t>
      </w:r>
      <w:r>
        <w:rPr>
          <w:b/>
          <w:color w:val="231F20"/>
          <w:w w:val="110"/>
          <w:sz w:val="18"/>
        </w:rPr>
        <w:t>most</w:t>
      </w:r>
      <w:r>
        <w:rPr>
          <w:b/>
          <w:color w:val="231F20"/>
          <w:spacing w:val="12"/>
          <w:w w:val="110"/>
          <w:sz w:val="18"/>
        </w:rPr>
        <w:t> </w:t>
      </w:r>
      <w:r>
        <w:rPr>
          <w:b/>
          <w:color w:val="231F20"/>
          <w:spacing w:val="2"/>
          <w:w w:val="110"/>
          <w:sz w:val="18"/>
        </w:rPr>
        <w:t>cases</w:t>
      </w:r>
      <w:r>
        <w:rPr>
          <w:b/>
          <w:color w:val="231F20"/>
          <w:spacing w:val="12"/>
          <w:w w:val="110"/>
          <w:sz w:val="18"/>
        </w:rPr>
        <w:t> </w:t>
      </w:r>
      <w:r>
        <w:rPr>
          <w:b/>
          <w:color w:val="231F20"/>
          <w:w w:val="110"/>
          <w:sz w:val="18"/>
        </w:rPr>
        <w:t>the</w:t>
      </w:r>
      <w:r>
        <w:rPr>
          <w:b/>
          <w:color w:val="231F20"/>
          <w:spacing w:val="12"/>
          <w:w w:val="110"/>
          <w:sz w:val="18"/>
        </w:rPr>
        <w:t> </w:t>
      </w:r>
      <w:r>
        <w:rPr>
          <w:b/>
          <w:color w:val="231F20"/>
          <w:w w:val="110"/>
          <w:sz w:val="18"/>
        </w:rPr>
        <w:t>Methodist</w:t>
      </w:r>
      <w:r>
        <w:rPr>
          <w:b/>
          <w:color w:val="231F20"/>
          <w:spacing w:val="12"/>
          <w:w w:val="110"/>
          <w:sz w:val="18"/>
        </w:rPr>
        <w:t> </w:t>
      </w:r>
      <w:r>
        <w:rPr>
          <w:b/>
          <w:color w:val="231F20"/>
          <w:w w:val="110"/>
          <w:sz w:val="18"/>
        </w:rPr>
        <w:t>District)</w:t>
      </w:r>
    </w:p>
    <w:p>
      <w:pPr>
        <w:pStyle w:val="BodyText"/>
        <w:spacing w:before="11"/>
        <w:rPr>
          <w:b/>
          <w:sz w:val="20"/>
        </w:rPr>
      </w:pPr>
    </w:p>
    <w:p>
      <w:pPr>
        <w:pStyle w:val="ListParagraph"/>
        <w:numPr>
          <w:ilvl w:val="0"/>
          <w:numId w:val="50"/>
        </w:numPr>
        <w:tabs>
          <w:tab w:pos="1921" w:val="left" w:leader="none"/>
          <w:tab w:pos="1922" w:val="left" w:leader="none"/>
        </w:tabs>
        <w:spacing w:line="273" w:lineRule="auto" w:before="0" w:after="0"/>
        <w:ind w:left="1921" w:right="1519" w:hanging="681"/>
        <w:jc w:val="left"/>
        <w:rPr>
          <w:b/>
          <w:sz w:val="18"/>
        </w:rPr>
      </w:pPr>
      <w:r>
        <w:rPr>
          <w:b/>
          <w:color w:val="231F20"/>
          <w:w w:val="110"/>
          <w:sz w:val="18"/>
        </w:rPr>
        <w:t>to receive the resignation of ministers and to decide upon appropriate </w:t>
      </w:r>
      <w:r>
        <w:rPr>
          <w:b/>
          <w:color w:val="231F20"/>
          <w:spacing w:val="2"/>
          <w:w w:val="110"/>
          <w:sz w:val="18"/>
        </w:rPr>
        <w:t>action </w:t>
      </w:r>
      <w:r>
        <w:rPr>
          <w:b/>
          <w:color w:val="231F20"/>
          <w:w w:val="110"/>
          <w:sz w:val="18"/>
        </w:rPr>
        <w:t>(see also paragraph 2.5.xviii)</w:t>
      </w:r>
    </w:p>
    <w:p>
      <w:pPr>
        <w:pStyle w:val="BodyText"/>
        <w:spacing w:before="8"/>
        <w:rPr>
          <w:b/>
          <w:sz w:val="20"/>
        </w:rPr>
      </w:pPr>
    </w:p>
    <w:p>
      <w:pPr>
        <w:pStyle w:val="ListParagraph"/>
        <w:numPr>
          <w:ilvl w:val="0"/>
          <w:numId w:val="50"/>
        </w:numPr>
        <w:tabs>
          <w:tab w:pos="1922" w:val="left" w:leader="none"/>
        </w:tabs>
        <w:spacing w:line="273" w:lineRule="auto" w:before="0" w:after="0"/>
        <w:ind w:left="1921" w:right="1375" w:hanging="681"/>
        <w:jc w:val="left"/>
        <w:rPr>
          <w:b/>
          <w:sz w:val="18"/>
        </w:rPr>
      </w:pPr>
      <w:r>
        <w:rPr>
          <w:b/>
          <w:color w:val="231F20"/>
          <w:w w:val="110"/>
          <w:sz w:val="18"/>
        </w:rPr>
        <w:t>to </w:t>
      </w:r>
      <w:r>
        <w:rPr>
          <w:b/>
          <w:color w:val="231F20"/>
          <w:spacing w:val="2"/>
          <w:w w:val="110"/>
          <w:sz w:val="18"/>
        </w:rPr>
        <w:t>seek </w:t>
      </w:r>
      <w:r>
        <w:rPr>
          <w:b/>
          <w:color w:val="231F20"/>
          <w:w w:val="110"/>
          <w:sz w:val="18"/>
        </w:rPr>
        <w:t>to expand the range and </w:t>
      </w:r>
      <w:r>
        <w:rPr>
          <w:b/>
          <w:color w:val="231F20"/>
          <w:spacing w:val="2"/>
          <w:w w:val="110"/>
          <w:sz w:val="18"/>
        </w:rPr>
        <w:t>deepen </w:t>
      </w:r>
      <w:r>
        <w:rPr>
          <w:b/>
          <w:color w:val="231F20"/>
          <w:w w:val="110"/>
          <w:sz w:val="18"/>
        </w:rPr>
        <w:t>the nature of the christian common life and </w:t>
      </w:r>
      <w:r>
        <w:rPr>
          <w:b/>
          <w:color w:val="231F20"/>
          <w:spacing w:val="2"/>
          <w:w w:val="110"/>
          <w:sz w:val="18"/>
        </w:rPr>
        <w:t>witness </w:t>
      </w:r>
      <w:r>
        <w:rPr>
          <w:b/>
          <w:color w:val="231F20"/>
          <w:w w:val="110"/>
          <w:sz w:val="18"/>
        </w:rPr>
        <w:t>in each local community, and in </w:t>
      </w:r>
      <w:r>
        <w:rPr>
          <w:b/>
          <w:color w:val="231F20"/>
          <w:spacing w:val="2"/>
          <w:w w:val="110"/>
          <w:sz w:val="18"/>
        </w:rPr>
        <w:t>Scotland </w:t>
      </w:r>
      <w:r>
        <w:rPr>
          <w:b/>
          <w:color w:val="231F20"/>
          <w:w w:val="110"/>
          <w:sz w:val="18"/>
        </w:rPr>
        <w:t>and Wales to undertake responsibility for national ecumenical relationships on behalf of the whole United Reformed Church, subject to the final authority of the General</w:t>
      </w:r>
      <w:r>
        <w:rPr>
          <w:b/>
          <w:color w:val="231F20"/>
          <w:spacing w:val="4"/>
          <w:w w:val="110"/>
          <w:sz w:val="18"/>
        </w:rPr>
        <w:t> </w:t>
      </w:r>
      <w:r>
        <w:rPr>
          <w:b/>
          <w:color w:val="231F20"/>
          <w:w w:val="110"/>
          <w:sz w:val="18"/>
        </w:rPr>
        <w:t>Assembly.</w:t>
      </w:r>
    </w:p>
    <w:p>
      <w:pPr>
        <w:pStyle w:val="BodyText"/>
        <w:spacing w:before="10"/>
        <w:rPr>
          <w:b/>
          <w:sz w:val="20"/>
        </w:rPr>
      </w:pPr>
    </w:p>
    <w:p>
      <w:pPr>
        <w:pStyle w:val="ListParagraph"/>
        <w:numPr>
          <w:ilvl w:val="0"/>
          <w:numId w:val="50"/>
        </w:numPr>
        <w:tabs>
          <w:tab w:pos="1922" w:val="left" w:leader="none"/>
        </w:tabs>
        <w:spacing w:line="273" w:lineRule="auto" w:before="0" w:after="0"/>
        <w:ind w:left="1921" w:right="1479" w:hanging="681"/>
        <w:jc w:val="left"/>
        <w:rPr>
          <w:b/>
          <w:sz w:val="18"/>
        </w:rPr>
      </w:pPr>
      <w:r>
        <w:rPr>
          <w:b/>
          <w:color w:val="231F20"/>
          <w:w w:val="110"/>
          <w:sz w:val="18"/>
        </w:rPr>
        <w:t>to decide upon all </w:t>
      </w:r>
      <w:r>
        <w:rPr>
          <w:b/>
          <w:color w:val="231F20"/>
          <w:spacing w:val="2"/>
          <w:w w:val="110"/>
          <w:sz w:val="18"/>
        </w:rPr>
        <w:t>matters </w:t>
      </w:r>
      <w:r>
        <w:rPr>
          <w:b/>
          <w:color w:val="231F20"/>
          <w:w w:val="110"/>
          <w:sz w:val="18"/>
        </w:rPr>
        <w:t>regarding </w:t>
      </w:r>
      <w:r>
        <w:rPr>
          <w:b/>
          <w:color w:val="231F20"/>
          <w:spacing w:val="2"/>
          <w:w w:val="110"/>
          <w:sz w:val="18"/>
        </w:rPr>
        <w:t>erection, </w:t>
      </w:r>
      <w:r>
        <w:rPr>
          <w:b/>
          <w:color w:val="231F20"/>
          <w:w w:val="110"/>
          <w:sz w:val="18"/>
        </w:rPr>
        <w:t>major </w:t>
      </w:r>
      <w:r>
        <w:rPr>
          <w:b/>
          <w:color w:val="231F20"/>
          <w:spacing w:val="2"/>
          <w:w w:val="110"/>
          <w:sz w:val="18"/>
        </w:rPr>
        <w:t>reconstruction </w:t>
      </w:r>
      <w:r>
        <w:rPr>
          <w:b/>
          <w:color w:val="231F20"/>
          <w:w w:val="110"/>
          <w:sz w:val="18"/>
        </w:rPr>
        <w:t>or disposal of buildings.</w:t>
      </w:r>
    </w:p>
    <w:p>
      <w:pPr>
        <w:pStyle w:val="ListParagraph"/>
        <w:numPr>
          <w:ilvl w:val="0"/>
          <w:numId w:val="50"/>
        </w:numPr>
        <w:tabs>
          <w:tab w:pos="1961" w:val="left" w:leader="none"/>
        </w:tabs>
        <w:spacing w:line="500" w:lineRule="exact" w:before="32" w:after="0"/>
        <w:ind w:left="1240" w:right="1183" w:firstLine="0"/>
        <w:jc w:val="left"/>
        <w:rPr>
          <w:b/>
          <w:sz w:val="18"/>
        </w:rPr>
      </w:pPr>
      <w:r>
        <w:rPr>
          <w:b/>
          <w:color w:val="231F20"/>
          <w:w w:val="110"/>
          <w:sz w:val="18"/>
        </w:rPr>
        <w:t>to </w:t>
      </w:r>
      <w:r>
        <w:rPr>
          <w:b/>
          <w:color w:val="231F20"/>
          <w:spacing w:val="2"/>
          <w:w w:val="110"/>
          <w:sz w:val="18"/>
        </w:rPr>
        <w:t>receive, </w:t>
      </w:r>
      <w:r>
        <w:rPr>
          <w:b/>
          <w:color w:val="231F20"/>
          <w:w w:val="110"/>
          <w:sz w:val="18"/>
        </w:rPr>
        <w:t>hear and decide upon </w:t>
      </w:r>
      <w:r>
        <w:rPr>
          <w:b/>
          <w:color w:val="231F20"/>
          <w:spacing w:val="2"/>
          <w:w w:val="110"/>
          <w:sz w:val="18"/>
        </w:rPr>
        <w:t>references </w:t>
      </w:r>
      <w:r>
        <w:rPr>
          <w:b/>
          <w:color w:val="231F20"/>
          <w:w w:val="110"/>
          <w:sz w:val="18"/>
        </w:rPr>
        <w:t>and appeals duly submitted. (xxiv)to do such other things as may be </w:t>
      </w:r>
      <w:r>
        <w:rPr>
          <w:b/>
          <w:color w:val="231F20"/>
          <w:spacing w:val="3"/>
          <w:w w:val="110"/>
          <w:sz w:val="18"/>
        </w:rPr>
        <w:t>necessary </w:t>
      </w:r>
      <w:r>
        <w:rPr>
          <w:b/>
          <w:color w:val="231F20"/>
          <w:w w:val="110"/>
          <w:sz w:val="18"/>
        </w:rPr>
        <w:t>in pursuance of</w:t>
      </w:r>
      <w:r>
        <w:rPr>
          <w:b/>
          <w:color w:val="231F20"/>
          <w:spacing w:val="42"/>
          <w:w w:val="110"/>
          <w:sz w:val="18"/>
        </w:rPr>
        <w:t> </w:t>
      </w:r>
      <w:r>
        <w:rPr>
          <w:b/>
          <w:color w:val="231F20"/>
          <w:spacing w:val="2"/>
          <w:w w:val="110"/>
          <w:sz w:val="18"/>
        </w:rPr>
        <w:t>its</w:t>
      </w:r>
    </w:p>
    <w:p>
      <w:pPr>
        <w:spacing w:line="188" w:lineRule="exact" w:before="0"/>
        <w:ind w:left="1921" w:right="0" w:firstLine="0"/>
        <w:jc w:val="left"/>
        <w:rPr>
          <w:b/>
          <w:sz w:val="18"/>
        </w:rPr>
      </w:pPr>
      <w:r>
        <w:rPr>
          <w:b/>
          <w:color w:val="231F20"/>
          <w:w w:val="110"/>
          <w:sz w:val="18"/>
        </w:rPr>
        <w:t>responsibility for the common life of the church.</w:t>
      </w:r>
    </w:p>
    <w:p>
      <w:pPr>
        <w:pStyle w:val="BodyText"/>
        <w:spacing w:before="2"/>
        <w:rPr>
          <w:b/>
          <w:sz w:val="23"/>
        </w:rPr>
      </w:pPr>
    </w:p>
    <w:p>
      <w:pPr>
        <w:pStyle w:val="ListParagraph"/>
        <w:numPr>
          <w:ilvl w:val="0"/>
          <w:numId w:val="47"/>
        </w:numPr>
        <w:tabs>
          <w:tab w:pos="1960" w:val="left" w:leader="none"/>
          <w:tab w:pos="1961" w:val="left" w:leader="none"/>
        </w:tabs>
        <w:spacing w:line="273" w:lineRule="auto" w:before="0" w:after="0"/>
        <w:ind w:left="1240" w:right="1177" w:firstLine="0"/>
        <w:jc w:val="left"/>
        <w:rPr>
          <w:b/>
          <w:sz w:val="18"/>
        </w:rPr>
      </w:pPr>
      <w:r>
        <w:rPr>
          <w:b/>
          <w:color w:val="231F20"/>
          <w:spacing w:val="2"/>
          <w:w w:val="110"/>
          <w:sz w:val="18"/>
        </w:rPr>
        <w:t>As </w:t>
      </w:r>
      <w:r>
        <w:rPr>
          <w:b/>
          <w:color w:val="231F20"/>
          <w:w w:val="110"/>
          <w:sz w:val="18"/>
        </w:rPr>
        <w:t>soon as any minister </w:t>
      </w:r>
      <w:r>
        <w:rPr>
          <w:b/>
          <w:color w:val="231F20"/>
          <w:spacing w:val="2"/>
          <w:w w:val="110"/>
          <w:sz w:val="18"/>
        </w:rPr>
        <w:t>becomes </w:t>
      </w:r>
      <w:r>
        <w:rPr>
          <w:b/>
          <w:color w:val="231F20"/>
          <w:w w:val="110"/>
          <w:sz w:val="18"/>
        </w:rPr>
        <w:t>the subject of a </w:t>
      </w:r>
      <w:r>
        <w:rPr>
          <w:b/>
          <w:color w:val="231F20"/>
          <w:spacing w:val="2"/>
          <w:w w:val="110"/>
          <w:sz w:val="18"/>
        </w:rPr>
        <w:t>case </w:t>
      </w:r>
      <w:r>
        <w:rPr>
          <w:b/>
          <w:color w:val="231F20"/>
          <w:w w:val="110"/>
          <w:sz w:val="18"/>
        </w:rPr>
        <w:t>under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for Ministerial Discipline, the synod shall not exercise any of </w:t>
      </w:r>
      <w:r>
        <w:rPr>
          <w:b/>
          <w:color w:val="231F20"/>
          <w:spacing w:val="2"/>
          <w:w w:val="110"/>
          <w:sz w:val="18"/>
        </w:rPr>
        <w:t>its </w:t>
      </w:r>
      <w:r>
        <w:rPr>
          <w:b/>
          <w:color w:val="231F20"/>
          <w:w w:val="110"/>
          <w:sz w:val="18"/>
        </w:rPr>
        <w:t>functions in </w:t>
      </w:r>
      <w:r>
        <w:rPr>
          <w:b/>
          <w:color w:val="231F20"/>
          <w:spacing w:val="3"/>
          <w:w w:val="110"/>
          <w:sz w:val="18"/>
        </w:rPr>
        <w:t>respect </w:t>
      </w:r>
      <w:r>
        <w:rPr>
          <w:b/>
          <w:color w:val="231F20"/>
          <w:w w:val="110"/>
          <w:sz w:val="18"/>
        </w:rPr>
        <w:t>of that minister in such a manner as to </w:t>
      </w:r>
      <w:r>
        <w:rPr>
          <w:b/>
          <w:color w:val="231F20"/>
          <w:spacing w:val="3"/>
          <w:w w:val="110"/>
          <w:sz w:val="18"/>
        </w:rPr>
        <w:t>affect, </w:t>
      </w:r>
      <w:r>
        <w:rPr>
          <w:b/>
          <w:color w:val="231F20"/>
          <w:w w:val="110"/>
          <w:sz w:val="18"/>
        </w:rPr>
        <w:t>compromise or </w:t>
      </w:r>
      <w:r>
        <w:rPr>
          <w:b/>
          <w:color w:val="231F20"/>
          <w:spacing w:val="2"/>
          <w:w w:val="110"/>
          <w:sz w:val="18"/>
        </w:rPr>
        <w:t>interfere </w:t>
      </w:r>
      <w:r>
        <w:rPr>
          <w:b/>
          <w:color w:val="231F20"/>
          <w:w w:val="110"/>
          <w:sz w:val="18"/>
        </w:rPr>
        <w:t>with the due </w:t>
      </w:r>
      <w:r>
        <w:rPr>
          <w:b/>
          <w:color w:val="231F20"/>
          <w:spacing w:val="2"/>
          <w:w w:val="110"/>
          <w:sz w:val="18"/>
        </w:rPr>
        <w:t>process </w:t>
      </w:r>
      <w:r>
        <w:rPr>
          <w:b/>
          <w:color w:val="231F20"/>
          <w:w w:val="110"/>
          <w:sz w:val="18"/>
        </w:rPr>
        <w:t>of that </w:t>
      </w:r>
      <w:r>
        <w:rPr>
          <w:b/>
          <w:color w:val="231F20"/>
          <w:spacing w:val="2"/>
          <w:w w:val="110"/>
          <w:sz w:val="18"/>
        </w:rPr>
        <w:t>case, </w:t>
      </w:r>
      <w:r>
        <w:rPr>
          <w:b/>
          <w:color w:val="231F20"/>
          <w:w w:val="110"/>
          <w:sz w:val="18"/>
        </w:rPr>
        <w:t>provided that the provision of such pastoral care as shall be </w:t>
      </w:r>
      <w:r>
        <w:rPr>
          <w:b/>
          <w:color w:val="231F20"/>
          <w:spacing w:val="2"/>
          <w:w w:val="110"/>
          <w:sz w:val="18"/>
        </w:rPr>
        <w:t>deemed </w:t>
      </w:r>
      <w:r>
        <w:rPr>
          <w:b/>
          <w:color w:val="231F20"/>
          <w:w w:val="110"/>
          <w:sz w:val="18"/>
        </w:rPr>
        <w:t>appropriate shall not be </w:t>
      </w:r>
      <w:r>
        <w:rPr>
          <w:b/>
          <w:color w:val="231F20"/>
          <w:spacing w:val="2"/>
          <w:w w:val="110"/>
          <w:sz w:val="18"/>
        </w:rPr>
        <w:t>regarded </w:t>
      </w:r>
      <w:r>
        <w:rPr>
          <w:b/>
          <w:color w:val="231F20"/>
          <w:w w:val="110"/>
          <w:sz w:val="18"/>
        </w:rPr>
        <w:t>as a </w:t>
      </w:r>
      <w:r>
        <w:rPr>
          <w:b/>
          <w:color w:val="231F20"/>
          <w:spacing w:val="2"/>
          <w:w w:val="110"/>
          <w:sz w:val="18"/>
        </w:rPr>
        <w:t>breach </w:t>
      </w:r>
      <w:r>
        <w:rPr>
          <w:b/>
          <w:color w:val="231F20"/>
          <w:w w:val="110"/>
          <w:sz w:val="18"/>
        </w:rPr>
        <w:t>of this</w:t>
      </w:r>
      <w:r>
        <w:rPr>
          <w:b/>
          <w:color w:val="231F20"/>
          <w:spacing w:val="-2"/>
          <w:w w:val="110"/>
          <w:sz w:val="18"/>
        </w:rPr>
        <w:t> </w:t>
      </w:r>
      <w:r>
        <w:rPr>
          <w:b/>
          <w:color w:val="231F20"/>
          <w:w w:val="110"/>
          <w:sz w:val="18"/>
        </w:rPr>
        <w:t>paragraph.</w:t>
      </w:r>
    </w:p>
    <w:p>
      <w:pPr>
        <w:pStyle w:val="BodyText"/>
        <w:spacing w:before="11"/>
        <w:rPr>
          <w:b/>
          <w:sz w:val="20"/>
        </w:rPr>
      </w:pPr>
    </w:p>
    <w:p>
      <w:pPr>
        <w:pStyle w:val="ListParagraph"/>
        <w:numPr>
          <w:ilvl w:val="0"/>
          <w:numId w:val="47"/>
        </w:numPr>
        <w:tabs>
          <w:tab w:pos="1960" w:val="left" w:leader="none"/>
          <w:tab w:pos="1961" w:val="left" w:leader="none"/>
        </w:tabs>
        <w:spacing w:line="273" w:lineRule="auto" w:before="0" w:after="0"/>
        <w:ind w:left="1240" w:right="1473" w:firstLine="0"/>
        <w:jc w:val="left"/>
        <w:rPr>
          <w:b/>
          <w:sz w:val="18"/>
        </w:rPr>
      </w:pPr>
      <w:r>
        <w:rPr>
          <w:b/>
          <w:color w:val="231F20"/>
          <w:w w:val="110"/>
          <w:sz w:val="18"/>
        </w:rPr>
        <w:t>No appeal shall lie against a decision by the synod to </w:t>
      </w:r>
      <w:r>
        <w:rPr>
          <w:b/>
          <w:color w:val="231F20"/>
          <w:spacing w:val="2"/>
          <w:w w:val="110"/>
          <w:sz w:val="18"/>
        </w:rPr>
        <w:t>refer </w:t>
      </w:r>
      <w:r>
        <w:rPr>
          <w:b/>
          <w:color w:val="231F20"/>
          <w:w w:val="110"/>
          <w:sz w:val="18"/>
        </w:rPr>
        <w:t>any </w:t>
      </w:r>
      <w:r>
        <w:rPr>
          <w:b/>
          <w:color w:val="231F20"/>
          <w:spacing w:val="2"/>
          <w:w w:val="110"/>
          <w:sz w:val="18"/>
        </w:rPr>
        <w:t>case </w:t>
      </w:r>
      <w:r>
        <w:rPr>
          <w:b/>
          <w:color w:val="231F20"/>
          <w:w w:val="110"/>
          <w:sz w:val="18"/>
        </w:rPr>
        <w:t>to the </w:t>
      </w:r>
      <w:r>
        <w:rPr>
          <w:b/>
          <w:color w:val="231F20"/>
          <w:spacing w:val="2"/>
          <w:w w:val="110"/>
          <w:sz w:val="18"/>
        </w:rPr>
        <w:t>Assembly </w:t>
      </w:r>
      <w:r>
        <w:rPr>
          <w:b/>
          <w:color w:val="231F20"/>
          <w:w w:val="110"/>
          <w:sz w:val="18"/>
        </w:rPr>
        <w:t>Commission under Function </w:t>
      </w:r>
      <w:r>
        <w:rPr>
          <w:b/>
          <w:color w:val="231F20"/>
          <w:spacing w:val="-4"/>
          <w:w w:val="110"/>
          <w:sz w:val="18"/>
        </w:rPr>
        <w:t>(xv)</w:t>
      </w:r>
      <w:r>
        <w:rPr>
          <w:b/>
          <w:color w:val="231F20"/>
          <w:spacing w:val="9"/>
          <w:w w:val="110"/>
          <w:sz w:val="18"/>
        </w:rPr>
        <w:t> </w:t>
      </w:r>
      <w:r>
        <w:rPr>
          <w:b/>
          <w:color w:val="231F20"/>
          <w:w w:val="110"/>
          <w:sz w:val="18"/>
        </w:rPr>
        <w:t>above.</w:t>
      </w:r>
    </w:p>
    <w:p>
      <w:pPr>
        <w:pStyle w:val="BodyText"/>
        <w:spacing w:before="8"/>
        <w:rPr>
          <w:b/>
          <w:sz w:val="20"/>
        </w:rPr>
      </w:pPr>
    </w:p>
    <w:p>
      <w:pPr>
        <w:spacing w:line="273" w:lineRule="auto" w:before="0"/>
        <w:ind w:left="1240" w:right="1775" w:firstLine="0"/>
        <w:jc w:val="left"/>
        <w:rPr>
          <w:b/>
          <w:sz w:val="18"/>
        </w:rPr>
      </w:pPr>
      <w:r>
        <w:rPr>
          <w:b/>
          <w:color w:val="231F20"/>
          <w:spacing w:val="-5"/>
          <w:w w:val="110"/>
          <w:sz w:val="18"/>
        </w:rPr>
        <w:t>2.(4) </w:t>
      </w:r>
      <w:r>
        <w:rPr>
          <w:b/>
          <w:color w:val="231F20"/>
          <w:w w:val="110"/>
          <w:sz w:val="18"/>
        </w:rPr>
        <w:t>The area meeting of each area of ecumenical </w:t>
      </w:r>
      <w:r>
        <w:rPr>
          <w:b/>
          <w:color w:val="231F20"/>
          <w:spacing w:val="2"/>
          <w:w w:val="110"/>
          <w:sz w:val="18"/>
        </w:rPr>
        <w:t>co-operation </w:t>
      </w:r>
      <w:r>
        <w:rPr>
          <w:b/>
          <w:color w:val="231F20"/>
          <w:w w:val="110"/>
          <w:sz w:val="18"/>
        </w:rPr>
        <w:t>being </w:t>
      </w:r>
      <w:r>
        <w:rPr>
          <w:b/>
          <w:color w:val="231F20"/>
          <w:spacing w:val="2"/>
          <w:w w:val="110"/>
          <w:sz w:val="18"/>
        </w:rPr>
        <w:t>representative </w:t>
      </w:r>
      <w:r>
        <w:rPr>
          <w:b/>
          <w:color w:val="231F20"/>
          <w:w w:val="110"/>
          <w:sz w:val="18"/>
        </w:rPr>
        <w:t>of the </w:t>
      </w:r>
      <w:r>
        <w:rPr>
          <w:b/>
          <w:color w:val="231F20"/>
          <w:spacing w:val="2"/>
          <w:w w:val="110"/>
          <w:sz w:val="18"/>
        </w:rPr>
        <w:t>Local Churches </w:t>
      </w:r>
      <w:r>
        <w:rPr>
          <w:b/>
          <w:color w:val="231F20"/>
          <w:w w:val="110"/>
          <w:sz w:val="18"/>
        </w:rPr>
        <w:t>in that area grouped </w:t>
      </w:r>
      <w:r>
        <w:rPr>
          <w:b/>
          <w:color w:val="231F20"/>
          <w:spacing w:val="2"/>
          <w:w w:val="110"/>
          <w:sz w:val="18"/>
        </w:rPr>
        <w:t>together </w:t>
      </w:r>
      <w:r>
        <w:rPr>
          <w:b/>
          <w:color w:val="231F20"/>
          <w:w w:val="110"/>
          <w:sz w:val="18"/>
        </w:rPr>
        <w:t>for   the</w:t>
      </w:r>
      <w:r>
        <w:rPr>
          <w:b/>
          <w:color w:val="231F20"/>
          <w:spacing w:val="14"/>
          <w:w w:val="110"/>
          <w:sz w:val="18"/>
        </w:rPr>
        <w:t> </w:t>
      </w:r>
      <w:r>
        <w:rPr>
          <w:b/>
          <w:color w:val="231F20"/>
          <w:w w:val="110"/>
          <w:sz w:val="18"/>
        </w:rPr>
        <w:t>purposes</w:t>
      </w:r>
      <w:r>
        <w:rPr>
          <w:b/>
          <w:color w:val="231F20"/>
          <w:spacing w:val="15"/>
          <w:w w:val="110"/>
          <w:sz w:val="18"/>
        </w:rPr>
        <w:t> </w:t>
      </w:r>
      <w:r>
        <w:rPr>
          <w:b/>
          <w:color w:val="231F20"/>
          <w:w w:val="110"/>
          <w:sz w:val="18"/>
        </w:rPr>
        <w:t>of</w:t>
      </w:r>
      <w:r>
        <w:rPr>
          <w:b/>
          <w:color w:val="231F20"/>
          <w:spacing w:val="14"/>
          <w:w w:val="110"/>
          <w:sz w:val="18"/>
        </w:rPr>
        <w:t> </w:t>
      </w:r>
      <w:r>
        <w:rPr>
          <w:b/>
          <w:color w:val="231F20"/>
          <w:w w:val="110"/>
          <w:sz w:val="18"/>
        </w:rPr>
        <w:t>fellowship,</w:t>
      </w:r>
      <w:r>
        <w:rPr>
          <w:b/>
          <w:color w:val="231F20"/>
          <w:spacing w:val="15"/>
          <w:w w:val="110"/>
          <w:sz w:val="18"/>
        </w:rPr>
        <w:t> </w:t>
      </w:r>
      <w:r>
        <w:rPr>
          <w:b/>
          <w:color w:val="231F20"/>
          <w:spacing w:val="2"/>
          <w:w w:val="110"/>
          <w:sz w:val="18"/>
        </w:rPr>
        <w:t>support,</w:t>
      </w:r>
      <w:r>
        <w:rPr>
          <w:b/>
          <w:color w:val="231F20"/>
          <w:spacing w:val="14"/>
          <w:w w:val="110"/>
          <w:sz w:val="18"/>
        </w:rPr>
        <w:t> </w:t>
      </w:r>
      <w:r>
        <w:rPr>
          <w:b/>
          <w:color w:val="231F20"/>
          <w:w w:val="110"/>
          <w:sz w:val="18"/>
        </w:rPr>
        <w:t>intimate</w:t>
      </w:r>
      <w:r>
        <w:rPr>
          <w:b/>
          <w:color w:val="231F20"/>
          <w:spacing w:val="15"/>
          <w:w w:val="110"/>
          <w:sz w:val="18"/>
        </w:rPr>
        <w:t> </w:t>
      </w:r>
      <w:r>
        <w:rPr>
          <w:b/>
          <w:color w:val="231F20"/>
          <w:w w:val="110"/>
          <w:sz w:val="18"/>
        </w:rPr>
        <w:t>mutual</w:t>
      </w:r>
      <w:r>
        <w:rPr>
          <w:b/>
          <w:color w:val="231F20"/>
          <w:spacing w:val="15"/>
          <w:w w:val="110"/>
          <w:sz w:val="18"/>
        </w:rPr>
        <w:t> </w:t>
      </w:r>
      <w:r>
        <w:rPr>
          <w:b/>
          <w:color w:val="231F20"/>
          <w:w w:val="110"/>
          <w:sz w:val="18"/>
        </w:rPr>
        <w:t>oversight</w:t>
      </w:r>
      <w:r>
        <w:rPr>
          <w:b/>
          <w:color w:val="231F20"/>
          <w:spacing w:val="14"/>
          <w:w w:val="110"/>
          <w:sz w:val="18"/>
        </w:rPr>
        <w:t> </w:t>
      </w:r>
      <w:r>
        <w:rPr>
          <w:b/>
          <w:color w:val="231F20"/>
          <w:w w:val="110"/>
          <w:sz w:val="18"/>
        </w:rPr>
        <w:t>and</w:t>
      </w:r>
      <w:r>
        <w:rPr>
          <w:b/>
          <w:color w:val="231F20"/>
          <w:spacing w:val="15"/>
          <w:w w:val="110"/>
          <w:sz w:val="18"/>
        </w:rPr>
        <w:t> </w:t>
      </w:r>
      <w:r>
        <w:rPr>
          <w:b/>
          <w:color w:val="231F20"/>
          <w:w w:val="110"/>
          <w:sz w:val="18"/>
        </w:rPr>
        <w:t>united</w:t>
      </w:r>
    </w:p>
    <w:p>
      <w:pPr>
        <w:spacing w:line="273" w:lineRule="auto" w:before="2"/>
        <w:ind w:left="1240" w:right="1593" w:firstLine="0"/>
        <w:jc w:val="left"/>
        <w:rPr>
          <w:b/>
          <w:sz w:val="18"/>
        </w:rPr>
      </w:pPr>
      <w:r>
        <w:rPr>
          <w:b/>
          <w:color w:val="231F20"/>
          <w:w w:val="110"/>
          <w:sz w:val="18"/>
        </w:rPr>
        <w:t>action shall </w:t>
      </w:r>
      <w:r>
        <w:rPr>
          <w:b/>
          <w:color w:val="231F20"/>
          <w:spacing w:val="2"/>
          <w:w w:val="110"/>
          <w:sz w:val="18"/>
        </w:rPr>
        <w:t>consist </w:t>
      </w:r>
      <w:r>
        <w:rPr>
          <w:b/>
          <w:color w:val="231F20"/>
          <w:w w:val="110"/>
          <w:sz w:val="18"/>
        </w:rPr>
        <w:t>of </w:t>
      </w:r>
      <w:r>
        <w:rPr>
          <w:b/>
          <w:color w:val="231F20"/>
          <w:spacing w:val="2"/>
          <w:w w:val="110"/>
          <w:sz w:val="18"/>
        </w:rPr>
        <w:t>representatives </w:t>
      </w:r>
      <w:r>
        <w:rPr>
          <w:b/>
          <w:color w:val="231F20"/>
          <w:w w:val="110"/>
          <w:sz w:val="18"/>
        </w:rPr>
        <w:t>of all </w:t>
      </w:r>
      <w:r>
        <w:rPr>
          <w:b/>
          <w:color w:val="231F20"/>
          <w:spacing w:val="2"/>
          <w:w w:val="110"/>
          <w:sz w:val="18"/>
        </w:rPr>
        <w:t>churches </w:t>
      </w:r>
      <w:r>
        <w:rPr>
          <w:b/>
          <w:color w:val="231F20"/>
          <w:w w:val="110"/>
          <w:sz w:val="18"/>
        </w:rPr>
        <w:t>engaged in the area of ecumenical </w:t>
      </w:r>
      <w:r>
        <w:rPr>
          <w:b/>
          <w:color w:val="231F20"/>
          <w:spacing w:val="2"/>
          <w:w w:val="110"/>
          <w:sz w:val="18"/>
        </w:rPr>
        <w:t>co-operation. </w:t>
      </w:r>
      <w:r>
        <w:rPr>
          <w:b/>
          <w:color w:val="231F20"/>
          <w:w w:val="110"/>
          <w:sz w:val="18"/>
        </w:rPr>
        <w:t>The United Reformed Church membership of the area meeting in each area of ecumenical </w:t>
      </w:r>
      <w:r>
        <w:rPr>
          <w:b/>
          <w:color w:val="231F20"/>
          <w:spacing w:val="2"/>
          <w:w w:val="110"/>
          <w:sz w:val="18"/>
        </w:rPr>
        <w:t>co-operation </w:t>
      </w:r>
      <w:r>
        <w:rPr>
          <w:b/>
          <w:color w:val="231F20"/>
          <w:w w:val="110"/>
          <w:sz w:val="18"/>
        </w:rPr>
        <w:t>(hereinafter </w:t>
      </w:r>
      <w:r>
        <w:rPr>
          <w:b/>
          <w:color w:val="231F20"/>
          <w:spacing w:val="2"/>
          <w:w w:val="110"/>
          <w:sz w:val="18"/>
        </w:rPr>
        <w:t>referred  </w:t>
      </w:r>
      <w:r>
        <w:rPr>
          <w:b/>
          <w:color w:val="231F20"/>
          <w:w w:val="110"/>
          <w:sz w:val="18"/>
        </w:rPr>
        <w:t>to as the United Reformed Church Committee) shall </w:t>
      </w:r>
      <w:r>
        <w:rPr>
          <w:b/>
          <w:color w:val="231F20"/>
          <w:spacing w:val="2"/>
          <w:w w:val="110"/>
          <w:sz w:val="18"/>
        </w:rPr>
        <w:t>consist </w:t>
      </w:r>
      <w:r>
        <w:rPr>
          <w:b/>
          <w:color w:val="231F20"/>
          <w:w w:val="110"/>
          <w:sz w:val="18"/>
        </w:rPr>
        <w:t>of the moderator of synod, all ministers, </w:t>
      </w:r>
      <w:r>
        <w:rPr>
          <w:b/>
          <w:color w:val="231F20"/>
          <w:spacing w:val="2"/>
          <w:w w:val="110"/>
          <w:sz w:val="18"/>
        </w:rPr>
        <w:t>church related </w:t>
      </w:r>
      <w:r>
        <w:rPr>
          <w:b/>
          <w:color w:val="231F20"/>
          <w:w w:val="110"/>
          <w:sz w:val="18"/>
        </w:rPr>
        <w:t>community workers and </w:t>
      </w:r>
      <w:r>
        <w:rPr>
          <w:b/>
          <w:color w:val="231F20"/>
          <w:spacing w:val="2"/>
          <w:w w:val="110"/>
          <w:sz w:val="18"/>
        </w:rPr>
        <w:t>registered pastors </w:t>
      </w:r>
      <w:r>
        <w:rPr>
          <w:b/>
          <w:color w:val="231F20"/>
          <w:w w:val="110"/>
          <w:sz w:val="18"/>
        </w:rPr>
        <w:t>(in Scotland) engaged </w:t>
      </w:r>
      <w:r>
        <w:rPr>
          <w:b/>
          <w:color w:val="231F20"/>
          <w:spacing w:val="2"/>
          <w:w w:val="110"/>
          <w:sz w:val="18"/>
        </w:rPr>
        <w:t>directly </w:t>
      </w:r>
      <w:r>
        <w:rPr>
          <w:b/>
          <w:color w:val="231F20"/>
          <w:w w:val="110"/>
          <w:sz w:val="18"/>
        </w:rPr>
        <w:t>in the </w:t>
      </w:r>
      <w:r>
        <w:rPr>
          <w:b/>
          <w:color w:val="231F20"/>
          <w:spacing w:val="2"/>
          <w:w w:val="110"/>
          <w:sz w:val="18"/>
        </w:rPr>
        <w:t>service </w:t>
      </w:r>
      <w:r>
        <w:rPr>
          <w:b/>
          <w:color w:val="231F20"/>
          <w:w w:val="110"/>
          <w:sz w:val="18"/>
        </w:rPr>
        <w:t>of the United Reformed Church</w:t>
      </w:r>
      <w:r>
        <w:rPr>
          <w:b/>
          <w:color w:val="231F20"/>
          <w:spacing w:val="9"/>
          <w:w w:val="110"/>
          <w:sz w:val="18"/>
        </w:rPr>
        <w:t> </w:t>
      </w:r>
      <w:r>
        <w:rPr>
          <w:b/>
          <w:color w:val="231F20"/>
          <w:w w:val="110"/>
          <w:sz w:val="18"/>
        </w:rPr>
        <w:t>within</w:t>
      </w:r>
      <w:r>
        <w:rPr>
          <w:b/>
          <w:color w:val="231F20"/>
          <w:spacing w:val="9"/>
          <w:w w:val="110"/>
          <w:sz w:val="18"/>
        </w:rPr>
        <w:t> </w:t>
      </w:r>
      <w:r>
        <w:rPr>
          <w:b/>
          <w:color w:val="231F20"/>
          <w:w w:val="110"/>
          <w:sz w:val="18"/>
        </w:rPr>
        <w:t>the</w:t>
      </w:r>
      <w:r>
        <w:rPr>
          <w:b/>
          <w:color w:val="231F20"/>
          <w:spacing w:val="10"/>
          <w:w w:val="110"/>
          <w:sz w:val="18"/>
        </w:rPr>
        <w:t> </w:t>
      </w:r>
      <w:r>
        <w:rPr>
          <w:b/>
          <w:color w:val="231F20"/>
          <w:w w:val="110"/>
          <w:sz w:val="18"/>
        </w:rPr>
        <w:t>area,</w:t>
      </w:r>
      <w:r>
        <w:rPr>
          <w:b/>
          <w:color w:val="231F20"/>
          <w:spacing w:val="9"/>
          <w:w w:val="110"/>
          <w:sz w:val="18"/>
        </w:rPr>
        <w:t> </w:t>
      </w:r>
      <w:r>
        <w:rPr>
          <w:b/>
          <w:color w:val="231F20"/>
          <w:spacing w:val="2"/>
          <w:w w:val="110"/>
          <w:sz w:val="18"/>
        </w:rPr>
        <w:t>representatives</w:t>
      </w:r>
      <w:r>
        <w:rPr>
          <w:b/>
          <w:color w:val="231F20"/>
          <w:spacing w:val="10"/>
          <w:w w:val="110"/>
          <w:sz w:val="18"/>
        </w:rPr>
        <w:t> </w:t>
      </w:r>
      <w:r>
        <w:rPr>
          <w:b/>
          <w:color w:val="231F20"/>
          <w:w w:val="110"/>
          <w:sz w:val="18"/>
        </w:rPr>
        <w:t>of</w:t>
      </w:r>
      <w:r>
        <w:rPr>
          <w:b/>
          <w:color w:val="231F20"/>
          <w:spacing w:val="9"/>
          <w:w w:val="110"/>
          <w:sz w:val="18"/>
        </w:rPr>
        <w:t> </w:t>
      </w:r>
      <w:r>
        <w:rPr>
          <w:b/>
          <w:color w:val="231F20"/>
          <w:spacing w:val="2"/>
          <w:w w:val="110"/>
          <w:sz w:val="18"/>
        </w:rPr>
        <w:t>Local</w:t>
      </w:r>
      <w:r>
        <w:rPr>
          <w:b/>
          <w:color w:val="231F20"/>
          <w:spacing w:val="9"/>
          <w:w w:val="110"/>
          <w:sz w:val="18"/>
        </w:rPr>
        <w:t> </w:t>
      </w:r>
      <w:r>
        <w:rPr>
          <w:b/>
          <w:color w:val="231F20"/>
          <w:spacing w:val="2"/>
          <w:w w:val="110"/>
          <w:sz w:val="18"/>
        </w:rPr>
        <w:t>Churches</w:t>
      </w:r>
      <w:r>
        <w:rPr>
          <w:b/>
          <w:color w:val="231F20"/>
          <w:spacing w:val="10"/>
          <w:w w:val="110"/>
          <w:sz w:val="18"/>
        </w:rPr>
        <w:t> </w:t>
      </w:r>
      <w:r>
        <w:rPr>
          <w:b/>
          <w:color w:val="231F20"/>
          <w:w w:val="110"/>
          <w:sz w:val="18"/>
        </w:rPr>
        <w:t>within</w:t>
      </w:r>
      <w:r>
        <w:rPr>
          <w:b/>
          <w:color w:val="231F20"/>
          <w:spacing w:val="9"/>
          <w:w w:val="110"/>
          <w:sz w:val="18"/>
        </w:rPr>
        <w:t> </w:t>
      </w:r>
      <w:r>
        <w:rPr>
          <w:b/>
          <w:color w:val="231F20"/>
          <w:w w:val="110"/>
          <w:sz w:val="18"/>
        </w:rPr>
        <w:t>the</w:t>
      </w:r>
      <w:r>
        <w:rPr>
          <w:b/>
          <w:color w:val="231F20"/>
          <w:spacing w:val="10"/>
          <w:w w:val="110"/>
          <w:sz w:val="18"/>
        </w:rPr>
        <w:t> </w:t>
      </w:r>
      <w:r>
        <w:rPr>
          <w:b/>
          <w:color w:val="231F20"/>
          <w:w w:val="110"/>
          <w:sz w:val="18"/>
        </w:rPr>
        <w:t>area,</w:t>
      </w:r>
    </w:p>
    <w:p>
      <w:pPr>
        <w:spacing w:line="273" w:lineRule="auto" w:before="4"/>
        <w:ind w:left="1240" w:right="1143" w:firstLine="0"/>
        <w:jc w:val="left"/>
        <w:rPr>
          <w:b/>
          <w:sz w:val="18"/>
        </w:rPr>
      </w:pPr>
      <w:r>
        <w:rPr>
          <w:b/>
          <w:color w:val="231F20"/>
          <w:w w:val="110"/>
          <w:sz w:val="18"/>
        </w:rPr>
        <w:t>and such other persons as determined by the constitution of each area meeting as approved by resolution of the synod.</w:t>
      </w:r>
    </w:p>
    <w:p>
      <w:pPr>
        <w:spacing w:after="0" w:line="273" w:lineRule="auto"/>
        <w:jc w:val="left"/>
        <w:rPr>
          <w:sz w:val="18"/>
        </w:rPr>
        <w:sectPr>
          <w:pgSz w:w="11910" w:h="16840"/>
          <w:pgMar w:header="581" w:footer="544" w:top="860" w:bottom="740" w:left="460" w:right="0"/>
        </w:sectPr>
      </w:pPr>
    </w:p>
    <w:p>
      <w:pPr>
        <w:pStyle w:val="BodyText"/>
        <w:spacing w:before="8"/>
        <w:rPr>
          <w:b/>
          <w:sz w:val="17"/>
        </w:rPr>
      </w:pPr>
      <w:r>
        <w:rPr/>
        <w:pict>
          <v:group style="position:absolute;margin-left:18.424999pt;margin-top:43.461014pt;width:542pt;height:759pt;mso-position-horizontal-relative:page;mso-position-vertical-relative:page;z-index:-275513344" coordorigin="368,869" coordsize="10840,15180">
            <v:shape style="position:absolute;left:886;top:955;width:9872;height:14983" coordorigin="886,956" coordsize="9872,14983" path="m886,15698l890,15837,916,15908,987,15935,1126,15938,10517,15938,10656,15935,10727,15908,10754,15837,10757,15698,10757,1196,10754,1057,10727,986,10656,960,10517,956,1126,956,987,960,916,986,890,1057,886,1196,886,15698xe" filled="false" stroked="true" strokeweight="3.0pt" strokecolor="#000000">
              <v:path arrowok="t"/>
              <v:stroke dashstyle="solid"/>
            </v:shape>
            <v:shape style="position:absolute;left:368;top:869;width:10840;height:15180" coordorigin="369,869" coordsize="10840,15180" path="m10834,869l539,869,539,1190,10834,1190,10834,869m11208,15742l369,15742,369,16049,11208,16049,11208,15742e" filled="true" fillcolor="#ffffff" stroked="false">
              <v:path arrowok="t"/>
              <v:fill type="solid"/>
            </v:shape>
            <w10:wrap type="none"/>
          </v:group>
        </w:pict>
      </w:r>
    </w:p>
    <w:p>
      <w:pPr>
        <w:tabs>
          <w:tab w:pos="1393" w:val="left" w:leader="none"/>
        </w:tabs>
        <w:spacing w:line="273" w:lineRule="auto" w:before="100"/>
        <w:ind w:left="673" w:right="1593" w:firstLine="68"/>
        <w:jc w:val="left"/>
        <w:rPr>
          <w:b/>
          <w:sz w:val="18"/>
        </w:rPr>
      </w:pPr>
      <w:r>
        <w:rPr>
          <w:b/>
          <w:color w:val="231F20"/>
          <w:spacing w:val="-7"/>
          <w:w w:val="110"/>
          <w:sz w:val="18"/>
        </w:rPr>
        <w:t>(A)</w:t>
        <w:tab/>
      </w:r>
      <w:r>
        <w:rPr>
          <w:b/>
          <w:color w:val="231F20"/>
          <w:w w:val="110"/>
          <w:sz w:val="18"/>
        </w:rPr>
        <w:t>The synod shall delegate to the area council the following functions, unless by agreement with the relevant ecumenical </w:t>
      </w:r>
      <w:r>
        <w:rPr>
          <w:b/>
          <w:color w:val="231F20"/>
          <w:spacing w:val="2"/>
          <w:w w:val="110"/>
          <w:sz w:val="18"/>
        </w:rPr>
        <w:t>partner </w:t>
      </w:r>
      <w:r>
        <w:rPr>
          <w:b/>
          <w:color w:val="231F20"/>
          <w:w w:val="110"/>
          <w:sz w:val="18"/>
        </w:rPr>
        <w:t>it is felt that some of </w:t>
      </w:r>
      <w:r>
        <w:rPr>
          <w:b/>
          <w:color w:val="231F20"/>
          <w:spacing w:val="2"/>
          <w:w w:val="110"/>
          <w:sz w:val="18"/>
        </w:rPr>
        <w:t>these </w:t>
      </w:r>
      <w:r>
        <w:rPr>
          <w:b/>
          <w:color w:val="231F20"/>
          <w:w w:val="110"/>
          <w:sz w:val="18"/>
        </w:rPr>
        <w:t>functions should be </w:t>
      </w:r>
      <w:r>
        <w:rPr>
          <w:b/>
          <w:color w:val="231F20"/>
          <w:spacing w:val="2"/>
          <w:w w:val="110"/>
          <w:sz w:val="18"/>
        </w:rPr>
        <w:t>reserved </w:t>
      </w:r>
      <w:r>
        <w:rPr>
          <w:b/>
          <w:color w:val="231F20"/>
          <w:w w:val="110"/>
          <w:sz w:val="18"/>
        </w:rPr>
        <w:t>to the synod, and it shall be the </w:t>
      </w:r>
      <w:r>
        <w:rPr>
          <w:b/>
          <w:color w:val="231F20"/>
          <w:spacing w:val="2"/>
          <w:w w:val="110"/>
          <w:sz w:val="18"/>
        </w:rPr>
        <w:t>responsibility </w:t>
      </w:r>
      <w:r>
        <w:rPr>
          <w:b/>
          <w:color w:val="231F20"/>
          <w:w w:val="110"/>
          <w:sz w:val="18"/>
        </w:rPr>
        <w:t>of    the </w:t>
      </w:r>
      <w:r>
        <w:rPr>
          <w:b/>
          <w:color w:val="231F20"/>
          <w:spacing w:val="2"/>
          <w:w w:val="110"/>
          <w:sz w:val="18"/>
        </w:rPr>
        <w:t>Area</w:t>
      </w:r>
      <w:r>
        <w:rPr>
          <w:b/>
          <w:color w:val="231F20"/>
          <w:w w:val="110"/>
          <w:sz w:val="18"/>
        </w:rPr>
        <w:t> Council</w:t>
      </w:r>
    </w:p>
    <w:p>
      <w:pPr>
        <w:pStyle w:val="BodyText"/>
        <w:spacing w:before="10"/>
        <w:rPr>
          <w:b/>
          <w:sz w:val="20"/>
        </w:rPr>
      </w:pPr>
    </w:p>
    <w:p>
      <w:pPr>
        <w:pStyle w:val="ListParagraph"/>
        <w:numPr>
          <w:ilvl w:val="0"/>
          <w:numId w:val="52"/>
        </w:numPr>
        <w:tabs>
          <w:tab w:pos="1354" w:val="left" w:leader="none"/>
          <w:tab w:pos="1355" w:val="left" w:leader="none"/>
        </w:tabs>
        <w:spacing w:line="273" w:lineRule="auto" w:before="0" w:after="0"/>
        <w:ind w:left="1354" w:right="1891" w:hanging="681"/>
        <w:jc w:val="left"/>
        <w:rPr>
          <w:b/>
          <w:sz w:val="18"/>
        </w:rPr>
      </w:pPr>
      <w:r>
        <w:rPr>
          <w:b/>
          <w:color w:val="231F20"/>
          <w:w w:val="110"/>
          <w:sz w:val="18"/>
        </w:rPr>
        <w:t>to exercise oversight of all ministers falling within any of the </w:t>
      </w:r>
      <w:r>
        <w:rPr>
          <w:b/>
          <w:color w:val="231F20"/>
          <w:spacing w:val="2"/>
          <w:w w:val="110"/>
          <w:sz w:val="18"/>
        </w:rPr>
        <w:t>categories </w:t>
      </w:r>
      <w:r>
        <w:rPr>
          <w:b/>
          <w:color w:val="231F20"/>
          <w:spacing w:val="-8"/>
          <w:w w:val="110"/>
          <w:sz w:val="18"/>
        </w:rPr>
        <w:t>2(3)(a), </w:t>
      </w:r>
      <w:r>
        <w:rPr>
          <w:b/>
          <w:color w:val="231F20"/>
          <w:spacing w:val="-6"/>
          <w:w w:val="110"/>
          <w:sz w:val="18"/>
        </w:rPr>
        <w:t>(b), </w:t>
      </w:r>
      <w:r>
        <w:rPr>
          <w:b/>
          <w:color w:val="231F20"/>
          <w:spacing w:val="-3"/>
          <w:w w:val="110"/>
          <w:sz w:val="18"/>
        </w:rPr>
        <w:t>(f) </w:t>
      </w:r>
      <w:r>
        <w:rPr>
          <w:b/>
          <w:color w:val="231F20"/>
          <w:w w:val="110"/>
          <w:sz w:val="18"/>
        </w:rPr>
        <w:t>and </w:t>
      </w:r>
      <w:r>
        <w:rPr>
          <w:b/>
          <w:color w:val="231F20"/>
          <w:spacing w:val="-7"/>
          <w:w w:val="110"/>
          <w:sz w:val="18"/>
        </w:rPr>
        <w:t>(g) </w:t>
      </w:r>
      <w:r>
        <w:rPr>
          <w:b/>
          <w:color w:val="231F20"/>
          <w:w w:val="110"/>
          <w:sz w:val="18"/>
        </w:rPr>
        <w:t>except moderators of synods who although members</w:t>
      </w:r>
      <w:r>
        <w:rPr>
          <w:b/>
          <w:color w:val="231F20"/>
          <w:spacing w:val="12"/>
          <w:w w:val="110"/>
          <w:sz w:val="18"/>
        </w:rPr>
        <w:t> </w:t>
      </w:r>
      <w:r>
        <w:rPr>
          <w:b/>
          <w:color w:val="231F20"/>
          <w:w w:val="110"/>
          <w:sz w:val="18"/>
        </w:rPr>
        <w:t>of</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area</w:t>
      </w:r>
      <w:r>
        <w:rPr>
          <w:b/>
          <w:color w:val="231F20"/>
          <w:spacing w:val="12"/>
          <w:w w:val="110"/>
          <w:sz w:val="18"/>
        </w:rPr>
        <w:t> </w:t>
      </w:r>
      <w:r>
        <w:rPr>
          <w:b/>
          <w:color w:val="231F20"/>
          <w:w w:val="110"/>
          <w:sz w:val="18"/>
        </w:rPr>
        <w:t>council</w:t>
      </w:r>
      <w:r>
        <w:rPr>
          <w:b/>
          <w:color w:val="231F20"/>
          <w:spacing w:val="13"/>
          <w:w w:val="110"/>
          <w:sz w:val="18"/>
        </w:rPr>
        <w:t> </w:t>
      </w:r>
      <w:r>
        <w:rPr>
          <w:b/>
          <w:color w:val="231F20"/>
          <w:w w:val="110"/>
          <w:sz w:val="18"/>
        </w:rPr>
        <w:t>are</w:t>
      </w:r>
      <w:r>
        <w:rPr>
          <w:b/>
          <w:color w:val="231F20"/>
          <w:spacing w:val="13"/>
          <w:w w:val="110"/>
          <w:sz w:val="18"/>
        </w:rPr>
        <w:t> </w:t>
      </w:r>
      <w:r>
        <w:rPr>
          <w:b/>
          <w:color w:val="231F20"/>
          <w:w w:val="110"/>
          <w:sz w:val="18"/>
        </w:rPr>
        <w:t>responsible</w:t>
      </w:r>
      <w:r>
        <w:rPr>
          <w:b/>
          <w:color w:val="231F20"/>
          <w:spacing w:val="12"/>
          <w:w w:val="110"/>
          <w:sz w:val="18"/>
        </w:rPr>
        <w:t> </w:t>
      </w:r>
      <w:r>
        <w:rPr>
          <w:b/>
          <w:color w:val="231F20"/>
          <w:w w:val="110"/>
          <w:sz w:val="18"/>
        </w:rPr>
        <w:t>to</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General</w:t>
      </w:r>
      <w:r>
        <w:rPr>
          <w:b/>
          <w:color w:val="231F20"/>
          <w:spacing w:val="12"/>
          <w:w w:val="110"/>
          <w:sz w:val="18"/>
        </w:rPr>
        <w:t> </w:t>
      </w:r>
      <w:r>
        <w:rPr>
          <w:b/>
          <w:color w:val="231F20"/>
          <w:w w:val="110"/>
          <w:sz w:val="18"/>
        </w:rPr>
        <w:t>Assembly;</w:t>
      </w:r>
    </w:p>
    <w:p>
      <w:pPr>
        <w:pStyle w:val="BodyText"/>
        <w:spacing w:before="9"/>
        <w:rPr>
          <w:b/>
          <w:sz w:val="20"/>
        </w:rPr>
      </w:pPr>
    </w:p>
    <w:p>
      <w:pPr>
        <w:pStyle w:val="ListParagraph"/>
        <w:numPr>
          <w:ilvl w:val="0"/>
          <w:numId w:val="52"/>
        </w:numPr>
        <w:tabs>
          <w:tab w:pos="1354" w:val="left" w:leader="none"/>
          <w:tab w:pos="1355" w:val="left" w:leader="none"/>
        </w:tabs>
        <w:spacing w:line="273" w:lineRule="auto" w:before="0" w:after="0"/>
        <w:ind w:left="1354" w:right="1519" w:hanging="681"/>
        <w:jc w:val="left"/>
        <w:rPr>
          <w:b/>
          <w:sz w:val="18"/>
        </w:rPr>
      </w:pPr>
      <w:r>
        <w:rPr>
          <w:b/>
          <w:color w:val="231F20"/>
          <w:w w:val="110"/>
          <w:sz w:val="18"/>
        </w:rPr>
        <w:t>to give </w:t>
      </w:r>
      <w:r>
        <w:rPr>
          <w:b/>
          <w:color w:val="231F20"/>
          <w:spacing w:val="-7"/>
          <w:w w:val="110"/>
          <w:sz w:val="18"/>
        </w:rPr>
        <w:t>(or, </w:t>
      </w:r>
      <w:r>
        <w:rPr>
          <w:b/>
          <w:color w:val="231F20"/>
          <w:w w:val="110"/>
          <w:sz w:val="18"/>
        </w:rPr>
        <w:t>where deep pastoral concern for the </w:t>
      </w:r>
      <w:r>
        <w:rPr>
          <w:b/>
          <w:color w:val="231F20"/>
          <w:spacing w:val="2"/>
          <w:w w:val="110"/>
          <w:sz w:val="18"/>
        </w:rPr>
        <w:t>church requires it, </w:t>
      </w:r>
      <w:r>
        <w:rPr>
          <w:b/>
          <w:color w:val="231F20"/>
          <w:w w:val="110"/>
          <w:sz w:val="18"/>
        </w:rPr>
        <w:t>to withhold) </w:t>
      </w:r>
      <w:r>
        <w:rPr>
          <w:b/>
          <w:color w:val="231F20"/>
          <w:spacing w:val="2"/>
          <w:w w:val="110"/>
          <w:sz w:val="18"/>
        </w:rPr>
        <w:t>concurrence </w:t>
      </w:r>
      <w:r>
        <w:rPr>
          <w:b/>
          <w:color w:val="231F20"/>
          <w:w w:val="110"/>
          <w:sz w:val="18"/>
        </w:rPr>
        <w:t>in calls to ministers and, with the moderator of the synod or the moderator’s </w:t>
      </w:r>
      <w:r>
        <w:rPr>
          <w:b/>
          <w:color w:val="231F20"/>
          <w:spacing w:val="2"/>
          <w:w w:val="110"/>
          <w:sz w:val="18"/>
        </w:rPr>
        <w:t>deputy </w:t>
      </w:r>
      <w:r>
        <w:rPr>
          <w:b/>
          <w:color w:val="231F20"/>
          <w:w w:val="110"/>
          <w:sz w:val="18"/>
        </w:rPr>
        <w:t>presiding, to </w:t>
      </w:r>
      <w:r>
        <w:rPr>
          <w:b/>
          <w:color w:val="231F20"/>
          <w:spacing w:val="2"/>
          <w:w w:val="110"/>
          <w:sz w:val="18"/>
        </w:rPr>
        <w:t>conduct, </w:t>
      </w:r>
      <w:r>
        <w:rPr>
          <w:b/>
          <w:color w:val="231F20"/>
          <w:w w:val="110"/>
          <w:sz w:val="18"/>
        </w:rPr>
        <w:t>in fellowship with the </w:t>
      </w:r>
      <w:r>
        <w:rPr>
          <w:b/>
          <w:color w:val="231F20"/>
          <w:spacing w:val="2"/>
          <w:w w:val="110"/>
          <w:sz w:val="18"/>
        </w:rPr>
        <w:t>Local </w:t>
      </w:r>
      <w:r>
        <w:rPr>
          <w:b/>
          <w:color w:val="231F20"/>
          <w:w w:val="110"/>
          <w:sz w:val="18"/>
        </w:rPr>
        <w:t>Church(es), any ordinations </w:t>
      </w:r>
      <w:r>
        <w:rPr>
          <w:b/>
          <w:color w:val="231F20"/>
          <w:spacing w:val="-4"/>
          <w:w w:val="110"/>
          <w:sz w:val="18"/>
        </w:rPr>
        <w:t>and/or </w:t>
      </w:r>
      <w:r>
        <w:rPr>
          <w:b/>
          <w:color w:val="231F20"/>
          <w:w w:val="110"/>
          <w:sz w:val="18"/>
        </w:rPr>
        <w:t>inductions of ministers within the district;</w:t>
      </w:r>
    </w:p>
    <w:p>
      <w:pPr>
        <w:pStyle w:val="BodyText"/>
        <w:spacing w:before="10"/>
        <w:rPr>
          <w:b/>
          <w:sz w:val="20"/>
        </w:rPr>
      </w:pPr>
    </w:p>
    <w:p>
      <w:pPr>
        <w:pStyle w:val="ListParagraph"/>
        <w:numPr>
          <w:ilvl w:val="0"/>
          <w:numId w:val="52"/>
        </w:numPr>
        <w:tabs>
          <w:tab w:pos="1354" w:val="left" w:leader="none"/>
          <w:tab w:pos="1355" w:val="left" w:leader="none"/>
        </w:tabs>
        <w:spacing w:line="273" w:lineRule="auto" w:before="0" w:after="0"/>
        <w:ind w:left="1354" w:right="1780" w:hanging="681"/>
        <w:jc w:val="left"/>
        <w:rPr>
          <w:b/>
          <w:sz w:val="18"/>
        </w:rPr>
      </w:pPr>
      <w:r>
        <w:rPr>
          <w:b/>
          <w:color w:val="231F20"/>
          <w:w w:val="110"/>
          <w:sz w:val="18"/>
        </w:rPr>
        <w:t>to appoint, or to concur in the appointment of, </w:t>
      </w:r>
      <w:r>
        <w:rPr>
          <w:b/>
          <w:color w:val="231F20"/>
          <w:spacing w:val="2"/>
          <w:w w:val="110"/>
          <w:sz w:val="18"/>
        </w:rPr>
        <w:t>non-stipendiary </w:t>
      </w:r>
      <w:r>
        <w:rPr>
          <w:b/>
          <w:color w:val="231F20"/>
          <w:w w:val="110"/>
          <w:sz w:val="18"/>
        </w:rPr>
        <w:t>ministers and </w:t>
      </w:r>
      <w:r>
        <w:rPr>
          <w:b/>
          <w:color w:val="231F20"/>
          <w:spacing w:val="2"/>
          <w:w w:val="110"/>
          <w:sz w:val="18"/>
        </w:rPr>
        <w:t>church related </w:t>
      </w:r>
      <w:r>
        <w:rPr>
          <w:b/>
          <w:color w:val="231F20"/>
          <w:w w:val="110"/>
          <w:sz w:val="18"/>
        </w:rPr>
        <w:t>community workers to their particular </w:t>
      </w:r>
      <w:r>
        <w:rPr>
          <w:b/>
          <w:color w:val="231F20"/>
          <w:spacing w:val="2"/>
          <w:w w:val="110"/>
          <w:sz w:val="18"/>
        </w:rPr>
        <w:t>service </w:t>
      </w:r>
      <w:r>
        <w:rPr>
          <w:b/>
          <w:color w:val="231F20"/>
          <w:w w:val="110"/>
          <w:sz w:val="18"/>
        </w:rPr>
        <w:t>and to review this </w:t>
      </w:r>
      <w:r>
        <w:rPr>
          <w:b/>
          <w:color w:val="231F20"/>
          <w:spacing w:val="2"/>
          <w:w w:val="110"/>
          <w:sz w:val="18"/>
        </w:rPr>
        <w:t>service </w:t>
      </w:r>
      <w:r>
        <w:rPr>
          <w:b/>
          <w:color w:val="231F20"/>
          <w:w w:val="110"/>
          <w:sz w:val="18"/>
        </w:rPr>
        <w:t>at </w:t>
      </w:r>
      <w:r>
        <w:rPr>
          <w:b/>
          <w:color w:val="231F20"/>
          <w:spacing w:val="2"/>
          <w:w w:val="110"/>
          <w:sz w:val="18"/>
        </w:rPr>
        <w:t>stated</w:t>
      </w:r>
      <w:r>
        <w:rPr>
          <w:b/>
          <w:color w:val="231F20"/>
          <w:spacing w:val="3"/>
          <w:w w:val="110"/>
          <w:sz w:val="18"/>
        </w:rPr>
        <w:t> </w:t>
      </w:r>
      <w:r>
        <w:rPr>
          <w:b/>
          <w:color w:val="231F20"/>
          <w:w w:val="110"/>
          <w:sz w:val="18"/>
        </w:rPr>
        <w:t>intervals;</w:t>
      </w:r>
    </w:p>
    <w:p>
      <w:pPr>
        <w:pStyle w:val="BodyText"/>
        <w:spacing w:before="8"/>
        <w:rPr>
          <w:b/>
          <w:sz w:val="20"/>
        </w:rPr>
      </w:pPr>
    </w:p>
    <w:p>
      <w:pPr>
        <w:pStyle w:val="ListParagraph"/>
        <w:numPr>
          <w:ilvl w:val="0"/>
          <w:numId w:val="52"/>
        </w:numPr>
        <w:tabs>
          <w:tab w:pos="1354" w:val="left" w:leader="none"/>
          <w:tab w:pos="1355" w:val="left" w:leader="none"/>
        </w:tabs>
        <w:spacing w:line="273" w:lineRule="auto" w:before="0" w:after="0"/>
        <w:ind w:left="1354" w:right="1659" w:hanging="681"/>
        <w:jc w:val="left"/>
        <w:rPr>
          <w:b/>
          <w:sz w:val="18"/>
        </w:rPr>
      </w:pPr>
      <w:r>
        <w:rPr>
          <w:b/>
          <w:color w:val="231F20"/>
          <w:w w:val="110"/>
          <w:sz w:val="18"/>
        </w:rPr>
        <w:t>to appoint, in consultation with the </w:t>
      </w:r>
      <w:r>
        <w:rPr>
          <w:b/>
          <w:color w:val="231F20"/>
          <w:spacing w:val="2"/>
          <w:w w:val="110"/>
          <w:sz w:val="18"/>
        </w:rPr>
        <w:t>Local </w:t>
      </w:r>
      <w:r>
        <w:rPr>
          <w:b/>
          <w:color w:val="231F20"/>
          <w:w w:val="110"/>
          <w:sz w:val="18"/>
        </w:rPr>
        <w:t>Church(es) and the moderator   of the synod, an interim moderator during a pastoral vacancy, such  interim moderator normally being a </w:t>
      </w:r>
      <w:r>
        <w:rPr>
          <w:b/>
          <w:color w:val="231F20"/>
          <w:spacing w:val="2"/>
          <w:w w:val="110"/>
          <w:sz w:val="18"/>
        </w:rPr>
        <w:t>serving </w:t>
      </w:r>
      <w:r>
        <w:rPr>
          <w:b/>
          <w:color w:val="231F20"/>
          <w:w w:val="110"/>
          <w:sz w:val="18"/>
        </w:rPr>
        <w:t>minister or a </w:t>
      </w:r>
      <w:r>
        <w:rPr>
          <w:b/>
          <w:color w:val="231F20"/>
          <w:spacing w:val="2"/>
          <w:w w:val="110"/>
          <w:sz w:val="18"/>
        </w:rPr>
        <w:t>retired </w:t>
      </w:r>
      <w:r>
        <w:rPr>
          <w:b/>
          <w:color w:val="231F20"/>
          <w:w w:val="110"/>
          <w:sz w:val="18"/>
        </w:rPr>
        <w:t>minister. In exceptional </w:t>
      </w:r>
      <w:r>
        <w:rPr>
          <w:b/>
          <w:color w:val="231F20"/>
          <w:spacing w:val="2"/>
          <w:w w:val="110"/>
          <w:sz w:val="18"/>
        </w:rPr>
        <w:t>circumstances </w:t>
      </w:r>
      <w:r>
        <w:rPr>
          <w:b/>
          <w:color w:val="231F20"/>
          <w:w w:val="110"/>
          <w:sz w:val="18"/>
        </w:rPr>
        <w:t>an elder may be</w:t>
      </w:r>
      <w:r>
        <w:rPr>
          <w:b/>
          <w:color w:val="231F20"/>
          <w:spacing w:val="16"/>
          <w:w w:val="110"/>
          <w:sz w:val="18"/>
        </w:rPr>
        <w:t> </w:t>
      </w:r>
      <w:r>
        <w:rPr>
          <w:b/>
          <w:color w:val="231F20"/>
          <w:w w:val="110"/>
          <w:sz w:val="18"/>
        </w:rPr>
        <w:t>appointed;</w:t>
      </w:r>
    </w:p>
    <w:p>
      <w:pPr>
        <w:pStyle w:val="BodyText"/>
        <w:spacing w:before="10"/>
        <w:rPr>
          <w:b/>
          <w:sz w:val="20"/>
        </w:rPr>
      </w:pPr>
    </w:p>
    <w:p>
      <w:pPr>
        <w:pStyle w:val="ListParagraph"/>
        <w:numPr>
          <w:ilvl w:val="0"/>
          <w:numId w:val="52"/>
        </w:numPr>
        <w:tabs>
          <w:tab w:pos="1354" w:val="left" w:leader="none"/>
          <w:tab w:pos="1355" w:val="left" w:leader="none"/>
        </w:tabs>
        <w:spacing w:line="273" w:lineRule="auto" w:before="0" w:after="0"/>
        <w:ind w:left="1354" w:right="1604" w:hanging="681"/>
        <w:jc w:val="left"/>
        <w:rPr>
          <w:b/>
          <w:sz w:val="18"/>
        </w:rPr>
      </w:pPr>
      <w:r>
        <w:rPr>
          <w:b/>
          <w:color w:val="231F20"/>
          <w:w w:val="110"/>
          <w:sz w:val="18"/>
        </w:rPr>
        <w:t>to care for all the churches of the area council and to visit them by deputies at regular intervals for consultation concerning their life and</w:t>
      </w:r>
      <w:r>
        <w:rPr>
          <w:b/>
          <w:color w:val="231F20"/>
          <w:spacing w:val="-18"/>
          <w:w w:val="110"/>
          <w:sz w:val="18"/>
        </w:rPr>
        <w:t> </w:t>
      </w:r>
      <w:r>
        <w:rPr>
          <w:b/>
          <w:color w:val="231F20"/>
          <w:w w:val="110"/>
          <w:sz w:val="18"/>
        </w:rPr>
        <w:t>work;</w:t>
      </w:r>
    </w:p>
    <w:p>
      <w:pPr>
        <w:pStyle w:val="BodyText"/>
        <w:spacing w:before="8"/>
        <w:rPr>
          <w:b/>
          <w:sz w:val="20"/>
        </w:rPr>
      </w:pPr>
    </w:p>
    <w:p>
      <w:pPr>
        <w:pStyle w:val="ListParagraph"/>
        <w:numPr>
          <w:ilvl w:val="0"/>
          <w:numId w:val="52"/>
        </w:numPr>
        <w:tabs>
          <w:tab w:pos="1354" w:val="left" w:leader="none"/>
          <w:tab w:pos="1355" w:val="left" w:leader="none"/>
        </w:tabs>
        <w:spacing w:line="273" w:lineRule="auto" w:before="0" w:after="0"/>
        <w:ind w:left="1354" w:right="2356" w:hanging="681"/>
        <w:jc w:val="left"/>
        <w:rPr>
          <w:b/>
          <w:sz w:val="18"/>
        </w:rPr>
      </w:pPr>
      <w:r>
        <w:rPr>
          <w:b/>
          <w:color w:val="231F20"/>
          <w:w w:val="110"/>
          <w:sz w:val="18"/>
        </w:rPr>
        <w:t>to consider on the recommendation of </w:t>
      </w:r>
      <w:r>
        <w:rPr>
          <w:b/>
          <w:color w:val="231F20"/>
          <w:spacing w:val="2"/>
          <w:w w:val="110"/>
          <w:sz w:val="18"/>
        </w:rPr>
        <w:t>Local Churches </w:t>
      </w:r>
      <w:r>
        <w:rPr>
          <w:b/>
          <w:color w:val="231F20"/>
          <w:w w:val="110"/>
          <w:sz w:val="18"/>
        </w:rPr>
        <w:t>applications for recognition as candidates for the ministry and to transmit them, if approved, to the synod for</w:t>
      </w:r>
      <w:r>
        <w:rPr>
          <w:b/>
          <w:color w:val="231F20"/>
          <w:spacing w:val="7"/>
          <w:w w:val="110"/>
          <w:sz w:val="18"/>
        </w:rPr>
        <w:t> </w:t>
      </w:r>
      <w:r>
        <w:rPr>
          <w:b/>
          <w:color w:val="231F20"/>
          <w:w w:val="110"/>
          <w:sz w:val="18"/>
        </w:rPr>
        <w:t>decision;</w:t>
      </w:r>
    </w:p>
    <w:p>
      <w:pPr>
        <w:pStyle w:val="BodyText"/>
        <w:spacing w:before="9"/>
        <w:rPr>
          <w:b/>
          <w:sz w:val="20"/>
        </w:rPr>
      </w:pPr>
    </w:p>
    <w:p>
      <w:pPr>
        <w:pStyle w:val="ListParagraph"/>
        <w:numPr>
          <w:ilvl w:val="0"/>
          <w:numId w:val="52"/>
        </w:numPr>
        <w:tabs>
          <w:tab w:pos="1354" w:val="left" w:leader="none"/>
          <w:tab w:pos="1355" w:val="left" w:leader="none"/>
        </w:tabs>
        <w:spacing w:line="240" w:lineRule="auto" w:before="0" w:after="0"/>
        <w:ind w:left="1354" w:right="0" w:hanging="682"/>
        <w:jc w:val="left"/>
        <w:rPr>
          <w:b/>
          <w:sz w:val="18"/>
        </w:rPr>
      </w:pPr>
      <w:r>
        <w:rPr>
          <w:b/>
          <w:color w:val="231F20"/>
          <w:w w:val="110"/>
          <w:sz w:val="18"/>
        </w:rPr>
        <w:t>to </w:t>
      </w:r>
      <w:r>
        <w:rPr>
          <w:b/>
          <w:color w:val="231F20"/>
          <w:spacing w:val="2"/>
          <w:w w:val="110"/>
          <w:sz w:val="18"/>
        </w:rPr>
        <w:t>accredit </w:t>
      </w:r>
      <w:r>
        <w:rPr>
          <w:b/>
          <w:color w:val="231F20"/>
          <w:w w:val="110"/>
          <w:sz w:val="18"/>
        </w:rPr>
        <w:t>lay</w:t>
      </w:r>
      <w:r>
        <w:rPr>
          <w:b/>
          <w:color w:val="231F20"/>
          <w:spacing w:val="-2"/>
          <w:w w:val="110"/>
          <w:sz w:val="18"/>
        </w:rPr>
        <w:t> </w:t>
      </w:r>
      <w:r>
        <w:rPr>
          <w:b/>
          <w:color w:val="231F20"/>
          <w:spacing w:val="2"/>
          <w:w w:val="110"/>
          <w:sz w:val="18"/>
        </w:rPr>
        <w:t>preachers</w:t>
      </w:r>
    </w:p>
    <w:p>
      <w:pPr>
        <w:pStyle w:val="BodyText"/>
        <w:spacing w:before="1"/>
        <w:rPr>
          <w:b/>
          <w:sz w:val="23"/>
        </w:rPr>
      </w:pPr>
    </w:p>
    <w:p>
      <w:pPr>
        <w:pStyle w:val="ListParagraph"/>
        <w:numPr>
          <w:ilvl w:val="0"/>
          <w:numId w:val="52"/>
        </w:numPr>
        <w:tabs>
          <w:tab w:pos="1355" w:val="left" w:leader="none"/>
        </w:tabs>
        <w:spacing w:line="273" w:lineRule="auto" w:before="0" w:after="0"/>
        <w:ind w:left="1354" w:right="1919" w:hanging="681"/>
        <w:jc w:val="left"/>
        <w:rPr>
          <w:b/>
          <w:sz w:val="18"/>
        </w:rPr>
      </w:pPr>
      <w:r>
        <w:rPr>
          <w:b/>
          <w:color w:val="231F20"/>
          <w:w w:val="110"/>
          <w:sz w:val="18"/>
        </w:rPr>
        <w:t>to consider resignations of ministers not </w:t>
      </w:r>
      <w:r>
        <w:rPr>
          <w:b/>
          <w:color w:val="231F20"/>
          <w:spacing w:val="2"/>
          <w:w w:val="110"/>
          <w:sz w:val="18"/>
        </w:rPr>
        <w:t>currently </w:t>
      </w:r>
      <w:r>
        <w:rPr>
          <w:b/>
          <w:color w:val="231F20"/>
          <w:w w:val="110"/>
          <w:sz w:val="18"/>
        </w:rPr>
        <w:t>the subject of any </w:t>
      </w:r>
      <w:r>
        <w:rPr>
          <w:b/>
          <w:color w:val="231F20"/>
          <w:spacing w:val="2"/>
          <w:w w:val="110"/>
          <w:sz w:val="18"/>
        </w:rPr>
        <w:t>case </w:t>
      </w:r>
      <w:r>
        <w:rPr>
          <w:b/>
          <w:color w:val="231F20"/>
          <w:w w:val="110"/>
          <w:sz w:val="18"/>
        </w:rPr>
        <w:t>within the </w:t>
      </w:r>
      <w:r>
        <w:rPr>
          <w:b/>
          <w:color w:val="231F20"/>
          <w:spacing w:val="2"/>
          <w:w w:val="110"/>
          <w:sz w:val="18"/>
        </w:rPr>
        <w:t>Section </w:t>
      </w:r>
      <w:r>
        <w:rPr>
          <w:b/>
          <w:color w:val="231F20"/>
          <w:w w:val="110"/>
          <w:sz w:val="18"/>
        </w:rPr>
        <w:t>O </w:t>
      </w:r>
      <w:r>
        <w:rPr>
          <w:b/>
          <w:color w:val="231F20"/>
          <w:spacing w:val="2"/>
          <w:w w:val="110"/>
          <w:sz w:val="18"/>
        </w:rPr>
        <w:t>Process </w:t>
      </w:r>
      <w:r>
        <w:rPr>
          <w:b/>
          <w:color w:val="231F20"/>
          <w:w w:val="110"/>
          <w:sz w:val="18"/>
        </w:rPr>
        <w:t>for Ministerial Discipline </w:t>
      </w:r>
      <w:r>
        <w:rPr>
          <w:b/>
          <w:color w:val="231F20"/>
          <w:spacing w:val="2"/>
          <w:w w:val="110"/>
          <w:sz w:val="18"/>
        </w:rPr>
        <w:t>referred </w:t>
      </w:r>
      <w:r>
        <w:rPr>
          <w:b/>
          <w:color w:val="231F20"/>
          <w:w w:val="110"/>
          <w:sz w:val="18"/>
        </w:rPr>
        <w:t>to  in Function (xviii) below and, in consultation with the moderator of the synod,</w:t>
      </w:r>
      <w:r>
        <w:rPr>
          <w:b/>
          <w:color w:val="231F20"/>
          <w:spacing w:val="13"/>
          <w:w w:val="110"/>
          <w:sz w:val="18"/>
        </w:rPr>
        <w:t> </w:t>
      </w:r>
      <w:r>
        <w:rPr>
          <w:b/>
          <w:color w:val="231F20"/>
          <w:w w:val="110"/>
          <w:sz w:val="18"/>
        </w:rPr>
        <w:t>to</w:t>
      </w:r>
      <w:r>
        <w:rPr>
          <w:b/>
          <w:color w:val="231F20"/>
          <w:spacing w:val="13"/>
          <w:w w:val="110"/>
          <w:sz w:val="18"/>
        </w:rPr>
        <w:t> </w:t>
      </w:r>
      <w:r>
        <w:rPr>
          <w:b/>
          <w:color w:val="231F20"/>
          <w:w w:val="110"/>
          <w:sz w:val="18"/>
        </w:rPr>
        <w:t>decide</w:t>
      </w:r>
      <w:r>
        <w:rPr>
          <w:b/>
          <w:color w:val="231F20"/>
          <w:spacing w:val="13"/>
          <w:w w:val="110"/>
          <w:sz w:val="18"/>
        </w:rPr>
        <w:t> </w:t>
      </w:r>
      <w:r>
        <w:rPr>
          <w:b/>
          <w:color w:val="231F20"/>
          <w:w w:val="110"/>
          <w:sz w:val="18"/>
        </w:rPr>
        <w:t>upon</w:t>
      </w:r>
      <w:r>
        <w:rPr>
          <w:b/>
          <w:color w:val="231F20"/>
          <w:spacing w:val="13"/>
          <w:w w:val="110"/>
          <w:sz w:val="18"/>
        </w:rPr>
        <w:t> </w:t>
      </w:r>
      <w:r>
        <w:rPr>
          <w:b/>
          <w:color w:val="231F20"/>
          <w:w w:val="110"/>
          <w:sz w:val="18"/>
        </w:rPr>
        <w:t>appropriate</w:t>
      </w:r>
      <w:r>
        <w:rPr>
          <w:b/>
          <w:color w:val="231F20"/>
          <w:spacing w:val="13"/>
          <w:w w:val="110"/>
          <w:sz w:val="18"/>
        </w:rPr>
        <w:t> </w:t>
      </w:r>
      <w:r>
        <w:rPr>
          <w:b/>
          <w:color w:val="231F20"/>
          <w:spacing w:val="2"/>
          <w:w w:val="110"/>
          <w:sz w:val="18"/>
        </w:rPr>
        <w:t>action</w:t>
      </w:r>
      <w:r>
        <w:rPr>
          <w:b/>
          <w:color w:val="231F20"/>
          <w:spacing w:val="13"/>
          <w:w w:val="110"/>
          <w:sz w:val="18"/>
        </w:rPr>
        <w:t> </w:t>
      </w:r>
      <w:r>
        <w:rPr>
          <w:b/>
          <w:color w:val="231F20"/>
          <w:w w:val="110"/>
          <w:sz w:val="18"/>
        </w:rPr>
        <w:t>(see</w:t>
      </w:r>
      <w:r>
        <w:rPr>
          <w:b/>
          <w:color w:val="231F20"/>
          <w:spacing w:val="13"/>
          <w:w w:val="110"/>
          <w:sz w:val="18"/>
        </w:rPr>
        <w:t> </w:t>
      </w:r>
      <w:r>
        <w:rPr>
          <w:b/>
          <w:color w:val="231F20"/>
          <w:w w:val="110"/>
          <w:sz w:val="18"/>
        </w:rPr>
        <w:t>also</w:t>
      </w:r>
      <w:r>
        <w:rPr>
          <w:b/>
          <w:color w:val="231F20"/>
          <w:spacing w:val="13"/>
          <w:w w:val="110"/>
          <w:sz w:val="18"/>
        </w:rPr>
        <w:t> </w:t>
      </w:r>
      <w:r>
        <w:rPr>
          <w:b/>
          <w:color w:val="231F20"/>
          <w:w w:val="110"/>
          <w:sz w:val="18"/>
        </w:rPr>
        <w:t>paragraph</w:t>
      </w:r>
      <w:r>
        <w:rPr>
          <w:b/>
          <w:color w:val="231F20"/>
          <w:spacing w:val="13"/>
          <w:w w:val="110"/>
          <w:sz w:val="18"/>
        </w:rPr>
        <w:t> </w:t>
      </w:r>
      <w:r>
        <w:rPr>
          <w:b/>
          <w:color w:val="231F20"/>
          <w:w w:val="110"/>
          <w:sz w:val="18"/>
        </w:rPr>
        <w:t>2.4.xviii);</w:t>
      </w:r>
    </w:p>
    <w:p>
      <w:pPr>
        <w:pStyle w:val="BodyText"/>
        <w:spacing w:before="10"/>
        <w:rPr>
          <w:b/>
          <w:sz w:val="20"/>
        </w:rPr>
      </w:pPr>
    </w:p>
    <w:p>
      <w:pPr>
        <w:pStyle w:val="ListParagraph"/>
        <w:numPr>
          <w:ilvl w:val="0"/>
          <w:numId w:val="52"/>
        </w:numPr>
        <w:tabs>
          <w:tab w:pos="1354" w:val="left" w:leader="none"/>
          <w:tab w:pos="1355" w:val="left" w:leader="none"/>
        </w:tabs>
        <w:spacing w:line="273" w:lineRule="auto" w:before="0" w:after="0"/>
        <w:ind w:left="1354" w:right="1624" w:hanging="681"/>
        <w:jc w:val="left"/>
        <w:rPr>
          <w:b/>
          <w:sz w:val="18"/>
        </w:rPr>
      </w:pPr>
      <w:r>
        <w:rPr>
          <w:b/>
          <w:color w:val="231F20"/>
          <w:w w:val="110"/>
          <w:sz w:val="18"/>
        </w:rPr>
        <w:t>from time to time to </w:t>
      </w:r>
      <w:r>
        <w:rPr>
          <w:b/>
          <w:color w:val="231F20"/>
          <w:spacing w:val="2"/>
          <w:w w:val="110"/>
          <w:sz w:val="18"/>
        </w:rPr>
        <w:t>recommend </w:t>
      </w:r>
      <w:r>
        <w:rPr>
          <w:b/>
          <w:color w:val="231F20"/>
          <w:w w:val="110"/>
          <w:sz w:val="18"/>
        </w:rPr>
        <w:t>to synod such number of </w:t>
      </w:r>
      <w:r>
        <w:rPr>
          <w:b/>
          <w:color w:val="231F20"/>
          <w:spacing w:val="2"/>
          <w:w w:val="110"/>
          <w:sz w:val="18"/>
        </w:rPr>
        <w:t>representatives </w:t>
      </w:r>
      <w:r>
        <w:rPr>
          <w:b/>
          <w:color w:val="231F20"/>
          <w:w w:val="110"/>
          <w:sz w:val="18"/>
        </w:rPr>
        <w:t>to the General </w:t>
      </w:r>
      <w:r>
        <w:rPr>
          <w:b/>
          <w:color w:val="231F20"/>
          <w:spacing w:val="2"/>
          <w:w w:val="110"/>
          <w:sz w:val="18"/>
        </w:rPr>
        <w:t>Assembly </w:t>
      </w:r>
      <w:r>
        <w:rPr>
          <w:b/>
          <w:color w:val="231F20"/>
          <w:w w:val="110"/>
          <w:sz w:val="18"/>
        </w:rPr>
        <w:t>as the synod shall</w:t>
      </w:r>
      <w:r>
        <w:rPr>
          <w:b/>
          <w:color w:val="231F20"/>
          <w:spacing w:val="16"/>
          <w:w w:val="110"/>
          <w:sz w:val="18"/>
        </w:rPr>
        <w:t> </w:t>
      </w:r>
      <w:r>
        <w:rPr>
          <w:b/>
          <w:color w:val="231F20"/>
          <w:w w:val="110"/>
          <w:sz w:val="18"/>
        </w:rPr>
        <w:t>determine;</w:t>
      </w:r>
    </w:p>
    <w:p>
      <w:pPr>
        <w:pStyle w:val="BodyText"/>
        <w:spacing w:before="8"/>
        <w:rPr>
          <w:b/>
          <w:sz w:val="20"/>
        </w:rPr>
      </w:pPr>
    </w:p>
    <w:p>
      <w:pPr>
        <w:pStyle w:val="ListParagraph"/>
        <w:numPr>
          <w:ilvl w:val="0"/>
          <w:numId w:val="52"/>
        </w:numPr>
        <w:tabs>
          <w:tab w:pos="1354" w:val="left" w:leader="none"/>
          <w:tab w:pos="1355" w:val="left" w:leader="none"/>
        </w:tabs>
        <w:spacing w:line="273" w:lineRule="auto" w:before="0" w:after="0"/>
        <w:ind w:left="1354" w:right="1647" w:hanging="681"/>
        <w:jc w:val="left"/>
        <w:rPr>
          <w:b/>
          <w:sz w:val="18"/>
        </w:rPr>
      </w:pPr>
      <w:r>
        <w:rPr>
          <w:b/>
          <w:color w:val="231F20"/>
          <w:w w:val="110"/>
          <w:sz w:val="18"/>
        </w:rPr>
        <w:t>to engage in study concerning the Church’s mission in the region and to encourage in the local </w:t>
      </w:r>
      <w:r>
        <w:rPr>
          <w:b/>
          <w:color w:val="231F20"/>
          <w:spacing w:val="2"/>
          <w:w w:val="110"/>
          <w:sz w:val="18"/>
        </w:rPr>
        <w:t>churches </w:t>
      </w:r>
      <w:r>
        <w:rPr>
          <w:b/>
          <w:color w:val="231F20"/>
          <w:w w:val="110"/>
          <w:sz w:val="18"/>
        </w:rPr>
        <w:t>concern for youth work and social </w:t>
      </w:r>
      <w:r>
        <w:rPr>
          <w:b/>
          <w:color w:val="231F20"/>
          <w:spacing w:val="2"/>
          <w:w w:val="110"/>
          <w:sz w:val="18"/>
        </w:rPr>
        <w:t>service </w:t>
      </w:r>
      <w:r>
        <w:rPr>
          <w:b/>
          <w:color w:val="231F20"/>
          <w:w w:val="110"/>
          <w:sz w:val="18"/>
        </w:rPr>
        <w:t>and a </w:t>
      </w:r>
      <w:r>
        <w:rPr>
          <w:b/>
          <w:color w:val="231F20"/>
          <w:spacing w:val="2"/>
          <w:w w:val="110"/>
          <w:sz w:val="18"/>
        </w:rPr>
        <w:t>sense </w:t>
      </w:r>
      <w:r>
        <w:rPr>
          <w:b/>
          <w:color w:val="231F20"/>
          <w:w w:val="110"/>
          <w:sz w:val="18"/>
        </w:rPr>
        <w:t>of </w:t>
      </w:r>
      <w:r>
        <w:rPr>
          <w:b/>
          <w:color w:val="231F20"/>
          <w:spacing w:val="2"/>
          <w:w w:val="110"/>
          <w:sz w:val="18"/>
        </w:rPr>
        <w:t>responsibility </w:t>
      </w:r>
      <w:r>
        <w:rPr>
          <w:b/>
          <w:color w:val="231F20"/>
          <w:w w:val="110"/>
          <w:sz w:val="18"/>
        </w:rPr>
        <w:t>for the wider work of the Church at home  and abroad;</w:t>
      </w:r>
    </w:p>
    <w:p>
      <w:pPr>
        <w:pStyle w:val="BodyText"/>
        <w:spacing w:before="9"/>
        <w:rPr>
          <w:b/>
          <w:sz w:val="20"/>
        </w:rPr>
      </w:pPr>
    </w:p>
    <w:p>
      <w:pPr>
        <w:pStyle w:val="ListParagraph"/>
        <w:numPr>
          <w:ilvl w:val="0"/>
          <w:numId w:val="52"/>
        </w:numPr>
        <w:tabs>
          <w:tab w:pos="1354" w:val="left" w:leader="none"/>
          <w:tab w:pos="1355" w:val="left" w:leader="none"/>
        </w:tabs>
        <w:spacing w:line="273" w:lineRule="auto" w:before="0" w:after="0"/>
        <w:ind w:left="1354" w:right="2106" w:hanging="681"/>
        <w:jc w:val="left"/>
        <w:rPr>
          <w:b/>
          <w:sz w:val="18"/>
        </w:rPr>
      </w:pPr>
      <w:r>
        <w:rPr>
          <w:b/>
          <w:color w:val="231F20"/>
          <w:w w:val="110"/>
          <w:sz w:val="18"/>
        </w:rPr>
        <w:t>to promote </w:t>
      </w:r>
      <w:r>
        <w:rPr>
          <w:b/>
          <w:color w:val="231F20"/>
          <w:spacing w:val="2"/>
          <w:w w:val="110"/>
          <w:sz w:val="18"/>
        </w:rPr>
        <w:t>church extension </w:t>
      </w:r>
      <w:r>
        <w:rPr>
          <w:b/>
          <w:color w:val="231F20"/>
          <w:w w:val="110"/>
          <w:sz w:val="18"/>
        </w:rPr>
        <w:t>within the area and to submit proposals to the synod for the establishing of new </w:t>
      </w:r>
      <w:r>
        <w:rPr>
          <w:b/>
          <w:color w:val="231F20"/>
          <w:spacing w:val="2"/>
          <w:w w:val="110"/>
          <w:sz w:val="18"/>
        </w:rPr>
        <w:t>causes </w:t>
      </w:r>
      <w:r>
        <w:rPr>
          <w:b/>
          <w:color w:val="231F20"/>
          <w:w w:val="110"/>
          <w:sz w:val="18"/>
        </w:rPr>
        <w:t>and the recognition of mission </w:t>
      </w:r>
      <w:r>
        <w:rPr>
          <w:b/>
          <w:color w:val="231F20"/>
          <w:spacing w:val="2"/>
          <w:w w:val="110"/>
          <w:sz w:val="18"/>
        </w:rPr>
        <w:t>projects;</w:t>
      </w:r>
    </w:p>
    <w:p>
      <w:pPr>
        <w:pStyle w:val="BodyText"/>
        <w:spacing w:before="9"/>
        <w:rPr>
          <w:b/>
          <w:sz w:val="20"/>
        </w:rPr>
      </w:pPr>
    </w:p>
    <w:p>
      <w:pPr>
        <w:pStyle w:val="ListParagraph"/>
        <w:numPr>
          <w:ilvl w:val="0"/>
          <w:numId w:val="52"/>
        </w:numPr>
        <w:tabs>
          <w:tab w:pos="1354" w:val="left" w:leader="none"/>
          <w:tab w:pos="1355" w:val="left" w:leader="none"/>
        </w:tabs>
        <w:spacing w:line="273" w:lineRule="auto" w:before="0" w:after="0"/>
        <w:ind w:left="1354" w:right="1689" w:hanging="681"/>
        <w:jc w:val="left"/>
        <w:rPr>
          <w:b/>
          <w:sz w:val="18"/>
        </w:rPr>
      </w:pPr>
      <w:r>
        <w:rPr>
          <w:b/>
          <w:color w:val="231F20"/>
          <w:w w:val="110"/>
          <w:sz w:val="18"/>
        </w:rPr>
        <w:t>to make recommendations to the synod in consultation with the </w:t>
      </w:r>
      <w:r>
        <w:rPr>
          <w:b/>
          <w:color w:val="231F20"/>
          <w:spacing w:val="2"/>
          <w:w w:val="110"/>
          <w:sz w:val="18"/>
        </w:rPr>
        <w:t>churches</w:t>
      </w:r>
      <w:r>
        <w:rPr>
          <w:b/>
          <w:color w:val="231F20"/>
          <w:spacing w:val="71"/>
          <w:w w:val="110"/>
          <w:sz w:val="18"/>
        </w:rPr>
        <w:t> </w:t>
      </w:r>
      <w:r>
        <w:rPr>
          <w:b/>
          <w:color w:val="231F20"/>
          <w:spacing w:val="2"/>
          <w:w w:val="110"/>
          <w:sz w:val="18"/>
        </w:rPr>
        <w:t>concerned </w:t>
      </w:r>
      <w:r>
        <w:rPr>
          <w:b/>
          <w:color w:val="231F20"/>
          <w:w w:val="110"/>
          <w:sz w:val="18"/>
        </w:rPr>
        <w:t>and to act on behalf of the synod in consultation with the moderator on all </w:t>
      </w:r>
      <w:r>
        <w:rPr>
          <w:b/>
          <w:color w:val="231F20"/>
          <w:spacing w:val="2"/>
          <w:w w:val="110"/>
          <w:sz w:val="18"/>
        </w:rPr>
        <w:t>matters </w:t>
      </w:r>
      <w:r>
        <w:rPr>
          <w:b/>
          <w:color w:val="231F20"/>
          <w:w w:val="110"/>
          <w:sz w:val="18"/>
        </w:rPr>
        <w:t>regarding the grouping, amalgamation or dissolution of local</w:t>
      </w:r>
      <w:r>
        <w:rPr>
          <w:b/>
          <w:color w:val="231F20"/>
          <w:spacing w:val="1"/>
          <w:w w:val="110"/>
          <w:sz w:val="18"/>
        </w:rPr>
        <w:t> </w:t>
      </w:r>
      <w:r>
        <w:rPr>
          <w:b/>
          <w:color w:val="231F20"/>
          <w:spacing w:val="2"/>
          <w:w w:val="110"/>
          <w:sz w:val="18"/>
        </w:rPr>
        <w:t>churches;</w:t>
      </w:r>
    </w:p>
    <w:p>
      <w:pPr>
        <w:pStyle w:val="BodyText"/>
        <w:spacing w:before="9"/>
        <w:rPr>
          <w:b/>
          <w:sz w:val="20"/>
        </w:rPr>
      </w:pPr>
    </w:p>
    <w:p>
      <w:pPr>
        <w:pStyle w:val="ListParagraph"/>
        <w:numPr>
          <w:ilvl w:val="0"/>
          <w:numId w:val="52"/>
        </w:numPr>
        <w:tabs>
          <w:tab w:pos="1355" w:val="left" w:leader="none"/>
        </w:tabs>
        <w:spacing w:line="273" w:lineRule="auto" w:before="1" w:after="0"/>
        <w:ind w:left="1354" w:right="1689" w:hanging="681"/>
        <w:jc w:val="left"/>
        <w:rPr>
          <w:b/>
          <w:sz w:val="18"/>
        </w:rPr>
      </w:pPr>
      <w:r>
        <w:rPr>
          <w:b/>
          <w:color w:val="231F20"/>
          <w:w w:val="110"/>
          <w:sz w:val="18"/>
        </w:rPr>
        <w:t>to make recommendations to the synod in consultation with the </w:t>
      </w:r>
      <w:r>
        <w:rPr>
          <w:b/>
          <w:color w:val="231F20"/>
          <w:spacing w:val="2"/>
          <w:w w:val="110"/>
          <w:sz w:val="18"/>
        </w:rPr>
        <w:t>churches</w:t>
      </w:r>
      <w:r>
        <w:rPr>
          <w:b/>
          <w:color w:val="231F20"/>
          <w:spacing w:val="71"/>
          <w:w w:val="110"/>
          <w:sz w:val="18"/>
        </w:rPr>
        <w:t> </w:t>
      </w:r>
      <w:r>
        <w:rPr>
          <w:b/>
          <w:color w:val="231F20"/>
          <w:spacing w:val="2"/>
          <w:w w:val="110"/>
          <w:sz w:val="18"/>
        </w:rPr>
        <w:t>concerned </w:t>
      </w:r>
      <w:r>
        <w:rPr>
          <w:b/>
          <w:color w:val="231F20"/>
          <w:w w:val="110"/>
          <w:sz w:val="18"/>
        </w:rPr>
        <w:t>and to act on behalf of the synod on all </w:t>
      </w:r>
      <w:r>
        <w:rPr>
          <w:b/>
          <w:color w:val="231F20"/>
          <w:spacing w:val="2"/>
          <w:w w:val="110"/>
          <w:sz w:val="18"/>
        </w:rPr>
        <w:t>matters </w:t>
      </w:r>
      <w:r>
        <w:rPr>
          <w:b/>
          <w:color w:val="231F20"/>
          <w:w w:val="110"/>
          <w:sz w:val="18"/>
        </w:rPr>
        <w:t>regarding </w:t>
      </w:r>
      <w:r>
        <w:rPr>
          <w:b/>
          <w:color w:val="231F20"/>
          <w:spacing w:val="2"/>
          <w:w w:val="110"/>
          <w:sz w:val="18"/>
        </w:rPr>
        <w:t>erection, </w:t>
      </w:r>
      <w:r>
        <w:rPr>
          <w:b/>
          <w:color w:val="231F20"/>
          <w:w w:val="110"/>
          <w:sz w:val="18"/>
        </w:rPr>
        <w:t>major </w:t>
      </w:r>
      <w:r>
        <w:rPr>
          <w:b/>
          <w:color w:val="231F20"/>
          <w:spacing w:val="2"/>
          <w:w w:val="110"/>
          <w:sz w:val="18"/>
        </w:rPr>
        <w:t>reconstruction </w:t>
      </w:r>
      <w:r>
        <w:rPr>
          <w:b/>
          <w:color w:val="231F20"/>
          <w:w w:val="110"/>
          <w:sz w:val="18"/>
        </w:rPr>
        <w:t>or disposal of</w:t>
      </w:r>
      <w:r>
        <w:rPr>
          <w:b/>
          <w:color w:val="231F20"/>
          <w:spacing w:val="10"/>
          <w:w w:val="110"/>
          <w:sz w:val="18"/>
        </w:rPr>
        <w:t> </w:t>
      </w:r>
      <w:r>
        <w:rPr>
          <w:b/>
          <w:color w:val="231F20"/>
          <w:w w:val="110"/>
          <w:sz w:val="18"/>
        </w:rPr>
        <w:t>buildings;</w:t>
      </w:r>
    </w:p>
    <w:p>
      <w:pPr>
        <w:spacing w:after="0" w:line="273" w:lineRule="auto"/>
        <w:jc w:val="left"/>
        <w:rPr>
          <w:sz w:val="18"/>
        </w:rPr>
        <w:sectPr>
          <w:pgSz w:w="11910" w:h="16840"/>
          <w:pgMar w:header="581" w:footer="464" w:top="860" w:bottom="740" w:left="460" w:right="0"/>
        </w:sectPr>
      </w:pPr>
    </w:p>
    <w:p>
      <w:pPr>
        <w:pStyle w:val="BodyText"/>
        <w:spacing w:before="2"/>
        <w:rPr>
          <w:b/>
          <w:sz w:val="21"/>
        </w:rPr>
      </w:pPr>
      <w:r>
        <w:rPr/>
        <w:pict>
          <v:group style="position:absolute;margin-left:39.685001pt;margin-top:46.295013pt;width:542pt;height:759pt;mso-position-horizontal-relative:page;mso-position-vertical-relative:page;z-index:-275512320" coordorigin="794,926" coordsize="10840,15180">
            <v:shape style="position:absolute;left:1311;top:1012;width:9872;height:14983" coordorigin="1311,1013" coordsize="9872,14983" path="m1311,15755l1315,15894,1341,15965,1413,15991,1551,15995,10943,15995,11081,15991,11153,15965,11179,15894,11183,15755,11183,1253,11179,1114,11153,1043,11081,1016,10943,1013,1551,1013,1413,1016,1341,1043,1315,1114,1311,1253,1311,15755xe" filled="false" stroked="true" strokeweight="3.0pt" strokecolor="#000000">
              <v:path arrowok="t"/>
              <v:stroke dashstyle="solid"/>
            </v:shape>
            <v:shape style="position:absolute;left:793;top:925;width:10840;height:15180" coordorigin="794,926" coordsize="10840,15180" path="m11259,926l964,926,964,1247,11259,1247,11259,926m11633,15798l794,15798,794,16105,11633,16105,11633,15798e" filled="true" fillcolor="#ffffff" stroked="false">
              <v:path arrowok="t"/>
              <v:fill type="solid"/>
            </v:shape>
            <w10:wrap type="none"/>
          </v:group>
        </w:pict>
      </w:r>
    </w:p>
    <w:p>
      <w:pPr>
        <w:pStyle w:val="ListParagraph"/>
        <w:numPr>
          <w:ilvl w:val="0"/>
          <w:numId w:val="52"/>
        </w:numPr>
        <w:tabs>
          <w:tab w:pos="1922" w:val="left" w:leader="none"/>
        </w:tabs>
        <w:spacing w:line="273" w:lineRule="auto" w:before="100" w:after="0"/>
        <w:ind w:left="1921" w:right="1848" w:hanging="681"/>
        <w:jc w:val="left"/>
        <w:rPr>
          <w:b/>
          <w:sz w:val="18"/>
        </w:rPr>
      </w:pPr>
      <w:r>
        <w:rPr>
          <w:b/>
          <w:color w:val="231F20"/>
          <w:w w:val="110"/>
          <w:sz w:val="18"/>
        </w:rPr>
        <w:t>to provide a forum for </w:t>
      </w:r>
      <w:r>
        <w:rPr>
          <w:b/>
          <w:color w:val="231F20"/>
          <w:spacing w:val="2"/>
          <w:w w:val="110"/>
          <w:sz w:val="18"/>
        </w:rPr>
        <w:t>concerns </w:t>
      </w:r>
      <w:r>
        <w:rPr>
          <w:b/>
          <w:color w:val="231F20"/>
          <w:w w:val="110"/>
          <w:sz w:val="18"/>
        </w:rPr>
        <w:t>brought forward by </w:t>
      </w:r>
      <w:r>
        <w:rPr>
          <w:b/>
          <w:color w:val="231F20"/>
          <w:spacing w:val="2"/>
          <w:w w:val="110"/>
          <w:sz w:val="18"/>
        </w:rPr>
        <w:t>Local Churches </w:t>
      </w:r>
      <w:r>
        <w:rPr>
          <w:b/>
          <w:color w:val="231F20"/>
          <w:w w:val="110"/>
          <w:sz w:val="18"/>
        </w:rPr>
        <w:t>and to advise</w:t>
      </w:r>
      <w:r>
        <w:rPr>
          <w:b/>
          <w:color w:val="231F20"/>
          <w:spacing w:val="1"/>
          <w:w w:val="110"/>
          <w:sz w:val="18"/>
        </w:rPr>
        <w:t> </w:t>
      </w:r>
      <w:r>
        <w:rPr>
          <w:b/>
          <w:color w:val="231F20"/>
          <w:w w:val="110"/>
          <w:sz w:val="18"/>
        </w:rPr>
        <w:t>thereon;</w:t>
      </w:r>
    </w:p>
    <w:p>
      <w:pPr>
        <w:pStyle w:val="BodyText"/>
        <w:spacing w:before="8"/>
        <w:rPr>
          <w:b/>
          <w:sz w:val="20"/>
        </w:rPr>
      </w:pPr>
    </w:p>
    <w:p>
      <w:pPr>
        <w:pStyle w:val="ListParagraph"/>
        <w:numPr>
          <w:ilvl w:val="0"/>
          <w:numId w:val="52"/>
        </w:numPr>
        <w:tabs>
          <w:tab w:pos="1921" w:val="left" w:leader="none"/>
          <w:tab w:pos="1922" w:val="left" w:leader="none"/>
        </w:tabs>
        <w:spacing w:line="273" w:lineRule="auto" w:before="1" w:after="0"/>
        <w:ind w:left="1921" w:right="1876" w:hanging="681"/>
        <w:jc w:val="left"/>
        <w:rPr>
          <w:b/>
          <w:sz w:val="18"/>
        </w:rPr>
      </w:pPr>
      <w:r>
        <w:rPr>
          <w:b/>
          <w:color w:val="231F20"/>
          <w:w w:val="110"/>
          <w:sz w:val="18"/>
        </w:rPr>
        <w:t>to hear and make </w:t>
      </w:r>
      <w:r>
        <w:rPr>
          <w:b/>
          <w:color w:val="231F20"/>
          <w:spacing w:val="2"/>
          <w:w w:val="110"/>
          <w:sz w:val="18"/>
        </w:rPr>
        <w:t>decisions </w:t>
      </w:r>
      <w:r>
        <w:rPr>
          <w:b/>
          <w:color w:val="231F20"/>
          <w:w w:val="110"/>
          <w:sz w:val="18"/>
        </w:rPr>
        <w:t>upon appeals brought forward by </w:t>
      </w:r>
      <w:r>
        <w:rPr>
          <w:b/>
          <w:color w:val="231F20"/>
          <w:spacing w:val="2"/>
          <w:w w:val="110"/>
          <w:sz w:val="18"/>
        </w:rPr>
        <w:t>Local Churches </w:t>
      </w:r>
      <w:r>
        <w:rPr>
          <w:b/>
          <w:color w:val="231F20"/>
          <w:w w:val="110"/>
          <w:sz w:val="18"/>
        </w:rPr>
        <w:t>and </w:t>
      </w:r>
      <w:r>
        <w:rPr>
          <w:b/>
          <w:color w:val="231F20"/>
          <w:spacing w:val="2"/>
          <w:w w:val="110"/>
          <w:sz w:val="18"/>
        </w:rPr>
        <w:t>church</w:t>
      </w:r>
      <w:r>
        <w:rPr>
          <w:b/>
          <w:color w:val="231F20"/>
          <w:spacing w:val="-1"/>
          <w:w w:val="110"/>
          <w:sz w:val="18"/>
        </w:rPr>
        <w:t> </w:t>
      </w:r>
      <w:r>
        <w:rPr>
          <w:b/>
          <w:color w:val="231F20"/>
          <w:w w:val="110"/>
          <w:sz w:val="18"/>
        </w:rPr>
        <w:t>members;</w:t>
      </w:r>
    </w:p>
    <w:p>
      <w:pPr>
        <w:pStyle w:val="BodyText"/>
        <w:spacing w:before="8"/>
        <w:rPr>
          <w:b/>
          <w:sz w:val="20"/>
        </w:rPr>
      </w:pPr>
    </w:p>
    <w:p>
      <w:pPr>
        <w:pStyle w:val="ListParagraph"/>
        <w:numPr>
          <w:ilvl w:val="0"/>
          <w:numId w:val="52"/>
        </w:numPr>
        <w:tabs>
          <w:tab w:pos="1922" w:val="left" w:leader="none"/>
        </w:tabs>
        <w:spacing w:line="273" w:lineRule="auto" w:before="0" w:after="0"/>
        <w:ind w:left="1921" w:right="1775" w:hanging="681"/>
        <w:jc w:val="left"/>
        <w:rPr>
          <w:b/>
          <w:sz w:val="18"/>
        </w:rPr>
      </w:pPr>
      <w:r>
        <w:rPr>
          <w:b/>
          <w:color w:val="231F20"/>
          <w:w w:val="110"/>
          <w:sz w:val="18"/>
        </w:rPr>
        <w:t>to take appropriate </w:t>
      </w:r>
      <w:r>
        <w:rPr>
          <w:b/>
          <w:color w:val="231F20"/>
          <w:spacing w:val="2"/>
          <w:w w:val="110"/>
          <w:sz w:val="18"/>
        </w:rPr>
        <w:t>action </w:t>
      </w:r>
      <w:r>
        <w:rPr>
          <w:b/>
          <w:color w:val="231F20"/>
          <w:w w:val="110"/>
          <w:sz w:val="18"/>
        </w:rPr>
        <w:t>on </w:t>
      </w:r>
      <w:r>
        <w:rPr>
          <w:b/>
          <w:color w:val="231F20"/>
          <w:spacing w:val="2"/>
          <w:w w:val="110"/>
          <w:sz w:val="18"/>
        </w:rPr>
        <w:t>matters referred </w:t>
      </w:r>
      <w:r>
        <w:rPr>
          <w:b/>
          <w:color w:val="231F20"/>
          <w:w w:val="110"/>
          <w:sz w:val="18"/>
        </w:rPr>
        <w:t>to the council by the synod or General Assembly, and to initiate or transmit proposals for consideration by </w:t>
      </w:r>
      <w:r>
        <w:rPr>
          <w:b/>
          <w:color w:val="231F20"/>
          <w:spacing w:val="2"/>
          <w:w w:val="110"/>
          <w:sz w:val="18"/>
        </w:rPr>
        <w:t>those </w:t>
      </w:r>
      <w:r>
        <w:rPr>
          <w:b/>
          <w:color w:val="231F20"/>
          <w:w w:val="110"/>
          <w:sz w:val="18"/>
        </w:rPr>
        <w:t>bodies;</w:t>
      </w:r>
    </w:p>
    <w:p>
      <w:pPr>
        <w:pStyle w:val="BodyText"/>
        <w:spacing w:before="8"/>
        <w:rPr>
          <w:b/>
          <w:sz w:val="20"/>
        </w:rPr>
      </w:pPr>
    </w:p>
    <w:p>
      <w:pPr>
        <w:pStyle w:val="ListParagraph"/>
        <w:numPr>
          <w:ilvl w:val="0"/>
          <w:numId w:val="52"/>
        </w:numPr>
        <w:tabs>
          <w:tab w:pos="1961" w:val="left" w:leader="none"/>
        </w:tabs>
        <w:spacing w:line="240" w:lineRule="auto" w:before="1" w:after="0"/>
        <w:ind w:left="1960" w:right="0" w:hanging="721"/>
        <w:jc w:val="left"/>
        <w:rPr>
          <w:b/>
          <w:sz w:val="18"/>
        </w:rPr>
      </w:pPr>
      <w:r>
        <w:rPr>
          <w:b/>
          <w:color w:val="231F20"/>
          <w:w w:val="110"/>
          <w:sz w:val="18"/>
        </w:rPr>
        <w:t>to maintain </w:t>
      </w:r>
      <w:r>
        <w:rPr>
          <w:b/>
          <w:color w:val="231F20"/>
          <w:spacing w:val="2"/>
          <w:w w:val="110"/>
          <w:sz w:val="18"/>
        </w:rPr>
        <w:t>contact </w:t>
      </w:r>
      <w:r>
        <w:rPr>
          <w:b/>
          <w:color w:val="231F20"/>
          <w:w w:val="110"/>
          <w:sz w:val="18"/>
        </w:rPr>
        <w:t>with ecumenical and missionary work in the</w:t>
      </w:r>
      <w:r>
        <w:rPr>
          <w:b/>
          <w:color w:val="231F20"/>
          <w:spacing w:val="37"/>
          <w:w w:val="110"/>
          <w:sz w:val="18"/>
        </w:rPr>
        <w:t> </w:t>
      </w:r>
      <w:r>
        <w:rPr>
          <w:b/>
          <w:color w:val="231F20"/>
          <w:w w:val="110"/>
          <w:sz w:val="18"/>
        </w:rPr>
        <w:t>area;</w:t>
      </w:r>
    </w:p>
    <w:p>
      <w:pPr>
        <w:pStyle w:val="BodyText"/>
        <w:spacing w:before="1"/>
        <w:rPr>
          <w:b/>
          <w:sz w:val="23"/>
        </w:rPr>
      </w:pPr>
    </w:p>
    <w:p>
      <w:pPr>
        <w:pStyle w:val="ListParagraph"/>
        <w:numPr>
          <w:ilvl w:val="0"/>
          <w:numId w:val="52"/>
        </w:numPr>
        <w:tabs>
          <w:tab w:pos="1993" w:val="left" w:leader="none"/>
        </w:tabs>
        <w:spacing w:line="273" w:lineRule="auto" w:before="0" w:after="0"/>
        <w:ind w:left="1921" w:right="1195" w:hanging="681"/>
        <w:jc w:val="left"/>
        <w:rPr>
          <w:b/>
          <w:sz w:val="18"/>
        </w:rPr>
      </w:pPr>
      <w:r>
        <w:rPr>
          <w:b/>
          <w:color w:val="231F20"/>
          <w:w w:val="110"/>
          <w:sz w:val="18"/>
        </w:rPr>
        <w:t>where the area council </w:t>
      </w:r>
      <w:r>
        <w:rPr>
          <w:b/>
          <w:color w:val="231F20"/>
          <w:spacing w:val="2"/>
          <w:w w:val="110"/>
          <w:sz w:val="18"/>
        </w:rPr>
        <w:t>considers </w:t>
      </w:r>
      <w:r>
        <w:rPr>
          <w:b/>
          <w:color w:val="231F20"/>
          <w:w w:val="110"/>
          <w:sz w:val="18"/>
        </w:rPr>
        <w:t>that a minister is not or may not be exercising his/her ministry in accordance with Paragraph 2 of Schedule    E to the Basis of Union, to </w:t>
      </w:r>
      <w:r>
        <w:rPr>
          <w:b/>
          <w:color w:val="231F20"/>
          <w:spacing w:val="2"/>
          <w:w w:val="110"/>
          <w:sz w:val="18"/>
        </w:rPr>
        <w:t>refer </w:t>
      </w:r>
      <w:r>
        <w:rPr>
          <w:b/>
          <w:color w:val="231F20"/>
          <w:w w:val="110"/>
          <w:sz w:val="18"/>
        </w:rPr>
        <w:t>the </w:t>
      </w:r>
      <w:r>
        <w:rPr>
          <w:b/>
          <w:color w:val="231F20"/>
          <w:spacing w:val="2"/>
          <w:w w:val="110"/>
          <w:sz w:val="18"/>
        </w:rPr>
        <w:t>case </w:t>
      </w:r>
      <w:r>
        <w:rPr>
          <w:b/>
          <w:color w:val="231F20"/>
          <w:w w:val="110"/>
          <w:sz w:val="18"/>
        </w:rPr>
        <w:t>of that minister to be dealt with in</w:t>
      </w:r>
      <w:r>
        <w:rPr>
          <w:b/>
          <w:color w:val="231F20"/>
          <w:spacing w:val="13"/>
          <w:w w:val="110"/>
          <w:sz w:val="18"/>
        </w:rPr>
        <w:t> </w:t>
      </w:r>
      <w:r>
        <w:rPr>
          <w:b/>
          <w:color w:val="231F20"/>
          <w:w w:val="110"/>
          <w:sz w:val="18"/>
        </w:rPr>
        <w:t>accordance</w:t>
      </w:r>
      <w:r>
        <w:rPr>
          <w:b/>
          <w:color w:val="231F20"/>
          <w:spacing w:val="13"/>
          <w:w w:val="110"/>
          <w:sz w:val="18"/>
        </w:rPr>
        <w:t> </w:t>
      </w:r>
      <w:r>
        <w:rPr>
          <w:b/>
          <w:color w:val="231F20"/>
          <w:w w:val="110"/>
          <w:sz w:val="18"/>
        </w:rPr>
        <w:t>with</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Disciplinary</w:t>
      </w:r>
      <w:r>
        <w:rPr>
          <w:b/>
          <w:color w:val="231F20"/>
          <w:spacing w:val="13"/>
          <w:w w:val="110"/>
          <w:sz w:val="18"/>
        </w:rPr>
        <w:t> </w:t>
      </w:r>
      <w:r>
        <w:rPr>
          <w:b/>
          <w:color w:val="231F20"/>
          <w:spacing w:val="2"/>
          <w:w w:val="110"/>
          <w:sz w:val="18"/>
        </w:rPr>
        <w:t>Process</w:t>
      </w:r>
      <w:r>
        <w:rPr>
          <w:b/>
          <w:color w:val="231F20"/>
          <w:spacing w:val="13"/>
          <w:w w:val="110"/>
          <w:sz w:val="18"/>
        </w:rPr>
        <w:t> </w:t>
      </w:r>
      <w:r>
        <w:rPr>
          <w:b/>
          <w:color w:val="231F20"/>
          <w:w w:val="110"/>
          <w:sz w:val="18"/>
        </w:rPr>
        <w:t>contained</w:t>
      </w:r>
      <w:r>
        <w:rPr>
          <w:b/>
          <w:color w:val="231F20"/>
          <w:spacing w:val="13"/>
          <w:w w:val="110"/>
          <w:sz w:val="18"/>
        </w:rPr>
        <w:t> </w:t>
      </w:r>
      <w:r>
        <w:rPr>
          <w:b/>
          <w:color w:val="231F20"/>
          <w:w w:val="110"/>
          <w:sz w:val="18"/>
        </w:rPr>
        <w:t>in</w:t>
      </w:r>
      <w:r>
        <w:rPr>
          <w:b/>
          <w:color w:val="231F20"/>
          <w:spacing w:val="13"/>
          <w:w w:val="110"/>
          <w:sz w:val="18"/>
        </w:rPr>
        <w:t> </w:t>
      </w:r>
      <w:r>
        <w:rPr>
          <w:b/>
          <w:color w:val="231F20"/>
          <w:spacing w:val="2"/>
          <w:w w:val="110"/>
          <w:sz w:val="18"/>
        </w:rPr>
        <w:t>Section</w:t>
      </w:r>
      <w:r>
        <w:rPr>
          <w:b/>
          <w:color w:val="231F20"/>
          <w:spacing w:val="14"/>
          <w:w w:val="110"/>
          <w:sz w:val="18"/>
        </w:rPr>
        <w:t> </w:t>
      </w:r>
      <w:r>
        <w:rPr>
          <w:b/>
          <w:color w:val="231F20"/>
          <w:w w:val="110"/>
          <w:sz w:val="18"/>
        </w:rPr>
        <w:t>O</w:t>
      </w:r>
      <w:r>
        <w:rPr>
          <w:b/>
          <w:color w:val="231F20"/>
          <w:spacing w:val="13"/>
          <w:w w:val="110"/>
          <w:sz w:val="18"/>
        </w:rPr>
        <w:t> </w:t>
      </w:r>
      <w:r>
        <w:rPr>
          <w:b/>
          <w:color w:val="231F20"/>
          <w:w w:val="110"/>
          <w:sz w:val="18"/>
        </w:rPr>
        <w:t>of</w:t>
      </w:r>
      <w:r>
        <w:rPr>
          <w:b/>
          <w:color w:val="231F20"/>
          <w:spacing w:val="13"/>
          <w:w w:val="110"/>
          <w:sz w:val="18"/>
        </w:rPr>
        <w:t> </w:t>
      </w:r>
      <w:r>
        <w:rPr>
          <w:b/>
          <w:color w:val="231F20"/>
          <w:w w:val="110"/>
          <w:sz w:val="18"/>
        </w:rPr>
        <w:t>the</w:t>
      </w:r>
    </w:p>
    <w:p>
      <w:pPr>
        <w:spacing w:line="273" w:lineRule="auto" w:before="3"/>
        <w:ind w:left="1921" w:right="1143" w:firstLine="0"/>
        <w:jc w:val="left"/>
        <w:rPr>
          <w:b/>
          <w:sz w:val="18"/>
        </w:rPr>
      </w:pPr>
      <w:r>
        <w:rPr>
          <w:b/>
          <w:color w:val="231F20"/>
          <w:w w:val="110"/>
          <w:sz w:val="18"/>
        </w:rPr>
        <w:t>Manual of the United Reformed Church and in every such case to suspend the minister concerned pending the resolution of the matter under that Process at the appropriate time as specified in that Process.</w:t>
      </w:r>
    </w:p>
    <w:p>
      <w:pPr>
        <w:pStyle w:val="BodyText"/>
        <w:spacing w:before="8"/>
        <w:rPr>
          <w:b/>
          <w:sz w:val="20"/>
        </w:rPr>
      </w:pPr>
    </w:p>
    <w:p>
      <w:pPr>
        <w:tabs>
          <w:tab w:pos="1960" w:val="left" w:leader="none"/>
        </w:tabs>
        <w:spacing w:line="273" w:lineRule="auto" w:before="0"/>
        <w:ind w:left="1240" w:right="1365" w:firstLine="0"/>
        <w:jc w:val="left"/>
        <w:rPr>
          <w:b/>
          <w:sz w:val="18"/>
        </w:rPr>
      </w:pPr>
      <w:r>
        <w:rPr>
          <w:b/>
          <w:color w:val="231F20"/>
          <w:spacing w:val="-7"/>
          <w:w w:val="110"/>
          <w:sz w:val="18"/>
        </w:rPr>
        <w:t>(D)</w:t>
        <w:tab/>
      </w:r>
      <w:r>
        <w:rPr>
          <w:b/>
          <w:color w:val="231F20"/>
          <w:w w:val="110"/>
          <w:sz w:val="18"/>
        </w:rPr>
        <w:t>Such functions as relate solely to the work of the United Reformed Church may be discharged by the United Reformed Church </w:t>
      </w:r>
      <w:r>
        <w:rPr>
          <w:b/>
          <w:color w:val="231F20"/>
          <w:spacing w:val="2"/>
          <w:w w:val="110"/>
          <w:sz w:val="18"/>
        </w:rPr>
        <w:t>Committee </w:t>
      </w:r>
      <w:r>
        <w:rPr>
          <w:b/>
          <w:color w:val="231F20"/>
          <w:w w:val="110"/>
          <w:sz w:val="18"/>
        </w:rPr>
        <w:t>of each area meeting.</w:t>
      </w:r>
    </w:p>
    <w:p>
      <w:pPr>
        <w:pStyle w:val="BodyText"/>
        <w:rPr>
          <w:b/>
          <w:sz w:val="22"/>
        </w:rPr>
      </w:pPr>
    </w:p>
    <w:p>
      <w:pPr>
        <w:pStyle w:val="BodyText"/>
        <w:spacing w:before="4"/>
        <w:rPr>
          <w:b/>
          <w:sz w:val="19"/>
        </w:rPr>
      </w:pPr>
    </w:p>
    <w:p>
      <w:pPr>
        <w:pStyle w:val="ListParagraph"/>
        <w:numPr>
          <w:ilvl w:val="0"/>
          <w:numId w:val="45"/>
        </w:numPr>
        <w:tabs>
          <w:tab w:pos="1960" w:val="left" w:leader="none"/>
          <w:tab w:pos="1961" w:val="left" w:leader="none"/>
        </w:tabs>
        <w:spacing w:line="273" w:lineRule="auto" w:before="0" w:after="0"/>
        <w:ind w:left="1240" w:right="1411" w:firstLine="0"/>
        <w:jc w:val="left"/>
        <w:rPr>
          <w:sz w:val="18"/>
        </w:rPr>
      </w:pPr>
      <w:r>
        <w:rPr>
          <w:color w:val="231F20"/>
          <w:w w:val="110"/>
          <w:sz w:val="18"/>
        </w:rPr>
        <w:t>General Assembly resolves to amend the Structure of the United Reformed Church relating to the General Assembly, by deleting Paragraph </w:t>
      </w:r>
      <w:r>
        <w:rPr>
          <w:color w:val="231F20"/>
          <w:spacing w:val="-4"/>
          <w:w w:val="110"/>
          <w:sz w:val="18"/>
        </w:rPr>
        <w:t>2.(5) </w:t>
      </w:r>
      <w:r>
        <w:rPr>
          <w:color w:val="231F20"/>
          <w:w w:val="110"/>
          <w:sz w:val="18"/>
        </w:rPr>
        <w:t>of the Structure of the United Reformed Church </w:t>
      </w:r>
      <w:r>
        <w:rPr>
          <w:color w:val="231F20"/>
          <w:spacing w:val="2"/>
          <w:w w:val="110"/>
          <w:sz w:val="18"/>
        </w:rPr>
        <w:t>from </w:t>
      </w:r>
      <w:r>
        <w:rPr>
          <w:color w:val="231F20"/>
          <w:w w:val="110"/>
          <w:sz w:val="18"/>
        </w:rPr>
        <w:t>its beginning to “</w:t>
      </w:r>
      <w:r>
        <w:rPr>
          <w:b/>
          <w:color w:val="231F20"/>
          <w:w w:val="110"/>
          <w:sz w:val="18"/>
        </w:rPr>
        <w:t>The General </w:t>
      </w:r>
      <w:r>
        <w:rPr>
          <w:b/>
          <w:color w:val="231F20"/>
          <w:spacing w:val="2"/>
          <w:w w:val="110"/>
          <w:sz w:val="18"/>
        </w:rPr>
        <w:t>Assembly </w:t>
      </w:r>
      <w:r>
        <w:rPr>
          <w:b/>
          <w:color w:val="231F20"/>
          <w:w w:val="110"/>
          <w:sz w:val="18"/>
        </w:rPr>
        <w:t>may appoint to any such </w:t>
      </w:r>
      <w:r>
        <w:rPr>
          <w:b/>
          <w:color w:val="231F20"/>
          <w:spacing w:val="2"/>
          <w:w w:val="110"/>
          <w:sz w:val="18"/>
        </w:rPr>
        <w:t>committee </w:t>
      </w:r>
      <w:r>
        <w:rPr>
          <w:b/>
          <w:color w:val="231F20"/>
          <w:w w:val="110"/>
          <w:sz w:val="18"/>
        </w:rPr>
        <w:t>members of the United Reformed Church who are not members of the General Assembly.</w:t>
      </w:r>
      <w:r>
        <w:rPr>
          <w:color w:val="231F20"/>
          <w:w w:val="110"/>
          <w:sz w:val="18"/>
        </w:rPr>
        <w:t>” and</w:t>
      </w:r>
      <w:r>
        <w:rPr>
          <w:color w:val="231F20"/>
          <w:spacing w:val="22"/>
          <w:w w:val="110"/>
          <w:sz w:val="18"/>
        </w:rPr>
        <w:t> </w:t>
      </w:r>
      <w:r>
        <w:rPr>
          <w:color w:val="231F20"/>
          <w:w w:val="110"/>
          <w:sz w:val="18"/>
        </w:rPr>
        <w:t>substituting:</w:t>
      </w:r>
    </w:p>
    <w:p>
      <w:pPr>
        <w:pStyle w:val="BodyText"/>
        <w:spacing w:before="10"/>
        <w:rPr>
          <w:sz w:val="20"/>
        </w:rPr>
      </w:pPr>
    </w:p>
    <w:p>
      <w:pPr>
        <w:spacing w:line="273" w:lineRule="auto" w:before="0"/>
        <w:ind w:left="1240" w:right="1194" w:firstLine="0"/>
        <w:jc w:val="left"/>
        <w:rPr>
          <w:b/>
          <w:sz w:val="18"/>
        </w:rPr>
      </w:pPr>
      <w:r>
        <w:rPr>
          <w:b/>
          <w:color w:val="231F20"/>
          <w:w w:val="110"/>
          <w:sz w:val="18"/>
        </w:rPr>
        <w:t>2.(5) The General </w:t>
      </w:r>
      <w:r>
        <w:rPr>
          <w:b/>
          <w:color w:val="231F20"/>
          <w:spacing w:val="2"/>
          <w:w w:val="110"/>
          <w:sz w:val="18"/>
        </w:rPr>
        <w:t>Assembly </w:t>
      </w:r>
      <w:r>
        <w:rPr>
          <w:b/>
          <w:color w:val="231F20"/>
          <w:w w:val="110"/>
          <w:sz w:val="18"/>
        </w:rPr>
        <w:t>which shall embody the unity of the United Reformed Church and act as the central organ of </w:t>
      </w:r>
      <w:r>
        <w:rPr>
          <w:b/>
          <w:color w:val="231F20"/>
          <w:spacing w:val="2"/>
          <w:w w:val="110"/>
          <w:sz w:val="18"/>
        </w:rPr>
        <w:t>its </w:t>
      </w:r>
      <w:r>
        <w:rPr>
          <w:b/>
          <w:color w:val="231F20"/>
          <w:w w:val="110"/>
          <w:sz w:val="18"/>
        </w:rPr>
        <w:t>life and the final authority, under the Word of God and the promised guidance of the Holy Spirit, in all </w:t>
      </w:r>
      <w:r>
        <w:rPr>
          <w:b/>
          <w:color w:val="231F20"/>
          <w:spacing w:val="2"/>
          <w:w w:val="110"/>
          <w:sz w:val="18"/>
        </w:rPr>
        <w:t>matters </w:t>
      </w:r>
      <w:r>
        <w:rPr>
          <w:b/>
          <w:color w:val="231F20"/>
          <w:w w:val="110"/>
          <w:sz w:val="18"/>
        </w:rPr>
        <w:t>of doctrine and order and in all other </w:t>
      </w:r>
      <w:r>
        <w:rPr>
          <w:b/>
          <w:color w:val="231F20"/>
          <w:spacing w:val="2"/>
          <w:w w:val="110"/>
          <w:sz w:val="18"/>
        </w:rPr>
        <w:t>concerns </w:t>
      </w:r>
      <w:r>
        <w:rPr>
          <w:b/>
          <w:color w:val="231F20"/>
          <w:w w:val="110"/>
          <w:sz w:val="18"/>
        </w:rPr>
        <w:t>of </w:t>
      </w:r>
      <w:r>
        <w:rPr>
          <w:b/>
          <w:color w:val="231F20"/>
          <w:spacing w:val="2"/>
          <w:w w:val="110"/>
          <w:sz w:val="18"/>
        </w:rPr>
        <w:t>its </w:t>
      </w:r>
      <w:r>
        <w:rPr>
          <w:b/>
          <w:color w:val="231F20"/>
          <w:w w:val="110"/>
          <w:sz w:val="18"/>
        </w:rPr>
        <w:t>common</w:t>
      </w:r>
      <w:r>
        <w:rPr>
          <w:b/>
          <w:color w:val="231F20"/>
          <w:spacing w:val="66"/>
          <w:w w:val="110"/>
          <w:sz w:val="18"/>
        </w:rPr>
        <w:t> </w:t>
      </w:r>
      <w:r>
        <w:rPr>
          <w:b/>
          <w:color w:val="231F20"/>
          <w:w w:val="110"/>
          <w:sz w:val="18"/>
        </w:rPr>
        <w:t>life</w:t>
      </w:r>
    </w:p>
    <w:p>
      <w:pPr>
        <w:spacing w:before="3"/>
        <w:ind w:left="1240" w:right="0" w:firstLine="0"/>
        <w:jc w:val="left"/>
        <w:rPr>
          <w:b/>
          <w:sz w:val="18"/>
        </w:rPr>
      </w:pPr>
      <w:r>
        <w:rPr>
          <w:b/>
          <w:color w:val="231F20"/>
          <w:w w:val="110"/>
          <w:sz w:val="18"/>
        </w:rPr>
        <w:t>shall consist of:</w:t>
      </w:r>
    </w:p>
    <w:p>
      <w:pPr>
        <w:pStyle w:val="BodyText"/>
        <w:spacing w:before="1"/>
        <w:rPr>
          <w:b/>
          <w:sz w:val="23"/>
        </w:rPr>
      </w:pPr>
    </w:p>
    <w:p>
      <w:pPr>
        <w:pStyle w:val="ListParagraph"/>
        <w:numPr>
          <w:ilvl w:val="0"/>
          <w:numId w:val="53"/>
        </w:numPr>
        <w:tabs>
          <w:tab w:pos="1921" w:val="left" w:leader="none"/>
          <w:tab w:pos="1922" w:val="left" w:leader="none"/>
        </w:tabs>
        <w:spacing w:line="273" w:lineRule="auto" w:before="0" w:after="0"/>
        <w:ind w:left="1921" w:right="1241" w:hanging="681"/>
        <w:jc w:val="left"/>
        <w:rPr>
          <w:b/>
          <w:sz w:val="18"/>
        </w:rPr>
      </w:pPr>
      <w:r>
        <w:rPr>
          <w:b/>
          <w:color w:val="231F20"/>
          <w:w w:val="110"/>
          <w:sz w:val="18"/>
        </w:rPr>
        <w:t>Such number of </w:t>
      </w:r>
      <w:r>
        <w:rPr>
          <w:b/>
          <w:color w:val="231F20"/>
          <w:spacing w:val="2"/>
          <w:w w:val="110"/>
          <w:sz w:val="18"/>
        </w:rPr>
        <w:t>representatives </w:t>
      </w:r>
      <w:r>
        <w:rPr>
          <w:b/>
          <w:color w:val="231F20"/>
          <w:w w:val="110"/>
          <w:sz w:val="18"/>
        </w:rPr>
        <w:t>of synods (ministerial and lay in equal numbers) as the General </w:t>
      </w:r>
      <w:r>
        <w:rPr>
          <w:b/>
          <w:color w:val="231F20"/>
          <w:spacing w:val="2"/>
          <w:w w:val="110"/>
          <w:sz w:val="18"/>
        </w:rPr>
        <w:t>Assembly </w:t>
      </w:r>
      <w:r>
        <w:rPr>
          <w:b/>
          <w:color w:val="231F20"/>
          <w:w w:val="110"/>
          <w:sz w:val="18"/>
        </w:rPr>
        <w:t>shall from time to time determine. These numbers shall be calculated </w:t>
      </w:r>
      <w:r>
        <w:rPr>
          <w:b/>
          <w:color w:val="231F20"/>
          <w:spacing w:val="2"/>
          <w:w w:val="110"/>
          <w:sz w:val="18"/>
        </w:rPr>
        <w:t>proportionately </w:t>
      </w:r>
      <w:r>
        <w:rPr>
          <w:b/>
          <w:color w:val="231F20"/>
          <w:w w:val="110"/>
          <w:sz w:val="18"/>
        </w:rPr>
        <w:t>to the total membership of each synod, as </w:t>
      </w:r>
      <w:r>
        <w:rPr>
          <w:b/>
          <w:color w:val="231F20"/>
          <w:spacing w:val="2"/>
          <w:w w:val="110"/>
          <w:sz w:val="18"/>
        </w:rPr>
        <w:t>recorded </w:t>
      </w:r>
      <w:r>
        <w:rPr>
          <w:b/>
          <w:color w:val="231F20"/>
          <w:w w:val="110"/>
          <w:sz w:val="18"/>
        </w:rPr>
        <w:t>in the year book of the United Reformed Church </w:t>
      </w:r>
      <w:r>
        <w:rPr>
          <w:b/>
          <w:color w:val="231F20"/>
          <w:spacing w:val="-5"/>
          <w:w w:val="110"/>
          <w:sz w:val="18"/>
        </w:rPr>
        <w:t>(at </w:t>
      </w:r>
      <w:r>
        <w:rPr>
          <w:b/>
          <w:color w:val="231F20"/>
          <w:spacing w:val="2"/>
          <w:w w:val="110"/>
          <w:sz w:val="18"/>
        </w:rPr>
        <w:t>present </w:t>
      </w:r>
      <w:r>
        <w:rPr>
          <w:b/>
          <w:color w:val="231F20"/>
          <w:w w:val="110"/>
          <w:sz w:val="18"/>
        </w:rPr>
        <w:t>this calculation shall be such as to produce a total of synod </w:t>
      </w:r>
      <w:r>
        <w:rPr>
          <w:b/>
          <w:color w:val="231F20"/>
          <w:spacing w:val="2"/>
          <w:w w:val="110"/>
          <w:sz w:val="18"/>
        </w:rPr>
        <w:t>representatives </w:t>
      </w:r>
      <w:r>
        <w:rPr>
          <w:b/>
          <w:color w:val="231F20"/>
          <w:w w:val="110"/>
          <w:sz w:val="18"/>
        </w:rPr>
        <w:t>not exceeding</w:t>
      </w:r>
      <w:r>
        <w:rPr>
          <w:b/>
          <w:color w:val="231F20"/>
          <w:spacing w:val="13"/>
          <w:w w:val="110"/>
          <w:sz w:val="18"/>
        </w:rPr>
        <w:t> </w:t>
      </w:r>
      <w:r>
        <w:rPr>
          <w:b/>
          <w:color w:val="231F20"/>
          <w:spacing w:val="-3"/>
          <w:w w:val="110"/>
          <w:sz w:val="18"/>
        </w:rPr>
        <w:t>200.)</w:t>
      </w:r>
    </w:p>
    <w:p>
      <w:pPr>
        <w:pStyle w:val="BodyText"/>
        <w:spacing w:before="11"/>
        <w:rPr>
          <w:b/>
          <w:sz w:val="20"/>
        </w:rPr>
      </w:pPr>
    </w:p>
    <w:p>
      <w:pPr>
        <w:pStyle w:val="ListParagraph"/>
        <w:numPr>
          <w:ilvl w:val="0"/>
          <w:numId w:val="53"/>
        </w:numPr>
        <w:tabs>
          <w:tab w:pos="1921" w:val="left" w:leader="none"/>
          <w:tab w:pos="1922" w:val="left" w:leader="none"/>
        </w:tabs>
        <w:spacing w:line="273" w:lineRule="auto" w:before="0" w:after="0"/>
        <w:ind w:left="1921" w:right="1152" w:hanging="681"/>
        <w:jc w:val="left"/>
        <w:rPr>
          <w:b/>
          <w:sz w:val="18"/>
        </w:rPr>
      </w:pPr>
      <w:r>
        <w:rPr>
          <w:b/>
          <w:color w:val="231F20"/>
          <w:w w:val="110"/>
          <w:sz w:val="18"/>
        </w:rPr>
        <w:t>among the </w:t>
      </w:r>
      <w:r>
        <w:rPr>
          <w:b/>
          <w:color w:val="231F20"/>
          <w:spacing w:val="2"/>
          <w:w w:val="110"/>
          <w:sz w:val="18"/>
        </w:rPr>
        <w:t>representatives </w:t>
      </w:r>
      <w:r>
        <w:rPr>
          <w:b/>
          <w:color w:val="231F20"/>
          <w:w w:val="110"/>
          <w:sz w:val="18"/>
        </w:rPr>
        <w:t>of synods shall be included at least two from each synod aged 26 or under, at the date of appointment. Should a synod prove unable to make such an appointment it may appoint from another synod</w:t>
      </w:r>
      <w:r>
        <w:rPr>
          <w:b/>
          <w:color w:val="231F20"/>
          <w:spacing w:val="9"/>
          <w:w w:val="110"/>
          <w:sz w:val="18"/>
        </w:rPr>
        <w:t> </w:t>
      </w:r>
      <w:r>
        <w:rPr>
          <w:b/>
          <w:color w:val="231F20"/>
          <w:w w:val="110"/>
          <w:sz w:val="18"/>
        </w:rPr>
        <w:t>but</w:t>
      </w:r>
      <w:r>
        <w:rPr>
          <w:b/>
          <w:color w:val="231F20"/>
          <w:spacing w:val="10"/>
          <w:w w:val="110"/>
          <w:sz w:val="18"/>
        </w:rPr>
        <w:t> </w:t>
      </w:r>
      <w:r>
        <w:rPr>
          <w:b/>
          <w:color w:val="231F20"/>
          <w:spacing w:val="2"/>
          <w:w w:val="110"/>
          <w:sz w:val="18"/>
        </w:rPr>
        <w:t>these</w:t>
      </w:r>
      <w:r>
        <w:rPr>
          <w:b/>
          <w:color w:val="231F20"/>
          <w:spacing w:val="10"/>
          <w:w w:val="110"/>
          <w:sz w:val="18"/>
        </w:rPr>
        <w:t> </w:t>
      </w:r>
      <w:r>
        <w:rPr>
          <w:b/>
          <w:color w:val="231F20"/>
          <w:spacing w:val="2"/>
          <w:w w:val="110"/>
          <w:sz w:val="18"/>
        </w:rPr>
        <w:t>persons</w:t>
      </w:r>
      <w:r>
        <w:rPr>
          <w:b/>
          <w:color w:val="231F20"/>
          <w:spacing w:val="10"/>
          <w:w w:val="110"/>
          <w:sz w:val="18"/>
        </w:rPr>
        <w:t> </w:t>
      </w:r>
      <w:r>
        <w:rPr>
          <w:b/>
          <w:color w:val="231F20"/>
          <w:w w:val="110"/>
          <w:sz w:val="18"/>
        </w:rPr>
        <w:t>must</w:t>
      </w:r>
      <w:r>
        <w:rPr>
          <w:b/>
          <w:color w:val="231F20"/>
          <w:spacing w:val="10"/>
          <w:w w:val="110"/>
          <w:sz w:val="18"/>
        </w:rPr>
        <w:t> </w:t>
      </w:r>
      <w:r>
        <w:rPr>
          <w:b/>
          <w:color w:val="231F20"/>
          <w:w w:val="110"/>
          <w:sz w:val="18"/>
        </w:rPr>
        <w:t>be</w:t>
      </w:r>
      <w:r>
        <w:rPr>
          <w:b/>
          <w:color w:val="231F20"/>
          <w:spacing w:val="10"/>
          <w:w w:val="110"/>
          <w:sz w:val="18"/>
        </w:rPr>
        <w:t> </w:t>
      </w:r>
      <w:r>
        <w:rPr>
          <w:b/>
          <w:color w:val="231F20"/>
          <w:w w:val="110"/>
          <w:sz w:val="18"/>
        </w:rPr>
        <w:t>26</w:t>
      </w:r>
      <w:r>
        <w:rPr>
          <w:b/>
          <w:color w:val="231F20"/>
          <w:spacing w:val="10"/>
          <w:w w:val="110"/>
          <w:sz w:val="18"/>
        </w:rPr>
        <w:t> </w:t>
      </w:r>
      <w:r>
        <w:rPr>
          <w:b/>
          <w:color w:val="231F20"/>
          <w:w w:val="110"/>
          <w:sz w:val="18"/>
        </w:rPr>
        <w:t>or</w:t>
      </w:r>
      <w:r>
        <w:rPr>
          <w:b/>
          <w:color w:val="231F20"/>
          <w:spacing w:val="10"/>
          <w:w w:val="110"/>
          <w:sz w:val="18"/>
        </w:rPr>
        <w:t> </w:t>
      </w:r>
      <w:r>
        <w:rPr>
          <w:b/>
          <w:color w:val="231F20"/>
          <w:w w:val="110"/>
          <w:sz w:val="18"/>
        </w:rPr>
        <w:t>under</w:t>
      </w:r>
      <w:r>
        <w:rPr>
          <w:b/>
          <w:color w:val="231F20"/>
          <w:spacing w:val="10"/>
          <w:w w:val="110"/>
          <w:sz w:val="18"/>
        </w:rPr>
        <w:t> </w:t>
      </w:r>
      <w:r>
        <w:rPr>
          <w:b/>
          <w:color w:val="231F20"/>
          <w:w w:val="110"/>
          <w:sz w:val="18"/>
        </w:rPr>
        <w:t>at</w:t>
      </w:r>
      <w:r>
        <w:rPr>
          <w:b/>
          <w:color w:val="231F20"/>
          <w:spacing w:val="10"/>
          <w:w w:val="110"/>
          <w:sz w:val="18"/>
        </w:rPr>
        <w:t> </w:t>
      </w:r>
      <w:r>
        <w:rPr>
          <w:b/>
          <w:color w:val="231F20"/>
          <w:w w:val="110"/>
          <w:sz w:val="18"/>
        </w:rPr>
        <w:t>the</w:t>
      </w:r>
      <w:r>
        <w:rPr>
          <w:b/>
          <w:color w:val="231F20"/>
          <w:spacing w:val="10"/>
          <w:w w:val="110"/>
          <w:sz w:val="18"/>
        </w:rPr>
        <w:t> </w:t>
      </w:r>
      <w:r>
        <w:rPr>
          <w:b/>
          <w:color w:val="231F20"/>
          <w:w w:val="110"/>
          <w:sz w:val="18"/>
        </w:rPr>
        <w:t>date</w:t>
      </w:r>
      <w:r>
        <w:rPr>
          <w:b/>
          <w:color w:val="231F20"/>
          <w:spacing w:val="10"/>
          <w:w w:val="110"/>
          <w:sz w:val="18"/>
        </w:rPr>
        <w:t> </w:t>
      </w:r>
      <w:r>
        <w:rPr>
          <w:b/>
          <w:color w:val="231F20"/>
          <w:w w:val="110"/>
          <w:sz w:val="18"/>
        </w:rPr>
        <w:t>of</w:t>
      </w:r>
      <w:r>
        <w:rPr>
          <w:b/>
          <w:color w:val="231F20"/>
          <w:spacing w:val="10"/>
          <w:w w:val="110"/>
          <w:sz w:val="18"/>
        </w:rPr>
        <w:t> </w:t>
      </w:r>
      <w:r>
        <w:rPr>
          <w:b/>
          <w:color w:val="231F20"/>
          <w:w w:val="110"/>
          <w:sz w:val="18"/>
        </w:rPr>
        <w:t>appointment.</w:t>
      </w:r>
    </w:p>
    <w:p>
      <w:pPr>
        <w:pStyle w:val="BodyText"/>
        <w:spacing w:before="9"/>
        <w:rPr>
          <w:b/>
          <w:sz w:val="20"/>
        </w:rPr>
      </w:pPr>
    </w:p>
    <w:p>
      <w:pPr>
        <w:pStyle w:val="ListParagraph"/>
        <w:numPr>
          <w:ilvl w:val="0"/>
          <w:numId w:val="53"/>
        </w:numPr>
        <w:tabs>
          <w:tab w:pos="1921" w:val="left" w:leader="none"/>
          <w:tab w:pos="1922" w:val="left" w:leader="none"/>
        </w:tabs>
        <w:spacing w:line="273" w:lineRule="auto" w:before="0" w:after="0"/>
        <w:ind w:left="1921" w:right="1621" w:hanging="681"/>
        <w:jc w:val="left"/>
        <w:rPr>
          <w:b/>
          <w:sz w:val="18"/>
        </w:rPr>
      </w:pPr>
      <w:r>
        <w:rPr>
          <w:b/>
          <w:color w:val="231F20"/>
          <w:w w:val="110"/>
          <w:sz w:val="18"/>
        </w:rPr>
        <w:t>The moderators of the General </w:t>
      </w:r>
      <w:r>
        <w:rPr>
          <w:b/>
          <w:color w:val="231F20"/>
          <w:spacing w:val="2"/>
          <w:w w:val="110"/>
          <w:sz w:val="18"/>
        </w:rPr>
        <w:t>Assembly </w:t>
      </w:r>
      <w:r>
        <w:rPr>
          <w:b/>
          <w:color w:val="231F20"/>
          <w:w w:val="110"/>
          <w:sz w:val="18"/>
        </w:rPr>
        <w:t>and of the synods, and such other </w:t>
      </w:r>
      <w:r>
        <w:rPr>
          <w:b/>
          <w:color w:val="231F20"/>
          <w:spacing w:val="2"/>
          <w:w w:val="110"/>
          <w:sz w:val="18"/>
        </w:rPr>
        <w:t>officers </w:t>
      </w:r>
      <w:r>
        <w:rPr>
          <w:b/>
          <w:color w:val="231F20"/>
          <w:w w:val="110"/>
          <w:sz w:val="18"/>
        </w:rPr>
        <w:t>of the General </w:t>
      </w:r>
      <w:r>
        <w:rPr>
          <w:b/>
          <w:color w:val="231F20"/>
          <w:spacing w:val="2"/>
          <w:w w:val="110"/>
          <w:sz w:val="18"/>
        </w:rPr>
        <w:t>Assembly </w:t>
      </w:r>
      <w:r>
        <w:rPr>
          <w:b/>
          <w:color w:val="231F20"/>
          <w:w w:val="110"/>
          <w:sz w:val="18"/>
        </w:rPr>
        <w:t>as the General </w:t>
      </w:r>
      <w:r>
        <w:rPr>
          <w:b/>
          <w:color w:val="231F20"/>
          <w:spacing w:val="2"/>
          <w:w w:val="110"/>
          <w:sz w:val="18"/>
        </w:rPr>
        <w:t>Assembly </w:t>
      </w:r>
      <w:r>
        <w:rPr>
          <w:b/>
          <w:color w:val="231F20"/>
          <w:w w:val="110"/>
          <w:sz w:val="18"/>
        </w:rPr>
        <w:t>shall from time to time determine (The </w:t>
      </w:r>
      <w:r>
        <w:rPr>
          <w:b/>
          <w:color w:val="231F20"/>
          <w:spacing w:val="2"/>
          <w:w w:val="110"/>
          <w:sz w:val="18"/>
        </w:rPr>
        <w:t>Assembly </w:t>
      </w:r>
      <w:r>
        <w:rPr>
          <w:b/>
          <w:color w:val="231F20"/>
          <w:w w:val="110"/>
          <w:sz w:val="18"/>
        </w:rPr>
        <w:t>has determined that the Clerk of Assembly, the General </w:t>
      </w:r>
      <w:r>
        <w:rPr>
          <w:b/>
          <w:color w:val="231F20"/>
          <w:spacing w:val="3"/>
          <w:w w:val="110"/>
          <w:sz w:val="18"/>
        </w:rPr>
        <w:t>Secretary </w:t>
      </w:r>
      <w:r>
        <w:rPr>
          <w:b/>
          <w:color w:val="231F20"/>
          <w:w w:val="110"/>
          <w:sz w:val="18"/>
        </w:rPr>
        <w:t>and the </w:t>
      </w:r>
      <w:r>
        <w:rPr>
          <w:b/>
          <w:color w:val="231F20"/>
          <w:spacing w:val="2"/>
          <w:w w:val="110"/>
          <w:sz w:val="18"/>
        </w:rPr>
        <w:t>Deputy </w:t>
      </w:r>
      <w:r>
        <w:rPr>
          <w:b/>
          <w:color w:val="231F20"/>
          <w:w w:val="110"/>
          <w:sz w:val="18"/>
        </w:rPr>
        <w:t>General </w:t>
      </w:r>
      <w:r>
        <w:rPr>
          <w:b/>
          <w:color w:val="231F20"/>
          <w:spacing w:val="3"/>
          <w:w w:val="110"/>
          <w:sz w:val="18"/>
        </w:rPr>
        <w:t>Secretary </w:t>
      </w:r>
      <w:r>
        <w:rPr>
          <w:b/>
          <w:color w:val="231F20"/>
          <w:w w:val="110"/>
          <w:sz w:val="18"/>
        </w:rPr>
        <w:t>shall be members of</w:t>
      </w:r>
      <w:r>
        <w:rPr>
          <w:b/>
          <w:color w:val="231F20"/>
          <w:spacing w:val="2"/>
          <w:w w:val="110"/>
          <w:sz w:val="18"/>
        </w:rPr>
        <w:t> </w:t>
      </w:r>
      <w:r>
        <w:rPr>
          <w:b/>
          <w:color w:val="231F20"/>
          <w:w w:val="110"/>
          <w:sz w:val="18"/>
        </w:rPr>
        <w:t>Assembly.)</w:t>
      </w:r>
    </w:p>
    <w:p>
      <w:pPr>
        <w:pStyle w:val="BodyText"/>
        <w:spacing w:before="10"/>
        <w:rPr>
          <w:b/>
          <w:sz w:val="20"/>
        </w:rPr>
      </w:pPr>
    </w:p>
    <w:p>
      <w:pPr>
        <w:pStyle w:val="ListParagraph"/>
        <w:numPr>
          <w:ilvl w:val="0"/>
          <w:numId w:val="53"/>
        </w:numPr>
        <w:tabs>
          <w:tab w:pos="1921" w:val="left" w:leader="none"/>
          <w:tab w:pos="1922" w:val="left" w:leader="none"/>
        </w:tabs>
        <w:spacing w:line="273" w:lineRule="auto" w:before="0" w:after="0"/>
        <w:ind w:left="1921" w:right="1179" w:hanging="681"/>
        <w:jc w:val="left"/>
        <w:rPr>
          <w:b/>
          <w:sz w:val="18"/>
        </w:rPr>
      </w:pPr>
      <w:r>
        <w:rPr>
          <w:b/>
          <w:color w:val="231F20"/>
          <w:w w:val="110"/>
          <w:sz w:val="18"/>
        </w:rPr>
        <w:t>Where the moderator of synod is an </w:t>
      </w:r>
      <w:r>
        <w:rPr>
          <w:b/>
          <w:color w:val="231F20"/>
          <w:spacing w:val="2"/>
          <w:w w:val="110"/>
          <w:sz w:val="18"/>
        </w:rPr>
        <w:t>officer </w:t>
      </w:r>
      <w:r>
        <w:rPr>
          <w:b/>
          <w:color w:val="231F20"/>
          <w:w w:val="110"/>
          <w:sz w:val="18"/>
        </w:rPr>
        <w:t>of the Assembly, a committee convener or </w:t>
      </w:r>
      <w:r>
        <w:rPr>
          <w:b/>
          <w:color w:val="231F20"/>
          <w:spacing w:val="2"/>
          <w:w w:val="110"/>
          <w:sz w:val="18"/>
        </w:rPr>
        <w:t>otherwise entitled </w:t>
      </w:r>
      <w:r>
        <w:rPr>
          <w:b/>
          <w:color w:val="231F20"/>
          <w:w w:val="110"/>
          <w:sz w:val="18"/>
        </w:rPr>
        <w:t>to membership of the Assembly, the  synod </w:t>
      </w:r>
      <w:r>
        <w:rPr>
          <w:b/>
          <w:color w:val="231F20"/>
          <w:spacing w:val="2"/>
          <w:w w:val="110"/>
          <w:sz w:val="18"/>
        </w:rPr>
        <w:t>concerned </w:t>
      </w:r>
      <w:r>
        <w:rPr>
          <w:b/>
          <w:color w:val="231F20"/>
          <w:w w:val="110"/>
          <w:sz w:val="18"/>
        </w:rPr>
        <w:t>shall appoint a </w:t>
      </w:r>
      <w:r>
        <w:rPr>
          <w:b/>
          <w:color w:val="231F20"/>
          <w:spacing w:val="2"/>
          <w:w w:val="110"/>
          <w:sz w:val="18"/>
        </w:rPr>
        <w:t>substitute </w:t>
      </w:r>
      <w:r>
        <w:rPr>
          <w:b/>
          <w:color w:val="231F20"/>
          <w:w w:val="110"/>
          <w:sz w:val="18"/>
        </w:rPr>
        <w:t>as </w:t>
      </w:r>
      <w:r>
        <w:rPr>
          <w:b/>
          <w:color w:val="231F20"/>
          <w:spacing w:val="2"/>
          <w:w w:val="110"/>
          <w:sz w:val="18"/>
        </w:rPr>
        <w:t>its</w:t>
      </w:r>
      <w:r>
        <w:rPr>
          <w:b/>
          <w:color w:val="231F20"/>
          <w:spacing w:val="27"/>
          <w:w w:val="110"/>
          <w:sz w:val="18"/>
        </w:rPr>
        <w:t> </w:t>
      </w:r>
      <w:r>
        <w:rPr>
          <w:b/>
          <w:color w:val="231F20"/>
          <w:spacing w:val="2"/>
          <w:w w:val="110"/>
          <w:sz w:val="18"/>
        </w:rPr>
        <w:t>representative.</w:t>
      </w:r>
    </w:p>
    <w:p>
      <w:pPr>
        <w:spacing w:after="0" w:line="273" w:lineRule="auto"/>
        <w:jc w:val="left"/>
        <w:rPr>
          <w:sz w:val="18"/>
        </w:rPr>
        <w:sectPr>
          <w:pgSz w:w="11910" w:h="16840"/>
          <w:pgMar w:header="581" w:footer="544" w:top="860" w:bottom="740" w:left="460" w:right="0"/>
        </w:sectPr>
      </w:pPr>
    </w:p>
    <w:p>
      <w:pPr>
        <w:pStyle w:val="BodyText"/>
        <w:spacing w:before="10"/>
        <w:rPr>
          <w:b/>
          <w:sz w:val="11"/>
        </w:rPr>
      </w:pPr>
      <w:r>
        <w:rPr/>
        <w:pict>
          <v:group style="position:absolute;margin-left:18.424999pt;margin-top:43.464016pt;width:542pt;height:759pt;mso-position-horizontal-relative:page;mso-position-vertical-relative:page;z-index:-275511296" coordorigin="368,869" coordsize="10840,15180">
            <v:shape style="position:absolute;left:886;top:955;width:9872;height:14983" coordorigin="886,956" coordsize="9872,14983" path="m886,15699l890,15837,916,15909,987,15935,1126,15939,10517,15939,10656,15935,10727,15909,10754,15837,10757,15699,10757,1196,10754,1057,10727,986,10656,960,10517,956,1126,956,987,960,916,986,890,1057,886,1196,886,15699xe" filled="false" stroked="true" strokeweight="3.0pt" strokecolor="#000000">
              <v:path arrowok="t"/>
              <v:stroke dashstyle="solid"/>
            </v:shape>
            <v:shape style="position:absolute;left:368;top:869;width:10840;height:15180" coordorigin="369,869" coordsize="10840,15180" path="m10834,869l539,869,539,1191,10834,1191,10834,869m11208,15742l369,15742,369,16049,11208,16049,11208,15742e" filled="true" fillcolor="#ffffff" stroked="false">
              <v:path arrowok="t"/>
              <v:fill type="solid"/>
            </v:shape>
            <w10:wrap type="none"/>
          </v:group>
        </w:pict>
      </w:r>
    </w:p>
    <w:p>
      <w:pPr>
        <w:pStyle w:val="ListParagraph"/>
        <w:numPr>
          <w:ilvl w:val="0"/>
          <w:numId w:val="53"/>
        </w:numPr>
        <w:tabs>
          <w:tab w:pos="1354" w:val="left" w:leader="none"/>
          <w:tab w:pos="1355" w:val="left" w:leader="none"/>
        </w:tabs>
        <w:spacing w:line="240" w:lineRule="auto" w:before="101" w:after="0"/>
        <w:ind w:left="1354" w:right="0" w:hanging="682"/>
        <w:jc w:val="left"/>
        <w:rPr>
          <w:b/>
          <w:sz w:val="18"/>
        </w:rPr>
      </w:pPr>
      <w:r>
        <w:rPr>
          <w:b/>
          <w:color w:val="231F20"/>
          <w:w w:val="110"/>
          <w:sz w:val="18"/>
        </w:rPr>
        <w:t>The convener of each of the standing committees of the General</w:t>
      </w:r>
      <w:r>
        <w:rPr>
          <w:b/>
          <w:color w:val="231F20"/>
          <w:spacing w:val="-25"/>
          <w:w w:val="110"/>
          <w:sz w:val="18"/>
        </w:rPr>
        <w:t> </w:t>
      </w:r>
      <w:r>
        <w:rPr>
          <w:b/>
          <w:color w:val="231F20"/>
          <w:w w:val="110"/>
          <w:sz w:val="18"/>
        </w:rPr>
        <w:t>Assembly;</w:t>
      </w:r>
    </w:p>
    <w:p>
      <w:pPr>
        <w:pStyle w:val="BodyText"/>
        <w:spacing w:before="1"/>
        <w:rPr>
          <w:b/>
          <w:sz w:val="23"/>
        </w:rPr>
      </w:pPr>
    </w:p>
    <w:p>
      <w:pPr>
        <w:pStyle w:val="ListParagraph"/>
        <w:numPr>
          <w:ilvl w:val="0"/>
          <w:numId w:val="53"/>
        </w:numPr>
        <w:tabs>
          <w:tab w:pos="1354" w:val="left" w:leader="none"/>
          <w:tab w:pos="1355" w:val="left" w:leader="none"/>
        </w:tabs>
        <w:spacing w:line="273" w:lineRule="auto" w:before="0" w:after="0"/>
        <w:ind w:left="1354" w:right="1461" w:hanging="681"/>
        <w:jc w:val="left"/>
        <w:rPr>
          <w:b/>
          <w:sz w:val="18"/>
        </w:rPr>
      </w:pPr>
      <w:r>
        <w:rPr>
          <w:b/>
          <w:color w:val="231F20"/>
          <w:w w:val="110"/>
          <w:sz w:val="18"/>
        </w:rPr>
        <w:t>A </w:t>
      </w:r>
      <w:r>
        <w:rPr>
          <w:b/>
          <w:color w:val="231F20"/>
          <w:spacing w:val="3"/>
          <w:w w:val="110"/>
          <w:sz w:val="18"/>
        </w:rPr>
        <w:t>staff </w:t>
      </w:r>
      <w:r>
        <w:rPr>
          <w:b/>
          <w:color w:val="231F20"/>
          <w:spacing w:val="2"/>
          <w:w w:val="110"/>
          <w:sz w:val="18"/>
        </w:rPr>
        <w:t>representative </w:t>
      </w:r>
      <w:r>
        <w:rPr>
          <w:b/>
          <w:color w:val="231F20"/>
          <w:w w:val="110"/>
          <w:sz w:val="18"/>
        </w:rPr>
        <w:t>and a student </w:t>
      </w:r>
      <w:r>
        <w:rPr>
          <w:b/>
          <w:color w:val="231F20"/>
          <w:spacing w:val="2"/>
          <w:w w:val="110"/>
          <w:sz w:val="18"/>
        </w:rPr>
        <w:t>representative, </w:t>
      </w:r>
      <w:r>
        <w:rPr>
          <w:b/>
          <w:color w:val="231F20"/>
          <w:w w:val="110"/>
          <w:sz w:val="18"/>
        </w:rPr>
        <w:t>being members of the United Reformed Church, from each of such </w:t>
      </w:r>
      <w:r>
        <w:rPr>
          <w:b/>
          <w:color w:val="231F20"/>
          <w:spacing w:val="2"/>
          <w:w w:val="110"/>
          <w:sz w:val="18"/>
        </w:rPr>
        <w:t>recognised </w:t>
      </w:r>
      <w:r>
        <w:rPr>
          <w:b/>
          <w:color w:val="231F20"/>
          <w:w w:val="110"/>
          <w:sz w:val="18"/>
        </w:rPr>
        <w:t>theological colleges as the General </w:t>
      </w:r>
      <w:r>
        <w:rPr>
          <w:b/>
          <w:color w:val="231F20"/>
          <w:spacing w:val="2"/>
          <w:w w:val="110"/>
          <w:sz w:val="18"/>
        </w:rPr>
        <w:t>Assembly </w:t>
      </w:r>
      <w:r>
        <w:rPr>
          <w:b/>
          <w:color w:val="231F20"/>
          <w:w w:val="110"/>
          <w:sz w:val="18"/>
        </w:rPr>
        <w:t>shall from time to time</w:t>
      </w:r>
      <w:r>
        <w:rPr>
          <w:b/>
          <w:color w:val="231F20"/>
          <w:spacing w:val="23"/>
          <w:w w:val="110"/>
          <w:sz w:val="18"/>
        </w:rPr>
        <w:t> </w:t>
      </w:r>
      <w:r>
        <w:rPr>
          <w:b/>
          <w:color w:val="231F20"/>
          <w:w w:val="110"/>
          <w:sz w:val="18"/>
        </w:rPr>
        <w:t>determine;</w:t>
      </w:r>
    </w:p>
    <w:p>
      <w:pPr>
        <w:pStyle w:val="BodyText"/>
        <w:spacing w:before="9"/>
        <w:rPr>
          <w:b/>
          <w:sz w:val="20"/>
        </w:rPr>
      </w:pPr>
    </w:p>
    <w:p>
      <w:pPr>
        <w:pStyle w:val="ListParagraph"/>
        <w:numPr>
          <w:ilvl w:val="0"/>
          <w:numId w:val="53"/>
        </w:numPr>
        <w:tabs>
          <w:tab w:pos="1354" w:val="left" w:leader="none"/>
          <w:tab w:pos="1355" w:val="left" w:leader="none"/>
        </w:tabs>
        <w:spacing w:line="273" w:lineRule="auto" w:before="0" w:after="0"/>
        <w:ind w:left="1354" w:right="1536" w:hanging="681"/>
        <w:jc w:val="left"/>
        <w:rPr>
          <w:b/>
          <w:sz w:val="18"/>
        </w:rPr>
      </w:pPr>
      <w:r>
        <w:rPr>
          <w:b/>
          <w:color w:val="231F20"/>
          <w:w w:val="110"/>
          <w:sz w:val="18"/>
        </w:rPr>
        <w:t>Such number of </w:t>
      </w:r>
      <w:r>
        <w:rPr>
          <w:b/>
          <w:color w:val="231F20"/>
          <w:spacing w:val="2"/>
          <w:w w:val="110"/>
          <w:sz w:val="18"/>
        </w:rPr>
        <w:t>representatives </w:t>
      </w:r>
      <w:r>
        <w:rPr>
          <w:b/>
          <w:color w:val="231F20"/>
          <w:w w:val="110"/>
          <w:sz w:val="18"/>
        </w:rPr>
        <w:t>from the </w:t>
      </w:r>
      <w:r>
        <w:rPr>
          <w:b/>
          <w:color w:val="231F20"/>
          <w:spacing w:val="2"/>
          <w:w w:val="110"/>
          <w:sz w:val="18"/>
        </w:rPr>
        <w:t>partner churches </w:t>
      </w:r>
      <w:r>
        <w:rPr>
          <w:b/>
          <w:color w:val="231F20"/>
          <w:w w:val="110"/>
          <w:sz w:val="18"/>
        </w:rPr>
        <w:t>of the United Reformed Church outside of Britain and Ireland as the </w:t>
      </w:r>
      <w:r>
        <w:rPr>
          <w:b/>
          <w:color w:val="231F20"/>
          <w:spacing w:val="2"/>
          <w:w w:val="110"/>
          <w:sz w:val="18"/>
        </w:rPr>
        <w:t>Assembly </w:t>
      </w:r>
      <w:r>
        <w:rPr>
          <w:b/>
          <w:color w:val="231F20"/>
          <w:w w:val="110"/>
          <w:sz w:val="18"/>
        </w:rPr>
        <w:t>shall from time to time</w:t>
      </w:r>
      <w:r>
        <w:rPr>
          <w:b/>
          <w:color w:val="231F20"/>
          <w:spacing w:val="1"/>
          <w:w w:val="110"/>
          <w:sz w:val="18"/>
        </w:rPr>
        <w:t> </w:t>
      </w:r>
      <w:r>
        <w:rPr>
          <w:b/>
          <w:color w:val="231F20"/>
          <w:w w:val="110"/>
          <w:sz w:val="18"/>
        </w:rPr>
        <w:t>determine;</w:t>
      </w:r>
    </w:p>
    <w:p>
      <w:pPr>
        <w:pStyle w:val="BodyText"/>
        <w:spacing w:before="9"/>
        <w:rPr>
          <w:b/>
          <w:sz w:val="20"/>
        </w:rPr>
      </w:pPr>
    </w:p>
    <w:p>
      <w:pPr>
        <w:pStyle w:val="ListParagraph"/>
        <w:numPr>
          <w:ilvl w:val="0"/>
          <w:numId w:val="53"/>
        </w:numPr>
        <w:tabs>
          <w:tab w:pos="1354" w:val="left" w:leader="none"/>
          <w:tab w:pos="1355" w:val="left" w:leader="none"/>
        </w:tabs>
        <w:spacing w:line="273" w:lineRule="auto" w:before="0" w:after="0"/>
        <w:ind w:left="1354" w:right="1735" w:hanging="681"/>
        <w:jc w:val="left"/>
        <w:rPr>
          <w:b/>
          <w:sz w:val="18"/>
        </w:rPr>
      </w:pPr>
      <w:r>
        <w:rPr>
          <w:b/>
          <w:color w:val="231F20"/>
          <w:w w:val="110"/>
          <w:sz w:val="18"/>
        </w:rPr>
        <w:t>Such other ministers and members of the United Reformed Church as the General </w:t>
      </w:r>
      <w:r>
        <w:rPr>
          <w:b/>
          <w:color w:val="231F20"/>
          <w:spacing w:val="2"/>
          <w:w w:val="110"/>
          <w:sz w:val="18"/>
        </w:rPr>
        <w:t>Assembly </w:t>
      </w:r>
      <w:r>
        <w:rPr>
          <w:b/>
          <w:color w:val="231F20"/>
          <w:w w:val="110"/>
          <w:sz w:val="18"/>
        </w:rPr>
        <w:t>shall from time to time determine (the </w:t>
      </w:r>
      <w:r>
        <w:rPr>
          <w:b/>
          <w:color w:val="231F20"/>
          <w:spacing w:val="2"/>
          <w:w w:val="110"/>
          <w:sz w:val="18"/>
        </w:rPr>
        <w:t>Assembly </w:t>
      </w:r>
      <w:r>
        <w:rPr>
          <w:b/>
          <w:color w:val="231F20"/>
          <w:w w:val="110"/>
          <w:sz w:val="18"/>
        </w:rPr>
        <w:t>has added to </w:t>
      </w:r>
      <w:r>
        <w:rPr>
          <w:b/>
          <w:color w:val="231F20"/>
          <w:spacing w:val="2"/>
          <w:w w:val="110"/>
          <w:sz w:val="18"/>
        </w:rPr>
        <w:t>its </w:t>
      </w:r>
      <w:r>
        <w:rPr>
          <w:b/>
          <w:color w:val="231F20"/>
          <w:w w:val="110"/>
          <w:sz w:val="18"/>
        </w:rPr>
        <w:t>membership one </w:t>
      </w:r>
      <w:r>
        <w:rPr>
          <w:b/>
          <w:color w:val="231F20"/>
          <w:spacing w:val="2"/>
          <w:w w:val="110"/>
          <w:sz w:val="18"/>
        </w:rPr>
        <w:t>serving </w:t>
      </w:r>
      <w:r>
        <w:rPr>
          <w:b/>
          <w:color w:val="231F20"/>
          <w:w w:val="110"/>
          <w:sz w:val="18"/>
        </w:rPr>
        <w:t>United Reformed Church chaplain   to the </w:t>
      </w:r>
      <w:r>
        <w:rPr>
          <w:b/>
          <w:color w:val="231F20"/>
          <w:spacing w:val="2"/>
          <w:w w:val="110"/>
          <w:sz w:val="18"/>
        </w:rPr>
        <w:t>forces, </w:t>
      </w:r>
      <w:r>
        <w:rPr>
          <w:b/>
          <w:color w:val="231F20"/>
          <w:w w:val="110"/>
          <w:sz w:val="18"/>
        </w:rPr>
        <w:t>nominated each year by the Organising </w:t>
      </w:r>
      <w:r>
        <w:rPr>
          <w:b/>
          <w:color w:val="231F20"/>
          <w:spacing w:val="3"/>
          <w:w w:val="110"/>
          <w:sz w:val="18"/>
        </w:rPr>
        <w:t>Secretary </w:t>
      </w:r>
      <w:r>
        <w:rPr>
          <w:b/>
          <w:color w:val="231F20"/>
          <w:w w:val="110"/>
          <w:sz w:val="18"/>
        </w:rPr>
        <w:t>of the United Board, in consultation with the </w:t>
      </w:r>
      <w:r>
        <w:rPr>
          <w:b/>
          <w:color w:val="231F20"/>
          <w:spacing w:val="2"/>
          <w:w w:val="110"/>
          <w:sz w:val="18"/>
        </w:rPr>
        <w:t>three </w:t>
      </w:r>
      <w:r>
        <w:rPr>
          <w:b/>
          <w:color w:val="231F20"/>
          <w:w w:val="110"/>
          <w:sz w:val="18"/>
        </w:rPr>
        <w:t>Principal Chaplains, six </w:t>
      </w:r>
      <w:r>
        <w:rPr>
          <w:b/>
          <w:color w:val="231F20"/>
          <w:spacing w:val="2"/>
          <w:w w:val="110"/>
          <w:sz w:val="18"/>
        </w:rPr>
        <w:t>representatives </w:t>
      </w:r>
      <w:r>
        <w:rPr>
          <w:b/>
          <w:color w:val="231F20"/>
          <w:w w:val="110"/>
          <w:sz w:val="18"/>
        </w:rPr>
        <w:t>of the synod of</w:t>
      </w:r>
      <w:r>
        <w:rPr>
          <w:b/>
          <w:color w:val="231F20"/>
          <w:spacing w:val="3"/>
          <w:w w:val="110"/>
          <w:sz w:val="18"/>
        </w:rPr>
        <w:t> </w:t>
      </w:r>
      <w:r>
        <w:rPr>
          <w:b/>
          <w:color w:val="231F20"/>
          <w:w w:val="110"/>
          <w:sz w:val="18"/>
        </w:rPr>
        <w:t>Scotland)</w:t>
      </w:r>
    </w:p>
    <w:p>
      <w:pPr>
        <w:pStyle w:val="BodyText"/>
        <w:spacing w:before="10"/>
        <w:rPr>
          <w:b/>
          <w:sz w:val="20"/>
        </w:rPr>
      </w:pPr>
    </w:p>
    <w:p>
      <w:pPr>
        <w:pStyle w:val="ListParagraph"/>
        <w:numPr>
          <w:ilvl w:val="0"/>
          <w:numId w:val="53"/>
        </w:numPr>
        <w:tabs>
          <w:tab w:pos="1354" w:val="left" w:leader="none"/>
          <w:tab w:pos="1355" w:val="left" w:leader="none"/>
        </w:tabs>
        <w:spacing w:line="273" w:lineRule="auto" w:before="1" w:after="0"/>
        <w:ind w:left="1354" w:right="1735" w:hanging="681"/>
        <w:jc w:val="left"/>
        <w:rPr>
          <w:b/>
          <w:sz w:val="18"/>
        </w:rPr>
      </w:pPr>
      <w:r>
        <w:rPr>
          <w:b/>
          <w:color w:val="231F20"/>
          <w:w w:val="110"/>
          <w:sz w:val="18"/>
        </w:rPr>
        <w:t>The two most immediate past moderators of the General </w:t>
      </w:r>
      <w:r>
        <w:rPr>
          <w:b/>
          <w:color w:val="231F20"/>
          <w:spacing w:val="2"/>
          <w:w w:val="110"/>
          <w:sz w:val="18"/>
        </w:rPr>
        <w:t>Assembly </w:t>
      </w:r>
      <w:r>
        <w:rPr>
          <w:b/>
          <w:color w:val="231F20"/>
          <w:w w:val="110"/>
          <w:sz w:val="18"/>
        </w:rPr>
        <w:t>of the United Reformed</w:t>
      </w:r>
      <w:r>
        <w:rPr>
          <w:b/>
          <w:color w:val="231F20"/>
          <w:spacing w:val="1"/>
          <w:w w:val="110"/>
          <w:sz w:val="18"/>
        </w:rPr>
        <w:t> </w:t>
      </w:r>
      <w:r>
        <w:rPr>
          <w:b/>
          <w:color w:val="231F20"/>
          <w:w w:val="110"/>
          <w:sz w:val="18"/>
        </w:rPr>
        <w:t>Church.</w:t>
      </w:r>
    </w:p>
    <w:p>
      <w:pPr>
        <w:pStyle w:val="BodyText"/>
        <w:spacing w:before="7"/>
        <w:rPr>
          <w:b/>
          <w:sz w:val="20"/>
        </w:rPr>
      </w:pPr>
    </w:p>
    <w:p>
      <w:pPr>
        <w:pStyle w:val="ListParagraph"/>
        <w:numPr>
          <w:ilvl w:val="0"/>
          <w:numId w:val="53"/>
        </w:numPr>
        <w:tabs>
          <w:tab w:pos="1354" w:val="left" w:leader="none"/>
          <w:tab w:pos="1355" w:val="left" w:leader="none"/>
        </w:tabs>
        <w:spacing w:line="273" w:lineRule="auto" w:before="1" w:after="0"/>
        <w:ind w:left="1354" w:right="1423" w:hanging="681"/>
        <w:jc w:val="left"/>
        <w:rPr>
          <w:b/>
          <w:sz w:val="18"/>
        </w:rPr>
      </w:pPr>
      <w:r>
        <w:rPr>
          <w:b/>
          <w:color w:val="231F20"/>
          <w:spacing w:val="-6"/>
          <w:w w:val="110"/>
          <w:sz w:val="18"/>
        </w:rPr>
        <w:t>Two </w:t>
      </w:r>
      <w:r>
        <w:rPr>
          <w:b/>
          <w:color w:val="231F20"/>
          <w:w w:val="110"/>
          <w:sz w:val="18"/>
        </w:rPr>
        <w:t>former moderators of the General </w:t>
      </w:r>
      <w:r>
        <w:rPr>
          <w:b/>
          <w:color w:val="231F20"/>
          <w:spacing w:val="2"/>
          <w:w w:val="110"/>
          <w:sz w:val="18"/>
        </w:rPr>
        <w:t>Assembly </w:t>
      </w:r>
      <w:r>
        <w:rPr>
          <w:b/>
          <w:color w:val="231F20"/>
          <w:w w:val="110"/>
          <w:sz w:val="18"/>
        </w:rPr>
        <w:t>of the United Reformed Church, past chairmen of the Congregational Union of England and Wales, past </w:t>
      </w:r>
      <w:r>
        <w:rPr>
          <w:b/>
          <w:color w:val="231F20"/>
          <w:spacing w:val="2"/>
          <w:w w:val="110"/>
          <w:sz w:val="18"/>
        </w:rPr>
        <w:t>presidents </w:t>
      </w:r>
      <w:r>
        <w:rPr>
          <w:b/>
          <w:color w:val="231F20"/>
          <w:w w:val="110"/>
          <w:sz w:val="18"/>
        </w:rPr>
        <w:t>of the Congregational Church in England and Wales, former moderators of the General </w:t>
      </w:r>
      <w:r>
        <w:rPr>
          <w:b/>
          <w:color w:val="231F20"/>
          <w:spacing w:val="2"/>
          <w:w w:val="110"/>
          <w:sz w:val="18"/>
        </w:rPr>
        <w:t>Assembly </w:t>
      </w:r>
      <w:r>
        <w:rPr>
          <w:b/>
          <w:color w:val="231F20"/>
          <w:w w:val="110"/>
          <w:sz w:val="18"/>
        </w:rPr>
        <w:t>of the </w:t>
      </w:r>
      <w:r>
        <w:rPr>
          <w:b/>
          <w:color w:val="231F20"/>
          <w:spacing w:val="2"/>
          <w:w w:val="110"/>
          <w:sz w:val="18"/>
        </w:rPr>
        <w:t>Presbyterian </w:t>
      </w:r>
      <w:r>
        <w:rPr>
          <w:b/>
          <w:color w:val="231F20"/>
          <w:w w:val="110"/>
          <w:sz w:val="18"/>
        </w:rPr>
        <w:t>Church, former chairmen or </w:t>
      </w:r>
      <w:r>
        <w:rPr>
          <w:b/>
          <w:color w:val="231F20"/>
          <w:spacing w:val="2"/>
          <w:w w:val="110"/>
          <w:sz w:val="18"/>
        </w:rPr>
        <w:t>presidents </w:t>
      </w:r>
      <w:r>
        <w:rPr>
          <w:b/>
          <w:color w:val="231F20"/>
          <w:w w:val="110"/>
          <w:sz w:val="18"/>
        </w:rPr>
        <w:t>of the Annual </w:t>
      </w:r>
      <w:r>
        <w:rPr>
          <w:b/>
          <w:color w:val="231F20"/>
          <w:spacing w:val="2"/>
          <w:w w:val="110"/>
          <w:sz w:val="18"/>
        </w:rPr>
        <w:t>Conference </w:t>
      </w:r>
      <w:r>
        <w:rPr>
          <w:b/>
          <w:color w:val="231F20"/>
          <w:w w:val="110"/>
          <w:sz w:val="18"/>
        </w:rPr>
        <w:t>of the </w:t>
      </w:r>
      <w:r>
        <w:rPr>
          <w:b/>
          <w:color w:val="231F20"/>
          <w:spacing w:val="2"/>
          <w:w w:val="110"/>
          <w:sz w:val="18"/>
        </w:rPr>
        <w:t>Association </w:t>
      </w:r>
      <w:r>
        <w:rPr>
          <w:b/>
          <w:color w:val="231F20"/>
          <w:w w:val="110"/>
          <w:sz w:val="18"/>
        </w:rPr>
        <w:t>of </w:t>
      </w:r>
      <w:r>
        <w:rPr>
          <w:b/>
          <w:color w:val="231F20"/>
          <w:spacing w:val="2"/>
          <w:w w:val="110"/>
          <w:sz w:val="18"/>
        </w:rPr>
        <w:t>Churches </w:t>
      </w:r>
      <w:r>
        <w:rPr>
          <w:b/>
          <w:color w:val="231F20"/>
          <w:w w:val="110"/>
          <w:sz w:val="18"/>
        </w:rPr>
        <w:t>of Christ in </w:t>
      </w:r>
      <w:r>
        <w:rPr>
          <w:b/>
          <w:color w:val="231F20"/>
          <w:spacing w:val="2"/>
          <w:w w:val="110"/>
          <w:sz w:val="18"/>
        </w:rPr>
        <w:t>Great </w:t>
      </w:r>
      <w:r>
        <w:rPr>
          <w:b/>
          <w:color w:val="231F20"/>
          <w:w w:val="110"/>
          <w:sz w:val="18"/>
        </w:rPr>
        <w:t>Britain and Ireland, former </w:t>
      </w:r>
      <w:r>
        <w:rPr>
          <w:b/>
          <w:color w:val="231F20"/>
          <w:spacing w:val="2"/>
          <w:w w:val="110"/>
          <w:sz w:val="18"/>
        </w:rPr>
        <w:t>presidents </w:t>
      </w:r>
      <w:r>
        <w:rPr>
          <w:b/>
          <w:color w:val="231F20"/>
          <w:w w:val="110"/>
          <w:sz w:val="18"/>
        </w:rPr>
        <w:t>of the Annual </w:t>
      </w:r>
      <w:r>
        <w:rPr>
          <w:b/>
          <w:color w:val="231F20"/>
          <w:spacing w:val="2"/>
          <w:w w:val="110"/>
          <w:sz w:val="18"/>
        </w:rPr>
        <w:t>Conference </w:t>
      </w:r>
      <w:r>
        <w:rPr>
          <w:b/>
          <w:color w:val="231F20"/>
          <w:w w:val="110"/>
          <w:sz w:val="18"/>
        </w:rPr>
        <w:t>of the </w:t>
      </w:r>
      <w:r>
        <w:rPr>
          <w:b/>
          <w:color w:val="231F20"/>
          <w:spacing w:val="2"/>
          <w:w w:val="110"/>
          <w:sz w:val="18"/>
        </w:rPr>
        <w:t>Re-formed Association </w:t>
      </w:r>
      <w:r>
        <w:rPr>
          <w:b/>
          <w:color w:val="231F20"/>
          <w:w w:val="110"/>
          <w:sz w:val="18"/>
        </w:rPr>
        <w:t>of </w:t>
      </w:r>
      <w:r>
        <w:rPr>
          <w:b/>
          <w:color w:val="231F20"/>
          <w:spacing w:val="2"/>
          <w:w w:val="110"/>
          <w:sz w:val="18"/>
        </w:rPr>
        <w:t>Churches </w:t>
      </w:r>
      <w:r>
        <w:rPr>
          <w:b/>
          <w:color w:val="231F20"/>
          <w:w w:val="110"/>
          <w:sz w:val="18"/>
        </w:rPr>
        <w:t>of Christ in Great Britain and Ireland, provided that such former </w:t>
      </w:r>
      <w:r>
        <w:rPr>
          <w:b/>
          <w:color w:val="231F20"/>
          <w:spacing w:val="2"/>
          <w:w w:val="110"/>
          <w:sz w:val="18"/>
        </w:rPr>
        <w:t>officers </w:t>
      </w:r>
      <w:r>
        <w:rPr>
          <w:b/>
          <w:color w:val="231F20"/>
          <w:w w:val="110"/>
          <w:sz w:val="18"/>
        </w:rPr>
        <w:t>are members   of the United Reformed Church and that they shall have </w:t>
      </w:r>
      <w:r>
        <w:rPr>
          <w:b/>
          <w:color w:val="231F20"/>
          <w:spacing w:val="2"/>
          <w:w w:val="110"/>
          <w:sz w:val="18"/>
        </w:rPr>
        <w:t>been elected </w:t>
      </w:r>
      <w:r>
        <w:rPr>
          <w:b/>
          <w:color w:val="231F20"/>
          <w:w w:val="110"/>
          <w:sz w:val="18"/>
        </w:rPr>
        <w:t>by a college </w:t>
      </w:r>
      <w:r>
        <w:rPr>
          <w:b/>
          <w:color w:val="231F20"/>
          <w:spacing w:val="2"/>
          <w:w w:val="110"/>
          <w:sz w:val="18"/>
        </w:rPr>
        <w:t>consisting </w:t>
      </w:r>
      <w:r>
        <w:rPr>
          <w:b/>
          <w:color w:val="231F20"/>
          <w:w w:val="110"/>
          <w:sz w:val="18"/>
        </w:rPr>
        <w:t>of all such past and former moderators, </w:t>
      </w:r>
      <w:r>
        <w:rPr>
          <w:b/>
          <w:color w:val="231F20"/>
          <w:spacing w:val="2"/>
          <w:w w:val="110"/>
          <w:sz w:val="18"/>
        </w:rPr>
        <w:t>presidents </w:t>
      </w:r>
      <w:r>
        <w:rPr>
          <w:b/>
          <w:color w:val="231F20"/>
          <w:w w:val="110"/>
          <w:sz w:val="18"/>
        </w:rPr>
        <w:t>and chairmen as are members of the United Reformed</w:t>
      </w:r>
      <w:r>
        <w:rPr>
          <w:b/>
          <w:color w:val="231F20"/>
          <w:spacing w:val="25"/>
          <w:w w:val="110"/>
          <w:sz w:val="18"/>
        </w:rPr>
        <w:t> </w:t>
      </w:r>
      <w:r>
        <w:rPr>
          <w:b/>
          <w:color w:val="231F20"/>
          <w:w w:val="110"/>
          <w:sz w:val="18"/>
        </w:rPr>
        <w:t>Church.</w:t>
      </w:r>
    </w:p>
    <w:p>
      <w:pPr>
        <w:pStyle w:val="BodyText"/>
        <w:spacing w:before="1"/>
        <w:rPr>
          <w:b/>
          <w:sz w:val="21"/>
        </w:rPr>
      </w:pPr>
    </w:p>
    <w:p>
      <w:pPr>
        <w:pStyle w:val="ListParagraph"/>
        <w:numPr>
          <w:ilvl w:val="0"/>
          <w:numId w:val="53"/>
        </w:numPr>
        <w:tabs>
          <w:tab w:pos="1354" w:val="left" w:leader="none"/>
          <w:tab w:pos="1355" w:val="left" w:leader="none"/>
        </w:tabs>
        <w:spacing w:line="273" w:lineRule="auto" w:before="0" w:after="0"/>
        <w:ind w:left="1354" w:right="1928" w:hanging="681"/>
        <w:jc w:val="left"/>
        <w:rPr>
          <w:b/>
          <w:sz w:val="18"/>
        </w:rPr>
      </w:pPr>
      <w:r>
        <w:rPr>
          <w:b/>
          <w:color w:val="231F20"/>
          <w:w w:val="110"/>
          <w:sz w:val="18"/>
        </w:rPr>
        <w:t>Such number of </w:t>
      </w:r>
      <w:r>
        <w:rPr>
          <w:b/>
          <w:color w:val="231F20"/>
          <w:spacing w:val="2"/>
          <w:w w:val="110"/>
          <w:sz w:val="18"/>
        </w:rPr>
        <w:t>representatives </w:t>
      </w:r>
      <w:r>
        <w:rPr>
          <w:b/>
          <w:color w:val="231F20"/>
          <w:w w:val="110"/>
          <w:sz w:val="18"/>
        </w:rPr>
        <w:t>of the Fellowship of United Reformed Youth, being members of the United Reformed Church, as the </w:t>
      </w:r>
      <w:r>
        <w:rPr>
          <w:b/>
          <w:color w:val="231F20"/>
          <w:spacing w:val="2"/>
          <w:w w:val="110"/>
          <w:sz w:val="18"/>
        </w:rPr>
        <w:t>Assembly </w:t>
      </w:r>
      <w:r>
        <w:rPr>
          <w:b/>
          <w:color w:val="231F20"/>
          <w:w w:val="110"/>
          <w:sz w:val="18"/>
        </w:rPr>
        <w:t>shall from time to time determine </w:t>
      </w:r>
      <w:r>
        <w:rPr>
          <w:b/>
          <w:color w:val="231F20"/>
          <w:spacing w:val="-5"/>
          <w:w w:val="110"/>
          <w:sz w:val="18"/>
        </w:rPr>
        <w:t>(at </w:t>
      </w:r>
      <w:r>
        <w:rPr>
          <w:b/>
          <w:color w:val="231F20"/>
          <w:spacing w:val="2"/>
          <w:w w:val="110"/>
          <w:sz w:val="18"/>
        </w:rPr>
        <w:t>present</w:t>
      </w:r>
      <w:r>
        <w:rPr>
          <w:b/>
          <w:color w:val="231F20"/>
          <w:spacing w:val="20"/>
          <w:w w:val="110"/>
          <w:sz w:val="18"/>
        </w:rPr>
        <w:t> </w:t>
      </w:r>
      <w:r>
        <w:rPr>
          <w:b/>
          <w:color w:val="231F20"/>
          <w:spacing w:val="-4"/>
          <w:w w:val="110"/>
          <w:sz w:val="18"/>
        </w:rPr>
        <w:t>two);</w:t>
      </w:r>
    </w:p>
    <w:p>
      <w:pPr>
        <w:pStyle w:val="BodyText"/>
        <w:spacing w:before="9"/>
        <w:rPr>
          <w:b/>
          <w:sz w:val="20"/>
        </w:rPr>
      </w:pPr>
    </w:p>
    <w:p>
      <w:pPr>
        <w:pStyle w:val="ListParagraph"/>
        <w:numPr>
          <w:ilvl w:val="0"/>
          <w:numId w:val="53"/>
        </w:numPr>
        <w:tabs>
          <w:tab w:pos="1354" w:val="left" w:leader="none"/>
          <w:tab w:pos="1355" w:val="left" w:leader="none"/>
        </w:tabs>
        <w:spacing w:line="273" w:lineRule="auto" w:before="0" w:after="0"/>
        <w:ind w:left="1354" w:right="2126" w:hanging="681"/>
        <w:jc w:val="left"/>
        <w:rPr>
          <w:b/>
          <w:sz w:val="18"/>
        </w:rPr>
      </w:pPr>
      <w:r>
        <w:rPr>
          <w:b/>
          <w:color w:val="231F20"/>
          <w:spacing w:val="2"/>
          <w:w w:val="110"/>
          <w:sz w:val="18"/>
        </w:rPr>
        <w:t>Representatives </w:t>
      </w:r>
      <w:r>
        <w:rPr>
          <w:b/>
          <w:color w:val="231F20"/>
          <w:w w:val="110"/>
          <w:sz w:val="18"/>
        </w:rPr>
        <w:t>of other denominations in the United Kingdom as the General </w:t>
      </w:r>
      <w:r>
        <w:rPr>
          <w:b/>
          <w:color w:val="231F20"/>
          <w:spacing w:val="2"/>
          <w:w w:val="110"/>
          <w:sz w:val="18"/>
        </w:rPr>
        <w:t>Assembly </w:t>
      </w:r>
      <w:r>
        <w:rPr>
          <w:b/>
          <w:color w:val="231F20"/>
          <w:w w:val="110"/>
          <w:sz w:val="18"/>
        </w:rPr>
        <w:t>may from time to time</w:t>
      </w:r>
      <w:r>
        <w:rPr>
          <w:b/>
          <w:color w:val="231F20"/>
          <w:spacing w:val="14"/>
          <w:w w:val="110"/>
          <w:sz w:val="18"/>
        </w:rPr>
        <w:t> </w:t>
      </w:r>
      <w:r>
        <w:rPr>
          <w:b/>
          <w:color w:val="231F20"/>
          <w:w w:val="110"/>
          <w:sz w:val="18"/>
        </w:rPr>
        <w:t>determine;</w:t>
      </w:r>
    </w:p>
    <w:p>
      <w:pPr>
        <w:pStyle w:val="BodyText"/>
        <w:spacing w:before="8"/>
        <w:rPr>
          <w:b/>
          <w:sz w:val="20"/>
        </w:rPr>
      </w:pPr>
    </w:p>
    <w:p>
      <w:pPr>
        <w:pStyle w:val="ListParagraph"/>
        <w:numPr>
          <w:ilvl w:val="0"/>
          <w:numId w:val="53"/>
        </w:numPr>
        <w:tabs>
          <w:tab w:pos="1354" w:val="left" w:leader="none"/>
          <w:tab w:pos="1355" w:val="left" w:leader="none"/>
        </w:tabs>
        <w:spacing w:line="240" w:lineRule="auto" w:before="0" w:after="0"/>
        <w:ind w:left="1354" w:right="0" w:hanging="682"/>
        <w:jc w:val="left"/>
        <w:rPr>
          <w:b/>
          <w:sz w:val="18"/>
        </w:rPr>
      </w:pPr>
      <w:r>
        <w:rPr>
          <w:b/>
          <w:color w:val="231F20"/>
          <w:w w:val="110"/>
          <w:sz w:val="18"/>
        </w:rPr>
        <w:t>A </w:t>
      </w:r>
      <w:r>
        <w:rPr>
          <w:b/>
          <w:color w:val="231F20"/>
          <w:spacing w:val="2"/>
          <w:w w:val="110"/>
          <w:sz w:val="18"/>
        </w:rPr>
        <w:t>representative </w:t>
      </w:r>
      <w:r>
        <w:rPr>
          <w:b/>
          <w:color w:val="231F20"/>
          <w:w w:val="110"/>
          <w:sz w:val="18"/>
        </w:rPr>
        <w:t>of the Council for World</w:t>
      </w:r>
      <w:r>
        <w:rPr>
          <w:b/>
          <w:color w:val="231F20"/>
          <w:spacing w:val="5"/>
          <w:w w:val="110"/>
          <w:sz w:val="18"/>
        </w:rPr>
        <w:t> </w:t>
      </w:r>
      <w:r>
        <w:rPr>
          <w:b/>
          <w:color w:val="231F20"/>
          <w:w w:val="110"/>
          <w:sz w:val="18"/>
        </w:rPr>
        <w:t>Mission.</w:t>
      </w:r>
    </w:p>
    <w:p>
      <w:pPr>
        <w:pStyle w:val="BodyText"/>
        <w:spacing w:before="2"/>
        <w:rPr>
          <w:b/>
          <w:sz w:val="23"/>
        </w:rPr>
      </w:pPr>
    </w:p>
    <w:p>
      <w:pPr>
        <w:pStyle w:val="ListParagraph"/>
        <w:numPr>
          <w:ilvl w:val="0"/>
          <w:numId w:val="53"/>
        </w:numPr>
        <w:tabs>
          <w:tab w:pos="1354" w:val="left" w:leader="none"/>
          <w:tab w:pos="1355" w:val="left" w:leader="none"/>
        </w:tabs>
        <w:spacing w:line="273" w:lineRule="auto" w:before="0" w:after="0"/>
        <w:ind w:left="1354" w:right="1874" w:hanging="681"/>
        <w:jc w:val="left"/>
        <w:rPr>
          <w:b/>
          <w:sz w:val="18"/>
        </w:rPr>
      </w:pPr>
      <w:r>
        <w:rPr>
          <w:b/>
          <w:color w:val="231F20"/>
          <w:w w:val="110"/>
          <w:sz w:val="18"/>
        </w:rPr>
        <w:t>Such number of Assembly-appointed </w:t>
      </w:r>
      <w:r>
        <w:rPr>
          <w:b/>
          <w:color w:val="231F20"/>
          <w:spacing w:val="3"/>
          <w:w w:val="110"/>
          <w:sz w:val="18"/>
        </w:rPr>
        <w:t>staff </w:t>
      </w:r>
      <w:r>
        <w:rPr>
          <w:b/>
          <w:color w:val="231F20"/>
          <w:w w:val="110"/>
          <w:sz w:val="18"/>
        </w:rPr>
        <w:t>as the General </w:t>
      </w:r>
      <w:r>
        <w:rPr>
          <w:b/>
          <w:color w:val="231F20"/>
          <w:spacing w:val="2"/>
          <w:w w:val="110"/>
          <w:sz w:val="18"/>
        </w:rPr>
        <w:t>Assembly </w:t>
      </w:r>
      <w:r>
        <w:rPr>
          <w:b/>
          <w:color w:val="231F20"/>
          <w:w w:val="110"/>
          <w:sz w:val="18"/>
        </w:rPr>
        <w:t>may from time to time</w:t>
      </w:r>
      <w:r>
        <w:rPr>
          <w:b/>
          <w:color w:val="231F20"/>
          <w:spacing w:val="2"/>
          <w:w w:val="110"/>
          <w:sz w:val="18"/>
        </w:rPr>
        <w:t> </w:t>
      </w:r>
      <w:r>
        <w:rPr>
          <w:b/>
          <w:color w:val="231F20"/>
          <w:w w:val="110"/>
          <w:sz w:val="18"/>
        </w:rPr>
        <w:t>determine.</w:t>
      </w:r>
    </w:p>
    <w:p>
      <w:pPr>
        <w:pStyle w:val="BodyText"/>
        <w:spacing w:before="8"/>
        <w:rPr>
          <w:b/>
          <w:sz w:val="20"/>
        </w:rPr>
      </w:pPr>
    </w:p>
    <w:p>
      <w:pPr>
        <w:spacing w:line="273" w:lineRule="auto" w:before="0"/>
        <w:ind w:left="673" w:right="1365" w:firstLine="0"/>
        <w:jc w:val="left"/>
        <w:rPr>
          <w:b/>
          <w:sz w:val="18"/>
        </w:rPr>
      </w:pPr>
      <w:r>
        <w:rPr>
          <w:b/>
          <w:color w:val="231F20"/>
          <w:w w:val="110"/>
          <w:sz w:val="18"/>
        </w:rPr>
        <w:t>The General </w:t>
      </w:r>
      <w:r>
        <w:rPr>
          <w:b/>
          <w:color w:val="231F20"/>
          <w:spacing w:val="2"/>
          <w:w w:val="110"/>
          <w:sz w:val="18"/>
        </w:rPr>
        <w:t>Assembly </w:t>
      </w:r>
      <w:r>
        <w:rPr>
          <w:b/>
          <w:color w:val="231F20"/>
          <w:w w:val="110"/>
          <w:sz w:val="18"/>
        </w:rPr>
        <w:t>shall at </w:t>
      </w:r>
      <w:r>
        <w:rPr>
          <w:b/>
          <w:color w:val="231F20"/>
          <w:spacing w:val="2"/>
          <w:w w:val="110"/>
          <w:sz w:val="18"/>
        </w:rPr>
        <w:t>its </w:t>
      </w:r>
      <w:r>
        <w:rPr>
          <w:b/>
          <w:color w:val="231F20"/>
          <w:w w:val="110"/>
          <w:sz w:val="18"/>
        </w:rPr>
        <w:t>biennial meeting </w:t>
      </w:r>
      <w:r>
        <w:rPr>
          <w:b/>
          <w:color w:val="231F20"/>
          <w:spacing w:val="2"/>
          <w:w w:val="110"/>
          <w:sz w:val="18"/>
        </w:rPr>
        <w:t>elect </w:t>
      </w:r>
      <w:r>
        <w:rPr>
          <w:b/>
          <w:color w:val="231F20"/>
          <w:w w:val="110"/>
          <w:sz w:val="18"/>
        </w:rPr>
        <w:t>one Minister of Word and Sacraments or Church Related Community Worker and one Elder of the United Reformed Church to serve jointly as moderators, and such other </w:t>
      </w:r>
      <w:r>
        <w:rPr>
          <w:b/>
          <w:color w:val="231F20"/>
          <w:spacing w:val="2"/>
          <w:w w:val="110"/>
          <w:sz w:val="18"/>
        </w:rPr>
        <w:t>officers </w:t>
      </w:r>
      <w:r>
        <w:rPr>
          <w:b/>
          <w:color w:val="231F20"/>
          <w:w w:val="110"/>
          <w:sz w:val="18"/>
        </w:rPr>
        <w:t>as it shall from time to time think desirable. (The </w:t>
      </w:r>
      <w:r>
        <w:rPr>
          <w:b/>
          <w:color w:val="231F20"/>
          <w:spacing w:val="2"/>
          <w:w w:val="110"/>
          <w:sz w:val="18"/>
        </w:rPr>
        <w:t>Assembly </w:t>
      </w:r>
      <w:r>
        <w:rPr>
          <w:b/>
          <w:color w:val="231F20"/>
          <w:w w:val="110"/>
          <w:sz w:val="18"/>
        </w:rPr>
        <w:t>has appointed the following to serve as </w:t>
      </w:r>
      <w:r>
        <w:rPr>
          <w:b/>
          <w:color w:val="231F20"/>
          <w:spacing w:val="2"/>
          <w:w w:val="110"/>
          <w:sz w:val="18"/>
        </w:rPr>
        <w:t>officers </w:t>
      </w:r>
      <w:r>
        <w:rPr>
          <w:b/>
          <w:color w:val="231F20"/>
          <w:w w:val="110"/>
          <w:sz w:val="18"/>
        </w:rPr>
        <w:t>with the moderators: the General Secretary, the </w:t>
      </w:r>
      <w:r>
        <w:rPr>
          <w:b/>
          <w:color w:val="231F20"/>
          <w:spacing w:val="2"/>
          <w:w w:val="110"/>
          <w:sz w:val="18"/>
        </w:rPr>
        <w:t>Deputy </w:t>
      </w:r>
      <w:r>
        <w:rPr>
          <w:b/>
          <w:color w:val="231F20"/>
          <w:w w:val="110"/>
          <w:sz w:val="18"/>
        </w:rPr>
        <w:t>General Secretary, the Clerk of Assembly, The Treasurer and the Convener of the </w:t>
      </w:r>
      <w:r>
        <w:rPr>
          <w:b/>
          <w:color w:val="231F20"/>
          <w:spacing w:val="2"/>
          <w:w w:val="110"/>
          <w:sz w:val="18"/>
        </w:rPr>
        <w:t>Assembly</w:t>
      </w:r>
      <w:r>
        <w:rPr>
          <w:b/>
          <w:color w:val="231F20"/>
          <w:spacing w:val="71"/>
          <w:w w:val="110"/>
          <w:sz w:val="18"/>
        </w:rPr>
        <w:t> </w:t>
      </w:r>
      <w:r>
        <w:rPr>
          <w:b/>
          <w:color w:val="231F20"/>
          <w:w w:val="110"/>
          <w:sz w:val="18"/>
        </w:rPr>
        <w:t>Arrangements Committee.) It shall also appoint a Mission Council with power</w:t>
      </w:r>
    </w:p>
    <w:p>
      <w:pPr>
        <w:spacing w:line="273" w:lineRule="auto" w:before="4"/>
        <w:ind w:left="673" w:right="1510" w:firstLine="0"/>
        <w:jc w:val="left"/>
        <w:rPr>
          <w:b/>
          <w:sz w:val="18"/>
        </w:rPr>
      </w:pPr>
      <w:r>
        <w:rPr>
          <w:b/>
          <w:color w:val="231F20"/>
          <w:w w:val="110"/>
          <w:sz w:val="18"/>
        </w:rPr>
        <w:t>to act in </w:t>
      </w:r>
      <w:r>
        <w:rPr>
          <w:b/>
          <w:color w:val="231F20"/>
          <w:spacing w:val="2"/>
          <w:w w:val="110"/>
          <w:sz w:val="18"/>
        </w:rPr>
        <w:t>its </w:t>
      </w:r>
      <w:r>
        <w:rPr>
          <w:b/>
          <w:color w:val="231F20"/>
          <w:w w:val="110"/>
          <w:sz w:val="18"/>
        </w:rPr>
        <w:t>name </w:t>
      </w:r>
      <w:r>
        <w:rPr>
          <w:b/>
          <w:color w:val="231F20"/>
          <w:spacing w:val="2"/>
          <w:w w:val="110"/>
          <w:sz w:val="18"/>
        </w:rPr>
        <w:t>between meetings </w:t>
      </w:r>
      <w:r>
        <w:rPr>
          <w:b/>
          <w:color w:val="231F20"/>
          <w:w w:val="110"/>
          <w:sz w:val="18"/>
        </w:rPr>
        <w:t>of the General </w:t>
      </w:r>
      <w:r>
        <w:rPr>
          <w:b/>
          <w:color w:val="231F20"/>
          <w:spacing w:val="2"/>
          <w:w w:val="110"/>
          <w:sz w:val="18"/>
        </w:rPr>
        <w:t>Assembly </w:t>
      </w:r>
      <w:r>
        <w:rPr>
          <w:b/>
          <w:color w:val="231F20"/>
          <w:w w:val="110"/>
          <w:sz w:val="18"/>
        </w:rPr>
        <w:t>and to discharge such other functions as the General </w:t>
      </w:r>
      <w:r>
        <w:rPr>
          <w:b/>
          <w:color w:val="231F20"/>
          <w:spacing w:val="2"/>
          <w:w w:val="110"/>
          <w:sz w:val="18"/>
        </w:rPr>
        <w:t>Assembly </w:t>
      </w:r>
      <w:r>
        <w:rPr>
          <w:b/>
          <w:color w:val="231F20"/>
          <w:w w:val="110"/>
          <w:sz w:val="18"/>
        </w:rPr>
        <w:t>may from time to time </w:t>
      </w:r>
      <w:r>
        <w:rPr>
          <w:b/>
          <w:color w:val="231F20"/>
          <w:spacing w:val="2"/>
          <w:w w:val="110"/>
          <w:sz w:val="18"/>
        </w:rPr>
        <w:t>direct. </w:t>
      </w:r>
      <w:r>
        <w:rPr>
          <w:b/>
          <w:color w:val="231F20"/>
          <w:w w:val="110"/>
          <w:sz w:val="18"/>
        </w:rPr>
        <w:t>The General </w:t>
      </w:r>
      <w:r>
        <w:rPr>
          <w:b/>
          <w:color w:val="231F20"/>
          <w:spacing w:val="2"/>
          <w:w w:val="110"/>
          <w:sz w:val="18"/>
        </w:rPr>
        <w:t>Assembly </w:t>
      </w:r>
      <w:r>
        <w:rPr>
          <w:b/>
          <w:color w:val="231F20"/>
          <w:w w:val="110"/>
          <w:sz w:val="18"/>
        </w:rPr>
        <w:t>shall appoint standing </w:t>
      </w:r>
      <w:r>
        <w:rPr>
          <w:b/>
          <w:color w:val="231F20"/>
          <w:spacing w:val="2"/>
          <w:w w:val="110"/>
          <w:sz w:val="18"/>
        </w:rPr>
        <w:t>committees </w:t>
      </w:r>
      <w:r>
        <w:rPr>
          <w:b/>
          <w:color w:val="231F20"/>
          <w:w w:val="110"/>
          <w:sz w:val="18"/>
        </w:rPr>
        <w:t>which subject to the General </w:t>
      </w:r>
      <w:r>
        <w:rPr>
          <w:b/>
          <w:color w:val="231F20"/>
          <w:spacing w:val="2"/>
          <w:w w:val="110"/>
          <w:sz w:val="18"/>
        </w:rPr>
        <w:t>Assembly </w:t>
      </w:r>
      <w:r>
        <w:rPr>
          <w:b/>
          <w:color w:val="231F20"/>
          <w:w w:val="110"/>
          <w:sz w:val="18"/>
        </w:rPr>
        <w:t>shall have charge of the continuing </w:t>
      </w:r>
      <w:r>
        <w:rPr>
          <w:b/>
          <w:color w:val="231F20"/>
          <w:spacing w:val="2"/>
          <w:w w:val="110"/>
          <w:sz w:val="18"/>
        </w:rPr>
        <w:t>interests </w:t>
      </w:r>
      <w:r>
        <w:rPr>
          <w:b/>
          <w:color w:val="231F20"/>
          <w:w w:val="110"/>
          <w:sz w:val="18"/>
        </w:rPr>
        <w:t>of the church. It may also appoint special </w:t>
      </w:r>
      <w:r>
        <w:rPr>
          <w:b/>
          <w:color w:val="231F20"/>
          <w:spacing w:val="2"/>
          <w:w w:val="110"/>
          <w:sz w:val="18"/>
        </w:rPr>
        <w:t>committees </w:t>
      </w:r>
      <w:r>
        <w:rPr>
          <w:b/>
          <w:color w:val="231F20"/>
          <w:w w:val="110"/>
          <w:sz w:val="18"/>
        </w:rPr>
        <w:t>which subject to the General </w:t>
      </w:r>
      <w:r>
        <w:rPr>
          <w:b/>
          <w:color w:val="231F20"/>
          <w:spacing w:val="2"/>
          <w:w w:val="110"/>
          <w:sz w:val="18"/>
        </w:rPr>
        <w:t>Assembly </w:t>
      </w:r>
      <w:r>
        <w:rPr>
          <w:b/>
          <w:color w:val="231F20"/>
          <w:w w:val="110"/>
          <w:sz w:val="18"/>
        </w:rPr>
        <w:t>shall have charge of such </w:t>
      </w:r>
      <w:r>
        <w:rPr>
          <w:b/>
          <w:color w:val="231F20"/>
          <w:spacing w:val="2"/>
          <w:w w:val="110"/>
          <w:sz w:val="18"/>
        </w:rPr>
        <w:t>matters </w:t>
      </w:r>
      <w:r>
        <w:rPr>
          <w:b/>
          <w:color w:val="231F20"/>
          <w:w w:val="110"/>
          <w:sz w:val="18"/>
        </w:rPr>
        <w:t>as the General </w:t>
      </w:r>
      <w:r>
        <w:rPr>
          <w:b/>
          <w:color w:val="231F20"/>
          <w:spacing w:val="2"/>
          <w:w w:val="110"/>
          <w:sz w:val="18"/>
        </w:rPr>
        <w:t>Assembly </w:t>
      </w:r>
      <w:r>
        <w:rPr>
          <w:b/>
          <w:color w:val="231F20"/>
          <w:w w:val="110"/>
          <w:sz w:val="18"/>
        </w:rPr>
        <w:t>may assign to them from time to time. The General </w:t>
      </w:r>
      <w:r>
        <w:rPr>
          <w:b/>
          <w:color w:val="231F20"/>
          <w:spacing w:val="2"/>
          <w:w w:val="110"/>
          <w:sz w:val="18"/>
        </w:rPr>
        <w:t>Assembly </w:t>
      </w:r>
      <w:r>
        <w:rPr>
          <w:b/>
          <w:color w:val="231F20"/>
          <w:w w:val="110"/>
          <w:sz w:val="18"/>
        </w:rPr>
        <w:t>may appoint to any such </w:t>
      </w:r>
      <w:r>
        <w:rPr>
          <w:b/>
          <w:color w:val="231F20"/>
          <w:spacing w:val="2"/>
          <w:w w:val="110"/>
          <w:sz w:val="18"/>
        </w:rPr>
        <w:t>committee </w:t>
      </w:r>
      <w:r>
        <w:rPr>
          <w:b/>
          <w:color w:val="231F20"/>
          <w:w w:val="110"/>
          <w:sz w:val="18"/>
        </w:rPr>
        <w:t>members of the United Reformed Church who are not members of the General</w:t>
      </w:r>
      <w:r>
        <w:rPr>
          <w:b/>
          <w:color w:val="231F20"/>
          <w:spacing w:val="54"/>
          <w:w w:val="110"/>
          <w:sz w:val="18"/>
        </w:rPr>
        <w:t> </w:t>
      </w:r>
      <w:r>
        <w:rPr>
          <w:b/>
          <w:color w:val="231F20"/>
          <w:w w:val="110"/>
          <w:sz w:val="18"/>
        </w:rPr>
        <w:t>Assembly.</w:t>
      </w:r>
    </w:p>
    <w:p>
      <w:pPr>
        <w:spacing w:after="0" w:line="273" w:lineRule="auto"/>
        <w:jc w:val="left"/>
        <w:rPr>
          <w:sz w:val="18"/>
        </w:rPr>
        <w:sectPr>
          <w:pgSz w:w="11910" w:h="16840"/>
          <w:pgMar w:header="581" w:footer="464" w:top="860" w:bottom="740" w:left="460" w:right="0"/>
        </w:sectPr>
      </w:pPr>
    </w:p>
    <w:p>
      <w:pPr>
        <w:pStyle w:val="BodyText"/>
        <w:spacing w:before="4"/>
        <w:rPr>
          <w:b/>
          <w:sz w:val="22"/>
        </w:rPr>
      </w:pPr>
    </w:p>
    <w:p>
      <w:pPr>
        <w:pStyle w:val="ListParagraph"/>
        <w:numPr>
          <w:ilvl w:val="0"/>
          <w:numId w:val="45"/>
        </w:numPr>
        <w:tabs>
          <w:tab w:pos="1960" w:val="left" w:leader="none"/>
          <w:tab w:pos="1961" w:val="left" w:leader="none"/>
        </w:tabs>
        <w:spacing w:line="273" w:lineRule="auto" w:before="100" w:after="0"/>
        <w:ind w:left="1240" w:right="1373" w:firstLine="0"/>
        <w:jc w:val="left"/>
        <w:rPr>
          <w:sz w:val="18"/>
        </w:rPr>
      </w:pPr>
      <w:r>
        <w:rPr/>
        <w:pict>
          <v:group style="position:absolute;margin-left:48.188999pt;margin-top:-10.369747pt;width:514.8pt;height:521.6pt;mso-position-horizontal-relative:page;mso-position-vertical-relative:paragraph;z-index:-275510272" coordorigin="964,-207" coordsize="10296,10432">
            <v:shape style="position:absolute;left:1311;top:-121;width:9872;height:10315" coordorigin="1311,-121" coordsize="9872,10315" path="m1311,9954l1315,10093,1341,10164,1413,10190,1551,10194,10943,10194,11081,10190,11153,10164,11179,10093,11183,9954,11183,119,11179,-19,11153,-91,11081,-117,10943,-121,1551,-121,1413,-117,1341,-91,1315,-19,1311,119,1311,9954xe" filled="false" stroked="true" strokeweight="3pt" strokecolor="#000000">
              <v:path arrowok="t"/>
              <v:stroke dashstyle="solid"/>
            </v:shape>
            <v:rect style="position:absolute;left:963;top:-208;width:10296;height:322" filled="true" fillcolor="#ffffff" stroked="false">
              <v:fill type="solid"/>
            </v:rect>
            <w10:wrap type="none"/>
          </v:group>
        </w:pict>
      </w:r>
      <w:r>
        <w:rPr>
          <w:color w:val="231F20"/>
          <w:w w:val="110"/>
          <w:sz w:val="18"/>
        </w:rPr>
        <w:t>General Assembly resolves to amend the following </w:t>
      </w:r>
      <w:r>
        <w:rPr>
          <w:color w:val="231F20"/>
          <w:spacing w:val="3"/>
          <w:w w:val="110"/>
          <w:sz w:val="18"/>
        </w:rPr>
        <w:t>parts </w:t>
      </w:r>
      <w:r>
        <w:rPr>
          <w:color w:val="231F20"/>
          <w:w w:val="110"/>
          <w:sz w:val="18"/>
        </w:rPr>
        <w:t>of the Structure of the United Reformed Church relating to Constitutional amendments to</w:t>
      </w:r>
      <w:r>
        <w:rPr>
          <w:color w:val="231F20"/>
          <w:spacing w:val="41"/>
          <w:w w:val="110"/>
          <w:sz w:val="18"/>
        </w:rPr>
        <w:t> </w:t>
      </w:r>
      <w:r>
        <w:rPr>
          <w:color w:val="231F20"/>
          <w:w w:val="110"/>
          <w:sz w:val="18"/>
        </w:rPr>
        <w:t>read:</w:t>
      </w:r>
    </w:p>
    <w:p>
      <w:pPr>
        <w:pStyle w:val="BodyText"/>
        <w:spacing w:before="8"/>
        <w:rPr>
          <w:sz w:val="20"/>
        </w:rPr>
      </w:pPr>
    </w:p>
    <w:p>
      <w:pPr>
        <w:spacing w:before="1"/>
        <w:ind w:left="1240" w:right="0" w:firstLine="0"/>
        <w:jc w:val="left"/>
        <w:rPr>
          <w:b/>
          <w:sz w:val="18"/>
        </w:rPr>
      </w:pPr>
      <w:r>
        <w:rPr>
          <w:b/>
          <w:color w:val="231F20"/>
          <w:w w:val="110"/>
          <w:sz w:val="18"/>
        </w:rPr>
        <w:t>Paragraph 3.(1)(c)</w:t>
      </w:r>
    </w:p>
    <w:p>
      <w:pPr>
        <w:spacing w:line="273" w:lineRule="auto" w:before="31"/>
        <w:ind w:left="1921" w:right="1593" w:firstLine="0"/>
        <w:jc w:val="left"/>
        <w:rPr>
          <w:b/>
          <w:sz w:val="18"/>
        </w:rPr>
      </w:pPr>
      <w:r>
        <w:rPr>
          <w:b/>
          <w:color w:val="231F20"/>
          <w:w w:val="110"/>
          <w:sz w:val="18"/>
        </w:rPr>
        <w:t>The General Assembly shall, if such motion to approve the proposal is passed, refer the proposal to synods and may, if it deems appropriate, in exceptional cases also to local churches.</w:t>
      </w:r>
    </w:p>
    <w:p>
      <w:pPr>
        <w:pStyle w:val="BodyText"/>
        <w:spacing w:before="8"/>
        <w:rPr>
          <w:b/>
          <w:sz w:val="20"/>
        </w:rPr>
      </w:pPr>
    </w:p>
    <w:p>
      <w:pPr>
        <w:spacing w:before="1"/>
        <w:ind w:left="1240" w:right="0" w:firstLine="0"/>
        <w:jc w:val="left"/>
        <w:rPr>
          <w:b/>
          <w:sz w:val="18"/>
        </w:rPr>
      </w:pPr>
      <w:r>
        <w:rPr>
          <w:b/>
          <w:color w:val="231F20"/>
          <w:w w:val="110"/>
          <w:sz w:val="18"/>
        </w:rPr>
        <w:t>Paragraph 3(1)(e)</w:t>
      </w:r>
    </w:p>
    <w:p>
      <w:pPr>
        <w:spacing w:line="273" w:lineRule="auto" w:before="31"/>
        <w:ind w:left="1921" w:right="1352" w:firstLine="0"/>
        <w:jc w:val="left"/>
        <w:rPr>
          <w:b/>
          <w:sz w:val="18"/>
        </w:rPr>
      </w:pPr>
      <w:r>
        <w:rPr>
          <w:b/>
          <w:color w:val="231F20"/>
          <w:w w:val="110"/>
          <w:sz w:val="18"/>
        </w:rPr>
        <w:t>If by </w:t>
      </w:r>
      <w:r>
        <w:rPr>
          <w:b/>
          <w:color w:val="231F20"/>
          <w:spacing w:val="3"/>
          <w:w w:val="110"/>
          <w:sz w:val="18"/>
        </w:rPr>
        <w:t>such </w:t>
      </w:r>
      <w:r>
        <w:rPr>
          <w:b/>
          <w:color w:val="231F20"/>
          <w:spacing w:val="2"/>
          <w:w w:val="110"/>
          <w:sz w:val="18"/>
        </w:rPr>
        <w:t>date </w:t>
      </w:r>
      <w:r>
        <w:rPr>
          <w:b/>
          <w:color w:val="231F20"/>
          <w:spacing w:val="3"/>
          <w:w w:val="110"/>
          <w:sz w:val="18"/>
        </w:rPr>
        <w:t>notice </w:t>
      </w:r>
      <w:r>
        <w:rPr>
          <w:b/>
          <w:color w:val="231F20"/>
          <w:spacing w:val="2"/>
          <w:w w:val="110"/>
          <w:sz w:val="18"/>
        </w:rPr>
        <w:t>has </w:t>
      </w:r>
      <w:r>
        <w:rPr>
          <w:b/>
          <w:color w:val="231F20"/>
          <w:spacing w:val="4"/>
          <w:w w:val="110"/>
          <w:sz w:val="18"/>
        </w:rPr>
        <w:t>been received </w:t>
      </w:r>
      <w:r>
        <w:rPr>
          <w:b/>
          <w:color w:val="231F20"/>
          <w:w w:val="110"/>
          <w:sz w:val="18"/>
        </w:rPr>
        <w:t>by </w:t>
      </w:r>
      <w:r>
        <w:rPr>
          <w:b/>
          <w:color w:val="231F20"/>
          <w:spacing w:val="3"/>
          <w:w w:val="110"/>
          <w:sz w:val="18"/>
        </w:rPr>
        <w:t>the General </w:t>
      </w:r>
      <w:r>
        <w:rPr>
          <w:b/>
          <w:color w:val="231F20"/>
          <w:spacing w:val="5"/>
          <w:w w:val="110"/>
          <w:sz w:val="18"/>
        </w:rPr>
        <w:t>Secretary </w:t>
      </w:r>
      <w:r>
        <w:rPr>
          <w:b/>
          <w:color w:val="231F20"/>
          <w:spacing w:val="3"/>
          <w:w w:val="110"/>
          <w:sz w:val="18"/>
        </w:rPr>
        <w:t>from more </w:t>
      </w:r>
      <w:r>
        <w:rPr>
          <w:b/>
          <w:color w:val="231F20"/>
          <w:spacing w:val="2"/>
          <w:w w:val="110"/>
          <w:sz w:val="18"/>
        </w:rPr>
        <w:t>than </w:t>
      </w:r>
      <w:r>
        <w:rPr>
          <w:b/>
          <w:color w:val="231F20"/>
          <w:w w:val="110"/>
          <w:sz w:val="18"/>
        </w:rPr>
        <w:t>one </w:t>
      </w:r>
      <w:r>
        <w:rPr>
          <w:b/>
          <w:color w:val="231F20"/>
          <w:spacing w:val="3"/>
          <w:w w:val="110"/>
          <w:sz w:val="18"/>
        </w:rPr>
        <w:t>third </w:t>
      </w:r>
      <w:r>
        <w:rPr>
          <w:b/>
          <w:color w:val="231F20"/>
          <w:w w:val="110"/>
          <w:sz w:val="18"/>
        </w:rPr>
        <w:t>of </w:t>
      </w:r>
      <w:r>
        <w:rPr>
          <w:b/>
          <w:color w:val="231F20"/>
          <w:spacing w:val="3"/>
          <w:w w:val="110"/>
          <w:sz w:val="18"/>
        </w:rPr>
        <w:t>synods </w:t>
      </w:r>
      <w:r>
        <w:rPr>
          <w:b/>
          <w:color w:val="231F20"/>
          <w:spacing w:val="-6"/>
          <w:w w:val="110"/>
          <w:sz w:val="18"/>
        </w:rPr>
        <w:t>(or, </w:t>
      </w:r>
      <w:r>
        <w:rPr>
          <w:b/>
          <w:color w:val="231F20"/>
          <w:w w:val="110"/>
          <w:sz w:val="18"/>
        </w:rPr>
        <w:t>if it </w:t>
      </w:r>
      <w:r>
        <w:rPr>
          <w:b/>
          <w:color w:val="231F20"/>
          <w:spacing w:val="2"/>
          <w:w w:val="110"/>
          <w:sz w:val="18"/>
        </w:rPr>
        <w:t>has </w:t>
      </w:r>
      <w:r>
        <w:rPr>
          <w:b/>
          <w:color w:val="231F20"/>
          <w:spacing w:val="4"/>
          <w:w w:val="110"/>
          <w:sz w:val="18"/>
        </w:rPr>
        <w:t>been </w:t>
      </w:r>
      <w:r>
        <w:rPr>
          <w:b/>
          <w:color w:val="231F20"/>
          <w:spacing w:val="2"/>
          <w:w w:val="110"/>
          <w:sz w:val="18"/>
        </w:rPr>
        <w:t>so </w:t>
      </w:r>
      <w:r>
        <w:rPr>
          <w:b/>
          <w:color w:val="231F20"/>
          <w:spacing w:val="4"/>
          <w:w w:val="110"/>
          <w:sz w:val="18"/>
        </w:rPr>
        <w:t>referred, </w:t>
      </w:r>
      <w:r>
        <w:rPr>
          <w:b/>
          <w:color w:val="231F20"/>
          <w:spacing w:val="3"/>
          <w:w w:val="110"/>
          <w:sz w:val="18"/>
        </w:rPr>
        <w:t>more </w:t>
      </w:r>
      <w:r>
        <w:rPr>
          <w:b/>
          <w:color w:val="231F20"/>
          <w:spacing w:val="2"/>
          <w:w w:val="110"/>
          <w:sz w:val="18"/>
        </w:rPr>
        <w:t>than </w:t>
      </w:r>
      <w:r>
        <w:rPr>
          <w:b/>
          <w:color w:val="231F20"/>
          <w:w w:val="110"/>
          <w:sz w:val="18"/>
        </w:rPr>
        <w:t>one </w:t>
      </w:r>
      <w:r>
        <w:rPr>
          <w:b/>
          <w:color w:val="231F20"/>
          <w:spacing w:val="3"/>
          <w:w w:val="110"/>
          <w:sz w:val="18"/>
        </w:rPr>
        <w:t>third </w:t>
      </w:r>
      <w:r>
        <w:rPr>
          <w:b/>
          <w:color w:val="231F20"/>
          <w:w w:val="110"/>
          <w:sz w:val="18"/>
        </w:rPr>
        <w:t>of </w:t>
      </w:r>
      <w:r>
        <w:rPr>
          <w:b/>
          <w:color w:val="231F20"/>
          <w:spacing w:val="3"/>
          <w:w w:val="110"/>
          <w:sz w:val="18"/>
        </w:rPr>
        <w:t>local </w:t>
      </w:r>
      <w:r>
        <w:rPr>
          <w:b/>
          <w:color w:val="231F20"/>
          <w:spacing w:val="2"/>
          <w:w w:val="110"/>
          <w:sz w:val="18"/>
        </w:rPr>
        <w:t>churches) </w:t>
      </w:r>
      <w:r>
        <w:rPr>
          <w:b/>
          <w:color w:val="231F20"/>
          <w:spacing w:val="3"/>
          <w:w w:val="110"/>
          <w:sz w:val="18"/>
        </w:rPr>
        <w:t>that </w:t>
      </w:r>
      <w:r>
        <w:rPr>
          <w:b/>
          <w:color w:val="231F20"/>
          <w:w w:val="110"/>
          <w:sz w:val="18"/>
        </w:rPr>
        <w:t>a </w:t>
      </w:r>
      <w:r>
        <w:rPr>
          <w:b/>
          <w:color w:val="231F20"/>
          <w:spacing w:val="3"/>
          <w:w w:val="110"/>
          <w:sz w:val="18"/>
        </w:rPr>
        <w:t>motion </w:t>
      </w:r>
      <w:r>
        <w:rPr>
          <w:b/>
          <w:color w:val="231F20"/>
          <w:spacing w:val="4"/>
          <w:w w:val="110"/>
          <w:sz w:val="18"/>
        </w:rPr>
        <w:t>‘that </w:t>
      </w:r>
      <w:r>
        <w:rPr>
          <w:b/>
          <w:color w:val="231F20"/>
          <w:spacing w:val="3"/>
          <w:w w:val="110"/>
          <w:sz w:val="18"/>
        </w:rPr>
        <w:t>the proposal </w:t>
      </w:r>
      <w:r>
        <w:rPr>
          <w:b/>
          <w:color w:val="231F20"/>
          <w:spacing w:val="2"/>
          <w:w w:val="110"/>
          <w:sz w:val="18"/>
        </w:rPr>
        <w:t>be not </w:t>
      </w:r>
      <w:r>
        <w:rPr>
          <w:b/>
          <w:color w:val="231F20"/>
          <w:spacing w:val="4"/>
          <w:w w:val="110"/>
          <w:sz w:val="18"/>
        </w:rPr>
        <w:t>proceeded </w:t>
      </w:r>
      <w:r>
        <w:rPr>
          <w:b/>
          <w:color w:val="231F20"/>
          <w:spacing w:val="2"/>
          <w:w w:val="110"/>
          <w:sz w:val="18"/>
        </w:rPr>
        <w:t>with’ has </w:t>
      </w:r>
      <w:r>
        <w:rPr>
          <w:b/>
          <w:color w:val="231F20"/>
          <w:spacing w:val="4"/>
          <w:w w:val="110"/>
          <w:sz w:val="18"/>
        </w:rPr>
        <w:t>been passed </w:t>
      </w:r>
      <w:r>
        <w:rPr>
          <w:b/>
          <w:color w:val="231F20"/>
          <w:w w:val="110"/>
          <w:sz w:val="18"/>
        </w:rPr>
        <w:t>by a </w:t>
      </w:r>
      <w:r>
        <w:rPr>
          <w:b/>
          <w:color w:val="231F20"/>
          <w:spacing w:val="3"/>
          <w:w w:val="110"/>
          <w:sz w:val="18"/>
        </w:rPr>
        <w:t>majority </w:t>
      </w:r>
      <w:r>
        <w:rPr>
          <w:b/>
          <w:color w:val="231F20"/>
          <w:w w:val="110"/>
          <w:sz w:val="18"/>
        </w:rPr>
        <w:t>of </w:t>
      </w:r>
      <w:r>
        <w:rPr>
          <w:b/>
          <w:color w:val="231F20"/>
          <w:spacing w:val="3"/>
          <w:w w:val="110"/>
          <w:sz w:val="18"/>
        </w:rPr>
        <w:t>members </w:t>
      </w:r>
      <w:r>
        <w:rPr>
          <w:b/>
          <w:color w:val="231F20"/>
          <w:spacing w:val="4"/>
          <w:w w:val="110"/>
          <w:sz w:val="18"/>
        </w:rPr>
        <w:t>present   </w:t>
      </w:r>
      <w:r>
        <w:rPr>
          <w:b/>
          <w:color w:val="231F20"/>
          <w:spacing w:val="2"/>
          <w:w w:val="110"/>
          <w:sz w:val="18"/>
        </w:rPr>
        <w:t>and voting </w:t>
      </w:r>
      <w:r>
        <w:rPr>
          <w:b/>
          <w:color w:val="231F20"/>
          <w:w w:val="110"/>
          <w:sz w:val="18"/>
        </w:rPr>
        <w:t>at a duly </w:t>
      </w:r>
      <w:r>
        <w:rPr>
          <w:b/>
          <w:color w:val="231F20"/>
          <w:spacing w:val="2"/>
          <w:w w:val="110"/>
          <w:sz w:val="18"/>
        </w:rPr>
        <w:t>convened </w:t>
      </w:r>
      <w:r>
        <w:rPr>
          <w:b/>
          <w:color w:val="231F20"/>
          <w:spacing w:val="3"/>
          <w:w w:val="110"/>
          <w:sz w:val="18"/>
        </w:rPr>
        <w:t>meeting </w:t>
      </w:r>
      <w:r>
        <w:rPr>
          <w:b/>
          <w:color w:val="231F20"/>
          <w:w w:val="110"/>
          <w:sz w:val="18"/>
        </w:rPr>
        <w:t>of </w:t>
      </w:r>
      <w:r>
        <w:rPr>
          <w:b/>
          <w:color w:val="231F20"/>
          <w:spacing w:val="3"/>
          <w:w w:val="110"/>
          <w:sz w:val="18"/>
        </w:rPr>
        <w:t>such </w:t>
      </w:r>
      <w:r>
        <w:rPr>
          <w:b/>
          <w:color w:val="231F20"/>
          <w:w w:val="110"/>
          <w:sz w:val="18"/>
        </w:rPr>
        <w:t>body, </w:t>
      </w:r>
      <w:r>
        <w:rPr>
          <w:b/>
          <w:color w:val="231F20"/>
          <w:spacing w:val="3"/>
          <w:w w:val="110"/>
          <w:sz w:val="18"/>
        </w:rPr>
        <w:t>then the </w:t>
      </w:r>
      <w:r>
        <w:rPr>
          <w:b/>
          <w:color w:val="231F20"/>
          <w:spacing w:val="4"/>
          <w:w w:val="110"/>
          <w:sz w:val="18"/>
        </w:rPr>
        <w:t>Assembly </w:t>
      </w:r>
      <w:r>
        <w:rPr>
          <w:b/>
          <w:color w:val="231F20"/>
          <w:w w:val="110"/>
          <w:sz w:val="18"/>
        </w:rPr>
        <w:t>in </w:t>
      </w:r>
      <w:r>
        <w:rPr>
          <w:b/>
          <w:color w:val="231F20"/>
          <w:spacing w:val="3"/>
          <w:w w:val="110"/>
          <w:sz w:val="18"/>
        </w:rPr>
        <w:t>its concern </w:t>
      </w:r>
      <w:r>
        <w:rPr>
          <w:b/>
          <w:color w:val="231F20"/>
          <w:spacing w:val="2"/>
          <w:w w:val="110"/>
          <w:sz w:val="18"/>
        </w:rPr>
        <w:t>for </w:t>
      </w:r>
      <w:r>
        <w:rPr>
          <w:b/>
          <w:color w:val="231F20"/>
          <w:spacing w:val="3"/>
          <w:w w:val="110"/>
          <w:sz w:val="18"/>
        </w:rPr>
        <w:t>the unity </w:t>
      </w:r>
      <w:r>
        <w:rPr>
          <w:b/>
          <w:color w:val="231F20"/>
          <w:w w:val="110"/>
          <w:sz w:val="18"/>
        </w:rPr>
        <w:t>of </w:t>
      </w:r>
      <w:r>
        <w:rPr>
          <w:b/>
          <w:color w:val="231F20"/>
          <w:spacing w:val="3"/>
          <w:w w:val="110"/>
          <w:sz w:val="18"/>
        </w:rPr>
        <w:t>the church </w:t>
      </w:r>
      <w:r>
        <w:rPr>
          <w:b/>
          <w:color w:val="231F20"/>
          <w:spacing w:val="2"/>
          <w:w w:val="110"/>
          <w:sz w:val="18"/>
        </w:rPr>
        <w:t>shall not </w:t>
      </w:r>
      <w:r>
        <w:rPr>
          <w:b/>
          <w:color w:val="231F20"/>
          <w:spacing w:val="4"/>
          <w:w w:val="110"/>
          <w:sz w:val="18"/>
        </w:rPr>
        <w:t>proceed </w:t>
      </w:r>
      <w:r>
        <w:rPr>
          <w:b/>
          <w:color w:val="231F20"/>
          <w:spacing w:val="2"/>
          <w:w w:val="110"/>
          <w:sz w:val="18"/>
        </w:rPr>
        <w:t>to</w:t>
      </w:r>
      <w:r>
        <w:rPr>
          <w:b/>
          <w:color w:val="231F20"/>
          <w:spacing w:val="7"/>
          <w:w w:val="110"/>
          <w:sz w:val="18"/>
        </w:rPr>
        <w:t> </w:t>
      </w:r>
      <w:r>
        <w:rPr>
          <w:b/>
          <w:color w:val="231F20"/>
          <w:spacing w:val="4"/>
          <w:w w:val="110"/>
          <w:sz w:val="18"/>
        </w:rPr>
        <w:t>ratify</w:t>
      </w:r>
    </w:p>
    <w:p>
      <w:pPr>
        <w:spacing w:before="4"/>
        <w:ind w:left="1921" w:right="0" w:firstLine="0"/>
        <w:jc w:val="left"/>
        <w:rPr>
          <w:b/>
          <w:sz w:val="18"/>
        </w:rPr>
      </w:pPr>
      <w:r>
        <w:rPr>
          <w:b/>
          <w:color w:val="231F20"/>
          <w:w w:val="110"/>
          <w:sz w:val="18"/>
        </w:rPr>
        <w:t>the proposal.</w:t>
      </w:r>
    </w:p>
    <w:p>
      <w:pPr>
        <w:pStyle w:val="BodyText"/>
        <w:spacing w:before="1"/>
        <w:rPr>
          <w:b/>
          <w:sz w:val="23"/>
        </w:rPr>
      </w:pPr>
    </w:p>
    <w:p>
      <w:pPr>
        <w:spacing w:before="0"/>
        <w:ind w:left="1240" w:right="0" w:firstLine="0"/>
        <w:jc w:val="both"/>
        <w:rPr>
          <w:b/>
          <w:sz w:val="18"/>
        </w:rPr>
      </w:pPr>
      <w:r>
        <w:rPr>
          <w:b/>
          <w:color w:val="231F20"/>
          <w:w w:val="110"/>
          <w:sz w:val="18"/>
        </w:rPr>
        <w:t>Paragraph 3(1)(h)</w:t>
      </w:r>
    </w:p>
    <w:p>
      <w:pPr>
        <w:spacing w:line="273" w:lineRule="auto" w:before="32"/>
        <w:ind w:left="1921" w:right="1188" w:firstLine="0"/>
        <w:jc w:val="both"/>
        <w:rPr>
          <w:b/>
          <w:sz w:val="18"/>
        </w:rPr>
      </w:pPr>
      <w:r>
        <w:rPr>
          <w:b/>
          <w:color w:val="231F20"/>
          <w:w w:val="110"/>
          <w:sz w:val="18"/>
        </w:rPr>
        <w:t>For the purposes of this paragraph 3(1), only synods, and Local Churches in existence on the date set for responses to be made shall be counted in the calculations.</w:t>
      </w:r>
    </w:p>
    <w:p>
      <w:pPr>
        <w:pStyle w:val="BodyText"/>
        <w:rPr>
          <w:b/>
          <w:sz w:val="22"/>
        </w:rPr>
      </w:pPr>
    </w:p>
    <w:p>
      <w:pPr>
        <w:pStyle w:val="BodyText"/>
        <w:spacing w:before="3"/>
        <w:rPr>
          <w:b/>
          <w:sz w:val="19"/>
        </w:rPr>
      </w:pPr>
    </w:p>
    <w:p>
      <w:pPr>
        <w:pStyle w:val="ListParagraph"/>
        <w:numPr>
          <w:ilvl w:val="0"/>
          <w:numId w:val="45"/>
        </w:numPr>
        <w:tabs>
          <w:tab w:pos="1960" w:val="left" w:leader="none"/>
          <w:tab w:pos="1961" w:val="left" w:leader="none"/>
        </w:tabs>
        <w:spacing w:line="273" w:lineRule="auto" w:before="0" w:after="0"/>
        <w:ind w:left="1240" w:right="1746" w:firstLine="0"/>
        <w:jc w:val="left"/>
        <w:rPr>
          <w:sz w:val="18"/>
        </w:rPr>
      </w:pPr>
      <w:r>
        <w:rPr>
          <w:color w:val="231F20"/>
          <w:w w:val="110"/>
          <w:sz w:val="18"/>
        </w:rPr>
        <w:t>General Assembly resolves to amend Paragraph </w:t>
      </w:r>
      <w:r>
        <w:rPr>
          <w:color w:val="231F20"/>
          <w:spacing w:val="-6"/>
          <w:w w:val="110"/>
          <w:sz w:val="18"/>
        </w:rPr>
        <w:t>5(2) </w:t>
      </w:r>
      <w:r>
        <w:rPr>
          <w:color w:val="231F20"/>
          <w:w w:val="110"/>
          <w:sz w:val="18"/>
        </w:rPr>
        <w:t>of the Structure of the United Reformed Church to</w:t>
      </w:r>
      <w:r>
        <w:rPr>
          <w:color w:val="231F20"/>
          <w:spacing w:val="5"/>
          <w:w w:val="110"/>
          <w:sz w:val="18"/>
        </w:rPr>
        <w:t> </w:t>
      </w:r>
      <w:r>
        <w:rPr>
          <w:color w:val="231F20"/>
          <w:w w:val="110"/>
          <w:sz w:val="18"/>
        </w:rPr>
        <w:t>read:</w:t>
      </w:r>
    </w:p>
    <w:p>
      <w:pPr>
        <w:pStyle w:val="BodyText"/>
        <w:spacing w:before="8"/>
        <w:rPr>
          <w:sz w:val="20"/>
        </w:rPr>
      </w:pPr>
    </w:p>
    <w:p>
      <w:pPr>
        <w:spacing w:line="273" w:lineRule="auto" w:before="0"/>
        <w:ind w:left="1240" w:right="1143" w:firstLine="0"/>
        <w:jc w:val="left"/>
        <w:rPr>
          <w:b/>
          <w:sz w:val="18"/>
        </w:rPr>
      </w:pPr>
      <w:r>
        <w:rPr>
          <w:b/>
          <w:color w:val="231F20"/>
          <w:w w:val="110"/>
          <w:sz w:val="18"/>
        </w:rPr>
        <w:t>The procedure for dealing with reference and appeals falling outside paragraph 5(1) is as follows:</w:t>
      </w:r>
    </w:p>
    <w:p>
      <w:pPr>
        <w:pStyle w:val="BodyText"/>
        <w:spacing w:before="8"/>
        <w:rPr>
          <w:b/>
          <w:sz w:val="20"/>
        </w:rPr>
      </w:pPr>
    </w:p>
    <w:p>
      <w:pPr>
        <w:spacing w:line="273" w:lineRule="auto" w:before="0"/>
        <w:ind w:left="1240" w:right="1575" w:firstLine="0"/>
        <w:jc w:val="left"/>
        <w:rPr>
          <w:b/>
          <w:sz w:val="18"/>
        </w:rPr>
      </w:pPr>
      <w:r>
        <w:rPr>
          <w:b/>
          <w:color w:val="231F20"/>
          <w:w w:val="110"/>
          <w:sz w:val="18"/>
        </w:rPr>
        <w:t>A </w:t>
      </w:r>
      <w:r>
        <w:rPr>
          <w:b/>
          <w:color w:val="231F20"/>
          <w:spacing w:val="2"/>
          <w:w w:val="110"/>
          <w:sz w:val="18"/>
        </w:rPr>
        <w:t>Local </w:t>
      </w:r>
      <w:r>
        <w:rPr>
          <w:b/>
          <w:color w:val="231F20"/>
          <w:w w:val="110"/>
          <w:sz w:val="18"/>
        </w:rPr>
        <w:t>Church or any member </w:t>
      </w:r>
      <w:r>
        <w:rPr>
          <w:b/>
          <w:color w:val="231F20"/>
          <w:spacing w:val="2"/>
          <w:w w:val="110"/>
          <w:sz w:val="18"/>
        </w:rPr>
        <w:t>thereof </w:t>
      </w:r>
      <w:r>
        <w:rPr>
          <w:b/>
          <w:color w:val="231F20"/>
          <w:w w:val="110"/>
          <w:sz w:val="18"/>
        </w:rPr>
        <w:t>or </w:t>
      </w:r>
      <w:r>
        <w:rPr>
          <w:b/>
          <w:color w:val="231F20"/>
          <w:spacing w:val="2"/>
          <w:w w:val="110"/>
          <w:sz w:val="18"/>
        </w:rPr>
        <w:t>elders’ </w:t>
      </w:r>
      <w:r>
        <w:rPr>
          <w:b/>
          <w:color w:val="231F20"/>
          <w:w w:val="110"/>
          <w:sz w:val="18"/>
        </w:rPr>
        <w:t>meeting may appeal to   the synod upon which the </w:t>
      </w:r>
      <w:r>
        <w:rPr>
          <w:b/>
          <w:color w:val="231F20"/>
          <w:spacing w:val="2"/>
          <w:w w:val="110"/>
          <w:sz w:val="18"/>
        </w:rPr>
        <w:t>Local </w:t>
      </w:r>
      <w:r>
        <w:rPr>
          <w:b/>
          <w:color w:val="231F20"/>
          <w:w w:val="110"/>
          <w:sz w:val="18"/>
        </w:rPr>
        <w:t>Church is </w:t>
      </w:r>
      <w:r>
        <w:rPr>
          <w:b/>
          <w:color w:val="231F20"/>
          <w:spacing w:val="2"/>
          <w:w w:val="110"/>
          <w:sz w:val="18"/>
        </w:rPr>
        <w:t>entitled </w:t>
      </w:r>
      <w:r>
        <w:rPr>
          <w:b/>
          <w:color w:val="231F20"/>
          <w:w w:val="110"/>
          <w:sz w:val="18"/>
        </w:rPr>
        <w:t>to be </w:t>
      </w:r>
      <w:r>
        <w:rPr>
          <w:b/>
          <w:color w:val="231F20"/>
          <w:spacing w:val="2"/>
          <w:w w:val="110"/>
          <w:sz w:val="18"/>
        </w:rPr>
        <w:t>represented </w:t>
      </w:r>
      <w:r>
        <w:rPr>
          <w:b/>
          <w:color w:val="231F20"/>
          <w:w w:val="110"/>
          <w:sz w:val="18"/>
        </w:rPr>
        <w:t>for the </w:t>
      </w:r>
      <w:r>
        <w:rPr>
          <w:b/>
          <w:color w:val="231F20"/>
          <w:spacing w:val="2"/>
          <w:w w:val="110"/>
          <w:sz w:val="18"/>
        </w:rPr>
        <w:t>resolution </w:t>
      </w:r>
      <w:r>
        <w:rPr>
          <w:b/>
          <w:color w:val="231F20"/>
          <w:w w:val="110"/>
          <w:sz w:val="18"/>
        </w:rPr>
        <w:t>of any dispute or </w:t>
      </w:r>
      <w:r>
        <w:rPr>
          <w:b/>
          <w:color w:val="231F20"/>
          <w:spacing w:val="2"/>
          <w:w w:val="110"/>
          <w:sz w:val="18"/>
        </w:rPr>
        <w:t>difference </w:t>
      </w:r>
      <w:r>
        <w:rPr>
          <w:b/>
          <w:color w:val="231F20"/>
          <w:w w:val="110"/>
          <w:sz w:val="18"/>
        </w:rPr>
        <w:t>and may appeal from any decision of such synod to the General</w:t>
      </w:r>
      <w:r>
        <w:rPr>
          <w:b/>
          <w:color w:val="231F20"/>
          <w:spacing w:val="4"/>
          <w:w w:val="110"/>
          <w:sz w:val="18"/>
        </w:rPr>
        <w:t> </w:t>
      </w:r>
      <w:r>
        <w:rPr>
          <w:b/>
          <w:color w:val="231F20"/>
          <w:w w:val="110"/>
          <w:sz w:val="18"/>
        </w:rPr>
        <w:t>Assembly.</w:t>
      </w:r>
    </w:p>
    <w:p>
      <w:pPr>
        <w:pStyle w:val="BodyText"/>
        <w:spacing w:before="10"/>
        <w:rPr>
          <w:b/>
          <w:sz w:val="20"/>
        </w:rPr>
      </w:pPr>
    </w:p>
    <w:p>
      <w:pPr>
        <w:spacing w:line="273" w:lineRule="auto" w:before="0"/>
        <w:ind w:left="1240" w:right="1593" w:firstLine="0"/>
        <w:jc w:val="left"/>
        <w:rPr>
          <w:b/>
          <w:sz w:val="18"/>
        </w:rPr>
      </w:pPr>
      <w:r>
        <w:rPr>
          <w:b/>
          <w:color w:val="231F20"/>
          <w:w w:val="110"/>
          <w:sz w:val="18"/>
        </w:rPr>
        <w:t>A synod may </w:t>
      </w:r>
      <w:r>
        <w:rPr>
          <w:b/>
          <w:color w:val="231F20"/>
          <w:spacing w:val="2"/>
          <w:w w:val="110"/>
          <w:sz w:val="18"/>
        </w:rPr>
        <w:t>refer </w:t>
      </w:r>
      <w:r>
        <w:rPr>
          <w:b/>
          <w:color w:val="231F20"/>
          <w:w w:val="110"/>
          <w:sz w:val="18"/>
        </w:rPr>
        <w:t>any dispute or </w:t>
      </w:r>
      <w:r>
        <w:rPr>
          <w:b/>
          <w:color w:val="231F20"/>
          <w:spacing w:val="2"/>
          <w:w w:val="110"/>
          <w:sz w:val="18"/>
        </w:rPr>
        <w:t>difference, </w:t>
      </w:r>
      <w:r>
        <w:rPr>
          <w:b/>
          <w:color w:val="231F20"/>
          <w:w w:val="110"/>
          <w:sz w:val="18"/>
        </w:rPr>
        <w:t>whether or not the same shall have come </w:t>
      </w:r>
      <w:r>
        <w:rPr>
          <w:b/>
          <w:color w:val="231F20"/>
          <w:spacing w:val="2"/>
          <w:w w:val="110"/>
          <w:sz w:val="18"/>
        </w:rPr>
        <w:t>before </w:t>
      </w:r>
      <w:r>
        <w:rPr>
          <w:b/>
          <w:color w:val="231F20"/>
          <w:w w:val="110"/>
          <w:sz w:val="18"/>
        </w:rPr>
        <w:t>it on a </w:t>
      </w:r>
      <w:r>
        <w:rPr>
          <w:b/>
          <w:color w:val="231F20"/>
          <w:spacing w:val="2"/>
          <w:w w:val="110"/>
          <w:sz w:val="18"/>
        </w:rPr>
        <w:t>reference </w:t>
      </w:r>
      <w:r>
        <w:rPr>
          <w:b/>
          <w:color w:val="231F20"/>
          <w:w w:val="110"/>
          <w:sz w:val="18"/>
        </w:rPr>
        <w:t>or appeal, to the General</w:t>
      </w:r>
      <w:r>
        <w:rPr>
          <w:b/>
          <w:color w:val="231F20"/>
          <w:spacing w:val="67"/>
          <w:w w:val="110"/>
          <w:sz w:val="18"/>
        </w:rPr>
        <w:t> </w:t>
      </w:r>
      <w:r>
        <w:rPr>
          <w:b/>
          <w:color w:val="231F20"/>
          <w:w w:val="110"/>
          <w:sz w:val="18"/>
        </w:rPr>
        <w:t>Assembly.</w:t>
      </w:r>
    </w:p>
    <w:p>
      <w:pPr>
        <w:pStyle w:val="BodyText"/>
        <w:spacing w:before="8"/>
        <w:rPr>
          <w:b/>
          <w:sz w:val="20"/>
        </w:rPr>
      </w:pPr>
    </w:p>
    <w:p>
      <w:pPr>
        <w:spacing w:before="0"/>
        <w:ind w:left="1240" w:right="0" w:firstLine="0"/>
        <w:jc w:val="both"/>
        <w:rPr>
          <w:b/>
          <w:sz w:val="18"/>
        </w:rPr>
      </w:pPr>
      <w:r>
        <w:rPr>
          <w:b/>
          <w:color w:val="231F20"/>
          <w:w w:val="110"/>
          <w:sz w:val="18"/>
        </w:rPr>
        <w:t>The decision of the General Assembly on any matter which has come before</w:t>
      </w:r>
    </w:p>
    <w:p>
      <w:pPr>
        <w:spacing w:before="31"/>
        <w:ind w:left="1240" w:right="0" w:firstLine="0"/>
        <w:jc w:val="both"/>
        <w:rPr>
          <w:b/>
          <w:sz w:val="18"/>
        </w:rPr>
      </w:pPr>
      <w:r>
        <w:rPr>
          <w:b/>
          <w:color w:val="231F20"/>
          <w:w w:val="110"/>
          <w:sz w:val="18"/>
        </w:rPr>
        <w:t>it on reference or appeal shall be final and binding.</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9"/>
        <w:rPr>
          <w:b/>
          <w:sz w:val="29"/>
        </w:rPr>
      </w:pPr>
    </w:p>
    <w:p>
      <w:pPr>
        <w:spacing w:before="0"/>
        <w:ind w:left="0" w:right="382" w:firstLine="0"/>
        <w:jc w:val="center"/>
        <w:rPr>
          <w:i/>
          <w:sz w:val="24"/>
        </w:rPr>
      </w:pPr>
      <w:r>
        <w:rPr>
          <w:i/>
          <w:color w:val="231F20"/>
          <w:w w:val="600"/>
          <w:sz w:val="24"/>
        </w:rPr>
        <w:t>   </w:t>
      </w:r>
    </w:p>
    <w:p>
      <w:pPr>
        <w:spacing w:after="0"/>
        <w:jc w:val="center"/>
        <w:rPr>
          <w:sz w:val="24"/>
        </w:rPr>
        <w:sectPr>
          <w:pgSz w:w="11910" w:h="16840"/>
          <w:pgMar w:header="581" w:footer="544" w:top="860" w:bottom="740" w:left="46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2"/>
        </w:rPr>
      </w:pPr>
    </w:p>
    <w:p>
      <w:pPr>
        <w:pStyle w:val="BodyText"/>
        <w:spacing w:before="101"/>
        <w:ind w:left="6135"/>
      </w:pPr>
      <w:r>
        <w:rPr>
          <w:color w:val="231F20"/>
          <w:w w:val="110"/>
        </w:rPr>
        <w:t>Spring Clean 2007</w:t>
      </w:r>
    </w:p>
    <w:p>
      <w:pPr>
        <w:spacing w:after="0"/>
        <w:sectPr>
          <w:headerReference w:type="even" r:id="rId106"/>
          <w:footerReference w:type="even" r:id="rId107"/>
          <w:pgSz w:w="11910" w:h="16840"/>
          <w:pgMar w:header="0" w:footer="564" w:top="1580" w:bottom="760" w:left="460" w:right="0"/>
          <w:pgNumType w:start="94"/>
        </w:sectPr>
      </w:pPr>
    </w:p>
    <w:p>
      <w:pPr>
        <w:spacing w:line="244" w:lineRule="auto" w:before="69"/>
        <w:ind w:left="1155" w:right="2665" w:firstLine="0"/>
        <w:jc w:val="left"/>
        <w:rPr>
          <w:b/>
          <w:sz w:val="29"/>
        </w:rPr>
      </w:pPr>
      <w:r>
        <w:rPr/>
        <w:pict>
          <v:shape style="position:absolute;margin-left:509.934784pt;margin-top:36.840614pt;width:65.05pt;height:755.8pt;mso-position-horizontal-relative:page;mso-position-vertical-relative:page;z-index:251756544" type="#_x0000_t202" filled="false" stroked="false">
            <v:textbox inset="0,0,0,0" style="layout-flow:vertical">
              <w:txbxContent>
                <w:p>
                  <w:pPr>
                    <w:spacing w:line="903" w:lineRule="exact" w:before="20"/>
                    <w:ind w:left="20" w:right="0" w:firstLine="0"/>
                    <w:jc w:val="left"/>
                    <w:rPr>
                      <w:b/>
                      <w:sz w:val="80"/>
                    </w:rPr>
                  </w:pPr>
                  <w:r>
                    <w:rPr>
                      <w:b/>
                      <w:color w:val="231F20"/>
                      <w:spacing w:val="-15"/>
                      <w:sz w:val="80"/>
                    </w:rPr>
                    <w:t>Changes </w:t>
                  </w:r>
                  <w:r>
                    <w:rPr>
                      <w:b/>
                      <w:color w:val="231F20"/>
                      <w:spacing w:val="-7"/>
                      <w:sz w:val="80"/>
                    </w:rPr>
                    <w:t>to </w:t>
                  </w:r>
                  <w:r>
                    <w:rPr>
                      <w:b/>
                      <w:color w:val="231F20"/>
                      <w:spacing w:val="-10"/>
                      <w:sz w:val="80"/>
                    </w:rPr>
                    <w:t>the </w:t>
                  </w:r>
                  <w:r>
                    <w:rPr>
                      <w:b/>
                      <w:color w:val="231F20"/>
                      <w:spacing w:val="-16"/>
                      <w:sz w:val="80"/>
                    </w:rPr>
                    <w:t>Rules </w:t>
                  </w:r>
                  <w:r>
                    <w:rPr>
                      <w:b/>
                      <w:color w:val="231F20"/>
                      <w:spacing w:val="-9"/>
                      <w:sz w:val="80"/>
                    </w:rPr>
                    <w:t>of </w:t>
                  </w:r>
                  <w:r>
                    <w:rPr>
                      <w:b/>
                      <w:color w:val="231F20"/>
                      <w:spacing w:val="-15"/>
                      <w:sz w:val="80"/>
                    </w:rPr>
                    <w:t>Procedure</w:t>
                  </w:r>
                </w:p>
                <w:p>
                  <w:pPr>
                    <w:spacing w:line="376" w:lineRule="exact" w:before="0"/>
                    <w:ind w:left="10016" w:right="0" w:firstLine="0"/>
                    <w:jc w:val="left"/>
                    <w:rPr>
                      <w:rFonts w:ascii="Eurostile Bold"/>
                      <w:b/>
                      <w:sz w:val="36"/>
                    </w:rPr>
                  </w:pPr>
                  <w:r>
                    <w:rPr>
                      <w:rFonts w:ascii="Eurostile Bold"/>
                      <w:b/>
                      <w:color w:val="A7A9AC"/>
                      <w:w w:val="95"/>
                      <w:sz w:val="36"/>
                    </w:rPr>
                    <w:t>General</w:t>
                  </w:r>
                  <w:r>
                    <w:rPr>
                      <w:rFonts w:ascii="Eurostile Bold"/>
                      <w:b/>
                      <w:color w:val="A7A9AC"/>
                      <w:spacing w:val="-57"/>
                      <w:w w:val="95"/>
                      <w:sz w:val="36"/>
                    </w:rPr>
                    <w:t> </w:t>
                  </w:r>
                  <w:r>
                    <w:rPr>
                      <w:rFonts w:ascii="Eurostile Bold"/>
                      <w:b/>
                      <w:color w:val="A7A9AC"/>
                      <w:w w:val="95"/>
                      <w:sz w:val="36"/>
                    </w:rPr>
                    <w:t>Assembly</w:t>
                  </w:r>
                  <w:r>
                    <w:rPr>
                      <w:rFonts w:ascii="Eurostile Bold"/>
                      <w:b/>
                      <w:color w:val="A7A9AC"/>
                      <w:spacing w:val="-57"/>
                      <w:w w:val="95"/>
                      <w:sz w:val="36"/>
                    </w:rPr>
                    <w:t> </w:t>
                  </w:r>
                  <w:r>
                    <w:rPr>
                      <w:rFonts w:ascii="Eurostile Bold"/>
                      <w:b/>
                      <w:color w:val="A7A9AC"/>
                      <w:w w:val="95"/>
                      <w:sz w:val="36"/>
                    </w:rPr>
                    <w:t>2007</w:t>
                  </w:r>
                </w:p>
              </w:txbxContent>
            </v:textbox>
            <w10:wrap type="none"/>
          </v:shape>
        </w:pict>
      </w:r>
      <w:r>
        <w:rPr>
          <w:b/>
          <w:color w:val="231F20"/>
          <w:w w:val="110"/>
          <w:sz w:val="29"/>
        </w:rPr>
        <w:t>Changes to the Rules of Procedure (Manual Section C) required to implement the Catch the Vision Process</w:t>
      </w:r>
    </w:p>
    <w:p>
      <w:pPr>
        <w:pStyle w:val="BodyText"/>
        <w:spacing w:before="4"/>
        <w:rPr>
          <w:b/>
          <w:sz w:val="41"/>
        </w:rPr>
      </w:pPr>
    </w:p>
    <w:p>
      <w:pPr>
        <w:pStyle w:val="BodyText"/>
        <w:spacing w:line="273" w:lineRule="auto"/>
        <w:ind w:left="1155" w:right="2348"/>
      </w:pPr>
      <w:r>
        <w:rPr>
          <w:color w:val="231F20"/>
          <w:w w:val="110"/>
        </w:rPr>
        <w:t>The rules of procedure contain various provisions relating the General Assembly, its functions and officers. The move from an annual to a biennial Assembly require that these be changed.</w:t>
      </w:r>
    </w:p>
    <w:p>
      <w:pPr>
        <w:pStyle w:val="BodyText"/>
        <w:rPr>
          <w:sz w:val="22"/>
        </w:rPr>
      </w:pPr>
    </w:p>
    <w:p>
      <w:pPr>
        <w:pStyle w:val="BodyText"/>
        <w:spacing w:before="9"/>
        <w:rPr>
          <w:sz w:val="30"/>
        </w:rPr>
      </w:pPr>
    </w:p>
    <w:p>
      <w:pPr>
        <w:tabs>
          <w:tab w:pos="7352" w:val="left" w:leader="none"/>
        </w:tabs>
        <w:spacing w:line="196" w:lineRule="auto" w:before="0"/>
        <w:ind w:left="6866" w:right="2218" w:hanging="5612"/>
        <w:jc w:val="left"/>
        <w:rPr>
          <w:b/>
          <w:sz w:val="20"/>
        </w:rPr>
      </w:pPr>
      <w:r>
        <w:rPr/>
        <w:pict>
          <v:group style="position:absolute;margin-left:47.243999pt;margin-top:-2.284828pt;width:468.7pt;height:627.2pt;mso-position-horizontal-relative:page;mso-position-vertical-relative:paragraph;z-index:-275509248" coordorigin="945,-46" coordsize="9374,12544">
            <v:shape style="position:absolute;left:1601;top:19;width:4016;height:630" coordorigin="1602,19" coordsize="4016,630" path="m5618,347l1760,347,1760,19,1602,19,1602,347,1602,649,5618,649,5618,347e" filled="true" fillcolor="#d8dadc" stroked="false">
              <v:path arrowok="t"/>
              <v:fill type="solid"/>
            </v:shape>
            <v:line style="position:absolute" from="1602,13" to="5618,13" stroked="true" strokeweight=".6pt" strokecolor="#d8dadc">
              <v:stroke dashstyle="solid"/>
            </v:line>
            <v:shape style="position:absolute;left:1759;top:19;width:3858;height:327" coordorigin="1760,19" coordsize="3858,327" path="m5618,19l5202,19,1760,19,1760,346,5202,346,5618,346,5618,19e" filled="true" fillcolor="#d8dadc" stroked="false">
              <v:path arrowok="t"/>
              <v:fill type="solid"/>
            </v:shape>
            <v:shape style="position:absolute;left:1299;top:-46;width:9020;height:12095" type="#_x0000_t75" stroked="false">
              <v:imagedata r:id="rId110" o:title=""/>
            </v:shape>
            <v:rect style="position:absolute;left:944;top:11647;width:9166;height:851" filled="true" fillcolor="#ffffff" stroked="false">
              <v:fill type="solid"/>
            </v:rect>
            <w10:wrap type="none"/>
          </v:group>
        </w:pict>
      </w:r>
      <w:r>
        <w:rPr>
          <w:b/>
          <w:color w:val="FFFFFF"/>
          <w:spacing w:val="2"/>
          <w:w w:val="111"/>
          <w:position w:val="20"/>
          <w:sz w:val="43"/>
        </w:rPr>
        <w:t>R</w:t>
      </w:r>
      <w:r>
        <w:rPr>
          <w:b/>
          <w:color w:val="FFFFFF"/>
          <w:spacing w:val="1"/>
          <w:w w:val="111"/>
          <w:position w:val="20"/>
          <w:sz w:val="43"/>
        </w:rPr>
        <w:t>E</w:t>
      </w:r>
      <w:r>
        <w:rPr>
          <w:b/>
          <w:color w:val="FFFFFF"/>
          <w:w w:val="111"/>
          <w:position w:val="20"/>
          <w:sz w:val="43"/>
        </w:rPr>
        <w:t>S</w:t>
      </w:r>
      <w:r>
        <w:rPr>
          <w:b/>
          <w:color w:val="FFFFFF"/>
          <w:spacing w:val="-4"/>
          <w:w w:val="111"/>
          <w:position w:val="20"/>
          <w:sz w:val="43"/>
        </w:rPr>
        <w:t>O</w:t>
      </w:r>
      <w:r>
        <w:rPr>
          <w:b/>
          <w:color w:val="FFFFFF"/>
          <w:spacing w:val="-6"/>
          <w:w w:val="111"/>
          <w:position w:val="20"/>
          <w:sz w:val="43"/>
        </w:rPr>
        <w:t>L</w:t>
      </w:r>
      <w:r>
        <w:rPr>
          <w:b/>
          <w:color w:val="FFFFFF"/>
          <w:spacing w:val="-2"/>
          <w:w w:val="111"/>
          <w:position w:val="20"/>
          <w:sz w:val="43"/>
        </w:rPr>
        <w:t>U</w:t>
      </w:r>
      <w:r>
        <w:rPr>
          <w:b/>
          <w:color w:val="FFFFFF"/>
          <w:spacing w:val="3"/>
          <w:w w:val="111"/>
          <w:position w:val="20"/>
          <w:sz w:val="43"/>
        </w:rPr>
        <w:t>T</w:t>
      </w:r>
      <w:r>
        <w:rPr>
          <w:b/>
          <w:color w:val="FFFFFF"/>
          <w:spacing w:val="-15"/>
          <w:w w:val="111"/>
          <w:position w:val="20"/>
          <w:sz w:val="43"/>
        </w:rPr>
        <w:t>I</w:t>
      </w:r>
      <w:r>
        <w:rPr>
          <w:b/>
          <w:color w:val="FFFFFF"/>
          <w:spacing w:val="-117"/>
          <w:w w:val="111"/>
          <w:position w:val="20"/>
          <w:sz w:val="43"/>
        </w:rPr>
        <w:t>O</w:t>
      </w:r>
      <w:r>
        <w:rPr>
          <w:b/>
          <w:color w:val="231F20"/>
          <w:spacing w:val="-285"/>
          <w:w w:val="112"/>
          <w:sz w:val="50"/>
        </w:rPr>
        <w:t>2</w:t>
      </w:r>
      <w:r>
        <w:rPr>
          <w:b/>
          <w:color w:val="FFFFFF"/>
          <w:spacing w:val="-130"/>
          <w:w w:val="111"/>
          <w:position w:val="20"/>
          <w:sz w:val="43"/>
        </w:rPr>
        <w:t>N</w:t>
      </w:r>
      <w:r>
        <w:rPr>
          <w:b/>
          <w:color w:val="231F20"/>
          <w:w w:val="112"/>
          <w:sz w:val="50"/>
        </w:rPr>
        <w:t>5</w:t>
      </w:r>
      <w:r>
        <w:rPr>
          <w:b/>
          <w:color w:val="231F20"/>
          <w:sz w:val="50"/>
        </w:rPr>
        <w:tab/>
        <w:tab/>
      </w:r>
      <w:r>
        <w:rPr>
          <w:b/>
          <w:color w:val="231F20"/>
          <w:spacing w:val="2"/>
          <w:w w:val="110"/>
          <w:sz w:val="20"/>
        </w:rPr>
        <w:t>C</w:t>
      </w:r>
      <w:r>
        <w:rPr>
          <w:b/>
          <w:color w:val="231F20"/>
          <w:w w:val="109"/>
          <w:sz w:val="20"/>
        </w:rPr>
        <w:t>h</w:t>
      </w:r>
      <w:r>
        <w:rPr>
          <w:b/>
          <w:color w:val="231F20"/>
          <w:spacing w:val="-1"/>
          <w:w w:val="110"/>
          <w:sz w:val="20"/>
        </w:rPr>
        <w:t>a</w:t>
      </w:r>
      <w:r>
        <w:rPr>
          <w:b/>
          <w:color w:val="231F20"/>
          <w:spacing w:val="1"/>
          <w:w w:val="109"/>
          <w:sz w:val="20"/>
        </w:rPr>
        <w:t>n</w:t>
      </w:r>
      <w:r>
        <w:rPr>
          <w:b/>
          <w:color w:val="231F20"/>
          <w:spacing w:val="1"/>
          <w:w w:val="109"/>
          <w:sz w:val="20"/>
        </w:rPr>
        <w:t>g</w:t>
      </w:r>
      <w:r>
        <w:rPr>
          <w:b/>
          <w:color w:val="231F20"/>
          <w:spacing w:val="4"/>
          <w:w w:val="109"/>
          <w:sz w:val="20"/>
        </w:rPr>
        <w:t>e</w:t>
      </w:r>
      <w:r>
        <w:rPr>
          <w:b/>
          <w:color w:val="231F20"/>
          <w:w w:val="109"/>
          <w:sz w:val="20"/>
        </w:rPr>
        <w:t>s</w:t>
      </w:r>
      <w:r>
        <w:rPr>
          <w:b/>
          <w:color w:val="231F20"/>
          <w:spacing w:val="6"/>
          <w:sz w:val="20"/>
        </w:rPr>
        <w:t> </w:t>
      </w:r>
      <w:r>
        <w:rPr>
          <w:b/>
          <w:color w:val="231F20"/>
          <w:spacing w:val="2"/>
          <w:w w:val="110"/>
          <w:sz w:val="20"/>
        </w:rPr>
        <w:t>t</w:t>
      </w:r>
      <w:r>
        <w:rPr>
          <w:b/>
          <w:color w:val="231F20"/>
          <w:w w:val="110"/>
          <w:sz w:val="20"/>
        </w:rPr>
        <w:t>o</w:t>
      </w:r>
      <w:r>
        <w:rPr>
          <w:b/>
          <w:color w:val="231F20"/>
          <w:spacing w:val="6"/>
          <w:sz w:val="20"/>
        </w:rPr>
        <w:t> </w:t>
      </w:r>
      <w:r>
        <w:rPr>
          <w:b/>
          <w:color w:val="231F20"/>
          <w:spacing w:val="0"/>
          <w:w w:val="110"/>
          <w:sz w:val="20"/>
        </w:rPr>
        <w:t>t</w:t>
      </w:r>
      <w:r>
        <w:rPr>
          <w:b/>
          <w:color w:val="231F20"/>
          <w:spacing w:val="-4"/>
          <w:w w:val="109"/>
          <w:sz w:val="20"/>
        </w:rPr>
        <w:t>h</w:t>
      </w:r>
      <w:r>
        <w:rPr>
          <w:b/>
          <w:color w:val="231F20"/>
          <w:spacing w:val="-4"/>
          <w:w w:val="109"/>
          <w:sz w:val="20"/>
        </w:rPr>
        <w:t>e</w:t>
      </w:r>
      <w:r>
        <w:rPr>
          <w:b/>
          <w:color w:val="231F20"/>
          <w:w w:val="109"/>
          <w:sz w:val="20"/>
        </w:rPr>
        <w:t> </w:t>
      </w:r>
      <w:r>
        <w:rPr>
          <w:b/>
          <w:color w:val="231F20"/>
          <w:w w:val="110"/>
          <w:sz w:val="20"/>
        </w:rPr>
        <w:t>Rules of</w:t>
      </w:r>
      <w:r>
        <w:rPr>
          <w:b/>
          <w:color w:val="231F20"/>
          <w:spacing w:val="9"/>
          <w:w w:val="110"/>
          <w:sz w:val="20"/>
        </w:rPr>
        <w:t> </w:t>
      </w:r>
      <w:r>
        <w:rPr>
          <w:b/>
          <w:color w:val="231F20"/>
          <w:w w:val="110"/>
          <w:sz w:val="20"/>
        </w:rPr>
        <w:t>Procedure</w:t>
      </w:r>
    </w:p>
    <w:p>
      <w:pPr>
        <w:pStyle w:val="BodyText"/>
        <w:spacing w:before="4"/>
        <w:rPr>
          <w:b/>
          <w:sz w:val="23"/>
        </w:rPr>
      </w:pPr>
    </w:p>
    <w:p>
      <w:pPr>
        <w:pStyle w:val="ListParagraph"/>
        <w:numPr>
          <w:ilvl w:val="1"/>
          <w:numId w:val="53"/>
        </w:numPr>
        <w:tabs>
          <w:tab w:pos="1875" w:val="left" w:leader="none"/>
          <w:tab w:pos="1876" w:val="left" w:leader="none"/>
        </w:tabs>
        <w:spacing w:line="273" w:lineRule="auto" w:before="0" w:after="0"/>
        <w:ind w:left="1155" w:right="2535" w:firstLine="0"/>
        <w:jc w:val="left"/>
        <w:rPr>
          <w:sz w:val="18"/>
        </w:rPr>
      </w:pPr>
      <w:r>
        <w:rPr>
          <w:color w:val="231F20"/>
          <w:w w:val="110"/>
          <w:sz w:val="18"/>
        </w:rPr>
        <w:t>General Assembly resolves to amend the Paragraph 1 of the Rules of Procedure to</w:t>
      </w:r>
      <w:r>
        <w:rPr>
          <w:color w:val="231F20"/>
          <w:spacing w:val="2"/>
          <w:w w:val="110"/>
          <w:sz w:val="18"/>
        </w:rPr>
        <w:t> </w:t>
      </w:r>
      <w:r>
        <w:rPr>
          <w:color w:val="231F20"/>
          <w:w w:val="110"/>
          <w:sz w:val="18"/>
        </w:rPr>
        <w:t>read:</w:t>
      </w:r>
    </w:p>
    <w:p>
      <w:pPr>
        <w:pStyle w:val="BodyText"/>
        <w:spacing w:before="8"/>
        <w:rPr>
          <w:sz w:val="20"/>
        </w:rPr>
      </w:pPr>
    </w:p>
    <w:p>
      <w:pPr>
        <w:numPr>
          <w:ilvl w:val="2"/>
          <w:numId w:val="53"/>
        </w:numPr>
        <w:tabs>
          <w:tab w:pos="2595" w:val="left" w:leader="none"/>
          <w:tab w:pos="2596" w:val="left" w:leader="none"/>
        </w:tabs>
        <w:spacing w:before="0"/>
        <w:ind w:left="2595" w:right="0" w:hanging="760"/>
        <w:jc w:val="left"/>
        <w:rPr>
          <w:b/>
          <w:color w:val="231F20"/>
          <w:sz w:val="18"/>
        </w:rPr>
      </w:pPr>
      <w:r>
        <w:rPr>
          <w:b/>
          <w:color w:val="231F20"/>
          <w:w w:val="110"/>
          <w:sz w:val="18"/>
        </w:rPr>
        <w:t>General </w:t>
      </w:r>
      <w:r>
        <w:rPr>
          <w:b/>
          <w:color w:val="231F20"/>
          <w:spacing w:val="2"/>
          <w:w w:val="110"/>
          <w:sz w:val="18"/>
        </w:rPr>
        <w:t>Assembly</w:t>
      </w:r>
    </w:p>
    <w:p>
      <w:pPr>
        <w:pStyle w:val="BodyText"/>
        <w:spacing w:before="2"/>
        <w:rPr>
          <w:b/>
          <w:sz w:val="23"/>
        </w:rPr>
      </w:pPr>
    </w:p>
    <w:p>
      <w:pPr>
        <w:pStyle w:val="ListParagraph"/>
        <w:numPr>
          <w:ilvl w:val="3"/>
          <w:numId w:val="53"/>
        </w:numPr>
        <w:tabs>
          <w:tab w:pos="2595" w:val="left" w:leader="none"/>
          <w:tab w:pos="2596" w:val="left" w:leader="none"/>
        </w:tabs>
        <w:spacing w:line="273" w:lineRule="auto" w:before="0" w:after="0"/>
        <w:ind w:left="2176" w:right="2269" w:hanging="341"/>
        <w:jc w:val="left"/>
        <w:rPr>
          <w:b/>
          <w:sz w:val="18"/>
        </w:rPr>
      </w:pPr>
      <w:r>
        <w:rPr>
          <w:b/>
          <w:color w:val="231F20"/>
          <w:w w:val="110"/>
          <w:sz w:val="18"/>
        </w:rPr>
        <w:t>The </w:t>
      </w:r>
      <w:r>
        <w:rPr>
          <w:b/>
          <w:color w:val="231F20"/>
          <w:spacing w:val="2"/>
          <w:w w:val="110"/>
          <w:sz w:val="18"/>
        </w:rPr>
        <w:t>Assembly </w:t>
      </w:r>
      <w:r>
        <w:rPr>
          <w:b/>
          <w:color w:val="231F20"/>
          <w:w w:val="110"/>
          <w:sz w:val="18"/>
        </w:rPr>
        <w:t>shall meet at least once in every other   </w:t>
      </w:r>
      <w:r>
        <w:rPr>
          <w:b/>
          <w:color w:val="231F20"/>
          <w:spacing w:val="-3"/>
          <w:w w:val="110"/>
          <w:sz w:val="18"/>
        </w:rPr>
        <w:t>year. </w:t>
      </w:r>
      <w:r>
        <w:rPr>
          <w:b/>
          <w:color w:val="231F20"/>
          <w:w w:val="110"/>
          <w:sz w:val="18"/>
        </w:rPr>
        <w:t>The scheduled meeting in that </w:t>
      </w:r>
      <w:r>
        <w:rPr>
          <w:b/>
          <w:color w:val="231F20"/>
          <w:spacing w:val="-3"/>
          <w:w w:val="110"/>
          <w:sz w:val="18"/>
        </w:rPr>
        <w:t>year, </w:t>
      </w:r>
      <w:r>
        <w:rPr>
          <w:b/>
          <w:color w:val="231F20"/>
          <w:w w:val="110"/>
          <w:sz w:val="18"/>
        </w:rPr>
        <w:t>the place and dates of which shall be determined by a </w:t>
      </w:r>
      <w:r>
        <w:rPr>
          <w:b/>
          <w:color w:val="231F20"/>
          <w:spacing w:val="2"/>
          <w:w w:val="110"/>
          <w:sz w:val="18"/>
        </w:rPr>
        <w:t>preceding </w:t>
      </w:r>
      <w:r>
        <w:rPr>
          <w:b/>
          <w:color w:val="231F20"/>
          <w:w w:val="110"/>
          <w:sz w:val="18"/>
        </w:rPr>
        <w:t>Assembly, shall be the Biennial </w:t>
      </w:r>
      <w:r>
        <w:rPr>
          <w:b/>
          <w:color w:val="231F20"/>
          <w:spacing w:val="2"/>
          <w:w w:val="110"/>
          <w:sz w:val="18"/>
        </w:rPr>
        <w:t>Meeting </w:t>
      </w:r>
      <w:r>
        <w:rPr>
          <w:b/>
          <w:color w:val="231F20"/>
          <w:w w:val="110"/>
          <w:sz w:val="18"/>
        </w:rPr>
        <w:t>of the Assembly.   At the completion of the business of the Biennial </w:t>
      </w:r>
      <w:r>
        <w:rPr>
          <w:b/>
          <w:color w:val="231F20"/>
          <w:spacing w:val="2"/>
          <w:w w:val="110"/>
          <w:sz w:val="18"/>
        </w:rPr>
        <w:t>Meeting </w:t>
      </w:r>
      <w:r>
        <w:rPr>
          <w:b/>
          <w:color w:val="231F20"/>
          <w:w w:val="110"/>
          <w:sz w:val="18"/>
        </w:rPr>
        <w:t>of the Assembly, the </w:t>
      </w:r>
      <w:r>
        <w:rPr>
          <w:b/>
          <w:color w:val="231F20"/>
          <w:spacing w:val="2"/>
          <w:w w:val="110"/>
          <w:sz w:val="18"/>
        </w:rPr>
        <w:t>Assembly </w:t>
      </w:r>
      <w:r>
        <w:rPr>
          <w:b/>
          <w:color w:val="231F20"/>
          <w:w w:val="110"/>
          <w:sz w:val="18"/>
        </w:rPr>
        <w:t>is adjourned.  The members of </w:t>
      </w:r>
      <w:r>
        <w:rPr>
          <w:b/>
          <w:color w:val="231F20"/>
          <w:spacing w:val="2"/>
          <w:w w:val="110"/>
          <w:sz w:val="18"/>
        </w:rPr>
        <w:t>Assembly </w:t>
      </w:r>
      <w:r>
        <w:rPr>
          <w:b/>
          <w:color w:val="231F20"/>
          <w:w w:val="110"/>
          <w:sz w:val="18"/>
        </w:rPr>
        <w:t>at any time </w:t>
      </w:r>
      <w:r>
        <w:rPr>
          <w:b/>
          <w:color w:val="231F20"/>
          <w:spacing w:val="2"/>
          <w:w w:val="110"/>
          <w:sz w:val="18"/>
        </w:rPr>
        <w:t>between </w:t>
      </w:r>
      <w:r>
        <w:rPr>
          <w:b/>
          <w:color w:val="231F20"/>
          <w:w w:val="110"/>
          <w:sz w:val="18"/>
        </w:rPr>
        <w:t>Biennial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remain </w:t>
      </w:r>
      <w:r>
        <w:rPr>
          <w:b/>
          <w:color w:val="231F20"/>
          <w:spacing w:val="2"/>
          <w:w w:val="110"/>
          <w:sz w:val="18"/>
        </w:rPr>
        <w:t>those </w:t>
      </w:r>
      <w:r>
        <w:rPr>
          <w:b/>
          <w:color w:val="231F20"/>
          <w:w w:val="110"/>
          <w:sz w:val="18"/>
        </w:rPr>
        <w:t>who were included on the Roll of </w:t>
      </w:r>
      <w:r>
        <w:rPr>
          <w:b/>
          <w:color w:val="231F20"/>
          <w:spacing w:val="2"/>
          <w:w w:val="110"/>
          <w:sz w:val="18"/>
        </w:rPr>
        <w:t>Assembly </w:t>
      </w:r>
      <w:r>
        <w:rPr>
          <w:b/>
          <w:color w:val="231F20"/>
          <w:w w:val="110"/>
          <w:sz w:val="18"/>
        </w:rPr>
        <w:t>at the </w:t>
      </w:r>
      <w:r>
        <w:rPr>
          <w:b/>
          <w:color w:val="231F20"/>
          <w:spacing w:val="2"/>
          <w:w w:val="110"/>
          <w:sz w:val="18"/>
        </w:rPr>
        <w:t>constitution </w:t>
      </w:r>
      <w:r>
        <w:rPr>
          <w:b/>
          <w:color w:val="231F20"/>
          <w:w w:val="110"/>
          <w:sz w:val="18"/>
        </w:rPr>
        <w:t>of the immediately </w:t>
      </w:r>
      <w:r>
        <w:rPr>
          <w:b/>
          <w:color w:val="231F20"/>
          <w:spacing w:val="2"/>
          <w:w w:val="110"/>
          <w:sz w:val="18"/>
        </w:rPr>
        <w:t>preceding </w:t>
      </w:r>
      <w:r>
        <w:rPr>
          <w:b/>
          <w:color w:val="231F20"/>
          <w:w w:val="110"/>
          <w:sz w:val="18"/>
        </w:rPr>
        <w:t>Biennial </w:t>
      </w:r>
      <w:r>
        <w:rPr>
          <w:b/>
          <w:color w:val="231F20"/>
          <w:spacing w:val="2"/>
          <w:w w:val="110"/>
          <w:sz w:val="18"/>
        </w:rPr>
        <w:t>Meeting</w:t>
      </w:r>
      <w:r>
        <w:rPr>
          <w:b/>
          <w:color w:val="231F20"/>
          <w:spacing w:val="71"/>
          <w:w w:val="110"/>
          <w:sz w:val="18"/>
        </w:rPr>
        <w:t> </w:t>
      </w:r>
      <w:r>
        <w:rPr>
          <w:b/>
          <w:color w:val="231F20"/>
          <w:w w:val="110"/>
          <w:sz w:val="18"/>
        </w:rPr>
        <w:t>of the Assembly.   Any meeting of the </w:t>
      </w:r>
      <w:r>
        <w:rPr>
          <w:b/>
          <w:color w:val="231F20"/>
          <w:spacing w:val="2"/>
          <w:w w:val="110"/>
          <w:sz w:val="18"/>
        </w:rPr>
        <w:t>Assembly </w:t>
      </w:r>
      <w:r>
        <w:rPr>
          <w:b/>
          <w:color w:val="231F20"/>
          <w:w w:val="110"/>
          <w:sz w:val="18"/>
        </w:rPr>
        <w:t>other than  the Biennial </w:t>
      </w:r>
      <w:r>
        <w:rPr>
          <w:b/>
          <w:color w:val="231F20"/>
          <w:spacing w:val="2"/>
          <w:w w:val="110"/>
          <w:sz w:val="18"/>
        </w:rPr>
        <w:t>Meeting </w:t>
      </w:r>
      <w:r>
        <w:rPr>
          <w:b/>
          <w:color w:val="231F20"/>
          <w:w w:val="110"/>
          <w:sz w:val="18"/>
        </w:rPr>
        <w:t>shall be a special</w:t>
      </w:r>
      <w:r>
        <w:rPr>
          <w:b/>
          <w:color w:val="231F20"/>
          <w:spacing w:val="18"/>
          <w:w w:val="110"/>
          <w:sz w:val="18"/>
        </w:rPr>
        <w:t> </w:t>
      </w:r>
      <w:r>
        <w:rPr>
          <w:b/>
          <w:color w:val="231F20"/>
          <w:w w:val="110"/>
          <w:sz w:val="18"/>
        </w:rPr>
        <w:t>meeting.</w:t>
      </w:r>
    </w:p>
    <w:p>
      <w:pPr>
        <w:pStyle w:val="BodyText"/>
        <w:spacing w:before="1"/>
        <w:rPr>
          <w:b/>
          <w:sz w:val="21"/>
        </w:rPr>
      </w:pPr>
    </w:p>
    <w:p>
      <w:pPr>
        <w:pStyle w:val="ListParagraph"/>
        <w:numPr>
          <w:ilvl w:val="3"/>
          <w:numId w:val="53"/>
        </w:numPr>
        <w:tabs>
          <w:tab w:pos="2595" w:val="left" w:leader="none"/>
          <w:tab w:pos="2596" w:val="left" w:leader="none"/>
        </w:tabs>
        <w:spacing w:line="273" w:lineRule="auto" w:before="1" w:after="0"/>
        <w:ind w:left="2176" w:right="2715" w:hanging="341"/>
        <w:jc w:val="left"/>
        <w:rPr>
          <w:b/>
          <w:sz w:val="18"/>
        </w:rPr>
      </w:pPr>
      <w:r>
        <w:rPr>
          <w:b/>
          <w:color w:val="231F20"/>
          <w:w w:val="110"/>
          <w:sz w:val="18"/>
        </w:rPr>
        <w:t>A </w:t>
      </w:r>
      <w:r>
        <w:rPr>
          <w:b/>
          <w:color w:val="231F20"/>
          <w:spacing w:val="2"/>
          <w:w w:val="110"/>
          <w:sz w:val="18"/>
        </w:rPr>
        <w:t>special </w:t>
      </w:r>
      <w:r>
        <w:rPr>
          <w:b/>
          <w:color w:val="231F20"/>
          <w:w w:val="110"/>
          <w:sz w:val="18"/>
        </w:rPr>
        <w:t>meeting of the </w:t>
      </w:r>
      <w:r>
        <w:rPr>
          <w:b/>
          <w:color w:val="231F20"/>
          <w:spacing w:val="2"/>
          <w:w w:val="110"/>
          <w:sz w:val="18"/>
        </w:rPr>
        <w:t>Assembly </w:t>
      </w:r>
      <w:r>
        <w:rPr>
          <w:b/>
          <w:color w:val="231F20"/>
          <w:w w:val="110"/>
          <w:sz w:val="18"/>
        </w:rPr>
        <w:t>may be convened by the Mission Council or by the Moderator of the General Assembly.</w:t>
      </w:r>
    </w:p>
    <w:p>
      <w:pPr>
        <w:pStyle w:val="BodyText"/>
        <w:spacing w:before="8"/>
        <w:rPr>
          <w:b/>
          <w:sz w:val="20"/>
        </w:rPr>
      </w:pPr>
    </w:p>
    <w:p>
      <w:pPr>
        <w:pStyle w:val="ListParagraph"/>
        <w:numPr>
          <w:ilvl w:val="3"/>
          <w:numId w:val="53"/>
        </w:numPr>
        <w:tabs>
          <w:tab w:pos="2595" w:val="left" w:leader="none"/>
          <w:tab w:pos="2596" w:val="left" w:leader="none"/>
        </w:tabs>
        <w:spacing w:line="273" w:lineRule="auto" w:before="0" w:after="0"/>
        <w:ind w:left="2176" w:right="2382" w:hanging="341"/>
        <w:jc w:val="left"/>
        <w:rPr>
          <w:b/>
          <w:sz w:val="18"/>
        </w:rPr>
      </w:pPr>
      <w:r>
        <w:rPr>
          <w:b/>
          <w:color w:val="231F20"/>
          <w:w w:val="110"/>
          <w:sz w:val="18"/>
        </w:rPr>
        <w:t>All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shall be convened and held as provided by </w:t>
      </w:r>
      <w:r>
        <w:rPr>
          <w:b/>
          <w:color w:val="231F20"/>
          <w:spacing w:val="2"/>
          <w:w w:val="110"/>
          <w:sz w:val="18"/>
        </w:rPr>
        <w:t>these </w:t>
      </w:r>
      <w:r>
        <w:rPr>
          <w:b/>
          <w:color w:val="231F20"/>
          <w:w w:val="110"/>
          <w:sz w:val="18"/>
        </w:rPr>
        <w:t>rules. The Standing </w:t>
      </w:r>
      <w:r>
        <w:rPr>
          <w:b/>
          <w:color w:val="231F20"/>
          <w:spacing w:val="2"/>
          <w:w w:val="110"/>
          <w:sz w:val="18"/>
        </w:rPr>
        <w:t>Orders </w:t>
      </w:r>
      <w:r>
        <w:rPr>
          <w:b/>
          <w:color w:val="231F20"/>
          <w:w w:val="110"/>
          <w:sz w:val="18"/>
        </w:rPr>
        <w:t>which are printed in the Book of </w:t>
      </w:r>
      <w:r>
        <w:rPr>
          <w:b/>
          <w:color w:val="231F20"/>
          <w:spacing w:val="2"/>
          <w:w w:val="110"/>
          <w:sz w:val="18"/>
        </w:rPr>
        <w:t>Reports </w:t>
      </w:r>
      <w:r>
        <w:rPr>
          <w:b/>
          <w:color w:val="231F20"/>
          <w:w w:val="110"/>
          <w:sz w:val="18"/>
        </w:rPr>
        <w:t>to General </w:t>
      </w:r>
      <w:r>
        <w:rPr>
          <w:b/>
          <w:color w:val="231F20"/>
          <w:spacing w:val="2"/>
          <w:w w:val="110"/>
          <w:sz w:val="18"/>
        </w:rPr>
        <w:t>Assembly </w:t>
      </w:r>
      <w:r>
        <w:rPr>
          <w:b/>
          <w:color w:val="231F20"/>
          <w:w w:val="110"/>
          <w:sz w:val="18"/>
        </w:rPr>
        <w:t>shall apply to all </w:t>
      </w:r>
      <w:r>
        <w:rPr>
          <w:b/>
          <w:color w:val="231F20"/>
          <w:spacing w:val="2"/>
          <w:w w:val="110"/>
          <w:sz w:val="18"/>
        </w:rPr>
        <w:t>meetings </w:t>
      </w:r>
      <w:r>
        <w:rPr>
          <w:b/>
          <w:color w:val="231F20"/>
          <w:w w:val="110"/>
          <w:sz w:val="18"/>
        </w:rPr>
        <w:t>of the </w:t>
      </w:r>
      <w:r>
        <w:rPr>
          <w:b/>
          <w:color w:val="231F20"/>
          <w:spacing w:val="2"/>
          <w:w w:val="110"/>
          <w:sz w:val="18"/>
        </w:rPr>
        <w:t>Assembly </w:t>
      </w:r>
      <w:r>
        <w:rPr>
          <w:b/>
          <w:color w:val="231F20"/>
          <w:w w:val="110"/>
          <w:sz w:val="18"/>
        </w:rPr>
        <w:t>and, in so far as they are applicable, to </w:t>
      </w:r>
      <w:r>
        <w:rPr>
          <w:b/>
          <w:color w:val="231F20"/>
          <w:spacing w:val="2"/>
          <w:w w:val="110"/>
          <w:sz w:val="18"/>
        </w:rPr>
        <w:t>meetings </w:t>
      </w:r>
      <w:r>
        <w:rPr>
          <w:b/>
          <w:color w:val="231F20"/>
          <w:w w:val="110"/>
          <w:sz w:val="18"/>
        </w:rPr>
        <w:t>of synods, district councils and their </w:t>
      </w:r>
      <w:r>
        <w:rPr>
          <w:b/>
          <w:color w:val="231F20"/>
          <w:spacing w:val="2"/>
          <w:w w:val="110"/>
          <w:sz w:val="18"/>
        </w:rPr>
        <w:t>committees.</w:t>
      </w:r>
    </w:p>
    <w:p>
      <w:pPr>
        <w:pStyle w:val="BodyText"/>
        <w:spacing w:before="11"/>
        <w:rPr>
          <w:b/>
          <w:sz w:val="20"/>
        </w:rPr>
      </w:pPr>
    </w:p>
    <w:p>
      <w:pPr>
        <w:pStyle w:val="ListParagraph"/>
        <w:numPr>
          <w:ilvl w:val="3"/>
          <w:numId w:val="53"/>
        </w:numPr>
        <w:tabs>
          <w:tab w:pos="2595" w:val="left" w:leader="none"/>
          <w:tab w:pos="2596" w:val="left" w:leader="none"/>
        </w:tabs>
        <w:spacing w:line="273" w:lineRule="auto" w:before="0" w:after="0"/>
        <w:ind w:left="2176" w:right="2753" w:hanging="341"/>
        <w:jc w:val="left"/>
        <w:rPr>
          <w:b/>
          <w:sz w:val="18"/>
        </w:rPr>
      </w:pPr>
      <w:r>
        <w:rPr>
          <w:b/>
          <w:color w:val="231F20"/>
          <w:w w:val="110"/>
          <w:sz w:val="18"/>
        </w:rPr>
        <w:t>The Roll of </w:t>
      </w:r>
      <w:r>
        <w:rPr>
          <w:b/>
          <w:color w:val="231F20"/>
          <w:spacing w:val="2"/>
          <w:w w:val="110"/>
          <w:sz w:val="18"/>
        </w:rPr>
        <w:t>Assembly </w:t>
      </w:r>
      <w:r>
        <w:rPr>
          <w:b/>
          <w:color w:val="231F20"/>
          <w:w w:val="110"/>
          <w:sz w:val="18"/>
        </w:rPr>
        <w:t>shall be made up by the General Secretary. Synods shall send to the General Secretary,  the names and </w:t>
      </w:r>
      <w:r>
        <w:rPr>
          <w:b/>
          <w:color w:val="231F20"/>
          <w:spacing w:val="2"/>
          <w:w w:val="110"/>
          <w:sz w:val="18"/>
        </w:rPr>
        <w:t>addresses </w:t>
      </w:r>
      <w:r>
        <w:rPr>
          <w:b/>
          <w:color w:val="231F20"/>
          <w:w w:val="110"/>
          <w:sz w:val="18"/>
        </w:rPr>
        <w:t>of their </w:t>
      </w:r>
      <w:r>
        <w:rPr>
          <w:b/>
          <w:color w:val="231F20"/>
          <w:spacing w:val="2"/>
          <w:w w:val="110"/>
          <w:sz w:val="18"/>
        </w:rPr>
        <w:t>representatives </w:t>
      </w:r>
      <w:r>
        <w:rPr>
          <w:b/>
          <w:color w:val="231F20"/>
          <w:w w:val="110"/>
          <w:sz w:val="18"/>
        </w:rPr>
        <w:t>to</w:t>
      </w:r>
      <w:r>
        <w:rPr>
          <w:b/>
          <w:color w:val="231F20"/>
          <w:spacing w:val="10"/>
          <w:w w:val="110"/>
          <w:sz w:val="18"/>
        </w:rPr>
        <w:t> </w:t>
      </w:r>
      <w:r>
        <w:rPr>
          <w:b/>
          <w:color w:val="231F20"/>
          <w:w w:val="110"/>
          <w:sz w:val="18"/>
        </w:rPr>
        <w:t>the</w:t>
      </w:r>
    </w:p>
    <w:p>
      <w:pPr>
        <w:spacing w:line="273" w:lineRule="auto" w:before="2"/>
        <w:ind w:left="2176" w:right="2348" w:firstLine="0"/>
        <w:jc w:val="left"/>
        <w:rPr>
          <w:b/>
          <w:sz w:val="18"/>
        </w:rPr>
      </w:pPr>
      <w:r>
        <w:rPr>
          <w:b/>
          <w:color w:val="231F20"/>
          <w:w w:val="110"/>
          <w:sz w:val="18"/>
        </w:rPr>
        <w:t>forthcoming Assembly so as to reach the General Secretary not later than fourteen weeks before the meeting of the Assembly. Any necessary amendments to the list shall be notified to the General Secretary not later than two weeks before the meeting of the Assembly, at which time the roll shall be held to be complete.</w:t>
      </w:r>
    </w:p>
    <w:p>
      <w:pPr>
        <w:pStyle w:val="BodyText"/>
        <w:spacing w:before="10"/>
        <w:rPr>
          <w:b/>
          <w:sz w:val="20"/>
        </w:rPr>
      </w:pPr>
    </w:p>
    <w:p>
      <w:pPr>
        <w:pStyle w:val="ListParagraph"/>
        <w:numPr>
          <w:ilvl w:val="3"/>
          <w:numId w:val="53"/>
        </w:numPr>
        <w:tabs>
          <w:tab w:pos="2595" w:val="left" w:leader="none"/>
          <w:tab w:pos="2596" w:val="left" w:leader="none"/>
        </w:tabs>
        <w:spacing w:line="273" w:lineRule="auto" w:before="0" w:after="0"/>
        <w:ind w:left="2176" w:right="2573" w:hanging="341"/>
        <w:jc w:val="left"/>
        <w:rPr>
          <w:b/>
          <w:sz w:val="18"/>
        </w:rPr>
      </w:pPr>
      <w:r>
        <w:rPr>
          <w:b/>
          <w:color w:val="231F20"/>
          <w:w w:val="110"/>
          <w:sz w:val="18"/>
        </w:rPr>
        <w:t>When a synod cannot fill all </w:t>
      </w:r>
      <w:r>
        <w:rPr>
          <w:b/>
          <w:color w:val="231F20"/>
          <w:spacing w:val="2"/>
          <w:w w:val="110"/>
          <w:sz w:val="18"/>
        </w:rPr>
        <w:t>its </w:t>
      </w:r>
      <w:r>
        <w:rPr>
          <w:b/>
          <w:color w:val="231F20"/>
          <w:w w:val="110"/>
          <w:sz w:val="18"/>
        </w:rPr>
        <w:t>allotted places at Assembly, </w:t>
      </w:r>
      <w:r>
        <w:rPr>
          <w:b/>
          <w:color w:val="231F20"/>
          <w:spacing w:val="2"/>
          <w:w w:val="110"/>
          <w:sz w:val="18"/>
        </w:rPr>
        <w:t>its </w:t>
      </w:r>
      <w:r>
        <w:rPr>
          <w:b/>
          <w:color w:val="231F20"/>
          <w:w w:val="110"/>
          <w:sz w:val="18"/>
        </w:rPr>
        <w:t>vacant </w:t>
      </w:r>
      <w:r>
        <w:rPr>
          <w:b/>
          <w:color w:val="231F20"/>
          <w:spacing w:val="2"/>
          <w:w w:val="110"/>
          <w:sz w:val="18"/>
        </w:rPr>
        <w:t>seats </w:t>
      </w:r>
      <w:r>
        <w:rPr>
          <w:b/>
          <w:color w:val="231F20"/>
          <w:w w:val="110"/>
          <w:sz w:val="18"/>
        </w:rPr>
        <w:t>may be filled from other synods bearing in mind the </w:t>
      </w:r>
      <w:r>
        <w:rPr>
          <w:b/>
          <w:color w:val="231F20"/>
          <w:spacing w:val="2"/>
          <w:w w:val="110"/>
          <w:sz w:val="18"/>
        </w:rPr>
        <w:t>need </w:t>
      </w:r>
      <w:r>
        <w:rPr>
          <w:b/>
          <w:color w:val="231F20"/>
          <w:w w:val="110"/>
          <w:sz w:val="18"/>
        </w:rPr>
        <w:t>to balance lay and ministerial </w:t>
      </w:r>
      <w:r>
        <w:rPr>
          <w:b/>
          <w:color w:val="231F20"/>
          <w:spacing w:val="2"/>
          <w:w w:val="110"/>
          <w:sz w:val="18"/>
        </w:rPr>
        <w:t>representation.</w:t>
      </w:r>
    </w:p>
    <w:p>
      <w:pPr>
        <w:pStyle w:val="BodyText"/>
        <w:spacing w:before="4"/>
        <w:rPr>
          <w:b/>
          <w:sz w:val="25"/>
        </w:rPr>
      </w:pPr>
    </w:p>
    <w:p>
      <w:pPr>
        <w:spacing w:before="56"/>
        <w:ind w:left="0" w:right="1160" w:firstLine="0"/>
        <w:jc w:val="right"/>
        <w:rPr>
          <w:rFonts w:ascii="Eurostile Bold"/>
          <w:b/>
          <w:sz w:val="24"/>
        </w:rPr>
      </w:pPr>
      <w:r>
        <w:rPr>
          <w:rFonts w:ascii="Eurostile Bold"/>
          <w:b/>
          <w:color w:val="231F20"/>
          <w:w w:val="85"/>
          <w:sz w:val="24"/>
        </w:rPr>
        <w:t>95</w:t>
      </w:r>
    </w:p>
    <w:p>
      <w:pPr>
        <w:spacing w:after="0"/>
        <w:jc w:val="right"/>
        <w:rPr>
          <w:rFonts w:ascii="Eurostile Bold"/>
          <w:sz w:val="24"/>
        </w:rPr>
        <w:sectPr>
          <w:headerReference w:type="default" r:id="rId108"/>
          <w:footerReference w:type="default" r:id="rId109"/>
          <w:pgSz w:w="11910" w:h="16840"/>
          <w:pgMar w:header="0" w:footer="0" w:top="1000" w:bottom="0" w:left="460" w:right="0"/>
        </w:sectPr>
      </w:pPr>
    </w:p>
    <w:p>
      <w:pPr>
        <w:pStyle w:val="BodyText"/>
        <w:spacing w:before="11"/>
        <w:rPr>
          <w:rFonts w:ascii="Eurostile Bold"/>
          <w:b/>
          <w:sz w:val="23"/>
        </w:rPr>
      </w:pPr>
      <w:r>
        <w:rPr/>
        <w:pict>
          <v:group style="position:absolute;margin-left:21.732pt;margin-top:46.299015pt;width:535.75pt;height:752.15pt;mso-position-horizontal-relative:page;mso-position-vertical-relative:page;z-index:-275507200" coordorigin="435,926" coordsize="10715,15043">
            <v:shape style="position:absolute;left:918;top:1031;width:8960;height:14775" coordorigin="918,1032" coordsize="8960,14775" path="m918,15566l922,15705,948,15776,1019,15802,1158,15806,9637,15806,9776,15802,9847,15776,9874,15705,9877,15566,9877,1272,9874,1133,9847,1062,9776,1035,9637,1032,1158,1032,1019,1035,948,1062,922,1133,918,1272,918,15566xe" filled="false" stroked="true" strokeweight="3.0pt" strokecolor="#000000">
              <v:path arrowok="t"/>
              <v:stroke dashstyle="solid"/>
            </v:shape>
            <v:shape style="position:absolute;left:434;top:925;width:10715;height:15043" coordorigin="435,926" coordsize="10715,15043" path="m10828,15439l435,15439,435,15969,10828,15969,10828,15439m11150,926l756,926,756,1266,11150,1266,11150,926e" filled="true" fillcolor="#ffffff" stroked="false">
              <v:path arrowok="t"/>
              <v:fill type="solid"/>
            </v:shape>
            <w10:wrap type="none"/>
          </v:group>
        </w:pict>
      </w:r>
    </w:p>
    <w:p>
      <w:pPr>
        <w:pStyle w:val="ListParagraph"/>
        <w:numPr>
          <w:ilvl w:val="2"/>
          <w:numId w:val="53"/>
        </w:numPr>
        <w:tabs>
          <w:tab w:pos="1393" w:val="left" w:leader="none"/>
          <w:tab w:pos="1394" w:val="left" w:leader="none"/>
        </w:tabs>
        <w:spacing w:line="273" w:lineRule="auto" w:before="100" w:after="0"/>
        <w:ind w:left="673" w:right="2317" w:firstLine="0"/>
        <w:jc w:val="left"/>
        <w:rPr>
          <w:color w:val="231F20"/>
          <w:sz w:val="18"/>
        </w:rPr>
      </w:pPr>
      <w:r>
        <w:rPr>
          <w:color w:val="231F20"/>
          <w:w w:val="110"/>
          <w:sz w:val="18"/>
        </w:rPr>
        <w:t>General Assembly resolves to amend Paragraph 3 of the Rules of Procedure to read:</w:t>
      </w:r>
    </w:p>
    <w:p>
      <w:pPr>
        <w:pStyle w:val="BodyText"/>
        <w:spacing w:before="8"/>
        <w:rPr>
          <w:sz w:val="20"/>
        </w:rPr>
      </w:pPr>
    </w:p>
    <w:p>
      <w:pPr>
        <w:numPr>
          <w:ilvl w:val="2"/>
          <w:numId w:val="53"/>
        </w:numPr>
        <w:tabs>
          <w:tab w:pos="1695" w:val="left" w:leader="none"/>
        </w:tabs>
        <w:spacing w:before="0"/>
        <w:ind w:left="1694" w:right="0" w:hanging="341"/>
        <w:jc w:val="left"/>
        <w:rPr>
          <w:b/>
          <w:color w:val="231F20"/>
          <w:sz w:val="18"/>
        </w:rPr>
      </w:pPr>
      <w:r>
        <w:rPr>
          <w:b/>
          <w:color w:val="231F20"/>
          <w:w w:val="110"/>
          <w:sz w:val="18"/>
        </w:rPr>
        <w:t>MODERATOR</w:t>
      </w:r>
    </w:p>
    <w:p>
      <w:pPr>
        <w:pStyle w:val="BodyText"/>
        <w:spacing w:before="2"/>
        <w:rPr>
          <w:b/>
          <w:sz w:val="23"/>
        </w:rPr>
      </w:pPr>
    </w:p>
    <w:p>
      <w:pPr>
        <w:pStyle w:val="ListParagraph"/>
        <w:numPr>
          <w:ilvl w:val="3"/>
          <w:numId w:val="53"/>
        </w:numPr>
        <w:tabs>
          <w:tab w:pos="2113" w:val="left" w:leader="none"/>
          <w:tab w:pos="2114" w:val="left" w:leader="none"/>
        </w:tabs>
        <w:spacing w:line="273" w:lineRule="auto" w:before="0" w:after="0"/>
        <w:ind w:left="1694" w:right="1705" w:hanging="341"/>
        <w:jc w:val="left"/>
        <w:rPr>
          <w:b/>
          <w:sz w:val="18"/>
        </w:rPr>
      </w:pPr>
      <w:r>
        <w:rPr>
          <w:b/>
          <w:color w:val="231F20"/>
          <w:w w:val="110"/>
          <w:sz w:val="18"/>
        </w:rPr>
        <w:t>The Moderators of the General </w:t>
      </w:r>
      <w:r>
        <w:rPr>
          <w:b/>
          <w:color w:val="231F20"/>
          <w:spacing w:val="2"/>
          <w:w w:val="110"/>
          <w:sz w:val="18"/>
        </w:rPr>
        <w:t>Assembly </w:t>
      </w:r>
      <w:r>
        <w:rPr>
          <w:b/>
          <w:color w:val="231F20"/>
          <w:w w:val="110"/>
          <w:sz w:val="18"/>
        </w:rPr>
        <w:t>shall be </w:t>
      </w:r>
      <w:r>
        <w:rPr>
          <w:b/>
          <w:color w:val="231F20"/>
          <w:spacing w:val="2"/>
          <w:w w:val="110"/>
          <w:sz w:val="18"/>
        </w:rPr>
        <w:t>elected </w:t>
      </w:r>
      <w:r>
        <w:rPr>
          <w:b/>
          <w:color w:val="231F20"/>
          <w:w w:val="110"/>
          <w:sz w:val="18"/>
        </w:rPr>
        <w:t>by ballot in accordance with </w:t>
      </w:r>
      <w:r>
        <w:rPr>
          <w:b/>
          <w:color w:val="231F20"/>
          <w:spacing w:val="2"/>
          <w:w w:val="110"/>
          <w:sz w:val="18"/>
        </w:rPr>
        <w:t>these </w:t>
      </w:r>
      <w:r>
        <w:rPr>
          <w:b/>
          <w:color w:val="231F20"/>
          <w:w w:val="110"/>
          <w:sz w:val="18"/>
        </w:rPr>
        <w:t>Rules. The Moderators shall </w:t>
      </w:r>
      <w:r>
        <w:rPr>
          <w:b/>
          <w:color w:val="231F20"/>
          <w:spacing w:val="2"/>
          <w:w w:val="110"/>
          <w:sz w:val="18"/>
        </w:rPr>
        <w:t>serve </w:t>
      </w:r>
      <w:r>
        <w:rPr>
          <w:b/>
          <w:color w:val="231F20"/>
          <w:w w:val="110"/>
          <w:sz w:val="18"/>
        </w:rPr>
        <w:t>jointly for two years commencing at the biennial </w:t>
      </w:r>
      <w:r>
        <w:rPr>
          <w:b/>
          <w:color w:val="231F20"/>
          <w:spacing w:val="2"/>
          <w:w w:val="110"/>
          <w:sz w:val="18"/>
        </w:rPr>
        <w:t>Assembly </w:t>
      </w:r>
      <w:r>
        <w:rPr>
          <w:b/>
          <w:color w:val="231F20"/>
          <w:w w:val="110"/>
          <w:sz w:val="18"/>
        </w:rPr>
        <w:t>following the </w:t>
      </w:r>
      <w:r>
        <w:rPr>
          <w:b/>
          <w:color w:val="231F20"/>
          <w:spacing w:val="2"/>
          <w:w w:val="110"/>
          <w:sz w:val="18"/>
        </w:rPr>
        <w:t>Meeting </w:t>
      </w:r>
      <w:r>
        <w:rPr>
          <w:b/>
          <w:color w:val="231F20"/>
          <w:w w:val="110"/>
          <w:sz w:val="18"/>
        </w:rPr>
        <w:t>at</w:t>
      </w:r>
      <w:r>
        <w:rPr>
          <w:b/>
          <w:color w:val="231F20"/>
          <w:spacing w:val="9"/>
          <w:w w:val="110"/>
          <w:sz w:val="18"/>
        </w:rPr>
        <w:t> </w:t>
      </w:r>
      <w:r>
        <w:rPr>
          <w:b/>
          <w:color w:val="231F20"/>
          <w:w w:val="110"/>
          <w:sz w:val="18"/>
        </w:rPr>
        <w:t>which</w:t>
      </w:r>
      <w:r>
        <w:rPr>
          <w:b/>
          <w:color w:val="231F20"/>
          <w:spacing w:val="9"/>
          <w:w w:val="110"/>
          <w:sz w:val="18"/>
        </w:rPr>
        <w:t> </w:t>
      </w:r>
      <w:r>
        <w:rPr>
          <w:b/>
          <w:color w:val="231F20"/>
          <w:w w:val="110"/>
          <w:sz w:val="18"/>
        </w:rPr>
        <w:t>the</w:t>
      </w:r>
      <w:r>
        <w:rPr>
          <w:b/>
          <w:color w:val="231F20"/>
          <w:spacing w:val="9"/>
          <w:w w:val="110"/>
          <w:sz w:val="18"/>
        </w:rPr>
        <w:t> </w:t>
      </w:r>
      <w:r>
        <w:rPr>
          <w:b/>
          <w:color w:val="231F20"/>
          <w:spacing w:val="2"/>
          <w:w w:val="110"/>
          <w:sz w:val="18"/>
        </w:rPr>
        <w:t>report</w:t>
      </w:r>
      <w:r>
        <w:rPr>
          <w:b/>
          <w:color w:val="231F20"/>
          <w:spacing w:val="9"/>
          <w:w w:val="110"/>
          <w:sz w:val="18"/>
        </w:rPr>
        <w:t> </w:t>
      </w:r>
      <w:r>
        <w:rPr>
          <w:b/>
          <w:color w:val="231F20"/>
          <w:w w:val="110"/>
          <w:sz w:val="18"/>
        </w:rPr>
        <w:t>of</w:t>
      </w:r>
      <w:r>
        <w:rPr>
          <w:b/>
          <w:color w:val="231F20"/>
          <w:spacing w:val="9"/>
          <w:w w:val="110"/>
          <w:sz w:val="18"/>
        </w:rPr>
        <w:t> </w:t>
      </w:r>
      <w:r>
        <w:rPr>
          <w:b/>
          <w:color w:val="231F20"/>
          <w:w w:val="110"/>
          <w:sz w:val="18"/>
        </w:rPr>
        <w:t>the</w:t>
      </w:r>
      <w:r>
        <w:rPr>
          <w:b/>
          <w:color w:val="231F20"/>
          <w:spacing w:val="10"/>
          <w:w w:val="110"/>
          <w:sz w:val="18"/>
        </w:rPr>
        <w:t> </w:t>
      </w:r>
      <w:r>
        <w:rPr>
          <w:b/>
          <w:color w:val="231F20"/>
          <w:spacing w:val="2"/>
          <w:w w:val="110"/>
          <w:sz w:val="18"/>
        </w:rPr>
        <w:t>election</w:t>
      </w:r>
      <w:r>
        <w:rPr>
          <w:b/>
          <w:color w:val="231F20"/>
          <w:spacing w:val="9"/>
          <w:w w:val="110"/>
          <w:sz w:val="18"/>
        </w:rPr>
        <w:t> </w:t>
      </w:r>
      <w:r>
        <w:rPr>
          <w:b/>
          <w:color w:val="231F20"/>
          <w:w w:val="110"/>
          <w:sz w:val="18"/>
        </w:rPr>
        <w:t>is</w:t>
      </w:r>
      <w:r>
        <w:rPr>
          <w:b/>
          <w:color w:val="231F20"/>
          <w:spacing w:val="9"/>
          <w:w w:val="110"/>
          <w:sz w:val="18"/>
        </w:rPr>
        <w:t> </w:t>
      </w:r>
      <w:r>
        <w:rPr>
          <w:b/>
          <w:color w:val="231F20"/>
          <w:spacing w:val="2"/>
          <w:w w:val="110"/>
          <w:sz w:val="18"/>
        </w:rPr>
        <w:t>received</w:t>
      </w:r>
      <w:r>
        <w:rPr>
          <w:b/>
          <w:color w:val="231F20"/>
          <w:spacing w:val="9"/>
          <w:w w:val="110"/>
          <w:sz w:val="18"/>
        </w:rPr>
        <w:t> </w:t>
      </w:r>
      <w:r>
        <w:rPr>
          <w:b/>
          <w:color w:val="231F20"/>
          <w:w w:val="110"/>
          <w:sz w:val="18"/>
        </w:rPr>
        <w:t>in</w:t>
      </w:r>
      <w:r>
        <w:rPr>
          <w:b/>
          <w:color w:val="231F20"/>
          <w:spacing w:val="9"/>
          <w:w w:val="110"/>
          <w:sz w:val="18"/>
        </w:rPr>
        <w:t> </w:t>
      </w:r>
      <w:r>
        <w:rPr>
          <w:b/>
          <w:color w:val="231F20"/>
          <w:w w:val="110"/>
          <w:sz w:val="18"/>
        </w:rPr>
        <w:t>accordance</w:t>
      </w:r>
      <w:r>
        <w:rPr>
          <w:b/>
          <w:color w:val="231F20"/>
          <w:spacing w:val="9"/>
          <w:w w:val="110"/>
          <w:sz w:val="18"/>
        </w:rPr>
        <w:t> </w:t>
      </w:r>
      <w:r>
        <w:rPr>
          <w:b/>
          <w:color w:val="231F20"/>
          <w:w w:val="110"/>
          <w:sz w:val="18"/>
        </w:rPr>
        <w:t>with</w:t>
      </w:r>
      <w:r>
        <w:rPr>
          <w:b/>
          <w:color w:val="231F20"/>
          <w:spacing w:val="10"/>
          <w:w w:val="110"/>
          <w:sz w:val="18"/>
        </w:rPr>
        <w:t> </w:t>
      </w:r>
      <w:r>
        <w:rPr>
          <w:b/>
          <w:color w:val="231F20"/>
          <w:w w:val="110"/>
          <w:sz w:val="18"/>
        </w:rPr>
        <w:t>Rule</w:t>
      </w:r>
    </w:p>
    <w:p>
      <w:pPr>
        <w:spacing w:line="273" w:lineRule="auto" w:before="3"/>
        <w:ind w:left="1694" w:right="1593" w:firstLine="0"/>
        <w:jc w:val="left"/>
        <w:rPr>
          <w:b/>
          <w:sz w:val="18"/>
        </w:rPr>
      </w:pPr>
      <w:r>
        <w:rPr>
          <w:b/>
          <w:color w:val="231F20"/>
          <w:w w:val="110"/>
          <w:sz w:val="18"/>
        </w:rPr>
        <w:t>3.10. The period of office for both shall be deemed to begin with the induction of the Moderators and shall continue until the Moderators’s successors are inducted into office.</w:t>
      </w:r>
    </w:p>
    <w:p>
      <w:pPr>
        <w:pStyle w:val="BodyText"/>
        <w:spacing w:before="8"/>
        <w:rPr>
          <w:b/>
          <w:sz w:val="20"/>
        </w:rPr>
      </w:pPr>
    </w:p>
    <w:p>
      <w:pPr>
        <w:pStyle w:val="ListParagraph"/>
        <w:numPr>
          <w:ilvl w:val="1"/>
          <w:numId w:val="54"/>
        </w:numPr>
        <w:tabs>
          <w:tab w:pos="2113" w:val="left" w:leader="none"/>
          <w:tab w:pos="2114" w:val="left" w:leader="none"/>
        </w:tabs>
        <w:spacing w:line="273" w:lineRule="auto" w:before="0" w:after="0"/>
        <w:ind w:left="1694" w:right="2091" w:hanging="341"/>
        <w:jc w:val="left"/>
        <w:rPr>
          <w:b/>
          <w:sz w:val="18"/>
        </w:rPr>
      </w:pPr>
      <w:r>
        <w:rPr>
          <w:b/>
          <w:color w:val="231F20"/>
          <w:w w:val="110"/>
          <w:sz w:val="18"/>
        </w:rPr>
        <w:t>The Moderators of the General </w:t>
      </w:r>
      <w:r>
        <w:rPr>
          <w:b/>
          <w:color w:val="231F20"/>
          <w:spacing w:val="2"/>
          <w:w w:val="110"/>
          <w:sz w:val="18"/>
        </w:rPr>
        <w:t>Assembly </w:t>
      </w:r>
      <w:r>
        <w:rPr>
          <w:b/>
          <w:color w:val="231F20"/>
          <w:w w:val="110"/>
          <w:sz w:val="18"/>
        </w:rPr>
        <w:t>shall normally be a minister of word and sacraments or a </w:t>
      </w:r>
      <w:r>
        <w:rPr>
          <w:b/>
          <w:color w:val="231F20"/>
          <w:spacing w:val="2"/>
          <w:w w:val="110"/>
          <w:sz w:val="18"/>
        </w:rPr>
        <w:t>church related </w:t>
      </w:r>
      <w:r>
        <w:rPr>
          <w:b/>
          <w:color w:val="231F20"/>
          <w:w w:val="110"/>
          <w:sz w:val="18"/>
        </w:rPr>
        <w:t>community worker and an Elder of the United Reformed Church but any </w:t>
      </w:r>
      <w:r>
        <w:rPr>
          <w:b/>
          <w:color w:val="231F20"/>
          <w:spacing w:val="2"/>
          <w:w w:val="110"/>
          <w:sz w:val="18"/>
        </w:rPr>
        <w:t>person </w:t>
      </w:r>
      <w:r>
        <w:rPr>
          <w:b/>
          <w:color w:val="231F20"/>
          <w:w w:val="110"/>
          <w:sz w:val="18"/>
        </w:rPr>
        <w:t>who has </w:t>
      </w:r>
      <w:r>
        <w:rPr>
          <w:b/>
          <w:color w:val="231F20"/>
          <w:spacing w:val="2"/>
          <w:w w:val="110"/>
          <w:sz w:val="18"/>
        </w:rPr>
        <w:t>been </w:t>
      </w:r>
      <w:r>
        <w:rPr>
          <w:b/>
          <w:color w:val="231F20"/>
          <w:w w:val="110"/>
          <w:sz w:val="18"/>
        </w:rPr>
        <w:t>admitted to the full privileges and</w:t>
      </w:r>
      <w:r>
        <w:rPr>
          <w:b/>
          <w:color w:val="231F20"/>
          <w:spacing w:val="67"/>
          <w:w w:val="110"/>
          <w:sz w:val="18"/>
        </w:rPr>
        <w:t> </w:t>
      </w:r>
      <w:r>
        <w:rPr>
          <w:b/>
          <w:color w:val="231F20"/>
          <w:spacing w:val="2"/>
          <w:w w:val="110"/>
          <w:sz w:val="18"/>
        </w:rPr>
        <w:t>responsibilities</w:t>
      </w:r>
    </w:p>
    <w:p>
      <w:pPr>
        <w:spacing w:line="273" w:lineRule="auto" w:before="3"/>
        <w:ind w:left="1694" w:right="1593" w:firstLine="0"/>
        <w:jc w:val="left"/>
        <w:rPr>
          <w:b/>
          <w:sz w:val="18"/>
        </w:rPr>
      </w:pPr>
      <w:r>
        <w:rPr>
          <w:b/>
          <w:color w:val="231F20"/>
          <w:w w:val="110"/>
          <w:sz w:val="18"/>
        </w:rPr>
        <w:t>of membership of the Church and whose name is included on the membership roll of a local </w:t>
      </w:r>
      <w:r>
        <w:rPr>
          <w:b/>
          <w:color w:val="231F20"/>
          <w:spacing w:val="2"/>
          <w:w w:val="110"/>
          <w:sz w:val="18"/>
        </w:rPr>
        <w:t>church </w:t>
      </w:r>
      <w:r>
        <w:rPr>
          <w:b/>
          <w:color w:val="231F20"/>
          <w:w w:val="110"/>
          <w:sz w:val="18"/>
        </w:rPr>
        <w:t>is eligible for</w:t>
      </w:r>
      <w:r>
        <w:rPr>
          <w:b/>
          <w:color w:val="231F20"/>
          <w:spacing w:val="52"/>
          <w:w w:val="110"/>
          <w:sz w:val="18"/>
        </w:rPr>
        <w:t> </w:t>
      </w:r>
      <w:r>
        <w:rPr>
          <w:b/>
          <w:color w:val="231F20"/>
          <w:w w:val="110"/>
          <w:sz w:val="18"/>
        </w:rPr>
        <w:t>nomination.</w:t>
      </w:r>
    </w:p>
    <w:p>
      <w:pPr>
        <w:pStyle w:val="BodyText"/>
        <w:spacing w:before="8"/>
        <w:rPr>
          <w:b/>
          <w:sz w:val="20"/>
        </w:rPr>
      </w:pPr>
    </w:p>
    <w:p>
      <w:pPr>
        <w:pStyle w:val="ListParagraph"/>
        <w:numPr>
          <w:ilvl w:val="1"/>
          <w:numId w:val="54"/>
        </w:numPr>
        <w:tabs>
          <w:tab w:pos="2113" w:val="left" w:leader="none"/>
          <w:tab w:pos="2114" w:val="left" w:leader="none"/>
        </w:tabs>
        <w:spacing w:line="273" w:lineRule="auto" w:before="0" w:after="0"/>
        <w:ind w:left="1694" w:right="1505" w:hanging="341"/>
        <w:jc w:val="left"/>
        <w:rPr>
          <w:b/>
          <w:sz w:val="18"/>
        </w:rPr>
      </w:pPr>
      <w:r>
        <w:rPr>
          <w:b/>
          <w:color w:val="231F20"/>
          <w:w w:val="110"/>
          <w:sz w:val="18"/>
        </w:rPr>
        <w:t>Nominations for election as Moderators of the General Assembly shall be made by a synod, the consent of the nominees not being required. These nominations shall be in writing under the hand of the clerk of the synod and received by the General Secretary not later than the </w:t>
      </w:r>
      <w:r>
        <w:rPr>
          <w:b/>
          <w:color w:val="231F20"/>
          <w:spacing w:val="-4"/>
          <w:w w:val="110"/>
          <w:sz w:val="18"/>
        </w:rPr>
        <w:t>31st </w:t>
      </w:r>
      <w:r>
        <w:rPr>
          <w:b/>
          <w:color w:val="231F20"/>
          <w:w w:val="110"/>
          <w:sz w:val="18"/>
        </w:rPr>
        <w:t>March immediately preceding the Annual Meeting of the Assembly. The synod shall propose one nominee in each category, but the absence of a nomination in either category shall not invalidate the other</w:t>
      </w:r>
      <w:r>
        <w:rPr>
          <w:b/>
          <w:color w:val="231F20"/>
          <w:spacing w:val="-6"/>
          <w:w w:val="110"/>
          <w:sz w:val="18"/>
        </w:rPr>
        <w:t> </w:t>
      </w:r>
      <w:r>
        <w:rPr>
          <w:b/>
          <w:color w:val="231F20"/>
          <w:w w:val="110"/>
          <w:sz w:val="18"/>
        </w:rPr>
        <w:t>nomination.</w:t>
      </w:r>
    </w:p>
    <w:p>
      <w:pPr>
        <w:pStyle w:val="BodyText"/>
        <w:spacing w:before="11"/>
        <w:rPr>
          <w:b/>
          <w:sz w:val="20"/>
        </w:rPr>
      </w:pPr>
    </w:p>
    <w:p>
      <w:pPr>
        <w:pStyle w:val="ListParagraph"/>
        <w:numPr>
          <w:ilvl w:val="1"/>
          <w:numId w:val="54"/>
        </w:numPr>
        <w:tabs>
          <w:tab w:pos="2113" w:val="left" w:leader="none"/>
          <w:tab w:pos="2114" w:val="left" w:leader="none"/>
        </w:tabs>
        <w:spacing w:line="273" w:lineRule="auto" w:before="0" w:after="0"/>
        <w:ind w:left="1694" w:right="1544" w:hanging="341"/>
        <w:jc w:val="left"/>
        <w:rPr>
          <w:b/>
          <w:sz w:val="18"/>
        </w:rPr>
      </w:pPr>
      <w:r>
        <w:rPr>
          <w:b/>
          <w:color w:val="231F20"/>
          <w:w w:val="110"/>
          <w:sz w:val="18"/>
        </w:rPr>
        <w:t>The General </w:t>
      </w:r>
      <w:r>
        <w:rPr>
          <w:b/>
          <w:color w:val="231F20"/>
          <w:spacing w:val="3"/>
          <w:w w:val="110"/>
          <w:sz w:val="18"/>
        </w:rPr>
        <w:t>Secretary </w:t>
      </w:r>
      <w:r>
        <w:rPr>
          <w:b/>
          <w:color w:val="231F20"/>
          <w:w w:val="110"/>
          <w:sz w:val="18"/>
        </w:rPr>
        <w:t>shall forthwith send to each </w:t>
      </w:r>
      <w:r>
        <w:rPr>
          <w:b/>
          <w:color w:val="231F20"/>
          <w:spacing w:val="2"/>
          <w:w w:val="110"/>
          <w:sz w:val="18"/>
        </w:rPr>
        <w:t>person  </w:t>
      </w:r>
      <w:r>
        <w:rPr>
          <w:b/>
          <w:color w:val="231F20"/>
          <w:w w:val="110"/>
          <w:sz w:val="18"/>
        </w:rPr>
        <w:t>nominated a list of the nominations. Any nominee </w:t>
      </w:r>
      <w:r>
        <w:rPr>
          <w:b/>
          <w:color w:val="231F20"/>
          <w:spacing w:val="-3"/>
          <w:w w:val="110"/>
          <w:sz w:val="18"/>
        </w:rPr>
        <w:t>may, </w:t>
      </w:r>
      <w:r>
        <w:rPr>
          <w:b/>
          <w:color w:val="231F20"/>
          <w:w w:val="110"/>
          <w:sz w:val="18"/>
        </w:rPr>
        <w:t>within ten days of the </w:t>
      </w:r>
      <w:r>
        <w:rPr>
          <w:b/>
          <w:color w:val="231F20"/>
          <w:spacing w:val="2"/>
          <w:w w:val="110"/>
          <w:sz w:val="18"/>
        </w:rPr>
        <w:t>receipt </w:t>
      </w:r>
      <w:r>
        <w:rPr>
          <w:b/>
          <w:color w:val="231F20"/>
          <w:w w:val="110"/>
          <w:sz w:val="18"/>
        </w:rPr>
        <w:t>of this </w:t>
      </w:r>
      <w:r>
        <w:rPr>
          <w:b/>
          <w:color w:val="231F20"/>
          <w:spacing w:val="2"/>
          <w:w w:val="110"/>
          <w:sz w:val="18"/>
        </w:rPr>
        <w:t>list, </w:t>
      </w:r>
      <w:r>
        <w:rPr>
          <w:b/>
          <w:color w:val="231F20"/>
          <w:w w:val="110"/>
          <w:sz w:val="18"/>
        </w:rPr>
        <w:t>withdraw from nomination by </w:t>
      </w:r>
      <w:r>
        <w:rPr>
          <w:b/>
          <w:color w:val="231F20"/>
          <w:spacing w:val="2"/>
          <w:w w:val="110"/>
          <w:sz w:val="18"/>
        </w:rPr>
        <w:t>notice </w:t>
      </w:r>
      <w:r>
        <w:rPr>
          <w:b/>
          <w:color w:val="231F20"/>
          <w:w w:val="110"/>
          <w:sz w:val="18"/>
        </w:rPr>
        <w:t>in writing to the General</w:t>
      </w:r>
      <w:r>
        <w:rPr>
          <w:b/>
          <w:color w:val="231F20"/>
          <w:spacing w:val="1"/>
          <w:w w:val="110"/>
          <w:sz w:val="18"/>
        </w:rPr>
        <w:t> </w:t>
      </w:r>
      <w:r>
        <w:rPr>
          <w:b/>
          <w:color w:val="231F20"/>
          <w:w w:val="110"/>
          <w:sz w:val="18"/>
        </w:rPr>
        <w:t>Secretary.</w:t>
      </w:r>
    </w:p>
    <w:p>
      <w:pPr>
        <w:pStyle w:val="BodyText"/>
        <w:spacing w:before="9"/>
        <w:rPr>
          <w:b/>
          <w:sz w:val="20"/>
        </w:rPr>
      </w:pPr>
    </w:p>
    <w:p>
      <w:pPr>
        <w:pStyle w:val="ListParagraph"/>
        <w:numPr>
          <w:ilvl w:val="1"/>
          <w:numId w:val="54"/>
        </w:numPr>
        <w:tabs>
          <w:tab w:pos="2113" w:val="left" w:leader="none"/>
          <w:tab w:pos="2114" w:val="left" w:leader="none"/>
        </w:tabs>
        <w:spacing w:line="273" w:lineRule="auto" w:before="1" w:after="0"/>
        <w:ind w:left="1694" w:right="2086" w:hanging="341"/>
        <w:jc w:val="left"/>
        <w:rPr>
          <w:b/>
          <w:sz w:val="18"/>
        </w:rPr>
      </w:pPr>
      <w:r>
        <w:rPr>
          <w:b/>
          <w:color w:val="231F20"/>
          <w:w w:val="110"/>
          <w:sz w:val="18"/>
        </w:rPr>
        <w:t>If </w:t>
      </w:r>
      <w:r>
        <w:rPr>
          <w:b/>
          <w:color w:val="231F20"/>
          <w:spacing w:val="2"/>
          <w:w w:val="110"/>
          <w:sz w:val="18"/>
        </w:rPr>
        <w:t>after </w:t>
      </w:r>
      <w:r>
        <w:rPr>
          <w:b/>
          <w:color w:val="231F20"/>
          <w:w w:val="110"/>
          <w:sz w:val="18"/>
        </w:rPr>
        <w:t>31</w:t>
      </w:r>
      <w:r>
        <w:rPr>
          <w:b/>
          <w:color w:val="231F20"/>
          <w:w w:val="110"/>
          <w:position w:val="6"/>
          <w:sz w:val="10"/>
        </w:rPr>
        <w:t>st </w:t>
      </w:r>
      <w:r>
        <w:rPr>
          <w:b/>
          <w:color w:val="231F20"/>
          <w:w w:val="110"/>
          <w:sz w:val="18"/>
        </w:rPr>
        <w:t>March or </w:t>
      </w:r>
      <w:r>
        <w:rPr>
          <w:b/>
          <w:color w:val="231F20"/>
          <w:spacing w:val="2"/>
          <w:w w:val="110"/>
          <w:sz w:val="18"/>
        </w:rPr>
        <w:t>after </w:t>
      </w:r>
      <w:r>
        <w:rPr>
          <w:b/>
          <w:color w:val="231F20"/>
          <w:w w:val="110"/>
          <w:sz w:val="18"/>
        </w:rPr>
        <w:t>the period for withdrawal </w:t>
      </w:r>
      <w:r>
        <w:rPr>
          <w:b/>
          <w:color w:val="231F20"/>
          <w:spacing w:val="2"/>
          <w:w w:val="110"/>
          <w:sz w:val="18"/>
        </w:rPr>
        <w:t>there </w:t>
      </w:r>
      <w:r>
        <w:rPr>
          <w:b/>
          <w:color w:val="231F20"/>
          <w:w w:val="110"/>
          <w:sz w:val="18"/>
        </w:rPr>
        <w:t>shall be no nominations either in one or in </w:t>
      </w:r>
      <w:r>
        <w:rPr>
          <w:b/>
          <w:color w:val="231F20"/>
          <w:spacing w:val="2"/>
          <w:w w:val="110"/>
          <w:sz w:val="18"/>
        </w:rPr>
        <w:t>both categories </w:t>
      </w:r>
      <w:r>
        <w:rPr>
          <w:b/>
          <w:color w:val="231F20"/>
          <w:w w:val="110"/>
          <w:sz w:val="18"/>
        </w:rPr>
        <w:t>the</w:t>
      </w:r>
      <w:r>
        <w:rPr>
          <w:b/>
          <w:color w:val="231F20"/>
          <w:spacing w:val="12"/>
          <w:w w:val="110"/>
          <w:sz w:val="18"/>
        </w:rPr>
        <w:t> </w:t>
      </w:r>
      <w:r>
        <w:rPr>
          <w:b/>
          <w:color w:val="231F20"/>
          <w:w w:val="110"/>
          <w:sz w:val="18"/>
        </w:rPr>
        <w:t>General</w:t>
      </w:r>
    </w:p>
    <w:p>
      <w:pPr>
        <w:spacing w:line="273" w:lineRule="auto" w:before="1"/>
        <w:ind w:left="1694" w:right="1593" w:firstLine="0"/>
        <w:jc w:val="left"/>
        <w:rPr>
          <w:b/>
          <w:sz w:val="18"/>
        </w:rPr>
      </w:pPr>
      <w:r>
        <w:rPr>
          <w:b/>
          <w:color w:val="231F20"/>
          <w:w w:val="110"/>
          <w:sz w:val="18"/>
        </w:rPr>
        <w:t>Secretary shall forthwith notify the clerks of the synods and invite them to request nominations from the executive committees or equivalent of their synods. Such nominations, accompanied in each case by a note of the consent of the person nominated and a brief biography, must be in the hands of the General Secretary by 15</w:t>
      </w:r>
      <w:r>
        <w:rPr>
          <w:b/>
          <w:color w:val="231F20"/>
          <w:w w:val="110"/>
          <w:position w:val="6"/>
          <w:sz w:val="10"/>
        </w:rPr>
        <w:t>th </w:t>
      </w:r>
      <w:r>
        <w:rPr>
          <w:b/>
          <w:color w:val="231F20"/>
          <w:w w:val="110"/>
          <w:sz w:val="18"/>
        </w:rPr>
        <w:t>May.</w:t>
      </w:r>
    </w:p>
    <w:p>
      <w:pPr>
        <w:pStyle w:val="BodyText"/>
        <w:spacing w:before="10"/>
        <w:rPr>
          <w:b/>
          <w:sz w:val="20"/>
        </w:rPr>
      </w:pPr>
    </w:p>
    <w:p>
      <w:pPr>
        <w:pStyle w:val="ListParagraph"/>
        <w:numPr>
          <w:ilvl w:val="1"/>
          <w:numId w:val="54"/>
        </w:numPr>
        <w:tabs>
          <w:tab w:pos="2114" w:val="left" w:leader="none"/>
        </w:tabs>
        <w:spacing w:line="273" w:lineRule="auto" w:before="0" w:after="0"/>
        <w:ind w:left="1694" w:right="1898" w:hanging="341"/>
        <w:jc w:val="both"/>
        <w:rPr>
          <w:b/>
          <w:sz w:val="18"/>
        </w:rPr>
      </w:pPr>
      <w:r>
        <w:rPr>
          <w:b/>
          <w:color w:val="231F20"/>
          <w:w w:val="110"/>
          <w:sz w:val="18"/>
        </w:rPr>
        <w:t>If </w:t>
      </w:r>
      <w:r>
        <w:rPr>
          <w:b/>
          <w:color w:val="231F20"/>
          <w:spacing w:val="2"/>
          <w:w w:val="110"/>
          <w:sz w:val="18"/>
        </w:rPr>
        <w:t>after </w:t>
      </w:r>
      <w:r>
        <w:rPr>
          <w:b/>
          <w:color w:val="231F20"/>
          <w:w w:val="110"/>
          <w:sz w:val="18"/>
        </w:rPr>
        <w:t>the period for withdrawal </w:t>
      </w:r>
      <w:r>
        <w:rPr>
          <w:b/>
          <w:color w:val="231F20"/>
          <w:spacing w:val="2"/>
          <w:w w:val="110"/>
          <w:sz w:val="18"/>
        </w:rPr>
        <w:t>there </w:t>
      </w:r>
      <w:r>
        <w:rPr>
          <w:b/>
          <w:color w:val="231F20"/>
          <w:w w:val="110"/>
          <w:sz w:val="18"/>
        </w:rPr>
        <w:t>is only one nomination in either category, this nomination shall be </w:t>
      </w:r>
      <w:r>
        <w:rPr>
          <w:b/>
          <w:color w:val="231F20"/>
          <w:spacing w:val="2"/>
          <w:w w:val="110"/>
          <w:sz w:val="18"/>
        </w:rPr>
        <w:t>placed before </w:t>
      </w:r>
      <w:r>
        <w:rPr>
          <w:b/>
          <w:color w:val="231F20"/>
          <w:w w:val="110"/>
          <w:sz w:val="18"/>
        </w:rPr>
        <w:t>the </w:t>
      </w:r>
      <w:r>
        <w:rPr>
          <w:b/>
          <w:color w:val="231F20"/>
          <w:spacing w:val="2"/>
          <w:w w:val="110"/>
          <w:sz w:val="18"/>
        </w:rPr>
        <w:t>Assembly </w:t>
      </w:r>
      <w:r>
        <w:rPr>
          <w:b/>
          <w:color w:val="231F20"/>
          <w:w w:val="110"/>
          <w:sz w:val="18"/>
        </w:rPr>
        <w:t>and voted upon by </w:t>
      </w:r>
      <w:r>
        <w:rPr>
          <w:b/>
          <w:color w:val="231F20"/>
          <w:spacing w:val="3"/>
          <w:w w:val="110"/>
          <w:sz w:val="18"/>
        </w:rPr>
        <w:t>secret </w:t>
      </w:r>
      <w:r>
        <w:rPr>
          <w:b/>
          <w:color w:val="231F20"/>
          <w:w w:val="110"/>
          <w:sz w:val="18"/>
        </w:rPr>
        <w:t>ballot.</w:t>
      </w:r>
    </w:p>
    <w:p>
      <w:pPr>
        <w:pStyle w:val="BodyText"/>
        <w:spacing w:before="8"/>
        <w:rPr>
          <w:b/>
          <w:sz w:val="20"/>
        </w:rPr>
      </w:pPr>
    </w:p>
    <w:p>
      <w:pPr>
        <w:pStyle w:val="ListParagraph"/>
        <w:numPr>
          <w:ilvl w:val="1"/>
          <w:numId w:val="54"/>
        </w:numPr>
        <w:tabs>
          <w:tab w:pos="2113" w:val="left" w:leader="none"/>
          <w:tab w:pos="2114" w:val="left" w:leader="none"/>
        </w:tabs>
        <w:spacing w:line="273" w:lineRule="auto" w:before="1" w:after="0"/>
        <w:ind w:left="1694" w:right="1576" w:hanging="341"/>
        <w:jc w:val="left"/>
        <w:rPr>
          <w:b/>
          <w:sz w:val="18"/>
        </w:rPr>
      </w:pPr>
      <w:r>
        <w:rPr>
          <w:b/>
          <w:color w:val="231F20"/>
          <w:w w:val="110"/>
          <w:sz w:val="18"/>
        </w:rPr>
        <w:t>If the number of those who </w:t>
      </w:r>
      <w:r>
        <w:rPr>
          <w:b/>
          <w:color w:val="231F20"/>
          <w:spacing w:val="-3"/>
          <w:w w:val="110"/>
          <w:sz w:val="18"/>
        </w:rPr>
        <w:t>have </w:t>
      </w:r>
      <w:r>
        <w:rPr>
          <w:b/>
          <w:color w:val="231F20"/>
          <w:w w:val="110"/>
          <w:sz w:val="18"/>
        </w:rPr>
        <w:t>been nominated in either category and </w:t>
      </w:r>
      <w:r>
        <w:rPr>
          <w:b/>
          <w:color w:val="231F20"/>
          <w:spacing w:val="-3"/>
          <w:w w:val="110"/>
          <w:sz w:val="18"/>
        </w:rPr>
        <w:t>have </w:t>
      </w:r>
      <w:r>
        <w:rPr>
          <w:b/>
          <w:color w:val="231F20"/>
          <w:w w:val="110"/>
          <w:sz w:val="18"/>
        </w:rPr>
        <w:t>not withdrawn is or exceeds two, the election shall be by a secret ballot according to the principle of the single transferable vote.  All members of the Assembly shall be entitled to vote. They shall vote by indicating their preference by figures 1, 2, 3 and so forth, but no voting paper shall be invalidated by the absence of alternative choices. If the tellers find that no name has an absolute majority of first choices, the second choices of those who </w:t>
      </w:r>
      <w:r>
        <w:rPr>
          <w:b/>
          <w:color w:val="231F20"/>
          <w:spacing w:val="-3"/>
          <w:w w:val="110"/>
          <w:sz w:val="18"/>
        </w:rPr>
        <w:t>gave </w:t>
      </w:r>
      <w:r>
        <w:rPr>
          <w:b/>
          <w:color w:val="231F20"/>
          <w:w w:val="110"/>
          <w:sz w:val="18"/>
        </w:rPr>
        <w:t>as their first choice the name securing the smallest number of such choices shall be added to the first choices for other names. If necessary this process shall continue until one of the names has an absolute majority of votes cast. If the process</w:t>
      </w:r>
      <w:r>
        <w:rPr>
          <w:b/>
          <w:color w:val="231F20"/>
          <w:spacing w:val="13"/>
          <w:w w:val="110"/>
          <w:sz w:val="18"/>
        </w:rPr>
        <w:t> </w:t>
      </w:r>
      <w:r>
        <w:rPr>
          <w:b/>
          <w:color w:val="231F20"/>
          <w:w w:val="110"/>
          <w:sz w:val="18"/>
        </w:rPr>
        <w:t>continues</w:t>
      </w:r>
    </w:p>
    <w:p>
      <w:pPr>
        <w:spacing w:line="273" w:lineRule="auto" w:before="6"/>
        <w:ind w:left="1694" w:right="1403" w:firstLine="0"/>
        <w:jc w:val="left"/>
        <w:rPr>
          <w:b/>
          <w:sz w:val="18"/>
        </w:rPr>
      </w:pPr>
      <w:r>
        <w:rPr>
          <w:b/>
          <w:color w:val="231F20"/>
          <w:w w:val="110"/>
          <w:sz w:val="18"/>
        </w:rPr>
        <w:t>until only two names remain, the person who then has the larger number of votes shall be elected.</w:t>
      </w:r>
    </w:p>
    <w:p>
      <w:pPr>
        <w:spacing w:after="0" w:line="273" w:lineRule="auto"/>
        <w:jc w:val="left"/>
        <w:rPr>
          <w:sz w:val="18"/>
        </w:rPr>
        <w:sectPr>
          <w:headerReference w:type="even" r:id="rId111"/>
          <w:footerReference w:type="even" r:id="rId112"/>
          <w:pgSz w:w="11910" w:h="16840"/>
          <w:pgMar w:header="581" w:footer="544" w:top="860" w:bottom="740" w:left="460" w:right="0"/>
          <w:pgNumType w:start="96"/>
        </w:sectPr>
      </w:pPr>
    </w:p>
    <w:p>
      <w:pPr>
        <w:spacing w:before="31"/>
        <w:ind w:left="673" w:right="0" w:firstLine="0"/>
        <w:jc w:val="left"/>
        <w:rPr>
          <w:rFonts w:ascii="Eurostile Bold"/>
          <w:b/>
          <w:sz w:val="28"/>
        </w:rPr>
      </w:pPr>
      <w:r>
        <w:rPr/>
        <w:pict>
          <v:group style="position:absolute;margin-left:62.362pt;margin-top:49.606014pt;width:519.7pt;height:714.85pt;mso-position-horizontal-relative:page;mso-position-vertical-relative:page;z-index:-275506176" coordorigin="1247,992" coordsize="10394,14297">
            <v:shape style="position:absolute;left:1409;top:1097;width:8960;height:14161" coordorigin="1410,1098" coordsize="8960,14161" path="m1410,15018l1413,15157,1440,15228,1511,15254,1650,15258,10129,15258,10267,15254,10339,15228,10365,15157,10369,15018,10369,1338,10365,1199,10339,1128,10267,1101,10129,1098,1650,1098,1511,1101,1440,1128,1413,1199,1410,1338,1410,15018xe" filled="false" stroked="true" strokeweight="3pt" strokecolor="#000000">
              <v:path arrowok="t"/>
              <v:stroke dashstyle="solid"/>
            </v:shape>
            <v:rect style="position:absolute;left:1247;top:992;width:10394;height:341" filled="true" fillcolor="#ffffff" stroked="false">
              <v:fill type="solid"/>
            </v:rect>
            <w10:wrap type="none"/>
          </v:group>
        </w:pict>
      </w:r>
      <w:r>
        <w:rPr>
          <w:rFonts w:ascii="Eurostile Bold"/>
          <w:b/>
          <w:color w:val="A7A9AC"/>
          <w:w w:val="95"/>
          <w:sz w:val="28"/>
        </w:rPr>
        <w:t>Changes to the Rules of Procedure</w:t>
      </w:r>
    </w:p>
    <w:p>
      <w:pPr>
        <w:pStyle w:val="BodyText"/>
        <w:rPr>
          <w:rFonts w:ascii="Eurostile Bold"/>
          <w:b/>
          <w:sz w:val="20"/>
        </w:rPr>
      </w:pPr>
    </w:p>
    <w:p>
      <w:pPr>
        <w:pStyle w:val="BodyText"/>
        <w:spacing w:before="11"/>
        <w:rPr>
          <w:rFonts w:ascii="Eurostile Bold"/>
          <w:b/>
        </w:rPr>
      </w:pPr>
    </w:p>
    <w:p>
      <w:pPr>
        <w:pStyle w:val="ListParagraph"/>
        <w:numPr>
          <w:ilvl w:val="1"/>
          <w:numId w:val="54"/>
        </w:numPr>
        <w:tabs>
          <w:tab w:pos="2680" w:val="left" w:leader="none"/>
          <w:tab w:pos="2681" w:val="left" w:leader="none"/>
        </w:tabs>
        <w:spacing w:line="273" w:lineRule="auto" w:before="0" w:after="0"/>
        <w:ind w:left="2261" w:right="1163" w:hanging="341"/>
        <w:jc w:val="left"/>
        <w:rPr>
          <w:b/>
          <w:sz w:val="18"/>
        </w:rPr>
      </w:pPr>
      <w:r>
        <w:rPr>
          <w:b/>
          <w:color w:val="231F20"/>
          <w:spacing w:val="2"/>
          <w:w w:val="110"/>
          <w:sz w:val="18"/>
        </w:rPr>
        <w:t>Members </w:t>
      </w:r>
      <w:r>
        <w:rPr>
          <w:b/>
          <w:color w:val="231F20"/>
          <w:w w:val="110"/>
          <w:sz w:val="18"/>
        </w:rPr>
        <w:t>of the </w:t>
      </w:r>
      <w:r>
        <w:rPr>
          <w:b/>
          <w:color w:val="231F20"/>
          <w:spacing w:val="2"/>
          <w:w w:val="110"/>
          <w:sz w:val="18"/>
        </w:rPr>
        <w:t>Assembly </w:t>
      </w:r>
      <w:r>
        <w:rPr>
          <w:b/>
          <w:color w:val="231F20"/>
          <w:w w:val="110"/>
          <w:sz w:val="18"/>
        </w:rPr>
        <w:t>shall vote by means of a voting paper containing the name, the usual designation and the </w:t>
      </w:r>
      <w:r>
        <w:rPr>
          <w:b/>
          <w:color w:val="231F20"/>
          <w:spacing w:val="2"/>
          <w:w w:val="110"/>
          <w:sz w:val="18"/>
        </w:rPr>
        <w:t>church </w:t>
      </w:r>
      <w:r>
        <w:rPr>
          <w:b/>
          <w:color w:val="231F20"/>
          <w:w w:val="110"/>
          <w:sz w:val="18"/>
        </w:rPr>
        <w:t>of membership, of each of </w:t>
      </w:r>
      <w:r>
        <w:rPr>
          <w:b/>
          <w:color w:val="231F20"/>
          <w:spacing w:val="2"/>
          <w:w w:val="110"/>
          <w:sz w:val="18"/>
        </w:rPr>
        <w:t>those accepting </w:t>
      </w:r>
      <w:r>
        <w:rPr>
          <w:b/>
          <w:color w:val="231F20"/>
          <w:w w:val="110"/>
          <w:sz w:val="18"/>
        </w:rPr>
        <w:t>nomination which shall be  sent by the General </w:t>
      </w:r>
      <w:r>
        <w:rPr>
          <w:b/>
          <w:color w:val="231F20"/>
          <w:spacing w:val="3"/>
          <w:w w:val="110"/>
          <w:sz w:val="18"/>
        </w:rPr>
        <w:t>Secretary </w:t>
      </w:r>
      <w:r>
        <w:rPr>
          <w:b/>
          <w:color w:val="231F20"/>
          <w:w w:val="110"/>
          <w:sz w:val="18"/>
        </w:rPr>
        <w:t>by ordinary </w:t>
      </w:r>
      <w:r>
        <w:rPr>
          <w:b/>
          <w:color w:val="231F20"/>
          <w:spacing w:val="2"/>
          <w:w w:val="110"/>
          <w:sz w:val="18"/>
        </w:rPr>
        <w:t>post </w:t>
      </w:r>
      <w:r>
        <w:rPr>
          <w:b/>
          <w:color w:val="231F20"/>
          <w:w w:val="110"/>
          <w:sz w:val="18"/>
        </w:rPr>
        <w:t>to each such member </w:t>
      </w:r>
      <w:r>
        <w:rPr>
          <w:b/>
          <w:color w:val="231F20"/>
          <w:spacing w:val="2"/>
          <w:w w:val="110"/>
          <w:sz w:val="18"/>
        </w:rPr>
        <w:t>before </w:t>
      </w:r>
      <w:r>
        <w:rPr>
          <w:b/>
          <w:color w:val="231F20"/>
          <w:w w:val="110"/>
          <w:sz w:val="18"/>
        </w:rPr>
        <w:t>the commencement of the biennial </w:t>
      </w:r>
      <w:r>
        <w:rPr>
          <w:b/>
          <w:color w:val="231F20"/>
          <w:spacing w:val="2"/>
          <w:w w:val="110"/>
          <w:sz w:val="18"/>
        </w:rPr>
        <w:t>Meeting </w:t>
      </w:r>
      <w:r>
        <w:rPr>
          <w:b/>
          <w:color w:val="231F20"/>
          <w:w w:val="110"/>
          <w:sz w:val="18"/>
        </w:rPr>
        <w:t>of the Assembly. Brief indication of the </w:t>
      </w:r>
      <w:r>
        <w:rPr>
          <w:b/>
          <w:color w:val="231F20"/>
          <w:spacing w:val="2"/>
          <w:w w:val="110"/>
          <w:sz w:val="18"/>
        </w:rPr>
        <w:t>reasons </w:t>
      </w:r>
      <w:r>
        <w:rPr>
          <w:b/>
          <w:color w:val="231F20"/>
          <w:w w:val="110"/>
          <w:sz w:val="18"/>
        </w:rPr>
        <w:t>for the nomination, as supplied by the synod, may be </w:t>
      </w:r>
      <w:r>
        <w:rPr>
          <w:b/>
          <w:color w:val="231F20"/>
          <w:spacing w:val="2"/>
          <w:w w:val="110"/>
          <w:sz w:val="18"/>
        </w:rPr>
        <w:t>circulated </w:t>
      </w:r>
      <w:r>
        <w:rPr>
          <w:b/>
          <w:color w:val="231F20"/>
          <w:w w:val="110"/>
          <w:sz w:val="18"/>
        </w:rPr>
        <w:t>with the ballot paper. The General </w:t>
      </w:r>
      <w:r>
        <w:rPr>
          <w:b/>
          <w:color w:val="231F20"/>
          <w:spacing w:val="2"/>
          <w:w w:val="110"/>
          <w:sz w:val="18"/>
        </w:rPr>
        <w:t>Assembly </w:t>
      </w:r>
      <w:r>
        <w:rPr>
          <w:b/>
          <w:color w:val="231F20"/>
          <w:w w:val="110"/>
          <w:sz w:val="18"/>
        </w:rPr>
        <w:t>may in any </w:t>
      </w:r>
      <w:r>
        <w:rPr>
          <w:b/>
          <w:color w:val="231F20"/>
          <w:spacing w:val="2"/>
          <w:w w:val="110"/>
          <w:sz w:val="18"/>
        </w:rPr>
        <w:t>case </w:t>
      </w:r>
      <w:r>
        <w:rPr>
          <w:b/>
          <w:color w:val="231F20"/>
          <w:w w:val="110"/>
          <w:sz w:val="18"/>
        </w:rPr>
        <w:t>authorise </w:t>
      </w:r>
      <w:r>
        <w:rPr>
          <w:b/>
          <w:color w:val="231F20"/>
          <w:spacing w:val="2"/>
          <w:w w:val="110"/>
          <w:sz w:val="18"/>
        </w:rPr>
        <w:t>further </w:t>
      </w:r>
      <w:r>
        <w:rPr>
          <w:b/>
          <w:color w:val="231F20"/>
          <w:w w:val="110"/>
          <w:sz w:val="18"/>
        </w:rPr>
        <w:t>means of informing the members about </w:t>
      </w:r>
      <w:r>
        <w:rPr>
          <w:b/>
          <w:color w:val="231F20"/>
          <w:spacing w:val="2"/>
          <w:w w:val="110"/>
          <w:sz w:val="18"/>
        </w:rPr>
        <w:t>those accepting</w:t>
      </w:r>
      <w:r>
        <w:rPr>
          <w:b/>
          <w:color w:val="231F20"/>
          <w:w w:val="110"/>
          <w:sz w:val="18"/>
        </w:rPr>
        <w:t> nomination.</w:t>
      </w:r>
    </w:p>
    <w:p>
      <w:pPr>
        <w:pStyle w:val="BodyText"/>
        <w:rPr>
          <w:b/>
          <w:sz w:val="21"/>
        </w:rPr>
      </w:pPr>
    </w:p>
    <w:p>
      <w:pPr>
        <w:pStyle w:val="ListParagraph"/>
        <w:numPr>
          <w:ilvl w:val="1"/>
          <w:numId w:val="54"/>
        </w:numPr>
        <w:tabs>
          <w:tab w:pos="2680" w:val="left" w:leader="none"/>
          <w:tab w:pos="2681" w:val="left" w:leader="none"/>
        </w:tabs>
        <w:spacing w:line="273" w:lineRule="auto" w:before="0" w:after="0"/>
        <w:ind w:left="2261" w:right="1225" w:hanging="341"/>
        <w:jc w:val="left"/>
        <w:rPr>
          <w:b/>
          <w:sz w:val="18"/>
        </w:rPr>
      </w:pPr>
      <w:r>
        <w:rPr>
          <w:b/>
          <w:color w:val="231F20"/>
          <w:w w:val="110"/>
          <w:sz w:val="18"/>
        </w:rPr>
        <w:t>The General </w:t>
      </w:r>
      <w:r>
        <w:rPr>
          <w:b/>
          <w:color w:val="231F20"/>
          <w:spacing w:val="2"/>
          <w:w w:val="110"/>
          <w:sz w:val="18"/>
        </w:rPr>
        <w:t>Assembly </w:t>
      </w:r>
      <w:r>
        <w:rPr>
          <w:b/>
          <w:color w:val="231F20"/>
          <w:w w:val="110"/>
          <w:sz w:val="18"/>
        </w:rPr>
        <w:t>shall vote to </w:t>
      </w:r>
      <w:r>
        <w:rPr>
          <w:b/>
          <w:color w:val="231F20"/>
          <w:spacing w:val="2"/>
          <w:w w:val="110"/>
          <w:sz w:val="18"/>
        </w:rPr>
        <w:t>elect </w:t>
      </w:r>
      <w:r>
        <w:rPr>
          <w:b/>
          <w:color w:val="231F20"/>
          <w:w w:val="110"/>
          <w:sz w:val="18"/>
        </w:rPr>
        <w:t>the Moderators of the </w:t>
      </w:r>
      <w:r>
        <w:rPr>
          <w:b/>
          <w:color w:val="231F20"/>
          <w:spacing w:val="2"/>
          <w:w w:val="110"/>
          <w:sz w:val="18"/>
        </w:rPr>
        <w:t>Assembly </w:t>
      </w:r>
      <w:r>
        <w:rPr>
          <w:b/>
          <w:color w:val="231F20"/>
          <w:w w:val="110"/>
          <w:sz w:val="18"/>
        </w:rPr>
        <w:t>by </w:t>
      </w:r>
      <w:r>
        <w:rPr>
          <w:b/>
          <w:color w:val="231F20"/>
          <w:spacing w:val="3"/>
          <w:w w:val="110"/>
          <w:sz w:val="18"/>
        </w:rPr>
        <w:t>secret </w:t>
      </w:r>
      <w:r>
        <w:rPr>
          <w:b/>
          <w:color w:val="231F20"/>
          <w:w w:val="110"/>
          <w:sz w:val="18"/>
        </w:rPr>
        <w:t>ballot as an item of business following prayer on either the </w:t>
      </w:r>
      <w:r>
        <w:rPr>
          <w:b/>
          <w:color w:val="231F20"/>
          <w:spacing w:val="2"/>
          <w:w w:val="110"/>
          <w:sz w:val="18"/>
        </w:rPr>
        <w:t>second </w:t>
      </w:r>
      <w:r>
        <w:rPr>
          <w:b/>
          <w:color w:val="231F20"/>
          <w:w w:val="110"/>
          <w:sz w:val="18"/>
        </w:rPr>
        <w:t>or third day of the meeting of the Assembly. The ballot boxes shall be delivered to the tellers by whom alone the boxes shall be opened. They shall </w:t>
      </w:r>
      <w:r>
        <w:rPr>
          <w:b/>
          <w:color w:val="231F20"/>
          <w:spacing w:val="2"/>
          <w:w w:val="110"/>
          <w:sz w:val="18"/>
        </w:rPr>
        <w:t>report </w:t>
      </w:r>
      <w:r>
        <w:rPr>
          <w:b/>
          <w:color w:val="231F20"/>
          <w:w w:val="110"/>
          <w:sz w:val="18"/>
        </w:rPr>
        <w:t>the result of the ballot</w:t>
      </w:r>
      <w:r>
        <w:rPr>
          <w:b/>
          <w:color w:val="231F20"/>
          <w:spacing w:val="41"/>
          <w:w w:val="110"/>
          <w:sz w:val="18"/>
        </w:rPr>
        <w:t> </w:t>
      </w:r>
      <w:r>
        <w:rPr>
          <w:b/>
          <w:color w:val="231F20"/>
          <w:w w:val="110"/>
          <w:sz w:val="18"/>
        </w:rPr>
        <w:t>to</w:t>
      </w:r>
    </w:p>
    <w:p>
      <w:pPr>
        <w:spacing w:before="4"/>
        <w:ind w:left="2261" w:right="0" w:firstLine="0"/>
        <w:jc w:val="left"/>
        <w:rPr>
          <w:b/>
          <w:sz w:val="18"/>
        </w:rPr>
      </w:pPr>
      <w:r>
        <w:rPr>
          <w:b/>
          <w:color w:val="231F20"/>
          <w:w w:val="110"/>
          <w:sz w:val="18"/>
        </w:rPr>
        <w:t>the Assembly at a later session.</w:t>
      </w:r>
    </w:p>
    <w:p>
      <w:pPr>
        <w:pStyle w:val="BodyText"/>
        <w:spacing w:before="1"/>
        <w:rPr>
          <w:b/>
          <w:sz w:val="23"/>
        </w:rPr>
      </w:pPr>
    </w:p>
    <w:p>
      <w:pPr>
        <w:pStyle w:val="ListParagraph"/>
        <w:numPr>
          <w:ilvl w:val="1"/>
          <w:numId w:val="54"/>
        </w:numPr>
        <w:tabs>
          <w:tab w:pos="2680" w:val="left" w:leader="none"/>
          <w:tab w:pos="2681" w:val="left" w:leader="none"/>
        </w:tabs>
        <w:spacing w:line="273" w:lineRule="auto" w:before="0" w:after="0"/>
        <w:ind w:left="2261" w:right="1406" w:hanging="341"/>
        <w:jc w:val="left"/>
        <w:rPr>
          <w:b/>
          <w:sz w:val="18"/>
        </w:rPr>
      </w:pPr>
      <w:r>
        <w:rPr>
          <w:b/>
          <w:color w:val="231F20"/>
          <w:spacing w:val="2"/>
          <w:w w:val="110"/>
          <w:sz w:val="18"/>
        </w:rPr>
        <w:t>As </w:t>
      </w:r>
      <w:r>
        <w:rPr>
          <w:b/>
          <w:color w:val="231F20"/>
          <w:w w:val="110"/>
          <w:sz w:val="18"/>
        </w:rPr>
        <w:t>soon as the voting </w:t>
      </w:r>
      <w:r>
        <w:rPr>
          <w:b/>
          <w:color w:val="231F20"/>
          <w:spacing w:val="2"/>
          <w:w w:val="110"/>
          <w:sz w:val="18"/>
        </w:rPr>
        <w:t>papers </w:t>
      </w:r>
      <w:r>
        <w:rPr>
          <w:b/>
          <w:color w:val="231F20"/>
          <w:w w:val="110"/>
          <w:sz w:val="18"/>
        </w:rPr>
        <w:t>have </w:t>
      </w:r>
      <w:r>
        <w:rPr>
          <w:b/>
          <w:color w:val="231F20"/>
          <w:spacing w:val="2"/>
          <w:w w:val="110"/>
          <w:sz w:val="18"/>
        </w:rPr>
        <w:t>been </w:t>
      </w:r>
      <w:r>
        <w:rPr>
          <w:b/>
          <w:color w:val="231F20"/>
          <w:w w:val="110"/>
          <w:sz w:val="18"/>
        </w:rPr>
        <w:t>examined and the result of the poll </w:t>
      </w:r>
      <w:r>
        <w:rPr>
          <w:b/>
          <w:color w:val="231F20"/>
          <w:spacing w:val="2"/>
          <w:w w:val="110"/>
          <w:sz w:val="18"/>
        </w:rPr>
        <w:t>ascertained, </w:t>
      </w:r>
      <w:r>
        <w:rPr>
          <w:b/>
          <w:color w:val="231F20"/>
          <w:w w:val="110"/>
          <w:sz w:val="18"/>
        </w:rPr>
        <w:t>the voting </w:t>
      </w:r>
      <w:r>
        <w:rPr>
          <w:b/>
          <w:color w:val="231F20"/>
          <w:spacing w:val="2"/>
          <w:w w:val="110"/>
          <w:sz w:val="18"/>
        </w:rPr>
        <w:t>papers </w:t>
      </w:r>
      <w:r>
        <w:rPr>
          <w:b/>
          <w:color w:val="231F20"/>
          <w:w w:val="110"/>
          <w:sz w:val="18"/>
        </w:rPr>
        <w:t>shall be </w:t>
      </w:r>
      <w:r>
        <w:rPr>
          <w:b/>
          <w:color w:val="231F20"/>
          <w:spacing w:val="2"/>
          <w:w w:val="110"/>
          <w:sz w:val="18"/>
        </w:rPr>
        <w:t>closed </w:t>
      </w:r>
      <w:r>
        <w:rPr>
          <w:b/>
          <w:color w:val="231F20"/>
          <w:w w:val="110"/>
          <w:sz w:val="18"/>
        </w:rPr>
        <w:t>up under the</w:t>
      </w:r>
      <w:r>
        <w:rPr>
          <w:b/>
          <w:color w:val="231F20"/>
          <w:spacing w:val="7"/>
          <w:w w:val="110"/>
          <w:sz w:val="18"/>
        </w:rPr>
        <w:t> </w:t>
      </w:r>
      <w:r>
        <w:rPr>
          <w:b/>
          <w:color w:val="231F20"/>
          <w:w w:val="110"/>
          <w:sz w:val="18"/>
        </w:rPr>
        <w:t>seal</w:t>
      </w:r>
      <w:r>
        <w:rPr>
          <w:b/>
          <w:color w:val="231F20"/>
          <w:spacing w:val="7"/>
          <w:w w:val="110"/>
          <w:sz w:val="18"/>
        </w:rPr>
        <w:t> </w:t>
      </w:r>
      <w:r>
        <w:rPr>
          <w:b/>
          <w:color w:val="231F20"/>
          <w:w w:val="110"/>
          <w:sz w:val="18"/>
        </w:rPr>
        <w:t>of</w:t>
      </w:r>
      <w:r>
        <w:rPr>
          <w:b/>
          <w:color w:val="231F20"/>
          <w:spacing w:val="7"/>
          <w:w w:val="110"/>
          <w:sz w:val="18"/>
        </w:rPr>
        <w:t> </w:t>
      </w:r>
      <w:r>
        <w:rPr>
          <w:b/>
          <w:color w:val="231F20"/>
          <w:w w:val="110"/>
          <w:sz w:val="18"/>
        </w:rPr>
        <w:t>the</w:t>
      </w:r>
      <w:r>
        <w:rPr>
          <w:b/>
          <w:color w:val="231F20"/>
          <w:spacing w:val="7"/>
          <w:w w:val="110"/>
          <w:sz w:val="18"/>
        </w:rPr>
        <w:t> </w:t>
      </w:r>
      <w:r>
        <w:rPr>
          <w:b/>
          <w:color w:val="231F20"/>
          <w:w w:val="110"/>
          <w:sz w:val="18"/>
        </w:rPr>
        <w:t>tellers</w:t>
      </w:r>
      <w:r>
        <w:rPr>
          <w:b/>
          <w:color w:val="231F20"/>
          <w:spacing w:val="7"/>
          <w:w w:val="110"/>
          <w:sz w:val="18"/>
        </w:rPr>
        <w:t> </w:t>
      </w:r>
      <w:r>
        <w:rPr>
          <w:b/>
          <w:color w:val="231F20"/>
          <w:w w:val="110"/>
          <w:sz w:val="18"/>
        </w:rPr>
        <w:t>or</w:t>
      </w:r>
      <w:r>
        <w:rPr>
          <w:b/>
          <w:color w:val="231F20"/>
          <w:spacing w:val="7"/>
          <w:w w:val="110"/>
          <w:sz w:val="18"/>
        </w:rPr>
        <w:t> </w:t>
      </w:r>
      <w:r>
        <w:rPr>
          <w:b/>
          <w:color w:val="231F20"/>
          <w:w w:val="110"/>
          <w:sz w:val="18"/>
        </w:rPr>
        <w:t>any</w:t>
      </w:r>
      <w:r>
        <w:rPr>
          <w:b/>
          <w:color w:val="231F20"/>
          <w:spacing w:val="8"/>
          <w:w w:val="110"/>
          <w:sz w:val="18"/>
        </w:rPr>
        <w:t> </w:t>
      </w:r>
      <w:r>
        <w:rPr>
          <w:b/>
          <w:color w:val="231F20"/>
          <w:w w:val="110"/>
          <w:sz w:val="18"/>
        </w:rPr>
        <w:t>two</w:t>
      </w:r>
      <w:r>
        <w:rPr>
          <w:b/>
          <w:color w:val="231F20"/>
          <w:spacing w:val="7"/>
          <w:w w:val="110"/>
          <w:sz w:val="18"/>
        </w:rPr>
        <w:t> </w:t>
      </w:r>
      <w:r>
        <w:rPr>
          <w:b/>
          <w:color w:val="231F20"/>
          <w:w w:val="110"/>
          <w:sz w:val="18"/>
        </w:rPr>
        <w:t>of</w:t>
      </w:r>
      <w:r>
        <w:rPr>
          <w:b/>
          <w:color w:val="231F20"/>
          <w:spacing w:val="7"/>
          <w:w w:val="110"/>
          <w:sz w:val="18"/>
        </w:rPr>
        <w:t> </w:t>
      </w:r>
      <w:r>
        <w:rPr>
          <w:b/>
          <w:color w:val="231F20"/>
          <w:w w:val="110"/>
          <w:sz w:val="18"/>
        </w:rPr>
        <w:t>them,</w:t>
      </w:r>
      <w:r>
        <w:rPr>
          <w:b/>
          <w:color w:val="231F20"/>
          <w:spacing w:val="7"/>
          <w:w w:val="110"/>
          <w:sz w:val="18"/>
        </w:rPr>
        <w:t> </w:t>
      </w:r>
      <w:r>
        <w:rPr>
          <w:b/>
          <w:color w:val="231F20"/>
          <w:w w:val="110"/>
          <w:sz w:val="18"/>
        </w:rPr>
        <w:t>and</w:t>
      </w:r>
      <w:r>
        <w:rPr>
          <w:b/>
          <w:color w:val="231F20"/>
          <w:spacing w:val="7"/>
          <w:w w:val="110"/>
          <w:sz w:val="18"/>
        </w:rPr>
        <w:t> </w:t>
      </w:r>
      <w:r>
        <w:rPr>
          <w:b/>
          <w:color w:val="231F20"/>
          <w:w w:val="110"/>
          <w:sz w:val="18"/>
        </w:rPr>
        <w:t>shall</w:t>
      </w:r>
      <w:r>
        <w:rPr>
          <w:b/>
          <w:color w:val="231F20"/>
          <w:spacing w:val="7"/>
          <w:w w:val="110"/>
          <w:sz w:val="18"/>
        </w:rPr>
        <w:t> </w:t>
      </w:r>
      <w:r>
        <w:rPr>
          <w:b/>
          <w:color w:val="231F20"/>
          <w:w w:val="110"/>
          <w:sz w:val="18"/>
        </w:rPr>
        <w:t>be</w:t>
      </w:r>
      <w:r>
        <w:rPr>
          <w:b/>
          <w:color w:val="231F20"/>
          <w:spacing w:val="7"/>
          <w:w w:val="110"/>
          <w:sz w:val="18"/>
        </w:rPr>
        <w:t> </w:t>
      </w:r>
      <w:r>
        <w:rPr>
          <w:b/>
          <w:color w:val="231F20"/>
          <w:w w:val="110"/>
          <w:sz w:val="18"/>
        </w:rPr>
        <w:t>retained</w:t>
      </w:r>
      <w:r>
        <w:rPr>
          <w:b/>
          <w:color w:val="231F20"/>
          <w:spacing w:val="8"/>
          <w:w w:val="110"/>
          <w:sz w:val="18"/>
        </w:rPr>
        <w:t> </w:t>
      </w:r>
      <w:r>
        <w:rPr>
          <w:b/>
          <w:color w:val="231F20"/>
          <w:w w:val="110"/>
          <w:sz w:val="18"/>
        </w:rPr>
        <w:t>by</w:t>
      </w:r>
    </w:p>
    <w:p>
      <w:pPr>
        <w:spacing w:line="273" w:lineRule="auto" w:before="2"/>
        <w:ind w:left="2261" w:right="1365" w:firstLine="0"/>
        <w:jc w:val="left"/>
        <w:rPr>
          <w:b/>
          <w:sz w:val="18"/>
        </w:rPr>
      </w:pPr>
      <w:r>
        <w:rPr>
          <w:b/>
          <w:color w:val="231F20"/>
          <w:w w:val="110"/>
          <w:sz w:val="18"/>
        </w:rPr>
        <w:t>the General Secretary for one month after the election, and shall then be destroyed.</w:t>
      </w:r>
    </w:p>
    <w:p>
      <w:pPr>
        <w:pStyle w:val="BodyText"/>
        <w:spacing w:before="8"/>
        <w:rPr>
          <w:b/>
          <w:sz w:val="20"/>
        </w:rPr>
      </w:pPr>
    </w:p>
    <w:p>
      <w:pPr>
        <w:pStyle w:val="ListParagraph"/>
        <w:numPr>
          <w:ilvl w:val="1"/>
          <w:numId w:val="54"/>
        </w:numPr>
        <w:tabs>
          <w:tab w:pos="2681" w:val="left" w:leader="none"/>
        </w:tabs>
        <w:spacing w:line="273" w:lineRule="auto" w:before="0" w:after="0"/>
        <w:ind w:left="2261" w:right="1705" w:hanging="341"/>
        <w:jc w:val="both"/>
        <w:rPr>
          <w:b/>
          <w:sz w:val="18"/>
        </w:rPr>
      </w:pPr>
      <w:r>
        <w:rPr>
          <w:b/>
          <w:color w:val="231F20"/>
          <w:w w:val="110"/>
          <w:sz w:val="18"/>
        </w:rPr>
        <w:t>At each biennial </w:t>
      </w:r>
      <w:r>
        <w:rPr>
          <w:b/>
          <w:color w:val="231F20"/>
          <w:spacing w:val="2"/>
          <w:w w:val="110"/>
          <w:sz w:val="18"/>
        </w:rPr>
        <w:t>Meeting </w:t>
      </w:r>
      <w:r>
        <w:rPr>
          <w:b/>
          <w:color w:val="231F20"/>
          <w:w w:val="110"/>
          <w:sz w:val="18"/>
        </w:rPr>
        <w:t>the </w:t>
      </w:r>
      <w:r>
        <w:rPr>
          <w:b/>
          <w:color w:val="231F20"/>
          <w:spacing w:val="2"/>
          <w:w w:val="110"/>
          <w:sz w:val="18"/>
        </w:rPr>
        <w:t>Assembly </w:t>
      </w:r>
      <w:r>
        <w:rPr>
          <w:b/>
          <w:color w:val="231F20"/>
          <w:w w:val="110"/>
          <w:sz w:val="18"/>
        </w:rPr>
        <w:t>shall  appoint,  upon the</w:t>
      </w:r>
      <w:r>
        <w:rPr>
          <w:b/>
          <w:color w:val="231F20"/>
          <w:spacing w:val="13"/>
          <w:w w:val="110"/>
          <w:sz w:val="18"/>
        </w:rPr>
        <w:t> </w:t>
      </w:r>
      <w:r>
        <w:rPr>
          <w:b/>
          <w:color w:val="231F20"/>
          <w:w w:val="110"/>
          <w:sz w:val="18"/>
        </w:rPr>
        <w:t>nomination</w:t>
      </w:r>
      <w:r>
        <w:rPr>
          <w:b/>
          <w:color w:val="231F20"/>
          <w:spacing w:val="13"/>
          <w:w w:val="110"/>
          <w:sz w:val="18"/>
        </w:rPr>
        <w:t> </w:t>
      </w:r>
      <w:r>
        <w:rPr>
          <w:b/>
          <w:color w:val="231F20"/>
          <w:w w:val="110"/>
          <w:sz w:val="18"/>
        </w:rPr>
        <w:t>of</w:t>
      </w:r>
      <w:r>
        <w:rPr>
          <w:b/>
          <w:color w:val="231F20"/>
          <w:spacing w:val="13"/>
          <w:w w:val="110"/>
          <w:sz w:val="18"/>
        </w:rPr>
        <w:t> </w:t>
      </w:r>
      <w:r>
        <w:rPr>
          <w:b/>
          <w:color w:val="231F20"/>
          <w:w w:val="110"/>
          <w:sz w:val="18"/>
        </w:rPr>
        <w:t>the</w:t>
      </w:r>
      <w:r>
        <w:rPr>
          <w:b/>
          <w:color w:val="231F20"/>
          <w:spacing w:val="13"/>
          <w:w w:val="110"/>
          <w:sz w:val="18"/>
        </w:rPr>
        <w:t> </w:t>
      </w:r>
      <w:r>
        <w:rPr>
          <w:b/>
          <w:color w:val="231F20"/>
          <w:w w:val="110"/>
          <w:sz w:val="18"/>
        </w:rPr>
        <w:t>Nominations</w:t>
      </w:r>
      <w:r>
        <w:rPr>
          <w:b/>
          <w:color w:val="231F20"/>
          <w:spacing w:val="13"/>
          <w:w w:val="110"/>
          <w:sz w:val="18"/>
        </w:rPr>
        <w:t> </w:t>
      </w:r>
      <w:r>
        <w:rPr>
          <w:b/>
          <w:color w:val="231F20"/>
          <w:spacing w:val="2"/>
          <w:w w:val="110"/>
          <w:sz w:val="18"/>
        </w:rPr>
        <w:t>Committee,</w:t>
      </w:r>
      <w:r>
        <w:rPr>
          <w:b/>
          <w:color w:val="231F20"/>
          <w:spacing w:val="13"/>
          <w:w w:val="110"/>
          <w:sz w:val="18"/>
        </w:rPr>
        <w:t> </w:t>
      </w:r>
      <w:r>
        <w:rPr>
          <w:b/>
          <w:color w:val="231F20"/>
          <w:spacing w:val="2"/>
          <w:w w:val="110"/>
          <w:sz w:val="18"/>
        </w:rPr>
        <w:t>three</w:t>
      </w:r>
      <w:r>
        <w:rPr>
          <w:b/>
          <w:color w:val="231F20"/>
          <w:spacing w:val="13"/>
          <w:w w:val="110"/>
          <w:sz w:val="18"/>
        </w:rPr>
        <w:t> </w:t>
      </w:r>
      <w:r>
        <w:rPr>
          <w:b/>
          <w:color w:val="231F20"/>
          <w:w w:val="110"/>
          <w:sz w:val="18"/>
        </w:rPr>
        <w:t>tellers</w:t>
      </w:r>
      <w:r>
        <w:rPr>
          <w:b/>
          <w:color w:val="231F20"/>
          <w:spacing w:val="13"/>
          <w:w w:val="110"/>
          <w:sz w:val="18"/>
        </w:rPr>
        <w:t> </w:t>
      </w:r>
      <w:r>
        <w:rPr>
          <w:b/>
          <w:color w:val="231F20"/>
          <w:w w:val="110"/>
          <w:sz w:val="18"/>
        </w:rPr>
        <w:t>to</w:t>
      </w:r>
      <w:r>
        <w:rPr>
          <w:b/>
          <w:color w:val="231F20"/>
          <w:spacing w:val="13"/>
          <w:w w:val="110"/>
          <w:sz w:val="18"/>
        </w:rPr>
        <w:t> </w:t>
      </w:r>
      <w:r>
        <w:rPr>
          <w:b/>
          <w:color w:val="231F20"/>
          <w:w w:val="110"/>
          <w:sz w:val="18"/>
        </w:rPr>
        <w:t>be</w:t>
      </w:r>
    </w:p>
    <w:p>
      <w:pPr>
        <w:spacing w:line="273" w:lineRule="auto" w:before="1"/>
        <w:ind w:left="2261" w:right="1441" w:firstLine="0"/>
        <w:jc w:val="both"/>
        <w:rPr>
          <w:b/>
          <w:sz w:val="18"/>
        </w:rPr>
      </w:pPr>
      <w:r>
        <w:rPr>
          <w:b/>
          <w:color w:val="231F20"/>
          <w:w w:val="110"/>
          <w:sz w:val="18"/>
        </w:rPr>
        <w:t>responsible for the ballot for the ensuing Assembly. The counting of the votes cast shall take place in secret under their supervision and control and they shall:</w:t>
      </w:r>
    </w:p>
    <w:p>
      <w:pPr>
        <w:pStyle w:val="BodyText"/>
        <w:spacing w:before="9"/>
        <w:rPr>
          <w:b/>
          <w:sz w:val="20"/>
        </w:rPr>
      </w:pPr>
    </w:p>
    <w:p>
      <w:pPr>
        <w:pStyle w:val="ListParagraph"/>
        <w:numPr>
          <w:ilvl w:val="2"/>
          <w:numId w:val="54"/>
        </w:numPr>
        <w:tabs>
          <w:tab w:pos="2760" w:val="left" w:leader="none"/>
        </w:tabs>
        <w:spacing w:line="273" w:lineRule="auto" w:before="0" w:after="0"/>
        <w:ind w:left="2261" w:right="1320" w:hanging="341"/>
        <w:jc w:val="left"/>
        <w:rPr>
          <w:b/>
          <w:sz w:val="18"/>
        </w:rPr>
      </w:pPr>
      <w:r>
        <w:rPr>
          <w:b/>
          <w:color w:val="231F20"/>
          <w:w w:val="110"/>
          <w:sz w:val="18"/>
        </w:rPr>
        <w:t>inform the General </w:t>
      </w:r>
      <w:r>
        <w:rPr>
          <w:b/>
          <w:color w:val="231F20"/>
          <w:spacing w:val="3"/>
          <w:w w:val="110"/>
          <w:sz w:val="18"/>
        </w:rPr>
        <w:t>Secretary </w:t>
      </w:r>
      <w:r>
        <w:rPr>
          <w:b/>
          <w:color w:val="231F20"/>
          <w:w w:val="110"/>
          <w:sz w:val="18"/>
        </w:rPr>
        <w:t>of the name of the </w:t>
      </w:r>
      <w:r>
        <w:rPr>
          <w:b/>
          <w:color w:val="231F20"/>
          <w:spacing w:val="2"/>
          <w:w w:val="110"/>
          <w:sz w:val="18"/>
        </w:rPr>
        <w:t>persons elected </w:t>
      </w:r>
      <w:r>
        <w:rPr>
          <w:b/>
          <w:color w:val="231F20"/>
          <w:w w:val="110"/>
          <w:sz w:val="18"/>
        </w:rPr>
        <w:t>and the General </w:t>
      </w:r>
      <w:r>
        <w:rPr>
          <w:b/>
          <w:color w:val="231F20"/>
          <w:spacing w:val="3"/>
          <w:w w:val="110"/>
          <w:sz w:val="18"/>
        </w:rPr>
        <w:t>Secretary </w:t>
      </w:r>
      <w:r>
        <w:rPr>
          <w:b/>
          <w:color w:val="231F20"/>
          <w:w w:val="110"/>
          <w:sz w:val="18"/>
        </w:rPr>
        <w:t>shall </w:t>
      </w:r>
      <w:r>
        <w:rPr>
          <w:b/>
          <w:color w:val="231F20"/>
          <w:spacing w:val="2"/>
          <w:w w:val="110"/>
          <w:sz w:val="18"/>
        </w:rPr>
        <w:t>thereupon </w:t>
      </w:r>
      <w:r>
        <w:rPr>
          <w:b/>
          <w:color w:val="231F20"/>
          <w:w w:val="110"/>
          <w:sz w:val="18"/>
        </w:rPr>
        <w:t>individually inform </w:t>
      </w:r>
      <w:r>
        <w:rPr>
          <w:b/>
          <w:color w:val="231F20"/>
          <w:spacing w:val="2"/>
          <w:w w:val="110"/>
          <w:sz w:val="18"/>
        </w:rPr>
        <w:t>those </w:t>
      </w:r>
      <w:r>
        <w:rPr>
          <w:b/>
          <w:color w:val="231F20"/>
          <w:w w:val="110"/>
          <w:sz w:val="18"/>
        </w:rPr>
        <w:t>nominated whether or not they have </w:t>
      </w:r>
      <w:r>
        <w:rPr>
          <w:b/>
          <w:color w:val="231F20"/>
          <w:spacing w:val="2"/>
          <w:w w:val="110"/>
          <w:sz w:val="18"/>
        </w:rPr>
        <w:t>been</w:t>
      </w:r>
      <w:r>
        <w:rPr>
          <w:b/>
          <w:color w:val="231F20"/>
          <w:spacing w:val="14"/>
          <w:w w:val="110"/>
          <w:sz w:val="18"/>
        </w:rPr>
        <w:t> </w:t>
      </w:r>
      <w:r>
        <w:rPr>
          <w:b/>
          <w:color w:val="231F20"/>
          <w:spacing w:val="2"/>
          <w:w w:val="110"/>
          <w:sz w:val="18"/>
        </w:rPr>
        <w:t>elected.</w:t>
      </w:r>
    </w:p>
    <w:p>
      <w:pPr>
        <w:pStyle w:val="BodyText"/>
        <w:spacing w:before="9"/>
        <w:rPr>
          <w:b/>
          <w:sz w:val="20"/>
        </w:rPr>
      </w:pPr>
    </w:p>
    <w:p>
      <w:pPr>
        <w:pStyle w:val="ListParagraph"/>
        <w:numPr>
          <w:ilvl w:val="2"/>
          <w:numId w:val="54"/>
        </w:numPr>
        <w:tabs>
          <w:tab w:pos="2763" w:val="left" w:leader="none"/>
        </w:tabs>
        <w:spacing w:line="273" w:lineRule="auto" w:before="0" w:after="0"/>
        <w:ind w:left="2261" w:right="1739" w:hanging="341"/>
        <w:jc w:val="left"/>
        <w:rPr>
          <w:b/>
          <w:sz w:val="18"/>
        </w:rPr>
      </w:pPr>
      <w:r>
        <w:rPr>
          <w:b/>
          <w:color w:val="231F20"/>
          <w:spacing w:val="2"/>
          <w:w w:val="110"/>
          <w:sz w:val="18"/>
        </w:rPr>
        <w:t>report </w:t>
      </w:r>
      <w:r>
        <w:rPr>
          <w:b/>
          <w:color w:val="231F20"/>
          <w:w w:val="110"/>
          <w:sz w:val="18"/>
        </w:rPr>
        <w:t>to the </w:t>
      </w:r>
      <w:r>
        <w:rPr>
          <w:b/>
          <w:color w:val="231F20"/>
          <w:spacing w:val="2"/>
          <w:w w:val="110"/>
          <w:sz w:val="18"/>
        </w:rPr>
        <w:t>Assembly </w:t>
      </w:r>
      <w:r>
        <w:rPr>
          <w:b/>
          <w:color w:val="231F20"/>
          <w:w w:val="110"/>
          <w:sz w:val="18"/>
        </w:rPr>
        <w:t>the name of the </w:t>
      </w:r>
      <w:r>
        <w:rPr>
          <w:b/>
          <w:color w:val="231F20"/>
          <w:spacing w:val="2"/>
          <w:w w:val="110"/>
          <w:sz w:val="18"/>
        </w:rPr>
        <w:t>persons elected, </w:t>
      </w:r>
      <w:r>
        <w:rPr>
          <w:b/>
          <w:color w:val="231F20"/>
          <w:w w:val="110"/>
          <w:sz w:val="18"/>
        </w:rPr>
        <w:t>the number of </w:t>
      </w:r>
      <w:r>
        <w:rPr>
          <w:b/>
          <w:color w:val="231F20"/>
          <w:spacing w:val="2"/>
          <w:w w:val="110"/>
          <w:sz w:val="18"/>
        </w:rPr>
        <w:t>papers received </w:t>
      </w:r>
      <w:r>
        <w:rPr>
          <w:b/>
          <w:color w:val="231F20"/>
          <w:w w:val="110"/>
          <w:sz w:val="18"/>
        </w:rPr>
        <w:t>and the number of </w:t>
      </w:r>
      <w:r>
        <w:rPr>
          <w:b/>
          <w:color w:val="231F20"/>
          <w:spacing w:val="2"/>
          <w:w w:val="110"/>
          <w:sz w:val="18"/>
        </w:rPr>
        <w:t>papers </w:t>
      </w:r>
      <w:r>
        <w:rPr>
          <w:b/>
          <w:color w:val="231F20"/>
          <w:w w:val="110"/>
          <w:sz w:val="18"/>
        </w:rPr>
        <w:t>which were invalid.</w:t>
      </w:r>
    </w:p>
    <w:p>
      <w:pPr>
        <w:pStyle w:val="BodyText"/>
        <w:spacing w:before="9"/>
        <w:rPr>
          <w:b/>
          <w:sz w:val="20"/>
        </w:rPr>
      </w:pPr>
    </w:p>
    <w:p>
      <w:pPr>
        <w:pStyle w:val="ListParagraph"/>
        <w:numPr>
          <w:ilvl w:val="1"/>
          <w:numId w:val="54"/>
        </w:numPr>
        <w:tabs>
          <w:tab w:pos="2680" w:val="left" w:leader="none"/>
          <w:tab w:pos="2681" w:val="left" w:leader="none"/>
        </w:tabs>
        <w:spacing w:line="273" w:lineRule="auto" w:before="0" w:after="0"/>
        <w:ind w:left="2261" w:right="1854" w:hanging="341"/>
        <w:jc w:val="left"/>
        <w:rPr>
          <w:b/>
          <w:sz w:val="18"/>
        </w:rPr>
      </w:pPr>
      <w:r>
        <w:rPr>
          <w:b/>
          <w:color w:val="231F20"/>
          <w:w w:val="110"/>
          <w:sz w:val="18"/>
        </w:rPr>
        <w:t>If any of the tellers appointed by the </w:t>
      </w:r>
      <w:r>
        <w:rPr>
          <w:b/>
          <w:color w:val="231F20"/>
          <w:spacing w:val="2"/>
          <w:w w:val="110"/>
          <w:sz w:val="18"/>
        </w:rPr>
        <w:t>Assembly </w:t>
      </w:r>
      <w:r>
        <w:rPr>
          <w:b/>
          <w:color w:val="231F20"/>
          <w:w w:val="110"/>
          <w:sz w:val="18"/>
        </w:rPr>
        <w:t>shall </w:t>
      </w:r>
      <w:r>
        <w:rPr>
          <w:b/>
          <w:color w:val="231F20"/>
          <w:spacing w:val="2"/>
          <w:w w:val="110"/>
          <w:sz w:val="18"/>
        </w:rPr>
        <w:t>become </w:t>
      </w:r>
      <w:r>
        <w:rPr>
          <w:b/>
          <w:color w:val="231F20"/>
          <w:w w:val="110"/>
          <w:sz w:val="18"/>
        </w:rPr>
        <w:t>incapable of acting the Moderator shall fill any such vacancy or vacancies and </w:t>
      </w:r>
      <w:r>
        <w:rPr>
          <w:b/>
          <w:color w:val="231F20"/>
          <w:spacing w:val="3"/>
          <w:w w:val="110"/>
          <w:sz w:val="18"/>
        </w:rPr>
        <w:t>report </w:t>
      </w:r>
      <w:r>
        <w:rPr>
          <w:b/>
          <w:color w:val="231F20"/>
          <w:w w:val="110"/>
          <w:sz w:val="18"/>
        </w:rPr>
        <w:t>that </w:t>
      </w:r>
      <w:r>
        <w:rPr>
          <w:b/>
          <w:color w:val="231F20"/>
          <w:spacing w:val="2"/>
          <w:w w:val="110"/>
          <w:sz w:val="18"/>
        </w:rPr>
        <w:t>action </w:t>
      </w:r>
      <w:r>
        <w:rPr>
          <w:b/>
          <w:color w:val="231F20"/>
          <w:w w:val="110"/>
          <w:sz w:val="18"/>
        </w:rPr>
        <w:t>to the</w:t>
      </w:r>
      <w:r>
        <w:rPr>
          <w:b/>
          <w:color w:val="231F20"/>
          <w:spacing w:val="13"/>
          <w:w w:val="110"/>
          <w:sz w:val="18"/>
        </w:rPr>
        <w:t> </w:t>
      </w:r>
      <w:r>
        <w:rPr>
          <w:b/>
          <w:color w:val="231F20"/>
          <w:w w:val="110"/>
          <w:sz w:val="18"/>
        </w:rPr>
        <w:t>Assembly.</w:t>
      </w:r>
    </w:p>
    <w:p>
      <w:pPr>
        <w:pStyle w:val="BodyText"/>
        <w:spacing w:before="8"/>
        <w:rPr>
          <w:b/>
          <w:sz w:val="20"/>
        </w:rPr>
      </w:pPr>
    </w:p>
    <w:p>
      <w:pPr>
        <w:pStyle w:val="ListParagraph"/>
        <w:numPr>
          <w:ilvl w:val="1"/>
          <w:numId w:val="54"/>
        </w:numPr>
        <w:tabs>
          <w:tab w:pos="2680" w:val="left" w:leader="none"/>
          <w:tab w:pos="2681" w:val="left" w:leader="none"/>
        </w:tabs>
        <w:spacing w:line="273" w:lineRule="auto" w:before="1" w:after="0"/>
        <w:ind w:left="2261" w:right="1292" w:hanging="341"/>
        <w:jc w:val="left"/>
        <w:rPr>
          <w:b/>
          <w:sz w:val="18"/>
        </w:rPr>
      </w:pPr>
      <w:r>
        <w:rPr>
          <w:b/>
          <w:color w:val="231F20"/>
          <w:w w:val="110"/>
          <w:sz w:val="18"/>
        </w:rPr>
        <w:t>Upon </w:t>
      </w:r>
      <w:r>
        <w:rPr>
          <w:b/>
          <w:color w:val="231F20"/>
          <w:spacing w:val="2"/>
          <w:w w:val="110"/>
          <w:sz w:val="18"/>
        </w:rPr>
        <w:t>receipt </w:t>
      </w:r>
      <w:r>
        <w:rPr>
          <w:b/>
          <w:color w:val="231F20"/>
          <w:w w:val="110"/>
          <w:sz w:val="18"/>
        </w:rPr>
        <w:t>of the </w:t>
      </w:r>
      <w:r>
        <w:rPr>
          <w:b/>
          <w:color w:val="231F20"/>
          <w:spacing w:val="2"/>
          <w:w w:val="110"/>
          <w:sz w:val="18"/>
        </w:rPr>
        <w:t>report </w:t>
      </w:r>
      <w:r>
        <w:rPr>
          <w:b/>
          <w:color w:val="231F20"/>
          <w:w w:val="110"/>
          <w:sz w:val="18"/>
        </w:rPr>
        <w:t>of the tellers by the </w:t>
      </w:r>
      <w:r>
        <w:rPr>
          <w:b/>
          <w:color w:val="231F20"/>
          <w:spacing w:val="2"/>
          <w:w w:val="110"/>
          <w:sz w:val="18"/>
        </w:rPr>
        <w:t>Assembly </w:t>
      </w:r>
      <w:r>
        <w:rPr>
          <w:b/>
          <w:color w:val="231F20"/>
          <w:w w:val="110"/>
          <w:sz w:val="18"/>
        </w:rPr>
        <w:t>the </w:t>
      </w:r>
      <w:r>
        <w:rPr>
          <w:b/>
          <w:color w:val="231F20"/>
          <w:spacing w:val="2"/>
          <w:w w:val="110"/>
          <w:sz w:val="18"/>
        </w:rPr>
        <w:t>persons elected </w:t>
      </w:r>
      <w:r>
        <w:rPr>
          <w:b/>
          <w:color w:val="231F20"/>
          <w:w w:val="110"/>
          <w:sz w:val="18"/>
        </w:rPr>
        <w:t>shall </w:t>
      </w:r>
      <w:r>
        <w:rPr>
          <w:b/>
          <w:color w:val="231F20"/>
          <w:spacing w:val="2"/>
          <w:w w:val="110"/>
          <w:sz w:val="18"/>
        </w:rPr>
        <w:t>thereupon become </w:t>
      </w:r>
      <w:r>
        <w:rPr>
          <w:b/>
          <w:color w:val="231F20"/>
          <w:w w:val="110"/>
          <w:sz w:val="18"/>
        </w:rPr>
        <w:t>the duly </w:t>
      </w:r>
      <w:r>
        <w:rPr>
          <w:b/>
          <w:color w:val="231F20"/>
          <w:spacing w:val="2"/>
          <w:w w:val="110"/>
          <w:sz w:val="18"/>
        </w:rPr>
        <w:t>elected </w:t>
      </w:r>
      <w:r>
        <w:rPr>
          <w:b/>
          <w:color w:val="231F20"/>
          <w:w w:val="110"/>
          <w:sz w:val="18"/>
        </w:rPr>
        <w:t>Moderators for the period commencing at the </w:t>
      </w:r>
      <w:r>
        <w:rPr>
          <w:b/>
          <w:color w:val="231F20"/>
          <w:spacing w:val="2"/>
          <w:w w:val="110"/>
          <w:sz w:val="18"/>
        </w:rPr>
        <w:t>next </w:t>
      </w:r>
      <w:r>
        <w:rPr>
          <w:b/>
          <w:color w:val="231F20"/>
          <w:w w:val="110"/>
          <w:sz w:val="18"/>
        </w:rPr>
        <w:t>biennial </w:t>
      </w:r>
      <w:r>
        <w:rPr>
          <w:b/>
          <w:color w:val="231F20"/>
          <w:spacing w:val="2"/>
          <w:w w:val="110"/>
          <w:sz w:val="18"/>
        </w:rPr>
        <w:t>Meeting </w:t>
      </w:r>
      <w:r>
        <w:rPr>
          <w:b/>
          <w:color w:val="231F20"/>
          <w:w w:val="110"/>
          <w:sz w:val="18"/>
        </w:rPr>
        <w:t>of the Assembly.</w:t>
      </w:r>
    </w:p>
    <w:p>
      <w:pPr>
        <w:pStyle w:val="BodyText"/>
        <w:rPr>
          <w:b/>
          <w:sz w:val="22"/>
        </w:rPr>
      </w:pPr>
    </w:p>
    <w:p>
      <w:pPr>
        <w:pStyle w:val="BodyText"/>
        <w:spacing w:before="4"/>
        <w:rPr>
          <w:b/>
          <w:sz w:val="19"/>
        </w:rPr>
      </w:pPr>
    </w:p>
    <w:p>
      <w:pPr>
        <w:pStyle w:val="BodyText"/>
        <w:tabs>
          <w:tab w:pos="1960" w:val="left" w:leader="none"/>
        </w:tabs>
        <w:spacing w:line="273" w:lineRule="auto"/>
        <w:ind w:left="1240" w:right="1593"/>
      </w:pPr>
      <w:r>
        <w:rPr>
          <w:color w:val="231F20"/>
          <w:w w:val="110"/>
        </w:rPr>
        <w:t>3.</w:t>
        <w:tab/>
        <w:t>General Assembly resolves to amend Paragraph 6.3 of the Rules of Procedure to read:</w:t>
      </w:r>
    </w:p>
    <w:p>
      <w:pPr>
        <w:pStyle w:val="BodyText"/>
        <w:spacing w:before="8"/>
        <w:rPr>
          <w:sz w:val="20"/>
        </w:rPr>
      </w:pPr>
    </w:p>
    <w:p>
      <w:pPr>
        <w:tabs>
          <w:tab w:pos="2680" w:val="left" w:leader="none"/>
        </w:tabs>
        <w:spacing w:line="273" w:lineRule="auto" w:before="0"/>
        <w:ind w:left="2261" w:right="1143" w:hanging="341"/>
        <w:jc w:val="left"/>
        <w:rPr>
          <w:b/>
          <w:sz w:val="18"/>
        </w:rPr>
      </w:pPr>
      <w:r>
        <w:rPr>
          <w:b/>
          <w:color w:val="231F20"/>
          <w:w w:val="110"/>
          <w:sz w:val="18"/>
        </w:rPr>
        <w:t>6.3</w:t>
        <w:tab/>
        <w:t>Each synod shall at </w:t>
      </w:r>
      <w:r>
        <w:rPr>
          <w:b/>
          <w:color w:val="231F20"/>
          <w:spacing w:val="2"/>
          <w:w w:val="110"/>
          <w:sz w:val="18"/>
        </w:rPr>
        <w:t>its discretion </w:t>
      </w:r>
      <w:r>
        <w:rPr>
          <w:b/>
          <w:color w:val="231F20"/>
          <w:w w:val="110"/>
          <w:sz w:val="18"/>
        </w:rPr>
        <w:t>be divided into </w:t>
      </w:r>
      <w:r>
        <w:rPr>
          <w:b/>
          <w:color w:val="231F20"/>
          <w:spacing w:val="2"/>
          <w:w w:val="110"/>
          <w:sz w:val="18"/>
        </w:rPr>
        <w:t>districts </w:t>
      </w:r>
      <w:r>
        <w:rPr>
          <w:b/>
          <w:color w:val="231F20"/>
          <w:spacing w:val="-5"/>
          <w:w w:val="110"/>
          <w:sz w:val="18"/>
        </w:rPr>
        <w:t>(or </w:t>
      </w:r>
      <w:r>
        <w:rPr>
          <w:b/>
          <w:color w:val="231F20"/>
          <w:w w:val="110"/>
          <w:sz w:val="18"/>
        </w:rPr>
        <w:t>areas in Scotland) whose number and boundaries the synod shall have   power to determine from time to time, all such changes to be </w:t>
      </w:r>
      <w:r>
        <w:rPr>
          <w:b/>
          <w:color w:val="231F20"/>
          <w:spacing w:val="3"/>
          <w:w w:val="110"/>
          <w:sz w:val="18"/>
        </w:rPr>
        <w:t>reported </w:t>
      </w:r>
      <w:r>
        <w:rPr>
          <w:b/>
          <w:color w:val="231F20"/>
          <w:w w:val="110"/>
          <w:sz w:val="18"/>
        </w:rPr>
        <w:t>to the General</w:t>
      </w:r>
      <w:r>
        <w:rPr>
          <w:b/>
          <w:color w:val="231F20"/>
          <w:spacing w:val="1"/>
          <w:w w:val="110"/>
          <w:sz w:val="18"/>
        </w:rPr>
        <w:t> </w:t>
      </w:r>
      <w:r>
        <w:rPr>
          <w:b/>
          <w:color w:val="231F20"/>
          <w:w w:val="110"/>
          <w:sz w:val="18"/>
        </w:rPr>
        <w:t>Assembly.</w:t>
      </w:r>
    </w:p>
    <w:p>
      <w:pPr>
        <w:pStyle w:val="BodyText"/>
        <w:rPr>
          <w:b/>
          <w:sz w:val="22"/>
        </w:rPr>
      </w:pPr>
    </w:p>
    <w:p>
      <w:pPr>
        <w:pStyle w:val="BodyText"/>
        <w:rPr>
          <w:b/>
          <w:sz w:val="22"/>
        </w:rPr>
      </w:pPr>
    </w:p>
    <w:p>
      <w:pPr>
        <w:spacing w:before="183"/>
        <w:ind w:left="107" w:right="0" w:firstLine="0"/>
        <w:jc w:val="center"/>
        <w:rPr>
          <w:i/>
          <w:sz w:val="24"/>
        </w:rPr>
      </w:pPr>
      <w:r>
        <w:rPr>
          <w:i/>
          <w:color w:val="231F20"/>
          <w:w w:val="600"/>
          <w:sz w:val="24"/>
        </w:rPr>
        <w:t>   </w:t>
      </w:r>
    </w:p>
    <w:p>
      <w:pPr>
        <w:pStyle w:val="BodyText"/>
        <w:spacing w:before="9"/>
        <w:rPr>
          <w:i/>
          <w:sz w:val="10"/>
        </w:rPr>
      </w:pPr>
    </w:p>
    <w:p>
      <w:pPr>
        <w:tabs>
          <w:tab w:pos="10311" w:val="right" w:leader="none"/>
        </w:tabs>
        <w:spacing w:before="55"/>
        <w:ind w:left="6847" w:right="0" w:firstLine="0"/>
        <w:jc w:val="left"/>
        <w:rPr>
          <w:rFonts w:ascii="Eurostile Bold"/>
          <w:b/>
          <w:sz w:val="24"/>
        </w:rPr>
      </w:pPr>
      <w:r>
        <w:rPr>
          <w:rFonts w:ascii="Eurostile Bold"/>
          <w:b/>
          <w:color w:val="A7A9AC"/>
          <w:w w:val="95"/>
          <w:sz w:val="24"/>
        </w:rPr>
        <w:t>General</w:t>
      </w:r>
      <w:r>
        <w:rPr>
          <w:rFonts w:ascii="Eurostile Bold"/>
          <w:b/>
          <w:color w:val="A7A9AC"/>
          <w:spacing w:val="-45"/>
          <w:w w:val="95"/>
          <w:sz w:val="24"/>
        </w:rPr>
        <w:t> </w:t>
      </w:r>
      <w:r>
        <w:rPr>
          <w:rFonts w:ascii="Eurostile Bold"/>
          <w:b/>
          <w:color w:val="A7A9AC"/>
          <w:w w:val="95"/>
          <w:sz w:val="24"/>
        </w:rPr>
        <w:t>Assembly</w:t>
      </w:r>
      <w:r>
        <w:rPr>
          <w:rFonts w:ascii="Eurostile Bold"/>
          <w:b/>
          <w:color w:val="A7A9AC"/>
          <w:spacing w:val="-45"/>
          <w:w w:val="95"/>
          <w:sz w:val="24"/>
        </w:rPr>
        <w:t> </w:t>
      </w:r>
      <w:r>
        <w:rPr>
          <w:rFonts w:ascii="Eurostile Bold"/>
          <w:b/>
          <w:color w:val="A7A9AC"/>
          <w:w w:val="95"/>
          <w:sz w:val="24"/>
        </w:rPr>
        <w:t>2007</w:t>
        <w:tab/>
      </w:r>
      <w:r>
        <w:rPr>
          <w:rFonts w:ascii="Eurostile Bold"/>
          <w:b/>
          <w:color w:val="231F20"/>
          <w:w w:val="95"/>
          <w:sz w:val="24"/>
        </w:rPr>
        <w:t>97</w:t>
      </w:r>
    </w:p>
    <w:p>
      <w:pPr>
        <w:spacing w:after="0"/>
        <w:jc w:val="left"/>
        <w:rPr>
          <w:rFonts w:ascii="Eurostile Bold"/>
          <w:sz w:val="24"/>
        </w:rPr>
        <w:sectPr>
          <w:headerReference w:type="default" r:id="rId113"/>
          <w:footerReference w:type="default" r:id="rId114"/>
          <w:pgSz w:w="11910" w:h="16840"/>
          <w:pgMar w:header="0" w:footer="0" w:top="480" w:bottom="280" w:left="460" w:right="0"/>
        </w:sectPr>
      </w:pPr>
    </w:p>
    <w:p>
      <w:pPr>
        <w:pStyle w:val="BodyText"/>
        <w:spacing w:before="2"/>
        <w:rPr>
          <w:rFonts w:ascii="Eurostile Bold"/>
          <w:b/>
          <w:sz w:val="16"/>
        </w:rPr>
      </w:pPr>
    </w:p>
    <w:p>
      <w:pPr>
        <w:spacing w:after="0"/>
        <w:rPr>
          <w:rFonts w:ascii="Eurostile Bold"/>
          <w:sz w:val="16"/>
        </w:rPr>
        <w:sectPr>
          <w:headerReference w:type="even" r:id="rId115"/>
          <w:footerReference w:type="even" r:id="rId116"/>
          <w:pgSz w:w="11910" w:h="16840"/>
          <w:pgMar w:header="581" w:footer="544" w:top="860" w:bottom="740" w:left="460" w:right="0"/>
          <w:pgNumType w:start="98"/>
        </w:sectPr>
      </w:pPr>
    </w:p>
    <w:p>
      <w:pPr>
        <w:pStyle w:val="BodyText"/>
        <w:spacing w:line="273" w:lineRule="auto" w:before="88"/>
        <w:ind w:left="1169" w:right="5623"/>
      </w:pPr>
      <w:r>
        <w:rPr/>
        <w:pict>
          <v:shape style="position:absolute;margin-left:505.59729pt;margin-top:36.840614pt;width:70.350pt;height:382.5pt;mso-position-horizontal-relative:page;mso-position-vertical-relative:page;z-index:251760640" type="#_x0000_t202" filled="false" stroked="false">
            <v:textbox inset="0,0,0,0" style="layout-flow:vertical">
              <w:txbxContent>
                <w:p>
                  <w:pPr>
                    <w:spacing w:line="1005" w:lineRule="exact" w:before="20"/>
                    <w:ind w:left="20" w:right="0" w:firstLine="0"/>
                    <w:jc w:val="left"/>
                    <w:rPr>
                      <w:b/>
                      <w:sz w:val="88"/>
                    </w:rPr>
                  </w:pPr>
                  <w:r>
                    <w:rPr>
                      <w:b/>
                      <w:color w:val="231F20"/>
                      <w:sz w:val="88"/>
                    </w:rPr>
                    <w:t>Nominations</w:t>
                  </w:r>
                </w:p>
                <w:p>
                  <w:pPr>
                    <w:spacing w:line="380" w:lineRule="exact" w:before="0"/>
                    <w:ind w:left="3852"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rPr>
        <w:t>Convener: Revd Malcolm Hanson [2010] Secretary: Revd Elizabeth J Brown [2009] Synod Representatives:</w:t>
      </w:r>
    </w:p>
    <w:p>
      <w:pPr>
        <w:pStyle w:val="BodyText"/>
        <w:tabs>
          <w:tab w:pos="1889" w:val="left" w:leader="none"/>
          <w:tab w:pos="4769" w:val="left" w:leader="none"/>
          <w:tab w:pos="5489" w:val="left" w:leader="none"/>
        </w:tabs>
        <w:spacing w:before="2"/>
        <w:ind w:left="1169"/>
      </w:pPr>
      <w:r>
        <w:rPr>
          <w:i/>
          <w:color w:val="231F20"/>
          <w:w w:val="110"/>
        </w:rPr>
        <w:t>I</w:t>
        <w:tab/>
      </w:r>
      <w:r>
        <w:rPr>
          <w:color w:val="231F20"/>
          <w:w w:val="110"/>
        </w:rPr>
        <w:t>Revd</w:t>
      </w:r>
      <w:r>
        <w:rPr>
          <w:color w:val="231F20"/>
          <w:spacing w:val="3"/>
          <w:w w:val="110"/>
        </w:rPr>
        <w:t> </w:t>
      </w:r>
      <w:r>
        <w:rPr>
          <w:color w:val="231F20"/>
          <w:w w:val="110"/>
        </w:rPr>
        <w:t>Kevin</w:t>
      </w:r>
      <w:r>
        <w:rPr>
          <w:color w:val="231F20"/>
          <w:spacing w:val="4"/>
          <w:w w:val="110"/>
        </w:rPr>
        <w:t> </w:t>
      </w:r>
      <w:r>
        <w:rPr>
          <w:color w:val="231F20"/>
          <w:w w:val="110"/>
        </w:rPr>
        <w:t>Watson</w:t>
        <w:tab/>
      </w:r>
      <w:r>
        <w:rPr>
          <w:i/>
          <w:color w:val="231F20"/>
          <w:w w:val="110"/>
        </w:rPr>
        <w:t>II</w:t>
        <w:tab/>
      </w:r>
      <w:r>
        <w:rPr>
          <w:color w:val="231F20"/>
          <w:w w:val="110"/>
        </w:rPr>
        <w:t>Revd Ruth</w:t>
      </w:r>
      <w:r>
        <w:rPr>
          <w:color w:val="231F20"/>
          <w:spacing w:val="2"/>
          <w:w w:val="110"/>
        </w:rPr>
        <w:t> </w:t>
      </w:r>
      <w:r>
        <w:rPr>
          <w:color w:val="231F20"/>
          <w:w w:val="110"/>
        </w:rPr>
        <w:t>Wollaston</w:t>
      </w:r>
    </w:p>
    <w:p>
      <w:pPr>
        <w:pStyle w:val="BodyText"/>
        <w:tabs>
          <w:tab w:pos="1889" w:val="left" w:leader="none"/>
          <w:tab w:pos="4769" w:val="left" w:leader="none"/>
          <w:tab w:pos="5489" w:val="left" w:leader="none"/>
        </w:tabs>
        <w:spacing w:line="273" w:lineRule="auto" w:before="31"/>
        <w:ind w:left="1169" w:right="4253"/>
      </w:pPr>
      <w:r>
        <w:rPr>
          <w:i/>
          <w:color w:val="231F20"/>
          <w:w w:val="110"/>
        </w:rPr>
        <w:t>III</w:t>
        <w:tab/>
      </w:r>
      <w:r>
        <w:rPr>
          <w:color w:val="231F20"/>
          <w:w w:val="110"/>
        </w:rPr>
        <w:t>Revd</w:t>
      </w:r>
      <w:r>
        <w:rPr>
          <w:color w:val="231F20"/>
          <w:spacing w:val="9"/>
          <w:w w:val="110"/>
        </w:rPr>
        <w:t> </w:t>
      </w:r>
      <w:r>
        <w:rPr>
          <w:color w:val="231F20"/>
          <w:w w:val="110"/>
        </w:rPr>
        <w:t>John</w:t>
      </w:r>
      <w:r>
        <w:rPr>
          <w:color w:val="231F20"/>
          <w:spacing w:val="9"/>
          <w:w w:val="110"/>
        </w:rPr>
        <w:t> </w:t>
      </w:r>
      <w:r>
        <w:rPr>
          <w:color w:val="231F20"/>
          <w:w w:val="110"/>
        </w:rPr>
        <w:t>Oldershaw</w:t>
        <w:tab/>
      </w:r>
      <w:r>
        <w:rPr>
          <w:i/>
          <w:color w:val="231F20"/>
          <w:w w:val="110"/>
        </w:rPr>
        <w:t>IV</w:t>
        <w:tab/>
      </w:r>
      <w:r>
        <w:rPr>
          <w:color w:val="231F20"/>
          <w:spacing w:val="2"/>
          <w:w w:val="110"/>
        </w:rPr>
        <w:t>Mrs </w:t>
      </w:r>
      <w:r>
        <w:rPr>
          <w:color w:val="231F20"/>
          <w:w w:val="110"/>
        </w:rPr>
        <w:t>Val Morrison </w:t>
      </w:r>
      <w:r>
        <w:rPr>
          <w:i/>
          <w:color w:val="231F20"/>
          <w:w w:val="110"/>
        </w:rPr>
        <w:t>V</w:t>
        <w:tab/>
      </w:r>
      <w:r>
        <w:rPr>
          <w:color w:val="231F20"/>
          <w:spacing w:val="2"/>
          <w:w w:val="110"/>
        </w:rPr>
        <w:t>Mrs</w:t>
      </w:r>
      <w:r>
        <w:rPr>
          <w:color w:val="231F20"/>
          <w:spacing w:val="6"/>
          <w:w w:val="110"/>
        </w:rPr>
        <w:t> </w:t>
      </w:r>
      <w:r>
        <w:rPr>
          <w:color w:val="231F20"/>
          <w:w w:val="110"/>
        </w:rPr>
        <w:t>Irene</w:t>
      </w:r>
      <w:r>
        <w:rPr>
          <w:color w:val="231F20"/>
          <w:spacing w:val="7"/>
          <w:w w:val="110"/>
        </w:rPr>
        <w:t> </w:t>
      </w:r>
      <w:r>
        <w:rPr>
          <w:color w:val="231F20"/>
          <w:w w:val="110"/>
        </w:rPr>
        <w:t>Wren</w:t>
        <w:tab/>
      </w:r>
      <w:r>
        <w:rPr>
          <w:i/>
          <w:color w:val="231F20"/>
          <w:w w:val="110"/>
        </w:rPr>
        <w:t>VI</w:t>
        <w:tab/>
      </w:r>
      <w:r>
        <w:rPr>
          <w:color w:val="231F20"/>
          <w:w w:val="110"/>
        </w:rPr>
        <w:t>Dr </w:t>
      </w:r>
      <w:r>
        <w:rPr>
          <w:color w:val="231F20"/>
          <w:spacing w:val="-5"/>
          <w:w w:val="110"/>
        </w:rPr>
        <w:t>Tony </w:t>
      </w:r>
      <w:r>
        <w:rPr>
          <w:color w:val="231F20"/>
          <w:w w:val="110"/>
        </w:rPr>
        <w:t>Jeans </w:t>
      </w:r>
      <w:r>
        <w:rPr>
          <w:i/>
          <w:color w:val="231F20"/>
          <w:w w:val="110"/>
        </w:rPr>
        <w:t>VII</w:t>
        <w:tab/>
      </w:r>
      <w:r>
        <w:rPr>
          <w:color w:val="231F20"/>
          <w:w w:val="110"/>
        </w:rPr>
        <w:t>Revd Elizabeth Caswell/Revd Richard</w:t>
      </w:r>
      <w:r>
        <w:rPr>
          <w:color w:val="231F20"/>
          <w:spacing w:val="20"/>
          <w:w w:val="110"/>
        </w:rPr>
        <w:t> </w:t>
      </w:r>
      <w:r>
        <w:rPr>
          <w:color w:val="231F20"/>
          <w:w w:val="110"/>
        </w:rPr>
        <w:t>Church</w:t>
      </w:r>
    </w:p>
    <w:p>
      <w:pPr>
        <w:tabs>
          <w:tab w:pos="1889" w:val="left" w:leader="none"/>
          <w:tab w:pos="4769" w:val="left" w:leader="none"/>
          <w:tab w:pos="5489" w:val="left" w:leader="none"/>
        </w:tabs>
        <w:spacing w:before="2"/>
        <w:ind w:left="1169" w:right="0" w:firstLine="0"/>
        <w:jc w:val="left"/>
        <w:rPr>
          <w:sz w:val="18"/>
        </w:rPr>
      </w:pPr>
      <w:r>
        <w:rPr>
          <w:i/>
          <w:color w:val="231F20"/>
          <w:w w:val="110"/>
          <w:sz w:val="18"/>
        </w:rPr>
        <w:t>VIII</w:t>
        <w:tab/>
      </w:r>
      <w:r>
        <w:rPr>
          <w:color w:val="231F20"/>
          <w:w w:val="110"/>
          <w:sz w:val="18"/>
        </w:rPr>
        <w:t>Revd</w:t>
      </w:r>
      <w:r>
        <w:rPr>
          <w:color w:val="231F20"/>
          <w:spacing w:val="6"/>
          <w:w w:val="110"/>
          <w:sz w:val="18"/>
        </w:rPr>
        <w:t> </w:t>
      </w:r>
      <w:r>
        <w:rPr>
          <w:color w:val="231F20"/>
          <w:w w:val="110"/>
          <w:sz w:val="18"/>
        </w:rPr>
        <w:t>Roz</w:t>
      </w:r>
      <w:r>
        <w:rPr>
          <w:color w:val="231F20"/>
          <w:spacing w:val="7"/>
          <w:w w:val="110"/>
          <w:sz w:val="18"/>
        </w:rPr>
        <w:t> </w:t>
      </w:r>
      <w:r>
        <w:rPr>
          <w:color w:val="231F20"/>
          <w:w w:val="110"/>
          <w:sz w:val="18"/>
        </w:rPr>
        <w:t>Harrison</w:t>
        <w:tab/>
      </w:r>
      <w:r>
        <w:rPr>
          <w:i/>
          <w:color w:val="231F20"/>
          <w:w w:val="110"/>
          <w:sz w:val="18"/>
        </w:rPr>
        <w:t>IX</w:t>
        <w:tab/>
      </w:r>
      <w:r>
        <w:rPr>
          <w:color w:val="231F20"/>
          <w:w w:val="110"/>
          <w:sz w:val="18"/>
        </w:rPr>
        <w:t>Mr Peter</w:t>
      </w:r>
      <w:r>
        <w:rPr>
          <w:color w:val="231F20"/>
          <w:spacing w:val="1"/>
          <w:w w:val="110"/>
          <w:sz w:val="18"/>
        </w:rPr>
        <w:t> </w:t>
      </w:r>
      <w:r>
        <w:rPr>
          <w:color w:val="231F20"/>
          <w:w w:val="110"/>
          <w:sz w:val="18"/>
        </w:rPr>
        <w:t>Pay</w:t>
      </w:r>
    </w:p>
    <w:p>
      <w:pPr>
        <w:pStyle w:val="BodyText"/>
        <w:tabs>
          <w:tab w:pos="1889" w:val="left" w:leader="none"/>
          <w:tab w:pos="4769" w:val="left" w:leader="none"/>
          <w:tab w:pos="5489" w:val="left" w:leader="none"/>
        </w:tabs>
        <w:spacing w:line="273" w:lineRule="auto" w:before="31"/>
        <w:ind w:left="1169" w:right="3816"/>
      </w:pPr>
      <w:r>
        <w:rPr>
          <w:i/>
          <w:color w:val="231F20"/>
          <w:w w:val="110"/>
        </w:rPr>
        <w:t>X</w:t>
        <w:tab/>
      </w:r>
      <w:r>
        <w:rPr>
          <w:color w:val="231F20"/>
          <w:w w:val="110"/>
        </w:rPr>
        <w:t>Mr</w:t>
      </w:r>
      <w:r>
        <w:rPr>
          <w:color w:val="231F20"/>
          <w:spacing w:val="6"/>
          <w:w w:val="110"/>
        </w:rPr>
        <w:t> </w:t>
      </w:r>
      <w:r>
        <w:rPr>
          <w:color w:val="231F20"/>
          <w:w w:val="110"/>
        </w:rPr>
        <w:t>Adrian</w:t>
      </w:r>
      <w:r>
        <w:rPr>
          <w:color w:val="231F20"/>
          <w:spacing w:val="5"/>
          <w:w w:val="110"/>
        </w:rPr>
        <w:t> </w:t>
      </w:r>
      <w:r>
        <w:rPr>
          <w:color w:val="231F20"/>
          <w:w w:val="110"/>
        </w:rPr>
        <w:t>West</w:t>
        <w:tab/>
      </w:r>
      <w:r>
        <w:rPr>
          <w:i/>
          <w:color w:val="231F20"/>
          <w:w w:val="110"/>
        </w:rPr>
        <w:t>XI</w:t>
        <w:tab/>
      </w:r>
      <w:r>
        <w:rPr>
          <w:color w:val="231F20"/>
          <w:w w:val="110"/>
        </w:rPr>
        <w:t>Dr Graham Campling </w:t>
      </w:r>
      <w:r>
        <w:rPr>
          <w:i/>
          <w:color w:val="231F20"/>
          <w:w w:val="110"/>
        </w:rPr>
        <w:t>XII</w:t>
        <w:tab/>
      </w:r>
      <w:r>
        <w:rPr>
          <w:color w:val="231F20"/>
          <w:w w:val="110"/>
        </w:rPr>
        <w:t>Dr</w:t>
      </w:r>
      <w:r>
        <w:rPr>
          <w:color w:val="231F20"/>
          <w:spacing w:val="7"/>
          <w:w w:val="110"/>
        </w:rPr>
        <w:t> </w:t>
      </w:r>
      <w:r>
        <w:rPr>
          <w:color w:val="231F20"/>
          <w:w w:val="110"/>
        </w:rPr>
        <w:t>Jean</w:t>
      </w:r>
      <w:r>
        <w:rPr>
          <w:color w:val="231F20"/>
          <w:spacing w:val="8"/>
          <w:w w:val="110"/>
        </w:rPr>
        <w:t> </w:t>
      </w:r>
      <w:r>
        <w:rPr>
          <w:color w:val="231F20"/>
          <w:w w:val="110"/>
        </w:rPr>
        <w:t>Silvan-Evans</w:t>
        <w:tab/>
      </w:r>
      <w:r>
        <w:rPr>
          <w:i/>
          <w:color w:val="231F20"/>
          <w:w w:val="110"/>
        </w:rPr>
        <w:t>XIII</w:t>
        <w:tab/>
      </w:r>
      <w:r>
        <w:rPr>
          <w:color w:val="231F20"/>
          <w:w w:val="110"/>
        </w:rPr>
        <w:t>Dr Jim  </w:t>
      </w:r>
      <w:r>
        <w:rPr>
          <w:color w:val="231F20"/>
          <w:spacing w:val="2"/>
          <w:w w:val="110"/>
        </w:rPr>
        <w:t>Merrilees </w:t>
      </w:r>
      <w:r>
        <w:rPr>
          <w:color w:val="231F20"/>
          <w:w w:val="110"/>
        </w:rPr>
        <w:t>with</w:t>
      </w:r>
      <w:r>
        <w:rPr>
          <w:color w:val="231F20"/>
          <w:spacing w:val="13"/>
          <w:w w:val="110"/>
        </w:rPr>
        <w:t> </w:t>
      </w:r>
      <w:r>
        <w:rPr>
          <w:color w:val="231F20"/>
          <w:w w:val="110"/>
        </w:rPr>
        <w:t>the</w:t>
      </w:r>
      <w:r>
        <w:rPr>
          <w:color w:val="231F20"/>
          <w:spacing w:val="14"/>
          <w:w w:val="110"/>
        </w:rPr>
        <w:t> </w:t>
      </w:r>
      <w:r>
        <w:rPr>
          <w:color w:val="231F20"/>
          <w:w w:val="110"/>
        </w:rPr>
        <w:t>Immediate</w:t>
      </w:r>
      <w:r>
        <w:rPr>
          <w:color w:val="231F20"/>
          <w:spacing w:val="13"/>
          <w:w w:val="110"/>
        </w:rPr>
        <w:t> </w:t>
      </w:r>
      <w:r>
        <w:rPr>
          <w:color w:val="231F20"/>
          <w:w w:val="110"/>
        </w:rPr>
        <w:t>Past</w:t>
      </w:r>
      <w:r>
        <w:rPr>
          <w:color w:val="231F20"/>
          <w:spacing w:val="14"/>
          <w:w w:val="110"/>
        </w:rPr>
        <w:t> </w:t>
      </w:r>
      <w:r>
        <w:rPr>
          <w:color w:val="231F20"/>
          <w:w w:val="110"/>
        </w:rPr>
        <w:t>Moderator</w:t>
      </w:r>
      <w:r>
        <w:rPr>
          <w:color w:val="231F20"/>
          <w:spacing w:val="13"/>
          <w:w w:val="110"/>
        </w:rPr>
        <w:t> </w:t>
      </w:r>
      <w:r>
        <w:rPr>
          <w:color w:val="231F20"/>
          <w:w w:val="110"/>
        </w:rPr>
        <w:t>and</w:t>
      </w:r>
      <w:r>
        <w:rPr>
          <w:color w:val="231F20"/>
          <w:spacing w:val="14"/>
          <w:w w:val="110"/>
        </w:rPr>
        <w:t> </w:t>
      </w:r>
      <w:r>
        <w:rPr>
          <w:color w:val="231F20"/>
          <w:w w:val="110"/>
        </w:rPr>
        <w:t>the</w:t>
      </w:r>
      <w:r>
        <w:rPr>
          <w:color w:val="231F20"/>
          <w:spacing w:val="13"/>
          <w:w w:val="110"/>
        </w:rPr>
        <w:t> </w:t>
      </w:r>
      <w:r>
        <w:rPr>
          <w:color w:val="231F20"/>
          <w:w w:val="110"/>
        </w:rPr>
        <w:t>General</w:t>
      </w:r>
      <w:r>
        <w:rPr>
          <w:color w:val="231F20"/>
          <w:spacing w:val="14"/>
          <w:w w:val="110"/>
        </w:rPr>
        <w:t> </w:t>
      </w:r>
      <w:r>
        <w:rPr>
          <w:color w:val="231F20"/>
          <w:w w:val="110"/>
        </w:rPr>
        <w:t>Secretary.</w:t>
      </w:r>
    </w:p>
    <w:p>
      <w:pPr>
        <w:pStyle w:val="BodyText"/>
        <w:spacing w:before="7"/>
        <w:rPr>
          <w:sz w:val="12"/>
        </w:rPr>
      </w:pPr>
      <w:r>
        <w:rPr/>
        <w:pict>
          <v:shape style="position:absolute;margin-left:81.496002pt;margin-top:9.940269pt;width:396pt;height:.1pt;mso-position-horizontal-relative:page;mso-position-vertical-relative:paragraph;z-index:-251556864;mso-wrap-distance-left:0;mso-wrap-distance-right:0" coordorigin="1630,199" coordsize="7920,0" path="m1630,199l9550,199e" filled="false" stroked="true" strokeweight=".527pt" strokecolor="#231f20">
            <v:path arrowok="t"/>
            <v:stroke dashstyle="solid"/>
            <w10:wrap type="topAndBottom"/>
          </v:shape>
        </w:pict>
      </w:r>
    </w:p>
    <w:p>
      <w:pPr>
        <w:spacing w:line="273" w:lineRule="auto" w:before="18"/>
        <w:ind w:left="1169" w:right="2348" w:firstLine="0"/>
        <w:jc w:val="left"/>
        <w:rPr>
          <w:i/>
          <w:sz w:val="18"/>
        </w:rPr>
      </w:pPr>
      <w:r>
        <w:rPr>
          <w:i/>
          <w:color w:val="231F20"/>
          <w:w w:val="110"/>
          <w:sz w:val="18"/>
        </w:rPr>
        <w:t>This report has been prepared before Assembly has made decisions about </w:t>
      </w:r>
      <w:r>
        <w:rPr>
          <w:i/>
          <w:color w:val="231F20"/>
          <w:w w:val="110"/>
          <w:sz w:val="18"/>
        </w:rPr>
        <w:t>structural changes in the light of Catch the Vision. However, since it is anticipated that some committees may go out of existence, some committee members whose terms are due to end at this Assembly are being asked</w:t>
      </w:r>
    </w:p>
    <w:p>
      <w:pPr>
        <w:spacing w:before="3"/>
        <w:ind w:left="1169" w:right="0" w:firstLine="0"/>
        <w:jc w:val="left"/>
        <w:rPr>
          <w:i/>
          <w:sz w:val="18"/>
        </w:rPr>
      </w:pPr>
      <w:r>
        <w:rPr>
          <w:i/>
          <w:color w:val="231F20"/>
          <w:w w:val="110"/>
          <w:sz w:val="18"/>
        </w:rPr>
        <w:t>to extend their period of service until further decisions have been made.</w:t>
      </w:r>
    </w:p>
    <w:p>
      <w:pPr>
        <w:spacing w:line="273" w:lineRule="auto" w:before="31"/>
        <w:ind w:left="1169" w:right="2348" w:firstLine="0"/>
        <w:jc w:val="left"/>
        <w:rPr>
          <w:i/>
          <w:sz w:val="18"/>
        </w:rPr>
      </w:pPr>
      <w:r>
        <w:rPr>
          <w:i/>
          <w:color w:val="231F20"/>
          <w:w w:val="110"/>
          <w:sz w:val="18"/>
        </w:rPr>
        <w:t>If structural changes are agreed at this Assembly, some modification of </w:t>
      </w:r>
      <w:r>
        <w:rPr>
          <w:i/>
          <w:color w:val="231F20"/>
          <w:w w:val="110"/>
          <w:sz w:val="18"/>
        </w:rPr>
        <w:t>committees will come into effect before next year. (see the Appendix to this Nominations Committee Report, page 111.)</w:t>
      </w:r>
    </w:p>
    <w:p>
      <w:pPr>
        <w:pStyle w:val="BodyText"/>
        <w:spacing w:before="8"/>
        <w:rPr>
          <w:i/>
          <w:sz w:val="20"/>
        </w:rPr>
      </w:pPr>
    </w:p>
    <w:p>
      <w:pPr>
        <w:numPr>
          <w:ilvl w:val="0"/>
          <w:numId w:val="55"/>
        </w:numPr>
        <w:tabs>
          <w:tab w:pos="1889" w:val="left" w:leader="none"/>
          <w:tab w:pos="1890" w:val="left" w:leader="none"/>
        </w:tabs>
        <w:spacing w:before="1"/>
        <w:ind w:left="1889" w:right="0" w:hanging="721"/>
        <w:jc w:val="left"/>
        <w:rPr>
          <w:b/>
          <w:sz w:val="18"/>
        </w:rPr>
      </w:pPr>
      <w:r>
        <w:rPr>
          <w:b/>
          <w:color w:val="231F20"/>
          <w:w w:val="110"/>
          <w:sz w:val="18"/>
        </w:rPr>
        <w:t>ASSEMBLY STAFF APPOINTMENTS</w:t>
      </w:r>
    </w:p>
    <w:p>
      <w:pPr>
        <w:pStyle w:val="BodyText"/>
        <w:spacing w:before="1"/>
        <w:rPr>
          <w:b/>
          <w:sz w:val="23"/>
        </w:rPr>
      </w:pPr>
    </w:p>
    <w:p>
      <w:pPr>
        <w:pStyle w:val="ListParagraph"/>
        <w:numPr>
          <w:ilvl w:val="1"/>
          <w:numId w:val="55"/>
        </w:numPr>
        <w:tabs>
          <w:tab w:pos="1889" w:val="left" w:leader="none"/>
          <w:tab w:pos="1890" w:val="left" w:leader="none"/>
        </w:tabs>
        <w:spacing w:line="273" w:lineRule="auto" w:before="0" w:after="0"/>
        <w:ind w:left="1169" w:right="2169" w:firstLine="0"/>
        <w:jc w:val="left"/>
        <w:rPr>
          <w:sz w:val="18"/>
        </w:rPr>
      </w:pPr>
      <w:r>
        <w:rPr>
          <w:b/>
          <w:color w:val="231F20"/>
          <w:w w:val="110"/>
          <w:sz w:val="18"/>
        </w:rPr>
        <w:t>The Nominating Group, </w:t>
      </w:r>
      <w:r>
        <w:rPr>
          <w:color w:val="231F20"/>
          <w:w w:val="110"/>
          <w:sz w:val="18"/>
        </w:rPr>
        <w:t>convened by the </w:t>
      </w:r>
      <w:r>
        <w:rPr>
          <w:color w:val="231F20"/>
          <w:spacing w:val="-3"/>
          <w:w w:val="110"/>
          <w:sz w:val="18"/>
        </w:rPr>
        <w:t>Revd </w:t>
      </w:r>
      <w:r>
        <w:rPr>
          <w:color w:val="231F20"/>
          <w:w w:val="110"/>
          <w:sz w:val="18"/>
        </w:rPr>
        <w:t>Cecil White, recommended</w:t>
      </w:r>
      <w:r>
        <w:rPr>
          <w:color w:val="231F20"/>
          <w:spacing w:val="-6"/>
          <w:w w:val="110"/>
          <w:sz w:val="18"/>
        </w:rPr>
        <w:t> </w:t>
      </w:r>
      <w:r>
        <w:rPr>
          <w:color w:val="231F20"/>
          <w:w w:val="110"/>
          <w:sz w:val="18"/>
        </w:rPr>
        <w:t>the</w:t>
      </w:r>
      <w:r>
        <w:rPr>
          <w:color w:val="231F20"/>
          <w:spacing w:val="-6"/>
          <w:w w:val="110"/>
          <w:sz w:val="18"/>
        </w:rPr>
        <w:t> </w:t>
      </w:r>
      <w:r>
        <w:rPr>
          <w:color w:val="231F20"/>
          <w:w w:val="110"/>
          <w:sz w:val="18"/>
        </w:rPr>
        <w:t>appointment</w:t>
      </w:r>
      <w:r>
        <w:rPr>
          <w:color w:val="231F20"/>
          <w:spacing w:val="-6"/>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6"/>
          <w:w w:val="110"/>
          <w:sz w:val="18"/>
        </w:rPr>
        <w:t> </w:t>
      </w:r>
      <w:r>
        <w:rPr>
          <w:color w:val="231F20"/>
          <w:spacing w:val="-3"/>
          <w:w w:val="110"/>
          <w:sz w:val="18"/>
        </w:rPr>
        <w:t>Revd</w:t>
      </w:r>
      <w:r>
        <w:rPr>
          <w:color w:val="231F20"/>
          <w:spacing w:val="-6"/>
          <w:w w:val="110"/>
          <w:sz w:val="18"/>
        </w:rPr>
        <w:t> </w:t>
      </w:r>
      <w:r>
        <w:rPr>
          <w:color w:val="231F20"/>
          <w:spacing w:val="-3"/>
          <w:w w:val="110"/>
          <w:sz w:val="18"/>
        </w:rPr>
        <w:t>Kevin</w:t>
      </w:r>
      <w:r>
        <w:rPr>
          <w:color w:val="231F20"/>
          <w:spacing w:val="-5"/>
          <w:w w:val="110"/>
          <w:sz w:val="18"/>
        </w:rPr>
        <w:t> </w:t>
      </w:r>
      <w:r>
        <w:rPr>
          <w:color w:val="231F20"/>
          <w:w w:val="110"/>
          <w:sz w:val="18"/>
        </w:rPr>
        <w:t>Watson</w:t>
      </w:r>
      <w:r>
        <w:rPr>
          <w:color w:val="231F20"/>
          <w:spacing w:val="-6"/>
          <w:w w:val="110"/>
          <w:sz w:val="18"/>
        </w:rPr>
        <w:t> </w:t>
      </w:r>
      <w:r>
        <w:rPr>
          <w:color w:val="231F20"/>
          <w:w w:val="110"/>
          <w:sz w:val="18"/>
        </w:rPr>
        <w:t>to</w:t>
      </w:r>
      <w:r>
        <w:rPr>
          <w:color w:val="231F20"/>
          <w:spacing w:val="-6"/>
          <w:w w:val="110"/>
          <w:sz w:val="18"/>
        </w:rPr>
        <w:t> </w:t>
      </w:r>
      <w:r>
        <w:rPr>
          <w:color w:val="231F20"/>
          <w:w w:val="110"/>
          <w:sz w:val="18"/>
        </w:rPr>
        <w:t>serve</w:t>
      </w:r>
      <w:r>
        <w:rPr>
          <w:color w:val="231F20"/>
          <w:spacing w:val="-6"/>
          <w:w w:val="110"/>
          <w:sz w:val="18"/>
        </w:rPr>
        <w:t> </w:t>
      </w:r>
      <w:r>
        <w:rPr>
          <w:color w:val="231F20"/>
          <w:w w:val="110"/>
          <w:sz w:val="18"/>
        </w:rPr>
        <w:t>as</w:t>
      </w:r>
      <w:r>
        <w:rPr>
          <w:color w:val="231F20"/>
          <w:spacing w:val="-6"/>
          <w:w w:val="110"/>
          <w:sz w:val="18"/>
        </w:rPr>
        <w:t> </w:t>
      </w:r>
      <w:r>
        <w:rPr>
          <w:b/>
          <w:color w:val="231F20"/>
          <w:w w:val="110"/>
          <w:sz w:val="18"/>
        </w:rPr>
        <w:t>Moderator of the Yorkshire Synod </w:t>
      </w:r>
      <w:r>
        <w:rPr>
          <w:color w:val="231F20"/>
          <w:w w:val="110"/>
          <w:sz w:val="18"/>
        </w:rPr>
        <w:t>for a period of seven years from 1 February 2008 to </w:t>
      </w:r>
      <w:r>
        <w:rPr>
          <w:color w:val="231F20"/>
          <w:spacing w:val="-5"/>
          <w:w w:val="110"/>
          <w:sz w:val="18"/>
        </w:rPr>
        <w:t>31 </w:t>
      </w:r>
      <w:r>
        <w:rPr>
          <w:color w:val="231F20"/>
          <w:w w:val="110"/>
          <w:sz w:val="18"/>
        </w:rPr>
        <w:t>January </w:t>
      </w:r>
      <w:r>
        <w:rPr>
          <w:color w:val="231F20"/>
          <w:spacing w:val="-7"/>
          <w:w w:val="110"/>
          <w:sz w:val="18"/>
        </w:rPr>
        <w:t>2015, </w:t>
      </w:r>
      <w:r>
        <w:rPr>
          <w:color w:val="231F20"/>
          <w:w w:val="110"/>
          <w:sz w:val="18"/>
        </w:rPr>
        <w:t>subject to review before the end of that</w:t>
      </w:r>
      <w:r>
        <w:rPr>
          <w:color w:val="231F20"/>
          <w:spacing w:val="-16"/>
          <w:w w:val="110"/>
          <w:sz w:val="18"/>
        </w:rPr>
        <w:t> </w:t>
      </w:r>
      <w:r>
        <w:rPr>
          <w:color w:val="231F20"/>
          <w:w w:val="110"/>
          <w:sz w:val="18"/>
        </w:rPr>
        <w:t>period.</w:t>
      </w:r>
    </w:p>
    <w:p>
      <w:pPr>
        <w:pStyle w:val="BodyText"/>
        <w:spacing w:before="9"/>
        <w:rPr>
          <w:sz w:val="20"/>
        </w:rPr>
      </w:pPr>
    </w:p>
    <w:p>
      <w:pPr>
        <w:pStyle w:val="ListParagraph"/>
        <w:numPr>
          <w:ilvl w:val="1"/>
          <w:numId w:val="55"/>
        </w:numPr>
        <w:tabs>
          <w:tab w:pos="1889" w:val="left" w:leader="none"/>
          <w:tab w:pos="1890" w:val="left" w:leader="none"/>
        </w:tabs>
        <w:spacing w:line="273" w:lineRule="auto" w:before="1" w:after="0"/>
        <w:ind w:left="1169" w:right="2332" w:firstLine="0"/>
        <w:jc w:val="left"/>
        <w:rPr>
          <w:sz w:val="18"/>
        </w:rPr>
      </w:pPr>
      <w:r>
        <w:rPr>
          <w:b/>
          <w:color w:val="231F20"/>
          <w:w w:val="110"/>
          <w:sz w:val="18"/>
        </w:rPr>
        <w:t>The Nominating Group</w:t>
      </w:r>
      <w:r>
        <w:rPr>
          <w:color w:val="231F20"/>
          <w:w w:val="110"/>
          <w:sz w:val="18"/>
        </w:rPr>
        <w:t>, convened by </w:t>
      </w:r>
      <w:r>
        <w:rPr>
          <w:color w:val="231F20"/>
          <w:spacing w:val="2"/>
          <w:w w:val="110"/>
          <w:sz w:val="18"/>
        </w:rPr>
        <w:t>Mrs </w:t>
      </w:r>
      <w:r>
        <w:rPr>
          <w:color w:val="231F20"/>
          <w:w w:val="110"/>
          <w:sz w:val="18"/>
        </w:rPr>
        <w:t>Irene Wren, recommended the appointment of the Revd Richard Church to </w:t>
      </w:r>
      <w:r>
        <w:rPr>
          <w:color w:val="231F20"/>
          <w:spacing w:val="2"/>
          <w:w w:val="110"/>
          <w:sz w:val="18"/>
        </w:rPr>
        <w:t>serve </w:t>
      </w:r>
      <w:r>
        <w:rPr>
          <w:color w:val="231F20"/>
          <w:w w:val="110"/>
          <w:sz w:val="18"/>
        </w:rPr>
        <w:t>as </w:t>
      </w:r>
      <w:r>
        <w:rPr>
          <w:b/>
          <w:color w:val="231F20"/>
          <w:w w:val="110"/>
          <w:sz w:val="18"/>
        </w:rPr>
        <w:t>Moderator of the </w:t>
      </w:r>
      <w:r>
        <w:rPr>
          <w:b/>
          <w:color w:val="231F20"/>
          <w:spacing w:val="2"/>
          <w:w w:val="110"/>
          <w:sz w:val="18"/>
        </w:rPr>
        <w:t>North </w:t>
      </w:r>
      <w:r>
        <w:rPr>
          <w:b/>
          <w:color w:val="231F20"/>
          <w:w w:val="110"/>
          <w:sz w:val="18"/>
        </w:rPr>
        <w:t>Western Synod </w:t>
      </w:r>
      <w:r>
        <w:rPr>
          <w:color w:val="231F20"/>
          <w:w w:val="110"/>
          <w:sz w:val="18"/>
        </w:rPr>
        <w:t>for a period of seven years </w:t>
      </w:r>
      <w:r>
        <w:rPr>
          <w:color w:val="231F20"/>
          <w:spacing w:val="2"/>
          <w:w w:val="110"/>
          <w:sz w:val="18"/>
        </w:rPr>
        <w:t>from </w:t>
      </w:r>
      <w:r>
        <w:rPr>
          <w:color w:val="231F20"/>
          <w:w w:val="110"/>
          <w:sz w:val="18"/>
        </w:rPr>
        <w:t>1 September 2007  to </w:t>
      </w:r>
      <w:r>
        <w:rPr>
          <w:color w:val="231F20"/>
          <w:spacing w:val="-4"/>
          <w:w w:val="110"/>
          <w:sz w:val="18"/>
        </w:rPr>
        <w:t>31 </w:t>
      </w:r>
      <w:r>
        <w:rPr>
          <w:color w:val="231F20"/>
          <w:w w:val="110"/>
          <w:sz w:val="18"/>
        </w:rPr>
        <w:t>August </w:t>
      </w:r>
      <w:r>
        <w:rPr>
          <w:color w:val="231F20"/>
          <w:spacing w:val="-6"/>
          <w:w w:val="110"/>
          <w:sz w:val="18"/>
        </w:rPr>
        <w:t>2014, </w:t>
      </w:r>
      <w:r>
        <w:rPr>
          <w:color w:val="231F20"/>
          <w:w w:val="110"/>
          <w:sz w:val="18"/>
        </w:rPr>
        <w:t>subject to review </w:t>
      </w:r>
      <w:r>
        <w:rPr>
          <w:color w:val="231F20"/>
          <w:spacing w:val="2"/>
          <w:w w:val="110"/>
          <w:sz w:val="18"/>
        </w:rPr>
        <w:t>before </w:t>
      </w:r>
      <w:r>
        <w:rPr>
          <w:color w:val="231F20"/>
          <w:w w:val="110"/>
          <w:sz w:val="18"/>
        </w:rPr>
        <w:t>the end of that</w:t>
      </w:r>
      <w:r>
        <w:rPr>
          <w:color w:val="231F20"/>
          <w:spacing w:val="59"/>
          <w:w w:val="110"/>
          <w:sz w:val="18"/>
        </w:rPr>
        <w:t> </w:t>
      </w:r>
      <w:r>
        <w:rPr>
          <w:color w:val="231F20"/>
          <w:w w:val="110"/>
          <w:sz w:val="18"/>
        </w:rPr>
        <w:t>period.</w:t>
      </w:r>
    </w:p>
    <w:p>
      <w:pPr>
        <w:pStyle w:val="BodyText"/>
        <w:spacing w:before="2"/>
        <w:rPr>
          <w:sz w:val="13"/>
        </w:rPr>
      </w:pPr>
    </w:p>
    <w:p>
      <w:pPr>
        <w:pStyle w:val="ListParagraph"/>
        <w:numPr>
          <w:ilvl w:val="1"/>
          <w:numId w:val="55"/>
        </w:numPr>
        <w:tabs>
          <w:tab w:pos="1866" w:val="left" w:leader="none"/>
          <w:tab w:pos="1867" w:val="left" w:leader="none"/>
        </w:tabs>
        <w:spacing w:line="273" w:lineRule="auto" w:before="100" w:after="0"/>
        <w:ind w:left="1146" w:right="2561" w:firstLine="0"/>
        <w:jc w:val="left"/>
        <w:rPr>
          <w:sz w:val="18"/>
        </w:rPr>
      </w:pPr>
      <w:r>
        <w:rPr>
          <w:b/>
          <w:color w:val="231F20"/>
          <w:w w:val="110"/>
          <w:sz w:val="18"/>
        </w:rPr>
        <w:t>The Nominating Group</w:t>
      </w:r>
      <w:r>
        <w:rPr>
          <w:color w:val="231F20"/>
          <w:w w:val="110"/>
          <w:sz w:val="18"/>
        </w:rPr>
        <w:t>, convened by the Revd Sheila </w:t>
      </w:r>
      <w:r>
        <w:rPr>
          <w:color w:val="231F20"/>
          <w:spacing w:val="-4"/>
          <w:w w:val="110"/>
          <w:sz w:val="18"/>
        </w:rPr>
        <w:t>Maxey, </w:t>
      </w:r>
      <w:r>
        <w:rPr>
          <w:color w:val="231F20"/>
          <w:w w:val="110"/>
          <w:sz w:val="18"/>
        </w:rPr>
        <w:t>recommended the appointment of the Revd Dr Susan Durber as </w:t>
      </w:r>
      <w:r>
        <w:rPr>
          <w:b/>
          <w:color w:val="231F20"/>
          <w:w w:val="110"/>
          <w:sz w:val="18"/>
        </w:rPr>
        <w:t>Principal  of Westminster College </w:t>
      </w:r>
      <w:r>
        <w:rPr>
          <w:color w:val="231F20"/>
          <w:w w:val="110"/>
          <w:sz w:val="18"/>
        </w:rPr>
        <w:t>for a period of seven years </w:t>
      </w:r>
      <w:r>
        <w:rPr>
          <w:color w:val="231F20"/>
          <w:spacing w:val="2"/>
          <w:w w:val="110"/>
          <w:sz w:val="18"/>
        </w:rPr>
        <w:t>from </w:t>
      </w:r>
      <w:r>
        <w:rPr>
          <w:color w:val="231F20"/>
          <w:w w:val="110"/>
          <w:sz w:val="18"/>
        </w:rPr>
        <w:t>1 August 2007 until </w:t>
      </w:r>
      <w:r>
        <w:rPr>
          <w:color w:val="231F20"/>
          <w:spacing w:val="-4"/>
          <w:w w:val="110"/>
          <w:sz w:val="18"/>
        </w:rPr>
        <w:t>31 </w:t>
      </w:r>
      <w:r>
        <w:rPr>
          <w:color w:val="231F20"/>
          <w:w w:val="110"/>
          <w:sz w:val="18"/>
        </w:rPr>
        <w:t>July </w:t>
      </w:r>
      <w:r>
        <w:rPr>
          <w:color w:val="231F20"/>
          <w:spacing w:val="-6"/>
          <w:w w:val="110"/>
          <w:sz w:val="18"/>
        </w:rPr>
        <w:t>2014, </w:t>
      </w:r>
      <w:r>
        <w:rPr>
          <w:color w:val="231F20"/>
          <w:w w:val="110"/>
          <w:sz w:val="18"/>
        </w:rPr>
        <w:t>subject to review </w:t>
      </w:r>
      <w:r>
        <w:rPr>
          <w:color w:val="231F20"/>
          <w:spacing w:val="2"/>
          <w:w w:val="110"/>
          <w:sz w:val="18"/>
        </w:rPr>
        <w:t>before </w:t>
      </w:r>
      <w:r>
        <w:rPr>
          <w:color w:val="231F20"/>
          <w:w w:val="110"/>
          <w:sz w:val="18"/>
        </w:rPr>
        <w:t>the end of this period. This was agreed by Mission Council on behalf of the General</w:t>
      </w:r>
      <w:r>
        <w:rPr>
          <w:color w:val="231F20"/>
          <w:spacing w:val="36"/>
          <w:w w:val="110"/>
          <w:sz w:val="18"/>
        </w:rPr>
        <w:t> </w:t>
      </w:r>
      <w:r>
        <w:rPr>
          <w:color w:val="231F20"/>
          <w:w w:val="110"/>
          <w:sz w:val="18"/>
        </w:rPr>
        <w:t>Assembly.</w:t>
      </w:r>
    </w:p>
    <w:p>
      <w:pPr>
        <w:pStyle w:val="BodyText"/>
        <w:spacing w:before="10"/>
        <w:rPr>
          <w:sz w:val="20"/>
        </w:rPr>
      </w:pPr>
    </w:p>
    <w:p>
      <w:pPr>
        <w:pStyle w:val="ListParagraph"/>
        <w:numPr>
          <w:ilvl w:val="1"/>
          <w:numId w:val="55"/>
        </w:numPr>
        <w:tabs>
          <w:tab w:pos="1866" w:val="left" w:leader="none"/>
          <w:tab w:pos="1867" w:val="left" w:leader="none"/>
        </w:tabs>
        <w:spacing w:line="273" w:lineRule="auto" w:before="0" w:after="0"/>
        <w:ind w:left="1146" w:right="1449" w:firstLine="0"/>
        <w:jc w:val="left"/>
        <w:rPr>
          <w:sz w:val="18"/>
        </w:rPr>
      </w:pPr>
      <w:r>
        <w:rPr>
          <w:b/>
          <w:color w:val="231F20"/>
          <w:w w:val="110"/>
          <w:sz w:val="18"/>
        </w:rPr>
        <w:t>The Nominating Group, </w:t>
      </w:r>
      <w:r>
        <w:rPr>
          <w:color w:val="231F20"/>
          <w:w w:val="110"/>
          <w:sz w:val="18"/>
        </w:rPr>
        <w:t>convened by the Revd Dr Stephen Orchard, recommended the appointment of the Revd Martin Hazell for the position of </w:t>
      </w:r>
      <w:r>
        <w:rPr>
          <w:b/>
          <w:color w:val="231F20"/>
          <w:spacing w:val="2"/>
          <w:w w:val="110"/>
          <w:sz w:val="18"/>
        </w:rPr>
        <w:t>Director  </w:t>
      </w:r>
      <w:r>
        <w:rPr>
          <w:b/>
          <w:color w:val="231F20"/>
          <w:w w:val="110"/>
          <w:sz w:val="18"/>
        </w:rPr>
        <w:t>of Communications </w:t>
      </w:r>
      <w:r>
        <w:rPr>
          <w:color w:val="231F20"/>
          <w:w w:val="110"/>
          <w:sz w:val="18"/>
        </w:rPr>
        <w:t>at Church House </w:t>
      </w:r>
      <w:r>
        <w:rPr>
          <w:color w:val="231F20"/>
          <w:spacing w:val="2"/>
          <w:w w:val="110"/>
          <w:sz w:val="18"/>
        </w:rPr>
        <w:t>from </w:t>
      </w:r>
      <w:r>
        <w:rPr>
          <w:color w:val="231F20"/>
          <w:w w:val="110"/>
          <w:sz w:val="18"/>
        </w:rPr>
        <w:t>1 January 2007 until </w:t>
      </w:r>
      <w:r>
        <w:rPr>
          <w:color w:val="231F20"/>
          <w:spacing w:val="-4"/>
          <w:w w:val="110"/>
          <w:sz w:val="18"/>
        </w:rPr>
        <w:t>31 </w:t>
      </w:r>
      <w:r>
        <w:rPr>
          <w:color w:val="231F20"/>
          <w:w w:val="110"/>
          <w:sz w:val="18"/>
        </w:rPr>
        <w:t>December </w:t>
      </w:r>
      <w:r>
        <w:rPr>
          <w:color w:val="231F20"/>
          <w:spacing w:val="-6"/>
          <w:w w:val="110"/>
          <w:sz w:val="18"/>
        </w:rPr>
        <w:t>2011, </w:t>
      </w:r>
      <w:r>
        <w:rPr>
          <w:color w:val="231F20"/>
          <w:w w:val="110"/>
          <w:sz w:val="18"/>
        </w:rPr>
        <w:t>subject to review </w:t>
      </w:r>
      <w:r>
        <w:rPr>
          <w:color w:val="231F20"/>
          <w:spacing w:val="2"/>
          <w:w w:val="110"/>
          <w:sz w:val="18"/>
        </w:rPr>
        <w:t>before </w:t>
      </w:r>
      <w:r>
        <w:rPr>
          <w:color w:val="231F20"/>
          <w:w w:val="110"/>
          <w:sz w:val="18"/>
        </w:rPr>
        <w:t>the end of this period. This was agreed by Mission Council on behalf of the General</w:t>
      </w:r>
      <w:r>
        <w:rPr>
          <w:color w:val="231F20"/>
          <w:spacing w:val="5"/>
          <w:w w:val="110"/>
          <w:sz w:val="18"/>
        </w:rPr>
        <w:t> </w:t>
      </w:r>
      <w:r>
        <w:rPr>
          <w:color w:val="231F20"/>
          <w:w w:val="110"/>
          <w:sz w:val="18"/>
        </w:rPr>
        <w:t>Assembly.</w:t>
      </w:r>
    </w:p>
    <w:p>
      <w:pPr>
        <w:pStyle w:val="BodyText"/>
        <w:spacing w:before="10"/>
        <w:rPr>
          <w:sz w:val="20"/>
        </w:rPr>
      </w:pPr>
    </w:p>
    <w:p>
      <w:pPr>
        <w:pStyle w:val="ListParagraph"/>
        <w:numPr>
          <w:ilvl w:val="1"/>
          <w:numId w:val="55"/>
        </w:numPr>
        <w:tabs>
          <w:tab w:pos="1866" w:val="left" w:leader="none"/>
          <w:tab w:pos="1867" w:val="left" w:leader="none"/>
        </w:tabs>
        <w:spacing w:line="273" w:lineRule="auto" w:before="0" w:after="0"/>
        <w:ind w:left="1146" w:right="1673" w:firstLine="0"/>
        <w:jc w:val="left"/>
        <w:rPr>
          <w:sz w:val="18"/>
        </w:rPr>
      </w:pPr>
      <w:r>
        <w:rPr>
          <w:b/>
          <w:color w:val="231F20"/>
          <w:w w:val="110"/>
          <w:sz w:val="18"/>
        </w:rPr>
        <w:t>The Review Group </w:t>
      </w:r>
      <w:r>
        <w:rPr>
          <w:color w:val="231F20"/>
          <w:w w:val="110"/>
          <w:sz w:val="18"/>
        </w:rPr>
        <w:t>for the post of </w:t>
      </w:r>
      <w:r>
        <w:rPr>
          <w:b/>
          <w:color w:val="231F20"/>
          <w:spacing w:val="3"/>
          <w:w w:val="110"/>
          <w:sz w:val="18"/>
        </w:rPr>
        <w:t>Secretary </w:t>
      </w:r>
      <w:r>
        <w:rPr>
          <w:b/>
          <w:color w:val="231F20"/>
          <w:w w:val="110"/>
          <w:sz w:val="18"/>
        </w:rPr>
        <w:t>for Education and Learning </w:t>
      </w:r>
      <w:r>
        <w:rPr>
          <w:color w:val="231F20"/>
          <w:w w:val="110"/>
          <w:sz w:val="18"/>
        </w:rPr>
        <w:t>at Church House, convened by the Revd Rachel Poolman, recommended the </w:t>
      </w:r>
      <w:r>
        <w:rPr>
          <w:color w:val="231F20"/>
          <w:spacing w:val="2"/>
          <w:w w:val="110"/>
          <w:sz w:val="18"/>
        </w:rPr>
        <w:t>re- </w:t>
      </w:r>
      <w:r>
        <w:rPr>
          <w:color w:val="231F20"/>
          <w:w w:val="110"/>
          <w:sz w:val="18"/>
        </w:rPr>
        <w:t>appointment of the Revd Roy Lowes </w:t>
      </w:r>
      <w:r>
        <w:rPr>
          <w:color w:val="231F20"/>
          <w:spacing w:val="2"/>
          <w:w w:val="110"/>
          <w:sz w:val="18"/>
        </w:rPr>
        <w:t>from </w:t>
      </w:r>
      <w:r>
        <w:rPr>
          <w:color w:val="231F20"/>
          <w:w w:val="110"/>
          <w:sz w:val="18"/>
        </w:rPr>
        <w:t>General Assembly 2007 until General Assembly </w:t>
      </w:r>
      <w:r>
        <w:rPr>
          <w:color w:val="231F20"/>
          <w:spacing w:val="-4"/>
          <w:w w:val="110"/>
          <w:sz w:val="18"/>
        </w:rPr>
        <w:t>2012. </w:t>
      </w:r>
      <w:r>
        <w:rPr>
          <w:color w:val="231F20"/>
          <w:w w:val="110"/>
          <w:sz w:val="18"/>
        </w:rPr>
        <w:t>This was agreed by Mission Council on behalf of General</w:t>
      </w:r>
      <w:r>
        <w:rPr>
          <w:color w:val="231F20"/>
          <w:spacing w:val="12"/>
          <w:w w:val="110"/>
          <w:sz w:val="18"/>
        </w:rPr>
        <w:t> </w:t>
      </w:r>
      <w:r>
        <w:rPr>
          <w:color w:val="231F20"/>
          <w:w w:val="110"/>
          <w:sz w:val="18"/>
        </w:rPr>
        <w:t>Assembly.</w:t>
      </w:r>
    </w:p>
    <w:p>
      <w:pPr>
        <w:pStyle w:val="BodyText"/>
        <w:spacing w:before="10"/>
        <w:rPr>
          <w:sz w:val="20"/>
        </w:rPr>
      </w:pPr>
    </w:p>
    <w:p>
      <w:pPr>
        <w:numPr>
          <w:ilvl w:val="0"/>
          <w:numId w:val="55"/>
        </w:numPr>
        <w:tabs>
          <w:tab w:pos="1866" w:val="left" w:leader="none"/>
          <w:tab w:pos="1867" w:val="left" w:leader="none"/>
        </w:tabs>
        <w:spacing w:line="273" w:lineRule="auto" w:before="0"/>
        <w:ind w:left="1866" w:right="1777" w:hanging="720"/>
        <w:jc w:val="left"/>
        <w:rPr>
          <w:b/>
          <w:sz w:val="18"/>
        </w:rPr>
      </w:pPr>
      <w:r>
        <w:rPr>
          <w:b/>
          <w:color w:val="231F20"/>
          <w:w w:val="110"/>
          <w:sz w:val="18"/>
        </w:rPr>
        <w:t>MONITORING AND EQUAL OPPORTUNITIES (2005 General </w:t>
      </w:r>
      <w:r>
        <w:rPr>
          <w:b/>
          <w:color w:val="231F20"/>
          <w:spacing w:val="2"/>
          <w:w w:val="110"/>
          <w:sz w:val="18"/>
        </w:rPr>
        <w:t>Assembly </w:t>
      </w:r>
      <w:r>
        <w:rPr>
          <w:b/>
          <w:color w:val="231F20"/>
          <w:w w:val="110"/>
          <w:sz w:val="18"/>
        </w:rPr>
        <w:t>Resolutions </w:t>
      </w:r>
      <w:r>
        <w:rPr>
          <w:b/>
          <w:color w:val="231F20"/>
          <w:spacing w:val="-3"/>
          <w:w w:val="110"/>
          <w:sz w:val="18"/>
        </w:rPr>
        <w:t>16 </w:t>
      </w:r>
      <w:r>
        <w:rPr>
          <w:b/>
          <w:color w:val="231F20"/>
          <w:w w:val="110"/>
          <w:sz w:val="18"/>
        </w:rPr>
        <w:t>and</w:t>
      </w:r>
      <w:r>
        <w:rPr>
          <w:b/>
          <w:color w:val="231F20"/>
          <w:spacing w:val="4"/>
          <w:w w:val="110"/>
          <w:sz w:val="18"/>
        </w:rPr>
        <w:t> </w:t>
      </w:r>
      <w:r>
        <w:rPr>
          <w:b/>
          <w:color w:val="231F20"/>
          <w:spacing w:val="-3"/>
          <w:w w:val="110"/>
          <w:sz w:val="18"/>
        </w:rPr>
        <w:t>36)</w:t>
      </w:r>
    </w:p>
    <w:p>
      <w:pPr>
        <w:pStyle w:val="BodyText"/>
        <w:spacing w:line="273" w:lineRule="auto" w:before="1"/>
        <w:ind w:left="1146" w:right="1593"/>
      </w:pPr>
      <w:r>
        <w:rPr>
          <w:color w:val="231F20"/>
          <w:w w:val="110"/>
        </w:rPr>
        <w:t>The Committee has consulted with the Equal Opportunities and Racial Justice and Multicultural Ministries committees in relation to monitoring and equal opportunity issues. A new reply form has been designed for those invited to serve on boards and committees and a form for a skills audit is being prepared. Records are being kept</w:t>
      </w:r>
    </w:p>
    <w:p>
      <w:pPr>
        <w:pStyle w:val="BodyText"/>
        <w:spacing w:line="273" w:lineRule="auto" w:before="2"/>
        <w:ind w:left="1146" w:right="1593"/>
      </w:pPr>
      <w:r>
        <w:rPr>
          <w:color w:val="231F20"/>
          <w:w w:val="110"/>
        </w:rPr>
        <w:t>of those approached to </w:t>
      </w:r>
      <w:r>
        <w:rPr>
          <w:color w:val="231F20"/>
          <w:spacing w:val="2"/>
          <w:w w:val="110"/>
        </w:rPr>
        <w:t>serve </w:t>
      </w:r>
      <w:r>
        <w:rPr>
          <w:color w:val="231F20"/>
          <w:w w:val="110"/>
        </w:rPr>
        <w:t>on committees and monitoring of appointments is taking place.   Responses are still being gathered and a first analysis should be available in  the summer. A </w:t>
      </w:r>
      <w:r>
        <w:rPr>
          <w:color w:val="231F20"/>
          <w:spacing w:val="3"/>
          <w:w w:val="110"/>
        </w:rPr>
        <w:t>report </w:t>
      </w:r>
      <w:r>
        <w:rPr>
          <w:color w:val="231F20"/>
          <w:w w:val="110"/>
        </w:rPr>
        <w:t>will be given to Mission Council in</w:t>
      </w:r>
      <w:r>
        <w:rPr>
          <w:color w:val="231F20"/>
          <w:spacing w:val="23"/>
          <w:w w:val="110"/>
        </w:rPr>
        <w:t> </w:t>
      </w:r>
      <w:r>
        <w:rPr>
          <w:color w:val="231F20"/>
          <w:w w:val="110"/>
        </w:rPr>
        <w:t>October.</w:t>
      </w:r>
    </w:p>
    <w:p>
      <w:pPr>
        <w:pStyle w:val="BodyText"/>
        <w:spacing w:before="2"/>
        <w:rPr>
          <w:sz w:val="9"/>
        </w:rPr>
      </w:pPr>
    </w:p>
    <w:p>
      <w:pPr>
        <w:spacing w:before="56"/>
        <w:ind w:left="0" w:right="1160" w:firstLine="0"/>
        <w:jc w:val="right"/>
        <w:rPr>
          <w:rFonts w:ascii="Eurostile Bold"/>
          <w:b/>
          <w:sz w:val="24"/>
        </w:rPr>
      </w:pPr>
      <w:r>
        <w:rPr>
          <w:rFonts w:ascii="Eurostile Bold"/>
          <w:b/>
          <w:color w:val="231F20"/>
          <w:w w:val="85"/>
          <w:sz w:val="24"/>
        </w:rPr>
        <w:t>99</w:t>
      </w:r>
    </w:p>
    <w:p>
      <w:pPr>
        <w:spacing w:after="0"/>
        <w:jc w:val="right"/>
        <w:rPr>
          <w:rFonts w:ascii="Eurostile Bold"/>
          <w:sz w:val="24"/>
        </w:rPr>
        <w:sectPr>
          <w:headerReference w:type="default" r:id="rId117"/>
          <w:footerReference w:type="default" r:id="rId118"/>
          <w:pgSz w:w="11910" w:h="16840"/>
          <w:pgMar w:header="0" w:footer="0" w:top="1000" w:bottom="280" w:left="460" w:right="0"/>
        </w:sectPr>
      </w:pPr>
    </w:p>
    <w:p>
      <w:pPr>
        <w:pStyle w:val="BodyText"/>
        <w:spacing w:before="8"/>
        <w:rPr>
          <w:rFonts w:ascii="Eurostile Bold"/>
          <w:b/>
          <w:sz w:val="11"/>
        </w:rPr>
      </w:pPr>
    </w:p>
    <w:p>
      <w:pPr>
        <w:numPr>
          <w:ilvl w:val="0"/>
          <w:numId w:val="55"/>
        </w:numPr>
        <w:tabs>
          <w:tab w:pos="1393" w:val="left" w:leader="none"/>
          <w:tab w:pos="1394" w:val="left" w:leader="none"/>
        </w:tabs>
        <w:spacing w:before="100"/>
        <w:ind w:left="1393" w:right="0" w:hanging="721"/>
        <w:jc w:val="left"/>
        <w:rPr>
          <w:b/>
          <w:sz w:val="18"/>
        </w:rPr>
      </w:pPr>
      <w:r>
        <w:rPr>
          <w:b/>
          <w:color w:val="231F20"/>
          <w:w w:val="110"/>
          <w:sz w:val="18"/>
        </w:rPr>
        <w:t>ASSEMBLY BOARDS, </w:t>
      </w:r>
      <w:r>
        <w:rPr>
          <w:b/>
          <w:color w:val="231F20"/>
          <w:spacing w:val="2"/>
          <w:w w:val="110"/>
          <w:sz w:val="18"/>
        </w:rPr>
        <w:t>COMMITTEES </w:t>
      </w:r>
      <w:r>
        <w:rPr>
          <w:b/>
          <w:color w:val="231F20"/>
          <w:w w:val="110"/>
          <w:sz w:val="18"/>
        </w:rPr>
        <w:t>AND</w:t>
      </w:r>
      <w:r>
        <w:rPr>
          <w:b/>
          <w:color w:val="231F20"/>
          <w:spacing w:val="3"/>
          <w:w w:val="110"/>
          <w:sz w:val="18"/>
        </w:rPr>
        <w:t> SUB-COMMITTEES</w:t>
      </w:r>
    </w:p>
    <w:p>
      <w:pPr>
        <w:pStyle w:val="BodyText"/>
        <w:spacing w:before="32"/>
        <w:ind w:left="673"/>
      </w:pPr>
      <w:r>
        <w:rPr>
          <w:color w:val="231F20"/>
          <w:w w:val="110"/>
        </w:rPr>
        <w:t>Notes:</w:t>
      </w:r>
    </w:p>
    <w:p>
      <w:pPr>
        <w:pStyle w:val="BodyText"/>
        <w:tabs>
          <w:tab w:pos="1354" w:val="left" w:leader="none"/>
        </w:tabs>
        <w:spacing w:line="273" w:lineRule="auto" w:before="31"/>
        <w:ind w:left="1354" w:right="1593" w:hanging="681"/>
      </w:pPr>
      <w:r>
        <w:rPr>
          <w:color w:val="231F20"/>
          <w:spacing w:val="-3"/>
          <w:w w:val="110"/>
        </w:rPr>
        <w:t>1.</w:t>
        <w:tab/>
      </w:r>
      <w:r>
        <w:rPr>
          <w:color w:val="231F20"/>
          <w:w w:val="110"/>
        </w:rPr>
        <w:t>The Moderator, the Moderator-elect, the immediate past Moderator and the General </w:t>
      </w:r>
      <w:r>
        <w:rPr>
          <w:color w:val="231F20"/>
          <w:spacing w:val="3"/>
          <w:w w:val="110"/>
        </w:rPr>
        <w:t>Secretary </w:t>
      </w:r>
      <w:r>
        <w:rPr>
          <w:color w:val="231F20"/>
          <w:w w:val="110"/>
        </w:rPr>
        <w:t>are </w:t>
      </w:r>
      <w:r>
        <w:rPr>
          <w:color w:val="231F20"/>
          <w:spacing w:val="2"/>
          <w:w w:val="110"/>
        </w:rPr>
        <w:t>members </w:t>
      </w:r>
      <w:r>
        <w:rPr>
          <w:i/>
          <w:color w:val="231F20"/>
          <w:w w:val="110"/>
        </w:rPr>
        <w:t>ex officio </w:t>
      </w:r>
      <w:r>
        <w:rPr>
          <w:color w:val="231F20"/>
          <w:w w:val="110"/>
        </w:rPr>
        <w:t>of every Standing</w:t>
      </w:r>
      <w:r>
        <w:rPr>
          <w:color w:val="231F20"/>
          <w:spacing w:val="25"/>
          <w:w w:val="110"/>
        </w:rPr>
        <w:t> </w:t>
      </w:r>
      <w:r>
        <w:rPr>
          <w:color w:val="231F20"/>
          <w:w w:val="110"/>
        </w:rPr>
        <w:t>Committee.</w:t>
      </w:r>
    </w:p>
    <w:p>
      <w:pPr>
        <w:pStyle w:val="ListParagraph"/>
        <w:numPr>
          <w:ilvl w:val="0"/>
          <w:numId w:val="56"/>
        </w:numPr>
        <w:tabs>
          <w:tab w:pos="1354" w:val="left" w:leader="none"/>
          <w:tab w:pos="1355" w:val="left" w:leader="none"/>
        </w:tabs>
        <w:spacing w:line="273" w:lineRule="auto" w:before="1" w:after="0"/>
        <w:ind w:left="1354" w:right="1431" w:hanging="681"/>
        <w:jc w:val="left"/>
        <w:rPr>
          <w:sz w:val="18"/>
        </w:rPr>
      </w:pPr>
      <w:r>
        <w:rPr>
          <w:color w:val="231F20"/>
          <w:spacing w:val="4"/>
          <w:w w:val="110"/>
          <w:sz w:val="18"/>
        </w:rPr>
        <w:t>Officers </w:t>
      </w:r>
      <w:r>
        <w:rPr>
          <w:color w:val="231F20"/>
          <w:w w:val="110"/>
          <w:sz w:val="18"/>
        </w:rPr>
        <w:t>and </w:t>
      </w:r>
      <w:r>
        <w:rPr>
          <w:color w:val="231F20"/>
          <w:spacing w:val="3"/>
          <w:w w:val="110"/>
          <w:sz w:val="18"/>
        </w:rPr>
        <w:t>members </w:t>
      </w:r>
      <w:r>
        <w:rPr>
          <w:color w:val="231F20"/>
          <w:spacing w:val="2"/>
          <w:w w:val="110"/>
          <w:sz w:val="18"/>
        </w:rPr>
        <w:t>appointed since </w:t>
      </w:r>
      <w:r>
        <w:rPr>
          <w:color w:val="231F20"/>
          <w:spacing w:val="3"/>
          <w:w w:val="110"/>
          <w:sz w:val="18"/>
        </w:rPr>
        <w:t>Assembly </w:t>
      </w:r>
      <w:r>
        <w:rPr>
          <w:color w:val="231F20"/>
          <w:w w:val="110"/>
          <w:sz w:val="18"/>
        </w:rPr>
        <w:t>2006  </w:t>
      </w:r>
      <w:r>
        <w:rPr>
          <w:color w:val="231F20"/>
          <w:spacing w:val="2"/>
          <w:w w:val="110"/>
          <w:sz w:val="18"/>
        </w:rPr>
        <w:t>are indicated </w:t>
      </w:r>
      <w:r>
        <w:rPr>
          <w:color w:val="231F20"/>
          <w:w w:val="110"/>
          <w:sz w:val="18"/>
        </w:rPr>
        <w:t>by  one </w:t>
      </w:r>
      <w:r>
        <w:rPr>
          <w:color w:val="231F20"/>
          <w:spacing w:val="3"/>
          <w:w w:val="110"/>
          <w:sz w:val="18"/>
        </w:rPr>
        <w:t>asterisk </w:t>
      </w:r>
      <w:r>
        <w:rPr>
          <w:color w:val="231F20"/>
          <w:spacing w:val="-5"/>
          <w:w w:val="110"/>
          <w:sz w:val="18"/>
        </w:rPr>
        <w:t>(*), </w:t>
      </w:r>
      <w:r>
        <w:rPr>
          <w:color w:val="231F20"/>
          <w:spacing w:val="3"/>
          <w:w w:val="110"/>
          <w:sz w:val="18"/>
        </w:rPr>
        <w:t>two asterisks </w:t>
      </w:r>
      <w:r>
        <w:rPr>
          <w:color w:val="231F20"/>
          <w:spacing w:val="-3"/>
          <w:w w:val="110"/>
          <w:sz w:val="18"/>
        </w:rPr>
        <w:t>(** </w:t>
      </w:r>
      <w:r>
        <w:rPr>
          <w:color w:val="231F20"/>
          <w:w w:val="110"/>
          <w:sz w:val="18"/>
        </w:rPr>
        <w:t>) </w:t>
      </w:r>
      <w:r>
        <w:rPr>
          <w:color w:val="231F20"/>
          <w:spacing w:val="2"/>
          <w:w w:val="110"/>
          <w:sz w:val="18"/>
        </w:rPr>
        <w:t>denotes </w:t>
      </w:r>
      <w:r>
        <w:rPr>
          <w:color w:val="231F20"/>
          <w:spacing w:val="3"/>
          <w:w w:val="110"/>
          <w:sz w:val="18"/>
        </w:rPr>
        <w:t>those </w:t>
      </w:r>
      <w:r>
        <w:rPr>
          <w:color w:val="231F20"/>
          <w:w w:val="110"/>
          <w:sz w:val="18"/>
        </w:rPr>
        <w:t>whom </w:t>
      </w:r>
      <w:r>
        <w:rPr>
          <w:color w:val="231F20"/>
          <w:spacing w:val="3"/>
          <w:w w:val="110"/>
          <w:sz w:val="18"/>
        </w:rPr>
        <w:t>Assembly </w:t>
      </w:r>
      <w:r>
        <w:rPr>
          <w:color w:val="231F20"/>
          <w:w w:val="110"/>
          <w:sz w:val="18"/>
        </w:rPr>
        <w:t>2007 is </w:t>
      </w:r>
      <w:r>
        <w:rPr>
          <w:color w:val="231F20"/>
          <w:spacing w:val="2"/>
          <w:w w:val="110"/>
          <w:sz w:val="18"/>
        </w:rPr>
        <w:t>invited </w:t>
      </w:r>
      <w:r>
        <w:rPr>
          <w:color w:val="231F20"/>
          <w:w w:val="110"/>
          <w:sz w:val="18"/>
        </w:rPr>
        <w:t>to </w:t>
      </w:r>
      <w:r>
        <w:rPr>
          <w:color w:val="231F20"/>
          <w:spacing w:val="2"/>
          <w:w w:val="110"/>
          <w:sz w:val="18"/>
        </w:rPr>
        <w:t>appoint for the </w:t>
      </w:r>
      <w:r>
        <w:rPr>
          <w:color w:val="231F20"/>
          <w:spacing w:val="3"/>
          <w:w w:val="110"/>
          <w:sz w:val="18"/>
        </w:rPr>
        <w:t>first </w:t>
      </w:r>
      <w:r>
        <w:rPr>
          <w:color w:val="231F20"/>
          <w:w w:val="110"/>
          <w:sz w:val="18"/>
        </w:rPr>
        <w:t>time </w:t>
      </w:r>
      <w:r>
        <w:rPr>
          <w:color w:val="231F20"/>
          <w:spacing w:val="-11"/>
          <w:w w:val="110"/>
          <w:sz w:val="18"/>
        </w:rPr>
        <w:t>(#)  </w:t>
      </w:r>
      <w:r>
        <w:rPr>
          <w:color w:val="231F20"/>
          <w:spacing w:val="2"/>
          <w:w w:val="110"/>
          <w:sz w:val="18"/>
        </w:rPr>
        <w:t>indicates </w:t>
      </w:r>
      <w:r>
        <w:rPr>
          <w:color w:val="231F20"/>
          <w:w w:val="110"/>
          <w:sz w:val="18"/>
        </w:rPr>
        <w:t>a </w:t>
      </w:r>
      <w:r>
        <w:rPr>
          <w:color w:val="231F20"/>
          <w:spacing w:val="2"/>
          <w:w w:val="110"/>
          <w:sz w:val="18"/>
        </w:rPr>
        <w:t>Convener </w:t>
      </w:r>
      <w:r>
        <w:rPr>
          <w:color w:val="231F20"/>
          <w:spacing w:val="4"/>
          <w:w w:val="110"/>
          <w:sz w:val="18"/>
        </w:rPr>
        <w:t>Elect </w:t>
      </w:r>
      <w:r>
        <w:rPr>
          <w:color w:val="231F20"/>
          <w:w w:val="110"/>
          <w:sz w:val="18"/>
        </w:rPr>
        <w:t>who will </w:t>
      </w:r>
      <w:r>
        <w:rPr>
          <w:color w:val="231F20"/>
          <w:spacing w:val="3"/>
          <w:w w:val="110"/>
          <w:sz w:val="18"/>
        </w:rPr>
        <w:t>become </w:t>
      </w:r>
      <w:r>
        <w:rPr>
          <w:color w:val="231F20"/>
          <w:spacing w:val="2"/>
          <w:w w:val="110"/>
          <w:sz w:val="18"/>
        </w:rPr>
        <w:t>Convener </w:t>
      </w:r>
      <w:r>
        <w:rPr>
          <w:color w:val="231F20"/>
          <w:w w:val="110"/>
          <w:sz w:val="18"/>
        </w:rPr>
        <w:t>in 2008, </w:t>
      </w:r>
      <w:r>
        <w:rPr>
          <w:color w:val="231F20"/>
          <w:spacing w:val="2"/>
          <w:w w:val="110"/>
          <w:sz w:val="18"/>
        </w:rPr>
        <w:t>the </w:t>
      </w:r>
      <w:r>
        <w:rPr>
          <w:color w:val="231F20"/>
          <w:spacing w:val="3"/>
          <w:w w:val="110"/>
          <w:sz w:val="18"/>
        </w:rPr>
        <w:t>symbol </w:t>
      </w:r>
      <w:r>
        <w:rPr>
          <w:color w:val="231F20"/>
          <w:w w:val="110"/>
          <w:sz w:val="18"/>
        </w:rPr>
        <w:t>† </w:t>
      </w:r>
      <w:r>
        <w:rPr>
          <w:color w:val="231F20"/>
          <w:spacing w:val="2"/>
          <w:w w:val="110"/>
          <w:sz w:val="18"/>
        </w:rPr>
        <w:t>denotes </w:t>
      </w:r>
      <w:r>
        <w:rPr>
          <w:color w:val="231F20"/>
          <w:spacing w:val="3"/>
          <w:w w:val="110"/>
          <w:sz w:val="18"/>
        </w:rPr>
        <w:t>someone </w:t>
      </w:r>
      <w:r>
        <w:rPr>
          <w:color w:val="231F20"/>
          <w:w w:val="110"/>
          <w:sz w:val="18"/>
        </w:rPr>
        <w:t>who has </w:t>
      </w:r>
      <w:r>
        <w:rPr>
          <w:color w:val="231F20"/>
          <w:spacing w:val="3"/>
          <w:w w:val="110"/>
          <w:sz w:val="18"/>
        </w:rPr>
        <w:t>been </w:t>
      </w:r>
      <w:r>
        <w:rPr>
          <w:color w:val="231F20"/>
          <w:spacing w:val="2"/>
          <w:w w:val="110"/>
          <w:sz w:val="18"/>
        </w:rPr>
        <w:t>invited </w:t>
      </w:r>
      <w:r>
        <w:rPr>
          <w:color w:val="231F20"/>
          <w:w w:val="110"/>
          <w:sz w:val="18"/>
        </w:rPr>
        <w:t>to </w:t>
      </w:r>
      <w:r>
        <w:rPr>
          <w:color w:val="231F20"/>
          <w:spacing w:val="3"/>
          <w:w w:val="110"/>
          <w:sz w:val="18"/>
        </w:rPr>
        <w:t>extend </w:t>
      </w:r>
      <w:r>
        <w:rPr>
          <w:color w:val="231F20"/>
          <w:spacing w:val="2"/>
          <w:w w:val="110"/>
          <w:sz w:val="18"/>
        </w:rPr>
        <w:t>his/her </w:t>
      </w:r>
      <w:r>
        <w:rPr>
          <w:color w:val="231F20"/>
          <w:spacing w:val="3"/>
          <w:w w:val="110"/>
          <w:sz w:val="18"/>
        </w:rPr>
        <w:t>period </w:t>
      </w:r>
      <w:r>
        <w:rPr>
          <w:color w:val="231F20"/>
          <w:w w:val="110"/>
          <w:sz w:val="18"/>
        </w:rPr>
        <w:t>of</w:t>
      </w:r>
      <w:r>
        <w:rPr>
          <w:color w:val="231F20"/>
          <w:spacing w:val="5"/>
          <w:w w:val="110"/>
          <w:sz w:val="18"/>
        </w:rPr>
        <w:t> </w:t>
      </w:r>
      <w:r>
        <w:rPr>
          <w:color w:val="231F20"/>
          <w:spacing w:val="4"/>
          <w:w w:val="110"/>
          <w:sz w:val="18"/>
        </w:rPr>
        <w:t>service.</w:t>
      </w:r>
    </w:p>
    <w:p>
      <w:pPr>
        <w:pStyle w:val="ListParagraph"/>
        <w:numPr>
          <w:ilvl w:val="0"/>
          <w:numId w:val="56"/>
        </w:numPr>
        <w:tabs>
          <w:tab w:pos="1354" w:val="left" w:leader="none"/>
          <w:tab w:pos="1355" w:val="left" w:leader="none"/>
        </w:tabs>
        <w:spacing w:line="273" w:lineRule="auto" w:before="3" w:after="0"/>
        <w:ind w:left="1354" w:right="1493" w:hanging="681"/>
        <w:jc w:val="left"/>
        <w:rPr>
          <w:sz w:val="18"/>
        </w:rPr>
      </w:pPr>
      <w:r>
        <w:rPr>
          <w:color w:val="231F20"/>
          <w:w w:val="110"/>
          <w:sz w:val="18"/>
        </w:rPr>
        <w:t>The date in brackets following the names indicates the date of retirement, assuming a full</w:t>
      </w:r>
      <w:r>
        <w:rPr>
          <w:color w:val="231F20"/>
          <w:spacing w:val="1"/>
          <w:w w:val="110"/>
          <w:sz w:val="18"/>
        </w:rPr>
        <w:t> </w:t>
      </w:r>
      <w:r>
        <w:rPr>
          <w:color w:val="231F20"/>
          <w:w w:val="110"/>
          <w:sz w:val="18"/>
        </w:rPr>
        <w:t>term.</w:t>
      </w:r>
    </w:p>
    <w:p>
      <w:pPr>
        <w:pStyle w:val="ListParagraph"/>
        <w:numPr>
          <w:ilvl w:val="0"/>
          <w:numId w:val="56"/>
        </w:numPr>
        <w:tabs>
          <w:tab w:pos="1355" w:val="left" w:leader="none"/>
        </w:tabs>
        <w:spacing w:line="273" w:lineRule="auto" w:before="1" w:after="0"/>
        <w:ind w:left="1354" w:right="1795" w:hanging="681"/>
        <w:jc w:val="both"/>
        <w:rPr>
          <w:sz w:val="18"/>
        </w:rPr>
      </w:pPr>
      <w:r>
        <w:rPr>
          <w:color w:val="231F20"/>
          <w:w w:val="110"/>
          <w:sz w:val="18"/>
        </w:rPr>
        <w:t>Many committees have cross-representation </w:t>
      </w:r>
      <w:r>
        <w:rPr>
          <w:color w:val="231F20"/>
          <w:spacing w:val="-5"/>
          <w:w w:val="110"/>
          <w:sz w:val="18"/>
        </w:rPr>
        <w:t>[e.g. </w:t>
      </w:r>
      <w:r>
        <w:rPr>
          <w:color w:val="231F20"/>
          <w:w w:val="110"/>
          <w:sz w:val="18"/>
        </w:rPr>
        <w:t>the Ecumenical Committee has representatives </w:t>
      </w:r>
      <w:r>
        <w:rPr>
          <w:color w:val="231F20"/>
          <w:spacing w:val="2"/>
          <w:w w:val="110"/>
          <w:sz w:val="18"/>
        </w:rPr>
        <w:t>from </w:t>
      </w:r>
      <w:r>
        <w:rPr>
          <w:color w:val="231F20"/>
          <w:w w:val="110"/>
          <w:sz w:val="18"/>
        </w:rPr>
        <w:t>Doctrine, Prayer &amp; Worship, Church and Society, Youth and Children’s Work </w:t>
      </w:r>
      <w:r>
        <w:rPr>
          <w:color w:val="231F20"/>
          <w:spacing w:val="-3"/>
          <w:w w:val="110"/>
          <w:sz w:val="18"/>
        </w:rPr>
        <w:t>etc.,]</w:t>
      </w:r>
      <w:r>
        <w:rPr>
          <w:color w:val="231F20"/>
          <w:spacing w:val="63"/>
          <w:w w:val="110"/>
          <w:sz w:val="18"/>
        </w:rPr>
        <w:t> </w:t>
      </w:r>
      <w:r>
        <w:rPr>
          <w:color w:val="231F20"/>
          <w:spacing w:val="2"/>
          <w:w w:val="110"/>
          <w:sz w:val="18"/>
        </w:rPr>
        <w:t>These </w:t>
      </w:r>
      <w:r>
        <w:rPr>
          <w:color w:val="231F20"/>
          <w:w w:val="110"/>
          <w:sz w:val="18"/>
        </w:rPr>
        <w:t>are internal appointments and are not listed</w:t>
      </w:r>
      <w:r>
        <w:rPr>
          <w:color w:val="231F20"/>
          <w:spacing w:val="41"/>
          <w:w w:val="110"/>
          <w:sz w:val="18"/>
        </w:rPr>
        <w:t> </w:t>
      </w:r>
      <w:r>
        <w:rPr>
          <w:color w:val="231F20"/>
          <w:w w:val="110"/>
          <w:sz w:val="18"/>
        </w:rPr>
        <w:t>here.</w:t>
      </w:r>
    </w:p>
    <w:p>
      <w:pPr>
        <w:pStyle w:val="BodyText"/>
        <w:spacing w:line="273" w:lineRule="auto" w:before="2"/>
        <w:ind w:left="1354" w:right="1639" w:hanging="681"/>
        <w:jc w:val="both"/>
      </w:pPr>
      <w:r>
        <w:rPr>
          <w:color w:val="231F20"/>
          <w:w w:val="110"/>
        </w:rPr>
        <w:t>5. In accordance with the decision of General Assembly 2000 some nominations have  been made by the National Synods of Wales and</w:t>
      </w:r>
      <w:r>
        <w:rPr>
          <w:color w:val="231F20"/>
          <w:spacing w:val="21"/>
          <w:w w:val="110"/>
        </w:rPr>
        <w:t> </w:t>
      </w:r>
      <w:r>
        <w:rPr>
          <w:color w:val="231F20"/>
          <w:w w:val="110"/>
        </w:rPr>
        <w:t>Scotland.</w:t>
      </w:r>
    </w:p>
    <w:p>
      <w:pPr>
        <w:pStyle w:val="BodyText"/>
        <w:spacing w:before="8"/>
        <w:rPr>
          <w:sz w:val="20"/>
        </w:rPr>
      </w:pPr>
    </w:p>
    <w:p>
      <w:pPr>
        <w:numPr>
          <w:ilvl w:val="1"/>
          <w:numId w:val="57"/>
        </w:numPr>
        <w:tabs>
          <w:tab w:pos="1393" w:val="left" w:leader="none"/>
          <w:tab w:pos="1394" w:val="left" w:leader="none"/>
        </w:tabs>
        <w:spacing w:before="0"/>
        <w:ind w:left="1393" w:right="0" w:hanging="721"/>
        <w:jc w:val="left"/>
        <w:rPr>
          <w:b/>
          <w:sz w:val="18"/>
        </w:rPr>
      </w:pPr>
      <w:r>
        <w:rPr>
          <w:b/>
          <w:color w:val="231F20"/>
          <w:w w:val="110"/>
          <w:sz w:val="18"/>
        </w:rPr>
        <w:t>ASSEMBLY </w:t>
      </w:r>
      <w:r>
        <w:rPr>
          <w:b/>
          <w:color w:val="231F20"/>
          <w:spacing w:val="2"/>
          <w:w w:val="110"/>
          <w:sz w:val="18"/>
        </w:rPr>
        <w:t>ARRANGEMENTS</w:t>
      </w:r>
    </w:p>
    <w:p>
      <w:pPr>
        <w:tabs>
          <w:tab w:pos="5713" w:val="left" w:leader="none"/>
        </w:tabs>
        <w:spacing w:before="32"/>
        <w:ind w:left="673" w:right="0" w:firstLine="0"/>
        <w:jc w:val="left"/>
        <w:rPr>
          <w:i/>
          <w:sz w:val="18"/>
        </w:rPr>
      </w:pPr>
      <w:r>
        <w:rPr>
          <w:color w:val="231F20"/>
          <w:w w:val="110"/>
          <w:sz w:val="18"/>
        </w:rPr>
        <w:t>Convener: Mr William</w:t>
      </w:r>
      <w:r>
        <w:rPr>
          <w:color w:val="231F20"/>
          <w:spacing w:val="11"/>
          <w:w w:val="110"/>
          <w:sz w:val="18"/>
        </w:rPr>
        <w:t> </w:t>
      </w:r>
      <w:r>
        <w:rPr>
          <w:color w:val="231F20"/>
          <w:w w:val="110"/>
          <w:sz w:val="18"/>
        </w:rPr>
        <w:t>McVey</w:t>
      </w:r>
      <w:r>
        <w:rPr>
          <w:color w:val="231F20"/>
          <w:spacing w:val="4"/>
          <w:w w:val="110"/>
          <w:sz w:val="18"/>
        </w:rPr>
        <w:t> </w:t>
      </w:r>
      <w:r>
        <w:rPr>
          <w:color w:val="231F20"/>
          <w:w w:val="110"/>
          <w:sz w:val="18"/>
        </w:rPr>
        <w:t>[2008]</w:t>
        <w:tab/>
        <w:t>#</w:t>
      </w:r>
      <w:r>
        <w:rPr>
          <w:i/>
          <w:color w:val="231F20"/>
          <w:w w:val="110"/>
          <w:sz w:val="18"/>
        </w:rPr>
        <w:t>Vacancy</w:t>
      </w:r>
      <w:r>
        <w:rPr>
          <w:i/>
          <w:color w:val="231F20"/>
          <w:spacing w:val="1"/>
          <w:w w:val="110"/>
          <w:sz w:val="18"/>
        </w:rPr>
        <w:t> </w:t>
      </w:r>
      <w:r>
        <w:rPr>
          <w:i/>
          <w:color w:val="231F20"/>
          <w:spacing w:val="-7"/>
          <w:w w:val="110"/>
          <w:sz w:val="18"/>
        </w:rPr>
        <w:t>(2012)</w:t>
      </w:r>
    </w:p>
    <w:p>
      <w:pPr>
        <w:pStyle w:val="BodyText"/>
        <w:spacing w:before="31"/>
        <w:ind w:left="673"/>
      </w:pPr>
      <w:r>
        <w:rPr>
          <w:color w:val="231F20"/>
          <w:w w:val="110"/>
        </w:rPr>
        <w:t>Secretary: facilities Co-ordinator</w:t>
      </w:r>
    </w:p>
    <w:p>
      <w:pPr>
        <w:pStyle w:val="BodyText"/>
        <w:spacing w:before="31"/>
        <w:ind w:left="673"/>
      </w:pPr>
      <w:r>
        <w:rPr>
          <w:color w:val="231F20"/>
          <w:w w:val="110"/>
        </w:rPr>
        <w:t>Synod Representative for forthcoming Assembly</w:t>
      </w:r>
    </w:p>
    <w:p>
      <w:pPr>
        <w:pStyle w:val="BodyText"/>
        <w:spacing w:line="273" w:lineRule="auto" w:before="31"/>
        <w:ind w:left="673" w:right="1365"/>
      </w:pPr>
      <w:r>
        <w:rPr>
          <w:color w:val="231F20"/>
          <w:w w:val="110"/>
        </w:rPr>
        <w:t>Synod Representative for previous Assembly who is then replaced after ‘review’ meeting by Synod Representative for Assembly two years hence.</w:t>
      </w:r>
    </w:p>
    <w:p>
      <w:pPr>
        <w:pStyle w:val="BodyText"/>
        <w:spacing w:before="2"/>
        <w:ind w:left="673"/>
      </w:pPr>
      <w:r>
        <w:rPr>
          <w:color w:val="231F20"/>
          <w:w w:val="110"/>
        </w:rPr>
        <w:t>Moderator, Moderator-elect, General Secretary, Clerk to Assembly</w:t>
      </w:r>
    </w:p>
    <w:p>
      <w:pPr>
        <w:pStyle w:val="BodyText"/>
        <w:spacing w:before="1"/>
        <w:rPr>
          <w:sz w:val="23"/>
        </w:rPr>
      </w:pPr>
    </w:p>
    <w:p>
      <w:pPr>
        <w:numPr>
          <w:ilvl w:val="2"/>
          <w:numId w:val="57"/>
        </w:numPr>
        <w:tabs>
          <w:tab w:pos="1394" w:val="left" w:leader="none"/>
        </w:tabs>
        <w:spacing w:line="273" w:lineRule="auto" w:before="0"/>
        <w:ind w:left="1393" w:right="2534" w:hanging="721"/>
        <w:jc w:val="left"/>
        <w:rPr>
          <w:b/>
          <w:sz w:val="18"/>
        </w:rPr>
      </w:pPr>
      <w:r>
        <w:rPr>
          <w:b/>
          <w:color w:val="231F20"/>
          <w:spacing w:val="2"/>
          <w:w w:val="110"/>
          <w:sz w:val="18"/>
        </w:rPr>
        <w:t>TELLERS </w:t>
      </w:r>
      <w:r>
        <w:rPr>
          <w:b/>
          <w:color w:val="231F20"/>
          <w:spacing w:val="-6"/>
          <w:w w:val="110"/>
          <w:sz w:val="18"/>
        </w:rPr>
        <w:t>AT </w:t>
      </w:r>
      <w:r>
        <w:rPr>
          <w:b/>
          <w:color w:val="231F20"/>
          <w:w w:val="110"/>
          <w:sz w:val="18"/>
        </w:rPr>
        <w:t>ASSEMBLY 2008 FOR THE ELECTION OF THE </w:t>
      </w:r>
      <w:r>
        <w:rPr>
          <w:b/>
          <w:color w:val="231F20"/>
          <w:spacing w:val="3"/>
          <w:w w:val="110"/>
          <w:sz w:val="18"/>
        </w:rPr>
        <w:t>GENERAL </w:t>
      </w:r>
      <w:r>
        <w:rPr>
          <w:b/>
          <w:color w:val="231F20"/>
          <w:w w:val="110"/>
          <w:sz w:val="18"/>
        </w:rPr>
        <w:t>ASSEMBLY MODERATOR(S)</w:t>
      </w:r>
    </w:p>
    <w:p>
      <w:pPr>
        <w:pStyle w:val="BodyText"/>
        <w:spacing w:before="1"/>
        <w:ind w:left="673"/>
      </w:pPr>
      <w:r>
        <w:rPr>
          <w:color w:val="231F20"/>
          <w:w w:val="110"/>
        </w:rPr>
        <w:t>Dr Graham Campling [Convener], Dr Jim Merrilees, Revd John Durrell**</w:t>
      </w:r>
    </w:p>
    <w:p>
      <w:pPr>
        <w:pStyle w:val="BodyText"/>
        <w:spacing w:before="2"/>
        <w:rPr>
          <w:sz w:val="23"/>
        </w:rPr>
      </w:pPr>
    </w:p>
    <w:p>
      <w:pPr>
        <w:numPr>
          <w:ilvl w:val="1"/>
          <w:numId w:val="57"/>
        </w:numPr>
        <w:tabs>
          <w:tab w:pos="1393" w:val="left" w:leader="none"/>
          <w:tab w:pos="1394" w:val="left" w:leader="none"/>
        </w:tabs>
        <w:spacing w:before="0"/>
        <w:ind w:left="1393" w:right="0" w:hanging="721"/>
        <w:jc w:val="left"/>
        <w:rPr>
          <w:b/>
          <w:sz w:val="18"/>
        </w:rPr>
      </w:pPr>
      <w:r>
        <w:rPr>
          <w:b/>
          <w:color w:val="231F20"/>
          <w:w w:val="110"/>
          <w:sz w:val="18"/>
        </w:rPr>
        <w:t>CHURCH and </w:t>
      </w:r>
      <w:r>
        <w:rPr>
          <w:b/>
          <w:color w:val="231F20"/>
          <w:spacing w:val="3"/>
          <w:w w:val="110"/>
          <w:sz w:val="18"/>
        </w:rPr>
        <w:t>SOCIETY</w:t>
      </w:r>
    </w:p>
    <w:p>
      <w:pPr>
        <w:pStyle w:val="BodyText"/>
        <w:spacing w:line="273" w:lineRule="auto" w:before="31"/>
        <w:ind w:left="673" w:right="6205"/>
      </w:pPr>
      <w:r>
        <w:rPr>
          <w:color w:val="231F20"/>
          <w:w w:val="110"/>
        </w:rPr>
        <w:t>Convener: Mr Simon Loveitt </w:t>
      </w:r>
      <w:r>
        <w:rPr>
          <w:color w:val="231F20"/>
          <w:spacing w:val="-6"/>
          <w:w w:val="110"/>
        </w:rPr>
        <w:t>[2010] </w:t>
      </w:r>
      <w:r>
        <w:rPr>
          <w:color w:val="231F20"/>
          <w:spacing w:val="2"/>
          <w:w w:val="110"/>
        </w:rPr>
        <w:t>Secretary: </w:t>
      </w:r>
      <w:r>
        <w:rPr>
          <w:color w:val="231F20"/>
          <w:spacing w:val="3"/>
          <w:w w:val="110"/>
        </w:rPr>
        <w:t>Secretary </w:t>
      </w:r>
      <w:r>
        <w:rPr>
          <w:color w:val="231F20"/>
          <w:w w:val="110"/>
        </w:rPr>
        <w:t>for Church and</w:t>
      </w:r>
      <w:r>
        <w:rPr>
          <w:color w:val="231F20"/>
          <w:spacing w:val="59"/>
          <w:w w:val="110"/>
        </w:rPr>
        <w:t> </w:t>
      </w:r>
      <w:r>
        <w:rPr>
          <w:color w:val="231F20"/>
          <w:spacing w:val="2"/>
          <w:w w:val="110"/>
        </w:rPr>
        <w:t>Society</w:t>
      </w:r>
    </w:p>
    <w:p>
      <w:pPr>
        <w:pStyle w:val="BodyText"/>
        <w:tabs>
          <w:tab w:pos="4033" w:val="left" w:leader="none"/>
          <w:tab w:pos="6993" w:val="left" w:leader="none"/>
        </w:tabs>
        <w:spacing w:before="2"/>
        <w:ind w:left="673"/>
      </w:pPr>
      <w:r>
        <w:rPr>
          <w:color w:val="231F20"/>
          <w:spacing w:val="-3"/>
          <w:w w:val="110"/>
        </w:rPr>
        <w:t>Revd </w:t>
      </w:r>
      <w:r>
        <w:rPr>
          <w:color w:val="231F20"/>
          <w:w w:val="110"/>
        </w:rPr>
        <w:t>David</w:t>
      </w:r>
      <w:r>
        <w:rPr>
          <w:color w:val="231F20"/>
          <w:spacing w:val="-1"/>
          <w:w w:val="110"/>
        </w:rPr>
        <w:t> </w:t>
      </w:r>
      <w:r>
        <w:rPr>
          <w:color w:val="231F20"/>
          <w:w w:val="110"/>
        </w:rPr>
        <w:t>Pickering</w:t>
      </w:r>
      <w:r>
        <w:rPr>
          <w:color w:val="231F20"/>
          <w:spacing w:val="-2"/>
          <w:w w:val="110"/>
        </w:rPr>
        <w:t> </w:t>
      </w:r>
      <w:r>
        <w:rPr>
          <w:color w:val="231F20"/>
          <w:spacing w:val="-4"/>
          <w:w w:val="110"/>
        </w:rPr>
        <w:t>[2009]</w:t>
        <w:tab/>
      </w:r>
      <w:r>
        <w:rPr>
          <w:color w:val="231F20"/>
          <w:spacing w:val="-3"/>
          <w:w w:val="110"/>
        </w:rPr>
        <w:t>Revd </w:t>
      </w:r>
      <w:r>
        <w:rPr>
          <w:color w:val="231F20"/>
          <w:w w:val="110"/>
        </w:rPr>
        <w:t>Margaret</w:t>
      </w:r>
      <w:r>
        <w:rPr>
          <w:color w:val="231F20"/>
          <w:spacing w:val="6"/>
          <w:w w:val="110"/>
        </w:rPr>
        <w:t> </w:t>
      </w:r>
      <w:r>
        <w:rPr>
          <w:color w:val="231F20"/>
          <w:spacing w:val="-6"/>
          <w:w w:val="110"/>
        </w:rPr>
        <w:t>Tait</w:t>
      </w:r>
      <w:r>
        <w:rPr>
          <w:color w:val="231F20"/>
          <w:spacing w:val="1"/>
          <w:w w:val="110"/>
        </w:rPr>
        <w:t> </w:t>
      </w:r>
      <w:r>
        <w:rPr>
          <w:color w:val="231F20"/>
          <w:spacing w:val="-4"/>
          <w:w w:val="110"/>
        </w:rPr>
        <w:t>[2009]</w:t>
        <w:tab/>
      </w:r>
      <w:r>
        <w:rPr>
          <w:color w:val="231F20"/>
          <w:w w:val="110"/>
        </w:rPr>
        <w:t>Mrs Susan Clarke</w:t>
      </w:r>
      <w:r>
        <w:rPr>
          <w:color w:val="231F20"/>
          <w:spacing w:val="-9"/>
          <w:w w:val="110"/>
        </w:rPr>
        <w:t> </w:t>
      </w:r>
      <w:r>
        <w:rPr>
          <w:color w:val="231F20"/>
          <w:spacing w:val="-7"/>
          <w:w w:val="110"/>
        </w:rPr>
        <w:t>[2010]</w:t>
      </w:r>
    </w:p>
    <w:p>
      <w:pPr>
        <w:pStyle w:val="BodyText"/>
        <w:tabs>
          <w:tab w:pos="4033" w:val="left" w:leader="none"/>
          <w:tab w:pos="6993" w:val="left" w:leader="none"/>
        </w:tabs>
        <w:spacing w:line="273" w:lineRule="auto" w:before="31"/>
        <w:ind w:left="673" w:right="1341"/>
      </w:pPr>
      <w:r>
        <w:rPr>
          <w:color w:val="231F20"/>
          <w:w w:val="110"/>
        </w:rPr>
        <w:t>Revd Michael</w:t>
      </w:r>
      <w:r>
        <w:rPr>
          <w:color w:val="231F20"/>
          <w:spacing w:val="21"/>
          <w:w w:val="110"/>
        </w:rPr>
        <w:t> </w:t>
      </w:r>
      <w:r>
        <w:rPr>
          <w:color w:val="231F20"/>
          <w:w w:val="110"/>
        </w:rPr>
        <w:t>Jagessar</w:t>
      </w:r>
      <w:r>
        <w:rPr>
          <w:color w:val="231F20"/>
          <w:spacing w:val="11"/>
          <w:w w:val="110"/>
        </w:rPr>
        <w:t> </w:t>
      </w:r>
      <w:r>
        <w:rPr>
          <w:color w:val="231F20"/>
          <w:spacing w:val="-6"/>
          <w:w w:val="110"/>
        </w:rPr>
        <w:t>[2010]</w:t>
        <w:tab/>
      </w:r>
      <w:r>
        <w:rPr>
          <w:color w:val="231F20"/>
          <w:w w:val="110"/>
        </w:rPr>
        <w:t>Mr Themba</w:t>
      </w:r>
      <w:r>
        <w:rPr>
          <w:color w:val="231F20"/>
          <w:spacing w:val="15"/>
          <w:w w:val="110"/>
        </w:rPr>
        <w:t> </w:t>
      </w:r>
      <w:r>
        <w:rPr>
          <w:color w:val="231F20"/>
          <w:w w:val="110"/>
        </w:rPr>
        <w:t>Moyo</w:t>
      </w:r>
      <w:r>
        <w:rPr>
          <w:color w:val="231F20"/>
          <w:spacing w:val="8"/>
          <w:w w:val="110"/>
        </w:rPr>
        <w:t> </w:t>
      </w:r>
      <w:r>
        <w:rPr>
          <w:color w:val="231F20"/>
          <w:spacing w:val="-6"/>
          <w:w w:val="110"/>
        </w:rPr>
        <w:t>[2010]</w:t>
        <w:tab/>
      </w:r>
      <w:r>
        <w:rPr>
          <w:color w:val="231F20"/>
          <w:spacing w:val="2"/>
          <w:w w:val="110"/>
        </w:rPr>
        <w:t>Mrs </w:t>
      </w:r>
      <w:r>
        <w:rPr>
          <w:color w:val="231F20"/>
          <w:w w:val="110"/>
        </w:rPr>
        <w:t>Judith </w:t>
      </w:r>
      <w:r>
        <w:rPr>
          <w:color w:val="231F20"/>
          <w:spacing w:val="-3"/>
          <w:w w:val="110"/>
        </w:rPr>
        <w:t>Garthwaite**[2011] </w:t>
      </w:r>
      <w:r>
        <w:rPr>
          <w:color w:val="231F20"/>
          <w:w w:val="110"/>
        </w:rPr>
        <w:t>Mr Blair</w:t>
      </w:r>
      <w:r>
        <w:rPr>
          <w:color w:val="231F20"/>
          <w:spacing w:val="2"/>
          <w:w w:val="110"/>
        </w:rPr>
        <w:t> </w:t>
      </w:r>
      <w:r>
        <w:rPr>
          <w:color w:val="231F20"/>
          <w:spacing w:val="-3"/>
          <w:w w:val="110"/>
        </w:rPr>
        <w:t>Kesseler**[2011]</w:t>
      </w:r>
    </w:p>
    <w:p>
      <w:pPr>
        <w:pStyle w:val="BodyText"/>
        <w:spacing w:before="8"/>
        <w:rPr>
          <w:sz w:val="20"/>
        </w:rPr>
      </w:pPr>
    </w:p>
    <w:p>
      <w:pPr>
        <w:numPr>
          <w:ilvl w:val="2"/>
          <w:numId w:val="57"/>
        </w:numPr>
        <w:tabs>
          <w:tab w:pos="1394" w:val="left" w:leader="none"/>
        </w:tabs>
        <w:spacing w:before="0"/>
        <w:ind w:left="1393" w:right="0" w:hanging="721"/>
        <w:jc w:val="left"/>
        <w:rPr>
          <w:b/>
          <w:sz w:val="18"/>
        </w:rPr>
      </w:pPr>
      <w:r>
        <w:rPr>
          <w:b/>
          <w:color w:val="231F20"/>
          <w:w w:val="110"/>
          <w:sz w:val="18"/>
        </w:rPr>
        <w:t>CHURCH AND </w:t>
      </w:r>
      <w:r>
        <w:rPr>
          <w:b/>
          <w:color w:val="231F20"/>
          <w:spacing w:val="3"/>
          <w:w w:val="110"/>
          <w:sz w:val="18"/>
        </w:rPr>
        <w:t>SOCIETY </w:t>
      </w:r>
      <w:r>
        <w:rPr>
          <w:b/>
          <w:color w:val="231F20"/>
          <w:w w:val="110"/>
          <w:sz w:val="18"/>
        </w:rPr>
        <w:t>– Commitment for Life</w:t>
      </w:r>
      <w:r>
        <w:rPr>
          <w:b/>
          <w:color w:val="231F20"/>
          <w:spacing w:val="10"/>
          <w:w w:val="110"/>
          <w:sz w:val="18"/>
        </w:rPr>
        <w:t> </w:t>
      </w:r>
      <w:r>
        <w:rPr>
          <w:b/>
          <w:color w:val="231F20"/>
          <w:spacing w:val="2"/>
          <w:w w:val="110"/>
          <w:sz w:val="18"/>
        </w:rPr>
        <w:t>Sub-Committee</w:t>
      </w:r>
    </w:p>
    <w:p>
      <w:pPr>
        <w:pStyle w:val="BodyText"/>
        <w:spacing w:before="31"/>
        <w:ind w:left="673"/>
      </w:pPr>
      <w:r>
        <w:rPr>
          <w:color w:val="231F20"/>
          <w:w w:val="110"/>
        </w:rPr>
        <w:t>Convener: Mrs Melanie Frew</w:t>
      </w:r>
    </w:p>
    <w:p>
      <w:pPr>
        <w:pStyle w:val="BodyText"/>
        <w:spacing w:before="2"/>
        <w:rPr>
          <w:sz w:val="23"/>
        </w:rPr>
      </w:pPr>
    </w:p>
    <w:p>
      <w:pPr>
        <w:pStyle w:val="ListParagraph"/>
        <w:numPr>
          <w:ilvl w:val="1"/>
          <w:numId w:val="57"/>
        </w:numPr>
        <w:tabs>
          <w:tab w:pos="1393" w:val="left" w:leader="none"/>
          <w:tab w:pos="1394" w:val="left" w:leader="none"/>
        </w:tabs>
        <w:spacing w:line="273" w:lineRule="auto" w:before="0" w:after="0"/>
        <w:ind w:left="673" w:right="6030" w:firstLine="0"/>
        <w:jc w:val="left"/>
        <w:rPr>
          <w:sz w:val="18"/>
        </w:rPr>
      </w:pPr>
      <w:r>
        <w:rPr>
          <w:b/>
          <w:color w:val="231F20"/>
          <w:w w:val="110"/>
          <w:sz w:val="18"/>
        </w:rPr>
        <w:t>COMMUNICATIONS and </w:t>
      </w:r>
      <w:r>
        <w:rPr>
          <w:b/>
          <w:color w:val="231F20"/>
          <w:spacing w:val="2"/>
          <w:w w:val="110"/>
          <w:sz w:val="18"/>
        </w:rPr>
        <w:t>EDITORIAL </w:t>
      </w:r>
      <w:r>
        <w:rPr>
          <w:color w:val="231F20"/>
          <w:w w:val="110"/>
          <w:sz w:val="18"/>
        </w:rPr>
        <w:t>Convener: Revd </w:t>
      </w:r>
      <w:r>
        <w:rPr>
          <w:color w:val="231F20"/>
          <w:spacing w:val="3"/>
          <w:w w:val="110"/>
          <w:sz w:val="18"/>
        </w:rPr>
        <w:t>Kirsty </w:t>
      </w:r>
      <w:r>
        <w:rPr>
          <w:color w:val="231F20"/>
          <w:w w:val="110"/>
          <w:sz w:val="18"/>
        </w:rPr>
        <w:t>Thorpe </w:t>
      </w:r>
      <w:r>
        <w:rPr>
          <w:color w:val="231F20"/>
          <w:spacing w:val="-8"/>
          <w:w w:val="110"/>
          <w:sz w:val="18"/>
        </w:rPr>
        <w:t>[2011] </w:t>
      </w:r>
      <w:r>
        <w:rPr>
          <w:color w:val="231F20"/>
          <w:spacing w:val="2"/>
          <w:w w:val="110"/>
          <w:sz w:val="18"/>
        </w:rPr>
        <w:t>Secretary: Director </w:t>
      </w:r>
      <w:r>
        <w:rPr>
          <w:color w:val="231F20"/>
          <w:w w:val="110"/>
          <w:sz w:val="18"/>
        </w:rPr>
        <w:t>of</w:t>
      </w:r>
      <w:r>
        <w:rPr>
          <w:color w:val="231F20"/>
          <w:spacing w:val="10"/>
          <w:w w:val="110"/>
          <w:sz w:val="18"/>
        </w:rPr>
        <w:t> </w:t>
      </w:r>
      <w:r>
        <w:rPr>
          <w:color w:val="231F20"/>
          <w:w w:val="110"/>
          <w:sz w:val="18"/>
        </w:rPr>
        <w:t>Communications</w:t>
      </w:r>
    </w:p>
    <w:p>
      <w:pPr>
        <w:pStyle w:val="BodyText"/>
        <w:tabs>
          <w:tab w:pos="4033" w:val="left" w:leader="none"/>
          <w:tab w:pos="6993" w:val="left" w:leader="none"/>
        </w:tabs>
        <w:spacing w:line="273" w:lineRule="auto" w:before="2"/>
        <w:ind w:left="673" w:right="2373" w:hanging="1"/>
      </w:pPr>
      <w:r>
        <w:rPr>
          <w:color w:val="231F20"/>
          <w:w w:val="110"/>
        </w:rPr>
        <w:t>Revd Paul</w:t>
      </w:r>
      <w:r>
        <w:rPr>
          <w:color w:val="231F20"/>
          <w:spacing w:val="4"/>
          <w:w w:val="110"/>
        </w:rPr>
        <w:t> </w:t>
      </w:r>
      <w:r>
        <w:rPr>
          <w:color w:val="231F20"/>
          <w:w w:val="110"/>
        </w:rPr>
        <w:t>Snell</w:t>
      </w:r>
      <w:r>
        <w:rPr>
          <w:color w:val="231F20"/>
          <w:spacing w:val="3"/>
          <w:w w:val="110"/>
        </w:rPr>
        <w:t> </w:t>
      </w:r>
      <w:r>
        <w:rPr>
          <w:color w:val="231F20"/>
          <w:w w:val="110"/>
        </w:rPr>
        <w:t>[2008]</w:t>
        <w:tab/>
        <w:t>Revd Janet</w:t>
      </w:r>
      <w:r>
        <w:rPr>
          <w:color w:val="231F20"/>
          <w:spacing w:val="11"/>
          <w:w w:val="110"/>
        </w:rPr>
        <w:t> </w:t>
      </w:r>
      <w:r>
        <w:rPr>
          <w:color w:val="231F20"/>
          <w:w w:val="110"/>
        </w:rPr>
        <w:t>Sutton</w:t>
      </w:r>
      <w:r>
        <w:rPr>
          <w:color w:val="231F20"/>
          <w:spacing w:val="6"/>
          <w:w w:val="110"/>
        </w:rPr>
        <w:t> </w:t>
      </w:r>
      <w:r>
        <w:rPr>
          <w:color w:val="231F20"/>
          <w:w w:val="110"/>
        </w:rPr>
        <w:t>[2008]</w:t>
        <w:tab/>
        <w:t>Ms Julia Wills </w:t>
      </w:r>
      <w:r>
        <w:rPr>
          <w:color w:val="231F20"/>
          <w:spacing w:val="-4"/>
          <w:w w:val="110"/>
        </w:rPr>
        <w:t>[2008] </w:t>
      </w:r>
      <w:r>
        <w:rPr>
          <w:color w:val="231F20"/>
          <w:spacing w:val="2"/>
          <w:w w:val="110"/>
        </w:rPr>
        <w:t>Mrs </w:t>
      </w:r>
      <w:r>
        <w:rPr>
          <w:color w:val="231F20"/>
          <w:w w:val="110"/>
        </w:rPr>
        <w:t>Valerie</w:t>
      </w:r>
      <w:r>
        <w:rPr>
          <w:color w:val="231F20"/>
          <w:spacing w:val="9"/>
          <w:w w:val="110"/>
        </w:rPr>
        <w:t> </w:t>
      </w:r>
      <w:r>
        <w:rPr>
          <w:color w:val="231F20"/>
          <w:w w:val="110"/>
        </w:rPr>
        <w:t>Jenkins</w:t>
      </w:r>
      <w:r>
        <w:rPr>
          <w:color w:val="231F20"/>
          <w:spacing w:val="6"/>
          <w:w w:val="110"/>
        </w:rPr>
        <w:t> </w:t>
      </w:r>
      <w:r>
        <w:rPr>
          <w:color w:val="231F20"/>
          <w:w w:val="110"/>
        </w:rPr>
        <w:t>[2009]</w:t>
        <w:tab/>
        <w:t>Ms Catherine Lewis-Smith</w:t>
      </w:r>
      <w:r>
        <w:rPr>
          <w:color w:val="231F20"/>
          <w:spacing w:val="6"/>
          <w:w w:val="110"/>
        </w:rPr>
        <w:t> </w:t>
      </w:r>
      <w:r>
        <w:rPr>
          <w:color w:val="231F20"/>
          <w:w w:val="110"/>
        </w:rPr>
        <w:t>[2009]</w:t>
      </w:r>
    </w:p>
    <w:p>
      <w:pPr>
        <w:pStyle w:val="BodyText"/>
        <w:tabs>
          <w:tab w:pos="4033" w:val="left" w:leader="none"/>
          <w:tab w:pos="6976" w:val="left" w:leader="none"/>
        </w:tabs>
        <w:spacing w:before="1"/>
        <w:ind w:left="673"/>
      </w:pPr>
      <w:r>
        <w:rPr>
          <w:color w:val="231F20"/>
          <w:w w:val="110"/>
        </w:rPr>
        <w:t>Mr Ron</w:t>
      </w:r>
      <w:r>
        <w:rPr>
          <w:color w:val="231F20"/>
          <w:spacing w:val="5"/>
          <w:w w:val="110"/>
        </w:rPr>
        <w:t> </w:t>
      </w:r>
      <w:r>
        <w:rPr>
          <w:color w:val="231F20"/>
          <w:w w:val="110"/>
        </w:rPr>
        <w:t>Sweeney</w:t>
      </w:r>
      <w:r>
        <w:rPr>
          <w:color w:val="231F20"/>
          <w:spacing w:val="3"/>
          <w:w w:val="110"/>
        </w:rPr>
        <w:t> </w:t>
      </w:r>
      <w:r>
        <w:rPr>
          <w:color w:val="231F20"/>
          <w:w w:val="110"/>
        </w:rPr>
        <w:t>[2009]</w:t>
        <w:tab/>
        <w:t>Mr Richard</w:t>
      </w:r>
      <w:r>
        <w:rPr>
          <w:color w:val="231F20"/>
          <w:spacing w:val="18"/>
          <w:w w:val="110"/>
        </w:rPr>
        <w:t> </w:t>
      </w:r>
      <w:r>
        <w:rPr>
          <w:color w:val="231F20"/>
          <w:w w:val="110"/>
        </w:rPr>
        <w:t>Lathaen</w:t>
      </w:r>
      <w:r>
        <w:rPr>
          <w:color w:val="231F20"/>
          <w:spacing w:val="9"/>
          <w:w w:val="110"/>
        </w:rPr>
        <w:t> </w:t>
      </w:r>
      <w:r>
        <w:rPr>
          <w:color w:val="231F20"/>
          <w:w w:val="110"/>
        </w:rPr>
        <w:t>[2009]</w:t>
        <w:tab/>
      </w:r>
      <w:r>
        <w:rPr>
          <w:color w:val="231F20"/>
          <w:spacing w:val="2"/>
          <w:w w:val="110"/>
        </w:rPr>
        <w:t>Mrs </w:t>
      </w:r>
      <w:r>
        <w:rPr>
          <w:color w:val="231F20"/>
          <w:w w:val="110"/>
        </w:rPr>
        <w:t>Esther Searle **</w:t>
      </w:r>
      <w:r>
        <w:rPr>
          <w:color w:val="231F20"/>
          <w:spacing w:val="8"/>
          <w:w w:val="110"/>
        </w:rPr>
        <w:t> </w:t>
      </w:r>
      <w:r>
        <w:rPr>
          <w:color w:val="231F20"/>
          <w:spacing w:val="-8"/>
          <w:w w:val="110"/>
        </w:rPr>
        <w:t>[2011]</w:t>
      </w:r>
    </w:p>
    <w:p>
      <w:pPr>
        <w:spacing w:before="31"/>
        <w:ind w:left="673" w:right="0" w:firstLine="0"/>
        <w:jc w:val="left"/>
        <w:rPr>
          <w:i/>
          <w:sz w:val="18"/>
        </w:rPr>
      </w:pPr>
      <w:r>
        <w:rPr>
          <w:i/>
          <w:color w:val="231F20"/>
          <w:w w:val="110"/>
          <w:sz w:val="18"/>
        </w:rPr>
        <w:t>Vacancy [2011]</w:t>
      </w:r>
    </w:p>
    <w:p>
      <w:pPr>
        <w:pStyle w:val="BodyText"/>
        <w:spacing w:before="2"/>
        <w:rPr>
          <w:i/>
          <w:sz w:val="23"/>
        </w:rPr>
      </w:pPr>
    </w:p>
    <w:p>
      <w:pPr>
        <w:numPr>
          <w:ilvl w:val="1"/>
          <w:numId w:val="57"/>
        </w:numPr>
        <w:tabs>
          <w:tab w:pos="1393" w:val="left" w:leader="none"/>
          <w:tab w:pos="1394" w:val="left" w:leader="none"/>
        </w:tabs>
        <w:spacing w:before="0"/>
        <w:ind w:left="1393" w:right="0" w:hanging="721"/>
        <w:jc w:val="left"/>
        <w:rPr>
          <w:b/>
          <w:sz w:val="18"/>
        </w:rPr>
      </w:pPr>
      <w:r>
        <w:rPr>
          <w:b/>
          <w:color w:val="231F20"/>
          <w:spacing w:val="2"/>
          <w:w w:val="110"/>
          <w:sz w:val="18"/>
        </w:rPr>
        <w:t>DOCTRINE, </w:t>
      </w:r>
      <w:r>
        <w:rPr>
          <w:b/>
          <w:color w:val="231F20"/>
          <w:w w:val="110"/>
          <w:sz w:val="18"/>
        </w:rPr>
        <w:t>PRAYER and</w:t>
      </w:r>
      <w:r>
        <w:rPr>
          <w:b/>
          <w:color w:val="231F20"/>
          <w:spacing w:val="-1"/>
          <w:w w:val="110"/>
          <w:sz w:val="18"/>
        </w:rPr>
        <w:t> </w:t>
      </w:r>
      <w:r>
        <w:rPr>
          <w:b/>
          <w:color w:val="231F20"/>
          <w:w w:val="110"/>
          <w:sz w:val="18"/>
        </w:rPr>
        <w:t>WORSHIP</w:t>
      </w:r>
    </w:p>
    <w:p>
      <w:pPr>
        <w:pStyle w:val="BodyText"/>
        <w:spacing w:before="31"/>
        <w:ind w:left="673"/>
      </w:pPr>
      <w:r>
        <w:rPr>
          <w:color w:val="231F20"/>
          <w:w w:val="110"/>
        </w:rPr>
        <w:t>Convener: Revd Dr Susan Durber [2009]</w:t>
      </w:r>
    </w:p>
    <w:p>
      <w:pPr>
        <w:pStyle w:val="BodyText"/>
        <w:spacing w:before="32"/>
        <w:ind w:left="673"/>
      </w:pPr>
      <w:r>
        <w:rPr>
          <w:color w:val="231F20"/>
          <w:w w:val="110"/>
        </w:rPr>
        <w:t>Secretary: Secretary for Ecumenical Relations and Faith &amp; Order</w:t>
      </w:r>
    </w:p>
    <w:p>
      <w:pPr>
        <w:pStyle w:val="BodyText"/>
        <w:tabs>
          <w:tab w:pos="5073" w:val="left" w:leader="none"/>
        </w:tabs>
        <w:spacing w:before="31"/>
        <w:ind w:left="673"/>
      </w:pPr>
      <w:r>
        <w:rPr>
          <w:color w:val="231F20"/>
          <w:spacing w:val="2"/>
          <w:w w:val="110"/>
        </w:rPr>
        <w:t>Mrs </w:t>
      </w:r>
      <w:r>
        <w:rPr>
          <w:color w:val="231F20"/>
          <w:w w:val="110"/>
        </w:rPr>
        <w:t>Chris</w:t>
      </w:r>
      <w:r>
        <w:rPr>
          <w:color w:val="231F20"/>
          <w:spacing w:val="11"/>
          <w:w w:val="110"/>
        </w:rPr>
        <w:t> </w:t>
      </w:r>
      <w:r>
        <w:rPr>
          <w:color w:val="231F20"/>
          <w:w w:val="110"/>
        </w:rPr>
        <w:t>Eddowes</w:t>
      </w:r>
      <w:r>
        <w:rPr>
          <w:color w:val="231F20"/>
          <w:spacing w:val="7"/>
          <w:w w:val="110"/>
        </w:rPr>
        <w:t> </w:t>
      </w:r>
      <w:r>
        <w:rPr>
          <w:color w:val="231F20"/>
          <w:w w:val="110"/>
        </w:rPr>
        <w:t>[2008]</w:t>
        <w:tab/>
        <w:t>Revd Jason McCullagh</w:t>
      </w:r>
      <w:r>
        <w:rPr>
          <w:color w:val="231F20"/>
          <w:spacing w:val="3"/>
          <w:w w:val="110"/>
        </w:rPr>
        <w:t> </w:t>
      </w:r>
      <w:r>
        <w:rPr>
          <w:color w:val="231F20"/>
          <w:w w:val="110"/>
        </w:rPr>
        <w:t>[2008]</w:t>
      </w:r>
    </w:p>
    <w:p>
      <w:pPr>
        <w:pStyle w:val="BodyText"/>
        <w:tabs>
          <w:tab w:pos="5073" w:val="left" w:leader="none"/>
        </w:tabs>
        <w:spacing w:line="273" w:lineRule="auto" w:before="31"/>
        <w:ind w:left="673" w:right="3587"/>
      </w:pPr>
      <w:r>
        <w:rPr>
          <w:color w:val="231F20"/>
          <w:spacing w:val="-3"/>
          <w:w w:val="110"/>
        </w:rPr>
        <w:t>Revd </w:t>
      </w:r>
      <w:r>
        <w:rPr>
          <w:color w:val="231F20"/>
          <w:w w:val="110"/>
        </w:rPr>
        <w:t>Peter</w:t>
      </w:r>
      <w:r>
        <w:rPr>
          <w:color w:val="231F20"/>
          <w:spacing w:val="-7"/>
          <w:w w:val="110"/>
        </w:rPr>
        <w:t> </w:t>
      </w:r>
      <w:r>
        <w:rPr>
          <w:color w:val="231F20"/>
          <w:spacing w:val="-4"/>
          <w:w w:val="110"/>
        </w:rPr>
        <w:t>Trow</w:t>
      </w:r>
      <w:r>
        <w:rPr>
          <w:color w:val="231F20"/>
          <w:spacing w:val="-5"/>
          <w:w w:val="110"/>
        </w:rPr>
        <w:t> </w:t>
      </w:r>
      <w:r>
        <w:rPr>
          <w:color w:val="231F20"/>
          <w:spacing w:val="-3"/>
          <w:w w:val="110"/>
        </w:rPr>
        <w:t>[2008]</w:t>
        <w:tab/>
        <w:t>Revd </w:t>
      </w:r>
      <w:r>
        <w:rPr>
          <w:color w:val="231F20"/>
          <w:w w:val="110"/>
        </w:rPr>
        <w:t>Gordon Smith </w:t>
      </w:r>
      <w:r>
        <w:rPr>
          <w:color w:val="231F20"/>
          <w:spacing w:val="-4"/>
          <w:w w:val="110"/>
        </w:rPr>
        <w:t>[2009] </w:t>
      </w:r>
      <w:r>
        <w:rPr>
          <w:color w:val="231F20"/>
          <w:w w:val="110"/>
        </w:rPr>
        <w:t>Miss Suzanne</w:t>
      </w:r>
      <w:r>
        <w:rPr>
          <w:color w:val="231F20"/>
          <w:spacing w:val="-15"/>
          <w:w w:val="110"/>
        </w:rPr>
        <w:t> </w:t>
      </w:r>
      <w:r>
        <w:rPr>
          <w:color w:val="231F20"/>
          <w:w w:val="110"/>
        </w:rPr>
        <w:t>McDonald</w:t>
      </w:r>
      <w:r>
        <w:rPr>
          <w:color w:val="231F20"/>
          <w:spacing w:val="-7"/>
          <w:w w:val="110"/>
        </w:rPr>
        <w:t> </w:t>
      </w:r>
      <w:r>
        <w:rPr>
          <w:color w:val="231F20"/>
          <w:spacing w:val="-4"/>
          <w:w w:val="110"/>
        </w:rPr>
        <w:t>[2009]</w:t>
        <w:tab/>
      </w:r>
      <w:r>
        <w:rPr>
          <w:color w:val="231F20"/>
          <w:spacing w:val="-3"/>
          <w:w w:val="110"/>
        </w:rPr>
        <w:t>Revd </w:t>
      </w:r>
      <w:r>
        <w:rPr>
          <w:color w:val="231F20"/>
          <w:w w:val="110"/>
        </w:rPr>
        <w:t>Lance Stone **</w:t>
      </w:r>
      <w:r>
        <w:rPr>
          <w:color w:val="231F20"/>
          <w:spacing w:val="-19"/>
          <w:w w:val="110"/>
        </w:rPr>
        <w:t> </w:t>
      </w:r>
      <w:r>
        <w:rPr>
          <w:color w:val="231F20"/>
          <w:spacing w:val="-9"/>
          <w:w w:val="110"/>
        </w:rPr>
        <w:t>[2011] </w:t>
      </w:r>
      <w:r>
        <w:rPr>
          <w:color w:val="231F20"/>
          <w:w w:val="110"/>
        </w:rPr>
        <w:t>Ms Christine Chalstrey</w:t>
      </w:r>
      <w:r>
        <w:rPr>
          <w:color w:val="231F20"/>
          <w:spacing w:val="-19"/>
          <w:w w:val="110"/>
        </w:rPr>
        <w:t> </w:t>
      </w:r>
      <w:r>
        <w:rPr>
          <w:color w:val="231F20"/>
          <w:w w:val="110"/>
        </w:rPr>
        <w:t>**</w:t>
      </w:r>
      <w:r>
        <w:rPr>
          <w:color w:val="231F20"/>
          <w:spacing w:val="-7"/>
          <w:w w:val="110"/>
        </w:rPr>
        <w:t> </w:t>
      </w:r>
      <w:r>
        <w:rPr>
          <w:color w:val="231F20"/>
          <w:spacing w:val="-9"/>
          <w:w w:val="110"/>
        </w:rPr>
        <w:t>[2011]</w:t>
        <w:tab/>
      </w:r>
      <w:r>
        <w:rPr>
          <w:color w:val="231F20"/>
          <w:spacing w:val="-3"/>
          <w:w w:val="110"/>
        </w:rPr>
        <w:t>Revd </w:t>
      </w:r>
      <w:r>
        <w:rPr>
          <w:color w:val="231F20"/>
          <w:w w:val="110"/>
        </w:rPr>
        <w:t>Ruth Dillon ** </w:t>
      </w:r>
      <w:r>
        <w:rPr>
          <w:color w:val="231F20"/>
          <w:spacing w:val="-9"/>
          <w:w w:val="110"/>
        </w:rPr>
        <w:t>[2011] </w:t>
      </w:r>
      <w:r>
        <w:rPr>
          <w:color w:val="231F20"/>
          <w:w w:val="110"/>
        </w:rPr>
        <w:t>Revd Ruth </w:t>
      </w:r>
      <w:r>
        <w:rPr>
          <w:color w:val="231F20"/>
          <w:spacing w:val="2"/>
          <w:w w:val="110"/>
        </w:rPr>
        <w:t>Crofton</w:t>
      </w:r>
      <w:r>
        <w:rPr>
          <w:color w:val="231F20"/>
          <w:spacing w:val="17"/>
          <w:w w:val="110"/>
        </w:rPr>
        <w:t> </w:t>
      </w:r>
      <w:r>
        <w:rPr>
          <w:color w:val="231F20"/>
          <w:w w:val="110"/>
        </w:rPr>
        <w:t>**</w:t>
      </w:r>
      <w:r>
        <w:rPr>
          <w:color w:val="231F20"/>
          <w:spacing w:val="6"/>
          <w:w w:val="110"/>
        </w:rPr>
        <w:t> </w:t>
      </w:r>
      <w:r>
        <w:rPr>
          <w:color w:val="231F20"/>
          <w:spacing w:val="-8"/>
          <w:w w:val="110"/>
        </w:rPr>
        <w:t>[2011]</w:t>
        <w:tab/>
      </w:r>
      <w:r>
        <w:rPr>
          <w:color w:val="231F20"/>
          <w:w w:val="110"/>
        </w:rPr>
        <w:t>Mr Mark Argent ** </w:t>
      </w:r>
      <w:r>
        <w:rPr>
          <w:color w:val="231F20"/>
          <w:spacing w:val="-8"/>
          <w:w w:val="110"/>
        </w:rPr>
        <w:t>[2011] </w:t>
      </w:r>
      <w:r>
        <w:rPr>
          <w:color w:val="231F20"/>
          <w:w w:val="110"/>
        </w:rPr>
        <w:t>Mr Malcolm Townsend **</w:t>
      </w:r>
      <w:r>
        <w:rPr>
          <w:color w:val="231F20"/>
          <w:spacing w:val="4"/>
          <w:w w:val="110"/>
        </w:rPr>
        <w:t> </w:t>
      </w:r>
      <w:r>
        <w:rPr>
          <w:color w:val="231F20"/>
          <w:spacing w:val="-8"/>
          <w:w w:val="110"/>
        </w:rPr>
        <w:t>[2011]</w:t>
      </w:r>
    </w:p>
    <w:p>
      <w:pPr>
        <w:spacing w:after="0" w:line="273" w:lineRule="auto"/>
        <w:sectPr>
          <w:headerReference w:type="even" r:id="rId119"/>
          <w:headerReference w:type="default" r:id="rId120"/>
          <w:footerReference w:type="even" r:id="rId121"/>
          <w:footerReference w:type="default" r:id="rId122"/>
          <w:pgSz w:w="11910" w:h="16840"/>
          <w:pgMar w:header="581" w:footer="544" w:top="860" w:bottom="740" w:left="460" w:right="0"/>
          <w:pgNumType w:start="100"/>
        </w:sectPr>
      </w:pPr>
    </w:p>
    <w:p>
      <w:pPr>
        <w:pStyle w:val="BodyText"/>
        <w:spacing w:before="10"/>
        <w:rPr>
          <w:sz w:val="11"/>
        </w:rPr>
      </w:pPr>
    </w:p>
    <w:p>
      <w:pPr>
        <w:numPr>
          <w:ilvl w:val="1"/>
          <w:numId w:val="57"/>
        </w:numPr>
        <w:tabs>
          <w:tab w:pos="1960" w:val="left" w:leader="none"/>
          <w:tab w:pos="1961" w:val="left" w:leader="none"/>
        </w:tabs>
        <w:spacing w:before="101"/>
        <w:ind w:left="1960" w:right="0" w:hanging="721"/>
        <w:jc w:val="left"/>
        <w:rPr>
          <w:b/>
          <w:sz w:val="18"/>
        </w:rPr>
      </w:pPr>
      <w:r>
        <w:rPr>
          <w:b/>
          <w:color w:val="231F20"/>
          <w:w w:val="110"/>
          <w:sz w:val="18"/>
        </w:rPr>
        <w:t>ECUMENICAL</w:t>
      </w:r>
    </w:p>
    <w:p>
      <w:pPr>
        <w:pStyle w:val="BodyText"/>
        <w:spacing w:before="31"/>
        <w:ind w:left="1240"/>
      </w:pPr>
      <w:r>
        <w:rPr>
          <w:color w:val="231F20"/>
          <w:w w:val="110"/>
        </w:rPr>
        <w:t>Convener: Revd Elizabeth Nash [2009]</w:t>
      </w:r>
    </w:p>
    <w:p>
      <w:pPr>
        <w:pStyle w:val="BodyText"/>
        <w:spacing w:before="31"/>
        <w:ind w:left="1240"/>
      </w:pPr>
      <w:r>
        <w:rPr>
          <w:color w:val="231F20"/>
          <w:w w:val="110"/>
        </w:rPr>
        <w:t>Secretary: Secretary for Ecumenical Relations and Faith &amp; Order</w:t>
      </w:r>
    </w:p>
    <w:p>
      <w:pPr>
        <w:pStyle w:val="BodyText"/>
        <w:tabs>
          <w:tab w:pos="4600" w:val="left" w:leader="none"/>
        </w:tabs>
        <w:spacing w:line="273" w:lineRule="auto" w:before="31"/>
        <w:ind w:left="1240" w:right="1143"/>
      </w:pPr>
      <w:r>
        <w:rPr>
          <w:color w:val="231F20"/>
          <w:w w:val="110"/>
        </w:rPr>
        <w:t>Revd Graham</w:t>
      </w:r>
      <w:r>
        <w:rPr>
          <w:color w:val="231F20"/>
          <w:spacing w:val="12"/>
          <w:w w:val="110"/>
        </w:rPr>
        <w:t> </w:t>
      </w:r>
      <w:r>
        <w:rPr>
          <w:color w:val="231F20"/>
          <w:w w:val="110"/>
        </w:rPr>
        <w:t>Maskery</w:t>
      </w:r>
      <w:r>
        <w:rPr>
          <w:color w:val="231F20"/>
          <w:spacing w:val="7"/>
          <w:w w:val="110"/>
        </w:rPr>
        <w:t> </w:t>
      </w:r>
      <w:r>
        <w:rPr>
          <w:color w:val="231F20"/>
          <w:w w:val="110"/>
        </w:rPr>
        <w:t>[2009]</w:t>
        <w:tab/>
        <w:t>Revd Anthony Howells [2009] Revd Sarah Moore </w:t>
      </w:r>
      <w:r>
        <w:rPr>
          <w:color w:val="231F20"/>
          <w:spacing w:val="-6"/>
          <w:w w:val="110"/>
        </w:rPr>
        <w:t>[2010] </w:t>
      </w:r>
      <w:r>
        <w:rPr>
          <w:color w:val="231F20"/>
          <w:w w:val="110"/>
        </w:rPr>
        <w:t>Mr David</w:t>
      </w:r>
      <w:r>
        <w:rPr>
          <w:color w:val="231F20"/>
          <w:spacing w:val="12"/>
          <w:w w:val="110"/>
        </w:rPr>
        <w:t> </w:t>
      </w:r>
      <w:r>
        <w:rPr>
          <w:color w:val="231F20"/>
          <w:spacing w:val="2"/>
          <w:w w:val="110"/>
        </w:rPr>
        <w:t>Barber</w:t>
      </w:r>
      <w:r>
        <w:rPr>
          <w:color w:val="231F20"/>
          <w:spacing w:val="6"/>
          <w:w w:val="110"/>
        </w:rPr>
        <w:t> </w:t>
      </w:r>
      <w:r>
        <w:rPr>
          <w:color w:val="231F20"/>
          <w:spacing w:val="-6"/>
          <w:w w:val="110"/>
        </w:rPr>
        <w:t>[2010]</w:t>
        <w:tab/>
      </w:r>
      <w:r>
        <w:rPr>
          <w:color w:val="231F20"/>
          <w:w w:val="110"/>
        </w:rPr>
        <w:t>Miss Isobel Simmons**</w:t>
      </w:r>
      <w:r>
        <w:rPr>
          <w:color w:val="231F20"/>
          <w:spacing w:val="-10"/>
          <w:w w:val="110"/>
        </w:rPr>
        <w:t> </w:t>
      </w:r>
      <w:r>
        <w:rPr>
          <w:color w:val="231F20"/>
          <w:spacing w:val="-9"/>
          <w:w w:val="110"/>
        </w:rPr>
        <w:t>[2011]</w:t>
      </w:r>
    </w:p>
    <w:p>
      <w:pPr>
        <w:pStyle w:val="BodyText"/>
        <w:spacing w:before="2"/>
        <w:ind w:left="1240"/>
      </w:pPr>
      <w:r>
        <w:rPr>
          <w:color w:val="231F20"/>
          <w:w w:val="110"/>
        </w:rPr>
        <w:t>Mrs Margaret Gateley ** [2011]</w:t>
      </w:r>
    </w:p>
    <w:p>
      <w:pPr>
        <w:pStyle w:val="BodyText"/>
        <w:spacing w:line="273" w:lineRule="auto" w:before="31"/>
        <w:ind w:left="1240" w:right="3485"/>
      </w:pPr>
      <w:r>
        <w:rPr>
          <w:color w:val="231F20"/>
          <w:w w:val="110"/>
        </w:rPr>
        <w:t>Revd Stuart Jackson representing the National Synod of Wales Revd Mary Buchanan representing the National Synod of Scotland</w:t>
      </w:r>
    </w:p>
    <w:p>
      <w:pPr>
        <w:pStyle w:val="BodyText"/>
        <w:spacing w:before="8"/>
        <w:rPr>
          <w:sz w:val="20"/>
        </w:rPr>
      </w:pPr>
    </w:p>
    <w:p>
      <w:pPr>
        <w:numPr>
          <w:ilvl w:val="2"/>
          <w:numId w:val="57"/>
        </w:numPr>
        <w:tabs>
          <w:tab w:pos="1961" w:val="left" w:leader="none"/>
        </w:tabs>
        <w:spacing w:before="0"/>
        <w:ind w:left="1960" w:right="0" w:hanging="721"/>
        <w:jc w:val="left"/>
        <w:rPr>
          <w:b/>
          <w:sz w:val="18"/>
        </w:rPr>
      </w:pPr>
      <w:r>
        <w:rPr>
          <w:b/>
          <w:color w:val="231F20"/>
          <w:w w:val="110"/>
          <w:sz w:val="18"/>
        </w:rPr>
        <w:t>ECUMENICAL – International Exchange</w:t>
      </w:r>
      <w:r>
        <w:rPr>
          <w:b/>
          <w:color w:val="231F20"/>
          <w:spacing w:val="7"/>
          <w:w w:val="110"/>
          <w:sz w:val="18"/>
        </w:rPr>
        <w:t> </w:t>
      </w:r>
      <w:r>
        <w:rPr>
          <w:b/>
          <w:color w:val="231F20"/>
          <w:spacing w:val="2"/>
          <w:w w:val="110"/>
          <w:sz w:val="18"/>
        </w:rPr>
        <w:t>Sub-Committee</w:t>
      </w:r>
    </w:p>
    <w:p>
      <w:pPr>
        <w:pStyle w:val="BodyText"/>
        <w:spacing w:before="31"/>
        <w:ind w:left="1240"/>
      </w:pPr>
      <w:r>
        <w:rPr>
          <w:color w:val="231F20"/>
          <w:w w:val="110"/>
        </w:rPr>
        <w:t>Convener: Revd Linda Elliott [2011]</w:t>
      </w:r>
    </w:p>
    <w:p>
      <w:pPr>
        <w:pStyle w:val="BodyText"/>
        <w:spacing w:before="31"/>
        <w:ind w:left="1240"/>
      </w:pPr>
      <w:r>
        <w:rPr>
          <w:color w:val="231F20"/>
          <w:w w:val="110"/>
        </w:rPr>
        <w:t>Secretary: Secretary for International Relations</w:t>
      </w:r>
    </w:p>
    <w:p>
      <w:pPr>
        <w:pStyle w:val="BodyText"/>
        <w:tabs>
          <w:tab w:pos="4600" w:val="left" w:leader="none"/>
          <w:tab w:pos="7560" w:val="left" w:leader="none"/>
        </w:tabs>
        <w:spacing w:line="273" w:lineRule="auto" w:before="32"/>
        <w:ind w:left="1240" w:right="1593"/>
        <w:rPr>
          <w:i/>
        </w:rPr>
      </w:pPr>
      <w:r>
        <w:rPr>
          <w:color w:val="231F20"/>
          <w:spacing w:val="2"/>
          <w:w w:val="110"/>
        </w:rPr>
        <w:t>Mrs </w:t>
      </w:r>
      <w:r>
        <w:rPr>
          <w:color w:val="231F20"/>
          <w:w w:val="110"/>
        </w:rPr>
        <w:t>Sylvia</w:t>
      </w:r>
      <w:r>
        <w:rPr>
          <w:color w:val="231F20"/>
          <w:spacing w:val="11"/>
          <w:w w:val="110"/>
        </w:rPr>
        <w:t> </w:t>
      </w:r>
      <w:r>
        <w:rPr>
          <w:color w:val="231F20"/>
          <w:w w:val="110"/>
        </w:rPr>
        <w:t>Jackson</w:t>
      </w:r>
      <w:r>
        <w:rPr>
          <w:color w:val="231F20"/>
          <w:spacing w:val="7"/>
          <w:w w:val="110"/>
        </w:rPr>
        <w:t> </w:t>
      </w:r>
      <w:r>
        <w:rPr>
          <w:color w:val="231F20"/>
          <w:w w:val="110"/>
        </w:rPr>
        <w:t>[2009]</w:t>
        <w:tab/>
        <w:t>Revd Nigel</w:t>
      </w:r>
      <w:r>
        <w:rPr>
          <w:color w:val="231F20"/>
          <w:spacing w:val="14"/>
          <w:w w:val="110"/>
        </w:rPr>
        <w:t> </w:t>
      </w:r>
      <w:r>
        <w:rPr>
          <w:color w:val="231F20"/>
          <w:w w:val="110"/>
        </w:rPr>
        <w:t>Uden</w:t>
      </w:r>
      <w:r>
        <w:rPr>
          <w:color w:val="231F20"/>
          <w:spacing w:val="7"/>
          <w:w w:val="110"/>
        </w:rPr>
        <w:t> </w:t>
      </w:r>
      <w:r>
        <w:rPr>
          <w:color w:val="231F20"/>
          <w:spacing w:val="-6"/>
          <w:w w:val="110"/>
        </w:rPr>
        <w:t>[2010]</w:t>
        <w:tab/>
      </w:r>
      <w:r>
        <w:rPr>
          <w:color w:val="231F20"/>
          <w:w w:val="110"/>
        </w:rPr>
        <w:t>Dr </w:t>
      </w:r>
      <w:r>
        <w:rPr>
          <w:color w:val="231F20"/>
          <w:spacing w:val="3"/>
          <w:w w:val="110"/>
        </w:rPr>
        <w:t>Harry </w:t>
      </w:r>
      <w:r>
        <w:rPr>
          <w:color w:val="231F20"/>
          <w:w w:val="110"/>
        </w:rPr>
        <w:t>Potter </w:t>
      </w:r>
      <w:r>
        <w:rPr>
          <w:color w:val="231F20"/>
          <w:spacing w:val="-8"/>
          <w:w w:val="110"/>
        </w:rPr>
        <w:t>[2010] </w:t>
      </w:r>
      <w:r>
        <w:rPr>
          <w:color w:val="231F20"/>
          <w:w w:val="110"/>
        </w:rPr>
        <w:t>Dr Pamela</w:t>
      </w:r>
      <w:r>
        <w:rPr>
          <w:color w:val="231F20"/>
          <w:spacing w:val="22"/>
          <w:w w:val="110"/>
        </w:rPr>
        <w:t> </w:t>
      </w:r>
      <w:r>
        <w:rPr>
          <w:color w:val="231F20"/>
          <w:w w:val="110"/>
        </w:rPr>
        <w:t>Cressey</w:t>
      </w:r>
      <w:r>
        <w:rPr>
          <w:color w:val="231F20"/>
          <w:spacing w:val="11"/>
          <w:w w:val="110"/>
        </w:rPr>
        <w:t> </w:t>
      </w:r>
      <w:r>
        <w:rPr>
          <w:color w:val="231F20"/>
          <w:spacing w:val="-6"/>
          <w:w w:val="110"/>
        </w:rPr>
        <w:t>[2010]</w:t>
        <w:tab/>
      </w:r>
      <w:r>
        <w:rPr>
          <w:color w:val="231F20"/>
          <w:w w:val="110"/>
        </w:rPr>
        <w:t>Revd Philip Gray</w:t>
      </w:r>
      <w:r>
        <w:rPr>
          <w:color w:val="231F20"/>
          <w:spacing w:val="14"/>
          <w:w w:val="110"/>
        </w:rPr>
        <w:t> </w:t>
      </w:r>
      <w:r>
        <w:rPr>
          <w:color w:val="231F20"/>
          <w:w w:val="110"/>
        </w:rPr>
        <w:t>**</w:t>
      </w:r>
      <w:r>
        <w:rPr>
          <w:color w:val="231F20"/>
          <w:spacing w:val="4"/>
          <w:w w:val="110"/>
        </w:rPr>
        <w:t> </w:t>
      </w:r>
      <w:r>
        <w:rPr>
          <w:color w:val="231F20"/>
          <w:spacing w:val="-8"/>
          <w:w w:val="110"/>
        </w:rPr>
        <w:t>[2011]</w:t>
        <w:tab/>
      </w:r>
      <w:r>
        <w:rPr>
          <w:i/>
          <w:color w:val="231F20"/>
          <w:w w:val="110"/>
        </w:rPr>
        <w:t>Vacancy</w:t>
      </w:r>
      <w:r>
        <w:rPr>
          <w:i/>
          <w:color w:val="231F20"/>
          <w:spacing w:val="3"/>
          <w:w w:val="110"/>
        </w:rPr>
        <w:t> </w:t>
      </w:r>
      <w:r>
        <w:rPr>
          <w:i/>
          <w:color w:val="231F20"/>
          <w:spacing w:val="-9"/>
          <w:w w:val="110"/>
        </w:rPr>
        <w:t>[2011]</w:t>
      </w:r>
    </w:p>
    <w:p>
      <w:pPr>
        <w:pStyle w:val="BodyText"/>
        <w:spacing w:before="8"/>
        <w:rPr>
          <w:i/>
          <w:sz w:val="20"/>
        </w:rPr>
      </w:pPr>
    </w:p>
    <w:p>
      <w:pPr>
        <w:pStyle w:val="ListParagraph"/>
        <w:numPr>
          <w:ilvl w:val="1"/>
          <w:numId w:val="57"/>
        </w:numPr>
        <w:tabs>
          <w:tab w:pos="1960" w:val="left" w:leader="none"/>
          <w:tab w:pos="1961" w:val="left" w:leader="none"/>
        </w:tabs>
        <w:spacing w:line="273" w:lineRule="auto" w:before="0" w:after="0"/>
        <w:ind w:left="1240" w:right="6239" w:firstLine="0"/>
        <w:jc w:val="left"/>
        <w:rPr>
          <w:sz w:val="18"/>
        </w:rPr>
      </w:pPr>
      <w:r>
        <w:rPr>
          <w:b/>
          <w:color w:val="231F20"/>
          <w:w w:val="110"/>
          <w:sz w:val="18"/>
        </w:rPr>
        <w:t>EQUAL OPPORTUNITIES </w:t>
      </w:r>
      <w:r>
        <w:rPr>
          <w:color w:val="231F20"/>
          <w:w w:val="110"/>
          <w:sz w:val="18"/>
        </w:rPr>
        <w:t>Convener: Ms Morag McLintock </w:t>
      </w:r>
      <w:r>
        <w:rPr>
          <w:color w:val="231F20"/>
          <w:spacing w:val="-6"/>
          <w:w w:val="110"/>
          <w:sz w:val="18"/>
        </w:rPr>
        <w:t>[2010] </w:t>
      </w:r>
      <w:r>
        <w:rPr>
          <w:color w:val="231F20"/>
          <w:spacing w:val="2"/>
          <w:w w:val="110"/>
          <w:sz w:val="18"/>
        </w:rPr>
        <w:t>Secretary: </w:t>
      </w:r>
      <w:r>
        <w:rPr>
          <w:color w:val="231F20"/>
          <w:w w:val="110"/>
          <w:sz w:val="18"/>
        </w:rPr>
        <w:t>Revd Derek Hopkins</w:t>
      </w:r>
      <w:r>
        <w:rPr>
          <w:color w:val="231F20"/>
          <w:spacing w:val="41"/>
          <w:w w:val="110"/>
          <w:sz w:val="18"/>
        </w:rPr>
        <w:t> </w:t>
      </w:r>
      <w:r>
        <w:rPr>
          <w:color w:val="231F20"/>
          <w:w w:val="110"/>
          <w:sz w:val="18"/>
        </w:rPr>
        <w:t>[2008]</w:t>
      </w:r>
    </w:p>
    <w:p>
      <w:pPr>
        <w:pStyle w:val="BodyText"/>
        <w:tabs>
          <w:tab w:pos="4600" w:val="left" w:leader="none"/>
          <w:tab w:pos="7560" w:val="left" w:leader="none"/>
        </w:tabs>
        <w:spacing w:line="273" w:lineRule="auto" w:before="2"/>
        <w:ind w:left="1240" w:right="1107"/>
        <w:rPr>
          <w:i/>
        </w:rPr>
      </w:pPr>
      <w:r>
        <w:rPr>
          <w:color w:val="231F20"/>
          <w:w w:val="110"/>
        </w:rPr>
        <w:t>Dr Ruth</w:t>
      </w:r>
      <w:r>
        <w:rPr>
          <w:color w:val="231F20"/>
          <w:spacing w:val="13"/>
          <w:w w:val="110"/>
        </w:rPr>
        <w:t> </w:t>
      </w:r>
      <w:r>
        <w:rPr>
          <w:color w:val="231F20"/>
          <w:w w:val="110"/>
        </w:rPr>
        <w:t>Shepherd</w:t>
      </w:r>
      <w:r>
        <w:rPr>
          <w:color w:val="231F20"/>
          <w:spacing w:val="7"/>
          <w:w w:val="110"/>
        </w:rPr>
        <w:t> </w:t>
      </w:r>
      <w:r>
        <w:rPr>
          <w:color w:val="231F20"/>
          <w:w w:val="110"/>
        </w:rPr>
        <w:t>[2008]</w:t>
        <w:tab/>
        <w:t>Revd Kate</w:t>
      </w:r>
      <w:r>
        <w:rPr>
          <w:color w:val="231F20"/>
          <w:spacing w:val="7"/>
          <w:w w:val="110"/>
        </w:rPr>
        <w:t> </w:t>
      </w:r>
      <w:r>
        <w:rPr>
          <w:color w:val="231F20"/>
          <w:spacing w:val="2"/>
          <w:w w:val="110"/>
        </w:rPr>
        <w:t>Gartside</w:t>
      </w:r>
      <w:r>
        <w:rPr>
          <w:color w:val="231F20"/>
          <w:spacing w:val="4"/>
          <w:w w:val="110"/>
        </w:rPr>
        <w:t> </w:t>
      </w:r>
      <w:r>
        <w:rPr>
          <w:color w:val="231F20"/>
          <w:w w:val="110"/>
        </w:rPr>
        <w:t>[2009]</w:t>
        <w:tab/>
        <w:t>Revd John Macaulay </w:t>
      </w:r>
      <w:r>
        <w:rPr>
          <w:color w:val="231F20"/>
          <w:spacing w:val="-6"/>
          <w:w w:val="110"/>
        </w:rPr>
        <w:t>[2010] </w:t>
      </w:r>
      <w:r>
        <w:rPr>
          <w:color w:val="231F20"/>
          <w:w w:val="110"/>
        </w:rPr>
        <w:t>Revd Pam</w:t>
      </w:r>
      <w:r>
        <w:rPr>
          <w:color w:val="231F20"/>
          <w:spacing w:val="9"/>
          <w:w w:val="110"/>
        </w:rPr>
        <w:t> </w:t>
      </w:r>
      <w:r>
        <w:rPr>
          <w:color w:val="231F20"/>
          <w:w w:val="110"/>
        </w:rPr>
        <w:t>Ward</w:t>
      </w:r>
      <w:r>
        <w:rPr>
          <w:color w:val="231F20"/>
          <w:spacing w:val="5"/>
          <w:w w:val="110"/>
        </w:rPr>
        <w:t> </w:t>
      </w:r>
      <w:r>
        <w:rPr>
          <w:color w:val="231F20"/>
          <w:spacing w:val="-6"/>
          <w:w w:val="110"/>
        </w:rPr>
        <w:t>[2010]</w:t>
        <w:tab/>
      </w:r>
      <w:r>
        <w:rPr>
          <w:color w:val="231F20"/>
          <w:w w:val="110"/>
        </w:rPr>
        <w:t>Mr Jim</w:t>
      </w:r>
      <w:r>
        <w:rPr>
          <w:color w:val="231F20"/>
          <w:spacing w:val="15"/>
          <w:w w:val="110"/>
        </w:rPr>
        <w:t> </w:t>
      </w:r>
      <w:r>
        <w:rPr>
          <w:color w:val="231F20"/>
          <w:w w:val="110"/>
        </w:rPr>
        <w:t>Hurst</w:t>
      </w:r>
      <w:r>
        <w:rPr>
          <w:color w:val="231F20"/>
          <w:spacing w:val="8"/>
          <w:w w:val="110"/>
        </w:rPr>
        <w:t> </w:t>
      </w:r>
      <w:r>
        <w:rPr>
          <w:color w:val="231F20"/>
          <w:spacing w:val="-6"/>
          <w:w w:val="110"/>
        </w:rPr>
        <w:t>[2010]</w:t>
        <w:tab/>
      </w:r>
      <w:r>
        <w:rPr>
          <w:i/>
          <w:color w:val="231F20"/>
          <w:w w:val="110"/>
        </w:rPr>
        <w:t>Vacancy</w:t>
      </w:r>
      <w:r>
        <w:rPr>
          <w:i/>
          <w:color w:val="231F20"/>
          <w:spacing w:val="2"/>
          <w:w w:val="110"/>
        </w:rPr>
        <w:t> </w:t>
      </w:r>
      <w:r>
        <w:rPr>
          <w:i/>
          <w:color w:val="231F20"/>
          <w:spacing w:val="-9"/>
          <w:w w:val="110"/>
        </w:rPr>
        <w:t>[2011]</w:t>
      </w:r>
    </w:p>
    <w:p>
      <w:pPr>
        <w:pStyle w:val="BodyText"/>
        <w:spacing w:before="8"/>
        <w:rPr>
          <w:i/>
          <w:sz w:val="20"/>
        </w:rPr>
      </w:pPr>
    </w:p>
    <w:p>
      <w:pPr>
        <w:numPr>
          <w:ilvl w:val="1"/>
          <w:numId w:val="57"/>
        </w:numPr>
        <w:tabs>
          <w:tab w:pos="1960" w:val="left" w:leader="none"/>
          <w:tab w:pos="1961" w:val="left" w:leader="none"/>
        </w:tabs>
        <w:spacing w:before="0"/>
        <w:ind w:left="1960" w:right="0" w:hanging="721"/>
        <w:jc w:val="left"/>
        <w:rPr>
          <w:b/>
          <w:sz w:val="18"/>
        </w:rPr>
      </w:pPr>
      <w:r>
        <w:rPr>
          <w:b/>
          <w:color w:val="231F20"/>
          <w:w w:val="110"/>
          <w:sz w:val="18"/>
        </w:rPr>
        <w:t>FINANCE</w:t>
      </w:r>
    </w:p>
    <w:p>
      <w:pPr>
        <w:pStyle w:val="BodyText"/>
        <w:spacing w:before="31"/>
        <w:ind w:left="1240"/>
      </w:pPr>
      <w:r>
        <w:rPr>
          <w:color w:val="231F20"/>
          <w:w w:val="110"/>
        </w:rPr>
        <w:t>Convener: The Treasurer</w:t>
      </w:r>
    </w:p>
    <w:p>
      <w:pPr>
        <w:pStyle w:val="BodyText"/>
        <w:spacing w:before="31" w:after="32"/>
        <w:ind w:left="1240"/>
      </w:pPr>
      <w:r>
        <w:rPr>
          <w:color w:val="231F20"/>
          <w:w w:val="110"/>
        </w:rPr>
        <w:t>Chief Finance Officer: Mr Andrew Grimwade</w:t>
      </w:r>
    </w:p>
    <w:tbl>
      <w:tblPr>
        <w:tblW w:w="0" w:type="auto"/>
        <w:jc w:val="left"/>
        <w:tblInd w:w="1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2"/>
        <w:gridCol w:w="2758"/>
        <w:gridCol w:w="3089"/>
      </w:tblGrid>
      <w:tr>
        <w:trPr>
          <w:trHeight w:val="234" w:hRule="atLeast"/>
        </w:trPr>
        <w:tc>
          <w:tcPr>
            <w:tcW w:w="3312" w:type="dxa"/>
          </w:tcPr>
          <w:p>
            <w:pPr>
              <w:pStyle w:val="TableParagraph"/>
              <w:spacing w:line="214" w:lineRule="exact"/>
              <w:ind w:left="50"/>
              <w:rPr>
                <w:rFonts w:ascii="Verdana"/>
                <w:sz w:val="18"/>
              </w:rPr>
            </w:pPr>
            <w:r>
              <w:rPr>
                <w:rFonts w:ascii="Verdana"/>
                <w:color w:val="231F20"/>
                <w:w w:val="110"/>
                <w:sz w:val="18"/>
              </w:rPr>
              <w:t>Mr Errol Martin [2008]</w:t>
            </w:r>
          </w:p>
        </w:tc>
        <w:tc>
          <w:tcPr>
            <w:tcW w:w="2758" w:type="dxa"/>
          </w:tcPr>
          <w:p>
            <w:pPr>
              <w:pStyle w:val="TableParagraph"/>
              <w:spacing w:line="214" w:lineRule="exact"/>
              <w:ind w:left="98"/>
              <w:rPr>
                <w:rFonts w:ascii="Verdana"/>
                <w:sz w:val="18"/>
              </w:rPr>
            </w:pPr>
            <w:r>
              <w:rPr>
                <w:rFonts w:ascii="Verdana"/>
                <w:color w:val="231F20"/>
                <w:w w:val="110"/>
                <w:sz w:val="18"/>
              </w:rPr>
              <w:t>Mr Graham Law [2008]</w:t>
            </w:r>
          </w:p>
        </w:tc>
        <w:tc>
          <w:tcPr>
            <w:tcW w:w="3089" w:type="dxa"/>
          </w:tcPr>
          <w:p>
            <w:pPr>
              <w:pStyle w:val="TableParagraph"/>
              <w:spacing w:line="214" w:lineRule="exact"/>
              <w:ind w:left="300"/>
              <w:rPr>
                <w:rFonts w:ascii="Verdana"/>
                <w:sz w:val="18"/>
              </w:rPr>
            </w:pPr>
            <w:r>
              <w:rPr>
                <w:rFonts w:ascii="Verdana"/>
                <w:color w:val="231F20"/>
                <w:w w:val="110"/>
                <w:sz w:val="18"/>
              </w:rPr>
              <w:t>Revd Dick Gray [2009]</w:t>
            </w:r>
          </w:p>
        </w:tc>
      </w:tr>
      <w:tr>
        <w:trPr>
          <w:trHeight w:val="249" w:hRule="atLeast"/>
        </w:trPr>
        <w:tc>
          <w:tcPr>
            <w:tcW w:w="3312" w:type="dxa"/>
          </w:tcPr>
          <w:p>
            <w:pPr>
              <w:pStyle w:val="TableParagraph"/>
              <w:spacing w:line="214" w:lineRule="exact" w:before="15"/>
              <w:ind w:left="50"/>
              <w:rPr>
                <w:rFonts w:ascii="Verdana"/>
                <w:sz w:val="18"/>
              </w:rPr>
            </w:pPr>
            <w:r>
              <w:rPr>
                <w:rFonts w:ascii="Verdana"/>
                <w:color w:val="231F20"/>
                <w:w w:val="110"/>
                <w:sz w:val="18"/>
              </w:rPr>
              <w:t>Mr Graham Morris [2009]</w:t>
            </w:r>
          </w:p>
        </w:tc>
        <w:tc>
          <w:tcPr>
            <w:tcW w:w="2758" w:type="dxa"/>
          </w:tcPr>
          <w:p>
            <w:pPr>
              <w:pStyle w:val="TableParagraph"/>
              <w:spacing w:line="214" w:lineRule="exact" w:before="15"/>
              <w:ind w:left="98"/>
              <w:rPr>
                <w:rFonts w:ascii="Verdana"/>
                <w:sz w:val="18"/>
              </w:rPr>
            </w:pPr>
            <w:r>
              <w:rPr>
                <w:rFonts w:ascii="Verdana"/>
                <w:color w:val="231F20"/>
                <w:w w:val="110"/>
                <w:sz w:val="18"/>
              </w:rPr>
              <w:t>Mr John Kidd [2009]</w:t>
            </w:r>
          </w:p>
        </w:tc>
        <w:tc>
          <w:tcPr>
            <w:tcW w:w="3089" w:type="dxa"/>
          </w:tcPr>
          <w:p>
            <w:pPr>
              <w:pStyle w:val="TableParagraph"/>
              <w:spacing w:line="214" w:lineRule="exact" w:before="15"/>
              <w:ind w:left="300"/>
              <w:rPr>
                <w:rFonts w:ascii="Verdana"/>
                <w:sz w:val="18"/>
              </w:rPr>
            </w:pPr>
            <w:r>
              <w:rPr>
                <w:rFonts w:ascii="Verdana"/>
                <w:color w:val="231F20"/>
                <w:spacing w:val="-3"/>
                <w:w w:val="110"/>
                <w:sz w:val="18"/>
              </w:rPr>
              <w:t>Revd </w:t>
            </w:r>
            <w:r>
              <w:rPr>
                <w:rFonts w:ascii="Verdana"/>
                <w:color w:val="231F20"/>
                <w:w w:val="110"/>
                <w:sz w:val="18"/>
              </w:rPr>
              <w:t>Kathryn </w:t>
            </w:r>
            <w:r>
              <w:rPr>
                <w:rFonts w:ascii="Verdana"/>
                <w:color w:val="231F20"/>
                <w:spacing w:val="-5"/>
                <w:w w:val="110"/>
                <w:sz w:val="18"/>
              </w:rPr>
              <w:t>Taylor </w:t>
            </w:r>
            <w:r>
              <w:rPr>
                <w:rFonts w:ascii="Verdana"/>
                <w:color w:val="231F20"/>
                <w:spacing w:val="-7"/>
                <w:w w:val="110"/>
                <w:sz w:val="18"/>
              </w:rPr>
              <w:t>[2010]</w:t>
            </w:r>
          </w:p>
        </w:tc>
      </w:tr>
      <w:tr>
        <w:trPr>
          <w:trHeight w:val="234" w:hRule="atLeast"/>
        </w:trPr>
        <w:tc>
          <w:tcPr>
            <w:tcW w:w="3312" w:type="dxa"/>
          </w:tcPr>
          <w:p>
            <w:pPr>
              <w:pStyle w:val="TableParagraph"/>
              <w:spacing w:line="199" w:lineRule="exact" w:before="15"/>
              <w:ind w:left="50"/>
              <w:rPr>
                <w:rFonts w:ascii="Verdana"/>
                <w:sz w:val="18"/>
              </w:rPr>
            </w:pPr>
            <w:r>
              <w:rPr>
                <w:rFonts w:ascii="Verdana"/>
                <w:color w:val="231F20"/>
                <w:w w:val="110"/>
                <w:sz w:val="18"/>
              </w:rPr>
              <w:t>Mrs Jane Humphreys ** [2011]</w:t>
            </w:r>
          </w:p>
        </w:tc>
        <w:tc>
          <w:tcPr>
            <w:tcW w:w="2758" w:type="dxa"/>
          </w:tcPr>
          <w:p>
            <w:pPr>
              <w:pStyle w:val="TableParagraph"/>
              <w:spacing w:line="199" w:lineRule="exact" w:before="15"/>
              <w:ind w:left="98"/>
              <w:rPr>
                <w:rFonts w:ascii="Verdana"/>
                <w:i/>
                <w:sz w:val="18"/>
              </w:rPr>
            </w:pPr>
            <w:r>
              <w:rPr>
                <w:rFonts w:ascii="Verdana"/>
                <w:i/>
                <w:color w:val="231F20"/>
                <w:w w:val="110"/>
                <w:sz w:val="18"/>
              </w:rPr>
              <w:t>Vacancy [2011]</w:t>
            </w:r>
          </w:p>
        </w:tc>
        <w:tc>
          <w:tcPr>
            <w:tcW w:w="3089" w:type="dxa"/>
          </w:tcPr>
          <w:p>
            <w:pPr>
              <w:pStyle w:val="TableParagraph"/>
              <w:spacing w:line="199" w:lineRule="exact" w:before="15"/>
              <w:ind w:left="300"/>
              <w:rPr>
                <w:rFonts w:ascii="Verdana"/>
                <w:sz w:val="18"/>
              </w:rPr>
            </w:pPr>
            <w:r>
              <w:rPr>
                <w:rFonts w:ascii="Verdana"/>
                <w:color w:val="231F20"/>
                <w:w w:val="110"/>
                <w:sz w:val="18"/>
              </w:rPr>
              <w:t>Chairman of the Trustees</w:t>
            </w:r>
          </w:p>
        </w:tc>
      </w:tr>
    </w:tbl>
    <w:p>
      <w:pPr>
        <w:pStyle w:val="BodyText"/>
        <w:spacing w:before="1"/>
        <w:rPr>
          <w:sz w:val="23"/>
        </w:rPr>
      </w:pPr>
    </w:p>
    <w:p>
      <w:pPr>
        <w:pStyle w:val="ListParagraph"/>
        <w:numPr>
          <w:ilvl w:val="1"/>
          <w:numId w:val="57"/>
        </w:numPr>
        <w:tabs>
          <w:tab w:pos="1960" w:val="left" w:leader="none"/>
          <w:tab w:pos="1961" w:val="left" w:leader="none"/>
        </w:tabs>
        <w:spacing w:line="273" w:lineRule="auto" w:before="0" w:after="0"/>
        <w:ind w:left="1240" w:right="6479" w:firstLine="0"/>
        <w:jc w:val="left"/>
        <w:rPr>
          <w:sz w:val="18"/>
        </w:rPr>
      </w:pPr>
      <w:r>
        <w:rPr>
          <w:b/>
          <w:color w:val="231F20"/>
          <w:w w:val="110"/>
          <w:sz w:val="18"/>
        </w:rPr>
        <w:t>INTER FAITH RELATIONS </w:t>
      </w:r>
      <w:r>
        <w:rPr>
          <w:color w:val="231F20"/>
          <w:w w:val="110"/>
          <w:sz w:val="18"/>
        </w:rPr>
        <w:t>Convener: Revd Peter Colwell </w:t>
      </w:r>
      <w:r>
        <w:rPr>
          <w:color w:val="231F20"/>
          <w:spacing w:val="-8"/>
          <w:w w:val="110"/>
          <w:sz w:val="18"/>
        </w:rPr>
        <w:t>[2011] </w:t>
      </w:r>
      <w:r>
        <w:rPr>
          <w:color w:val="231F20"/>
          <w:spacing w:val="2"/>
          <w:w w:val="110"/>
          <w:sz w:val="18"/>
        </w:rPr>
        <w:t>Secretary: Mrs </w:t>
      </w:r>
      <w:r>
        <w:rPr>
          <w:color w:val="231F20"/>
          <w:w w:val="110"/>
          <w:sz w:val="18"/>
        </w:rPr>
        <w:t>Jean Potter</w:t>
      </w:r>
      <w:r>
        <w:rPr>
          <w:color w:val="231F20"/>
          <w:spacing w:val="21"/>
          <w:w w:val="110"/>
          <w:sz w:val="18"/>
        </w:rPr>
        <w:t> </w:t>
      </w:r>
      <w:r>
        <w:rPr>
          <w:color w:val="231F20"/>
          <w:w w:val="110"/>
          <w:sz w:val="18"/>
        </w:rPr>
        <w:t>[2008]</w:t>
      </w:r>
    </w:p>
    <w:p>
      <w:pPr>
        <w:pStyle w:val="BodyText"/>
        <w:tabs>
          <w:tab w:pos="4600" w:val="left" w:leader="none"/>
          <w:tab w:pos="7560" w:val="left" w:leader="none"/>
        </w:tabs>
        <w:spacing w:line="273" w:lineRule="auto" w:before="2"/>
        <w:ind w:left="1240" w:right="1257"/>
      </w:pPr>
      <w:r>
        <w:rPr>
          <w:color w:val="231F20"/>
          <w:w w:val="110"/>
        </w:rPr>
        <w:t>Dr Iain</w:t>
      </w:r>
      <w:r>
        <w:rPr>
          <w:color w:val="231F20"/>
          <w:spacing w:val="6"/>
          <w:w w:val="110"/>
        </w:rPr>
        <w:t> </w:t>
      </w:r>
      <w:r>
        <w:rPr>
          <w:color w:val="231F20"/>
          <w:w w:val="110"/>
        </w:rPr>
        <w:t>Frew</w:t>
      </w:r>
      <w:r>
        <w:rPr>
          <w:color w:val="231F20"/>
          <w:spacing w:val="4"/>
          <w:w w:val="110"/>
        </w:rPr>
        <w:t> </w:t>
      </w:r>
      <w:r>
        <w:rPr>
          <w:color w:val="231F20"/>
          <w:w w:val="110"/>
        </w:rPr>
        <w:t>[2008]</w:t>
        <w:tab/>
        <w:t>Revd Helen</w:t>
      </w:r>
      <w:r>
        <w:rPr>
          <w:color w:val="231F20"/>
          <w:spacing w:val="11"/>
          <w:w w:val="110"/>
        </w:rPr>
        <w:t> </w:t>
      </w:r>
      <w:r>
        <w:rPr>
          <w:color w:val="231F20"/>
          <w:w w:val="110"/>
        </w:rPr>
        <w:t>Pollard</w:t>
      </w:r>
      <w:r>
        <w:rPr>
          <w:color w:val="231F20"/>
          <w:spacing w:val="5"/>
          <w:w w:val="110"/>
        </w:rPr>
        <w:t> </w:t>
      </w:r>
      <w:r>
        <w:rPr>
          <w:color w:val="231F20"/>
          <w:w w:val="110"/>
        </w:rPr>
        <w:t>[2008]</w:t>
        <w:tab/>
        <w:t>Mr David Jonathan </w:t>
      </w:r>
      <w:r>
        <w:rPr>
          <w:color w:val="231F20"/>
          <w:spacing w:val="-4"/>
          <w:w w:val="110"/>
        </w:rPr>
        <w:t>[2009] </w:t>
      </w:r>
      <w:r>
        <w:rPr>
          <w:color w:val="231F20"/>
          <w:w w:val="110"/>
        </w:rPr>
        <w:t>Revd Tim Clarke</w:t>
      </w:r>
      <w:r>
        <w:rPr>
          <w:color w:val="231F20"/>
          <w:spacing w:val="2"/>
          <w:w w:val="110"/>
        </w:rPr>
        <w:t> </w:t>
      </w:r>
      <w:r>
        <w:rPr>
          <w:color w:val="231F20"/>
          <w:spacing w:val="-6"/>
          <w:w w:val="110"/>
        </w:rPr>
        <w:t>[2010]</w:t>
      </w:r>
    </w:p>
    <w:p>
      <w:pPr>
        <w:pStyle w:val="BodyText"/>
        <w:spacing w:before="8"/>
        <w:rPr>
          <w:sz w:val="20"/>
        </w:rPr>
      </w:pPr>
    </w:p>
    <w:p>
      <w:pPr>
        <w:numPr>
          <w:ilvl w:val="1"/>
          <w:numId w:val="57"/>
        </w:numPr>
        <w:tabs>
          <w:tab w:pos="1960" w:val="left" w:leader="none"/>
          <w:tab w:pos="1961" w:val="left" w:leader="none"/>
        </w:tabs>
        <w:spacing w:before="0"/>
        <w:ind w:left="1960" w:right="0" w:hanging="721"/>
        <w:jc w:val="left"/>
        <w:rPr>
          <w:b/>
          <w:sz w:val="18"/>
        </w:rPr>
      </w:pPr>
      <w:r>
        <w:rPr>
          <w:b/>
          <w:color w:val="231F20"/>
          <w:w w:val="110"/>
          <w:sz w:val="18"/>
        </w:rPr>
        <w:t>LIFE and </w:t>
      </w:r>
      <w:r>
        <w:rPr>
          <w:b/>
          <w:color w:val="231F20"/>
          <w:spacing w:val="2"/>
          <w:w w:val="110"/>
          <w:sz w:val="18"/>
        </w:rPr>
        <w:t>WITNESS</w:t>
      </w:r>
    </w:p>
    <w:p>
      <w:pPr>
        <w:pStyle w:val="BodyText"/>
        <w:spacing w:before="32"/>
        <w:ind w:left="1240"/>
      </w:pPr>
      <w:r>
        <w:rPr>
          <w:color w:val="231F20"/>
          <w:w w:val="110"/>
        </w:rPr>
        <w:t>Convener: Revd Peter Ball [2010]</w:t>
      </w:r>
    </w:p>
    <w:p>
      <w:pPr>
        <w:pStyle w:val="BodyText"/>
        <w:spacing w:before="31" w:after="31"/>
        <w:ind w:left="1240"/>
        <w:rPr>
          <w:i/>
        </w:rPr>
      </w:pPr>
      <w:r>
        <w:rPr>
          <w:color w:val="231F20"/>
          <w:w w:val="110"/>
        </w:rPr>
        <w:t>Secretary: Deputy General Secretary </w:t>
      </w:r>
      <w:r>
        <w:rPr>
          <w:i/>
          <w:color w:val="231F20"/>
          <w:w w:val="110"/>
        </w:rPr>
        <w:t>protem</w:t>
      </w:r>
    </w:p>
    <w:tbl>
      <w:tblPr>
        <w:tblW w:w="0" w:type="auto"/>
        <w:jc w:val="left"/>
        <w:tblInd w:w="1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32"/>
        <w:gridCol w:w="3234"/>
        <w:gridCol w:w="2923"/>
      </w:tblGrid>
      <w:tr>
        <w:trPr>
          <w:trHeight w:val="234" w:hRule="atLeast"/>
        </w:trPr>
        <w:tc>
          <w:tcPr>
            <w:tcW w:w="3032" w:type="dxa"/>
          </w:tcPr>
          <w:p>
            <w:pPr>
              <w:pStyle w:val="TableParagraph"/>
              <w:spacing w:line="214" w:lineRule="exact"/>
              <w:ind w:left="50"/>
              <w:rPr>
                <w:rFonts w:ascii="Verdana" w:hAnsi="Verdana"/>
                <w:sz w:val="18"/>
              </w:rPr>
            </w:pPr>
            <w:r>
              <w:rPr>
                <w:rFonts w:ascii="Verdana" w:hAnsi="Verdana"/>
                <w:color w:val="231F20"/>
                <w:w w:val="110"/>
                <w:sz w:val="18"/>
              </w:rPr>
              <w:t>Mrs Sheila Brain † [2008]</w:t>
            </w:r>
          </w:p>
        </w:tc>
        <w:tc>
          <w:tcPr>
            <w:tcW w:w="3234" w:type="dxa"/>
          </w:tcPr>
          <w:p>
            <w:pPr>
              <w:pStyle w:val="TableParagraph"/>
              <w:spacing w:line="215" w:lineRule="exact"/>
              <w:ind w:left="378"/>
              <w:rPr>
                <w:rFonts w:ascii="Verdana" w:hAnsi="Verdana"/>
                <w:sz w:val="18"/>
              </w:rPr>
            </w:pPr>
            <w:r>
              <w:rPr>
                <w:rFonts w:ascii="Verdana" w:hAnsi="Verdana"/>
                <w:color w:val="231F20"/>
                <w:w w:val="110"/>
                <w:sz w:val="18"/>
              </w:rPr>
              <w:t>Mr Colin Ferguson † [2011]</w:t>
            </w:r>
          </w:p>
        </w:tc>
        <w:tc>
          <w:tcPr>
            <w:tcW w:w="2923" w:type="dxa"/>
          </w:tcPr>
          <w:p>
            <w:pPr>
              <w:pStyle w:val="TableParagraph"/>
              <w:spacing w:line="214" w:lineRule="exact"/>
              <w:ind w:left="104"/>
              <w:rPr>
                <w:rFonts w:ascii="Verdana" w:hAnsi="Verdana"/>
                <w:sz w:val="18"/>
              </w:rPr>
            </w:pPr>
            <w:r>
              <w:rPr>
                <w:rFonts w:ascii="Verdana" w:hAnsi="Verdana"/>
                <w:color w:val="231F20"/>
                <w:w w:val="110"/>
                <w:sz w:val="18"/>
              </w:rPr>
              <w:t>Revd Ian Fosten † [2011]</w:t>
            </w:r>
          </w:p>
        </w:tc>
      </w:tr>
      <w:tr>
        <w:trPr>
          <w:trHeight w:val="249" w:hRule="atLeast"/>
        </w:trPr>
        <w:tc>
          <w:tcPr>
            <w:tcW w:w="3032" w:type="dxa"/>
          </w:tcPr>
          <w:p>
            <w:pPr>
              <w:pStyle w:val="TableParagraph"/>
              <w:spacing w:line="214" w:lineRule="exact" w:before="15"/>
              <w:ind w:left="50"/>
              <w:rPr>
                <w:rFonts w:ascii="Verdana"/>
                <w:sz w:val="18"/>
              </w:rPr>
            </w:pPr>
            <w:r>
              <w:rPr>
                <w:rFonts w:ascii="Verdana"/>
                <w:color w:val="231F20"/>
                <w:w w:val="110"/>
                <w:sz w:val="18"/>
              </w:rPr>
              <w:t>Revd Kate Gray [2008]</w:t>
            </w:r>
          </w:p>
        </w:tc>
        <w:tc>
          <w:tcPr>
            <w:tcW w:w="3234" w:type="dxa"/>
          </w:tcPr>
          <w:p>
            <w:pPr>
              <w:pStyle w:val="TableParagraph"/>
              <w:spacing w:line="214" w:lineRule="exact" w:before="15"/>
              <w:ind w:left="378"/>
              <w:rPr>
                <w:rFonts w:ascii="Verdana"/>
                <w:sz w:val="18"/>
              </w:rPr>
            </w:pPr>
            <w:r>
              <w:rPr>
                <w:rFonts w:ascii="Verdana"/>
                <w:color w:val="231F20"/>
                <w:w w:val="110"/>
                <w:sz w:val="18"/>
              </w:rPr>
              <w:t>Mr Emmanuel Nkusi [2008]</w:t>
            </w:r>
          </w:p>
        </w:tc>
        <w:tc>
          <w:tcPr>
            <w:tcW w:w="2923" w:type="dxa"/>
          </w:tcPr>
          <w:p>
            <w:pPr>
              <w:pStyle w:val="TableParagraph"/>
              <w:spacing w:line="214" w:lineRule="exact" w:before="15"/>
              <w:ind w:left="104"/>
              <w:rPr>
                <w:rFonts w:ascii="Verdana"/>
                <w:sz w:val="18"/>
              </w:rPr>
            </w:pPr>
            <w:r>
              <w:rPr>
                <w:rFonts w:ascii="Verdana"/>
                <w:color w:val="231F20"/>
                <w:spacing w:val="-3"/>
                <w:w w:val="110"/>
                <w:sz w:val="18"/>
              </w:rPr>
              <w:t>Revd </w:t>
            </w:r>
            <w:r>
              <w:rPr>
                <w:rFonts w:ascii="Verdana"/>
                <w:color w:val="231F20"/>
                <w:w w:val="110"/>
                <w:sz w:val="18"/>
              </w:rPr>
              <w:t>Simon Walkling</w:t>
            </w:r>
            <w:r>
              <w:rPr>
                <w:rFonts w:ascii="Verdana"/>
                <w:color w:val="231F20"/>
                <w:spacing w:val="-49"/>
                <w:w w:val="110"/>
                <w:sz w:val="18"/>
              </w:rPr>
              <w:t> </w:t>
            </w:r>
            <w:r>
              <w:rPr>
                <w:rFonts w:ascii="Verdana"/>
                <w:color w:val="231F20"/>
                <w:spacing w:val="-4"/>
                <w:w w:val="110"/>
                <w:sz w:val="18"/>
              </w:rPr>
              <w:t>[2009]</w:t>
            </w:r>
          </w:p>
        </w:tc>
      </w:tr>
      <w:tr>
        <w:trPr>
          <w:trHeight w:val="234" w:hRule="atLeast"/>
        </w:trPr>
        <w:tc>
          <w:tcPr>
            <w:tcW w:w="3032" w:type="dxa"/>
          </w:tcPr>
          <w:p>
            <w:pPr>
              <w:pStyle w:val="TableParagraph"/>
              <w:spacing w:line="199" w:lineRule="exact" w:before="15"/>
              <w:ind w:left="50"/>
              <w:rPr>
                <w:rFonts w:ascii="Verdana"/>
                <w:sz w:val="18"/>
              </w:rPr>
            </w:pPr>
            <w:r>
              <w:rPr>
                <w:rFonts w:ascii="Verdana"/>
                <w:color w:val="231F20"/>
                <w:w w:val="110"/>
                <w:sz w:val="18"/>
              </w:rPr>
              <w:t>Mr Patrick Smyth [2009]</w:t>
            </w:r>
          </w:p>
        </w:tc>
        <w:tc>
          <w:tcPr>
            <w:tcW w:w="3234" w:type="dxa"/>
          </w:tcPr>
          <w:p>
            <w:pPr>
              <w:pStyle w:val="TableParagraph"/>
              <w:spacing w:line="199" w:lineRule="exact" w:before="15"/>
              <w:ind w:left="378"/>
              <w:rPr>
                <w:rFonts w:ascii="Verdana"/>
                <w:sz w:val="18"/>
              </w:rPr>
            </w:pPr>
            <w:r>
              <w:rPr>
                <w:rFonts w:ascii="Verdana"/>
                <w:color w:val="231F20"/>
                <w:w w:val="110"/>
                <w:sz w:val="18"/>
              </w:rPr>
              <w:t>Revd Patricia Davis [2010]</w:t>
            </w:r>
          </w:p>
        </w:tc>
        <w:tc>
          <w:tcPr>
            <w:tcW w:w="2923" w:type="dxa"/>
          </w:tcPr>
          <w:p>
            <w:pPr>
              <w:pStyle w:val="TableParagraph"/>
              <w:rPr>
                <w:sz w:val="16"/>
              </w:rPr>
            </w:pPr>
          </w:p>
        </w:tc>
      </w:tr>
    </w:tbl>
    <w:p>
      <w:pPr>
        <w:pStyle w:val="BodyText"/>
        <w:spacing w:before="1"/>
        <w:rPr>
          <w:i/>
          <w:sz w:val="23"/>
        </w:rPr>
      </w:pPr>
    </w:p>
    <w:p>
      <w:pPr>
        <w:numPr>
          <w:ilvl w:val="2"/>
          <w:numId w:val="57"/>
        </w:numPr>
        <w:tabs>
          <w:tab w:pos="1961" w:val="left" w:leader="none"/>
        </w:tabs>
        <w:spacing w:before="0"/>
        <w:ind w:left="1960" w:right="0" w:hanging="721"/>
        <w:jc w:val="left"/>
        <w:rPr>
          <w:b/>
          <w:sz w:val="18"/>
        </w:rPr>
      </w:pPr>
      <w:r>
        <w:rPr>
          <w:b/>
          <w:color w:val="231F20"/>
          <w:w w:val="110"/>
          <w:sz w:val="18"/>
        </w:rPr>
        <w:t>LIFE and </w:t>
      </w:r>
      <w:r>
        <w:rPr>
          <w:b/>
          <w:color w:val="231F20"/>
          <w:spacing w:val="2"/>
          <w:w w:val="110"/>
          <w:sz w:val="18"/>
        </w:rPr>
        <w:t>WITNESS </w:t>
      </w:r>
      <w:r>
        <w:rPr>
          <w:b/>
          <w:color w:val="231F20"/>
          <w:w w:val="110"/>
          <w:sz w:val="18"/>
        </w:rPr>
        <w:t>– Stewardship</w:t>
      </w:r>
      <w:r>
        <w:rPr>
          <w:b/>
          <w:color w:val="231F20"/>
          <w:spacing w:val="4"/>
          <w:w w:val="110"/>
          <w:sz w:val="18"/>
        </w:rPr>
        <w:t> </w:t>
      </w:r>
      <w:r>
        <w:rPr>
          <w:b/>
          <w:color w:val="231F20"/>
          <w:spacing w:val="2"/>
          <w:w w:val="110"/>
          <w:sz w:val="18"/>
        </w:rPr>
        <w:t>Sub-Committee</w:t>
      </w:r>
    </w:p>
    <w:p>
      <w:pPr>
        <w:pStyle w:val="BodyText"/>
        <w:spacing w:before="32"/>
        <w:ind w:left="1240"/>
      </w:pPr>
      <w:r>
        <w:rPr>
          <w:color w:val="231F20"/>
          <w:w w:val="110"/>
        </w:rPr>
        <w:t>Convener: Mr Ray McHugh [2008]</w:t>
      </w:r>
    </w:p>
    <w:p>
      <w:pPr>
        <w:pStyle w:val="BodyText"/>
        <w:spacing w:before="31"/>
        <w:ind w:left="1240"/>
        <w:rPr>
          <w:i/>
        </w:rPr>
      </w:pPr>
      <w:r>
        <w:rPr>
          <w:color w:val="231F20"/>
          <w:w w:val="110"/>
        </w:rPr>
        <w:t>Secretary: Deputy General Secretary </w:t>
      </w:r>
      <w:r>
        <w:rPr>
          <w:i/>
          <w:color w:val="231F20"/>
          <w:w w:val="110"/>
        </w:rPr>
        <w:t>protem</w:t>
      </w:r>
    </w:p>
    <w:p>
      <w:pPr>
        <w:pStyle w:val="BodyText"/>
        <w:tabs>
          <w:tab w:pos="4600" w:val="left" w:leader="none"/>
          <w:tab w:pos="7858" w:val="left" w:leader="none"/>
        </w:tabs>
        <w:spacing w:line="273" w:lineRule="auto" w:before="31"/>
        <w:ind w:left="1240" w:right="1032" w:hanging="1"/>
      </w:pPr>
      <w:r>
        <w:rPr>
          <w:color w:val="231F20"/>
          <w:spacing w:val="2"/>
          <w:w w:val="110"/>
        </w:rPr>
        <w:t>Mrs </w:t>
      </w:r>
      <w:r>
        <w:rPr>
          <w:color w:val="231F20"/>
          <w:w w:val="110"/>
        </w:rPr>
        <w:t>Jackie Haws</w:t>
      </w:r>
      <w:r>
        <w:rPr>
          <w:color w:val="231F20"/>
          <w:spacing w:val="15"/>
          <w:w w:val="110"/>
        </w:rPr>
        <w:t> </w:t>
      </w:r>
      <w:r>
        <w:rPr>
          <w:color w:val="231F20"/>
          <w:w w:val="110"/>
        </w:rPr>
        <w:t>†</w:t>
      </w:r>
      <w:r>
        <w:rPr>
          <w:color w:val="231F20"/>
          <w:spacing w:val="6"/>
          <w:w w:val="110"/>
        </w:rPr>
        <w:t> </w:t>
      </w:r>
      <w:r>
        <w:rPr>
          <w:color w:val="231F20"/>
          <w:w w:val="110"/>
        </w:rPr>
        <w:t>[2008]</w:t>
        <w:tab/>
      </w:r>
      <w:r>
        <w:rPr>
          <w:color w:val="231F20"/>
          <w:spacing w:val="2"/>
          <w:w w:val="110"/>
        </w:rPr>
        <w:t>Mrs </w:t>
      </w:r>
      <w:r>
        <w:rPr>
          <w:color w:val="231F20"/>
          <w:w w:val="110"/>
        </w:rPr>
        <w:t>Susan Wilkinson</w:t>
      </w:r>
      <w:r>
        <w:rPr>
          <w:color w:val="231F20"/>
          <w:spacing w:val="17"/>
          <w:w w:val="110"/>
        </w:rPr>
        <w:t> </w:t>
      </w:r>
      <w:r>
        <w:rPr>
          <w:color w:val="231F20"/>
          <w:w w:val="110"/>
        </w:rPr>
        <w:t>†</w:t>
      </w:r>
      <w:r>
        <w:rPr>
          <w:color w:val="231F20"/>
          <w:spacing w:val="6"/>
          <w:w w:val="110"/>
        </w:rPr>
        <w:t> </w:t>
      </w:r>
      <w:r>
        <w:rPr>
          <w:color w:val="231F20"/>
          <w:w w:val="110"/>
        </w:rPr>
        <w:t>[2008]</w:t>
        <w:tab/>
        <w:t>Revd John Durrell [2008] Mr Gareth</w:t>
      </w:r>
      <w:r>
        <w:rPr>
          <w:color w:val="231F20"/>
          <w:spacing w:val="11"/>
          <w:w w:val="110"/>
        </w:rPr>
        <w:t> </w:t>
      </w:r>
      <w:r>
        <w:rPr>
          <w:color w:val="231F20"/>
          <w:w w:val="110"/>
        </w:rPr>
        <w:t>Curl</w:t>
      </w:r>
      <w:r>
        <w:rPr>
          <w:color w:val="231F20"/>
          <w:spacing w:val="5"/>
          <w:w w:val="110"/>
        </w:rPr>
        <w:t> </w:t>
      </w:r>
      <w:r>
        <w:rPr>
          <w:color w:val="231F20"/>
          <w:w w:val="110"/>
        </w:rPr>
        <w:t>[2009]</w:t>
        <w:tab/>
        <w:t>Revd Sarah Simpson</w:t>
      </w:r>
      <w:r>
        <w:rPr>
          <w:color w:val="231F20"/>
          <w:spacing w:val="4"/>
          <w:w w:val="110"/>
        </w:rPr>
        <w:t> </w:t>
      </w:r>
      <w:r>
        <w:rPr>
          <w:color w:val="231F20"/>
          <w:spacing w:val="-6"/>
          <w:w w:val="110"/>
        </w:rPr>
        <w:t>[2010]</w:t>
      </w:r>
    </w:p>
    <w:p>
      <w:pPr>
        <w:pStyle w:val="BodyText"/>
        <w:spacing w:before="8"/>
        <w:rPr>
          <w:sz w:val="20"/>
        </w:rPr>
      </w:pPr>
    </w:p>
    <w:p>
      <w:pPr>
        <w:numPr>
          <w:ilvl w:val="2"/>
          <w:numId w:val="57"/>
        </w:numPr>
        <w:tabs>
          <w:tab w:pos="1961" w:val="left" w:leader="none"/>
        </w:tabs>
        <w:spacing w:before="0"/>
        <w:ind w:left="1960" w:right="0" w:hanging="721"/>
        <w:jc w:val="left"/>
        <w:rPr>
          <w:b/>
          <w:sz w:val="18"/>
        </w:rPr>
      </w:pPr>
      <w:r>
        <w:rPr>
          <w:b/>
          <w:color w:val="231F20"/>
          <w:spacing w:val="2"/>
          <w:w w:val="110"/>
          <w:sz w:val="18"/>
        </w:rPr>
        <w:t>WINDERMERE </w:t>
      </w:r>
      <w:r>
        <w:rPr>
          <w:b/>
          <w:color w:val="231F20"/>
          <w:w w:val="110"/>
          <w:sz w:val="18"/>
        </w:rPr>
        <w:t>ADVISORY</w:t>
      </w:r>
      <w:r>
        <w:rPr>
          <w:b/>
          <w:color w:val="231F20"/>
          <w:spacing w:val="-2"/>
          <w:w w:val="110"/>
          <w:sz w:val="18"/>
        </w:rPr>
        <w:t> </w:t>
      </w:r>
      <w:r>
        <w:rPr>
          <w:b/>
          <w:color w:val="231F20"/>
          <w:w w:val="110"/>
          <w:sz w:val="18"/>
        </w:rPr>
        <w:t>GROUP</w:t>
      </w:r>
    </w:p>
    <w:p>
      <w:pPr>
        <w:pStyle w:val="BodyText"/>
        <w:spacing w:before="31"/>
        <w:ind w:left="1240"/>
      </w:pPr>
      <w:r>
        <w:rPr>
          <w:color w:val="231F20"/>
          <w:w w:val="110"/>
        </w:rPr>
        <w:t>Convener: Revd Bernard Collins [2009]</w:t>
      </w:r>
    </w:p>
    <w:p>
      <w:pPr>
        <w:pStyle w:val="BodyText"/>
        <w:spacing w:before="32"/>
        <w:ind w:left="1240"/>
      </w:pPr>
      <w:r>
        <w:rPr>
          <w:color w:val="231F20"/>
          <w:w w:val="110"/>
        </w:rPr>
        <w:t>Secretary: The Director of the Windermere Centre</w:t>
      </w:r>
    </w:p>
    <w:p>
      <w:pPr>
        <w:pStyle w:val="BodyText"/>
        <w:tabs>
          <w:tab w:pos="4600" w:val="left" w:leader="none"/>
          <w:tab w:pos="7560" w:val="left" w:leader="none"/>
        </w:tabs>
        <w:spacing w:line="273" w:lineRule="auto" w:before="31"/>
        <w:ind w:left="1240" w:right="1590" w:hanging="1"/>
      </w:pPr>
      <w:r>
        <w:rPr>
          <w:color w:val="231F20"/>
          <w:spacing w:val="2"/>
          <w:w w:val="110"/>
        </w:rPr>
        <w:t>Mrs </w:t>
      </w:r>
      <w:r>
        <w:rPr>
          <w:color w:val="231F20"/>
          <w:w w:val="110"/>
        </w:rPr>
        <w:t>Irene</w:t>
      </w:r>
      <w:r>
        <w:rPr>
          <w:color w:val="231F20"/>
          <w:spacing w:val="11"/>
          <w:w w:val="110"/>
        </w:rPr>
        <w:t> </w:t>
      </w:r>
      <w:r>
        <w:rPr>
          <w:color w:val="231F20"/>
          <w:w w:val="110"/>
        </w:rPr>
        <w:t>Wren</w:t>
      </w:r>
      <w:r>
        <w:rPr>
          <w:color w:val="231F20"/>
          <w:spacing w:val="7"/>
          <w:w w:val="110"/>
        </w:rPr>
        <w:t> </w:t>
      </w:r>
      <w:r>
        <w:rPr>
          <w:color w:val="231F20"/>
          <w:w w:val="110"/>
        </w:rPr>
        <w:t>[2008]</w:t>
        <w:tab/>
        <w:t>Revd Carole</w:t>
      </w:r>
      <w:r>
        <w:rPr>
          <w:color w:val="231F20"/>
          <w:spacing w:val="12"/>
          <w:w w:val="110"/>
        </w:rPr>
        <w:t> </w:t>
      </w:r>
      <w:r>
        <w:rPr>
          <w:color w:val="231F20"/>
          <w:w w:val="110"/>
        </w:rPr>
        <w:t>Allison</w:t>
      </w:r>
      <w:r>
        <w:rPr>
          <w:color w:val="231F20"/>
          <w:spacing w:val="6"/>
          <w:w w:val="110"/>
        </w:rPr>
        <w:t> </w:t>
      </w:r>
      <w:r>
        <w:rPr>
          <w:color w:val="231F20"/>
          <w:w w:val="110"/>
        </w:rPr>
        <w:t>[2009]</w:t>
        <w:tab/>
        <w:t>Revd Jan </w:t>
      </w:r>
      <w:r>
        <w:rPr>
          <w:color w:val="231F20"/>
          <w:spacing w:val="4"/>
          <w:w w:val="110"/>
        </w:rPr>
        <w:t>Berry </w:t>
      </w:r>
      <w:r>
        <w:rPr>
          <w:color w:val="231F20"/>
          <w:spacing w:val="-4"/>
          <w:w w:val="110"/>
        </w:rPr>
        <w:t>[2009] </w:t>
      </w:r>
      <w:r>
        <w:rPr>
          <w:color w:val="231F20"/>
          <w:w w:val="110"/>
        </w:rPr>
        <w:t>Convener of Windermere Management</w:t>
      </w:r>
      <w:r>
        <w:rPr>
          <w:color w:val="231F20"/>
          <w:spacing w:val="9"/>
          <w:w w:val="110"/>
        </w:rPr>
        <w:t> </w:t>
      </w:r>
      <w:r>
        <w:rPr>
          <w:color w:val="231F20"/>
          <w:w w:val="110"/>
        </w:rPr>
        <w:t>Committee</w:t>
      </w:r>
    </w:p>
    <w:p>
      <w:pPr>
        <w:pStyle w:val="BodyText"/>
        <w:spacing w:line="273" w:lineRule="auto" w:before="1"/>
        <w:ind w:left="1240" w:right="5623"/>
      </w:pPr>
      <w:r>
        <w:rPr>
          <w:color w:val="231F20"/>
          <w:w w:val="110"/>
        </w:rPr>
        <w:t>Convener of Life and Witness Committee Representative of Carver URC</w:t>
      </w:r>
    </w:p>
    <w:p>
      <w:pPr>
        <w:spacing w:after="0" w:line="273" w:lineRule="auto"/>
        <w:sectPr>
          <w:pgSz w:w="11910" w:h="16840"/>
          <w:pgMar w:header="581" w:footer="544" w:top="860" w:bottom="740" w:left="460" w:right="0"/>
        </w:sectPr>
      </w:pPr>
    </w:p>
    <w:p>
      <w:pPr>
        <w:pStyle w:val="BodyText"/>
        <w:spacing w:before="10"/>
        <w:rPr>
          <w:sz w:val="11"/>
        </w:rPr>
      </w:pPr>
    </w:p>
    <w:p>
      <w:pPr>
        <w:numPr>
          <w:ilvl w:val="1"/>
          <w:numId w:val="57"/>
        </w:numPr>
        <w:tabs>
          <w:tab w:pos="1393" w:val="left" w:leader="none"/>
          <w:tab w:pos="1394" w:val="left" w:leader="none"/>
        </w:tabs>
        <w:spacing w:before="101"/>
        <w:ind w:left="1393" w:right="0" w:hanging="721"/>
        <w:jc w:val="left"/>
        <w:rPr>
          <w:b/>
          <w:sz w:val="18"/>
        </w:rPr>
      </w:pPr>
      <w:r>
        <w:rPr>
          <w:b/>
          <w:color w:val="231F20"/>
          <w:w w:val="110"/>
          <w:sz w:val="18"/>
        </w:rPr>
        <w:t>MINISTRIES</w:t>
      </w:r>
    </w:p>
    <w:p>
      <w:pPr>
        <w:pStyle w:val="BodyText"/>
        <w:spacing w:line="273" w:lineRule="auto" w:before="31"/>
        <w:ind w:left="673" w:right="6205"/>
      </w:pPr>
      <w:r>
        <w:rPr>
          <w:color w:val="231F20"/>
          <w:w w:val="110"/>
        </w:rPr>
        <w:t>Convener: Revd Peter Poulter </w:t>
      </w:r>
      <w:r>
        <w:rPr>
          <w:color w:val="231F20"/>
          <w:spacing w:val="-6"/>
          <w:w w:val="110"/>
        </w:rPr>
        <w:t>[2010] </w:t>
      </w:r>
      <w:r>
        <w:rPr>
          <w:color w:val="231F20"/>
          <w:spacing w:val="2"/>
          <w:w w:val="110"/>
        </w:rPr>
        <w:t>Secretary: </w:t>
      </w:r>
      <w:r>
        <w:rPr>
          <w:color w:val="231F20"/>
          <w:spacing w:val="3"/>
          <w:w w:val="110"/>
        </w:rPr>
        <w:t>Secretary </w:t>
      </w:r>
      <w:r>
        <w:rPr>
          <w:color w:val="231F20"/>
          <w:w w:val="110"/>
        </w:rPr>
        <w:t>for</w:t>
      </w:r>
      <w:r>
        <w:rPr>
          <w:color w:val="231F20"/>
          <w:spacing w:val="25"/>
          <w:w w:val="110"/>
        </w:rPr>
        <w:t> </w:t>
      </w:r>
      <w:r>
        <w:rPr>
          <w:color w:val="231F20"/>
          <w:w w:val="110"/>
        </w:rPr>
        <w:t>Ministries</w:t>
      </w:r>
    </w:p>
    <w:p>
      <w:pPr>
        <w:pStyle w:val="BodyText"/>
        <w:tabs>
          <w:tab w:pos="4033" w:val="left" w:leader="none"/>
          <w:tab w:pos="6993" w:val="left" w:leader="none"/>
        </w:tabs>
        <w:spacing w:line="273" w:lineRule="auto" w:before="1"/>
        <w:ind w:left="673" w:right="1750"/>
      </w:pPr>
      <w:r>
        <w:rPr>
          <w:color w:val="231F20"/>
          <w:w w:val="110"/>
        </w:rPr>
        <w:t>Revd Terry</w:t>
      </w:r>
      <w:r>
        <w:rPr>
          <w:color w:val="231F20"/>
          <w:spacing w:val="6"/>
          <w:w w:val="110"/>
        </w:rPr>
        <w:t> </w:t>
      </w:r>
      <w:r>
        <w:rPr>
          <w:color w:val="231F20"/>
          <w:w w:val="110"/>
        </w:rPr>
        <w:t>Oakley</w:t>
      </w:r>
      <w:r>
        <w:rPr>
          <w:color w:val="231F20"/>
          <w:spacing w:val="4"/>
          <w:w w:val="110"/>
        </w:rPr>
        <w:t> </w:t>
      </w:r>
      <w:r>
        <w:rPr>
          <w:color w:val="231F20"/>
          <w:w w:val="110"/>
        </w:rPr>
        <w:t>[2008]</w:t>
        <w:tab/>
        <w:t>Revd Alan</w:t>
      </w:r>
      <w:r>
        <w:rPr>
          <w:color w:val="231F20"/>
          <w:spacing w:val="5"/>
          <w:w w:val="110"/>
        </w:rPr>
        <w:t> </w:t>
      </w:r>
      <w:r>
        <w:rPr>
          <w:color w:val="231F20"/>
          <w:w w:val="110"/>
        </w:rPr>
        <w:t>Evans</w:t>
      </w:r>
      <w:r>
        <w:rPr>
          <w:color w:val="231F20"/>
          <w:spacing w:val="3"/>
          <w:w w:val="110"/>
        </w:rPr>
        <w:t> </w:t>
      </w:r>
      <w:r>
        <w:rPr>
          <w:color w:val="231F20"/>
          <w:w w:val="110"/>
        </w:rPr>
        <w:t>[2009]</w:t>
        <w:tab/>
      </w:r>
      <w:r>
        <w:rPr>
          <w:color w:val="231F20"/>
          <w:spacing w:val="2"/>
          <w:w w:val="110"/>
        </w:rPr>
        <w:t>Mrs </w:t>
      </w:r>
      <w:r>
        <w:rPr>
          <w:color w:val="231F20"/>
          <w:w w:val="110"/>
        </w:rPr>
        <w:t>Joanna Morling </w:t>
      </w:r>
      <w:r>
        <w:rPr>
          <w:color w:val="231F20"/>
          <w:spacing w:val="-4"/>
          <w:w w:val="110"/>
        </w:rPr>
        <w:t>[2009] </w:t>
      </w:r>
      <w:r>
        <w:rPr>
          <w:color w:val="231F20"/>
          <w:w w:val="110"/>
        </w:rPr>
        <w:t>Dr Roger</w:t>
      </w:r>
      <w:r>
        <w:rPr>
          <w:color w:val="231F20"/>
          <w:spacing w:val="16"/>
          <w:w w:val="110"/>
        </w:rPr>
        <w:t> </w:t>
      </w:r>
      <w:r>
        <w:rPr>
          <w:color w:val="231F20"/>
          <w:w w:val="110"/>
        </w:rPr>
        <w:t>Allen</w:t>
      </w:r>
      <w:r>
        <w:rPr>
          <w:color w:val="231F20"/>
          <w:spacing w:val="8"/>
          <w:w w:val="110"/>
        </w:rPr>
        <w:t> </w:t>
      </w:r>
      <w:r>
        <w:rPr>
          <w:color w:val="231F20"/>
          <w:spacing w:val="-6"/>
          <w:w w:val="110"/>
        </w:rPr>
        <w:t>[2010]</w:t>
        <w:tab/>
      </w:r>
      <w:r>
        <w:rPr>
          <w:color w:val="231F20"/>
          <w:spacing w:val="2"/>
          <w:w w:val="110"/>
        </w:rPr>
        <w:t>Mrs </w:t>
      </w:r>
      <w:r>
        <w:rPr>
          <w:color w:val="231F20"/>
          <w:w w:val="110"/>
        </w:rPr>
        <w:t>Helen Renner **</w:t>
      </w:r>
      <w:r>
        <w:rPr>
          <w:color w:val="231F20"/>
          <w:spacing w:val="4"/>
          <w:w w:val="110"/>
        </w:rPr>
        <w:t> </w:t>
      </w:r>
      <w:r>
        <w:rPr>
          <w:color w:val="231F20"/>
          <w:spacing w:val="-8"/>
          <w:w w:val="110"/>
        </w:rPr>
        <w:t>[2011]</w:t>
      </w:r>
    </w:p>
    <w:p>
      <w:pPr>
        <w:pStyle w:val="BodyText"/>
        <w:spacing w:before="1"/>
        <w:ind w:left="673"/>
      </w:pPr>
      <w:r>
        <w:rPr>
          <w:color w:val="231F20"/>
          <w:w w:val="110"/>
        </w:rPr>
        <w:t>Revd Ruth Whitehead ** [2011] Convener of Assessment Board</w:t>
      </w:r>
    </w:p>
    <w:p>
      <w:pPr>
        <w:pStyle w:val="BodyText"/>
        <w:spacing w:before="2"/>
        <w:rPr>
          <w:sz w:val="23"/>
        </w:rPr>
      </w:pPr>
    </w:p>
    <w:p>
      <w:pPr>
        <w:numPr>
          <w:ilvl w:val="2"/>
          <w:numId w:val="57"/>
        </w:numPr>
        <w:tabs>
          <w:tab w:pos="2113" w:val="left" w:leader="none"/>
          <w:tab w:pos="2114" w:val="left" w:leader="none"/>
        </w:tabs>
        <w:spacing w:before="0"/>
        <w:ind w:left="2113" w:right="0" w:hanging="1441"/>
        <w:jc w:val="left"/>
        <w:rPr>
          <w:b/>
          <w:sz w:val="18"/>
        </w:rPr>
      </w:pPr>
      <w:r>
        <w:rPr>
          <w:b/>
          <w:color w:val="231F20"/>
          <w:w w:val="110"/>
          <w:sz w:val="18"/>
        </w:rPr>
        <w:t>MINISTRIES – </w:t>
      </w:r>
      <w:r>
        <w:rPr>
          <w:b/>
          <w:color w:val="231F20"/>
          <w:spacing w:val="2"/>
          <w:w w:val="110"/>
          <w:sz w:val="18"/>
        </w:rPr>
        <w:t>Accreditation</w:t>
      </w:r>
      <w:r>
        <w:rPr>
          <w:b/>
          <w:color w:val="231F20"/>
          <w:spacing w:val="3"/>
          <w:w w:val="110"/>
          <w:sz w:val="18"/>
        </w:rPr>
        <w:t> </w:t>
      </w:r>
      <w:r>
        <w:rPr>
          <w:b/>
          <w:color w:val="231F20"/>
          <w:spacing w:val="2"/>
          <w:w w:val="110"/>
          <w:sz w:val="18"/>
        </w:rPr>
        <w:t>Sub-Committee</w:t>
      </w:r>
    </w:p>
    <w:p>
      <w:pPr>
        <w:pStyle w:val="BodyText"/>
        <w:spacing w:line="273" w:lineRule="auto" w:before="31"/>
        <w:ind w:left="673" w:right="6205"/>
      </w:pPr>
      <w:r>
        <w:rPr>
          <w:color w:val="231F20"/>
          <w:w w:val="110"/>
        </w:rPr>
        <w:t>Convener: Revd Gwen Collins [2009] Secretary: Secretary for Ministries</w:t>
      </w:r>
    </w:p>
    <w:p>
      <w:pPr>
        <w:pStyle w:val="BodyText"/>
        <w:tabs>
          <w:tab w:pos="4033" w:val="left" w:leader="none"/>
          <w:tab w:pos="6993" w:val="left" w:leader="none"/>
        </w:tabs>
        <w:spacing w:line="273" w:lineRule="auto" w:before="1"/>
        <w:ind w:left="673" w:right="2050"/>
      </w:pPr>
      <w:r>
        <w:rPr>
          <w:color w:val="231F20"/>
          <w:w w:val="110"/>
        </w:rPr>
        <w:t>Revd Howard</w:t>
      </w:r>
      <w:r>
        <w:rPr>
          <w:color w:val="231F20"/>
          <w:spacing w:val="8"/>
          <w:w w:val="110"/>
        </w:rPr>
        <w:t> </w:t>
      </w:r>
      <w:r>
        <w:rPr>
          <w:color w:val="231F20"/>
          <w:w w:val="110"/>
        </w:rPr>
        <w:t>Sharp</w:t>
      </w:r>
      <w:r>
        <w:rPr>
          <w:color w:val="231F20"/>
          <w:spacing w:val="4"/>
          <w:w w:val="110"/>
        </w:rPr>
        <w:t> </w:t>
      </w:r>
      <w:r>
        <w:rPr>
          <w:color w:val="231F20"/>
          <w:w w:val="110"/>
        </w:rPr>
        <w:t>[2009]</w:t>
        <w:tab/>
        <w:t>Mr Simon</w:t>
      </w:r>
      <w:r>
        <w:rPr>
          <w:color w:val="231F20"/>
          <w:spacing w:val="10"/>
          <w:w w:val="110"/>
        </w:rPr>
        <w:t> </w:t>
      </w:r>
      <w:r>
        <w:rPr>
          <w:color w:val="231F20"/>
          <w:w w:val="110"/>
        </w:rPr>
        <w:t>Rowntree</w:t>
      </w:r>
      <w:r>
        <w:rPr>
          <w:color w:val="231F20"/>
          <w:spacing w:val="5"/>
          <w:w w:val="110"/>
        </w:rPr>
        <w:t> </w:t>
      </w:r>
      <w:r>
        <w:rPr>
          <w:color w:val="231F20"/>
          <w:w w:val="110"/>
        </w:rPr>
        <w:t>[2009]</w:t>
        <w:tab/>
        <w:t>Mr Rod Morrison </w:t>
      </w:r>
      <w:r>
        <w:rPr>
          <w:color w:val="231F20"/>
          <w:spacing w:val="-4"/>
          <w:w w:val="110"/>
        </w:rPr>
        <w:t>[2009] </w:t>
      </w:r>
      <w:r>
        <w:rPr>
          <w:color w:val="231F20"/>
          <w:spacing w:val="2"/>
          <w:w w:val="110"/>
        </w:rPr>
        <w:t>Mrs </w:t>
      </w:r>
      <w:r>
        <w:rPr>
          <w:color w:val="231F20"/>
          <w:w w:val="110"/>
        </w:rPr>
        <w:t>Pat</w:t>
      </w:r>
      <w:r>
        <w:rPr>
          <w:color w:val="231F20"/>
          <w:spacing w:val="11"/>
          <w:w w:val="110"/>
        </w:rPr>
        <w:t> </w:t>
      </w:r>
      <w:r>
        <w:rPr>
          <w:color w:val="231F20"/>
          <w:w w:val="110"/>
        </w:rPr>
        <w:t>Evans</w:t>
      </w:r>
      <w:r>
        <w:rPr>
          <w:color w:val="231F20"/>
          <w:spacing w:val="7"/>
          <w:w w:val="110"/>
        </w:rPr>
        <w:t> </w:t>
      </w:r>
      <w:r>
        <w:rPr>
          <w:color w:val="231F20"/>
          <w:spacing w:val="-6"/>
          <w:w w:val="110"/>
        </w:rPr>
        <w:t>[2010]</w:t>
        <w:tab/>
      </w:r>
      <w:r>
        <w:rPr>
          <w:color w:val="231F20"/>
          <w:w w:val="110"/>
        </w:rPr>
        <w:t>Revd Sue </w:t>
      </w:r>
      <w:r>
        <w:rPr>
          <w:color w:val="231F20"/>
          <w:spacing w:val="2"/>
          <w:w w:val="110"/>
        </w:rPr>
        <w:t>Henderson </w:t>
      </w:r>
      <w:r>
        <w:rPr>
          <w:color w:val="231F20"/>
          <w:w w:val="110"/>
        </w:rPr>
        <w:t>**</w:t>
      </w:r>
      <w:r>
        <w:rPr>
          <w:color w:val="231F20"/>
          <w:spacing w:val="3"/>
          <w:w w:val="110"/>
        </w:rPr>
        <w:t> </w:t>
      </w:r>
      <w:r>
        <w:rPr>
          <w:color w:val="231F20"/>
          <w:spacing w:val="-8"/>
          <w:w w:val="110"/>
        </w:rPr>
        <w:t>[2011]</w:t>
      </w:r>
    </w:p>
    <w:p>
      <w:pPr>
        <w:pStyle w:val="BodyText"/>
        <w:spacing w:before="8"/>
        <w:rPr>
          <w:sz w:val="20"/>
        </w:rPr>
      </w:pPr>
    </w:p>
    <w:p>
      <w:pPr>
        <w:pStyle w:val="ListParagraph"/>
        <w:numPr>
          <w:ilvl w:val="2"/>
          <w:numId w:val="57"/>
        </w:numPr>
        <w:tabs>
          <w:tab w:pos="2113" w:val="left" w:leader="none"/>
          <w:tab w:pos="2114" w:val="left" w:leader="none"/>
          <w:tab w:pos="4813" w:val="left" w:leader="none"/>
        </w:tabs>
        <w:spacing w:line="273" w:lineRule="auto" w:before="1" w:after="0"/>
        <w:ind w:left="673" w:right="3629" w:firstLine="0"/>
        <w:jc w:val="left"/>
        <w:rPr>
          <w:sz w:val="18"/>
        </w:rPr>
      </w:pPr>
      <w:r>
        <w:rPr>
          <w:b/>
          <w:color w:val="231F20"/>
          <w:w w:val="110"/>
          <w:sz w:val="18"/>
        </w:rPr>
        <w:t>MINISTRIES – CRCW Programme </w:t>
      </w:r>
      <w:r>
        <w:rPr>
          <w:b/>
          <w:color w:val="231F20"/>
          <w:spacing w:val="2"/>
          <w:w w:val="110"/>
          <w:sz w:val="18"/>
        </w:rPr>
        <w:t>Sub-Committee </w:t>
      </w:r>
      <w:r>
        <w:rPr>
          <w:color w:val="231F20"/>
          <w:w w:val="110"/>
          <w:sz w:val="18"/>
        </w:rPr>
        <w:t>Convener: Revd Bob</w:t>
      </w:r>
      <w:r>
        <w:rPr>
          <w:color w:val="231F20"/>
          <w:spacing w:val="12"/>
          <w:w w:val="110"/>
          <w:sz w:val="18"/>
        </w:rPr>
        <w:t> </w:t>
      </w:r>
      <w:r>
        <w:rPr>
          <w:color w:val="231F20"/>
          <w:w w:val="110"/>
          <w:sz w:val="18"/>
        </w:rPr>
        <w:t>Day</w:t>
      </w:r>
      <w:r>
        <w:rPr>
          <w:color w:val="231F20"/>
          <w:spacing w:val="4"/>
          <w:w w:val="110"/>
          <w:sz w:val="18"/>
        </w:rPr>
        <w:t> </w:t>
      </w:r>
      <w:r>
        <w:rPr>
          <w:color w:val="231F20"/>
          <w:w w:val="110"/>
          <w:sz w:val="18"/>
        </w:rPr>
        <w:t>[2008]</w:t>
        <w:tab/>
      </w:r>
      <w:r>
        <w:rPr>
          <w:color w:val="231F20"/>
          <w:spacing w:val="-3"/>
          <w:w w:val="110"/>
          <w:sz w:val="18"/>
        </w:rPr>
        <w:t>#Revd </w:t>
      </w:r>
      <w:r>
        <w:rPr>
          <w:color w:val="231F20"/>
          <w:w w:val="110"/>
          <w:sz w:val="18"/>
        </w:rPr>
        <w:t>Paul Whittle ** </w:t>
      </w:r>
      <w:r>
        <w:rPr>
          <w:color w:val="231F20"/>
          <w:spacing w:val="-5"/>
          <w:w w:val="110"/>
          <w:sz w:val="18"/>
        </w:rPr>
        <w:t>[2012] </w:t>
      </w:r>
      <w:r>
        <w:rPr>
          <w:color w:val="231F20"/>
          <w:w w:val="110"/>
          <w:sz w:val="18"/>
        </w:rPr>
        <w:t>Secretaries: The CRCW Development</w:t>
      </w:r>
      <w:r>
        <w:rPr>
          <w:color w:val="231F20"/>
          <w:spacing w:val="11"/>
          <w:w w:val="110"/>
          <w:sz w:val="18"/>
        </w:rPr>
        <w:t> </w:t>
      </w:r>
      <w:r>
        <w:rPr>
          <w:color w:val="231F20"/>
          <w:w w:val="110"/>
          <w:sz w:val="18"/>
        </w:rPr>
        <w:t>Workers</w:t>
      </w:r>
    </w:p>
    <w:p>
      <w:pPr>
        <w:pStyle w:val="BodyText"/>
        <w:tabs>
          <w:tab w:pos="4033" w:val="left" w:leader="none"/>
        </w:tabs>
        <w:spacing w:before="1"/>
        <w:ind w:left="673"/>
      </w:pPr>
      <w:r>
        <w:rPr>
          <w:color w:val="231F20"/>
          <w:w w:val="110"/>
        </w:rPr>
        <w:t>Revd Tracey</w:t>
      </w:r>
      <w:r>
        <w:rPr>
          <w:color w:val="231F20"/>
          <w:spacing w:val="3"/>
          <w:w w:val="110"/>
        </w:rPr>
        <w:t> </w:t>
      </w:r>
      <w:r>
        <w:rPr>
          <w:color w:val="231F20"/>
          <w:w w:val="110"/>
        </w:rPr>
        <w:t>Lewis</w:t>
      </w:r>
      <w:r>
        <w:rPr>
          <w:color w:val="231F20"/>
          <w:spacing w:val="2"/>
          <w:w w:val="110"/>
        </w:rPr>
        <w:t> </w:t>
      </w:r>
      <w:r>
        <w:rPr>
          <w:color w:val="231F20"/>
          <w:w w:val="110"/>
        </w:rPr>
        <w:t>[2008]</w:t>
        <w:tab/>
      </w:r>
      <w:r>
        <w:rPr>
          <w:color w:val="231F20"/>
          <w:spacing w:val="2"/>
          <w:w w:val="110"/>
        </w:rPr>
        <w:t>Mrs </w:t>
      </w:r>
      <w:r>
        <w:rPr>
          <w:color w:val="231F20"/>
          <w:w w:val="110"/>
        </w:rPr>
        <w:t>Maureen Thompson</w:t>
      </w:r>
      <w:r>
        <w:rPr>
          <w:color w:val="231F20"/>
          <w:spacing w:val="2"/>
          <w:w w:val="110"/>
        </w:rPr>
        <w:t> </w:t>
      </w:r>
      <w:r>
        <w:rPr>
          <w:color w:val="231F20"/>
          <w:w w:val="110"/>
        </w:rPr>
        <w:t>[2009]</w:t>
      </w:r>
    </w:p>
    <w:p>
      <w:pPr>
        <w:tabs>
          <w:tab w:pos="4033" w:val="left" w:leader="none"/>
          <w:tab w:pos="7153" w:val="left" w:leader="none"/>
        </w:tabs>
        <w:spacing w:before="32"/>
        <w:ind w:left="673" w:right="0" w:firstLine="0"/>
        <w:jc w:val="left"/>
        <w:rPr>
          <w:i/>
          <w:sz w:val="18"/>
        </w:rPr>
      </w:pPr>
      <w:r>
        <w:rPr>
          <w:color w:val="231F20"/>
          <w:spacing w:val="2"/>
          <w:w w:val="110"/>
          <w:sz w:val="18"/>
        </w:rPr>
        <w:t>Mrs </w:t>
      </w:r>
      <w:r>
        <w:rPr>
          <w:color w:val="231F20"/>
          <w:w w:val="110"/>
          <w:sz w:val="18"/>
        </w:rPr>
        <w:t>Shirley</w:t>
      </w:r>
      <w:r>
        <w:rPr>
          <w:color w:val="231F20"/>
          <w:spacing w:val="16"/>
          <w:w w:val="110"/>
          <w:sz w:val="18"/>
        </w:rPr>
        <w:t> </w:t>
      </w:r>
      <w:r>
        <w:rPr>
          <w:color w:val="231F20"/>
          <w:w w:val="110"/>
          <w:sz w:val="18"/>
        </w:rPr>
        <w:t>Rawnsley</w:t>
      </w:r>
      <w:r>
        <w:rPr>
          <w:color w:val="231F20"/>
          <w:spacing w:val="9"/>
          <w:w w:val="110"/>
          <w:sz w:val="18"/>
        </w:rPr>
        <w:t> </w:t>
      </w:r>
      <w:r>
        <w:rPr>
          <w:color w:val="231F20"/>
          <w:spacing w:val="-6"/>
          <w:w w:val="110"/>
          <w:sz w:val="18"/>
        </w:rPr>
        <w:t>[2010]</w:t>
        <w:tab/>
      </w:r>
      <w:r>
        <w:rPr>
          <w:color w:val="231F20"/>
          <w:w w:val="110"/>
          <w:sz w:val="18"/>
        </w:rPr>
        <w:t>Revd Daphne</w:t>
      </w:r>
      <w:r>
        <w:rPr>
          <w:color w:val="231F20"/>
          <w:spacing w:val="12"/>
          <w:w w:val="110"/>
          <w:sz w:val="18"/>
        </w:rPr>
        <w:t> </w:t>
      </w:r>
      <w:r>
        <w:rPr>
          <w:color w:val="231F20"/>
          <w:w w:val="110"/>
          <w:sz w:val="18"/>
        </w:rPr>
        <w:t>Lloyd</w:t>
      </w:r>
      <w:r>
        <w:rPr>
          <w:color w:val="231F20"/>
          <w:spacing w:val="6"/>
          <w:w w:val="110"/>
          <w:sz w:val="18"/>
        </w:rPr>
        <w:t> </w:t>
      </w:r>
      <w:r>
        <w:rPr>
          <w:color w:val="231F20"/>
          <w:spacing w:val="-6"/>
          <w:w w:val="110"/>
          <w:sz w:val="18"/>
        </w:rPr>
        <w:t>[2010]</w:t>
        <w:tab/>
      </w:r>
      <w:r>
        <w:rPr>
          <w:i/>
          <w:color w:val="231F20"/>
          <w:w w:val="110"/>
          <w:sz w:val="18"/>
        </w:rPr>
        <w:t>Vacancy</w:t>
      </w:r>
      <w:r>
        <w:rPr>
          <w:i/>
          <w:color w:val="231F20"/>
          <w:spacing w:val="1"/>
          <w:w w:val="110"/>
          <w:sz w:val="18"/>
        </w:rPr>
        <w:t> </w:t>
      </w:r>
      <w:r>
        <w:rPr>
          <w:i/>
          <w:color w:val="231F20"/>
          <w:spacing w:val="-9"/>
          <w:w w:val="110"/>
          <w:sz w:val="18"/>
        </w:rPr>
        <w:t>[2011]</w:t>
      </w:r>
    </w:p>
    <w:p>
      <w:pPr>
        <w:pStyle w:val="BodyText"/>
        <w:spacing w:before="1"/>
        <w:rPr>
          <w:i/>
          <w:sz w:val="23"/>
        </w:rPr>
      </w:pPr>
    </w:p>
    <w:p>
      <w:pPr>
        <w:numPr>
          <w:ilvl w:val="2"/>
          <w:numId w:val="57"/>
        </w:numPr>
        <w:tabs>
          <w:tab w:pos="2113" w:val="left" w:leader="none"/>
          <w:tab w:pos="2114" w:val="left" w:leader="none"/>
        </w:tabs>
        <w:spacing w:before="0"/>
        <w:ind w:left="2113" w:right="0" w:hanging="1441"/>
        <w:jc w:val="left"/>
        <w:rPr>
          <w:b/>
          <w:sz w:val="18"/>
        </w:rPr>
      </w:pPr>
      <w:r>
        <w:rPr>
          <w:b/>
          <w:color w:val="231F20"/>
          <w:w w:val="110"/>
          <w:sz w:val="18"/>
        </w:rPr>
        <w:t>MINISTRIES – Leadership in Worship</w:t>
      </w:r>
      <w:r>
        <w:rPr>
          <w:b/>
          <w:color w:val="231F20"/>
          <w:spacing w:val="9"/>
          <w:w w:val="110"/>
          <w:sz w:val="18"/>
        </w:rPr>
        <w:t> </w:t>
      </w:r>
      <w:r>
        <w:rPr>
          <w:b/>
          <w:color w:val="231F20"/>
          <w:spacing w:val="2"/>
          <w:w w:val="110"/>
          <w:sz w:val="18"/>
        </w:rPr>
        <w:t>Sub-Committee</w:t>
      </w:r>
    </w:p>
    <w:p>
      <w:pPr>
        <w:pStyle w:val="BodyText"/>
        <w:spacing w:before="32"/>
        <w:ind w:left="673"/>
      </w:pPr>
      <w:r>
        <w:rPr>
          <w:color w:val="231F20"/>
          <w:w w:val="110"/>
        </w:rPr>
        <w:t>Convener and Assembly Lay Preaching Advocate</w:t>
      </w:r>
      <w:r>
        <w:rPr>
          <w:b/>
          <w:color w:val="231F20"/>
          <w:w w:val="110"/>
        </w:rPr>
        <w:t>: </w:t>
      </w:r>
      <w:r>
        <w:rPr>
          <w:color w:val="231F20"/>
          <w:w w:val="110"/>
        </w:rPr>
        <w:t>Mrs Jan Harper ** [2011]</w:t>
      </w:r>
    </w:p>
    <w:p>
      <w:pPr>
        <w:tabs>
          <w:tab w:pos="4033" w:val="left" w:leader="none"/>
          <w:tab w:pos="7873" w:val="left" w:leader="none"/>
        </w:tabs>
        <w:spacing w:before="31"/>
        <w:ind w:left="673" w:right="0" w:firstLine="0"/>
        <w:jc w:val="left"/>
        <w:rPr>
          <w:i/>
          <w:sz w:val="18"/>
        </w:rPr>
      </w:pPr>
      <w:r>
        <w:rPr>
          <w:color w:val="231F20"/>
          <w:w w:val="110"/>
          <w:sz w:val="18"/>
        </w:rPr>
        <w:t>Mr Ed Strachan</w:t>
      </w:r>
      <w:r>
        <w:rPr>
          <w:color w:val="231F20"/>
          <w:spacing w:val="21"/>
          <w:w w:val="110"/>
          <w:sz w:val="18"/>
        </w:rPr>
        <w:t> </w:t>
      </w:r>
      <w:r>
        <w:rPr>
          <w:color w:val="231F20"/>
          <w:w w:val="110"/>
          <w:sz w:val="18"/>
        </w:rPr>
        <w:t>**</w:t>
      </w:r>
      <w:r>
        <w:rPr>
          <w:color w:val="231F20"/>
          <w:spacing w:val="7"/>
          <w:w w:val="110"/>
          <w:sz w:val="18"/>
        </w:rPr>
        <w:t> </w:t>
      </w:r>
      <w:r>
        <w:rPr>
          <w:color w:val="231F20"/>
          <w:spacing w:val="-8"/>
          <w:w w:val="110"/>
          <w:sz w:val="18"/>
        </w:rPr>
        <w:t>[2011]</w:t>
        <w:tab/>
      </w:r>
      <w:r>
        <w:rPr>
          <w:color w:val="231F20"/>
          <w:w w:val="110"/>
          <w:sz w:val="18"/>
        </w:rPr>
        <w:t>Revd Gwynfor Evans</w:t>
      </w:r>
      <w:r>
        <w:rPr>
          <w:color w:val="231F20"/>
          <w:spacing w:val="22"/>
          <w:w w:val="110"/>
          <w:sz w:val="18"/>
        </w:rPr>
        <w:t> </w:t>
      </w:r>
      <w:r>
        <w:rPr>
          <w:color w:val="231F20"/>
          <w:w w:val="110"/>
          <w:sz w:val="18"/>
        </w:rPr>
        <w:t>**</w:t>
      </w:r>
      <w:r>
        <w:rPr>
          <w:color w:val="231F20"/>
          <w:spacing w:val="7"/>
          <w:w w:val="110"/>
          <w:sz w:val="18"/>
        </w:rPr>
        <w:t> </w:t>
      </w:r>
      <w:r>
        <w:rPr>
          <w:color w:val="231F20"/>
          <w:spacing w:val="-8"/>
          <w:w w:val="110"/>
          <w:sz w:val="18"/>
        </w:rPr>
        <w:t>[2011]</w:t>
        <w:tab/>
      </w:r>
      <w:r>
        <w:rPr>
          <w:i/>
          <w:color w:val="231F20"/>
          <w:w w:val="110"/>
          <w:sz w:val="18"/>
        </w:rPr>
        <w:t>Vacancy</w:t>
      </w:r>
      <w:r>
        <w:rPr>
          <w:i/>
          <w:color w:val="231F20"/>
          <w:spacing w:val="2"/>
          <w:w w:val="110"/>
          <w:sz w:val="18"/>
        </w:rPr>
        <w:t> </w:t>
      </w:r>
      <w:r>
        <w:rPr>
          <w:i/>
          <w:color w:val="231F20"/>
          <w:spacing w:val="-9"/>
          <w:w w:val="110"/>
          <w:sz w:val="18"/>
        </w:rPr>
        <w:t>[2011]</w:t>
      </w:r>
    </w:p>
    <w:p>
      <w:pPr>
        <w:pStyle w:val="BodyText"/>
        <w:spacing w:before="1"/>
        <w:rPr>
          <w:i/>
          <w:sz w:val="23"/>
        </w:rPr>
      </w:pPr>
    </w:p>
    <w:p>
      <w:pPr>
        <w:numPr>
          <w:ilvl w:val="2"/>
          <w:numId w:val="57"/>
        </w:numPr>
        <w:tabs>
          <w:tab w:pos="2113" w:val="left" w:leader="none"/>
          <w:tab w:pos="2114" w:val="left" w:leader="none"/>
        </w:tabs>
        <w:spacing w:before="1"/>
        <w:ind w:left="2113" w:right="0" w:hanging="1441"/>
        <w:jc w:val="left"/>
        <w:rPr>
          <w:b/>
          <w:sz w:val="18"/>
        </w:rPr>
      </w:pPr>
      <w:r>
        <w:rPr>
          <w:b/>
          <w:color w:val="231F20"/>
          <w:w w:val="110"/>
          <w:sz w:val="18"/>
        </w:rPr>
        <w:t>MINISTRIES – Maintenance of Ministry</w:t>
      </w:r>
      <w:r>
        <w:rPr>
          <w:b/>
          <w:color w:val="231F20"/>
          <w:spacing w:val="10"/>
          <w:w w:val="110"/>
          <w:sz w:val="18"/>
        </w:rPr>
        <w:t> </w:t>
      </w:r>
      <w:r>
        <w:rPr>
          <w:b/>
          <w:color w:val="231F20"/>
          <w:spacing w:val="2"/>
          <w:w w:val="110"/>
          <w:sz w:val="18"/>
        </w:rPr>
        <w:t>Sub-Committee</w:t>
      </w:r>
    </w:p>
    <w:p>
      <w:pPr>
        <w:pStyle w:val="BodyText"/>
        <w:spacing w:line="273" w:lineRule="auto" w:before="31"/>
        <w:ind w:left="673" w:right="6205"/>
      </w:pPr>
      <w:r>
        <w:rPr>
          <w:color w:val="231F20"/>
          <w:w w:val="110"/>
        </w:rPr>
        <w:t>Convener: Revd Geoffrey Roper [2009] Secretary: Mr David Taylor [2010]</w:t>
      </w:r>
    </w:p>
    <w:p>
      <w:pPr>
        <w:pStyle w:val="BodyText"/>
        <w:tabs>
          <w:tab w:pos="4033" w:val="left" w:leader="none"/>
          <w:tab w:pos="6993" w:val="left" w:leader="none"/>
        </w:tabs>
        <w:spacing w:before="1"/>
        <w:ind w:left="673"/>
      </w:pPr>
      <w:r>
        <w:rPr>
          <w:color w:val="231F20"/>
          <w:w w:val="110"/>
        </w:rPr>
        <w:t>Mr David</w:t>
      </w:r>
      <w:r>
        <w:rPr>
          <w:color w:val="231F20"/>
          <w:spacing w:val="5"/>
          <w:w w:val="110"/>
        </w:rPr>
        <w:t> </w:t>
      </w:r>
      <w:r>
        <w:rPr>
          <w:color w:val="231F20"/>
          <w:w w:val="110"/>
        </w:rPr>
        <w:t>Hayden</w:t>
      </w:r>
      <w:r>
        <w:rPr>
          <w:color w:val="231F20"/>
          <w:spacing w:val="3"/>
          <w:w w:val="110"/>
        </w:rPr>
        <w:t> </w:t>
      </w:r>
      <w:r>
        <w:rPr>
          <w:color w:val="231F20"/>
          <w:w w:val="110"/>
        </w:rPr>
        <w:t>[2008]</w:t>
        <w:tab/>
        <w:t>Mr Brian</w:t>
      </w:r>
      <w:r>
        <w:rPr>
          <w:color w:val="231F20"/>
          <w:spacing w:val="16"/>
          <w:w w:val="110"/>
        </w:rPr>
        <w:t> </w:t>
      </w:r>
      <w:r>
        <w:rPr>
          <w:color w:val="231F20"/>
          <w:w w:val="110"/>
        </w:rPr>
        <w:t>Knight</w:t>
      </w:r>
      <w:r>
        <w:rPr>
          <w:color w:val="231F20"/>
          <w:spacing w:val="8"/>
          <w:w w:val="110"/>
        </w:rPr>
        <w:t> </w:t>
      </w:r>
      <w:r>
        <w:rPr>
          <w:color w:val="231F20"/>
          <w:spacing w:val="-6"/>
          <w:w w:val="110"/>
        </w:rPr>
        <w:t>[2010]</w:t>
        <w:tab/>
      </w:r>
      <w:r>
        <w:rPr>
          <w:color w:val="231F20"/>
          <w:w w:val="110"/>
        </w:rPr>
        <w:t>Revd Ken Summers</w:t>
      </w:r>
      <w:r>
        <w:rPr>
          <w:color w:val="231F20"/>
          <w:spacing w:val="6"/>
          <w:w w:val="110"/>
        </w:rPr>
        <w:t> </w:t>
      </w:r>
      <w:r>
        <w:rPr>
          <w:color w:val="231F20"/>
          <w:spacing w:val="-6"/>
          <w:w w:val="110"/>
        </w:rPr>
        <w:t>[2010]</w:t>
      </w:r>
    </w:p>
    <w:p>
      <w:pPr>
        <w:tabs>
          <w:tab w:pos="4033" w:val="left" w:leader="none"/>
          <w:tab w:pos="6993" w:val="left" w:leader="none"/>
        </w:tabs>
        <w:spacing w:before="31"/>
        <w:ind w:left="673" w:right="0" w:firstLine="0"/>
        <w:jc w:val="left"/>
        <w:rPr>
          <w:sz w:val="18"/>
        </w:rPr>
      </w:pPr>
      <w:r>
        <w:rPr>
          <w:i/>
          <w:color w:val="231F20"/>
          <w:w w:val="110"/>
          <w:sz w:val="18"/>
        </w:rPr>
        <w:t>Vacancy</w:t>
      </w:r>
      <w:r>
        <w:rPr>
          <w:i/>
          <w:color w:val="231F20"/>
          <w:spacing w:val="9"/>
          <w:w w:val="110"/>
          <w:sz w:val="18"/>
        </w:rPr>
        <w:t> </w:t>
      </w:r>
      <w:r>
        <w:rPr>
          <w:i/>
          <w:color w:val="231F20"/>
          <w:spacing w:val="-9"/>
          <w:w w:val="110"/>
          <w:sz w:val="18"/>
        </w:rPr>
        <w:t>[2011]</w:t>
        <w:tab/>
      </w:r>
      <w:r>
        <w:rPr>
          <w:color w:val="231F20"/>
          <w:w w:val="110"/>
          <w:sz w:val="18"/>
        </w:rPr>
        <w:t>The</w:t>
      </w:r>
      <w:r>
        <w:rPr>
          <w:color w:val="231F20"/>
          <w:spacing w:val="7"/>
          <w:w w:val="110"/>
          <w:sz w:val="18"/>
        </w:rPr>
        <w:t> </w:t>
      </w:r>
      <w:r>
        <w:rPr>
          <w:color w:val="231F20"/>
          <w:w w:val="110"/>
          <w:sz w:val="18"/>
        </w:rPr>
        <w:t>Treasurer</w:t>
        <w:tab/>
        <w:t>Convener of Pensions</w:t>
      </w:r>
      <w:r>
        <w:rPr>
          <w:color w:val="231F20"/>
          <w:spacing w:val="-16"/>
          <w:w w:val="110"/>
          <w:sz w:val="18"/>
        </w:rPr>
        <w:t> </w:t>
      </w:r>
      <w:r>
        <w:rPr>
          <w:color w:val="231F20"/>
          <w:w w:val="110"/>
          <w:sz w:val="18"/>
        </w:rPr>
        <w:t>Executive</w:t>
      </w:r>
    </w:p>
    <w:p>
      <w:pPr>
        <w:pStyle w:val="BodyText"/>
        <w:spacing w:before="2"/>
        <w:rPr>
          <w:sz w:val="23"/>
        </w:rPr>
      </w:pPr>
    </w:p>
    <w:p>
      <w:pPr>
        <w:numPr>
          <w:ilvl w:val="2"/>
          <w:numId w:val="57"/>
        </w:numPr>
        <w:tabs>
          <w:tab w:pos="2113" w:val="left" w:leader="none"/>
          <w:tab w:pos="2114" w:val="left" w:leader="none"/>
        </w:tabs>
        <w:spacing w:before="0"/>
        <w:ind w:left="2113" w:right="0" w:hanging="1441"/>
        <w:jc w:val="left"/>
        <w:rPr>
          <w:b/>
          <w:sz w:val="18"/>
        </w:rPr>
      </w:pPr>
      <w:r>
        <w:rPr>
          <w:b/>
          <w:color w:val="231F20"/>
          <w:w w:val="110"/>
          <w:sz w:val="18"/>
        </w:rPr>
        <w:t>MINISTRIES – Retired Ministers Housing</w:t>
      </w:r>
      <w:r>
        <w:rPr>
          <w:b/>
          <w:color w:val="231F20"/>
          <w:spacing w:val="12"/>
          <w:w w:val="110"/>
          <w:sz w:val="18"/>
        </w:rPr>
        <w:t> </w:t>
      </w:r>
      <w:r>
        <w:rPr>
          <w:b/>
          <w:color w:val="231F20"/>
          <w:spacing w:val="2"/>
          <w:w w:val="110"/>
          <w:sz w:val="18"/>
        </w:rPr>
        <w:t>Sub-Committee</w:t>
      </w:r>
    </w:p>
    <w:p>
      <w:pPr>
        <w:pStyle w:val="BodyText"/>
        <w:spacing w:before="31"/>
        <w:ind w:left="673"/>
      </w:pPr>
      <w:r>
        <w:rPr>
          <w:color w:val="231F20"/>
          <w:w w:val="110"/>
        </w:rPr>
        <w:t>Convener: Revd David Bedford [2010]</w:t>
      </w:r>
    </w:p>
    <w:p>
      <w:pPr>
        <w:pStyle w:val="BodyText"/>
        <w:spacing w:before="31"/>
        <w:ind w:left="673"/>
      </w:pPr>
      <w:r>
        <w:rPr>
          <w:color w:val="231F20"/>
          <w:w w:val="110"/>
        </w:rPr>
        <w:t>Secretary: Secretary Retired Ministers Housing Society Ltd</w:t>
      </w:r>
    </w:p>
    <w:p>
      <w:pPr>
        <w:pStyle w:val="BodyText"/>
        <w:tabs>
          <w:tab w:pos="4033" w:val="left" w:leader="none"/>
          <w:tab w:pos="4795" w:val="left" w:leader="none"/>
        </w:tabs>
        <w:spacing w:line="273" w:lineRule="auto" w:before="32"/>
        <w:ind w:left="673" w:right="1403" w:hanging="1"/>
      </w:pPr>
      <w:r>
        <w:rPr>
          <w:color w:val="231F20"/>
          <w:w w:val="110"/>
        </w:rPr>
        <w:t>Mrs Liz</w:t>
      </w:r>
      <w:r>
        <w:rPr>
          <w:color w:val="231F20"/>
          <w:spacing w:val="7"/>
          <w:w w:val="110"/>
        </w:rPr>
        <w:t> </w:t>
      </w:r>
      <w:r>
        <w:rPr>
          <w:color w:val="231F20"/>
          <w:spacing w:val="-5"/>
          <w:w w:val="110"/>
        </w:rPr>
        <w:t>Tadd</w:t>
      </w:r>
      <w:r>
        <w:rPr>
          <w:color w:val="231F20"/>
          <w:spacing w:val="2"/>
          <w:w w:val="110"/>
        </w:rPr>
        <w:t> </w:t>
      </w:r>
      <w:r>
        <w:rPr>
          <w:color w:val="231F20"/>
          <w:spacing w:val="-4"/>
          <w:w w:val="110"/>
        </w:rPr>
        <w:t>[2009]</w:t>
        <w:tab/>
      </w:r>
      <w:r>
        <w:rPr>
          <w:color w:val="231F20"/>
          <w:spacing w:val="-3"/>
          <w:w w:val="110"/>
        </w:rPr>
        <w:t>Revd </w:t>
      </w:r>
      <w:r>
        <w:rPr>
          <w:color w:val="231F20"/>
          <w:w w:val="110"/>
        </w:rPr>
        <w:t>Elizabeth Caswell </w:t>
      </w:r>
      <w:r>
        <w:rPr>
          <w:color w:val="231F20"/>
          <w:spacing w:val="-3"/>
          <w:w w:val="110"/>
        </w:rPr>
        <w:t>[2008] Revd </w:t>
      </w:r>
      <w:r>
        <w:rPr>
          <w:color w:val="231F20"/>
          <w:w w:val="110"/>
        </w:rPr>
        <w:t>Michael Spencer </w:t>
      </w:r>
      <w:r>
        <w:rPr>
          <w:color w:val="231F20"/>
          <w:spacing w:val="-9"/>
          <w:w w:val="110"/>
        </w:rPr>
        <w:t>[2011] </w:t>
      </w:r>
      <w:r>
        <w:rPr>
          <w:color w:val="231F20"/>
          <w:w w:val="110"/>
        </w:rPr>
        <w:t>Revd Nanette</w:t>
      </w:r>
      <w:r>
        <w:rPr>
          <w:color w:val="231F20"/>
          <w:spacing w:val="29"/>
          <w:w w:val="110"/>
        </w:rPr>
        <w:t> </w:t>
      </w:r>
      <w:r>
        <w:rPr>
          <w:color w:val="231F20"/>
          <w:w w:val="110"/>
        </w:rPr>
        <w:t>Lewis-Head</w:t>
      </w:r>
      <w:r>
        <w:rPr>
          <w:color w:val="231F20"/>
          <w:spacing w:val="15"/>
          <w:w w:val="110"/>
        </w:rPr>
        <w:t> </w:t>
      </w:r>
      <w:r>
        <w:rPr>
          <w:color w:val="231F20"/>
          <w:spacing w:val="-5"/>
          <w:w w:val="110"/>
        </w:rPr>
        <w:t>[2012]</w:t>
        <w:tab/>
        <w:tab/>
      </w:r>
      <w:r>
        <w:rPr>
          <w:color w:val="231F20"/>
          <w:w w:val="110"/>
        </w:rPr>
        <w:t>The</w:t>
      </w:r>
      <w:r>
        <w:rPr>
          <w:color w:val="231F20"/>
          <w:spacing w:val="1"/>
          <w:w w:val="110"/>
        </w:rPr>
        <w:t> </w:t>
      </w:r>
      <w:r>
        <w:rPr>
          <w:color w:val="231F20"/>
          <w:w w:val="110"/>
        </w:rPr>
        <w:t>Treasurer</w:t>
      </w:r>
    </w:p>
    <w:p>
      <w:pPr>
        <w:spacing w:line="273" w:lineRule="auto" w:before="1"/>
        <w:ind w:left="674" w:right="1365" w:hanging="1"/>
        <w:jc w:val="left"/>
        <w:rPr>
          <w:sz w:val="18"/>
        </w:rPr>
      </w:pPr>
      <w:r>
        <w:rPr>
          <w:b/>
          <w:color w:val="231F20"/>
          <w:w w:val="110"/>
          <w:sz w:val="18"/>
        </w:rPr>
        <w:t>Note</w:t>
      </w:r>
      <w:r>
        <w:rPr>
          <w:color w:val="231F20"/>
          <w:w w:val="110"/>
          <w:sz w:val="18"/>
        </w:rPr>
        <w:t>: Properties are managed by a Company </w:t>
      </w:r>
      <w:r>
        <w:rPr>
          <w:i/>
          <w:color w:val="231F20"/>
          <w:w w:val="110"/>
          <w:sz w:val="18"/>
        </w:rPr>
        <w:t>viz</w:t>
      </w:r>
      <w:r>
        <w:rPr>
          <w:color w:val="231F20"/>
          <w:w w:val="110"/>
          <w:sz w:val="18"/>
        </w:rPr>
        <w:t>: </w:t>
      </w:r>
      <w:r>
        <w:rPr>
          <w:b/>
          <w:color w:val="231F20"/>
          <w:w w:val="110"/>
          <w:sz w:val="18"/>
        </w:rPr>
        <w:t>RETIRED MINISTERS HOUSING SOCIETY LTD </w:t>
      </w:r>
      <w:r>
        <w:rPr>
          <w:color w:val="231F20"/>
          <w:w w:val="110"/>
          <w:sz w:val="18"/>
        </w:rPr>
        <w:t>Details of the Members of the Board etc may be obtained from the Secretary: Mr Tony Bayley at Church House</w:t>
      </w:r>
    </w:p>
    <w:p>
      <w:pPr>
        <w:pStyle w:val="BodyText"/>
        <w:spacing w:before="9"/>
        <w:rPr>
          <w:sz w:val="20"/>
        </w:rPr>
      </w:pPr>
    </w:p>
    <w:p>
      <w:pPr>
        <w:numPr>
          <w:ilvl w:val="2"/>
          <w:numId w:val="57"/>
        </w:numPr>
        <w:tabs>
          <w:tab w:pos="2113" w:val="left" w:leader="none"/>
          <w:tab w:pos="2114" w:val="left" w:leader="none"/>
        </w:tabs>
        <w:spacing w:before="0"/>
        <w:ind w:left="2113" w:right="0" w:hanging="1440"/>
        <w:jc w:val="left"/>
        <w:rPr>
          <w:b/>
          <w:sz w:val="18"/>
        </w:rPr>
      </w:pPr>
      <w:r>
        <w:rPr>
          <w:b/>
          <w:color w:val="231F20"/>
          <w:spacing w:val="2"/>
          <w:w w:val="110"/>
          <w:sz w:val="18"/>
        </w:rPr>
        <w:t>ASSESSMENT</w:t>
      </w:r>
      <w:r>
        <w:rPr>
          <w:b/>
          <w:color w:val="231F20"/>
          <w:w w:val="110"/>
          <w:sz w:val="18"/>
        </w:rPr>
        <w:t> BOARD</w:t>
      </w:r>
    </w:p>
    <w:p>
      <w:pPr>
        <w:pStyle w:val="BodyText"/>
        <w:spacing w:before="31"/>
        <w:ind w:left="673"/>
      </w:pPr>
      <w:r>
        <w:rPr>
          <w:color w:val="231F20"/>
          <w:w w:val="110"/>
        </w:rPr>
        <w:t>Convener: Prof David Cutler [2009]</w:t>
      </w:r>
    </w:p>
    <w:p>
      <w:pPr>
        <w:pStyle w:val="BodyText"/>
        <w:tabs>
          <w:tab w:pos="2413" w:val="left" w:leader="none"/>
        </w:tabs>
        <w:spacing w:line="273" w:lineRule="auto" w:before="31"/>
        <w:ind w:left="673" w:right="2819"/>
      </w:pPr>
      <w:r>
        <w:rPr>
          <w:color w:val="231F20"/>
          <w:w w:val="110"/>
        </w:rPr>
        <w:t>Retiring</w:t>
      </w:r>
      <w:r>
        <w:rPr>
          <w:color w:val="231F20"/>
          <w:spacing w:val="9"/>
          <w:w w:val="110"/>
        </w:rPr>
        <w:t> </w:t>
      </w:r>
      <w:r>
        <w:rPr>
          <w:color w:val="231F20"/>
          <w:w w:val="110"/>
        </w:rPr>
        <w:t>2008</w:t>
        <w:tab/>
      </w:r>
      <w:r>
        <w:rPr>
          <w:color w:val="231F20"/>
          <w:spacing w:val="2"/>
          <w:w w:val="110"/>
        </w:rPr>
        <w:t>Mrs </w:t>
      </w:r>
      <w:r>
        <w:rPr>
          <w:color w:val="231F20"/>
          <w:w w:val="110"/>
        </w:rPr>
        <w:t>Judith Harris, </w:t>
      </w:r>
      <w:r>
        <w:rPr>
          <w:color w:val="231F20"/>
          <w:spacing w:val="2"/>
          <w:w w:val="110"/>
        </w:rPr>
        <w:t>Mrs </w:t>
      </w:r>
      <w:r>
        <w:rPr>
          <w:color w:val="231F20"/>
          <w:w w:val="110"/>
        </w:rPr>
        <w:t>Barbara Lancaster, Dr Cameron Wilson Retiring</w:t>
      </w:r>
      <w:r>
        <w:rPr>
          <w:color w:val="231F20"/>
          <w:spacing w:val="8"/>
          <w:w w:val="110"/>
        </w:rPr>
        <w:t> </w:t>
      </w:r>
      <w:r>
        <w:rPr>
          <w:color w:val="231F20"/>
          <w:w w:val="110"/>
        </w:rPr>
        <w:t>2009</w:t>
        <w:tab/>
      </w:r>
      <w:r>
        <w:rPr>
          <w:color w:val="231F20"/>
          <w:spacing w:val="2"/>
          <w:w w:val="110"/>
        </w:rPr>
        <w:t>Mrs </w:t>
      </w:r>
      <w:r>
        <w:rPr>
          <w:color w:val="231F20"/>
          <w:w w:val="110"/>
        </w:rPr>
        <w:t>Tina Ashitey, Dr Peter Clarke, Mr Hugh</w:t>
      </w:r>
      <w:r>
        <w:rPr>
          <w:color w:val="231F20"/>
          <w:spacing w:val="19"/>
          <w:w w:val="110"/>
        </w:rPr>
        <w:t> </w:t>
      </w:r>
      <w:r>
        <w:rPr>
          <w:color w:val="231F20"/>
          <w:w w:val="110"/>
        </w:rPr>
        <w:t>Abel</w:t>
      </w:r>
    </w:p>
    <w:p>
      <w:pPr>
        <w:pStyle w:val="BodyText"/>
        <w:tabs>
          <w:tab w:pos="2413" w:val="left" w:leader="none"/>
        </w:tabs>
        <w:spacing w:line="273" w:lineRule="auto" w:before="1"/>
        <w:ind w:left="2413" w:right="2219" w:hanging="1740"/>
      </w:pPr>
      <w:r>
        <w:rPr>
          <w:color w:val="231F20"/>
          <w:w w:val="110"/>
        </w:rPr>
        <w:t>Retiring</w:t>
      </w:r>
      <w:r>
        <w:rPr>
          <w:color w:val="231F20"/>
          <w:spacing w:val="8"/>
          <w:w w:val="110"/>
        </w:rPr>
        <w:t> </w:t>
      </w:r>
      <w:r>
        <w:rPr>
          <w:color w:val="231F20"/>
          <w:spacing w:val="-5"/>
          <w:w w:val="110"/>
        </w:rPr>
        <w:t>2010</w:t>
        <w:tab/>
      </w:r>
      <w:r>
        <w:rPr>
          <w:color w:val="231F20"/>
          <w:w w:val="110"/>
        </w:rPr>
        <w:t>Revd David A L Jenkins, Revd Dr Irene John, Revd Edward Sanniez, Revd Lesley</w:t>
      </w:r>
      <w:r>
        <w:rPr>
          <w:color w:val="231F20"/>
          <w:spacing w:val="2"/>
          <w:w w:val="110"/>
        </w:rPr>
        <w:t> </w:t>
      </w:r>
      <w:r>
        <w:rPr>
          <w:color w:val="231F20"/>
          <w:w w:val="110"/>
        </w:rPr>
        <w:t>Charlton</w:t>
      </w:r>
    </w:p>
    <w:p>
      <w:pPr>
        <w:pStyle w:val="BodyText"/>
        <w:tabs>
          <w:tab w:pos="2413" w:val="left" w:leader="none"/>
        </w:tabs>
        <w:spacing w:line="273" w:lineRule="auto" w:before="2"/>
        <w:ind w:left="673" w:right="1341"/>
      </w:pPr>
      <w:r>
        <w:rPr>
          <w:color w:val="231F20"/>
          <w:w w:val="110"/>
        </w:rPr>
        <w:t>Retiring</w:t>
      </w:r>
      <w:r>
        <w:rPr>
          <w:color w:val="231F20"/>
          <w:spacing w:val="9"/>
          <w:w w:val="110"/>
        </w:rPr>
        <w:t> </w:t>
      </w:r>
      <w:r>
        <w:rPr>
          <w:color w:val="231F20"/>
          <w:spacing w:val="-6"/>
          <w:w w:val="110"/>
        </w:rPr>
        <w:t>2011</w:t>
        <w:tab/>
      </w:r>
      <w:r>
        <w:rPr>
          <w:color w:val="231F20"/>
          <w:w w:val="110"/>
        </w:rPr>
        <w:t>Revd Wilf Bahadur, Revd Jan Adamson, Revd Sian Collins, </w:t>
      </w:r>
      <w:r>
        <w:rPr>
          <w:color w:val="231F20"/>
          <w:spacing w:val="2"/>
          <w:w w:val="110"/>
        </w:rPr>
        <w:t>Mrs </w:t>
      </w:r>
      <w:r>
        <w:rPr>
          <w:color w:val="231F20"/>
          <w:w w:val="110"/>
        </w:rPr>
        <w:t>Wendy Smith Retiring</w:t>
      </w:r>
      <w:r>
        <w:rPr>
          <w:color w:val="231F20"/>
          <w:spacing w:val="8"/>
          <w:w w:val="110"/>
        </w:rPr>
        <w:t> </w:t>
      </w:r>
      <w:r>
        <w:rPr>
          <w:color w:val="231F20"/>
          <w:spacing w:val="-4"/>
          <w:w w:val="110"/>
        </w:rPr>
        <w:t>2012</w:t>
        <w:tab/>
      </w:r>
      <w:r>
        <w:rPr>
          <w:color w:val="231F20"/>
          <w:w w:val="110"/>
        </w:rPr>
        <w:t>Mr </w:t>
      </w:r>
      <w:r>
        <w:rPr>
          <w:color w:val="231F20"/>
          <w:spacing w:val="2"/>
          <w:w w:val="110"/>
        </w:rPr>
        <w:t>Geoffrey </w:t>
      </w:r>
      <w:r>
        <w:rPr>
          <w:color w:val="231F20"/>
          <w:w w:val="110"/>
        </w:rPr>
        <w:t>Harrison, Mr James Horton, </w:t>
      </w:r>
      <w:r>
        <w:rPr>
          <w:color w:val="231F20"/>
          <w:spacing w:val="2"/>
          <w:w w:val="110"/>
        </w:rPr>
        <w:t>Mrs </w:t>
      </w:r>
      <w:r>
        <w:rPr>
          <w:color w:val="231F20"/>
          <w:w w:val="110"/>
        </w:rPr>
        <w:t>Margaret</w:t>
      </w:r>
      <w:r>
        <w:rPr>
          <w:color w:val="231F20"/>
          <w:spacing w:val="32"/>
          <w:w w:val="110"/>
        </w:rPr>
        <w:t> </w:t>
      </w:r>
      <w:r>
        <w:rPr>
          <w:color w:val="231F20"/>
          <w:w w:val="110"/>
        </w:rPr>
        <w:t>Jenkins,</w:t>
      </w:r>
    </w:p>
    <w:p>
      <w:pPr>
        <w:spacing w:before="1"/>
        <w:ind w:left="2413" w:right="0" w:firstLine="0"/>
        <w:jc w:val="left"/>
        <w:rPr>
          <w:i/>
          <w:sz w:val="18"/>
        </w:rPr>
      </w:pPr>
      <w:r>
        <w:rPr>
          <w:color w:val="231F20"/>
          <w:w w:val="110"/>
          <w:sz w:val="18"/>
        </w:rPr>
        <w:t>Revd Jan Maxwell, </w:t>
      </w:r>
      <w:r>
        <w:rPr>
          <w:i/>
          <w:color w:val="231F20"/>
          <w:w w:val="110"/>
          <w:sz w:val="18"/>
        </w:rPr>
        <w:t>Vacancy</w:t>
      </w:r>
    </w:p>
    <w:p>
      <w:pPr>
        <w:pStyle w:val="BodyText"/>
        <w:spacing w:before="1"/>
        <w:rPr>
          <w:i/>
          <w:sz w:val="23"/>
        </w:rPr>
      </w:pPr>
    </w:p>
    <w:p>
      <w:pPr>
        <w:pStyle w:val="ListParagraph"/>
        <w:numPr>
          <w:ilvl w:val="1"/>
          <w:numId w:val="57"/>
        </w:numPr>
        <w:tabs>
          <w:tab w:pos="1393" w:val="left" w:leader="none"/>
          <w:tab w:pos="1394" w:val="left" w:leader="none"/>
        </w:tabs>
        <w:spacing w:line="273" w:lineRule="auto" w:before="1" w:after="0"/>
        <w:ind w:left="673" w:right="6663" w:hanging="1"/>
        <w:jc w:val="left"/>
        <w:rPr>
          <w:sz w:val="18"/>
        </w:rPr>
      </w:pPr>
      <w:r>
        <w:rPr>
          <w:b/>
          <w:color w:val="231F20"/>
          <w:w w:val="110"/>
          <w:sz w:val="18"/>
        </w:rPr>
        <w:t>NOMINATIONS </w:t>
      </w:r>
      <w:r>
        <w:rPr>
          <w:b/>
          <w:color w:val="231F20"/>
          <w:spacing w:val="2"/>
          <w:w w:val="110"/>
          <w:sz w:val="18"/>
        </w:rPr>
        <w:t>COMMITTEE </w:t>
      </w:r>
      <w:r>
        <w:rPr>
          <w:color w:val="231F20"/>
          <w:w w:val="110"/>
          <w:sz w:val="18"/>
        </w:rPr>
        <w:t>Convener: Revd Malcolm Hanson </w:t>
      </w:r>
      <w:r>
        <w:rPr>
          <w:color w:val="231F20"/>
          <w:spacing w:val="-6"/>
          <w:w w:val="110"/>
          <w:sz w:val="18"/>
        </w:rPr>
        <w:t>[2010] </w:t>
      </w:r>
      <w:r>
        <w:rPr>
          <w:color w:val="231F20"/>
          <w:spacing w:val="2"/>
          <w:w w:val="110"/>
          <w:sz w:val="18"/>
        </w:rPr>
        <w:t>Secretary: </w:t>
      </w:r>
      <w:r>
        <w:rPr>
          <w:color w:val="231F20"/>
          <w:w w:val="110"/>
          <w:sz w:val="18"/>
        </w:rPr>
        <w:t>Revd Elizabeth Brown</w:t>
      </w:r>
      <w:r>
        <w:rPr>
          <w:color w:val="231F20"/>
          <w:spacing w:val="37"/>
          <w:w w:val="110"/>
          <w:sz w:val="18"/>
        </w:rPr>
        <w:t> </w:t>
      </w:r>
      <w:r>
        <w:rPr>
          <w:color w:val="231F20"/>
          <w:w w:val="110"/>
          <w:sz w:val="18"/>
        </w:rPr>
        <w:t>[2009]</w:t>
      </w:r>
    </w:p>
    <w:p>
      <w:pPr>
        <w:pStyle w:val="BodyText"/>
        <w:spacing w:before="1"/>
        <w:ind w:left="673"/>
      </w:pPr>
      <w:r>
        <w:rPr>
          <w:color w:val="231F20"/>
          <w:w w:val="110"/>
        </w:rPr>
        <w:t>Synod Representatives: Revd Kevin Watson [1], Revd Ruth Wollaston [2],</w:t>
      </w:r>
    </w:p>
    <w:p>
      <w:pPr>
        <w:pStyle w:val="BodyText"/>
        <w:spacing w:line="273" w:lineRule="auto" w:before="32"/>
        <w:ind w:left="673" w:right="1593"/>
      </w:pPr>
      <w:r>
        <w:rPr>
          <w:color w:val="231F20"/>
          <w:w w:val="110"/>
        </w:rPr>
        <w:t>Revd John Oldershaw </w:t>
      </w:r>
      <w:r>
        <w:rPr>
          <w:color w:val="231F20"/>
          <w:spacing w:val="-4"/>
          <w:w w:val="110"/>
        </w:rPr>
        <w:t>[3], </w:t>
      </w:r>
      <w:r>
        <w:rPr>
          <w:color w:val="231F20"/>
          <w:spacing w:val="2"/>
          <w:w w:val="110"/>
        </w:rPr>
        <w:t>Mrs </w:t>
      </w:r>
      <w:r>
        <w:rPr>
          <w:color w:val="231F20"/>
          <w:w w:val="110"/>
        </w:rPr>
        <w:t>Val </w:t>
      </w:r>
      <w:r>
        <w:rPr>
          <w:color w:val="231F20"/>
          <w:spacing w:val="2"/>
          <w:w w:val="110"/>
        </w:rPr>
        <w:t>Morrison </w:t>
      </w:r>
      <w:r>
        <w:rPr>
          <w:color w:val="231F20"/>
          <w:spacing w:val="-7"/>
          <w:w w:val="110"/>
        </w:rPr>
        <w:t>[4], </w:t>
      </w:r>
      <w:r>
        <w:rPr>
          <w:color w:val="231F20"/>
          <w:spacing w:val="2"/>
          <w:w w:val="110"/>
        </w:rPr>
        <w:t>Mrs </w:t>
      </w:r>
      <w:r>
        <w:rPr>
          <w:color w:val="231F20"/>
          <w:w w:val="110"/>
        </w:rPr>
        <w:t>Irene Wren </w:t>
      </w:r>
      <w:r>
        <w:rPr>
          <w:color w:val="231F20"/>
          <w:spacing w:val="-3"/>
          <w:w w:val="110"/>
        </w:rPr>
        <w:t>[5], </w:t>
      </w:r>
      <w:r>
        <w:rPr>
          <w:color w:val="231F20"/>
          <w:w w:val="110"/>
        </w:rPr>
        <w:t>Dr Anthony Jeans </w:t>
      </w:r>
      <w:r>
        <w:rPr>
          <w:color w:val="231F20"/>
          <w:spacing w:val="-6"/>
          <w:w w:val="110"/>
        </w:rPr>
        <w:t>[6], </w:t>
      </w:r>
      <w:r>
        <w:rPr>
          <w:color w:val="231F20"/>
          <w:w w:val="110"/>
        </w:rPr>
        <w:t>Revd Elizabeth Caswell [7], Revd Roz Harrison </w:t>
      </w:r>
      <w:r>
        <w:rPr>
          <w:color w:val="231F20"/>
          <w:spacing w:val="-4"/>
          <w:w w:val="110"/>
        </w:rPr>
        <w:t>[8], </w:t>
      </w:r>
      <w:r>
        <w:rPr>
          <w:color w:val="231F20"/>
          <w:w w:val="110"/>
        </w:rPr>
        <w:t>Mr Peter Pay </w:t>
      </w:r>
      <w:r>
        <w:rPr>
          <w:color w:val="231F20"/>
          <w:spacing w:val="-5"/>
          <w:w w:val="110"/>
        </w:rPr>
        <w:t>[9], </w:t>
      </w:r>
      <w:r>
        <w:rPr>
          <w:color w:val="231F20"/>
          <w:w w:val="110"/>
        </w:rPr>
        <w:t>Mr Adrian West </w:t>
      </w:r>
      <w:r>
        <w:rPr>
          <w:color w:val="231F20"/>
          <w:spacing w:val="-7"/>
          <w:w w:val="110"/>
        </w:rPr>
        <w:t>[10], </w:t>
      </w:r>
      <w:r>
        <w:rPr>
          <w:color w:val="231F20"/>
          <w:w w:val="110"/>
        </w:rPr>
        <w:t>Dr Graham Campling </w:t>
      </w:r>
      <w:r>
        <w:rPr>
          <w:color w:val="231F20"/>
          <w:spacing w:val="-9"/>
          <w:w w:val="110"/>
        </w:rPr>
        <w:t>[11], </w:t>
      </w:r>
      <w:r>
        <w:rPr>
          <w:color w:val="231F20"/>
          <w:w w:val="110"/>
        </w:rPr>
        <w:t>Dr Jean Silvan-Evans </w:t>
      </w:r>
      <w:r>
        <w:rPr>
          <w:color w:val="231F20"/>
          <w:spacing w:val="-6"/>
          <w:w w:val="110"/>
        </w:rPr>
        <w:t>[12], </w:t>
      </w:r>
      <w:r>
        <w:rPr>
          <w:color w:val="231F20"/>
          <w:w w:val="110"/>
        </w:rPr>
        <w:t>Dr James </w:t>
      </w:r>
      <w:r>
        <w:rPr>
          <w:color w:val="231F20"/>
          <w:spacing w:val="2"/>
          <w:w w:val="110"/>
        </w:rPr>
        <w:t>Merrilees</w:t>
      </w:r>
      <w:r>
        <w:rPr>
          <w:color w:val="231F20"/>
          <w:spacing w:val="62"/>
          <w:w w:val="110"/>
        </w:rPr>
        <w:t> </w:t>
      </w:r>
      <w:r>
        <w:rPr>
          <w:color w:val="231F20"/>
          <w:spacing w:val="-6"/>
          <w:w w:val="110"/>
        </w:rPr>
        <w:t>[13],</w:t>
      </w:r>
    </w:p>
    <w:p>
      <w:pPr>
        <w:pStyle w:val="BodyText"/>
        <w:spacing w:before="2"/>
        <w:ind w:left="673"/>
      </w:pPr>
      <w:r>
        <w:rPr>
          <w:color w:val="231F20"/>
          <w:w w:val="110"/>
        </w:rPr>
        <w:t>with the Immediate Past Moderator and the General Secretary.</w:t>
      </w:r>
    </w:p>
    <w:p>
      <w:pPr>
        <w:spacing w:after="0"/>
        <w:sectPr>
          <w:pgSz w:w="11910" w:h="16840"/>
          <w:pgMar w:header="581" w:footer="544" w:top="860" w:bottom="740" w:left="460" w:right="0"/>
        </w:sectPr>
      </w:pPr>
    </w:p>
    <w:p>
      <w:pPr>
        <w:pStyle w:val="BodyText"/>
        <w:spacing w:before="10"/>
        <w:rPr>
          <w:sz w:val="11"/>
        </w:rPr>
      </w:pPr>
    </w:p>
    <w:p>
      <w:pPr>
        <w:pStyle w:val="ListParagraph"/>
        <w:numPr>
          <w:ilvl w:val="1"/>
          <w:numId w:val="57"/>
        </w:numPr>
        <w:tabs>
          <w:tab w:pos="1960" w:val="left" w:leader="none"/>
          <w:tab w:pos="1961" w:val="left" w:leader="none"/>
        </w:tabs>
        <w:spacing w:line="273" w:lineRule="auto" w:before="101" w:after="0"/>
        <w:ind w:left="1240" w:right="5432" w:firstLine="0"/>
        <w:jc w:val="left"/>
        <w:rPr>
          <w:sz w:val="18"/>
        </w:rPr>
      </w:pPr>
      <w:r>
        <w:rPr>
          <w:b/>
          <w:color w:val="231F20"/>
          <w:spacing w:val="2"/>
          <w:w w:val="110"/>
          <w:sz w:val="18"/>
        </w:rPr>
        <w:t>PASTORAL REFERENCE COMMITTEE </w:t>
      </w:r>
      <w:r>
        <w:rPr>
          <w:color w:val="231F20"/>
          <w:w w:val="110"/>
          <w:sz w:val="18"/>
        </w:rPr>
        <w:t>Convener: Revd Alasdair </w:t>
      </w:r>
      <w:r>
        <w:rPr>
          <w:color w:val="231F20"/>
          <w:spacing w:val="2"/>
          <w:w w:val="110"/>
          <w:sz w:val="18"/>
        </w:rPr>
        <w:t>Pratt </w:t>
      </w:r>
      <w:r>
        <w:rPr>
          <w:color w:val="231F20"/>
          <w:spacing w:val="-8"/>
          <w:w w:val="110"/>
          <w:sz w:val="18"/>
        </w:rPr>
        <w:t>[2011] </w:t>
      </w:r>
      <w:r>
        <w:rPr>
          <w:color w:val="231F20"/>
          <w:spacing w:val="2"/>
          <w:w w:val="110"/>
          <w:sz w:val="18"/>
        </w:rPr>
        <w:t>Secretary: </w:t>
      </w:r>
      <w:r>
        <w:rPr>
          <w:color w:val="231F20"/>
          <w:w w:val="110"/>
          <w:sz w:val="18"/>
        </w:rPr>
        <w:t>Deputy General</w:t>
      </w:r>
      <w:r>
        <w:rPr>
          <w:color w:val="231F20"/>
          <w:spacing w:val="11"/>
          <w:w w:val="110"/>
          <w:sz w:val="18"/>
        </w:rPr>
        <w:t> </w:t>
      </w:r>
      <w:r>
        <w:rPr>
          <w:color w:val="231F20"/>
          <w:spacing w:val="3"/>
          <w:w w:val="110"/>
          <w:sz w:val="18"/>
        </w:rPr>
        <w:t>Secretary</w:t>
      </w:r>
    </w:p>
    <w:p>
      <w:pPr>
        <w:pStyle w:val="BodyText"/>
        <w:tabs>
          <w:tab w:pos="4600" w:val="left" w:leader="none"/>
        </w:tabs>
        <w:spacing w:line="273" w:lineRule="auto" w:before="1"/>
        <w:ind w:left="1240" w:right="3279"/>
      </w:pPr>
      <w:r>
        <w:rPr>
          <w:color w:val="231F20"/>
          <w:w w:val="110"/>
        </w:rPr>
        <w:t>Revd </w:t>
      </w:r>
      <w:r>
        <w:rPr>
          <w:color w:val="231F20"/>
          <w:spacing w:val="2"/>
          <w:w w:val="110"/>
        </w:rPr>
        <w:t>Meryl</w:t>
      </w:r>
      <w:r>
        <w:rPr>
          <w:color w:val="231F20"/>
          <w:spacing w:val="7"/>
          <w:w w:val="110"/>
        </w:rPr>
        <w:t> </w:t>
      </w:r>
      <w:r>
        <w:rPr>
          <w:color w:val="231F20"/>
          <w:spacing w:val="2"/>
          <w:w w:val="110"/>
        </w:rPr>
        <w:t>Court</w:t>
      </w:r>
      <w:r>
        <w:rPr>
          <w:color w:val="231F20"/>
          <w:spacing w:val="4"/>
          <w:w w:val="110"/>
        </w:rPr>
        <w:t> </w:t>
      </w:r>
      <w:r>
        <w:rPr>
          <w:color w:val="231F20"/>
          <w:w w:val="110"/>
        </w:rPr>
        <w:t>[2008]</w:t>
        <w:tab/>
      </w:r>
      <w:r>
        <w:rPr>
          <w:color w:val="231F20"/>
          <w:spacing w:val="2"/>
          <w:w w:val="110"/>
        </w:rPr>
        <w:t>Mrs </w:t>
      </w:r>
      <w:r>
        <w:rPr>
          <w:color w:val="231F20"/>
          <w:w w:val="110"/>
        </w:rPr>
        <w:t>Margaret </w:t>
      </w:r>
      <w:r>
        <w:rPr>
          <w:color w:val="231F20"/>
          <w:spacing w:val="2"/>
          <w:w w:val="110"/>
        </w:rPr>
        <w:t>Carrick </w:t>
      </w:r>
      <w:r>
        <w:rPr>
          <w:color w:val="231F20"/>
          <w:w w:val="110"/>
        </w:rPr>
        <w:t>Smith </w:t>
      </w:r>
      <w:r>
        <w:rPr>
          <w:color w:val="231F20"/>
          <w:spacing w:val="-4"/>
          <w:w w:val="110"/>
        </w:rPr>
        <w:t>[2009] </w:t>
      </w:r>
      <w:r>
        <w:rPr>
          <w:color w:val="231F20"/>
          <w:spacing w:val="2"/>
          <w:w w:val="110"/>
        </w:rPr>
        <w:t>Mrs Delyth</w:t>
      </w:r>
      <w:r>
        <w:rPr>
          <w:color w:val="231F20"/>
          <w:spacing w:val="13"/>
          <w:w w:val="110"/>
        </w:rPr>
        <w:t> </w:t>
      </w:r>
      <w:r>
        <w:rPr>
          <w:color w:val="231F20"/>
          <w:w w:val="110"/>
        </w:rPr>
        <w:t>Rees</w:t>
      </w:r>
      <w:r>
        <w:rPr>
          <w:color w:val="231F20"/>
          <w:spacing w:val="8"/>
          <w:w w:val="110"/>
        </w:rPr>
        <w:t> </w:t>
      </w:r>
      <w:r>
        <w:rPr>
          <w:color w:val="231F20"/>
          <w:spacing w:val="-8"/>
          <w:w w:val="110"/>
        </w:rPr>
        <w:t>[2011]</w:t>
        <w:tab/>
      </w:r>
      <w:r>
        <w:rPr>
          <w:color w:val="231F20"/>
          <w:w w:val="110"/>
        </w:rPr>
        <w:t>Revd Adrian Bulley **</w:t>
      </w:r>
      <w:r>
        <w:rPr>
          <w:color w:val="231F20"/>
          <w:spacing w:val="11"/>
          <w:w w:val="110"/>
        </w:rPr>
        <w:t> </w:t>
      </w:r>
      <w:r>
        <w:rPr>
          <w:color w:val="231F20"/>
          <w:spacing w:val="-8"/>
          <w:w w:val="110"/>
        </w:rPr>
        <w:t>[2011]</w:t>
      </w:r>
    </w:p>
    <w:p>
      <w:pPr>
        <w:pStyle w:val="BodyText"/>
        <w:spacing w:before="2"/>
        <w:ind w:left="1240"/>
      </w:pPr>
      <w:r>
        <w:rPr>
          <w:color w:val="231F20"/>
          <w:w w:val="110"/>
        </w:rPr>
        <w:t>[</w:t>
      </w:r>
      <w:r>
        <w:rPr>
          <w:i/>
          <w:color w:val="231F20"/>
          <w:w w:val="110"/>
        </w:rPr>
        <w:t>ex officio: </w:t>
      </w:r>
      <w:r>
        <w:rPr>
          <w:color w:val="231F20"/>
          <w:w w:val="110"/>
        </w:rPr>
        <w:t>The Treasurer, The General Secretary, The Secretary for Welfare]</w:t>
      </w:r>
    </w:p>
    <w:p>
      <w:pPr>
        <w:pStyle w:val="BodyText"/>
        <w:spacing w:before="1"/>
        <w:rPr>
          <w:sz w:val="23"/>
        </w:rPr>
      </w:pPr>
    </w:p>
    <w:p>
      <w:pPr>
        <w:numPr>
          <w:ilvl w:val="1"/>
          <w:numId w:val="57"/>
        </w:numPr>
        <w:tabs>
          <w:tab w:pos="1960" w:val="left" w:leader="none"/>
          <w:tab w:pos="1961" w:val="left" w:leader="none"/>
        </w:tabs>
        <w:spacing w:before="0"/>
        <w:ind w:left="1960" w:right="0" w:hanging="721"/>
        <w:jc w:val="left"/>
        <w:rPr>
          <w:b/>
          <w:sz w:val="18"/>
        </w:rPr>
      </w:pPr>
      <w:r>
        <w:rPr>
          <w:b/>
          <w:color w:val="231F20"/>
          <w:spacing w:val="3"/>
          <w:w w:val="110"/>
          <w:sz w:val="18"/>
        </w:rPr>
        <w:t>RACIAL </w:t>
      </w:r>
      <w:r>
        <w:rPr>
          <w:b/>
          <w:color w:val="231F20"/>
          <w:w w:val="110"/>
          <w:sz w:val="18"/>
        </w:rPr>
        <w:t>JUSTICE and MULTICULTURAL</w:t>
      </w:r>
      <w:r>
        <w:rPr>
          <w:b/>
          <w:color w:val="231F20"/>
          <w:spacing w:val="1"/>
          <w:w w:val="110"/>
          <w:sz w:val="18"/>
        </w:rPr>
        <w:t> </w:t>
      </w:r>
      <w:r>
        <w:rPr>
          <w:b/>
          <w:color w:val="231F20"/>
          <w:w w:val="110"/>
          <w:sz w:val="18"/>
        </w:rPr>
        <w:t>MINISTRY</w:t>
      </w:r>
    </w:p>
    <w:p>
      <w:pPr>
        <w:pStyle w:val="BodyText"/>
        <w:spacing w:line="273" w:lineRule="auto" w:before="32"/>
        <w:ind w:left="1240" w:right="5623"/>
      </w:pPr>
      <w:r>
        <w:rPr>
          <w:color w:val="231F20"/>
          <w:w w:val="110"/>
        </w:rPr>
        <w:t>Convener: Revd Carla Grosch Miller [2011] Secretary: Secretary for Racial Justice</w:t>
      </w:r>
    </w:p>
    <w:p>
      <w:pPr>
        <w:pStyle w:val="BodyText"/>
        <w:tabs>
          <w:tab w:pos="4600" w:val="left" w:leader="none"/>
          <w:tab w:pos="7205" w:val="left" w:leader="none"/>
        </w:tabs>
        <w:spacing w:line="273" w:lineRule="auto" w:before="1"/>
        <w:ind w:left="1240" w:right="1098" w:hanging="1"/>
      </w:pPr>
      <w:r>
        <w:rPr>
          <w:color w:val="231F20"/>
          <w:w w:val="110"/>
        </w:rPr>
        <w:t>Revd Helga</w:t>
      </w:r>
      <w:r>
        <w:rPr>
          <w:color w:val="231F20"/>
          <w:spacing w:val="15"/>
          <w:w w:val="110"/>
        </w:rPr>
        <w:t> </w:t>
      </w:r>
      <w:r>
        <w:rPr>
          <w:color w:val="231F20"/>
          <w:w w:val="110"/>
        </w:rPr>
        <w:t>Cornell</w:t>
      </w:r>
      <w:r>
        <w:rPr>
          <w:color w:val="231F20"/>
          <w:spacing w:val="8"/>
          <w:w w:val="110"/>
        </w:rPr>
        <w:t> </w:t>
      </w:r>
      <w:r>
        <w:rPr>
          <w:color w:val="231F20"/>
          <w:w w:val="110"/>
        </w:rPr>
        <w:t>[2008]</w:t>
        <w:tab/>
      </w:r>
      <w:r>
        <w:rPr>
          <w:color w:val="231F20"/>
          <w:spacing w:val="2"/>
          <w:w w:val="110"/>
        </w:rPr>
        <w:t>Mrs </w:t>
      </w:r>
      <w:r>
        <w:rPr>
          <w:color w:val="231F20"/>
          <w:w w:val="110"/>
        </w:rPr>
        <w:t>Pat</w:t>
      </w:r>
      <w:r>
        <w:rPr>
          <w:color w:val="231F20"/>
          <w:spacing w:val="6"/>
          <w:w w:val="110"/>
        </w:rPr>
        <w:t> </w:t>
      </w:r>
      <w:r>
        <w:rPr>
          <w:color w:val="231F20"/>
          <w:w w:val="110"/>
        </w:rPr>
        <w:t>Poinen</w:t>
      </w:r>
      <w:r>
        <w:rPr>
          <w:color w:val="231F20"/>
          <w:spacing w:val="4"/>
          <w:w w:val="110"/>
        </w:rPr>
        <w:t> </w:t>
      </w:r>
      <w:r>
        <w:rPr>
          <w:color w:val="231F20"/>
          <w:w w:val="110"/>
        </w:rPr>
        <w:t>[2009]</w:t>
        <w:tab/>
        <w:t>Revd Rosemary Tusting [2009] Dr </w:t>
      </w:r>
      <w:r>
        <w:rPr>
          <w:color w:val="231F20"/>
          <w:spacing w:val="2"/>
          <w:w w:val="110"/>
        </w:rPr>
        <w:t>Ben</w:t>
      </w:r>
      <w:r>
        <w:rPr>
          <w:color w:val="231F20"/>
          <w:spacing w:val="16"/>
          <w:w w:val="110"/>
        </w:rPr>
        <w:t> </w:t>
      </w:r>
      <w:r>
        <w:rPr>
          <w:color w:val="231F20"/>
          <w:w w:val="110"/>
        </w:rPr>
        <w:t>Makepeace</w:t>
      </w:r>
      <w:r>
        <w:rPr>
          <w:color w:val="231F20"/>
          <w:spacing w:val="9"/>
          <w:w w:val="110"/>
        </w:rPr>
        <w:t> </w:t>
      </w:r>
      <w:r>
        <w:rPr>
          <w:color w:val="231F20"/>
          <w:spacing w:val="-6"/>
          <w:w w:val="110"/>
        </w:rPr>
        <w:t>[2010]</w:t>
        <w:tab/>
      </w:r>
      <w:r>
        <w:rPr>
          <w:color w:val="231F20"/>
          <w:spacing w:val="2"/>
          <w:w w:val="110"/>
        </w:rPr>
        <w:t>Mrs </w:t>
      </w:r>
      <w:r>
        <w:rPr>
          <w:color w:val="231F20"/>
          <w:w w:val="110"/>
        </w:rPr>
        <w:t>Heather Al-Jawad **</w:t>
      </w:r>
      <w:r>
        <w:rPr>
          <w:color w:val="231F20"/>
          <w:spacing w:val="3"/>
          <w:w w:val="110"/>
        </w:rPr>
        <w:t> </w:t>
      </w:r>
      <w:r>
        <w:rPr>
          <w:color w:val="231F20"/>
          <w:spacing w:val="-8"/>
          <w:w w:val="110"/>
        </w:rPr>
        <w:t>[2011]</w:t>
      </w:r>
    </w:p>
    <w:p>
      <w:pPr>
        <w:pStyle w:val="BodyText"/>
        <w:spacing w:before="1"/>
        <w:ind w:left="1240"/>
      </w:pPr>
      <w:r>
        <w:rPr>
          <w:color w:val="231F20"/>
          <w:w w:val="110"/>
        </w:rPr>
        <w:t>Revd Naison Hove ** [2011]</w:t>
      </w:r>
    </w:p>
    <w:p>
      <w:pPr>
        <w:pStyle w:val="BodyText"/>
        <w:spacing w:before="2"/>
        <w:rPr>
          <w:sz w:val="23"/>
        </w:rPr>
      </w:pPr>
    </w:p>
    <w:p>
      <w:pPr>
        <w:numPr>
          <w:ilvl w:val="1"/>
          <w:numId w:val="57"/>
        </w:numPr>
        <w:tabs>
          <w:tab w:pos="1960" w:val="left" w:leader="none"/>
          <w:tab w:pos="1961" w:val="left" w:leader="none"/>
        </w:tabs>
        <w:spacing w:before="0"/>
        <w:ind w:left="1960" w:right="0" w:hanging="721"/>
        <w:jc w:val="left"/>
        <w:rPr>
          <w:b/>
          <w:sz w:val="18"/>
        </w:rPr>
      </w:pPr>
      <w:r>
        <w:rPr>
          <w:b/>
          <w:color w:val="231F20"/>
          <w:w w:val="110"/>
          <w:sz w:val="18"/>
        </w:rPr>
        <w:t>EDUCATION AND LEARNING</w:t>
      </w:r>
    </w:p>
    <w:p>
      <w:pPr>
        <w:pStyle w:val="BodyText"/>
        <w:spacing w:line="273" w:lineRule="auto" w:before="31"/>
        <w:ind w:left="1240" w:right="4783"/>
      </w:pPr>
      <w:r>
        <w:rPr>
          <w:color w:val="231F20"/>
          <w:w w:val="110"/>
        </w:rPr>
        <w:t>Convener: Professor Malcolm Johnson [2011] Secretary: The Secretary for Education and Learning</w:t>
      </w:r>
    </w:p>
    <w:p>
      <w:pPr>
        <w:pStyle w:val="BodyText"/>
        <w:tabs>
          <w:tab w:pos="4600" w:val="left" w:leader="none"/>
          <w:tab w:pos="7560" w:val="left" w:leader="none"/>
        </w:tabs>
        <w:spacing w:line="273" w:lineRule="auto" w:before="1"/>
        <w:ind w:left="1240" w:right="884"/>
      </w:pPr>
      <w:r>
        <w:rPr>
          <w:color w:val="231F20"/>
          <w:spacing w:val="-3"/>
          <w:w w:val="110"/>
        </w:rPr>
        <w:t>Revd </w:t>
      </w:r>
      <w:r>
        <w:rPr>
          <w:color w:val="231F20"/>
          <w:w w:val="110"/>
        </w:rPr>
        <w:t>Rachel</w:t>
      </w:r>
      <w:r>
        <w:rPr>
          <w:color w:val="231F20"/>
          <w:spacing w:val="-23"/>
          <w:w w:val="110"/>
        </w:rPr>
        <w:t> </w:t>
      </w:r>
      <w:r>
        <w:rPr>
          <w:color w:val="231F20"/>
          <w:w w:val="110"/>
        </w:rPr>
        <w:t>Poolman</w:t>
      </w:r>
      <w:r>
        <w:rPr>
          <w:color w:val="231F20"/>
          <w:spacing w:val="-12"/>
          <w:w w:val="110"/>
        </w:rPr>
        <w:t> </w:t>
      </w:r>
      <w:r>
        <w:rPr>
          <w:color w:val="231F20"/>
          <w:spacing w:val="-3"/>
          <w:w w:val="110"/>
        </w:rPr>
        <w:t>[2008]</w:t>
        <w:tab/>
        <w:t>Revd </w:t>
      </w:r>
      <w:r>
        <w:rPr>
          <w:color w:val="231F20"/>
          <w:w w:val="110"/>
        </w:rPr>
        <w:t>Richard Church </w:t>
      </w:r>
      <w:r>
        <w:rPr>
          <w:color w:val="231F20"/>
          <w:spacing w:val="-3"/>
          <w:w w:val="110"/>
        </w:rPr>
        <w:t>[2008] Revd </w:t>
      </w:r>
      <w:r>
        <w:rPr>
          <w:color w:val="231F20"/>
          <w:w w:val="110"/>
        </w:rPr>
        <w:t>Dr John Campbell</w:t>
      </w:r>
      <w:r>
        <w:rPr>
          <w:color w:val="231F20"/>
          <w:spacing w:val="-40"/>
          <w:w w:val="110"/>
        </w:rPr>
        <w:t> </w:t>
      </w:r>
      <w:r>
        <w:rPr>
          <w:color w:val="231F20"/>
          <w:spacing w:val="-4"/>
          <w:w w:val="110"/>
        </w:rPr>
        <w:t>[2009] </w:t>
      </w:r>
      <w:r>
        <w:rPr>
          <w:color w:val="231F20"/>
          <w:w w:val="110"/>
        </w:rPr>
        <w:t>Mr John</w:t>
      </w:r>
      <w:r>
        <w:rPr>
          <w:color w:val="231F20"/>
          <w:spacing w:val="12"/>
          <w:w w:val="110"/>
        </w:rPr>
        <w:t> </w:t>
      </w:r>
      <w:r>
        <w:rPr>
          <w:color w:val="231F20"/>
          <w:w w:val="110"/>
        </w:rPr>
        <w:t>Saunders</w:t>
      </w:r>
      <w:r>
        <w:rPr>
          <w:color w:val="231F20"/>
          <w:spacing w:val="7"/>
          <w:w w:val="110"/>
        </w:rPr>
        <w:t> </w:t>
      </w:r>
      <w:r>
        <w:rPr>
          <w:color w:val="231F20"/>
          <w:w w:val="110"/>
        </w:rPr>
        <w:t>[2009]</w:t>
        <w:tab/>
        <w:t>Revd John</w:t>
      </w:r>
      <w:r>
        <w:rPr>
          <w:color w:val="231F20"/>
          <w:spacing w:val="13"/>
          <w:w w:val="110"/>
        </w:rPr>
        <w:t> </w:t>
      </w:r>
      <w:r>
        <w:rPr>
          <w:color w:val="231F20"/>
          <w:w w:val="110"/>
        </w:rPr>
        <w:t>Smith</w:t>
      </w:r>
      <w:r>
        <w:rPr>
          <w:color w:val="231F20"/>
          <w:spacing w:val="7"/>
          <w:w w:val="110"/>
        </w:rPr>
        <w:t> </w:t>
      </w:r>
      <w:r>
        <w:rPr>
          <w:color w:val="231F20"/>
          <w:spacing w:val="-6"/>
          <w:w w:val="110"/>
        </w:rPr>
        <w:t>[2010]</w:t>
        <w:tab/>
      </w:r>
      <w:r>
        <w:rPr>
          <w:color w:val="231F20"/>
          <w:w w:val="110"/>
        </w:rPr>
        <w:t>Revd Ruth Allen</w:t>
      </w:r>
      <w:r>
        <w:rPr>
          <w:color w:val="231F20"/>
          <w:spacing w:val="8"/>
          <w:w w:val="110"/>
        </w:rPr>
        <w:t> </w:t>
      </w:r>
      <w:r>
        <w:rPr>
          <w:color w:val="231F20"/>
          <w:spacing w:val="-6"/>
          <w:w w:val="110"/>
        </w:rPr>
        <w:t>[2010]</w:t>
      </w:r>
    </w:p>
    <w:p>
      <w:pPr>
        <w:pStyle w:val="BodyText"/>
        <w:tabs>
          <w:tab w:pos="4600" w:val="left" w:leader="none"/>
        </w:tabs>
        <w:spacing w:line="273" w:lineRule="auto" w:before="1"/>
        <w:ind w:left="1240" w:right="4039"/>
      </w:pPr>
      <w:r>
        <w:rPr>
          <w:color w:val="231F20"/>
          <w:w w:val="110"/>
        </w:rPr>
        <w:t>Mr Clive</w:t>
      </w:r>
      <w:r>
        <w:rPr>
          <w:color w:val="231F20"/>
          <w:spacing w:val="18"/>
          <w:w w:val="110"/>
        </w:rPr>
        <w:t> </w:t>
      </w:r>
      <w:r>
        <w:rPr>
          <w:color w:val="231F20"/>
          <w:w w:val="110"/>
        </w:rPr>
        <w:t>Parsons</w:t>
      </w:r>
      <w:r>
        <w:rPr>
          <w:color w:val="231F20"/>
          <w:spacing w:val="9"/>
          <w:w w:val="110"/>
        </w:rPr>
        <w:t> </w:t>
      </w:r>
      <w:r>
        <w:rPr>
          <w:color w:val="231F20"/>
          <w:spacing w:val="-6"/>
          <w:w w:val="110"/>
        </w:rPr>
        <w:t>[2010]</w:t>
        <w:tab/>
      </w:r>
      <w:r>
        <w:rPr>
          <w:color w:val="231F20"/>
          <w:spacing w:val="2"/>
          <w:w w:val="110"/>
        </w:rPr>
        <w:t>Mrs </w:t>
      </w:r>
      <w:r>
        <w:rPr>
          <w:color w:val="231F20"/>
          <w:w w:val="110"/>
        </w:rPr>
        <w:t>Carol Durose ** </w:t>
      </w:r>
      <w:r>
        <w:rPr>
          <w:color w:val="231F20"/>
          <w:spacing w:val="-10"/>
          <w:w w:val="110"/>
        </w:rPr>
        <w:t>[2011] </w:t>
      </w:r>
      <w:r>
        <w:rPr>
          <w:color w:val="231F20"/>
          <w:w w:val="110"/>
        </w:rPr>
        <w:t>Revd Dr </w:t>
      </w:r>
      <w:r>
        <w:rPr>
          <w:color w:val="231F20"/>
          <w:spacing w:val="2"/>
          <w:w w:val="110"/>
        </w:rPr>
        <w:t>Robert </w:t>
      </w:r>
      <w:r>
        <w:rPr>
          <w:color w:val="231F20"/>
          <w:w w:val="110"/>
        </w:rPr>
        <w:t>Pope **</w:t>
      </w:r>
      <w:r>
        <w:rPr>
          <w:color w:val="231F20"/>
          <w:spacing w:val="4"/>
          <w:w w:val="110"/>
        </w:rPr>
        <w:t> </w:t>
      </w:r>
      <w:r>
        <w:rPr>
          <w:color w:val="231F20"/>
          <w:spacing w:val="-8"/>
          <w:w w:val="110"/>
        </w:rPr>
        <w:t>[2011]</w:t>
      </w:r>
    </w:p>
    <w:p>
      <w:pPr>
        <w:pStyle w:val="BodyText"/>
        <w:spacing w:before="8"/>
        <w:rPr>
          <w:sz w:val="20"/>
        </w:rPr>
      </w:pPr>
    </w:p>
    <w:p>
      <w:pPr>
        <w:pStyle w:val="ListParagraph"/>
        <w:numPr>
          <w:ilvl w:val="1"/>
          <w:numId w:val="57"/>
        </w:numPr>
        <w:tabs>
          <w:tab w:pos="1960" w:val="left" w:leader="none"/>
          <w:tab w:pos="1961" w:val="left" w:leader="none"/>
        </w:tabs>
        <w:spacing w:line="273" w:lineRule="auto" w:before="1" w:after="0"/>
        <w:ind w:left="1240" w:right="5881" w:hanging="1"/>
        <w:jc w:val="left"/>
        <w:rPr>
          <w:sz w:val="18"/>
        </w:rPr>
      </w:pPr>
      <w:r>
        <w:rPr>
          <w:b/>
          <w:color w:val="231F20"/>
          <w:w w:val="110"/>
          <w:sz w:val="18"/>
        </w:rPr>
        <w:t>YOUTH AND CHILDREN’S WORK </w:t>
      </w:r>
      <w:r>
        <w:rPr>
          <w:color w:val="231F20"/>
          <w:w w:val="110"/>
          <w:sz w:val="18"/>
        </w:rPr>
        <w:t>Convener: Revd Neil </w:t>
      </w:r>
      <w:r>
        <w:rPr>
          <w:color w:val="231F20"/>
          <w:spacing w:val="2"/>
          <w:w w:val="110"/>
          <w:sz w:val="18"/>
        </w:rPr>
        <w:t>Thorogood </w:t>
      </w:r>
      <w:r>
        <w:rPr>
          <w:color w:val="231F20"/>
          <w:spacing w:val="-6"/>
          <w:w w:val="110"/>
          <w:sz w:val="18"/>
        </w:rPr>
        <w:t>[2010] </w:t>
      </w:r>
      <w:r>
        <w:rPr>
          <w:color w:val="231F20"/>
          <w:spacing w:val="2"/>
          <w:w w:val="110"/>
          <w:sz w:val="18"/>
        </w:rPr>
        <w:t>Secretary: </w:t>
      </w:r>
      <w:r>
        <w:rPr>
          <w:color w:val="231F20"/>
          <w:w w:val="110"/>
          <w:sz w:val="18"/>
        </w:rPr>
        <w:t>Revd Steven Faber</w:t>
      </w:r>
      <w:r>
        <w:rPr>
          <w:color w:val="231F20"/>
          <w:spacing w:val="9"/>
          <w:w w:val="110"/>
          <w:sz w:val="18"/>
        </w:rPr>
        <w:t> </w:t>
      </w:r>
      <w:r>
        <w:rPr>
          <w:color w:val="231F20"/>
          <w:w w:val="110"/>
          <w:sz w:val="18"/>
        </w:rPr>
        <w:t>[2008]</w:t>
      </w:r>
    </w:p>
    <w:p>
      <w:pPr>
        <w:pStyle w:val="BodyText"/>
        <w:tabs>
          <w:tab w:pos="4600" w:val="left" w:leader="none"/>
          <w:tab w:pos="7560" w:val="left" w:leader="none"/>
        </w:tabs>
        <w:spacing w:line="273" w:lineRule="auto" w:before="1"/>
        <w:ind w:left="1240" w:right="1056"/>
      </w:pPr>
      <w:r>
        <w:rPr>
          <w:color w:val="231F20"/>
          <w:w w:val="110"/>
        </w:rPr>
        <w:t>Revd Tim</w:t>
      </w:r>
      <w:r>
        <w:rPr>
          <w:color w:val="231F20"/>
          <w:spacing w:val="10"/>
          <w:w w:val="110"/>
        </w:rPr>
        <w:t> </w:t>
      </w:r>
      <w:r>
        <w:rPr>
          <w:color w:val="231F20"/>
          <w:w w:val="110"/>
        </w:rPr>
        <w:t>Meachin</w:t>
      </w:r>
      <w:r>
        <w:rPr>
          <w:color w:val="231F20"/>
          <w:spacing w:val="6"/>
          <w:w w:val="110"/>
        </w:rPr>
        <w:t> </w:t>
      </w:r>
      <w:r>
        <w:rPr>
          <w:color w:val="231F20"/>
          <w:w w:val="110"/>
        </w:rPr>
        <w:t>[2008]</w:t>
        <w:tab/>
        <w:t>Revd Sian</w:t>
      </w:r>
      <w:r>
        <w:rPr>
          <w:color w:val="231F20"/>
          <w:spacing w:val="4"/>
          <w:w w:val="110"/>
        </w:rPr>
        <w:t> </w:t>
      </w:r>
      <w:r>
        <w:rPr>
          <w:color w:val="231F20"/>
          <w:w w:val="110"/>
        </w:rPr>
        <w:t>Collins</w:t>
      </w:r>
      <w:r>
        <w:rPr>
          <w:color w:val="231F20"/>
          <w:spacing w:val="3"/>
          <w:w w:val="110"/>
        </w:rPr>
        <w:t> </w:t>
      </w:r>
      <w:r>
        <w:rPr>
          <w:color w:val="231F20"/>
          <w:w w:val="110"/>
        </w:rPr>
        <w:t>[2009]</w:t>
        <w:tab/>
        <w:t>Revd </w:t>
      </w:r>
      <w:r>
        <w:rPr>
          <w:color w:val="231F20"/>
          <w:spacing w:val="2"/>
          <w:w w:val="110"/>
        </w:rPr>
        <w:t>Robert </w:t>
      </w:r>
      <w:r>
        <w:rPr>
          <w:color w:val="231F20"/>
          <w:w w:val="110"/>
        </w:rPr>
        <w:t>Weston [2009] Miss Rosemary Simmons </w:t>
      </w:r>
      <w:r>
        <w:rPr>
          <w:color w:val="231F20"/>
          <w:spacing w:val="-4"/>
          <w:w w:val="110"/>
        </w:rPr>
        <w:t>[2009]  </w:t>
      </w:r>
      <w:r>
        <w:rPr>
          <w:color w:val="231F20"/>
          <w:w w:val="110"/>
        </w:rPr>
        <w:t>Ms Ruth</w:t>
      </w:r>
      <w:r>
        <w:rPr>
          <w:color w:val="231F20"/>
          <w:spacing w:val="23"/>
          <w:w w:val="110"/>
        </w:rPr>
        <w:t> </w:t>
      </w:r>
      <w:r>
        <w:rPr>
          <w:color w:val="231F20"/>
          <w:w w:val="110"/>
        </w:rPr>
        <w:t>Hezlett</w:t>
      </w:r>
      <w:r>
        <w:rPr>
          <w:color w:val="231F20"/>
          <w:spacing w:val="6"/>
          <w:w w:val="110"/>
        </w:rPr>
        <w:t> </w:t>
      </w:r>
      <w:r>
        <w:rPr>
          <w:color w:val="231F20"/>
          <w:w w:val="110"/>
        </w:rPr>
        <w:t>[2009]</w:t>
        <w:tab/>
      </w:r>
      <w:r>
        <w:rPr>
          <w:color w:val="231F20"/>
          <w:spacing w:val="2"/>
          <w:w w:val="110"/>
        </w:rPr>
        <w:t>Mrs Rita Griffiths </w:t>
      </w:r>
      <w:r>
        <w:rPr>
          <w:color w:val="231F20"/>
          <w:w w:val="110"/>
        </w:rPr>
        <w:t>[2009] Revd Heather</w:t>
      </w:r>
      <w:r>
        <w:rPr>
          <w:color w:val="231F20"/>
          <w:spacing w:val="18"/>
          <w:w w:val="110"/>
        </w:rPr>
        <w:t> </w:t>
      </w:r>
      <w:r>
        <w:rPr>
          <w:color w:val="231F20"/>
          <w:w w:val="110"/>
        </w:rPr>
        <w:t>Whyte</w:t>
      </w:r>
      <w:r>
        <w:rPr>
          <w:color w:val="231F20"/>
          <w:spacing w:val="9"/>
          <w:w w:val="110"/>
        </w:rPr>
        <w:t> </w:t>
      </w:r>
      <w:r>
        <w:rPr>
          <w:color w:val="231F20"/>
          <w:spacing w:val="-6"/>
          <w:w w:val="110"/>
        </w:rPr>
        <w:t>[2010]</w:t>
        <w:tab/>
      </w:r>
      <w:r>
        <w:rPr>
          <w:color w:val="231F20"/>
          <w:w w:val="110"/>
        </w:rPr>
        <w:t>Mrs Anthea Coates ** </w:t>
      </w:r>
      <w:r>
        <w:rPr>
          <w:color w:val="231F20"/>
          <w:spacing w:val="-9"/>
          <w:w w:val="110"/>
        </w:rPr>
        <w:t>[2011]  </w:t>
      </w:r>
      <w:r>
        <w:rPr>
          <w:color w:val="231F20"/>
          <w:w w:val="110"/>
        </w:rPr>
        <w:t>Mr Chris Gill ** </w:t>
      </w:r>
      <w:r>
        <w:rPr>
          <w:color w:val="231F20"/>
          <w:spacing w:val="-8"/>
          <w:w w:val="110"/>
        </w:rPr>
        <w:t>[2011] </w:t>
      </w:r>
      <w:r>
        <w:rPr>
          <w:color w:val="231F20"/>
          <w:w w:val="110"/>
        </w:rPr>
        <w:t>FURY</w:t>
      </w:r>
      <w:r>
        <w:rPr>
          <w:color w:val="231F20"/>
          <w:spacing w:val="5"/>
          <w:w w:val="110"/>
        </w:rPr>
        <w:t> </w:t>
      </w:r>
      <w:r>
        <w:rPr>
          <w:color w:val="231F20"/>
          <w:w w:val="110"/>
        </w:rPr>
        <w:t>Chair</w:t>
        <w:tab/>
        <w:t>FURY Council</w:t>
      </w:r>
      <w:r>
        <w:rPr>
          <w:color w:val="231F20"/>
          <w:spacing w:val="2"/>
          <w:w w:val="110"/>
        </w:rPr>
        <w:t> </w:t>
      </w:r>
      <w:r>
        <w:rPr>
          <w:color w:val="231F20"/>
          <w:w w:val="110"/>
        </w:rPr>
        <w:t>Member</w:t>
      </w:r>
    </w:p>
    <w:p>
      <w:pPr>
        <w:pStyle w:val="BodyText"/>
        <w:spacing w:before="10"/>
        <w:rPr>
          <w:sz w:val="20"/>
        </w:rPr>
      </w:pPr>
    </w:p>
    <w:p>
      <w:pPr>
        <w:numPr>
          <w:ilvl w:val="2"/>
          <w:numId w:val="57"/>
        </w:numPr>
        <w:tabs>
          <w:tab w:pos="4600" w:val="left" w:leader="none"/>
          <w:tab w:pos="4601" w:val="left" w:leader="none"/>
        </w:tabs>
        <w:spacing w:before="0"/>
        <w:ind w:left="4600" w:right="0" w:hanging="3361"/>
        <w:jc w:val="left"/>
        <w:rPr>
          <w:b/>
          <w:sz w:val="18"/>
        </w:rPr>
      </w:pPr>
      <w:r>
        <w:rPr>
          <w:b/>
          <w:color w:val="231F20"/>
          <w:w w:val="110"/>
          <w:sz w:val="18"/>
        </w:rPr>
        <w:t>PILOTS MANAGEMENT Sub</w:t>
      </w:r>
      <w:r>
        <w:rPr>
          <w:b/>
          <w:color w:val="231F20"/>
          <w:spacing w:val="4"/>
          <w:w w:val="110"/>
          <w:sz w:val="18"/>
        </w:rPr>
        <w:t> </w:t>
      </w:r>
      <w:r>
        <w:rPr>
          <w:b/>
          <w:color w:val="231F20"/>
          <w:spacing w:val="2"/>
          <w:w w:val="110"/>
          <w:sz w:val="18"/>
        </w:rPr>
        <w:t>Committee</w:t>
      </w:r>
    </w:p>
    <w:p>
      <w:pPr>
        <w:spacing w:before="31"/>
        <w:ind w:left="1240" w:right="0" w:firstLine="0"/>
        <w:jc w:val="left"/>
        <w:rPr>
          <w:i/>
          <w:sz w:val="18"/>
        </w:rPr>
      </w:pPr>
      <w:r>
        <w:rPr>
          <w:color w:val="231F20"/>
          <w:w w:val="110"/>
          <w:sz w:val="18"/>
        </w:rPr>
        <w:t>Convener: </w:t>
      </w:r>
      <w:r>
        <w:rPr>
          <w:i/>
          <w:color w:val="231F20"/>
          <w:w w:val="110"/>
          <w:sz w:val="18"/>
        </w:rPr>
        <w:t>Vacancy</w:t>
      </w:r>
    </w:p>
    <w:p>
      <w:pPr>
        <w:pStyle w:val="BodyText"/>
        <w:spacing w:before="31"/>
        <w:ind w:left="1240"/>
      </w:pPr>
      <w:r>
        <w:rPr>
          <w:color w:val="231F20"/>
          <w:w w:val="110"/>
        </w:rPr>
        <w:t>Member: Mrs Denise Beckley [2010]</w:t>
      </w:r>
    </w:p>
    <w:p>
      <w:pPr>
        <w:pStyle w:val="BodyText"/>
        <w:spacing w:line="273" w:lineRule="auto" w:before="32"/>
        <w:ind w:left="1240" w:right="1365"/>
      </w:pPr>
      <w:r>
        <w:rPr>
          <w:color w:val="231F20"/>
          <w:w w:val="110"/>
        </w:rPr>
        <w:t>[Other members of the sub-committee are appointed by the Youth and Children’s Work Committee. The Congregational Federation also has two representatives.]</w:t>
      </w:r>
    </w:p>
    <w:p>
      <w:pPr>
        <w:pStyle w:val="BodyText"/>
        <w:spacing w:before="8"/>
        <w:rPr>
          <w:sz w:val="20"/>
        </w:rPr>
      </w:pPr>
    </w:p>
    <w:p>
      <w:pPr>
        <w:pStyle w:val="ListParagraph"/>
        <w:numPr>
          <w:ilvl w:val="1"/>
          <w:numId w:val="57"/>
        </w:numPr>
        <w:tabs>
          <w:tab w:pos="1960" w:val="left" w:leader="none"/>
          <w:tab w:pos="1961" w:val="left" w:leader="none"/>
        </w:tabs>
        <w:spacing w:line="273" w:lineRule="auto" w:before="0" w:after="0"/>
        <w:ind w:left="1240" w:right="4309" w:firstLine="0"/>
        <w:jc w:val="left"/>
        <w:rPr>
          <w:sz w:val="18"/>
        </w:rPr>
      </w:pPr>
      <w:r>
        <w:rPr>
          <w:b/>
          <w:color w:val="231F20"/>
          <w:w w:val="110"/>
          <w:sz w:val="18"/>
        </w:rPr>
        <w:t>DISCIPLINARY PROCESS – Commission Panel Convener: </w:t>
      </w:r>
      <w:r>
        <w:rPr>
          <w:color w:val="231F20"/>
          <w:spacing w:val="2"/>
          <w:w w:val="110"/>
          <w:sz w:val="18"/>
        </w:rPr>
        <w:t>Mrs </w:t>
      </w:r>
      <w:r>
        <w:rPr>
          <w:color w:val="231F20"/>
          <w:w w:val="110"/>
          <w:sz w:val="18"/>
        </w:rPr>
        <w:t>Helen Brown</w:t>
      </w:r>
      <w:r>
        <w:rPr>
          <w:color w:val="231F20"/>
          <w:spacing w:val="5"/>
          <w:w w:val="110"/>
          <w:sz w:val="18"/>
        </w:rPr>
        <w:t> </w:t>
      </w:r>
      <w:r>
        <w:rPr>
          <w:color w:val="231F20"/>
          <w:w w:val="110"/>
          <w:sz w:val="18"/>
        </w:rPr>
        <w:t>[2009]</w:t>
      </w:r>
    </w:p>
    <w:p>
      <w:pPr>
        <w:spacing w:before="1"/>
        <w:ind w:left="1240" w:right="0" w:firstLine="0"/>
        <w:jc w:val="left"/>
        <w:rPr>
          <w:sz w:val="18"/>
        </w:rPr>
      </w:pPr>
      <w:r>
        <w:rPr>
          <w:b/>
          <w:color w:val="231F20"/>
          <w:w w:val="110"/>
          <w:sz w:val="18"/>
        </w:rPr>
        <w:t>Deputy Convener</w:t>
      </w:r>
      <w:r>
        <w:rPr>
          <w:color w:val="231F20"/>
          <w:w w:val="110"/>
          <w:sz w:val="18"/>
        </w:rPr>
        <w:t>: Miss Kathleen Cross</w:t>
      </w:r>
    </w:p>
    <w:p>
      <w:pPr>
        <w:spacing w:before="31"/>
        <w:ind w:left="1240" w:right="0" w:firstLine="0"/>
        <w:jc w:val="left"/>
        <w:rPr>
          <w:sz w:val="18"/>
        </w:rPr>
      </w:pPr>
      <w:r>
        <w:rPr>
          <w:b/>
          <w:color w:val="231F20"/>
          <w:w w:val="110"/>
          <w:sz w:val="18"/>
        </w:rPr>
        <w:t>Secretary: </w:t>
      </w:r>
      <w:r>
        <w:rPr>
          <w:color w:val="231F20"/>
          <w:w w:val="110"/>
          <w:sz w:val="18"/>
        </w:rPr>
        <w:t>Mrs Wilma Frew [2011]</w:t>
      </w:r>
    </w:p>
    <w:p>
      <w:pPr>
        <w:pStyle w:val="BodyText"/>
        <w:spacing w:before="2"/>
        <w:rPr>
          <w:sz w:val="23"/>
        </w:rPr>
      </w:pPr>
    </w:p>
    <w:p>
      <w:pPr>
        <w:spacing w:before="0"/>
        <w:ind w:left="1240" w:right="0" w:firstLine="0"/>
        <w:jc w:val="left"/>
        <w:rPr>
          <w:b/>
          <w:sz w:val="18"/>
        </w:rPr>
      </w:pPr>
      <w:r>
        <w:rPr>
          <w:b/>
          <w:color w:val="231F20"/>
          <w:w w:val="110"/>
          <w:sz w:val="18"/>
        </w:rPr>
        <w:t>Members:</w:t>
      </w:r>
    </w:p>
    <w:p>
      <w:pPr>
        <w:pStyle w:val="BodyText"/>
        <w:spacing w:before="2"/>
        <w:rPr>
          <w:b/>
          <w:sz w:val="23"/>
        </w:rPr>
      </w:pPr>
    </w:p>
    <w:p>
      <w:pPr>
        <w:pStyle w:val="BodyText"/>
        <w:tabs>
          <w:tab w:pos="4100" w:val="left" w:leader="none"/>
          <w:tab w:pos="7040" w:val="left" w:leader="none"/>
        </w:tabs>
        <w:spacing w:line="273" w:lineRule="auto"/>
        <w:ind w:left="1240" w:right="2307"/>
      </w:pPr>
      <w:r>
        <w:rPr>
          <w:color w:val="231F20"/>
          <w:w w:val="110"/>
        </w:rPr>
        <w:t>Mr</w:t>
      </w:r>
      <w:r>
        <w:rPr>
          <w:color w:val="231F20"/>
          <w:spacing w:val="10"/>
          <w:w w:val="110"/>
        </w:rPr>
        <w:t> </w:t>
      </w:r>
      <w:r>
        <w:rPr>
          <w:color w:val="231F20"/>
          <w:w w:val="110"/>
        </w:rPr>
        <w:t>Martin</w:t>
      </w:r>
      <w:r>
        <w:rPr>
          <w:color w:val="231F20"/>
          <w:spacing w:val="10"/>
          <w:w w:val="110"/>
        </w:rPr>
        <w:t> </w:t>
      </w:r>
      <w:r>
        <w:rPr>
          <w:color w:val="231F20"/>
          <w:w w:val="110"/>
        </w:rPr>
        <w:t>Ballard</w:t>
        <w:tab/>
        <w:t>Miss Ina</w:t>
      </w:r>
      <w:r>
        <w:rPr>
          <w:color w:val="231F20"/>
          <w:spacing w:val="12"/>
          <w:w w:val="110"/>
        </w:rPr>
        <w:t> </w:t>
      </w:r>
      <w:r>
        <w:rPr>
          <w:color w:val="231F20"/>
          <w:w w:val="110"/>
        </w:rPr>
        <w:t>Barker</w:t>
      </w:r>
      <w:r>
        <w:rPr>
          <w:color w:val="231F20"/>
          <w:spacing w:val="5"/>
          <w:w w:val="110"/>
        </w:rPr>
        <w:t> </w:t>
      </w:r>
      <w:r>
        <w:rPr>
          <w:color w:val="231F20"/>
          <w:w w:val="110"/>
        </w:rPr>
        <w:t>†</w:t>
        <w:tab/>
        <w:t>Revd Wendy Baskett Revd</w:t>
      </w:r>
      <w:r>
        <w:rPr>
          <w:color w:val="231F20"/>
          <w:spacing w:val="4"/>
          <w:w w:val="110"/>
        </w:rPr>
        <w:t> </w:t>
      </w:r>
      <w:r>
        <w:rPr>
          <w:color w:val="231F20"/>
          <w:w w:val="110"/>
        </w:rPr>
        <w:t>David</w:t>
      </w:r>
      <w:r>
        <w:rPr>
          <w:color w:val="231F20"/>
          <w:spacing w:val="4"/>
          <w:w w:val="110"/>
        </w:rPr>
        <w:t> </w:t>
      </w:r>
      <w:r>
        <w:rPr>
          <w:color w:val="231F20"/>
          <w:spacing w:val="2"/>
          <w:w w:val="110"/>
        </w:rPr>
        <w:t>Bedford</w:t>
        <w:tab/>
      </w:r>
      <w:r>
        <w:rPr>
          <w:color w:val="231F20"/>
          <w:w w:val="110"/>
        </w:rPr>
        <w:t>Revd</w:t>
      </w:r>
      <w:r>
        <w:rPr>
          <w:color w:val="231F20"/>
          <w:spacing w:val="7"/>
          <w:w w:val="110"/>
        </w:rPr>
        <w:t> </w:t>
      </w:r>
      <w:r>
        <w:rPr>
          <w:color w:val="231F20"/>
          <w:w w:val="110"/>
        </w:rPr>
        <w:t>James</w:t>
      </w:r>
      <w:r>
        <w:rPr>
          <w:color w:val="231F20"/>
          <w:spacing w:val="8"/>
          <w:w w:val="110"/>
        </w:rPr>
        <w:t> </w:t>
      </w:r>
      <w:r>
        <w:rPr>
          <w:color w:val="231F20"/>
          <w:w w:val="110"/>
        </w:rPr>
        <w:t>Bolton</w:t>
        <w:tab/>
        <w:t>Revd Jim Brown Revd Ken</w:t>
      </w:r>
      <w:r>
        <w:rPr>
          <w:color w:val="231F20"/>
          <w:spacing w:val="9"/>
          <w:w w:val="110"/>
        </w:rPr>
        <w:t> </w:t>
      </w:r>
      <w:r>
        <w:rPr>
          <w:color w:val="231F20"/>
          <w:w w:val="110"/>
        </w:rPr>
        <w:t>Chippindale</w:t>
      </w:r>
      <w:r>
        <w:rPr>
          <w:color w:val="231F20"/>
          <w:spacing w:val="5"/>
          <w:w w:val="110"/>
        </w:rPr>
        <w:t> </w:t>
      </w:r>
      <w:r>
        <w:rPr>
          <w:color w:val="231F20"/>
          <w:w w:val="110"/>
        </w:rPr>
        <w:t>†</w:t>
        <w:tab/>
        <w:t>Mr</w:t>
      </w:r>
      <w:r>
        <w:rPr>
          <w:color w:val="231F20"/>
          <w:spacing w:val="9"/>
          <w:w w:val="110"/>
        </w:rPr>
        <w:t> </w:t>
      </w:r>
      <w:r>
        <w:rPr>
          <w:color w:val="231F20"/>
          <w:w w:val="110"/>
        </w:rPr>
        <w:t>Des</w:t>
      </w:r>
      <w:r>
        <w:rPr>
          <w:color w:val="231F20"/>
          <w:spacing w:val="9"/>
          <w:w w:val="110"/>
        </w:rPr>
        <w:t> </w:t>
      </w:r>
      <w:r>
        <w:rPr>
          <w:color w:val="231F20"/>
          <w:w w:val="110"/>
        </w:rPr>
        <w:t>Colechin</w:t>
        <w:tab/>
        <w:t>Revd </w:t>
      </w:r>
      <w:r>
        <w:rPr>
          <w:color w:val="231F20"/>
          <w:spacing w:val="2"/>
          <w:w w:val="110"/>
        </w:rPr>
        <w:t>Meryl</w:t>
      </w:r>
      <w:r>
        <w:rPr>
          <w:color w:val="231F20"/>
          <w:spacing w:val="6"/>
          <w:w w:val="110"/>
        </w:rPr>
        <w:t> </w:t>
      </w:r>
      <w:r>
        <w:rPr>
          <w:color w:val="231F20"/>
          <w:spacing w:val="2"/>
          <w:w w:val="110"/>
        </w:rPr>
        <w:t>Court</w:t>
      </w:r>
    </w:p>
    <w:p>
      <w:pPr>
        <w:pStyle w:val="BodyText"/>
        <w:tabs>
          <w:tab w:pos="4100" w:val="left" w:leader="none"/>
          <w:tab w:pos="7040" w:val="left" w:leader="none"/>
        </w:tabs>
        <w:spacing w:before="1"/>
        <w:ind w:left="1240"/>
      </w:pPr>
      <w:r>
        <w:rPr>
          <w:color w:val="231F20"/>
          <w:w w:val="110"/>
        </w:rPr>
        <w:t>Mr</w:t>
      </w:r>
      <w:r>
        <w:rPr>
          <w:color w:val="231F20"/>
          <w:spacing w:val="8"/>
          <w:w w:val="110"/>
        </w:rPr>
        <w:t> </w:t>
      </w:r>
      <w:r>
        <w:rPr>
          <w:color w:val="231F20"/>
          <w:w w:val="110"/>
        </w:rPr>
        <w:t>Derek</w:t>
      </w:r>
      <w:r>
        <w:rPr>
          <w:color w:val="231F20"/>
          <w:spacing w:val="9"/>
          <w:w w:val="110"/>
        </w:rPr>
        <w:t> </w:t>
      </w:r>
      <w:r>
        <w:rPr>
          <w:color w:val="231F20"/>
          <w:w w:val="110"/>
        </w:rPr>
        <w:t>Craig</w:t>
        <w:tab/>
        <w:t>Miss</w:t>
      </w:r>
      <w:r>
        <w:rPr>
          <w:color w:val="231F20"/>
          <w:spacing w:val="10"/>
          <w:w w:val="110"/>
        </w:rPr>
        <w:t> </w:t>
      </w:r>
      <w:r>
        <w:rPr>
          <w:color w:val="231F20"/>
          <w:w w:val="110"/>
        </w:rPr>
        <w:t>Kathleen</w:t>
      </w:r>
      <w:r>
        <w:rPr>
          <w:color w:val="231F20"/>
          <w:spacing w:val="10"/>
          <w:w w:val="110"/>
        </w:rPr>
        <w:t> </w:t>
      </w:r>
      <w:r>
        <w:rPr>
          <w:color w:val="231F20"/>
          <w:spacing w:val="2"/>
          <w:w w:val="110"/>
        </w:rPr>
        <w:t>Cross</w:t>
        <w:tab/>
      </w:r>
      <w:r>
        <w:rPr>
          <w:color w:val="231F20"/>
          <w:w w:val="110"/>
        </w:rPr>
        <w:t>Revd Alison Davis</w:t>
      </w:r>
      <w:r>
        <w:rPr>
          <w:color w:val="231F20"/>
          <w:spacing w:val="20"/>
          <w:w w:val="110"/>
        </w:rPr>
        <w:t> </w:t>
      </w:r>
      <w:r>
        <w:rPr>
          <w:color w:val="231F20"/>
          <w:w w:val="110"/>
        </w:rPr>
        <w:t>†</w:t>
      </w:r>
    </w:p>
    <w:p>
      <w:pPr>
        <w:pStyle w:val="BodyText"/>
        <w:tabs>
          <w:tab w:pos="4100" w:val="left" w:leader="none"/>
          <w:tab w:pos="7040" w:val="left" w:leader="none"/>
        </w:tabs>
        <w:spacing w:line="273" w:lineRule="auto" w:before="32"/>
        <w:ind w:left="1240" w:right="1557"/>
        <w:jc w:val="both"/>
      </w:pPr>
      <w:r>
        <w:rPr>
          <w:color w:val="231F20"/>
          <w:w w:val="110"/>
        </w:rPr>
        <w:t>Revd John Du</w:t>
      </w:r>
      <w:r>
        <w:rPr>
          <w:color w:val="231F20"/>
          <w:spacing w:val="13"/>
          <w:w w:val="110"/>
        </w:rPr>
        <w:t> </w:t>
      </w:r>
      <w:r>
        <w:rPr>
          <w:color w:val="231F20"/>
          <w:w w:val="110"/>
        </w:rPr>
        <w:t>Bois</w:t>
      </w:r>
      <w:r>
        <w:rPr>
          <w:color w:val="231F20"/>
          <w:spacing w:val="5"/>
          <w:w w:val="110"/>
        </w:rPr>
        <w:t> </w:t>
      </w:r>
      <w:r>
        <w:rPr>
          <w:color w:val="231F20"/>
          <w:w w:val="110"/>
        </w:rPr>
        <w:t>†</w:t>
        <w:tab/>
        <w:t>Mr</w:t>
      </w:r>
      <w:r>
        <w:rPr>
          <w:color w:val="231F20"/>
          <w:spacing w:val="7"/>
          <w:w w:val="110"/>
        </w:rPr>
        <w:t> </w:t>
      </w:r>
      <w:r>
        <w:rPr>
          <w:color w:val="231F20"/>
          <w:w w:val="110"/>
        </w:rPr>
        <w:t>David</w:t>
      </w:r>
      <w:r>
        <w:rPr>
          <w:color w:val="231F20"/>
          <w:spacing w:val="8"/>
          <w:w w:val="110"/>
        </w:rPr>
        <w:t> </w:t>
      </w:r>
      <w:r>
        <w:rPr>
          <w:color w:val="231F20"/>
          <w:w w:val="110"/>
        </w:rPr>
        <w:t>Eldridge</w:t>
        <w:tab/>
        <w:t>Revd Joan Grindod-Helmn † Mr</w:t>
      </w:r>
      <w:r>
        <w:rPr>
          <w:color w:val="231F20"/>
          <w:spacing w:val="6"/>
          <w:w w:val="110"/>
        </w:rPr>
        <w:t> </w:t>
      </w:r>
      <w:r>
        <w:rPr>
          <w:color w:val="231F20"/>
          <w:w w:val="110"/>
        </w:rPr>
        <w:t>Peter</w:t>
      </w:r>
      <w:r>
        <w:rPr>
          <w:color w:val="231F20"/>
          <w:spacing w:val="7"/>
          <w:w w:val="110"/>
        </w:rPr>
        <w:t> </w:t>
      </w:r>
      <w:r>
        <w:rPr>
          <w:color w:val="231F20"/>
          <w:w w:val="110"/>
        </w:rPr>
        <w:t>Jolly</w:t>
        <w:tab/>
      </w:r>
      <w:r>
        <w:rPr>
          <w:color w:val="231F20"/>
          <w:spacing w:val="2"/>
          <w:w w:val="110"/>
        </w:rPr>
        <w:t>Mrs </w:t>
      </w:r>
      <w:r>
        <w:rPr>
          <w:color w:val="231F20"/>
          <w:w w:val="110"/>
        </w:rPr>
        <w:t>Barbara </w:t>
      </w:r>
      <w:r>
        <w:rPr>
          <w:color w:val="231F20"/>
          <w:spacing w:val="2"/>
          <w:w w:val="110"/>
        </w:rPr>
        <w:t>Lancaster   </w:t>
      </w:r>
      <w:r>
        <w:rPr>
          <w:color w:val="231F20"/>
          <w:w w:val="110"/>
        </w:rPr>
        <w:t>Miss Elizabeth Lawson QC † Revd Nanette Lewis-Head    Dr</w:t>
      </w:r>
      <w:r>
        <w:rPr>
          <w:color w:val="231F20"/>
          <w:spacing w:val="24"/>
          <w:w w:val="110"/>
        </w:rPr>
        <w:t> </w:t>
      </w:r>
      <w:r>
        <w:rPr>
          <w:color w:val="231F20"/>
          <w:w w:val="110"/>
        </w:rPr>
        <w:t>Fiona</w:t>
      </w:r>
      <w:r>
        <w:rPr>
          <w:color w:val="231F20"/>
          <w:spacing w:val="9"/>
          <w:w w:val="110"/>
        </w:rPr>
        <w:t> </w:t>
      </w:r>
      <w:r>
        <w:rPr>
          <w:color w:val="231F20"/>
          <w:w w:val="110"/>
        </w:rPr>
        <w:t>Liddell</w:t>
        <w:tab/>
        <w:t>Revd Julian Macro</w:t>
      </w:r>
      <w:r>
        <w:rPr>
          <w:color w:val="231F20"/>
          <w:spacing w:val="6"/>
          <w:w w:val="110"/>
        </w:rPr>
        <w:t> </w:t>
      </w:r>
      <w:r>
        <w:rPr>
          <w:color w:val="231F20"/>
          <w:w w:val="110"/>
        </w:rPr>
        <w:t>†</w:t>
      </w:r>
    </w:p>
    <w:p>
      <w:pPr>
        <w:pStyle w:val="BodyText"/>
        <w:tabs>
          <w:tab w:pos="4100" w:val="left" w:leader="none"/>
          <w:tab w:pos="7040" w:val="left" w:leader="none"/>
        </w:tabs>
        <w:spacing w:line="273" w:lineRule="auto" w:before="2"/>
        <w:ind w:left="1240" w:right="2601"/>
        <w:jc w:val="both"/>
      </w:pPr>
      <w:r>
        <w:rPr>
          <w:color w:val="231F20"/>
          <w:spacing w:val="2"/>
          <w:w w:val="110"/>
        </w:rPr>
        <w:t>Mrs</w:t>
      </w:r>
      <w:r>
        <w:rPr>
          <w:color w:val="231F20"/>
          <w:spacing w:val="10"/>
          <w:w w:val="110"/>
        </w:rPr>
        <w:t> </w:t>
      </w:r>
      <w:r>
        <w:rPr>
          <w:color w:val="231F20"/>
          <w:w w:val="110"/>
        </w:rPr>
        <w:t>Barbara</w:t>
      </w:r>
      <w:r>
        <w:rPr>
          <w:color w:val="231F20"/>
          <w:spacing w:val="11"/>
          <w:w w:val="110"/>
        </w:rPr>
        <w:t> </w:t>
      </w:r>
      <w:r>
        <w:rPr>
          <w:color w:val="231F20"/>
          <w:w w:val="110"/>
        </w:rPr>
        <w:t>Madge</w:t>
        <w:tab/>
        <w:t>Revd</w:t>
      </w:r>
      <w:r>
        <w:rPr>
          <w:color w:val="231F20"/>
          <w:spacing w:val="7"/>
          <w:w w:val="110"/>
        </w:rPr>
        <w:t> </w:t>
      </w:r>
      <w:r>
        <w:rPr>
          <w:color w:val="231F20"/>
          <w:w w:val="110"/>
        </w:rPr>
        <w:t>Nicholas</w:t>
      </w:r>
      <w:r>
        <w:rPr>
          <w:color w:val="231F20"/>
          <w:spacing w:val="7"/>
          <w:w w:val="110"/>
        </w:rPr>
        <w:t> </w:t>
      </w:r>
      <w:r>
        <w:rPr>
          <w:color w:val="231F20"/>
          <w:w w:val="110"/>
        </w:rPr>
        <w:t>Mark</w:t>
        <w:tab/>
      </w:r>
      <w:r>
        <w:rPr>
          <w:color w:val="231F20"/>
          <w:spacing w:val="2"/>
          <w:w w:val="110"/>
        </w:rPr>
        <w:t>Mrs </w:t>
      </w:r>
      <w:r>
        <w:rPr>
          <w:color w:val="231F20"/>
          <w:w w:val="110"/>
        </w:rPr>
        <w:t>Jean McAslan Dr</w:t>
      </w:r>
      <w:r>
        <w:rPr>
          <w:color w:val="231F20"/>
          <w:spacing w:val="5"/>
          <w:w w:val="110"/>
        </w:rPr>
        <w:t> </w:t>
      </w:r>
      <w:r>
        <w:rPr>
          <w:color w:val="231F20"/>
          <w:w w:val="110"/>
        </w:rPr>
        <w:t>Jim</w:t>
      </w:r>
      <w:r>
        <w:rPr>
          <w:color w:val="231F20"/>
          <w:spacing w:val="5"/>
          <w:w w:val="110"/>
        </w:rPr>
        <w:t> </w:t>
      </w:r>
      <w:r>
        <w:rPr>
          <w:color w:val="231F20"/>
          <w:spacing w:val="2"/>
          <w:w w:val="110"/>
        </w:rPr>
        <w:t>Merrilees</w:t>
        <w:tab/>
      </w:r>
      <w:r>
        <w:rPr>
          <w:color w:val="231F20"/>
          <w:w w:val="110"/>
        </w:rPr>
        <w:t>Mr</w:t>
      </w:r>
      <w:r>
        <w:rPr>
          <w:color w:val="231F20"/>
          <w:spacing w:val="5"/>
          <w:w w:val="110"/>
        </w:rPr>
        <w:t> </w:t>
      </w:r>
      <w:r>
        <w:rPr>
          <w:color w:val="231F20"/>
          <w:spacing w:val="3"/>
          <w:w w:val="110"/>
        </w:rPr>
        <w:t>Geoff</w:t>
      </w:r>
      <w:r>
        <w:rPr>
          <w:color w:val="231F20"/>
          <w:spacing w:val="6"/>
          <w:w w:val="110"/>
        </w:rPr>
        <w:t> </w:t>
      </w:r>
      <w:r>
        <w:rPr>
          <w:color w:val="231F20"/>
          <w:w w:val="110"/>
        </w:rPr>
        <w:t>Milnes</w:t>
        <w:tab/>
        <w:t>Revd David Pattie Revd</w:t>
      </w:r>
      <w:r>
        <w:rPr>
          <w:color w:val="231F20"/>
          <w:spacing w:val="9"/>
          <w:w w:val="110"/>
        </w:rPr>
        <w:t> </w:t>
      </w:r>
      <w:r>
        <w:rPr>
          <w:color w:val="231F20"/>
          <w:w w:val="110"/>
        </w:rPr>
        <w:t>Sandra</w:t>
      </w:r>
      <w:r>
        <w:rPr>
          <w:color w:val="231F20"/>
          <w:spacing w:val="9"/>
          <w:w w:val="110"/>
        </w:rPr>
        <w:t> </w:t>
      </w:r>
      <w:r>
        <w:rPr>
          <w:color w:val="231F20"/>
          <w:w w:val="110"/>
        </w:rPr>
        <w:t>Pickard</w:t>
        <w:tab/>
        <w:t>Revd</w:t>
      </w:r>
      <w:r>
        <w:rPr>
          <w:color w:val="231F20"/>
          <w:spacing w:val="7"/>
          <w:w w:val="110"/>
        </w:rPr>
        <w:t> </w:t>
      </w:r>
      <w:r>
        <w:rPr>
          <w:color w:val="231F20"/>
          <w:w w:val="110"/>
        </w:rPr>
        <w:t>Shelagh</w:t>
      </w:r>
      <w:r>
        <w:rPr>
          <w:color w:val="231F20"/>
          <w:spacing w:val="7"/>
          <w:w w:val="110"/>
        </w:rPr>
        <w:t> </w:t>
      </w:r>
      <w:r>
        <w:rPr>
          <w:color w:val="231F20"/>
          <w:w w:val="110"/>
        </w:rPr>
        <w:t>Pollard</w:t>
        <w:tab/>
        <w:t>Mr Nicholas Pye</w:t>
      </w:r>
      <w:r>
        <w:rPr>
          <w:color w:val="231F20"/>
          <w:spacing w:val="27"/>
          <w:w w:val="110"/>
        </w:rPr>
        <w:t> </w:t>
      </w:r>
      <w:r>
        <w:rPr>
          <w:color w:val="231F20"/>
          <w:spacing w:val="-14"/>
          <w:w w:val="110"/>
        </w:rPr>
        <w:t>†</w:t>
      </w:r>
    </w:p>
    <w:p>
      <w:pPr>
        <w:pStyle w:val="BodyText"/>
        <w:tabs>
          <w:tab w:pos="4100" w:val="left" w:leader="none"/>
          <w:tab w:pos="7040" w:val="left" w:leader="none"/>
        </w:tabs>
        <w:spacing w:line="273" w:lineRule="auto" w:before="2"/>
        <w:ind w:left="1240" w:right="2050"/>
      </w:pPr>
      <w:r>
        <w:rPr>
          <w:color w:val="231F20"/>
          <w:w w:val="110"/>
        </w:rPr>
        <w:t>Mr</w:t>
      </w:r>
      <w:r>
        <w:rPr>
          <w:color w:val="231F20"/>
          <w:spacing w:val="7"/>
          <w:w w:val="110"/>
        </w:rPr>
        <w:t> </w:t>
      </w:r>
      <w:r>
        <w:rPr>
          <w:color w:val="231F20"/>
          <w:w w:val="110"/>
        </w:rPr>
        <w:t>Neil</w:t>
      </w:r>
      <w:r>
        <w:rPr>
          <w:color w:val="231F20"/>
          <w:spacing w:val="7"/>
          <w:w w:val="110"/>
        </w:rPr>
        <w:t> </w:t>
      </w:r>
      <w:r>
        <w:rPr>
          <w:color w:val="231F20"/>
          <w:w w:val="110"/>
        </w:rPr>
        <w:t>Robinson</w:t>
        <w:tab/>
      </w:r>
      <w:r>
        <w:rPr>
          <w:color w:val="231F20"/>
          <w:spacing w:val="2"/>
          <w:w w:val="110"/>
        </w:rPr>
        <w:t>Mrs</w:t>
      </w:r>
      <w:r>
        <w:rPr>
          <w:color w:val="231F20"/>
          <w:spacing w:val="8"/>
          <w:w w:val="110"/>
        </w:rPr>
        <w:t> </w:t>
      </w:r>
      <w:r>
        <w:rPr>
          <w:color w:val="231F20"/>
          <w:w w:val="110"/>
        </w:rPr>
        <w:t>Pamela</w:t>
      </w:r>
      <w:r>
        <w:rPr>
          <w:color w:val="231F20"/>
          <w:spacing w:val="8"/>
          <w:w w:val="110"/>
        </w:rPr>
        <w:t> </w:t>
      </w:r>
      <w:r>
        <w:rPr>
          <w:color w:val="231F20"/>
          <w:w w:val="110"/>
        </w:rPr>
        <w:t>Sharp</w:t>
        <w:tab/>
        <w:t>Revd Raymond Singh </w:t>
      </w:r>
      <w:r>
        <w:rPr>
          <w:color w:val="231F20"/>
          <w:spacing w:val="-12"/>
          <w:w w:val="110"/>
        </w:rPr>
        <w:t>† </w:t>
      </w:r>
      <w:r>
        <w:rPr>
          <w:color w:val="231F20"/>
          <w:w w:val="110"/>
        </w:rPr>
        <w:t>Mr</w:t>
      </w:r>
      <w:r>
        <w:rPr>
          <w:color w:val="231F20"/>
          <w:spacing w:val="4"/>
          <w:w w:val="110"/>
        </w:rPr>
        <w:t> </w:t>
      </w:r>
      <w:r>
        <w:rPr>
          <w:color w:val="231F20"/>
          <w:w w:val="110"/>
        </w:rPr>
        <w:t>Alan</w:t>
      </w:r>
      <w:r>
        <w:rPr>
          <w:color w:val="231F20"/>
          <w:spacing w:val="5"/>
          <w:w w:val="110"/>
        </w:rPr>
        <w:t> </w:t>
      </w:r>
      <w:r>
        <w:rPr>
          <w:color w:val="231F20"/>
          <w:w w:val="110"/>
        </w:rPr>
        <w:t>Small</w:t>
        <w:tab/>
        <w:t>Mr</w:t>
      </w:r>
      <w:r>
        <w:rPr>
          <w:color w:val="231F20"/>
          <w:spacing w:val="10"/>
          <w:w w:val="110"/>
        </w:rPr>
        <w:t> </w:t>
      </w:r>
      <w:r>
        <w:rPr>
          <w:color w:val="231F20"/>
          <w:w w:val="110"/>
        </w:rPr>
        <w:t>Patrick</w:t>
      </w:r>
      <w:r>
        <w:rPr>
          <w:color w:val="231F20"/>
          <w:spacing w:val="9"/>
          <w:w w:val="110"/>
        </w:rPr>
        <w:t> </w:t>
      </w:r>
      <w:r>
        <w:rPr>
          <w:color w:val="231F20"/>
          <w:w w:val="110"/>
        </w:rPr>
        <w:t>Smyth</w:t>
        <w:tab/>
        <w:t>Revd Yvonne Stone </w:t>
      </w:r>
      <w:r>
        <w:rPr>
          <w:color w:val="231F20"/>
          <w:spacing w:val="-3"/>
          <w:w w:val="110"/>
        </w:rPr>
        <w:t>Revd </w:t>
      </w:r>
      <w:r>
        <w:rPr>
          <w:color w:val="231F20"/>
          <w:w w:val="110"/>
        </w:rPr>
        <w:t>Dr David Thompson †  </w:t>
      </w:r>
      <w:r>
        <w:rPr>
          <w:color w:val="231F20"/>
          <w:spacing w:val="2"/>
          <w:w w:val="110"/>
        </w:rPr>
        <w:t>Mrs</w:t>
      </w:r>
      <w:r>
        <w:rPr>
          <w:color w:val="231F20"/>
          <w:spacing w:val="3"/>
          <w:w w:val="110"/>
        </w:rPr>
        <w:t> </w:t>
      </w:r>
      <w:r>
        <w:rPr>
          <w:color w:val="231F20"/>
          <w:w w:val="110"/>
        </w:rPr>
        <w:t>Lynne</w:t>
      </w:r>
      <w:r>
        <w:rPr>
          <w:color w:val="231F20"/>
          <w:spacing w:val="5"/>
          <w:w w:val="110"/>
        </w:rPr>
        <w:t> </w:t>
      </w:r>
      <w:r>
        <w:rPr>
          <w:color w:val="231F20"/>
          <w:w w:val="110"/>
        </w:rPr>
        <w:t>Upsdell</w:t>
        <w:tab/>
        <w:t>Ms Elizabeth Whitten Revd</w:t>
      </w:r>
      <w:r>
        <w:rPr>
          <w:color w:val="231F20"/>
          <w:spacing w:val="12"/>
          <w:w w:val="110"/>
        </w:rPr>
        <w:t> </w:t>
      </w:r>
      <w:r>
        <w:rPr>
          <w:color w:val="231F20"/>
          <w:w w:val="110"/>
        </w:rPr>
        <w:t>Joan</w:t>
      </w:r>
      <w:r>
        <w:rPr>
          <w:color w:val="231F20"/>
          <w:spacing w:val="12"/>
          <w:w w:val="110"/>
        </w:rPr>
        <w:t> </w:t>
      </w:r>
      <w:r>
        <w:rPr>
          <w:color w:val="231F20"/>
          <w:w w:val="110"/>
        </w:rPr>
        <w:t>Winterbottom</w:t>
        <w:tab/>
        <w:t>Mr</w:t>
      </w:r>
      <w:r>
        <w:rPr>
          <w:color w:val="231F20"/>
          <w:spacing w:val="4"/>
          <w:w w:val="110"/>
        </w:rPr>
        <w:t> </w:t>
      </w:r>
      <w:r>
        <w:rPr>
          <w:color w:val="231F20"/>
          <w:w w:val="110"/>
        </w:rPr>
        <w:t>Ken</w:t>
      </w:r>
      <w:r>
        <w:rPr>
          <w:color w:val="231F20"/>
          <w:spacing w:val="5"/>
          <w:w w:val="110"/>
        </w:rPr>
        <w:t> </w:t>
      </w:r>
      <w:r>
        <w:rPr>
          <w:color w:val="231F20"/>
          <w:w w:val="110"/>
        </w:rPr>
        <w:t>Woods</w:t>
        <w:tab/>
        <w:t>Revd Colin </w:t>
      </w:r>
      <w:r>
        <w:rPr>
          <w:color w:val="231F20"/>
          <w:spacing w:val="3"/>
          <w:w w:val="110"/>
        </w:rPr>
        <w:t>Offor</w:t>
      </w:r>
      <w:r>
        <w:rPr>
          <w:color w:val="231F20"/>
          <w:spacing w:val="7"/>
          <w:w w:val="110"/>
        </w:rPr>
        <w:t> </w:t>
      </w:r>
      <w:r>
        <w:rPr>
          <w:color w:val="231F20"/>
          <w:w w:val="110"/>
        </w:rPr>
        <w:t>**</w:t>
      </w:r>
    </w:p>
    <w:p>
      <w:pPr>
        <w:tabs>
          <w:tab w:pos="4100" w:val="left" w:leader="none"/>
          <w:tab w:pos="7040" w:val="left" w:leader="none"/>
        </w:tabs>
        <w:spacing w:before="2"/>
        <w:ind w:left="1240" w:right="0" w:firstLine="0"/>
        <w:jc w:val="left"/>
        <w:rPr>
          <w:i/>
          <w:sz w:val="18"/>
        </w:rPr>
      </w:pPr>
      <w:r>
        <w:rPr>
          <w:color w:val="231F20"/>
          <w:w w:val="110"/>
          <w:sz w:val="18"/>
        </w:rPr>
        <w:t>Mr David</w:t>
      </w:r>
      <w:r>
        <w:rPr>
          <w:color w:val="231F20"/>
          <w:spacing w:val="13"/>
          <w:w w:val="110"/>
          <w:sz w:val="18"/>
        </w:rPr>
        <w:t> </w:t>
      </w:r>
      <w:r>
        <w:rPr>
          <w:color w:val="231F20"/>
          <w:w w:val="110"/>
          <w:sz w:val="18"/>
        </w:rPr>
        <w:t>Westwood</w:t>
      </w:r>
      <w:r>
        <w:rPr>
          <w:color w:val="231F20"/>
          <w:spacing w:val="7"/>
          <w:w w:val="110"/>
          <w:sz w:val="18"/>
        </w:rPr>
        <w:t> </w:t>
      </w:r>
      <w:r>
        <w:rPr>
          <w:color w:val="231F20"/>
          <w:w w:val="110"/>
          <w:sz w:val="18"/>
        </w:rPr>
        <w:t>**</w:t>
        <w:tab/>
        <w:t>Revd Nick</w:t>
      </w:r>
      <w:r>
        <w:rPr>
          <w:color w:val="231F20"/>
          <w:spacing w:val="10"/>
          <w:w w:val="110"/>
          <w:sz w:val="18"/>
        </w:rPr>
        <w:t> </w:t>
      </w:r>
      <w:r>
        <w:rPr>
          <w:color w:val="231F20"/>
          <w:w w:val="110"/>
          <w:sz w:val="18"/>
        </w:rPr>
        <w:t>Adlem</w:t>
      </w:r>
      <w:r>
        <w:rPr>
          <w:color w:val="231F20"/>
          <w:spacing w:val="4"/>
          <w:w w:val="110"/>
          <w:sz w:val="18"/>
        </w:rPr>
        <w:t> </w:t>
      </w:r>
      <w:r>
        <w:rPr>
          <w:color w:val="231F20"/>
          <w:w w:val="110"/>
          <w:sz w:val="18"/>
        </w:rPr>
        <w:t>**</w:t>
        <w:tab/>
      </w:r>
      <w:r>
        <w:rPr>
          <w:i/>
          <w:color w:val="231F20"/>
          <w:w w:val="110"/>
          <w:sz w:val="18"/>
        </w:rPr>
        <w:t>Three</w:t>
      </w:r>
      <w:r>
        <w:rPr>
          <w:i/>
          <w:color w:val="231F20"/>
          <w:spacing w:val="2"/>
          <w:w w:val="110"/>
          <w:sz w:val="18"/>
        </w:rPr>
        <w:t> </w:t>
      </w:r>
      <w:r>
        <w:rPr>
          <w:i/>
          <w:color w:val="231F20"/>
          <w:w w:val="110"/>
          <w:sz w:val="18"/>
        </w:rPr>
        <w:t>vacancies</w:t>
      </w:r>
    </w:p>
    <w:p>
      <w:pPr>
        <w:spacing w:after="0"/>
        <w:jc w:val="left"/>
        <w:rPr>
          <w:sz w:val="18"/>
        </w:rPr>
        <w:sectPr>
          <w:pgSz w:w="11910" w:h="16840"/>
          <w:pgMar w:header="581" w:footer="544" w:top="860" w:bottom="740" w:left="460" w:right="0"/>
        </w:sectPr>
      </w:pPr>
    </w:p>
    <w:p>
      <w:pPr>
        <w:pStyle w:val="BodyText"/>
        <w:spacing w:before="10"/>
        <w:rPr>
          <w:i/>
          <w:sz w:val="11"/>
        </w:rPr>
      </w:pPr>
    </w:p>
    <w:p>
      <w:pPr>
        <w:numPr>
          <w:ilvl w:val="1"/>
          <w:numId w:val="57"/>
        </w:numPr>
        <w:tabs>
          <w:tab w:pos="1393" w:val="left" w:leader="none"/>
          <w:tab w:pos="1394" w:val="left" w:leader="none"/>
        </w:tabs>
        <w:spacing w:before="101"/>
        <w:ind w:left="1393" w:right="0" w:hanging="721"/>
        <w:jc w:val="left"/>
        <w:rPr>
          <w:b/>
          <w:sz w:val="18"/>
        </w:rPr>
      </w:pPr>
      <w:r>
        <w:rPr>
          <w:b/>
          <w:color w:val="231F20"/>
          <w:w w:val="110"/>
          <w:sz w:val="18"/>
        </w:rPr>
        <w:t>PANEL FOR THE APPOINTMENT AND </w:t>
      </w:r>
      <w:r>
        <w:rPr>
          <w:b/>
          <w:color w:val="231F20"/>
          <w:spacing w:val="3"/>
          <w:w w:val="110"/>
          <w:sz w:val="18"/>
        </w:rPr>
        <w:t>REVIEW </w:t>
      </w:r>
      <w:r>
        <w:rPr>
          <w:b/>
          <w:color w:val="231F20"/>
          <w:w w:val="110"/>
          <w:sz w:val="18"/>
        </w:rPr>
        <w:t>OF </w:t>
      </w:r>
      <w:r>
        <w:rPr>
          <w:b/>
          <w:color w:val="231F20"/>
          <w:spacing w:val="2"/>
          <w:w w:val="110"/>
          <w:sz w:val="18"/>
        </w:rPr>
        <w:t>SYNOD</w:t>
      </w:r>
      <w:r>
        <w:rPr>
          <w:b/>
          <w:color w:val="231F20"/>
          <w:spacing w:val="18"/>
          <w:w w:val="110"/>
          <w:sz w:val="18"/>
        </w:rPr>
        <w:t> </w:t>
      </w:r>
      <w:r>
        <w:rPr>
          <w:b/>
          <w:color w:val="231F20"/>
          <w:w w:val="110"/>
          <w:sz w:val="18"/>
        </w:rPr>
        <w:t>MODERATORS</w:t>
      </w:r>
    </w:p>
    <w:p>
      <w:pPr>
        <w:pStyle w:val="BodyText"/>
        <w:spacing w:before="1"/>
        <w:rPr>
          <w:b/>
          <w:sz w:val="23"/>
        </w:rPr>
      </w:pPr>
    </w:p>
    <w:p>
      <w:pPr>
        <w:pStyle w:val="BodyText"/>
        <w:ind w:left="673"/>
      </w:pPr>
      <w:r>
        <w:rPr>
          <w:color w:val="231F20"/>
          <w:w w:val="110"/>
        </w:rPr>
        <w:t>Mrs Sally Abbott, Revd Mary Buchanan, Revd Craig Bowman, Mrs Helen Brown,</w:t>
      </w:r>
    </w:p>
    <w:p>
      <w:pPr>
        <w:pStyle w:val="BodyText"/>
        <w:spacing w:line="273" w:lineRule="auto" w:before="32"/>
        <w:ind w:left="673" w:right="1593"/>
      </w:pPr>
      <w:r>
        <w:rPr>
          <w:color w:val="231F20"/>
          <w:w w:val="110"/>
        </w:rPr>
        <w:t>Dr Graham Campling, Revd Lesley Charlton, Revd Dr Susan Durber, Dr Jean Silvan Evans, Mrs Janet Gray, Mr Alun Jones, Revd Nanette Lewis-Head, Mr John Lumsden,</w:t>
      </w:r>
    </w:p>
    <w:p>
      <w:pPr>
        <w:pStyle w:val="BodyText"/>
        <w:spacing w:line="273" w:lineRule="auto" w:before="1"/>
        <w:ind w:left="673" w:right="2384"/>
      </w:pPr>
      <w:r>
        <w:rPr>
          <w:color w:val="231F20"/>
          <w:w w:val="110"/>
        </w:rPr>
        <w:t>Mr Okeke Azu Okeke, Mr Simon Rowntree, Revd Raymond Singh, Mr Ron Todd, Revd Cecil White, Mrs Irene Wren</w:t>
      </w:r>
    </w:p>
    <w:p>
      <w:pPr>
        <w:pStyle w:val="BodyText"/>
        <w:spacing w:before="8"/>
        <w:rPr>
          <w:sz w:val="20"/>
        </w:rPr>
      </w:pPr>
    </w:p>
    <w:p>
      <w:pPr>
        <w:numPr>
          <w:ilvl w:val="0"/>
          <w:numId w:val="58"/>
        </w:numPr>
        <w:tabs>
          <w:tab w:pos="1393" w:val="left" w:leader="none"/>
          <w:tab w:pos="1394" w:val="left" w:leader="none"/>
        </w:tabs>
        <w:spacing w:before="0"/>
        <w:ind w:left="1393" w:right="0" w:hanging="721"/>
        <w:jc w:val="left"/>
        <w:rPr>
          <w:b/>
          <w:sz w:val="18"/>
        </w:rPr>
      </w:pPr>
      <w:r>
        <w:rPr>
          <w:b/>
          <w:color w:val="231F20"/>
          <w:w w:val="110"/>
          <w:sz w:val="18"/>
        </w:rPr>
        <w:t>MISSION COUNCIL</w:t>
      </w:r>
    </w:p>
    <w:p>
      <w:pPr>
        <w:pStyle w:val="BodyText"/>
        <w:spacing w:line="273" w:lineRule="auto" w:before="31"/>
        <w:ind w:left="673" w:right="1593"/>
      </w:pPr>
      <w:r>
        <w:rPr>
          <w:color w:val="231F20"/>
          <w:w w:val="110"/>
        </w:rPr>
        <w:t>Mission Council acts on behalf of General Assembly. It consists of the Officers of Assembly, the synod Moderators and three representatives from each synod together with the Conveners of Assembly Committees.</w:t>
      </w:r>
    </w:p>
    <w:p>
      <w:pPr>
        <w:pStyle w:val="BodyText"/>
        <w:spacing w:before="9"/>
        <w:rPr>
          <w:sz w:val="20"/>
        </w:rPr>
      </w:pPr>
    </w:p>
    <w:p>
      <w:pPr>
        <w:pStyle w:val="BodyText"/>
        <w:tabs>
          <w:tab w:pos="3613" w:val="left" w:leader="none"/>
        </w:tabs>
        <w:ind w:left="673"/>
      </w:pPr>
      <w:r>
        <w:rPr>
          <w:color w:val="231F20"/>
          <w:spacing w:val="2"/>
          <w:w w:val="110"/>
        </w:rPr>
        <w:t>Northern</w:t>
      </w:r>
      <w:r>
        <w:rPr>
          <w:color w:val="231F20"/>
          <w:spacing w:val="10"/>
          <w:w w:val="110"/>
        </w:rPr>
        <w:t> </w:t>
      </w:r>
      <w:r>
        <w:rPr>
          <w:color w:val="231F20"/>
          <w:w w:val="110"/>
        </w:rPr>
        <w:t>Synod</w:t>
        <w:tab/>
        <w:t>Revd John Durell, Miss Elaine Colechin, Mr Mike</w:t>
      </w:r>
      <w:r>
        <w:rPr>
          <w:color w:val="231F20"/>
          <w:spacing w:val="16"/>
          <w:w w:val="110"/>
        </w:rPr>
        <w:t> </w:t>
      </w:r>
      <w:r>
        <w:rPr>
          <w:color w:val="231F20"/>
          <w:w w:val="110"/>
        </w:rPr>
        <w:t>Louis</w:t>
      </w:r>
    </w:p>
    <w:p>
      <w:pPr>
        <w:pStyle w:val="BodyText"/>
        <w:tabs>
          <w:tab w:pos="3613" w:val="left" w:leader="none"/>
        </w:tabs>
        <w:spacing w:line="273" w:lineRule="auto" w:before="31"/>
        <w:ind w:left="673" w:right="1532"/>
        <w:rPr>
          <w:i/>
        </w:rPr>
      </w:pPr>
      <w:r>
        <w:rPr>
          <w:color w:val="231F20"/>
          <w:spacing w:val="2"/>
          <w:w w:val="110"/>
        </w:rPr>
        <w:t>North</w:t>
      </w:r>
      <w:r>
        <w:rPr>
          <w:color w:val="231F20"/>
          <w:spacing w:val="10"/>
          <w:w w:val="110"/>
        </w:rPr>
        <w:t> </w:t>
      </w:r>
      <w:r>
        <w:rPr>
          <w:color w:val="231F20"/>
          <w:w w:val="110"/>
        </w:rPr>
        <w:t>Western</w:t>
      </w:r>
      <w:r>
        <w:rPr>
          <w:color w:val="231F20"/>
          <w:spacing w:val="11"/>
          <w:w w:val="110"/>
        </w:rPr>
        <w:t> </w:t>
      </w:r>
      <w:r>
        <w:rPr>
          <w:color w:val="231F20"/>
          <w:w w:val="110"/>
        </w:rPr>
        <w:t>Synod</w:t>
        <w:tab/>
        <w:t>Miss Kathleen Cross, </w:t>
      </w:r>
      <w:r>
        <w:rPr>
          <w:color w:val="231F20"/>
          <w:spacing w:val="-3"/>
          <w:w w:val="110"/>
        </w:rPr>
        <w:t>Revd </w:t>
      </w:r>
      <w:r>
        <w:rPr>
          <w:color w:val="231F20"/>
          <w:w w:val="110"/>
        </w:rPr>
        <w:t>Alan Wickens, </w:t>
      </w:r>
      <w:r>
        <w:rPr>
          <w:color w:val="231F20"/>
          <w:spacing w:val="-3"/>
          <w:w w:val="110"/>
        </w:rPr>
        <w:t>Revd </w:t>
      </w:r>
      <w:r>
        <w:rPr>
          <w:color w:val="231F20"/>
          <w:w w:val="110"/>
        </w:rPr>
        <w:t>Rachel Poolman </w:t>
      </w:r>
      <w:r>
        <w:rPr>
          <w:color w:val="231F20"/>
          <w:spacing w:val="2"/>
          <w:w w:val="110"/>
        </w:rPr>
        <w:t>Mersey</w:t>
      </w:r>
      <w:r>
        <w:rPr>
          <w:color w:val="231F20"/>
          <w:spacing w:val="7"/>
          <w:w w:val="110"/>
        </w:rPr>
        <w:t> </w:t>
      </w:r>
      <w:r>
        <w:rPr>
          <w:color w:val="231F20"/>
          <w:w w:val="110"/>
        </w:rPr>
        <w:t>Synod</w:t>
        <w:tab/>
        <w:t>Revd Jennifer Morgan, Mr Donald Swift,</w:t>
      </w:r>
      <w:r>
        <w:rPr>
          <w:color w:val="231F20"/>
          <w:spacing w:val="17"/>
          <w:w w:val="110"/>
        </w:rPr>
        <w:t> </w:t>
      </w:r>
      <w:r>
        <w:rPr>
          <w:i/>
          <w:color w:val="231F20"/>
          <w:w w:val="110"/>
        </w:rPr>
        <w:t>(Vacancy)</w:t>
      </w:r>
    </w:p>
    <w:p>
      <w:pPr>
        <w:pStyle w:val="BodyText"/>
        <w:tabs>
          <w:tab w:pos="3613" w:val="left" w:leader="none"/>
        </w:tabs>
        <w:spacing w:line="273" w:lineRule="auto" w:before="1"/>
        <w:ind w:left="673" w:right="1165"/>
      </w:pPr>
      <w:r>
        <w:rPr>
          <w:color w:val="231F20"/>
          <w:w w:val="110"/>
        </w:rPr>
        <w:t>Yorkshire</w:t>
      </w:r>
      <w:r>
        <w:rPr>
          <w:color w:val="231F20"/>
          <w:spacing w:val="9"/>
          <w:w w:val="110"/>
        </w:rPr>
        <w:t> </w:t>
      </w:r>
      <w:r>
        <w:rPr>
          <w:color w:val="231F20"/>
          <w:w w:val="110"/>
        </w:rPr>
        <w:t>Synod</w:t>
        <w:tab/>
        <w:t>Mrs</w:t>
      </w:r>
      <w:r>
        <w:rPr>
          <w:color w:val="231F20"/>
          <w:spacing w:val="-7"/>
          <w:w w:val="110"/>
        </w:rPr>
        <w:t> </w:t>
      </w:r>
      <w:r>
        <w:rPr>
          <w:color w:val="231F20"/>
          <w:spacing w:val="-3"/>
          <w:w w:val="110"/>
        </w:rPr>
        <w:t>Val</w:t>
      </w:r>
      <w:r>
        <w:rPr>
          <w:color w:val="231F20"/>
          <w:spacing w:val="-8"/>
          <w:w w:val="110"/>
        </w:rPr>
        <w:t> </w:t>
      </w:r>
      <w:r>
        <w:rPr>
          <w:color w:val="231F20"/>
          <w:w w:val="110"/>
        </w:rPr>
        <w:t>Morrison,</w:t>
      </w:r>
      <w:r>
        <w:rPr>
          <w:color w:val="231F20"/>
          <w:spacing w:val="-7"/>
          <w:w w:val="110"/>
        </w:rPr>
        <w:t> </w:t>
      </w:r>
      <w:r>
        <w:rPr>
          <w:color w:val="231F20"/>
          <w:spacing w:val="-3"/>
          <w:w w:val="110"/>
        </w:rPr>
        <w:t>Revd</w:t>
      </w:r>
      <w:r>
        <w:rPr>
          <w:color w:val="231F20"/>
          <w:spacing w:val="-7"/>
          <w:w w:val="110"/>
        </w:rPr>
        <w:t> </w:t>
      </w:r>
      <w:r>
        <w:rPr>
          <w:color w:val="231F20"/>
          <w:w w:val="110"/>
        </w:rPr>
        <w:t>Pauline</w:t>
      </w:r>
      <w:r>
        <w:rPr>
          <w:color w:val="231F20"/>
          <w:spacing w:val="-7"/>
          <w:w w:val="110"/>
        </w:rPr>
        <w:t> </w:t>
      </w:r>
      <w:r>
        <w:rPr>
          <w:color w:val="231F20"/>
          <w:w w:val="110"/>
        </w:rPr>
        <w:t>Loosemore,</w:t>
      </w:r>
      <w:r>
        <w:rPr>
          <w:color w:val="231F20"/>
          <w:spacing w:val="-8"/>
          <w:w w:val="110"/>
        </w:rPr>
        <w:t> </w:t>
      </w:r>
      <w:r>
        <w:rPr>
          <w:color w:val="231F20"/>
          <w:w w:val="110"/>
        </w:rPr>
        <w:t>Mr</w:t>
      </w:r>
      <w:r>
        <w:rPr>
          <w:color w:val="231F20"/>
          <w:spacing w:val="-7"/>
          <w:w w:val="110"/>
        </w:rPr>
        <w:t> </w:t>
      </w:r>
      <w:r>
        <w:rPr>
          <w:color w:val="231F20"/>
          <w:w w:val="110"/>
        </w:rPr>
        <w:t>Roderick</w:t>
      </w:r>
      <w:r>
        <w:rPr>
          <w:color w:val="231F20"/>
          <w:spacing w:val="-7"/>
          <w:w w:val="110"/>
        </w:rPr>
        <w:t> </w:t>
      </w:r>
      <w:r>
        <w:rPr>
          <w:color w:val="231F20"/>
          <w:w w:val="110"/>
        </w:rPr>
        <w:t>Garthwaite East</w:t>
      </w:r>
      <w:r>
        <w:rPr>
          <w:color w:val="231F20"/>
          <w:spacing w:val="9"/>
          <w:w w:val="110"/>
        </w:rPr>
        <w:t> </w:t>
      </w:r>
      <w:r>
        <w:rPr>
          <w:color w:val="231F20"/>
          <w:w w:val="110"/>
        </w:rPr>
        <w:t>Midlands</w:t>
      </w:r>
      <w:r>
        <w:rPr>
          <w:color w:val="231F20"/>
          <w:spacing w:val="10"/>
          <w:w w:val="110"/>
        </w:rPr>
        <w:t> </w:t>
      </w:r>
      <w:r>
        <w:rPr>
          <w:color w:val="231F20"/>
          <w:w w:val="110"/>
        </w:rPr>
        <w:t>Synod</w:t>
        <w:tab/>
      </w:r>
      <w:r>
        <w:rPr>
          <w:color w:val="231F20"/>
          <w:spacing w:val="2"/>
          <w:w w:val="110"/>
        </w:rPr>
        <w:t>Mrs </w:t>
      </w:r>
      <w:r>
        <w:rPr>
          <w:color w:val="231F20"/>
          <w:w w:val="110"/>
        </w:rPr>
        <w:t>Irene Wren, </w:t>
      </w:r>
      <w:r>
        <w:rPr>
          <w:color w:val="231F20"/>
          <w:spacing w:val="2"/>
          <w:w w:val="110"/>
        </w:rPr>
        <w:t>Mrs </w:t>
      </w:r>
      <w:r>
        <w:rPr>
          <w:color w:val="231F20"/>
          <w:w w:val="110"/>
        </w:rPr>
        <w:t>Margaret Gateley, Revd Jane</w:t>
      </w:r>
      <w:r>
        <w:rPr>
          <w:color w:val="231F20"/>
          <w:spacing w:val="31"/>
          <w:w w:val="110"/>
        </w:rPr>
        <w:t> </w:t>
      </w:r>
      <w:r>
        <w:rPr>
          <w:color w:val="231F20"/>
          <w:w w:val="110"/>
        </w:rPr>
        <w:t>Campbell</w:t>
      </w:r>
    </w:p>
    <w:p>
      <w:pPr>
        <w:pStyle w:val="BodyText"/>
        <w:tabs>
          <w:tab w:pos="3613" w:val="left" w:leader="none"/>
        </w:tabs>
        <w:spacing w:line="273" w:lineRule="auto" w:before="2"/>
        <w:ind w:left="673" w:right="1829"/>
      </w:pPr>
      <w:r>
        <w:rPr>
          <w:color w:val="231F20"/>
          <w:w w:val="110"/>
        </w:rPr>
        <w:t>West</w:t>
      </w:r>
      <w:r>
        <w:rPr>
          <w:color w:val="231F20"/>
          <w:spacing w:val="8"/>
          <w:w w:val="110"/>
        </w:rPr>
        <w:t> </w:t>
      </w:r>
      <w:r>
        <w:rPr>
          <w:color w:val="231F20"/>
          <w:w w:val="110"/>
        </w:rPr>
        <w:t>Midlands</w:t>
      </w:r>
      <w:r>
        <w:rPr>
          <w:color w:val="231F20"/>
          <w:spacing w:val="9"/>
          <w:w w:val="110"/>
        </w:rPr>
        <w:t> </w:t>
      </w:r>
      <w:r>
        <w:rPr>
          <w:color w:val="231F20"/>
          <w:w w:val="110"/>
        </w:rPr>
        <w:t>Synod</w:t>
        <w:tab/>
        <w:t>Revd Anthony Howells, Mr Bill Robson, </w:t>
      </w:r>
      <w:r>
        <w:rPr>
          <w:color w:val="231F20"/>
          <w:spacing w:val="2"/>
          <w:w w:val="110"/>
        </w:rPr>
        <w:t>Mrs </w:t>
      </w:r>
      <w:r>
        <w:rPr>
          <w:color w:val="231F20"/>
          <w:w w:val="110"/>
        </w:rPr>
        <w:t>Adella Pritchard Eastern</w:t>
      </w:r>
      <w:r>
        <w:rPr>
          <w:color w:val="231F20"/>
          <w:spacing w:val="12"/>
          <w:w w:val="110"/>
        </w:rPr>
        <w:t> </w:t>
      </w:r>
      <w:r>
        <w:rPr>
          <w:color w:val="231F20"/>
          <w:w w:val="110"/>
        </w:rPr>
        <w:t>Synod</w:t>
        <w:tab/>
        <w:t>Mr Mick Barnes, </w:t>
      </w:r>
      <w:r>
        <w:rPr>
          <w:color w:val="231F20"/>
          <w:spacing w:val="2"/>
          <w:w w:val="110"/>
        </w:rPr>
        <w:t>Mrs </w:t>
      </w:r>
      <w:r>
        <w:rPr>
          <w:color w:val="231F20"/>
          <w:w w:val="110"/>
        </w:rPr>
        <w:t>Joan </w:t>
      </w:r>
      <w:r>
        <w:rPr>
          <w:color w:val="231F20"/>
          <w:spacing w:val="-4"/>
          <w:w w:val="110"/>
        </w:rPr>
        <w:t>Turner, </w:t>
      </w:r>
      <w:r>
        <w:rPr>
          <w:color w:val="231F20"/>
          <w:w w:val="110"/>
        </w:rPr>
        <w:t>Revd Cecil</w:t>
      </w:r>
      <w:r>
        <w:rPr>
          <w:color w:val="231F20"/>
          <w:spacing w:val="34"/>
          <w:w w:val="110"/>
        </w:rPr>
        <w:t> </w:t>
      </w:r>
      <w:r>
        <w:rPr>
          <w:color w:val="231F20"/>
          <w:w w:val="110"/>
        </w:rPr>
        <w:t>White</w:t>
      </w:r>
    </w:p>
    <w:p>
      <w:pPr>
        <w:pStyle w:val="BodyText"/>
        <w:tabs>
          <w:tab w:pos="3613" w:val="left" w:leader="none"/>
        </w:tabs>
        <w:spacing w:line="273" w:lineRule="auto" w:before="1"/>
        <w:ind w:left="673" w:right="1819"/>
      </w:pPr>
      <w:r>
        <w:rPr>
          <w:color w:val="231F20"/>
          <w:w w:val="110"/>
        </w:rPr>
        <w:t>South</w:t>
      </w:r>
      <w:r>
        <w:rPr>
          <w:color w:val="231F20"/>
          <w:spacing w:val="11"/>
          <w:w w:val="110"/>
        </w:rPr>
        <w:t> </w:t>
      </w:r>
      <w:r>
        <w:rPr>
          <w:color w:val="231F20"/>
          <w:w w:val="110"/>
        </w:rPr>
        <w:t>Western</w:t>
      </w:r>
      <w:r>
        <w:rPr>
          <w:color w:val="231F20"/>
          <w:spacing w:val="11"/>
          <w:w w:val="110"/>
        </w:rPr>
        <w:t> </w:t>
      </w:r>
      <w:r>
        <w:rPr>
          <w:color w:val="231F20"/>
          <w:w w:val="110"/>
        </w:rPr>
        <w:t>Synod</w:t>
        <w:tab/>
        <w:t>Revd Roz Harrison, </w:t>
      </w:r>
      <w:r>
        <w:rPr>
          <w:color w:val="231F20"/>
          <w:spacing w:val="2"/>
          <w:w w:val="110"/>
        </w:rPr>
        <w:t>Mrs </w:t>
      </w:r>
      <w:r>
        <w:rPr>
          <w:color w:val="231F20"/>
          <w:w w:val="110"/>
        </w:rPr>
        <w:t>Janet </w:t>
      </w:r>
      <w:r>
        <w:rPr>
          <w:color w:val="231F20"/>
          <w:spacing w:val="-3"/>
          <w:w w:val="110"/>
        </w:rPr>
        <w:t>Gray, </w:t>
      </w:r>
      <w:r>
        <w:rPr>
          <w:color w:val="231F20"/>
          <w:w w:val="110"/>
        </w:rPr>
        <w:t>Revd Richard Pope Wessex</w:t>
      </w:r>
      <w:r>
        <w:rPr>
          <w:color w:val="231F20"/>
          <w:spacing w:val="10"/>
          <w:w w:val="110"/>
        </w:rPr>
        <w:t> </w:t>
      </w:r>
      <w:r>
        <w:rPr>
          <w:color w:val="231F20"/>
          <w:w w:val="110"/>
        </w:rPr>
        <w:t>Synod</w:t>
        <w:tab/>
        <w:t>Revd Ruth Whitehead, Mr Peter </w:t>
      </w:r>
      <w:r>
        <w:rPr>
          <w:color w:val="231F20"/>
          <w:spacing w:val="-5"/>
          <w:w w:val="110"/>
        </w:rPr>
        <w:t>Pay, </w:t>
      </w:r>
      <w:r>
        <w:rPr>
          <w:color w:val="231F20"/>
          <w:w w:val="110"/>
        </w:rPr>
        <w:t>Revd </w:t>
      </w:r>
      <w:r>
        <w:rPr>
          <w:color w:val="231F20"/>
          <w:spacing w:val="2"/>
          <w:w w:val="110"/>
        </w:rPr>
        <w:t>Cliff </w:t>
      </w:r>
      <w:r>
        <w:rPr>
          <w:color w:val="231F20"/>
          <w:w w:val="110"/>
        </w:rPr>
        <w:t>Bembridge Thames</w:t>
      </w:r>
      <w:r>
        <w:rPr>
          <w:color w:val="231F20"/>
          <w:spacing w:val="10"/>
          <w:w w:val="110"/>
        </w:rPr>
        <w:t> </w:t>
      </w:r>
      <w:r>
        <w:rPr>
          <w:color w:val="231F20"/>
          <w:spacing w:val="2"/>
          <w:w w:val="110"/>
        </w:rPr>
        <w:t>North</w:t>
      </w:r>
      <w:r>
        <w:rPr>
          <w:color w:val="231F20"/>
          <w:spacing w:val="11"/>
          <w:w w:val="110"/>
        </w:rPr>
        <w:t> </w:t>
      </w:r>
      <w:r>
        <w:rPr>
          <w:color w:val="231F20"/>
          <w:w w:val="110"/>
        </w:rPr>
        <w:t>Synod</w:t>
        <w:tab/>
        <w:t>Revd John Macaulay, Mr David Eldridge, Revd David</w:t>
      </w:r>
      <w:r>
        <w:rPr>
          <w:color w:val="231F20"/>
          <w:spacing w:val="42"/>
          <w:w w:val="110"/>
        </w:rPr>
        <w:t> </w:t>
      </w:r>
      <w:r>
        <w:rPr>
          <w:color w:val="231F20"/>
          <w:w w:val="110"/>
        </w:rPr>
        <w:t>Varcoe</w:t>
      </w:r>
    </w:p>
    <w:p>
      <w:pPr>
        <w:pStyle w:val="BodyText"/>
        <w:tabs>
          <w:tab w:pos="3613" w:val="left" w:leader="none"/>
        </w:tabs>
        <w:spacing w:line="273" w:lineRule="auto" w:before="2"/>
        <w:ind w:left="673" w:right="1167"/>
      </w:pPr>
      <w:r>
        <w:rPr>
          <w:color w:val="231F20"/>
          <w:w w:val="110"/>
        </w:rPr>
        <w:t>Southern</w:t>
      </w:r>
      <w:r>
        <w:rPr>
          <w:color w:val="231F20"/>
          <w:spacing w:val="12"/>
          <w:w w:val="110"/>
        </w:rPr>
        <w:t> </w:t>
      </w:r>
      <w:r>
        <w:rPr>
          <w:color w:val="231F20"/>
          <w:w w:val="110"/>
        </w:rPr>
        <w:t>Synod</w:t>
        <w:tab/>
        <w:t>Dr Graham Campling, Mrs Maureen Lawrence, Mr Nigel MacDonald National Synod</w:t>
      </w:r>
      <w:r>
        <w:rPr>
          <w:color w:val="231F20"/>
          <w:spacing w:val="14"/>
          <w:w w:val="110"/>
        </w:rPr>
        <w:t> </w:t>
      </w:r>
      <w:r>
        <w:rPr>
          <w:color w:val="231F20"/>
          <w:w w:val="110"/>
        </w:rPr>
        <w:t>of</w:t>
      </w:r>
      <w:r>
        <w:rPr>
          <w:color w:val="231F20"/>
          <w:spacing w:val="7"/>
          <w:w w:val="110"/>
        </w:rPr>
        <w:t> </w:t>
      </w:r>
      <w:r>
        <w:rPr>
          <w:color w:val="231F20"/>
          <w:w w:val="110"/>
        </w:rPr>
        <w:t>Wales</w:t>
        <w:tab/>
        <w:t>Revd Stuart Jackson, </w:t>
      </w:r>
      <w:r>
        <w:rPr>
          <w:color w:val="231F20"/>
          <w:spacing w:val="2"/>
          <w:w w:val="110"/>
        </w:rPr>
        <w:t>Mrs </w:t>
      </w:r>
      <w:r>
        <w:rPr>
          <w:color w:val="231F20"/>
          <w:w w:val="110"/>
        </w:rPr>
        <w:t>Liz </w:t>
      </w:r>
      <w:r>
        <w:rPr>
          <w:color w:val="231F20"/>
          <w:spacing w:val="-4"/>
          <w:w w:val="110"/>
        </w:rPr>
        <w:t>Tadd, </w:t>
      </w:r>
      <w:r>
        <w:rPr>
          <w:color w:val="231F20"/>
          <w:spacing w:val="2"/>
          <w:w w:val="110"/>
        </w:rPr>
        <w:t>Mrs </w:t>
      </w:r>
      <w:r>
        <w:rPr>
          <w:color w:val="231F20"/>
          <w:w w:val="110"/>
        </w:rPr>
        <w:t>Barbara Shapland  National Synod of Scotland Miss Irene Hudson, Revd Alan Paterson, Mr Patrick</w:t>
      </w:r>
      <w:r>
        <w:rPr>
          <w:color w:val="231F20"/>
          <w:spacing w:val="61"/>
          <w:w w:val="110"/>
        </w:rPr>
        <w:t> </w:t>
      </w:r>
      <w:r>
        <w:rPr>
          <w:color w:val="231F20"/>
          <w:w w:val="110"/>
        </w:rPr>
        <w:t>Smyth</w:t>
      </w:r>
    </w:p>
    <w:p>
      <w:pPr>
        <w:pStyle w:val="BodyText"/>
        <w:spacing w:before="8"/>
        <w:rPr>
          <w:sz w:val="20"/>
        </w:rPr>
      </w:pPr>
    </w:p>
    <w:p>
      <w:pPr>
        <w:numPr>
          <w:ilvl w:val="0"/>
          <w:numId w:val="58"/>
        </w:numPr>
        <w:tabs>
          <w:tab w:pos="1393" w:val="left" w:leader="none"/>
          <w:tab w:pos="1394" w:val="left" w:leader="none"/>
        </w:tabs>
        <w:spacing w:before="1"/>
        <w:ind w:left="1393" w:right="0" w:hanging="721"/>
        <w:jc w:val="left"/>
        <w:rPr>
          <w:b/>
          <w:sz w:val="18"/>
        </w:rPr>
      </w:pPr>
      <w:r>
        <w:rPr>
          <w:b/>
          <w:color w:val="231F20"/>
          <w:w w:val="110"/>
          <w:sz w:val="18"/>
        </w:rPr>
        <w:t>TRUST BODIES</w:t>
      </w:r>
    </w:p>
    <w:p>
      <w:pPr>
        <w:pStyle w:val="ListParagraph"/>
        <w:numPr>
          <w:ilvl w:val="1"/>
          <w:numId w:val="58"/>
        </w:numPr>
        <w:tabs>
          <w:tab w:pos="1393" w:val="left" w:leader="none"/>
          <w:tab w:pos="1394" w:val="left" w:leader="none"/>
        </w:tabs>
        <w:spacing w:line="273" w:lineRule="auto" w:before="31" w:after="0"/>
        <w:ind w:left="673" w:right="5216" w:firstLine="0"/>
        <w:jc w:val="left"/>
        <w:rPr>
          <w:sz w:val="18"/>
        </w:rPr>
      </w:pPr>
      <w:r>
        <w:rPr>
          <w:b/>
          <w:color w:val="231F20"/>
          <w:w w:val="110"/>
          <w:sz w:val="18"/>
        </w:rPr>
        <w:t>UNITED </w:t>
      </w:r>
      <w:r>
        <w:rPr>
          <w:b/>
          <w:color w:val="231F20"/>
          <w:spacing w:val="2"/>
          <w:w w:val="110"/>
          <w:sz w:val="18"/>
        </w:rPr>
        <w:t>REFORMED </w:t>
      </w:r>
      <w:r>
        <w:rPr>
          <w:b/>
          <w:color w:val="231F20"/>
          <w:w w:val="110"/>
          <w:sz w:val="18"/>
        </w:rPr>
        <w:t>CHURCH TRUST </w:t>
      </w:r>
      <w:r>
        <w:rPr>
          <w:color w:val="231F20"/>
          <w:w w:val="110"/>
          <w:sz w:val="18"/>
        </w:rPr>
        <w:t>Chairman: </w:t>
      </w:r>
      <w:r>
        <w:rPr>
          <w:i/>
          <w:color w:val="231F20"/>
          <w:spacing w:val="-4"/>
          <w:w w:val="110"/>
          <w:sz w:val="18"/>
        </w:rPr>
        <w:t>(To </w:t>
      </w:r>
      <w:r>
        <w:rPr>
          <w:i/>
          <w:color w:val="231F20"/>
          <w:w w:val="110"/>
          <w:sz w:val="18"/>
        </w:rPr>
        <w:t>be appointed from and by the Trustees) </w:t>
      </w:r>
      <w:r>
        <w:rPr>
          <w:color w:val="231F20"/>
          <w:spacing w:val="2"/>
          <w:w w:val="110"/>
          <w:sz w:val="18"/>
        </w:rPr>
        <w:t>Secretary: </w:t>
      </w:r>
      <w:r>
        <w:rPr>
          <w:i/>
          <w:color w:val="231F20"/>
          <w:spacing w:val="-4"/>
          <w:w w:val="110"/>
          <w:sz w:val="18"/>
        </w:rPr>
        <w:t>(To </w:t>
      </w:r>
      <w:r>
        <w:rPr>
          <w:i/>
          <w:color w:val="231F20"/>
          <w:w w:val="110"/>
          <w:sz w:val="18"/>
        </w:rPr>
        <w:t>be appointed by the Trustees)  </w:t>
      </w:r>
      <w:r>
        <w:rPr>
          <w:color w:val="231F20"/>
          <w:w w:val="110"/>
          <w:sz w:val="18"/>
        </w:rPr>
        <w:t>Trustees:</w:t>
      </w:r>
    </w:p>
    <w:p>
      <w:pPr>
        <w:pStyle w:val="BodyText"/>
        <w:tabs>
          <w:tab w:pos="4033" w:val="left" w:leader="none"/>
          <w:tab w:pos="6993" w:val="left" w:leader="none"/>
        </w:tabs>
        <w:spacing w:line="273" w:lineRule="auto" w:before="2"/>
        <w:ind w:left="673" w:right="1636"/>
      </w:pPr>
      <w:r>
        <w:rPr>
          <w:color w:val="231F20"/>
          <w:w w:val="110"/>
        </w:rPr>
        <w:t>Miss Joyce Bain</w:t>
      </w:r>
      <w:r>
        <w:rPr>
          <w:color w:val="231F20"/>
          <w:spacing w:val="20"/>
          <w:w w:val="110"/>
        </w:rPr>
        <w:t> </w:t>
      </w:r>
      <w:r>
        <w:rPr>
          <w:color w:val="231F20"/>
          <w:w w:val="110"/>
        </w:rPr>
        <w:t>**</w:t>
      </w:r>
      <w:r>
        <w:rPr>
          <w:color w:val="231F20"/>
          <w:spacing w:val="6"/>
          <w:w w:val="110"/>
        </w:rPr>
        <w:t> </w:t>
      </w:r>
      <w:r>
        <w:rPr>
          <w:color w:val="231F20"/>
          <w:spacing w:val="-6"/>
          <w:w w:val="110"/>
        </w:rPr>
        <w:t>[2010]</w:t>
        <w:tab/>
      </w:r>
      <w:r>
        <w:rPr>
          <w:color w:val="231F20"/>
          <w:w w:val="110"/>
        </w:rPr>
        <w:t>Mr </w:t>
      </w:r>
      <w:r>
        <w:rPr>
          <w:color w:val="231F20"/>
          <w:spacing w:val="2"/>
          <w:w w:val="110"/>
        </w:rPr>
        <w:t>Ernest</w:t>
      </w:r>
      <w:r>
        <w:rPr>
          <w:color w:val="231F20"/>
          <w:spacing w:val="19"/>
          <w:w w:val="110"/>
        </w:rPr>
        <w:t> </w:t>
      </w:r>
      <w:r>
        <w:rPr>
          <w:color w:val="231F20"/>
          <w:w w:val="110"/>
        </w:rPr>
        <w:t>Gudgeon</w:t>
      </w:r>
      <w:r>
        <w:rPr>
          <w:color w:val="231F20"/>
          <w:spacing w:val="9"/>
          <w:w w:val="110"/>
        </w:rPr>
        <w:t> </w:t>
      </w:r>
      <w:r>
        <w:rPr>
          <w:color w:val="231F20"/>
          <w:spacing w:val="-6"/>
          <w:w w:val="110"/>
        </w:rPr>
        <w:t>[2010]</w:t>
        <w:tab/>
      </w:r>
      <w:r>
        <w:rPr>
          <w:color w:val="231F20"/>
          <w:w w:val="110"/>
        </w:rPr>
        <w:t>Dr Brian Woodhall </w:t>
      </w:r>
      <w:r>
        <w:rPr>
          <w:color w:val="231F20"/>
          <w:spacing w:val="-5"/>
          <w:w w:val="110"/>
        </w:rPr>
        <w:t>**[2010] </w:t>
      </w:r>
      <w:r>
        <w:rPr>
          <w:color w:val="231F20"/>
          <w:w w:val="110"/>
        </w:rPr>
        <w:t>Mr John</w:t>
      </w:r>
      <w:r>
        <w:rPr>
          <w:color w:val="231F20"/>
          <w:spacing w:val="13"/>
          <w:w w:val="110"/>
        </w:rPr>
        <w:t> </w:t>
      </w:r>
      <w:r>
        <w:rPr>
          <w:color w:val="231F20"/>
          <w:w w:val="110"/>
        </w:rPr>
        <w:t>Ellis</w:t>
      </w:r>
      <w:r>
        <w:rPr>
          <w:color w:val="231F20"/>
          <w:spacing w:val="6"/>
          <w:w w:val="110"/>
        </w:rPr>
        <w:t> </w:t>
      </w:r>
      <w:r>
        <w:rPr>
          <w:color w:val="231F20"/>
          <w:spacing w:val="-8"/>
          <w:w w:val="110"/>
        </w:rPr>
        <w:t>[2011]</w:t>
        <w:tab/>
      </w:r>
      <w:r>
        <w:rPr>
          <w:color w:val="231F20"/>
          <w:spacing w:val="2"/>
          <w:w w:val="110"/>
        </w:rPr>
        <w:t>Mrs </w:t>
      </w:r>
      <w:r>
        <w:rPr>
          <w:color w:val="231F20"/>
          <w:w w:val="110"/>
        </w:rPr>
        <w:t>Val </w:t>
      </w:r>
      <w:r>
        <w:rPr>
          <w:color w:val="231F20"/>
          <w:spacing w:val="2"/>
          <w:w w:val="110"/>
        </w:rPr>
        <w:t>Morrison</w:t>
      </w:r>
      <w:r>
        <w:rPr>
          <w:color w:val="231F20"/>
          <w:spacing w:val="12"/>
          <w:w w:val="110"/>
        </w:rPr>
        <w:t> </w:t>
      </w:r>
      <w:r>
        <w:rPr>
          <w:color w:val="231F20"/>
          <w:w w:val="110"/>
        </w:rPr>
        <w:t>**</w:t>
      </w:r>
      <w:r>
        <w:rPr>
          <w:color w:val="231F20"/>
          <w:spacing w:val="5"/>
          <w:w w:val="110"/>
        </w:rPr>
        <w:t> </w:t>
      </w:r>
      <w:r>
        <w:rPr>
          <w:color w:val="231F20"/>
          <w:spacing w:val="-5"/>
          <w:w w:val="110"/>
        </w:rPr>
        <w:t>[2012]</w:t>
        <w:tab/>
      </w:r>
      <w:r>
        <w:rPr>
          <w:color w:val="231F20"/>
          <w:w w:val="110"/>
        </w:rPr>
        <w:t>Dr Augur Pearce ** </w:t>
      </w:r>
      <w:r>
        <w:rPr>
          <w:color w:val="231F20"/>
          <w:spacing w:val="-5"/>
          <w:w w:val="110"/>
        </w:rPr>
        <w:t>[2012] </w:t>
      </w:r>
      <w:r>
        <w:rPr>
          <w:color w:val="231F20"/>
          <w:w w:val="110"/>
        </w:rPr>
        <w:t>Mr Alan</w:t>
      </w:r>
      <w:r>
        <w:rPr>
          <w:color w:val="231F20"/>
          <w:spacing w:val="11"/>
          <w:w w:val="110"/>
        </w:rPr>
        <w:t> </w:t>
      </w:r>
      <w:r>
        <w:rPr>
          <w:color w:val="231F20"/>
          <w:w w:val="110"/>
        </w:rPr>
        <w:t>Small</w:t>
      </w:r>
      <w:r>
        <w:rPr>
          <w:color w:val="231F20"/>
          <w:spacing w:val="6"/>
          <w:w w:val="110"/>
        </w:rPr>
        <w:t> </w:t>
      </w:r>
      <w:r>
        <w:rPr>
          <w:color w:val="231F20"/>
          <w:spacing w:val="-5"/>
          <w:w w:val="110"/>
        </w:rPr>
        <w:t>[2012]</w:t>
        <w:tab/>
      </w:r>
      <w:r>
        <w:rPr>
          <w:color w:val="231F20"/>
          <w:w w:val="110"/>
        </w:rPr>
        <w:t>Revd Dr David Thompson</w:t>
      </w:r>
      <w:r>
        <w:rPr>
          <w:color w:val="231F20"/>
          <w:spacing w:val="7"/>
          <w:w w:val="110"/>
        </w:rPr>
        <w:t> </w:t>
      </w:r>
      <w:r>
        <w:rPr>
          <w:color w:val="231F20"/>
          <w:spacing w:val="-5"/>
          <w:w w:val="110"/>
        </w:rPr>
        <w:t>[2012]</w:t>
      </w:r>
    </w:p>
    <w:p>
      <w:pPr>
        <w:pStyle w:val="BodyText"/>
        <w:tabs>
          <w:tab w:pos="4033" w:val="left" w:leader="none"/>
        </w:tabs>
        <w:spacing w:before="2"/>
        <w:ind w:left="673"/>
      </w:pPr>
      <w:r>
        <w:rPr>
          <w:color w:val="231F20"/>
          <w:w w:val="110"/>
        </w:rPr>
        <w:t>Miss Rachel</w:t>
      </w:r>
      <w:r>
        <w:rPr>
          <w:color w:val="231F20"/>
          <w:spacing w:val="26"/>
          <w:w w:val="110"/>
        </w:rPr>
        <w:t> </w:t>
      </w:r>
      <w:r>
        <w:rPr>
          <w:color w:val="231F20"/>
          <w:w w:val="110"/>
        </w:rPr>
        <w:t>Greening</w:t>
      </w:r>
      <w:r>
        <w:rPr>
          <w:color w:val="231F20"/>
          <w:spacing w:val="14"/>
          <w:w w:val="110"/>
        </w:rPr>
        <w:t> </w:t>
      </w:r>
      <w:r>
        <w:rPr>
          <w:color w:val="231F20"/>
          <w:spacing w:val="-6"/>
          <w:w w:val="110"/>
        </w:rPr>
        <w:t>**[2014]</w:t>
        <w:tab/>
      </w:r>
      <w:r>
        <w:rPr>
          <w:color w:val="231F20"/>
          <w:w w:val="110"/>
        </w:rPr>
        <w:t>Dr David Robinson **</w:t>
      </w:r>
      <w:r>
        <w:rPr>
          <w:color w:val="231F20"/>
          <w:spacing w:val="4"/>
          <w:w w:val="110"/>
        </w:rPr>
        <w:t> </w:t>
      </w:r>
      <w:r>
        <w:rPr>
          <w:color w:val="231F20"/>
          <w:spacing w:val="-6"/>
          <w:w w:val="110"/>
        </w:rPr>
        <w:t>[2014]</w:t>
      </w:r>
    </w:p>
    <w:p>
      <w:pPr>
        <w:pStyle w:val="BodyText"/>
        <w:tabs>
          <w:tab w:pos="4033" w:val="left" w:leader="none"/>
        </w:tabs>
        <w:spacing w:before="31"/>
        <w:ind w:left="673"/>
      </w:pPr>
      <w:r>
        <w:rPr>
          <w:color w:val="231F20"/>
          <w:w w:val="110"/>
        </w:rPr>
        <w:t>Mr John Woodman</w:t>
      </w:r>
      <w:r>
        <w:rPr>
          <w:color w:val="231F20"/>
          <w:spacing w:val="16"/>
          <w:w w:val="110"/>
        </w:rPr>
        <w:t> </w:t>
      </w:r>
      <w:r>
        <w:rPr>
          <w:color w:val="231F20"/>
          <w:w w:val="110"/>
        </w:rPr>
        <w:t>**</w:t>
      </w:r>
      <w:r>
        <w:rPr>
          <w:color w:val="231F20"/>
          <w:spacing w:val="6"/>
          <w:w w:val="110"/>
        </w:rPr>
        <w:t> </w:t>
      </w:r>
      <w:r>
        <w:rPr>
          <w:color w:val="231F20"/>
          <w:spacing w:val="-6"/>
          <w:w w:val="110"/>
        </w:rPr>
        <w:t>[2014]</w:t>
        <w:tab/>
      </w:r>
      <w:r>
        <w:rPr>
          <w:color w:val="231F20"/>
          <w:w w:val="110"/>
        </w:rPr>
        <w:t>Co-opted Trustee: Revd Michael J Davies **</w:t>
      </w:r>
      <w:r>
        <w:rPr>
          <w:color w:val="231F20"/>
          <w:spacing w:val="17"/>
          <w:w w:val="110"/>
        </w:rPr>
        <w:t> </w:t>
      </w:r>
      <w:r>
        <w:rPr>
          <w:color w:val="231F20"/>
          <w:spacing w:val="-6"/>
          <w:w w:val="110"/>
        </w:rPr>
        <w:t>[2010]</w:t>
      </w:r>
    </w:p>
    <w:p>
      <w:pPr>
        <w:pStyle w:val="BodyText"/>
        <w:spacing w:before="31"/>
        <w:ind w:left="673"/>
      </w:pPr>
      <w:r>
        <w:rPr>
          <w:color w:val="231F20"/>
          <w:w w:val="110"/>
        </w:rPr>
        <w:t>[</w:t>
      </w:r>
      <w:r>
        <w:rPr>
          <w:i/>
          <w:color w:val="231F20"/>
          <w:w w:val="110"/>
        </w:rPr>
        <w:t>ex officio</w:t>
      </w:r>
      <w:r>
        <w:rPr>
          <w:color w:val="231F20"/>
          <w:w w:val="110"/>
        </w:rPr>
        <w:t>: Moderator of General Assembly **, General Secretary, Deputy General Secretary **]</w:t>
      </w:r>
    </w:p>
    <w:p>
      <w:pPr>
        <w:pStyle w:val="BodyText"/>
        <w:spacing w:before="2"/>
        <w:rPr>
          <w:sz w:val="23"/>
        </w:rPr>
      </w:pPr>
    </w:p>
    <w:p>
      <w:pPr>
        <w:numPr>
          <w:ilvl w:val="1"/>
          <w:numId w:val="58"/>
        </w:numPr>
        <w:tabs>
          <w:tab w:pos="1393" w:val="left" w:leader="none"/>
          <w:tab w:pos="1394" w:val="left" w:leader="none"/>
        </w:tabs>
        <w:spacing w:line="273" w:lineRule="auto" w:before="0"/>
        <w:ind w:left="673" w:right="2427" w:firstLine="0"/>
        <w:jc w:val="left"/>
        <w:rPr>
          <w:b/>
          <w:sz w:val="18"/>
        </w:rPr>
      </w:pPr>
      <w:r>
        <w:rPr>
          <w:b/>
          <w:color w:val="231F20"/>
          <w:w w:val="110"/>
          <w:sz w:val="18"/>
        </w:rPr>
        <w:t>THE UNITED </w:t>
      </w:r>
      <w:r>
        <w:rPr>
          <w:b/>
          <w:color w:val="231F20"/>
          <w:spacing w:val="2"/>
          <w:w w:val="110"/>
          <w:sz w:val="18"/>
        </w:rPr>
        <w:t>REFORMED </w:t>
      </w:r>
      <w:r>
        <w:rPr>
          <w:b/>
          <w:color w:val="231F20"/>
          <w:w w:val="110"/>
          <w:sz w:val="18"/>
        </w:rPr>
        <w:t>CHURCH MINISTERS’ PENSION TRUST </w:t>
      </w:r>
      <w:r>
        <w:rPr>
          <w:b/>
          <w:color w:val="231F20"/>
          <w:spacing w:val="-4"/>
          <w:w w:val="110"/>
          <w:sz w:val="18"/>
        </w:rPr>
        <w:t>LTD </w:t>
      </w:r>
      <w:r>
        <w:rPr>
          <w:b/>
          <w:color w:val="231F20"/>
          <w:w w:val="110"/>
          <w:sz w:val="18"/>
        </w:rPr>
        <w:t>BOARD </w:t>
      </w:r>
      <w:r>
        <w:rPr>
          <w:b/>
          <w:color w:val="231F20"/>
          <w:spacing w:val="2"/>
          <w:w w:val="110"/>
          <w:sz w:val="18"/>
        </w:rPr>
        <w:t>MEMBERS</w:t>
      </w:r>
    </w:p>
    <w:p>
      <w:pPr>
        <w:spacing w:line="273" w:lineRule="auto" w:before="1"/>
        <w:ind w:left="673" w:right="7115" w:firstLine="0"/>
        <w:jc w:val="left"/>
        <w:rPr>
          <w:i/>
          <w:sz w:val="18"/>
        </w:rPr>
      </w:pPr>
      <w:r>
        <w:rPr>
          <w:color w:val="231F20"/>
          <w:w w:val="110"/>
          <w:sz w:val="18"/>
        </w:rPr>
        <w:t>Chairman: Mr Brian Moere Secretary: </w:t>
      </w:r>
      <w:r>
        <w:rPr>
          <w:i/>
          <w:color w:val="231F20"/>
          <w:w w:val="110"/>
          <w:sz w:val="18"/>
        </w:rPr>
        <w:t>to be advised</w:t>
      </w:r>
    </w:p>
    <w:p>
      <w:pPr>
        <w:pStyle w:val="BodyText"/>
        <w:tabs>
          <w:tab w:pos="4033" w:val="left" w:leader="none"/>
          <w:tab w:pos="6993" w:val="left" w:leader="none"/>
        </w:tabs>
        <w:spacing w:before="2"/>
        <w:ind w:left="673"/>
      </w:pPr>
      <w:r>
        <w:rPr>
          <w:color w:val="231F20"/>
          <w:spacing w:val="2"/>
          <w:w w:val="110"/>
        </w:rPr>
        <w:t>Members</w:t>
      </w:r>
      <w:r>
        <w:rPr>
          <w:color w:val="231F20"/>
          <w:spacing w:val="3"/>
          <w:w w:val="110"/>
        </w:rPr>
        <w:t> </w:t>
      </w:r>
      <w:r>
        <w:rPr>
          <w:color w:val="231F20"/>
          <w:w w:val="110"/>
        </w:rPr>
        <w:t>of</w:t>
      </w:r>
      <w:r>
        <w:rPr>
          <w:color w:val="231F20"/>
          <w:spacing w:val="4"/>
          <w:w w:val="110"/>
        </w:rPr>
        <w:t> </w:t>
      </w:r>
      <w:r>
        <w:rPr>
          <w:color w:val="231F20"/>
          <w:w w:val="110"/>
        </w:rPr>
        <w:t>URC:</w:t>
        <w:tab/>
        <w:t>Mr Brian</w:t>
      </w:r>
      <w:r>
        <w:rPr>
          <w:color w:val="231F20"/>
          <w:spacing w:val="13"/>
          <w:w w:val="110"/>
        </w:rPr>
        <w:t> </w:t>
      </w:r>
      <w:r>
        <w:rPr>
          <w:color w:val="231F20"/>
          <w:w w:val="110"/>
        </w:rPr>
        <w:t>Moere</w:t>
      </w:r>
      <w:r>
        <w:rPr>
          <w:color w:val="231F20"/>
          <w:spacing w:val="7"/>
          <w:w w:val="110"/>
        </w:rPr>
        <w:t> </w:t>
      </w:r>
      <w:r>
        <w:rPr>
          <w:color w:val="231F20"/>
          <w:w w:val="110"/>
        </w:rPr>
        <w:t>[2008]</w:t>
        <w:tab/>
        <w:t>Mr Michael Goldsmith</w:t>
      </w:r>
      <w:r>
        <w:rPr>
          <w:color w:val="231F20"/>
          <w:spacing w:val="6"/>
          <w:w w:val="110"/>
        </w:rPr>
        <w:t> </w:t>
      </w:r>
      <w:r>
        <w:rPr>
          <w:color w:val="231F20"/>
          <w:w w:val="110"/>
        </w:rPr>
        <w:t>[2009]</w:t>
      </w:r>
    </w:p>
    <w:p>
      <w:pPr>
        <w:pStyle w:val="BodyText"/>
        <w:tabs>
          <w:tab w:pos="4033" w:val="left" w:leader="none"/>
          <w:tab w:pos="6993" w:val="left" w:leader="none"/>
        </w:tabs>
        <w:spacing w:line="273" w:lineRule="auto" w:before="31"/>
        <w:ind w:left="673" w:right="1664" w:firstLine="3360"/>
      </w:pPr>
      <w:r>
        <w:rPr>
          <w:color w:val="231F20"/>
          <w:spacing w:val="2"/>
          <w:w w:val="110"/>
        </w:rPr>
        <w:t>Mrs </w:t>
      </w:r>
      <w:r>
        <w:rPr>
          <w:color w:val="231F20"/>
          <w:w w:val="110"/>
        </w:rPr>
        <w:t>Hilary</w:t>
      </w:r>
      <w:r>
        <w:rPr>
          <w:color w:val="231F20"/>
          <w:spacing w:val="18"/>
          <w:w w:val="110"/>
        </w:rPr>
        <w:t> </w:t>
      </w:r>
      <w:r>
        <w:rPr>
          <w:color w:val="231F20"/>
          <w:w w:val="110"/>
        </w:rPr>
        <w:t>Reynolds</w:t>
      </w:r>
      <w:r>
        <w:rPr>
          <w:color w:val="231F20"/>
          <w:spacing w:val="10"/>
          <w:w w:val="110"/>
        </w:rPr>
        <w:t> </w:t>
      </w:r>
      <w:r>
        <w:rPr>
          <w:color w:val="231F20"/>
          <w:spacing w:val="-8"/>
          <w:w w:val="110"/>
        </w:rPr>
        <w:t>[2011]</w:t>
        <w:tab/>
      </w:r>
      <w:r>
        <w:rPr>
          <w:color w:val="231F20"/>
          <w:w w:val="110"/>
        </w:rPr>
        <w:t>Mr Andrew Perkins </w:t>
      </w:r>
      <w:r>
        <w:rPr>
          <w:color w:val="231F20"/>
          <w:spacing w:val="-8"/>
          <w:w w:val="110"/>
        </w:rPr>
        <w:t>[2011] </w:t>
      </w:r>
      <w:r>
        <w:rPr>
          <w:color w:val="231F20"/>
          <w:spacing w:val="2"/>
          <w:w w:val="110"/>
        </w:rPr>
        <w:t>Members</w:t>
      </w:r>
      <w:r>
        <w:rPr>
          <w:color w:val="231F20"/>
          <w:spacing w:val="3"/>
          <w:w w:val="110"/>
        </w:rPr>
        <w:t> </w:t>
      </w:r>
      <w:r>
        <w:rPr>
          <w:color w:val="231F20"/>
          <w:w w:val="110"/>
        </w:rPr>
        <w:t>of</w:t>
      </w:r>
      <w:r>
        <w:rPr>
          <w:color w:val="231F20"/>
          <w:spacing w:val="3"/>
          <w:w w:val="110"/>
        </w:rPr>
        <w:t> </w:t>
      </w:r>
      <w:r>
        <w:rPr>
          <w:color w:val="231F20"/>
          <w:w w:val="110"/>
        </w:rPr>
        <w:t>Fund:</w:t>
        <w:tab/>
        <w:t>Revd Michael Davies [2008] Revd Graham Spicer</w:t>
      </w:r>
      <w:r>
        <w:rPr>
          <w:color w:val="231F20"/>
          <w:spacing w:val="42"/>
          <w:w w:val="110"/>
        </w:rPr>
        <w:t> </w:t>
      </w:r>
      <w:r>
        <w:rPr>
          <w:color w:val="231F20"/>
          <w:w w:val="110"/>
        </w:rPr>
        <w:t>[2009]</w:t>
      </w:r>
    </w:p>
    <w:p>
      <w:pPr>
        <w:tabs>
          <w:tab w:pos="6993" w:val="left" w:leader="none"/>
        </w:tabs>
        <w:spacing w:before="1"/>
        <w:ind w:left="4033" w:right="0" w:firstLine="0"/>
        <w:jc w:val="left"/>
        <w:rPr>
          <w:i/>
          <w:sz w:val="18"/>
        </w:rPr>
      </w:pPr>
      <w:r>
        <w:rPr>
          <w:color w:val="231F20"/>
          <w:w w:val="110"/>
          <w:sz w:val="18"/>
        </w:rPr>
        <w:t>Revd Ivor</w:t>
      </w:r>
      <w:r>
        <w:rPr>
          <w:color w:val="231F20"/>
          <w:spacing w:val="8"/>
          <w:w w:val="110"/>
          <w:sz w:val="18"/>
        </w:rPr>
        <w:t> </w:t>
      </w:r>
      <w:r>
        <w:rPr>
          <w:color w:val="231F20"/>
          <w:w w:val="110"/>
          <w:sz w:val="18"/>
        </w:rPr>
        <w:t>Rees</w:t>
      </w:r>
      <w:r>
        <w:rPr>
          <w:color w:val="231F20"/>
          <w:spacing w:val="4"/>
          <w:w w:val="110"/>
          <w:sz w:val="18"/>
        </w:rPr>
        <w:t> </w:t>
      </w:r>
      <w:r>
        <w:rPr>
          <w:color w:val="231F20"/>
          <w:spacing w:val="-8"/>
          <w:w w:val="110"/>
          <w:sz w:val="18"/>
        </w:rPr>
        <w:t>[2011]</w:t>
        <w:tab/>
      </w:r>
      <w:r>
        <w:rPr>
          <w:i/>
          <w:color w:val="231F20"/>
          <w:w w:val="110"/>
          <w:sz w:val="18"/>
        </w:rPr>
        <w:t>Vacancy</w:t>
      </w:r>
      <w:r>
        <w:rPr>
          <w:i/>
          <w:color w:val="231F20"/>
          <w:spacing w:val="1"/>
          <w:w w:val="110"/>
          <w:sz w:val="18"/>
        </w:rPr>
        <w:t> </w:t>
      </w:r>
      <w:r>
        <w:rPr>
          <w:i/>
          <w:color w:val="231F20"/>
          <w:spacing w:val="-7"/>
          <w:w w:val="110"/>
          <w:sz w:val="18"/>
        </w:rPr>
        <w:t>[2012]</w:t>
      </w:r>
    </w:p>
    <w:p>
      <w:pPr>
        <w:pStyle w:val="BodyText"/>
        <w:spacing w:line="273" w:lineRule="auto" w:before="31"/>
        <w:ind w:left="673" w:right="1593"/>
      </w:pPr>
      <w:r>
        <w:rPr>
          <w:color w:val="231F20"/>
          <w:w w:val="110"/>
        </w:rPr>
        <w:t>[</w:t>
      </w:r>
      <w:r>
        <w:rPr>
          <w:i/>
          <w:color w:val="231F20"/>
          <w:w w:val="110"/>
        </w:rPr>
        <w:t>ex officio</w:t>
      </w:r>
      <w:r>
        <w:rPr>
          <w:color w:val="231F20"/>
          <w:w w:val="110"/>
        </w:rPr>
        <w:t>: Honorary Treasurer, Convener Investment Committee, Convener MoM Sub- Committee, Convener Pensions Executive]</w:t>
      </w:r>
    </w:p>
    <w:p>
      <w:pPr>
        <w:pStyle w:val="BodyText"/>
        <w:spacing w:before="8"/>
        <w:rPr>
          <w:sz w:val="20"/>
        </w:rPr>
      </w:pPr>
    </w:p>
    <w:p>
      <w:pPr>
        <w:numPr>
          <w:ilvl w:val="2"/>
          <w:numId w:val="58"/>
        </w:numPr>
        <w:tabs>
          <w:tab w:pos="1394" w:val="left" w:leader="none"/>
        </w:tabs>
        <w:spacing w:before="1"/>
        <w:ind w:left="1393" w:right="0" w:hanging="721"/>
        <w:jc w:val="left"/>
        <w:rPr>
          <w:b/>
          <w:color w:val="231F20"/>
          <w:sz w:val="18"/>
        </w:rPr>
      </w:pPr>
      <w:r>
        <w:rPr>
          <w:b/>
          <w:color w:val="231F20"/>
          <w:w w:val="110"/>
          <w:sz w:val="18"/>
        </w:rPr>
        <w:t>PENSIONS </w:t>
      </w:r>
      <w:r>
        <w:rPr>
          <w:b/>
          <w:color w:val="231F20"/>
          <w:spacing w:val="2"/>
          <w:w w:val="110"/>
          <w:sz w:val="18"/>
        </w:rPr>
        <w:t>EXECUTIVE</w:t>
      </w:r>
    </w:p>
    <w:p>
      <w:pPr>
        <w:pStyle w:val="BodyText"/>
        <w:spacing w:before="31"/>
        <w:ind w:left="673"/>
      </w:pPr>
      <w:r>
        <w:rPr>
          <w:color w:val="231F20"/>
          <w:w w:val="110"/>
        </w:rPr>
        <w:t>Convener: Mr Maurice Dyson [2010]</w:t>
      </w:r>
    </w:p>
    <w:p>
      <w:pPr>
        <w:pStyle w:val="BodyText"/>
        <w:spacing w:line="273" w:lineRule="auto" w:before="31"/>
        <w:ind w:left="673" w:right="1593"/>
      </w:pPr>
      <w:r>
        <w:rPr>
          <w:color w:val="231F20"/>
          <w:w w:val="110"/>
        </w:rPr>
        <w:t>The Pensions Executive reports to the United Reformed Church Ministers’ Pensions Trust Board, the Maintenance of Ministry Sub Committee and to the Finance Committee.</w:t>
      </w:r>
    </w:p>
    <w:p>
      <w:pPr>
        <w:pStyle w:val="BodyText"/>
        <w:spacing w:before="8"/>
        <w:rPr>
          <w:sz w:val="20"/>
        </w:rPr>
      </w:pPr>
    </w:p>
    <w:p>
      <w:pPr>
        <w:numPr>
          <w:ilvl w:val="1"/>
          <w:numId w:val="58"/>
        </w:numPr>
        <w:tabs>
          <w:tab w:pos="1393" w:val="left" w:leader="none"/>
          <w:tab w:pos="1394" w:val="left" w:leader="none"/>
        </w:tabs>
        <w:spacing w:before="0"/>
        <w:ind w:left="1393" w:right="0" w:hanging="721"/>
        <w:jc w:val="left"/>
        <w:rPr>
          <w:b/>
          <w:sz w:val="18"/>
        </w:rPr>
      </w:pPr>
      <w:r>
        <w:rPr>
          <w:b/>
          <w:color w:val="231F20"/>
          <w:w w:val="110"/>
          <w:sz w:val="18"/>
        </w:rPr>
        <w:t>CONGREGATIONAL </w:t>
      </w:r>
      <w:r>
        <w:rPr>
          <w:b/>
          <w:color w:val="231F20"/>
          <w:spacing w:val="2"/>
          <w:w w:val="110"/>
          <w:sz w:val="18"/>
        </w:rPr>
        <w:t>MEMORIAL </w:t>
      </w:r>
      <w:r>
        <w:rPr>
          <w:b/>
          <w:color w:val="231F20"/>
          <w:w w:val="110"/>
          <w:sz w:val="18"/>
        </w:rPr>
        <w:t>HALL TRUST</w:t>
      </w:r>
    </w:p>
    <w:p>
      <w:pPr>
        <w:pStyle w:val="BodyText"/>
        <w:tabs>
          <w:tab w:pos="4033" w:val="left" w:leader="none"/>
          <w:tab w:pos="6993" w:val="left" w:leader="none"/>
        </w:tabs>
        <w:spacing w:line="273" w:lineRule="auto" w:before="31"/>
        <w:ind w:left="673" w:right="2614"/>
      </w:pPr>
      <w:r>
        <w:rPr>
          <w:color w:val="231F20"/>
          <w:w w:val="110"/>
        </w:rPr>
        <w:t>Revd Dr</w:t>
      </w:r>
      <w:r>
        <w:rPr>
          <w:color w:val="231F20"/>
          <w:spacing w:val="9"/>
          <w:w w:val="110"/>
        </w:rPr>
        <w:t> </w:t>
      </w:r>
      <w:r>
        <w:rPr>
          <w:color w:val="231F20"/>
          <w:w w:val="110"/>
        </w:rPr>
        <w:t>Peter</w:t>
      </w:r>
      <w:r>
        <w:rPr>
          <w:color w:val="231F20"/>
          <w:spacing w:val="5"/>
          <w:w w:val="110"/>
        </w:rPr>
        <w:t> </w:t>
      </w:r>
      <w:r>
        <w:rPr>
          <w:color w:val="231F20"/>
          <w:w w:val="110"/>
        </w:rPr>
        <w:t>Jupp</w:t>
        <w:tab/>
        <w:t>Mr</w:t>
      </w:r>
      <w:r>
        <w:rPr>
          <w:color w:val="231F20"/>
          <w:spacing w:val="10"/>
          <w:w w:val="110"/>
        </w:rPr>
        <w:t> </w:t>
      </w:r>
      <w:r>
        <w:rPr>
          <w:color w:val="231F20"/>
          <w:w w:val="110"/>
        </w:rPr>
        <w:t>Hartley</w:t>
      </w:r>
      <w:r>
        <w:rPr>
          <w:color w:val="231F20"/>
          <w:spacing w:val="10"/>
          <w:w w:val="110"/>
        </w:rPr>
        <w:t> </w:t>
      </w:r>
      <w:r>
        <w:rPr>
          <w:color w:val="231F20"/>
          <w:w w:val="110"/>
        </w:rPr>
        <w:t>Oldham</w:t>
        <w:tab/>
        <w:t>Mr Graham </w:t>
      </w:r>
      <w:r>
        <w:rPr>
          <w:color w:val="231F20"/>
          <w:spacing w:val="2"/>
          <w:w w:val="110"/>
        </w:rPr>
        <w:t>Stacy </w:t>
      </w:r>
      <w:r>
        <w:rPr>
          <w:color w:val="231F20"/>
          <w:w w:val="110"/>
        </w:rPr>
        <w:t>Dr</w:t>
      </w:r>
      <w:r>
        <w:rPr>
          <w:color w:val="231F20"/>
          <w:spacing w:val="10"/>
          <w:w w:val="110"/>
        </w:rPr>
        <w:t> </w:t>
      </w:r>
      <w:r>
        <w:rPr>
          <w:color w:val="231F20"/>
          <w:w w:val="110"/>
        </w:rPr>
        <w:t>John</w:t>
      </w:r>
      <w:r>
        <w:rPr>
          <w:color w:val="231F20"/>
          <w:spacing w:val="10"/>
          <w:w w:val="110"/>
        </w:rPr>
        <w:t> </w:t>
      </w:r>
      <w:r>
        <w:rPr>
          <w:color w:val="231F20"/>
          <w:w w:val="110"/>
        </w:rPr>
        <w:t>Thompson</w:t>
        <w:tab/>
        <w:t>Dr</w:t>
      </w:r>
      <w:r>
        <w:rPr>
          <w:color w:val="231F20"/>
          <w:spacing w:val="3"/>
          <w:w w:val="110"/>
        </w:rPr>
        <w:t> </w:t>
      </w:r>
      <w:r>
        <w:rPr>
          <w:color w:val="231F20"/>
          <w:w w:val="110"/>
        </w:rPr>
        <w:t>Elaine</w:t>
      </w:r>
      <w:r>
        <w:rPr>
          <w:color w:val="231F20"/>
          <w:spacing w:val="4"/>
          <w:w w:val="110"/>
        </w:rPr>
        <w:t> </w:t>
      </w:r>
      <w:r>
        <w:rPr>
          <w:color w:val="231F20"/>
          <w:w w:val="110"/>
        </w:rPr>
        <w:t>Kaye</w:t>
        <w:tab/>
        <w:t>Dr Brian</w:t>
      </w:r>
      <w:r>
        <w:rPr>
          <w:color w:val="231F20"/>
          <w:spacing w:val="30"/>
          <w:w w:val="110"/>
        </w:rPr>
        <w:t> </w:t>
      </w:r>
      <w:r>
        <w:rPr>
          <w:color w:val="231F20"/>
          <w:spacing w:val="-3"/>
          <w:w w:val="110"/>
        </w:rPr>
        <w:t>Woodhall</w:t>
      </w:r>
    </w:p>
    <w:p>
      <w:pPr>
        <w:spacing w:after="0" w:line="273" w:lineRule="auto"/>
        <w:sectPr>
          <w:pgSz w:w="11910" w:h="16840"/>
          <w:pgMar w:header="581" w:footer="544" w:top="860" w:bottom="740" w:left="460" w:right="0"/>
        </w:sectPr>
      </w:pPr>
    </w:p>
    <w:p>
      <w:pPr>
        <w:pStyle w:val="BodyText"/>
        <w:spacing w:before="10"/>
        <w:rPr>
          <w:sz w:val="11"/>
        </w:rPr>
      </w:pPr>
    </w:p>
    <w:p>
      <w:pPr>
        <w:numPr>
          <w:ilvl w:val="1"/>
          <w:numId w:val="58"/>
        </w:numPr>
        <w:tabs>
          <w:tab w:pos="1960" w:val="left" w:leader="none"/>
          <w:tab w:pos="1961" w:val="left" w:leader="none"/>
        </w:tabs>
        <w:spacing w:before="101"/>
        <w:ind w:left="1960" w:right="0" w:hanging="721"/>
        <w:jc w:val="left"/>
        <w:rPr>
          <w:b/>
          <w:sz w:val="18"/>
        </w:rPr>
      </w:pPr>
      <w:r>
        <w:rPr>
          <w:b/>
          <w:color w:val="231F20"/>
          <w:w w:val="110"/>
          <w:sz w:val="18"/>
        </w:rPr>
        <w:t>THE </w:t>
      </w:r>
      <w:r>
        <w:rPr>
          <w:b/>
          <w:color w:val="231F20"/>
          <w:spacing w:val="2"/>
          <w:w w:val="110"/>
          <w:sz w:val="18"/>
        </w:rPr>
        <w:t>AUSTRALIAN </w:t>
      </w:r>
      <w:r>
        <w:rPr>
          <w:b/>
          <w:color w:val="231F20"/>
          <w:w w:val="110"/>
          <w:sz w:val="18"/>
        </w:rPr>
        <w:t>FRONTIER SERVICES CHARITABLE</w:t>
      </w:r>
      <w:r>
        <w:rPr>
          <w:b/>
          <w:color w:val="231F20"/>
          <w:spacing w:val="10"/>
          <w:w w:val="110"/>
          <w:sz w:val="18"/>
        </w:rPr>
        <w:t> </w:t>
      </w:r>
      <w:r>
        <w:rPr>
          <w:b/>
          <w:color w:val="231F20"/>
          <w:w w:val="110"/>
          <w:sz w:val="18"/>
        </w:rPr>
        <w:t>TRUST</w:t>
      </w:r>
    </w:p>
    <w:p>
      <w:pPr>
        <w:pStyle w:val="BodyText"/>
        <w:spacing w:before="31"/>
        <w:ind w:left="1240"/>
      </w:pPr>
      <w:r>
        <w:rPr>
          <w:color w:val="231F20"/>
          <w:w w:val="110"/>
        </w:rPr>
        <w:t>Mr Clem Frank</w:t>
      </w:r>
    </w:p>
    <w:p>
      <w:pPr>
        <w:pStyle w:val="BodyText"/>
        <w:spacing w:before="31"/>
        <w:ind w:left="1240"/>
      </w:pPr>
      <w:r>
        <w:rPr>
          <w:color w:val="231F20"/>
          <w:w w:val="110"/>
        </w:rPr>
        <w:t>Mr Brian Wates – joint appointment with Uniting Church in Australia</w:t>
      </w:r>
    </w:p>
    <w:p>
      <w:pPr>
        <w:pStyle w:val="BodyText"/>
        <w:spacing w:before="2"/>
        <w:rPr>
          <w:sz w:val="23"/>
        </w:rPr>
      </w:pPr>
    </w:p>
    <w:p>
      <w:pPr>
        <w:numPr>
          <w:ilvl w:val="0"/>
          <w:numId w:val="58"/>
        </w:numPr>
        <w:tabs>
          <w:tab w:pos="1960" w:val="left" w:leader="none"/>
          <w:tab w:pos="1961" w:val="left" w:leader="none"/>
        </w:tabs>
        <w:spacing w:line="273" w:lineRule="auto" w:before="0"/>
        <w:ind w:left="1960" w:right="1694" w:hanging="720"/>
        <w:jc w:val="left"/>
        <w:rPr>
          <w:b/>
          <w:sz w:val="18"/>
        </w:rPr>
      </w:pPr>
      <w:r>
        <w:rPr>
          <w:b/>
          <w:color w:val="231F20"/>
          <w:w w:val="110"/>
          <w:sz w:val="18"/>
        </w:rPr>
        <w:t>REPRESENTATIVES of the UNITED </w:t>
      </w:r>
      <w:r>
        <w:rPr>
          <w:b/>
          <w:color w:val="231F20"/>
          <w:spacing w:val="2"/>
          <w:w w:val="110"/>
          <w:sz w:val="18"/>
        </w:rPr>
        <w:t>REFORMED </w:t>
      </w:r>
      <w:r>
        <w:rPr>
          <w:b/>
          <w:color w:val="231F20"/>
          <w:w w:val="110"/>
          <w:sz w:val="18"/>
        </w:rPr>
        <w:t>CHURCH to </w:t>
      </w:r>
      <w:r>
        <w:rPr>
          <w:b/>
          <w:color w:val="231F20"/>
          <w:spacing w:val="2"/>
          <w:w w:val="110"/>
          <w:sz w:val="18"/>
        </w:rPr>
        <w:t>MEETINGS </w:t>
      </w:r>
      <w:r>
        <w:rPr>
          <w:b/>
          <w:color w:val="231F20"/>
          <w:w w:val="110"/>
          <w:sz w:val="18"/>
        </w:rPr>
        <w:t>of SISTER CHURCHES</w:t>
      </w:r>
    </w:p>
    <w:p>
      <w:pPr>
        <w:pStyle w:val="BodyText"/>
        <w:spacing w:before="8"/>
        <w:rPr>
          <w:b/>
          <w:sz w:val="20"/>
        </w:rPr>
      </w:pPr>
    </w:p>
    <w:p>
      <w:pPr>
        <w:pStyle w:val="BodyText"/>
        <w:tabs>
          <w:tab w:pos="6360" w:val="left" w:leader="none"/>
        </w:tabs>
        <w:spacing w:line="273" w:lineRule="auto"/>
        <w:ind w:left="1240" w:right="2756"/>
        <w:jc w:val="both"/>
      </w:pPr>
      <w:r>
        <w:rPr>
          <w:color w:val="231F20"/>
          <w:w w:val="110"/>
        </w:rPr>
        <w:t>Presbyterian Church</w:t>
      </w:r>
      <w:r>
        <w:rPr>
          <w:color w:val="231F20"/>
          <w:spacing w:val="28"/>
          <w:w w:val="110"/>
        </w:rPr>
        <w:t> </w:t>
      </w:r>
      <w:r>
        <w:rPr>
          <w:color w:val="231F20"/>
          <w:w w:val="110"/>
        </w:rPr>
        <w:t>in</w:t>
      </w:r>
      <w:r>
        <w:rPr>
          <w:color w:val="231F20"/>
          <w:spacing w:val="14"/>
          <w:w w:val="110"/>
        </w:rPr>
        <w:t> </w:t>
      </w:r>
      <w:r>
        <w:rPr>
          <w:color w:val="231F20"/>
          <w:w w:val="110"/>
        </w:rPr>
        <w:t>Ireland</w:t>
        <w:tab/>
        <w:t>Revd Elizabeth Caswell General Synod of Church</w:t>
      </w:r>
      <w:r>
        <w:rPr>
          <w:color w:val="231F20"/>
          <w:spacing w:val="40"/>
          <w:w w:val="110"/>
        </w:rPr>
        <w:t> </w:t>
      </w:r>
      <w:r>
        <w:rPr>
          <w:color w:val="231F20"/>
          <w:w w:val="110"/>
        </w:rPr>
        <w:t>of</w:t>
      </w:r>
      <w:r>
        <w:rPr>
          <w:color w:val="231F20"/>
          <w:spacing w:val="11"/>
          <w:w w:val="110"/>
        </w:rPr>
        <w:t> </w:t>
      </w:r>
      <w:r>
        <w:rPr>
          <w:color w:val="231F20"/>
          <w:w w:val="110"/>
        </w:rPr>
        <w:t>England</w:t>
        <w:tab/>
        <w:t>Revd Graham Maskery Methodist</w:t>
      </w:r>
      <w:r>
        <w:rPr>
          <w:color w:val="231F20"/>
          <w:spacing w:val="21"/>
          <w:w w:val="110"/>
        </w:rPr>
        <w:t> </w:t>
      </w:r>
      <w:r>
        <w:rPr>
          <w:color w:val="231F20"/>
          <w:w w:val="110"/>
        </w:rPr>
        <w:t>Conference</w:t>
        <w:tab/>
        <w:t>Revd Jason</w:t>
      </w:r>
      <w:r>
        <w:rPr>
          <w:color w:val="231F20"/>
          <w:spacing w:val="6"/>
          <w:w w:val="110"/>
        </w:rPr>
        <w:t> </w:t>
      </w:r>
      <w:r>
        <w:rPr>
          <w:color w:val="231F20"/>
          <w:w w:val="110"/>
        </w:rPr>
        <w:t>Askew</w:t>
      </w:r>
    </w:p>
    <w:p>
      <w:pPr>
        <w:pStyle w:val="BodyText"/>
        <w:tabs>
          <w:tab w:pos="6360" w:val="left" w:leader="none"/>
        </w:tabs>
        <w:spacing w:line="273" w:lineRule="auto" w:before="2"/>
        <w:ind w:left="1240" w:right="2757"/>
        <w:jc w:val="both"/>
      </w:pPr>
      <w:r>
        <w:rPr>
          <w:color w:val="231F20"/>
          <w:w w:val="110"/>
        </w:rPr>
        <w:t>Congregational</w:t>
      </w:r>
      <w:r>
        <w:rPr>
          <w:color w:val="231F20"/>
          <w:spacing w:val="22"/>
          <w:w w:val="110"/>
        </w:rPr>
        <w:t> </w:t>
      </w:r>
      <w:r>
        <w:rPr>
          <w:color w:val="231F20"/>
          <w:w w:val="110"/>
        </w:rPr>
        <w:t>Federation</w:t>
        <w:tab/>
        <w:t>Revd Stuart Jackson General</w:t>
      </w:r>
      <w:r>
        <w:rPr>
          <w:color w:val="231F20"/>
          <w:spacing w:val="12"/>
          <w:w w:val="110"/>
        </w:rPr>
        <w:t> </w:t>
      </w:r>
      <w:r>
        <w:rPr>
          <w:color w:val="231F20"/>
          <w:w w:val="110"/>
        </w:rPr>
        <w:t>Assembly</w:t>
      </w:r>
      <w:r>
        <w:rPr>
          <w:color w:val="231F20"/>
          <w:spacing w:val="12"/>
          <w:w w:val="110"/>
        </w:rPr>
        <w:t> </w:t>
      </w:r>
      <w:r>
        <w:rPr>
          <w:color w:val="231F20"/>
          <w:w w:val="110"/>
        </w:rPr>
        <w:t>of</w:t>
      </w:r>
      <w:r>
        <w:rPr>
          <w:color w:val="231F20"/>
          <w:spacing w:val="12"/>
          <w:w w:val="110"/>
        </w:rPr>
        <w:t> </w:t>
      </w:r>
      <w:r>
        <w:rPr>
          <w:color w:val="231F20"/>
          <w:w w:val="110"/>
        </w:rPr>
        <w:t>Church</w:t>
      </w:r>
      <w:r>
        <w:rPr>
          <w:color w:val="231F20"/>
          <w:spacing w:val="12"/>
          <w:w w:val="110"/>
        </w:rPr>
        <w:t> </w:t>
      </w:r>
      <w:r>
        <w:rPr>
          <w:color w:val="231F20"/>
          <w:w w:val="110"/>
        </w:rPr>
        <w:t>of</w:t>
      </w:r>
      <w:r>
        <w:rPr>
          <w:color w:val="231F20"/>
          <w:spacing w:val="12"/>
          <w:w w:val="110"/>
        </w:rPr>
        <w:t> </w:t>
      </w:r>
      <w:r>
        <w:rPr>
          <w:color w:val="231F20"/>
          <w:w w:val="110"/>
        </w:rPr>
        <w:t>Scotland</w:t>
      </w:r>
      <w:r>
        <w:rPr>
          <w:color w:val="231F20"/>
          <w:spacing w:val="12"/>
          <w:w w:val="110"/>
        </w:rPr>
        <w:t> </w:t>
      </w:r>
      <w:r>
        <w:rPr>
          <w:color w:val="231F20"/>
          <w:spacing w:val="-3"/>
          <w:w w:val="110"/>
        </w:rPr>
        <w:t>[note</w:t>
      </w:r>
      <w:r>
        <w:rPr>
          <w:color w:val="231F20"/>
          <w:spacing w:val="12"/>
          <w:w w:val="110"/>
        </w:rPr>
        <w:t> </w:t>
      </w:r>
      <w:r>
        <w:rPr>
          <w:color w:val="231F20"/>
          <w:w w:val="110"/>
        </w:rPr>
        <w:t>5]</w:t>
      </w:r>
      <w:r>
        <w:rPr>
          <w:color w:val="231F20"/>
          <w:spacing w:val="14"/>
          <w:w w:val="110"/>
        </w:rPr>
        <w:t> </w:t>
      </w:r>
      <w:r>
        <w:rPr>
          <w:color w:val="231F20"/>
          <w:w w:val="110"/>
        </w:rPr>
        <w:t>RevdElizabeth</w:t>
      </w:r>
      <w:r>
        <w:rPr>
          <w:color w:val="231F20"/>
          <w:spacing w:val="12"/>
          <w:w w:val="110"/>
        </w:rPr>
        <w:t> </w:t>
      </w:r>
      <w:r>
        <w:rPr>
          <w:color w:val="231F20"/>
          <w:w w:val="110"/>
        </w:rPr>
        <w:t>Caswell,</w:t>
      </w:r>
    </w:p>
    <w:p>
      <w:pPr>
        <w:pStyle w:val="BodyText"/>
        <w:spacing w:line="273" w:lineRule="auto" w:before="1"/>
        <w:ind w:left="6360" w:right="2875"/>
        <w:jc w:val="both"/>
      </w:pPr>
      <w:r>
        <w:rPr>
          <w:color w:val="231F20"/>
          <w:w w:val="110"/>
        </w:rPr>
        <w:t>Revd Neil Thorogood, Revd Mary Buchanan,</w:t>
      </w:r>
    </w:p>
    <w:p>
      <w:pPr>
        <w:pStyle w:val="BodyText"/>
        <w:tabs>
          <w:tab w:pos="6360" w:val="left" w:leader="none"/>
        </w:tabs>
        <w:spacing w:line="273" w:lineRule="auto" w:before="1"/>
        <w:ind w:left="1240" w:right="2819"/>
      </w:pPr>
      <w:r>
        <w:rPr>
          <w:color w:val="231F20"/>
          <w:w w:val="110"/>
        </w:rPr>
        <w:t>United Free Church of Scotland</w:t>
      </w:r>
      <w:r>
        <w:rPr>
          <w:color w:val="231F20"/>
          <w:spacing w:val="45"/>
          <w:w w:val="110"/>
        </w:rPr>
        <w:t> </w:t>
      </w:r>
      <w:r>
        <w:rPr>
          <w:color w:val="231F20"/>
          <w:spacing w:val="-3"/>
          <w:w w:val="110"/>
        </w:rPr>
        <w:t>[note</w:t>
      </w:r>
      <w:r>
        <w:rPr>
          <w:color w:val="231F20"/>
          <w:spacing w:val="9"/>
          <w:w w:val="110"/>
        </w:rPr>
        <w:t> </w:t>
      </w:r>
      <w:r>
        <w:rPr>
          <w:color w:val="231F20"/>
          <w:w w:val="110"/>
        </w:rPr>
        <w:t>5]</w:t>
        <w:tab/>
        <w:t>Revd Mitchell Bunting </w:t>
      </w:r>
      <w:r>
        <w:rPr>
          <w:color w:val="231F20"/>
          <w:spacing w:val="2"/>
          <w:w w:val="110"/>
        </w:rPr>
        <w:t>Scottish </w:t>
      </w:r>
      <w:r>
        <w:rPr>
          <w:color w:val="231F20"/>
          <w:w w:val="110"/>
        </w:rPr>
        <w:t>Episcopal Church</w:t>
      </w:r>
      <w:r>
        <w:rPr>
          <w:color w:val="231F20"/>
          <w:spacing w:val="29"/>
          <w:w w:val="110"/>
        </w:rPr>
        <w:t> </w:t>
      </w:r>
      <w:r>
        <w:rPr>
          <w:color w:val="231F20"/>
          <w:spacing w:val="-3"/>
          <w:w w:val="110"/>
        </w:rPr>
        <w:t>[note</w:t>
      </w:r>
      <w:r>
        <w:rPr>
          <w:color w:val="231F20"/>
          <w:spacing w:val="10"/>
          <w:w w:val="110"/>
        </w:rPr>
        <w:t> </w:t>
      </w:r>
      <w:r>
        <w:rPr>
          <w:color w:val="231F20"/>
          <w:w w:val="110"/>
        </w:rPr>
        <w:t>5]</w:t>
        <w:tab/>
        <w:t>Revd John Humphreys Methodist Church in Scotland</w:t>
      </w:r>
      <w:r>
        <w:rPr>
          <w:color w:val="231F20"/>
          <w:spacing w:val="42"/>
          <w:w w:val="110"/>
        </w:rPr>
        <w:t> </w:t>
      </w:r>
      <w:r>
        <w:rPr>
          <w:color w:val="231F20"/>
          <w:spacing w:val="-3"/>
          <w:w w:val="110"/>
        </w:rPr>
        <w:t>[note</w:t>
      </w:r>
      <w:r>
        <w:rPr>
          <w:color w:val="231F20"/>
          <w:spacing w:val="10"/>
          <w:w w:val="110"/>
        </w:rPr>
        <w:t> </w:t>
      </w:r>
      <w:r>
        <w:rPr>
          <w:color w:val="231F20"/>
          <w:w w:val="110"/>
        </w:rPr>
        <w:t>5]</w:t>
        <w:tab/>
        <w:t>Revd </w:t>
      </w:r>
      <w:r>
        <w:rPr>
          <w:color w:val="231F20"/>
          <w:spacing w:val="2"/>
          <w:w w:val="110"/>
        </w:rPr>
        <w:t>Mary </w:t>
      </w:r>
      <w:r>
        <w:rPr>
          <w:color w:val="231F20"/>
          <w:w w:val="110"/>
        </w:rPr>
        <w:t>Buchanan Baptist Union of Scotland</w:t>
      </w:r>
      <w:r>
        <w:rPr>
          <w:color w:val="231F20"/>
          <w:spacing w:val="34"/>
          <w:w w:val="110"/>
        </w:rPr>
        <w:t> </w:t>
      </w:r>
      <w:r>
        <w:rPr>
          <w:color w:val="231F20"/>
          <w:spacing w:val="-3"/>
          <w:w w:val="110"/>
        </w:rPr>
        <w:t>[note</w:t>
      </w:r>
      <w:r>
        <w:rPr>
          <w:color w:val="231F20"/>
          <w:spacing w:val="8"/>
          <w:w w:val="110"/>
        </w:rPr>
        <w:t> </w:t>
      </w:r>
      <w:r>
        <w:rPr>
          <w:color w:val="231F20"/>
          <w:w w:val="110"/>
        </w:rPr>
        <w:t>5]</w:t>
        <w:tab/>
      </w:r>
      <w:r>
        <w:rPr>
          <w:i/>
          <w:color w:val="231F20"/>
          <w:spacing w:val="-7"/>
          <w:w w:val="110"/>
        </w:rPr>
        <w:t>To </w:t>
      </w:r>
      <w:r>
        <w:rPr>
          <w:i/>
          <w:color w:val="231F20"/>
          <w:w w:val="110"/>
        </w:rPr>
        <w:t>be decided </w:t>
      </w:r>
      <w:r>
        <w:rPr>
          <w:color w:val="231F20"/>
          <w:w w:val="110"/>
        </w:rPr>
        <w:t>Presbyterian Church of Wales</w:t>
      </w:r>
      <w:r>
        <w:rPr>
          <w:color w:val="231F20"/>
          <w:spacing w:val="40"/>
          <w:w w:val="110"/>
        </w:rPr>
        <w:t> </w:t>
      </w:r>
      <w:r>
        <w:rPr>
          <w:color w:val="231F20"/>
          <w:spacing w:val="-3"/>
          <w:w w:val="110"/>
        </w:rPr>
        <w:t>[note</w:t>
      </w:r>
      <w:r>
        <w:rPr>
          <w:color w:val="231F20"/>
          <w:spacing w:val="11"/>
          <w:w w:val="110"/>
        </w:rPr>
        <w:t> </w:t>
      </w:r>
      <w:r>
        <w:rPr>
          <w:color w:val="231F20"/>
          <w:w w:val="110"/>
        </w:rPr>
        <w:t>5]</w:t>
        <w:tab/>
        <w:t>Revd Stuart Jackson Union of Welsh Independents</w:t>
      </w:r>
      <w:r>
        <w:rPr>
          <w:color w:val="231F20"/>
          <w:spacing w:val="35"/>
          <w:w w:val="110"/>
        </w:rPr>
        <w:t> </w:t>
      </w:r>
      <w:r>
        <w:rPr>
          <w:color w:val="231F20"/>
          <w:spacing w:val="-3"/>
          <w:w w:val="110"/>
        </w:rPr>
        <w:t>[note</w:t>
      </w:r>
      <w:r>
        <w:rPr>
          <w:color w:val="231F20"/>
          <w:spacing w:val="9"/>
          <w:w w:val="110"/>
        </w:rPr>
        <w:t> </w:t>
      </w:r>
      <w:r>
        <w:rPr>
          <w:color w:val="231F20"/>
          <w:w w:val="110"/>
        </w:rPr>
        <w:t>5]</w:t>
        <w:tab/>
        <w:t>Revd Keith Jones Church in Wales Governing Board</w:t>
      </w:r>
      <w:r>
        <w:rPr>
          <w:color w:val="231F20"/>
          <w:spacing w:val="41"/>
          <w:w w:val="110"/>
        </w:rPr>
        <w:t> </w:t>
      </w:r>
      <w:r>
        <w:rPr>
          <w:color w:val="231F20"/>
          <w:spacing w:val="-3"/>
          <w:w w:val="110"/>
        </w:rPr>
        <w:t>[note</w:t>
      </w:r>
      <w:r>
        <w:rPr>
          <w:color w:val="231F20"/>
          <w:spacing w:val="9"/>
          <w:w w:val="110"/>
        </w:rPr>
        <w:t> </w:t>
      </w:r>
      <w:r>
        <w:rPr>
          <w:color w:val="231F20"/>
          <w:w w:val="110"/>
        </w:rPr>
        <w:t>5]</w:t>
        <w:tab/>
        <w:t>Revd Stuart Jackson Provincial Synod of the</w:t>
      </w:r>
      <w:r>
        <w:rPr>
          <w:color w:val="231F20"/>
          <w:spacing w:val="41"/>
          <w:w w:val="110"/>
        </w:rPr>
        <w:t> </w:t>
      </w:r>
      <w:r>
        <w:rPr>
          <w:color w:val="231F20"/>
          <w:w w:val="110"/>
        </w:rPr>
        <w:t>Moravian</w:t>
      </w:r>
      <w:r>
        <w:rPr>
          <w:color w:val="231F20"/>
          <w:spacing w:val="11"/>
          <w:w w:val="110"/>
        </w:rPr>
        <w:t> </w:t>
      </w:r>
      <w:r>
        <w:rPr>
          <w:color w:val="231F20"/>
          <w:w w:val="110"/>
        </w:rPr>
        <w:t>Church</w:t>
        <w:tab/>
        <w:t>Revd David</w:t>
      </w:r>
      <w:r>
        <w:rPr>
          <w:color w:val="231F20"/>
          <w:spacing w:val="4"/>
          <w:w w:val="110"/>
        </w:rPr>
        <w:t> </w:t>
      </w:r>
      <w:r>
        <w:rPr>
          <w:color w:val="231F20"/>
          <w:w w:val="110"/>
        </w:rPr>
        <w:t>Bunney</w:t>
      </w:r>
    </w:p>
    <w:p>
      <w:pPr>
        <w:pStyle w:val="BodyText"/>
        <w:rPr>
          <w:sz w:val="22"/>
        </w:rPr>
      </w:pPr>
    </w:p>
    <w:p>
      <w:pPr>
        <w:pStyle w:val="BodyText"/>
        <w:spacing w:before="7"/>
        <w:rPr>
          <w:sz w:val="19"/>
        </w:rPr>
      </w:pPr>
    </w:p>
    <w:p>
      <w:pPr>
        <w:numPr>
          <w:ilvl w:val="0"/>
          <w:numId w:val="58"/>
        </w:numPr>
        <w:tabs>
          <w:tab w:pos="1960" w:val="left" w:leader="none"/>
          <w:tab w:pos="1961" w:val="left" w:leader="none"/>
        </w:tabs>
        <w:spacing w:line="273" w:lineRule="auto" w:before="0"/>
        <w:ind w:left="1960" w:right="1144" w:hanging="720"/>
        <w:jc w:val="left"/>
        <w:rPr>
          <w:b/>
          <w:sz w:val="18"/>
        </w:rPr>
      </w:pPr>
      <w:r>
        <w:rPr>
          <w:b/>
          <w:color w:val="231F20"/>
          <w:w w:val="110"/>
          <w:sz w:val="18"/>
        </w:rPr>
        <w:t>REPRESENTATIVES OF THE UNITED </w:t>
      </w:r>
      <w:r>
        <w:rPr>
          <w:b/>
          <w:color w:val="231F20"/>
          <w:spacing w:val="2"/>
          <w:w w:val="110"/>
          <w:sz w:val="18"/>
        </w:rPr>
        <w:t>REFORMED </w:t>
      </w:r>
      <w:r>
        <w:rPr>
          <w:b/>
          <w:color w:val="231F20"/>
          <w:w w:val="110"/>
          <w:sz w:val="18"/>
        </w:rPr>
        <w:t>CHURCH ON ECUMENICAL CHURCH BODIES</w:t>
      </w:r>
    </w:p>
    <w:p>
      <w:pPr>
        <w:pStyle w:val="BodyText"/>
        <w:spacing w:line="273" w:lineRule="auto" w:before="1"/>
        <w:ind w:left="1240" w:right="474"/>
      </w:pPr>
      <w:r>
        <w:rPr>
          <w:color w:val="231F20"/>
          <w:w w:val="110"/>
        </w:rPr>
        <w:t>The following have been nominated as URC representatives at the major gatherings of the Ecumenical Bodies listed.</w:t>
      </w:r>
    </w:p>
    <w:p>
      <w:pPr>
        <w:pStyle w:val="BodyText"/>
        <w:spacing w:line="273" w:lineRule="auto" w:before="1"/>
        <w:ind w:left="1240" w:right="1593"/>
      </w:pPr>
      <w:r>
        <w:rPr>
          <w:b/>
          <w:color w:val="231F20"/>
          <w:w w:val="110"/>
        </w:rPr>
        <w:t>Note: </w:t>
      </w:r>
      <w:r>
        <w:rPr>
          <w:color w:val="231F20"/>
          <w:w w:val="110"/>
        </w:rPr>
        <w:t>A list of representatives to other ecumenical bodies, commissions and committees, co-ordinating groups and agencies, who are appointed by the relevant committees, will be distributed to all members of General Assembly. Additional copies are available, on request, from the Secretary for Ecumenical Relations.</w:t>
      </w:r>
    </w:p>
    <w:p>
      <w:pPr>
        <w:pStyle w:val="BodyText"/>
        <w:spacing w:before="10"/>
        <w:rPr>
          <w:sz w:val="20"/>
        </w:rPr>
      </w:pPr>
    </w:p>
    <w:p>
      <w:pPr>
        <w:numPr>
          <w:ilvl w:val="1"/>
          <w:numId w:val="58"/>
        </w:numPr>
        <w:tabs>
          <w:tab w:pos="1960" w:val="left" w:leader="none"/>
          <w:tab w:pos="1961" w:val="left" w:leader="none"/>
        </w:tabs>
        <w:spacing w:before="0"/>
        <w:ind w:left="1960" w:right="0" w:hanging="721"/>
        <w:jc w:val="left"/>
        <w:rPr>
          <w:b/>
          <w:sz w:val="18"/>
        </w:rPr>
      </w:pPr>
      <w:r>
        <w:rPr>
          <w:b/>
          <w:color w:val="231F20"/>
          <w:w w:val="110"/>
          <w:sz w:val="18"/>
        </w:rPr>
        <w:t>Council for World Mission </w:t>
      </w:r>
      <w:r>
        <w:rPr>
          <w:b/>
          <w:color w:val="231F20"/>
          <w:spacing w:val="-4"/>
          <w:w w:val="110"/>
          <w:sz w:val="18"/>
        </w:rPr>
        <w:t>(CWM) </w:t>
      </w:r>
      <w:r>
        <w:rPr>
          <w:b/>
          <w:color w:val="231F20"/>
          <w:spacing w:val="2"/>
          <w:w w:val="110"/>
          <w:sz w:val="18"/>
        </w:rPr>
        <w:t>Assembly</w:t>
      </w:r>
      <w:r>
        <w:rPr>
          <w:b/>
          <w:color w:val="231F20"/>
          <w:spacing w:val="10"/>
          <w:w w:val="110"/>
          <w:sz w:val="18"/>
        </w:rPr>
        <w:t> </w:t>
      </w:r>
      <w:r>
        <w:rPr>
          <w:b/>
          <w:color w:val="231F20"/>
          <w:w w:val="110"/>
          <w:sz w:val="18"/>
        </w:rPr>
        <w:t>2006</w:t>
      </w:r>
    </w:p>
    <w:p>
      <w:pPr>
        <w:pStyle w:val="BodyText"/>
        <w:spacing w:line="273" w:lineRule="auto" w:before="31"/>
        <w:ind w:left="1240" w:right="1593"/>
      </w:pPr>
      <w:r>
        <w:rPr>
          <w:color w:val="231F20"/>
          <w:w w:val="110"/>
        </w:rPr>
        <w:t>Revd David Coleman, Mrs Ann Shillaker, Ms Catherine Lewis-Smith (CWM Trustee)</w:t>
      </w:r>
      <w:r>
        <w:rPr>
          <w:i/>
          <w:color w:val="231F20"/>
          <w:w w:val="110"/>
        </w:rPr>
        <w:t>, </w:t>
      </w:r>
      <w:r>
        <w:rPr>
          <w:color w:val="231F20"/>
          <w:w w:val="110"/>
        </w:rPr>
        <w:t>Secretary for International Relations</w:t>
      </w:r>
    </w:p>
    <w:p>
      <w:pPr>
        <w:pStyle w:val="BodyText"/>
        <w:spacing w:before="8"/>
        <w:rPr>
          <w:sz w:val="20"/>
        </w:rPr>
      </w:pPr>
    </w:p>
    <w:p>
      <w:pPr>
        <w:pStyle w:val="ListParagraph"/>
        <w:numPr>
          <w:ilvl w:val="2"/>
          <w:numId w:val="58"/>
        </w:numPr>
        <w:tabs>
          <w:tab w:pos="1960" w:val="left" w:leader="none"/>
          <w:tab w:pos="1961" w:val="left" w:leader="none"/>
        </w:tabs>
        <w:spacing w:line="240" w:lineRule="auto" w:before="0" w:after="0"/>
        <w:ind w:left="1960" w:right="0" w:hanging="721"/>
        <w:jc w:val="left"/>
        <w:rPr>
          <w:color w:val="231F20"/>
          <w:sz w:val="18"/>
        </w:rPr>
      </w:pPr>
      <w:r>
        <w:rPr>
          <w:color w:val="231F20"/>
          <w:w w:val="110"/>
          <w:sz w:val="18"/>
        </w:rPr>
        <w:t>CWM European Region Meeting 2005 -</w:t>
      </w:r>
      <w:r>
        <w:rPr>
          <w:color w:val="231F20"/>
          <w:spacing w:val="9"/>
          <w:w w:val="110"/>
          <w:sz w:val="18"/>
        </w:rPr>
        <w:t> </w:t>
      </w:r>
      <w:r>
        <w:rPr>
          <w:color w:val="231F20"/>
          <w:w w:val="110"/>
          <w:sz w:val="18"/>
        </w:rPr>
        <w:t>2008</w:t>
      </w:r>
    </w:p>
    <w:p>
      <w:pPr>
        <w:pStyle w:val="BodyText"/>
        <w:spacing w:before="31"/>
        <w:ind w:left="1240"/>
      </w:pPr>
      <w:r>
        <w:rPr>
          <w:color w:val="231F20"/>
          <w:w w:val="110"/>
        </w:rPr>
        <w:t>Revd David Coleman, Mrs Ann Shillaker, Ms Catherine Lewis-Smith,</w:t>
      </w:r>
    </w:p>
    <w:p>
      <w:pPr>
        <w:pStyle w:val="BodyText"/>
        <w:spacing w:before="32"/>
        <w:ind w:left="1240"/>
      </w:pPr>
      <w:r>
        <w:rPr>
          <w:color w:val="231F20"/>
          <w:w w:val="110"/>
        </w:rPr>
        <w:t>Secretary for International Relations, Deputy General Secretary (CWM Europe Trustee)</w:t>
      </w:r>
    </w:p>
    <w:p>
      <w:pPr>
        <w:pStyle w:val="BodyText"/>
        <w:spacing w:before="1"/>
        <w:rPr>
          <w:sz w:val="23"/>
        </w:rPr>
      </w:pPr>
    </w:p>
    <w:p>
      <w:pPr>
        <w:numPr>
          <w:ilvl w:val="1"/>
          <w:numId w:val="58"/>
        </w:numPr>
        <w:tabs>
          <w:tab w:pos="1960" w:val="left" w:leader="none"/>
          <w:tab w:pos="1961" w:val="left" w:leader="none"/>
        </w:tabs>
        <w:spacing w:before="0"/>
        <w:ind w:left="1960" w:right="0" w:hanging="721"/>
        <w:jc w:val="left"/>
        <w:rPr>
          <w:b/>
          <w:sz w:val="18"/>
        </w:rPr>
      </w:pPr>
      <w:r>
        <w:rPr>
          <w:b/>
          <w:color w:val="231F20"/>
          <w:w w:val="110"/>
          <w:sz w:val="18"/>
        </w:rPr>
        <w:t>World Alliance of Reformed </w:t>
      </w:r>
      <w:r>
        <w:rPr>
          <w:b/>
          <w:color w:val="231F20"/>
          <w:spacing w:val="2"/>
          <w:w w:val="110"/>
          <w:sz w:val="18"/>
        </w:rPr>
        <w:t>Churches </w:t>
      </w:r>
      <w:r>
        <w:rPr>
          <w:b/>
          <w:color w:val="231F20"/>
          <w:w w:val="110"/>
          <w:sz w:val="18"/>
        </w:rPr>
        <w:t>(WARC) General</w:t>
      </w:r>
      <w:r>
        <w:rPr>
          <w:b/>
          <w:color w:val="231F20"/>
          <w:spacing w:val="12"/>
          <w:w w:val="110"/>
          <w:sz w:val="18"/>
        </w:rPr>
        <w:t> </w:t>
      </w:r>
      <w:r>
        <w:rPr>
          <w:b/>
          <w:color w:val="231F20"/>
          <w:w w:val="110"/>
          <w:sz w:val="18"/>
        </w:rPr>
        <w:t>Council</w:t>
      </w:r>
    </w:p>
    <w:p>
      <w:pPr>
        <w:pStyle w:val="BodyText"/>
        <w:spacing w:line="273" w:lineRule="auto" w:before="32"/>
        <w:ind w:left="1240" w:right="1593"/>
      </w:pPr>
      <w:r>
        <w:rPr>
          <w:color w:val="231F20"/>
          <w:w w:val="110"/>
        </w:rPr>
        <w:t>Ms Sarah Hall, Ms Emma Pugh, Revd Dr David Pickering, Secretary for International Relations, General Secretary</w:t>
      </w:r>
    </w:p>
    <w:p>
      <w:pPr>
        <w:pStyle w:val="BodyText"/>
        <w:spacing w:before="8"/>
        <w:rPr>
          <w:sz w:val="20"/>
        </w:rPr>
      </w:pPr>
    </w:p>
    <w:p>
      <w:pPr>
        <w:numPr>
          <w:ilvl w:val="1"/>
          <w:numId w:val="58"/>
        </w:numPr>
        <w:tabs>
          <w:tab w:pos="1960" w:val="left" w:leader="none"/>
          <w:tab w:pos="1961" w:val="left" w:leader="none"/>
        </w:tabs>
        <w:spacing w:line="273" w:lineRule="auto" w:before="0"/>
        <w:ind w:left="1960" w:right="2103" w:hanging="720"/>
        <w:jc w:val="left"/>
        <w:rPr>
          <w:b/>
          <w:sz w:val="18"/>
        </w:rPr>
      </w:pPr>
      <w:r>
        <w:rPr>
          <w:b/>
          <w:color w:val="231F20"/>
          <w:spacing w:val="2"/>
          <w:w w:val="110"/>
          <w:sz w:val="18"/>
        </w:rPr>
        <w:t>Churches </w:t>
      </w:r>
      <w:r>
        <w:rPr>
          <w:b/>
          <w:color w:val="231F20"/>
          <w:w w:val="110"/>
          <w:sz w:val="18"/>
        </w:rPr>
        <w:t>Together in Britain and Ireland (CTBI) Church </w:t>
      </w:r>
      <w:r>
        <w:rPr>
          <w:b/>
          <w:color w:val="231F20"/>
          <w:spacing w:val="2"/>
          <w:w w:val="110"/>
          <w:sz w:val="18"/>
        </w:rPr>
        <w:t>Leaders’ Meeting</w:t>
      </w:r>
    </w:p>
    <w:p>
      <w:pPr>
        <w:pStyle w:val="BodyText"/>
        <w:spacing w:before="1"/>
        <w:ind w:left="1240"/>
      </w:pPr>
      <w:r>
        <w:rPr>
          <w:color w:val="231F20"/>
          <w:w w:val="110"/>
        </w:rPr>
        <w:t>The Moderator of General Assembly</w:t>
      </w:r>
    </w:p>
    <w:p>
      <w:pPr>
        <w:pStyle w:val="BodyText"/>
        <w:spacing w:before="1"/>
        <w:rPr>
          <w:sz w:val="23"/>
        </w:rPr>
      </w:pPr>
    </w:p>
    <w:p>
      <w:pPr>
        <w:numPr>
          <w:ilvl w:val="2"/>
          <w:numId w:val="58"/>
        </w:numPr>
        <w:tabs>
          <w:tab w:pos="1961" w:val="left" w:leader="none"/>
        </w:tabs>
        <w:spacing w:before="1"/>
        <w:ind w:left="1960" w:right="0" w:hanging="721"/>
        <w:jc w:val="left"/>
        <w:rPr>
          <w:b/>
          <w:color w:val="231F20"/>
          <w:sz w:val="18"/>
        </w:rPr>
      </w:pPr>
      <w:r>
        <w:rPr>
          <w:b/>
          <w:color w:val="231F20"/>
          <w:w w:val="110"/>
          <w:sz w:val="18"/>
        </w:rPr>
        <w:t>CTBI Senior </w:t>
      </w:r>
      <w:r>
        <w:rPr>
          <w:b/>
          <w:color w:val="231F20"/>
          <w:spacing w:val="2"/>
          <w:w w:val="110"/>
          <w:sz w:val="18"/>
        </w:rPr>
        <w:t>Representatives’</w:t>
      </w:r>
      <w:r>
        <w:rPr>
          <w:b/>
          <w:color w:val="231F20"/>
          <w:spacing w:val="1"/>
          <w:w w:val="110"/>
          <w:sz w:val="18"/>
        </w:rPr>
        <w:t> </w:t>
      </w:r>
      <w:r>
        <w:rPr>
          <w:b/>
          <w:color w:val="231F20"/>
          <w:w w:val="110"/>
          <w:sz w:val="18"/>
        </w:rPr>
        <w:t>Forum</w:t>
      </w:r>
    </w:p>
    <w:p>
      <w:pPr>
        <w:pStyle w:val="BodyText"/>
        <w:spacing w:before="31"/>
        <w:ind w:left="1240"/>
      </w:pPr>
      <w:r>
        <w:rPr>
          <w:color w:val="231F20"/>
          <w:w w:val="110"/>
        </w:rPr>
        <w:t>General Secretary, Secretary for Ecumenical Relations</w:t>
      </w:r>
    </w:p>
    <w:p>
      <w:pPr>
        <w:pStyle w:val="BodyText"/>
        <w:spacing w:before="1"/>
        <w:rPr>
          <w:sz w:val="23"/>
        </w:rPr>
      </w:pPr>
    </w:p>
    <w:p>
      <w:pPr>
        <w:numPr>
          <w:ilvl w:val="2"/>
          <w:numId w:val="58"/>
        </w:numPr>
        <w:tabs>
          <w:tab w:pos="1961" w:val="left" w:leader="none"/>
        </w:tabs>
        <w:spacing w:before="1"/>
        <w:ind w:left="1960" w:right="0" w:hanging="721"/>
        <w:jc w:val="left"/>
        <w:rPr>
          <w:b/>
          <w:color w:val="231F20"/>
          <w:sz w:val="18"/>
        </w:rPr>
      </w:pPr>
      <w:r>
        <w:rPr>
          <w:b/>
          <w:color w:val="231F20"/>
          <w:w w:val="110"/>
          <w:sz w:val="18"/>
        </w:rPr>
        <w:t>CTBI – Environmental </w:t>
      </w:r>
      <w:r>
        <w:rPr>
          <w:b/>
          <w:color w:val="231F20"/>
          <w:spacing w:val="2"/>
          <w:w w:val="110"/>
          <w:sz w:val="18"/>
        </w:rPr>
        <w:t>Issues </w:t>
      </w:r>
      <w:r>
        <w:rPr>
          <w:b/>
          <w:color w:val="231F20"/>
          <w:w w:val="110"/>
          <w:sz w:val="18"/>
        </w:rPr>
        <w:t>Network</w:t>
      </w:r>
    </w:p>
    <w:p>
      <w:pPr>
        <w:pStyle w:val="BodyText"/>
        <w:spacing w:before="31"/>
        <w:ind w:left="1240"/>
      </w:pPr>
      <w:r>
        <w:rPr>
          <w:color w:val="231F20"/>
          <w:w w:val="110"/>
        </w:rPr>
        <w:t>Revd David Coaker, Revd Dr David Pickering</w:t>
      </w:r>
    </w:p>
    <w:p>
      <w:pPr>
        <w:pStyle w:val="BodyText"/>
        <w:spacing w:before="1"/>
        <w:rPr>
          <w:sz w:val="23"/>
        </w:rPr>
      </w:pPr>
    </w:p>
    <w:p>
      <w:pPr>
        <w:numPr>
          <w:ilvl w:val="2"/>
          <w:numId w:val="58"/>
        </w:numPr>
        <w:tabs>
          <w:tab w:pos="1961" w:val="left" w:leader="none"/>
        </w:tabs>
        <w:spacing w:before="1"/>
        <w:ind w:left="1960" w:right="0" w:hanging="721"/>
        <w:jc w:val="left"/>
        <w:rPr>
          <w:b/>
          <w:color w:val="231F20"/>
          <w:sz w:val="18"/>
        </w:rPr>
      </w:pPr>
      <w:r>
        <w:rPr>
          <w:b/>
          <w:color w:val="231F20"/>
          <w:w w:val="110"/>
          <w:sz w:val="18"/>
        </w:rPr>
        <w:t>CTBI – Church and </w:t>
      </w:r>
      <w:r>
        <w:rPr>
          <w:b/>
          <w:color w:val="231F20"/>
          <w:spacing w:val="3"/>
          <w:w w:val="110"/>
          <w:sz w:val="18"/>
        </w:rPr>
        <w:t>Society</w:t>
      </w:r>
      <w:r>
        <w:rPr>
          <w:b/>
          <w:color w:val="231F20"/>
          <w:spacing w:val="2"/>
          <w:w w:val="110"/>
          <w:sz w:val="18"/>
        </w:rPr>
        <w:t> </w:t>
      </w:r>
      <w:r>
        <w:rPr>
          <w:b/>
          <w:color w:val="231F20"/>
          <w:w w:val="110"/>
          <w:sz w:val="18"/>
        </w:rPr>
        <w:t>Forum</w:t>
      </w:r>
    </w:p>
    <w:p>
      <w:pPr>
        <w:pStyle w:val="BodyText"/>
        <w:spacing w:before="31"/>
        <w:ind w:left="1240"/>
      </w:pPr>
      <w:r>
        <w:rPr>
          <w:color w:val="231F20"/>
          <w:w w:val="110"/>
        </w:rPr>
        <w:t>Mr Stuart Dew, Mr Simon Loveitt</w:t>
      </w:r>
    </w:p>
    <w:p>
      <w:pPr>
        <w:spacing w:after="0"/>
        <w:sectPr>
          <w:pgSz w:w="11910" w:h="16840"/>
          <w:pgMar w:header="581" w:footer="544" w:top="860" w:bottom="740" w:left="460" w:right="0"/>
        </w:sectPr>
      </w:pPr>
    </w:p>
    <w:p>
      <w:pPr>
        <w:pStyle w:val="BodyText"/>
        <w:spacing w:before="10"/>
        <w:rPr>
          <w:sz w:val="11"/>
        </w:rPr>
      </w:pPr>
    </w:p>
    <w:p>
      <w:pPr>
        <w:numPr>
          <w:ilvl w:val="2"/>
          <w:numId w:val="58"/>
        </w:numPr>
        <w:tabs>
          <w:tab w:pos="1394" w:val="left" w:leader="none"/>
        </w:tabs>
        <w:spacing w:before="101"/>
        <w:ind w:left="1393" w:right="0" w:hanging="721"/>
        <w:jc w:val="left"/>
        <w:rPr>
          <w:b/>
          <w:color w:val="231F20"/>
          <w:sz w:val="18"/>
        </w:rPr>
      </w:pPr>
      <w:r>
        <w:rPr>
          <w:b/>
          <w:color w:val="231F20"/>
          <w:w w:val="110"/>
          <w:sz w:val="18"/>
        </w:rPr>
        <w:t>CTBI </w:t>
      </w:r>
      <w:r>
        <w:rPr>
          <w:b/>
          <w:color w:val="231F20"/>
          <w:spacing w:val="2"/>
          <w:w w:val="110"/>
          <w:sz w:val="18"/>
        </w:rPr>
        <w:t>Churches’ </w:t>
      </w:r>
      <w:r>
        <w:rPr>
          <w:b/>
          <w:color w:val="231F20"/>
          <w:w w:val="110"/>
          <w:sz w:val="18"/>
        </w:rPr>
        <w:t>Criminal </w:t>
      </w:r>
      <w:r>
        <w:rPr>
          <w:b/>
          <w:color w:val="231F20"/>
          <w:spacing w:val="2"/>
          <w:w w:val="110"/>
          <w:sz w:val="18"/>
        </w:rPr>
        <w:t>Justice</w:t>
      </w:r>
      <w:r>
        <w:rPr>
          <w:b/>
          <w:color w:val="231F20"/>
          <w:spacing w:val="-1"/>
          <w:w w:val="110"/>
          <w:sz w:val="18"/>
        </w:rPr>
        <w:t> </w:t>
      </w:r>
      <w:r>
        <w:rPr>
          <w:b/>
          <w:color w:val="231F20"/>
          <w:w w:val="110"/>
          <w:sz w:val="18"/>
        </w:rPr>
        <w:t>Forum</w:t>
      </w:r>
    </w:p>
    <w:p>
      <w:pPr>
        <w:pStyle w:val="BodyText"/>
        <w:spacing w:before="31"/>
        <w:ind w:left="673"/>
      </w:pPr>
      <w:r>
        <w:rPr>
          <w:color w:val="231F20"/>
          <w:w w:val="110"/>
        </w:rPr>
        <w:t>Mrs Wilma Frew</w:t>
      </w:r>
    </w:p>
    <w:p>
      <w:pPr>
        <w:pStyle w:val="BodyText"/>
        <w:spacing w:before="1"/>
        <w:rPr>
          <w:sz w:val="23"/>
        </w:rPr>
      </w:pPr>
    </w:p>
    <w:p>
      <w:pPr>
        <w:numPr>
          <w:ilvl w:val="1"/>
          <w:numId w:val="58"/>
        </w:numPr>
        <w:tabs>
          <w:tab w:pos="1393" w:val="left" w:leader="none"/>
          <w:tab w:pos="1394" w:val="left" w:leader="none"/>
        </w:tabs>
        <w:spacing w:before="1"/>
        <w:ind w:left="1393" w:right="0" w:hanging="721"/>
        <w:jc w:val="left"/>
        <w:rPr>
          <w:b/>
          <w:sz w:val="18"/>
        </w:rPr>
      </w:pPr>
      <w:r>
        <w:rPr>
          <w:b/>
          <w:color w:val="231F20"/>
          <w:spacing w:val="2"/>
          <w:w w:val="110"/>
          <w:sz w:val="18"/>
        </w:rPr>
        <w:t>Churches </w:t>
      </w:r>
      <w:r>
        <w:rPr>
          <w:b/>
          <w:color w:val="231F20"/>
          <w:w w:val="110"/>
          <w:sz w:val="18"/>
        </w:rPr>
        <w:t>Together in England (CTE) Forum</w:t>
      </w:r>
      <w:r>
        <w:rPr>
          <w:b/>
          <w:color w:val="231F20"/>
          <w:spacing w:val="1"/>
          <w:w w:val="110"/>
          <w:sz w:val="18"/>
        </w:rPr>
        <w:t> </w:t>
      </w:r>
      <w:r>
        <w:rPr>
          <w:b/>
          <w:color w:val="231F20"/>
          <w:w w:val="110"/>
          <w:sz w:val="18"/>
        </w:rPr>
        <w:t>2006</w:t>
      </w:r>
    </w:p>
    <w:p>
      <w:pPr>
        <w:pStyle w:val="BodyText"/>
        <w:spacing w:line="273" w:lineRule="auto" w:before="31"/>
        <w:ind w:left="673" w:right="2348"/>
      </w:pPr>
      <w:r>
        <w:rPr>
          <w:color w:val="231F20"/>
          <w:w w:val="110"/>
        </w:rPr>
        <w:t>Miss Alison Micklem, Revd Peter Poulter, Revd Andrew Prasad, Mrs Helen Renner, Revd Elizabeth Nash, Mrs Wilma Frew, Mr Stuart Dew, Mr John Brown,</w:t>
      </w:r>
    </w:p>
    <w:p>
      <w:pPr>
        <w:pStyle w:val="BodyText"/>
        <w:spacing w:before="1"/>
        <w:ind w:left="673"/>
      </w:pPr>
      <w:r>
        <w:rPr>
          <w:color w:val="231F20"/>
          <w:w w:val="110"/>
        </w:rPr>
        <w:t>Dr Suzanne McDonald, General Secretary, Secretary for Ecumenical Relations</w:t>
      </w:r>
    </w:p>
    <w:p>
      <w:pPr>
        <w:pStyle w:val="BodyText"/>
        <w:spacing w:before="2"/>
        <w:rPr>
          <w:sz w:val="23"/>
        </w:rPr>
      </w:pPr>
    </w:p>
    <w:p>
      <w:pPr>
        <w:numPr>
          <w:ilvl w:val="2"/>
          <w:numId w:val="58"/>
        </w:numPr>
        <w:tabs>
          <w:tab w:pos="1394" w:val="left" w:leader="none"/>
        </w:tabs>
        <w:spacing w:before="0"/>
        <w:ind w:left="1393" w:right="0" w:hanging="721"/>
        <w:jc w:val="left"/>
        <w:rPr>
          <w:b/>
          <w:color w:val="231F20"/>
          <w:sz w:val="18"/>
        </w:rPr>
      </w:pPr>
      <w:r>
        <w:rPr>
          <w:b/>
          <w:color w:val="231F20"/>
          <w:spacing w:val="2"/>
          <w:w w:val="110"/>
          <w:sz w:val="18"/>
        </w:rPr>
        <w:t>CTE </w:t>
      </w:r>
      <w:r>
        <w:rPr>
          <w:b/>
          <w:color w:val="231F20"/>
          <w:w w:val="110"/>
          <w:sz w:val="18"/>
        </w:rPr>
        <w:t>– Enabling</w:t>
      </w:r>
      <w:r>
        <w:rPr>
          <w:b/>
          <w:color w:val="231F20"/>
          <w:spacing w:val="-2"/>
          <w:w w:val="110"/>
          <w:sz w:val="18"/>
        </w:rPr>
        <w:t> </w:t>
      </w:r>
      <w:r>
        <w:rPr>
          <w:b/>
          <w:color w:val="231F20"/>
          <w:w w:val="110"/>
          <w:sz w:val="18"/>
        </w:rPr>
        <w:t>Group</w:t>
      </w:r>
    </w:p>
    <w:p>
      <w:pPr>
        <w:pStyle w:val="BodyText"/>
        <w:spacing w:before="31"/>
        <w:ind w:left="673"/>
      </w:pPr>
      <w:r>
        <w:rPr>
          <w:color w:val="231F20"/>
          <w:w w:val="110"/>
        </w:rPr>
        <w:t>Secretary for Ecumenical Relations</w:t>
      </w:r>
    </w:p>
    <w:p>
      <w:pPr>
        <w:pStyle w:val="BodyText"/>
        <w:spacing w:before="2"/>
        <w:rPr>
          <w:sz w:val="23"/>
        </w:rPr>
      </w:pPr>
    </w:p>
    <w:p>
      <w:pPr>
        <w:numPr>
          <w:ilvl w:val="2"/>
          <w:numId w:val="58"/>
        </w:numPr>
        <w:tabs>
          <w:tab w:pos="1394" w:val="left" w:leader="none"/>
        </w:tabs>
        <w:spacing w:before="0"/>
        <w:ind w:left="1393" w:right="0" w:hanging="721"/>
        <w:jc w:val="left"/>
        <w:rPr>
          <w:b/>
          <w:color w:val="231F20"/>
          <w:sz w:val="18"/>
        </w:rPr>
      </w:pPr>
      <w:r>
        <w:rPr>
          <w:b/>
          <w:color w:val="231F20"/>
          <w:spacing w:val="2"/>
          <w:w w:val="110"/>
          <w:sz w:val="18"/>
        </w:rPr>
        <w:t>CTE </w:t>
      </w:r>
      <w:r>
        <w:rPr>
          <w:b/>
          <w:color w:val="231F20"/>
          <w:w w:val="110"/>
          <w:sz w:val="18"/>
        </w:rPr>
        <w:t>– Coordinating Group for </w:t>
      </w:r>
      <w:r>
        <w:rPr>
          <w:b/>
          <w:color w:val="231F20"/>
          <w:spacing w:val="2"/>
          <w:w w:val="110"/>
          <w:sz w:val="18"/>
        </w:rPr>
        <w:t>Local </w:t>
      </w:r>
      <w:r>
        <w:rPr>
          <w:b/>
          <w:color w:val="231F20"/>
          <w:w w:val="110"/>
          <w:sz w:val="18"/>
        </w:rPr>
        <w:t>Unity</w:t>
      </w:r>
    </w:p>
    <w:p>
      <w:pPr>
        <w:pStyle w:val="BodyText"/>
        <w:spacing w:before="31"/>
        <w:ind w:left="673"/>
      </w:pPr>
      <w:r>
        <w:rPr>
          <w:color w:val="231F20"/>
          <w:w w:val="110"/>
        </w:rPr>
        <w:t>Revd Terry Oakley, Secretary for Ecumenical Relations</w:t>
      </w:r>
    </w:p>
    <w:p>
      <w:pPr>
        <w:pStyle w:val="BodyText"/>
        <w:spacing w:before="1"/>
        <w:rPr>
          <w:sz w:val="23"/>
        </w:rPr>
      </w:pPr>
    </w:p>
    <w:p>
      <w:pPr>
        <w:numPr>
          <w:ilvl w:val="2"/>
          <w:numId w:val="58"/>
        </w:numPr>
        <w:tabs>
          <w:tab w:pos="1394" w:val="left" w:leader="none"/>
        </w:tabs>
        <w:spacing w:before="1"/>
        <w:ind w:left="1393" w:right="0" w:hanging="721"/>
        <w:jc w:val="left"/>
        <w:rPr>
          <w:b/>
          <w:color w:val="231F20"/>
          <w:sz w:val="18"/>
        </w:rPr>
      </w:pPr>
      <w:r>
        <w:rPr>
          <w:b/>
          <w:color w:val="231F20"/>
          <w:spacing w:val="2"/>
          <w:w w:val="110"/>
          <w:sz w:val="18"/>
        </w:rPr>
        <w:t>CTE </w:t>
      </w:r>
      <w:r>
        <w:rPr>
          <w:b/>
          <w:color w:val="231F20"/>
          <w:w w:val="110"/>
          <w:sz w:val="18"/>
        </w:rPr>
        <w:t>– </w:t>
      </w:r>
      <w:r>
        <w:rPr>
          <w:b/>
          <w:color w:val="231F20"/>
          <w:spacing w:val="2"/>
          <w:w w:val="110"/>
          <w:sz w:val="18"/>
        </w:rPr>
        <w:t>Churches </w:t>
      </w:r>
      <w:r>
        <w:rPr>
          <w:b/>
          <w:color w:val="231F20"/>
          <w:w w:val="110"/>
          <w:sz w:val="18"/>
        </w:rPr>
        <w:t>Together for</w:t>
      </w:r>
      <w:r>
        <w:rPr>
          <w:b/>
          <w:color w:val="231F20"/>
          <w:spacing w:val="-3"/>
          <w:w w:val="110"/>
          <w:sz w:val="18"/>
        </w:rPr>
        <w:t> </w:t>
      </w:r>
      <w:r>
        <w:rPr>
          <w:b/>
          <w:color w:val="231F20"/>
          <w:w w:val="110"/>
          <w:sz w:val="18"/>
        </w:rPr>
        <w:t>Healing</w:t>
      </w:r>
    </w:p>
    <w:p>
      <w:pPr>
        <w:pStyle w:val="BodyText"/>
        <w:spacing w:before="31"/>
        <w:ind w:left="673"/>
      </w:pPr>
      <w:r>
        <w:rPr>
          <w:color w:val="231F20"/>
          <w:w w:val="110"/>
        </w:rPr>
        <w:t>Revd Delia Bond, Revd Deborah McVey</w:t>
      </w:r>
    </w:p>
    <w:p>
      <w:pPr>
        <w:pStyle w:val="BodyText"/>
        <w:spacing w:before="1"/>
        <w:rPr>
          <w:sz w:val="23"/>
        </w:rPr>
      </w:pPr>
    </w:p>
    <w:p>
      <w:pPr>
        <w:numPr>
          <w:ilvl w:val="2"/>
          <w:numId w:val="58"/>
        </w:numPr>
        <w:tabs>
          <w:tab w:pos="1394" w:val="left" w:leader="none"/>
        </w:tabs>
        <w:spacing w:before="1"/>
        <w:ind w:left="1393" w:right="0" w:hanging="721"/>
        <w:jc w:val="left"/>
        <w:rPr>
          <w:b/>
          <w:color w:val="231F20"/>
          <w:sz w:val="18"/>
        </w:rPr>
      </w:pPr>
      <w:r>
        <w:rPr>
          <w:b/>
          <w:color w:val="231F20"/>
          <w:spacing w:val="2"/>
          <w:w w:val="110"/>
          <w:sz w:val="18"/>
        </w:rPr>
        <w:t>CTE </w:t>
      </w:r>
      <w:r>
        <w:rPr>
          <w:b/>
          <w:color w:val="231F20"/>
          <w:w w:val="110"/>
          <w:sz w:val="18"/>
        </w:rPr>
        <w:t>– Women’s Coordinating</w:t>
      </w:r>
      <w:r>
        <w:rPr>
          <w:b/>
          <w:color w:val="231F20"/>
          <w:spacing w:val="-1"/>
          <w:w w:val="110"/>
          <w:sz w:val="18"/>
        </w:rPr>
        <w:t> </w:t>
      </w:r>
      <w:r>
        <w:rPr>
          <w:b/>
          <w:color w:val="231F20"/>
          <w:w w:val="110"/>
          <w:sz w:val="18"/>
        </w:rPr>
        <w:t>Group</w:t>
      </w:r>
    </w:p>
    <w:p>
      <w:pPr>
        <w:pStyle w:val="BodyText"/>
        <w:spacing w:before="31"/>
        <w:ind w:left="673"/>
      </w:pPr>
      <w:r>
        <w:rPr>
          <w:color w:val="231F20"/>
          <w:w w:val="110"/>
        </w:rPr>
        <w:t>Revd Samantha White</w:t>
      </w:r>
    </w:p>
    <w:p>
      <w:pPr>
        <w:pStyle w:val="BodyText"/>
        <w:spacing w:before="1"/>
        <w:rPr>
          <w:sz w:val="23"/>
        </w:rPr>
      </w:pPr>
    </w:p>
    <w:p>
      <w:pPr>
        <w:numPr>
          <w:ilvl w:val="2"/>
          <w:numId w:val="58"/>
        </w:numPr>
        <w:tabs>
          <w:tab w:pos="1394" w:val="left" w:leader="none"/>
        </w:tabs>
        <w:spacing w:before="1"/>
        <w:ind w:left="1393" w:right="0" w:hanging="721"/>
        <w:jc w:val="left"/>
        <w:rPr>
          <w:b/>
          <w:color w:val="231F20"/>
          <w:sz w:val="18"/>
        </w:rPr>
      </w:pPr>
      <w:r>
        <w:rPr>
          <w:b/>
          <w:color w:val="231F20"/>
          <w:spacing w:val="2"/>
          <w:w w:val="110"/>
          <w:sz w:val="18"/>
        </w:rPr>
        <w:t>CTE </w:t>
      </w:r>
      <w:r>
        <w:rPr>
          <w:b/>
          <w:color w:val="231F20"/>
          <w:w w:val="110"/>
          <w:sz w:val="18"/>
        </w:rPr>
        <w:t>– </w:t>
      </w:r>
      <w:r>
        <w:rPr>
          <w:b/>
          <w:color w:val="231F20"/>
          <w:spacing w:val="2"/>
          <w:w w:val="110"/>
          <w:sz w:val="18"/>
        </w:rPr>
        <w:t>Churches’ Committee </w:t>
      </w:r>
      <w:r>
        <w:rPr>
          <w:b/>
          <w:color w:val="231F20"/>
          <w:w w:val="110"/>
          <w:sz w:val="18"/>
        </w:rPr>
        <w:t>on Funerals and</w:t>
      </w:r>
      <w:r>
        <w:rPr>
          <w:b/>
          <w:color w:val="231F20"/>
          <w:spacing w:val="2"/>
          <w:w w:val="110"/>
          <w:sz w:val="18"/>
        </w:rPr>
        <w:t> </w:t>
      </w:r>
      <w:r>
        <w:rPr>
          <w:b/>
          <w:color w:val="231F20"/>
          <w:w w:val="110"/>
          <w:sz w:val="18"/>
        </w:rPr>
        <w:t>Crematoria</w:t>
      </w:r>
    </w:p>
    <w:p>
      <w:pPr>
        <w:pStyle w:val="BodyText"/>
        <w:spacing w:before="31"/>
        <w:ind w:left="673"/>
      </w:pPr>
      <w:r>
        <w:rPr>
          <w:color w:val="231F20"/>
          <w:w w:val="110"/>
        </w:rPr>
        <w:t>Revd Delia Bond, Revd Sally Thomas</w:t>
      </w:r>
    </w:p>
    <w:p>
      <w:pPr>
        <w:pStyle w:val="BodyText"/>
        <w:spacing w:before="1"/>
        <w:rPr>
          <w:sz w:val="23"/>
        </w:rPr>
      </w:pPr>
    </w:p>
    <w:p>
      <w:pPr>
        <w:numPr>
          <w:ilvl w:val="2"/>
          <w:numId w:val="58"/>
        </w:numPr>
        <w:tabs>
          <w:tab w:pos="1394" w:val="left" w:leader="none"/>
        </w:tabs>
        <w:spacing w:before="1"/>
        <w:ind w:left="1393" w:right="0" w:hanging="721"/>
        <w:jc w:val="left"/>
        <w:rPr>
          <w:b/>
          <w:color w:val="231F20"/>
          <w:sz w:val="18"/>
        </w:rPr>
      </w:pPr>
      <w:r>
        <w:rPr>
          <w:b/>
          <w:color w:val="231F20"/>
          <w:spacing w:val="2"/>
          <w:w w:val="110"/>
          <w:sz w:val="18"/>
        </w:rPr>
        <w:t>CTE </w:t>
      </w:r>
      <w:r>
        <w:rPr>
          <w:b/>
          <w:color w:val="231F20"/>
          <w:w w:val="110"/>
          <w:sz w:val="18"/>
        </w:rPr>
        <w:t>– Free </w:t>
      </w:r>
      <w:r>
        <w:rPr>
          <w:b/>
          <w:color w:val="231F20"/>
          <w:spacing w:val="2"/>
          <w:w w:val="110"/>
          <w:sz w:val="18"/>
        </w:rPr>
        <w:t>Churches’ </w:t>
      </w:r>
      <w:r>
        <w:rPr>
          <w:b/>
          <w:color w:val="231F20"/>
          <w:w w:val="110"/>
          <w:sz w:val="18"/>
        </w:rPr>
        <w:t>Education</w:t>
      </w:r>
      <w:r>
        <w:rPr>
          <w:b/>
          <w:color w:val="231F20"/>
          <w:spacing w:val="-1"/>
          <w:w w:val="110"/>
          <w:sz w:val="18"/>
        </w:rPr>
        <w:t> </w:t>
      </w:r>
      <w:r>
        <w:rPr>
          <w:b/>
          <w:color w:val="231F20"/>
          <w:spacing w:val="2"/>
          <w:w w:val="110"/>
          <w:sz w:val="18"/>
        </w:rPr>
        <w:t>Committee</w:t>
      </w:r>
    </w:p>
    <w:p>
      <w:pPr>
        <w:pStyle w:val="BodyText"/>
        <w:spacing w:before="31"/>
        <w:ind w:left="673"/>
      </w:pPr>
      <w:r>
        <w:rPr>
          <w:color w:val="231F20"/>
          <w:w w:val="110"/>
        </w:rPr>
        <w:t>Mr Graham Handscomb, Mrs Gillian Kingston</w:t>
      </w:r>
    </w:p>
    <w:p>
      <w:pPr>
        <w:pStyle w:val="BodyText"/>
        <w:spacing w:before="1"/>
        <w:rPr>
          <w:sz w:val="23"/>
        </w:rPr>
      </w:pPr>
    </w:p>
    <w:p>
      <w:pPr>
        <w:numPr>
          <w:ilvl w:val="2"/>
          <w:numId w:val="58"/>
        </w:numPr>
        <w:tabs>
          <w:tab w:pos="1394" w:val="left" w:leader="none"/>
        </w:tabs>
        <w:spacing w:before="0"/>
        <w:ind w:left="1393" w:right="0" w:hanging="721"/>
        <w:jc w:val="left"/>
        <w:rPr>
          <w:b/>
          <w:color w:val="231F20"/>
          <w:sz w:val="18"/>
        </w:rPr>
      </w:pPr>
      <w:r>
        <w:rPr>
          <w:b/>
          <w:color w:val="231F20"/>
          <w:spacing w:val="2"/>
          <w:w w:val="110"/>
          <w:sz w:val="18"/>
        </w:rPr>
        <w:t>CTE </w:t>
      </w:r>
      <w:r>
        <w:rPr>
          <w:b/>
          <w:color w:val="231F20"/>
          <w:w w:val="110"/>
          <w:sz w:val="18"/>
        </w:rPr>
        <w:t>– </w:t>
      </w:r>
      <w:r>
        <w:rPr>
          <w:b/>
          <w:color w:val="231F20"/>
          <w:spacing w:val="2"/>
          <w:w w:val="110"/>
          <w:sz w:val="18"/>
        </w:rPr>
        <w:t>Churches’ </w:t>
      </w:r>
      <w:r>
        <w:rPr>
          <w:b/>
          <w:color w:val="231F20"/>
          <w:w w:val="110"/>
          <w:sz w:val="18"/>
        </w:rPr>
        <w:t>Joint Education Policy</w:t>
      </w:r>
      <w:r>
        <w:rPr>
          <w:b/>
          <w:color w:val="231F20"/>
          <w:spacing w:val="1"/>
          <w:w w:val="110"/>
          <w:sz w:val="18"/>
        </w:rPr>
        <w:t> </w:t>
      </w:r>
      <w:r>
        <w:rPr>
          <w:b/>
          <w:color w:val="231F20"/>
          <w:spacing w:val="2"/>
          <w:w w:val="110"/>
          <w:sz w:val="18"/>
        </w:rPr>
        <w:t>Committee</w:t>
      </w:r>
    </w:p>
    <w:p>
      <w:pPr>
        <w:pStyle w:val="BodyText"/>
        <w:spacing w:before="32"/>
        <w:ind w:left="673"/>
      </w:pPr>
      <w:r>
        <w:rPr>
          <w:color w:val="231F20"/>
          <w:w w:val="110"/>
        </w:rPr>
        <w:t>Mr Graham Handscomb</w:t>
      </w:r>
    </w:p>
    <w:p>
      <w:pPr>
        <w:pStyle w:val="BodyText"/>
        <w:spacing w:before="1"/>
        <w:rPr>
          <w:sz w:val="23"/>
        </w:rPr>
      </w:pPr>
    </w:p>
    <w:p>
      <w:pPr>
        <w:pStyle w:val="ListParagraph"/>
        <w:numPr>
          <w:ilvl w:val="1"/>
          <w:numId w:val="58"/>
        </w:numPr>
        <w:tabs>
          <w:tab w:pos="1393" w:val="left" w:leader="none"/>
          <w:tab w:pos="1394" w:val="left" w:leader="none"/>
        </w:tabs>
        <w:spacing w:line="273" w:lineRule="auto" w:before="0" w:after="0"/>
        <w:ind w:left="673" w:right="2500" w:firstLine="0"/>
        <w:jc w:val="left"/>
        <w:rPr>
          <w:sz w:val="18"/>
        </w:rPr>
      </w:pPr>
      <w:r>
        <w:rPr>
          <w:b/>
          <w:color w:val="231F20"/>
          <w:w w:val="110"/>
          <w:sz w:val="18"/>
        </w:rPr>
        <w:t>Action of </w:t>
      </w:r>
      <w:r>
        <w:rPr>
          <w:b/>
          <w:color w:val="231F20"/>
          <w:spacing w:val="2"/>
          <w:w w:val="110"/>
          <w:sz w:val="18"/>
        </w:rPr>
        <w:t>Churches </w:t>
      </w:r>
      <w:r>
        <w:rPr>
          <w:b/>
          <w:color w:val="231F20"/>
          <w:w w:val="110"/>
          <w:sz w:val="18"/>
        </w:rPr>
        <w:t>Together in </w:t>
      </w:r>
      <w:r>
        <w:rPr>
          <w:b/>
          <w:color w:val="231F20"/>
          <w:spacing w:val="2"/>
          <w:w w:val="110"/>
          <w:sz w:val="18"/>
        </w:rPr>
        <w:t>Scotland </w:t>
      </w:r>
      <w:r>
        <w:rPr>
          <w:b/>
          <w:color w:val="231F20"/>
          <w:w w:val="110"/>
          <w:sz w:val="18"/>
        </w:rPr>
        <w:t>(ACTS) Forum </w:t>
      </w:r>
      <w:r>
        <w:rPr>
          <w:color w:val="231F20"/>
          <w:w w:val="110"/>
          <w:sz w:val="18"/>
        </w:rPr>
        <w:t>[see Note 5] Revd John Humphreys, Revd </w:t>
      </w:r>
      <w:r>
        <w:rPr>
          <w:color w:val="231F20"/>
          <w:spacing w:val="2"/>
          <w:w w:val="110"/>
          <w:sz w:val="18"/>
        </w:rPr>
        <w:t>Mary</w:t>
      </w:r>
      <w:r>
        <w:rPr>
          <w:color w:val="231F20"/>
          <w:spacing w:val="7"/>
          <w:w w:val="110"/>
          <w:sz w:val="18"/>
        </w:rPr>
        <w:t> </w:t>
      </w:r>
      <w:r>
        <w:rPr>
          <w:color w:val="231F20"/>
          <w:w w:val="110"/>
          <w:sz w:val="18"/>
        </w:rPr>
        <w:t>Buchanan</w:t>
      </w:r>
    </w:p>
    <w:p>
      <w:pPr>
        <w:pStyle w:val="BodyText"/>
        <w:spacing w:before="8"/>
        <w:rPr>
          <w:sz w:val="20"/>
        </w:rPr>
      </w:pPr>
    </w:p>
    <w:p>
      <w:pPr>
        <w:pStyle w:val="ListParagraph"/>
        <w:numPr>
          <w:ilvl w:val="1"/>
          <w:numId w:val="58"/>
        </w:numPr>
        <w:tabs>
          <w:tab w:pos="1393" w:val="left" w:leader="none"/>
          <w:tab w:pos="1394" w:val="left" w:leader="none"/>
        </w:tabs>
        <w:spacing w:line="273" w:lineRule="auto" w:before="1" w:after="0"/>
        <w:ind w:left="673" w:right="4347" w:firstLine="0"/>
        <w:jc w:val="left"/>
        <w:rPr>
          <w:sz w:val="18"/>
        </w:rPr>
      </w:pPr>
      <w:r>
        <w:rPr>
          <w:b/>
          <w:color w:val="231F20"/>
          <w:w w:val="110"/>
          <w:sz w:val="18"/>
        </w:rPr>
        <w:t>National Sponsoring Body for </w:t>
      </w:r>
      <w:r>
        <w:rPr>
          <w:b/>
          <w:color w:val="231F20"/>
          <w:spacing w:val="2"/>
          <w:w w:val="110"/>
          <w:sz w:val="18"/>
        </w:rPr>
        <w:t>Scotland </w:t>
      </w:r>
      <w:r>
        <w:rPr>
          <w:color w:val="231F20"/>
          <w:w w:val="110"/>
          <w:sz w:val="18"/>
        </w:rPr>
        <w:t>[see note 5] Revd John Humphreys, Revd </w:t>
      </w:r>
      <w:r>
        <w:rPr>
          <w:color w:val="231F20"/>
          <w:spacing w:val="2"/>
          <w:w w:val="110"/>
          <w:sz w:val="18"/>
        </w:rPr>
        <w:t>Mary</w:t>
      </w:r>
      <w:r>
        <w:rPr>
          <w:color w:val="231F20"/>
          <w:spacing w:val="10"/>
          <w:w w:val="110"/>
          <w:sz w:val="18"/>
        </w:rPr>
        <w:t> </w:t>
      </w:r>
      <w:r>
        <w:rPr>
          <w:color w:val="231F20"/>
          <w:w w:val="110"/>
          <w:sz w:val="18"/>
        </w:rPr>
        <w:t>Buchanan</w:t>
      </w:r>
    </w:p>
    <w:p>
      <w:pPr>
        <w:pStyle w:val="BodyText"/>
        <w:spacing w:before="8"/>
        <w:rPr>
          <w:sz w:val="20"/>
        </w:rPr>
      </w:pPr>
    </w:p>
    <w:p>
      <w:pPr>
        <w:pStyle w:val="ListParagraph"/>
        <w:numPr>
          <w:ilvl w:val="1"/>
          <w:numId w:val="58"/>
        </w:numPr>
        <w:tabs>
          <w:tab w:pos="1393" w:val="left" w:leader="none"/>
          <w:tab w:pos="1394" w:val="left" w:leader="none"/>
        </w:tabs>
        <w:spacing w:line="273" w:lineRule="auto" w:before="0" w:after="0"/>
        <w:ind w:left="673" w:right="4501" w:firstLine="0"/>
        <w:jc w:val="left"/>
        <w:rPr>
          <w:sz w:val="18"/>
        </w:rPr>
      </w:pPr>
      <w:r>
        <w:rPr>
          <w:b/>
          <w:color w:val="231F20"/>
          <w:spacing w:val="2"/>
          <w:w w:val="110"/>
          <w:sz w:val="18"/>
        </w:rPr>
        <w:t>Churches </w:t>
      </w:r>
      <w:r>
        <w:rPr>
          <w:b/>
          <w:color w:val="231F20"/>
          <w:w w:val="110"/>
          <w:sz w:val="18"/>
        </w:rPr>
        <w:t>Together in Wales (CYTUN) </w:t>
      </w:r>
      <w:r>
        <w:rPr>
          <w:color w:val="231F20"/>
          <w:w w:val="110"/>
          <w:sz w:val="18"/>
        </w:rPr>
        <w:t>[see Note 5] Revd Peter</w:t>
      </w:r>
      <w:r>
        <w:rPr>
          <w:color w:val="231F20"/>
          <w:spacing w:val="1"/>
          <w:w w:val="110"/>
          <w:sz w:val="18"/>
        </w:rPr>
        <w:t> </w:t>
      </w:r>
      <w:r>
        <w:rPr>
          <w:color w:val="231F20"/>
          <w:w w:val="110"/>
          <w:sz w:val="18"/>
        </w:rPr>
        <w:t>Noble</w:t>
      </w:r>
    </w:p>
    <w:p>
      <w:pPr>
        <w:pStyle w:val="BodyText"/>
        <w:spacing w:before="8"/>
        <w:rPr>
          <w:sz w:val="20"/>
        </w:rPr>
      </w:pPr>
    </w:p>
    <w:p>
      <w:pPr>
        <w:pStyle w:val="ListParagraph"/>
        <w:numPr>
          <w:ilvl w:val="2"/>
          <w:numId w:val="58"/>
        </w:numPr>
        <w:tabs>
          <w:tab w:pos="1394" w:val="left" w:leader="none"/>
        </w:tabs>
        <w:spacing w:line="273" w:lineRule="auto" w:before="0" w:after="0"/>
        <w:ind w:left="673" w:right="4539" w:firstLine="0"/>
        <w:jc w:val="left"/>
        <w:rPr>
          <w:color w:val="231F20"/>
          <w:sz w:val="18"/>
        </w:rPr>
      </w:pPr>
      <w:r>
        <w:rPr>
          <w:b/>
          <w:color w:val="231F20"/>
          <w:w w:val="110"/>
          <w:sz w:val="18"/>
        </w:rPr>
        <w:t>Commission of Covenanted </w:t>
      </w:r>
      <w:r>
        <w:rPr>
          <w:b/>
          <w:color w:val="231F20"/>
          <w:spacing w:val="2"/>
          <w:w w:val="110"/>
          <w:sz w:val="18"/>
        </w:rPr>
        <w:t>Churches </w:t>
      </w:r>
      <w:r>
        <w:rPr>
          <w:color w:val="231F20"/>
          <w:w w:val="110"/>
          <w:sz w:val="18"/>
        </w:rPr>
        <w:t>[see note 5] Revd Peter Noble, Revd Stuart Jackson, </w:t>
      </w:r>
      <w:r>
        <w:rPr>
          <w:color w:val="231F20"/>
          <w:spacing w:val="2"/>
          <w:w w:val="110"/>
          <w:sz w:val="18"/>
        </w:rPr>
        <w:t>Mrs </w:t>
      </w:r>
      <w:r>
        <w:rPr>
          <w:color w:val="231F20"/>
          <w:w w:val="110"/>
          <w:sz w:val="18"/>
        </w:rPr>
        <w:t>Ann</w:t>
      </w:r>
      <w:r>
        <w:rPr>
          <w:color w:val="231F20"/>
          <w:spacing w:val="43"/>
          <w:w w:val="110"/>
          <w:sz w:val="18"/>
        </w:rPr>
        <w:t> </w:t>
      </w:r>
      <w:r>
        <w:rPr>
          <w:color w:val="231F20"/>
          <w:w w:val="110"/>
          <w:sz w:val="18"/>
        </w:rPr>
        <w:t>Shillaker</w:t>
      </w:r>
    </w:p>
    <w:p>
      <w:pPr>
        <w:pStyle w:val="BodyText"/>
        <w:spacing w:before="8"/>
        <w:rPr>
          <w:sz w:val="20"/>
        </w:rPr>
      </w:pPr>
    </w:p>
    <w:p>
      <w:pPr>
        <w:pStyle w:val="ListParagraph"/>
        <w:numPr>
          <w:ilvl w:val="1"/>
          <w:numId w:val="58"/>
        </w:numPr>
        <w:tabs>
          <w:tab w:pos="1393" w:val="left" w:leader="none"/>
          <w:tab w:pos="1394" w:val="left" w:leader="none"/>
        </w:tabs>
        <w:spacing w:line="273" w:lineRule="auto" w:before="0" w:after="0"/>
        <w:ind w:left="673" w:right="5307" w:firstLine="0"/>
        <w:jc w:val="left"/>
        <w:rPr>
          <w:sz w:val="18"/>
        </w:rPr>
      </w:pPr>
      <w:r>
        <w:rPr>
          <w:b/>
          <w:color w:val="231F20"/>
          <w:w w:val="110"/>
          <w:sz w:val="18"/>
        </w:rPr>
        <w:t>Free Church Council for Wales </w:t>
      </w:r>
      <w:r>
        <w:rPr>
          <w:color w:val="231F20"/>
          <w:w w:val="110"/>
          <w:sz w:val="18"/>
        </w:rPr>
        <w:t>[see Note 5] Revd Peter Noble, Revd Stuart</w:t>
      </w:r>
      <w:r>
        <w:rPr>
          <w:color w:val="231F20"/>
          <w:spacing w:val="13"/>
          <w:w w:val="110"/>
          <w:sz w:val="18"/>
        </w:rPr>
        <w:t> </w:t>
      </w:r>
      <w:r>
        <w:rPr>
          <w:color w:val="231F20"/>
          <w:w w:val="110"/>
          <w:sz w:val="18"/>
        </w:rPr>
        <w:t>Jackson</w:t>
      </w:r>
    </w:p>
    <w:p>
      <w:pPr>
        <w:pStyle w:val="BodyText"/>
        <w:rPr>
          <w:sz w:val="22"/>
        </w:rPr>
      </w:pPr>
    </w:p>
    <w:p>
      <w:pPr>
        <w:pStyle w:val="BodyText"/>
        <w:spacing w:before="3"/>
        <w:rPr>
          <w:sz w:val="19"/>
        </w:rPr>
      </w:pPr>
    </w:p>
    <w:p>
      <w:pPr>
        <w:numPr>
          <w:ilvl w:val="0"/>
          <w:numId w:val="58"/>
        </w:numPr>
        <w:tabs>
          <w:tab w:pos="1393" w:val="left" w:leader="none"/>
          <w:tab w:pos="1394" w:val="left" w:leader="none"/>
        </w:tabs>
        <w:spacing w:line="273" w:lineRule="auto" w:before="0"/>
        <w:ind w:left="1393" w:right="1765" w:hanging="720"/>
        <w:jc w:val="left"/>
        <w:rPr>
          <w:b/>
          <w:sz w:val="18"/>
        </w:rPr>
      </w:pPr>
      <w:r>
        <w:rPr>
          <w:b/>
          <w:color w:val="231F20"/>
          <w:w w:val="110"/>
          <w:sz w:val="18"/>
        </w:rPr>
        <w:t>UNITED </w:t>
      </w:r>
      <w:r>
        <w:rPr>
          <w:b/>
          <w:color w:val="231F20"/>
          <w:spacing w:val="2"/>
          <w:w w:val="110"/>
          <w:sz w:val="18"/>
        </w:rPr>
        <w:t>REFORMED </w:t>
      </w:r>
      <w:r>
        <w:rPr>
          <w:b/>
          <w:color w:val="231F20"/>
          <w:w w:val="110"/>
          <w:sz w:val="18"/>
        </w:rPr>
        <w:t>CHURCH REPRESENTATIVES </w:t>
      </w:r>
      <w:r>
        <w:rPr>
          <w:b/>
          <w:color w:val="231F20"/>
          <w:spacing w:val="-6"/>
          <w:w w:val="110"/>
          <w:sz w:val="18"/>
        </w:rPr>
        <w:t>AT </w:t>
      </w:r>
      <w:r>
        <w:rPr>
          <w:b/>
          <w:color w:val="231F20"/>
          <w:w w:val="110"/>
          <w:sz w:val="18"/>
        </w:rPr>
        <w:t>FORMAL BI-LATERAL AND MULTI-LATERAL</w:t>
      </w:r>
      <w:r>
        <w:rPr>
          <w:b/>
          <w:color w:val="231F20"/>
          <w:spacing w:val="1"/>
          <w:w w:val="110"/>
          <w:sz w:val="18"/>
        </w:rPr>
        <w:t> </w:t>
      </w:r>
      <w:r>
        <w:rPr>
          <w:b/>
          <w:color w:val="231F20"/>
          <w:spacing w:val="2"/>
          <w:w w:val="110"/>
          <w:sz w:val="18"/>
        </w:rPr>
        <w:t>COMMITTEES.</w:t>
      </w:r>
    </w:p>
    <w:p>
      <w:pPr>
        <w:pStyle w:val="BodyText"/>
        <w:spacing w:before="8"/>
        <w:rPr>
          <w:b/>
          <w:sz w:val="20"/>
        </w:rPr>
      </w:pPr>
    </w:p>
    <w:p>
      <w:pPr>
        <w:pStyle w:val="ListParagraph"/>
        <w:numPr>
          <w:ilvl w:val="1"/>
          <w:numId w:val="58"/>
        </w:numPr>
        <w:tabs>
          <w:tab w:pos="1393" w:val="left" w:leader="none"/>
          <w:tab w:pos="1394" w:val="left" w:leader="none"/>
        </w:tabs>
        <w:spacing w:line="240" w:lineRule="auto" w:before="0" w:after="0"/>
        <w:ind w:left="1393" w:right="0" w:hanging="721"/>
        <w:jc w:val="left"/>
        <w:rPr>
          <w:b/>
          <w:sz w:val="18"/>
        </w:rPr>
      </w:pPr>
      <w:r>
        <w:rPr>
          <w:b/>
          <w:color w:val="231F20"/>
          <w:w w:val="110"/>
          <w:sz w:val="18"/>
        </w:rPr>
        <w:t>Methodist/United Reformed Church Liaison</w:t>
      </w:r>
      <w:r>
        <w:rPr>
          <w:b/>
          <w:color w:val="231F20"/>
          <w:spacing w:val="6"/>
          <w:w w:val="110"/>
          <w:sz w:val="18"/>
        </w:rPr>
        <w:t> </w:t>
      </w:r>
      <w:r>
        <w:rPr>
          <w:b/>
          <w:color w:val="231F20"/>
          <w:spacing w:val="2"/>
          <w:w w:val="110"/>
          <w:sz w:val="18"/>
        </w:rPr>
        <w:t>Committee</w:t>
      </w:r>
    </w:p>
    <w:p>
      <w:pPr>
        <w:pStyle w:val="BodyText"/>
        <w:spacing w:line="273" w:lineRule="auto" w:before="31"/>
        <w:ind w:left="673" w:right="2219"/>
      </w:pPr>
      <w:r>
        <w:rPr>
          <w:color w:val="231F20"/>
          <w:w w:val="110"/>
        </w:rPr>
        <w:t>Revd Roberta Rominger, Revd Barbara Bennett, Revd Kay Alberg, Miss Emma Pugh, Revd Peter Rand (co-opted), Secretary for Ecumenical Relations</w:t>
      </w:r>
    </w:p>
    <w:p>
      <w:pPr>
        <w:pStyle w:val="BodyText"/>
        <w:spacing w:before="8"/>
        <w:rPr>
          <w:sz w:val="20"/>
        </w:rPr>
      </w:pPr>
    </w:p>
    <w:p>
      <w:pPr>
        <w:numPr>
          <w:ilvl w:val="1"/>
          <w:numId w:val="58"/>
        </w:numPr>
        <w:tabs>
          <w:tab w:pos="1393" w:val="left" w:leader="none"/>
          <w:tab w:pos="1394" w:val="left" w:leader="none"/>
        </w:tabs>
        <w:spacing w:before="0"/>
        <w:ind w:left="1393" w:right="0" w:hanging="721"/>
        <w:jc w:val="left"/>
        <w:rPr>
          <w:b/>
          <w:sz w:val="18"/>
        </w:rPr>
      </w:pPr>
      <w:r>
        <w:rPr>
          <w:b/>
          <w:color w:val="231F20"/>
          <w:w w:val="110"/>
          <w:sz w:val="18"/>
        </w:rPr>
        <w:t>Roman Catholic – United Reformed Church Bilateral</w:t>
      </w:r>
      <w:r>
        <w:rPr>
          <w:b/>
          <w:color w:val="231F20"/>
          <w:spacing w:val="15"/>
          <w:w w:val="110"/>
          <w:sz w:val="18"/>
        </w:rPr>
        <w:t> </w:t>
      </w:r>
      <w:r>
        <w:rPr>
          <w:b/>
          <w:color w:val="231F20"/>
          <w:w w:val="110"/>
          <w:sz w:val="18"/>
        </w:rPr>
        <w:t>Dialogue</w:t>
      </w:r>
    </w:p>
    <w:p>
      <w:pPr>
        <w:pStyle w:val="BodyText"/>
        <w:spacing w:before="32"/>
        <w:ind w:left="673"/>
      </w:pPr>
      <w:r>
        <w:rPr>
          <w:color w:val="231F20"/>
          <w:w w:val="110"/>
        </w:rPr>
        <w:t>Revd Dr David Thompson, Revd Dr John Bradbury, Revd Dr Sarah Hall,</w:t>
      </w:r>
    </w:p>
    <w:p>
      <w:pPr>
        <w:pStyle w:val="BodyText"/>
        <w:spacing w:before="31"/>
        <w:ind w:left="673"/>
      </w:pPr>
      <w:r>
        <w:rPr>
          <w:color w:val="231F20"/>
          <w:w w:val="110"/>
        </w:rPr>
        <w:t>Mrs Ann Shillaker, Mr Malcolm Townsend, Secretary for Ecumenical Relations</w:t>
      </w:r>
    </w:p>
    <w:p>
      <w:pPr>
        <w:spacing w:after="0"/>
        <w:sectPr>
          <w:pgSz w:w="11910" w:h="16840"/>
          <w:pgMar w:header="581" w:footer="544" w:top="860" w:bottom="740" w:left="460" w:right="0"/>
        </w:sectPr>
      </w:pPr>
    </w:p>
    <w:p>
      <w:pPr>
        <w:pStyle w:val="BodyText"/>
        <w:spacing w:before="10"/>
        <w:rPr>
          <w:sz w:val="11"/>
        </w:rPr>
      </w:pPr>
    </w:p>
    <w:p>
      <w:pPr>
        <w:numPr>
          <w:ilvl w:val="1"/>
          <w:numId w:val="58"/>
        </w:numPr>
        <w:tabs>
          <w:tab w:pos="1960" w:val="left" w:leader="none"/>
          <w:tab w:pos="1961" w:val="left" w:leader="none"/>
        </w:tabs>
        <w:spacing w:line="273" w:lineRule="auto" w:before="101"/>
        <w:ind w:left="1960" w:right="2239" w:hanging="720"/>
        <w:jc w:val="left"/>
        <w:rPr>
          <w:b/>
          <w:sz w:val="18"/>
        </w:rPr>
      </w:pPr>
      <w:r>
        <w:rPr>
          <w:b/>
          <w:color w:val="231F20"/>
          <w:w w:val="110"/>
          <w:sz w:val="18"/>
        </w:rPr>
        <w:t>Church of England – United Reformed Church Bilateral Dialogue </w:t>
      </w:r>
      <w:r>
        <w:rPr>
          <w:b/>
          <w:color w:val="231F20"/>
          <w:spacing w:val="-3"/>
          <w:w w:val="110"/>
          <w:sz w:val="18"/>
        </w:rPr>
        <w:t>(God’s </w:t>
      </w:r>
      <w:r>
        <w:rPr>
          <w:b/>
          <w:color w:val="231F20"/>
          <w:w w:val="110"/>
          <w:sz w:val="18"/>
        </w:rPr>
        <w:t>Reign and our</w:t>
      </w:r>
      <w:r>
        <w:rPr>
          <w:b/>
          <w:color w:val="231F20"/>
          <w:spacing w:val="4"/>
          <w:w w:val="110"/>
          <w:sz w:val="18"/>
        </w:rPr>
        <w:t> </w:t>
      </w:r>
      <w:r>
        <w:rPr>
          <w:b/>
          <w:color w:val="231F20"/>
          <w:w w:val="110"/>
          <w:sz w:val="18"/>
        </w:rPr>
        <w:t>Unity)</w:t>
      </w:r>
    </w:p>
    <w:p>
      <w:pPr>
        <w:pStyle w:val="BodyText"/>
        <w:spacing w:before="1"/>
        <w:ind w:left="1240"/>
      </w:pPr>
      <w:r>
        <w:rPr>
          <w:color w:val="231F20"/>
          <w:w w:val="110"/>
        </w:rPr>
        <w:t>Revd Elizabeth Welch, Revd Dr David Peel, Secretary for Ecumenical Relations</w:t>
      </w:r>
    </w:p>
    <w:p>
      <w:pPr>
        <w:pStyle w:val="BodyText"/>
        <w:spacing w:before="1"/>
        <w:rPr>
          <w:sz w:val="23"/>
        </w:rPr>
      </w:pPr>
    </w:p>
    <w:p>
      <w:pPr>
        <w:numPr>
          <w:ilvl w:val="1"/>
          <w:numId w:val="58"/>
        </w:numPr>
        <w:tabs>
          <w:tab w:pos="1960" w:val="left" w:leader="none"/>
          <w:tab w:pos="1961" w:val="left" w:leader="none"/>
        </w:tabs>
        <w:spacing w:before="1"/>
        <w:ind w:left="1960" w:right="0" w:hanging="721"/>
        <w:jc w:val="left"/>
        <w:rPr>
          <w:b/>
          <w:sz w:val="18"/>
        </w:rPr>
      </w:pPr>
      <w:r>
        <w:rPr>
          <w:b/>
          <w:color w:val="231F20"/>
          <w:w w:val="110"/>
          <w:sz w:val="18"/>
        </w:rPr>
        <w:t>Anglican/Moravian </w:t>
      </w:r>
      <w:r>
        <w:rPr>
          <w:b/>
          <w:color w:val="231F20"/>
          <w:spacing w:val="2"/>
          <w:w w:val="110"/>
          <w:sz w:val="18"/>
        </w:rPr>
        <w:t>Contact</w:t>
      </w:r>
      <w:r>
        <w:rPr>
          <w:b/>
          <w:color w:val="231F20"/>
          <w:w w:val="110"/>
          <w:sz w:val="18"/>
        </w:rPr>
        <w:t> Groups</w:t>
      </w:r>
    </w:p>
    <w:p>
      <w:pPr>
        <w:pStyle w:val="BodyText"/>
        <w:spacing w:before="31"/>
        <w:ind w:left="1240"/>
      </w:pPr>
      <w:r>
        <w:rPr>
          <w:color w:val="231F20"/>
          <w:w w:val="110"/>
        </w:rPr>
        <w:t>Revd David Tatem</w:t>
      </w:r>
    </w:p>
    <w:p>
      <w:pPr>
        <w:pStyle w:val="BodyText"/>
        <w:spacing w:before="1"/>
        <w:rPr>
          <w:sz w:val="23"/>
        </w:rPr>
      </w:pPr>
    </w:p>
    <w:p>
      <w:pPr>
        <w:numPr>
          <w:ilvl w:val="1"/>
          <w:numId w:val="58"/>
        </w:numPr>
        <w:tabs>
          <w:tab w:pos="1960" w:val="left" w:leader="none"/>
          <w:tab w:pos="1961" w:val="left" w:leader="none"/>
        </w:tabs>
        <w:spacing w:line="273" w:lineRule="auto" w:before="0"/>
        <w:ind w:left="1960" w:right="1316" w:hanging="720"/>
        <w:jc w:val="left"/>
        <w:rPr>
          <w:b/>
          <w:sz w:val="18"/>
        </w:rPr>
      </w:pPr>
      <w:r>
        <w:rPr>
          <w:b/>
          <w:color w:val="231F20"/>
          <w:w w:val="110"/>
          <w:sz w:val="18"/>
        </w:rPr>
        <w:t>Tri-lateral Conversation of the </w:t>
      </w:r>
      <w:r>
        <w:rPr>
          <w:b/>
          <w:color w:val="231F20"/>
          <w:spacing w:val="3"/>
          <w:w w:val="110"/>
          <w:sz w:val="18"/>
        </w:rPr>
        <w:t>Scottish </w:t>
      </w:r>
      <w:r>
        <w:rPr>
          <w:b/>
          <w:color w:val="231F20"/>
          <w:w w:val="110"/>
          <w:sz w:val="18"/>
        </w:rPr>
        <w:t>Episcopal Church, the Methodist Church and the United Reformed</w:t>
      </w:r>
      <w:r>
        <w:rPr>
          <w:b/>
          <w:color w:val="231F20"/>
          <w:spacing w:val="7"/>
          <w:w w:val="110"/>
          <w:sz w:val="18"/>
        </w:rPr>
        <w:t> </w:t>
      </w:r>
      <w:r>
        <w:rPr>
          <w:b/>
          <w:color w:val="231F20"/>
          <w:w w:val="110"/>
          <w:sz w:val="18"/>
        </w:rPr>
        <w:t>Church</w:t>
      </w:r>
    </w:p>
    <w:p>
      <w:pPr>
        <w:pStyle w:val="BodyText"/>
        <w:spacing w:before="2"/>
        <w:ind w:left="1240"/>
      </w:pPr>
      <w:r>
        <w:rPr>
          <w:color w:val="231F20"/>
          <w:w w:val="110"/>
        </w:rPr>
        <w:t>Revd John Humphreys, Revd Mary Buchanan, Revd John Young</w:t>
      </w:r>
    </w:p>
    <w:p>
      <w:pPr>
        <w:pStyle w:val="BodyText"/>
        <w:rPr>
          <w:sz w:val="22"/>
        </w:rPr>
      </w:pPr>
    </w:p>
    <w:p>
      <w:pPr>
        <w:pStyle w:val="BodyText"/>
        <w:spacing w:before="8"/>
        <w:rPr>
          <w:sz w:val="21"/>
        </w:rPr>
      </w:pPr>
    </w:p>
    <w:p>
      <w:pPr>
        <w:numPr>
          <w:ilvl w:val="0"/>
          <w:numId w:val="58"/>
        </w:numPr>
        <w:tabs>
          <w:tab w:pos="1960" w:val="left" w:leader="none"/>
          <w:tab w:pos="1961" w:val="left" w:leader="none"/>
        </w:tabs>
        <w:spacing w:line="273" w:lineRule="auto" w:before="0"/>
        <w:ind w:left="1960" w:right="1884" w:hanging="720"/>
        <w:jc w:val="left"/>
        <w:rPr>
          <w:b/>
          <w:sz w:val="18"/>
        </w:rPr>
      </w:pPr>
      <w:r>
        <w:rPr>
          <w:b/>
          <w:color w:val="231F20"/>
          <w:w w:val="110"/>
          <w:sz w:val="18"/>
        </w:rPr>
        <w:t>URC REPRESENTATIVES ON GOVERNING BODIES OF THEOLOGICAL COLLEGES, </w:t>
      </w:r>
      <w:r>
        <w:rPr>
          <w:b/>
          <w:color w:val="231F20"/>
          <w:spacing w:val="2"/>
          <w:w w:val="110"/>
          <w:sz w:val="18"/>
        </w:rPr>
        <w:t>ETC.</w:t>
      </w:r>
    </w:p>
    <w:p>
      <w:pPr>
        <w:pStyle w:val="BodyText"/>
        <w:spacing w:before="8"/>
        <w:rPr>
          <w:b/>
          <w:sz w:val="20"/>
        </w:rPr>
      </w:pPr>
    </w:p>
    <w:p>
      <w:pPr>
        <w:pStyle w:val="ListParagraph"/>
        <w:numPr>
          <w:ilvl w:val="1"/>
          <w:numId w:val="58"/>
        </w:numPr>
        <w:tabs>
          <w:tab w:pos="1960" w:val="left" w:leader="none"/>
          <w:tab w:pos="1961" w:val="left" w:leader="none"/>
        </w:tabs>
        <w:spacing w:line="240" w:lineRule="auto" w:before="1" w:after="0"/>
        <w:ind w:left="1960" w:right="0" w:hanging="721"/>
        <w:jc w:val="left"/>
        <w:rPr>
          <w:b/>
          <w:sz w:val="18"/>
        </w:rPr>
      </w:pPr>
      <w:r>
        <w:rPr>
          <w:b/>
          <w:color w:val="231F20"/>
          <w:w w:val="110"/>
          <w:sz w:val="18"/>
        </w:rPr>
        <w:t>Mansfield College:</w:t>
      </w:r>
    </w:p>
    <w:p>
      <w:pPr>
        <w:pStyle w:val="BodyText"/>
        <w:spacing w:before="31"/>
        <w:ind w:left="1960"/>
      </w:pPr>
      <w:r>
        <w:rPr>
          <w:color w:val="231F20"/>
          <w:w w:val="110"/>
        </w:rPr>
        <w:t>Ministerial and Educational Training Committee: Revd Fiona Thomas [2009]</w:t>
      </w:r>
    </w:p>
    <w:p>
      <w:pPr>
        <w:pStyle w:val="BodyText"/>
        <w:spacing w:line="273" w:lineRule="auto" w:before="31"/>
        <w:ind w:left="6980" w:right="1376"/>
      </w:pPr>
      <w:r>
        <w:rPr>
          <w:color w:val="231F20"/>
          <w:w w:val="110"/>
        </w:rPr>
        <w:t>Revd Nigel Appleton </w:t>
      </w:r>
      <w:r>
        <w:rPr>
          <w:color w:val="231F20"/>
          <w:spacing w:val="-6"/>
          <w:w w:val="110"/>
        </w:rPr>
        <w:t>[2010] </w:t>
      </w:r>
      <w:r>
        <w:rPr>
          <w:color w:val="231F20"/>
          <w:w w:val="110"/>
        </w:rPr>
        <w:t>Convener of the Education </w:t>
      </w:r>
      <w:r>
        <w:rPr>
          <w:color w:val="231F20"/>
          <w:spacing w:val="-4"/>
          <w:w w:val="110"/>
        </w:rPr>
        <w:t>and </w:t>
      </w:r>
      <w:r>
        <w:rPr>
          <w:color w:val="231F20"/>
          <w:w w:val="110"/>
        </w:rPr>
        <w:t>Learning  Committee </w:t>
      </w:r>
      <w:r>
        <w:rPr>
          <w:color w:val="231F20"/>
          <w:spacing w:val="3"/>
          <w:w w:val="110"/>
        </w:rPr>
        <w:t>Secretary </w:t>
      </w:r>
      <w:r>
        <w:rPr>
          <w:color w:val="231F20"/>
          <w:w w:val="110"/>
        </w:rPr>
        <w:t>for Education and Learning</w:t>
      </w:r>
    </w:p>
    <w:p>
      <w:pPr>
        <w:pStyle w:val="BodyText"/>
        <w:spacing w:before="10"/>
        <w:rPr>
          <w:sz w:val="20"/>
        </w:rPr>
      </w:pPr>
    </w:p>
    <w:p>
      <w:pPr>
        <w:pStyle w:val="ListParagraph"/>
        <w:numPr>
          <w:ilvl w:val="1"/>
          <w:numId w:val="58"/>
        </w:numPr>
        <w:tabs>
          <w:tab w:pos="1960" w:val="left" w:leader="none"/>
          <w:tab w:pos="1961" w:val="left" w:leader="none"/>
          <w:tab w:pos="6980" w:val="left" w:leader="none"/>
        </w:tabs>
        <w:spacing w:line="240" w:lineRule="auto" w:before="0" w:after="0"/>
        <w:ind w:left="1960" w:right="0" w:hanging="721"/>
        <w:jc w:val="left"/>
        <w:rPr>
          <w:sz w:val="18"/>
        </w:rPr>
      </w:pPr>
      <w:r>
        <w:rPr>
          <w:b/>
          <w:color w:val="231F20"/>
          <w:w w:val="110"/>
          <w:sz w:val="18"/>
        </w:rPr>
        <w:t>New</w:t>
      </w:r>
      <w:r>
        <w:rPr>
          <w:b/>
          <w:color w:val="231F20"/>
          <w:spacing w:val="19"/>
          <w:w w:val="110"/>
          <w:sz w:val="18"/>
        </w:rPr>
        <w:t> </w:t>
      </w:r>
      <w:r>
        <w:rPr>
          <w:b/>
          <w:color w:val="231F20"/>
          <w:w w:val="110"/>
          <w:sz w:val="18"/>
        </w:rPr>
        <w:t>College</w:t>
      </w:r>
      <w:r>
        <w:rPr>
          <w:b/>
          <w:color w:val="231F20"/>
          <w:spacing w:val="19"/>
          <w:w w:val="110"/>
          <w:sz w:val="18"/>
        </w:rPr>
        <w:t> </w:t>
      </w:r>
      <w:r>
        <w:rPr>
          <w:b/>
          <w:color w:val="231F20"/>
          <w:w w:val="110"/>
          <w:sz w:val="18"/>
        </w:rPr>
        <w:t>London</w:t>
        <w:tab/>
      </w:r>
      <w:r>
        <w:rPr>
          <w:color w:val="231F20"/>
          <w:w w:val="110"/>
          <w:sz w:val="18"/>
        </w:rPr>
        <w:t>Foundation</w:t>
      </w:r>
      <w:r>
        <w:rPr>
          <w:color w:val="231F20"/>
          <w:spacing w:val="1"/>
          <w:w w:val="110"/>
          <w:sz w:val="18"/>
        </w:rPr>
        <w:t> </w:t>
      </w:r>
      <w:r>
        <w:rPr>
          <w:color w:val="231F20"/>
          <w:w w:val="110"/>
          <w:sz w:val="18"/>
        </w:rPr>
        <w:t>Trustees:</w:t>
      </w:r>
    </w:p>
    <w:p>
      <w:pPr>
        <w:pStyle w:val="BodyText"/>
        <w:spacing w:line="273" w:lineRule="auto" w:before="31"/>
        <w:ind w:left="6980" w:right="1764"/>
      </w:pPr>
      <w:r>
        <w:rPr>
          <w:color w:val="231F20"/>
          <w:w w:val="110"/>
        </w:rPr>
        <w:t>Mr Graham Stacy † [2011] Mr Philip Wade † [2011]</w:t>
      </w:r>
    </w:p>
    <w:p>
      <w:pPr>
        <w:pStyle w:val="BodyText"/>
        <w:spacing w:line="273" w:lineRule="auto" w:before="1"/>
        <w:ind w:left="6980" w:right="1056"/>
      </w:pPr>
      <w:r>
        <w:rPr>
          <w:i/>
          <w:color w:val="231F20"/>
          <w:w w:val="110"/>
        </w:rPr>
        <w:t>alternate </w:t>
      </w:r>
      <w:r>
        <w:rPr>
          <w:color w:val="231F20"/>
          <w:w w:val="110"/>
        </w:rPr>
        <w:t>Mr Colin Howard [2008] Mr John Smethers [2009]</w:t>
      </w:r>
    </w:p>
    <w:p>
      <w:pPr>
        <w:pStyle w:val="BodyText"/>
        <w:spacing w:before="8"/>
        <w:rPr>
          <w:sz w:val="20"/>
        </w:rPr>
      </w:pPr>
    </w:p>
    <w:p>
      <w:pPr>
        <w:pStyle w:val="ListParagraph"/>
        <w:numPr>
          <w:ilvl w:val="1"/>
          <w:numId w:val="58"/>
        </w:numPr>
        <w:tabs>
          <w:tab w:pos="1960" w:val="left" w:leader="none"/>
          <w:tab w:pos="1961" w:val="left" w:leader="none"/>
          <w:tab w:pos="6980" w:val="left" w:leader="none"/>
        </w:tabs>
        <w:spacing w:line="273" w:lineRule="auto" w:before="1" w:after="0"/>
        <w:ind w:left="6980" w:right="1600" w:hanging="5740"/>
        <w:jc w:val="left"/>
        <w:rPr>
          <w:sz w:val="18"/>
        </w:rPr>
      </w:pPr>
      <w:r>
        <w:rPr>
          <w:b/>
          <w:color w:val="231F20"/>
          <w:spacing w:val="2"/>
          <w:w w:val="110"/>
          <w:sz w:val="18"/>
        </w:rPr>
        <w:t>Northern</w:t>
      </w:r>
      <w:r>
        <w:rPr>
          <w:b/>
          <w:color w:val="231F20"/>
          <w:spacing w:val="26"/>
          <w:w w:val="110"/>
          <w:sz w:val="18"/>
        </w:rPr>
        <w:t> </w:t>
      </w:r>
      <w:r>
        <w:rPr>
          <w:b/>
          <w:color w:val="231F20"/>
          <w:w w:val="110"/>
          <w:sz w:val="18"/>
        </w:rPr>
        <w:t>College</w:t>
        <w:tab/>
      </w:r>
      <w:r>
        <w:rPr>
          <w:color w:val="231F20"/>
          <w:spacing w:val="3"/>
          <w:w w:val="110"/>
          <w:sz w:val="18"/>
        </w:rPr>
        <w:t>Secretary </w:t>
      </w:r>
      <w:r>
        <w:rPr>
          <w:color w:val="231F20"/>
          <w:w w:val="110"/>
          <w:sz w:val="18"/>
        </w:rPr>
        <w:t>for Education </w:t>
      </w:r>
      <w:r>
        <w:rPr>
          <w:color w:val="231F20"/>
          <w:spacing w:val="-4"/>
          <w:w w:val="110"/>
          <w:sz w:val="18"/>
        </w:rPr>
        <w:t>and </w:t>
      </w:r>
      <w:r>
        <w:rPr>
          <w:color w:val="231F20"/>
          <w:w w:val="110"/>
          <w:sz w:val="18"/>
        </w:rPr>
        <w:t>Learning</w:t>
      </w:r>
      <w:r>
        <w:rPr>
          <w:color w:val="231F20"/>
          <w:spacing w:val="1"/>
          <w:w w:val="110"/>
          <w:sz w:val="18"/>
        </w:rPr>
        <w:t> </w:t>
      </w:r>
      <w:r>
        <w:rPr>
          <w:color w:val="231F20"/>
          <w:w w:val="110"/>
          <w:sz w:val="18"/>
        </w:rPr>
        <w:t>[2009]</w:t>
      </w:r>
    </w:p>
    <w:p>
      <w:pPr>
        <w:pStyle w:val="BodyText"/>
        <w:spacing w:line="273" w:lineRule="auto" w:before="1"/>
        <w:ind w:left="6980" w:right="1593"/>
      </w:pPr>
      <w:r>
        <w:rPr>
          <w:color w:val="231F20"/>
          <w:w w:val="110"/>
        </w:rPr>
        <w:t>Revd David Jenkins [2009] Mr Bill McLaughin [2009]</w:t>
      </w:r>
    </w:p>
    <w:p>
      <w:pPr>
        <w:pStyle w:val="BodyText"/>
        <w:spacing w:line="273" w:lineRule="auto" w:before="1"/>
        <w:ind w:left="6980" w:right="1365"/>
      </w:pPr>
      <w:r>
        <w:rPr>
          <w:color w:val="231F20"/>
          <w:w w:val="110"/>
        </w:rPr>
        <w:t>Miss Margaret Atkinson [2011] Mrs Helen Brown [2011]</w:t>
      </w:r>
    </w:p>
    <w:p>
      <w:pPr>
        <w:pStyle w:val="BodyText"/>
        <w:spacing w:before="1"/>
        <w:ind w:left="6980"/>
      </w:pPr>
      <w:r>
        <w:rPr>
          <w:color w:val="231F20"/>
          <w:w w:val="110"/>
        </w:rPr>
        <w:t>Revd Dr Robert Pope [2011]</w:t>
      </w:r>
    </w:p>
    <w:p>
      <w:pPr>
        <w:pStyle w:val="BodyText"/>
        <w:tabs>
          <w:tab w:pos="6980" w:val="left" w:leader="none"/>
        </w:tabs>
        <w:spacing w:line="273" w:lineRule="auto" w:before="32"/>
        <w:ind w:left="6980" w:right="1604" w:hanging="5740"/>
      </w:pPr>
      <w:r>
        <w:rPr>
          <w:color w:val="231F20"/>
          <w:w w:val="110"/>
        </w:rPr>
        <w:t>Luther King House</w:t>
      </w:r>
      <w:r>
        <w:rPr>
          <w:color w:val="231F20"/>
          <w:spacing w:val="33"/>
          <w:w w:val="110"/>
        </w:rPr>
        <w:t> </w:t>
      </w:r>
      <w:r>
        <w:rPr>
          <w:color w:val="231F20"/>
          <w:w w:val="110"/>
        </w:rPr>
        <w:t>Educational</w:t>
      </w:r>
      <w:r>
        <w:rPr>
          <w:color w:val="231F20"/>
          <w:spacing w:val="11"/>
          <w:w w:val="110"/>
        </w:rPr>
        <w:t> </w:t>
      </w:r>
      <w:r>
        <w:rPr>
          <w:color w:val="231F20"/>
          <w:w w:val="110"/>
        </w:rPr>
        <w:t>Trust</w:t>
        <w:tab/>
      </w:r>
      <w:r>
        <w:rPr>
          <w:color w:val="231F20"/>
          <w:spacing w:val="3"/>
          <w:w w:val="110"/>
        </w:rPr>
        <w:t>Secretary </w:t>
      </w:r>
      <w:r>
        <w:rPr>
          <w:color w:val="231F20"/>
          <w:w w:val="110"/>
        </w:rPr>
        <w:t>for Education </w:t>
      </w:r>
      <w:r>
        <w:rPr>
          <w:color w:val="231F20"/>
          <w:spacing w:val="-4"/>
          <w:w w:val="110"/>
        </w:rPr>
        <w:t>and </w:t>
      </w:r>
      <w:r>
        <w:rPr>
          <w:color w:val="231F20"/>
          <w:w w:val="110"/>
        </w:rPr>
        <w:t>Learning</w:t>
      </w:r>
    </w:p>
    <w:p>
      <w:pPr>
        <w:pStyle w:val="BodyText"/>
        <w:rPr>
          <w:sz w:val="22"/>
        </w:rPr>
      </w:pPr>
    </w:p>
    <w:p>
      <w:pPr>
        <w:pStyle w:val="BodyText"/>
        <w:spacing w:before="3"/>
        <w:rPr>
          <w:sz w:val="19"/>
        </w:rPr>
      </w:pPr>
    </w:p>
    <w:p>
      <w:pPr>
        <w:numPr>
          <w:ilvl w:val="1"/>
          <w:numId w:val="58"/>
        </w:numPr>
        <w:tabs>
          <w:tab w:pos="1960" w:val="left" w:leader="none"/>
          <w:tab w:pos="1961" w:val="left" w:leader="none"/>
        </w:tabs>
        <w:spacing w:before="0"/>
        <w:ind w:left="1960" w:right="0" w:hanging="721"/>
        <w:jc w:val="left"/>
        <w:rPr>
          <w:b/>
          <w:sz w:val="18"/>
        </w:rPr>
      </w:pPr>
      <w:r>
        <w:rPr>
          <w:b/>
          <w:color w:val="231F20"/>
          <w:w w:val="110"/>
          <w:sz w:val="18"/>
        </w:rPr>
        <w:t>Westminster College: Board of</w:t>
      </w:r>
      <w:r>
        <w:rPr>
          <w:b/>
          <w:color w:val="231F20"/>
          <w:spacing w:val="4"/>
          <w:w w:val="110"/>
          <w:sz w:val="18"/>
        </w:rPr>
        <w:t> </w:t>
      </w:r>
      <w:r>
        <w:rPr>
          <w:b/>
          <w:color w:val="231F20"/>
          <w:w w:val="110"/>
          <w:sz w:val="18"/>
        </w:rPr>
        <w:t>Governors</w:t>
      </w:r>
    </w:p>
    <w:p>
      <w:pPr>
        <w:pStyle w:val="BodyText"/>
        <w:spacing w:before="31"/>
        <w:ind w:left="4600"/>
      </w:pPr>
      <w:r>
        <w:rPr>
          <w:color w:val="231F20"/>
          <w:w w:val="110"/>
        </w:rPr>
        <w:t>Convener: Revd Dr David Thompson [2008]</w:t>
      </w:r>
    </w:p>
    <w:p>
      <w:pPr>
        <w:pStyle w:val="BodyText"/>
        <w:spacing w:before="31"/>
        <w:ind w:left="4600"/>
      </w:pPr>
      <w:r>
        <w:rPr>
          <w:color w:val="231F20"/>
          <w:w w:val="110"/>
        </w:rPr>
        <w:t>Clerk: Revd Cecil White</w:t>
      </w:r>
    </w:p>
    <w:p>
      <w:pPr>
        <w:pStyle w:val="BodyText"/>
        <w:spacing w:line="273" w:lineRule="auto" w:before="31"/>
        <w:ind w:left="5635" w:right="1712"/>
      </w:pPr>
      <w:r>
        <w:rPr>
          <w:color w:val="231F20"/>
          <w:w w:val="110"/>
        </w:rPr>
        <w:t>#Professor Sir Anthony </w:t>
      </w:r>
      <w:r>
        <w:rPr>
          <w:color w:val="231F20"/>
          <w:spacing w:val="-5"/>
          <w:w w:val="110"/>
        </w:rPr>
        <w:t>Bottoms**[2014] </w:t>
      </w:r>
      <w:r>
        <w:rPr>
          <w:color w:val="231F20"/>
          <w:w w:val="110"/>
        </w:rPr>
        <w:t>Revd Craig Muir [2009]</w:t>
      </w:r>
    </w:p>
    <w:p>
      <w:pPr>
        <w:pStyle w:val="BodyText"/>
        <w:spacing w:line="273" w:lineRule="auto" w:before="1"/>
        <w:ind w:left="5635" w:right="3653"/>
      </w:pPr>
      <w:r>
        <w:rPr>
          <w:color w:val="231F20"/>
          <w:w w:val="110"/>
        </w:rPr>
        <w:t>Mr John Kidd [2009] Mr Brian Long [2010]</w:t>
      </w:r>
    </w:p>
    <w:p>
      <w:pPr>
        <w:pStyle w:val="BodyText"/>
        <w:spacing w:before="2"/>
        <w:ind w:left="5635"/>
      </w:pPr>
      <w:r>
        <w:rPr>
          <w:color w:val="231F20"/>
          <w:w w:val="110"/>
        </w:rPr>
        <w:t>Revd Fleur Houston [2010]</w:t>
      </w:r>
    </w:p>
    <w:p>
      <w:pPr>
        <w:spacing w:before="31"/>
        <w:ind w:left="5635" w:right="0" w:firstLine="0"/>
        <w:jc w:val="left"/>
        <w:rPr>
          <w:i/>
          <w:sz w:val="18"/>
        </w:rPr>
      </w:pPr>
      <w:r>
        <w:rPr>
          <w:i/>
          <w:color w:val="231F20"/>
          <w:w w:val="110"/>
          <w:sz w:val="18"/>
        </w:rPr>
        <w:t>(Vacancy) [2013]</w:t>
      </w:r>
    </w:p>
    <w:p>
      <w:pPr>
        <w:pStyle w:val="BodyText"/>
        <w:spacing w:before="31"/>
        <w:ind w:left="5635"/>
      </w:pPr>
      <w:r>
        <w:rPr>
          <w:color w:val="231F20"/>
          <w:w w:val="110"/>
        </w:rPr>
        <w:t>Secretary for Education and Learning</w:t>
      </w:r>
    </w:p>
    <w:p>
      <w:pPr>
        <w:pStyle w:val="BodyText"/>
        <w:spacing w:before="2"/>
        <w:rPr>
          <w:sz w:val="23"/>
        </w:rPr>
      </w:pPr>
    </w:p>
    <w:p>
      <w:pPr>
        <w:pStyle w:val="ListParagraph"/>
        <w:numPr>
          <w:ilvl w:val="2"/>
          <w:numId w:val="58"/>
        </w:numPr>
        <w:tabs>
          <w:tab w:pos="1961" w:val="left" w:leader="none"/>
          <w:tab w:pos="6980" w:val="left" w:leader="none"/>
        </w:tabs>
        <w:spacing w:line="240" w:lineRule="auto" w:before="0" w:after="0"/>
        <w:ind w:left="1960" w:right="0" w:hanging="721"/>
        <w:jc w:val="left"/>
        <w:rPr>
          <w:color w:val="231F20"/>
          <w:sz w:val="18"/>
        </w:rPr>
      </w:pPr>
      <w:r>
        <w:rPr>
          <w:b/>
          <w:color w:val="231F20"/>
          <w:w w:val="110"/>
          <w:sz w:val="18"/>
        </w:rPr>
        <w:t>Cheshunt</w:t>
      </w:r>
      <w:r>
        <w:rPr>
          <w:b/>
          <w:color w:val="231F20"/>
          <w:spacing w:val="42"/>
          <w:w w:val="110"/>
          <w:sz w:val="18"/>
        </w:rPr>
        <w:t> </w:t>
      </w:r>
      <w:r>
        <w:rPr>
          <w:b/>
          <w:color w:val="231F20"/>
          <w:w w:val="110"/>
          <w:sz w:val="18"/>
        </w:rPr>
        <w:t>Foundation</w:t>
        <w:tab/>
      </w:r>
      <w:r>
        <w:rPr>
          <w:color w:val="231F20"/>
          <w:w w:val="110"/>
          <w:sz w:val="18"/>
        </w:rPr>
        <w:t>Mr David</w:t>
      </w:r>
      <w:r>
        <w:rPr>
          <w:color w:val="231F20"/>
          <w:spacing w:val="2"/>
          <w:w w:val="110"/>
          <w:sz w:val="18"/>
        </w:rPr>
        <w:t> </w:t>
      </w:r>
      <w:r>
        <w:rPr>
          <w:color w:val="231F20"/>
          <w:w w:val="110"/>
          <w:sz w:val="18"/>
        </w:rPr>
        <w:t>Butler</w:t>
      </w:r>
    </w:p>
    <w:p>
      <w:pPr>
        <w:spacing w:before="31"/>
        <w:ind w:left="6980" w:right="0" w:firstLine="0"/>
        <w:jc w:val="left"/>
        <w:rPr>
          <w:i/>
          <w:sz w:val="18"/>
        </w:rPr>
      </w:pPr>
      <w:r>
        <w:rPr>
          <w:i/>
          <w:color w:val="231F20"/>
          <w:w w:val="110"/>
          <w:sz w:val="18"/>
        </w:rPr>
        <w:t>(Vacancy)</w:t>
      </w:r>
    </w:p>
    <w:p>
      <w:pPr>
        <w:pStyle w:val="BodyText"/>
        <w:spacing w:before="2"/>
        <w:rPr>
          <w:i/>
          <w:sz w:val="23"/>
        </w:rPr>
      </w:pPr>
    </w:p>
    <w:p>
      <w:pPr>
        <w:pStyle w:val="ListParagraph"/>
        <w:numPr>
          <w:ilvl w:val="2"/>
          <w:numId w:val="58"/>
        </w:numPr>
        <w:tabs>
          <w:tab w:pos="1961" w:val="left" w:leader="none"/>
          <w:tab w:pos="6980" w:val="left" w:leader="none"/>
        </w:tabs>
        <w:spacing w:line="240" w:lineRule="auto" w:before="0" w:after="0"/>
        <w:ind w:left="1960" w:right="0" w:hanging="721"/>
        <w:jc w:val="left"/>
        <w:rPr>
          <w:color w:val="231F20"/>
          <w:sz w:val="18"/>
        </w:rPr>
      </w:pPr>
      <w:r>
        <w:rPr>
          <w:b/>
          <w:color w:val="231F20"/>
          <w:w w:val="110"/>
          <w:sz w:val="18"/>
        </w:rPr>
        <w:t>Cambridge</w:t>
      </w:r>
      <w:r>
        <w:rPr>
          <w:b/>
          <w:color w:val="231F20"/>
          <w:spacing w:val="36"/>
          <w:w w:val="110"/>
          <w:sz w:val="18"/>
        </w:rPr>
        <w:t> </w:t>
      </w:r>
      <w:r>
        <w:rPr>
          <w:b/>
          <w:color w:val="231F20"/>
          <w:w w:val="110"/>
          <w:sz w:val="18"/>
        </w:rPr>
        <w:t>Theological</w:t>
      </w:r>
      <w:r>
        <w:rPr>
          <w:b/>
          <w:color w:val="231F20"/>
          <w:spacing w:val="37"/>
          <w:w w:val="110"/>
          <w:sz w:val="18"/>
        </w:rPr>
        <w:t> </w:t>
      </w:r>
      <w:r>
        <w:rPr>
          <w:b/>
          <w:color w:val="231F20"/>
          <w:w w:val="110"/>
          <w:sz w:val="18"/>
        </w:rPr>
        <w:t>Federation</w:t>
        <w:tab/>
      </w:r>
      <w:r>
        <w:rPr>
          <w:color w:val="231F20"/>
          <w:w w:val="110"/>
          <w:sz w:val="18"/>
        </w:rPr>
        <w:t>Convener Westminster</w:t>
      </w:r>
      <w:r>
        <w:rPr>
          <w:color w:val="231F20"/>
          <w:spacing w:val="6"/>
          <w:w w:val="110"/>
          <w:sz w:val="18"/>
        </w:rPr>
        <w:t> </w:t>
      </w:r>
      <w:r>
        <w:rPr>
          <w:color w:val="231F20"/>
          <w:w w:val="110"/>
          <w:sz w:val="18"/>
        </w:rPr>
        <w:t>College</w:t>
      </w:r>
    </w:p>
    <w:p>
      <w:pPr>
        <w:pStyle w:val="BodyText"/>
        <w:spacing w:before="31"/>
        <w:ind w:left="6980"/>
      </w:pPr>
      <w:r>
        <w:rPr>
          <w:color w:val="231F20"/>
          <w:w w:val="110"/>
        </w:rPr>
        <w:t>Governors</w:t>
      </w:r>
    </w:p>
    <w:p>
      <w:pPr>
        <w:spacing w:after="0"/>
        <w:sectPr>
          <w:pgSz w:w="11910" w:h="16840"/>
          <w:pgMar w:header="581" w:footer="544" w:top="860" w:bottom="740" w:left="460" w:right="0"/>
        </w:sectPr>
      </w:pPr>
    </w:p>
    <w:p>
      <w:pPr>
        <w:pStyle w:val="BodyText"/>
        <w:spacing w:before="10"/>
        <w:rPr>
          <w:sz w:val="11"/>
        </w:rPr>
      </w:pPr>
    </w:p>
    <w:p>
      <w:pPr>
        <w:pStyle w:val="ListParagraph"/>
        <w:numPr>
          <w:ilvl w:val="1"/>
          <w:numId w:val="58"/>
        </w:numPr>
        <w:tabs>
          <w:tab w:pos="1393" w:val="left" w:leader="none"/>
          <w:tab w:pos="1394" w:val="left" w:leader="none"/>
          <w:tab w:pos="6413" w:val="left" w:leader="none"/>
        </w:tabs>
        <w:spacing w:line="273" w:lineRule="auto" w:before="101" w:after="0"/>
        <w:ind w:left="6413" w:right="1698" w:hanging="5740"/>
        <w:jc w:val="left"/>
        <w:rPr>
          <w:sz w:val="18"/>
        </w:rPr>
      </w:pPr>
      <w:r>
        <w:rPr>
          <w:b/>
          <w:color w:val="231F20"/>
          <w:spacing w:val="2"/>
          <w:w w:val="110"/>
          <w:sz w:val="18"/>
        </w:rPr>
        <w:t>Homerton</w:t>
      </w:r>
      <w:r>
        <w:rPr>
          <w:b/>
          <w:color w:val="231F20"/>
          <w:spacing w:val="20"/>
          <w:w w:val="110"/>
          <w:sz w:val="18"/>
        </w:rPr>
        <w:t> </w:t>
      </w:r>
      <w:r>
        <w:rPr>
          <w:b/>
          <w:color w:val="231F20"/>
          <w:w w:val="110"/>
          <w:sz w:val="18"/>
        </w:rPr>
        <w:t>College</w:t>
      </w:r>
      <w:r>
        <w:rPr>
          <w:b/>
          <w:color w:val="231F20"/>
          <w:spacing w:val="20"/>
          <w:w w:val="110"/>
          <w:sz w:val="18"/>
        </w:rPr>
        <w:t> </w:t>
      </w:r>
      <w:r>
        <w:rPr>
          <w:b/>
          <w:color w:val="231F20"/>
          <w:w w:val="110"/>
          <w:sz w:val="18"/>
        </w:rPr>
        <w:t>Trustees</w:t>
        <w:tab/>
      </w:r>
      <w:r>
        <w:rPr>
          <w:color w:val="231F20"/>
          <w:spacing w:val="2"/>
          <w:w w:val="110"/>
          <w:sz w:val="18"/>
        </w:rPr>
        <w:t>Lady </w:t>
      </w:r>
      <w:r>
        <w:rPr>
          <w:color w:val="231F20"/>
          <w:w w:val="110"/>
          <w:sz w:val="18"/>
        </w:rPr>
        <w:t>Sally Williams † </w:t>
      </w:r>
      <w:r>
        <w:rPr>
          <w:color w:val="231F20"/>
          <w:spacing w:val="-6"/>
          <w:w w:val="110"/>
          <w:sz w:val="18"/>
        </w:rPr>
        <w:t>[2010] </w:t>
      </w:r>
      <w:r>
        <w:rPr>
          <w:color w:val="231F20"/>
          <w:w w:val="110"/>
          <w:sz w:val="18"/>
        </w:rPr>
        <w:t>Revd Dr David Thompson [2008] Mr John Chaplin</w:t>
      </w:r>
      <w:r>
        <w:rPr>
          <w:color w:val="231F20"/>
          <w:spacing w:val="4"/>
          <w:w w:val="110"/>
          <w:sz w:val="18"/>
        </w:rPr>
        <w:t> </w:t>
      </w:r>
      <w:r>
        <w:rPr>
          <w:color w:val="231F20"/>
          <w:w w:val="110"/>
          <w:sz w:val="18"/>
        </w:rPr>
        <w:t>[2009]</w:t>
      </w:r>
    </w:p>
    <w:p>
      <w:pPr>
        <w:pStyle w:val="BodyText"/>
        <w:spacing w:before="1"/>
        <w:ind w:left="6413"/>
      </w:pPr>
      <w:r>
        <w:rPr>
          <w:color w:val="231F20"/>
          <w:w w:val="110"/>
        </w:rPr>
        <w:t>Mrs Elisabeth Jupp [2010]</w:t>
      </w:r>
    </w:p>
    <w:p>
      <w:pPr>
        <w:pStyle w:val="BodyText"/>
        <w:spacing w:before="2"/>
        <w:rPr>
          <w:sz w:val="23"/>
        </w:rPr>
      </w:pPr>
    </w:p>
    <w:p>
      <w:pPr>
        <w:pStyle w:val="ListParagraph"/>
        <w:numPr>
          <w:ilvl w:val="1"/>
          <w:numId w:val="58"/>
        </w:numPr>
        <w:tabs>
          <w:tab w:pos="1393" w:val="left" w:leader="none"/>
          <w:tab w:pos="1394" w:val="left" w:leader="none"/>
          <w:tab w:pos="6413" w:val="left" w:leader="none"/>
        </w:tabs>
        <w:spacing w:line="273" w:lineRule="auto" w:before="0" w:after="0"/>
        <w:ind w:left="6413" w:right="2794" w:hanging="5740"/>
        <w:jc w:val="left"/>
        <w:rPr>
          <w:sz w:val="18"/>
        </w:rPr>
      </w:pPr>
      <w:r>
        <w:rPr>
          <w:b/>
          <w:color w:val="231F20"/>
          <w:w w:val="110"/>
          <w:sz w:val="18"/>
        </w:rPr>
        <w:t>Queen’s</w:t>
      </w:r>
      <w:r>
        <w:rPr>
          <w:b/>
          <w:color w:val="231F20"/>
          <w:spacing w:val="22"/>
          <w:w w:val="110"/>
          <w:sz w:val="18"/>
        </w:rPr>
        <w:t> </w:t>
      </w:r>
      <w:r>
        <w:rPr>
          <w:b/>
          <w:color w:val="231F20"/>
          <w:w w:val="110"/>
          <w:sz w:val="18"/>
        </w:rPr>
        <w:t>College,</w:t>
      </w:r>
      <w:r>
        <w:rPr>
          <w:b/>
          <w:color w:val="231F20"/>
          <w:spacing w:val="22"/>
          <w:w w:val="110"/>
          <w:sz w:val="18"/>
        </w:rPr>
        <w:t> </w:t>
      </w:r>
      <w:r>
        <w:rPr>
          <w:b/>
          <w:color w:val="231F20"/>
          <w:w w:val="110"/>
          <w:sz w:val="18"/>
        </w:rPr>
        <w:t>Birmingham</w:t>
        <w:tab/>
      </w:r>
      <w:r>
        <w:rPr>
          <w:color w:val="231F20"/>
          <w:w w:val="110"/>
          <w:sz w:val="18"/>
        </w:rPr>
        <w:t>Revd Elizabeth </w:t>
      </w:r>
      <w:r>
        <w:rPr>
          <w:color w:val="231F20"/>
          <w:spacing w:val="-3"/>
          <w:w w:val="110"/>
          <w:sz w:val="18"/>
        </w:rPr>
        <w:t>Welch, </w:t>
      </w:r>
      <w:r>
        <w:rPr>
          <w:color w:val="231F20"/>
          <w:w w:val="110"/>
          <w:sz w:val="18"/>
        </w:rPr>
        <w:t>Mr Simon</w:t>
      </w:r>
      <w:r>
        <w:rPr>
          <w:color w:val="231F20"/>
          <w:spacing w:val="10"/>
          <w:w w:val="110"/>
          <w:sz w:val="18"/>
        </w:rPr>
        <w:t> </w:t>
      </w:r>
      <w:r>
        <w:rPr>
          <w:color w:val="231F20"/>
          <w:w w:val="110"/>
          <w:sz w:val="18"/>
        </w:rPr>
        <w:t>Rowntree</w:t>
      </w:r>
    </w:p>
    <w:p>
      <w:pPr>
        <w:pStyle w:val="BodyText"/>
        <w:spacing w:line="273" w:lineRule="auto" w:before="1"/>
        <w:ind w:left="6413" w:right="1593"/>
      </w:pPr>
      <w:r>
        <w:rPr>
          <w:color w:val="231F20"/>
          <w:w w:val="110"/>
        </w:rPr>
        <w:t>Secretary for Education and Learning in attendance</w:t>
      </w:r>
    </w:p>
    <w:p>
      <w:pPr>
        <w:pStyle w:val="BodyText"/>
        <w:rPr>
          <w:sz w:val="22"/>
        </w:rPr>
      </w:pPr>
    </w:p>
    <w:p>
      <w:pPr>
        <w:pStyle w:val="BodyText"/>
        <w:spacing w:before="3"/>
        <w:rPr>
          <w:sz w:val="19"/>
        </w:rPr>
      </w:pPr>
    </w:p>
    <w:p>
      <w:pPr>
        <w:numPr>
          <w:ilvl w:val="0"/>
          <w:numId w:val="59"/>
        </w:numPr>
        <w:tabs>
          <w:tab w:pos="1393" w:val="left" w:leader="none"/>
          <w:tab w:pos="1394" w:val="left" w:leader="none"/>
        </w:tabs>
        <w:spacing w:line="273" w:lineRule="auto" w:before="0"/>
        <w:ind w:left="1393" w:right="2645" w:hanging="720"/>
        <w:jc w:val="left"/>
        <w:rPr>
          <w:b/>
          <w:sz w:val="18"/>
        </w:rPr>
      </w:pPr>
      <w:r>
        <w:rPr>
          <w:b/>
          <w:color w:val="231F20"/>
          <w:w w:val="110"/>
          <w:sz w:val="18"/>
        </w:rPr>
        <w:t>GOVERNORS OF COLLEGES AND </w:t>
      </w:r>
      <w:r>
        <w:rPr>
          <w:b/>
          <w:color w:val="231F20"/>
          <w:spacing w:val="2"/>
          <w:w w:val="110"/>
          <w:sz w:val="18"/>
        </w:rPr>
        <w:t>SCHOOLS </w:t>
      </w:r>
      <w:r>
        <w:rPr>
          <w:b/>
          <w:color w:val="231F20"/>
          <w:w w:val="110"/>
          <w:sz w:val="18"/>
        </w:rPr>
        <w:t>WITH WHICH THE URC IS ASSOCIATED</w:t>
      </w:r>
    </w:p>
    <w:p>
      <w:pPr>
        <w:pStyle w:val="BodyText"/>
        <w:spacing w:before="8"/>
        <w:rPr>
          <w:b/>
          <w:sz w:val="20"/>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sz w:val="18"/>
        </w:rPr>
      </w:pPr>
      <w:r>
        <w:rPr>
          <w:b/>
          <w:color w:val="231F20"/>
          <w:w w:val="110"/>
          <w:sz w:val="18"/>
        </w:rPr>
        <w:t>Caterham</w:t>
      </w:r>
      <w:r>
        <w:rPr>
          <w:b/>
          <w:color w:val="231F20"/>
          <w:spacing w:val="27"/>
          <w:w w:val="110"/>
          <w:sz w:val="18"/>
        </w:rPr>
        <w:t> </w:t>
      </w:r>
      <w:r>
        <w:rPr>
          <w:b/>
          <w:color w:val="231F20"/>
          <w:spacing w:val="2"/>
          <w:w w:val="110"/>
          <w:sz w:val="18"/>
        </w:rPr>
        <w:t>School</w:t>
        <w:tab/>
      </w:r>
      <w:r>
        <w:rPr>
          <w:color w:val="231F20"/>
          <w:w w:val="110"/>
          <w:sz w:val="18"/>
        </w:rPr>
        <w:t>Revd Nigel Uden †</w:t>
      </w:r>
      <w:r>
        <w:rPr>
          <w:color w:val="231F20"/>
          <w:spacing w:val="6"/>
          <w:w w:val="110"/>
          <w:sz w:val="18"/>
        </w:rPr>
        <w:t> </w:t>
      </w:r>
      <w:r>
        <w:rPr>
          <w:color w:val="231F20"/>
          <w:spacing w:val="-8"/>
          <w:w w:val="110"/>
          <w:sz w:val="18"/>
        </w:rPr>
        <w:t>[2011]</w:t>
      </w:r>
    </w:p>
    <w:p>
      <w:pPr>
        <w:pStyle w:val="BodyText"/>
        <w:spacing w:before="2"/>
        <w:rPr>
          <w:sz w:val="23"/>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i/>
          <w:sz w:val="18"/>
        </w:rPr>
      </w:pPr>
      <w:r>
        <w:rPr>
          <w:b/>
          <w:color w:val="231F20"/>
          <w:w w:val="110"/>
          <w:sz w:val="18"/>
        </w:rPr>
        <w:t>Eltham</w:t>
      </w:r>
      <w:r>
        <w:rPr>
          <w:b/>
          <w:color w:val="231F20"/>
          <w:spacing w:val="30"/>
          <w:w w:val="110"/>
          <w:sz w:val="18"/>
        </w:rPr>
        <w:t> </w:t>
      </w:r>
      <w:r>
        <w:rPr>
          <w:b/>
          <w:color w:val="231F20"/>
          <w:w w:val="110"/>
          <w:sz w:val="18"/>
        </w:rPr>
        <w:t>College</w:t>
        <w:tab/>
      </w:r>
      <w:r>
        <w:rPr>
          <w:i/>
          <w:color w:val="231F20"/>
          <w:w w:val="110"/>
          <w:sz w:val="18"/>
        </w:rPr>
        <w:t>Vacancy</w:t>
      </w:r>
      <w:r>
        <w:rPr>
          <w:i/>
          <w:color w:val="231F20"/>
          <w:spacing w:val="1"/>
          <w:w w:val="110"/>
          <w:sz w:val="18"/>
        </w:rPr>
        <w:t> </w:t>
      </w:r>
      <w:r>
        <w:rPr>
          <w:i/>
          <w:color w:val="231F20"/>
          <w:spacing w:val="-9"/>
          <w:w w:val="110"/>
          <w:sz w:val="18"/>
        </w:rPr>
        <w:t>[2011]</w:t>
      </w:r>
    </w:p>
    <w:p>
      <w:pPr>
        <w:pStyle w:val="BodyText"/>
        <w:spacing w:before="2"/>
        <w:rPr>
          <w:i/>
          <w:sz w:val="23"/>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sz w:val="18"/>
        </w:rPr>
      </w:pPr>
      <w:r>
        <w:rPr>
          <w:b/>
          <w:color w:val="231F20"/>
          <w:w w:val="110"/>
          <w:sz w:val="18"/>
        </w:rPr>
        <w:t>Walthamstow</w:t>
      </w:r>
      <w:r>
        <w:rPr>
          <w:b/>
          <w:color w:val="231F20"/>
          <w:spacing w:val="31"/>
          <w:w w:val="110"/>
          <w:sz w:val="18"/>
        </w:rPr>
        <w:t> </w:t>
      </w:r>
      <w:r>
        <w:rPr>
          <w:b/>
          <w:color w:val="231F20"/>
          <w:w w:val="110"/>
          <w:sz w:val="18"/>
        </w:rPr>
        <w:t>Hall</w:t>
        <w:tab/>
      </w:r>
      <w:r>
        <w:rPr>
          <w:color w:val="231F20"/>
          <w:spacing w:val="2"/>
          <w:w w:val="110"/>
          <w:sz w:val="18"/>
        </w:rPr>
        <w:t>Mrs </w:t>
      </w:r>
      <w:r>
        <w:rPr>
          <w:color w:val="231F20"/>
          <w:w w:val="110"/>
          <w:sz w:val="18"/>
        </w:rPr>
        <w:t>Margaret</w:t>
      </w:r>
      <w:r>
        <w:rPr>
          <w:color w:val="231F20"/>
          <w:spacing w:val="1"/>
          <w:w w:val="110"/>
          <w:sz w:val="18"/>
        </w:rPr>
        <w:t> </w:t>
      </w:r>
      <w:r>
        <w:rPr>
          <w:color w:val="231F20"/>
          <w:w w:val="110"/>
          <w:sz w:val="18"/>
        </w:rPr>
        <w:t>Abraham</w:t>
      </w:r>
    </w:p>
    <w:p>
      <w:pPr>
        <w:pStyle w:val="BodyText"/>
        <w:spacing w:before="1"/>
        <w:rPr>
          <w:sz w:val="23"/>
        </w:rPr>
      </w:pPr>
    </w:p>
    <w:p>
      <w:pPr>
        <w:pStyle w:val="ListParagraph"/>
        <w:numPr>
          <w:ilvl w:val="1"/>
          <w:numId w:val="59"/>
        </w:numPr>
        <w:tabs>
          <w:tab w:pos="1393" w:val="left" w:leader="none"/>
          <w:tab w:pos="1394" w:val="left" w:leader="none"/>
          <w:tab w:pos="6413" w:val="left" w:leader="none"/>
        </w:tabs>
        <w:spacing w:line="273" w:lineRule="auto" w:before="1" w:after="0"/>
        <w:ind w:left="6413" w:right="2563" w:hanging="5740"/>
        <w:jc w:val="left"/>
        <w:rPr>
          <w:sz w:val="18"/>
        </w:rPr>
      </w:pPr>
      <w:r>
        <w:rPr>
          <w:b/>
          <w:color w:val="231F20"/>
          <w:w w:val="110"/>
          <w:sz w:val="18"/>
        </w:rPr>
        <w:t>Milton</w:t>
      </w:r>
      <w:r>
        <w:rPr>
          <w:b/>
          <w:color w:val="231F20"/>
          <w:spacing w:val="22"/>
          <w:w w:val="110"/>
          <w:sz w:val="18"/>
        </w:rPr>
        <w:t> </w:t>
      </w:r>
      <w:r>
        <w:rPr>
          <w:b/>
          <w:color w:val="231F20"/>
          <w:w w:val="110"/>
          <w:sz w:val="18"/>
        </w:rPr>
        <w:t>Mount</w:t>
      </w:r>
      <w:r>
        <w:rPr>
          <w:b/>
          <w:color w:val="231F20"/>
          <w:spacing w:val="23"/>
          <w:w w:val="110"/>
          <w:sz w:val="18"/>
        </w:rPr>
        <w:t> </w:t>
      </w:r>
      <w:r>
        <w:rPr>
          <w:b/>
          <w:color w:val="231F20"/>
          <w:w w:val="110"/>
          <w:sz w:val="18"/>
        </w:rPr>
        <w:t>Foundation</w:t>
        <w:tab/>
      </w:r>
      <w:r>
        <w:rPr>
          <w:color w:val="231F20"/>
          <w:w w:val="110"/>
          <w:sz w:val="18"/>
        </w:rPr>
        <w:t>Mr Graham Rolfe </w:t>
      </w:r>
      <w:r>
        <w:rPr>
          <w:color w:val="231F20"/>
          <w:spacing w:val="-4"/>
          <w:w w:val="110"/>
          <w:sz w:val="18"/>
        </w:rPr>
        <w:t>[2008] </w:t>
      </w:r>
      <w:r>
        <w:rPr>
          <w:color w:val="231F20"/>
          <w:w w:val="110"/>
          <w:sz w:val="18"/>
        </w:rPr>
        <w:t>Mr Brian West</w:t>
      </w:r>
      <w:r>
        <w:rPr>
          <w:color w:val="231F20"/>
          <w:spacing w:val="9"/>
          <w:w w:val="110"/>
          <w:sz w:val="18"/>
        </w:rPr>
        <w:t> </w:t>
      </w:r>
      <w:r>
        <w:rPr>
          <w:color w:val="231F20"/>
          <w:w w:val="110"/>
          <w:sz w:val="18"/>
        </w:rPr>
        <w:t>[2008]</w:t>
      </w:r>
    </w:p>
    <w:p>
      <w:pPr>
        <w:pStyle w:val="BodyText"/>
        <w:spacing w:line="273" w:lineRule="auto" w:before="1"/>
        <w:ind w:left="6413" w:right="1593"/>
      </w:pPr>
      <w:r>
        <w:rPr>
          <w:color w:val="231F20"/>
          <w:w w:val="110"/>
        </w:rPr>
        <w:t>Revd Nicola Furley-Smith [2008] Ms Hilary Miles [2010]</w:t>
      </w:r>
    </w:p>
    <w:p>
      <w:pPr>
        <w:pStyle w:val="BodyText"/>
        <w:spacing w:before="1"/>
        <w:ind w:left="6413"/>
      </w:pPr>
      <w:r>
        <w:rPr>
          <w:color w:val="231F20"/>
          <w:w w:val="110"/>
        </w:rPr>
        <w:t>Revd David Cuckson † [2010]</w:t>
      </w:r>
    </w:p>
    <w:p>
      <w:pPr>
        <w:pStyle w:val="BodyText"/>
        <w:spacing w:before="2"/>
        <w:rPr>
          <w:sz w:val="23"/>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sz w:val="18"/>
        </w:rPr>
      </w:pPr>
      <w:r>
        <w:rPr>
          <w:b/>
          <w:color w:val="231F20"/>
          <w:w w:val="110"/>
          <w:sz w:val="18"/>
        </w:rPr>
        <w:t>Silcoates</w:t>
      </w:r>
      <w:r>
        <w:rPr>
          <w:b/>
          <w:color w:val="231F20"/>
          <w:spacing w:val="34"/>
          <w:w w:val="110"/>
          <w:sz w:val="18"/>
        </w:rPr>
        <w:t> </w:t>
      </w:r>
      <w:r>
        <w:rPr>
          <w:b/>
          <w:color w:val="231F20"/>
          <w:spacing w:val="2"/>
          <w:w w:val="110"/>
          <w:sz w:val="18"/>
        </w:rPr>
        <w:t>School</w:t>
        <w:tab/>
      </w:r>
      <w:r>
        <w:rPr>
          <w:color w:val="231F20"/>
          <w:w w:val="110"/>
          <w:sz w:val="18"/>
        </w:rPr>
        <w:t>Prof Clyde Binfield †</w:t>
      </w:r>
      <w:r>
        <w:rPr>
          <w:color w:val="231F20"/>
          <w:spacing w:val="7"/>
          <w:w w:val="110"/>
          <w:sz w:val="18"/>
        </w:rPr>
        <w:t> </w:t>
      </w:r>
      <w:r>
        <w:rPr>
          <w:color w:val="231F20"/>
          <w:spacing w:val="-8"/>
          <w:w w:val="110"/>
          <w:sz w:val="18"/>
        </w:rPr>
        <w:t>[2011]</w:t>
      </w:r>
    </w:p>
    <w:p>
      <w:pPr>
        <w:pStyle w:val="BodyText"/>
        <w:spacing w:before="31"/>
        <w:ind w:left="6413"/>
      </w:pPr>
      <w:r>
        <w:rPr>
          <w:color w:val="231F20"/>
          <w:w w:val="110"/>
        </w:rPr>
        <w:t>Dr Peter Clarke [2009]</w:t>
      </w:r>
    </w:p>
    <w:p>
      <w:pPr>
        <w:pStyle w:val="BodyText"/>
        <w:spacing w:line="273" w:lineRule="auto" w:before="31"/>
        <w:ind w:left="6413" w:right="2230"/>
      </w:pPr>
      <w:r>
        <w:rPr>
          <w:color w:val="231F20"/>
          <w:w w:val="110"/>
        </w:rPr>
        <w:t>Dr Moira Gallagher [2009] Mrs Valerie Jenkins [2009] Mrs Val Morrison [2010] Revd Alan F T Evans [2010]</w:t>
      </w:r>
    </w:p>
    <w:p>
      <w:pPr>
        <w:pStyle w:val="BodyText"/>
        <w:spacing w:before="10"/>
        <w:rPr>
          <w:sz w:val="20"/>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sz w:val="18"/>
        </w:rPr>
      </w:pPr>
      <w:r>
        <w:rPr>
          <w:b/>
          <w:color w:val="231F20"/>
          <w:w w:val="110"/>
          <w:sz w:val="18"/>
        </w:rPr>
        <w:t>Taunton</w:t>
      </w:r>
      <w:r>
        <w:rPr>
          <w:b/>
          <w:color w:val="231F20"/>
          <w:spacing w:val="3"/>
          <w:w w:val="110"/>
          <w:sz w:val="18"/>
        </w:rPr>
        <w:t> </w:t>
      </w:r>
      <w:r>
        <w:rPr>
          <w:b/>
          <w:color w:val="231F20"/>
          <w:spacing w:val="2"/>
          <w:w w:val="110"/>
          <w:sz w:val="18"/>
        </w:rPr>
        <w:t>School</w:t>
        <w:tab/>
      </w:r>
      <w:r>
        <w:rPr>
          <w:color w:val="231F20"/>
          <w:w w:val="110"/>
          <w:sz w:val="18"/>
        </w:rPr>
        <w:t>Revd David</w:t>
      </w:r>
      <w:r>
        <w:rPr>
          <w:color w:val="231F20"/>
          <w:spacing w:val="4"/>
          <w:w w:val="110"/>
          <w:sz w:val="18"/>
        </w:rPr>
        <w:t> </w:t>
      </w:r>
      <w:r>
        <w:rPr>
          <w:color w:val="231F20"/>
          <w:w w:val="110"/>
          <w:sz w:val="18"/>
        </w:rPr>
        <w:t>Grosch-Miller</w:t>
      </w:r>
    </w:p>
    <w:p>
      <w:pPr>
        <w:pStyle w:val="BodyText"/>
        <w:spacing w:before="1"/>
        <w:rPr>
          <w:sz w:val="23"/>
        </w:rPr>
      </w:pPr>
    </w:p>
    <w:p>
      <w:pPr>
        <w:pStyle w:val="ListParagraph"/>
        <w:numPr>
          <w:ilvl w:val="1"/>
          <w:numId w:val="59"/>
        </w:numPr>
        <w:tabs>
          <w:tab w:pos="1393" w:val="left" w:leader="none"/>
          <w:tab w:pos="1394" w:val="left" w:leader="none"/>
          <w:tab w:pos="6413" w:val="left" w:leader="none"/>
        </w:tabs>
        <w:spacing w:line="240" w:lineRule="auto" w:before="1" w:after="0"/>
        <w:ind w:left="1393" w:right="0" w:hanging="721"/>
        <w:jc w:val="left"/>
        <w:rPr>
          <w:sz w:val="18"/>
        </w:rPr>
      </w:pPr>
      <w:r>
        <w:rPr>
          <w:b/>
          <w:color w:val="231F20"/>
          <w:w w:val="110"/>
          <w:sz w:val="18"/>
        </w:rPr>
        <w:t>Wentworth</w:t>
      </w:r>
      <w:r>
        <w:rPr>
          <w:b/>
          <w:color w:val="231F20"/>
          <w:spacing w:val="40"/>
          <w:w w:val="110"/>
          <w:sz w:val="18"/>
        </w:rPr>
        <w:t> </w:t>
      </w:r>
      <w:r>
        <w:rPr>
          <w:b/>
          <w:color w:val="231F20"/>
          <w:w w:val="110"/>
          <w:sz w:val="18"/>
        </w:rPr>
        <w:t>College</w:t>
        <w:tab/>
      </w:r>
      <w:r>
        <w:rPr>
          <w:color w:val="231F20"/>
          <w:w w:val="110"/>
          <w:sz w:val="18"/>
        </w:rPr>
        <w:t>Revd Daphne</w:t>
      </w:r>
      <w:r>
        <w:rPr>
          <w:color w:val="231F20"/>
          <w:spacing w:val="2"/>
          <w:w w:val="110"/>
          <w:sz w:val="18"/>
        </w:rPr>
        <w:t> </w:t>
      </w:r>
      <w:r>
        <w:rPr>
          <w:color w:val="231F20"/>
          <w:w w:val="110"/>
          <w:sz w:val="18"/>
        </w:rPr>
        <w:t>Hull</w:t>
      </w:r>
    </w:p>
    <w:p>
      <w:pPr>
        <w:pStyle w:val="BodyText"/>
        <w:spacing w:before="1"/>
        <w:rPr>
          <w:sz w:val="23"/>
        </w:rPr>
      </w:pPr>
    </w:p>
    <w:p>
      <w:pPr>
        <w:pStyle w:val="ListParagraph"/>
        <w:numPr>
          <w:ilvl w:val="1"/>
          <w:numId w:val="59"/>
        </w:numPr>
        <w:tabs>
          <w:tab w:pos="1393" w:val="left" w:leader="none"/>
          <w:tab w:pos="1394" w:val="left" w:leader="none"/>
          <w:tab w:pos="6413" w:val="left" w:leader="none"/>
        </w:tabs>
        <w:spacing w:line="240" w:lineRule="auto" w:before="0" w:after="0"/>
        <w:ind w:left="1393" w:right="0" w:hanging="721"/>
        <w:jc w:val="left"/>
        <w:rPr>
          <w:sz w:val="18"/>
        </w:rPr>
      </w:pPr>
      <w:r>
        <w:rPr>
          <w:b/>
          <w:color w:val="231F20"/>
          <w:w w:val="110"/>
          <w:sz w:val="18"/>
        </w:rPr>
        <w:t>Bishops</w:t>
      </w:r>
      <w:r>
        <w:rPr>
          <w:b/>
          <w:color w:val="231F20"/>
          <w:spacing w:val="21"/>
          <w:w w:val="110"/>
          <w:sz w:val="18"/>
        </w:rPr>
        <w:t> </w:t>
      </w:r>
      <w:r>
        <w:rPr>
          <w:b/>
          <w:color w:val="231F20"/>
          <w:spacing w:val="3"/>
          <w:w w:val="110"/>
          <w:sz w:val="18"/>
        </w:rPr>
        <w:t>Stortford</w:t>
      </w:r>
      <w:r>
        <w:rPr>
          <w:b/>
          <w:color w:val="231F20"/>
          <w:spacing w:val="22"/>
          <w:w w:val="110"/>
          <w:sz w:val="18"/>
        </w:rPr>
        <w:t> </w:t>
      </w:r>
      <w:r>
        <w:rPr>
          <w:b/>
          <w:color w:val="231F20"/>
          <w:w w:val="110"/>
          <w:sz w:val="18"/>
        </w:rPr>
        <w:t>College</w:t>
        <w:tab/>
      </w:r>
      <w:r>
        <w:rPr>
          <w:color w:val="231F20"/>
          <w:w w:val="110"/>
          <w:sz w:val="18"/>
        </w:rPr>
        <w:t>Mr Anthony Trigg</w:t>
      </w:r>
      <w:r>
        <w:rPr>
          <w:color w:val="231F20"/>
          <w:spacing w:val="4"/>
          <w:w w:val="110"/>
          <w:sz w:val="18"/>
        </w:rPr>
        <w:t> </w:t>
      </w:r>
      <w:r>
        <w:rPr>
          <w:color w:val="231F20"/>
          <w:spacing w:val="-8"/>
          <w:w w:val="110"/>
          <w:sz w:val="18"/>
        </w:rPr>
        <w:t>[2011]</w:t>
      </w:r>
    </w:p>
    <w:p>
      <w:pPr>
        <w:pStyle w:val="BodyText"/>
        <w:rPr>
          <w:sz w:val="22"/>
        </w:rPr>
      </w:pPr>
    </w:p>
    <w:p>
      <w:pPr>
        <w:pStyle w:val="BodyText"/>
        <w:spacing w:before="9"/>
        <w:rPr>
          <w:sz w:val="21"/>
        </w:rPr>
      </w:pPr>
    </w:p>
    <w:p>
      <w:pPr>
        <w:numPr>
          <w:ilvl w:val="0"/>
          <w:numId w:val="59"/>
        </w:numPr>
        <w:tabs>
          <w:tab w:pos="1393" w:val="left" w:leader="none"/>
          <w:tab w:pos="1394" w:val="left" w:leader="none"/>
        </w:tabs>
        <w:spacing w:before="0"/>
        <w:ind w:left="1393" w:right="0" w:hanging="721"/>
        <w:jc w:val="left"/>
        <w:rPr>
          <w:b/>
          <w:sz w:val="18"/>
        </w:rPr>
      </w:pPr>
      <w:r>
        <w:rPr>
          <w:b/>
          <w:color w:val="231F20"/>
          <w:spacing w:val="2"/>
          <w:w w:val="110"/>
          <w:sz w:val="18"/>
        </w:rPr>
        <w:t>MISCELLANEOUS:</w:t>
      </w:r>
    </w:p>
    <w:p>
      <w:pPr>
        <w:pStyle w:val="BodyText"/>
        <w:spacing w:line="273" w:lineRule="auto" w:before="31"/>
        <w:ind w:left="673" w:right="2219"/>
      </w:pPr>
      <w:r>
        <w:rPr>
          <w:color w:val="231F20"/>
          <w:w w:val="110"/>
        </w:rPr>
        <w:t>The URC is represented on a variety of other national organisations and committees as follows:</w:t>
      </w:r>
    </w:p>
    <w:p>
      <w:pPr>
        <w:pStyle w:val="BodyText"/>
        <w:spacing w:before="8"/>
        <w:rPr>
          <w:sz w:val="20"/>
        </w:rPr>
      </w:pPr>
    </w:p>
    <w:p>
      <w:pPr>
        <w:tabs>
          <w:tab w:pos="6413" w:val="left" w:leader="none"/>
        </w:tabs>
        <w:spacing w:line="273" w:lineRule="auto" w:before="0"/>
        <w:ind w:left="6413" w:right="3206" w:hanging="5740"/>
        <w:jc w:val="left"/>
        <w:rPr>
          <w:sz w:val="18"/>
        </w:rPr>
      </w:pPr>
      <w:r>
        <w:rPr>
          <w:b/>
          <w:color w:val="231F20"/>
          <w:w w:val="110"/>
          <w:sz w:val="18"/>
        </w:rPr>
        <w:t>Retired Ministers’ and</w:t>
      </w:r>
      <w:r>
        <w:rPr>
          <w:b/>
          <w:color w:val="231F20"/>
          <w:spacing w:val="39"/>
          <w:w w:val="110"/>
          <w:sz w:val="18"/>
        </w:rPr>
        <w:t> </w:t>
      </w:r>
      <w:r>
        <w:rPr>
          <w:b/>
          <w:color w:val="231F20"/>
          <w:w w:val="110"/>
          <w:sz w:val="18"/>
        </w:rPr>
        <w:t>Widows’</w:t>
      </w:r>
      <w:r>
        <w:rPr>
          <w:b/>
          <w:color w:val="231F20"/>
          <w:spacing w:val="13"/>
          <w:w w:val="110"/>
          <w:sz w:val="18"/>
        </w:rPr>
        <w:t> </w:t>
      </w:r>
      <w:r>
        <w:rPr>
          <w:b/>
          <w:color w:val="231F20"/>
          <w:w w:val="110"/>
          <w:sz w:val="18"/>
        </w:rPr>
        <w:t>Fund</w:t>
        <w:tab/>
      </w:r>
      <w:r>
        <w:rPr>
          <w:color w:val="231F20"/>
          <w:w w:val="110"/>
          <w:sz w:val="18"/>
        </w:rPr>
        <w:t>Mr Ken Meekison </w:t>
      </w:r>
      <w:r>
        <w:rPr>
          <w:color w:val="231F20"/>
          <w:spacing w:val="2"/>
          <w:w w:val="110"/>
          <w:sz w:val="18"/>
        </w:rPr>
        <w:t>Mrs </w:t>
      </w:r>
      <w:r>
        <w:rPr>
          <w:color w:val="231F20"/>
          <w:w w:val="110"/>
          <w:sz w:val="18"/>
        </w:rPr>
        <w:t>Jill Strong Revd Julian</w:t>
      </w:r>
      <w:r>
        <w:rPr>
          <w:color w:val="231F20"/>
          <w:spacing w:val="8"/>
          <w:w w:val="110"/>
          <w:sz w:val="18"/>
        </w:rPr>
        <w:t> </w:t>
      </w:r>
      <w:r>
        <w:rPr>
          <w:color w:val="231F20"/>
          <w:w w:val="110"/>
          <w:sz w:val="18"/>
        </w:rPr>
        <w:t>Macro</w:t>
      </w:r>
    </w:p>
    <w:p>
      <w:pPr>
        <w:spacing w:before="2"/>
        <w:ind w:left="673" w:right="0" w:firstLine="0"/>
        <w:jc w:val="left"/>
        <w:rPr>
          <w:b/>
          <w:sz w:val="18"/>
        </w:rPr>
      </w:pPr>
      <w:r>
        <w:rPr>
          <w:b/>
          <w:color w:val="231F20"/>
          <w:w w:val="110"/>
          <w:sz w:val="18"/>
        </w:rPr>
        <w:t>Christian Education</w:t>
      </w:r>
    </w:p>
    <w:p>
      <w:pPr>
        <w:pStyle w:val="BodyText"/>
        <w:tabs>
          <w:tab w:pos="6413" w:val="left" w:leader="none"/>
        </w:tabs>
        <w:spacing w:before="31"/>
        <w:ind w:left="1025"/>
      </w:pPr>
      <w:r>
        <w:rPr>
          <w:color w:val="231F20"/>
          <w:w w:val="110"/>
        </w:rPr>
        <w:t>Board</w:t>
      </w:r>
      <w:r>
        <w:rPr>
          <w:color w:val="231F20"/>
          <w:spacing w:val="8"/>
          <w:w w:val="110"/>
        </w:rPr>
        <w:t> </w:t>
      </w:r>
      <w:r>
        <w:rPr>
          <w:color w:val="231F20"/>
          <w:w w:val="110"/>
        </w:rPr>
        <w:t>of</w:t>
      </w:r>
      <w:r>
        <w:rPr>
          <w:color w:val="231F20"/>
          <w:spacing w:val="8"/>
          <w:w w:val="110"/>
        </w:rPr>
        <w:t> </w:t>
      </w:r>
      <w:r>
        <w:rPr>
          <w:color w:val="231F20"/>
          <w:w w:val="110"/>
        </w:rPr>
        <w:t>Trustees</w:t>
        <w:tab/>
      </w:r>
      <w:r>
        <w:rPr>
          <w:color w:val="231F20"/>
          <w:spacing w:val="2"/>
          <w:w w:val="110"/>
        </w:rPr>
        <w:t>Mrs </w:t>
      </w:r>
      <w:r>
        <w:rPr>
          <w:color w:val="231F20"/>
          <w:w w:val="110"/>
        </w:rPr>
        <w:t>Patricia</w:t>
      </w:r>
      <w:r>
        <w:rPr>
          <w:color w:val="231F20"/>
          <w:spacing w:val="1"/>
          <w:w w:val="110"/>
        </w:rPr>
        <w:t> </w:t>
      </w:r>
      <w:r>
        <w:rPr>
          <w:color w:val="231F20"/>
          <w:w w:val="110"/>
        </w:rPr>
        <w:t>Hubbard</w:t>
      </w:r>
    </w:p>
    <w:p>
      <w:pPr>
        <w:pStyle w:val="BodyText"/>
        <w:tabs>
          <w:tab w:pos="6413" w:val="left" w:leader="none"/>
        </w:tabs>
        <w:spacing w:before="31"/>
        <w:ind w:left="1025"/>
      </w:pPr>
      <w:r>
        <w:rPr>
          <w:color w:val="231F20"/>
          <w:w w:val="110"/>
        </w:rPr>
        <w:t>Publications</w:t>
      </w:r>
      <w:r>
        <w:rPr>
          <w:color w:val="231F20"/>
          <w:spacing w:val="16"/>
          <w:w w:val="110"/>
        </w:rPr>
        <w:t> </w:t>
      </w:r>
      <w:r>
        <w:rPr>
          <w:color w:val="231F20"/>
          <w:w w:val="110"/>
        </w:rPr>
        <w:t>Development</w:t>
      </w:r>
      <w:r>
        <w:rPr>
          <w:color w:val="231F20"/>
          <w:spacing w:val="16"/>
          <w:w w:val="110"/>
        </w:rPr>
        <w:t> </w:t>
      </w:r>
      <w:r>
        <w:rPr>
          <w:color w:val="231F20"/>
          <w:w w:val="110"/>
        </w:rPr>
        <w:t>Group</w:t>
        <w:tab/>
      </w:r>
      <w:r>
        <w:rPr>
          <w:color w:val="231F20"/>
          <w:spacing w:val="2"/>
          <w:w w:val="110"/>
        </w:rPr>
        <w:t>Mrs </w:t>
      </w:r>
      <w:r>
        <w:rPr>
          <w:color w:val="231F20"/>
          <w:w w:val="110"/>
        </w:rPr>
        <w:t>Rosemary</w:t>
      </w:r>
      <w:r>
        <w:rPr>
          <w:color w:val="231F20"/>
          <w:spacing w:val="2"/>
          <w:w w:val="110"/>
        </w:rPr>
        <w:t> </w:t>
      </w:r>
      <w:r>
        <w:rPr>
          <w:color w:val="231F20"/>
          <w:w w:val="110"/>
        </w:rPr>
        <w:t>Johnston</w:t>
      </w:r>
    </w:p>
    <w:p>
      <w:pPr>
        <w:pStyle w:val="BodyText"/>
        <w:spacing w:before="2"/>
        <w:rPr>
          <w:sz w:val="23"/>
        </w:rPr>
      </w:pPr>
    </w:p>
    <w:p>
      <w:pPr>
        <w:tabs>
          <w:tab w:pos="6413" w:val="left" w:leader="none"/>
        </w:tabs>
        <w:spacing w:line="273" w:lineRule="auto" w:before="0"/>
        <w:ind w:left="6413" w:right="2721" w:hanging="5741"/>
        <w:jc w:val="left"/>
        <w:rPr>
          <w:sz w:val="18"/>
        </w:rPr>
      </w:pPr>
      <w:r>
        <w:rPr>
          <w:b/>
          <w:color w:val="231F20"/>
          <w:spacing w:val="2"/>
          <w:w w:val="110"/>
          <w:sz w:val="18"/>
        </w:rPr>
        <w:t>Churches</w:t>
      </w:r>
      <w:r>
        <w:rPr>
          <w:b/>
          <w:color w:val="231F20"/>
          <w:spacing w:val="7"/>
          <w:w w:val="110"/>
          <w:sz w:val="18"/>
        </w:rPr>
        <w:t> </w:t>
      </w:r>
      <w:r>
        <w:rPr>
          <w:b/>
          <w:color w:val="231F20"/>
          <w:w w:val="110"/>
          <w:sz w:val="18"/>
        </w:rPr>
        <w:t>Main</w:t>
      </w:r>
      <w:r>
        <w:rPr>
          <w:b/>
          <w:color w:val="231F20"/>
          <w:spacing w:val="8"/>
          <w:w w:val="110"/>
          <w:sz w:val="18"/>
        </w:rPr>
        <w:t> </w:t>
      </w:r>
      <w:r>
        <w:rPr>
          <w:b/>
          <w:color w:val="231F20"/>
          <w:spacing w:val="2"/>
          <w:w w:val="110"/>
          <w:sz w:val="18"/>
        </w:rPr>
        <w:t>Committee</w:t>
        <w:tab/>
      </w:r>
      <w:r>
        <w:rPr>
          <w:color w:val="231F20"/>
          <w:w w:val="110"/>
          <w:sz w:val="18"/>
        </w:rPr>
        <w:t>The General Secretary Mr Hartley</w:t>
      </w:r>
      <w:r>
        <w:rPr>
          <w:color w:val="231F20"/>
          <w:spacing w:val="9"/>
          <w:w w:val="110"/>
          <w:sz w:val="18"/>
        </w:rPr>
        <w:t> </w:t>
      </w:r>
      <w:r>
        <w:rPr>
          <w:color w:val="231F20"/>
          <w:w w:val="110"/>
          <w:sz w:val="18"/>
        </w:rPr>
        <w:t>Oldham</w:t>
      </w:r>
    </w:p>
    <w:p>
      <w:pPr>
        <w:pStyle w:val="BodyText"/>
        <w:spacing w:before="8"/>
        <w:rPr>
          <w:sz w:val="20"/>
        </w:rPr>
      </w:pPr>
    </w:p>
    <w:p>
      <w:pPr>
        <w:tabs>
          <w:tab w:pos="6413" w:val="left" w:leader="none"/>
        </w:tabs>
        <w:spacing w:line="273" w:lineRule="auto" w:before="0"/>
        <w:ind w:left="6413" w:right="2867" w:hanging="5740"/>
        <w:jc w:val="both"/>
        <w:rPr>
          <w:sz w:val="18"/>
        </w:rPr>
      </w:pPr>
      <w:r>
        <w:rPr>
          <w:b/>
          <w:color w:val="231F20"/>
          <w:w w:val="110"/>
          <w:sz w:val="18"/>
        </w:rPr>
        <w:t>Congregational</w:t>
      </w:r>
      <w:r>
        <w:rPr>
          <w:b/>
          <w:color w:val="231F20"/>
          <w:spacing w:val="16"/>
          <w:w w:val="110"/>
          <w:sz w:val="18"/>
        </w:rPr>
        <w:t> </w:t>
      </w:r>
      <w:r>
        <w:rPr>
          <w:b/>
          <w:color w:val="231F20"/>
          <w:w w:val="110"/>
          <w:sz w:val="18"/>
        </w:rPr>
        <w:t>Fund</w:t>
      </w:r>
      <w:r>
        <w:rPr>
          <w:b/>
          <w:color w:val="231F20"/>
          <w:spacing w:val="16"/>
          <w:w w:val="110"/>
          <w:sz w:val="18"/>
        </w:rPr>
        <w:t> </w:t>
      </w:r>
      <w:r>
        <w:rPr>
          <w:b/>
          <w:color w:val="231F20"/>
          <w:w w:val="110"/>
          <w:sz w:val="18"/>
        </w:rPr>
        <w:t>Board</w:t>
        <w:tab/>
      </w:r>
      <w:r>
        <w:rPr>
          <w:color w:val="231F20"/>
          <w:w w:val="110"/>
          <w:sz w:val="18"/>
        </w:rPr>
        <w:t>Revd Margaret </w:t>
      </w:r>
      <w:r>
        <w:rPr>
          <w:color w:val="231F20"/>
          <w:spacing w:val="-5"/>
          <w:w w:val="110"/>
          <w:sz w:val="18"/>
        </w:rPr>
        <w:t>Taylor </w:t>
      </w:r>
      <w:r>
        <w:rPr>
          <w:color w:val="231F20"/>
          <w:w w:val="110"/>
          <w:sz w:val="18"/>
        </w:rPr>
        <w:t>Revd Eric</w:t>
      </w:r>
      <w:r>
        <w:rPr>
          <w:color w:val="231F20"/>
          <w:spacing w:val="4"/>
          <w:w w:val="110"/>
          <w:sz w:val="18"/>
        </w:rPr>
        <w:t> </w:t>
      </w:r>
      <w:r>
        <w:rPr>
          <w:color w:val="231F20"/>
          <w:w w:val="110"/>
          <w:sz w:val="18"/>
        </w:rPr>
        <w:t>Allen</w:t>
      </w:r>
    </w:p>
    <w:p>
      <w:pPr>
        <w:spacing w:line="273" w:lineRule="auto" w:before="2"/>
        <w:ind w:left="6413" w:right="2207" w:firstLine="0"/>
        <w:jc w:val="both"/>
        <w:rPr>
          <w:i/>
          <w:sz w:val="18"/>
        </w:rPr>
      </w:pPr>
      <w:r>
        <w:rPr>
          <w:color w:val="231F20"/>
          <w:w w:val="110"/>
          <w:sz w:val="18"/>
        </w:rPr>
        <w:t>Mr Anthony Bayley † </w:t>
      </w:r>
      <w:r>
        <w:rPr>
          <w:color w:val="231F20"/>
          <w:spacing w:val="-10"/>
          <w:w w:val="110"/>
          <w:sz w:val="18"/>
        </w:rPr>
        <w:t>[2011] </w:t>
      </w:r>
      <w:r>
        <w:rPr>
          <w:color w:val="231F20"/>
          <w:w w:val="110"/>
          <w:sz w:val="18"/>
        </w:rPr>
        <w:t>Revd David Helyar † </w:t>
      </w:r>
      <w:r>
        <w:rPr>
          <w:color w:val="231F20"/>
          <w:spacing w:val="-8"/>
          <w:w w:val="110"/>
          <w:sz w:val="18"/>
        </w:rPr>
        <w:t>[2011] </w:t>
      </w:r>
      <w:r>
        <w:rPr>
          <w:i/>
          <w:color w:val="231F20"/>
          <w:w w:val="110"/>
          <w:sz w:val="18"/>
        </w:rPr>
        <w:t>Vacancy</w:t>
      </w:r>
      <w:r>
        <w:rPr>
          <w:i/>
          <w:color w:val="231F20"/>
          <w:spacing w:val="1"/>
          <w:w w:val="110"/>
          <w:sz w:val="18"/>
        </w:rPr>
        <w:t> </w:t>
      </w:r>
      <w:r>
        <w:rPr>
          <w:i/>
          <w:color w:val="231F20"/>
          <w:spacing w:val="-9"/>
          <w:w w:val="110"/>
          <w:sz w:val="18"/>
        </w:rPr>
        <w:t>[2011]</w:t>
      </w:r>
    </w:p>
    <w:p>
      <w:pPr>
        <w:spacing w:after="0" w:line="273" w:lineRule="auto"/>
        <w:jc w:val="both"/>
        <w:rPr>
          <w:sz w:val="18"/>
        </w:rPr>
        <w:sectPr>
          <w:pgSz w:w="11910" w:h="16840"/>
          <w:pgMar w:header="581" w:footer="544" w:top="860" w:bottom="740" w:left="460" w:right="0"/>
        </w:sectPr>
      </w:pPr>
    </w:p>
    <w:p>
      <w:pPr>
        <w:pStyle w:val="BodyText"/>
        <w:spacing w:before="10"/>
        <w:rPr>
          <w:i/>
          <w:sz w:val="11"/>
        </w:rPr>
      </w:pPr>
    </w:p>
    <w:p>
      <w:pPr>
        <w:tabs>
          <w:tab w:pos="6980" w:val="left" w:leader="none"/>
        </w:tabs>
        <w:spacing w:before="101"/>
        <w:ind w:left="1240" w:right="0" w:firstLine="0"/>
        <w:jc w:val="left"/>
        <w:rPr>
          <w:sz w:val="18"/>
        </w:rPr>
      </w:pPr>
      <w:r>
        <w:rPr>
          <w:b/>
          <w:color w:val="231F20"/>
          <w:w w:val="110"/>
          <w:sz w:val="18"/>
        </w:rPr>
        <w:t>Guides’ Religious</w:t>
      </w:r>
      <w:r>
        <w:rPr>
          <w:b/>
          <w:color w:val="231F20"/>
          <w:spacing w:val="29"/>
          <w:w w:val="110"/>
          <w:sz w:val="18"/>
        </w:rPr>
        <w:t> </w:t>
      </w:r>
      <w:r>
        <w:rPr>
          <w:b/>
          <w:color w:val="231F20"/>
          <w:w w:val="110"/>
          <w:sz w:val="18"/>
        </w:rPr>
        <w:t>Advisory</w:t>
      </w:r>
      <w:r>
        <w:rPr>
          <w:b/>
          <w:color w:val="231F20"/>
          <w:spacing w:val="15"/>
          <w:w w:val="110"/>
          <w:sz w:val="18"/>
        </w:rPr>
        <w:t> </w:t>
      </w:r>
      <w:r>
        <w:rPr>
          <w:b/>
          <w:color w:val="231F20"/>
          <w:w w:val="110"/>
          <w:sz w:val="18"/>
        </w:rPr>
        <w:t>Panel</w:t>
        <w:tab/>
      </w:r>
      <w:r>
        <w:rPr>
          <w:color w:val="231F20"/>
          <w:spacing w:val="2"/>
          <w:w w:val="110"/>
          <w:sz w:val="18"/>
        </w:rPr>
        <w:t>Mrs </w:t>
      </w:r>
      <w:r>
        <w:rPr>
          <w:color w:val="231F20"/>
          <w:w w:val="110"/>
          <w:sz w:val="18"/>
        </w:rPr>
        <w:t>Susan</w:t>
      </w:r>
      <w:r>
        <w:rPr>
          <w:color w:val="231F20"/>
          <w:spacing w:val="12"/>
          <w:w w:val="110"/>
          <w:sz w:val="18"/>
        </w:rPr>
        <w:t> </w:t>
      </w:r>
      <w:r>
        <w:rPr>
          <w:color w:val="231F20"/>
          <w:w w:val="110"/>
          <w:sz w:val="18"/>
        </w:rPr>
        <w:t>Walker</w:t>
      </w:r>
    </w:p>
    <w:p>
      <w:pPr>
        <w:pStyle w:val="BodyText"/>
        <w:spacing w:before="1"/>
        <w:rPr>
          <w:sz w:val="23"/>
        </w:rPr>
      </w:pPr>
    </w:p>
    <w:p>
      <w:pPr>
        <w:tabs>
          <w:tab w:pos="6980" w:val="left" w:leader="none"/>
        </w:tabs>
        <w:spacing w:before="0"/>
        <w:ind w:left="1240" w:right="0" w:firstLine="0"/>
        <w:jc w:val="left"/>
        <w:rPr>
          <w:sz w:val="18"/>
        </w:rPr>
      </w:pPr>
      <w:r>
        <w:rPr>
          <w:b/>
          <w:color w:val="231F20"/>
          <w:w w:val="110"/>
          <w:sz w:val="18"/>
        </w:rPr>
        <w:t>Samuel</w:t>
      </w:r>
      <w:r>
        <w:rPr>
          <w:b/>
          <w:color w:val="231F20"/>
          <w:spacing w:val="14"/>
          <w:w w:val="110"/>
          <w:sz w:val="18"/>
        </w:rPr>
        <w:t> </w:t>
      </w:r>
      <w:r>
        <w:rPr>
          <w:b/>
          <w:color w:val="231F20"/>
          <w:w w:val="110"/>
          <w:sz w:val="18"/>
        </w:rPr>
        <w:t>Robinson’s</w:t>
      </w:r>
      <w:r>
        <w:rPr>
          <w:b/>
          <w:color w:val="231F20"/>
          <w:spacing w:val="14"/>
          <w:w w:val="110"/>
          <w:sz w:val="18"/>
        </w:rPr>
        <w:t> </w:t>
      </w:r>
      <w:r>
        <w:rPr>
          <w:b/>
          <w:color w:val="231F20"/>
          <w:w w:val="110"/>
          <w:sz w:val="18"/>
        </w:rPr>
        <w:t>Charities</w:t>
        <w:tab/>
      </w:r>
      <w:r>
        <w:rPr>
          <w:color w:val="231F20"/>
          <w:w w:val="110"/>
          <w:sz w:val="18"/>
        </w:rPr>
        <w:t>Mr </w:t>
      </w:r>
      <w:r>
        <w:rPr>
          <w:color w:val="231F20"/>
          <w:spacing w:val="-5"/>
          <w:w w:val="110"/>
          <w:sz w:val="18"/>
        </w:rPr>
        <w:t>Tony</w:t>
      </w:r>
      <w:r>
        <w:rPr>
          <w:color w:val="231F20"/>
          <w:spacing w:val="33"/>
          <w:w w:val="110"/>
          <w:sz w:val="18"/>
        </w:rPr>
        <w:t> </w:t>
      </w:r>
      <w:r>
        <w:rPr>
          <w:color w:val="231F20"/>
          <w:w w:val="110"/>
          <w:sz w:val="18"/>
        </w:rPr>
        <w:t>Alderman</w:t>
      </w:r>
    </w:p>
    <w:p>
      <w:pPr>
        <w:pStyle w:val="BodyText"/>
        <w:spacing w:before="2"/>
        <w:rPr>
          <w:sz w:val="23"/>
        </w:rPr>
      </w:pPr>
    </w:p>
    <w:p>
      <w:pPr>
        <w:tabs>
          <w:tab w:pos="6980" w:val="left" w:leader="none"/>
        </w:tabs>
        <w:spacing w:before="0"/>
        <w:ind w:left="1240" w:right="0" w:firstLine="0"/>
        <w:jc w:val="left"/>
        <w:rPr>
          <w:sz w:val="18"/>
        </w:rPr>
      </w:pPr>
      <w:r>
        <w:rPr>
          <w:b/>
          <w:color w:val="231F20"/>
          <w:spacing w:val="2"/>
          <w:w w:val="110"/>
          <w:sz w:val="18"/>
        </w:rPr>
        <w:t>Scouts’ </w:t>
      </w:r>
      <w:r>
        <w:rPr>
          <w:b/>
          <w:color w:val="231F20"/>
          <w:w w:val="110"/>
          <w:sz w:val="18"/>
        </w:rPr>
        <w:t>Religious</w:t>
      </w:r>
      <w:r>
        <w:rPr>
          <w:b/>
          <w:color w:val="231F20"/>
          <w:spacing w:val="27"/>
          <w:w w:val="110"/>
          <w:sz w:val="18"/>
        </w:rPr>
        <w:t> </w:t>
      </w:r>
      <w:r>
        <w:rPr>
          <w:b/>
          <w:color w:val="231F20"/>
          <w:w w:val="110"/>
          <w:sz w:val="18"/>
        </w:rPr>
        <w:t>Advisory</w:t>
      </w:r>
      <w:r>
        <w:rPr>
          <w:b/>
          <w:color w:val="231F20"/>
          <w:spacing w:val="14"/>
          <w:w w:val="110"/>
          <w:sz w:val="18"/>
        </w:rPr>
        <w:t> </w:t>
      </w:r>
      <w:r>
        <w:rPr>
          <w:b/>
          <w:color w:val="231F20"/>
          <w:w w:val="110"/>
          <w:sz w:val="18"/>
        </w:rPr>
        <w:t>Group</w:t>
        <w:tab/>
      </w:r>
      <w:r>
        <w:rPr>
          <w:color w:val="231F20"/>
          <w:w w:val="110"/>
          <w:sz w:val="18"/>
        </w:rPr>
        <w:t>Revd David</w:t>
      </w:r>
      <w:r>
        <w:rPr>
          <w:color w:val="231F20"/>
          <w:spacing w:val="3"/>
          <w:w w:val="110"/>
          <w:sz w:val="18"/>
        </w:rPr>
        <w:t> </w:t>
      </w:r>
      <w:r>
        <w:rPr>
          <w:color w:val="231F20"/>
          <w:w w:val="110"/>
          <w:sz w:val="18"/>
        </w:rPr>
        <w:t>Marshall-Jones</w:t>
      </w:r>
    </w:p>
    <w:p>
      <w:pPr>
        <w:pStyle w:val="BodyText"/>
        <w:spacing w:before="2"/>
        <w:rPr>
          <w:sz w:val="23"/>
        </w:rPr>
      </w:pPr>
    </w:p>
    <w:p>
      <w:pPr>
        <w:tabs>
          <w:tab w:pos="6980" w:val="left" w:leader="none"/>
        </w:tabs>
        <w:spacing w:before="0"/>
        <w:ind w:left="1240" w:right="0" w:firstLine="0"/>
        <w:jc w:val="left"/>
        <w:rPr>
          <w:sz w:val="18"/>
        </w:rPr>
      </w:pPr>
      <w:r>
        <w:rPr>
          <w:b/>
          <w:color w:val="231F20"/>
          <w:w w:val="110"/>
          <w:sz w:val="18"/>
        </w:rPr>
        <w:t>United Reformed Church</w:t>
      </w:r>
      <w:r>
        <w:rPr>
          <w:b/>
          <w:color w:val="231F20"/>
          <w:spacing w:val="39"/>
          <w:w w:val="110"/>
          <w:sz w:val="18"/>
        </w:rPr>
        <w:t> </w:t>
      </w:r>
      <w:r>
        <w:rPr>
          <w:b/>
          <w:color w:val="231F20"/>
          <w:spacing w:val="2"/>
          <w:w w:val="110"/>
          <w:sz w:val="18"/>
        </w:rPr>
        <w:t>History</w:t>
      </w:r>
      <w:r>
        <w:rPr>
          <w:b/>
          <w:color w:val="231F20"/>
          <w:spacing w:val="14"/>
          <w:w w:val="110"/>
          <w:sz w:val="18"/>
        </w:rPr>
        <w:t> </w:t>
      </w:r>
      <w:r>
        <w:rPr>
          <w:b/>
          <w:color w:val="231F20"/>
          <w:spacing w:val="3"/>
          <w:w w:val="110"/>
          <w:sz w:val="18"/>
        </w:rPr>
        <w:t>Society</w:t>
        <w:tab/>
      </w:r>
      <w:r>
        <w:rPr>
          <w:color w:val="231F20"/>
          <w:spacing w:val="2"/>
          <w:w w:val="110"/>
          <w:sz w:val="18"/>
        </w:rPr>
        <w:t>Mrs Mary</w:t>
      </w:r>
      <w:r>
        <w:rPr>
          <w:color w:val="231F20"/>
          <w:w w:val="110"/>
          <w:sz w:val="18"/>
        </w:rPr>
        <w:t> Davies</w:t>
      </w:r>
    </w:p>
    <w:p>
      <w:pPr>
        <w:pStyle w:val="BodyText"/>
        <w:spacing w:line="273" w:lineRule="auto" w:before="31"/>
        <w:ind w:left="6980" w:right="2219"/>
      </w:pPr>
      <w:r>
        <w:rPr>
          <w:color w:val="231F20"/>
          <w:w w:val="110"/>
        </w:rPr>
        <w:t>Revd Michael Hopkins Revd Kirsty Thorpe</w:t>
      </w:r>
    </w:p>
    <w:p>
      <w:pPr>
        <w:pStyle w:val="BodyText"/>
        <w:spacing w:before="1"/>
        <w:ind w:left="6980"/>
      </w:pPr>
      <w:r>
        <w:rPr>
          <w:color w:val="231F20"/>
          <w:w w:val="110"/>
        </w:rPr>
        <w:t>Revd Dr David Thompson</w:t>
      </w:r>
    </w:p>
    <w:p>
      <w:pPr>
        <w:pStyle w:val="BodyText"/>
        <w:spacing w:before="32"/>
        <w:ind w:left="6980"/>
      </w:pPr>
      <w:r>
        <w:rPr>
          <w:color w:val="231F20"/>
          <w:w w:val="110"/>
        </w:rPr>
        <w:t>Dr David Robinson ** [2011]</w:t>
      </w:r>
    </w:p>
    <w:p>
      <w:pPr>
        <w:pStyle w:val="BodyText"/>
        <w:spacing w:before="1"/>
        <w:rPr>
          <w:sz w:val="23"/>
        </w:rPr>
      </w:pPr>
    </w:p>
    <w:p>
      <w:pPr>
        <w:tabs>
          <w:tab w:pos="6980" w:val="left" w:leader="none"/>
        </w:tabs>
        <w:spacing w:before="0"/>
        <w:ind w:left="1240" w:right="0" w:firstLine="0"/>
        <w:jc w:val="left"/>
        <w:rPr>
          <w:sz w:val="18"/>
        </w:rPr>
      </w:pPr>
      <w:r>
        <w:rPr>
          <w:b/>
          <w:color w:val="231F20"/>
          <w:w w:val="110"/>
          <w:sz w:val="18"/>
        </w:rPr>
        <w:t>Wharton</w:t>
      </w:r>
      <w:r>
        <w:rPr>
          <w:b/>
          <w:color w:val="231F20"/>
          <w:spacing w:val="7"/>
          <w:w w:val="110"/>
          <w:sz w:val="18"/>
        </w:rPr>
        <w:t> </w:t>
      </w:r>
      <w:r>
        <w:rPr>
          <w:b/>
          <w:color w:val="231F20"/>
          <w:w w:val="110"/>
          <w:sz w:val="18"/>
        </w:rPr>
        <w:t>Trust</w:t>
        <w:tab/>
      </w:r>
      <w:r>
        <w:rPr>
          <w:color w:val="231F20"/>
          <w:w w:val="110"/>
          <w:sz w:val="18"/>
        </w:rPr>
        <w:t>Dr John Thompson</w:t>
      </w:r>
      <w:r>
        <w:rPr>
          <w:color w:val="231F20"/>
          <w:spacing w:val="5"/>
          <w:w w:val="110"/>
          <w:sz w:val="18"/>
        </w:rPr>
        <w:t> </w:t>
      </w:r>
      <w:r>
        <w:rPr>
          <w:color w:val="231F20"/>
          <w:w w:val="110"/>
          <w:sz w:val="18"/>
        </w:rPr>
        <w:t>[2009]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group style="position:absolute;margin-left:68.85659pt;margin-top:17.388638pt;width:496.6pt;height:113.7pt;mso-position-horizontal-relative:page;mso-position-vertical-relative:paragraph;z-index:-251551744;mso-wrap-distance-left:0;mso-wrap-distance-right:0" coordorigin="1377,348" coordsize="9932,2274">
            <v:rect style="position:absolute;left:1679;top:789;width:4016;height:302" filled="true" fillcolor="#d8dadc" stroked="false">
              <v:fill type="solid"/>
            </v:rect>
            <v:rect style="position:absolute;left:1679;top:461;width:159;height:328" filled="true" fillcolor="#d8dadc" stroked="false">
              <v:fill type="solid"/>
            </v:rect>
            <v:line style="position:absolute" from="1680,455" to="5696,455" stroked="true" strokeweight=".6pt" strokecolor="#d8dadc">
              <v:stroke dashstyle="solid"/>
            </v:line>
            <v:rect style="position:absolute;left:5280;top:461;width:416;height:327" filled="true" fillcolor="#d8dadc" stroked="false">
              <v:fill type="solid"/>
            </v:rect>
            <v:rect style="position:absolute;left:1837;top:461;width:3443;height:327" filled="true" fillcolor="#d8dadc" stroked="false">
              <v:fill type="solid"/>
            </v:rect>
            <v:shape style="position:absolute;left:1377;top:396;width:9932;height:2225" type="#_x0000_t75" stroked="false">
              <v:imagedata r:id="rId123" o:title=""/>
            </v:shape>
            <v:shape style="position:absolute;left:1793;top:347;width:3695;height:749" type="#_x0000_t202" filled="false" stroked="false">
              <v:textbox inset="0,0,0,0">
                <w:txbxContent>
                  <w:p>
                    <w:pPr>
                      <w:spacing w:line="206" w:lineRule="auto" w:before="43"/>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25"/>
                        <w:w w:val="111"/>
                        <w:sz w:val="43"/>
                      </w:rPr>
                      <w:t>O</w:t>
                    </w:r>
                    <w:r>
                      <w:rPr>
                        <w:b/>
                        <w:color w:val="231F20"/>
                        <w:spacing w:val="-177"/>
                        <w:w w:val="112"/>
                        <w:position w:val="-20"/>
                        <w:sz w:val="50"/>
                      </w:rPr>
                      <w:t>2</w:t>
                    </w:r>
                    <w:r>
                      <w:rPr>
                        <w:b/>
                        <w:color w:val="FFFFFF"/>
                        <w:spacing w:val="-243"/>
                        <w:w w:val="111"/>
                        <w:sz w:val="43"/>
                      </w:rPr>
                      <w:t>N</w:t>
                    </w:r>
                    <w:r>
                      <w:rPr>
                        <w:b/>
                        <w:color w:val="231F20"/>
                        <w:spacing w:val="-13"/>
                        <w:w w:val="112"/>
                        <w:position w:val="-20"/>
                        <w:sz w:val="50"/>
                      </w:rPr>
                      <w:t>6</w:t>
                    </w:r>
                  </w:p>
                </w:txbxContent>
              </v:textbox>
              <w10:wrap type="none"/>
            </v:shape>
            <v:shape style="position:absolute;left:6948;top:791;width:3843;height:491" type="#_x0000_t202" filled="false" stroked="false">
              <v:textbox inset="0,0,0,0">
                <w:txbxContent>
                  <w:p>
                    <w:pPr>
                      <w:spacing w:line="247" w:lineRule="auto" w:before="0"/>
                      <w:ind w:left="0" w:right="0" w:firstLine="1407"/>
                      <w:jc w:val="left"/>
                      <w:rPr>
                        <w:b/>
                        <w:sz w:val="20"/>
                      </w:rPr>
                    </w:pPr>
                    <w:r>
                      <w:rPr>
                        <w:b/>
                        <w:color w:val="231F20"/>
                        <w:w w:val="110"/>
                        <w:sz w:val="20"/>
                      </w:rPr>
                      <w:t>Appointment of the Moderator for Yorkshire Synod</w:t>
                    </w:r>
                  </w:p>
                </w:txbxContent>
              </v:textbox>
              <w10:wrap type="none"/>
            </v:shape>
            <v:shape style="position:absolute;left:1700;top:1559;width:8489;height:719" type="#_x0000_t202" filled="false" stroked="false">
              <v:textbox inset="0,0,0,0">
                <w:txbxContent>
                  <w:p>
                    <w:pPr>
                      <w:spacing w:line="273" w:lineRule="auto" w:before="0"/>
                      <w:ind w:left="0" w:right="0" w:firstLine="0"/>
                      <w:jc w:val="left"/>
                      <w:rPr>
                        <w:sz w:val="18"/>
                      </w:rPr>
                    </w:pPr>
                    <w:r>
                      <w:rPr>
                        <w:color w:val="231F20"/>
                        <w:w w:val="110"/>
                        <w:sz w:val="18"/>
                      </w:rPr>
                      <w:t>General Assembly appoints the Revd Kevin Watson to serve as Moderator of the Yorkshire Synod for a period of seven years from 1 February 2008 until 31 January 2015, subject to review before the end of that period.</w:t>
                    </w:r>
                  </w:p>
                </w:txbxContent>
              </v:textbox>
              <w10:wrap type="none"/>
            </v:shape>
            <w10:wrap type="topAndBottom"/>
          </v:group>
        </w:pict>
      </w:r>
    </w:p>
    <w:p>
      <w:pPr>
        <w:pStyle w:val="BodyText"/>
        <w:rPr>
          <w:sz w:val="20"/>
        </w:rPr>
      </w:pPr>
    </w:p>
    <w:p>
      <w:pPr>
        <w:pStyle w:val="BodyText"/>
        <w:spacing w:before="1"/>
        <w:rPr>
          <w:sz w:val="13"/>
        </w:rPr>
      </w:pPr>
      <w:r>
        <w:rPr/>
        <w:pict>
          <v:group style="position:absolute;margin-left:70.87159pt;margin-top:9.937616pt;width:496.6pt;height:111.6pt;mso-position-horizontal-relative:page;mso-position-vertical-relative:paragraph;z-index:-251547648;mso-wrap-distance-left:0;mso-wrap-distance-right:0" coordorigin="1417,199" coordsize="9932,2232">
            <v:rect style="position:absolute;left:1720;top:639;width:4016;height:304" filled="true" fillcolor="#d8dadc" stroked="false">
              <v:fill type="solid"/>
            </v:rect>
            <v:rect style="position:absolute;left:1720;top:311;width:159;height:328" filled="true" fillcolor="#d8dadc" stroked="false">
              <v:fill type="solid"/>
            </v:rect>
            <v:line style="position:absolute" from="1720,306" to="5736,306" stroked="true" strokeweight=".6pt" strokecolor="#d8dadc">
              <v:stroke dashstyle="solid"/>
            </v:line>
            <v:rect style="position:absolute;left:5320;top:312;width:416;height:328" filled="true" fillcolor="#d8dadc" stroked="false">
              <v:fill type="solid"/>
            </v:rect>
            <v:rect style="position:absolute;left:1878;top:312;width:3443;height:328" filled="true" fillcolor="#d8dadc" stroked="false">
              <v:fill type="solid"/>
            </v:rect>
            <v:shape style="position:absolute;left:1417;top:247;width:9932;height:2183" type="#_x0000_t75" stroked="false">
              <v:imagedata r:id="rId124" o:title=""/>
            </v:shape>
            <v:shape style="position:absolute;left:1833;top:198;width:3649;height:754"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9"/>
                        <w:w w:val="111"/>
                        <w:sz w:val="43"/>
                      </w:rPr>
                      <w:t>O</w:t>
                    </w:r>
                    <w:r>
                      <w:rPr>
                        <w:b/>
                        <w:color w:val="231F20"/>
                        <w:spacing w:val="-143"/>
                        <w:w w:val="112"/>
                        <w:position w:val="-20"/>
                        <w:sz w:val="50"/>
                      </w:rPr>
                      <w:t>2</w:t>
                    </w:r>
                    <w:r>
                      <w:rPr>
                        <w:b/>
                        <w:color w:val="FFFFFF"/>
                        <w:spacing w:val="-283"/>
                        <w:w w:val="111"/>
                        <w:sz w:val="43"/>
                      </w:rPr>
                      <w:t>N</w:t>
                    </w:r>
                    <w:r>
                      <w:rPr>
                        <w:b/>
                        <w:color w:val="231F20"/>
                        <w:spacing w:val="-20"/>
                        <w:w w:val="112"/>
                        <w:position w:val="-20"/>
                        <w:sz w:val="50"/>
                      </w:rPr>
                      <w:t>7</w:t>
                    </w:r>
                  </w:p>
                </w:txbxContent>
              </v:textbox>
              <w10:wrap type="none"/>
            </v:shape>
            <v:shape style="position:absolute;left:6296;top:647;width:4495;height:491" type="#_x0000_t202" filled="false" stroked="false">
              <v:textbox inset="0,0,0,0">
                <w:txbxContent>
                  <w:p>
                    <w:pPr>
                      <w:spacing w:line="247" w:lineRule="auto" w:before="0"/>
                      <w:ind w:left="0" w:right="0" w:firstLine="2059"/>
                      <w:jc w:val="left"/>
                      <w:rPr>
                        <w:b/>
                        <w:sz w:val="20"/>
                      </w:rPr>
                    </w:pPr>
                    <w:r>
                      <w:rPr>
                        <w:b/>
                        <w:color w:val="231F20"/>
                        <w:w w:val="110"/>
                        <w:sz w:val="20"/>
                      </w:rPr>
                      <w:t>Appointment of the Moderator for North Western Synod</w:t>
                    </w:r>
                  </w:p>
                </w:txbxContent>
              </v:textbox>
              <w10:wrap type="none"/>
            </v:shape>
            <v:shape style="position:absolute;left:1700;top:1415;width:9011;height:719" type="#_x0000_t202" filled="false" stroked="false">
              <v:textbox inset="0,0,0,0">
                <w:txbxContent>
                  <w:p>
                    <w:pPr>
                      <w:spacing w:line="273" w:lineRule="auto" w:before="0"/>
                      <w:ind w:left="0" w:right="152" w:firstLine="0"/>
                      <w:jc w:val="left"/>
                      <w:rPr>
                        <w:sz w:val="18"/>
                      </w:rPr>
                    </w:pPr>
                    <w:r>
                      <w:rPr>
                        <w:color w:val="231F20"/>
                        <w:w w:val="110"/>
                        <w:sz w:val="18"/>
                      </w:rPr>
                      <w:t>General Assembly appoints the Revd Richard Church to </w:t>
                    </w:r>
                    <w:r>
                      <w:rPr>
                        <w:color w:val="231F20"/>
                        <w:spacing w:val="2"/>
                        <w:w w:val="110"/>
                        <w:sz w:val="18"/>
                      </w:rPr>
                      <w:t>serve </w:t>
                    </w:r>
                    <w:r>
                      <w:rPr>
                        <w:color w:val="231F20"/>
                        <w:w w:val="110"/>
                        <w:sz w:val="18"/>
                      </w:rPr>
                      <w:t>as Moderator of the </w:t>
                    </w:r>
                    <w:r>
                      <w:rPr>
                        <w:color w:val="231F20"/>
                        <w:spacing w:val="2"/>
                        <w:w w:val="110"/>
                        <w:sz w:val="18"/>
                      </w:rPr>
                      <w:t>North</w:t>
                    </w:r>
                    <w:r>
                      <w:rPr>
                        <w:color w:val="231F20"/>
                        <w:spacing w:val="73"/>
                        <w:w w:val="110"/>
                        <w:sz w:val="18"/>
                      </w:rPr>
                      <w:t> </w:t>
                    </w:r>
                    <w:r>
                      <w:rPr>
                        <w:color w:val="231F20"/>
                        <w:w w:val="110"/>
                        <w:sz w:val="18"/>
                      </w:rPr>
                      <w:t>Western Synod for a period of seven years </w:t>
                    </w:r>
                    <w:r>
                      <w:rPr>
                        <w:color w:val="231F20"/>
                        <w:spacing w:val="2"/>
                        <w:w w:val="110"/>
                        <w:sz w:val="18"/>
                      </w:rPr>
                      <w:t>from </w:t>
                    </w:r>
                    <w:r>
                      <w:rPr>
                        <w:color w:val="231F20"/>
                        <w:w w:val="110"/>
                        <w:sz w:val="18"/>
                      </w:rPr>
                      <w:t>1 September 2007 until </w:t>
                    </w:r>
                    <w:r>
                      <w:rPr>
                        <w:color w:val="231F20"/>
                        <w:spacing w:val="-4"/>
                        <w:w w:val="110"/>
                        <w:sz w:val="18"/>
                      </w:rPr>
                      <w:t>31 </w:t>
                    </w:r>
                    <w:r>
                      <w:rPr>
                        <w:color w:val="231F20"/>
                        <w:w w:val="110"/>
                        <w:sz w:val="18"/>
                      </w:rPr>
                      <w:t>August  </w:t>
                    </w:r>
                    <w:r>
                      <w:rPr>
                        <w:color w:val="231F20"/>
                        <w:spacing w:val="-6"/>
                        <w:w w:val="110"/>
                        <w:sz w:val="18"/>
                      </w:rPr>
                      <w:t>2014, </w:t>
                    </w:r>
                    <w:r>
                      <w:rPr>
                        <w:color w:val="231F20"/>
                        <w:w w:val="110"/>
                        <w:sz w:val="18"/>
                      </w:rPr>
                      <w:t>subject to review </w:t>
                    </w:r>
                    <w:r>
                      <w:rPr>
                        <w:color w:val="231F20"/>
                        <w:spacing w:val="2"/>
                        <w:w w:val="110"/>
                        <w:sz w:val="18"/>
                      </w:rPr>
                      <w:t>before </w:t>
                    </w:r>
                    <w:r>
                      <w:rPr>
                        <w:color w:val="231F20"/>
                        <w:w w:val="110"/>
                        <w:sz w:val="18"/>
                      </w:rPr>
                      <w:t>the end of that</w:t>
                    </w:r>
                    <w:r>
                      <w:rPr>
                        <w:color w:val="231F20"/>
                        <w:spacing w:val="22"/>
                        <w:w w:val="110"/>
                        <w:sz w:val="18"/>
                      </w:rPr>
                      <w:t> </w:t>
                    </w:r>
                    <w:r>
                      <w:rPr>
                        <w:color w:val="231F20"/>
                        <w:w w:val="110"/>
                        <w:sz w:val="18"/>
                      </w:rPr>
                      <w:t>period.</w:t>
                    </w:r>
                  </w:p>
                </w:txbxContent>
              </v:textbox>
              <w10:wrap type="none"/>
            </v:shape>
            <w10:wrap type="topAndBottom"/>
          </v:group>
        </w:pict>
      </w:r>
    </w:p>
    <w:p>
      <w:pPr>
        <w:pStyle w:val="BodyText"/>
        <w:rPr>
          <w:sz w:val="20"/>
        </w:rPr>
      </w:pPr>
    </w:p>
    <w:p>
      <w:pPr>
        <w:pStyle w:val="BodyText"/>
        <w:spacing w:before="2"/>
      </w:pPr>
      <w:r>
        <w:rPr/>
        <w:pict>
          <v:group style="position:absolute;margin-left:70.87159pt;margin-top:13.008642pt;width:496.6pt;height:101.2pt;mso-position-horizontal-relative:page;mso-position-vertical-relative:paragraph;z-index:-251543552;mso-wrap-distance-left:0;mso-wrap-distance-right:0" coordorigin="1417,260" coordsize="9932,2024">
            <v:rect style="position:absolute;left:1720;top:701;width:4016;height:302" filled="true" fillcolor="#d8dadc" stroked="false">
              <v:fill type="solid"/>
            </v:rect>
            <v:rect style="position:absolute;left:1720;top:373;width:159;height:328" filled="true" fillcolor="#d8dadc" stroked="false">
              <v:fill type="solid"/>
            </v:rect>
            <v:line style="position:absolute" from="1720,367" to="5736,367" stroked="true" strokeweight=".6pt" strokecolor="#d8dadc">
              <v:stroke dashstyle="solid"/>
            </v:line>
            <v:rect style="position:absolute;left:5320;top:373;width:416;height:328" filled="true" fillcolor="#d8dadc" stroked="false">
              <v:fill type="solid"/>
            </v:rect>
            <v:rect style="position:absolute;left:1878;top:373;width:3443;height:328" filled="true" fillcolor="#d8dadc" stroked="false">
              <v:fill type="solid"/>
            </v:rect>
            <v:shape style="position:absolute;left:1417;top:309;width:9932;height:1975" type="#_x0000_t75" stroked="false">
              <v:imagedata r:id="rId125" o:title=""/>
            </v:shape>
            <v:shape style="position:absolute;left:1833;top:260;width:3664;height:740"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75"/>
                        <w:w w:val="111"/>
                        <w:sz w:val="43"/>
                      </w:rPr>
                      <w:t>O</w:t>
                    </w:r>
                    <w:r>
                      <w:rPr>
                        <w:b/>
                        <w:color w:val="231F20"/>
                        <w:spacing w:val="-128"/>
                        <w:w w:val="112"/>
                        <w:position w:val="-19"/>
                        <w:sz w:val="50"/>
                      </w:rPr>
                      <w:t>2</w:t>
                    </w:r>
                    <w:r>
                      <w:rPr>
                        <w:b/>
                        <w:color w:val="FFFFFF"/>
                        <w:spacing w:val="-283"/>
                        <w:w w:val="111"/>
                        <w:sz w:val="43"/>
                      </w:rPr>
                      <w:t>N</w:t>
                    </w:r>
                    <w:r>
                      <w:rPr>
                        <w:b/>
                        <w:color w:val="231F20"/>
                        <w:spacing w:val="-4"/>
                        <w:w w:val="112"/>
                        <w:position w:val="-19"/>
                        <w:sz w:val="50"/>
                      </w:rPr>
                      <w:t>8</w:t>
                    </w:r>
                  </w:p>
                </w:txbxContent>
              </v:textbox>
              <w10:wrap type="none"/>
            </v:shape>
            <v:shape style="position:absolute;left:9199;top:695;width:1593;height:241" type="#_x0000_t202" filled="false" stroked="false">
              <v:textbox inset="0,0,0,0">
                <w:txbxContent>
                  <w:p>
                    <w:pPr>
                      <w:spacing w:line="241" w:lineRule="exact" w:before="0"/>
                      <w:ind w:left="0" w:right="0" w:firstLine="0"/>
                      <w:jc w:val="left"/>
                      <w:rPr>
                        <w:b/>
                        <w:sz w:val="20"/>
                      </w:rPr>
                    </w:pPr>
                    <w:r>
                      <w:rPr>
                        <w:b/>
                        <w:color w:val="231F20"/>
                        <w:w w:val="110"/>
                        <w:sz w:val="20"/>
                      </w:rPr>
                      <w:t>Nominations</w:t>
                    </w:r>
                  </w:p>
                </w:txbxContent>
              </v:textbox>
              <w10:wrap type="none"/>
            </v:shape>
            <v:shape style="position:absolute;left:1700;top:1213;width:9008;height:719" type="#_x0000_t202" filled="false" stroked="false">
              <v:textbox inset="0,0,0,0">
                <w:txbxContent>
                  <w:p>
                    <w:pPr>
                      <w:spacing w:line="273" w:lineRule="auto" w:before="0"/>
                      <w:ind w:left="0" w:right="42" w:firstLine="0"/>
                      <w:jc w:val="left"/>
                      <w:rPr>
                        <w:sz w:val="18"/>
                      </w:rPr>
                    </w:pPr>
                    <w:r>
                      <w:rPr>
                        <w:color w:val="231F20"/>
                        <w:w w:val="110"/>
                        <w:sz w:val="18"/>
                      </w:rPr>
                      <w:t>General Assembly appoints committees and representatives of the Church as set out on pages </w:t>
                    </w:r>
                    <w:r>
                      <w:rPr>
                        <w:color w:val="231F20"/>
                        <w:spacing w:val="-4"/>
                        <w:w w:val="110"/>
                        <w:sz w:val="18"/>
                      </w:rPr>
                      <w:t>99–109 </w:t>
                    </w:r>
                    <w:r>
                      <w:rPr>
                        <w:color w:val="231F20"/>
                        <w:w w:val="110"/>
                        <w:sz w:val="18"/>
                      </w:rPr>
                      <w:t>of the Book of </w:t>
                    </w:r>
                    <w:r>
                      <w:rPr>
                        <w:color w:val="231F20"/>
                        <w:spacing w:val="2"/>
                        <w:w w:val="110"/>
                        <w:sz w:val="18"/>
                      </w:rPr>
                      <w:t>Reports </w:t>
                    </w:r>
                    <w:r>
                      <w:rPr>
                        <w:color w:val="231F20"/>
                        <w:w w:val="110"/>
                        <w:sz w:val="18"/>
                      </w:rPr>
                      <w:t>subject to additions and </w:t>
                    </w:r>
                    <w:r>
                      <w:rPr>
                        <w:color w:val="231F20"/>
                        <w:spacing w:val="2"/>
                        <w:w w:val="110"/>
                        <w:sz w:val="18"/>
                      </w:rPr>
                      <w:t>corrections </w:t>
                    </w:r>
                    <w:r>
                      <w:rPr>
                        <w:color w:val="231F20"/>
                        <w:w w:val="110"/>
                        <w:sz w:val="18"/>
                      </w:rPr>
                      <w:t>contained in the Supplementary </w:t>
                    </w:r>
                    <w:r>
                      <w:rPr>
                        <w:color w:val="231F20"/>
                        <w:spacing w:val="3"/>
                        <w:w w:val="110"/>
                        <w:sz w:val="18"/>
                      </w:rPr>
                      <w:t>report </w:t>
                    </w:r>
                    <w:r>
                      <w:rPr>
                        <w:color w:val="231F20"/>
                        <w:spacing w:val="2"/>
                        <w:w w:val="110"/>
                        <w:sz w:val="18"/>
                      </w:rPr>
                      <w:t>before</w:t>
                    </w:r>
                    <w:r>
                      <w:rPr>
                        <w:color w:val="231F20"/>
                        <w:spacing w:val="3"/>
                        <w:w w:val="110"/>
                        <w:sz w:val="18"/>
                      </w:rPr>
                      <w:t> </w:t>
                    </w:r>
                    <w:r>
                      <w:rPr>
                        <w:color w:val="231F20"/>
                        <w:w w:val="110"/>
                        <w:sz w:val="18"/>
                      </w:rPr>
                      <w:t>Assembly.</w:t>
                    </w:r>
                  </w:p>
                </w:txbxContent>
              </v:textbox>
              <w10:wrap type="none"/>
            </v:shape>
            <w10:wrap type="topAndBottom"/>
          </v:group>
        </w:pict>
      </w:r>
    </w:p>
    <w:p>
      <w:pPr>
        <w:pStyle w:val="BodyText"/>
        <w:rPr>
          <w:sz w:val="20"/>
        </w:rPr>
      </w:pPr>
    </w:p>
    <w:p>
      <w:pPr>
        <w:pStyle w:val="BodyText"/>
        <w:rPr>
          <w:sz w:val="20"/>
        </w:rPr>
      </w:pPr>
    </w:p>
    <w:p>
      <w:pPr>
        <w:pStyle w:val="BodyText"/>
        <w:spacing w:before="8"/>
        <w:rPr>
          <w:sz w:val="24"/>
        </w:rPr>
      </w:pPr>
    </w:p>
    <w:p>
      <w:pPr>
        <w:spacing w:before="309"/>
        <w:ind w:left="0" w:right="306"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pgSz w:w="11910" w:h="16840"/>
          <w:pgMar w:header="581" w:footer="544" w:top="860" w:bottom="740" w:left="460" w:right="0"/>
        </w:sectPr>
      </w:pPr>
    </w:p>
    <w:p>
      <w:pPr>
        <w:pStyle w:val="BodyText"/>
        <w:spacing w:before="5"/>
        <w:rPr>
          <w:i/>
          <w:sz w:val="16"/>
        </w:rPr>
      </w:pPr>
    </w:p>
    <w:p>
      <w:pPr>
        <w:spacing w:after="0"/>
        <w:rPr>
          <w:sz w:val="16"/>
        </w:rPr>
        <w:sectPr>
          <w:headerReference w:type="even" r:id="rId126"/>
          <w:footerReference w:type="even" r:id="rId127"/>
          <w:footerReference w:type="default" r:id="rId128"/>
          <w:pgSz w:w="11910" w:h="16840"/>
          <w:pgMar w:header="581" w:footer="544" w:top="860" w:bottom="740" w:left="460" w:right="0"/>
        </w:sectPr>
      </w:pPr>
    </w:p>
    <w:p>
      <w:pPr>
        <w:spacing w:line="266" w:lineRule="auto" w:before="79"/>
        <w:ind w:left="1070" w:right="1593" w:firstLine="0"/>
        <w:jc w:val="left"/>
        <w:rPr>
          <w:b/>
          <w:sz w:val="40"/>
        </w:rPr>
      </w:pPr>
      <w:r>
        <w:rPr/>
        <w:pict>
          <v:shape style="position:absolute;margin-left:504.974182pt;margin-top:36.840614pt;width:70.95pt;height:737.95pt;mso-position-horizontal-relative:page;mso-position-vertical-relative:page;z-index:251773952" type="#_x0000_t202" filled="false" stroked="false">
            <v:textbox inset="0,0,0,0" style="layout-flow:vertical">
              <w:txbxContent>
                <w:p>
                  <w:pPr>
                    <w:spacing w:line="1011" w:lineRule="exact" w:before="20"/>
                    <w:ind w:left="20" w:right="0" w:firstLine="0"/>
                    <w:jc w:val="left"/>
                    <w:rPr>
                      <w:b/>
                      <w:sz w:val="88"/>
                    </w:rPr>
                  </w:pPr>
                  <w:r>
                    <w:rPr>
                      <w:b/>
                      <w:color w:val="231F20"/>
                      <w:sz w:val="88"/>
                    </w:rPr>
                    <w:t>New Committee Structures</w:t>
                  </w:r>
                </w:p>
                <w:p>
                  <w:pPr>
                    <w:spacing w:line="386"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z w:val="40"/>
        </w:rPr>
        <w:t>APPENDIX to the REPORT of the NOMINATIONS COMMITTEE:</w:t>
      </w:r>
    </w:p>
    <w:p>
      <w:pPr>
        <w:pStyle w:val="BodyText"/>
        <w:spacing w:before="2"/>
        <w:rPr>
          <w:b/>
          <w:sz w:val="56"/>
        </w:rPr>
      </w:pPr>
    </w:p>
    <w:p>
      <w:pPr>
        <w:spacing w:line="273" w:lineRule="auto" w:before="0"/>
        <w:ind w:left="1070" w:right="2348" w:firstLine="0"/>
        <w:jc w:val="left"/>
        <w:rPr>
          <w:i/>
          <w:sz w:val="18"/>
        </w:rPr>
      </w:pPr>
      <w:r>
        <w:rPr>
          <w:i/>
          <w:color w:val="231F20"/>
          <w:w w:val="110"/>
          <w:sz w:val="18"/>
        </w:rPr>
        <w:t>Provisional proposals being brought before the General Assembly under the </w:t>
      </w:r>
      <w:r>
        <w:rPr>
          <w:i/>
          <w:color w:val="231F20"/>
          <w:w w:val="110"/>
          <w:sz w:val="18"/>
        </w:rPr>
        <w:t>Catch the Vision </w:t>
      </w:r>
      <w:r>
        <w:rPr>
          <w:i/>
          <w:color w:val="231F20"/>
          <w:spacing w:val="2"/>
          <w:w w:val="110"/>
          <w:sz w:val="18"/>
        </w:rPr>
        <w:t>process </w:t>
      </w:r>
      <w:r>
        <w:rPr>
          <w:i/>
          <w:color w:val="231F20"/>
          <w:w w:val="110"/>
          <w:sz w:val="18"/>
        </w:rPr>
        <w:t>will result in changes in the committee structure along the following</w:t>
      </w:r>
      <w:r>
        <w:rPr>
          <w:i/>
          <w:color w:val="231F20"/>
          <w:spacing w:val="1"/>
          <w:w w:val="110"/>
          <w:sz w:val="18"/>
        </w:rPr>
        <w:t> </w:t>
      </w:r>
      <w:r>
        <w:rPr>
          <w:i/>
          <w:color w:val="231F20"/>
          <w:w w:val="110"/>
          <w:sz w:val="18"/>
        </w:rPr>
        <w:t>lines:</w:t>
      </w:r>
    </w:p>
    <w:p>
      <w:pPr>
        <w:pStyle w:val="BodyText"/>
        <w:spacing w:before="8"/>
        <w:rPr>
          <w:i/>
          <w:sz w:val="20"/>
        </w:rPr>
      </w:pPr>
    </w:p>
    <w:p>
      <w:pPr>
        <w:spacing w:line="273" w:lineRule="auto" w:before="1"/>
        <w:ind w:left="1070" w:right="2348" w:firstLine="0"/>
        <w:jc w:val="left"/>
        <w:rPr>
          <w:b/>
          <w:sz w:val="18"/>
        </w:rPr>
      </w:pPr>
      <w:r>
        <w:rPr>
          <w:b/>
          <w:color w:val="231F20"/>
          <w:w w:val="110"/>
          <w:sz w:val="18"/>
        </w:rPr>
        <w:t>The central work of the Church will be grouped in three “Departments” as follows:</w:t>
      </w:r>
    </w:p>
    <w:p>
      <w:pPr>
        <w:pStyle w:val="BodyText"/>
        <w:rPr>
          <w:b/>
          <w:sz w:val="22"/>
        </w:rPr>
      </w:pPr>
    </w:p>
    <w:p>
      <w:pPr>
        <w:pStyle w:val="BodyText"/>
        <w:spacing w:before="9"/>
        <w:rPr>
          <w:b/>
          <w:sz w:val="16"/>
        </w:rPr>
      </w:pPr>
    </w:p>
    <w:p>
      <w:pPr>
        <w:pStyle w:val="ListParagraph"/>
        <w:numPr>
          <w:ilvl w:val="0"/>
          <w:numId w:val="60"/>
        </w:numPr>
        <w:tabs>
          <w:tab w:pos="1790" w:val="left" w:leader="none"/>
          <w:tab w:pos="1791" w:val="left" w:leader="none"/>
        </w:tabs>
        <w:spacing w:line="240" w:lineRule="auto" w:before="0" w:after="0"/>
        <w:ind w:left="1790" w:right="0" w:hanging="721"/>
        <w:jc w:val="left"/>
        <w:rPr>
          <w:b/>
          <w:sz w:val="21"/>
        </w:rPr>
      </w:pPr>
      <w:r>
        <w:rPr>
          <w:b/>
          <w:color w:val="231F20"/>
          <w:w w:val="115"/>
          <w:sz w:val="21"/>
        </w:rPr>
        <w:t>Ministries</w:t>
      </w:r>
      <w:r>
        <w:rPr>
          <w:b/>
          <w:color w:val="231F20"/>
          <w:spacing w:val="-7"/>
          <w:w w:val="115"/>
          <w:sz w:val="21"/>
        </w:rPr>
        <w:t> </w:t>
      </w:r>
      <w:r>
        <w:rPr>
          <w:b/>
          <w:color w:val="231F20"/>
          <w:w w:val="115"/>
          <w:sz w:val="21"/>
        </w:rPr>
        <w:t>Department</w:t>
      </w:r>
    </w:p>
    <w:p>
      <w:pPr>
        <w:pStyle w:val="BodyText"/>
        <w:spacing w:before="25"/>
        <w:ind w:left="1790"/>
      </w:pPr>
      <w:r>
        <w:rPr>
          <w:color w:val="231F20"/>
          <w:w w:val="110"/>
        </w:rPr>
        <w:t>(including training and youth and children’s work)</w:t>
      </w:r>
    </w:p>
    <w:p>
      <w:pPr>
        <w:pStyle w:val="BodyText"/>
        <w:spacing w:line="273" w:lineRule="auto" w:before="31"/>
        <w:ind w:left="1070" w:right="2649"/>
      </w:pPr>
      <w:r>
        <w:rPr>
          <w:color w:val="231F20"/>
          <w:w w:val="110"/>
        </w:rPr>
        <w:t>within which the following committees will continue largely as at present  and</w:t>
      </w:r>
      <w:r>
        <w:rPr>
          <w:color w:val="231F20"/>
          <w:spacing w:val="13"/>
          <w:w w:val="110"/>
        </w:rPr>
        <w:t> </w:t>
      </w:r>
      <w:r>
        <w:rPr>
          <w:color w:val="231F20"/>
          <w:w w:val="110"/>
        </w:rPr>
        <w:t>will</w:t>
      </w:r>
      <w:r>
        <w:rPr>
          <w:color w:val="231F20"/>
          <w:spacing w:val="14"/>
          <w:w w:val="110"/>
        </w:rPr>
        <w:t> </w:t>
      </w:r>
      <w:r>
        <w:rPr>
          <w:color w:val="231F20"/>
          <w:w w:val="110"/>
        </w:rPr>
        <w:t>continue</w:t>
      </w:r>
      <w:r>
        <w:rPr>
          <w:color w:val="231F20"/>
          <w:spacing w:val="14"/>
          <w:w w:val="110"/>
        </w:rPr>
        <w:t> </w:t>
      </w:r>
      <w:r>
        <w:rPr>
          <w:color w:val="231F20"/>
          <w:w w:val="110"/>
        </w:rPr>
        <w:t>with</w:t>
      </w:r>
      <w:r>
        <w:rPr>
          <w:color w:val="231F20"/>
          <w:spacing w:val="14"/>
          <w:w w:val="110"/>
        </w:rPr>
        <w:t> </w:t>
      </w:r>
      <w:r>
        <w:rPr>
          <w:color w:val="231F20"/>
          <w:w w:val="110"/>
        </w:rPr>
        <w:t>their</w:t>
      </w:r>
      <w:r>
        <w:rPr>
          <w:color w:val="231F20"/>
          <w:spacing w:val="14"/>
          <w:w w:val="110"/>
        </w:rPr>
        <w:t> </w:t>
      </w:r>
      <w:r>
        <w:rPr>
          <w:color w:val="231F20"/>
          <w:w w:val="110"/>
        </w:rPr>
        <w:t>present</w:t>
      </w:r>
      <w:r>
        <w:rPr>
          <w:color w:val="231F20"/>
          <w:spacing w:val="13"/>
          <w:w w:val="110"/>
        </w:rPr>
        <w:t> </w:t>
      </w:r>
      <w:r>
        <w:rPr>
          <w:color w:val="231F20"/>
          <w:w w:val="110"/>
        </w:rPr>
        <w:t>remits,</w:t>
      </w:r>
      <w:r>
        <w:rPr>
          <w:color w:val="231F20"/>
          <w:spacing w:val="14"/>
          <w:w w:val="110"/>
        </w:rPr>
        <w:t> </w:t>
      </w:r>
      <w:r>
        <w:rPr>
          <w:color w:val="231F20"/>
          <w:w w:val="110"/>
        </w:rPr>
        <w:t>membership</w:t>
      </w:r>
      <w:r>
        <w:rPr>
          <w:color w:val="231F20"/>
          <w:spacing w:val="14"/>
          <w:w w:val="110"/>
        </w:rPr>
        <w:t> </w:t>
      </w:r>
      <w:r>
        <w:rPr>
          <w:color w:val="231F20"/>
          <w:w w:val="110"/>
        </w:rPr>
        <w:t>and</w:t>
      </w:r>
      <w:r>
        <w:rPr>
          <w:color w:val="231F20"/>
          <w:spacing w:val="14"/>
          <w:w w:val="110"/>
        </w:rPr>
        <w:t> </w:t>
      </w:r>
      <w:r>
        <w:rPr>
          <w:color w:val="231F20"/>
          <w:w w:val="110"/>
        </w:rPr>
        <w:t>relationships</w:t>
      </w:r>
      <w:r>
        <w:rPr>
          <w:color w:val="231F20"/>
          <w:spacing w:val="14"/>
          <w:w w:val="110"/>
        </w:rPr>
        <w:t> </w:t>
      </w:r>
      <w:r>
        <w:rPr>
          <w:color w:val="231F20"/>
          <w:w w:val="110"/>
        </w:rPr>
        <w:t>–</w:t>
      </w:r>
    </w:p>
    <w:p>
      <w:pPr>
        <w:pStyle w:val="BodyText"/>
        <w:spacing w:before="8"/>
        <w:rPr>
          <w:sz w:val="20"/>
        </w:rPr>
      </w:pPr>
    </w:p>
    <w:p>
      <w:pPr>
        <w:pStyle w:val="BodyText"/>
        <w:tabs>
          <w:tab w:pos="2510" w:val="left" w:leader="none"/>
        </w:tabs>
        <w:ind w:left="1790"/>
      </w:pPr>
      <w:r>
        <w:rPr>
          <w:color w:val="231F20"/>
          <w:spacing w:val="-5"/>
          <w:w w:val="110"/>
        </w:rPr>
        <w:t>3.9.2</w:t>
        <w:tab/>
      </w:r>
      <w:r>
        <w:rPr>
          <w:color w:val="231F20"/>
          <w:w w:val="110"/>
        </w:rPr>
        <w:t>Windermere </w:t>
      </w:r>
      <w:r>
        <w:rPr>
          <w:color w:val="231F20"/>
          <w:spacing w:val="2"/>
          <w:w w:val="110"/>
        </w:rPr>
        <w:t>Advisory </w:t>
      </w:r>
      <w:r>
        <w:rPr>
          <w:color w:val="231F20"/>
          <w:w w:val="110"/>
        </w:rPr>
        <w:t>Group</w:t>
      </w:r>
    </w:p>
    <w:p>
      <w:pPr>
        <w:pStyle w:val="ListParagraph"/>
        <w:numPr>
          <w:ilvl w:val="1"/>
          <w:numId w:val="61"/>
        </w:numPr>
        <w:tabs>
          <w:tab w:pos="2510" w:val="left" w:leader="none"/>
          <w:tab w:pos="2511" w:val="left" w:leader="none"/>
        </w:tabs>
        <w:spacing w:line="240" w:lineRule="auto" w:before="32" w:after="0"/>
        <w:ind w:left="2510" w:right="0" w:hanging="721"/>
        <w:jc w:val="left"/>
        <w:rPr>
          <w:sz w:val="18"/>
        </w:rPr>
      </w:pPr>
      <w:r>
        <w:rPr>
          <w:color w:val="231F20"/>
          <w:w w:val="110"/>
          <w:sz w:val="18"/>
        </w:rPr>
        <w:t>Ministries</w:t>
      </w:r>
      <w:r>
        <w:rPr>
          <w:color w:val="231F20"/>
          <w:spacing w:val="1"/>
          <w:w w:val="110"/>
          <w:sz w:val="18"/>
        </w:rPr>
        <w:t> </w:t>
      </w:r>
      <w:r>
        <w:rPr>
          <w:color w:val="231F20"/>
          <w:w w:val="110"/>
          <w:sz w:val="18"/>
        </w:rPr>
        <w:t>Committee</w:t>
      </w:r>
    </w:p>
    <w:p>
      <w:pPr>
        <w:pStyle w:val="ListParagraph"/>
        <w:numPr>
          <w:ilvl w:val="2"/>
          <w:numId w:val="61"/>
        </w:numPr>
        <w:tabs>
          <w:tab w:pos="2511" w:val="left" w:leader="none"/>
        </w:tabs>
        <w:spacing w:line="240" w:lineRule="auto" w:before="31" w:after="0"/>
        <w:ind w:left="2510" w:right="0" w:hanging="721"/>
        <w:jc w:val="left"/>
        <w:rPr>
          <w:sz w:val="18"/>
        </w:rPr>
      </w:pPr>
      <w:r>
        <w:rPr>
          <w:color w:val="231F20"/>
          <w:w w:val="110"/>
          <w:sz w:val="18"/>
        </w:rPr>
        <w:t>Ministries – Accreditation</w:t>
      </w:r>
      <w:r>
        <w:rPr>
          <w:color w:val="231F20"/>
          <w:spacing w:val="6"/>
          <w:w w:val="110"/>
          <w:sz w:val="18"/>
        </w:rPr>
        <w:t> </w:t>
      </w:r>
      <w:r>
        <w:rPr>
          <w:color w:val="231F20"/>
          <w:w w:val="110"/>
          <w:sz w:val="18"/>
        </w:rPr>
        <w:t>Sub-Committee</w:t>
      </w:r>
    </w:p>
    <w:p>
      <w:pPr>
        <w:pStyle w:val="ListParagraph"/>
        <w:numPr>
          <w:ilvl w:val="2"/>
          <w:numId w:val="61"/>
        </w:numPr>
        <w:tabs>
          <w:tab w:pos="2511" w:val="left" w:leader="none"/>
        </w:tabs>
        <w:spacing w:line="240" w:lineRule="auto" w:before="31" w:after="0"/>
        <w:ind w:left="2510" w:right="0" w:hanging="721"/>
        <w:jc w:val="left"/>
        <w:rPr>
          <w:sz w:val="18"/>
        </w:rPr>
      </w:pPr>
      <w:r>
        <w:rPr>
          <w:color w:val="231F20"/>
          <w:w w:val="110"/>
          <w:sz w:val="18"/>
        </w:rPr>
        <w:t>Ministries – CRCW Programme</w:t>
      </w:r>
      <w:r>
        <w:rPr>
          <w:color w:val="231F20"/>
          <w:spacing w:val="8"/>
          <w:w w:val="110"/>
          <w:sz w:val="18"/>
        </w:rPr>
        <w:t> </w:t>
      </w:r>
      <w:r>
        <w:rPr>
          <w:color w:val="231F20"/>
          <w:w w:val="110"/>
          <w:sz w:val="18"/>
        </w:rPr>
        <w:t>Sub-Committee</w:t>
      </w:r>
    </w:p>
    <w:p>
      <w:pPr>
        <w:pStyle w:val="ListParagraph"/>
        <w:numPr>
          <w:ilvl w:val="2"/>
          <w:numId w:val="61"/>
        </w:numPr>
        <w:tabs>
          <w:tab w:pos="2511" w:val="left" w:leader="none"/>
        </w:tabs>
        <w:spacing w:line="240" w:lineRule="auto" w:before="31" w:after="0"/>
        <w:ind w:left="2510" w:right="0" w:hanging="721"/>
        <w:jc w:val="left"/>
        <w:rPr>
          <w:sz w:val="18"/>
        </w:rPr>
      </w:pPr>
      <w:r>
        <w:rPr>
          <w:color w:val="231F20"/>
          <w:w w:val="110"/>
          <w:sz w:val="18"/>
        </w:rPr>
        <w:t>Ministries – Leadership in Worship</w:t>
      </w:r>
      <w:r>
        <w:rPr>
          <w:color w:val="231F20"/>
          <w:spacing w:val="11"/>
          <w:w w:val="110"/>
          <w:sz w:val="18"/>
        </w:rPr>
        <w:t> </w:t>
      </w:r>
      <w:r>
        <w:rPr>
          <w:color w:val="231F20"/>
          <w:w w:val="110"/>
          <w:sz w:val="18"/>
        </w:rPr>
        <w:t>Sub-Committee</w:t>
      </w:r>
    </w:p>
    <w:p>
      <w:pPr>
        <w:pStyle w:val="ListParagraph"/>
        <w:numPr>
          <w:ilvl w:val="2"/>
          <w:numId w:val="61"/>
        </w:numPr>
        <w:tabs>
          <w:tab w:pos="2511" w:val="left" w:leader="none"/>
        </w:tabs>
        <w:spacing w:line="240" w:lineRule="auto" w:before="32" w:after="0"/>
        <w:ind w:left="2510" w:right="0" w:hanging="721"/>
        <w:jc w:val="left"/>
        <w:rPr>
          <w:sz w:val="18"/>
        </w:rPr>
      </w:pPr>
      <w:r>
        <w:rPr>
          <w:color w:val="231F20"/>
          <w:w w:val="110"/>
          <w:sz w:val="18"/>
        </w:rPr>
        <w:t>Ministries – Maintenance of Ministry</w:t>
      </w:r>
      <w:r>
        <w:rPr>
          <w:color w:val="231F20"/>
          <w:spacing w:val="11"/>
          <w:w w:val="110"/>
          <w:sz w:val="18"/>
        </w:rPr>
        <w:t> </w:t>
      </w:r>
      <w:r>
        <w:rPr>
          <w:color w:val="231F20"/>
          <w:w w:val="110"/>
          <w:sz w:val="18"/>
        </w:rPr>
        <w:t>Sub-Committee</w:t>
      </w:r>
    </w:p>
    <w:p>
      <w:pPr>
        <w:pStyle w:val="ListParagraph"/>
        <w:numPr>
          <w:ilvl w:val="2"/>
          <w:numId w:val="61"/>
        </w:numPr>
        <w:tabs>
          <w:tab w:pos="2511" w:val="left" w:leader="none"/>
        </w:tabs>
        <w:spacing w:line="240" w:lineRule="auto" w:before="31" w:after="0"/>
        <w:ind w:left="2510" w:right="0" w:hanging="721"/>
        <w:jc w:val="left"/>
        <w:rPr>
          <w:sz w:val="18"/>
        </w:rPr>
      </w:pPr>
      <w:r>
        <w:rPr>
          <w:color w:val="231F20"/>
          <w:w w:val="110"/>
          <w:sz w:val="18"/>
        </w:rPr>
        <w:t>Ministries – Retired Ministers’ Housing</w:t>
      </w:r>
      <w:r>
        <w:rPr>
          <w:color w:val="231F20"/>
          <w:spacing w:val="13"/>
          <w:w w:val="110"/>
          <w:sz w:val="18"/>
        </w:rPr>
        <w:t> </w:t>
      </w:r>
      <w:r>
        <w:rPr>
          <w:color w:val="231F20"/>
          <w:w w:val="110"/>
          <w:sz w:val="18"/>
        </w:rPr>
        <w:t>Sub-Committee</w:t>
      </w:r>
    </w:p>
    <w:p>
      <w:pPr>
        <w:pStyle w:val="ListParagraph"/>
        <w:numPr>
          <w:ilvl w:val="2"/>
          <w:numId w:val="61"/>
        </w:numPr>
        <w:tabs>
          <w:tab w:pos="2511" w:val="left" w:leader="none"/>
        </w:tabs>
        <w:spacing w:line="240" w:lineRule="auto" w:before="31" w:after="0"/>
        <w:ind w:left="2510" w:right="0" w:hanging="721"/>
        <w:jc w:val="left"/>
        <w:rPr>
          <w:sz w:val="18"/>
        </w:rPr>
      </w:pPr>
      <w:r>
        <w:rPr>
          <w:color w:val="231F20"/>
          <w:spacing w:val="2"/>
          <w:w w:val="110"/>
          <w:sz w:val="18"/>
        </w:rPr>
        <w:t>Assessment</w:t>
      </w:r>
      <w:r>
        <w:rPr>
          <w:color w:val="231F20"/>
          <w:w w:val="110"/>
          <w:sz w:val="18"/>
        </w:rPr>
        <w:t> Board</w:t>
      </w:r>
    </w:p>
    <w:p>
      <w:pPr>
        <w:pStyle w:val="ListParagraph"/>
        <w:numPr>
          <w:ilvl w:val="1"/>
          <w:numId w:val="62"/>
        </w:numPr>
        <w:tabs>
          <w:tab w:pos="2510" w:val="left" w:leader="none"/>
          <w:tab w:pos="2511" w:val="left" w:leader="none"/>
        </w:tabs>
        <w:spacing w:line="240" w:lineRule="auto" w:before="31" w:after="0"/>
        <w:ind w:left="2510" w:right="0" w:hanging="721"/>
        <w:jc w:val="left"/>
        <w:rPr>
          <w:sz w:val="18"/>
        </w:rPr>
      </w:pPr>
      <w:r>
        <w:rPr>
          <w:color w:val="231F20"/>
          <w:w w:val="110"/>
          <w:sz w:val="18"/>
        </w:rPr>
        <w:t>Education and Learning</w:t>
      </w:r>
      <w:r>
        <w:rPr>
          <w:color w:val="231F20"/>
          <w:spacing w:val="4"/>
          <w:w w:val="110"/>
          <w:sz w:val="18"/>
        </w:rPr>
        <w:t> </w:t>
      </w:r>
      <w:r>
        <w:rPr>
          <w:color w:val="231F20"/>
          <w:w w:val="110"/>
          <w:sz w:val="18"/>
        </w:rPr>
        <w:t>Committee</w:t>
      </w:r>
    </w:p>
    <w:p>
      <w:pPr>
        <w:pStyle w:val="ListParagraph"/>
        <w:numPr>
          <w:ilvl w:val="1"/>
          <w:numId w:val="62"/>
        </w:numPr>
        <w:tabs>
          <w:tab w:pos="2510" w:val="left" w:leader="none"/>
          <w:tab w:pos="2511" w:val="left" w:leader="none"/>
        </w:tabs>
        <w:spacing w:line="240" w:lineRule="auto" w:before="32" w:after="0"/>
        <w:ind w:left="2510" w:right="0" w:hanging="721"/>
        <w:jc w:val="left"/>
        <w:rPr>
          <w:sz w:val="18"/>
        </w:rPr>
      </w:pPr>
      <w:r>
        <w:rPr>
          <w:color w:val="231F20"/>
          <w:w w:val="110"/>
          <w:sz w:val="18"/>
        </w:rPr>
        <w:t>Youth and Children’s Work</w:t>
      </w:r>
      <w:r>
        <w:rPr>
          <w:color w:val="231F20"/>
          <w:spacing w:val="5"/>
          <w:w w:val="110"/>
          <w:sz w:val="18"/>
        </w:rPr>
        <w:t> </w:t>
      </w:r>
      <w:r>
        <w:rPr>
          <w:color w:val="231F20"/>
          <w:w w:val="110"/>
          <w:sz w:val="18"/>
        </w:rPr>
        <w:t>Committee</w:t>
      </w:r>
    </w:p>
    <w:p>
      <w:pPr>
        <w:pStyle w:val="ListParagraph"/>
        <w:numPr>
          <w:ilvl w:val="2"/>
          <w:numId w:val="62"/>
        </w:numPr>
        <w:tabs>
          <w:tab w:pos="2511" w:val="left" w:leader="none"/>
        </w:tabs>
        <w:spacing w:line="240" w:lineRule="auto" w:before="31" w:after="0"/>
        <w:ind w:left="2510" w:right="0" w:hanging="721"/>
        <w:jc w:val="left"/>
        <w:rPr>
          <w:sz w:val="18"/>
        </w:rPr>
      </w:pPr>
      <w:r>
        <w:rPr>
          <w:color w:val="231F20"/>
          <w:w w:val="110"/>
          <w:sz w:val="18"/>
        </w:rPr>
        <w:t>Pilots Management</w:t>
      </w:r>
      <w:r>
        <w:rPr>
          <w:color w:val="231F20"/>
          <w:spacing w:val="3"/>
          <w:w w:val="110"/>
          <w:sz w:val="18"/>
        </w:rPr>
        <w:t> </w:t>
      </w:r>
      <w:r>
        <w:rPr>
          <w:color w:val="231F20"/>
          <w:w w:val="110"/>
          <w:sz w:val="18"/>
        </w:rPr>
        <w:t>Sub-Committee</w:t>
      </w:r>
    </w:p>
    <w:p>
      <w:pPr>
        <w:pStyle w:val="ListParagraph"/>
        <w:numPr>
          <w:ilvl w:val="1"/>
          <w:numId w:val="62"/>
        </w:numPr>
        <w:tabs>
          <w:tab w:pos="2510" w:val="left" w:leader="none"/>
          <w:tab w:pos="2511" w:val="left" w:leader="none"/>
        </w:tabs>
        <w:spacing w:line="240" w:lineRule="auto" w:before="31" w:after="0"/>
        <w:ind w:left="2510" w:right="0" w:hanging="721"/>
        <w:jc w:val="left"/>
        <w:rPr>
          <w:sz w:val="18"/>
        </w:rPr>
      </w:pPr>
      <w:r>
        <w:rPr>
          <w:color w:val="231F20"/>
          <w:w w:val="110"/>
          <w:sz w:val="18"/>
        </w:rPr>
        <w:t>Disciplinary </w:t>
      </w:r>
      <w:r>
        <w:rPr>
          <w:color w:val="231F20"/>
          <w:spacing w:val="2"/>
          <w:w w:val="110"/>
          <w:sz w:val="18"/>
        </w:rPr>
        <w:t>Process </w:t>
      </w:r>
      <w:r>
        <w:rPr>
          <w:color w:val="231F20"/>
          <w:w w:val="110"/>
          <w:sz w:val="18"/>
        </w:rPr>
        <w:t>– Commission</w:t>
      </w:r>
      <w:r>
        <w:rPr>
          <w:color w:val="231F20"/>
          <w:spacing w:val="4"/>
          <w:w w:val="110"/>
          <w:sz w:val="18"/>
        </w:rPr>
        <w:t> </w:t>
      </w:r>
      <w:r>
        <w:rPr>
          <w:color w:val="231F20"/>
          <w:w w:val="110"/>
          <w:sz w:val="18"/>
        </w:rPr>
        <w:t>Panel</w:t>
      </w:r>
    </w:p>
    <w:p>
      <w:pPr>
        <w:pStyle w:val="BodyText"/>
        <w:spacing w:before="1"/>
        <w:rPr>
          <w:sz w:val="23"/>
        </w:rPr>
      </w:pPr>
    </w:p>
    <w:p>
      <w:pPr>
        <w:pStyle w:val="BodyText"/>
        <w:spacing w:line="273" w:lineRule="auto" w:before="1"/>
        <w:ind w:left="1070" w:right="2384"/>
      </w:pPr>
      <w:r>
        <w:rPr>
          <w:color w:val="231F20"/>
          <w:w w:val="110"/>
        </w:rPr>
        <w:t>There will be no departmental structure as such; the work of the committees will be coordinated through the General Secretariat.</w:t>
      </w:r>
    </w:p>
    <w:p>
      <w:pPr>
        <w:pStyle w:val="BodyText"/>
        <w:rPr>
          <w:sz w:val="22"/>
        </w:rPr>
      </w:pPr>
    </w:p>
    <w:p>
      <w:pPr>
        <w:pStyle w:val="BodyText"/>
        <w:spacing w:before="9"/>
        <w:rPr>
          <w:sz w:val="16"/>
        </w:rPr>
      </w:pPr>
    </w:p>
    <w:p>
      <w:pPr>
        <w:pStyle w:val="ListParagraph"/>
        <w:numPr>
          <w:ilvl w:val="0"/>
          <w:numId w:val="60"/>
        </w:numPr>
        <w:tabs>
          <w:tab w:pos="1790" w:val="left" w:leader="none"/>
          <w:tab w:pos="1791" w:val="left" w:leader="none"/>
        </w:tabs>
        <w:spacing w:line="240" w:lineRule="auto" w:before="0" w:after="0"/>
        <w:ind w:left="1790" w:right="0" w:hanging="721"/>
        <w:jc w:val="left"/>
        <w:rPr>
          <w:b/>
          <w:sz w:val="21"/>
        </w:rPr>
      </w:pPr>
      <w:r>
        <w:rPr>
          <w:b/>
          <w:color w:val="231F20"/>
          <w:w w:val="115"/>
          <w:sz w:val="21"/>
        </w:rPr>
        <w:t>Administration and Resources</w:t>
      </w:r>
      <w:r>
        <w:rPr>
          <w:b/>
          <w:color w:val="231F20"/>
          <w:spacing w:val="-4"/>
          <w:w w:val="115"/>
          <w:sz w:val="21"/>
        </w:rPr>
        <w:t> </w:t>
      </w:r>
      <w:r>
        <w:rPr>
          <w:b/>
          <w:color w:val="231F20"/>
          <w:w w:val="115"/>
          <w:sz w:val="21"/>
        </w:rPr>
        <w:t>Department</w:t>
      </w:r>
    </w:p>
    <w:p>
      <w:pPr>
        <w:pStyle w:val="BodyText"/>
        <w:spacing w:line="273" w:lineRule="auto" w:before="25"/>
        <w:ind w:left="1070" w:right="2464"/>
      </w:pPr>
      <w:r>
        <w:rPr>
          <w:color w:val="231F20"/>
          <w:w w:val="110"/>
        </w:rPr>
        <w:t>within which the following committees will continue largely as at present and will continue with their present remits, membership and relationships –</w:t>
      </w:r>
    </w:p>
    <w:p>
      <w:pPr>
        <w:pStyle w:val="BodyText"/>
        <w:spacing w:before="8"/>
        <w:rPr>
          <w:sz w:val="20"/>
        </w:rPr>
      </w:pPr>
    </w:p>
    <w:p>
      <w:pPr>
        <w:pStyle w:val="BodyText"/>
        <w:tabs>
          <w:tab w:pos="2510" w:val="left" w:leader="none"/>
        </w:tabs>
        <w:ind w:left="1790"/>
      </w:pPr>
      <w:r>
        <w:rPr>
          <w:color w:val="231F20"/>
          <w:spacing w:val="-4"/>
          <w:w w:val="110"/>
        </w:rPr>
        <w:t>3.1</w:t>
        <w:tab/>
      </w:r>
      <w:r>
        <w:rPr>
          <w:color w:val="231F20"/>
          <w:w w:val="110"/>
        </w:rPr>
        <w:t>Assembly Arrangements</w:t>
      </w:r>
      <w:r>
        <w:rPr>
          <w:color w:val="231F20"/>
          <w:spacing w:val="3"/>
          <w:w w:val="110"/>
        </w:rPr>
        <w:t> </w:t>
      </w:r>
      <w:r>
        <w:rPr>
          <w:color w:val="231F20"/>
          <w:w w:val="110"/>
        </w:rPr>
        <w:t>Committee</w:t>
      </w:r>
    </w:p>
    <w:p>
      <w:pPr>
        <w:pStyle w:val="BodyText"/>
        <w:tabs>
          <w:tab w:pos="2510" w:val="left" w:leader="none"/>
        </w:tabs>
        <w:spacing w:before="31"/>
        <w:ind w:left="1790"/>
      </w:pPr>
      <w:r>
        <w:rPr>
          <w:color w:val="231F20"/>
          <w:w w:val="110"/>
        </w:rPr>
        <w:t>3.3</w:t>
        <w:tab/>
        <w:t>Communications and Editorial</w:t>
      </w:r>
      <w:r>
        <w:rPr>
          <w:color w:val="231F20"/>
          <w:spacing w:val="5"/>
          <w:w w:val="110"/>
        </w:rPr>
        <w:t> </w:t>
      </w:r>
      <w:r>
        <w:rPr>
          <w:color w:val="231F20"/>
          <w:w w:val="110"/>
        </w:rPr>
        <w:t>Committee</w:t>
      </w:r>
    </w:p>
    <w:p>
      <w:pPr>
        <w:pStyle w:val="BodyText"/>
        <w:tabs>
          <w:tab w:pos="2510" w:val="left" w:leader="none"/>
        </w:tabs>
        <w:spacing w:before="31"/>
        <w:ind w:left="1790"/>
      </w:pPr>
      <w:r>
        <w:rPr>
          <w:color w:val="231F20"/>
          <w:spacing w:val="-4"/>
          <w:w w:val="110"/>
        </w:rPr>
        <w:t>3.5.1</w:t>
        <w:tab/>
      </w:r>
      <w:r>
        <w:rPr>
          <w:color w:val="231F20"/>
          <w:w w:val="110"/>
        </w:rPr>
        <w:t>Ecumenical – International Exchange</w:t>
      </w:r>
      <w:r>
        <w:rPr>
          <w:color w:val="231F20"/>
          <w:spacing w:val="10"/>
          <w:w w:val="110"/>
        </w:rPr>
        <w:t> </w:t>
      </w:r>
      <w:r>
        <w:rPr>
          <w:color w:val="231F20"/>
          <w:w w:val="110"/>
        </w:rPr>
        <w:t>sub-committee*</w:t>
      </w:r>
    </w:p>
    <w:p>
      <w:pPr>
        <w:pStyle w:val="ListParagraph"/>
        <w:numPr>
          <w:ilvl w:val="1"/>
          <w:numId w:val="63"/>
        </w:numPr>
        <w:tabs>
          <w:tab w:pos="2510" w:val="left" w:leader="none"/>
          <w:tab w:pos="2511" w:val="left" w:leader="none"/>
        </w:tabs>
        <w:spacing w:line="240" w:lineRule="auto" w:before="32" w:after="0"/>
        <w:ind w:left="2510" w:right="0" w:hanging="721"/>
        <w:jc w:val="left"/>
        <w:rPr>
          <w:sz w:val="18"/>
        </w:rPr>
      </w:pPr>
      <w:r>
        <w:rPr>
          <w:color w:val="231F20"/>
          <w:w w:val="110"/>
          <w:sz w:val="18"/>
        </w:rPr>
        <w:t>Equal Opportunities</w:t>
      </w:r>
      <w:r>
        <w:rPr>
          <w:color w:val="231F20"/>
          <w:spacing w:val="3"/>
          <w:w w:val="110"/>
          <w:sz w:val="18"/>
        </w:rPr>
        <w:t> </w:t>
      </w:r>
      <w:r>
        <w:rPr>
          <w:color w:val="231F20"/>
          <w:w w:val="110"/>
          <w:sz w:val="18"/>
        </w:rPr>
        <w:t>Committee</w:t>
      </w:r>
    </w:p>
    <w:p>
      <w:pPr>
        <w:pStyle w:val="ListParagraph"/>
        <w:numPr>
          <w:ilvl w:val="1"/>
          <w:numId w:val="63"/>
        </w:numPr>
        <w:tabs>
          <w:tab w:pos="2510" w:val="left" w:leader="none"/>
          <w:tab w:pos="2511" w:val="left" w:leader="none"/>
        </w:tabs>
        <w:spacing w:line="240" w:lineRule="auto" w:before="31" w:after="0"/>
        <w:ind w:left="2510" w:right="0" w:hanging="721"/>
        <w:jc w:val="left"/>
        <w:rPr>
          <w:sz w:val="18"/>
        </w:rPr>
      </w:pPr>
      <w:r>
        <w:rPr>
          <w:color w:val="231F20"/>
          <w:w w:val="110"/>
          <w:sz w:val="18"/>
        </w:rPr>
        <w:t>Finance</w:t>
      </w:r>
      <w:r>
        <w:rPr>
          <w:color w:val="231F20"/>
          <w:spacing w:val="1"/>
          <w:w w:val="110"/>
          <w:sz w:val="18"/>
        </w:rPr>
        <w:t> </w:t>
      </w:r>
      <w:r>
        <w:rPr>
          <w:color w:val="231F20"/>
          <w:w w:val="110"/>
          <w:sz w:val="18"/>
        </w:rPr>
        <w:t>Committee</w:t>
      </w:r>
    </w:p>
    <w:p>
      <w:pPr>
        <w:pStyle w:val="BodyText"/>
        <w:tabs>
          <w:tab w:pos="2510" w:val="left" w:leader="none"/>
        </w:tabs>
        <w:spacing w:before="31"/>
        <w:ind w:left="1790"/>
      </w:pPr>
      <w:r>
        <w:rPr>
          <w:color w:val="231F20"/>
          <w:spacing w:val="-6"/>
          <w:w w:val="110"/>
        </w:rPr>
        <w:t>3.9.1</w:t>
        <w:tab/>
      </w:r>
      <w:r>
        <w:rPr>
          <w:color w:val="231F20"/>
          <w:w w:val="110"/>
        </w:rPr>
        <w:t>Life and Witness – Stewardship</w:t>
      </w:r>
      <w:r>
        <w:rPr>
          <w:color w:val="231F20"/>
          <w:spacing w:val="10"/>
          <w:w w:val="110"/>
        </w:rPr>
        <w:t> </w:t>
      </w:r>
      <w:r>
        <w:rPr>
          <w:color w:val="231F20"/>
          <w:w w:val="110"/>
        </w:rPr>
        <w:t>sub-committee</w:t>
      </w:r>
    </w:p>
    <w:p>
      <w:pPr>
        <w:pStyle w:val="BodyText"/>
        <w:spacing w:before="32"/>
        <w:ind w:left="2510"/>
      </w:pPr>
      <w:r>
        <w:rPr>
          <w:color w:val="231F20"/>
          <w:w w:val="110"/>
        </w:rPr>
        <w:t>[or subsumed into Finance, and/or change of name?]</w:t>
      </w:r>
    </w:p>
    <w:p>
      <w:pPr>
        <w:pStyle w:val="ListParagraph"/>
        <w:numPr>
          <w:ilvl w:val="1"/>
          <w:numId w:val="64"/>
        </w:numPr>
        <w:tabs>
          <w:tab w:pos="2510" w:val="left" w:leader="none"/>
          <w:tab w:pos="2511" w:val="left" w:leader="none"/>
        </w:tabs>
        <w:spacing w:line="240" w:lineRule="auto" w:before="31" w:after="0"/>
        <w:ind w:left="2510" w:right="0" w:hanging="721"/>
        <w:jc w:val="left"/>
        <w:rPr>
          <w:sz w:val="18"/>
        </w:rPr>
      </w:pPr>
      <w:r>
        <w:rPr>
          <w:color w:val="231F20"/>
          <w:w w:val="110"/>
          <w:sz w:val="18"/>
        </w:rPr>
        <w:t>Nominations</w:t>
      </w:r>
      <w:r>
        <w:rPr>
          <w:color w:val="231F20"/>
          <w:spacing w:val="1"/>
          <w:w w:val="110"/>
          <w:sz w:val="18"/>
        </w:rPr>
        <w:t> </w:t>
      </w:r>
      <w:r>
        <w:rPr>
          <w:color w:val="231F20"/>
          <w:w w:val="110"/>
          <w:sz w:val="18"/>
        </w:rPr>
        <w:t>Committee</w:t>
      </w:r>
    </w:p>
    <w:p>
      <w:pPr>
        <w:pStyle w:val="ListParagraph"/>
        <w:numPr>
          <w:ilvl w:val="1"/>
          <w:numId w:val="64"/>
        </w:numPr>
        <w:tabs>
          <w:tab w:pos="2510" w:val="left" w:leader="none"/>
          <w:tab w:pos="2511" w:val="left" w:leader="none"/>
        </w:tabs>
        <w:spacing w:line="240" w:lineRule="auto" w:before="31" w:after="0"/>
        <w:ind w:left="2510" w:right="0" w:hanging="721"/>
        <w:jc w:val="left"/>
        <w:rPr>
          <w:sz w:val="18"/>
        </w:rPr>
      </w:pPr>
      <w:r>
        <w:rPr>
          <w:color w:val="231F20"/>
          <w:w w:val="110"/>
          <w:sz w:val="18"/>
        </w:rPr>
        <w:t>Pastoral Reference</w:t>
      </w:r>
      <w:r>
        <w:rPr>
          <w:color w:val="231F20"/>
          <w:spacing w:val="2"/>
          <w:w w:val="110"/>
          <w:sz w:val="18"/>
        </w:rPr>
        <w:t> </w:t>
      </w:r>
      <w:r>
        <w:rPr>
          <w:color w:val="231F20"/>
          <w:w w:val="110"/>
          <w:sz w:val="18"/>
        </w:rPr>
        <w:t>Committee</w:t>
      </w:r>
    </w:p>
    <w:p>
      <w:pPr>
        <w:pStyle w:val="ListParagraph"/>
        <w:numPr>
          <w:ilvl w:val="2"/>
          <w:numId w:val="64"/>
        </w:numPr>
        <w:tabs>
          <w:tab w:pos="2511" w:val="left" w:leader="none"/>
        </w:tabs>
        <w:spacing w:line="240" w:lineRule="auto" w:before="31" w:after="0"/>
        <w:ind w:left="2510" w:right="0" w:hanging="721"/>
        <w:jc w:val="left"/>
        <w:rPr>
          <w:sz w:val="18"/>
        </w:rPr>
      </w:pPr>
      <w:r>
        <w:rPr>
          <w:color w:val="231F20"/>
          <w:w w:val="110"/>
          <w:sz w:val="18"/>
        </w:rPr>
        <w:t>Pastoral Welfare</w:t>
      </w:r>
      <w:r>
        <w:rPr>
          <w:color w:val="231F20"/>
          <w:spacing w:val="2"/>
          <w:w w:val="110"/>
          <w:sz w:val="18"/>
        </w:rPr>
        <w:t> </w:t>
      </w:r>
      <w:r>
        <w:rPr>
          <w:color w:val="231F20"/>
          <w:w w:val="110"/>
          <w:sz w:val="18"/>
        </w:rPr>
        <w:t>sub-committee</w:t>
      </w:r>
    </w:p>
    <w:p>
      <w:pPr>
        <w:pStyle w:val="BodyText"/>
        <w:tabs>
          <w:tab w:pos="2510" w:val="left" w:leader="none"/>
        </w:tabs>
        <w:spacing w:before="32"/>
        <w:ind w:left="1790"/>
      </w:pPr>
      <w:r>
        <w:rPr>
          <w:color w:val="231F20"/>
          <w:spacing w:val="-6"/>
          <w:w w:val="110"/>
        </w:rPr>
        <w:t>3.17</w:t>
        <w:tab/>
      </w:r>
      <w:r>
        <w:rPr>
          <w:color w:val="231F20"/>
          <w:w w:val="110"/>
        </w:rPr>
        <w:t>Panel for the appointment and review of synod</w:t>
      </w:r>
      <w:r>
        <w:rPr>
          <w:color w:val="231F20"/>
          <w:spacing w:val="22"/>
          <w:w w:val="110"/>
        </w:rPr>
        <w:t> </w:t>
      </w:r>
      <w:r>
        <w:rPr>
          <w:color w:val="231F20"/>
          <w:w w:val="110"/>
        </w:rPr>
        <w:t>moderators</w:t>
      </w:r>
    </w:p>
    <w:p>
      <w:pPr>
        <w:pStyle w:val="BodyText"/>
        <w:spacing w:before="1"/>
        <w:rPr>
          <w:sz w:val="23"/>
        </w:rPr>
      </w:pPr>
    </w:p>
    <w:p>
      <w:pPr>
        <w:pStyle w:val="BodyText"/>
        <w:spacing w:line="273" w:lineRule="auto"/>
        <w:ind w:left="1070" w:right="2384"/>
      </w:pPr>
      <w:r>
        <w:rPr>
          <w:color w:val="231F20"/>
          <w:w w:val="110"/>
        </w:rPr>
        <w:t>There will be no departmental structure as such; the work of the committees will be coordinated through the General Secretariat.</w:t>
      </w:r>
    </w:p>
    <w:p>
      <w:pPr>
        <w:pStyle w:val="BodyText"/>
        <w:spacing w:before="1"/>
        <w:ind w:left="1070"/>
      </w:pPr>
      <w:r>
        <w:rPr>
          <w:color w:val="231F20"/>
          <w:w w:val="110"/>
        </w:rPr>
        <w:t>* Some committees, such as this one, are inter-departmental in nature.</w:t>
      </w:r>
    </w:p>
    <w:p>
      <w:pPr>
        <w:spacing w:after="0"/>
        <w:sectPr>
          <w:headerReference w:type="default" r:id="rId129"/>
          <w:pgSz w:w="11910" w:h="16840"/>
          <w:pgMar w:header="0" w:footer="564" w:top="940" w:bottom="760" w:left="460" w:right="0"/>
        </w:sectPr>
      </w:pPr>
    </w:p>
    <w:p>
      <w:pPr>
        <w:spacing w:before="28"/>
        <w:ind w:left="6959" w:right="0" w:firstLine="0"/>
        <w:jc w:val="left"/>
        <w:rPr>
          <w:rFonts w:ascii="Eurostile Bold"/>
          <w:b/>
          <w:sz w:val="28"/>
        </w:rPr>
      </w:pPr>
      <w:r>
        <w:rPr>
          <w:rFonts w:ascii="Eurostile Bold"/>
          <w:b/>
          <w:color w:val="A7A9AC"/>
          <w:w w:val="95"/>
          <w:sz w:val="28"/>
        </w:rPr>
        <w:t>New Committee Structures</w:t>
      </w:r>
    </w:p>
    <w:p>
      <w:pPr>
        <w:pStyle w:val="BodyText"/>
        <w:spacing w:before="7"/>
        <w:rPr>
          <w:rFonts w:ascii="Eurostile Bold"/>
          <w:b/>
          <w:sz w:val="20"/>
        </w:rPr>
      </w:pPr>
    </w:p>
    <w:p>
      <w:pPr>
        <w:numPr>
          <w:ilvl w:val="0"/>
          <w:numId w:val="60"/>
        </w:numPr>
        <w:tabs>
          <w:tab w:pos="1393" w:val="left" w:leader="none"/>
          <w:tab w:pos="1394" w:val="left" w:leader="none"/>
        </w:tabs>
        <w:spacing w:before="0"/>
        <w:ind w:left="1393" w:right="0" w:hanging="721"/>
        <w:jc w:val="left"/>
        <w:rPr>
          <w:b/>
          <w:sz w:val="21"/>
        </w:rPr>
      </w:pPr>
      <w:r>
        <w:rPr>
          <w:b/>
          <w:color w:val="231F20"/>
          <w:w w:val="115"/>
          <w:sz w:val="21"/>
        </w:rPr>
        <w:t>Mission</w:t>
      </w:r>
      <w:r>
        <w:rPr>
          <w:b/>
          <w:color w:val="231F20"/>
          <w:spacing w:val="-1"/>
          <w:w w:val="115"/>
          <w:sz w:val="21"/>
        </w:rPr>
        <w:t> </w:t>
      </w:r>
      <w:r>
        <w:rPr>
          <w:b/>
          <w:color w:val="231F20"/>
          <w:w w:val="115"/>
          <w:sz w:val="21"/>
        </w:rPr>
        <w:t>Department</w:t>
      </w:r>
    </w:p>
    <w:p>
      <w:pPr>
        <w:pStyle w:val="BodyText"/>
        <w:spacing w:before="25"/>
        <w:ind w:left="673"/>
      </w:pPr>
      <w:r>
        <w:rPr>
          <w:color w:val="231F20"/>
          <w:w w:val="110"/>
        </w:rPr>
        <w:t>The work of the Department will be coordinated by a Mission Committee.</w:t>
      </w:r>
    </w:p>
    <w:p>
      <w:pPr>
        <w:pStyle w:val="BodyText"/>
        <w:spacing w:before="31"/>
        <w:ind w:left="673"/>
      </w:pPr>
      <w:r>
        <w:rPr>
          <w:color w:val="231F20"/>
          <w:w w:val="110"/>
        </w:rPr>
        <w:t>This Committee will oversee work previously done by the following committees –</w:t>
      </w:r>
    </w:p>
    <w:p>
      <w:pPr>
        <w:pStyle w:val="BodyText"/>
        <w:tabs>
          <w:tab w:pos="6756" w:val="right" w:leader="none"/>
        </w:tabs>
        <w:spacing w:before="281"/>
        <w:ind w:left="2113"/>
      </w:pPr>
      <w:r>
        <w:rPr>
          <w:color w:val="231F20"/>
          <w:w w:val="110"/>
        </w:rPr>
        <w:t>Ecumenical</w:t>
        <w:tab/>
        <w:t>3.5</w:t>
      </w:r>
    </w:p>
    <w:p>
      <w:pPr>
        <w:pStyle w:val="BodyText"/>
        <w:tabs>
          <w:tab w:pos="6749" w:val="right" w:leader="none"/>
        </w:tabs>
        <w:spacing w:before="32"/>
        <w:ind w:left="2113"/>
      </w:pPr>
      <w:r>
        <w:rPr>
          <w:color w:val="231F20"/>
          <w:w w:val="110"/>
        </w:rPr>
        <w:t>Life</w:t>
      </w:r>
      <w:r>
        <w:rPr>
          <w:color w:val="231F20"/>
          <w:spacing w:val="1"/>
          <w:w w:val="110"/>
        </w:rPr>
        <w:t> </w:t>
      </w:r>
      <w:r>
        <w:rPr>
          <w:color w:val="231F20"/>
          <w:w w:val="110"/>
        </w:rPr>
        <w:t>and</w:t>
      </w:r>
      <w:r>
        <w:rPr>
          <w:color w:val="231F20"/>
          <w:spacing w:val="2"/>
          <w:w w:val="110"/>
        </w:rPr>
        <w:t> </w:t>
      </w:r>
      <w:r>
        <w:rPr>
          <w:color w:val="231F20"/>
          <w:w w:val="110"/>
        </w:rPr>
        <w:t>Witness</w:t>
        <w:tab/>
      </w:r>
      <w:r>
        <w:rPr>
          <w:color w:val="231F20"/>
          <w:spacing w:val="-5"/>
          <w:w w:val="110"/>
        </w:rPr>
        <w:t>3.9</w:t>
      </w:r>
    </w:p>
    <w:p>
      <w:pPr>
        <w:pStyle w:val="BodyText"/>
        <w:tabs>
          <w:tab w:pos="6757" w:val="right" w:leader="none"/>
        </w:tabs>
        <w:spacing w:before="31"/>
        <w:ind w:left="2113"/>
      </w:pPr>
      <w:r>
        <w:rPr>
          <w:color w:val="231F20"/>
          <w:w w:val="110"/>
        </w:rPr>
        <w:t>Church</w:t>
      </w:r>
      <w:r>
        <w:rPr>
          <w:color w:val="231F20"/>
          <w:spacing w:val="1"/>
          <w:w w:val="110"/>
        </w:rPr>
        <w:t> </w:t>
      </w:r>
      <w:r>
        <w:rPr>
          <w:color w:val="231F20"/>
          <w:w w:val="110"/>
        </w:rPr>
        <w:t>and</w:t>
      </w:r>
      <w:r>
        <w:rPr>
          <w:color w:val="231F20"/>
          <w:spacing w:val="2"/>
          <w:w w:val="110"/>
        </w:rPr>
        <w:t> Society</w:t>
        <w:tab/>
      </w:r>
      <w:r>
        <w:rPr>
          <w:color w:val="231F20"/>
          <w:w w:val="110"/>
        </w:rPr>
        <w:t>3.2</w:t>
      </w:r>
    </w:p>
    <w:p>
      <w:pPr>
        <w:pStyle w:val="BodyText"/>
        <w:tabs>
          <w:tab w:pos="6873" w:val="right" w:leader="none"/>
        </w:tabs>
        <w:spacing w:before="31"/>
        <w:ind w:left="2113"/>
      </w:pPr>
      <w:r>
        <w:rPr>
          <w:color w:val="231F20"/>
          <w:w w:val="110"/>
        </w:rPr>
        <w:t>Racial Justice and</w:t>
      </w:r>
      <w:r>
        <w:rPr>
          <w:color w:val="231F20"/>
          <w:spacing w:val="30"/>
          <w:w w:val="110"/>
        </w:rPr>
        <w:t> </w:t>
      </w:r>
      <w:r>
        <w:rPr>
          <w:color w:val="231F20"/>
          <w:w w:val="110"/>
        </w:rPr>
        <w:t>Multicultural</w:t>
      </w:r>
      <w:r>
        <w:rPr>
          <w:color w:val="231F20"/>
          <w:spacing w:val="10"/>
          <w:w w:val="110"/>
        </w:rPr>
        <w:t> </w:t>
      </w:r>
      <w:r>
        <w:rPr>
          <w:color w:val="231F20"/>
          <w:w w:val="110"/>
        </w:rPr>
        <w:t>Ministry</w:t>
        <w:tab/>
      </w:r>
      <w:r>
        <w:rPr>
          <w:color w:val="231F20"/>
          <w:spacing w:val="-5"/>
          <w:w w:val="110"/>
        </w:rPr>
        <w:t>3.13</w:t>
      </w:r>
    </w:p>
    <w:p>
      <w:pPr>
        <w:pStyle w:val="BodyText"/>
        <w:tabs>
          <w:tab w:pos="6752" w:val="right" w:leader="none"/>
        </w:tabs>
        <w:spacing w:before="31"/>
        <w:ind w:left="2113"/>
      </w:pPr>
      <w:r>
        <w:rPr>
          <w:color w:val="231F20"/>
          <w:w w:val="110"/>
        </w:rPr>
        <w:t>Doctrine, Prayer</w:t>
      </w:r>
      <w:r>
        <w:rPr>
          <w:color w:val="231F20"/>
          <w:spacing w:val="6"/>
          <w:w w:val="110"/>
        </w:rPr>
        <w:t> </w:t>
      </w:r>
      <w:r>
        <w:rPr>
          <w:color w:val="231F20"/>
          <w:w w:val="110"/>
        </w:rPr>
        <w:t>and</w:t>
      </w:r>
      <w:r>
        <w:rPr>
          <w:color w:val="231F20"/>
          <w:spacing w:val="3"/>
          <w:w w:val="110"/>
        </w:rPr>
        <w:t> </w:t>
      </w:r>
      <w:r>
        <w:rPr>
          <w:color w:val="231F20"/>
          <w:w w:val="110"/>
        </w:rPr>
        <w:t>Worship</w:t>
        <w:tab/>
      </w:r>
      <w:r>
        <w:rPr>
          <w:color w:val="231F20"/>
          <w:spacing w:val="-4"/>
          <w:w w:val="110"/>
        </w:rPr>
        <w:t>3.4</w:t>
      </w:r>
    </w:p>
    <w:p>
      <w:pPr>
        <w:pStyle w:val="BodyText"/>
        <w:tabs>
          <w:tab w:pos="6756" w:val="right" w:leader="none"/>
        </w:tabs>
        <w:spacing w:before="32"/>
        <w:ind w:left="2113"/>
      </w:pPr>
      <w:r>
        <w:rPr>
          <w:color w:val="231F20"/>
          <w:w w:val="110"/>
        </w:rPr>
        <w:t>Interfaith</w:t>
      </w:r>
      <w:r>
        <w:rPr>
          <w:color w:val="231F20"/>
          <w:spacing w:val="1"/>
          <w:w w:val="110"/>
        </w:rPr>
        <w:t> </w:t>
      </w:r>
      <w:r>
        <w:rPr>
          <w:color w:val="231F20"/>
          <w:w w:val="110"/>
        </w:rPr>
        <w:t>Relations</w:t>
        <w:tab/>
        <w:t>3.8</w:t>
      </w:r>
    </w:p>
    <w:p>
      <w:pPr>
        <w:pStyle w:val="BodyText"/>
        <w:spacing w:before="31"/>
        <w:ind w:left="2113"/>
      </w:pPr>
      <w:r>
        <w:rPr>
          <w:color w:val="231F20"/>
          <w:w w:val="110"/>
        </w:rPr>
        <w:t>(though this is now a joint committee with the Methodist Church)</w:t>
      </w:r>
    </w:p>
    <w:p>
      <w:pPr>
        <w:pStyle w:val="BodyText"/>
        <w:spacing w:before="1"/>
        <w:rPr>
          <w:sz w:val="23"/>
        </w:rPr>
      </w:pPr>
    </w:p>
    <w:p>
      <w:pPr>
        <w:pStyle w:val="BodyText"/>
        <w:spacing w:line="273" w:lineRule="auto"/>
        <w:ind w:left="673" w:right="1593"/>
      </w:pPr>
      <w:r>
        <w:rPr>
          <w:color w:val="231F20"/>
          <w:w w:val="110"/>
        </w:rPr>
        <w:t>Much of the work previously done by these committees will continue to be done by the executive secretaries under the direction of the Mission Committee.</w:t>
      </w:r>
    </w:p>
    <w:p>
      <w:pPr>
        <w:pStyle w:val="BodyText"/>
        <w:spacing w:before="8"/>
        <w:rPr>
          <w:sz w:val="20"/>
        </w:rPr>
      </w:pPr>
    </w:p>
    <w:p>
      <w:pPr>
        <w:pStyle w:val="BodyText"/>
        <w:spacing w:before="1"/>
        <w:ind w:left="673"/>
      </w:pPr>
      <w:r>
        <w:rPr>
          <w:color w:val="231F20"/>
          <w:w w:val="110"/>
        </w:rPr>
        <w:t>There will be two Reference Groups reporting to the Mission Committee –</w:t>
      </w:r>
    </w:p>
    <w:p>
      <w:pPr>
        <w:pStyle w:val="BodyText"/>
        <w:spacing w:before="1"/>
        <w:rPr>
          <w:sz w:val="23"/>
        </w:rPr>
      </w:pPr>
    </w:p>
    <w:p>
      <w:pPr>
        <w:pStyle w:val="BodyText"/>
        <w:spacing w:line="273" w:lineRule="auto"/>
        <w:ind w:left="2833" w:right="2348" w:hanging="720"/>
      </w:pPr>
      <w:r>
        <w:rPr>
          <w:color w:val="231F20"/>
          <w:w w:val="110"/>
        </w:rPr>
        <w:t>Faith and Order Reference Group [membership, remit and size still to be determined by Mission Council]</w:t>
      </w:r>
    </w:p>
    <w:p>
      <w:pPr>
        <w:pStyle w:val="BodyText"/>
        <w:spacing w:before="2"/>
        <w:ind w:left="2113"/>
      </w:pPr>
      <w:r>
        <w:rPr>
          <w:color w:val="231F20"/>
          <w:w w:val="110"/>
        </w:rPr>
        <w:t>Commitment for Life Reference Group [continuing as at present]</w:t>
      </w:r>
    </w:p>
    <w:p>
      <w:pPr>
        <w:pStyle w:val="BodyText"/>
        <w:spacing w:before="1"/>
        <w:rPr>
          <w:sz w:val="23"/>
        </w:rPr>
      </w:pPr>
    </w:p>
    <w:p>
      <w:pPr>
        <w:pStyle w:val="BodyText"/>
        <w:spacing w:line="273" w:lineRule="auto"/>
        <w:ind w:left="673" w:right="2009"/>
      </w:pPr>
      <w:r>
        <w:rPr>
          <w:color w:val="231F20"/>
          <w:w w:val="110"/>
        </w:rPr>
        <w:t>It is envisaged that the membership of the Mission Committee will be representative of the synods.  Names and detailed proposals will be brought either to General Assembly  or to Mission</w:t>
      </w:r>
      <w:r>
        <w:rPr>
          <w:color w:val="231F20"/>
          <w:spacing w:val="3"/>
          <w:w w:val="110"/>
        </w:rPr>
        <w:t> </w:t>
      </w:r>
      <w:r>
        <w:rPr>
          <w:color w:val="231F20"/>
          <w:w w:val="110"/>
        </w:rPr>
        <w:t>Council.</w:t>
      </w:r>
    </w:p>
    <w:p>
      <w:pPr>
        <w:pStyle w:val="BodyText"/>
        <w:rPr>
          <w:sz w:val="22"/>
        </w:rPr>
      </w:pPr>
    </w:p>
    <w:p>
      <w:pPr>
        <w:pStyle w:val="BodyText"/>
        <w:rPr>
          <w:sz w:val="22"/>
        </w:rPr>
      </w:pPr>
    </w:p>
    <w:p>
      <w:pPr>
        <w:pStyle w:val="BodyText"/>
        <w:rPr>
          <w:sz w:val="22"/>
        </w:rPr>
      </w:pPr>
    </w:p>
    <w:p>
      <w:pPr>
        <w:pStyle w:val="BodyText"/>
        <w:spacing w:before="7"/>
        <w:rPr>
          <w:sz w:val="27"/>
        </w:rPr>
      </w:pPr>
    </w:p>
    <w:p>
      <w:pPr>
        <w:spacing w:before="0"/>
        <w:ind w:left="3805" w:right="0" w:firstLine="0"/>
        <w:jc w:val="left"/>
        <w:rPr>
          <w:i/>
          <w:sz w:val="24"/>
        </w:rPr>
      </w:pPr>
      <w:r>
        <w:rPr>
          <w:i/>
          <w:color w:val="231F20"/>
          <w:w w:val="600"/>
          <w:sz w:val="24"/>
        </w:rPr>
        <w:t>   </w:t>
      </w:r>
    </w:p>
    <w:p>
      <w:pPr>
        <w:spacing w:after="0"/>
        <w:jc w:val="left"/>
        <w:rPr>
          <w:sz w:val="24"/>
        </w:rPr>
        <w:sectPr>
          <w:headerReference w:type="even" r:id="rId130"/>
          <w:footerReference w:type="even" r:id="rId131"/>
          <w:footerReference w:type="default" r:id="rId132"/>
          <w:pgSz w:w="11910" w:h="16840"/>
          <w:pgMar w:header="0" w:footer="564" w:top="460" w:bottom="760" w:left="460" w:right="0"/>
          <w:pgNumType w:start="112"/>
        </w:sectPr>
      </w:pPr>
    </w:p>
    <w:p>
      <w:pPr>
        <w:spacing w:line="273" w:lineRule="auto" w:before="88"/>
        <w:ind w:left="900" w:right="2384" w:firstLine="0"/>
        <w:jc w:val="left"/>
        <w:rPr>
          <w:b/>
          <w:sz w:val="18"/>
        </w:rPr>
      </w:pPr>
      <w:r>
        <w:rPr/>
        <w:pict>
          <v:shape style="position:absolute;margin-left:507.808899pt;margin-top:36.836716pt;width:68.150pt;height:325.5pt;mso-position-horizontal-relative:page;mso-position-vertical-relative:page;z-index:251774976" type="#_x0000_t202" filled="false" stroked="false">
            <v:textbox inset="0,0,0,0" style="layout-flow:vertical">
              <w:txbxContent>
                <w:p>
                  <w:pPr>
                    <w:spacing w:line="982" w:lineRule="exact" w:before="20"/>
                    <w:ind w:left="20" w:right="0" w:firstLine="0"/>
                    <w:jc w:val="left"/>
                    <w:rPr>
                      <w:b/>
                      <w:sz w:val="88"/>
                    </w:rPr>
                  </w:pPr>
                  <w:r>
                    <w:rPr>
                      <w:b/>
                      <w:color w:val="231F20"/>
                      <w:sz w:val="88"/>
                    </w:rPr>
                    <w:t>Finance</w:t>
                  </w:r>
                </w:p>
                <w:p>
                  <w:pPr>
                    <w:spacing w:line="358" w:lineRule="exact" w:before="0"/>
                    <w:ind w:left="2712"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The Committee is responsible for the general financial  oversight  of funds administered for the benefit of the United Reformed Church under the overall authority of General Assembly, for ensuring that proper </w:t>
      </w:r>
      <w:r>
        <w:rPr>
          <w:b/>
          <w:color w:val="231F20"/>
          <w:spacing w:val="2"/>
          <w:w w:val="110"/>
          <w:sz w:val="18"/>
        </w:rPr>
        <w:t>procedures </w:t>
      </w:r>
      <w:r>
        <w:rPr>
          <w:b/>
          <w:color w:val="231F20"/>
          <w:w w:val="110"/>
          <w:sz w:val="18"/>
        </w:rPr>
        <w:t>are in place for the maintenance of accounting </w:t>
      </w:r>
      <w:r>
        <w:rPr>
          <w:b/>
          <w:color w:val="231F20"/>
          <w:spacing w:val="2"/>
          <w:w w:val="110"/>
          <w:sz w:val="18"/>
        </w:rPr>
        <w:t>records, </w:t>
      </w:r>
      <w:r>
        <w:rPr>
          <w:b/>
          <w:color w:val="231F20"/>
          <w:w w:val="110"/>
          <w:sz w:val="18"/>
        </w:rPr>
        <w:t>the safe </w:t>
      </w:r>
      <w:r>
        <w:rPr>
          <w:b/>
          <w:color w:val="231F20"/>
          <w:spacing w:val="2"/>
          <w:w w:val="110"/>
          <w:sz w:val="18"/>
        </w:rPr>
        <w:t>custody </w:t>
      </w:r>
      <w:r>
        <w:rPr>
          <w:b/>
          <w:color w:val="231F20"/>
          <w:w w:val="110"/>
          <w:sz w:val="18"/>
        </w:rPr>
        <w:t>of </w:t>
      </w:r>
      <w:r>
        <w:rPr>
          <w:b/>
          <w:color w:val="231F20"/>
          <w:spacing w:val="3"/>
          <w:w w:val="110"/>
          <w:sz w:val="18"/>
        </w:rPr>
        <w:t>assets </w:t>
      </w:r>
      <w:r>
        <w:rPr>
          <w:b/>
          <w:color w:val="231F20"/>
          <w:w w:val="110"/>
          <w:sz w:val="18"/>
        </w:rPr>
        <w:t>and the preparation of financial </w:t>
      </w:r>
      <w:r>
        <w:rPr>
          <w:b/>
          <w:color w:val="231F20"/>
          <w:spacing w:val="2"/>
          <w:w w:val="110"/>
          <w:sz w:val="18"/>
        </w:rPr>
        <w:t>statements,</w:t>
      </w:r>
      <w:r>
        <w:rPr>
          <w:b/>
          <w:color w:val="231F20"/>
          <w:spacing w:val="5"/>
          <w:w w:val="110"/>
          <w:sz w:val="18"/>
        </w:rPr>
        <w:t> </w:t>
      </w:r>
      <w:r>
        <w:rPr>
          <w:b/>
          <w:color w:val="231F20"/>
          <w:w w:val="110"/>
          <w:sz w:val="18"/>
        </w:rPr>
        <w:t>for</w:t>
      </w:r>
    </w:p>
    <w:p>
      <w:pPr>
        <w:spacing w:line="273" w:lineRule="auto" w:before="3"/>
        <w:ind w:left="900" w:right="2145" w:firstLine="0"/>
        <w:jc w:val="both"/>
        <w:rPr>
          <w:b/>
          <w:sz w:val="18"/>
        </w:rPr>
      </w:pPr>
      <w:r>
        <w:rPr>
          <w:b/>
          <w:color w:val="231F20"/>
          <w:w w:val="110"/>
          <w:sz w:val="18"/>
        </w:rPr>
        <w:t>giving financial advice to other councils of the Church as appropriate, and for taking such decisions with regard to the finances of the Church as are necessary within the policies set by General Assembly.</w:t>
      </w:r>
    </w:p>
    <w:p>
      <w:pPr>
        <w:pStyle w:val="BodyText"/>
        <w:spacing w:before="8"/>
        <w:rPr>
          <w:b/>
          <w:sz w:val="20"/>
        </w:rPr>
      </w:pPr>
    </w:p>
    <w:p>
      <w:pPr>
        <w:spacing w:before="1"/>
        <w:ind w:left="900" w:right="0" w:firstLine="0"/>
        <w:jc w:val="left"/>
        <w:rPr>
          <w:b/>
          <w:sz w:val="18"/>
        </w:rPr>
      </w:pPr>
      <w:r>
        <w:rPr>
          <w:b/>
          <w:color w:val="231F20"/>
          <w:w w:val="110"/>
          <w:sz w:val="18"/>
        </w:rPr>
        <w:t>Committee Members</w:t>
      </w:r>
    </w:p>
    <w:p>
      <w:pPr>
        <w:spacing w:before="31"/>
        <w:ind w:left="900" w:right="0" w:firstLine="0"/>
        <w:jc w:val="left"/>
        <w:rPr>
          <w:i/>
          <w:sz w:val="18"/>
        </w:rPr>
      </w:pPr>
      <w:r>
        <w:rPr>
          <w:b/>
          <w:i/>
          <w:color w:val="231F20"/>
          <w:w w:val="110"/>
          <w:sz w:val="18"/>
        </w:rPr>
        <w:t>Convener: </w:t>
      </w:r>
      <w:r>
        <w:rPr>
          <w:i/>
          <w:color w:val="231F20"/>
          <w:w w:val="110"/>
          <w:sz w:val="18"/>
        </w:rPr>
        <w:t>Mr Eric Chilton (Honorary Treasurer)</w:t>
      </w:r>
    </w:p>
    <w:p>
      <w:pPr>
        <w:spacing w:before="31"/>
        <w:ind w:left="900" w:right="0" w:firstLine="0"/>
        <w:jc w:val="left"/>
        <w:rPr>
          <w:i/>
          <w:sz w:val="18"/>
        </w:rPr>
      </w:pPr>
      <w:r>
        <w:rPr>
          <w:b/>
          <w:i/>
          <w:color w:val="231F20"/>
          <w:w w:val="110"/>
          <w:sz w:val="18"/>
        </w:rPr>
        <w:t>Chief Finance Officer: </w:t>
      </w:r>
      <w:r>
        <w:rPr>
          <w:i/>
          <w:color w:val="231F20"/>
          <w:w w:val="110"/>
          <w:sz w:val="18"/>
        </w:rPr>
        <w:t>Mr Andrew Grimwade</w:t>
      </w:r>
    </w:p>
    <w:p>
      <w:pPr>
        <w:spacing w:line="273" w:lineRule="auto" w:before="31"/>
        <w:ind w:left="900" w:right="3653" w:firstLine="0"/>
        <w:jc w:val="left"/>
        <w:rPr>
          <w:i/>
          <w:sz w:val="18"/>
        </w:rPr>
      </w:pPr>
      <w:r>
        <w:rPr>
          <w:i/>
          <w:color w:val="231F20"/>
          <w:w w:val="110"/>
          <w:sz w:val="18"/>
        </w:rPr>
        <w:t>Revd David Dones, Mr John Ellis (Honorary Treasurer from 2007), </w:t>
      </w:r>
      <w:r>
        <w:rPr>
          <w:i/>
          <w:color w:val="231F20"/>
          <w:w w:val="110"/>
          <w:sz w:val="18"/>
        </w:rPr>
        <w:t>Revd Richard Gray, Mr John Kidd, Mr Graham Law, Mr Errol Martin,</w:t>
      </w:r>
    </w:p>
    <w:p>
      <w:pPr>
        <w:spacing w:before="2"/>
        <w:ind w:left="900" w:right="0" w:firstLine="0"/>
        <w:jc w:val="left"/>
        <w:rPr>
          <w:i/>
          <w:sz w:val="18"/>
        </w:rPr>
      </w:pPr>
      <w:r>
        <w:rPr>
          <w:i/>
          <w:color w:val="231F20"/>
          <w:w w:val="110"/>
          <w:sz w:val="18"/>
        </w:rPr>
        <w:t>Mr Graham Morris, Revd Kathryn </w:t>
      </w:r>
      <w:r>
        <w:rPr>
          <w:i/>
          <w:color w:val="231F20"/>
          <w:spacing w:val="-6"/>
          <w:w w:val="110"/>
          <w:sz w:val="18"/>
        </w:rPr>
        <w:t>Taylor, </w:t>
      </w:r>
      <w:r>
        <w:rPr>
          <w:i/>
          <w:color w:val="231F20"/>
          <w:spacing w:val="16"/>
          <w:w w:val="110"/>
          <w:sz w:val="18"/>
        </w:rPr>
        <w:t> </w:t>
      </w:r>
      <w:r>
        <w:rPr>
          <w:i/>
          <w:color w:val="231F20"/>
          <w:w w:val="110"/>
          <w:sz w:val="18"/>
        </w:rPr>
        <w:t>Revd John Waller (Convener United</w:t>
      </w:r>
    </w:p>
    <w:p>
      <w:pPr>
        <w:spacing w:before="31"/>
        <w:ind w:left="900" w:right="0" w:firstLine="0"/>
        <w:jc w:val="left"/>
        <w:rPr>
          <w:i/>
          <w:sz w:val="18"/>
        </w:rPr>
      </w:pPr>
      <w:r>
        <w:rPr>
          <w:i/>
          <w:color w:val="231F20"/>
          <w:w w:val="110"/>
          <w:sz w:val="18"/>
        </w:rPr>
        <w:t>Reformed Church </w:t>
      </w:r>
      <w:r>
        <w:rPr>
          <w:i/>
          <w:color w:val="231F20"/>
          <w:spacing w:val="-4"/>
          <w:w w:val="110"/>
          <w:sz w:val="18"/>
        </w:rPr>
        <w:t>Trust), </w:t>
      </w:r>
      <w:r>
        <w:rPr>
          <w:i/>
          <w:color w:val="231F20"/>
          <w:spacing w:val="2"/>
          <w:w w:val="110"/>
          <w:sz w:val="18"/>
        </w:rPr>
        <w:t>Mrs </w:t>
      </w:r>
      <w:r>
        <w:rPr>
          <w:i/>
          <w:color w:val="231F20"/>
          <w:w w:val="110"/>
          <w:sz w:val="18"/>
        </w:rPr>
        <w:t>Marie Whitman, Mr John Woodman </w:t>
      </w:r>
      <w:r>
        <w:rPr>
          <w:i/>
          <w:color w:val="231F20"/>
          <w:spacing w:val="11"/>
          <w:w w:val="110"/>
          <w:sz w:val="18"/>
        </w:rPr>
        <w:t> </w:t>
      </w:r>
      <w:r>
        <w:rPr>
          <w:i/>
          <w:color w:val="231F20"/>
          <w:w w:val="110"/>
          <w:sz w:val="18"/>
        </w:rPr>
        <w:t>(co-opted).</w:t>
      </w:r>
    </w:p>
    <w:p>
      <w:pPr>
        <w:pStyle w:val="BodyText"/>
        <w:rPr>
          <w:i/>
          <w:sz w:val="22"/>
        </w:rPr>
      </w:pPr>
    </w:p>
    <w:p>
      <w:pPr>
        <w:pStyle w:val="BodyText"/>
        <w:rPr>
          <w:i/>
          <w:sz w:val="22"/>
        </w:rPr>
      </w:pPr>
    </w:p>
    <w:p>
      <w:pPr>
        <w:pStyle w:val="BodyText"/>
        <w:spacing w:before="3"/>
        <w:rPr>
          <w:i/>
          <w:sz w:val="20"/>
        </w:rPr>
      </w:pPr>
    </w:p>
    <w:p>
      <w:pPr>
        <w:numPr>
          <w:ilvl w:val="1"/>
          <w:numId w:val="60"/>
        </w:numPr>
        <w:tabs>
          <w:tab w:pos="1620" w:val="left" w:leader="none"/>
          <w:tab w:pos="1621" w:val="left" w:leader="none"/>
        </w:tabs>
        <w:spacing w:before="0"/>
        <w:ind w:left="1620" w:right="0" w:hanging="721"/>
        <w:jc w:val="left"/>
        <w:rPr>
          <w:b/>
          <w:sz w:val="18"/>
        </w:rPr>
      </w:pPr>
      <w:r>
        <w:rPr>
          <w:b/>
          <w:color w:val="231F20"/>
          <w:w w:val="110"/>
          <w:sz w:val="18"/>
        </w:rPr>
        <w:t>Our remit</w:t>
      </w:r>
    </w:p>
    <w:p>
      <w:pPr>
        <w:pStyle w:val="BodyText"/>
        <w:spacing w:before="2"/>
        <w:rPr>
          <w:b/>
          <w:sz w:val="23"/>
        </w:rPr>
      </w:pPr>
    </w:p>
    <w:p>
      <w:pPr>
        <w:pStyle w:val="ListParagraph"/>
        <w:numPr>
          <w:ilvl w:val="2"/>
          <w:numId w:val="60"/>
        </w:numPr>
        <w:tabs>
          <w:tab w:pos="1620" w:val="left" w:leader="none"/>
          <w:tab w:pos="1621" w:val="left" w:leader="none"/>
        </w:tabs>
        <w:spacing w:line="273" w:lineRule="auto" w:before="0" w:after="0"/>
        <w:ind w:left="900" w:right="2325" w:firstLine="0"/>
        <w:jc w:val="left"/>
        <w:rPr>
          <w:b/>
          <w:sz w:val="18"/>
        </w:rPr>
      </w:pPr>
      <w:r>
        <w:rPr>
          <w:color w:val="231F20"/>
          <w:w w:val="110"/>
          <w:sz w:val="18"/>
        </w:rPr>
        <w:t>Our remit has been reviewed following the introduction of the revised governance arrangements and the appointment of the new Trustee body. A new remit has been agreed with the Trustees and Mission Council. A resolution is being brought to General Assembly as </w:t>
      </w:r>
      <w:r>
        <w:rPr>
          <w:color w:val="231F20"/>
          <w:spacing w:val="2"/>
          <w:w w:val="110"/>
          <w:sz w:val="18"/>
        </w:rPr>
        <w:t>part </w:t>
      </w:r>
      <w:r>
        <w:rPr>
          <w:color w:val="231F20"/>
          <w:w w:val="110"/>
          <w:sz w:val="18"/>
        </w:rPr>
        <w:t>of the Mission Council </w:t>
      </w:r>
      <w:r>
        <w:rPr>
          <w:color w:val="231F20"/>
          <w:spacing w:val="2"/>
          <w:w w:val="110"/>
          <w:sz w:val="18"/>
        </w:rPr>
        <w:t>report. </w:t>
      </w:r>
      <w:r>
        <w:rPr>
          <w:color w:val="231F20"/>
          <w:spacing w:val="73"/>
          <w:w w:val="110"/>
          <w:sz w:val="18"/>
        </w:rPr>
        <w:t> </w:t>
      </w:r>
      <w:r>
        <w:rPr>
          <w:b/>
          <w:color w:val="231F20"/>
          <w:w w:val="110"/>
          <w:sz w:val="18"/>
        </w:rPr>
        <w:t>(Pages </w:t>
      </w:r>
      <w:r>
        <w:rPr>
          <w:b/>
          <w:color w:val="231F20"/>
          <w:spacing w:val="-5"/>
          <w:w w:val="110"/>
          <w:sz w:val="18"/>
        </w:rPr>
        <w:t>115–116, </w:t>
      </w:r>
      <w:r>
        <w:rPr>
          <w:b/>
          <w:color w:val="231F20"/>
          <w:w w:val="110"/>
          <w:sz w:val="18"/>
        </w:rPr>
        <w:t>Resolution</w:t>
      </w:r>
      <w:r>
        <w:rPr>
          <w:b/>
          <w:color w:val="231F20"/>
          <w:spacing w:val="6"/>
          <w:w w:val="110"/>
          <w:sz w:val="18"/>
        </w:rPr>
        <w:t> </w:t>
      </w:r>
      <w:r>
        <w:rPr>
          <w:b/>
          <w:color w:val="231F20"/>
          <w:spacing w:val="-6"/>
          <w:w w:val="110"/>
          <w:sz w:val="18"/>
        </w:rPr>
        <w:t>32)</w:t>
      </w:r>
    </w:p>
    <w:p>
      <w:pPr>
        <w:pStyle w:val="BodyText"/>
        <w:spacing w:before="10"/>
        <w:rPr>
          <w:b/>
          <w:sz w:val="20"/>
        </w:rPr>
      </w:pPr>
    </w:p>
    <w:p>
      <w:pPr>
        <w:pStyle w:val="ListParagraph"/>
        <w:numPr>
          <w:ilvl w:val="2"/>
          <w:numId w:val="60"/>
        </w:numPr>
        <w:tabs>
          <w:tab w:pos="1620" w:val="left" w:leader="none"/>
          <w:tab w:pos="1621" w:val="left" w:leader="none"/>
        </w:tabs>
        <w:spacing w:line="273" w:lineRule="auto" w:before="0" w:after="0"/>
        <w:ind w:left="900" w:right="2204" w:firstLine="0"/>
        <w:jc w:val="left"/>
        <w:rPr>
          <w:sz w:val="18"/>
        </w:rPr>
      </w:pPr>
      <w:r>
        <w:rPr>
          <w:color w:val="231F20"/>
          <w:spacing w:val="-3"/>
          <w:w w:val="110"/>
          <w:sz w:val="18"/>
        </w:rPr>
        <w:t>We </w:t>
      </w:r>
      <w:r>
        <w:rPr>
          <w:color w:val="231F20"/>
          <w:w w:val="110"/>
          <w:sz w:val="18"/>
        </w:rPr>
        <w:t>believe that this remit will enable the Finance Committee to play a  more </w:t>
      </w:r>
      <w:r>
        <w:rPr>
          <w:color w:val="231F20"/>
          <w:spacing w:val="2"/>
          <w:w w:val="110"/>
          <w:sz w:val="18"/>
        </w:rPr>
        <w:t>effective </w:t>
      </w:r>
      <w:r>
        <w:rPr>
          <w:color w:val="231F20"/>
          <w:w w:val="110"/>
          <w:sz w:val="18"/>
        </w:rPr>
        <w:t>role in the life of the Church. It should also ensure that the more demanding requirements brought about by changes in </w:t>
      </w:r>
      <w:r>
        <w:rPr>
          <w:color w:val="231F20"/>
          <w:spacing w:val="2"/>
          <w:w w:val="110"/>
          <w:sz w:val="18"/>
        </w:rPr>
        <w:t>charity </w:t>
      </w:r>
      <w:r>
        <w:rPr>
          <w:color w:val="231F20"/>
          <w:w w:val="110"/>
          <w:sz w:val="18"/>
        </w:rPr>
        <w:t>law and accounting standards are</w:t>
      </w:r>
      <w:r>
        <w:rPr>
          <w:color w:val="231F20"/>
          <w:spacing w:val="2"/>
          <w:w w:val="110"/>
          <w:sz w:val="18"/>
        </w:rPr>
        <w:t> </w:t>
      </w:r>
      <w:r>
        <w:rPr>
          <w:color w:val="231F20"/>
          <w:w w:val="110"/>
          <w:sz w:val="18"/>
        </w:rPr>
        <w:t>met.</w:t>
      </w:r>
    </w:p>
    <w:p>
      <w:pPr>
        <w:pStyle w:val="BodyText"/>
        <w:spacing w:before="9"/>
        <w:rPr>
          <w:sz w:val="20"/>
        </w:rPr>
      </w:pPr>
    </w:p>
    <w:p>
      <w:pPr>
        <w:numPr>
          <w:ilvl w:val="1"/>
          <w:numId w:val="60"/>
        </w:numPr>
        <w:tabs>
          <w:tab w:pos="1620" w:val="left" w:leader="none"/>
          <w:tab w:pos="1621" w:val="left" w:leader="none"/>
        </w:tabs>
        <w:spacing w:before="0"/>
        <w:ind w:left="1620" w:right="0" w:hanging="721"/>
        <w:jc w:val="left"/>
        <w:rPr>
          <w:b/>
          <w:sz w:val="18"/>
        </w:rPr>
      </w:pPr>
      <w:r>
        <w:rPr>
          <w:b/>
          <w:color w:val="231F20"/>
          <w:w w:val="110"/>
          <w:sz w:val="18"/>
        </w:rPr>
        <w:t>Personalia</w:t>
      </w:r>
    </w:p>
    <w:p>
      <w:pPr>
        <w:pStyle w:val="BodyText"/>
        <w:spacing w:before="2"/>
        <w:rPr>
          <w:b/>
          <w:sz w:val="23"/>
        </w:rPr>
      </w:pPr>
    </w:p>
    <w:p>
      <w:pPr>
        <w:pStyle w:val="ListParagraph"/>
        <w:numPr>
          <w:ilvl w:val="2"/>
          <w:numId w:val="60"/>
        </w:numPr>
        <w:tabs>
          <w:tab w:pos="1620" w:val="left" w:leader="none"/>
          <w:tab w:pos="1621" w:val="left" w:leader="none"/>
        </w:tabs>
        <w:spacing w:line="273" w:lineRule="auto" w:before="0" w:after="0"/>
        <w:ind w:left="900" w:right="2235" w:firstLine="0"/>
        <w:jc w:val="left"/>
        <w:rPr>
          <w:sz w:val="18"/>
        </w:rPr>
      </w:pPr>
      <w:r>
        <w:rPr>
          <w:color w:val="231F20"/>
          <w:spacing w:val="-3"/>
          <w:w w:val="110"/>
          <w:sz w:val="18"/>
        </w:rPr>
        <w:t>We </w:t>
      </w:r>
      <w:r>
        <w:rPr>
          <w:color w:val="231F20"/>
          <w:w w:val="110"/>
          <w:sz w:val="18"/>
        </w:rPr>
        <w:t>continue to be well </w:t>
      </w:r>
      <w:r>
        <w:rPr>
          <w:color w:val="231F20"/>
          <w:spacing w:val="2"/>
          <w:w w:val="110"/>
          <w:sz w:val="18"/>
        </w:rPr>
        <w:t>served </w:t>
      </w:r>
      <w:r>
        <w:rPr>
          <w:color w:val="231F20"/>
          <w:w w:val="110"/>
          <w:sz w:val="18"/>
        </w:rPr>
        <w:t>by the </w:t>
      </w:r>
      <w:r>
        <w:rPr>
          <w:color w:val="231F20"/>
          <w:spacing w:val="2"/>
          <w:w w:val="110"/>
          <w:sz w:val="18"/>
        </w:rPr>
        <w:t>members </w:t>
      </w:r>
      <w:r>
        <w:rPr>
          <w:color w:val="231F20"/>
          <w:w w:val="110"/>
          <w:sz w:val="18"/>
        </w:rPr>
        <w:t>of the Finance Committee. This year we particularly thank Eric Chilton, David Dones and Marie Whitman    who have completed their term of </w:t>
      </w:r>
      <w:r>
        <w:rPr>
          <w:color w:val="231F20"/>
          <w:spacing w:val="2"/>
          <w:w w:val="110"/>
          <w:sz w:val="18"/>
        </w:rPr>
        <w:t>service. </w:t>
      </w:r>
      <w:r>
        <w:rPr>
          <w:color w:val="231F20"/>
          <w:spacing w:val="-3"/>
          <w:w w:val="110"/>
          <w:sz w:val="18"/>
        </w:rPr>
        <w:t>We </w:t>
      </w:r>
      <w:r>
        <w:rPr>
          <w:color w:val="231F20"/>
          <w:w w:val="110"/>
          <w:sz w:val="18"/>
        </w:rPr>
        <w:t>also wish to thank John Woodman who continued to assist the committee for a </w:t>
      </w:r>
      <w:r>
        <w:rPr>
          <w:color w:val="231F20"/>
          <w:spacing w:val="2"/>
          <w:w w:val="110"/>
          <w:sz w:val="18"/>
        </w:rPr>
        <w:t>further </w:t>
      </w:r>
      <w:r>
        <w:rPr>
          <w:color w:val="231F20"/>
          <w:w w:val="110"/>
          <w:sz w:val="18"/>
        </w:rPr>
        <w:t>two years when his term of </w:t>
      </w:r>
      <w:r>
        <w:rPr>
          <w:color w:val="231F20"/>
          <w:spacing w:val="2"/>
          <w:w w:val="110"/>
          <w:sz w:val="18"/>
        </w:rPr>
        <w:t>service </w:t>
      </w:r>
      <w:r>
        <w:rPr>
          <w:color w:val="231F20"/>
          <w:w w:val="110"/>
          <w:sz w:val="18"/>
        </w:rPr>
        <w:t>was completed; this enabled the committee to issue updated guidance to churches on their</w:t>
      </w:r>
      <w:r>
        <w:rPr>
          <w:color w:val="231F20"/>
          <w:spacing w:val="4"/>
          <w:w w:val="110"/>
          <w:sz w:val="18"/>
        </w:rPr>
        <w:t> </w:t>
      </w:r>
      <w:r>
        <w:rPr>
          <w:color w:val="231F20"/>
          <w:w w:val="110"/>
          <w:sz w:val="18"/>
        </w:rPr>
        <w:t>accounts.</w:t>
      </w:r>
    </w:p>
    <w:p>
      <w:pPr>
        <w:pStyle w:val="BodyText"/>
        <w:spacing w:before="10"/>
        <w:rPr>
          <w:sz w:val="20"/>
        </w:rPr>
      </w:pPr>
    </w:p>
    <w:p>
      <w:pPr>
        <w:pStyle w:val="ListParagraph"/>
        <w:numPr>
          <w:ilvl w:val="2"/>
          <w:numId w:val="60"/>
        </w:numPr>
        <w:tabs>
          <w:tab w:pos="1621" w:val="left" w:leader="none"/>
        </w:tabs>
        <w:spacing w:line="273" w:lineRule="auto" w:before="1" w:after="0"/>
        <w:ind w:left="900" w:right="2702" w:firstLine="0"/>
        <w:jc w:val="both"/>
        <w:rPr>
          <w:sz w:val="18"/>
        </w:rPr>
      </w:pPr>
      <w:r>
        <w:rPr>
          <w:color w:val="231F20"/>
          <w:spacing w:val="-3"/>
          <w:w w:val="110"/>
          <w:sz w:val="18"/>
        </w:rPr>
        <w:t>We </w:t>
      </w:r>
      <w:r>
        <w:rPr>
          <w:color w:val="231F20"/>
          <w:w w:val="110"/>
          <w:sz w:val="18"/>
        </w:rPr>
        <w:t>are again indebted to our </w:t>
      </w:r>
      <w:r>
        <w:rPr>
          <w:color w:val="231F20"/>
          <w:spacing w:val="3"/>
          <w:w w:val="110"/>
          <w:sz w:val="18"/>
        </w:rPr>
        <w:t>staff </w:t>
      </w:r>
      <w:r>
        <w:rPr>
          <w:color w:val="231F20"/>
          <w:w w:val="110"/>
          <w:sz w:val="18"/>
        </w:rPr>
        <w:t>for their work during another year of considerable change. The introduction of the new computerised accounts system is now providing added benefits to budget holders and giving greater </w:t>
      </w:r>
      <w:r>
        <w:rPr>
          <w:color w:val="231F20"/>
          <w:spacing w:val="2"/>
          <w:w w:val="110"/>
          <w:sz w:val="18"/>
        </w:rPr>
        <w:t>budgetary</w:t>
      </w:r>
      <w:r>
        <w:rPr>
          <w:color w:val="231F20"/>
          <w:spacing w:val="1"/>
          <w:w w:val="110"/>
          <w:sz w:val="18"/>
        </w:rPr>
        <w:t> </w:t>
      </w:r>
      <w:r>
        <w:rPr>
          <w:color w:val="231F20"/>
          <w:w w:val="110"/>
          <w:sz w:val="18"/>
        </w:rPr>
        <w:t>control.</w:t>
      </w:r>
    </w:p>
    <w:p>
      <w:pPr>
        <w:pStyle w:val="BodyText"/>
        <w:spacing w:before="9"/>
        <w:rPr>
          <w:sz w:val="20"/>
        </w:rPr>
      </w:pPr>
    </w:p>
    <w:p>
      <w:pPr>
        <w:pStyle w:val="ListParagraph"/>
        <w:numPr>
          <w:ilvl w:val="2"/>
          <w:numId w:val="60"/>
        </w:numPr>
        <w:tabs>
          <w:tab w:pos="1620" w:val="left" w:leader="none"/>
          <w:tab w:pos="1621" w:val="left" w:leader="none"/>
        </w:tabs>
        <w:spacing w:line="273" w:lineRule="auto" w:before="0" w:after="0"/>
        <w:ind w:left="900" w:right="2161" w:firstLine="0"/>
        <w:jc w:val="left"/>
        <w:rPr>
          <w:sz w:val="18"/>
        </w:rPr>
      </w:pPr>
      <w:r>
        <w:rPr>
          <w:color w:val="231F20"/>
          <w:spacing w:val="2"/>
          <w:w w:val="110"/>
          <w:sz w:val="18"/>
        </w:rPr>
        <w:t>Last </w:t>
      </w:r>
      <w:r>
        <w:rPr>
          <w:color w:val="231F20"/>
          <w:w w:val="110"/>
          <w:sz w:val="18"/>
        </w:rPr>
        <w:t>year we </w:t>
      </w:r>
      <w:r>
        <w:rPr>
          <w:color w:val="231F20"/>
          <w:spacing w:val="2"/>
          <w:w w:val="110"/>
          <w:sz w:val="18"/>
        </w:rPr>
        <w:t>reported </w:t>
      </w:r>
      <w:r>
        <w:rPr>
          <w:color w:val="231F20"/>
          <w:w w:val="110"/>
          <w:sz w:val="18"/>
        </w:rPr>
        <w:t>that we had not immediately replaced the Financial Secretary. By work reallocation and the dedication of the </w:t>
      </w:r>
      <w:r>
        <w:rPr>
          <w:color w:val="231F20"/>
          <w:spacing w:val="3"/>
          <w:w w:val="110"/>
          <w:sz w:val="18"/>
        </w:rPr>
        <w:t>staff </w:t>
      </w:r>
      <w:r>
        <w:rPr>
          <w:color w:val="231F20"/>
          <w:w w:val="110"/>
          <w:sz w:val="18"/>
        </w:rPr>
        <w:t>we have been able to save this post.  This has resulted in a substantial </w:t>
      </w:r>
      <w:r>
        <w:rPr>
          <w:color w:val="231F20"/>
          <w:spacing w:val="2"/>
          <w:w w:val="110"/>
          <w:sz w:val="18"/>
        </w:rPr>
        <w:t>reduction </w:t>
      </w:r>
      <w:r>
        <w:rPr>
          <w:color w:val="231F20"/>
          <w:w w:val="110"/>
          <w:sz w:val="18"/>
        </w:rPr>
        <w:t>in the budget for   the Finance</w:t>
      </w:r>
      <w:r>
        <w:rPr>
          <w:color w:val="231F20"/>
          <w:spacing w:val="1"/>
          <w:w w:val="110"/>
          <w:sz w:val="18"/>
        </w:rPr>
        <w:t> </w:t>
      </w:r>
      <w:r>
        <w:rPr>
          <w:color w:val="231F20"/>
          <w:spacing w:val="2"/>
          <w:w w:val="110"/>
          <w:sz w:val="18"/>
        </w:rPr>
        <w:t>Office.</w:t>
      </w:r>
    </w:p>
    <w:p>
      <w:pPr>
        <w:spacing w:after="0" w:line="273" w:lineRule="auto"/>
        <w:jc w:val="left"/>
        <w:rPr>
          <w:sz w:val="18"/>
        </w:rPr>
        <w:sectPr>
          <w:headerReference w:type="default" r:id="rId133"/>
          <w:pgSz w:w="11910" w:h="16840"/>
          <w:pgMar w:header="0" w:footer="564" w:top="1000" w:bottom="760" w:left="460" w:right="0"/>
        </w:sectPr>
      </w:pPr>
    </w:p>
    <w:p>
      <w:pPr>
        <w:spacing w:before="28"/>
        <w:ind w:left="0" w:right="1132" w:firstLine="0"/>
        <w:jc w:val="right"/>
        <w:rPr>
          <w:rFonts w:ascii="Eurostile Bold"/>
          <w:b/>
          <w:sz w:val="28"/>
        </w:rPr>
      </w:pPr>
      <w:r>
        <w:rPr>
          <w:rFonts w:ascii="Eurostile Bold"/>
          <w:b/>
          <w:color w:val="A7A9AC"/>
          <w:w w:val="85"/>
          <w:sz w:val="28"/>
        </w:rPr>
        <w:t>Finance</w:t>
      </w:r>
    </w:p>
    <w:p>
      <w:pPr>
        <w:pStyle w:val="BodyText"/>
        <w:rPr>
          <w:rFonts w:ascii="Eurostile Bold"/>
          <w:b/>
          <w:sz w:val="16"/>
        </w:rPr>
      </w:pPr>
      <w:r>
        <w:rPr/>
        <w:pict>
          <v:group style="position:absolute;margin-left:42.025169pt;margin-top:11.866026pt;width:496.6pt;height:83.5pt;mso-position-horizontal-relative:page;mso-position-vertical-relative:paragraph;z-index:-251537408;mso-wrap-distance-left:0;mso-wrap-distance-right:0" coordorigin="841,237" coordsize="9932,1670">
            <v:rect style="position:absolute;left:1143;top:677;width:4016;height:304" filled="true" fillcolor="#d8dadc" stroked="false">
              <v:fill type="solid"/>
            </v:rect>
            <v:rect style="position:absolute;left:1143;top:351;width:159;height:326" filled="true" fillcolor="#d8dadc" stroked="false">
              <v:fill type="solid"/>
            </v:rect>
            <v:line style="position:absolute" from="1143,345" to="5159,345" stroked="true" strokeweight=".7pt" strokecolor="#d8dadc">
              <v:stroke dashstyle="solid"/>
            </v:line>
            <v:rect style="position:absolute;left:4743;top:351;width:416;height:327" filled="true" fillcolor="#d8dadc" stroked="false">
              <v:fill type="solid"/>
            </v:rect>
            <v:rect style="position:absolute;left:1301;top:351;width:3443;height:327" filled="true" fillcolor="#d8dadc" stroked="false">
              <v:fill type="solid"/>
            </v:rect>
            <v:shape style="position:absolute;left:840;top:286;width:9932;height:1622" type="#_x0000_t75" stroked="false">
              <v:imagedata r:id="rId137" o:title=""/>
            </v:shape>
            <v:shape style="position:absolute;left:1256;top:237;width:3669;height:761"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9"/>
                        <w:w w:val="111"/>
                        <w:sz w:val="43"/>
                      </w:rPr>
                      <w:t>O</w:t>
                    </w:r>
                    <w:r>
                      <w:rPr>
                        <w:b/>
                        <w:color w:val="231F20"/>
                        <w:spacing w:val="-143"/>
                        <w:w w:val="112"/>
                        <w:position w:val="-21"/>
                        <w:sz w:val="50"/>
                      </w:rPr>
                      <w:t>2</w:t>
                    </w:r>
                    <w:r>
                      <w:rPr>
                        <w:b/>
                        <w:color w:val="FFFFFF"/>
                        <w:spacing w:val="-273"/>
                        <w:w w:val="111"/>
                        <w:sz w:val="43"/>
                      </w:rPr>
                      <w:t>N</w:t>
                    </w:r>
                    <w:r>
                      <w:rPr>
                        <w:b/>
                        <w:color w:val="231F20"/>
                        <w:spacing w:val="-9"/>
                        <w:w w:val="112"/>
                        <w:position w:val="-21"/>
                        <w:sz w:val="50"/>
                      </w:rPr>
                      <w:t>9</w:t>
                    </w:r>
                  </w:p>
                </w:txbxContent>
              </v:textbox>
              <w10:wrap type="none"/>
            </v:shape>
            <v:shape style="position:absolute;left:5469;top:693;width:4755;height:241" type="#_x0000_t202" filled="false" stroked="false">
              <v:textbox inset="0,0,0,0">
                <w:txbxContent>
                  <w:p>
                    <w:pPr>
                      <w:spacing w:line="241" w:lineRule="exact" w:before="0"/>
                      <w:ind w:left="0" w:right="0" w:firstLine="0"/>
                      <w:jc w:val="left"/>
                      <w:rPr>
                        <w:b/>
                        <w:sz w:val="20"/>
                      </w:rPr>
                    </w:pPr>
                    <w:r>
                      <w:rPr>
                        <w:b/>
                        <w:color w:val="231F20"/>
                        <w:w w:val="110"/>
                        <w:sz w:val="20"/>
                      </w:rPr>
                      <w:t>Trustee’s Report and Annual Accounts</w:t>
                    </w:r>
                  </w:p>
                </w:txbxContent>
              </v:textbox>
              <w10:wrap type="none"/>
            </v:shape>
            <v:shape style="position:absolute;left:1133;top:1211;width:9006;height:469" type="#_x0000_t202" filled="false" stroked="false">
              <v:textbox inset="0,0,0,0">
                <w:txbxContent>
                  <w:p>
                    <w:pPr>
                      <w:spacing w:line="273" w:lineRule="auto" w:before="0"/>
                      <w:ind w:left="0" w:right="0" w:firstLine="0"/>
                      <w:jc w:val="left"/>
                      <w:rPr>
                        <w:sz w:val="18"/>
                      </w:rPr>
                    </w:pPr>
                    <w:r>
                      <w:rPr>
                        <w:color w:val="231F20"/>
                        <w:w w:val="110"/>
                        <w:sz w:val="18"/>
                      </w:rPr>
                      <w:t>General Assembly receives the Trustee’s Report and adopts the Annual Accounts for the year ended 31 December 2006.</w:t>
                    </w:r>
                  </w:p>
                </w:txbxContent>
              </v:textbox>
              <w10:wrap type="none"/>
            </v:shape>
            <w10:wrap type="topAndBottom"/>
          </v:group>
        </w:pict>
      </w:r>
    </w:p>
    <w:p>
      <w:pPr>
        <w:pStyle w:val="BodyText"/>
        <w:spacing w:before="2"/>
        <w:rPr>
          <w:rFonts w:ascii="Eurostile Bold"/>
          <w:b/>
          <w:sz w:val="14"/>
        </w:rPr>
      </w:pPr>
    </w:p>
    <w:p>
      <w:pPr>
        <w:numPr>
          <w:ilvl w:val="0"/>
          <w:numId w:val="65"/>
        </w:numPr>
        <w:tabs>
          <w:tab w:pos="1393" w:val="left" w:leader="none"/>
          <w:tab w:pos="1394" w:val="left" w:leader="none"/>
        </w:tabs>
        <w:spacing w:before="100"/>
        <w:ind w:left="1393" w:right="0" w:hanging="721"/>
        <w:jc w:val="left"/>
        <w:rPr>
          <w:b/>
          <w:sz w:val="18"/>
        </w:rPr>
      </w:pPr>
      <w:r>
        <w:rPr>
          <w:b/>
          <w:color w:val="231F20"/>
          <w:w w:val="110"/>
          <w:sz w:val="18"/>
        </w:rPr>
        <w:t>2006 Accounts</w:t>
      </w:r>
    </w:p>
    <w:p>
      <w:pPr>
        <w:pStyle w:val="BodyText"/>
        <w:spacing w:before="2"/>
        <w:rPr>
          <w:b/>
          <w:sz w:val="23"/>
        </w:rPr>
      </w:pPr>
    </w:p>
    <w:p>
      <w:pPr>
        <w:pStyle w:val="ListParagraph"/>
        <w:numPr>
          <w:ilvl w:val="1"/>
          <w:numId w:val="65"/>
        </w:numPr>
        <w:tabs>
          <w:tab w:pos="1354" w:val="left" w:leader="none"/>
          <w:tab w:pos="1355" w:val="left" w:leader="none"/>
        </w:tabs>
        <w:spacing w:line="240" w:lineRule="auto" w:before="0" w:after="0"/>
        <w:ind w:left="1354" w:right="0" w:hanging="682"/>
        <w:jc w:val="left"/>
        <w:rPr>
          <w:sz w:val="18"/>
        </w:rPr>
      </w:pPr>
      <w:r>
        <w:rPr>
          <w:color w:val="231F20"/>
          <w:w w:val="110"/>
          <w:sz w:val="18"/>
        </w:rPr>
        <w:t>The Trustee’s </w:t>
      </w:r>
      <w:r>
        <w:rPr>
          <w:color w:val="231F20"/>
          <w:spacing w:val="2"/>
          <w:w w:val="110"/>
          <w:sz w:val="18"/>
        </w:rPr>
        <w:t>Report </w:t>
      </w:r>
      <w:r>
        <w:rPr>
          <w:color w:val="231F20"/>
          <w:w w:val="110"/>
          <w:sz w:val="18"/>
        </w:rPr>
        <w:t>includes a Financial Review and Accounts for the</w:t>
      </w:r>
      <w:r>
        <w:rPr>
          <w:color w:val="231F20"/>
          <w:spacing w:val="30"/>
          <w:w w:val="110"/>
          <w:sz w:val="18"/>
        </w:rPr>
        <w:t> </w:t>
      </w:r>
      <w:r>
        <w:rPr>
          <w:color w:val="231F20"/>
          <w:spacing w:val="-4"/>
          <w:w w:val="110"/>
          <w:sz w:val="18"/>
        </w:rPr>
        <w:t>year.</w:t>
      </w:r>
    </w:p>
    <w:p>
      <w:pPr>
        <w:pStyle w:val="BodyText"/>
        <w:spacing w:before="31"/>
        <w:ind w:left="673"/>
      </w:pPr>
      <w:r>
        <w:rPr>
          <w:color w:val="231F20"/>
          <w:w w:val="110"/>
        </w:rPr>
        <w:t>These comment on the results for the year and the financial position as at</w:t>
      </w:r>
    </w:p>
    <w:p>
      <w:pPr>
        <w:pStyle w:val="BodyText"/>
        <w:spacing w:before="31"/>
        <w:ind w:left="673"/>
      </w:pPr>
      <w:r>
        <w:rPr>
          <w:color w:val="231F20"/>
          <w:w w:val="110"/>
        </w:rPr>
        <w:t>31 December 2006.</w:t>
      </w:r>
    </w:p>
    <w:p>
      <w:pPr>
        <w:pStyle w:val="BodyText"/>
        <w:rPr>
          <w:sz w:val="20"/>
        </w:rPr>
      </w:pPr>
    </w:p>
    <w:p>
      <w:pPr>
        <w:pStyle w:val="BodyText"/>
        <w:spacing w:before="8"/>
        <w:rPr>
          <w:sz w:val="12"/>
        </w:rPr>
      </w:pPr>
      <w:r>
        <w:rPr/>
        <w:pict>
          <v:group style="position:absolute;margin-left:42.025639pt;margin-top:9.667192pt;width:496.6pt;height:112.05pt;mso-position-horizontal-relative:page;mso-position-vertical-relative:paragraph;z-index:-251533312;mso-wrap-distance-left:0;mso-wrap-distance-right:0" coordorigin="841,193" coordsize="9932,2241">
            <v:shape style="position:absolute;left:840;top:242;width:9932;height:2193" type="#_x0000_t75" stroked="false">
              <v:imagedata r:id="rId138" o:title=""/>
            </v:shape>
            <v:rect style="position:absolute;left:1143;top:635;width:4016;height:302" filled="true" fillcolor="#d8dadc" stroked="false">
              <v:fill type="solid"/>
            </v:rect>
            <v:rect style="position:absolute;left:1143;top:307;width:159;height:328" filled="true" fillcolor="#d8dadc" stroked="false">
              <v:fill type="solid"/>
            </v:rect>
            <v:line style="position:absolute" from="1143,305" to="5159,305" stroked="true" strokeweight=".2pt" strokecolor="#d8dadc">
              <v:stroke dashstyle="solid"/>
            </v:line>
            <v:rect style="position:absolute;left:4743;top:307;width:416;height:328" filled="true" fillcolor="#d8dadc" stroked="false">
              <v:fill type="solid"/>
            </v:rect>
            <v:shape style="position:absolute;left:1143;top:294;width:4016;height:8" type="#_x0000_t75" stroked="false">
              <v:imagedata r:id="rId139" o:title=""/>
            </v:shape>
            <v:rect style="position:absolute;left:1301;top:307;width:3443;height:328" filled="true" fillcolor="#d8dadc" stroked="false">
              <v:fill type="solid"/>
            </v:rect>
            <v:shape style="position:absolute;left:1256;top:193;width:3670;height:733"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61"/>
                        <w:w w:val="111"/>
                        <w:sz w:val="43"/>
                      </w:rPr>
                      <w:t>O</w:t>
                    </w:r>
                    <w:r>
                      <w:rPr>
                        <w:b/>
                        <w:color w:val="231F20"/>
                        <w:spacing w:val="-142"/>
                        <w:w w:val="112"/>
                        <w:position w:val="-18"/>
                        <w:sz w:val="50"/>
                      </w:rPr>
                      <w:t>3</w:t>
                    </w:r>
                    <w:r>
                      <w:rPr>
                        <w:b/>
                        <w:color w:val="FFFFFF"/>
                        <w:spacing w:val="-273"/>
                        <w:w w:val="111"/>
                        <w:sz w:val="43"/>
                      </w:rPr>
                      <w:t>N</w:t>
                    </w:r>
                    <w:r>
                      <w:rPr>
                        <w:b/>
                        <w:color w:val="231F20"/>
                        <w:spacing w:val="-8"/>
                        <w:w w:val="112"/>
                        <w:position w:val="-18"/>
                        <w:sz w:val="50"/>
                      </w:rPr>
                      <w:t>0</w:t>
                    </w:r>
                  </w:p>
                </w:txbxContent>
              </v:textbox>
              <w10:wrap type="none"/>
            </v:shape>
            <v:shape style="position:absolute;left:6630;top:620;width:3084;height:241" type="#_x0000_t202" filled="false" stroked="false">
              <v:textbox inset="0,0,0,0">
                <w:txbxContent>
                  <w:p>
                    <w:pPr>
                      <w:spacing w:line="241" w:lineRule="exact" w:before="0"/>
                      <w:ind w:left="0" w:right="0" w:firstLine="0"/>
                      <w:jc w:val="left"/>
                      <w:rPr>
                        <w:b/>
                        <w:sz w:val="20"/>
                      </w:rPr>
                    </w:pPr>
                    <w:r>
                      <w:rPr>
                        <w:b/>
                        <w:color w:val="231F20"/>
                        <w:w w:val="110"/>
                        <w:sz w:val="20"/>
                      </w:rPr>
                      <w:t>Appointment of Auditors</w:t>
                    </w:r>
                  </w:p>
                </w:txbxContent>
              </v:textbox>
              <w10:wrap type="none"/>
            </v:shape>
            <v:shape style="position:absolute;left:1133;top:1138;width:8819;height:969" type="#_x0000_t202" filled="false" stroked="false">
              <v:textbox inset="0,0,0,0">
                <w:txbxContent>
                  <w:p>
                    <w:pPr>
                      <w:spacing w:line="273" w:lineRule="auto" w:before="0"/>
                      <w:ind w:left="0" w:right="18" w:firstLine="0"/>
                      <w:jc w:val="both"/>
                      <w:rPr>
                        <w:sz w:val="18"/>
                      </w:rPr>
                    </w:pPr>
                    <w:r>
                      <w:rPr>
                        <w:color w:val="231F20"/>
                        <w:w w:val="110"/>
                        <w:sz w:val="18"/>
                      </w:rPr>
                      <w:t>General Assembly resolves that PricewaterhouseCoopers LLP be appointed auditors of the United Reformed Church, to hold office until the conclusion of the next meeting at which accounts are laid before General Assembly and that their remuneration be fixed by the Finance Committee.</w:t>
                    </w:r>
                  </w:p>
                </w:txbxContent>
              </v:textbox>
              <w10:wrap type="none"/>
            </v:shape>
            <w10:wrap type="topAndBottom"/>
          </v:group>
        </w:pict>
      </w:r>
    </w:p>
    <w:p>
      <w:pPr>
        <w:pStyle w:val="BodyText"/>
        <w:spacing w:before="2"/>
        <w:rPr>
          <w:sz w:val="6"/>
        </w:rPr>
      </w:pPr>
    </w:p>
    <w:p>
      <w:pPr>
        <w:numPr>
          <w:ilvl w:val="0"/>
          <w:numId w:val="66"/>
        </w:numPr>
        <w:tabs>
          <w:tab w:pos="1393" w:val="left" w:leader="none"/>
          <w:tab w:pos="1394" w:val="left" w:leader="none"/>
        </w:tabs>
        <w:spacing w:before="100"/>
        <w:ind w:left="1393" w:right="0" w:hanging="721"/>
        <w:jc w:val="left"/>
        <w:rPr>
          <w:b/>
          <w:sz w:val="18"/>
        </w:rPr>
      </w:pPr>
      <w:r>
        <w:rPr>
          <w:b/>
          <w:color w:val="231F20"/>
          <w:w w:val="110"/>
          <w:sz w:val="18"/>
        </w:rPr>
        <w:t>Appointment of auditors</w:t>
      </w:r>
    </w:p>
    <w:p>
      <w:pPr>
        <w:pStyle w:val="BodyText"/>
        <w:spacing w:before="2"/>
        <w:rPr>
          <w:b/>
          <w:sz w:val="23"/>
        </w:rPr>
      </w:pPr>
    </w:p>
    <w:p>
      <w:pPr>
        <w:pStyle w:val="ListParagraph"/>
        <w:numPr>
          <w:ilvl w:val="1"/>
          <w:numId w:val="66"/>
        </w:numPr>
        <w:tabs>
          <w:tab w:pos="1393" w:val="left" w:leader="none"/>
          <w:tab w:pos="1394" w:val="left" w:leader="none"/>
        </w:tabs>
        <w:spacing w:line="273" w:lineRule="auto" w:before="0" w:after="0"/>
        <w:ind w:left="673" w:right="2031" w:firstLine="0"/>
        <w:jc w:val="left"/>
        <w:rPr>
          <w:sz w:val="18"/>
        </w:rPr>
      </w:pPr>
      <w:r>
        <w:rPr>
          <w:color w:val="231F20"/>
          <w:w w:val="110"/>
          <w:sz w:val="18"/>
        </w:rPr>
        <w:t>The United Reformed Church is required to appoint auditors at each General Assembly at which accounts are laid </w:t>
      </w:r>
      <w:r>
        <w:rPr>
          <w:color w:val="231F20"/>
          <w:spacing w:val="2"/>
          <w:w w:val="110"/>
          <w:sz w:val="18"/>
        </w:rPr>
        <w:t>before </w:t>
      </w:r>
      <w:r>
        <w:rPr>
          <w:color w:val="231F20"/>
          <w:w w:val="110"/>
          <w:sz w:val="18"/>
        </w:rPr>
        <w:t>the members. The auditors are appointed </w:t>
      </w:r>
      <w:r>
        <w:rPr>
          <w:color w:val="231F20"/>
          <w:spacing w:val="2"/>
          <w:w w:val="110"/>
          <w:sz w:val="18"/>
        </w:rPr>
        <w:t>from </w:t>
      </w:r>
      <w:r>
        <w:rPr>
          <w:color w:val="231F20"/>
          <w:w w:val="110"/>
          <w:sz w:val="18"/>
        </w:rPr>
        <w:t>the conclusion of the forthcoming General Assembly until the conclusion of </w:t>
      </w:r>
      <w:r>
        <w:rPr>
          <w:color w:val="231F20"/>
          <w:spacing w:val="2"/>
          <w:w w:val="110"/>
          <w:sz w:val="18"/>
        </w:rPr>
        <w:t>next</w:t>
      </w:r>
      <w:r>
        <w:rPr>
          <w:color w:val="231F20"/>
          <w:spacing w:val="73"/>
          <w:w w:val="110"/>
          <w:sz w:val="18"/>
        </w:rPr>
        <w:t> </w:t>
      </w:r>
      <w:r>
        <w:rPr>
          <w:color w:val="231F20"/>
          <w:w w:val="110"/>
          <w:sz w:val="18"/>
        </w:rPr>
        <w:t>year’s General</w:t>
      </w:r>
      <w:r>
        <w:rPr>
          <w:color w:val="231F20"/>
          <w:spacing w:val="2"/>
          <w:w w:val="110"/>
          <w:sz w:val="18"/>
        </w:rPr>
        <w:t> </w:t>
      </w:r>
      <w:r>
        <w:rPr>
          <w:color w:val="231F20"/>
          <w:w w:val="110"/>
          <w:sz w:val="18"/>
        </w:rPr>
        <w:t>Assembly.</w:t>
      </w:r>
    </w:p>
    <w:p>
      <w:pPr>
        <w:pStyle w:val="BodyText"/>
        <w:spacing w:before="10"/>
        <w:rPr>
          <w:sz w:val="21"/>
        </w:rPr>
      </w:pPr>
      <w:r>
        <w:rPr/>
        <w:pict>
          <v:group style="position:absolute;margin-left:42.025169pt;margin-top:15.225322pt;width:496.6pt;height:105.25pt;mso-position-horizontal-relative:page;mso-position-vertical-relative:paragraph;z-index:-251529216;mso-wrap-distance-left:0;mso-wrap-distance-right:0" coordorigin="841,305" coordsize="9932,2105">
            <v:rect style="position:absolute;left:1143;top:745;width:4016;height:304" filled="true" fillcolor="#d8dadc" stroked="false">
              <v:fill type="solid"/>
            </v:rect>
            <v:rect style="position:absolute;left:1143;top:419;width:159;height:326" filled="true" fillcolor="#d8dadc" stroked="false">
              <v:fill type="solid"/>
            </v:rect>
            <v:line style="position:absolute" from="1143,412" to="5159,412" stroked="true" strokeweight=".7pt" strokecolor="#d8dadc">
              <v:stroke dashstyle="solid"/>
            </v:line>
            <v:rect style="position:absolute;left:4743;top:418;width:416;height:328" filled="true" fillcolor="#d8dadc" stroked="false">
              <v:fill type="solid"/>
            </v:rect>
            <v:rect style="position:absolute;left:1301;top:418;width:3443;height:328" filled="true" fillcolor="#d8dadc" stroked="false">
              <v:fill type="solid"/>
            </v:rect>
            <v:shape style="position:absolute;left:840;top:353;width:9932;height:2056" type="#_x0000_t75" stroked="false">
              <v:imagedata r:id="rId140" o:title=""/>
            </v:shape>
            <v:shape style="position:absolute;left:1256;top:304;width:3644;height:765"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35"/>
                        <w:w w:val="111"/>
                        <w:sz w:val="43"/>
                      </w:rPr>
                      <w:t>O</w:t>
                    </w:r>
                    <w:r>
                      <w:rPr>
                        <w:b/>
                        <w:color w:val="231F20"/>
                        <w:spacing w:val="-168"/>
                        <w:w w:val="112"/>
                        <w:position w:val="-21"/>
                        <w:sz w:val="50"/>
                      </w:rPr>
                      <w:t>3</w:t>
                    </w:r>
                    <w:r>
                      <w:rPr>
                        <w:b/>
                        <w:color w:val="FFFFFF"/>
                        <w:spacing w:val="-273"/>
                        <w:w w:val="111"/>
                        <w:sz w:val="43"/>
                      </w:rPr>
                      <w:t>N</w:t>
                    </w:r>
                    <w:r>
                      <w:rPr>
                        <w:b/>
                        <w:color w:val="231F20"/>
                        <w:spacing w:val="-34"/>
                        <w:w w:val="112"/>
                        <w:position w:val="-21"/>
                        <w:sz w:val="50"/>
                      </w:rPr>
                      <w:t>1</w:t>
                    </w:r>
                  </w:p>
                </w:txbxContent>
              </v:textbox>
              <w10:wrap type="none"/>
            </v:shape>
            <v:shape style="position:absolute;left:5557;top:764;width:4157;height:521" type="#_x0000_t202" filled="false" stroked="false">
              <v:textbox inset="0,0,0,0">
                <w:txbxContent>
                  <w:p>
                    <w:pPr>
                      <w:spacing w:line="241" w:lineRule="exact" w:before="0"/>
                      <w:ind w:left="0" w:right="18" w:firstLine="0"/>
                      <w:jc w:val="right"/>
                      <w:rPr>
                        <w:b/>
                        <w:sz w:val="20"/>
                      </w:rPr>
                    </w:pPr>
                    <w:r>
                      <w:rPr>
                        <w:b/>
                        <w:color w:val="231F20"/>
                        <w:w w:val="110"/>
                        <w:sz w:val="20"/>
                      </w:rPr>
                      <w:t>The giving of the members of</w:t>
                    </w:r>
                    <w:r>
                      <w:rPr>
                        <w:b/>
                        <w:color w:val="231F20"/>
                        <w:spacing w:val="13"/>
                        <w:w w:val="110"/>
                        <w:sz w:val="20"/>
                      </w:rPr>
                      <w:t> </w:t>
                    </w:r>
                    <w:r>
                      <w:rPr>
                        <w:b/>
                        <w:color w:val="231F20"/>
                        <w:w w:val="110"/>
                        <w:sz w:val="20"/>
                      </w:rPr>
                      <w:t>the</w:t>
                    </w:r>
                  </w:p>
                  <w:p>
                    <w:pPr>
                      <w:spacing w:line="243" w:lineRule="exact" w:before="37"/>
                      <w:ind w:left="0" w:right="18" w:firstLine="0"/>
                      <w:jc w:val="right"/>
                      <w:rPr>
                        <w:b/>
                        <w:sz w:val="20"/>
                      </w:rPr>
                    </w:pPr>
                    <w:r>
                      <w:rPr>
                        <w:b/>
                        <w:color w:val="231F20"/>
                        <w:w w:val="110"/>
                        <w:sz w:val="20"/>
                      </w:rPr>
                      <w:t>Church to central</w:t>
                    </w:r>
                    <w:r>
                      <w:rPr>
                        <w:b/>
                        <w:color w:val="231F20"/>
                        <w:spacing w:val="13"/>
                        <w:w w:val="110"/>
                        <w:sz w:val="20"/>
                      </w:rPr>
                      <w:t> </w:t>
                    </w:r>
                    <w:r>
                      <w:rPr>
                        <w:b/>
                        <w:color w:val="231F20"/>
                        <w:w w:val="110"/>
                        <w:sz w:val="20"/>
                      </w:rPr>
                      <w:t>funds</w:t>
                    </w:r>
                  </w:p>
                </w:txbxContent>
              </v:textbox>
              <w10:wrap type="none"/>
            </v:shape>
            <v:shape style="position:absolute;left:1133;top:1562;width:8991;height:469" type="#_x0000_t202" filled="false" stroked="false">
              <v:textbox inset="0,0,0,0">
                <w:txbxContent>
                  <w:p>
                    <w:pPr>
                      <w:spacing w:line="273" w:lineRule="auto" w:before="0"/>
                      <w:ind w:left="0" w:right="0" w:firstLine="0"/>
                      <w:jc w:val="left"/>
                      <w:rPr>
                        <w:sz w:val="18"/>
                      </w:rPr>
                    </w:pPr>
                    <w:r>
                      <w:rPr>
                        <w:color w:val="231F20"/>
                        <w:w w:val="110"/>
                        <w:sz w:val="18"/>
                      </w:rPr>
                      <w:t>General Assembly gratefully acknowledges the giving of the churches in 2006 to the Ministry and Mission Fund and the work of the local church, district and synod treasurers.</w:t>
                    </w:r>
                  </w:p>
                </w:txbxContent>
              </v:textbox>
              <w10:wrap type="none"/>
            </v:shape>
            <w10:wrap type="topAndBottom"/>
          </v:group>
        </w:pict>
      </w:r>
    </w:p>
    <w:p>
      <w:pPr>
        <w:pStyle w:val="BodyText"/>
        <w:rPr>
          <w:sz w:val="11"/>
        </w:rPr>
      </w:pPr>
    </w:p>
    <w:p>
      <w:pPr>
        <w:numPr>
          <w:ilvl w:val="0"/>
          <w:numId w:val="67"/>
        </w:numPr>
        <w:tabs>
          <w:tab w:pos="1393" w:val="left" w:leader="none"/>
          <w:tab w:pos="1394" w:val="left" w:leader="none"/>
        </w:tabs>
        <w:spacing w:before="101"/>
        <w:ind w:left="1393" w:right="0" w:hanging="721"/>
        <w:jc w:val="left"/>
        <w:rPr>
          <w:b/>
          <w:sz w:val="18"/>
        </w:rPr>
      </w:pPr>
      <w:r>
        <w:rPr>
          <w:b/>
          <w:color w:val="231F20"/>
          <w:w w:val="110"/>
          <w:sz w:val="18"/>
        </w:rPr>
        <w:t>The giving of the members of the Church to central</w:t>
      </w:r>
      <w:r>
        <w:rPr>
          <w:b/>
          <w:color w:val="231F20"/>
          <w:spacing w:val="17"/>
          <w:w w:val="110"/>
          <w:sz w:val="18"/>
        </w:rPr>
        <w:t> </w:t>
      </w:r>
      <w:r>
        <w:rPr>
          <w:b/>
          <w:color w:val="231F20"/>
          <w:w w:val="110"/>
          <w:sz w:val="18"/>
        </w:rPr>
        <w:t>funds</w:t>
      </w:r>
    </w:p>
    <w:p>
      <w:pPr>
        <w:pStyle w:val="BodyText"/>
        <w:spacing w:before="1"/>
        <w:rPr>
          <w:b/>
          <w:sz w:val="23"/>
        </w:rPr>
      </w:pPr>
    </w:p>
    <w:p>
      <w:pPr>
        <w:pStyle w:val="ListParagraph"/>
        <w:numPr>
          <w:ilvl w:val="1"/>
          <w:numId w:val="67"/>
        </w:numPr>
        <w:tabs>
          <w:tab w:pos="1393" w:val="left" w:leader="none"/>
          <w:tab w:pos="1394" w:val="left" w:leader="none"/>
        </w:tabs>
        <w:spacing w:line="273" w:lineRule="auto" w:before="0" w:after="0"/>
        <w:ind w:left="673" w:right="2125" w:firstLine="0"/>
        <w:jc w:val="left"/>
        <w:rPr>
          <w:sz w:val="18"/>
        </w:rPr>
      </w:pPr>
      <w:r>
        <w:rPr>
          <w:color w:val="231F20"/>
          <w:w w:val="110"/>
          <w:sz w:val="18"/>
        </w:rPr>
        <w:t>The financial operation of the Plan for Partnership in Ministerial Remuneration could not happen if each Church Treasurer did not make </w:t>
      </w:r>
      <w:r>
        <w:rPr>
          <w:color w:val="231F20"/>
          <w:spacing w:val="2"/>
          <w:w w:val="110"/>
          <w:sz w:val="18"/>
        </w:rPr>
        <w:t>very </w:t>
      </w:r>
      <w:r>
        <w:rPr>
          <w:color w:val="231F20"/>
          <w:w w:val="110"/>
          <w:sz w:val="18"/>
        </w:rPr>
        <w:t>great </w:t>
      </w:r>
      <w:r>
        <w:rPr>
          <w:color w:val="231F20"/>
          <w:spacing w:val="4"/>
          <w:w w:val="110"/>
          <w:sz w:val="18"/>
        </w:rPr>
        <w:t>efforts </w:t>
      </w:r>
      <w:r>
        <w:rPr>
          <w:color w:val="231F20"/>
          <w:w w:val="110"/>
          <w:sz w:val="18"/>
        </w:rPr>
        <w:t>to ensure that the money required for this </w:t>
      </w:r>
      <w:r>
        <w:rPr>
          <w:color w:val="231F20"/>
          <w:spacing w:val="2"/>
          <w:w w:val="110"/>
          <w:sz w:val="18"/>
        </w:rPr>
        <w:t>part </w:t>
      </w:r>
      <w:r>
        <w:rPr>
          <w:color w:val="231F20"/>
          <w:w w:val="110"/>
          <w:sz w:val="18"/>
        </w:rPr>
        <w:t>of the work is in the local bank account on the 20</w:t>
      </w:r>
      <w:r>
        <w:rPr>
          <w:color w:val="231F20"/>
          <w:w w:val="110"/>
          <w:position w:val="6"/>
          <w:sz w:val="10"/>
        </w:rPr>
        <w:t>th </w:t>
      </w:r>
      <w:r>
        <w:rPr>
          <w:color w:val="231F20"/>
          <w:w w:val="110"/>
          <w:sz w:val="18"/>
        </w:rPr>
        <w:t>of each month, for collection by </w:t>
      </w:r>
      <w:r>
        <w:rPr>
          <w:color w:val="231F20"/>
          <w:spacing w:val="2"/>
          <w:w w:val="110"/>
          <w:sz w:val="18"/>
        </w:rPr>
        <w:t>direct</w:t>
      </w:r>
      <w:r>
        <w:rPr>
          <w:color w:val="231F20"/>
          <w:spacing w:val="9"/>
          <w:w w:val="110"/>
          <w:sz w:val="18"/>
        </w:rPr>
        <w:t> </w:t>
      </w:r>
      <w:r>
        <w:rPr>
          <w:color w:val="231F20"/>
          <w:w w:val="110"/>
          <w:sz w:val="18"/>
        </w:rPr>
        <w:t>debit.</w:t>
      </w:r>
    </w:p>
    <w:p>
      <w:pPr>
        <w:pStyle w:val="BodyText"/>
        <w:spacing w:before="9"/>
        <w:rPr>
          <w:sz w:val="20"/>
        </w:rPr>
      </w:pPr>
    </w:p>
    <w:p>
      <w:pPr>
        <w:pStyle w:val="ListParagraph"/>
        <w:numPr>
          <w:ilvl w:val="1"/>
          <w:numId w:val="67"/>
        </w:numPr>
        <w:tabs>
          <w:tab w:pos="1393" w:val="left" w:leader="none"/>
          <w:tab w:pos="1394" w:val="left" w:leader="none"/>
        </w:tabs>
        <w:spacing w:line="273" w:lineRule="auto" w:before="1" w:after="0"/>
        <w:ind w:left="673" w:right="1732" w:firstLine="0"/>
        <w:jc w:val="left"/>
        <w:rPr>
          <w:sz w:val="18"/>
        </w:rPr>
      </w:pPr>
      <w:r>
        <w:rPr>
          <w:color w:val="231F20"/>
          <w:w w:val="110"/>
          <w:sz w:val="18"/>
        </w:rPr>
        <w:t>That this system runs </w:t>
      </w:r>
      <w:r>
        <w:rPr>
          <w:color w:val="231F20"/>
          <w:spacing w:val="2"/>
          <w:w w:val="110"/>
          <w:sz w:val="18"/>
        </w:rPr>
        <w:t>very </w:t>
      </w:r>
      <w:r>
        <w:rPr>
          <w:color w:val="231F20"/>
          <w:w w:val="110"/>
          <w:sz w:val="18"/>
        </w:rPr>
        <w:t>smoothly is evidence of much hard and devoted    work, and in thanking the Church for its </w:t>
      </w:r>
      <w:r>
        <w:rPr>
          <w:color w:val="231F20"/>
          <w:spacing w:val="2"/>
          <w:w w:val="110"/>
          <w:sz w:val="18"/>
        </w:rPr>
        <w:t>response </w:t>
      </w:r>
      <w:r>
        <w:rPr>
          <w:color w:val="231F20"/>
          <w:w w:val="110"/>
          <w:sz w:val="18"/>
        </w:rPr>
        <w:t>to the appeal for Ministry and Mission, the committee would also wish to acknowledge that largely unthanked group, the treasurers, in local churches, and also at </w:t>
      </w:r>
      <w:r>
        <w:rPr>
          <w:color w:val="231F20"/>
          <w:spacing w:val="2"/>
          <w:w w:val="110"/>
          <w:sz w:val="18"/>
        </w:rPr>
        <w:t>district </w:t>
      </w:r>
      <w:r>
        <w:rPr>
          <w:color w:val="231F20"/>
          <w:w w:val="110"/>
          <w:sz w:val="18"/>
        </w:rPr>
        <w:t>and synod</w:t>
      </w:r>
      <w:r>
        <w:rPr>
          <w:color w:val="231F20"/>
          <w:spacing w:val="29"/>
          <w:w w:val="110"/>
          <w:sz w:val="18"/>
        </w:rPr>
        <w:t> </w:t>
      </w:r>
      <w:r>
        <w:rPr>
          <w:color w:val="231F20"/>
          <w:w w:val="110"/>
          <w:sz w:val="18"/>
        </w:rPr>
        <w:t>level.</w:t>
      </w:r>
    </w:p>
    <w:p>
      <w:pPr>
        <w:pStyle w:val="BodyText"/>
        <w:spacing w:before="9"/>
        <w:rPr>
          <w:sz w:val="20"/>
        </w:rPr>
      </w:pPr>
    </w:p>
    <w:p>
      <w:pPr>
        <w:pStyle w:val="ListParagraph"/>
        <w:numPr>
          <w:ilvl w:val="1"/>
          <w:numId w:val="67"/>
        </w:numPr>
        <w:tabs>
          <w:tab w:pos="1393" w:val="left" w:leader="none"/>
          <w:tab w:pos="1394" w:val="left" w:leader="none"/>
        </w:tabs>
        <w:spacing w:line="273" w:lineRule="auto" w:before="0" w:after="0"/>
        <w:ind w:left="673" w:right="2030" w:firstLine="0"/>
        <w:jc w:val="left"/>
        <w:rPr>
          <w:sz w:val="18"/>
        </w:rPr>
      </w:pPr>
      <w:r>
        <w:rPr>
          <w:color w:val="231F20"/>
          <w:w w:val="110"/>
          <w:sz w:val="18"/>
        </w:rPr>
        <w:t>It is recognised that, with the demise of districts, considerable changes have   to be made within synods to arrange for the collection of contributions to the Ministry and Mission Fund. The committee wish to acknowledge the additional work and responsibilities which have been and will be undertaken at this</w:t>
      </w:r>
      <w:r>
        <w:rPr>
          <w:color w:val="231F20"/>
          <w:spacing w:val="38"/>
          <w:w w:val="110"/>
          <w:sz w:val="18"/>
        </w:rPr>
        <w:t> </w:t>
      </w:r>
      <w:r>
        <w:rPr>
          <w:color w:val="231F20"/>
          <w:w w:val="110"/>
          <w:sz w:val="18"/>
        </w:rPr>
        <w:t>time.</w:t>
      </w:r>
    </w:p>
    <w:p>
      <w:pPr>
        <w:spacing w:after="0" w:line="273" w:lineRule="auto"/>
        <w:jc w:val="left"/>
        <w:rPr>
          <w:sz w:val="18"/>
        </w:rPr>
        <w:sectPr>
          <w:headerReference w:type="even" r:id="rId134"/>
          <w:footerReference w:type="even" r:id="rId135"/>
          <w:footerReference w:type="default" r:id="rId136"/>
          <w:pgSz w:w="11910" w:h="16840"/>
          <w:pgMar w:header="0" w:footer="564" w:top="460" w:bottom="760" w:left="460" w:right="0"/>
          <w:pgNumType w:start="114"/>
        </w:sectPr>
      </w:pPr>
    </w:p>
    <w:p>
      <w:pPr>
        <w:pStyle w:val="Heading3"/>
        <w:spacing w:before="88"/>
        <w:ind w:left="862"/>
      </w:pPr>
      <w:r>
        <w:rPr/>
        <w:pict>
          <v:shape style="position:absolute;margin-left:513.367859pt;margin-top:36.840614pt;width:58.85pt;height:717.65pt;mso-position-horizontal-relative:page;mso-position-vertical-relative:page;z-index:251788288" type="#_x0000_t202" filled="false" stroked="false">
            <v:textbox inset="0,0,0,0" style="layout-flow:vertical">
              <w:txbxContent>
                <w:p>
                  <w:pPr>
                    <w:spacing w:line="744" w:lineRule="exact" w:before="20"/>
                    <w:ind w:left="20" w:right="0" w:firstLine="0"/>
                    <w:jc w:val="left"/>
                    <w:rPr>
                      <w:b/>
                      <w:sz w:val="64"/>
                    </w:rPr>
                  </w:pPr>
                  <w:r>
                    <w:rPr>
                      <w:b/>
                      <w:color w:val="231F20"/>
                      <w:spacing w:val="-12"/>
                      <w:sz w:val="64"/>
                    </w:rPr>
                    <w:t>Revised </w:t>
                  </w:r>
                  <w:r>
                    <w:rPr>
                      <w:b/>
                      <w:color w:val="231F20"/>
                      <w:spacing w:val="-10"/>
                      <w:sz w:val="64"/>
                    </w:rPr>
                    <w:t>remit </w:t>
                  </w:r>
                  <w:r>
                    <w:rPr>
                      <w:b/>
                      <w:color w:val="231F20"/>
                      <w:spacing w:val="-9"/>
                      <w:sz w:val="64"/>
                    </w:rPr>
                    <w:t>for </w:t>
                  </w:r>
                  <w:r>
                    <w:rPr>
                      <w:b/>
                      <w:color w:val="231F20"/>
                      <w:spacing w:val="-7"/>
                      <w:sz w:val="64"/>
                    </w:rPr>
                    <w:t>the </w:t>
                  </w:r>
                  <w:r>
                    <w:rPr>
                      <w:b/>
                      <w:color w:val="231F20"/>
                      <w:spacing w:val="-13"/>
                      <w:sz w:val="64"/>
                    </w:rPr>
                    <w:t>Finance </w:t>
                  </w:r>
                  <w:r>
                    <w:rPr>
                      <w:b/>
                      <w:color w:val="231F20"/>
                      <w:spacing w:val="-10"/>
                      <w:sz w:val="64"/>
                    </w:rPr>
                    <w:t>Committee</w:t>
                  </w:r>
                </w:p>
                <w:p>
                  <w:pPr>
                    <w:spacing w:line="411" w:lineRule="exact" w:before="0"/>
                    <w:ind w:left="9468" w:right="0" w:firstLine="0"/>
                    <w:jc w:val="left"/>
                    <w:rPr>
                      <w:rFonts w:ascii="Eurostile Bold"/>
                      <w:b/>
                      <w:sz w:val="36"/>
                    </w:rPr>
                  </w:pPr>
                  <w:r>
                    <w:rPr>
                      <w:rFonts w:ascii="Eurostile Bold"/>
                      <w:b/>
                      <w:color w:val="A7A9AC"/>
                      <w:w w:val="95"/>
                      <w:sz w:val="36"/>
                    </w:rPr>
                    <w:t>General</w:t>
                  </w:r>
                  <w:r>
                    <w:rPr>
                      <w:rFonts w:ascii="Eurostile Bold"/>
                      <w:b/>
                      <w:color w:val="A7A9AC"/>
                      <w:spacing w:val="-61"/>
                      <w:w w:val="95"/>
                      <w:sz w:val="36"/>
                    </w:rPr>
                    <w:t> </w:t>
                  </w:r>
                  <w:r>
                    <w:rPr>
                      <w:rFonts w:ascii="Eurostile Bold"/>
                      <w:b/>
                      <w:color w:val="A7A9AC"/>
                      <w:w w:val="95"/>
                      <w:sz w:val="36"/>
                    </w:rPr>
                    <w:t>Assembly</w:t>
                  </w:r>
                  <w:r>
                    <w:rPr>
                      <w:rFonts w:ascii="Eurostile Bold"/>
                      <w:b/>
                      <w:color w:val="A7A9AC"/>
                      <w:spacing w:val="-60"/>
                      <w:w w:val="95"/>
                      <w:sz w:val="36"/>
                    </w:rPr>
                    <w:t> </w:t>
                  </w:r>
                  <w:r>
                    <w:rPr>
                      <w:rFonts w:ascii="Eurostile Bold"/>
                      <w:b/>
                      <w:color w:val="A7A9AC"/>
                      <w:w w:val="95"/>
                      <w:sz w:val="36"/>
                    </w:rPr>
                    <w:t>2007</w:t>
                  </w:r>
                </w:p>
              </w:txbxContent>
            </v:textbox>
            <w10:wrap type="none"/>
          </v:shape>
        </w:pict>
      </w:r>
      <w:r>
        <w:rPr>
          <w:color w:val="231F20"/>
        </w:rPr>
        <w:t>Document 7</w:t>
      </w:r>
    </w:p>
    <w:p>
      <w:pPr>
        <w:pStyle w:val="ListParagraph"/>
        <w:numPr>
          <w:ilvl w:val="1"/>
          <w:numId w:val="68"/>
        </w:numPr>
        <w:tabs>
          <w:tab w:pos="1582" w:val="left" w:leader="none"/>
          <w:tab w:pos="1583" w:val="left" w:leader="none"/>
        </w:tabs>
        <w:spacing w:line="240" w:lineRule="auto" w:before="451" w:after="0"/>
        <w:ind w:left="1582" w:right="0" w:hanging="721"/>
        <w:jc w:val="left"/>
        <w:rPr>
          <w:sz w:val="18"/>
        </w:rPr>
      </w:pPr>
      <w:r>
        <w:rPr>
          <w:color w:val="231F20"/>
          <w:w w:val="110"/>
          <w:sz w:val="18"/>
        </w:rPr>
        <w:t>The present remit, which </w:t>
      </w:r>
      <w:r>
        <w:rPr>
          <w:color w:val="231F20"/>
          <w:spacing w:val="2"/>
          <w:w w:val="110"/>
          <w:sz w:val="18"/>
        </w:rPr>
        <w:t>states</w:t>
      </w:r>
      <w:r>
        <w:rPr>
          <w:color w:val="231F20"/>
          <w:spacing w:val="6"/>
          <w:w w:val="110"/>
          <w:sz w:val="18"/>
        </w:rPr>
        <w:t> </w:t>
      </w:r>
      <w:r>
        <w:rPr>
          <w:color w:val="231F20"/>
          <w:w w:val="110"/>
          <w:sz w:val="18"/>
        </w:rPr>
        <w:t>that</w:t>
      </w:r>
    </w:p>
    <w:p>
      <w:pPr>
        <w:pStyle w:val="BodyText"/>
        <w:spacing w:before="2"/>
        <w:rPr>
          <w:sz w:val="23"/>
        </w:rPr>
      </w:pPr>
    </w:p>
    <w:p>
      <w:pPr>
        <w:spacing w:line="273" w:lineRule="auto" w:before="0"/>
        <w:ind w:left="1543" w:right="2061" w:firstLine="0"/>
        <w:jc w:val="left"/>
        <w:rPr>
          <w:b/>
          <w:sz w:val="18"/>
        </w:rPr>
      </w:pPr>
      <w:r>
        <w:rPr>
          <w:b/>
          <w:color w:val="231F20"/>
          <w:w w:val="110"/>
          <w:sz w:val="18"/>
        </w:rPr>
        <w:t>“The committee is responsible for the general financial oversight of funds administered for the benefit of the United Reformed Church under the overall authority of General Assembly, for ensuring that proper procedures are in place for the maintenance of accounting records, the safe custody of assets and the preparation of financial statements, for giving financial advice to other councils of the Church as appropriate, and for taking such decisions with regard to the finances of the Church as are necessary within the policies set by General Assembly”</w:t>
      </w:r>
    </w:p>
    <w:p>
      <w:pPr>
        <w:pStyle w:val="BodyText"/>
        <w:rPr>
          <w:b/>
          <w:sz w:val="21"/>
        </w:rPr>
      </w:pPr>
    </w:p>
    <w:p>
      <w:pPr>
        <w:pStyle w:val="BodyText"/>
        <w:ind w:left="863"/>
      </w:pPr>
      <w:r>
        <w:rPr>
          <w:color w:val="231F20"/>
          <w:w w:val="110"/>
        </w:rPr>
        <w:t>does not properly reflect the work now undertaken by the Committee.</w:t>
      </w:r>
    </w:p>
    <w:p>
      <w:pPr>
        <w:pStyle w:val="BodyText"/>
        <w:spacing w:before="2"/>
        <w:rPr>
          <w:sz w:val="23"/>
        </w:rPr>
      </w:pPr>
    </w:p>
    <w:p>
      <w:pPr>
        <w:pStyle w:val="ListParagraph"/>
        <w:numPr>
          <w:ilvl w:val="1"/>
          <w:numId w:val="68"/>
        </w:numPr>
        <w:tabs>
          <w:tab w:pos="1582" w:val="left" w:leader="none"/>
          <w:tab w:pos="1583" w:val="left" w:leader="none"/>
        </w:tabs>
        <w:spacing w:line="273" w:lineRule="auto" w:before="0" w:after="0"/>
        <w:ind w:left="862" w:right="2226" w:firstLine="0"/>
        <w:jc w:val="left"/>
        <w:rPr>
          <w:sz w:val="18"/>
        </w:rPr>
      </w:pPr>
      <w:r>
        <w:rPr>
          <w:color w:val="231F20"/>
          <w:spacing w:val="2"/>
          <w:w w:val="110"/>
          <w:sz w:val="18"/>
        </w:rPr>
        <w:t>First, </w:t>
      </w:r>
      <w:r>
        <w:rPr>
          <w:color w:val="231F20"/>
          <w:w w:val="110"/>
          <w:sz w:val="18"/>
        </w:rPr>
        <w:t>in 2004 the Committee assumed the responsibilities previously given to the Resources Planning </w:t>
      </w:r>
      <w:r>
        <w:rPr>
          <w:color w:val="231F20"/>
          <w:spacing w:val="2"/>
          <w:w w:val="110"/>
          <w:sz w:val="18"/>
        </w:rPr>
        <w:t>Advisory </w:t>
      </w:r>
      <w:r>
        <w:rPr>
          <w:color w:val="231F20"/>
          <w:w w:val="110"/>
          <w:sz w:val="18"/>
        </w:rPr>
        <w:t>Group of the Mission Council. </w:t>
      </w:r>
      <w:r>
        <w:rPr>
          <w:color w:val="231F20"/>
          <w:spacing w:val="2"/>
          <w:w w:val="110"/>
          <w:sz w:val="18"/>
        </w:rPr>
        <w:t>These </w:t>
      </w:r>
      <w:r>
        <w:rPr>
          <w:color w:val="231F20"/>
          <w:w w:val="110"/>
          <w:sz w:val="18"/>
        </w:rPr>
        <w:t>included long term planning and the control of the </w:t>
      </w:r>
      <w:r>
        <w:rPr>
          <w:color w:val="231F20"/>
          <w:spacing w:val="2"/>
          <w:w w:val="110"/>
          <w:sz w:val="18"/>
        </w:rPr>
        <w:t>budgetary process. These </w:t>
      </w:r>
      <w:r>
        <w:rPr>
          <w:color w:val="231F20"/>
          <w:w w:val="110"/>
          <w:sz w:val="18"/>
        </w:rPr>
        <w:t>additional </w:t>
      </w:r>
      <w:r>
        <w:rPr>
          <w:color w:val="231F20"/>
          <w:spacing w:val="2"/>
          <w:w w:val="110"/>
          <w:sz w:val="18"/>
        </w:rPr>
        <w:t>tasks </w:t>
      </w:r>
      <w:r>
        <w:rPr>
          <w:color w:val="231F20"/>
          <w:w w:val="110"/>
          <w:sz w:val="18"/>
        </w:rPr>
        <w:t>have not yet been </w:t>
      </w:r>
      <w:r>
        <w:rPr>
          <w:color w:val="231F20"/>
          <w:spacing w:val="2"/>
          <w:w w:val="110"/>
          <w:sz w:val="18"/>
        </w:rPr>
        <w:t>reflected </w:t>
      </w:r>
      <w:r>
        <w:rPr>
          <w:color w:val="231F20"/>
          <w:w w:val="110"/>
          <w:sz w:val="18"/>
        </w:rPr>
        <w:t>in the</w:t>
      </w:r>
      <w:r>
        <w:rPr>
          <w:color w:val="231F20"/>
          <w:spacing w:val="9"/>
          <w:w w:val="110"/>
          <w:sz w:val="18"/>
        </w:rPr>
        <w:t> </w:t>
      </w:r>
      <w:r>
        <w:rPr>
          <w:color w:val="231F20"/>
          <w:w w:val="110"/>
          <w:sz w:val="18"/>
        </w:rPr>
        <w:t>remit.</w:t>
      </w:r>
    </w:p>
    <w:p>
      <w:pPr>
        <w:pStyle w:val="BodyText"/>
        <w:spacing w:before="9"/>
        <w:rPr>
          <w:sz w:val="20"/>
        </w:rPr>
      </w:pPr>
    </w:p>
    <w:p>
      <w:pPr>
        <w:pStyle w:val="ListParagraph"/>
        <w:numPr>
          <w:ilvl w:val="1"/>
          <w:numId w:val="68"/>
        </w:numPr>
        <w:tabs>
          <w:tab w:pos="1582" w:val="left" w:leader="none"/>
          <w:tab w:pos="1583" w:val="left" w:leader="none"/>
        </w:tabs>
        <w:spacing w:line="273" w:lineRule="auto" w:before="0" w:after="0"/>
        <w:ind w:left="862" w:right="2314" w:firstLine="0"/>
        <w:jc w:val="left"/>
        <w:rPr>
          <w:sz w:val="18"/>
        </w:rPr>
      </w:pPr>
      <w:r>
        <w:rPr>
          <w:color w:val="231F20"/>
          <w:w w:val="110"/>
          <w:sz w:val="18"/>
        </w:rPr>
        <w:t>Second, the setting up of the new arrangements for the Charity Trustees has also changed its role. The regular </w:t>
      </w:r>
      <w:r>
        <w:rPr>
          <w:color w:val="231F20"/>
          <w:spacing w:val="-3"/>
          <w:w w:val="110"/>
          <w:sz w:val="18"/>
        </w:rPr>
        <w:t>key </w:t>
      </w:r>
      <w:r>
        <w:rPr>
          <w:color w:val="231F20"/>
          <w:w w:val="110"/>
          <w:sz w:val="18"/>
        </w:rPr>
        <w:t>tasks of the Trustees are the Annual Audit, the agreement of the Budget in conjunction with Mission Council, and Risk Management. In these tasks the Trustees are assisted by the Finance</w:t>
      </w:r>
      <w:r>
        <w:rPr>
          <w:color w:val="231F20"/>
          <w:spacing w:val="-6"/>
          <w:w w:val="110"/>
          <w:sz w:val="18"/>
        </w:rPr>
        <w:t> </w:t>
      </w:r>
      <w:r>
        <w:rPr>
          <w:color w:val="231F20"/>
          <w:w w:val="110"/>
          <w:sz w:val="18"/>
        </w:rPr>
        <w:t>Committee.</w:t>
      </w:r>
    </w:p>
    <w:p>
      <w:pPr>
        <w:pStyle w:val="BodyText"/>
        <w:spacing w:before="9"/>
        <w:rPr>
          <w:sz w:val="20"/>
        </w:rPr>
      </w:pPr>
    </w:p>
    <w:p>
      <w:pPr>
        <w:pStyle w:val="ListParagraph"/>
        <w:numPr>
          <w:ilvl w:val="1"/>
          <w:numId w:val="68"/>
        </w:numPr>
        <w:tabs>
          <w:tab w:pos="1582" w:val="left" w:leader="none"/>
          <w:tab w:pos="1583" w:val="left" w:leader="none"/>
        </w:tabs>
        <w:spacing w:line="273" w:lineRule="auto" w:before="1" w:after="0"/>
        <w:ind w:left="862" w:right="2581" w:firstLine="0"/>
        <w:jc w:val="left"/>
        <w:rPr>
          <w:sz w:val="18"/>
        </w:rPr>
      </w:pPr>
      <w:r>
        <w:rPr>
          <w:color w:val="231F20"/>
          <w:w w:val="110"/>
          <w:sz w:val="18"/>
        </w:rPr>
        <w:t>Although the Committee is responsible to General Assembly, there are occasions where its work is complementary to or in support of the Trustees or other Committees as they fulfil their responsibilities, especially in the </w:t>
      </w:r>
      <w:r>
        <w:rPr>
          <w:color w:val="231F20"/>
          <w:spacing w:val="2"/>
          <w:w w:val="110"/>
          <w:sz w:val="18"/>
        </w:rPr>
        <w:t>security </w:t>
      </w:r>
      <w:r>
        <w:rPr>
          <w:color w:val="231F20"/>
          <w:w w:val="110"/>
          <w:sz w:val="18"/>
        </w:rPr>
        <w:t>of assets; long-term financial planning; budget control monitoring; appraisal   of business cases; assessing, monitoring and managing risk and in particular  its financial implications; compliance with </w:t>
      </w:r>
      <w:r>
        <w:rPr>
          <w:color w:val="231F20"/>
          <w:spacing w:val="2"/>
          <w:w w:val="110"/>
          <w:sz w:val="18"/>
        </w:rPr>
        <w:t>charity </w:t>
      </w:r>
      <w:r>
        <w:rPr>
          <w:color w:val="231F20"/>
          <w:w w:val="110"/>
          <w:sz w:val="18"/>
        </w:rPr>
        <w:t>legislation generally but with particular regard to finance; compliance with generally accepted accounting practice, </w:t>
      </w:r>
      <w:r>
        <w:rPr>
          <w:color w:val="231F20"/>
          <w:spacing w:val="2"/>
          <w:w w:val="110"/>
          <w:sz w:val="18"/>
        </w:rPr>
        <w:t>best </w:t>
      </w:r>
      <w:r>
        <w:rPr>
          <w:color w:val="231F20"/>
          <w:w w:val="110"/>
          <w:sz w:val="18"/>
        </w:rPr>
        <w:t>governance and general financial advice as</w:t>
      </w:r>
      <w:r>
        <w:rPr>
          <w:color w:val="231F20"/>
          <w:spacing w:val="49"/>
          <w:w w:val="110"/>
          <w:sz w:val="18"/>
        </w:rPr>
        <w:t> </w:t>
      </w:r>
      <w:r>
        <w:rPr>
          <w:color w:val="231F20"/>
          <w:w w:val="110"/>
          <w:sz w:val="18"/>
        </w:rPr>
        <w:t>appropriate.</w:t>
      </w:r>
    </w:p>
    <w:p>
      <w:pPr>
        <w:pStyle w:val="BodyText"/>
        <w:spacing w:before="11"/>
        <w:rPr>
          <w:sz w:val="20"/>
        </w:rPr>
      </w:pPr>
    </w:p>
    <w:p>
      <w:pPr>
        <w:pStyle w:val="ListParagraph"/>
        <w:numPr>
          <w:ilvl w:val="1"/>
          <w:numId w:val="68"/>
        </w:numPr>
        <w:tabs>
          <w:tab w:pos="1582" w:val="left" w:leader="none"/>
          <w:tab w:pos="1583" w:val="left" w:leader="none"/>
        </w:tabs>
        <w:spacing w:line="273" w:lineRule="auto" w:before="1" w:after="0"/>
        <w:ind w:left="862" w:right="2510" w:firstLine="0"/>
        <w:jc w:val="left"/>
        <w:rPr>
          <w:sz w:val="18"/>
        </w:rPr>
      </w:pPr>
      <w:r>
        <w:rPr>
          <w:color w:val="231F20"/>
          <w:w w:val="110"/>
          <w:sz w:val="18"/>
        </w:rPr>
        <w:t>The Finance Committee is appointed by and accountable to General Assembly, with nominations for Committee membership being </w:t>
      </w:r>
      <w:r>
        <w:rPr>
          <w:color w:val="231F20"/>
          <w:spacing w:val="2"/>
          <w:w w:val="110"/>
          <w:sz w:val="18"/>
        </w:rPr>
        <w:t>proposed </w:t>
      </w:r>
      <w:r>
        <w:rPr>
          <w:color w:val="231F20"/>
          <w:w w:val="110"/>
          <w:sz w:val="18"/>
        </w:rPr>
        <w:t>by the Nominations Committee, in consultation with the Finance</w:t>
      </w:r>
      <w:r>
        <w:rPr>
          <w:color w:val="231F20"/>
          <w:spacing w:val="46"/>
          <w:w w:val="110"/>
          <w:sz w:val="18"/>
        </w:rPr>
        <w:t> </w:t>
      </w:r>
      <w:r>
        <w:rPr>
          <w:color w:val="231F20"/>
          <w:w w:val="110"/>
          <w:sz w:val="18"/>
        </w:rPr>
        <w:t>Committee.</w:t>
      </w:r>
    </w:p>
    <w:p>
      <w:pPr>
        <w:pStyle w:val="BodyText"/>
        <w:spacing w:before="8"/>
        <w:rPr>
          <w:sz w:val="20"/>
        </w:rPr>
      </w:pPr>
    </w:p>
    <w:p>
      <w:pPr>
        <w:pStyle w:val="ListParagraph"/>
        <w:numPr>
          <w:ilvl w:val="1"/>
          <w:numId w:val="68"/>
        </w:numPr>
        <w:tabs>
          <w:tab w:pos="1582" w:val="left" w:leader="none"/>
          <w:tab w:pos="1583" w:val="left" w:leader="none"/>
        </w:tabs>
        <w:spacing w:line="240" w:lineRule="auto" w:before="0" w:after="0"/>
        <w:ind w:left="1582" w:right="0" w:hanging="721"/>
        <w:jc w:val="left"/>
        <w:rPr>
          <w:sz w:val="18"/>
        </w:rPr>
      </w:pPr>
      <w:r>
        <w:rPr>
          <w:color w:val="231F20"/>
          <w:w w:val="110"/>
          <w:sz w:val="18"/>
        </w:rPr>
        <w:t>The following revised remit is, therefore, </w:t>
      </w:r>
      <w:r>
        <w:rPr>
          <w:color w:val="231F20"/>
          <w:spacing w:val="2"/>
          <w:w w:val="110"/>
          <w:sz w:val="18"/>
        </w:rPr>
        <w:t>proposed </w:t>
      </w:r>
      <w:r>
        <w:rPr>
          <w:color w:val="231F20"/>
          <w:w w:val="110"/>
          <w:sz w:val="18"/>
        </w:rPr>
        <w:t>to </w:t>
      </w:r>
      <w:r>
        <w:rPr>
          <w:color w:val="231F20"/>
          <w:spacing w:val="2"/>
          <w:w w:val="110"/>
          <w:sz w:val="18"/>
        </w:rPr>
        <w:t>reflect</w:t>
      </w:r>
      <w:r>
        <w:rPr>
          <w:color w:val="231F20"/>
          <w:spacing w:val="21"/>
          <w:w w:val="110"/>
          <w:sz w:val="18"/>
        </w:rPr>
        <w:t> </w:t>
      </w:r>
      <w:r>
        <w:rPr>
          <w:color w:val="231F20"/>
          <w:w w:val="110"/>
          <w:sz w:val="18"/>
        </w:rPr>
        <w:t>the</w:t>
      </w:r>
    </w:p>
    <w:p>
      <w:pPr>
        <w:pStyle w:val="BodyText"/>
        <w:spacing w:before="31"/>
        <w:ind w:left="862"/>
      </w:pPr>
      <w:r>
        <w:rPr>
          <w:color w:val="231F20"/>
          <w:w w:val="110"/>
        </w:rPr>
        <w:t>Committee’s present role:</w:t>
      </w:r>
    </w:p>
    <w:p>
      <w:pPr>
        <w:pStyle w:val="BodyText"/>
        <w:spacing w:before="2"/>
        <w:rPr>
          <w:sz w:val="23"/>
        </w:rPr>
      </w:pPr>
    </w:p>
    <w:p>
      <w:pPr>
        <w:spacing w:line="273" w:lineRule="auto" w:before="0"/>
        <w:ind w:left="1543" w:right="2464" w:firstLine="0"/>
        <w:jc w:val="left"/>
        <w:rPr>
          <w:b/>
          <w:sz w:val="18"/>
        </w:rPr>
      </w:pPr>
      <w:r>
        <w:rPr>
          <w:b/>
          <w:color w:val="231F20"/>
          <w:w w:val="110"/>
          <w:sz w:val="18"/>
        </w:rPr>
        <w:t>“The Finance Committee is responsible for the general financial oversight of funds administered for the benefit of the United Reformed Church, </w:t>
      </w:r>
      <w:r>
        <w:rPr>
          <w:b/>
          <w:color w:val="231F20"/>
          <w:spacing w:val="2"/>
          <w:w w:val="110"/>
          <w:sz w:val="18"/>
        </w:rPr>
        <w:t>its </w:t>
      </w:r>
      <w:r>
        <w:rPr>
          <w:b/>
          <w:color w:val="231F20"/>
          <w:w w:val="110"/>
          <w:sz w:val="18"/>
        </w:rPr>
        <w:t>long-term financial planning, and the preparation and </w:t>
      </w:r>
      <w:r>
        <w:rPr>
          <w:b/>
          <w:color w:val="231F20"/>
          <w:spacing w:val="2"/>
          <w:w w:val="110"/>
          <w:sz w:val="18"/>
        </w:rPr>
        <w:t>control </w:t>
      </w:r>
      <w:r>
        <w:rPr>
          <w:b/>
          <w:color w:val="231F20"/>
          <w:w w:val="110"/>
          <w:sz w:val="18"/>
        </w:rPr>
        <w:t>of </w:t>
      </w:r>
      <w:r>
        <w:rPr>
          <w:b/>
          <w:color w:val="231F20"/>
          <w:spacing w:val="2"/>
          <w:w w:val="110"/>
          <w:sz w:val="18"/>
        </w:rPr>
        <w:t>its </w:t>
      </w:r>
      <w:r>
        <w:rPr>
          <w:b/>
          <w:color w:val="231F20"/>
          <w:w w:val="110"/>
          <w:sz w:val="18"/>
        </w:rPr>
        <w:t>budget under the authority of Mission Council and the</w:t>
      </w:r>
      <w:r>
        <w:rPr>
          <w:b/>
          <w:color w:val="231F20"/>
          <w:spacing w:val="4"/>
          <w:w w:val="110"/>
          <w:sz w:val="18"/>
        </w:rPr>
        <w:t> </w:t>
      </w:r>
      <w:r>
        <w:rPr>
          <w:b/>
          <w:color w:val="231F20"/>
          <w:w w:val="110"/>
          <w:sz w:val="18"/>
        </w:rPr>
        <w:t>Trustees.</w:t>
      </w:r>
    </w:p>
    <w:p>
      <w:pPr>
        <w:pStyle w:val="BodyText"/>
        <w:spacing w:before="10"/>
        <w:rPr>
          <w:b/>
          <w:sz w:val="20"/>
        </w:rPr>
      </w:pPr>
    </w:p>
    <w:p>
      <w:pPr>
        <w:spacing w:line="273" w:lineRule="auto" w:before="0"/>
        <w:ind w:left="1543" w:right="2219" w:firstLine="0"/>
        <w:jc w:val="left"/>
        <w:rPr>
          <w:b/>
          <w:sz w:val="18"/>
        </w:rPr>
      </w:pPr>
      <w:r>
        <w:rPr>
          <w:b/>
          <w:color w:val="231F20"/>
          <w:w w:val="110"/>
          <w:sz w:val="18"/>
        </w:rPr>
        <w:t>The </w:t>
      </w:r>
      <w:r>
        <w:rPr>
          <w:b/>
          <w:color w:val="231F20"/>
          <w:spacing w:val="2"/>
          <w:w w:val="110"/>
          <w:sz w:val="18"/>
        </w:rPr>
        <w:t>Committee </w:t>
      </w:r>
      <w:r>
        <w:rPr>
          <w:b/>
          <w:color w:val="231F20"/>
          <w:w w:val="110"/>
          <w:sz w:val="18"/>
        </w:rPr>
        <w:t>will </w:t>
      </w:r>
      <w:r>
        <w:rPr>
          <w:b/>
          <w:color w:val="231F20"/>
          <w:spacing w:val="2"/>
          <w:w w:val="110"/>
          <w:sz w:val="18"/>
        </w:rPr>
        <w:t>ensure </w:t>
      </w:r>
      <w:r>
        <w:rPr>
          <w:b/>
          <w:color w:val="231F20"/>
          <w:w w:val="110"/>
          <w:sz w:val="18"/>
        </w:rPr>
        <w:t>that proper </w:t>
      </w:r>
      <w:r>
        <w:rPr>
          <w:b/>
          <w:color w:val="231F20"/>
          <w:spacing w:val="2"/>
          <w:w w:val="110"/>
          <w:sz w:val="18"/>
        </w:rPr>
        <w:t>procedures </w:t>
      </w:r>
      <w:r>
        <w:rPr>
          <w:b/>
          <w:color w:val="231F20"/>
          <w:w w:val="110"/>
          <w:sz w:val="18"/>
        </w:rPr>
        <w:t>are in place for the maintenance of accounting </w:t>
      </w:r>
      <w:r>
        <w:rPr>
          <w:b/>
          <w:color w:val="231F20"/>
          <w:spacing w:val="2"/>
          <w:w w:val="110"/>
          <w:sz w:val="18"/>
        </w:rPr>
        <w:t>records, </w:t>
      </w:r>
      <w:r>
        <w:rPr>
          <w:b/>
          <w:color w:val="231F20"/>
          <w:w w:val="110"/>
          <w:sz w:val="18"/>
        </w:rPr>
        <w:t>controlling and monitoring the </w:t>
      </w:r>
      <w:r>
        <w:rPr>
          <w:b/>
          <w:color w:val="231F20"/>
          <w:spacing w:val="2"/>
          <w:w w:val="110"/>
          <w:sz w:val="18"/>
        </w:rPr>
        <w:t>budgetary process, </w:t>
      </w:r>
      <w:r>
        <w:rPr>
          <w:b/>
          <w:color w:val="231F20"/>
          <w:w w:val="110"/>
          <w:sz w:val="18"/>
        </w:rPr>
        <w:t>and the preparation of financial </w:t>
      </w:r>
      <w:r>
        <w:rPr>
          <w:b/>
          <w:color w:val="231F20"/>
          <w:spacing w:val="2"/>
          <w:w w:val="110"/>
          <w:sz w:val="18"/>
        </w:rPr>
        <w:t>statements </w:t>
      </w:r>
      <w:r>
        <w:rPr>
          <w:b/>
          <w:color w:val="231F20"/>
          <w:w w:val="110"/>
          <w:sz w:val="18"/>
        </w:rPr>
        <w:t>in compliance with applicable United Kingdom law and accounting standards. </w:t>
      </w:r>
      <w:r>
        <w:rPr>
          <w:b/>
          <w:color w:val="231F20"/>
          <w:spacing w:val="-7"/>
          <w:w w:val="110"/>
          <w:sz w:val="18"/>
        </w:rPr>
        <w:t>To </w:t>
      </w:r>
      <w:r>
        <w:rPr>
          <w:b/>
          <w:color w:val="231F20"/>
          <w:w w:val="110"/>
          <w:sz w:val="18"/>
        </w:rPr>
        <w:t>this end the </w:t>
      </w:r>
      <w:r>
        <w:rPr>
          <w:b/>
          <w:color w:val="231F20"/>
          <w:spacing w:val="2"/>
          <w:w w:val="110"/>
          <w:sz w:val="18"/>
        </w:rPr>
        <w:t>Committee </w:t>
      </w:r>
      <w:r>
        <w:rPr>
          <w:b/>
          <w:color w:val="231F20"/>
          <w:w w:val="110"/>
          <w:sz w:val="18"/>
        </w:rPr>
        <w:t>should </w:t>
      </w:r>
      <w:r>
        <w:rPr>
          <w:b/>
          <w:color w:val="231F20"/>
          <w:spacing w:val="2"/>
          <w:w w:val="110"/>
          <w:sz w:val="18"/>
        </w:rPr>
        <w:t>expect </w:t>
      </w:r>
      <w:r>
        <w:rPr>
          <w:b/>
          <w:color w:val="231F20"/>
          <w:w w:val="110"/>
          <w:sz w:val="18"/>
        </w:rPr>
        <w:t>to liaise with auditors at least once per</w:t>
      </w:r>
      <w:r>
        <w:rPr>
          <w:b/>
          <w:color w:val="231F20"/>
          <w:spacing w:val="4"/>
          <w:w w:val="110"/>
          <w:sz w:val="18"/>
        </w:rPr>
        <w:t> </w:t>
      </w:r>
      <w:r>
        <w:rPr>
          <w:b/>
          <w:color w:val="231F20"/>
          <w:w w:val="110"/>
          <w:sz w:val="18"/>
        </w:rPr>
        <w:t>annum.</w:t>
      </w:r>
    </w:p>
    <w:p>
      <w:pPr>
        <w:pStyle w:val="BodyText"/>
        <w:spacing w:before="8"/>
        <w:rPr>
          <w:b/>
          <w:sz w:val="20"/>
        </w:rPr>
      </w:pPr>
    </w:p>
    <w:p>
      <w:pPr>
        <w:spacing w:before="0"/>
        <w:ind w:left="1543" w:right="0" w:firstLine="0"/>
        <w:jc w:val="left"/>
        <w:rPr>
          <w:b/>
          <w:sz w:val="18"/>
        </w:rPr>
      </w:pPr>
      <w:r>
        <w:rPr>
          <w:b/>
          <w:color w:val="231F20"/>
          <w:w w:val="110"/>
          <w:sz w:val="18"/>
        </w:rPr>
        <w:t>The Committee may take such decisions with regard to the finances of the</w:t>
      </w:r>
    </w:p>
    <w:p>
      <w:pPr>
        <w:spacing w:before="31"/>
        <w:ind w:left="1543" w:right="0" w:firstLine="0"/>
        <w:jc w:val="left"/>
        <w:rPr>
          <w:b/>
          <w:sz w:val="18"/>
        </w:rPr>
      </w:pPr>
      <w:r>
        <w:rPr>
          <w:b/>
          <w:color w:val="231F20"/>
          <w:w w:val="110"/>
          <w:sz w:val="18"/>
        </w:rPr>
        <w:t>Church as are necessary within the policies set by General Assembly”.</w:t>
      </w:r>
    </w:p>
    <w:p>
      <w:pPr>
        <w:spacing w:after="0"/>
        <w:jc w:val="left"/>
        <w:rPr>
          <w:sz w:val="18"/>
        </w:rPr>
        <w:sectPr>
          <w:headerReference w:type="default" r:id="rId141"/>
          <w:pgSz w:w="11910" w:h="16840"/>
          <w:pgMar w:header="0" w:footer="564" w:top="780" w:bottom="760" w:left="460" w:right="0"/>
        </w:sectPr>
      </w:pPr>
    </w:p>
    <w:p>
      <w:pPr>
        <w:spacing w:before="28"/>
        <w:ind w:left="5412" w:right="0" w:firstLine="0"/>
        <w:jc w:val="left"/>
        <w:rPr>
          <w:rFonts w:ascii="Eurostile Bold"/>
          <w:b/>
          <w:sz w:val="28"/>
        </w:rPr>
      </w:pPr>
      <w:r>
        <w:rPr>
          <w:rFonts w:ascii="Eurostile Bold"/>
          <w:b/>
          <w:color w:val="A7A9AC"/>
          <w:w w:val="95"/>
          <w:sz w:val="28"/>
        </w:rPr>
        <w:t>Revised Remit of the Finance Committee</w:t>
      </w:r>
    </w:p>
    <w:p>
      <w:pPr>
        <w:pStyle w:val="BodyText"/>
        <w:spacing w:before="1"/>
        <w:rPr>
          <w:rFonts w:ascii="Eurostile Bold"/>
          <w:b/>
          <w:sz w:val="19"/>
        </w:rPr>
      </w:pPr>
      <w:r>
        <w:rPr/>
        <w:pict>
          <v:group style="position:absolute;margin-left:42.025169pt;margin-top:13.783426pt;width:496.6pt;height:115.3pt;mso-position-horizontal-relative:page;mso-position-vertical-relative:paragraph;z-index:-251524096;mso-wrap-distance-left:0;mso-wrap-distance-right:0" coordorigin="841,276" coordsize="9932,2306">
            <v:rect style="position:absolute;left:1143;top:715;width:4016;height:304" filled="true" fillcolor="#d8dadc" stroked="false">
              <v:fill type="solid"/>
            </v:rect>
            <v:rect style="position:absolute;left:1143;top:389;width:159;height:326" filled="true" fillcolor="#d8dadc" stroked="false">
              <v:fill type="solid"/>
            </v:rect>
            <v:line style="position:absolute" from="1143,384" to="5159,384" stroked="true" strokeweight=".6pt" strokecolor="#d8dadc">
              <v:stroke dashstyle="solid"/>
            </v:line>
            <v:rect style="position:absolute;left:4743;top:389;width:416;height:327" filled="true" fillcolor="#d8dadc" stroked="false">
              <v:fill type="solid"/>
            </v:rect>
            <v:rect style="position:absolute;left:1301;top:389;width:3443;height:327" filled="true" fillcolor="#d8dadc" stroked="false">
              <v:fill type="solid"/>
            </v:rect>
            <v:shape style="position:absolute;left:840;top:324;width:9932;height:2257" type="#_x0000_t75" stroked="false">
              <v:imagedata r:id="rId145" o:title=""/>
            </v:shape>
            <v:shape style="position:absolute;left:1256;top:275;width:3654;height:766"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33"/>
                        <w:w w:val="111"/>
                        <w:sz w:val="43"/>
                      </w:rPr>
                      <w:t>O</w:t>
                    </w:r>
                    <w:r>
                      <w:rPr>
                        <w:b/>
                        <w:color w:val="231F20"/>
                        <w:spacing w:val="-169"/>
                        <w:w w:val="112"/>
                        <w:position w:val="-21"/>
                        <w:sz w:val="50"/>
                      </w:rPr>
                      <w:t>3</w:t>
                    </w:r>
                    <w:r>
                      <w:rPr>
                        <w:b/>
                        <w:color w:val="FFFFFF"/>
                        <w:spacing w:val="-267"/>
                        <w:w w:val="111"/>
                        <w:sz w:val="43"/>
                      </w:rPr>
                      <w:t>N</w:t>
                    </w:r>
                    <w:r>
                      <w:rPr>
                        <w:b/>
                        <w:color w:val="231F20"/>
                        <w:spacing w:val="-30"/>
                        <w:w w:val="112"/>
                        <w:position w:val="-21"/>
                        <w:sz w:val="50"/>
                      </w:rPr>
                      <w:t>2</w:t>
                    </w:r>
                  </w:p>
                </w:txbxContent>
              </v:textbox>
              <w10:wrap type="none"/>
            </v:shape>
            <v:shape style="position:absolute;left:7723;top:735;width:2502;height:491" type="#_x0000_t202" filled="false" stroked="false">
              <v:textbox inset="0,0,0,0">
                <w:txbxContent>
                  <w:p>
                    <w:pPr>
                      <w:spacing w:line="247" w:lineRule="auto" w:before="0"/>
                      <w:ind w:left="122" w:right="6" w:hanging="123"/>
                      <w:jc w:val="left"/>
                      <w:rPr>
                        <w:b/>
                        <w:sz w:val="20"/>
                      </w:rPr>
                    </w:pPr>
                    <w:r>
                      <w:rPr>
                        <w:b/>
                        <w:color w:val="231F20"/>
                        <w:w w:val="110"/>
                        <w:sz w:val="20"/>
                      </w:rPr>
                      <w:t>Revised remit of</w:t>
                    </w:r>
                    <w:r>
                      <w:rPr>
                        <w:b/>
                        <w:color w:val="231F20"/>
                        <w:spacing w:val="-30"/>
                        <w:w w:val="110"/>
                        <w:sz w:val="20"/>
                      </w:rPr>
                      <w:t> </w:t>
                    </w:r>
                    <w:r>
                      <w:rPr>
                        <w:b/>
                        <w:color w:val="231F20"/>
                        <w:w w:val="110"/>
                        <w:sz w:val="20"/>
                      </w:rPr>
                      <w:t>the Finance</w:t>
                    </w:r>
                    <w:r>
                      <w:rPr>
                        <w:b/>
                        <w:color w:val="231F20"/>
                        <w:spacing w:val="-20"/>
                        <w:w w:val="110"/>
                        <w:sz w:val="20"/>
                      </w:rPr>
                      <w:t> </w:t>
                    </w:r>
                    <w:r>
                      <w:rPr>
                        <w:b/>
                        <w:color w:val="231F20"/>
                        <w:w w:val="110"/>
                        <w:sz w:val="20"/>
                      </w:rPr>
                      <w:t>Committee</w:t>
                    </w:r>
                  </w:p>
                </w:txbxContent>
              </v:textbox>
              <w10:wrap type="none"/>
            </v:shape>
            <v:shape style="position:absolute;left:1134;top:1253;width:9091;height:969" type="#_x0000_t202" filled="false" stroked="false">
              <v:textbox inset="0,0,0,0">
                <w:txbxContent>
                  <w:p>
                    <w:pPr>
                      <w:spacing w:before="0"/>
                      <w:ind w:left="3263" w:right="0" w:firstLine="0"/>
                      <w:jc w:val="left"/>
                      <w:rPr>
                        <w:i/>
                        <w:sz w:val="18"/>
                      </w:rPr>
                    </w:pPr>
                    <w:r>
                      <w:rPr>
                        <w:i/>
                        <w:color w:val="231F20"/>
                        <w:w w:val="110"/>
                        <w:sz w:val="18"/>
                      </w:rPr>
                      <w:t>(Report page </w:t>
                    </w:r>
                    <w:r>
                      <w:rPr>
                        <w:b/>
                        <w:i/>
                        <w:color w:val="231F20"/>
                        <w:w w:val="110"/>
                        <w:sz w:val="18"/>
                      </w:rPr>
                      <w:t>49 </w:t>
                    </w:r>
                    <w:r>
                      <w:rPr>
                        <w:i/>
                        <w:color w:val="231F20"/>
                        <w:w w:val="110"/>
                        <w:sz w:val="18"/>
                      </w:rPr>
                      <w:t>para 5.8 and Document </w:t>
                    </w:r>
                    <w:r>
                      <w:rPr>
                        <w:b/>
                        <w:i/>
                        <w:color w:val="231F20"/>
                        <w:w w:val="110"/>
                        <w:sz w:val="18"/>
                      </w:rPr>
                      <w:t>7 </w:t>
                    </w:r>
                    <w:r>
                      <w:rPr>
                        <w:i/>
                        <w:color w:val="231F20"/>
                        <w:w w:val="110"/>
                        <w:sz w:val="18"/>
                      </w:rPr>
                      <w:t>on page </w:t>
                    </w:r>
                    <w:r>
                      <w:rPr>
                        <w:b/>
                        <w:i/>
                        <w:color w:val="231F20"/>
                        <w:w w:val="110"/>
                        <w:sz w:val="18"/>
                      </w:rPr>
                      <w:t>115</w:t>
                    </w:r>
                    <w:r>
                      <w:rPr>
                        <w:i/>
                        <w:color w:val="231F20"/>
                        <w:w w:val="110"/>
                        <w:sz w:val="18"/>
                      </w:rPr>
                      <w:t>)</w:t>
                    </w:r>
                  </w:p>
                  <w:p>
                    <w:pPr>
                      <w:spacing w:line="240" w:lineRule="auto" w:before="1"/>
                      <w:rPr>
                        <w:i/>
                        <w:sz w:val="23"/>
                      </w:rPr>
                    </w:pPr>
                  </w:p>
                  <w:p>
                    <w:pPr>
                      <w:spacing w:line="273" w:lineRule="auto" w:before="0"/>
                      <w:ind w:left="0" w:right="0" w:firstLine="0"/>
                      <w:jc w:val="left"/>
                      <w:rPr>
                        <w:sz w:val="18"/>
                      </w:rPr>
                    </w:pPr>
                    <w:r>
                      <w:rPr>
                        <w:color w:val="231F20"/>
                        <w:w w:val="110"/>
                        <w:sz w:val="18"/>
                      </w:rPr>
                      <w:t>General Assembly agrees the revised remit for the Finance Committee (as set out in Document 7).</w:t>
                    </w:r>
                  </w:p>
                </w:txbxContent>
              </v:textbox>
              <w10:wrap type="none"/>
            </v:shape>
            <w10:wrap type="topAndBottom"/>
          </v:group>
        </w:pict>
      </w:r>
    </w:p>
    <w:p>
      <w:pPr>
        <w:pStyle w:val="BodyText"/>
        <w:rPr>
          <w:rFonts w:ascii="Eurostile Bold"/>
          <w:b/>
          <w:sz w:val="20"/>
        </w:rPr>
      </w:pPr>
    </w:p>
    <w:p>
      <w:pPr>
        <w:pStyle w:val="BodyText"/>
        <w:spacing w:before="3"/>
        <w:rPr>
          <w:rFonts w:ascii="Eurostile Bold"/>
          <w:b/>
          <w:sz w:val="29"/>
        </w:rPr>
      </w:pPr>
    </w:p>
    <w:p>
      <w:pPr>
        <w:spacing w:before="309"/>
        <w:ind w:left="0" w:right="1478"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headerReference w:type="even" r:id="rId142"/>
          <w:footerReference w:type="even" r:id="rId143"/>
          <w:footerReference w:type="default" r:id="rId144"/>
          <w:pgSz w:w="11910" w:h="16840"/>
          <w:pgMar w:header="0" w:footer="564" w:top="460" w:bottom="760" w:left="460" w:right="0"/>
          <w:pgNumType w:start="116"/>
        </w:sectPr>
      </w:pPr>
    </w:p>
    <w:p>
      <w:pPr>
        <w:pStyle w:val="ListParagraph"/>
        <w:numPr>
          <w:ilvl w:val="0"/>
          <w:numId w:val="69"/>
        </w:numPr>
        <w:tabs>
          <w:tab w:pos="1648" w:val="left" w:leader="none"/>
          <w:tab w:pos="1649" w:val="left" w:leader="none"/>
        </w:tabs>
        <w:spacing w:line="273" w:lineRule="auto" w:before="88" w:after="0"/>
        <w:ind w:left="928" w:right="2265" w:firstLine="0"/>
        <w:jc w:val="left"/>
        <w:rPr>
          <w:sz w:val="18"/>
        </w:rPr>
      </w:pPr>
      <w:r>
        <w:rPr/>
        <w:pict>
          <v:shape style="position:absolute;margin-left:507.100189pt;margin-top:36.840614pt;width:68.850pt;height:512.15pt;mso-position-horizontal-relative:page;mso-position-vertical-relative:page;z-index:251793408" type="#_x0000_t202" filled="false" stroked="false">
            <v:textbox inset="0,0,0,0" style="layout-flow:vertical">
              <w:txbxContent>
                <w:p>
                  <w:pPr>
                    <w:spacing w:line="989" w:lineRule="exact" w:before="20"/>
                    <w:ind w:left="20" w:right="0" w:firstLine="0"/>
                    <w:jc w:val="left"/>
                    <w:rPr>
                      <w:b/>
                      <w:sz w:val="88"/>
                    </w:rPr>
                  </w:pPr>
                  <w:r>
                    <w:rPr>
                      <w:b/>
                      <w:color w:val="231F20"/>
                      <w:sz w:val="88"/>
                    </w:rPr>
                    <w:t>Pastoral Reference</w:t>
                  </w:r>
                </w:p>
                <w:p>
                  <w:pPr>
                    <w:spacing w:line="365" w:lineRule="exact" w:before="0"/>
                    <w:ind w:left="6445"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The Committee continues to meet regularly three times a year but urgent </w:t>
      </w:r>
      <w:r>
        <w:rPr>
          <w:color w:val="231F20"/>
          <w:spacing w:val="2"/>
          <w:w w:val="110"/>
          <w:sz w:val="18"/>
        </w:rPr>
        <w:t>matters </w:t>
      </w:r>
      <w:r>
        <w:rPr>
          <w:color w:val="231F20"/>
          <w:w w:val="110"/>
          <w:sz w:val="18"/>
        </w:rPr>
        <w:t>requiring attention between meetings are dealt with by the </w:t>
      </w:r>
      <w:r>
        <w:rPr>
          <w:color w:val="231F20"/>
          <w:spacing w:val="3"/>
          <w:w w:val="110"/>
          <w:sz w:val="18"/>
        </w:rPr>
        <w:t>Officers </w:t>
      </w:r>
      <w:r>
        <w:rPr>
          <w:color w:val="231F20"/>
          <w:w w:val="110"/>
          <w:sz w:val="18"/>
        </w:rPr>
        <w:t>as they occur and </w:t>
      </w:r>
      <w:r>
        <w:rPr>
          <w:color w:val="231F20"/>
          <w:spacing w:val="2"/>
          <w:w w:val="110"/>
          <w:sz w:val="18"/>
        </w:rPr>
        <w:t>action reported </w:t>
      </w:r>
      <w:r>
        <w:rPr>
          <w:color w:val="231F20"/>
          <w:w w:val="110"/>
          <w:sz w:val="18"/>
        </w:rPr>
        <w:t>to the</w:t>
      </w:r>
      <w:r>
        <w:rPr>
          <w:color w:val="231F20"/>
          <w:spacing w:val="11"/>
          <w:w w:val="110"/>
          <w:sz w:val="18"/>
        </w:rPr>
        <w:t> </w:t>
      </w:r>
      <w:r>
        <w:rPr>
          <w:color w:val="231F20"/>
          <w:w w:val="110"/>
          <w:sz w:val="18"/>
        </w:rPr>
        <w:t>Committee.</w:t>
      </w:r>
    </w:p>
    <w:p>
      <w:pPr>
        <w:pStyle w:val="BodyText"/>
        <w:spacing w:before="8"/>
        <w:rPr>
          <w:sz w:val="20"/>
        </w:rPr>
      </w:pPr>
    </w:p>
    <w:p>
      <w:pPr>
        <w:pStyle w:val="ListParagraph"/>
        <w:numPr>
          <w:ilvl w:val="0"/>
          <w:numId w:val="69"/>
        </w:numPr>
        <w:tabs>
          <w:tab w:pos="1648" w:val="left" w:leader="none"/>
          <w:tab w:pos="1649" w:val="left" w:leader="none"/>
        </w:tabs>
        <w:spacing w:line="240" w:lineRule="auto" w:before="1" w:after="0"/>
        <w:ind w:left="1648" w:right="0" w:hanging="721"/>
        <w:jc w:val="left"/>
        <w:rPr>
          <w:b/>
          <w:sz w:val="18"/>
        </w:rPr>
      </w:pPr>
      <w:r>
        <w:rPr>
          <w:color w:val="231F20"/>
          <w:w w:val="110"/>
          <w:sz w:val="18"/>
        </w:rPr>
        <w:t>Much of our work concerns the </w:t>
      </w:r>
      <w:r>
        <w:rPr>
          <w:b/>
          <w:color w:val="231F20"/>
          <w:spacing w:val="2"/>
          <w:w w:val="110"/>
          <w:sz w:val="18"/>
        </w:rPr>
        <w:t>needs </w:t>
      </w:r>
      <w:r>
        <w:rPr>
          <w:b/>
          <w:color w:val="231F20"/>
          <w:w w:val="110"/>
          <w:sz w:val="18"/>
        </w:rPr>
        <w:t>of ministers and</w:t>
      </w:r>
      <w:r>
        <w:rPr>
          <w:b/>
          <w:color w:val="231F20"/>
          <w:spacing w:val="27"/>
          <w:w w:val="110"/>
          <w:sz w:val="18"/>
        </w:rPr>
        <w:t> </w:t>
      </w:r>
      <w:r>
        <w:rPr>
          <w:b/>
          <w:color w:val="231F20"/>
          <w:w w:val="110"/>
          <w:sz w:val="18"/>
        </w:rPr>
        <w:t>pastorates</w:t>
      </w:r>
    </w:p>
    <w:p>
      <w:pPr>
        <w:pStyle w:val="BodyText"/>
        <w:spacing w:line="273" w:lineRule="auto" w:before="31"/>
        <w:ind w:left="928" w:right="2348"/>
      </w:pPr>
      <w:r>
        <w:rPr>
          <w:color w:val="231F20"/>
          <w:w w:val="110"/>
        </w:rPr>
        <w:t>who find themselves with personal, health or work-related problems. Sometimes these needs can be helped by financial assistance from our Welfare Funds. In all cases the committee works confidentially with people and situations which have been referred to it in accordance with its terms of reference and in close liaison with the synod Moderators who are directly concerned.</w:t>
      </w:r>
    </w:p>
    <w:p>
      <w:pPr>
        <w:pStyle w:val="BodyText"/>
        <w:spacing w:before="10"/>
        <w:rPr>
          <w:sz w:val="20"/>
        </w:rPr>
      </w:pPr>
    </w:p>
    <w:p>
      <w:pPr>
        <w:pStyle w:val="ListParagraph"/>
        <w:numPr>
          <w:ilvl w:val="0"/>
          <w:numId w:val="69"/>
        </w:numPr>
        <w:tabs>
          <w:tab w:pos="1648" w:val="left" w:leader="none"/>
          <w:tab w:pos="1649" w:val="left" w:leader="none"/>
        </w:tabs>
        <w:spacing w:line="273" w:lineRule="auto" w:before="0" w:after="0"/>
        <w:ind w:left="928" w:right="2214" w:firstLine="0"/>
        <w:jc w:val="left"/>
        <w:rPr>
          <w:sz w:val="18"/>
        </w:rPr>
      </w:pPr>
      <w:r>
        <w:rPr>
          <w:color w:val="231F20"/>
          <w:spacing w:val="-3"/>
          <w:w w:val="110"/>
          <w:sz w:val="18"/>
        </w:rPr>
        <w:t>We </w:t>
      </w:r>
      <w:r>
        <w:rPr>
          <w:color w:val="231F20"/>
          <w:w w:val="110"/>
          <w:sz w:val="18"/>
        </w:rPr>
        <w:t>live in </w:t>
      </w:r>
      <w:r>
        <w:rPr>
          <w:color w:val="231F20"/>
          <w:spacing w:val="2"/>
          <w:w w:val="110"/>
          <w:sz w:val="18"/>
        </w:rPr>
        <w:t>stressful </w:t>
      </w:r>
      <w:r>
        <w:rPr>
          <w:color w:val="231F20"/>
          <w:w w:val="110"/>
          <w:sz w:val="18"/>
        </w:rPr>
        <w:t>times and ministers are by no means immune </w:t>
      </w:r>
      <w:r>
        <w:rPr>
          <w:color w:val="231F20"/>
          <w:spacing w:val="2"/>
          <w:w w:val="110"/>
          <w:sz w:val="18"/>
        </w:rPr>
        <w:t>from </w:t>
      </w:r>
      <w:r>
        <w:rPr>
          <w:color w:val="231F20"/>
          <w:w w:val="110"/>
          <w:sz w:val="18"/>
        </w:rPr>
        <w:t>pressure. </w:t>
      </w:r>
      <w:r>
        <w:rPr>
          <w:color w:val="231F20"/>
          <w:spacing w:val="-3"/>
          <w:w w:val="110"/>
          <w:sz w:val="18"/>
        </w:rPr>
        <w:t>We </w:t>
      </w:r>
      <w:r>
        <w:rPr>
          <w:color w:val="231F20"/>
          <w:w w:val="110"/>
          <w:sz w:val="18"/>
        </w:rPr>
        <w:t>have spent some time considering the reasons for </w:t>
      </w:r>
      <w:r>
        <w:rPr>
          <w:b/>
          <w:color w:val="231F20"/>
          <w:spacing w:val="3"/>
          <w:w w:val="110"/>
          <w:sz w:val="18"/>
        </w:rPr>
        <w:t>stress </w:t>
      </w:r>
      <w:r>
        <w:rPr>
          <w:b/>
          <w:color w:val="231F20"/>
          <w:w w:val="110"/>
          <w:sz w:val="18"/>
        </w:rPr>
        <w:t>in the ministry </w:t>
      </w:r>
      <w:r>
        <w:rPr>
          <w:color w:val="231F20"/>
          <w:w w:val="110"/>
          <w:sz w:val="18"/>
        </w:rPr>
        <w:t>and we commissioned a </w:t>
      </w:r>
      <w:r>
        <w:rPr>
          <w:color w:val="231F20"/>
          <w:spacing w:val="2"/>
          <w:w w:val="110"/>
          <w:sz w:val="18"/>
        </w:rPr>
        <w:t>series </w:t>
      </w:r>
      <w:r>
        <w:rPr>
          <w:color w:val="231F20"/>
          <w:w w:val="110"/>
          <w:sz w:val="18"/>
        </w:rPr>
        <w:t>of four </w:t>
      </w:r>
      <w:r>
        <w:rPr>
          <w:color w:val="231F20"/>
          <w:spacing w:val="2"/>
          <w:w w:val="110"/>
          <w:sz w:val="18"/>
        </w:rPr>
        <w:t>articles </w:t>
      </w:r>
      <w:r>
        <w:rPr>
          <w:color w:val="231F20"/>
          <w:w w:val="110"/>
          <w:sz w:val="18"/>
        </w:rPr>
        <w:t>in </w:t>
      </w:r>
      <w:r>
        <w:rPr>
          <w:i/>
          <w:color w:val="231F20"/>
          <w:w w:val="110"/>
          <w:sz w:val="18"/>
        </w:rPr>
        <w:t>Reform </w:t>
      </w:r>
      <w:r>
        <w:rPr>
          <w:color w:val="231F20"/>
          <w:w w:val="110"/>
          <w:sz w:val="18"/>
        </w:rPr>
        <w:t>in the first   four months of 2006, addressing some of the factors: change, workload, finance, conflict, sustaining spirituality. </w:t>
      </w:r>
      <w:r>
        <w:rPr>
          <w:color w:val="231F20"/>
          <w:spacing w:val="-3"/>
          <w:w w:val="110"/>
          <w:sz w:val="18"/>
        </w:rPr>
        <w:t>We </w:t>
      </w:r>
      <w:r>
        <w:rPr>
          <w:color w:val="231F20"/>
          <w:w w:val="110"/>
          <w:sz w:val="18"/>
        </w:rPr>
        <w:t>hope these </w:t>
      </w:r>
      <w:r>
        <w:rPr>
          <w:color w:val="231F20"/>
          <w:spacing w:val="2"/>
          <w:w w:val="110"/>
          <w:sz w:val="18"/>
        </w:rPr>
        <w:t>articles </w:t>
      </w:r>
      <w:r>
        <w:rPr>
          <w:color w:val="231F20"/>
          <w:w w:val="110"/>
          <w:sz w:val="18"/>
        </w:rPr>
        <w:t>went some way to helping ministers and congregations </w:t>
      </w:r>
      <w:r>
        <w:rPr>
          <w:color w:val="231F20"/>
          <w:spacing w:val="3"/>
          <w:w w:val="110"/>
          <w:sz w:val="18"/>
        </w:rPr>
        <w:t>affected </w:t>
      </w:r>
      <w:r>
        <w:rPr>
          <w:color w:val="231F20"/>
          <w:w w:val="110"/>
          <w:sz w:val="18"/>
        </w:rPr>
        <w:t>by these</w:t>
      </w:r>
      <w:r>
        <w:rPr>
          <w:color w:val="231F20"/>
          <w:spacing w:val="13"/>
          <w:w w:val="110"/>
          <w:sz w:val="18"/>
        </w:rPr>
        <w:t> </w:t>
      </w:r>
      <w:r>
        <w:rPr>
          <w:color w:val="231F20"/>
          <w:w w:val="110"/>
          <w:sz w:val="18"/>
        </w:rPr>
        <w:t>issues.</w:t>
      </w:r>
    </w:p>
    <w:p>
      <w:pPr>
        <w:pStyle w:val="BodyText"/>
        <w:spacing w:before="10"/>
        <w:rPr>
          <w:sz w:val="20"/>
        </w:rPr>
      </w:pPr>
    </w:p>
    <w:p>
      <w:pPr>
        <w:pStyle w:val="ListParagraph"/>
        <w:numPr>
          <w:ilvl w:val="0"/>
          <w:numId w:val="69"/>
        </w:numPr>
        <w:tabs>
          <w:tab w:pos="1648" w:val="left" w:leader="none"/>
          <w:tab w:pos="1649" w:val="left" w:leader="none"/>
        </w:tabs>
        <w:spacing w:line="273" w:lineRule="auto" w:before="1" w:after="0"/>
        <w:ind w:left="928" w:right="2385" w:firstLine="0"/>
        <w:jc w:val="left"/>
        <w:rPr>
          <w:sz w:val="18"/>
        </w:rPr>
      </w:pPr>
      <w:r>
        <w:rPr>
          <w:color w:val="231F20"/>
          <w:w w:val="110"/>
          <w:sz w:val="18"/>
        </w:rPr>
        <w:t>In May 2006 the Mission Council commissioned a </w:t>
      </w:r>
      <w:r>
        <w:rPr>
          <w:color w:val="231F20"/>
          <w:spacing w:val="3"/>
          <w:w w:val="110"/>
          <w:sz w:val="18"/>
        </w:rPr>
        <w:t>report </w:t>
      </w:r>
      <w:r>
        <w:rPr>
          <w:color w:val="231F20"/>
          <w:w w:val="110"/>
          <w:sz w:val="18"/>
        </w:rPr>
        <w:t>on sexual ethics within the United Reformed Church entitled </w:t>
      </w:r>
      <w:r>
        <w:rPr>
          <w:b/>
          <w:i/>
          <w:color w:val="231F20"/>
          <w:w w:val="110"/>
          <w:sz w:val="18"/>
        </w:rPr>
        <w:t>Preserving the Integrity of the </w:t>
      </w:r>
      <w:r>
        <w:rPr>
          <w:b/>
          <w:i/>
          <w:color w:val="231F20"/>
          <w:spacing w:val="-3"/>
          <w:w w:val="110"/>
          <w:sz w:val="18"/>
        </w:rPr>
        <w:t>Body</w:t>
      </w:r>
      <w:r>
        <w:rPr>
          <w:b/>
          <w:color w:val="231F20"/>
          <w:spacing w:val="-3"/>
          <w:w w:val="110"/>
          <w:sz w:val="18"/>
        </w:rPr>
        <w:t>.</w:t>
      </w:r>
      <w:r>
        <w:rPr>
          <w:b/>
          <w:color w:val="231F20"/>
          <w:spacing w:val="61"/>
          <w:w w:val="110"/>
          <w:sz w:val="18"/>
        </w:rPr>
        <w:t> </w:t>
      </w:r>
      <w:r>
        <w:rPr>
          <w:color w:val="231F20"/>
          <w:spacing w:val="-3"/>
          <w:w w:val="110"/>
          <w:sz w:val="18"/>
        </w:rPr>
        <w:t>We </w:t>
      </w:r>
      <w:r>
        <w:rPr>
          <w:color w:val="231F20"/>
          <w:w w:val="110"/>
          <w:sz w:val="18"/>
        </w:rPr>
        <w:t>were asked to study this document with particular </w:t>
      </w:r>
      <w:r>
        <w:rPr>
          <w:color w:val="231F20"/>
          <w:spacing w:val="2"/>
          <w:w w:val="110"/>
          <w:sz w:val="18"/>
        </w:rPr>
        <w:t>reference </w:t>
      </w:r>
      <w:r>
        <w:rPr>
          <w:color w:val="231F20"/>
          <w:w w:val="110"/>
          <w:sz w:val="18"/>
        </w:rPr>
        <w:t>to ministers who are diagnosed as mentally ill or disordered so that all involved might </w:t>
      </w:r>
      <w:r>
        <w:rPr>
          <w:color w:val="231F20"/>
          <w:spacing w:val="2"/>
          <w:w w:val="110"/>
          <w:sz w:val="18"/>
        </w:rPr>
        <w:t>better </w:t>
      </w:r>
      <w:r>
        <w:rPr>
          <w:color w:val="231F20"/>
          <w:w w:val="110"/>
          <w:sz w:val="18"/>
        </w:rPr>
        <w:t>understand the nature of such illness and how to approach</w:t>
      </w:r>
      <w:r>
        <w:rPr>
          <w:color w:val="231F20"/>
          <w:spacing w:val="12"/>
          <w:w w:val="110"/>
          <w:sz w:val="18"/>
        </w:rPr>
        <w:t> </w:t>
      </w:r>
      <w:r>
        <w:rPr>
          <w:color w:val="231F20"/>
          <w:w w:val="110"/>
          <w:sz w:val="18"/>
        </w:rPr>
        <w:t>it.</w:t>
      </w:r>
    </w:p>
    <w:p>
      <w:pPr>
        <w:pStyle w:val="BodyText"/>
        <w:spacing w:before="3"/>
        <w:ind w:left="928"/>
      </w:pPr>
      <w:r>
        <w:rPr>
          <w:color w:val="231F20"/>
          <w:w w:val="110"/>
        </w:rPr>
        <w:t>We will continue this work.</w:t>
      </w:r>
    </w:p>
    <w:p>
      <w:pPr>
        <w:pStyle w:val="BodyText"/>
        <w:spacing w:before="1"/>
        <w:rPr>
          <w:sz w:val="23"/>
        </w:rPr>
      </w:pPr>
    </w:p>
    <w:p>
      <w:pPr>
        <w:pStyle w:val="ListParagraph"/>
        <w:numPr>
          <w:ilvl w:val="0"/>
          <w:numId w:val="69"/>
        </w:numPr>
        <w:tabs>
          <w:tab w:pos="1648" w:val="left" w:leader="none"/>
          <w:tab w:pos="1649" w:val="left" w:leader="none"/>
        </w:tabs>
        <w:spacing w:line="273" w:lineRule="auto" w:before="0" w:after="0"/>
        <w:ind w:left="928" w:right="2158" w:firstLine="0"/>
        <w:jc w:val="left"/>
        <w:rPr>
          <w:sz w:val="18"/>
        </w:rPr>
      </w:pPr>
      <w:r>
        <w:rPr>
          <w:b/>
          <w:color w:val="231F20"/>
          <w:w w:val="110"/>
          <w:sz w:val="18"/>
        </w:rPr>
        <w:t>The </w:t>
      </w:r>
      <w:r>
        <w:rPr>
          <w:b/>
          <w:color w:val="231F20"/>
          <w:spacing w:val="2"/>
          <w:w w:val="110"/>
          <w:sz w:val="18"/>
        </w:rPr>
        <w:t>Churches’ </w:t>
      </w:r>
      <w:r>
        <w:rPr>
          <w:b/>
          <w:color w:val="231F20"/>
          <w:w w:val="110"/>
          <w:sz w:val="18"/>
        </w:rPr>
        <w:t>Ministerial Counselling </w:t>
      </w:r>
      <w:r>
        <w:rPr>
          <w:b/>
          <w:color w:val="231F20"/>
          <w:spacing w:val="2"/>
          <w:w w:val="110"/>
          <w:sz w:val="18"/>
        </w:rPr>
        <w:t>Service </w:t>
      </w:r>
      <w:r>
        <w:rPr>
          <w:color w:val="231F20"/>
          <w:w w:val="110"/>
          <w:sz w:val="18"/>
        </w:rPr>
        <w:t>continues its invaluable work </w:t>
      </w:r>
      <w:r>
        <w:rPr>
          <w:color w:val="231F20"/>
          <w:spacing w:val="2"/>
          <w:w w:val="110"/>
          <w:sz w:val="18"/>
        </w:rPr>
        <w:t>serving </w:t>
      </w:r>
      <w:r>
        <w:rPr>
          <w:color w:val="231F20"/>
          <w:w w:val="110"/>
          <w:sz w:val="18"/>
        </w:rPr>
        <w:t>ministers and church-related community workers, </w:t>
      </w:r>
      <w:r>
        <w:rPr>
          <w:color w:val="231F20"/>
          <w:spacing w:val="2"/>
          <w:w w:val="110"/>
          <w:sz w:val="18"/>
        </w:rPr>
        <w:t>retired </w:t>
      </w:r>
      <w:r>
        <w:rPr>
          <w:color w:val="231F20"/>
          <w:w w:val="110"/>
          <w:sz w:val="18"/>
        </w:rPr>
        <w:t>ministers, ministers’ </w:t>
      </w:r>
      <w:r>
        <w:rPr>
          <w:color w:val="231F20"/>
          <w:spacing w:val="-3"/>
          <w:w w:val="110"/>
          <w:sz w:val="18"/>
        </w:rPr>
        <w:t>widow(er)s, </w:t>
      </w:r>
      <w:r>
        <w:rPr>
          <w:color w:val="231F20"/>
          <w:w w:val="110"/>
          <w:sz w:val="18"/>
        </w:rPr>
        <w:t>estranged spouses and those training for the ministry and their families. 56 ministers and/or </w:t>
      </w:r>
      <w:r>
        <w:rPr>
          <w:color w:val="231F20"/>
          <w:spacing w:val="2"/>
          <w:w w:val="110"/>
          <w:sz w:val="18"/>
        </w:rPr>
        <w:t>members </w:t>
      </w:r>
      <w:r>
        <w:rPr>
          <w:color w:val="231F20"/>
          <w:w w:val="110"/>
          <w:sz w:val="18"/>
        </w:rPr>
        <w:t>of their immediate families</w:t>
      </w:r>
      <w:r>
        <w:rPr>
          <w:color w:val="231F20"/>
          <w:spacing w:val="69"/>
          <w:w w:val="110"/>
          <w:sz w:val="18"/>
        </w:rPr>
        <w:t> </w:t>
      </w:r>
      <w:r>
        <w:rPr>
          <w:color w:val="231F20"/>
          <w:w w:val="110"/>
          <w:sz w:val="18"/>
        </w:rPr>
        <w:t>took</w:t>
      </w:r>
    </w:p>
    <w:p>
      <w:pPr>
        <w:pStyle w:val="BodyText"/>
        <w:spacing w:line="273" w:lineRule="auto" w:before="3"/>
        <w:ind w:left="928" w:right="2464"/>
      </w:pPr>
      <w:r>
        <w:rPr>
          <w:color w:val="231F20"/>
          <w:w w:val="110"/>
        </w:rPr>
        <w:t>up this </w:t>
      </w:r>
      <w:r>
        <w:rPr>
          <w:color w:val="231F20"/>
          <w:spacing w:val="2"/>
          <w:w w:val="110"/>
        </w:rPr>
        <w:t>opportunity </w:t>
      </w:r>
      <w:r>
        <w:rPr>
          <w:color w:val="231F20"/>
          <w:w w:val="110"/>
        </w:rPr>
        <w:t>between General Assembly 2005, when we last </w:t>
      </w:r>
      <w:r>
        <w:rPr>
          <w:color w:val="231F20"/>
          <w:spacing w:val="2"/>
          <w:w w:val="110"/>
        </w:rPr>
        <w:t>reported,  </w:t>
      </w:r>
      <w:r>
        <w:rPr>
          <w:color w:val="231F20"/>
          <w:w w:val="110"/>
        </w:rPr>
        <w:t>and </w:t>
      </w:r>
      <w:r>
        <w:rPr>
          <w:color w:val="231F20"/>
          <w:spacing w:val="2"/>
          <w:w w:val="110"/>
        </w:rPr>
        <w:t>February </w:t>
      </w:r>
      <w:r>
        <w:rPr>
          <w:color w:val="231F20"/>
          <w:spacing w:val="-6"/>
          <w:w w:val="110"/>
        </w:rPr>
        <w:t>2007. </w:t>
      </w:r>
      <w:r>
        <w:rPr>
          <w:color w:val="231F20"/>
          <w:spacing w:val="-3"/>
          <w:w w:val="110"/>
        </w:rPr>
        <w:t>We </w:t>
      </w:r>
      <w:r>
        <w:rPr>
          <w:color w:val="231F20"/>
          <w:w w:val="110"/>
        </w:rPr>
        <w:t>commend this </w:t>
      </w:r>
      <w:r>
        <w:rPr>
          <w:color w:val="231F20"/>
          <w:spacing w:val="2"/>
          <w:w w:val="110"/>
        </w:rPr>
        <w:t>service </w:t>
      </w:r>
      <w:r>
        <w:rPr>
          <w:color w:val="231F20"/>
          <w:w w:val="110"/>
        </w:rPr>
        <w:t>to those in need of such support. </w:t>
      </w:r>
      <w:r>
        <w:rPr>
          <w:color w:val="231F20"/>
          <w:spacing w:val="-3"/>
          <w:w w:val="110"/>
        </w:rPr>
        <w:t>We</w:t>
      </w:r>
      <w:r>
        <w:rPr>
          <w:color w:val="231F20"/>
          <w:spacing w:val="6"/>
          <w:w w:val="110"/>
        </w:rPr>
        <w:t> </w:t>
      </w:r>
      <w:r>
        <w:rPr>
          <w:color w:val="231F20"/>
          <w:w w:val="110"/>
        </w:rPr>
        <w:t>also</w:t>
      </w:r>
      <w:r>
        <w:rPr>
          <w:color w:val="231F20"/>
          <w:spacing w:val="6"/>
          <w:w w:val="110"/>
        </w:rPr>
        <w:t> </w:t>
      </w:r>
      <w:r>
        <w:rPr>
          <w:color w:val="231F20"/>
          <w:w w:val="110"/>
        </w:rPr>
        <w:t>commend</w:t>
      </w:r>
      <w:r>
        <w:rPr>
          <w:color w:val="231F20"/>
          <w:spacing w:val="6"/>
          <w:w w:val="110"/>
        </w:rPr>
        <w:t> </w:t>
      </w:r>
      <w:r>
        <w:rPr>
          <w:b/>
          <w:i/>
          <w:color w:val="231F20"/>
          <w:w w:val="110"/>
        </w:rPr>
        <w:t>Broken</w:t>
      </w:r>
      <w:r>
        <w:rPr>
          <w:b/>
          <w:i/>
          <w:color w:val="231F20"/>
          <w:spacing w:val="5"/>
          <w:w w:val="110"/>
        </w:rPr>
        <w:t> </w:t>
      </w:r>
      <w:r>
        <w:rPr>
          <w:b/>
          <w:i/>
          <w:color w:val="231F20"/>
          <w:w w:val="110"/>
        </w:rPr>
        <w:t>Rites</w:t>
      </w:r>
      <w:r>
        <w:rPr>
          <w:b/>
          <w:i/>
          <w:color w:val="231F20"/>
          <w:spacing w:val="7"/>
          <w:w w:val="110"/>
        </w:rPr>
        <w:t> </w:t>
      </w:r>
      <w:r>
        <w:rPr>
          <w:color w:val="231F20"/>
          <w:w w:val="110"/>
        </w:rPr>
        <w:t>to</w:t>
      </w:r>
      <w:r>
        <w:rPr>
          <w:color w:val="231F20"/>
          <w:spacing w:val="6"/>
          <w:w w:val="110"/>
        </w:rPr>
        <w:t> </w:t>
      </w:r>
      <w:r>
        <w:rPr>
          <w:color w:val="231F20"/>
          <w:w w:val="110"/>
        </w:rPr>
        <w:t>those</w:t>
      </w:r>
      <w:r>
        <w:rPr>
          <w:color w:val="231F20"/>
          <w:spacing w:val="6"/>
          <w:w w:val="110"/>
        </w:rPr>
        <w:t> </w:t>
      </w:r>
      <w:r>
        <w:rPr>
          <w:color w:val="231F20"/>
          <w:w w:val="110"/>
        </w:rPr>
        <w:t>in</w:t>
      </w:r>
      <w:r>
        <w:rPr>
          <w:color w:val="231F20"/>
          <w:spacing w:val="6"/>
          <w:w w:val="110"/>
        </w:rPr>
        <w:t> </w:t>
      </w:r>
      <w:r>
        <w:rPr>
          <w:color w:val="231F20"/>
          <w:w w:val="110"/>
        </w:rPr>
        <w:t>need</w:t>
      </w:r>
      <w:r>
        <w:rPr>
          <w:color w:val="231F20"/>
          <w:spacing w:val="6"/>
          <w:w w:val="110"/>
        </w:rPr>
        <w:t> </w:t>
      </w:r>
      <w:r>
        <w:rPr>
          <w:color w:val="231F20"/>
          <w:w w:val="110"/>
        </w:rPr>
        <w:t>of</w:t>
      </w:r>
      <w:r>
        <w:rPr>
          <w:color w:val="231F20"/>
          <w:spacing w:val="6"/>
          <w:w w:val="110"/>
        </w:rPr>
        <w:t> </w:t>
      </w:r>
      <w:r>
        <w:rPr>
          <w:color w:val="231F20"/>
          <w:w w:val="110"/>
        </w:rPr>
        <w:t>the</w:t>
      </w:r>
      <w:r>
        <w:rPr>
          <w:color w:val="231F20"/>
          <w:spacing w:val="6"/>
          <w:w w:val="110"/>
        </w:rPr>
        <w:t> </w:t>
      </w:r>
      <w:r>
        <w:rPr>
          <w:color w:val="231F20"/>
          <w:w w:val="110"/>
        </w:rPr>
        <w:t>help</w:t>
      </w:r>
      <w:r>
        <w:rPr>
          <w:color w:val="231F20"/>
          <w:spacing w:val="6"/>
          <w:w w:val="110"/>
        </w:rPr>
        <w:t> </w:t>
      </w:r>
      <w:r>
        <w:rPr>
          <w:color w:val="231F20"/>
          <w:w w:val="110"/>
        </w:rPr>
        <w:t>it</w:t>
      </w:r>
      <w:r>
        <w:rPr>
          <w:color w:val="231F20"/>
          <w:spacing w:val="6"/>
          <w:w w:val="110"/>
        </w:rPr>
        <w:t> </w:t>
      </w:r>
      <w:r>
        <w:rPr>
          <w:color w:val="231F20"/>
          <w:w w:val="110"/>
        </w:rPr>
        <w:t>can</w:t>
      </w:r>
      <w:r>
        <w:rPr>
          <w:color w:val="231F20"/>
          <w:spacing w:val="6"/>
          <w:w w:val="110"/>
        </w:rPr>
        <w:t> </w:t>
      </w:r>
      <w:r>
        <w:rPr>
          <w:color w:val="231F20"/>
          <w:spacing w:val="2"/>
          <w:w w:val="110"/>
        </w:rPr>
        <w:t>offer</w:t>
      </w:r>
      <w:r>
        <w:rPr>
          <w:color w:val="231F20"/>
          <w:spacing w:val="7"/>
          <w:w w:val="110"/>
        </w:rPr>
        <w:t> </w:t>
      </w:r>
      <w:r>
        <w:rPr>
          <w:color w:val="231F20"/>
          <w:w w:val="110"/>
        </w:rPr>
        <w:t>–</w:t>
      </w:r>
    </w:p>
    <w:p>
      <w:pPr>
        <w:pStyle w:val="BodyText"/>
        <w:spacing w:line="273" w:lineRule="auto" w:before="2"/>
        <w:ind w:left="928" w:right="2348"/>
      </w:pPr>
      <w:r>
        <w:rPr>
          <w:color w:val="231F20"/>
          <w:w w:val="110"/>
        </w:rPr>
        <w:t>an interdenominational group offering support and information to the separated and divorced spouses of ministers.</w:t>
      </w:r>
    </w:p>
    <w:p>
      <w:pPr>
        <w:pStyle w:val="BodyText"/>
        <w:spacing w:before="8"/>
        <w:rPr>
          <w:sz w:val="20"/>
        </w:rPr>
      </w:pPr>
    </w:p>
    <w:p>
      <w:pPr>
        <w:pStyle w:val="ListParagraph"/>
        <w:numPr>
          <w:ilvl w:val="0"/>
          <w:numId w:val="69"/>
        </w:numPr>
        <w:tabs>
          <w:tab w:pos="1648" w:val="left" w:leader="none"/>
          <w:tab w:pos="1649" w:val="left" w:leader="none"/>
        </w:tabs>
        <w:spacing w:line="273" w:lineRule="auto" w:before="0" w:after="0"/>
        <w:ind w:left="928" w:right="2186" w:firstLine="0"/>
        <w:jc w:val="left"/>
        <w:rPr>
          <w:sz w:val="18"/>
        </w:rPr>
      </w:pPr>
      <w:r>
        <w:rPr>
          <w:color w:val="231F20"/>
          <w:w w:val="110"/>
          <w:sz w:val="18"/>
        </w:rPr>
        <w:t>Reducing funds available for welfare purposes, as mentioned in our last </w:t>
      </w:r>
      <w:r>
        <w:rPr>
          <w:color w:val="231F20"/>
          <w:spacing w:val="3"/>
          <w:w w:val="110"/>
          <w:sz w:val="18"/>
        </w:rPr>
        <w:t>report </w:t>
      </w:r>
      <w:r>
        <w:rPr>
          <w:color w:val="231F20"/>
          <w:w w:val="110"/>
          <w:sz w:val="18"/>
        </w:rPr>
        <w:t>to General Assembly two years ago, have obliged us to make changes to the payment of </w:t>
      </w:r>
      <w:r>
        <w:rPr>
          <w:b/>
          <w:color w:val="231F20"/>
          <w:w w:val="110"/>
          <w:sz w:val="18"/>
        </w:rPr>
        <w:t>grants for the </w:t>
      </w:r>
      <w:r>
        <w:rPr>
          <w:b/>
          <w:color w:val="231F20"/>
          <w:spacing w:val="3"/>
          <w:w w:val="110"/>
          <w:sz w:val="18"/>
        </w:rPr>
        <w:t>costs </w:t>
      </w:r>
      <w:r>
        <w:rPr>
          <w:b/>
          <w:color w:val="231F20"/>
          <w:w w:val="110"/>
          <w:sz w:val="18"/>
        </w:rPr>
        <w:t>of </w:t>
      </w:r>
      <w:r>
        <w:rPr>
          <w:b/>
          <w:color w:val="231F20"/>
          <w:spacing w:val="2"/>
          <w:w w:val="110"/>
          <w:sz w:val="18"/>
        </w:rPr>
        <w:t>post-secondary </w:t>
      </w:r>
      <w:r>
        <w:rPr>
          <w:b/>
          <w:color w:val="231F20"/>
          <w:w w:val="110"/>
          <w:sz w:val="18"/>
        </w:rPr>
        <w:t>school education. </w:t>
      </w:r>
      <w:r>
        <w:rPr>
          <w:color w:val="231F20"/>
          <w:w w:val="110"/>
          <w:sz w:val="18"/>
        </w:rPr>
        <w:t>Grants are currently paid for a first degree </w:t>
      </w:r>
      <w:r>
        <w:rPr>
          <w:color w:val="231F20"/>
          <w:spacing w:val="2"/>
          <w:w w:val="110"/>
          <w:sz w:val="18"/>
        </w:rPr>
        <w:t>course </w:t>
      </w:r>
      <w:r>
        <w:rPr>
          <w:color w:val="231F20"/>
          <w:w w:val="110"/>
          <w:sz w:val="18"/>
        </w:rPr>
        <w:t>together with a supplementary </w:t>
      </w:r>
      <w:r>
        <w:rPr>
          <w:color w:val="231F20"/>
          <w:spacing w:val="2"/>
          <w:w w:val="110"/>
          <w:sz w:val="18"/>
        </w:rPr>
        <w:t>short course </w:t>
      </w:r>
      <w:r>
        <w:rPr>
          <w:color w:val="231F20"/>
          <w:w w:val="110"/>
          <w:sz w:val="18"/>
        </w:rPr>
        <w:t>designed to enable a </w:t>
      </w:r>
      <w:r>
        <w:rPr>
          <w:color w:val="231F20"/>
          <w:spacing w:val="2"/>
          <w:w w:val="110"/>
          <w:sz w:val="18"/>
        </w:rPr>
        <w:t>person </w:t>
      </w:r>
      <w:r>
        <w:rPr>
          <w:color w:val="231F20"/>
          <w:w w:val="110"/>
          <w:sz w:val="18"/>
        </w:rPr>
        <w:t>to seek employment – </w:t>
      </w:r>
      <w:r>
        <w:rPr>
          <w:color w:val="231F20"/>
          <w:spacing w:val="-3"/>
          <w:w w:val="110"/>
          <w:sz w:val="18"/>
        </w:rPr>
        <w:t>e.g. </w:t>
      </w:r>
      <w:r>
        <w:rPr>
          <w:color w:val="231F20"/>
          <w:w w:val="110"/>
          <w:sz w:val="18"/>
        </w:rPr>
        <w:t>a</w:t>
      </w:r>
      <w:r>
        <w:rPr>
          <w:color w:val="231F20"/>
          <w:spacing w:val="6"/>
          <w:w w:val="110"/>
          <w:sz w:val="18"/>
        </w:rPr>
        <w:t> </w:t>
      </w:r>
      <w:r>
        <w:rPr>
          <w:color w:val="231F20"/>
          <w:spacing w:val="2"/>
          <w:w w:val="110"/>
          <w:sz w:val="18"/>
        </w:rPr>
        <w:t>PGCE</w:t>
      </w:r>
    </w:p>
    <w:p>
      <w:pPr>
        <w:pStyle w:val="BodyText"/>
        <w:spacing w:line="273" w:lineRule="auto" w:before="3"/>
        <w:ind w:left="929" w:right="2421"/>
      </w:pPr>
      <w:r>
        <w:rPr>
          <w:color w:val="231F20"/>
          <w:w w:val="110"/>
        </w:rPr>
        <w:t>in the </w:t>
      </w:r>
      <w:r>
        <w:rPr>
          <w:color w:val="231F20"/>
          <w:spacing w:val="2"/>
          <w:w w:val="110"/>
        </w:rPr>
        <w:t>case </w:t>
      </w:r>
      <w:r>
        <w:rPr>
          <w:color w:val="231F20"/>
          <w:w w:val="110"/>
        </w:rPr>
        <w:t>of those planning to teach. </w:t>
      </w:r>
      <w:r>
        <w:rPr>
          <w:color w:val="231F20"/>
          <w:spacing w:val="2"/>
          <w:w w:val="110"/>
        </w:rPr>
        <w:t>As </w:t>
      </w:r>
      <w:r>
        <w:rPr>
          <w:color w:val="231F20"/>
          <w:w w:val="110"/>
        </w:rPr>
        <w:t>far as grants already agreed are concerned, where there is no entitlement to children’s allowance any application for a future academic year will be </w:t>
      </w:r>
      <w:r>
        <w:rPr>
          <w:color w:val="231F20"/>
          <w:spacing w:val="2"/>
          <w:w w:val="110"/>
        </w:rPr>
        <w:t>restricted </w:t>
      </w:r>
      <w:r>
        <w:rPr>
          <w:color w:val="231F20"/>
          <w:w w:val="110"/>
        </w:rPr>
        <w:t>to </w:t>
      </w:r>
      <w:r>
        <w:rPr>
          <w:color w:val="231F20"/>
          <w:spacing w:val="-3"/>
          <w:w w:val="110"/>
        </w:rPr>
        <w:t>£150 </w:t>
      </w:r>
      <w:r>
        <w:rPr>
          <w:color w:val="231F20"/>
          <w:w w:val="110"/>
        </w:rPr>
        <w:t>net. Where there is entitlement to children’s allowance any application for a future academic year   will </w:t>
      </w:r>
      <w:r>
        <w:rPr>
          <w:color w:val="231F20"/>
          <w:spacing w:val="2"/>
          <w:w w:val="110"/>
        </w:rPr>
        <w:t>attract </w:t>
      </w:r>
      <w:r>
        <w:rPr>
          <w:color w:val="231F20"/>
          <w:w w:val="110"/>
        </w:rPr>
        <w:t>a grant of £370 net. Grants already agreed will be honoured until the child is financially independent or attains the age of </w:t>
      </w:r>
      <w:r>
        <w:rPr>
          <w:color w:val="231F20"/>
          <w:spacing w:val="-4"/>
          <w:w w:val="110"/>
        </w:rPr>
        <w:t>24. </w:t>
      </w:r>
      <w:r>
        <w:rPr>
          <w:color w:val="231F20"/>
          <w:spacing w:val="-3"/>
          <w:w w:val="110"/>
        </w:rPr>
        <w:t>We </w:t>
      </w:r>
      <w:r>
        <w:rPr>
          <w:color w:val="231F20"/>
          <w:spacing w:val="2"/>
          <w:w w:val="110"/>
        </w:rPr>
        <w:t>regret </w:t>
      </w:r>
      <w:r>
        <w:rPr>
          <w:color w:val="231F20"/>
          <w:w w:val="110"/>
        </w:rPr>
        <w:t>that no new applications for such grants can now be entertained. Grants for school uniform, equipment, musical instruments and travel </w:t>
      </w:r>
      <w:r>
        <w:rPr>
          <w:color w:val="231F20"/>
          <w:spacing w:val="2"/>
          <w:w w:val="110"/>
        </w:rPr>
        <w:t>costs </w:t>
      </w:r>
      <w:r>
        <w:rPr>
          <w:color w:val="231F20"/>
          <w:w w:val="110"/>
        </w:rPr>
        <w:t>will continue to be paid where there is eligibility for children’s</w:t>
      </w:r>
      <w:r>
        <w:rPr>
          <w:color w:val="231F20"/>
          <w:spacing w:val="9"/>
          <w:w w:val="110"/>
        </w:rPr>
        <w:t> </w:t>
      </w:r>
      <w:r>
        <w:rPr>
          <w:color w:val="231F20"/>
          <w:w w:val="110"/>
        </w:rPr>
        <w:t>allowances.</w:t>
      </w:r>
    </w:p>
    <w:p>
      <w:pPr>
        <w:pStyle w:val="BodyText"/>
        <w:rPr>
          <w:sz w:val="21"/>
        </w:rPr>
      </w:pPr>
    </w:p>
    <w:p>
      <w:pPr>
        <w:pStyle w:val="ListParagraph"/>
        <w:numPr>
          <w:ilvl w:val="0"/>
          <w:numId w:val="69"/>
        </w:numPr>
        <w:tabs>
          <w:tab w:pos="1648" w:val="left" w:leader="none"/>
          <w:tab w:pos="1649" w:val="left" w:leader="none"/>
        </w:tabs>
        <w:spacing w:line="273" w:lineRule="auto" w:before="0" w:after="0"/>
        <w:ind w:left="928" w:right="2174" w:firstLine="0"/>
        <w:jc w:val="left"/>
        <w:rPr>
          <w:sz w:val="18"/>
        </w:rPr>
      </w:pPr>
      <w:r>
        <w:rPr>
          <w:color w:val="231F20"/>
          <w:w w:val="110"/>
          <w:sz w:val="18"/>
        </w:rPr>
        <w:t>For many years the Pastoral Reference Committee has devolved its   specific welfare work to its Welfare Sub-Committee. Increasingly, </w:t>
      </w:r>
      <w:r>
        <w:rPr>
          <w:color w:val="231F20"/>
          <w:spacing w:val="-3"/>
          <w:w w:val="110"/>
          <w:sz w:val="18"/>
        </w:rPr>
        <w:t>however, </w:t>
      </w:r>
      <w:r>
        <w:rPr>
          <w:color w:val="231F20"/>
          <w:w w:val="110"/>
          <w:sz w:val="18"/>
        </w:rPr>
        <w:t>we have found that the different </w:t>
      </w:r>
      <w:r>
        <w:rPr>
          <w:color w:val="231F20"/>
          <w:spacing w:val="2"/>
          <w:w w:val="110"/>
          <w:sz w:val="18"/>
        </w:rPr>
        <w:t>aspects </w:t>
      </w:r>
      <w:r>
        <w:rPr>
          <w:color w:val="231F20"/>
          <w:w w:val="110"/>
          <w:sz w:val="18"/>
        </w:rPr>
        <w:t>of our agenda overlap. For the past </w:t>
      </w:r>
      <w:r>
        <w:rPr>
          <w:color w:val="231F20"/>
          <w:spacing w:val="-4"/>
          <w:w w:val="110"/>
          <w:sz w:val="18"/>
        </w:rPr>
        <w:t>year, </w:t>
      </w:r>
      <w:r>
        <w:rPr>
          <w:color w:val="231F20"/>
          <w:w w:val="110"/>
          <w:sz w:val="18"/>
        </w:rPr>
        <w:t>therefore, we have met as one committee for the consideration of all </w:t>
      </w:r>
      <w:r>
        <w:rPr>
          <w:color w:val="231F20"/>
          <w:spacing w:val="2"/>
          <w:w w:val="110"/>
          <w:sz w:val="18"/>
        </w:rPr>
        <w:t>matters referred </w:t>
      </w:r>
      <w:r>
        <w:rPr>
          <w:color w:val="231F20"/>
          <w:w w:val="110"/>
          <w:sz w:val="18"/>
        </w:rPr>
        <w:t>to us. This has worked well. </w:t>
      </w:r>
      <w:r>
        <w:rPr>
          <w:color w:val="231F20"/>
          <w:spacing w:val="-3"/>
          <w:w w:val="110"/>
          <w:sz w:val="18"/>
        </w:rPr>
        <w:t>We </w:t>
      </w:r>
      <w:r>
        <w:rPr>
          <w:color w:val="231F20"/>
          <w:spacing w:val="2"/>
          <w:w w:val="110"/>
          <w:sz w:val="18"/>
        </w:rPr>
        <w:t>therefore propose </w:t>
      </w:r>
      <w:r>
        <w:rPr>
          <w:color w:val="231F20"/>
          <w:w w:val="110"/>
          <w:sz w:val="18"/>
        </w:rPr>
        <w:t>to General Assembly that the Welfare Sub-Committee be dissolved as such and its responsibilities </w:t>
      </w:r>
      <w:r>
        <w:rPr>
          <w:color w:val="231F20"/>
          <w:spacing w:val="2"/>
          <w:w w:val="110"/>
          <w:sz w:val="18"/>
        </w:rPr>
        <w:t>transferred </w:t>
      </w:r>
      <w:r>
        <w:rPr>
          <w:color w:val="231F20"/>
          <w:w w:val="110"/>
          <w:sz w:val="18"/>
        </w:rPr>
        <w:t>directly to the main committee, and that the membership of the committee</w:t>
      </w:r>
      <w:r>
        <w:rPr>
          <w:color w:val="231F20"/>
          <w:spacing w:val="9"/>
          <w:w w:val="110"/>
          <w:sz w:val="18"/>
        </w:rPr>
        <w:t> </w:t>
      </w:r>
      <w:r>
        <w:rPr>
          <w:color w:val="231F20"/>
          <w:w w:val="110"/>
          <w:sz w:val="18"/>
        </w:rPr>
        <w:t>and</w:t>
      </w:r>
      <w:r>
        <w:rPr>
          <w:color w:val="231F20"/>
          <w:spacing w:val="10"/>
          <w:w w:val="110"/>
          <w:sz w:val="18"/>
        </w:rPr>
        <w:t> </w:t>
      </w:r>
      <w:r>
        <w:rPr>
          <w:color w:val="231F20"/>
          <w:w w:val="110"/>
          <w:sz w:val="18"/>
        </w:rPr>
        <w:t>sub-committee</w:t>
      </w:r>
      <w:r>
        <w:rPr>
          <w:color w:val="231F20"/>
          <w:spacing w:val="10"/>
          <w:w w:val="110"/>
          <w:sz w:val="18"/>
        </w:rPr>
        <w:t> </w:t>
      </w:r>
      <w:r>
        <w:rPr>
          <w:color w:val="231F20"/>
          <w:w w:val="110"/>
          <w:sz w:val="18"/>
        </w:rPr>
        <w:t>be</w:t>
      </w:r>
      <w:r>
        <w:rPr>
          <w:color w:val="231F20"/>
          <w:spacing w:val="9"/>
          <w:w w:val="110"/>
          <w:sz w:val="18"/>
        </w:rPr>
        <w:t> </w:t>
      </w:r>
      <w:r>
        <w:rPr>
          <w:color w:val="231F20"/>
          <w:w w:val="110"/>
          <w:sz w:val="18"/>
        </w:rPr>
        <w:t>combined.</w:t>
      </w:r>
      <w:r>
        <w:rPr>
          <w:color w:val="231F20"/>
          <w:spacing w:val="20"/>
          <w:w w:val="110"/>
          <w:sz w:val="18"/>
        </w:rPr>
        <w:t> </w:t>
      </w:r>
      <w:r>
        <w:rPr>
          <w:color w:val="231F20"/>
          <w:spacing w:val="-3"/>
          <w:w w:val="110"/>
          <w:sz w:val="18"/>
        </w:rPr>
        <w:t>We</w:t>
      </w:r>
      <w:r>
        <w:rPr>
          <w:color w:val="231F20"/>
          <w:spacing w:val="9"/>
          <w:w w:val="110"/>
          <w:sz w:val="18"/>
        </w:rPr>
        <w:t> </w:t>
      </w:r>
      <w:r>
        <w:rPr>
          <w:color w:val="231F20"/>
          <w:spacing w:val="2"/>
          <w:w w:val="110"/>
          <w:sz w:val="18"/>
        </w:rPr>
        <w:t>further</w:t>
      </w:r>
      <w:r>
        <w:rPr>
          <w:color w:val="231F20"/>
          <w:spacing w:val="10"/>
          <w:w w:val="110"/>
          <w:sz w:val="18"/>
        </w:rPr>
        <w:t> </w:t>
      </w:r>
      <w:r>
        <w:rPr>
          <w:color w:val="231F20"/>
          <w:spacing w:val="2"/>
          <w:w w:val="110"/>
          <w:sz w:val="18"/>
        </w:rPr>
        <w:t>propose</w:t>
      </w:r>
      <w:r>
        <w:rPr>
          <w:color w:val="231F20"/>
          <w:spacing w:val="10"/>
          <w:w w:val="110"/>
          <w:sz w:val="18"/>
        </w:rPr>
        <w:t> </w:t>
      </w:r>
      <w:r>
        <w:rPr>
          <w:color w:val="231F20"/>
          <w:w w:val="110"/>
          <w:sz w:val="18"/>
        </w:rPr>
        <w:t>that,</w:t>
      </w:r>
      <w:r>
        <w:rPr>
          <w:color w:val="231F20"/>
          <w:spacing w:val="9"/>
          <w:w w:val="110"/>
          <w:sz w:val="18"/>
        </w:rPr>
        <w:t> </w:t>
      </w:r>
      <w:r>
        <w:rPr>
          <w:color w:val="231F20"/>
          <w:w w:val="110"/>
          <w:sz w:val="18"/>
        </w:rPr>
        <w:t>in</w:t>
      </w:r>
      <w:r>
        <w:rPr>
          <w:color w:val="231F20"/>
          <w:spacing w:val="10"/>
          <w:w w:val="110"/>
          <w:sz w:val="18"/>
        </w:rPr>
        <w:t> </w:t>
      </w:r>
      <w:r>
        <w:rPr>
          <w:color w:val="231F20"/>
          <w:w w:val="110"/>
          <w:sz w:val="18"/>
        </w:rPr>
        <w:t>order</w:t>
      </w:r>
    </w:p>
    <w:p>
      <w:pPr>
        <w:spacing w:after="0" w:line="273" w:lineRule="auto"/>
        <w:jc w:val="left"/>
        <w:rPr>
          <w:sz w:val="18"/>
        </w:rPr>
        <w:sectPr>
          <w:headerReference w:type="default" r:id="rId146"/>
          <w:pgSz w:w="11910" w:h="16840"/>
          <w:pgMar w:header="0" w:footer="564" w:top="1000" w:bottom="760" w:left="460" w:right="0"/>
        </w:sectPr>
      </w:pPr>
    </w:p>
    <w:p>
      <w:pPr>
        <w:spacing w:before="28"/>
        <w:ind w:left="6563" w:right="0" w:firstLine="0"/>
        <w:jc w:val="left"/>
        <w:rPr>
          <w:rFonts w:ascii="Eurostile Bold"/>
          <w:b/>
          <w:sz w:val="28"/>
        </w:rPr>
      </w:pPr>
      <w:r>
        <w:rPr>
          <w:rFonts w:ascii="Eurostile Bold"/>
          <w:b/>
          <w:color w:val="A7A9AC"/>
          <w:w w:val="95"/>
          <w:sz w:val="28"/>
        </w:rPr>
        <w:t>Pastoral Reference Committee</w:t>
      </w:r>
    </w:p>
    <w:p>
      <w:pPr>
        <w:pStyle w:val="BodyText"/>
        <w:spacing w:before="5"/>
        <w:rPr>
          <w:rFonts w:ascii="Eurostile Bold"/>
          <w:b/>
          <w:sz w:val="12"/>
        </w:rPr>
      </w:pPr>
    </w:p>
    <w:p>
      <w:pPr>
        <w:pStyle w:val="BodyText"/>
        <w:spacing w:line="273" w:lineRule="auto" w:before="100"/>
        <w:ind w:left="673" w:right="2061"/>
      </w:pPr>
      <w:r>
        <w:rPr>
          <w:color w:val="231F20"/>
          <w:w w:val="110"/>
        </w:rPr>
        <w:t>to </w:t>
      </w:r>
      <w:r>
        <w:rPr>
          <w:color w:val="231F20"/>
          <w:spacing w:val="2"/>
          <w:w w:val="110"/>
        </w:rPr>
        <w:t>reflect </w:t>
      </w:r>
      <w:r>
        <w:rPr>
          <w:color w:val="231F20"/>
          <w:w w:val="110"/>
        </w:rPr>
        <w:t>these changes, the name of the committee be changed to ‘The Pastoral Reference and Welfare Committee’. Within this revised </w:t>
      </w:r>
      <w:r>
        <w:rPr>
          <w:color w:val="231F20"/>
          <w:spacing w:val="2"/>
          <w:w w:val="110"/>
        </w:rPr>
        <w:t>structure </w:t>
      </w:r>
      <w:r>
        <w:rPr>
          <w:color w:val="231F20"/>
          <w:w w:val="110"/>
        </w:rPr>
        <w:t>we envisage that the Deputy General </w:t>
      </w:r>
      <w:r>
        <w:rPr>
          <w:color w:val="231F20"/>
          <w:spacing w:val="3"/>
          <w:w w:val="110"/>
        </w:rPr>
        <w:t>Secretary </w:t>
      </w:r>
      <w:r>
        <w:rPr>
          <w:color w:val="231F20"/>
          <w:w w:val="110"/>
        </w:rPr>
        <w:t>will continue to </w:t>
      </w:r>
      <w:r>
        <w:rPr>
          <w:color w:val="231F20"/>
          <w:spacing w:val="2"/>
          <w:w w:val="110"/>
        </w:rPr>
        <w:t>act </w:t>
      </w:r>
      <w:r>
        <w:rPr>
          <w:color w:val="231F20"/>
          <w:w w:val="110"/>
        </w:rPr>
        <w:t>as </w:t>
      </w:r>
      <w:r>
        <w:rPr>
          <w:color w:val="231F20"/>
          <w:spacing w:val="3"/>
          <w:w w:val="110"/>
        </w:rPr>
        <w:t>secretary </w:t>
      </w:r>
      <w:r>
        <w:rPr>
          <w:color w:val="231F20"/>
          <w:w w:val="110"/>
        </w:rPr>
        <w:t>for pastoral </w:t>
      </w:r>
      <w:r>
        <w:rPr>
          <w:color w:val="231F20"/>
          <w:spacing w:val="2"/>
          <w:w w:val="110"/>
        </w:rPr>
        <w:t>matters </w:t>
      </w:r>
      <w:r>
        <w:rPr>
          <w:color w:val="231F20"/>
          <w:w w:val="110"/>
        </w:rPr>
        <w:t>and that </w:t>
      </w:r>
      <w:r>
        <w:rPr>
          <w:color w:val="231F20"/>
          <w:spacing w:val="2"/>
          <w:w w:val="110"/>
        </w:rPr>
        <w:t>Mrs </w:t>
      </w:r>
      <w:r>
        <w:rPr>
          <w:color w:val="231F20"/>
          <w:w w:val="110"/>
        </w:rPr>
        <w:t>Judy Stockings will continue to </w:t>
      </w:r>
      <w:r>
        <w:rPr>
          <w:color w:val="231F20"/>
          <w:spacing w:val="2"/>
          <w:w w:val="110"/>
        </w:rPr>
        <w:t>act </w:t>
      </w:r>
      <w:r>
        <w:rPr>
          <w:color w:val="231F20"/>
          <w:w w:val="110"/>
        </w:rPr>
        <w:t>as </w:t>
      </w:r>
      <w:r>
        <w:rPr>
          <w:color w:val="231F20"/>
          <w:spacing w:val="3"/>
          <w:w w:val="110"/>
        </w:rPr>
        <w:t>secretary </w:t>
      </w:r>
      <w:r>
        <w:rPr>
          <w:color w:val="231F20"/>
          <w:w w:val="110"/>
        </w:rPr>
        <w:t>for welfare</w:t>
      </w:r>
      <w:r>
        <w:rPr>
          <w:color w:val="231F20"/>
          <w:spacing w:val="52"/>
          <w:w w:val="110"/>
        </w:rPr>
        <w:t> </w:t>
      </w:r>
      <w:r>
        <w:rPr>
          <w:color w:val="231F20"/>
          <w:spacing w:val="2"/>
          <w:w w:val="110"/>
        </w:rPr>
        <w:t>matters.</w:t>
      </w:r>
    </w:p>
    <w:p>
      <w:pPr>
        <w:pStyle w:val="BodyText"/>
        <w:spacing w:before="10"/>
        <w:rPr>
          <w:sz w:val="20"/>
        </w:rPr>
      </w:pPr>
    </w:p>
    <w:p>
      <w:pPr>
        <w:numPr>
          <w:ilvl w:val="0"/>
          <w:numId w:val="69"/>
        </w:numPr>
        <w:tabs>
          <w:tab w:pos="1393" w:val="left" w:leader="none"/>
          <w:tab w:pos="1394" w:val="left" w:leader="none"/>
        </w:tabs>
        <w:spacing w:before="0"/>
        <w:ind w:left="1393" w:right="0" w:hanging="721"/>
        <w:jc w:val="left"/>
        <w:rPr>
          <w:b/>
          <w:sz w:val="18"/>
        </w:rPr>
      </w:pPr>
      <w:r>
        <w:rPr>
          <w:b/>
          <w:color w:val="231F20"/>
          <w:w w:val="110"/>
          <w:sz w:val="18"/>
        </w:rPr>
        <w:t>Personalia</w:t>
      </w:r>
    </w:p>
    <w:p>
      <w:pPr>
        <w:pStyle w:val="BodyText"/>
        <w:spacing w:line="273" w:lineRule="auto" w:before="31"/>
        <w:ind w:left="673" w:right="2550"/>
      </w:pPr>
      <w:r>
        <w:rPr>
          <w:color w:val="231F20"/>
          <w:w w:val="110"/>
        </w:rPr>
        <w:t>At General Assembly Keith </w:t>
      </w:r>
      <w:r>
        <w:rPr>
          <w:color w:val="231F20"/>
          <w:spacing w:val="2"/>
          <w:w w:val="110"/>
        </w:rPr>
        <w:t>Forecast </w:t>
      </w:r>
      <w:r>
        <w:rPr>
          <w:color w:val="231F20"/>
          <w:w w:val="110"/>
        </w:rPr>
        <w:t>comes to the end of his period of </w:t>
      </w:r>
      <w:r>
        <w:rPr>
          <w:color w:val="231F20"/>
          <w:spacing w:val="2"/>
          <w:w w:val="110"/>
        </w:rPr>
        <w:t>service </w:t>
      </w:r>
      <w:r>
        <w:rPr>
          <w:color w:val="231F20"/>
          <w:w w:val="110"/>
        </w:rPr>
        <w:t>as Convener.  Keith has brought a wisdom based on his considerable knowledge of   the Church and a deep pastoral concern to this role. Alan Wharton also completes his </w:t>
      </w:r>
      <w:r>
        <w:rPr>
          <w:color w:val="231F20"/>
          <w:spacing w:val="2"/>
          <w:w w:val="110"/>
        </w:rPr>
        <w:t>service </w:t>
      </w:r>
      <w:r>
        <w:rPr>
          <w:color w:val="231F20"/>
          <w:w w:val="110"/>
        </w:rPr>
        <w:t>as Convener of the Welfare Sub-Committee. He has given careful and thoughtful</w:t>
      </w:r>
      <w:r>
        <w:rPr>
          <w:color w:val="231F20"/>
          <w:spacing w:val="7"/>
          <w:w w:val="110"/>
        </w:rPr>
        <w:t> </w:t>
      </w:r>
      <w:r>
        <w:rPr>
          <w:color w:val="231F20"/>
          <w:w w:val="110"/>
        </w:rPr>
        <w:t>leadership</w:t>
      </w:r>
      <w:r>
        <w:rPr>
          <w:color w:val="231F20"/>
          <w:spacing w:val="8"/>
          <w:w w:val="110"/>
        </w:rPr>
        <w:t> </w:t>
      </w:r>
      <w:r>
        <w:rPr>
          <w:color w:val="231F20"/>
          <w:w w:val="110"/>
        </w:rPr>
        <w:t>in</w:t>
      </w:r>
      <w:r>
        <w:rPr>
          <w:color w:val="231F20"/>
          <w:spacing w:val="9"/>
          <w:w w:val="110"/>
        </w:rPr>
        <w:t> </w:t>
      </w:r>
      <w:r>
        <w:rPr>
          <w:color w:val="231F20"/>
          <w:w w:val="110"/>
        </w:rPr>
        <w:t>this</w:t>
      </w:r>
      <w:r>
        <w:rPr>
          <w:color w:val="231F20"/>
          <w:spacing w:val="9"/>
          <w:w w:val="110"/>
        </w:rPr>
        <w:t> </w:t>
      </w:r>
      <w:r>
        <w:rPr>
          <w:color w:val="231F20"/>
          <w:w w:val="110"/>
        </w:rPr>
        <w:t>sensitive</w:t>
      </w:r>
      <w:r>
        <w:rPr>
          <w:color w:val="231F20"/>
          <w:spacing w:val="9"/>
          <w:w w:val="110"/>
        </w:rPr>
        <w:t> </w:t>
      </w:r>
      <w:r>
        <w:rPr>
          <w:color w:val="231F20"/>
          <w:w w:val="110"/>
        </w:rPr>
        <w:t>and</w:t>
      </w:r>
      <w:r>
        <w:rPr>
          <w:color w:val="231F20"/>
          <w:spacing w:val="9"/>
          <w:w w:val="110"/>
        </w:rPr>
        <w:t> </w:t>
      </w:r>
      <w:r>
        <w:rPr>
          <w:color w:val="231F20"/>
          <w:w w:val="110"/>
        </w:rPr>
        <w:t>confidential</w:t>
      </w:r>
      <w:r>
        <w:rPr>
          <w:color w:val="231F20"/>
          <w:spacing w:val="9"/>
          <w:w w:val="110"/>
        </w:rPr>
        <w:t> </w:t>
      </w:r>
      <w:r>
        <w:rPr>
          <w:color w:val="231F20"/>
          <w:w w:val="110"/>
        </w:rPr>
        <w:t>area</w:t>
      </w:r>
      <w:r>
        <w:rPr>
          <w:color w:val="231F20"/>
          <w:spacing w:val="9"/>
          <w:w w:val="110"/>
        </w:rPr>
        <w:t> </w:t>
      </w:r>
      <w:r>
        <w:rPr>
          <w:color w:val="231F20"/>
          <w:w w:val="110"/>
        </w:rPr>
        <w:t>of</w:t>
      </w:r>
      <w:r>
        <w:rPr>
          <w:color w:val="231F20"/>
          <w:spacing w:val="9"/>
          <w:w w:val="110"/>
        </w:rPr>
        <w:t> </w:t>
      </w:r>
      <w:r>
        <w:rPr>
          <w:color w:val="231F20"/>
          <w:w w:val="110"/>
        </w:rPr>
        <w:t>Assembly</w:t>
      </w:r>
      <w:r>
        <w:rPr>
          <w:color w:val="231F20"/>
          <w:spacing w:val="9"/>
          <w:w w:val="110"/>
        </w:rPr>
        <w:t> </w:t>
      </w:r>
      <w:r>
        <w:rPr>
          <w:color w:val="231F20"/>
          <w:w w:val="110"/>
        </w:rPr>
        <w:t>work.</w:t>
      </w:r>
    </w:p>
    <w:p>
      <w:pPr>
        <w:pStyle w:val="BodyText"/>
        <w:spacing w:before="3"/>
        <w:ind w:left="673"/>
      </w:pPr>
      <w:r>
        <w:rPr>
          <w:color w:val="231F20"/>
          <w:w w:val="110"/>
        </w:rPr>
        <w:t>The committee wishes to record its thanks to both Conveners.</w:t>
      </w:r>
    </w:p>
    <w:p>
      <w:pPr>
        <w:pStyle w:val="BodyText"/>
        <w:rPr>
          <w:sz w:val="20"/>
        </w:rPr>
      </w:pPr>
    </w:p>
    <w:p>
      <w:pPr>
        <w:pStyle w:val="BodyText"/>
        <w:rPr>
          <w:sz w:val="20"/>
        </w:rPr>
      </w:pPr>
    </w:p>
    <w:p>
      <w:pPr>
        <w:pStyle w:val="BodyText"/>
        <w:spacing w:before="1"/>
        <w:rPr>
          <w:sz w:val="26"/>
        </w:rPr>
      </w:pPr>
      <w:r>
        <w:rPr/>
        <w:pict>
          <v:group style="position:absolute;margin-left:42.025169pt;margin-top:17.807489pt;width:496.6pt;height:152pt;mso-position-horizontal-relative:page;mso-position-vertical-relative:paragraph;z-index:-251513856;mso-wrap-distance-left:0;mso-wrap-distance-right:0" coordorigin="841,356" coordsize="9932,3040">
            <v:rect style="position:absolute;left:1143;top:797;width:4016;height:302" filled="true" fillcolor="#d8dadc" stroked="false">
              <v:fill type="solid"/>
            </v:rect>
            <v:rect style="position:absolute;left:1143;top:469;width:159;height:328" filled="true" fillcolor="#d8dadc" stroked="false">
              <v:fill type="solid"/>
            </v:rect>
            <v:line style="position:absolute" from="1143,463" to="5159,463" stroked="true" strokeweight=".6pt" strokecolor="#d8dadc">
              <v:stroke dashstyle="solid"/>
            </v:line>
            <v:rect style="position:absolute;left:4743;top:470;width:416;height:327" filled="true" fillcolor="#d8dadc" stroked="false">
              <v:fill type="solid"/>
            </v:rect>
            <v:rect style="position:absolute;left:1301;top:470;width:3443;height:327" filled="true" fillcolor="#d8dadc" stroked="false">
              <v:fill type="solid"/>
            </v:rect>
            <v:shape style="position:absolute;left:840;top:405;width:9932;height:2991" type="#_x0000_t75" stroked="false">
              <v:imagedata r:id="rId150" o:title=""/>
            </v:shape>
            <v:shape style="position:absolute;left:1256;top:356;width:3665;height:727" type="#_x0000_t202" filled="false" stroked="false">
              <v:textbox inset="0,0,0,0">
                <w:txbxContent>
                  <w:p>
                    <w:pPr>
                      <w:spacing w:line="206" w:lineRule="auto" w:before="45"/>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5"/>
                        <w:w w:val="111"/>
                        <w:sz w:val="43"/>
                      </w:rPr>
                      <w:t>O</w:t>
                    </w:r>
                    <w:r>
                      <w:rPr>
                        <w:b/>
                        <w:color w:val="231F20"/>
                        <w:spacing w:val="-147"/>
                        <w:w w:val="112"/>
                        <w:position w:val="-18"/>
                        <w:sz w:val="50"/>
                      </w:rPr>
                      <w:t>3</w:t>
                    </w:r>
                    <w:r>
                      <w:rPr>
                        <w:b/>
                        <w:color w:val="FFFFFF"/>
                        <w:spacing w:val="-273"/>
                        <w:w w:val="111"/>
                        <w:sz w:val="43"/>
                      </w:rPr>
                      <w:t>N</w:t>
                    </w:r>
                    <w:r>
                      <w:rPr>
                        <w:b/>
                        <w:color w:val="231F20"/>
                        <w:spacing w:val="-13"/>
                        <w:w w:val="112"/>
                        <w:position w:val="-18"/>
                        <w:sz w:val="50"/>
                      </w:rPr>
                      <w:t>3</w:t>
                    </w:r>
                  </w:p>
                </w:txbxContent>
              </v:textbox>
              <w10:wrap type="none"/>
            </v:shape>
            <v:shape style="position:absolute;left:5893;top:777;width:3821;height:241" type="#_x0000_t202" filled="false" stroked="false">
              <v:textbox inset="0,0,0,0">
                <w:txbxContent>
                  <w:p>
                    <w:pPr>
                      <w:spacing w:line="241" w:lineRule="exact" w:before="0"/>
                      <w:ind w:left="0" w:right="0" w:firstLine="0"/>
                      <w:jc w:val="left"/>
                      <w:rPr>
                        <w:b/>
                        <w:sz w:val="20"/>
                      </w:rPr>
                    </w:pPr>
                    <w:r>
                      <w:rPr>
                        <w:b/>
                        <w:color w:val="231F20"/>
                        <w:w w:val="110"/>
                        <w:sz w:val="20"/>
                      </w:rPr>
                      <w:t>Pastoral Reference Committee</w:t>
                    </w:r>
                  </w:p>
                </w:txbxContent>
              </v:textbox>
              <w10:wrap type="none"/>
            </v:shape>
            <v:shape style="position:absolute;left:1133;top:1545;width:202;height:219" type="#_x0000_t202" filled="false" stroked="false">
              <v:textbox inset="0,0,0,0">
                <w:txbxContent>
                  <w:p>
                    <w:pPr>
                      <w:spacing w:before="0"/>
                      <w:ind w:left="0" w:right="0" w:firstLine="0"/>
                      <w:jc w:val="left"/>
                      <w:rPr>
                        <w:sz w:val="18"/>
                      </w:rPr>
                    </w:pPr>
                    <w:r>
                      <w:rPr>
                        <w:color w:val="231F20"/>
                        <w:spacing w:val="-15"/>
                        <w:w w:val="110"/>
                        <w:sz w:val="18"/>
                      </w:rPr>
                      <w:t>a)</w:t>
                    </w:r>
                  </w:p>
                </w:txbxContent>
              </v:textbox>
              <w10:wrap type="none"/>
            </v:shape>
            <v:shape style="position:absolute;left:1814;top:1545;width:7791;height:219" type="#_x0000_t202" filled="false" stroked="false">
              <v:textbox inset="0,0,0,0">
                <w:txbxContent>
                  <w:p>
                    <w:pPr>
                      <w:spacing w:before="0"/>
                      <w:ind w:left="0" w:right="0" w:firstLine="0"/>
                      <w:jc w:val="left"/>
                      <w:rPr>
                        <w:sz w:val="18"/>
                      </w:rPr>
                    </w:pPr>
                    <w:r>
                      <w:rPr>
                        <w:color w:val="231F20"/>
                        <w:w w:val="110"/>
                        <w:sz w:val="18"/>
                      </w:rPr>
                      <w:t>General Assembly thanks and discharges the Welfare Sub-Committee of the</w:t>
                    </w:r>
                  </w:p>
                </w:txbxContent>
              </v:textbox>
              <w10:wrap type="none"/>
            </v:shape>
            <v:shape style="position:absolute;left:1133;top:1795;width:9026;height:469" type="#_x0000_t202" filled="false" stroked="false">
              <v:textbox inset="0,0,0,0">
                <w:txbxContent>
                  <w:p>
                    <w:pPr>
                      <w:spacing w:line="273" w:lineRule="auto" w:before="0"/>
                      <w:ind w:left="0" w:right="6" w:firstLine="0"/>
                      <w:jc w:val="left"/>
                      <w:rPr>
                        <w:sz w:val="18"/>
                      </w:rPr>
                    </w:pPr>
                    <w:r>
                      <w:rPr>
                        <w:color w:val="231F20"/>
                        <w:w w:val="110"/>
                        <w:sz w:val="18"/>
                      </w:rPr>
                      <w:t>Pastoral Reference Committee and </w:t>
                    </w:r>
                    <w:r>
                      <w:rPr>
                        <w:color w:val="231F20"/>
                        <w:spacing w:val="2"/>
                        <w:w w:val="110"/>
                        <w:sz w:val="18"/>
                      </w:rPr>
                      <w:t>directs </w:t>
                    </w:r>
                    <w:r>
                      <w:rPr>
                        <w:color w:val="231F20"/>
                        <w:w w:val="110"/>
                        <w:sz w:val="18"/>
                      </w:rPr>
                      <w:t>that its responsibilities be discharged </w:t>
                    </w:r>
                    <w:r>
                      <w:rPr>
                        <w:color w:val="231F20"/>
                        <w:spacing w:val="2"/>
                        <w:w w:val="110"/>
                        <w:sz w:val="18"/>
                      </w:rPr>
                      <w:t>directly</w:t>
                    </w:r>
                    <w:r>
                      <w:rPr>
                        <w:color w:val="231F20"/>
                        <w:spacing w:val="73"/>
                        <w:w w:val="110"/>
                        <w:sz w:val="18"/>
                      </w:rPr>
                      <w:t> </w:t>
                    </w:r>
                    <w:r>
                      <w:rPr>
                        <w:color w:val="231F20"/>
                        <w:w w:val="110"/>
                        <w:sz w:val="18"/>
                      </w:rPr>
                      <w:t>by the Pastoral Reference Committee.</w:t>
                    </w:r>
                  </w:p>
                </w:txbxContent>
              </v:textbox>
              <w10:wrap type="none"/>
            </v:shape>
            <v:shape style="position:absolute;left:1133;top:2545;width:222;height:219" type="#_x0000_t202" filled="false" stroked="false">
              <v:textbox inset="0,0,0,0">
                <w:txbxContent>
                  <w:p>
                    <w:pPr>
                      <w:spacing w:before="0"/>
                      <w:ind w:left="0" w:right="0" w:firstLine="0"/>
                      <w:jc w:val="left"/>
                      <w:rPr>
                        <w:sz w:val="18"/>
                      </w:rPr>
                    </w:pPr>
                    <w:r>
                      <w:rPr>
                        <w:color w:val="231F20"/>
                        <w:w w:val="110"/>
                        <w:sz w:val="18"/>
                      </w:rPr>
                      <w:t>b)</w:t>
                    </w:r>
                  </w:p>
                </w:txbxContent>
              </v:textbox>
              <w10:wrap type="none"/>
            </v:shape>
            <v:shape style="position:absolute;left:1814;top:2545;width:8161;height:219" type="#_x0000_t202" filled="false" stroked="false">
              <v:textbox inset="0,0,0,0">
                <w:txbxContent>
                  <w:p>
                    <w:pPr>
                      <w:spacing w:before="0"/>
                      <w:ind w:left="0" w:right="0" w:firstLine="0"/>
                      <w:jc w:val="left"/>
                      <w:rPr>
                        <w:sz w:val="18"/>
                      </w:rPr>
                    </w:pPr>
                    <w:r>
                      <w:rPr>
                        <w:color w:val="231F20"/>
                        <w:w w:val="110"/>
                        <w:sz w:val="18"/>
                      </w:rPr>
                      <w:t>General Assembly resolves that the Pastoral Reference Committee be known as</w:t>
                    </w:r>
                  </w:p>
                </w:txbxContent>
              </v:textbox>
              <w10:wrap type="none"/>
            </v:shape>
            <v:shape style="position:absolute;left:1133;top:2795;width:4924;height:219" type="#_x0000_t202" filled="false" stroked="false">
              <v:textbox inset="0,0,0,0">
                <w:txbxContent>
                  <w:p>
                    <w:pPr>
                      <w:spacing w:before="0"/>
                      <w:ind w:left="0" w:right="0" w:firstLine="0"/>
                      <w:jc w:val="left"/>
                      <w:rPr>
                        <w:sz w:val="18"/>
                      </w:rPr>
                    </w:pPr>
                    <w:r>
                      <w:rPr>
                        <w:color w:val="231F20"/>
                        <w:w w:val="110"/>
                        <w:sz w:val="18"/>
                      </w:rPr>
                      <w:t>The Pastoral Reference and Welfare Committee.</w:t>
                    </w:r>
                  </w:p>
                </w:txbxContent>
              </v:textbox>
              <w10:wrap type="none"/>
            </v:shape>
            <w10:wrap type="topAndBottom"/>
          </v:group>
        </w:pict>
      </w:r>
    </w:p>
    <w:p>
      <w:pPr>
        <w:pStyle w:val="BodyText"/>
        <w:rPr>
          <w:sz w:val="20"/>
        </w:rPr>
      </w:pPr>
    </w:p>
    <w:p>
      <w:pPr>
        <w:pStyle w:val="BodyText"/>
        <w:rPr>
          <w:sz w:val="20"/>
        </w:rPr>
      </w:pPr>
    </w:p>
    <w:p>
      <w:pPr>
        <w:pStyle w:val="BodyText"/>
        <w:spacing w:before="9"/>
        <w:rPr>
          <w:sz w:val="15"/>
        </w:rPr>
      </w:pPr>
    </w:p>
    <w:p>
      <w:pPr>
        <w:spacing w:before="309"/>
        <w:ind w:left="0" w:right="1478"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headerReference w:type="even" r:id="rId147"/>
          <w:footerReference w:type="even" r:id="rId148"/>
          <w:footerReference w:type="default" r:id="rId149"/>
          <w:pgSz w:w="11910" w:h="16840"/>
          <w:pgMar w:header="0" w:footer="564" w:top="460" w:bottom="760" w:left="460" w:right="0"/>
          <w:pgNumType w:start="118"/>
        </w:sectPr>
      </w:pPr>
    </w:p>
    <w:p>
      <w:pPr>
        <w:pStyle w:val="ListParagraph"/>
        <w:numPr>
          <w:ilvl w:val="1"/>
          <w:numId w:val="69"/>
        </w:numPr>
        <w:tabs>
          <w:tab w:pos="1696" w:val="left" w:leader="none"/>
          <w:tab w:pos="1697" w:val="left" w:leader="none"/>
        </w:tabs>
        <w:spacing w:line="273" w:lineRule="auto" w:before="88" w:after="0"/>
        <w:ind w:left="976" w:right="2376" w:firstLine="0"/>
        <w:jc w:val="left"/>
        <w:rPr>
          <w:sz w:val="18"/>
        </w:rPr>
      </w:pPr>
      <w:r>
        <w:rPr/>
        <w:pict>
          <v:shape style="position:absolute;margin-left:504.265594pt;margin-top:36.840614pt;width:71.7pt;height:544.75pt;mso-position-horizontal-relative:page;mso-position-vertical-relative:page;z-index:251803648" type="#_x0000_t202" filled="false" stroked="false">
            <v:textbox inset="0,0,0,0" style="layout-flow:vertical">
              <w:txbxContent>
                <w:p>
                  <w:pPr>
                    <w:spacing w:line="1018" w:lineRule="exact" w:before="20"/>
                    <w:ind w:left="20" w:right="0" w:firstLine="0"/>
                    <w:jc w:val="left"/>
                    <w:rPr>
                      <w:b/>
                      <w:sz w:val="88"/>
                    </w:rPr>
                  </w:pPr>
                  <w:r>
                    <w:rPr>
                      <w:b/>
                      <w:color w:val="231F20"/>
                      <w:sz w:val="88"/>
                    </w:rPr>
                    <w:t>Church and Society</w:t>
                  </w:r>
                </w:p>
                <w:p>
                  <w:pPr>
                    <w:spacing w:line="393" w:lineRule="exact" w:before="0"/>
                    <w:ind w:left="7097"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spacing w:val="-3"/>
          <w:w w:val="110"/>
          <w:sz w:val="18"/>
        </w:rPr>
        <w:t>We </w:t>
      </w:r>
      <w:r>
        <w:rPr>
          <w:color w:val="231F20"/>
          <w:w w:val="110"/>
          <w:sz w:val="18"/>
        </w:rPr>
        <w:t>seek to demonstrate the relevance of our faith to the world </w:t>
      </w:r>
      <w:r>
        <w:rPr>
          <w:color w:val="231F20"/>
          <w:spacing w:val="-3"/>
          <w:w w:val="110"/>
          <w:sz w:val="18"/>
        </w:rPr>
        <w:t>today, </w:t>
      </w:r>
      <w:r>
        <w:rPr>
          <w:color w:val="231F20"/>
          <w:w w:val="110"/>
          <w:sz w:val="18"/>
        </w:rPr>
        <w:t>through involvement in issues of equality and justice; by petitioning those in </w:t>
      </w:r>
      <w:r>
        <w:rPr>
          <w:color w:val="231F20"/>
          <w:spacing w:val="-3"/>
          <w:w w:val="110"/>
          <w:sz w:val="18"/>
        </w:rPr>
        <w:t>power,  </w:t>
      </w:r>
      <w:r>
        <w:rPr>
          <w:color w:val="231F20"/>
          <w:w w:val="110"/>
          <w:sz w:val="18"/>
        </w:rPr>
        <w:t>and by energising and affirming local congregations. </w:t>
      </w:r>
      <w:r>
        <w:rPr>
          <w:color w:val="231F20"/>
          <w:spacing w:val="-3"/>
          <w:w w:val="110"/>
          <w:sz w:val="18"/>
        </w:rPr>
        <w:t>We  </w:t>
      </w:r>
      <w:r>
        <w:rPr>
          <w:color w:val="231F20"/>
          <w:w w:val="110"/>
          <w:sz w:val="18"/>
        </w:rPr>
        <w:t>are now able</w:t>
      </w:r>
      <w:r>
        <w:rPr>
          <w:color w:val="231F20"/>
          <w:spacing w:val="69"/>
          <w:w w:val="110"/>
          <w:sz w:val="18"/>
        </w:rPr>
        <w:t> </w:t>
      </w:r>
      <w:r>
        <w:rPr>
          <w:color w:val="231F20"/>
          <w:w w:val="110"/>
          <w:sz w:val="18"/>
        </w:rPr>
        <w:t>to do that more </w:t>
      </w:r>
      <w:r>
        <w:rPr>
          <w:color w:val="231F20"/>
          <w:spacing w:val="2"/>
          <w:w w:val="110"/>
          <w:sz w:val="18"/>
        </w:rPr>
        <w:t>effectively </w:t>
      </w:r>
      <w:r>
        <w:rPr>
          <w:color w:val="231F20"/>
          <w:w w:val="110"/>
          <w:sz w:val="18"/>
        </w:rPr>
        <w:t>by pooling </w:t>
      </w:r>
      <w:r>
        <w:rPr>
          <w:color w:val="231F20"/>
          <w:spacing w:val="2"/>
          <w:w w:val="110"/>
          <w:sz w:val="18"/>
        </w:rPr>
        <w:t>expertise </w:t>
      </w:r>
      <w:r>
        <w:rPr>
          <w:color w:val="231F20"/>
          <w:w w:val="110"/>
          <w:sz w:val="18"/>
        </w:rPr>
        <w:t>and </w:t>
      </w:r>
      <w:r>
        <w:rPr>
          <w:color w:val="231F20"/>
          <w:spacing w:val="2"/>
          <w:w w:val="110"/>
          <w:sz w:val="18"/>
        </w:rPr>
        <w:t>resources </w:t>
      </w:r>
      <w:r>
        <w:rPr>
          <w:color w:val="231F20"/>
          <w:w w:val="110"/>
          <w:sz w:val="18"/>
        </w:rPr>
        <w:t>with Baptist and Methodist colleagues in a Joint Public Issues</w:t>
      </w:r>
      <w:r>
        <w:rPr>
          <w:color w:val="231F20"/>
          <w:spacing w:val="17"/>
          <w:w w:val="110"/>
          <w:sz w:val="18"/>
        </w:rPr>
        <w:t> </w:t>
      </w:r>
      <w:r>
        <w:rPr>
          <w:color w:val="231F20"/>
          <w:spacing w:val="-4"/>
          <w:w w:val="110"/>
          <w:sz w:val="18"/>
        </w:rPr>
        <w:t>Team.</w:t>
      </w:r>
    </w:p>
    <w:p>
      <w:pPr>
        <w:pStyle w:val="BodyText"/>
        <w:spacing w:before="3"/>
        <w:rPr>
          <w:sz w:val="19"/>
        </w:rPr>
      </w:pPr>
    </w:p>
    <w:p>
      <w:pPr>
        <w:pStyle w:val="ListParagraph"/>
        <w:numPr>
          <w:ilvl w:val="2"/>
          <w:numId w:val="68"/>
        </w:numPr>
        <w:tabs>
          <w:tab w:pos="1656" w:val="left" w:leader="none"/>
          <w:tab w:pos="1657" w:val="left" w:leader="none"/>
        </w:tabs>
        <w:spacing w:line="250" w:lineRule="exact" w:before="0" w:after="0"/>
        <w:ind w:left="1656" w:right="2986" w:hanging="681"/>
        <w:jc w:val="left"/>
        <w:rPr>
          <w:sz w:val="18"/>
        </w:rPr>
      </w:pPr>
      <w:r>
        <w:rPr>
          <w:color w:val="231F20"/>
          <w:spacing w:val="-3"/>
          <w:w w:val="110"/>
          <w:sz w:val="18"/>
        </w:rPr>
        <w:t>We </w:t>
      </w:r>
      <w:r>
        <w:rPr>
          <w:color w:val="231F20"/>
          <w:w w:val="110"/>
          <w:sz w:val="18"/>
        </w:rPr>
        <w:t>have been able, together, to establish a higher national profile, through joint news releases, radio and television appearances, submissions and</w:t>
      </w:r>
      <w:r>
        <w:rPr>
          <w:color w:val="231F20"/>
          <w:spacing w:val="2"/>
          <w:w w:val="110"/>
          <w:sz w:val="18"/>
        </w:rPr>
        <w:t> </w:t>
      </w:r>
      <w:r>
        <w:rPr>
          <w:color w:val="231F20"/>
          <w:w w:val="110"/>
          <w:sz w:val="18"/>
        </w:rPr>
        <w:t>briefings.</w:t>
      </w:r>
    </w:p>
    <w:p>
      <w:pPr>
        <w:pStyle w:val="BodyText"/>
        <w:spacing w:before="1"/>
        <w:rPr>
          <w:sz w:val="22"/>
        </w:rPr>
      </w:pPr>
    </w:p>
    <w:p>
      <w:pPr>
        <w:pStyle w:val="ListParagraph"/>
        <w:numPr>
          <w:ilvl w:val="1"/>
          <w:numId w:val="69"/>
        </w:numPr>
        <w:tabs>
          <w:tab w:pos="1696" w:val="left" w:leader="none"/>
          <w:tab w:pos="1697" w:val="left" w:leader="none"/>
        </w:tabs>
        <w:spacing w:line="273" w:lineRule="auto" w:before="1" w:after="0"/>
        <w:ind w:left="976" w:right="2574" w:firstLine="0"/>
        <w:jc w:val="left"/>
        <w:rPr>
          <w:sz w:val="18"/>
        </w:rPr>
      </w:pPr>
      <w:r>
        <w:rPr>
          <w:color w:val="231F20"/>
          <w:w w:val="110"/>
          <w:sz w:val="18"/>
        </w:rPr>
        <w:t>Baptists, Methodists and the United Reformed Church all oppose the renewal of the Trident nuclear weapons programme. This allowed us to speak clearly, both </w:t>
      </w:r>
      <w:r>
        <w:rPr>
          <w:color w:val="231F20"/>
          <w:spacing w:val="2"/>
          <w:w w:val="110"/>
          <w:sz w:val="18"/>
        </w:rPr>
        <w:t>before </w:t>
      </w:r>
      <w:r>
        <w:rPr>
          <w:color w:val="231F20"/>
          <w:w w:val="110"/>
          <w:sz w:val="18"/>
        </w:rPr>
        <w:t>and </w:t>
      </w:r>
      <w:r>
        <w:rPr>
          <w:color w:val="231F20"/>
          <w:spacing w:val="2"/>
          <w:w w:val="110"/>
          <w:sz w:val="18"/>
        </w:rPr>
        <w:t>after </w:t>
      </w:r>
      <w:r>
        <w:rPr>
          <w:color w:val="231F20"/>
          <w:w w:val="110"/>
          <w:sz w:val="18"/>
        </w:rPr>
        <w:t>the House of Commons</w:t>
      </w:r>
      <w:r>
        <w:rPr>
          <w:color w:val="231F20"/>
          <w:spacing w:val="19"/>
          <w:w w:val="110"/>
          <w:sz w:val="18"/>
        </w:rPr>
        <w:t> </w:t>
      </w:r>
      <w:r>
        <w:rPr>
          <w:color w:val="231F20"/>
          <w:w w:val="110"/>
          <w:sz w:val="18"/>
        </w:rPr>
        <w:t>vote.</w:t>
      </w:r>
    </w:p>
    <w:p>
      <w:pPr>
        <w:pStyle w:val="BodyText"/>
        <w:spacing w:before="9"/>
        <w:rPr>
          <w:sz w:val="19"/>
        </w:rPr>
      </w:pPr>
    </w:p>
    <w:p>
      <w:pPr>
        <w:pStyle w:val="ListParagraph"/>
        <w:numPr>
          <w:ilvl w:val="2"/>
          <w:numId w:val="68"/>
        </w:numPr>
        <w:tabs>
          <w:tab w:pos="1656" w:val="left" w:leader="none"/>
          <w:tab w:pos="1657" w:val="left" w:leader="none"/>
        </w:tabs>
        <w:spacing w:line="218" w:lineRule="auto" w:before="0" w:after="0"/>
        <w:ind w:left="1656" w:right="2654" w:hanging="681"/>
        <w:jc w:val="left"/>
        <w:rPr>
          <w:sz w:val="18"/>
        </w:rPr>
      </w:pPr>
      <w:r>
        <w:rPr>
          <w:color w:val="231F20"/>
          <w:spacing w:val="-3"/>
          <w:w w:val="110"/>
          <w:sz w:val="18"/>
        </w:rPr>
        <w:t>We </w:t>
      </w:r>
      <w:r>
        <w:rPr>
          <w:color w:val="231F20"/>
          <w:w w:val="110"/>
          <w:sz w:val="18"/>
        </w:rPr>
        <w:t>said renewal of Trident would send the wrong message to aspiring nuclear</w:t>
      </w:r>
      <w:r>
        <w:rPr>
          <w:color w:val="231F20"/>
          <w:spacing w:val="12"/>
          <w:w w:val="110"/>
          <w:sz w:val="18"/>
        </w:rPr>
        <w:t> </w:t>
      </w:r>
      <w:r>
        <w:rPr>
          <w:color w:val="231F20"/>
          <w:w w:val="110"/>
          <w:sz w:val="18"/>
        </w:rPr>
        <w:t>powers.</w:t>
      </w:r>
      <w:r>
        <w:rPr>
          <w:color w:val="231F20"/>
          <w:spacing w:val="12"/>
          <w:w w:val="110"/>
          <w:sz w:val="18"/>
        </w:rPr>
        <w:t> </w:t>
      </w:r>
      <w:r>
        <w:rPr>
          <w:color w:val="231F20"/>
          <w:spacing w:val="-3"/>
          <w:w w:val="110"/>
          <w:sz w:val="18"/>
        </w:rPr>
        <w:t>We</w:t>
      </w:r>
      <w:r>
        <w:rPr>
          <w:color w:val="231F20"/>
          <w:spacing w:val="12"/>
          <w:w w:val="110"/>
          <w:sz w:val="18"/>
        </w:rPr>
        <w:t> </w:t>
      </w:r>
      <w:r>
        <w:rPr>
          <w:color w:val="231F20"/>
          <w:w w:val="110"/>
          <w:sz w:val="18"/>
        </w:rPr>
        <w:t>encouraged</w:t>
      </w:r>
      <w:r>
        <w:rPr>
          <w:color w:val="231F20"/>
          <w:spacing w:val="12"/>
          <w:w w:val="110"/>
          <w:sz w:val="18"/>
        </w:rPr>
        <w:t> </w:t>
      </w:r>
      <w:r>
        <w:rPr>
          <w:color w:val="231F20"/>
          <w:w w:val="110"/>
          <w:sz w:val="18"/>
        </w:rPr>
        <w:t>church</w:t>
      </w:r>
      <w:r>
        <w:rPr>
          <w:color w:val="231F20"/>
          <w:spacing w:val="13"/>
          <w:w w:val="110"/>
          <w:sz w:val="18"/>
        </w:rPr>
        <w:t> </w:t>
      </w:r>
      <w:r>
        <w:rPr>
          <w:color w:val="231F20"/>
          <w:spacing w:val="2"/>
          <w:w w:val="110"/>
          <w:sz w:val="18"/>
        </w:rPr>
        <w:t>members</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write</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their</w:t>
      </w:r>
      <w:r>
        <w:rPr>
          <w:color w:val="231F20"/>
          <w:spacing w:val="13"/>
          <w:w w:val="110"/>
          <w:sz w:val="18"/>
        </w:rPr>
        <w:t> </w:t>
      </w:r>
      <w:r>
        <w:rPr>
          <w:color w:val="231F20"/>
          <w:spacing w:val="-8"/>
          <w:w w:val="110"/>
          <w:sz w:val="18"/>
        </w:rPr>
        <w:t>MP.</w:t>
      </w:r>
    </w:p>
    <w:p>
      <w:pPr>
        <w:pStyle w:val="BodyText"/>
        <w:spacing w:before="6"/>
        <w:rPr>
          <w:sz w:val="23"/>
        </w:rPr>
      </w:pPr>
    </w:p>
    <w:p>
      <w:pPr>
        <w:pStyle w:val="ListParagraph"/>
        <w:numPr>
          <w:ilvl w:val="1"/>
          <w:numId w:val="69"/>
        </w:numPr>
        <w:tabs>
          <w:tab w:pos="1696" w:val="left" w:leader="none"/>
          <w:tab w:pos="1697" w:val="left" w:leader="none"/>
        </w:tabs>
        <w:spacing w:line="273" w:lineRule="auto" w:before="0" w:after="0"/>
        <w:ind w:left="976" w:right="2701" w:firstLine="0"/>
        <w:jc w:val="left"/>
        <w:rPr>
          <w:sz w:val="18"/>
        </w:rPr>
      </w:pPr>
      <w:r>
        <w:rPr>
          <w:color w:val="231F20"/>
          <w:w w:val="110"/>
          <w:sz w:val="18"/>
        </w:rPr>
        <w:t>Government sought views on whether sentenced </w:t>
      </w:r>
      <w:r>
        <w:rPr>
          <w:color w:val="231F20"/>
          <w:spacing w:val="2"/>
          <w:w w:val="110"/>
          <w:sz w:val="18"/>
        </w:rPr>
        <w:t>prisoners </w:t>
      </w:r>
      <w:r>
        <w:rPr>
          <w:color w:val="231F20"/>
          <w:w w:val="110"/>
          <w:sz w:val="18"/>
        </w:rPr>
        <w:t>should be allowed to vote in</w:t>
      </w:r>
      <w:r>
        <w:rPr>
          <w:color w:val="231F20"/>
          <w:spacing w:val="4"/>
          <w:w w:val="110"/>
          <w:sz w:val="18"/>
        </w:rPr>
        <w:t> </w:t>
      </w:r>
      <w:r>
        <w:rPr>
          <w:color w:val="231F20"/>
          <w:w w:val="110"/>
          <w:sz w:val="18"/>
        </w:rPr>
        <w:t>elections.</w:t>
      </w:r>
    </w:p>
    <w:p>
      <w:pPr>
        <w:pStyle w:val="BodyText"/>
        <w:spacing w:before="9"/>
        <w:rPr>
          <w:sz w:val="19"/>
        </w:rPr>
      </w:pPr>
    </w:p>
    <w:p>
      <w:pPr>
        <w:pStyle w:val="ListParagraph"/>
        <w:numPr>
          <w:ilvl w:val="2"/>
          <w:numId w:val="68"/>
        </w:numPr>
        <w:tabs>
          <w:tab w:pos="1656" w:val="left" w:leader="none"/>
          <w:tab w:pos="1657" w:val="left" w:leader="none"/>
        </w:tabs>
        <w:spacing w:line="218" w:lineRule="auto" w:before="0" w:after="0"/>
        <w:ind w:left="1656" w:right="2434" w:hanging="681"/>
        <w:jc w:val="left"/>
        <w:rPr>
          <w:sz w:val="18"/>
        </w:rPr>
      </w:pPr>
      <w:r>
        <w:rPr>
          <w:color w:val="231F20"/>
          <w:spacing w:val="-3"/>
          <w:w w:val="110"/>
          <w:sz w:val="18"/>
        </w:rPr>
        <w:t>We </w:t>
      </w:r>
      <w:r>
        <w:rPr>
          <w:color w:val="231F20"/>
          <w:w w:val="110"/>
          <w:sz w:val="18"/>
        </w:rPr>
        <w:t>said </w:t>
      </w:r>
      <w:r>
        <w:rPr>
          <w:color w:val="231F20"/>
          <w:spacing w:val="-4"/>
          <w:w w:val="110"/>
          <w:sz w:val="18"/>
        </w:rPr>
        <w:t>‘Yes’. </w:t>
      </w:r>
      <w:r>
        <w:rPr>
          <w:color w:val="231F20"/>
          <w:spacing w:val="-3"/>
          <w:w w:val="110"/>
          <w:sz w:val="18"/>
        </w:rPr>
        <w:t>We </w:t>
      </w:r>
      <w:r>
        <w:rPr>
          <w:color w:val="231F20"/>
          <w:w w:val="110"/>
          <w:sz w:val="18"/>
        </w:rPr>
        <w:t>believe it would encourage personal responsibility and would symbolically </w:t>
      </w:r>
      <w:r>
        <w:rPr>
          <w:color w:val="231F20"/>
          <w:spacing w:val="2"/>
          <w:w w:val="110"/>
          <w:sz w:val="18"/>
        </w:rPr>
        <w:t>offer </w:t>
      </w:r>
      <w:r>
        <w:rPr>
          <w:color w:val="231F20"/>
          <w:w w:val="110"/>
          <w:sz w:val="18"/>
        </w:rPr>
        <w:t>inclusion to a socially excluded</w:t>
      </w:r>
      <w:r>
        <w:rPr>
          <w:color w:val="231F20"/>
          <w:spacing w:val="38"/>
          <w:w w:val="110"/>
          <w:sz w:val="18"/>
        </w:rPr>
        <w:t> </w:t>
      </w:r>
      <w:r>
        <w:rPr>
          <w:color w:val="231F20"/>
          <w:w w:val="110"/>
          <w:sz w:val="18"/>
        </w:rPr>
        <w:t>group.</w:t>
      </w:r>
    </w:p>
    <w:p>
      <w:pPr>
        <w:pStyle w:val="BodyText"/>
        <w:spacing w:before="6"/>
        <w:rPr>
          <w:sz w:val="23"/>
        </w:rPr>
      </w:pPr>
    </w:p>
    <w:p>
      <w:pPr>
        <w:pStyle w:val="ListParagraph"/>
        <w:numPr>
          <w:ilvl w:val="1"/>
          <w:numId w:val="69"/>
        </w:numPr>
        <w:tabs>
          <w:tab w:pos="1696" w:val="left" w:leader="none"/>
          <w:tab w:pos="1697" w:val="left" w:leader="none"/>
        </w:tabs>
        <w:spacing w:line="273" w:lineRule="auto" w:before="1" w:after="0"/>
        <w:ind w:left="976" w:right="2123" w:firstLine="0"/>
        <w:jc w:val="left"/>
        <w:rPr>
          <w:sz w:val="18"/>
        </w:rPr>
      </w:pPr>
      <w:r>
        <w:rPr>
          <w:color w:val="231F20"/>
          <w:w w:val="110"/>
          <w:sz w:val="18"/>
        </w:rPr>
        <w:t>The Commission on Cohesion and Integration asked what could be done to help </w:t>
      </w:r>
      <w:r>
        <w:rPr>
          <w:color w:val="231F20"/>
          <w:spacing w:val="2"/>
          <w:w w:val="110"/>
          <w:sz w:val="18"/>
        </w:rPr>
        <w:t>different </w:t>
      </w:r>
      <w:r>
        <w:rPr>
          <w:color w:val="231F20"/>
          <w:w w:val="110"/>
          <w:sz w:val="18"/>
        </w:rPr>
        <w:t>communities live in</w:t>
      </w:r>
      <w:r>
        <w:rPr>
          <w:color w:val="231F20"/>
          <w:spacing w:val="4"/>
          <w:w w:val="110"/>
          <w:sz w:val="18"/>
        </w:rPr>
        <w:t> </w:t>
      </w:r>
      <w:r>
        <w:rPr>
          <w:color w:val="231F20"/>
          <w:w w:val="110"/>
          <w:sz w:val="18"/>
        </w:rPr>
        <w:t>harmony.</w:t>
      </w:r>
    </w:p>
    <w:p>
      <w:pPr>
        <w:pStyle w:val="BodyText"/>
        <w:spacing w:before="8"/>
        <w:rPr>
          <w:sz w:val="19"/>
        </w:rPr>
      </w:pPr>
    </w:p>
    <w:p>
      <w:pPr>
        <w:pStyle w:val="ListParagraph"/>
        <w:numPr>
          <w:ilvl w:val="2"/>
          <w:numId w:val="68"/>
        </w:numPr>
        <w:tabs>
          <w:tab w:pos="1656" w:val="left" w:leader="none"/>
          <w:tab w:pos="1657" w:val="left" w:leader="none"/>
        </w:tabs>
        <w:spacing w:line="218" w:lineRule="auto" w:before="1" w:after="0"/>
        <w:ind w:left="1656" w:right="2861" w:hanging="681"/>
        <w:jc w:val="left"/>
        <w:rPr>
          <w:sz w:val="18"/>
        </w:rPr>
      </w:pPr>
      <w:r>
        <w:rPr>
          <w:color w:val="231F20"/>
          <w:spacing w:val="-3"/>
          <w:w w:val="110"/>
          <w:sz w:val="18"/>
        </w:rPr>
        <w:t>We </w:t>
      </w:r>
      <w:r>
        <w:rPr>
          <w:color w:val="231F20"/>
          <w:w w:val="110"/>
          <w:sz w:val="18"/>
        </w:rPr>
        <w:t>gave examples of churches helping to make this happen, but we warned that cohesion and integration must not mean</w:t>
      </w:r>
      <w:r>
        <w:rPr>
          <w:color w:val="231F20"/>
          <w:spacing w:val="16"/>
          <w:w w:val="110"/>
          <w:sz w:val="18"/>
        </w:rPr>
        <w:t> </w:t>
      </w:r>
      <w:r>
        <w:rPr>
          <w:color w:val="231F20"/>
          <w:w w:val="110"/>
          <w:sz w:val="18"/>
        </w:rPr>
        <w:t>assimilation.</w:t>
      </w:r>
    </w:p>
    <w:p>
      <w:pPr>
        <w:pStyle w:val="BodyText"/>
        <w:spacing w:before="6"/>
        <w:rPr>
          <w:sz w:val="23"/>
        </w:rPr>
      </w:pPr>
    </w:p>
    <w:p>
      <w:pPr>
        <w:pStyle w:val="ListParagraph"/>
        <w:numPr>
          <w:ilvl w:val="1"/>
          <w:numId w:val="69"/>
        </w:numPr>
        <w:tabs>
          <w:tab w:pos="1696" w:val="left" w:leader="none"/>
          <w:tab w:pos="1697" w:val="left" w:leader="none"/>
        </w:tabs>
        <w:spacing w:line="273" w:lineRule="auto" w:before="0" w:after="0"/>
        <w:ind w:left="976" w:right="2727" w:firstLine="0"/>
        <w:jc w:val="left"/>
        <w:rPr>
          <w:sz w:val="18"/>
        </w:rPr>
      </w:pPr>
      <w:r>
        <w:rPr>
          <w:color w:val="231F20"/>
          <w:spacing w:val="-3"/>
          <w:w w:val="110"/>
          <w:sz w:val="18"/>
        </w:rPr>
        <w:t>We </w:t>
      </w:r>
      <w:r>
        <w:rPr>
          <w:color w:val="231F20"/>
          <w:w w:val="110"/>
          <w:sz w:val="18"/>
        </w:rPr>
        <w:t>help run an informal ecumenical meeting of church </w:t>
      </w:r>
      <w:r>
        <w:rPr>
          <w:color w:val="231F20"/>
          <w:spacing w:val="3"/>
          <w:w w:val="110"/>
          <w:sz w:val="18"/>
        </w:rPr>
        <w:t>staff </w:t>
      </w:r>
      <w:r>
        <w:rPr>
          <w:color w:val="231F20"/>
          <w:w w:val="110"/>
          <w:sz w:val="18"/>
        </w:rPr>
        <w:t>involved in political </w:t>
      </w:r>
      <w:r>
        <w:rPr>
          <w:color w:val="231F20"/>
          <w:spacing w:val="2"/>
          <w:w w:val="110"/>
          <w:sz w:val="18"/>
        </w:rPr>
        <w:t>affairs. </w:t>
      </w:r>
      <w:r>
        <w:rPr>
          <w:color w:val="231F20"/>
          <w:w w:val="110"/>
          <w:sz w:val="18"/>
        </w:rPr>
        <w:t>With Baptist, Methodist, Quaker and Salvation Army representatives, we attended the three main political </w:t>
      </w:r>
      <w:r>
        <w:rPr>
          <w:color w:val="231F20"/>
          <w:spacing w:val="3"/>
          <w:w w:val="110"/>
          <w:sz w:val="18"/>
        </w:rPr>
        <w:t>party </w:t>
      </w:r>
      <w:r>
        <w:rPr>
          <w:color w:val="231F20"/>
          <w:w w:val="110"/>
          <w:sz w:val="18"/>
        </w:rPr>
        <w:t>conferences, meeting Christian MPs and hosting fringe</w:t>
      </w:r>
      <w:r>
        <w:rPr>
          <w:color w:val="231F20"/>
          <w:spacing w:val="18"/>
          <w:w w:val="110"/>
          <w:sz w:val="18"/>
        </w:rPr>
        <w:t> </w:t>
      </w:r>
      <w:r>
        <w:rPr>
          <w:color w:val="231F20"/>
          <w:w w:val="110"/>
          <w:sz w:val="18"/>
        </w:rPr>
        <w:t>meetings.</w:t>
      </w:r>
    </w:p>
    <w:p>
      <w:pPr>
        <w:pStyle w:val="BodyText"/>
        <w:spacing w:before="10"/>
        <w:rPr>
          <w:sz w:val="19"/>
        </w:rPr>
      </w:pPr>
    </w:p>
    <w:p>
      <w:pPr>
        <w:pStyle w:val="ListParagraph"/>
        <w:numPr>
          <w:ilvl w:val="2"/>
          <w:numId w:val="68"/>
        </w:numPr>
        <w:tabs>
          <w:tab w:pos="1656" w:val="left" w:leader="none"/>
          <w:tab w:pos="1657" w:val="left" w:leader="none"/>
        </w:tabs>
        <w:spacing w:line="218" w:lineRule="auto" w:before="0" w:after="0"/>
        <w:ind w:left="1656" w:right="2460" w:hanging="681"/>
        <w:jc w:val="left"/>
        <w:rPr>
          <w:sz w:val="18"/>
        </w:rPr>
      </w:pPr>
      <w:r>
        <w:rPr>
          <w:color w:val="231F20"/>
          <w:spacing w:val="-3"/>
          <w:w w:val="110"/>
          <w:sz w:val="18"/>
        </w:rPr>
        <w:t>We </w:t>
      </w:r>
      <w:r>
        <w:rPr>
          <w:color w:val="231F20"/>
          <w:w w:val="110"/>
          <w:sz w:val="18"/>
        </w:rPr>
        <w:t>found Christian politicians to be grateful for the prayerful </w:t>
      </w:r>
      <w:r>
        <w:rPr>
          <w:color w:val="231F20"/>
          <w:spacing w:val="2"/>
          <w:w w:val="110"/>
          <w:sz w:val="18"/>
        </w:rPr>
        <w:t>support </w:t>
      </w:r>
      <w:r>
        <w:rPr>
          <w:color w:val="231F20"/>
          <w:w w:val="110"/>
          <w:sz w:val="18"/>
        </w:rPr>
        <w:t>of our</w:t>
      </w:r>
      <w:r>
        <w:rPr>
          <w:color w:val="231F20"/>
          <w:spacing w:val="1"/>
          <w:w w:val="110"/>
          <w:sz w:val="18"/>
        </w:rPr>
        <w:t> </w:t>
      </w:r>
      <w:r>
        <w:rPr>
          <w:color w:val="231F20"/>
          <w:w w:val="110"/>
          <w:sz w:val="18"/>
        </w:rPr>
        <w:t>churches.</w:t>
      </w:r>
    </w:p>
    <w:p>
      <w:pPr>
        <w:pStyle w:val="BodyText"/>
        <w:spacing w:before="6"/>
        <w:rPr>
          <w:sz w:val="23"/>
        </w:rPr>
      </w:pPr>
    </w:p>
    <w:p>
      <w:pPr>
        <w:pStyle w:val="ListParagraph"/>
        <w:numPr>
          <w:ilvl w:val="1"/>
          <w:numId w:val="69"/>
        </w:numPr>
        <w:tabs>
          <w:tab w:pos="1696" w:val="left" w:leader="none"/>
          <w:tab w:pos="1697" w:val="left" w:leader="none"/>
        </w:tabs>
        <w:spacing w:line="273" w:lineRule="auto" w:before="0" w:after="0"/>
        <w:ind w:left="976" w:right="2129" w:firstLine="0"/>
        <w:jc w:val="left"/>
        <w:rPr>
          <w:sz w:val="18"/>
        </w:rPr>
      </w:pPr>
      <w:r>
        <w:rPr>
          <w:color w:val="231F20"/>
          <w:spacing w:val="3"/>
          <w:w w:val="110"/>
          <w:sz w:val="18"/>
        </w:rPr>
        <w:t>As </w:t>
      </w:r>
      <w:r>
        <w:rPr>
          <w:color w:val="231F20"/>
          <w:w w:val="110"/>
          <w:sz w:val="18"/>
        </w:rPr>
        <w:t>the Church and </w:t>
      </w:r>
      <w:r>
        <w:rPr>
          <w:color w:val="231F20"/>
          <w:spacing w:val="2"/>
          <w:w w:val="110"/>
          <w:sz w:val="18"/>
        </w:rPr>
        <w:t>Society </w:t>
      </w:r>
      <w:r>
        <w:rPr>
          <w:color w:val="231F20"/>
          <w:w w:val="110"/>
          <w:sz w:val="18"/>
        </w:rPr>
        <w:t>committee, we have called the United   Reformed Church to debate the sensitive issue of </w:t>
      </w:r>
      <w:r>
        <w:rPr>
          <w:color w:val="231F20"/>
          <w:spacing w:val="2"/>
          <w:w w:val="110"/>
          <w:sz w:val="18"/>
        </w:rPr>
        <w:t>Assisted </w:t>
      </w:r>
      <w:r>
        <w:rPr>
          <w:color w:val="231F20"/>
          <w:w w:val="110"/>
          <w:sz w:val="18"/>
        </w:rPr>
        <w:t>Dying. Our </w:t>
      </w:r>
      <w:r>
        <w:rPr>
          <w:color w:val="231F20"/>
          <w:spacing w:val="3"/>
          <w:w w:val="110"/>
          <w:sz w:val="18"/>
        </w:rPr>
        <w:t>report </w:t>
      </w:r>
      <w:r>
        <w:rPr>
          <w:color w:val="231F20"/>
          <w:w w:val="110"/>
          <w:sz w:val="18"/>
        </w:rPr>
        <w:t>and recommendations to General Assembly are contained in a separate document,  with a study guide for those attending Assembly and a more user-friendly version will be available later in the</w:t>
      </w:r>
      <w:r>
        <w:rPr>
          <w:color w:val="231F20"/>
          <w:spacing w:val="6"/>
          <w:w w:val="110"/>
          <w:sz w:val="18"/>
        </w:rPr>
        <w:t> </w:t>
      </w:r>
      <w:r>
        <w:rPr>
          <w:color w:val="231F20"/>
          <w:spacing w:val="-4"/>
          <w:w w:val="110"/>
          <w:sz w:val="18"/>
        </w:rPr>
        <w:t>year.</w:t>
      </w:r>
    </w:p>
    <w:p>
      <w:pPr>
        <w:pStyle w:val="BodyText"/>
        <w:spacing w:before="4"/>
      </w:pPr>
    </w:p>
    <w:p>
      <w:pPr>
        <w:pStyle w:val="ListParagraph"/>
        <w:numPr>
          <w:ilvl w:val="2"/>
          <w:numId w:val="68"/>
        </w:numPr>
        <w:tabs>
          <w:tab w:pos="1656" w:val="left" w:leader="none"/>
          <w:tab w:pos="1657" w:val="left" w:leader="none"/>
        </w:tabs>
        <w:spacing w:line="292" w:lineRule="exact" w:before="0" w:after="0"/>
        <w:ind w:left="1656" w:right="0" w:hanging="681"/>
        <w:jc w:val="left"/>
        <w:rPr>
          <w:sz w:val="18"/>
        </w:rPr>
      </w:pPr>
      <w:r>
        <w:rPr>
          <w:color w:val="231F20"/>
          <w:spacing w:val="-3"/>
          <w:w w:val="110"/>
          <w:sz w:val="18"/>
        </w:rPr>
        <w:t>We </w:t>
      </w:r>
      <w:r>
        <w:rPr>
          <w:color w:val="231F20"/>
          <w:w w:val="110"/>
          <w:sz w:val="18"/>
        </w:rPr>
        <w:t>were hugely encouraged by the </w:t>
      </w:r>
      <w:r>
        <w:rPr>
          <w:color w:val="231F20"/>
          <w:spacing w:val="2"/>
          <w:w w:val="110"/>
          <w:sz w:val="18"/>
        </w:rPr>
        <w:t>response </w:t>
      </w:r>
      <w:r>
        <w:rPr>
          <w:color w:val="231F20"/>
          <w:w w:val="110"/>
          <w:sz w:val="18"/>
        </w:rPr>
        <w:t>to a questionnaire,</w:t>
      </w:r>
      <w:r>
        <w:rPr>
          <w:color w:val="231F20"/>
          <w:spacing w:val="28"/>
          <w:w w:val="110"/>
          <w:sz w:val="18"/>
        </w:rPr>
        <w:t> </w:t>
      </w:r>
      <w:r>
        <w:rPr>
          <w:color w:val="231F20"/>
          <w:w w:val="110"/>
          <w:sz w:val="18"/>
        </w:rPr>
        <w:t>with</w:t>
      </w:r>
    </w:p>
    <w:p>
      <w:pPr>
        <w:pStyle w:val="BodyText"/>
        <w:spacing w:line="207" w:lineRule="exact"/>
        <w:ind w:left="1656"/>
      </w:pPr>
      <w:r>
        <w:rPr>
          <w:color w:val="231F20"/>
          <w:w w:val="110"/>
        </w:rPr>
        <w:t>many people offering perspectives born out of difficult personal experience.</w:t>
      </w:r>
    </w:p>
    <w:p>
      <w:pPr>
        <w:pStyle w:val="BodyText"/>
        <w:spacing w:before="31"/>
        <w:ind w:left="1656"/>
      </w:pPr>
      <w:r>
        <w:rPr>
          <w:color w:val="231F20"/>
          <w:w w:val="110"/>
        </w:rPr>
        <w:t>We hope the discussion will continue in small groups at Assembly.</w:t>
      </w:r>
    </w:p>
    <w:p>
      <w:pPr>
        <w:pStyle w:val="BodyText"/>
        <w:spacing w:before="2"/>
        <w:rPr>
          <w:sz w:val="23"/>
        </w:rPr>
      </w:pPr>
    </w:p>
    <w:p>
      <w:pPr>
        <w:pStyle w:val="ListParagraph"/>
        <w:numPr>
          <w:ilvl w:val="1"/>
          <w:numId w:val="69"/>
        </w:numPr>
        <w:tabs>
          <w:tab w:pos="1696" w:val="left" w:leader="none"/>
          <w:tab w:pos="1697" w:val="left" w:leader="none"/>
        </w:tabs>
        <w:spacing w:line="273" w:lineRule="auto" w:before="0" w:after="0"/>
        <w:ind w:left="976" w:right="2399" w:hanging="1"/>
        <w:jc w:val="left"/>
        <w:rPr>
          <w:b/>
          <w:sz w:val="18"/>
        </w:rPr>
      </w:pPr>
      <w:r>
        <w:rPr>
          <w:color w:val="231F20"/>
          <w:spacing w:val="-3"/>
          <w:w w:val="110"/>
          <w:sz w:val="18"/>
        </w:rPr>
        <w:t>We </w:t>
      </w:r>
      <w:r>
        <w:rPr>
          <w:color w:val="231F20"/>
          <w:w w:val="110"/>
          <w:sz w:val="18"/>
        </w:rPr>
        <w:t>have helped publicise the 200</w:t>
      </w:r>
      <w:r>
        <w:rPr>
          <w:color w:val="231F20"/>
          <w:w w:val="110"/>
          <w:position w:val="6"/>
          <w:sz w:val="10"/>
        </w:rPr>
        <w:t>th </w:t>
      </w:r>
      <w:r>
        <w:rPr>
          <w:color w:val="231F20"/>
          <w:w w:val="110"/>
          <w:sz w:val="18"/>
        </w:rPr>
        <w:t>anniversary of the </w:t>
      </w:r>
      <w:r>
        <w:rPr>
          <w:color w:val="231F20"/>
          <w:spacing w:val="2"/>
          <w:w w:val="110"/>
          <w:sz w:val="18"/>
        </w:rPr>
        <w:t>Act </w:t>
      </w:r>
      <w:r>
        <w:rPr>
          <w:color w:val="231F20"/>
          <w:w w:val="110"/>
          <w:sz w:val="18"/>
        </w:rPr>
        <w:t>ending British involvement in the slave trade. </w:t>
      </w:r>
      <w:r>
        <w:rPr>
          <w:b/>
          <w:color w:val="231F20"/>
          <w:w w:val="110"/>
          <w:sz w:val="18"/>
        </w:rPr>
        <w:t>(resolution 35, page</w:t>
      </w:r>
      <w:r>
        <w:rPr>
          <w:b/>
          <w:color w:val="231F20"/>
          <w:spacing w:val="17"/>
          <w:w w:val="110"/>
          <w:sz w:val="18"/>
        </w:rPr>
        <w:t> </w:t>
      </w:r>
      <w:r>
        <w:rPr>
          <w:b/>
          <w:color w:val="231F20"/>
          <w:spacing w:val="-3"/>
          <w:w w:val="110"/>
          <w:sz w:val="18"/>
        </w:rPr>
        <w:t>125)</w:t>
      </w:r>
    </w:p>
    <w:p>
      <w:pPr>
        <w:pStyle w:val="BodyText"/>
        <w:spacing w:before="2"/>
        <w:rPr>
          <w:b/>
        </w:rPr>
      </w:pPr>
    </w:p>
    <w:p>
      <w:pPr>
        <w:pStyle w:val="ListParagraph"/>
        <w:numPr>
          <w:ilvl w:val="2"/>
          <w:numId w:val="68"/>
        </w:numPr>
        <w:tabs>
          <w:tab w:pos="1656" w:val="left" w:leader="none"/>
          <w:tab w:pos="1657" w:val="left" w:leader="none"/>
        </w:tabs>
        <w:spacing w:line="292" w:lineRule="exact" w:before="0" w:after="0"/>
        <w:ind w:left="1656" w:right="0" w:hanging="681"/>
        <w:jc w:val="left"/>
        <w:rPr>
          <w:sz w:val="18"/>
        </w:rPr>
      </w:pPr>
      <w:r>
        <w:rPr>
          <w:color w:val="231F20"/>
          <w:spacing w:val="-3"/>
          <w:w w:val="110"/>
          <w:sz w:val="18"/>
        </w:rPr>
        <w:t>We </w:t>
      </w:r>
      <w:r>
        <w:rPr>
          <w:color w:val="231F20"/>
          <w:w w:val="110"/>
          <w:sz w:val="18"/>
        </w:rPr>
        <w:t>have asked: What social ills exist </w:t>
      </w:r>
      <w:r>
        <w:rPr>
          <w:color w:val="231F20"/>
          <w:spacing w:val="-3"/>
          <w:w w:val="110"/>
          <w:sz w:val="18"/>
        </w:rPr>
        <w:t>today, </w:t>
      </w:r>
      <w:r>
        <w:rPr>
          <w:color w:val="231F20"/>
          <w:w w:val="110"/>
          <w:sz w:val="18"/>
        </w:rPr>
        <w:t>which should prompt us</w:t>
      </w:r>
      <w:r>
        <w:rPr>
          <w:color w:val="231F20"/>
          <w:spacing w:val="34"/>
          <w:w w:val="110"/>
          <w:sz w:val="18"/>
        </w:rPr>
        <w:t> </w:t>
      </w:r>
      <w:r>
        <w:rPr>
          <w:color w:val="231F20"/>
          <w:w w:val="110"/>
          <w:sz w:val="18"/>
        </w:rPr>
        <w:t>to</w:t>
      </w:r>
    </w:p>
    <w:p>
      <w:pPr>
        <w:pStyle w:val="BodyText"/>
        <w:spacing w:line="207" w:lineRule="exact"/>
        <w:ind w:left="1656"/>
      </w:pPr>
      <w:r>
        <w:rPr>
          <w:color w:val="231F20"/>
          <w:w w:val="110"/>
        </w:rPr>
        <w:t>speak out? One is clearly sex trafficking, a modern form of slavery.</w:t>
      </w:r>
    </w:p>
    <w:p>
      <w:pPr>
        <w:spacing w:after="0" w:line="207" w:lineRule="exact"/>
        <w:sectPr>
          <w:headerReference w:type="default" r:id="rId151"/>
          <w:pgSz w:w="11910" w:h="16840"/>
          <w:pgMar w:header="0" w:footer="564" w:top="1000" w:bottom="760" w:left="460" w:right="0"/>
        </w:sectPr>
      </w:pPr>
    </w:p>
    <w:p>
      <w:pPr>
        <w:spacing w:before="28"/>
        <w:ind w:left="0" w:right="1131" w:firstLine="0"/>
        <w:jc w:val="right"/>
        <w:rPr>
          <w:rFonts w:ascii="Eurostile Bold"/>
          <w:b/>
          <w:sz w:val="28"/>
        </w:rPr>
      </w:pPr>
      <w:r>
        <w:rPr>
          <w:rFonts w:ascii="Eurostile Bold"/>
          <w:b/>
          <w:color w:val="A7A9AC"/>
          <w:w w:val="85"/>
          <w:sz w:val="28"/>
        </w:rPr>
        <w:t>Church and Society</w:t>
      </w:r>
    </w:p>
    <w:p>
      <w:pPr>
        <w:pStyle w:val="BodyText"/>
        <w:spacing w:before="5"/>
        <w:rPr>
          <w:rFonts w:ascii="Eurostile Bold"/>
          <w:b/>
          <w:sz w:val="12"/>
        </w:rPr>
      </w:pPr>
    </w:p>
    <w:p>
      <w:pPr>
        <w:pStyle w:val="ListParagraph"/>
        <w:numPr>
          <w:ilvl w:val="1"/>
          <w:numId w:val="69"/>
        </w:numPr>
        <w:tabs>
          <w:tab w:pos="1393" w:val="left" w:leader="none"/>
          <w:tab w:pos="1394" w:val="left" w:leader="none"/>
        </w:tabs>
        <w:spacing w:line="273" w:lineRule="auto" w:before="100" w:after="0"/>
        <w:ind w:left="673" w:right="2020" w:firstLine="0"/>
        <w:jc w:val="left"/>
        <w:rPr>
          <w:b/>
          <w:sz w:val="18"/>
        </w:rPr>
      </w:pPr>
      <w:r>
        <w:rPr>
          <w:color w:val="231F20"/>
          <w:w w:val="110"/>
          <w:sz w:val="18"/>
        </w:rPr>
        <w:t>In</w:t>
      </w:r>
      <w:r>
        <w:rPr>
          <w:color w:val="231F20"/>
          <w:spacing w:val="-9"/>
          <w:w w:val="110"/>
          <w:sz w:val="18"/>
        </w:rPr>
        <w:t> </w:t>
      </w:r>
      <w:r>
        <w:rPr>
          <w:color w:val="231F20"/>
          <w:w w:val="110"/>
          <w:sz w:val="18"/>
        </w:rPr>
        <w:t>the</w:t>
      </w:r>
      <w:r>
        <w:rPr>
          <w:color w:val="231F20"/>
          <w:spacing w:val="-8"/>
          <w:w w:val="110"/>
          <w:sz w:val="18"/>
        </w:rPr>
        <w:t> </w:t>
      </w:r>
      <w:r>
        <w:rPr>
          <w:color w:val="231F20"/>
          <w:w w:val="110"/>
          <w:sz w:val="18"/>
        </w:rPr>
        <w:t>fast</w:t>
      </w:r>
      <w:r>
        <w:rPr>
          <w:color w:val="231F20"/>
          <w:spacing w:val="-8"/>
          <w:w w:val="110"/>
          <w:sz w:val="18"/>
        </w:rPr>
        <w:t> </w:t>
      </w:r>
      <w:r>
        <w:rPr>
          <w:color w:val="231F20"/>
          <w:w w:val="110"/>
          <w:sz w:val="18"/>
        </w:rPr>
        <w:t>moving</w:t>
      </w:r>
      <w:r>
        <w:rPr>
          <w:color w:val="231F20"/>
          <w:spacing w:val="-9"/>
          <w:w w:val="110"/>
          <w:sz w:val="18"/>
        </w:rPr>
        <w:t> </w:t>
      </w:r>
      <w:r>
        <w:rPr>
          <w:color w:val="231F20"/>
          <w:w w:val="110"/>
          <w:sz w:val="18"/>
        </w:rPr>
        <w:t>field</w:t>
      </w:r>
      <w:r>
        <w:rPr>
          <w:color w:val="231F20"/>
          <w:spacing w:val="-8"/>
          <w:w w:val="110"/>
          <w:sz w:val="18"/>
        </w:rPr>
        <w:t> </w:t>
      </w:r>
      <w:r>
        <w:rPr>
          <w:color w:val="231F20"/>
          <w:w w:val="110"/>
          <w:sz w:val="18"/>
        </w:rPr>
        <w:t>of</w:t>
      </w:r>
      <w:r>
        <w:rPr>
          <w:color w:val="231F20"/>
          <w:spacing w:val="-8"/>
          <w:w w:val="110"/>
          <w:sz w:val="18"/>
        </w:rPr>
        <w:t> </w:t>
      </w:r>
      <w:r>
        <w:rPr>
          <w:color w:val="231F20"/>
          <w:w w:val="110"/>
          <w:sz w:val="18"/>
        </w:rPr>
        <w:t>climate</w:t>
      </w:r>
      <w:r>
        <w:rPr>
          <w:color w:val="231F20"/>
          <w:spacing w:val="-8"/>
          <w:w w:val="110"/>
          <w:sz w:val="18"/>
        </w:rPr>
        <w:t> </w:t>
      </w:r>
      <w:r>
        <w:rPr>
          <w:color w:val="231F20"/>
          <w:w w:val="110"/>
          <w:sz w:val="18"/>
        </w:rPr>
        <w:t>change,</w:t>
      </w:r>
      <w:r>
        <w:rPr>
          <w:color w:val="231F20"/>
          <w:spacing w:val="-9"/>
          <w:w w:val="110"/>
          <w:sz w:val="18"/>
        </w:rPr>
        <w:t> </w:t>
      </w:r>
      <w:r>
        <w:rPr>
          <w:color w:val="231F20"/>
          <w:w w:val="110"/>
          <w:sz w:val="18"/>
        </w:rPr>
        <w:t>we</w:t>
      </w:r>
      <w:r>
        <w:rPr>
          <w:color w:val="231F20"/>
          <w:spacing w:val="-8"/>
          <w:w w:val="110"/>
          <w:sz w:val="18"/>
        </w:rPr>
        <w:t> </w:t>
      </w:r>
      <w:r>
        <w:rPr>
          <w:color w:val="231F20"/>
          <w:spacing w:val="-3"/>
          <w:w w:val="110"/>
          <w:sz w:val="18"/>
        </w:rPr>
        <w:t>have</w:t>
      </w:r>
      <w:r>
        <w:rPr>
          <w:color w:val="231F20"/>
          <w:spacing w:val="-8"/>
          <w:w w:val="110"/>
          <w:sz w:val="18"/>
        </w:rPr>
        <w:t> </w:t>
      </w:r>
      <w:r>
        <w:rPr>
          <w:color w:val="231F20"/>
          <w:w w:val="110"/>
          <w:sz w:val="18"/>
        </w:rPr>
        <w:t>worked</w:t>
      </w:r>
      <w:r>
        <w:rPr>
          <w:color w:val="231F20"/>
          <w:spacing w:val="-8"/>
          <w:w w:val="110"/>
          <w:sz w:val="18"/>
        </w:rPr>
        <w:t> </w:t>
      </w:r>
      <w:r>
        <w:rPr>
          <w:color w:val="231F20"/>
          <w:w w:val="110"/>
          <w:sz w:val="18"/>
        </w:rPr>
        <w:t>with</w:t>
      </w:r>
      <w:r>
        <w:rPr>
          <w:color w:val="231F20"/>
          <w:spacing w:val="-9"/>
          <w:w w:val="110"/>
          <w:sz w:val="18"/>
        </w:rPr>
        <w:t> </w:t>
      </w:r>
      <w:r>
        <w:rPr>
          <w:color w:val="231F20"/>
          <w:w w:val="110"/>
          <w:sz w:val="18"/>
        </w:rPr>
        <w:t>Commitment</w:t>
      </w:r>
      <w:r>
        <w:rPr>
          <w:color w:val="231F20"/>
          <w:spacing w:val="-6"/>
          <w:w w:val="110"/>
          <w:sz w:val="18"/>
        </w:rPr>
        <w:t> </w:t>
      </w:r>
      <w:r>
        <w:rPr>
          <w:color w:val="231F20"/>
          <w:w w:val="110"/>
          <w:sz w:val="18"/>
        </w:rPr>
        <w:t>for Life and International Relations to bring a resolution which will require us to develop   a plan to reduce our harmful </w:t>
      </w:r>
      <w:r>
        <w:rPr>
          <w:color w:val="231F20"/>
          <w:spacing w:val="2"/>
          <w:w w:val="110"/>
          <w:sz w:val="18"/>
        </w:rPr>
        <w:t>carbon </w:t>
      </w:r>
      <w:r>
        <w:rPr>
          <w:color w:val="231F20"/>
          <w:w w:val="110"/>
          <w:sz w:val="18"/>
        </w:rPr>
        <w:t>emissions. </w:t>
      </w:r>
      <w:r>
        <w:rPr>
          <w:b/>
          <w:color w:val="231F20"/>
          <w:w w:val="110"/>
          <w:sz w:val="18"/>
        </w:rPr>
        <w:t>(Document 3 – Global Warming/ Climate Change)</w:t>
      </w:r>
    </w:p>
    <w:p>
      <w:pPr>
        <w:pStyle w:val="BodyText"/>
        <w:spacing w:before="10"/>
        <w:rPr>
          <w:b/>
          <w:sz w:val="19"/>
        </w:rPr>
      </w:pPr>
    </w:p>
    <w:p>
      <w:pPr>
        <w:pStyle w:val="ListParagraph"/>
        <w:numPr>
          <w:ilvl w:val="0"/>
          <w:numId w:val="2"/>
        </w:numPr>
        <w:tabs>
          <w:tab w:pos="1354" w:val="left" w:leader="none"/>
          <w:tab w:pos="1355" w:val="left" w:leader="none"/>
        </w:tabs>
        <w:spacing w:line="218" w:lineRule="auto" w:before="1" w:after="0"/>
        <w:ind w:left="1354" w:right="2136" w:hanging="681"/>
        <w:jc w:val="left"/>
        <w:rPr>
          <w:color w:val="231F20"/>
          <w:sz w:val="25"/>
        </w:rPr>
      </w:pPr>
      <w:r>
        <w:rPr>
          <w:color w:val="231F20"/>
          <w:spacing w:val="-3"/>
          <w:w w:val="110"/>
          <w:sz w:val="18"/>
        </w:rPr>
        <w:t>We </w:t>
      </w:r>
      <w:r>
        <w:rPr>
          <w:color w:val="231F20"/>
          <w:w w:val="110"/>
          <w:sz w:val="18"/>
        </w:rPr>
        <w:t>will be asking local churches and church members: What can you do to be more environmentally</w:t>
      </w:r>
      <w:r>
        <w:rPr>
          <w:color w:val="231F20"/>
          <w:spacing w:val="2"/>
          <w:w w:val="110"/>
          <w:sz w:val="18"/>
        </w:rPr>
        <w:t> </w:t>
      </w:r>
      <w:r>
        <w:rPr>
          <w:color w:val="231F20"/>
          <w:w w:val="110"/>
          <w:sz w:val="18"/>
        </w:rPr>
        <w:t>friendly?</w:t>
      </w:r>
    </w:p>
    <w:p>
      <w:pPr>
        <w:pStyle w:val="BodyText"/>
        <w:spacing w:before="6"/>
        <w:rPr>
          <w:sz w:val="23"/>
        </w:rPr>
      </w:pPr>
    </w:p>
    <w:p>
      <w:pPr>
        <w:pStyle w:val="ListParagraph"/>
        <w:numPr>
          <w:ilvl w:val="1"/>
          <w:numId w:val="69"/>
        </w:numPr>
        <w:tabs>
          <w:tab w:pos="1393" w:val="left" w:leader="none"/>
          <w:tab w:pos="1394" w:val="left" w:leader="none"/>
        </w:tabs>
        <w:spacing w:line="273" w:lineRule="auto" w:before="0" w:after="0"/>
        <w:ind w:left="673" w:right="1950" w:firstLine="0"/>
        <w:jc w:val="left"/>
        <w:rPr>
          <w:b/>
          <w:sz w:val="18"/>
        </w:rPr>
      </w:pPr>
      <w:r>
        <w:rPr>
          <w:color w:val="231F20"/>
          <w:w w:val="110"/>
          <w:sz w:val="18"/>
        </w:rPr>
        <w:t>Should local churches be allowed to apply for Heritage </w:t>
      </w:r>
      <w:r>
        <w:rPr>
          <w:color w:val="231F20"/>
          <w:spacing w:val="3"/>
          <w:w w:val="110"/>
          <w:sz w:val="18"/>
        </w:rPr>
        <w:t>Lottery </w:t>
      </w:r>
      <w:r>
        <w:rPr>
          <w:color w:val="231F20"/>
          <w:w w:val="110"/>
          <w:sz w:val="18"/>
        </w:rPr>
        <w:t>funding for the upkeep of listed buildings? </w:t>
      </w:r>
      <w:r>
        <w:rPr>
          <w:color w:val="231F20"/>
          <w:spacing w:val="-3"/>
          <w:w w:val="110"/>
          <w:sz w:val="18"/>
        </w:rPr>
        <w:t>We </w:t>
      </w:r>
      <w:r>
        <w:rPr>
          <w:color w:val="231F20"/>
          <w:w w:val="110"/>
          <w:sz w:val="18"/>
        </w:rPr>
        <w:t>prepared a paper for Mission Council which will come to Assembly. (</w:t>
      </w:r>
      <w:r>
        <w:rPr>
          <w:b/>
          <w:color w:val="231F20"/>
          <w:w w:val="110"/>
          <w:sz w:val="18"/>
        </w:rPr>
        <w:t>Document 1 – Heritage </w:t>
      </w:r>
      <w:r>
        <w:rPr>
          <w:b/>
          <w:color w:val="231F20"/>
          <w:spacing w:val="3"/>
          <w:w w:val="110"/>
          <w:sz w:val="18"/>
        </w:rPr>
        <w:t>Lottery</w:t>
      </w:r>
      <w:r>
        <w:rPr>
          <w:b/>
          <w:color w:val="231F20"/>
          <w:spacing w:val="7"/>
          <w:w w:val="110"/>
          <w:sz w:val="18"/>
        </w:rPr>
        <w:t> </w:t>
      </w:r>
      <w:r>
        <w:rPr>
          <w:b/>
          <w:color w:val="231F20"/>
          <w:w w:val="110"/>
          <w:sz w:val="18"/>
        </w:rPr>
        <w:t>Funding)</w:t>
      </w:r>
    </w:p>
    <w:p>
      <w:pPr>
        <w:pStyle w:val="BodyText"/>
        <w:spacing w:before="2"/>
        <w:rPr>
          <w:b/>
          <w:sz w:val="19"/>
        </w:rPr>
      </w:pPr>
    </w:p>
    <w:p>
      <w:pPr>
        <w:pStyle w:val="ListParagraph"/>
        <w:numPr>
          <w:ilvl w:val="0"/>
          <w:numId w:val="2"/>
        </w:numPr>
        <w:tabs>
          <w:tab w:pos="1354" w:val="left" w:leader="none"/>
          <w:tab w:pos="1355" w:val="left" w:leader="none"/>
        </w:tabs>
        <w:spacing w:line="250" w:lineRule="exact" w:before="0" w:after="0"/>
        <w:ind w:left="1354" w:right="1938" w:hanging="681"/>
        <w:jc w:val="left"/>
        <w:rPr>
          <w:color w:val="231F20"/>
          <w:sz w:val="25"/>
        </w:rPr>
      </w:pPr>
      <w:r>
        <w:rPr>
          <w:color w:val="231F20"/>
          <w:w w:val="110"/>
          <w:sz w:val="18"/>
        </w:rPr>
        <w:t>This could produce an interesting exchange of views at Assembly. Gambling is a social evil and the </w:t>
      </w:r>
      <w:r>
        <w:rPr>
          <w:color w:val="231F20"/>
          <w:spacing w:val="3"/>
          <w:w w:val="110"/>
          <w:sz w:val="18"/>
        </w:rPr>
        <w:t>lottery </w:t>
      </w:r>
      <w:r>
        <w:rPr>
          <w:color w:val="231F20"/>
          <w:w w:val="110"/>
          <w:sz w:val="18"/>
        </w:rPr>
        <w:t>is gambling …. versus …. the </w:t>
      </w:r>
      <w:r>
        <w:rPr>
          <w:color w:val="231F20"/>
          <w:spacing w:val="3"/>
          <w:w w:val="110"/>
          <w:sz w:val="18"/>
        </w:rPr>
        <w:t>lottery </w:t>
      </w:r>
      <w:r>
        <w:rPr>
          <w:color w:val="231F20"/>
          <w:w w:val="110"/>
          <w:sz w:val="18"/>
        </w:rPr>
        <w:t>is now so much </w:t>
      </w:r>
      <w:r>
        <w:rPr>
          <w:color w:val="231F20"/>
          <w:spacing w:val="2"/>
          <w:w w:val="110"/>
          <w:sz w:val="18"/>
        </w:rPr>
        <w:t>part </w:t>
      </w:r>
      <w:r>
        <w:rPr>
          <w:color w:val="231F20"/>
          <w:w w:val="110"/>
          <w:sz w:val="18"/>
        </w:rPr>
        <w:t>of </w:t>
      </w:r>
      <w:r>
        <w:rPr>
          <w:color w:val="231F20"/>
          <w:spacing w:val="2"/>
          <w:w w:val="110"/>
          <w:sz w:val="18"/>
        </w:rPr>
        <w:t>society </w:t>
      </w:r>
      <w:r>
        <w:rPr>
          <w:color w:val="231F20"/>
          <w:w w:val="110"/>
          <w:sz w:val="18"/>
        </w:rPr>
        <w:t>that we harm ourselves un-necessarily by ignoring the funding opportunities it</w:t>
      </w:r>
      <w:r>
        <w:rPr>
          <w:color w:val="231F20"/>
          <w:spacing w:val="2"/>
          <w:w w:val="110"/>
          <w:sz w:val="18"/>
        </w:rPr>
        <w:t> </w:t>
      </w:r>
      <w:r>
        <w:rPr>
          <w:color w:val="231F20"/>
          <w:w w:val="110"/>
          <w:sz w:val="18"/>
        </w:rPr>
        <w:t>provides.</w:t>
      </w:r>
    </w:p>
    <w:p>
      <w:pPr>
        <w:pStyle w:val="BodyText"/>
        <w:spacing w:before="1"/>
        <w:rPr>
          <w:sz w:val="22"/>
        </w:rPr>
      </w:pPr>
    </w:p>
    <w:p>
      <w:pPr>
        <w:pStyle w:val="ListParagraph"/>
        <w:numPr>
          <w:ilvl w:val="1"/>
          <w:numId w:val="69"/>
        </w:numPr>
        <w:tabs>
          <w:tab w:pos="1393" w:val="left" w:leader="none"/>
          <w:tab w:pos="1394" w:val="left" w:leader="none"/>
        </w:tabs>
        <w:spacing w:line="273" w:lineRule="auto" w:before="0" w:after="0"/>
        <w:ind w:left="673" w:right="1835" w:firstLine="0"/>
        <w:jc w:val="left"/>
        <w:rPr>
          <w:sz w:val="18"/>
        </w:rPr>
      </w:pPr>
      <w:r>
        <w:rPr>
          <w:color w:val="231F20"/>
          <w:spacing w:val="-3"/>
          <w:w w:val="110"/>
          <w:sz w:val="18"/>
        </w:rPr>
        <w:t>We </w:t>
      </w:r>
      <w:r>
        <w:rPr>
          <w:color w:val="231F20"/>
          <w:w w:val="110"/>
          <w:sz w:val="18"/>
        </w:rPr>
        <w:t>are delighted when synods or local churches invite us to speak about, or join a discussion on, any of these issues. </w:t>
      </w:r>
      <w:r>
        <w:rPr>
          <w:color w:val="231F20"/>
          <w:spacing w:val="2"/>
          <w:w w:val="110"/>
          <w:sz w:val="18"/>
        </w:rPr>
        <w:t>Contact </w:t>
      </w:r>
      <w:r>
        <w:rPr>
          <w:color w:val="231F20"/>
          <w:w w:val="110"/>
          <w:sz w:val="18"/>
        </w:rPr>
        <w:t>us at</w:t>
      </w:r>
      <w:r>
        <w:rPr>
          <w:color w:val="231F20"/>
          <w:spacing w:val="60"/>
          <w:w w:val="110"/>
          <w:sz w:val="18"/>
        </w:rPr>
        <w:t> </w:t>
      </w:r>
      <w:hyperlink r:id="rId155">
        <w:r>
          <w:rPr>
            <w:color w:val="231F20"/>
            <w:w w:val="110"/>
            <w:sz w:val="18"/>
          </w:rPr>
          <w:t>church.society@urc.org.uk</w:t>
        </w:r>
      </w:hyperlink>
    </w:p>
    <w:p>
      <w:pPr>
        <w:pStyle w:val="BodyText"/>
        <w:spacing w:before="8"/>
        <w:rPr>
          <w:sz w:val="20"/>
        </w:rPr>
      </w:pPr>
    </w:p>
    <w:p>
      <w:pPr>
        <w:pStyle w:val="ListParagraph"/>
        <w:numPr>
          <w:ilvl w:val="1"/>
          <w:numId w:val="69"/>
        </w:numPr>
        <w:tabs>
          <w:tab w:pos="1393" w:val="left" w:leader="none"/>
          <w:tab w:pos="1394" w:val="left" w:leader="none"/>
        </w:tabs>
        <w:spacing w:line="240" w:lineRule="auto" w:before="1" w:after="0"/>
        <w:ind w:left="1393" w:right="0" w:hanging="721"/>
        <w:jc w:val="left"/>
        <w:rPr>
          <w:sz w:val="18"/>
        </w:rPr>
      </w:pPr>
      <w:r>
        <w:rPr>
          <w:color w:val="231F20"/>
          <w:spacing w:val="-3"/>
          <w:w w:val="110"/>
          <w:sz w:val="18"/>
        </w:rPr>
        <w:t>We </w:t>
      </w:r>
      <w:r>
        <w:rPr>
          <w:color w:val="231F20"/>
          <w:w w:val="110"/>
          <w:sz w:val="18"/>
        </w:rPr>
        <w:t>have close working links with bodies </w:t>
      </w:r>
      <w:r>
        <w:rPr>
          <w:color w:val="231F20"/>
          <w:spacing w:val="2"/>
          <w:w w:val="110"/>
          <w:sz w:val="18"/>
        </w:rPr>
        <w:t>across </w:t>
      </w:r>
      <w:r>
        <w:rPr>
          <w:color w:val="231F20"/>
          <w:w w:val="110"/>
          <w:sz w:val="18"/>
        </w:rPr>
        <w:t>the social justice field, and</w:t>
      </w:r>
      <w:r>
        <w:rPr>
          <w:color w:val="231F20"/>
          <w:spacing w:val="51"/>
          <w:w w:val="110"/>
          <w:sz w:val="18"/>
        </w:rPr>
        <w:t> </w:t>
      </w:r>
      <w:r>
        <w:rPr>
          <w:color w:val="231F20"/>
          <w:spacing w:val="2"/>
          <w:w w:val="110"/>
          <w:sz w:val="18"/>
        </w:rPr>
        <w:t>record</w:t>
      </w:r>
    </w:p>
    <w:p>
      <w:pPr>
        <w:pStyle w:val="BodyText"/>
        <w:spacing w:before="31"/>
        <w:ind w:left="673"/>
      </w:pPr>
      <w:r>
        <w:rPr>
          <w:color w:val="231F20"/>
          <w:w w:val="110"/>
        </w:rPr>
        <w:t>our thanks to the many people who give their time to represent us.</w:t>
      </w:r>
    </w:p>
    <w:p>
      <w:pPr>
        <w:pStyle w:val="BodyText"/>
        <w:spacing w:before="2"/>
        <w:rPr>
          <w:sz w:val="22"/>
        </w:rPr>
      </w:pPr>
    </w:p>
    <w:p>
      <w:pPr>
        <w:pStyle w:val="ListParagraph"/>
        <w:numPr>
          <w:ilvl w:val="0"/>
          <w:numId w:val="2"/>
        </w:numPr>
        <w:tabs>
          <w:tab w:pos="1354" w:val="left" w:leader="none"/>
          <w:tab w:pos="1355" w:val="left" w:leader="none"/>
        </w:tabs>
        <w:spacing w:line="218" w:lineRule="auto" w:before="0" w:after="0"/>
        <w:ind w:left="1354" w:right="2146" w:hanging="681"/>
        <w:jc w:val="left"/>
        <w:rPr>
          <w:color w:val="231F20"/>
          <w:sz w:val="25"/>
        </w:rPr>
      </w:pPr>
      <w:r>
        <w:rPr>
          <w:color w:val="231F20"/>
          <w:w w:val="110"/>
          <w:sz w:val="18"/>
        </w:rPr>
        <w:t>Asylum: an informal ecumenical group with a concern for asylum seekers. c/o</w:t>
      </w:r>
      <w:hyperlink r:id="rId155">
        <w:r>
          <w:rPr>
            <w:color w:val="231F20"/>
            <w:w w:val="110"/>
            <w:sz w:val="18"/>
          </w:rPr>
          <w:t> church.society@urc.org.uk</w:t>
        </w:r>
      </w:hyperlink>
    </w:p>
    <w:p>
      <w:pPr>
        <w:pStyle w:val="ListParagraph"/>
        <w:numPr>
          <w:ilvl w:val="0"/>
          <w:numId w:val="2"/>
        </w:numPr>
        <w:tabs>
          <w:tab w:pos="1354" w:val="left" w:leader="none"/>
          <w:tab w:pos="1355" w:val="left" w:leader="none"/>
        </w:tabs>
        <w:spacing w:line="218" w:lineRule="auto" w:before="25" w:after="0"/>
        <w:ind w:left="1354" w:right="1739" w:hanging="681"/>
        <w:jc w:val="left"/>
        <w:rPr>
          <w:color w:val="231F20"/>
          <w:sz w:val="25"/>
        </w:rPr>
      </w:pPr>
      <w:r>
        <w:rPr>
          <w:color w:val="231F20"/>
          <w:w w:val="110"/>
          <w:sz w:val="18"/>
        </w:rPr>
        <w:t>Criminal Justice: Churches Criminal Justice Forum </w:t>
      </w:r>
      <w:hyperlink r:id="rId156">
        <w:r>
          <w:rPr>
            <w:color w:val="231F20"/>
            <w:w w:val="110"/>
            <w:sz w:val="18"/>
          </w:rPr>
          <w:t>www.ccjf.org </w:t>
        </w:r>
      </w:hyperlink>
      <w:r>
        <w:rPr>
          <w:color w:val="231F20"/>
          <w:w w:val="110"/>
          <w:sz w:val="18"/>
        </w:rPr>
        <w:t>and Prisons Week</w:t>
      </w:r>
      <w:hyperlink r:id="rId157">
        <w:r>
          <w:rPr>
            <w:color w:val="231F20"/>
            <w:w w:val="110"/>
            <w:sz w:val="18"/>
          </w:rPr>
          <w:t> www.prisonsweek.org</w:t>
        </w:r>
      </w:hyperlink>
    </w:p>
    <w:p>
      <w:pPr>
        <w:pStyle w:val="ListParagraph"/>
        <w:numPr>
          <w:ilvl w:val="0"/>
          <w:numId w:val="2"/>
        </w:numPr>
        <w:tabs>
          <w:tab w:pos="1354" w:val="left" w:leader="none"/>
          <w:tab w:pos="1355" w:val="left" w:leader="none"/>
        </w:tabs>
        <w:spacing w:line="218" w:lineRule="auto" w:before="24" w:after="0"/>
        <w:ind w:left="1354" w:right="2234" w:hanging="681"/>
        <w:jc w:val="left"/>
        <w:rPr>
          <w:color w:val="231F20"/>
          <w:sz w:val="25"/>
        </w:rPr>
      </w:pPr>
      <w:r>
        <w:rPr>
          <w:color w:val="231F20"/>
          <w:w w:val="110"/>
          <w:sz w:val="18"/>
        </w:rPr>
        <w:t>Education: Churches’ Joint Education Policy Committee and Free Church Education</w:t>
      </w:r>
      <w:r>
        <w:rPr>
          <w:color w:val="231F20"/>
          <w:spacing w:val="16"/>
          <w:w w:val="110"/>
          <w:sz w:val="18"/>
        </w:rPr>
        <w:t> </w:t>
      </w:r>
      <w:r>
        <w:rPr>
          <w:color w:val="231F20"/>
          <w:w w:val="110"/>
          <w:sz w:val="18"/>
        </w:rPr>
        <w:t>Committee</w:t>
      </w:r>
      <w:r>
        <w:rPr>
          <w:color w:val="231F20"/>
          <w:spacing w:val="17"/>
          <w:w w:val="110"/>
          <w:sz w:val="18"/>
        </w:rPr>
        <w:t> </w:t>
      </w:r>
      <w:hyperlink r:id="rId158">
        <w:r>
          <w:rPr>
            <w:color w:val="231F20"/>
            <w:w w:val="110"/>
            <w:sz w:val="18"/>
          </w:rPr>
          <w:t>www.churches-together.net</w:t>
        </w:r>
        <w:r>
          <w:rPr>
            <w:color w:val="231F20"/>
            <w:spacing w:val="16"/>
            <w:w w:val="110"/>
            <w:sz w:val="18"/>
          </w:rPr>
          <w:t> </w:t>
        </w:r>
      </w:hyperlink>
      <w:r>
        <w:rPr>
          <w:color w:val="231F20"/>
          <w:w w:val="110"/>
          <w:sz w:val="18"/>
        </w:rPr>
        <w:t>See</w:t>
      </w:r>
      <w:r>
        <w:rPr>
          <w:color w:val="231F20"/>
          <w:spacing w:val="17"/>
          <w:w w:val="110"/>
          <w:sz w:val="18"/>
        </w:rPr>
        <w:t> </w:t>
      </w:r>
      <w:r>
        <w:rPr>
          <w:color w:val="231F20"/>
          <w:w w:val="110"/>
          <w:sz w:val="18"/>
        </w:rPr>
        <w:t>our</w:t>
      </w:r>
      <w:r>
        <w:rPr>
          <w:color w:val="231F20"/>
          <w:spacing w:val="17"/>
          <w:w w:val="110"/>
          <w:sz w:val="18"/>
        </w:rPr>
        <w:t> </w:t>
      </w:r>
      <w:r>
        <w:rPr>
          <w:color w:val="231F20"/>
          <w:w w:val="110"/>
          <w:sz w:val="18"/>
        </w:rPr>
        <w:t>work</w:t>
      </w:r>
      <w:r>
        <w:rPr>
          <w:color w:val="231F20"/>
          <w:spacing w:val="16"/>
          <w:w w:val="110"/>
          <w:sz w:val="18"/>
        </w:rPr>
        <w:t> </w:t>
      </w:r>
      <w:r>
        <w:rPr>
          <w:color w:val="231F20"/>
          <w:w w:val="110"/>
          <w:sz w:val="18"/>
        </w:rPr>
        <w:t>&gt;</w:t>
      </w:r>
      <w:r>
        <w:rPr>
          <w:color w:val="231F20"/>
          <w:spacing w:val="17"/>
          <w:w w:val="110"/>
          <w:sz w:val="18"/>
        </w:rPr>
        <w:t> </w:t>
      </w:r>
      <w:r>
        <w:rPr>
          <w:color w:val="231F20"/>
          <w:w w:val="110"/>
          <w:sz w:val="18"/>
        </w:rPr>
        <w:t>education.</w:t>
      </w:r>
    </w:p>
    <w:p>
      <w:pPr>
        <w:pStyle w:val="ListParagraph"/>
        <w:numPr>
          <w:ilvl w:val="0"/>
          <w:numId w:val="2"/>
        </w:numPr>
        <w:tabs>
          <w:tab w:pos="1354" w:val="left" w:leader="none"/>
          <w:tab w:pos="1355" w:val="left" w:leader="none"/>
        </w:tabs>
        <w:spacing w:line="292" w:lineRule="exact" w:before="6" w:after="0"/>
        <w:ind w:left="1354" w:right="0" w:hanging="682"/>
        <w:jc w:val="left"/>
        <w:rPr>
          <w:color w:val="231F20"/>
          <w:sz w:val="25"/>
        </w:rPr>
      </w:pPr>
      <w:r>
        <w:rPr>
          <w:color w:val="231F20"/>
          <w:w w:val="110"/>
          <w:sz w:val="18"/>
        </w:rPr>
        <w:t>Environment: Creation Challenge </w:t>
      </w:r>
      <w:hyperlink r:id="rId159">
        <w:r>
          <w:rPr>
            <w:color w:val="231F20"/>
            <w:w w:val="110"/>
            <w:sz w:val="18"/>
          </w:rPr>
          <w:t>www.creationchallenge.org.uk</w:t>
        </w:r>
        <w:r>
          <w:rPr>
            <w:color w:val="231F20"/>
            <w:spacing w:val="9"/>
            <w:w w:val="110"/>
            <w:sz w:val="18"/>
          </w:rPr>
          <w:t> </w:t>
        </w:r>
      </w:hyperlink>
      <w:r>
        <w:rPr>
          <w:color w:val="231F20"/>
          <w:w w:val="110"/>
          <w:sz w:val="18"/>
        </w:rPr>
        <w:t>,</w:t>
      </w:r>
    </w:p>
    <w:p>
      <w:pPr>
        <w:pStyle w:val="BodyText"/>
        <w:spacing w:line="207" w:lineRule="exact"/>
        <w:ind w:left="1354"/>
      </w:pPr>
      <w:r>
        <w:rPr>
          <w:color w:val="231F20"/>
          <w:w w:val="110"/>
        </w:rPr>
        <w:t>Operation Noah </w:t>
      </w:r>
      <w:hyperlink r:id="rId160">
        <w:r>
          <w:rPr>
            <w:color w:val="231F20"/>
            <w:w w:val="110"/>
          </w:rPr>
          <w:t>www.operationnoah.org </w:t>
        </w:r>
      </w:hyperlink>
      <w:r>
        <w:rPr>
          <w:color w:val="231F20"/>
          <w:w w:val="110"/>
        </w:rPr>
        <w:t>and CTBI Environmental Issues Network</w:t>
      </w:r>
    </w:p>
    <w:p>
      <w:pPr>
        <w:pStyle w:val="BodyText"/>
        <w:spacing w:before="31"/>
        <w:ind w:left="1354"/>
      </w:pPr>
      <w:r>
        <w:rPr>
          <w:color w:val="231F20"/>
          <w:w w:val="110"/>
        </w:rPr>
        <w:t>Contact </w:t>
      </w:r>
      <w:hyperlink r:id="rId161">
        <w:r>
          <w:rPr>
            <w:color w:val="231F20"/>
            <w:w w:val="110"/>
          </w:rPr>
          <w:t>www.ctbi.org.uk</w:t>
        </w:r>
      </w:hyperlink>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Ethical Investment </w:t>
      </w:r>
      <w:r>
        <w:rPr>
          <w:color w:val="231F20"/>
          <w:spacing w:val="2"/>
          <w:w w:val="110"/>
          <w:sz w:val="18"/>
        </w:rPr>
        <w:t>Advisory </w:t>
      </w:r>
      <w:r>
        <w:rPr>
          <w:color w:val="231F20"/>
          <w:w w:val="110"/>
          <w:sz w:val="18"/>
        </w:rPr>
        <w:t>Group c/o</w:t>
      </w:r>
      <w:r>
        <w:rPr>
          <w:color w:val="231F20"/>
          <w:spacing w:val="10"/>
          <w:w w:val="110"/>
          <w:sz w:val="18"/>
        </w:rPr>
        <w:t> </w:t>
      </w:r>
      <w:hyperlink r:id="rId155">
        <w:r>
          <w:rPr>
            <w:color w:val="231F20"/>
            <w:w w:val="110"/>
            <w:sz w:val="18"/>
          </w:rPr>
          <w:t>church.society@urc.org.uk</w:t>
        </w:r>
      </w:hyperlink>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Funerals Group c/o</w:t>
      </w:r>
      <w:r>
        <w:rPr>
          <w:color w:val="231F20"/>
          <w:spacing w:val="4"/>
          <w:w w:val="110"/>
          <w:sz w:val="18"/>
        </w:rPr>
        <w:t> </w:t>
      </w:r>
      <w:hyperlink r:id="rId155">
        <w:r>
          <w:rPr>
            <w:color w:val="231F20"/>
            <w:w w:val="110"/>
            <w:sz w:val="18"/>
          </w:rPr>
          <w:t>church.society@urc.org.uk</w:t>
        </w:r>
      </w:hyperlink>
    </w:p>
    <w:p>
      <w:pPr>
        <w:pStyle w:val="ListParagraph"/>
        <w:numPr>
          <w:ilvl w:val="0"/>
          <w:numId w:val="2"/>
        </w:numPr>
        <w:tabs>
          <w:tab w:pos="1354" w:val="left" w:leader="none"/>
          <w:tab w:pos="1355" w:val="left" w:leader="none"/>
          <w:tab w:pos="7541" w:val="left" w:leader="none"/>
        </w:tabs>
        <w:spacing w:line="218" w:lineRule="auto" w:before="0" w:after="0"/>
        <w:ind w:left="1354" w:right="2224" w:hanging="681"/>
        <w:jc w:val="left"/>
        <w:rPr>
          <w:color w:val="231F20"/>
          <w:sz w:val="25"/>
        </w:rPr>
      </w:pPr>
      <w:r>
        <w:rPr>
          <w:color w:val="231F20"/>
          <w:w w:val="110"/>
          <w:sz w:val="18"/>
        </w:rPr>
        <w:t>Healing: URC Health and Healing Network c/o </w:t>
      </w:r>
      <w:hyperlink r:id="rId155">
        <w:r>
          <w:rPr>
            <w:color w:val="231F20"/>
            <w:w w:val="110"/>
            <w:sz w:val="18"/>
          </w:rPr>
          <w:t>church.society@urc.org.uk </w:t>
        </w:r>
      </w:hyperlink>
      <w:r>
        <w:rPr>
          <w:color w:val="231F20"/>
          <w:w w:val="110"/>
          <w:sz w:val="18"/>
        </w:rPr>
        <w:t>and Churches Together for</w:t>
      </w:r>
      <w:r>
        <w:rPr>
          <w:color w:val="231F20"/>
          <w:spacing w:val="53"/>
          <w:w w:val="110"/>
          <w:sz w:val="18"/>
        </w:rPr>
        <w:t> </w:t>
      </w:r>
      <w:r>
        <w:rPr>
          <w:color w:val="231F20"/>
          <w:w w:val="110"/>
          <w:sz w:val="18"/>
        </w:rPr>
        <w:t>Healing</w:t>
      </w:r>
      <w:r>
        <w:rPr>
          <w:color w:val="231F20"/>
          <w:spacing w:val="18"/>
          <w:w w:val="110"/>
          <w:sz w:val="18"/>
        </w:rPr>
        <w:t> </w:t>
      </w:r>
      <w:hyperlink r:id="rId158">
        <w:r>
          <w:rPr>
            <w:color w:val="231F20"/>
            <w:w w:val="110"/>
            <w:sz w:val="18"/>
          </w:rPr>
          <w:t>www.churches-together.net</w:t>
        </w:r>
      </w:hyperlink>
      <w:r>
        <w:rPr>
          <w:color w:val="231F20"/>
          <w:w w:val="110"/>
          <w:sz w:val="18"/>
        </w:rPr>
        <w:tab/>
        <w:t>See our work</w:t>
      </w:r>
      <w:r>
        <w:rPr>
          <w:color w:val="231F20"/>
          <w:spacing w:val="17"/>
          <w:w w:val="110"/>
          <w:sz w:val="18"/>
        </w:rPr>
        <w:t> </w:t>
      </w:r>
      <w:r>
        <w:rPr>
          <w:color w:val="231F20"/>
          <w:w w:val="110"/>
          <w:sz w:val="18"/>
        </w:rPr>
        <w:t>&gt;</w:t>
      </w:r>
    </w:p>
    <w:p>
      <w:pPr>
        <w:pStyle w:val="BodyText"/>
        <w:spacing w:before="28"/>
        <w:ind w:left="1354"/>
      </w:pPr>
      <w:r>
        <w:rPr>
          <w:color w:val="231F20"/>
          <w:w w:val="110"/>
        </w:rPr>
        <w:t>healthcare</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HIV/AIDS Working Group (URC) c/o</w:t>
      </w:r>
      <w:r>
        <w:rPr>
          <w:color w:val="231F20"/>
          <w:spacing w:val="8"/>
          <w:w w:val="110"/>
          <w:sz w:val="18"/>
        </w:rPr>
        <w:t> </w:t>
      </w:r>
      <w:hyperlink r:id="rId155">
        <w:r>
          <w:rPr>
            <w:color w:val="231F20"/>
            <w:w w:val="110"/>
            <w:sz w:val="18"/>
          </w:rPr>
          <w:t>church.society@urc.org.uk</w:t>
        </w:r>
      </w:hyperlink>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Housing Justice</w:t>
      </w:r>
      <w:r>
        <w:rPr>
          <w:color w:val="231F20"/>
          <w:spacing w:val="1"/>
          <w:w w:val="110"/>
          <w:sz w:val="18"/>
        </w:rPr>
        <w:t> </w:t>
      </w:r>
      <w:hyperlink r:id="rId162">
        <w:r>
          <w:rPr>
            <w:color w:val="231F20"/>
            <w:w w:val="110"/>
            <w:sz w:val="18"/>
          </w:rPr>
          <w:t>www.housingjustice.org.uk</w:t>
        </w:r>
      </w:hyperlink>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Peace Fellowship (URC) c/o</w:t>
      </w:r>
      <w:r>
        <w:rPr>
          <w:color w:val="231F20"/>
          <w:spacing w:val="5"/>
          <w:w w:val="110"/>
          <w:sz w:val="18"/>
        </w:rPr>
        <w:t> </w:t>
      </w:r>
      <w:hyperlink r:id="rId155">
        <w:r>
          <w:rPr>
            <w:color w:val="231F20"/>
            <w:w w:val="110"/>
            <w:sz w:val="18"/>
          </w:rPr>
          <w:t>church.society@urc.org.uk</w:t>
        </w:r>
      </w:hyperlink>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Poverty: Church Action on Poverty</w:t>
      </w:r>
      <w:r>
        <w:rPr>
          <w:color w:val="231F20"/>
          <w:spacing w:val="12"/>
          <w:w w:val="110"/>
          <w:sz w:val="18"/>
        </w:rPr>
        <w:t> </w:t>
      </w:r>
      <w:hyperlink r:id="rId163">
        <w:r>
          <w:rPr>
            <w:color w:val="231F20"/>
            <w:w w:val="110"/>
            <w:sz w:val="18"/>
          </w:rPr>
          <w:t>info@church-poverty.org.uk</w:t>
        </w:r>
      </w:hyperlink>
    </w:p>
    <w:p>
      <w:pPr>
        <w:pStyle w:val="BodyText"/>
        <w:spacing w:line="273" w:lineRule="auto" w:before="227"/>
        <w:ind w:left="673" w:right="1829"/>
      </w:pPr>
      <w:r>
        <w:rPr>
          <w:color w:val="231F20"/>
          <w:w w:val="110"/>
        </w:rPr>
        <w:t>For more Church and Society information, go to </w:t>
      </w:r>
      <w:hyperlink r:id="rId164">
        <w:r>
          <w:rPr>
            <w:color w:val="231F20"/>
            <w:w w:val="110"/>
          </w:rPr>
          <w:t>www.urc.org.uk </w:t>
        </w:r>
      </w:hyperlink>
      <w:r>
        <w:rPr>
          <w:color w:val="231F20"/>
          <w:w w:val="110"/>
        </w:rPr>
        <w:t>and click on Our Work and Church and Society.</w:t>
      </w:r>
    </w:p>
    <w:p>
      <w:pPr>
        <w:pStyle w:val="BodyText"/>
        <w:rPr>
          <w:sz w:val="20"/>
        </w:rPr>
      </w:pPr>
    </w:p>
    <w:p>
      <w:pPr>
        <w:pStyle w:val="BodyText"/>
        <w:spacing w:before="12"/>
        <w:rPr>
          <w:sz w:val="27"/>
        </w:rPr>
      </w:pPr>
    </w:p>
    <w:p>
      <w:pPr>
        <w:spacing w:before="309"/>
        <w:ind w:left="0" w:right="1591" w:firstLine="0"/>
        <w:jc w:val="center"/>
        <w:rPr>
          <w:i/>
          <w:sz w:val="24"/>
        </w:rPr>
      </w:pPr>
      <w:r>
        <w:rPr>
          <w:i/>
          <w:color w:val="231F20"/>
          <w:w w:val="600"/>
          <w:sz w:val="24"/>
        </w:rPr>
        <w:t>   </w:t>
      </w:r>
    </w:p>
    <w:p>
      <w:pPr>
        <w:spacing w:after="0"/>
        <w:jc w:val="center"/>
        <w:rPr>
          <w:sz w:val="24"/>
        </w:rPr>
        <w:sectPr>
          <w:headerReference w:type="even" r:id="rId152"/>
          <w:footerReference w:type="even" r:id="rId153"/>
          <w:footerReference w:type="default" r:id="rId154"/>
          <w:pgSz w:w="11910" w:h="16840"/>
          <w:pgMar w:header="0" w:footer="564" w:top="460" w:bottom="760" w:left="460" w:right="0"/>
        </w:sectPr>
      </w:pPr>
    </w:p>
    <w:p>
      <w:pPr>
        <w:pStyle w:val="BodyText"/>
        <w:spacing w:line="273" w:lineRule="auto" w:before="74"/>
        <w:ind w:left="995" w:right="2348"/>
      </w:pPr>
      <w:r>
        <w:rPr/>
        <w:pict>
          <v:shape style="position:absolute;margin-left:507.808899pt;margin-top:-9.080967pt;width:68.150pt;height:544.15pt;mso-position-horizontal-relative:page;mso-position-vertical-relative:paragraph;z-index:251804672" type="#_x0000_t202" filled="false" stroked="false">
            <v:textbox inset="0,0,0,0" style="layout-flow:vertical">
              <w:txbxContent>
                <w:p>
                  <w:pPr>
                    <w:spacing w:line="982" w:lineRule="exact" w:before="20"/>
                    <w:ind w:left="20" w:right="0" w:firstLine="0"/>
                    <w:jc w:val="left"/>
                    <w:rPr>
                      <w:b/>
                      <w:sz w:val="88"/>
                    </w:rPr>
                  </w:pPr>
                  <w:r>
                    <w:rPr>
                      <w:b/>
                      <w:color w:val="231F20"/>
                      <w:spacing w:val="-8"/>
                      <w:sz w:val="88"/>
                    </w:rPr>
                    <w:t>Address </w:t>
                  </w:r>
                  <w:r>
                    <w:rPr>
                      <w:b/>
                      <w:color w:val="231F20"/>
                      <w:spacing w:val="-3"/>
                      <w:sz w:val="88"/>
                    </w:rPr>
                    <w:t>to </w:t>
                  </w:r>
                  <w:r>
                    <w:rPr>
                      <w:b/>
                      <w:color w:val="231F20"/>
                      <w:spacing w:val="-6"/>
                      <w:sz w:val="88"/>
                    </w:rPr>
                    <w:t>the </w:t>
                  </w:r>
                  <w:r>
                    <w:rPr>
                      <w:b/>
                      <w:color w:val="231F20"/>
                      <w:spacing w:val="-12"/>
                      <w:sz w:val="88"/>
                    </w:rPr>
                    <w:t>Throne</w:t>
                  </w:r>
                </w:p>
                <w:p>
                  <w:pPr>
                    <w:spacing w:line="358" w:lineRule="exact" w:before="0"/>
                    <w:ind w:left="5679" w:right="0" w:firstLine="0"/>
                    <w:jc w:val="left"/>
                    <w:rPr>
                      <w:rFonts w:ascii="Eurostile Bold"/>
                      <w:b/>
                      <w:sz w:val="36"/>
                    </w:rPr>
                  </w:pPr>
                  <w:r>
                    <w:rPr>
                      <w:rFonts w:ascii="Eurostile Bold"/>
                      <w:b/>
                      <w:color w:val="A7A9AC"/>
                      <w:w w:val="95"/>
                      <w:sz w:val="36"/>
                    </w:rPr>
                    <w:t>General</w:t>
                  </w:r>
                  <w:r>
                    <w:rPr>
                      <w:rFonts w:ascii="Eurostile Bold"/>
                      <w:b/>
                      <w:color w:val="A7A9AC"/>
                      <w:spacing w:val="-56"/>
                      <w:w w:val="95"/>
                      <w:sz w:val="36"/>
                    </w:rPr>
                    <w:t> </w:t>
                  </w:r>
                  <w:r>
                    <w:rPr>
                      <w:rFonts w:ascii="Eurostile Bold"/>
                      <w:b/>
                      <w:color w:val="A7A9AC"/>
                      <w:w w:val="95"/>
                      <w:sz w:val="36"/>
                    </w:rPr>
                    <w:t>Assembly</w:t>
                  </w:r>
                  <w:r>
                    <w:rPr>
                      <w:rFonts w:ascii="Eurostile Bold"/>
                      <w:b/>
                      <w:color w:val="A7A9AC"/>
                      <w:spacing w:val="-55"/>
                      <w:w w:val="95"/>
                      <w:sz w:val="36"/>
                    </w:rPr>
                    <w:t> </w:t>
                  </w:r>
                  <w:r>
                    <w:rPr>
                      <w:rFonts w:ascii="Eurostile Bold"/>
                      <w:b/>
                      <w:color w:val="A7A9AC"/>
                      <w:w w:val="95"/>
                      <w:sz w:val="36"/>
                    </w:rPr>
                    <w:t>2007</w:t>
                  </w:r>
                </w:p>
              </w:txbxContent>
            </v:textbox>
            <w10:wrap type="none"/>
          </v:shape>
        </w:pict>
      </w:r>
      <w:r>
        <w:rPr>
          <w:color w:val="231F20"/>
          <w:w w:val="110"/>
        </w:rPr>
        <w:t>To the Queen’s Most Excellent Majesty. The General Assembly of the United Reformed Church, meeting in Manchester, sends its greetings.</w:t>
      </w:r>
    </w:p>
    <w:p>
      <w:pPr>
        <w:pStyle w:val="BodyText"/>
        <w:spacing w:before="8"/>
        <w:rPr>
          <w:sz w:val="20"/>
        </w:rPr>
      </w:pPr>
    </w:p>
    <w:p>
      <w:pPr>
        <w:pStyle w:val="BodyText"/>
        <w:spacing w:line="273" w:lineRule="auto"/>
        <w:ind w:left="995" w:right="2384"/>
      </w:pPr>
      <w:r>
        <w:rPr>
          <w:color w:val="231F20"/>
          <w:w w:val="110"/>
        </w:rPr>
        <w:t>Earlier this </w:t>
      </w:r>
      <w:r>
        <w:rPr>
          <w:color w:val="231F20"/>
          <w:spacing w:val="-6"/>
          <w:w w:val="110"/>
        </w:rPr>
        <w:t>year, </w:t>
      </w:r>
      <w:r>
        <w:rPr>
          <w:color w:val="231F20"/>
          <w:w w:val="110"/>
        </w:rPr>
        <w:t>our Moderator of General Assembly and other representatives were present with </w:t>
      </w:r>
      <w:r>
        <w:rPr>
          <w:color w:val="231F20"/>
          <w:spacing w:val="-5"/>
          <w:w w:val="110"/>
        </w:rPr>
        <w:t>Your </w:t>
      </w:r>
      <w:r>
        <w:rPr>
          <w:color w:val="231F20"/>
          <w:w w:val="110"/>
        </w:rPr>
        <w:t>Majesty at Westminster </w:t>
      </w:r>
      <w:r>
        <w:rPr>
          <w:color w:val="231F20"/>
          <w:spacing w:val="-4"/>
          <w:w w:val="110"/>
        </w:rPr>
        <w:t>Abbey, </w:t>
      </w:r>
      <w:r>
        <w:rPr>
          <w:color w:val="231F20"/>
          <w:w w:val="110"/>
        </w:rPr>
        <w:t>to mark the bicentenary of the Abolition of the </w:t>
      </w:r>
      <w:r>
        <w:rPr>
          <w:color w:val="231F20"/>
          <w:spacing w:val="-3"/>
          <w:w w:val="110"/>
        </w:rPr>
        <w:t>Slave </w:t>
      </w:r>
      <w:r>
        <w:rPr>
          <w:color w:val="231F20"/>
          <w:spacing w:val="-4"/>
          <w:w w:val="110"/>
        </w:rPr>
        <w:t>Trade </w:t>
      </w:r>
      <w:r>
        <w:rPr>
          <w:color w:val="231F20"/>
          <w:w w:val="110"/>
        </w:rPr>
        <w:t>Act. </w:t>
      </w:r>
      <w:r>
        <w:rPr>
          <w:color w:val="231F20"/>
          <w:spacing w:val="-5"/>
          <w:w w:val="110"/>
        </w:rPr>
        <w:t>However, </w:t>
      </w:r>
      <w:r>
        <w:rPr>
          <w:color w:val="231F20"/>
          <w:w w:val="110"/>
        </w:rPr>
        <w:t>our pleasure at being part of that</w:t>
      </w:r>
      <w:r>
        <w:rPr>
          <w:color w:val="231F20"/>
          <w:spacing w:val="-15"/>
          <w:w w:val="110"/>
        </w:rPr>
        <w:t> </w:t>
      </w:r>
      <w:r>
        <w:rPr>
          <w:color w:val="231F20"/>
          <w:w w:val="110"/>
        </w:rPr>
        <w:t>commemoration</w:t>
      </w:r>
      <w:r>
        <w:rPr>
          <w:color w:val="231F20"/>
          <w:spacing w:val="-15"/>
          <w:w w:val="110"/>
        </w:rPr>
        <w:t> </w:t>
      </w:r>
      <w:r>
        <w:rPr>
          <w:color w:val="231F20"/>
          <w:w w:val="110"/>
        </w:rPr>
        <w:t>was</w:t>
      </w:r>
      <w:r>
        <w:rPr>
          <w:color w:val="231F20"/>
          <w:spacing w:val="-15"/>
          <w:w w:val="110"/>
        </w:rPr>
        <w:t> </w:t>
      </w:r>
      <w:r>
        <w:rPr>
          <w:color w:val="231F20"/>
          <w:w w:val="110"/>
        </w:rPr>
        <w:t>qualified</w:t>
      </w:r>
      <w:r>
        <w:rPr>
          <w:color w:val="231F20"/>
          <w:spacing w:val="-14"/>
          <w:w w:val="110"/>
        </w:rPr>
        <w:t> </w:t>
      </w:r>
      <w:r>
        <w:rPr>
          <w:color w:val="231F20"/>
          <w:w w:val="110"/>
        </w:rPr>
        <w:t>by</w:t>
      </w:r>
      <w:r>
        <w:rPr>
          <w:color w:val="231F20"/>
          <w:spacing w:val="-15"/>
          <w:w w:val="110"/>
        </w:rPr>
        <w:t> </w:t>
      </w:r>
      <w:r>
        <w:rPr>
          <w:color w:val="231F20"/>
          <w:w w:val="110"/>
        </w:rPr>
        <w:t>our</w:t>
      </w:r>
      <w:r>
        <w:rPr>
          <w:color w:val="231F20"/>
          <w:spacing w:val="-15"/>
          <w:w w:val="110"/>
        </w:rPr>
        <w:t> </w:t>
      </w:r>
      <w:r>
        <w:rPr>
          <w:color w:val="231F20"/>
          <w:w w:val="110"/>
        </w:rPr>
        <w:t>concern</w:t>
      </w:r>
      <w:r>
        <w:rPr>
          <w:color w:val="231F20"/>
          <w:spacing w:val="-15"/>
          <w:w w:val="110"/>
        </w:rPr>
        <w:t> </w:t>
      </w:r>
      <w:r>
        <w:rPr>
          <w:color w:val="231F20"/>
          <w:w w:val="110"/>
        </w:rPr>
        <w:t>that</w:t>
      </w:r>
      <w:r>
        <w:rPr>
          <w:color w:val="231F20"/>
          <w:spacing w:val="-14"/>
          <w:w w:val="110"/>
        </w:rPr>
        <w:t> </w:t>
      </w:r>
      <w:r>
        <w:rPr>
          <w:color w:val="231F20"/>
          <w:w w:val="110"/>
        </w:rPr>
        <w:t>slavery</w:t>
      </w:r>
      <w:r>
        <w:rPr>
          <w:color w:val="231F20"/>
          <w:spacing w:val="-15"/>
          <w:w w:val="110"/>
        </w:rPr>
        <w:t> </w:t>
      </w:r>
      <w:r>
        <w:rPr>
          <w:color w:val="231F20"/>
          <w:w w:val="110"/>
        </w:rPr>
        <w:t>still</w:t>
      </w:r>
      <w:r>
        <w:rPr>
          <w:color w:val="231F20"/>
          <w:spacing w:val="-15"/>
          <w:w w:val="110"/>
        </w:rPr>
        <w:t> </w:t>
      </w:r>
      <w:r>
        <w:rPr>
          <w:color w:val="231F20"/>
          <w:w w:val="110"/>
        </w:rPr>
        <w:t>exists</w:t>
      </w:r>
      <w:r>
        <w:rPr>
          <w:color w:val="231F20"/>
          <w:spacing w:val="-14"/>
          <w:w w:val="110"/>
        </w:rPr>
        <w:t> </w:t>
      </w:r>
      <w:r>
        <w:rPr>
          <w:color w:val="231F20"/>
          <w:w w:val="110"/>
        </w:rPr>
        <w:t>in</w:t>
      </w:r>
      <w:r>
        <w:rPr>
          <w:color w:val="231F20"/>
          <w:spacing w:val="-15"/>
          <w:w w:val="110"/>
        </w:rPr>
        <w:t> </w:t>
      </w:r>
      <w:r>
        <w:rPr>
          <w:color w:val="231F20"/>
          <w:spacing w:val="-3"/>
          <w:w w:val="110"/>
        </w:rPr>
        <w:t>many </w:t>
      </w:r>
      <w:r>
        <w:rPr>
          <w:color w:val="231F20"/>
          <w:w w:val="110"/>
        </w:rPr>
        <w:t>forms. Child </w:t>
      </w:r>
      <w:r>
        <w:rPr>
          <w:color w:val="231F20"/>
          <w:spacing w:val="-5"/>
          <w:w w:val="110"/>
        </w:rPr>
        <w:t>labour, </w:t>
      </w:r>
      <w:r>
        <w:rPr>
          <w:color w:val="231F20"/>
          <w:w w:val="110"/>
        </w:rPr>
        <w:t>forced marriage, the employment of immigrant workers in poor conditions, and the trafficking of women and girls for prostitution are all manifestations</w:t>
      </w:r>
      <w:r>
        <w:rPr>
          <w:color w:val="231F20"/>
          <w:spacing w:val="-13"/>
          <w:w w:val="110"/>
        </w:rPr>
        <w:t> </w:t>
      </w:r>
      <w:r>
        <w:rPr>
          <w:color w:val="231F20"/>
          <w:w w:val="110"/>
        </w:rPr>
        <w:t>of</w:t>
      </w:r>
      <w:r>
        <w:rPr>
          <w:color w:val="231F20"/>
          <w:spacing w:val="-13"/>
          <w:w w:val="110"/>
        </w:rPr>
        <w:t> </w:t>
      </w:r>
      <w:r>
        <w:rPr>
          <w:color w:val="231F20"/>
          <w:w w:val="110"/>
        </w:rPr>
        <w:t>this.</w:t>
      </w:r>
      <w:r>
        <w:rPr>
          <w:color w:val="231F20"/>
          <w:spacing w:val="-13"/>
          <w:w w:val="110"/>
        </w:rPr>
        <w:t> </w:t>
      </w:r>
      <w:r>
        <w:rPr>
          <w:color w:val="231F20"/>
          <w:spacing w:val="-4"/>
          <w:w w:val="110"/>
        </w:rPr>
        <w:t>We</w:t>
      </w:r>
      <w:r>
        <w:rPr>
          <w:color w:val="231F20"/>
          <w:spacing w:val="-13"/>
          <w:w w:val="110"/>
        </w:rPr>
        <w:t> </w:t>
      </w:r>
      <w:r>
        <w:rPr>
          <w:color w:val="231F20"/>
          <w:w w:val="110"/>
        </w:rPr>
        <w:t>welcome</w:t>
      </w:r>
      <w:r>
        <w:rPr>
          <w:color w:val="231F20"/>
          <w:spacing w:val="-13"/>
          <w:w w:val="110"/>
        </w:rPr>
        <w:t> </w:t>
      </w:r>
      <w:r>
        <w:rPr>
          <w:color w:val="231F20"/>
          <w:w w:val="110"/>
        </w:rPr>
        <w:t>the</w:t>
      </w:r>
      <w:r>
        <w:rPr>
          <w:color w:val="231F20"/>
          <w:spacing w:val="-13"/>
          <w:w w:val="110"/>
        </w:rPr>
        <w:t> </w:t>
      </w:r>
      <w:r>
        <w:rPr>
          <w:color w:val="231F20"/>
          <w:w w:val="110"/>
        </w:rPr>
        <w:t>higher</w:t>
      </w:r>
      <w:r>
        <w:rPr>
          <w:color w:val="231F20"/>
          <w:spacing w:val="-13"/>
          <w:w w:val="110"/>
        </w:rPr>
        <w:t> </w:t>
      </w:r>
      <w:r>
        <w:rPr>
          <w:color w:val="231F20"/>
          <w:w w:val="110"/>
        </w:rPr>
        <w:t>priority</w:t>
      </w:r>
      <w:r>
        <w:rPr>
          <w:color w:val="231F20"/>
          <w:spacing w:val="-13"/>
          <w:w w:val="110"/>
        </w:rPr>
        <w:t> </w:t>
      </w:r>
      <w:r>
        <w:rPr>
          <w:color w:val="231F20"/>
          <w:w w:val="110"/>
        </w:rPr>
        <w:t>now</w:t>
      </w:r>
      <w:r>
        <w:rPr>
          <w:color w:val="231F20"/>
          <w:spacing w:val="-13"/>
          <w:w w:val="110"/>
        </w:rPr>
        <w:t> </w:t>
      </w:r>
      <w:r>
        <w:rPr>
          <w:color w:val="231F20"/>
          <w:w w:val="110"/>
        </w:rPr>
        <w:t>given</w:t>
      </w:r>
      <w:r>
        <w:rPr>
          <w:color w:val="231F20"/>
          <w:spacing w:val="-13"/>
          <w:w w:val="110"/>
        </w:rPr>
        <w:t> </w:t>
      </w:r>
      <w:r>
        <w:rPr>
          <w:color w:val="231F20"/>
          <w:w w:val="110"/>
        </w:rPr>
        <w:t>to</w:t>
      </w:r>
      <w:r>
        <w:rPr>
          <w:color w:val="231F20"/>
          <w:spacing w:val="-13"/>
          <w:w w:val="110"/>
        </w:rPr>
        <w:t> </w:t>
      </w:r>
      <w:r>
        <w:rPr>
          <w:color w:val="231F20"/>
          <w:w w:val="110"/>
        </w:rPr>
        <w:t>these</w:t>
      </w:r>
      <w:r>
        <w:rPr>
          <w:color w:val="231F20"/>
          <w:spacing w:val="-13"/>
          <w:w w:val="110"/>
        </w:rPr>
        <w:t> </w:t>
      </w:r>
      <w:r>
        <w:rPr>
          <w:color w:val="231F20"/>
          <w:w w:val="110"/>
        </w:rPr>
        <w:t>issues by</w:t>
      </w:r>
      <w:r>
        <w:rPr>
          <w:color w:val="231F20"/>
          <w:spacing w:val="-15"/>
          <w:w w:val="110"/>
        </w:rPr>
        <w:t> </w:t>
      </w:r>
      <w:r>
        <w:rPr>
          <w:color w:val="231F20"/>
          <w:spacing w:val="-5"/>
          <w:w w:val="110"/>
        </w:rPr>
        <w:t>Your</w:t>
      </w:r>
      <w:r>
        <w:rPr>
          <w:color w:val="231F20"/>
          <w:spacing w:val="-14"/>
          <w:w w:val="110"/>
        </w:rPr>
        <w:t> </w:t>
      </w:r>
      <w:r>
        <w:rPr>
          <w:color w:val="231F20"/>
          <w:w w:val="110"/>
        </w:rPr>
        <w:t>Majesty’s</w:t>
      </w:r>
      <w:r>
        <w:rPr>
          <w:color w:val="231F20"/>
          <w:spacing w:val="-15"/>
          <w:w w:val="110"/>
        </w:rPr>
        <w:t> </w:t>
      </w:r>
      <w:r>
        <w:rPr>
          <w:color w:val="231F20"/>
          <w:w w:val="110"/>
        </w:rPr>
        <w:t>government</w:t>
      </w:r>
      <w:r>
        <w:rPr>
          <w:color w:val="231F20"/>
          <w:spacing w:val="-14"/>
          <w:w w:val="110"/>
        </w:rPr>
        <w:t> </w:t>
      </w:r>
      <w:r>
        <w:rPr>
          <w:color w:val="231F20"/>
          <w:w w:val="110"/>
        </w:rPr>
        <w:t>and</w:t>
      </w:r>
      <w:r>
        <w:rPr>
          <w:color w:val="231F20"/>
          <w:spacing w:val="-15"/>
          <w:w w:val="110"/>
        </w:rPr>
        <w:t> </w:t>
      </w:r>
      <w:r>
        <w:rPr>
          <w:color w:val="231F20"/>
          <w:w w:val="110"/>
        </w:rPr>
        <w:t>suggest</w:t>
      </w:r>
      <w:r>
        <w:rPr>
          <w:color w:val="231F20"/>
          <w:spacing w:val="-14"/>
          <w:w w:val="110"/>
        </w:rPr>
        <w:t> </w:t>
      </w:r>
      <w:r>
        <w:rPr>
          <w:color w:val="231F20"/>
          <w:w w:val="110"/>
        </w:rPr>
        <w:t>that</w:t>
      </w:r>
      <w:r>
        <w:rPr>
          <w:color w:val="231F20"/>
          <w:spacing w:val="-15"/>
          <w:w w:val="110"/>
        </w:rPr>
        <w:t> </w:t>
      </w:r>
      <w:r>
        <w:rPr>
          <w:color w:val="231F20"/>
          <w:w w:val="110"/>
        </w:rPr>
        <w:t>work</w:t>
      </w:r>
      <w:r>
        <w:rPr>
          <w:color w:val="231F20"/>
          <w:spacing w:val="-14"/>
          <w:w w:val="110"/>
        </w:rPr>
        <w:t> </w:t>
      </w:r>
      <w:r>
        <w:rPr>
          <w:color w:val="231F20"/>
          <w:w w:val="110"/>
        </w:rPr>
        <w:t>done</w:t>
      </w:r>
      <w:r>
        <w:rPr>
          <w:color w:val="231F20"/>
          <w:spacing w:val="-15"/>
          <w:w w:val="110"/>
        </w:rPr>
        <w:t> </w:t>
      </w:r>
      <w:r>
        <w:rPr>
          <w:color w:val="231F20"/>
          <w:w w:val="110"/>
        </w:rPr>
        <w:t>in</w:t>
      </w:r>
      <w:r>
        <w:rPr>
          <w:color w:val="231F20"/>
          <w:spacing w:val="-14"/>
          <w:w w:val="110"/>
        </w:rPr>
        <w:t> </w:t>
      </w:r>
      <w:r>
        <w:rPr>
          <w:color w:val="231F20"/>
          <w:w w:val="110"/>
        </w:rPr>
        <w:t>Italy</w:t>
      </w:r>
      <w:r>
        <w:rPr>
          <w:color w:val="231F20"/>
          <w:spacing w:val="-15"/>
          <w:w w:val="110"/>
        </w:rPr>
        <w:t> </w:t>
      </w:r>
      <w:r>
        <w:rPr>
          <w:color w:val="231F20"/>
          <w:w w:val="110"/>
        </w:rPr>
        <w:t>and</w:t>
      </w:r>
      <w:r>
        <w:rPr>
          <w:color w:val="231F20"/>
          <w:spacing w:val="-14"/>
          <w:w w:val="110"/>
        </w:rPr>
        <w:t> </w:t>
      </w:r>
      <w:r>
        <w:rPr>
          <w:color w:val="231F20"/>
          <w:w w:val="110"/>
        </w:rPr>
        <w:t>Sweden</w:t>
      </w:r>
      <w:r>
        <w:rPr>
          <w:color w:val="231F20"/>
          <w:spacing w:val="-15"/>
          <w:w w:val="110"/>
        </w:rPr>
        <w:t> </w:t>
      </w:r>
      <w:r>
        <w:rPr>
          <w:color w:val="231F20"/>
          <w:w w:val="110"/>
        </w:rPr>
        <w:t>in</w:t>
      </w:r>
    </w:p>
    <w:p>
      <w:pPr>
        <w:pStyle w:val="BodyText"/>
        <w:spacing w:before="6"/>
        <w:ind w:left="995"/>
      </w:pPr>
      <w:r>
        <w:rPr>
          <w:color w:val="231F20"/>
          <w:w w:val="110"/>
        </w:rPr>
        <w:t>addressing demand for trafficked prostitutes, might be used to inform good practice.</w:t>
      </w:r>
    </w:p>
    <w:p>
      <w:pPr>
        <w:pStyle w:val="BodyText"/>
        <w:spacing w:before="1"/>
        <w:rPr>
          <w:sz w:val="23"/>
        </w:rPr>
      </w:pPr>
    </w:p>
    <w:p>
      <w:pPr>
        <w:pStyle w:val="BodyText"/>
        <w:spacing w:line="273" w:lineRule="auto"/>
        <w:ind w:left="995" w:right="2332"/>
      </w:pPr>
      <w:r>
        <w:rPr>
          <w:color w:val="231F20"/>
          <w:spacing w:val="-3"/>
          <w:w w:val="110"/>
        </w:rPr>
        <w:t>We </w:t>
      </w:r>
      <w:r>
        <w:rPr>
          <w:color w:val="231F20"/>
          <w:w w:val="110"/>
        </w:rPr>
        <w:t>are also conscious of the grave humanitarian consequences of the policies   of</w:t>
      </w:r>
      <w:r>
        <w:rPr>
          <w:color w:val="231F20"/>
          <w:spacing w:val="12"/>
          <w:w w:val="110"/>
        </w:rPr>
        <w:t> </w:t>
      </w:r>
      <w:r>
        <w:rPr>
          <w:color w:val="231F20"/>
          <w:spacing w:val="-3"/>
          <w:w w:val="110"/>
        </w:rPr>
        <w:t>Your</w:t>
      </w:r>
      <w:r>
        <w:rPr>
          <w:color w:val="231F20"/>
          <w:spacing w:val="12"/>
          <w:w w:val="110"/>
        </w:rPr>
        <w:t> </w:t>
      </w:r>
      <w:r>
        <w:rPr>
          <w:color w:val="231F20"/>
          <w:w w:val="110"/>
        </w:rPr>
        <w:t>Majesty’s</w:t>
      </w:r>
      <w:r>
        <w:rPr>
          <w:color w:val="231F20"/>
          <w:spacing w:val="12"/>
          <w:w w:val="110"/>
        </w:rPr>
        <w:t> </w:t>
      </w:r>
      <w:r>
        <w:rPr>
          <w:color w:val="231F20"/>
          <w:w w:val="110"/>
        </w:rPr>
        <w:t>Government</w:t>
      </w:r>
      <w:r>
        <w:rPr>
          <w:color w:val="231F20"/>
          <w:spacing w:val="12"/>
          <w:w w:val="110"/>
        </w:rPr>
        <w:t> </w:t>
      </w:r>
      <w:r>
        <w:rPr>
          <w:color w:val="231F20"/>
          <w:w w:val="110"/>
        </w:rPr>
        <w:t>in</w:t>
      </w:r>
      <w:r>
        <w:rPr>
          <w:color w:val="231F20"/>
          <w:spacing w:val="12"/>
          <w:w w:val="110"/>
        </w:rPr>
        <w:t> </w:t>
      </w:r>
      <w:r>
        <w:rPr>
          <w:color w:val="231F20"/>
          <w:spacing w:val="3"/>
          <w:w w:val="110"/>
        </w:rPr>
        <w:t>respect</w:t>
      </w:r>
      <w:r>
        <w:rPr>
          <w:color w:val="231F20"/>
          <w:spacing w:val="12"/>
          <w:w w:val="110"/>
        </w:rPr>
        <w:t> </w:t>
      </w:r>
      <w:r>
        <w:rPr>
          <w:color w:val="231F20"/>
          <w:w w:val="110"/>
        </w:rPr>
        <w:t>of</w:t>
      </w:r>
      <w:r>
        <w:rPr>
          <w:color w:val="231F20"/>
          <w:spacing w:val="12"/>
          <w:w w:val="110"/>
        </w:rPr>
        <w:t> </w:t>
      </w:r>
      <w:r>
        <w:rPr>
          <w:color w:val="231F20"/>
          <w:w w:val="110"/>
        </w:rPr>
        <w:t>those</w:t>
      </w:r>
      <w:r>
        <w:rPr>
          <w:color w:val="231F20"/>
          <w:spacing w:val="12"/>
          <w:w w:val="110"/>
        </w:rPr>
        <w:t> </w:t>
      </w:r>
      <w:r>
        <w:rPr>
          <w:color w:val="231F20"/>
          <w:w w:val="110"/>
        </w:rPr>
        <w:t>people</w:t>
      </w:r>
      <w:r>
        <w:rPr>
          <w:color w:val="231F20"/>
          <w:spacing w:val="13"/>
          <w:w w:val="110"/>
        </w:rPr>
        <w:t> </w:t>
      </w:r>
      <w:r>
        <w:rPr>
          <w:color w:val="231F20"/>
          <w:w w:val="110"/>
        </w:rPr>
        <w:t>whose</w:t>
      </w:r>
      <w:r>
        <w:rPr>
          <w:color w:val="231F20"/>
          <w:spacing w:val="12"/>
          <w:w w:val="110"/>
        </w:rPr>
        <w:t> </w:t>
      </w:r>
      <w:r>
        <w:rPr>
          <w:color w:val="231F20"/>
          <w:w w:val="110"/>
        </w:rPr>
        <w:t>applications</w:t>
      </w:r>
      <w:r>
        <w:rPr>
          <w:color w:val="231F20"/>
          <w:spacing w:val="12"/>
          <w:w w:val="110"/>
        </w:rPr>
        <w:t> </w:t>
      </w:r>
      <w:r>
        <w:rPr>
          <w:color w:val="231F20"/>
          <w:w w:val="110"/>
        </w:rPr>
        <w:t>for</w:t>
      </w:r>
    </w:p>
    <w:p>
      <w:pPr>
        <w:pStyle w:val="BodyText"/>
        <w:tabs>
          <w:tab w:pos="6811" w:val="left" w:leader="none"/>
        </w:tabs>
        <w:spacing w:line="273" w:lineRule="auto" w:before="1"/>
        <w:ind w:left="995" w:right="2124"/>
      </w:pPr>
      <w:r>
        <w:rPr>
          <w:color w:val="231F20"/>
          <w:w w:val="110"/>
        </w:rPr>
        <w:t>asylum in the United Kingdom have been</w:t>
      </w:r>
      <w:r>
        <w:rPr>
          <w:color w:val="231F20"/>
          <w:spacing w:val="60"/>
          <w:w w:val="110"/>
        </w:rPr>
        <w:t> </w:t>
      </w:r>
      <w:r>
        <w:rPr>
          <w:color w:val="231F20"/>
          <w:w w:val="110"/>
        </w:rPr>
        <w:t>turned</w:t>
      </w:r>
      <w:r>
        <w:rPr>
          <w:color w:val="231F20"/>
          <w:spacing w:val="8"/>
          <w:w w:val="110"/>
        </w:rPr>
        <w:t> </w:t>
      </w:r>
      <w:r>
        <w:rPr>
          <w:color w:val="231F20"/>
          <w:w w:val="110"/>
        </w:rPr>
        <w:t>down.</w:t>
        <w:tab/>
        <w:t>Unable to return to their </w:t>
      </w:r>
      <w:r>
        <w:rPr>
          <w:color w:val="231F20"/>
          <w:spacing w:val="2"/>
          <w:w w:val="110"/>
        </w:rPr>
        <w:t>country </w:t>
      </w:r>
      <w:r>
        <w:rPr>
          <w:color w:val="231F20"/>
          <w:w w:val="110"/>
        </w:rPr>
        <w:t>of origin through a well-founded fear of persecution, large numbers of  men and women are </w:t>
      </w:r>
      <w:r>
        <w:rPr>
          <w:color w:val="231F20"/>
          <w:spacing w:val="2"/>
          <w:w w:val="110"/>
        </w:rPr>
        <w:t>forced </w:t>
      </w:r>
      <w:r>
        <w:rPr>
          <w:color w:val="231F20"/>
          <w:w w:val="110"/>
        </w:rPr>
        <w:t>into destitution. Our Christian faith teaches us the fundamental </w:t>
      </w:r>
      <w:r>
        <w:rPr>
          <w:color w:val="231F20"/>
          <w:spacing w:val="2"/>
          <w:w w:val="110"/>
        </w:rPr>
        <w:t>importance </w:t>
      </w:r>
      <w:r>
        <w:rPr>
          <w:color w:val="231F20"/>
          <w:w w:val="110"/>
        </w:rPr>
        <w:t>of treating all God’s people with </w:t>
      </w:r>
      <w:r>
        <w:rPr>
          <w:color w:val="231F20"/>
          <w:spacing w:val="3"/>
          <w:w w:val="110"/>
        </w:rPr>
        <w:t>respect </w:t>
      </w:r>
      <w:r>
        <w:rPr>
          <w:color w:val="231F20"/>
          <w:w w:val="110"/>
        </w:rPr>
        <w:t>and dignity. Our General Assembly has declared us to be a Multicultural Church, recognising the </w:t>
      </w:r>
      <w:r>
        <w:rPr>
          <w:color w:val="231F20"/>
          <w:spacing w:val="2"/>
          <w:w w:val="110"/>
        </w:rPr>
        <w:t>importance </w:t>
      </w:r>
      <w:r>
        <w:rPr>
          <w:color w:val="231F20"/>
          <w:w w:val="110"/>
        </w:rPr>
        <w:t>of the contribution we are making in the areas of Inter Faith Relations and Multicultural</w:t>
      </w:r>
      <w:r>
        <w:rPr>
          <w:color w:val="231F20"/>
          <w:spacing w:val="2"/>
          <w:w w:val="110"/>
        </w:rPr>
        <w:t> </w:t>
      </w:r>
      <w:r>
        <w:rPr>
          <w:color w:val="231F20"/>
          <w:w w:val="110"/>
        </w:rPr>
        <w:t>Ministry.</w:t>
      </w:r>
    </w:p>
    <w:p>
      <w:pPr>
        <w:pStyle w:val="BodyText"/>
        <w:spacing w:before="11"/>
        <w:rPr>
          <w:sz w:val="20"/>
        </w:rPr>
      </w:pPr>
    </w:p>
    <w:p>
      <w:pPr>
        <w:pStyle w:val="BodyText"/>
        <w:spacing w:line="273" w:lineRule="auto" w:before="1"/>
        <w:ind w:left="995" w:right="2348"/>
      </w:pPr>
      <w:r>
        <w:rPr>
          <w:color w:val="231F20"/>
          <w:w w:val="110"/>
        </w:rPr>
        <w:t>During the past year, together with the Baptist Union of Great Britain and the Methodist Church, we have expressed our opposition to renewal of the Trident nuclear weapons programme. We live in an uncertain world, but we believe Britain’s chances of reversing the proliferation of nuclear weapons will not be helped by Your Majesty’s government further developing nuclear capabilities. There are other, more effective, ways of improving security, and many other demands on the billions of pounds that the new deterrent will cost.</w:t>
      </w:r>
    </w:p>
    <w:p>
      <w:pPr>
        <w:pStyle w:val="BodyText"/>
        <w:spacing w:before="11"/>
        <w:rPr>
          <w:sz w:val="20"/>
        </w:rPr>
      </w:pPr>
    </w:p>
    <w:p>
      <w:pPr>
        <w:pStyle w:val="BodyText"/>
        <w:spacing w:line="273" w:lineRule="auto"/>
        <w:ind w:left="995" w:right="2061"/>
      </w:pPr>
      <w:r>
        <w:rPr>
          <w:color w:val="231F20"/>
          <w:w w:val="110"/>
        </w:rPr>
        <w:t>We remain concerned about the conflict in Iraq and, increasingly, by the suffering endured by the people of that country and the danger to which British military personnel are exposed. We contrast the involvement of Your Majesty’s government and the American administration in Iraq, with the less energetic attention given to conflicts elsewhere, for instance in Israel/Palestine, Darfur and Zimbabwe, where Britain might use its influence more constructively. We pray for reconciliation, and for a just and lasting peace, in these theatres of conflict.</w:t>
      </w:r>
    </w:p>
    <w:p>
      <w:pPr>
        <w:pStyle w:val="BodyText"/>
        <w:spacing w:before="11"/>
        <w:rPr>
          <w:sz w:val="20"/>
        </w:rPr>
      </w:pPr>
    </w:p>
    <w:p>
      <w:pPr>
        <w:spacing w:line="273" w:lineRule="auto" w:before="0"/>
        <w:ind w:left="995" w:right="2151" w:firstLine="0"/>
        <w:jc w:val="left"/>
        <w:rPr>
          <w:sz w:val="18"/>
        </w:rPr>
      </w:pPr>
      <w:r>
        <w:rPr>
          <w:color w:val="231F20"/>
          <w:spacing w:val="-4"/>
          <w:w w:val="110"/>
          <w:sz w:val="18"/>
        </w:rPr>
        <w:t>We </w:t>
      </w:r>
      <w:r>
        <w:rPr>
          <w:color w:val="231F20"/>
          <w:w w:val="110"/>
          <w:sz w:val="18"/>
        </w:rPr>
        <w:t>applaud the decision of </w:t>
      </w:r>
      <w:r>
        <w:rPr>
          <w:color w:val="231F20"/>
          <w:spacing w:val="-5"/>
          <w:w w:val="110"/>
          <w:sz w:val="18"/>
        </w:rPr>
        <w:t>Your </w:t>
      </w:r>
      <w:r>
        <w:rPr>
          <w:color w:val="231F20"/>
          <w:w w:val="110"/>
          <w:sz w:val="18"/>
        </w:rPr>
        <w:t>Majesty’s government to take a lead in addressing climate change. </w:t>
      </w:r>
      <w:r>
        <w:rPr>
          <w:color w:val="231F20"/>
          <w:spacing w:val="-3"/>
          <w:w w:val="110"/>
          <w:sz w:val="18"/>
        </w:rPr>
        <w:t>We </w:t>
      </w:r>
      <w:r>
        <w:rPr>
          <w:color w:val="231F20"/>
          <w:w w:val="110"/>
          <w:sz w:val="18"/>
        </w:rPr>
        <w:t>entirely support the statement in the </w:t>
      </w:r>
      <w:r>
        <w:rPr>
          <w:color w:val="231F20"/>
          <w:spacing w:val="2"/>
          <w:w w:val="110"/>
          <w:sz w:val="18"/>
        </w:rPr>
        <w:t>draft </w:t>
      </w:r>
      <w:r>
        <w:rPr>
          <w:color w:val="231F20"/>
          <w:w w:val="110"/>
          <w:sz w:val="18"/>
        </w:rPr>
        <w:t>Climate Change Bill, when it says: </w:t>
      </w:r>
      <w:r>
        <w:rPr>
          <w:i/>
          <w:color w:val="231F20"/>
          <w:w w:val="110"/>
          <w:sz w:val="18"/>
        </w:rPr>
        <w:t>The UK </w:t>
      </w:r>
      <w:r>
        <w:rPr>
          <w:i/>
          <w:color w:val="231F20"/>
          <w:spacing w:val="-5"/>
          <w:w w:val="110"/>
          <w:sz w:val="18"/>
        </w:rPr>
        <w:t>... </w:t>
      </w:r>
      <w:r>
        <w:rPr>
          <w:i/>
          <w:color w:val="231F20"/>
          <w:w w:val="110"/>
          <w:sz w:val="18"/>
        </w:rPr>
        <w:t>is clearly unable to address the global problem of </w:t>
      </w:r>
      <w:r>
        <w:rPr>
          <w:i/>
          <w:color w:val="231F20"/>
          <w:w w:val="110"/>
          <w:sz w:val="18"/>
        </w:rPr>
        <w:t>climate change alone. </w:t>
      </w:r>
      <w:r>
        <w:rPr>
          <w:i/>
          <w:color w:val="231F20"/>
          <w:spacing w:val="-3"/>
          <w:w w:val="110"/>
          <w:sz w:val="18"/>
        </w:rPr>
        <w:t>However, </w:t>
      </w:r>
      <w:r>
        <w:rPr>
          <w:i/>
          <w:color w:val="231F20"/>
          <w:w w:val="110"/>
          <w:sz w:val="18"/>
        </w:rPr>
        <w:t>this should not be used as an excuse for not taking further action. </w:t>
      </w:r>
      <w:r>
        <w:rPr>
          <w:color w:val="231F20"/>
          <w:spacing w:val="-3"/>
          <w:w w:val="110"/>
          <w:sz w:val="18"/>
        </w:rPr>
        <w:t>We </w:t>
      </w:r>
      <w:r>
        <w:rPr>
          <w:color w:val="231F20"/>
          <w:w w:val="110"/>
          <w:sz w:val="18"/>
        </w:rPr>
        <w:t>wish to play our </w:t>
      </w:r>
      <w:r>
        <w:rPr>
          <w:color w:val="231F20"/>
          <w:spacing w:val="2"/>
          <w:w w:val="110"/>
          <w:sz w:val="18"/>
        </w:rPr>
        <w:t>part </w:t>
      </w:r>
      <w:r>
        <w:rPr>
          <w:color w:val="231F20"/>
          <w:w w:val="110"/>
          <w:sz w:val="18"/>
        </w:rPr>
        <w:t>in being good stewards of God’s creation and will be developing plans to monitor </w:t>
      </w:r>
      <w:r>
        <w:rPr>
          <w:color w:val="231F20"/>
          <w:spacing w:val="2"/>
          <w:w w:val="110"/>
          <w:sz w:val="18"/>
        </w:rPr>
        <w:t>carbon </w:t>
      </w:r>
      <w:r>
        <w:rPr>
          <w:color w:val="231F20"/>
          <w:w w:val="110"/>
          <w:sz w:val="18"/>
        </w:rPr>
        <w:t>emissions </w:t>
      </w:r>
      <w:r>
        <w:rPr>
          <w:color w:val="231F20"/>
          <w:spacing w:val="2"/>
          <w:w w:val="110"/>
          <w:sz w:val="18"/>
        </w:rPr>
        <w:t>across </w:t>
      </w:r>
      <w:r>
        <w:rPr>
          <w:color w:val="231F20"/>
          <w:w w:val="110"/>
          <w:sz w:val="18"/>
        </w:rPr>
        <w:t>the Church, and to implement cuts, year on</w:t>
      </w:r>
      <w:r>
        <w:rPr>
          <w:color w:val="231F20"/>
          <w:spacing w:val="11"/>
          <w:w w:val="110"/>
          <w:sz w:val="18"/>
        </w:rPr>
        <w:t> </w:t>
      </w:r>
      <w:r>
        <w:rPr>
          <w:color w:val="231F20"/>
          <w:spacing w:val="-4"/>
          <w:w w:val="110"/>
          <w:sz w:val="18"/>
        </w:rPr>
        <w:t>year.</w:t>
      </w:r>
    </w:p>
    <w:p>
      <w:pPr>
        <w:pStyle w:val="BodyText"/>
        <w:spacing w:line="273" w:lineRule="auto" w:before="169"/>
        <w:ind w:left="1013" w:right="1143"/>
      </w:pPr>
      <w:r>
        <w:rPr>
          <w:color w:val="231F20"/>
          <w:w w:val="110"/>
        </w:rPr>
        <w:t>We are sure it saddens Your Majesty, as it saddens us, that in this, the 55</w:t>
      </w:r>
      <w:r>
        <w:rPr>
          <w:color w:val="231F20"/>
          <w:w w:val="110"/>
          <w:position w:val="6"/>
          <w:sz w:val="10"/>
        </w:rPr>
        <w:t>th </w:t>
      </w:r>
      <w:r>
        <w:rPr>
          <w:color w:val="231F20"/>
          <w:w w:val="110"/>
        </w:rPr>
        <w:t>year of Your Majesty’s reign, the gap between the richest and the poorest in the land is as wide as it was in 1953. The facts are harsh: our country has one of the worst rates of child poverty in the industrialised world, a child from a poor family is more likely to die in infancy than a child of a rich family, and around ten million people (two million of them pensioners) live in poverty. This situation exists in Britain, not the developing World. In 2008, the United Reformed Church will embark upon a campaign, led by Church Action on Poverty, with the ambitious target of creating a just and fair society, free from poverty in all its forms. We believe it is entirely what Christ himself would ask of us, his followers.</w:t>
      </w:r>
    </w:p>
    <w:p>
      <w:pPr>
        <w:pStyle w:val="BodyText"/>
        <w:rPr>
          <w:sz w:val="21"/>
        </w:rPr>
      </w:pPr>
    </w:p>
    <w:p>
      <w:pPr>
        <w:pStyle w:val="BodyText"/>
        <w:ind w:left="1013"/>
      </w:pPr>
      <w:r>
        <w:rPr>
          <w:color w:val="231F20"/>
          <w:spacing w:val="-3"/>
          <w:w w:val="110"/>
        </w:rPr>
        <w:t>We </w:t>
      </w:r>
      <w:r>
        <w:rPr>
          <w:color w:val="231F20"/>
          <w:w w:val="110"/>
        </w:rPr>
        <w:t>have the assurance that our Christian faith will sustain us in answering our</w:t>
      </w:r>
      <w:r>
        <w:rPr>
          <w:color w:val="231F20"/>
          <w:spacing w:val="57"/>
          <w:w w:val="110"/>
        </w:rPr>
        <w:t> </w:t>
      </w:r>
      <w:r>
        <w:rPr>
          <w:color w:val="231F20"/>
          <w:w w:val="110"/>
        </w:rPr>
        <w:t>calling.</w:t>
      </w:r>
    </w:p>
    <w:p>
      <w:pPr>
        <w:pStyle w:val="BodyText"/>
        <w:spacing w:line="273" w:lineRule="auto" w:before="31"/>
        <w:ind w:left="1013" w:right="1143"/>
      </w:pPr>
      <w:r>
        <w:rPr>
          <w:color w:val="231F20"/>
          <w:spacing w:val="-3"/>
          <w:w w:val="110"/>
        </w:rPr>
        <w:t>We </w:t>
      </w:r>
      <w:r>
        <w:rPr>
          <w:color w:val="231F20"/>
          <w:w w:val="110"/>
        </w:rPr>
        <w:t>pray that </w:t>
      </w:r>
      <w:r>
        <w:rPr>
          <w:color w:val="231F20"/>
          <w:spacing w:val="-3"/>
          <w:w w:val="110"/>
        </w:rPr>
        <w:t>Your </w:t>
      </w:r>
      <w:r>
        <w:rPr>
          <w:color w:val="231F20"/>
          <w:w w:val="110"/>
        </w:rPr>
        <w:t>Majesty’s own faith will continue to be both strengthening and sustaining in the year to</w:t>
      </w:r>
      <w:r>
        <w:rPr>
          <w:color w:val="231F20"/>
          <w:spacing w:val="3"/>
          <w:w w:val="110"/>
        </w:rPr>
        <w:t> </w:t>
      </w:r>
      <w:r>
        <w:rPr>
          <w:color w:val="231F20"/>
          <w:w w:val="110"/>
        </w:rPr>
        <w:t>come.</w:t>
      </w:r>
    </w:p>
    <w:p>
      <w:pPr>
        <w:spacing w:after="0" w:line="273" w:lineRule="auto"/>
        <w:sectPr>
          <w:headerReference w:type="default" r:id="rId165"/>
          <w:pgSz w:w="11910" w:h="16840"/>
          <w:pgMar w:header="0" w:footer="564" w:top="900" w:bottom="760" w:left="460" w:right="0"/>
        </w:sectPr>
      </w:pPr>
    </w:p>
    <w:p>
      <w:pPr>
        <w:pStyle w:val="BodyText"/>
        <w:spacing w:before="5"/>
        <w:rPr>
          <w:sz w:val="16"/>
        </w:rPr>
      </w:pPr>
    </w:p>
    <w:p>
      <w:pPr>
        <w:spacing w:after="0"/>
        <w:rPr>
          <w:sz w:val="16"/>
        </w:rPr>
        <w:sectPr>
          <w:headerReference w:type="even" r:id="rId166"/>
          <w:footerReference w:type="even" r:id="rId167"/>
          <w:footerReference w:type="default" r:id="rId168"/>
          <w:pgSz w:w="11910" w:h="16840"/>
          <w:pgMar w:header="0" w:footer="484" w:top="1580" w:bottom="680" w:left="460" w:right="0"/>
          <w:pgNumType w:start="122"/>
        </w:sectPr>
      </w:pPr>
    </w:p>
    <w:p>
      <w:pPr>
        <w:spacing w:before="78"/>
        <w:ind w:left="1070" w:right="0" w:firstLine="0"/>
        <w:jc w:val="left"/>
        <w:rPr>
          <w:b/>
          <w:sz w:val="20"/>
        </w:rPr>
      </w:pPr>
      <w:r>
        <w:rPr/>
        <w:pict>
          <v:shape style="position:absolute;margin-left:523.527466pt;margin-top:36.836716pt;width:50.65pt;height:398.9pt;mso-position-horizontal-relative:page;mso-position-vertical-relative:page;z-index:251806720" type="#_x0000_t202" filled="false" stroked="false">
            <v:textbox inset="0,0,0,0" style="layout-flow:vertical">
              <w:txbxContent>
                <w:p>
                  <w:pPr>
                    <w:spacing w:before="20"/>
                    <w:ind w:left="20" w:right="0" w:firstLine="0"/>
                    <w:jc w:val="left"/>
                    <w:rPr>
                      <w:b/>
                      <w:sz w:val="80"/>
                    </w:rPr>
                  </w:pPr>
                  <w:r>
                    <w:rPr>
                      <w:b/>
                      <w:color w:val="231F20"/>
                      <w:spacing w:val="-9"/>
                      <w:sz w:val="80"/>
                    </w:rPr>
                    <w:t>Racial </w:t>
                  </w:r>
                  <w:r>
                    <w:rPr>
                      <w:b/>
                      <w:color w:val="231F20"/>
                      <w:spacing w:val="-6"/>
                      <w:sz w:val="80"/>
                    </w:rPr>
                    <w:t>Justice </w:t>
                  </w:r>
                  <w:r>
                    <w:rPr>
                      <w:b/>
                      <w:color w:val="231F20"/>
                      <w:spacing w:val="-10"/>
                      <w:sz w:val="80"/>
                    </w:rPr>
                    <w:t>and</w:t>
                  </w:r>
                </w:p>
              </w:txbxContent>
            </v:textbox>
            <w10:wrap type="none"/>
          </v:shape>
        </w:pict>
      </w:r>
      <w:r>
        <w:rPr>
          <w:b/>
          <w:color w:val="231F20"/>
          <w:w w:val="110"/>
          <w:sz w:val="20"/>
        </w:rPr>
        <w:t>Catching the Multicultural Vision</w:t>
      </w:r>
    </w:p>
    <w:p>
      <w:pPr>
        <w:pStyle w:val="ListParagraph"/>
        <w:numPr>
          <w:ilvl w:val="1"/>
          <w:numId w:val="70"/>
        </w:numPr>
        <w:tabs>
          <w:tab w:pos="1790" w:val="left" w:leader="none"/>
          <w:tab w:pos="1791" w:val="left" w:leader="none"/>
        </w:tabs>
        <w:spacing w:line="273" w:lineRule="auto" w:before="27" w:after="0"/>
        <w:ind w:left="1070" w:right="2648" w:firstLine="0"/>
        <w:jc w:val="left"/>
        <w:rPr>
          <w:i/>
          <w:sz w:val="18"/>
        </w:rPr>
      </w:pPr>
      <w:r>
        <w:rPr>
          <w:color w:val="231F20"/>
          <w:w w:val="110"/>
          <w:sz w:val="18"/>
        </w:rPr>
        <w:t>The multicultural vision, if anything, is precisely about </w:t>
      </w:r>
      <w:r>
        <w:rPr>
          <w:i/>
          <w:color w:val="231F20"/>
          <w:w w:val="110"/>
          <w:sz w:val="18"/>
        </w:rPr>
        <w:t>…being Christ’s </w:t>
      </w:r>
      <w:r>
        <w:rPr>
          <w:i/>
          <w:color w:val="231F20"/>
          <w:w w:val="110"/>
          <w:sz w:val="18"/>
        </w:rPr>
        <w:t>people…transformed </w:t>
      </w:r>
      <w:r>
        <w:rPr>
          <w:i/>
          <w:color w:val="231F20"/>
          <w:spacing w:val="-3"/>
          <w:w w:val="110"/>
          <w:sz w:val="18"/>
        </w:rPr>
        <w:t>by </w:t>
      </w:r>
      <w:r>
        <w:rPr>
          <w:i/>
          <w:color w:val="231F20"/>
          <w:w w:val="110"/>
          <w:sz w:val="18"/>
        </w:rPr>
        <w:t>the Gospel…making a difference in the</w:t>
      </w:r>
      <w:r>
        <w:rPr>
          <w:i/>
          <w:color w:val="231F20"/>
          <w:spacing w:val="-4"/>
          <w:w w:val="110"/>
          <w:sz w:val="18"/>
        </w:rPr>
        <w:t> world...</w:t>
      </w:r>
    </w:p>
    <w:p>
      <w:pPr>
        <w:pStyle w:val="BodyText"/>
        <w:spacing w:line="273" w:lineRule="auto" w:before="1"/>
        <w:ind w:left="1070" w:right="2721"/>
      </w:pPr>
      <w:r>
        <w:rPr/>
        <w:pict>
          <v:shape style="position:absolute;margin-left:477.527466pt;margin-top:15.985022pt;width:50.65pt;height:473.15pt;mso-position-horizontal-relative:page;mso-position-vertical-relative:paragraph;z-index:251808768" type="#_x0000_t202" filled="false" stroked="false">
            <v:textbox inset="0,0,0,0" style="layout-flow:vertical">
              <w:txbxContent>
                <w:p>
                  <w:pPr>
                    <w:spacing w:before="20"/>
                    <w:ind w:left="20" w:right="0" w:firstLine="0"/>
                    <w:jc w:val="left"/>
                    <w:rPr>
                      <w:b/>
                      <w:sz w:val="80"/>
                    </w:rPr>
                  </w:pPr>
                  <w:r>
                    <w:rPr>
                      <w:b/>
                      <w:color w:val="231F20"/>
                      <w:spacing w:val="-11"/>
                      <w:sz w:val="80"/>
                    </w:rPr>
                    <w:t>Multicultural </w:t>
                  </w:r>
                  <w:r>
                    <w:rPr>
                      <w:b/>
                      <w:color w:val="231F20"/>
                      <w:spacing w:val="-6"/>
                      <w:sz w:val="80"/>
                    </w:rPr>
                    <w:t>Ministry</w:t>
                  </w:r>
                </w:p>
              </w:txbxContent>
            </v:textbox>
            <w10:wrap type="none"/>
          </v:shape>
        </w:pict>
      </w:r>
      <w:r>
        <w:rPr>
          <w:color w:val="231F20"/>
          <w:w w:val="110"/>
        </w:rPr>
        <w:t>And we seek to </w:t>
      </w:r>
      <w:r>
        <w:rPr>
          <w:i/>
          <w:color w:val="231F20"/>
          <w:w w:val="110"/>
        </w:rPr>
        <w:t>infect </w:t>
      </w:r>
      <w:r>
        <w:rPr>
          <w:color w:val="231F20"/>
          <w:w w:val="110"/>
        </w:rPr>
        <w:t>the United Reformed Church with that vision. In 2005 General Assembly declared multicultural ministry as a priority, affirming the development of different models of multicultural churches as an essential </w:t>
      </w:r>
      <w:r>
        <w:rPr>
          <w:color w:val="231F20"/>
          <w:spacing w:val="2"/>
          <w:w w:val="110"/>
        </w:rPr>
        <w:t>part </w:t>
      </w:r>
      <w:r>
        <w:rPr>
          <w:color w:val="231F20"/>
          <w:w w:val="110"/>
        </w:rPr>
        <w:t>of the way we are church. A 2007 </w:t>
      </w:r>
      <w:r>
        <w:rPr>
          <w:i/>
          <w:color w:val="231F20"/>
          <w:w w:val="110"/>
        </w:rPr>
        <w:t>Tearfund </w:t>
      </w:r>
      <w:r>
        <w:rPr>
          <w:color w:val="231F20"/>
          <w:w w:val="110"/>
        </w:rPr>
        <w:t>survey of churchgoing in  the UK has confirmed what we already know </w:t>
      </w:r>
      <w:r>
        <w:rPr>
          <w:color w:val="231F20"/>
          <w:spacing w:val="-4"/>
          <w:w w:val="110"/>
        </w:rPr>
        <w:t>(and </w:t>
      </w:r>
      <w:r>
        <w:rPr>
          <w:color w:val="231F20"/>
          <w:w w:val="110"/>
        </w:rPr>
        <w:t>have known for </w:t>
      </w:r>
      <w:r>
        <w:rPr>
          <w:color w:val="231F20"/>
          <w:spacing w:val="-3"/>
          <w:w w:val="110"/>
        </w:rPr>
        <w:t>years), </w:t>
      </w:r>
      <w:r>
        <w:rPr>
          <w:color w:val="231F20"/>
          <w:w w:val="110"/>
        </w:rPr>
        <w:t>that </w:t>
      </w:r>
      <w:r>
        <w:rPr>
          <w:color w:val="231F20"/>
          <w:spacing w:val="2"/>
          <w:w w:val="110"/>
        </w:rPr>
        <w:t>contemporary </w:t>
      </w:r>
      <w:r>
        <w:rPr>
          <w:color w:val="231F20"/>
          <w:w w:val="110"/>
        </w:rPr>
        <w:t>British Christianity has a multicultural face with 48% black and minority ethnic (BME) adults in regular church attendance compared to </w:t>
      </w:r>
      <w:r>
        <w:rPr>
          <w:color w:val="231F20"/>
          <w:spacing w:val="-3"/>
          <w:w w:val="110"/>
        </w:rPr>
        <w:t>15% </w:t>
      </w:r>
      <w:r>
        <w:rPr>
          <w:color w:val="231F20"/>
          <w:w w:val="110"/>
        </w:rPr>
        <w:t>of white adults. </w:t>
      </w:r>
      <w:r>
        <w:rPr>
          <w:color w:val="231F20"/>
          <w:spacing w:val="-3"/>
          <w:w w:val="110"/>
        </w:rPr>
        <w:t>However, </w:t>
      </w:r>
      <w:r>
        <w:rPr>
          <w:color w:val="231F20"/>
          <w:w w:val="110"/>
        </w:rPr>
        <w:t>many amongst us still dismiss the relevance of the multicultural vision on the basis that </w:t>
      </w:r>
      <w:r>
        <w:rPr>
          <w:i/>
          <w:color w:val="231F20"/>
          <w:w w:val="110"/>
        </w:rPr>
        <w:t>‘they’ </w:t>
      </w:r>
      <w:r>
        <w:rPr>
          <w:color w:val="231F20"/>
          <w:w w:val="110"/>
        </w:rPr>
        <w:t>are not in  </w:t>
      </w:r>
      <w:r>
        <w:rPr>
          <w:i/>
          <w:color w:val="231F20"/>
          <w:w w:val="110"/>
        </w:rPr>
        <w:t>our </w:t>
      </w:r>
      <w:r>
        <w:rPr>
          <w:color w:val="231F20"/>
          <w:w w:val="110"/>
        </w:rPr>
        <w:t>neighbourhoods! </w:t>
      </w:r>
      <w:r>
        <w:rPr>
          <w:color w:val="231F20"/>
          <w:spacing w:val="2"/>
          <w:w w:val="110"/>
        </w:rPr>
        <w:t>Others </w:t>
      </w:r>
      <w:r>
        <w:rPr>
          <w:color w:val="231F20"/>
          <w:w w:val="110"/>
        </w:rPr>
        <w:t>confine the multicultural vision to the area of social</w:t>
      </w:r>
      <w:r>
        <w:rPr>
          <w:color w:val="231F20"/>
          <w:spacing w:val="1"/>
          <w:w w:val="110"/>
        </w:rPr>
        <w:t> </w:t>
      </w:r>
      <w:r>
        <w:rPr>
          <w:color w:val="231F20"/>
          <w:w w:val="110"/>
        </w:rPr>
        <w:t>responsibility.</w:t>
      </w:r>
    </w:p>
    <w:p>
      <w:pPr>
        <w:pStyle w:val="BodyText"/>
        <w:spacing w:line="273" w:lineRule="auto" w:before="7"/>
        <w:ind w:left="1070" w:right="2712"/>
      </w:pPr>
      <w:r>
        <w:rPr>
          <w:color w:val="231F20"/>
          <w:w w:val="110"/>
        </w:rPr>
        <w:t>The image of the church as the body of Christ means that we who are in Christ are always </w:t>
      </w:r>
      <w:r>
        <w:rPr>
          <w:color w:val="231F20"/>
          <w:spacing w:val="2"/>
          <w:w w:val="110"/>
        </w:rPr>
        <w:t>connected </w:t>
      </w:r>
      <w:r>
        <w:rPr>
          <w:color w:val="231F20"/>
          <w:w w:val="110"/>
        </w:rPr>
        <w:t>to one another. </w:t>
      </w:r>
      <w:r>
        <w:rPr>
          <w:color w:val="231F20"/>
          <w:spacing w:val="-8"/>
          <w:w w:val="110"/>
        </w:rPr>
        <w:t>To </w:t>
      </w:r>
      <w:r>
        <w:rPr>
          <w:color w:val="231F20"/>
          <w:w w:val="110"/>
        </w:rPr>
        <w:t>dismiss the existence and </w:t>
      </w:r>
      <w:r>
        <w:rPr>
          <w:color w:val="231F20"/>
          <w:spacing w:val="2"/>
          <w:w w:val="110"/>
        </w:rPr>
        <w:t>cares </w:t>
      </w:r>
      <w:r>
        <w:rPr>
          <w:color w:val="231F20"/>
          <w:w w:val="110"/>
        </w:rPr>
        <w:t>of others </w:t>
      </w:r>
      <w:r>
        <w:rPr>
          <w:color w:val="231F20"/>
          <w:spacing w:val="2"/>
          <w:w w:val="110"/>
        </w:rPr>
        <w:t>because </w:t>
      </w:r>
      <w:r>
        <w:rPr>
          <w:color w:val="231F20"/>
          <w:w w:val="110"/>
        </w:rPr>
        <w:t>‘</w:t>
      </w:r>
      <w:r>
        <w:rPr>
          <w:i/>
          <w:color w:val="231F20"/>
          <w:w w:val="110"/>
        </w:rPr>
        <w:t>they’ </w:t>
      </w:r>
      <w:r>
        <w:rPr>
          <w:color w:val="231F20"/>
          <w:w w:val="110"/>
        </w:rPr>
        <w:t>are not in the vicinity repudiates our unity   in Christ and is a block to a closer relationship with God. Further, ‘</w:t>
      </w:r>
      <w:r>
        <w:rPr>
          <w:i/>
          <w:color w:val="231F20"/>
          <w:w w:val="110"/>
        </w:rPr>
        <w:t>they’ </w:t>
      </w:r>
      <w:r>
        <w:rPr>
          <w:color w:val="231F20"/>
          <w:w w:val="110"/>
        </w:rPr>
        <w:t>are more than just a matter of social responsibility. ‘</w:t>
      </w:r>
      <w:r>
        <w:rPr>
          <w:i/>
          <w:color w:val="231F20"/>
          <w:w w:val="110"/>
        </w:rPr>
        <w:t>They’ </w:t>
      </w:r>
      <w:r>
        <w:rPr>
          <w:color w:val="231F20"/>
          <w:w w:val="110"/>
        </w:rPr>
        <w:t>are ‘human beings’ and</w:t>
      </w:r>
      <w:r>
        <w:rPr>
          <w:color w:val="231F20"/>
          <w:spacing w:val="6"/>
          <w:w w:val="110"/>
        </w:rPr>
        <w:t> </w:t>
      </w:r>
      <w:r>
        <w:rPr>
          <w:color w:val="231F20"/>
          <w:w w:val="110"/>
        </w:rPr>
        <w:t>must</w:t>
      </w:r>
      <w:r>
        <w:rPr>
          <w:color w:val="231F20"/>
          <w:spacing w:val="7"/>
          <w:w w:val="110"/>
        </w:rPr>
        <w:t> </w:t>
      </w:r>
      <w:r>
        <w:rPr>
          <w:color w:val="231F20"/>
          <w:w w:val="110"/>
        </w:rPr>
        <w:t>be</w:t>
      </w:r>
      <w:r>
        <w:rPr>
          <w:color w:val="231F20"/>
          <w:spacing w:val="7"/>
          <w:w w:val="110"/>
        </w:rPr>
        <w:t> </w:t>
      </w:r>
      <w:r>
        <w:rPr>
          <w:color w:val="231F20"/>
          <w:w w:val="110"/>
        </w:rPr>
        <w:t>treated</w:t>
      </w:r>
      <w:r>
        <w:rPr>
          <w:color w:val="231F20"/>
          <w:spacing w:val="6"/>
          <w:w w:val="110"/>
        </w:rPr>
        <w:t> </w:t>
      </w:r>
      <w:r>
        <w:rPr>
          <w:color w:val="231F20"/>
          <w:w w:val="110"/>
        </w:rPr>
        <w:t>as</w:t>
      </w:r>
      <w:r>
        <w:rPr>
          <w:color w:val="231F20"/>
          <w:spacing w:val="7"/>
          <w:w w:val="110"/>
        </w:rPr>
        <w:t> </w:t>
      </w:r>
      <w:r>
        <w:rPr>
          <w:color w:val="231F20"/>
          <w:w w:val="110"/>
        </w:rPr>
        <w:t>such</w:t>
      </w:r>
      <w:r>
        <w:rPr>
          <w:color w:val="231F20"/>
          <w:spacing w:val="7"/>
          <w:w w:val="110"/>
        </w:rPr>
        <w:t> </w:t>
      </w:r>
      <w:r>
        <w:rPr>
          <w:color w:val="231F20"/>
          <w:w w:val="110"/>
        </w:rPr>
        <w:t>for</w:t>
      </w:r>
      <w:r>
        <w:rPr>
          <w:color w:val="231F20"/>
          <w:spacing w:val="6"/>
          <w:w w:val="110"/>
        </w:rPr>
        <w:t> </w:t>
      </w:r>
      <w:r>
        <w:rPr>
          <w:color w:val="231F20"/>
          <w:w w:val="110"/>
        </w:rPr>
        <w:t>the</w:t>
      </w:r>
      <w:r>
        <w:rPr>
          <w:color w:val="231F20"/>
          <w:spacing w:val="7"/>
          <w:w w:val="110"/>
        </w:rPr>
        <w:t> </w:t>
      </w:r>
      <w:r>
        <w:rPr>
          <w:color w:val="231F20"/>
          <w:w w:val="110"/>
        </w:rPr>
        <w:t>sake</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6"/>
          <w:w w:val="110"/>
        </w:rPr>
        <w:t> </w:t>
      </w:r>
      <w:r>
        <w:rPr>
          <w:color w:val="231F20"/>
          <w:w w:val="110"/>
        </w:rPr>
        <w:t>church’s</w:t>
      </w:r>
      <w:r>
        <w:rPr>
          <w:color w:val="231F20"/>
          <w:spacing w:val="7"/>
          <w:w w:val="110"/>
        </w:rPr>
        <w:t> </w:t>
      </w:r>
      <w:r>
        <w:rPr>
          <w:color w:val="231F20"/>
          <w:w w:val="110"/>
        </w:rPr>
        <w:t>life</w:t>
      </w:r>
      <w:r>
        <w:rPr>
          <w:color w:val="231F20"/>
          <w:spacing w:val="7"/>
          <w:w w:val="110"/>
        </w:rPr>
        <w:t> </w:t>
      </w:r>
      <w:r>
        <w:rPr>
          <w:color w:val="231F20"/>
          <w:w w:val="110"/>
        </w:rPr>
        <w:t>and</w:t>
      </w:r>
      <w:r>
        <w:rPr>
          <w:color w:val="231F20"/>
          <w:spacing w:val="6"/>
          <w:w w:val="110"/>
        </w:rPr>
        <w:t> </w:t>
      </w:r>
      <w:r>
        <w:rPr>
          <w:color w:val="231F20"/>
          <w:w w:val="110"/>
        </w:rPr>
        <w:t>future.</w:t>
      </w:r>
    </w:p>
    <w:p>
      <w:pPr>
        <w:pStyle w:val="BodyText"/>
        <w:spacing w:before="11"/>
        <w:rPr>
          <w:sz w:val="20"/>
        </w:rPr>
      </w:pPr>
    </w:p>
    <w:p>
      <w:pPr>
        <w:pStyle w:val="ListParagraph"/>
        <w:numPr>
          <w:ilvl w:val="1"/>
          <w:numId w:val="70"/>
        </w:numPr>
        <w:tabs>
          <w:tab w:pos="1791" w:val="left" w:leader="none"/>
        </w:tabs>
        <w:spacing w:line="273" w:lineRule="auto" w:before="0" w:after="0"/>
        <w:ind w:left="1070" w:right="2577" w:firstLine="0"/>
        <w:jc w:val="both"/>
        <w:rPr>
          <w:sz w:val="18"/>
        </w:rPr>
      </w:pPr>
      <w:r>
        <w:rPr>
          <w:color w:val="231F20"/>
          <w:w w:val="110"/>
          <w:sz w:val="18"/>
        </w:rPr>
        <w:t>Against</w:t>
      </w:r>
      <w:r>
        <w:rPr>
          <w:color w:val="231F20"/>
          <w:spacing w:val="-7"/>
          <w:w w:val="110"/>
          <w:sz w:val="18"/>
        </w:rPr>
        <w:t> </w:t>
      </w:r>
      <w:r>
        <w:rPr>
          <w:color w:val="231F20"/>
          <w:w w:val="110"/>
          <w:sz w:val="18"/>
        </w:rPr>
        <w:t>the</w:t>
      </w:r>
      <w:r>
        <w:rPr>
          <w:color w:val="231F20"/>
          <w:spacing w:val="-7"/>
          <w:w w:val="110"/>
          <w:sz w:val="18"/>
        </w:rPr>
        <w:t> </w:t>
      </w:r>
      <w:r>
        <w:rPr>
          <w:color w:val="231F20"/>
          <w:w w:val="110"/>
          <w:sz w:val="18"/>
        </w:rPr>
        <w:t>background</w:t>
      </w:r>
      <w:r>
        <w:rPr>
          <w:color w:val="231F20"/>
          <w:spacing w:val="-6"/>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7"/>
          <w:w w:val="110"/>
          <w:sz w:val="18"/>
        </w:rPr>
        <w:t> </w:t>
      </w:r>
      <w:r>
        <w:rPr>
          <w:i/>
          <w:color w:val="231F20"/>
          <w:w w:val="110"/>
          <w:sz w:val="18"/>
        </w:rPr>
        <w:t>Catch</w:t>
      </w:r>
      <w:r>
        <w:rPr>
          <w:i/>
          <w:color w:val="231F20"/>
          <w:spacing w:val="-6"/>
          <w:w w:val="110"/>
          <w:sz w:val="18"/>
        </w:rPr>
        <w:t> </w:t>
      </w:r>
      <w:r>
        <w:rPr>
          <w:i/>
          <w:color w:val="231F20"/>
          <w:w w:val="110"/>
          <w:sz w:val="18"/>
        </w:rPr>
        <w:t>the</w:t>
      </w:r>
      <w:r>
        <w:rPr>
          <w:i/>
          <w:color w:val="231F20"/>
          <w:spacing w:val="-7"/>
          <w:w w:val="110"/>
          <w:sz w:val="18"/>
        </w:rPr>
        <w:t> </w:t>
      </w:r>
      <w:r>
        <w:rPr>
          <w:i/>
          <w:color w:val="231F20"/>
          <w:w w:val="110"/>
          <w:sz w:val="18"/>
        </w:rPr>
        <w:t>Vision</w:t>
      </w:r>
      <w:r>
        <w:rPr>
          <w:i/>
          <w:color w:val="231F20"/>
          <w:spacing w:val="-7"/>
          <w:w w:val="110"/>
          <w:sz w:val="18"/>
        </w:rPr>
        <w:t> </w:t>
      </w:r>
      <w:r>
        <w:rPr>
          <w:color w:val="231F20"/>
          <w:w w:val="110"/>
          <w:sz w:val="18"/>
        </w:rPr>
        <w:t>(CTV)</w:t>
      </w:r>
      <w:r>
        <w:rPr>
          <w:color w:val="231F20"/>
          <w:spacing w:val="-6"/>
          <w:w w:val="110"/>
          <w:sz w:val="18"/>
        </w:rPr>
        <w:t> </w:t>
      </w:r>
      <w:r>
        <w:rPr>
          <w:color w:val="231F20"/>
          <w:w w:val="110"/>
          <w:sz w:val="18"/>
        </w:rPr>
        <w:t>process</w:t>
      </w:r>
      <w:r>
        <w:rPr>
          <w:color w:val="231F20"/>
          <w:spacing w:val="-7"/>
          <w:w w:val="110"/>
          <w:sz w:val="18"/>
        </w:rPr>
        <w:t> </w:t>
      </w:r>
      <w:r>
        <w:rPr>
          <w:color w:val="231F20"/>
          <w:w w:val="110"/>
          <w:sz w:val="18"/>
        </w:rPr>
        <w:t>we</w:t>
      </w:r>
      <w:r>
        <w:rPr>
          <w:color w:val="231F20"/>
          <w:spacing w:val="-7"/>
          <w:w w:val="110"/>
          <w:sz w:val="18"/>
        </w:rPr>
        <w:t> </w:t>
      </w:r>
      <w:r>
        <w:rPr>
          <w:color w:val="231F20"/>
          <w:spacing w:val="-3"/>
          <w:w w:val="110"/>
          <w:sz w:val="18"/>
        </w:rPr>
        <w:t>make </w:t>
      </w:r>
      <w:r>
        <w:rPr>
          <w:color w:val="231F20"/>
          <w:w w:val="110"/>
          <w:sz w:val="18"/>
        </w:rPr>
        <w:t>our contribution to reshaping the United Reformed Church for the</w:t>
      </w:r>
      <w:r>
        <w:rPr>
          <w:color w:val="231F20"/>
          <w:spacing w:val="-47"/>
          <w:w w:val="110"/>
          <w:sz w:val="18"/>
        </w:rPr>
        <w:t> </w:t>
      </w:r>
      <w:r>
        <w:rPr>
          <w:color w:val="231F20"/>
          <w:spacing w:val="-3"/>
          <w:w w:val="110"/>
          <w:sz w:val="18"/>
        </w:rPr>
        <w:t>21</w:t>
      </w:r>
      <w:r>
        <w:rPr>
          <w:color w:val="231F20"/>
          <w:spacing w:val="-3"/>
          <w:w w:val="110"/>
          <w:position w:val="6"/>
          <w:sz w:val="10"/>
        </w:rPr>
        <w:t>st </w:t>
      </w:r>
      <w:r>
        <w:rPr>
          <w:color w:val="231F20"/>
          <w:w w:val="110"/>
          <w:sz w:val="18"/>
        </w:rPr>
        <w:t>century, enabling</w:t>
      </w:r>
      <w:r>
        <w:rPr>
          <w:color w:val="231F20"/>
          <w:spacing w:val="-6"/>
          <w:w w:val="110"/>
          <w:sz w:val="18"/>
        </w:rPr>
        <w:t> </w:t>
      </w:r>
      <w:r>
        <w:rPr>
          <w:color w:val="231F20"/>
          <w:w w:val="110"/>
          <w:sz w:val="18"/>
        </w:rPr>
        <w:t>the</w:t>
      </w:r>
      <w:r>
        <w:rPr>
          <w:color w:val="231F20"/>
          <w:spacing w:val="-6"/>
          <w:w w:val="110"/>
          <w:sz w:val="18"/>
        </w:rPr>
        <w:t> </w:t>
      </w:r>
      <w:r>
        <w:rPr>
          <w:color w:val="231F20"/>
          <w:w w:val="110"/>
          <w:sz w:val="18"/>
        </w:rPr>
        <w:t>whole</w:t>
      </w:r>
      <w:r>
        <w:rPr>
          <w:color w:val="231F20"/>
          <w:spacing w:val="-5"/>
          <w:w w:val="110"/>
          <w:sz w:val="18"/>
        </w:rPr>
        <w:t> </w:t>
      </w:r>
      <w:r>
        <w:rPr>
          <w:color w:val="231F20"/>
          <w:w w:val="110"/>
          <w:sz w:val="18"/>
        </w:rPr>
        <w:t>church</w:t>
      </w:r>
      <w:r>
        <w:rPr>
          <w:color w:val="231F20"/>
          <w:spacing w:val="-6"/>
          <w:w w:val="110"/>
          <w:sz w:val="18"/>
        </w:rPr>
        <w:t> </w:t>
      </w:r>
      <w:r>
        <w:rPr>
          <w:color w:val="231F20"/>
          <w:w w:val="110"/>
          <w:sz w:val="18"/>
        </w:rPr>
        <w:t>to</w:t>
      </w:r>
      <w:r>
        <w:rPr>
          <w:color w:val="231F20"/>
          <w:spacing w:val="-6"/>
          <w:w w:val="110"/>
          <w:sz w:val="18"/>
        </w:rPr>
        <w:t> </w:t>
      </w:r>
      <w:r>
        <w:rPr>
          <w:color w:val="231F20"/>
          <w:w w:val="110"/>
          <w:sz w:val="18"/>
        </w:rPr>
        <w:t>put</w:t>
      </w:r>
      <w:r>
        <w:rPr>
          <w:color w:val="231F20"/>
          <w:spacing w:val="-5"/>
          <w:w w:val="110"/>
          <w:sz w:val="18"/>
        </w:rPr>
        <w:t> </w:t>
      </w:r>
      <w:r>
        <w:rPr>
          <w:color w:val="231F20"/>
          <w:w w:val="110"/>
          <w:sz w:val="18"/>
        </w:rPr>
        <w:t>into</w:t>
      </w:r>
      <w:r>
        <w:rPr>
          <w:color w:val="231F20"/>
          <w:spacing w:val="-6"/>
          <w:w w:val="110"/>
          <w:sz w:val="18"/>
        </w:rPr>
        <w:t> </w:t>
      </w:r>
      <w:r>
        <w:rPr>
          <w:color w:val="231F20"/>
          <w:w w:val="110"/>
          <w:sz w:val="18"/>
        </w:rPr>
        <w:t>practice</w:t>
      </w:r>
      <w:r>
        <w:rPr>
          <w:color w:val="231F20"/>
          <w:spacing w:val="-6"/>
          <w:w w:val="110"/>
          <w:sz w:val="18"/>
        </w:rPr>
        <w:t> </w:t>
      </w:r>
      <w:r>
        <w:rPr>
          <w:color w:val="231F20"/>
          <w:w w:val="110"/>
          <w:sz w:val="18"/>
        </w:rPr>
        <w:t>the</w:t>
      </w:r>
      <w:r>
        <w:rPr>
          <w:color w:val="231F20"/>
          <w:spacing w:val="-5"/>
          <w:w w:val="110"/>
          <w:sz w:val="18"/>
        </w:rPr>
        <w:t> </w:t>
      </w:r>
      <w:r>
        <w:rPr>
          <w:color w:val="231F20"/>
          <w:w w:val="110"/>
          <w:sz w:val="18"/>
        </w:rPr>
        <w:t>multicultural</w:t>
      </w:r>
      <w:r>
        <w:rPr>
          <w:color w:val="231F20"/>
          <w:spacing w:val="-6"/>
          <w:w w:val="110"/>
          <w:sz w:val="18"/>
        </w:rPr>
        <w:t> </w:t>
      </w:r>
      <w:r>
        <w:rPr>
          <w:color w:val="231F20"/>
          <w:spacing w:val="-3"/>
          <w:w w:val="110"/>
          <w:sz w:val="18"/>
        </w:rPr>
        <w:t>vision:</w:t>
      </w:r>
    </w:p>
    <w:p>
      <w:pPr>
        <w:pStyle w:val="BodyText"/>
        <w:rPr>
          <w:sz w:val="19"/>
        </w:rPr>
      </w:pPr>
    </w:p>
    <w:p>
      <w:pPr>
        <w:spacing w:line="247" w:lineRule="auto" w:before="0"/>
        <w:ind w:left="1070" w:right="2348" w:firstLine="0"/>
        <w:jc w:val="left"/>
        <w:rPr>
          <w:b/>
          <w:sz w:val="20"/>
        </w:rPr>
      </w:pPr>
      <w:r>
        <w:rPr>
          <w:b/>
          <w:color w:val="231F20"/>
          <w:w w:val="110"/>
          <w:sz w:val="20"/>
        </w:rPr>
        <w:t>Education, Training, Awareness Raising, Inspiration &amp; Celebration</w:t>
      </w:r>
    </w:p>
    <w:p>
      <w:pPr>
        <w:pStyle w:val="ListParagraph"/>
        <w:numPr>
          <w:ilvl w:val="1"/>
          <w:numId w:val="2"/>
        </w:numPr>
        <w:tabs>
          <w:tab w:pos="1750" w:val="left" w:leader="none"/>
          <w:tab w:pos="1752" w:val="left" w:leader="none"/>
        </w:tabs>
        <w:spacing w:line="250" w:lineRule="exact" w:before="1" w:after="0"/>
        <w:ind w:left="1751" w:right="2876" w:hanging="681"/>
        <w:jc w:val="left"/>
        <w:rPr>
          <w:color w:val="231F20"/>
          <w:sz w:val="25"/>
        </w:rPr>
      </w:pPr>
      <w:r>
        <w:rPr>
          <w:color w:val="231F20"/>
          <w:w w:val="110"/>
          <w:sz w:val="18"/>
        </w:rPr>
        <w:t>Our seminars, workshops, conferences, preaching, and speaking engagements </w:t>
      </w:r>
      <w:r>
        <w:rPr>
          <w:color w:val="231F20"/>
          <w:spacing w:val="2"/>
          <w:w w:val="110"/>
          <w:sz w:val="18"/>
        </w:rPr>
        <w:t>across </w:t>
      </w:r>
      <w:r>
        <w:rPr>
          <w:color w:val="231F20"/>
          <w:w w:val="110"/>
          <w:sz w:val="18"/>
        </w:rPr>
        <w:t>the UK have raised the profile of multicultural ministry in Britain and</w:t>
      </w:r>
      <w:r>
        <w:rPr>
          <w:color w:val="231F20"/>
          <w:spacing w:val="6"/>
          <w:w w:val="110"/>
          <w:sz w:val="18"/>
        </w:rPr>
        <w:t> </w:t>
      </w:r>
      <w:r>
        <w:rPr>
          <w:color w:val="231F20"/>
          <w:w w:val="110"/>
          <w:sz w:val="18"/>
        </w:rPr>
        <w:t>beyond.</w:t>
      </w:r>
    </w:p>
    <w:p>
      <w:pPr>
        <w:pStyle w:val="ListParagraph"/>
        <w:numPr>
          <w:ilvl w:val="1"/>
          <w:numId w:val="2"/>
        </w:numPr>
        <w:tabs>
          <w:tab w:pos="1750" w:val="left" w:leader="none"/>
          <w:tab w:pos="1752" w:val="left" w:leader="none"/>
        </w:tabs>
        <w:spacing w:line="218" w:lineRule="auto" w:before="7" w:after="0"/>
        <w:ind w:left="1751" w:right="2943" w:hanging="681"/>
        <w:jc w:val="left"/>
        <w:rPr>
          <w:color w:val="231F20"/>
          <w:sz w:val="25"/>
        </w:rPr>
      </w:pPr>
      <w:r>
        <w:rPr>
          <w:color w:val="231F20"/>
          <w:w w:val="110"/>
          <w:sz w:val="18"/>
        </w:rPr>
        <w:t>Our training resources, </w:t>
      </w:r>
      <w:r>
        <w:rPr>
          <w:i/>
          <w:color w:val="231F20"/>
          <w:spacing w:val="-3"/>
          <w:w w:val="110"/>
          <w:sz w:val="18"/>
        </w:rPr>
        <w:t>We </w:t>
      </w:r>
      <w:r>
        <w:rPr>
          <w:i/>
          <w:color w:val="231F20"/>
          <w:w w:val="110"/>
          <w:sz w:val="18"/>
        </w:rPr>
        <w:t>Belong: Celebrating Diversity and  </w:t>
      </w:r>
      <w:r>
        <w:rPr>
          <w:i/>
          <w:color w:val="231F20"/>
          <w:w w:val="110"/>
          <w:sz w:val="18"/>
        </w:rPr>
        <w:t>Living</w:t>
      </w:r>
      <w:r>
        <w:rPr>
          <w:i/>
          <w:color w:val="231F20"/>
          <w:spacing w:val="12"/>
          <w:w w:val="110"/>
          <w:sz w:val="18"/>
        </w:rPr>
        <w:t> </w:t>
      </w:r>
      <w:r>
        <w:rPr>
          <w:i/>
          <w:color w:val="231F20"/>
          <w:w w:val="110"/>
          <w:sz w:val="18"/>
        </w:rPr>
        <w:t>Hospitality</w:t>
      </w:r>
      <w:r>
        <w:rPr>
          <w:i/>
          <w:color w:val="231F20"/>
          <w:spacing w:val="10"/>
          <w:w w:val="110"/>
          <w:sz w:val="18"/>
        </w:rPr>
        <w:t> </w:t>
      </w:r>
      <w:r>
        <w:rPr>
          <w:color w:val="231F20"/>
          <w:w w:val="110"/>
          <w:sz w:val="18"/>
        </w:rPr>
        <w:t>and</w:t>
      </w:r>
      <w:r>
        <w:rPr>
          <w:color w:val="231F20"/>
          <w:spacing w:val="12"/>
          <w:w w:val="110"/>
          <w:sz w:val="18"/>
        </w:rPr>
        <w:t> </w:t>
      </w:r>
      <w:r>
        <w:rPr>
          <w:i/>
          <w:color w:val="231F20"/>
          <w:w w:val="110"/>
          <w:sz w:val="18"/>
        </w:rPr>
        <w:t>The</w:t>
      </w:r>
      <w:r>
        <w:rPr>
          <w:i/>
          <w:color w:val="231F20"/>
          <w:spacing w:val="13"/>
          <w:w w:val="110"/>
          <w:sz w:val="18"/>
        </w:rPr>
        <w:t> </w:t>
      </w:r>
      <w:r>
        <w:rPr>
          <w:i/>
          <w:color w:val="231F20"/>
          <w:w w:val="110"/>
          <w:sz w:val="18"/>
        </w:rPr>
        <w:t>Multicultural</w:t>
      </w:r>
      <w:r>
        <w:rPr>
          <w:i/>
          <w:color w:val="231F20"/>
          <w:spacing w:val="12"/>
          <w:w w:val="110"/>
          <w:sz w:val="18"/>
        </w:rPr>
        <w:t> </w:t>
      </w:r>
      <w:r>
        <w:rPr>
          <w:i/>
          <w:color w:val="231F20"/>
          <w:w w:val="110"/>
          <w:sz w:val="18"/>
        </w:rPr>
        <w:t>Ministry</w:t>
      </w:r>
      <w:r>
        <w:rPr>
          <w:i/>
          <w:color w:val="231F20"/>
          <w:spacing w:val="12"/>
          <w:w w:val="110"/>
          <w:sz w:val="18"/>
        </w:rPr>
        <w:t> </w:t>
      </w:r>
      <w:r>
        <w:rPr>
          <w:i/>
          <w:color w:val="231F20"/>
          <w:w w:val="110"/>
          <w:sz w:val="18"/>
        </w:rPr>
        <w:t>Toolkit</w:t>
      </w:r>
      <w:r>
        <w:rPr>
          <w:i/>
          <w:color w:val="231F20"/>
          <w:spacing w:val="13"/>
          <w:w w:val="110"/>
          <w:sz w:val="18"/>
        </w:rPr>
        <w:t> </w:t>
      </w:r>
      <w:r>
        <w:rPr>
          <w:color w:val="231F20"/>
          <w:w w:val="110"/>
          <w:sz w:val="18"/>
        </w:rPr>
        <w:t>(page</w:t>
      </w:r>
      <w:r>
        <w:rPr>
          <w:color w:val="231F20"/>
          <w:spacing w:val="12"/>
          <w:w w:val="110"/>
          <w:sz w:val="18"/>
        </w:rPr>
        <w:t> </w:t>
      </w:r>
      <w:r>
        <w:rPr>
          <w:color w:val="231F20"/>
          <w:spacing w:val="-3"/>
          <w:w w:val="110"/>
          <w:sz w:val="18"/>
        </w:rPr>
        <w:t>127)</w:t>
      </w:r>
    </w:p>
    <w:p>
      <w:pPr>
        <w:pStyle w:val="BodyText"/>
        <w:spacing w:line="273" w:lineRule="auto" w:before="36"/>
        <w:ind w:left="1751" w:right="2348"/>
      </w:pPr>
      <w:r>
        <w:rPr>
          <w:color w:val="231F20"/>
          <w:w w:val="110"/>
        </w:rPr>
        <w:t>encourage good cross-cultural and anti-racism practice at all levels of church life.</w:t>
      </w:r>
    </w:p>
    <w:p>
      <w:pPr>
        <w:pStyle w:val="BodyText"/>
        <w:spacing w:before="1"/>
        <w:ind w:left="1751"/>
      </w:pPr>
      <w:r>
        <w:rPr>
          <w:color w:val="231F20"/>
          <w:w w:val="110"/>
        </w:rPr>
        <w:t>The huge demand from our ecumenical partners across the UK</w:t>
      </w:r>
    </w:p>
    <w:p>
      <w:pPr>
        <w:pStyle w:val="BodyText"/>
        <w:spacing w:line="273" w:lineRule="auto" w:before="32"/>
        <w:ind w:left="1751" w:right="2464"/>
      </w:pPr>
      <w:r>
        <w:rPr/>
        <w:pict>
          <v:shape style="position:absolute;margin-left:514.423096pt;margin-top:42.352726pt;width:20pt;height:190.9pt;mso-position-horizontal-relative:page;mso-position-vertical-relative:paragraph;z-index:251807744"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rPr>
        <w:t>and Europe affirms multicultural ministry as a mission priority, and reflects the urgent help churches need to cope with cultural diversity. The United Reformed Church is now widely recognised as a leader in multicultural ministry.</w:t>
      </w:r>
    </w:p>
    <w:p>
      <w:pPr>
        <w:pStyle w:val="ListParagraph"/>
        <w:numPr>
          <w:ilvl w:val="1"/>
          <w:numId w:val="2"/>
        </w:numPr>
        <w:tabs>
          <w:tab w:pos="1752" w:val="left" w:leader="none"/>
        </w:tabs>
        <w:spacing w:line="264" w:lineRule="exact" w:before="0" w:after="0"/>
        <w:ind w:left="1751" w:right="0" w:hanging="682"/>
        <w:jc w:val="both"/>
        <w:rPr>
          <w:i/>
          <w:color w:val="231F20"/>
          <w:sz w:val="25"/>
        </w:rPr>
      </w:pPr>
      <w:r>
        <w:rPr>
          <w:color w:val="231F20"/>
          <w:w w:val="110"/>
          <w:sz w:val="18"/>
        </w:rPr>
        <w:t>Our </w:t>
      </w:r>
      <w:r>
        <w:rPr>
          <w:i/>
          <w:color w:val="231F20"/>
          <w:w w:val="110"/>
          <w:sz w:val="18"/>
        </w:rPr>
        <w:t>Racial Justice and Multicultural Ministry Advocates</w:t>
      </w:r>
      <w:r>
        <w:rPr>
          <w:i/>
          <w:color w:val="231F20"/>
          <w:spacing w:val="19"/>
          <w:w w:val="110"/>
          <w:sz w:val="18"/>
        </w:rPr>
        <w:t> </w:t>
      </w:r>
      <w:r>
        <w:rPr>
          <w:i/>
          <w:color w:val="231F20"/>
          <w:w w:val="110"/>
          <w:sz w:val="18"/>
        </w:rPr>
        <w:t>Network</w:t>
      </w:r>
    </w:p>
    <w:p>
      <w:pPr>
        <w:pStyle w:val="BodyText"/>
        <w:spacing w:line="207" w:lineRule="exact"/>
        <w:ind w:left="1751"/>
      </w:pPr>
      <w:r>
        <w:rPr>
          <w:color w:val="231F20"/>
          <w:w w:val="110"/>
        </w:rPr>
        <w:t>remains the most effective grassroots instrument for programme</w:t>
      </w:r>
    </w:p>
    <w:p>
      <w:pPr>
        <w:pStyle w:val="BodyText"/>
        <w:spacing w:line="273" w:lineRule="auto" w:before="31"/>
        <w:ind w:left="1751" w:right="2348"/>
      </w:pPr>
      <w:r>
        <w:rPr>
          <w:color w:val="231F20"/>
          <w:w w:val="110"/>
        </w:rPr>
        <w:t>delivery, promotion, inter-community co-operation, and infecting the church and wider community with the multicultural vision.</w:t>
      </w:r>
    </w:p>
    <w:p>
      <w:pPr>
        <w:pStyle w:val="ListParagraph"/>
        <w:numPr>
          <w:ilvl w:val="1"/>
          <w:numId w:val="2"/>
        </w:numPr>
        <w:tabs>
          <w:tab w:pos="1750" w:val="left" w:leader="none"/>
          <w:tab w:pos="1752" w:val="left" w:leader="none"/>
        </w:tabs>
        <w:spacing w:line="218" w:lineRule="auto" w:before="0" w:after="0"/>
        <w:ind w:left="1751" w:right="3076" w:hanging="681"/>
        <w:jc w:val="left"/>
        <w:rPr>
          <w:color w:val="231F20"/>
          <w:sz w:val="25"/>
        </w:rPr>
      </w:pPr>
      <w:r>
        <w:rPr>
          <w:color w:val="231F20"/>
          <w:w w:val="110"/>
          <w:sz w:val="18"/>
        </w:rPr>
        <w:t>Our </w:t>
      </w:r>
      <w:r>
        <w:rPr>
          <w:i/>
          <w:color w:val="231F20"/>
          <w:w w:val="110"/>
          <w:sz w:val="18"/>
        </w:rPr>
        <w:t>1</w:t>
      </w:r>
      <w:r>
        <w:rPr>
          <w:i/>
          <w:color w:val="231F20"/>
          <w:w w:val="110"/>
          <w:position w:val="6"/>
          <w:sz w:val="10"/>
        </w:rPr>
        <w:t>st </w:t>
      </w:r>
      <w:r>
        <w:rPr>
          <w:i/>
          <w:color w:val="231F20"/>
          <w:w w:val="110"/>
          <w:sz w:val="18"/>
        </w:rPr>
        <w:t>United Reformed Church Multicultural Celebration</w:t>
      </w:r>
      <w:r>
        <w:rPr>
          <w:color w:val="231F20"/>
          <w:w w:val="110"/>
          <w:sz w:val="18"/>
        </w:rPr>
        <w:t>, an inspirational</w:t>
      </w:r>
      <w:r>
        <w:rPr>
          <w:color w:val="231F20"/>
          <w:spacing w:val="16"/>
          <w:w w:val="110"/>
          <w:sz w:val="18"/>
        </w:rPr>
        <w:t> </w:t>
      </w:r>
      <w:r>
        <w:rPr>
          <w:color w:val="231F20"/>
          <w:w w:val="110"/>
          <w:sz w:val="18"/>
        </w:rPr>
        <w:t>multicultural</w:t>
      </w:r>
      <w:r>
        <w:rPr>
          <w:color w:val="231F20"/>
          <w:spacing w:val="17"/>
          <w:w w:val="110"/>
          <w:sz w:val="18"/>
        </w:rPr>
        <w:t> </w:t>
      </w:r>
      <w:r>
        <w:rPr>
          <w:color w:val="231F20"/>
          <w:w w:val="110"/>
          <w:sz w:val="18"/>
        </w:rPr>
        <w:t>celebration,</w:t>
      </w:r>
      <w:r>
        <w:rPr>
          <w:color w:val="231F20"/>
          <w:spacing w:val="16"/>
          <w:w w:val="110"/>
          <w:sz w:val="18"/>
        </w:rPr>
        <w:t> </w:t>
      </w:r>
      <w:r>
        <w:rPr>
          <w:color w:val="231F20"/>
          <w:w w:val="110"/>
          <w:sz w:val="18"/>
        </w:rPr>
        <w:t>is</w:t>
      </w:r>
      <w:r>
        <w:rPr>
          <w:color w:val="231F20"/>
          <w:spacing w:val="17"/>
          <w:w w:val="110"/>
          <w:sz w:val="18"/>
        </w:rPr>
        <w:t> </w:t>
      </w:r>
      <w:r>
        <w:rPr>
          <w:color w:val="231F20"/>
          <w:w w:val="110"/>
          <w:sz w:val="18"/>
        </w:rPr>
        <w:t>planned</w:t>
      </w:r>
      <w:r>
        <w:rPr>
          <w:color w:val="231F20"/>
          <w:spacing w:val="16"/>
          <w:w w:val="110"/>
          <w:sz w:val="18"/>
        </w:rPr>
        <w:t> </w:t>
      </w:r>
      <w:r>
        <w:rPr>
          <w:color w:val="231F20"/>
          <w:w w:val="110"/>
          <w:sz w:val="18"/>
        </w:rPr>
        <w:t>for</w:t>
      </w:r>
      <w:r>
        <w:rPr>
          <w:color w:val="231F20"/>
          <w:spacing w:val="17"/>
          <w:w w:val="110"/>
          <w:sz w:val="18"/>
        </w:rPr>
        <w:t> </w:t>
      </w:r>
      <w:r>
        <w:rPr>
          <w:color w:val="231F20"/>
          <w:w w:val="110"/>
          <w:sz w:val="18"/>
        </w:rPr>
        <w:t>1</w:t>
      </w:r>
      <w:r>
        <w:rPr>
          <w:color w:val="231F20"/>
          <w:spacing w:val="16"/>
          <w:w w:val="110"/>
          <w:sz w:val="18"/>
        </w:rPr>
        <w:t> </w:t>
      </w:r>
      <w:r>
        <w:rPr>
          <w:color w:val="231F20"/>
          <w:w w:val="110"/>
          <w:sz w:val="18"/>
        </w:rPr>
        <w:t>December</w:t>
      </w:r>
    </w:p>
    <w:p>
      <w:pPr>
        <w:pStyle w:val="BodyText"/>
        <w:spacing w:before="26"/>
        <w:ind w:left="1751"/>
      </w:pPr>
      <w:r>
        <w:rPr>
          <w:color w:val="231F20"/>
          <w:w w:val="110"/>
        </w:rPr>
        <w:t>2007 (page 128).</w:t>
      </w:r>
    </w:p>
    <w:p>
      <w:pPr>
        <w:pStyle w:val="BodyText"/>
        <w:spacing w:before="5"/>
        <w:rPr>
          <w:sz w:val="21"/>
        </w:rPr>
      </w:pPr>
    </w:p>
    <w:p>
      <w:pPr>
        <w:spacing w:line="241" w:lineRule="exact" w:before="0"/>
        <w:ind w:left="1070" w:right="0" w:firstLine="0"/>
        <w:jc w:val="left"/>
        <w:rPr>
          <w:b/>
          <w:sz w:val="20"/>
        </w:rPr>
      </w:pPr>
      <w:r>
        <w:rPr>
          <w:b/>
          <w:color w:val="231F20"/>
          <w:w w:val="110"/>
          <w:sz w:val="20"/>
        </w:rPr>
        <w:t>Supporting Black and Minority Ethnic Ministries</w:t>
      </w:r>
    </w:p>
    <w:p>
      <w:pPr>
        <w:pStyle w:val="ListParagraph"/>
        <w:numPr>
          <w:ilvl w:val="1"/>
          <w:numId w:val="2"/>
        </w:numPr>
        <w:tabs>
          <w:tab w:pos="1750" w:val="left" w:leader="none"/>
          <w:tab w:pos="1752" w:val="left" w:leader="none"/>
        </w:tabs>
        <w:spacing w:line="250" w:lineRule="exact" w:before="10" w:after="0"/>
        <w:ind w:left="1751" w:right="2769" w:hanging="681"/>
        <w:jc w:val="left"/>
        <w:rPr>
          <w:i/>
          <w:color w:val="231F20"/>
          <w:sz w:val="25"/>
        </w:rPr>
      </w:pPr>
      <w:r>
        <w:rPr>
          <w:color w:val="231F20"/>
          <w:w w:val="110"/>
          <w:sz w:val="18"/>
        </w:rPr>
        <w:t>Minority ethnic ministries are crucial for leadership development, </w:t>
      </w:r>
      <w:r>
        <w:rPr>
          <w:color w:val="231F20"/>
          <w:spacing w:val="2"/>
          <w:w w:val="110"/>
          <w:sz w:val="18"/>
        </w:rPr>
        <w:t>support </w:t>
      </w:r>
      <w:r>
        <w:rPr>
          <w:color w:val="231F20"/>
          <w:w w:val="110"/>
          <w:sz w:val="18"/>
        </w:rPr>
        <w:t>for the younger generation, and for the celebration of culture, spirituality, and identity. In 2007 we hold our second </w:t>
      </w:r>
      <w:r>
        <w:rPr>
          <w:i/>
          <w:color w:val="231F20"/>
          <w:w w:val="110"/>
          <w:sz w:val="18"/>
        </w:rPr>
        <w:t>URC </w:t>
      </w:r>
      <w:r>
        <w:rPr>
          <w:i/>
          <w:color w:val="231F20"/>
          <w:w w:val="110"/>
          <w:sz w:val="18"/>
        </w:rPr>
        <w:t>Annual Ghanaian Conference, </w:t>
      </w:r>
      <w:r>
        <w:rPr>
          <w:color w:val="231F20"/>
          <w:w w:val="110"/>
          <w:sz w:val="18"/>
        </w:rPr>
        <w:t>our first major </w:t>
      </w:r>
      <w:r>
        <w:rPr>
          <w:i/>
          <w:color w:val="231F20"/>
          <w:w w:val="110"/>
          <w:sz w:val="18"/>
        </w:rPr>
        <w:t>URC Korean Ministry </w:t>
      </w:r>
      <w:r>
        <w:rPr>
          <w:i/>
          <w:color w:val="231F20"/>
          <w:w w:val="110"/>
          <w:sz w:val="18"/>
        </w:rPr>
        <w:t>Consultation,</w:t>
      </w:r>
      <w:r>
        <w:rPr>
          <w:i/>
          <w:color w:val="231F20"/>
          <w:spacing w:val="15"/>
          <w:w w:val="110"/>
          <w:sz w:val="18"/>
        </w:rPr>
        <w:t> </w:t>
      </w:r>
      <w:r>
        <w:rPr>
          <w:color w:val="231F20"/>
          <w:w w:val="110"/>
          <w:sz w:val="18"/>
        </w:rPr>
        <w:t>and</w:t>
      </w:r>
      <w:r>
        <w:rPr>
          <w:color w:val="231F20"/>
          <w:spacing w:val="16"/>
          <w:w w:val="110"/>
          <w:sz w:val="18"/>
        </w:rPr>
        <w:t> </w:t>
      </w:r>
      <w:r>
        <w:rPr>
          <w:color w:val="231F20"/>
          <w:w w:val="110"/>
          <w:sz w:val="18"/>
        </w:rPr>
        <w:t>our</w:t>
      </w:r>
      <w:r>
        <w:rPr>
          <w:color w:val="231F20"/>
          <w:spacing w:val="15"/>
          <w:w w:val="110"/>
          <w:sz w:val="18"/>
        </w:rPr>
        <w:t> </w:t>
      </w:r>
      <w:r>
        <w:rPr>
          <w:color w:val="231F20"/>
          <w:w w:val="110"/>
          <w:sz w:val="18"/>
        </w:rPr>
        <w:t>first</w:t>
      </w:r>
      <w:r>
        <w:rPr>
          <w:color w:val="231F20"/>
          <w:spacing w:val="16"/>
          <w:w w:val="110"/>
          <w:sz w:val="18"/>
        </w:rPr>
        <w:t> </w:t>
      </w:r>
      <w:r>
        <w:rPr>
          <w:i/>
          <w:color w:val="231F20"/>
          <w:w w:val="110"/>
          <w:sz w:val="18"/>
        </w:rPr>
        <w:t>URC</w:t>
      </w:r>
      <w:r>
        <w:rPr>
          <w:i/>
          <w:color w:val="231F20"/>
          <w:spacing w:val="15"/>
          <w:w w:val="110"/>
          <w:sz w:val="18"/>
        </w:rPr>
        <w:t> </w:t>
      </w:r>
      <w:r>
        <w:rPr>
          <w:i/>
          <w:color w:val="231F20"/>
          <w:w w:val="110"/>
          <w:sz w:val="18"/>
        </w:rPr>
        <w:t>Asian</w:t>
      </w:r>
      <w:r>
        <w:rPr>
          <w:i/>
          <w:color w:val="231F20"/>
          <w:spacing w:val="16"/>
          <w:w w:val="110"/>
          <w:sz w:val="18"/>
        </w:rPr>
        <w:t> </w:t>
      </w:r>
      <w:r>
        <w:rPr>
          <w:i/>
          <w:color w:val="231F20"/>
          <w:w w:val="110"/>
          <w:sz w:val="18"/>
        </w:rPr>
        <w:t>Christian</w:t>
      </w:r>
      <w:r>
        <w:rPr>
          <w:i/>
          <w:color w:val="231F20"/>
          <w:spacing w:val="15"/>
          <w:w w:val="110"/>
          <w:sz w:val="18"/>
        </w:rPr>
        <w:t> </w:t>
      </w:r>
      <w:r>
        <w:rPr>
          <w:i/>
          <w:color w:val="231F20"/>
          <w:w w:val="110"/>
          <w:sz w:val="18"/>
        </w:rPr>
        <w:t>Ministry</w:t>
      </w:r>
      <w:r>
        <w:rPr>
          <w:i/>
          <w:color w:val="231F20"/>
          <w:spacing w:val="17"/>
          <w:w w:val="110"/>
          <w:sz w:val="18"/>
        </w:rPr>
        <w:t> </w:t>
      </w:r>
      <w:r>
        <w:rPr>
          <w:i/>
          <w:color w:val="231F20"/>
          <w:w w:val="110"/>
          <w:sz w:val="18"/>
        </w:rPr>
        <w:t>Conference.</w:t>
      </w:r>
    </w:p>
    <w:p>
      <w:pPr>
        <w:pStyle w:val="ListParagraph"/>
        <w:numPr>
          <w:ilvl w:val="0"/>
          <w:numId w:val="71"/>
        </w:numPr>
        <w:tabs>
          <w:tab w:pos="1750" w:val="left" w:leader="none"/>
          <w:tab w:pos="1752" w:val="left" w:leader="none"/>
        </w:tabs>
        <w:spacing w:line="250" w:lineRule="exact" w:before="0" w:after="0"/>
        <w:ind w:left="1751" w:right="2888" w:hanging="681"/>
        <w:jc w:val="left"/>
        <w:rPr>
          <w:sz w:val="18"/>
        </w:rPr>
      </w:pPr>
      <w:r>
        <w:rPr>
          <w:i/>
          <w:color w:val="231F20"/>
          <w:w w:val="110"/>
          <w:sz w:val="18"/>
        </w:rPr>
        <w:t>EMLOMA</w:t>
      </w:r>
      <w:r>
        <w:rPr>
          <w:i/>
          <w:color w:val="231F20"/>
          <w:w w:val="110"/>
          <w:position w:val="7"/>
          <w:sz w:val="12"/>
        </w:rPr>
        <w:t>1 </w:t>
      </w:r>
      <w:r>
        <w:rPr>
          <w:color w:val="231F20"/>
          <w:w w:val="110"/>
          <w:sz w:val="18"/>
        </w:rPr>
        <w:t>has grown into a truly multicultural forum for sharing ministry skills, stories, and engaging prayerfully, theologically, and biblically with love and</w:t>
      </w:r>
      <w:r>
        <w:rPr>
          <w:color w:val="231F20"/>
          <w:spacing w:val="5"/>
          <w:w w:val="110"/>
          <w:sz w:val="18"/>
        </w:rPr>
        <w:t> </w:t>
      </w:r>
      <w:r>
        <w:rPr>
          <w:color w:val="231F20"/>
          <w:spacing w:val="2"/>
          <w:w w:val="110"/>
          <w:sz w:val="18"/>
        </w:rPr>
        <w:t>respect.</w:t>
      </w:r>
    </w:p>
    <w:p>
      <w:pPr>
        <w:pStyle w:val="BodyText"/>
        <w:rPr>
          <w:sz w:val="20"/>
        </w:rPr>
      </w:pPr>
    </w:p>
    <w:p>
      <w:pPr>
        <w:pStyle w:val="BodyText"/>
        <w:spacing w:before="3"/>
        <w:rPr>
          <w:sz w:val="11"/>
        </w:rPr>
      </w:pPr>
      <w:r>
        <w:rPr/>
        <w:pict>
          <v:shape style="position:absolute;margin-left:76.535004pt;margin-top:9.291734pt;width:72pt;height:.1pt;mso-position-horizontal-relative:page;mso-position-vertical-relative:paragraph;z-index:-251510784;mso-wrap-distance-left:0;mso-wrap-distance-right:0" coordorigin="1531,186" coordsize="1440,0" path="m1531,186l2971,186e" filled="false" stroked="true" strokeweight="1pt" strokecolor="#231f20">
            <v:path arrowok="t"/>
            <v:stroke dashstyle="solid"/>
            <w10:wrap type="topAndBottom"/>
          </v:shape>
        </w:pict>
      </w:r>
    </w:p>
    <w:p>
      <w:pPr>
        <w:pStyle w:val="ListParagraph"/>
        <w:numPr>
          <w:ilvl w:val="0"/>
          <w:numId w:val="72"/>
        </w:numPr>
        <w:tabs>
          <w:tab w:pos="1853" w:val="left" w:leader="none"/>
          <w:tab w:pos="1855" w:val="left" w:leader="none"/>
        </w:tabs>
        <w:spacing w:line="266" w:lineRule="auto" w:before="0" w:after="0"/>
        <w:ind w:left="1070" w:right="3135" w:firstLine="0"/>
        <w:jc w:val="left"/>
        <w:rPr>
          <w:sz w:val="16"/>
        </w:rPr>
      </w:pPr>
      <w:r>
        <w:rPr>
          <w:color w:val="231F20"/>
          <w:w w:val="110"/>
          <w:sz w:val="16"/>
        </w:rPr>
        <w:t>Ethnic </w:t>
      </w:r>
      <w:r>
        <w:rPr>
          <w:color w:val="231F20"/>
          <w:spacing w:val="2"/>
          <w:w w:val="110"/>
          <w:sz w:val="16"/>
        </w:rPr>
        <w:t>Minority </w:t>
      </w:r>
      <w:r>
        <w:rPr>
          <w:color w:val="231F20"/>
          <w:w w:val="110"/>
          <w:sz w:val="16"/>
        </w:rPr>
        <w:t>Lay and Ordained Ministers’ </w:t>
      </w:r>
      <w:r>
        <w:rPr>
          <w:color w:val="231F20"/>
          <w:spacing w:val="2"/>
          <w:w w:val="110"/>
          <w:sz w:val="16"/>
        </w:rPr>
        <w:t>Association </w:t>
      </w:r>
      <w:r>
        <w:rPr>
          <w:color w:val="231F20"/>
          <w:w w:val="110"/>
          <w:sz w:val="16"/>
        </w:rPr>
        <w:t>– the group is considering changing its name to MELOMA (Minority Ethnic Lay and Ordained Ministers’ Assoc) to be consistent with </w:t>
      </w:r>
      <w:r>
        <w:rPr>
          <w:color w:val="231F20"/>
          <w:spacing w:val="2"/>
          <w:w w:val="110"/>
          <w:sz w:val="16"/>
        </w:rPr>
        <w:t>current</w:t>
      </w:r>
      <w:r>
        <w:rPr>
          <w:color w:val="231F20"/>
          <w:spacing w:val="44"/>
          <w:w w:val="110"/>
          <w:sz w:val="16"/>
        </w:rPr>
        <w:t> </w:t>
      </w:r>
      <w:r>
        <w:rPr>
          <w:color w:val="231F20"/>
          <w:w w:val="110"/>
          <w:sz w:val="16"/>
        </w:rPr>
        <w:t>terminology</w:t>
      </w:r>
    </w:p>
    <w:p>
      <w:pPr>
        <w:spacing w:after="0" w:line="266" w:lineRule="auto"/>
        <w:jc w:val="left"/>
        <w:rPr>
          <w:sz w:val="16"/>
        </w:rPr>
        <w:sectPr>
          <w:headerReference w:type="default" r:id="rId169"/>
          <w:pgSz w:w="11910" w:h="16840"/>
          <w:pgMar w:header="0" w:footer="418" w:top="920" w:bottom="600" w:left="460" w:right="0"/>
        </w:sectPr>
      </w:pPr>
    </w:p>
    <w:p>
      <w:pPr>
        <w:pStyle w:val="BodyText"/>
        <w:spacing w:before="7"/>
        <w:rPr>
          <w:sz w:val="13"/>
        </w:rPr>
      </w:pPr>
    </w:p>
    <w:p>
      <w:pPr>
        <w:spacing w:line="241" w:lineRule="exact" w:before="98"/>
        <w:ind w:left="673" w:right="0" w:firstLine="0"/>
        <w:jc w:val="left"/>
        <w:rPr>
          <w:b/>
          <w:sz w:val="20"/>
        </w:rPr>
      </w:pPr>
      <w:r>
        <w:rPr>
          <w:b/>
          <w:color w:val="231F20"/>
          <w:w w:val="110"/>
          <w:sz w:val="20"/>
        </w:rPr>
        <w:t>Shaping Church Policy</w:t>
      </w:r>
    </w:p>
    <w:p>
      <w:pPr>
        <w:pStyle w:val="ListParagraph"/>
        <w:numPr>
          <w:ilvl w:val="0"/>
          <w:numId w:val="2"/>
        </w:numPr>
        <w:tabs>
          <w:tab w:pos="1354" w:val="left" w:leader="none"/>
          <w:tab w:pos="1355" w:val="left" w:leader="none"/>
        </w:tabs>
        <w:spacing w:line="240" w:lineRule="auto" w:before="0" w:after="0"/>
        <w:ind w:left="1354" w:right="1870" w:hanging="681"/>
        <w:jc w:val="left"/>
        <w:rPr>
          <w:color w:val="231F20"/>
          <w:sz w:val="25"/>
        </w:rPr>
      </w:pPr>
      <w:r>
        <w:rPr>
          <w:color w:val="231F20"/>
          <w:w w:val="110"/>
          <w:sz w:val="18"/>
        </w:rPr>
        <w:t>The United Reformed Church audit for </w:t>
      </w:r>
      <w:r>
        <w:rPr>
          <w:color w:val="231F20"/>
          <w:spacing w:val="2"/>
          <w:w w:val="110"/>
          <w:sz w:val="18"/>
        </w:rPr>
        <w:t>barriers </w:t>
      </w:r>
      <w:r>
        <w:rPr>
          <w:color w:val="231F20"/>
          <w:w w:val="110"/>
          <w:sz w:val="18"/>
        </w:rPr>
        <w:t>to full participation of BME people in the life of the church was conducted by an </w:t>
      </w:r>
      <w:r>
        <w:rPr>
          <w:i/>
          <w:color w:val="231F20"/>
          <w:w w:val="110"/>
          <w:sz w:val="18"/>
        </w:rPr>
        <w:t>Ecumenical Audit Group </w:t>
      </w:r>
      <w:r>
        <w:rPr>
          <w:color w:val="231F20"/>
          <w:w w:val="110"/>
          <w:sz w:val="18"/>
        </w:rPr>
        <w:t>who </w:t>
      </w:r>
      <w:r>
        <w:rPr>
          <w:color w:val="231F20"/>
          <w:spacing w:val="2"/>
          <w:w w:val="110"/>
          <w:sz w:val="18"/>
        </w:rPr>
        <w:t>reported</w:t>
      </w:r>
      <w:r>
        <w:rPr>
          <w:color w:val="231F20"/>
          <w:spacing w:val="2"/>
          <w:w w:val="110"/>
          <w:position w:val="7"/>
          <w:sz w:val="12"/>
        </w:rPr>
        <w:t>2 </w:t>
      </w:r>
      <w:r>
        <w:rPr>
          <w:color w:val="231F20"/>
          <w:w w:val="110"/>
          <w:sz w:val="18"/>
        </w:rPr>
        <w:t>to Mission Council in March</w:t>
      </w:r>
      <w:r>
        <w:rPr>
          <w:color w:val="231F20"/>
          <w:spacing w:val="-16"/>
          <w:w w:val="110"/>
          <w:sz w:val="18"/>
        </w:rPr>
        <w:t> </w:t>
      </w:r>
      <w:r>
        <w:rPr>
          <w:color w:val="231F20"/>
          <w:spacing w:val="-6"/>
          <w:w w:val="110"/>
          <w:sz w:val="18"/>
        </w:rPr>
        <w:t>2007.</w:t>
      </w:r>
    </w:p>
    <w:p>
      <w:pPr>
        <w:pStyle w:val="ListParagraph"/>
        <w:numPr>
          <w:ilvl w:val="0"/>
          <w:numId w:val="2"/>
        </w:numPr>
        <w:tabs>
          <w:tab w:pos="1354" w:val="left" w:leader="none"/>
          <w:tab w:pos="1355" w:val="left" w:leader="none"/>
        </w:tabs>
        <w:spacing w:line="250" w:lineRule="exact" w:before="8" w:after="0"/>
        <w:ind w:left="1354" w:right="1751" w:hanging="681"/>
        <w:jc w:val="left"/>
        <w:rPr>
          <w:i/>
          <w:color w:val="231F20"/>
          <w:sz w:val="25"/>
        </w:rPr>
      </w:pPr>
      <w:r>
        <w:rPr>
          <w:color w:val="231F20"/>
          <w:w w:val="110"/>
          <w:sz w:val="18"/>
        </w:rPr>
        <w:t>Theological education centres are crucial to both the thinking and </w:t>
      </w:r>
      <w:r>
        <w:rPr>
          <w:color w:val="231F20"/>
          <w:spacing w:val="2"/>
          <w:w w:val="110"/>
          <w:sz w:val="18"/>
        </w:rPr>
        <w:t>activity </w:t>
      </w:r>
      <w:r>
        <w:rPr>
          <w:color w:val="231F20"/>
          <w:w w:val="110"/>
          <w:sz w:val="18"/>
        </w:rPr>
        <w:t>of the Church. Ministers spend at least two years within these institutions, and then go on to be leaders in the local churches, and indeed the national and regional levels for several decades. In our theological education centres there are few students, and no </w:t>
      </w:r>
      <w:r>
        <w:rPr>
          <w:color w:val="231F20"/>
          <w:spacing w:val="3"/>
          <w:w w:val="110"/>
          <w:sz w:val="18"/>
        </w:rPr>
        <w:t>staff </w:t>
      </w:r>
      <w:r>
        <w:rPr>
          <w:color w:val="231F20"/>
          <w:w w:val="110"/>
          <w:sz w:val="18"/>
        </w:rPr>
        <w:t>at all, </w:t>
      </w:r>
      <w:r>
        <w:rPr>
          <w:color w:val="231F20"/>
          <w:spacing w:val="2"/>
          <w:w w:val="110"/>
          <w:sz w:val="18"/>
        </w:rPr>
        <w:t>from </w:t>
      </w:r>
      <w:r>
        <w:rPr>
          <w:color w:val="231F20"/>
          <w:w w:val="110"/>
          <w:sz w:val="18"/>
        </w:rPr>
        <w:t>BME background. The </w:t>
      </w:r>
      <w:r>
        <w:rPr>
          <w:color w:val="231F20"/>
          <w:spacing w:val="3"/>
          <w:w w:val="110"/>
          <w:sz w:val="18"/>
        </w:rPr>
        <w:t>report </w:t>
      </w:r>
      <w:r>
        <w:rPr>
          <w:color w:val="231F20"/>
          <w:w w:val="110"/>
          <w:sz w:val="18"/>
        </w:rPr>
        <w:t>commended the </w:t>
      </w:r>
      <w:r>
        <w:rPr>
          <w:i/>
          <w:color w:val="231F20"/>
          <w:w w:val="110"/>
          <w:sz w:val="18"/>
        </w:rPr>
        <w:t>Education </w:t>
      </w:r>
      <w:r>
        <w:rPr>
          <w:i/>
          <w:color w:val="231F20"/>
          <w:w w:val="110"/>
          <w:sz w:val="18"/>
        </w:rPr>
        <w:t>and Learning Committee </w:t>
      </w:r>
      <w:r>
        <w:rPr>
          <w:color w:val="231F20"/>
          <w:w w:val="110"/>
          <w:sz w:val="18"/>
        </w:rPr>
        <w:t>for prioritising the need to address our concerns regarding the </w:t>
      </w:r>
      <w:r>
        <w:rPr>
          <w:i/>
          <w:color w:val="231F20"/>
          <w:w w:val="110"/>
          <w:sz w:val="18"/>
        </w:rPr>
        <w:t>recruitment </w:t>
      </w:r>
      <w:r>
        <w:rPr>
          <w:i/>
          <w:color w:val="231F20"/>
          <w:spacing w:val="2"/>
          <w:w w:val="110"/>
          <w:sz w:val="18"/>
        </w:rPr>
        <w:t>processes </w:t>
      </w:r>
      <w:r>
        <w:rPr>
          <w:i/>
          <w:color w:val="231F20"/>
          <w:w w:val="110"/>
          <w:sz w:val="18"/>
        </w:rPr>
        <w:t>for students, the content of courses, the </w:t>
      </w:r>
      <w:r>
        <w:rPr>
          <w:i/>
          <w:color w:val="231F20"/>
          <w:w w:val="110"/>
          <w:sz w:val="18"/>
        </w:rPr>
        <w:t>selection of staff, the books in our libraries, and indeed the whole cultural and spiritual approach to theological education and</w:t>
      </w:r>
      <w:r>
        <w:rPr>
          <w:i/>
          <w:color w:val="231F20"/>
          <w:spacing w:val="16"/>
          <w:w w:val="110"/>
          <w:sz w:val="18"/>
        </w:rPr>
        <w:t> </w:t>
      </w:r>
      <w:r>
        <w:rPr>
          <w:i/>
          <w:color w:val="231F20"/>
          <w:w w:val="110"/>
          <w:sz w:val="18"/>
        </w:rPr>
        <w:t>learning.</w:t>
      </w:r>
    </w:p>
    <w:p>
      <w:pPr>
        <w:pStyle w:val="ListParagraph"/>
        <w:numPr>
          <w:ilvl w:val="0"/>
          <w:numId w:val="2"/>
        </w:numPr>
        <w:tabs>
          <w:tab w:pos="1354" w:val="left" w:leader="none"/>
          <w:tab w:pos="1355" w:val="left" w:leader="none"/>
        </w:tabs>
        <w:spacing w:line="250" w:lineRule="exact" w:before="0" w:after="0"/>
        <w:ind w:left="1354" w:right="2028" w:hanging="681"/>
        <w:jc w:val="left"/>
        <w:rPr>
          <w:color w:val="231F20"/>
          <w:sz w:val="25"/>
        </w:rPr>
      </w:pPr>
      <w:r>
        <w:rPr>
          <w:color w:val="231F20"/>
          <w:w w:val="110"/>
          <w:sz w:val="18"/>
        </w:rPr>
        <w:t>The </w:t>
      </w:r>
      <w:r>
        <w:rPr>
          <w:color w:val="231F20"/>
          <w:spacing w:val="3"/>
          <w:w w:val="110"/>
          <w:sz w:val="18"/>
        </w:rPr>
        <w:t>report </w:t>
      </w:r>
      <w:r>
        <w:rPr>
          <w:color w:val="231F20"/>
          <w:spacing w:val="2"/>
          <w:w w:val="110"/>
          <w:sz w:val="18"/>
        </w:rPr>
        <w:t>stressed </w:t>
      </w:r>
      <w:r>
        <w:rPr>
          <w:color w:val="231F20"/>
          <w:w w:val="110"/>
          <w:sz w:val="18"/>
        </w:rPr>
        <w:t>the </w:t>
      </w:r>
      <w:r>
        <w:rPr>
          <w:color w:val="231F20"/>
          <w:spacing w:val="2"/>
          <w:w w:val="110"/>
          <w:sz w:val="18"/>
        </w:rPr>
        <w:t>importance </w:t>
      </w:r>
      <w:r>
        <w:rPr>
          <w:color w:val="231F20"/>
          <w:w w:val="110"/>
          <w:sz w:val="18"/>
        </w:rPr>
        <w:t>of </w:t>
      </w:r>
      <w:r>
        <w:rPr>
          <w:i/>
          <w:color w:val="231F20"/>
          <w:w w:val="110"/>
          <w:sz w:val="18"/>
        </w:rPr>
        <w:t>ethnic monitoring </w:t>
      </w:r>
      <w:r>
        <w:rPr>
          <w:color w:val="231F20"/>
          <w:w w:val="110"/>
          <w:sz w:val="18"/>
        </w:rPr>
        <w:t>(page </w:t>
      </w:r>
      <w:r>
        <w:rPr>
          <w:color w:val="231F20"/>
          <w:spacing w:val="-5"/>
          <w:w w:val="110"/>
          <w:sz w:val="18"/>
        </w:rPr>
        <w:t>129) </w:t>
      </w:r>
      <w:r>
        <w:rPr>
          <w:color w:val="231F20"/>
          <w:w w:val="110"/>
          <w:sz w:val="18"/>
        </w:rPr>
        <w:t>for </w:t>
      </w:r>
      <w:r>
        <w:rPr>
          <w:color w:val="231F20"/>
          <w:spacing w:val="2"/>
          <w:w w:val="110"/>
          <w:sz w:val="18"/>
        </w:rPr>
        <w:t>setting </w:t>
      </w:r>
      <w:r>
        <w:rPr>
          <w:color w:val="231F20"/>
          <w:w w:val="110"/>
          <w:sz w:val="18"/>
        </w:rPr>
        <w:t>strategies for inclusiveness, the </w:t>
      </w:r>
      <w:r>
        <w:rPr>
          <w:color w:val="231F20"/>
          <w:spacing w:val="2"/>
          <w:w w:val="110"/>
          <w:sz w:val="18"/>
        </w:rPr>
        <w:t>critical </w:t>
      </w:r>
      <w:r>
        <w:rPr>
          <w:color w:val="231F20"/>
          <w:w w:val="110"/>
          <w:sz w:val="18"/>
        </w:rPr>
        <w:t>role church </w:t>
      </w:r>
      <w:r>
        <w:rPr>
          <w:i/>
          <w:color w:val="231F20"/>
          <w:w w:val="110"/>
          <w:sz w:val="18"/>
        </w:rPr>
        <w:t>leadership </w:t>
      </w:r>
      <w:r>
        <w:rPr>
          <w:color w:val="231F20"/>
          <w:w w:val="110"/>
          <w:sz w:val="18"/>
        </w:rPr>
        <w:t>must assume in promoting multicultural sensitivity, and the need for intentional measures to ensure </w:t>
      </w:r>
      <w:r>
        <w:rPr>
          <w:i/>
          <w:color w:val="231F20"/>
          <w:w w:val="110"/>
          <w:sz w:val="18"/>
        </w:rPr>
        <w:t>balanced representation </w:t>
      </w:r>
      <w:r>
        <w:rPr>
          <w:color w:val="231F20"/>
          <w:w w:val="110"/>
          <w:sz w:val="18"/>
        </w:rPr>
        <w:t>at all levels of decision</w:t>
      </w:r>
      <w:r>
        <w:rPr>
          <w:color w:val="231F20"/>
          <w:spacing w:val="33"/>
          <w:w w:val="110"/>
          <w:sz w:val="18"/>
        </w:rPr>
        <w:t> </w:t>
      </w:r>
      <w:r>
        <w:rPr>
          <w:color w:val="231F20"/>
          <w:w w:val="110"/>
          <w:sz w:val="18"/>
        </w:rPr>
        <w:t>making.</w:t>
      </w:r>
    </w:p>
    <w:p>
      <w:pPr>
        <w:pStyle w:val="BodyText"/>
        <w:rPr>
          <w:sz w:val="22"/>
        </w:rPr>
      </w:pPr>
      <w:r>
        <w:rPr/>
        <w:pict>
          <v:group style="position:absolute;margin-left:45.359451pt;margin-top:15.342031pt;width:496.6pt;height:96.95pt;mso-position-horizontal-relative:page;mso-position-vertical-relative:paragraph;z-index:-251503616;mso-wrap-distance-left:0;mso-wrap-distance-right:0" coordorigin="907,307" coordsize="9932,1939">
            <v:shape style="position:absolute;left:907;top:355;width:9932;height:1890" type="#_x0000_t75" stroked="false">
              <v:imagedata r:id="rId174" o:title=""/>
            </v:shape>
            <v:shape style="position:absolute;left:1209;top:306;width:3719;height:750" type="#_x0000_t202" filled="false" stroked="false">
              <v:textbox inset="0,0,0,0">
                <w:txbxContent>
                  <w:p>
                    <w:pPr>
                      <w:spacing w:before="2"/>
                      <w:ind w:left="0" w:right="0" w:firstLine="0"/>
                      <w:jc w:val="left"/>
                      <w:rPr>
                        <w:b/>
                        <w:sz w:val="50"/>
                      </w:rPr>
                    </w:pPr>
                    <w:r>
                      <w:rPr>
                        <w:b/>
                        <w:color w:val="FFFFFF"/>
                        <w:spacing w:val="-51"/>
                        <w:w w:val="111"/>
                        <w:sz w:val="43"/>
                        <w:shd w:fill="D8DADC" w:color="auto" w:val="clear"/>
                      </w:rPr>
                      <w:t> </w:t>
                    </w:r>
                    <w:r>
                      <w:rPr>
                        <w:b/>
                        <w:color w:val="FFFFFF"/>
                        <w:spacing w:val="2"/>
                        <w:w w:val="111"/>
                        <w:sz w:val="43"/>
                        <w:shd w:fill="D8DADC" w:color="auto" w:val="clear"/>
                      </w:rPr>
                      <w:t>R</w:t>
                    </w:r>
                    <w:r>
                      <w:rPr>
                        <w:b/>
                        <w:color w:val="FFFFFF"/>
                        <w:spacing w:val="1"/>
                        <w:w w:val="111"/>
                        <w:sz w:val="43"/>
                        <w:shd w:fill="D8DADC" w:color="auto" w:val="clear"/>
                      </w:rPr>
                      <w:t>E</w:t>
                    </w:r>
                    <w:r>
                      <w:rPr>
                        <w:b/>
                        <w:color w:val="FFFFFF"/>
                        <w:w w:val="111"/>
                        <w:sz w:val="43"/>
                        <w:shd w:fill="D8DADC" w:color="auto" w:val="clear"/>
                      </w:rPr>
                      <w:t>S</w:t>
                    </w:r>
                    <w:r>
                      <w:rPr>
                        <w:b/>
                        <w:color w:val="FFFFFF"/>
                        <w:spacing w:val="-4"/>
                        <w:w w:val="111"/>
                        <w:sz w:val="43"/>
                        <w:shd w:fill="D8DADC" w:color="auto" w:val="clear"/>
                      </w:rPr>
                      <w:t>O</w:t>
                    </w:r>
                    <w:r>
                      <w:rPr>
                        <w:b/>
                        <w:color w:val="FFFFFF"/>
                        <w:spacing w:val="-6"/>
                        <w:w w:val="111"/>
                        <w:sz w:val="43"/>
                        <w:shd w:fill="D8DADC" w:color="auto" w:val="clear"/>
                      </w:rPr>
                      <w:t>L</w:t>
                    </w:r>
                    <w:r>
                      <w:rPr>
                        <w:b/>
                        <w:color w:val="FFFFFF"/>
                        <w:spacing w:val="-2"/>
                        <w:w w:val="111"/>
                        <w:sz w:val="43"/>
                        <w:shd w:fill="D8DADC" w:color="auto" w:val="clear"/>
                      </w:rPr>
                      <w:t>U</w:t>
                    </w:r>
                    <w:r>
                      <w:rPr>
                        <w:b/>
                        <w:color w:val="FFFFFF"/>
                        <w:spacing w:val="3"/>
                        <w:w w:val="111"/>
                        <w:sz w:val="43"/>
                        <w:shd w:fill="D8DADC" w:color="auto" w:val="clear"/>
                      </w:rPr>
                      <w:t>T</w:t>
                    </w:r>
                    <w:r>
                      <w:rPr>
                        <w:b/>
                        <w:color w:val="FFFFFF"/>
                        <w:spacing w:val="-15"/>
                        <w:w w:val="111"/>
                        <w:sz w:val="43"/>
                        <w:shd w:fill="D8DADC" w:color="auto" w:val="clear"/>
                      </w:rPr>
                      <w:t>I</w:t>
                    </w:r>
                    <w:r>
                      <w:rPr>
                        <w:b/>
                        <w:color w:val="FFFFFF"/>
                        <w:spacing w:val="-330"/>
                        <w:w w:val="111"/>
                        <w:sz w:val="43"/>
                        <w:shd w:fill="D8DADC" w:color="auto" w:val="clear"/>
                      </w:rPr>
                      <w:t>O</w:t>
                    </w:r>
                    <w:r>
                      <w:rPr>
                        <w:b/>
                        <w:color w:val="231F20"/>
                        <w:spacing w:val="-73"/>
                        <w:w w:val="112"/>
                        <w:position w:val="-20"/>
                        <w:sz w:val="50"/>
                      </w:rPr>
                      <w:t>3</w:t>
                    </w:r>
                    <w:r>
                      <w:rPr>
                        <w:b/>
                        <w:color w:val="FFFFFF"/>
                        <w:spacing w:val="-340"/>
                        <w:w w:val="111"/>
                        <w:sz w:val="43"/>
                        <w:shd w:fill="D8DADC" w:color="auto" w:val="clear"/>
                      </w:rPr>
                      <w:t>N</w:t>
                    </w:r>
                    <w:r>
                      <w:rPr>
                        <w:b/>
                        <w:color w:val="231F20"/>
                        <w:spacing w:val="-6"/>
                        <w:w w:val="112"/>
                        <w:position w:val="-20"/>
                        <w:sz w:val="50"/>
                      </w:rPr>
                      <w:t>4</w:t>
                    </w:r>
                  </w:p>
                </w:txbxContent>
              </v:textbox>
              <w10:wrap type="none"/>
            </v:shape>
            <v:shape style="position:absolute;left:5648;top:751;width:4576;height:241" type="#_x0000_t202" filled="false" stroked="false">
              <v:textbox inset="0,0,0,0">
                <w:txbxContent>
                  <w:p>
                    <w:pPr>
                      <w:spacing w:line="241" w:lineRule="exact" w:before="0"/>
                      <w:ind w:left="0" w:right="0" w:firstLine="0"/>
                      <w:jc w:val="left"/>
                      <w:rPr>
                        <w:b/>
                        <w:sz w:val="20"/>
                      </w:rPr>
                    </w:pPr>
                    <w:r>
                      <w:rPr>
                        <w:b/>
                        <w:color w:val="231F20"/>
                        <w:w w:val="110"/>
                        <w:sz w:val="20"/>
                      </w:rPr>
                      <w:t>Representation at General Assembly</w:t>
                    </w:r>
                  </w:p>
                </w:txbxContent>
              </v:textbox>
              <w10:wrap type="none"/>
            </v:shape>
            <v:shape style="position:absolute;left:1133;top:1269;width:8582;height:719" type="#_x0000_t202" filled="false" stroked="false">
              <v:textbox inset="0,0,0,0">
                <w:txbxContent>
                  <w:p>
                    <w:pPr>
                      <w:spacing w:line="273" w:lineRule="auto" w:before="0"/>
                      <w:ind w:left="0" w:right="0" w:firstLine="0"/>
                      <w:jc w:val="left"/>
                      <w:rPr>
                        <w:sz w:val="18"/>
                      </w:rPr>
                    </w:pPr>
                    <w:r>
                      <w:rPr>
                        <w:color w:val="231F20"/>
                        <w:w w:val="110"/>
                        <w:sz w:val="18"/>
                      </w:rPr>
                      <w:t>General Assembly agree, in principle, to apply to black and minority ethnic people a similar arrangement to that made for youth representation at the new and reduced General Assembly.</w:t>
                    </w:r>
                  </w:p>
                </w:txbxContent>
              </v:textbox>
              <w10:wrap type="none"/>
            </v:shape>
            <w10:wrap type="topAndBottom"/>
          </v:group>
        </w:pict>
      </w:r>
    </w:p>
    <w:p>
      <w:pPr>
        <w:pStyle w:val="BodyText"/>
        <w:rPr>
          <w:sz w:val="20"/>
        </w:rPr>
      </w:pPr>
    </w:p>
    <w:p>
      <w:pPr>
        <w:pStyle w:val="BodyText"/>
        <w:spacing w:before="1"/>
        <w:rPr>
          <w:sz w:val="19"/>
        </w:rPr>
      </w:pPr>
    </w:p>
    <w:p>
      <w:pPr>
        <w:spacing w:line="241" w:lineRule="exact" w:before="0"/>
        <w:ind w:left="673" w:right="0" w:firstLine="0"/>
        <w:jc w:val="left"/>
        <w:rPr>
          <w:b/>
          <w:sz w:val="20"/>
        </w:rPr>
      </w:pPr>
      <w:r>
        <w:rPr>
          <w:b/>
          <w:color w:val="231F20"/>
          <w:w w:val="110"/>
          <w:sz w:val="20"/>
        </w:rPr>
        <w:t>The Abolition of the Slave Trade Bicentenary 2007</w:t>
      </w:r>
    </w:p>
    <w:p>
      <w:pPr>
        <w:pStyle w:val="ListParagraph"/>
        <w:numPr>
          <w:ilvl w:val="0"/>
          <w:numId w:val="2"/>
        </w:numPr>
        <w:tabs>
          <w:tab w:pos="1354" w:val="left" w:leader="none"/>
          <w:tab w:pos="1355" w:val="left" w:leader="none"/>
        </w:tabs>
        <w:spacing w:line="290" w:lineRule="exact" w:before="0" w:after="0"/>
        <w:ind w:left="1354" w:right="0" w:hanging="682"/>
        <w:jc w:val="left"/>
        <w:rPr>
          <w:color w:val="231F20"/>
          <w:sz w:val="25"/>
        </w:rPr>
      </w:pPr>
      <w:r>
        <w:rPr>
          <w:color w:val="231F20"/>
          <w:w w:val="110"/>
          <w:sz w:val="18"/>
        </w:rPr>
        <w:t>Our worship </w:t>
      </w:r>
      <w:r>
        <w:rPr>
          <w:color w:val="231F20"/>
          <w:spacing w:val="2"/>
          <w:w w:val="110"/>
          <w:sz w:val="18"/>
        </w:rPr>
        <w:t>resource </w:t>
      </w:r>
      <w:r>
        <w:rPr>
          <w:color w:val="231F20"/>
          <w:w w:val="110"/>
          <w:sz w:val="18"/>
        </w:rPr>
        <w:t>produced specifically for this event and made available</w:t>
      </w:r>
      <w:r>
        <w:rPr>
          <w:color w:val="231F20"/>
          <w:spacing w:val="38"/>
          <w:w w:val="110"/>
          <w:sz w:val="18"/>
        </w:rPr>
        <w:t> </w:t>
      </w:r>
      <w:r>
        <w:rPr>
          <w:color w:val="231F20"/>
          <w:w w:val="110"/>
          <w:sz w:val="18"/>
        </w:rPr>
        <w:t>for</w:t>
      </w:r>
    </w:p>
    <w:p>
      <w:pPr>
        <w:pStyle w:val="BodyText"/>
        <w:spacing w:line="207" w:lineRule="exact"/>
        <w:ind w:left="1354"/>
      </w:pPr>
      <w:r>
        <w:rPr>
          <w:color w:val="231F20"/>
          <w:w w:val="110"/>
        </w:rPr>
        <w:t>use throughout the year continues to be in great demand (page 127).</w:t>
      </w:r>
    </w:p>
    <w:p>
      <w:pPr>
        <w:pStyle w:val="ListParagraph"/>
        <w:numPr>
          <w:ilvl w:val="0"/>
          <w:numId w:val="2"/>
        </w:numPr>
        <w:tabs>
          <w:tab w:pos="1354" w:val="left" w:leader="none"/>
          <w:tab w:pos="1355" w:val="left" w:leader="none"/>
        </w:tabs>
        <w:spacing w:line="250" w:lineRule="exact" w:before="12" w:after="0"/>
        <w:ind w:left="1354" w:right="1910" w:hanging="681"/>
        <w:jc w:val="left"/>
        <w:rPr>
          <w:color w:val="231F20"/>
          <w:sz w:val="25"/>
        </w:rPr>
      </w:pPr>
      <w:r>
        <w:rPr>
          <w:color w:val="231F20"/>
          <w:w w:val="110"/>
          <w:sz w:val="18"/>
        </w:rPr>
        <w:t>This year we commemorate the 200</w:t>
      </w:r>
      <w:r>
        <w:rPr>
          <w:color w:val="231F20"/>
          <w:w w:val="110"/>
          <w:position w:val="6"/>
          <w:sz w:val="10"/>
        </w:rPr>
        <w:t>th </w:t>
      </w:r>
      <w:r>
        <w:rPr>
          <w:color w:val="231F20"/>
          <w:w w:val="110"/>
          <w:sz w:val="18"/>
        </w:rPr>
        <w:t>anniversary of the British parliament </w:t>
      </w:r>
      <w:r>
        <w:rPr>
          <w:color w:val="231F20"/>
          <w:spacing w:val="2"/>
          <w:w w:val="110"/>
          <w:sz w:val="18"/>
        </w:rPr>
        <w:t>act </w:t>
      </w:r>
      <w:r>
        <w:rPr>
          <w:color w:val="231F20"/>
          <w:w w:val="110"/>
          <w:sz w:val="18"/>
        </w:rPr>
        <w:t>abolishing the slave trade. Slavery itself continued and, outside British territory, the</w:t>
      </w:r>
      <w:r>
        <w:rPr>
          <w:color w:val="231F20"/>
          <w:spacing w:val="7"/>
          <w:w w:val="110"/>
          <w:sz w:val="18"/>
        </w:rPr>
        <w:t> </w:t>
      </w:r>
      <w:r>
        <w:rPr>
          <w:color w:val="231F20"/>
          <w:w w:val="110"/>
          <w:sz w:val="18"/>
        </w:rPr>
        <w:t>trade</w:t>
      </w:r>
      <w:r>
        <w:rPr>
          <w:color w:val="231F20"/>
          <w:spacing w:val="8"/>
          <w:w w:val="110"/>
          <w:sz w:val="18"/>
        </w:rPr>
        <w:t> </w:t>
      </w:r>
      <w:r>
        <w:rPr>
          <w:color w:val="231F20"/>
          <w:w w:val="110"/>
          <w:sz w:val="18"/>
        </w:rPr>
        <w:t>in</w:t>
      </w:r>
      <w:r>
        <w:rPr>
          <w:color w:val="231F20"/>
          <w:spacing w:val="8"/>
          <w:w w:val="110"/>
          <w:sz w:val="18"/>
        </w:rPr>
        <w:t> </w:t>
      </w:r>
      <w:r>
        <w:rPr>
          <w:color w:val="231F20"/>
          <w:w w:val="110"/>
          <w:sz w:val="18"/>
        </w:rPr>
        <w:t>enslaved</w:t>
      </w:r>
      <w:r>
        <w:rPr>
          <w:color w:val="231F20"/>
          <w:spacing w:val="7"/>
          <w:w w:val="110"/>
          <w:sz w:val="18"/>
        </w:rPr>
        <w:t> </w:t>
      </w:r>
      <w:r>
        <w:rPr>
          <w:color w:val="231F20"/>
          <w:w w:val="110"/>
          <w:sz w:val="18"/>
        </w:rPr>
        <w:t>people</w:t>
      </w:r>
      <w:r>
        <w:rPr>
          <w:color w:val="231F20"/>
          <w:spacing w:val="8"/>
          <w:w w:val="110"/>
          <w:sz w:val="18"/>
        </w:rPr>
        <w:t> </w:t>
      </w:r>
      <w:r>
        <w:rPr>
          <w:color w:val="231F20"/>
          <w:w w:val="110"/>
          <w:sz w:val="18"/>
        </w:rPr>
        <w:t>continued.</w:t>
      </w:r>
      <w:r>
        <w:rPr>
          <w:color w:val="231F20"/>
          <w:spacing w:val="8"/>
          <w:w w:val="110"/>
          <w:sz w:val="18"/>
        </w:rPr>
        <w:t> </w:t>
      </w:r>
      <w:r>
        <w:rPr>
          <w:color w:val="231F20"/>
          <w:w w:val="110"/>
          <w:sz w:val="18"/>
        </w:rPr>
        <w:t>The</w:t>
      </w:r>
      <w:r>
        <w:rPr>
          <w:color w:val="231F20"/>
          <w:spacing w:val="8"/>
          <w:w w:val="110"/>
          <w:sz w:val="18"/>
        </w:rPr>
        <w:t> </w:t>
      </w:r>
      <w:r>
        <w:rPr>
          <w:color w:val="231F20"/>
          <w:w w:val="110"/>
          <w:sz w:val="18"/>
        </w:rPr>
        <w:t>term</w:t>
      </w:r>
      <w:r>
        <w:rPr>
          <w:color w:val="231F20"/>
          <w:spacing w:val="7"/>
          <w:w w:val="110"/>
          <w:sz w:val="18"/>
        </w:rPr>
        <w:t> </w:t>
      </w:r>
      <w:r>
        <w:rPr>
          <w:i/>
          <w:color w:val="231F20"/>
          <w:w w:val="110"/>
          <w:sz w:val="18"/>
        </w:rPr>
        <w:t>slave</w:t>
      </w:r>
      <w:r>
        <w:rPr>
          <w:i/>
          <w:color w:val="231F20"/>
          <w:spacing w:val="8"/>
          <w:w w:val="110"/>
          <w:sz w:val="18"/>
        </w:rPr>
        <w:t> </w:t>
      </w:r>
      <w:r>
        <w:rPr>
          <w:color w:val="231F20"/>
          <w:w w:val="110"/>
          <w:sz w:val="18"/>
        </w:rPr>
        <w:t>in</w:t>
      </w:r>
      <w:r>
        <w:rPr>
          <w:color w:val="231F20"/>
          <w:spacing w:val="8"/>
          <w:w w:val="110"/>
          <w:sz w:val="18"/>
        </w:rPr>
        <w:t> </w:t>
      </w:r>
      <w:r>
        <w:rPr>
          <w:color w:val="231F20"/>
          <w:w w:val="110"/>
          <w:sz w:val="18"/>
        </w:rPr>
        <w:t>this</w:t>
      </w:r>
      <w:r>
        <w:rPr>
          <w:color w:val="231F20"/>
          <w:spacing w:val="7"/>
          <w:w w:val="110"/>
          <w:sz w:val="18"/>
        </w:rPr>
        <w:t> </w:t>
      </w:r>
      <w:r>
        <w:rPr>
          <w:color w:val="231F20"/>
          <w:w w:val="110"/>
          <w:sz w:val="18"/>
        </w:rPr>
        <w:t>context</w:t>
      </w:r>
      <w:r>
        <w:rPr>
          <w:color w:val="231F20"/>
          <w:spacing w:val="8"/>
          <w:w w:val="110"/>
          <w:sz w:val="18"/>
        </w:rPr>
        <w:t> </w:t>
      </w:r>
      <w:r>
        <w:rPr>
          <w:color w:val="231F20"/>
          <w:w w:val="110"/>
          <w:sz w:val="18"/>
        </w:rPr>
        <w:t>means</w:t>
      </w:r>
    </w:p>
    <w:p>
      <w:pPr>
        <w:pStyle w:val="BodyText"/>
        <w:spacing w:line="273" w:lineRule="auto" w:before="19"/>
        <w:ind w:left="1354" w:right="2061"/>
      </w:pPr>
      <w:r>
        <w:rPr>
          <w:color w:val="231F20"/>
          <w:w w:val="110"/>
        </w:rPr>
        <w:t>a human being reduced to ‘chattel’ and traded as such with no human rights whatsoever. In 300 years about 10-12 million Africans were transported to the Americas as slaves. Many British women and men were active in the movement to abolish the slave trade. In 1795, David Bogue, a Scottish Congregationalist, preached a sermon that was a searing indictment of colonisation and the slave trade:</w:t>
      </w:r>
    </w:p>
    <w:p>
      <w:pPr>
        <w:pStyle w:val="BodyText"/>
        <w:spacing w:line="264" w:lineRule="auto"/>
        <w:ind w:left="2034" w:right="1898"/>
      </w:pPr>
      <w:r>
        <w:rPr>
          <w:color w:val="231F20"/>
          <w:sz w:val="16"/>
        </w:rPr>
        <w:t>“…</w:t>
      </w:r>
      <w:r>
        <w:rPr>
          <w:color w:val="231F20"/>
        </w:rPr>
        <w:t>since the invention of the mariner’s compass...nearly all the tribes of the earth have been brought into view, and some kind of intercourse established with them. And for what end is all this? Was America discovered to our view, that those... who first landed on her shores, might rob the inhabitants of their country, murder them by the millions, and send the few that remained into the bowels of the earth to dig for gold to allay the cravings of their accursed avarice? Were thy</w:t>
      </w:r>
      <w:r>
        <w:rPr>
          <w:color w:val="231F20"/>
          <w:spacing w:val="25"/>
        </w:rPr>
        <w:t> </w:t>
      </w:r>
      <w:r>
        <w:rPr>
          <w:color w:val="231F20"/>
        </w:rPr>
        <w:t>coasts,</w:t>
      </w:r>
    </w:p>
    <w:p>
      <w:pPr>
        <w:pStyle w:val="BodyText"/>
        <w:spacing w:line="264" w:lineRule="auto"/>
        <w:ind w:left="2034" w:right="1708"/>
      </w:pPr>
      <w:r>
        <w:rPr>
          <w:color w:val="231F20"/>
        </w:rPr>
        <w:t>O Africa, unveiled to our eyes, that Christian merchants, sanctioned by Christian legislatures, might drag thy... sons and daughters from their native soil...to be bondmen and bondwomen in their distant colonies, till welcome death put an end to the bitterness of sorrow?... Do ye think men of literature and philosophy, that the chief design is to gratify your curiosity, to make your maps more full,... and your histories of man in his various forms and institutions more perfect? Do ye suppose, ye men of commerce, that the great end of God in this dispensation is, that the manufactures of England might find a more extensive and profitable market,</w:t>
      </w:r>
    </w:p>
    <w:p>
      <w:pPr>
        <w:pStyle w:val="BodyText"/>
        <w:spacing w:line="213" w:lineRule="exact"/>
        <w:ind w:left="2034"/>
      </w:pPr>
      <w:r>
        <w:rPr>
          <w:color w:val="231F20"/>
        </w:rPr>
        <w:t>and that the commodities furnished by these distant lands might minister to our</w:t>
      </w:r>
    </w:p>
    <w:p>
      <w:pPr>
        <w:pStyle w:val="BodyText"/>
        <w:spacing w:before="11"/>
        <w:ind w:left="2034"/>
      </w:pPr>
      <w:r>
        <w:rPr>
          <w:color w:val="231F20"/>
        </w:rPr>
        <w:t>convenience, luxury and affluence? No... The true state of the case is this. God in</w:t>
      </w:r>
    </w:p>
    <w:p>
      <w:pPr>
        <w:pStyle w:val="BodyText"/>
        <w:rPr>
          <w:sz w:val="20"/>
        </w:rPr>
      </w:pPr>
    </w:p>
    <w:p>
      <w:pPr>
        <w:pStyle w:val="BodyText"/>
        <w:spacing w:before="1"/>
        <w:rPr>
          <w:sz w:val="19"/>
        </w:rPr>
      </w:pPr>
      <w:r>
        <w:rPr/>
        <w:pict>
          <v:shape style="position:absolute;margin-left:56.693001pt;margin-top:14.090805pt;width:72pt;height:.1pt;mso-position-horizontal-relative:page;mso-position-vertical-relative:paragraph;z-index:-251502592;mso-wrap-distance-left:0;mso-wrap-distance-right:0" coordorigin="1134,282" coordsize="1440,0" path="m1134,282l2574,282e" filled="false" stroked="true" strokeweight="1pt" strokecolor="#231f20">
            <v:path arrowok="t"/>
            <v:stroke dashstyle="solid"/>
            <w10:wrap type="topAndBottom"/>
          </v:shape>
        </w:pict>
      </w:r>
    </w:p>
    <w:p>
      <w:pPr>
        <w:tabs>
          <w:tab w:pos="1393" w:val="left" w:leader="none"/>
        </w:tabs>
        <w:spacing w:before="30"/>
        <w:ind w:left="673" w:right="0" w:firstLine="0"/>
        <w:jc w:val="left"/>
        <w:rPr>
          <w:sz w:val="16"/>
        </w:rPr>
      </w:pPr>
      <w:r>
        <w:rPr>
          <w:i/>
          <w:color w:val="231F20"/>
          <w:w w:val="110"/>
          <w:sz w:val="18"/>
        </w:rPr>
        <w:t>2</w:t>
        <w:tab/>
      </w:r>
      <w:r>
        <w:rPr>
          <w:color w:val="231F20"/>
          <w:w w:val="110"/>
          <w:sz w:val="16"/>
        </w:rPr>
        <w:t>See Mission Council </w:t>
      </w:r>
      <w:r>
        <w:rPr>
          <w:color w:val="231F20"/>
          <w:spacing w:val="3"/>
          <w:w w:val="110"/>
          <w:sz w:val="16"/>
        </w:rPr>
        <w:t>report, </w:t>
      </w:r>
      <w:r>
        <w:rPr>
          <w:color w:val="231F20"/>
          <w:w w:val="110"/>
          <w:sz w:val="16"/>
        </w:rPr>
        <w:t>page </w:t>
      </w:r>
      <w:r>
        <w:rPr>
          <w:color w:val="231F20"/>
          <w:spacing w:val="-10"/>
          <w:w w:val="110"/>
          <w:sz w:val="16"/>
        </w:rPr>
        <w:t>47, </w:t>
      </w:r>
      <w:r>
        <w:rPr>
          <w:color w:val="231F20"/>
          <w:w w:val="110"/>
          <w:sz w:val="16"/>
        </w:rPr>
        <w:t>para</w:t>
      </w:r>
      <w:r>
        <w:rPr>
          <w:color w:val="231F20"/>
          <w:spacing w:val="24"/>
          <w:w w:val="110"/>
          <w:sz w:val="16"/>
        </w:rPr>
        <w:t> </w:t>
      </w:r>
      <w:r>
        <w:rPr>
          <w:color w:val="231F20"/>
          <w:w w:val="110"/>
          <w:sz w:val="16"/>
        </w:rPr>
        <w:t>3.3.</w:t>
      </w:r>
    </w:p>
    <w:p>
      <w:pPr>
        <w:spacing w:after="0"/>
        <w:jc w:val="left"/>
        <w:rPr>
          <w:sz w:val="16"/>
        </w:rPr>
        <w:sectPr>
          <w:headerReference w:type="even" r:id="rId170"/>
          <w:headerReference w:type="default" r:id="rId171"/>
          <w:footerReference w:type="even" r:id="rId172"/>
          <w:footerReference w:type="default" r:id="rId173"/>
          <w:pgSz w:w="11910" w:h="16840"/>
          <w:pgMar w:header="558" w:footer="484" w:top="820" w:bottom="680" w:left="460" w:right="0"/>
          <w:pgNumType w:start="124"/>
        </w:sectPr>
      </w:pPr>
    </w:p>
    <w:p>
      <w:pPr>
        <w:pStyle w:val="BodyText"/>
        <w:spacing w:before="6"/>
        <w:rPr>
          <w:sz w:val="12"/>
        </w:rPr>
      </w:pPr>
    </w:p>
    <w:p>
      <w:pPr>
        <w:pStyle w:val="BodyText"/>
        <w:spacing w:line="264" w:lineRule="auto" w:before="100"/>
        <w:ind w:left="2601" w:right="1584"/>
      </w:pPr>
      <w:r>
        <w:rPr>
          <w:color w:val="231F20"/>
        </w:rPr>
        <w:t>his Providence has discovered these nations to us, and given us intercourse with them, that a door might thereby be opened for the entrance of the gospel, and that </w:t>
      </w:r>
      <w:r>
        <w:rPr>
          <w:color w:val="231F20"/>
          <w:spacing w:val="2"/>
        </w:rPr>
        <w:t>messengers </w:t>
      </w:r>
      <w:r>
        <w:rPr>
          <w:color w:val="231F20"/>
        </w:rPr>
        <w:t>might be sent to them with the joyful tidings of salvation by the </w:t>
      </w:r>
      <w:r>
        <w:rPr>
          <w:color w:val="231F20"/>
          <w:spacing w:val="2"/>
        </w:rPr>
        <w:t>cross </w:t>
      </w:r>
      <w:r>
        <w:rPr>
          <w:color w:val="231F20"/>
        </w:rPr>
        <w:t>of</w:t>
      </w:r>
      <w:r>
        <w:rPr>
          <w:color w:val="231F20"/>
          <w:spacing w:val="-2"/>
        </w:rPr>
        <w:t> </w:t>
      </w:r>
      <w:r>
        <w:rPr>
          <w:color w:val="231F20"/>
        </w:rPr>
        <w:t>Christ.”</w:t>
      </w:r>
    </w:p>
    <w:p>
      <w:pPr>
        <w:pStyle w:val="BodyText"/>
        <w:spacing w:before="2"/>
        <w:rPr>
          <w:sz w:val="21"/>
        </w:rPr>
      </w:pPr>
    </w:p>
    <w:p>
      <w:pPr>
        <w:pStyle w:val="ListParagraph"/>
        <w:numPr>
          <w:ilvl w:val="1"/>
          <w:numId w:val="70"/>
        </w:numPr>
        <w:tabs>
          <w:tab w:pos="1960" w:val="left" w:leader="none"/>
          <w:tab w:pos="1961" w:val="left" w:leader="none"/>
        </w:tabs>
        <w:spacing w:line="273" w:lineRule="auto" w:before="1" w:after="0"/>
        <w:ind w:left="1240" w:right="1318" w:firstLine="0"/>
        <w:jc w:val="left"/>
        <w:rPr>
          <w:sz w:val="18"/>
        </w:rPr>
      </w:pPr>
      <w:r>
        <w:rPr>
          <w:color w:val="231F20"/>
          <w:spacing w:val="-3"/>
          <w:w w:val="110"/>
          <w:sz w:val="18"/>
        </w:rPr>
        <w:t>We </w:t>
      </w:r>
      <w:r>
        <w:rPr>
          <w:color w:val="231F20"/>
          <w:w w:val="110"/>
          <w:sz w:val="18"/>
        </w:rPr>
        <w:t>have still to learn the lesson that God has made us for each </w:t>
      </w:r>
      <w:r>
        <w:rPr>
          <w:color w:val="231F20"/>
          <w:spacing w:val="-3"/>
          <w:w w:val="110"/>
          <w:sz w:val="18"/>
        </w:rPr>
        <w:t>other, </w:t>
      </w:r>
      <w:r>
        <w:rPr>
          <w:color w:val="231F20"/>
          <w:w w:val="110"/>
          <w:sz w:val="18"/>
        </w:rPr>
        <w:t>to delight together in God’s grace, rather than to exploit each other for our own selfish purposes. The transatlantic slave trade </w:t>
      </w:r>
      <w:r>
        <w:rPr>
          <w:color w:val="231F20"/>
          <w:spacing w:val="2"/>
          <w:w w:val="110"/>
          <w:sz w:val="18"/>
        </w:rPr>
        <w:t>casts </w:t>
      </w:r>
      <w:r>
        <w:rPr>
          <w:color w:val="231F20"/>
          <w:w w:val="110"/>
          <w:sz w:val="18"/>
        </w:rPr>
        <w:t>a long shadow over relations between black and white people. Celebrating this anniversary as if white people did black people a favour  in </w:t>
      </w:r>
      <w:r>
        <w:rPr>
          <w:color w:val="231F20"/>
          <w:spacing w:val="-3"/>
          <w:w w:val="110"/>
          <w:sz w:val="18"/>
        </w:rPr>
        <w:t>1807 </w:t>
      </w:r>
      <w:r>
        <w:rPr>
          <w:color w:val="231F20"/>
          <w:w w:val="110"/>
          <w:sz w:val="18"/>
        </w:rPr>
        <w:t>is to misread history. It was one small step towards remedying injustice and </w:t>
      </w:r>
      <w:r>
        <w:rPr>
          <w:color w:val="231F20"/>
          <w:spacing w:val="2"/>
          <w:w w:val="110"/>
          <w:sz w:val="18"/>
        </w:rPr>
        <w:t>cruelty </w:t>
      </w:r>
      <w:r>
        <w:rPr>
          <w:color w:val="231F20"/>
          <w:w w:val="110"/>
          <w:sz w:val="18"/>
        </w:rPr>
        <w:t>that has continued into modern times. </w:t>
      </w:r>
      <w:r>
        <w:rPr>
          <w:color w:val="231F20"/>
          <w:spacing w:val="-3"/>
          <w:w w:val="110"/>
          <w:sz w:val="18"/>
        </w:rPr>
        <w:t>We </w:t>
      </w:r>
      <w:r>
        <w:rPr>
          <w:color w:val="231F20"/>
          <w:w w:val="110"/>
          <w:sz w:val="18"/>
        </w:rPr>
        <w:t>need to acknowledge that and to pledge ourselves to live together as people of the one God, </w:t>
      </w:r>
      <w:r>
        <w:rPr>
          <w:color w:val="231F20"/>
          <w:spacing w:val="2"/>
          <w:w w:val="110"/>
          <w:sz w:val="18"/>
        </w:rPr>
        <w:t>sisters </w:t>
      </w:r>
      <w:r>
        <w:rPr>
          <w:color w:val="231F20"/>
          <w:w w:val="110"/>
          <w:sz w:val="18"/>
        </w:rPr>
        <w:t>and </w:t>
      </w:r>
      <w:r>
        <w:rPr>
          <w:color w:val="231F20"/>
          <w:spacing w:val="2"/>
          <w:w w:val="110"/>
          <w:sz w:val="18"/>
        </w:rPr>
        <w:t>brothers </w:t>
      </w:r>
      <w:r>
        <w:rPr>
          <w:color w:val="231F20"/>
          <w:w w:val="110"/>
          <w:sz w:val="18"/>
        </w:rPr>
        <w:t>in Christ Jesus.</w:t>
      </w:r>
    </w:p>
    <w:p>
      <w:pPr>
        <w:pStyle w:val="BodyText"/>
        <w:rPr>
          <w:sz w:val="20"/>
        </w:rPr>
      </w:pPr>
    </w:p>
    <w:p>
      <w:pPr>
        <w:pStyle w:val="BodyText"/>
        <w:rPr>
          <w:sz w:val="20"/>
        </w:rPr>
      </w:pPr>
    </w:p>
    <w:p>
      <w:pPr>
        <w:pStyle w:val="BodyText"/>
        <w:rPr>
          <w:sz w:val="21"/>
        </w:rPr>
      </w:pPr>
      <w:r>
        <w:rPr/>
        <w:pict>
          <v:group style="position:absolute;margin-left:70.371445pt;margin-top:14.711629pt;width:496.6pt;height:225.7pt;mso-position-horizontal-relative:page;mso-position-vertical-relative:paragraph;z-index:-251498496;mso-wrap-distance-left:0;mso-wrap-distance-right:0" coordorigin="1407,294" coordsize="9932,4514">
            <v:rect style="position:absolute;left:1710;top:734;width:4016;height:304" filled="true" fillcolor="#d8dadc" stroked="false">
              <v:fill type="solid"/>
            </v:rect>
            <v:rect style="position:absolute;left:1710;top:408;width:159;height:326" filled="true" fillcolor="#d8dadc" stroked="false">
              <v:fill type="solid"/>
            </v:rect>
            <v:line style="position:absolute" from="1710,402" to="5726,402" stroked="true" strokeweight=".6pt" strokecolor="#d8dadc">
              <v:stroke dashstyle="solid"/>
            </v:line>
            <v:rect style="position:absolute;left:5310;top:407;width:416;height:328" filled="true" fillcolor="#d8dadc" stroked="false">
              <v:fill type="solid"/>
            </v:rect>
            <v:rect style="position:absolute;left:1868;top:407;width:3443;height:328" filled="true" fillcolor="#d8dadc" stroked="false">
              <v:fill type="solid"/>
            </v:rect>
            <v:shape style="position:absolute;left:1407;top:343;width:9932;height:4466" type="#_x0000_t75" stroked="false">
              <v:imagedata r:id="rId175" o:title=""/>
            </v:shape>
            <v:shape style="position:absolute;left:1823;top:294;width:3664;height:762"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5"/>
                        <w:w w:val="111"/>
                        <w:sz w:val="43"/>
                      </w:rPr>
                      <w:t>O</w:t>
                    </w:r>
                    <w:r>
                      <w:rPr>
                        <w:b/>
                        <w:color w:val="231F20"/>
                        <w:spacing w:val="-148"/>
                        <w:w w:val="112"/>
                        <w:position w:val="-21"/>
                        <w:sz w:val="50"/>
                      </w:rPr>
                      <w:t>3</w:t>
                    </w:r>
                    <w:r>
                      <w:rPr>
                        <w:b/>
                        <w:color w:val="FFFFFF"/>
                        <w:spacing w:val="-273"/>
                        <w:w w:val="111"/>
                        <w:sz w:val="43"/>
                      </w:rPr>
                      <w:t>N</w:t>
                    </w:r>
                    <w:r>
                      <w:rPr>
                        <w:b/>
                        <w:color w:val="231F20"/>
                        <w:spacing w:val="-14"/>
                        <w:w w:val="112"/>
                        <w:position w:val="-21"/>
                        <w:sz w:val="50"/>
                      </w:rPr>
                      <w:t>5</w:t>
                    </w:r>
                  </w:p>
                </w:txbxContent>
              </v:textbox>
              <w10:wrap type="none"/>
            </v:shape>
            <v:shape style="position:absolute;left:6489;top:750;width:4302;height:491" type="#_x0000_t202" filled="false" stroked="false">
              <v:textbox inset="0,0,0,0">
                <w:txbxContent>
                  <w:p>
                    <w:pPr>
                      <w:spacing w:line="241" w:lineRule="exact" w:before="0"/>
                      <w:ind w:left="0" w:right="18" w:firstLine="0"/>
                      <w:jc w:val="right"/>
                      <w:rPr>
                        <w:b/>
                        <w:sz w:val="20"/>
                      </w:rPr>
                    </w:pPr>
                    <w:r>
                      <w:rPr>
                        <w:b/>
                        <w:color w:val="231F20"/>
                        <w:w w:val="110"/>
                        <w:sz w:val="20"/>
                      </w:rPr>
                      <w:t>Anniversary of the abolition of</w:t>
                    </w:r>
                    <w:r>
                      <w:rPr>
                        <w:b/>
                        <w:color w:val="231F20"/>
                        <w:spacing w:val="19"/>
                        <w:w w:val="110"/>
                        <w:sz w:val="20"/>
                      </w:rPr>
                      <w:t> </w:t>
                    </w:r>
                    <w:r>
                      <w:rPr>
                        <w:b/>
                        <w:color w:val="231F20"/>
                        <w:w w:val="110"/>
                        <w:sz w:val="20"/>
                      </w:rPr>
                      <w:t>the</w:t>
                    </w:r>
                  </w:p>
                  <w:p>
                    <w:pPr>
                      <w:spacing w:line="243" w:lineRule="exact" w:before="7"/>
                      <w:ind w:left="0" w:right="18" w:firstLine="0"/>
                      <w:jc w:val="right"/>
                      <w:rPr>
                        <w:b/>
                        <w:sz w:val="20"/>
                      </w:rPr>
                    </w:pPr>
                    <w:r>
                      <w:rPr>
                        <w:b/>
                        <w:color w:val="231F20"/>
                        <w:w w:val="110"/>
                        <w:sz w:val="20"/>
                      </w:rPr>
                      <w:t>British Slave </w:t>
                    </w:r>
                    <w:r>
                      <w:rPr>
                        <w:b/>
                        <w:color w:val="231F20"/>
                        <w:spacing w:val="-3"/>
                        <w:w w:val="110"/>
                        <w:sz w:val="20"/>
                      </w:rPr>
                      <w:t>Trade</w:t>
                    </w:r>
                  </w:p>
                </w:txbxContent>
              </v:textbox>
              <w10:wrap type="none"/>
            </v:shape>
            <v:shape style="position:absolute;left:1700;top:1518;width:8927;height:2969" type="#_x0000_t202" filled="false" stroked="false">
              <v:textbox inset="0,0,0,0">
                <w:txbxContent>
                  <w:p>
                    <w:pPr>
                      <w:spacing w:line="273" w:lineRule="auto" w:before="0"/>
                      <w:ind w:left="0" w:right="0" w:hanging="1"/>
                      <w:jc w:val="left"/>
                      <w:rPr>
                        <w:sz w:val="18"/>
                      </w:rPr>
                    </w:pPr>
                    <w:r>
                      <w:rPr>
                        <w:color w:val="231F20"/>
                        <w:w w:val="110"/>
                        <w:sz w:val="18"/>
                      </w:rPr>
                      <w:t>In commemorating the 200</w:t>
                    </w:r>
                    <w:r>
                      <w:rPr>
                        <w:color w:val="231F20"/>
                        <w:w w:val="110"/>
                        <w:position w:val="6"/>
                        <w:sz w:val="10"/>
                      </w:rPr>
                      <w:t>th </w:t>
                    </w:r>
                    <w:r>
                      <w:rPr>
                        <w:color w:val="231F20"/>
                        <w:w w:val="110"/>
                        <w:sz w:val="18"/>
                      </w:rPr>
                      <w:t>anniversary of the abolition of the slave trade in British </w:t>
                    </w:r>
                    <w:r>
                      <w:rPr>
                        <w:color w:val="231F20"/>
                        <w:spacing w:val="2"/>
                        <w:w w:val="110"/>
                        <w:sz w:val="18"/>
                      </w:rPr>
                      <w:t>territories </w:t>
                    </w:r>
                    <w:r>
                      <w:rPr>
                        <w:color w:val="231F20"/>
                        <w:w w:val="110"/>
                        <w:sz w:val="18"/>
                      </w:rPr>
                      <w:t>General Assembly adopts the following statement of </w:t>
                    </w:r>
                    <w:r>
                      <w:rPr>
                        <w:color w:val="231F20"/>
                        <w:spacing w:val="2"/>
                        <w:w w:val="110"/>
                        <w:sz w:val="18"/>
                      </w:rPr>
                      <w:t>regret </w:t>
                    </w:r>
                    <w:r>
                      <w:rPr>
                        <w:color w:val="231F20"/>
                        <w:w w:val="110"/>
                        <w:sz w:val="18"/>
                      </w:rPr>
                      <w:t>and commitment and calls upon all </w:t>
                    </w:r>
                    <w:r>
                      <w:rPr>
                        <w:color w:val="231F20"/>
                        <w:spacing w:val="2"/>
                        <w:w w:val="110"/>
                        <w:sz w:val="18"/>
                      </w:rPr>
                      <w:t>members </w:t>
                    </w:r>
                    <w:r>
                      <w:rPr>
                        <w:color w:val="231F20"/>
                        <w:w w:val="110"/>
                        <w:sz w:val="18"/>
                      </w:rPr>
                      <w:t>of the United Reformed Church to do the</w:t>
                    </w:r>
                    <w:r>
                      <w:rPr>
                        <w:color w:val="231F20"/>
                        <w:spacing w:val="52"/>
                        <w:w w:val="110"/>
                        <w:sz w:val="18"/>
                      </w:rPr>
                      <w:t> </w:t>
                    </w:r>
                    <w:r>
                      <w:rPr>
                        <w:color w:val="231F20"/>
                        <w:w w:val="110"/>
                        <w:sz w:val="18"/>
                      </w:rPr>
                      <w:t>same:</w:t>
                    </w:r>
                  </w:p>
                  <w:p>
                    <w:pPr>
                      <w:numPr>
                        <w:ilvl w:val="0"/>
                        <w:numId w:val="73"/>
                      </w:numPr>
                      <w:tabs>
                        <w:tab w:pos="360" w:val="left" w:leader="none"/>
                        <w:tab w:pos="361" w:val="left" w:leader="none"/>
                      </w:tabs>
                      <w:spacing w:line="273" w:lineRule="auto" w:before="2"/>
                      <w:ind w:left="360" w:right="393" w:hanging="360"/>
                      <w:jc w:val="left"/>
                      <w:rPr>
                        <w:sz w:val="18"/>
                      </w:rPr>
                    </w:pPr>
                    <w:r>
                      <w:rPr>
                        <w:color w:val="231F20"/>
                        <w:spacing w:val="-3"/>
                        <w:w w:val="110"/>
                        <w:sz w:val="18"/>
                      </w:rPr>
                      <w:t>We </w:t>
                    </w:r>
                    <w:r>
                      <w:rPr>
                        <w:color w:val="231F20"/>
                        <w:w w:val="110"/>
                        <w:sz w:val="18"/>
                      </w:rPr>
                      <w:t>recognise the inhuman treatment of Africans </w:t>
                    </w:r>
                    <w:r>
                      <w:rPr>
                        <w:color w:val="231F20"/>
                        <w:spacing w:val="2"/>
                        <w:w w:val="110"/>
                        <w:sz w:val="18"/>
                      </w:rPr>
                      <w:t>transported across </w:t>
                    </w:r>
                    <w:r>
                      <w:rPr>
                        <w:color w:val="231F20"/>
                        <w:w w:val="110"/>
                        <w:sz w:val="18"/>
                      </w:rPr>
                      <w:t>the Atlantic as slaves and </w:t>
                    </w:r>
                    <w:r>
                      <w:rPr>
                        <w:color w:val="231F20"/>
                        <w:spacing w:val="2"/>
                        <w:w w:val="110"/>
                        <w:sz w:val="18"/>
                      </w:rPr>
                      <w:t>forced </w:t>
                    </w:r>
                    <w:r>
                      <w:rPr>
                        <w:color w:val="231F20"/>
                        <w:w w:val="110"/>
                        <w:sz w:val="18"/>
                      </w:rPr>
                      <w:t>to work in degrading</w:t>
                    </w:r>
                    <w:r>
                      <w:rPr>
                        <w:color w:val="231F20"/>
                        <w:spacing w:val="15"/>
                        <w:w w:val="110"/>
                        <w:sz w:val="18"/>
                      </w:rPr>
                      <w:t> </w:t>
                    </w:r>
                    <w:r>
                      <w:rPr>
                        <w:color w:val="231F20"/>
                        <w:w w:val="110"/>
                        <w:sz w:val="18"/>
                      </w:rPr>
                      <w:t>conditions.</w:t>
                    </w:r>
                  </w:p>
                  <w:p>
                    <w:pPr>
                      <w:numPr>
                        <w:ilvl w:val="0"/>
                        <w:numId w:val="73"/>
                      </w:numPr>
                      <w:tabs>
                        <w:tab w:pos="360" w:val="left" w:leader="none"/>
                        <w:tab w:pos="361" w:val="left" w:leader="none"/>
                      </w:tabs>
                      <w:spacing w:line="273" w:lineRule="auto" w:before="1"/>
                      <w:ind w:left="360" w:right="579" w:hanging="360"/>
                      <w:jc w:val="left"/>
                      <w:rPr>
                        <w:sz w:val="18"/>
                      </w:rPr>
                    </w:pPr>
                    <w:r>
                      <w:rPr>
                        <w:color w:val="231F20"/>
                        <w:spacing w:val="-3"/>
                        <w:w w:val="110"/>
                        <w:sz w:val="18"/>
                      </w:rPr>
                      <w:t>We </w:t>
                    </w:r>
                    <w:r>
                      <w:rPr>
                        <w:color w:val="231F20"/>
                        <w:w w:val="110"/>
                        <w:sz w:val="18"/>
                      </w:rPr>
                      <w:t>are </w:t>
                    </w:r>
                    <w:r>
                      <w:rPr>
                        <w:color w:val="231F20"/>
                        <w:spacing w:val="3"/>
                        <w:w w:val="110"/>
                        <w:sz w:val="18"/>
                      </w:rPr>
                      <w:t>sorry </w:t>
                    </w:r>
                    <w:r>
                      <w:rPr>
                        <w:color w:val="231F20"/>
                        <w:w w:val="110"/>
                        <w:sz w:val="18"/>
                      </w:rPr>
                      <w:t>for the legacy of that oppression which still </w:t>
                    </w:r>
                    <w:r>
                      <w:rPr>
                        <w:color w:val="231F20"/>
                        <w:spacing w:val="2"/>
                        <w:w w:val="110"/>
                        <w:sz w:val="18"/>
                      </w:rPr>
                      <w:t>distorts </w:t>
                    </w:r>
                    <w:r>
                      <w:rPr>
                        <w:color w:val="231F20"/>
                        <w:w w:val="110"/>
                        <w:sz w:val="18"/>
                      </w:rPr>
                      <w:t>our relations with one</w:t>
                    </w:r>
                    <w:r>
                      <w:rPr>
                        <w:color w:val="231F20"/>
                        <w:spacing w:val="1"/>
                        <w:w w:val="110"/>
                        <w:sz w:val="18"/>
                      </w:rPr>
                      <w:t> </w:t>
                    </w:r>
                    <w:r>
                      <w:rPr>
                        <w:color w:val="231F20"/>
                        <w:w w:val="110"/>
                        <w:sz w:val="18"/>
                      </w:rPr>
                      <w:t>another.</w:t>
                    </w:r>
                  </w:p>
                  <w:p>
                    <w:pPr>
                      <w:numPr>
                        <w:ilvl w:val="0"/>
                        <w:numId w:val="73"/>
                      </w:numPr>
                      <w:tabs>
                        <w:tab w:pos="360" w:val="left" w:leader="none"/>
                        <w:tab w:pos="361" w:val="left" w:leader="none"/>
                      </w:tabs>
                      <w:spacing w:line="273" w:lineRule="auto" w:before="1"/>
                      <w:ind w:left="360" w:right="486" w:hanging="360"/>
                      <w:jc w:val="left"/>
                      <w:rPr>
                        <w:sz w:val="18"/>
                      </w:rPr>
                    </w:pPr>
                    <w:r>
                      <w:rPr>
                        <w:color w:val="231F20"/>
                        <w:spacing w:val="-3"/>
                        <w:w w:val="110"/>
                        <w:sz w:val="18"/>
                      </w:rPr>
                      <w:t>We </w:t>
                    </w:r>
                    <w:r>
                      <w:rPr>
                        <w:color w:val="231F20"/>
                        <w:w w:val="110"/>
                        <w:sz w:val="18"/>
                      </w:rPr>
                      <w:t>rejoice in the courage of those, black and white, who challenged the values of</w:t>
                    </w:r>
                    <w:r>
                      <w:rPr>
                        <w:color w:val="231F20"/>
                        <w:spacing w:val="7"/>
                        <w:w w:val="110"/>
                        <w:sz w:val="18"/>
                      </w:rPr>
                      <w:t> </w:t>
                    </w:r>
                    <w:r>
                      <w:rPr>
                        <w:color w:val="231F20"/>
                        <w:w w:val="110"/>
                        <w:sz w:val="18"/>
                      </w:rPr>
                      <w:t>their</w:t>
                    </w:r>
                    <w:r>
                      <w:rPr>
                        <w:color w:val="231F20"/>
                        <w:spacing w:val="8"/>
                        <w:w w:val="110"/>
                        <w:sz w:val="18"/>
                      </w:rPr>
                      <w:t> </w:t>
                    </w:r>
                    <w:r>
                      <w:rPr>
                        <w:color w:val="231F20"/>
                        <w:w w:val="110"/>
                        <w:sz w:val="18"/>
                      </w:rPr>
                      <w:t>day</w:t>
                    </w:r>
                    <w:r>
                      <w:rPr>
                        <w:color w:val="231F20"/>
                        <w:spacing w:val="8"/>
                        <w:w w:val="110"/>
                        <w:sz w:val="18"/>
                      </w:rPr>
                      <w:t> </w:t>
                    </w:r>
                    <w:r>
                      <w:rPr>
                        <w:color w:val="231F20"/>
                        <w:w w:val="110"/>
                        <w:sz w:val="18"/>
                      </w:rPr>
                      <w:t>that</w:t>
                    </w:r>
                    <w:r>
                      <w:rPr>
                        <w:color w:val="231F20"/>
                        <w:spacing w:val="8"/>
                        <w:w w:val="110"/>
                        <w:sz w:val="18"/>
                      </w:rPr>
                      <w:t> </w:t>
                    </w:r>
                    <w:r>
                      <w:rPr>
                        <w:color w:val="231F20"/>
                        <w:w w:val="110"/>
                        <w:sz w:val="18"/>
                      </w:rPr>
                      <w:t>allowed</w:t>
                    </w:r>
                    <w:r>
                      <w:rPr>
                        <w:color w:val="231F20"/>
                        <w:spacing w:val="8"/>
                        <w:w w:val="110"/>
                        <w:sz w:val="18"/>
                      </w:rPr>
                      <w:t> </w:t>
                    </w:r>
                    <w:r>
                      <w:rPr>
                        <w:color w:val="231F20"/>
                        <w:w w:val="110"/>
                        <w:sz w:val="18"/>
                      </w:rPr>
                      <w:t>the</w:t>
                    </w:r>
                    <w:r>
                      <w:rPr>
                        <w:color w:val="231F20"/>
                        <w:spacing w:val="8"/>
                        <w:w w:val="110"/>
                        <w:sz w:val="18"/>
                      </w:rPr>
                      <w:t> </w:t>
                    </w:r>
                    <w:r>
                      <w:rPr>
                        <w:color w:val="231F20"/>
                        <w:w w:val="110"/>
                        <w:sz w:val="18"/>
                      </w:rPr>
                      <w:t>slave</w:t>
                    </w:r>
                    <w:r>
                      <w:rPr>
                        <w:color w:val="231F20"/>
                        <w:spacing w:val="8"/>
                        <w:w w:val="110"/>
                        <w:sz w:val="18"/>
                      </w:rPr>
                      <w:t> </w:t>
                    </w:r>
                    <w:r>
                      <w:rPr>
                        <w:color w:val="231F20"/>
                        <w:w w:val="110"/>
                        <w:sz w:val="18"/>
                      </w:rPr>
                      <w:t>trade</w:t>
                    </w:r>
                    <w:r>
                      <w:rPr>
                        <w:color w:val="231F20"/>
                        <w:spacing w:val="8"/>
                        <w:w w:val="110"/>
                        <w:sz w:val="18"/>
                      </w:rPr>
                      <w:t> </w:t>
                    </w:r>
                    <w:r>
                      <w:rPr>
                        <w:color w:val="231F20"/>
                        <w:w w:val="110"/>
                        <w:sz w:val="18"/>
                      </w:rPr>
                      <w:t>to</w:t>
                    </w:r>
                    <w:r>
                      <w:rPr>
                        <w:color w:val="231F20"/>
                        <w:spacing w:val="8"/>
                        <w:w w:val="110"/>
                        <w:sz w:val="18"/>
                      </w:rPr>
                      <w:t> </w:t>
                    </w:r>
                    <w:r>
                      <w:rPr>
                        <w:color w:val="231F20"/>
                        <w:w w:val="110"/>
                        <w:sz w:val="18"/>
                      </w:rPr>
                      <w:t>happen,</w:t>
                    </w:r>
                    <w:r>
                      <w:rPr>
                        <w:color w:val="231F20"/>
                        <w:spacing w:val="8"/>
                        <w:w w:val="110"/>
                        <w:sz w:val="18"/>
                      </w:rPr>
                      <w:t> </w:t>
                    </w:r>
                    <w:r>
                      <w:rPr>
                        <w:color w:val="231F20"/>
                        <w:w w:val="110"/>
                        <w:sz w:val="18"/>
                      </w:rPr>
                      <w:t>and</w:t>
                    </w:r>
                    <w:r>
                      <w:rPr>
                        <w:color w:val="231F20"/>
                        <w:spacing w:val="8"/>
                        <w:w w:val="110"/>
                        <w:sz w:val="18"/>
                      </w:rPr>
                      <w:t> </w:t>
                    </w:r>
                    <w:r>
                      <w:rPr>
                        <w:color w:val="231F20"/>
                        <w:w w:val="110"/>
                        <w:sz w:val="18"/>
                      </w:rPr>
                      <w:t>we</w:t>
                    </w:r>
                    <w:r>
                      <w:rPr>
                        <w:color w:val="231F20"/>
                        <w:spacing w:val="7"/>
                        <w:w w:val="110"/>
                        <w:sz w:val="18"/>
                      </w:rPr>
                      <w:t> </w:t>
                    </w:r>
                    <w:r>
                      <w:rPr>
                        <w:color w:val="231F20"/>
                        <w:w w:val="110"/>
                        <w:sz w:val="18"/>
                      </w:rPr>
                      <w:t>pledge</w:t>
                    </w:r>
                    <w:r>
                      <w:rPr>
                        <w:color w:val="231F20"/>
                        <w:spacing w:val="8"/>
                        <w:w w:val="110"/>
                        <w:sz w:val="18"/>
                      </w:rPr>
                      <w:t> </w:t>
                    </w:r>
                    <w:r>
                      <w:rPr>
                        <w:color w:val="231F20"/>
                        <w:w w:val="110"/>
                        <w:sz w:val="18"/>
                      </w:rPr>
                      <w:t>ourselves</w:t>
                    </w:r>
                    <w:r>
                      <w:rPr>
                        <w:color w:val="231F20"/>
                        <w:spacing w:val="8"/>
                        <w:w w:val="110"/>
                        <w:sz w:val="18"/>
                      </w:rPr>
                      <w:t> </w:t>
                    </w:r>
                    <w:r>
                      <w:rPr>
                        <w:color w:val="231F20"/>
                        <w:w w:val="110"/>
                        <w:sz w:val="18"/>
                      </w:rPr>
                      <w:t>to</w:t>
                    </w:r>
                  </w:p>
                  <w:p>
                    <w:pPr>
                      <w:spacing w:before="1"/>
                      <w:ind w:left="360" w:right="0" w:firstLine="0"/>
                      <w:jc w:val="left"/>
                      <w:rPr>
                        <w:sz w:val="18"/>
                      </w:rPr>
                    </w:pPr>
                    <w:r>
                      <w:rPr>
                        <w:color w:val="231F20"/>
                        <w:w w:val="110"/>
                        <w:sz w:val="18"/>
                      </w:rPr>
                      <w:t>recognise the dignity of all God’s people and to build our society on that principle.</w:t>
                    </w:r>
                  </w:p>
                  <w:p>
                    <w:pPr>
                      <w:numPr>
                        <w:ilvl w:val="0"/>
                        <w:numId w:val="73"/>
                      </w:numPr>
                      <w:tabs>
                        <w:tab w:pos="360" w:val="left" w:leader="none"/>
                        <w:tab w:pos="361" w:val="left" w:leader="none"/>
                      </w:tabs>
                      <w:spacing w:line="273" w:lineRule="auto" w:before="32"/>
                      <w:ind w:left="360" w:right="358" w:hanging="360"/>
                      <w:jc w:val="left"/>
                      <w:rPr>
                        <w:sz w:val="18"/>
                      </w:rPr>
                    </w:pPr>
                    <w:r>
                      <w:rPr>
                        <w:color w:val="231F20"/>
                        <w:spacing w:val="-3"/>
                        <w:w w:val="110"/>
                        <w:sz w:val="18"/>
                      </w:rPr>
                      <w:t>We </w:t>
                    </w:r>
                    <w:r>
                      <w:rPr>
                        <w:color w:val="231F20"/>
                        <w:w w:val="110"/>
                        <w:sz w:val="18"/>
                      </w:rPr>
                      <w:t>commit ourselves to the continuing struggle for justice for all the oppressed, including the many who are held in bondage</w:t>
                    </w:r>
                    <w:r>
                      <w:rPr>
                        <w:color w:val="231F20"/>
                        <w:spacing w:val="16"/>
                        <w:w w:val="110"/>
                        <w:sz w:val="18"/>
                      </w:rPr>
                      <w:t> </w:t>
                    </w:r>
                    <w:r>
                      <w:rPr>
                        <w:color w:val="231F20"/>
                        <w:spacing w:val="-3"/>
                        <w:w w:val="110"/>
                        <w:sz w:val="18"/>
                      </w:rPr>
                      <w:t>today.</w:t>
                    </w:r>
                  </w:p>
                </w:txbxContent>
              </v:textbox>
              <w10:wrap type="none"/>
            </v:shape>
            <w10:wrap type="topAndBottom"/>
          </v:group>
        </w:pict>
      </w:r>
    </w:p>
    <w:p>
      <w:pPr>
        <w:pStyle w:val="BodyText"/>
        <w:spacing w:before="3"/>
        <w:rPr>
          <w:sz w:val="27"/>
        </w:rPr>
      </w:pPr>
    </w:p>
    <w:p>
      <w:pPr>
        <w:pStyle w:val="ListParagraph"/>
        <w:numPr>
          <w:ilvl w:val="1"/>
          <w:numId w:val="70"/>
        </w:numPr>
        <w:tabs>
          <w:tab w:pos="1960" w:val="left" w:leader="none"/>
          <w:tab w:pos="1961" w:val="left" w:leader="none"/>
        </w:tabs>
        <w:spacing w:line="240" w:lineRule="auto" w:before="100" w:after="0"/>
        <w:ind w:left="1960" w:right="0" w:hanging="721"/>
        <w:jc w:val="left"/>
        <w:rPr>
          <w:sz w:val="18"/>
        </w:rPr>
      </w:pPr>
      <w:r>
        <w:rPr>
          <w:color w:val="231F20"/>
          <w:w w:val="110"/>
          <w:sz w:val="18"/>
        </w:rPr>
        <w:t>Guidelines for Minority Ethnic conferences can be found on</w:t>
      </w:r>
      <w:r>
        <w:rPr>
          <w:color w:val="231F20"/>
          <w:spacing w:val="38"/>
          <w:w w:val="110"/>
          <w:sz w:val="18"/>
        </w:rPr>
        <w:t> </w:t>
      </w:r>
      <w:hyperlink r:id="rId164">
        <w:r>
          <w:rPr>
            <w:color w:val="231F20"/>
            <w:w w:val="110"/>
            <w:sz w:val="18"/>
          </w:rPr>
          <w:t>www.urc.org.uk</w:t>
        </w:r>
      </w:hyperlink>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8"/>
        </w:rPr>
      </w:pPr>
    </w:p>
    <w:p>
      <w:pPr>
        <w:spacing w:before="1"/>
        <w:ind w:left="0" w:right="80"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pgSz w:w="11910" w:h="16840"/>
          <w:pgMar w:header="558" w:footer="564" w:top="820" w:bottom="760" w:left="460" w:right="0"/>
        </w:sectPr>
      </w:pPr>
    </w:p>
    <w:p>
      <w:pPr>
        <w:pStyle w:val="BodyText"/>
        <w:spacing w:before="5"/>
        <w:rPr>
          <w:i/>
          <w:sz w:val="16"/>
        </w:rPr>
      </w:pPr>
    </w:p>
    <w:p>
      <w:pPr>
        <w:spacing w:after="0"/>
        <w:rPr>
          <w:sz w:val="16"/>
        </w:rPr>
        <w:sectPr>
          <w:pgSz w:w="11910" w:h="16840"/>
          <w:pgMar w:header="558" w:footer="484" w:top="820" w:bottom="760" w:left="460" w:right="0"/>
        </w:sectPr>
      </w:pPr>
    </w:p>
    <w:p>
      <w:pPr>
        <w:pStyle w:val="BodyText"/>
        <w:spacing w:before="5"/>
        <w:rPr>
          <w:i/>
          <w:sz w:val="16"/>
        </w:rPr>
      </w:pPr>
    </w:p>
    <w:p>
      <w:pPr>
        <w:spacing w:after="0"/>
        <w:rPr>
          <w:sz w:val="16"/>
        </w:rPr>
        <w:sectPr>
          <w:pgSz w:w="11910" w:h="16840"/>
          <w:pgMar w:header="558" w:footer="564" w:top="820" w:bottom="760" w:left="460" w:right="0"/>
        </w:sectPr>
      </w:pPr>
    </w:p>
    <w:p>
      <w:pPr>
        <w:pStyle w:val="BodyText"/>
        <w:spacing w:before="5"/>
        <w:rPr>
          <w:i/>
          <w:sz w:val="16"/>
        </w:rPr>
      </w:pPr>
    </w:p>
    <w:p>
      <w:pPr>
        <w:spacing w:after="0"/>
        <w:rPr>
          <w:sz w:val="16"/>
        </w:rPr>
        <w:sectPr>
          <w:pgSz w:w="11910" w:h="16840"/>
          <w:pgMar w:header="558" w:footer="484" w:top="820" w:bottom="760" w:left="46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5"/>
        </w:rPr>
      </w:pPr>
    </w:p>
    <w:p>
      <w:pPr>
        <w:pStyle w:val="BodyText"/>
        <w:ind w:left="7193"/>
        <w:rPr>
          <w:sz w:val="20"/>
        </w:rPr>
      </w:pPr>
      <w:r>
        <w:rPr>
          <w:position w:val="0"/>
          <w:sz w:val="20"/>
        </w:rPr>
        <w:pict>
          <v:shape style="width:164.85pt;height:96.35pt;mso-position-horizontal-relative:char;mso-position-vertical-relative:line" type="#_x0000_t202" filled="false" stroked="true" strokeweight="1pt" strokecolor="#231f20">
            <w10:anchorlock/>
            <v:textbox inset="0,0,0,0">
              <w:txbxContent>
                <w:p>
                  <w:pPr>
                    <w:spacing w:before="199"/>
                    <w:ind w:left="170" w:right="0" w:firstLine="0"/>
                    <w:jc w:val="left"/>
                    <w:rPr>
                      <w:i/>
                      <w:sz w:val="21"/>
                    </w:rPr>
                  </w:pPr>
                  <w:r>
                    <w:rPr>
                      <w:i/>
                      <w:color w:val="231F20"/>
                      <w:w w:val="115"/>
                      <w:sz w:val="21"/>
                    </w:rPr>
                    <w:t>DATA PROTECTION ACT</w:t>
                  </w:r>
                </w:p>
                <w:p>
                  <w:pPr>
                    <w:spacing w:line="328" w:lineRule="auto" w:before="75"/>
                    <w:ind w:left="170" w:right="0" w:firstLine="0"/>
                    <w:jc w:val="left"/>
                    <w:rPr>
                      <w:i/>
                      <w:sz w:val="18"/>
                    </w:rPr>
                  </w:pPr>
                  <w:r>
                    <w:rPr>
                      <w:i/>
                      <w:color w:val="231F20"/>
                      <w:w w:val="110"/>
                      <w:sz w:val="18"/>
                    </w:rPr>
                    <w:t>The information supplied will </w:t>
                  </w:r>
                  <w:r>
                    <w:rPr>
                      <w:i/>
                      <w:color w:val="231F20"/>
                      <w:w w:val="110"/>
                      <w:sz w:val="18"/>
                    </w:rPr>
                    <w:t>only be used by the United Reformed Church for the purposes of administration.</w:t>
                  </w:r>
                </w:p>
              </w:txbxContent>
            </v:textbox>
            <v:stroke dashstyle="solid"/>
          </v:shape>
        </w:pict>
      </w:r>
      <w:r>
        <w:rPr>
          <w:position w:val="0"/>
          <w:sz w:val="20"/>
        </w:rPr>
      </w:r>
    </w:p>
    <w:p>
      <w:pPr>
        <w:spacing w:after="0"/>
        <w:rPr>
          <w:sz w:val="20"/>
        </w:rPr>
        <w:sectPr>
          <w:pgSz w:w="11910" w:h="16840"/>
          <w:pgMar w:header="558" w:footer="564" w:top="820" w:bottom="760" w:left="460" w:right="0"/>
        </w:sectPr>
      </w:pPr>
    </w:p>
    <w:p>
      <w:pPr>
        <w:pStyle w:val="BodyText"/>
        <w:spacing w:before="5"/>
        <w:rPr>
          <w:i/>
          <w:sz w:val="16"/>
        </w:rPr>
      </w:pPr>
    </w:p>
    <w:p>
      <w:pPr>
        <w:spacing w:after="0"/>
        <w:rPr>
          <w:sz w:val="16"/>
        </w:rPr>
        <w:sectPr>
          <w:headerReference w:type="even" r:id="rId176"/>
          <w:footerReference w:type="even" r:id="rId177"/>
          <w:pgSz w:w="11910" w:h="16840"/>
          <w:pgMar w:header="0" w:footer="484" w:top="1580" w:bottom="680" w:left="460" w:right="0"/>
          <w:pgNumType w:start="130"/>
        </w:sectPr>
      </w:pPr>
    </w:p>
    <w:p>
      <w:pPr>
        <w:pStyle w:val="ListParagraph"/>
        <w:numPr>
          <w:ilvl w:val="1"/>
          <w:numId w:val="74"/>
        </w:numPr>
        <w:tabs>
          <w:tab w:pos="1960" w:val="left" w:leader="none"/>
          <w:tab w:pos="1961" w:val="left" w:leader="none"/>
        </w:tabs>
        <w:spacing w:line="271" w:lineRule="auto" w:before="83" w:after="0"/>
        <w:ind w:left="1240" w:right="2064" w:hanging="1"/>
        <w:jc w:val="left"/>
        <w:rPr>
          <w:sz w:val="18"/>
        </w:rPr>
      </w:pPr>
      <w:r>
        <w:rPr/>
        <w:pict>
          <v:shape style="position:absolute;margin-left:507.100189pt;margin-top:36.840614pt;width:68.850pt;height:634.950pt;mso-position-horizontal-relative:page;mso-position-vertical-relative:page;z-index:251820032" type="#_x0000_t202" filled="false" stroked="false">
            <v:textbox inset="0,0,0,0" style="layout-flow:vertical">
              <w:txbxContent>
                <w:p>
                  <w:pPr>
                    <w:spacing w:line="989" w:lineRule="exact" w:before="20"/>
                    <w:ind w:left="20" w:right="0" w:firstLine="0"/>
                    <w:jc w:val="left"/>
                    <w:rPr>
                      <w:b/>
                      <w:sz w:val="88"/>
                    </w:rPr>
                  </w:pPr>
                  <w:r>
                    <w:rPr>
                      <w:b/>
                      <w:color w:val="231F20"/>
                      <w:sz w:val="88"/>
                    </w:rPr>
                    <w:t>Ecumenical Committee</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w w:val="110"/>
          <w:sz w:val="23"/>
        </w:rPr>
        <w:t>Better </w:t>
      </w:r>
      <w:r>
        <w:rPr>
          <w:b/>
          <w:color w:val="231F20"/>
          <w:spacing w:val="-3"/>
          <w:w w:val="110"/>
          <w:sz w:val="23"/>
        </w:rPr>
        <w:t>Together </w:t>
      </w:r>
      <w:r>
        <w:rPr>
          <w:color w:val="231F20"/>
          <w:w w:val="110"/>
          <w:sz w:val="18"/>
        </w:rPr>
        <w:t>is a good title for the work of the ecumenical committee as well as for the title for the booklet of ideas and stories illustrating ways </w:t>
      </w:r>
      <w:r>
        <w:rPr>
          <w:color w:val="231F20"/>
          <w:spacing w:val="2"/>
          <w:w w:val="110"/>
          <w:sz w:val="18"/>
        </w:rPr>
        <w:t>forward </w:t>
      </w:r>
      <w:r>
        <w:rPr>
          <w:color w:val="231F20"/>
          <w:w w:val="110"/>
          <w:sz w:val="18"/>
        </w:rPr>
        <w:t>in local ecumenism which we produced for Assembly 2006. It is also good to read this </w:t>
      </w:r>
      <w:r>
        <w:rPr>
          <w:color w:val="231F20"/>
          <w:spacing w:val="3"/>
          <w:w w:val="110"/>
          <w:sz w:val="18"/>
        </w:rPr>
        <w:t>report </w:t>
      </w:r>
      <w:r>
        <w:rPr>
          <w:color w:val="231F20"/>
          <w:w w:val="110"/>
          <w:sz w:val="18"/>
        </w:rPr>
        <w:t>alongside the </w:t>
      </w:r>
      <w:r>
        <w:rPr>
          <w:color w:val="231F20"/>
          <w:spacing w:val="3"/>
          <w:w w:val="110"/>
          <w:sz w:val="18"/>
        </w:rPr>
        <w:t>report </w:t>
      </w:r>
      <w:r>
        <w:rPr>
          <w:color w:val="231F20"/>
          <w:spacing w:val="2"/>
          <w:w w:val="110"/>
          <w:sz w:val="18"/>
        </w:rPr>
        <w:t>from </w:t>
      </w:r>
      <w:r>
        <w:rPr>
          <w:color w:val="231F20"/>
          <w:w w:val="110"/>
          <w:sz w:val="18"/>
        </w:rPr>
        <w:t>Doctrine, Prayer and Worship with whom it makes many</w:t>
      </w:r>
      <w:r>
        <w:rPr>
          <w:color w:val="231F20"/>
          <w:spacing w:val="11"/>
          <w:w w:val="110"/>
          <w:sz w:val="18"/>
        </w:rPr>
        <w:t> </w:t>
      </w:r>
      <w:r>
        <w:rPr>
          <w:color w:val="231F20"/>
          <w:w w:val="110"/>
          <w:sz w:val="18"/>
        </w:rPr>
        <w:t>connections.</w:t>
      </w:r>
    </w:p>
    <w:p>
      <w:pPr>
        <w:pStyle w:val="BodyText"/>
        <w:spacing w:before="3"/>
        <w:rPr>
          <w:sz w:val="20"/>
        </w:rPr>
      </w:pPr>
    </w:p>
    <w:p>
      <w:pPr>
        <w:pStyle w:val="ListParagraph"/>
        <w:numPr>
          <w:ilvl w:val="1"/>
          <w:numId w:val="74"/>
        </w:numPr>
        <w:tabs>
          <w:tab w:pos="1960" w:val="left" w:leader="none"/>
          <w:tab w:pos="1961" w:val="left" w:leader="none"/>
        </w:tabs>
        <w:spacing w:line="273" w:lineRule="auto" w:before="0" w:after="0"/>
        <w:ind w:left="1240" w:right="2051" w:firstLine="0"/>
        <w:jc w:val="left"/>
        <w:rPr>
          <w:sz w:val="18"/>
        </w:rPr>
      </w:pPr>
      <w:r>
        <w:rPr>
          <w:b/>
          <w:i/>
          <w:color w:val="231F20"/>
          <w:w w:val="110"/>
          <w:sz w:val="18"/>
        </w:rPr>
        <w:t>Belonging to the World Church </w:t>
      </w:r>
      <w:r>
        <w:rPr>
          <w:color w:val="231F20"/>
          <w:w w:val="110"/>
          <w:sz w:val="18"/>
        </w:rPr>
        <w:t>is doing our international engagement </w:t>
      </w:r>
      <w:r>
        <w:rPr>
          <w:color w:val="231F20"/>
          <w:spacing w:val="2"/>
          <w:w w:val="110"/>
          <w:sz w:val="18"/>
        </w:rPr>
        <w:t>better </w:t>
      </w:r>
      <w:r>
        <w:rPr>
          <w:color w:val="231F20"/>
          <w:w w:val="110"/>
          <w:sz w:val="18"/>
        </w:rPr>
        <w:t>together. </w:t>
      </w:r>
      <w:r>
        <w:rPr>
          <w:color w:val="231F20"/>
          <w:spacing w:val="-3"/>
          <w:w w:val="110"/>
          <w:sz w:val="18"/>
        </w:rPr>
        <w:t>We </w:t>
      </w:r>
      <w:r>
        <w:rPr>
          <w:color w:val="231F20"/>
          <w:w w:val="110"/>
          <w:sz w:val="18"/>
        </w:rPr>
        <w:t>belong together with our </w:t>
      </w:r>
      <w:r>
        <w:rPr>
          <w:color w:val="231F20"/>
          <w:spacing w:val="2"/>
          <w:w w:val="110"/>
          <w:sz w:val="18"/>
        </w:rPr>
        <w:t>sisters </w:t>
      </w:r>
      <w:r>
        <w:rPr>
          <w:color w:val="231F20"/>
          <w:w w:val="110"/>
          <w:sz w:val="18"/>
        </w:rPr>
        <w:t>and </w:t>
      </w:r>
      <w:r>
        <w:rPr>
          <w:color w:val="231F20"/>
          <w:spacing w:val="2"/>
          <w:w w:val="110"/>
          <w:sz w:val="18"/>
        </w:rPr>
        <w:t>brothers </w:t>
      </w:r>
      <w:r>
        <w:rPr>
          <w:color w:val="231F20"/>
          <w:w w:val="110"/>
          <w:sz w:val="18"/>
        </w:rPr>
        <w:t>in Christ around the world, together we learn </w:t>
      </w:r>
      <w:r>
        <w:rPr>
          <w:color w:val="231F20"/>
          <w:spacing w:val="2"/>
          <w:w w:val="110"/>
          <w:sz w:val="18"/>
        </w:rPr>
        <w:t>from </w:t>
      </w:r>
      <w:r>
        <w:rPr>
          <w:color w:val="231F20"/>
          <w:w w:val="110"/>
          <w:sz w:val="18"/>
        </w:rPr>
        <w:t>one another, rejoice with each </w:t>
      </w:r>
      <w:r>
        <w:rPr>
          <w:color w:val="231F20"/>
          <w:spacing w:val="-3"/>
          <w:w w:val="110"/>
          <w:sz w:val="18"/>
        </w:rPr>
        <w:t>other, </w:t>
      </w:r>
      <w:r>
        <w:rPr>
          <w:color w:val="231F20"/>
          <w:w w:val="110"/>
          <w:sz w:val="18"/>
        </w:rPr>
        <w:t>and stand together in our trials and</w:t>
      </w:r>
      <w:r>
        <w:rPr>
          <w:color w:val="231F20"/>
          <w:spacing w:val="15"/>
          <w:w w:val="110"/>
          <w:sz w:val="18"/>
        </w:rPr>
        <w:t> </w:t>
      </w:r>
      <w:r>
        <w:rPr>
          <w:color w:val="231F20"/>
          <w:w w:val="110"/>
          <w:sz w:val="18"/>
        </w:rPr>
        <w:t>tribulations.</w:t>
      </w:r>
    </w:p>
    <w:p>
      <w:pPr>
        <w:pStyle w:val="BodyText"/>
        <w:spacing w:before="9"/>
        <w:rPr>
          <w:sz w:val="20"/>
        </w:rPr>
      </w:pPr>
    </w:p>
    <w:p>
      <w:pPr>
        <w:pStyle w:val="ListParagraph"/>
        <w:numPr>
          <w:ilvl w:val="1"/>
          <w:numId w:val="74"/>
        </w:numPr>
        <w:tabs>
          <w:tab w:pos="1960" w:val="left" w:leader="none"/>
          <w:tab w:pos="1961" w:val="left" w:leader="none"/>
        </w:tabs>
        <w:spacing w:line="273" w:lineRule="auto" w:before="0" w:after="0"/>
        <w:ind w:left="1240" w:right="2046" w:firstLine="0"/>
        <w:jc w:val="left"/>
        <w:rPr>
          <w:sz w:val="18"/>
        </w:rPr>
      </w:pPr>
      <w:r>
        <w:rPr>
          <w:b/>
          <w:color w:val="231F20"/>
          <w:w w:val="110"/>
          <w:sz w:val="18"/>
        </w:rPr>
        <w:t>United </w:t>
      </w:r>
      <w:r>
        <w:rPr>
          <w:b/>
          <w:color w:val="231F20"/>
          <w:spacing w:val="2"/>
          <w:w w:val="110"/>
          <w:sz w:val="18"/>
        </w:rPr>
        <w:t>Areas </w:t>
      </w:r>
      <w:r>
        <w:rPr>
          <w:color w:val="231F20"/>
          <w:w w:val="110"/>
          <w:sz w:val="18"/>
        </w:rPr>
        <w:t>are an example of </w:t>
      </w:r>
      <w:r>
        <w:rPr>
          <w:color w:val="231F20"/>
          <w:spacing w:val="2"/>
          <w:w w:val="110"/>
          <w:sz w:val="18"/>
        </w:rPr>
        <w:t>better </w:t>
      </w:r>
      <w:r>
        <w:rPr>
          <w:color w:val="231F20"/>
          <w:w w:val="110"/>
          <w:sz w:val="18"/>
        </w:rPr>
        <w:t>together and the second United Areas Consultation, sponsored by the Methodist – United Reformed Church Liaison Committee, met in Pembrokeshire in </w:t>
      </w:r>
      <w:r>
        <w:rPr>
          <w:color w:val="231F20"/>
          <w:spacing w:val="2"/>
          <w:w w:val="110"/>
          <w:sz w:val="18"/>
        </w:rPr>
        <w:t>October </w:t>
      </w:r>
      <w:r>
        <w:rPr>
          <w:color w:val="231F20"/>
          <w:w w:val="110"/>
          <w:sz w:val="18"/>
        </w:rPr>
        <w:t>2005. </w:t>
      </w:r>
      <w:r>
        <w:rPr>
          <w:color w:val="231F20"/>
          <w:spacing w:val="2"/>
          <w:w w:val="110"/>
          <w:sz w:val="18"/>
        </w:rPr>
        <w:t>There </w:t>
      </w:r>
      <w:r>
        <w:rPr>
          <w:color w:val="231F20"/>
          <w:w w:val="110"/>
          <w:sz w:val="18"/>
        </w:rPr>
        <w:t>are now six United Areas in England and Wales, one of which, the </w:t>
      </w:r>
      <w:r>
        <w:rPr>
          <w:color w:val="231F20"/>
          <w:spacing w:val="3"/>
          <w:w w:val="110"/>
          <w:sz w:val="18"/>
        </w:rPr>
        <w:t>Herts </w:t>
      </w:r>
      <w:r>
        <w:rPr>
          <w:color w:val="231F20"/>
          <w:w w:val="110"/>
          <w:sz w:val="18"/>
        </w:rPr>
        <w:t>and </w:t>
      </w:r>
      <w:r>
        <w:rPr>
          <w:color w:val="231F20"/>
          <w:spacing w:val="2"/>
          <w:w w:val="110"/>
          <w:sz w:val="18"/>
        </w:rPr>
        <w:t>Essex </w:t>
      </w:r>
      <w:r>
        <w:rPr>
          <w:color w:val="231F20"/>
          <w:w w:val="110"/>
          <w:sz w:val="18"/>
        </w:rPr>
        <w:t>Border Ecumenical Area, has expanded following Methodist </w:t>
      </w:r>
      <w:r>
        <w:rPr>
          <w:color w:val="231F20"/>
          <w:spacing w:val="2"/>
          <w:w w:val="110"/>
          <w:sz w:val="18"/>
        </w:rPr>
        <w:t>restructuring </w:t>
      </w:r>
      <w:r>
        <w:rPr>
          <w:color w:val="231F20"/>
          <w:w w:val="110"/>
          <w:sz w:val="18"/>
        </w:rPr>
        <w:t>in and around London. A seventh, in Central Sussex, will be inaugurated in September</w:t>
      </w:r>
      <w:r>
        <w:rPr>
          <w:color w:val="231F20"/>
          <w:spacing w:val="14"/>
          <w:w w:val="110"/>
          <w:sz w:val="18"/>
        </w:rPr>
        <w:t> </w:t>
      </w:r>
      <w:r>
        <w:rPr>
          <w:color w:val="231F20"/>
          <w:w w:val="110"/>
          <w:sz w:val="18"/>
        </w:rPr>
        <w:t>2007</w:t>
      </w:r>
    </w:p>
    <w:p>
      <w:pPr>
        <w:pStyle w:val="BodyText"/>
        <w:spacing w:before="11"/>
        <w:rPr>
          <w:sz w:val="20"/>
        </w:rPr>
      </w:pPr>
    </w:p>
    <w:p>
      <w:pPr>
        <w:pStyle w:val="ListParagraph"/>
        <w:numPr>
          <w:ilvl w:val="1"/>
          <w:numId w:val="74"/>
        </w:numPr>
        <w:tabs>
          <w:tab w:pos="1960" w:val="left" w:leader="none"/>
          <w:tab w:pos="1961" w:val="left" w:leader="none"/>
        </w:tabs>
        <w:spacing w:line="273" w:lineRule="auto" w:before="0" w:after="0"/>
        <w:ind w:left="1240" w:right="2211" w:firstLine="0"/>
        <w:jc w:val="left"/>
        <w:rPr>
          <w:sz w:val="18"/>
        </w:rPr>
      </w:pPr>
      <w:r>
        <w:rPr>
          <w:color w:val="231F20"/>
          <w:spacing w:val="-8"/>
          <w:w w:val="110"/>
          <w:sz w:val="18"/>
        </w:rPr>
        <w:t>To </w:t>
      </w:r>
      <w:r>
        <w:rPr>
          <w:color w:val="231F20"/>
          <w:w w:val="110"/>
          <w:sz w:val="18"/>
        </w:rPr>
        <w:t>make it even </w:t>
      </w:r>
      <w:r>
        <w:rPr>
          <w:color w:val="231F20"/>
          <w:spacing w:val="2"/>
          <w:w w:val="110"/>
          <w:sz w:val="18"/>
        </w:rPr>
        <w:t>better </w:t>
      </w:r>
      <w:r>
        <w:rPr>
          <w:color w:val="231F20"/>
          <w:w w:val="110"/>
          <w:sz w:val="18"/>
        </w:rPr>
        <w:t>together we look </w:t>
      </w:r>
      <w:r>
        <w:rPr>
          <w:color w:val="231F20"/>
          <w:spacing w:val="2"/>
          <w:w w:val="110"/>
          <w:sz w:val="18"/>
        </w:rPr>
        <w:t>forward </w:t>
      </w:r>
      <w:r>
        <w:rPr>
          <w:color w:val="231F20"/>
          <w:w w:val="110"/>
          <w:sz w:val="18"/>
        </w:rPr>
        <w:t>to updated material </w:t>
      </w:r>
      <w:r>
        <w:rPr>
          <w:color w:val="231F20"/>
          <w:spacing w:val="2"/>
          <w:w w:val="110"/>
          <w:sz w:val="18"/>
        </w:rPr>
        <w:t>from </w:t>
      </w:r>
      <w:r>
        <w:rPr>
          <w:color w:val="231F20"/>
          <w:w w:val="110"/>
          <w:sz w:val="18"/>
        </w:rPr>
        <w:t>the </w:t>
      </w:r>
      <w:r>
        <w:rPr>
          <w:b/>
          <w:i/>
          <w:color w:val="231F20"/>
          <w:w w:val="110"/>
          <w:sz w:val="18"/>
        </w:rPr>
        <w:t>How to Make It Work </w:t>
      </w:r>
      <w:r>
        <w:rPr>
          <w:color w:val="231F20"/>
          <w:w w:val="110"/>
          <w:sz w:val="18"/>
        </w:rPr>
        <w:t>Pack becoming available on both Churches’ Websites (www.urc.org.uk). The Liaison Committee has also worked hard on difficulties arising </w:t>
      </w:r>
      <w:r>
        <w:rPr>
          <w:color w:val="231F20"/>
          <w:spacing w:val="2"/>
          <w:w w:val="110"/>
          <w:sz w:val="18"/>
        </w:rPr>
        <w:t>from </w:t>
      </w:r>
      <w:r>
        <w:rPr>
          <w:color w:val="231F20"/>
          <w:w w:val="110"/>
          <w:sz w:val="18"/>
        </w:rPr>
        <w:t>both changes to Methodist ‘Recognised and Regarded’ and ‘Authorised to Serve’ status and the consequences for United Areas of the abolition of </w:t>
      </w:r>
      <w:r>
        <w:rPr>
          <w:color w:val="231F20"/>
          <w:spacing w:val="2"/>
          <w:w w:val="110"/>
          <w:sz w:val="18"/>
        </w:rPr>
        <w:t>district</w:t>
      </w:r>
      <w:r>
        <w:rPr>
          <w:color w:val="231F20"/>
          <w:spacing w:val="3"/>
          <w:w w:val="110"/>
          <w:sz w:val="18"/>
        </w:rPr>
        <w:t> </w:t>
      </w:r>
      <w:r>
        <w:rPr>
          <w:color w:val="231F20"/>
          <w:w w:val="110"/>
          <w:sz w:val="18"/>
        </w:rPr>
        <w:t>councils.</w:t>
      </w:r>
    </w:p>
    <w:p>
      <w:pPr>
        <w:pStyle w:val="BodyText"/>
        <w:spacing w:before="9"/>
        <w:rPr>
          <w:sz w:val="16"/>
        </w:rPr>
      </w:pPr>
    </w:p>
    <w:p>
      <w:pPr>
        <w:pStyle w:val="ListParagraph"/>
        <w:numPr>
          <w:ilvl w:val="1"/>
          <w:numId w:val="75"/>
        </w:numPr>
        <w:tabs>
          <w:tab w:pos="1960" w:val="left" w:leader="none"/>
          <w:tab w:pos="1961" w:val="left" w:leader="none"/>
        </w:tabs>
        <w:spacing w:line="256" w:lineRule="auto" w:before="0" w:after="0"/>
        <w:ind w:left="1240" w:right="2255" w:firstLine="0"/>
        <w:jc w:val="left"/>
        <w:rPr>
          <w:sz w:val="18"/>
        </w:rPr>
      </w:pPr>
      <w:r>
        <w:rPr>
          <w:b/>
          <w:color w:val="231F20"/>
          <w:w w:val="110"/>
          <w:sz w:val="23"/>
        </w:rPr>
        <w:t>Learning together </w:t>
      </w:r>
      <w:r>
        <w:rPr>
          <w:color w:val="231F20"/>
          <w:w w:val="110"/>
          <w:sz w:val="18"/>
        </w:rPr>
        <w:t>is </w:t>
      </w:r>
      <w:r>
        <w:rPr>
          <w:color w:val="231F20"/>
          <w:spacing w:val="2"/>
          <w:w w:val="110"/>
          <w:sz w:val="18"/>
        </w:rPr>
        <w:t>part </w:t>
      </w:r>
      <w:r>
        <w:rPr>
          <w:color w:val="231F20"/>
          <w:w w:val="110"/>
          <w:sz w:val="18"/>
        </w:rPr>
        <w:t>of the contribution of representatives of</w:t>
      </w:r>
      <w:r>
        <w:rPr>
          <w:color w:val="231F20"/>
          <w:spacing w:val="11"/>
          <w:w w:val="110"/>
          <w:sz w:val="18"/>
        </w:rPr>
        <w:t> </w:t>
      </w:r>
      <w:r>
        <w:rPr>
          <w:color w:val="231F20"/>
          <w:w w:val="110"/>
          <w:sz w:val="18"/>
        </w:rPr>
        <w:t>ecumenical</w:t>
      </w:r>
      <w:r>
        <w:rPr>
          <w:color w:val="231F20"/>
          <w:spacing w:val="11"/>
          <w:w w:val="110"/>
          <w:sz w:val="18"/>
        </w:rPr>
        <w:t> </w:t>
      </w:r>
      <w:r>
        <w:rPr>
          <w:color w:val="231F20"/>
          <w:spacing w:val="2"/>
          <w:w w:val="110"/>
          <w:sz w:val="18"/>
        </w:rPr>
        <w:t>partners</w:t>
      </w:r>
      <w:r>
        <w:rPr>
          <w:color w:val="231F20"/>
          <w:spacing w:val="12"/>
          <w:w w:val="110"/>
          <w:sz w:val="18"/>
        </w:rPr>
        <w:t> </w:t>
      </w:r>
      <w:r>
        <w:rPr>
          <w:color w:val="231F20"/>
          <w:w w:val="110"/>
          <w:sz w:val="18"/>
        </w:rPr>
        <w:t>to</w:t>
      </w:r>
      <w:r>
        <w:rPr>
          <w:color w:val="231F20"/>
          <w:spacing w:val="11"/>
          <w:w w:val="110"/>
          <w:sz w:val="18"/>
        </w:rPr>
        <w:t> </w:t>
      </w:r>
      <w:r>
        <w:rPr>
          <w:color w:val="231F20"/>
          <w:w w:val="110"/>
          <w:sz w:val="18"/>
        </w:rPr>
        <w:t>the</w:t>
      </w:r>
      <w:r>
        <w:rPr>
          <w:color w:val="231F20"/>
          <w:spacing w:val="11"/>
          <w:w w:val="110"/>
          <w:sz w:val="18"/>
        </w:rPr>
        <w:t> </w:t>
      </w:r>
      <w:r>
        <w:rPr>
          <w:b/>
          <w:color w:val="231F20"/>
          <w:w w:val="110"/>
          <w:sz w:val="18"/>
        </w:rPr>
        <w:t>Consultation</w:t>
      </w:r>
      <w:r>
        <w:rPr>
          <w:b/>
          <w:color w:val="231F20"/>
          <w:spacing w:val="11"/>
          <w:w w:val="110"/>
          <w:sz w:val="18"/>
        </w:rPr>
        <w:t> </w:t>
      </w:r>
      <w:r>
        <w:rPr>
          <w:b/>
          <w:color w:val="231F20"/>
          <w:w w:val="110"/>
          <w:sz w:val="18"/>
        </w:rPr>
        <w:t>on</w:t>
      </w:r>
      <w:r>
        <w:rPr>
          <w:b/>
          <w:color w:val="231F20"/>
          <w:spacing w:val="10"/>
          <w:w w:val="110"/>
          <w:sz w:val="18"/>
        </w:rPr>
        <w:t> </w:t>
      </w:r>
      <w:r>
        <w:rPr>
          <w:b/>
          <w:color w:val="231F20"/>
          <w:w w:val="110"/>
          <w:sz w:val="18"/>
        </w:rPr>
        <w:t>Eldership</w:t>
      </w:r>
      <w:r>
        <w:rPr>
          <w:b/>
          <w:color w:val="231F20"/>
          <w:spacing w:val="14"/>
          <w:w w:val="110"/>
          <w:sz w:val="18"/>
        </w:rPr>
        <w:t> </w:t>
      </w:r>
      <w:r>
        <w:rPr>
          <w:color w:val="231F20"/>
          <w:w w:val="110"/>
          <w:sz w:val="18"/>
        </w:rPr>
        <w:t>in</w:t>
      </w:r>
      <w:r>
        <w:rPr>
          <w:color w:val="231F20"/>
          <w:spacing w:val="12"/>
          <w:w w:val="110"/>
          <w:sz w:val="18"/>
        </w:rPr>
        <w:t> </w:t>
      </w:r>
      <w:r>
        <w:rPr>
          <w:color w:val="231F20"/>
          <w:spacing w:val="2"/>
          <w:w w:val="110"/>
          <w:sz w:val="18"/>
        </w:rPr>
        <w:t>October</w:t>
      </w:r>
      <w:r>
        <w:rPr>
          <w:color w:val="231F20"/>
          <w:spacing w:val="11"/>
          <w:w w:val="110"/>
          <w:sz w:val="18"/>
        </w:rPr>
        <w:t> </w:t>
      </w:r>
      <w:r>
        <w:rPr>
          <w:color w:val="231F20"/>
          <w:w w:val="110"/>
          <w:sz w:val="18"/>
        </w:rPr>
        <w:t>2006.</w:t>
      </w:r>
    </w:p>
    <w:p>
      <w:pPr>
        <w:pStyle w:val="BodyText"/>
        <w:spacing w:line="273" w:lineRule="auto" w:before="17"/>
        <w:ind w:left="1240" w:right="2061"/>
      </w:pPr>
      <w:r>
        <w:rPr>
          <w:color w:val="231F20"/>
          <w:w w:val="110"/>
        </w:rPr>
        <w:t>It included a firm statement of the principle that ecumenical progress should be based not on convenience but on producing reasoned justifications for practice with which partners can engage. The opening of the two </w:t>
      </w:r>
      <w:r>
        <w:rPr>
          <w:b/>
          <w:color w:val="231F20"/>
          <w:w w:val="110"/>
        </w:rPr>
        <w:t>Bilateral Dialogues </w:t>
      </w:r>
      <w:r>
        <w:rPr>
          <w:color w:val="231F20"/>
          <w:w w:val="110"/>
        </w:rPr>
        <w:t>described in the Doctrine, Prayer and Worship Report is another opportunity for learning together.</w:t>
      </w:r>
    </w:p>
    <w:p>
      <w:pPr>
        <w:pStyle w:val="BodyText"/>
        <w:spacing w:before="10"/>
        <w:rPr>
          <w:sz w:val="20"/>
        </w:rPr>
      </w:pPr>
    </w:p>
    <w:p>
      <w:pPr>
        <w:pStyle w:val="ListParagraph"/>
        <w:numPr>
          <w:ilvl w:val="1"/>
          <w:numId w:val="75"/>
        </w:numPr>
        <w:tabs>
          <w:tab w:pos="1960" w:val="left" w:leader="none"/>
          <w:tab w:pos="1961" w:val="left" w:leader="none"/>
        </w:tabs>
        <w:spacing w:line="273" w:lineRule="auto" w:before="0" w:after="0"/>
        <w:ind w:left="1240" w:right="2260" w:firstLine="0"/>
        <w:jc w:val="left"/>
        <w:rPr>
          <w:sz w:val="18"/>
        </w:rPr>
      </w:pPr>
      <w:r>
        <w:rPr>
          <w:color w:val="231F20"/>
          <w:w w:val="110"/>
          <w:sz w:val="18"/>
        </w:rPr>
        <w:t>Learning is characteristic of much of what constitutes the </w:t>
      </w:r>
      <w:r>
        <w:rPr>
          <w:b/>
          <w:i/>
          <w:color w:val="231F20"/>
          <w:w w:val="110"/>
          <w:sz w:val="18"/>
        </w:rPr>
        <w:t>Belonging to </w:t>
      </w:r>
      <w:r>
        <w:rPr>
          <w:b/>
          <w:i/>
          <w:color w:val="231F20"/>
          <w:w w:val="110"/>
          <w:sz w:val="18"/>
        </w:rPr>
        <w:t>the World Church </w:t>
      </w:r>
      <w:r>
        <w:rPr>
          <w:color w:val="231F20"/>
          <w:w w:val="110"/>
          <w:sz w:val="18"/>
        </w:rPr>
        <w:t>programme </w:t>
      </w:r>
      <w:r>
        <w:rPr>
          <w:color w:val="231F20"/>
          <w:spacing w:val="-4"/>
          <w:w w:val="110"/>
          <w:sz w:val="18"/>
        </w:rPr>
        <w:t>(see </w:t>
      </w:r>
      <w:r>
        <w:rPr>
          <w:color w:val="231F20"/>
          <w:spacing w:val="-5"/>
          <w:w w:val="110"/>
          <w:sz w:val="18"/>
        </w:rPr>
        <w:t>BWC: </w:t>
      </w:r>
      <w:r>
        <w:rPr>
          <w:color w:val="231F20"/>
          <w:w w:val="110"/>
          <w:sz w:val="18"/>
        </w:rPr>
        <w:t>Changing </w:t>
      </w:r>
      <w:r>
        <w:rPr>
          <w:color w:val="231F20"/>
          <w:spacing w:val="-4"/>
          <w:w w:val="110"/>
          <w:sz w:val="18"/>
        </w:rPr>
        <w:t>Lives). </w:t>
      </w:r>
      <w:r>
        <w:rPr>
          <w:color w:val="231F20"/>
          <w:w w:val="110"/>
          <w:sz w:val="18"/>
        </w:rPr>
        <w:t>It also forms the core of our partnership assistance programmes, teaching English for church workers in </w:t>
      </w:r>
      <w:r>
        <w:rPr>
          <w:color w:val="231F20"/>
          <w:spacing w:val="-5"/>
          <w:w w:val="110"/>
          <w:sz w:val="18"/>
        </w:rPr>
        <w:t>Taiwan, </w:t>
      </w:r>
      <w:r>
        <w:rPr>
          <w:color w:val="231F20"/>
          <w:w w:val="110"/>
          <w:sz w:val="18"/>
        </w:rPr>
        <w:t>Korea and </w:t>
      </w:r>
      <w:r>
        <w:rPr>
          <w:color w:val="231F20"/>
          <w:spacing w:val="-3"/>
          <w:w w:val="110"/>
          <w:sz w:val="18"/>
        </w:rPr>
        <w:t>Burma/Myanmar, </w:t>
      </w:r>
      <w:r>
        <w:rPr>
          <w:color w:val="231F20"/>
          <w:w w:val="110"/>
          <w:sz w:val="18"/>
        </w:rPr>
        <w:t>developing and</w:t>
      </w:r>
      <w:r>
        <w:rPr>
          <w:color w:val="231F20"/>
          <w:spacing w:val="1"/>
          <w:w w:val="110"/>
          <w:sz w:val="18"/>
        </w:rPr>
        <w:t> </w:t>
      </w:r>
      <w:r>
        <w:rPr>
          <w:color w:val="231F20"/>
          <w:w w:val="110"/>
          <w:sz w:val="18"/>
        </w:rPr>
        <w:t>supporting</w:t>
      </w:r>
    </w:p>
    <w:p>
      <w:pPr>
        <w:pStyle w:val="BodyText"/>
        <w:spacing w:line="273" w:lineRule="auto" w:before="3"/>
        <w:ind w:left="1240" w:right="2133"/>
      </w:pPr>
      <w:r>
        <w:rPr>
          <w:color w:val="231F20"/>
          <w:w w:val="110"/>
        </w:rPr>
        <w:t>an African partnership training network amongst our non-CWM </w:t>
      </w:r>
      <w:r>
        <w:rPr>
          <w:color w:val="231F20"/>
          <w:spacing w:val="-3"/>
          <w:w w:val="110"/>
        </w:rPr>
        <w:t>(Council </w:t>
      </w:r>
      <w:r>
        <w:rPr>
          <w:color w:val="231F20"/>
          <w:w w:val="110"/>
        </w:rPr>
        <w:t>for World </w:t>
      </w:r>
      <w:r>
        <w:rPr>
          <w:color w:val="231F20"/>
          <w:spacing w:val="-3"/>
          <w:w w:val="110"/>
        </w:rPr>
        <w:t>Mission) </w:t>
      </w:r>
      <w:r>
        <w:rPr>
          <w:color w:val="231F20"/>
          <w:w w:val="110"/>
        </w:rPr>
        <w:t>African partners in conjunction with the CWM Africa Region, and working with other bodies, </w:t>
      </w:r>
      <w:r>
        <w:rPr>
          <w:color w:val="231F20"/>
          <w:spacing w:val="-3"/>
          <w:w w:val="110"/>
        </w:rPr>
        <w:t>like </w:t>
      </w:r>
      <w:r>
        <w:rPr>
          <w:color w:val="231F20"/>
          <w:w w:val="110"/>
        </w:rPr>
        <w:t>the Romans One Eleven </w:t>
      </w:r>
      <w:r>
        <w:rPr>
          <w:color w:val="231F20"/>
          <w:spacing w:val="-3"/>
          <w:w w:val="110"/>
        </w:rPr>
        <w:t>Trust, </w:t>
      </w:r>
      <w:r>
        <w:rPr>
          <w:color w:val="231F20"/>
          <w:w w:val="110"/>
        </w:rPr>
        <w:t>to develop specific education and training opportunities in Uganda, Mozambique and</w:t>
      </w:r>
      <w:r>
        <w:rPr>
          <w:color w:val="231F20"/>
          <w:spacing w:val="-26"/>
          <w:w w:val="110"/>
        </w:rPr>
        <w:t> </w:t>
      </w:r>
      <w:r>
        <w:rPr>
          <w:color w:val="231F20"/>
          <w:w w:val="110"/>
        </w:rPr>
        <w:t>Angola.</w:t>
      </w:r>
    </w:p>
    <w:p>
      <w:pPr>
        <w:pStyle w:val="BodyText"/>
        <w:spacing w:before="7"/>
        <w:rPr>
          <w:sz w:val="16"/>
        </w:rPr>
      </w:pPr>
    </w:p>
    <w:p>
      <w:pPr>
        <w:pStyle w:val="ListParagraph"/>
        <w:numPr>
          <w:ilvl w:val="1"/>
          <w:numId w:val="76"/>
        </w:numPr>
        <w:tabs>
          <w:tab w:pos="1960" w:val="left" w:leader="none"/>
          <w:tab w:pos="1961" w:val="left" w:leader="none"/>
        </w:tabs>
        <w:spacing w:line="271" w:lineRule="auto" w:before="0" w:after="0"/>
        <w:ind w:left="1240" w:right="2344" w:hanging="1"/>
        <w:jc w:val="left"/>
        <w:rPr>
          <w:sz w:val="18"/>
        </w:rPr>
      </w:pPr>
      <w:r>
        <w:rPr>
          <w:b/>
          <w:color w:val="231F20"/>
          <w:w w:val="110"/>
          <w:sz w:val="23"/>
        </w:rPr>
        <w:t>Rejoicing together </w:t>
      </w:r>
      <w:r>
        <w:rPr>
          <w:color w:val="231F20"/>
          <w:w w:val="110"/>
          <w:sz w:val="18"/>
        </w:rPr>
        <w:t>is the highlight of large ecumenical gatherings such as the World Council of Churches Assembly in </w:t>
      </w:r>
      <w:r>
        <w:rPr>
          <w:color w:val="231F20"/>
          <w:spacing w:val="2"/>
          <w:w w:val="110"/>
          <w:sz w:val="18"/>
        </w:rPr>
        <w:t>Porto </w:t>
      </w:r>
      <w:r>
        <w:rPr>
          <w:color w:val="231F20"/>
          <w:w w:val="110"/>
          <w:sz w:val="18"/>
        </w:rPr>
        <w:t>Alegre, Brazil in </w:t>
      </w:r>
      <w:r>
        <w:rPr>
          <w:color w:val="231F20"/>
          <w:spacing w:val="2"/>
          <w:w w:val="110"/>
          <w:sz w:val="18"/>
        </w:rPr>
        <w:t>February </w:t>
      </w:r>
      <w:r>
        <w:rPr>
          <w:color w:val="231F20"/>
          <w:w w:val="110"/>
          <w:sz w:val="18"/>
        </w:rPr>
        <w:t>2006 (</w:t>
      </w:r>
      <w:hyperlink r:id="rId180">
        <w:r>
          <w:rPr>
            <w:color w:val="231F20"/>
            <w:w w:val="110"/>
            <w:sz w:val="18"/>
          </w:rPr>
          <w:t>http://www.wcc-assembly.info/).</w:t>
        </w:r>
      </w:hyperlink>
      <w:r>
        <w:rPr>
          <w:color w:val="231F20"/>
          <w:w w:val="110"/>
          <w:sz w:val="18"/>
        </w:rPr>
        <w:t> It is also a feature of most people’s experience of </w:t>
      </w:r>
      <w:r>
        <w:rPr>
          <w:b/>
          <w:color w:val="231F20"/>
          <w:w w:val="110"/>
          <w:sz w:val="18"/>
        </w:rPr>
        <w:t>sharing with our international </w:t>
      </w:r>
      <w:r>
        <w:rPr>
          <w:b/>
          <w:color w:val="231F20"/>
          <w:spacing w:val="2"/>
          <w:w w:val="110"/>
          <w:sz w:val="18"/>
        </w:rPr>
        <w:t>partners</w:t>
      </w:r>
      <w:r>
        <w:rPr>
          <w:color w:val="231F20"/>
          <w:spacing w:val="2"/>
          <w:w w:val="110"/>
          <w:sz w:val="18"/>
        </w:rPr>
        <w:t>, </w:t>
      </w:r>
      <w:r>
        <w:rPr>
          <w:color w:val="231F20"/>
          <w:w w:val="110"/>
          <w:sz w:val="18"/>
        </w:rPr>
        <w:t>through visitors to the United Reformed Church like the Taiwanese choir at Holiday</w:t>
      </w:r>
      <w:r>
        <w:rPr>
          <w:color w:val="231F20"/>
          <w:spacing w:val="9"/>
          <w:w w:val="110"/>
          <w:sz w:val="18"/>
        </w:rPr>
        <w:t> </w:t>
      </w:r>
      <w:r>
        <w:rPr>
          <w:color w:val="231F20"/>
          <w:w w:val="110"/>
          <w:sz w:val="18"/>
        </w:rPr>
        <w:t>Forum</w:t>
      </w:r>
      <w:r>
        <w:rPr>
          <w:color w:val="231F20"/>
          <w:spacing w:val="10"/>
          <w:w w:val="110"/>
          <w:sz w:val="18"/>
        </w:rPr>
        <w:t> </w:t>
      </w:r>
      <w:r>
        <w:rPr>
          <w:color w:val="231F20"/>
          <w:w w:val="110"/>
          <w:sz w:val="18"/>
        </w:rPr>
        <w:t>2006</w:t>
      </w:r>
      <w:r>
        <w:rPr>
          <w:color w:val="231F20"/>
          <w:spacing w:val="10"/>
          <w:w w:val="110"/>
          <w:sz w:val="18"/>
        </w:rPr>
        <w:t> </w:t>
      </w:r>
      <w:r>
        <w:rPr>
          <w:color w:val="231F20"/>
          <w:w w:val="110"/>
          <w:sz w:val="18"/>
        </w:rPr>
        <w:t>or</w:t>
      </w:r>
      <w:r>
        <w:rPr>
          <w:color w:val="231F20"/>
          <w:spacing w:val="9"/>
          <w:w w:val="110"/>
          <w:sz w:val="18"/>
        </w:rPr>
        <w:t> </w:t>
      </w:r>
      <w:r>
        <w:rPr>
          <w:color w:val="231F20"/>
          <w:w w:val="110"/>
          <w:sz w:val="18"/>
        </w:rPr>
        <w:t>when</w:t>
      </w:r>
      <w:r>
        <w:rPr>
          <w:color w:val="231F20"/>
          <w:spacing w:val="10"/>
          <w:w w:val="110"/>
          <w:sz w:val="18"/>
        </w:rPr>
        <w:t> </w:t>
      </w:r>
      <w:r>
        <w:rPr>
          <w:color w:val="231F20"/>
          <w:w w:val="110"/>
          <w:sz w:val="18"/>
        </w:rPr>
        <w:t>individuals</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groups</w:t>
      </w:r>
      <w:r>
        <w:rPr>
          <w:color w:val="231F20"/>
          <w:spacing w:val="9"/>
          <w:w w:val="110"/>
          <w:sz w:val="18"/>
        </w:rPr>
        <w:t> </w:t>
      </w:r>
      <w:r>
        <w:rPr>
          <w:color w:val="231F20"/>
          <w:w w:val="110"/>
          <w:sz w:val="18"/>
        </w:rPr>
        <w:t>visit</w:t>
      </w:r>
      <w:r>
        <w:rPr>
          <w:color w:val="231F20"/>
          <w:spacing w:val="10"/>
          <w:w w:val="110"/>
          <w:sz w:val="18"/>
        </w:rPr>
        <w:t> </w:t>
      </w:r>
      <w:r>
        <w:rPr>
          <w:color w:val="231F20"/>
          <w:w w:val="110"/>
          <w:sz w:val="18"/>
        </w:rPr>
        <w:t>one</w:t>
      </w:r>
      <w:r>
        <w:rPr>
          <w:color w:val="231F20"/>
          <w:spacing w:val="10"/>
          <w:w w:val="110"/>
          <w:sz w:val="18"/>
        </w:rPr>
        <w:t> </w:t>
      </w:r>
      <w:r>
        <w:rPr>
          <w:color w:val="231F20"/>
          <w:w w:val="110"/>
          <w:sz w:val="18"/>
        </w:rPr>
        <w:t>of</w:t>
      </w:r>
      <w:r>
        <w:rPr>
          <w:color w:val="231F20"/>
          <w:spacing w:val="9"/>
          <w:w w:val="110"/>
          <w:sz w:val="18"/>
        </w:rPr>
        <w:t> </w:t>
      </w:r>
      <w:r>
        <w:rPr>
          <w:color w:val="231F20"/>
          <w:w w:val="110"/>
          <w:sz w:val="18"/>
        </w:rPr>
        <w:t>our</w:t>
      </w:r>
      <w:r>
        <w:rPr>
          <w:color w:val="231F20"/>
          <w:spacing w:val="10"/>
          <w:w w:val="110"/>
          <w:sz w:val="18"/>
        </w:rPr>
        <w:t> </w:t>
      </w:r>
      <w:r>
        <w:rPr>
          <w:color w:val="231F20"/>
          <w:w w:val="110"/>
          <w:sz w:val="18"/>
        </w:rPr>
        <w:t>overseas</w:t>
      </w:r>
    </w:p>
    <w:p>
      <w:pPr>
        <w:pStyle w:val="BodyText"/>
        <w:spacing w:line="273" w:lineRule="auto"/>
        <w:ind w:left="1240" w:right="2061"/>
      </w:pPr>
      <w:r>
        <w:rPr>
          <w:color w:val="231F20"/>
          <w:spacing w:val="2"/>
          <w:w w:val="110"/>
        </w:rPr>
        <w:t>partners </w:t>
      </w:r>
      <w:r>
        <w:rPr>
          <w:color w:val="231F20"/>
          <w:w w:val="110"/>
        </w:rPr>
        <w:t>and experience their context, such as the Mersey synod visit to Malawi in August</w:t>
      </w:r>
      <w:r>
        <w:rPr>
          <w:color w:val="231F20"/>
          <w:spacing w:val="1"/>
          <w:w w:val="110"/>
        </w:rPr>
        <w:t> </w:t>
      </w:r>
      <w:r>
        <w:rPr>
          <w:color w:val="231F20"/>
          <w:w w:val="110"/>
        </w:rPr>
        <w:t>2005.</w:t>
      </w:r>
    </w:p>
    <w:p>
      <w:pPr>
        <w:pStyle w:val="BodyText"/>
        <w:spacing w:before="7"/>
        <w:rPr>
          <w:sz w:val="20"/>
        </w:rPr>
      </w:pPr>
    </w:p>
    <w:p>
      <w:pPr>
        <w:pStyle w:val="ListParagraph"/>
        <w:numPr>
          <w:ilvl w:val="1"/>
          <w:numId w:val="76"/>
        </w:numPr>
        <w:tabs>
          <w:tab w:pos="1960" w:val="left" w:leader="none"/>
          <w:tab w:pos="1961" w:val="left" w:leader="none"/>
        </w:tabs>
        <w:spacing w:line="273" w:lineRule="auto" w:before="0" w:after="0"/>
        <w:ind w:left="1240" w:right="2042" w:firstLine="0"/>
        <w:jc w:val="left"/>
        <w:rPr>
          <w:b/>
          <w:sz w:val="18"/>
        </w:rPr>
      </w:pPr>
      <w:r>
        <w:rPr>
          <w:color w:val="231F20"/>
          <w:w w:val="110"/>
          <w:sz w:val="18"/>
        </w:rPr>
        <w:t>In June in Speyer and in </w:t>
      </w:r>
      <w:r>
        <w:rPr>
          <w:color w:val="231F20"/>
          <w:spacing w:val="2"/>
          <w:w w:val="110"/>
          <w:sz w:val="18"/>
        </w:rPr>
        <w:t>October </w:t>
      </w:r>
      <w:r>
        <w:rPr>
          <w:color w:val="231F20"/>
          <w:w w:val="110"/>
          <w:sz w:val="18"/>
        </w:rPr>
        <w:t>in York, we will be celebrating </w:t>
      </w:r>
      <w:r>
        <w:rPr>
          <w:color w:val="231F20"/>
          <w:spacing w:val="3"/>
          <w:w w:val="110"/>
          <w:sz w:val="18"/>
        </w:rPr>
        <w:t>fifty </w:t>
      </w:r>
      <w:r>
        <w:rPr>
          <w:color w:val="231F20"/>
          <w:w w:val="110"/>
          <w:sz w:val="18"/>
        </w:rPr>
        <w:t>years of the covenant originally agreed between the then Congregational Union of England and Wales and Die Evangelische </w:t>
      </w:r>
      <w:r>
        <w:rPr>
          <w:color w:val="231F20"/>
          <w:spacing w:val="2"/>
          <w:w w:val="110"/>
          <w:sz w:val="18"/>
        </w:rPr>
        <w:t>Kirche </w:t>
      </w:r>
      <w:r>
        <w:rPr>
          <w:color w:val="231F20"/>
          <w:w w:val="110"/>
          <w:sz w:val="18"/>
        </w:rPr>
        <w:t>der Pfalz, enabling pulpit and table fellowship. It symbolises the reconciliation of the two churches following  the second world </w:t>
      </w:r>
      <w:r>
        <w:rPr>
          <w:color w:val="231F20"/>
          <w:spacing w:val="-5"/>
          <w:w w:val="110"/>
          <w:sz w:val="18"/>
        </w:rPr>
        <w:t>war, </w:t>
      </w:r>
      <w:r>
        <w:rPr>
          <w:color w:val="231F20"/>
          <w:w w:val="110"/>
          <w:sz w:val="18"/>
        </w:rPr>
        <w:t>giving thanks to God for all that it has enabled both for  our two churches and more widely in Europe through the Leuenberg Agreement which has grown into the </w:t>
      </w:r>
      <w:r>
        <w:rPr>
          <w:b/>
          <w:color w:val="231F20"/>
          <w:w w:val="110"/>
          <w:sz w:val="18"/>
        </w:rPr>
        <w:t>Community of </w:t>
      </w:r>
      <w:r>
        <w:rPr>
          <w:b/>
          <w:color w:val="231F20"/>
          <w:spacing w:val="2"/>
          <w:w w:val="110"/>
          <w:sz w:val="18"/>
        </w:rPr>
        <w:t>Protestant Churches </w:t>
      </w:r>
      <w:r>
        <w:rPr>
          <w:b/>
          <w:color w:val="231F20"/>
          <w:w w:val="110"/>
          <w:sz w:val="18"/>
        </w:rPr>
        <w:t>in</w:t>
      </w:r>
      <w:r>
        <w:rPr>
          <w:b/>
          <w:color w:val="231F20"/>
          <w:spacing w:val="1"/>
          <w:w w:val="110"/>
          <w:sz w:val="18"/>
        </w:rPr>
        <w:t> </w:t>
      </w:r>
      <w:r>
        <w:rPr>
          <w:b/>
          <w:color w:val="231F20"/>
          <w:w w:val="110"/>
          <w:sz w:val="18"/>
        </w:rPr>
        <w:t>Europe.</w:t>
      </w:r>
    </w:p>
    <w:p>
      <w:pPr>
        <w:pStyle w:val="BodyText"/>
        <w:spacing w:before="10"/>
        <w:rPr>
          <w:b/>
          <w:sz w:val="26"/>
        </w:rPr>
      </w:pPr>
    </w:p>
    <w:p>
      <w:pPr>
        <w:spacing w:before="55"/>
        <w:ind w:left="0" w:right="1160" w:firstLine="0"/>
        <w:jc w:val="right"/>
        <w:rPr>
          <w:rFonts w:ascii="Eurostile Bold"/>
          <w:b/>
          <w:sz w:val="24"/>
        </w:rPr>
      </w:pPr>
      <w:r>
        <w:rPr>
          <w:rFonts w:ascii="Eurostile Bold"/>
          <w:b/>
          <w:color w:val="231F20"/>
          <w:w w:val="85"/>
          <w:sz w:val="24"/>
        </w:rPr>
        <w:t>131</w:t>
      </w:r>
    </w:p>
    <w:p>
      <w:pPr>
        <w:spacing w:after="0"/>
        <w:jc w:val="right"/>
        <w:rPr>
          <w:rFonts w:ascii="Eurostile Bold"/>
          <w:sz w:val="24"/>
        </w:rPr>
        <w:sectPr>
          <w:headerReference w:type="default" r:id="rId178"/>
          <w:footerReference w:type="default" r:id="rId179"/>
          <w:pgSz w:w="11910" w:h="16840"/>
          <w:pgMar w:header="0" w:footer="0" w:top="1000" w:bottom="280" w:left="460" w:right="0"/>
        </w:sectPr>
      </w:pPr>
    </w:p>
    <w:p>
      <w:pPr>
        <w:spacing w:before="28"/>
        <w:ind w:left="0" w:right="1131" w:firstLine="0"/>
        <w:jc w:val="right"/>
        <w:rPr>
          <w:rFonts w:ascii="Eurostile Bold"/>
          <w:b/>
          <w:sz w:val="28"/>
        </w:rPr>
      </w:pPr>
      <w:r>
        <w:rPr>
          <w:rFonts w:ascii="Eurostile Bold"/>
          <w:b/>
          <w:color w:val="A7A9AC"/>
          <w:w w:val="85"/>
          <w:sz w:val="28"/>
        </w:rPr>
        <w:t>Ecumenical</w:t>
      </w:r>
    </w:p>
    <w:p>
      <w:pPr>
        <w:pStyle w:val="ListParagraph"/>
        <w:numPr>
          <w:ilvl w:val="1"/>
          <w:numId w:val="77"/>
        </w:numPr>
        <w:tabs>
          <w:tab w:pos="1393" w:val="left" w:leader="none"/>
          <w:tab w:pos="1394" w:val="left" w:leader="none"/>
        </w:tabs>
        <w:spacing w:line="273" w:lineRule="auto" w:before="249" w:after="0"/>
        <w:ind w:left="673" w:right="1735" w:hanging="1"/>
        <w:jc w:val="left"/>
        <w:rPr>
          <w:sz w:val="18"/>
        </w:rPr>
      </w:pPr>
      <w:r>
        <w:rPr>
          <w:b/>
          <w:color w:val="231F20"/>
          <w:w w:val="110"/>
          <w:sz w:val="23"/>
        </w:rPr>
        <w:t>Standing together </w:t>
      </w:r>
      <w:r>
        <w:rPr>
          <w:color w:val="231F20"/>
          <w:w w:val="110"/>
          <w:sz w:val="18"/>
        </w:rPr>
        <w:t>is the more demanding side of what it means to    belong together. </w:t>
      </w:r>
      <w:r>
        <w:rPr>
          <w:color w:val="231F20"/>
          <w:spacing w:val="-3"/>
          <w:w w:val="110"/>
          <w:sz w:val="18"/>
        </w:rPr>
        <w:t>We </w:t>
      </w:r>
      <w:r>
        <w:rPr>
          <w:color w:val="231F20"/>
          <w:w w:val="110"/>
          <w:sz w:val="18"/>
        </w:rPr>
        <w:t>have been aware prayerfully of much painful restructuring, particularly at Churches Together in Britain and Ireland and the Methodist Church. The Churches Together in England Coordinating Group for </w:t>
      </w:r>
      <w:r>
        <w:rPr>
          <w:color w:val="231F20"/>
          <w:spacing w:val="2"/>
          <w:w w:val="110"/>
          <w:sz w:val="18"/>
        </w:rPr>
        <w:t>Local </w:t>
      </w:r>
      <w:r>
        <w:rPr>
          <w:color w:val="231F20"/>
          <w:w w:val="110"/>
          <w:sz w:val="18"/>
        </w:rPr>
        <w:t>Unity produced a </w:t>
      </w:r>
      <w:r>
        <w:rPr>
          <w:b/>
          <w:color w:val="231F20"/>
          <w:w w:val="110"/>
          <w:sz w:val="18"/>
        </w:rPr>
        <w:t>new draft </w:t>
      </w:r>
      <w:r>
        <w:rPr>
          <w:b/>
          <w:color w:val="231F20"/>
          <w:spacing w:val="2"/>
          <w:w w:val="110"/>
          <w:sz w:val="18"/>
        </w:rPr>
        <w:t>constitution </w:t>
      </w:r>
      <w:r>
        <w:rPr>
          <w:b/>
          <w:color w:val="231F20"/>
          <w:w w:val="110"/>
          <w:sz w:val="18"/>
        </w:rPr>
        <w:t>for </w:t>
      </w:r>
      <w:r>
        <w:rPr>
          <w:b/>
          <w:color w:val="231F20"/>
          <w:spacing w:val="2"/>
          <w:w w:val="110"/>
          <w:sz w:val="18"/>
        </w:rPr>
        <w:t>Local </w:t>
      </w:r>
      <w:r>
        <w:rPr>
          <w:b/>
          <w:color w:val="231F20"/>
          <w:w w:val="110"/>
          <w:sz w:val="18"/>
        </w:rPr>
        <w:t>Ecumenical Partnerships</w:t>
      </w:r>
      <w:r>
        <w:rPr>
          <w:color w:val="231F20"/>
          <w:w w:val="110"/>
          <w:sz w:val="18"/>
        </w:rPr>
        <w:t>,  enabling  something  appropriate for each local context to be </w:t>
      </w:r>
      <w:r>
        <w:rPr>
          <w:color w:val="231F20"/>
          <w:spacing w:val="2"/>
          <w:w w:val="110"/>
          <w:sz w:val="18"/>
        </w:rPr>
        <w:t>written </w:t>
      </w:r>
      <w:r>
        <w:rPr>
          <w:color w:val="231F20"/>
          <w:w w:val="110"/>
          <w:sz w:val="18"/>
        </w:rPr>
        <w:t>via a questionnaire and support document with suggestions for all answers. It remains to be seen how far this will be </w:t>
      </w:r>
      <w:r>
        <w:rPr>
          <w:color w:val="231F20"/>
          <w:spacing w:val="3"/>
          <w:w w:val="110"/>
          <w:sz w:val="18"/>
        </w:rPr>
        <w:t>affected </w:t>
      </w:r>
      <w:r>
        <w:rPr>
          <w:color w:val="231F20"/>
          <w:w w:val="110"/>
          <w:sz w:val="18"/>
        </w:rPr>
        <w:t>by demands for standardised governance documentation in the Charities Act. </w:t>
      </w:r>
      <w:r>
        <w:rPr>
          <w:color w:val="231F20"/>
          <w:spacing w:val="-3"/>
          <w:w w:val="110"/>
          <w:sz w:val="18"/>
        </w:rPr>
        <w:t>We </w:t>
      </w:r>
      <w:r>
        <w:rPr>
          <w:color w:val="231F20"/>
          <w:w w:val="110"/>
          <w:sz w:val="18"/>
        </w:rPr>
        <w:t>also look </w:t>
      </w:r>
      <w:r>
        <w:rPr>
          <w:color w:val="231F20"/>
          <w:spacing w:val="2"/>
          <w:w w:val="110"/>
          <w:sz w:val="18"/>
        </w:rPr>
        <w:t>forward </w:t>
      </w:r>
      <w:r>
        <w:rPr>
          <w:color w:val="231F20"/>
          <w:w w:val="110"/>
          <w:sz w:val="18"/>
        </w:rPr>
        <w:t>to the evaluative review of ten years of the ecumenical journey since </w:t>
      </w:r>
      <w:r>
        <w:rPr>
          <w:i/>
          <w:color w:val="231F20"/>
          <w:w w:val="110"/>
          <w:sz w:val="18"/>
        </w:rPr>
        <w:t>Called to  </w:t>
      </w:r>
      <w:r>
        <w:rPr>
          <w:i/>
          <w:color w:val="231F20"/>
          <w:w w:val="110"/>
          <w:sz w:val="18"/>
        </w:rPr>
        <w:t>Be One </w:t>
      </w:r>
      <w:r>
        <w:rPr>
          <w:color w:val="231F20"/>
          <w:w w:val="110"/>
          <w:sz w:val="18"/>
        </w:rPr>
        <w:t>commissioned by the Enabling Group of Churches Together in</w:t>
      </w:r>
      <w:r>
        <w:rPr>
          <w:color w:val="231F20"/>
          <w:spacing w:val="56"/>
          <w:w w:val="110"/>
          <w:sz w:val="18"/>
        </w:rPr>
        <w:t> </w:t>
      </w:r>
      <w:r>
        <w:rPr>
          <w:color w:val="231F20"/>
          <w:w w:val="110"/>
          <w:sz w:val="18"/>
        </w:rPr>
        <w:t>England.</w:t>
      </w:r>
    </w:p>
    <w:p>
      <w:pPr>
        <w:pStyle w:val="BodyText"/>
        <w:spacing w:before="7"/>
        <w:rPr>
          <w:sz w:val="19"/>
        </w:rPr>
      </w:pPr>
    </w:p>
    <w:p>
      <w:pPr>
        <w:pStyle w:val="ListParagraph"/>
        <w:numPr>
          <w:ilvl w:val="1"/>
          <w:numId w:val="77"/>
        </w:numPr>
        <w:tabs>
          <w:tab w:pos="1393" w:val="left" w:leader="none"/>
          <w:tab w:pos="1394" w:val="left" w:leader="none"/>
        </w:tabs>
        <w:spacing w:line="273" w:lineRule="auto" w:before="0" w:after="0"/>
        <w:ind w:left="673" w:right="1782" w:firstLine="0"/>
        <w:jc w:val="left"/>
        <w:rPr>
          <w:sz w:val="18"/>
        </w:rPr>
      </w:pPr>
      <w:r>
        <w:rPr>
          <w:color w:val="231F20"/>
          <w:w w:val="110"/>
          <w:sz w:val="18"/>
        </w:rPr>
        <w:t>Our </w:t>
      </w:r>
      <w:r>
        <w:rPr>
          <w:b/>
          <w:color w:val="231F20"/>
          <w:w w:val="110"/>
          <w:sz w:val="18"/>
        </w:rPr>
        <w:t>overseas </w:t>
      </w:r>
      <w:r>
        <w:rPr>
          <w:b/>
          <w:color w:val="231F20"/>
          <w:spacing w:val="2"/>
          <w:w w:val="110"/>
          <w:sz w:val="18"/>
        </w:rPr>
        <w:t>partners </w:t>
      </w:r>
      <w:r>
        <w:rPr>
          <w:color w:val="231F20"/>
          <w:w w:val="110"/>
          <w:sz w:val="18"/>
        </w:rPr>
        <w:t>stand with us as they share people in mission with the United Reformed Church helping us to respond to the challenges of being church and pursuing</w:t>
      </w:r>
      <w:r>
        <w:rPr>
          <w:color w:val="231F20"/>
          <w:spacing w:val="9"/>
          <w:w w:val="110"/>
          <w:sz w:val="18"/>
        </w:rPr>
        <w:t> </w:t>
      </w:r>
      <w:r>
        <w:rPr>
          <w:color w:val="231F20"/>
          <w:w w:val="110"/>
          <w:sz w:val="18"/>
        </w:rPr>
        <w:t>God’s</w:t>
      </w:r>
      <w:r>
        <w:rPr>
          <w:color w:val="231F20"/>
          <w:spacing w:val="9"/>
          <w:w w:val="110"/>
          <w:sz w:val="18"/>
        </w:rPr>
        <w:t> </w:t>
      </w:r>
      <w:r>
        <w:rPr>
          <w:color w:val="231F20"/>
          <w:w w:val="110"/>
          <w:sz w:val="18"/>
        </w:rPr>
        <w:t>mission</w:t>
      </w:r>
      <w:r>
        <w:rPr>
          <w:color w:val="231F20"/>
          <w:spacing w:val="9"/>
          <w:w w:val="110"/>
          <w:sz w:val="18"/>
        </w:rPr>
        <w:t> </w:t>
      </w:r>
      <w:r>
        <w:rPr>
          <w:color w:val="231F20"/>
          <w:w w:val="110"/>
          <w:sz w:val="18"/>
        </w:rPr>
        <w:t>in</w:t>
      </w:r>
      <w:r>
        <w:rPr>
          <w:color w:val="231F20"/>
          <w:spacing w:val="10"/>
          <w:w w:val="110"/>
          <w:sz w:val="18"/>
        </w:rPr>
        <w:t> </w:t>
      </w:r>
      <w:r>
        <w:rPr>
          <w:color w:val="231F20"/>
          <w:w w:val="110"/>
          <w:sz w:val="18"/>
        </w:rPr>
        <w:t>our</w:t>
      </w:r>
      <w:r>
        <w:rPr>
          <w:color w:val="231F20"/>
          <w:spacing w:val="9"/>
          <w:w w:val="110"/>
          <w:sz w:val="18"/>
        </w:rPr>
        <w:t> </w:t>
      </w:r>
      <w:r>
        <w:rPr>
          <w:color w:val="231F20"/>
          <w:w w:val="110"/>
          <w:sz w:val="18"/>
        </w:rPr>
        <w:t>context. </w:t>
      </w:r>
      <w:r>
        <w:rPr>
          <w:color w:val="231F20"/>
          <w:spacing w:val="19"/>
          <w:w w:val="110"/>
          <w:sz w:val="18"/>
        </w:rPr>
        <w:t> </w:t>
      </w:r>
      <w:r>
        <w:rPr>
          <w:color w:val="231F20"/>
          <w:spacing w:val="2"/>
          <w:w w:val="110"/>
          <w:sz w:val="18"/>
        </w:rPr>
        <w:t>Serving</w:t>
      </w:r>
      <w:r>
        <w:rPr>
          <w:color w:val="231F20"/>
          <w:spacing w:val="9"/>
          <w:w w:val="110"/>
          <w:sz w:val="18"/>
        </w:rPr>
        <w:t> </w:t>
      </w:r>
      <w:r>
        <w:rPr>
          <w:color w:val="231F20"/>
          <w:w w:val="110"/>
          <w:sz w:val="18"/>
        </w:rPr>
        <w:t>here</w:t>
      </w:r>
      <w:r>
        <w:rPr>
          <w:color w:val="231F20"/>
          <w:spacing w:val="9"/>
          <w:w w:val="110"/>
          <w:sz w:val="18"/>
        </w:rPr>
        <w:t> </w:t>
      </w:r>
      <w:r>
        <w:rPr>
          <w:color w:val="231F20"/>
          <w:w w:val="110"/>
          <w:sz w:val="18"/>
        </w:rPr>
        <w:t>over</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last</w:t>
      </w:r>
      <w:r>
        <w:rPr>
          <w:color w:val="231F20"/>
          <w:spacing w:val="9"/>
          <w:w w:val="110"/>
          <w:sz w:val="18"/>
        </w:rPr>
        <w:t> </w:t>
      </w:r>
      <w:r>
        <w:rPr>
          <w:color w:val="231F20"/>
          <w:w w:val="110"/>
          <w:sz w:val="18"/>
        </w:rPr>
        <w:t>two</w:t>
      </w:r>
      <w:r>
        <w:rPr>
          <w:color w:val="231F20"/>
          <w:spacing w:val="10"/>
          <w:w w:val="110"/>
          <w:sz w:val="18"/>
        </w:rPr>
        <w:t> </w:t>
      </w:r>
      <w:r>
        <w:rPr>
          <w:color w:val="231F20"/>
          <w:w w:val="110"/>
          <w:sz w:val="18"/>
        </w:rPr>
        <w:t>years</w:t>
      </w:r>
      <w:r>
        <w:rPr>
          <w:color w:val="231F20"/>
          <w:spacing w:val="9"/>
          <w:w w:val="110"/>
          <w:sz w:val="18"/>
        </w:rPr>
        <w:t> </w:t>
      </w:r>
      <w:r>
        <w:rPr>
          <w:color w:val="231F20"/>
          <w:w w:val="110"/>
          <w:sz w:val="18"/>
        </w:rPr>
        <w:t>have</w:t>
      </w:r>
      <w:r>
        <w:rPr>
          <w:color w:val="231F20"/>
          <w:spacing w:val="9"/>
          <w:w w:val="110"/>
          <w:sz w:val="18"/>
        </w:rPr>
        <w:t> </w:t>
      </w:r>
      <w:r>
        <w:rPr>
          <w:color w:val="231F20"/>
          <w:w w:val="110"/>
          <w:sz w:val="18"/>
        </w:rPr>
        <w:t>been:</w:t>
      </w:r>
    </w:p>
    <w:p>
      <w:pPr>
        <w:pStyle w:val="BodyText"/>
        <w:spacing w:before="9"/>
        <w:rPr>
          <w:sz w:val="19"/>
        </w:rPr>
      </w:pPr>
    </w:p>
    <w:p>
      <w:pPr>
        <w:pStyle w:val="ListParagraph"/>
        <w:numPr>
          <w:ilvl w:val="0"/>
          <w:numId w:val="2"/>
        </w:numPr>
        <w:tabs>
          <w:tab w:pos="1354" w:val="left" w:leader="none"/>
          <w:tab w:pos="1355" w:val="left" w:leader="none"/>
        </w:tabs>
        <w:spacing w:line="218" w:lineRule="auto" w:before="0" w:after="0"/>
        <w:ind w:left="1354" w:right="1774" w:hanging="681"/>
        <w:jc w:val="left"/>
        <w:rPr>
          <w:color w:val="231F20"/>
          <w:sz w:val="25"/>
        </w:rPr>
      </w:pPr>
      <w:r>
        <w:rPr>
          <w:color w:val="231F20"/>
          <w:spacing w:val="2"/>
          <w:w w:val="110"/>
          <w:sz w:val="18"/>
        </w:rPr>
        <w:t>Henry </w:t>
      </w:r>
      <w:r>
        <w:rPr>
          <w:color w:val="231F20"/>
          <w:w w:val="110"/>
          <w:sz w:val="18"/>
        </w:rPr>
        <w:t>and Maressa Ipatau </w:t>
      </w:r>
      <w:r>
        <w:rPr>
          <w:color w:val="231F20"/>
          <w:spacing w:val="2"/>
          <w:w w:val="110"/>
          <w:sz w:val="18"/>
        </w:rPr>
        <w:t>from </w:t>
      </w:r>
      <w:r>
        <w:rPr>
          <w:color w:val="231F20"/>
          <w:w w:val="110"/>
          <w:sz w:val="18"/>
        </w:rPr>
        <w:t>the Congregational Christian Church in Samoa to </w:t>
      </w:r>
      <w:r>
        <w:rPr>
          <w:color w:val="231F20"/>
          <w:spacing w:val="2"/>
          <w:w w:val="110"/>
          <w:sz w:val="18"/>
        </w:rPr>
        <w:t>city </w:t>
      </w:r>
      <w:r>
        <w:rPr>
          <w:color w:val="231F20"/>
          <w:w w:val="110"/>
          <w:sz w:val="18"/>
        </w:rPr>
        <w:t>centre ministry in</w:t>
      </w:r>
      <w:r>
        <w:rPr>
          <w:color w:val="231F20"/>
          <w:spacing w:val="4"/>
          <w:w w:val="110"/>
          <w:sz w:val="18"/>
        </w:rPr>
        <w:t> </w:t>
      </w:r>
      <w:r>
        <w:rPr>
          <w:color w:val="231F20"/>
          <w:w w:val="110"/>
          <w:sz w:val="18"/>
        </w:rPr>
        <w:t>Norwich.</w:t>
      </w:r>
    </w:p>
    <w:p>
      <w:pPr>
        <w:pStyle w:val="ListParagraph"/>
        <w:numPr>
          <w:ilvl w:val="0"/>
          <w:numId w:val="2"/>
        </w:numPr>
        <w:tabs>
          <w:tab w:pos="1354" w:val="left" w:leader="none"/>
          <w:tab w:pos="1355" w:val="left" w:leader="none"/>
        </w:tabs>
        <w:spacing w:line="250" w:lineRule="exact" w:before="17" w:after="0"/>
        <w:ind w:left="1354" w:right="2312" w:hanging="681"/>
        <w:jc w:val="left"/>
        <w:rPr>
          <w:color w:val="231F20"/>
          <w:sz w:val="25"/>
        </w:rPr>
      </w:pPr>
      <w:r>
        <w:rPr>
          <w:color w:val="231F20"/>
          <w:w w:val="110"/>
          <w:sz w:val="18"/>
        </w:rPr>
        <w:t>Chang, Jen-Ho, </w:t>
      </w:r>
      <w:r>
        <w:rPr>
          <w:color w:val="231F20"/>
          <w:spacing w:val="2"/>
          <w:w w:val="110"/>
          <w:sz w:val="18"/>
        </w:rPr>
        <w:t>succeeded </w:t>
      </w:r>
      <w:r>
        <w:rPr>
          <w:color w:val="231F20"/>
          <w:w w:val="110"/>
          <w:sz w:val="18"/>
        </w:rPr>
        <w:t>in August 2006 by Chung, Shou-Hui </w:t>
      </w:r>
      <w:r>
        <w:rPr>
          <w:color w:val="231F20"/>
          <w:spacing w:val="2"/>
          <w:w w:val="110"/>
          <w:sz w:val="18"/>
        </w:rPr>
        <w:t>from </w:t>
      </w:r>
      <w:r>
        <w:rPr>
          <w:color w:val="231F20"/>
          <w:w w:val="110"/>
          <w:sz w:val="18"/>
        </w:rPr>
        <w:t>the Presbyterian Church in </w:t>
      </w:r>
      <w:r>
        <w:rPr>
          <w:color w:val="231F20"/>
          <w:spacing w:val="-3"/>
          <w:w w:val="110"/>
          <w:sz w:val="18"/>
        </w:rPr>
        <w:t>Taiwan </w:t>
      </w:r>
      <w:r>
        <w:rPr>
          <w:color w:val="231F20"/>
          <w:w w:val="110"/>
          <w:sz w:val="18"/>
        </w:rPr>
        <w:t>to ministry amongst Taiwanese and Mandarin speaking students in</w:t>
      </w:r>
      <w:r>
        <w:rPr>
          <w:color w:val="231F20"/>
          <w:spacing w:val="4"/>
          <w:w w:val="110"/>
          <w:sz w:val="18"/>
        </w:rPr>
        <w:t> </w:t>
      </w:r>
      <w:r>
        <w:rPr>
          <w:color w:val="231F20"/>
          <w:w w:val="110"/>
          <w:sz w:val="18"/>
        </w:rPr>
        <w:t>Manchester.</w:t>
      </w:r>
    </w:p>
    <w:p>
      <w:pPr>
        <w:pStyle w:val="ListParagraph"/>
        <w:numPr>
          <w:ilvl w:val="0"/>
          <w:numId w:val="2"/>
        </w:numPr>
        <w:tabs>
          <w:tab w:pos="1354" w:val="left" w:leader="none"/>
          <w:tab w:pos="1355" w:val="left" w:leader="none"/>
        </w:tabs>
        <w:spacing w:line="218" w:lineRule="auto" w:before="8" w:after="0"/>
        <w:ind w:left="1354" w:right="2125" w:hanging="681"/>
        <w:jc w:val="left"/>
        <w:rPr>
          <w:color w:val="231F20"/>
          <w:sz w:val="25"/>
        </w:rPr>
      </w:pPr>
      <w:r>
        <w:rPr>
          <w:color w:val="231F20"/>
          <w:w w:val="110"/>
          <w:sz w:val="18"/>
        </w:rPr>
        <w:t>Godwin Odonkor </w:t>
      </w:r>
      <w:r>
        <w:rPr>
          <w:color w:val="231F20"/>
          <w:spacing w:val="2"/>
          <w:w w:val="110"/>
          <w:sz w:val="18"/>
        </w:rPr>
        <w:t>from </w:t>
      </w:r>
      <w:r>
        <w:rPr>
          <w:color w:val="231F20"/>
          <w:w w:val="110"/>
          <w:sz w:val="18"/>
        </w:rPr>
        <w:t>the Presbyterian Church of Ghana to Ghanaian ministry in London.</w:t>
      </w:r>
    </w:p>
    <w:p>
      <w:pPr>
        <w:pStyle w:val="ListParagraph"/>
        <w:numPr>
          <w:ilvl w:val="0"/>
          <w:numId w:val="2"/>
        </w:numPr>
        <w:tabs>
          <w:tab w:pos="1354" w:val="left" w:leader="none"/>
          <w:tab w:pos="1355" w:val="left" w:leader="none"/>
        </w:tabs>
        <w:spacing w:line="218" w:lineRule="auto" w:before="24" w:after="0"/>
        <w:ind w:left="1354" w:right="1779" w:hanging="681"/>
        <w:jc w:val="left"/>
        <w:rPr>
          <w:color w:val="231F20"/>
          <w:sz w:val="25"/>
        </w:rPr>
      </w:pPr>
      <w:r>
        <w:rPr>
          <w:color w:val="231F20"/>
          <w:w w:val="110"/>
          <w:sz w:val="18"/>
        </w:rPr>
        <w:t>Steve Titus </w:t>
      </w:r>
      <w:r>
        <w:rPr>
          <w:color w:val="231F20"/>
          <w:spacing w:val="2"/>
          <w:w w:val="110"/>
          <w:sz w:val="18"/>
        </w:rPr>
        <w:t>from </w:t>
      </w:r>
      <w:r>
        <w:rPr>
          <w:color w:val="231F20"/>
          <w:w w:val="110"/>
          <w:sz w:val="18"/>
        </w:rPr>
        <w:t>the United Congregational Church in Southern </w:t>
      </w:r>
      <w:r>
        <w:rPr>
          <w:color w:val="231F20"/>
          <w:spacing w:val="2"/>
          <w:w w:val="110"/>
          <w:sz w:val="18"/>
        </w:rPr>
        <w:t>Africa </w:t>
      </w:r>
      <w:r>
        <w:rPr>
          <w:color w:val="231F20"/>
          <w:w w:val="110"/>
          <w:sz w:val="18"/>
        </w:rPr>
        <w:t>to ministry in South</w:t>
      </w:r>
      <w:r>
        <w:rPr>
          <w:color w:val="231F20"/>
          <w:spacing w:val="1"/>
          <w:w w:val="110"/>
          <w:sz w:val="18"/>
        </w:rPr>
        <w:t> </w:t>
      </w:r>
      <w:r>
        <w:rPr>
          <w:color w:val="231F20"/>
          <w:w w:val="110"/>
          <w:sz w:val="18"/>
        </w:rPr>
        <w:t>London.</w:t>
      </w:r>
    </w:p>
    <w:p>
      <w:pPr>
        <w:pStyle w:val="ListParagraph"/>
        <w:numPr>
          <w:ilvl w:val="0"/>
          <w:numId w:val="2"/>
        </w:numPr>
        <w:tabs>
          <w:tab w:pos="1354" w:val="left" w:leader="none"/>
          <w:tab w:pos="1355" w:val="left" w:leader="none"/>
        </w:tabs>
        <w:spacing w:line="240" w:lineRule="auto" w:before="5" w:after="0"/>
        <w:ind w:left="1354" w:right="0" w:hanging="682"/>
        <w:jc w:val="left"/>
        <w:rPr>
          <w:color w:val="231F20"/>
          <w:sz w:val="25"/>
        </w:rPr>
      </w:pPr>
      <w:r>
        <w:rPr>
          <w:color w:val="231F20"/>
          <w:w w:val="110"/>
          <w:sz w:val="18"/>
        </w:rPr>
        <w:t>David Jonathan </w:t>
      </w:r>
      <w:r>
        <w:rPr>
          <w:color w:val="231F20"/>
          <w:spacing w:val="2"/>
          <w:w w:val="110"/>
          <w:sz w:val="18"/>
        </w:rPr>
        <w:t>from </w:t>
      </w:r>
      <w:r>
        <w:rPr>
          <w:color w:val="231F20"/>
          <w:w w:val="110"/>
          <w:sz w:val="18"/>
        </w:rPr>
        <w:t>the Church of </w:t>
      </w:r>
      <w:r>
        <w:rPr>
          <w:color w:val="231F20"/>
          <w:spacing w:val="2"/>
          <w:w w:val="110"/>
          <w:sz w:val="18"/>
        </w:rPr>
        <w:t>North </w:t>
      </w:r>
      <w:r>
        <w:rPr>
          <w:color w:val="231F20"/>
          <w:w w:val="110"/>
          <w:sz w:val="18"/>
        </w:rPr>
        <w:t>India to interfaith work in</w:t>
      </w:r>
      <w:r>
        <w:rPr>
          <w:color w:val="231F20"/>
          <w:spacing w:val="30"/>
          <w:w w:val="110"/>
          <w:sz w:val="18"/>
        </w:rPr>
        <w:t> </w:t>
      </w:r>
      <w:r>
        <w:rPr>
          <w:color w:val="231F20"/>
          <w:w w:val="110"/>
          <w:sz w:val="18"/>
        </w:rPr>
        <w:t>Luton.</w:t>
      </w:r>
    </w:p>
    <w:p>
      <w:pPr>
        <w:pStyle w:val="BodyText"/>
        <w:spacing w:before="227"/>
        <w:ind w:left="673"/>
      </w:pPr>
      <w:r>
        <w:rPr>
          <w:color w:val="231F20"/>
          <w:w w:val="110"/>
        </w:rPr>
        <w:t>And serving from the United Reformed Church overseas:</w:t>
      </w:r>
    </w:p>
    <w:p>
      <w:pPr>
        <w:pStyle w:val="BodyText"/>
        <w:spacing w:before="8"/>
        <w:rPr>
          <w:sz w:val="20"/>
        </w:rPr>
      </w:pP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Stephen and Hardy Wilkinson with the FJKM in</w:t>
      </w:r>
      <w:r>
        <w:rPr>
          <w:color w:val="231F20"/>
          <w:spacing w:val="15"/>
          <w:w w:val="110"/>
          <w:sz w:val="18"/>
        </w:rPr>
        <w:t> </w:t>
      </w:r>
      <w:r>
        <w:rPr>
          <w:color w:val="231F20"/>
          <w:w w:val="110"/>
          <w:sz w:val="18"/>
        </w:rPr>
        <w:t>Madagascar.</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Alison Gibbs with the United Church of</w:t>
      </w:r>
      <w:r>
        <w:rPr>
          <w:color w:val="231F20"/>
          <w:spacing w:val="10"/>
          <w:w w:val="110"/>
          <w:sz w:val="18"/>
        </w:rPr>
        <w:t> </w:t>
      </w:r>
      <w:r>
        <w:rPr>
          <w:color w:val="231F20"/>
          <w:w w:val="110"/>
          <w:sz w:val="18"/>
        </w:rPr>
        <w:t>Zambia.</w:t>
      </w:r>
    </w:p>
    <w:p>
      <w:pPr>
        <w:pStyle w:val="ListParagraph"/>
        <w:numPr>
          <w:ilvl w:val="0"/>
          <w:numId w:val="2"/>
        </w:numPr>
        <w:tabs>
          <w:tab w:pos="1354" w:val="left" w:leader="none"/>
          <w:tab w:pos="1355" w:val="left" w:leader="none"/>
        </w:tabs>
        <w:spacing w:line="218" w:lineRule="auto" w:before="0" w:after="0"/>
        <w:ind w:left="1354" w:right="2416" w:hanging="681"/>
        <w:jc w:val="left"/>
        <w:rPr>
          <w:color w:val="231F20"/>
          <w:sz w:val="25"/>
        </w:rPr>
      </w:pPr>
      <w:r>
        <w:rPr>
          <w:color w:val="231F20"/>
          <w:spacing w:val="-5"/>
          <w:w w:val="110"/>
          <w:sz w:val="18"/>
        </w:rPr>
        <w:t>Tony </w:t>
      </w:r>
      <w:r>
        <w:rPr>
          <w:color w:val="231F20"/>
          <w:w w:val="110"/>
          <w:sz w:val="18"/>
        </w:rPr>
        <w:t>Addy with the European </w:t>
      </w:r>
      <w:r>
        <w:rPr>
          <w:color w:val="231F20"/>
          <w:spacing w:val="2"/>
          <w:w w:val="110"/>
          <w:sz w:val="18"/>
        </w:rPr>
        <w:t>Contact </w:t>
      </w:r>
      <w:r>
        <w:rPr>
          <w:color w:val="231F20"/>
          <w:w w:val="110"/>
          <w:sz w:val="18"/>
        </w:rPr>
        <w:t>Group for Urban/Rural Mission based in Prague.</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Derek and Carole Lindfield with the Congregational Christian Church in</w:t>
      </w:r>
      <w:r>
        <w:rPr>
          <w:color w:val="231F20"/>
          <w:spacing w:val="42"/>
          <w:w w:val="110"/>
          <w:sz w:val="18"/>
        </w:rPr>
        <w:t> </w:t>
      </w:r>
      <w:r>
        <w:rPr>
          <w:color w:val="231F20"/>
          <w:w w:val="110"/>
          <w:sz w:val="18"/>
        </w:rPr>
        <w:t>Samoa.</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Phil and </w:t>
      </w:r>
      <w:r>
        <w:rPr>
          <w:color w:val="231F20"/>
          <w:spacing w:val="2"/>
          <w:w w:val="110"/>
          <w:sz w:val="18"/>
        </w:rPr>
        <w:t>Kerry </w:t>
      </w:r>
      <w:r>
        <w:rPr>
          <w:color w:val="231F20"/>
          <w:w w:val="110"/>
          <w:sz w:val="18"/>
        </w:rPr>
        <w:t>Baiden with the FJKM in</w:t>
      </w:r>
      <w:r>
        <w:rPr>
          <w:color w:val="231F20"/>
          <w:spacing w:val="9"/>
          <w:w w:val="110"/>
          <w:sz w:val="18"/>
        </w:rPr>
        <w:t> </w:t>
      </w:r>
      <w:r>
        <w:rPr>
          <w:color w:val="231F20"/>
          <w:w w:val="110"/>
          <w:sz w:val="18"/>
        </w:rPr>
        <w:t>Madagascar.</w:t>
      </w:r>
    </w:p>
    <w:p>
      <w:pPr>
        <w:pStyle w:val="ListParagraph"/>
        <w:numPr>
          <w:ilvl w:val="1"/>
          <w:numId w:val="77"/>
        </w:numPr>
        <w:tabs>
          <w:tab w:pos="1393" w:val="left" w:leader="none"/>
          <w:tab w:pos="1394" w:val="left" w:leader="none"/>
        </w:tabs>
        <w:spacing w:line="273" w:lineRule="auto" w:before="224" w:after="0"/>
        <w:ind w:left="673" w:right="1699" w:firstLine="0"/>
        <w:jc w:val="left"/>
        <w:rPr>
          <w:sz w:val="18"/>
        </w:rPr>
      </w:pPr>
      <w:r>
        <w:rPr>
          <w:color w:val="231F20"/>
          <w:spacing w:val="-3"/>
          <w:w w:val="110"/>
          <w:sz w:val="18"/>
        </w:rPr>
        <w:t>We </w:t>
      </w:r>
      <w:r>
        <w:rPr>
          <w:color w:val="231F20"/>
          <w:w w:val="110"/>
          <w:sz w:val="18"/>
        </w:rPr>
        <w:t>also journey with our </w:t>
      </w:r>
      <w:r>
        <w:rPr>
          <w:color w:val="231F20"/>
          <w:spacing w:val="2"/>
          <w:w w:val="110"/>
          <w:sz w:val="18"/>
        </w:rPr>
        <w:t>partners </w:t>
      </w:r>
      <w:r>
        <w:rPr>
          <w:color w:val="231F20"/>
          <w:w w:val="110"/>
          <w:sz w:val="18"/>
        </w:rPr>
        <w:t>in other ways.  With </w:t>
      </w:r>
      <w:r>
        <w:rPr>
          <w:b/>
          <w:color w:val="231F20"/>
          <w:w w:val="110"/>
          <w:sz w:val="18"/>
        </w:rPr>
        <w:t>Zimbabwe </w:t>
      </w:r>
      <w:r>
        <w:rPr>
          <w:color w:val="231F20"/>
          <w:w w:val="110"/>
          <w:sz w:val="18"/>
        </w:rPr>
        <w:t>our solidarity  is </w:t>
      </w:r>
      <w:r>
        <w:rPr>
          <w:color w:val="231F20"/>
          <w:spacing w:val="2"/>
          <w:w w:val="110"/>
          <w:sz w:val="18"/>
        </w:rPr>
        <w:t>expressed </w:t>
      </w:r>
      <w:r>
        <w:rPr>
          <w:color w:val="231F20"/>
          <w:w w:val="110"/>
          <w:sz w:val="18"/>
        </w:rPr>
        <w:t>through the </w:t>
      </w:r>
      <w:r>
        <w:rPr>
          <w:color w:val="231F20"/>
          <w:spacing w:val="2"/>
          <w:w w:val="110"/>
          <w:sz w:val="18"/>
        </w:rPr>
        <w:t>partnership </w:t>
      </w:r>
      <w:r>
        <w:rPr>
          <w:color w:val="231F20"/>
          <w:w w:val="110"/>
          <w:sz w:val="18"/>
        </w:rPr>
        <w:t>between Eastern synod and the Zimbabwe </w:t>
      </w:r>
      <w:r>
        <w:rPr>
          <w:color w:val="231F20"/>
          <w:spacing w:val="2"/>
          <w:w w:val="110"/>
          <w:sz w:val="18"/>
        </w:rPr>
        <w:t>Presbytery </w:t>
      </w:r>
      <w:r>
        <w:rPr>
          <w:color w:val="231F20"/>
          <w:w w:val="110"/>
          <w:sz w:val="18"/>
        </w:rPr>
        <w:t>of the United Presbyterian Church in Southern </w:t>
      </w:r>
      <w:r>
        <w:rPr>
          <w:color w:val="231F20"/>
          <w:spacing w:val="2"/>
          <w:w w:val="110"/>
          <w:sz w:val="18"/>
        </w:rPr>
        <w:t>Africa </w:t>
      </w:r>
      <w:r>
        <w:rPr>
          <w:color w:val="231F20"/>
          <w:w w:val="110"/>
          <w:sz w:val="18"/>
        </w:rPr>
        <w:t>alongside our ongoing work with our </w:t>
      </w:r>
      <w:r>
        <w:rPr>
          <w:i/>
          <w:color w:val="231F20"/>
          <w:w w:val="110"/>
          <w:sz w:val="18"/>
        </w:rPr>
        <w:t>Commitment for Life </w:t>
      </w:r>
      <w:r>
        <w:rPr>
          <w:color w:val="231F20"/>
          <w:spacing w:val="2"/>
          <w:w w:val="110"/>
          <w:sz w:val="18"/>
        </w:rPr>
        <w:t>partners </w:t>
      </w:r>
      <w:r>
        <w:rPr>
          <w:color w:val="231F20"/>
          <w:w w:val="110"/>
          <w:sz w:val="18"/>
        </w:rPr>
        <w:t>there. In </w:t>
      </w:r>
      <w:r>
        <w:rPr>
          <w:b/>
          <w:color w:val="231F20"/>
          <w:w w:val="110"/>
          <w:sz w:val="18"/>
        </w:rPr>
        <w:t>Israel/Palestine </w:t>
      </w:r>
      <w:r>
        <w:rPr>
          <w:color w:val="231F20"/>
          <w:w w:val="110"/>
          <w:sz w:val="18"/>
        </w:rPr>
        <w:t>we have our </w:t>
      </w:r>
      <w:r>
        <w:rPr>
          <w:i/>
          <w:color w:val="231F20"/>
          <w:w w:val="110"/>
          <w:sz w:val="18"/>
        </w:rPr>
        <w:t>Commitment for Life </w:t>
      </w:r>
      <w:r>
        <w:rPr>
          <w:color w:val="231F20"/>
          <w:spacing w:val="2"/>
          <w:w w:val="110"/>
          <w:sz w:val="18"/>
        </w:rPr>
        <w:t>partners </w:t>
      </w:r>
      <w:r>
        <w:rPr>
          <w:color w:val="231F20"/>
          <w:w w:val="110"/>
          <w:sz w:val="18"/>
        </w:rPr>
        <w:t>and we also work with the Anglican diocese of Jerusalem. During and following the war in Lebanon in the summer of 2006 United Reformed Church </w:t>
      </w:r>
      <w:r>
        <w:rPr>
          <w:color w:val="231F20"/>
          <w:spacing w:val="2"/>
          <w:w w:val="110"/>
          <w:sz w:val="18"/>
        </w:rPr>
        <w:t>members </w:t>
      </w:r>
      <w:r>
        <w:rPr>
          <w:color w:val="231F20"/>
          <w:w w:val="110"/>
          <w:sz w:val="18"/>
        </w:rPr>
        <w:t>contributed over £9,000 in immediate support for the </w:t>
      </w:r>
      <w:r>
        <w:rPr>
          <w:b/>
          <w:color w:val="231F20"/>
          <w:w w:val="110"/>
          <w:sz w:val="18"/>
        </w:rPr>
        <w:t>National Evangelical Synod of Syria and Lebanon</w:t>
      </w:r>
      <w:r>
        <w:rPr>
          <w:color w:val="231F20"/>
          <w:w w:val="110"/>
          <w:sz w:val="18"/>
        </w:rPr>
        <w:t>. This gesture of support was much appreciated. </w:t>
      </w:r>
      <w:r>
        <w:rPr>
          <w:color w:val="231F20"/>
          <w:spacing w:val="-3"/>
          <w:w w:val="110"/>
          <w:sz w:val="18"/>
        </w:rPr>
        <w:t>We </w:t>
      </w:r>
      <w:r>
        <w:rPr>
          <w:color w:val="231F20"/>
          <w:w w:val="110"/>
          <w:sz w:val="18"/>
        </w:rPr>
        <w:t>are now following it up with a joint consultation on ‘Living with </w:t>
      </w:r>
      <w:r>
        <w:rPr>
          <w:color w:val="231F20"/>
          <w:spacing w:val="2"/>
          <w:w w:val="110"/>
          <w:sz w:val="18"/>
        </w:rPr>
        <w:t>Uncertainty </w:t>
      </w:r>
      <w:r>
        <w:rPr>
          <w:color w:val="231F20"/>
          <w:w w:val="110"/>
          <w:sz w:val="18"/>
        </w:rPr>
        <w:t>in an </w:t>
      </w:r>
      <w:r>
        <w:rPr>
          <w:color w:val="231F20"/>
          <w:spacing w:val="2"/>
          <w:w w:val="110"/>
          <w:sz w:val="18"/>
        </w:rPr>
        <w:t>Uncertain </w:t>
      </w:r>
      <w:r>
        <w:rPr>
          <w:color w:val="231F20"/>
          <w:w w:val="110"/>
          <w:sz w:val="18"/>
        </w:rPr>
        <w:t>World’ to </w:t>
      </w:r>
      <w:r>
        <w:rPr>
          <w:color w:val="231F20"/>
          <w:spacing w:val="2"/>
          <w:w w:val="110"/>
          <w:sz w:val="18"/>
        </w:rPr>
        <w:t>further </w:t>
      </w:r>
      <w:r>
        <w:rPr>
          <w:color w:val="231F20"/>
          <w:w w:val="110"/>
          <w:sz w:val="18"/>
        </w:rPr>
        <w:t>enlarge our understanding of their situation and </w:t>
      </w:r>
      <w:r>
        <w:rPr>
          <w:color w:val="231F20"/>
          <w:spacing w:val="2"/>
          <w:w w:val="110"/>
          <w:sz w:val="18"/>
        </w:rPr>
        <w:t>connect </w:t>
      </w:r>
      <w:r>
        <w:rPr>
          <w:color w:val="231F20"/>
          <w:w w:val="110"/>
          <w:sz w:val="18"/>
        </w:rPr>
        <w:t>it to our own. Quite differently our long running support for the Presbyterian Church of </w:t>
      </w:r>
      <w:r>
        <w:rPr>
          <w:b/>
          <w:color w:val="231F20"/>
          <w:w w:val="110"/>
          <w:sz w:val="18"/>
        </w:rPr>
        <w:t>Myanmar </w:t>
      </w:r>
      <w:r>
        <w:rPr>
          <w:color w:val="231F20"/>
          <w:w w:val="110"/>
          <w:sz w:val="18"/>
        </w:rPr>
        <w:t>through managing its foreign funds was recognised by the church during its golden  jubilee celebrations in 2006 when they named Philip Woods (Secretary for International Relations) as an </w:t>
      </w:r>
      <w:r>
        <w:rPr>
          <w:color w:val="231F20"/>
          <w:spacing w:val="2"/>
          <w:w w:val="110"/>
          <w:sz w:val="18"/>
        </w:rPr>
        <w:t>honorary </w:t>
      </w:r>
      <w:r>
        <w:rPr>
          <w:color w:val="231F20"/>
          <w:w w:val="110"/>
          <w:sz w:val="18"/>
        </w:rPr>
        <w:t>missionary </w:t>
      </w:r>
      <w:r>
        <w:rPr>
          <w:color w:val="231F20"/>
          <w:spacing w:val="2"/>
          <w:w w:val="110"/>
          <w:sz w:val="18"/>
        </w:rPr>
        <w:t>serving </w:t>
      </w:r>
      <w:r>
        <w:rPr>
          <w:color w:val="231F20"/>
          <w:w w:val="110"/>
          <w:sz w:val="18"/>
        </w:rPr>
        <w:t>them. </w:t>
      </w:r>
      <w:r>
        <w:rPr>
          <w:color w:val="231F20"/>
          <w:spacing w:val="2"/>
          <w:w w:val="110"/>
          <w:sz w:val="18"/>
        </w:rPr>
        <w:t>Part </w:t>
      </w:r>
      <w:r>
        <w:rPr>
          <w:color w:val="231F20"/>
          <w:w w:val="110"/>
          <w:sz w:val="18"/>
        </w:rPr>
        <w:t>of his recent work on their  behalf has been to transfer this responsibility </w:t>
      </w:r>
      <w:r>
        <w:rPr>
          <w:color w:val="231F20"/>
          <w:spacing w:val="2"/>
          <w:w w:val="110"/>
          <w:sz w:val="18"/>
        </w:rPr>
        <w:t>from </w:t>
      </w:r>
      <w:r>
        <w:rPr>
          <w:color w:val="231F20"/>
          <w:w w:val="110"/>
          <w:sz w:val="18"/>
        </w:rPr>
        <w:t>the United Reformed Church to the Hong</w:t>
      </w:r>
      <w:r>
        <w:rPr>
          <w:color w:val="231F20"/>
          <w:spacing w:val="7"/>
          <w:w w:val="110"/>
          <w:sz w:val="18"/>
        </w:rPr>
        <w:t> </w:t>
      </w:r>
      <w:r>
        <w:rPr>
          <w:color w:val="231F20"/>
          <w:w w:val="110"/>
          <w:sz w:val="18"/>
        </w:rPr>
        <w:t>Kong</w:t>
      </w:r>
      <w:r>
        <w:rPr>
          <w:color w:val="231F20"/>
          <w:spacing w:val="8"/>
          <w:w w:val="110"/>
          <w:sz w:val="18"/>
        </w:rPr>
        <w:t> </w:t>
      </w:r>
      <w:r>
        <w:rPr>
          <w:color w:val="231F20"/>
          <w:w w:val="110"/>
          <w:sz w:val="18"/>
        </w:rPr>
        <w:t>Council</w:t>
      </w:r>
      <w:r>
        <w:rPr>
          <w:color w:val="231F20"/>
          <w:spacing w:val="7"/>
          <w:w w:val="110"/>
          <w:sz w:val="18"/>
        </w:rPr>
        <w:t> </w:t>
      </w:r>
      <w:r>
        <w:rPr>
          <w:color w:val="231F20"/>
          <w:w w:val="110"/>
          <w:sz w:val="18"/>
        </w:rPr>
        <w:t>of</w:t>
      </w:r>
      <w:r>
        <w:rPr>
          <w:color w:val="231F20"/>
          <w:spacing w:val="8"/>
          <w:w w:val="110"/>
          <w:sz w:val="18"/>
        </w:rPr>
        <w:t> </w:t>
      </w:r>
      <w:r>
        <w:rPr>
          <w:color w:val="231F20"/>
          <w:w w:val="110"/>
          <w:sz w:val="18"/>
        </w:rPr>
        <w:t>the</w:t>
      </w:r>
      <w:r>
        <w:rPr>
          <w:color w:val="231F20"/>
          <w:spacing w:val="7"/>
          <w:w w:val="110"/>
          <w:sz w:val="18"/>
        </w:rPr>
        <w:t> </w:t>
      </w:r>
      <w:r>
        <w:rPr>
          <w:color w:val="231F20"/>
          <w:w w:val="110"/>
          <w:sz w:val="18"/>
        </w:rPr>
        <w:t>Church</w:t>
      </w:r>
      <w:r>
        <w:rPr>
          <w:color w:val="231F20"/>
          <w:spacing w:val="8"/>
          <w:w w:val="110"/>
          <w:sz w:val="18"/>
        </w:rPr>
        <w:t> </w:t>
      </w:r>
      <w:r>
        <w:rPr>
          <w:color w:val="231F20"/>
          <w:w w:val="110"/>
          <w:sz w:val="18"/>
        </w:rPr>
        <w:t>of</w:t>
      </w:r>
      <w:r>
        <w:rPr>
          <w:color w:val="231F20"/>
          <w:spacing w:val="8"/>
          <w:w w:val="110"/>
          <w:sz w:val="18"/>
        </w:rPr>
        <w:t> </w:t>
      </w:r>
      <w:r>
        <w:rPr>
          <w:color w:val="231F20"/>
          <w:w w:val="110"/>
          <w:sz w:val="18"/>
        </w:rPr>
        <w:t>Christ</w:t>
      </w:r>
      <w:r>
        <w:rPr>
          <w:color w:val="231F20"/>
          <w:spacing w:val="7"/>
          <w:w w:val="110"/>
          <w:sz w:val="18"/>
        </w:rPr>
        <w:t> </w:t>
      </w:r>
      <w:r>
        <w:rPr>
          <w:color w:val="231F20"/>
          <w:w w:val="110"/>
          <w:sz w:val="18"/>
        </w:rPr>
        <w:t>in</w:t>
      </w:r>
      <w:r>
        <w:rPr>
          <w:color w:val="231F20"/>
          <w:spacing w:val="8"/>
          <w:w w:val="110"/>
          <w:sz w:val="18"/>
        </w:rPr>
        <w:t> </w:t>
      </w:r>
      <w:r>
        <w:rPr>
          <w:color w:val="231F20"/>
          <w:w w:val="110"/>
          <w:sz w:val="18"/>
        </w:rPr>
        <w:t>China,</w:t>
      </w:r>
      <w:r>
        <w:rPr>
          <w:color w:val="231F20"/>
          <w:spacing w:val="7"/>
          <w:w w:val="110"/>
          <w:sz w:val="18"/>
        </w:rPr>
        <w:t> </w:t>
      </w:r>
      <w:r>
        <w:rPr>
          <w:color w:val="231F20"/>
          <w:w w:val="110"/>
          <w:sz w:val="18"/>
        </w:rPr>
        <w:t>as</w:t>
      </w:r>
      <w:r>
        <w:rPr>
          <w:color w:val="231F20"/>
          <w:spacing w:val="8"/>
          <w:w w:val="110"/>
          <w:sz w:val="18"/>
        </w:rPr>
        <w:t> </w:t>
      </w:r>
      <w:r>
        <w:rPr>
          <w:color w:val="231F20"/>
          <w:w w:val="110"/>
          <w:sz w:val="18"/>
        </w:rPr>
        <w:t>a</w:t>
      </w:r>
      <w:r>
        <w:rPr>
          <w:color w:val="231F20"/>
          <w:spacing w:val="8"/>
          <w:w w:val="110"/>
          <w:sz w:val="18"/>
        </w:rPr>
        <w:t> </w:t>
      </w:r>
      <w:r>
        <w:rPr>
          <w:color w:val="231F20"/>
          <w:w w:val="110"/>
          <w:sz w:val="18"/>
        </w:rPr>
        <w:t>much</w:t>
      </w:r>
      <w:r>
        <w:rPr>
          <w:color w:val="231F20"/>
          <w:spacing w:val="7"/>
          <w:w w:val="110"/>
          <w:sz w:val="18"/>
        </w:rPr>
        <w:t> </w:t>
      </w:r>
      <w:r>
        <w:rPr>
          <w:color w:val="231F20"/>
          <w:w w:val="110"/>
          <w:sz w:val="18"/>
        </w:rPr>
        <w:t>closer</w:t>
      </w:r>
      <w:r>
        <w:rPr>
          <w:color w:val="231F20"/>
          <w:spacing w:val="8"/>
          <w:w w:val="110"/>
          <w:sz w:val="18"/>
        </w:rPr>
        <w:t> </w:t>
      </w:r>
      <w:r>
        <w:rPr>
          <w:color w:val="231F20"/>
          <w:w w:val="110"/>
          <w:sz w:val="18"/>
        </w:rPr>
        <w:t>regional</w:t>
      </w:r>
      <w:r>
        <w:rPr>
          <w:color w:val="231F20"/>
          <w:spacing w:val="7"/>
          <w:w w:val="110"/>
          <w:sz w:val="18"/>
        </w:rPr>
        <w:t> </w:t>
      </w:r>
      <w:r>
        <w:rPr>
          <w:color w:val="231F20"/>
          <w:w w:val="110"/>
          <w:sz w:val="18"/>
        </w:rPr>
        <w:t>partner.</w:t>
      </w:r>
    </w:p>
    <w:p>
      <w:pPr>
        <w:spacing w:after="0" w:line="273" w:lineRule="auto"/>
        <w:jc w:val="left"/>
        <w:rPr>
          <w:sz w:val="18"/>
        </w:rPr>
        <w:sectPr>
          <w:headerReference w:type="even" r:id="rId181"/>
          <w:footerReference w:type="even" r:id="rId182"/>
          <w:footerReference w:type="default" r:id="rId183"/>
          <w:pgSz w:w="11910" w:h="16840"/>
          <w:pgMar w:header="0" w:footer="484" w:top="460" w:bottom="680" w:left="460" w:right="0"/>
          <w:pgNumType w:start="132"/>
        </w:sectPr>
      </w:pPr>
    </w:p>
    <w:p>
      <w:pPr>
        <w:spacing w:before="28"/>
        <w:ind w:left="673" w:right="0" w:firstLine="0"/>
        <w:jc w:val="left"/>
        <w:rPr>
          <w:rFonts w:ascii="Eurostile Bold"/>
          <w:b/>
          <w:sz w:val="28"/>
        </w:rPr>
      </w:pPr>
      <w:r>
        <w:rPr>
          <w:rFonts w:ascii="Eurostile Bold"/>
          <w:b/>
          <w:color w:val="A7A9AC"/>
          <w:w w:val="95"/>
          <w:sz w:val="28"/>
        </w:rPr>
        <w:t>Ecumenical</w:t>
      </w:r>
    </w:p>
    <w:p>
      <w:pPr>
        <w:pStyle w:val="ListParagraph"/>
        <w:numPr>
          <w:ilvl w:val="1"/>
          <w:numId w:val="78"/>
        </w:numPr>
        <w:tabs>
          <w:tab w:pos="1960" w:val="left" w:leader="none"/>
          <w:tab w:pos="1961" w:val="left" w:leader="none"/>
        </w:tabs>
        <w:spacing w:line="266" w:lineRule="auto" w:before="249" w:after="0"/>
        <w:ind w:left="1240" w:right="1148" w:hanging="1"/>
        <w:jc w:val="left"/>
        <w:rPr>
          <w:sz w:val="18"/>
        </w:rPr>
      </w:pPr>
      <w:r>
        <w:rPr>
          <w:b/>
          <w:color w:val="231F20"/>
          <w:spacing w:val="-3"/>
          <w:w w:val="110"/>
          <w:sz w:val="23"/>
        </w:rPr>
        <w:t>Working together</w:t>
      </w:r>
      <w:r>
        <w:rPr>
          <w:color w:val="231F20"/>
          <w:spacing w:val="-3"/>
          <w:w w:val="110"/>
          <w:sz w:val="18"/>
        </w:rPr>
        <w:t>, </w:t>
      </w:r>
      <w:r>
        <w:rPr>
          <w:color w:val="231F20"/>
          <w:w w:val="110"/>
          <w:sz w:val="18"/>
        </w:rPr>
        <w:t>we have welcomed the establishment of a </w:t>
      </w:r>
      <w:r>
        <w:rPr>
          <w:b/>
          <w:color w:val="231F20"/>
          <w:w w:val="110"/>
          <w:sz w:val="18"/>
        </w:rPr>
        <w:t>Joint Public </w:t>
      </w:r>
      <w:r>
        <w:rPr>
          <w:b/>
          <w:color w:val="231F20"/>
          <w:spacing w:val="2"/>
          <w:w w:val="110"/>
          <w:sz w:val="18"/>
        </w:rPr>
        <w:t>Issues </w:t>
      </w:r>
      <w:r>
        <w:rPr>
          <w:b/>
          <w:color w:val="231F20"/>
          <w:spacing w:val="-3"/>
          <w:w w:val="110"/>
          <w:sz w:val="18"/>
        </w:rPr>
        <w:t>Team </w:t>
      </w:r>
      <w:r>
        <w:rPr>
          <w:color w:val="231F20"/>
          <w:w w:val="110"/>
          <w:sz w:val="18"/>
        </w:rPr>
        <w:t>with the Baptist Union and the Methodist Church and look </w:t>
      </w:r>
      <w:r>
        <w:rPr>
          <w:color w:val="231F20"/>
          <w:spacing w:val="2"/>
          <w:w w:val="110"/>
          <w:sz w:val="18"/>
        </w:rPr>
        <w:t>forward </w:t>
      </w:r>
      <w:r>
        <w:rPr>
          <w:color w:val="231F20"/>
          <w:w w:val="110"/>
          <w:sz w:val="18"/>
        </w:rPr>
        <w:t>to a similar three-way meeting of Ecumenical </w:t>
      </w:r>
      <w:r>
        <w:rPr>
          <w:color w:val="231F20"/>
          <w:spacing w:val="3"/>
          <w:w w:val="110"/>
          <w:sz w:val="18"/>
        </w:rPr>
        <w:t>Officers </w:t>
      </w:r>
      <w:r>
        <w:rPr>
          <w:color w:val="231F20"/>
          <w:w w:val="110"/>
          <w:sz w:val="18"/>
        </w:rPr>
        <w:t>at Swanwick this</w:t>
      </w:r>
      <w:r>
        <w:rPr>
          <w:color w:val="231F20"/>
          <w:spacing w:val="33"/>
          <w:w w:val="110"/>
          <w:sz w:val="18"/>
        </w:rPr>
        <w:t> </w:t>
      </w:r>
      <w:r>
        <w:rPr>
          <w:color w:val="231F20"/>
          <w:w w:val="110"/>
          <w:sz w:val="18"/>
        </w:rPr>
        <w:t>November.</w:t>
      </w:r>
    </w:p>
    <w:p>
      <w:pPr>
        <w:pStyle w:val="BodyText"/>
        <w:spacing w:before="11"/>
        <w:rPr>
          <w:sz w:val="20"/>
        </w:rPr>
      </w:pPr>
    </w:p>
    <w:p>
      <w:pPr>
        <w:pStyle w:val="ListParagraph"/>
        <w:numPr>
          <w:ilvl w:val="1"/>
          <w:numId w:val="78"/>
        </w:numPr>
        <w:tabs>
          <w:tab w:pos="1960" w:val="left" w:leader="none"/>
          <w:tab w:pos="1961" w:val="left" w:leader="none"/>
        </w:tabs>
        <w:spacing w:line="273" w:lineRule="auto" w:before="1" w:after="0"/>
        <w:ind w:left="1240" w:right="1325" w:firstLine="0"/>
        <w:jc w:val="left"/>
        <w:rPr>
          <w:sz w:val="18"/>
        </w:rPr>
      </w:pPr>
      <w:r>
        <w:rPr>
          <w:color w:val="231F20"/>
          <w:w w:val="110"/>
          <w:sz w:val="18"/>
        </w:rPr>
        <w:t>Work continues on the reconfiguration of the </w:t>
      </w:r>
      <w:r>
        <w:rPr>
          <w:b/>
          <w:color w:val="231F20"/>
          <w:w w:val="110"/>
          <w:sz w:val="18"/>
        </w:rPr>
        <w:t>international ecumenical movement</w:t>
      </w:r>
      <w:r>
        <w:rPr>
          <w:color w:val="231F20"/>
          <w:w w:val="110"/>
          <w:sz w:val="18"/>
        </w:rPr>
        <w:t>, bringing together the World Council of Churches (WCC), the Roman Catholic Church, Evangelicals and Pentecostals with the first Global Christian Forum being convened in November </w:t>
      </w:r>
      <w:r>
        <w:rPr>
          <w:color w:val="231F20"/>
          <w:spacing w:val="-6"/>
          <w:w w:val="110"/>
          <w:sz w:val="18"/>
        </w:rPr>
        <w:t>2007. </w:t>
      </w:r>
      <w:r>
        <w:rPr>
          <w:color w:val="231F20"/>
          <w:w w:val="110"/>
          <w:sz w:val="18"/>
        </w:rPr>
        <w:t>Proposals are also on the table for a merger of the World</w:t>
      </w:r>
      <w:r>
        <w:rPr>
          <w:color w:val="231F20"/>
          <w:spacing w:val="10"/>
          <w:w w:val="110"/>
          <w:sz w:val="18"/>
        </w:rPr>
        <w:t> </w:t>
      </w:r>
      <w:r>
        <w:rPr>
          <w:color w:val="231F20"/>
          <w:w w:val="110"/>
          <w:sz w:val="18"/>
        </w:rPr>
        <w:t>Alliance</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Reformed</w:t>
      </w:r>
      <w:r>
        <w:rPr>
          <w:color w:val="231F20"/>
          <w:spacing w:val="10"/>
          <w:w w:val="110"/>
          <w:sz w:val="18"/>
        </w:rPr>
        <w:t> </w:t>
      </w:r>
      <w:r>
        <w:rPr>
          <w:color w:val="231F20"/>
          <w:w w:val="110"/>
          <w:sz w:val="18"/>
        </w:rPr>
        <w:t>Churches</w:t>
      </w:r>
      <w:r>
        <w:rPr>
          <w:color w:val="231F20"/>
          <w:spacing w:val="10"/>
          <w:w w:val="110"/>
          <w:sz w:val="18"/>
        </w:rPr>
        <w:t> </w:t>
      </w:r>
      <w:r>
        <w:rPr>
          <w:color w:val="231F20"/>
          <w:w w:val="110"/>
          <w:sz w:val="18"/>
        </w:rPr>
        <w:t>(WARC)</w:t>
      </w:r>
      <w:r>
        <w:rPr>
          <w:color w:val="231F20"/>
          <w:spacing w:val="10"/>
          <w:w w:val="110"/>
          <w:sz w:val="18"/>
        </w:rPr>
        <w:t> </w:t>
      </w:r>
      <w:r>
        <w:rPr>
          <w:color w:val="231F20"/>
          <w:w w:val="110"/>
          <w:sz w:val="18"/>
        </w:rPr>
        <w:t>and</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Reformed</w:t>
      </w:r>
      <w:r>
        <w:rPr>
          <w:color w:val="231F20"/>
          <w:spacing w:val="10"/>
          <w:w w:val="110"/>
          <w:sz w:val="18"/>
        </w:rPr>
        <w:t> </w:t>
      </w:r>
      <w:r>
        <w:rPr>
          <w:color w:val="231F20"/>
          <w:w w:val="110"/>
          <w:sz w:val="18"/>
        </w:rPr>
        <w:t>Ecumenical</w:t>
      </w:r>
      <w:r>
        <w:rPr>
          <w:color w:val="231F20"/>
          <w:spacing w:val="10"/>
          <w:w w:val="110"/>
          <w:sz w:val="18"/>
        </w:rPr>
        <w:t> </w:t>
      </w:r>
      <w:r>
        <w:rPr>
          <w:color w:val="231F20"/>
          <w:w w:val="110"/>
          <w:sz w:val="18"/>
        </w:rPr>
        <w:t>Council.</w:t>
      </w:r>
    </w:p>
    <w:p>
      <w:pPr>
        <w:pStyle w:val="BodyText"/>
        <w:spacing w:line="273" w:lineRule="auto" w:before="3"/>
        <w:ind w:left="1240" w:right="1237"/>
        <w:jc w:val="both"/>
      </w:pPr>
      <w:r>
        <w:rPr>
          <w:color w:val="231F20"/>
          <w:w w:val="110"/>
        </w:rPr>
        <w:t>In September 2007 we will see the Third European Ecumenical Assembly continuing the tradition of Protestant, Orthodox and Roman Catholic traditions together exploring their contribution to Europe today.</w:t>
      </w:r>
    </w:p>
    <w:p>
      <w:pPr>
        <w:pStyle w:val="BodyText"/>
        <w:spacing w:before="8"/>
        <w:rPr>
          <w:sz w:val="20"/>
        </w:rPr>
      </w:pPr>
    </w:p>
    <w:p>
      <w:pPr>
        <w:pStyle w:val="ListParagraph"/>
        <w:numPr>
          <w:ilvl w:val="1"/>
          <w:numId w:val="78"/>
        </w:numPr>
        <w:tabs>
          <w:tab w:pos="1960" w:val="left" w:leader="none"/>
          <w:tab w:pos="1961" w:val="left" w:leader="none"/>
        </w:tabs>
        <w:spacing w:line="273" w:lineRule="auto" w:before="1" w:after="0"/>
        <w:ind w:left="1240" w:right="1206" w:firstLine="0"/>
        <w:jc w:val="left"/>
        <w:rPr>
          <w:sz w:val="18"/>
        </w:rPr>
      </w:pPr>
      <w:r>
        <w:rPr>
          <w:color w:val="231F20"/>
          <w:w w:val="110"/>
          <w:sz w:val="18"/>
        </w:rPr>
        <w:t>In May 2006, following an initiative by CWM to take </w:t>
      </w:r>
      <w:r>
        <w:rPr>
          <w:color w:val="231F20"/>
          <w:spacing w:val="2"/>
          <w:w w:val="110"/>
          <w:sz w:val="18"/>
        </w:rPr>
        <w:t>forward </w:t>
      </w:r>
      <w:r>
        <w:rPr>
          <w:color w:val="231F20"/>
          <w:w w:val="110"/>
          <w:sz w:val="18"/>
        </w:rPr>
        <w:t>the mission implications of the WARC Accra Confession (Covenanting for Justice in the Economy and the Earth), </w:t>
      </w:r>
      <w:r>
        <w:rPr>
          <w:b/>
          <w:color w:val="231F20"/>
          <w:w w:val="110"/>
          <w:sz w:val="18"/>
        </w:rPr>
        <w:t>a Covenanting for </w:t>
      </w:r>
      <w:r>
        <w:rPr>
          <w:b/>
          <w:color w:val="231F20"/>
          <w:spacing w:val="2"/>
          <w:w w:val="110"/>
          <w:sz w:val="18"/>
        </w:rPr>
        <w:t>Justice </w:t>
      </w:r>
      <w:r>
        <w:rPr>
          <w:b/>
          <w:color w:val="231F20"/>
          <w:w w:val="110"/>
          <w:sz w:val="18"/>
        </w:rPr>
        <w:t>Movement </w:t>
      </w:r>
      <w:r>
        <w:rPr>
          <w:color w:val="231F20"/>
          <w:w w:val="110"/>
          <w:sz w:val="18"/>
        </w:rPr>
        <w:t>was launched, bringing together WARC, WCC and CWM pooling their work and </w:t>
      </w:r>
      <w:r>
        <w:rPr>
          <w:color w:val="231F20"/>
          <w:spacing w:val="2"/>
          <w:w w:val="110"/>
          <w:sz w:val="18"/>
        </w:rPr>
        <w:t>resources </w:t>
      </w:r>
      <w:r>
        <w:rPr>
          <w:color w:val="231F20"/>
          <w:w w:val="110"/>
          <w:sz w:val="18"/>
        </w:rPr>
        <w:t>on economic and environmental justice in a creative new expression of ecumenical</w:t>
      </w:r>
      <w:r>
        <w:rPr>
          <w:color w:val="231F20"/>
          <w:spacing w:val="28"/>
          <w:w w:val="110"/>
          <w:sz w:val="18"/>
        </w:rPr>
        <w:t> </w:t>
      </w:r>
      <w:r>
        <w:rPr>
          <w:color w:val="231F20"/>
          <w:w w:val="110"/>
          <w:sz w:val="18"/>
        </w:rPr>
        <w:t>collaboration.</w:t>
      </w:r>
    </w:p>
    <w:p>
      <w:pPr>
        <w:pStyle w:val="BodyText"/>
        <w:spacing w:before="8"/>
        <w:rPr>
          <w:sz w:val="16"/>
        </w:rPr>
      </w:pPr>
    </w:p>
    <w:p>
      <w:pPr>
        <w:tabs>
          <w:tab w:pos="1960" w:val="left" w:leader="none"/>
          <w:tab w:pos="6220" w:val="left" w:leader="none"/>
        </w:tabs>
        <w:spacing w:line="271" w:lineRule="auto" w:before="0"/>
        <w:ind w:left="1240" w:right="1593" w:firstLine="0"/>
        <w:jc w:val="left"/>
        <w:rPr>
          <w:b/>
          <w:i/>
          <w:sz w:val="18"/>
        </w:rPr>
      </w:pPr>
      <w:r>
        <w:rPr>
          <w:color w:val="231F20"/>
          <w:w w:val="110"/>
          <w:sz w:val="18"/>
        </w:rPr>
        <w:t>6.</w:t>
        <w:tab/>
      </w:r>
      <w:r>
        <w:rPr>
          <w:b/>
          <w:color w:val="231F20"/>
          <w:w w:val="110"/>
          <w:sz w:val="23"/>
        </w:rPr>
        <w:t>It is indeed</w:t>
      </w:r>
      <w:r>
        <w:rPr>
          <w:b/>
          <w:color w:val="231F20"/>
          <w:spacing w:val="62"/>
          <w:w w:val="110"/>
          <w:sz w:val="23"/>
        </w:rPr>
        <w:t> </w:t>
      </w:r>
      <w:r>
        <w:rPr>
          <w:b/>
          <w:color w:val="231F20"/>
          <w:w w:val="110"/>
          <w:sz w:val="23"/>
        </w:rPr>
        <w:t>better</w:t>
      </w:r>
      <w:r>
        <w:rPr>
          <w:b/>
          <w:color w:val="231F20"/>
          <w:spacing w:val="21"/>
          <w:w w:val="110"/>
          <w:sz w:val="23"/>
        </w:rPr>
        <w:t> </w:t>
      </w:r>
      <w:r>
        <w:rPr>
          <w:b/>
          <w:color w:val="231F20"/>
          <w:spacing w:val="-3"/>
          <w:w w:val="110"/>
          <w:sz w:val="23"/>
        </w:rPr>
        <w:t>together</w:t>
      </w:r>
      <w:r>
        <w:rPr>
          <w:color w:val="231F20"/>
          <w:spacing w:val="-3"/>
          <w:w w:val="110"/>
          <w:sz w:val="18"/>
        </w:rPr>
        <w:t>.</w:t>
        <w:tab/>
      </w:r>
      <w:r>
        <w:rPr>
          <w:color w:val="231F20"/>
          <w:w w:val="110"/>
          <w:sz w:val="18"/>
        </w:rPr>
        <w:t>In 2001 General Assembly adopted </w:t>
      </w:r>
      <w:r>
        <w:rPr>
          <w:i/>
          <w:color w:val="231F20"/>
          <w:w w:val="110"/>
          <w:sz w:val="18"/>
        </w:rPr>
        <w:t>Three Ecumenical Principles for a missionary church in today’s world</w:t>
      </w:r>
      <w:r>
        <w:rPr>
          <w:color w:val="231F20"/>
          <w:w w:val="110"/>
          <w:sz w:val="18"/>
        </w:rPr>
        <w:t>. </w:t>
      </w:r>
      <w:r>
        <w:rPr>
          <w:color w:val="231F20"/>
          <w:spacing w:val="-6"/>
          <w:w w:val="110"/>
          <w:sz w:val="18"/>
        </w:rPr>
        <w:t>Today, </w:t>
      </w:r>
      <w:r>
        <w:rPr>
          <w:color w:val="231F20"/>
          <w:w w:val="110"/>
          <w:sz w:val="18"/>
        </w:rPr>
        <w:t>it seems right to </w:t>
      </w:r>
      <w:r>
        <w:rPr>
          <w:color w:val="231F20"/>
          <w:spacing w:val="2"/>
          <w:w w:val="110"/>
          <w:sz w:val="18"/>
        </w:rPr>
        <w:t>offer </w:t>
      </w:r>
      <w:r>
        <w:rPr>
          <w:color w:val="231F20"/>
          <w:w w:val="110"/>
          <w:sz w:val="18"/>
        </w:rPr>
        <w:t>something to strengthen and deepen how we live these out, restating  our historic commitment to organic unity whilst </w:t>
      </w:r>
      <w:r>
        <w:rPr>
          <w:color w:val="231F20"/>
          <w:spacing w:val="2"/>
          <w:w w:val="110"/>
          <w:sz w:val="18"/>
        </w:rPr>
        <w:t>offering </w:t>
      </w:r>
      <w:r>
        <w:rPr>
          <w:color w:val="231F20"/>
          <w:w w:val="110"/>
          <w:sz w:val="18"/>
        </w:rPr>
        <w:t>it to our ecumenical </w:t>
      </w:r>
      <w:r>
        <w:rPr>
          <w:color w:val="231F20"/>
          <w:spacing w:val="2"/>
          <w:w w:val="110"/>
          <w:sz w:val="18"/>
        </w:rPr>
        <w:t>partners </w:t>
      </w:r>
      <w:r>
        <w:rPr>
          <w:color w:val="231F20"/>
          <w:w w:val="110"/>
          <w:sz w:val="18"/>
        </w:rPr>
        <w:t>as </w:t>
      </w:r>
      <w:r>
        <w:rPr>
          <w:color w:val="231F20"/>
          <w:spacing w:val="2"/>
          <w:w w:val="110"/>
          <w:sz w:val="18"/>
        </w:rPr>
        <w:t>part </w:t>
      </w:r>
      <w:r>
        <w:rPr>
          <w:color w:val="231F20"/>
          <w:w w:val="110"/>
          <w:sz w:val="18"/>
        </w:rPr>
        <w:t>of an integrated package with interlocking strategies designed for the </w:t>
      </w:r>
      <w:r>
        <w:rPr>
          <w:color w:val="231F20"/>
          <w:spacing w:val="2"/>
          <w:w w:val="110"/>
          <w:sz w:val="18"/>
        </w:rPr>
        <w:t>contemporary </w:t>
      </w:r>
      <w:r>
        <w:rPr>
          <w:color w:val="231F20"/>
          <w:w w:val="110"/>
          <w:sz w:val="18"/>
        </w:rPr>
        <w:t>scene. So we present the Statement on the </w:t>
      </w:r>
      <w:r>
        <w:rPr>
          <w:b/>
          <w:i/>
          <w:color w:val="231F20"/>
          <w:w w:val="110"/>
          <w:sz w:val="18"/>
        </w:rPr>
        <w:t>Nature of the United </w:t>
      </w:r>
      <w:r>
        <w:rPr>
          <w:b/>
          <w:i/>
          <w:color w:val="231F20"/>
          <w:w w:val="110"/>
          <w:sz w:val="18"/>
        </w:rPr>
        <w:t>Reformed Church’s Ecumenical</w:t>
      </w:r>
      <w:r>
        <w:rPr>
          <w:b/>
          <w:i/>
          <w:color w:val="231F20"/>
          <w:spacing w:val="4"/>
          <w:w w:val="110"/>
          <w:sz w:val="18"/>
        </w:rPr>
        <w:t> </w:t>
      </w:r>
      <w:r>
        <w:rPr>
          <w:b/>
          <w:i/>
          <w:color w:val="231F20"/>
          <w:w w:val="110"/>
          <w:sz w:val="18"/>
        </w:rPr>
        <w:t>Engagement.</w:t>
      </w:r>
    </w:p>
    <w:p>
      <w:pPr>
        <w:pStyle w:val="BodyText"/>
        <w:rPr>
          <w:b/>
          <w:i/>
          <w:sz w:val="20"/>
        </w:rPr>
      </w:pPr>
    </w:p>
    <w:p>
      <w:pPr>
        <w:pStyle w:val="BodyText"/>
        <w:rPr>
          <w:b/>
          <w:i/>
          <w:sz w:val="20"/>
        </w:rPr>
      </w:pPr>
    </w:p>
    <w:p>
      <w:pPr>
        <w:pStyle w:val="BodyText"/>
        <w:rPr>
          <w:b/>
          <w:i/>
          <w:sz w:val="20"/>
        </w:rPr>
      </w:pPr>
    </w:p>
    <w:p>
      <w:pPr>
        <w:pStyle w:val="BodyText"/>
        <w:rPr>
          <w:b/>
          <w:i/>
          <w:sz w:val="22"/>
        </w:rPr>
      </w:pPr>
      <w:r>
        <w:rPr/>
        <w:pict>
          <v:group style="position:absolute;margin-left:69.454025pt;margin-top:15.347034pt;width:496.6pt;height:87.25pt;mso-position-horizontal-relative:page;mso-position-vertical-relative:paragraph;z-index:-251492352;mso-wrap-distance-left:0;mso-wrap-distance-right:0" coordorigin="1389,307" coordsize="9932,1745">
            <v:rect style="position:absolute;left:1691;top:748;width:4016;height:302" filled="true" fillcolor="#d8dadc" stroked="false">
              <v:fill type="solid"/>
            </v:rect>
            <v:rect style="position:absolute;left:1691;top:420;width:159;height:328" filled="true" fillcolor="#d8dadc" stroked="false">
              <v:fill type="solid"/>
            </v:rect>
            <v:line style="position:absolute" from="1692,414" to="5708,414" stroked="true" strokeweight=".6pt" strokecolor="#d8dadc">
              <v:stroke dashstyle="solid"/>
            </v:line>
            <v:rect style="position:absolute;left:5292;top:420;width:416;height:328" filled="true" fillcolor="#d8dadc" stroked="false">
              <v:fill type="solid"/>
            </v:rect>
            <v:rect style="position:absolute;left:1849;top:420;width:3443;height:328" filled="true" fillcolor="#d8dadc" stroked="false">
              <v:fill type="solid"/>
            </v:rect>
            <v:shape style="position:absolute;left:1389;top:355;width:9932;height:1697" type="#_x0000_t75" stroked="false">
              <v:imagedata r:id="rId185" o:title=""/>
            </v:shape>
            <v:shape style="position:absolute;left:1805;top:306;width:3684;height:752" type="#_x0000_t202" filled="false" stroked="false">
              <v:textbox inset="0,0,0,0">
                <w:txbxContent>
                  <w:p>
                    <w:pPr>
                      <w:spacing w:before="2"/>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38"/>
                        <w:w w:val="111"/>
                        <w:sz w:val="43"/>
                      </w:rPr>
                      <w:t>O</w:t>
                    </w:r>
                    <w:r>
                      <w:rPr>
                        <w:b/>
                        <w:color w:val="231F20"/>
                        <w:spacing w:val="-164"/>
                        <w:w w:val="112"/>
                        <w:position w:val="-20"/>
                        <w:sz w:val="50"/>
                      </w:rPr>
                      <w:t>3</w:t>
                    </w:r>
                    <w:r>
                      <w:rPr>
                        <w:b/>
                        <w:color w:val="FFFFFF"/>
                        <w:spacing w:val="-255"/>
                        <w:w w:val="111"/>
                        <w:sz w:val="43"/>
                      </w:rPr>
                      <w:t>N</w:t>
                    </w:r>
                    <w:r>
                      <w:rPr>
                        <w:b/>
                        <w:color w:val="231F20"/>
                        <w:spacing w:val="-12"/>
                        <w:w w:val="112"/>
                        <w:position w:val="-20"/>
                        <w:sz w:val="50"/>
                      </w:rPr>
                      <w:t>6</w:t>
                    </w:r>
                  </w:p>
                </w:txbxContent>
              </v:textbox>
              <w10:wrap type="none"/>
            </v:shape>
            <v:shape style="position:absolute;left:7730;top:753;width:3062;height:241" type="#_x0000_t202" filled="false" stroked="false">
              <v:textbox inset="0,0,0,0">
                <w:txbxContent>
                  <w:p>
                    <w:pPr>
                      <w:spacing w:line="241" w:lineRule="exact" w:before="0"/>
                      <w:ind w:left="0" w:right="0" w:firstLine="0"/>
                      <w:jc w:val="left"/>
                      <w:rPr>
                        <w:b/>
                        <w:sz w:val="20"/>
                      </w:rPr>
                    </w:pPr>
                    <w:r>
                      <w:rPr>
                        <w:b/>
                        <w:color w:val="231F20"/>
                        <w:w w:val="110"/>
                        <w:sz w:val="20"/>
                      </w:rPr>
                      <w:t>Ecumenical Engagement</w:t>
                    </w:r>
                  </w:p>
                </w:txbxContent>
              </v:textbox>
              <w10:wrap type="none"/>
            </v:shape>
            <v:shape style="position:absolute;left:1700;top:1272;width:9008;height:469" type="#_x0000_t202" filled="false" stroked="false">
              <v:textbox inset="0,0,0,0">
                <w:txbxContent>
                  <w:p>
                    <w:pPr>
                      <w:spacing w:line="273" w:lineRule="auto" w:before="0"/>
                      <w:ind w:left="0" w:right="42" w:firstLine="0"/>
                      <w:jc w:val="left"/>
                      <w:rPr>
                        <w:sz w:val="18"/>
                      </w:rPr>
                    </w:pPr>
                    <w:r>
                      <w:rPr>
                        <w:color w:val="231F20"/>
                        <w:w w:val="110"/>
                        <w:sz w:val="18"/>
                      </w:rPr>
                      <w:t>General Assembly adopts </w:t>
                    </w:r>
                    <w:r>
                      <w:rPr>
                        <w:i/>
                        <w:color w:val="231F20"/>
                        <w:w w:val="110"/>
                        <w:sz w:val="18"/>
                      </w:rPr>
                      <w:t>the Statement on the Nature of the United Reformed Church’s </w:t>
                    </w:r>
                    <w:r>
                      <w:rPr>
                        <w:i/>
                        <w:color w:val="231F20"/>
                        <w:w w:val="110"/>
                        <w:sz w:val="18"/>
                      </w:rPr>
                      <w:t>Ecumenical Engagement</w:t>
                    </w:r>
                    <w:r>
                      <w:rPr>
                        <w:color w:val="231F20"/>
                        <w:w w:val="110"/>
                        <w:sz w:val="18"/>
                      </w:rPr>
                      <w:t>.</w:t>
                    </w:r>
                  </w:p>
                </w:txbxContent>
              </v:textbox>
              <w10:wrap type="none"/>
            </v:shape>
            <w10:wrap type="topAndBottom"/>
          </v:group>
        </w:pict>
      </w:r>
    </w:p>
    <w:p>
      <w:pPr>
        <w:pStyle w:val="BodyText"/>
        <w:rPr>
          <w:b/>
          <w:i/>
          <w:sz w:val="20"/>
        </w:rPr>
      </w:pPr>
    </w:p>
    <w:p>
      <w:pPr>
        <w:pStyle w:val="BodyText"/>
        <w:rPr>
          <w:b/>
          <w:i/>
          <w:sz w:val="20"/>
        </w:rPr>
      </w:pPr>
    </w:p>
    <w:p>
      <w:pPr>
        <w:pStyle w:val="BodyText"/>
        <w:rPr>
          <w:b/>
          <w:i/>
          <w:sz w:val="20"/>
        </w:rPr>
      </w:pPr>
    </w:p>
    <w:p>
      <w:pPr>
        <w:spacing w:before="483"/>
        <w:ind w:left="0" w:right="514"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headerReference w:type="default" r:id="rId184"/>
          <w:pgSz w:w="11910" w:h="16840"/>
          <w:pgMar w:header="0" w:footer="564" w:top="460" w:bottom="760" w:left="46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2"/>
        </w:rPr>
      </w:pPr>
    </w:p>
    <w:p>
      <w:pPr>
        <w:spacing w:before="56"/>
        <w:ind w:left="673" w:right="0" w:firstLine="0"/>
        <w:jc w:val="left"/>
        <w:rPr>
          <w:rFonts w:ascii="Eurostile Bold"/>
          <w:b/>
          <w:sz w:val="24"/>
        </w:rPr>
      </w:pPr>
      <w:r>
        <w:rPr>
          <w:rFonts w:ascii="Eurostile Bold"/>
          <w:b/>
          <w:color w:val="231F20"/>
          <w:w w:val="95"/>
          <w:sz w:val="24"/>
        </w:rPr>
        <w:t>134</w:t>
      </w:r>
    </w:p>
    <w:p>
      <w:pPr>
        <w:spacing w:after="0"/>
        <w:jc w:val="left"/>
        <w:rPr>
          <w:rFonts w:ascii="Eurostile Bold"/>
          <w:sz w:val="24"/>
        </w:rPr>
        <w:sectPr>
          <w:headerReference w:type="even" r:id="rId186"/>
          <w:footerReference w:type="even" r:id="rId187"/>
          <w:pgSz w:w="11910" w:h="16840"/>
          <w:pgMar w:header="0" w:footer="0" w:top="1580" w:bottom="280" w:left="460" w:right="0"/>
        </w:sectPr>
      </w:pPr>
    </w:p>
    <w:p>
      <w:pPr>
        <w:spacing w:before="88"/>
        <w:ind w:left="1240" w:right="0" w:firstLine="0"/>
        <w:jc w:val="left"/>
        <w:rPr>
          <w:i/>
          <w:sz w:val="18"/>
        </w:rPr>
      </w:pPr>
      <w:r>
        <w:rPr/>
        <w:pict>
          <v:shape style="position:absolute;margin-left:504.974182pt;margin-top:36.840614pt;width:70.95pt;height:717.1pt;mso-position-horizontal-relative:page;mso-position-vertical-relative:page;z-index:251825152" type="#_x0000_t202" filled="false" stroked="false">
            <v:textbox inset="0,0,0,0" style="layout-flow:vertical">
              <w:txbxContent>
                <w:p>
                  <w:pPr>
                    <w:spacing w:line="1011" w:lineRule="exact" w:before="20"/>
                    <w:ind w:left="20" w:right="0" w:firstLine="0"/>
                    <w:jc w:val="left"/>
                    <w:rPr>
                      <w:b/>
                      <w:sz w:val="88"/>
                    </w:rPr>
                  </w:pPr>
                  <w:r>
                    <w:rPr>
                      <w:b/>
                      <w:color w:val="231F20"/>
                      <w:spacing w:val="-8"/>
                      <w:sz w:val="88"/>
                    </w:rPr>
                    <w:t>Doctrine, </w:t>
                  </w:r>
                  <w:r>
                    <w:rPr>
                      <w:b/>
                      <w:color w:val="231F20"/>
                      <w:spacing w:val="-20"/>
                      <w:sz w:val="88"/>
                    </w:rPr>
                    <w:t>Prayer </w:t>
                  </w:r>
                  <w:r>
                    <w:rPr>
                      <w:b/>
                      <w:color w:val="231F20"/>
                      <w:spacing w:val="-11"/>
                      <w:sz w:val="88"/>
                    </w:rPr>
                    <w:t>and </w:t>
                  </w:r>
                  <w:r>
                    <w:rPr>
                      <w:b/>
                      <w:color w:val="231F20"/>
                      <w:spacing w:val="-16"/>
                      <w:sz w:val="88"/>
                    </w:rPr>
                    <w:t>Worship</w:t>
                  </w:r>
                </w:p>
                <w:p>
                  <w:pPr>
                    <w:spacing w:line="386" w:lineRule="exact" w:before="0"/>
                    <w:ind w:left="9015" w:right="0" w:firstLine="0"/>
                    <w:jc w:val="left"/>
                    <w:rPr>
                      <w:rFonts w:ascii="Eurostile Bold"/>
                      <w:b/>
                      <w:sz w:val="36"/>
                    </w:rPr>
                  </w:pPr>
                  <w:r>
                    <w:rPr>
                      <w:rFonts w:ascii="Eurostile Bold"/>
                      <w:b/>
                      <w:color w:val="A7A9AC"/>
                      <w:w w:val="95"/>
                      <w:sz w:val="36"/>
                    </w:rPr>
                    <w:t>General</w:t>
                  </w:r>
                  <w:r>
                    <w:rPr>
                      <w:rFonts w:ascii="Eurostile Bold"/>
                      <w:b/>
                      <w:color w:val="A7A9AC"/>
                      <w:spacing w:val="-54"/>
                      <w:w w:val="95"/>
                      <w:sz w:val="36"/>
                    </w:rPr>
                    <w:t> </w:t>
                  </w:r>
                  <w:r>
                    <w:rPr>
                      <w:rFonts w:ascii="Eurostile Bold"/>
                      <w:b/>
                      <w:color w:val="A7A9AC"/>
                      <w:w w:val="95"/>
                      <w:sz w:val="36"/>
                    </w:rPr>
                    <w:t>Assembly</w:t>
                  </w:r>
                  <w:r>
                    <w:rPr>
                      <w:rFonts w:ascii="Eurostile Bold"/>
                      <w:b/>
                      <w:color w:val="A7A9AC"/>
                      <w:spacing w:val="-54"/>
                      <w:w w:val="95"/>
                      <w:sz w:val="36"/>
                    </w:rPr>
                    <w:t> </w:t>
                  </w:r>
                  <w:r>
                    <w:rPr>
                      <w:rFonts w:ascii="Eurostile Bold"/>
                      <w:b/>
                      <w:color w:val="A7A9AC"/>
                      <w:w w:val="95"/>
                      <w:sz w:val="36"/>
                    </w:rPr>
                    <w:t>2007</w:t>
                  </w:r>
                </w:p>
              </w:txbxContent>
            </v:textbox>
            <w10:wrap type="none"/>
          </v:shape>
        </w:pict>
      </w:r>
      <w:r>
        <w:rPr>
          <w:i/>
          <w:color w:val="231F20"/>
          <w:w w:val="110"/>
          <w:sz w:val="18"/>
        </w:rPr>
        <w:t>Please read these two Reports together. There are many connections.</w:t>
      </w:r>
    </w:p>
    <w:p>
      <w:pPr>
        <w:pStyle w:val="BodyText"/>
        <w:rPr>
          <w:i/>
          <w:sz w:val="22"/>
        </w:rPr>
      </w:pPr>
    </w:p>
    <w:p>
      <w:pPr>
        <w:pStyle w:val="BodyText"/>
        <w:rPr>
          <w:i/>
          <w:sz w:val="22"/>
        </w:rPr>
      </w:pPr>
    </w:p>
    <w:p>
      <w:pPr>
        <w:pStyle w:val="BodyText"/>
        <w:spacing w:before="3"/>
        <w:rPr>
          <w:i/>
          <w:sz w:val="20"/>
        </w:rPr>
      </w:pPr>
    </w:p>
    <w:p>
      <w:pPr>
        <w:pStyle w:val="ListParagraph"/>
        <w:numPr>
          <w:ilvl w:val="1"/>
          <w:numId w:val="72"/>
        </w:numPr>
        <w:tabs>
          <w:tab w:pos="1960" w:val="left" w:leader="none"/>
          <w:tab w:pos="1961" w:val="left" w:leader="none"/>
        </w:tabs>
        <w:spacing w:line="273" w:lineRule="auto" w:before="0" w:after="0"/>
        <w:ind w:left="1240" w:right="2600" w:firstLine="0"/>
        <w:jc w:val="left"/>
        <w:rPr>
          <w:sz w:val="18"/>
        </w:rPr>
      </w:pPr>
      <w:r>
        <w:rPr>
          <w:color w:val="231F20"/>
          <w:w w:val="110"/>
          <w:sz w:val="18"/>
        </w:rPr>
        <w:t>General Assembly 2005 asked us to take up a number of pieces of work, as part of the Catch the Vision process; work on Eldership, work on the theme of Covenant, and work with our Anglican partners on the issue</w:t>
      </w:r>
      <w:r>
        <w:rPr>
          <w:color w:val="231F20"/>
          <w:spacing w:val="-17"/>
          <w:w w:val="110"/>
          <w:sz w:val="18"/>
        </w:rPr>
        <w:t> </w:t>
      </w:r>
      <w:r>
        <w:rPr>
          <w:color w:val="231F20"/>
          <w:w w:val="110"/>
          <w:sz w:val="18"/>
        </w:rPr>
        <w:t>of</w:t>
      </w:r>
    </w:p>
    <w:p>
      <w:pPr>
        <w:pStyle w:val="BodyText"/>
        <w:spacing w:line="273" w:lineRule="auto" w:before="2"/>
        <w:ind w:left="1240" w:right="2219"/>
      </w:pPr>
      <w:r>
        <w:rPr>
          <w:color w:val="231F20"/>
          <w:w w:val="110"/>
        </w:rPr>
        <w:t>episcope (in this case, by revisiting and building on </w:t>
      </w:r>
      <w:r>
        <w:rPr>
          <w:i/>
          <w:color w:val="231F20"/>
          <w:w w:val="110"/>
        </w:rPr>
        <w:t>God’s Reign and Our Unity</w:t>
      </w:r>
      <w:r>
        <w:rPr>
          <w:color w:val="231F20"/>
          <w:w w:val="110"/>
        </w:rPr>
        <w:t>, the Report of the 1984 Anglican – Reformed International Commission).</w:t>
      </w:r>
    </w:p>
    <w:p>
      <w:pPr>
        <w:pStyle w:val="BodyText"/>
        <w:spacing w:before="8"/>
        <w:rPr>
          <w:sz w:val="20"/>
        </w:rPr>
      </w:pPr>
    </w:p>
    <w:p>
      <w:pPr>
        <w:pStyle w:val="ListParagraph"/>
        <w:numPr>
          <w:ilvl w:val="1"/>
          <w:numId w:val="72"/>
        </w:numPr>
        <w:tabs>
          <w:tab w:pos="1961" w:val="left" w:leader="none"/>
        </w:tabs>
        <w:spacing w:line="273" w:lineRule="auto" w:before="0" w:after="0"/>
        <w:ind w:left="1240" w:right="2482" w:hanging="1"/>
        <w:jc w:val="both"/>
        <w:rPr>
          <w:sz w:val="18"/>
        </w:rPr>
      </w:pPr>
      <w:r>
        <w:rPr>
          <w:color w:val="231F20"/>
          <w:spacing w:val="-3"/>
          <w:w w:val="110"/>
          <w:sz w:val="18"/>
        </w:rPr>
        <w:t>We </w:t>
      </w:r>
      <w:r>
        <w:rPr>
          <w:color w:val="231F20"/>
          <w:w w:val="110"/>
          <w:sz w:val="18"/>
        </w:rPr>
        <w:t>decided to call together a major conference on Eldership, so that we could bring together at one time the various committees and individuals who have been, in various ways, </w:t>
      </w:r>
      <w:r>
        <w:rPr>
          <w:color w:val="231F20"/>
          <w:spacing w:val="2"/>
          <w:w w:val="110"/>
          <w:sz w:val="18"/>
        </w:rPr>
        <w:t>reflecting </w:t>
      </w:r>
      <w:r>
        <w:rPr>
          <w:color w:val="231F20"/>
          <w:w w:val="110"/>
          <w:sz w:val="18"/>
        </w:rPr>
        <w:t>on our theology and</w:t>
      </w:r>
      <w:r>
        <w:rPr>
          <w:color w:val="231F20"/>
          <w:spacing w:val="55"/>
          <w:w w:val="110"/>
          <w:sz w:val="18"/>
        </w:rPr>
        <w:t> </w:t>
      </w:r>
      <w:r>
        <w:rPr>
          <w:color w:val="231F20"/>
          <w:spacing w:val="2"/>
          <w:w w:val="110"/>
          <w:sz w:val="18"/>
        </w:rPr>
        <w:t>practice</w:t>
      </w:r>
    </w:p>
    <w:p>
      <w:pPr>
        <w:pStyle w:val="BodyText"/>
        <w:spacing w:line="273" w:lineRule="auto" w:before="2"/>
        <w:ind w:left="1240" w:right="2550"/>
      </w:pPr>
      <w:r>
        <w:rPr>
          <w:color w:val="231F20"/>
          <w:w w:val="110"/>
        </w:rPr>
        <w:t>in this area. There were unresolved questions from </w:t>
      </w:r>
      <w:r>
        <w:rPr>
          <w:i/>
          <w:color w:val="231F20"/>
          <w:w w:val="110"/>
        </w:rPr>
        <w:t>Conversations on the </w:t>
      </w:r>
      <w:r>
        <w:rPr>
          <w:i/>
          <w:color w:val="231F20"/>
          <w:w w:val="110"/>
        </w:rPr>
        <w:t>Way to Unity </w:t>
      </w:r>
      <w:r>
        <w:rPr>
          <w:color w:val="231F20"/>
          <w:w w:val="110"/>
        </w:rPr>
        <w:t>as well as many different pieces of work from all around our denomination. We are delighted to report that the Consultation on the Eldership duly met at the Royal Foundation of St Katharine in London from October 24</w:t>
      </w:r>
      <w:r>
        <w:rPr>
          <w:color w:val="231F20"/>
          <w:w w:val="110"/>
          <w:position w:val="6"/>
          <w:sz w:val="10"/>
        </w:rPr>
        <w:t>th </w:t>
      </w:r>
      <w:r>
        <w:rPr>
          <w:color w:val="231F20"/>
          <w:w w:val="110"/>
        </w:rPr>
        <w:t>to 26</w:t>
      </w:r>
      <w:r>
        <w:rPr>
          <w:color w:val="231F20"/>
          <w:w w:val="110"/>
          <w:position w:val="6"/>
          <w:sz w:val="10"/>
        </w:rPr>
        <w:t>th </w:t>
      </w:r>
      <w:r>
        <w:rPr>
          <w:color w:val="231F20"/>
          <w:w w:val="110"/>
        </w:rPr>
        <w:t>2006. As part of the preparation questionnaires for individual elders and church meetings were sent to every local church.</w:t>
      </w:r>
    </w:p>
    <w:p>
      <w:pPr>
        <w:pStyle w:val="BodyText"/>
        <w:spacing w:line="273" w:lineRule="auto" w:before="4"/>
        <w:ind w:left="1240" w:right="2665"/>
      </w:pPr>
      <w:r>
        <w:rPr>
          <w:color w:val="231F20"/>
          <w:w w:val="110"/>
        </w:rPr>
        <w:t>This produced a truly astonishing number of individual replies from elders, in excess of 2,650, for which, in deep gratitude, we reiterate our thanks.</w:t>
      </w:r>
    </w:p>
    <w:p>
      <w:pPr>
        <w:pStyle w:val="BodyText"/>
        <w:spacing w:line="273" w:lineRule="auto" w:before="1"/>
        <w:ind w:left="1240" w:right="2348"/>
      </w:pPr>
      <w:r>
        <w:rPr>
          <w:color w:val="231F20"/>
          <w:w w:val="110"/>
        </w:rPr>
        <w:t>The Report from the Consultation was received at Mission Council in January and forwarded for use as a discussion and training document. We hope that this major conference may provide a good model for cross-committee work and for the kind of concentrated reflection on a knotty question or exciting issue which produces work of use to our churches.</w:t>
      </w:r>
    </w:p>
    <w:p>
      <w:pPr>
        <w:pStyle w:val="BodyText"/>
        <w:spacing w:before="10"/>
        <w:rPr>
          <w:sz w:val="20"/>
        </w:rPr>
      </w:pPr>
    </w:p>
    <w:p>
      <w:pPr>
        <w:pStyle w:val="ListParagraph"/>
        <w:numPr>
          <w:ilvl w:val="1"/>
          <w:numId w:val="72"/>
        </w:numPr>
        <w:tabs>
          <w:tab w:pos="1960" w:val="left" w:leader="none"/>
          <w:tab w:pos="1961" w:val="left" w:leader="none"/>
        </w:tabs>
        <w:spacing w:line="273" w:lineRule="auto" w:before="0" w:after="0"/>
        <w:ind w:left="1240" w:right="2424" w:hanging="1"/>
        <w:jc w:val="left"/>
        <w:rPr>
          <w:sz w:val="18"/>
        </w:rPr>
      </w:pPr>
      <w:r>
        <w:rPr>
          <w:color w:val="231F20"/>
          <w:w w:val="110"/>
          <w:sz w:val="18"/>
        </w:rPr>
        <w:t>The Advisory Group on Faith and </w:t>
      </w:r>
      <w:r>
        <w:rPr>
          <w:color w:val="231F20"/>
          <w:spacing w:val="-4"/>
          <w:w w:val="110"/>
          <w:sz w:val="18"/>
        </w:rPr>
        <w:t>Order, </w:t>
      </w:r>
      <w:r>
        <w:rPr>
          <w:color w:val="231F20"/>
          <w:w w:val="110"/>
          <w:sz w:val="18"/>
        </w:rPr>
        <w:t>with members of Doctrine, Prayer and </w:t>
      </w:r>
      <w:r>
        <w:rPr>
          <w:color w:val="231F20"/>
          <w:spacing w:val="-3"/>
          <w:w w:val="110"/>
          <w:sz w:val="18"/>
        </w:rPr>
        <w:t>Worship, </w:t>
      </w:r>
      <w:r>
        <w:rPr>
          <w:color w:val="231F20"/>
          <w:w w:val="110"/>
          <w:sz w:val="18"/>
        </w:rPr>
        <w:t>has led the work on Covenant, commissioning papers and working towards a statement which </w:t>
      </w:r>
      <w:r>
        <w:rPr>
          <w:color w:val="231F20"/>
          <w:spacing w:val="-3"/>
          <w:w w:val="110"/>
          <w:sz w:val="18"/>
        </w:rPr>
        <w:t>may </w:t>
      </w:r>
      <w:r>
        <w:rPr>
          <w:color w:val="231F20"/>
          <w:w w:val="110"/>
          <w:sz w:val="18"/>
        </w:rPr>
        <w:t>add something distinctive to</w:t>
      </w:r>
      <w:r>
        <w:rPr>
          <w:color w:val="231F20"/>
          <w:spacing w:val="-3"/>
          <w:w w:val="110"/>
          <w:sz w:val="18"/>
        </w:rPr>
        <w:t> </w:t>
      </w:r>
      <w:r>
        <w:rPr>
          <w:color w:val="231F20"/>
          <w:w w:val="110"/>
          <w:sz w:val="18"/>
        </w:rPr>
        <w:t>the</w:t>
      </w:r>
    </w:p>
    <w:p>
      <w:pPr>
        <w:pStyle w:val="BodyText"/>
        <w:spacing w:before="2"/>
        <w:ind w:left="1240"/>
      </w:pPr>
      <w:r>
        <w:rPr>
          <w:color w:val="231F20"/>
          <w:w w:val="110"/>
        </w:rPr>
        <w:t>debate, as this theme is used more often these days within ecumenical circles.</w:t>
      </w:r>
    </w:p>
    <w:p>
      <w:pPr>
        <w:pStyle w:val="BodyText"/>
        <w:spacing w:before="1"/>
        <w:rPr>
          <w:sz w:val="23"/>
        </w:rPr>
      </w:pPr>
    </w:p>
    <w:p>
      <w:pPr>
        <w:pStyle w:val="ListParagraph"/>
        <w:numPr>
          <w:ilvl w:val="1"/>
          <w:numId w:val="72"/>
        </w:numPr>
        <w:tabs>
          <w:tab w:pos="1960" w:val="left" w:leader="none"/>
          <w:tab w:pos="1961" w:val="left" w:leader="none"/>
        </w:tabs>
        <w:spacing w:line="273" w:lineRule="auto" w:before="1" w:after="0"/>
        <w:ind w:left="1240" w:right="2845" w:firstLine="0"/>
        <w:jc w:val="left"/>
        <w:rPr>
          <w:sz w:val="18"/>
        </w:rPr>
      </w:pPr>
      <w:r>
        <w:rPr>
          <w:color w:val="231F20"/>
          <w:w w:val="110"/>
          <w:sz w:val="18"/>
        </w:rPr>
        <w:t>In 2006 the Church of England Council for Christian Unity agreed to</w:t>
      </w:r>
      <w:r>
        <w:rPr>
          <w:color w:val="231F20"/>
          <w:spacing w:val="6"/>
          <w:w w:val="110"/>
          <w:sz w:val="18"/>
        </w:rPr>
        <w:t> </w:t>
      </w:r>
      <w:r>
        <w:rPr>
          <w:color w:val="231F20"/>
          <w:w w:val="110"/>
          <w:sz w:val="18"/>
        </w:rPr>
        <w:t>enter</w:t>
      </w:r>
      <w:r>
        <w:rPr>
          <w:color w:val="231F20"/>
          <w:spacing w:val="7"/>
          <w:w w:val="110"/>
          <w:sz w:val="18"/>
        </w:rPr>
        <w:t> </w:t>
      </w:r>
      <w:r>
        <w:rPr>
          <w:color w:val="231F20"/>
          <w:w w:val="110"/>
          <w:sz w:val="18"/>
        </w:rPr>
        <w:t>into</w:t>
      </w:r>
      <w:r>
        <w:rPr>
          <w:color w:val="231F20"/>
          <w:spacing w:val="7"/>
          <w:w w:val="110"/>
          <w:sz w:val="18"/>
        </w:rPr>
        <w:t> </w:t>
      </w:r>
      <w:r>
        <w:rPr>
          <w:color w:val="231F20"/>
          <w:w w:val="110"/>
          <w:sz w:val="18"/>
        </w:rPr>
        <w:t>a</w:t>
      </w:r>
      <w:r>
        <w:rPr>
          <w:color w:val="231F20"/>
          <w:spacing w:val="7"/>
          <w:w w:val="110"/>
          <w:sz w:val="18"/>
        </w:rPr>
        <w:t> </w:t>
      </w:r>
      <w:r>
        <w:rPr>
          <w:color w:val="231F20"/>
          <w:w w:val="110"/>
          <w:sz w:val="18"/>
        </w:rPr>
        <w:t>Dialogue</w:t>
      </w:r>
      <w:r>
        <w:rPr>
          <w:color w:val="231F20"/>
          <w:spacing w:val="7"/>
          <w:w w:val="110"/>
          <w:sz w:val="18"/>
        </w:rPr>
        <w:t> </w:t>
      </w:r>
      <w:r>
        <w:rPr>
          <w:color w:val="231F20"/>
          <w:w w:val="110"/>
          <w:sz w:val="18"/>
        </w:rPr>
        <w:t>with</w:t>
      </w:r>
      <w:r>
        <w:rPr>
          <w:color w:val="231F20"/>
          <w:spacing w:val="7"/>
          <w:w w:val="110"/>
          <w:sz w:val="18"/>
        </w:rPr>
        <w:t> </w:t>
      </w:r>
      <w:r>
        <w:rPr>
          <w:color w:val="231F20"/>
          <w:w w:val="110"/>
          <w:sz w:val="18"/>
        </w:rPr>
        <w:t>us,</w:t>
      </w:r>
      <w:r>
        <w:rPr>
          <w:color w:val="231F20"/>
          <w:spacing w:val="7"/>
          <w:w w:val="110"/>
          <w:sz w:val="18"/>
        </w:rPr>
        <w:t> </w:t>
      </w:r>
      <w:r>
        <w:rPr>
          <w:color w:val="231F20"/>
          <w:w w:val="110"/>
          <w:sz w:val="18"/>
        </w:rPr>
        <w:t>revisiting</w:t>
      </w:r>
      <w:r>
        <w:rPr>
          <w:color w:val="231F20"/>
          <w:spacing w:val="7"/>
          <w:w w:val="110"/>
          <w:sz w:val="18"/>
        </w:rPr>
        <w:t> </w:t>
      </w:r>
      <w:r>
        <w:rPr>
          <w:i/>
          <w:color w:val="231F20"/>
          <w:w w:val="110"/>
          <w:sz w:val="18"/>
        </w:rPr>
        <w:t>God’s</w:t>
      </w:r>
      <w:r>
        <w:rPr>
          <w:i/>
          <w:color w:val="231F20"/>
          <w:spacing w:val="7"/>
          <w:w w:val="110"/>
          <w:sz w:val="18"/>
        </w:rPr>
        <w:t> </w:t>
      </w:r>
      <w:r>
        <w:rPr>
          <w:i/>
          <w:color w:val="231F20"/>
          <w:w w:val="110"/>
          <w:sz w:val="18"/>
        </w:rPr>
        <w:t>Reign</w:t>
      </w:r>
      <w:r>
        <w:rPr>
          <w:i/>
          <w:color w:val="231F20"/>
          <w:spacing w:val="7"/>
          <w:w w:val="110"/>
          <w:sz w:val="18"/>
        </w:rPr>
        <w:t> </w:t>
      </w:r>
      <w:r>
        <w:rPr>
          <w:i/>
          <w:color w:val="231F20"/>
          <w:w w:val="110"/>
          <w:sz w:val="18"/>
        </w:rPr>
        <w:t>and</w:t>
      </w:r>
      <w:r>
        <w:rPr>
          <w:i/>
          <w:color w:val="231F20"/>
          <w:spacing w:val="7"/>
          <w:w w:val="110"/>
          <w:sz w:val="18"/>
        </w:rPr>
        <w:t> </w:t>
      </w:r>
      <w:r>
        <w:rPr>
          <w:i/>
          <w:color w:val="231F20"/>
          <w:w w:val="110"/>
          <w:sz w:val="18"/>
        </w:rPr>
        <w:t>Our</w:t>
      </w:r>
      <w:r>
        <w:rPr>
          <w:i/>
          <w:color w:val="231F20"/>
          <w:spacing w:val="7"/>
          <w:w w:val="110"/>
          <w:sz w:val="18"/>
        </w:rPr>
        <w:t> </w:t>
      </w:r>
      <w:r>
        <w:rPr>
          <w:i/>
          <w:color w:val="231F20"/>
          <w:spacing w:val="-3"/>
          <w:w w:val="110"/>
          <w:sz w:val="18"/>
        </w:rPr>
        <w:t>Unity</w:t>
      </w:r>
      <w:r>
        <w:rPr>
          <w:color w:val="231F20"/>
          <w:spacing w:val="-3"/>
          <w:w w:val="110"/>
          <w:sz w:val="18"/>
        </w:rPr>
        <w:t>.</w:t>
      </w:r>
    </w:p>
    <w:p>
      <w:pPr>
        <w:pStyle w:val="BodyText"/>
        <w:spacing w:line="273" w:lineRule="auto" w:before="1"/>
        <w:ind w:left="1240" w:right="2665"/>
      </w:pPr>
      <w:r>
        <w:rPr>
          <w:color w:val="231F20"/>
          <w:w w:val="110"/>
        </w:rPr>
        <w:t>The first meeting took place in March of this year, following on the start of another Bilateral Dialogue, with the Roman Catholic Church in England and Wales, which had met for the first time in December 2006, and which we had rejoiced to enter at their invitation. Both Dialogues have been marked by friendliness, warmth and willingness to engage. Both have already seen</w:t>
      </w:r>
    </w:p>
    <w:p>
      <w:pPr>
        <w:pStyle w:val="BodyText"/>
        <w:spacing w:line="273" w:lineRule="auto" w:before="3"/>
        <w:ind w:left="1240" w:right="2348"/>
      </w:pPr>
      <w:r>
        <w:rPr>
          <w:color w:val="231F20"/>
          <w:w w:val="110"/>
        </w:rPr>
        <w:t>significant sharing about how representatives understand their own Churches and the challenges and opportunities of today. It is interesting that both Dialogues seem to be focussing initially on questions of identity – how do</w:t>
      </w:r>
    </w:p>
    <w:p>
      <w:pPr>
        <w:pStyle w:val="BodyText"/>
        <w:spacing w:before="2"/>
        <w:ind w:left="1240"/>
      </w:pPr>
      <w:r>
        <w:rPr>
          <w:color w:val="231F20"/>
          <w:w w:val="110"/>
        </w:rPr>
        <w:t>the Dialogue partners want to describe/explain themselves today?</w:t>
      </w:r>
    </w:p>
    <w:p>
      <w:pPr>
        <w:pStyle w:val="BodyText"/>
        <w:spacing w:before="1"/>
        <w:rPr>
          <w:sz w:val="23"/>
        </w:rPr>
      </w:pPr>
    </w:p>
    <w:p>
      <w:pPr>
        <w:pStyle w:val="ListParagraph"/>
        <w:numPr>
          <w:ilvl w:val="1"/>
          <w:numId w:val="72"/>
        </w:numPr>
        <w:tabs>
          <w:tab w:pos="1960" w:val="left" w:leader="none"/>
          <w:tab w:pos="1961" w:val="left" w:leader="none"/>
        </w:tabs>
        <w:spacing w:line="273" w:lineRule="auto" w:before="1" w:after="0"/>
        <w:ind w:left="1240" w:right="2472" w:hanging="1"/>
        <w:jc w:val="left"/>
        <w:rPr>
          <w:sz w:val="18"/>
        </w:rPr>
      </w:pPr>
      <w:r>
        <w:rPr>
          <w:color w:val="231F20"/>
          <w:w w:val="110"/>
          <w:sz w:val="18"/>
        </w:rPr>
        <w:t>In addition to these three particular commissions </w:t>
      </w:r>
      <w:r>
        <w:rPr>
          <w:color w:val="231F20"/>
          <w:spacing w:val="2"/>
          <w:w w:val="110"/>
          <w:sz w:val="18"/>
        </w:rPr>
        <w:t>from </w:t>
      </w:r>
      <w:r>
        <w:rPr>
          <w:color w:val="231F20"/>
          <w:w w:val="110"/>
          <w:sz w:val="18"/>
        </w:rPr>
        <w:t>Catch the Vision, we have also pursued other longer and </w:t>
      </w:r>
      <w:r>
        <w:rPr>
          <w:color w:val="231F20"/>
          <w:spacing w:val="2"/>
          <w:w w:val="110"/>
          <w:sz w:val="18"/>
        </w:rPr>
        <w:t>shorter </w:t>
      </w:r>
      <w:r>
        <w:rPr>
          <w:color w:val="231F20"/>
          <w:w w:val="110"/>
          <w:sz w:val="18"/>
        </w:rPr>
        <w:t>term </w:t>
      </w:r>
      <w:r>
        <w:rPr>
          <w:color w:val="231F20"/>
          <w:spacing w:val="2"/>
          <w:w w:val="110"/>
          <w:sz w:val="18"/>
        </w:rPr>
        <w:t>projects. </w:t>
      </w:r>
      <w:r>
        <w:rPr>
          <w:color w:val="231F20"/>
          <w:w w:val="110"/>
          <w:sz w:val="18"/>
        </w:rPr>
        <w:t>In the field of Ecclesiology, we agreed, with Mission Council, to prepare a </w:t>
      </w:r>
      <w:r>
        <w:rPr>
          <w:color w:val="231F20"/>
          <w:spacing w:val="2"/>
          <w:w w:val="110"/>
          <w:sz w:val="18"/>
        </w:rPr>
        <w:t>portfolio </w:t>
      </w:r>
      <w:r>
        <w:rPr>
          <w:color w:val="231F20"/>
          <w:w w:val="110"/>
          <w:sz w:val="18"/>
        </w:rPr>
        <w:t>of papers: </w:t>
      </w:r>
      <w:r>
        <w:rPr>
          <w:color w:val="231F20"/>
          <w:spacing w:val="-8"/>
          <w:w w:val="110"/>
          <w:sz w:val="18"/>
        </w:rPr>
        <w:t>a) </w:t>
      </w:r>
      <w:r>
        <w:rPr>
          <w:color w:val="231F20"/>
          <w:w w:val="110"/>
          <w:sz w:val="18"/>
        </w:rPr>
        <w:t>a general one to help us </w:t>
      </w:r>
      <w:r>
        <w:rPr>
          <w:color w:val="231F20"/>
          <w:spacing w:val="2"/>
          <w:w w:val="110"/>
          <w:sz w:val="18"/>
        </w:rPr>
        <w:t>reflect </w:t>
      </w:r>
      <w:r>
        <w:rPr>
          <w:color w:val="231F20"/>
          <w:w w:val="110"/>
          <w:sz w:val="18"/>
        </w:rPr>
        <w:t>and explain ourselves to ecumenical </w:t>
      </w:r>
      <w:r>
        <w:rPr>
          <w:color w:val="231F20"/>
          <w:spacing w:val="2"/>
          <w:w w:val="110"/>
          <w:sz w:val="18"/>
        </w:rPr>
        <w:t>partners, </w:t>
      </w:r>
      <w:r>
        <w:rPr>
          <w:color w:val="231F20"/>
          <w:spacing w:val="-8"/>
          <w:w w:val="110"/>
          <w:sz w:val="18"/>
        </w:rPr>
        <w:t>b) </w:t>
      </w:r>
      <w:r>
        <w:rPr>
          <w:color w:val="231F20"/>
          <w:w w:val="110"/>
          <w:sz w:val="18"/>
        </w:rPr>
        <w:t>a theological </w:t>
      </w:r>
      <w:r>
        <w:rPr>
          <w:color w:val="231F20"/>
          <w:spacing w:val="2"/>
          <w:w w:val="110"/>
          <w:sz w:val="18"/>
        </w:rPr>
        <w:t>reflection </w:t>
      </w:r>
      <w:r>
        <w:rPr>
          <w:color w:val="231F20"/>
          <w:w w:val="110"/>
          <w:sz w:val="18"/>
        </w:rPr>
        <w:t>on the Basis of</w:t>
      </w:r>
      <w:r>
        <w:rPr>
          <w:color w:val="231F20"/>
          <w:spacing w:val="65"/>
          <w:w w:val="110"/>
          <w:sz w:val="18"/>
        </w:rPr>
        <w:t> </w:t>
      </w:r>
      <w:r>
        <w:rPr>
          <w:color w:val="231F20"/>
          <w:w w:val="110"/>
          <w:sz w:val="18"/>
        </w:rPr>
        <w:t>Union,</w:t>
      </w:r>
    </w:p>
    <w:p>
      <w:pPr>
        <w:pStyle w:val="BodyText"/>
        <w:spacing w:line="273" w:lineRule="auto" w:before="3"/>
        <w:ind w:left="1240" w:right="2254"/>
      </w:pPr>
      <w:r>
        <w:rPr>
          <w:color w:val="231F20"/>
          <w:spacing w:val="-6"/>
          <w:w w:val="110"/>
        </w:rPr>
        <w:t>c) </w:t>
      </w:r>
      <w:r>
        <w:rPr>
          <w:color w:val="231F20"/>
          <w:w w:val="110"/>
        </w:rPr>
        <w:t>material for discussion groups on the Statement concerning the Nature, Faith and Order of the United Reformed Church, and d) a </w:t>
      </w:r>
      <w:r>
        <w:rPr>
          <w:color w:val="231F20"/>
          <w:spacing w:val="2"/>
          <w:w w:val="110"/>
        </w:rPr>
        <w:t>fourth </w:t>
      </w:r>
      <w:r>
        <w:rPr>
          <w:color w:val="231F20"/>
          <w:w w:val="110"/>
        </w:rPr>
        <w:t>on   missiology in the United Reformed Church. In January Mission Council warmly commended an </w:t>
      </w:r>
      <w:r>
        <w:rPr>
          <w:color w:val="231F20"/>
          <w:spacing w:val="2"/>
          <w:w w:val="110"/>
        </w:rPr>
        <w:t>offering </w:t>
      </w:r>
      <w:r>
        <w:rPr>
          <w:color w:val="231F20"/>
          <w:w w:val="110"/>
        </w:rPr>
        <w:t>for </w:t>
      </w:r>
      <w:r>
        <w:rPr>
          <w:color w:val="231F20"/>
          <w:spacing w:val="-6"/>
          <w:w w:val="110"/>
        </w:rPr>
        <w:t>c)  </w:t>
      </w:r>
      <w:r>
        <w:rPr>
          <w:color w:val="231F20"/>
          <w:w w:val="110"/>
        </w:rPr>
        <w:t>the study guide with discussion materials,  which has now been made available to local churches. In March it agreed an </w:t>
      </w:r>
      <w:r>
        <w:rPr>
          <w:color w:val="231F20"/>
          <w:spacing w:val="2"/>
          <w:w w:val="110"/>
        </w:rPr>
        <w:t>offering </w:t>
      </w:r>
      <w:r>
        <w:rPr>
          <w:color w:val="231F20"/>
          <w:w w:val="110"/>
        </w:rPr>
        <w:t>for </w:t>
      </w:r>
      <w:r>
        <w:rPr>
          <w:color w:val="231F20"/>
          <w:spacing w:val="-8"/>
          <w:w w:val="110"/>
        </w:rPr>
        <w:t>a), </w:t>
      </w:r>
      <w:r>
        <w:rPr>
          <w:color w:val="231F20"/>
          <w:w w:val="110"/>
        </w:rPr>
        <w:t>subject to minor additions and modifications, to </w:t>
      </w:r>
      <w:r>
        <w:rPr>
          <w:color w:val="231F20"/>
          <w:spacing w:val="2"/>
          <w:w w:val="110"/>
        </w:rPr>
        <w:t>serve </w:t>
      </w:r>
      <w:r>
        <w:rPr>
          <w:color w:val="231F20"/>
          <w:w w:val="110"/>
        </w:rPr>
        <w:t>as an internal discussion document and ecumenical resource. </w:t>
      </w:r>
      <w:r>
        <w:rPr>
          <w:color w:val="231F20"/>
          <w:spacing w:val="-3"/>
          <w:w w:val="110"/>
        </w:rPr>
        <w:t>We </w:t>
      </w:r>
      <w:r>
        <w:rPr>
          <w:color w:val="231F20"/>
          <w:w w:val="110"/>
        </w:rPr>
        <w:t>hope this will be available in the</w:t>
      </w:r>
      <w:r>
        <w:rPr>
          <w:color w:val="231F20"/>
          <w:spacing w:val="2"/>
          <w:w w:val="110"/>
        </w:rPr>
        <w:t> </w:t>
      </w:r>
      <w:r>
        <w:rPr>
          <w:color w:val="231F20"/>
          <w:w w:val="110"/>
        </w:rPr>
        <w:t>Autumn.</w:t>
      </w:r>
    </w:p>
    <w:p>
      <w:pPr>
        <w:spacing w:after="0" w:line="273" w:lineRule="auto"/>
        <w:sectPr>
          <w:headerReference w:type="default" r:id="rId188"/>
          <w:footerReference w:type="default" r:id="rId189"/>
          <w:footerReference w:type="even" r:id="rId190"/>
          <w:pgSz w:w="11910" w:h="16840"/>
          <w:pgMar w:header="0" w:footer="564" w:top="1000" w:bottom="760" w:left="460" w:right="0"/>
          <w:pgNumType w:start="135"/>
        </w:sectPr>
      </w:pPr>
    </w:p>
    <w:p>
      <w:pPr>
        <w:spacing w:before="28"/>
        <w:ind w:left="6691" w:right="0" w:firstLine="0"/>
        <w:jc w:val="left"/>
        <w:rPr>
          <w:rFonts w:ascii="Eurostile Bold"/>
          <w:b/>
          <w:sz w:val="28"/>
        </w:rPr>
      </w:pPr>
      <w:r>
        <w:rPr>
          <w:rFonts w:ascii="Eurostile Bold"/>
          <w:b/>
          <w:color w:val="A7A9AC"/>
          <w:w w:val="95"/>
          <w:sz w:val="28"/>
        </w:rPr>
        <w:t>Doctrine, Prayer and Worship</w:t>
      </w:r>
    </w:p>
    <w:p>
      <w:pPr>
        <w:pStyle w:val="BodyText"/>
        <w:spacing w:before="5"/>
        <w:rPr>
          <w:rFonts w:ascii="Eurostile Bold"/>
          <w:b/>
          <w:sz w:val="12"/>
        </w:rPr>
      </w:pPr>
    </w:p>
    <w:p>
      <w:pPr>
        <w:pStyle w:val="BodyText"/>
        <w:tabs>
          <w:tab w:pos="1393" w:val="left" w:leader="none"/>
        </w:tabs>
        <w:spacing w:line="273" w:lineRule="auto" w:before="100"/>
        <w:ind w:left="673" w:right="2061"/>
      </w:pPr>
      <w:r>
        <w:rPr>
          <w:color w:val="231F20"/>
          <w:w w:val="110"/>
        </w:rPr>
        <w:t>1.5</w:t>
        <w:tab/>
        <w:t>Along with these particular projects, we continue to do our </w:t>
      </w:r>
      <w:r>
        <w:rPr>
          <w:color w:val="231F20"/>
          <w:spacing w:val="2"/>
          <w:w w:val="110"/>
        </w:rPr>
        <w:t>best </w:t>
      </w:r>
      <w:r>
        <w:rPr>
          <w:color w:val="231F20"/>
          <w:w w:val="110"/>
        </w:rPr>
        <w:t>to answer questions raised by people </w:t>
      </w:r>
      <w:r>
        <w:rPr>
          <w:color w:val="231F20"/>
          <w:spacing w:val="2"/>
          <w:w w:val="110"/>
        </w:rPr>
        <w:t>from </w:t>
      </w:r>
      <w:r>
        <w:rPr>
          <w:color w:val="231F20"/>
          <w:w w:val="110"/>
        </w:rPr>
        <w:t>local churches, and are glad to do so. </w:t>
      </w:r>
      <w:r>
        <w:rPr>
          <w:color w:val="231F20"/>
          <w:spacing w:val="-3"/>
          <w:w w:val="110"/>
        </w:rPr>
        <w:t>We </w:t>
      </w:r>
      <w:r>
        <w:rPr>
          <w:color w:val="231F20"/>
          <w:w w:val="110"/>
        </w:rPr>
        <w:t>were also delighted to be able to present a workshop at FURY Assembly. </w:t>
      </w:r>
      <w:r>
        <w:rPr>
          <w:color w:val="231F20"/>
          <w:spacing w:val="-3"/>
          <w:w w:val="110"/>
        </w:rPr>
        <w:t>We </w:t>
      </w:r>
      <w:r>
        <w:rPr>
          <w:color w:val="231F20"/>
          <w:w w:val="110"/>
        </w:rPr>
        <w:t>have thought about how</w:t>
      </w:r>
      <w:r>
        <w:rPr>
          <w:color w:val="231F20"/>
          <w:spacing w:val="6"/>
          <w:w w:val="110"/>
        </w:rPr>
        <w:t> </w:t>
      </w:r>
      <w:r>
        <w:rPr>
          <w:color w:val="231F20"/>
          <w:w w:val="110"/>
        </w:rPr>
        <w:t>to</w:t>
      </w:r>
      <w:r>
        <w:rPr>
          <w:color w:val="231F20"/>
          <w:spacing w:val="7"/>
          <w:w w:val="110"/>
        </w:rPr>
        <w:t> </w:t>
      </w:r>
      <w:r>
        <w:rPr>
          <w:color w:val="231F20"/>
          <w:w w:val="110"/>
        </w:rPr>
        <w:t>give</w:t>
      </w:r>
      <w:r>
        <w:rPr>
          <w:color w:val="231F20"/>
          <w:spacing w:val="7"/>
          <w:w w:val="110"/>
        </w:rPr>
        <w:t> </w:t>
      </w:r>
      <w:r>
        <w:rPr>
          <w:color w:val="231F20"/>
          <w:w w:val="110"/>
        </w:rPr>
        <w:t>our</w:t>
      </w:r>
      <w:r>
        <w:rPr>
          <w:color w:val="231F20"/>
          <w:spacing w:val="6"/>
          <w:w w:val="110"/>
        </w:rPr>
        <w:t> </w:t>
      </w:r>
      <w:r>
        <w:rPr>
          <w:color w:val="231F20"/>
          <w:w w:val="110"/>
        </w:rPr>
        <w:t>church</w:t>
      </w:r>
      <w:r>
        <w:rPr>
          <w:color w:val="231F20"/>
          <w:spacing w:val="7"/>
          <w:w w:val="110"/>
        </w:rPr>
        <w:t> </w:t>
      </w:r>
      <w:r>
        <w:rPr>
          <w:color w:val="231F20"/>
          <w:spacing w:val="2"/>
          <w:w w:val="110"/>
        </w:rPr>
        <w:t>members</w:t>
      </w:r>
      <w:r>
        <w:rPr>
          <w:color w:val="231F20"/>
          <w:spacing w:val="7"/>
          <w:w w:val="110"/>
        </w:rPr>
        <w:t> </w:t>
      </w:r>
      <w:r>
        <w:rPr>
          <w:color w:val="231F20"/>
          <w:spacing w:val="2"/>
          <w:w w:val="110"/>
        </w:rPr>
        <w:t>access</w:t>
      </w:r>
      <w:r>
        <w:rPr>
          <w:color w:val="231F20"/>
          <w:spacing w:val="7"/>
          <w:w w:val="110"/>
        </w:rPr>
        <w:t> </w:t>
      </w:r>
      <w:r>
        <w:rPr>
          <w:color w:val="231F20"/>
          <w:w w:val="110"/>
        </w:rPr>
        <w:t>to</w:t>
      </w:r>
      <w:r>
        <w:rPr>
          <w:color w:val="231F20"/>
          <w:spacing w:val="6"/>
          <w:w w:val="110"/>
        </w:rPr>
        <w:t> </w:t>
      </w:r>
      <w:r>
        <w:rPr>
          <w:color w:val="231F20"/>
          <w:w w:val="110"/>
        </w:rPr>
        <w:t>the</w:t>
      </w:r>
      <w:r>
        <w:rPr>
          <w:color w:val="231F20"/>
          <w:spacing w:val="7"/>
          <w:w w:val="110"/>
        </w:rPr>
        <w:t> </w:t>
      </w:r>
      <w:r>
        <w:rPr>
          <w:color w:val="231F20"/>
          <w:w w:val="110"/>
        </w:rPr>
        <w:t>spiritual</w:t>
      </w:r>
      <w:r>
        <w:rPr>
          <w:color w:val="231F20"/>
          <w:spacing w:val="7"/>
          <w:w w:val="110"/>
        </w:rPr>
        <w:t> </w:t>
      </w:r>
      <w:r>
        <w:rPr>
          <w:color w:val="231F20"/>
          <w:spacing w:val="2"/>
          <w:w w:val="110"/>
        </w:rPr>
        <w:t>roots</w:t>
      </w:r>
      <w:r>
        <w:rPr>
          <w:color w:val="231F20"/>
          <w:spacing w:val="6"/>
          <w:w w:val="110"/>
        </w:rPr>
        <w:t> </w:t>
      </w:r>
      <w:r>
        <w:rPr>
          <w:color w:val="231F20"/>
          <w:w w:val="110"/>
        </w:rPr>
        <w:t>of</w:t>
      </w:r>
      <w:r>
        <w:rPr>
          <w:color w:val="231F20"/>
          <w:spacing w:val="7"/>
          <w:w w:val="110"/>
        </w:rPr>
        <w:t> </w:t>
      </w:r>
      <w:r>
        <w:rPr>
          <w:color w:val="231F20"/>
          <w:w w:val="110"/>
        </w:rPr>
        <w:t>our</w:t>
      </w:r>
      <w:r>
        <w:rPr>
          <w:color w:val="231F20"/>
          <w:spacing w:val="7"/>
          <w:w w:val="110"/>
        </w:rPr>
        <w:t> </w:t>
      </w:r>
      <w:r>
        <w:rPr>
          <w:color w:val="231F20"/>
          <w:w w:val="110"/>
        </w:rPr>
        <w:t>own</w:t>
      </w:r>
      <w:r>
        <w:rPr>
          <w:color w:val="231F20"/>
          <w:spacing w:val="6"/>
          <w:w w:val="110"/>
        </w:rPr>
        <w:t> </w:t>
      </w:r>
      <w:r>
        <w:rPr>
          <w:color w:val="231F20"/>
          <w:w w:val="110"/>
        </w:rPr>
        <w:t>traditions,</w:t>
      </w:r>
    </w:p>
    <w:p>
      <w:pPr>
        <w:pStyle w:val="BodyText"/>
        <w:spacing w:line="273" w:lineRule="auto" w:before="3"/>
        <w:ind w:left="673" w:right="2009"/>
      </w:pPr>
      <w:r>
        <w:rPr>
          <w:color w:val="231F20"/>
          <w:w w:val="110"/>
        </w:rPr>
        <w:t>in accessible and devotionally useful ways, but have so far not identified a format that </w:t>
      </w:r>
      <w:r>
        <w:rPr>
          <w:color w:val="231F20"/>
          <w:spacing w:val="2"/>
          <w:w w:val="110"/>
        </w:rPr>
        <w:t>meets </w:t>
      </w:r>
      <w:r>
        <w:rPr>
          <w:color w:val="231F20"/>
          <w:w w:val="110"/>
        </w:rPr>
        <w:t>with immediate acclaim! </w:t>
      </w:r>
      <w:r>
        <w:rPr>
          <w:color w:val="231F20"/>
          <w:spacing w:val="-3"/>
          <w:w w:val="110"/>
        </w:rPr>
        <w:t>We </w:t>
      </w:r>
      <w:r>
        <w:rPr>
          <w:color w:val="231F20"/>
          <w:w w:val="110"/>
        </w:rPr>
        <w:t>have also begun a conversation about hymnody; how can we most fruitfully encourage and make available the </w:t>
      </w:r>
      <w:r>
        <w:rPr>
          <w:color w:val="231F20"/>
          <w:spacing w:val="2"/>
          <w:w w:val="110"/>
        </w:rPr>
        <w:t>rich resources </w:t>
      </w:r>
      <w:r>
        <w:rPr>
          <w:color w:val="231F20"/>
          <w:w w:val="110"/>
        </w:rPr>
        <w:t>God has given us of hymn </w:t>
      </w:r>
      <w:r>
        <w:rPr>
          <w:color w:val="231F20"/>
          <w:spacing w:val="2"/>
          <w:w w:val="110"/>
        </w:rPr>
        <w:t>writers </w:t>
      </w:r>
      <w:r>
        <w:rPr>
          <w:color w:val="231F20"/>
          <w:w w:val="110"/>
        </w:rPr>
        <w:t>and music makers? How do we make sure that Rejoice and Sing is not the last word in United Reformed Church hymn publication, but one step on the journey? What might we aim to publish in an age where hymn </w:t>
      </w:r>
      <w:r>
        <w:rPr>
          <w:color w:val="231F20"/>
          <w:spacing w:val="2"/>
          <w:w w:val="110"/>
        </w:rPr>
        <w:t>books </w:t>
      </w:r>
      <w:r>
        <w:rPr>
          <w:color w:val="231F20"/>
          <w:w w:val="110"/>
        </w:rPr>
        <w:t>are more a </w:t>
      </w:r>
      <w:r>
        <w:rPr>
          <w:color w:val="231F20"/>
          <w:spacing w:val="2"/>
          <w:w w:val="110"/>
        </w:rPr>
        <w:t>rarity </w:t>
      </w:r>
      <w:r>
        <w:rPr>
          <w:color w:val="231F20"/>
          <w:w w:val="110"/>
        </w:rPr>
        <w:t>than a norm and in which the pace of change is</w:t>
      </w:r>
      <w:r>
        <w:rPr>
          <w:color w:val="231F20"/>
          <w:spacing w:val="25"/>
          <w:w w:val="110"/>
        </w:rPr>
        <w:t> </w:t>
      </w:r>
      <w:r>
        <w:rPr>
          <w:color w:val="231F20"/>
          <w:w w:val="110"/>
        </w:rPr>
        <w:t>fast?</w:t>
      </w:r>
    </w:p>
    <w:p>
      <w:pPr>
        <w:pStyle w:val="BodyText"/>
        <w:spacing w:before="11"/>
        <w:rPr>
          <w:sz w:val="20"/>
        </w:rPr>
      </w:pPr>
    </w:p>
    <w:p>
      <w:pPr>
        <w:pStyle w:val="ListParagraph"/>
        <w:numPr>
          <w:ilvl w:val="1"/>
          <w:numId w:val="79"/>
        </w:numPr>
        <w:tabs>
          <w:tab w:pos="1393" w:val="left" w:leader="none"/>
          <w:tab w:pos="1394" w:val="left" w:leader="none"/>
        </w:tabs>
        <w:spacing w:line="273" w:lineRule="auto" w:before="0" w:after="0"/>
        <w:ind w:left="673" w:right="2101" w:firstLine="0"/>
        <w:jc w:val="left"/>
        <w:rPr>
          <w:sz w:val="18"/>
        </w:rPr>
      </w:pPr>
      <w:r>
        <w:rPr>
          <w:color w:val="231F20"/>
          <w:spacing w:val="-4"/>
          <w:w w:val="110"/>
          <w:sz w:val="18"/>
        </w:rPr>
        <w:t>You </w:t>
      </w:r>
      <w:r>
        <w:rPr>
          <w:color w:val="231F20"/>
          <w:w w:val="110"/>
          <w:sz w:val="18"/>
        </w:rPr>
        <w:t>will have read the Silence and Retreats Network </w:t>
      </w:r>
      <w:r>
        <w:rPr>
          <w:color w:val="231F20"/>
          <w:spacing w:val="3"/>
          <w:w w:val="110"/>
          <w:sz w:val="18"/>
        </w:rPr>
        <w:t>report </w:t>
      </w:r>
      <w:r>
        <w:rPr>
          <w:color w:val="231F20"/>
          <w:w w:val="110"/>
          <w:sz w:val="18"/>
        </w:rPr>
        <w:t>in the Information booklet and we would want to support them at a time of exploring new foci, and we would </w:t>
      </w:r>
      <w:r>
        <w:rPr>
          <w:color w:val="231F20"/>
          <w:spacing w:val="2"/>
          <w:w w:val="110"/>
          <w:sz w:val="18"/>
        </w:rPr>
        <w:t>affirm </w:t>
      </w:r>
      <w:r>
        <w:rPr>
          <w:color w:val="231F20"/>
          <w:w w:val="110"/>
          <w:sz w:val="18"/>
        </w:rPr>
        <w:t>their work on Transforming</w:t>
      </w:r>
      <w:r>
        <w:rPr>
          <w:color w:val="231F20"/>
          <w:spacing w:val="6"/>
          <w:w w:val="110"/>
          <w:sz w:val="18"/>
        </w:rPr>
        <w:t> </w:t>
      </w:r>
      <w:r>
        <w:rPr>
          <w:color w:val="231F20"/>
          <w:spacing w:val="-3"/>
          <w:w w:val="110"/>
          <w:sz w:val="18"/>
        </w:rPr>
        <w:t>Prayer.</w:t>
      </w:r>
    </w:p>
    <w:p>
      <w:pPr>
        <w:pStyle w:val="BodyText"/>
        <w:spacing w:before="9"/>
        <w:rPr>
          <w:sz w:val="20"/>
        </w:rPr>
      </w:pPr>
    </w:p>
    <w:p>
      <w:pPr>
        <w:pStyle w:val="ListParagraph"/>
        <w:numPr>
          <w:ilvl w:val="1"/>
          <w:numId w:val="79"/>
        </w:numPr>
        <w:tabs>
          <w:tab w:pos="1393" w:val="left" w:leader="none"/>
          <w:tab w:pos="1394" w:val="left" w:leader="none"/>
        </w:tabs>
        <w:spacing w:line="273" w:lineRule="auto" w:before="0" w:after="0"/>
        <w:ind w:left="673" w:right="1859" w:firstLine="0"/>
        <w:jc w:val="left"/>
        <w:rPr>
          <w:sz w:val="18"/>
        </w:rPr>
      </w:pPr>
      <w:r>
        <w:rPr>
          <w:color w:val="231F20"/>
          <w:w w:val="110"/>
          <w:sz w:val="18"/>
        </w:rPr>
        <w:t>This may be the last time we shall </w:t>
      </w:r>
      <w:r>
        <w:rPr>
          <w:color w:val="231F20"/>
          <w:spacing w:val="3"/>
          <w:w w:val="110"/>
          <w:sz w:val="18"/>
        </w:rPr>
        <w:t>report </w:t>
      </w:r>
      <w:r>
        <w:rPr>
          <w:color w:val="231F20"/>
          <w:w w:val="110"/>
          <w:sz w:val="18"/>
        </w:rPr>
        <w:t>as currently constituted. So may we express sincere thanks to past and present </w:t>
      </w:r>
      <w:r>
        <w:rPr>
          <w:color w:val="231F20"/>
          <w:spacing w:val="2"/>
          <w:w w:val="110"/>
          <w:sz w:val="18"/>
        </w:rPr>
        <w:t>members </w:t>
      </w:r>
      <w:r>
        <w:rPr>
          <w:color w:val="231F20"/>
          <w:w w:val="110"/>
          <w:sz w:val="18"/>
        </w:rPr>
        <w:t>and </w:t>
      </w:r>
      <w:r>
        <w:rPr>
          <w:color w:val="231F20"/>
          <w:spacing w:val="2"/>
          <w:w w:val="110"/>
          <w:sz w:val="18"/>
        </w:rPr>
        <w:t>officers </w:t>
      </w:r>
      <w:r>
        <w:rPr>
          <w:color w:val="231F20"/>
          <w:w w:val="110"/>
          <w:sz w:val="18"/>
        </w:rPr>
        <w:t>of the Committee for their commitment, input and</w:t>
      </w:r>
      <w:r>
        <w:rPr>
          <w:color w:val="231F20"/>
          <w:spacing w:val="5"/>
          <w:w w:val="110"/>
          <w:sz w:val="18"/>
        </w:rPr>
        <w:t> </w:t>
      </w:r>
      <w:r>
        <w:rPr>
          <w:color w:val="231F20"/>
          <w:w w:val="110"/>
          <w:sz w:val="18"/>
        </w:rPr>
        <w:t>fellowship.</w:t>
      </w:r>
    </w:p>
    <w:p>
      <w:pPr>
        <w:pStyle w:val="BodyText"/>
        <w:rPr>
          <w:sz w:val="20"/>
        </w:rPr>
      </w:pPr>
    </w:p>
    <w:p>
      <w:pPr>
        <w:pStyle w:val="BodyText"/>
        <w:rPr>
          <w:sz w:val="20"/>
        </w:rPr>
      </w:pPr>
    </w:p>
    <w:p>
      <w:pPr>
        <w:pStyle w:val="BodyText"/>
        <w:rPr>
          <w:sz w:val="20"/>
        </w:rPr>
      </w:pPr>
    </w:p>
    <w:p>
      <w:pPr>
        <w:pStyle w:val="BodyText"/>
        <w:spacing w:before="9"/>
        <w:rPr>
          <w:sz w:val="23"/>
        </w:rPr>
      </w:pPr>
    </w:p>
    <w:p>
      <w:pPr>
        <w:spacing w:before="309"/>
        <w:ind w:left="0" w:right="1024" w:firstLine="0"/>
        <w:jc w:val="center"/>
        <w:rPr>
          <w:i/>
          <w:sz w:val="24"/>
        </w:rPr>
      </w:pPr>
      <w:r>
        <w:rPr>
          <w:i/>
          <w:color w:val="231F20"/>
          <w:w w:val="600"/>
          <w:sz w:val="24"/>
        </w:rPr>
        <w:t>   </w:t>
      </w:r>
    </w:p>
    <w:p>
      <w:pPr>
        <w:spacing w:after="0"/>
        <w:jc w:val="center"/>
        <w:rPr>
          <w:sz w:val="24"/>
        </w:rPr>
        <w:sectPr>
          <w:headerReference w:type="even" r:id="rId191"/>
          <w:pgSz w:w="11910" w:h="16840"/>
          <w:pgMar w:header="0" w:footer="564" w:top="460" w:bottom="760" w:left="460" w:right="0"/>
        </w:sectPr>
      </w:pPr>
    </w:p>
    <w:p>
      <w:pPr>
        <w:spacing w:line="244" w:lineRule="auto" w:before="69"/>
        <w:ind w:left="1240" w:right="2348" w:firstLine="0"/>
        <w:jc w:val="left"/>
        <w:rPr>
          <w:b/>
          <w:sz w:val="29"/>
        </w:rPr>
      </w:pPr>
      <w:r>
        <w:rPr/>
        <w:pict>
          <v:shape style="position:absolute;margin-left:507.100189pt;margin-top:36.840614pt;width:68.850pt;height:624.7pt;mso-position-horizontal-relative:page;mso-position-vertical-relative:page;z-index:251826176" type="#_x0000_t202" filled="false" stroked="false">
            <v:textbox inset="0,0,0,0" style="layout-flow:vertical">
              <w:txbxContent>
                <w:p>
                  <w:pPr>
                    <w:spacing w:line="989" w:lineRule="exact" w:before="20"/>
                    <w:ind w:left="20" w:right="0" w:firstLine="0"/>
                    <w:jc w:val="left"/>
                    <w:rPr>
                      <w:b/>
                      <w:sz w:val="88"/>
                    </w:rPr>
                  </w:pPr>
                  <w:r>
                    <w:rPr>
                      <w:b/>
                      <w:color w:val="231F20"/>
                      <w:spacing w:val="-10"/>
                      <w:sz w:val="88"/>
                    </w:rPr>
                    <w:t>Consultation </w:t>
                  </w:r>
                  <w:r>
                    <w:rPr>
                      <w:b/>
                      <w:color w:val="231F20"/>
                      <w:spacing w:val="-8"/>
                      <w:sz w:val="88"/>
                    </w:rPr>
                    <w:t>on </w:t>
                  </w:r>
                  <w:r>
                    <w:rPr>
                      <w:b/>
                      <w:color w:val="231F20"/>
                      <w:spacing w:val="-11"/>
                      <w:sz w:val="88"/>
                    </w:rPr>
                    <w:t>Eldership</w:t>
                  </w:r>
                </w:p>
                <w:p>
                  <w:pPr>
                    <w:spacing w:line="365" w:lineRule="exact" w:before="0"/>
                    <w:ind w:left="6445" w:right="0" w:firstLine="0"/>
                    <w:jc w:val="left"/>
                    <w:rPr>
                      <w:rFonts w:ascii="Eurostile Bold"/>
                      <w:b/>
                      <w:sz w:val="36"/>
                    </w:rPr>
                  </w:pPr>
                  <w:r>
                    <w:rPr>
                      <w:rFonts w:ascii="Eurostile Bold"/>
                      <w:b/>
                      <w:color w:val="A7A9AC"/>
                      <w:w w:val="95"/>
                      <w:sz w:val="36"/>
                    </w:rPr>
                    <w:t>General Assembly</w:t>
                  </w:r>
                  <w:r>
                    <w:rPr>
                      <w:rFonts w:ascii="Eurostile Bold"/>
                      <w:b/>
                      <w:color w:val="A7A9AC"/>
                      <w:spacing w:val="-96"/>
                      <w:w w:val="95"/>
                      <w:sz w:val="36"/>
                    </w:rPr>
                    <w:t> </w:t>
                  </w:r>
                  <w:r>
                    <w:rPr>
                      <w:rFonts w:ascii="Eurostile Bold"/>
                      <w:b/>
                      <w:color w:val="A7A9AC"/>
                      <w:w w:val="95"/>
                      <w:sz w:val="36"/>
                    </w:rPr>
                    <w:t>2007</w:t>
                  </w:r>
                </w:p>
              </w:txbxContent>
            </v:textbox>
            <w10:wrap type="none"/>
          </v:shape>
        </w:pict>
      </w:r>
      <w:r>
        <w:rPr>
          <w:b/>
          <w:color w:val="231F20"/>
          <w:w w:val="110"/>
          <w:sz w:val="29"/>
        </w:rPr>
        <w:t>The Royal Foundation of St Katharine. October 24</w:t>
      </w:r>
      <w:r>
        <w:rPr>
          <w:b/>
          <w:color w:val="231F20"/>
          <w:w w:val="110"/>
          <w:position w:val="10"/>
          <w:sz w:val="16"/>
        </w:rPr>
        <w:t>th </w:t>
      </w:r>
      <w:r>
        <w:rPr>
          <w:b/>
          <w:color w:val="231F20"/>
          <w:w w:val="110"/>
          <w:sz w:val="29"/>
        </w:rPr>
        <w:t>to 26</w:t>
      </w:r>
      <w:r>
        <w:rPr>
          <w:b/>
          <w:color w:val="231F20"/>
          <w:w w:val="110"/>
          <w:position w:val="10"/>
          <w:sz w:val="16"/>
        </w:rPr>
        <w:t>th </w:t>
      </w:r>
      <w:r>
        <w:rPr>
          <w:b/>
          <w:color w:val="231F20"/>
          <w:w w:val="110"/>
          <w:sz w:val="29"/>
        </w:rPr>
        <w:t>2006</w:t>
      </w:r>
    </w:p>
    <w:p>
      <w:pPr>
        <w:pStyle w:val="BodyText"/>
        <w:spacing w:before="9"/>
        <w:rPr>
          <w:b/>
          <w:sz w:val="29"/>
        </w:rPr>
      </w:pPr>
    </w:p>
    <w:p>
      <w:pPr>
        <w:pStyle w:val="ListParagraph"/>
        <w:numPr>
          <w:ilvl w:val="2"/>
          <w:numId w:val="79"/>
        </w:numPr>
        <w:tabs>
          <w:tab w:pos="1921" w:val="left" w:leader="none"/>
          <w:tab w:pos="1922" w:val="left" w:leader="none"/>
        </w:tabs>
        <w:spacing w:line="273" w:lineRule="auto" w:before="0" w:after="0"/>
        <w:ind w:left="1240" w:right="1903" w:firstLine="0"/>
        <w:jc w:val="left"/>
        <w:rPr>
          <w:sz w:val="18"/>
        </w:rPr>
      </w:pPr>
      <w:r>
        <w:rPr>
          <w:color w:val="231F20"/>
          <w:w w:val="110"/>
          <w:sz w:val="18"/>
        </w:rPr>
        <w:t>At General Assembly 2005 the Catch the Vision Core Group requested a piece of work on Eldership which would bring together various pieces of work undertaken by the Doctrine, Prayer and Worship, Ministries, and Life and Witness Committees as well as ongoing questions </w:t>
      </w:r>
      <w:r>
        <w:rPr>
          <w:color w:val="231F20"/>
          <w:spacing w:val="2"/>
          <w:w w:val="110"/>
          <w:sz w:val="18"/>
        </w:rPr>
        <w:t>from </w:t>
      </w:r>
      <w:r>
        <w:rPr>
          <w:color w:val="231F20"/>
          <w:w w:val="110"/>
          <w:sz w:val="18"/>
        </w:rPr>
        <w:t>Conversations on the </w:t>
      </w:r>
      <w:r>
        <w:rPr>
          <w:color w:val="231F20"/>
          <w:spacing w:val="-3"/>
          <w:w w:val="110"/>
          <w:sz w:val="18"/>
        </w:rPr>
        <w:t>Way </w:t>
      </w:r>
      <w:r>
        <w:rPr>
          <w:color w:val="231F20"/>
          <w:w w:val="110"/>
          <w:sz w:val="18"/>
        </w:rPr>
        <w:t>to  Unity. Doctrine, Prayer and Worship </w:t>
      </w:r>
      <w:r>
        <w:rPr>
          <w:color w:val="231F20"/>
          <w:spacing w:val="3"/>
          <w:w w:val="110"/>
          <w:sz w:val="18"/>
        </w:rPr>
        <w:t>offered </w:t>
      </w:r>
      <w:r>
        <w:rPr>
          <w:color w:val="231F20"/>
          <w:w w:val="110"/>
          <w:sz w:val="18"/>
        </w:rPr>
        <w:t>to </w:t>
      </w:r>
      <w:r>
        <w:rPr>
          <w:color w:val="231F20"/>
          <w:spacing w:val="2"/>
          <w:w w:val="110"/>
          <w:sz w:val="18"/>
        </w:rPr>
        <w:t>act </w:t>
      </w:r>
      <w:r>
        <w:rPr>
          <w:color w:val="231F20"/>
          <w:w w:val="110"/>
          <w:sz w:val="18"/>
        </w:rPr>
        <w:t>as lead Committee in putting together a major Conference and this duly took place on </w:t>
      </w:r>
      <w:r>
        <w:rPr>
          <w:color w:val="231F20"/>
          <w:spacing w:val="2"/>
          <w:w w:val="110"/>
          <w:sz w:val="18"/>
        </w:rPr>
        <w:t>October </w:t>
      </w:r>
      <w:r>
        <w:rPr>
          <w:color w:val="231F20"/>
          <w:w w:val="110"/>
          <w:sz w:val="18"/>
        </w:rPr>
        <w:t>24</w:t>
      </w:r>
      <w:r>
        <w:rPr>
          <w:color w:val="231F20"/>
          <w:w w:val="110"/>
          <w:position w:val="6"/>
          <w:sz w:val="10"/>
        </w:rPr>
        <w:t>th  </w:t>
      </w:r>
      <w:r>
        <w:rPr>
          <w:color w:val="231F20"/>
          <w:w w:val="110"/>
          <w:sz w:val="18"/>
        </w:rPr>
        <w:t>to 26</w:t>
      </w:r>
      <w:r>
        <w:rPr>
          <w:color w:val="231F20"/>
          <w:w w:val="110"/>
          <w:position w:val="6"/>
          <w:sz w:val="10"/>
        </w:rPr>
        <w:t>th   </w:t>
      </w:r>
      <w:r>
        <w:rPr>
          <w:color w:val="231F20"/>
          <w:w w:val="110"/>
          <w:sz w:val="10"/>
        </w:rPr>
        <w:t> </w:t>
      </w:r>
      <w:r>
        <w:rPr>
          <w:color w:val="231F20"/>
          <w:w w:val="110"/>
          <w:sz w:val="18"/>
        </w:rPr>
        <w:t>2006 at the Royal Foundation of St Katharine in</w:t>
      </w:r>
      <w:r>
        <w:rPr>
          <w:color w:val="231F20"/>
          <w:spacing w:val="19"/>
          <w:w w:val="110"/>
          <w:sz w:val="18"/>
        </w:rPr>
        <w:t> </w:t>
      </w:r>
      <w:r>
        <w:rPr>
          <w:color w:val="231F20"/>
          <w:w w:val="110"/>
          <w:sz w:val="18"/>
        </w:rPr>
        <w:t>London.</w:t>
      </w:r>
    </w:p>
    <w:p>
      <w:pPr>
        <w:pStyle w:val="BodyText"/>
        <w:spacing w:before="11"/>
        <w:rPr>
          <w:sz w:val="20"/>
        </w:rPr>
      </w:pPr>
    </w:p>
    <w:p>
      <w:pPr>
        <w:pStyle w:val="ListParagraph"/>
        <w:numPr>
          <w:ilvl w:val="2"/>
          <w:numId w:val="79"/>
        </w:numPr>
        <w:tabs>
          <w:tab w:pos="1921" w:val="left" w:leader="none"/>
          <w:tab w:pos="1922" w:val="left" w:leader="none"/>
        </w:tabs>
        <w:spacing w:line="273" w:lineRule="auto" w:before="0" w:after="0"/>
        <w:ind w:left="1240" w:right="2125" w:hanging="1"/>
        <w:jc w:val="left"/>
        <w:rPr>
          <w:sz w:val="18"/>
        </w:rPr>
      </w:pPr>
      <w:r>
        <w:rPr>
          <w:color w:val="231F20"/>
          <w:w w:val="110"/>
          <w:sz w:val="18"/>
        </w:rPr>
        <w:t>At the Conference striking agreement emerged on the following. The ministry of the Elder is deeply valuable. It should be exercised co-operatively with Ministers of Word and Sacrament. Greater attention is needed to the following </w:t>
      </w:r>
      <w:r>
        <w:rPr>
          <w:color w:val="231F20"/>
          <w:spacing w:val="2"/>
          <w:w w:val="110"/>
          <w:sz w:val="18"/>
        </w:rPr>
        <w:t>matters </w:t>
      </w:r>
      <w:r>
        <w:rPr>
          <w:color w:val="231F20"/>
          <w:w w:val="110"/>
          <w:sz w:val="18"/>
        </w:rPr>
        <w:t>of real concern: the meaning of calling and election, preparation for ordination, ongoing training and development, support and accountability. In many ways all this is a significant endorsement of resolutions </w:t>
      </w:r>
      <w:r>
        <w:rPr>
          <w:color w:val="231F20"/>
          <w:spacing w:val="2"/>
          <w:w w:val="110"/>
          <w:sz w:val="18"/>
        </w:rPr>
        <w:t>passed </w:t>
      </w:r>
      <w:r>
        <w:rPr>
          <w:color w:val="231F20"/>
          <w:w w:val="110"/>
          <w:sz w:val="18"/>
        </w:rPr>
        <w:t>at General Assembly 2005 on the calling, training, equipping and personal development of</w:t>
      </w:r>
      <w:r>
        <w:rPr>
          <w:color w:val="231F20"/>
          <w:spacing w:val="4"/>
          <w:w w:val="110"/>
          <w:sz w:val="18"/>
        </w:rPr>
        <w:t> </w:t>
      </w:r>
      <w:r>
        <w:rPr>
          <w:color w:val="231F20"/>
          <w:w w:val="110"/>
          <w:sz w:val="18"/>
        </w:rPr>
        <w:t>Elders.</w:t>
      </w:r>
    </w:p>
    <w:p>
      <w:pPr>
        <w:pStyle w:val="BodyText"/>
        <w:rPr>
          <w:sz w:val="21"/>
        </w:rPr>
      </w:pPr>
    </w:p>
    <w:p>
      <w:pPr>
        <w:pStyle w:val="ListParagraph"/>
        <w:numPr>
          <w:ilvl w:val="2"/>
          <w:numId w:val="79"/>
        </w:numPr>
        <w:tabs>
          <w:tab w:pos="1921" w:val="left" w:leader="none"/>
          <w:tab w:pos="1922" w:val="left" w:leader="none"/>
        </w:tabs>
        <w:spacing w:line="273" w:lineRule="auto" w:before="0" w:after="0"/>
        <w:ind w:left="1240" w:right="2066" w:firstLine="0"/>
        <w:jc w:val="left"/>
        <w:rPr>
          <w:sz w:val="18"/>
        </w:rPr>
      </w:pPr>
      <w:r>
        <w:rPr>
          <w:color w:val="231F20"/>
          <w:w w:val="110"/>
          <w:sz w:val="18"/>
        </w:rPr>
        <w:t>As the Conference progressed, amid a real sense of listening for God’s leading, the view emerged that Elders should continue to be ordained. </w:t>
      </w:r>
      <w:r>
        <w:rPr>
          <w:color w:val="231F20"/>
          <w:spacing w:val="-4"/>
          <w:w w:val="110"/>
          <w:sz w:val="18"/>
        </w:rPr>
        <w:t>We </w:t>
      </w:r>
      <w:r>
        <w:rPr>
          <w:color w:val="231F20"/>
          <w:w w:val="110"/>
          <w:sz w:val="18"/>
        </w:rPr>
        <w:t>were not unanimous. Most of the Elders present were initially drawn to the idea of commissioning, or were of the view that the terminology was not as important as the occasion itself. </w:t>
      </w:r>
      <w:r>
        <w:rPr>
          <w:color w:val="231F20"/>
          <w:spacing w:val="-3"/>
          <w:w w:val="110"/>
          <w:sz w:val="18"/>
        </w:rPr>
        <w:t>However over </w:t>
      </w:r>
      <w:r>
        <w:rPr>
          <w:color w:val="231F20"/>
          <w:w w:val="110"/>
          <w:sz w:val="18"/>
        </w:rPr>
        <w:t>the three </w:t>
      </w:r>
      <w:r>
        <w:rPr>
          <w:color w:val="231F20"/>
          <w:spacing w:val="-3"/>
          <w:w w:val="110"/>
          <w:sz w:val="18"/>
        </w:rPr>
        <w:t>days </w:t>
      </w:r>
      <w:r>
        <w:rPr>
          <w:color w:val="231F20"/>
          <w:w w:val="110"/>
          <w:sz w:val="18"/>
        </w:rPr>
        <w:t>there was a general movement and change of mind for some in the direction of ordination, which</w:t>
      </w:r>
      <w:r>
        <w:rPr>
          <w:color w:val="231F20"/>
          <w:spacing w:val="-33"/>
          <w:w w:val="110"/>
          <w:sz w:val="18"/>
        </w:rPr>
        <w:t> </w:t>
      </w:r>
      <w:r>
        <w:rPr>
          <w:color w:val="231F20"/>
          <w:w w:val="110"/>
          <w:sz w:val="18"/>
        </w:rPr>
        <w:t>resulted</w:t>
      </w:r>
    </w:p>
    <w:p>
      <w:pPr>
        <w:pStyle w:val="BodyText"/>
        <w:spacing w:before="4"/>
        <w:ind w:left="1240"/>
      </w:pPr>
      <w:r>
        <w:rPr>
          <w:color w:val="231F20"/>
          <w:w w:val="110"/>
        </w:rPr>
        <w:t>in a clear majority among those present. What was significant was that the</w:t>
      </w:r>
    </w:p>
    <w:p>
      <w:pPr>
        <w:pStyle w:val="BodyText"/>
        <w:spacing w:line="273" w:lineRule="auto" w:before="31"/>
        <w:ind w:left="1240" w:right="1957"/>
      </w:pPr>
      <w:r>
        <w:rPr>
          <w:color w:val="231F20"/>
          <w:w w:val="110"/>
        </w:rPr>
        <w:t>strong desire of several to progress ecumenically by moving from ordination to commissioning was answered powerfully by the representatives of our ecumenical partners, who urged an agenda based not on convenience but on clarity and theological rigour as we engaged in ecumenical debate. Ecumenism proceeds better when people are allowed to be themselves and honour their traditions by producing reasoned justifications for their practice. We therefore present what transpired in our struggle to articulate why we believe Elders should be ordained and a list of new work which we believe needs to be undertaken.</w:t>
      </w:r>
    </w:p>
    <w:p>
      <w:pPr>
        <w:pStyle w:val="BodyText"/>
        <w:rPr>
          <w:sz w:val="21"/>
        </w:rPr>
      </w:pPr>
    </w:p>
    <w:p>
      <w:pPr>
        <w:pStyle w:val="ListParagraph"/>
        <w:numPr>
          <w:ilvl w:val="2"/>
          <w:numId w:val="79"/>
        </w:numPr>
        <w:tabs>
          <w:tab w:pos="1921" w:val="left" w:leader="none"/>
          <w:tab w:pos="1922" w:val="left" w:leader="none"/>
        </w:tabs>
        <w:spacing w:line="273" w:lineRule="auto" w:before="0" w:after="0"/>
        <w:ind w:left="1240" w:right="1888" w:firstLine="0"/>
        <w:jc w:val="left"/>
        <w:rPr>
          <w:sz w:val="18"/>
        </w:rPr>
      </w:pPr>
      <w:r>
        <w:rPr>
          <w:color w:val="231F20"/>
          <w:w w:val="110"/>
          <w:sz w:val="18"/>
        </w:rPr>
        <w:t>The Church of Jesus Christ comprises those who have been called by the grace of the Covenant God, who creates a community of disciples. </w:t>
      </w:r>
      <w:r>
        <w:rPr>
          <w:color w:val="231F20"/>
          <w:spacing w:val="-8"/>
          <w:w w:val="110"/>
          <w:sz w:val="18"/>
        </w:rPr>
        <w:t>To </w:t>
      </w:r>
      <w:r>
        <w:rPr>
          <w:color w:val="231F20"/>
          <w:w w:val="110"/>
          <w:sz w:val="18"/>
        </w:rPr>
        <w:t>this divine </w:t>
      </w:r>
      <w:r>
        <w:rPr>
          <w:color w:val="231F20"/>
          <w:spacing w:val="2"/>
          <w:w w:val="110"/>
          <w:sz w:val="18"/>
        </w:rPr>
        <w:t>act </w:t>
      </w:r>
      <w:r>
        <w:rPr>
          <w:color w:val="231F20"/>
          <w:w w:val="110"/>
          <w:sz w:val="18"/>
        </w:rPr>
        <w:t>the Word and Sacraments bear witness. The Church is called to worship the triune God, to proclaim God’s saving love, and to be a sign and instrument of God’s Kingdom of </w:t>
      </w:r>
      <w:r>
        <w:rPr>
          <w:color w:val="231F20"/>
          <w:spacing w:val="-3"/>
          <w:w w:val="110"/>
          <w:sz w:val="18"/>
        </w:rPr>
        <w:t>love </w:t>
      </w:r>
      <w:r>
        <w:rPr>
          <w:color w:val="231F20"/>
          <w:w w:val="110"/>
          <w:sz w:val="18"/>
        </w:rPr>
        <w:t>and justice in the world. “The whole membership of the Church, the clergy included, is primarily </w:t>
      </w:r>
      <w:r>
        <w:rPr>
          <w:i/>
          <w:color w:val="231F20"/>
          <w:w w:val="110"/>
          <w:sz w:val="18"/>
        </w:rPr>
        <w:t>laikos </w:t>
      </w:r>
      <w:r>
        <w:rPr>
          <w:color w:val="231F20"/>
          <w:w w:val="110"/>
          <w:sz w:val="18"/>
        </w:rPr>
        <w:t>(from which the word ‘lay’ </w:t>
      </w:r>
      <w:r>
        <w:rPr>
          <w:color w:val="231F20"/>
          <w:spacing w:val="-4"/>
          <w:w w:val="110"/>
          <w:sz w:val="18"/>
        </w:rPr>
        <w:t>derives), </w:t>
      </w:r>
      <w:r>
        <w:rPr>
          <w:color w:val="231F20"/>
          <w:w w:val="110"/>
          <w:sz w:val="18"/>
        </w:rPr>
        <w:t>because the Church is the </w:t>
      </w:r>
      <w:r>
        <w:rPr>
          <w:i/>
          <w:color w:val="231F20"/>
          <w:w w:val="110"/>
          <w:sz w:val="18"/>
        </w:rPr>
        <w:t>laos</w:t>
      </w:r>
      <w:r>
        <w:rPr>
          <w:color w:val="231F20"/>
          <w:w w:val="110"/>
          <w:sz w:val="18"/>
        </w:rPr>
        <w:t>, the people of </w:t>
      </w:r>
      <w:r>
        <w:rPr>
          <w:color w:val="231F20"/>
          <w:spacing w:val="-3"/>
          <w:w w:val="110"/>
          <w:sz w:val="18"/>
        </w:rPr>
        <w:t>God”. </w:t>
      </w:r>
      <w:r>
        <w:rPr>
          <w:color w:val="231F20"/>
          <w:spacing w:val="-5"/>
          <w:w w:val="110"/>
          <w:sz w:val="18"/>
        </w:rPr>
        <w:t>(i) </w:t>
      </w:r>
      <w:r>
        <w:rPr>
          <w:color w:val="231F20"/>
          <w:w w:val="110"/>
          <w:sz w:val="18"/>
        </w:rPr>
        <w:t>By their baptism all the members of the Church </w:t>
      </w:r>
      <w:r>
        <w:rPr>
          <w:color w:val="231F20"/>
          <w:spacing w:val="-3"/>
          <w:w w:val="110"/>
          <w:sz w:val="18"/>
        </w:rPr>
        <w:t>have </w:t>
      </w:r>
      <w:r>
        <w:rPr>
          <w:color w:val="231F20"/>
          <w:w w:val="110"/>
          <w:sz w:val="18"/>
        </w:rPr>
        <w:t>their unique role to play in this common task, their diverse gifting leading to their respective vocations. Within this </w:t>
      </w:r>
      <w:r>
        <w:rPr>
          <w:color w:val="231F20"/>
          <w:spacing w:val="-3"/>
          <w:w w:val="110"/>
          <w:sz w:val="18"/>
        </w:rPr>
        <w:t>community, </w:t>
      </w:r>
      <w:r>
        <w:rPr>
          <w:color w:val="231F20"/>
          <w:w w:val="110"/>
          <w:sz w:val="18"/>
        </w:rPr>
        <w:t>often called the Priesthood of all Believers, some are particularly called to exercise ministerial offices. So that the Church might be equipped to be the Church, God summons men and women to be set apart for the ministry of Word and Sacrament and pastoral oversight. In the Reformed tradition Ministers of Word and Sacrament share that ministry with Elders, who are called to ensure that the faith is passed from generation to generation for the building up of the body of Christ (Basis of Union Paragraph </w:t>
      </w:r>
      <w:r>
        <w:rPr>
          <w:color w:val="231F20"/>
          <w:spacing w:val="-9"/>
          <w:w w:val="110"/>
          <w:sz w:val="18"/>
        </w:rPr>
        <w:t>19). </w:t>
      </w:r>
      <w:r>
        <w:rPr>
          <w:color w:val="231F20"/>
          <w:spacing w:val="-3"/>
          <w:w w:val="110"/>
          <w:sz w:val="18"/>
        </w:rPr>
        <w:t>Together </w:t>
      </w:r>
      <w:r>
        <w:rPr>
          <w:color w:val="231F20"/>
          <w:w w:val="110"/>
          <w:sz w:val="18"/>
        </w:rPr>
        <w:t>they are responsible for the Church of God</w:t>
      </w:r>
      <w:r>
        <w:rPr>
          <w:color w:val="231F20"/>
          <w:spacing w:val="8"/>
          <w:w w:val="110"/>
          <w:sz w:val="18"/>
        </w:rPr>
        <w:t> </w:t>
      </w:r>
      <w:r>
        <w:rPr>
          <w:color w:val="231F20"/>
          <w:w w:val="110"/>
          <w:sz w:val="18"/>
        </w:rPr>
        <w:t>in</w:t>
      </w:r>
    </w:p>
    <w:p>
      <w:pPr>
        <w:pStyle w:val="BodyText"/>
        <w:spacing w:line="273" w:lineRule="auto" w:before="10"/>
        <w:ind w:left="1240" w:right="2009"/>
      </w:pPr>
      <w:r>
        <w:rPr>
          <w:color w:val="231F20"/>
          <w:w w:val="110"/>
        </w:rPr>
        <w:t>its councils, local, regional and national. Together they are accountable for the worship and mission of the Church. Together they exercise pastoral oversight and take responsibility for the discernment and nurture of God-given gifts and talents in others. Together they share a ministry at the Lord’s Table. Those ministries remain crucial to the nature and purpose of the Church.</w:t>
      </w:r>
    </w:p>
    <w:p>
      <w:pPr>
        <w:spacing w:after="0" w:line="273" w:lineRule="auto"/>
        <w:sectPr>
          <w:headerReference w:type="default" r:id="rId192"/>
          <w:footerReference w:type="default" r:id="rId193"/>
          <w:footerReference w:type="even" r:id="rId194"/>
          <w:pgSz w:w="11910" w:h="16840"/>
          <w:pgMar w:header="0" w:footer="564" w:top="1000" w:bottom="760" w:left="460" w:right="0"/>
          <w:pgNumType w:start="137"/>
        </w:sectPr>
      </w:pPr>
    </w:p>
    <w:p>
      <w:pPr>
        <w:pStyle w:val="BodyText"/>
        <w:spacing w:before="9"/>
        <w:rPr>
          <w:sz w:val="13"/>
        </w:rPr>
      </w:pPr>
    </w:p>
    <w:p>
      <w:pPr>
        <w:pStyle w:val="ListParagraph"/>
        <w:numPr>
          <w:ilvl w:val="2"/>
          <w:numId w:val="79"/>
        </w:numPr>
        <w:tabs>
          <w:tab w:pos="1354" w:val="left" w:leader="none"/>
          <w:tab w:pos="1355" w:val="left" w:leader="none"/>
        </w:tabs>
        <w:spacing w:line="273" w:lineRule="auto" w:before="101" w:after="0"/>
        <w:ind w:left="673" w:right="1924" w:firstLine="0"/>
        <w:jc w:val="left"/>
        <w:rPr>
          <w:sz w:val="18"/>
        </w:rPr>
      </w:pPr>
      <w:r>
        <w:rPr>
          <w:color w:val="231F20"/>
          <w:w w:val="110"/>
          <w:sz w:val="18"/>
        </w:rPr>
        <w:t>The </w:t>
      </w:r>
      <w:r>
        <w:rPr>
          <w:color w:val="231F20"/>
          <w:spacing w:val="2"/>
          <w:w w:val="110"/>
          <w:sz w:val="18"/>
        </w:rPr>
        <w:t>Elders </w:t>
      </w:r>
      <w:r>
        <w:rPr>
          <w:color w:val="231F20"/>
          <w:w w:val="110"/>
          <w:sz w:val="18"/>
        </w:rPr>
        <w:t>are called and committed to undertake, in </w:t>
      </w:r>
      <w:r>
        <w:rPr>
          <w:color w:val="231F20"/>
          <w:spacing w:val="2"/>
          <w:w w:val="110"/>
          <w:sz w:val="18"/>
        </w:rPr>
        <w:t>partnership </w:t>
      </w:r>
      <w:r>
        <w:rPr>
          <w:color w:val="231F20"/>
          <w:w w:val="110"/>
          <w:sz w:val="18"/>
        </w:rPr>
        <w:t>with Ministers of Word and Sacrament, responsibility for the life of the congregation in every </w:t>
      </w:r>
      <w:r>
        <w:rPr>
          <w:color w:val="231F20"/>
          <w:spacing w:val="2"/>
          <w:w w:val="110"/>
          <w:sz w:val="18"/>
        </w:rPr>
        <w:t>aspect </w:t>
      </w:r>
      <w:r>
        <w:rPr>
          <w:color w:val="231F20"/>
          <w:w w:val="110"/>
          <w:sz w:val="18"/>
        </w:rPr>
        <w:t>but</w:t>
      </w:r>
      <w:r>
        <w:rPr>
          <w:color w:val="231F20"/>
          <w:spacing w:val="7"/>
          <w:w w:val="110"/>
          <w:sz w:val="18"/>
        </w:rPr>
        <w:t> </w:t>
      </w:r>
      <w:r>
        <w:rPr>
          <w:color w:val="231F20"/>
          <w:w w:val="110"/>
          <w:sz w:val="18"/>
        </w:rPr>
        <w:t>particularly</w:t>
      </w:r>
      <w:r>
        <w:rPr>
          <w:color w:val="231F20"/>
          <w:spacing w:val="7"/>
          <w:w w:val="110"/>
          <w:sz w:val="18"/>
        </w:rPr>
        <w:t> </w:t>
      </w:r>
      <w:r>
        <w:rPr>
          <w:color w:val="231F20"/>
          <w:w w:val="110"/>
          <w:sz w:val="18"/>
        </w:rPr>
        <w:t>in</w:t>
      </w:r>
      <w:r>
        <w:rPr>
          <w:color w:val="231F20"/>
          <w:spacing w:val="7"/>
          <w:w w:val="110"/>
          <w:sz w:val="18"/>
        </w:rPr>
        <w:t> </w:t>
      </w:r>
      <w:r>
        <w:rPr>
          <w:color w:val="231F20"/>
          <w:w w:val="110"/>
          <w:sz w:val="18"/>
        </w:rPr>
        <w:t>relation</w:t>
      </w:r>
      <w:r>
        <w:rPr>
          <w:color w:val="231F20"/>
          <w:spacing w:val="8"/>
          <w:w w:val="110"/>
          <w:sz w:val="18"/>
        </w:rPr>
        <w:t> </w:t>
      </w:r>
      <w:r>
        <w:rPr>
          <w:color w:val="231F20"/>
          <w:w w:val="110"/>
          <w:sz w:val="18"/>
        </w:rPr>
        <w:t>to</w:t>
      </w:r>
      <w:r>
        <w:rPr>
          <w:color w:val="231F20"/>
          <w:spacing w:val="7"/>
          <w:w w:val="110"/>
          <w:sz w:val="18"/>
        </w:rPr>
        <w:t> </w:t>
      </w:r>
      <w:r>
        <w:rPr>
          <w:color w:val="231F20"/>
          <w:w w:val="110"/>
          <w:sz w:val="18"/>
        </w:rPr>
        <w:t>worship,</w:t>
      </w:r>
      <w:r>
        <w:rPr>
          <w:color w:val="231F20"/>
          <w:spacing w:val="7"/>
          <w:w w:val="110"/>
          <w:sz w:val="18"/>
        </w:rPr>
        <w:t> </w:t>
      </w:r>
      <w:r>
        <w:rPr>
          <w:color w:val="231F20"/>
          <w:w w:val="110"/>
          <w:sz w:val="18"/>
        </w:rPr>
        <w:t>fellowship,</w:t>
      </w:r>
      <w:r>
        <w:rPr>
          <w:color w:val="231F20"/>
          <w:spacing w:val="7"/>
          <w:w w:val="110"/>
          <w:sz w:val="18"/>
        </w:rPr>
        <w:t> </w:t>
      </w:r>
      <w:r>
        <w:rPr>
          <w:color w:val="231F20"/>
          <w:w w:val="110"/>
          <w:sz w:val="18"/>
        </w:rPr>
        <w:t>mission</w:t>
      </w:r>
      <w:r>
        <w:rPr>
          <w:color w:val="231F20"/>
          <w:spacing w:val="8"/>
          <w:w w:val="110"/>
          <w:sz w:val="18"/>
        </w:rPr>
        <w:t> </w:t>
      </w:r>
      <w:r>
        <w:rPr>
          <w:color w:val="231F20"/>
          <w:w w:val="110"/>
          <w:sz w:val="18"/>
        </w:rPr>
        <w:t>and</w:t>
      </w:r>
      <w:r>
        <w:rPr>
          <w:color w:val="231F20"/>
          <w:spacing w:val="7"/>
          <w:w w:val="110"/>
          <w:sz w:val="18"/>
        </w:rPr>
        <w:t> </w:t>
      </w:r>
      <w:r>
        <w:rPr>
          <w:color w:val="231F20"/>
          <w:spacing w:val="2"/>
          <w:w w:val="110"/>
          <w:sz w:val="18"/>
        </w:rPr>
        <w:t>service</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8"/>
          <w:w w:val="110"/>
          <w:sz w:val="18"/>
        </w:rPr>
        <w:t> </w:t>
      </w:r>
      <w:r>
        <w:rPr>
          <w:color w:val="231F20"/>
          <w:w w:val="110"/>
          <w:sz w:val="18"/>
        </w:rPr>
        <w:t>world.</w:t>
      </w:r>
    </w:p>
    <w:p>
      <w:pPr>
        <w:pStyle w:val="BodyText"/>
        <w:spacing w:line="273" w:lineRule="auto" w:before="1"/>
        <w:ind w:left="673" w:right="1818"/>
      </w:pPr>
      <w:r>
        <w:rPr>
          <w:color w:val="231F20"/>
          <w:w w:val="110"/>
        </w:rPr>
        <w:t>Just as the </w:t>
      </w:r>
      <w:r>
        <w:rPr>
          <w:color w:val="231F20"/>
          <w:spacing w:val="2"/>
          <w:w w:val="110"/>
        </w:rPr>
        <w:t>members </w:t>
      </w:r>
      <w:r>
        <w:rPr>
          <w:color w:val="231F20"/>
          <w:w w:val="110"/>
        </w:rPr>
        <w:t>of the body of Christ </w:t>
      </w:r>
      <w:r>
        <w:rPr>
          <w:color w:val="231F20"/>
          <w:spacing w:val="2"/>
          <w:w w:val="110"/>
        </w:rPr>
        <w:t>act </w:t>
      </w:r>
      <w:r>
        <w:rPr>
          <w:color w:val="231F20"/>
          <w:w w:val="110"/>
        </w:rPr>
        <w:t>corporately in their ministry and mission, so the </w:t>
      </w:r>
      <w:r>
        <w:rPr>
          <w:color w:val="231F20"/>
          <w:spacing w:val="2"/>
          <w:w w:val="110"/>
        </w:rPr>
        <w:t>Elders </w:t>
      </w:r>
      <w:r>
        <w:rPr>
          <w:color w:val="231F20"/>
          <w:w w:val="110"/>
        </w:rPr>
        <w:t>work collegially with Ministers of Word and Sacrament in </w:t>
      </w:r>
      <w:r>
        <w:rPr>
          <w:color w:val="231F20"/>
          <w:spacing w:val="2"/>
          <w:w w:val="110"/>
        </w:rPr>
        <w:t>carrying </w:t>
      </w:r>
      <w:r>
        <w:rPr>
          <w:color w:val="231F20"/>
          <w:w w:val="110"/>
        </w:rPr>
        <w:t>out   their ministry. The </w:t>
      </w:r>
      <w:r>
        <w:rPr>
          <w:color w:val="231F20"/>
          <w:spacing w:val="2"/>
          <w:w w:val="110"/>
        </w:rPr>
        <w:t>Elders </w:t>
      </w:r>
      <w:r>
        <w:rPr>
          <w:color w:val="231F20"/>
          <w:w w:val="110"/>
        </w:rPr>
        <w:t>form a collective body whose work within the Church enables the</w:t>
      </w:r>
      <w:r>
        <w:rPr>
          <w:color w:val="231F20"/>
          <w:spacing w:val="8"/>
          <w:w w:val="110"/>
        </w:rPr>
        <w:t> </w:t>
      </w:r>
      <w:r>
        <w:rPr>
          <w:color w:val="231F20"/>
          <w:w w:val="110"/>
        </w:rPr>
        <w:t>Body</w:t>
      </w:r>
      <w:r>
        <w:rPr>
          <w:color w:val="231F20"/>
          <w:spacing w:val="8"/>
          <w:w w:val="110"/>
        </w:rPr>
        <w:t> </w:t>
      </w:r>
      <w:r>
        <w:rPr>
          <w:color w:val="231F20"/>
          <w:w w:val="110"/>
        </w:rPr>
        <w:t>of</w:t>
      </w:r>
      <w:r>
        <w:rPr>
          <w:color w:val="231F20"/>
          <w:spacing w:val="8"/>
          <w:w w:val="110"/>
        </w:rPr>
        <w:t> </w:t>
      </w:r>
      <w:r>
        <w:rPr>
          <w:color w:val="231F20"/>
          <w:w w:val="110"/>
        </w:rPr>
        <w:t>Christ</w:t>
      </w:r>
      <w:r>
        <w:rPr>
          <w:color w:val="231F20"/>
          <w:spacing w:val="8"/>
          <w:w w:val="110"/>
        </w:rPr>
        <w:t> </w:t>
      </w:r>
      <w:r>
        <w:rPr>
          <w:color w:val="231F20"/>
          <w:w w:val="110"/>
        </w:rPr>
        <w:t>to</w:t>
      </w:r>
      <w:r>
        <w:rPr>
          <w:color w:val="231F20"/>
          <w:spacing w:val="9"/>
          <w:w w:val="110"/>
        </w:rPr>
        <w:t> </w:t>
      </w:r>
      <w:r>
        <w:rPr>
          <w:color w:val="231F20"/>
          <w:w w:val="110"/>
        </w:rPr>
        <w:t>develop</w:t>
      </w:r>
      <w:r>
        <w:rPr>
          <w:color w:val="231F20"/>
          <w:spacing w:val="8"/>
          <w:w w:val="110"/>
        </w:rPr>
        <w:t> </w:t>
      </w:r>
      <w:r>
        <w:rPr>
          <w:color w:val="231F20"/>
          <w:w w:val="110"/>
        </w:rPr>
        <w:t>and</w:t>
      </w:r>
      <w:r>
        <w:rPr>
          <w:color w:val="231F20"/>
          <w:spacing w:val="8"/>
          <w:w w:val="110"/>
        </w:rPr>
        <w:t> </w:t>
      </w:r>
      <w:r>
        <w:rPr>
          <w:color w:val="231F20"/>
          <w:spacing w:val="2"/>
          <w:w w:val="110"/>
        </w:rPr>
        <w:t>extend</w:t>
      </w:r>
      <w:r>
        <w:rPr>
          <w:color w:val="231F20"/>
          <w:spacing w:val="8"/>
          <w:w w:val="110"/>
        </w:rPr>
        <w:t> </w:t>
      </w:r>
      <w:r>
        <w:rPr>
          <w:color w:val="231F20"/>
          <w:w w:val="110"/>
        </w:rPr>
        <w:t>its</w:t>
      </w:r>
      <w:r>
        <w:rPr>
          <w:color w:val="231F20"/>
          <w:spacing w:val="9"/>
          <w:w w:val="110"/>
        </w:rPr>
        <w:t> </w:t>
      </w:r>
      <w:r>
        <w:rPr>
          <w:color w:val="231F20"/>
          <w:w w:val="110"/>
        </w:rPr>
        <w:t>influence</w:t>
      </w:r>
      <w:r>
        <w:rPr>
          <w:color w:val="231F20"/>
          <w:spacing w:val="8"/>
          <w:w w:val="110"/>
        </w:rPr>
        <w:t> </w:t>
      </w:r>
      <w:r>
        <w:rPr>
          <w:color w:val="231F20"/>
          <w:w w:val="110"/>
        </w:rPr>
        <w:t>in</w:t>
      </w:r>
      <w:r>
        <w:rPr>
          <w:color w:val="231F20"/>
          <w:spacing w:val="8"/>
          <w:w w:val="110"/>
        </w:rPr>
        <w:t> </w:t>
      </w:r>
      <w:r>
        <w:rPr>
          <w:color w:val="231F20"/>
          <w:w w:val="110"/>
        </w:rPr>
        <w:t>society.</w:t>
      </w:r>
      <w:r>
        <w:rPr>
          <w:color w:val="231F20"/>
          <w:spacing w:val="8"/>
          <w:w w:val="110"/>
        </w:rPr>
        <w:t> </w:t>
      </w:r>
      <w:r>
        <w:rPr>
          <w:color w:val="231F20"/>
          <w:spacing w:val="2"/>
          <w:w w:val="110"/>
        </w:rPr>
        <w:t>As</w:t>
      </w:r>
      <w:r>
        <w:rPr>
          <w:color w:val="231F20"/>
          <w:spacing w:val="8"/>
          <w:w w:val="110"/>
        </w:rPr>
        <w:t> </w:t>
      </w:r>
      <w:r>
        <w:rPr>
          <w:color w:val="231F20"/>
          <w:w w:val="110"/>
        </w:rPr>
        <w:t>a</w:t>
      </w:r>
      <w:r>
        <w:rPr>
          <w:color w:val="231F20"/>
          <w:spacing w:val="9"/>
          <w:w w:val="110"/>
        </w:rPr>
        <w:t> </w:t>
      </w:r>
      <w:r>
        <w:rPr>
          <w:color w:val="231F20"/>
          <w:w w:val="110"/>
        </w:rPr>
        <w:t>team,</w:t>
      </w:r>
      <w:r>
        <w:rPr>
          <w:color w:val="231F20"/>
          <w:spacing w:val="8"/>
          <w:w w:val="110"/>
        </w:rPr>
        <w:t> </w:t>
      </w:r>
      <w:r>
        <w:rPr>
          <w:color w:val="231F20"/>
          <w:w w:val="110"/>
        </w:rPr>
        <w:t>the</w:t>
      </w:r>
      <w:r>
        <w:rPr>
          <w:color w:val="231F20"/>
          <w:spacing w:val="8"/>
          <w:w w:val="110"/>
        </w:rPr>
        <w:t> </w:t>
      </w:r>
      <w:r>
        <w:rPr>
          <w:color w:val="231F20"/>
          <w:w w:val="110"/>
        </w:rPr>
        <w:t>Elders’</w:t>
      </w:r>
    </w:p>
    <w:p>
      <w:pPr>
        <w:pStyle w:val="BodyText"/>
        <w:spacing w:line="273" w:lineRule="auto" w:before="3"/>
        <w:ind w:left="673" w:right="1829"/>
      </w:pPr>
      <w:r>
        <w:rPr>
          <w:color w:val="231F20"/>
          <w:w w:val="110"/>
        </w:rPr>
        <w:t>Meeting </w:t>
      </w:r>
      <w:r>
        <w:rPr>
          <w:color w:val="231F20"/>
          <w:spacing w:val="2"/>
          <w:w w:val="110"/>
        </w:rPr>
        <w:t>possesses </w:t>
      </w:r>
      <w:r>
        <w:rPr>
          <w:color w:val="231F20"/>
          <w:w w:val="110"/>
        </w:rPr>
        <w:t>diversity of </w:t>
      </w:r>
      <w:r>
        <w:rPr>
          <w:color w:val="231F20"/>
          <w:spacing w:val="2"/>
          <w:w w:val="110"/>
        </w:rPr>
        <w:t>gifts </w:t>
      </w:r>
      <w:r>
        <w:rPr>
          <w:color w:val="231F20"/>
          <w:w w:val="110"/>
        </w:rPr>
        <w:t>and exercises a collaborative ministry. It has particular responsibility for enabling the nurture and discipleship of the church </w:t>
      </w:r>
      <w:r>
        <w:rPr>
          <w:color w:val="231F20"/>
          <w:spacing w:val="2"/>
          <w:w w:val="110"/>
        </w:rPr>
        <w:t>members</w:t>
      </w:r>
      <w:r>
        <w:rPr>
          <w:color w:val="231F20"/>
          <w:spacing w:val="73"/>
          <w:w w:val="110"/>
        </w:rPr>
        <w:t> </w:t>
      </w:r>
      <w:r>
        <w:rPr>
          <w:color w:val="231F20"/>
          <w:w w:val="110"/>
        </w:rPr>
        <w:t>so that they in turn can be </w:t>
      </w:r>
      <w:r>
        <w:rPr>
          <w:color w:val="231F20"/>
          <w:spacing w:val="2"/>
          <w:w w:val="110"/>
        </w:rPr>
        <w:t>effective </w:t>
      </w:r>
      <w:r>
        <w:rPr>
          <w:color w:val="231F20"/>
          <w:w w:val="110"/>
        </w:rPr>
        <w:t>witnesses for Christ in their daily lives. </w:t>
      </w:r>
      <w:r>
        <w:rPr>
          <w:color w:val="231F20"/>
          <w:spacing w:val="2"/>
          <w:w w:val="110"/>
        </w:rPr>
        <w:t>As </w:t>
      </w:r>
      <w:r>
        <w:rPr>
          <w:color w:val="231F20"/>
          <w:w w:val="110"/>
        </w:rPr>
        <w:t>in all Christian ministry, the model of Eldership flows </w:t>
      </w:r>
      <w:r>
        <w:rPr>
          <w:color w:val="231F20"/>
          <w:spacing w:val="2"/>
          <w:w w:val="110"/>
        </w:rPr>
        <w:t>from </w:t>
      </w:r>
      <w:r>
        <w:rPr>
          <w:color w:val="231F20"/>
          <w:w w:val="110"/>
        </w:rPr>
        <w:t>the </w:t>
      </w:r>
      <w:r>
        <w:rPr>
          <w:color w:val="231F20"/>
          <w:spacing w:val="2"/>
          <w:w w:val="110"/>
        </w:rPr>
        <w:t>pattern </w:t>
      </w:r>
      <w:r>
        <w:rPr>
          <w:color w:val="231F20"/>
          <w:w w:val="110"/>
        </w:rPr>
        <w:t>of ministry we have  seen in Jesus, rooted as it was in </w:t>
      </w:r>
      <w:r>
        <w:rPr>
          <w:color w:val="231F20"/>
          <w:spacing w:val="2"/>
          <w:w w:val="110"/>
        </w:rPr>
        <w:t>servanthood </w:t>
      </w:r>
      <w:r>
        <w:rPr>
          <w:color w:val="231F20"/>
          <w:w w:val="110"/>
        </w:rPr>
        <w:t>(Mark </w:t>
      </w:r>
      <w:r>
        <w:rPr>
          <w:color w:val="231F20"/>
          <w:spacing w:val="-5"/>
          <w:w w:val="110"/>
        </w:rPr>
        <w:t>10,</w:t>
      </w:r>
      <w:r>
        <w:rPr>
          <w:color w:val="231F20"/>
          <w:spacing w:val="22"/>
          <w:w w:val="110"/>
        </w:rPr>
        <w:t> </w:t>
      </w:r>
      <w:r>
        <w:rPr>
          <w:color w:val="231F20"/>
          <w:spacing w:val="-4"/>
          <w:w w:val="110"/>
        </w:rPr>
        <w:t>45).</w:t>
      </w:r>
    </w:p>
    <w:p>
      <w:pPr>
        <w:pStyle w:val="BodyText"/>
        <w:spacing w:before="10"/>
        <w:rPr>
          <w:sz w:val="20"/>
        </w:rPr>
      </w:pPr>
    </w:p>
    <w:p>
      <w:pPr>
        <w:pStyle w:val="BodyText"/>
        <w:tabs>
          <w:tab w:pos="1354" w:val="left" w:leader="none"/>
        </w:tabs>
        <w:spacing w:line="273" w:lineRule="auto"/>
        <w:ind w:left="673" w:right="1829"/>
      </w:pPr>
      <w:r>
        <w:rPr>
          <w:color w:val="231F20"/>
          <w:spacing w:val="-4"/>
          <w:w w:val="110"/>
        </w:rPr>
        <w:t>6.1</w:t>
        <w:tab/>
      </w:r>
      <w:r>
        <w:rPr>
          <w:color w:val="231F20"/>
          <w:spacing w:val="2"/>
          <w:w w:val="110"/>
        </w:rPr>
        <w:t>Elders </w:t>
      </w:r>
      <w:r>
        <w:rPr>
          <w:color w:val="231F20"/>
          <w:w w:val="110"/>
        </w:rPr>
        <w:t>are called </w:t>
      </w:r>
      <w:r>
        <w:rPr>
          <w:color w:val="231F20"/>
          <w:spacing w:val="2"/>
          <w:w w:val="110"/>
        </w:rPr>
        <w:t>from </w:t>
      </w:r>
      <w:r>
        <w:rPr>
          <w:color w:val="231F20"/>
          <w:w w:val="110"/>
        </w:rPr>
        <w:t>within the membership, ordained for life and commonly inducted to </w:t>
      </w:r>
      <w:r>
        <w:rPr>
          <w:color w:val="231F20"/>
          <w:spacing w:val="2"/>
          <w:w w:val="110"/>
        </w:rPr>
        <w:t>serve </w:t>
      </w:r>
      <w:r>
        <w:rPr>
          <w:color w:val="231F20"/>
          <w:w w:val="110"/>
        </w:rPr>
        <w:t>for fixed terms. All these elements are important. </w:t>
      </w:r>
      <w:r>
        <w:rPr>
          <w:color w:val="231F20"/>
          <w:spacing w:val="2"/>
          <w:w w:val="110"/>
        </w:rPr>
        <w:t>Different </w:t>
      </w:r>
      <w:r>
        <w:rPr>
          <w:color w:val="231F20"/>
          <w:w w:val="110"/>
        </w:rPr>
        <w:t>times and </w:t>
      </w:r>
      <w:r>
        <w:rPr>
          <w:color w:val="231F20"/>
          <w:spacing w:val="2"/>
          <w:w w:val="110"/>
        </w:rPr>
        <w:t>contexts </w:t>
      </w:r>
      <w:r>
        <w:rPr>
          <w:color w:val="231F20"/>
          <w:w w:val="110"/>
        </w:rPr>
        <w:t>have shaped different models of Eldership, informed by Scripture, tradition and experience. </w:t>
      </w:r>
      <w:r>
        <w:rPr>
          <w:color w:val="231F20"/>
          <w:spacing w:val="-3"/>
          <w:w w:val="110"/>
        </w:rPr>
        <w:t>We </w:t>
      </w:r>
      <w:r>
        <w:rPr>
          <w:color w:val="231F20"/>
          <w:w w:val="110"/>
        </w:rPr>
        <w:t>have found important models of ministry </w:t>
      </w:r>
      <w:r>
        <w:rPr>
          <w:color w:val="231F20"/>
          <w:spacing w:val="2"/>
          <w:w w:val="110"/>
        </w:rPr>
        <w:t>from </w:t>
      </w:r>
      <w:r>
        <w:rPr>
          <w:color w:val="231F20"/>
          <w:w w:val="110"/>
        </w:rPr>
        <w:t>the Bible. However we must take note of the growing ecumenical consensus, as indicated in the World Alliance  of Reformed Churches </w:t>
      </w:r>
      <w:r>
        <w:rPr>
          <w:color w:val="231F20"/>
          <w:spacing w:val="3"/>
          <w:w w:val="110"/>
        </w:rPr>
        <w:t>report </w:t>
      </w:r>
      <w:r>
        <w:rPr>
          <w:color w:val="231F20"/>
          <w:w w:val="110"/>
        </w:rPr>
        <w:t>on the 1990 Consultation on Eldership</w:t>
      </w:r>
      <w:r>
        <w:rPr>
          <w:color w:val="231F20"/>
          <w:spacing w:val="38"/>
          <w:w w:val="110"/>
        </w:rPr>
        <w:t> </w:t>
      </w:r>
      <w:r>
        <w:rPr>
          <w:color w:val="231F20"/>
          <w:spacing w:val="-4"/>
          <w:w w:val="110"/>
        </w:rPr>
        <w:t>(ii):</w:t>
      </w:r>
    </w:p>
    <w:p>
      <w:pPr>
        <w:pStyle w:val="BodyText"/>
        <w:spacing w:line="273" w:lineRule="auto" w:before="4"/>
        <w:ind w:left="1424" w:right="2219" w:hanging="71"/>
      </w:pPr>
      <w:r>
        <w:rPr>
          <w:color w:val="231F20"/>
          <w:w w:val="110"/>
        </w:rPr>
        <w:t>“We believe that Scripture does not point to one single church order, and that the </w:t>
      </w:r>
      <w:r>
        <w:rPr>
          <w:color w:val="231F20"/>
          <w:spacing w:val="4"/>
          <w:w w:val="110"/>
        </w:rPr>
        <w:t>effort </w:t>
      </w:r>
      <w:r>
        <w:rPr>
          <w:color w:val="231F20"/>
          <w:w w:val="110"/>
        </w:rPr>
        <w:t>to impose such an order on Scripture should be</w:t>
      </w:r>
      <w:r>
        <w:rPr>
          <w:color w:val="231F20"/>
          <w:spacing w:val="64"/>
          <w:w w:val="110"/>
        </w:rPr>
        <w:t> </w:t>
      </w:r>
      <w:r>
        <w:rPr>
          <w:color w:val="231F20"/>
          <w:w w:val="110"/>
        </w:rPr>
        <w:t>abandoned.</w:t>
      </w:r>
    </w:p>
    <w:p>
      <w:pPr>
        <w:pStyle w:val="BodyText"/>
        <w:spacing w:before="8"/>
        <w:rPr>
          <w:sz w:val="20"/>
        </w:rPr>
      </w:pPr>
    </w:p>
    <w:p>
      <w:pPr>
        <w:pStyle w:val="BodyText"/>
        <w:tabs>
          <w:tab w:pos="6368" w:val="left" w:leader="dot"/>
        </w:tabs>
        <w:spacing w:line="273" w:lineRule="auto"/>
        <w:ind w:left="1354" w:right="1957"/>
      </w:pPr>
      <w:r>
        <w:rPr>
          <w:color w:val="231F20"/>
          <w:w w:val="110"/>
        </w:rPr>
        <w:t>This does not mean that Scripture </w:t>
      </w:r>
      <w:r>
        <w:rPr>
          <w:color w:val="231F20"/>
          <w:spacing w:val="3"/>
          <w:w w:val="110"/>
        </w:rPr>
        <w:t>offers </w:t>
      </w:r>
      <w:r>
        <w:rPr>
          <w:color w:val="231F20"/>
          <w:w w:val="110"/>
        </w:rPr>
        <w:t>no guidance for us as to the faithful ordering of the church and its </w:t>
      </w:r>
      <w:r>
        <w:rPr>
          <w:color w:val="231F20"/>
          <w:spacing w:val="2"/>
          <w:w w:val="110"/>
        </w:rPr>
        <w:t>offices </w:t>
      </w:r>
      <w:r>
        <w:rPr>
          <w:color w:val="231F20"/>
          <w:w w:val="110"/>
        </w:rPr>
        <w:t>of leadership. On the subject of elders, for example, there is solid evidence for the continued existence of collegial bodies   of </w:t>
      </w:r>
      <w:r>
        <w:rPr>
          <w:color w:val="231F20"/>
          <w:spacing w:val="2"/>
          <w:w w:val="110"/>
        </w:rPr>
        <w:t>elders </w:t>
      </w:r>
      <w:r>
        <w:rPr>
          <w:color w:val="231F20"/>
          <w:w w:val="110"/>
        </w:rPr>
        <w:t>both in the Old and</w:t>
      </w:r>
      <w:r>
        <w:rPr>
          <w:color w:val="231F20"/>
          <w:spacing w:val="46"/>
          <w:w w:val="110"/>
        </w:rPr>
        <w:t> </w:t>
      </w:r>
      <w:r>
        <w:rPr>
          <w:color w:val="231F20"/>
          <w:w w:val="110"/>
        </w:rPr>
        <w:t>New</w:t>
      </w:r>
      <w:r>
        <w:rPr>
          <w:color w:val="231F20"/>
          <w:spacing w:val="7"/>
          <w:w w:val="110"/>
        </w:rPr>
        <w:t> </w:t>
      </w:r>
      <w:r>
        <w:rPr>
          <w:color w:val="231F20"/>
          <w:w w:val="110"/>
        </w:rPr>
        <w:t>Testaments.</w:t>
        <w:tab/>
      </w:r>
      <w:r>
        <w:rPr>
          <w:color w:val="231F20"/>
          <w:spacing w:val="-3"/>
          <w:w w:val="110"/>
        </w:rPr>
        <w:t>However, </w:t>
      </w:r>
      <w:r>
        <w:rPr>
          <w:color w:val="231F20"/>
          <w:w w:val="110"/>
        </w:rPr>
        <w:t>as soon as we</w:t>
      </w:r>
      <w:r>
        <w:rPr>
          <w:color w:val="231F20"/>
          <w:spacing w:val="37"/>
          <w:w w:val="110"/>
        </w:rPr>
        <w:t> </w:t>
      </w:r>
      <w:r>
        <w:rPr>
          <w:color w:val="231F20"/>
          <w:w w:val="110"/>
        </w:rPr>
        <w:t>begin</w:t>
      </w:r>
    </w:p>
    <w:p>
      <w:pPr>
        <w:pStyle w:val="BodyText"/>
        <w:spacing w:line="273" w:lineRule="auto" w:before="2"/>
        <w:ind w:left="1354" w:right="2061"/>
      </w:pPr>
      <w:r>
        <w:rPr>
          <w:color w:val="231F20"/>
          <w:w w:val="110"/>
        </w:rPr>
        <w:t>to enquire about the specific responsibilities of elders and their relation to other offices of the Church, we have to recognise that much of the biblical evidence used in the past can no longer be definitively maintained....</w:t>
      </w:r>
    </w:p>
    <w:p>
      <w:pPr>
        <w:pStyle w:val="BodyText"/>
        <w:spacing w:before="9"/>
        <w:rPr>
          <w:sz w:val="20"/>
        </w:rPr>
      </w:pPr>
    </w:p>
    <w:p>
      <w:pPr>
        <w:pStyle w:val="BodyText"/>
        <w:spacing w:line="273" w:lineRule="auto"/>
        <w:ind w:left="1354" w:right="2033"/>
      </w:pPr>
      <w:r>
        <w:rPr>
          <w:color w:val="231F20"/>
          <w:spacing w:val="-3"/>
          <w:w w:val="110"/>
        </w:rPr>
        <w:t>We </w:t>
      </w:r>
      <w:r>
        <w:rPr>
          <w:color w:val="231F20"/>
          <w:w w:val="110"/>
        </w:rPr>
        <w:t>must </w:t>
      </w:r>
      <w:r>
        <w:rPr>
          <w:color w:val="231F20"/>
          <w:spacing w:val="2"/>
          <w:w w:val="110"/>
        </w:rPr>
        <w:t>therefore </w:t>
      </w:r>
      <w:r>
        <w:rPr>
          <w:color w:val="231F20"/>
          <w:w w:val="110"/>
        </w:rPr>
        <w:t>find another approach if we are to be guided by the whole witness of God’s Word in Scripture in the ordering of the Church and its leadership. A more faithful and productive </w:t>
      </w:r>
      <w:r>
        <w:rPr>
          <w:color w:val="231F20"/>
          <w:spacing w:val="2"/>
          <w:w w:val="110"/>
        </w:rPr>
        <w:t>starting </w:t>
      </w:r>
      <w:r>
        <w:rPr>
          <w:color w:val="231F20"/>
          <w:w w:val="110"/>
        </w:rPr>
        <w:t>point will be God’s great message of salvation for the world, and the divine calling of the Church for mission. Within that context, we may then enquire: </w:t>
      </w:r>
      <w:r>
        <w:rPr>
          <w:color w:val="231F20"/>
          <w:spacing w:val="-3"/>
          <w:w w:val="110"/>
        </w:rPr>
        <w:t>[what </w:t>
      </w:r>
      <w:r>
        <w:rPr>
          <w:color w:val="231F20"/>
          <w:spacing w:val="2"/>
          <w:w w:val="110"/>
        </w:rPr>
        <w:t>tasks </w:t>
      </w:r>
      <w:r>
        <w:rPr>
          <w:color w:val="231F20"/>
          <w:w w:val="110"/>
        </w:rPr>
        <w:t>of ministry   and leadership are </w:t>
      </w:r>
      <w:r>
        <w:rPr>
          <w:color w:val="231F20"/>
          <w:spacing w:val="2"/>
          <w:w w:val="110"/>
        </w:rPr>
        <w:t>necessary </w:t>
      </w:r>
      <w:r>
        <w:rPr>
          <w:color w:val="231F20"/>
          <w:w w:val="110"/>
        </w:rPr>
        <w:t>if the Church is to fulfil that calling?] How is that leadership to be chosen and to work together – with the whole Church – to the </w:t>
      </w:r>
      <w:r>
        <w:rPr>
          <w:color w:val="231F20"/>
          <w:spacing w:val="2"/>
          <w:w w:val="110"/>
        </w:rPr>
        <w:t>glory</w:t>
      </w:r>
      <w:r>
        <w:rPr>
          <w:color w:val="231F20"/>
          <w:spacing w:val="8"/>
          <w:w w:val="110"/>
        </w:rPr>
        <w:t> </w:t>
      </w:r>
      <w:r>
        <w:rPr>
          <w:color w:val="231F20"/>
          <w:w w:val="110"/>
        </w:rPr>
        <w:t>of</w:t>
      </w:r>
      <w:r>
        <w:rPr>
          <w:color w:val="231F20"/>
          <w:spacing w:val="8"/>
          <w:w w:val="110"/>
        </w:rPr>
        <w:t> </w:t>
      </w:r>
      <w:r>
        <w:rPr>
          <w:color w:val="231F20"/>
          <w:w w:val="110"/>
        </w:rPr>
        <w:t>God,</w:t>
      </w:r>
      <w:r>
        <w:rPr>
          <w:color w:val="231F20"/>
          <w:spacing w:val="8"/>
          <w:w w:val="110"/>
        </w:rPr>
        <w:t> </w:t>
      </w:r>
      <w:r>
        <w:rPr>
          <w:color w:val="231F20"/>
          <w:w w:val="110"/>
        </w:rPr>
        <w:t>for</w:t>
      </w:r>
      <w:r>
        <w:rPr>
          <w:color w:val="231F20"/>
          <w:spacing w:val="8"/>
          <w:w w:val="110"/>
        </w:rPr>
        <w:t> </w:t>
      </w:r>
      <w:r>
        <w:rPr>
          <w:color w:val="231F20"/>
          <w:w w:val="110"/>
        </w:rPr>
        <w:t>the</w:t>
      </w:r>
      <w:r>
        <w:rPr>
          <w:color w:val="231F20"/>
          <w:spacing w:val="8"/>
          <w:w w:val="110"/>
        </w:rPr>
        <w:t> </w:t>
      </w:r>
      <w:r>
        <w:rPr>
          <w:color w:val="231F20"/>
          <w:w w:val="110"/>
        </w:rPr>
        <w:t>building</w:t>
      </w:r>
      <w:r>
        <w:rPr>
          <w:color w:val="231F20"/>
          <w:spacing w:val="8"/>
          <w:w w:val="110"/>
        </w:rPr>
        <w:t> </w:t>
      </w:r>
      <w:r>
        <w:rPr>
          <w:color w:val="231F20"/>
          <w:w w:val="110"/>
        </w:rPr>
        <w:t>up</w:t>
      </w:r>
      <w:r>
        <w:rPr>
          <w:color w:val="231F20"/>
          <w:spacing w:val="8"/>
          <w:w w:val="110"/>
        </w:rPr>
        <w:t> </w:t>
      </w:r>
      <w:r>
        <w:rPr>
          <w:color w:val="231F20"/>
          <w:w w:val="110"/>
        </w:rPr>
        <w:t>of</w:t>
      </w:r>
      <w:r>
        <w:rPr>
          <w:color w:val="231F20"/>
          <w:spacing w:val="9"/>
          <w:w w:val="110"/>
        </w:rPr>
        <w:t> </w:t>
      </w:r>
      <w:r>
        <w:rPr>
          <w:color w:val="231F20"/>
          <w:w w:val="110"/>
        </w:rPr>
        <w:t>the</w:t>
      </w:r>
      <w:r>
        <w:rPr>
          <w:color w:val="231F20"/>
          <w:spacing w:val="8"/>
          <w:w w:val="110"/>
        </w:rPr>
        <w:t> </w:t>
      </w:r>
      <w:r>
        <w:rPr>
          <w:color w:val="231F20"/>
          <w:w w:val="110"/>
        </w:rPr>
        <w:t>Church</w:t>
      </w:r>
      <w:r>
        <w:rPr>
          <w:color w:val="231F20"/>
          <w:spacing w:val="8"/>
          <w:w w:val="110"/>
        </w:rPr>
        <w:t> </w:t>
      </w:r>
      <w:r>
        <w:rPr>
          <w:color w:val="231F20"/>
          <w:w w:val="110"/>
        </w:rPr>
        <w:t>and</w:t>
      </w:r>
      <w:r>
        <w:rPr>
          <w:color w:val="231F20"/>
          <w:spacing w:val="8"/>
          <w:w w:val="110"/>
        </w:rPr>
        <w:t> </w:t>
      </w:r>
      <w:r>
        <w:rPr>
          <w:color w:val="231F20"/>
          <w:w w:val="110"/>
        </w:rPr>
        <w:t>the</w:t>
      </w:r>
      <w:r>
        <w:rPr>
          <w:color w:val="231F20"/>
          <w:spacing w:val="8"/>
          <w:w w:val="110"/>
        </w:rPr>
        <w:t> </w:t>
      </w:r>
      <w:r>
        <w:rPr>
          <w:color w:val="231F20"/>
          <w:w w:val="110"/>
        </w:rPr>
        <w:t>salvation</w:t>
      </w:r>
      <w:r>
        <w:rPr>
          <w:color w:val="231F20"/>
          <w:spacing w:val="8"/>
          <w:w w:val="110"/>
        </w:rPr>
        <w:t> </w:t>
      </w:r>
      <w:r>
        <w:rPr>
          <w:color w:val="231F20"/>
          <w:w w:val="110"/>
        </w:rPr>
        <w:t>of</w:t>
      </w:r>
      <w:r>
        <w:rPr>
          <w:color w:val="231F20"/>
          <w:spacing w:val="8"/>
          <w:w w:val="110"/>
        </w:rPr>
        <w:t> </w:t>
      </w:r>
      <w:r>
        <w:rPr>
          <w:color w:val="231F20"/>
          <w:w w:val="110"/>
        </w:rPr>
        <w:t>the</w:t>
      </w:r>
      <w:r>
        <w:rPr>
          <w:color w:val="231F20"/>
          <w:spacing w:val="8"/>
          <w:w w:val="110"/>
        </w:rPr>
        <w:t> </w:t>
      </w:r>
      <w:r>
        <w:rPr>
          <w:color w:val="231F20"/>
          <w:w w:val="110"/>
        </w:rPr>
        <w:t>world?”</w:t>
      </w:r>
    </w:p>
    <w:p>
      <w:pPr>
        <w:pStyle w:val="BodyText"/>
        <w:rPr>
          <w:sz w:val="21"/>
        </w:rPr>
      </w:pPr>
    </w:p>
    <w:p>
      <w:pPr>
        <w:pStyle w:val="ListParagraph"/>
        <w:numPr>
          <w:ilvl w:val="0"/>
          <w:numId w:val="80"/>
        </w:numPr>
        <w:tabs>
          <w:tab w:pos="1354" w:val="left" w:leader="none"/>
          <w:tab w:pos="1355" w:val="left" w:leader="none"/>
        </w:tabs>
        <w:spacing w:line="273" w:lineRule="auto" w:before="0" w:after="0"/>
        <w:ind w:left="673" w:right="2017" w:firstLine="0"/>
        <w:jc w:val="left"/>
        <w:rPr>
          <w:sz w:val="18"/>
        </w:rPr>
      </w:pPr>
      <w:r>
        <w:rPr>
          <w:color w:val="231F20"/>
          <w:w w:val="110"/>
          <w:sz w:val="18"/>
        </w:rPr>
        <w:t>Sometimes secular models have benefited our understanding. </w:t>
      </w:r>
      <w:r>
        <w:rPr>
          <w:color w:val="231F20"/>
          <w:spacing w:val="-3"/>
          <w:w w:val="110"/>
          <w:sz w:val="18"/>
        </w:rPr>
        <w:t>However, </w:t>
      </w:r>
      <w:r>
        <w:rPr>
          <w:color w:val="231F20"/>
          <w:w w:val="110"/>
          <w:sz w:val="18"/>
        </w:rPr>
        <w:t>we are concerned lest we simply baptize the spirit of the age. In every way we must seek a model of Eldership which is appropriate to particular Churches in their context, and  not assume that one size fits all. </w:t>
      </w:r>
      <w:r>
        <w:rPr>
          <w:color w:val="231F20"/>
          <w:spacing w:val="2"/>
          <w:w w:val="110"/>
          <w:sz w:val="18"/>
        </w:rPr>
        <w:t>There </w:t>
      </w:r>
      <w:r>
        <w:rPr>
          <w:color w:val="231F20"/>
          <w:w w:val="110"/>
          <w:sz w:val="18"/>
        </w:rPr>
        <w:t>are </w:t>
      </w:r>
      <w:r>
        <w:rPr>
          <w:color w:val="231F20"/>
          <w:spacing w:val="-3"/>
          <w:w w:val="110"/>
          <w:sz w:val="18"/>
        </w:rPr>
        <w:t>however, </w:t>
      </w:r>
      <w:r>
        <w:rPr>
          <w:color w:val="231F20"/>
          <w:w w:val="110"/>
          <w:sz w:val="18"/>
        </w:rPr>
        <w:t>some general principles which  are applicable </w:t>
      </w:r>
      <w:r>
        <w:rPr>
          <w:color w:val="231F20"/>
          <w:spacing w:val="2"/>
          <w:w w:val="110"/>
          <w:sz w:val="18"/>
        </w:rPr>
        <w:t>across </w:t>
      </w:r>
      <w:r>
        <w:rPr>
          <w:color w:val="231F20"/>
          <w:w w:val="110"/>
          <w:sz w:val="18"/>
        </w:rPr>
        <w:t>the board. The Basis of Union is a helpful </w:t>
      </w:r>
      <w:r>
        <w:rPr>
          <w:color w:val="231F20"/>
          <w:spacing w:val="2"/>
          <w:w w:val="110"/>
          <w:sz w:val="18"/>
        </w:rPr>
        <w:t>access </w:t>
      </w:r>
      <w:r>
        <w:rPr>
          <w:color w:val="231F20"/>
          <w:w w:val="110"/>
          <w:sz w:val="18"/>
        </w:rPr>
        <w:t>point</w:t>
      </w:r>
      <w:r>
        <w:rPr>
          <w:color w:val="231F20"/>
          <w:spacing w:val="9"/>
          <w:w w:val="110"/>
          <w:sz w:val="18"/>
        </w:rPr>
        <w:t> </w:t>
      </w:r>
      <w:r>
        <w:rPr>
          <w:color w:val="231F20"/>
          <w:w w:val="110"/>
          <w:sz w:val="18"/>
        </w:rPr>
        <w:t>for</w:t>
      </w:r>
    </w:p>
    <w:p>
      <w:pPr>
        <w:pStyle w:val="BodyText"/>
        <w:spacing w:before="3"/>
        <w:ind w:left="673"/>
      </w:pPr>
      <w:r>
        <w:rPr>
          <w:color w:val="231F20"/>
          <w:w w:val="110"/>
        </w:rPr>
        <w:t>those principles.</w:t>
      </w:r>
    </w:p>
    <w:p>
      <w:pPr>
        <w:pStyle w:val="BodyText"/>
        <w:spacing w:before="1"/>
        <w:rPr>
          <w:sz w:val="23"/>
        </w:rPr>
      </w:pPr>
    </w:p>
    <w:p>
      <w:pPr>
        <w:pStyle w:val="ListParagraph"/>
        <w:numPr>
          <w:ilvl w:val="1"/>
          <w:numId w:val="81"/>
        </w:numPr>
        <w:tabs>
          <w:tab w:pos="1354" w:val="left" w:leader="none"/>
          <w:tab w:pos="1355" w:val="left" w:leader="none"/>
        </w:tabs>
        <w:spacing w:line="273" w:lineRule="auto" w:before="1" w:after="0"/>
        <w:ind w:left="673" w:right="1877" w:firstLine="0"/>
        <w:jc w:val="left"/>
        <w:rPr>
          <w:sz w:val="18"/>
        </w:rPr>
      </w:pPr>
      <w:r>
        <w:rPr>
          <w:color w:val="231F20"/>
          <w:w w:val="110"/>
          <w:sz w:val="18"/>
        </w:rPr>
        <w:t>Regarding the lifelong nature of Eldership we would do well to heed the words of David Thompson:</w:t>
      </w:r>
    </w:p>
    <w:p>
      <w:pPr>
        <w:pStyle w:val="BodyText"/>
        <w:spacing w:line="273" w:lineRule="auto" w:before="1"/>
        <w:ind w:left="1354" w:right="1829" w:hanging="1"/>
      </w:pPr>
      <w:r>
        <w:rPr>
          <w:color w:val="231F20"/>
          <w:w w:val="110"/>
        </w:rPr>
        <w:t>“Being an Elder is not something you just drop into for a few years and then drop out of; it is not like serving on a committee. If you have the gifts and qualities which mark you out for the eldership, then other Christians will continue to</w:t>
      </w:r>
    </w:p>
    <w:p>
      <w:pPr>
        <w:pStyle w:val="BodyText"/>
        <w:spacing w:before="2"/>
        <w:ind w:left="1354"/>
      </w:pPr>
      <w:r>
        <w:rPr>
          <w:color w:val="231F20"/>
          <w:w w:val="110"/>
        </w:rPr>
        <w:t>turn to you for spiritual advice and counsel, whether or not you happen to be</w:t>
      </w:r>
    </w:p>
    <w:p>
      <w:pPr>
        <w:pStyle w:val="BodyText"/>
        <w:spacing w:line="273" w:lineRule="auto" w:before="31"/>
        <w:ind w:left="1354" w:right="1829"/>
      </w:pPr>
      <w:r>
        <w:rPr>
          <w:color w:val="231F20"/>
          <w:w w:val="110"/>
        </w:rPr>
        <w:t>‘a serving Elder’; what does cease is the representative function of Elders in the wider councils of the Church.” (iii)</w:t>
      </w:r>
    </w:p>
    <w:p>
      <w:pPr>
        <w:pStyle w:val="BodyText"/>
        <w:spacing w:before="8"/>
        <w:rPr>
          <w:sz w:val="20"/>
        </w:rPr>
      </w:pPr>
    </w:p>
    <w:p>
      <w:pPr>
        <w:pStyle w:val="ListParagraph"/>
        <w:numPr>
          <w:ilvl w:val="1"/>
          <w:numId w:val="81"/>
        </w:numPr>
        <w:tabs>
          <w:tab w:pos="1354" w:val="left" w:leader="none"/>
          <w:tab w:pos="1355" w:val="left" w:leader="none"/>
        </w:tabs>
        <w:spacing w:line="273" w:lineRule="auto" w:before="0" w:after="0"/>
        <w:ind w:left="673" w:right="1933" w:firstLine="0"/>
        <w:jc w:val="left"/>
        <w:rPr>
          <w:sz w:val="18"/>
        </w:rPr>
      </w:pPr>
      <w:r>
        <w:rPr>
          <w:color w:val="231F20"/>
          <w:w w:val="110"/>
          <w:sz w:val="18"/>
        </w:rPr>
        <w:t>All too </w:t>
      </w:r>
      <w:r>
        <w:rPr>
          <w:color w:val="231F20"/>
          <w:spacing w:val="2"/>
          <w:w w:val="110"/>
          <w:sz w:val="18"/>
        </w:rPr>
        <w:t>often </w:t>
      </w:r>
      <w:r>
        <w:rPr>
          <w:color w:val="231F20"/>
          <w:w w:val="110"/>
          <w:sz w:val="18"/>
        </w:rPr>
        <w:t>membership of the Elders’ Meeting has come to mean membership of a committee rather than </w:t>
      </w:r>
      <w:r>
        <w:rPr>
          <w:color w:val="231F20"/>
          <w:spacing w:val="2"/>
          <w:w w:val="110"/>
          <w:sz w:val="18"/>
        </w:rPr>
        <w:t>part </w:t>
      </w:r>
      <w:r>
        <w:rPr>
          <w:color w:val="231F20"/>
          <w:w w:val="110"/>
          <w:sz w:val="18"/>
        </w:rPr>
        <w:t>of the local church’s ministerial</w:t>
      </w:r>
      <w:r>
        <w:rPr>
          <w:color w:val="231F20"/>
          <w:spacing w:val="41"/>
          <w:w w:val="110"/>
          <w:sz w:val="18"/>
        </w:rPr>
        <w:t> </w:t>
      </w:r>
      <w:r>
        <w:rPr>
          <w:color w:val="231F20"/>
          <w:w w:val="110"/>
          <w:sz w:val="18"/>
        </w:rPr>
        <w:t>team.</w:t>
      </w:r>
    </w:p>
    <w:p>
      <w:pPr>
        <w:spacing w:after="0" w:line="273" w:lineRule="auto"/>
        <w:jc w:val="left"/>
        <w:rPr>
          <w:sz w:val="18"/>
        </w:rPr>
        <w:sectPr>
          <w:headerReference w:type="even" r:id="rId195"/>
          <w:pgSz w:w="11910" w:h="16840"/>
          <w:pgMar w:header="558" w:footer="564" w:top="820" w:bottom="760" w:left="460" w:right="0"/>
        </w:sectPr>
      </w:pPr>
    </w:p>
    <w:p>
      <w:pPr>
        <w:spacing w:before="28"/>
        <w:ind w:left="673" w:right="0" w:firstLine="0"/>
        <w:jc w:val="left"/>
        <w:rPr>
          <w:rFonts w:ascii="Eurostile Bold"/>
          <w:b/>
          <w:sz w:val="28"/>
        </w:rPr>
      </w:pPr>
      <w:r>
        <w:rPr>
          <w:rFonts w:ascii="Eurostile Bold"/>
          <w:b/>
          <w:color w:val="A7A9AC"/>
          <w:w w:val="95"/>
          <w:sz w:val="28"/>
        </w:rPr>
        <w:t>Consultation on</w:t>
      </w:r>
      <w:r>
        <w:rPr>
          <w:rFonts w:ascii="Eurostile Bold"/>
          <w:b/>
          <w:color w:val="A7A9AC"/>
          <w:spacing w:val="-59"/>
          <w:w w:val="95"/>
          <w:sz w:val="28"/>
        </w:rPr>
        <w:t> </w:t>
      </w:r>
      <w:r>
        <w:rPr>
          <w:rFonts w:ascii="Eurostile Bold"/>
          <w:b/>
          <w:color w:val="A7A9AC"/>
          <w:w w:val="95"/>
          <w:sz w:val="28"/>
        </w:rPr>
        <w:t>Eldership</w:t>
      </w:r>
    </w:p>
    <w:p>
      <w:pPr>
        <w:pStyle w:val="BodyText"/>
        <w:spacing w:before="5"/>
        <w:rPr>
          <w:rFonts w:ascii="Eurostile Bold"/>
          <w:b/>
          <w:sz w:val="12"/>
        </w:rPr>
      </w:pPr>
    </w:p>
    <w:p>
      <w:pPr>
        <w:pStyle w:val="ListParagraph"/>
        <w:numPr>
          <w:ilvl w:val="1"/>
          <w:numId w:val="81"/>
        </w:numPr>
        <w:tabs>
          <w:tab w:pos="1921" w:val="left" w:leader="none"/>
          <w:tab w:pos="1922" w:val="left" w:leader="none"/>
        </w:tabs>
        <w:spacing w:line="273" w:lineRule="auto" w:before="100" w:after="0"/>
        <w:ind w:left="1240" w:right="1513" w:firstLine="0"/>
        <w:jc w:val="left"/>
        <w:rPr>
          <w:sz w:val="18"/>
        </w:rPr>
      </w:pPr>
      <w:r>
        <w:rPr>
          <w:color w:val="231F20"/>
          <w:w w:val="110"/>
          <w:sz w:val="18"/>
        </w:rPr>
        <w:t>Regarding the fixed term </w:t>
      </w:r>
      <w:r>
        <w:rPr>
          <w:color w:val="231F20"/>
          <w:spacing w:val="2"/>
          <w:w w:val="110"/>
          <w:sz w:val="18"/>
        </w:rPr>
        <w:t>aspect </w:t>
      </w:r>
      <w:r>
        <w:rPr>
          <w:color w:val="231F20"/>
          <w:w w:val="110"/>
          <w:sz w:val="18"/>
        </w:rPr>
        <w:t>of Eldership, the opportunity to stand down when personal and work commitments necessitate is commendable practice, and the simple </w:t>
      </w:r>
      <w:r>
        <w:rPr>
          <w:color w:val="231F20"/>
          <w:spacing w:val="2"/>
          <w:w w:val="110"/>
          <w:sz w:val="18"/>
        </w:rPr>
        <w:t>opportunity </w:t>
      </w:r>
      <w:r>
        <w:rPr>
          <w:color w:val="231F20"/>
          <w:w w:val="110"/>
          <w:sz w:val="18"/>
        </w:rPr>
        <w:t>of having a sabbatical is an important</w:t>
      </w:r>
      <w:r>
        <w:rPr>
          <w:color w:val="231F20"/>
          <w:spacing w:val="31"/>
          <w:w w:val="110"/>
          <w:sz w:val="18"/>
        </w:rPr>
        <w:t> </w:t>
      </w:r>
      <w:r>
        <w:rPr>
          <w:color w:val="231F20"/>
          <w:w w:val="110"/>
          <w:sz w:val="18"/>
        </w:rPr>
        <w:t>provision.</w:t>
      </w:r>
    </w:p>
    <w:p>
      <w:pPr>
        <w:pStyle w:val="BodyText"/>
        <w:spacing w:before="9"/>
        <w:rPr>
          <w:sz w:val="20"/>
        </w:rPr>
      </w:pPr>
    </w:p>
    <w:p>
      <w:pPr>
        <w:pStyle w:val="ListParagraph"/>
        <w:numPr>
          <w:ilvl w:val="1"/>
          <w:numId w:val="80"/>
        </w:numPr>
        <w:tabs>
          <w:tab w:pos="1921" w:val="left" w:leader="none"/>
          <w:tab w:pos="1922" w:val="left" w:leader="none"/>
        </w:tabs>
        <w:spacing w:line="273" w:lineRule="auto" w:before="0" w:after="0"/>
        <w:ind w:left="1240" w:right="1139" w:firstLine="0"/>
        <w:jc w:val="left"/>
        <w:rPr>
          <w:sz w:val="18"/>
        </w:rPr>
      </w:pPr>
      <w:r>
        <w:rPr>
          <w:color w:val="231F20"/>
          <w:w w:val="110"/>
          <w:sz w:val="18"/>
        </w:rPr>
        <w:t>Care needs to be given to spelling out the responsibilities of the wider Church to the local church and vice versa in the matter of Eldership. A </w:t>
      </w:r>
      <w:r>
        <w:rPr>
          <w:color w:val="231F20"/>
          <w:spacing w:val="2"/>
          <w:w w:val="110"/>
          <w:sz w:val="18"/>
        </w:rPr>
        <w:t>strong case </w:t>
      </w:r>
      <w:r>
        <w:rPr>
          <w:color w:val="231F20"/>
          <w:w w:val="110"/>
          <w:sz w:val="18"/>
        </w:rPr>
        <w:t>can be made    for increasing the involvement of the wider Church in the recognition and preparation of </w:t>
      </w:r>
      <w:r>
        <w:rPr>
          <w:color w:val="231F20"/>
          <w:spacing w:val="2"/>
          <w:w w:val="110"/>
          <w:sz w:val="18"/>
        </w:rPr>
        <w:t>Elders </w:t>
      </w:r>
      <w:r>
        <w:rPr>
          <w:color w:val="231F20"/>
          <w:w w:val="110"/>
          <w:sz w:val="18"/>
        </w:rPr>
        <w:t>for ordination and their support during their </w:t>
      </w:r>
      <w:r>
        <w:rPr>
          <w:color w:val="231F20"/>
          <w:spacing w:val="2"/>
          <w:w w:val="110"/>
          <w:sz w:val="18"/>
        </w:rPr>
        <w:t>service. </w:t>
      </w:r>
      <w:r>
        <w:rPr>
          <w:color w:val="231F20"/>
          <w:w w:val="110"/>
          <w:sz w:val="18"/>
        </w:rPr>
        <w:t>The United Reformed Church should know who its </w:t>
      </w:r>
      <w:r>
        <w:rPr>
          <w:color w:val="231F20"/>
          <w:spacing w:val="2"/>
          <w:w w:val="110"/>
          <w:sz w:val="18"/>
        </w:rPr>
        <w:t>Elders </w:t>
      </w:r>
      <w:r>
        <w:rPr>
          <w:color w:val="231F20"/>
          <w:w w:val="110"/>
          <w:sz w:val="18"/>
        </w:rPr>
        <w:t>are in the same way that it knows about its other ministers. The Elder’s </w:t>
      </w:r>
      <w:r>
        <w:rPr>
          <w:color w:val="231F20"/>
          <w:spacing w:val="2"/>
          <w:w w:val="110"/>
          <w:sz w:val="18"/>
        </w:rPr>
        <w:t>gifts </w:t>
      </w:r>
      <w:r>
        <w:rPr>
          <w:color w:val="231F20"/>
          <w:w w:val="110"/>
          <w:sz w:val="18"/>
        </w:rPr>
        <w:t>and graces will develop, and emphases may change as their personal pilgrimage moves</w:t>
      </w:r>
      <w:r>
        <w:rPr>
          <w:color w:val="231F20"/>
          <w:spacing w:val="2"/>
          <w:w w:val="110"/>
          <w:sz w:val="18"/>
        </w:rPr>
        <w:t> </w:t>
      </w:r>
      <w:r>
        <w:rPr>
          <w:color w:val="231F20"/>
          <w:w w:val="110"/>
          <w:sz w:val="18"/>
        </w:rPr>
        <w:t>forward.</w:t>
      </w:r>
    </w:p>
    <w:p>
      <w:pPr>
        <w:pStyle w:val="BodyText"/>
        <w:spacing w:before="11"/>
        <w:rPr>
          <w:sz w:val="20"/>
        </w:rPr>
      </w:pPr>
    </w:p>
    <w:p>
      <w:pPr>
        <w:pStyle w:val="ListParagraph"/>
        <w:numPr>
          <w:ilvl w:val="1"/>
          <w:numId w:val="80"/>
        </w:numPr>
        <w:tabs>
          <w:tab w:pos="1921" w:val="left" w:leader="none"/>
          <w:tab w:pos="1922" w:val="left" w:leader="none"/>
        </w:tabs>
        <w:spacing w:line="273" w:lineRule="auto" w:before="0" w:after="0"/>
        <w:ind w:left="1240" w:right="1157" w:firstLine="0"/>
        <w:jc w:val="left"/>
        <w:rPr>
          <w:sz w:val="18"/>
        </w:rPr>
      </w:pPr>
      <w:r>
        <w:rPr>
          <w:color w:val="231F20"/>
          <w:spacing w:val="2"/>
          <w:w w:val="110"/>
          <w:sz w:val="18"/>
        </w:rPr>
        <w:t>Experience </w:t>
      </w:r>
      <w:r>
        <w:rPr>
          <w:color w:val="231F20"/>
          <w:w w:val="110"/>
          <w:sz w:val="18"/>
        </w:rPr>
        <w:t>in the United Reformed Church is mixed when it comes to Eldership. </w:t>
      </w:r>
      <w:r>
        <w:rPr>
          <w:color w:val="231F20"/>
          <w:spacing w:val="2"/>
          <w:w w:val="110"/>
          <w:sz w:val="18"/>
        </w:rPr>
        <w:t>There </w:t>
      </w:r>
      <w:r>
        <w:rPr>
          <w:color w:val="231F20"/>
          <w:w w:val="110"/>
          <w:sz w:val="18"/>
        </w:rPr>
        <w:t>are churches, whether large or small, in which the oversight of the Elders’    Meeting brings the </w:t>
      </w:r>
      <w:r>
        <w:rPr>
          <w:color w:val="231F20"/>
          <w:spacing w:val="2"/>
          <w:w w:val="110"/>
          <w:sz w:val="18"/>
        </w:rPr>
        <w:t>best </w:t>
      </w:r>
      <w:r>
        <w:rPr>
          <w:color w:val="231F20"/>
          <w:w w:val="110"/>
          <w:sz w:val="18"/>
        </w:rPr>
        <w:t>out of the congregation, enabling the vocation of the </w:t>
      </w:r>
      <w:r>
        <w:rPr>
          <w:color w:val="231F20"/>
          <w:spacing w:val="2"/>
          <w:w w:val="110"/>
          <w:sz w:val="18"/>
        </w:rPr>
        <w:t>members </w:t>
      </w:r>
      <w:r>
        <w:rPr>
          <w:color w:val="231F20"/>
          <w:w w:val="110"/>
          <w:sz w:val="18"/>
        </w:rPr>
        <w:t>and hence the mission of the church. In other situations things are less rosy, and one sometimes hears of enthusiastic church </w:t>
      </w:r>
      <w:r>
        <w:rPr>
          <w:color w:val="231F20"/>
          <w:spacing w:val="2"/>
          <w:w w:val="110"/>
          <w:sz w:val="18"/>
        </w:rPr>
        <w:t>members </w:t>
      </w:r>
      <w:r>
        <w:rPr>
          <w:color w:val="231F20"/>
          <w:w w:val="110"/>
          <w:sz w:val="18"/>
        </w:rPr>
        <w:t>who feel blocked or disabled by their church’s Elders’ Meeting. The </w:t>
      </w:r>
      <w:r>
        <w:rPr>
          <w:color w:val="231F20"/>
          <w:spacing w:val="2"/>
          <w:w w:val="110"/>
          <w:sz w:val="18"/>
        </w:rPr>
        <w:t>crux </w:t>
      </w:r>
      <w:r>
        <w:rPr>
          <w:color w:val="231F20"/>
          <w:w w:val="110"/>
          <w:sz w:val="18"/>
        </w:rPr>
        <w:t>of the matter is that the Church’s ministry exists to enable and empower the Church in mission. </w:t>
      </w:r>
      <w:r>
        <w:rPr>
          <w:color w:val="231F20"/>
          <w:spacing w:val="-3"/>
          <w:w w:val="110"/>
          <w:sz w:val="18"/>
        </w:rPr>
        <w:t>We </w:t>
      </w:r>
      <w:r>
        <w:rPr>
          <w:color w:val="231F20"/>
          <w:w w:val="110"/>
          <w:sz w:val="18"/>
        </w:rPr>
        <w:t>do not believe that some of the negative experiences should devalue the positive</w:t>
      </w:r>
      <w:r>
        <w:rPr>
          <w:color w:val="231F20"/>
          <w:spacing w:val="12"/>
          <w:w w:val="110"/>
          <w:sz w:val="18"/>
        </w:rPr>
        <w:t> </w:t>
      </w:r>
      <w:r>
        <w:rPr>
          <w:color w:val="231F20"/>
          <w:w w:val="110"/>
          <w:sz w:val="18"/>
        </w:rPr>
        <w:t>possibilities.</w:t>
      </w:r>
    </w:p>
    <w:p>
      <w:pPr>
        <w:pStyle w:val="BodyText"/>
        <w:rPr>
          <w:sz w:val="21"/>
        </w:rPr>
      </w:pPr>
    </w:p>
    <w:p>
      <w:pPr>
        <w:pStyle w:val="ListParagraph"/>
        <w:numPr>
          <w:ilvl w:val="1"/>
          <w:numId w:val="80"/>
        </w:numPr>
        <w:tabs>
          <w:tab w:pos="1921" w:val="left" w:leader="none"/>
          <w:tab w:pos="1922" w:val="left" w:leader="none"/>
        </w:tabs>
        <w:spacing w:line="273" w:lineRule="auto" w:before="0" w:after="0"/>
        <w:ind w:left="1240" w:right="1674" w:firstLine="0"/>
        <w:jc w:val="left"/>
        <w:rPr>
          <w:sz w:val="18"/>
        </w:rPr>
      </w:pPr>
      <w:r>
        <w:rPr>
          <w:color w:val="231F20"/>
          <w:w w:val="110"/>
          <w:sz w:val="18"/>
        </w:rPr>
        <w:t>The United Reformed Church is made up of diverse churches, the majority    of which are small in number of members, but </w:t>
      </w:r>
      <w:r>
        <w:rPr>
          <w:color w:val="231F20"/>
          <w:spacing w:val="2"/>
          <w:w w:val="110"/>
          <w:sz w:val="18"/>
        </w:rPr>
        <w:t>often </w:t>
      </w:r>
      <w:r>
        <w:rPr>
          <w:color w:val="231F20"/>
          <w:w w:val="110"/>
          <w:sz w:val="18"/>
        </w:rPr>
        <w:t>great in spirit. Nevertheless a common ethos generally prevails. The size of the Eldership needs to </w:t>
      </w:r>
      <w:r>
        <w:rPr>
          <w:color w:val="231F20"/>
          <w:spacing w:val="2"/>
          <w:w w:val="110"/>
          <w:sz w:val="18"/>
        </w:rPr>
        <w:t>reflect </w:t>
      </w:r>
      <w:r>
        <w:rPr>
          <w:color w:val="231F20"/>
          <w:w w:val="110"/>
          <w:sz w:val="18"/>
        </w:rPr>
        <w:t>the size of the congregation, but perhaps we have limited the work of the Elders’ Meeting   by</w:t>
      </w:r>
      <w:r>
        <w:rPr>
          <w:color w:val="231F20"/>
          <w:spacing w:val="6"/>
          <w:w w:val="110"/>
          <w:sz w:val="18"/>
        </w:rPr>
        <w:t> </w:t>
      </w:r>
      <w:r>
        <w:rPr>
          <w:color w:val="231F20"/>
          <w:w w:val="110"/>
          <w:sz w:val="18"/>
        </w:rPr>
        <w:t>making</w:t>
      </w:r>
      <w:r>
        <w:rPr>
          <w:color w:val="231F20"/>
          <w:spacing w:val="7"/>
          <w:w w:val="110"/>
          <w:sz w:val="18"/>
        </w:rPr>
        <w:t> </w:t>
      </w:r>
      <w:r>
        <w:rPr>
          <w:color w:val="231F20"/>
          <w:w w:val="110"/>
          <w:sz w:val="18"/>
        </w:rPr>
        <w:t>it</w:t>
      </w:r>
      <w:r>
        <w:rPr>
          <w:color w:val="231F20"/>
          <w:spacing w:val="7"/>
          <w:w w:val="110"/>
          <w:sz w:val="18"/>
        </w:rPr>
        <w:t> </w:t>
      </w:r>
      <w:r>
        <w:rPr>
          <w:color w:val="231F20"/>
          <w:w w:val="110"/>
          <w:sz w:val="18"/>
        </w:rPr>
        <w:t>an</w:t>
      </w:r>
      <w:r>
        <w:rPr>
          <w:color w:val="231F20"/>
          <w:spacing w:val="7"/>
          <w:w w:val="110"/>
          <w:sz w:val="18"/>
        </w:rPr>
        <w:t> </w:t>
      </w:r>
      <w:r>
        <w:rPr>
          <w:color w:val="231F20"/>
          <w:w w:val="110"/>
          <w:sz w:val="18"/>
        </w:rPr>
        <w:t>overcrowded</w:t>
      </w:r>
      <w:r>
        <w:rPr>
          <w:color w:val="231F20"/>
          <w:spacing w:val="7"/>
          <w:w w:val="110"/>
          <w:sz w:val="18"/>
        </w:rPr>
        <w:t> </w:t>
      </w:r>
      <w:r>
        <w:rPr>
          <w:color w:val="231F20"/>
          <w:w w:val="110"/>
          <w:sz w:val="18"/>
        </w:rPr>
        <w:t>place,</w:t>
      </w:r>
      <w:r>
        <w:rPr>
          <w:color w:val="231F20"/>
          <w:spacing w:val="7"/>
          <w:w w:val="110"/>
          <w:sz w:val="18"/>
        </w:rPr>
        <w:t> </w:t>
      </w:r>
      <w:r>
        <w:rPr>
          <w:color w:val="231F20"/>
          <w:w w:val="110"/>
          <w:sz w:val="18"/>
        </w:rPr>
        <w:t>when</w:t>
      </w:r>
      <w:r>
        <w:rPr>
          <w:color w:val="231F20"/>
          <w:spacing w:val="7"/>
          <w:w w:val="110"/>
          <w:sz w:val="18"/>
        </w:rPr>
        <w:t> </w:t>
      </w:r>
      <w:r>
        <w:rPr>
          <w:color w:val="231F20"/>
          <w:w w:val="110"/>
          <w:sz w:val="18"/>
        </w:rPr>
        <w:t>a</w:t>
      </w:r>
      <w:r>
        <w:rPr>
          <w:color w:val="231F20"/>
          <w:spacing w:val="7"/>
          <w:w w:val="110"/>
          <w:sz w:val="18"/>
        </w:rPr>
        <w:t> </w:t>
      </w:r>
      <w:r>
        <w:rPr>
          <w:color w:val="231F20"/>
          <w:w w:val="110"/>
          <w:sz w:val="18"/>
        </w:rPr>
        <w:t>much</w:t>
      </w:r>
      <w:r>
        <w:rPr>
          <w:color w:val="231F20"/>
          <w:spacing w:val="7"/>
          <w:w w:val="110"/>
          <w:sz w:val="18"/>
        </w:rPr>
        <w:t> </w:t>
      </w:r>
      <w:r>
        <w:rPr>
          <w:color w:val="231F20"/>
          <w:w w:val="110"/>
          <w:sz w:val="18"/>
        </w:rPr>
        <w:t>smaller</w:t>
      </w:r>
      <w:r>
        <w:rPr>
          <w:color w:val="231F20"/>
          <w:spacing w:val="7"/>
          <w:w w:val="110"/>
          <w:sz w:val="18"/>
        </w:rPr>
        <w:t> </w:t>
      </w:r>
      <w:r>
        <w:rPr>
          <w:color w:val="231F20"/>
          <w:w w:val="110"/>
          <w:sz w:val="18"/>
        </w:rPr>
        <w:t>group</w:t>
      </w:r>
      <w:r>
        <w:rPr>
          <w:color w:val="231F20"/>
          <w:spacing w:val="7"/>
          <w:w w:val="110"/>
          <w:sz w:val="18"/>
        </w:rPr>
        <w:t> </w:t>
      </w:r>
      <w:r>
        <w:rPr>
          <w:color w:val="231F20"/>
          <w:w w:val="110"/>
          <w:sz w:val="18"/>
        </w:rPr>
        <w:t>might</w:t>
      </w:r>
      <w:r>
        <w:rPr>
          <w:color w:val="231F20"/>
          <w:spacing w:val="7"/>
          <w:w w:val="110"/>
          <w:sz w:val="18"/>
        </w:rPr>
        <w:t> </w:t>
      </w:r>
      <w:r>
        <w:rPr>
          <w:color w:val="231F20"/>
          <w:w w:val="110"/>
          <w:sz w:val="18"/>
        </w:rPr>
        <w:t>have</w:t>
      </w:r>
      <w:r>
        <w:rPr>
          <w:color w:val="231F20"/>
          <w:spacing w:val="7"/>
          <w:w w:val="110"/>
          <w:sz w:val="18"/>
        </w:rPr>
        <w:t> </w:t>
      </w:r>
      <w:r>
        <w:rPr>
          <w:color w:val="231F20"/>
          <w:w w:val="110"/>
          <w:sz w:val="18"/>
        </w:rPr>
        <w:t>been</w:t>
      </w:r>
    </w:p>
    <w:p>
      <w:pPr>
        <w:pStyle w:val="BodyText"/>
        <w:spacing w:before="3"/>
        <w:ind w:left="1240"/>
      </w:pPr>
      <w:r>
        <w:rPr>
          <w:color w:val="231F20"/>
          <w:w w:val="110"/>
        </w:rPr>
        <w:t>more </w:t>
      </w:r>
      <w:r>
        <w:rPr>
          <w:color w:val="231F20"/>
          <w:spacing w:val="2"/>
          <w:w w:val="110"/>
        </w:rPr>
        <w:t>effective. </w:t>
      </w:r>
      <w:r>
        <w:rPr>
          <w:color w:val="231F20"/>
          <w:w w:val="110"/>
        </w:rPr>
        <w:t>This tendency has perhaps been associated with historical</w:t>
      </w:r>
      <w:r>
        <w:rPr>
          <w:color w:val="231F20"/>
          <w:spacing w:val="57"/>
          <w:w w:val="110"/>
        </w:rPr>
        <w:t> </w:t>
      </w:r>
      <w:r>
        <w:rPr>
          <w:color w:val="231F20"/>
          <w:w w:val="110"/>
        </w:rPr>
        <w:t>precedent</w:t>
      </w:r>
    </w:p>
    <w:p>
      <w:pPr>
        <w:pStyle w:val="BodyText"/>
        <w:spacing w:line="273" w:lineRule="auto" w:before="31"/>
        <w:ind w:left="1240" w:right="1143"/>
      </w:pPr>
      <w:r>
        <w:rPr>
          <w:color w:val="231F20"/>
          <w:w w:val="110"/>
        </w:rPr>
        <w:t>– ‘we always must have 12 Elders,’ or a literal interpretation of the Basis of Union’s requirement concerning the pastoral office of the Elder. In many congregations pastoral care is devolved from the Elders’ Meeting to pastoral care teams; it is regrettable that some churches insist on having large unwieldy Elderships in order to reduce the pastoral visitation load of each elder! It may well be that the way forward outlined in this paper leads to smaller but better prepared Elders’ Meetings.</w:t>
      </w:r>
    </w:p>
    <w:p>
      <w:pPr>
        <w:pStyle w:val="BodyText"/>
        <w:spacing w:before="11"/>
        <w:rPr>
          <w:sz w:val="20"/>
        </w:rPr>
      </w:pPr>
    </w:p>
    <w:p>
      <w:pPr>
        <w:pStyle w:val="ListParagraph"/>
        <w:numPr>
          <w:ilvl w:val="1"/>
          <w:numId w:val="80"/>
        </w:numPr>
        <w:tabs>
          <w:tab w:pos="1921" w:val="left" w:leader="none"/>
          <w:tab w:pos="1922" w:val="left" w:leader="none"/>
        </w:tabs>
        <w:spacing w:line="273" w:lineRule="auto" w:before="0" w:after="0"/>
        <w:ind w:left="1240" w:right="1166" w:firstLine="0"/>
        <w:jc w:val="left"/>
        <w:rPr>
          <w:sz w:val="18"/>
        </w:rPr>
      </w:pPr>
      <w:r>
        <w:rPr>
          <w:color w:val="231F20"/>
          <w:spacing w:val="2"/>
          <w:w w:val="110"/>
          <w:sz w:val="18"/>
        </w:rPr>
        <w:t>There </w:t>
      </w:r>
      <w:r>
        <w:rPr>
          <w:color w:val="231F20"/>
          <w:w w:val="110"/>
          <w:sz w:val="18"/>
        </w:rPr>
        <w:t>are a variety of </w:t>
      </w:r>
      <w:r>
        <w:rPr>
          <w:color w:val="231F20"/>
          <w:spacing w:val="2"/>
          <w:w w:val="110"/>
          <w:sz w:val="18"/>
        </w:rPr>
        <w:t>tasks </w:t>
      </w:r>
      <w:r>
        <w:rPr>
          <w:color w:val="231F20"/>
          <w:w w:val="110"/>
          <w:sz w:val="18"/>
        </w:rPr>
        <w:t>which all churches need to have </w:t>
      </w:r>
      <w:r>
        <w:rPr>
          <w:color w:val="231F20"/>
          <w:spacing w:val="2"/>
          <w:w w:val="110"/>
          <w:sz w:val="18"/>
        </w:rPr>
        <w:t>carried </w:t>
      </w:r>
      <w:r>
        <w:rPr>
          <w:color w:val="231F20"/>
          <w:w w:val="110"/>
          <w:sz w:val="18"/>
        </w:rPr>
        <w:t>out effectively. </w:t>
      </w:r>
      <w:r>
        <w:rPr>
          <w:color w:val="231F20"/>
          <w:spacing w:val="2"/>
          <w:w w:val="110"/>
          <w:sz w:val="18"/>
        </w:rPr>
        <w:t>These </w:t>
      </w:r>
      <w:r>
        <w:rPr>
          <w:color w:val="231F20"/>
          <w:w w:val="110"/>
          <w:sz w:val="18"/>
        </w:rPr>
        <w:t>may be broadly grouped under three headings: those related to the Church’s sacramental life as it gathers to encounter God’s Word in worship, </w:t>
      </w:r>
      <w:r>
        <w:rPr>
          <w:color w:val="231F20"/>
          <w:spacing w:val="-3"/>
          <w:w w:val="110"/>
          <w:sz w:val="18"/>
        </w:rPr>
        <w:t>prayer, </w:t>
      </w:r>
      <w:r>
        <w:rPr>
          <w:color w:val="231F20"/>
          <w:w w:val="110"/>
          <w:sz w:val="18"/>
        </w:rPr>
        <w:t>and obedience; secondly there is the diaconal function whereby the church </w:t>
      </w:r>
      <w:r>
        <w:rPr>
          <w:color w:val="231F20"/>
          <w:spacing w:val="2"/>
          <w:w w:val="110"/>
          <w:sz w:val="18"/>
        </w:rPr>
        <w:t>seeks </w:t>
      </w:r>
      <w:r>
        <w:rPr>
          <w:color w:val="231F20"/>
          <w:w w:val="110"/>
          <w:sz w:val="18"/>
        </w:rPr>
        <w:t>to follow in the footsteps of the </w:t>
      </w:r>
      <w:r>
        <w:rPr>
          <w:color w:val="231F20"/>
          <w:spacing w:val="2"/>
          <w:w w:val="110"/>
          <w:sz w:val="18"/>
        </w:rPr>
        <w:t>servant </w:t>
      </w:r>
      <w:r>
        <w:rPr>
          <w:color w:val="231F20"/>
          <w:w w:val="110"/>
          <w:sz w:val="18"/>
        </w:rPr>
        <w:t>Christ in the world; and thirdly there is the managerial task of </w:t>
      </w:r>
      <w:r>
        <w:rPr>
          <w:color w:val="231F20"/>
          <w:spacing w:val="2"/>
          <w:w w:val="110"/>
          <w:sz w:val="18"/>
        </w:rPr>
        <w:t>servicing </w:t>
      </w:r>
      <w:r>
        <w:rPr>
          <w:color w:val="231F20"/>
          <w:w w:val="110"/>
          <w:sz w:val="18"/>
        </w:rPr>
        <w:t>the </w:t>
      </w:r>
      <w:r>
        <w:rPr>
          <w:color w:val="231F20"/>
          <w:spacing w:val="2"/>
          <w:w w:val="110"/>
          <w:sz w:val="18"/>
        </w:rPr>
        <w:t>necessary structures </w:t>
      </w:r>
      <w:r>
        <w:rPr>
          <w:color w:val="231F20"/>
          <w:w w:val="110"/>
          <w:sz w:val="18"/>
        </w:rPr>
        <w:t>of the Church </w:t>
      </w:r>
      <w:r>
        <w:rPr>
          <w:color w:val="231F20"/>
          <w:spacing w:val="-5"/>
          <w:w w:val="110"/>
          <w:sz w:val="18"/>
        </w:rPr>
        <w:t>(e.g.  </w:t>
      </w:r>
      <w:r>
        <w:rPr>
          <w:color w:val="231F20"/>
          <w:w w:val="110"/>
          <w:sz w:val="18"/>
        </w:rPr>
        <w:t>becoming managing </w:t>
      </w:r>
      <w:r>
        <w:rPr>
          <w:color w:val="231F20"/>
          <w:spacing w:val="2"/>
          <w:w w:val="110"/>
          <w:sz w:val="18"/>
        </w:rPr>
        <w:t>trustees </w:t>
      </w:r>
      <w:r>
        <w:rPr>
          <w:color w:val="231F20"/>
          <w:spacing w:val="73"/>
          <w:w w:val="110"/>
          <w:sz w:val="18"/>
        </w:rPr>
        <w:t> </w:t>
      </w:r>
      <w:r>
        <w:rPr>
          <w:color w:val="231F20"/>
          <w:w w:val="110"/>
          <w:sz w:val="18"/>
        </w:rPr>
        <w:t>in </w:t>
      </w:r>
      <w:r>
        <w:rPr>
          <w:color w:val="231F20"/>
          <w:spacing w:val="2"/>
          <w:w w:val="110"/>
          <w:sz w:val="18"/>
        </w:rPr>
        <w:t>response </w:t>
      </w:r>
      <w:r>
        <w:rPr>
          <w:color w:val="231F20"/>
          <w:w w:val="110"/>
          <w:sz w:val="18"/>
        </w:rPr>
        <w:t>to changes in </w:t>
      </w:r>
      <w:r>
        <w:rPr>
          <w:color w:val="231F20"/>
          <w:spacing w:val="2"/>
          <w:w w:val="110"/>
          <w:sz w:val="18"/>
        </w:rPr>
        <w:t>charity </w:t>
      </w:r>
      <w:r>
        <w:rPr>
          <w:color w:val="231F20"/>
          <w:spacing w:val="-4"/>
          <w:w w:val="110"/>
          <w:sz w:val="18"/>
        </w:rPr>
        <w:t>law). </w:t>
      </w:r>
      <w:r>
        <w:rPr>
          <w:color w:val="231F20"/>
          <w:w w:val="110"/>
          <w:sz w:val="18"/>
        </w:rPr>
        <w:t>Each of these is important and the Elders’  Meeting</w:t>
      </w:r>
      <w:r>
        <w:rPr>
          <w:color w:val="231F20"/>
          <w:spacing w:val="6"/>
          <w:w w:val="110"/>
          <w:sz w:val="18"/>
        </w:rPr>
        <w:t> </w:t>
      </w:r>
      <w:r>
        <w:rPr>
          <w:color w:val="231F20"/>
          <w:w w:val="110"/>
          <w:sz w:val="18"/>
        </w:rPr>
        <w:t>should</w:t>
      </w:r>
      <w:r>
        <w:rPr>
          <w:color w:val="231F20"/>
          <w:spacing w:val="7"/>
          <w:w w:val="110"/>
          <w:sz w:val="18"/>
        </w:rPr>
        <w:t> </w:t>
      </w:r>
      <w:r>
        <w:rPr>
          <w:color w:val="231F20"/>
          <w:w w:val="110"/>
          <w:sz w:val="18"/>
        </w:rPr>
        <w:t>make</w:t>
      </w:r>
      <w:r>
        <w:rPr>
          <w:color w:val="231F20"/>
          <w:spacing w:val="7"/>
          <w:w w:val="110"/>
          <w:sz w:val="18"/>
        </w:rPr>
        <w:t> </w:t>
      </w:r>
      <w:r>
        <w:rPr>
          <w:color w:val="231F20"/>
          <w:w w:val="110"/>
          <w:sz w:val="18"/>
        </w:rPr>
        <w:t>sure</w:t>
      </w:r>
      <w:r>
        <w:rPr>
          <w:color w:val="231F20"/>
          <w:spacing w:val="7"/>
          <w:w w:val="110"/>
          <w:sz w:val="18"/>
        </w:rPr>
        <w:t> </w:t>
      </w:r>
      <w:r>
        <w:rPr>
          <w:color w:val="231F20"/>
          <w:w w:val="110"/>
          <w:sz w:val="18"/>
        </w:rPr>
        <w:t>that</w:t>
      </w:r>
      <w:r>
        <w:rPr>
          <w:color w:val="231F20"/>
          <w:spacing w:val="7"/>
          <w:w w:val="110"/>
          <w:sz w:val="18"/>
        </w:rPr>
        <w:t> </w:t>
      </w:r>
      <w:r>
        <w:rPr>
          <w:color w:val="231F20"/>
          <w:w w:val="110"/>
          <w:sz w:val="18"/>
        </w:rPr>
        <w:t>each</w:t>
      </w:r>
      <w:r>
        <w:rPr>
          <w:color w:val="231F20"/>
          <w:spacing w:val="7"/>
          <w:w w:val="110"/>
          <w:sz w:val="18"/>
        </w:rPr>
        <w:t> </w:t>
      </w:r>
      <w:r>
        <w:rPr>
          <w:color w:val="231F20"/>
          <w:w w:val="110"/>
          <w:sz w:val="18"/>
        </w:rPr>
        <w:t>is</w:t>
      </w:r>
      <w:r>
        <w:rPr>
          <w:color w:val="231F20"/>
          <w:spacing w:val="6"/>
          <w:w w:val="110"/>
          <w:sz w:val="18"/>
        </w:rPr>
        <w:t> </w:t>
      </w:r>
      <w:r>
        <w:rPr>
          <w:color w:val="231F20"/>
          <w:spacing w:val="2"/>
          <w:w w:val="110"/>
          <w:sz w:val="18"/>
        </w:rPr>
        <w:t>addressed</w:t>
      </w:r>
      <w:r>
        <w:rPr>
          <w:color w:val="231F20"/>
          <w:spacing w:val="7"/>
          <w:w w:val="110"/>
          <w:sz w:val="18"/>
        </w:rPr>
        <w:t> </w:t>
      </w:r>
      <w:r>
        <w:rPr>
          <w:color w:val="231F20"/>
          <w:w w:val="110"/>
          <w:sz w:val="18"/>
        </w:rPr>
        <w:t>fully</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life</w:t>
      </w:r>
      <w:r>
        <w:rPr>
          <w:color w:val="231F20"/>
          <w:spacing w:val="7"/>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congregation.</w:t>
      </w:r>
    </w:p>
    <w:p>
      <w:pPr>
        <w:pStyle w:val="BodyText"/>
        <w:spacing w:line="273" w:lineRule="auto" w:before="5"/>
        <w:ind w:left="1240" w:right="1536"/>
      </w:pPr>
      <w:r>
        <w:rPr>
          <w:color w:val="231F20"/>
          <w:w w:val="110"/>
        </w:rPr>
        <w:t>It is all too easy for </w:t>
      </w:r>
      <w:r>
        <w:rPr>
          <w:color w:val="231F20"/>
          <w:spacing w:val="2"/>
          <w:w w:val="110"/>
        </w:rPr>
        <w:t>Elders </w:t>
      </w:r>
      <w:r>
        <w:rPr>
          <w:color w:val="231F20"/>
          <w:w w:val="110"/>
        </w:rPr>
        <w:t>to get trapped into concentrating on management, even    if</w:t>
      </w:r>
      <w:r>
        <w:rPr>
          <w:color w:val="231F20"/>
          <w:spacing w:val="13"/>
          <w:w w:val="110"/>
        </w:rPr>
        <w:t> </w:t>
      </w:r>
      <w:r>
        <w:rPr>
          <w:color w:val="231F20"/>
          <w:w w:val="110"/>
        </w:rPr>
        <w:t>good</w:t>
      </w:r>
      <w:r>
        <w:rPr>
          <w:color w:val="231F20"/>
          <w:spacing w:val="14"/>
          <w:w w:val="110"/>
        </w:rPr>
        <w:t> </w:t>
      </w:r>
      <w:r>
        <w:rPr>
          <w:color w:val="231F20"/>
          <w:w w:val="110"/>
        </w:rPr>
        <w:t>management</w:t>
      </w:r>
      <w:r>
        <w:rPr>
          <w:color w:val="231F20"/>
          <w:spacing w:val="14"/>
          <w:w w:val="110"/>
        </w:rPr>
        <w:t> </w:t>
      </w:r>
      <w:r>
        <w:rPr>
          <w:color w:val="231F20"/>
          <w:w w:val="110"/>
        </w:rPr>
        <w:t>is</w:t>
      </w:r>
      <w:r>
        <w:rPr>
          <w:color w:val="231F20"/>
          <w:spacing w:val="13"/>
          <w:w w:val="110"/>
        </w:rPr>
        <w:t> </w:t>
      </w:r>
      <w:r>
        <w:rPr>
          <w:color w:val="231F20"/>
          <w:spacing w:val="2"/>
          <w:w w:val="110"/>
        </w:rPr>
        <w:t>necessary</w:t>
      </w:r>
      <w:r>
        <w:rPr>
          <w:color w:val="231F20"/>
          <w:spacing w:val="14"/>
          <w:w w:val="110"/>
        </w:rPr>
        <w:t> </w:t>
      </w:r>
      <w:r>
        <w:rPr>
          <w:color w:val="231F20"/>
          <w:w w:val="110"/>
        </w:rPr>
        <w:t>for</w:t>
      </w:r>
      <w:r>
        <w:rPr>
          <w:color w:val="231F20"/>
          <w:spacing w:val="14"/>
          <w:w w:val="110"/>
        </w:rPr>
        <w:t> </w:t>
      </w:r>
      <w:r>
        <w:rPr>
          <w:color w:val="231F20"/>
          <w:spacing w:val="2"/>
          <w:w w:val="110"/>
        </w:rPr>
        <w:t>effective</w:t>
      </w:r>
      <w:r>
        <w:rPr>
          <w:color w:val="231F20"/>
          <w:spacing w:val="13"/>
          <w:w w:val="110"/>
        </w:rPr>
        <w:t> </w:t>
      </w:r>
      <w:r>
        <w:rPr>
          <w:color w:val="231F20"/>
          <w:w w:val="110"/>
        </w:rPr>
        <w:t>mission.</w:t>
      </w:r>
      <w:r>
        <w:rPr>
          <w:color w:val="231F20"/>
          <w:spacing w:val="14"/>
          <w:w w:val="110"/>
        </w:rPr>
        <w:t> </w:t>
      </w:r>
      <w:r>
        <w:rPr>
          <w:color w:val="231F20"/>
          <w:w w:val="110"/>
        </w:rPr>
        <w:t>The</w:t>
      </w:r>
      <w:r>
        <w:rPr>
          <w:color w:val="231F20"/>
          <w:spacing w:val="14"/>
          <w:w w:val="110"/>
        </w:rPr>
        <w:t> </w:t>
      </w:r>
      <w:r>
        <w:rPr>
          <w:color w:val="231F20"/>
          <w:w w:val="110"/>
        </w:rPr>
        <w:t>United</w:t>
      </w:r>
      <w:r>
        <w:rPr>
          <w:color w:val="231F20"/>
          <w:spacing w:val="13"/>
          <w:w w:val="110"/>
        </w:rPr>
        <w:t> </w:t>
      </w:r>
      <w:r>
        <w:rPr>
          <w:color w:val="231F20"/>
          <w:w w:val="110"/>
        </w:rPr>
        <w:t>Reformed</w:t>
      </w:r>
      <w:r>
        <w:rPr>
          <w:color w:val="231F20"/>
          <w:spacing w:val="14"/>
          <w:w w:val="110"/>
        </w:rPr>
        <w:t> </w:t>
      </w:r>
      <w:r>
        <w:rPr>
          <w:color w:val="231F20"/>
          <w:w w:val="110"/>
        </w:rPr>
        <w:t>Church</w:t>
      </w:r>
    </w:p>
    <w:p>
      <w:pPr>
        <w:pStyle w:val="BodyText"/>
        <w:spacing w:line="273" w:lineRule="auto" w:before="1"/>
        <w:ind w:left="1240" w:right="1365"/>
      </w:pPr>
      <w:r>
        <w:rPr>
          <w:color w:val="231F20"/>
          <w:w w:val="110"/>
        </w:rPr>
        <w:t>has a good track record when it comes to service: for example Make Poverty History, Commitment for Life, Peacemaking etc. Perhaps the emphasis for our spiritually driven age should be on the sacramental?</w:t>
      </w:r>
    </w:p>
    <w:p>
      <w:pPr>
        <w:pStyle w:val="BodyText"/>
        <w:spacing w:before="9"/>
        <w:rPr>
          <w:sz w:val="20"/>
        </w:rPr>
      </w:pPr>
    </w:p>
    <w:p>
      <w:pPr>
        <w:pStyle w:val="ListParagraph"/>
        <w:numPr>
          <w:ilvl w:val="1"/>
          <w:numId w:val="80"/>
        </w:numPr>
        <w:tabs>
          <w:tab w:pos="1921" w:val="left" w:leader="none"/>
          <w:tab w:pos="1922" w:val="left" w:leader="none"/>
        </w:tabs>
        <w:spacing w:line="273" w:lineRule="auto" w:before="0" w:after="0"/>
        <w:ind w:left="1240" w:right="1223" w:firstLine="0"/>
        <w:jc w:val="left"/>
        <w:rPr>
          <w:sz w:val="18"/>
        </w:rPr>
      </w:pPr>
      <w:r>
        <w:rPr>
          <w:color w:val="231F20"/>
          <w:w w:val="110"/>
          <w:sz w:val="18"/>
        </w:rPr>
        <w:t>In a church where Ministers of Word and Sacrament are scarce, and vacancies long, we will increasingly need a dedicated and equipped Eldership to maintain and enhance the life and mission of the congregation. In churches of increasingly elderly members, the pastoral </w:t>
      </w:r>
      <w:r>
        <w:rPr>
          <w:color w:val="231F20"/>
          <w:spacing w:val="2"/>
          <w:w w:val="110"/>
          <w:sz w:val="18"/>
        </w:rPr>
        <w:t>care </w:t>
      </w:r>
      <w:r>
        <w:rPr>
          <w:color w:val="231F20"/>
          <w:w w:val="110"/>
          <w:sz w:val="18"/>
        </w:rPr>
        <w:t>burden will change. In a </w:t>
      </w:r>
      <w:r>
        <w:rPr>
          <w:color w:val="231F20"/>
          <w:spacing w:val="2"/>
          <w:w w:val="110"/>
          <w:sz w:val="18"/>
        </w:rPr>
        <w:t>society </w:t>
      </w:r>
      <w:r>
        <w:rPr>
          <w:color w:val="231F20"/>
          <w:w w:val="110"/>
          <w:sz w:val="18"/>
        </w:rPr>
        <w:t>which is bypassing the mainline churches, our </w:t>
      </w:r>
      <w:r>
        <w:rPr>
          <w:color w:val="231F20"/>
          <w:spacing w:val="2"/>
          <w:w w:val="110"/>
          <w:sz w:val="18"/>
        </w:rPr>
        <w:t>Elders </w:t>
      </w:r>
      <w:r>
        <w:rPr>
          <w:color w:val="231F20"/>
          <w:w w:val="110"/>
          <w:sz w:val="18"/>
        </w:rPr>
        <w:t>will need to play their </w:t>
      </w:r>
      <w:r>
        <w:rPr>
          <w:color w:val="231F20"/>
          <w:spacing w:val="2"/>
          <w:w w:val="110"/>
          <w:sz w:val="18"/>
        </w:rPr>
        <w:t>part </w:t>
      </w:r>
      <w:r>
        <w:rPr>
          <w:color w:val="231F20"/>
          <w:w w:val="110"/>
          <w:sz w:val="18"/>
        </w:rPr>
        <w:t>in enabling the Church to communicate to a non-churched population. All this points to a need for a well prepared and adequately supported Eldership. </w:t>
      </w:r>
      <w:r>
        <w:rPr>
          <w:color w:val="231F20"/>
          <w:spacing w:val="-3"/>
          <w:w w:val="110"/>
          <w:sz w:val="18"/>
        </w:rPr>
        <w:t>We </w:t>
      </w:r>
      <w:r>
        <w:rPr>
          <w:color w:val="231F20"/>
          <w:w w:val="110"/>
          <w:sz w:val="18"/>
        </w:rPr>
        <w:t>regard the question of identification of new </w:t>
      </w:r>
      <w:r>
        <w:rPr>
          <w:color w:val="231F20"/>
          <w:spacing w:val="2"/>
          <w:w w:val="110"/>
          <w:sz w:val="18"/>
        </w:rPr>
        <w:t>elders </w:t>
      </w:r>
      <w:r>
        <w:rPr>
          <w:color w:val="231F20"/>
          <w:w w:val="110"/>
          <w:sz w:val="18"/>
        </w:rPr>
        <w:t>and the training and continuing development of all </w:t>
      </w:r>
      <w:r>
        <w:rPr>
          <w:color w:val="231F20"/>
          <w:spacing w:val="2"/>
          <w:w w:val="110"/>
          <w:sz w:val="18"/>
        </w:rPr>
        <w:t>Elders </w:t>
      </w:r>
      <w:r>
        <w:rPr>
          <w:color w:val="231F20"/>
          <w:w w:val="110"/>
          <w:sz w:val="18"/>
        </w:rPr>
        <w:t>as</w:t>
      </w:r>
      <w:r>
        <w:rPr>
          <w:color w:val="231F20"/>
          <w:spacing w:val="38"/>
          <w:w w:val="110"/>
          <w:sz w:val="18"/>
        </w:rPr>
        <w:t> </w:t>
      </w:r>
      <w:r>
        <w:rPr>
          <w:color w:val="231F20"/>
          <w:w w:val="110"/>
          <w:sz w:val="18"/>
        </w:rPr>
        <w:t>crucial.</w:t>
      </w:r>
    </w:p>
    <w:p>
      <w:pPr>
        <w:pStyle w:val="BodyText"/>
        <w:rPr>
          <w:sz w:val="20"/>
        </w:rPr>
      </w:pPr>
    </w:p>
    <w:p>
      <w:pPr>
        <w:pStyle w:val="BodyText"/>
        <w:rPr>
          <w:sz w:val="20"/>
        </w:rPr>
      </w:pPr>
    </w:p>
    <w:p>
      <w:pPr>
        <w:pStyle w:val="BodyText"/>
        <w:rPr>
          <w:sz w:val="20"/>
        </w:rPr>
      </w:pPr>
    </w:p>
    <w:p>
      <w:pPr>
        <w:tabs>
          <w:tab w:pos="10311" w:val="right" w:leader="none"/>
        </w:tabs>
        <w:spacing w:before="199"/>
        <w:ind w:left="6847" w:right="0" w:firstLine="0"/>
        <w:jc w:val="left"/>
        <w:rPr>
          <w:rFonts w:ascii="Eurostile Bold"/>
          <w:b/>
          <w:sz w:val="24"/>
        </w:rPr>
      </w:pPr>
      <w:r>
        <w:rPr>
          <w:rFonts w:ascii="Eurostile Bold"/>
          <w:b/>
          <w:color w:val="A7A9AC"/>
          <w:w w:val="95"/>
          <w:sz w:val="24"/>
        </w:rPr>
        <w:t>General</w:t>
      </w:r>
      <w:r>
        <w:rPr>
          <w:rFonts w:ascii="Eurostile Bold"/>
          <w:b/>
          <w:color w:val="A7A9AC"/>
          <w:spacing w:val="-52"/>
          <w:w w:val="95"/>
          <w:sz w:val="24"/>
        </w:rPr>
        <w:t> </w:t>
      </w:r>
      <w:r>
        <w:rPr>
          <w:rFonts w:ascii="Eurostile Bold"/>
          <w:b/>
          <w:color w:val="A7A9AC"/>
          <w:w w:val="95"/>
          <w:sz w:val="24"/>
        </w:rPr>
        <w:t>Assembly</w:t>
      </w:r>
      <w:r>
        <w:rPr>
          <w:rFonts w:ascii="Eurostile Bold"/>
          <w:b/>
          <w:color w:val="A7A9AC"/>
          <w:spacing w:val="-52"/>
          <w:w w:val="95"/>
          <w:sz w:val="24"/>
        </w:rPr>
        <w:t> </w:t>
      </w:r>
      <w:r>
        <w:rPr>
          <w:rFonts w:ascii="Eurostile Bold"/>
          <w:b/>
          <w:color w:val="A7A9AC"/>
          <w:w w:val="95"/>
          <w:sz w:val="24"/>
        </w:rPr>
        <w:t>2007</w:t>
        <w:tab/>
      </w:r>
      <w:r>
        <w:rPr>
          <w:rFonts w:ascii="Eurostile Bold"/>
          <w:b/>
          <w:color w:val="231F20"/>
          <w:w w:val="95"/>
          <w:sz w:val="24"/>
        </w:rPr>
        <w:t>139</w:t>
      </w:r>
    </w:p>
    <w:p>
      <w:pPr>
        <w:spacing w:after="0"/>
        <w:jc w:val="left"/>
        <w:rPr>
          <w:rFonts w:ascii="Eurostile Bold"/>
          <w:sz w:val="24"/>
        </w:rPr>
        <w:sectPr>
          <w:headerReference w:type="default" r:id="rId196"/>
          <w:footerReference w:type="default" r:id="rId197"/>
          <w:pgSz w:w="11910" w:h="16840"/>
          <w:pgMar w:header="0" w:footer="0" w:top="460" w:bottom="280" w:left="460" w:right="0"/>
        </w:sectPr>
      </w:pPr>
    </w:p>
    <w:p>
      <w:pPr>
        <w:pStyle w:val="BodyText"/>
        <w:spacing w:before="8"/>
        <w:rPr>
          <w:rFonts w:ascii="Eurostile Bold"/>
          <w:b/>
          <w:sz w:val="21"/>
        </w:rPr>
      </w:pPr>
    </w:p>
    <w:p>
      <w:pPr>
        <w:pStyle w:val="ListParagraph"/>
        <w:numPr>
          <w:ilvl w:val="1"/>
          <w:numId w:val="80"/>
        </w:numPr>
        <w:tabs>
          <w:tab w:pos="1354" w:val="left" w:leader="none"/>
          <w:tab w:pos="1355" w:val="left" w:leader="none"/>
        </w:tabs>
        <w:spacing w:line="273" w:lineRule="auto" w:before="0" w:after="0"/>
        <w:ind w:left="673" w:right="1745" w:firstLine="0"/>
        <w:jc w:val="left"/>
        <w:rPr>
          <w:sz w:val="18"/>
        </w:rPr>
      </w:pPr>
      <w:r>
        <w:rPr>
          <w:color w:val="231F20"/>
          <w:w w:val="110"/>
          <w:sz w:val="18"/>
        </w:rPr>
        <w:t>Ordination </w:t>
      </w:r>
      <w:r>
        <w:rPr>
          <w:color w:val="231F20"/>
          <w:spacing w:val="2"/>
          <w:w w:val="110"/>
          <w:sz w:val="18"/>
        </w:rPr>
        <w:t>sets </w:t>
      </w:r>
      <w:r>
        <w:rPr>
          <w:color w:val="231F20"/>
          <w:w w:val="110"/>
          <w:sz w:val="18"/>
        </w:rPr>
        <w:t>the newly ordained </w:t>
      </w:r>
      <w:r>
        <w:rPr>
          <w:color w:val="231F20"/>
          <w:spacing w:val="2"/>
          <w:w w:val="110"/>
          <w:sz w:val="18"/>
        </w:rPr>
        <w:t>person </w:t>
      </w:r>
      <w:r>
        <w:rPr>
          <w:color w:val="231F20"/>
          <w:w w:val="110"/>
          <w:sz w:val="18"/>
        </w:rPr>
        <w:t>in a </w:t>
      </w:r>
      <w:r>
        <w:rPr>
          <w:color w:val="231F20"/>
          <w:spacing w:val="2"/>
          <w:w w:val="110"/>
          <w:sz w:val="18"/>
        </w:rPr>
        <w:t>fresh </w:t>
      </w:r>
      <w:r>
        <w:rPr>
          <w:color w:val="231F20"/>
          <w:w w:val="110"/>
          <w:sz w:val="18"/>
        </w:rPr>
        <w:t>relationship to the congregation, and this needs understanding humbly and positively. It is important that the local church, in fellowship with the wider Church, marks that passage in a refreshing liturgical manner. Ordination is that </w:t>
      </w:r>
      <w:r>
        <w:rPr>
          <w:color w:val="231F20"/>
          <w:spacing w:val="2"/>
          <w:w w:val="110"/>
          <w:sz w:val="18"/>
        </w:rPr>
        <w:t>setting apart </w:t>
      </w:r>
      <w:r>
        <w:rPr>
          <w:color w:val="231F20"/>
          <w:w w:val="110"/>
          <w:sz w:val="18"/>
        </w:rPr>
        <w:t>appropriate for ministries which have been established, through testing over time, as central to the life of the Church. In principle we are not averse to extending ordination to include other ministries which prove themselves in this</w:t>
      </w:r>
      <w:r>
        <w:rPr>
          <w:color w:val="231F20"/>
          <w:spacing w:val="4"/>
          <w:w w:val="110"/>
          <w:sz w:val="18"/>
        </w:rPr>
        <w:t> </w:t>
      </w:r>
      <w:r>
        <w:rPr>
          <w:color w:val="231F20"/>
          <w:spacing w:val="-5"/>
          <w:w w:val="110"/>
          <w:sz w:val="18"/>
        </w:rPr>
        <w:t>way.</w:t>
      </w:r>
    </w:p>
    <w:p>
      <w:pPr>
        <w:pStyle w:val="BodyText"/>
        <w:spacing w:before="11"/>
        <w:rPr>
          <w:sz w:val="20"/>
        </w:rPr>
      </w:pPr>
    </w:p>
    <w:p>
      <w:pPr>
        <w:pStyle w:val="ListParagraph"/>
        <w:numPr>
          <w:ilvl w:val="1"/>
          <w:numId w:val="80"/>
        </w:numPr>
        <w:tabs>
          <w:tab w:pos="1354" w:val="left" w:leader="none"/>
          <w:tab w:pos="1355" w:val="left" w:leader="none"/>
        </w:tabs>
        <w:spacing w:line="273" w:lineRule="auto" w:before="0" w:after="0"/>
        <w:ind w:left="673" w:right="1824" w:firstLine="0"/>
        <w:jc w:val="left"/>
        <w:rPr>
          <w:sz w:val="18"/>
        </w:rPr>
      </w:pPr>
      <w:r>
        <w:rPr>
          <w:color w:val="231F20"/>
          <w:w w:val="110"/>
          <w:sz w:val="18"/>
        </w:rPr>
        <w:t>For the Reformers, following the </w:t>
      </w:r>
      <w:r>
        <w:rPr>
          <w:color w:val="231F20"/>
          <w:spacing w:val="2"/>
          <w:w w:val="110"/>
          <w:sz w:val="18"/>
        </w:rPr>
        <w:t>pattern </w:t>
      </w:r>
      <w:r>
        <w:rPr>
          <w:color w:val="231F20"/>
          <w:w w:val="110"/>
          <w:sz w:val="18"/>
        </w:rPr>
        <w:t>of the Apostolic Church, Minister and </w:t>
      </w:r>
      <w:r>
        <w:rPr>
          <w:color w:val="231F20"/>
          <w:spacing w:val="2"/>
          <w:w w:val="110"/>
          <w:sz w:val="18"/>
        </w:rPr>
        <w:t>Elders </w:t>
      </w:r>
      <w:r>
        <w:rPr>
          <w:color w:val="231F20"/>
          <w:w w:val="110"/>
          <w:sz w:val="18"/>
        </w:rPr>
        <w:t>first </w:t>
      </w:r>
      <w:r>
        <w:rPr>
          <w:color w:val="231F20"/>
          <w:spacing w:val="2"/>
          <w:w w:val="110"/>
          <w:sz w:val="18"/>
        </w:rPr>
        <w:t>focussed </w:t>
      </w:r>
      <w:r>
        <w:rPr>
          <w:color w:val="231F20"/>
          <w:w w:val="110"/>
          <w:sz w:val="18"/>
        </w:rPr>
        <w:t>around the Word and Sacraments as the means by which God in Christ drew near and fed the people. </w:t>
      </w:r>
      <w:r>
        <w:rPr>
          <w:color w:val="231F20"/>
          <w:spacing w:val="2"/>
          <w:w w:val="110"/>
          <w:sz w:val="18"/>
        </w:rPr>
        <w:t>These </w:t>
      </w:r>
      <w:r>
        <w:rPr>
          <w:color w:val="231F20"/>
          <w:w w:val="110"/>
          <w:sz w:val="18"/>
        </w:rPr>
        <w:t>days that </w:t>
      </w:r>
      <w:r>
        <w:rPr>
          <w:color w:val="231F20"/>
          <w:spacing w:val="2"/>
          <w:w w:val="110"/>
          <w:sz w:val="18"/>
        </w:rPr>
        <w:t>starting </w:t>
      </w:r>
      <w:r>
        <w:rPr>
          <w:color w:val="231F20"/>
          <w:w w:val="110"/>
          <w:sz w:val="18"/>
        </w:rPr>
        <w:t>point continues to inspire ideas of Minister and </w:t>
      </w:r>
      <w:r>
        <w:rPr>
          <w:color w:val="231F20"/>
          <w:spacing w:val="2"/>
          <w:w w:val="110"/>
          <w:sz w:val="18"/>
        </w:rPr>
        <w:t>Elders </w:t>
      </w:r>
      <w:r>
        <w:rPr>
          <w:color w:val="231F20"/>
          <w:w w:val="110"/>
          <w:sz w:val="18"/>
        </w:rPr>
        <w:t>working together so that through them God may equip and enable God’s people for </w:t>
      </w:r>
      <w:r>
        <w:rPr>
          <w:color w:val="231F20"/>
          <w:spacing w:val="2"/>
          <w:w w:val="110"/>
          <w:sz w:val="18"/>
        </w:rPr>
        <w:t>service. </w:t>
      </w:r>
      <w:r>
        <w:rPr>
          <w:color w:val="231F20"/>
          <w:spacing w:val="-8"/>
          <w:w w:val="110"/>
          <w:sz w:val="18"/>
        </w:rPr>
        <w:t>To </w:t>
      </w:r>
      <w:r>
        <w:rPr>
          <w:color w:val="231F20"/>
          <w:w w:val="110"/>
          <w:sz w:val="18"/>
        </w:rPr>
        <w:t>this end there will be those set </w:t>
      </w:r>
      <w:r>
        <w:rPr>
          <w:color w:val="231F20"/>
          <w:spacing w:val="2"/>
          <w:w w:val="110"/>
          <w:sz w:val="18"/>
        </w:rPr>
        <w:t>apart </w:t>
      </w:r>
      <w:r>
        <w:rPr>
          <w:color w:val="231F20"/>
          <w:w w:val="110"/>
          <w:sz w:val="18"/>
        </w:rPr>
        <w:t>to particular Ministries</w:t>
      </w:r>
      <w:r>
        <w:rPr>
          <w:color w:val="231F20"/>
          <w:spacing w:val="8"/>
          <w:w w:val="110"/>
          <w:sz w:val="18"/>
        </w:rPr>
        <w:t> </w:t>
      </w:r>
      <w:r>
        <w:rPr>
          <w:color w:val="231F20"/>
          <w:w w:val="110"/>
          <w:sz w:val="18"/>
        </w:rPr>
        <w:t>of</w:t>
      </w:r>
      <w:r>
        <w:rPr>
          <w:color w:val="231F20"/>
          <w:spacing w:val="8"/>
          <w:w w:val="110"/>
          <w:sz w:val="18"/>
        </w:rPr>
        <w:t> </w:t>
      </w:r>
      <w:r>
        <w:rPr>
          <w:color w:val="231F20"/>
          <w:w w:val="110"/>
          <w:sz w:val="18"/>
        </w:rPr>
        <w:t>Word</w:t>
      </w:r>
      <w:r>
        <w:rPr>
          <w:color w:val="231F20"/>
          <w:spacing w:val="8"/>
          <w:w w:val="110"/>
          <w:sz w:val="18"/>
        </w:rPr>
        <w:t> </w:t>
      </w:r>
      <w:r>
        <w:rPr>
          <w:color w:val="231F20"/>
          <w:w w:val="110"/>
          <w:sz w:val="18"/>
        </w:rPr>
        <w:t>and</w:t>
      </w:r>
      <w:r>
        <w:rPr>
          <w:color w:val="231F20"/>
          <w:spacing w:val="9"/>
          <w:w w:val="110"/>
          <w:sz w:val="18"/>
        </w:rPr>
        <w:t> </w:t>
      </w:r>
      <w:r>
        <w:rPr>
          <w:color w:val="231F20"/>
          <w:w w:val="110"/>
          <w:sz w:val="18"/>
        </w:rPr>
        <w:t>Sacraments</w:t>
      </w:r>
      <w:r>
        <w:rPr>
          <w:color w:val="231F20"/>
          <w:spacing w:val="8"/>
          <w:w w:val="110"/>
          <w:sz w:val="18"/>
        </w:rPr>
        <w:t> </w:t>
      </w:r>
      <w:r>
        <w:rPr>
          <w:color w:val="231F20"/>
          <w:w w:val="110"/>
          <w:sz w:val="18"/>
        </w:rPr>
        <w:t>and</w:t>
      </w:r>
      <w:r>
        <w:rPr>
          <w:color w:val="231F20"/>
          <w:spacing w:val="8"/>
          <w:w w:val="110"/>
          <w:sz w:val="18"/>
        </w:rPr>
        <w:t> </w:t>
      </w:r>
      <w:r>
        <w:rPr>
          <w:color w:val="231F20"/>
          <w:w w:val="110"/>
          <w:sz w:val="18"/>
        </w:rPr>
        <w:t>those</w:t>
      </w:r>
      <w:r>
        <w:rPr>
          <w:color w:val="231F20"/>
          <w:spacing w:val="8"/>
          <w:w w:val="110"/>
          <w:sz w:val="18"/>
        </w:rPr>
        <w:t> </w:t>
      </w:r>
      <w:r>
        <w:rPr>
          <w:color w:val="231F20"/>
          <w:w w:val="110"/>
          <w:sz w:val="18"/>
        </w:rPr>
        <w:t>called</w:t>
      </w:r>
      <w:r>
        <w:rPr>
          <w:color w:val="231F20"/>
          <w:spacing w:val="9"/>
          <w:w w:val="110"/>
          <w:sz w:val="18"/>
        </w:rPr>
        <w:t> </w:t>
      </w:r>
      <w:r>
        <w:rPr>
          <w:color w:val="231F20"/>
          <w:spacing w:val="2"/>
          <w:w w:val="110"/>
          <w:sz w:val="18"/>
        </w:rPr>
        <w:t>Elders</w:t>
      </w:r>
      <w:r>
        <w:rPr>
          <w:color w:val="231F20"/>
          <w:spacing w:val="8"/>
          <w:w w:val="110"/>
          <w:sz w:val="18"/>
        </w:rPr>
        <w:t> </w:t>
      </w:r>
      <w:r>
        <w:rPr>
          <w:color w:val="231F20"/>
          <w:w w:val="110"/>
          <w:sz w:val="18"/>
        </w:rPr>
        <w:t>who</w:t>
      </w:r>
      <w:r>
        <w:rPr>
          <w:color w:val="231F20"/>
          <w:spacing w:val="8"/>
          <w:w w:val="110"/>
          <w:sz w:val="18"/>
        </w:rPr>
        <w:t> </w:t>
      </w:r>
      <w:r>
        <w:rPr>
          <w:color w:val="231F20"/>
          <w:w w:val="110"/>
          <w:sz w:val="18"/>
        </w:rPr>
        <w:t>will</w:t>
      </w:r>
      <w:r>
        <w:rPr>
          <w:color w:val="231F20"/>
          <w:spacing w:val="8"/>
          <w:w w:val="110"/>
          <w:sz w:val="18"/>
        </w:rPr>
        <w:t> </w:t>
      </w:r>
      <w:r>
        <w:rPr>
          <w:color w:val="231F20"/>
          <w:w w:val="110"/>
          <w:sz w:val="18"/>
        </w:rPr>
        <w:t>share</w:t>
      </w:r>
      <w:r>
        <w:rPr>
          <w:color w:val="231F20"/>
          <w:spacing w:val="9"/>
          <w:w w:val="110"/>
          <w:sz w:val="18"/>
        </w:rPr>
        <w:t> </w:t>
      </w:r>
      <w:r>
        <w:rPr>
          <w:color w:val="231F20"/>
          <w:w w:val="110"/>
          <w:sz w:val="18"/>
        </w:rPr>
        <w:t>with</w:t>
      </w:r>
      <w:r>
        <w:rPr>
          <w:color w:val="231F20"/>
          <w:spacing w:val="8"/>
          <w:w w:val="110"/>
          <w:sz w:val="18"/>
        </w:rPr>
        <w:t> </w:t>
      </w:r>
      <w:r>
        <w:rPr>
          <w:color w:val="231F20"/>
          <w:w w:val="110"/>
          <w:sz w:val="18"/>
        </w:rPr>
        <w:t>them</w:t>
      </w:r>
    </w:p>
    <w:p>
      <w:pPr>
        <w:pStyle w:val="BodyText"/>
        <w:spacing w:line="273" w:lineRule="auto" w:before="4"/>
        <w:ind w:left="673" w:right="1957"/>
      </w:pPr>
      <w:r>
        <w:rPr>
          <w:color w:val="231F20"/>
          <w:w w:val="110"/>
        </w:rPr>
        <w:t>in oversight in order to equip the whole Church. Together they will feed the people of God and take responsibility for pastoral care, spiritual health and the discernment and nurture of God-given </w:t>
      </w:r>
      <w:r>
        <w:rPr>
          <w:color w:val="231F20"/>
          <w:spacing w:val="2"/>
          <w:w w:val="110"/>
        </w:rPr>
        <w:t>gifts </w:t>
      </w:r>
      <w:r>
        <w:rPr>
          <w:color w:val="231F20"/>
          <w:w w:val="110"/>
        </w:rPr>
        <w:t>and talents in others. Through this shared ministry they   also have a representative role in the wider councils of the Church and ecumenically. Out of this equipping many other ministries have emerged and will emerge. </w:t>
      </w:r>
      <w:r>
        <w:rPr>
          <w:color w:val="231F20"/>
          <w:spacing w:val="-3"/>
          <w:w w:val="110"/>
        </w:rPr>
        <w:t>We </w:t>
      </w:r>
      <w:r>
        <w:rPr>
          <w:color w:val="231F20"/>
          <w:w w:val="110"/>
        </w:rPr>
        <w:t>wish particularly</w:t>
      </w:r>
      <w:r>
        <w:rPr>
          <w:color w:val="231F20"/>
          <w:spacing w:val="12"/>
          <w:w w:val="110"/>
        </w:rPr>
        <w:t> </w:t>
      </w:r>
      <w:r>
        <w:rPr>
          <w:color w:val="231F20"/>
          <w:w w:val="110"/>
        </w:rPr>
        <w:t>to</w:t>
      </w:r>
      <w:r>
        <w:rPr>
          <w:color w:val="231F20"/>
          <w:spacing w:val="12"/>
          <w:w w:val="110"/>
        </w:rPr>
        <w:t> </w:t>
      </w:r>
      <w:r>
        <w:rPr>
          <w:color w:val="231F20"/>
          <w:spacing w:val="2"/>
          <w:w w:val="110"/>
        </w:rPr>
        <w:t>affirm</w:t>
      </w:r>
      <w:r>
        <w:rPr>
          <w:color w:val="231F20"/>
          <w:spacing w:val="13"/>
          <w:w w:val="110"/>
        </w:rPr>
        <w:t> </w:t>
      </w:r>
      <w:r>
        <w:rPr>
          <w:color w:val="231F20"/>
          <w:w w:val="110"/>
        </w:rPr>
        <w:t>those</w:t>
      </w:r>
      <w:r>
        <w:rPr>
          <w:color w:val="231F20"/>
          <w:spacing w:val="12"/>
          <w:w w:val="110"/>
        </w:rPr>
        <w:t> </w:t>
      </w:r>
      <w:r>
        <w:rPr>
          <w:color w:val="231F20"/>
          <w:w w:val="110"/>
        </w:rPr>
        <w:t>of</w:t>
      </w:r>
      <w:r>
        <w:rPr>
          <w:color w:val="231F20"/>
          <w:spacing w:val="13"/>
          <w:w w:val="110"/>
        </w:rPr>
        <w:t> </w:t>
      </w:r>
      <w:r>
        <w:rPr>
          <w:color w:val="231F20"/>
          <w:w w:val="110"/>
        </w:rPr>
        <w:t>Church</w:t>
      </w:r>
      <w:r>
        <w:rPr>
          <w:color w:val="231F20"/>
          <w:spacing w:val="12"/>
          <w:w w:val="110"/>
        </w:rPr>
        <w:t> </w:t>
      </w:r>
      <w:r>
        <w:rPr>
          <w:color w:val="231F20"/>
          <w:w w:val="110"/>
        </w:rPr>
        <w:t>Related</w:t>
      </w:r>
      <w:r>
        <w:rPr>
          <w:color w:val="231F20"/>
          <w:spacing w:val="13"/>
          <w:w w:val="110"/>
        </w:rPr>
        <w:t> </w:t>
      </w:r>
      <w:r>
        <w:rPr>
          <w:color w:val="231F20"/>
          <w:w w:val="110"/>
        </w:rPr>
        <w:t>Community</w:t>
      </w:r>
      <w:r>
        <w:rPr>
          <w:color w:val="231F20"/>
          <w:spacing w:val="12"/>
          <w:w w:val="110"/>
        </w:rPr>
        <w:t> </w:t>
      </w:r>
      <w:r>
        <w:rPr>
          <w:color w:val="231F20"/>
          <w:w w:val="110"/>
        </w:rPr>
        <w:t>Workers</w:t>
      </w:r>
      <w:r>
        <w:rPr>
          <w:color w:val="231F20"/>
          <w:spacing w:val="13"/>
          <w:w w:val="110"/>
        </w:rPr>
        <w:t> </w:t>
      </w:r>
      <w:r>
        <w:rPr>
          <w:color w:val="231F20"/>
          <w:w w:val="110"/>
        </w:rPr>
        <w:t>and</w:t>
      </w:r>
      <w:r>
        <w:rPr>
          <w:color w:val="231F20"/>
          <w:spacing w:val="12"/>
          <w:w w:val="110"/>
        </w:rPr>
        <w:t> </w:t>
      </w:r>
      <w:r>
        <w:rPr>
          <w:color w:val="231F20"/>
          <w:w w:val="110"/>
        </w:rPr>
        <w:t>Lay</w:t>
      </w:r>
      <w:r>
        <w:rPr>
          <w:color w:val="231F20"/>
          <w:spacing w:val="13"/>
          <w:w w:val="110"/>
        </w:rPr>
        <w:t> </w:t>
      </w:r>
      <w:r>
        <w:rPr>
          <w:color w:val="231F20"/>
          <w:spacing w:val="2"/>
          <w:w w:val="110"/>
        </w:rPr>
        <w:t>Preachers.</w:t>
      </w:r>
    </w:p>
    <w:p>
      <w:pPr>
        <w:pStyle w:val="BodyText"/>
        <w:spacing w:before="11"/>
        <w:rPr>
          <w:sz w:val="20"/>
        </w:rPr>
      </w:pPr>
    </w:p>
    <w:p>
      <w:pPr>
        <w:pStyle w:val="ListParagraph"/>
        <w:numPr>
          <w:ilvl w:val="1"/>
          <w:numId w:val="80"/>
        </w:numPr>
        <w:tabs>
          <w:tab w:pos="1354" w:val="left" w:leader="none"/>
          <w:tab w:pos="1355" w:val="left" w:leader="none"/>
        </w:tabs>
        <w:spacing w:line="240" w:lineRule="auto" w:before="0" w:after="0"/>
        <w:ind w:left="1354" w:right="0" w:hanging="682"/>
        <w:jc w:val="left"/>
        <w:rPr>
          <w:sz w:val="18"/>
        </w:rPr>
      </w:pPr>
      <w:r>
        <w:rPr>
          <w:color w:val="231F20"/>
          <w:spacing w:val="-3"/>
          <w:w w:val="110"/>
          <w:sz w:val="18"/>
        </w:rPr>
        <w:t>We </w:t>
      </w:r>
      <w:r>
        <w:rPr>
          <w:color w:val="231F20"/>
          <w:w w:val="110"/>
          <w:sz w:val="18"/>
        </w:rPr>
        <w:t>ask for </w:t>
      </w:r>
      <w:r>
        <w:rPr>
          <w:color w:val="231F20"/>
          <w:spacing w:val="2"/>
          <w:w w:val="110"/>
          <w:sz w:val="18"/>
        </w:rPr>
        <w:t>further </w:t>
      </w:r>
      <w:r>
        <w:rPr>
          <w:color w:val="231F20"/>
          <w:w w:val="110"/>
          <w:sz w:val="18"/>
        </w:rPr>
        <w:t>work on the</w:t>
      </w:r>
      <w:r>
        <w:rPr>
          <w:color w:val="231F20"/>
          <w:spacing w:val="9"/>
          <w:w w:val="110"/>
          <w:sz w:val="18"/>
        </w:rPr>
        <w:t> </w:t>
      </w:r>
      <w:r>
        <w:rPr>
          <w:color w:val="231F20"/>
          <w:w w:val="110"/>
          <w:sz w:val="18"/>
        </w:rPr>
        <w:t>following:</w:t>
      </w:r>
    </w:p>
    <w:p>
      <w:pPr>
        <w:pStyle w:val="BodyText"/>
        <w:spacing w:before="7"/>
        <w:rPr>
          <w:sz w:val="20"/>
        </w:rPr>
      </w:pPr>
    </w:p>
    <w:p>
      <w:pPr>
        <w:pStyle w:val="ListParagraph"/>
        <w:numPr>
          <w:ilvl w:val="0"/>
          <w:numId w:val="2"/>
        </w:numPr>
        <w:tabs>
          <w:tab w:pos="1354" w:val="left" w:leader="none"/>
          <w:tab w:pos="1355" w:val="left" w:leader="none"/>
        </w:tabs>
        <w:spacing w:line="292" w:lineRule="exact" w:before="0" w:after="0"/>
        <w:ind w:left="1354" w:right="0" w:hanging="682"/>
        <w:jc w:val="left"/>
        <w:rPr>
          <w:color w:val="231F20"/>
          <w:sz w:val="25"/>
        </w:rPr>
      </w:pPr>
      <w:r>
        <w:rPr>
          <w:color w:val="231F20"/>
          <w:w w:val="110"/>
          <w:sz w:val="18"/>
        </w:rPr>
        <w:t>Models of good </w:t>
      </w:r>
      <w:r>
        <w:rPr>
          <w:color w:val="231F20"/>
          <w:spacing w:val="2"/>
          <w:w w:val="110"/>
          <w:sz w:val="18"/>
        </w:rPr>
        <w:t>practice </w:t>
      </w:r>
      <w:r>
        <w:rPr>
          <w:color w:val="231F20"/>
          <w:w w:val="110"/>
          <w:sz w:val="18"/>
        </w:rPr>
        <w:t>in identification of new elders, their preparation</w:t>
      </w:r>
      <w:r>
        <w:rPr>
          <w:color w:val="231F20"/>
          <w:spacing w:val="41"/>
          <w:w w:val="110"/>
          <w:sz w:val="18"/>
        </w:rPr>
        <w:t> </w:t>
      </w:r>
      <w:r>
        <w:rPr>
          <w:color w:val="231F20"/>
          <w:spacing w:val="2"/>
          <w:w w:val="110"/>
          <w:sz w:val="18"/>
        </w:rPr>
        <w:t>before</w:t>
      </w:r>
    </w:p>
    <w:p>
      <w:pPr>
        <w:pStyle w:val="BodyText"/>
        <w:spacing w:line="207" w:lineRule="exact"/>
        <w:ind w:left="1354"/>
      </w:pPr>
      <w:r>
        <w:rPr>
          <w:color w:val="231F20"/>
          <w:w w:val="110"/>
        </w:rPr>
        <w:t>and continuing development after ordination.</w:t>
      </w: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Models of good </w:t>
      </w:r>
      <w:r>
        <w:rPr>
          <w:color w:val="231F20"/>
          <w:spacing w:val="2"/>
          <w:w w:val="110"/>
          <w:sz w:val="18"/>
        </w:rPr>
        <w:t>practice </w:t>
      </w:r>
      <w:r>
        <w:rPr>
          <w:color w:val="231F20"/>
          <w:w w:val="110"/>
          <w:sz w:val="18"/>
        </w:rPr>
        <w:t>in the conduct, content and oversight of Elders’</w:t>
      </w:r>
      <w:r>
        <w:rPr>
          <w:color w:val="231F20"/>
          <w:spacing w:val="54"/>
          <w:w w:val="110"/>
          <w:sz w:val="18"/>
        </w:rPr>
        <w:t> </w:t>
      </w:r>
      <w:r>
        <w:rPr>
          <w:color w:val="231F20"/>
          <w:w w:val="110"/>
          <w:sz w:val="18"/>
        </w:rPr>
        <w:t>Meetings.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Teasing out theologically the </w:t>
      </w:r>
      <w:r>
        <w:rPr>
          <w:color w:val="231F20"/>
          <w:spacing w:val="2"/>
          <w:w w:val="110"/>
          <w:sz w:val="18"/>
        </w:rPr>
        <w:t>differences </w:t>
      </w:r>
      <w:r>
        <w:rPr>
          <w:color w:val="231F20"/>
          <w:w w:val="110"/>
          <w:sz w:val="18"/>
        </w:rPr>
        <w:t>between ordination and</w:t>
      </w:r>
      <w:r>
        <w:rPr>
          <w:color w:val="231F20"/>
          <w:spacing w:val="31"/>
          <w:w w:val="110"/>
          <w:sz w:val="18"/>
        </w:rPr>
        <w:t> </w:t>
      </w:r>
      <w:r>
        <w:rPr>
          <w:color w:val="231F20"/>
          <w:w w:val="110"/>
          <w:sz w:val="18"/>
        </w:rPr>
        <w:t>commissioning.</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The biblical </w:t>
      </w:r>
      <w:r>
        <w:rPr>
          <w:color w:val="231F20"/>
          <w:spacing w:val="2"/>
          <w:w w:val="110"/>
          <w:sz w:val="18"/>
        </w:rPr>
        <w:t>roots </w:t>
      </w:r>
      <w:r>
        <w:rPr>
          <w:color w:val="231F20"/>
          <w:w w:val="110"/>
          <w:sz w:val="18"/>
        </w:rPr>
        <w:t>of the language and </w:t>
      </w:r>
      <w:r>
        <w:rPr>
          <w:color w:val="231F20"/>
          <w:spacing w:val="2"/>
          <w:w w:val="110"/>
          <w:sz w:val="18"/>
        </w:rPr>
        <w:t>practice </w:t>
      </w:r>
      <w:r>
        <w:rPr>
          <w:color w:val="231F20"/>
          <w:w w:val="110"/>
          <w:sz w:val="18"/>
        </w:rPr>
        <w:t>of particular</w:t>
      </w:r>
      <w:r>
        <w:rPr>
          <w:color w:val="231F20"/>
          <w:spacing w:val="25"/>
          <w:w w:val="110"/>
          <w:sz w:val="18"/>
        </w:rPr>
        <w:t> </w:t>
      </w:r>
      <w:r>
        <w:rPr>
          <w:color w:val="231F20"/>
          <w:w w:val="110"/>
          <w:sz w:val="18"/>
        </w:rPr>
        <w:t>ministries.</w:t>
      </w:r>
    </w:p>
    <w:p>
      <w:pPr>
        <w:pStyle w:val="ListParagraph"/>
        <w:numPr>
          <w:ilvl w:val="0"/>
          <w:numId w:val="2"/>
        </w:numPr>
        <w:tabs>
          <w:tab w:pos="1354" w:val="left" w:leader="none"/>
          <w:tab w:pos="1355" w:val="left" w:leader="none"/>
        </w:tabs>
        <w:spacing w:line="218" w:lineRule="auto" w:before="0" w:after="0"/>
        <w:ind w:left="1354" w:right="1732" w:hanging="681"/>
        <w:jc w:val="left"/>
        <w:rPr>
          <w:color w:val="231F20"/>
          <w:sz w:val="25"/>
        </w:rPr>
      </w:pPr>
      <w:r>
        <w:rPr>
          <w:color w:val="231F20"/>
          <w:w w:val="110"/>
          <w:sz w:val="18"/>
        </w:rPr>
        <w:t>The consequences of the </w:t>
      </w:r>
      <w:r>
        <w:rPr>
          <w:color w:val="231F20"/>
          <w:spacing w:val="2"/>
          <w:w w:val="110"/>
          <w:sz w:val="18"/>
        </w:rPr>
        <w:t>fact </w:t>
      </w:r>
      <w:r>
        <w:rPr>
          <w:color w:val="231F20"/>
          <w:w w:val="110"/>
          <w:sz w:val="18"/>
        </w:rPr>
        <w:t>that the whole membership of the Church, including the</w:t>
      </w:r>
      <w:r>
        <w:rPr>
          <w:color w:val="231F20"/>
          <w:spacing w:val="10"/>
          <w:w w:val="110"/>
          <w:sz w:val="18"/>
        </w:rPr>
        <w:t> </w:t>
      </w:r>
      <w:r>
        <w:rPr>
          <w:color w:val="231F20"/>
          <w:w w:val="110"/>
          <w:sz w:val="18"/>
        </w:rPr>
        <w:t>clergy,</w:t>
      </w:r>
      <w:r>
        <w:rPr>
          <w:color w:val="231F20"/>
          <w:spacing w:val="10"/>
          <w:w w:val="110"/>
          <w:sz w:val="18"/>
        </w:rPr>
        <w:t> </w:t>
      </w:r>
      <w:r>
        <w:rPr>
          <w:color w:val="231F20"/>
          <w:w w:val="110"/>
          <w:sz w:val="18"/>
        </w:rPr>
        <w:t>is</w:t>
      </w:r>
      <w:r>
        <w:rPr>
          <w:color w:val="231F20"/>
          <w:spacing w:val="10"/>
          <w:w w:val="110"/>
          <w:sz w:val="18"/>
        </w:rPr>
        <w:t> </w:t>
      </w:r>
      <w:r>
        <w:rPr>
          <w:color w:val="231F20"/>
          <w:w w:val="110"/>
          <w:sz w:val="18"/>
        </w:rPr>
        <w:t>primarily</w:t>
      </w:r>
      <w:r>
        <w:rPr>
          <w:color w:val="231F20"/>
          <w:spacing w:val="10"/>
          <w:w w:val="110"/>
          <w:sz w:val="18"/>
        </w:rPr>
        <w:t> </w:t>
      </w:r>
      <w:r>
        <w:rPr>
          <w:color w:val="231F20"/>
          <w:spacing w:val="-3"/>
          <w:w w:val="110"/>
          <w:sz w:val="18"/>
        </w:rPr>
        <w:t>“lay”,</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the</w:t>
      </w:r>
      <w:r>
        <w:rPr>
          <w:color w:val="231F20"/>
          <w:spacing w:val="10"/>
          <w:w w:val="110"/>
          <w:sz w:val="18"/>
        </w:rPr>
        <w:t> </w:t>
      </w:r>
      <w:r>
        <w:rPr>
          <w:color w:val="231F20"/>
          <w:spacing w:val="4"/>
          <w:w w:val="110"/>
          <w:sz w:val="18"/>
        </w:rPr>
        <w:t>effects</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making</w:t>
      </w:r>
      <w:r>
        <w:rPr>
          <w:color w:val="231F20"/>
          <w:spacing w:val="10"/>
          <w:w w:val="110"/>
          <w:sz w:val="18"/>
        </w:rPr>
        <w:t> </w:t>
      </w:r>
      <w:r>
        <w:rPr>
          <w:color w:val="231F20"/>
          <w:w w:val="110"/>
          <w:sz w:val="18"/>
        </w:rPr>
        <w:t>distinctions</w:t>
      </w:r>
      <w:r>
        <w:rPr>
          <w:color w:val="231F20"/>
          <w:spacing w:val="10"/>
          <w:w w:val="110"/>
          <w:sz w:val="18"/>
        </w:rPr>
        <w:t> </w:t>
      </w:r>
      <w:r>
        <w:rPr>
          <w:color w:val="231F20"/>
          <w:w w:val="110"/>
          <w:sz w:val="18"/>
        </w:rPr>
        <w:t>between</w:t>
      </w:r>
      <w:r>
        <w:rPr>
          <w:color w:val="231F20"/>
          <w:spacing w:val="10"/>
          <w:w w:val="110"/>
          <w:sz w:val="18"/>
        </w:rPr>
        <w:t> </w:t>
      </w:r>
      <w:r>
        <w:rPr>
          <w:color w:val="231F20"/>
          <w:w w:val="110"/>
          <w:sz w:val="18"/>
        </w:rPr>
        <w:t>“lay”</w:t>
      </w:r>
    </w:p>
    <w:p>
      <w:pPr>
        <w:pStyle w:val="BodyText"/>
        <w:spacing w:before="28"/>
        <w:ind w:left="1354"/>
      </w:pPr>
      <w:r>
        <w:rPr>
          <w:color w:val="231F20"/>
          <w:w w:val="110"/>
        </w:rPr>
        <w:t>and “ordained”.</w:t>
      </w: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Continuity and change in ecumenical understandings of</w:t>
      </w:r>
      <w:r>
        <w:rPr>
          <w:color w:val="231F20"/>
          <w:spacing w:val="20"/>
          <w:w w:val="110"/>
          <w:sz w:val="18"/>
        </w:rPr>
        <w:t> </w:t>
      </w:r>
      <w:r>
        <w:rPr>
          <w:color w:val="231F20"/>
          <w:w w:val="110"/>
          <w:sz w:val="18"/>
        </w:rPr>
        <w:t>ordination.</w:t>
      </w:r>
    </w:p>
    <w:p>
      <w:pPr>
        <w:pStyle w:val="ListParagraph"/>
        <w:numPr>
          <w:ilvl w:val="0"/>
          <w:numId w:val="2"/>
        </w:numPr>
        <w:tabs>
          <w:tab w:pos="1354" w:val="left" w:leader="none"/>
          <w:tab w:pos="1355" w:val="left" w:leader="none"/>
        </w:tabs>
        <w:spacing w:line="218" w:lineRule="auto" w:before="0" w:after="0"/>
        <w:ind w:left="1354" w:right="2556" w:hanging="681"/>
        <w:jc w:val="left"/>
        <w:rPr>
          <w:color w:val="231F20"/>
          <w:sz w:val="25"/>
        </w:rPr>
      </w:pPr>
      <w:r>
        <w:rPr>
          <w:color w:val="231F20"/>
          <w:w w:val="110"/>
          <w:sz w:val="18"/>
        </w:rPr>
        <w:t>What our liturgies of induction and ordination reveal about our theological intentions and</w:t>
      </w:r>
      <w:r>
        <w:rPr>
          <w:color w:val="231F20"/>
          <w:spacing w:val="2"/>
          <w:w w:val="110"/>
          <w:sz w:val="18"/>
        </w:rPr>
        <w:t> </w:t>
      </w:r>
      <w:r>
        <w:rPr>
          <w:color w:val="231F20"/>
          <w:w w:val="110"/>
          <w:sz w:val="18"/>
        </w:rPr>
        <w:t>ecclesiology.</w:t>
      </w:r>
    </w:p>
    <w:p>
      <w:pPr>
        <w:pStyle w:val="ListParagraph"/>
        <w:numPr>
          <w:ilvl w:val="0"/>
          <w:numId w:val="2"/>
        </w:numPr>
        <w:tabs>
          <w:tab w:pos="1354" w:val="left" w:leader="none"/>
          <w:tab w:pos="1355" w:val="left" w:leader="none"/>
        </w:tabs>
        <w:spacing w:line="240" w:lineRule="auto" w:before="0" w:after="0"/>
        <w:ind w:left="1354" w:right="0" w:hanging="682"/>
        <w:jc w:val="left"/>
        <w:rPr>
          <w:color w:val="231F20"/>
          <w:sz w:val="25"/>
        </w:rPr>
      </w:pPr>
      <w:r>
        <w:rPr>
          <w:color w:val="231F20"/>
          <w:w w:val="110"/>
          <w:sz w:val="18"/>
        </w:rPr>
        <w:t>The role of Ministers and </w:t>
      </w:r>
      <w:r>
        <w:rPr>
          <w:color w:val="231F20"/>
          <w:spacing w:val="2"/>
          <w:w w:val="110"/>
          <w:sz w:val="18"/>
        </w:rPr>
        <w:t>Elders </w:t>
      </w:r>
      <w:r>
        <w:rPr>
          <w:color w:val="231F20"/>
          <w:w w:val="110"/>
          <w:sz w:val="18"/>
        </w:rPr>
        <w:t>together in Christian</w:t>
      </w:r>
      <w:r>
        <w:rPr>
          <w:color w:val="231F20"/>
          <w:spacing w:val="19"/>
          <w:w w:val="110"/>
          <w:sz w:val="18"/>
        </w:rPr>
        <w:t> </w:t>
      </w:r>
      <w:r>
        <w:rPr>
          <w:color w:val="231F20"/>
          <w:w w:val="110"/>
          <w:sz w:val="18"/>
        </w:rPr>
        <w:t>initiation.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shape style="position:absolute;margin-left:56.692993pt;margin-top:8.982599pt;width:453.55pt;height:.1pt;mso-position-horizontal-relative:page;mso-position-vertical-relative:paragraph;z-index:-251489280;mso-wrap-distance-left:0;mso-wrap-distance-right:0" coordorigin="1134,180" coordsize="9071,0" path="m1134,180l10205,180e" filled="false" stroked="true" strokeweight=".5pt" strokecolor="#231f20">
            <v:path arrowok="t"/>
            <v:stroke dashstyle="solid"/>
            <w10:wrap type="topAndBottom"/>
          </v:shape>
        </w:pict>
      </w:r>
    </w:p>
    <w:p>
      <w:pPr>
        <w:pStyle w:val="BodyText"/>
        <w:spacing w:before="94"/>
        <w:ind w:left="673"/>
      </w:pPr>
      <w:r>
        <w:rPr>
          <w:color w:val="231F20"/>
          <w:w w:val="110"/>
        </w:rPr>
        <w:t>Bibliography</w:t>
      </w:r>
    </w:p>
    <w:p>
      <w:pPr>
        <w:pStyle w:val="BodyText"/>
        <w:spacing w:before="1"/>
        <w:rPr>
          <w:sz w:val="23"/>
        </w:rPr>
      </w:pPr>
    </w:p>
    <w:p>
      <w:pPr>
        <w:pStyle w:val="ListParagraph"/>
        <w:numPr>
          <w:ilvl w:val="0"/>
          <w:numId w:val="82"/>
        </w:numPr>
        <w:tabs>
          <w:tab w:pos="1354" w:val="left" w:leader="none"/>
          <w:tab w:pos="1355" w:val="left" w:leader="none"/>
        </w:tabs>
        <w:spacing w:line="273" w:lineRule="auto" w:before="0" w:after="0"/>
        <w:ind w:left="1354" w:right="1828" w:hanging="681"/>
        <w:jc w:val="left"/>
        <w:rPr>
          <w:sz w:val="18"/>
        </w:rPr>
      </w:pPr>
      <w:r>
        <w:rPr>
          <w:color w:val="231F20"/>
          <w:w w:val="110"/>
          <w:sz w:val="18"/>
        </w:rPr>
        <w:t>“The training of Laymen in the Church” </w:t>
      </w:r>
      <w:r>
        <w:rPr>
          <w:color w:val="231F20"/>
          <w:spacing w:val="2"/>
          <w:w w:val="110"/>
          <w:sz w:val="18"/>
        </w:rPr>
        <w:t>from </w:t>
      </w:r>
      <w:r>
        <w:rPr>
          <w:i/>
          <w:color w:val="231F20"/>
          <w:w w:val="110"/>
          <w:sz w:val="18"/>
        </w:rPr>
        <w:t>Concerns of the Churches</w:t>
      </w:r>
      <w:r>
        <w:rPr>
          <w:color w:val="231F20"/>
          <w:w w:val="110"/>
          <w:sz w:val="18"/>
        </w:rPr>
        <w:t>, preparation study for the Amsterdam Assembly of the World Council of Churches 1948, p</w:t>
      </w:r>
      <w:r>
        <w:rPr>
          <w:color w:val="231F20"/>
          <w:spacing w:val="1"/>
          <w:w w:val="110"/>
          <w:sz w:val="18"/>
        </w:rPr>
        <w:t> </w:t>
      </w:r>
      <w:r>
        <w:rPr>
          <w:color w:val="231F20"/>
          <w:spacing w:val="-4"/>
          <w:w w:val="110"/>
          <w:sz w:val="18"/>
        </w:rPr>
        <w:t>16.</w:t>
      </w:r>
    </w:p>
    <w:p>
      <w:pPr>
        <w:pStyle w:val="ListParagraph"/>
        <w:numPr>
          <w:ilvl w:val="0"/>
          <w:numId w:val="82"/>
        </w:numPr>
        <w:tabs>
          <w:tab w:pos="1354" w:val="left" w:leader="none"/>
          <w:tab w:pos="1355" w:val="left" w:leader="none"/>
        </w:tabs>
        <w:spacing w:line="273" w:lineRule="auto" w:before="2" w:after="0"/>
        <w:ind w:left="1354" w:right="2107" w:hanging="681"/>
        <w:jc w:val="left"/>
        <w:rPr>
          <w:sz w:val="18"/>
        </w:rPr>
      </w:pPr>
      <w:r>
        <w:rPr>
          <w:color w:val="231F20"/>
          <w:w w:val="110"/>
          <w:sz w:val="18"/>
        </w:rPr>
        <w:t>“Evidence for a Reformed Order in Scripture” in </w:t>
      </w:r>
      <w:r>
        <w:rPr>
          <w:i/>
          <w:color w:val="231F20"/>
          <w:w w:val="110"/>
          <w:sz w:val="18"/>
        </w:rPr>
        <w:t>Eldership in the Reformed </w:t>
      </w:r>
      <w:r>
        <w:rPr>
          <w:i/>
          <w:color w:val="231F20"/>
          <w:w w:val="110"/>
          <w:sz w:val="18"/>
        </w:rPr>
        <w:t>Churches</w:t>
      </w:r>
      <w:r>
        <w:rPr>
          <w:i/>
          <w:color w:val="231F20"/>
          <w:spacing w:val="11"/>
          <w:w w:val="110"/>
          <w:sz w:val="18"/>
        </w:rPr>
        <w:t> </w:t>
      </w:r>
      <w:r>
        <w:rPr>
          <w:i/>
          <w:color w:val="231F20"/>
          <w:spacing w:val="-7"/>
          <w:w w:val="110"/>
          <w:sz w:val="18"/>
        </w:rPr>
        <w:t>Today</w:t>
      </w:r>
      <w:r>
        <w:rPr>
          <w:color w:val="231F20"/>
          <w:spacing w:val="-7"/>
          <w:w w:val="110"/>
          <w:sz w:val="18"/>
        </w:rPr>
        <w:t>,</w:t>
      </w:r>
      <w:r>
        <w:rPr>
          <w:color w:val="231F20"/>
          <w:spacing w:val="11"/>
          <w:w w:val="110"/>
          <w:sz w:val="18"/>
        </w:rPr>
        <w:t> </w:t>
      </w:r>
      <w:r>
        <w:rPr>
          <w:color w:val="231F20"/>
          <w:w w:val="110"/>
          <w:sz w:val="18"/>
        </w:rPr>
        <w:t>World</w:t>
      </w:r>
      <w:r>
        <w:rPr>
          <w:color w:val="231F20"/>
          <w:spacing w:val="11"/>
          <w:w w:val="110"/>
          <w:sz w:val="18"/>
        </w:rPr>
        <w:t> </w:t>
      </w:r>
      <w:r>
        <w:rPr>
          <w:color w:val="231F20"/>
          <w:w w:val="110"/>
          <w:sz w:val="18"/>
        </w:rPr>
        <w:t>Alliance</w:t>
      </w:r>
      <w:r>
        <w:rPr>
          <w:color w:val="231F20"/>
          <w:spacing w:val="11"/>
          <w:w w:val="110"/>
          <w:sz w:val="18"/>
        </w:rPr>
        <w:t> </w:t>
      </w:r>
      <w:r>
        <w:rPr>
          <w:color w:val="231F20"/>
          <w:w w:val="110"/>
          <w:sz w:val="18"/>
        </w:rPr>
        <w:t>of</w:t>
      </w:r>
      <w:r>
        <w:rPr>
          <w:color w:val="231F20"/>
          <w:spacing w:val="11"/>
          <w:w w:val="110"/>
          <w:sz w:val="18"/>
        </w:rPr>
        <w:t> </w:t>
      </w:r>
      <w:r>
        <w:rPr>
          <w:color w:val="231F20"/>
          <w:w w:val="110"/>
          <w:sz w:val="18"/>
        </w:rPr>
        <w:t>Reformed</w:t>
      </w:r>
      <w:r>
        <w:rPr>
          <w:color w:val="231F20"/>
          <w:spacing w:val="11"/>
          <w:w w:val="110"/>
          <w:sz w:val="18"/>
        </w:rPr>
        <w:t> </w:t>
      </w:r>
      <w:r>
        <w:rPr>
          <w:color w:val="231F20"/>
          <w:w w:val="110"/>
          <w:sz w:val="18"/>
        </w:rPr>
        <w:t>Churches</w:t>
      </w:r>
      <w:r>
        <w:rPr>
          <w:color w:val="231F20"/>
          <w:spacing w:val="11"/>
          <w:w w:val="110"/>
          <w:sz w:val="18"/>
        </w:rPr>
        <w:t> </w:t>
      </w:r>
      <w:r>
        <w:rPr>
          <w:color w:val="231F20"/>
          <w:w w:val="110"/>
          <w:sz w:val="18"/>
        </w:rPr>
        <w:t>Geneva</w:t>
      </w:r>
      <w:r>
        <w:rPr>
          <w:color w:val="231F20"/>
          <w:spacing w:val="11"/>
          <w:w w:val="110"/>
          <w:sz w:val="18"/>
        </w:rPr>
        <w:t> </w:t>
      </w:r>
      <w:r>
        <w:rPr>
          <w:color w:val="231F20"/>
          <w:spacing w:val="-3"/>
          <w:w w:val="110"/>
          <w:sz w:val="18"/>
        </w:rPr>
        <w:t>1990,</w:t>
      </w:r>
      <w:r>
        <w:rPr>
          <w:color w:val="231F20"/>
          <w:spacing w:val="11"/>
          <w:w w:val="110"/>
          <w:sz w:val="18"/>
        </w:rPr>
        <w:t> </w:t>
      </w:r>
      <w:r>
        <w:rPr>
          <w:color w:val="231F20"/>
          <w:w w:val="110"/>
          <w:sz w:val="18"/>
        </w:rPr>
        <w:t>pp</w:t>
      </w:r>
      <w:r>
        <w:rPr>
          <w:color w:val="231F20"/>
          <w:spacing w:val="11"/>
          <w:w w:val="110"/>
          <w:sz w:val="18"/>
        </w:rPr>
        <w:t> </w:t>
      </w:r>
      <w:r>
        <w:rPr>
          <w:color w:val="231F20"/>
          <w:w w:val="110"/>
          <w:sz w:val="18"/>
        </w:rPr>
        <w:t>8</w:t>
      </w:r>
      <w:r>
        <w:rPr>
          <w:color w:val="231F20"/>
          <w:spacing w:val="11"/>
          <w:w w:val="110"/>
          <w:sz w:val="18"/>
        </w:rPr>
        <w:t> </w:t>
      </w:r>
      <w:r>
        <w:rPr>
          <w:color w:val="231F20"/>
          <w:w w:val="110"/>
          <w:sz w:val="18"/>
        </w:rPr>
        <w:t>&amp;</w:t>
      </w:r>
      <w:r>
        <w:rPr>
          <w:color w:val="231F20"/>
          <w:spacing w:val="11"/>
          <w:w w:val="110"/>
          <w:sz w:val="18"/>
        </w:rPr>
        <w:t> </w:t>
      </w:r>
      <w:r>
        <w:rPr>
          <w:color w:val="231F20"/>
          <w:spacing w:val="-5"/>
          <w:w w:val="110"/>
          <w:sz w:val="18"/>
        </w:rPr>
        <w:t>9.</w:t>
      </w:r>
    </w:p>
    <w:p>
      <w:pPr>
        <w:pStyle w:val="ListParagraph"/>
        <w:numPr>
          <w:ilvl w:val="0"/>
          <w:numId w:val="82"/>
        </w:numPr>
        <w:tabs>
          <w:tab w:pos="1354" w:val="left" w:leader="none"/>
          <w:tab w:pos="1355" w:val="left" w:leader="none"/>
        </w:tabs>
        <w:spacing w:line="273" w:lineRule="auto" w:before="1" w:after="0"/>
        <w:ind w:left="1354" w:right="2283" w:hanging="681"/>
        <w:jc w:val="left"/>
        <w:rPr>
          <w:sz w:val="18"/>
        </w:rPr>
      </w:pPr>
      <w:r>
        <w:rPr>
          <w:color w:val="231F20"/>
          <w:w w:val="110"/>
          <w:sz w:val="18"/>
        </w:rPr>
        <w:t>David M Thompson “Understanding the Eldership”, background paper for the St Katharine’s Consultation </w:t>
      </w:r>
      <w:r>
        <w:rPr>
          <w:color w:val="231F20"/>
          <w:spacing w:val="2"/>
          <w:w w:val="110"/>
          <w:sz w:val="18"/>
        </w:rPr>
        <w:t>October</w:t>
      </w:r>
      <w:r>
        <w:rPr>
          <w:color w:val="231F20"/>
          <w:spacing w:val="7"/>
          <w:w w:val="110"/>
          <w:sz w:val="18"/>
        </w:rPr>
        <w:t> </w:t>
      </w:r>
      <w:r>
        <w:rPr>
          <w:color w:val="231F20"/>
          <w:w w:val="110"/>
          <w:sz w:val="18"/>
        </w:rPr>
        <w:t>2006.</w:t>
      </w:r>
    </w:p>
    <w:p>
      <w:pPr>
        <w:spacing w:after="0" w:line="273" w:lineRule="auto"/>
        <w:jc w:val="left"/>
        <w:rPr>
          <w:sz w:val="18"/>
        </w:rPr>
        <w:sectPr>
          <w:headerReference w:type="even" r:id="rId198"/>
          <w:footerReference w:type="even" r:id="rId199"/>
          <w:pgSz w:w="11910" w:h="16840"/>
          <w:pgMar w:header="558" w:footer="564" w:top="820" w:bottom="760" w:left="460" w:right="0"/>
        </w:sectPr>
      </w:pPr>
    </w:p>
    <w:p>
      <w:pPr>
        <w:spacing w:before="76"/>
        <w:ind w:left="1032" w:right="0" w:firstLine="0"/>
        <w:jc w:val="left"/>
        <w:rPr>
          <w:b/>
          <w:sz w:val="20"/>
        </w:rPr>
      </w:pPr>
      <w:r>
        <w:rPr/>
        <w:pict>
          <v:shape style="position:absolute;margin-left:476.627777pt;margin-top:36.840614pt;width:97.4pt;height:769.6pt;mso-position-horizontal-relative:page;mso-position-vertical-relative:page;z-index:-275436544" type="#_x0000_t202" filled="false" stroked="false">
            <v:textbox inset="0,0,0,0" style="layout-flow:vertical">
              <w:txbxContent>
                <w:p>
                  <w:pPr>
                    <w:spacing w:line="196" w:lineRule="auto" w:before="150"/>
                    <w:ind w:left="758" w:right="0" w:hanging="739"/>
                    <w:jc w:val="left"/>
                    <w:rPr>
                      <w:b/>
                      <w:sz w:val="72"/>
                    </w:rPr>
                  </w:pPr>
                  <w:r>
                    <w:rPr>
                      <w:b/>
                      <w:color w:val="231F20"/>
                      <w:spacing w:val="-7"/>
                      <w:sz w:val="72"/>
                    </w:rPr>
                    <w:t>The Nature </w:t>
                  </w:r>
                  <w:r>
                    <w:rPr>
                      <w:b/>
                      <w:color w:val="231F20"/>
                      <w:spacing w:val="-4"/>
                      <w:sz w:val="72"/>
                    </w:rPr>
                    <w:t>of </w:t>
                  </w:r>
                  <w:r>
                    <w:rPr>
                      <w:b/>
                      <w:color w:val="231F20"/>
                      <w:spacing w:val="-3"/>
                      <w:sz w:val="72"/>
                    </w:rPr>
                    <w:t>the </w:t>
                  </w:r>
                  <w:r>
                    <w:rPr>
                      <w:b/>
                      <w:color w:val="231F20"/>
                      <w:spacing w:val="-7"/>
                      <w:sz w:val="72"/>
                    </w:rPr>
                    <w:t>United </w:t>
                  </w:r>
                  <w:r>
                    <w:rPr>
                      <w:b/>
                      <w:color w:val="231F20"/>
                      <w:spacing w:val="-8"/>
                      <w:sz w:val="72"/>
                    </w:rPr>
                    <w:t>Reformed </w:t>
                  </w:r>
                  <w:r>
                    <w:rPr>
                      <w:b/>
                      <w:color w:val="231F20"/>
                      <w:spacing w:val="-13"/>
                      <w:sz w:val="72"/>
                    </w:rPr>
                    <w:t>Church’s </w:t>
                  </w:r>
                  <w:r>
                    <w:rPr>
                      <w:b/>
                      <w:color w:val="231F20"/>
                      <w:spacing w:val="-8"/>
                      <w:sz w:val="72"/>
                    </w:rPr>
                    <w:t>Ecumenical Engagement</w:t>
                  </w:r>
                </w:p>
                <w:p>
                  <w:pPr>
                    <w:spacing w:line="360"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w w:val="110"/>
          <w:sz w:val="20"/>
        </w:rPr>
        <w:t>The Challenge</w:t>
      </w:r>
    </w:p>
    <w:p>
      <w:pPr>
        <w:pStyle w:val="BodyText"/>
        <w:spacing w:line="273" w:lineRule="auto" w:before="27"/>
        <w:ind w:left="1032" w:right="2906"/>
      </w:pPr>
      <w:r>
        <w:rPr>
          <w:color w:val="231F20"/>
          <w:w w:val="110"/>
        </w:rPr>
        <w:t>Where should we focus our limited </w:t>
      </w:r>
      <w:r>
        <w:rPr>
          <w:color w:val="231F20"/>
          <w:spacing w:val="2"/>
          <w:w w:val="110"/>
        </w:rPr>
        <w:t>resources </w:t>
      </w:r>
      <w:r>
        <w:rPr>
          <w:color w:val="231F20"/>
          <w:w w:val="110"/>
        </w:rPr>
        <w:t>for ecumenical initiatives?  </w:t>
      </w:r>
      <w:r>
        <w:rPr>
          <w:color w:val="231F20"/>
          <w:spacing w:val="-8"/>
          <w:w w:val="110"/>
        </w:rPr>
        <w:t>To </w:t>
      </w:r>
      <w:r>
        <w:rPr>
          <w:color w:val="231F20"/>
          <w:w w:val="110"/>
        </w:rPr>
        <w:t>answer that question, the Ecumenical Committee has tried to get a clearer</w:t>
      </w:r>
      <w:r>
        <w:rPr>
          <w:color w:val="231F20"/>
          <w:spacing w:val="14"/>
          <w:w w:val="110"/>
        </w:rPr>
        <w:t> </w:t>
      </w:r>
      <w:r>
        <w:rPr>
          <w:color w:val="231F20"/>
          <w:w w:val="110"/>
        </w:rPr>
        <w:t>picture</w:t>
      </w:r>
      <w:r>
        <w:rPr>
          <w:color w:val="231F20"/>
          <w:spacing w:val="15"/>
          <w:w w:val="110"/>
        </w:rPr>
        <w:t> </w:t>
      </w:r>
      <w:r>
        <w:rPr>
          <w:color w:val="231F20"/>
          <w:w w:val="110"/>
        </w:rPr>
        <w:t>of</w:t>
      </w:r>
      <w:r>
        <w:rPr>
          <w:color w:val="231F20"/>
          <w:spacing w:val="14"/>
          <w:w w:val="110"/>
        </w:rPr>
        <w:t> </w:t>
      </w:r>
      <w:r>
        <w:rPr>
          <w:color w:val="231F20"/>
          <w:w w:val="110"/>
        </w:rPr>
        <w:t>how</w:t>
      </w:r>
      <w:r>
        <w:rPr>
          <w:color w:val="231F20"/>
          <w:spacing w:val="15"/>
          <w:w w:val="110"/>
        </w:rPr>
        <w:t> </w:t>
      </w:r>
      <w:r>
        <w:rPr>
          <w:color w:val="231F20"/>
          <w:w w:val="110"/>
        </w:rPr>
        <w:t>our</w:t>
      </w:r>
      <w:r>
        <w:rPr>
          <w:color w:val="231F20"/>
          <w:spacing w:val="14"/>
          <w:w w:val="110"/>
        </w:rPr>
        <w:t> </w:t>
      </w:r>
      <w:r>
        <w:rPr>
          <w:color w:val="231F20"/>
          <w:w w:val="110"/>
        </w:rPr>
        <w:t>current</w:t>
      </w:r>
      <w:r>
        <w:rPr>
          <w:color w:val="231F20"/>
          <w:spacing w:val="15"/>
          <w:w w:val="110"/>
        </w:rPr>
        <w:t> </w:t>
      </w:r>
      <w:r>
        <w:rPr>
          <w:color w:val="231F20"/>
          <w:w w:val="110"/>
        </w:rPr>
        <w:t>ecumenical</w:t>
      </w:r>
      <w:r>
        <w:rPr>
          <w:color w:val="231F20"/>
          <w:spacing w:val="15"/>
          <w:w w:val="110"/>
        </w:rPr>
        <w:t> </w:t>
      </w:r>
      <w:r>
        <w:rPr>
          <w:color w:val="231F20"/>
          <w:w w:val="110"/>
        </w:rPr>
        <w:t>engagement</w:t>
      </w:r>
      <w:r>
        <w:rPr>
          <w:color w:val="231F20"/>
          <w:spacing w:val="14"/>
          <w:w w:val="110"/>
        </w:rPr>
        <w:t> </w:t>
      </w:r>
      <w:r>
        <w:rPr>
          <w:color w:val="231F20"/>
          <w:w w:val="110"/>
        </w:rPr>
        <w:t>needs</w:t>
      </w:r>
      <w:r>
        <w:rPr>
          <w:color w:val="231F20"/>
          <w:spacing w:val="15"/>
          <w:w w:val="110"/>
        </w:rPr>
        <w:t> </w:t>
      </w:r>
      <w:r>
        <w:rPr>
          <w:color w:val="231F20"/>
          <w:w w:val="110"/>
        </w:rPr>
        <w:t>to</w:t>
      </w:r>
      <w:r>
        <w:rPr>
          <w:color w:val="231F20"/>
          <w:spacing w:val="14"/>
          <w:w w:val="110"/>
        </w:rPr>
        <w:t> </w:t>
      </w:r>
      <w:r>
        <w:rPr>
          <w:color w:val="231F20"/>
          <w:w w:val="110"/>
        </w:rPr>
        <w:t>look.</w:t>
      </w:r>
    </w:p>
    <w:p>
      <w:pPr>
        <w:pStyle w:val="BodyText"/>
        <w:spacing w:before="8"/>
        <w:rPr>
          <w:sz w:val="20"/>
        </w:rPr>
      </w:pPr>
    </w:p>
    <w:p>
      <w:pPr>
        <w:spacing w:before="0"/>
        <w:ind w:left="3543" w:right="0" w:firstLine="0"/>
        <w:jc w:val="left"/>
        <w:rPr>
          <w:b/>
          <w:sz w:val="29"/>
        </w:rPr>
      </w:pPr>
      <w:r>
        <w:rPr>
          <w:b/>
          <w:color w:val="231F20"/>
          <w:w w:val="110"/>
          <w:sz w:val="29"/>
        </w:rPr>
        <w:t>Where Are We?</w:t>
      </w:r>
    </w:p>
    <w:p>
      <w:pPr>
        <w:pStyle w:val="ListParagraph"/>
        <w:numPr>
          <w:ilvl w:val="1"/>
          <w:numId w:val="82"/>
        </w:numPr>
        <w:tabs>
          <w:tab w:pos="1713" w:val="left" w:leader="none"/>
          <w:tab w:pos="1714" w:val="left" w:leader="none"/>
        </w:tabs>
        <w:spacing w:line="273" w:lineRule="auto" w:before="258" w:after="0"/>
        <w:ind w:left="1032" w:right="2929" w:firstLine="0"/>
        <w:jc w:val="left"/>
        <w:rPr>
          <w:sz w:val="18"/>
        </w:rPr>
      </w:pPr>
      <w:r>
        <w:rPr>
          <w:color w:val="231F20"/>
          <w:w w:val="110"/>
          <w:sz w:val="18"/>
        </w:rPr>
        <w:t>A lot has happened in the last ten years. In the 1990s the </w:t>
      </w:r>
      <w:r>
        <w:rPr>
          <w:i/>
          <w:color w:val="231F20"/>
          <w:w w:val="110"/>
          <w:sz w:val="18"/>
        </w:rPr>
        <w:t>Called  </w:t>
      </w:r>
      <w:r>
        <w:rPr>
          <w:i/>
          <w:color w:val="231F20"/>
          <w:w w:val="110"/>
          <w:sz w:val="18"/>
        </w:rPr>
        <w:t>to Be One </w:t>
      </w:r>
      <w:r>
        <w:rPr>
          <w:color w:val="231F20"/>
          <w:spacing w:val="2"/>
          <w:w w:val="110"/>
          <w:sz w:val="18"/>
        </w:rPr>
        <w:t>process </w:t>
      </w:r>
      <w:r>
        <w:rPr>
          <w:color w:val="231F20"/>
          <w:w w:val="110"/>
          <w:sz w:val="18"/>
        </w:rPr>
        <w:t>replaced Councils of Churches with Churches Together groups and drew Roman Catholics into full involvement. It said</w:t>
      </w:r>
      <w:r>
        <w:rPr>
          <w:color w:val="231F20"/>
          <w:spacing w:val="4"/>
          <w:w w:val="110"/>
          <w:sz w:val="18"/>
        </w:rPr>
        <w:t> </w:t>
      </w:r>
      <w:r>
        <w:rPr>
          <w:color w:val="231F20"/>
          <w:w w:val="110"/>
          <w:sz w:val="18"/>
        </w:rPr>
        <w:t>nothing</w:t>
      </w:r>
    </w:p>
    <w:p>
      <w:pPr>
        <w:pStyle w:val="BodyText"/>
        <w:spacing w:line="273" w:lineRule="auto" w:before="2"/>
        <w:ind w:left="1032" w:right="2464"/>
      </w:pPr>
      <w:r>
        <w:rPr>
          <w:color w:val="231F20"/>
          <w:w w:val="110"/>
        </w:rPr>
        <w:t>about inter-faith or environmental/ecological issues, though, whereas today both are centre stage.</w:t>
      </w:r>
    </w:p>
    <w:p>
      <w:pPr>
        <w:pStyle w:val="BodyText"/>
        <w:spacing w:before="8"/>
        <w:rPr>
          <w:sz w:val="20"/>
        </w:rPr>
      </w:pPr>
    </w:p>
    <w:p>
      <w:pPr>
        <w:pStyle w:val="ListParagraph"/>
        <w:numPr>
          <w:ilvl w:val="1"/>
          <w:numId w:val="82"/>
        </w:numPr>
        <w:tabs>
          <w:tab w:pos="1713" w:val="left" w:leader="none"/>
          <w:tab w:pos="1714" w:val="left" w:leader="none"/>
        </w:tabs>
        <w:spacing w:line="273" w:lineRule="auto" w:before="1" w:after="0"/>
        <w:ind w:left="1032" w:right="2998" w:firstLine="0"/>
        <w:jc w:val="left"/>
        <w:rPr>
          <w:sz w:val="18"/>
        </w:rPr>
      </w:pPr>
      <w:r>
        <w:rPr>
          <w:color w:val="231F20"/>
          <w:w w:val="110"/>
          <w:sz w:val="18"/>
        </w:rPr>
        <w:t>The Anglican – Methodist Covenant has been a real cause for rejoicing, laying to </w:t>
      </w:r>
      <w:r>
        <w:rPr>
          <w:color w:val="231F20"/>
          <w:spacing w:val="2"/>
          <w:w w:val="110"/>
          <w:sz w:val="18"/>
        </w:rPr>
        <w:t>rest </w:t>
      </w:r>
      <w:r>
        <w:rPr>
          <w:color w:val="231F20"/>
          <w:w w:val="110"/>
          <w:sz w:val="18"/>
        </w:rPr>
        <w:t>the damaging myths held in each tradition about the other’s history. </w:t>
      </w:r>
      <w:r>
        <w:rPr>
          <w:color w:val="231F20"/>
          <w:spacing w:val="-3"/>
          <w:w w:val="110"/>
          <w:sz w:val="18"/>
        </w:rPr>
        <w:t>However, </w:t>
      </w:r>
      <w:r>
        <w:rPr>
          <w:color w:val="231F20"/>
          <w:w w:val="110"/>
          <w:sz w:val="18"/>
        </w:rPr>
        <w:t>it has shown how difficult it will be to bring about </w:t>
      </w:r>
      <w:r>
        <w:rPr>
          <w:color w:val="231F20"/>
          <w:spacing w:val="2"/>
          <w:w w:val="110"/>
          <w:sz w:val="18"/>
        </w:rPr>
        <w:t>further </w:t>
      </w:r>
      <w:r>
        <w:rPr>
          <w:color w:val="231F20"/>
          <w:w w:val="110"/>
          <w:sz w:val="18"/>
        </w:rPr>
        <w:t>visible, </w:t>
      </w:r>
      <w:r>
        <w:rPr>
          <w:color w:val="231F20"/>
          <w:spacing w:val="2"/>
          <w:w w:val="110"/>
          <w:sz w:val="18"/>
        </w:rPr>
        <w:t>structural </w:t>
      </w:r>
      <w:r>
        <w:rPr>
          <w:color w:val="231F20"/>
          <w:w w:val="110"/>
          <w:sz w:val="18"/>
        </w:rPr>
        <w:t>unity. More immediately attainable goals are needed, though not as substitutes for the ultimate</w:t>
      </w:r>
      <w:r>
        <w:rPr>
          <w:color w:val="231F20"/>
          <w:spacing w:val="38"/>
          <w:w w:val="110"/>
          <w:sz w:val="18"/>
        </w:rPr>
        <w:t> </w:t>
      </w:r>
      <w:r>
        <w:rPr>
          <w:color w:val="231F20"/>
          <w:w w:val="110"/>
          <w:sz w:val="18"/>
        </w:rPr>
        <w:t>prize.</w:t>
      </w:r>
    </w:p>
    <w:p>
      <w:pPr>
        <w:pStyle w:val="BodyText"/>
        <w:spacing w:before="9"/>
        <w:rPr>
          <w:sz w:val="20"/>
        </w:rPr>
      </w:pPr>
    </w:p>
    <w:p>
      <w:pPr>
        <w:pStyle w:val="ListParagraph"/>
        <w:numPr>
          <w:ilvl w:val="1"/>
          <w:numId w:val="82"/>
        </w:numPr>
        <w:tabs>
          <w:tab w:pos="1713" w:val="left" w:leader="none"/>
          <w:tab w:pos="1714" w:val="left" w:leader="none"/>
        </w:tabs>
        <w:spacing w:line="273" w:lineRule="auto" w:before="1" w:after="0"/>
        <w:ind w:left="1032" w:right="2685" w:firstLine="0"/>
        <w:jc w:val="left"/>
        <w:rPr>
          <w:sz w:val="18"/>
        </w:rPr>
      </w:pPr>
      <w:r>
        <w:rPr>
          <w:color w:val="231F20"/>
          <w:w w:val="110"/>
          <w:sz w:val="18"/>
        </w:rPr>
        <w:t>The recent Methodist – United Reformed Church document </w:t>
      </w:r>
      <w:r>
        <w:rPr>
          <w:i/>
          <w:color w:val="231F20"/>
          <w:w w:val="110"/>
          <w:sz w:val="18"/>
        </w:rPr>
        <w:t>Peacemaking:</w:t>
      </w:r>
      <w:r>
        <w:rPr>
          <w:i/>
          <w:color w:val="231F20"/>
          <w:spacing w:val="-11"/>
          <w:w w:val="110"/>
          <w:sz w:val="18"/>
        </w:rPr>
        <w:t> </w:t>
      </w:r>
      <w:r>
        <w:rPr>
          <w:i/>
          <w:color w:val="231F20"/>
          <w:w w:val="110"/>
          <w:sz w:val="18"/>
        </w:rPr>
        <w:t>a</w:t>
      </w:r>
      <w:r>
        <w:rPr>
          <w:i/>
          <w:color w:val="231F20"/>
          <w:spacing w:val="-10"/>
          <w:w w:val="110"/>
          <w:sz w:val="18"/>
        </w:rPr>
        <w:t> </w:t>
      </w:r>
      <w:r>
        <w:rPr>
          <w:i/>
          <w:color w:val="231F20"/>
          <w:w w:val="110"/>
          <w:sz w:val="18"/>
        </w:rPr>
        <w:t>Christian</w:t>
      </w:r>
      <w:r>
        <w:rPr>
          <w:i/>
          <w:color w:val="231F20"/>
          <w:spacing w:val="-10"/>
          <w:w w:val="110"/>
          <w:sz w:val="18"/>
        </w:rPr>
        <w:t> </w:t>
      </w:r>
      <w:r>
        <w:rPr>
          <w:i/>
          <w:color w:val="231F20"/>
          <w:w w:val="110"/>
          <w:sz w:val="18"/>
        </w:rPr>
        <w:t>vocation</w:t>
      </w:r>
      <w:r>
        <w:rPr>
          <w:i/>
          <w:color w:val="231F20"/>
          <w:spacing w:val="-9"/>
          <w:w w:val="110"/>
          <w:sz w:val="18"/>
        </w:rPr>
        <w:t> </w:t>
      </w:r>
      <w:r>
        <w:rPr>
          <w:color w:val="231F20"/>
          <w:w w:val="110"/>
          <w:sz w:val="18"/>
        </w:rPr>
        <w:t>has</w:t>
      </w:r>
      <w:r>
        <w:rPr>
          <w:color w:val="231F20"/>
          <w:spacing w:val="-11"/>
          <w:w w:val="110"/>
          <w:sz w:val="18"/>
        </w:rPr>
        <w:t> </w:t>
      </w:r>
      <w:r>
        <w:rPr>
          <w:color w:val="231F20"/>
          <w:w w:val="110"/>
          <w:sz w:val="18"/>
        </w:rPr>
        <w:t>been</w:t>
      </w:r>
      <w:r>
        <w:rPr>
          <w:color w:val="231F20"/>
          <w:spacing w:val="-10"/>
          <w:w w:val="110"/>
          <w:sz w:val="18"/>
        </w:rPr>
        <w:t> </w:t>
      </w:r>
      <w:r>
        <w:rPr>
          <w:color w:val="231F20"/>
          <w:w w:val="110"/>
          <w:sz w:val="18"/>
        </w:rPr>
        <w:t>hailed</w:t>
      </w:r>
      <w:r>
        <w:rPr>
          <w:color w:val="231F20"/>
          <w:spacing w:val="-10"/>
          <w:w w:val="110"/>
          <w:sz w:val="18"/>
        </w:rPr>
        <w:t> </w:t>
      </w:r>
      <w:r>
        <w:rPr>
          <w:color w:val="231F20"/>
          <w:w w:val="110"/>
          <w:sz w:val="18"/>
        </w:rPr>
        <w:t>as</w:t>
      </w:r>
      <w:r>
        <w:rPr>
          <w:color w:val="231F20"/>
          <w:spacing w:val="-10"/>
          <w:w w:val="110"/>
          <w:sz w:val="18"/>
        </w:rPr>
        <w:t> </w:t>
      </w:r>
      <w:r>
        <w:rPr>
          <w:color w:val="231F20"/>
          <w:w w:val="110"/>
          <w:sz w:val="18"/>
        </w:rPr>
        <w:t>an</w:t>
      </w:r>
      <w:r>
        <w:rPr>
          <w:color w:val="231F20"/>
          <w:spacing w:val="-10"/>
          <w:w w:val="110"/>
          <w:sz w:val="18"/>
        </w:rPr>
        <w:t> </w:t>
      </w:r>
      <w:r>
        <w:rPr>
          <w:color w:val="231F20"/>
          <w:w w:val="110"/>
          <w:sz w:val="18"/>
        </w:rPr>
        <w:t>excellent</w:t>
      </w:r>
      <w:r>
        <w:rPr>
          <w:color w:val="231F20"/>
          <w:spacing w:val="-11"/>
          <w:w w:val="110"/>
          <w:sz w:val="18"/>
        </w:rPr>
        <w:t> </w:t>
      </w:r>
      <w:r>
        <w:rPr>
          <w:color w:val="231F20"/>
          <w:w w:val="110"/>
          <w:sz w:val="18"/>
        </w:rPr>
        <w:t>example</w:t>
      </w:r>
      <w:r>
        <w:rPr>
          <w:color w:val="231F20"/>
          <w:spacing w:val="-10"/>
          <w:w w:val="110"/>
          <w:sz w:val="18"/>
        </w:rPr>
        <w:t> </w:t>
      </w:r>
      <w:r>
        <w:rPr>
          <w:color w:val="231F20"/>
          <w:w w:val="110"/>
          <w:sz w:val="18"/>
        </w:rPr>
        <w:t>of modern</w:t>
      </w:r>
      <w:r>
        <w:rPr>
          <w:color w:val="231F20"/>
          <w:spacing w:val="-6"/>
          <w:w w:val="110"/>
          <w:sz w:val="18"/>
        </w:rPr>
        <w:t> </w:t>
      </w:r>
      <w:r>
        <w:rPr>
          <w:color w:val="231F20"/>
          <w:w w:val="110"/>
          <w:sz w:val="18"/>
        </w:rPr>
        <w:t>ecumenical</w:t>
      </w:r>
      <w:r>
        <w:rPr>
          <w:color w:val="231F20"/>
          <w:spacing w:val="-6"/>
          <w:w w:val="110"/>
          <w:sz w:val="18"/>
        </w:rPr>
        <w:t> </w:t>
      </w:r>
      <w:r>
        <w:rPr>
          <w:color w:val="231F20"/>
          <w:w w:val="110"/>
          <w:sz w:val="18"/>
        </w:rPr>
        <w:t>collaboration</w:t>
      </w:r>
      <w:r>
        <w:rPr>
          <w:color w:val="231F20"/>
          <w:spacing w:val="-7"/>
          <w:w w:val="110"/>
          <w:sz w:val="18"/>
        </w:rPr>
        <w:t> </w:t>
      </w:r>
      <w:r>
        <w:rPr>
          <w:color w:val="231F20"/>
          <w:w w:val="110"/>
          <w:sz w:val="18"/>
        </w:rPr>
        <w:t>–</w:t>
      </w:r>
      <w:r>
        <w:rPr>
          <w:color w:val="231F20"/>
          <w:spacing w:val="-6"/>
          <w:w w:val="110"/>
          <w:sz w:val="18"/>
        </w:rPr>
        <w:t> </w:t>
      </w:r>
      <w:r>
        <w:rPr>
          <w:color w:val="231F20"/>
          <w:w w:val="110"/>
          <w:sz w:val="18"/>
        </w:rPr>
        <w:t>a</w:t>
      </w:r>
      <w:r>
        <w:rPr>
          <w:color w:val="231F20"/>
          <w:spacing w:val="-6"/>
          <w:w w:val="110"/>
          <w:sz w:val="18"/>
        </w:rPr>
        <w:t> </w:t>
      </w:r>
      <w:r>
        <w:rPr>
          <w:color w:val="231F20"/>
          <w:w w:val="110"/>
          <w:sz w:val="18"/>
        </w:rPr>
        <w:t>short,</w:t>
      </w:r>
      <w:r>
        <w:rPr>
          <w:color w:val="231F20"/>
          <w:spacing w:val="-6"/>
          <w:w w:val="110"/>
          <w:sz w:val="18"/>
        </w:rPr>
        <w:t> </w:t>
      </w:r>
      <w:r>
        <w:rPr>
          <w:color w:val="231F20"/>
          <w:w w:val="110"/>
          <w:sz w:val="18"/>
        </w:rPr>
        <w:t>intense</w:t>
      </w:r>
      <w:r>
        <w:rPr>
          <w:color w:val="231F20"/>
          <w:spacing w:val="-6"/>
          <w:w w:val="110"/>
          <w:sz w:val="18"/>
        </w:rPr>
        <w:t> </w:t>
      </w:r>
      <w:r>
        <w:rPr>
          <w:color w:val="231F20"/>
          <w:w w:val="110"/>
          <w:sz w:val="18"/>
        </w:rPr>
        <w:t>study</w:t>
      </w:r>
      <w:r>
        <w:rPr>
          <w:color w:val="231F20"/>
          <w:spacing w:val="-6"/>
          <w:w w:val="110"/>
          <w:sz w:val="18"/>
        </w:rPr>
        <w:t> </w:t>
      </w:r>
      <w:r>
        <w:rPr>
          <w:color w:val="231F20"/>
          <w:w w:val="110"/>
          <w:sz w:val="18"/>
        </w:rPr>
        <w:t>on</w:t>
      </w:r>
      <w:r>
        <w:rPr>
          <w:color w:val="231F20"/>
          <w:spacing w:val="-6"/>
          <w:w w:val="110"/>
          <w:sz w:val="18"/>
        </w:rPr>
        <w:t> </w:t>
      </w:r>
      <w:r>
        <w:rPr>
          <w:color w:val="231F20"/>
          <w:w w:val="110"/>
          <w:sz w:val="18"/>
        </w:rPr>
        <w:t>a</w:t>
      </w:r>
      <w:r>
        <w:rPr>
          <w:color w:val="231F20"/>
          <w:spacing w:val="-6"/>
          <w:w w:val="110"/>
          <w:sz w:val="18"/>
        </w:rPr>
        <w:t> </w:t>
      </w:r>
      <w:r>
        <w:rPr>
          <w:color w:val="231F20"/>
          <w:w w:val="110"/>
          <w:sz w:val="18"/>
        </w:rPr>
        <w:t>focussed</w:t>
      </w:r>
      <w:r>
        <w:rPr>
          <w:color w:val="231F20"/>
          <w:spacing w:val="-6"/>
          <w:w w:val="110"/>
          <w:sz w:val="18"/>
        </w:rPr>
        <w:t> </w:t>
      </w:r>
      <w:r>
        <w:rPr>
          <w:color w:val="231F20"/>
          <w:w w:val="110"/>
          <w:sz w:val="18"/>
        </w:rPr>
        <w:t>area, co-opting experts to do a particular piece of work. Many younger ecumenists see their most natural outlet as the single-issue pressure group on concerns such</w:t>
      </w:r>
      <w:r>
        <w:rPr>
          <w:color w:val="231F20"/>
          <w:spacing w:val="-6"/>
          <w:w w:val="110"/>
          <w:sz w:val="18"/>
        </w:rPr>
        <w:t> </w:t>
      </w:r>
      <w:r>
        <w:rPr>
          <w:color w:val="231F20"/>
          <w:w w:val="110"/>
          <w:sz w:val="18"/>
        </w:rPr>
        <w:t>as</w:t>
      </w:r>
      <w:r>
        <w:rPr>
          <w:color w:val="231F20"/>
          <w:spacing w:val="-6"/>
          <w:w w:val="110"/>
          <w:sz w:val="18"/>
        </w:rPr>
        <w:t> </w:t>
      </w:r>
      <w:r>
        <w:rPr>
          <w:color w:val="231F20"/>
          <w:w w:val="110"/>
          <w:sz w:val="18"/>
        </w:rPr>
        <w:t>trade</w:t>
      </w:r>
      <w:r>
        <w:rPr>
          <w:color w:val="231F20"/>
          <w:spacing w:val="-6"/>
          <w:w w:val="110"/>
          <w:sz w:val="18"/>
        </w:rPr>
        <w:t> </w:t>
      </w:r>
      <w:r>
        <w:rPr>
          <w:color w:val="231F20"/>
          <w:w w:val="110"/>
          <w:sz w:val="18"/>
        </w:rPr>
        <w:t>justice,</w:t>
      </w:r>
      <w:r>
        <w:rPr>
          <w:color w:val="231F20"/>
          <w:spacing w:val="-6"/>
          <w:w w:val="110"/>
          <w:sz w:val="18"/>
        </w:rPr>
        <w:t> </w:t>
      </w:r>
      <w:r>
        <w:rPr>
          <w:color w:val="231F20"/>
          <w:w w:val="110"/>
          <w:sz w:val="18"/>
        </w:rPr>
        <w:t>refugees</w:t>
      </w:r>
      <w:r>
        <w:rPr>
          <w:color w:val="231F20"/>
          <w:spacing w:val="-5"/>
          <w:w w:val="110"/>
          <w:sz w:val="18"/>
        </w:rPr>
        <w:t> </w:t>
      </w:r>
      <w:r>
        <w:rPr>
          <w:color w:val="231F20"/>
          <w:w w:val="110"/>
          <w:sz w:val="18"/>
        </w:rPr>
        <w:t>and</w:t>
      </w:r>
      <w:r>
        <w:rPr>
          <w:color w:val="231F20"/>
          <w:spacing w:val="-6"/>
          <w:w w:val="110"/>
          <w:sz w:val="18"/>
        </w:rPr>
        <w:t> </w:t>
      </w:r>
      <w:r>
        <w:rPr>
          <w:color w:val="231F20"/>
          <w:w w:val="110"/>
          <w:sz w:val="18"/>
        </w:rPr>
        <w:t>asylum</w:t>
      </w:r>
      <w:r>
        <w:rPr>
          <w:color w:val="231F20"/>
          <w:spacing w:val="-6"/>
          <w:w w:val="110"/>
          <w:sz w:val="18"/>
        </w:rPr>
        <w:t> </w:t>
      </w:r>
      <w:r>
        <w:rPr>
          <w:color w:val="231F20"/>
          <w:w w:val="110"/>
          <w:sz w:val="18"/>
        </w:rPr>
        <w:t>issues,</w:t>
      </w:r>
      <w:r>
        <w:rPr>
          <w:color w:val="231F20"/>
          <w:spacing w:val="-6"/>
          <w:w w:val="110"/>
          <w:sz w:val="18"/>
        </w:rPr>
        <w:t> </w:t>
      </w:r>
      <w:r>
        <w:rPr>
          <w:color w:val="231F20"/>
          <w:w w:val="110"/>
          <w:sz w:val="18"/>
        </w:rPr>
        <w:t>or</w:t>
      </w:r>
      <w:r>
        <w:rPr>
          <w:color w:val="231F20"/>
          <w:spacing w:val="-6"/>
          <w:w w:val="110"/>
          <w:sz w:val="18"/>
        </w:rPr>
        <w:t> </w:t>
      </w:r>
      <w:r>
        <w:rPr>
          <w:color w:val="231F20"/>
          <w:w w:val="110"/>
          <w:sz w:val="18"/>
        </w:rPr>
        <w:t>the</w:t>
      </w:r>
      <w:r>
        <w:rPr>
          <w:color w:val="231F20"/>
          <w:spacing w:val="-5"/>
          <w:w w:val="110"/>
          <w:sz w:val="18"/>
        </w:rPr>
        <w:t> </w:t>
      </w:r>
      <w:r>
        <w:rPr>
          <w:color w:val="231F20"/>
          <w:w w:val="110"/>
          <w:sz w:val="18"/>
        </w:rPr>
        <w:t>environment.</w:t>
      </w:r>
    </w:p>
    <w:p>
      <w:pPr>
        <w:pStyle w:val="BodyText"/>
        <w:spacing w:before="10"/>
        <w:rPr>
          <w:sz w:val="20"/>
        </w:rPr>
      </w:pPr>
    </w:p>
    <w:p>
      <w:pPr>
        <w:pStyle w:val="ListParagraph"/>
        <w:numPr>
          <w:ilvl w:val="1"/>
          <w:numId w:val="82"/>
        </w:numPr>
        <w:tabs>
          <w:tab w:pos="1713" w:val="left" w:leader="none"/>
          <w:tab w:pos="1714" w:val="left" w:leader="none"/>
        </w:tabs>
        <w:spacing w:line="273" w:lineRule="auto" w:before="0" w:after="0"/>
        <w:ind w:left="1032" w:right="2674" w:firstLine="0"/>
        <w:jc w:val="left"/>
        <w:rPr>
          <w:sz w:val="18"/>
        </w:rPr>
      </w:pPr>
      <w:r>
        <w:rPr>
          <w:color w:val="231F20"/>
          <w:w w:val="110"/>
          <w:sz w:val="18"/>
        </w:rPr>
        <w:t>The United Reformed Church is still firmly committed to ecumenical activity. </w:t>
      </w:r>
      <w:r>
        <w:rPr>
          <w:color w:val="231F20"/>
          <w:spacing w:val="-4"/>
          <w:w w:val="110"/>
          <w:sz w:val="18"/>
        </w:rPr>
        <w:t>We </w:t>
      </w:r>
      <w:r>
        <w:rPr>
          <w:color w:val="231F20"/>
          <w:w w:val="110"/>
          <w:sz w:val="18"/>
        </w:rPr>
        <w:t>give thanks for courageous witness and painstaking hard work in Local Ecumenical Partnerships, intermediate forums and national Ecumenical Instruments. </w:t>
      </w:r>
      <w:r>
        <w:rPr>
          <w:color w:val="231F20"/>
          <w:spacing w:val="-4"/>
          <w:w w:val="110"/>
          <w:sz w:val="18"/>
        </w:rPr>
        <w:t>We </w:t>
      </w:r>
      <w:r>
        <w:rPr>
          <w:color w:val="231F20"/>
          <w:w w:val="110"/>
          <w:sz w:val="18"/>
        </w:rPr>
        <w:t>rejoice at </w:t>
      </w:r>
      <w:r>
        <w:rPr>
          <w:color w:val="231F20"/>
          <w:spacing w:val="-3"/>
          <w:w w:val="110"/>
          <w:sz w:val="18"/>
        </w:rPr>
        <w:t>ever-growing </w:t>
      </w:r>
      <w:r>
        <w:rPr>
          <w:color w:val="231F20"/>
          <w:w w:val="110"/>
          <w:sz w:val="18"/>
        </w:rPr>
        <w:t>membership of ecumenical bodies. The bad news is that we </w:t>
      </w:r>
      <w:r>
        <w:rPr>
          <w:color w:val="231F20"/>
          <w:spacing w:val="-3"/>
          <w:w w:val="110"/>
          <w:sz w:val="18"/>
        </w:rPr>
        <w:t>have </w:t>
      </w:r>
      <w:r>
        <w:rPr>
          <w:color w:val="231F20"/>
          <w:w w:val="110"/>
          <w:sz w:val="18"/>
        </w:rPr>
        <w:t>to recognise, </w:t>
      </w:r>
      <w:r>
        <w:rPr>
          <w:color w:val="231F20"/>
          <w:spacing w:val="-3"/>
          <w:w w:val="110"/>
          <w:sz w:val="18"/>
        </w:rPr>
        <w:t>honestly, </w:t>
      </w:r>
      <w:r>
        <w:rPr>
          <w:color w:val="231F20"/>
          <w:w w:val="110"/>
          <w:sz w:val="18"/>
        </w:rPr>
        <w:t>the </w:t>
      </w:r>
      <w:r>
        <w:rPr>
          <w:color w:val="231F20"/>
          <w:spacing w:val="-3"/>
          <w:w w:val="110"/>
          <w:sz w:val="18"/>
        </w:rPr>
        <w:t>many </w:t>
      </w:r>
      <w:r>
        <w:rPr>
          <w:color w:val="231F20"/>
          <w:w w:val="110"/>
          <w:sz w:val="18"/>
        </w:rPr>
        <w:t>problems of relating in several directions at the same time, the frustration caused by lack of progress, and the sometimes bewildering complexity of</w:t>
      </w:r>
      <w:r>
        <w:rPr>
          <w:color w:val="231F20"/>
          <w:spacing w:val="-17"/>
          <w:w w:val="110"/>
          <w:sz w:val="18"/>
        </w:rPr>
        <w:t> </w:t>
      </w:r>
      <w:r>
        <w:rPr>
          <w:color w:val="231F20"/>
          <w:w w:val="110"/>
          <w:sz w:val="18"/>
        </w:rPr>
        <w:t>relationships.</w:t>
      </w:r>
    </w:p>
    <w:p>
      <w:pPr>
        <w:pStyle w:val="BodyText"/>
        <w:spacing w:before="11"/>
        <w:rPr>
          <w:sz w:val="20"/>
        </w:rPr>
      </w:pPr>
    </w:p>
    <w:p>
      <w:pPr>
        <w:pStyle w:val="ListParagraph"/>
        <w:numPr>
          <w:ilvl w:val="1"/>
          <w:numId w:val="82"/>
        </w:numPr>
        <w:tabs>
          <w:tab w:pos="1713" w:val="left" w:leader="none"/>
          <w:tab w:pos="1714" w:val="left" w:leader="none"/>
        </w:tabs>
        <w:spacing w:line="273" w:lineRule="auto" w:before="1" w:after="0"/>
        <w:ind w:left="1032" w:right="2802" w:firstLine="0"/>
        <w:jc w:val="left"/>
        <w:rPr>
          <w:sz w:val="18"/>
        </w:rPr>
      </w:pPr>
      <w:r>
        <w:rPr>
          <w:color w:val="231F20"/>
          <w:spacing w:val="-3"/>
          <w:w w:val="110"/>
          <w:sz w:val="18"/>
        </w:rPr>
        <w:t>Today </w:t>
      </w:r>
      <w:r>
        <w:rPr>
          <w:color w:val="231F20"/>
          <w:w w:val="110"/>
          <w:sz w:val="18"/>
        </w:rPr>
        <w:t>the ecumenical movement can be </w:t>
      </w:r>
      <w:r>
        <w:rPr>
          <w:color w:val="231F20"/>
          <w:spacing w:val="2"/>
          <w:w w:val="110"/>
          <w:sz w:val="18"/>
        </w:rPr>
        <w:t>very </w:t>
      </w:r>
      <w:r>
        <w:rPr>
          <w:color w:val="231F20"/>
          <w:w w:val="110"/>
          <w:sz w:val="18"/>
        </w:rPr>
        <w:t>varied. It is also building bridges to those in non traditional churches, outside the Churches Together </w:t>
      </w:r>
      <w:r>
        <w:rPr>
          <w:color w:val="231F20"/>
          <w:spacing w:val="2"/>
          <w:w w:val="110"/>
          <w:sz w:val="18"/>
        </w:rPr>
        <w:t>structures </w:t>
      </w:r>
      <w:r>
        <w:rPr>
          <w:color w:val="231F20"/>
          <w:w w:val="110"/>
          <w:sz w:val="18"/>
        </w:rPr>
        <w:t>– notably Pentecostals, New Churches and Fresh Expressions of</w:t>
      </w:r>
      <w:r>
        <w:rPr>
          <w:color w:val="231F20"/>
          <w:spacing w:val="2"/>
          <w:w w:val="110"/>
          <w:sz w:val="18"/>
        </w:rPr>
        <w:t> </w:t>
      </w:r>
      <w:r>
        <w:rPr>
          <w:color w:val="231F20"/>
          <w:w w:val="110"/>
          <w:sz w:val="18"/>
        </w:rPr>
        <w:t>Church.</w:t>
      </w:r>
    </w:p>
    <w:p>
      <w:pPr>
        <w:pStyle w:val="BodyText"/>
        <w:spacing w:before="9"/>
        <w:rPr>
          <w:sz w:val="20"/>
        </w:rPr>
      </w:pPr>
    </w:p>
    <w:p>
      <w:pPr>
        <w:pStyle w:val="ListParagraph"/>
        <w:numPr>
          <w:ilvl w:val="1"/>
          <w:numId w:val="82"/>
        </w:numPr>
        <w:tabs>
          <w:tab w:pos="1713" w:val="left" w:leader="none"/>
          <w:tab w:pos="1714" w:val="left" w:leader="none"/>
        </w:tabs>
        <w:spacing w:line="273" w:lineRule="auto" w:before="0" w:after="0"/>
        <w:ind w:left="1032" w:right="2690" w:firstLine="0"/>
        <w:jc w:val="left"/>
        <w:rPr>
          <w:sz w:val="18"/>
        </w:rPr>
      </w:pPr>
      <w:r>
        <w:rPr>
          <w:color w:val="231F20"/>
          <w:w w:val="110"/>
          <w:sz w:val="18"/>
        </w:rPr>
        <w:t>One focus for the ecumenical debate is about responding to diversity in unity. This arises</w:t>
      </w:r>
      <w:r>
        <w:rPr>
          <w:color w:val="231F20"/>
          <w:spacing w:val="4"/>
          <w:w w:val="110"/>
          <w:sz w:val="18"/>
        </w:rPr>
        <w:t> </w:t>
      </w:r>
      <w:r>
        <w:rPr>
          <w:color w:val="231F20"/>
          <w:w w:val="110"/>
          <w:sz w:val="18"/>
        </w:rPr>
        <w:t>because:</w:t>
      </w:r>
    </w:p>
    <w:p>
      <w:pPr>
        <w:pStyle w:val="BodyText"/>
        <w:spacing w:before="8"/>
        <w:rPr>
          <w:sz w:val="20"/>
        </w:rPr>
      </w:pPr>
    </w:p>
    <w:p>
      <w:pPr>
        <w:pStyle w:val="ListParagraph"/>
        <w:numPr>
          <w:ilvl w:val="0"/>
          <w:numId w:val="83"/>
        </w:numPr>
        <w:tabs>
          <w:tab w:pos="1713" w:val="left" w:leader="none"/>
          <w:tab w:pos="1714" w:val="left" w:leader="none"/>
        </w:tabs>
        <w:spacing w:line="273" w:lineRule="auto" w:before="0" w:after="0"/>
        <w:ind w:left="1713" w:right="2740" w:hanging="681"/>
        <w:jc w:val="left"/>
        <w:rPr>
          <w:i/>
          <w:sz w:val="18"/>
        </w:rPr>
      </w:pPr>
      <w:r>
        <w:rPr>
          <w:color w:val="231F20"/>
          <w:w w:val="110"/>
          <w:sz w:val="18"/>
        </w:rPr>
        <w:t>Many ecumenical </w:t>
      </w:r>
      <w:r>
        <w:rPr>
          <w:color w:val="231F20"/>
          <w:spacing w:val="2"/>
          <w:w w:val="110"/>
          <w:sz w:val="18"/>
        </w:rPr>
        <w:t>partners </w:t>
      </w:r>
      <w:r>
        <w:rPr>
          <w:color w:val="231F20"/>
          <w:w w:val="110"/>
          <w:sz w:val="18"/>
        </w:rPr>
        <w:t>find themselves threatened by potentially church-dividing issues, especially around human sexuality. They are confronted with the question: </w:t>
      </w:r>
      <w:r>
        <w:rPr>
          <w:i/>
          <w:color w:val="231F20"/>
          <w:w w:val="110"/>
          <w:sz w:val="18"/>
        </w:rPr>
        <w:t>how do we hold together those within </w:t>
      </w:r>
      <w:r>
        <w:rPr>
          <w:i/>
          <w:color w:val="231F20"/>
          <w:w w:val="110"/>
          <w:sz w:val="18"/>
        </w:rPr>
        <w:t>our own number who in all integrity</w:t>
      </w:r>
      <w:r>
        <w:rPr>
          <w:i/>
          <w:color w:val="231F20"/>
          <w:spacing w:val="16"/>
          <w:w w:val="110"/>
          <w:sz w:val="18"/>
        </w:rPr>
        <w:t> </w:t>
      </w:r>
      <w:r>
        <w:rPr>
          <w:i/>
          <w:color w:val="231F20"/>
          <w:w w:val="110"/>
          <w:sz w:val="18"/>
        </w:rPr>
        <w:t>disagree?”</w:t>
      </w:r>
    </w:p>
    <w:p>
      <w:pPr>
        <w:pStyle w:val="BodyText"/>
        <w:spacing w:before="9"/>
        <w:rPr>
          <w:i/>
          <w:sz w:val="20"/>
        </w:rPr>
      </w:pPr>
    </w:p>
    <w:p>
      <w:pPr>
        <w:pStyle w:val="ListParagraph"/>
        <w:numPr>
          <w:ilvl w:val="0"/>
          <w:numId w:val="83"/>
        </w:numPr>
        <w:tabs>
          <w:tab w:pos="1713" w:val="left" w:leader="none"/>
          <w:tab w:pos="1714" w:val="left" w:leader="none"/>
        </w:tabs>
        <w:spacing w:line="273" w:lineRule="auto" w:before="0" w:after="0"/>
        <w:ind w:left="1713" w:right="2662" w:hanging="681"/>
        <w:jc w:val="left"/>
        <w:rPr>
          <w:sz w:val="18"/>
        </w:rPr>
      </w:pPr>
      <w:r>
        <w:rPr>
          <w:color w:val="231F20"/>
          <w:w w:val="110"/>
          <w:sz w:val="18"/>
        </w:rPr>
        <w:t>Some see God calling us to </w:t>
      </w:r>
      <w:r>
        <w:rPr>
          <w:color w:val="231F20"/>
          <w:spacing w:val="-3"/>
          <w:w w:val="110"/>
          <w:sz w:val="18"/>
        </w:rPr>
        <w:t>new, </w:t>
      </w:r>
      <w:r>
        <w:rPr>
          <w:color w:val="231F20"/>
          <w:w w:val="110"/>
          <w:sz w:val="18"/>
        </w:rPr>
        <w:t>emerging ways of being church or </w:t>
      </w:r>
      <w:r>
        <w:rPr>
          <w:color w:val="231F20"/>
          <w:spacing w:val="2"/>
          <w:w w:val="110"/>
          <w:sz w:val="18"/>
        </w:rPr>
        <w:t>fresh </w:t>
      </w:r>
      <w:r>
        <w:rPr>
          <w:color w:val="231F20"/>
          <w:w w:val="110"/>
          <w:sz w:val="18"/>
        </w:rPr>
        <w:t>expressions, and ask how to hold together more traditional and more experimental forms, while encouraging a thousand different flowers to</w:t>
      </w:r>
      <w:r>
        <w:rPr>
          <w:color w:val="231F20"/>
          <w:spacing w:val="2"/>
          <w:w w:val="110"/>
          <w:sz w:val="18"/>
        </w:rPr>
        <w:t> </w:t>
      </w:r>
      <w:r>
        <w:rPr>
          <w:color w:val="231F20"/>
          <w:w w:val="110"/>
          <w:sz w:val="18"/>
        </w:rPr>
        <w:t>bloom.</w:t>
      </w:r>
    </w:p>
    <w:p>
      <w:pPr>
        <w:pStyle w:val="BodyText"/>
        <w:spacing w:before="10"/>
        <w:rPr>
          <w:sz w:val="20"/>
        </w:rPr>
      </w:pPr>
    </w:p>
    <w:p>
      <w:pPr>
        <w:pStyle w:val="ListParagraph"/>
        <w:numPr>
          <w:ilvl w:val="0"/>
          <w:numId w:val="83"/>
        </w:numPr>
        <w:tabs>
          <w:tab w:pos="1713" w:val="left" w:leader="none"/>
          <w:tab w:pos="1714" w:val="left" w:leader="none"/>
        </w:tabs>
        <w:spacing w:line="273" w:lineRule="auto" w:before="0" w:after="0"/>
        <w:ind w:left="1713" w:right="3043" w:hanging="681"/>
        <w:jc w:val="left"/>
        <w:rPr>
          <w:sz w:val="18"/>
        </w:rPr>
      </w:pPr>
      <w:r>
        <w:rPr>
          <w:color w:val="231F20"/>
          <w:w w:val="110"/>
          <w:sz w:val="18"/>
        </w:rPr>
        <w:t>Those pondering the shape of global Christianity wonder how to hold together the forms it takes in the </w:t>
      </w:r>
      <w:r>
        <w:rPr>
          <w:color w:val="231F20"/>
          <w:spacing w:val="2"/>
          <w:w w:val="110"/>
          <w:sz w:val="18"/>
        </w:rPr>
        <w:t>North </w:t>
      </w:r>
      <w:r>
        <w:rPr>
          <w:color w:val="231F20"/>
          <w:w w:val="110"/>
          <w:sz w:val="18"/>
        </w:rPr>
        <w:t>and West with those emerging </w:t>
      </w:r>
      <w:r>
        <w:rPr>
          <w:color w:val="231F20"/>
          <w:spacing w:val="2"/>
          <w:w w:val="110"/>
          <w:sz w:val="18"/>
        </w:rPr>
        <w:t>from </w:t>
      </w:r>
      <w:r>
        <w:rPr>
          <w:color w:val="231F20"/>
          <w:w w:val="110"/>
          <w:sz w:val="18"/>
        </w:rPr>
        <w:t>Southern</w:t>
      </w:r>
      <w:r>
        <w:rPr>
          <w:color w:val="231F20"/>
          <w:spacing w:val="4"/>
          <w:w w:val="110"/>
          <w:sz w:val="18"/>
        </w:rPr>
        <w:t> </w:t>
      </w:r>
      <w:r>
        <w:rPr>
          <w:color w:val="231F20"/>
          <w:w w:val="110"/>
          <w:sz w:val="18"/>
        </w:rPr>
        <w:t>cultures.</w:t>
      </w:r>
    </w:p>
    <w:p>
      <w:pPr>
        <w:pStyle w:val="BodyText"/>
        <w:spacing w:before="8"/>
        <w:rPr>
          <w:sz w:val="20"/>
        </w:rPr>
      </w:pPr>
    </w:p>
    <w:p>
      <w:pPr>
        <w:pStyle w:val="ListParagraph"/>
        <w:numPr>
          <w:ilvl w:val="0"/>
          <w:numId w:val="83"/>
        </w:numPr>
        <w:tabs>
          <w:tab w:pos="1713" w:val="left" w:leader="none"/>
          <w:tab w:pos="1714" w:val="left" w:leader="none"/>
        </w:tabs>
        <w:spacing w:line="273" w:lineRule="auto" w:before="1" w:after="0"/>
        <w:ind w:left="1713" w:right="2779" w:hanging="681"/>
        <w:jc w:val="left"/>
        <w:rPr>
          <w:sz w:val="18"/>
        </w:rPr>
      </w:pPr>
      <w:r>
        <w:rPr>
          <w:color w:val="231F20"/>
          <w:w w:val="110"/>
          <w:sz w:val="18"/>
        </w:rPr>
        <w:t>Some traditions worldwide stress their particular roots. Others are forming united or uniting churches across historic divides. Both these witnesses need to be</w:t>
      </w:r>
      <w:r>
        <w:rPr>
          <w:color w:val="231F20"/>
          <w:spacing w:val="-16"/>
          <w:w w:val="110"/>
          <w:sz w:val="18"/>
        </w:rPr>
        <w:t> </w:t>
      </w:r>
      <w:r>
        <w:rPr>
          <w:color w:val="231F20"/>
          <w:w w:val="110"/>
          <w:sz w:val="18"/>
        </w:rPr>
        <w:t>heard.</w:t>
      </w:r>
    </w:p>
    <w:p>
      <w:pPr>
        <w:pStyle w:val="BodyText"/>
        <w:spacing w:before="2"/>
      </w:pPr>
    </w:p>
    <w:p>
      <w:pPr>
        <w:spacing w:before="55"/>
        <w:ind w:left="0" w:right="1160" w:firstLine="0"/>
        <w:jc w:val="right"/>
        <w:rPr>
          <w:rFonts w:ascii="Eurostile Bold"/>
          <w:b/>
          <w:sz w:val="24"/>
        </w:rPr>
      </w:pPr>
      <w:r>
        <w:rPr>
          <w:rFonts w:ascii="Eurostile Bold"/>
          <w:b/>
          <w:color w:val="231F20"/>
          <w:w w:val="85"/>
          <w:sz w:val="24"/>
        </w:rPr>
        <w:t>141</w:t>
      </w:r>
    </w:p>
    <w:p>
      <w:pPr>
        <w:spacing w:after="0"/>
        <w:jc w:val="right"/>
        <w:rPr>
          <w:rFonts w:ascii="Eurostile Bold"/>
          <w:sz w:val="24"/>
        </w:rPr>
        <w:sectPr>
          <w:headerReference w:type="default" r:id="rId200"/>
          <w:footerReference w:type="default" r:id="rId201"/>
          <w:pgSz w:w="11910" w:h="16840"/>
          <w:pgMar w:header="0" w:footer="0" w:top="780" w:bottom="280" w:left="460" w:right="0"/>
        </w:sectPr>
      </w:pPr>
    </w:p>
    <w:p>
      <w:pPr>
        <w:pStyle w:val="BodyText"/>
        <w:spacing w:before="7"/>
        <w:rPr>
          <w:rFonts w:ascii="Eurostile Bold"/>
          <w:b/>
          <w:sz w:val="13"/>
        </w:rPr>
      </w:pPr>
    </w:p>
    <w:p>
      <w:pPr>
        <w:pStyle w:val="ListParagraph"/>
        <w:numPr>
          <w:ilvl w:val="0"/>
          <w:numId w:val="84"/>
        </w:numPr>
        <w:tabs>
          <w:tab w:pos="1354" w:val="left" w:leader="none"/>
          <w:tab w:pos="1355" w:val="left" w:leader="none"/>
        </w:tabs>
        <w:spacing w:line="273" w:lineRule="auto" w:before="100" w:after="0"/>
        <w:ind w:left="673" w:right="2000" w:firstLine="0"/>
        <w:jc w:val="left"/>
        <w:rPr>
          <w:sz w:val="18"/>
        </w:rPr>
      </w:pPr>
      <w:r>
        <w:rPr>
          <w:color w:val="231F20"/>
          <w:w w:val="110"/>
          <w:sz w:val="18"/>
        </w:rPr>
        <w:t>The other focus for debate is about how we live with our </w:t>
      </w:r>
      <w:r>
        <w:rPr>
          <w:color w:val="231F20"/>
          <w:spacing w:val="2"/>
          <w:w w:val="110"/>
          <w:sz w:val="18"/>
        </w:rPr>
        <w:t>differences. </w:t>
      </w:r>
      <w:r>
        <w:rPr>
          <w:color w:val="231F20"/>
          <w:spacing w:val="3"/>
          <w:w w:val="110"/>
          <w:sz w:val="18"/>
        </w:rPr>
        <w:t>As </w:t>
      </w:r>
      <w:r>
        <w:rPr>
          <w:color w:val="231F20"/>
          <w:w w:val="110"/>
          <w:sz w:val="18"/>
        </w:rPr>
        <w:t>well as the reasons already given, this arises</w:t>
      </w:r>
      <w:r>
        <w:rPr>
          <w:color w:val="231F20"/>
          <w:spacing w:val="11"/>
          <w:w w:val="110"/>
          <w:sz w:val="18"/>
        </w:rPr>
        <w:t> </w:t>
      </w:r>
      <w:r>
        <w:rPr>
          <w:color w:val="231F20"/>
          <w:w w:val="110"/>
          <w:sz w:val="18"/>
        </w:rPr>
        <w:t>because:</w:t>
      </w:r>
    </w:p>
    <w:p>
      <w:pPr>
        <w:pStyle w:val="BodyText"/>
        <w:spacing w:before="8"/>
        <w:rPr>
          <w:sz w:val="20"/>
        </w:rPr>
      </w:pPr>
    </w:p>
    <w:p>
      <w:pPr>
        <w:pStyle w:val="ListParagraph"/>
        <w:numPr>
          <w:ilvl w:val="0"/>
          <w:numId w:val="85"/>
        </w:numPr>
        <w:tabs>
          <w:tab w:pos="1354" w:val="left" w:leader="none"/>
          <w:tab w:pos="1355" w:val="left" w:leader="none"/>
        </w:tabs>
        <w:spacing w:line="273" w:lineRule="auto" w:before="0" w:after="0"/>
        <w:ind w:left="1354" w:right="1999" w:hanging="681"/>
        <w:jc w:val="left"/>
        <w:rPr>
          <w:sz w:val="18"/>
        </w:rPr>
      </w:pPr>
      <w:r>
        <w:rPr>
          <w:color w:val="231F20"/>
          <w:spacing w:val="2"/>
          <w:w w:val="110"/>
          <w:sz w:val="18"/>
        </w:rPr>
        <w:t>There </w:t>
      </w:r>
      <w:r>
        <w:rPr>
          <w:color w:val="231F20"/>
          <w:w w:val="110"/>
          <w:sz w:val="18"/>
        </w:rPr>
        <w:t>are concerns over how to relate to Islam, and whether the debate about multi-culturalism is shifting </w:t>
      </w:r>
      <w:r>
        <w:rPr>
          <w:color w:val="231F20"/>
          <w:spacing w:val="2"/>
          <w:w w:val="110"/>
          <w:sz w:val="18"/>
        </w:rPr>
        <w:t>from </w:t>
      </w:r>
      <w:r>
        <w:rPr>
          <w:color w:val="231F20"/>
          <w:w w:val="110"/>
          <w:sz w:val="18"/>
        </w:rPr>
        <w:t>how to get people a place at the table, to how to manage the debate they then</w:t>
      </w:r>
      <w:r>
        <w:rPr>
          <w:color w:val="231F20"/>
          <w:spacing w:val="8"/>
          <w:w w:val="110"/>
          <w:sz w:val="18"/>
        </w:rPr>
        <w:t> </w:t>
      </w:r>
      <w:r>
        <w:rPr>
          <w:color w:val="231F20"/>
          <w:w w:val="110"/>
          <w:sz w:val="18"/>
        </w:rPr>
        <w:t>have.</w:t>
      </w:r>
    </w:p>
    <w:p>
      <w:pPr>
        <w:pStyle w:val="BodyText"/>
        <w:spacing w:before="9"/>
        <w:rPr>
          <w:sz w:val="20"/>
        </w:rPr>
      </w:pPr>
    </w:p>
    <w:p>
      <w:pPr>
        <w:pStyle w:val="ListParagraph"/>
        <w:numPr>
          <w:ilvl w:val="0"/>
          <w:numId w:val="85"/>
        </w:numPr>
        <w:tabs>
          <w:tab w:pos="1354" w:val="left" w:leader="none"/>
          <w:tab w:pos="1355" w:val="left" w:leader="none"/>
        </w:tabs>
        <w:spacing w:line="273" w:lineRule="auto" w:before="0" w:after="0"/>
        <w:ind w:left="1354" w:right="1707" w:hanging="681"/>
        <w:jc w:val="left"/>
        <w:rPr>
          <w:sz w:val="18"/>
        </w:rPr>
      </w:pPr>
      <w:r>
        <w:rPr>
          <w:color w:val="231F20"/>
          <w:w w:val="110"/>
          <w:sz w:val="18"/>
        </w:rPr>
        <w:t>It has been said that the theme of the Kingdom of God in the New Testament is universal in scope, while its content is particular to individual lives and specific situations. If so, the ecumenical task is to </w:t>
      </w:r>
      <w:r>
        <w:rPr>
          <w:color w:val="231F20"/>
          <w:spacing w:val="2"/>
          <w:w w:val="110"/>
          <w:sz w:val="18"/>
        </w:rPr>
        <w:t>affirm </w:t>
      </w:r>
      <w:r>
        <w:rPr>
          <w:color w:val="231F20"/>
          <w:w w:val="110"/>
          <w:sz w:val="18"/>
        </w:rPr>
        <w:t>this universal scope against a fast-expanding background of different settings, ways of talking and </w:t>
      </w:r>
      <w:r>
        <w:rPr>
          <w:color w:val="231F20"/>
          <w:spacing w:val="2"/>
          <w:w w:val="110"/>
          <w:sz w:val="18"/>
        </w:rPr>
        <w:t>sets </w:t>
      </w:r>
      <w:r>
        <w:rPr>
          <w:color w:val="231F20"/>
          <w:w w:val="110"/>
          <w:sz w:val="18"/>
        </w:rPr>
        <w:t>of ideas. Can we recognise it when we share a common goal, or </w:t>
      </w:r>
      <w:r>
        <w:rPr>
          <w:color w:val="231F20"/>
          <w:spacing w:val="2"/>
          <w:w w:val="110"/>
          <w:sz w:val="18"/>
        </w:rPr>
        <w:t>search </w:t>
      </w:r>
      <w:r>
        <w:rPr>
          <w:color w:val="231F20"/>
          <w:w w:val="110"/>
          <w:sz w:val="18"/>
        </w:rPr>
        <w:t>for the same truth, but use different language to </w:t>
      </w:r>
      <w:r>
        <w:rPr>
          <w:color w:val="231F20"/>
          <w:spacing w:val="2"/>
          <w:w w:val="110"/>
          <w:sz w:val="18"/>
        </w:rPr>
        <w:t>describe</w:t>
      </w:r>
      <w:r>
        <w:rPr>
          <w:color w:val="231F20"/>
          <w:spacing w:val="9"/>
          <w:w w:val="110"/>
          <w:sz w:val="18"/>
        </w:rPr>
        <w:t> </w:t>
      </w:r>
      <w:r>
        <w:rPr>
          <w:color w:val="231F20"/>
          <w:w w:val="110"/>
          <w:sz w:val="18"/>
        </w:rPr>
        <w:t>it?</w:t>
      </w:r>
    </w:p>
    <w:p>
      <w:pPr>
        <w:pStyle w:val="BodyText"/>
        <w:spacing w:before="10"/>
        <w:rPr>
          <w:sz w:val="20"/>
        </w:rPr>
      </w:pPr>
    </w:p>
    <w:p>
      <w:pPr>
        <w:pStyle w:val="ListParagraph"/>
        <w:numPr>
          <w:ilvl w:val="0"/>
          <w:numId w:val="85"/>
        </w:numPr>
        <w:tabs>
          <w:tab w:pos="1354" w:val="left" w:leader="none"/>
          <w:tab w:pos="1355" w:val="left" w:leader="none"/>
        </w:tabs>
        <w:spacing w:line="273" w:lineRule="auto" w:before="1" w:after="0"/>
        <w:ind w:left="1354" w:right="1740" w:hanging="681"/>
        <w:jc w:val="left"/>
        <w:rPr>
          <w:sz w:val="18"/>
        </w:rPr>
      </w:pPr>
      <w:r>
        <w:rPr>
          <w:color w:val="231F20"/>
          <w:spacing w:val="-9"/>
          <w:w w:val="110"/>
          <w:sz w:val="18"/>
        </w:rPr>
        <w:t>To </w:t>
      </w:r>
      <w:r>
        <w:rPr>
          <w:color w:val="231F20"/>
          <w:w w:val="110"/>
          <w:sz w:val="18"/>
        </w:rPr>
        <w:t>do our theology in a wide range of different contexts is a big challenge. </w:t>
      </w:r>
      <w:r>
        <w:rPr>
          <w:color w:val="231F20"/>
          <w:spacing w:val="-4"/>
          <w:w w:val="110"/>
          <w:sz w:val="18"/>
        </w:rPr>
        <w:t>We </w:t>
      </w:r>
      <w:r>
        <w:rPr>
          <w:color w:val="231F20"/>
          <w:spacing w:val="-3"/>
          <w:w w:val="110"/>
          <w:sz w:val="18"/>
        </w:rPr>
        <w:t>have </w:t>
      </w:r>
      <w:r>
        <w:rPr>
          <w:color w:val="231F20"/>
          <w:w w:val="110"/>
          <w:sz w:val="18"/>
        </w:rPr>
        <w:t>to be even-handed in dealing with others. </w:t>
      </w:r>
      <w:r>
        <w:rPr>
          <w:color w:val="231F20"/>
          <w:spacing w:val="-3"/>
          <w:w w:val="110"/>
          <w:sz w:val="18"/>
        </w:rPr>
        <w:t>We </w:t>
      </w:r>
      <w:r>
        <w:rPr>
          <w:color w:val="231F20"/>
          <w:w w:val="110"/>
          <w:sz w:val="18"/>
        </w:rPr>
        <w:t>also have to struggle with whether God is calling us to work with what we find or stand over against it for the sake of the Gospel.</w:t>
      </w:r>
    </w:p>
    <w:p>
      <w:pPr>
        <w:pStyle w:val="BodyText"/>
        <w:spacing w:before="9"/>
        <w:rPr>
          <w:sz w:val="20"/>
        </w:rPr>
      </w:pPr>
    </w:p>
    <w:p>
      <w:pPr>
        <w:pStyle w:val="ListParagraph"/>
        <w:numPr>
          <w:ilvl w:val="0"/>
          <w:numId w:val="85"/>
        </w:numPr>
        <w:tabs>
          <w:tab w:pos="1354" w:val="left" w:leader="none"/>
          <w:tab w:pos="1355" w:val="left" w:leader="none"/>
        </w:tabs>
        <w:spacing w:line="273" w:lineRule="auto" w:before="0" w:after="0"/>
        <w:ind w:left="1354" w:right="1896" w:hanging="681"/>
        <w:jc w:val="left"/>
        <w:rPr>
          <w:sz w:val="18"/>
        </w:rPr>
      </w:pPr>
      <w:r>
        <w:rPr>
          <w:color w:val="231F20"/>
          <w:spacing w:val="2"/>
          <w:w w:val="110"/>
          <w:sz w:val="18"/>
        </w:rPr>
        <w:t>Contemporary </w:t>
      </w:r>
      <w:r>
        <w:rPr>
          <w:color w:val="231F20"/>
          <w:w w:val="110"/>
          <w:sz w:val="18"/>
        </w:rPr>
        <w:t>thinking about evangelism </w:t>
      </w:r>
      <w:r>
        <w:rPr>
          <w:color w:val="231F20"/>
          <w:spacing w:val="2"/>
          <w:w w:val="110"/>
          <w:sz w:val="18"/>
        </w:rPr>
        <w:t>affirms </w:t>
      </w:r>
      <w:r>
        <w:rPr>
          <w:color w:val="231F20"/>
          <w:w w:val="110"/>
          <w:sz w:val="18"/>
        </w:rPr>
        <w:t>the value of each person’s </w:t>
      </w:r>
      <w:r>
        <w:rPr>
          <w:color w:val="231F20"/>
          <w:spacing w:val="2"/>
          <w:w w:val="110"/>
          <w:sz w:val="18"/>
        </w:rPr>
        <w:t>search </w:t>
      </w:r>
      <w:r>
        <w:rPr>
          <w:color w:val="231F20"/>
          <w:w w:val="110"/>
          <w:sz w:val="18"/>
        </w:rPr>
        <w:t>and story, rather than stressing the need for common ground. Emerging church thinkers plead for the treatment of everyone as individuals, so we can all learn and even</w:t>
      </w:r>
      <w:r>
        <w:rPr>
          <w:color w:val="231F20"/>
          <w:spacing w:val="3"/>
          <w:w w:val="110"/>
          <w:sz w:val="18"/>
        </w:rPr>
        <w:t> </w:t>
      </w:r>
      <w:r>
        <w:rPr>
          <w:color w:val="231F20"/>
          <w:w w:val="110"/>
          <w:sz w:val="18"/>
        </w:rPr>
        <w:t>teach.</w:t>
      </w:r>
    </w:p>
    <w:p>
      <w:pPr>
        <w:pStyle w:val="BodyText"/>
        <w:spacing w:before="9"/>
        <w:rPr>
          <w:sz w:val="20"/>
        </w:rPr>
      </w:pPr>
    </w:p>
    <w:p>
      <w:pPr>
        <w:pStyle w:val="ListParagraph"/>
        <w:numPr>
          <w:ilvl w:val="0"/>
          <w:numId w:val="84"/>
        </w:numPr>
        <w:tabs>
          <w:tab w:pos="1354" w:val="left" w:leader="none"/>
          <w:tab w:pos="1355" w:val="left" w:leader="none"/>
        </w:tabs>
        <w:spacing w:line="273" w:lineRule="auto" w:before="0" w:after="0"/>
        <w:ind w:left="673" w:right="1794" w:firstLine="0"/>
        <w:jc w:val="left"/>
        <w:rPr>
          <w:sz w:val="18"/>
        </w:rPr>
      </w:pPr>
      <w:r>
        <w:rPr>
          <w:color w:val="231F20"/>
          <w:w w:val="110"/>
          <w:sz w:val="18"/>
        </w:rPr>
        <w:t>Some people respond to the current state of </w:t>
      </w:r>
      <w:r>
        <w:rPr>
          <w:color w:val="231F20"/>
          <w:spacing w:val="2"/>
          <w:w w:val="110"/>
          <w:sz w:val="18"/>
        </w:rPr>
        <w:t>affairs </w:t>
      </w:r>
      <w:r>
        <w:rPr>
          <w:color w:val="231F20"/>
          <w:w w:val="110"/>
          <w:sz w:val="18"/>
        </w:rPr>
        <w:t>by doubting whether we can hold together; they </w:t>
      </w:r>
      <w:r>
        <w:rPr>
          <w:color w:val="231F20"/>
          <w:spacing w:val="2"/>
          <w:w w:val="110"/>
          <w:sz w:val="18"/>
        </w:rPr>
        <w:t>predict </w:t>
      </w:r>
      <w:r>
        <w:rPr>
          <w:color w:val="231F20"/>
          <w:w w:val="110"/>
          <w:sz w:val="18"/>
        </w:rPr>
        <w:t>new schisms – and alliances. It is easier to identify possible schisms than to </w:t>
      </w:r>
      <w:r>
        <w:rPr>
          <w:color w:val="231F20"/>
          <w:spacing w:val="2"/>
          <w:w w:val="110"/>
          <w:sz w:val="18"/>
        </w:rPr>
        <w:t>foresee </w:t>
      </w:r>
      <w:r>
        <w:rPr>
          <w:color w:val="231F20"/>
          <w:w w:val="110"/>
          <w:sz w:val="18"/>
        </w:rPr>
        <w:t>the shape of any new alliance. Those who agree about the  public issues which should concern the church also disagree just as strongly on the nature of the church, so if the church split it could </w:t>
      </w:r>
      <w:r>
        <w:rPr>
          <w:color w:val="231F20"/>
          <w:spacing w:val="2"/>
          <w:w w:val="110"/>
          <w:sz w:val="18"/>
        </w:rPr>
        <w:t>fracture </w:t>
      </w:r>
      <w:r>
        <w:rPr>
          <w:color w:val="231F20"/>
          <w:w w:val="110"/>
          <w:sz w:val="18"/>
        </w:rPr>
        <w:t>into small pieces rather than being able to form new</w:t>
      </w:r>
      <w:r>
        <w:rPr>
          <w:color w:val="231F20"/>
          <w:spacing w:val="6"/>
          <w:w w:val="110"/>
          <w:sz w:val="18"/>
        </w:rPr>
        <w:t> </w:t>
      </w:r>
      <w:r>
        <w:rPr>
          <w:color w:val="231F20"/>
          <w:w w:val="110"/>
          <w:sz w:val="18"/>
        </w:rPr>
        <w:t>groupings.</w:t>
      </w:r>
    </w:p>
    <w:p>
      <w:pPr>
        <w:pStyle w:val="BodyText"/>
        <w:spacing w:before="11"/>
        <w:rPr>
          <w:sz w:val="20"/>
        </w:rPr>
      </w:pPr>
    </w:p>
    <w:p>
      <w:pPr>
        <w:pStyle w:val="ListParagraph"/>
        <w:numPr>
          <w:ilvl w:val="0"/>
          <w:numId w:val="84"/>
        </w:numPr>
        <w:tabs>
          <w:tab w:pos="1354" w:val="left" w:leader="none"/>
          <w:tab w:pos="1355" w:val="left" w:leader="none"/>
        </w:tabs>
        <w:spacing w:line="273" w:lineRule="auto" w:before="0" w:after="0"/>
        <w:ind w:left="673" w:right="2042" w:hanging="1"/>
        <w:jc w:val="left"/>
        <w:rPr>
          <w:sz w:val="18"/>
        </w:rPr>
      </w:pPr>
      <w:r>
        <w:rPr>
          <w:color w:val="231F20"/>
          <w:spacing w:val="2"/>
          <w:w w:val="110"/>
          <w:sz w:val="18"/>
        </w:rPr>
        <w:t>There </w:t>
      </w:r>
      <w:r>
        <w:rPr>
          <w:color w:val="231F20"/>
          <w:w w:val="110"/>
          <w:sz w:val="18"/>
        </w:rPr>
        <w:t>is an emerging debate about ecumenical core values. At an ecumenical </w:t>
      </w:r>
      <w:r>
        <w:rPr>
          <w:color w:val="231F20"/>
          <w:spacing w:val="2"/>
          <w:w w:val="110"/>
          <w:sz w:val="18"/>
        </w:rPr>
        <w:t>officers’ </w:t>
      </w:r>
      <w:r>
        <w:rPr>
          <w:color w:val="231F20"/>
          <w:w w:val="110"/>
          <w:sz w:val="18"/>
        </w:rPr>
        <w:t>conference in 2006, it was suggested that full visible unity was a last gasp of late Enlightenment utopian thinking which has no place in the 21</w:t>
      </w:r>
      <w:r>
        <w:rPr>
          <w:color w:val="231F20"/>
          <w:w w:val="110"/>
          <w:position w:val="6"/>
          <w:sz w:val="10"/>
        </w:rPr>
        <w:t>st</w:t>
      </w:r>
      <w:r>
        <w:rPr>
          <w:color w:val="231F20"/>
          <w:spacing w:val="38"/>
          <w:w w:val="110"/>
          <w:position w:val="6"/>
          <w:sz w:val="10"/>
        </w:rPr>
        <w:t> </w:t>
      </w:r>
      <w:r>
        <w:rPr>
          <w:color w:val="231F20"/>
          <w:w w:val="110"/>
          <w:sz w:val="18"/>
        </w:rPr>
        <w:t>century.</w:t>
      </w:r>
    </w:p>
    <w:p>
      <w:pPr>
        <w:pStyle w:val="BodyText"/>
        <w:spacing w:before="8"/>
        <w:rPr>
          <w:sz w:val="20"/>
        </w:rPr>
      </w:pPr>
    </w:p>
    <w:p>
      <w:pPr>
        <w:pStyle w:val="ListParagraph"/>
        <w:numPr>
          <w:ilvl w:val="0"/>
          <w:numId w:val="84"/>
        </w:numPr>
        <w:tabs>
          <w:tab w:pos="1354" w:val="left" w:leader="none"/>
          <w:tab w:pos="1355" w:val="left" w:leader="none"/>
        </w:tabs>
        <w:spacing w:line="273" w:lineRule="auto" w:before="1" w:after="0"/>
        <w:ind w:left="673" w:right="1911" w:firstLine="0"/>
        <w:jc w:val="left"/>
        <w:rPr>
          <w:sz w:val="18"/>
        </w:rPr>
      </w:pPr>
      <w:r>
        <w:rPr>
          <w:color w:val="231F20"/>
          <w:w w:val="110"/>
          <w:sz w:val="18"/>
        </w:rPr>
        <w:t>In a recent poll Christian Aid emerged as the most hated </w:t>
      </w:r>
      <w:r>
        <w:rPr>
          <w:color w:val="231F20"/>
          <w:spacing w:val="2"/>
          <w:w w:val="110"/>
          <w:sz w:val="18"/>
        </w:rPr>
        <w:t>charity </w:t>
      </w:r>
      <w:r>
        <w:rPr>
          <w:color w:val="231F20"/>
          <w:w w:val="110"/>
          <w:sz w:val="18"/>
        </w:rPr>
        <w:t>and the Salvation Army the third most hated, </w:t>
      </w:r>
      <w:r>
        <w:rPr>
          <w:color w:val="231F20"/>
          <w:spacing w:val="2"/>
          <w:w w:val="110"/>
          <w:sz w:val="18"/>
        </w:rPr>
        <w:t>because </w:t>
      </w:r>
      <w:r>
        <w:rPr>
          <w:color w:val="231F20"/>
          <w:w w:val="110"/>
          <w:sz w:val="18"/>
        </w:rPr>
        <w:t>they were “religious” rather than “spiritual”. Although there are some questions about how the poll was done, it does seem that people now associate something “religious” with being old, boring and disconnected</w:t>
      </w:r>
      <w:r>
        <w:rPr>
          <w:color w:val="231F20"/>
          <w:spacing w:val="17"/>
          <w:w w:val="110"/>
          <w:sz w:val="18"/>
        </w:rPr>
        <w:t> </w:t>
      </w:r>
      <w:r>
        <w:rPr>
          <w:color w:val="231F20"/>
          <w:w w:val="110"/>
          <w:sz w:val="18"/>
        </w:rPr>
        <w:t>–</w:t>
      </w:r>
      <w:r>
        <w:rPr>
          <w:color w:val="231F20"/>
          <w:spacing w:val="17"/>
          <w:w w:val="110"/>
          <w:sz w:val="18"/>
        </w:rPr>
        <w:t> </w:t>
      </w:r>
      <w:r>
        <w:rPr>
          <w:color w:val="231F20"/>
          <w:w w:val="110"/>
          <w:sz w:val="18"/>
        </w:rPr>
        <w:t>whilst</w:t>
      </w:r>
      <w:r>
        <w:rPr>
          <w:color w:val="231F20"/>
          <w:spacing w:val="17"/>
          <w:w w:val="110"/>
          <w:sz w:val="18"/>
        </w:rPr>
        <w:t> </w:t>
      </w:r>
      <w:r>
        <w:rPr>
          <w:color w:val="231F20"/>
          <w:w w:val="110"/>
          <w:sz w:val="18"/>
        </w:rPr>
        <w:t>something</w:t>
      </w:r>
      <w:r>
        <w:rPr>
          <w:color w:val="231F20"/>
          <w:spacing w:val="17"/>
          <w:w w:val="110"/>
          <w:sz w:val="18"/>
        </w:rPr>
        <w:t> </w:t>
      </w:r>
      <w:r>
        <w:rPr>
          <w:color w:val="231F20"/>
          <w:w w:val="110"/>
          <w:sz w:val="18"/>
        </w:rPr>
        <w:t>“spiritual”</w:t>
      </w:r>
      <w:r>
        <w:rPr>
          <w:color w:val="231F20"/>
          <w:spacing w:val="17"/>
          <w:w w:val="110"/>
          <w:sz w:val="18"/>
        </w:rPr>
        <w:t> </w:t>
      </w:r>
      <w:r>
        <w:rPr>
          <w:color w:val="231F20"/>
          <w:w w:val="110"/>
          <w:sz w:val="18"/>
        </w:rPr>
        <w:t>is</w:t>
      </w:r>
      <w:r>
        <w:rPr>
          <w:color w:val="231F20"/>
          <w:spacing w:val="17"/>
          <w:w w:val="110"/>
          <w:sz w:val="18"/>
        </w:rPr>
        <w:t> </w:t>
      </w:r>
      <w:r>
        <w:rPr>
          <w:color w:val="231F20"/>
          <w:w w:val="110"/>
          <w:sz w:val="18"/>
        </w:rPr>
        <w:t>compelling,</w:t>
      </w:r>
      <w:r>
        <w:rPr>
          <w:color w:val="231F20"/>
          <w:spacing w:val="17"/>
          <w:w w:val="110"/>
          <w:sz w:val="18"/>
        </w:rPr>
        <w:t> </w:t>
      </w:r>
      <w:r>
        <w:rPr>
          <w:color w:val="231F20"/>
          <w:w w:val="110"/>
          <w:sz w:val="18"/>
        </w:rPr>
        <w:t>different,</w:t>
      </w:r>
      <w:r>
        <w:rPr>
          <w:color w:val="231F20"/>
          <w:spacing w:val="17"/>
          <w:w w:val="110"/>
          <w:sz w:val="18"/>
        </w:rPr>
        <w:t> </w:t>
      </w:r>
      <w:r>
        <w:rPr>
          <w:color w:val="231F20"/>
          <w:w w:val="110"/>
          <w:sz w:val="18"/>
        </w:rPr>
        <w:t>creative</w:t>
      </w:r>
      <w:r>
        <w:rPr>
          <w:color w:val="231F20"/>
          <w:spacing w:val="17"/>
          <w:w w:val="110"/>
          <w:sz w:val="18"/>
        </w:rPr>
        <w:t> </w:t>
      </w:r>
      <w:r>
        <w:rPr>
          <w:color w:val="231F20"/>
          <w:w w:val="110"/>
          <w:sz w:val="18"/>
        </w:rPr>
        <w:t>and</w:t>
      </w:r>
      <w:r>
        <w:rPr>
          <w:color w:val="231F20"/>
          <w:spacing w:val="17"/>
          <w:w w:val="110"/>
          <w:sz w:val="18"/>
        </w:rPr>
        <w:t> </w:t>
      </w:r>
      <w:r>
        <w:rPr>
          <w:color w:val="231F20"/>
          <w:w w:val="110"/>
          <w:sz w:val="18"/>
        </w:rPr>
        <w:t>fresh.</w:t>
      </w:r>
    </w:p>
    <w:p>
      <w:pPr>
        <w:pStyle w:val="BodyText"/>
        <w:rPr>
          <w:sz w:val="22"/>
        </w:rPr>
      </w:pPr>
    </w:p>
    <w:p>
      <w:pPr>
        <w:pStyle w:val="BodyText"/>
        <w:spacing w:before="4"/>
        <w:rPr>
          <w:sz w:val="19"/>
        </w:rPr>
      </w:pPr>
    </w:p>
    <w:p>
      <w:pPr>
        <w:pStyle w:val="Heading9"/>
        <w:ind w:left="3475"/>
      </w:pPr>
      <w:r>
        <w:rPr>
          <w:color w:val="231F20"/>
          <w:w w:val="110"/>
        </w:rPr>
        <w:t>Four Ways Forward</w:t>
      </w:r>
    </w:p>
    <w:p>
      <w:pPr>
        <w:pStyle w:val="ListParagraph"/>
        <w:numPr>
          <w:ilvl w:val="0"/>
          <w:numId w:val="84"/>
        </w:numPr>
        <w:tabs>
          <w:tab w:pos="1354" w:val="left" w:leader="none"/>
          <w:tab w:pos="1355" w:val="left" w:leader="none"/>
        </w:tabs>
        <w:spacing w:line="273" w:lineRule="auto" w:before="258" w:after="0"/>
        <w:ind w:left="673" w:right="1715" w:firstLine="0"/>
        <w:jc w:val="left"/>
        <w:rPr>
          <w:sz w:val="18"/>
        </w:rPr>
      </w:pPr>
      <w:r>
        <w:rPr>
          <w:color w:val="231F20"/>
          <w:w w:val="110"/>
          <w:sz w:val="18"/>
        </w:rPr>
        <w:t>The United Reformed Church still upholds the definition of </w:t>
      </w:r>
      <w:r>
        <w:rPr>
          <w:i/>
          <w:color w:val="231F20"/>
          <w:w w:val="110"/>
          <w:sz w:val="18"/>
        </w:rPr>
        <w:t>organic unity </w:t>
      </w:r>
      <w:r>
        <w:rPr>
          <w:color w:val="231F20"/>
          <w:spacing w:val="3"/>
          <w:w w:val="110"/>
          <w:sz w:val="18"/>
        </w:rPr>
        <w:t>offered   </w:t>
      </w:r>
      <w:r>
        <w:rPr>
          <w:color w:val="231F20"/>
          <w:w w:val="110"/>
          <w:sz w:val="18"/>
        </w:rPr>
        <w:t>by the Second World Conference on Faith and Order at Edinburgh in </w:t>
      </w:r>
      <w:r>
        <w:rPr>
          <w:color w:val="231F20"/>
          <w:spacing w:val="-6"/>
          <w:w w:val="110"/>
          <w:sz w:val="18"/>
        </w:rPr>
        <w:t>1937: </w:t>
      </w:r>
      <w:r>
        <w:rPr>
          <w:i/>
          <w:color w:val="231F20"/>
          <w:w w:val="110"/>
          <w:sz w:val="18"/>
        </w:rPr>
        <w:t>A Church so </w:t>
      </w:r>
      <w:r>
        <w:rPr>
          <w:i/>
          <w:color w:val="231F20"/>
          <w:w w:val="110"/>
          <w:sz w:val="18"/>
        </w:rPr>
        <w:t>united that the ultimate loyalty of every member would be given to the whole body and not to any </w:t>
      </w:r>
      <w:r>
        <w:rPr>
          <w:i/>
          <w:color w:val="231F20"/>
          <w:spacing w:val="2"/>
          <w:w w:val="110"/>
          <w:sz w:val="18"/>
        </w:rPr>
        <w:t>part </w:t>
      </w:r>
      <w:r>
        <w:rPr>
          <w:i/>
          <w:color w:val="231F20"/>
          <w:w w:val="110"/>
          <w:sz w:val="18"/>
        </w:rPr>
        <w:t>of it. </w:t>
      </w:r>
      <w:r>
        <w:rPr>
          <w:color w:val="231F20"/>
          <w:spacing w:val="-3"/>
          <w:w w:val="110"/>
          <w:sz w:val="18"/>
        </w:rPr>
        <w:t>We </w:t>
      </w:r>
      <w:r>
        <w:rPr>
          <w:color w:val="231F20"/>
          <w:w w:val="110"/>
          <w:sz w:val="18"/>
        </w:rPr>
        <w:t>would see </w:t>
      </w:r>
      <w:r>
        <w:rPr>
          <w:color w:val="231F20"/>
          <w:spacing w:val="2"/>
          <w:w w:val="110"/>
          <w:sz w:val="18"/>
        </w:rPr>
        <w:t>certain </w:t>
      </w:r>
      <w:r>
        <w:rPr>
          <w:color w:val="231F20"/>
          <w:w w:val="110"/>
          <w:sz w:val="18"/>
        </w:rPr>
        <w:t>elements of such a Church as non-negotiable, such as the ordination of women to all forms of ministry, but we believe organic unity remains important for good</w:t>
      </w:r>
      <w:r>
        <w:rPr>
          <w:color w:val="231F20"/>
          <w:spacing w:val="6"/>
          <w:w w:val="110"/>
          <w:sz w:val="18"/>
        </w:rPr>
        <w:t> </w:t>
      </w:r>
      <w:r>
        <w:rPr>
          <w:color w:val="231F20"/>
          <w:w w:val="110"/>
          <w:sz w:val="18"/>
        </w:rPr>
        <w:t>reasons:</w:t>
      </w:r>
    </w:p>
    <w:p>
      <w:pPr>
        <w:pStyle w:val="BodyText"/>
        <w:spacing w:before="11"/>
        <w:rPr>
          <w:sz w:val="20"/>
        </w:rPr>
      </w:pPr>
    </w:p>
    <w:p>
      <w:pPr>
        <w:pStyle w:val="ListParagraph"/>
        <w:numPr>
          <w:ilvl w:val="0"/>
          <w:numId w:val="86"/>
        </w:numPr>
        <w:tabs>
          <w:tab w:pos="1354" w:val="left" w:leader="none"/>
          <w:tab w:pos="1355" w:val="left" w:leader="none"/>
        </w:tabs>
        <w:spacing w:line="240" w:lineRule="auto" w:before="0" w:after="0"/>
        <w:ind w:left="1354" w:right="0" w:hanging="682"/>
        <w:jc w:val="left"/>
        <w:rPr>
          <w:sz w:val="18"/>
        </w:rPr>
      </w:pPr>
      <w:r>
        <w:rPr>
          <w:color w:val="231F20"/>
          <w:spacing w:val="2"/>
          <w:w w:val="110"/>
          <w:sz w:val="18"/>
        </w:rPr>
        <w:t>because </w:t>
      </w:r>
      <w:r>
        <w:rPr>
          <w:color w:val="231F20"/>
          <w:w w:val="110"/>
          <w:sz w:val="18"/>
        </w:rPr>
        <w:t>it is based on the prayer of Jesus that his followers should be</w:t>
      </w:r>
      <w:r>
        <w:rPr>
          <w:color w:val="231F20"/>
          <w:spacing w:val="36"/>
          <w:w w:val="110"/>
          <w:sz w:val="18"/>
        </w:rPr>
        <w:t> </w:t>
      </w:r>
      <w:r>
        <w:rPr>
          <w:color w:val="231F20"/>
          <w:w w:val="110"/>
          <w:sz w:val="18"/>
        </w:rPr>
        <w:t>One;</w:t>
      </w:r>
    </w:p>
    <w:p>
      <w:pPr>
        <w:pStyle w:val="BodyText"/>
        <w:spacing w:before="1"/>
        <w:rPr>
          <w:sz w:val="23"/>
        </w:rPr>
      </w:pPr>
    </w:p>
    <w:p>
      <w:pPr>
        <w:pStyle w:val="ListParagraph"/>
        <w:numPr>
          <w:ilvl w:val="0"/>
          <w:numId w:val="86"/>
        </w:numPr>
        <w:tabs>
          <w:tab w:pos="1354" w:val="left" w:leader="none"/>
          <w:tab w:pos="1355" w:val="left" w:leader="none"/>
        </w:tabs>
        <w:spacing w:line="273" w:lineRule="auto" w:before="0" w:after="0"/>
        <w:ind w:left="1354" w:right="1720" w:hanging="681"/>
        <w:jc w:val="left"/>
        <w:rPr>
          <w:sz w:val="18"/>
        </w:rPr>
      </w:pPr>
      <w:r>
        <w:rPr>
          <w:color w:val="231F20"/>
          <w:spacing w:val="2"/>
          <w:w w:val="110"/>
          <w:sz w:val="18"/>
        </w:rPr>
        <w:t>because </w:t>
      </w:r>
      <w:r>
        <w:rPr>
          <w:color w:val="231F20"/>
          <w:w w:val="110"/>
          <w:sz w:val="18"/>
        </w:rPr>
        <w:t>we believe that in the last </w:t>
      </w:r>
      <w:r>
        <w:rPr>
          <w:color w:val="231F20"/>
          <w:spacing w:val="2"/>
          <w:w w:val="110"/>
          <w:sz w:val="18"/>
        </w:rPr>
        <w:t>century </w:t>
      </w:r>
      <w:r>
        <w:rPr>
          <w:color w:val="231F20"/>
          <w:w w:val="110"/>
          <w:sz w:val="18"/>
        </w:rPr>
        <w:t>those who went </w:t>
      </w:r>
      <w:r>
        <w:rPr>
          <w:color w:val="231F20"/>
          <w:spacing w:val="2"/>
          <w:w w:val="110"/>
          <w:sz w:val="18"/>
        </w:rPr>
        <w:t>before </w:t>
      </w:r>
      <w:r>
        <w:rPr>
          <w:color w:val="231F20"/>
          <w:w w:val="110"/>
          <w:sz w:val="18"/>
        </w:rPr>
        <w:t>us heard God’s renewed call to be One and we must witness to their</w:t>
      </w:r>
      <w:r>
        <w:rPr>
          <w:color w:val="231F20"/>
          <w:spacing w:val="31"/>
          <w:w w:val="110"/>
          <w:sz w:val="18"/>
        </w:rPr>
        <w:t> </w:t>
      </w:r>
      <w:r>
        <w:rPr>
          <w:color w:val="231F20"/>
          <w:w w:val="110"/>
          <w:sz w:val="18"/>
        </w:rPr>
        <w:t>insight;</w:t>
      </w:r>
    </w:p>
    <w:p>
      <w:pPr>
        <w:pStyle w:val="BodyText"/>
        <w:spacing w:before="8"/>
        <w:rPr>
          <w:sz w:val="20"/>
        </w:rPr>
      </w:pPr>
    </w:p>
    <w:p>
      <w:pPr>
        <w:pStyle w:val="ListParagraph"/>
        <w:numPr>
          <w:ilvl w:val="0"/>
          <w:numId w:val="86"/>
        </w:numPr>
        <w:tabs>
          <w:tab w:pos="1354" w:val="left" w:leader="none"/>
          <w:tab w:pos="1355" w:val="left" w:leader="none"/>
        </w:tabs>
        <w:spacing w:line="240" w:lineRule="auto" w:before="0" w:after="0"/>
        <w:ind w:left="1354" w:right="0" w:hanging="682"/>
        <w:jc w:val="left"/>
        <w:rPr>
          <w:sz w:val="18"/>
        </w:rPr>
      </w:pPr>
      <w:r>
        <w:rPr>
          <w:color w:val="231F20"/>
          <w:spacing w:val="2"/>
          <w:w w:val="110"/>
          <w:sz w:val="18"/>
        </w:rPr>
        <w:t>because </w:t>
      </w:r>
      <w:r>
        <w:rPr>
          <w:color w:val="231F20"/>
          <w:w w:val="110"/>
          <w:sz w:val="18"/>
        </w:rPr>
        <w:t>of its symbolic value for work in healing and</w:t>
      </w:r>
      <w:r>
        <w:rPr>
          <w:color w:val="231F20"/>
          <w:spacing w:val="21"/>
          <w:w w:val="110"/>
          <w:sz w:val="18"/>
        </w:rPr>
        <w:t> </w:t>
      </w:r>
      <w:r>
        <w:rPr>
          <w:color w:val="231F20"/>
          <w:w w:val="110"/>
          <w:sz w:val="18"/>
        </w:rPr>
        <w:t>reconciliation;</w:t>
      </w:r>
    </w:p>
    <w:p>
      <w:pPr>
        <w:spacing w:after="0" w:line="240" w:lineRule="auto"/>
        <w:jc w:val="left"/>
        <w:rPr>
          <w:sz w:val="18"/>
        </w:rPr>
        <w:sectPr>
          <w:headerReference w:type="even" r:id="rId202"/>
          <w:footerReference w:type="even" r:id="rId203"/>
          <w:pgSz w:w="11910" w:h="16840"/>
          <w:pgMar w:header="558" w:footer="564" w:top="820" w:bottom="760" w:left="460" w:right="0"/>
          <w:pgNumType w:start="142"/>
        </w:sectPr>
      </w:pPr>
    </w:p>
    <w:p>
      <w:pPr>
        <w:spacing w:before="28"/>
        <w:ind w:left="673" w:right="0" w:firstLine="0"/>
        <w:jc w:val="left"/>
        <w:rPr>
          <w:rFonts w:ascii="Eurostile Bold" w:hAnsi="Eurostile Bold"/>
          <w:b/>
          <w:sz w:val="28"/>
        </w:rPr>
      </w:pPr>
      <w:r>
        <w:rPr>
          <w:rFonts w:ascii="Eurostile Bold" w:hAnsi="Eurostile Bold"/>
          <w:b/>
          <w:color w:val="A7A9AC"/>
          <w:w w:val="95"/>
          <w:sz w:val="28"/>
        </w:rPr>
        <w:t>The Nature of the United Reformed Church’s Ecumenical Engagement</w:t>
      </w:r>
    </w:p>
    <w:p>
      <w:pPr>
        <w:pStyle w:val="BodyText"/>
        <w:spacing w:before="5"/>
        <w:rPr>
          <w:rFonts w:ascii="Eurostile Bold"/>
          <w:b/>
          <w:sz w:val="12"/>
        </w:rPr>
      </w:pPr>
    </w:p>
    <w:p>
      <w:pPr>
        <w:pStyle w:val="ListParagraph"/>
        <w:numPr>
          <w:ilvl w:val="0"/>
          <w:numId w:val="86"/>
        </w:numPr>
        <w:tabs>
          <w:tab w:pos="1921" w:val="left" w:leader="none"/>
          <w:tab w:pos="1922" w:val="left" w:leader="none"/>
        </w:tabs>
        <w:spacing w:line="273" w:lineRule="auto" w:before="100" w:after="0"/>
        <w:ind w:left="1921" w:right="1587" w:hanging="681"/>
        <w:jc w:val="left"/>
        <w:rPr>
          <w:sz w:val="18"/>
        </w:rPr>
      </w:pPr>
      <w:r>
        <w:rPr>
          <w:color w:val="231F20"/>
          <w:spacing w:val="2"/>
          <w:w w:val="110"/>
          <w:sz w:val="18"/>
        </w:rPr>
        <w:t>because </w:t>
      </w:r>
      <w:r>
        <w:rPr>
          <w:color w:val="231F20"/>
          <w:w w:val="110"/>
          <w:sz w:val="18"/>
        </w:rPr>
        <w:t>if God is One in </w:t>
      </w:r>
      <w:r>
        <w:rPr>
          <w:color w:val="231F20"/>
          <w:spacing w:val="-3"/>
          <w:w w:val="110"/>
          <w:sz w:val="18"/>
        </w:rPr>
        <w:t>Trinity, </w:t>
      </w:r>
      <w:r>
        <w:rPr>
          <w:color w:val="231F20"/>
          <w:w w:val="110"/>
          <w:sz w:val="18"/>
        </w:rPr>
        <w:t>and there is one </w:t>
      </w:r>
      <w:r>
        <w:rPr>
          <w:color w:val="231F20"/>
          <w:spacing w:val="2"/>
          <w:w w:val="110"/>
          <w:sz w:val="18"/>
        </w:rPr>
        <w:t>earth </w:t>
      </w:r>
      <w:r>
        <w:rPr>
          <w:color w:val="231F20"/>
          <w:w w:val="110"/>
          <w:sz w:val="18"/>
        </w:rPr>
        <w:t>for which we all share responsibility, then for us to be divided in our </w:t>
      </w:r>
      <w:r>
        <w:rPr>
          <w:color w:val="231F20"/>
          <w:spacing w:val="2"/>
          <w:w w:val="110"/>
          <w:sz w:val="18"/>
        </w:rPr>
        <w:t>response </w:t>
      </w:r>
      <w:r>
        <w:rPr>
          <w:color w:val="231F20"/>
          <w:w w:val="110"/>
          <w:sz w:val="18"/>
        </w:rPr>
        <w:t>to one another, to our environment and to God is a denial of that</w:t>
      </w:r>
      <w:r>
        <w:rPr>
          <w:color w:val="231F20"/>
          <w:spacing w:val="19"/>
          <w:w w:val="110"/>
          <w:sz w:val="18"/>
        </w:rPr>
        <w:t> </w:t>
      </w:r>
      <w:r>
        <w:rPr>
          <w:color w:val="231F20"/>
          <w:w w:val="110"/>
          <w:sz w:val="18"/>
        </w:rPr>
        <w:t>oneness;</w:t>
      </w:r>
    </w:p>
    <w:p>
      <w:pPr>
        <w:pStyle w:val="BodyText"/>
        <w:spacing w:before="9"/>
        <w:rPr>
          <w:sz w:val="20"/>
        </w:rPr>
      </w:pPr>
    </w:p>
    <w:p>
      <w:pPr>
        <w:pStyle w:val="ListParagraph"/>
        <w:numPr>
          <w:ilvl w:val="0"/>
          <w:numId w:val="86"/>
        </w:numPr>
        <w:tabs>
          <w:tab w:pos="1921" w:val="left" w:leader="none"/>
          <w:tab w:pos="1922" w:val="left" w:leader="none"/>
        </w:tabs>
        <w:spacing w:line="273" w:lineRule="auto" w:before="0" w:after="0"/>
        <w:ind w:left="1921" w:right="1272" w:hanging="681"/>
        <w:jc w:val="left"/>
        <w:rPr>
          <w:sz w:val="18"/>
        </w:rPr>
      </w:pPr>
      <w:r>
        <w:rPr>
          <w:color w:val="231F20"/>
          <w:w w:val="110"/>
          <w:sz w:val="18"/>
        </w:rPr>
        <w:t>because when the Church is called to new </w:t>
      </w:r>
      <w:r>
        <w:rPr>
          <w:color w:val="231F20"/>
          <w:spacing w:val="-3"/>
          <w:w w:val="110"/>
          <w:sz w:val="18"/>
        </w:rPr>
        <w:t>ways </w:t>
      </w:r>
      <w:r>
        <w:rPr>
          <w:color w:val="231F20"/>
          <w:w w:val="110"/>
          <w:sz w:val="18"/>
        </w:rPr>
        <w:t>it matters how we put things to rest. Drawing a line under our shared history of persecution and martyrdom </w:t>
      </w:r>
      <w:r>
        <w:rPr>
          <w:color w:val="231F20"/>
          <w:spacing w:val="-3"/>
          <w:w w:val="110"/>
          <w:sz w:val="18"/>
        </w:rPr>
        <w:t>may </w:t>
      </w:r>
      <w:r>
        <w:rPr>
          <w:color w:val="231F20"/>
          <w:w w:val="110"/>
          <w:sz w:val="18"/>
        </w:rPr>
        <w:t>be a powerful response to sectarianism and encourage good community</w:t>
      </w:r>
      <w:r>
        <w:rPr>
          <w:color w:val="231F20"/>
          <w:spacing w:val="12"/>
          <w:w w:val="110"/>
          <w:sz w:val="18"/>
        </w:rPr>
        <w:t> </w:t>
      </w:r>
      <w:r>
        <w:rPr>
          <w:color w:val="231F20"/>
          <w:w w:val="110"/>
          <w:sz w:val="18"/>
        </w:rPr>
        <w:t>relations;</w:t>
      </w:r>
    </w:p>
    <w:p>
      <w:pPr>
        <w:pStyle w:val="BodyText"/>
        <w:spacing w:before="9"/>
        <w:rPr>
          <w:sz w:val="20"/>
        </w:rPr>
      </w:pPr>
    </w:p>
    <w:p>
      <w:pPr>
        <w:pStyle w:val="ListParagraph"/>
        <w:numPr>
          <w:ilvl w:val="0"/>
          <w:numId w:val="86"/>
        </w:numPr>
        <w:tabs>
          <w:tab w:pos="1921" w:val="left" w:leader="none"/>
          <w:tab w:pos="1922" w:val="left" w:leader="none"/>
        </w:tabs>
        <w:spacing w:line="273" w:lineRule="auto" w:before="0" w:after="0"/>
        <w:ind w:left="1921" w:right="1877" w:hanging="681"/>
        <w:jc w:val="left"/>
        <w:rPr>
          <w:sz w:val="18"/>
        </w:rPr>
      </w:pPr>
      <w:r>
        <w:rPr>
          <w:color w:val="231F20"/>
          <w:w w:val="110"/>
          <w:sz w:val="18"/>
        </w:rPr>
        <w:t>because we live in the transition between the modern world of the 18</w:t>
      </w:r>
      <w:r>
        <w:rPr>
          <w:color w:val="231F20"/>
          <w:w w:val="110"/>
          <w:position w:val="6"/>
          <w:sz w:val="10"/>
        </w:rPr>
        <w:t>th </w:t>
      </w:r>
      <w:r>
        <w:rPr>
          <w:color w:val="231F20"/>
          <w:w w:val="110"/>
          <w:sz w:val="18"/>
        </w:rPr>
        <w:t>to 20</w:t>
      </w:r>
      <w:r>
        <w:rPr>
          <w:color w:val="231F20"/>
          <w:w w:val="110"/>
          <w:position w:val="6"/>
          <w:sz w:val="10"/>
        </w:rPr>
        <w:t>th </w:t>
      </w:r>
      <w:r>
        <w:rPr>
          <w:color w:val="231F20"/>
          <w:w w:val="110"/>
          <w:sz w:val="18"/>
        </w:rPr>
        <w:t>centuries and the post modern 21</w:t>
      </w:r>
      <w:r>
        <w:rPr>
          <w:color w:val="231F20"/>
          <w:w w:val="110"/>
          <w:position w:val="6"/>
          <w:sz w:val="10"/>
        </w:rPr>
        <w:t>st </w:t>
      </w:r>
      <w:r>
        <w:rPr>
          <w:color w:val="231F20"/>
          <w:spacing w:val="2"/>
          <w:w w:val="110"/>
          <w:sz w:val="18"/>
        </w:rPr>
        <w:t>century </w:t>
      </w:r>
      <w:r>
        <w:rPr>
          <w:color w:val="231F20"/>
          <w:w w:val="110"/>
          <w:sz w:val="18"/>
        </w:rPr>
        <w:t>world. It is too easy to say that everything which went </w:t>
      </w:r>
      <w:r>
        <w:rPr>
          <w:color w:val="231F20"/>
          <w:spacing w:val="2"/>
          <w:w w:val="110"/>
          <w:sz w:val="18"/>
        </w:rPr>
        <w:t>before </w:t>
      </w:r>
      <w:r>
        <w:rPr>
          <w:color w:val="231F20"/>
          <w:w w:val="110"/>
          <w:sz w:val="18"/>
        </w:rPr>
        <w:t>is irrelevant</w:t>
      </w:r>
      <w:r>
        <w:rPr>
          <w:color w:val="231F20"/>
          <w:spacing w:val="15"/>
          <w:w w:val="110"/>
          <w:sz w:val="18"/>
        </w:rPr>
        <w:t> </w:t>
      </w:r>
      <w:r>
        <w:rPr>
          <w:color w:val="231F20"/>
          <w:w w:val="110"/>
          <w:sz w:val="18"/>
        </w:rPr>
        <w:t>now;</w:t>
      </w:r>
    </w:p>
    <w:p>
      <w:pPr>
        <w:pStyle w:val="BodyText"/>
        <w:spacing w:before="9"/>
        <w:rPr>
          <w:sz w:val="20"/>
        </w:rPr>
      </w:pPr>
    </w:p>
    <w:p>
      <w:pPr>
        <w:pStyle w:val="ListParagraph"/>
        <w:numPr>
          <w:ilvl w:val="0"/>
          <w:numId w:val="86"/>
        </w:numPr>
        <w:tabs>
          <w:tab w:pos="1921" w:val="left" w:leader="none"/>
          <w:tab w:pos="1922" w:val="left" w:leader="none"/>
        </w:tabs>
        <w:spacing w:line="273" w:lineRule="auto" w:before="0" w:after="0"/>
        <w:ind w:left="1921" w:right="1548" w:hanging="681"/>
        <w:jc w:val="left"/>
        <w:rPr>
          <w:sz w:val="18"/>
        </w:rPr>
      </w:pPr>
      <w:r>
        <w:rPr>
          <w:color w:val="231F20"/>
          <w:spacing w:val="2"/>
          <w:w w:val="110"/>
          <w:sz w:val="18"/>
        </w:rPr>
        <w:t>because </w:t>
      </w:r>
      <w:r>
        <w:rPr>
          <w:color w:val="231F20"/>
          <w:w w:val="110"/>
          <w:sz w:val="18"/>
        </w:rPr>
        <w:t>even if it was </w:t>
      </w:r>
      <w:r>
        <w:rPr>
          <w:color w:val="231F20"/>
          <w:spacing w:val="3"/>
          <w:w w:val="110"/>
          <w:sz w:val="18"/>
        </w:rPr>
        <w:t>starry </w:t>
      </w:r>
      <w:r>
        <w:rPr>
          <w:color w:val="231F20"/>
          <w:w w:val="110"/>
          <w:sz w:val="18"/>
        </w:rPr>
        <w:t>eyed to dream about a future with one church, we may be called to hold on to that vision while others lose it, even if we have to</w:t>
      </w:r>
      <w:r>
        <w:rPr>
          <w:color w:val="231F20"/>
          <w:spacing w:val="8"/>
          <w:w w:val="110"/>
          <w:sz w:val="18"/>
        </w:rPr>
        <w:t> </w:t>
      </w:r>
      <w:r>
        <w:rPr>
          <w:color w:val="231F20"/>
          <w:w w:val="110"/>
          <w:sz w:val="18"/>
        </w:rPr>
        <w:t>redefine</w:t>
      </w:r>
      <w:r>
        <w:rPr>
          <w:color w:val="231F20"/>
          <w:spacing w:val="8"/>
          <w:w w:val="110"/>
          <w:sz w:val="18"/>
        </w:rPr>
        <w:t> </w:t>
      </w:r>
      <w:r>
        <w:rPr>
          <w:color w:val="231F20"/>
          <w:w w:val="110"/>
          <w:sz w:val="18"/>
        </w:rPr>
        <w:t>and</w:t>
      </w:r>
      <w:r>
        <w:rPr>
          <w:color w:val="231F20"/>
          <w:spacing w:val="9"/>
          <w:w w:val="110"/>
          <w:sz w:val="18"/>
        </w:rPr>
        <w:t> </w:t>
      </w:r>
      <w:r>
        <w:rPr>
          <w:color w:val="231F20"/>
          <w:w w:val="110"/>
          <w:sz w:val="18"/>
        </w:rPr>
        <w:t>revalidate</w:t>
      </w:r>
      <w:r>
        <w:rPr>
          <w:color w:val="231F20"/>
          <w:spacing w:val="8"/>
          <w:w w:val="110"/>
          <w:sz w:val="18"/>
        </w:rPr>
        <w:t> </w:t>
      </w:r>
      <w:r>
        <w:rPr>
          <w:color w:val="231F20"/>
          <w:w w:val="110"/>
          <w:sz w:val="18"/>
        </w:rPr>
        <w:t>our</w:t>
      </w:r>
      <w:r>
        <w:rPr>
          <w:color w:val="231F20"/>
          <w:spacing w:val="8"/>
          <w:w w:val="110"/>
          <w:sz w:val="18"/>
        </w:rPr>
        <w:t> </w:t>
      </w:r>
      <w:r>
        <w:rPr>
          <w:color w:val="231F20"/>
          <w:w w:val="110"/>
          <w:sz w:val="18"/>
        </w:rPr>
        <w:t>arguments</w:t>
      </w:r>
      <w:r>
        <w:rPr>
          <w:color w:val="231F20"/>
          <w:spacing w:val="9"/>
          <w:w w:val="110"/>
          <w:sz w:val="18"/>
        </w:rPr>
        <w:t> </w:t>
      </w:r>
      <w:r>
        <w:rPr>
          <w:color w:val="231F20"/>
          <w:w w:val="110"/>
          <w:sz w:val="18"/>
        </w:rPr>
        <w:t>in</w:t>
      </w:r>
      <w:r>
        <w:rPr>
          <w:color w:val="231F20"/>
          <w:spacing w:val="8"/>
          <w:w w:val="110"/>
          <w:sz w:val="18"/>
        </w:rPr>
        <w:t> </w:t>
      </w:r>
      <w:r>
        <w:rPr>
          <w:color w:val="231F20"/>
          <w:w w:val="110"/>
          <w:sz w:val="18"/>
        </w:rPr>
        <w:t>terms</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8"/>
          <w:w w:val="110"/>
          <w:sz w:val="18"/>
        </w:rPr>
        <w:t> </w:t>
      </w:r>
      <w:r>
        <w:rPr>
          <w:color w:val="231F20"/>
          <w:w w:val="110"/>
          <w:sz w:val="18"/>
        </w:rPr>
        <w:t>world</w:t>
      </w:r>
      <w:r>
        <w:rPr>
          <w:color w:val="231F20"/>
          <w:spacing w:val="8"/>
          <w:w w:val="110"/>
          <w:sz w:val="18"/>
        </w:rPr>
        <w:t> </w:t>
      </w:r>
      <w:r>
        <w:rPr>
          <w:color w:val="231F20"/>
          <w:w w:val="110"/>
          <w:sz w:val="18"/>
        </w:rPr>
        <w:t>we</w:t>
      </w:r>
      <w:r>
        <w:rPr>
          <w:color w:val="231F20"/>
          <w:spacing w:val="9"/>
          <w:w w:val="110"/>
          <w:sz w:val="18"/>
        </w:rPr>
        <w:t> </w:t>
      </w:r>
      <w:r>
        <w:rPr>
          <w:color w:val="231F20"/>
          <w:w w:val="110"/>
          <w:sz w:val="18"/>
        </w:rPr>
        <w:t>live</w:t>
      </w:r>
      <w:r>
        <w:rPr>
          <w:color w:val="231F20"/>
          <w:spacing w:val="8"/>
          <w:w w:val="110"/>
          <w:sz w:val="18"/>
        </w:rPr>
        <w:t> </w:t>
      </w:r>
      <w:r>
        <w:rPr>
          <w:color w:val="231F20"/>
          <w:w w:val="110"/>
          <w:sz w:val="18"/>
        </w:rPr>
        <w:t>in</w:t>
      </w:r>
      <w:r>
        <w:rPr>
          <w:color w:val="231F20"/>
          <w:spacing w:val="8"/>
          <w:w w:val="110"/>
          <w:sz w:val="18"/>
        </w:rPr>
        <w:t> </w:t>
      </w:r>
      <w:r>
        <w:rPr>
          <w:color w:val="231F20"/>
          <w:spacing w:val="-3"/>
          <w:w w:val="110"/>
          <w:sz w:val="18"/>
        </w:rPr>
        <w:t>now.</w:t>
      </w:r>
    </w:p>
    <w:p>
      <w:pPr>
        <w:pStyle w:val="BodyText"/>
        <w:spacing w:before="8"/>
        <w:rPr>
          <w:sz w:val="20"/>
        </w:rPr>
      </w:pPr>
    </w:p>
    <w:p>
      <w:pPr>
        <w:pStyle w:val="ListParagraph"/>
        <w:numPr>
          <w:ilvl w:val="0"/>
          <w:numId w:val="84"/>
        </w:numPr>
        <w:tabs>
          <w:tab w:pos="1921" w:val="left" w:leader="none"/>
          <w:tab w:pos="1922" w:val="left" w:leader="none"/>
        </w:tabs>
        <w:spacing w:line="273" w:lineRule="auto" w:before="1" w:after="0"/>
        <w:ind w:left="1240" w:right="1280" w:firstLine="0"/>
        <w:jc w:val="left"/>
        <w:rPr>
          <w:sz w:val="18"/>
        </w:rPr>
      </w:pPr>
      <w:r>
        <w:rPr>
          <w:color w:val="231F20"/>
          <w:w w:val="110"/>
          <w:sz w:val="18"/>
        </w:rPr>
        <w:t>The United Reformed Church is committed to recognising ecumenical </w:t>
      </w:r>
      <w:r>
        <w:rPr>
          <w:color w:val="231F20"/>
          <w:spacing w:val="2"/>
          <w:w w:val="110"/>
          <w:sz w:val="18"/>
        </w:rPr>
        <w:t>partners </w:t>
      </w:r>
      <w:r>
        <w:rPr>
          <w:color w:val="231F20"/>
          <w:spacing w:val="73"/>
          <w:w w:val="110"/>
          <w:sz w:val="18"/>
        </w:rPr>
        <w:t> </w:t>
      </w:r>
      <w:r>
        <w:rPr>
          <w:color w:val="231F20"/>
          <w:w w:val="110"/>
          <w:sz w:val="18"/>
        </w:rPr>
        <w:t>as people of worth, made in the image of Christ and </w:t>
      </w:r>
      <w:r>
        <w:rPr>
          <w:color w:val="231F20"/>
          <w:spacing w:val="2"/>
          <w:w w:val="110"/>
          <w:sz w:val="18"/>
        </w:rPr>
        <w:t>part </w:t>
      </w:r>
      <w:r>
        <w:rPr>
          <w:color w:val="231F20"/>
          <w:w w:val="110"/>
          <w:sz w:val="18"/>
        </w:rPr>
        <w:t>of his body the Church. In the past, we have tended to recognise what we share with other Christians, and suggest renewed unity with them on that basis. </w:t>
      </w:r>
      <w:r>
        <w:rPr>
          <w:color w:val="231F20"/>
          <w:spacing w:val="-3"/>
          <w:w w:val="110"/>
          <w:sz w:val="18"/>
        </w:rPr>
        <w:t>Now, </w:t>
      </w:r>
      <w:r>
        <w:rPr>
          <w:color w:val="231F20"/>
          <w:w w:val="110"/>
          <w:sz w:val="18"/>
        </w:rPr>
        <w:t>we may be </w:t>
      </w:r>
      <w:r>
        <w:rPr>
          <w:color w:val="231F20"/>
          <w:spacing w:val="2"/>
          <w:w w:val="110"/>
          <w:sz w:val="18"/>
        </w:rPr>
        <w:t>starting </w:t>
      </w:r>
      <w:r>
        <w:rPr>
          <w:color w:val="231F20"/>
          <w:w w:val="110"/>
          <w:sz w:val="18"/>
        </w:rPr>
        <w:t>to see that there are still </w:t>
      </w:r>
      <w:r>
        <w:rPr>
          <w:color w:val="231F20"/>
          <w:spacing w:val="2"/>
          <w:w w:val="110"/>
          <w:sz w:val="18"/>
        </w:rPr>
        <w:t>differences </w:t>
      </w:r>
      <w:r>
        <w:rPr>
          <w:color w:val="231F20"/>
          <w:w w:val="110"/>
          <w:sz w:val="18"/>
        </w:rPr>
        <w:t>between us, and we had assumed more similarity than was there. If  </w:t>
      </w:r>
      <w:r>
        <w:rPr>
          <w:color w:val="231F20"/>
          <w:spacing w:val="2"/>
          <w:w w:val="110"/>
          <w:sz w:val="18"/>
        </w:rPr>
        <w:t>part </w:t>
      </w:r>
      <w:r>
        <w:rPr>
          <w:color w:val="231F20"/>
          <w:w w:val="110"/>
          <w:sz w:val="18"/>
        </w:rPr>
        <w:t>of our new focus needs to </w:t>
      </w:r>
      <w:r>
        <w:rPr>
          <w:color w:val="231F20"/>
          <w:spacing w:val="2"/>
          <w:w w:val="110"/>
          <w:sz w:val="18"/>
        </w:rPr>
        <w:t>affirm </w:t>
      </w:r>
      <w:r>
        <w:rPr>
          <w:color w:val="231F20"/>
          <w:w w:val="110"/>
          <w:sz w:val="18"/>
        </w:rPr>
        <w:t>the diversity in our unity, then holding together with others despite our </w:t>
      </w:r>
      <w:r>
        <w:rPr>
          <w:color w:val="231F20"/>
          <w:spacing w:val="2"/>
          <w:w w:val="110"/>
          <w:sz w:val="18"/>
        </w:rPr>
        <w:t>differences </w:t>
      </w:r>
      <w:r>
        <w:rPr>
          <w:color w:val="231F20"/>
          <w:w w:val="110"/>
          <w:sz w:val="18"/>
        </w:rPr>
        <w:t>is a pressing challenge. </w:t>
      </w:r>
      <w:r>
        <w:rPr>
          <w:color w:val="231F20"/>
          <w:spacing w:val="-3"/>
          <w:w w:val="110"/>
          <w:sz w:val="18"/>
        </w:rPr>
        <w:t>We </w:t>
      </w:r>
      <w:r>
        <w:rPr>
          <w:color w:val="231F20"/>
          <w:w w:val="110"/>
          <w:sz w:val="18"/>
        </w:rPr>
        <w:t>shall need to </w:t>
      </w:r>
      <w:r>
        <w:rPr>
          <w:color w:val="231F20"/>
          <w:spacing w:val="2"/>
          <w:w w:val="110"/>
          <w:sz w:val="18"/>
        </w:rPr>
        <w:t>affirm </w:t>
      </w:r>
      <w:r>
        <w:rPr>
          <w:color w:val="231F20"/>
          <w:w w:val="110"/>
          <w:sz w:val="18"/>
        </w:rPr>
        <w:t>as    a core value our recognition of others and the </w:t>
      </w:r>
      <w:r>
        <w:rPr>
          <w:color w:val="231F20"/>
          <w:spacing w:val="2"/>
          <w:w w:val="110"/>
          <w:sz w:val="18"/>
        </w:rPr>
        <w:t>presence </w:t>
      </w:r>
      <w:r>
        <w:rPr>
          <w:color w:val="231F20"/>
          <w:w w:val="110"/>
          <w:sz w:val="18"/>
        </w:rPr>
        <w:t>of God in them, their </w:t>
      </w:r>
      <w:r>
        <w:rPr>
          <w:color w:val="231F20"/>
          <w:spacing w:val="2"/>
          <w:w w:val="110"/>
          <w:sz w:val="18"/>
        </w:rPr>
        <w:t>gifts </w:t>
      </w:r>
      <w:r>
        <w:rPr>
          <w:color w:val="231F20"/>
          <w:w w:val="110"/>
          <w:sz w:val="18"/>
        </w:rPr>
        <w:t>and their creativity. This will help us to witness to the truth we share as Christians in the  face of our culture, which increasingly challenges the Church by alternative ways of understanding and portraying the reality around</w:t>
      </w:r>
      <w:r>
        <w:rPr>
          <w:color w:val="231F20"/>
          <w:spacing w:val="15"/>
          <w:w w:val="110"/>
          <w:sz w:val="18"/>
        </w:rPr>
        <w:t> </w:t>
      </w:r>
      <w:r>
        <w:rPr>
          <w:color w:val="231F20"/>
          <w:w w:val="110"/>
          <w:sz w:val="18"/>
        </w:rPr>
        <w:t>us.</w:t>
      </w:r>
    </w:p>
    <w:p>
      <w:pPr>
        <w:pStyle w:val="BodyText"/>
        <w:spacing w:before="1"/>
        <w:rPr>
          <w:sz w:val="21"/>
        </w:rPr>
      </w:pPr>
    </w:p>
    <w:p>
      <w:pPr>
        <w:pStyle w:val="ListParagraph"/>
        <w:numPr>
          <w:ilvl w:val="0"/>
          <w:numId w:val="84"/>
        </w:numPr>
        <w:tabs>
          <w:tab w:pos="1993" w:val="left" w:leader="none"/>
          <w:tab w:pos="1994" w:val="left" w:leader="none"/>
        </w:tabs>
        <w:spacing w:line="273" w:lineRule="auto" w:before="0" w:after="0"/>
        <w:ind w:left="1240" w:right="1189" w:hanging="1"/>
        <w:jc w:val="left"/>
        <w:rPr>
          <w:sz w:val="18"/>
        </w:rPr>
      </w:pPr>
      <w:r>
        <w:rPr>
          <w:color w:val="231F20"/>
          <w:spacing w:val="3"/>
          <w:w w:val="110"/>
          <w:sz w:val="18"/>
        </w:rPr>
        <w:t>The </w:t>
      </w:r>
      <w:r>
        <w:rPr>
          <w:color w:val="231F20"/>
          <w:spacing w:val="2"/>
          <w:w w:val="110"/>
          <w:sz w:val="18"/>
        </w:rPr>
        <w:t>United </w:t>
      </w:r>
      <w:r>
        <w:rPr>
          <w:color w:val="231F20"/>
          <w:spacing w:val="3"/>
          <w:w w:val="110"/>
          <w:sz w:val="18"/>
        </w:rPr>
        <w:t>Reformed Church </w:t>
      </w:r>
      <w:r>
        <w:rPr>
          <w:color w:val="231F20"/>
          <w:spacing w:val="4"/>
          <w:w w:val="110"/>
          <w:sz w:val="18"/>
        </w:rPr>
        <w:t>bears </w:t>
      </w:r>
      <w:r>
        <w:rPr>
          <w:color w:val="231F20"/>
          <w:spacing w:val="3"/>
          <w:w w:val="110"/>
          <w:sz w:val="18"/>
        </w:rPr>
        <w:t>witness </w:t>
      </w:r>
      <w:r>
        <w:rPr>
          <w:color w:val="231F20"/>
          <w:w w:val="110"/>
          <w:sz w:val="18"/>
        </w:rPr>
        <w:t>to </w:t>
      </w:r>
      <w:r>
        <w:rPr>
          <w:color w:val="231F20"/>
          <w:spacing w:val="2"/>
          <w:w w:val="110"/>
          <w:sz w:val="18"/>
        </w:rPr>
        <w:t>living with </w:t>
      </w:r>
      <w:r>
        <w:rPr>
          <w:color w:val="231F20"/>
          <w:spacing w:val="4"/>
          <w:w w:val="110"/>
          <w:sz w:val="18"/>
        </w:rPr>
        <w:t>differences. </w:t>
      </w:r>
      <w:r>
        <w:rPr>
          <w:color w:val="231F20"/>
          <w:w w:val="110"/>
          <w:sz w:val="18"/>
        </w:rPr>
        <w:t>We </w:t>
      </w:r>
      <w:r>
        <w:rPr>
          <w:color w:val="231F20"/>
          <w:spacing w:val="3"/>
          <w:w w:val="110"/>
          <w:sz w:val="18"/>
        </w:rPr>
        <w:t>acknowledge </w:t>
      </w:r>
      <w:r>
        <w:rPr>
          <w:color w:val="231F20"/>
          <w:w w:val="110"/>
          <w:sz w:val="18"/>
        </w:rPr>
        <w:t>a common </w:t>
      </w:r>
      <w:r>
        <w:rPr>
          <w:color w:val="231F20"/>
          <w:spacing w:val="2"/>
          <w:w w:val="110"/>
          <w:sz w:val="18"/>
        </w:rPr>
        <w:t>starting </w:t>
      </w:r>
      <w:r>
        <w:rPr>
          <w:color w:val="231F20"/>
          <w:w w:val="110"/>
          <w:sz w:val="18"/>
        </w:rPr>
        <w:t>point, but accept that this works out locally in different ways. For us, the Word of God in the Old and New Testaments, discerned under the guidance</w:t>
      </w:r>
      <w:r>
        <w:rPr>
          <w:color w:val="231F20"/>
          <w:spacing w:val="6"/>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Holy</w:t>
      </w:r>
      <w:r>
        <w:rPr>
          <w:color w:val="231F20"/>
          <w:spacing w:val="6"/>
          <w:w w:val="110"/>
          <w:sz w:val="18"/>
        </w:rPr>
        <w:t> </w:t>
      </w:r>
      <w:r>
        <w:rPr>
          <w:color w:val="231F20"/>
          <w:w w:val="110"/>
          <w:sz w:val="18"/>
        </w:rPr>
        <w:t>Spirit,</w:t>
      </w:r>
      <w:r>
        <w:rPr>
          <w:color w:val="231F20"/>
          <w:spacing w:val="6"/>
          <w:w w:val="110"/>
          <w:sz w:val="18"/>
        </w:rPr>
        <w:t> </w:t>
      </w:r>
      <w:r>
        <w:rPr>
          <w:color w:val="231F20"/>
          <w:w w:val="110"/>
          <w:sz w:val="18"/>
        </w:rPr>
        <w:t>is</w:t>
      </w:r>
      <w:r>
        <w:rPr>
          <w:color w:val="231F20"/>
          <w:spacing w:val="7"/>
          <w:w w:val="110"/>
          <w:sz w:val="18"/>
        </w:rPr>
        <w:t> </w:t>
      </w:r>
      <w:r>
        <w:rPr>
          <w:color w:val="231F20"/>
          <w:w w:val="110"/>
          <w:sz w:val="18"/>
        </w:rPr>
        <w:t>the</w:t>
      </w:r>
      <w:r>
        <w:rPr>
          <w:color w:val="231F20"/>
          <w:spacing w:val="6"/>
          <w:w w:val="110"/>
          <w:sz w:val="18"/>
        </w:rPr>
        <w:t> </w:t>
      </w:r>
      <w:r>
        <w:rPr>
          <w:color w:val="231F20"/>
          <w:w w:val="110"/>
          <w:sz w:val="18"/>
        </w:rPr>
        <w:t>supreme</w:t>
      </w:r>
      <w:r>
        <w:rPr>
          <w:color w:val="231F20"/>
          <w:spacing w:val="6"/>
          <w:w w:val="110"/>
          <w:sz w:val="18"/>
        </w:rPr>
        <w:t> </w:t>
      </w:r>
      <w:r>
        <w:rPr>
          <w:color w:val="231F20"/>
          <w:w w:val="110"/>
          <w:sz w:val="18"/>
        </w:rPr>
        <w:t>authority</w:t>
      </w:r>
      <w:r>
        <w:rPr>
          <w:color w:val="231F20"/>
          <w:spacing w:val="7"/>
          <w:w w:val="110"/>
          <w:sz w:val="18"/>
        </w:rPr>
        <w:t> </w:t>
      </w:r>
      <w:r>
        <w:rPr>
          <w:color w:val="231F20"/>
          <w:w w:val="110"/>
          <w:sz w:val="18"/>
        </w:rPr>
        <w:t>for</w:t>
      </w:r>
      <w:r>
        <w:rPr>
          <w:color w:val="231F20"/>
          <w:spacing w:val="6"/>
          <w:w w:val="110"/>
          <w:sz w:val="18"/>
        </w:rPr>
        <w:t> </w:t>
      </w:r>
      <w:r>
        <w:rPr>
          <w:color w:val="231F20"/>
          <w:w w:val="110"/>
          <w:sz w:val="18"/>
        </w:rPr>
        <w:t>our</w:t>
      </w:r>
      <w:r>
        <w:rPr>
          <w:color w:val="231F20"/>
          <w:spacing w:val="6"/>
          <w:w w:val="110"/>
          <w:sz w:val="18"/>
        </w:rPr>
        <w:t> </w:t>
      </w:r>
      <w:r>
        <w:rPr>
          <w:color w:val="231F20"/>
          <w:w w:val="110"/>
          <w:sz w:val="18"/>
        </w:rPr>
        <w:t>faith</w:t>
      </w:r>
      <w:r>
        <w:rPr>
          <w:color w:val="231F20"/>
          <w:spacing w:val="7"/>
          <w:w w:val="110"/>
          <w:sz w:val="18"/>
        </w:rPr>
        <w:t> </w:t>
      </w:r>
      <w:r>
        <w:rPr>
          <w:color w:val="231F20"/>
          <w:w w:val="110"/>
          <w:sz w:val="18"/>
        </w:rPr>
        <w:t>and</w:t>
      </w:r>
      <w:r>
        <w:rPr>
          <w:color w:val="231F20"/>
          <w:spacing w:val="6"/>
          <w:w w:val="110"/>
          <w:sz w:val="18"/>
        </w:rPr>
        <w:t> </w:t>
      </w:r>
      <w:r>
        <w:rPr>
          <w:color w:val="231F20"/>
          <w:w w:val="110"/>
          <w:sz w:val="18"/>
        </w:rPr>
        <w:t>conduct.</w:t>
      </w:r>
      <w:r>
        <w:rPr>
          <w:color w:val="231F20"/>
          <w:spacing w:val="6"/>
          <w:w w:val="110"/>
          <w:sz w:val="18"/>
        </w:rPr>
        <w:t> </w:t>
      </w:r>
      <w:r>
        <w:rPr>
          <w:color w:val="231F20"/>
          <w:w w:val="110"/>
          <w:sz w:val="18"/>
        </w:rPr>
        <w:t>In</w:t>
      </w:r>
    </w:p>
    <w:p>
      <w:pPr>
        <w:pStyle w:val="BodyText"/>
        <w:spacing w:line="273" w:lineRule="auto" w:before="3"/>
        <w:ind w:left="1240" w:right="1565"/>
      </w:pPr>
      <w:r>
        <w:rPr>
          <w:color w:val="231F20"/>
          <w:w w:val="110"/>
        </w:rPr>
        <w:t>each </w:t>
      </w:r>
      <w:r>
        <w:rPr>
          <w:color w:val="231F20"/>
          <w:spacing w:val="2"/>
          <w:w w:val="110"/>
        </w:rPr>
        <w:t>Local </w:t>
      </w:r>
      <w:r>
        <w:rPr>
          <w:color w:val="231F20"/>
          <w:w w:val="110"/>
        </w:rPr>
        <w:t>Church the gathered fellowship of believers </w:t>
      </w:r>
      <w:r>
        <w:rPr>
          <w:color w:val="231F20"/>
          <w:spacing w:val="2"/>
          <w:w w:val="110"/>
        </w:rPr>
        <w:t>seeks </w:t>
      </w:r>
      <w:r>
        <w:rPr>
          <w:color w:val="231F20"/>
          <w:w w:val="110"/>
        </w:rPr>
        <w:t>God’s help to </w:t>
      </w:r>
      <w:r>
        <w:rPr>
          <w:color w:val="231F20"/>
          <w:spacing w:val="3"/>
          <w:w w:val="110"/>
        </w:rPr>
        <w:t>carry </w:t>
      </w:r>
      <w:r>
        <w:rPr>
          <w:color w:val="231F20"/>
          <w:w w:val="110"/>
        </w:rPr>
        <w:t>out their witness in the place where they are. In making decisions on such historic issues as administering baptism, on whether or not to </w:t>
      </w:r>
      <w:r>
        <w:rPr>
          <w:color w:val="231F20"/>
          <w:spacing w:val="2"/>
          <w:w w:val="110"/>
        </w:rPr>
        <w:t>remarry </w:t>
      </w:r>
      <w:r>
        <w:rPr>
          <w:color w:val="231F20"/>
          <w:w w:val="110"/>
        </w:rPr>
        <w:t>divorced people, or on our attitudes to warfare and weaponry, we have lived out our </w:t>
      </w:r>
      <w:r>
        <w:rPr>
          <w:color w:val="231F20"/>
          <w:spacing w:val="2"/>
          <w:w w:val="110"/>
        </w:rPr>
        <w:t>differences. </w:t>
      </w:r>
      <w:r>
        <w:rPr>
          <w:color w:val="231F20"/>
          <w:spacing w:val="-3"/>
          <w:w w:val="110"/>
        </w:rPr>
        <w:t>We </w:t>
      </w:r>
      <w:r>
        <w:rPr>
          <w:color w:val="231F20"/>
          <w:w w:val="110"/>
        </w:rPr>
        <w:t>will need to continue </w:t>
      </w:r>
      <w:r>
        <w:rPr>
          <w:color w:val="231F20"/>
          <w:spacing w:val="2"/>
          <w:w w:val="110"/>
        </w:rPr>
        <w:t>reflecting </w:t>
      </w:r>
      <w:r>
        <w:rPr>
          <w:color w:val="231F20"/>
          <w:w w:val="110"/>
        </w:rPr>
        <w:t>on the ways we use the Bible and hear its message, and on what theology and spirituality teach us about the richness of God, if we are to prevent our standard core </w:t>
      </w:r>
      <w:r>
        <w:rPr>
          <w:color w:val="231F20"/>
          <w:spacing w:val="2"/>
          <w:w w:val="110"/>
        </w:rPr>
        <w:t>from </w:t>
      </w:r>
      <w:r>
        <w:rPr>
          <w:color w:val="231F20"/>
          <w:w w:val="110"/>
        </w:rPr>
        <w:t>becoming a lowest common</w:t>
      </w:r>
      <w:r>
        <w:rPr>
          <w:color w:val="231F20"/>
          <w:spacing w:val="17"/>
          <w:w w:val="110"/>
        </w:rPr>
        <w:t> </w:t>
      </w:r>
      <w:r>
        <w:rPr>
          <w:color w:val="231F20"/>
          <w:w w:val="110"/>
        </w:rPr>
        <w:t>denominator.</w:t>
      </w:r>
    </w:p>
    <w:p>
      <w:pPr>
        <w:pStyle w:val="BodyText"/>
        <w:spacing w:before="11"/>
        <w:rPr>
          <w:sz w:val="20"/>
        </w:rPr>
      </w:pPr>
    </w:p>
    <w:p>
      <w:pPr>
        <w:pStyle w:val="ListParagraph"/>
        <w:numPr>
          <w:ilvl w:val="0"/>
          <w:numId w:val="84"/>
        </w:numPr>
        <w:tabs>
          <w:tab w:pos="1921" w:val="left" w:leader="none"/>
          <w:tab w:pos="1922" w:val="left" w:leader="none"/>
        </w:tabs>
        <w:spacing w:line="273" w:lineRule="auto" w:before="0" w:after="0"/>
        <w:ind w:left="1240" w:right="1860" w:firstLine="0"/>
        <w:jc w:val="left"/>
        <w:rPr>
          <w:sz w:val="18"/>
        </w:rPr>
      </w:pPr>
      <w:r>
        <w:rPr>
          <w:color w:val="231F20"/>
          <w:w w:val="110"/>
          <w:sz w:val="18"/>
        </w:rPr>
        <w:t>The United Reformed Church will explore ecumenically the theme of space. This is important</w:t>
      </w:r>
      <w:r>
        <w:rPr>
          <w:color w:val="231F20"/>
          <w:spacing w:val="3"/>
          <w:w w:val="110"/>
          <w:sz w:val="18"/>
        </w:rPr>
        <w:t> </w:t>
      </w:r>
      <w:r>
        <w:rPr>
          <w:color w:val="231F20"/>
          <w:w w:val="110"/>
          <w:sz w:val="18"/>
        </w:rPr>
        <w:t>because:</w:t>
      </w:r>
    </w:p>
    <w:p>
      <w:pPr>
        <w:pStyle w:val="BodyText"/>
        <w:spacing w:before="8"/>
        <w:rPr>
          <w:sz w:val="20"/>
        </w:rPr>
      </w:pPr>
    </w:p>
    <w:p>
      <w:pPr>
        <w:pStyle w:val="ListParagraph"/>
        <w:numPr>
          <w:ilvl w:val="0"/>
          <w:numId w:val="87"/>
        </w:numPr>
        <w:tabs>
          <w:tab w:pos="1921" w:val="left" w:leader="none"/>
          <w:tab w:pos="1922" w:val="left" w:leader="none"/>
        </w:tabs>
        <w:spacing w:line="273" w:lineRule="auto" w:before="0" w:after="0"/>
        <w:ind w:left="1920" w:right="1416" w:hanging="681"/>
        <w:jc w:val="left"/>
        <w:rPr>
          <w:sz w:val="18"/>
        </w:rPr>
      </w:pPr>
      <w:r>
        <w:rPr>
          <w:color w:val="231F20"/>
          <w:w w:val="110"/>
          <w:sz w:val="18"/>
        </w:rPr>
        <w:t>God’s gift of space and time permits hospitality, encounter and exploration.   The </w:t>
      </w:r>
      <w:r>
        <w:rPr>
          <w:color w:val="231F20"/>
          <w:spacing w:val="2"/>
          <w:w w:val="110"/>
          <w:sz w:val="18"/>
        </w:rPr>
        <w:t>practice </w:t>
      </w:r>
      <w:r>
        <w:rPr>
          <w:color w:val="231F20"/>
          <w:w w:val="110"/>
          <w:sz w:val="18"/>
        </w:rPr>
        <w:t>of ecumenism demands a radical hospitality towards other people, an openness to what emerges and the gift of space – not least for those with   no background in the Christian faith or others wanting to</w:t>
      </w:r>
      <w:r>
        <w:rPr>
          <w:color w:val="231F20"/>
          <w:spacing w:val="50"/>
          <w:w w:val="110"/>
          <w:sz w:val="18"/>
        </w:rPr>
        <w:t> </w:t>
      </w:r>
      <w:r>
        <w:rPr>
          <w:color w:val="231F20"/>
          <w:w w:val="110"/>
          <w:sz w:val="18"/>
        </w:rPr>
        <w:t>re-engage.</w:t>
      </w:r>
    </w:p>
    <w:p>
      <w:pPr>
        <w:pStyle w:val="BodyText"/>
        <w:spacing w:before="9"/>
        <w:rPr>
          <w:sz w:val="20"/>
        </w:rPr>
      </w:pPr>
    </w:p>
    <w:p>
      <w:pPr>
        <w:pStyle w:val="ListParagraph"/>
        <w:numPr>
          <w:ilvl w:val="0"/>
          <w:numId w:val="87"/>
        </w:numPr>
        <w:tabs>
          <w:tab w:pos="1921" w:val="left" w:leader="none"/>
          <w:tab w:pos="1922" w:val="left" w:leader="none"/>
        </w:tabs>
        <w:spacing w:line="273" w:lineRule="auto" w:before="0" w:after="0"/>
        <w:ind w:left="1921" w:right="2058" w:hanging="681"/>
        <w:jc w:val="left"/>
        <w:rPr>
          <w:sz w:val="18"/>
        </w:rPr>
      </w:pPr>
      <w:r>
        <w:rPr>
          <w:color w:val="231F20"/>
          <w:w w:val="110"/>
          <w:sz w:val="18"/>
        </w:rPr>
        <w:t>Exploring how to inhabit and use space opens up questions of how to live together peacefully in a divided global</w:t>
      </w:r>
      <w:r>
        <w:rPr>
          <w:color w:val="231F20"/>
          <w:spacing w:val="11"/>
          <w:w w:val="110"/>
          <w:sz w:val="18"/>
        </w:rPr>
        <w:t> </w:t>
      </w:r>
      <w:r>
        <w:rPr>
          <w:color w:val="231F20"/>
          <w:w w:val="110"/>
          <w:sz w:val="18"/>
        </w:rPr>
        <w:t>family.</w:t>
      </w:r>
    </w:p>
    <w:p>
      <w:pPr>
        <w:pStyle w:val="BodyText"/>
        <w:spacing w:before="8"/>
        <w:rPr>
          <w:sz w:val="20"/>
        </w:rPr>
      </w:pPr>
    </w:p>
    <w:p>
      <w:pPr>
        <w:pStyle w:val="ListParagraph"/>
        <w:numPr>
          <w:ilvl w:val="0"/>
          <w:numId w:val="87"/>
        </w:numPr>
        <w:tabs>
          <w:tab w:pos="1921" w:val="left" w:leader="none"/>
          <w:tab w:pos="1922" w:val="left" w:leader="none"/>
        </w:tabs>
        <w:spacing w:line="273" w:lineRule="auto" w:before="1" w:after="0"/>
        <w:ind w:left="1921" w:right="1477" w:hanging="681"/>
        <w:jc w:val="left"/>
        <w:rPr>
          <w:sz w:val="18"/>
        </w:rPr>
      </w:pPr>
      <w:r>
        <w:rPr>
          <w:color w:val="231F20"/>
          <w:spacing w:val="3"/>
          <w:w w:val="110"/>
          <w:sz w:val="18"/>
        </w:rPr>
        <w:t>As </w:t>
      </w:r>
      <w:r>
        <w:rPr>
          <w:color w:val="231F20"/>
          <w:w w:val="110"/>
          <w:sz w:val="18"/>
        </w:rPr>
        <w:t>Catch the Vision moves on to spirituality, we will consider the ecumenical dimension in inviting God to inhabit the silence and stillness we seek within us, which used to be full of our own</w:t>
      </w:r>
      <w:r>
        <w:rPr>
          <w:color w:val="231F20"/>
          <w:spacing w:val="14"/>
          <w:w w:val="110"/>
          <w:sz w:val="18"/>
        </w:rPr>
        <w:t> </w:t>
      </w:r>
      <w:r>
        <w:rPr>
          <w:color w:val="231F20"/>
          <w:w w:val="110"/>
          <w:sz w:val="18"/>
        </w:rPr>
        <w:t>concerns.</w:t>
      </w:r>
    </w:p>
    <w:p>
      <w:pPr>
        <w:pStyle w:val="BodyText"/>
        <w:spacing w:before="8"/>
        <w:rPr>
          <w:sz w:val="20"/>
        </w:rPr>
      </w:pPr>
    </w:p>
    <w:p>
      <w:pPr>
        <w:pStyle w:val="ListParagraph"/>
        <w:numPr>
          <w:ilvl w:val="0"/>
          <w:numId w:val="87"/>
        </w:numPr>
        <w:tabs>
          <w:tab w:pos="1921" w:val="left" w:leader="none"/>
          <w:tab w:pos="1922" w:val="left" w:leader="none"/>
        </w:tabs>
        <w:spacing w:line="273" w:lineRule="auto" w:before="0" w:after="0"/>
        <w:ind w:left="1921" w:right="1300" w:hanging="681"/>
        <w:jc w:val="left"/>
        <w:rPr>
          <w:sz w:val="18"/>
        </w:rPr>
      </w:pPr>
      <w:r>
        <w:rPr>
          <w:color w:val="231F20"/>
          <w:spacing w:val="3"/>
          <w:w w:val="110"/>
          <w:sz w:val="18"/>
        </w:rPr>
        <w:t>As </w:t>
      </w:r>
      <w:r>
        <w:rPr>
          <w:color w:val="231F20"/>
          <w:w w:val="110"/>
          <w:sz w:val="18"/>
        </w:rPr>
        <w:t>we build bridges to </w:t>
      </w:r>
      <w:r>
        <w:rPr>
          <w:color w:val="231F20"/>
          <w:spacing w:val="2"/>
          <w:w w:val="110"/>
          <w:sz w:val="18"/>
        </w:rPr>
        <w:t>fresh </w:t>
      </w:r>
      <w:r>
        <w:rPr>
          <w:color w:val="231F20"/>
          <w:w w:val="110"/>
          <w:sz w:val="18"/>
        </w:rPr>
        <w:t>expressions of Church, we will need to find common ground with growing virtual and online communities, especially of younger believers, in their </w:t>
      </w:r>
      <w:r>
        <w:rPr>
          <w:color w:val="231F20"/>
          <w:spacing w:val="2"/>
          <w:w w:val="110"/>
          <w:sz w:val="18"/>
        </w:rPr>
        <w:t>search </w:t>
      </w:r>
      <w:r>
        <w:rPr>
          <w:color w:val="231F20"/>
          <w:w w:val="110"/>
          <w:sz w:val="18"/>
        </w:rPr>
        <w:t>for</w:t>
      </w:r>
      <w:r>
        <w:rPr>
          <w:color w:val="231F20"/>
          <w:spacing w:val="4"/>
          <w:w w:val="110"/>
          <w:sz w:val="18"/>
        </w:rPr>
        <w:t> </w:t>
      </w:r>
      <w:r>
        <w:rPr>
          <w:color w:val="231F20"/>
          <w:w w:val="110"/>
          <w:sz w:val="18"/>
        </w:rPr>
        <w:t>God.</w:t>
      </w:r>
    </w:p>
    <w:p>
      <w:pPr>
        <w:pStyle w:val="BodyText"/>
        <w:rPr>
          <w:sz w:val="20"/>
        </w:rPr>
      </w:pPr>
    </w:p>
    <w:p>
      <w:pPr>
        <w:tabs>
          <w:tab w:pos="10311" w:val="right" w:leader="none"/>
        </w:tabs>
        <w:spacing w:before="182"/>
        <w:ind w:left="6847" w:right="0" w:firstLine="0"/>
        <w:jc w:val="left"/>
        <w:rPr>
          <w:rFonts w:ascii="Eurostile Bold"/>
          <w:b/>
          <w:sz w:val="24"/>
        </w:rPr>
      </w:pPr>
      <w:r>
        <w:rPr>
          <w:rFonts w:ascii="Eurostile Bold"/>
          <w:b/>
          <w:color w:val="A7A9AC"/>
          <w:w w:val="95"/>
          <w:sz w:val="24"/>
        </w:rPr>
        <w:t>General</w:t>
      </w:r>
      <w:r>
        <w:rPr>
          <w:rFonts w:ascii="Eurostile Bold"/>
          <w:b/>
          <w:color w:val="A7A9AC"/>
          <w:spacing w:val="-52"/>
          <w:w w:val="95"/>
          <w:sz w:val="24"/>
        </w:rPr>
        <w:t> </w:t>
      </w:r>
      <w:r>
        <w:rPr>
          <w:rFonts w:ascii="Eurostile Bold"/>
          <w:b/>
          <w:color w:val="A7A9AC"/>
          <w:w w:val="95"/>
          <w:sz w:val="24"/>
        </w:rPr>
        <w:t>Assembly</w:t>
      </w:r>
      <w:r>
        <w:rPr>
          <w:rFonts w:ascii="Eurostile Bold"/>
          <w:b/>
          <w:color w:val="A7A9AC"/>
          <w:spacing w:val="-52"/>
          <w:w w:val="95"/>
          <w:sz w:val="24"/>
        </w:rPr>
        <w:t> </w:t>
      </w:r>
      <w:r>
        <w:rPr>
          <w:rFonts w:ascii="Eurostile Bold"/>
          <w:b/>
          <w:color w:val="A7A9AC"/>
          <w:w w:val="95"/>
          <w:sz w:val="24"/>
        </w:rPr>
        <w:t>2007</w:t>
        <w:tab/>
      </w:r>
      <w:r>
        <w:rPr>
          <w:rFonts w:ascii="Eurostile Bold"/>
          <w:b/>
          <w:color w:val="231F20"/>
          <w:w w:val="95"/>
          <w:sz w:val="24"/>
        </w:rPr>
        <w:t>143</w:t>
      </w:r>
    </w:p>
    <w:p>
      <w:pPr>
        <w:spacing w:after="0"/>
        <w:jc w:val="left"/>
        <w:rPr>
          <w:rFonts w:ascii="Eurostile Bold"/>
          <w:sz w:val="24"/>
        </w:rPr>
        <w:sectPr>
          <w:headerReference w:type="default" r:id="rId204"/>
          <w:footerReference w:type="default" r:id="rId205"/>
          <w:pgSz w:w="11910" w:h="16840"/>
          <w:pgMar w:header="0" w:footer="0" w:top="460" w:bottom="280" w:left="460" w:right="0"/>
        </w:sectPr>
      </w:pPr>
    </w:p>
    <w:p>
      <w:pPr>
        <w:pStyle w:val="BodyText"/>
        <w:spacing w:before="8"/>
        <w:rPr>
          <w:rFonts w:ascii="Eurostile Bold"/>
          <w:b/>
          <w:sz w:val="21"/>
        </w:rPr>
      </w:pPr>
    </w:p>
    <w:p>
      <w:pPr>
        <w:pStyle w:val="ListParagraph"/>
        <w:numPr>
          <w:ilvl w:val="0"/>
          <w:numId w:val="87"/>
        </w:numPr>
        <w:tabs>
          <w:tab w:pos="1355" w:val="left" w:leader="none"/>
        </w:tabs>
        <w:spacing w:line="273" w:lineRule="auto" w:before="0" w:after="0"/>
        <w:ind w:left="1354" w:right="1699" w:hanging="681"/>
        <w:jc w:val="both"/>
        <w:rPr>
          <w:sz w:val="18"/>
        </w:rPr>
      </w:pPr>
      <w:r>
        <w:rPr>
          <w:color w:val="231F20"/>
          <w:spacing w:val="-8"/>
          <w:w w:val="110"/>
          <w:sz w:val="18"/>
        </w:rPr>
        <w:t>To </w:t>
      </w:r>
      <w:r>
        <w:rPr>
          <w:color w:val="231F20"/>
          <w:w w:val="110"/>
          <w:sz w:val="18"/>
        </w:rPr>
        <w:t>hold ourselves together, </w:t>
      </w:r>
      <w:r>
        <w:rPr>
          <w:color w:val="231F20"/>
          <w:spacing w:val="2"/>
          <w:w w:val="110"/>
          <w:sz w:val="18"/>
        </w:rPr>
        <w:t>across </w:t>
      </w:r>
      <w:r>
        <w:rPr>
          <w:color w:val="231F20"/>
          <w:w w:val="110"/>
          <w:sz w:val="18"/>
        </w:rPr>
        <w:t>our diversity, we will need to set aside reverent space for God in word, </w:t>
      </w:r>
      <w:r>
        <w:rPr>
          <w:color w:val="231F20"/>
          <w:spacing w:val="2"/>
          <w:w w:val="110"/>
          <w:sz w:val="18"/>
        </w:rPr>
        <w:t>text </w:t>
      </w:r>
      <w:r>
        <w:rPr>
          <w:color w:val="231F20"/>
          <w:w w:val="110"/>
          <w:sz w:val="18"/>
        </w:rPr>
        <w:t>and pixel, as well as in hospitality, community, church council meeting and shared</w:t>
      </w:r>
      <w:r>
        <w:rPr>
          <w:color w:val="231F20"/>
          <w:spacing w:val="7"/>
          <w:w w:val="110"/>
          <w:sz w:val="18"/>
        </w:rPr>
        <w:t> </w:t>
      </w:r>
      <w:r>
        <w:rPr>
          <w:color w:val="231F20"/>
          <w:w w:val="110"/>
          <w:sz w:val="18"/>
        </w:rPr>
        <w:t>discernment.</w:t>
      </w:r>
    </w:p>
    <w:p>
      <w:pPr>
        <w:pStyle w:val="BodyText"/>
        <w:spacing w:before="9"/>
        <w:rPr>
          <w:sz w:val="20"/>
        </w:rPr>
      </w:pPr>
    </w:p>
    <w:p>
      <w:pPr>
        <w:pStyle w:val="ListParagraph"/>
        <w:numPr>
          <w:ilvl w:val="0"/>
          <w:numId w:val="87"/>
        </w:numPr>
        <w:tabs>
          <w:tab w:pos="1354" w:val="left" w:leader="none"/>
          <w:tab w:pos="1355" w:val="left" w:leader="none"/>
        </w:tabs>
        <w:spacing w:line="273" w:lineRule="auto" w:before="0" w:after="0"/>
        <w:ind w:left="1354" w:right="2135" w:hanging="681"/>
        <w:jc w:val="left"/>
        <w:rPr>
          <w:sz w:val="18"/>
        </w:rPr>
      </w:pPr>
      <w:r>
        <w:rPr>
          <w:color w:val="231F20"/>
          <w:w w:val="110"/>
          <w:sz w:val="18"/>
        </w:rPr>
        <w:t>Space allows room to unfold and is </w:t>
      </w:r>
      <w:r>
        <w:rPr>
          <w:color w:val="231F20"/>
          <w:spacing w:val="2"/>
          <w:w w:val="110"/>
          <w:sz w:val="18"/>
        </w:rPr>
        <w:t>therefore </w:t>
      </w:r>
      <w:r>
        <w:rPr>
          <w:color w:val="231F20"/>
          <w:w w:val="110"/>
          <w:sz w:val="18"/>
        </w:rPr>
        <w:t>crucial to the concept of growth, which would seem to be one of God’s central concerns. The first things God places on this </w:t>
      </w:r>
      <w:r>
        <w:rPr>
          <w:color w:val="231F20"/>
          <w:spacing w:val="2"/>
          <w:w w:val="110"/>
          <w:sz w:val="18"/>
        </w:rPr>
        <w:t>earth after </w:t>
      </w:r>
      <w:r>
        <w:rPr>
          <w:color w:val="231F20"/>
          <w:w w:val="110"/>
          <w:sz w:val="18"/>
        </w:rPr>
        <w:t>creation are those that grow and bear</w:t>
      </w:r>
      <w:r>
        <w:rPr>
          <w:color w:val="231F20"/>
          <w:spacing w:val="63"/>
          <w:w w:val="110"/>
          <w:sz w:val="18"/>
        </w:rPr>
        <w:t> </w:t>
      </w:r>
      <w:r>
        <w:rPr>
          <w:color w:val="231F20"/>
          <w:w w:val="110"/>
          <w:sz w:val="18"/>
        </w:rPr>
        <w:t>fruit.</w:t>
      </w:r>
    </w:p>
    <w:p>
      <w:pPr>
        <w:pStyle w:val="BodyText"/>
        <w:spacing w:before="9"/>
        <w:rPr>
          <w:sz w:val="20"/>
        </w:rPr>
      </w:pPr>
    </w:p>
    <w:p>
      <w:pPr>
        <w:pStyle w:val="ListParagraph"/>
        <w:numPr>
          <w:ilvl w:val="0"/>
          <w:numId w:val="84"/>
        </w:numPr>
        <w:tabs>
          <w:tab w:pos="1354" w:val="left" w:leader="none"/>
          <w:tab w:pos="1355" w:val="left" w:leader="none"/>
        </w:tabs>
        <w:spacing w:line="273" w:lineRule="auto" w:before="0" w:after="0"/>
        <w:ind w:left="673" w:right="2011" w:firstLine="0"/>
        <w:jc w:val="left"/>
        <w:rPr>
          <w:sz w:val="18"/>
        </w:rPr>
      </w:pPr>
      <w:r>
        <w:rPr>
          <w:color w:val="231F20"/>
          <w:spacing w:val="-3"/>
          <w:w w:val="110"/>
          <w:sz w:val="18"/>
        </w:rPr>
        <w:t>We </w:t>
      </w:r>
      <w:r>
        <w:rPr>
          <w:color w:val="231F20"/>
          <w:w w:val="110"/>
          <w:sz w:val="18"/>
        </w:rPr>
        <w:t>see this statement deepening the theoretical basis of the </w:t>
      </w:r>
      <w:r>
        <w:rPr>
          <w:color w:val="231F20"/>
          <w:spacing w:val="2"/>
          <w:w w:val="110"/>
          <w:sz w:val="18"/>
        </w:rPr>
        <w:t>Three </w:t>
      </w:r>
      <w:r>
        <w:rPr>
          <w:color w:val="231F20"/>
          <w:w w:val="110"/>
          <w:sz w:val="18"/>
        </w:rPr>
        <w:t>Ecumenical Principles agreed at General Assembly</w:t>
      </w:r>
      <w:r>
        <w:rPr>
          <w:color w:val="231F20"/>
          <w:spacing w:val="10"/>
          <w:w w:val="110"/>
          <w:sz w:val="18"/>
        </w:rPr>
        <w:t> </w:t>
      </w:r>
      <w:r>
        <w:rPr>
          <w:color w:val="231F20"/>
          <w:spacing w:val="-4"/>
          <w:w w:val="110"/>
          <w:sz w:val="18"/>
        </w:rPr>
        <w:t>2001;</w:t>
      </w:r>
    </w:p>
    <w:p>
      <w:pPr>
        <w:pStyle w:val="BodyText"/>
        <w:spacing w:before="8"/>
        <w:rPr>
          <w:sz w:val="20"/>
        </w:rPr>
      </w:pPr>
    </w:p>
    <w:p>
      <w:pPr>
        <w:pStyle w:val="ListParagraph"/>
        <w:numPr>
          <w:ilvl w:val="0"/>
          <w:numId w:val="88"/>
        </w:numPr>
        <w:tabs>
          <w:tab w:pos="1354" w:val="left" w:leader="none"/>
          <w:tab w:pos="1355" w:val="left" w:leader="none"/>
        </w:tabs>
        <w:spacing w:line="273" w:lineRule="auto" w:before="0" w:after="0"/>
        <w:ind w:left="1354" w:right="2211" w:hanging="681"/>
        <w:jc w:val="left"/>
        <w:rPr>
          <w:sz w:val="18"/>
        </w:rPr>
      </w:pPr>
      <w:r>
        <w:rPr>
          <w:color w:val="231F20"/>
          <w:spacing w:val="-8"/>
          <w:w w:val="110"/>
          <w:sz w:val="18"/>
        </w:rPr>
        <w:t>To </w:t>
      </w:r>
      <w:r>
        <w:rPr>
          <w:color w:val="231F20"/>
          <w:w w:val="110"/>
          <w:sz w:val="18"/>
        </w:rPr>
        <w:t>expand the range and deepen the nature of the Christian common life and witness in each local</w:t>
      </w:r>
      <w:r>
        <w:rPr>
          <w:color w:val="231F20"/>
          <w:spacing w:val="5"/>
          <w:w w:val="110"/>
          <w:sz w:val="18"/>
        </w:rPr>
        <w:t> </w:t>
      </w:r>
      <w:r>
        <w:rPr>
          <w:color w:val="231F20"/>
          <w:w w:val="110"/>
          <w:sz w:val="18"/>
        </w:rPr>
        <w:t>community.</w:t>
      </w:r>
    </w:p>
    <w:p>
      <w:pPr>
        <w:pStyle w:val="BodyText"/>
        <w:spacing w:before="8"/>
        <w:rPr>
          <w:sz w:val="20"/>
        </w:rPr>
      </w:pPr>
    </w:p>
    <w:p>
      <w:pPr>
        <w:pStyle w:val="ListParagraph"/>
        <w:numPr>
          <w:ilvl w:val="0"/>
          <w:numId w:val="88"/>
        </w:numPr>
        <w:tabs>
          <w:tab w:pos="1354" w:val="left" w:leader="none"/>
          <w:tab w:pos="1355" w:val="left" w:leader="none"/>
        </w:tabs>
        <w:spacing w:line="273" w:lineRule="auto" w:before="0" w:after="0"/>
        <w:ind w:left="1354" w:right="1699" w:hanging="681"/>
        <w:jc w:val="left"/>
        <w:rPr>
          <w:sz w:val="18"/>
        </w:rPr>
      </w:pPr>
      <w:r>
        <w:rPr>
          <w:color w:val="231F20"/>
          <w:spacing w:val="-8"/>
          <w:w w:val="110"/>
          <w:sz w:val="18"/>
        </w:rPr>
        <w:t>To </w:t>
      </w:r>
      <w:r>
        <w:rPr>
          <w:color w:val="231F20"/>
          <w:w w:val="110"/>
          <w:sz w:val="18"/>
        </w:rPr>
        <w:t>proclaim more clearly, in word and deed, that in Christ we are one World  Church family living in a world which God loves, and to celebrate the </w:t>
      </w:r>
      <w:r>
        <w:rPr>
          <w:color w:val="231F20"/>
          <w:spacing w:val="2"/>
          <w:w w:val="110"/>
          <w:sz w:val="18"/>
        </w:rPr>
        <w:t>rich </w:t>
      </w:r>
      <w:r>
        <w:rPr>
          <w:color w:val="231F20"/>
          <w:w w:val="110"/>
          <w:sz w:val="18"/>
        </w:rPr>
        <w:t>diversity of cultures, languages and church traditions, and to seek, as appropriate, to work with </w:t>
      </w:r>
      <w:r>
        <w:rPr>
          <w:color w:val="231F20"/>
          <w:spacing w:val="2"/>
          <w:w w:val="110"/>
          <w:sz w:val="18"/>
        </w:rPr>
        <w:t>members </w:t>
      </w:r>
      <w:r>
        <w:rPr>
          <w:color w:val="231F20"/>
          <w:w w:val="110"/>
          <w:sz w:val="18"/>
        </w:rPr>
        <w:t>of other faith communities for the promotion of biblical values of love, peace and</w:t>
      </w:r>
      <w:r>
        <w:rPr>
          <w:color w:val="231F20"/>
          <w:spacing w:val="3"/>
          <w:w w:val="110"/>
          <w:sz w:val="18"/>
        </w:rPr>
        <w:t> </w:t>
      </w:r>
      <w:r>
        <w:rPr>
          <w:color w:val="231F20"/>
          <w:w w:val="110"/>
          <w:sz w:val="18"/>
        </w:rPr>
        <w:t>justice.</w:t>
      </w:r>
    </w:p>
    <w:p>
      <w:pPr>
        <w:pStyle w:val="BodyText"/>
        <w:spacing w:before="10"/>
        <w:rPr>
          <w:sz w:val="20"/>
        </w:rPr>
      </w:pPr>
    </w:p>
    <w:p>
      <w:pPr>
        <w:pStyle w:val="ListParagraph"/>
        <w:numPr>
          <w:ilvl w:val="0"/>
          <w:numId w:val="88"/>
        </w:numPr>
        <w:tabs>
          <w:tab w:pos="1354" w:val="left" w:leader="none"/>
          <w:tab w:pos="1355" w:val="left" w:leader="none"/>
        </w:tabs>
        <w:spacing w:line="273" w:lineRule="auto" w:before="0" w:after="0"/>
        <w:ind w:left="1354" w:right="1756" w:hanging="681"/>
        <w:jc w:val="left"/>
        <w:rPr>
          <w:sz w:val="18"/>
        </w:rPr>
      </w:pPr>
      <w:r>
        <w:rPr>
          <w:color w:val="231F20"/>
          <w:spacing w:val="-8"/>
          <w:w w:val="110"/>
          <w:sz w:val="18"/>
        </w:rPr>
        <w:t>To </w:t>
      </w:r>
      <w:r>
        <w:rPr>
          <w:color w:val="231F20"/>
          <w:w w:val="110"/>
          <w:sz w:val="18"/>
        </w:rPr>
        <w:t>persevere in the </w:t>
      </w:r>
      <w:r>
        <w:rPr>
          <w:color w:val="231F20"/>
          <w:spacing w:val="2"/>
          <w:w w:val="110"/>
          <w:sz w:val="18"/>
        </w:rPr>
        <w:t>search </w:t>
      </w:r>
      <w:r>
        <w:rPr>
          <w:color w:val="231F20"/>
          <w:w w:val="110"/>
          <w:sz w:val="18"/>
        </w:rPr>
        <w:t>for the visible and organic unity of the Church through church-to-church conversations on </w:t>
      </w:r>
      <w:r>
        <w:rPr>
          <w:color w:val="231F20"/>
          <w:spacing w:val="2"/>
          <w:w w:val="110"/>
          <w:sz w:val="18"/>
        </w:rPr>
        <w:t>matters </w:t>
      </w:r>
      <w:r>
        <w:rPr>
          <w:color w:val="231F20"/>
          <w:w w:val="110"/>
          <w:sz w:val="18"/>
        </w:rPr>
        <w:t>of faith and church order so that  sinful, and sometimes death-dealing, divisions may be healed and the Christian message of reconciliation be proclaimed with</w:t>
      </w:r>
      <w:r>
        <w:rPr>
          <w:color w:val="231F20"/>
          <w:spacing w:val="17"/>
          <w:w w:val="110"/>
          <w:sz w:val="18"/>
        </w:rPr>
        <w:t> </w:t>
      </w:r>
      <w:r>
        <w:rPr>
          <w:color w:val="231F20"/>
          <w:w w:val="110"/>
          <w:sz w:val="18"/>
        </w:rPr>
        <w:t>integrity.</w:t>
      </w:r>
    </w:p>
    <w:p>
      <w:pPr>
        <w:pStyle w:val="BodyText"/>
        <w:rPr>
          <w:sz w:val="20"/>
        </w:rPr>
      </w:pPr>
    </w:p>
    <w:p>
      <w:pPr>
        <w:pStyle w:val="BodyText"/>
        <w:rPr>
          <w:sz w:val="20"/>
        </w:rPr>
      </w:pPr>
    </w:p>
    <w:p>
      <w:pPr>
        <w:pStyle w:val="BodyText"/>
        <w:rPr>
          <w:sz w:val="20"/>
        </w:rPr>
      </w:pPr>
    </w:p>
    <w:p>
      <w:pPr>
        <w:pStyle w:val="BodyText"/>
        <w:spacing w:before="11"/>
      </w:pPr>
    </w:p>
    <w:p>
      <w:pPr>
        <w:spacing w:before="309"/>
        <w:ind w:left="0" w:right="1251" w:firstLine="0"/>
        <w:jc w:val="center"/>
        <w:rPr>
          <w:i/>
          <w:sz w:val="24"/>
        </w:rPr>
      </w:pPr>
      <w:r>
        <w:rPr>
          <w:i/>
          <w:color w:val="231F20"/>
          <w:w w:val="600"/>
          <w:sz w:val="24"/>
        </w:rPr>
        <w:t>   </w:t>
      </w:r>
    </w:p>
    <w:p>
      <w:pPr>
        <w:spacing w:after="0"/>
        <w:jc w:val="center"/>
        <w:rPr>
          <w:sz w:val="24"/>
        </w:rPr>
        <w:sectPr>
          <w:headerReference w:type="even" r:id="rId206"/>
          <w:footerReference w:type="even" r:id="rId207"/>
          <w:footerReference w:type="default" r:id="rId208"/>
          <w:pgSz w:w="11910" w:h="16840"/>
          <w:pgMar w:header="558" w:footer="564" w:top="820" w:bottom="760" w:left="460" w:right="0"/>
          <w:pgNumType w:start="144"/>
        </w:sectPr>
      </w:pPr>
    </w:p>
    <w:p>
      <w:pPr>
        <w:spacing w:before="79"/>
        <w:ind w:left="1240" w:right="0" w:firstLine="0"/>
        <w:jc w:val="left"/>
        <w:rPr>
          <w:b/>
          <w:sz w:val="18"/>
        </w:rPr>
      </w:pPr>
      <w:r>
        <w:rPr/>
        <w:pict>
          <v:shape style="position:absolute;margin-left:507.100189pt;margin-top:-5.051487pt;width:68.850pt;height:583.950pt;mso-position-horizontal-relative:page;mso-position-vertical-relative:paragraph;z-index:251829248" type="#_x0000_t202" filled="false" stroked="false">
            <v:textbox inset="0,0,0,0" style="layout-flow:vertical">
              <w:txbxContent>
                <w:p>
                  <w:pPr>
                    <w:spacing w:line="989" w:lineRule="exact" w:before="20"/>
                    <w:ind w:left="20" w:right="0" w:firstLine="0"/>
                    <w:jc w:val="left"/>
                    <w:rPr>
                      <w:b/>
                      <w:sz w:val="88"/>
                    </w:rPr>
                  </w:pPr>
                  <w:r>
                    <w:rPr>
                      <w:b/>
                      <w:color w:val="231F20"/>
                      <w:sz w:val="88"/>
                    </w:rPr>
                    <w:t>Inter Faith Relations</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The task of the Committee is:</w:t>
      </w:r>
    </w:p>
    <w:p>
      <w:pPr>
        <w:pStyle w:val="ListParagraph"/>
        <w:numPr>
          <w:ilvl w:val="1"/>
          <w:numId w:val="88"/>
        </w:numPr>
        <w:tabs>
          <w:tab w:pos="1921" w:val="left" w:leader="none"/>
          <w:tab w:pos="1922" w:val="left" w:leader="none"/>
        </w:tabs>
        <w:spacing w:line="277" w:lineRule="exact" w:before="1" w:after="0"/>
        <w:ind w:left="1921" w:right="0" w:hanging="682"/>
        <w:jc w:val="left"/>
        <w:rPr>
          <w:b/>
          <w:sz w:val="18"/>
        </w:rPr>
      </w:pPr>
      <w:r>
        <w:rPr>
          <w:b/>
          <w:color w:val="231F20"/>
          <w:spacing w:val="-7"/>
          <w:w w:val="110"/>
          <w:sz w:val="18"/>
        </w:rPr>
        <w:t>To </w:t>
      </w:r>
      <w:r>
        <w:rPr>
          <w:b/>
          <w:color w:val="231F20"/>
          <w:w w:val="110"/>
          <w:sz w:val="18"/>
        </w:rPr>
        <w:t>encourage and </w:t>
      </w:r>
      <w:r>
        <w:rPr>
          <w:b/>
          <w:color w:val="231F20"/>
          <w:spacing w:val="2"/>
          <w:w w:val="110"/>
          <w:sz w:val="18"/>
        </w:rPr>
        <w:t>assist </w:t>
      </w:r>
      <w:r>
        <w:rPr>
          <w:b/>
          <w:color w:val="231F20"/>
          <w:w w:val="110"/>
          <w:sz w:val="18"/>
        </w:rPr>
        <w:t>the </w:t>
      </w:r>
      <w:r>
        <w:rPr>
          <w:b/>
          <w:color w:val="231F20"/>
          <w:spacing w:val="2"/>
          <w:w w:val="110"/>
          <w:sz w:val="18"/>
        </w:rPr>
        <w:t>churches </w:t>
      </w:r>
      <w:r>
        <w:rPr>
          <w:b/>
          <w:color w:val="231F20"/>
          <w:w w:val="110"/>
          <w:sz w:val="18"/>
        </w:rPr>
        <w:t>in inter faith</w:t>
      </w:r>
      <w:r>
        <w:rPr>
          <w:b/>
          <w:color w:val="231F20"/>
          <w:spacing w:val="23"/>
          <w:w w:val="110"/>
          <w:sz w:val="18"/>
        </w:rPr>
        <w:t> </w:t>
      </w:r>
      <w:r>
        <w:rPr>
          <w:b/>
          <w:color w:val="231F20"/>
          <w:w w:val="110"/>
          <w:sz w:val="18"/>
        </w:rPr>
        <w:t>situations.</w:t>
      </w:r>
    </w:p>
    <w:p>
      <w:pPr>
        <w:pStyle w:val="ListParagraph"/>
        <w:numPr>
          <w:ilvl w:val="1"/>
          <w:numId w:val="88"/>
        </w:numPr>
        <w:tabs>
          <w:tab w:pos="1921" w:val="left" w:leader="none"/>
          <w:tab w:pos="1922" w:val="left" w:leader="none"/>
        </w:tabs>
        <w:spacing w:line="265" w:lineRule="exact" w:before="0" w:after="0"/>
        <w:ind w:left="1921" w:right="0" w:hanging="682"/>
        <w:jc w:val="left"/>
        <w:rPr>
          <w:b/>
          <w:sz w:val="18"/>
        </w:rPr>
      </w:pPr>
      <w:r>
        <w:rPr>
          <w:b/>
          <w:color w:val="231F20"/>
          <w:spacing w:val="-7"/>
          <w:w w:val="110"/>
          <w:sz w:val="18"/>
        </w:rPr>
        <w:t>To </w:t>
      </w:r>
      <w:r>
        <w:rPr>
          <w:b/>
          <w:color w:val="231F20"/>
          <w:w w:val="110"/>
          <w:sz w:val="18"/>
        </w:rPr>
        <w:t>affirm and support individuals involved in inter faith</w:t>
      </w:r>
      <w:r>
        <w:rPr>
          <w:b/>
          <w:color w:val="231F20"/>
          <w:spacing w:val="30"/>
          <w:w w:val="110"/>
          <w:sz w:val="18"/>
        </w:rPr>
        <w:t> </w:t>
      </w:r>
      <w:r>
        <w:rPr>
          <w:b/>
          <w:color w:val="231F20"/>
          <w:w w:val="110"/>
          <w:sz w:val="18"/>
        </w:rPr>
        <w:t>dialogue</w:t>
      </w:r>
    </w:p>
    <w:p>
      <w:pPr>
        <w:spacing w:line="207" w:lineRule="exact" w:before="0"/>
        <w:ind w:left="1921" w:right="0" w:firstLine="0"/>
        <w:jc w:val="left"/>
        <w:rPr>
          <w:b/>
          <w:sz w:val="18"/>
        </w:rPr>
      </w:pPr>
      <w:r>
        <w:rPr>
          <w:b/>
          <w:color w:val="231F20"/>
          <w:w w:val="110"/>
          <w:sz w:val="18"/>
        </w:rPr>
        <w:t>on behalf of the church.</w:t>
      </w:r>
    </w:p>
    <w:p>
      <w:pPr>
        <w:pStyle w:val="ListParagraph"/>
        <w:numPr>
          <w:ilvl w:val="1"/>
          <w:numId w:val="88"/>
        </w:numPr>
        <w:tabs>
          <w:tab w:pos="1921" w:val="left" w:leader="none"/>
          <w:tab w:pos="1922" w:val="left" w:leader="none"/>
        </w:tabs>
        <w:spacing w:line="250" w:lineRule="exact" w:before="12" w:after="0"/>
        <w:ind w:left="1921" w:right="2053" w:hanging="681"/>
        <w:jc w:val="left"/>
        <w:rPr>
          <w:b/>
          <w:sz w:val="18"/>
        </w:rPr>
      </w:pPr>
      <w:r>
        <w:rPr>
          <w:b/>
          <w:color w:val="231F20"/>
          <w:spacing w:val="-8"/>
          <w:w w:val="110"/>
          <w:sz w:val="18"/>
        </w:rPr>
        <w:t>To </w:t>
      </w:r>
      <w:r>
        <w:rPr>
          <w:b/>
          <w:color w:val="231F20"/>
          <w:w w:val="110"/>
          <w:sz w:val="18"/>
        </w:rPr>
        <w:t>encourage in direct contact with people of other faiths, particularly through our advisers on dialogue with Buddhism, Judaism, Islam, Hinduism, Sikhism and New Religious</w:t>
      </w:r>
      <w:r>
        <w:rPr>
          <w:b/>
          <w:color w:val="231F20"/>
          <w:spacing w:val="4"/>
          <w:w w:val="110"/>
          <w:sz w:val="18"/>
        </w:rPr>
        <w:t> </w:t>
      </w:r>
      <w:r>
        <w:rPr>
          <w:b/>
          <w:color w:val="231F20"/>
          <w:w w:val="110"/>
          <w:sz w:val="18"/>
        </w:rPr>
        <w:t>Movements.</w:t>
      </w:r>
    </w:p>
    <w:p>
      <w:pPr>
        <w:pStyle w:val="ListParagraph"/>
        <w:numPr>
          <w:ilvl w:val="1"/>
          <w:numId w:val="88"/>
        </w:numPr>
        <w:tabs>
          <w:tab w:pos="1921" w:val="left" w:leader="none"/>
          <w:tab w:pos="1922" w:val="left" w:leader="none"/>
        </w:tabs>
        <w:spacing w:line="218" w:lineRule="auto" w:before="7" w:after="0"/>
        <w:ind w:left="1921" w:right="2710" w:hanging="681"/>
        <w:jc w:val="left"/>
        <w:rPr>
          <w:b/>
          <w:sz w:val="18"/>
        </w:rPr>
      </w:pPr>
      <w:r>
        <w:rPr>
          <w:b/>
          <w:color w:val="231F20"/>
          <w:spacing w:val="-7"/>
          <w:w w:val="110"/>
          <w:sz w:val="18"/>
        </w:rPr>
        <w:t>To </w:t>
      </w:r>
      <w:r>
        <w:rPr>
          <w:b/>
          <w:color w:val="231F20"/>
          <w:w w:val="110"/>
          <w:sz w:val="18"/>
        </w:rPr>
        <w:t>develop theological understanding of inter faith dialogue and mission.</w:t>
      </w:r>
    </w:p>
    <w:p>
      <w:pPr>
        <w:pStyle w:val="ListParagraph"/>
        <w:numPr>
          <w:ilvl w:val="1"/>
          <w:numId w:val="88"/>
        </w:numPr>
        <w:tabs>
          <w:tab w:pos="1921" w:val="left" w:leader="none"/>
          <w:tab w:pos="1922" w:val="left" w:leader="none"/>
        </w:tabs>
        <w:spacing w:line="218" w:lineRule="auto" w:before="25" w:after="0"/>
        <w:ind w:left="1921" w:right="2493" w:hanging="681"/>
        <w:jc w:val="left"/>
        <w:rPr>
          <w:b/>
          <w:sz w:val="18"/>
        </w:rPr>
      </w:pPr>
      <w:r>
        <w:rPr>
          <w:b/>
          <w:color w:val="231F20"/>
          <w:spacing w:val="-7"/>
          <w:w w:val="110"/>
          <w:sz w:val="18"/>
        </w:rPr>
        <w:t>To </w:t>
      </w:r>
      <w:r>
        <w:rPr>
          <w:b/>
          <w:color w:val="231F20"/>
          <w:w w:val="110"/>
          <w:sz w:val="18"/>
        </w:rPr>
        <w:t>keep abreast with what is happening in the teaching about other faiths in schools and</w:t>
      </w:r>
      <w:r>
        <w:rPr>
          <w:b/>
          <w:color w:val="231F20"/>
          <w:spacing w:val="6"/>
          <w:w w:val="110"/>
          <w:sz w:val="18"/>
        </w:rPr>
        <w:t> </w:t>
      </w:r>
      <w:r>
        <w:rPr>
          <w:b/>
          <w:color w:val="231F20"/>
          <w:spacing w:val="2"/>
          <w:w w:val="110"/>
          <w:sz w:val="18"/>
        </w:rPr>
        <w:t>colleges.</w:t>
      </w:r>
    </w:p>
    <w:p>
      <w:pPr>
        <w:pStyle w:val="BodyText"/>
        <w:spacing w:before="6"/>
        <w:rPr>
          <w:b/>
          <w:sz w:val="23"/>
        </w:rPr>
      </w:pPr>
    </w:p>
    <w:p>
      <w:pPr>
        <w:spacing w:before="0"/>
        <w:ind w:left="1240" w:right="0" w:firstLine="0"/>
        <w:jc w:val="left"/>
        <w:rPr>
          <w:b/>
          <w:sz w:val="18"/>
        </w:rPr>
      </w:pPr>
      <w:r>
        <w:rPr>
          <w:b/>
          <w:color w:val="231F20"/>
          <w:w w:val="110"/>
          <w:sz w:val="18"/>
        </w:rPr>
        <w:t>Committee Members</w:t>
      </w:r>
    </w:p>
    <w:p>
      <w:pPr>
        <w:tabs>
          <w:tab w:pos="5560" w:val="left" w:leader="none"/>
        </w:tabs>
        <w:spacing w:before="32"/>
        <w:ind w:left="1240" w:right="0" w:firstLine="0"/>
        <w:jc w:val="left"/>
        <w:rPr>
          <w:i/>
          <w:sz w:val="18"/>
        </w:rPr>
      </w:pPr>
      <w:r>
        <w:rPr>
          <w:b/>
          <w:i/>
          <w:color w:val="231F20"/>
          <w:w w:val="110"/>
          <w:sz w:val="18"/>
        </w:rPr>
        <w:t>Convener: </w:t>
      </w:r>
      <w:r>
        <w:rPr>
          <w:i/>
          <w:color w:val="231F20"/>
          <w:w w:val="110"/>
          <w:sz w:val="18"/>
        </w:rPr>
        <w:t>Revd</w:t>
      </w:r>
      <w:r>
        <w:rPr>
          <w:i/>
          <w:color w:val="231F20"/>
          <w:spacing w:val="18"/>
          <w:w w:val="110"/>
          <w:sz w:val="18"/>
        </w:rPr>
        <w:t> </w:t>
      </w:r>
      <w:r>
        <w:rPr>
          <w:i/>
          <w:color w:val="231F20"/>
          <w:w w:val="110"/>
          <w:sz w:val="18"/>
        </w:rPr>
        <w:t>Peter</w:t>
      </w:r>
      <w:r>
        <w:rPr>
          <w:i/>
          <w:color w:val="231F20"/>
          <w:spacing w:val="7"/>
          <w:w w:val="110"/>
          <w:sz w:val="18"/>
        </w:rPr>
        <w:t> </w:t>
      </w:r>
      <w:r>
        <w:rPr>
          <w:i/>
          <w:color w:val="231F20"/>
          <w:w w:val="110"/>
          <w:sz w:val="18"/>
        </w:rPr>
        <w:t>Colwell</w:t>
        <w:tab/>
      </w:r>
      <w:r>
        <w:rPr>
          <w:b/>
          <w:i/>
          <w:color w:val="231F20"/>
          <w:spacing w:val="2"/>
          <w:w w:val="110"/>
          <w:sz w:val="18"/>
        </w:rPr>
        <w:t>Secretary: </w:t>
      </w:r>
      <w:r>
        <w:rPr>
          <w:i/>
          <w:color w:val="231F20"/>
          <w:spacing w:val="2"/>
          <w:w w:val="110"/>
          <w:sz w:val="18"/>
        </w:rPr>
        <w:t>Mrs </w:t>
      </w:r>
      <w:r>
        <w:rPr>
          <w:i/>
          <w:color w:val="231F20"/>
          <w:w w:val="110"/>
          <w:sz w:val="18"/>
        </w:rPr>
        <w:t>Jean</w:t>
      </w:r>
      <w:r>
        <w:rPr>
          <w:i/>
          <w:color w:val="231F20"/>
          <w:spacing w:val="2"/>
          <w:w w:val="110"/>
          <w:sz w:val="18"/>
        </w:rPr>
        <w:t> </w:t>
      </w:r>
      <w:r>
        <w:rPr>
          <w:i/>
          <w:color w:val="231F20"/>
          <w:w w:val="110"/>
          <w:sz w:val="18"/>
        </w:rPr>
        <w:t>Potter</w:t>
      </w:r>
    </w:p>
    <w:p>
      <w:pPr>
        <w:spacing w:before="31"/>
        <w:ind w:left="1240" w:right="0" w:firstLine="0"/>
        <w:jc w:val="left"/>
        <w:rPr>
          <w:i/>
          <w:sz w:val="18"/>
        </w:rPr>
      </w:pPr>
      <w:r>
        <w:rPr>
          <w:i/>
          <w:color w:val="231F20"/>
          <w:w w:val="110"/>
          <w:sz w:val="18"/>
        </w:rPr>
        <w:t>Revd Timothy Clarke, Dr Iain Frew, Mr David Jonathon, Revd Heather Pollard</w:t>
      </w:r>
    </w:p>
    <w:p>
      <w:pPr>
        <w:spacing w:before="151"/>
        <w:ind w:left="1240" w:right="0" w:firstLine="0"/>
        <w:jc w:val="left"/>
        <w:rPr>
          <w:i/>
          <w:sz w:val="18"/>
        </w:rPr>
      </w:pPr>
      <w:r>
        <w:rPr>
          <w:b/>
          <w:i/>
          <w:color w:val="231F20"/>
          <w:w w:val="110"/>
          <w:sz w:val="18"/>
        </w:rPr>
        <w:t>Advisers: </w:t>
      </w:r>
      <w:r>
        <w:rPr>
          <w:i/>
          <w:color w:val="231F20"/>
          <w:w w:val="110"/>
          <w:sz w:val="18"/>
        </w:rPr>
        <w:t>Revd Peter Colwell (Islam), Revd Jonathan Dean (Judaism),</w:t>
      </w:r>
    </w:p>
    <w:p>
      <w:pPr>
        <w:spacing w:before="31"/>
        <w:ind w:left="1240" w:right="0" w:firstLine="0"/>
        <w:jc w:val="left"/>
        <w:rPr>
          <w:i/>
          <w:sz w:val="18"/>
        </w:rPr>
      </w:pPr>
      <w:r>
        <w:rPr>
          <w:i/>
          <w:color w:val="231F20"/>
          <w:w w:val="110"/>
          <w:sz w:val="18"/>
        </w:rPr>
        <w:t>Dr Elizabeth Harris (Buddhism), Revd Dr John Parry (Sikhism)</w:t>
      </w:r>
    </w:p>
    <w:p>
      <w:pPr>
        <w:pStyle w:val="BodyText"/>
        <w:rPr>
          <w:i/>
          <w:sz w:val="22"/>
        </w:rPr>
      </w:pPr>
    </w:p>
    <w:p>
      <w:pPr>
        <w:pStyle w:val="BodyText"/>
        <w:spacing w:before="8"/>
        <w:rPr>
          <w:i/>
          <w:sz w:val="21"/>
        </w:rPr>
      </w:pPr>
    </w:p>
    <w:p>
      <w:pPr>
        <w:pStyle w:val="Heading9"/>
        <w:spacing w:line="244" w:lineRule="auto"/>
        <w:ind w:right="3181"/>
      </w:pPr>
      <w:r>
        <w:rPr>
          <w:color w:val="231F20"/>
          <w:spacing w:val="-5"/>
          <w:w w:val="110"/>
        </w:rPr>
        <w:t>Speaking </w:t>
      </w:r>
      <w:r>
        <w:rPr>
          <w:color w:val="231F20"/>
          <w:spacing w:val="-3"/>
          <w:w w:val="110"/>
        </w:rPr>
        <w:t>of </w:t>
      </w:r>
      <w:r>
        <w:rPr>
          <w:color w:val="231F20"/>
          <w:spacing w:val="-4"/>
          <w:w w:val="110"/>
        </w:rPr>
        <w:t>Christianity </w:t>
      </w:r>
      <w:r>
        <w:rPr>
          <w:color w:val="231F20"/>
          <w:w w:val="110"/>
        </w:rPr>
        <w:t>to </w:t>
      </w:r>
      <w:r>
        <w:rPr>
          <w:color w:val="231F20"/>
          <w:spacing w:val="-5"/>
          <w:w w:val="110"/>
        </w:rPr>
        <w:t>People </w:t>
      </w:r>
      <w:r>
        <w:rPr>
          <w:color w:val="231F20"/>
          <w:spacing w:val="-3"/>
          <w:w w:val="110"/>
        </w:rPr>
        <w:t>of Other </w:t>
      </w:r>
      <w:r>
        <w:rPr>
          <w:color w:val="231F20"/>
          <w:spacing w:val="-5"/>
          <w:w w:val="110"/>
        </w:rPr>
        <w:t>Faiths</w:t>
      </w:r>
    </w:p>
    <w:p>
      <w:pPr>
        <w:pStyle w:val="ListParagraph"/>
        <w:numPr>
          <w:ilvl w:val="1"/>
          <w:numId w:val="89"/>
        </w:numPr>
        <w:tabs>
          <w:tab w:pos="1960" w:val="left" w:leader="none"/>
          <w:tab w:pos="1961" w:val="left" w:leader="none"/>
        </w:tabs>
        <w:spacing w:line="273" w:lineRule="auto" w:before="252" w:after="0"/>
        <w:ind w:left="1240" w:right="2454" w:firstLine="0"/>
        <w:jc w:val="left"/>
        <w:rPr>
          <w:sz w:val="18"/>
        </w:rPr>
      </w:pPr>
      <w:r>
        <w:rPr>
          <w:color w:val="231F20"/>
          <w:w w:val="110"/>
          <w:sz w:val="18"/>
        </w:rPr>
        <w:t>One of the great fallacies surrounding inter faith work is that there is an </w:t>
      </w:r>
      <w:r>
        <w:rPr>
          <w:color w:val="231F20"/>
          <w:spacing w:val="2"/>
          <w:w w:val="110"/>
          <w:sz w:val="18"/>
        </w:rPr>
        <w:t>expectation </w:t>
      </w:r>
      <w:r>
        <w:rPr>
          <w:color w:val="231F20"/>
          <w:w w:val="110"/>
          <w:sz w:val="18"/>
        </w:rPr>
        <w:t>that Christians will ‘play down’ the significance of Christian uniqueness</w:t>
      </w:r>
      <w:r>
        <w:rPr>
          <w:color w:val="231F20"/>
          <w:spacing w:val="10"/>
          <w:w w:val="110"/>
          <w:sz w:val="18"/>
        </w:rPr>
        <w:t> </w:t>
      </w:r>
      <w:r>
        <w:rPr>
          <w:color w:val="231F20"/>
          <w:w w:val="110"/>
          <w:sz w:val="18"/>
        </w:rPr>
        <w:t>in</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interests</w:t>
      </w:r>
      <w:r>
        <w:rPr>
          <w:color w:val="231F20"/>
          <w:spacing w:val="11"/>
          <w:w w:val="110"/>
          <w:sz w:val="18"/>
        </w:rPr>
        <w:t> </w:t>
      </w:r>
      <w:r>
        <w:rPr>
          <w:color w:val="231F20"/>
          <w:w w:val="110"/>
          <w:sz w:val="18"/>
        </w:rPr>
        <w:t>of</w:t>
      </w:r>
      <w:r>
        <w:rPr>
          <w:color w:val="231F20"/>
          <w:spacing w:val="10"/>
          <w:w w:val="110"/>
          <w:sz w:val="18"/>
        </w:rPr>
        <w:t> </w:t>
      </w:r>
      <w:r>
        <w:rPr>
          <w:color w:val="231F20"/>
          <w:w w:val="110"/>
          <w:sz w:val="18"/>
        </w:rPr>
        <w:t>greater</w:t>
      </w:r>
      <w:r>
        <w:rPr>
          <w:color w:val="231F20"/>
          <w:spacing w:val="11"/>
          <w:w w:val="110"/>
          <w:sz w:val="18"/>
        </w:rPr>
        <w:t> </w:t>
      </w:r>
      <w:r>
        <w:rPr>
          <w:color w:val="231F20"/>
          <w:w w:val="110"/>
          <w:sz w:val="18"/>
        </w:rPr>
        <w:t>sensitivity</w:t>
      </w:r>
      <w:r>
        <w:rPr>
          <w:color w:val="231F20"/>
          <w:spacing w:val="11"/>
          <w:w w:val="110"/>
          <w:sz w:val="18"/>
        </w:rPr>
        <w:t> </w:t>
      </w:r>
      <w:r>
        <w:rPr>
          <w:color w:val="231F20"/>
          <w:w w:val="110"/>
          <w:sz w:val="18"/>
        </w:rPr>
        <w:t>to</w:t>
      </w:r>
      <w:r>
        <w:rPr>
          <w:color w:val="231F20"/>
          <w:spacing w:val="10"/>
          <w:w w:val="110"/>
          <w:sz w:val="18"/>
        </w:rPr>
        <w:t> </w:t>
      </w:r>
      <w:r>
        <w:rPr>
          <w:color w:val="231F20"/>
          <w:w w:val="110"/>
          <w:sz w:val="18"/>
        </w:rPr>
        <w:t>people</w:t>
      </w:r>
      <w:r>
        <w:rPr>
          <w:color w:val="231F20"/>
          <w:spacing w:val="11"/>
          <w:w w:val="110"/>
          <w:sz w:val="18"/>
        </w:rPr>
        <w:t> </w:t>
      </w:r>
      <w:r>
        <w:rPr>
          <w:color w:val="231F20"/>
          <w:w w:val="110"/>
          <w:sz w:val="18"/>
        </w:rPr>
        <w:t>of</w:t>
      </w:r>
      <w:r>
        <w:rPr>
          <w:color w:val="231F20"/>
          <w:spacing w:val="10"/>
          <w:w w:val="110"/>
          <w:sz w:val="18"/>
        </w:rPr>
        <w:t> </w:t>
      </w:r>
      <w:r>
        <w:rPr>
          <w:color w:val="231F20"/>
          <w:w w:val="110"/>
          <w:sz w:val="18"/>
        </w:rPr>
        <w:t>other</w:t>
      </w:r>
      <w:r>
        <w:rPr>
          <w:color w:val="231F20"/>
          <w:spacing w:val="11"/>
          <w:w w:val="110"/>
          <w:sz w:val="18"/>
        </w:rPr>
        <w:t> </w:t>
      </w:r>
      <w:r>
        <w:rPr>
          <w:color w:val="231F20"/>
          <w:w w:val="110"/>
          <w:sz w:val="18"/>
        </w:rPr>
        <w:t>faiths.</w:t>
      </w:r>
    </w:p>
    <w:p>
      <w:pPr>
        <w:pStyle w:val="BodyText"/>
        <w:spacing w:line="273" w:lineRule="auto" w:before="2"/>
        <w:ind w:left="1240" w:right="2665"/>
      </w:pPr>
      <w:r>
        <w:rPr>
          <w:color w:val="231F20"/>
          <w:w w:val="110"/>
        </w:rPr>
        <w:t>The tendency within some local authorities and charitable organisations   to omit </w:t>
      </w:r>
      <w:r>
        <w:rPr>
          <w:color w:val="231F20"/>
          <w:spacing w:val="2"/>
          <w:w w:val="110"/>
        </w:rPr>
        <w:t>reference </w:t>
      </w:r>
      <w:r>
        <w:rPr>
          <w:color w:val="231F20"/>
          <w:w w:val="110"/>
        </w:rPr>
        <w:t>to Christianity at Christmas or by removing nativity crib scenes is seen by many to be </w:t>
      </w:r>
      <w:r>
        <w:rPr>
          <w:color w:val="231F20"/>
          <w:spacing w:val="2"/>
          <w:w w:val="110"/>
        </w:rPr>
        <w:t>part </w:t>
      </w:r>
      <w:r>
        <w:rPr>
          <w:color w:val="231F20"/>
          <w:w w:val="110"/>
        </w:rPr>
        <w:t>of a ‘multi faith agenda’ that views ‘traditional Christianity’ with</w:t>
      </w:r>
      <w:r>
        <w:rPr>
          <w:color w:val="231F20"/>
          <w:spacing w:val="6"/>
          <w:w w:val="110"/>
        </w:rPr>
        <w:t> </w:t>
      </w:r>
      <w:r>
        <w:rPr>
          <w:color w:val="231F20"/>
          <w:w w:val="110"/>
        </w:rPr>
        <w:t>suspicion.</w:t>
      </w:r>
    </w:p>
    <w:p>
      <w:pPr>
        <w:pStyle w:val="BodyText"/>
        <w:spacing w:before="9"/>
        <w:rPr>
          <w:sz w:val="20"/>
        </w:rPr>
      </w:pPr>
    </w:p>
    <w:p>
      <w:pPr>
        <w:pStyle w:val="ListParagraph"/>
        <w:numPr>
          <w:ilvl w:val="1"/>
          <w:numId w:val="89"/>
        </w:numPr>
        <w:tabs>
          <w:tab w:pos="1960" w:val="left" w:leader="none"/>
          <w:tab w:pos="1961" w:val="left" w:leader="none"/>
        </w:tabs>
        <w:spacing w:line="273" w:lineRule="auto" w:before="0" w:after="0"/>
        <w:ind w:left="1240" w:right="2042" w:firstLine="0"/>
        <w:jc w:val="left"/>
        <w:rPr>
          <w:sz w:val="18"/>
        </w:rPr>
      </w:pPr>
      <w:r>
        <w:rPr>
          <w:color w:val="231F20"/>
          <w:w w:val="110"/>
          <w:sz w:val="18"/>
        </w:rPr>
        <w:t>The reality is that people of other faiths are dismayed at attempts to diminish Christian </w:t>
      </w:r>
      <w:r>
        <w:rPr>
          <w:color w:val="231F20"/>
          <w:spacing w:val="2"/>
          <w:w w:val="110"/>
          <w:sz w:val="18"/>
        </w:rPr>
        <w:t>presence </w:t>
      </w:r>
      <w:r>
        <w:rPr>
          <w:color w:val="231F20"/>
          <w:w w:val="110"/>
          <w:sz w:val="18"/>
        </w:rPr>
        <w:t>within </w:t>
      </w:r>
      <w:r>
        <w:rPr>
          <w:color w:val="231F20"/>
          <w:spacing w:val="2"/>
          <w:w w:val="110"/>
          <w:sz w:val="18"/>
        </w:rPr>
        <w:t>society </w:t>
      </w:r>
      <w:r>
        <w:rPr>
          <w:color w:val="231F20"/>
          <w:w w:val="110"/>
          <w:sz w:val="18"/>
        </w:rPr>
        <w:t>and look to Christians to articulate their faith clearly within dialogue. In </w:t>
      </w:r>
      <w:r>
        <w:rPr>
          <w:color w:val="231F20"/>
          <w:spacing w:val="2"/>
          <w:w w:val="110"/>
          <w:sz w:val="18"/>
        </w:rPr>
        <w:t>fact </w:t>
      </w:r>
      <w:r>
        <w:rPr>
          <w:color w:val="231F20"/>
          <w:w w:val="110"/>
          <w:sz w:val="18"/>
        </w:rPr>
        <w:t>Hindus, Muslims and Sikhs are puzzled when Christians seem to collude with the ‘dumbing down’</w:t>
      </w:r>
      <w:r>
        <w:rPr>
          <w:color w:val="231F20"/>
          <w:spacing w:val="33"/>
          <w:w w:val="110"/>
          <w:sz w:val="18"/>
        </w:rPr>
        <w:t> </w:t>
      </w:r>
      <w:r>
        <w:rPr>
          <w:color w:val="231F20"/>
          <w:w w:val="110"/>
          <w:sz w:val="18"/>
        </w:rPr>
        <w:t>agenda.</w:t>
      </w:r>
    </w:p>
    <w:p>
      <w:pPr>
        <w:pStyle w:val="BodyText"/>
        <w:spacing w:before="9"/>
        <w:rPr>
          <w:sz w:val="20"/>
        </w:rPr>
      </w:pPr>
    </w:p>
    <w:p>
      <w:pPr>
        <w:pStyle w:val="ListParagraph"/>
        <w:numPr>
          <w:ilvl w:val="1"/>
          <w:numId w:val="89"/>
        </w:numPr>
        <w:tabs>
          <w:tab w:pos="1960" w:val="left" w:leader="none"/>
          <w:tab w:pos="1961" w:val="left" w:leader="none"/>
        </w:tabs>
        <w:spacing w:line="273" w:lineRule="auto" w:before="1" w:after="0"/>
        <w:ind w:left="1240" w:right="2310" w:firstLine="0"/>
        <w:jc w:val="left"/>
        <w:rPr>
          <w:sz w:val="18"/>
        </w:rPr>
      </w:pPr>
      <w:r>
        <w:rPr>
          <w:color w:val="231F20"/>
          <w:spacing w:val="-3"/>
          <w:w w:val="110"/>
          <w:sz w:val="18"/>
        </w:rPr>
        <w:t>However, </w:t>
      </w:r>
      <w:r>
        <w:rPr>
          <w:color w:val="231F20"/>
          <w:w w:val="110"/>
          <w:sz w:val="18"/>
        </w:rPr>
        <w:t>knowing how to speak to people of other faiths about Christianity in ways that are to be clearly understood is not as easy as it may seem. The Inter Faith Relations Committee, building on its recently produced </w:t>
      </w:r>
      <w:r>
        <w:rPr>
          <w:color w:val="231F20"/>
          <w:spacing w:val="2"/>
          <w:w w:val="110"/>
          <w:sz w:val="18"/>
        </w:rPr>
        <w:t>resources </w:t>
      </w:r>
      <w:r>
        <w:rPr>
          <w:color w:val="231F20"/>
          <w:w w:val="110"/>
          <w:sz w:val="18"/>
        </w:rPr>
        <w:t>on Jihad and Jesus through Hindu and Muslim eyes, is currently working on an ‘apologetics </w:t>
      </w:r>
      <w:r>
        <w:rPr>
          <w:color w:val="231F20"/>
          <w:spacing w:val="3"/>
          <w:w w:val="110"/>
          <w:sz w:val="18"/>
        </w:rPr>
        <w:t>project’ </w:t>
      </w:r>
      <w:r>
        <w:rPr>
          <w:color w:val="231F20"/>
          <w:w w:val="110"/>
          <w:sz w:val="18"/>
        </w:rPr>
        <w:t>in which we aim to </w:t>
      </w:r>
      <w:r>
        <w:rPr>
          <w:color w:val="231F20"/>
          <w:spacing w:val="2"/>
          <w:w w:val="110"/>
          <w:sz w:val="18"/>
        </w:rPr>
        <w:t>offer </w:t>
      </w:r>
      <w:r>
        <w:rPr>
          <w:color w:val="231F20"/>
          <w:w w:val="110"/>
          <w:sz w:val="18"/>
        </w:rPr>
        <w:t>guidelines on speaking about Christian belief to other faiths. </w:t>
      </w:r>
      <w:r>
        <w:rPr>
          <w:color w:val="231F20"/>
          <w:spacing w:val="2"/>
          <w:w w:val="110"/>
          <w:sz w:val="18"/>
        </w:rPr>
        <w:t>These </w:t>
      </w:r>
      <w:r>
        <w:rPr>
          <w:color w:val="231F20"/>
          <w:w w:val="110"/>
          <w:sz w:val="18"/>
        </w:rPr>
        <w:t>will take account of some of the misunderstandings that other religions sometimes have about Christianity, some of the assumptions that arise out of other religious world views and how other faiths may view key elements of Christian theology </w:t>
      </w:r>
      <w:r>
        <w:rPr>
          <w:color w:val="231F20"/>
          <w:spacing w:val="-4"/>
          <w:w w:val="110"/>
          <w:sz w:val="18"/>
        </w:rPr>
        <w:t>(eg. </w:t>
      </w:r>
      <w:r>
        <w:rPr>
          <w:color w:val="231F20"/>
          <w:w w:val="110"/>
          <w:sz w:val="18"/>
        </w:rPr>
        <w:t>the </w:t>
      </w:r>
      <w:r>
        <w:rPr>
          <w:color w:val="231F20"/>
          <w:spacing w:val="-3"/>
          <w:w w:val="110"/>
          <w:sz w:val="18"/>
        </w:rPr>
        <w:t>Trinity, </w:t>
      </w:r>
      <w:r>
        <w:rPr>
          <w:color w:val="231F20"/>
          <w:w w:val="110"/>
          <w:sz w:val="18"/>
        </w:rPr>
        <w:t>the Cross, the Incarnation, the place of Scripture</w:t>
      </w:r>
      <w:r>
        <w:rPr>
          <w:color w:val="231F20"/>
          <w:spacing w:val="50"/>
          <w:w w:val="110"/>
          <w:sz w:val="18"/>
        </w:rPr>
        <w:t> </w:t>
      </w:r>
      <w:r>
        <w:rPr>
          <w:color w:val="231F20"/>
          <w:spacing w:val="-3"/>
          <w:w w:val="110"/>
          <w:sz w:val="18"/>
        </w:rPr>
        <w:t>etc).</w:t>
      </w:r>
    </w:p>
    <w:p>
      <w:pPr>
        <w:pStyle w:val="BodyText"/>
        <w:spacing w:before="6"/>
        <w:rPr>
          <w:sz w:val="13"/>
        </w:rPr>
      </w:pPr>
    </w:p>
    <w:p>
      <w:pPr>
        <w:pStyle w:val="ListParagraph"/>
        <w:numPr>
          <w:ilvl w:val="1"/>
          <w:numId w:val="89"/>
        </w:numPr>
        <w:tabs>
          <w:tab w:pos="1960" w:val="left" w:leader="none"/>
          <w:tab w:pos="1961" w:val="left" w:leader="none"/>
        </w:tabs>
        <w:spacing w:line="273" w:lineRule="auto" w:before="100" w:after="0"/>
        <w:ind w:left="1240" w:right="1394" w:firstLine="0"/>
        <w:jc w:val="left"/>
        <w:rPr>
          <w:sz w:val="18"/>
        </w:rPr>
      </w:pPr>
      <w:r>
        <w:rPr>
          <w:color w:val="231F20"/>
          <w:w w:val="110"/>
          <w:sz w:val="18"/>
        </w:rPr>
        <w:t>The first three of the series – Judaism (prepared by Jonathan </w:t>
      </w:r>
      <w:r>
        <w:rPr>
          <w:color w:val="231F20"/>
          <w:spacing w:val="-5"/>
          <w:w w:val="110"/>
          <w:sz w:val="18"/>
        </w:rPr>
        <w:t>Dean), </w:t>
      </w:r>
      <w:r>
        <w:rPr>
          <w:color w:val="231F20"/>
          <w:w w:val="110"/>
          <w:sz w:val="18"/>
        </w:rPr>
        <w:t>Islam (prepared by Peter Colwell) and Sikhism (prepared by John Parry) – are currently under production and we are grateful to the Doctrine, Prayer and Worship Committee for its willingness to add its comments and insights in due</w:t>
      </w:r>
      <w:r>
        <w:rPr>
          <w:color w:val="231F20"/>
          <w:spacing w:val="-29"/>
          <w:w w:val="110"/>
          <w:sz w:val="18"/>
        </w:rPr>
        <w:t> </w:t>
      </w:r>
      <w:r>
        <w:rPr>
          <w:color w:val="231F20"/>
          <w:w w:val="110"/>
          <w:sz w:val="18"/>
        </w:rPr>
        <w:t>course.</w:t>
      </w:r>
    </w:p>
    <w:p>
      <w:pPr>
        <w:pStyle w:val="BodyText"/>
        <w:spacing w:before="9"/>
        <w:rPr>
          <w:sz w:val="20"/>
        </w:rPr>
      </w:pPr>
    </w:p>
    <w:p>
      <w:pPr>
        <w:pStyle w:val="Heading9"/>
      </w:pPr>
      <w:r>
        <w:rPr>
          <w:color w:val="231F20"/>
          <w:w w:val="110"/>
        </w:rPr>
        <w:t>Islam and Diversity</w:t>
      </w:r>
    </w:p>
    <w:p>
      <w:pPr>
        <w:pStyle w:val="ListParagraph"/>
        <w:numPr>
          <w:ilvl w:val="1"/>
          <w:numId w:val="90"/>
        </w:numPr>
        <w:tabs>
          <w:tab w:pos="1960" w:val="left" w:leader="none"/>
          <w:tab w:pos="1961" w:val="left" w:leader="none"/>
        </w:tabs>
        <w:spacing w:line="273" w:lineRule="auto" w:before="258" w:after="0"/>
        <w:ind w:left="1240" w:right="1378" w:firstLine="0"/>
        <w:jc w:val="left"/>
        <w:rPr>
          <w:sz w:val="18"/>
        </w:rPr>
      </w:pPr>
      <w:r>
        <w:rPr>
          <w:color w:val="231F20"/>
          <w:w w:val="110"/>
          <w:sz w:val="18"/>
        </w:rPr>
        <w:t>Inevitably contemporary issues relating to Islam dominate our agenda. These include: the apparent growth of ‘radicalisation’ amongst British Muslims and the political response to </w:t>
      </w:r>
      <w:r>
        <w:rPr>
          <w:color w:val="231F20"/>
          <w:spacing w:val="-3"/>
          <w:w w:val="110"/>
          <w:sz w:val="18"/>
        </w:rPr>
        <w:t>this; </w:t>
      </w:r>
      <w:r>
        <w:rPr>
          <w:color w:val="231F20"/>
          <w:w w:val="110"/>
          <w:sz w:val="18"/>
        </w:rPr>
        <w:t>International events affecting Muslim countries and how those issues impact in our country; the tendency to ‘stereotype’ Muslims in varying </w:t>
      </w:r>
      <w:r>
        <w:rPr>
          <w:color w:val="231F20"/>
          <w:spacing w:val="-5"/>
          <w:w w:val="110"/>
          <w:sz w:val="18"/>
        </w:rPr>
        <w:t>ways; </w:t>
      </w:r>
      <w:r>
        <w:rPr>
          <w:color w:val="231F20"/>
          <w:w w:val="110"/>
          <w:sz w:val="18"/>
        </w:rPr>
        <w:t>the response of Christians to Britain’s Muslim</w:t>
      </w:r>
      <w:r>
        <w:rPr>
          <w:color w:val="231F20"/>
          <w:spacing w:val="-23"/>
          <w:w w:val="110"/>
          <w:sz w:val="18"/>
        </w:rPr>
        <w:t> </w:t>
      </w:r>
      <w:r>
        <w:rPr>
          <w:color w:val="231F20"/>
          <w:w w:val="110"/>
          <w:sz w:val="18"/>
        </w:rPr>
        <w:t>minority.</w:t>
      </w:r>
    </w:p>
    <w:p>
      <w:pPr>
        <w:spacing w:after="0" w:line="273" w:lineRule="auto"/>
        <w:jc w:val="left"/>
        <w:rPr>
          <w:sz w:val="18"/>
        </w:rPr>
        <w:sectPr>
          <w:headerReference w:type="default" r:id="rId209"/>
          <w:pgSz w:w="11910" w:h="16840"/>
          <w:pgMar w:header="0" w:footer="564" w:top="820" w:bottom="760" w:left="460" w:right="0"/>
        </w:sectPr>
      </w:pPr>
    </w:p>
    <w:p>
      <w:pPr>
        <w:spacing w:before="28"/>
        <w:ind w:left="0" w:right="1128" w:firstLine="0"/>
        <w:jc w:val="right"/>
        <w:rPr>
          <w:rFonts w:ascii="Eurostile Bold"/>
          <w:b/>
          <w:sz w:val="28"/>
        </w:rPr>
      </w:pPr>
      <w:r>
        <w:rPr>
          <w:rFonts w:ascii="Eurostile Bold"/>
          <w:b/>
          <w:color w:val="A7A9AC"/>
          <w:w w:val="85"/>
          <w:sz w:val="28"/>
        </w:rPr>
        <w:t>Inter Faith Relations</w:t>
      </w:r>
    </w:p>
    <w:p>
      <w:pPr>
        <w:pStyle w:val="BodyText"/>
        <w:spacing w:before="5"/>
        <w:rPr>
          <w:rFonts w:ascii="Eurostile Bold"/>
          <w:b/>
          <w:sz w:val="12"/>
        </w:rPr>
      </w:pPr>
    </w:p>
    <w:p>
      <w:pPr>
        <w:pStyle w:val="ListParagraph"/>
        <w:numPr>
          <w:ilvl w:val="1"/>
          <w:numId w:val="90"/>
        </w:numPr>
        <w:tabs>
          <w:tab w:pos="1393" w:val="left" w:leader="none"/>
          <w:tab w:pos="1394" w:val="left" w:leader="none"/>
        </w:tabs>
        <w:spacing w:line="273" w:lineRule="auto" w:before="100" w:after="0"/>
        <w:ind w:left="673" w:right="1415" w:firstLine="0"/>
        <w:jc w:val="left"/>
        <w:rPr>
          <w:sz w:val="18"/>
        </w:rPr>
      </w:pPr>
      <w:r>
        <w:rPr>
          <w:color w:val="231F20"/>
          <w:w w:val="110"/>
          <w:sz w:val="18"/>
        </w:rPr>
        <w:t>This subject is never as simple and straightforward as politicians and the media </w:t>
      </w:r>
      <w:r>
        <w:rPr>
          <w:color w:val="231F20"/>
          <w:spacing w:val="2"/>
          <w:w w:val="110"/>
          <w:sz w:val="18"/>
        </w:rPr>
        <w:t>portray </w:t>
      </w:r>
      <w:r>
        <w:rPr>
          <w:color w:val="231F20"/>
          <w:w w:val="110"/>
          <w:sz w:val="18"/>
        </w:rPr>
        <w:t>it. A significant problems is the way in which Islam is presented as if it were a monolith – either in pejorative terms (Islam as </w:t>
      </w:r>
      <w:r>
        <w:rPr>
          <w:color w:val="231F20"/>
          <w:spacing w:val="2"/>
          <w:w w:val="110"/>
          <w:sz w:val="18"/>
        </w:rPr>
        <w:t>‘the </w:t>
      </w:r>
      <w:r>
        <w:rPr>
          <w:color w:val="231F20"/>
          <w:w w:val="110"/>
          <w:sz w:val="18"/>
        </w:rPr>
        <w:t>enemy within’), or as a movement of ‘righteous anger’ that can be </w:t>
      </w:r>
      <w:r>
        <w:rPr>
          <w:color w:val="231F20"/>
          <w:spacing w:val="2"/>
          <w:w w:val="110"/>
          <w:sz w:val="18"/>
        </w:rPr>
        <w:t>recruited </w:t>
      </w:r>
      <w:r>
        <w:rPr>
          <w:color w:val="231F20"/>
          <w:w w:val="110"/>
          <w:sz w:val="18"/>
        </w:rPr>
        <w:t>to </w:t>
      </w:r>
      <w:r>
        <w:rPr>
          <w:color w:val="231F20"/>
          <w:spacing w:val="2"/>
          <w:w w:val="110"/>
          <w:sz w:val="18"/>
        </w:rPr>
        <w:t>serve </w:t>
      </w:r>
      <w:r>
        <w:rPr>
          <w:color w:val="231F20"/>
          <w:w w:val="110"/>
          <w:sz w:val="18"/>
        </w:rPr>
        <w:t>a particular political agenda. Both of </w:t>
      </w:r>
      <w:r>
        <w:rPr>
          <w:color w:val="231F20"/>
          <w:spacing w:val="2"/>
          <w:w w:val="110"/>
          <w:sz w:val="18"/>
        </w:rPr>
        <w:t>course</w:t>
      </w:r>
      <w:r>
        <w:rPr>
          <w:color w:val="231F20"/>
          <w:spacing w:val="73"/>
          <w:w w:val="110"/>
          <w:sz w:val="18"/>
        </w:rPr>
        <w:t> </w:t>
      </w:r>
      <w:r>
        <w:rPr>
          <w:color w:val="231F20"/>
          <w:w w:val="110"/>
          <w:sz w:val="18"/>
        </w:rPr>
        <w:t>contain elements of </w:t>
      </w:r>
      <w:r>
        <w:rPr>
          <w:i/>
          <w:color w:val="231F20"/>
          <w:w w:val="110"/>
          <w:sz w:val="18"/>
        </w:rPr>
        <w:t>Islamophobia </w:t>
      </w:r>
      <w:r>
        <w:rPr>
          <w:color w:val="231F20"/>
          <w:w w:val="110"/>
          <w:sz w:val="18"/>
        </w:rPr>
        <w:t>in that they use </w:t>
      </w:r>
      <w:r>
        <w:rPr>
          <w:color w:val="231F20"/>
          <w:spacing w:val="2"/>
          <w:w w:val="110"/>
          <w:sz w:val="18"/>
        </w:rPr>
        <w:t>stereotypes </w:t>
      </w:r>
      <w:r>
        <w:rPr>
          <w:color w:val="231F20"/>
          <w:w w:val="110"/>
          <w:sz w:val="18"/>
        </w:rPr>
        <w:t>that </w:t>
      </w:r>
      <w:r>
        <w:rPr>
          <w:color w:val="231F20"/>
          <w:spacing w:val="2"/>
          <w:w w:val="110"/>
          <w:sz w:val="18"/>
        </w:rPr>
        <w:t>distort </w:t>
      </w:r>
      <w:r>
        <w:rPr>
          <w:color w:val="231F20"/>
          <w:w w:val="110"/>
          <w:sz w:val="18"/>
        </w:rPr>
        <w:t>the picture of a religion that is at least as diverse as</w:t>
      </w:r>
      <w:r>
        <w:rPr>
          <w:color w:val="231F20"/>
          <w:spacing w:val="13"/>
          <w:w w:val="110"/>
          <w:sz w:val="18"/>
        </w:rPr>
        <w:t> </w:t>
      </w:r>
      <w:r>
        <w:rPr>
          <w:color w:val="231F20"/>
          <w:w w:val="110"/>
          <w:sz w:val="18"/>
        </w:rPr>
        <w:t>Christianity.</w:t>
      </w:r>
    </w:p>
    <w:p>
      <w:pPr>
        <w:pStyle w:val="BodyText"/>
        <w:spacing w:before="11"/>
        <w:rPr>
          <w:sz w:val="20"/>
        </w:rPr>
      </w:pPr>
    </w:p>
    <w:p>
      <w:pPr>
        <w:pStyle w:val="ListParagraph"/>
        <w:numPr>
          <w:ilvl w:val="1"/>
          <w:numId w:val="90"/>
        </w:numPr>
        <w:tabs>
          <w:tab w:pos="1393" w:val="left" w:leader="none"/>
          <w:tab w:pos="1394" w:val="left" w:leader="none"/>
        </w:tabs>
        <w:spacing w:line="273" w:lineRule="auto" w:before="0" w:after="0"/>
        <w:ind w:left="673" w:right="1529" w:firstLine="0"/>
        <w:jc w:val="left"/>
        <w:rPr>
          <w:sz w:val="18"/>
        </w:rPr>
      </w:pPr>
      <w:r>
        <w:rPr>
          <w:color w:val="231F20"/>
          <w:w w:val="110"/>
          <w:sz w:val="18"/>
        </w:rPr>
        <w:t>Some recent research on attitudes amongst British Muslims </w:t>
      </w:r>
      <w:r>
        <w:rPr>
          <w:color w:val="231F20"/>
          <w:spacing w:val="-3"/>
          <w:w w:val="110"/>
          <w:sz w:val="18"/>
        </w:rPr>
        <w:t>have </w:t>
      </w:r>
      <w:r>
        <w:rPr>
          <w:color w:val="231F20"/>
          <w:w w:val="110"/>
          <w:sz w:val="18"/>
        </w:rPr>
        <w:t>confirmed this complexity. “Living Apart Together” by the policy think tank “Policy Exchange” offers a very different picture of British Islam than is often presented to us in the </w:t>
      </w:r>
      <w:r>
        <w:rPr>
          <w:color w:val="231F20"/>
          <w:spacing w:val="-3"/>
          <w:w w:val="110"/>
          <w:sz w:val="18"/>
        </w:rPr>
        <w:t>media: </w:t>
      </w:r>
      <w:r>
        <w:rPr>
          <w:color w:val="231F20"/>
          <w:w w:val="110"/>
          <w:sz w:val="18"/>
        </w:rPr>
        <w:t>For example, 60% would prefer their children to attend a </w:t>
      </w:r>
      <w:r>
        <w:rPr>
          <w:color w:val="231F20"/>
          <w:spacing w:val="-3"/>
          <w:w w:val="110"/>
          <w:sz w:val="18"/>
        </w:rPr>
        <w:t>non-Islamic </w:t>
      </w:r>
      <w:r>
        <w:rPr>
          <w:color w:val="231F20"/>
          <w:w w:val="110"/>
          <w:sz w:val="18"/>
        </w:rPr>
        <w:t>school, </w:t>
      </w:r>
      <w:r>
        <w:rPr>
          <w:color w:val="231F20"/>
          <w:spacing w:val="-3"/>
          <w:w w:val="110"/>
          <w:sz w:val="18"/>
        </w:rPr>
        <w:t>62% </w:t>
      </w:r>
      <w:r>
        <w:rPr>
          <w:color w:val="231F20"/>
          <w:w w:val="110"/>
          <w:sz w:val="18"/>
        </w:rPr>
        <w:t>said that they</w:t>
      </w:r>
      <w:r>
        <w:rPr>
          <w:color w:val="231F20"/>
          <w:spacing w:val="-15"/>
          <w:w w:val="110"/>
          <w:sz w:val="18"/>
        </w:rPr>
        <w:t> </w:t>
      </w:r>
      <w:r>
        <w:rPr>
          <w:color w:val="231F20"/>
          <w:w w:val="110"/>
          <w:sz w:val="18"/>
        </w:rPr>
        <w:t>had</w:t>
      </w:r>
    </w:p>
    <w:p>
      <w:pPr>
        <w:pStyle w:val="BodyText"/>
        <w:spacing w:line="273" w:lineRule="auto" w:before="3"/>
        <w:ind w:left="673" w:right="1903"/>
      </w:pPr>
      <w:r>
        <w:rPr>
          <w:color w:val="231F20"/>
          <w:w w:val="110"/>
        </w:rPr>
        <w:t>as much in common with non-Muslims as they do with their fellow Muslims, 51% say that no Muslim institution truly represents their views, 84% saying they believe they are</w:t>
      </w:r>
    </w:p>
    <w:p>
      <w:pPr>
        <w:pStyle w:val="BodyText"/>
        <w:spacing w:line="273" w:lineRule="auto" w:before="1"/>
        <w:ind w:left="673" w:right="1593"/>
      </w:pPr>
      <w:r>
        <w:rPr>
          <w:color w:val="231F20"/>
          <w:w w:val="110"/>
        </w:rPr>
        <w:t>treated fairly in British society, with only 28% preferring to live under Shariah law and 7% expressing support for terrorism.</w:t>
      </w:r>
    </w:p>
    <w:p>
      <w:pPr>
        <w:pStyle w:val="BodyText"/>
        <w:spacing w:before="8"/>
        <w:rPr>
          <w:sz w:val="20"/>
        </w:rPr>
      </w:pPr>
    </w:p>
    <w:p>
      <w:pPr>
        <w:pStyle w:val="ListParagraph"/>
        <w:numPr>
          <w:ilvl w:val="1"/>
          <w:numId w:val="90"/>
        </w:numPr>
        <w:tabs>
          <w:tab w:pos="1393" w:val="left" w:leader="none"/>
          <w:tab w:pos="1394" w:val="left" w:leader="none"/>
        </w:tabs>
        <w:spacing w:line="273" w:lineRule="auto" w:before="0" w:after="0"/>
        <w:ind w:left="673" w:right="1484" w:firstLine="0"/>
        <w:jc w:val="left"/>
        <w:rPr>
          <w:sz w:val="18"/>
        </w:rPr>
      </w:pPr>
      <w:r>
        <w:rPr>
          <w:color w:val="231F20"/>
          <w:spacing w:val="-3"/>
          <w:w w:val="110"/>
          <w:sz w:val="18"/>
        </w:rPr>
        <w:t>We </w:t>
      </w:r>
      <w:r>
        <w:rPr>
          <w:color w:val="231F20"/>
          <w:w w:val="110"/>
          <w:sz w:val="18"/>
        </w:rPr>
        <w:t>believe that one of the biggest challenges for inter faith relations is to engage with religious communities in their complexity, </w:t>
      </w:r>
      <w:r>
        <w:rPr>
          <w:color w:val="231F20"/>
          <w:spacing w:val="2"/>
          <w:w w:val="110"/>
          <w:sz w:val="18"/>
        </w:rPr>
        <w:t>respecting </w:t>
      </w:r>
      <w:r>
        <w:rPr>
          <w:color w:val="231F20"/>
          <w:w w:val="110"/>
          <w:sz w:val="18"/>
        </w:rPr>
        <w:t>the immense diversity contained within them and to </w:t>
      </w:r>
      <w:r>
        <w:rPr>
          <w:color w:val="231F20"/>
          <w:spacing w:val="2"/>
          <w:w w:val="110"/>
          <w:sz w:val="18"/>
        </w:rPr>
        <w:t>resist </w:t>
      </w:r>
      <w:r>
        <w:rPr>
          <w:color w:val="231F20"/>
          <w:w w:val="110"/>
          <w:sz w:val="18"/>
        </w:rPr>
        <w:t>the stereotyping of the political </w:t>
      </w:r>
      <w:r>
        <w:rPr>
          <w:color w:val="231F20"/>
          <w:spacing w:val="3"/>
          <w:w w:val="110"/>
          <w:sz w:val="18"/>
        </w:rPr>
        <w:t>left </w:t>
      </w:r>
      <w:r>
        <w:rPr>
          <w:color w:val="231F20"/>
          <w:w w:val="110"/>
          <w:sz w:val="18"/>
        </w:rPr>
        <w:t>and</w:t>
      </w:r>
      <w:r>
        <w:rPr>
          <w:color w:val="231F20"/>
          <w:spacing w:val="38"/>
          <w:w w:val="110"/>
          <w:sz w:val="18"/>
        </w:rPr>
        <w:t> </w:t>
      </w:r>
      <w:r>
        <w:rPr>
          <w:color w:val="231F20"/>
          <w:w w:val="110"/>
          <w:sz w:val="18"/>
        </w:rPr>
        <w:t>right.</w:t>
      </w:r>
    </w:p>
    <w:p>
      <w:pPr>
        <w:pStyle w:val="BodyText"/>
        <w:spacing w:before="8"/>
        <w:rPr>
          <w:sz w:val="20"/>
        </w:rPr>
      </w:pPr>
    </w:p>
    <w:p>
      <w:pPr>
        <w:pStyle w:val="Heading9"/>
        <w:ind w:left="673"/>
      </w:pPr>
      <w:r>
        <w:rPr>
          <w:color w:val="231F20"/>
          <w:w w:val="110"/>
        </w:rPr>
        <w:t>Synod Advocates</w:t>
      </w:r>
    </w:p>
    <w:p>
      <w:pPr>
        <w:pStyle w:val="BodyText"/>
        <w:tabs>
          <w:tab w:pos="1393" w:val="left" w:leader="none"/>
        </w:tabs>
        <w:spacing w:line="273" w:lineRule="auto" w:before="258"/>
        <w:ind w:left="673" w:right="1413"/>
      </w:pPr>
      <w:r>
        <w:rPr>
          <w:color w:val="231F20"/>
          <w:spacing w:val="-6"/>
          <w:w w:val="110"/>
        </w:rPr>
        <w:t>3.1</w:t>
        <w:tab/>
      </w:r>
      <w:r>
        <w:rPr>
          <w:color w:val="231F20"/>
          <w:w w:val="110"/>
        </w:rPr>
        <w:t>There are now Inter Faith Advocates in just </w:t>
      </w:r>
      <w:r>
        <w:rPr>
          <w:color w:val="231F20"/>
          <w:spacing w:val="-3"/>
          <w:w w:val="110"/>
        </w:rPr>
        <w:t>over </w:t>
      </w:r>
      <w:r>
        <w:rPr>
          <w:color w:val="231F20"/>
          <w:w w:val="110"/>
        </w:rPr>
        <w:t>half of the </w:t>
      </w:r>
      <w:r>
        <w:rPr>
          <w:color w:val="231F20"/>
          <w:spacing w:val="-4"/>
          <w:w w:val="110"/>
        </w:rPr>
        <w:t>13 </w:t>
      </w:r>
      <w:r>
        <w:rPr>
          <w:color w:val="231F20"/>
          <w:w w:val="110"/>
        </w:rPr>
        <w:t>synods in the United Reformed Church. They fulfil a vital role in urging local churches to engage with inter faith related issues and to share concerns with churches and ministers. Although they </w:t>
      </w:r>
      <w:r>
        <w:rPr>
          <w:color w:val="231F20"/>
          <w:spacing w:val="-3"/>
          <w:w w:val="110"/>
        </w:rPr>
        <w:t>may </w:t>
      </w:r>
      <w:r>
        <w:rPr>
          <w:color w:val="231F20"/>
          <w:w w:val="110"/>
        </w:rPr>
        <w:t>not be ‘inter faith specialists’ as such, they can be a useful conduit between the local church and the Inter Faith Relations Committee. The Committee arranges a gathering of synod Advocates each </w:t>
      </w:r>
      <w:r>
        <w:rPr>
          <w:color w:val="231F20"/>
          <w:spacing w:val="-6"/>
          <w:w w:val="110"/>
        </w:rPr>
        <w:t>year. </w:t>
      </w:r>
      <w:r>
        <w:rPr>
          <w:color w:val="231F20"/>
          <w:w w:val="110"/>
        </w:rPr>
        <w:t>It is hoped that more synods will appoint an Advocate in the near</w:t>
      </w:r>
      <w:r>
        <w:rPr>
          <w:color w:val="231F20"/>
          <w:spacing w:val="-33"/>
          <w:w w:val="110"/>
        </w:rPr>
        <w:t> </w:t>
      </w:r>
      <w:r>
        <w:rPr>
          <w:color w:val="231F20"/>
          <w:w w:val="110"/>
        </w:rPr>
        <w:t>future.</w:t>
      </w:r>
    </w:p>
    <w:p>
      <w:pPr>
        <w:pStyle w:val="BodyText"/>
        <w:spacing w:before="10"/>
        <w:rPr>
          <w:sz w:val="20"/>
        </w:rPr>
      </w:pPr>
    </w:p>
    <w:p>
      <w:pPr>
        <w:pStyle w:val="Heading9"/>
        <w:ind w:left="673"/>
      </w:pPr>
      <w:r>
        <w:rPr>
          <w:color w:val="231F20"/>
          <w:w w:val="110"/>
        </w:rPr>
        <w:t>Ecumenical Working</w:t>
      </w:r>
    </w:p>
    <w:p>
      <w:pPr>
        <w:pStyle w:val="ListParagraph"/>
        <w:numPr>
          <w:ilvl w:val="1"/>
          <w:numId w:val="91"/>
        </w:numPr>
        <w:tabs>
          <w:tab w:pos="1393" w:val="left" w:leader="none"/>
          <w:tab w:pos="1394" w:val="left" w:leader="none"/>
        </w:tabs>
        <w:spacing w:line="273" w:lineRule="auto" w:before="258" w:after="0"/>
        <w:ind w:left="673" w:right="1435" w:firstLine="0"/>
        <w:jc w:val="left"/>
        <w:rPr>
          <w:sz w:val="18"/>
        </w:rPr>
      </w:pPr>
      <w:r>
        <w:rPr>
          <w:color w:val="231F20"/>
          <w:w w:val="110"/>
          <w:sz w:val="18"/>
        </w:rPr>
        <w:t>In </w:t>
      </w:r>
      <w:r>
        <w:rPr>
          <w:color w:val="231F20"/>
          <w:spacing w:val="2"/>
          <w:w w:val="110"/>
          <w:sz w:val="18"/>
        </w:rPr>
        <w:t>the United Kingdom </w:t>
      </w:r>
      <w:r>
        <w:rPr>
          <w:color w:val="231F20"/>
          <w:w w:val="110"/>
          <w:sz w:val="18"/>
        </w:rPr>
        <w:t>we </w:t>
      </w:r>
      <w:r>
        <w:rPr>
          <w:color w:val="231F20"/>
          <w:spacing w:val="2"/>
          <w:w w:val="110"/>
          <w:sz w:val="18"/>
        </w:rPr>
        <w:t>are </w:t>
      </w:r>
      <w:r>
        <w:rPr>
          <w:color w:val="231F20"/>
          <w:spacing w:val="3"/>
          <w:w w:val="110"/>
          <w:sz w:val="18"/>
        </w:rPr>
        <w:t>fortunate </w:t>
      </w:r>
      <w:r>
        <w:rPr>
          <w:color w:val="231F20"/>
          <w:w w:val="110"/>
          <w:sz w:val="18"/>
        </w:rPr>
        <w:t>that </w:t>
      </w:r>
      <w:r>
        <w:rPr>
          <w:color w:val="231F20"/>
          <w:spacing w:val="2"/>
          <w:w w:val="110"/>
          <w:sz w:val="18"/>
        </w:rPr>
        <w:t>so much inter faith work </w:t>
      </w:r>
      <w:r>
        <w:rPr>
          <w:color w:val="231F20"/>
          <w:w w:val="110"/>
          <w:sz w:val="18"/>
        </w:rPr>
        <w:t>by </w:t>
      </w:r>
      <w:r>
        <w:rPr>
          <w:color w:val="231F20"/>
          <w:spacing w:val="2"/>
          <w:w w:val="110"/>
          <w:sz w:val="18"/>
        </w:rPr>
        <w:t>the </w:t>
      </w:r>
      <w:r>
        <w:rPr>
          <w:color w:val="231F20"/>
          <w:spacing w:val="3"/>
          <w:w w:val="110"/>
          <w:sz w:val="18"/>
        </w:rPr>
        <w:t>churches </w:t>
      </w:r>
      <w:r>
        <w:rPr>
          <w:color w:val="231F20"/>
          <w:w w:val="110"/>
          <w:sz w:val="18"/>
        </w:rPr>
        <w:t>has </w:t>
      </w:r>
      <w:r>
        <w:rPr>
          <w:color w:val="231F20"/>
          <w:spacing w:val="3"/>
          <w:w w:val="110"/>
          <w:sz w:val="18"/>
        </w:rPr>
        <w:t>been </w:t>
      </w:r>
      <w:r>
        <w:rPr>
          <w:color w:val="231F20"/>
          <w:spacing w:val="2"/>
          <w:w w:val="110"/>
          <w:sz w:val="18"/>
        </w:rPr>
        <w:t>done </w:t>
      </w:r>
      <w:r>
        <w:rPr>
          <w:color w:val="231F20"/>
          <w:w w:val="110"/>
          <w:sz w:val="18"/>
        </w:rPr>
        <w:t>ecumenically. </w:t>
      </w:r>
      <w:r>
        <w:rPr>
          <w:color w:val="231F20"/>
          <w:spacing w:val="3"/>
          <w:w w:val="110"/>
          <w:sz w:val="18"/>
        </w:rPr>
        <w:t>The Churches Commission </w:t>
      </w:r>
      <w:r>
        <w:rPr>
          <w:color w:val="231F20"/>
          <w:spacing w:val="2"/>
          <w:w w:val="110"/>
          <w:sz w:val="18"/>
        </w:rPr>
        <w:t>for </w:t>
      </w:r>
      <w:r>
        <w:rPr>
          <w:color w:val="231F20"/>
          <w:w w:val="110"/>
          <w:sz w:val="18"/>
        </w:rPr>
        <w:t>Inter Faith </w:t>
      </w:r>
      <w:r>
        <w:rPr>
          <w:color w:val="231F20"/>
          <w:spacing w:val="2"/>
          <w:w w:val="110"/>
          <w:sz w:val="18"/>
        </w:rPr>
        <w:t>Relations</w:t>
      </w:r>
      <w:r>
        <w:rPr>
          <w:color w:val="231F20"/>
          <w:spacing w:val="73"/>
          <w:w w:val="110"/>
          <w:sz w:val="18"/>
        </w:rPr>
        <w:t> </w:t>
      </w:r>
      <w:r>
        <w:rPr>
          <w:color w:val="231F20"/>
          <w:w w:val="110"/>
          <w:sz w:val="18"/>
        </w:rPr>
        <w:t>(CTBI) has played an </w:t>
      </w:r>
      <w:r>
        <w:rPr>
          <w:color w:val="231F20"/>
          <w:spacing w:val="3"/>
          <w:w w:val="110"/>
          <w:sz w:val="18"/>
        </w:rPr>
        <w:t>important role </w:t>
      </w:r>
      <w:r>
        <w:rPr>
          <w:color w:val="231F20"/>
          <w:w w:val="110"/>
          <w:sz w:val="18"/>
        </w:rPr>
        <w:t>in this </w:t>
      </w:r>
      <w:r>
        <w:rPr>
          <w:color w:val="231F20"/>
          <w:spacing w:val="2"/>
          <w:w w:val="110"/>
          <w:sz w:val="18"/>
        </w:rPr>
        <w:t>since the </w:t>
      </w:r>
      <w:r>
        <w:rPr>
          <w:color w:val="231F20"/>
          <w:w w:val="110"/>
          <w:sz w:val="18"/>
        </w:rPr>
        <w:t>days of </w:t>
      </w:r>
      <w:r>
        <w:rPr>
          <w:color w:val="231F20"/>
          <w:spacing w:val="2"/>
          <w:w w:val="110"/>
          <w:sz w:val="18"/>
        </w:rPr>
        <w:t>the </w:t>
      </w:r>
      <w:r>
        <w:rPr>
          <w:color w:val="231F20"/>
          <w:spacing w:val="3"/>
          <w:w w:val="110"/>
          <w:sz w:val="18"/>
        </w:rPr>
        <w:t>British </w:t>
      </w:r>
      <w:r>
        <w:rPr>
          <w:color w:val="231F20"/>
          <w:spacing w:val="2"/>
          <w:w w:val="110"/>
          <w:sz w:val="18"/>
        </w:rPr>
        <w:t>Council </w:t>
      </w:r>
      <w:r>
        <w:rPr>
          <w:color w:val="231F20"/>
          <w:w w:val="110"/>
          <w:sz w:val="18"/>
        </w:rPr>
        <w:t>of  </w:t>
      </w:r>
      <w:r>
        <w:rPr>
          <w:color w:val="231F20"/>
          <w:spacing w:val="3"/>
          <w:w w:val="110"/>
          <w:sz w:val="18"/>
        </w:rPr>
        <w:t>Churches </w:t>
      </w:r>
      <w:r>
        <w:rPr>
          <w:color w:val="231F20"/>
          <w:w w:val="110"/>
          <w:sz w:val="18"/>
        </w:rPr>
        <w:t>and is </w:t>
      </w:r>
      <w:r>
        <w:rPr>
          <w:color w:val="231F20"/>
          <w:spacing w:val="2"/>
          <w:w w:val="110"/>
          <w:sz w:val="18"/>
        </w:rPr>
        <w:t>the </w:t>
      </w:r>
      <w:r>
        <w:rPr>
          <w:color w:val="231F20"/>
          <w:spacing w:val="3"/>
          <w:w w:val="110"/>
          <w:sz w:val="18"/>
        </w:rPr>
        <w:t>principal forum </w:t>
      </w:r>
      <w:r>
        <w:rPr>
          <w:color w:val="231F20"/>
          <w:w w:val="110"/>
          <w:sz w:val="18"/>
        </w:rPr>
        <w:t>in </w:t>
      </w:r>
      <w:r>
        <w:rPr>
          <w:color w:val="231F20"/>
          <w:spacing w:val="2"/>
          <w:w w:val="110"/>
          <w:sz w:val="18"/>
        </w:rPr>
        <w:t>which the United </w:t>
      </w:r>
      <w:r>
        <w:rPr>
          <w:color w:val="231F20"/>
          <w:spacing w:val="3"/>
          <w:w w:val="110"/>
          <w:sz w:val="18"/>
        </w:rPr>
        <w:t>Reformed Church </w:t>
      </w:r>
      <w:r>
        <w:rPr>
          <w:color w:val="231F20"/>
          <w:spacing w:val="2"/>
          <w:w w:val="110"/>
          <w:sz w:val="18"/>
        </w:rPr>
        <w:t>engages </w:t>
      </w:r>
      <w:r>
        <w:rPr>
          <w:color w:val="231F20"/>
          <w:spacing w:val="3"/>
          <w:w w:val="110"/>
          <w:sz w:val="18"/>
        </w:rPr>
        <w:t>ecumenically </w:t>
      </w:r>
      <w:r>
        <w:rPr>
          <w:color w:val="231F20"/>
          <w:w w:val="110"/>
          <w:sz w:val="18"/>
        </w:rPr>
        <w:t>on </w:t>
      </w:r>
      <w:r>
        <w:rPr>
          <w:color w:val="231F20"/>
          <w:spacing w:val="2"/>
          <w:w w:val="110"/>
          <w:sz w:val="18"/>
        </w:rPr>
        <w:t>inter faith</w:t>
      </w:r>
      <w:r>
        <w:rPr>
          <w:color w:val="231F20"/>
          <w:spacing w:val="15"/>
          <w:w w:val="110"/>
          <w:sz w:val="18"/>
        </w:rPr>
        <w:t> </w:t>
      </w:r>
      <w:r>
        <w:rPr>
          <w:color w:val="231F20"/>
          <w:spacing w:val="3"/>
          <w:w w:val="110"/>
          <w:sz w:val="18"/>
        </w:rPr>
        <w:t>issues.</w:t>
      </w:r>
    </w:p>
    <w:p>
      <w:pPr>
        <w:pStyle w:val="BodyText"/>
        <w:spacing w:before="10"/>
        <w:rPr>
          <w:sz w:val="20"/>
        </w:rPr>
      </w:pPr>
    </w:p>
    <w:p>
      <w:pPr>
        <w:pStyle w:val="ListParagraph"/>
        <w:numPr>
          <w:ilvl w:val="1"/>
          <w:numId w:val="91"/>
        </w:numPr>
        <w:tabs>
          <w:tab w:pos="1393" w:val="left" w:leader="none"/>
          <w:tab w:pos="1394" w:val="left" w:leader="none"/>
        </w:tabs>
        <w:spacing w:line="273" w:lineRule="auto" w:before="0" w:after="0"/>
        <w:ind w:left="673" w:right="1452" w:firstLine="0"/>
        <w:jc w:val="left"/>
        <w:rPr>
          <w:sz w:val="18"/>
        </w:rPr>
      </w:pPr>
      <w:r>
        <w:rPr>
          <w:color w:val="231F20"/>
          <w:w w:val="110"/>
          <w:sz w:val="18"/>
        </w:rPr>
        <w:t>Other forms of ecumenical working are also vital. In some </w:t>
      </w:r>
      <w:r>
        <w:rPr>
          <w:color w:val="231F20"/>
          <w:spacing w:val="2"/>
          <w:w w:val="110"/>
          <w:sz w:val="18"/>
        </w:rPr>
        <w:t>cases </w:t>
      </w:r>
      <w:r>
        <w:rPr>
          <w:color w:val="231F20"/>
          <w:w w:val="110"/>
          <w:sz w:val="18"/>
        </w:rPr>
        <w:t>ecumenical sharing is in the form of other churches being invited to participate in the initiative of another. The newly formed Christian-Muslim Forum for England, under the patronage of the Archbishop  of</w:t>
      </w:r>
      <w:r>
        <w:rPr>
          <w:color w:val="231F20"/>
          <w:spacing w:val="7"/>
          <w:w w:val="110"/>
          <w:sz w:val="18"/>
        </w:rPr>
        <w:t> </w:t>
      </w:r>
      <w:r>
        <w:rPr>
          <w:color w:val="231F20"/>
          <w:w w:val="110"/>
          <w:sz w:val="18"/>
        </w:rPr>
        <w:t>Canterbury,</w:t>
      </w:r>
      <w:r>
        <w:rPr>
          <w:color w:val="231F20"/>
          <w:spacing w:val="7"/>
          <w:w w:val="110"/>
          <w:sz w:val="18"/>
        </w:rPr>
        <w:t> </w:t>
      </w:r>
      <w:r>
        <w:rPr>
          <w:color w:val="231F20"/>
          <w:w w:val="110"/>
          <w:sz w:val="18"/>
        </w:rPr>
        <w:t>is</w:t>
      </w:r>
      <w:r>
        <w:rPr>
          <w:color w:val="231F20"/>
          <w:spacing w:val="8"/>
          <w:w w:val="110"/>
          <w:sz w:val="18"/>
        </w:rPr>
        <w:t> </w:t>
      </w:r>
      <w:r>
        <w:rPr>
          <w:color w:val="231F20"/>
          <w:w w:val="110"/>
          <w:sz w:val="18"/>
        </w:rPr>
        <w:t>one</w:t>
      </w:r>
      <w:r>
        <w:rPr>
          <w:color w:val="231F20"/>
          <w:spacing w:val="7"/>
          <w:w w:val="110"/>
          <w:sz w:val="18"/>
        </w:rPr>
        <w:t> </w:t>
      </w:r>
      <w:r>
        <w:rPr>
          <w:color w:val="231F20"/>
          <w:w w:val="110"/>
          <w:sz w:val="18"/>
        </w:rPr>
        <w:t>of</w:t>
      </w:r>
      <w:r>
        <w:rPr>
          <w:color w:val="231F20"/>
          <w:spacing w:val="8"/>
          <w:w w:val="110"/>
          <w:sz w:val="18"/>
        </w:rPr>
        <w:t> </w:t>
      </w:r>
      <w:r>
        <w:rPr>
          <w:color w:val="231F20"/>
          <w:w w:val="110"/>
          <w:sz w:val="18"/>
        </w:rPr>
        <w:t>the</w:t>
      </w:r>
      <w:r>
        <w:rPr>
          <w:color w:val="231F20"/>
          <w:spacing w:val="7"/>
          <w:w w:val="110"/>
          <w:sz w:val="18"/>
        </w:rPr>
        <w:t> </w:t>
      </w:r>
      <w:r>
        <w:rPr>
          <w:color w:val="231F20"/>
          <w:w w:val="110"/>
          <w:sz w:val="18"/>
        </w:rPr>
        <w:t>most</w:t>
      </w:r>
      <w:r>
        <w:rPr>
          <w:color w:val="231F20"/>
          <w:spacing w:val="8"/>
          <w:w w:val="110"/>
          <w:sz w:val="18"/>
        </w:rPr>
        <w:t> </w:t>
      </w:r>
      <w:r>
        <w:rPr>
          <w:color w:val="231F20"/>
          <w:w w:val="110"/>
          <w:sz w:val="18"/>
        </w:rPr>
        <w:t>significant</w:t>
      </w:r>
      <w:r>
        <w:rPr>
          <w:color w:val="231F20"/>
          <w:spacing w:val="7"/>
          <w:w w:val="110"/>
          <w:sz w:val="18"/>
        </w:rPr>
        <w:t> </w:t>
      </w:r>
      <w:r>
        <w:rPr>
          <w:color w:val="231F20"/>
          <w:w w:val="110"/>
          <w:sz w:val="18"/>
        </w:rPr>
        <w:t>developments</w:t>
      </w:r>
      <w:r>
        <w:rPr>
          <w:color w:val="231F20"/>
          <w:spacing w:val="8"/>
          <w:w w:val="110"/>
          <w:sz w:val="18"/>
        </w:rPr>
        <w:t> </w:t>
      </w:r>
      <w:r>
        <w:rPr>
          <w:color w:val="231F20"/>
          <w:w w:val="110"/>
          <w:sz w:val="18"/>
        </w:rPr>
        <w:t>in</w:t>
      </w:r>
      <w:r>
        <w:rPr>
          <w:color w:val="231F20"/>
          <w:spacing w:val="7"/>
          <w:w w:val="110"/>
          <w:sz w:val="18"/>
        </w:rPr>
        <w:t> </w:t>
      </w:r>
      <w:r>
        <w:rPr>
          <w:color w:val="231F20"/>
          <w:w w:val="110"/>
          <w:sz w:val="18"/>
        </w:rPr>
        <w:t>recent</w:t>
      </w:r>
      <w:r>
        <w:rPr>
          <w:color w:val="231F20"/>
          <w:spacing w:val="8"/>
          <w:w w:val="110"/>
          <w:sz w:val="18"/>
        </w:rPr>
        <w:t> </w:t>
      </w:r>
      <w:r>
        <w:rPr>
          <w:color w:val="231F20"/>
          <w:w w:val="110"/>
          <w:sz w:val="18"/>
        </w:rPr>
        <w:t>years</w:t>
      </w:r>
      <w:r>
        <w:rPr>
          <w:color w:val="231F20"/>
          <w:spacing w:val="7"/>
          <w:w w:val="110"/>
          <w:sz w:val="18"/>
        </w:rPr>
        <w:t> </w:t>
      </w:r>
      <w:r>
        <w:rPr>
          <w:color w:val="231F20"/>
          <w:w w:val="110"/>
          <w:sz w:val="18"/>
        </w:rPr>
        <w:t>and</w:t>
      </w:r>
      <w:r>
        <w:rPr>
          <w:color w:val="231F20"/>
          <w:spacing w:val="8"/>
          <w:w w:val="110"/>
          <w:sz w:val="18"/>
        </w:rPr>
        <w:t> </w:t>
      </w:r>
      <w:r>
        <w:rPr>
          <w:color w:val="231F20"/>
          <w:w w:val="110"/>
          <w:sz w:val="18"/>
        </w:rPr>
        <w:t>its</w:t>
      </w:r>
      <w:r>
        <w:rPr>
          <w:color w:val="231F20"/>
          <w:spacing w:val="7"/>
          <w:w w:val="110"/>
          <w:sz w:val="18"/>
        </w:rPr>
        <w:t> </w:t>
      </w:r>
      <w:r>
        <w:rPr>
          <w:color w:val="231F20"/>
          <w:w w:val="110"/>
          <w:sz w:val="18"/>
        </w:rPr>
        <w:t>work</w:t>
      </w:r>
    </w:p>
    <w:p>
      <w:pPr>
        <w:pStyle w:val="BodyText"/>
        <w:spacing w:line="273" w:lineRule="auto" w:before="3"/>
        <w:ind w:left="673" w:right="1593"/>
      </w:pPr>
      <w:r>
        <w:rPr>
          <w:color w:val="231F20"/>
          <w:w w:val="110"/>
        </w:rPr>
        <w:t>in Christian-Muslim relations is to be commended to all churches. We look forward with anticipation to the possibility of a similar forum emerging between Christians and Hindus. The Council for Christians and Jews remains one of the most effective inter faith initiatives, supported ecumenically by the churches.</w:t>
      </w:r>
    </w:p>
    <w:p>
      <w:pPr>
        <w:pStyle w:val="BodyText"/>
        <w:spacing w:before="9"/>
        <w:rPr>
          <w:sz w:val="20"/>
        </w:rPr>
      </w:pPr>
    </w:p>
    <w:p>
      <w:pPr>
        <w:pStyle w:val="ListParagraph"/>
        <w:numPr>
          <w:ilvl w:val="1"/>
          <w:numId w:val="91"/>
        </w:numPr>
        <w:tabs>
          <w:tab w:pos="1393" w:val="left" w:leader="none"/>
          <w:tab w:pos="1394" w:val="left" w:leader="none"/>
        </w:tabs>
        <w:spacing w:line="273" w:lineRule="auto" w:before="0" w:after="0"/>
        <w:ind w:left="673" w:right="1488" w:firstLine="0"/>
        <w:jc w:val="left"/>
        <w:rPr>
          <w:sz w:val="18"/>
        </w:rPr>
      </w:pPr>
      <w:r>
        <w:rPr>
          <w:color w:val="231F20"/>
          <w:w w:val="110"/>
          <w:sz w:val="18"/>
        </w:rPr>
        <w:t>For the last three years the United Reformed Church Committee has been exploring closer working arrangements with the Methodist Inter Faith Committee. Both Committees have now agreed to merge and become a “Methodist-URC Inter Faith Reference Group” which will be able to pool the considerable </w:t>
      </w:r>
      <w:r>
        <w:rPr>
          <w:color w:val="231F20"/>
          <w:spacing w:val="2"/>
          <w:w w:val="110"/>
          <w:sz w:val="18"/>
        </w:rPr>
        <w:t>expertise </w:t>
      </w:r>
      <w:r>
        <w:rPr>
          <w:color w:val="231F20"/>
          <w:w w:val="110"/>
          <w:sz w:val="18"/>
        </w:rPr>
        <w:t>of both</w:t>
      </w:r>
      <w:r>
        <w:rPr>
          <w:color w:val="231F20"/>
          <w:spacing w:val="37"/>
          <w:w w:val="110"/>
          <w:sz w:val="18"/>
        </w:rPr>
        <w:t> </w:t>
      </w:r>
      <w:r>
        <w:rPr>
          <w:color w:val="231F20"/>
          <w:w w:val="110"/>
          <w:sz w:val="18"/>
        </w:rPr>
        <w:t>churches.</w:t>
      </w:r>
    </w:p>
    <w:p>
      <w:pPr>
        <w:pStyle w:val="BodyText"/>
        <w:spacing w:before="9"/>
        <w:rPr>
          <w:sz w:val="20"/>
        </w:rPr>
      </w:pPr>
    </w:p>
    <w:p>
      <w:pPr>
        <w:pStyle w:val="Heading9"/>
        <w:ind w:left="673"/>
      </w:pPr>
      <w:r>
        <w:rPr>
          <w:color w:val="231F20"/>
          <w:w w:val="110"/>
        </w:rPr>
        <w:t>Developments with the Committee</w:t>
      </w:r>
    </w:p>
    <w:p>
      <w:pPr>
        <w:pStyle w:val="ListParagraph"/>
        <w:numPr>
          <w:ilvl w:val="1"/>
          <w:numId w:val="92"/>
        </w:numPr>
        <w:tabs>
          <w:tab w:pos="1393" w:val="left" w:leader="none"/>
          <w:tab w:pos="1394" w:val="left" w:leader="none"/>
        </w:tabs>
        <w:spacing w:line="273" w:lineRule="auto" w:before="258" w:after="0"/>
        <w:ind w:left="673" w:right="1554" w:firstLine="0"/>
        <w:jc w:val="left"/>
        <w:rPr>
          <w:sz w:val="18"/>
        </w:rPr>
      </w:pPr>
      <w:r>
        <w:rPr>
          <w:color w:val="231F20"/>
          <w:w w:val="110"/>
          <w:sz w:val="18"/>
        </w:rPr>
        <w:t>The Revd Dr John </w:t>
      </w:r>
      <w:r>
        <w:rPr>
          <w:color w:val="231F20"/>
          <w:spacing w:val="2"/>
          <w:w w:val="110"/>
          <w:sz w:val="18"/>
        </w:rPr>
        <w:t>Parry </w:t>
      </w:r>
      <w:r>
        <w:rPr>
          <w:color w:val="231F20"/>
          <w:w w:val="110"/>
          <w:sz w:val="18"/>
        </w:rPr>
        <w:t>stood down as Convener during the past </w:t>
      </w:r>
      <w:r>
        <w:rPr>
          <w:color w:val="231F20"/>
          <w:spacing w:val="-4"/>
          <w:w w:val="110"/>
          <w:sz w:val="18"/>
        </w:rPr>
        <w:t>year. </w:t>
      </w:r>
      <w:r>
        <w:rPr>
          <w:color w:val="231F20"/>
          <w:w w:val="110"/>
          <w:sz w:val="18"/>
        </w:rPr>
        <w:t>John’s contribution to inter faith advocacy within the United Reformed Church has been immense both during his time at Southall in West London and at </w:t>
      </w:r>
      <w:r>
        <w:rPr>
          <w:color w:val="231F20"/>
          <w:spacing w:val="2"/>
          <w:w w:val="110"/>
          <w:sz w:val="18"/>
        </w:rPr>
        <w:t>Northern </w:t>
      </w:r>
      <w:r>
        <w:rPr>
          <w:color w:val="231F20"/>
          <w:w w:val="110"/>
          <w:sz w:val="18"/>
        </w:rPr>
        <w:t>College and the United Reformed Church is in his debt for all that he done in the </w:t>
      </w:r>
      <w:r>
        <w:rPr>
          <w:color w:val="231F20"/>
          <w:spacing w:val="2"/>
          <w:w w:val="110"/>
          <w:sz w:val="18"/>
        </w:rPr>
        <w:t>service </w:t>
      </w:r>
      <w:r>
        <w:rPr>
          <w:color w:val="231F20"/>
          <w:w w:val="110"/>
          <w:sz w:val="18"/>
        </w:rPr>
        <w:t>of the</w:t>
      </w:r>
      <w:r>
        <w:rPr>
          <w:color w:val="231F20"/>
          <w:spacing w:val="68"/>
          <w:w w:val="110"/>
          <w:sz w:val="18"/>
        </w:rPr>
        <w:t> </w:t>
      </w:r>
      <w:r>
        <w:rPr>
          <w:color w:val="231F20"/>
          <w:w w:val="110"/>
          <w:sz w:val="18"/>
        </w:rPr>
        <w:t>church.</w:t>
      </w:r>
    </w:p>
    <w:p>
      <w:pPr>
        <w:spacing w:after="0" w:line="273" w:lineRule="auto"/>
        <w:jc w:val="left"/>
        <w:rPr>
          <w:sz w:val="18"/>
        </w:rPr>
        <w:sectPr>
          <w:headerReference w:type="even" r:id="rId210"/>
          <w:footerReference w:type="even" r:id="rId211"/>
          <w:footerReference w:type="default" r:id="rId212"/>
          <w:pgSz w:w="11910" w:h="16840"/>
          <w:pgMar w:header="0" w:footer="564" w:top="460" w:bottom="760" w:left="460" w:right="0"/>
          <w:pgNumType w:start="146"/>
        </w:sectPr>
      </w:pPr>
    </w:p>
    <w:p>
      <w:pPr>
        <w:numPr>
          <w:ilvl w:val="2"/>
          <w:numId w:val="92"/>
        </w:numPr>
        <w:tabs>
          <w:tab w:pos="2097" w:val="left" w:leader="none"/>
          <w:tab w:pos="2098" w:val="left" w:leader="none"/>
        </w:tabs>
        <w:spacing w:before="80"/>
        <w:ind w:left="2097" w:right="0" w:hanging="858"/>
        <w:jc w:val="left"/>
        <w:rPr>
          <w:b/>
          <w:sz w:val="18"/>
        </w:rPr>
      </w:pPr>
      <w:r>
        <w:rPr/>
        <w:pict>
          <v:shape style="position:absolute;margin-left:507.100189pt;margin-top:-4.056541pt;width:68.850pt;height:458.25pt;mso-position-horizontal-relative:page;mso-position-vertical-relative:paragraph;z-index:251830272" type="#_x0000_t202" filled="false" stroked="false">
            <v:textbox inset="0,0,0,0" style="layout-flow:vertical">
              <w:txbxContent>
                <w:p>
                  <w:pPr>
                    <w:spacing w:line="989" w:lineRule="exact" w:before="20"/>
                    <w:ind w:left="20" w:right="0" w:firstLine="0"/>
                    <w:jc w:val="left"/>
                    <w:rPr>
                      <w:b/>
                      <w:sz w:val="88"/>
                    </w:rPr>
                  </w:pPr>
                  <w:r>
                    <w:rPr>
                      <w:b/>
                      <w:color w:val="231F20"/>
                      <w:sz w:val="88"/>
                    </w:rPr>
                    <w:t>Life &amp; Witness</w:t>
                  </w:r>
                </w:p>
                <w:p>
                  <w:pPr>
                    <w:spacing w:line="365" w:lineRule="exact" w:before="0"/>
                    <w:ind w:left="5367"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Overview</w:t>
      </w:r>
    </w:p>
    <w:p>
      <w:pPr>
        <w:pStyle w:val="BodyText"/>
        <w:spacing w:line="273" w:lineRule="auto" w:before="31"/>
        <w:ind w:left="1240" w:right="2634"/>
      </w:pPr>
      <w:r>
        <w:rPr>
          <w:color w:val="231F20"/>
          <w:w w:val="110"/>
        </w:rPr>
        <w:t>Under the Catch the Vision proposals on </w:t>
      </w:r>
      <w:r>
        <w:rPr>
          <w:color w:val="231F20"/>
          <w:spacing w:val="2"/>
          <w:w w:val="110"/>
        </w:rPr>
        <w:t>structures </w:t>
      </w:r>
      <w:r>
        <w:rPr>
          <w:color w:val="231F20"/>
          <w:w w:val="110"/>
        </w:rPr>
        <w:t>that were agreed by the 2006 General Assembly it is anticipated that the Life and Witness Committee’s</w:t>
      </w:r>
      <w:r>
        <w:rPr>
          <w:color w:val="231F20"/>
          <w:spacing w:val="11"/>
          <w:w w:val="110"/>
        </w:rPr>
        <w:t> </w:t>
      </w:r>
      <w:r>
        <w:rPr>
          <w:color w:val="231F20"/>
          <w:w w:val="110"/>
        </w:rPr>
        <w:t>work</w:t>
      </w:r>
      <w:r>
        <w:rPr>
          <w:color w:val="231F20"/>
          <w:spacing w:val="12"/>
          <w:w w:val="110"/>
        </w:rPr>
        <w:t> </w:t>
      </w:r>
      <w:r>
        <w:rPr>
          <w:color w:val="231F20"/>
          <w:w w:val="110"/>
        </w:rPr>
        <w:t>will</w:t>
      </w:r>
      <w:r>
        <w:rPr>
          <w:color w:val="231F20"/>
          <w:spacing w:val="12"/>
          <w:w w:val="110"/>
        </w:rPr>
        <w:t> </w:t>
      </w:r>
      <w:r>
        <w:rPr>
          <w:color w:val="231F20"/>
          <w:w w:val="110"/>
        </w:rPr>
        <w:t>continue</w:t>
      </w:r>
      <w:r>
        <w:rPr>
          <w:color w:val="231F20"/>
          <w:spacing w:val="12"/>
          <w:w w:val="110"/>
        </w:rPr>
        <w:t> </w:t>
      </w:r>
      <w:r>
        <w:rPr>
          <w:color w:val="231F20"/>
          <w:w w:val="110"/>
        </w:rPr>
        <w:t>within</w:t>
      </w:r>
      <w:r>
        <w:rPr>
          <w:color w:val="231F20"/>
          <w:spacing w:val="12"/>
          <w:w w:val="110"/>
        </w:rPr>
        <w:t> </w:t>
      </w:r>
      <w:r>
        <w:rPr>
          <w:color w:val="231F20"/>
          <w:w w:val="110"/>
        </w:rPr>
        <w:t>new</w:t>
      </w:r>
      <w:r>
        <w:rPr>
          <w:color w:val="231F20"/>
          <w:spacing w:val="11"/>
          <w:w w:val="110"/>
        </w:rPr>
        <w:t> </w:t>
      </w:r>
      <w:r>
        <w:rPr>
          <w:color w:val="231F20"/>
          <w:spacing w:val="2"/>
          <w:w w:val="110"/>
        </w:rPr>
        <w:t>structures</w:t>
      </w:r>
      <w:r>
        <w:rPr>
          <w:color w:val="231F20"/>
          <w:spacing w:val="12"/>
          <w:w w:val="110"/>
        </w:rPr>
        <w:t> </w:t>
      </w:r>
      <w:r>
        <w:rPr>
          <w:color w:val="231F20"/>
          <w:w w:val="110"/>
        </w:rPr>
        <w:t>but</w:t>
      </w:r>
      <w:r>
        <w:rPr>
          <w:color w:val="231F20"/>
          <w:spacing w:val="12"/>
          <w:w w:val="110"/>
        </w:rPr>
        <w:t> </w:t>
      </w:r>
      <w:r>
        <w:rPr>
          <w:color w:val="231F20"/>
          <w:w w:val="110"/>
        </w:rPr>
        <w:t>that</w:t>
      </w:r>
      <w:r>
        <w:rPr>
          <w:color w:val="231F20"/>
          <w:spacing w:val="12"/>
          <w:w w:val="110"/>
        </w:rPr>
        <w:t> </w:t>
      </w:r>
      <w:r>
        <w:rPr>
          <w:color w:val="231F20"/>
          <w:w w:val="110"/>
        </w:rPr>
        <w:t>the</w:t>
      </w:r>
      <w:r>
        <w:rPr>
          <w:color w:val="231F20"/>
          <w:spacing w:val="12"/>
          <w:w w:val="110"/>
        </w:rPr>
        <w:t> </w:t>
      </w:r>
      <w:r>
        <w:rPr>
          <w:color w:val="231F20"/>
          <w:w w:val="110"/>
        </w:rPr>
        <w:t>present</w:t>
      </w:r>
    </w:p>
    <w:p>
      <w:pPr>
        <w:pStyle w:val="BodyText"/>
        <w:spacing w:line="273" w:lineRule="auto" w:before="2"/>
        <w:ind w:left="1240" w:right="2152"/>
      </w:pPr>
      <w:r>
        <w:rPr>
          <w:color w:val="231F20"/>
          <w:w w:val="110"/>
        </w:rPr>
        <w:t>committee will cease to exist. The committee </w:t>
      </w:r>
      <w:r>
        <w:rPr>
          <w:color w:val="231F20"/>
          <w:spacing w:val="2"/>
          <w:w w:val="110"/>
        </w:rPr>
        <w:t>therefore </w:t>
      </w:r>
      <w:r>
        <w:rPr>
          <w:color w:val="231F20"/>
          <w:w w:val="110"/>
        </w:rPr>
        <w:t>decided to prioritise    its agenda to consider how the </w:t>
      </w:r>
      <w:r>
        <w:rPr>
          <w:color w:val="231F20"/>
          <w:spacing w:val="2"/>
          <w:w w:val="110"/>
        </w:rPr>
        <w:t>structures </w:t>
      </w:r>
      <w:r>
        <w:rPr>
          <w:color w:val="231F20"/>
          <w:w w:val="110"/>
        </w:rPr>
        <w:t>of the local church help or hinder mission. </w:t>
      </w:r>
      <w:r>
        <w:rPr>
          <w:color w:val="231F20"/>
          <w:spacing w:val="-3"/>
          <w:w w:val="110"/>
        </w:rPr>
        <w:t>We </w:t>
      </w:r>
      <w:r>
        <w:rPr>
          <w:color w:val="231F20"/>
          <w:w w:val="110"/>
        </w:rPr>
        <w:t>believe this to be of vital </w:t>
      </w:r>
      <w:r>
        <w:rPr>
          <w:color w:val="231F20"/>
          <w:spacing w:val="2"/>
          <w:w w:val="110"/>
        </w:rPr>
        <w:t>importance </w:t>
      </w:r>
      <w:r>
        <w:rPr>
          <w:color w:val="231F20"/>
          <w:w w:val="110"/>
        </w:rPr>
        <w:t>and must not be lost in  future restructuring. Life and Witness’s particular concern is the life of the    local church and God’s mission, and so we have increasingly been working in consultation</w:t>
      </w:r>
      <w:r>
        <w:rPr>
          <w:color w:val="231F20"/>
          <w:spacing w:val="17"/>
          <w:w w:val="110"/>
        </w:rPr>
        <w:t> </w:t>
      </w:r>
      <w:r>
        <w:rPr>
          <w:color w:val="231F20"/>
          <w:w w:val="110"/>
        </w:rPr>
        <w:t>with</w:t>
      </w:r>
      <w:r>
        <w:rPr>
          <w:color w:val="231F20"/>
          <w:spacing w:val="18"/>
          <w:w w:val="110"/>
        </w:rPr>
        <w:t> </w:t>
      </w:r>
      <w:r>
        <w:rPr>
          <w:color w:val="231F20"/>
          <w:w w:val="110"/>
        </w:rPr>
        <w:t>other</w:t>
      </w:r>
      <w:r>
        <w:rPr>
          <w:color w:val="231F20"/>
          <w:spacing w:val="18"/>
          <w:w w:val="110"/>
        </w:rPr>
        <w:t> </w:t>
      </w:r>
      <w:r>
        <w:rPr>
          <w:color w:val="231F20"/>
          <w:w w:val="110"/>
        </w:rPr>
        <w:t>committees</w:t>
      </w:r>
      <w:r>
        <w:rPr>
          <w:color w:val="231F20"/>
          <w:spacing w:val="18"/>
          <w:w w:val="110"/>
        </w:rPr>
        <w:t> </w:t>
      </w:r>
      <w:r>
        <w:rPr>
          <w:color w:val="231F20"/>
          <w:w w:val="110"/>
        </w:rPr>
        <w:t>on</w:t>
      </w:r>
      <w:r>
        <w:rPr>
          <w:color w:val="231F20"/>
          <w:spacing w:val="18"/>
          <w:w w:val="110"/>
        </w:rPr>
        <w:t> </w:t>
      </w:r>
      <w:r>
        <w:rPr>
          <w:color w:val="231F20"/>
          <w:w w:val="110"/>
        </w:rPr>
        <w:t>Membership,</w:t>
      </w:r>
      <w:r>
        <w:rPr>
          <w:color w:val="231F20"/>
          <w:spacing w:val="18"/>
          <w:w w:val="110"/>
        </w:rPr>
        <w:t> </w:t>
      </w:r>
      <w:r>
        <w:rPr>
          <w:color w:val="231F20"/>
          <w:w w:val="110"/>
        </w:rPr>
        <w:t>Eldership</w:t>
      </w:r>
      <w:r>
        <w:rPr>
          <w:color w:val="231F20"/>
          <w:spacing w:val="18"/>
          <w:w w:val="110"/>
        </w:rPr>
        <w:t> </w:t>
      </w:r>
      <w:r>
        <w:rPr>
          <w:color w:val="231F20"/>
          <w:w w:val="110"/>
        </w:rPr>
        <w:t>and</w:t>
      </w:r>
      <w:r>
        <w:rPr>
          <w:color w:val="231F20"/>
          <w:spacing w:val="18"/>
          <w:w w:val="110"/>
        </w:rPr>
        <w:t> </w:t>
      </w:r>
      <w:r>
        <w:rPr>
          <w:color w:val="231F20"/>
          <w:w w:val="110"/>
        </w:rPr>
        <w:t>Evangelism.</w:t>
      </w:r>
    </w:p>
    <w:p>
      <w:pPr>
        <w:pStyle w:val="BodyText"/>
        <w:spacing w:before="11"/>
        <w:rPr>
          <w:sz w:val="20"/>
        </w:rPr>
      </w:pPr>
    </w:p>
    <w:p>
      <w:pPr>
        <w:numPr>
          <w:ilvl w:val="2"/>
          <w:numId w:val="92"/>
        </w:numPr>
        <w:tabs>
          <w:tab w:pos="1960" w:val="left" w:leader="none"/>
          <w:tab w:pos="1961" w:val="left" w:leader="none"/>
        </w:tabs>
        <w:spacing w:before="0"/>
        <w:ind w:left="1960" w:right="0" w:hanging="721"/>
        <w:jc w:val="left"/>
        <w:rPr>
          <w:b/>
          <w:sz w:val="18"/>
        </w:rPr>
      </w:pPr>
      <w:r>
        <w:rPr>
          <w:b/>
          <w:color w:val="231F20"/>
          <w:w w:val="110"/>
          <w:sz w:val="18"/>
        </w:rPr>
        <w:t>Membership</w:t>
      </w:r>
    </w:p>
    <w:p>
      <w:pPr>
        <w:pStyle w:val="ListParagraph"/>
        <w:numPr>
          <w:ilvl w:val="3"/>
          <w:numId w:val="92"/>
        </w:numPr>
        <w:tabs>
          <w:tab w:pos="1921" w:val="left" w:leader="none"/>
          <w:tab w:pos="1922" w:val="left" w:leader="none"/>
        </w:tabs>
        <w:spacing w:line="273" w:lineRule="auto" w:before="31" w:after="0"/>
        <w:ind w:left="1240" w:right="2383" w:firstLine="0"/>
        <w:jc w:val="left"/>
        <w:rPr>
          <w:i/>
          <w:color w:val="231F20"/>
          <w:sz w:val="18"/>
        </w:rPr>
      </w:pPr>
      <w:r>
        <w:rPr>
          <w:color w:val="231F20"/>
          <w:w w:val="110"/>
          <w:sz w:val="18"/>
        </w:rPr>
        <w:t>In considering church membership, we sought the opinions of local churches through an </w:t>
      </w:r>
      <w:r>
        <w:rPr>
          <w:color w:val="231F20"/>
          <w:spacing w:val="2"/>
          <w:w w:val="110"/>
          <w:sz w:val="18"/>
        </w:rPr>
        <w:t>article </w:t>
      </w:r>
      <w:r>
        <w:rPr>
          <w:color w:val="231F20"/>
          <w:w w:val="110"/>
          <w:sz w:val="18"/>
        </w:rPr>
        <w:t>in </w:t>
      </w:r>
      <w:r>
        <w:rPr>
          <w:i/>
          <w:color w:val="231F20"/>
          <w:w w:val="110"/>
          <w:sz w:val="18"/>
        </w:rPr>
        <w:t>Reform </w:t>
      </w:r>
      <w:r>
        <w:rPr>
          <w:color w:val="231F20"/>
          <w:w w:val="110"/>
          <w:sz w:val="18"/>
        </w:rPr>
        <w:t>that asked for views and both positive and negative experiences of membership in the United Reformed Church,  and were encouraged by a high level of response. </w:t>
      </w:r>
      <w:r>
        <w:rPr>
          <w:color w:val="231F20"/>
          <w:spacing w:val="-3"/>
          <w:w w:val="110"/>
          <w:sz w:val="18"/>
        </w:rPr>
        <w:t>We </w:t>
      </w:r>
      <w:r>
        <w:rPr>
          <w:color w:val="231F20"/>
          <w:w w:val="110"/>
          <w:sz w:val="18"/>
        </w:rPr>
        <w:t>also sought views of ecumenical </w:t>
      </w:r>
      <w:r>
        <w:rPr>
          <w:color w:val="231F20"/>
          <w:spacing w:val="2"/>
          <w:w w:val="110"/>
          <w:sz w:val="18"/>
        </w:rPr>
        <w:t>partners </w:t>
      </w:r>
      <w:r>
        <w:rPr>
          <w:color w:val="231F20"/>
          <w:w w:val="110"/>
          <w:sz w:val="18"/>
        </w:rPr>
        <w:t>and some of our own theologians and are pleased to bring to Assembly a report of our findings, with proposals for re-shaping membership with an emphasis on Covenant. </w:t>
      </w:r>
      <w:r>
        <w:rPr>
          <w:color w:val="231F20"/>
          <w:spacing w:val="-4"/>
          <w:w w:val="110"/>
          <w:sz w:val="18"/>
        </w:rPr>
        <w:t>We </w:t>
      </w:r>
      <w:r>
        <w:rPr>
          <w:color w:val="231F20"/>
          <w:w w:val="110"/>
          <w:sz w:val="18"/>
        </w:rPr>
        <w:t>now bring our report </w:t>
      </w:r>
      <w:r>
        <w:rPr>
          <w:color w:val="231F20"/>
          <w:spacing w:val="-4"/>
          <w:w w:val="110"/>
          <w:sz w:val="18"/>
        </w:rPr>
        <w:t>(Covenant </w:t>
      </w:r>
      <w:r>
        <w:rPr>
          <w:color w:val="231F20"/>
          <w:w w:val="110"/>
          <w:sz w:val="18"/>
        </w:rPr>
        <w:t>Membership and Mission on pages </w:t>
      </w:r>
      <w:r>
        <w:rPr>
          <w:color w:val="231F20"/>
          <w:spacing w:val="-8"/>
          <w:w w:val="110"/>
          <w:sz w:val="18"/>
        </w:rPr>
        <w:t>151-156  </w:t>
      </w:r>
      <w:r>
        <w:rPr>
          <w:color w:val="231F20"/>
          <w:w w:val="110"/>
          <w:sz w:val="18"/>
        </w:rPr>
        <w:t>and resolution </w:t>
      </w:r>
      <w:r>
        <w:rPr>
          <w:color w:val="231F20"/>
          <w:spacing w:val="-3"/>
          <w:w w:val="110"/>
          <w:sz w:val="18"/>
        </w:rPr>
        <w:t>37).  </w:t>
      </w:r>
      <w:r>
        <w:rPr>
          <w:color w:val="231F20"/>
          <w:w w:val="110"/>
          <w:sz w:val="18"/>
        </w:rPr>
        <w:t>The key question underpinning our </w:t>
      </w:r>
      <w:r>
        <w:rPr>
          <w:color w:val="231F20"/>
          <w:spacing w:val="3"/>
          <w:w w:val="110"/>
          <w:sz w:val="18"/>
        </w:rPr>
        <w:t>report </w:t>
      </w:r>
      <w:r>
        <w:rPr>
          <w:color w:val="231F20"/>
          <w:w w:val="110"/>
          <w:sz w:val="18"/>
        </w:rPr>
        <w:t>is “</w:t>
      </w:r>
      <w:r>
        <w:rPr>
          <w:i/>
          <w:color w:val="231F20"/>
          <w:w w:val="110"/>
          <w:sz w:val="18"/>
        </w:rPr>
        <w:t>how does membership serve  </w:t>
      </w:r>
      <w:r>
        <w:rPr>
          <w:i/>
          <w:color w:val="231F20"/>
          <w:w w:val="110"/>
          <w:sz w:val="18"/>
        </w:rPr>
        <w:t>the people of faith while at the same time help to build a bridge</w:t>
      </w:r>
      <w:r>
        <w:rPr>
          <w:i/>
          <w:color w:val="231F20"/>
          <w:spacing w:val="2"/>
          <w:w w:val="110"/>
          <w:sz w:val="18"/>
        </w:rPr>
        <w:t> between</w:t>
      </w:r>
    </w:p>
    <w:p>
      <w:pPr>
        <w:spacing w:line="273" w:lineRule="auto" w:before="6"/>
        <w:ind w:left="1240" w:right="2348" w:firstLine="0"/>
        <w:jc w:val="left"/>
        <w:rPr>
          <w:sz w:val="18"/>
        </w:rPr>
      </w:pPr>
      <w:r>
        <w:rPr>
          <w:i/>
          <w:color w:val="231F20"/>
          <w:w w:val="110"/>
          <w:sz w:val="18"/>
        </w:rPr>
        <w:t>a church and its local community”. </w:t>
      </w:r>
      <w:r>
        <w:rPr>
          <w:color w:val="231F20"/>
          <w:w w:val="110"/>
          <w:sz w:val="18"/>
        </w:rPr>
        <w:t>We welcome comments from your own experiences to take the work forward.</w:t>
      </w:r>
    </w:p>
    <w:p>
      <w:pPr>
        <w:pStyle w:val="BodyText"/>
        <w:spacing w:before="8"/>
        <w:rPr>
          <w:sz w:val="20"/>
        </w:rPr>
      </w:pPr>
    </w:p>
    <w:p>
      <w:pPr>
        <w:pStyle w:val="ListParagraph"/>
        <w:numPr>
          <w:ilvl w:val="3"/>
          <w:numId w:val="92"/>
        </w:numPr>
        <w:tabs>
          <w:tab w:pos="1921" w:val="left" w:leader="none"/>
          <w:tab w:pos="1922" w:val="left" w:leader="none"/>
        </w:tabs>
        <w:spacing w:line="273" w:lineRule="auto" w:before="0" w:after="0"/>
        <w:ind w:left="1240" w:right="2451" w:firstLine="0"/>
        <w:jc w:val="left"/>
        <w:rPr>
          <w:color w:val="231F20"/>
          <w:sz w:val="18"/>
        </w:rPr>
      </w:pPr>
      <w:r>
        <w:rPr>
          <w:color w:val="231F20"/>
          <w:w w:val="110"/>
          <w:sz w:val="18"/>
        </w:rPr>
        <w:t>Alongside this </w:t>
      </w:r>
      <w:r>
        <w:rPr>
          <w:color w:val="231F20"/>
          <w:spacing w:val="3"/>
          <w:w w:val="110"/>
          <w:sz w:val="18"/>
        </w:rPr>
        <w:t>report </w:t>
      </w:r>
      <w:r>
        <w:rPr>
          <w:color w:val="231F20"/>
          <w:w w:val="110"/>
          <w:sz w:val="18"/>
        </w:rPr>
        <w:t>the Committee has identified a need to produce </w:t>
      </w:r>
      <w:r>
        <w:rPr>
          <w:color w:val="231F20"/>
          <w:spacing w:val="2"/>
          <w:w w:val="110"/>
          <w:sz w:val="18"/>
        </w:rPr>
        <w:t>resources </w:t>
      </w:r>
      <w:r>
        <w:rPr>
          <w:color w:val="231F20"/>
          <w:w w:val="110"/>
          <w:sz w:val="18"/>
        </w:rPr>
        <w:t>on Christian </w:t>
      </w:r>
      <w:r>
        <w:rPr>
          <w:color w:val="231F20"/>
          <w:spacing w:val="2"/>
          <w:w w:val="110"/>
          <w:sz w:val="18"/>
        </w:rPr>
        <w:t>Lifestyle </w:t>
      </w:r>
      <w:r>
        <w:rPr>
          <w:color w:val="231F20"/>
          <w:w w:val="110"/>
          <w:sz w:val="18"/>
        </w:rPr>
        <w:t>to help </w:t>
      </w:r>
      <w:r>
        <w:rPr>
          <w:color w:val="231F20"/>
          <w:spacing w:val="2"/>
          <w:w w:val="110"/>
          <w:sz w:val="18"/>
        </w:rPr>
        <w:t>members </w:t>
      </w:r>
      <w:r>
        <w:rPr>
          <w:color w:val="231F20"/>
          <w:w w:val="110"/>
          <w:sz w:val="18"/>
        </w:rPr>
        <w:t>think about Covenant, Membership and Stewardship. This could be linked with an annual Covenant or Membership</w:t>
      </w:r>
      <w:r>
        <w:rPr>
          <w:color w:val="231F20"/>
          <w:spacing w:val="2"/>
          <w:w w:val="110"/>
          <w:sz w:val="18"/>
        </w:rPr>
        <w:t> </w:t>
      </w:r>
      <w:r>
        <w:rPr>
          <w:color w:val="231F20"/>
          <w:spacing w:val="-3"/>
          <w:w w:val="110"/>
          <w:sz w:val="18"/>
        </w:rPr>
        <w:t>Sunday.</w:t>
      </w:r>
    </w:p>
    <w:p>
      <w:pPr>
        <w:pStyle w:val="BodyText"/>
        <w:spacing w:before="9"/>
        <w:rPr>
          <w:sz w:val="20"/>
        </w:rPr>
      </w:pPr>
    </w:p>
    <w:p>
      <w:pPr>
        <w:numPr>
          <w:ilvl w:val="2"/>
          <w:numId w:val="92"/>
        </w:numPr>
        <w:tabs>
          <w:tab w:pos="1960" w:val="left" w:leader="none"/>
          <w:tab w:pos="1961" w:val="left" w:leader="none"/>
        </w:tabs>
        <w:spacing w:before="1"/>
        <w:ind w:left="1960" w:right="0" w:hanging="721"/>
        <w:jc w:val="left"/>
        <w:rPr>
          <w:b/>
          <w:sz w:val="18"/>
        </w:rPr>
      </w:pPr>
      <w:r>
        <w:rPr>
          <w:b/>
          <w:color w:val="231F20"/>
          <w:w w:val="110"/>
          <w:sz w:val="18"/>
        </w:rPr>
        <w:t>Eldership</w:t>
      </w:r>
    </w:p>
    <w:p>
      <w:pPr>
        <w:pStyle w:val="BodyText"/>
        <w:spacing w:line="273" w:lineRule="auto" w:before="31"/>
        <w:ind w:left="1240" w:right="2050"/>
      </w:pPr>
      <w:r>
        <w:rPr>
          <w:color w:val="231F20"/>
          <w:spacing w:val="-4"/>
          <w:w w:val="110"/>
        </w:rPr>
        <w:t>We </w:t>
      </w:r>
      <w:r>
        <w:rPr>
          <w:color w:val="231F20"/>
          <w:w w:val="110"/>
        </w:rPr>
        <w:t>considered how an elders meeting can provide leadership for mission, while having to act as ‘managing trustees’ for the local church. That took us on to discussing how to identify Christian maturity for eldership and what part the wider church might take in preparing people for service. </w:t>
      </w:r>
      <w:r>
        <w:rPr>
          <w:color w:val="231F20"/>
          <w:spacing w:val="-4"/>
          <w:w w:val="110"/>
        </w:rPr>
        <w:t>We </w:t>
      </w:r>
      <w:r>
        <w:rPr>
          <w:color w:val="231F20"/>
          <w:w w:val="110"/>
        </w:rPr>
        <w:t>took these concerns to the inter-committee consultation on eldership in October </w:t>
      </w:r>
      <w:r>
        <w:rPr>
          <w:color w:val="231F20"/>
          <w:spacing w:val="-3"/>
          <w:w w:val="110"/>
        </w:rPr>
        <w:t>2006, </w:t>
      </w:r>
      <w:r>
        <w:rPr>
          <w:color w:val="231F20"/>
          <w:w w:val="110"/>
        </w:rPr>
        <w:t>and hope that the understanding of elders will increase through discussing the resulting paper being presented by Doctrine, Prayer and Worship. </w:t>
      </w:r>
      <w:r>
        <w:rPr>
          <w:color w:val="231F20"/>
          <w:spacing w:val="-4"/>
          <w:w w:val="110"/>
        </w:rPr>
        <w:t>We </w:t>
      </w:r>
      <w:r>
        <w:rPr>
          <w:color w:val="231F20"/>
          <w:w w:val="110"/>
        </w:rPr>
        <w:t>look forward to the further work of identifying and sharing best practice in selecting and preparing elders for their role, and in the effective running of Elders</w:t>
      </w:r>
      <w:r>
        <w:rPr>
          <w:color w:val="231F20"/>
          <w:spacing w:val="-28"/>
          <w:w w:val="110"/>
        </w:rPr>
        <w:t> </w:t>
      </w:r>
      <w:r>
        <w:rPr>
          <w:color w:val="231F20"/>
          <w:w w:val="110"/>
        </w:rPr>
        <w:t>Meetings.</w:t>
      </w:r>
    </w:p>
    <w:p>
      <w:pPr>
        <w:pStyle w:val="BodyText"/>
        <w:rPr>
          <w:sz w:val="21"/>
        </w:rPr>
      </w:pPr>
    </w:p>
    <w:p>
      <w:pPr>
        <w:numPr>
          <w:ilvl w:val="2"/>
          <w:numId w:val="92"/>
        </w:numPr>
        <w:tabs>
          <w:tab w:pos="1960" w:val="left" w:leader="none"/>
          <w:tab w:pos="1961" w:val="left" w:leader="none"/>
        </w:tabs>
        <w:spacing w:before="0"/>
        <w:ind w:left="1960" w:right="0" w:hanging="721"/>
        <w:jc w:val="left"/>
        <w:rPr>
          <w:b/>
          <w:sz w:val="18"/>
        </w:rPr>
      </w:pPr>
      <w:r>
        <w:rPr>
          <w:b/>
          <w:color w:val="231F20"/>
          <w:w w:val="110"/>
          <w:sz w:val="18"/>
        </w:rPr>
        <w:t>Evangelism</w:t>
      </w:r>
    </w:p>
    <w:p>
      <w:pPr>
        <w:pStyle w:val="BodyText"/>
        <w:spacing w:line="273" w:lineRule="auto" w:before="31"/>
        <w:ind w:left="1240" w:right="2095"/>
      </w:pPr>
      <w:r>
        <w:rPr>
          <w:color w:val="231F20"/>
          <w:w w:val="110"/>
        </w:rPr>
        <w:t>The committee has been working on evangelism for some time, building on the Decade of Evangelism in the 1990’s and on resolutions about evangelism and evangelists agreed by General Assembly over several years. A resolution in 1998 talked about evangelism as Believing, Belonging and Becoming, rather than any particular method. In 2001 the report ‘Growing Up to the Ministry of Evangelists’ accompanied resolutions on recognising, releasing, and supporting gifted people for the work. In the last two years, members of the committee have worked on the qualities needed to be an evangelist and have thought about possibilities</w:t>
      </w:r>
    </w:p>
    <w:p>
      <w:pPr>
        <w:pStyle w:val="BodyText"/>
        <w:spacing w:line="273" w:lineRule="auto" w:before="5"/>
        <w:ind w:left="1240" w:right="2520"/>
      </w:pPr>
      <w:r>
        <w:rPr>
          <w:color w:val="231F20"/>
          <w:w w:val="110"/>
        </w:rPr>
        <w:t>for a job description. </w:t>
      </w:r>
      <w:r>
        <w:rPr>
          <w:color w:val="231F20"/>
          <w:spacing w:val="-4"/>
          <w:w w:val="110"/>
        </w:rPr>
        <w:t>We </w:t>
      </w:r>
      <w:r>
        <w:rPr>
          <w:color w:val="231F20"/>
          <w:w w:val="110"/>
        </w:rPr>
        <w:t>now hope that work being done on a </w:t>
      </w:r>
      <w:r>
        <w:rPr>
          <w:color w:val="231F20"/>
          <w:spacing w:val="2"/>
          <w:w w:val="110"/>
        </w:rPr>
        <w:t>TLS </w:t>
      </w:r>
      <w:r>
        <w:rPr>
          <w:color w:val="231F20"/>
          <w:w w:val="110"/>
        </w:rPr>
        <w:t>module on evangelism </w:t>
      </w:r>
      <w:r>
        <w:rPr>
          <w:color w:val="231F20"/>
          <w:spacing w:val="-3"/>
          <w:w w:val="110"/>
        </w:rPr>
        <w:t>may </w:t>
      </w:r>
      <w:r>
        <w:rPr>
          <w:color w:val="231F20"/>
          <w:w w:val="110"/>
        </w:rPr>
        <w:t>provide a </w:t>
      </w:r>
      <w:r>
        <w:rPr>
          <w:color w:val="231F20"/>
          <w:spacing w:val="-3"/>
          <w:w w:val="110"/>
        </w:rPr>
        <w:t>way </w:t>
      </w:r>
      <w:r>
        <w:rPr>
          <w:color w:val="231F20"/>
          <w:w w:val="110"/>
        </w:rPr>
        <w:t>in which approaches to evangelism can be explored, and from which a ministry of evangelists might</w:t>
      </w:r>
      <w:r>
        <w:rPr>
          <w:color w:val="231F20"/>
          <w:spacing w:val="-27"/>
          <w:w w:val="110"/>
        </w:rPr>
        <w:t> </w:t>
      </w:r>
      <w:r>
        <w:rPr>
          <w:color w:val="231F20"/>
          <w:spacing w:val="-3"/>
          <w:w w:val="110"/>
        </w:rPr>
        <w:t>grow.</w:t>
      </w:r>
    </w:p>
    <w:p>
      <w:pPr>
        <w:pStyle w:val="BodyText"/>
        <w:spacing w:before="9"/>
        <w:rPr>
          <w:sz w:val="20"/>
        </w:rPr>
      </w:pPr>
    </w:p>
    <w:p>
      <w:pPr>
        <w:numPr>
          <w:ilvl w:val="2"/>
          <w:numId w:val="92"/>
        </w:numPr>
        <w:tabs>
          <w:tab w:pos="1960" w:val="left" w:leader="none"/>
          <w:tab w:pos="1961" w:val="left" w:leader="none"/>
        </w:tabs>
        <w:spacing w:before="0"/>
        <w:ind w:left="1960" w:right="0" w:hanging="721"/>
        <w:jc w:val="left"/>
        <w:rPr>
          <w:b/>
          <w:sz w:val="18"/>
        </w:rPr>
      </w:pPr>
      <w:r>
        <w:rPr>
          <w:b/>
          <w:color w:val="231F20"/>
          <w:spacing w:val="2"/>
          <w:w w:val="110"/>
          <w:sz w:val="18"/>
        </w:rPr>
        <w:t>Other committee</w:t>
      </w:r>
      <w:r>
        <w:rPr>
          <w:b/>
          <w:color w:val="231F20"/>
          <w:spacing w:val="-2"/>
          <w:w w:val="110"/>
          <w:sz w:val="18"/>
        </w:rPr>
        <w:t> </w:t>
      </w:r>
      <w:r>
        <w:rPr>
          <w:b/>
          <w:color w:val="231F20"/>
          <w:w w:val="110"/>
          <w:sz w:val="18"/>
        </w:rPr>
        <w:t>work</w:t>
      </w:r>
    </w:p>
    <w:p>
      <w:pPr>
        <w:pStyle w:val="ListParagraph"/>
        <w:numPr>
          <w:ilvl w:val="3"/>
          <w:numId w:val="92"/>
        </w:numPr>
        <w:tabs>
          <w:tab w:pos="1921" w:val="left" w:leader="none"/>
          <w:tab w:pos="1922" w:val="left" w:leader="none"/>
        </w:tabs>
        <w:spacing w:line="273" w:lineRule="auto" w:before="31" w:after="0"/>
        <w:ind w:left="1240" w:right="2053" w:firstLine="0"/>
        <w:jc w:val="left"/>
        <w:rPr>
          <w:color w:val="231F20"/>
          <w:sz w:val="18"/>
        </w:rPr>
      </w:pPr>
      <w:r>
        <w:rPr>
          <w:color w:val="231F20"/>
          <w:w w:val="110"/>
          <w:sz w:val="18"/>
          <w:u w:val="single" w:color="231F20"/>
        </w:rPr>
        <w:t>Rural Officer:</w:t>
      </w:r>
      <w:r>
        <w:rPr>
          <w:color w:val="231F20"/>
          <w:w w:val="110"/>
          <w:sz w:val="18"/>
        </w:rPr>
        <w:t> Since our last </w:t>
      </w:r>
      <w:r>
        <w:rPr>
          <w:color w:val="231F20"/>
          <w:spacing w:val="3"/>
          <w:w w:val="110"/>
          <w:sz w:val="18"/>
        </w:rPr>
        <w:t>report </w:t>
      </w:r>
      <w:r>
        <w:rPr>
          <w:color w:val="231F20"/>
          <w:w w:val="110"/>
          <w:sz w:val="18"/>
        </w:rPr>
        <w:t>the Revd Graham Jones has taken up the post of URC/Methodist Rural </w:t>
      </w:r>
      <w:r>
        <w:rPr>
          <w:color w:val="231F20"/>
          <w:spacing w:val="2"/>
          <w:w w:val="110"/>
          <w:sz w:val="18"/>
        </w:rPr>
        <w:t>Officer </w:t>
      </w:r>
      <w:r>
        <w:rPr>
          <w:color w:val="231F20"/>
          <w:w w:val="110"/>
          <w:sz w:val="18"/>
        </w:rPr>
        <w:t>and is </w:t>
      </w:r>
      <w:r>
        <w:rPr>
          <w:color w:val="231F20"/>
          <w:spacing w:val="2"/>
          <w:w w:val="110"/>
          <w:sz w:val="18"/>
        </w:rPr>
        <w:t>part </w:t>
      </w:r>
      <w:r>
        <w:rPr>
          <w:color w:val="231F20"/>
          <w:w w:val="110"/>
          <w:sz w:val="18"/>
        </w:rPr>
        <w:t>of our committee. Graham   is jointly funded by the Methodist/United Reformed Churches and based at the </w:t>
      </w:r>
      <w:r>
        <w:rPr>
          <w:color w:val="231F20"/>
          <w:spacing w:val="2"/>
          <w:w w:val="110"/>
          <w:sz w:val="18"/>
        </w:rPr>
        <w:t>Arthur </w:t>
      </w:r>
      <w:r>
        <w:rPr>
          <w:color w:val="231F20"/>
          <w:w w:val="110"/>
          <w:sz w:val="18"/>
        </w:rPr>
        <w:t>Rank Centre, Stoneleigh Park, Warwickshire. </w:t>
      </w:r>
      <w:r>
        <w:rPr>
          <w:color w:val="231F20"/>
          <w:spacing w:val="-3"/>
          <w:w w:val="110"/>
          <w:sz w:val="18"/>
        </w:rPr>
        <w:t>We </w:t>
      </w:r>
      <w:r>
        <w:rPr>
          <w:color w:val="231F20"/>
          <w:w w:val="110"/>
          <w:sz w:val="18"/>
        </w:rPr>
        <w:t>hope that synods will make full use of Graham’s</w:t>
      </w:r>
      <w:r>
        <w:rPr>
          <w:color w:val="231F20"/>
          <w:spacing w:val="5"/>
          <w:w w:val="110"/>
          <w:sz w:val="18"/>
        </w:rPr>
        <w:t> </w:t>
      </w:r>
      <w:r>
        <w:rPr>
          <w:color w:val="231F20"/>
          <w:spacing w:val="2"/>
          <w:w w:val="110"/>
          <w:sz w:val="18"/>
        </w:rPr>
        <w:t>expertise.</w:t>
      </w:r>
    </w:p>
    <w:p>
      <w:pPr>
        <w:spacing w:after="0" w:line="273" w:lineRule="auto"/>
        <w:jc w:val="left"/>
        <w:rPr>
          <w:sz w:val="18"/>
        </w:rPr>
        <w:sectPr>
          <w:headerReference w:type="default" r:id="rId213"/>
          <w:pgSz w:w="11910" w:h="16840"/>
          <w:pgMar w:header="0" w:footer="564" w:top="800" w:bottom="760" w:left="460" w:right="0"/>
        </w:sectPr>
      </w:pPr>
    </w:p>
    <w:p>
      <w:pPr>
        <w:pStyle w:val="BodyText"/>
        <w:spacing w:before="9"/>
        <w:rPr>
          <w:sz w:val="13"/>
        </w:rPr>
      </w:pPr>
    </w:p>
    <w:p>
      <w:pPr>
        <w:pStyle w:val="ListParagraph"/>
        <w:numPr>
          <w:ilvl w:val="3"/>
          <w:numId w:val="92"/>
        </w:numPr>
        <w:tabs>
          <w:tab w:pos="1354" w:val="left" w:leader="none"/>
          <w:tab w:pos="1355" w:val="left" w:leader="none"/>
        </w:tabs>
        <w:spacing w:line="273" w:lineRule="auto" w:before="101" w:after="0"/>
        <w:ind w:left="673" w:right="1554" w:firstLine="0"/>
        <w:jc w:val="left"/>
        <w:rPr>
          <w:color w:val="231F20"/>
          <w:sz w:val="18"/>
        </w:rPr>
      </w:pPr>
      <w:r>
        <w:rPr>
          <w:color w:val="231F20"/>
          <w:w w:val="110"/>
          <w:sz w:val="18"/>
        </w:rPr>
        <w:t>Life &amp; Witness continues to cover a wide remit with groups such as the Windermere </w:t>
      </w:r>
      <w:r>
        <w:rPr>
          <w:color w:val="231F20"/>
          <w:spacing w:val="2"/>
          <w:w w:val="110"/>
          <w:sz w:val="18"/>
        </w:rPr>
        <w:t>Advisory </w:t>
      </w:r>
      <w:r>
        <w:rPr>
          <w:color w:val="231F20"/>
          <w:w w:val="110"/>
          <w:sz w:val="18"/>
        </w:rPr>
        <w:t>Group Community of Women and Men in the Church and Holiday Forum   </w:t>
      </w:r>
      <w:r>
        <w:rPr>
          <w:color w:val="231F20"/>
          <w:spacing w:val="2"/>
          <w:w w:val="110"/>
          <w:sz w:val="18"/>
        </w:rPr>
        <w:t>reporting </w:t>
      </w:r>
      <w:r>
        <w:rPr>
          <w:color w:val="231F20"/>
          <w:w w:val="110"/>
          <w:sz w:val="18"/>
        </w:rPr>
        <w:t>to us. The United Reformed Church has also been </w:t>
      </w:r>
      <w:r>
        <w:rPr>
          <w:color w:val="231F20"/>
          <w:spacing w:val="2"/>
          <w:w w:val="110"/>
          <w:sz w:val="18"/>
        </w:rPr>
        <w:t>represented </w:t>
      </w:r>
      <w:r>
        <w:rPr>
          <w:color w:val="231F20"/>
          <w:w w:val="110"/>
          <w:sz w:val="18"/>
        </w:rPr>
        <w:t>through this committee on the Christian Enquiry Agency, the </w:t>
      </w:r>
      <w:r>
        <w:rPr>
          <w:color w:val="231F20"/>
          <w:spacing w:val="4"/>
          <w:w w:val="110"/>
          <w:sz w:val="18"/>
        </w:rPr>
        <w:t>CTE </w:t>
      </w:r>
      <w:r>
        <w:rPr>
          <w:color w:val="231F20"/>
          <w:w w:val="110"/>
          <w:sz w:val="18"/>
        </w:rPr>
        <w:t>Group for Evangelisation, and </w:t>
      </w:r>
      <w:r>
        <w:rPr>
          <w:i/>
          <w:color w:val="231F20"/>
          <w:w w:val="110"/>
          <w:sz w:val="18"/>
        </w:rPr>
        <w:t>ShareJesusInternational</w:t>
      </w:r>
      <w:r>
        <w:rPr>
          <w:color w:val="231F20"/>
          <w:w w:val="110"/>
          <w:sz w:val="18"/>
        </w:rPr>
        <w:t>. </w:t>
      </w:r>
      <w:r>
        <w:rPr>
          <w:color w:val="231F20"/>
          <w:spacing w:val="-3"/>
          <w:w w:val="110"/>
          <w:sz w:val="18"/>
        </w:rPr>
        <w:t>We </w:t>
      </w:r>
      <w:r>
        <w:rPr>
          <w:color w:val="231F20"/>
          <w:w w:val="110"/>
          <w:sz w:val="18"/>
        </w:rPr>
        <w:t>have tried to keep up to date with ‘emerging church’ developments and the use of</w:t>
      </w:r>
      <w:r>
        <w:rPr>
          <w:color w:val="231F20"/>
          <w:spacing w:val="7"/>
          <w:w w:val="110"/>
          <w:sz w:val="18"/>
        </w:rPr>
        <w:t> </w:t>
      </w:r>
      <w:r>
        <w:rPr>
          <w:color w:val="231F20"/>
          <w:w w:val="110"/>
          <w:sz w:val="18"/>
        </w:rPr>
        <w:t>websites.</w:t>
      </w:r>
    </w:p>
    <w:p>
      <w:pPr>
        <w:pStyle w:val="BodyText"/>
        <w:spacing w:before="10"/>
        <w:rPr>
          <w:sz w:val="20"/>
        </w:rPr>
      </w:pPr>
    </w:p>
    <w:p>
      <w:pPr>
        <w:pStyle w:val="ListParagraph"/>
        <w:numPr>
          <w:ilvl w:val="3"/>
          <w:numId w:val="92"/>
        </w:numPr>
        <w:tabs>
          <w:tab w:pos="1354" w:val="left" w:leader="none"/>
          <w:tab w:pos="1355" w:val="left" w:leader="none"/>
        </w:tabs>
        <w:spacing w:line="273" w:lineRule="auto" w:before="0" w:after="0"/>
        <w:ind w:left="673" w:right="1539" w:firstLine="0"/>
        <w:jc w:val="left"/>
        <w:rPr>
          <w:color w:val="231F20"/>
          <w:sz w:val="18"/>
        </w:rPr>
      </w:pPr>
      <w:r>
        <w:rPr>
          <w:color w:val="231F20"/>
          <w:spacing w:val="-3"/>
          <w:w w:val="110"/>
          <w:sz w:val="18"/>
        </w:rPr>
        <w:t>We </w:t>
      </w:r>
      <w:r>
        <w:rPr>
          <w:color w:val="231F20"/>
          <w:w w:val="110"/>
          <w:sz w:val="18"/>
        </w:rPr>
        <w:t>turned some of the outreach stories included in the </w:t>
      </w:r>
      <w:r>
        <w:rPr>
          <w:i/>
          <w:color w:val="231F20"/>
          <w:w w:val="110"/>
          <w:sz w:val="18"/>
        </w:rPr>
        <w:t>Bridging the Gap in the URC </w:t>
      </w:r>
      <w:r>
        <w:rPr>
          <w:color w:val="231F20"/>
          <w:w w:val="110"/>
          <w:sz w:val="18"/>
        </w:rPr>
        <w:t>booklet into e-mails to local churches for inclusion in church magazines. In all our work,   we have </w:t>
      </w:r>
      <w:r>
        <w:rPr>
          <w:color w:val="231F20"/>
          <w:spacing w:val="3"/>
          <w:w w:val="110"/>
          <w:sz w:val="18"/>
        </w:rPr>
        <w:t>relied </w:t>
      </w:r>
      <w:r>
        <w:rPr>
          <w:color w:val="231F20"/>
          <w:w w:val="110"/>
          <w:sz w:val="18"/>
        </w:rPr>
        <w:t>on </w:t>
      </w:r>
      <w:r>
        <w:rPr>
          <w:color w:val="231F20"/>
          <w:spacing w:val="3"/>
          <w:w w:val="110"/>
          <w:sz w:val="18"/>
        </w:rPr>
        <w:t>members </w:t>
      </w:r>
      <w:r>
        <w:rPr>
          <w:color w:val="231F20"/>
          <w:w w:val="110"/>
          <w:sz w:val="18"/>
        </w:rPr>
        <w:t>to </w:t>
      </w:r>
      <w:r>
        <w:rPr>
          <w:color w:val="231F20"/>
          <w:spacing w:val="4"/>
          <w:w w:val="110"/>
          <w:sz w:val="18"/>
        </w:rPr>
        <w:t>research </w:t>
      </w:r>
      <w:r>
        <w:rPr>
          <w:color w:val="231F20"/>
          <w:w w:val="110"/>
          <w:sz w:val="18"/>
        </w:rPr>
        <w:t>and </w:t>
      </w:r>
      <w:r>
        <w:rPr>
          <w:color w:val="231F20"/>
          <w:spacing w:val="3"/>
          <w:w w:val="110"/>
          <w:sz w:val="18"/>
        </w:rPr>
        <w:t>produce </w:t>
      </w:r>
      <w:r>
        <w:rPr>
          <w:color w:val="231F20"/>
          <w:spacing w:val="2"/>
          <w:w w:val="110"/>
          <w:sz w:val="18"/>
        </w:rPr>
        <w:t>material </w:t>
      </w:r>
      <w:r>
        <w:rPr>
          <w:color w:val="231F20"/>
          <w:spacing w:val="3"/>
          <w:w w:val="110"/>
          <w:sz w:val="18"/>
        </w:rPr>
        <w:t>between</w:t>
      </w:r>
      <w:r>
        <w:rPr>
          <w:color w:val="231F20"/>
          <w:spacing w:val="16"/>
          <w:w w:val="110"/>
          <w:sz w:val="18"/>
        </w:rPr>
        <w:t> </w:t>
      </w:r>
      <w:r>
        <w:rPr>
          <w:color w:val="231F20"/>
          <w:spacing w:val="2"/>
          <w:w w:val="110"/>
          <w:sz w:val="18"/>
        </w:rPr>
        <w:t>meetings,</w:t>
      </w:r>
    </w:p>
    <w:p>
      <w:pPr>
        <w:pStyle w:val="BodyText"/>
        <w:spacing w:line="273" w:lineRule="auto" w:before="2"/>
        <w:ind w:left="673" w:right="2211"/>
        <w:jc w:val="both"/>
      </w:pPr>
      <w:r>
        <w:rPr>
          <w:color w:val="231F20"/>
          <w:w w:val="110"/>
        </w:rPr>
        <w:t>which has been discussed and distilled in committee. This has contributed a variety of </w:t>
      </w:r>
      <w:r>
        <w:rPr>
          <w:color w:val="231F20"/>
          <w:spacing w:val="2"/>
          <w:w w:val="110"/>
        </w:rPr>
        <w:t>perspectives </w:t>
      </w:r>
      <w:r>
        <w:rPr>
          <w:color w:val="231F20"/>
          <w:w w:val="110"/>
        </w:rPr>
        <w:t>and used the wide experience, skill and knowledge of the members. </w:t>
      </w:r>
      <w:r>
        <w:rPr>
          <w:color w:val="231F20"/>
          <w:spacing w:val="-3"/>
          <w:w w:val="110"/>
        </w:rPr>
        <w:t>We </w:t>
      </w:r>
      <w:r>
        <w:rPr>
          <w:color w:val="231F20"/>
          <w:w w:val="110"/>
        </w:rPr>
        <w:t>commend it as a way of working for the</w:t>
      </w:r>
      <w:r>
        <w:rPr>
          <w:color w:val="231F20"/>
          <w:spacing w:val="22"/>
          <w:w w:val="110"/>
        </w:rPr>
        <w:t> </w:t>
      </w:r>
      <w:r>
        <w:rPr>
          <w:color w:val="231F20"/>
          <w:w w:val="110"/>
        </w:rPr>
        <w:t>future.</w:t>
      </w:r>
    </w:p>
    <w:p>
      <w:pPr>
        <w:pStyle w:val="BodyText"/>
        <w:spacing w:before="9"/>
        <w:rPr>
          <w:sz w:val="20"/>
        </w:rPr>
      </w:pPr>
    </w:p>
    <w:p>
      <w:pPr>
        <w:numPr>
          <w:ilvl w:val="2"/>
          <w:numId w:val="92"/>
        </w:numPr>
        <w:tabs>
          <w:tab w:pos="1354" w:val="left" w:leader="none"/>
          <w:tab w:pos="1355" w:val="left" w:leader="none"/>
        </w:tabs>
        <w:spacing w:before="0"/>
        <w:ind w:left="1354" w:right="0" w:hanging="682"/>
        <w:jc w:val="left"/>
        <w:rPr>
          <w:b/>
          <w:sz w:val="18"/>
        </w:rPr>
      </w:pPr>
      <w:r>
        <w:rPr>
          <w:b/>
          <w:color w:val="231F20"/>
          <w:w w:val="110"/>
          <w:sz w:val="18"/>
        </w:rPr>
        <w:t>Thanks</w:t>
      </w:r>
    </w:p>
    <w:p>
      <w:pPr>
        <w:pStyle w:val="BodyText"/>
        <w:spacing w:line="273" w:lineRule="auto" w:before="31"/>
        <w:ind w:left="673" w:right="1604"/>
      </w:pPr>
      <w:r>
        <w:rPr>
          <w:color w:val="231F20"/>
          <w:spacing w:val="-3"/>
          <w:w w:val="110"/>
        </w:rPr>
        <w:t>We </w:t>
      </w:r>
      <w:r>
        <w:rPr>
          <w:color w:val="231F20"/>
          <w:w w:val="110"/>
        </w:rPr>
        <w:t>note with thanks the work undertaken on behalf of the committee by John Steele   </w:t>
      </w:r>
      <w:r>
        <w:rPr>
          <w:color w:val="231F20"/>
          <w:spacing w:val="-3"/>
          <w:w w:val="110"/>
        </w:rPr>
        <w:t>(who</w:t>
      </w:r>
      <w:r>
        <w:rPr>
          <w:color w:val="231F20"/>
          <w:spacing w:val="8"/>
          <w:w w:val="110"/>
        </w:rPr>
        <w:t> </w:t>
      </w:r>
      <w:r>
        <w:rPr>
          <w:color w:val="231F20"/>
          <w:spacing w:val="2"/>
          <w:w w:val="110"/>
        </w:rPr>
        <w:t>served</w:t>
      </w:r>
      <w:r>
        <w:rPr>
          <w:color w:val="231F20"/>
          <w:spacing w:val="8"/>
          <w:w w:val="110"/>
        </w:rPr>
        <w:t> </w:t>
      </w:r>
      <w:r>
        <w:rPr>
          <w:color w:val="231F20"/>
          <w:w w:val="110"/>
        </w:rPr>
        <w:t>as</w:t>
      </w:r>
      <w:r>
        <w:rPr>
          <w:color w:val="231F20"/>
          <w:spacing w:val="8"/>
          <w:w w:val="110"/>
        </w:rPr>
        <w:t> </w:t>
      </w:r>
      <w:r>
        <w:rPr>
          <w:color w:val="231F20"/>
          <w:spacing w:val="3"/>
          <w:w w:val="110"/>
        </w:rPr>
        <w:t>Secretary</w:t>
      </w:r>
      <w:r>
        <w:rPr>
          <w:color w:val="231F20"/>
          <w:spacing w:val="8"/>
          <w:w w:val="110"/>
        </w:rPr>
        <w:t> </w:t>
      </w:r>
      <w:r>
        <w:rPr>
          <w:color w:val="231F20"/>
          <w:w w:val="110"/>
        </w:rPr>
        <w:t>for</w:t>
      </w:r>
      <w:r>
        <w:rPr>
          <w:color w:val="231F20"/>
          <w:spacing w:val="8"/>
          <w:w w:val="110"/>
        </w:rPr>
        <w:t> </w:t>
      </w:r>
      <w:r>
        <w:rPr>
          <w:color w:val="231F20"/>
          <w:w w:val="110"/>
        </w:rPr>
        <w:t>Life</w:t>
      </w:r>
      <w:r>
        <w:rPr>
          <w:color w:val="231F20"/>
          <w:spacing w:val="8"/>
          <w:w w:val="110"/>
        </w:rPr>
        <w:t> </w:t>
      </w:r>
      <w:r>
        <w:rPr>
          <w:color w:val="231F20"/>
          <w:w w:val="110"/>
        </w:rPr>
        <w:t>and</w:t>
      </w:r>
      <w:r>
        <w:rPr>
          <w:color w:val="231F20"/>
          <w:spacing w:val="8"/>
          <w:w w:val="110"/>
        </w:rPr>
        <w:t> </w:t>
      </w:r>
      <w:r>
        <w:rPr>
          <w:color w:val="231F20"/>
          <w:w w:val="110"/>
        </w:rPr>
        <w:t>Witness</w:t>
      </w:r>
      <w:r>
        <w:rPr>
          <w:color w:val="231F20"/>
          <w:spacing w:val="8"/>
          <w:w w:val="110"/>
        </w:rPr>
        <w:t> </w:t>
      </w:r>
      <w:r>
        <w:rPr>
          <w:color w:val="231F20"/>
          <w:w w:val="110"/>
        </w:rPr>
        <w:t>for</w:t>
      </w:r>
      <w:r>
        <w:rPr>
          <w:color w:val="231F20"/>
          <w:spacing w:val="7"/>
          <w:w w:val="110"/>
        </w:rPr>
        <w:t> </w:t>
      </w:r>
      <w:r>
        <w:rPr>
          <w:color w:val="231F20"/>
          <w:w w:val="110"/>
        </w:rPr>
        <w:t>eight</w:t>
      </w:r>
      <w:r>
        <w:rPr>
          <w:color w:val="231F20"/>
          <w:spacing w:val="9"/>
          <w:w w:val="110"/>
        </w:rPr>
        <w:t> </w:t>
      </w:r>
      <w:r>
        <w:rPr>
          <w:color w:val="231F20"/>
          <w:w w:val="110"/>
        </w:rPr>
        <w:t>years)</w:t>
      </w:r>
      <w:r>
        <w:rPr>
          <w:color w:val="231F20"/>
          <w:spacing w:val="8"/>
          <w:w w:val="110"/>
        </w:rPr>
        <w:t> </w:t>
      </w:r>
      <w:r>
        <w:rPr>
          <w:color w:val="231F20"/>
          <w:w w:val="110"/>
        </w:rPr>
        <w:t>and</w:t>
      </w:r>
      <w:r>
        <w:rPr>
          <w:color w:val="231F20"/>
          <w:spacing w:val="8"/>
          <w:w w:val="110"/>
        </w:rPr>
        <w:t> </w:t>
      </w:r>
      <w:r>
        <w:rPr>
          <w:color w:val="231F20"/>
          <w:w w:val="110"/>
        </w:rPr>
        <w:t>his</w:t>
      </w:r>
      <w:r>
        <w:rPr>
          <w:color w:val="231F20"/>
          <w:spacing w:val="8"/>
          <w:w w:val="110"/>
        </w:rPr>
        <w:t> </w:t>
      </w:r>
      <w:r>
        <w:rPr>
          <w:color w:val="231F20"/>
          <w:spacing w:val="-3"/>
          <w:w w:val="110"/>
        </w:rPr>
        <w:t>PA</w:t>
      </w:r>
      <w:r>
        <w:rPr>
          <w:color w:val="231F20"/>
          <w:spacing w:val="8"/>
          <w:w w:val="110"/>
        </w:rPr>
        <w:t> </w:t>
      </w:r>
      <w:r>
        <w:rPr>
          <w:color w:val="231F20"/>
          <w:w w:val="110"/>
        </w:rPr>
        <w:t>Daphne</w:t>
      </w:r>
      <w:r>
        <w:rPr>
          <w:color w:val="231F20"/>
          <w:spacing w:val="8"/>
          <w:w w:val="110"/>
        </w:rPr>
        <w:t> </w:t>
      </w:r>
      <w:r>
        <w:rPr>
          <w:color w:val="231F20"/>
          <w:w w:val="110"/>
        </w:rPr>
        <w:t>Munson</w:t>
      </w:r>
    </w:p>
    <w:p>
      <w:pPr>
        <w:pStyle w:val="BodyText"/>
        <w:spacing w:line="273" w:lineRule="auto" w:before="1"/>
        <w:ind w:left="673" w:right="1365"/>
      </w:pPr>
      <w:r>
        <w:rPr>
          <w:color w:val="231F20"/>
          <w:w w:val="110"/>
        </w:rPr>
        <w:t>who both </w:t>
      </w:r>
      <w:r>
        <w:rPr>
          <w:color w:val="231F20"/>
          <w:spacing w:val="3"/>
          <w:w w:val="110"/>
        </w:rPr>
        <w:t>left </w:t>
      </w:r>
      <w:r>
        <w:rPr>
          <w:color w:val="231F20"/>
          <w:w w:val="110"/>
        </w:rPr>
        <w:t>post in September 2006. </w:t>
      </w:r>
      <w:r>
        <w:rPr>
          <w:color w:val="231F20"/>
          <w:spacing w:val="-3"/>
          <w:w w:val="110"/>
        </w:rPr>
        <w:t>We </w:t>
      </w:r>
      <w:r>
        <w:rPr>
          <w:color w:val="231F20"/>
          <w:w w:val="110"/>
        </w:rPr>
        <w:t>are also indebted to our current </w:t>
      </w:r>
      <w:r>
        <w:rPr>
          <w:color w:val="231F20"/>
          <w:spacing w:val="2"/>
          <w:w w:val="110"/>
        </w:rPr>
        <w:t>acting-secretary</w:t>
      </w:r>
      <w:r>
        <w:rPr>
          <w:color w:val="231F20"/>
          <w:spacing w:val="73"/>
          <w:w w:val="110"/>
        </w:rPr>
        <w:t> </w:t>
      </w:r>
      <w:r>
        <w:rPr>
          <w:color w:val="231F20"/>
          <w:w w:val="110"/>
        </w:rPr>
        <w:t>Ray Adams.</w:t>
      </w:r>
    </w:p>
    <w:p>
      <w:pPr>
        <w:pStyle w:val="BodyText"/>
        <w:spacing w:before="8"/>
        <w:rPr>
          <w:sz w:val="20"/>
        </w:rPr>
      </w:pPr>
    </w:p>
    <w:p>
      <w:pPr>
        <w:numPr>
          <w:ilvl w:val="2"/>
          <w:numId w:val="92"/>
        </w:numPr>
        <w:tabs>
          <w:tab w:pos="1354" w:val="left" w:leader="none"/>
          <w:tab w:pos="1355" w:val="left" w:leader="none"/>
        </w:tabs>
        <w:spacing w:before="1"/>
        <w:ind w:left="1354" w:right="0" w:hanging="682"/>
        <w:jc w:val="left"/>
        <w:rPr>
          <w:b/>
          <w:sz w:val="18"/>
        </w:rPr>
      </w:pPr>
      <w:r>
        <w:rPr>
          <w:b/>
          <w:color w:val="231F20"/>
          <w:spacing w:val="2"/>
          <w:w w:val="110"/>
          <w:sz w:val="18"/>
        </w:rPr>
        <w:t>Reports </w:t>
      </w:r>
      <w:r>
        <w:rPr>
          <w:b/>
          <w:color w:val="231F20"/>
          <w:w w:val="110"/>
          <w:sz w:val="18"/>
        </w:rPr>
        <w:t>to </w:t>
      </w:r>
      <w:r>
        <w:rPr>
          <w:b/>
          <w:color w:val="231F20"/>
          <w:spacing w:val="2"/>
          <w:w w:val="110"/>
          <w:sz w:val="18"/>
        </w:rPr>
        <w:t>Assembly </w:t>
      </w:r>
      <w:r>
        <w:rPr>
          <w:b/>
          <w:color w:val="231F20"/>
          <w:w w:val="110"/>
          <w:sz w:val="18"/>
        </w:rPr>
        <w:t>through the Life and </w:t>
      </w:r>
      <w:r>
        <w:rPr>
          <w:b/>
          <w:color w:val="231F20"/>
          <w:spacing w:val="2"/>
          <w:w w:val="110"/>
          <w:sz w:val="18"/>
        </w:rPr>
        <w:t>Witness</w:t>
      </w:r>
      <w:r>
        <w:rPr>
          <w:b/>
          <w:color w:val="231F20"/>
          <w:spacing w:val="9"/>
          <w:w w:val="110"/>
          <w:sz w:val="18"/>
        </w:rPr>
        <w:t> </w:t>
      </w:r>
      <w:r>
        <w:rPr>
          <w:b/>
          <w:color w:val="231F20"/>
          <w:spacing w:val="2"/>
          <w:w w:val="110"/>
          <w:sz w:val="18"/>
        </w:rPr>
        <w:t>Committee</w:t>
      </w:r>
    </w:p>
    <w:p>
      <w:pPr>
        <w:pStyle w:val="ListParagraph"/>
        <w:numPr>
          <w:ilvl w:val="3"/>
          <w:numId w:val="92"/>
        </w:numPr>
        <w:tabs>
          <w:tab w:pos="1354" w:val="left" w:leader="none"/>
          <w:tab w:pos="1355" w:val="left" w:leader="none"/>
        </w:tabs>
        <w:spacing w:line="240" w:lineRule="auto" w:before="31" w:after="0"/>
        <w:ind w:left="1354" w:right="0" w:hanging="682"/>
        <w:jc w:val="left"/>
        <w:rPr>
          <w:b/>
          <w:color w:val="231F20"/>
          <w:sz w:val="18"/>
        </w:rPr>
      </w:pPr>
      <w:r>
        <w:rPr>
          <w:b/>
          <w:color w:val="231F20"/>
          <w:w w:val="110"/>
          <w:sz w:val="18"/>
        </w:rPr>
        <w:t>Windermere Advisory</w:t>
      </w:r>
      <w:r>
        <w:rPr>
          <w:b/>
          <w:color w:val="231F20"/>
          <w:spacing w:val="1"/>
          <w:w w:val="110"/>
          <w:sz w:val="18"/>
        </w:rPr>
        <w:t> </w:t>
      </w:r>
      <w:r>
        <w:rPr>
          <w:b/>
          <w:color w:val="231F20"/>
          <w:w w:val="110"/>
          <w:sz w:val="18"/>
        </w:rPr>
        <w:t>Group</w:t>
      </w:r>
    </w:p>
    <w:p>
      <w:pPr>
        <w:pStyle w:val="ListParagraph"/>
        <w:numPr>
          <w:ilvl w:val="4"/>
          <w:numId w:val="92"/>
        </w:numPr>
        <w:tabs>
          <w:tab w:pos="1355" w:val="left" w:leader="none"/>
        </w:tabs>
        <w:spacing w:line="273" w:lineRule="auto" w:before="31" w:after="0"/>
        <w:ind w:left="673" w:right="1556" w:firstLine="0"/>
        <w:jc w:val="left"/>
        <w:rPr>
          <w:sz w:val="18"/>
        </w:rPr>
      </w:pPr>
      <w:r>
        <w:rPr>
          <w:color w:val="231F20"/>
          <w:w w:val="110"/>
          <w:sz w:val="18"/>
        </w:rPr>
        <w:t>The Windermere Centre is </w:t>
      </w:r>
      <w:r>
        <w:rPr>
          <w:color w:val="231F20"/>
          <w:spacing w:val="2"/>
          <w:w w:val="110"/>
          <w:sz w:val="18"/>
        </w:rPr>
        <w:t>“the </w:t>
      </w:r>
      <w:r>
        <w:rPr>
          <w:color w:val="231F20"/>
          <w:w w:val="110"/>
          <w:sz w:val="18"/>
        </w:rPr>
        <w:t>Assembly’s training centre and a training </w:t>
      </w:r>
      <w:r>
        <w:rPr>
          <w:color w:val="231F20"/>
          <w:spacing w:val="2"/>
          <w:w w:val="110"/>
          <w:sz w:val="18"/>
        </w:rPr>
        <w:t>resource </w:t>
      </w:r>
      <w:r>
        <w:rPr>
          <w:color w:val="231F20"/>
          <w:w w:val="110"/>
          <w:sz w:val="18"/>
        </w:rPr>
        <w:t>for the whole Church”. It is “a place where the future </w:t>
      </w:r>
      <w:r>
        <w:rPr>
          <w:color w:val="231F20"/>
          <w:spacing w:val="2"/>
          <w:w w:val="110"/>
          <w:sz w:val="18"/>
        </w:rPr>
        <w:t>pattern </w:t>
      </w:r>
      <w:r>
        <w:rPr>
          <w:color w:val="231F20"/>
          <w:w w:val="110"/>
          <w:sz w:val="18"/>
        </w:rPr>
        <w:t>of life and witness of the United Reformed Church can be explored”, and “personal spiritual development and fellowship” enjoyed. </w:t>
      </w:r>
      <w:r>
        <w:rPr>
          <w:color w:val="231F20"/>
          <w:spacing w:val="2"/>
          <w:w w:val="110"/>
          <w:sz w:val="18"/>
        </w:rPr>
        <w:t>These </w:t>
      </w:r>
      <w:r>
        <w:rPr>
          <w:color w:val="231F20"/>
          <w:w w:val="110"/>
          <w:sz w:val="18"/>
        </w:rPr>
        <w:t>are phrases </w:t>
      </w:r>
      <w:r>
        <w:rPr>
          <w:color w:val="231F20"/>
          <w:spacing w:val="2"/>
          <w:w w:val="110"/>
          <w:sz w:val="18"/>
        </w:rPr>
        <w:t>from </w:t>
      </w:r>
      <w:r>
        <w:rPr>
          <w:color w:val="231F20"/>
          <w:w w:val="110"/>
          <w:sz w:val="18"/>
        </w:rPr>
        <w:t>Mission Council’s </w:t>
      </w:r>
      <w:r>
        <w:rPr>
          <w:color w:val="231F20"/>
          <w:spacing w:val="3"/>
          <w:w w:val="110"/>
          <w:sz w:val="18"/>
        </w:rPr>
        <w:t>report </w:t>
      </w:r>
      <w:r>
        <w:rPr>
          <w:color w:val="231F20"/>
          <w:spacing w:val="2"/>
          <w:w w:val="110"/>
          <w:sz w:val="18"/>
        </w:rPr>
        <w:t>after </w:t>
      </w:r>
      <w:r>
        <w:rPr>
          <w:color w:val="231F20"/>
          <w:w w:val="110"/>
          <w:sz w:val="18"/>
        </w:rPr>
        <w:t>the last review of the Centre in</w:t>
      </w:r>
      <w:r>
        <w:rPr>
          <w:color w:val="231F20"/>
          <w:spacing w:val="3"/>
          <w:w w:val="110"/>
          <w:sz w:val="18"/>
        </w:rPr>
        <w:t> </w:t>
      </w:r>
      <w:r>
        <w:rPr>
          <w:color w:val="231F20"/>
          <w:w w:val="110"/>
          <w:sz w:val="18"/>
        </w:rPr>
        <w:t>2003.</w:t>
      </w:r>
    </w:p>
    <w:p>
      <w:pPr>
        <w:pStyle w:val="BodyText"/>
        <w:spacing w:before="10"/>
        <w:rPr>
          <w:sz w:val="20"/>
        </w:rPr>
      </w:pPr>
    </w:p>
    <w:p>
      <w:pPr>
        <w:pStyle w:val="ListParagraph"/>
        <w:numPr>
          <w:ilvl w:val="4"/>
          <w:numId w:val="92"/>
        </w:numPr>
        <w:tabs>
          <w:tab w:pos="1355" w:val="left" w:leader="none"/>
        </w:tabs>
        <w:spacing w:line="273" w:lineRule="auto" w:before="0" w:after="0"/>
        <w:ind w:left="673" w:right="1807" w:firstLine="0"/>
        <w:jc w:val="left"/>
        <w:rPr>
          <w:sz w:val="18"/>
        </w:rPr>
      </w:pPr>
      <w:r>
        <w:rPr>
          <w:color w:val="231F20"/>
          <w:w w:val="110"/>
          <w:sz w:val="18"/>
        </w:rPr>
        <w:t>An analysis of the programme shows how these intentions are being fulfilled. Activities at the Centre are usually over a long weekend or Monday to Thursday, sometimes a whole week, sometimes just one </w:t>
      </w:r>
      <w:r>
        <w:rPr>
          <w:color w:val="231F20"/>
          <w:spacing w:val="-5"/>
          <w:w w:val="110"/>
          <w:sz w:val="18"/>
        </w:rPr>
        <w:t>day. </w:t>
      </w:r>
      <w:r>
        <w:rPr>
          <w:color w:val="231F20"/>
          <w:w w:val="110"/>
          <w:sz w:val="18"/>
        </w:rPr>
        <w:t>The programme, as published at the </w:t>
      </w:r>
      <w:r>
        <w:rPr>
          <w:color w:val="231F20"/>
          <w:spacing w:val="3"/>
          <w:w w:val="110"/>
          <w:sz w:val="18"/>
        </w:rPr>
        <w:t>start </w:t>
      </w:r>
      <w:r>
        <w:rPr>
          <w:color w:val="231F20"/>
          <w:w w:val="110"/>
          <w:sz w:val="18"/>
        </w:rPr>
        <w:t>of </w:t>
      </w:r>
      <w:r>
        <w:rPr>
          <w:color w:val="231F20"/>
          <w:spacing w:val="-7"/>
          <w:w w:val="110"/>
          <w:sz w:val="18"/>
        </w:rPr>
        <w:t>2007, </w:t>
      </w:r>
      <w:r>
        <w:rPr>
          <w:color w:val="231F20"/>
          <w:w w:val="110"/>
          <w:sz w:val="18"/>
        </w:rPr>
        <w:t>shows a total of 100 events in the </w:t>
      </w:r>
      <w:r>
        <w:rPr>
          <w:color w:val="231F20"/>
          <w:spacing w:val="-4"/>
          <w:w w:val="110"/>
          <w:sz w:val="18"/>
        </w:rPr>
        <w:t>year. </w:t>
      </w:r>
      <w:r>
        <w:rPr>
          <w:color w:val="231F20"/>
          <w:w w:val="110"/>
          <w:sz w:val="18"/>
        </w:rPr>
        <w:t>Of</w:t>
      </w:r>
      <w:r>
        <w:rPr>
          <w:color w:val="231F20"/>
          <w:spacing w:val="38"/>
          <w:w w:val="110"/>
          <w:sz w:val="18"/>
        </w:rPr>
        <w:t> </w:t>
      </w:r>
      <w:r>
        <w:rPr>
          <w:color w:val="231F20"/>
          <w:w w:val="110"/>
          <w:sz w:val="18"/>
        </w:rPr>
        <w:t>these,</w:t>
      </w:r>
    </w:p>
    <w:p>
      <w:pPr>
        <w:pStyle w:val="BodyText"/>
        <w:spacing w:line="273" w:lineRule="auto" w:before="2"/>
        <w:ind w:left="673" w:right="2061"/>
      </w:pPr>
      <w:r>
        <w:rPr>
          <w:color w:val="231F20"/>
          <w:w w:val="110"/>
        </w:rPr>
        <w:t>26 are consultations, courses or meetings organised by Assembly committees or staff 20 are local church groups led by themselves or the Director</w:t>
      </w:r>
    </w:p>
    <w:p>
      <w:pPr>
        <w:pStyle w:val="BodyText"/>
        <w:spacing w:line="273" w:lineRule="auto" w:before="2"/>
        <w:ind w:left="673" w:right="3816"/>
      </w:pPr>
      <w:r>
        <w:rPr>
          <w:color w:val="231F20"/>
          <w:w w:val="110"/>
        </w:rPr>
        <w:t>19 are courses arranged by the Director for any individuals to attend 11 are events organised by a synod or a district</w:t>
      </w:r>
    </w:p>
    <w:p>
      <w:pPr>
        <w:pStyle w:val="BodyText"/>
        <w:spacing w:before="1"/>
        <w:ind w:left="673"/>
      </w:pPr>
      <w:r>
        <w:rPr>
          <w:color w:val="231F20"/>
          <w:w w:val="110"/>
        </w:rPr>
        <w:t>10 are network gatherings or interest groups who run their own activities</w:t>
      </w:r>
    </w:p>
    <w:p>
      <w:pPr>
        <w:pStyle w:val="BodyText"/>
        <w:spacing w:before="31"/>
        <w:ind w:left="673"/>
      </w:pPr>
      <w:r>
        <w:rPr>
          <w:color w:val="231F20"/>
          <w:w w:val="110"/>
        </w:rPr>
        <w:t>14 are time slots still available when the programme was published, for more groups to book.</w:t>
      </w:r>
    </w:p>
    <w:p>
      <w:pPr>
        <w:pStyle w:val="BodyText"/>
        <w:spacing w:before="2"/>
        <w:rPr>
          <w:sz w:val="23"/>
        </w:rPr>
      </w:pPr>
    </w:p>
    <w:p>
      <w:pPr>
        <w:pStyle w:val="ListParagraph"/>
        <w:numPr>
          <w:ilvl w:val="4"/>
          <w:numId w:val="92"/>
        </w:numPr>
        <w:tabs>
          <w:tab w:pos="1355" w:val="left" w:leader="none"/>
        </w:tabs>
        <w:spacing w:line="273" w:lineRule="auto" w:before="0" w:after="0"/>
        <w:ind w:left="673" w:right="2123" w:firstLine="0"/>
        <w:jc w:val="left"/>
        <w:rPr>
          <w:sz w:val="18"/>
        </w:rPr>
      </w:pPr>
      <w:r>
        <w:rPr>
          <w:color w:val="231F20"/>
          <w:w w:val="110"/>
          <w:sz w:val="18"/>
        </w:rPr>
        <w:t>The courses arranged by the Director maintain the balance that Mission Council requested, between “assisting the church corporately to develop its mission” such</w:t>
      </w:r>
      <w:r>
        <w:rPr>
          <w:color w:val="231F20"/>
          <w:spacing w:val="-5"/>
          <w:w w:val="110"/>
          <w:sz w:val="18"/>
        </w:rPr>
        <w:t> </w:t>
      </w:r>
      <w:r>
        <w:rPr>
          <w:color w:val="231F20"/>
          <w:w w:val="110"/>
          <w:sz w:val="18"/>
        </w:rPr>
        <w:t>as</w:t>
      </w:r>
    </w:p>
    <w:p>
      <w:pPr>
        <w:spacing w:line="273" w:lineRule="auto" w:before="1"/>
        <w:ind w:left="673" w:right="1448" w:firstLine="0"/>
        <w:jc w:val="left"/>
        <w:rPr>
          <w:sz w:val="18"/>
        </w:rPr>
      </w:pPr>
      <w:r>
        <w:rPr>
          <w:i/>
          <w:color w:val="231F20"/>
          <w:w w:val="110"/>
          <w:sz w:val="18"/>
        </w:rPr>
        <w:t>A Spirituality for the Road </w:t>
      </w:r>
      <w:r>
        <w:rPr>
          <w:color w:val="231F20"/>
          <w:w w:val="110"/>
          <w:sz w:val="18"/>
        </w:rPr>
        <w:t>with John Bell, </w:t>
      </w:r>
      <w:r>
        <w:rPr>
          <w:i/>
          <w:color w:val="231F20"/>
          <w:w w:val="110"/>
          <w:sz w:val="18"/>
        </w:rPr>
        <w:t>How Jesus’ death saves us</w:t>
      </w:r>
      <w:r>
        <w:rPr>
          <w:color w:val="231F20"/>
          <w:w w:val="110"/>
          <w:sz w:val="18"/>
        </w:rPr>
        <w:t>, </w:t>
      </w:r>
      <w:r>
        <w:rPr>
          <w:i/>
          <w:color w:val="231F20"/>
          <w:w w:val="110"/>
          <w:sz w:val="18"/>
        </w:rPr>
        <w:t>Transforming your </w:t>
      </w:r>
      <w:r>
        <w:rPr>
          <w:i/>
          <w:color w:val="231F20"/>
          <w:w w:val="110"/>
          <w:sz w:val="18"/>
        </w:rPr>
        <w:t>Church Newsletter</w:t>
      </w:r>
      <w:r>
        <w:rPr>
          <w:color w:val="231F20"/>
          <w:w w:val="110"/>
          <w:sz w:val="18"/>
        </w:rPr>
        <w:t>, and “more popular activities aimed at personal spiritual development and fellowship” such as </w:t>
      </w:r>
      <w:r>
        <w:rPr>
          <w:i/>
          <w:color w:val="231F20"/>
          <w:w w:val="110"/>
          <w:sz w:val="18"/>
        </w:rPr>
        <w:t>Creative Threads</w:t>
      </w:r>
      <w:r>
        <w:rPr>
          <w:color w:val="231F20"/>
          <w:w w:val="110"/>
          <w:sz w:val="18"/>
        </w:rPr>
        <w:t>, </w:t>
      </w:r>
      <w:r>
        <w:rPr>
          <w:i/>
          <w:color w:val="231F20"/>
          <w:w w:val="110"/>
          <w:sz w:val="18"/>
        </w:rPr>
        <w:t>Painting in the Spring</w:t>
      </w:r>
      <w:r>
        <w:rPr>
          <w:color w:val="231F20"/>
          <w:w w:val="110"/>
          <w:sz w:val="18"/>
        </w:rPr>
        <w:t>, </w:t>
      </w:r>
      <w:r>
        <w:rPr>
          <w:i/>
          <w:color w:val="231F20"/>
          <w:w w:val="110"/>
          <w:sz w:val="18"/>
        </w:rPr>
        <w:t>Autumn Peaks</w:t>
      </w:r>
      <w:r>
        <w:rPr>
          <w:color w:val="231F20"/>
          <w:w w:val="110"/>
          <w:sz w:val="18"/>
        </w:rPr>
        <w:t>. The plans for 2008 are focusing on the themes of prayer, re-engagement with the Bible, and evangelism.</w:t>
      </w:r>
    </w:p>
    <w:p>
      <w:pPr>
        <w:pStyle w:val="BodyText"/>
        <w:spacing w:before="9"/>
        <w:rPr>
          <w:sz w:val="20"/>
        </w:rPr>
      </w:pPr>
    </w:p>
    <w:p>
      <w:pPr>
        <w:pStyle w:val="ListParagraph"/>
        <w:numPr>
          <w:ilvl w:val="4"/>
          <w:numId w:val="92"/>
        </w:numPr>
        <w:tabs>
          <w:tab w:pos="1355" w:val="left" w:leader="none"/>
        </w:tabs>
        <w:spacing w:line="273" w:lineRule="auto" w:before="1" w:after="0"/>
        <w:ind w:left="673" w:right="1490" w:hanging="1"/>
        <w:jc w:val="both"/>
        <w:rPr>
          <w:sz w:val="18"/>
        </w:rPr>
      </w:pPr>
      <w:r>
        <w:rPr>
          <w:color w:val="231F20"/>
          <w:w w:val="110"/>
          <w:sz w:val="18"/>
        </w:rPr>
        <w:t>In recent years the number of people who book as individuals is declining, but more and larger groups are coming </w:t>
      </w:r>
      <w:r>
        <w:rPr>
          <w:color w:val="231F20"/>
          <w:spacing w:val="2"/>
          <w:w w:val="110"/>
          <w:sz w:val="18"/>
        </w:rPr>
        <w:t>from </w:t>
      </w:r>
      <w:r>
        <w:rPr>
          <w:color w:val="231F20"/>
          <w:w w:val="110"/>
          <w:sz w:val="18"/>
        </w:rPr>
        <w:t>local churches, and there are more bookings for events by Assembly groups, synods and</w:t>
      </w:r>
      <w:r>
        <w:rPr>
          <w:color w:val="231F20"/>
          <w:spacing w:val="9"/>
          <w:w w:val="110"/>
          <w:sz w:val="18"/>
        </w:rPr>
        <w:t> </w:t>
      </w:r>
      <w:r>
        <w:rPr>
          <w:color w:val="231F20"/>
          <w:w w:val="110"/>
          <w:sz w:val="18"/>
        </w:rPr>
        <w:t>networks.</w:t>
      </w:r>
    </w:p>
    <w:p>
      <w:pPr>
        <w:pStyle w:val="BodyText"/>
        <w:spacing w:before="8"/>
        <w:rPr>
          <w:sz w:val="20"/>
        </w:rPr>
      </w:pPr>
    </w:p>
    <w:p>
      <w:pPr>
        <w:pStyle w:val="ListParagraph"/>
        <w:numPr>
          <w:ilvl w:val="4"/>
          <w:numId w:val="92"/>
        </w:numPr>
        <w:tabs>
          <w:tab w:pos="1355" w:val="left" w:leader="none"/>
        </w:tabs>
        <w:spacing w:line="273" w:lineRule="auto" w:before="0" w:after="0"/>
        <w:ind w:left="673" w:right="1756" w:firstLine="0"/>
        <w:jc w:val="left"/>
        <w:rPr>
          <w:sz w:val="18"/>
        </w:rPr>
      </w:pPr>
      <w:r>
        <w:rPr>
          <w:color w:val="231F20"/>
          <w:w w:val="110"/>
          <w:sz w:val="18"/>
        </w:rPr>
        <w:t>In the wider Church, the Director’s expertise has been called upon for Bible studies at Assembly and synod schools, for consultations on evangelism, and for the</w:t>
      </w:r>
      <w:r>
        <w:rPr>
          <w:color w:val="231F20"/>
          <w:spacing w:val="-14"/>
          <w:w w:val="110"/>
          <w:sz w:val="18"/>
        </w:rPr>
        <w:t> </w:t>
      </w:r>
      <w:r>
        <w:rPr>
          <w:color w:val="231F20"/>
          <w:w w:val="110"/>
          <w:sz w:val="18"/>
        </w:rPr>
        <w:t>ecumenical</w:t>
      </w:r>
    </w:p>
    <w:p>
      <w:pPr>
        <w:pStyle w:val="BodyText"/>
        <w:spacing w:line="273" w:lineRule="auto" w:before="1"/>
        <w:ind w:left="673" w:right="1365"/>
      </w:pPr>
      <w:r>
        <w:rPr>
          <w:color w:val="231F20"/>
          <w:w w:val="110"/>
        </w:rPr>
        <w:t>team reviewing the East Midlands Ministerial Training Course. He has represented the United Reformed Church in Regional Training Partnership developments in the north-west.</w:t>
      </w:r>
    </w:p>
    <w:p>
      <w:pPr>
        <w:pStyle w:val="BodyText"/>
        <w:spacing w:before="9"/>
        <w:rPr>
          <w:sz w:val="20"/>
        </w:rPr>
      </w:pPr>
    </w:p>
    <w:p>
      <w:pPr>
        <w:pStyle w:val="ListParagraph"/>
        <w:numPr>
          <w:ilvl w:val="4"/>
          <w:numId w:val="92"/>
        </w:numPr>
        <w:tabs>
          <w:tab w:pos="1355" w:val="left" w:leader="none"/>
        </w:tabs>
        <w:spacing w:line="273" w:lineRule="auto" w:before="0" w:after="0"/>
        <w:ind w:left="673" w:right="1449" w:firstLine="0"/>
        <w:jc w:val="left"/>
        <w:rPr>
          <w:sz w:val="18"/>
        </w:rPr>
      </w:pPr>
      <w:r>
        <w:rPr>
          <w:color w:val="231F20"/>
          <w:w w:val="110"/>
          <w:sz w:val="18"/>
        </w:rPr>
        <w:t>At Windermere during the past year the dining room has been attractively refurbished, wifi </w:t>
      </w:r>
      <w:r>
        <w:rPr>
          <w:color w:val="231F20"/>
          <w:spacing w:val="2"/>
          <w:w w:val="110"/>
          <w:sz w:val="18"/>
        </w:rPr>
        <w:t>service </w:t>
      </w:r>
      <w:r>
        <w:rPr>
          <w:color w:val="231F20"/>
          <w:w w:val="110"/>
          <w:sz w:val="18"/>
        </w:rPr>
        <w:t>added to the electronic equipment for guests’ use, new accounting and</w:t>
      </w:r>
      <w:r>
        <w:rPr>
          <w:color w:val="231F20"/>
          <w:spacing w:val="7"/>
          <w:w w:val="110"/>
          <w:sz w:val="18"/>
        </w:rPr>
        <w:t> </w:t>
      </w:r>
      <w:r>
        <w:rPr>
          <w:color w:val="231F20"/>
          <w:w w:val="110"/>
          <w:sz w:val="18"/>
        </w:rPr>
        <w:t>budgeting</w:t>
      </w:r>
      <w:r>
        <w:rPr>
          <w:color w:val="231F20"/>
          <w:spacing w:val="7"/>
          <w:w w:val="110"/>
          <w:sz w:val="18"/>
        </w:rPr>
        <w:t> </w:t>
      </w:r>
      <w:r>
        <w:rPr>
          <w:color w:val="231F20"/>
          <w:w w:val="110"/>
          <w:sz w:val="18"/>
        </w:rPr>
        <w:t>systems</w:t>
      </w:r>
      <w:r>
        <w:rPr>
          <w:color w:val="231F20"/>
          <w:spacing w:val="8"/>
          <w:w w:val="110"/>
          <w:sz w:val="18"/>
        </w:rPr>
        <w:t> </w:t>
      </w:r>
      <w:r>
        <w:rPr>
          <w:color w:val="231F20"/>
          <w:w w:val="110"/>
          <w:sz w:val="18"/>
        </w:rPr>
        <w:t>have</w:t>
      </w:r>
      <w:r>
        <w:rPr>
          <w:color w:val="231F20"/>
          <w:spacing w:val="7"/>
          <w:w w:val="110"/>
          <w:sz w:val="18"/>
        </w:rPr>
        <w:t> </w:t>
      </w:r>
      <w:r>
        <w:rPr>
          <w:color w:val="231F20"/>
          <w:w w:val="110"/>
          <w:sz w:val="18"/>
        </w:rPr>
        <w:t>been</w:t>
      </w:r>
      <w:r>
        <w:rPr>
          <w:color w:val="231F20"/>
          <w:spacing w:val="7"/>
          <w:w w:val="110"/>
          <w:sz w:val="18"/>
        </w:rPr>
        <w:t> </w:t>
      </w:r>
      <w:r>
        <w:rPr>
          <w:color w:val="231F20"/>
          <w:w w:val="110"/>
          <w:sz w:val="18"/>
        </w:rPr>
        <w:t>devised</w:t>
      </w:r>
      <w:r>
        <w:rPr>
          <w:color w:val="231F20"/>
          <w:spacing w:val="8"/>
          <w:w w:val="110"/>
          <w:sz w:val="18"/>
        </w:rPr>
        <w:t> </w:t>
      </w:r>
      <w:r>
        <w:rPr>
          <w:color w:val="231F20"/>
          <w:w w:val="110"/>
          <w:sz w:val="18"/>
        </w:rPr>
        <w:t>more</w:t>
      </w:r>
      <w:r>
        <w:rPr>
          <w:color w:val="231F20"/>
          <w:spacing w:val="7"/>
          <w:w w:val="110"/>
          <w:sz w:val="18"/>
        </w:rPr>
        <w:t> </w:t>
      </w:r>
      <w:r>
        <w:rPr>
          <w:color w:val="231F20"/>
          <w:w w:val="110"/>
          <w:sz w:val="18"/>
        </w:rPr>
        <w:t>closely</w:t>
      </w:r>
      <w:r>
        <w:rPr>
          <w:color w:val="231F20"/>
          <w:spacing w:val="7"/>
          <w:w w:val="110"/>
          <w:sz w:val="18"/>
        </w:rPr>
        <w:t> </w:t>
      </w:r>
      <w:r>
        <w:rPr>
          <w:color w:val="231F20"/>
          <w:w w:val="110"/>
          <w:sz w:val="18"/>
        </w:rPr>
        <w:t>linked</w:t>
      </w:r>
      <w:r>
        <w:rPr>
          <w:color w:val="231F20"/>
          <w:spacing w:val="8"/>
          <w:w w:val="110"/>
          <w:sz w:val="18"/>
        </w:rPr>
        <w:t> </w:t>
      </w:r>
      <w:r>
        <w:rPr>
          <w:color w:val="231F20"/>
          <w:w w:val="110"/>
          <w:sz w:val="18"/>
        </w:rPr>
        <w:t>with</w:t>
      </w:r>
      <w:r>
        <w:rPr>
          <w:color w:val="231F20"/>
          <w:spacing w:val="7"/>
          <w:w w:val="110"/>
          <w:sz w:val="18"/>
        </w:rPr>
        <w:t> </w:t>
      </w:r>
      <w:r>
        <w:rPr>
          <w:color w:val="231F20"/>
          <w:w w:val="110"/>
          <w:sz w:val="18"/>
        </w:rPr>
        <w:t>the</w:t>
      </w:r>
      <w:r>
        <w:rPr>
          <w:color w:val="231F20"/>
          <w:spacing w:val="7"/>
          <w:w w:val="110"/>
          <w:sz w:val="18"/>
        </w:rPr>
        <w:t> </w:t>
      </w:r>
      <w:r>
        <w:rPr>
          <w:color w:val="231F20"/>
          <w:w w:val="110"/>
          <w:sz w:val="18"/>
        </w:rPr>
        <w:t>Finance</w:t>
      </w:r>
      <w:r>
        <w:rPr>
          <w:color w:val="231F20"/>
          <w:spacing w:val="8"/>
          <w:w w:val="110"/>
          <w:sz w:val="18"/>
        </w:rPr>
        <w:t> </w:t>
      </w:r>
      <w:r>
        <w:rPr>
          <w:color w:val="231F20"/>
          <w:spacing w:val="2"/>
          <w:w w:val="110"/>
          <w:sz w:val="18"/>
        </w:rPr>
        <w:t>Office</w:t>
      </w:r>
    </w:p>
    <w:p>
      <w:pPr>
        <w:spacing w:after="0" w:line="273" w:lineRule="auto"/>
        <w:jc w:val="left"/>
        <w:rPr>
          <w:sz w:val="18"/>
        </w:rPr>
        <w:sectPr>
          <w:headerReference w:type="even" r:id="rId214"/>
          <w:footerReference w:type="even" r:id="rId215"/>
          <w:pgSz w:w="11910" w:h="16840"/>
          <w:pgMar w:header="558" w:footer="564" w:top="820" w:bottom="760" w:left="460" w:right="0"/>
          <w:pgNumType w:start="148"/>
        </w:sectPr>
      </w:pPr>
    </w:p>
    <w:p>
      <w:pPr>
        <w:spacing w:before="28"/>
        <w:ind w:left="673" w:right="0" w:firstLine="0"/>
        <w:jc w:val="left"/>
        <w:rPr>
          <w:rFonts w:ascii="Eurostile Bold"/>
          <w:b/>
          <w:sz w:val="28"/>
        </w:rPr>
      </w:pPr>
      <w:r>
        <w:rPr>
          <w:rFonts w:ascii="Eurostile Bold"/>
          <w:b/>
          <w:color w:val="A7A9AC"/>
          <w:w w:val="95"/>
          <w:sz w:val="28"/>
        </w:rPr>
        <w:t>Life &amp;</w:t>
      </w:r>
      <w:r>
        <w:rPr>
          <w:rFonts w:ascii="Eurostile Bold"/>
          <w:b/>
          <w:color w:val="A7A9AC"/>
          <w:spacing w:val="-55"/>
          <w:w w:val="95"/>
          <w:sz w:val="28"/>
        </w:rPr>
        <w:t> </w:t>
      </w:r>
      <w:r>
        <w:rPr>
          <w:rFonts w:ascii="Eurostile Bold"/>
          <w:b/>
          <w:color w:val="A7A9AC"/>
          <w:w w:val="95"/>
          <w:sz w:val="28"/>
        </w:rPr>
        <w:t>Witness</w:t>
      </w:r>
    </w:p>
    <w:p>
      <w:pPr>
        <w:pStyle w:val="BodyText"/>
        <w:spacing w:before="5"/>
        <w:rPr>
          <w:rFonts w:ascii="Eurostile Bold"/>
          <w:b/>
          <w:sz w:val="12"/>
        </w:rPr>
      </w:pPr>
    </w:p>
    <w:p>
      <w:pPr>
        <w:pStyle w:val="BodyText"/>
        <w:spacing w:line="273" w:lineRule="auto" w:before="100"/>
        <w:ind w:left="1240" w:right="1593"/>
      </w:pPr>
      <w:r>
        <w:rPr>
          <w:color w:val="231F20"/>
          <w:w w:val="110"/>
        </w:rPr>
        <w:t>at Church House, and various possibilities have been explored for improving the conference facilities and reorganising the senior staff responsibilities.</w:t>
      </w:r>
    </w:p>
    <w:p>
      <w:pPr>
        <w:pStyle w:val="BodyText"/>
        <w:spacing w:before="8"/>
        <w:rPr>
          <w:sz w:val="20"/>
        </w:rPr>
      </w:pPr>
    </w:p>
    <w:p>
      <w:pPr>
        <w:pStyle w:val="ListParagraph"/>
        <w:numPr>
          <w:ilvl w:val="4"/>
          <w:numId w:val="92"/>
        </w:numPr>
        <w:tabs>
          <w:tab w:pos="1922" w:val="left" w:leader="none"/>
        </w:tabs>
        <w:spacing w:line="273" w:lineRule="auto" w:before="1" w:after="0"/>
        <w:ind w:left="1240" w:right="1515" w:firstLine="0"/>
        <w:jc w:val="left"/>
        <w:rPr>
          <w:sz w:val="18"/>
        </w:rPr>
      </w:pPr>
      <w:r>
        <w:rPr>
          <w:color w:val="231F20"/>
          <w:w w:val="110"/>
          <w:sz w:val="18"/>
        </w:rPr>
        <w:t>The </w:t>
      </w:r>
      <w:r>
        <w:rPr>
          <w:color w:val="231F20"/>
          <w:spacing w:val="2"/>
          <w:w w:val="110"/>
          <w:sz w:val="18"/>
        </w:rPr>
        <w:t>next </w:t>
      </w:r>
      <w:r>
        <w:rPr>
          <w:color w:val="231F20"/>
          <w:w w:val="110"/>
          <w:sz w:val="18"/>
        </w:rPr>
        <w:t>review by Mission Council is due, and this will steer the </w:t>
      </w:r>
      <w:r>
        <w:rPr>
          <w:color w:val="231F20"/>
          <w:spacing w:val="2"/>
          <w:w w:val="110"/>
          <w:sz w:val="18"/>
        </w:rPr>
        <w:t>further </w:t>
      </w:r>
      <w:r>
        <w:rPr>
          <w:color w:val="231F20"/>
          <w:w w:val="110"/>
          <w:sz w:val="18"/>
        </w:rPr>
        <w:t>developments of the Windermere Centre to meet the current and future needs of the learning Church and its</w:t>
      </w:r>
      <w:r>
        <w:rPr>
          <w:color w:val="231F20"/>
          <w:spacing w:val="5"/>
          <w:w w:val="110"/>
          <w:sz w:val="18"/>
        </w:rPr>
        <w:t> </w:t>
      </w:r>
      <w:r>
        <w:rPr>
          <w:color w:val="231F20"/>
          <w:w w:val="110"/>
          <w:sz w:val="18"/>
        </w:rPr>
        <w:t>mission.</w:t>
      </w:r>
    </w:p>
    <w:p>
      <w:pPr>
        <w:pStyle w:val="BodyText"/>
        <w:spacing w:before="8"/>
        <w:rPr>
          <w:sz w:val="20"/>
        </w:rPr>
      </w:pPr>
    </w:p>
    <w:p>
      <w:pPr>
        <w:numPr>
          <w:ilvl w:val="3"/>
          <w:numId w:val="92"/>
        </w:numPr>
        <w:tabs>
          <w:tab w:pos="1921" w:val="left" w:leader="none"/>
          <w:tab w:pos="1922" w:val="left" w:leader="none"/>
        </w:tabs>
        <w:spacing w:before="0"/>
        <w:ind w:left="1921" w:right="0" w:hanging="682"/>
        <w:jc w:val="left"/>
        <w:rPr>
          <w:b/>
          <w:color w:val="231F20"/>
          <w:sz w:val="18"/>
        </w:rPr>
      </w:pPr>
      <w:r>
        <w:rPr>
          <w:b/>
          <w:color w:val="231F20"/>
          <w:w w:val="110"/>
          <w:sz w:val="18"/>
        </w:rPr>
        <w:t>National Rural </w:t>
      </w:r>
      <w:r>
        <w:rPr>
          <w:b/>
          <w:color w:val="231F20"/>
          <w:spacing w:val="2"/>
          <w:w w:val="110"/>
          <w:sz w:val="18"/>
        </w:rPr>
        <w:t>Officer </w:t>
      </w:r>
      <w:r>
        <w:rPr>
          <w:b/>
          <w:color w:val="231F20"/>
          <w:w w:val="110"/>
          <w:sz w:val="18"/>
        </w:rPr>
        <w:t>(serving the Methodist Church and</w:t>
      </w:r>
      <w:r>
        <w:rPr>
          <w:b/>
          <w:color w:val="231F20"/>
          <w:spacing w:val="19"/>
          <w:w w:val="110"/>
          <w:sz w:val="18"/>
        </w:rPr>
        <w:t> </w:t>
      </w:r>
      <w:r>
        <w:rPr>
          <w:b/>
          <w:color w:val="231F20"/>
          <w:w w:val="110"/>
          <w:sz w:val="18"/>
        </w:rPr>
        <w:t>United</w:t>
      </w:r>
    </w:p>
    <w:p>
      <w:pPr>
        <w:spacing w:before="32"/>
        <w:ind w:left="1921" w:right="0" w:firstLine="0"/>
        <w:jc w:val="left"/>
        <w:rPr>
          <w:b/>
          <w:sz w:val="18"/>
        </w:rPr>
      </w:pPr>
      <w:r>
        <w:rPr>
          <w:b/>
          <w:color w:val="231F20"/>
          <w:w w:val="110"/>
          <w:sz w:val="18"/>
        </w:rPr>
        <w:t>Reformed Church)</w:t>
      </w:r>
    </w:p>
    <w:p>
      <w:pPr>
        <w:pStyle w:val="ListParagraph"/>
        <w:numPr>
          <w:ilvl w:val="4"/>
          <w:numId w:val="92"/>
        </w:numPr>
        <w:tabs>
          <w:tab w:pos="1922" w:val="left" w:leader="none"/>
        </w:tabs>
        <w:spacing w:line="273" w:lineRule="auto" w:before="31" w:after="0"/>
        <w:ind w:left="1240" w:right="1131" w:firstLine="0"/>
        <w:jc w:val="left"/>
        <w:rPr>
          <w:sz w:val="18"/>
        </w:rPr>
      </w:pPr>
      <w:r>
        <w:rPr>
          <w:color w:val="231F20"/>
          <w:w w:val="110"/>
          <w:sz w:val="18"/>
        </w:rPr>
        <w:t>Being a joint post with the Methodist Church and based at the </w:t>
      </w:r>
      <w:r>
        <w:rPr>
          <w:color w:val="231F20"/>
          <w:spacing w:val="2"/>
          <w:w w:val="110"/>
          <w:sz w:val="18"/>
        </w:rPr>
        <w:t>Arthur </w:t>
      </w:r>
      <w:r>
        <w:rPr>
          <w:color w:val="231F20"/>
          <w:w w:val="110"/>
          <w:sz w:val="18"/>
        </w:rPr>
        <w:t>Rank   Centre, the role of the National Rural </w:t>
      </w:r>
      <w:r>
        <w:rPr>
          <w:color w:val="231F20"/>
          <w:spacing w:val="2"/>
          <w:w w:val="110"/>
          <w:sz w:val="18"/>
        </w:rPr>
        <w:t>Officer </w:t>
      </w:r>
      <w:r>
        <w:rPr>
          <w:color w:val="231F20"/>
          <w:w w:val="110"/>
          <w:sz w:val="18"/>
        </w:rPr>
        <w:t>is naturally ecumenical and collaborative.  The National Rural </w:t>
      </w:r>
      <w:r>
        <w:rPr>
          <w:color w:val="231F20"/>
          <w:spacing w:val="2"/>
          <w:w w:val="110"/>
          <w:sz w:val="18"/>
        </w:rPr>
        <w:t>Officer </w:t>
      </w:r>
      <w:r>
        <w:rPr>
          <w:color w:val="231F20"/>
          <w:w w:val="110"/>
          <w:sz w:val="18"/>
        </w:rPr>
        <w:t>for the Church of England is a close colleague and together an excellent ecumenical network of Rural </w:t>
      </w:r>
      <w:r>
        <w:rPr>
          <w:color w:val="231F20"/>
          <w:spacing w:val="3"/>
          <w:w w:val="110"/>
          <w:sz w:val="18"/>
        </w:rPr>
        <w:t>Officers </w:t>
      </w:r>
      <w:r>
        <w:rPr>
          <w:color w:val="231F20"/>
          <w:spacing w:val="2"/>
          <w:w w:val="110"/>
          <w:sz w:val="18"/>
        </w:rPr>
        <w:t>across </w:t>
      </w:r>
      <w:r>
        <w:rPr>
          <w:color w:val="231F20"/>
          <w:w w:val="110"/>
          <w:sz w:val="18"/>
        </w:rPr>
        <w:t>the Synods, Dioceses and </w:t>
      </w:r>
      <w:r>
        <w:rPr>
          <w:color w:val="231F20"/>
          <w:spacing w:val="2"/>
          <w:w w:val="110"/>
          <w:sz w:val="18"/>
        </w:rPr>
        <w:t>Districts </w:t>
      </w:r>
      <w:r>
        <w:rPr>
          <w:color w:val="231F20"/>
          <w:w w:val="110"/>
          <w:sz w:val="18"/>
        </w:rPr>
        <w:t>of the three denominations is supported and</w:t>
      </w:r>
      <w:r>
        <w:rPr>
          <w:color w:val="231F20"/>
          <w:spacing w:val="18"/>
          <w:w w:val="110"/>
          <w:sz w:val="18"/>
        </w:rPr>
        <w:t> </w:t>
      </w:r>
      <w:r>
        <w:rPr>
          <w:color w:val="231F20"/>
          <w:w w:val="110"/>
          <w:sz w:val="18"/>
        </w:rPr>
        <w:t>resourced.</w:t>
      </w:r>
    </w:p>
    <w:p>
      <w:pPr>
        <w:pStyle w:val="BodyText"/>
        <w:spacing w:before="10"/>
        <w:rPr>
          <w:sz w:val="20"/>
        </w:rPr>
      </w:pPr>
    </w:p>
    <w:p>
      <w:pPr>
        <w:pStyle w:val="ListParagraph"/>
        <w:numPr>
          <w:ilvl w:val="4"/>
          <w:numId w:val="92"/>
        </w:numPr>
        <w:tabs>
          <w:tab w:pos="1922" w:val="left" w:leader="none"/>
        </w:tabs>
        <w:spacing w:line="273" w:lineRule="auto" w:before="0" w:after="0"/>
        <w:ind w:left="1240" w:right="1197" w:firstLine="0"/>
        <w:jc w:val="left"/>
        <w:rPr>
          <w:sz w:val="18"/>
        </w:rPr>
      </w:pPr>
      <w:r>
        <w:rPr>
          <w:color w:val="231F20"/>
          <w:w w:val="110"/>
          <w:sz w:val="18"/>
        </w:rPr>
        <w:t>This past year has seen the publication of an important piece of research: </w:t>
      </w:r>
      <w:r>
        <w:rPr>
          <w:i/>
          <w:color w:val="231F20"/>
          <w:w w:val="110"/>
          <w:sz w:val="18"/>
        </w:rPr>
        <w:t>Faith    </w:t>
      </w:r>
      <w:r>
        <w:rPr>
          <w:i/>
          <w:color w:val="231F20"/>
          <w:w w:val="110"/>
          <w:sz w:val="18"/>
        </w:rPr>
        <w:t>in Rural Communities: Contributions of Social Capital to Community Vibrancy </w:t>
      </w:r>
      <w:r>
        <w:rPr>
          <w:color w:val="231F20"/>
          <w:w w:val="110"/>
          <w:sz w:val="18"/>
        </w:rPr>
        <w:t>which has confirmed the significant contribution that Christian people make to the well-being of village communities. A tool-kit is currently being produced which will enable churches to </w:t>
      </w:r>
      <w:r>
        <w:rPr>
          <w:color w:val="231F20"/>
          <w:spacing w:val="2"/>
          <w:w w:val="110"/>
          <w:sz w:val="18"/>
        </w:rPr>
        <w:t>reflect </w:t>
      </w:r>
      <w:r>
        <w:rPr>
          <w:color w:val="231F20"/>
          <w:w w:val="110"/>
          <w:sz w:val="18"/>
        </w:rPr>
        <w:t>on and apply this </w:t>
      </w:r>
      <w:r>
        <w:rPr>
          <w:color w:val="231F20"/>
          <w:spacing w:val="2"/>
          <w:w w:val="110"/>
          <w:sz w:val="18"/>
        </w:rPr>
        <w:t>research </w:t>
      </w:r>
      <w:r>
        <w:rPr>
          <w:color w:val="231F20"/>
          <w:w w:val="110"/>
          <w:sz w:val="18"/>
        </w:rPr>
        <w:t>in their own</w:t>
      </w:r>
      <w:r>
        <w:rPr>
          <w:color w:val="231F20"/>
          <w:spacing w:val="15"/>
          <w:w w:val="110"/>
          <w:sz w:val="18"/>
        </w:rPr>
        <w:t> </w:t>
      </w:r>
      <w:r>
        <w:rPr>
          <w:color w:val="231F20"/>
          <w:w w:val="110"/>
          <w:sz w:val="18"/>
        </w:rPr>
        <w:t>communities.</w:t>
      </w:r>
    </w:p>
    <w:p>
      <w:pPr>
        <w:pStyle w:val="BodyText"/>
        <w:spacing w:before="10"/>
        <w:rPr>
          <w:sz w:val="20"/>
        </w:rPr>
      </w:pPr>
    </w:p>
    <w:p>
      <w:pPr>
        <w:pStyle w:val="ListParagraph"/>
        <w:numPr>
          <w:ilvl w:val="4"/>
          <w:numId w:val="92"/>
        </w:numPr>
        <w:tabs>
          <w:tab w:pos="1922" w:val="left" w:leader="none"/>
        </w:tabs>
        <w:spacing w:line="273" w:lineRule="auto" w:before="0" w:after="0"/>
        <w:ind w:left="1240" w:right="1366" w:firstLine="0"/>
        <w:jc w:val="left"/>
        <w:rPr>
          <w:sz w:val="18"/>
        </w:rPr>
      </w:pPr>
      <w:r>
        <w:rPr>
          <w:color w:val="231F20"/>
          <w:w w:val="110"/>
          <w:sz w:val="18"/>
        </w:rPr>
        <w:t>The countryside continues to live through a period of great change and the challenges it faces are considerable. The debacle surrounding the introduction of the Single Farm Payment scheme has been particularly unhelpful. Food </w:t>
      </w:r>
      <w:r>
        <w:rPr>
          <w:color w:val="231F20"/>
          <w:spacing w:val="2"/>
          <w:w w:val="110"/>
          <w:sz w:val="18"/>
        </w:rPr>
        <w:t>production </w:t>
      </w:r>
      <w:r>
        <w:rPr>
          <w:color w:val="231F20"/>
          <w:w w:val="110"/>
          <w:sz w:val="18"/>
        </w:rPr>
        <w:t>and supply has implications for all communities and issues of food ethics, the environment and sustainability will remain high on the rural agenda. The </w:t>
      </w:r>
      <w:r>
        <w:rPr>
          <w:color w:val="231F20"/>
          <w:spacing w:val="2"/>
          <w:w w:val="110"/>
          <w:sz w:val="18"/>
        </w:rPr>
        <w:t>proposed re-structuring </w:t>
      </w:r>
      <w:r>
        <w:rPr>
          <w:color w:val="231F20"/>
          <w:w w:val="110"/>
          <w:sz w:val="18"/>
        </w:rPr>
        <w:t>of the post </w:t>
      </w:r>
      <w:r>
        <w:rPr>
          <w:color w:val="231F20"/>
          <w:spacing w:val="2"/>
          <w:w w:val="110"/>
          <w:sz w:val="18"/>
        </w:rPr>
        <w:t>office </w:t>
      </w:r>
      <w:r>
        <w:rPr>
          <w:color w:val="231F20"/>
          <w:w w:val="110"/>
          <w:sz w:val="18"/>
        </w:rPr>
        <w:t>network is of great concern and </w:t>
      </w:r>
      <w:r>
        <w:rPr>
          <w:color w:val="231F20"/>
          <w:spacing w:val="2"/>
          <w:w w:val="110"/>
          <w:sz w:val="18"/>
        </w:rPr>
        <w:t>further </w:t>
      </w:r>
      <w:r>
        <w:rPr>
          <w:color w:val="231F20"/>
          <w:w w:val="110"/>
          <w:sz w:val="18"/>
        </w:rPr>
        <w:t>encouragement to churches to host post </w:t>
      </w:r>
      <w:r>
        <w:rPr>
          <w:color w:val="231F20"/>
          <w:spacing w:val="2"/>
          <w:w w:val="110"/>
          <w:sz w:val="18"/>
        </w:rPr>
        <w:t>offices </w:t>
      </w:r>
      <w:r>
        <w:rPr>
          <w:color w:val="231F20"/>
          <w:w w:val="110"/>
          <w:sz w:val="18"/>
        </w:rPr>
        <w:t>is to be given with the publication of guidelines for good </w:t>
      </w:r>
      <w:r>
        <w:rPr>
          <w:color w:val="231F20"/>
          <w:spacing w:val="2"/>
          <w:w w:val="110"/>
          <w:sz w:val="18"/>
        </w:rPr>
        <w:t>practice </w:t>
      </w:r>
      <w:r>
        <w:rPr>
          <w:color w:val="231F20"/>
          <w:w w:val="110"/>
          <w:sz w:val="18"/>
        </w:rPr>
        <w:t>and ‘how to’</w:t>
      </w:r>
      <w:r>
        <w:rPr>
          <w:color w:val="231F20"/>
          <w:spacing w:val="1"/>
          <w:w w:val="110"/>
          <w:sz w:val="18"/>
        </w:rPr>
        <w:t> </w:t>
      </w:r>
      <w:r>
        <w:rPr>
          <w:color w:val="231F20"/>
          <w:w w:val="110"/>
          <w:sz w:val="18"/>
        </w:rPr>
        <w:t>information.</w:t>
      </w:r>
    </w:p>
    <w:p>
      <w:pPr>
        <w:pStyle w:val="BodyText"/>
        <w:rPr>
          <w:sz w:val="21"/>
        </w:rPr>
      </w:pPr>
    </w:p>
    <w:p>
      <w:pPr>
        <w:pStyle w:val="ListParagraph"/>
        <w:numPr>
          <w:ilvl w:val="4"/>
          <w:numId w:val="92"/>
        </w:numPr>
        <w:tabs>
          <w:tab w:pos="1922" w:val="left" w:leader="none"/>
        </w:tabs>
        <w:spacing w:line="273" w:lineRule="auto" w:before="0" w:after="0"/>
        <w:ind w:left="1240" w:right="1472" w:firstLine="0"/>
        <w:jc w:val="left"/>
        <w:rPr>
          <w:sz w:val="18"/>
        </w:rPr>
      </w:pPr>
      <w:r>
        <w:rPr>
          <w:color w:val="231F20"/>
          <w:w w:val="110"/>
          <w:sz w:val="18"/>
        </w:rPr>
        <w:t>Migrant workers continue to be present in rural communities in significant numbers and are making an invaluable contribution to the rural economy. Whilst governance of ‘Gangmasters’ is improving there is still evidence of exploitation and attendant social issues. </w:t>
      </w:r>
      <w:r>
        <w:rPr>
          <w:color w:val="231F20"/>
          <w:spacing w:val="2"/>
          <w:w w:val="110"/>
          <w:sz w:val="18"/>
        </w:rPr>
        <w:t>Affordable </w:t>
      </w:r>
      <w:r>
        <w:rPr>
          <w:color w:val="231F20"/>
          <w:w w:val="110"/>
          <w:sz w:val="18"/>
        </w:rPr>
        <w:t>housing </w:t>
      </w:r>
      <w:r>
        <w:rPr>
          <w:color w:val="231F20"/>
          <w:spacing w:val="2"/>
          <w:w w:val="110"/>
          <w:sz w:val="18"/>
        </w:rPr>
        <w:t>presents </w:t>
      </w:r>
      <w:r>
        <w:rPr>
          <w:color w:val="231F20"/>
          <w:w w:val="110"/>
          <w:sz w:val="18"/>
        </w:rPr>
        <w:t>a complex challenge, as does rural poverty, which tends to be quite well hidden despite </w:t>
      </w:r>
      <w:r>
        <w:rPr>
          <w:color w:val="231F20"/>
          <w:spacing w:val="2"/>
          <w:w w:val="110"/>
          <w:sz w:val="18"/>
        </w:rPr>
        <w:t>affecting </w:t>
      </w:r>
      <w:r>
        <w:rPr>
          <w:color w:val="231F20"/>
          <w:w w:val="110"/>
          <w:sz w:val="18"/>
        </w:rPr>
        <w:t>around 900,000 households. The national </w:t>
      </w:r>
      <w:r>
        <w:rPr>
          <w:color w:val="231F20"/>
          <w:spacing w:val="2"/>
          <w:w w:val="110"/>
          <w:sz w:val="18"/>
        </w:rPr>
        <w:t>Poverty </w:t>
      </w:r>
      <w:r>
        <w:rPr>
          <w:color w:val="231F20"/>
          <w:w w:val="110"/>
          <w:sz w:val="18"/>
        </w:rPr>
        <w:t>and Housing Action Week planned for January 2008 will include a recognition of the impact of these issues on rural</w:t>
      </w:r>
      <w:r>
        <w:rPr>
          <w:color w:val="231F20"/>
          <w:spacing w:val="4"/>
          <w:w w:val="110"/>
          <w:sz w:val="18"/>
        </w:rPr>
        <w:t> </w:t>
      </w:r>
      <w:r>
        <w:rPr>
          <w:color w:val="231F20"/>
          <w:w w:val="110"/>
          <w:sz w:val="18"/>
        </w:rPr>
        <w:t>communities.</w:t>
      </w:r>
    </w:p>
    <w:p>
      <w:pPr>
        <w:pStyle w:val="BodyText"/>
        <w:spacing w:before="11"/>
        <w:rPr>
          <w:sz w:val="20"/>
        </w:rPr>
      </w:pPr>
    </w:p>
    <w:p>
      <w:pPr>
        <w:pStyle w:val="ListParagraph"/>
        <w:numPr>
          <w:ilvl w:val="4"/>
          <w:numId w:val="92"/>
        </w:numPr>
        <w:tabs>
          <w:tab w:pos="1922" w:val="left" w:leader="none"/>
        </w:tabs>
        <w:spacing w:line="240" w:lineRule="auto" w:before="0" w:after="0"/>
        <w:ind w:left="1921" w:right="0" w:hanging="682"/>
        <w:jc w:val="left"/>
        <w:rPr>
          <w:sz w:val="18"/>
        </w:rPr>
      </w:pPr>
      <w:r>
        <w:rPr>
          <w:color w:val="231F20"/>
          <w:spacing w:val="2"/>
          <w:w w:val="110"/>
          <w:sz w:val="18"/>
        </w:rPr>
        <w:t>Whilst engaging fully with </w:t>
      </w:r>
      <w:r>
        <w:rPr>
          <w:color w:val="231F20"/>
          <w:w w:val="110"/>
          <w:sz w:val="18"/>
        </w:rPr>
        <w:t>this </w:t>
      </w:r>
      <w:r>
        <w:rPr>
          <w:color w:val="231F20"/>
          <w:spacing w:val="2"/>
          <w:w w:val="110"/>
          <w:sz w:val="18"/>
        </w:rPr>
        <w:t>agenda </w:t>
      </w:r>
      <w:r>
        <w:rPr>
          <w:color w:val="231F20"/>
          <w:w w:val="110"/>
          <w:sz w:val="18"/>
        </w:rPr>
        <w:t>on </w:t>
      </w:r>
      <w:r>
        <w:rPr>
          <w:color w:val="231F20"/>
          <w:spacing w:val="2"/>
          <w:w w:val="110"/>
          <w:sz w:val="18"/>
        </w:rPr>
        <w:t>behalf </w:t>
      </w:r>
      <w:r>
        <w:rPr>
          <w:color w:val="231F20"/>
          <w:w w:val="110"/>
          <w:sz w:val="18"/>
        </w:rPr>
        <w:t>of </w:t>
      </w:r>
      <w:r>
        <w:rPr>
          <w:color w:val="231F20"/>
          <w:spacing w:val="2"/>
          <w:w w:val="110"/>
          <w:sz w:val="18"/>
        </w:rPr>
        <w:t>the United </w:t>
      </w:r>
      <w:r>
        <w:rPr>
          <w:color w:val="231F20"/>
          <w:spacing w:val="3"/>
          <w:w w:val="110"/>
          <w:sz w:val="18"/>
        </w:rPr>
        <w:t>Reformed</w:t>
      </w:r>
      <w:r>
        <w:rPr>
          <w:color w:val="231F20"/>
          <w:spacing w:val="7"/>
          <w:w w:val="110"/>
          <w:sz w:val="18"/>
        </w:rPr>
        <w:t> </w:t>
      </w:r>
      <w:r>
        <w:rPr>
          <w:color w:val="231F20"/>
          <w:spacing w:val="2"/>
          <w:w w:val="110"/>
          <w:sz w:val="18"/>
        </w:rPr>
        <w:t>Church,</w:t>
      </w:r>
    </w:p>
    <w:p>
      <w:pPr>
        <w:pStyle w:val="BodyText"/>
        <w:spacing w:line="273" w:lineRule="auto" w:before="31"/>
        <w:ind w:left="1240" w:right="1365"/>
      </w:pPr>
      <w:r>
        <w:rPr>
          <w:color w:val="231F20"/>
          <w:w w:val="110"/>
        </w:rPr>
        <w:t>it is </w:t>
      </w:r>
      <w:r>
        <w:rPr>
          <w:color w:val="231F20"/>
          <w:spacing w:val="2"/>
          <w:w w:val="110"/>
        </w:rPr>
        <w:t>also incumbent upon the </w:t>
      </w:r>
      <w:r>
        <w:rPr>
          <w:color w:val="231F20"/>
          <w:w w:val="110"/>
        </w:rPr>
        <w:t>Rural </w:t>
      </w:r>
      <w:r>
        <w:rPr>
          <w:color w:val="231F20"/>
          <w:spacing w:val="4"/>
          <w:w w:val="110"/>
        </w:rPr>
        <w:t>Officer </w:t>
      </w:r>
      <w:r>
        <w:rPr>
          <w:color w:val="231F20"/>
          <w:w w:val="110"/>
        </w:rPr>
        <w:t>to </w:t>
      </w:r>
      <w:r>
        <w:rPr>
          <w:color w:val="231F20"/>
          <w:spacing w:val="3"/>
          <w:w w:val="110"/>
        </w:rPr>
        <w:t>encourage </w:t>
      </w:r>
      <w:r>
        <w:rPr>
          <w:color w:val="231F20"/>
          <w:w w:val="110"/>
        </w:rPr>
        <w:t>and </w:t>
      </w:r>
      <w:r>
        <w:rPr>
          <w:color w:val="231F20"/>
          <w:spacing w:val="2"/>
          <w:w w:val="110"/>
        </w:rPr>
        <w:t>enable the </w:t>
      </w:r>
      <w:r>
        <w:rPr>
          <w:color w:val="231F20"/>
          <w:spacing w:val="3"/>
          <w:w w:val="110"/>
        </w:rPr>
        <w:t>church </w:t>
      </w:r>
      <w:r>
        <w:rPr>
          <w:color w:val="231F20"/>
          <w:w w:val="110"/>
        </w:rPr>
        <w:t>and  </w:t>
      </w:r>
      <w:r>
        <w:rPr>
          <w:color w:val="231F20"/>
          <w:spacing w:val="3"/>
          <w:w w:val="110"/>
        </w:rPr>
        <w:t>its members </w:t>
      </w:r>
      <w:r>
        <w:rPr>
          <w:color w:val="231F20"/>
          <w:w w:val="110"/>
        </w:rPr>
        <w:t>to </w:t>
      </w:r>
      <w:r>
        <w:rPr>
          <w:color w:val="231F20"/>
          <w:spacing w:val="3"/>
          <w:w w:val="110"/>
        </w:rPr>
        <w:t>address these issues </w:t>
      </w:r>
      <w:r>
        <w:rPr>
          <w:color w:val="231F20"/>
          <w:w w:val="110"/>
        </w:rPr>
        <w:t>in an </w:t>
      </w:r>
      <w:r>
        <w:rPr>
          <w:color w:val="231F20"/>
          <w:spacing w:val="3"/>
          <w:w w:val="110"/>
        </w:rPr>
        <w:t>informed </w:t>
      </w:r>
      <w:r>
        <w:rPr>
          <w:color w:val="231F20"/>
          <w:w w:val="110"/>
        </w:rPr>
        <w:t>and </w:t>
      </w:r>
      <w:r>
        <w:rPr>
          <w:color w:val="231F20"/>
          <w:spacing w:val="4"/>
          <w:w w:val="110"/>
        </w:rPr>
        <w:t>effective </w:t>
      </w:r>
      <w:r>
        <w:rPr>
          <w:color w:val="231F20"/>
          <w:w w:val="110"/>
        </w:rPr>
        <w:t>manner. </w:t>
      </w:r>
      <w:r>
        <w:rPr>
          <w:color w:val="231F20"/>
          <w:spacing w:val="3"/>
          <w:w w:val="110"/>
        </w:rPr>
        <w:t>Vitally important </w:t>
      </w:r>
      <w:r>
        <w:rPr>
          <w:color w:val="231F20"/>
          <w:spacing w:val="2"/>
          <w:w w:val="110"/>
        </w:rPr>
        <w:t>too </w:t>
      </w:r>
      <w:r>
        <w:rPr>
          <w:color w:val="231F20"/>
          <w:w w:val="110"/>
        </w:rPr>
        <w:t>is </w:t>
      </w:r>
      <w:r>
        <w:rPr>
          <w:color w:val="231F20"/>
          <w:spacing w:val="2"/>
          <w:w w:val="110"/>
        </w:rPr>
        <w:t>the </w:t>
      </w:r>
      <w:r>
        <w:rPr>
          <w:color w:val="231F20"/>
          <w:spacing w:val="3"/>
          <w:w w:val="110"/>
        </w:rPr>
        <w:t>need </w:t>
      </w:r>
      <w:r>
        <w:rPr>
          <w:color w:val="231F20"/>
          <w:spacing w:val="2"/>
          <w:w w:val="110"/>
        </w:rPr>
        <w:t>for rural </w:t>
      </w:r>
      <w:r>
        <w:rPr>
          <w:color w:val="231F20"/>
          <w:spacing w:val="3"/>
          <w:w w:val="110"/>
        </w:rPr>
        <w:t>churches </w:t>
      </w:r>
      <w:r>
        <w:rPr>
          <w:color w:val="231F20"/>
          <w:w w:val="110"/>
        </w:rPr>
        <w:t>to </w:t>
      </w:r>
      <w:r>
        <w:rPr>
          <w:color w:val="231F20"/>
          <w:spacing w:val="4"/>
          <w:w w:val="110"/>
        </w:rPr>
        <w:t>reflect </w:t>
      </w:r>
      <w:r>
        <w:rPr>
          <w:color w:val="231F20"/>
          <w:w w:val="110"/>
        </w:rPr>
        <w:t>on what it </w:t>
      </w:r>
      <w:r>
        <w:rPr>
          <w:color w:val="231F20"/>
          <w:spacing w:val="2"/>
          <w:w w:val="110"/>
        </w:rPr>
        <w:t>means </w:t>
      </w:r>
      <w:r>
        <w:rPr>
          <w:color w:val="231F20"/>
          <w:w w:val="110"/>
        </w:rPr>
        <w:t>to </w:t>
      </w:r>
      <w:r>
        <w:rPr>
          <w:color w:val="231F20"/>
          <w:spacing w:val="3"/>
          <w:w w:val="110"/>
        </w:rPr>
        <w:t>sustain    </w:t>
      </w:r>
      <w:r>
        <w:rPr>
          <w:color w:val="231F20"/>
          <w:w w:val="110"/>
        </w:rPr>
        <w:t>an</w:t>
      </w:r>
      <w:r>
        <w:rPr>
          <w:color w:val="231F20"/>
          <w:spacing w:val="13"/>
          <w:w w:val="110"/>
        </w:rPr>
        <w:t> </w:t>
      </w:r>
      <w:r>
        <w:rPr>
          <w:color w:val="231F20"/>
          <w:spacing w:val="4"/>
          <w:w w:val="110"/>
        </w:rPr>
        <w:t>effective</w:t>
      </w:r>
      <w:r>
        <w:rPr>
          <w:color w:val="231F20"/>
          <w:spacing w:val="13"/>
          <w:w w:val="110"/>
        </w:rPr>
        <w:t> </w:t>
      </w:r>
      <w:r>
        <w:rPr>
          <w:color w:val="231F20"/>
          <w:spacing w:val="3"/>
          <w:w w:val="110"/>
        </w:rPr>
        <w:t>Christian</w:t>
      </w:r>
      <w:r>
        <w:rPr>
          <w:color w:val="231F20"/>
          <w:spacing w:val="14"/>
          <w:w w:val="110"/>
        </w:rPr>
        <w:t> </w:t>
      </w:r>
      <w:r>
        <w:rPr>
          <w:color w:val="231F20"/>
          <w:spacing w:val="3"/>
          <w:w w:val="110"/>
        </w:rPr>
        <w:t>presence</w:t>
      </w:r>
      <w:r>
        <w:rPr>
          <w:color w:val="231F20"/>
          <w:spacing w:val="13"/>
          <w:w w:val="110"/>
        </w:rPr>
        <w:t> </w:t>
      </w:r>
      <w:r>
        <w:rPr>
          <w:color w:val="231F20"/>
          <w:w w:val="110"/>
        </w:rPr>
        <w:t>and</w:t>
      </w:r>
      <w:r>
        <w:rPr>
          <w:color w:val="231F20"/>
          <w:spacing w:val="14"/>
          <w:w w:val="110"/>
        </w:rPr>
        <w:t> </w:t>
      </w:r>
      <w:r>
        <w:rPr>
          <w:color w:val="231F20"/>
          <w:w w:val="110"/>
        </w:rPr>
        <w:t>to</w:t>
      </w:r>
      <w:r>
        <w:rPr>
          <w:color w:val="231F20"/>
          <w:spacing w:val="14"/>
          <w:w w:val="110"/>
        </w:rPr>
        <w:t> </w:t>
      </w:r>
      <w:r>
        <w:rPr>
          <w:color w:val="231F20"/>
          <w:spacing w:val="2"/>
          <w:w w:val="110"/>
        </w:rPr>
        <w:t>continue</w:t>
      </w:r>
      <w:r>
        <w:rPr>
          <w:color w:val="231F20"/>
          <w:spacing w:val="14"/>
          <w:w w:val="110"/>
        </w:rPr>
        <w:t> </w:t>
      </w:r>
      <w:r>
        <w:rPr>
          <w:color w:val="231F20"/>
          <w:w w:val="110"/>
        </w:rPr>
        <w:t>to</w:t>
      </w:r>
      <w:r>
        <w:rPr>
          <w:color w:val="231F20"/>
          <w:spacing w:val="12"/>
          <w:w w:val="110"/>
        </w:rPr>
        <w:t> </w:t>
      </w:r>
      <w:r>
        <w:rPr>
          <w:color w:val="231F20"/>
          <w:spacing w:val="2"/>
          <w:w w:val="110"/>
        </w:rPr>
        <w:t>‘punch</w:t>
      </w:r>
      <w:r>
        <w:rPr>
          <w:color w:val="231F20"/>
          <w:spacing w:val="13"/>
          <w:w w:val="110"/>
        </w:rPr>
        <w:t> </w:t>
      </w:r>
      <w:r>
        <w:rPr>
          <w:color w:val="231F20"/>
          <w:w w:val="110"/>
        </w:rPr>
        <w:t>above</w:t>
      </w:r>
      <w:r>
        <w:rPr>
          <w:color w:val="231F20"/>
          <w:spacing w:val="14"/>
          <w:w w:val="110"/>
        </w:rPr>
        <w:t> </w:t>
      </w:r>
      <w:r>
        <w:rPr>
          <w:color w:val="231F20"/>
          <w:spacing w:val="3"/>
          <w:w w:val="110"/>
        </w:rPr>
        <w:t>its</w:t>
      </w:r>
      <w:r>
        <w:rPr>
          <w:color w:val="231F20"/>
          <w:spacing w:val="14"/>
          <w:w w:val="110"/>
        </w:rPr>
        <w:t> </w:t>
      </w:r>
      <w:r>
        <w:rPr>
          <w:color w:val="231F20"/>
          <w:spacing w:val="2"/>
          <w:w w:val="110"/>
        </w:rPr>
        <w:t>weight’</w:t>
      </w:r>
      <w:r>
        <w:rPr>
          <w:color w:val="231F20"/>
          <w:spacing w:val="13"/>
          <w:w w:val="110"/>
        </w:rPr>
        <w:t> </w:t>
      </w:r>
      <w:r>
        <w:rPr>
          <w:color w:val="231F20"/>
          <w:spacing w:val="2"/>
          <w:w w:val="110"/>
        </w:rPr>
        <w:t>which</w:t>
      </w:r>
      <w:r>
        <w:rPr>
          <w:color w:val="231F20"/>
          <w:spacing w:val="14"/>
          <w:w w:val="110"/>
        </w:rPr>
        <w:t> </w:t>
      </w:r>
      <w:r>
        <w:rPr>
          <w:color w:val="231F20"/>
          <w:spacing w:val="2"/>
          <w:w w:val="110"/>
        </w:rPr>
        <w:t>the</w:t>
      </w:r>
    </w:p>
    <w:p>
      <w:pPr>
        <w:pStyle w:val="BodyText"/>
        <w:spacing w:before="3"/>
        <w:ind w:left="1240"/>
      </w:pPr>
      <w:r>
        <w:rPr>
          <w:color w:val="231F20"/>
          <w:w w:val="110"/>
        </w:rPr>
        <w:t>rural church frequently tends to do. The Rural Officer is keen to support this wherever</w:t>
      </w:r>
    </w:p>
    <w:p>
      <w:pPr>
        <w:pStyle w:val="BodyText"/>
        <w:spacing w:before="31"/>
        <w:ind w:left="1240"/>
      </w:pPr>
      <w:r>
        <w:rPr>
          <w:color w:val="231F20"/>
          <w:w w:val="110"/>
        </w:rPr>
        <w:t>and whenever appropriate.</w:t>
      </w:r>
    </w:p>
    <w:p>
      <w:pPr>
        <w:pStyle w:val="BodyText"/>
        <w:spacing w:before="1"/>
        <w:rPr>
          <w:sz w:val="23"/>
        </w:rPr>
      </w:pPr>
    </w:p>
    <w:p>
      <w:pPr>
        <w:numPr>
          <w:ilvl w:val="3"/>
          <w:numId w:val="92"/>
        </w:numPr>
        <w:tabs>
          <w:tab w:pos="1921" w:val="left" w:leader="none"/>
          <w:tab w:pos="1922" w:val="left" w:leader="none"/>
        </w:tabs>
        <w:spacing w:before="1"/>
        <w:ind w:left="1921" w:right="0" w:hanging="682"/>
        <w:jc w:val="left"/>
        <w:rPr>
          <w:b/>
          <w:color w:val="231F20"/>
          <w:sz w:val="18"/>
        </w:rPr>
      </w:pPr>
      <w:r>
        <w:rPr>
          <w:b/>
          <w:color w:val="231F20"/>
          <w:w w:val="110"/>
          <w:sz w:val="18"/>
        </w:rPr>
        <w:t>Stewardship </w:t>
      </w:r>
      <w:r>
        <w:rPr>
          <w:b/>
          <w:color w:val="231F20"/>
          <w:spacing w:val="2"/>
          <w:w w:val="110"/>
          <w:sz w:val="18"/>
        </w:rPr>
        <w:t>sub-committee</w:t>
      </w:r>
      <w:r>
        <w:rPr>
          <w:b/>
          <w:color w:val="231F20"/>
          <w:spacing w:val="1"/>
          <w:w w:val="110"/>
          <w:sz w:val="18"/>
        </w:rPr>
        <w:t> </w:t>
      </w:r>
      <w:r>
        <w:rPr>
          <w:b/>
          <w:color w:val="231F20"/>
          <w:spacing w:val="2"/>
          <w:w w:val="110"/>
          <w:sz w:val="18"/>
        </w:rPr>
        <w:t>report</w:t>
      </w:r>
    </w:p>
    <w:p>
      <w:pPr>
        <w:pStyle w:val="ListParagraph"/>
        <w:numPr>
          <w:ilvl w:val="4"/>
          <w:numId w:val="92"/>
        </w:numPr>
        <w:tabs>
          <w:tab w:pos="1960" w:val="left" w:leader="none"/>
          <w:tab w:pos="1961" w:val="left" w:leader="none"/>
        </w:tabs>
        <w:spacing w:line="273" w:lineRule="auto" w:before="31" w:after="0"/>
        <w:ind w:left="1240" w:right="1515" w:firstLine="0"/>
        <w:jc w:val="left"/>
        <w:rPr>
          <w:sz w:val="18"/>
        </w:rPr>
      </w:pPr>
      <w:r>
        <w:rPr>
          <w:color w:val="231F20"/>
          <w:spacing w:val="3"/>
          <w:w w:val="110"/>
          <w:sz w:val="18"/>
        </w:rPr>
        <w:t>The sub-committee </w:t>
      </w:r>
      <w:r>
        <w:rPr>
          <w:color w:val="231F20"/>
          <w:spacing w:val="2"/>
          <w:w w:val="110"/>
          <w:sz w:val="18"/>
        </w:rPr>
        <w:t>continues </w:t>
      </w:r>
      <w:r>
        <w:rPr>
          <w:color w:val="231F20"/>
          <w:w w:val="110"/>
          <w:sz w:val="18"/>
        </w:rPr>
        <w:t>to make </w:t>
      </w:r>
      <w:r>
        <w:rPr>
          <w:color w:val="231F20"/>
          <w:spacing w:val="4"/>
          <w:w w:val="110"/>
          <w:sz w:val="18"/>
        </w:rPr>
        <w:t>resources </w:t>
      </w:r>
      <w:r>
        <w:rPr>
          <w:color w:val="231F20"/>
          <w:w w:val="110"/>
          <w:sz w:val="18"/>
        </w:rPr>
        <w:t>available to </w:t>
      </w:r>
      <w:r>
        <w:rPr>
          <w:color w:val="231F20"/>
          <w:spacing w:val="3"/>
          <w:w w:val="110"/>
          <w:sz w:val="18"/>
        </w:rPr>
        <w:t>local churches, </w:t>
      </w:r>
      <w:r>
        <w:rPr>
          <w:color w:val="231F20"/>
          <w:w w:val="110"/>
          <w:sz w:val="18"/>
        </w:rPr>
        <w:t>and</w:t>
      </w:r>
      <w:r>
        <w:rPr>
          <w:color w:val="231F20"/>
          <w:spacing w:val="-7"/>
          <w:w w:val="110"/>
          <w:sz w:val="18"/>
        </w:rPr>
        <w:t> </w:t>
      </w:r>
      <w:r>
        <w:rPr>
          <w:color w:val="231F20"/>
          <w:w w:val="110"/>
          <w:sz w:val="18"/>
        </w:rPr>
        <w:t>seeks</w:t>
      </w:r>
      <w:r>
        <w:rPr>
          <w:color w:val="231F20"/>
          <w:spacing w:val="-7"/>
          <w:w w:val="110"/>
          <w:sz w:val="18"/>
        </w:rPr>
        <w:t> </w:t>
      </w:r>
      <w:r>
        <w:rPr>
          <w:color w:val="231F20"/>
          <w:w w:val="110"/>
          <w:sz w:val="18"/>
        </w:rPr>
        <w:t>to</w:t>
      </w:r>
      <w:r>
        <w:rPr>
          <w:color w:val="231F20"/>
          <w:spacing w:val="-6"/>
          <w:w w:val="110"/>
          <w:sz w:val="18"/>
        </w:rPr>
        <w:t> </w:t>
      </w:r>
      <w:r>
        <w:rPr>
          <w:color w:val="231F20"/>
          <w:w w:val="110"/>
          <w:sz w:val="18"/>
        </w:rPr>
        <w:t>stimulate</w:t>
      </w:r>
      <w:r>
        <w:rPr>
          <w:color w:val="231F20"/>
          <w:spacing w:val="-7"/>
          <w:w w:val="110"/>
          <w:sz w:val="18"/>
        </w:rPr>
        <w:t> </w:t>
      </w:r>
      <w:r>
        <w:rPr>
          <w:color w:val="231F20"/>
          <w:w w:val="110"/>
          <w:sz w:val="18"/>
        </w:rPr>
        <w:t>discussion</w:t>
      </w:r>
      <w:r>
        <w:rPr>
          <w:color w:val="231F20"/>
          <w:spacing w:val="-7"/>
          <w:w w:val="110"/>
          <w:sz w:val="18"/>
        </w:rPr>
        <w:t> </w:t>
      </w:r>
      <w:r>
        <w:rPr>
          <w:color w:val="231F20"/>
          <w:w w:val="110"/>
          <w:sz w:val="18"/>
        </w:rPr>
        <w:t>on</w:t>
      </w:r>
      <w:r>
        <w:rPr>
          <w:color w:val="231F20"/>
          <w:spacing w:val="-6"/>
          <w:w w:val="110"/>
          <w:sz w:val="18"/>
        </w:rPr>
        <w:t> </w:t>
      </w:r>
      <w:r>
        <w:rPr>
          <w:color w:val="231F20"/>
          <w:w w:val="110"/>
          <w:sz w:val="18"/>
        </w:rPr>
        <w:t>all</w:t>
      </w:r>
      <w:r>
        <w:rPr>
          <w:color w:val="231F20"/>
          <w:spacing w:val="-7"/>
          <w:w w:val="110"/>
          <w:sz w:val="18"/>
        </w:rPr>
        <w:t> </w:t>
      </w:r>
      <w:r>
        <w:rPr>
          <w:color w:val="231F20"/>
          <w:w w:val="110"/>
          <w:sz w:val="18"/>
        </w:rPr>
        <w:t>aspects</w:t>
      </w:r>
      <w:r>
        <w:rPr>
          <w:color w:val="231F20"/>
          <w:spacing w:val="-7"/>
          <w:w w:val="110"/>
          <w:sz w:val="18"/>
        </w:rPr>
        <w:t> </w:t>
      </w:r>
      <w:r>
        <w:rPr>
          <w:color w:val="231F20"/>
          <w:w w:val="110"/>
          <w:sz w:val="18"/>
        </w:rPr>
        <w:t>of</w:t>
      </w:r>
      <w:r>
        <w:rPr>
          <w:color w:val="231F20"/>
          <w:spacing w:val="-6"/>
          <w:w w:val="110"/>
          <w:sz w:val="18"/>
        </w:rPr>
        <w:t> </w:t>
      </w:r>
      <w:r>
        <w:rPr>
          <w:color w:val="231F20"/>
          <w:w w:val="110"/>
          <w:sz w:val="18"/>
        </w:rPr>
        <w:t>stewardship</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6"/>
          <w:w w:val="110"/>
          <w:sz w:val="18"/>
        </w:rPr>
        <w:t> </w:t>
      </w:r>
      <w:r>
        <w:rPr>
          <w:color w:val="231F20"/>
          <w:w w:val="110"/>
          <w:sz w:val="18"/>
        </w:rPr>
        <w:t>life</w:t>
      </w:r>
      <w:r>
        <w:rPr>
          <w:color w:val="231F20"/>
          <w:spacing w:val="-7"/>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church. A </w:t>
      </w:r>
      <w:r>
        <w:rPr>
          <w:color w:val="231F20"/>
          <w:spacing w:val="3"/>
          <w:w w:val="110"/>
          <w:sz w:val="18"/>
        </w:rPr>
        <w:t>presentation </w:t>
      </w:r>
      <w:r>
        <w:rPr>
          <w:color w:val="231F20"/>
          <w:w w:val="110"/>
          <w:sz w:val="18"/>
        </w:rPr>
        <w:t>at </w:t>
      </w:r>
      <w:r>
        <w:rPr>
          <w:color w:val="231F20"/>
          <w:spacing w:val="2"/>
          <w:w w:val="110"/>
          <w:sz w:val="18"/>
        </w:rPr>
        <w:t>the </w:t>
      </w:r>
      <w:r>
        <w:rPr>
          <w:color w:val="231F20"/>
          <w:spacing w:val="4"/>
          <w:w w:val="110"/>
          <w:sz w:val="18"/>
        </w:rPr>
        <w:t>October </w:t>
      </w:r>
      <w:r>
        <w:rPr>
          <w:color w:val="231F20"/>
          <w:w w:val="110"/>
          <w:sz w:val="18"/>
        </w:rPr>
        <w:t>2006 </w:t>
      </w:r>
      <w:r>
        <w:rPr>
          <w:color w:val="231F20"/>
          <w:spacing w:val="2"/>
          <w:w w:val="110"/>
          <w:sz w:val="18"/>
        </w:rPr>
        <w:t>Mission Council </w:t>
      </w:r>
      <w:r>
        <w:rPr>
          <w:color w:val="231F20"/>
          <w:w w:val="110"/>
          <w:sz w:val="18"/>
        </w:rPr>
        <w:t>was an </w:t>
      </w:r>
      <w:r>
        <w:rPr>
          <w:color w:val="231F20"/>
          <w:spacing w:val="3"/>
          <w:w w:val="110"/>
          <w:sz w:val="18"/>
        </w:rPr>
        <w:t>opportunity </w:t>
      </w:r>
      <w:r>
        <w:rPr>
          <w:color w:val="231F20"/>
          <w:w w:val="110"/>
          <w:sz w:val="18"/>
        </w:rPr>
        <w:t>to </w:t>
      </w:r>
      <w:r>
        <w:rPr>
          <w:color w:val="231F20"/>
          <w:spacing w:val="3"/>
          <w:w w:val="110"/>
          <w:sz w:val="18"/>
        </w:rPr>
        <w:t>seek </w:t>
      </w:r>
      <w:r>
        <w:rPr>
          <w:color w:val="231F20"/>
          <w:w w:val="110"/>
          <w:sz w:val="18"/>
        </w:rPr>
        <w:t>to </w:t>
      </w:r>
      <w:r>
        <w:rPr>
          <w:color w:val="231F20"/>
          <w:spacing w:val="4"/>
          <w:w w:val="110"/>
          <w:sz w:val="18"/>
        </w:rPr>
        <w:t>clarify </w:t>
      </w:r>
      <w:r>
        <w:rPr>
          <w:color w:val="231F20"/>
          <w:spacing w:val="2"/>
          <w:w w:val="110"/>
          <w:sz w:val="18"/>
        </w:rPr>
        <w:t>the continuing </w:t>
      </w:r>
      <w:r>
        <w:rPr>
          <w:color w:val="231F20"/>
          <w:spacing w:val="3"/>
          <w:w w:val="110"/>
          <w:sz w:val="18"/>
        </w:rPr>
        <w:t>role </w:t>
      </w:r>
      <w:r>
        <w:rPr>
          <w:color w:val="231F20"/>
          <w:w w:val="110"/>
          <w:sz w:val="18"/>
        </w:rPr>
        <w:t>of </w:t>
      </w:r>
      <w:r>
        <w:rPr>
          <w:color w:val="231F20"/>
          <w:spacing w:val="2"/>
          <w:w w:val="110"/>
          <w:sz w:val="18"/>
        </w:rPr>
        <w:t>the </w:t>
      </w:r>
      <w:r>
        <w:rPr>
          <w:color w:val="231F20"/>
          <w:spacing w:val="3"/>
          <w:w w:val="110"/>
          <w:sz w:val="18"/>
        </w:rPr>
        <w:t>sub-committee </w:t>
      </w:r>
      <w:r>
        <w:rPr>
          <w:color w:val="231F20"/>
          <w:w w:val="110"/>
          <w:sz w:val="18"/>
        </w:rPr>
        <w:t>within </w:t>
      </w:r>
      <w:r>
        <w:rPr>
          <w:color w:val="231F20"/>
          <w:spacing w:val="2"/>
          <w:w w:val="110"/>
          <w:sz w:val="18"/>
        </w:rPr>
        <w:t>the </w:t>
      </w:r>
      <w:r>
        <w:rPr>
          <w:color w:val="231F20"/>
          <w:spacing w:val="4"/>
          <w:w w:val="110"/>
          <w:sz w:val="18"/>
        </w:rPr>
        <w:t>restructuring process </w:t>
      </w:r>
      <w:r>
        <w:rPr>
          <w:color w:val="231F20"/>
          <w:w w:val="110"/>
          <w:sz w:val="18"/>
        </w:rPr>
        <w:t>of </w:t>
      </w:r>
      <w:r>
        <w:rPr>
          <w:color w:val="231F20"/>
          <w:spacing w:val="3"/>
          <w:w w:val="110"/>
          <w:sz w:val="18"/>
        </w:rPr>
        <w:t>Catch </w:t>
      </w:r>
      <w:r>
        <w:rPr>
          <w:color w:val="231F20"/>
          <w:spacing w:val="2"/>
          <w:w w:val="110"/>
          <w:sz w:val="18"/>
        </w:rPr>
        <w:t>the</w:t>
      </w:r>
      <w:r>
        <w:rPr>
          <w:color w:val="231F20"/>
          <w:spacing w:val="5"/>
          <w:w w:val="110"/>
          <w:sz w:val="18"/>
        </w:rPr>
        <w:t> </w:t>
      </w:r>
      <w:r>
        <w:rPr>
          <w:color w:val="231F20"/>
          <w:spacing w:val="2"/>
          <w:w w:val="110"/>
          <w:sz w:val="18"/>
        </w:rPr>
        <w:t>Vision.</w:t>
      </w:r>
    </w:p>
    <w:p>
      <w:pPr>
        <w:pStyle w:val="BodyText"/>
        <w:spacing w:before="10"/>
        <w:rPr>
          <w:sz w:val="20"/>
        </w:rPr>
      </w:pPr>
    </w:p>
    <w:p>
      <w:pPr>
        <w:pStyle w:val="ListParagraph"/>
        <w:numPr>
          <w:ilvl w:val="4"/>
          <w:numId w:val="92"/>
        </w:numPr>
        <w:tabs>
          <w:tab w:pos="1960" w:val="left" w:leader="none"/>
          <w:tab w:pos="1961" w:val="left" w:leader="none"/>
        </w:tabs>
        <w:spacing w:line="240" w:lineRule="auto" w:before="0" w:after="0"/>
        <w:ind w:left="1960" w:right="0" w:hanging="721"/>
        <w:jc w:val="left"/>
        <w:rPr>
          <w:sz w:val="18"/>
        </w:rPr>
      </w:pPr>
      <w:r>
        <w:rPr>
          <w:color w:val="231F20"/>
          <w:w w:val="110"/>
          <w:sz w:val="18"/>
          <w:u w:val="single" w:color="231F20"/>
        </w:rPr>
        <w:t>Training Workshops</w:t>
      </w:r>
    </w:p>
    <w:p>
      <w:pPr>
        <w:pStyle w:val="BodyText"/>
        <w:spacing w:line="273" w:lineRule="auto" w:before="31"/>
        <w:ind w:left="1240" w:right="1143"/>
      </w:pPr>
      <w:r>
        <w:rPr>
          <w:color w:val="231F20"/>
          <w:w w:val="110"/>
        </w:rPr>
        <w:t>A stewardship training presentation prepared by Sue Wilkinson, National Stewardship Coordinator for use by Training Officers/Advocates and Mission Enablers to take directly into local churches, has been piloted by Sue in her own church. Gareth Curl, a committee member, is also hoping to trial the workshop at his own church in the near future.</w:t>
      </w:r>
    </w:p>
    <w:p>
      <w:pPr>
        <w:pStyle w:val="BodyText"/>
        <w:rPr>
          <w:sz w:val="20"/>
        </w:rPr>
      </w:pPr>
    </w:p>
    <w:p>
      <w:pPr>
        <w:tabs>
          <w:tab w:pos="10311" w:val="right" w:leader="none"/>
        </w:tabs>
        <w:spacing w:before="182"/>
        <w:ind w:left="6847" w:right="0" w:firstLine="0"/>
        <w:jc w:val="left"/>
        <w:rPr>
          <w:rFonts w:ascii="Eurostile Bold"/>
          <w:b/>
          <w:sz w:val="24"/>
        </w:rPr>
      </w:pPr>
      <w:r>
        <w:rPr>
          <w:rFonts w:ascii="Eurostile Bold"/>
          <w:b/>
          <w:color w:val="A7A9AC"/>
          <w:w w:val="95"/>
          <w:sz w:val="24"/>
        </w:rPr>
        <w:t>General</w:t>
      </w:r>
      <w:r>
        <w:rPr>
          <w:rFonts w:ascii="Eurostile Bold"/>
          <w:b/>
          <w:color w:val="A7A9AC"/>
          <w:spacing w:val="-52"/>
          <w:w w:val="95"/>
          <w:sz w:val="24"/>
        </w:rPr>
        <w:t> </w:t>
      </w:r>
      <w:r>
        <w:rPr>
          <w:rFonts w:ascii="Eurostile Bold"/>
          <w:b/>
          <w:color w:val="A7A9AC"/>
          <w:w w:val="95"/>
          <w:sz w:val="24"/>
        </w:rPr>
        <w:t>Assembly</w:t>
      </w:r>
      <w:r>
        <w:rPr>
          <w:rFonts w:ascii="Eurostile Bold"/>
          <w:b/>
          <w:color w:val="A7A9AC"/>
          <w:spacing w:val="-52"/>
          <w:w w:val="95"/>
          <w:sz w:val="24"/>
        </w:rPr>
        <w:t> </w:t>
      </w:r>
      <w:r>
        <w:rPr>
          <w:rFonts w:ascii="Eurostile Bold"/>
          <w:b/>
          <w:color w:val="A7A9AC"/>
          <w:w w:val="95"/>
          <w:sz w:val="24"/>
        </w:rPr>
        <w:t>2007</w:t>
        <w:tab/>
      </w:r>
      <w:r>
        <w:rPr>
          <w:rFonts w:ascii="Eurostile Bold"/>
          <w:b/>
          <w:color w:val="231F20"/>
          <w:w w:val="95"/>
          <w:sz w:val="24"/>
        </w:rPr>
        <w:t>149</w:t>
      </w:r>
    </w:p>
    <w:p>
      <w:pPr>
        <w:spacing w:after="0"/>
        <w:jc w:val="left"/>
        <w:rPr>
          <w:rFonts w:ascii="Eurostile Bold"/>
          <w:sz w:val="24"/>
        </w:rPr>
        <w:sectPr>
          <w:headerReference w:type="default" r:id="rId216"/>
          <w:footerReference w:type="default" r:id="rId217"/>
          <w:pgSz w:w="11910" w:h="16840"/>
          <w:pgMar w:header="0" w:footer="0" w:top="460" w:bottom="280" w:left="460" w:right="0"/>
        </w:sectPr>
      </w:pPr>
    </w:p>
    <w:p>
      <w:pPr>
        <w:pStyle w:val="BodyText"/>
        <w:spacing w:before="8"/>
        <w:rPr>
          <w:rFonts w:ascii="Eurostile Bold"/>
          <w:b/>
          <w:sz w:val="21"/>
        </w:rPr>
      </w:pPr>
    </w:p>
    <w:p>
      <w:pPr>
        <w:pStyle w:val="ListParagraph"/>
        <w:numPr>
          <w:ilvl w:val="4"/>
          <w:numId w:val="92"/>
        </w:numPr>
        <w:tabs>
          <w:tab w:pos="1393" w:val="left" w:leader="none"/>
          <w:tab w:pos="1394" w:val="left" w:leader="none"/>
        </w:tabs>
        <w:spacing w:line="240" w:lineRule="auto" w:before="0" w:after="0"/>
        <w:ind w:left="1393" w:right="0" w:hanging="721"/>
        <w:jc w:val="left"/>
        <w:rPr>
          <w:sz w:val="18"/>
        </w:rPr>
      </w:pPr>
      <w:r>
        <w:rPr>
          <w:color w:val="231F20"/>
          <w:w w:val="110"/>
          <w:sz w:val="18"/>
          <w:u w:val="single" w:color="231F20"/>
        </w:rPr>
        <w:t>TRIO</w:t>
      </w:r>
    </w:p>
    <w:p>
      <w:pPr>
        <w:pStyle w:val="BodyText"/>
        <w:spacing w:line="273" w:lineRule="auto" w:before="31"/>
        <w:ind w:left="673" w:right="2061"/>
      </w:pPr>
      <w:r>
        <w:rPr>
          <w:color w:val="231F20"/>
          <w:w w:val="110"/>
        </w:rPr>
        <w:t>There is still a continuing demand for the TRIO (The Responsibility Is Ours) programme. Acetate and animated PowerPoint slides have been prepared for all TRIO packs by the Life and Witness office. The interactive disks for churches wanting to update their TRIO presentations are cheaper to produce than acetates.</w:t>
      </w:r>
    </w:p>
    <w:p>
      <w:pPr>
        <w:pStyle w:val="BodyText"/>
        <w:spacing w:before="10"/>
        <w:rPr>
          <w:sz w:val="20"/>
        </w:rPr>
      </w:pPr>
    </w:p>
    <w:p>
      <w:pPr>
        <w:pStyle w:val="ListParagraph"/>
        <w:numPr>
          <w:ilvl w:val="4"/>
          <w:numId w:val="92"/>
        </w:numPr>
        <w:tabs>
          <w:tab w:pos="1393" w:val="left" w:leader="none"/>
          <w:tab w:pos="1394" w:val="left" w:leader="none"/>
        </w:tabs>
        <w:spacing w:line="240" w:lineRule="auto" w:before="0" w:after="0"/>
        <w:ind w:left="1393" w:right="0" w:hanging="721"/>
        <w:jc w:val="left"/>
        <w:rPr>
          <w:sz w:val="18"/>
        </w:rPr>
      </w:pPr>
      <w:r>
        <w:rPr>
          <w:color w:val="231F20"/>
          <w:spacing w:val="2"/>
          <w:w w:val="110"/>
          <w:sz w:val="18"/>
          <w:u w:val="single" w:color="231F20"/>
        </w:rPr>
        <w:t>ACT</w:t>
      </w:r>
    </w:p>
    <w:p>
      <w:pPr>
        <w:pStyle w:val="BodyText"/>
        <w:spacing w:line="273" w:lineRule="auto" w:before="31"/>
        <w:ind w:left="673" w:right="2550"/>
      </w:pPr>
      <w:r>
        <w:rPr>
          <w:color w:val="231F20"/>
          <w:w w:val="110"/>
        </w:rPr>
        <w:t>This free publication looks at stewardship in the widest sense with the aim of encouraging and enabling churches to develop mission projects in such a way as to ensure the most effective use of all available resources.</w:t>
      </w:r>
    </w:p>
    <w:p>
      <w:pPr>
        <w:pStyle w:val="BodyText"/>
        <w:spacing w:before="9"/>
        <w:rPr>
          <w:sz w:val="20"/>
        </w:rPr>
      </w:pPr>
    </w:p>
    <w:p>
      <w:pPr>
        <w:pStyle w:val="ListParagraph"/>
        <w:numPr>
          <w:ilvl w:val="4"/>
          <w:numId w:val="92"/>
        </w:numPr>
        <w:tabs>
          <w:tab w:pos="1393" w:val="left" w:leader="none"/>
          <w:tab w:pos="1394" w:val="left" w:leader="none"/>
        </w:tabs>
        <w:spacing w:line="240" w:lineRule="auto" w:before="0" w:after="0"/>
        <w:ind w:left="1393" w:right="0" w:hanging="721"/>
        <w:jc w:val="left"/>
        <w:rPr>
          <w:sz w:val="18"/>
        </w:rPr>
      </w:pPr>
      <w:r>
        <w:rPr>
          <w:color w:val="231F20"/>
          <w:spacing w:val="3"/>
          <w:w w:val="110"/>
          <w:sz w:val="18"/>
          <w:u w:val="single" w:color="231F20"/>
        </w:rPr>
        <w:t>CTBI </w:t>
      </w:r>
      <w:r>
        <w:rPr>
          <w:color w:val="231F20"/>
          <w:w w:val="110"/>
          <w:sz w:val="18"/>
          <w:u w:val="single" w:color="231F20"/>
        </w:rPr>
        <w:t>Stewardship</w:t>
      </w:r>
      <w:r>
        <w:rPr>
          <w:color w:val="231F20"/>
          <w:spacing w:val="-1"/>
          <w:w w:val="110"/>
          <w:sz w:val="18"/>
          <w:u w:val="single" w:color="231F20"/>
        </w:rPr>
        <w:t> </w:t>
      </w:r>
      <w:r>
        <w:rPr>
          <w:color w:val="231F20"/>
          <w:w w:val="110"/>
          <w:sz w:val="18"/>
          <w:u w:val="single" w:color="231F20"/>
        </w:rPr>
        <w:t>Network</w:t>
      </w:r>
    </w:p>
    <w:p>
      <w:pPr>
        <w:pStyle w:val="BodyText"/>
        <w:spacing w:line="273" w:lineRule="auto" w:before="31"/>
        <w:ind w:left="673" w:right="1864" w:hanging="1"/>
      </w:pPr>
      <w:r>
        <w:rPr>
          <w:color w:val="231F20"/>
          <w:w w:val="110"/>
        </w:rPr>
        <w:t>The Churches Together in Britain and Ireland Stewardship Network provides a forum for the exchange of ideas and gives us the </w:t>
      </w:r>
      <w:r>
        <w:rPr>
          <w:color w:val="231F20"/>
          <w:spacing w:val="2"/>
          <w:w w:val="110"/>
        </w:rPr>
        <w:t>opportunity </w:t>
      </w:r>
      <w:r>
        <w:rPr>
          <w:color w:val="231F20"/>
          <w:w w:val="110"/>
        </w:rPr>
        <w:t>to develop links, exchange ideas and learn more about other denominations’ approach to the important issue of stewardship. The network </w:t>
      </w:r>
      <w:r>
        <w:rPr>
          <w:color w:val="231F20"/>
          <w:spacing w:val="2"/>
          <w:w w:val="110"/>
        </w:rPr>
        <w:t>meets </w:t>
      </w:r>
      <w:r>
        <w:rPr>
          <w:color w:val="231F20"/>
          <w:w w:val="110"/>
        </w:rPr>
        <w:t>twice a year and the Convener has been able to </w:t>
      </w:r>
      <w:r>
        <w:rPr>
          <w:color w:val="231F20"/>
          <w:spacing w:val="2"/>
          <w:w w:val="110"/>
        </w:rPr>
        <w:t>represent </w:t>
      </w:r>
      <w:r>
        <w:rPr>
          <w:color w:val="231F20"/>
          <w:w w:val="110"/>
        </w:rPr>
        <w:t>the   United Reformed Church at these meetings alongside representatives </w:t>
      </w:r>
      <w:r>
        <w:rPr>
          <w:color w:val="231F20"/>
          <w:spacing w:val="2"/>
          <w:w w:val="110"/>
        </w:rPr>
        <w:t>from </w:t>
      </w:r>
      <w:r>
        <w:rPr>
          <w:color w:val="231F20"/>
          <w:w w:val="110"/>
        </w:rPr>
        <w:t>the Church    of Scotland, the </w:t>
      </w:r>
      <w:r>
        <w:rPr>
          <w:color w:val="231F20"/>
          <w:spacing w:val="2"/>
          <w:w w:val="110"/>
        </w:rPr>
        <w:t>Scottish </w:t>
      </w:r>
      <w:r>
        <w:rPr>
          <w:color w:val="231F20"/>
          <w:w w:val="110"/>
        </w:rPr>
        <w:t>Episcopal Church, the Salvation </w:t>
      </w:r>
      <w:r>
        <w:rPr>
          <w:color w:val="231F20"/>
          <w:spacing w:val="-3"/>
          <w:w w:val="110"/>
        </w:rPr>
        <w:t>Army,  </w:t>
      </w:r>
      <w:r>
        <w:rPr>
          <w:color w:val="231F20"/>
          <w:w w:val="110"/>
        </w:rPr>
        <w:t>the Church of Wales,   the Roman Catholic Church and the Church of England. The </w:t>
      </w:r>
      <w:r>
        <w:rPr>
          <w:color w:val="231F20"/>
          <w:spacing w:val="2"/>
          <w:w w:val="110"/>
        </w:rPr>
        <w:t>next </w:t>
      </w:r>
      <w:r>
        <w:rPr>
          <w:color w:val="231F20"/>
          <w:w w:val="110"/>
        </w:rPr>
        <w:t>scheduled conference will be in the summer of 2009 in south Wales or the south-west of</w:t>
      </w:r>
      <w:r>
        <w:rPr>
          <w:color w:val="231F20"/>
          <w:spacing w:val="46"/>
          <w:w w:val="110"/>
        </w:rPr>
        <w:t> </w:t>
      </w:r>
      <w:r>
        <w:rPr>
          <w:color w:val="231F20"/>
          <w:w w:val="110"/>
        </w:rPr>
        <w:t>England.</w:t>
      </w:r>
    </w:p>
    <w:p>
      <w:pPr>
        <w:pStyle w:val="BodyText"/>
        <w:spacing w:before="12"/>
        <w:rPr>
          <w:sz w:val="20"/>
        </w:rPr>
      </w:pPr>
    </w:p>
    <w:p>
      <w:pPr>
        <w:numPr>
          <w:ilvl w:val="3"/>
          <w:numId w:val="92"/>
        </w:numPr>
        <w:tabs>
          <w:tab w:pos="1393" w:val="left" w:leader="none"/>
          <w:tab w:pos="1394" w:val="left" w:leader="none"/>
        </w:tabs>
        <w:spacing w:before="0"/>
        <w:ind w:left="1393" w:right="0" w:hanging="721"/>
        <w:jc w:val="left"/>
        <w:rPr>
          <w:b/>
          <w:color w:val="231F20"/>
          <w:sz w:val="18"/>
        </w:rPr>
      </w:pPr>
      <w:r>
        <w:rPr>
          <w:b/>
          <w:color w:val="231F20"/>
          <w:w w:val="110"/>
          <w:sz w:val="18"/>
        </w:rPr>
        <w:t>Holiday Forum</w:t>
      </w:r>
    </w:p>
    <w:p>
      <w:pPr>
        <w:pStyle w:val="ListParagraph"/>
        <w:numPr>
          <w:ilvl w:val="4"/>
          <w:numId w:val="92"/>
        </w:numPr>
        <w:tabs>
          <w:tab w:pos="1393" w:val="left" w:leader="none"/>
          <w:tab w:pos="1394" w:val="left" w:leader="none"/>
        </w:tabs>
        <w:spacing w:line="273" w:lineRule="auto" w:before="31" w:after="0"/>
        <w:ind w:left="673" w:right="1809" w:firstLine="0"/>
        <w:jc w:val="left"/>
        <w:rPr>
          <w:sz w:val="18"/>
        </w:rPr>
      </w:pPr>
      <w:r>
        <w:rPr>
          <w:color w:val="231F20"/>
          <w:w w:val="110"/>
          <w:sz w:val="18"/>
        </w:rPr>
        <w:t>Holiday Forum 2006, whose theme was ‘Belonging to the World Church, Sharing together in God’s Mission’, was </w:t>
      </w:r>
      <w:r>
        <w:rPr>
          <w:color w:val="231F20"/>
          <w:spacing w:val="2"/>
          <w:w w:val="110"/>
          <w:sz w:val="18"/>
        </w:rPr>
        <w:t>very </w:t>
      </w:r>
      <w:r>
        <w:rPr>
          <w:color w:val="231F20"/>
          <w:w w:val="110"/>
          <w:sz w:val="18"/>
        </w:rPr>
        <w:t>successful, being ably led by Philip Woods and Dale Rominger. Guest speakers were Francis Brienen </w:t>
      </w:r>
      <w:r>
        <w:rPr>
          <w:color w:val="231F20"/>
          <w:spacing w:val="-4"/>
          <w:w w:val="110"/>
          <w:sz w:val="18"/>
        </w:rPr>
        <w:t>(CWM), </w:t>
      </w:r>
      <w:r>
        <w:rPr>
          <w:color w:val="231F20"/>
          <w:w w:val="110"/>
          <w:sz w:val="18"/>
        </w:rPr>
        <w:t>Godwin Odonkor (Ghanaian Minister in London) and Mukondi Ramulondi (Uniting Presbyterian Church in Southern Africa).</w:t>
      </w:r>
      <w:r>
        <w:rPr>
          <w:color w:val="231F20"/>
          <w:spacing w:val="17"/>
          <w:w w:val="110"/>
          <w:sz w:val="18"/>
        </w:rPr>
        <w:t> </w:t>
      </w:r>
      <w:r>
        <w:rPr>
          <w:color w:val="231F20"/>
          <w:w w:val="110"/>
          <w:sz w:val="18"/>
        </w:rPr>
        <w:t>Their</w:t>
      </w:r>
      <w:r>
        <w:rPr>
          <w:color w:val="231F20"/>
          <w:spacing w:val="8"/>
          <w:w w:val="110"/>
          <w:sz w:val="18"/>
        </w:rPr>
        <w:t> </w:t>
      </w:r>
      <w:r>
        <w:rPr>
          <w:color w:val="231F20"/>
          <w:w w:val="110"/>
          <w:sz w:val="18"/>
        </w:rPr>
        <w:t>presentations</w:t>
      </w:r>
      <w:r>
        <w:rPr>
          <w:color w:val="231F20"/>
          <w:spacing w:val="9"/>
          <w:w w:val="110"/>
          <w:sz w:val="18"/>
        </w:rPr>
        <w:t> </w:t>
      </w:r>
      <w:r>
        <w:rPr>
          <w:color w:val="231F20"/>
          <w:w w:val="110"/>
          <w:sz w:val="18"/>
        </w:rPr>
        <w:t>enabled</w:t>
      </w:r>
      <w:r>
        <w:rPr>
          <w:color w:val="231F20"/>
          <w:spacing w:val="9"/>
          <w:w w:val="110"/>
          <w:sz w:val="18"/>
        </w:rPr>
        <w:t> </w:t>
      </w:r>
      <w:r>
        <w:rPr>
          <w:color w:val="231F20"/>
          <w:w w:val="110"/>
          <w:sz w:val="18"/>
        </w:rPr>
        <w:t>the</w:t>
      </w:r>
      <w:r>
        <w:rPr>
          <w:color w:val="231F20"/>
          <w:spacing w:val="8"/>
          <w:w w:val="110"/>
          <w:sz w:val="18"/>
        </w:rPr>
        <w:t> </w:t>
      </w:r>
      <w:r>
        <w:rPr>
          <w:color w:val="231F20"/>
          <w:w w:val="110"/>
          <w:sz w:val="18"/>
        </w:rPr>
        <w:t>conference</w:t>
      </w:r>
      <w:r>
        <w:rPr>
          <w:color w:val="231F20"/>
          <w:spacing w:val="9"/>
          <w:w w:val="110"/>
          <w:sz w:val="18"/>
        </w:rPr>
        <w:t> </w:t>
      </w:r>
      <w:r>
        <w:rPr>
          <w:color w:val="231F20"/>
          <w:w w:val="110"/>
          <w:sz w:val="18"/>
        </w:rPr>
        <w:t>to</w:t>
      </w:r>
      <w:r>
        <w:rPr>
          <w:color w:val="231F20"/>
          <w:spacing w:val="9"/>
          <w:w w:val="110"/>
          <w:sz w:val="18"/>
        </w:rPr>
        <w:t> </w:t>
      </w:r>
      <w:r>
        <w:rPr>
          <w:color w:val="231F20"/>
          <w:w w:val="110"/>
          <w:sz w:val="18"/>
        </w:rPr>
        <w:t>relate</w:t>
      </w:r>
      <w:r>
        <w:rPr>
          <w:color w:val="231F20"/>
          <w:spacing w:val="8"/>
          <w:w w:val="110"/>
          <w:sz w:val="18"/>
        </w:rPr>
        <w:t> </w:t>
      </w:r>
      <w:r>
        <w:rPr>
          <w:color w:val="231F20"/>
          <w:w w:val="110"/>
          <w:sz w:val="18"/>
        </w:rPr>
        <w:t>the</w:t>
      </w:r>
      <w:r>
        <w:rPr>
          <w:color w:val="231F20"/>
          <w:spacing w:val="9"/>
          <w:w w:val="110"/>
          <w:sz w:val="18"/>
        </w:rPr>
        <w:t> </w:t>
      </w:r>
      <w:r>
        <w:rPr>
          <w:color w:val="231F20"/>
          <w:w w:val="110"/>
          <w:sz w:val="18"/>
        </w:rPr>
        <w:t>global</w:t>
      </w:r>
      <w:r>
        <w:rPr>
          <w:color w:val="231F20"/>
          <w:spacing w:val="9"/>
          <w:w w:val="110"/>
          <w:sz w:val="18"/>
        </w:rPr>
        <w:t> </w:t>
      </w:r>
      <w:r>
        <w:rPr>
          <w:color w:val="231F20"/>
          <w:w w:val="110"/>
          <w:sz w:val="18"/>
        </w:rPr>
        <w:t>to</w:t>
      </w:r>
      <w:r>
        <w:rPr>
          <w:color w:val="231F20"/>
          <w:spacing w:val="8"/>
          <w:w w:val="110"/>
          <w:sz w:val="18"/>
        </w:rPr>
        <w:t> </w:t>
      </w:r>
      <w:r>
        <w:rPr>
          <w:color w:val="231F20"/>
          <w:w w:val="110"/>
          <w:sz w:val="18"/>
        </w:rPr>
        <w:t>the</w:t>
      </w:r>
      <w:r>
        <w:rPr>
          <w:color w:val="231F20"/>
          <w:spacing w:val="9"/>
          <w:w w:val="110"/>
          <w:sz w:val="18"/>
        </w:rPr>
        <w:t> </w:t>
      </w:r>
      <w:r>
        <w:rPr>
          <w:color w:val="231F20"/>
          <w:w w:val="110"/>
          <w:sz w:val="18"/>
        </w:rPr>
        <w:t>local,</w:t>
      </w:r>
    </w:p>
    <w:p>
      <w:pPr>
        <w:pStyle w:val="BodyText"/>
        <w:spacing w:line="273" w:lineRule="auto" w:before="3"/>
        <w:ind w:left="673" w:right="1856" w:hanging="1"/>
      </w:pPr>
      <w:r>
        <w:rPr>
          <w:color w:val="231F20"/>
          <w:w w:val="110"/>
        </w:rPr>
        <w:t>so that in ‘Belonging to the World Church’ we recognise that together, as </w:t>
      </w:r>
      <w:r>
        <w:rPr>
          <w:color w:val="231F20"/>
          <w:spacing w:val="2"/>
          <w:w w:val="110"/>
        </w:rPr>
        <w:t>brothers </w:t>
      </w:r>
      <w:r>
        <w:rPr>
          <w:color w:val="231F20"/>
          <w:w w:val="110"/>
        </w:rPr>
        <w:t>and </w:t>
      </w:r>
      <w:r>
        <w:rPr>
          <w:color w:val="231F20"/>
          <w:spacing w:val="2"/>
          <w:w w:val="110"/>
        </w:rPr>
        <w:t>sisters </w:t>
      </w:r>
      <w:r>
        <w:rPr>
          <w:color w:val="231F20"/>
          <w:w w:val="110"/>
        </w:rPr>
        <w:t>in Christ we can indeed make a </w:t>
      </w:r>
      <w:r>
        <w:rPr>
          <w:color w:val="231F20"/>
          <w:spacing w:val="2"/>
          <w:w w:val="110"/>
        </w:rPr>
        <w:t>difference </w:t>
      </w:r>
      <w:r>
        <w:rPr>
          <w:color w:val="231F20"/>
          <w:w w:val="110"/>
        </w:rPr>
        <w:t>to the world, whether the one on our </w:t>
      </w:r>
      <w:r>
        <w:rPr>
          <w:color w:val="231F20"/>
          <w:spacing w:val="2"/>
          <w:w w:val="110"/>
        </w:rPr>
        <w:t>doorstep </w:t>
      </w:r>
      <w:r>
        <w:rPr>
          <w:color w:val="231F20"/>
          <w:w w:val="110"/>
        </w:rPr>
        <w:t>or the planet as a whole. Much appreciated by all were the Taiwanese </w:t>
      </w:r>
      <w:r>
        <w:rPr>
          <w:color w:val="231F20"/>
          <w:spacing w:val="-3"/>
          <w:w w:val="110"/>
        </w:rPr>
        <w:t>choir,  </w:t>
      </w:r>
      <w:r>
        <w:rPr>
          <w:color w:val="231F20"/>
          <w:w w:val="110"/>
        </w:rPr>
        <w:t>who brought such a wide diversity of their music and traditions which helped to broaden our thinking.</w:t>
      </w:r>
    </w:p>
    <w:p>
      <w:pPr>
        <w:pStyle w:val="BodyText"/>
        <w:spacing w:before="10"/>
        <w:rPr>
          <w:sz w:val="20"/>
        </w:rPr>
      </w:pPr>
    </w:p>
    <w:p>
      <w:pPr>
        <w:pStyle w:val="ListParagraph"/>
        <w:numPr>
          <w:ilvl w:val="4"/>
          <w:numId w:val="92"/>
        </w:numPr>
        <w:tabs>
          <w:tab w:pos="1393" w:val="left" w:leader="none"/>
          <w:tab w:pos="1394" w:val="left" w:leader="none"/>
        </w:tabs>
        <w:spacing w:line="273" w:lineRule="auto" w:before="0" w:after="0"/>
        <w:ind w:left="673" w:right="1988" w:hanging="1"/>
        <w:jc w:val="left"/>
        <w:rPr>
          <w:sz w:val="18"/>
        </w:rPr>
      </w:pPr>
      <w:r>
        <w:rPr>
          <w:color w:val="231F20"/>
          <w:spacing w:val="2"/>
          <w:w w:val="110"/>
          <w:sz w:val="18"/>
        </w:rPr>
        <w:t>This </w:t>
      </w:r>
      <w:r>
        <w:rPr>
          <w:color w:val="231F20"/>
          <w:w w:val="110"/>
          <w:sz w:val="18"/>
        </w:rPr>
        <w:t>year’s </w:t>
      </w:r>
      <w:r>
        <w:rPr>
          <w:color w:val="231F20"/>
          <w:spacing w:val="3"/>
          <w:w w:val="110"/>
          <w:sz w:val="18"/>
        </w:rPr>
        <w:t>conference </w:t>
      </w:r>
      <w:r>
        <w:rPr>
          <w:color w:val="231F20"/>
          <w:w w:val="110"/>
          <w:sz w:val="18"/>
        </w:rPr>
        <w:t>is </w:t>
      </w:r>
      <w:r>
        <w:rPr>
          <w:color w:val="231F20"/>
          <w:spacing w:val="3"/>
          <w:w w:val="110"/>
          <w:sz w:val="18"/>
        </w:rPr>
        <w:t>entitled </w:t>
      </w:r>
      <w:r>
        <w:rPr>
          <w:color w:val="231F20"/>
          <w:spacing w:val="-3"/>
          <w:w w:val="110"/>
          <w:sz w:val="18"/>
        </w:rPr>
        <w:t>‘To </w:t>
      </w:r>
      <w:r>
        <w:rPr>
          <w:color w:val="231F20"/>
          <w:spacing w:val="3"/>
          <w:w w:val="110"/>
          <w:sz w:val="18"/>
        </w:rPr>
        <w:t>Be </w:t>
      </w:r>
      <w:r>
        <w:rPr>
          <w:color w:val="231F20"/>
          <w:w w:val="110"/>
          <w:sz w:val="18"/>
        </w:rPr>
        <w:t>a Pilgrim’ and will </w:t>
      </w:r>
      <w:r>
        <w:rPr>
          <w:color w:val="231F20"/>
          <w:spacing w:val="2"/>
          <w:w w:val="110"/>
          <w:sz w:val="18"/>
        </w:rPr>
        <w:t>be led </w:t>
      </w:r>
      <w:r>
        <w:rPr>
          <w:color w:val="231F20"/>
          <w:w w:val="110"/>
          <w:sz w:val="18"/>
        </w:rPr>
        <w:t>by Revd </w:t>
      </w:r>
      <w:r>
        <w:rPr>
          <w:color w:val="231F20"/>
          <w:spacing w:val="2"/>
          <w:w w:val="110"/>
          <w:sz w:val="18"/>
        </w:rPr>
        <w:t>Sheila </w:t>
      </w:r>
      <w:r>
        <w:rPr>
          <w:color w:val="231F20"/>
          <w:w w:val="110"/>
          <w:sz w:val="18"/>
        </w:rPr>
        <w:t>Maxey with Alistair Smeaton leading the worship and Richard </w:t>
      </w:r>
      <w:r>
        <w:rPr>
          <w:color w:val="231F20"/>
          <w:spacing w:val="2"/>
          <w:w w:val="110"/>
          <w:sz w:val="18"/>
        </w:rPr>
        <w:t>Bittleston </w:t>
      </w:r>
      <w:r>
        <w:rPr>
          <w:color w:val="231F20"/>
          <w:w w:val="110"/>
          <w:sz w:val="18"/>
        </w:rPr>
        <w:t>as  music leader. Dates are </w:t>
      </w:r>
      <w:r>
        <w:rPr>
          <w:color w:val="231F20"/>
          <w:spacing w:val="2"/>
          <w:w w:val="110"/>
          <w:sz w:val="18"/>
        </w:rPr>
        <w:t>from </w:t>
      </w:r>
      <w:r>
        <w:rPr>
          <w:color w:val="231F20"/>
          <w:w w:val="110"/>
          <w:sz w:val="18"/>
        </w:rPr>
        <w:t>18th to 24th August </w:t>
      </w:r>
      <w:r>
        <w:rPr>
          <w:color w:val="231F20"/>
          <w:spacing w:val="-7"/>
          <w:w w:val="110"/>
          <w:sz w:val="18"/>
        </w:rPr>
        <w:t>2007, </w:t>
      </w:r>
      <w:r>
        <w:rPr>
          <w:color w:val="231F20"/>
          <w:w w:val="110"/>
          <w:sz w:val="18"/>
        </w:rPr>
        <w:t>and places are still available. Further details can be obtained </w:t>
      </w:r>
      <w:r>
        <w:rPr>
          <w:color w:val="231F20"/>
          <w:spacing w:val="2"/>
          <w:w w:val="110"/>
          <w:sz w:val="18"/>
        </w:rPr>
        <w:t>from </w:t>
      </w:r>
      <w:r>
        <w:rPr>
          <w:color w:val="231F20"/>
          <w:w w:val="110"/>
          <w:sz w:val="18"/>
        </w:rPr>
        <w:t>Monica </w:t>
      </w:r>
      <w:r>
        <w:rPr>
          <w:color w:val="231F20"/>
          <w:spacing w:val="-3"/>
          <w:w w:val="110"/>
          <w:sz w:val="18"/>
        </w:rPr>
        <w:t>Penny, </w:t>
      </w:r>
      <w:r>
        <w:rPr>
          <w:color w:val="231F20"/>
          <w:w w:val="110"/>
          <w:sz w:val="18"/>
        </w:rPr>
        <w:t>184 Beauchamps Drive, Wickford, Essex, </w:t>
      </w:r>
      <w:r>
        <w:rPr>
          <w:color w:val="231F20"/>
          <w:spacing w:val="-5"/>
          <w:w w:val="110"/>
          <w:sz w:val="18"/>
        </w:rPr>
        <w:t>SS11 </w:t>
      </w:r>
      <w:r>
        <w:rPr>
          <w:color w:val="231F20"/>
          <w:w w:val="110"/>
          <w:sz w:val="18"/>
        </w:rPr>
        <w:t>8NF </w:t>
      </w:r>
      <w:r>
        <w:rPr>
          <w:color w:val="231F20"/>
          <w:spacing w:val="-5"/>
          <w:w w:val="110"/>
          <w:sz w:val="18"/>
        </w:rPr>
        <w:t>(01268 </w:t>
      </w:r>
      <w:r>
        <w:rPr>
          <w:color w:val="231F20"/>
          <w:spacing w:val="-7"/>
          <w:w w:val="110"/>
          <w:sz w:val="18"/>
        </w:rPr>
        <w:t>761176) </w:t>
      </w:r>
      <w:r>
        <w:rPr>
          <w:color w:val="231F20"/>
          <w:w w:val="110"/>
          <w:sz w:val="18"/>
        </w:rPr>
        <w:t>or </w:t>
      </w:r>
      <w:r>
        <w:rPr>
          <w:color w:val="231F20"/>
          <w:spacing w:val="2"/>
          <w:w w:val="110"/>
          <w:sz w:val="18"/>
        </w:rPr>
        <w:t>from </w:t>
      </w:r>
      <w:r>
        <w:rPr>
          <w:color w:val="231F20"/>
          <w:w w:val="110"/>
          <w:sz w:val="18"/>
        </w:rPr>
        <w:t>the Holiday Forum</w:t>
      </w:r>
      <w:r>
        <w:rPr>
          <w:color w:val="231F20"/>
          <w:spacing w:val="49"/>
          <w:w w:val="110"/>
          <w:sz w:val="18"/>
        </w:rPr>
        <w:t> </w:t>
      </w:r>
      <w:r>
        <w:rPr>
          <w:color w:val="231F20"/>
          <w:w w:val="110"/>
          <w:sz w:val="18"/>
        </w:rPr>
        <w:t>website.</w:t>
      </w:r>
    </w:p>
    <w:p>
      <w:pPr>
        <w:pStyle w:val="BodyText"/>
        <w:spacing w:before="10"/>
        <w:rPr>
          <w:sz w:val="20"/>
        </w:rPr>
      </w:pPr>
    </w:p>
    <w:p>
      <w:pPr>
        <w:pStyle w:val="ListParagraph"/>
        <w:numPr>
          <w:ilvl w:val="4"/>
          <w:numId w:val="92"/>
        </w:numPr>
        <w:tabs>
          <w:tab w:pos="1393" w:val="left" w:leader="none"/>
          <w:tab w:pos="1394" w:val="left" w:leader="none"/>
        </w:tabs>
        <w:spacing w:line="273" w:lineRule="auto" w:before="0" w:after="0"/>
        <w:ind w:left="673" w:right="1891" w:firstLine="0"/>
        <w:jc w:val="left"/>
        <w:rPr>
          <w:sz w:val="18"/>
        </w:rPr>
      </w:pPr>
      <w:r>
        <w:rPr>
          <w:color w:val="231F20"/>
          <w:spacing w:val="3"/>
          <w:w w:val="110"/>
          <w:sz w:val="18"/>
        </w:rPr>
        <w:t>As </w:t>
      </w:r>
      <w:r>
        <w:rPr>
          <w:color w:val="231F20"/>
          <w:w w:val="110"/>
          <w:sz w:val="18"/>
        </w:rPr>
        <w:t>its name suggests Holiday Forum has two aims. The first is as a conference, where through talks and workshops a serious theme can be explored. Secondly, as a </w:t>
      </w:r>
      <w:r>
        <w:rPr>
          <w:color w:val="231F20"/>
          <w:spacing w:val="-3"/>
          <w:w w:val="110"/>
          <w:sz w:val="18"/>
        </w:rPr>
        <w:t>holiday, </w:t>
      </w:r>
      <w:r>
        <w:rPr>
          <w:color w:val="231F20"/>
          <w:w w:val="110"/>
          <w:sz w:val="18"/>
        </w:rPr>
        <w:t>where the ‘United Reformed Church is at play’. </w:t>
      </w:r>
      <w:r>
        <w:rPr>
          <w:color w:val="231F20"/>
          <w:spacing w:val="-3"/>
          <w:w w:val="110"/>
          <w:sz w:val="18"/>
        </w:rPr>
        <w:t>However, </w:t>
      </w:r>
      <w:r>
        <w:rPr>
          <w:color w:val="231F20"/>
          <w:w w:val="110"/>
          <w:sz w:val="18"/>
        </w:rPr>
        <w:t>people come </w:t>
      </w:r>
      <w:r>
        <w:rPr>
          <w:color w:val="231F20"/>
          <w:spacing w:val="2"/>
          <w:w w:val="110"/>
          <w:sz w:val="18"/>
        </w:rPr>
        <w:t>from </w:t>
      </w:r>
      <w:r>
        <w:rPr>
          <w:color w:val="231F20"/>
          <w:w w:val="110"/>
          <w:sz w:val="18"/>
        </w:rPr>
        <w:t>many church denominations and </w:t>
      </w:r>
      <w:r>
        <w:rPr>
          <w:color w:val="231F20"/>
          <w:spacing w:val="2"/>
          <w:w w:val="110"/>
          <w:sz w:val="18"/>
        </w:rPr>
        <w:t>from </w:t>
      </w:r>
      <w:r>
        <w:rPr>
          <w:color w:val="231F20"/>
          <w:w w:val="110"/>
          <w:sz w:val="18"/>
        </w:rPr>
        <w:t>all over the country. </w:t>
      </w:r>
      <w:r>
        <w:rPr>
          <w:color w:val="231F20"/>
          <w:spacing w:val="2"/>
          <w:w w:val="110"/>
          <w:sz w:val="18"/>
        </w:rPr>
        <w:t>There </w:t>
      </w:r>
      <w:r>
        <w:rPr>
          <w:color w:val="231F20"/>
          <w:w w:val="110"/>
          <w:sz w:val="18"/>
        </w:rPr>
        <w:t>is time to relax, talk about the problems and anxieties of church life with old and new friends, indulge in </w:t>
      </w:r>
      <w:r>
        <w:rPr>
          <w:color w:val="231F20"/>
          <w:spacing w:val="3"/>
          <w:w w:val="110"/>
          <w:sz w:val="18"/>
        </w:rPr>
        <w:t>sports </w:t>
      </w:r>
      <w:r>
        <w:rPr>
          <w:color w:val="231F20"/>
          <w:w w:val="110"/>
          <w:sz w:val="18"/>
        </w:rPr>
        <w:t>and other activities. One problem Holiday Forum has is publicity and getting known to the church as a whole, and this is where the United Reformed Church central </w:t>
      </w:r>
      <w:r>
        <w:rPr>
          <w:color w:val="231F20"/>
          <w:spacing w:val="2"/>
          <w:w w:val="110"/>
          <w:sz w:val="18"/>
        </w:rPr>
        <w:t>office </w:t>
      </w:r>
      <w:r>
        <w:rPr>
          <w:color w:val="231F20"/>
          <w:w w:val="110"/>
          <w:sz w:val="18"/>
        </w:rPr>
        <w:t>could play a vital</w:t>
      </w:r>
      <w:r>
        <w:rPr>
          <w:color w:val="231F20"/>
          <w:spacing w:val="3"/>
          <w:w w:val="110"/>
          <w:sz w:val="18"/>
        </w:rPr>
        <w:t> </w:t>
      </w:r>
      <w:r>
        <w:rPr>
          <w:color w:val="231F20"/>
          <w:w w:val="110"/>
          <w:sz w:val="18"/>
        </w:rPr>
        <w:t>role.</w:t>
      </w:r>
    </w:p>
    <w:p>
      <w:pPr>
        <w:pStyle w:val="BodyText"/>
        <w:rPr>
          <w:sz w:val="20"/>
        </w:rPr>
      </w:pPr>
    </w:p>
    <w:p>
      <w:pPr>
        <w:pStyle w:val="BodyText"/>
        <w:rPr>
          <w:sz w:val="20"/>
        </w:rPr>
      </w:pPr>
    </w:p>
    <w:p>
      <w:pPr>
        <w:spacing w:before="472"/>
        <w:ind w:left="0" w:right="1024" w:firstLine="0"/>
        <w:jc w:val="center"/>
        <w:rPr>
          <w:i/>
          <w:sz w:val="24"/>
        </w:rPr>
      </w:pPr>
      <w:r>
        <w:rPr>
          <w:i/>
          <w:color w:val="231F20"/>
          <w:w w:val="600"/>
          <w:sz w:val="24"/>
        </w:rPr>
        <w:t>   </w:t>
      </w:r>
    </w:p>
    <w:p>
      <w:pPr>
        <w:spacing w:after="0"/>
        <w:jc w:val="center"/>
        <w:rPr>
          <w:sz w:val="24"/>
        </w:rPr>
        <w:sectPr>
          <w:headerReference w:type="even" r:id="rId218"/>
          <w:footerReference w:type="even" r:id="rId219"/>
          <w:pgSz w:w="11910" w:h="16840"/>
          <w:pgMar w:header="558" w:footer="564" w:top="820" w:bottom="760" w:left="460" w:right="0"/>
        </w:sectPr>
      </w:pPr>
    </w:p>
    <w:p>
      <w:pPr>
        <w:numPr>
          <w:ilvl w:val="5"/>
          <w:numId w:val="92"/>
        </w:numPr>
        <w:tabs>
          <w:tab w:pos="1960" w:val="left" w:leader="none"/>
          <w:tab w:pos="1961" w:val="left" w:leader="none"/>
        </w:tabs>
        <w:spacing w:before="75"/>
        <w:ind w:left="1960" w:right="0" w:hanging="721"/>
        <w:jc w:val="left"/>
        <w:rPr>
          <w:b/>
          <w:sz w:val="18"/>
        </w:rPr>
      </w:pPr>
      <w:r>
        <w:rPr/>
        <w:pict>
          <v:shape style="position:absolute;margin-left:509.226196pt;margin-top:36.840614pt;width:65.05pt;height:738.9pt;mso-position-horizontal-relative:page;mso-position-vertical-relative:page;z-index:251831296" type="#_x0000_t202" filled="false" stroked="false">
            <v:textbox inset="0,0,0,0" style="layout-flow:vertical">
              <w:txbxContent>
                <w:p>
                  <w:pPr>
                    <w:spacing w:line="866" w:lineRule="exact" w:before="20"/>
                    <w:ind w:left="20" w:right="0" w:firstLine="0"/>
                    <w:jc w:val="left"/>
                    <w:rPr>
                      <w:b/>
                      <w:sz w:val="74"/>
                    </w:rPr>
                  </w:pPr>
                  <w:r>
                    <w:rPr>
                      <w:b/>
                      <w:color w:val="231F20"/>
                      <w:sz w:val="74"/>
                    </w:rPr>
                    <w:t>Covenant Membership and Mission</w:t>
                  </w:r>
                </w:p>
                <w:p>
                  <w:pPr>
                    <w:spacing w:line="412"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Understanding Covenant</w:t>
      </w:r>
    </w:p>
    <w:p>
      <w:pPr>
        <w:pStyle w:val="BodyText"/>
        <w:spacing w:before="2"/>
        <w:rPr>
          <w:b/>
          <w:sz w:val="23"/>
        </w:rPr>
      </w:pPr>
    </w:p>
    <w:p>
      <w:pPr>
        <w:pStyle w:val="ListParagraph"/>
        <w:numPr>
          <w:ilvl w:val="6"/>
          <w:numId w:val="92"/>
        </w:numPr>
        <w:tabs>
          <w:tab w:pos="1921" w:val="left" w:leader="none"/>
          <w:tab w:pos="1922" w:val="left" w:leader="none"/>
        </w:tabs>
        <w:spacing w:line="273" w:lineRule="auto" w:before="0" w:after="0"/>
        <w:ind w:left="1240" w:right="2158" w:firstLine="0"/>
        <w:jc w:val="left"/>
        <w:rPr>
          <w:sz w:val="18"/>
        </w:rPr>
      </w:pPr>
      <w:r>
        <w:rPr>
          <w:color w:val="231F20"/>
          <w:w w:val="110"/>
          <w:sz w:val="18"/>
        </w:rPr>
        <w:t>The Church is the body of Christ, a people gathered by God to become   a sign, expression and </w:t>
      </w:r>
      <w:r>
        <w:rPr>
          <w:color w:val="231F20"/>
          <w:spacing w:val="2"/>
          <w:w w:val="110"/>
          <w:sz w:val="18"/>
        </w:rPr>
        <w:t>foretaste </w:t>
      </w:r>
      <w:r>
        <w:rPr>
          <w:color w:val="231F20"/>
          <w:w w:val="110"/>
          <w:sz w:val="18"/>
        </w:rPr>
        <w:t>of God’s reign in the world. It is a community called into being by God’s grace to play its </w:t>
      </w:r>
      <w:r>
        <w:rPr>
          <w:color w:val="231F20"/>
          <w:spacing w:val="2"/>
          <w:w w:val="110"/>
          <w:sz w:val="18"/>
        </w:rPr>
        <w:t>part </w:t>
      </w:r>
      <w:r>
        <w:rPr>
          <w:color w:val="231F20"/>
          <w:w w:val="110"/>
          <w:sz w:val="18"/>
        </w:rPr>
        <w:t>in keeping the Covenant God has made with all creation (Genesis </w:t>
      </w:r>
      <w:r>
        <w:rPr>
          <w:color w:val="231F20"/>
          <w:spacing w:val="-8"/>
          <w:w w:val="110"/>
          <w:sz w:val="18"/>
        </w:rPr>
        <w:t>9:12). </w:t>
      </w:r>
      <w:r>
        <w:rPr>
          <w:color w:val="231F20"/>
          <w:spacing w:val="-3"/>
          <w:w w:val="110"/>
          <w:sz w:val="18"/>
        </w:rPr>
        <w:t>We </w:t>
      </w:r>
      <w:r>
        <w:rPr>
          <w:color w:val="231F20"/>
          <w:w w:val="110"/>
          <w:sz w:val="18"/>
        </w:rPr>
        <w:t>neither merited this special covenantal relationship with God, nor have we always been faithful in keeping our side of the Covenant; but God graciously and amazingly has repeatedly ratified the Covenant with those frail folk whom God has invited to play a leading </w:t>
      </w:r>
      <w:r>
        <w:rPr>
          <w:color w:val="231F20"/>
          <w:spacing w:val="2"/>
          <w:w w:val="110"/>
          <w:sz w:val="18"/>
        </w:rPr>
        <w:t>part </w:t>
      </w:r>
      <w:r>
        <w:rPr>
          <w:color w:val="231F20"/>
          <w:w w:val="110"/>
          <w:sz w:val="18"/>
        </w:rPr>
        <w:t>in the divine mission, e.g. Abraham and Sara (Genesis </w:t>
      </w:r>
      <w:r>
        <w:rPr>
          <w:color w:val="231F20"/>
          <w:spacing w:val="-8"/>
          <w:w w:val="110"/>
          <w:sz w:val="18"/>
        </w:rPr>
        <w:t>17:7),  </w:t>
      </w:r>
      <w:r>
        <w:rPr>
          <w:color w:val="231F20"/>
          <w:w w:val="110"/>
          <w:sz w:val="18"/>
        </w:rPr>
        <w:t>Moses (Exodus </w:t>
      </w:r>
      <w:r>
        <w:rPr>
          <w:color w:val="231F20"/>
          <w:spacing w:val="-6"/>
          <w:w w:val="110"/>
          <w:sz w:val="18"/>
        </w:rPr>
        <w:t>34.10) </w:t>
      </w:r>
      <w:r>
        <w:rPr>
          <w:color w:val="231F20"/>
          <w:w w:val="110"/>
          <w:sz w:val="18"/>
        </w:rPr>
        <w:t>and the followers of Jesus (Galatians </w:t>
      </w:r>
      <w:r>
        <w:rPr>
          <w:color w:val="231F20"/>
          <w:spacing w:val="-5"/>
          <w:w w:val="110"/>
          <w:sz w:val="18"/>
        </w:rPr>
        <w:t>3: </w:t>
      </w:r>
      <w:r>
        <w:rPr>
          <w:color w:val="231F20"/>
          <w:spacing w:val="-6"/>
          <w:w w:val="110"/>
          <w:sz w:val="18"/>
        </w:rPr>
        <w:t>14, </w:t>
      </w:r>
      <w:r>
        <w:rPr>
          <w:color w:val="231F20"/>
          <w:spacing w:val="-5"/>
          <w:w w:val="110"/>
          <w:sz w:val="18"/>
        </w:rPr>
        <w:t>26-29; </w:t>
      </w:r>
      <w:r>
        <w:rPr>
          <w:color w:val="231F20"/>
          <w:w w:val="110"/>
          <w:sz w:val="18"/>
        </w:rPr>
        <w:t>I  Peter </w:t>
      </w:r>
      <w:r>
        <w:rPr>
          <w:color w:val="231F20"/>
          <w:spacing w:val="-5"/>
          <w:w w:val="110"/>
          <w:sz w:val="18"/>
        </w:rPr>
        <w:t>2: </w:t>
      </w:r>
      <w:r>
        <w:rPr>
          <w:color w:val="231F20"/>
          <w:spacing w:val="-8"/>
          <w:w w:val="110"/>
          <w:sz w:val="18"/>
        </w:rPr>
        <w:t>9-10). </w:t>
      </w:r>
      <w:r>
        <w:rPr>
          <w:color w:val="231F20"/>
          <w:w w:val="110"/>
          <w:sz w:val="18"/>
        </w:rPr>
        <w:t>Christians, therefore, are drawn into relationships with God and one another which are rooted in the promises God has made with the whole creation since the foundation of the</w:t>
      </w:r>
      <w:r>
        <w:rPr>
          <w:color w:val="231F20"/>
          <w:spacing w:val="11"/>
          <w:w w:val="110"/>
          <w:sz w:val="18"/>
        </w:rPr>
        <w:t> </w:t>
      </w:r>
      <w:r>
        <w:rPr>
          <w:color w:val="231F20"/>
          <w:w w:val="110"/>
          <w:sz w:val="18"/>
        </w:rPr>
        <w:t>world.</w:t>
      </w:r>
    </w:p>
    <w:p>
      <w:pPr>
        <w:pStyle w:val="BodyText"/>
        <w:spacing w:before="2"/>
        <w:rPr>
          <w:sz w:val="21"/>
        </w:rPr>
      </w:pPr>
    </w:p>
    <w:p>
      <w:pPr>
        <w:pStyle w:val="ListParagraph"/>
        <w:numPr>
          <w:ilvl w:val="6"/>
          <w:numId w:val="92"/>
        </w:numPr>
        <w:tabs>
          <w:tab w:pos="1921" w:val="left" w:leader="none"/>
          <w:tab w:pos="1922" w:val="left" w:leader="none"/>
        </w:tabs>
        <w:spacing w:line="273" w:lineRule="auto" w:before="0" w:after="0"/>
        <w:ind w:left="1240" w:right="2296" w:firstLine="0"/>
        <w:jc w:val="left"/>
        <w:rPr>
          <w:sz w:val="18"/>
        </w:rPr>
      </w:pPr>
      <w:r>
        <w:rPr>
          <w:color w:val="231F20"/>
          <w:spacing w:val="3"/>
          <w:w w:val="110"/>
          <w:sz w:val="18"/>
        </w:rPr>
        <w:t>As </w:t>
      </w:r>
      <w:r>
        <w:rPr>
          <w:color w:val="231F20"/>
          <w:w w:val="110"/>
          <w:sz w:val="18"/>
        </w:rPr>
        <w:t>church </w:t>
      </w:r>
      <w:r>
        <w:rPr>
          <w:color w:val="231F20"/>
          <w:spacing w:val="2"/>
          <w:w w:val="110"/>
          <w:sz w:val="18"/>
        </w:rPr>
        <w:t>members </w:t>
      </w:r>
      <w:r>
        <w:rPr>
          <w:color w:val="231F20"/>
          <w:w w:val="110"/>
          <w:sz w:val="18"/>
        </w:rPr>
        <w:t>we join with the communion of saints who have gone </w:t>
      </w:r>
      <w:r>
        <w:rPr>
          <w:color w:val="231F20"/>
          <w:spacing w:val="2"/>
          <w:w w:val="110"/>
          <w:sz w:val="18"/>
        </w:rPr>
        <w:t>before </w:t>
      </w:r>
      <w:r>
        <w:rPr>
          <w:color w:val="231F20"/>
          <w:w w:val="110"/>
          <w:sz w:val="18"/>
        </w:rPr>
        <w:t>us, as well as all the gathered saints worldwide, who sit under Word and around </w:t>
      </w:r>
      <w:r>
        <w:rPr>
          <w:color w:val="231F20"/>
          <w:spacing w:val="-3"/>
          <w:w w:val="110"/>
          <w:sz w:val="18"/>
        </w:rPr>
        <w:t>Table </w:t>
      </w:r>
      <w:r>
        <w:rPr>
          <w:color w:val="231F20"/>
          <w:w w:val="110"/>
          <w:sz w:val="18"/>
        </w:rPr>
        <w:t>in order to </w:t>
      </w:r>
      <w:r>
        <w:rPr>
          <w:color w:val="231F20"/>
          <w:spacing w:val="2"/>
          <w:w w:val="110"/>
          <w:sz w:val="18"/>
        </w:rPr>
        <w:t>offer </w:t>
      </w:r>
      <w:r>
        <w:rPr>
          <w:color w:val="231F20"/>
          <w:w w:val="110"/>
          <w:sz w:val="18"/>
        </w:rPr>
        <w:t>worship to the triune God and be equipped for God’s </w:t>
      </w:r>
      <w:r>
        <w:rPr>
          <w:color w:val="231F20"/>
          <w:spacing w:val="2"/>
          <w:w w:val="110"/>
          <w:sz w:val="18"/>
        </w:rPr>
        <w:t>service </w:t>
      </w:r>
      <w:r>
        <w:rPr>
          <w:color w:val="231F20"/>
          <w:w w:val="110"/>
          <w:sz w:val="18"/>
        </w:rPr>
        <w:t>in society. Out of gratitude for what God has done for us we open ourselves to all those who lay claim upon our lives. In joy and with thanksgiving for God’s </w:t>
      </w:r>
      <w:r>
        <w:rPr>
          <w:color w:val="231F20"/>
          <w:spacing w:val="2"/>
          <w:w w:val="110"/>
          <w:sz w:val="18"/>
        </w:rPr>
        <w:t>gifts </w:t>
      </w:r>
      <w:r>
        <w:rPr>
          <w:color w:val="231F20"/>
          <w:w w:val="110"/>
          <w:sz w:val="18"/>
        </w:rPr>
        <w:t>we are strengthened to stand up for the values of God in the world. Our ongoing challenge and obligation </w:t>
      </w:r>
      <w:r>
        <w:rPr>
          <w:color w:val="231F20"/>
          <w:spacing w:val="2"/>
          <w:w w:val="110"/>
          <w:sz w:val="18"/>
        </w:rPr>
        <w:t>therefore </w:t>
      </w:r>
      <w:r>
        <w:rPr>
          <w:color w:val="231F20"/>
          <w:w w:val="110"/>
          <w:sz w:val="18"/>
        </w:rPr>
        <w:t>is the sometimes complex and always demanding business of keeping faith with the Covenant.</w:t>
      </w:r>
    </w:p>
    <w:p>
      <w:pPr>
        <w:pStyle w:val="BodyText"/>
        <w:spacing w:before="1"/>
        <w:rPr>
          <w:sz w:val="21"/>
        </w:rPr>
      </w:pPr>
    </w:p>
    <w:p>
      <w:pPr>
        <w:pStyle w:val="ListParagraph"/>
        <w:numPr>
          <w:ilvl w:val="6"/>
          <w:numId w:val="92"/>
        </w:numPr>
        <w:tabs>
          <w:tab w:pos="1921" w:val="left" w:leader="none"/>
          <w:tab w:pos="1922" w:val="left" w:leader="none"/>
        </w:tabs>
        <w:spacing w:line="273" w:lineRule="auto" w:before="0" w:after="0"/>
        <w:ind w:left="1240" w:right="2176" w:firstLine="0"/>
        <w:jc w:val="left"/>
        <w:rPr>
          <w:sz w:val="18"/>
        </w:rPr>
      </w:pPr>
      <w:r>
        <w:rPr>
          <w:color w:val="231F20"/>
          <w:w w:val="110"/>
          <w:sz w:val="18"/>
        </w:rPr>
        <w:t>In the Reformed heritage we find fascinating and impressive </w:t>
      </w:r>
      <w:r>
        <w:rPr>
          <w:color w:val="231F20"/>
          <w:spacing w:val="2"/>
          <w:w w:val="110"/>
          <w:sz w:val="18"/>
        </w:rPr>
        <w:t>forebears </w:t>
      </w:r>
      <w:r>
        <w:rPr>
          <w:color w:val="231F20"/>
          <w:w w:val="110"/>
          <w:sz w:val="18"/>
        </w:rPr>
        <w:t>who built their church life upon this central idea of Covenant. They </w:t>
      </w:r>
      <w:r>
        <w:rPr>
          <w:color w:val="231F20"/>
          <w:spacing w:val="2"/>
          <w:w w:val="110"/>
          <w:sz w:val="18"/>
        </w:rPr>
        <w:t>stressed </w:t>
      </w:r>
      <w:r>
        <w:rPr>
          <w:color w:val="231F20"/>
          <w:w w:val="110"/>
          <w:sz w:val="18"/>
        </w:rPr>
        <w:t>their obligations to one another in the light of the gracious way they had found God dealing with them through the divine human Covenant. Freely they had received, so </w:t>
      </w:r>
      <w:r>
        <w:rPr>
          <w:color w:val="231F20"/>
          <w:spacing w:val="2"/>
          <w:w w:val="110"/>
          <w:sz w:val="18"/>
        </w:rPr>
        <w:t>freely </w:t>
      </w:r>
      <w:r>
        <w:rPr>
          <w:color w:val="231F20"/>
          <w:w w:val="110"/>
          <w:sz w:val="18"/>
        </w:rPr>
        <w:t>they had to </w:t>
      </w:r>
      <w:r>
        <w:rPr>
          <w:color w:val="231F20"/>
          <w:spacing w:val="-3"/>
          <w:w w:val="110"/>
          <w:sz w:val="18"/>
        </w:rPr>
        <w:t>give; </w:t>
      </w:r>
      <w:r>
        <w:rPr>
          <w:color w:val="231F20"/>
          <w:w w:val="110"/>
          <w:sz w:val="18"/>
        </w:rPr>
        <w:t>as Christ had laid down his life for them,  so they had sacrificially to be of </w:t>
      </w:r>
      <w:r>
        <w:rPr>
          <w:color w:val="231F20"/>
          <w:spacing w:val="2"/>
          <w:w w:val="110"/>
          <w:sz w:val="18"/>
        </w:rPr>
        <w:t>service </w:t>
      </w:r>
      <w:r>
        <w:rPr>
          <w:color w:val="231F20"/>
          <w:w w:val="110"/>
          <w:sz w:val="18"/>
        </w:rPr>
        <w:t>to one another. Membership in such churches was not a matter of fulfilling the contractual obligations </w:t>
      </w:r>
      <w:r>
        <w:rPr>
          <w:color w:val="231F20"/>
          <w:spacing w:val="2"/>
          <w:w w:val="110"/>
          <w:sz w:val="18"/>
        </w:rPr>
        <w:t>attached </w:t>
      </w:r>
      <w:r>
        <w:rPr>
          <w:color w:val="231F20"/>
          <w:w w:val="110"/>
          <w:sz w:val="18"/>
        </w:rPr>
        <w:t>to membership of a club; rather it was akin to belonging to a people’s movement whose life had become devoted to responding faithfully to what God willed  them to be and do. When these churches met for decision making they were not concerned with democratic transactions so much as with God-centred obedience. From such exciting yet exacting traditions we can still learn vital principles about what it means for us to be church </w:t>
      </w:r>
      <w:r>
        <w:rPr>
          <w:color w:val="231F20"/>
          <w:spacing w:val="2"/>
          <w:w w:val="110"/>
          <w:sz w:val="18"/>
        </w:rPr>
        <w:t>members</w:t>
      </w:r>
      <w:r>
        <w:rPr>
          <w:color w:val="231F20"/>
          <w:spacing w:val="48"/>
          <w:w w:val="110"/>
          <w:sz w:val="18"/>
        </w:rPr>
        <w:t> </w:t>
      </w:r>
      <w:r>
        <w:rPr>
          <w:color w:val="231F20"/>
          <w:spacing w:val="-3"/>
          <w:w w:val="110"/>
          <w:sz w:val="18"/>
        </w:rPr>
        <w:t>today.</w:t>
      </w:r>
    </w:p>
    <w:p>
      <w:pPr>
        <w:pStyle w:val="BodyText"/>
        <w:spacing w:before="2"/>
        <w:rPr>
          <w:sz w:val="21"/>
        </w:rPr>
      </w:pPr>
    </w:p>
    <w:p>
      <w:pPr>
        <w:pStyle w:val="ListParagraph"/>
        <w:numPr>
          <w:ilvl w:val="6"/>
          <w:numId w:val="92"/>
        </w:numPr>
        <w:tabs>
          <w:tab w:pos="1921" w:val="left" w:leader="none"/>
          <w:tab w:pos="1922" w:val="left" w:leader="none"/>
        </w:tabs>
        <w:spacing w:line="273" w:lineRule="auto" w:before="1" w:after="0"/>
        <w:ind w:left="1240" w:right="2131" w:firstLine="0"/>
        <w:jc w:val="left"/>
        <w:rPr>
          <w:sz w:val="18"/>
        </w:rPr>
      </w:pPr>
      <w:r>
        <w:rPr>
          <w:color w:val="231F20"/>
          <w:w w:val="110"/>
          <w:sz w:val="18"/>
        </w:rPr>
        <w:t>Church membership then is a person’s </w:t>
      </w:r>
      <w:r>
        <w:rPr>
          <w:color w:val="231F20"/>
          <w:spacing w:val="2"/>
          <w:w w:val="110"/>
          <w:sz w:val="18"/>
        </w:rPr>
        <w:t>response </w:t>
      </w:r>
      <w:r>
        <w:rPr>
          <w:color w:val="231F20"/>
          <w:w w:val="110"/>
          <w:sz w:val="18"/>
        </w:rPr>
        <w:t>in gratitude for the call of the Covenant God who invites us to covenant together in common </w:t>
      </w:r>
      <w:r>
        <w:rPr>
          <w:color w:val="231F20"/>
          <w:spacing w:val="2"/>
          <w:w w:val="110"/>
          <w:sz w:val="18"/>
        </w:rPr>
        <w:t>service </w:t>
      </w:r>
      <w:r>
        <w:rPr>
          <w:color w:val="231F20"/>
          <w:w w:val="110"/>
          <w:sz w:val="18"/>
        </w:rPr>
        <w:t>to God and our neighbours. It is a commitment to engage in a shared journey of faith and mission with the Church catholic as well as reformed, world wide as well as local, individually as well as through the councils of the</w:t>
      </w:r>
      <w:r>
        <w:rPr>
          <w:color w:val="231F20"/>
          <w:spacing w:val="57"/>
          <w:w w:val="110"/>
          <w:sz w:val="18"/>
        </w:rPr>
        <w:t> </w:t>
      </w:r>
      <w:r>
        <w:rPr>
          <w:color w:val="231F20"/>
          <w:w w:val="110"/>
          <w:sz w:val="18"/>
        </w:rPr>
        <w:t>church.</w:t>
      </w:r>
    </w:p>
    <w:p>
      <w:pPr>
        <w:pStyle w:val="BodyText"/>
        <w:spacing w:before="9"/>
        <w:rPr>
          <w:sz w:val="20"/>
        </w:rPr>
      </w:pPr>
    </w:p>
    <w:p>
      <w:pPr>
        <w:pStyle w:val="ListParagraph"/>
        <w:numPr>
          <w:ilvl w:val="6"/>
          <w:numId w:val="92"/>
        </w:numPr>
        <w:tabs>
          <w:tab w:pos="1921" w:val="left" w:leader="none"/>
          <w:tab w:pos="1922" w:val="left" w:leader="none"/>
        </w:tabs>
        <w:spacing w:line="273" w:lineRule="auto" w:before="1" w:after="0"/>
        <w:ind w:left="1240" w:right="2534" w:firstLine="0"/>
        <w:jc w:val="left"/>
        <w:rPr>
          <w:sz w:val="18"/>
        </w:rPr>
      </w:pPr>
      <w:r>
        <w:rPr>
          <w:color w:val="231F20"/>
          <w:w w:val="110"/>
          <w:sz w:val="18"/>
        </w:rPr>
        <w:t>Locally, membership is an expression of a relationship with a local congregation in which one exercises one’s </w:t>
      </w:r>
      <w:r>
        <w:rPr>
          <w:color w:val="231F20"/>
          <w:spacing w:val="2"/>
          <w:w w:val="110"/>
          <w:sz w:val="18"/>
        </w:rPr>
        <w:t>gifts </w:t>
      </w:r>
      <w:r>
        <w:rPr>
          <w:color w:val="231F20"/>
          <w:w w:val="110"/>
          <w:sz w:val="18"/>
        </w:rPr>
        <w:t>and is nurtured by the </w:t>
      </w:r>
      <w:r>
        <w:rPr>
          <w:color w:val="231F20"/>
          <w:spacing w:val="2"/>
          <w:w w:val="110"/>
          <w:sz w:val="18"/>
        </w:rPr>
        <w:t>gifts </w:t>
      </w:r>
      <w:r>
        <w:rPr>
          <w:color w:val="231F20"/>
          <w:w w:val="110"/>
          <w:sz w:val="18"/>
        </w:rPr>
        <w:t>of</w:t>
      </w:r>
      <w:r>
        <w:rPr>
          <w:color w:val="231F20"/>
          <w:spacing w:val="8"/>
          <w:w w:val="110"/>
          <w:sz w:val="18"/>
        </w:rPr>
        <w:t> </w:t>
      </w:r>
      <w:r>
        <w:rPr>
          <w:color w:val="231F20"/>
          <w:w w:val="110"/>
          <w:sz w:val="18"/>
        </w:rPr>
        <w:t>fellow</w:t>
      </w:r>
      <w:r>
        <w:rPr>
          <w:color w:val="231F20"/>
          <w:spacing w:val="9"/>
          <w:w w:val="110"/>
          <w:sz w:val="18"/>
        </w:rPr>
        <w:t> </w:t>
      </w:r>
      <w:r>
        <w:rPr>
          <w:color w:val="231F20"/>
          <w:w w:val="110"/>
          <w:sz w:val="18"/>
        </w:rPr>
        <w:t>members.</w:t>
      </w:r>
      <w:r>
        <w:rPr>
          <w:color w:val="231F20"/>
          <w:spacing w:val="9"/>
          <w:w w:val="110"/>
          <w:sz w:val="18"/>
        </w:rPr>
        <w:t> </w:t>
      </w:r>
      <w:r>
        <w:rPr>
          <w:color w:val="231F20"/>
          <w:w w:val="110"/>
          <w:sz w:val="18"/>
        </w:rPr>
        <w:t>It</w:t>
      </w:r>
      <w:r>
        <w:rPr>
          <w:color w:val="231F20"/>
          <w:spacing w:val="9"/>
          <w:w w:val="110"/>
          <w:sz w:val="18"/>
        </w:rPr>
        <w:t> </w:t>
      </w:r>
      <w:r>
        <w:rPr>
          <w:color w:val="231F20"/>
          <w:w w:val="110"/>
          <w:sz w:val="18"/>
        </w:rPr>
        <w:t>involves</w:t>
      </w:r>
      <w:r>
        <w:rPr>
          <w:color w:val="231F20"/>
          <w:spacing w:val="8"/>
          <w:w w:val="110"/>
          <w:sz w:val="18"/>
        </w:rPr>
        <w:t> </w:t>
      </w:r>
      <w:r>
        <w:rPr>
          <w:color w:val="231F20"/>
          <w:w w:val="110"/>
          <w:sz w:val="18"/>
        </w:rPr>
        <w:t>time,</w:t>
      </w:r>
      <w:r>
        <w:rPr>
          <w:color w:val="231F20"/>
          <w:spacing w:val="9"/>
          <w:w w:val="110"/>
          <w:sz w:val="18"/>
        </w:rPr>
        <w:t> </w:t>
      </w:r>
      <w:r>
        <w:rPr>
          <w:color w:val="231F20"/>
          <w:w w:val="110"/>
          <w:sz w:val="18"/>
        </w:rPr>
        <w:t>energy</w:t>
      </w:r>
      <w:r>
        <w:rPr>
          <w:color w:val="231F20"/>
          <w:spacing w:val="9"/>
          <w:w w:val="110"/>
          <w:sz w:val="18"/>
        </w:rPr>
        <w:t> </w:t>
      </w:r>
      <w:r>
        <w:rPr>
          <w:color w:val="231F20"/>
          <w:w w:val="110"/>
          <w:sz w:val="18"/>
        </w:rPr>
        <w:t>and</w:t>
      </w:r>
      <w:r>
        <w:rPr>
          <w:color w:val="231F20"/>
          <w:spacing w:val="9"/>
          <w:w w:val="110"/>
          <w:sz w:val="18"/>
        </w:rPr>
        <w:t> </w:t>
      </w:r>
      <w:r>
        <w:rPr>
          <w:color w:val="231F20"/>
          <w:w w:val="110"/>
          <w:sz w:val="18"/>
        </w:rPr>
        <w:t>money</w:t>
      </w:r>
      <w:r>
        <w:rPr>
          <w:color w:val="231F20"/>
          <w:spacing w:val="8"/>
          <w:w w:val="110"/>
          <w:sz w:val="18"/>
        </w:rPr>
        <w:t> </w:t>
      </w:r>
      <w:r>
        <w:rPr>
          <w:color w:val="231F20"/>
          <w:w w:val="110"/>
          <w:sz w:val="18"/>
        </w:rPr>
        <w:t>being</w:t>
      </w:r>
      <w:r>
        <w:rPr>
          <w:color w:val="231F20"/>
          <w:spacing w:val="9"/>
          <w:w w:val="110"/>
          <w:sz w:val="18"/>
        </w:rPr>
        <w:t> </w:t>
      </w:r>
      <w:r>
        <w:rPr>
          <w:color w:val="231F20"/>
          <w:w w:val="110"/>
          <w:sz w:val="18"/>
        </w:rPr>
        <w:t>given</w:t>
      </w:r>
      <w:r>
        <w:rPr>
          <w:color w:val="231F20"/>
          <w:spacing w:val="9"/>
          <w:w w:val="110"/>
          <w:sz w:val="18"/>
        </w:rPr>
        <w:t> </w:t>
      </w:r>
      <w:r>
        <w:rPr>
          <w:color w:val="231F20"/>
          <w:w w:val="110"/>
          <w:sz w:val="18"/>
        </w:rPr>
        <w:t>for</w:t>
      </w:r>
      <w:r>
        <w:rPr>
          <w:color w:val="231F20"/>
          <w:spacing w:val="9"/>
          <w:w w:val="110"/>
          <w:sz w:val="18"/>
        </w:rPr>
        <w:t> </w:t>
      </w:r>
      <w:r>
        <w:rPr>
          <w:color w:val="231F20"/>
          <w:w w:val="110"/>
          <w:sz w:val="18"/>
        </w:rPr>
        <w:t>the</w:t>
      </w:r>
    </w:p>
    <w:p>
      <w:pPr>
        <w:pStyle w:val="BodyText"/>
        <w:spacing w:line="273" w:lineRule="auto" w:before="1"/>
        <w:ind w:left="1240" w:right="1829"/>
      </w:pPr>
      <w:r>
        <w:rPr>
          <w:color w:val="231F20"/>
          <w:w w:val="110"/>
        </w:rPr>
        <w:t>mission of the local church; it means playing one’s part in making the life of the local church a sacrament of the Kingdom through worship and service to the community.</w:t>
      </w:r>
    </w:p>
    <w:p>
      <w:pPr>
        <w:pStyle w:val="BodyText"/>
        <w:spacing w:before="9"/>
        <w:rPr>
          <w:sz w:val="20"/>
        </w:rPr>
      </w:pPr>
    </w:p>
    <w:p>
      <w:pPr>
        <w:pStyle w:val="ListParagraph"/>
        <w:numPr>
          <w:ilvl w:val="6"/>
          <w:numId w:val="92"/>
        </w:numPr>
        <w:tabs>
          <w:tab w:pos="1921" w:val="left" w:leader="none"/>
          <w:tab w:pos="1922" w:val="left" w:leader="none"/>
        </w:tabs>
        <w:spacing w:line="273" w:lineRule="auto" w:before="0" w:after="0"/>
        <w:ind w:left="1240" w:right="2087" w:firstLine="0"/>
        <w:jc w:val="left"/>
        <w:rPr>
          <w:sz w:val="18"/>
        </w:rPr>
      </w:pPr>
      <w:r>
        <w:rPr>
          <w:color w:val="231F20"/>
          <w:w w:val="110"/>
          <w:sz w:val="18"/>
        </w:rPr>
        <w:t>More widely, membership </w:t>
      </w:r>
      <w:r>
        <w:rPr>
          <w:color w:val="231F20"/>
          <w:spacing w:val="2"/>
          <w:w w:val="110"/>
          <w:sz w:val="18"/>
        </w:rPr>
        <w:t>expresses </w:t>
      </w:r>
      <w:r>
        <w:rPr>
          <w:color w:val="231F20"/>
          <w:w w:val="110"/>
          <w:sz w:val="18"/>
        </w:rPr>
        <w:t>a relationship with the United Reformed Church in its shared life, mission and journey of faith. It is an endorsement of the ownership of shared vision, priorities and spirituality, as  well as a means of becoming involved in </w:t>
      </w:r>
      <w:r>
        <w:rPr>
          <w:color w:val="231F20"/>
          <w:spacing w:val="2"/>
          <w:w w:val="110"/>
          <w:sz w:val="18"/>
        </w:rPr>
        <w:t>practical </w:t>
      </w:r>
      <w:r>
        <w:rPr>
          <w:color w:val="231F20"/>
          <w:w w:val="110"/>
          <w:sz w:val="18"/>
        </w:rPr>
        <w:t>engagement in support of   the vision of the Kingdom as something that extends </w:t>
      </w:r>
      <w:r>
        <w:rPr>
          <w:color w:val="231F20"/>
          <w:spacing w:val="3"/>
          <w:w w:val="110"/>
          <w:sz w:val="18"/>
        </w:rPr>
        <w:t>‘from </w:t>
      </w:r>
      <w:r>
        <w:rPr>
          <w:color w:val="231F20"/>
          <w:w w:val="110"/>
          <w:sz w:val="18"/>
        </w:rPr>
        <w:t>Jerusalem, in all Judea and Samaria, and to the ends of the earth’ (Acts </w:t>
      </w:r>
      <w:r>
        <w:rPr>
          <w:color w:val="231F20"/>
          <w:spacing w:val="-6"/>
          <w:w w:val="110"/>
          <w:sz w:val="18"/>
        </w:rPr>
        <w:t>1.8); </w:t>
      </w:r>
      <w:r>
        <w:rPr>
          <w:color w:val="231F20"/>
          <w:w w:val="110"/>
          <w:sz w:val="18"/>
        </w:rPr>
        <w:t>it is a participation in the wider work and mission of the entire community of faith</w:t>
      </w:r>
      <w:r>
        <w:rPr>
          <w:color w:val="231F20"/>
          <w:spacing w:val="64"/>
          <w:w w:val="110"/>
          <w:sz w:val="18"/>
        </w:rPr>
        <w:t> </w:t>
      </w:r>
      <w:r>
        <w:rPr>
          <w:color w:val="231F20"/>
          <w:w w:val="110"/>
          <w:sz w:val="18"/>
        </w:rPr>
        <w:t>through</w:t>
      </w:r>
    </w:p>
    <w:p>
      <w:pPr>
        <w:pStyle w:val="BodyText"/>
        <w:spacing w:before="11"/>
        <w:rPr>
          <w:sz w:val="20"/>
        </w:rPr>
      </w:pPr>
    </w:p>
    <w:p>
      <w:pPr>
        <w:spacing w:before="56"/>
        <w:ind w:left="0" w:right="1160" w:firstLine="0"/>
        <w:jc w:val="right"/>
        <w:rPr>
          <w:rFonts w:ascii="Eurostile Bold"/>
          <w:b/>
          <w:sz w:val="24"/>
        </w:rPr>
      </w:pPr>
      <w:r>
        <w:rPr>
          <w:rFonts w:ascii="Eurostile Bold"/>
          <w:b/>
          <w:color w:val="231F20"/>
          <w:w w:val="85"/>
          <w:sz w:val="24"/>
        </w:rPr>
        <w:t>151</w:t>
      </w:r>
    </w:p>
    <w:p>
      <w:pPr>
        <w:spacing w:after="0"/>
        <w:jc w:val="right"/>
        <w:rPr>
          <w:rFonts w:ascii="Eurostile Bold"/>
          <w:sz w:val="24"/>
        </w:rPr>
        <w:sectPr>
          <w:headerReference w:type="default" r:id="rId220"/>
          <w:footerReference w:type="default" r:id="rId221"/>
          <w:pgSz w:w="11910" w:h="16840"/>
          <w:pgMar w:header="0" w:footer="0" w:top="880" w:bottom="280" w:left="460" w:right="0"/>
        </w:sectPr>
      </w:pPr>
    </w:p>
    <w:p>
      <w:pPr>
        <w:pStyle w:val="BodyText"/>
        <w:spacing w:before="7"/>
        <w:rPr>
          <w:rFonts w:ascii="Eurostile Bold"/>
          <w:b/>
          <w:sz w:val="13"/>
        </w:rPr>
      </w:pPr>
    </w:p>
    <w:p>
      <w:pPr>
        <w:pStyle w:val="BodyText"/>
        <w:spacing w:line="273" w:lineRule="auto" w:before="100"/>
        <w:ind w:left="673" w:right="2154"/>
      </w:pPr>
      <w:r>
        <w:rPr>
          <w:color w:val="231F20"/>
          <w:w w:val="110"/>
        </w:rPr>
        <w:t>the denomination’s programmes and people. In the context of a local ecumenical </w:t>
      </w:r>
      <w:r>
        <w:rPr>
          <w:color w:val="231F20"/>
          <w:spacing w:val="2"/>
          <w:w w:val="110"/>
        </w:rPr>
        <w:t>partnership </w:t>
      </w:r>
      <w:r>
        <w:rPr>
          <w:color w:val="231F20"/>
          <w:w w:val="110"/>
        </w:rPr>
        <w:t>this relationship extends to the other participating denominations, while   in a wider ecumenical context, it is through our membership of bodies like the Council for World Mission, the World Alliance of Reformed Churches and the World Council of Churches. In </w:t>
      </w:r>
      <w:r>
        <w:rPr>
          <w:color w:val="231F20"/>
          <w:spacing w:val="2"/>
          <w:w w:val="110"/>
        </w:rPr>
        <w:t>short, </w:t>
      </w:r>
      <w:r>
        <w:rPr>
          <w:color w:val="231F20"/>
          <w:w w:val="110"/>
        </w:rPr>
        <w:t>membership is to choose to be </w:t>
      </w:r>
      <w:r>
        <w:rPr>
          <w:color w:val="231F20"/>
          <w:spacing w:val="2"/>
          <w:w w:val="110"/>
        </w:rPr>
        <w:t>part </w:t>
      </w:r>
      <w:r>
        <w:rPr>
          <w:color w:val="231F20"/>
          <w:w w:val="110"/>
        </w:rPr>
        <w:t>of that particular worshipping community</w:t>
      </w:r>
      <w:r>
        <w:rPr>
          <w:color w:val="231F20"/>
          <w:spacing w:val="10"/>
          <w:w w:val="110"/>
        </w:rPr>
        <w:t> </w:t>
      </w:r>
      <w:r>
        <w:rPr>
          <w:color w:val="231F20"/>
          <w:w w:val="110"/>
        </w:rPr>
        <w:t>called</w:t>
      </w:r>
      <w:r>
        <w:rPr>
          <w:color w:val="231F20"/>
          <w:spacing w:val="11"/>
          <w:w w:val="110"/>
        </w:rPr>
        <w:t> </w:t>
      </w:r>
      <w:r>
        <w:rPr>
          <w:color w:val="231F20"/>
          <w:w w:val="110"/>
        </w:rPr>
        <w:t>Church,</w:t>
      </w:r>
      <w:r>
        <w:rPr>
          <w:color w:val="231F20"/>
          <w:spacing w:val="10"/>
          <w:w w:val="110"/>
        </w:rPr>
        <w:t> </w:t>
      </w:r>
      <w:r>
        <w:rPr>
          <w:color w:val="231F20"/>
          <w:w w:val="110"/>
        </w:rPr>
        <w:t>those</w:t>
      </w:r>
      <w:r>
        <w:rPr>
          <w:color w:val="231F20"/>
          <w:spacing w:val="11"/>
          <w:w w:val="110"/>
        </w:rPr>
        <w:t> </w:t>
      </w:r>
      <w:r>
        <w:rPr>
          <w:color w:val="231F20"/>
          <w:w w:val="110"/>
        </w:rPr>
        <w:t>sinful</w:t>
      </w:r>
      <w:r>
        <w:rPr>
          <w:color w:val="231F20"/>
          <w:spacing w:val="10"/>
          <w:w w:val="110"/>
        </w:rPr>
        <w:t> </w:t>
      </w:r>
      <w:r>
        <w:rPr>
          <w:color w:val="231F20"/>
          <w:w w:val="110"/>
        </w:rPr>
        <w:t>saints</w:t>
      </w:r>
      <w:r>
        <w:rPr>
          <w:color w:val="231F20"/>
          <w:spacing w:val="11"/>
          <w:w w:val="110"/>
        </w:rPr>
        <w:t> </w:t>
      </w:r>
      <w:r>
        <w:rPr>
          <w:color w:val="231F20"/>
          <w:w w:val="110"/>
        </w:rPr>
        <w:t>and</w:t>
      </w:r>
      <w:r>
        <w:rPr>
          <w:color w:val="231F20"/>
          <w:spacing w:val="11"/>
          <w:w w:val="110"/>
        </w:rPr>
        <w:t> </w:t>
      </w:r>
      <w:r>
        <w:rPr>
          <w:color w:val="231F20"/>
          <w:w w:val="110"/>
        </w:rPr>
        <w:t>saintly</w:t>
      </w:r>
      <w:r>
        <w:rPr>
          <w:color w:val="231F20"/>
          <w:spacing w:val="10"/>
          <w:w w:val="110"/>
        </w:rPr>
        <w:t> </w:t>
      </w:r>
      <w:r>
        <w:rPr>
          <w:color w:val="231F20"/>
          <w:w w:val="110"/>
        </w:rPr>
        <w:t>sinners</w:t>
      </w:r>
      <w:r>
        <w:rPr>
          <w:color w:val="231F20"/>
          <w:spacing w:val="11"/>
          <w:w w:val="110"/>
        </w:rPr>
        <w:t> </w:t>
      </w:r>
      <w:r>
        <w:rPr>
          <w:color w:val="231F20"/>
          <w:w w:val="110"/>
        </w:rPr>
        <w:t>who</w:t>
      </w:r>
      <w:r>
        <w:rPr>
          <w:color w:val="231F20"/>
          <w:spacing w:val="10"/>
          <w:w w:val="110"/>
        </w:rPr>
        <w:t> </w:t>
      </w:r>
      <w:r>
        <w:rPr>
          <w:color w:val="231F20"/>
          <w:w w:val="110"/>
        </w:rPr>
        <w:t>are</w:t>
      </w:r>
      <w:r>
        <w:rPr>
          <w:color w:val="231F20"/>
          <w:spacing w:val="11"/>
          <w:w w:val="110"/>
        </w:rPr>
        <w:t> </w:t>
      </w:r>
      <w:r>
        <w:rPr>
          <w:color w:val="231F20"/>
          <w:w w:val="110"/>
        </w:rPr>
        <w:t>seeking</w:t>
      </w:r>
      <w:r>
        <w:rPr>
          <w:color w:val="231F20"/>
          <w:spacing w:val="10"/>
          <w:w w:val="110"/>
        </w:rPr>
        <w:t> </w:t>
      </w:r>
      <w:r>
        <w:rPr>
          <w:color w:val="231F20"/>
          <w:w w:val="110"/>
        </w:rPr>
        <w:t>to</w:t>
      </w:r>
    </w:p>
    <w:p>
      <w:pPr>
        <w:pStyle w:val="BodyText"/>
        <w:spacing w:line="273" w:lineRule="auto" w:before="4"/>
        <w:ind w:left="673" w:right="1593"/>
      </w:pPr>
      <w:r>
        <w:rPr>
          <w:color w:val="231F20"/>
          <w:w w:val="110"/>
        </w:rPr>
        <w:t>make a difference in and to the world for Christ’s sake, with fellow Christians from other churches and all people of ‘good will’.</w:t>
      </w:r>
    </w:p>
    <w:p>
      <w:pPr>
        <w:pStyle w:val="BodyText"/>
        <w:spacing w:before="8"/>
        <w:rPr>
          <w:sz w:val="20"/>
        </w:rPr>
      </w:pPr>
    </w:p>
    <w:p>
      <w:pPr>
        <w:numPr>
          <w:ilvl w:val="0"/>
          <w:numId w:val="93"/>
        </w:numPr>
        <w:tabs>
          <w:tab w:pos="1354" w:val="left" w:leader="none"/>
          <w:tab w:pos="1355" w:val="left" w:leader="none"/>
        </w:tabs>
        <w:spacing w:before="0"/>
        <w:ind w:left="1354" w:right="0" w:hanging="682"/>
        <w:jc w:val="left"/>
        <w:rPr>
          <w:b/>
          <w:sz w:val="18"/>
        </w:rPr>
      </w:pPr>
      <w:r>
        <w:rPr>
          <w:b/>
          <w:color w:val="231F20"/>
          <w:w w:val="110"/>
          <w:sz w:val="18"/>
        </w:rPr>
        <w:t>Changing </w:t>
      </w:r>
      <w:r>
        <w:rPr>
          <w:b/>
          <w:color w:val="231F20"/>
          <w:spacing w:val="2"/>
          <w:w w:val="110"/>
          <w:sz w:val="18"/>
        </w:rPr>
        <w:t>attitudes </w:t>
      </w:r>
      <w:r>
        <w:rPr>
          <w:b/>
          <w:color w:val="231F20"/>
          <w:w w:val="110"/>
          <w:sz w:val="18"/>
        </w:rPr>
        <w:t>to membership and </w:t>
      </w:r>
      <w:r>
        <w:rPr>
          <w:b/>
          <w:color w:val="231F20"/>
          <w:spacing w:val="2"/>
          <w:w w:val="110"/>
          <w:sz w:val="18"/>
        </w:rPr>
        <w:t>its</w:t>
      </w:r>
      <w:r>
        <w:rPr>
          <w:b/>
          <w:color w:val="231F20"/>
          <w:spacing w:val="5"/>
          <w:w w:val="110"/>
          <w:sz w:val="18"/>
        </w:rPr>
        <w:t> </w:t>
      </w:r>
      <w:r>
        <w:rPr>
          <w:b/>
          <w:color w:val="231F20"/>
          <w:w w:val="110"/>
          <w:sz w:val="18"/>
        </w:rPr>
        <w:t>practice</w:t>
      </w:r>
    </w:p>
    <w:p>
      <w:pPr>
        <w:pStyle w:val="BodyText"/>
        <w:spacing w:before="1"/>
        <w:rPr>
          <w:b/>
          <w:sz w:val="23"/>
        </w:rPr>
      </w:pPr>
    </w:p>
    <w:p>
      <w:pPr>
        <w:pStyle w:val="ListParagraph"/>
        <w:numPr>
          <w:ilvl w:val="1"/>
          <w:numId w:val="93"/>
        </w:numPr>
        <w:tabs>
          <w:tab w:pos="1354" w:val="left" w:leader="none"/>
          <w:tab w:pos="1355" w:val="left" w:leader="none"/>
        </w:tabs>
        <w:spacing w:line="273" w:lineRule="auto" w:before="1" w:after="0"/>
        <w:ind w:left="673" w:right="1700" w:firstLine="0"/>
        <w:jc w:val="left"/>
        <w:rPr>
          <w:sz w:val="18"/>
        </w:rPr>
      </w:pPr>
      <w:r>
        <w:rPr>
          <w:color w:val="231F20"/>
          <w:w w:val="110"/>
          <w:sz w:val="18"/>
        </w:rPr>
        <w:t>Our </w:t>
      </w:r>
      <w:r>
        <w:rPr>
          <w:color w:val="231F20"/>
          <w:spacing w:val="2"/>
          <w:w w:val="110"/>
          <w:sz w:val="18"/>
        </w:rPr>
        <w:t>response </w:t>
      </w:r>
      <w:r>
        <w:rPr>
          <w:color w:val="231F20"/>
          <w:w w:val="110"/>
          <w:sz w:val="18"/>
        </w:rPr>
        <w:t>to God’s grace is worked out in a changing social context. How   ought we to think of membership within the United Reformed Church </w:t>
      </w:r>
      <w:r>
        <w:rPr>
          <w:color w:val="231F20"/>
          <w:spacing w:val="-3"/>
          <w:w w:val="110"/>
          <w:sz w:val="18"/>
        </w:rPr>
        <w:t>now?</w:t>
      </w:r>
      <w:r>
        <w:rPr>
          <w:color w:val="231F20"/>
          <w:spacing w:val="63"/>
          <w:w w:val="110"/>
          <w:sz w:val="18"/>
        </w:rPr>
        <w:t> </w:t>
      </w:r>
      <w:r>
        <w:rPr>
          <w:color w:val="231F20"/>
          <w:w w:val="110"/>
          <w:sz w:val="18"/>
        </w:rPr>
        <w:t>The question is important </w:t>
      </w:r>
      <w:r>
        <w:rPr>
          <w:color w:val="231F20"/>
          <w:spacing w:val="2"/>
          <w:w w:val="110"/>
          <w:sz w:val="18"/>
        </w:rPr>
        <w:t>because </w:t>
      </w:r>
      <w:r>
        <w:rPr>
          <w:color w:val="231F20"/>
          <w:w w:val="110"/>
          <w:sz w:val="18"/>
        </w:rPr>
        <w:t>our answers may have different emphases than when the Church was formed in </w:t>
      </w:r>
      <w:r>
        <w:rPr>
          <w:color w:val="231F20"/>
          <w:spacing w:val="-4"/>
          <w:w w:val="110"/>
          <w:sz w:val="18"/>
        </w:rPr>
        <w:t>1972.</w:t>
      </w:r>
      <w:r>
        <w:rPr>
          <w:color w:val="231F20"/>
          <w:spacing w:val="12"/>
          <w:w w:val="110"/>
          <w:sz w:val="18"/>
        </w:rPr>
        <w:t> </w:t>
      </w:r>
      <w:r>
        <w:rPr>
          <w:color w:val="231F20"/>
          <w:w w:val="110"/>
          <w:sz w:val="18"/>
        </w:rPr>
        <w:t>The scene has changed both outside and inside the church.</w:t>
      </w:r>
    </w:p>
    <w:p>
      <w:pPr>
        <w:pStyle w:val="BodyText"/>
        <w:spacing w:before="9"/>
        <w:rPr>
          <w:sz w:val="20"/>
        </w:rPr>
      </w:pPr>
    </w:p>
    <w:p>
      <w:pPr>
        <w:pStyle w:val="BodyText"/>
        <w:ind w:left="673"/>
      </w:pPr>
      <w:r>
        <w:rPr>
          <w:color w:val="231F20"/>
          <w:w w:val="110"/>
          <w:u w:val="single" w:color="231F20"/>
        </w:rPr>
        <w:t>Sociological Changes</w:t>
      </w:r>
    </w:p>
    <w:p>
      <w:pPr>
        <w:pStyle w:val="BodyText"/>
        <w:spacing w:before="1"/>
        <w:rPr>
          <w:sz w:val="23"/>
        </w:rPr>
      </w:pPr>
    </w:p>
    <w:p>
      <w:pPr>
        <w:pStyle w:val="ListParagraph"/>
        <w:numPr>
          <w:ilvl w:val="1"/>
          <w:numId w:val="93"/>
        </w:numPr>
        <w:tabs>
          <w:tab w:pos="1354" w:val="left" w:leader="none"/>
          <w:tab w:pos="1355" w:val="left" w:leader="none"/>
        </w:tabs>
        <w:spacing w:line="273" w:lineRule="auto" w:before="1" w:after="0"/>
        <w:ind w:left="673" w:right="1782" w:firstLine="0"/>
        <w:jc w:val="left"/>
        <w:rPr>
          <w:sz w:val="18"/>
        </w:rPr>
      </w:pPr>
      <w:r>
        <w:rPr>
          <w:color w:val="231F20"/>
          <w:w w:val="110"/>
          <w:sz w:val="18"/>
        </w:rPr>
        <w:t>Changes in </w:t>
      </w:r>
      <w:r>
        <w:rPr>
          <w:color w:val="231F20"/>
          <w:spacing w:val="2"/>
          <w:w w:val="110"/>
          <w:sz w:val="18"/>
        </w:rPr>
        <w:t>society </w:t>
      </w:r>
      <w:r>
        <w:rPr>
          <w:color w:val="231F20"/>
          <w:w w:val="110"/>
          <w:sz w:val="18"/>
        </w:rPr>
        <w:t>have </w:t>
      </w:r>
      <w:r>
        <w:rPr>
          <w:color w:val="231F20"/>
          <w:spacing w:val="3"/>
          <w:w w:val="110"/>
          <w:sz w:val="18"/>
        </w:rPr>
        <w:t>affected </w:t>
      </w:r>
      <w:r>
        <w:rPr>
          <w:color w:val="231F20"/>
          <w:w w:val="110"/>
          <w:sz w:val="18"/>
        </w:rPr>
        <w:t>the way people see membership and belonging, and</w:t>
      </w:r>
      <w:r>
        <w:rPr>
          <w:color w:val="231F20"/>
          <w:spacing w:val="6"/>
          <w:w w:val="110"/>
          <w:sz w:val="18"/>
        </w:rPr>
        <w:t> </w:t>
      </w:r>
      <w:r>
        <w:rPr>
          <w:color w:val="231F20"/>
          <w:w w:val="110"/>
          <w:sz w:val="18"/>
        </w:rPr>
        <w:t>these</w:t>
      </w:r>
      <w:r>
        <w:rPr>
          <w:color w:val="231F20"/>
          <w:spacing w:val="6"/>
          <w:w w:val="110"/>
          <w:sz w:val="18"/>
        </w:rPr>
        <w:t> </w:t>
      </w:r>
      <w:r>
        <w:rPr>
          <w:color w:val="231F20"/>
          <w:spacing w:val="3"/>
          <w:w w:val="110"/>
          <w:sz w:val="18"/>
        </w:rPr>
        <w:t>affect</w:t>
      </w:r>
      <w:r>
        <w:rPr>
          <w:color w:val="231F20"/>
          <w:spacing w:val="6"/>
          <w:w w:val="110"/>
          <w:sz w:val="18"/>
        </w:rPr>
        <w:t> </w:t>
      </w:r>
      <w:r>
        <w:rPr>
          <w:color w:val="231F20"/>
          <w:w w:val="110"/>
          <w:sz w:val="18"/>
        </w:rPr>
        <w:t>how</w:t>
      </w:r>
      <w:r>
        <w:rPr>
          <w:color w:val="231F20"/>
          <w:spacing w:val="7"/>
          <w:w w:val="110"/>
          <w:sz w:val="18"/>
        </w:rPr>
        <w:t> </w:t>
      </w:r>
      <w:r>
        <w:rPr>
          <w:color w:val="231F20"/>
          <w:w w:val="110"/>
          <w:sz w:val="18"/>
        </w:rPr>
        <w:t>people</w:t>
      </w:r>
      <w:r>
        <w:rPr>
          <w:color w:val="231F20"/>
          <w:spacing w:val="6"/>
          <w:w w:val="110"/>
          <w:sz w:val="18"/>
        </w:rPr>
        <w:t> </w:t>
      </w:r>
      <w:r>
        <w:rPr>
          <w:color w:val="231F20"/>
          <w:w w:val="110"/>
          <w:sz w:val="18"/>
        </w:rPr>
        <w:t>see</w:t>
      </w:r>
      <w:r>
        <w:rPr>
          <w:color w:val="231F20"/>
          <w:spacing w:val="6"/>
          <w:w w:val="110"/>
          <w:sz w:val="18"/>
        </w:rPr>
        <w:t> </w:t>
      </w:r>
      <w:r>
        <w:rPr>
          <w:color w:val="231F20"/>
          <w:w w:val="110"/>
          <w:sz w:val="18"/>
        </w:rPr>
        <w:t>the</w:t>
      </w:r>
      <w:r>
        <w:rPr>
          <w:color w:val="231F20"/>
          <w:spacing w:val="7"/>
          <w:w w:val="110"/>
          <w:sz w:val="18"/>
        </w:rPr>
        <w:t> </w:t>
      </w:r>
      <w:r>
        <w:rPr>
          <w:color w:val="231F20"/>
          <w:w w:val="110"/>
          <w:sz w:val="18"/>
        </w:rPr>
        <w:t>way</w:t>
      </w:r>
      <w:r>
        <w:rPr>
          <w:color w:val="231F20"/>
          <w:spacing w:val="6"/>
          <w:w w:val="110"/>
          <w:sz w:val="18"/>
        </w:rPr>
        <w:t> </w:t>
      </w:r>
      <w:r>
        <w:rPr>
          <w:color w:val="231F20"/>
          <w:w w:val="110"/>
          <w:sz w:val="18"/>
        </w:rPr>
        <w:t>they</w:t>
      </w:r>
      <w:r>
        <w:rPr>
          <w:color w:val="231F20"/>
          <w:spacing w:val="6"/>
          <w:w w:val="110"/>
          <w:sz w:val="18"/>
        </w:rPr>
        <w:t> </w:t>
      </w:r>
      <w:r>
        <w:rPr>
          <w:color w:val="231F20"/>
          <w:w w:val="110"/>
          <w:sz w:val="18"/>
        </w:rPr>
        <w:t>belong</w:t>
      </w:r>
      <w:r>
        <w:rPr>
          <w:color w:val="231F20"/>
          <w:spacing w:val="7"/>
          <w:w w:val="110"/>
          <w:sz w:val="18"/>
        </w:rPr>
        <w:t> </w:t>
      </w:r>
      <w:r>
        <w:rPr>
          <w:color w:val="231F20"/>
          <w:w w:val="110"/>
          <w:sz w:val="18"/>
        </w:rPr>
        <w:t>to</w:t>
      </w:r>
      <w:r>
        <w:rPr>
          <w:color w:val="231F20"/>
          <w:spacing w:val="6"/>
          <w:w w:val="110"/>
          <w:sz w:val="18"/>
        </w:rPr>
        <w:t> </w:t>
      </w:r>
      <w:r>
        <w:rPr>
          <w:color w:val="231F20"/>
          <w:w w:val="110"/>
          <w:sz w:val="18"/>
        </w:rPr>
        <w:t>the</w:t>
      </w:r>
      <w:r>
        <w:rPr>
          <w:color w:val="231F20"/>
          <w:spacing w:val="6"/>
          <w:w w:val="110"/>
          <w:sz w:val="18"/>
        </w:rPr>
        <w:t> </w:t>
      </w:r>
      <w:r>
        <w:rPr>
          <w:color w:val="231F20"/>
          <w:w w:val="110"/>
          <w:sz w:val="18"/>
        </w:rPr>
        <w:t>church.</w:t>
      </w:r>
      <w:r>
        <w:rPr>
          <w:color w:val="231F20"/>
          <w:spacing w:val="6"/>
          <w:w w:val="110"/>
          <w:sz w:val="18"/>
        </w:rPr>
        <w:t> </w:t>
      </w:r>
      <w:r>
        <w:rPr>
          <w:color w:val="231F20"/>
          <w:spacing w:val="2"/>
          <w:w w:val="110"/>
          <w:sz w:val="18"/>
        </w:rPr>
        <w:t>These</w:t>
      </w:r>
      <w:r>
        <w:rPr>
          <w:color w:val="231F20"/>
          <w:spacing w:val="7"/>
          <w:w w:val="110"/>
          <w:sz w:val="18"/>
        </w:rPr>
        <w:t> </w:t>
      </w:r>
      <w:r>
        <w:rPr>
          <w:color w:val="231F20"/>
          <w:w w:val="110"/>
          <w:sz w:val="18"/>
        </w:rPr>
        <w:t>include:</w:t>
      </w:r>
    </w:p>
    <w:p>
      <w:pPr>
        <w:pStyle w:val="ListParagraph"/>
        <w:numPr>
          <w:ilvl w:val="0"/>
          <w:numId w:val="2"/>
        </w:numPr>
        <w:tabs>
          <w:tab w:pos="1354" w:val="left" w:leader="none"/>
          <w:tab w:pos="1355" w:val="left" w:leader="none"/>
        </w:tabs>
        <w:spacing w:line="248" w:lineRule="exact" w:before="0" w:after="0"/>
        <w:ind w:left="1354" w:right="0" w:hanging="682"/>
        <w:jc w:val="left"/>
        <w:rPr>
          <w:color w:val="231F20"/>
          <w:sz w:val="25"/>
        </w:rPr>
      </w:pPr>
      <w:r>
        <w:rPr>
          <w:color w:val="231F20"/>
          <w:w w:val="110"/>
          <w:sz w:val="18"/>
        </w:rPr>
        <w:t>Increased mobility.</w:t>
      </w:r>
    </w:p>
    <w:p>
      <w:pPr>
        <w:pStyle w:val="ListParagraph"/>
        <w:numPr>
          <w:ilvl w:val="0"/>
          <w:numId w:val="2"/>
        </w:numPr>
        <w:tabs>
          <w:tab w:pos="1354" w:val="left" w:leader="none"/>
          <w:tab w:pos="1355" w:val="left" w:leader="none"/>
        </w:tabs>
        <w:spacing w:line="218" w:lineRule="auto" w:before="0" w:after="0"/>
        <w:ind w:left="1354" w:right="2094" w:hanging="681"/>
        <w:jc w:val="left"/>
        <w:rPr>
          <w:color w:val="231F20"/>
          <w:sz w:val="25"/>
        </w:rPr>
      </w:pPr>
      <w:r>
        <w:rPr>
          <w:color w:val="231F20"/>
          <w:w w:val="110"/>
          <w:sz w:val="18"/>
        </w:rPr>
        <w:t>The increased number of separate communities to which people belong (work, home, social life, the</w:t>
      </w:r>
      <w:r>
        <w:rPr>
          <w:color w:val="231F20"/>
          <w:spacing w:val="4"/>
          <w:w w:val="110"/>
          <w:sz w:val="18"/>
        </w:rPr>
        <w:t> </w:t>
      </w:r>
      <w:r>
        <w:rPr>
          <w:color w:val="231F20"/>
          <w:w w:val="110"/>
          <w:sz w:val="18"/>
        </w:rPr>
        <w:t>internet).</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Growing individualism.</w:t>
      </w:r>
    </w:p>
    <w:p>
      <w:pPr>
        <w:pStyle w:val="ListParagraph"/>
        <w:numPr>
          <w:ilvl w:val="0"/>
          <w:numId w:val="2"/>
        </w:numPr>
        <w:tabs>
          <w:tab w:pos="1354" w:val="left" w:leader="none"/>
          <w:tab w:pos="1355" w:val="left" w:leader="none"/>
        </w:tabs>
        <w:spacing w:line="218" w:lineRule="auto" w:before="0" w:after="0"/>
        <w:ind w:left="1354" w:right="1704" w:hanging="681"/>
        <w:jc w:val="left"/>
        <w:rPr>
          <w:color w:val="231F20"/>
          <w:sz w:val="25"/>
        </w:rPr>
      </w:pPr>
      <w:r>
        <w:rPr>
          <w:color w:val="231F20"/>
          <w:w w:val="110"/>
          <w:sz w:val="18"/>
        </w:rPr>
        <w:t>People do not, as a rule, make long-term commitments to groups and institutions, be they churches, political </w:t>
      </w:r>
      <w:r>
        <w:rPr>
          <w:color w:val="231F20"/>
          <w:spacing w:val="2"/>
          <w:w w:val="110"/>
          <w:sz w:val="18"/>
        </w:rPr>
        <w:t>parties </w:t>
      </w:r>
      <w:r>
        <w:rPr>
          <w:color w:val="231F20"/>
          <w:w w:val="110"/>
          <w:sz w:val="18"/>
        </w:rPr>
        <w:t>or local</w:t>
      </w:r>
      <w:r>
        <w:rPr>
          <w:color w:val="231F20"/>
          <w:spacing w:val="13"/>
          <w:w w:val="110"/>
          <w:sz w:val="18"/>
        </w:rPr>
        <w:t> </w:t>
      </w:r>
      <w:r>
        <w:rPr>
          <w:color w:val="231F20"/>
          <w:w w:val="110"/>
          <w:sz w:val="18"/>
        </w:rPr>
        <w:t>clubs.</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Postmodern consumers ask “What’s in it for </w:t>
      </w:r>
      <w:r>
        <w:rPr>
          <w:color w:val="231F20"/>
          <w:spacing w:val="-3"/>
          <w:w w:val="110"/>
          <w:sz w:val="18"/>
        </w:rPr>
        <w:t>me?” </w:t>
      </w:r>
      <w:r>
        <w:rPr>
          <w:color w:val="231F20"/>
          <w:w w:val="110"/>
          <w:sz w:val="18"/>
        </w:rPr>
        <w:t>rather than “What can I</w:t>
      </w:r>
      <w:r>
        <w:rPr>
          <w:color w:val="231F20"/>
          <w:spacing w:val="-27"/>
          <w:w w:val="110"/>
          <w:sz w:val="18"/>
        </w:rPr>
        <w:t> </w:t>
      </w:r>
      <w:r>
        <w:rPr>
          <w:color w:val="231F20"/>
          <w:w w:val="110"/>
          <w:sz w:val="18"/>
        </w:rPr>
        <w:t>offer?”</w:t>
      </w:r>
    </w:p>
    <w:p>
      <w:pPr>
        <w:pStyle w:val="ListParagraph"/>
        <w:numPr>
          <w:ilvl w:val="0"/>
          <w:numId w:val="2"/>
        </w:numPr>
        <w:tabs>
          <w:tab w:pos="1354" w:val="left" w:leader="none"/>
          <w:tab w:pos="1355" w:val="left" w:leader="none"/>
        </w:tabs>
        <w:spacing w:line="265" w:lineRule="exact" w:before="0" w:after="0"/>
        <w:ind w:left="1354" w:right="0" w:hanging="682"/>
        <w:jc w:val="left"/>
        <w:rPr>
          <w:color w:val="231F20"/>
          <w:sz w:val="25"/>
        </w:rPr>
      </w:pPr>
      <w:r>
        <w:rPr>
          <w:color w:val="231F20"/>
          <w:w w:val="110"/>
          <w:sz w:val="18"/>
        </w:rPr>
        <w:t>This consumerist mentality means that people are quick to move away and out</w:t>
      </w:r>
      <w:r>
        <w:rPr>
          <w:color w:val="231F20"/>
          <w:spacing w:val="51"/>
          <w:w w:val="110"/>
          <w:sz w:val="18"/>
        </w:rPr>
        <w:t> </w:t>
      </w:r>
      <w:r>
        <w:rPr>
          <w:color w:val="231F20"/>
          <w:w w:val="110"/>
          <w:sz w:val="18"/>
        </w:rPr>
        <w:t>of</w:t>
      </w:r>
    </w:p>
    <w:p>
      <w:pPr>
        <w:pStyle w:val="BodyText"/>
        <w:spacing w:line="207" w:lineRule="exact"/>
        <w:ind w:left="1354"/>
      </w:pPr>
      <w:r>
        <w:rPr>
          <w:color w:val="231F20"/>
          <w:w w:val="110"/>
        </w:rPr>
        <w:t>groups when there are difficulties or when things happen that don’t suit them.</w:t>
      </w:r>
    </w:p>
    <w:p>
      <w:pPr>
        <w:pStyle w:val="ListParagraph"/>
        <w:numPr>
          <w:ilvl w:val="0"/>
          <w:numId w:val="2"/>
        </w:numPr>
        <w:tabs>
          <w:tab w:pos="1354" w:val="left" w:leader="none"/>
          <w:tab w:pos="1355" w:val="left" w:leader="none"/>
        </w:tabs>
        <w:spacing w:line="292" w:lineRule="exact" w:before="0" w:after="0"/>
        <w:ind w:left="1354" w:right="0" w:hanging="682"/>
        <w:jc w:val="left"/>
        <w:rPr>
          <w:color w:val="231F20"/>
          <w:sz w:val="25"/>
        </w:rPr>
      </w:pPr>
      <w:r>
        <w:rPr>
          <w:color w:val="231F20"/>
          <w:w w:val="110"/>
          <w:sz w:val="18"/>
        </w:rPr>
        <w:t>The widespread phenomenon of customisation – “making it fit me exactly”</w:t>
      </w:r>
      <w:r>
        <w:rPr>
          <w:color w:val="231F20"/>
          <w:spacing w:val="41"/>
          <w:w w:val="110"/>
          <w:sz w:val="18"/>
        </w:rPr>
        <w:t> </w:t>
      </w:r>
      <w:r>
        <w:rPr>
          <w:color w:val="231F20"/>
          <w:w w:val="110"/>
          <w:sz w:val="18"/>
        </w:rPr>
        <w:t>–</w:t>
      </w:r>
    </w:p>
    <w:p>
      <w:pPr>
        <w:pStyle w:val="BodyText"/>
        <w:spacing w:line="207" w:lineRule="exact"/>
        <w:ind w:left="1354"/>
      </w:pPr>
      <w:r>
        <w:rPr>
          <w:color w:val="231F20"/>
          <w:w w:val="110"/>
        </w:rPr>
        <w:t>extends to membership and involvement in groups.</w:t>
      </w:r>
    </w:p>
    <w:p>
      <w:pPr>
        <w:pStyle w:val="ListParagraph"/>
        <w:numPr>
          <w:ilvl w:val="0"/>
          <w:numId w:val="2"/>
        </w:numPr>
        <w:tabs>
          <w:tab w:pos="1354" w:val="left" w:leader="none"/>
          <w:tab w:pos="1355" w:val="left" w:leader="none"/>
        </w:tabs>
        <w:spacing w:line="250" w:lineRule="exact" w:before="8" w:after="0"/>
        <w:ind w:left="1354" w:right="2468" w:hanging="681"/>
        <w:jc w:val="left"/>
        <w:rPr>
          <w:color w:val="231F20"/>
          <w:sz w:val="25"/>
        </w:rPr>
      </w:pPr>
      <w:r>
        <w:rPr>
          <w:color w:val="231F20"/>
          <w:w w:val="110"/>
          <w:sz w:val="18"/>
        </w:rPr>
        <w:t>The increasing gap between faith (understood primarily in terms of private spirituality) and its expression in institutional Christianity – a tendency to “believe but not</w:t>
      </w:r>
      <w:r>
        <w:rPr>
          <w:color w:val="231F20"/>
          <w:spacing w:val="2"/>
          <w:w w:val="110"/>
          <w:sz w:val="18"/>
        </w:rPr>
        <w:t> </w:t>
      </w:r>
      <w:r>
        <w:rPr>
          <w:color w:val="231F20"/>
          <w:w w:val="110"/>
          <w:sz w:val="18"/>
        </w:rPr>
        <w:t>belong”.</w:t>
      </w:r>
    </w:p>
    <w:p>
      <w:pPr>
        <w:pStyle w:val="BodyText"/>
        <w:spacing w:before="1"/>
        <w:rPr>
          <w:sz w:val="22"/>
        </w:rPr>
      </w:pPr>
    </w:p>
    <w:p>
      <w:pPr>
        <w:pStyle w:val="BodyText"/>
        <w:ind w:left="673"/>
      </w:pPr>
      <w:r>
        <w:rPr>
          <w:color w:val="231F20"/>
          <w:w w:val="110"/>
          <w:u w:val="single" w:color="231F20"/>
        </w:rPr>
        <w:t>Church Pressures</w:t>
      </w:r>
    </w:p>
    <w:p>
      <w:pPr>
        <w:pStyle w:val="BodyText"/>
        <w:spacing w:before="2"/>
        <w:rPr>
          <w:sz w:val="23"/>
        </w:rPr>
      </w:pPr>
    </w:p>
    <w:p>
      <w:pPr>
        <w:pStyle w:val="ListParagraph"/>
        <w:numPr>
          <w:ilvl w:val="1"/>
          <w:numId w:val="93"/>
        </w:numPr>
        <w:tabs>
          <w:tab w:pos="1354" w:val="left" w:leader="none"/>
          <w:tab w:pos="1355" w:val="left" w:leader="none"/>
        </w:tabs>
        <w:spacing w:line="273" w:lineRule="auto" w:before="0" w:after="0"/>
        <w:ind w:left="673" w:right="2339" w:hanging="1"/>
        <w:jc w:val="left"/>
        <w:rPr>
          <w:sz w:val="18"/>
        </w:rPr>
      </w:pPr>
      <w:r>
        <w:rPr>
          <w:color w:val="231F20"/>
          <w:w w:val="110"/>
          <w:sz w:val="18"/>
        </w:rPr>
        <w:t>Although the church has not always found it easy to respond quickly to sociological changes, there have been changes within the United Reformed Church which have </w:t>
      </w:r>
      <w:r>
        <w:rPr>
          <w:color w:val="231F20"/>
          <w:spacing w:val="3"/>
          <w:w w:val="110"/>
          <w:sz w:val="18"/>
        </w:rPr>
        <w:t>affected </w:t>
      </w:r>
      <w:r>
        <w:rPr>
          <w:color w:val="231F20"/>
          <w:w w:val="110"/>
          <w:sz w:val="18"/>
        </w:rPr>
        <w:t>how people see membership. </w:t>
      </w:r>
      <w:r>
        <w:rPr>
          <w:color w:val="231F20"/>
          <w:spacing w:val="2"/>
          <w:w w:val="110"/>
          <w:sz w:val="18"/>
        </w:rPr>
        <w:t>These</w:t>
      </w:r>
      <w:r>
        <w:rPr>
          <w:color w:val="231F20"/>
          <w:spacing w:val="21"/>
          <w:w w:val="110"/>
          <w:sz w:val="18"/>
        </w:rPr>
        <w:t> </w:t>
      </w:r>
      <w:r>
        <w:rPr>
          <w:color w:val="231F20"/>
          <w:w w:val="110"/>
          <w:sz w:val="18"/>
        </w:rPr>
        <w:t>include:</w:t>
      </w:r>
    </w:p>
    <w:p>
      <w:pPr>
        <w:pStyle w:val="ListParagraph"/>
        <w:numPr>
          <w:ilvl w:val="0"/>
          <w:numId w:val="2"/>
        </w:numPr>
        <w:tabs>
          <w:tab w:pos="1354" w:val="left" w:leader="none"/>
          <w:tab w:pos="1355" w:val="left" w:leader="none"/>
        </w:tabs>
        <w:spacing w:line="218" w:lineRule="auto" w:before="0" w:after="0"/>
        <w:ind w:left="1354" w:right="1873" w:hanging="681"/>
        <w:jc w:val="left"/>
        <w:rPr>
          <w:color w:val="231F20"/>
          <w:sz w:val="25"/>
        </w:rPr>
      </w:pPr>
      <w:r>
        <w:rPr>
          <w:color w:val="231F20"/>
          <w:w w:val="110"/>
          <w:sz w:val="18"/>
        </w:rPr>
        <w:t>An increasing number of congregations which are local ecumenical partnerships, where people see no need for organizational membership or see</w:t>
      </w:r>
      <w:r>
        <w:rPr>
          <w:color w:val="231F20"/>
          <w:spacing w:val="57"/>
          <w:w w:val="110"/>
          <w:sz w:val="18"/>
        </w:rPr>
        <w:t> </w:t>
      </w:r>
      <w:r>
        <w:rPr>
          <w:color w:val="231F20"/>
          <w:w w:val="110"/>
          <w:sz w:val="18"/>
        </w:rPr>
        <w:t>their</w:t>
      </w:r>
    </w:p>
    <w:p>
      <w:pPr>
        <w:pStyle w:val="BodyText"/>
        <w:spacing w:before="26"/>
        <w:ind w:left="1354"/>
      </w:pPr>
      <w:r>
        <w:rPr>
          <w:color w:val="231F20"/>
          <w:w w:val="110"/>
        </w:rPr>
        <w:t>membership as being of ‘the Church’.</w:t>
      </w:r>
    </w:p>
    <w:p>
      <w:pPr>
        <w:pStyle w:val="ListParagraph"/>
        <w:numPr>
          <w:ilvl w:val="0"/>
          <w:numId w:val="2"/>
        </w:numPr>
        <w:tabs>
          <w:tab w:pos="1354" w:val="left" w:leader="none"/>
          <w:tab w:pos="1355" w:val="left" w:leader="none"/>
        </w:tabs>
        <w:spacing w:line="250" w:lineRule="exact" w:before="13" w:after="0"/>
        <w:ind w:left="1354" w:right="1770" w:hanging="681"/>
        <w:jc w:val="left"/>
        <w:rPr>
          <w:color w:val="231F20"/>
          <w:sz w:val="25"/>
        </w:rPr>
      </w:pPr>
      <w:r>
        <w:rPr>
          <w:color w:val="231F20"/>
          <w:w w:val="110"/>
          <w:sz w:val="18"/>
        </w:rPr>
        <w:t>Disillusionment with patterns of church life and reduced participation in church meetings. The perception that church membership is only about eligibility to vote at church meetings means that the wider dimensions of the covenant relationship are lost.</w:t>
      </w:r>
    </w:p>
    <w:p>
      <w:pPr>
        <w:pStyle w:val="ListParagraph"/>
        <w:numPr>
          <w:ilvl w:val="0"/>
          <w:numId w:val="2"/>
        </w:numPr>
        <w:tabs>
          <w:tab w:pos="1354" w:val="left" w:leader="none"/>
          <w:tab w:pos="1355" w:val="left" w:leader="none"/>
        </w:tabs>
        <w:spacing w:line="250" w:lineRule="exact" w:before="0" w:after="0"/>
        <w:ind w:left="1354" w:right="1971" w:hanging="681"/>
        <w:jc w:val="left"/>
        <w:rPr>
          <w:color w:val="231F20"/>
          <w:sz w:val="25"/>
        </w:rPr>
      </w:pPr>
      <w:r>
        <w:rPr>
          <w:color w:val="231F20"/>
          <w:w w:val="110"/>
          <w:sz w:val="18"/>
        </w:rPr>
        <w:t>A shift in emphasis </w:t>
      </w:r>
      <w:r>
        <w:rPr>
          <w:color w:val="231F20"/>
          <w:spacing w:val="2"/>
          <w:w w:val="110"/>
          <w:sz w:val="18"/>
        </w:rPr>
        <w:t>from </w:t>
      </w:r>
      <w:r>
        <w:rPr>
          <w:color w:val="231F20"/>
          <w:w w:val="110"/>
          <w:sz w:val="18"/>
        </w:rPr>
        <w:t>infant baptism to thanksgiving and dedication </w:t>
      </w:r>
      <w:r>
        <w:rPr>
          <w:color w:val="231F20"/>
          <w:spacing w:val="2"/>
          <w:w w:val="110"/>
          <w:sz w:val="18"/>
        </w:rPr>
        <w:t>services </w:t>
      </w:r>
      <w:r>
        <w:rPr>
          <w:color w:val="231F20"/>
          <w:w w:val="110"/>
          <w:sz w:val="18"/>
        </w:rPr>
        <w:t>with believers baptism as the point of commitment. Fewer people grow up through the church, absorbing the ethos of being a</w:t>
      </w:r>
      <w:r>
        <w:rPr>
          <w:color w:val="231F20"/>
          <w:spacing w:val="27"/>
          <w:w w:val="110"/>
          <w:sz w:val="18"/>
        </w:rPr>
        <w:t> </w:t>
      </w:r>
      <w:r>
        <w:rPr>
          <w:color w:val="231F20"/>
          <w:w w:val="110"/>
          <w:sz w:val="18"/>
        </w:rPr>
        <w:t>member.</w:t>
      </w:r>
    </w:p>
    <w:p>
      <w:pPr>
        <w:pStyle w:val="ListParagraph"/>
        <w:numPr>
          <w:ilvl w:val="0"/>
          <w:numId w:val="2"/>
        </w:numPr>
        <w:tabs>
          <w:tab w:pos="1354" w:val="left" w:leader="none"/>
          <w:tab w:pos="1355" w:val="left" w:leader="none"/>
        </w:tabs>
        <w:spacing w:line="250" w:lineRule="exact" w:before="0" w:after="0"/>
        <w:ind w:left="1354" w:right="1907" w:hanging="681"/>
        <w:jc w:val="left"/>
        <w:rPr>
          <w:color w:val="231F20"/>
          <w:sz w:val="25"/>
        </w:rPr>
      </w:pPr>
      <w:r>
        <w:rPr>
          <w:color w:val="231F20"/>
          <w:w w:val="110"/>
          <w:sz w:val="18"/>
        </w:rPr>
        <w:t>A more open approach to communion, with it being an integral </w:t>
      </w:r>
      <w:r>
        <w:rPr>
          <w:color w:val="231F20"/>
          <w:spacing w:val="2"/>
          <w:w w:val="110"/>
          <w:sz w:val="18"/>
        </w:rPr>
        <w:t>part </w:t>
      </w:r>
      <w:r>
        <w:rPr>
          <w:color w:val="231F20"/>
          <w:w w:val="110"/>
          <w:sz w:val="18"/>
        </w:rPr>
        <w:t>of the </w:t>
      </w:r>
      <w:r>
        <w:rPr>
          <w:color w:val="231F20"/>
          <w:spacing w:val="2"/>
          <w:w w:val="110"/>
          <w:sz w:val="18"/>
        </w:rPr>
        <w:t>service </w:t>
      </w:r>
      <w:r>
        <w:rPr>
          <w:color w:val="231F20"/>
          <w:w w:val="110"/>
          <w:sz w:val="18"/>
        </w:rPr>
        <w:t>and open to ‘non members’, including children. People feel that they can participate fully without becoming</w:t>
      </w:r>
      <w:r>
        <w:rPr>
          <w:color w:val="231F20"/>
          <w:spacing w:val="9"/>
          <w:w w:val="110"/>
          <w:sz w:val="18"/>
        </w:rPr>
        <w:t> </w:t>
      </w:r>
      <w:r>
        <w:rPr>
          <w:color w:val="231F20"/>
          <w:w w:val="110"/>
          <w:sz w:val="18"/>
        </w:rPr>
        <w:t>‘members’.</w:t>
      </w:r>
    </w:p>
    <w:p>
      <w:pPr>
        <w:pStyle w:val="ListParagraph"/>
        <w:numPr>
          <w:ilvl w:val="0"/>
          <w:numId w:val="2"/>
        </w:numPr>
        <w:tabs>
          <w:tab w:pos="1354" w:val="left" w:leader="none"/>
          <w:tab w:pos="1355" w:val="left" w:leader="none"/>
        </w:tabs>
        <w:spacing w:line="250" w:lineRule="exact" w:before="0" w:after="0"/>
        <w:ind w:left="1354" w:right="1892" w:hanging="681"/>
        <w:jc w:val="left"/>
        <w:rPr>
          <w:color w:val="231F20"/>
          <w:sz w:val="25"/>
        </w:rPr>
      </w:pPr>
      <w:r>
        <w:rPr>
          <w:color w:val="231F20"/>
          <w:w w:val="110"/>
          <w:sz w:val="18"/>
        </w:rPr>
        <w:t>The </w:t>
      </w:r>
      <w:r>
        <w:rPr>
          <w:color w:val="231F20"/>
          <w:spacing w:val="2"/>
          <w:w w:val="110"/>
          <w:sz w:val="18"/>
        </w:rPr>
        <w:t>practice </w:t>
      </w:r>
      <w:r>
        <w:rPr>
          <w:color w:val="231F20"/>
          <w:w w:val="110"/>
          <w:sz w:val="18"/>
        </w:rPr>
        <w:t>of </w:t>
      </w:r>
      <w:r>
        <w:rPr>
          <w:color w:val="231F20"/>
          <w:spacing w:val="3"/>
          <w:w w:val="110"/>
          <w:sz w:val="18"/>
        </w:rPr>
        <w:t>parts </w:t>
      </w:r>
      <w:r>
        <w:rPr>
          <w:color w:val="231F20"/>
          <w:w w:val="110"/>
          <w:sz w:val="18"/>
        </w:rPr>
        <w:t>of the United Reformed Church to determine commitments to the Ministry and Mission Fund as if there were a head tax. </w:t>
      </w:r>
      <w:r>
        <w:rPr>
          <w:color w:val="231F20"/>
          <w:spacing w:val="2"/>
          <w:w w:val="110"/>
          <w:sz w:val="18"/>
        </w:rPr>
        <w:t>There </w:t>
      </w:r>
      <w:r>
        <w:rPr>
          <w:color w:val="231F20"/>
          <w:w w:val="110"/>
          <w:sz w:val="18"/>
        </w:rPr>
        <w:t>are stories that some people have been discouraged </w:t>
      </w:r>
      <w:r>
        <w:rPr>
          <w:color w:val="231F20"/>
          <w:spacing w:val="2"/>
          <w:w w:val="110"/>
          <w:sz w:val="18"/>
        </w:rPr>
        <w:t>from </w:t>
      </w:r>
      <w:r>
        <w:rPr>
          <w:color w:val="231F20"/>
          <w:w w:val="110"/>
          <w:sz w:val="18"/>
        </w:rPr>
        <w:t>becoming </w:t>
      </w:r>
      <w:r>
        <w:rPr>
          <w:color w:val="231F20"/>
          <w:spacing w:val="2"/>
          <w:w w:val="110"/>
          <w:sz w:val="18"/>
        </w:rPr>
        <w:t>members because </w:t>
      </w:r>
      <w:r>
        <w:rPr>
          <w:color w:val="231F20"/>
          <w:w w:val="110"/>
          <w:sz w:val="18"/>
        </w:rPr>
        <w:t>of the cost to the local church, and other stories that some congregations with few </w:t>
      </w:r>
      <w:r>
        <w:rPr>
          <w:color w:val="231F20"/>
          <w:spacing w:val="2"/>
          <w:w w:val="110"/>
          <w:sz w:val="18"/>
        </w:rPr>
        <w:t>members </w:t>
      </w:r>
      <w:r>
        <w:rPr>
          <w:color w:val="231F20"/>
          <w:w w:val="110"/>
          <w:sz w:val="18"/>
        </w:rPr>
        <w:t>have low </w:t>
      </w:r>
      <w:r>
        <w:rPr>
          <w:color w:val="231F20"/>
          <w:spacing w:val="2"/>
          <w:w w:val="110"/>
          <w:sz w:val="18"/>
        </w:rPr>
        <w:t>assessments </w:t>
      </w:r>
      <w:r>
        <w:rPr>
          <w:color w:val="231F20"/>
          <w:w w:val="110"/>
          <w:sz w:val="18"/>
        </w:rPr>
        <w:t>even though they have large</w:t>
      </w:r>
      <w:r>
        <w:rPr>
          <w:color w:val="231F20"/>
          <w:spacing w:val="30"/>
          <w:w w:val="110"/>
          <w:sz w:val="18"/>
        </w:rPr>
        <w:t> </w:t>
      </w:r>
      <w:r>
        <w:rPr>
          <w:color w:val="231F20"/>
          <w:spacing w:val="2"/>
          <w:w w:val="110"/>
          <w:sz w:val="18"/>
        </w:rPr>
        <w:t>reserves.</w:t>
      </w:r>
    </w:p>
    <w:p>
      <w:pPr>
        <w:spacing w:after="0" w:line="250" w:lineRule="exact"/>
        <w:jc w:val="left"/>
        <w:rPr>
          <w:sz w:val="25"/>
        </w:rPr>
        <w:sectPr>
          <w:headerReference w:type="even" r:id="rId222"/>
          <w:headerReference w:type="default" r:id="rId223"/>
          <w:footerReference w:type="even" r:id="rId224"/>
          <w:footerReference w:type="default" r:id="rId225"/>
          <w:pgSz w:w="11910" w:h="16840"/>
          <w:pgMar w:header="558" w:footer="564" w:top="820" w:bottom="760" w:left="460" w:right="0"/>
          <w:pgNumType w:start="152"/>
        </w:sectPr>
      </w:pPr>
    </w:p>
    <w:p>
      <w:pPr>
        <w:pStyle w:val="BodyText"/>
        <w:spacing w:before="9"/>
        <w:rPr>
          <w:sz w:val="13"/>
        </w:rPr>
      </w:pPr>
    </w:p>
    <w:p>
      <w:pPr>
        <w:pStyle w:val="BodyText"/>
        <w:spacing w:before="101"/>
        <w:ind w:left="1240"/>
      </w:pPr>
      <w:r>
        <w:rPr>
          <w:color w:val="231F20"/>
          <w:w w:val="110"/>
          <w:u w:val="single" w:color="231F20"/>
        </w:rPr>
        <w:t>Reacting to the Pressures</w:t>
      </w:r>
    </w:p>
    <w:p>
      <w:pPr>
        <w:pStyle w:val="BodyText"/>
        <w:spacing w:before="1"/>
        <w:rPr>
          <w:sz w:val="23"/>
        </w:rPr>
      </w:pPr>
    </w:p>
    <w:p>
      <w:pPr>
        <w:pStyle w:val="ListParagraph"/>
        <w:numPr>
          <w:ilvl w:val="1"/>
          <w:numId w:val="93"/>
        </w:numPr>
        <w:tabs>
          <w:tab w:pos="1921" w:val="left" w:leader="none"/>
          <w:tab w:pos="1922" w:val="left" w:leader="none"/>
        </w:tabs>
        <w:spacing w:line="273" w:lineRule="auto" w:before="0" w:after="0"/>
        <w:ind w:left="1240" w:right="1161" w:firstLine="0"/>
        <w:jc w:val="left"/>
        <w:rPr>
          <w:sz w:val="18"/>
        </w:rPr>
      </w:pPr>
      <w:r>
        <w:rPr>
          <w:color w:val="231F20"/>
          <w:w w:val="110"/>
          <w:sz w:val="18"/>
        </w:rPr>
        <w:t>While it can be argued that the Church is called to be counter-cultural rather than capitulate to social change, it is also true that theology and our understanding of Church have developed out of particular, changing social contexts. The </w:t>
      </w:r>
      <w:r>
        <w:rPr>
          <w:color w:val="231F20"/>
          <w:spacing w:val="2"/>
          <w:w w:val="110"/>
          <w:sz w:val="18"/>
        </w:rPr>
        <w:t>pressures </w:t>
      </w:r>
      <w:r>
        <w:rPr>
          <w:color w:val="231F20"/>
          <w:w w:val="110"/>
          <w:sz w:val="18"/>
        </w:rPr>
        <w:t>mentioned above already contribute to the new context in which membership is being considered in many of our churches</w:t>
      </w:r>
      <w:r>
        <w:rPr>
          <w:color w:val="231F20"/>
          <w:spacing w:val="4"/>
          <w:w w:val="110"/>
          <w:sz w:val="18"/>
        </w:rPr>
        <w:t> </w:t>
      </w:r>
      <w:r>
        <w:rPr>
          <w:color w:val="231F20"/>
          <w:spacing w:val="-3"/>
          <w:w w:val="110"/>
          <w:sz w:val="18"/>
        </w:rPr>
        <w:t>today.</w:t>
      </w:r>
    </w:p>
    <w:p>
      <w:pPr>
        <w:pStyle w:val="BodyText"/>
        <w:spacing w:before="10"/>
        <w:rPr>
          <w:sz w:val="20"/>
        </w:rPr>
      </w:pPr>
    </w:p>
    <w:p>
      <w:pPr>
        <w:pStyle w:val="ListParagraph"/>
        <w:numPr>
          <w:ilvl w:val="1"/>
          <w:numId w:val="93"/>
        </w:numPr>
        <w:tabs>
          <w:tab w:pos="1921" w:val="left" w:leader="none"/>
          <w:tab w:pos="1922" w:val="left" w:leader="none"/>
        </w:tabs>
        <w:spacing w:line="273" w:lineRule="auto" w:before="0" w:after="0"/>
        <w:ind w:left="1240" w:right="1471" w:firstLine="0"/>
        <w:jc w:val="left"/>
        <w:rPr>
          <w:sz w:val="18"/>
        </w:rPr>
      </w:pPr>
      <w:r>
        <w:rPr>
          <w:color w:val="231F20"/>
          <w:w w:val="110"/>
          <w:sz w:val="18"/>
        </w:rPr>
        <w:t>No single organisational </w:t>
      </w:r>
      <w:r>
        <w:rPr>
          <w:color w:val="231F20"/>
          <w:spacing w:val="2"/>
          <w:w w:val="110"/>
          <w:sz w:val="18"/>
        </w:rPr>
        <w:t>response </w:t>
      </w:r>
      <w:r>
        <w:rPr>
          <w:color w:val="231F20"/>
          <w:w w:val="110"/>
          <w:sz w:val="18"/>
        </w:rPr>
        <w:t>will deal with the complexity of the issue:   for while there is evidence of increased attendance at cathedral worship, which </w:t>
      </w:r>
      <w:r>
        <w:rPr>
          <w:color w:val="231F20"/>
          <w:spacing w:val="3"/>
          <w:w w:val="110"/>
          <w:sz w:val="18"/>
        </w:rPr>
        <w:t>offers  </w:t>
      </w:r>
      <w:r>
        <w:rPr>
          <w:color w:val="231F20"/>
          <w:w w:val="110"/>
          <w:sz w:val="18"/>
        </w:rPr>
        <w:t>a personal and corporate spiritual experience without requiring a commitment to membership, those churches and communities which require a high level of personal commitment are also growing. It is not, then, a matter of simply decreasing or increasing the </w:t>
      </w:r>
      <w:r>
        <w:rPr>
          <w:color w:val="231F20"/>
          <w:spacing w:val="2"/>
          <w:w w:val="110"/>
          <w:sz w:val="18"/>
        </w:rPr>
        <w:t>‘barriers </w:t>
      </w:r>
      <w:r>
        <w:rPr>
          <w:color w:val="231F20"/>
          <w:w w:val="110"/>
          <w:sz w:val="18"/>
        </w:rPr>
        <w:t>to entry’, but of seeking to present the privilege of covenant membership in a challenging</w:t>
      </w:r>
      <w:r>
        <w:rPr>
          <w:color w:val="231F20"/>
          <w:spacing w:val="5"/>
          <w:w w:val="110"/>
          <w:sz w:val="18"/>
        </w:rPr>
        <w:t> </w:t>
      </w:r>
      <w:r>
        <w:rPr>
          <w:color w:val="231F20"/>
          <w:spacing w:val="-5"/>
          <w:w w:val="110"/>
          <w:sz w:val="18"/>
        </w:rPr>
        <w:t>way.</w:t>
      </w:r>
    </w:p>
    <w:p>
      <w:pPr>
        <w:pStyle w:val="BodyText"/>
        <w:spacing w:before="12"/>
        <w:rPr>
          <w:sz w:val="20"/>
        </w:rPr>
      </w:pPr>
    </w:p>
    <w:p>
      <w:pPr>
        <w:pStyle w:val="ListParagraph"/>
        <w:numPr>
          <w:ilvl w:val="1"/>
          <w:numId w:val="93"/>
        </w:numPr>
        <w:tabs>
          <w:tab w:pos="1921" w:val="left" w:leader="none"/>
          <w:tab w:pos="1922" w:val="left" w:leader="none"/>
        </w:tabs>
        <w:spacing w:line="240" w:lineRule="auto" w:before="0" w:after="0"/>
        <w:ind w:left="1921" w:right="0" w:hanging="682"/>
        <w:jc w:val="left"/>
        <w:rPr>
          <w:sz w:val="18"/>
        </w:rPr>
      </w:pPr>
      <w:r>
        <w:rPr>
          <w:color w:val="231F20"/>
          <w:spacing w:val="-3"/>
          <w:w w:val="110"/>
          <w:sz w:val="18"/>
        </w:rPr>
        <w:t>However, </w:t>
      </w:r>
      <w:r>
        <w:rPr>
          <w:color w:val="231F20"/>
          <w:w w:val="110"/>
          <w:sz w:val="18"/>
        </w:rPr>
        <w:t>two specific changes are suggested as a </w:t>
      </w:r>
      <w:r>
        <w:rPr>
          <w:color w:val="231F20"/>
          <w:spacing w:val="2"/>
          <w:w w:val="110"/>
          <w:sz w:val="18"/>
        </w:rPr>
        <w:t>response </w:t>
      </w:r>
      <w:r>
        <w:rPr>
          <w:color w:val="231F20"/>
          <w:w w:val="110"/>
          <w:sz w:val="18"/>
        </w:rPr>
        <w:t>to these</w:t>
      </w:r>
      <w:r>
        <w:rPr>
          <w:color w:val="231F20"/>
          <w:spacing w:val="58"/>
          <w:w w:val="110"/>
          <w:sz w:val="18"/>
        </w:rPr>
        <w:t> </w:t>
      </w:r>
      <w:r>
        <w:rPr>
          <w:color w:val="231F20"/>
          <w:w w:val="110"/>
          <w:sz w:val="18"/>
        </w:rPr>
        <w:t>pressures:</w:t>
      </w:r>
    </w:p>
    <w:p>
      <w:pPr>
        <w:pStyle w:val="BodyText"/>
        <w:spacing w:before="1"/>
        <w:rPr>
          <w:sz w:val="23"/>
        </w:rPr>
      </w:pPr>
    </w:p>
    <w:p>
      <w:pPr>
        <w:pStyle w:val="ListParagraph"/>
        <w:numPr>
          <w:ilvl w:val="0"/>
          <w:numId w:val="94"/>
        </w:numPr>
        <w:tabs>
          <w:tab w:pos="1921" w:val="left" w:leader="none"/>
          <w:tab w:pos="1922" w:val="left" w:leader="none"/>
        </w:tabs>
        <w:spacing w:line="273" w:lineRule="auto" w:before="0" w:after="0"/>
        <w:ind w:left="1921" w:right="1132" w:hanging="681"/>
        <w:jc w:val="left"/>
        <w:rPr>
          <w:b/>
          <w:sz w:val="18"/>
        </w:rPr>
      </w:pPr>
      <w:r>
        <w:rPr>
          <w:color w:val="231F20"/>
          <w:w w:val="110"/>
          <w:sz w:val="18"/>
        </w:rPr>
        <w:t>Breaking the tie between membership and assessment would remove </w:t>
      </w:r>
      <w:r>
        <w:rPr>
          <w:color w:val="231F20"/>
          <w:spacing w:val="-3"/>
          <w:w w:val="110"/>
          <w:sz w:val="18"/>
        </w:rPr>
        <w:t>any </w:t>
      </w:r>
      <w:r>
        <w:rPr>
          <w:color w:val="231F20"/>
          <w:w w:val="110"/>
          <w:sz w:val="18"/>
        </w:rPr>
        <w:t>unhealthy pressure which </w:t>
      </w:r>
      <w:r>
        <w:rPr>
          <w:color w:val="231F20"/>
          <w:spacing w:val="-3"/>
          <w:w w:val="110"/>
          <w:sz w:val="18"/>
        </w:rPr>
        <w:t>may </w:t>
      </w:r>
      <w:r>
        <w:rPr>
          <w:color w:val="231F20"/>
          <w:w w:val="110"/>
          <w:sz w:val="18"/>
        </w:rPr>
        <w:t>deter people from becoming members and the inequity that sometimes results. </w:t>
      </w:r>
      <w:r>
        <w:rPr>
          <w:color w:val="231F20"/>
          <w:spacing w:val="-4"/>
          <w:w w:val="110"/>
          <w:sz w:val="18"/>
        </w:rPr>
        <w:t>We </w:t>
      </w:r>
      <w:r>
        <w:rPr>
          <w:color w:val="231F20"/>
          <w:w w:val="110"/>
          <w:sz w:val="18"/>
        </w:rPr>
        <w:t>therefore </w:t>
      </w:r>
      <w:r>
        <w:rPr>
          <w:b/>
          <w:color w:val="231F20"/>
          <w:w w:val="110"/>
          <w:sz w:val="18"/>
        </w:rPr>
        <w:t>ask Mission Council to devise a process for agreeing local church contributions to the Ministry and Mission Fund which do not primarily focus on membership numbers, and to work on it being implemented throughout the United Reformed</w:t>
      </w:r>
      <w:r>
        <w:rPr>
          <w:b/>
          <w:color w:val="231F20"/>
          <w:spacing w:val="-15"/>
          <w:w w:val="110"/>
          <w:sz w:val="18"/>
        </w:rPr>
        <w:t> </w:t>
      </w:r>
      <w:r>
        <w:rPr>
          <w:b/>
          <w:color w:val="231F20"/>
          <w:w w:val="110"/>
          <w:sz w:val="18"/>
        </w:rPr>
        <w:t>Church.</w:t>
      </w:r>
    </w:p>
    <w:p>
      <w:pPr>
        <w:pStyle w:val="BodyText"/>
        <w:spacing w:before="11"/>
        <w:rPr>
          <w:b/>
          <w:sz w:val="20"/>
        </w:rPr>
      </w:pPr>
    </w:p>
    <w:p>
      <w:pPr>
        <w:pStyle w:val="ListParagraph"/>
        <w:numPr>
          <w:ilvl w:val="0"/>
          <w:numId w:val="94"/>
        </w:numPr>
        <w:tabs>
          <w:tab w:pos="1922" w:val="left" w:leader="none"/>
        </w:tabs>
        <w:spacing w:line="273" w:lineRule="auto" w:before="0" w:after="0"/>
        <w:ind w:left="1921" w:right="1476" w:hanging="681"/>
        <w:jc w:val="both"/>
        <w:rPr>
          <w:sz w:val="18"/>
        </w:rPr>
      </w:pPr>
      <w:r>
        <w:rPr>
          <w:color w:val="231F20"/>
          <w:w w:val="110"/>
          <w:sz w:val="18"/>
        </w:rPr>
        <w:t>A few categories of people would benefit </w:t>
      </w:r>
      <w:r>
        <w:rPr>
          <w:color w:val="231F20"/>
          <w:spacing w:val="2"/>
          <w:w w:val="110"/>
          <w:sz w:val="18"/>
        </w:rPr>
        <w:t>from </w:t>
      </w:r>
      <w:r>
        <w:rPr>
          <w:color w:val="231F20"/>
          <w:w w:val="110"/>
          <w:sz w:val="18"/>
        </w:rPr>
        <w:t>the flexibility of being able to be </w:t>
      </w:r>
      <w:r>
        <w:rPr>
          <w:color w:val="231F20"/>
          <w:spacing w:val="2"/>
          <w:w w:val="110"/>
          <w:sz w:val="18"/>
        </w:rPr>
        <w:t>members </w:t>
      </w:r>
      <w:r>
        <w:rPr>
          <w:color w:val="231F20"/>
          <w:w w:val="110"/>
          <w:sz w:val="18"/>
        </w:rPr>
        <w:t>of more than one local congregation or denomination at once. </w:t>
      </w:r>
      <w:r>
        <w:rPr>
          <w:color w:val="231F20"/>
          <w:spacing w:val="2"/>
          <w:w w:val="110"/>
          <w:sz w:val="18"/>
        </w:rPr>
        <w:t>These </w:t>
      </w:r>
      <w:r>
        <w:rPr>
          <w:color w:val="231F20"/>
          <w:w w:val="110"/>
          <w:sz w:val="18"/>
        </w:rPr>
        <w:t>include:</w:t>
      </w:r>
    </w:p>
    <w:p>
      <w:pPr>
        <w:pStyle w:val="ListParagraph"/>
        <w:numPr>
          <w:ilvl w:val="1"/>
          <w:numId w:val="94"/>
        </w:numPr>
        <w:tabs>
          <w:tab w:pos="2680" w:val="left" w:leader="none"/>
          <w:tab w:pos="2681" w:val="left" w:leader="none"/>
        </w:tabs>
        <w:spacing w:line="218" w:lineRule="auto" w:before="0" w:after="0"/>
        <w:ind w:left="2680" w:right="1235" w:hanging="760"/>
        <w:jc w:val="left"/>
        <w:rPr>
          <w:sz w:val="18"/>
        </w:rPr>
      </w:pPr>
      <w:r>
        <w:rPr>
          <w:color w:val="231F20"/>
          <w:w w:val="110"/>
          <w:sz w:val="18"/>
        </w:rPr>
        <w:t>A student who spends half of each year in his/her home congregation and half in a congregation in the place of</w:t>
      </w:r>
      <w:r>
        <w:rPr>
          <w:color w:val="231F20"/>
          <w:spacing w:val="13"/>
          <w:w w:val="110"/>
          <w:sz w:val="18"/>
        </w:rPr>
        <w:t> </w:t>
      </w:r>
      <w:r>
        <w:rPr>
          <w:color w:val="231F20"/>
          <w:w w:val="110"/>
          <w:sz w:val="18"/>
        </w:rPr>
        <w:t>study.</w:t>
      </w:r>
    </w:p>
    <w:p>
      <w:pPr>
        <w:pStyle w:val="ListParagraph"/>
        <w:numPr>
          <w:ilvl w:val="1"/>
          <w:numId w:val="94"/>
        </w:numPr>
        <w:tabs>
          <w:tab w:pos="2680" w:val="left" w:leader="none"/>
          <w:tab w:pos="2681" w:val="left" w:leader="none"/>
        </w:tabs>
        <w:spacing w:line="218" w:lineRule="auto" w:before="15" w:after="0"/>
        <w:ind w:left="2680" w:right="1145" w:hanging="760"/>
        <w:jc w:val="left"/>
        <w:rPr>
          <w:sz w:val="18"/>
        </w:rPr>
      </w:pPr>
      <w:r>
        <w:rPr>
          <w:color w:val="231F20"/>
          <w:w w:val="110"/>
          <w:sz w:val="18"/>
        </w:rPr>
        <w:t>A weekly commuter, or a family with a holiday home they go to frequently, who are active in churches in both</w:t>
      </w:r>
      <w:r>
        <w:rPr>
          <w:color w:val="231F20"/>
          <w:spacing w:val="14"/>
          <w:w w:val="110"/>
          <w:sz w:val="18"/>
        </w:rPr>
        <w:t> </w:t>
      </w:r>
      <w:r>
        <w:rPr>
          <w:color w:val="231F20"/>
          <w:w w:val="110"/>
          <w:sz w:val="18"/>
        </w:rPr>
        <w:t>places.</w:t>
      </w:r>
    </w:p>
    <w:p>
      <w:pPr>
        <w:pStyle w:val="ListParagraph"/>
        <w:numPr>
          <w:ilvl w:val="1"/>
          <w:numId w:val="94"/>
        </w:numPr>
        <w:tabs>
          <w:tab w:pos="2680" w:val="left" w:leader="none"/>
          <w:tab w:pos="2681" w:val="left" w:leader="none"/>
        </w:tabs>
        <w:spacing w:line="218" w:lineRule="auto" w:before="24" w:after="0"/>
        <w:ind w:left="2680" w:right="1409" w:hanging="760"/>
        <w:jc w:val="left"/>
        <w:rPr>
          <w:sz w:val="18"/>
        </w:rPr>
      </w:pPr>
      <w:r>
        <w:rPr>
          <w:color w:val="231F20"/>
          <w:w w:val="110"/>
          <w:sz w:val="18"/>
        </w:rPr>
        <w:t>The spouse and/or family of a minister who has pastoral charge of more than one</w:t>
      </w:r>
      <w:r>
        <w:rPr>
          <w:color w:val="231F20"/>
          <w:spacing w:val="2"/>
          <w:w w:val="110"/>
          <w:sz w:val="18"/>
        </w:rPr>
        <w:t> </w:t>
      </w:r>
      <w:r>
        <w:rPr>
          <w:color w:val="231F20"/>
          <w:w w:val="110"/>
          <w:sz w:val="18"/>
        </w:rPr>
        <w:t>congregation.</w:t>
      </w:r>
    </w:p>
    <w:p>
      <w:pPr>
        <w:pStyle w:val="ListParagraph"/>
        <w:numPr>
          <w:ilvl w:val="1"/>
          <w:numId w:val="94"/>
        </w:numPr>
        <w:tabs>
          <w:tab w:pos="2680" w:val="left" w:leader="none"/>
          <w:tab w:pos="2681" w:val="left" w:leader="none"/>
        </w:tabs>
        <w:spacing w:line="218" w:lineRule="auto" w:before="25" w:after="0"/>
        <w:ind w:left="2680" w:right="2546" w:hanging="760"/>
        <w:jc w:val="left"/>
        <w:rPr>
          <w:sz w:val="18"/>
        </w:rPr>
      </w:pPr>
      <w:r>
        <w:rPr>
          <w:color w:val="231F20"/>
          <w:w w:val="110"/>
          <w:sz w:val="18"/>
        </w:rPr>
        <w:t>An elder or other </w:t>
      </w:r>
      <w:r>
        <w:rPr>
          <w:color w:val="231F20"/>
          <w:spacing w:val="2"/>
          <w:w w:val="110"/>
          <w:sz w:val="18"/>
        </w:rPr>
        <w:t>person </w:t>
      </w:r>
      <w:r>
        <w:rPr>
          <w:color w:val="231F20"/>
          <w:w w:val="110"/>
          <w:sz w:val="18"/>
        </w:rPr>
        <w:t>who makes a commitment to help a neighbouring</w:t>
      </w:r>
      <w:r>
        <w:rPr>
          <w:color w:val="231F20"/>
          <w:spacing w:val="1"/>
          <w:w w:val="110"/>
          <w:sz w:val="18"/>
        </w:rPr>
        <w:t> </w:t>
      </w:r>
      <w:r>
        <w:rPr>
          <w:color w:val="231F20"/>
          <w:w w:val="110"/>
          <w:sz w:val="18"/>
        </w:rPr>
        <w:t>church.</w:t>
      </w:r>
    </w:p>
    <w:p>
      <w:pPr>
        <w:pStyle w:val="ListParagraph"/>
        <w:numPr>
          <w:ilvl w:val="1"/>
          <w:numId w:val="94"/>
        </w:numPr>
        <w:tabs>
          <w:tab w:pos="2680" w:val="left" w:leader="none"/>
          <w:tab w:pos="2681" w:val="left" w:leader="none"/>
        </w:tabs>
        <w:spacing w:line="240" w:lineRule="auto" w:before="5" w:after="0"/>
        <w:ind w:left="2680" w:right="0" w:hanging="760"/>
        <w:jc w:val="left"/>
        <w:rPr>
          <w:sz w:val="18"/>
        </w:rPr>
      </w:pPr>
      <w:r>
        <w:rPr>
          <w:color w:val="231F20"/>
          <w:spacing w:val="2"/>
          <w:w w:val="110"/>
          <w:sz w:val="18"/>
        </w:rPr>
        <w:t>Members </w:t>
      </w:r>
      <w:r>
        <w:rPr>
          <w:color w:val="231F20"/>
          <w:w w:val="110"/>
          <w:sz w:val="18"/>
        </w:rPr>
        <w:t>of </w:t>
      </w:r>
      <w:r>
        <w:rPr>
          <w:color w:val="231F20"/>
          <w:spacing w:val="2"/>
          <w:w w:val="110"/>
          <w:sz w:val="18"/>
        </w:rPr>
        <w:t>Local </w:t>
      </w:r>
      <w:r>
        <w:rPr>
          <w:color w:val="231F20"/>
          <w:w w:val="110"/>
          <w:sz w:val="18"/>
        </w:rPr>
        <w:t>Ecumenical</w:t>
      </w:r>
      <w:r>
        <w:rPr>
          <w:color w:val="231F20"/>
          <w:spacing w:val="3"/>
          <w:w w:val="110"/>
          <w:sz w:val="18"/>
        </w:rPr>
        <w:t> </w:t>
      </w:r>
      <w:r>
        <w:rPr>
          <w:color w:val="231F20"/>
          <w:w w:val="110"/>
          <w:sz w:val="18"/>
        </w:rPr>
        <w:t>Partnerships.</w:t>
      </w:r>
    </w:p>
    <w:p>
      <w:pPr>
        <w:numPr>
          <w:ilvl w:val="1"/>
          <w:numId w:val="93"/>
        </w:numPr>
        <w:tabs>
          <w:tab w:pos="1921" w:val="left" w:leader="none"/>
          <w:tab w:pos="1922" w:val="left" w:leader="none"/>
        </w:tabs>
        <w:spacing w:line="273" w:lineRule="auto" w:before="227"/>
        <w:ind w:left="1240" w:right="1137" w:firstLine="0"/>
        <w:jc w:val="left"/>
        <w:rPr>
          <w:b/>
          <w:sz w:val="18"/>
        </w:rPr>
      </w:pPr>
      <w:r>
        <w:rPr>
          <w:color w:val="231F20"/>
          <w:spacing w:val="-3"/>
          <w:w w:val="110"/>
          <w:sz w:val="18"/>
        </w:rPr>
        <w:t>We </w:t>
      </w:r>
      <w:r>
        <w:rPr>
          <w:color w:val="231F20"/>
          <w:w w:val="110"/>
          <w:sz w:val="18"/>
        </w:rPr>
        <w:t>would seek </w:t>
      </w:r>
      <w:r>
        <w:rPr>
          <w:b/>
          <w:color w:val="231F20"/>
          <w:w w:val="110"/>
          <w:sz w:val="18"/>
        </w:rPr>
        <w:t>to provide the option of having multiple membership that is </w:t>
      </w:r>
      <w:r>
        <w:rPr>
          <w:b/>
          <w:color w:val="231F20"/>
          <w:spacing w:val="2"/>
          <w:w w:val="110"/>
          <w:sz w:val="18"/>
        </w:rPr>
        <w:t>recognized </w:t>
      </w:r>
      <w:r>
        <w:rPr>
          <w:b/>
          <w:color w:val="231F20"/>
          <w:w w:val="110"/>
          <w:sz w:val="18"/>
        </w:rPr>
        <w:t>by the local and the wider</w:t>
      </w:r>
      <w:r>
        <w:rPr>
          <w:b/>
          <w:color w:val="231F20"/>
          <w:spacing w:val="5"/>
          <w:w w:val="110"/>
          <w:sz w:val="18"/>
        </w:rPr>
        <w:t> </w:t>
      </w:r>
      <w:r>
        <w:rPr>
          <w:b/>
          <w:color w:val="231F20"/>
          <w:w w:val="110"/>
          <w:sz w:val="18"/>
        </w:rPr>
        <w:t>church.</w:t>
      </w:r>
    </w:p>
    <w:p>
      <w:pPr>
        <w:pStyle w:val="BodyText"/>
        <w:spacing w:before="8"/>
        <w:rPr>
          <w:b/>
          <w:sz w:val="20"/>
        </w:rPr>
      </w:pPr>
    </w:p>
    <w:p>
      <w:pPr>
        <w:pStyle w:val="ListParagraph"/>
        <w:numPr>
          <w:ilvl w:val="1"/>
          <w:numId w:val="93"/>
        </w:numPr>
        <w:tabs>
          <w:tab w:pos="1921" w:val="left" w:leader="none"/>
          <w:tab w:pos="1922" w:val="left" w:leader="none"/>
        </w:tabs>
        <w:spacing w:line="273" w:lineRule="auto" w:before="0" w:after="0"/>
        <w:ind w:left="1240" w:right="1259" w:hanging="1"/>
        <w:jc w:val="left"/>
        <w:rPr>
          <w:sz w:val="18"/>
        </w:rPr>
      </w:pPr>
      <w:r>
        <w:rPr>
          <w:color w:val="231F20"/>
          <w:w w:val="110"/>
          <w:sz w:val="18"/>
        </w:rPr>
        <w:t>The </w:t>
      </w:r>
      <w:r>
        <w:rPr>
          <w:color w:val="231F20"/>
          <w:spacing w:val="2"/>
          <w:w w:val="110"/>
          <w:sz w:val="18"/>
        </w:rPr>
        <w:t>person </w:t>
      </w:r>
      <w:r>
        <w:rPr>
          <w:color w:val="231F20"/>
          <w:w w:val="110"/>
          <w:sz w:val="18"/>
        </w:rPr>
        <w:t>would be a recognised </w:t>
      </w:r>
      <w:r>
        <w:rPr>
          <w:color w:val="231F20"/>
          <w:spacing w:val="2"/>
          <w:w w:val="110"/>
          <w:sz w:val="18"/>
        </w:rPr>
        <w:t>part </w:t>
      </w:r>
      <w:r>
        <w:rPr>
          <w:color w:val="231F20"/>
          <w:w w:val="110"/>
          <w:sz w:val="18"/>
        </w:rPr>
        <w:t>of each of the congregations in which  s/he and the congregation make commitments to each other within the Covenant relationship. This would support mutual caring, sharing in decision making, contributing to costs, and holding responsibility, while recognising that the </w:t>
      </w:r>
      <w:r>
        <w:rPr>
          <w:color w:val="231F20"/>
          <w:spacing w:val="2"/>
          <w:w w:val="110"/>
          <w:sz w:val="18"/>
        </w:rPr>
        <w:t>person </w:t>
      </w:r>
      <w:r>
        <w:rPr>
          <w:color w:val="231F20"/>
          <w:w w:val="110"/>
          <w:sz w:val="18"/>
        </w:rPr>
        <w:t>is also involved in similar commitments elsewhere for clear</w:t>
      </w:r>
      <w:r>
        <w:rPr>
          <w:color w:val="231F20"/>
          <w:spacing w:val="11"/>
          <w:w w:val="110"/>
          <w:sz w:val="18"/>
        </w:rPr>
        <w:t> </w:t>
      </w:r>
      <w:r>
        <w:rPr>
          <w:color w:val="231F20"/>
          <w:w w:val="110"/>
          <w:sz w:val="18"/>
        </w:rPr>
        <w:t>reasons.</w:t>
      </w:r>
    </w:p>
    <w:p>
      <w:pPr>
        <w:pStyle w:val="BodyText"/>
        <w:spacing w:before="10"/>
        <w:rPr>
          <w:sz w:val="20"/>
        </w:rPr>
      </w:pPr>
    </w:p>
    <w:p>
      <w:pPr>
        <w:pStyle w:val="ListParagraph"/>
        <w:numPr>
          <w:ilvl w:val="1"/>
          <w:numId w:val="93"/>
        </w:numPr>
        <w:tabs>
          <w:tab w:pos="1921" w:val="left" w:leader="none"/>
          <w:tab w:pos="1922" w:val="left" w:leader="none"/>
        </w:tabs>
        <w:spacing w:line="273" w:lineRule="auto" w:before="0" w:after="0"/>
        <w:ind w:left="1240" w:right="1185" w:firstLine="0"/>
        <w:jc w:val="left"/>
        <w:rPr>
          <w:sz w:val="18"/>
        </w:rPr>
      </w:pPr>
      <w:r>
        <w:rPr>
          <w:color w:val="231F20"/>
          <w:spacing w:val="-4"/>
          <w:w w:val="110"/>
          <w:sz w:val="18"/>
        </w:rPr>
        <w:t>We</w:t>
      </w:r>
      <w:r>
        <w:rPr>
          <w:color w:val="231F20"/>
          <w:spacing w:val="-7"/>
          <w:w w:val="110"/>
          <w:sz w:val="18"/>
        </w:rPr>
        <w:t> </w:t>
      </w:r>
      <w:r>
        <w:rPr>
          <w:color w:val="231F20"/>
          <w:w w:val="110"/>
          <w:sz w:val="18"/>
        </w:rPr>
        <w:t>would</w:t>
      </w:r>
      <w:r>
        <w:rPr>
          <w:color w:val="231F20"/>
          <w:spacing w:val="-7"/>
          <w:w w:val="110"/>
          <w:sz w:val="18"/>
        </w:rPr>
        <w:t> </w:t>
      </w:r>
      <w:r>
        <w:rPr>
          <w:color w:val="231F20"/>
          <w:w w:val="110"/>
          <w:sz w:val="18"/>
        </w:rPr>
        <w:t>therefore</w:t>
      </w:r>
      <w:r>
        <w:rPr>
          <w:color w:val="231F20"/>
          <w:spacing w:val="-7"/>
          <w:w w:val="110"/>
          <w:sz w:val="18"/>
        </w:rPr>
        <w:t> </w:t>
      </w:r>
      <w:r>
        <w:rPr>
          <w:color w:val="231F20"/>
          <w:w w:val="110"/>
          <w:sz w:val="18"/>
        </w:rPr>
        <w:t>ask</w:t>
      </w:r>
      <w:r>
        <w:rPr>
          <w:color w:val="231F20"/>
          <w:spacing w:val="-7"/>
          <w:w w:val="110"/>
          <w:sz w:val="18"/>
        </w:rPr>
        <w:t> </w:t>
      </w:r>
      <w:r>
        <w:rPr>
          <w:color w:val="231F20"/>
          <w:w w:val="110"/>
          <w:sz w:val="18"/>
        </w:rPr>
        <w:t>for</w:t>
      </w:r>
      <w:r>
        <w:rPr>
          <w:color w:val="231F20"/>
          <w:spacing w:val="-7"/>
          <w:w w:val="110"/>
          <w:sz w:val="18"/>
        </w:rPr>
        <w:t> </w:t>
      </w:r>
      <w:r>
        <w:rPr>
          <w:color w:val="231F20"/>
          <w:w w:val="110"/>
          <w:sz w:val="18"/>
        </w:rPr>
        <w:t>administrative</w:t>
      </w:r>
      <w:r>
        <w:rPr>
          <w:color w:val="231F20"/>
          <w:spacing w:val="-7"/>
          <w:w w:val="110"/>
          <w:sz w:val="18"/>
        </w:rPr>
        <w:t> </w:t>
      </w:r>
      <w:r>
        <w:rPr>
          <w:color w:val="231F20"/>
          <w:w w:val="110"/>
          <w:sz w:val="18"/>
        </w:rPr>
        <w:t>work</w:t>
      </w:r>
      <w:r>
        <w:rPr>
          <w:color w:val="231F20"/>
          <w:spacing w:val="-7"/>
          <w:w w:val="110"/>
          <w:sz w:val="18"/>
        </w:rPr>
        <w:t> </w:t>
      </w:r>
      <w:r>
        <w:rPr>
          <w:color w:val="231F20"/>
          <w:w w:val="110"/>
          <w:sz w:val="18"/>
        </w:rPr>
        <w:t>to</w:t>
      </w:r>
      <w:r>
        <w:rPr>
          <w:color w:val="231F20"/>
          <w:spacing w:val="-6"/>
          <w:w w:val="110"/>
          <w:sz w:val="18"/>
        </w:rPr>
        <w:t> </w:t>
      </w:r>
      <w:r>
        <w:rPr>
          <w:color w:val="231F20"/>
          <w:w w:val="110"/>
          <w:sz w:val="18"/>
        </w:rPr>
        <w:t>be</w:t>
      </w:r>
      <w:r>
        <w:rPr>
          <w:color w:val="231F20"/>
          <w:spacing w:val="-7"/>
          <w:w w:val="110"/>
          <w:sz w:val="18"/>
        </w:rPr>
        <w:t> </w:t>
      </w:r>
      <w:r>
        <w:rPr>
          <w:color w:val="231F20"/>
          <w:w w:val="110"/>
          <w:sz w:val="18"/>
        </w:rPr>
        <w:t>done</w:t>
      </w:r>
      <w:r>
        <w:rPr>
          <w:color w:val="231F20"/>
          <w:spacing w:val="-7"/>
          <w:w w:val="110"/>
          <w:sz w:val="18"/>
        </w:rPr>
        <w:t> </w:t>
      </w:r>
      <w:r>
        <w:rPr>
          <w:color w:val="231F20"/>
          <w:w w:val="110"/>
          <w:sz w:val="18"/>
        </w:rPr>
        <w:t>on</w:t>
      </w:r>
      <w:r>
        <w:rPr>
          <w:color w:val="231F20"/>
          <w:spacing w:val="-7"/>
          <w:w w:val="110"/>
          <w:sz w:val="18"/>
        </w:rPr>
        <w:t> </w:t>
      </w:r>
      <w:r>
        <w:rPr>
          <w:color w:val="231F20"/>
          <w:w w:val="110"/>
          <w:sz w:val="18"/>
        </w:rPr>
        <w:t>how</w:t>
      </w:r>
      <w:r>
        <w:rPr>
          <w:color w:val="231F20"/>
          <w:spacing w:val="-7"/>
          <w:w w:val="110"/>
          <w:sz w:val="18"/>
        </w:rPr>
        <w:t> </w:t>
      </w:r>
      <w:r>
        <w:rPr>
          <w:color w:val="231F20"/>
          <w:w w:val="110"/>
          <w:sz w:val="18"/>
        </w:rPr>
        <w:t>the</w:t>
      </w:r>
      <w:r>
        <w:rPr>
          <w:color w:val="231F20"/>
          <w:spacing w:val="-7"/>
          <w:w w:val="110"/>
          <w:sz w:val="18"/>
        </w:rPr>
        <w:t> </w:t>
      </w:r>
      <w:r>
        <w:rPr>
          <w:color w:val="231F20"/>
          <w:w w:val="110"/>
          <w:sz w:val="18"/>
        </w:rPr>
        <w:t>wider</w:t>
      </w:r>
      <w:r>
        <w:rPr>
          <w:color w:val="231F20"/>
          <w:spacing w:val="-7"/>
          <w:w w:val="110"/>
          <w:sz w:val="18"/>
        </w:rPr>
        <w:t> </w:t>
      </w:r>
      <w:r>
        <w:rPr>
          <w:color w:val="231F20"/>
          <w:w w:val="110"/>
          <w:sz w:val="18"/>
        </w:rPr>
        <w:t>church would</w:t>
      </w:r>
      <w:r>
        <w:rPr>
          <w:color w:val="231F20"/>
          <w:spacing w:val="-6"/>
          <w:w w:val="110"/>
          <w:sz w:val="18"/>
        </w:rPr>
        <w:t> </w:t>
      </w:r>
      <w:r>
        <w:rPr>
          <w:color w:val="231F20"/>
          <w:w w:val="110"/>
          <w:sz w:val="18"/>
        </w:rPr>
        <w:t>count</w:t>
      </w:r>
      <w:r>
        <w:rPr>
          <w:color w:val="231F20"/>
          <w:spacing w:val="-6"/>
          <w:w w:val="110"/>
          <w:sz w:val="18"/>
        </w:rPr>
        <w:t> </w:t>
      </w:r>
      <w:r>
        <w:rPr>
          <w:color w:val="231F20"/>
          <w:w w:val="110"/>
          <w:sz w:val="18"/>
        </w:rPr>
        <w:t>such</w:t>
      </w:r>
      <w:r>
        <w:rPr>
          <w:color w:val="231F20"/>
          <w:spacing w:val="-5"/>
          <w:w w:val="110"/>
          <w:sz w:val="18"/>
        </w:rPr>
        <w:t> </w:t>
      </w:r>
      <w:r>
        <w:rPr>
          <w:color w:val="231F20"/>
          <w:w w:val="110"/>
          <w:sz w:val="18"/>
        </w:rPr>
        <w:t>members</w:t>
      </w:r>
      <w:r>
        <w:rPr>
          <w:color w:val="231F20"/>
          <w:spacing w:val="-6"/>
          <w:w w:val="110"/>
          <w:sz w:val="18"/>
        </w:rPr>
        <w:t> </w:t>
      </w:r>
      <w:r>
        <w:rPr>
          <w:color w:val="231F20"/>
          <w:w w:val="110"/>
          <w:sz w:val="18"/>
        </w:rPr>
        <w:t>so</w:t>
      </w:r>
      <w:r>
        <w:rPr>
          <w:color w:val="231F20"/>
          <w:spacing w:val="-5"/>
          <w:w w:val="110"/>
          <w:sz w:val="18"/>
        </w:rPr>
        <w:t> </w:t>
      </w:r>
      <w:r>
        <w:rPr>
          <w:color w:val="231F20"/>
          <w:w w:val="110"/>
          <w:sz w:val="18"/>
        </w:rPr>
        <w:t>as</w:t>
      </w:r>
      <w:r>
        <w:rPr>
          <w:color w:val="231F20"/>
          <w:spacing w:val="-6"/>
          <w:w w:val="110"/>
          <w:sz w:val="18"/>
        </w:rPr>
        <w:t> </w:t>
      </w:r>
      <w:r>
        <w:rPr>
          <w:color w:val="231F20"/>
          <w:w w:val="110"/>
          <w:sz w:val="18"/>
        </w:rPr>
        <w:t>not</w:t>
      </w:r>
      <w:r>
        <w:rPr>
          <w:color w:val="231F20"/>
          <w:spacing w:val="-5"/>
          <w:w w:val="110"/>
          <w:sz w:val="18"/>
        </w:rPr>
        <w:t> </w:t>
      </w:r>
      <w:r>
        <w:rPr>
          <w:color w:val="231F20"/>
          <w:w w:val="110"/>
          <w:sz w:val="18"/>
        </w:rPr>
        <w:t>to</w:t>
      </w:r>
      <w:r>
        <w:rPr>
          <w:color w:val="231F20"/>
          <w:spacing w:val="-6"/>
          <w:w w:val="110"/>
          <w:sz w:val="18"/>
        </w:rPr>
        <w:t> </w:t>
      </w:r>
      <w:r>
        <w:rPr>
          <w:color w:val="231F20"/>
          <w:w w:val="110"/>
          <w:sz w:val="18"/>
        </w:rPr>
        <w:t>disadvantage</w:t>
      </w:r>
      <w:r>
        <w:rPr>
          <w:color w:val="231F20"/>
          <w:spacing w:val="-5"/>
          <w:w w:val="110"/>
          <w:sz w:val="18"/>
        </w:rPr>
        <w:t> </w:t>
      </w:r>
      <w:r>
        <w:rPr>
          <w:color w:val="231F20"/>
          <w:w w:val="110"/>
          <w:sz w:val="18"/>
        </w:rPr>
        <w:t>the</w:t>
      </w:r>
      <w:r>
        <w:rPr>
          <w:color w:val="231F20"/>
          <w:spacing w:val="-6"/>
          <w:w w:val="110"/>
          <w:sz w:val="18"/>
        </w:rPr>
        <w:t> </w:t>
      </w:r>
      <w:r>
        <w:rPr>
          <w:color w:val="231F20"/>
          <w:w w:val="110"/>
          <w:sz w:val="18"/>
        </w:rPr>
        <w:t>local</w:t>
      </w:r>
      <w:r>
        <w:rPr>
          <w:color w:val="231F20"/>
          <w:spacing w:val="-5"/>
          <w:w w:val="110"/>
          <w:sz w:val="18"/>
        </w:rPr>
        <w:t> </w:t>
      </w:r>
      <w:r>
        <w:rPr>
          <w:color w:val="231F20"/>
          <w:w w:val="110"/>
          <w:sz w:val="18"/>
        </w:rPr>
        <w:t>church</w:t>
      </w:r>
      <w:r>
        <w:rPr>
          <w:color w:val="231F20"/>
          <w:spacing w:val="-6"/>
          <w:w w:val="110"/>
          <w:sz w:val="18"/>
        </w:rPr>
        <w:t> </w:t>
      </w:r>
      <w:r>
        <w:rPr>
          <w:color w:val="231F20"/>
          <w:w w:val="110"/>
          <w:sz w:val="18"/>
        </w:rPr>
        <w:t>or</w:t>
      </w:r>
      <w:r>
        <w:rPr>
          <w:color w:val="231F20"/>
          <w:spacing w:val="-5"/>
          <w:w w:val="110"/>
          <w:sz w:val="18"/>
        </w:rPr>
        <w:t> </w:t>
      </w:r>
      <w:r>
        <w:rPr>
          <w:color w:val="231F20"/>
          <w:w w:val="110"/>
          <w:sz w:val="18"/>
        </w:rPr>
        <w:t>the</w:t>
      </w:r>
      <w:r>
        <w:rPr>
          <w:color w:val="231F20"/>
          <w:spacing w:val="-6"/>
          <w:w w:val="110"/>
          <w:sz w:val="18"/>
        </w:rPr>
        <w:t> </w:t>
      </w:r>
      <w:r>
        <w:rPr>
          <w:color w:val="231F20"/>
          <w:spacing w:val="-3"/>
          <w:w w:val="110"/>
          <w:sz w:val="18"/>
        </w:rPr>
        <w:t>member.</w:t>
      </w:r>
    </w:p>
    <w:p>
      <w:pPr>
        <w:pStyle w:val="BodyText"/>
        <w:spacing w:before="8"/>
        <w:rPr>
          <w:sz w:val="20"/>
        </w:rPr>
      </w:pPr>
    </w:p>
    <w:p>
      <w:pPr>
        <w:numPr>
          <w:ilvl w:val="0"/>
          <w:numId w:val="93"/>
        </w:numPr>
        <w:tabs>
          <w:tab w:pos="1921" w:val="left" w:leader="none"/>
          <w:tab w:pos="1922" w:val="left" w:leader="none"/>
        </w:tabs>
        <w:spacing w:before="0"/>
        <w:ind w:left="1921" w:right="0" w:hanging="682"/>
        <w:jc w:val="left"/>
        <w:rPr>
          <w:b/>
          <w:sz w:val="18"/>
        </w:rPr>
      </w:pPr>
      <w:r>
        <w:rPr>
          <w:b/>
          <w:color w:val="231F20"/>
          <w:w w:val="110"/>
          <w:sz w:val="18"/>
        </w:rPr>
        <w:t>Deepening our personal </w:t>
      </w:r>
      <w:r>
        <w:rPr>
          <w:b/>
          <w:color w:val="231F20"/>
          <w:spacing w:val="2"/>
          <w:w w:val="110"/>
          <w:sz w:val="18"/>
        </w:rPr>
        <w:t>experience </w:t>
      </w:r>
      <w:r>
        <w:rPr>
          <w:b/>
          <w:color w:val="231F20"/>
          <w:w w:val="110"/>
          <w:sz w:val="18"/>
        </w:rPr>
        <w:t>of</w:t>
      </w:r>
      <w:r>
        <w:rPr>
          <w:b/>
          <w:color w:val="231F20"/>
          <w:spacing w:val="5"/>
          <w:w w:val="110"/>
          <w:sz w:val="18"/>
        </w:rPr>
        <w:t> </w:t>
      </w:r>
      <w:r>
        <w:rPr>
          <w:b/>
          <w:color w:val="231F20"/>
          <w:w w:val="110"/>
          <w:sz w:val="18"/>
        </w:rPr>
        <w:t>membership</w:t>
      </w:r>
    </w:p>
    <w:p>
      <w:pPr>
        <w:pStyle w:val="BodyText"/>
        <w:spacing w:before="2"/>
        <w:rPr>
          <w:b/>
          <w:sz w:val="23"/>
        </w:rPr>
      </w:pPr>
    </w:p>
    <w:p>
      <w:pPr>
        <w:pStyle w:val="ListParagraph"/>
        <w:numPr>
          <w:ilvl w:val="1"/>
          <w:numId w:val="93"/>
        </w:numPr>
        <w:tabs>
          <w:tab w:pos="1921" w:val="left" w:leader="none"/>
          <w:tab w:pos="1922" w:val="left" w:leader="none"/>
        </w:tabs>
        <w:spacing w:line="273" w:lineRule="auto" w:before="0" w:after="0"/>
        <w:ind w:left="1240" w:right="1272" w:firstLine="0"/>
        <w:jc w:val="left"/>
        <w:rPr>
          <w:sz w:val="18"/>
        </w:rPr>
      </w:pPr>
      <w:r>
        <w:rPr>
          <w:color w:val="231F20"/>
          <w:w w:val="110"/>
          <w:sz w:val="18"/>
        </w:rPr>
        <w:t>The Believers’ Baptism </w:t>
      </w:r>
      <w:r>
        <w:rPr>
          <w:color w:val="231F20"/>
          <w:spacing w:val="2"/>
          <w:w w:val="110"/>
          <w:sz w:val="18"/>
        </w:rPr>
        <w:t>service </w:t>
      </w:r>
      <w:r>
        <w:rPr>
          <w:color w:val="231F20"/>
          <w:w w:val="110"/>
          <w:sz w:val="18"/>
        </w:rPr>
        <w:t>in </w:t>
      </w:r>
      <w:r>
        <w:rPr>
          <w:i/>
          <w:color w:val="231F20"/>
          <w:w w:val="110"/>
          <w:sz w:val="18"/>
        </w:rPr>
        <w:t>Worship: from the United Reformed Church </w:t>
      </w:r>
      <w:r>
        <w:rPr>
          <w:color w:val="231F20"/>
          <w:w w:val="110"/>
          <w:sz w:val="18"/>
        </w:rPr>
        <w:t>shows a clear distinction between two </w:t>
      </w:r>
      <w:r>
        <w:rPr>
          <w:color w:val="231F20"/>
          <w:spacing w:val="2"/>
          <w:w w:val="110"/>
          <w:sz w:val="18"/>
        </w:rPr>
        <w:t>aspects </w:t>
      </w:r>
      <w:r>
        <w:rPr>
          <w:color w:val="231F20"/>
          <w:w w:val="110"/>
          <w:sz w:val="18"/>
        </w:rPr>
        <w:t>of membership, </w:t>
      </w:r>
      <w:r>
        <w:rPr>
          <w:color w:val="231F20"/>
          <w:spacing w:val="2"/>
          <w:w w:val="110"/>
          <w:sz w:val="18"/>
        </w:rPr>
        <w:t>expressed </w:t>
      </w:r>
      <w:r>
        <w:rPr>
          <w:color w:val="231F20"/>
          <w:w w:val="110"/>
          <w:sz w:val="18"/>
        </w:rPr>
        <w:t>in two </w:t>
      </w:r>
      <w:r>
        <w:rPr>
          <w:color w:val="231F20"/>
          <w:spacing w:val="2"/>
          <w:w w:val="110"/>
          <w:sz w:val="18"/>
        </w:rPr>
        <w:t>stages</w:t>
      </w:r>
      <w:r>
        <w:rPr>
          <w:color w:val="231F20"/>
          <w:spacing w:val="73"/>
          <w:w w:val="110"/>
          <w:sz w:val="18"/>
        </w:rPr>
        <w:t> </w:t>
      </w:r>
      <w:r>
        <w:rPr>
          <w:color w:val="231F20"/>
          <w:w w:val="110"/>
          <w:sz w:val="18"/>
        </w:rPr>
        <w:t>of the </w:t>
      </w:r>
      <w:r>
        <w:rPr>
          <w:color w:val="231F20"/>
          <w:spacing w:val="2"/>
          <w:w w:val="110"/>
          <w:sz w:val="18"/>
        </w:rPr>
        <w:t>process </w:t>
      </w:r>
      <w:r>
        <w:rPr>
          <w:color w:val="231F20"/>
          <w:w w:val="110"/>
          <w:sz w:val="18"/>
        </w:rPr>
        <w:t>during the</w:t>
      </w:r>
      <w:r>
        <w:rPr>
          <w:color w:val="231F20"/>
          <w:spacing w:val="4"/>
          <w:w w:val="110"/>
          <w:sz w:val="18"/>
        </w:rPr>
        <w:t> </w:t>
      </w:r>
      <w:r>
        <w:rPr>
          <w:color w:val="231F20"/>
          <w:w w:val="110"/>
          <w:sz w:val="18"/>
        </w:rPr>
        <w:t>service:</w:t>
      </w:r>
    </w:p>
    <w:p>
      <w:pPr>
        <w:pStyle w:val="ListParagraph"/>
        <w:numPr>
          <w:ilvl w:val="0"/>
          <w:numId w:val="95"/>
        </w:numPr>
        <w:tabs>
          <w:tab w:pos="1922" w:val="left" w:leader="none"/>
        </w:tabs>
        <w:spacing w:line="273" w:lineRule="auto" w:before="2" w:after="0"/>
        <w:ind w:left="1921" w:right="1366" w:hanging="681"/>
        <w:jc w:val="both"/>
        <w:rPr>
          <w:sz w:val="18"/>
        </w:rPr>
      </w:pPr>
      <w:r>
        <w:rPr>
          <w:color w:val="231F20"/>
          <w:w w:val="110"/>
          <w:sz w:val="18"/>
        </w:rPr>
        <w:t>An affirmation of Trinitarian faith with repentance and turning to Christ followed by baptism and the declaration “God receives you by baptism into the one, holy catholic and apostolic</w:t>
      </w:r>
      <w:r>
        <w:rPr>
          <w:color w:val="231F20"/>
          <w:spacing w:val="3"/>
          <w:w w:val="110"/>
          <w:sz w:val="18"/>
        </w:rPr>
        <w:t> </w:t>
      </w:r>
      <w:r>
        <w:rPr>
          <w:color w:val="231F20"/>
          <w:w w:val="110"/>
          <w:sz w:val="18"/>
        </w:rPr>
        <w:t>Church”.</w:t>
      </w:r>
    </w:p>
    <w:p>
      <w:pPr>
        <w:spacing w:after="0" w:line="273" w:lineRule="auto"/>
        <w:jc w:val="both"/>
        <w:rPr>
          <w:sz w:val="18"/>
        </w:rPr>
        <w:sectPr>
          <w:pgSz w:w="11910" w:h="16840"/>
          <w:pgMar w:header="558" w:footer="564" w:top="820" w:bottom="760" w:left="460" w:right="0"/>
        </w:sectPr>
      </w:pPr>
    </w:p>
    <w:p>
      <w:pPr>
        <w:pStyle w:val="BodyText"/>
        <w:spacing w:before="9"/>
        <w:rPr>
          <w:sz w:val="13"/>
        </w:rPr>
      </w:pPr>
    </w:p>
    <w:p>
      <w:pPr>
        <w:pStyle w:val="ListParagraph"/>
        <w:numPr>
          <w:ilvl w:val="0"/>
          <w:numId w:val="95"/>
        </w:numPr>
        <w:tabs>
          <w:tab w:pos="1354" w:val="left" w:leader="none"/>
          <w:tab w:pos="1355" w:val="left" w:leader="none"/>
        </w:tabs>
        <w:spacing w:line="273" w:lineRule="auto" w:before="101" w:after="0"/>
        <w:ind w:left="1354" w:right="1736" w:hanging="681"/>
        <w:jc w:val="left"/>
        <w:rPr>
          <w:sz w:val="18"/>
        </w:rPr>
      </w:pPr>
      <w:r>
        <w:rPr>
          <w:color w:val="231F20"/>
          <w:w w:val="110"/>
          <w:sz w:val="18"/>
        </w:rPr>
        <w:t>Reception into full privileges and responsibilities of church membership through making promises of commitment to a life of worship and fellowship; accepting the </w:t>
      </w:r>
      <w:r>
        <w:rPr>
          <w:color w:val="231F20"/>
          <w:spacing w:val="2"/>
          <w:w w:val="110"/>
          <w:sz w:val="18"/>
        </w:rPr>
        <w:t>gift </w:t>
      </w:r>
      <w:r>
        <w:rPr>
          <w:color w:val="231F20"/>
          <w:w w:val="110"/>
          <w:sz w:val="18"/>
        </w:rPr>
        <w:t>and cost of following Christ; and proclaiming the good news of God in Christ.  A promise, made by the congregation, is followed by </w:t>
      </w:r>
      <w:r>
        <w:rPr>
          <w:color w:val="231F20"/>
          <w:spacing w:val="-4"/>
          <w:w w:val="110"/>
          <w:sz w:val="18"/>
        </w:rPr>
        <w:t>“… </w:t>
      </w:r>
      <w:r>
        <w:rPr>
          <w:color w:val="231F20"/>
          <w:w w:val="110"/>
          <w:sz w:val="18"/>
        </w:rPr>
        <w:t>we welcome you into membership of this congregation of the United Reformed</w:t>
      </w:r>
      <w:r>
        <w:rPr>
          <w:color w:val="231F20"/>
          <w:spacing w:val="33"/>
          <w:w w:val="110"/>
          <w:sz w:val="18"/>
        </w:rPr>
        <w:t> </w:t>
      </w:r>
      <w:r>
        <w:rPr>
          <w:color w:val="231F20"/>
          <w:w w:val="110"/>
          <w:sz w:val="18"/>
        </w:rPr>
        <w:t>Church”.</w:t>
      </w:r>
    </w:p>
    <w:p>
      <w:pPr>
        <w:pStyle w:val="BodyText"/>
        <w:spacing w:before="10"/>
        <w:rPr>
          <w:sz w:val="20"/>
        </w:rPr>
      </w:pPr>
    </w:p>
    <w:p>
      <w:pPr>
        <w:pStyle w:val="ListParagraph"/>
        <w:numPr>
          <w:ilvl w:val="1"/>
          <w:numId w:val="93"/>
        </w:numPr>
        <w:tabs>
          <w:tab w:pos="1354" w:val="left" w:leader="none"/>
          <w:tab w:pos="1355" w:val="left" w:leader="none"/>
        </w:tabs>
        <w:spacing w:line="240" w:lineRule="auto" w:before="0" w:after="0"/>
        <w:ind w:left="1354" w:right="0" w:hanging="682"/>
        <w:jc w:val="left"/>
        <w:rPr>
          <w:sz w:val="18"/>
        </w:rPr>
      </w:pPr>
      <w:r>
        <w:rPr>
          <w:color w:val="231F20"/>
          <w:w w:val="110"/>
          <w:sz w:val="18"/>
        </w:rPr>
        <w:t>The first of these </w:t>
      </w:r>
      <w:r>
        <w:rPr>
          <w:color w:val="231F20"/>
          <w:spacing w:val="2"/>
          <w:w w:val="110"/>
          <w:sz w:val="18"/>
        </w:rPr>
        <w:t>stages </w:t>
      </w:r>
      <w:r>
        <w:rPr>
          <w:color w:val="231F20"/>
          <w:w w:val="110"/>
          <w:sz w:val="18"/>
        </w:rPr>
        <w:t>is the unrepeatable </w:t>
      </w:r>
      <w:r>
        <w:rPr>
          <w:color w:val="231F20"/>
          <w:spacing w:val="2"/>
          <w:w w:val="110"/>
          <w:sz w:val="18"/>
        </w:rPr>
        <w:t>entry </w:t>
      </w:r>
      <w:r>
        <w:rPr>
          <w:color w:val="231F20"/>
          <w:w w:val="110"/>
          <w:sz w:val="18"/>
        </w:rPr>
        <w:t>into the universal</w:t>
      </w:r>
      <w:r>
        <w:rPr>
          <w:color w:val="231F20"/>
          <w:spacing w:val="40"/>
          <w:w w:val="110"/>
          <w:sz w:val="18"/>
        </w:rPr>
        <w:t> </w:t>
      </w:r>
      <w:r>
        <w:rPr>
          <w:color w:val="231F20"/>
          <w:w w:val="110"/>
          <w:sz w:val="18"/>
        </w:rPr>
        <w:t>Church</w:t>
      </w:r>
    </w:p>
    <w:p>
      <w:pPr>
        <w:pStyle w:val="BodyText"/>
        <w:spacing w:line="273" w:lineRule="auto" w:before="31"/>
        <w:ind w:left="673" w:right="1593"/>
      </w:pPr>
      <w:r>
        <w:rPr>
          <w:color w:val="231F20"/>
          <w:w w:val="110"/>
        </w:rPr>
        <w:t>of Jesus Christ. The second stage has long been recognised as transferable between congregations when a person goes to live somewhere else, or for other reasons wants to join another fellowship.</w:t>
      </w:r>
    </w:p>
    <w:p>
      <w:pPr>
        <w:pStyle w:val="BodyText"/>
        <w:spacing w:before="9"/>
        <w:rPr>
          <w:sz w:val="20"/>
        </w:rPr>
      </w:pPr>
    </w:p>
    <w:p>
      <w:pPr>
        <w:pStyle w:val="ListParagraph"/>
        <w:numPr>
          <w:ilvl w:val="1"/>
          <w:numId w:val="93"/>
        </w:numPr>
        <w:tabs>
          <w:tab w:pos="1354" w:val="left" w:leader="none"/>
          <w:tab w:pos="1355" w:val="left" w:leader="none"/>
        </w:tabs>
        <w:spacing w:line="273" w:lineRule="auto" w:before="0" w:after="0"/>
        <w:ind w:left="673" w:right="2163" w:hanging="1"/>
        <w:jc w:val="left"/>
        <w:rPr>
          <w:sz w:val="18"/>
        </w:rPr>
      </w:pPr>
      <w:r>
        <w:rPr>
          <w:color w:val="231F20"/>
          <w:w w:val="110"/>
          <w:sz w:val="18"/>
        </w:rPr>
        <w:t>In the </w:t>
      </w:r>
      <w:r>
        <w:rPr>
          <w:color w:val="231F20"/>
          <w:spacing w:val="2"/>
          <w:w w:val="110"/>
          <w:sz w:val="18"/>
        </w:rPr>
        <w:t>service </w:t>
      </w:r>
      <w:r>
        <w:rPr>
          <w:color w:val="231F20"/>
          <w:w w:val="110"/>
          <w:sz w:val="18"/>
        </w:rPr>
        <w:t>of believer’s Baptism </w:t>
      </w:r>
      <w:r>
        <w:rPr>
          <w:color w:val="231F20"/>
          <w:spacing w:val="-4"/>
          <w:w w:val="110"/>
          <w:sz w:val="18"/>
        </w:rPr>
        <w:t>(and </w:t>
      </w:r>
      <w:r>
        <w:rPr>
          <w:color w:val="231F20"/>
          <w:w w:val="110"/>
          <w:sz w:val="18"/>
        </w:rPr>
        <w:t>in the Confirmation </w:t>
      </w:r>
      <w:r>
        <w:rPr>
          <w:color w:val="231F20"/>
          <w:spacing w:val="2"/>
          <w:w w:val="110"/>
          <w:sz w:val="18"/>
        </w:rPr>
        <w:t>service </w:t>
      </w:r>
      <w:r>
        <w:rPr>
          <w:color w:val="231F20"/>
          <w:w w:val="110"/>
          <w:sz w:val="18"/>
        </w:rPr>
        <w:t>for those who were baptized as infants) membership of the Church catholic and of its United Reformed expression, is attained through membership of a local church.  The only way</w:t>
      </w:r>
      <w:r>
        <w:rPr>
          <w:color w:val="231F20"/>
          <w:spacing w:val="8"/>
          <w:w w:val="110"/>
          <w:sz w:val="18"/>
        </w:rPr>
        <w:t> </w:t>
      </w:r>
      <w:r>
        <w:rPr>
          <w:color w:val="231F20"/>
          <w:w w:val="110"/>
          <w:sz w:val="18"/>
        </w:rPr>
        <w:t>to</w:t>
      </w:r>
      <w:r>
        <w:rPr>
          <w:color w:val="231F20"/>
          <w:spacing w:val="8"/>
          <w:w w:val="110"/>
          <w:sz w:val="18"/>
        </w:rPr>
        <w:t> </w:t>
      </w:r>
      <w:r>
        <w:rPr>
          <w:color w:val="231F20"/>
          <w:w w:val="110"/>
          <w:sz w:val="18"/>
        </w:rPr>
        <w:t>become</w:t>
      </w:r>
      <w:r>
        <w:rPr>
          <w:color w:val="231F20"/>
          <w:spacing w:val="8"/>
          <w:w w:val="110"/>
          <w:sz w:val="18"/>
        </w:rPr>
        <w:t> </w:t>
      </w:r>
      <w:r>
        <w:rPr>
          <w:color w:val="231F20"/>
          <w:w w:val="110"/>
          <w:sz w:val="18"/>
        </w:rPr>
        <w:t>a</w:t>
      </w:r>
      <w:r>
        <w:rPr>
          <w:color w:val="231F20"/>
          <w:spacing w:val="8"/>
          <w:w w:val="110"/>
          <w:sz w:val="18"/>
        </w:rPr>
        <w:t> </w:t>
      </w:r>
      <w:r>
        <w:rPr>
          <w:color w:val="231F20"/>
          <w:w w:val="110"/>
          <w:sz w:val="18"/>
        </w:rPr>
        <w:t>member</w:t>
      </w:r>
      <w:r>
        <w:rPr>
          <w:color w:val="231F20"/>
          <w:spacing w:val="8"/>
          <w:w w:val="110"/>
          <w:sz w:val="18"/>
        </w:rPr>
        <w:t> </w:t>
      </w:r>
      <w:r>
        <w:rPr>
          <w:color w:val="231F20"/>
          <w:w w:val="110"/>
          <w:sz w:val="18"/>
        </w:rPr>
        <w:t>of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United</w:t>
      </w:r>
      <w:r>
        <w:rPr>
          <w:color w:val="231F20"/>
          <w:spacing w:val="8"/>
          <w:w w:val="110"/>
          <w:sz w:val="18"/>
        </w:rPr>
        <w:t> </w:t>
      </w:r>
      <w:r>
        <w:rPr>
          <w:color w:val="231F20"/>
          <w:w w:val="110"/>
          <w:sz w:val="18"/>
        </w:rPr>
        <w:t>Reformed</w:t>
      </w:r>
      <w:r>
        <w:rPr>
          <w:color w:val="231F20"/>
          <w:spacing w:val="8"/>
          <w:w w:val="110"/>
          <w:sz w:val="18"/>
        </w:rPr>
        <w:t> </w:t>
      </w:r>
      <w:r>
        <w:rPr>
          <w:color w:val="231F20"/>
          <w:w w:val="110"/>
          <w:sz w:val="18"/>
        </w:rPr>
        <w:t>Church</w:t>
      </w:r>
      <w:r>
        <w:rPr>
          <w:color w:val="231F20"/>
          <w:spacing w:val="8"/>
          <w:w w:val="110"/>
          <w:sz w:val="18"/>
        </w:rPr>
        <w:t> </w:t>
      </w:r>
      <w:r>
        <w:rPr>
          <w:color w:val="231F20"/>
          <w:w w:val="110"/>
          <w:sz w:val="18"/>
        </w:rPr>
        <w:t>is</w:t>
      </w:r>
      <w:r>
        <w:rPr>
          <w:color w:val="231F20"/>
          <w:spacing w:val="8"/>
          <w:w w:val="110"/>
          <w:sz w:val="18"/>
        </w:rPr>
        <w:t> </w:t>
      </w:r>
      <w:r>
        <w:rPr>
          <w:color w:val="231F20"/>
          <w:w w:val="110"/>
          <w:sz w:val="18"/>
        </w:rPr>
        <w:t>through</w:t>
      </w:r>
      <w:r>
        <w:rPr>
          <w:color w:val="231F20"/>
          <w:spacing w:val="8"/>
          <w:w w:val="110"/>
          <w:sz w:val="18"/>
        </w:rPr>
        <w:t> </w:t>
      </w:r>
      <w:r>
        <w:rPr>
          <w:color w:val="231F20"/>
          <w:w w:val="110"/>
          <w:sz w:val="18"/>
        </w:rPr>
        <w:t>becoming</w:t>
      </w:r>
      <w:r>
        <w:rPr>
          <w:color w:val="231F20"/>
          <w:spacing w:val="8"/>
          <w:w w:val="110"/>
          <w:sz w:val="18"/>
        </w:rPr>
        <w:t> </w:t>
      </w:r>
      <w:r>
        <w:rPr>
          <w:color w:val="231F20"/>
          <w:w w:val="110"/>
          <w:sz w:val="18"/>
        </w:rPr>
        <w:t>a</w:t>
      </w:r>
    </w:p>
    <w:p>
      <w:pPr>
        <w:pStyle w:val="BodyText"/>
        <w:spacing w:line="273" w:lineRule="auto" w:before="2"/>
        <w:ind w:left="673" w:right="1593"/>
      </w:pPr>
      <w:r>
        <w:rPr>
          <w:color w:val="231F20"/>
          <w:w w:val="110"/>
        </w:rPr>
        <w:t>member of a local church, by believer’s baptism, confirmation, or transfer from another church. Denominational membership is an automatic consequence of and part of the commitment of local membership.</w:t>
      </w:r>
    </w:p>
    <w:p>
      <w:pPr>
        <w:pStyle w:val="BodyText"/>
        <w:spacing w:before="9"/>
        <w:rPr>
          <w:sz w:val="20"/>
        </w:rPr>
      </w:pPr>
    </w:p>
    <w:p>
      <w:pPr>
        <w:pStyle w:val="ListParagraph"/>
        <w:numPr>
          <w:ilvl w:val="1"/>
          <w:numId w:val="93"/>
        </w:numPr>
        <w:tabs>
          <w:tab w:pos="1354" w:val="left" w:leader="none"/>
          <w:tab w:pos="1355" w:val="left" w:leader="none"/>
        </w:tabs>
        <w:spacing w:line="240" w:lineRule="auto" w:before="0" w:after="0"/>
        <w:ind w:left="1354" w:right="0" w:hanging="682"/>
        <w:jc w:val="left"/>
        <w:rPr>
          <w:sz w:val="18"/>
        </w:rPr>
      </w:pPr>
      <w:r>
        <w:rPr>
          <w:color w:val="231F20"/>
          <w:w w:val="110"/>
          <w:sz w:val="18"/>
        </w:rPr>
        <w:t>Among the reasons some people have been </w:t>
      </w:r>
      <w:r>
        <w:rPr>
          <w:color w:val="231F20"/>
          <w:spacing w:val="2"/>
          <w:w w:val="110"/>
          <w:sz w:val="18"/>
        </w:rPr>
        <w:t>reluctant </w:t>
      </w:r>
      <w:r>
        <w:rPr>
          <w:color w:val="231F20"/>
          <w:w w:val="110"/>
          <w:sz w:val="18"/>
        </w:rPr>
        <w:t>to become </w:t>
      </w:r>
      <w:r>
        <w:rPr>
          <w:color w:val="231F20"/>
          <w:spacing w:val="2"/>
          <w:w w:val="110"/>
          <w:sz w:val="18"/>
        </w:rPr>
        <w:t>members</w:t>
      </w:r>
      <w:r>
        <w:rPr>
          <w:color w:val="231F20"/>
          <w:spacing w:val="37"/>
          <w:w w:val="110"/>
          <w:sz w:val="18"/>
        </w:rPr>
        <w:t> </w:t>
      </w:r>
      <w:r>
        <w:rPr>
          <w:color w:val="231F20"/>
          <w:w w:val="110"/>
          <w:sz w:val="18"/>
        </w:rPr>
        <w:t>are:</w:t>
      </w:r>
    </w:p>
    <w:p>
      <w:pPr>
        <w:pStyle w:val="ListParagraph"/>
        <w:numPr>
          <w:ilvl w:val="0"/>
          <w:numId w:val="2"/>
        </w:numPr>
        <w:tabs>
          <w:tab w:pos="1354" w:val="left" w:leader="none"/>
          <w:tab w:pos="1355" w:val="left" w:leader="none"/>
        </w:tabs>
        <w:spacing w:line="277" w:lineRule="exact" w:before="1" w:after="0"/>
        <w:ind w:left="1354" w:right="0" w:hanging="682"/>
        <w:jc w:val="left"/>
        <w:rPr>
          <w:color w:val="231F20"/>
          <w:sz w:val="25"/>
        </w:rPr>
      </w:pPr>
      <w:r>
        <w:rPr>
          <w:color w:val="231F20"/>
          <w:w w:val="110"/>
          <w:sz w:val="18"/>
        </w:rPr>
        <w:t>feeling it doesn’t make a</w:t>
      </w:r>
      <w:r>
        <w:rPr>
          <w:color w:val="231F20"/>
          <w:spacing w:val="5"/>
          <w:w w:val="110"/>
          <w:sz w:val="18"/>
        </w:rPr>
        <w:t> </w:t>
      </w:r>
      <w:r>
        <w:rPr>
          <w:color w:val="231F20"/>
          <w:spacing w:val="2"/>
          <w:w w:val="110"/>
          <w:sz w:val="18"/>
        </w:rPr>
        <w:t>difference</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being too shy to stand up in</w:t>
      </w:r>
      <w:r>
        <w:rPr>
          <w:color w:val="231F20"/>
          <w:spacing w:val="8"/>
          <w:w w:val="110"/>
          <w:sz w:val="18"/>
        </w:rPr>
        <w:t> </w:t>
      </w:r>
      <w:r>
        <w:rPr>
          <w:color w:val="231F20"/>
          <w:w w:val="110"/>
          <w:sz w:val="18"/>
        </w:rPr>
        <w:t>public</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not having seen it done </w:t>
      </w:r>
      <w:r>
        <w:rPr>
          <w:color w:val="231F20"/>
          <w:spacing w:val="2"/>
          <w:w w:val="110"/>
          <w:sz w:val="18"/>
        </w:rPr>
        <w:t>before because </w:t>
      </w:r>
      <w:r>
        <w:rPr>
          <w:color w:val="231F20"/>
          <w:w w:val="110"/>
          <w:sz w:val="18"/>
        </w:rPr>
        <w:t>it happens so rarely in that</w:t>
      </w:r>
      <w:r>
        <w:rPr>
          <w:color w:val="231F20"/>
          <w:spacing w:val="33"/>
          <w:w w:val="110"/>
          <w:sz w:val="18"/>
        </w:rPr>
        <w:t> </w:t>
      </w:r>
      <w:r>
        <w:rPr>
          <w:color w:val="231F20"/>
          <w:w w:val="110"/>
          <w:sz w:val="18"/>
        </w:rPr>
        <w:t>church</w:t>
      </w:r>
    </w:p>
    <w:p>
      <w:pPr>
        <w:pStyle w:val="ListParagraph"/>
        <w:numPr>
          <w:ilvl w:val="0"/>
          <w:numId w:val="2"/>
        </w:numPr>
        <w:tabs>
          <w:tab w:pos="1354" w:val="left" w:leader="none"/>
          <w:tab w:pos="1355" w:val="left" w:leader="none"/>
        </w:tabs>
        <w:spacing w:line="218" w:lineRule="auto" w:before="0" w:after="0"/>
        <w:ind w:left="1354" w:right="1719" w:hanging="681"/>
        <w:jc w:val="left"/>
        <w:rPr>
          <w:color w:val="231F20"/>
          <w:sz w:val="25"/>
        </w:rPr>
      </w:pPr>
      <w:r>
        <w:rPr>
          <w:color w:val="231F20"/>
          <w:w w:val="110"/>
          <w:sz w:val="18"/>
        </w:rPr>
        <w:t>their acceptance of a cultural assumption that belief is inward and personal rather than outward and</w:t>
      </w:r>
      <w:r>
        <w:rPr>
          <w:color w:val="231F20"/>
          <w:spacing w:val="4"/>
          <w:w w:val="110"/>
          <w:sz w:val="18"/>
        </w:rPr>
        <w:t> </w:t>
      </w:r>
      <w:r>
        <w:rPr>
          <w:color w:val="231F20"/>
          <w:w w:val="110"/>
          <w:sz w:val="18"/>
        </w:rPr>
        <w:t>corporate</w:t>
      </w:r>
    </w:p>
    <w:p>
      <w:pPr>
        <w:pStyle w:val="ListParagraph"/>
        <w:numPr>
          <w:ilvl w:val="0"/>
          <w:numId w:val="2"/>
        </w:numPr>
        <w:tabs>
          <w:tab w:pos="1354" w:val="left" w:leader="none"/>
          <w:tab w:pos="1355" w:val="left" w:leader="none"/>
        </w:tabs>
        <w:spacing w:line="277" w:lineRule="exact" w:before="0" w:after="0"/>
        <w:ind w:left="1354" w:right="0" w:hanging="682"/>
        <w:jc w:val="left"/>
        <w:rPr>
          <w:color w:val="231F20"/>
          <w:sz w:val="25"/>
        </w:rPr>
      </w:pPr>
      <w:r>
        <w:rPr>
          <w:color w:val="231F20"/>
          <w:w w:val="110"/>
          <w:sz w:val="18"/>
        </w:rPr>
        <w:t>not wanting to make a permanent</w:t>
      </w:r>
      <w:r>
        <w:rPr>
          <w:color w:val="231F20"/>
          <w:spacing w:val="8"/>
          <w:w w:val="110"/>
          <w:sz w:val="18"/>
        </w:rPr>
        <w:t> </w:t>
      </w:r>
      <w:r>
        <w:rPr>
          <w:color w:val="231F20"/>
          <w:w w:val="110"/>
          <w:sz w:val="18"/>
        </w:rPr>
        <w:t>commitment</w:t>
      </w:r>
    </w:p>
    <w:p>
      <w:pPr>
        <w:pStyle w:val="ListParagraph"/>
        <w:numPr>
          <w:ilvl w:val="0"/>
          <w:numId w:val="2"/>
        </w:numPr>
        <w:tabs>
          <w:tab w:pos="1354" w:val="left" w:leader="none"/>
          <w:tab w:pos="1355" w:val="left" w:leader="none"/>
        </w:tabs>
        <w:spacing w:line="218" w:lineRule="auto" w:before="0" w:after="0"/>
        <w:ind w:left="1354" w:right="1710" w:hanging="681"/>
        <w:jc w:val="left"/>
        <w:rPr>
          <w:color w:val="231F20"/>
          <w:sz w:val="25"/>
        </w:rPr>
      </w:pPr>
      <w:r>
        <w:rPr>
          <w:color w:val="231F20"/>
          <w:w w:val="110"/>
          <w:sz w:val="18"/>
        </w:rPr>
        <w:t>having been active in church life for so long that it is embarrassing to make a new member’s</w:t>
      </w:r>
      <w:r>
        <w:rPr>
          <w:color w:val="231F20"/>
          <w:spacing w:val="1"/>
          <w:w w:val="110"/>
          <w:sz w:val="18"/>
        </w:rPr>
        <w:t> </w:t>
      </w:r>
      <w:r>
        <w:rPr>
          <w:color w:val="231F20"/>
          <w:w w:val="110"/>
          <w:sz w:val="18"/>
        </w:rPr>
        <w:t>commitment</w:t>
      </w:r>
    </w:p>
    <w:p>
      <w:pPr>
        <w:pStyle w:val="ListParagraph"/>
        <w:numPr>
          <w:ilvl w:val="0"/>
          <w:numId w:val="2"/>
        </w:numPr>
        <w:tabs>
          <w:tab w:pos="1354" w:val="left" w:leader="none"/>
          <w:tab w:pos="1355" w:val="left" w:leader="none"/>
        </w:tabs>
        <w:spacing w:line="250" w:lineRule="exact" w:before="6" w:after="0"/>
        <w:ind w:left="1354" w:right="1896" w:hanging="681"/>
        <w:jc w:val="left"/>
        <w:rPr>
          <w:color w:val="231F20"/>
          <w:sz w:val="25"/>
        </w:rPr>
      </w:pPr>
      <w:r>
        <w:rPr>
          <w:color w:val="231F20"/>
          <w:w w:val="110"/>
          <w:sz w:val="18"/>
        </w:rPr>
        <w:t>not being </w:t>
      </w:r>
      <w:r>
        <w:rPr>
          <w:color w:val="231F20"/>
          <w:spacing w:val="2"/>
          <w:w w:val="110"/>
          <w:sz w:val="18"/>
        </w:rPr>
        <w:t>part </w:t>
      </w:r>
      <w:r>
        <w:rPr>
          <w:color w:val="231F20"/>
          <w:w w:val="110"/>
          <w:sz w:val="18"/>
        </w:rPr>
        <w:t>of the ‘main’ Sunday congregation even though active in the local church in other ways, </w:t>
      </w:r>
      <w:r>
        <w:rPr>
          <w:color w:val="231F20"/>
          <w:spacing w:val="2"/>
          <w:w w:val="110"/>
          <w:sz w:val="18"/>
        </w:rPr>
        <w:t>because </w:t>
      </w:r>
      <w:r>
        <w:rPr>
          <w:color w:val="231F20"/>
          <w:w w:val="110"/>
          <w:sz w:val="18"/>
        </w:rPr>
        <w:t>of time availability, </w:t>
      </w:r>
      <w:r>
        <w:rPr>
          <w:color w:val="231F20"/>
          <w:spacing w:val="2"/>
          <w:w w:val="110"/>
          <w:sz w:val="18"/>
        </w:rPr>
        <w:t>preferred </w:t>
      </w:r>
      <w:r>
        <w:rPr>
          <w:color w:val="231F20"/>
          <w:w w:val="110"/>
          <w:sz w:val="18"/>
        </w:rPr>
        <w:t>worship style, or other reason</w:t>
      </w:r>
    </w:p>
    <w:p>
      <w:pPr>
        <w:pStyle w:val="ListParagraph"/>
        <w:numPr>
          <w:ilvl w:val="0"/>
          <w:numId w:val="2"/>
        </w:numPr>
        <w:tabs>
          <w:tab w:pos="1354" w:val="left" w:leader="none"/>
          <w:tab w:pos="1355" w:val="left" w:leader="none"/>
        </w:tabs>
        <w:spacing w:line="266" w:lineRule="exact" w:before="0" w:after="0"/>
        <w:ind w:left="1354" w:right="0" w:hanging="682"/>
        <w:jc w:val="left"/>
        <w:rPr>
          <w:color w:val="231F20"/>
          <w:sz w:val="25"/>
        </w:rPr>
      </w:pPr>
      <w:r>
        <w:rPr>
          <w:color w:val="231F20"/>
          <w:w w:val="110"/>
          <w:sz w:val="18"/>
        </w:rPr>
        <w:t>the church would have to increase its annual</w:t>
      </w:r>
      <w:r>
        <w:rPr>
          <w:color w:val="231F20"/>
          <w:spacing w:val="13"/>
          <w:w w:val="110"/>
          <w:sz w:val="18"/>
        </w:rPr>
        <w:t> </w:t>
      </w:r>
      <w:r>
        <w:rPr>
          <w:color w:val="231F20"/>
          <w:w w:val="110"/>
          <w:sz w:val="18"/>
        </w:rPr>
        <w:t>levy</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the requirement to attend preparation</w:t>
      </w:r>
      <w:r>
        <w:rPr>
          <w:color w:val="231F20"/>
          <w:spacing w:val="9"/>
          <w:w w:val="110"/>
          <w:sz w:val="18"/>
        </w:rPr>
        <w:t> </w:t>
      </w:r>
      <w:r>
        <w:rPr>
          <w:color w:val="231F20"/>
          <w:w w:val="110"/>
          <w:sz w:val="18"/>
        </w:rPr>
        <w:t>classes</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feeling “not good</w:t>
      </w:r>
      <w:r>
        <w:rPr>
          <w:color w:val="231F20"/>
          <w:spacing w:val="3"/>
          <w:w w:val="110"/>
          <w:sz w:val="18"/>
        </w:rPr>
        <w:t> </w:t>
      </w:r>
      <w:r>
        <w:rPr>
          <w:color w:val="231F20"/>
          <w:w w:val="110"/>
          <w:sz w:val="18"/>
        </w:rPr>
        <w:t>enough”</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feeling unable to commit to being more involved in church</w:t>
      </w:r>
      <w:r>
        <w:rPr>
          <w:color w:val="231F20"/>
          <w:spacing w:val="20"/>
          <w:w w:val="110"/>
          <w:sz w:val="18"/>
        </w:rPr>
        <w:t> </w:t>
      </w:r>
      <w:r>
        <w:rPr>
          <w:color w:val="231F20"/>
          <w:w w:val="110"/>
          <w:sz w:val="18"/>
        </w:rPr>
        <w:t>life</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being unwilling to withdraw </w:t>
      </w:r>
      <w:r>
        <w:rPr>
          <w:color w:val="231F20"/>
          <w:spacing w:val="2"/>
          <w:w w:val="110"/>
          <w:sz w:val="18"/>
        </w:rPr>
        <w:t>from </w:t>
      </w:r>
      <w:r>
        <w:rPr>
          <w:color w:val="231F20"/>
          <w:w w:val="110"/>
          <w:sz w:val="18"/>
        </w:rPr>
        <w:t>membership in another</w:t>
      </w:r>
      <w:r>
        <w:rPr>
          <w:color w:val="231F20"/>
          <w:spacing w:val="16"/>
          <w:w w:val="110"/>
          <w:sz w:val="18"/>
        </w:rPr>
        <w:t> </w:t>
      </w:r>
      <w:r>
        <w:rPr>
          <w:color w:val="231F20"/>
          <w:w w:val="110"/>
          <w:sz w:val="18"/>
        </w:rPr>
        <w:t>church</w:t>
      </w:r>
    </w:p>
    <w:p>
      <w:pPr>
        <w:pStyle w:val="ListParagraph"/>
        <w:numPr>
          <w:ilvl w:val="0"/>
          <w:numId w:val="2"/>
        </w:numPr>
        <w:tabs>
          <w:tab w:pos="1354" w:val="left" w:leader="none"/>
          <w:tab w:pos="1355" w:val="left" w:leader="none"/>
        </w:tabs>
        <w:spacing w:line="250" w:lineRule="exact" w:before="0" w:after="0"/>
        <w:ind w:left="1354" w:right="0" w:hanging="682"/>
        <w:jc w:val="left"/>
        <w:rPr>
          <w:color w:val="231F20"/>
          <w:sz w:val="25"/>
        </w:rPr>
      </w:pPr>
      <w:r>
        <w:rPr>
          <w:color w:val="231F20"/>
          <w:w w:val="110"/>
          <w:sz w:val="18"/>
        </w:rPr>
        <w:t>not wanting to go through another ceremony when transferring</w:t>
      </w:r>
      <w:r>
        <w:rPr>
          <w:color w:val="231F20"/>
          <w:spacing w:val="29"/>
          <w:w w:val="110"/>
          <w:sz w:val="18"/>
        </w:rPr>
        <w:t> </w:t>
      </w:r>
      <w:r>
        <w:rPr>
          <w:color w:val="231F20"/>
          <w:w w:val="110"/>
          <w:sz w:val="18"/>
        </w:rPr>
        <w:t>church</w:t>
      </w:r>
    </w:p>
    <w:p>
      <w:pPr>
        <w:pStyle w:val="ListParagraph"/>
        <w:numPr>
          <w:ilvl w:val="0"/>
          <w:numId w:val="2"/>
        </w:numPr>
        <w:tabs>
          <w:tab w:pos="1354" w:val="left" w:leader="none"/>
          <w:tab w:pos="1355" w:val="left" w:leader="none"/>
        </w:tabs>
        <w:spacing w:line="218" w:lineRule="auto" w:before="0" w:after="0"/>
        <w:ind w:left="1354" w:right="2909" w:hanging="681"/>
        <w:jc w:val="left"/>
        <w:rPr>
          <w:color w:val="231F20"/>
          <w:sz w:val="25"/>
        </w:rPr>
      </w:pPr>
      <w:r>
        <w:rPr>
          <w:color w:val="231F20"/>
          <w:w w:val="110"/>
          <w:sz w:val="18"/>
        </w:rPr>
        <w:t>being so active regionally, denominationally, or ecumenically that local involvement can’t be</w:t>
      </w:r>
      <w:r>
        <w:rPr>
          <w:color w:val="231F20"/>
          <w:spacing w:val="3"/>
          <w:w w:val="110"/>
          <w:sz w:val="18"/>
        </w:rPr>
        <w:t> </w:t>
      </w:r>
      <w:r>
        <w:rPr>
          <w:color w:val="231F20"/>
          <w:w w:val="110"/>
          <w:sz w:val="18"/>
        </w:rPr>
        <w:t>great.</w:t>
      </w:r>
    </w:p>
    <w:p>
      <w:pPr>
        <w:pStyle w:val="BodyText"/>
        <w:spacing w:before="10"/>
        <w:rPr>
          <w:sz w:val="22"/>
        </w:rPr>
      </w:pPr>
    </w:p>
    <w:p>
      <w:pPr>
        <w:pStyle w:val="ListParagraph"/>
        <w:numPr>
          <w:ilvl w:val="1"/>
          <w:numId w:val="93"/>
        </w:numPr>
        <w:tabs>
          <w:tab w:pos="1354" w:val="left" w:leader="none"/>
          <w:tab w:pos="1355" w:val="left" w:leader="none"/>
        </w:tabs>
        <w:spacing w:line="273" w:lineRule="auto" w:before="1" w:after="0"/>
        <w:ind w:left="673" w:right="2130" w:firstLine="0"/>
        <w:jc w:val="left"/>
        <w:rPr>
          <w:sz w:val="18"/>
        </w:rPr>
      </w:pPr>
      <w:r>
        <w:rPr>
          <w:color w:val="231F20"/>
          <w:w w:val="110"/>
          <w:sz w:val="18"/>
        </w:rPr>
        <w:t>Some of these concerns could be answered by </w:t>
      </w:r>
      <w:r>
        <w:rPr>
          <w:b/>
          <w:color w:val="231F20"/>
          <w:w w:val="110"/>
          <w:sz w:val="18"/>
        </w:rPr>
        <w:t>holding an annual Covenant Renewal</w:t>
      </w:r>
      <w:r>
        <w:rPr>
          <w:color w:val="231F20"/>
          <w:w w:val="110"/>
          <w:sz w:val="18"/>
        </w:rPr>
        <w:t>, which would have other advantages for the whole</w:t>
      </w:r>
      <w:r>
        <w:rPr>
          <w:color w:val="231F20"/>
          <w:spacing w:val="44"/>
          <w:w w:val="110"/>
          <w:sz w:val="18"/>
        </w:rPr>
        <w:t> </w:t>
      </w:r>
      <w:r>
        <w:rPr>
          <w:color w:val="231F20"/>
          <w:w w:val="110"/>
          <w:sz w:val="18"/>
        </w:rPr>
        <w:t>congregation:</w:t>
      </w:r>
    </w:p>
    <w:p>
      <w:pPr>
        <w:pStyle w:val="ListParagraph"/>
        <w:numPr>
          <w:ilvl w:val="0"/>
          <w:numId w:val="2"/>
        </w:numPr>
        <w:tabs>
          <w:tab w:pos="1354" w:val="left" w:leader="none"/>
          <w:tab w:pos="1355" w:val="left" w:leader="none"/>
        </w:tabs>
        <w:spacing w:line="248" w:lineRule="exact" w:before="0" w:after="0"/>
        <w:ind w:left="1354" w:right="0" w:hanging="682"/>
        <w:jc w:val="left"/>
        <w:rPr>
          <w:color w:val="231F20"/>
          <w:sz w:val="25"/>
        </w:rPr>
      </w:pPr>
      <w:r>
        <w:rPr>
          <w:color w:val="231F20"/>
          <w:w w:val="110"/>
          <w:sz w:val="18"/>
        </w:rPr>
        <w:t>All members would reaffirm their faith and renew their covenant promises</w:t>
      </w:r>
      <w:r>
        <w:rPr>
          <w:color w:val="231F20"/>
          <w:spacing w:val="-30"/>
          <w:w w:val="110"/>
          <w:sz w:val="18"/>
        </w:rPr>
        <w:t> </w:t>
      </w:r>
      <w:r>
        <w:rPr>
          <w:color w:val="231F20"/>
          <w:w w:val="110"/>
          <w:sz w:val="18"/>
        </w:rPr>
        <w:t>together</w:t>
      </w:r>
    </w:p>
    <w:p>
      <w:pPr>
        <w:pStyle w:val="ListParagraph"/>
        <w:numPr>
          <w:ilvl w:val="0"/>
          <w:numId w:val="2"/>
        </w:numPr>
        <w:tabs>
          <w:tab w:pos="1354" w:val="left" w:leader="none"/>
          <w:tab w:pos="1355" w:val="left" w:leader="none"/>
        </w:tabs>
        <w:spacing w:line="218" w:lineRule="auto" w:before="0" w:after="0"/>
        <w:ind w:left="1354" w:right="2610" w:hanging="681"/>
        <w:jc w:val="left"/>
        <w:rPr>
          <w:color w:val="231F20"/>
          <w:sz w:val="25"/>
        </w:rPr>
      </w:pPr>
      <w:r>
        <w:rPr>
          <w:color w:val="231F20"/>
          <w:w w:val="110"/>
          <w:sz w:val="18"/>
        </w:rPr>
        <w:t>New </w:t>
      </w:r>
      <w:r>
        <w:rPr>
          <w:color w:val="231F20"/>
          <w:spacing w:val="2"/>
          <w:w w:val="110"/>
          <w:sz w:val="18"/>
        </w:rPr>
        <w:t>members </w:t>
      </w:r>
      <w:r>
        <w:rPr>
          <w:color w:val="231F20"/>
          <w:w w:val="110"/>
          <w:sz w:val="18"/>
        </w:rPr>
        <w:t>would be welcomed and their contribution recognised with thanksgiving.</w:t>
      </w:r>
    </w:p>
    <w:p>
      <w:pPr>
        <w:pStyle w:val="ListParagraph"/>
        <w:numPr>
          <w:ilvl w:val="0"/>
          <w:numId w:val="2"/>
        </w:numPr>
        <w:tabs>
          <w:tab w:pos="1354" w:val="left" w:leader="none"/>
          <w:tab w:pos="1355" w:val="left" w:leader="none"/>
        </w:tabs>
        <w:spacing w:line="292" w:lineRule="exact" w:before="0" w:after="0"/>
        <w:ind w:left="1354" w:right="0" w:hanging="682"/>
        <w:jc w:val="left"/>
        <w:rPr>
          <w:color w:val="231F20"/>
          <w:sz w:val="25"/>
        </w:rPr>
      </w:pPr>
      <w:r>
        <w:rPr>
          <w:color w:val="231F20"/>
          <w:spacing w:val="2"/>
          <w:w w:val="110"/>
          <w:sz w:val="18"/>
        </w:rPr>
        <w:t>There </w:t>
      </w:r>
      <w:r>
        <w:rPr>
          <w:color w:val="231F20"/>
          <w:w w:val="110"/>
          <w:sz w:val="18"/>
        </w:rPr>
        <w:t>would be opportunity for baptism, confirmation or transfer as</w:t>
      </w:r>
      <w:r>
        <w:rPr>
          <w:color w:val="231F20"/>
          <w:spacing w:val="44"/>
          <w:w w:val="110"/>
          <w:sz w:val="18"/>
        </w:rPr>
        <w:t> </w:t>
      </w:r>
      <w:r>
        <w:rPr>
          <w:color w:val="231F20"/>
          <w:w w:val="110"/>
          <w:sz w:val="18"/>
        </w:rPr>
        <w:t>appropriate,</w:t>
      </w:r>
    </w:p>
    <w:p>
      <w:pPr>
        <w:pStyle w:val="BodyText"/>
        <w:spacing w:line="207" w:lineRule="exact"/>
        <w:ind w:left="1354"/>
      </w:pPr>
      <w:r>
        <w:rPr>
          <w:color w:val="231F20"/>
          <w:w w:val="110"/>
        </w:rPr>
        <w:t>but within the corporate occasion rather than focusing solely on the individual.</w:t>
      </w:r>
    </w:p>
    <w:p>
      <w:pPr>
        <w:pStyle w:val="ListParagraph"/>
        <w:numPr>
          <w:ilvl w:val="0"/>
          <w:numId w:val="2"/>
        </w:numPr>
        <w:tabs>
          <w:tab w:pos="1354" w:val="left" w:leader="none"/>
          <w:tab w:pos="1355" w:val="left" w:leader="none"/>
        </w:tabs>
        <w:spacing w:line="218" w:lineRule="auto" w:before="17" w:after="0"/>
        <w:ind w:left="1354" w:right="1837" w:hanging="681"/>
        <w:jc w:val="left"/>
        <w:rPr>
          <w:color w:val="231F20"/>
          <w:sz w:val="25"/>
        </w:rPr>
      </w:pPr>
      <w:r>
        <w:rPr>
          <w:color w:val="231F20"/>
          <w:w w:val="110"/>
          <w:sz w:val="18"/>
        </w:rPr>
        <w:t>It would be a regular </w:t>
      </w:r>
      <w:r>
        <w:rPr>
          <w:color w:val="231F20"/>
          <w:spacing w:val="2"/>
          <w:w w:val="110"/>
          <w:sz w:val="18"/>
        </w:rPr>
        <w:t>part </w:t>
      </w:r>
      <w:r>
        <w:rPr>
          <w:color w:val="231F20"/>
          <w:w w:val="110"/>
          <w:sz w:val="18"/>
        </w:rPr>
        <w:t>of the congregation’s life and so newcomers would see it happening.</w:t>
      </w:r>
    </w:p>
    <w:p>
      <w:pPr>
        <w:pStyle w:val="ListParagraph"/>
        <w:numPr>
          <w:ilvl w:val="0"/>
          <w:numId w:val="2"/>
        </w:numPr>
        <w:tabs>
          <w:tab w:pos="1354" w:val="left" w:leader="none"/>
          <w:tab w:pos="1355" w:val="left" w:leader="none"/>
        </w:tabs>
        <w:spacing w:line="218" w:lineRule="auto" w:before="24" w:after="0"/>
        <w:ind w:left="1354" w:right="2687" w:hanging="681"/>
        <w:jc w:val="left"/>
        <w:rPr>
          <w:color w:val="231F20"/>
          <w:sz w:val="25"/>
        </w:rPr>
      </w:pPr>
      <w:r>
        <w:rPr>
          <w:color w:val="231F20"/>
          <w:w w:val="110"/>
          <w:sz w:val="18"/>
        </w:rPr>
        <w:t>Preparation of the whole congregation in the weeks beforehand could be supplemented by individual or group preparation as</w:t>
      </w:r>
      <w:r>
        <w:rPr>
          <w:color w:val="231F20"/>
          <w:spacing w:val="44"/>
          <w:w w:val="110"/>
          <w:sz w:val="18"/>
        </w:rPr>
        <w:t> </w:t>
      </w:r>
      <w:r>
        <w:rPr>
          <w:color w:val="231F20"/>
          <w:w w:val="110"/>
          <w:sz w:val="18"/>
        </w:rPr>
        <w:t>appropriate.</w:t>
      </w:r>
    </w:p>
    <w:p>
      <w:pPr>
        <w:pStyle w:val="ListParagraph"/>
        <w:numPr>
          <w:ilvl w:val="0"/>
          <w:numId w:val="2"/>
        </w:numPr>
        <w:tabs>
          <w:tab w:pos="1355" w:val="left" w:leader="none"/>
        </w:tabs>
        <w:spacing w:line="250" w:lineRule="exact" w:before="17" w:after="0"/>
        <w:ind w:left="1354" w:right="1725" w:hanging="681"/>
        <w:jc w:val="both"/>
        <w:rPr>
          <w:color w:val="231F20"/>
          <w:sz w:val="25"/>
        </w:rPr>
      </w:pPr>
      <w:r>
        <w:rPr>
          <w:color w:val="231F20"/>
          <w:spacing w:val="2"/>
          <w:w w:val="110"/>
          <w:sz w:val="18"/>
        </w:rPr>
        <w:t>There </w:t>
      </w:r>
      <w:r>
        <w:rPr>
          <w:color w:val="231F20"/>
          <w:w w:val="110"/>
          <w:sz w:val="18"/>
        </w:rPr>
        <w:t>would be room within the corporate expression of the covenant to embrace the different </w:t>
      </w:r>
      <w:r>
        <w:rPr>
          <w:color w:val="231F20"/>
          <w:spacing w:val="2"/>
          <w:w w:val="110"/>
          <w:sz w:val="18"/>
        </w:rPr>
        <w:t>stages </w:t>
      </w:r>
      <w:r>
        <w:rPr>
          <w:color w:val="231F20"/>
          <w:w w:val="110"/>
          <w:sz w:val="18"/>
        </w:rPr>
        <w:t>individuals had </w:t>
      </w:r>
      <w:r>
        <w:rPr>
          <w:color w:val="231F20"/>
          <w:spacing w:val="2"/>
          <w:w w:val="110"/>
          <w:sz w:val="18"/>
        </w:rPr>
        <w:t>reached </w:t>
      </w:r>
      <w:r>
        <w:rPr>
          <w:color w:val="231F20"/>
          <w:w w:val="110"/>
          <w:sz w:val="18"/>
        </w:rPr>
        <w:t>in personal commitment on their own spiritual journey.</w:t>
      </w:r>
    </w:p>
    <w:p>
      <w:pPr>
        <w:pStyle w:val="ListParagraph"/>
        <w:numPr>
          <w:ilvl w:val="0"/>
          <w:numId w:val="2"/>
        </w:numPr>
        <w:tabs>
          <w:tab w:pos="1354" w:val="left" w:leader="none"/>
          <w:tab w:pos="1355" w:val="left" w:leader="none"/>
        </w:tabs>
        <w:spacing w:line="250" w:lineRule="exact" w:before="0" w:after="0"/>
        <w:ind w:left="1354" w:right="1764" w:hanging="681"/>
        <w:jc w:val="left"/>
        <w:rPr>
          <w:color w:val="231F20"/>
          <w:sz w:val="25"/>
        </w:rPr>
      </w:pPr>
      <w:r>
        <w:rPr>
          <w:color w:val="231F20"/>
          <w:w w:val="110"/>
          <w:sz w:val="18"/>
        </w:rPr>
        <w:t>In local churches where there is more than one congregation or worshipping  group meeting at different times or in different </w:t>
      </w:r>
      <w:r>
        <w:rPr>
          <w:color w:val="231F20"/>
          <w:spacing w:val="2"/>
          <w:w w:val="110"/>
          <w:sz w:val="18"/>
        </w:rPr>
        <w:t>styles </w:t>
      </w:r>
      <w:r>
        <w:rPr>
          <w:color w:val="231F20"/>
          <w:w w:val="110"/>
          <w:sz w:val="18"/>
        </w:rPr>
        <w:t>of worship or spirituality,  the covenant renewal could be celebrated in one special joint event, or in a series of events.</w:t>
      </w:r>
    </w:p>
    <w:p>
      <w:pPr>
        <w:spacing w:after="0" w:line="250" w:lineRule="exact"/>
        <w:jc w:val="left"/>
        <w:rPr>
          <w:sz w:val="25"/>
        </w:rPr>
        <w:sectPr>
          <w:pgSz w:w="11910" w:h="16840"/>
          <w:pgMar w:header="558" w:footer="564" w:top="820" w:bottom="760" w:left="460" w:right="0"/>
        </w:sectPr>
      </w:pPr>
    </w:p>
    <w:p>
      <w:pPr>
        <w:pStyle w:val="BodyText"/>
        <w:spacing w:before="2"/>
        <w:rPr>
          <w:sz w:val="16"/>
        </w:rPr>
      </w:pPr>
    </w:p>
    <w:p>
      <w:pPr>
        <w:pStyle w:val="ListParagraph"/>
        <w:numPr>
          <w:ilvl w:val="1"/>
          <w:numId w:val="2"/>
        </w:numPr>
        <w:tabs>
          <w:tab w:pos="1921" w:val="left" w:leader="none"/>
          <w:tab w:pos="1922" w:val="left" w:leader="none"/>
        </w:tabs>
        <w:spacing w:line="250" w:lineRule="exact" w:before="113" w:after="0"/>
        <w:ind w:left="1921" w:right="1271" w:hanging="681"/>
        <w:jc w:val="left"/>
        <w:rPr>
          <w:color w:val="231F20"/>
          <w:sz w:val="25"/>
        </w:rPr>
      </w:pPr>
      <w:r>
        <w:rPr>
          <w:color w:val="231F20"/>
          <w:w w:val="110"/>
          <w:sz w:val="18"/>
        </w:rPr>
        <w:t>People would be </w:t>
      </w:r>
      <w:r>
        <w:rPr>
          <w:color w:val="231F20"/>
          <w:spacing w:val="2"/>
          <w:w w:val="110"/>
          <w:sz w:val="18"/>
        </w:rPr>
        <w:t>affirmed </w:t>
      </w:r>
      <w:r>
        <w:rPr>
          <w:color w:val="231F20"/>
          <w:w w:val="110"/>
          <w:sz w:val="18"/>
        </w:rPr>
        <w:t>for their Christian life and witness even if their attendance and </w:t>
      </w:r>
      <w:r>
        <w:rPr>
          <w:color w:val="231F20"/>
          <w:spacing w:val="2"/>
          <w:w w:val="110"/>
          <w:sz w:val="18"/>
        </w:rPr>
        <w:t>service </w:t>
      </w:r>
      <w:r>
        <w:rPr>
          <w:color w:val="231F20"/>
          <w:w w:val="110"/>
          <w:sz w:val="18"/>
        </w:rPr>
        <w:t>to the local church is limited by other responsibilities. It would be an </w:t>
      </w:r>
      <w:r>
        <w:rPr>
          <w:color w:val="231F20"/>
          <w:spacing w:val="2"/>
          <w:w w:val="110"/>
          <w:sz w:val="18"/>
        </w:rPr>
        <w:t>opportunity </w:t>
      </w:r>
      <w:r>
        <w:rPr>
          <w:color w:val="231F20"/>
          <w:w w:val="110"/>
          <w:sz w:val="18"/>
        </w:rPr>
        <w:t>to recognise the many who have not become </w:t>
      </w:r>
      <w:r>
        <w:rPr>
          <w:color w:val="231F20"/>
          <w:spacing w:val="2"/>
          <w:w w:val="110"/>
          <w:sz w:val="18"/>
        </w:rPr>
        <w:t>members </w:t>
      </w:r>
      <w:r>
        <w:rPr>
          <w:color w:val="231F20"/>
          <w:w w:val="110"/>
          <w:sz w:val="18"/>
        </w:rPr>
        <w:t>who already make major contributions through, for example sacrificing their own desire or </w:t>
      </w:r>
      <w:r>
        <w:rPr>
          <w:color w:val="231F20"/>
          <w:spacing w:val="2"/>
          <w:w w:val="110"/>
          <w:sz w:val="18"/>
        </w:rPr>
        <w:t>comfort </w:t>
      </w:r>
      <w:r>
        <w:rPr>
          <w:color w:val="231F20"/>
          <w:w w:val="110"/>
          <w:sz w:val="18"/>
        </w:rPr>
        <w:t>for the sake of others, putting the common good </w:t>
      </w:r>
      <w:r>
        <w:rPr>
          <w:color w:val="231F20"/>
          <w:spacing w:val="2"/>
          <w:w w:val="110"/>
          <w:sz w:val="18"/>
        </w:rPr>
        <w:t>before </w:t>
      </w:r>
      <w:r>
        <w:rPr>
          <w:color w:val="231F20"/>
          <w:w w:val="110"/>
          <w:sz w:val="18"/>
        </w:rPr>
        <w:t>their own, and through their loyalty and</w:t>
      </w:r>
      <w:r>
        <w:rPr>
          <w:color w:val="231F20"/>
          <w:spacing w:val="12"/>
          <w:w w:val="110"/>
          <w:sz w:val="18"/>
        </w:rPr>
        <w:t> </w:t>
      </w:r>
      <w:r>
        <w:rPr>
          <w:color w:val="231F20"/>
          <w:w w:val="110"/>
          <w:sz w:val="18"/>
        </w:rPr>
        <w:t>faithfulness.</w:t>
      </w:r>
    </w:p>
    <w:p>
      <w:pPr>
        <w:pStyle w:val="BodyText"/>
        <w:spacing w:before="8"/>
        <w:rPr>
          <w:sz w:val="19"/>
        </w:rPr>
      </w:pPr>
      <w:r>
        <w:rPr/>
        <w:pict>
          <v:group style="position:absolute;margin-left:84.789001pt;margin-top:13.937909pt;width:454.05pt;height:239.25pt;mso-position-horizontal-relative:page;mso-position-vertical-relative:paragraph;z-index:-251481088;mso-wrap-distance-left:0;mso-wrap-distance-right:0" coordorigin="1696,279" coordsize="9081,4785">
            <v:rect style="position:absolute;left:1700;top:283;width:9071;height:4775" filled="false" stroked="true" strokeweight=".5pt" strokecolor="#231f20">
              <v:stroke dashstyle="solid"/>
            </v:rect>
            <v:shape style="position:absolute;left:2381;top:1019;width:8223;height:3719" type="#_x0000_t202" filled="false" stroked="false">
              <v:textbox inset="0,0,0,0">
                <w:txbxContent>
                  <w:p>
                    <w:pPr>
                      <w:spacing w:before="0"/>
                      <w:ind w:left="0" w:right="0" w:firstLine="0"/>
                      <w:jc w:val="left"/>
                      <w:rPr>
                        <w:sz w:val="18"/>
                      </w:rPr>
                    </w:pPr>
                    <w:r>
                      <w:rPr>
                        <w:i/>
                        <w:color w:val="231F20"/>
                        <w:w w:val="110"/>
                        <w:sz w:val="18"/>
                      </w:rPr>
                      <w:t>Worship: from the United Reformed Church </w:t>
                    </w:r>
                    <w:r>
                      <w:rPr>
                        <w:color w:val="231F20"/>
                        <w:w w:val="110"/>
                        <w:sz w:val="18"/>
                      </w:rPr>
                      <w:t>(2003)</w:t>
                    </w:r>
                  </w:p>
                  <w:p>
                    <w:pPr>
                      <w:spacing w:line="273" w:lineRule="auto" w:before="31"/>
                      <w:ind w:left="0" w:right="1176" w:firstLine="0"/>
                      <w:jc w:val="left"/>
                      <w:rPr>
                        <w:i/>
                        <w:sz w:val="18"/>
                      </w:rPr>
                    </w:pPr>
                    <w:r>
                      <w:rPr>
                        <w:color w:val="231F20"/>
                        <w:w w:val="110"/>
                        <w:sz w:val="18"/>
                      </w:rPr>
                      <w:t>Renewal of Baptismal Promises by the Congregation </w:t>
                    </w:r>
                    <w:r>
                      <w:rPr>
                        <w:i/>
                        <w:color w:val="231F20"/>
                        <w:w w:val="110"/>
                        <w:sz w:val="18"/>
                      </w:rPr>
                      <w:t>(pages </w:t>
                    </w:r>
                    <w:r>
                      <w:rPr>
                        <w:i/>
                        <w:color w:val="231F20"/>
                        <w:spacing w:val="-8"/>
                        <w:w w:val="110"/>
                        <w:sz w:val="18"/>
                      </w:rPr>
                      <w:t>315-318)  </w:t>
                    </w:r>
                    <w:r>
                      <w:rPr>
                        <w:color w:val="231F20"/>
                        <w:w w:val="110"/>
                        <w:sz w:val="18"/>
                      </w:rPr>
                      <w:t>A </w:t>
                    </w:r>
                    <w:r>
                      <w:rPr>
                        <w:color w:val="231F20"/>
                        <w:spacing w:val="2"/>
                        <w:w w:val="110"/>
                        <w:sz w:val="18"/>
                      </w:rPr>
                      <w:t>Service </w:t>
                    </w:r>
                    <w:r>
                      <w:rPr>
                        <w:color w:val="231F20"/>
                        <w:w w:val="110"/>
                        <w:sz w:val="18"/>
                      </w:rPr>
                      <w:t>for Rededication Sunday based on the Five Marks of Mission </w:t>
                    </w:r>
                    <w:r>
                      <w:rPr>
                        <w:i/>
                        <w:color w:val="231F20"/>
                        <w:w w:val="110"/>
                        <w:sz w:val="18"/>
                      </w:rPr>
                      <w:t>(pages </w:t>
                    </w:r>
                    <w:r>
                      <w:rPr>
                        <w:i/>
                        <w:color w:val="231F20"/>
                        <w:spacing w:val="-8"/>
                        <w:w w:val="110"/>
                        <w:sz w:val="18"/>
                      </w:rPr>
                      <w:t>319-324)</w:t>
                    </w:r>
                  </w:p>
                  <w:p>
                    <w:pPr>
                      <w:spacing w:before="2"/>
                      <w:ind w:left="0" w:right="0" w:firstLine="0"/>
                      <w:jc w:val="left"/>
                      <w:rPr>
                        <w:i/>
                        <w:sz w:val="18"/>
                      </w:rPr>
                    </w:pPr>
                    <w:r>
                      <w:rPr>
                        <w:color w:val="231F20"/>
                        <w:w w:val="110"/>
                        <w:sz w:val="18"/>
                      </w:rPr>
                      <w:t>Service of Rededication on the theme of unity </w:t>
                    </w:r>
                    <w:r>
                      <w:rPr>
                        <w:i/>
                        <w:color w:val="231F20"/>
                        <w:w w:val="110"/>
                        <w:sz w:val="18"/>
                      </w:rPr>
                      <w:t>(pages 325-334)</w:t>
                    </w:r>
                  </w:p>
                  <w:p>
                    <w:pPr>
                      <w:spacing w:line="273" w:lineRule="auto" w:before="31"/>
                      <w:ind w:left="0" w:right="0" w:firstLine="0"/>
                      <w:jc w:val="left"/>
                      <w:rPr>
                        <w:sz w:val="18"/>
                      </w:rPr>
                    </w:pPr>
                    <w:r>
                      <w:rPr>
                        <w:i/>
                        <w:color w:val="231F20"/>
                        <w:w w:val="110"/>
                        <w:sz w:val="18"/>
                      </w:rPr>
                      <w:t>The Nature, Faith and Order of the United Reformed Church </w:t>
                    </w:r>
                    <w:r>
                      <w:rPr>
                        <w:color w:val="231F20"/>
                        <w:w w:val="110"/>
                        <w:sz w:val="18"/>
                      </w:rPr>
                      <w:t>(</w:t>
                    </w:r>
                    <w:r>
                      <w:rPr>
                        <w:i/>
                        <w:color w:val="231F20"/>
                        <w:w w:val="110"/>
                        <w:sz w:val="18"/>
                      </w:rPr>
                      <w:t>Rejoice and Sing </w:t>
                    </w:r>
                    <w:r>
                      <w:rPr>
                        <w:i/>
                        <w:color w:val="231F20"/>
                        <w:w w:val="110"/>
                        <w:sz w:val="18"/>
                      </w:rPr>
                      <w:t>number 761</w:t>
                    </w:r>
                    <w:r>
                      <w:rPr>
                        <w:color w:val="231F20"/>
                        <w:w w:val="110"/>
                        <w:sz w:val="18"/>
                      </w:rPr>
                      <w:t>) and a recently prepared study guide.</w:t>
                    </w:r>
                  </w:p>
                  <w:p>
                    <w:pPr>
                      <w:spacing w:before="1"/>
                      <w:ind w:left="70" w:right="0" w:firstLine="0"/>
                      <w:jc w:val="left"/>
                      <w:rPr>
                        <w:sz w:val="18"/>
                      </w:rPr>
                    </w:pPr>
                    <w:r>
                      <w:rPr>
                        <w:i/>
                        <w:color w:val="231F20"/>
                        <w:w w:val="110"/>
                        <w:sz w:val="18"/>
                      </w:rPr>
                      <w:t>Talking about God </w:t>
                    </w:r>
                    <w:r>
                      <w:rPr>
                        <w:color w:val="231F20"/>
                        <w:w w:val="110"/>
                        <w:sz w:val="18"/>
                      </w:rPr>
                      <w:t>– a short five-unit TLS LITE course</w:t>
                    </w:r>
                  </w:p>
                  <w:p>
                    <w:pPr>
                      <w:spacing w:before="31"/>
                      <w:ind w:left="0" w:right="0" w:firstLine="0"/>
                      <w:jc w:val="left"/>
                      <w:rPr>
                        <w:i/>
                        <w:sz w:val="18"/>
                      </w:rPr>
                    </w:pPr>
                    <w:r>
                      <w:rPr>
                        <w:color w:val="231F20"/>
                        <w:w w:val="110"/>
                        <w:sz w:val="18"/>
                      </w:rPr>
                      <w:t>Parts of </w:t>
                    </w:r>
                    <w:r>
                      <w:rPr>
                        <w:i/>
                        <w:color w:val="231F20"/>
                        <w:w w:val="110"/>
                        <w:sz w:val="18"/>
                      </w:rPr>
                      <w:t>A Gift Box</w:t>
                    </w:r>
                  </w:p>
                  <w:p>
                    <w:pPr>
                      <w:spacing w:before="32"/>
                      <w:ind w:left="0" w:right="0" w:firstLine="0"/>
                      <w:jc w:val="left"/>
                      <w:rPr>
                        <w:i/>
                        <w:sz w:val="18"/>
                      </w:rPr>
                    </w:pPr>
                    <w:r>
                      <w:rPr>
                        <w:i/>
                        <w:color w:val="231F20"/>
                        <w:w w:val="110"/>
                        <w:sz w:val="18"/>
                      </w:rPr>
                      <w:t>Let’s Discover the United Reformed Church</w:t>
                    </w:r>
                  </w:p>
                  <w:p>
                    <w:pPr>
                      <w:spacing w:line="273" w:lineRule="auto" w:before="31"/>
                      <w:ind w:left="0" w:right="72" w:firstLine="0"/>
                      <w:jc w:val="left"/>
                      <w:rPr>
                        <w:sz w:val="18"/>
                      </w:rPr>
                    </w:pPr>
                    <w:r>
                      <w:rPr>
                        <w:i/>
                        <w:color w:val="231F20"/>
                        <w:w w:val="110"/>
                        <w:sz w:val="18"/>
                      </w:rPr>
                      <w:t>Guidelines on Church Discipline </w:t>
                    </w:r>
                    <w:r>
                      <w:rPr>
                        <w:color w:val="231F20"/>
                        <w:w w:val="110"/>
                        <w:sz w:val="18"/>
                      </w:rPr>
                      <w:t>by Alan </w:t>
                    </w:r>
                    <w:r>
                      <w:rPr>
                        <w:color w:val="231F20"/>
                        <w:spacing w:val="-12"/>
                        <w:w w:val="110"/>
                        <w:sz w:val="18"/>
                      </w:rPr>
                      <w:t>P.F.  </w:t>
                    </w:r>
                    <w:r>
                      <w:rPr>
                        <w:color w:val="231F20"/>
                        <w:w w:val="110"/>
                        <w:sz w:val="18"/>
                      </w:rPr>
                      <w:t>Sell: (United Reformed Church </w:t>
                    </w:r>
                    <w:r>
                      <w:rPr>
                        <w:color w:val="231F20"/>
                        <w:spacing w:val="-5"/>
                        <w:w w:val="110"/>
                        <w:sz w:val="18"/>
                      </w:rPr>
                      <w:t>1983), </w:t>
                    </w:r>
                    <w:r>
                      <w:rPr>
                        <w:color w:val="231F20"/>
                        <w:w w:val="110"/>
                        <w:sz w:val="18"/>
                      </w:rPr>
                      <w:t>especially the Appendix on Rededication </w:t>
                    </w:r>
                    <w:r>
                      <w:rPr>
                        <w:color w:val="231F20"/>
                        <w:spacing w:val="2"/>
                        <w:w w:val="110"/>
                        <w:sz w:val="18"/>
                      </w:rPr>
                      <w:t>Services, </w:t>
                    </w:r>
                    <w:r>
                      <w:rPr>
                        <w:color w:val="231F20"/>
                        <w:w w:val="110"/>
                        <w:sz w:val="18"/>
                      </w:rPr>
                      <w:t>where the local church has the opportunity to </w:t>
                    </w:r>
                    <w:r>
                      <w:rPr>
                        <w:color w:val="231F20"/>
                        <w:spacing w:val="2"/>
                        <w:w w:val="110"/>
                        <w:sz w:val="18"/>
                      </w:rPr>
                      <w:t>reaffirm </w:t>
                    </w:r>
                    <w:r>
                      <w:rPr>
                        <w:color w:val="231F20"/>
                        <w:w w:val="110"/>
                        <w:sz w:val="18"/>
                      </w:rPr>
                      <w:t>its faith</w:t>
                    </w:r>
                    <w:r>
                      <w:rPr>
                        <w:color w:val="231F20"/>
                        <w:spacing w:val="15"/>
                        <w:w w:val="110"/>
                        <w:sz w:val="18"/>
                      </w:rPr>
                      <w:t> </w:t>
                    </w:r>
                    <w:r>
                      <w:rPr>
                        <w:color w:val="231F20"/>
                        <w:w w:val="110"/>
                        <w:sz w:val="18"/>
                      </w:rPr>
                      <w:t>corporately.</w:t>
                    </w:r>
                  </w:p>
                  <w:p>
                    <w:pPr>
                      <w:spacing w:before="2"/>
                      <w:ind w:left="0" w:right="0" w:firstLine="0"/>
                      <w:jc w:val="left"/>
                      <w:rPr>
                        <w:sz w:val="18"/>
                      </w:rPr>
                    </w:pPr>
                    <w:r>
                      <w:rPr>
                        <w:i/>
                        <w:color w:val="231F20"/>
                        <w:w w:val="110"/>
                        <w:sz w:val="18"/>
                      </w:rPr>
                      <w:t>The Methodist Worship Book </w:t>
                    </w:r>
                    <w:r>
                      <w:rPr>
                        <w:color w:val="231F20"/>
                        <w:w w:val="110"/>
                        <w:sz w:val="18"/>
                      </w:rPr>
                      <w:t>(1999)</w:t>
                    </w:r>
                  </w:p>
                  <w:p>
                    <w:pPr>
                      <w:spacing w:before="31"/>
                      <w:ind w:left="0" w:right="0" w:firstLine="0"/>
                      <w:jc w:val="left"/>
                      <w:rPr>
                        <w:i/>
                        <w:sz w:val="18"/>
                      </w:rPr>
                    </w:pPr>
                    <w:r>
                      <w:rPr>
                        <w:color w:val="231F20"/>
                        <w:w w:val="110"/>
                        <w:sz w:val="18"/>
                      </w:rPr>
                      <w:t>The Covenant Service </w:t>
                    </w:r>
                    <w:r>
                      <w:rPr>
                        <w:i/>
                        <w:color w:val="231F20"/>
                        <w:w w:val="110"/>
                        <w:sz w:val="18"/>
                      </w:rPr>
                      <w:t>(pages 281-296)</w:t>
                    </w:r>
                  </w:p>
                </w:txbxContent>
              </v:textbox>
              <w10:wrap type="none"/>
            </v:shape>
            <v:shape style="position:absolute;left:1927;top:987;width:173;height:3807" type="#_x0000_t202" filled="false" stroked="false">
              <v:textbox inset="0,0,0,0">
                <w:txbxContent>
                  <w:p>
                    <w:pPr>
                      <w:spacing w:line="277" w:lineRule="exact" w:before="2"/>
                      <w:ind w:left="0" w:right="0" w:firstLine="0"/>
                      <w:jc w:val="left"/>
                      <w:rPr>
                        <w:sz w:val="25"/>
                      </w:rPr>
                    </w:pPr>
                    <w:r>
                      <w:rPr>
                        <w:color w:val="231F20"/>
                        <w:w w:val="111"/>
                        <w:sz w:val="25"/>
                      </w:rPr>
                      <w:t>•</w:t>
                    </w:r>
                  </w:p>
                  <w:p>
                    <w:pPr>
                      <w:spacing w:line="250" w:lineRule="exact" w:before="0"/>
                      <w:ind w:left="0" w:right="0" w:firstLine="0"/>
                      <w:jc w:val="left"/>
                      <w:rPr>
                        <w:sz w:val="25"/>
                      </w:rPr>
                    </w:pPr>
                    <w:r>
                      <w:rPr>
                        <w:color w:val="231F20"/>
                        <w:w w:val="111"/>
                        <w:sz w:val="25"/>
                      </w:rPr>
                      <w:t>•</w:t>
                    </w:r>
                  </w:p>
                  <w:p>
                    <w:pPr>
                      <w:spacing w:line="277" w:lineRule="exact" w:before="0"/>
                      <w:ind w:left="0" w:right="0" w:firstLine="0"/>
                      <w:jc w:val="left"/>
                      <w:rPr>
                        <w:sz w:val="25"/>
                      </w:rPr>
                    </w:pPr>
                    <w:r>
                      <w:rPr>
                        <w:color w:val="231F20"/>
                        <w:w w:val="111"/>
                        <w:sz w:val="25"/>
                      </w:rPr>
                      <w:t>•</w:t>
                    </w:r>
                  </w:p>
                  <w:p>
                    <w:pPr>
                      <w:spacing w:line="277" w:lineRule="exact" w:before="196"/>
                      <w:ind w:left="0" w:right="0" w:firstLine="0"/>
                      <w:jc w:val="left"/>
                      <w:rPr>
                        <w:sz w:val="25"/>
                      </w:rPr>
                    </w:pPr>
                    <w:r>
                      <w:rPr>
                        <w:color w:val="231F20"/>
                        <w:w w:val="111"/>
                        <w:sz w:val="25"/>
                      </w:rPr>
                      <w:t>•</w:t>
                    </w:r>
                  </w:p>
                  <w:p>
                    <w:pPr>
                      <w:spacing w:line="277" w:lineRule="exact" w:before="0"/>
                      <w:ind w:left="0" w:right="0" w:firstLine="0"/>
                      <w:jc w:val="left"/>
                      <w:rPr>
                        <w:sz w:val="25"/>
                      </w:rPr>
                    </w:pPr>
                    <w:r>
                      <w:rPr>
                        <w:color w:val="231F20"/>
                        <w:w w:val="111"/>
                        <w:sz w:val="25"/>
                      </w:rPr>
                      <w:t>•</w:t>
                    </w:r>
                  </w:p>
                  <w:p>
                    <w:pPr>
                      <w:spacing w:line="277" w:lineRule="exact" w:before="196"/>
                      <w:ind w:left="0" w:right="0" w:firstLine="0"/>
                      <w:jc w:val="left"/>
                      <w:rPr>
                        <w:sz w:val="25"/>
                      </w:rPr>
                    </w:pPr>
                    <w:r>
                      <w:rPr>
                        <w:color w:val="231F20"/>
                        <w:w w:val="111"/>
                        <w:sz w:val="25"/>
                      </w:rPr>
                      <w:t>•</w:t>
                    </w:r>
                  </w:p>
                  <w:p>
                    <w:pPr>
                      <w:spacing w:line="250" w:lineRule="exact" w:before="0"/>
                      <w:ind w:left="0" w:right="0" w:firstLine="0"/>
                      <w:jc w:val="left"/>
                      <w:rPr>
                        <w:sz w:val="25"/>
                      </w:rPr>
                    </w:pPr>
                    <w:r>
                      <w:rPr>
                        <w:color w:val="231F20"/>
                        <w:w w:val="111"/>
                        <w:sz w:val="25"/>
                      </w:rPr>
                      <w:t>•</w:t>
                    </w:r>
                  </w:p>
                  <w:p>
                    <w:pPr>
                      <w:spacing w:line="250" w:lineRule="exact" w:before="0"/>
                      <w:ind w:left="0" w:right="0" w:firstLine="0"/>
                      <w:jc w:val="left"/>
                      <w:rPr>
                        <w:sz w:val="25"/>
                      </w:rPr>
                    </w:pPr>
                    <w:r>
                      <w:rPr>
                        <w:color w:val="231F20"/>
                        <w:w w:val="111"/>
                        <w:sz w:val="25"/>
                      </w:rPr>
                      <w:t>•</w:t>
                    </w:r>
                  </w:p>
                  <w:p>
                    <w:pPr>
                      <w:spacing w:line="277" w:lineRule="exact" w:before="0"/>
                      <w:ind w:left="0" w:right="0" w:firstLine="0"/>
                      <w:jc w:val="left"/>
                      <w:rPr>
                        <w:sz w:val="25"/>
                      </w:rPr>
                    </w:pPr>
                    <w:r>
                      <w:rPr>
                        <w:color w:val="231F20"/>
                        <w:w w:val="111"/>
                        <w:sz w:val="25"/>
                      </w:rPr>
                      <w:t>•</w:t>
                    </w:r>
                  </w:p>
                  <w:p>
                    <w:pPr>
                      <w:spacing w:line="240" w:lineRule="auto" w:before="9"/>
                      <w:rPr>
                        <w:sz w:val="36"/>
                      </w:rPr>
                    </w:pPr>
                  </w:p>
                  <w:p>
                    <w:pPr>
                      <w:spacing w:line="277" w:lineRule="exact" w:before="0"/>
                      <w:ind w:left="0" w:right="0" w:firstLine="0"/>
                      <w:jc w:val="left"/>
                      <w:rPr>
                        <w:sz w:val="25"/>
                      </w:rPr>
                    </w:pPr>
                    <w:r>
                      <w:rPr>
                        <w:color w:val="231F20"/>
                        <w:w w:val="111"/>
                        <w:sz w:val="25"/>
                      </w:rPr>
                      <w:t>•</w:t>
                    </w:r>
                  </w:p>
                  <w:p>
                    <w:pPr>
                      <w:spacing w:line="277" w:lineRule="exact" w:before="0"/>
                      <w:ind w:left="0" w:right="0" w:firstLine="0"/>
                      <w:jc w:val="left"/>
                      <w:rPr>
                        <w:sz w:val="25"/>
                      </w:rPr>
                    </w:pPr>
                    <w:r>
                      <w:rPr>
                        <w:color w:val="231F20"/>
                        <w:w w:val="111"/>
                        <w:sz w:val="25"/>
                      </w:rPr>
                      <w:t>•</w:t>
                    </w:r>
                  </w:p>
                </w:txbxContent>
              </v:textbox>
              <w10:wrap type="none"/>
            </v:shape>
            <v:shape style="position:absolute;left:1927;top:519;width:8647;height:469" type="#_x0000_t202" filled="false" stroked="false">
              <v:textbox inset="0,0,0,0">
                <w:txbxContent>
                  <w:p>
                    <w:pPr>
                      <w:spacing w:line="273" w:lineRule="auto" w:before="0"/>
                      <w:ind w:left="0" w:right="0" w:firstLine="0"/>
                      <w:jc w:val="left"/>
                      <w:rPr>
                        <w:sz w:val="18"/>
                      </w:rPr>
                    </w:pPr>
                    <w:r>
                      <w:rPr>
                        <w:color w:val="231F20"/>
                        <w:w w:val="110"/>
                        <w:sz w:val="18"/>
                      </w:rPr>
                      <w:t>Existing material and resources to support local churches preparing people to renew their covenants or to make them afresh, include</w:t>
                    </w:r>
                  </w:p>
                </w:txbxContent>
              </v:textbox>
              <w10:wrap type="none"/>
            </v:shape>
            <w10:wrap type="topAndBottom"/>
          </v:group>
        </w:pict>
      </w:r>
    </w:p>
    <w:p>
      <w:pPr>
        <w:pStyle w:val="BodyText"/>
        <w:spacing w:before="11"/>
        <w:rPr>
          <w:sz w:val="26"/>
        </w:rPr>
      </w:pPr>
    </w:p>
    <w:p>
      <w:pPr>
        <w:numPr>
          <w:ilvl w:val="0"/>
          <w:numId w:val="93"/>
        </w:numPr>
        <w:tabs>
          <w:tab w:pos="1960" w:val="left" w:leader="none"/>
          <w:tab w:pos="1961" w:val="left" w:leader="none"/>
        </w:tabs>
        <w:spacing w:before="101"/>
        <w:ind w:left="1960" w:right="0" w:hanging="721"/>
        <w:jc w:val="left"/>
        <w:rPr>
          <w:b/>
          <w:sz w:val="18"/>
        </w:rPr>
      </w:pPr>
      <w:r>
        <w:rPr>
          <w:b/>
          <w:color w:val="231F20"/>
          <w:w w:val="110"/>
          <w:sz w:val="18"/>
        </w:rPr>
        <w:t>Covenant membership and</w:t>
      </w:r>
      <w:r>
        <w:rPr>
          <w:b/>
          <w:color w:val="231F20"/>
          <w:spacing w:val="1"/>
          <w:w w:val="110"/>
          <w:sz w:val="18"/>
        </w:rPr>
        <w:t> </w:t>
      </w:r>
      <w:r>
        <w:rPr>
          <w:b/>
          <w:color w:val="231F20"/>
          <w:w w:val="110"/>
          <w:sz w:val="18"/>
        </w:rPr>
        <w:t>mission</w:t>
      </w:r>
    </w:p>
    <w:p>
      <w:pPr>
        <w:pStyle w:val="BodyText"/>
        <w:spacing w:before="1"/>
        <w:rPr>
          <w:b/>
          <w:sz w:val="23"/>
        </w:rPr>
      </w:pPr>
    </w:p>
    <w:p>
      <w:pPr>
        <w:pStyle w:val="ListParagraph"/>
        <w:numPr>
          <w:ilvl w:val="1"/>
          <w:numId w:val="93"/>
        </w:numPr>
        <w:tabs>
          <w:tab w:pos="1921" w:val="left" w:leader="none"/>
          <w:tab w:pos="1922" w:val="left" w:leader="none"/>
        </w:tabs>
        <w:spacing w:line="273" w:lineRule="auto" w:before="0" w:after="0"/>
        <w:ind w:left="1240" w:right="1997" w:firstLine="0"/>
        <w:jc w:val="left"/>
        <w:rPr>
          <w:sz w:val="18"/>
        </w:rPr>
      </w:pPr>
      <w:r>
        <w:rPr>
          <w:color w:val="231F20"/>
          <w:w w:val="110"/>
          <w:sz w:val="18"/>
        </w:rPr>
        <w:t>A fundamental question to be asked about membership is how it </w:t>
      </w:r>
      <w:r>
        <w:rPr>
          <w:color w:val="231F20"/>
          <w:spacing w:val="2"/>
          <w:w w:val="110"/>
          <w:sz w:val="18"/>
        </w:rPr>
        <w:t>serves </w:t>
      </w:r>
      <w:r>
        <w:rPr>
          <w:color w:val="231F20"/>
          <w:w w:val="110"/>
          <w:sz w:val="18"/>
        </w:rPr>
        <w:t>the</w:t>
      </w:r>
      <w:r>
        <w:rPr>
          <w:color w:val="231F20"/>
          <w:spacing w:val="9"/>
          <w:w w:val="110"/>
          <w:sz w:val="18"/>
        </w:rPr>
        <w:t> </w:t>
      </w:r>
      <w:r>
        <w:rPr>
          <w:color w:val="231F20"/>
          <w:w w:val="110"/>
          <w:sz w:val="18"/>
        </w:rPr>
        <w:t>people</w:t>
      </w:r>
      <w:r>
        <w:rPr>
          <w:color w:val="231F20"/>
          <w:spacing w:val="10"/>
          <w:w w:val="110"/>
          <w:sz w:val="18"/>
        </w:rPr>
        <w:t> </w:t>
      </w:r>
      <w:r>
        <w:rPr>
          <w:color w:val="231F20"/>
          <w:w w:val="110"/>
          <w:sz w:val="18"/>
        </w:rPr>
        <w:t>of</w:t>
      </w:r>
      <w:r>
        <w:rPr>
          <w:color w:val="231F20"/>
          <w:spacing w:val="9"/>
          <w:w w:val="110"/>
          <w:sz w:val="18"/>
        </w:rPr>
        <w:t> </w:t>
      </w:r>
      <w:r>
        <w:rPr>
          <w:color w:val="231F20"/>
          <w:w w:val="110"/>
          <w:sz w:val="18"/>
        </w:rPr>
        <w:t>faith</w:t>
      </w:r>
      <w:r>
        <w:rPr>
          <w:color w:val="231F20"/>
          <w:spacing w:val="10"/>
          <w:w w:val="110"/>
          <w:sz w:val="18"/>
        </w:rPr>
        <w:t> </w:t>
      </w:r>
      <w:r>
        <w:rPr>
          <w:color w:val="231F20"/>
          <w:w w:val="110"/>
          <w:sz w:val="18"/>
        </w:rPr>
        <w:t>while</w:t>
      </w:r>
      <w:r>
        <w:rPr>
          <w:color w:val="231F20"/>
          <w:spacing w:val="9"/>
          <w:w w:val="110"/>
          <w:sz w:val="18"/>
        </w:rPr>
        <w:t> </w:t>
      </w:r>
      <w:r>
        <w:rPr>
          <w:color w:val="231F20"/>
          <w:w w:val="110"/>
          <w:sz w:val="18"/>
        </w:rPr>
        <w:t>also</w:t>
      </w:r>
      <w:r>
        <w:rPr>
          <w:color w:val="231F20"/>
          <w:spacing w:val="10"/>
          <w:w w:val="110"/>
          <w:sz w:val="18"/>
        </w:rPr>
        <w:t> </w:t>
      </w:r>
      <w:r>
        <w:rPr>
          <w:color w:val="231F20"/>
          <w:w w:val="110"/>
          <w:sz w:val="18"/>
        </w:rPr>
        <w:t>helping</w:t>
      </w:r>
      <w:r>
        <w:rPr>
          <w:color w:val="231F20"/>
          <w:spacing w:val="10"/>
          <w:w w:val="110"/>
          <w:sz w:val="18"/>
        </w:rPr>
        <w:t> </w:t>
      </w:r>
      <w:r>
        <w:rPr>
          <w:color w:val="231F20"/>
          <w:w w:val="110"/>
          <w:sz w:val="18"/>
        </w:rPr>
        <w:t>to</w:t>
      </w:r>
      <w:r>
        <w:rPr>
          <w:color w:val="231F20"/>
          <w:spacing w:val="9"/>
          <w:w w:val="110"/>
          <w:sz w:val="18"/>
        </w:rPr>
        <w:t> </w:t>
      </w:r>
      <w:r>
        <w:rPr>
          <w:color w:val="231F20"/>
          <w:w w:val="110"/>
          <w:sz w:val="18"/>
        </w:rPr>
        <w:t>bridge</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gap</w:t>
      </w:r>
      <w:r>
        <w:rPr>
          <w:color w:val="231F20"/>
          <w:spacing w:val="10"/>
          <w:w w:val="110"/>
          <w:sz w:val="18"/>
        </w:rPr>
        <w:t> </w:t>
      </w:r>
      <w:r>
        <w:rPr>
          <w:color w:val="231F20"/>
          <w:w w:val="110"/>
          <w:sz w:val="18"/>
        </w:rPr>
        <w:t>between</w:t>
      </w:r>
      <w:r>
        <w:rPr>
          <w:color w:val="231F20"/>
          <w:spacing w:val="10"/>
          <w:w w:val="110"/>
          <w:sz w:val="18"/>
        </w:rPr>
        <w:t> </w:t>
      </w:r>
      <w:r>
        <w:rPr>
          <w:color w:val="231F20"/>
          <w:w w:val="110"/>
          <w:sz w:val="18"/>
        </w:rPr>
        <w:t>a</w:t>
      </w:r>
      <w:r>
        <w:rPr>
          <w:color w:val="231F20"/>
          <w:spacing w:val="9"/>
          <w:w w:val="110"/>
          <w:sz w:val="18"/>
        </w:rPr>
        <w:t> </w:t>
      </w:r>
      <w:r>
        <w:rPr>
          <w:color w:val="231F20"/>
          <w:w w:val="110"/>
          <w:sz w:val="18"/>
        </w:rPr>
        <w:t>church</w:t>
      </w:r>
      <w:r>
        <w:rPr>
          <w:color w:val="231F20"/>
          <w:spacing w:val="10"/>
          <w:w w:val="110"/>
          <w:sz w:val="18"/>
        </w:rPr>
        <w:t> </w:t>
      </w:r>
      <w:r>
        <w:rPr>
          <w:color w:val="231F20"/>
          <w:w w:val="110"/>
          <w:sz w:val="18"/>
        </w:rPr>
        <w:t>and</w:t>
      </w:r>
      <w:r>
        <w:rPr>
          <w:color w:val="231F20"/>
          <w:spacing w:val="9"/>
          <w:w w:val="110"/>
          <w:sz w:val="18"/>
        </w:rPr>
        <w:t> </w:t>
      </w:r>
      <w:r>
        <w:rPr>
          <w:color w:val="231F20"/>
          <w:w w:val="110"/>
          <w:sz w:val="18"/>
        </w:rPr>
        <w:t>its</w:t>
      </w:r>
    </w:p>
    <w:p>
      <w:pPr>
        <w:pStyle w:val="BodyText"/>
        <w:spacing w:line="273" w:lineRule="auto" w:before="1"/>
        <w:ind w:left="1240" w:right="1365"/>
      </w:pPr>
      <w:r>
        <w:rPr>
          <w:color w:val="231F20"/>
          <w:w w:val="110"/>
        </w:rPr>
        <w:t>local community. All our churches need to be outward looking and engage with the community around them, while enriching those who have chosen to commit themselves to the Church. How does the United Reformed Church’s understanding of membership help or hinder this process?</w:t>
      </w:r>
    </w:p>
    <w:p>
      <w:pPr>
        <w:pStyle w:val="BodyText"/>
        <w:spacing w:before="10"/>
        <w:rPr>
          <w:sz w:val="20"/>
        </w:rPr>
      </w:pPr>
    </w:p>
    <w:p>
      <w:pPr>
        <w:pStyle w:val="ListParagraph"/>
        <w:numPr>
          <w:ilvl w:val="1"/>
          <w:numId w:val="93"/>
        </w:numPr>
        <w:tabs>
          <w:tab w:pos="1921" w:val="left" w:leader="none"/>
          <w:tab w:pos="1922" w:val="left" w:leader="none"/>
        </w:tabs>
        <w:spacing w:line="273" w:lineRule="auto" w:before="0" w:after="0"/>
        <w:ind w:left="1240" w:right="1317" w:hanging="1"/>
        <w:jc w:val="left"/>
        <w:rPr>
          <w:sz w:val="18"/>
        </w:rPr>
      </w:pPr>
      <w:r>
        <w:rPr>
          <w:color w:val="231F20"/>
          <w:spacing w:val="-3"/>
          <w:w w:val="110"/>
          <w:sz w:val="18"/>
        </w:rPr>
        <w:t>We </w:t>
      </w:r>
      <w:r>
        <w:rPr>
          <w:color w:val="231F20"/>
          <w:w w:val="110"/>
          <w:sz w:val="18"/>
        </w:rPr>
        <w:t>believe that a </w:t>
      </w:r>
      <w:r>
        <w:rPr>
          <w:color w:val="231F20"/>
          <w:spacing w:val="2"/>
          <w:w w:val="110"/>
          <w:sz w:val="18"/>
        </w:rPr>
        <w:t>better </w:t>
      </w:r>
      <w:r>
        <w:rPr>
          <w:color w:val="231F20"/>
          <w:w w:val="110"/>
          <w:sz w:val="18"/>
        </w:rPr>
        <w:t>understanding and fuller participation in the idea of covenant will help create a more positive and wider understanding of membership. The bible </w:t>
      </w:r>
      <w:r>
        <w:rPr>
          <w:color w:val="231F20"/>
          <w:spacing w:val="2"/>
          <w:w w:val="110"/>
          <w:sz w:val="18"/>
        </w:rPr>
        <w:t>records </w:t>
      </w:r>
      <w:r>
        <w:rPr>
          <w:color w:val="231F20"/>
          <w:w w:val="110"/>
          <w:sz w:val="18"/>
        </w:rPr>
        <w:t>how God’s covenant with Israel was made and renewed at various points throughout</w:t>
      </w:r>
      <w:r>
        <w:rPr>
          <w:color w:val="231F20"/>
          <w:spacing w:val="8"/>
          <w:w w:val="110"/>
          <w:sz w:val="18"/>
        </w:rPr>
        <w:t> </w:t>
      </w:r>
      <w:r>
        <w:rPr>
          <w:color w:val="231F20"/>
          <w:w w:val="110"/>
          <w:sz w:val="18"/>
        </w:rPr>
        <w:t>their</w:t>
      </w:r>
      <w:r>
        <w:rPr>
          <w:color w:val="231F20"/>
          <w:spacing w:val="9"/>
          <w:w w:val="110"/>
          <w:sz w:val="18"/>
        </w:rPr>
        <w:t> </w:t>
      </w:r>
      <w:r>
        <w:rPr>
          <w:color w:val="231F20"/>
          <w:w w:val="110"/>
          <w:sz w:val="18"/>
        </w:rPr>
        <w:t>history.</w:t>
      </w:r>
      <w:r>
        <w:rPr>
          <w:color w:val="231F20"/>
          <w:spacing w:val="9"/>
          <w:w w:val="110"/>
          <w:sz w:val="18"/>
        </w:rPr>
        <w:t> </w:t>
      </w:r>
      <w:r>
        <w:rPr>
          <w:color w:val="231F20"/>
          <w:w w:val="110"/>
          <w:sz w:val="18"/>
        </w:rPr>
        <w:t>That</w:t>
      </w:r>
      <w:r>
        <w:rPr>
          <w:color w:val="231F20"/>
          <w:spacing w:val="9"/>
          <w:w w:val="110"/>
          <w:sz w:val="18"/>
        </w:rPr>
        <w:t> </w:t>
      </w:r>
      <w:r>
        <w:rPr>
          <w:color w:val="231F20"/>
          <w:w w:val="110"/>
          <w:sz w:val="18"/>
        </w:rPr>
        <w:t>experience</w:t>
      </w:r>
      <w:r>
        <w:rPr>
          <w:color w:val="231F20"/>
          <w:spacing w:val="9"/>
          <w:w w:val="110"/>
          <w:sz w:val="18"/>
        </w:rPr>
        <w:t> </w:t>
      </w:r>
      <w:r>
        <w:rPr>
          <w:color w:val="231F20"/>
          <w:w w:val="110"/>
          <w:sz w:val="18"/>
        </w:rPr>
        <w:t>invites</w:t>
      </w:r>
      <w:r>
        <w:rPr>
          <w:color w:val="231F20"/>
          <w:spacing w:val="9"/>
          <w:w w:val="110"/>
          <w:sz w:val="18"/>
        </w:rPr>
        <w:t> </w:t>
      </w:r>
      <w:r>
        <w:rPr>
          <w:color w:val="231F20"/>
          <w:w w:val="110"/>
          <w:sz w:val="18"/>
        </w:rPr>
        <w:t>the</w:t>
      </w:r>
      <w:r>
        <w:rPr>
          <w:color w:val="231F20"/>
          <w:spacing w:val="9"/>
          <w:w w:val="110"/>
          <w:sz w:val="18"/>
        </w:rPr>
        <w:t> </w:t>
      </w:r>
      <w:r>
        <w:rPr>
          <w:color w:val="231F20"/>
          <w:w w:val="110"/>
          <w:sz w:val="18"/>
        </w:rPr>
        <w:t>Church</w:t>
      </w:r>
      <w:r>
        <w:rPr>
          <w:color w:val="231F20"/>
          <w:spacing w:val="9"/>
          <w:w w:val="110"/>
          <w:sz w:val="18"/>
        </w:rPr>
        <w:t> </w:t>
      </w:r>
      <w:r>
        <w:rPr>
          <w:color w:val="231F20"/>
          <w:spacing w:val="-3"/>
          <w:w w:val="110"/>
          <w:sz w:val="18"/>
        </w:rPr>
        <w:t>today,</w:t>
      </w:r>
      <w:r>
        <w:rPr>
          <w:color w:val="231F20"/>
          <w:spacing w:val="9"/>
          <w:w w:val="110"/>
          <w:sz w:val="18"/>
        </w:rPr>
        <w:t> </w:t>
      </w:r>
      <w:r>
        <w:rPr>
          <w:color w:val="231F20"/>
          <w:w w:val="110"/>
          <w:sz w:val="18"/>
        </w:rPr>
        <w:t>living</w:t>
      </w:r>
      <w:r>
        <w:rPr>
          <w:color w:val="231F20"/>
          <w:spacing w:val="8"/>
          <w:w w:val="110"/>
          <w:sz w:val="18"/>
        </w:rPr>
        <w:t> </w:t>
      </w:r>
      <w:r>
        <w:rPr>
          <w:color w:val="231F20"/>
          <w:w w:val="110"/>
          <w:sz w:val="18"/>
        </w:rPr>
        <w:t>in</w:t>
      </w:r>
      <w:r>
        <w:rPr>
          <w:color w:val="231F20"/>
          <w:spacing w:val="9"/>
          <w:w w:val="110"/>
          <w:sz w:val="18"/>
        </w:rPr>
        <w:t> </w:t>
      </w:r>
      <w:r>
        <w:rPr>
          <w:color w:val="231F20"/>
          <w:w w:val="110"/>
          <w:sz w:val="18"/>
        </w:rPr>
        <w:t>the</w:t>
      </w:r>
      <w:r>
        <w:rPr>
          <w:color w:val="231F20"/>
          <w:spacing w:val="9"/>
          <w:w w:val="110"/>
          <w:sz w:val="18"/>
        </w:rPr>
        <w:t> </w:t>
      </w:r>
      <w:r>
        <w:rPr>
          <w:color w:val="231F20"/>
          <w:w w:val="110"/>
          <w:sz w:val="18"/>
        </w:rPr>
        <w:t>face</w:t>
      </w:r>
    </w:p>
    <w:p>
      <w:pPr>
        <w:pStyle w:val="BodyText"/>
        <w:spacing w:line="273" w:lineRule="auto" w:before="2"/>
        <w:ind w:left="1240" w:right="1365"/>
      </w:pPr>
      <w:r>
        <w:rPr>
          <w:color w:val="231F20"/>
          <w:w w:val="110"/>
        </w:rPr>
        <w:t>of individualism, social fragmentation, and global challenges affecting everyone, to act counterculturally by living an intentional, shared life which embraces relationships and responsibilities from a personal level to a global scale. Specifically, membership of the United Reformed Church is a commitment to a shared journey of faith and mission, expressed locally and through the wider councils of the Church.</w:t>
      </w:r>
    </w:p>
    <w:p>
      <w:pPr>
        <w:pStyle w:val="BodyText"/>
        <w:spacing w:before="10"/>
        <w:rPr>
          <w:sz w:val="20"/>
        </w:rPr>
      </w:pPr>
    </w:p>
    <w:p>
      <w:pPr>
        <w:pStyle w:val="ListParagraph"/>
        <w:numPr>
          <w:ilvl w:val="1"/>
          <w:numId w:val="93"/>
        </w:numPr>
        <w:tabs>
          <w:tab w:pos="1921" w:val="left" w:leader="none"/>
          <w:tab w:pos="1922" w:val="left" w:leader="none"/>
        </w:tabs>
        <w:spacing w:line="273" w:lineRule="auto" w:before="0" w:after="0"/>
        <w:ind w:left="1240" w:right="1257" w:firstLine="0"/>
        <w:jc w:val="left"/>
        <w:rPr>
          <w:sz w:val="18"/>
        </w:rPr>
      </w:pPr>
      <w:r>
        <w:rPr>
          <w:color w:val="231F20"/>
          <w:w w:val="110"/>
          <w:sz w:val="18"/>
        </w:rPr>
        <w:t>In each place, it is a covenant commitment to the local congregation to </w:t>
      </w:r>
      <w:r>
        <w:rPr>
          <w:color w:val="231F20"/>
          <w:spacing w:val="2"/>
          <w:w w:val="110"/>
          <w:sz w:val="18"/>
        </w:rPr>
        <w:t>offer </w:t>
      </w:r>
      <w:r>
        <w:rPr>
          <w:color w:val="231F20"/>
          <w:w w:val="110"/>
          <w:sz w:val="18"/>
        </w:rPr>
        <w:t>and exercise one’s </w:t>
      </w:r>
      <w:r>
        <w:rPr>
          <w:color w:val="231F20"/>
          <w:spacing w:val="2"/>
          <w:w w:val="110"/>
          <w:sz w:val="18"/>
        </w:rPr>
        <w:t>gifts </w:t>
      </w:r>
      <w:r>
        <w:rPr>
          <w:color w:val="231F20"/>
          <w:w w:val="110"/>
          <w:sz w:val="18"/>
        </w:rPr>
        <w:t>and be nurtured by the </w:t>
      </w:r>
      <w:r>
        <w:rPr>
          <w:color w:val="231F20"/>
          <w:spacing w:val="2"/>
          <w:w w:val="110"/>
          <w:sz w:val="18"/>
        </w:rPr>
        <w:t>gifts </w:t>
      </w:r>
      <w:r>
        <w:rPr>
          <w:color w:val="231F20"/>
          <w:w w:val="110"/>
          <w:sz w:val="18"/>
        </w:rPr>
        <w:t>of others. It is a commitment of time, </w:t>
      </w:r>
      <w:r>
        <w:rPr>
          <w:color w:val="231F20"/>
          <w:spacing w:val="-3"/>
          <w:w w:val="110"/>
          <w:sz w:val="18"/>
        </w:rPr>
        <w:t>prayer, </w:t>
      </w:r>
      <w:r>
        <w:rPr>
          <w:color w:val="231F20"/>
          <w:w w:val="110"/>
          <w:sz w:val="18"/>
        </w:rPr>
        <w:t>energy and money to the mission of the local Church and to play one’s </w:t>
      </w:r>
      <w:r>
        <w:rPr>
          <w:color w:val="231F20"/>
          <w:spacing w:val="2"/>
          <w:w w:val="110"/>
          <w:sz w:val="18"/>
        </w:rPr>
        <w:t>part </w:t>
      </w:r>
      <w:r>
        <w:rPr>
          <w:color w:val="231F20"/>
          <w:w w:val="110"/>
          <w:sz w:val="18"/>
        </w:rPr>
        <w:t>in making that local community of Christians a sign and manifestation of the Kingdom of God, in the fellowship of believers throughout the</w:t>
      </w:r>
      <w:r>
        <w:rPr>
          <w:color w:val="231F20"/>
          <w:spacing w:val="18"/>
          <w:w w:val="110"/>
          <w:sz w:val="18"/>
        </w:rPr>
        <w:t> </w:t>
      </w:r>
      <w:r>
        <w:rPr>
          <w:color w:val="231F20"/>
          <w:w w:val="110"/>
          <w:sz w:val="18"/>
        </w:rPr>
        <w:t>world.</w:t>
      </w:r>
    </w:p>
    <w:p>
      <w:pPr>
        <w:spacing w:after="0" w:line="273" w:lineRule="auto"/>
        <w:jc w:val="left"/>
        <w:rPr>
          <w:sz w:val="18"/>
        </w:rPr>
        <w:sectPr>
          <w:pgSz w:w="11910" w:h="16840"/>
          <w:pgMar w:header="558" w:footer="564" w:top="820" w:bottom="760" w:left="460" w:right="0"/>
        </w:sectPr>
      </w:pPr>
    </w:p>
    <w:p>
      <w:pPr>
        <w:pStyle w:val="BodyText"/>
        <w:spacing w:before="5"/>
        <w:rPr>
          <w:sz w:val="19"/>
        </w:rPr>
      </w:pPr>
    </w:p>
    <w:p>
      <w:pPr>
        <w:spacing w:after="0"/>
        <w:rPr>
          <w:sz w:val="19"/>
        </w:rPr>
        <w:sectPr>
          <w:pgSz w:w="11910" w:h="16840"/>
          <w:pgMar w:header="558" w:footer="564" w:top="820" w:bottom="760" w:left="460" w:right="0"/>
        </w:sectPr>
      </w:pPr>
    </w:p>
    <w:p>
      <w:pPr>
        <w:spacing w:before="102"/>
        <w:ind w:left="796" w:right="0" w:firstLine="0"/>
        <w:jc w:val="left"/>
        <w:rPr>
          <w:b/>
          <w:sz w:val="50"/>
        </w:rPr>
      </w:pPr>
      <w:r>
        <w:rPr/>
        <w:pict>
          <v:group style="position:absolute;margin-left:42.025169pt;margin-top:7.442706pt;width:496.6pt;height:364.05pt;mso-position-horizontal-relative:page;mso-position-vertical-relative:paragraph;z-index:-275428352" coordorigin="841,149" coordsize="9932,7281">
            <v:shape style="position:absolute;left:1143;top:213;width:4016;height:630" coordorigin="1143,214" coordsize="4016,630" path="m5159,542l1301,542,1301,214,1143,214,1143,542,1143,844,5159,844,5159,542e" filled="true" fillcolor="#d8dadc" stroked="false">
              <v:path arrowok="t"/>
              <v:fill type="solid"/>
            </v:shape>
            <v:line style="position:absolute" from="1143,208" to="5159,208" stroked="true" strokeweight=".6pt" strokecolor="#d8dadc">
              <v:stroke dashstyle="solid"/>
            </v:line>
            <v:shape style="position:absolute;left:1301;top:213;width:3858;height:328" coordorigin="1301,214" coordsize="3858,328" path="m5159,214l4744,214,1301,214,1301,541,4744,541,5159,541,5159,214e" filled="true" fillcolor="#d8dadc" stroked="false">
              <v:path arrowok="t"/>
              <v:fill type="solid"/>
            </v:shape>
            <v:shape style="position:absolute;left:840;top:148;width:9932;height:7281" type="#_x0000_t75" stroked="false">
              <v:imagedata r:id="rId226" o:title=""/>
            </v:shape>
            <w10:wrap type="none"/>
          </v:group>
        </w:pict>
      </w: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47"/>
          <w:w w:val="111"/>
          <w:sz w:val="43"/>
        </w:rPr>
        <w:t>O</w:t>
      </w:r>
      <w:r>
        <w:rPr>
          <w:b/>
          <w:color w:val="231F20"/>
          <w:spacing w:val="-155"/>
          <w:w w:val="112"/>
          <w:position w:val="-17"/>
          <w:sz w:val="50"/>
        </w:rPr>
        <w:t>3</w:t>
      </w:r>
      <w:r>
        <w:rPr>
          <w:b/>
          <w:color w:val="FFFFFF"/>
          <w:spacing w:val="-273"/>
          <w:w w:val="111"/>
          <w:sz w:val="43"/>
        </w:rPr>
        <w:t>N</w:t>
      </w:r>
      <w:r>
        <w:rPr>
          <w:b/>
          <w:color w:val="231F20"/>
          <w:spacing w:val="-21"/>
          <w:w w:val="112"/>
          <w:position w:val="-17"/>
          <w:sz w:val="50"/>
        </w:rPr>
        <w:t>7</w:t>
      </w:r>
    </w:p>
    <w:p>
      <w:pPr>
        <w:pStyle w:val="BodyText"/>
        <w:spacing w:before="212"/>
        <w:ind w:left="673"/>
      </w:pPr>
      <w:r>
        <w:rPr>
          <w:color w:val="231F20"/>
          <w:w w:val="110"/>
        </w:rPr>
        <w:t>General Assembly:</w:t>
      </w:r>
    </w:p>
    <w:p>
      <w:pPr>
        <w:pStyle w:val="BodyText"/>
        <w:rPr>
          <w:sz w:val="24"/>
        </w:rPr>
      </w:pPr>
      <w:r>
        <w:rPr/>
        <w:br w:type="column"/>
      </w:r>
      <w:r>
        <w:rPr>
          <w:sz w:val="24"/>
        </w:rPr>
      </w:r>
    </w:p>
    <w:p>
      <w:pPr>
        <w:pStyle w:val="BodyText"/>
        <w:spacing w:before="1"/>
      </w:pPr>
    </w:p>
    <w:p>
      <w:pPr>
        <w:spacing w:before="0"/>
        <w:ind w:left="673" w:right="0" w:firstLine="0"/>
        <w:jc w:val="left"/>
        <w:rPr>
          <w:b/>
          <w:sz w:val="20"/>
        </w:rPr>
      </w:pPr>
      <w:r>
        <w:rPr>
          <w:b/>
          <w:color w:val="231F20"/>
          <w:w w:val="110"/>
          <w:sz w:val="20"/>
        </w:rPr>
        <w:t>Covenant Membership and Mission</w:t>
      </w:r>
    </w:p>
    <w:p>
      <w:pPr>
        <w:spacing w:after="0"/>
        <w:jc w:val="left"/>
        <w:rPr>
          <w:sz w:val="20"/>
        </w:rPr>
        <w:sectPr>
          <w:type w:val="continuous"/>
          <w:pgSz w:w="11910" w:h="16840"/>
          <w:pgMar w:top="680" w:bottom="280" w:left="460" w:right="0"/>
          <w:cols w:num="2" w:equalWidth="0">
            <w:col w:w="4474" w:space="288"/>
            <w:col w:w="6688"/>
          </w:cols>
        </w:sectPr>
      </w:pPr>
    </w:p>
    <w:p>
      <w:pPr>
        <w:pStyle w:val="BodyText"/>
        <w:spacing w:before="11"/>
        <w:rPr>
          <w:b/>
          <w:sz w:val="14"/>
        </w:rPr>
      </w:pPr>
    </w:p>
    <w:p>
      <w:pPr>
        <w:pStyle w:val="ListParagraph"/>
        <w:numPr>
          <w:ilvl w:val="0"/>
          <w:numId w:val="96"/>
        </w:numPr>
        <w:tabs>
          <w:tab w:pos="1393" w:val="left" w:leader="none"/>
          <w:tab w:pos="1394" w:val="left" w:leader="none"/>
        </w:tabs>
        <w:spacing w:line="273" w:lineRule="auto" w:before="100" w:after="0"/>
        <w:ind w:left="673" w:right="2059" w:firstLine="0"/>
        <w:jc w:val="left"/>
        <w:rPr>
          <w:sz w:val="18"/>
        </w:rPr>
      </w:pPr>
      <w:r>
        <w:rPr>
          <w:color w:val="231F20"/>
          <w:spacing w:val="2"/>
          <w:w w:val="110"/>
          <w:sz w:val="18"/>
        </w:rPr>
        <w:t>reaffirms </w:t>
      </w:r>
      <w:r>
        <w:rPr>
          <w:color w:val="231F20"/>
          <w:w w:val="110"/>
          <w:sz w:val="18"/>
        </w:rPr>
        <w:t>local church membership as an expression of faithful and committed </w:t>
      </w:r>
      <w:r>
        <w:rPr>
          <w:color w:val="231F20"/>
          <w:spacing w:val="2"/>
          <w:w w:val="110"/>
          <w:sz w:val="18"/>
        </w:rPr>
        <w:t>response </w:t>
      </w:r>
      <w:r>
        <w:rPr>
          <w:color w:val="231F20"/>
          <w:w w:val="110"/>
          <w:sz w:val="18"/>
        </w:rPr>
        <w:t>to God’s covenant with creation and Christ’s call to discipleship within the fellowship of the</w:t>
      </w:r>
      <w:r>
        <w:rPr>
          <w:color w:val="231F20"/>
          <w:spacing w:val="2"/>
          <w:w w:val="110"/>
          <w:sz w:val="18"/>
        </w:rPr>
        <w:t> </w:t>
      </w:r>
      <w:r>
        <w:rPr>
          <w:color w:val="231F20"/>
          <w:w w:val="110"/>
          <w:sz w:val="18"/>
        </w:rPr>
        <w:t>Church;</w:t>
      </w:r>
    </w:p>
    <w:p>
      <w:pPr>
        <w:pStyle w:val="BodyText"/>
        <w:spacing w:before="9"/>
        <w:rPr>
          <w:sz w:val="20"/>
        </w:rPr>
      </w:pPr>
    </w:p>
    <w:p>
      <w:pPr>
        <w:pStyle w:val="ListParagraph"/>
        <w:numPr>
          <w:ilvl w:val="0"/>
          <w:numId w:val="96"/>
        </w:numPr>
        <w:tabs>
          <w:tab w:pos="1393" w:val="left" w:leader="none"/>
          <w:tab w:pos="1394" w:val="left" w:leader="none"/>
        </w:tabs>
        <w:spacing w:line="273" w:lineRule="auto" w:before="0" w:after="0"/>
        <w:ind w:left="673" w:right="2361" w:firstLine="0"/>
        <w:jc w:val="left"/>
        <w:rPr>
          <w:sz w:val="18"/>
        </w:rPr>
      </w:pPr>
      <w:r>
        <w:rPr>
          <w:color w:val="231F20"/>
          <w:w w:val="110"/>
          <w:sz w:val="18"/>
        </w:rPr>
        <w:t>encourages all churches to initiate conversations within their congregations and with other </w:t>
      </w:r>
      <w:r>
        <w:rPr>
          <w:color w:val="231F20"/>
          <w:spacing w:val="2"/>
          <w:w w:val="110"/>
          <w:sz w:val="18"/>
        </w:rPr>
        <w:t>partners </w:t>
      </w:r>
      <w:r>
        <w:rPr>
          <w:color w:val="231F20"/>
          <w:w w:val="110"/>
          <w:sz w:val="18"/>
        </w:rPr>
        <w:t>on renewing their understanding of covenant membership and to explore the </w:t>
      </w:r>
      <w:r>
        <w:rPr>
          <w:color w:val="231F20"/>
          <w:spacing w:val="2"/>
          <w:w w:val="110"/>
          <w:sz w:val="18"/>
        </w:rPr>
        <w:t>importance </w:t>
      </w:r>
      <w:r>
        <w:rPr>
          <w:color w:val="231F20"/>
          <w:w w:val="110"/>
          <w:sz w:val="18"/>
        </w:rPr>
        <w:t>of personal faith and commitment in creating flourishing</w:t>
      </w:r>
      <w:r>
        <w:rPr>
          <w:color w:val="231F20"/>
          <w:spacing w:val="1"/>
          <w:w w:val="110"/>
          <w:sz w:val="18"/>
        </w:rPr>
        <w:t> </w:t>
      </w:r>
      <w:r>
        <w:rPr>
          <w:color w:val="231F20"/>
          <w:w w:val="110"/>
          <w:sz w:val="18"/>
        </w:rPr>
        <w:t>communities;</w:t>
      </w:r>
    </w:p>
    <w:p>
      <w:pPr>
        <w:pStyle w:val="BodyText"/>
        <w:spacing w:before="10"/>
        <w:rPr>
          <w:sz w:val="20"/>
        </w:rPr>
      </w:pPr>
    </w:p>
    <w:p>
      <w:pPr>
        <w:pStyle w:val="ListParagraph"/>
        <w:numPr>
          <w:ilvl w:val="0"/>
          <w:numId w:val="96"/>
        </w:numPr>
        <w:tabs>
          <w:tab w:pos="1393" w:val="left" w:leader="none"/>
          <w:tab w:pos="1394" w:val="left" w:leader="none"/>
        </w:tabs>
        <w:spacing w:line="273" w:lineRule="auto" w:before="0" w:after="0"/>
        <w:ind w:left="673" w:right="2390" w:firstLine="0"/>
        <w:jc w:val="left"/>
        <w:rPr>
          <w:sz w:val="18"/>
        </w:rPr>
      </w:pPr>
      <w:r>
        <w:rPr>
          <w:color w:val="231F20"/>
          <w:w w:val="110"/>
          <w:sz w:val="18"/>
        </w:rPr>
        <w:t>asks Mission Council to examine the feasibility of providing the option of multiple membership within the United Reformed Church, and between the United Reformed Church and ecumenical </w:t>
      </w:r>
      <w:r>
        <w:rPr>
          <w:color w:val="231F20"/>
          <w:spacing w:val="2"/>
          <w:w w:val="110"/>
          <w:sz w:val="18"/>
        </w:rPr>
        <w:t>partners, </w:t>
      </w:r>
      <w:r>
        <w:rPr>
          <w:color w:val="231F20"/>
          <w:w w:val="110"/>
          <w:sz w:val="18"/>
        </w:rPr>
        <w:t>which is recognised by local churches and the wider</w:t>
      </w:r>
      <w:r>
        <w:rPr>
          <w:color w:val="231F20"/>
          <w:spacing w:val="2"/>
          <w:w w:val="110"/>
          <w:sz w:val="18"/>
        </w:rPr>
        <w:t> </w:t>
      </w:r>
      <w:r>
        <w:rPr>
          <w:color w:val="231F20"/>
          <w:w w:val="110"/>
          <w:sz w:val="18"/>
        </w:rPr>
        <w:t>Church;</w:t>
      </w:r>
    </w:p>
    <w:p>
      <w:pPr>
        <w:pStyle w:val="BodyText"/>
        <w:spacing w:before="9"/>
        <w:rPr>
          <w:sz w:val="20"/>
        </w:rPr>
      </w:pPr>
    </w:p>
    <w:p>
      <w:pPr>
        <w:pStyle w:val="ListParagraph"/>
        <w:numPr>
          <w:ilvl w:val="0"/>
          <w:numId w:val="96"/>
        </w:numPr>
        <w:tabs>
          <w:tab w:pos="1393" w:val="left" w:leader="none"/>
          <w:tab w:pos="1394" w:val="left" w:leader="none"/>
        </w:tabs>
        <w:spacing w:line="273" w:lineRule="auto" w:before="0" w:after="0"/>
        <w:ind w:left="673" w:right="1934" w:firstLine="0"/>
        <w:jc w:val="left"/>
        <w:rPr>
          <w:sz w:val="18"/>
        </w:rPr>
      </w:pPr>
      <w:r>
        <w:rPr>
          <w:color w:val="231F20"/>
          <w:w w:val="110"/>
          <w:sz w:val="18"/>
        </w:rPr>
        <w:t>asks Mission Council to devise a </w:t>
      </w:r>
      <w:r>
        <w:rPr>
          <w:color w:val="231F20"/>
          <w:spacing w:val="2"/>
          <w:w w:val="110"/>
          <w:sz w:val="18"/>
        </w:rPr>
        <w:t>process </w:t>
      </w:r>
      <w:r>
        <w:rPr>
          <w:color w:val="231F20"/>
          <w:w w:val="110"/>
          <w:sz w:val="18"/>
        </w:rPr>
        <w:t>for agreeing local church contributions towards the Ministry and Mission Fund which do not primarily focus on membership numbers, with a view to implementing it throughout the United Reformed</w:t>
      </w:r>
      <w:r>
        <w:rPr>
          <w:color w:val="231F20"/>
          <w:spacing w:val="14"/>
          <w:w w:val="110"/>
          <w:sz w:val="18"/>
        </w:rPr>
        <w:t> </w:t>
      </w:r>
      <w:r>
        <w:rPr>
          <w:color w:val="231F20"/>
          <w:w w:val="110"/>
          <w:sz w:val="18"/>
        </w:rPr>
        <w:t>Church;</w:t>
      </w:r>
    </w:p>
    <w:p>
      <w:pPr>
        <w:pStyle w:val="BodyText"/>
        <w:spacing w:before="9"/>
        <w:rPr>
          <w:sz w:val="20"/>
        </w:rPr>
      </w:pPr>
    </w:p>
    <w:p>
      <w:pPr>
        <w:pStyle w:val="ListParagraph"/>
        <w:numPr>
          <w:ilvl w:val="0"/>
          <w:numId w:val="96"/>
        </w:numPr>
        <w:tabs>
          <w:tab w:pos="1393" w:val="left" w:leader="none"/>
          <w:tab w:pos="1394" w:val="left" w:leader="none"/>
        </w:tabs>
        <w:spacing w:line="273" w:lineRule="auto" w:before="0" w:after="0"/>
        <w:ind w:left="673" w:right="1899" w:firstLine="0"/>
        <w:jc w:val="left"/>
        <w:rPr>
          <w:sz w:val="18"/>
        </w:rPr>
      </w:pPr>
      <w:r>
        <w:rPr>
          <w:color w:val="231F20"/>
          <w:w w:val="110"/>
          <w:sz w:val="18"/>
        </w:rPr>
        <w:t>invites local churches to explore holding an annual Covenant </w:t>
      </w:r>
      <w:r>
        <w:rPr>
          <w:color w:val="231F20"/>
          <w:spacing w:val="2"/>
          <w:w w:val="110"/>
          <w:sz w:val="18"/>
        </w:rPr>
        <w:t>Service </w:t>
      </w:r>
      <w:r>
        <w:rPr>
          <w:color w:val="231F20"/>
          <w:w w:val="110"/>
          <w:sz w:val="18"/>
        </w:rPr>
        <w:t>as a way   of renewing the corporate commitment of existing members, welcoming new </w:t>
      </w:r>
      <w:r>
        <w:rPr>
          <w:color w:val="231F20"/>
          <w:spacing w:val="2"/>
          <w:w w:val="110"/>
          <w:sz w:val="18"/>
        </w:rPr>
        <w:t>members</w:t>
      </w:r>
      <w:r>
        <w:rPr>
          <w:color w:val="231F20"/>
          <w:spacing w:val="73"/>
          <w:w w:val="110"/>
          <w:sz w:val="18"/>
        </w:rPr>
        <w:t> </w:t>
      </w:r>
      <w:r>
        <w:rPr>
          <w:color w:val="231F20"/>
          <w:w w:val="110"/>
          <w:sz w:val="18"/>
        </w:rPr>
        <w:t>and providing a regular focus for discussion about the meaning and context of membership within the United Reformed</w:t>
      </w:r>
      <w:r>
        <w:rPr>
          <w:color w:val="231F20"/>
          <w:spacing w:val="10"/>
          <w:w w:val="110"/>
          <w:sz w:val="18"/>
        </w:rPr>
        <w:t> </w:t>
      </w:r>
      <w:r>
        <w:rPr>
          <w:color w:val="231F20"/>
          <w:w w:val="110"/>
          <w:sz w:val="18"/>
        </w:rPr>
        <w:t>Church.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309"/>
        <w:ind w:left="0" w:right="1024" w:firstLine="0"/>
        <w:jc w:val="center"/>
        <w:rPr>
          <w:i/>
          <w:sz w:val="24"/>
        </w:rPr>
      </w:pPr>
      <w:r>
        <w:rPr>
          <w:i/>
          <w:color w:val="231F20"/>
          <w:w w:val="600"/>
          <w:sz w:val="24"/>
        </w:rPr>
        <w:t> </w:t>
      </w:r>
      <w:r>
        <w:rPr>
          <w:i/>
          <w:color w:val="231F20"/>
          <w:spacing w:val="-1"/>
          <w:w w:val="600"/>
          <w:sz w:val="24"/>
        </w:rPr>
        <w:t> </w:t>
      </w:r>
      <w:r>
        <w:rPr>
          <w:i/>
          <w:color w:val="231F20"/>
          <w:w w:val="600"/>
          <w:sz w:val="24"/>
        </w:rPr>
        <w:t> </w:t>
      </w:r>
    </w:p>
    <w:p>
      <w:pPr>
        <w:spacing w:after="0"/>
        <w:jc w:val="center"/>
        <w:rPr>
          <w:sz w:val="24"/>
        </w:rPr>
        <w:sectPr>
          <w:type w:val="continuous"/>
          <w:pgSz w:w="11910" w:h="16840"/>
          <w:pgMar w:top="680" w:bottom="280" w:left="460" w:right="0"/>
        </w:sectPr>
      </w:pPr>
    </w:p>
    <w:p>
      <w:pPr>
        <w:spacing w:before="76"/>
        <w:ind w:left="1240" w:right="0" w:firstLine="0"/>
        <w:jc w:val="left"/>
        <w:rPr>
          <w:b/>
          <w:sz w:val="18"/>
        </w:rPr>
      </w:pPr>
      <w:r>
        <w:rPr/>
        <w:pict>
          <v:shape style="position:absolute;margin-left:524.346375pt;margin-top:36.840614pt;width:50.65pt;height:217.5pt;mso-position-horizontal-relative:page;mso-position-vertical-relative:page;z-index:251837440" type="#_x0000_t202" filled="false" stroked="false">
            <v:textbox inset="0,0,0,0" style="layout-flow:vertical">
              <w:txbxContent>
                <w:p>
                  <w:pPr>
                    <w:spacing w:before="20"/>
                    <w:ind w:left="20" w:right="0" w:firstLine="0"/>
                    <w:jc w:val="left"/>
                    <w:rPr>
                      <w:b/>
                      <w:sz w:val="80"/>
                    </w:rPr>
                  </w:pPr>
                  <w:r>
                    <w:rPr>
                      <w:b/>
                      <w:color w:val="231F20"/>
                      <w:spacing w:val="-9"/>
                      <w:sz w:val="80"/>
                    </w:rPr>
                    <w:t>Ministries</w:t>
                  </w:r>
                </w:p>
              </w:txbxContent>
            </v:textbox>
            <w10:wrap type="none"/>
          </v:shape>
        </w:pict>
      </w:r>
      <w:r>
        <w:rPr/>
        <w:pict>
          <v:shape style="position:absolute;margin-left:521.982056pt;margin-top:578.250305pt;width:20pt;height:190.9pt;mso-position-horizontal-relative:page;mso-position-vertical-relative:page;z-index:251838464"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Changes to the Roll of Ministers</w:t>
      </w:r>
    </w:p>
    <w:p>
      <w:pPr>
        <w:pStyle w:val="BodyText"/>
        <w:spacing w:before="31"/>
        <w:ind w:left="1240"/>
      </w:pPr>
      <w:r>
        <w:rPr/>
        <w:pict>
          <v:shape style="position:absolute;margin-left:476.346375pt;margin-top:1.245070pt;width:50.65pt;height:656.1pt;mso-position-horizontal-relative:page;mso-position-vertical-relative:paragraph;z-index:251839488" type="#_x0000_t202" filled="false" stroked="false">
            <v:textbox inset="0,0,0,0" style="layout-flow:vertical">
              <w:txbxContent>
                <w:p>
                  <w:pPr>
                    <w:spacing w:before="20"/>
                    <w:ind w:left="20" w:right="0" w:firstLine="0"/>
                    <w:jc w:val="left"/>
                    <w:rPr>
                      <w:b/>
                      <w:sz w:val="80"/>
                    </w:rPr>
                  </w:pPr>
                  <w:r>
                    <w:rPr>
                      <w:b/>
                      <w:color w:val="231F20"/>
                      <w:spacing w:val="-8"/>
                      <w:sz w:val="80"/>
                    </w:rPr>
                    <w:t>Accreditation </w:t>
                  </w:r>
                  <w:r>
                    <w:rPr>
                      <w:b/>
                      <w:color w:val="231F20"/>
                      <w:spacing w:val="-5"/>
                      <w:sz w:val="80"/>
                    </w:rPr>
                    <w:t>Sub-Committee</w:t>
                  </w:r>
                </w:p>
              </w:txbxContent>
            </v:textbox>
            <w10:wrap type="none"/>
          </v:shape>
        </w:pict>
      </w:r>
      <w:r>
        <w:rPr>
          <w:color w:val="231F20"/>
          <w:w w:val="110"/>
        </w:rPr>
        <w:t>(from 1</w:t>
      </w:r>
      <w:r>
        <w:rPr>
          <w:color w:val="231F20"/>
          <w:w w:val="110"/>
          <w:position w:val="6"/>
          <w:sz w:val="10"/>
        </w:rPr>
        <w:t>st </w:t>
      </w:r>
      <w:r>
        <w:rPr>
          <w:color w:val="231F20"/>
          <w:w w:val="110"/>
        </w:rPr>
        <w:t>April 2006 to 31</w:t>
      </w:r>
      <w:r>
        <w:rPr>
          <w:color w:val="231F20"/>
          <w:w w:val="110"/>
          <w:position w:val="6"/>
          <w:sz w:val="10"/>
        </w:rPr>
        <w:t>st </w:t>
      </w:r>
      <w:r>
        <w:rPr>
          <w:color w:val="231F20"/>
          <w:w w:val="110"/>
        </w:rPr>
        <w:t>March 2007)</w:t>
      </w:r>
    </w:p>
    <w:p>
      <w:pPr>
        <w:pStyle w:val="BodyText"/>
        <w:spacing w:before="1"/>
        <w:rPr>
          <w:sz w:val="23"/>
        </w:rPr>
      </w:pPr>
    </w:p>
    <w:p>
      <w:pPr>
        <w:pStyle w:val="BodyText"/>
        <w:spacing w:line="273" w:lineRule="auto" w:before="1"/>
        <w:ind w:left="1240" w:right="3823"/>
      </w:pPr>
      <w:r>
        <w:rPr>
          <w:b/>
          <w:color w:val="231F20"/>
          <w:w w:val="110"/>
        </w:rPr>
        <w:t>Admissions by Ordination and induction: </w:t>
      </w:r>
      <w:r>
        <w:rPr>
          <w:color w:val="231F20"/>
          <w:w w:val="110"/>
        </w:rPr>
        <w:t>Bridget Banks, Andrew Birch, Bill Bowman, Kirsty-Ann Burroughs, Sheila Coop, Lindsey Cottam, Louise Gee, Murray George, Colin Harley, Gillian Heald, Viv Henderson, Richard Howard, Suk In Lee,   Craig Jesson, Jenny Kilgour, Iain McDonald, </w:t>
      </w:r>
      <w:r>
        <w:rPr>
          <w:color w:val="231F20"/>
          <w:spacing w:val="2"/>
          <w:w w:val="110"/>
        </w:rPr>
        <w:t>Martyn</w:t>
      </w:r>
      <w:r>
        <w:rPr>
          <w:color w:val="231F20"/>
          <w:spacing w:val="36"/>
          <w:w w:val="110"/>
        </w:rPr>
        <w:t> </w:t>
      </w:r>
      <w:r>
        <w:rPr>
          <w:color w:val="231F20"/>
          <w:w w:val="110"/>
        </w:rPr>
        <w:t>Neads,</w:t>
      </w:r>
    </w:p>
    <w:p>
      <w:pPr>
        <w:pStyle w:val="BodyText"/>
        <w:spacing w:before="3"/>
        <w:ind w:left="1240"/>
      </w:pPr>
      <w:r>
        <w:rPr>
          <w:color w:val="231F20"/>
          <w:w w:val="110"/>
        </w:rPr>
        <w:t>Jon Sermon, Jenny Snashall, Samantha White, Malcolm Wright.</w:t>
      </w:r>
    </w:p>
    <w:p>
      <w:pPr>
        <w:pStyle w:val="BodyText"/>
        <w:rPr>
          <w:sz w:val="22"/>
        </w:rPr>
      </w:pPr>
    </w:p>
    <w:p>
      <w:pPr>
        <w:pStyle w:val="BodyText"/>
        <w:spacing w:before="8"/>
        <w:rPr>
          <w:sz w:val="21"/>
        </w:rPr>
      </w:pPr>
    </w:p>
    <w:p>
      <w:pPr>
        <w:spacing w:before="0"/>
        <w:ind w:left="1240" w:right="0" w:firstLine="0"/>
        <w:jc w:val="left"/>
        <w:rPr>
          <w:b/>
          <w:sz w:val="18"/>
        </w:rPr>
      </w:pPr>
      <w:r>
        <w:rPr>
          <w:b/>
          <w:color w:val="231F20"/>
          <w:w w:val="110"/>
          <w:sz w:val="18"/>
        </w:rPr>
        <w:t>Changes from non-stipendiary to stipendiary service:</w:t>
      </w:r>
    </w:p>
    <w:p>
      <w:pPr>
        <w:pStyle w:val="BodyText"/>
        <w:spacing w:before="32"/>
        <w:ind w:left="1240"/>
      </w:pPr>
      <w:r>
        <w:rPr>
          <w:color w:val="231F20"/>
          <w:w w:val="110"/>
        </w:rPr>
        <w:t>Sue Powell, Mark Woodhouse.</w:t>
      </w:r>
    </w:p>
    <w:p>
      <w:pPr>
        <w:pStyle w:val="BodyText"/>
        <w:spacing w:before="1"/>
        <w:rPr>
          <w:sz w:val="23"/>
        </w:rPr>
      </w:pPr>
    </w:p>
    <w:p>
      <w:pPr>
        <w:spacing w:line="273" w:lineRule="auto" w:before="0"/>
        <w:ind w:left="1240" w:right="3181" w:firstLine="0"/>
        <w:jc w:val="left"/>
        <w:rPr>
          <w:b/>
          <w:sz w:val="18"/>
        </w:rPr>
      </w:pPr>
      <w:r>
        <w:rPr>
          <w:b/>
          <w:color w:val="231F20"/>
          <w:w w:val="110"/>
          <w:sz w:val="18"/>
        </w:rPr>
        <w:t>Deletions from the Roll of Ministers by Resignation, Removal and/or Transfer to other Churches:</w:t>
      </w:r>
    </w:p>
    <w:p>
      <w:pPr>
        <w:pStyle w:val="BodyText"/>
        <w:spacing w:line="273" w:lineRule="auto" w:before="2"/>
        <w:ind w:left="1240" w:right="3181"/>
      </w:pPr>
      <w:r>
        <w:rPr>
          <w:color w:val="231F20"/>
          <w:w w:val="110"/>
        </w:rPr>
        <w:t>Christopher Ball (to the Church of England), Christopher Elliott, Geoffrey Hewitt (Methodist Church in Ireland).</w:t>
      </w:r>
    </w:p>
    <w:p>
      <w:pPr>
        <w:pStyle w:val="BodyText"/>
        <w:rPr>
          <w:sz w:val="22"/>
        </w:rPr>
      </w:pPr>
    </w:p>
    <w:p>
      <w:pPr>
        <w:pStyle w:val="BodyText"/>
        <w:spacing w:before="3"/>
        <w:rPr>
          <w:sz w:val="19"/>
        </w:rPr>
      </w:pPr>
    </w:p>
    <w:p>
      <w:pPr>
        <w:spacing w:before="0"/>
        <w:ind w:left="1240" w:right="0" w:firstLine="0"/>
        <w:jc w:val="left"/>
        <w:rPr>
          <w:b/>
          <w:sz w:val="18"/>
        </w:rPr>
      </w:pPr>
      <w:r>
        <w:rPr>
          <w:b/>
          <w:color w:val="231F20"/>
          <w:w w:val="110"/>
          <w:sz w:val="18"/>
        </w:rPr>
        <w:t>Admission to the List of Church Related Community Workers</w:t>
      </w:r>
    </w:p>
    <w:p>
      <w:pPr>
        <w:pStyle w:val="BodyText"/>
        <w:spacing w:before="31"/>
        <w:ind w:left="1240"/>
      </w:pPr>
      <w:r>
        <w:rPr>
          <w:color w:val="231F20"/>
          <w:w w:val="110"/>
        </w:rPr>
        <w:t>(from 1</w:t>
      </w:r>
      <w:r>
        <w:rPr>
          <w:color w:val="231F20"/>
          <w:w w:val="110"/>
          <w:position w:val="6"/>
          <w:sz w:val="10"/>
        </w:rPr>
        <w:t>st </w:t>
      </w:r>
      <w:r>
        <w:rPr>
          <w:color w:val="231F20"/>
          <w:w w:val="110"/>
        </w:rPr>
        <w:t>April 2006 to 31</w:t>
      </w:r>
      <w:r>
        <w:rPr>
          <w:color w:val="231F20"/>
          <w:w w:val="110"/>
          <w:position w:val="6"/>
          <w:sz w:val="10"/>
        </w:rPr>
        <w:t>st </w:t>
      </w:r>
      <w:r>
        <w:rPr>
          <w:color w:val="231F20"/>
          <w:w w:val="110"/>
        </w:rPr>
        <w:t>March 2007)</w:t>
      </w:r>
    </w:p>
    <w:p>
      <w:pPr>
        <w:spacing w:before="31"/>
        <w:ind w:left="1240" w:right="0" w:firstLine="0"/>
        <w:jc w:val="left"/>
        <w:rPr>
          <w:sz w:val="18"/>
        </w:rPr>
      </w:pPr>
      <w:r>
        <w:rPr>
          <w:b/>
          <w:color w:val="231F20"/>
          <w:w w:val="110"/>
          <w:sz w:val="18"/>
        </w:rPr>
        <w:t>By Commissioning: </w:t>
      </w:r>
      <w:r>
        <w:rPr>
          <w:color w:val="231F20"/>
          <w:w w:val="110"/>
          <w:sz w:val="18"/>
        </w:rPr>
        <w:t>Pat Oliver</w:t>
      </w:r>
    </w:p>
    <w:p>
      <w:pPr>
        <w:pStyle w:val="BodyText"/>
        <w:rPr>
          <w:sz w:val="20"/>
        </w:rPr>
      </w:pPr>
    </w:p>
    <w:p>
      <w:pPr>
        <w:pStyle w:val="BodyText"/>
        <w:rPr>
          <w:sz w:val="20"/>
        </w:rPr>
      </w:pPr>
    </w:p>
    <w:p>
      <w:pPr>
        <w:pStyle w:val="BodyText"/>
        <w:rPr>
          <w:sz w:val="20"/>
        </w:rPr>
      </w:pPr>
    </w:p>
    <w:p>
      <w:pPr>
        <w:pStyle w:val="BodyText"/>
        <w:spacing w:before="5"/>
        <w:rPr>
          <w:sz w:val="29"/>
        </w:rPr>
      </w:pPr>
    </w:p>
    <w:p>
      <w:pPr>
        <w:spacing w:before="309"/>
        <w:ind w:left="0" w:right="911" w:firstLine="0"/>
        <w:jc w:val="center"/>
        <w:rPr>
          <w:i/>
          <w:sz w:val="24"/>
        </w:rPr>
      </w:pPr>
      <w:r>
        <w:rPr>
          <w:i/>
          <w:color w:val="231F20"/>
          <w:w w:val="600"/>
          <w:sz w:val="24"/>
        </w:rPr>
        <w:t>   </w:t>
      </w:r>
    </w:p>
    <w:p>
      <w:pPr>
        <w:spacing w:after="0"/>
        <w:jc w:val="center"/>
        <w:rPr>
          <w:sz w:val="24"/>
        </w:rPr>
        <w:sectPr>
          <w:headerReference w:type="default" r:id="rId227"/>
          <w:footerReference w:type="default" r:id="rId228"/>
          <w:footerReference w:type="even" r:id="rId229"/>
          <w:pgSz w:w="11910" w:h="16840"/>
          <w:pgMar w:header="0" w:footer="564" w:top="1220" w:bottom="760" w:left="460" w:right="0"/>
          <w:pgNumType w:start="157"/>
        </w:sectPr>
      </w:pPr>
    </w:p>
    <w:p>
      <w:pPr>
        <w:pStyle w:val="BodyText"/>
        <w:spacing w:before="5"/>
        <w:rPr>
          <w:i/>
          <w:sz w:val="16"/>
        </w:rPr>
      </w:pPr>
    </w:p>
    <w:p>
      <w:pPr>
        <w:spacing w:after="0"/>
        <w:rPr>
          <w:sz w:val="16"/>
        </w:rPr>
        <w:sectPr>
          <w:headerReference w:type="even" r:id="rId230"/>
          <w:pgSz w:w="11910" w:h="16840"/>
          <w:pgMar w:header="0" w:footer="484" w:top="1580" w:bottom="680" w:left="460" w:right="0"/>
        </w:sectPr>
      </w:pPr>
    </w:p>
    <w:p>
      <w:pPr>
        <w:pStyle w:val="BodyText"/>
        <w:spacing w:line="273" w:lineRule="auto" w:before="78"/>
        <w:ind w:left="1240" w:right="2930"/>
      </w:pPr>
      <w:r>
        <w:rPr/>
        <w:pict>
          <v:shape style="position:absolute;margin-left:523.527466pt;margin-top:36.840614pt;width:50.65pt;height:217.5pt;mso-position-horizontal-relative:page;mso-position-vertical-relative:page;z-index:251840512" type="#_x0000_t202" filled="false" stroked="false">
            <v:textbox inset="0,0,0,0" style="layout-flow:vertical">
              <w:txbxContent>
                <w:p>
                  <w:pPr>
                    <w:spacing w:before="20"/>
                    <w:ind w:left="20" w:right="0" w:firstLine="0"/>
                    <w:jc w:val="left"/>
                    <w:rPr>
                      <w:b/>
                      <w:sz w:val="80"/>
                    </w:rPr>
                  </w:pPr>
                  <w:r>
                    <w:rPr>
                      <w:b/>
                      <w:color w:val="231F20"/>
                      <w:spacing w:val="-9"/>
                      <w:sz w:val="80"/>
                    </w:rPr>
                    <w:t>Ministries</w:t>
                  </w:r>
                </w:p>
              </w:txbxContent>
            </v:textbox>
            <w10:wrap type="none"/>
          </v:shape>
        </w:pict>
      </w:r>
      <w:r>
        <w:rPr/>
        <w:pict>
          <v:shape style="position:absolute;margin-left:475.527466pt;margin-top:77.880615pt;width:50.65pt;height:674.1pt;mso-position-horizontal-relative:page;mso-position-vertical-relative:page;z-index:251842560" type="#_x0000_t202" filled="false" stroked="false">
            <v:textbox inset="0,0,0,0" style="layout-flow:vertical">
              <w:txbxContent>
                <w:p>
                  <w:pPr>
                    <w:spacing w:before="20"/>
                    <w:ind w:left="20" w:right="0" w:firstLine="0"/>
                    <w:jc w:val="left"/>
                    <w:rPr>
                      <w:b/>
                      <w:sz w:val="80"/>
                    </w:rPr>
                  </w:pPr>
                  <w:r>
                    <w:rPr>
                      <w:b/>
                      <w:color w:val="231F20"/>
                      <w:spacing w:val="-8"/>
                      <w:sz w:val="80"/>
                    </w:rPr>
                    <w:t>Lay </w:t>
                  </w:r>
                  <w:r>
                    <w:rPr>
                      <w:b/>
                      <w:color w:val="231F20"/>
                      <w:spacing w:val="-7"/>
                      <w:sz w:val="80"/>
                    </w:rPr>
                    <w:t>Preachers </w:t>
                  </w:r>
                  <w:r>
                    <w:rPr>
                      <w:b/>
                      <w:color w:val="231F20"/>
                      <w:spacing w:val="-5"/>
                      <w:sz w:val="80"/>
                    </w:rPr>
                    <w:t>Sub-Committee</w:t>
                  </w:r>
                </w:p>
              </w:txbxContent>
            </v:textbox>
            <w10:wrap type="none"/>
          </v:shape>
        </w:pict>
      </w:r>
      <w:r>
        <w:rPr>
          <w:color w:val="231F20"/>
          <w:w w:val="110"/>
        </w:rPr>
        <w:t>The following members have successfully completed their course of study and have received Assembly Accreditation between 1</w:t>
      </w:r>
      <w:r>
        <w:rPr>
          <w:color w:val="231F20"/>
          <w:w w:val="110"/>
          <w:position w:val="6"/>
          <w:sz w:val="10"/>
        </w:rPr>
        <w:t>st </w:t>
      </w:r>
      <w:r>
        <w:rPr>
          <w:color w:val="231F20"/>
          <w:w w:val="110"/>
        </w:rPr>
        <w:t>April 2005 and 31</w:t>
      </w:r>
      <w:r>
        <w:rPr>
          <w:color w:val="231F20"/>
          <w:w w:val="110"/>
          <w:position w:val="6"/>
          <w:sz w:val="10"/>
        </w:rPr>
        <w:t>st </w:t>
      </w:r>
      <w:r>
        <w:rPr>
          <w:color w:val="231F20"/>
          <w:w w:val="110"/>
        </w:rPr>
        <w:t>March 2006.</w:t>
      </w:r>
    </w:p>
    <w:p>
      <w:pPr>
        <w:pStyle w:val="BodyText"/>
        <w:rPr>
          <w:sz w:val="22"/>
        </w:rPr>
      </w:pPr>
    </w:p>
    <w:p>
      <w:pPr>
        <w:pStyle w:val="BodyText"/>
        <w:spacing w:before="3"/>
        <w:rPr>
          <w:sz w:val="19"/>
        </w:rPr>
      </w:pPr>
    </w:p>
    <w:p>
      <w:pPr>
        <w:spacing w:before="0"/>
        <w:ind w:left="1240" w:right="0" w:firstLine="0"/>
        <w:jc w:val="left"/>
        <w:rPr>
          <w:sz w:val="18"/>
        </w:rPr>
      </w:pPr>
      <w:r>
        <w:rPr>
          <w:b/>
          <w:color w:val="231F20"/>
          <w:w w:val="110"/>
          <w:sz w:val="18"/>
        </w:rPr>
        <w:t>Northern Synod: </w:t>
      </w:r>
      <w:r>
        <w:rPr>
          <w:color w:val="231F20"/>
          <w:w w:val="110"/>
          <w:sz w:val="18"/>
        </w:rPr>
        <w:t>Barbara Pringle</w:t>
      </w:r>
    </w:p>
    <w:p>
      <w:pPr>
        <w:pStyle w:val="BodyText"/>
        <w:spacing w:before="2"/>
        <w:rPr>
          <w:sz w:val="23"/>
        </w:rPr>
      </w:pPr>
    </w:p>
    <w:p>
      <w:pPr>
        <w:spacing w:line="273" w:lineRule="auto" w:before="0"/>
        <w:ind w:left="1240" w:right="3181" w:firstLine="0"/>
        <w:jc w:val="left"/>
        <w:rPr>
          <w:sz w:val="18"/>
        </w:rPr>
      </w:pPr>
      <w:r>
        <w:rPr>
          <w:b/>
          <w:color w:val="231F20"/>
          <w:w w:val="110"/>
          <w:sz w:val="18"/>
        </w:rPr>
        <w:t>North Western Synod</w:t>
      </w:r>
      <w:r>
        <w:rPr>
          <w:color w:val="231F20"/>
          <w:w w:val="110"/>
          <w:sz w:val="18"/>
        </w:rPr>
        <w:t>: Pauline Jones, Carol Rose, Henry Rose, Caroline Spencer</w:t>
      </w:r>
    </w:p>
    <w:p>
      <w:pPr>
        <w:pStyle w:val="BodyText"/>
        <w:spacing w:before="8"/>
        <w:rPr>
          <w:sz w:val="20"/>
        </w:rPr>
      </w:pPr>
    </w:p>
    <w:p>
      <w:pPr>
        <w:spacing w:before="0"/>
        <w:ind w:left="1240" w:right="0" w:firstLine="0"/>
        <w:jc w:val="left"/>
        <w:rPr>
          <w:sz w:val="18"/>
        </w:rPr>
      </w:pPr>
      <w:r>
        <w:rPr>
          <w:b/>
          <w:color w:val="231F20"/>
          <w:w w:val="110"/>
          <w:sz w:val="18"/>
        </w:rPr>
        <w:t>Mersey Synod</w:t>
      </w:r>
      <w:r>
        <w:rPr>
          <w:color w:val="231F20"/>
          <w:w w:val="110"/>
          <w:sz w:val="18"/>
        </w:rPr>
        <w:t>: Carol Booth, Wilma Prentice, George Ryan</w:t>
      </w:r>
    </w:p>
    <w:p>
      <w:pPr>
        <w:pStyle w:val="BodyText"/>
        <w:spacing w:before="2"/>
        <w:rPr>
          <w:sz w:val="23"/>
        </w:rPr>
      </w:pPr>
    </w:p>
    <w:p>
      <w:pPr>
        <w:spacing w:line="273" w:lineRule="auto" w:before="0"/>
        <w:ind w:left="1240" w:right="3653" w:firstLine="0"/>
        <w:jc w:val="left"/>
        <w:rPr>
          <w:sz w:val="18"/>
        </w:rPr>
      </w:pPr>
      <w:r>
        <w:rPr>
          <w:b/>
          <w:color w:val="231F20"/>
          <w:w w:val="110"/>
          <w:sz w:val="18"/>
        </w:rPr>
        <w:t>East Midlands Synod: </w:t>
      </w:r>
      <w:r>
        <w:rPr>
          <w:color w:val="231F20"/>
          <w:w w:val="110"/>
          <w:sz w:val="18"/>
        </w:rPr>
        <w:t>Ronald Macey, Johnathan Parish-West, David Todd</w:t>
      </w:r>
    </w:p>
    <w:p>
      <w:pPr>
        <w:pStyle w:val="BodyText"/>
        <w:spacing w:before="8"/>
        <w:rPr>
          <w:sz w:val="20"/>
        </w:rPr>
      </w:pPr>
    </w:p>
    <w:p>
      <w:pPr>
        <w:spacing w:before="0"/>
        <w:ind w:left="1240" w:right="0" w:firstLine="0"/>
        <w:jc w:val="left"/>
        <w:rPr>
          <w:sz w:val="18"/>
        </w:rPr>
      </w:pPr>
      <w:r>
        <w:rPr>
          <w:b/>
          <w:color w:val="231F20"/>
          <w:w w:val="110"/>
          <w:sz w:val="18"/>
        </w:rPr>
        <w:t>West Midlands: </w:t>
      </w:r>
      <w:r>
        <w:rPr>
          <w:color w:val="231F20"/>
          <w:w w:val="110"/>
          <w:sz w:val="18"/>
        </w:rPr>
        <w:t>John Desmond, Peter Murphy</w:t>
      </w:r>
    </w:p>
    <w:p>
      <w:pPr>
        <w:pStyle w:val="BodyText"/>
        <w:spacing w:before="2"/>
        <w:rPr>
          <w:sz w:val="23"/>
        </w:rPr>
      </w:pPr>
    </w:p>
    <w:p>
      <w:pPr>
        <w:spacing w:before="0"/>
        <w:ind w:left="1240" w:right="0" w:firstLine="0"/>
        <w:jc w:val="left"/>
        <w:rPr>
          <w:sz w:val="18"/>
        </w:rPr>
      </w:pPr>
      <w:r>
        <w:rPr>
          <w:b/>
          <w:color w:val="231F20"/>
          <w:w w:val="110"/>
          <w:sz w:val="18"/>
        </w:rPr>
        <w:t>Eastern Synod: </w:t>
      </w:r>
      <w:r>
        <w:rPr>
          <w:color w:val="231F20"/>
          <w:w w:val="110"/>
          <w:sz w:val="18"/>
        </w:rPr>
        <w:t>Brenda Armstrong</w:t>
      </w:r>
    </w:p>
    <w:p>
      <w:pPr>
        <w:pStyle w:val="BodyText"/>
        <w:spacing w:before="2"/>
        <w:rPr>
          <w:sz w:val="23"/>
        </w:rPr>
      </w:pPr>
    </w:p>
    <w:p>
      <w:pPr>
        <w:spacing w:before="0"/>
        <w:ind w:left="1240" w:right="0" w:firstLine="0"/>
        <w:jc w:val="left"/>
        <w:rPr>
          <w:sz w:val="18"/>
        </w:rPr>
      </w:pPr>
      <w:r>
        <w:rPr>
          <w:b/>
          <w:color w:val="231F20"/>
          <w:w w:val="110"/>
          <w:sz w:val="18"/>
        </w:rPr>
        <w:t>Wessex Synod: </w:t>
      </w:r>
      <w:r>
        <w:rPr>
          <w:color w:val="231F20"/>
          <w:w w:val="110"/>
          <w:sz w:val="18"/>
        </w:rPr>
        <w:t>Sandra Elkin, Philip Maddocks, Elaine Wood</w:t>
      </w:r>
    </w:p>
    <w:p>
      <w:pPr>
        <w:pStyle w:val="BodyText"/>
        <w:spacing w:before="1"/>
        <w:rPr>
          <w:sz w:val="23"/>
        </w:rPr>
      </w:pPr>
    </w:p>
    <w:p>
      <w:pPr>
        <w:spacing w:line="273" w:lineRule="auto" w:before="1"/>
        <w:ind w:left="1240" w:right="3653" w:firstLine="0"/>
        <w:jc w:val="left"/>
        <w:rPr>
          <w:sz w:val="18"/>
        </w:rPr>
      </w:pPr>
      <w:r>
        <w:rPr>
          <w:b/>
          <w:color w:val="231F20"/>
          <w:w w:val="110"/>
          <w:sz w:val="18"/>
        </w:rPr>
        <w:t>Thames North Synod: </w:t>
      </w:r>
      <w:r>
        <w:rPr>
          <w:color w:val="231F20"/>
          <w:w w:val="110"/>
          <w:sz w:val="18"/>
        </w:rPr>
        <w:t>Angela Bishop, Jill Jenkins, Jill Nugent, Jean Stephenson</w:t>
      </w:r>
    </w:p>
    <w:p>
      <w:pPr>
        <w:pStyle w:val="BodyText"/>
        <w:spacing w:before="8"/>
        <w:rPr>
          <w:sz w:val="20"/>
        </w:rPr>
      </w:pPr>
    </w:p>
    <w:p>
      <w:pPr>
        <w:spacing w:line="273" w:lineRule="auto" w:before="0"/>
        <w:ind w:left="1240" w:right="3181" w:firstLine="0"/>
        <w:jc w:val="left"/>
        <w:rPr>
          <w:sz w:val="18"/>
        </w:rPr>
      </w:pPr>
      <w:r>
        <w:rPr>
          <w:b/>
          <w:color w:val="231F20"/>
          <w:w w:val="110"/>
          <w:sz w:val="18"/>
        </w:rPr>
        <w:t>Southern Synod: </w:t>
      </w:r>
      <w:r>
        <w:rPr>
          <w:color w:val="231F20"/>
          <w:w w:val="110"/>
          <w:sz w:val="18"/>
        </w:rPr>
        <w:t>Anne Rhodes, David Rhodes, Jenny Sheehan, Wendy Whitehead</w:t>
      </w:r>
    </w:p>
    <w:p>
      <w:pPr>
        <w:pStyle w:val="BodyText"/>
        <w:spacing w:before="8"/>
        <w:rPr>
          <w:sz w:val="20"/>
        </w:rPr>
      </w:pPr>
    </w:p>
    <w:p>
      <w:pPr>
        <w:pStyle w:val="BodyText"/>
        <w:ind w:left="1240"/>
      </w:pPr>
      <w:r>
        <w:rPr>
          <w:b/>
          <w:color w:val="231F20"/>
          <w:w w:val="110"/>
        </w:rPr>
        <w:t>Wales: </w:t>
      </w:r>
      <w:r>
        <w:rPr>
          <w:color w:val="231F20"/>
          <w:w w:val="110"/>
        </w:rPr>
        <w:t>Marina Kennard, Trefor Suddick</w:t>
      </w:r>
    </w:p>
    <w:p>
      <w:pPr>
        <w:pStyle w:val="BodyText"/>
        <w:rPr>
          <w:sz w:val="20"/>
        </w:rPr>
      </w:pPr>
    </w:p>
    <w:p>
      <w:pPr>
        <w:pStyle w:val="BodyText"/>
        <w:rPr>
          <w:sz w:val="20"/>
        </w:rPr>
      </w:pPr>
    </w:p>
    <w:p>
      <w:pPr>
        <w:pStyle w:val="BodyText"/>
        <w:rPr>
          <w:sz w:val="20"/>
        </w:rPr>
      </w:pPr>
    </w:p>
    <w:p>
      <w:pPr>
        <w:spacing w:before="451"/>
        <w:ind w:left="0" w:right="1024" w:firstLine="0"/>
        <w:jc w:val="center"/>
        <w:rPr>
          <w:i/>
          <w:sz w:val="24"/>
        </w:rPr>
      </w:pPr>
      <w:r>
        <w:rPr/>
        <w:pict>
          <v:shape style="position:absolute;margin-left:521.982056pt;margin-top:125.547142pt;width:20pt;height:190.9pt;mso-position-horizontal-relative:page;mso-position-vertical-relative:paragraph;z-index:251841536"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i/>
          <w:color w:val="231F20"/>
          <w:w w:val="600"/>
          <w:sz w:val="24"/>
        </w:rPr>
        <w:t>   </w:t>
      </w:r>
    </w:p>
    <w:p>
      <w:pPr>
        <w:spacing w:after="0"/>
        <w:jc w:val="center"/>
        <w:rPr>
          <w:sz w:val="24"/>
        </w:rPr>
        <w:sectPr>
          <w:headerReference w:type="default" r:id="rId231"/>
          <w:footerReference w:type="default" r:id="rId232"/>
          <w:footerReference w:type="even" r:id="rId233"/>
          <w:pgSz w:w="11910" w:h="16840"/>
          <w:pgMar w:header="0" w:footer="564" w:top="1260" w:bottom="760" w:left="460" w:right="0"/>
          <w:pgNumType w:start="159"/>
        </w:sectPr>
      </w:pPr>
    </w:p>
    <w:p>
      <w:pPr>
        <w:pStyle w:val="BodyText"/>
        <w:spacing w:before="5"/>
        <w:rPr>
          <w:i/>
          <w:sz w:val="16"/>
        </w:rPr>
      </w:pPr>
    </w:p>
    <w:p>
      <w:pPr>
        <w:spacing w:after="0"/>
        <w:rPr>
          <w:sz w:val="16"/>
        </w:rPr>
        <w:sectPr>
          <w:headerReference w:type="even" r:id="rId234"/>
          <w:pgSz w:w="11910" w:h="16840"/>
          <w:pgMar w:header="0" w:footer="484" w:top="1580" w:bottom="680" w:left="460" w:right="0"/>
        </w:sectPr>
      </w:pPr>
    </w:p>
    <w:p>
      <w:pPr>
        <w:pStyle w:val="BodyText"/>
        <w:spacing w:before="1" w:after="1"/>
        <w:rPr>
          <w:i/>
          <w:sz w:val="19"/>
        </w:rPr>
      </w:pPr>
    </w:p>
    <w:p>
      <w:pPr>
        <w:pStyle w:val="BodyText"/>
        <w:ind w:left="976"/>
        <w:rPr>
          <w:sz w:val="20"/>
        </w:rPr>
      </w:pPr>
      <w:r>
        <w:rPr>
          <w:sz w:val="20"/>
        </w:rPr>
        <w:pict>
          <v:group style="width:496.6pt;height:160.050pt;mso-position-horizontal-relative:char;mso-position-vertical-relative:line" coordorigin="0,0" coordsize="9932,3201">
            <v:rect style="position:absolute;left:302;top:441;width:4016;height:302" filled="true" fillcolor="#d8dadc" stroked="false">
              <v:fill type="solid"/>
            </v:rect>
            <v:rect style="position:absolute;left:302;top:113;width:159;height:328" filled="true" fillcolor="#d8dadc" stroked="false">
              <v:fill type="solid"/>
            </v:rect>
            <v:line style="position:absolute" from="303,107" to="4319,107" stroked="true" strokeweight=".6pt" strokecolor="#d8dadc">
              <v:stroke dashstyle="solid"/>
            </v:line>
            <v:rect style="position:absolute;left:3903;top:113;width:416;height:327" filled="true" fillcolor="#d8dadc" stroked="false">
              <v:fill type="solid"/>
            </v:rect>
            <v:rect style="position:absolute;left:460;top:113;width:3443;height:327" filled="true" fillcolor="#d8dadc" stroked="false">
              <v:fill type="solid"/>
            </v:rect>
            <v:shape style="position:absolute;left:0;top:48;width:9932;height:3152" type="#_x0000_t75" stroked="false">
              <v:imagedata r:id="rId239" o:title=""/>
            </v:shape>
            <v:shape style="position:absolute;left:416;top:0;width:3643;height:748" type="#_x0000_t202" filled="false" stroked="false">
              <v:textbox inset="0,0,0,0">
                <w:txbxContent>
                  <w:p>
                    <w:pPr>
                      <w:spacing w:line="206" w:lineRule="auto" w:before="43"/>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91"/>
                        <w:w w:val="111"/>
                        <w:sz w:val="43"/>
                      </w:rPr>
                      <w:t>O</w:t>
                    </w:r>
                    <w:r>
                      <w:rPr>
                        <w:b/>
                        <w:color w:val="231F20"/>
                        <w:spacing w:val="-111"/>
                        <w:w w:val="112"/>
                        <w:position w:val="-20"/>
                        <w:sz w:val="50"/>
                      </w:rPr>
                      <w:t>3</w:t>
                    </w:r>
                    <w:r>
                      <w:rPr>
                        <w:b/>
                        <w:color w:val="FFFFFF"/>
                        <w:spacing w:val="-302"/>
                        <w:w w:val="111"/>
                        <w:sz w:val="43"/>
                      </w:rPr>
                      <w:t>N</w:t>
                    </w:r>
                    <w:r>
                      <w:rPr>
                        <w:b/>
                        <w:color w:val="231F20"/>
                        <w:spacing w:val="-6"/>
                        <w:w w:val="112"/>
                        <w:position w:val="-20"/>
                        <w:sz w:val="50"/>
                      </w:rPr>
                      <w:t>8</w:t>
                    </w:r>
                  </w:p>
                </w:txbxContent>
              </v:textbox>
              <w10:wrap type="none"/>
            </v:shape>
            <v:shape style="position:absolute;left:4119;top:442;width:4798;height:491" type="#_x0000_t202" filled="false" stroked="false">
              <v:textbox inset="0,0,0,0">
                <w:txbxContent>
                  <w:p>
                    <w:pPr>
                      <w:spacing w:line="247" w:lineRule="auto" w:before="0"/>
                      <w:ind w:left="0" w:right="18" w:firstLine="597"/>
                      <w:jc w:val="left"/>
                      <w:rPr>
                        <w:b/>
                        <w:sz w:val="20"/>
                      </w:rPr>
                    </w:pPr>
                    <w:r>
                      <w:rPr>
                        <w:b/>
                        <w:color w:val="231F20"/>
                        <w:w w:val="110"/>
                        <w:sz w:val="20"/>
                      </w:rPr>
                      <w:t>Upper Age limit for transfer from non-stipendiary to stipendiary service</w:t>
                    </w:r>
                  </w:p>
                </w:txbxContent>
              </v:textbox>
              <w10:wrap type="none"/>
            </v:shape>
            <v:shape style="position:absolute;left:264;top:1211;width:8825;height:1719" type="#_x0000_t202" filled="false" stroked="false">
              <v:textbox inset="0,0,0,0">
                <w:txbxContent>
                  <w:p>
                    <w:pPr>
                      <w:spacing w:before="0"/>
                      <w:ind w:left="0" w:right="0" w:firstLine="0"/>
                      <w:jc w:val="left"/>
                      <w:rPr>
                        <w:sz w:val="18"/>
                      </w:rPr>
                    </w:pPr>
                    <w:r>
                      <w:rPr>
                        <w:color w:val="231F20"/>
                        <w:w w:val="110"/>
                        <w:sz w:val="18"/>
                      </w:rPr>
                      <w:t>General Assembly rescinds General Assembly 1997 Resolution 34 (f),</w:t>
                    </w:r>
                  </w:p>
                  <w:p>
                    <w:pPr>
                      <w:spacing w:line="273" w:lineRule="auto" w:before="31"/>
                      <w:ind w:left="0" w:right="0" w:firstLine="0"/>
                      <w:jc w:val="left"/>
                      <w:rPr>
                        <w:b/>
                        <w:sz w:val="18"/>
                      </w:rPr>
                    </w:pPr>
                    <w:r>
                      <w:rPr>
                        <w:b/>
                        <w:color w:val="231F20"/>
                        <w:w w:val="110"/>
                        <w:sz w:val="18"/>
                      </w:rPr>
                      <w:t>f) Assembly resolves that applications to transfer from non-stipendiary to stipendiary ministry must be received by province before the date of the applicants 53</w:t>
                    </w:r>
                    <w:r>
                      <w:rPr>
                        <w:b/>
                        <w:color w:val="231F20"/>
                        <w:w w:val="110"/>
                        <w:position w:val="6"/>
                        <w:sz w:val="10"/>
                      </w:rPr>
                      <w:t>rd </w:t>
                    </w:r>
                    <w:r>
                      <w:rPr>
                        <w:b/>
                        <w:color w:val="231F20"/>
                        <w:w w:val="110"/>
                        <w:sz w:val="18"/>
                      </w:rPr>
                      <w:t>birthday,</w:t>
                    </w:r>
                  </w:p>
                  <w:p>
                    <w:pPr>
                      <w:spacing w:line="240" w:lineRule="auto" w:before="9"/>
                      <w:rPr>
                        <w:b/>
                        <w:sz w:val="20"/>
                      </w:rPr>
                    </w:pPr>
                  </w:p>
                  <w:p>
                    <w:pPr>
                      <w:spacing w:line="273" w:lineRule="auto" w:before="0"/>
                      <w:ind w:left="0" w:right="0" w:firstLine="0"/>
                      <w:jc w:val="left"/>
                      <w:rPr>
                        <w:sz w:val="18"/>
                      </w:rPr>
                    </w:pPr>
                    <w:r>
                      <w:rPr>
                        <w:color w:val="231F20"/>
                        <w:w w:val="110"/>
                        <w:sz w:val="18"/>
                      </w:rPr>
                      <w:t>and resolves that from this point forward there shall be no upper age limit for transfer from non-stipendiary to stipendiary service.</w:t>
                    </w:r>
                  </w:p>
                </w:txbxContent>
              </v:textbox>
              <w10:wrap type="none"/>
            </v:shape>
          </v:group>
        </w:pict>
      </w:r>
      <w:r>
        <w:rPr>
          <w:sz w:val="20"/>
        </w:rPr>
      </w:r>
    </w:p>
    <w:p>
      <w:pPr>
        <w:pStyle w:val="BodyText"/>
        <w:spacing w:before="6"/>
        <w:rPr>
          <w:i/>
          <w:sz w:val="10"/>
        </w:rPr>
      </w:pPr>
    </w:p>
    <w:p>
      <w:pPr>
        <w:pStyle w:val="ListParagraph"/>
        <w:numPr>
          <w:ilvl w:val="1"/>
          <w:numId w:val="96"/>
        </w:numPr>
        <w:tabs>
          <w:tab w:pos="1960" w:val="left" w:leader="none"/>
          <w:tab w:pos="1961" w:val="left" w:leader="none"/>
        </w:tabs>
        <w:spacing w:line="273" w:lineRule="auto" w:before="100" w:after="0"/>
        <w:ind w:left="1240" w:right="1189" w:firstLine="0"/>
        <w:jc w:val="left"/>
        <w:rPr>
          <w:sz w:val="18"/>
        </w:rPr>
      </w:pPr>
      <w:r>
        <w:rPr>
          <w:color w:val="231F20"/>
          <w:w w:val="110"/>
          <w:sz w:val="18"/>
        </w:rPr>
        <w:t>In line with the Employment Equality </w:t>
      </w:r>
      <w:r>
        <w:rPr>
          <w:color w:val="231F20"/>
          <w:spacing w:val="-4"/>
          <w:w w:val="110"/>
          <w:sz w:val="18"/>
        </w:rPr>
        <w:t>(Age) </w:t>
      </w:r>
      <w:r>
        <w:rPr>
          <w:color w:val="231F20"/>
          <w:w w:val="110"/>
          <w:sz w:val="18"/>
        </w:rPr>
        <w:t>Regulations 2006, the Ministries Committee believes that there can be no objective justification for retaining the transfer </w:t>
      </w:r>
      <w:r>
        <w:rPr>
          <w:color w:val="231F20"/>
          <w:spacing w:val="2"/>
          <w:w w:val="110"/>
          <w:sz w:val="18"/>
        </w:rPr>
        <w:t>from </w:t>
      </w:r>
      <w:r>
        <w:rPr>
          <w:color w:val="231F20"/>
          <w:w w:val="110"/>
          <w:sz w:val="18"/>
        </w:rPr>
        <w:t>non-stipendiary to stipendiary </w:t>
      </w:r>
      <w:r>
        <w:rPr>
          <w:color w:val="231F20"/>
          <w:spacing w:val="2"/>
          <w:w w:val="110"/>
          <w:sz w:val="18"/>
        </w:rPr>
        <w:t>service </w:t>
      </w:r>
      <w:r>
        <w:rPr>
          <w:color w:val="231F20"/>
          <w:w w:val="110"/>
          <w:sz w:val="18"/>
        </w:rPr>
        <w:t>age limit since Ministers who request such a transfer are already trained and</w:t>
      </w:r>
      <w:r>
        <w:rPr>
          <w:color w:val="231F20"/>
          <w:spacing w:val="8"/>
          <w:w w:val="110"/>
          <w:sz w:val="18"/>
        </w:rPr>
        <w:t> </w:t>
      </w:r>
      <w:r>
        <w:rPr>
          <w:color w:val="231F20"/>
          <w:w w:val="110"/>
          <w:sz w:val="18"/>
        </w:rPr>
        <w:t>ordained.</w:t>
      </w:r>
    </w:p>
    <w:p>
      <w:pPr>
        <w:pStyle w:val="BodyText"/>
        <w:spacing w:before="5"/>
        <w:rPr>
          <w:sz w:val="31"/>
        </w:rPr>
      </w:pPr>
    </w:p>
    <w:p>
      <w:pPr>
        <w:tabs>
          <w:tab w:pos="7345" w:val="left" w:leader="none"/>
        </w:tabs>
        <w:spacing w:line="196" w:lineRule="auto" w:before="0"/>
        <w:ind w:left="7291" w:right="1642" w:hanging="5913"/>
        <w:jc w:val="left"/>
        <w:rPr>
          <w:b/>
          <w:sz w:val="20"/>
        </w:rPr>
      </w:pPr>
      <w:r>
        <w:rPr/>
        <w:pict>
          <v:group style="position:absolute;margin-left:40.630001pt;margin-top:-3.102863pt;width:527.050pt;height:510pt;mso-position-horizontal-relative:page;mso-position-vertical-relative:paragraph;z-index:-275417088" coordorigin="813,-62" coordsize="10541,10200">
            <v:shape style="position:absolute;left:1724;top:16;width:4016;height:630" coordorigin="1725,17" coordsize="4016,630" path="m5741,345l1883,345,1883,17,1725,17,1725,345,1725,647,5741,647,5741,345e" filled="true" fillcolor="#d8dadc" stroked="false">
              <v:path arrowok="t"/>
              <v:fill type="solid"/>
            </v:shape>
            <v:line style="position:absolute" from="1725,11" to="5741,11" stroked="true" strokeweight=".6pt" strokecolor="#d8dadc">
              <v:stroke dashstyle="solid"/>
            </v:line>
            <v:shape style="position:absolute;left:1882;top:16;width:3858;height:328" coordorigin="1883,17" coordsize="3858,328" path="m5741,17l5325,17,1883,17,1883,344,5325,344,5741,344,5741,17e" filled="true" fillcolor="#d8dadc" stroked="false">
              <v:path arrowok="t"/>
              <v:fill type="solid"/>
            </v:shape>
            <v:shape style="position:absolute;left:1422;top:-63;width:9932;height:10120" type="#_x0000_t75" stroked="false">
              <v:imagedata r:id="rId240" o:title=""/>
            </v:shape>
            <v:rect style="position:absolute;left:812;top:9736;width:10526;height:402" filled="true" fillcolor="#ffffff" stroked="false">
              <v:fill type="solid"/>
            </v:rect>
            <w10:wrap type="none"/>
          </v:group>
        </w:pict>
      </w:r>
      <w:r>
        <w:rPr>
          <w:b/>
          <w:color w:val="FFFFFF"/>
          <w:spacing w:val="2"/>
          <w:w w:val="111"/>
          <w:position w:val="21"/>
          <w:sz w:val="43"/>
        </w:rPr>
        <w:t>R</w:t>
      </w:r>
      <w:r>
        <w:rPr>
          <w:b/>
          <w:color w:val="FFFFFF"/>
          <w:spacing w:val="1"/>
          <w:w w:val="111"/>
          <w:position w:val="21"/>
          <w:sz w:val="43"/>
        </w:rPr>
        <w:t>E</w:t>
      </w:r>
      <w:r>
        <w:rPr>
          <w:b/>
          <w:color w:val="FFFFFF"/>
          <w:w w:val="111"/>
          <w:position w:val="21"/>
          <w:sz w:val="43"/>
        </w:rPr>
        <w:t>S</w:t>
      </w:r>
      <w:r>
        <w:rPr>
          <w:b/>
          <w:color w:val="FFFFFF"/>
          <w:spacing w:val="-4"/>
          <w:w w:val="111"/>
          <w:position w:val="21"/>
          <w:sz w:val="43"/>
        </w:rPr>
        <w:t>O</w:t>
      </w:r>
      <w:r>
        <w:rPr>
          <w:b/>
          <w:color w:val="FFFFFF"/>
          <w:spacing w:val="-6"/>
          <w:w w:val="111"/>
          <w:position w:val="21"/>
          <w:sz w:val="43"/>
        </w:rPr>
        <w:t>L</w:t>
      </w:r>
      <w:r>
        <w:rPr>
          <w:b/>
          <w:color w:val="FFFFFF"/>
          <w:spacing w:val="-2"/>
          <w:w w:val="111"/>
          <w:position w:val="21"/>
          <w:sz w:val="43"/>
        </w:rPr>
        <w:t>U</w:t>
      </w:r>
      <w:r>
        <w:rPr>
          <w:b/>
          <w:color w:val="FFFFFF"/>
          <w:spacing w:val="3"/>
          <w:w w:val="111"/>
          <w:position w:val="21"/>
          <w:sz w:val="43"/>
        </w:rPr>
        <w:t>T</w:t>
      </w:r>
      <w:r>
        <w:rPr>
          <w:b/>
          <w:color w:val="FFFFFF"/>
          <w:spacing w:val="-15"/>
          <w:w w:val="111"/>
          <w:position w:val="21"/>
          <w:sz w:val="43"/>
        </w:rPr>
        <w:t>I</w:t>
      </w:r>
      <w:r>
        <w:rPr>
          <w:b/>
          <w:color w:val="FFFFFF"/>
          <w:spacing w:val="-271"/>
          <w:w w:val="111"/>
          <w:position w:val="21"/>
          <w:sz w:val="43"/>
        </w:rPr>
        <w:t>O</w:t>
      </w:r>
      <w:r>
        <w:rPr>
          <w:b/>
          <w:color w:val="231F20"/>
          <w:spacing w:val="-132"/>
          <w:w w:val="112"/>
          <w:sz w:val="50"/>
        </w:rPr>
        <w:t>3</w:t>
      </w:r>
      <w:r>
        <w:rPr>
          <w:b/>
          <w:color w:val="FFFFFF"/>
          <w:spacing w:val="-288"/>
          <w:w w:val="111"/>
          <w:position w:val="21"/>
          <w:sz w:val="43"/>
        </w:rPr>
        <w:t>N</w:t>
      </w:r>
      <w:r>
        <w:rPr>
          <w:b/>
          <w:color w:val="231F20"/>
          <w:w w:val="112"/>
          <w:sz w:val="50"/>
        </w:rPr>
        <w:t>9</w:t>
      </w:r>
      <w:r>
        <w:rPr>
          <w:b/>
          <w:color w:val="231F20"/>
          <w:sz w:val="50"/>
        </w:rPr>
        <w:tab/>
        <w:tab/>
      </w:r>
      <w:r>
        <w:rPr>
          <w:b/>
          <w:color w:val="231F20"/>
          <w:spacing w:val="1"/>
          <w:w w:val="109"/>
          <w:sz w:val="20"/>
        </w:rPr>
        <w:t>A</w:t>
      </w:r>
      <w:r>
        <w:rPr>
          <w:b/>
          <w:color w:val="231F20"/>
          <w:w w:val="109"/>
          <w:sz w:val="20"/>
        </w:rPr>
        <w:t>m</w:t>
      </w:r>
      <w:r>
        <w:rPr>
          <w:b/>
          <w:color w:val="231F20"/>
          <w:spacing w:val="2"/>
          <w:w w:val="109"/>
          <w:sz w:val="20"/>
        </w:rPr>
        <w:t>e</w:t>
      </w:r>
      <w:r>
        <w:rPr>
          <w:b/>
          <w:color w:val="231F20"/>
          <w:spacing w:val="1"/>
          <w:w w:val="109"/>
          <w:sz w:val="20"/>
        </w:rPr>
        <w:t>n</w:t>
      </w:r>
      <w:r>
        <w:rPr>
          <w:b/>
          <w:color w:val="231F20"/>
          <w:spacing w:val="-1"/>
          <w:w w:val="109"/>
          <w:sz w:val="20"/>
        </w:rPr>
        <w:t>d</w:t>
      </w:r>
      <w:r>
        <w:rPr>
          <w:b/>
          <w:color w:val="231F20"/>
          <w:w w:val="109"/>
          <w:sz w:val="20"/>
        </w:rPr>
        <w:t>m</w:t>
      </w:r>
      <w:r>
        <w:rPr>
          <w:b/>
          <w:color w:val="231F20"/>
          <w:spacing w:val="2"/>
          <w:w w:val="109"/>
          <w:sz w:val="20"/>
        </w:rPr>
        <w:t>e</w:t>
      </w:r>
      <w:r>
        <w:rPr>
          <w:b/>
          <w:color w:val="231F20"/>
          <w:w w:val="109"/>
          <w:sz w:val="20"/>
        </w:rPr>
        <w:t>n</w:t>
      </w:r>
      <w:r>
        <w:rPr>
          <w:b/>
          <w:color w:val="231F20"/>
          <w:spacing w:val="6"/>
          <w:w w:val="110"/>
          <w:sz w:val="20"/>
        </w:rPr>
        <w:t>t</w:t>
      </w:r>
      <w:r>
        <w:rPr>
          <w:b/>
          <w:color w:val="231F20"/>
          <w:w w:val="109"/>
          <w:sz w:val="20"/>
        </w:rPr>
        <w:t>s</w:t>
      </w:r>
      <w:r>
        <w:rPr>
          <w:b/>
          <w:color w:val="231F20"/>
          <w:spacing w:val="6"/>
          <w:sz w:val="20"/>
        </w:rPr>
        <w:t> </w:t>
      </w:r>
      <w:r>
        <w:rPr>
          <w:b/>
          <w:color w:val="231F20"/>
          <w:spacing w:val="2"/>
          <w:w w:val="110"/>
          <w:sz w:val="20"/>
        </w:rPr>
        <w:t>t</w:t>
      </w:r>
      <w:r>
        <w:rPr>
          <w:b/>
          <w:color w:val="231F20"/>
          <w:w w:val="110"/>
          <w:sz w:val="20"/>
        </w:rPr>
        <w:t>o</w:t>
      </w:r>
      <w:r>
        <w:rPr>
          <w:b/>
          <w:color w:val="231F20"/>
          <w:spacing w:val="6"/>
          <w:sz w:val="20"/>
        </w:rPr>
        <w:t> </w:t>
      </w:r>
      <w:r>
        <w:rPr>
          <w:b/>
          <w:color w:val="231F20"/>
          <w:spacing w:val="4"/>
          <w:w w:val="110"/>
          <w:sz w:val="20"/>
        </w:rPr>
        <w:t>t</w:t>
      </w:r>
      <w:r>
        <w:rPr>
          <w:b/>
          <w:color w:val="231F20"/>
          <w:w w:val="109"/>
          <w:sz w:val="20"/>
        </w:rPr>
        <w:t>h</w:t>
      </w:r>
      <w:r>
        <w:rPr>
          <w:b/>
          <w:color w:val="231F20"/>
          <w:w w:val="109"/>
          <w:sz w:val="20"/>
        </w:rPr>
        <w:t>e </w:t>
      </w:r>
      <w:r>
        <w:rPr>
          <w:b/>
          <w:color w:val="231F20"/>
          <w:w w:val="110"/>
          <w:sz w:val="20"/>
        </w:rPr>
        <w:t>Plan for</w:t>
      </w:r>
      <w:r>
        <w:rPr>
          <w:b/>
          <w:color w:val="231F20"/>
          <w:spacing w:val="8"/>
          <w:w w:val="110"/>
          <w:sz w:val="20"/>
        </w:rPr>
        <w:t> </w:t>
      </w:r>
      <w:r>
        <w:rPr>
          <w:b/>
          <w:color w:val="231F20"/>
          <w:w w:val="110"/>
          <w:sz w:val="20"/>
        </w:rPr>
        <w:t>Partnership</w:t>
      </w:r>
    </w:p>
    <w:p>
      <w:pPr>
        <w:pStyle w:val="BodyText"/>
        <w:spacing w:before="4"/>
        <w:rPr>
          <w:b/>
          <w:sz w:val="23"/>
        </w:rPr>
      </w:pPr>
    </w:p>
    <w:p>
      <w:pPr>
        <w:pStyle w:val="BodyText"/>
        <w:spacing w:line="273" w:lineRule="auto"/>
        <w:ind w:left="1240" w:right="1192"/>
        <w:jc w:val="both"/>
      </w:pPr>
      <w:r>
        <w:rPr>
          <w:color w:val="231F20"/>
          <w:w w:val="110"/>
        </w:rPr>
        <w:t>General Assembly agrees the following changes to the Plan for Partnership in Ministerial Remuneration to reflect age discrimination legislation and the changes to the Structures of the Church.</w:t>
      </w:r>
    </w:p>
    <w:p>
      <w:pPr>
        <w:pStyle w:val="BodyText"/>
        <w:spacing w:before="9"/>
        <w:rPr>
          <w:sz w:val="20"/>
        </w:rPr>
      </w:pPr>
    </w:p>
    <w:p>
      <w:pPr>
        <w:pStyle w:val="BodyText"/>
        <w:ind w:left="1240"/>
        <w:jc w:val="both"/>
      </w:pPr>
      <w:r>
        <w:rPr>
          <w:color w:val="231F20"/>
          <w:w w:val="110"/>
        </w:rPr>
        <w:t>Deletions are shown in [square brackets] and additions are shown in </w:t>
      </w:r>
      <w:r>
        <w:rPr>
          <w:i/>
          <w:color w:val="231F20"/>
          <w:w w:val="110"/>
        </w:rPr>
        <w:t>italics</w:t>
      </w:r>
      <w:r>
        <w:rPr>
          <w:color w:val="231F20"/>
          <w:w w:val="110"/>
        </w:rPr>
        <w:t>.</w:t>
      </w:r>
    </w:p>
    <w:p>
      <w:pPr>
        <w:pStyle w:val="BodyText"/>
        <w:spacing w:before="2"/>
        <w:rPr>
          <w:sz w:val="23"/>
        </w:rPr>
      </w:pPr>
    </w:p>
    <w:p>
      <w:pPr>
        <w:pStyle w:val="BodyText"/>
        <w:spacing w:line="273" w:lineRule="auto"/>
        <w:ind w:left="1240" w:right="1489"/>
      </w:pPr>
      <w:r>
        <w:rPr>
          <w:color w:val="231F20"/>
          <w:w w:val="110"/>
        </w:rPr>
        <w:t>5.2.3 Students who have already commenced training for the stipendiary ministry of  the URC, giving ministry during their vacations, with [District Council] </w:t>
      </w:r>
      <w:r>
        <w:rPr>
          <w:i/>
          <w:color w:val="231F20"/>
          <w:w w:val="110"/>
        </w:rPr>
        <w:t>Synod </w:t>
      </w:r>
      <w:r>
        <w:rPr>
          <w:color w:val="231F20"/>
          <w:w w:val="110"/>
        </w:rPr>
        <w:t>approval, to URC pastorates which are in</w:t>
      </w:r>
      <w:r>
        <w:rPr>
          <w:color w:val="231F20"/>
          <w:spacing w:val="8"/>
          <w:w w:val="110"/>
        </w:rPr>
        <w:t> </w:t>
      </w:r>
      <w:r>
        <w:rPr>
          <w:color w:val="231F20"/>
          <w:w w:val="110"/>
        </w:rPr>
        <w:t>vacancy.</w:t>
      </w:r>
    </w:p>
    <w:p>
      <w:pPr>
        <w:pStyle w:val="BodyText"/>
        <w:spacing w:before="8"/>
        <w:rPr>
          <w:sz w:val="20"/>
        </w:rPr>
      </w:pPr>
    </w:p>
    <w:p>
      <w:pPr>
        <w:pStyle w:val="BodyText"/>
        <w:spacing w:line="273" w:lineRule="auto" w:before="1"/>
        <w:ind w:left="1240" w:right="1365"/>
      </w:pPr>
      <w:r>
        <w:rPr>
          <w:color w:val="231F20"/>
          <w:w w:val="110"/>
        </w:rPr>
        <w:t>[5.4.1 Those in full-time service [over the age of 65 years,] except those approved by the Ministries Committee (para 5.2.2).]</w:t>
      </w:r>
    </w:p>
    <w:p>
      <w:pPr>
        <w:pStyle w:val="BodyText"/>
        <w:spacing w:before="8"/>
        <w:rPr>
          <w:sz w:val="20"/>
        </w:rPr>
      </w:pPr>
    </w:p>
    <w:p>
      <w:pPr>
        <w:pStyle w:val="BodyText"/>
        <w:ind w:left="1240"/>
      </w:pPr>
      <w:r>
        <w:rPr>
          <w:color w:val="231F20"/>
          <w:w w:val="110"/>
        </w:rPr>
        <w:t>Existing Paragraphs </w:t>
      </w:r>
      <w:r>
        <w:rPr>
          <w:color w:val="231F20"/>
          <w:spacing w:val="-3"/>
          <w:w w:val="110"/>
        </w:rPr>
        <w:t>5.4.2 </w:t>
      </w:r>
      <w:r>
        <w:rPr>
          <w:color w:val="231F20"/>
          <w:w w:val="110"/>
        </w:rPr>
        <w:t>and </w:t>
      </w:r>
      <w:r>
        <w:rPr>
          <w:color w:val="231F20"/>
          <w:spacing w:val="-3"/>
          <w:w w:val="110"/>
        </w:rPr>
        <w:t>5.4.3 </w:t>
      </w:r>
      <w:r>
        <w:rPr>
          <w:color w:val="231F20"/>
          <w:w w:val="110"/>
        </w:rPr>
        <w:t>are re-numbered </w:t>
      </w:r>
      <w:r>
        <w:rPr>
          <w:color w:val="231F20"/>
          <w:spacing w:val="-5"/>
          <w:w w:val="110"/>
        </w:rPr>
        <w:t>5.4.1 </w:t>
      </w:r>
      <w:r>
        <w:rPr>
          <w:color w:val="231F20"/>
          <w:w w:val="110"/>
        </w:rPr>
        <w:t>and </w:t>
      </w:r>
      <w:r>
        <w:rPr>
          <w:color w:val="231F20"/>
          <w:spacing w:val="-3"/>
          <w:w w:val="110"/>
        </w:rPr>
        <w:t>5.4.2</w:t>
      </w:r>
      <w:r>
        <w:rPr>
          <w:color w:val="231F20"/>
          <w:spacing w:val="53"/>
          <w:w w:val="110"/>
        </w:rPr>
        <w:t> </w:t>
      </w:r>
      <w:r>
        <w:rPr>
          <w:color w:val="231F20"/>
          <w:w w:val="110"/>
        </w:rPr>
        <w:t>respectively.</w:t>
      </w:r>
    </w:p>
    <w:p>
      <w:pPr>
        <w:pStyle w:val="BodyText"/>
        <w:spacing w:before="1"/>
        <w:rPr>
          <w:sz w:val="23"/>
        </w:rPr>
      </w:pPr>
    </w:p>
    <w:p>
      <w:pPr>
        <w:pStyle w:val="BodyText"/>
        <w:tabs>
          <w:tab w:pos="1960" w:val="left" w:leader="none"/>
        </w:tabs>
        <w:spacing w:line="273" w:lineRule="auto" w:before="1"/>
        <w:ind w:left="1240" w:right="1557"/>
      </w:pPr>
      <w:r>
        <w:rPr>
          <w:color w:val="231F20"/>
          <w:spacing w:val="-3"/>
          <w:w w:val="110"/>
        </w:rPr>
        <w:t>6.3.1</w:t>
        <w:tab/>
      </w:r>
      <w:r>
        <w:rPr>
          <w:color w:val="231F20"/>
          <w:w w:val="110"/>
        </w:rPr>
        <w:t>[District Councils] </w:t>
      </w:r>
      <w:r>
        <w:rPr>
          <w:i/>
          <w:color w:val="231F20"/>
          <w:w w:val="110"/>
        </w:rPr>
        <w:t>Synods </w:t>
      </w:r>
      <w:r>
        <w:rPr>
          <w:color w:val="231F20"/>
          <w:w w:val="110"/>
        </w:rPr>
        <w:t>[(taking advice </w:t>
      </w:r>
      <w:r>
        <w:rPr>
          <w:color w:val="231F20"/>
          <w:spacing w:val="2"/>
          <w:w w:val="110"/>
        </w:rPr>
        <w:t>from </w:t>
      </w:r>
      <w:r>
        <w:rPr>
          <w:color w:val="231F20"/>
          <w:w w:val="110"/>
        </w:rPr>
        <w:t>Synod where required</w:t>
      </w:r>
      <w:r>
        <w:rPr>
          <w:b/>
          <w:color w:val="231F20"/>
          <w:w w:val="110"/>
        </w:rPr>
        <w:t>)</w:t>
      </w:r>
      <w:r>
        <w:rPr>
          <w:color w:val="231F20"/>
          <w:w w:val="110"/>
        </w:rPr>
        <w:t>]  should</w:t>
      </w:r>
      <w:r>
        <w:rPr>
          <w:color w:val="231F20"/>
          <w:spacing w:val="9"/>
          <w:w w:val="110"/>
        </w:rPr>
        <w:t> </w:t>
      </w:r>
      <w:r>
        <w:rPr>
          <w:color w:val="231F20"/>
          <w:w w:val="110"/>
        </w:rPr>
        <w:t>take</w:t>
      </w:r>
      <w:r>
        <w:rPr>
          <w:color w:val="231F20"/>
          <w:spacing w:val="10"/>
          <w:w w:val="110"/>
        </w:rPr>
        <w:t> </w:t>
      </w:r>
      <w:r>
        <w:rPr>
          <w:color w:val="231F20"/>
          <w:w w:val="110"/>
        </w:rPr>
        <w:t>note</w:t>
      </w:r>
      <w:r>
        <w:rPr>
          <w:color w:val="231F20"/>
          <w:spacing w:val="9"/>
          <w:w w:val="110"/>
        </w:rPr>
        <w:t> </w:t>
      </w:r>
      <w:r>
        <w:rPr>
          <w:color w:val="231F20"/>
          <w:w w:val="110"/>
        </w:rPr>
        <w:t>of</w:t>
      </w:r>
      <w:r>
        <w:rPr>
          <w:color w:val="231F20"/>
          <w:spacing w:val="10"/>
          <w:w w:val="110"/>
        </w:rPr>
        <w:t> </w:t>
      </w:r>
      <w:r>
        <w:rPr>
          <w:color w:val="231F20"/>
          <w:w w:val="110"/>
        </w:rPr>
        <w:t>the</w:t>
      </w:r>
      <w:r>
        <w:rPr>
          <w:color w:val="231F20"/>
          <w:spacing w:val="10"/>
          <w:w w:val="110"/>
        </w:rPr>
        <w:t> </w:t>
      </w:r>
      <w:r>
        <w:rPr>
          <w:color w:val="231F20"/>
          <w:w w:val="110"/>
        </w:rPr>
        <w:t>condition</w:t>
      </w:r>
      <w:r>
        <w:rPr>
          <w:color w:val="231F20"/>
          <w:spacing w:val="9"/>
          <w:w w:val="110"/>
        </w:rPr>
        <w:t> </w:t>
      </w:r>
      <w:r>
        <w:rPr>
          <w:color w:val="231F20"/>
          <w:w w:val="110"/>
        </w:rPr>
        <w:t>and</w:t>
      </w:r>
      <w:r>
        <w:rPr>
          <w:color w:val="231F20"/>
          <w:spacing w:val="10"/>
          <w:w w:val="110"/>
        </w:rPr>
        <w:t> </w:t>
      </w:r>
      <w:r>
        <w:rPr>
          <w:color w:val="231F20"/>
          <w:w w:val="110"/>
        </w:rPr>
        <w:t>facilities</w:t>
      </w:r>
      <w:r>
        <w:rPr>
          <w:color w:val="231F20"/>
          <w:spacing w:val="9"/>
          <w:w w:val="110"/>
        </w:rPr>
        <w:t> </w:t>
      </w:r>
      <w:r>
        <w:rPr>
          <w:color w:val="231F20"/>
          <w:w w:val="110"/>
        </w:rPr>
        <w:t>of</w:t>
      </w:r>
      <w:r>
        <w:rPr>
          <w:color w:val="231F20"/>
          <w:spacing w:val="10"/>
          <w:w w:val="110"/>
        </w:rPr>
        <w:t> </w:t>
      </w:r>
      <w:r>
        <w:rPr>
          <w:color w:val="231F20"/>
          <w:w w:val="110"/>
        </w:rPr>
        <w:t>the</w:t>
      </w:r>
      <w:r>
        <w:rPr>
          <w:color w:val="231F20"/>
          <w:spacing w:val="10"/>
          <w:w w:val="110"/>
        </w:rPr>
        <w:t> </w:t>
      </w:r>
      <w:r>
        <w:rPr>
          <w:color w:val="231F20"/>
          <w:w w:val="110"/>
        </w:rPr>
        <w:t>manse</w:t>
      </w:r>
      <w:r>
        <w:rPr>
          <w:color w:val="231F20"/>
          <w:spacing w:val="9"/>
          <w:w w:val="110"/>
        </w:rPr>
        <w:t> </w:t>
      </w:r>
      <w:r>
        <w:rPr>
          <w:color w:val="231F20"/>
          <w:spacing w:val="-6"/>
          <w:w w:val="110"/>
        </w:rPr>
        <w:t>or,</w:t>
      </w:r>
      <w:r>
        <w:rPr>
          <w:color w:val="231F20"/>
          <w:spacing w:val="10"/>
          <w:w w:val="110"/>
        </w:rPr>
        <w:t> </w:t>
      </w:r>
      <w:r>
        <w:rPr>
          <w:color w:val="231F20"/>
          <w:w w:val="110"/>
        </w:rPr>
        <w:t>if</w:t>
      </w:r>
      <w:r>
        <w:rPr>
          <w:color w:val="231F20"/>
          <w:spacing w:val="10"/>
          <w:w w:val="110"/>
        </w:rPr>
        <w:t> </w:t>
      </w:r>
      <w:r>
        <w:rPr>
          <w:color w:val="231F20"/>
          <w:w w:val="110"/>
        </w:rPr>
        <w:t>alternative</w:t>
      </w:r>
      <w:r>
        <w:rPr>
          <w:color w:val="231F20"/>
          <w:spacing w:val="9"/>
          <w:w w:val="110"/>
        </w:rPr>
        <w:t> </w:t>
      </w:r>
      <w:r>
        <w:rPr>
          <w:color w:val="231F20"/>
          <w:w w:val="110"/>
        </w:rPr>
        <w:t>housing</w:t>
      </w:r>
    </w:p>
    <w:p>
      <w:pPr>
        <w:pStyle w:val="BodyText"/>
        <w:spacing w:line="273" w:lineRule="auto" w:before="1"/>
        <w:ind w:left="1240" w:right="1365"/>
      </w:pPr>
      <w:r>
        <w:rPr>
          <w:color w:val="231F20"/>
          <w:w w:val="110"/>
        </w:rPr>
        <w:t>arrangements are to be made, should approve the details of the arrangements </w:t>
      </w:r>
      <w:r>
        <w:rPr>
          <w:color w:val="231F20"/>
          <w:spacing w:val="2"/>
          <w:w w:val="110"/>
        </w:rPr>
        <w:t>before</w:t>
      </w:r>
      <w:r>
        <w:rPr>
          <w:color w:val="231F20"/>
          <w:spacing w:val="73"/>
          <w:w w:val="110"/>
        </w:rPr>
        <w:t> </w:t>
      </w:r>
      <w:r>
        <w:rPr>
          <w:color w:val="231F20"/>
          <w:w w:val="110"/>
        </w:rPr>
        <w:t>concurring in calls and regularly thereafter.</w:t>
      </w:r>
    </w:p>
    <w:p>
      <w:pPr>
        <w:pStyle w:val="BodyText"/>
        <w:spacing w:before="8"/>
        <w:rPr>
          <w:sz w:val="20"/>
        </w:rPr>
      </w:pPr>
    </w:p>
    <w:p>
      <w:pPr>
        <w:pStyle w:val="BodyText"/>
        <w:spacing w:line="273" w:lineRule="auto"/>
        <w:ind w:left="1240" w:right="1365"/>
      </w:pPr>
      <w:r>
        <w:rPr>
          <w:color w:val="231F20"/>
          <w:w w:val="110"/>
        </w:rPr>
        <w:t>6.3.2.1 If the accommodation is owned or rented by the minister/CRCW, a housing allowance, agreed by the pastorate and the minister/CRCW, and approved by the [District Council] </w:t>
      </w:r>
      <w:r>
        <w:rPr>
          <w:i/>
          <w:color w:val="231F20"/>
          <w:w w:val="110"/>
        </w:rPr>
        <w:t>Synod</w:t>
      </w:r>
      <w:r>
        <w:rPr>
          <w:color w:val="231F20"/>
          <w:w w:val="110"/>
        </w:rPr>
        <w:t>, shall be payable. Guidelines for calculating allowances will be issued by the MoM Sub-Committee (see Appendix B).</w:t>
      </w:r>
    </w:p>
    <w:p>
      <w:pPr>
        <w:pStyle w:val="BodyText"/>
        <w:spacing w:before="9"/>
        <w:rPr>
          <w:sz w:val="20"/>
        </w:rPr>
      </w:pPr>
    </w:p>
    <w:p>
      <w:pPr>
        <w:pStyle w:val="BodyText"/>
        <w:spacing w:line="273" w:lineRule="auto"/>
        <w:ind w:left="1240" w:right="1365" w:hanging="1"/>
      </w:pPr>
      <w:r>
        <w:rPr>
          <w:color w:val="231F20"/>
          <w:w w:val="110"/>
        </w:rPr>
        <w:t>6.3.4.1 Car: where a minister/CRCW provides a car, the financial arrangements shall be agreed with the [District Council] </w:t>
      </w:r>
      <w:r>
        <w:rPr>
          <w:i/>
          <w:color w:val="231F20"/>
          <w:w w:val="110"/>
        </w:rPr>
        <w:t>Synod</w:t>
      </w:r>
      <w:r>
        <w:rPr>
          <w:b/>
          <w:i/>
          <w:color w:val="231F20"/>
          <w:w w:val="110"/>
        </w:rPr>
        <w:t>, </w:t>
      </w:r>
      <w:r>
        <w:rPr>
          <w:color w:val="231F20"/>
          <w:w w:val="110"/>
        </w:rPr>
        <w:t>the local church and the minister/CRCW. The MoM Sub-Committee shall distribute annually the rates of reimbursement for mileage undertaken on church business, </w:t>
      </w:r>
      <w:r>
        <w:rPr>
          <w:b/>
          <w:color w:val="231F20"/>
          <w:w w:val="110"/>
        </w:rPr>
        <w:t>which must not be exceeded </w:t>
      </w:r>
      <w:r>
        <w:rPr>
          <w:color w:val="231F20"/>
          <w:w w:val="110"/>
        </w:rPr>
        <w:t>(see Appendix A).</w:t>
      </w:r>
    </w:p>
    <w:p>
      <w:pPr>
        <w:pStyle w:val="BodyText"/>
        <w:spacing w:before="10"/>
        <w:rPr>
          <w:sz w:val="20"/>
        </w:rPr>
      </w:pPr>
    </w:p>
    <w:p>
      <w:pPr>
        <w:pStyle w:val="BodyText"/>
        <w:tabs>
          <w:tab w:pos="1960" w:val="left" w:leader="none"/>
        </w:tabs>
        <w:spacing w:line="273" w:lineRule="auto"/>
        <w:ind w:left="1240" w:right="1515"/>
      </w:pPr>
      <w:r>
        <w:rPr>
          <w:color w:val="231F20"/>
          <w:spacing w:val="-9"/>
          <w:w w:val="110"/>
        </w:rPr>
        <w:t>7.2</w:t>
        <w:tab/>
      </w:r>
      <w:r>
        <w:rPr>
          <w:color w:val="231F20"/>
          <w:w w:val="110"/>
        </w:rPr>
        <w:t>If a minister/CRCW resigns </w:t>
      </w:r>
      <w:r>
        <w:rPr>
          <w:color w:val="231F20"/>
          <w:spacing w:val="2"/>
          <w:w w:val="110"/>
        </w:rPr>
        <w:t>from </w:t>
      </w:r>
      <w:r>
        <w:rPr>
          <w:color w:val="231F20"/>
          <w:w w:val="110"/>
        </w:rPr>
        <w:t>a pastorate or post immediately following   any</w:t>
      </w:r>
      <w:r>
        <w:rPr>
          <w:color w:val="231F20"/>
          <w:spacing w:val="10"/>
          <w:w w:val="110"/>
        </w:rPr>
        <w:t> </w:t>
      </w:r>
      <w:r>
        <w:rPr>
          <w:color w:val="231F20"/>
          <w:w w:val="110"/>
        </w:rPr>
        <w:t>such</w:t>
      </w:r>
      <w:r>
        <w:rPr>
          <w:color w:val="231F20"/>
          <w:spacing w:val="11"/>
          <w:w w:val="110"/>
        </w:rPr>
        <w:t> </w:t>
      </w:r>
      <w:r>
        <w:rPr>
          <w:color w:val="231F20"/>
          <w:w w:val="110"/>
        </w:rPr>
        <w:t>period</w:t>
      </w:r>
      <w:r>
        <w:rPr>
          <w:color w:val="231F20"/>
          <w:spacing w:val="11"/>
          <w:w w:val="110"/>
        </w:rPr>
        <w:t> </w:t>
      </w:r>
      <w:r>
        <w:rPr>
          <w:color w:val="231F20"/>
          <w:w w:val="110"/>
        </w:rPr>
        <w:t>of</w:t>
      </w:r>
      <w:r>
        <w:rPr>
          <w:color w:val="231F20"/>
          <w:spacing w:val="11"/>
          <w:w w:val="110"/>
        </w:rPr>
        <w:t> </w:t>
      </w:r>
      <w:r>
        <w:rPr>
          <w:color w:val="231F20"/>
          <w:w w:val="110"/>
        </w:rPr>
        <w:t>leave/absence,</w:t>
      </w:r>
      <w:r>
        <w:rPr>
          <w:color w:val="231F20"/>
          <w:spacing w:val="11"/>
          <w:w w:val="110"/>
        </w:rPr>
        <w:t> </w:t>
      </w:r>
      <w:r>
        <w:rPr>
          <w:color w:val="231F20"/>
          <w:w w:val="110"/>
        </w:rPr>
        <w:t>stipend</w:t>
      </w:r>
      <w:r>
        <w:rPr>
          <w:color w:val="231F20"/>
          <w:spacing w:val="11"/>
          <w:w w:val="110"/>
        </w:rPr>
        <w:t> </w:t>
      </w:r>
      <w:r>
        <w:rPr>
          <w:color w:val="231F20"/>
          <w:w w:val="110"/>
        </w:rPr>
        <w:t>should</w:t>
      </w:r>
      <w:r>
        <w:rPr>
          <w:color w:val="231F20"/>
          <w:spacing w:val="11"/>
          <w:w w:val="110"/>
        </w:rPr>
        <w:t> </w:t>
      </w:r>
      <w:r>
        <w:rPr>
          <w:color w:val="231F20"/>
          <w:w w:val="110"/>
        </w:rPr>
        <w:t>be</w:t>
      </w:r>
      <w:r>
        <w:rPr>
          <w:color w:val="231F20"/>
          <w:spacing w:val="11"/>
          <w:w w:val="110"/>
        </w:rPr>
        <w:t> </w:t>
      </w:r>
      <w:r>
        <w:rPr>
          <w:color w:val="231F20"/>
          <w:w w:val="110"/>
        </w:rPr>
        <w:t>paid</w:t>
      </w:r>
      <w:r>
        <w:rPr>
          <w:color w:val="231F20"/>
          <w:spacing w:val="11"/>
          <w:w w:val="110"/>
        </w:rPr>
        <w:t> </w:t>
      </w:r>
      <w:r>
        <w:rPr>
          <w:color w:val="231F20"/>
          <w:w w:val="110"/>
        </w:rPr>
        <w:t>for</w:t>
      </w:r>
      <w:r>
        <w:rPr>
          <w:color w:val="231F20"/>
          <w:spacing w:val="11"/>
          <w:w w:val="110"/>
        </w:rPr>
        <w:t> </w:t>
      </w:r>
      <w:r>
        <w:rPr>
          <w:color w:val="231F20"/>
          <w:w w:val="110"/>
        </w:rPr>
        <w:t>any</w:t>
      </w:r>
      <w:r>
        <w:rPr>
          <w:color w:val="231F20"/>
          <w:spacing w:val="11"/>
          <w:w w:val="110"/>
        </w:rPr>
        <w:t> </w:t>
      </w:r>
      <w:r>
        <w:rPr>
          <w:color w:val="231F20"/>
          <w:w w:val="110"/>
        </w:rPr>
        <w:t>outstanding</w:t>
      </w:r>
      <w:r>
        <w:rPr>
          <w:color w:val="231F20"/>
          <w:spacing w:val="11"/>
          <w:w w:val="110"/>
        </w:rPr>
        <w:t> </w:t>
      </w:r>
      <w:r>
        <w:rPr>
          <w:color w:val="231F20"/>
          <w:w w:val="110"/>
        </w:rPr>
        <w:t>holiday</w:t>
      </w:r>
    </w:p>
    <w:p>
      <w:pPr>
        <w:pStyle w:val="BodyText"/>
        <w:spacing w:line="273" w:lineRule="auto" w:before="1"/>
        <w:ind w:left="1240" w:right="1365"/>
      </w:pPr>
      <w:r>
        <w:rPr>
          <w:color w:val="231F20"/>
          <w:w w:val="110"/>
        </w:rPr>
        <w:t>entitlement untaken at the date of resignation, which may include outstanding holiday entitlement from the previous year, always provided that [District Council] </w:t>
      </w:r>
      <w:r>
        <w:rPr>
          <w:i/>
          <w:color w:val="231F20"/>
          <w:w w:val="110"/>
        </w:rPr>
        <w:t>Synod </w:t>
      </w:r>
      <w:r>
        <w:rPr>
          <w:color w:val="231F20"/>
          <w:w w:val="110"/>
        </w:rPr>
        <w:t>concurs with the arrangements.</w:t>
      </w:r>
    </w:p>
    <w:p>
      <w:pPr>
        <w:spacing w:after="0" w:line="273" w:lineRule="auto"/>
        <w:sectPr>
          <w:headerReference w:type="default" r:id="rId235"/>
          <w:headerReference w:type="even" r:id="rId236"/>
          <w:footerReference w:type="default" r:id="rId237"/>
          <w:footerReference w:type="even" r:id="rId238"/>
          <w:pgSz w:w="11910" w:h="16840"/>
          <w:pgMar w:header="558" w:footer="564" w:top="820" w:bottom="760" w:left="460" w:right="0"/>
          <w:pgNumType w:start="161"/>
        </w:sectPr>
      </w:pPr>
    </w:p>
    <w:p>
      <w:pPr>
        <w:pStyle w:val="BodyText"/>
        <w:spacing w:before="8"/>
        <w:rPr>
          <w:sz w:val="29"/>
        </w:rPr>
      </w:pPr>
      <w:r>
        <w:rPr/>
        <w:pict>
          <v:group style="position:absolute;margin-left:34.015999pt;margin-top:45.354015pt;width:526.3pt;height:739.85pt;mso-position-horizontal-relative:page;mso-position-vertical-relative:page;z-index:-275416064" coordorigin="680,907" coordsize="10526,14797">
            <v:shape style="position:absolute;left:870;top:1031;width:9872;height:14643" coordorigin="870,1032" coordsize="9872,14643" path="m870,15434l874,15573,900,15644,972,15670,1110,15674,10502,15674,10640,15670,10712,15644,10738,15573,10742,15434,10742,1272,10738,1133,10712,1062,10640,1035,10502,1032,1110,1032,972,1035,900,1062,874,1133,870,1272,870,15434xe" filled="false" stroked="true" strokeweight="3pt" strokecolor="#000000">
              <v:path arrowok="t"/>
              <v:stroke dashstyle="solid"/>
            </v:shape>
            <v:rect style="position:absolute;left:680;top:907;width:10526;height:378" filled="true" fillcolor="#ffffff" stroked="false">
              <v:fill type="solid"/>
            </v:rect>
            <w10:wrap type="none"/>
          </v:group>
        </w:pict>
      </w:r>
    </w:p>
    <w:p>
      <w:pPr>
        <w:tabs>
          <w:tab w:pos="1393" w:val="left" w:leader="none"/>
        </w:tabs>
        <w:spacing w:before="100"/>
        <w:ind w:left="673" w:right="0" w:firstLine="0"/>
        <w:jc w:val="left"/>
        <w:rPr>
          <w:b/>
          <w:sz w:val="18"/>
        </w:rPr>
      </w:pPr>
      <w:r>
        <w:rPr>
          <w:color w:val="231F20"/>
          <w:w w:val="110"/>
          <w:sz w:val="18"/>
        </w:rPr>
        <w:t>8.</w:t>
        <w:tab/>
      </w:r>
      <w:r>
        <w:rPr>
          <w:b/>
          <w:color w:val="231F20"/>
          <w:w w:val="110"/>
          <w:sz w:val="18"/>
        </w:rPr>
        <w:t>ADDITIONAL PAID WORK</w:t>
      </w:r>
    </w:p>
    <w:p>
      <w:pPr>
        <w:pStyle w:val="BodyText"/>
        <w:spacing w:before="2"/>
        <w:rPr>
          <w:b/>
          <w:sz w:val="23"/>
        </w:rPr>
      </w:pPr>
    </w:p>
    <w:p>
      <w:pPr>
        <w:pStyle w:val="BodyText"/>
        <w:spacing w:line="273" w:lineRule="auto"/>
        <w:ind w:left="673" w:right="2061" w:firstLine="720"/>
      </w:pPr>
      <w:r>
        <w:rPr>
          <w:color w:val="231F20"/>
          <w:w w:val="110"/>
        </w:rPr>
        <w:t>Stipends and other allowances paid to full-time ministers/CRCWs shall normally be on the basis that these represent the main earned remuneration. It is recognised that a minister/CRCW will from time to time accept other paid work (e.g. hospital chaplaincies or teaching). Where this work, in the view of the [District Council and Synod Moderator] </w:t>
      </w:r>
      <w:r>
        <w:rPr>
          <w:i/>
          <w:color w:val="231F20"/>
          <w:w w:val="110"/>
        </w:rPr>
        <w:t>Synod</w:t>
      </w:r>
      <w:r>
        <w:rPr>
          <w:color w:val="231F20"/>
          <w:w w:val="110"/>
        </w:rPr>
        <w:t>, can be performed without detriment to the pastoral care</w:t>
      </w:r>
    </w:p>
    <w:p>
      <w:pPr>
        <w:pStyle w:val="BodyText"/>
        <w:spacing w:line="273" w:lineRule="auto" w:before="3"/>
        <w:ind w:left="673" w:right="2348"/>
      </w:pPr>
      <w:r>
        <w:rPr>
          <w:color w:val="231F20"/>
          <w:w w:val="110"/>
        </w:rPr>
        <w:t>of church, congregation and local church witness, the additional remuneration may be retained by the minister/CRCW involved, provided the work does not exceed the</w:t>
      </w:r>
    </w:p>
    <w:p>
      <w:pPr>
        <w:pStyle w:val="BodyText"/>
        <w:spacing w:line="273" w:lineRule="auto" w:before="2"/>
        <w:ind w:left="673" w:right="1829"/>
      </w:pPr>
      <w:r>
        <w:rPr>
          <w:color w:val="231F20"/>
          <w:w w:val="110"/>
        </w:rPr>
        <w:t>equivalent of one working day per week. Where more than one day per week is involved the [District Council and the Synod Moderator] </w:t>
      </w:r>
      <w:r>
        <w:rPr>
          <w:i/>
          <w:color w:val="231F20"/>
          <w:w w:val="110"/>
        </w:rPr>
        <w:t>appropriate committee of the Synod or </w:t>
      </w:r>
      <w:r>
        <w:rPr>
          <w:i/>
          <w:color w:val="231F20"/>
          <w:w w:val="110"/>
        </w:rPr>
        <w:t>the Synod Moderator </w:t>
      </w:r>
      <w:r>
        <w:rPr>
          <w:color w:val="231F20"/>
          <w:w w:val="110"/>
        </w:rPr>
        <w:t>should consult with the MoM Sub-Committee who may decide to reduce the stipend by an appropriate</w:t>
      </w:r>
      <w:r>
        <w:rPr>
          <w:color w:val="231F20"/>
          <w:spacing w:val="11"/>
          <w:w w:val="110"/>
        </w:rPr>
        <w:t> </w:t>
      </w:r>
      <w:r>
        <w:rPr>
          <w:color w:val="231F20"/>
          <w:w w:val="110"/>
        </w:rPr>
        <w:t>amount.</w:t>
      </w:r>
    </w:p>
    <w:p>
      <w:pPr>
        <w:pStyle w:val="BodyText"/>
        <w:spacing w:before="9"/>
        <w:rPr>
          <w:sz w:val="20"/>
        </w:rPr>
      </w:pPr>
    </w:p>
    <w:p>
      <w:pPr>
        <w:pStyle w:val="ListParagraph"/>
        <w:numPr>
          <w:ilvl w:val="2"/>
          <w:numId w:val="97"/>
        </w:numPr>
        <w:tabs>
          <w:tab w:pos="1393" w:val="left" w:leader="none"/>
          <w:tab w:pos="1394" w:val="left" w:leader="none"/>
        </w:tabs>
        <w:spacing w:line="273" w:lineRule="auto" w:before="0" w:after="0"/>
        <w:ind w:left="673" w:right="1709" w:firstLine="0"/>
        <w:jc w:val="left"/>
        <w:rPr>
          <w:color w:val="231F20"/>
          <w:sz w:val="18"/>
        </w:rPr>
      </w:pPr>
      <w:r>
        <w:rPr>
          <w:color w:val="231F20"/>
          <w:w w:val="110"/>
          <w:sz w:val="18"/>
        </w:rPr>
        <w:t>Except at the time of a minister/CRCW’s initial induction (when a full </w:t>
      </w:r>
      <w:r>
        <w:rPr>
          <w:color w:val="231F20"/>
          <w:spacing w:val="2"/>
          <w:w w:val="110"/>
          <w:sz w:val="18"/>
        </w:rPr>
        <w:t>resettlement </w:t>
      </w:r>
      <w:r>
        <w:rPr>
          <w:color w:val="231F20"/>
          <w:w w:val="110"/>
          <w:sz w:val="18"/>
        </w:rPr>
        <w:t>grant is payable) where the pastorate is part-time the grant shall be pro rata according   to the scoping of the pastorate to be served. A full retirement </w:t>
      </w:r>
      <w:r>
        <w:rPr>
          <w:color w:val="231F20"/>
          <w:spacing w:val="2"/>
          <w:w w:val="110"/>
          <w:sz w:val="18"/>
        </w:rPr>
        <w:t>resettlement </w:t>
      </w:r>
      <w:r>
        <w:rPr>
          <w:color w:val="231F20"/>
          <w:w w:val="110"/>
          <w:sz w:val="18"/>
        </w:rPr>
        <w:t>grant will be paid to ministers/CRCWs who have completed </w:t>
      </w:r>
      <w:r>
        <w:rPr>
          <w:color w:val="231F20"/>
          <w:spacing w:val="-4"/>
          <w:w w:val="110"/>
          <w:sz w:val="18"/>
        </w:rPr>
        <w:t>10 </w:t>
      </w:r>
      <w:r>
        <w:rPr>
          <w:color w:val="231F20"/>
          <w:w w:val="110"/>
          <w:sz w:val="18"/>
        </w:rPr>
        <w:t>years </w:t>
      </w:r>
      <w:r>
        <w:rPr>
          <w:color w:val="231F20"/>
          <w:spacing w:val="2"/>
          <w:w w:val="110"/>
          <w:sz w:val="18"/>
        </w:rPr>
        <w:t>service </w:t>
      </w:r>
      <w:r>
        <w:rPr>
          <w:color w:val="231F20"/>
          <w:w w:val="110"/>
          <w:sz w:val="18"/>
        </w:rPr>
        <w:t>up to their retirement </w:t>
      </w:r>
      <w:r>
        <w:rPr>
          <w:color w:val="231F20"/>
          <w:spacing w:val="-3"/>
          <w:w w:val="110"/>
          <w:sz w:val="18"/>
        </w:rPr>
        <w:t>[date, </w:t>
      </w:r>
      <w:r>
        <w:rPr>
          <w:color w:val="231F20"/>
          <w:w w:val="110"/>
          <w:sz w:val="18"/>
        </w:rPr>
        <w:t>whether this is at the age of 65 or earlier]. The grant will be reduced pro-rata where the minister/CRCW has not been in stipendiary </w:t>
      </w:r>
      <w:r>
        <w:rPr>
          <w:color w:val="231F20"/>
          <w:spacing w:val="2"/>
          <w:w w:val="110"/>
          <w:sz w:val="18"/>
        </w:rPr>
        <w:t>service </w:t>
      </w:r>
      <w:r>
        <w:rPr>
          <w:color w:val="231F20"/>
          <w:w w:val="110"/>
          <w:sz w:val="18"/>
        </w:rPr>
        <w:t>for </w:t>
      </w:r>
      <w:r>
        <w:rPr>
          <w:color w:val="231F20"/>
          <w:spacing w:val="-4"/>
          <w:w w:val="110"/>
          <w:sz w:val="18"/>
        </w:rPr>
        <w:t>10 </w:t>
      </w:r>
      <w:r>
        <w:rPr>
          <w:color w:val="231F20"/>
          <w:w w:val="110"/>
          <w:sz w:val="18"/>
        </w:rPr>
        <w:t>years, or the years  of </w:t>
      </w:r>
      <w:r>
        <w:rPr>
          <w:color w:val="231F20"/>
          <w:spacing w:val="2"/>
          <w:w w:val="110"/>
          <w:sz w:val="18"/>
        </w:rPr>
        <w:t>service </w:t>
      </w:r>
      <w:r>
        <w:rPr>
          <w:color w:val="231F20"/>
          <w:w w:val="110"/>
          <w:sz w:val="18"/>
        </w:rPr>
        <w:t>have not been</w:t>
      </w:r>
      <w:r>
        <w:rPr>
          <w:color w:val="231F20"/>
          <w:spacing w:val="3"/>
          <w:w w:val="110"/>
          <w:sz w:val="18"/>
        </w:rPr>
        <w:t> </w:t>
      </w:r>
      <w:r>
        <w:rPr>
          <w:color w:val="231F20"/>
          <w:w w:val="110"/>
          <w:sz w:val="18"/>
        </w:rPr>
        <w:t>full-time.</w:t>
      </w:r>
    </w:p>
    <w:p>
      <w:pPr>
        <w:pStyle w:val="BodyText"/>
        <w:spacing w:before="11"/>
        <w:rPr>
          <w:sz w:val="20"/>
        </w:rPr>
      </w:pPr>
    </w:p>
    <w:p>
      <w:pPr>
        <w:pStyle w:val="ListParagraph"/>
        <w:numPr>
          <w:ilvl w:val="2"/>
          <w:numId w:val="97"/>
        </w:numPr>
        <w:tabs>
          <w:tab w:pos="1393" w:val="left" w:leader="none"/>
          <w:tab w:pos="1394" w:val="left" w:leader="none"/>
        </w:tabs>
        <w:spacing w:line="273" w:lineRule="auto" w:before="0" w:after="0"/>
        <w:ind w:left="673" w:right="1774" w:firstLine="0"/>
        <w:jc w:val="left"/>
        <w:rPr>
          <w:color w:val="231F20"/>
          <w:sz w:val="18"/>
        </w:rPr>
      </w:pPr>
      <w:r>
        <w:rPr>
          <w:color w:val="231F20"/>
          <w:w w:val="110"/>
          <w:sz w:val="18"/>
        </w:rPr>
        <w:t>In the </w:t>
      </w:r>
      <w:r>
        <w:rPr>
          <w:color w:val="231F20"/>
          <w:spacing w:val="2"/>
          <w:w w:val="110"/>
          <w:sz w:val="18"/>
        </w:rPr>
        <w:t>case </w:t>
      </w:r>
      <w:r>
        <w:rPr>
          <w:color w:val="231F20"/>
          <w:w w:val="110"/>
          <w:sz w:val="18"/>
        </w:rPr>
        <w:t>of a minister/CRCW who dies </w:t>
      </w:r>
      <w:r>
        <w:rPr>
          <w:color w:val="231F20"/>
          <w:spacing w:val="2"/>
          <w:w w:val="110"/>
          <w:sz w:val="18"/>
        </w:rPr>
        <w:t>before </w:t>
      </w:r>
      <w:r>
        <w:rPr>
          <w:color w:val="231F20"/>
          <w:w w:val="110"/>
          <w:sz w:val="18"/>
        </w:rPr>
        <w:t>retirement [(whether or not they have already passed retirement </w:t>
      </w:r>
      <w:r>
        <w:rPr>
          <w:color w:val="231F20"/>
          <w:spacing w:val="-5"/>
          <w:w w:val="110"/>
          <w:sz w:val="18"/>
        </w:rPr>
        <w:t>age)] </w:t>
      </w:r>
      <w:r>
        <w:rPr>
          <w:color w:val="231F20"/>
          <w:w w:val="110"/>
          <w:sz w:val="18"/>
        </w:rPr>
        <w:t>the spouse shall be entitled to the equivalent of a </w:t>
      </w:r>
      <w:r>
        <w:rPr>
          <w:color w:val="231F20"/>
          <w:spacing w:val="2"/>
          <w:w w:val="110"/>
          <w:sz w:val="18"/>
        </w:rPr>
        <w:t>resettlement </w:t>
      </w:r>
      <w:r>
        <w:rPr>
          <w:color w:val="231F20"/>
          <w:w w:val="110"/>
          <w:sz w:val="18"/>
        </w:rPr>
        <w:t>grant upon the first change of residence. If death </w:t>
      </w:r>
      <w:r>
        <w:rPr>
          <w:color w:val="231F20"/>
          <w:spacing w:val="2"/>
          <w:w w:val="110"/>
          <w:sz w:val="18"/>
        </w:rPr>
        <w:t>occurs after </w:t>
      </w:r>
      <w:r>
        <w:rPr>
          <w:color w:val="231F20"/>
          <w:w w:val="110"/>
          <w:sz w:val="18"/>
        </w:rPr>
        <w:t>retirement but </w:t>
      </w:r>
      <w:r>
        <w:rPr>
          <w:color w:val="231F20"/>
          <w:spacing w:val="2"/>
          <w:w w:val="110"/>
          <w:sz w:val="18"/>
        </w:rPr>
        <w:t>before </w:t>
      </w:r>
      <w:r>
        <w:rPr>
          <w:color w:val="231F20"/>
          <w:w w:val="110"/>
          <w:sz w:val="18"/>
        </w:rPr>
        <w:t>the first change of </w:t>
      </w:r>
      <w:r>
        <w:rPr>
          <w:color w:val="231F20"/>
          <w:spacing w:val="2"/>
          <w:w w:val="110"/>
          <w:sz w:val="18"/>
        </w:rPr>
        <w:t>residence </w:t>
      </w:r>
      <w:r>
        <w:rPr>
          <w:color w:val="231F20"/>
          <w:w w:val="110"/>
          <w:sz w:val="18"/>
        </w:rPr>
        <w:t>then the spouse shall be entitled to the equivalent of a </w:t>
      </w:r>
      <w:r>
        <w:rPr>
          <w:color w:val="231F20"/>
          <w:spacing w:val="2"/>
          <w:w w:val="110"/>
          <w:sz w:val="18"/>
        </w:rPr>
        <w:t>resettlement</w:t>
      </w:r>
      <w:r>
        <w:rPr>
          <w:color w:val="231F20"/>
          <w:spacing w:val="4"/>
          <w:w w:val="110"/>
          <w:sz w:val="18"/>
        </w:rPr>
        <w:t> </w:t>
      </w:r>
      <w:r>
        <w:rPr>
          <w:color w:val="231F20"/>
          <w:w w:val="110"/>
          <w:sz w:val="18"/>
        </w:rPr>
        <w:t>grant.</w:t>
      </w:r>
    </w:p>
    <w:p>
      <w:pPr>
        <w:pStyle w:val="BodyText"/>
        <w:spacing w:before="10"/>
        <w:rPr>
          <w:sz w:val="20"/>
        </w:rPr>
      </w:pPr>
    </w:p>
    <w:p>
      <w:pPr>
        <w:pStyle w:val="ListParagraph"/>
        <w:numPr>
          <w:ilvl w:val="2"/>
          <w:numId w:val="97"/>
        </w:numPr>
        <w:tabs>
          <w:tab w:pos="1393" w:val="left" w:leader="none"/>
          <w:tab w:pos="1394" w:val="left" w:leader="none"/>
        </w:tabs>
        <w:spacing w:line="273" w:lineRule="auto" w:before="0" w:after="0"/>
        <w:ind w:left="673" w:right="1792" w:firstLine="0"/>
        <w:jc w:val="left"/>
        <w:rPr>
          <w:i/>
          <w:color w:val="231F20"/>
          <w:sz w:val="18"/>
        </w:rPr>
      </w:pPr>
      <w:r>
        <w:rPr>
          <w:i/>
          <w:color w:val="231F20"/>
          <w:w w:val="110"/>
          <w:sz w:val="18"/>
        </w:rPr>
        <w:t>Where the minister/CRCW approaches planned retirement and, with the approval </w:t>
      </w:r>
      <w:r>
        <w:rPr>
          <w:i/>
          <w:color w:val="231F20"/>
          <w:w w:val="110"/>
          <w:sz w:val="18"/>
        </w:rPr>
        <w:t>of the pastorate and the Synod, moves into </w:t>
      </w:r>
      <w:r>
        <w:rPr>
          <w:i/>
          <w:color w:val="231F20"/>
          <w:spacing w:val="3"/>
          <w:w w:val="110"/>
          <w:sz w:val="18"/>
        </w:rPr>
        <w:t>property </w:t>
      </w:r>
      <w:r>
        <w:rPr>
          <w:i/>
          <w:color w:val="231F20"/>
          <w:w w:val="110"/>
          <w:sz w:val="18"/>
        </w:rPr>
        <w:t>designated as a retirement home, retirement resettlement and removal grants shall be paid. Retirement and resettlement grants shall only be paid once during the ministry of a minister/CRCW, or ministerial married couple.</w:t>
      </w:r>
    </w:p>
    <w:p>
      <w:pPr>
        <w:pStyle w:val="BodyText"/>
        <w:spacing w:before="10"/>
        <w:rPr>
          <w:i/>
          <w:sz w:val="20"/>
        </w:rPr>
      </w:pPr>
    </w:p>
    <w:p>
      <w:pPr>
        <w:pStyle w:val="BodyText"/>
        <w:tabs>
          <w:tab w:pos="1462" w:val="left" w:leader="none"/>
        </w:tabs>
        <w:spacing w:line="549" w:lineRule="auto"/>
        <w:ind w:left="673" w:right="2348"/>
      </w:pPr>
      <w:r>
        <w:rPr>
          <w:color w:val="231F20"/>
          <w:w w:val="110"/>
        </w:rPr>
        <w:t>Existing paragraphs </w:t>
      </w:r>
      <w:r>
        <w:rPr>
          <w:color w:val="231F20"/>
          <w:spacing w:val="-6"/>
          <w:w w:val="110"/>
        </w:rPr>
        <w:t>9.1.4 </w:t>
      </w:r>
      <w:r>
        <w:rPr>
          <w:color w:val="231F20"/>
          <w:w w:val="110"/>
        </w:rPr>
        <w:t>and </w:t>
      </w:r>
      <w:r>
        <w:rPr>
          <w:color w:val="231F20"/>
          <w:spacing w:val="-5"/>
          <w:w w:val="110"/>
        </w:rPr>
        <w:t>9.1.5 </w:t>
      </w:r>
      <w:r>
        <w:rPr>
          <w:color w:val="231F20"/>
          <w:w w:val="110"/>
        </w:rPr>
        <w:t>are re-numbered </w:t>
      </w:r>
      <w:r>
        <w:rPr>
          <w:color w:val="231F20"/>
          <w:spacing w:val="-5"/>
          <w:w w:val="110"/>
        </w:rPr>
        <w:t>9.1.5 </w:t>
      </w:r>
      <w:r>
        <w:rPr>
          <w:color w:val="231F20"/>
          <w:w w:val="110"/>
        </w:rPr>
        <w:t>and </w:t>
      </w:r>
      <w:r>
        <w:rPr>
          <w:color w:val="231F20"/>
          <w:spacing w:val="-5"/>
          <w:w w:val="110"/>
        </w:rPr>
        <w:t>9.1.6 </w:t>
      </w:r>
      <w:r>
        <w:rPr>
          <w:color w:val="231F20"/>
          <w:spacing w:val="2"/>
          <w:w w:val="110"/>
        </w:rPr>
        <w:t>respectively </w:t>
      </w:r>
      <w:r>
        <w:rPr>
          <w:color w:val="231F20"/>
          <w:spacing w:val="-6"/>
          <w:w w:val="110"/>
        </w:rPr>
        <w:t>[9.4.4</w:t>
        <w:tab/>
      </w:r>
      <w:r>
        <w:rPr>
          <w:color w:val="231F20"/>
          <w:w w:val="110"/>
        </w:rPr>
        <w:t>The entire paragraph is deleted and repositioned as </w:t>
      </w:r>
      <w:r>
        <w:rPr>
          <w:color w:val="231F20"/>
          <w:spacing w:val="-6"/>
          <w:w w:val="110"/>
        </w:rPr>
        <w:t>9.1.4 </w:t>
      </w:r>
      <w:r>
        <w:rPr>
          <w:color w:val="231F20"/>
          <w:w w:val="110"/>
        </w:rPr>
        <w:t>as shown </w:t>
      </w:r>
      <w:r>
        <w:rPr>
          <w:color w:val="231F20"/>
          <w:spacing w:val="-4"/>
          <w:w w:val="110"/>
        </w:rPr>
        <w:t>above.] </w:t>
      </w:r>
      <w:r>
        <w:rPr>
          <w:color w:val="231F20"/>
          <w:w w:val="110"/>
        </w:rPr>
        <w:t>APPENDIX D – NATIONAL MANSE</w:t>
      </w:r>
      <w:r>
        <w:rPr>
          <w:color w:val="231F20"/>
          <w:spacing w:val="9"/>
          <w:w w:val="110"/>
        </w:rPr>
        <w:t> </w:t>
      </w:r>
      <w:r>
        <w:rPr>
          <w:color w:val="231F20"/>
          <w:w w:val="110"/>
        </w:rPr>
        <w:t>GUIDELINES</w:t>
      </w:r>
    </w:p>
    <w:p>
      <w:pPr>
        <w:pStyle w:val="BodyText"/>
        <w:tabs>
          <w:tab w:pos="1393" w:val="left" w:leader="none"/>
        </w:tabs>
        <w:spacing w:line="216" w:lineRule="exact"/>
        <w:ind w:left="673"/>
      </w:pPr>
      <w:r>
        <w:rPr>
          <w:color w:val="231F20"/>
          <w:w w:val="110"/>
        </w:rPr>
        <w:t>1.2</w:t>
        <w:tab/>
        <w:t>Plan for</w:t>
      </w:r>
      <w:r>
        <w:rPr>
          <w:color w:val="231F20"/>
          <w:spacing w:val="2"/>
          <w:w w:val="110"/>
        </w:rPr>
        <w:t> </w:t>
      </w:r>
      <w:r>
        <w:rPr>
          <w:color w:val="231F20"/>
          <w:w w:val="110"/>
        </w:rPr>
        <w:t>Partnership</w:t>
      </w:r>
    </w:p>
    <w:p>
      <w:pPr>
        <w:pStyle w:val="BodyText"/>
        <w:spacing w:before="31"/>
        <w:ind w:left="1393"/>
      </w:pPr>
      <w:r>
        <w:rPr>
          <w:color w:val="231F20"/>
          <w:w w:val="110"/>
        </w:rPr>
        <w:t>A responsibility is placed upon [District Councils] </w:t>
      </w:r>
      <w:r>
        <w:rPr>
          <w:i/>
          <w:color w:val="231F20"/>
          <w:w w:val="110"/>
        </w:rPr>
        <w:t>Synods </w:t>
      </w:r>
      <w:r>
        <w:rPr>
          <w:color w:val="231F20"/>
          <w:w w:val="110"/>
        </w:rPr>
        <w:t>(para. 6.3.1)</w:t>
      </w:r>
    </w:p>
    <w:p>
      <w:pPr>
        <w:pStyle w:val="BodyText"/>
        <w:spacing w:line="273" w:lineRule="auto" w:before="32"/>
        <w:ind w:left="673" w:right="2219"/>
        <w:rPr>
          <w:b/>
        </w:rPr>
      </w:pPr>
      <w:r>
        <w:rPr>
          <w:color w:val="231F20"/>
          <w:w w:val="110"/>
        </w:rPr>
        <w:t>[-taking advice from Synod-] to take note of the condition and facilities of the manse or, if alternative arrangements are to be made, should approve the details of the arrangement before concurring in Calls </w:t>
      </w:r>
      <w:r>
        <w:rPr>
          <w:b/>
          <w:color w:val="231F20"/>
          <w:w w:val="110"/>
        </w:rPr>
        <w:t>and regularly thereafter.</w:t>
      </w:r>
    </w:p>
    <w:p>
      <w:pPr>
        <w:pStyle w:val="BodyText"/>
        <w:spacing w:before="8"/>
        <w:rPr>
          <w:b/>
          <w:sz w:val="20"/>
        </w:rPr>
      </w:pPr>
    </w:p>
    <w:p>
      <w:pPr>
        <w:pStyle w:val="ListParagraph"/>
        <w:numPr>
          <w:ilvl w:val="1"/>
          <w:numId w:val="98"/>
        </w:numPr>
        <w:tabs>
          <w:tab w:pos="1411" w:val="left" w:leader="none"/>
          <w:tab w:pos="1412" w:val="left" w:leader="none"/>
        </w:tabs>
        <w:spacing w:line="240" w:lineRule="auto" w:before="0" w:after="0"/>
        <w:ind w:left="1411" w:right="0" w:hanging="739"/>
        <w:jc w:val="left"/>
        <w:rPr>
          <w:sz w:val="18"/>
        </w:rPr>
      </w:pPr>
      <w:r>
        <w:rPr>
          <w:color w:val="231F20"/>
          <w:w w:val="110"/>
          <w:sz w:val="18"/>
        </w:rPr>
        <w:t>Maintenance</w:t>
      </w:r>
    </w:p>
    <w:p>
      <w:pPr>
        <w:pStyle w:val="BodyText"/>
        <w:spacing w:before="2"/>
        <w:rPr>
          <w:sz w:val="23"/>
        </w:rPr>
      </w:pPr>
    </w:p>
    <w:p>
      <w:pPr>
        <w:pStyle w:val="BodyText"/>
        <w:spacing w:line="273" w:lineRule="auto"/>
        <w:ind w:left="673" w:right="2061"/>
      </w:pPr>
      <w:r>
        <w:rPr>
          <w:color w:val="231F20"/>
          <w:w w:val="110"/>
        </w:rPr>
        <w:t>This is </w:t>
      </w:r>
      <w:r>
        <w:rPr>
          <w:color w:val="231F20"/>
          <w:spacing w:val="2"/>
          <w:w w:val="110"/>
        </w:rPr>
        <w:t>very </w:t>
      </w:r>
      <w:r>
        <w:rPr>
          <w:color w:val="231F20"/>
          <w:w w:val="110"/>
        </w:rPr>
        <w:t>important and an annual inspection should be undertaken to ensure provision is made for a programme of maintenance. This is for the benefit of the minister and his/her family and is also to ensure the value of the asset is protected. Synods should ensure there is a mechanism in place to monitor the way [District and] the local church(</w:t>
      </w:r>
      <w:r>
        <w:rPr>
          <w:i/>
          <w:color w:val="231F20"/>
          <w:w w:val="110"/>
        </w:rPr>
        <w:t>es</w:t>
      </w:r>
      <w:r>
        <w:rPr>
          <w:color w:val="231F20"/>
          <w:w w:val="110"/>
        </w:rPr>
        <w:t>) exercise their responsibility for maintaining the </w:t>
      </w:r>
      <w:r>
        <w:rPr>
          <w:color w:val="231F20"/>
          <w:spacing w:val="3"/>
          <w:w w:val="110"/>
        </w:rPr>
        <w:t>property </w:t>
      </w:r>
      <w:r>
        <w:rPr>
          <w:color w:val="231F20"/>
          <w:w w:val="110"/>
        </w:rPr>
        <w:t>in good order. The church should identify who is to be responsible for ensuring the procedure for maintenance of the </w:t>
      </w:r>
      <w:r>
        <w:rPr>
          <w:color w:val="231F20"/>
          <w:spacing w:val="3"/>
          <w:w w:val="110"/>
        </w:rPr>
        <w:t>property </w:t>
      </w:r>
      <w:r>
        <w:rPr>
          <w:color w:val="231F20"/>
          <w:w w:val="110"/>
        </w:rPr>
        <w:t>is followed. It is normal </w:t>
      </w:r>
      <w:r>
        <w:rPr>
          <w:color w:val="231F20"/>
          <w:spacing w:val="2"/>
          <w:w w:val="110"/>
        </w:rPr>
        <w:t>practice </w:t>
      </w:r>
      <w:r>
        <w:rPr>
          <w:color w:val="231F20"/>
          <w:w w:val="110"/>
        </w:rPr>
        <w:t>for the church  building to be surveyed on a regular basis, normally every 5 years. The manse should be included in such a</w:t>
      </w:r>
      <w:r>
        <w:rPr>
          <w:color w:val="231F20"/>
          <w:spacing w:val="5"/>
          <w:w w:val="110"/>
        </w:rPr>
        <w:t> </w:t>
      </w:r>
      <w:r>
        <w:rPr>
          <w:color w:val="231F20"/>
          <w:w w:val="110"/>
        </w:rPr>
        <w:t>review.</w:t>
      </w:r>
    </w:p>
    <w:p>
      <w:pPr>
        <w:spacing w:after="0" w:line="273" w:lineRule="auto"/>
        <w:sectPr>
          <w:pgSz w:w="11910" w:h="16840"/>
          <w:pgMar w:header="558" w:footer="484" w:top="820" w:bottom="680" w:left="460" w:right="0"/>
        </w:sectPr>
      </w:pPr>
    </w:p>
    <w:p>
      <w:pPr>
        <w:pStyle w:val="BodyText"/>
        <w:spacing w:before="1"/>
        <w:rPr>
          <w:sz w:val="19"/>
        </w:rPr>
      </w:pPr>
    </w:p>
    <w:p>
      <w:pPr>
        <w:spacing w:after="0"/>
        <w:rPr>
          <w:sz w:val="19"/>
        </w:rPr>
        <w:sectPr>
          <w:pgSz w:w="11910" w:h="16840"/>
          <w:pgMar w:header="558" w:footer="564" w:top="820" w:bottom="760" w:left="460" w:right="0"/>
        </w:sectPr>
      </w:pPr>
    </w:p>
    <w:p>
      <w:pPr>
        <w:pStyle w:val="Heading5"/>
        <w:ind w:left="1392"/>
        <w:rPr>
          <w:sz w:val="50"/>
        </w:rPr>
      </w:pPr>
      <w:r>
        <w:rPr>
          <w:color w:val="FFFFFF"/>
          <w:spacing w:val="2"/>
          <w:w w:val="111"/>
        </w:rPr>
        <w:t>R</w:t>
      </w:r>
      <w:r>
        <w:rPr>
          <w:color w:val="FFFFFF"/>
          <w:spacing w:val="1"/>
          <w:w w:val="111"/>
        </w:rPr>
        <w:t>E</w:t>
      </w:r>
      <w:r>
        <w:rPr>
          <w:color w:val="FFFFFF"/>
          <w:w w:val="111"/>
        </w:rPr>
        <w:t>S</w:t>
      </w:r>
      <w:r>
        <w:rPr>
          <w:color w:val="FFFFFF"/>
          <w:spacing w:val="-4"/>
          <w:w w:val="111"/>
        </w:rPr>
        <w:t>O</w:t>
      </w:r>
      <w:r>
        <w:rPr>
          <w:color w:val="FFFFFF"/>
          <w:spacing w:val="-6"/>
          <w:w w:val="111"/>
        </w:rPr>
        <w:t>L</w:t>
      </w:r>
      <w:r>
        <w:rPr>
          <w:color w:val="FFFFFF"/>
          <w:spacing w:val="-2"/>
          <w:w w:val="111"/>
        </w:rPr>
        <w:t>U</w:t>
      </w:r>
      <w:r>
        <w:rPr>
          <w:color w:val="FFFFFF"/>
          <w:spacing w:val="3"/>
          <w:w w:val="111"/>
        </w:rPr>
        <w:t>T</w:t>
      </w:r>
      <w:r>
        <w:rPr>
          <w:color w:val="FFFFFF"/>
          <w:spacing w:val="-15"/>
          <w:w w:val="111"/>
        </w:rPr>
        <w:t>I</w:t>
      </w:r>
      <w:r>
        <w:rPr>
          <w:color w:val="FFFFFF"/>
          <w:spacing w:val="-296"/>
          <w:w w:val="111"/>
        </w:rPr>
        <w:t>O</w:t>
      </w:r>
      <w:r>
        <w:rPr>
          <w:color w:val="231F20"/>
          <w:spacing w:val="-107"/>
          <w:w w:val="112"/>
          <w:position w:val="-17"/>
          <w:sz w:val="50"/>
        </w:rPr>
        <w:t>4</w:t>
      </w:r>
      <w:r>
        <w:rPr>
          <w:color w:val="FFFFFF"/>
          <w:spacing w:val="-302"/>
          <w:w w:val="111"/>
        </w:rPr>
        <w:t>N</w:t>
      </w:r>
      <w:r>
        <w:rPr>
          <w:color w:val="231F20"/>
          <w:spacing w:val="-2"/>
          <w:w w:val="112"/>
          <w:position w:val="-17"/>
          <w:sz w:val="50"/>
        </w:rPr>
        <w:t>0</w:t>
      </w:r>
    </w:p>
    <w:p>
      <w:pPr>
        <w:pStyle w:val="BodyText"/>
        <w:rPr>
          <w:b/>
          <w:sz w:val="22"/>
        </w:rPr>
      </w:pPr>
      <w:r>
        <w:rPr/>
        <w:br w:type="column"/>
      </w:r>
      <w:r>
        <w:rPr>
          <w:b/>
          <w:sz w:val="22"/>
        </w:rPr>
      </w:r>
    </w:p>
    <w:p>
      <w:pPr>
        <w:pStyle w:val="BodyText"/>
        <w:spacing w:before="1"/>
        <w:rPr>
          <w:b/>
          <w:sz w:val="22"/>
        </w:rPr>
      </w:pPr>
    </w:p>
    <w:p>
      <w:pPr>
        <w:spacing w:before="0"/>
        <w:ind w:left="0" w:right="1642" w:firstLine="0"/>
        <w:jc w:val="right"/>
        <w:rPr>
          <w:b/>
          <w:sz w:val="18"/>
        </w:rPr>
      </w:pPr>
      <w:r>
        <w:rPr>
          <w:b/>
          <w:color w:val="231F20"/>
          <w:w w:val="110"/>
          <w:sz w:val="18"/>
        </w:rPr>
        <w:t>The </w:t>
      </w:r>
      <w:r>
        <w:rPr>
          <w:b/>
          <w:color w:val="231F20"/>
          <w:spacing w:val="2"/>
          <w:w w:val="110"/>
          <w:sz w:val="18"/>
        </w:rPr>
        <w:t>Assessment</w:t>
      </w:r>
      <w:r>
        <w:rPr>
          <w:b/>
          <w:color w:val="231F20"/>
          <w:spacing w:val="39"/>
          <w:w w:val="110"/>
          <w:sz w:val="18"/>
        </w:rPr>
        <w:t> </w:t>
      </w:r>
      <w:r>
        <w:rPr>
          <w:b/>
          <w:color w:val="231F20"/>
          <w:spacing w:val="2"/>
          <w:w w:val="110"/>
          <w:sz w:val="18"/>
        </w:rPr>
        <w:t>procedure</w:t>
      </w:r>
    </w:p>
    <w:p>
      <w:pPr>
        <w:spacing w:before="31"/>
        <w:ind w:left="0" w:right="1642" w:firstLine="0"/>
        <w:jc w:val="right"/>
        <w:rPr>
          <w:b/>
          <w:sz w:val="18"/>
        </w:rPr>
      </w:pPr>
      <w:r>
        <w:rPr>
          <w:b/>
          <w:color w:val="231F20"/>
          <w:w w:val="110"/>
          <w:sz w:val="18"/>
        </w:rPr>
        <w:t>from July</w:t>
      </w:r>
      <w:r>
        <w:rPr>
          <w:b/>
          <w:color w:val="231F20"/>
          <w:spacing w:val="25"/>
          <w:w w:val="110"/>
          <w:sz w:val="18"/>
        </w:rPr>
        <w:t> </w:t>
      </w:r>
      <w:r>
        <w:rPr>
          <w:b/>
          <w:color w:val="231F20"/>
          <w:w w:val="110"/>
          <w:sz w:val="18"/>
        </w:rPr>
        <w:t>2007</w:t>
      </w:r>
    </w:p>
    <w:p>
      <w:pPr>
        <w:spacing w:after="0"/>
        <w:jc w:val="right"/>
        <w:rPr>
          <w:sz w:val="18"/>
        </w:rPr>
        <w:sectPr>
          <w:type w:val="continuous"/>
          <w:pgSz w:w="11910" w:h="16840"/>
          <w:pgMar w:top="680" w:bottom="280" w:left="460" w:right="0"/>
          <w:cols w:num="2" w:equalWidth="0">
            <w:col w:w="5060" w:space="260"/>
            <w:col w:w="6130"/>
          </w:cols>
        </w:sectPr>
      </w:pPr>
    </w:p>
    <w:p>
      <w:pPr>
        <w:pStyle w:val="BodyText"/>
        <w:spacing w:before="11"/>
        <w:rPr>
          <w:b/>
          <w:sz w:val="14"/>
        </w:rPr>
      </w:pPr>
    </w:p>
    <w:p>
      <w:pPr>
        <w:pStyle w:val="BodyText"/>
        <w:spacing w:line="273" w:lineRule="auto" w:before="100"/>
        <w:ind w:left="1240" w:right="1593"/>
      </w:pPr>
      <w:r>
        <w:rPr>
          <w:color w:val="231F20"/>
          <w:w w:val="110"/>
        </w:rPr>
        <w:t>General Assembly, noting the demise of District Councils will require changes to the assessment process, approves the following aims for the procedure to be used when assessing candidates for the Ministry of Word and Sacraments and Church Related Community Work;</w:t>
      </w:r>
    </w:p>
    <w:p>
      <w:pPr>
        <w:pStyle w:val="BodyText"/>
        <w:spacing w:before="10"/>
        <w:rPr>
          <w:sz w:val="20"/>
        </w:rPr>
      </w:pPr>
    </w:p>
    <w:p>
      <w:pPr>
        <w:pStyle w:val="ListParagraph"/>
        <w:numPr>
          <w:ilvl w:val="2"/>
          <w:numId w:val="98"/>
        </w:numPr>
        <w:tabs>
          <w:tab w:pos="1922" w:val="left" w:leader="none"/>
        </w:tabs>
        <w:spacing w:line="273" w:lineRule="auto" w:before="0" w:after="0"/>
        <w:ind w:left="1921" w:right="1377" w:hanging="681"/>
        <w:jc w:val="both"/>
        <w:rPr>
          <w:sz w:val="18"/>
        </w:rPr>
      </w:pPr>
      <w:r>
        <w:rPr>
          <w:color w:val="231F20"/>
          <w:spacing w:val="2"/>
          <w:w w:val="110"/>
          <w:sz w:val="18"/>
        </w:rPr>
        <w:t>There </w:t>
      </w:r>
      <w:r>
        <w:rPr>
          <w:color w:val="231F20"/>
          <w:w w:val="110"/>
          <w:sz w:val="18"/>
        </w:rPr>
        <w:t>should be one common </w:t>
      </w:r>
      <w:r>
        <w:rPr>
          <w:color w:val="231F20"/>
          <w:spacing w:val="2"/>
          <w:w w:val="110"/>
          <w:sz w:val="18"/>
        </w:rPr>
        <w:t>practice </w:t>
      </w:r>
      <w:r>
        <w:rPr>
          <w:color w:val="231F20"/>
          <w:w w:val="110"/>
          <w:sz w:val="18"/>
        </w:rPr>
        <w:t>throughout the United Reformed Church, thereby reaffirming the decision made in the 1996 criteria for assessment work </w:t>
      </w:r>
      <w:r>
        <w:rPr>
          <w:color w:val="231F20"/>
          <w:spacing w:val="2"/>
          <w:w w:val="110"/>
          <w:sz w:val="18"/>
        </w:rPr>
        <w:t>from </w:t>
      </w:r>
      <w:r>
        <w:rPr>
          <w:color w:val="231F20"/>
          <w:w w:val="110"/>
          <w:sz w:val="18"/>
        </w:rPr>
        <w:t>July</w:t>
      </w:r>
      <w:r>
        <w:rPr>
          <w:color w:val="231F20"/>
          <w:spacing w:val="-1"/>
          <w:w w:val="110"/>
          <w:sz w:val="18"/>
        </w:rPr>
        <w:t> </w:t>
      </w:r>
      <w:r>
        <w:rPr>
          <w:color w:val="231F20"/>
          <w:spacing w:val="-7"/>
          <w:w w:val="110"/>
          <w:sz w:val="18"/>
        </w:rPr>
        <w:t>2007,</w:t>
      </w:r>
    </w:p>
    <w:p>
      <w:pPr>
        <w:pStyle w:val="ListParagraph"/>
        <w:numPr>
          <w:ilvl w:val="2"/>
          <w:numId w:val="98"/>
        </w:numPr>
        <w:tabs>
          <w:tab w:pos="1922" w:val="left" w:leader="none"/>
        </w:tabs>
        <w:spacing w:line="273" w:lineRule="auto" w:before="2" w:after="0"/>
        <w:ind w:left="1921" w:right="1479" w:hanging="681"/>
        <w:jc w:val="both"/>
        <w:rPr>
          <w:sz w:val="18"/>
        </w:rPr>
      </w:pPr>
      <w:r>
        <w:rPr>
          <w:color w:val="231F20"/>
          <w:spacing w:val="2"/>
          <w:w w:val="110"/>
          <w:sz w:val="18"/>
        </w:rPr>
        <w:t>There </w:t>
      </w:r>
      <w:r>
        <w:rPr>
          <w:color w:val="231F20"/>
          <w:w w:val="110"/>
          <w:sz w:val="18"/>
        </w:rPr>
        <w:t>should be a common United Reformed Church standard for the </w:t>
      </w:r>
      <w:r>
        <w:rPr>
          <w:color w:val="231F20"/>
          <w:spacing w:val="2"/>
          <w:w w:val="110"/>
          <w:sz w:val="18"/>
        </w:rPr>
        <w:t>selection </w:t>
      </w:r>
      <w:r>
        <w:rPr>
          <w:color w:val="231F20"/>
          <w:w w:val="110"/>
          <w:sz w:val="18"/>
        </w:rPr>
        <w:t>of candidates for</w:t>
      </w:r>
      <w:r>
        <w:rPr>
          <w:color w:val="231F20"/>
          <w:spacing w:val="3"/>
          <w:w w:val="110"/>
          <w:sz w:val="18"/>
        </w:rPr>
        <w:t> </w:t>
      </w:r>
      <w:r>
        <w:rPr>
          <w:color w:val="231F20"/>
          <w:w w:val="110"/>
          <w:sz w:val="18"/>
        </w:rPr>
        <w:t>training.</w:t>
      </w:r>
    </w:p>
    <w:p>
      <w:pPr>
        <w:pStyle w:val="BodyText"/>
        <w:spacing w:before="8"/>
        <w:rPr>
          <w:sz w:val="20"/>
        </w:rPr>
      </w:pPr>
    </w:p>
    <w:p>
      <w:pPr>
        <w:pStyle w:val="BodyText"/>
        <w:ind w:left="1240"/>
      </w:pPr>
      <w:r>
        <w:rPr>
          <w:color w:val="231F20"/>
          <w:w w:val="110"/>
        </w:rPr>
        <w:t>In line with the above aims the following procedure for assessment will be</w:t>
      </w:r>
      <w:r>
        <w:rPr>
          <w:color w:val="231F20"/>
          <w:spacing w:val="52"/>
          <w:w w:val="110"/>
        </w:rPr>
        <w:t> </w:t>
      </w:r>
      <w:r>
        <w:rPr>
          <w:color w:val="231F20"/>
          <w:w w:val="110"/>
        </w:rPr>
        <w:t>adopted:</w:t>
      </w:r>
    </w:p>
    <w:p>
      <w:pPr>
        <w:pStyle w:val="BodyText"/>
        <w:rPr>
          <w:sz w:val="22"/>
        </w:rPr>
      </w:pPr>
    </w:p>
    <w:p>
      <w:pPr>
        <w:pStyle w:val="BodyText"/>
        <w:spacing w:before="3"/>
        <w:rPr>
          <w:sz w:val="20"/>
        </w:rPr>
      </w:pPr>
    </w:p>
    <w:p>
      <w:pPr>
        <w:pStyle w:val="BodyText"/>
        <w:ind w:left="1348"/>
      </w:pPr>
      <w:r>
        <w:rPr>
          <w:color w:val="231F20"/>
          <w:w w:val="110"/>
        </w:rPr>
        <w:t>INTERVIEW OR CONVERSATION</w:t>
      </w:r>
    </w:p>
    <w:p>
      <w:pPr>
        <w:pStyle w:val="BodyText"/>
        <w:spacing w:before="185"/>
        <w:ind w:left="1348"/>
      </w:pPr>
      <w:r>
        <w:rPr>
          <w:color w:val="231F20"/>
          <w:w w:val="110"/>
        </w:rPr>
        <w:t>The Enquiry stage</w:t>
      </w:r>
    </w:p>
    <w:p>
      <w:pPr>
        <w:pStyle w:val="BodyText"/>
        <w:tabs>
          <w:tab w:pos="6098" w:val="left" w:leader="none"/>
        </w:tabs>
        <w:spacing w:before="184"/>
        <w:ind w:left="1348"/>
      </w:pPr>
      <w:r>
        <w:rPr>
          <w:color w:val="231F20"/>
          <w:w w:val="110"/>
        </w:rPr>
        <w:t>Meeting with Minister or</w:t>
      </w:r>
      <w:r>
        <w:rPr>
          <w:color w:val="231F20"/>
          <w:spacing w:val="49"/>
          <w:w w:val="110"/>
        </w:rPr>
        <w:t> </w:t>
      </w:r>
      <w:r>
        <w:rPr>
          <w:color w:val="231F20"/>
          <w:w w:val="110"/>
        </w:rPr>
        <w:t>Interim</w:t>
      </w:r>
      <w:r>
        <w:rPr>
          <w:color w:val="231F20"/>
          <w:spacing w:val="13"/>
          <w:w w:val="110"/>
        </w:rPr>
        <w:t> </w:t>
      </w:r>
      <w:r>
        <w:rPr>
          <w:color w:val="231F20"/>
          <w:w w:val="110"/>
        </w:rPr>
        <w:t>Moderator</w:t>
        <w:tab/>
        <w:t>Informal and</w:t>
      </w:r>
      <w:r>
        <w:rPr>
          <w:color w:val="231F20"/>
          <w:spacing w:val="3"/>
          <w:w w:val="110"/>
        </w:rPr>
        <w:t> </w:t>
      </w:r>
      <w:r>
        <w:rPr>
          <w:color w:val="231F20"/>
          <w:w w:val="110"/>
        </w:rPr>
        <w:t>exploratory.</w:t>
      </w:r>
    </w:p>
    <w:p>
      <w:pPr>
        <w:spacing w:after="0"/>
        <w:sectPr>
          <w:type w:val="continuous"/>
          <w:pgSz w:w="11910" w:h="16840"/>
          <w:pgMar w:top="680" w:bottom="280" w:left="460" w:right="0"/>
        </w:sectPr>
      </w:pPr>
    </w:p>
    <w:p>
      <w:pPr>
        <w:pStyle w:val="BodyText"/>
        <w:spacing w:line="273" w:lineRule="auto" w:before="184"/>
        <w:ind w:left="1348"/>
      </w:pPr>
      <w:r>
        <w:rPr>
          <w:color w:val="231F20"/>
          <w:w w:val="110"/>
        </w:rPr>
        <w:t>Meeting with Moderator/or Moderator’s deputy</w:t>
      </w:r>
    </w:p>
    <w:p>
      <w:pPr>
        <w:pStyle w:val="BodyText"/>
        <w:spacing w:line="273" w:lineRule="auto" w:before="184"/>
        <w:ind w:left="1348" w:right="1112"/>
      </w:pPr>
      <w:r>
        <w:rPr/>
        <w:br w:type="column"/>
      </w:r>
      <w:r>
        <w:rPr>
          <w:color w:val="231F20"/>
          <w:w w:val="110"/>
        </w:rPr>
        <w:t>Informal and informative. However the Moderator has a responsibility to check that the potential candidate fulfils the basic age, membership and educational criteria agreed by General Assembly.</w:t>
      </w:r>
    </w:p>
    <w:p>
      <w:pPr>
        <w:pStyle w:val="BodyText"/>
        <w:spacing w:line="273" w:lineRule="auto" w:before="3"/>
        <w:ind w:left="1348" w:right="1133"/>
      </w:pPr>
      <w:r>
        <w:rPr>
          <w:color w:val="231F20"/>
          <w:w w:val="110"/>
        </w:rPr>
        <w:t>If a candidate does not meet any or all of the criteria the Moderator should discuss what steps could be taken in order for the candidate to </w:t>
      </w:r>
      <w:r>
        <w:rPr>
          <w:color w:val="231F20"/>
          <w:spacing w:val="2"/>
          <w:w w:val="110"/>
        </w:rPr>
        <w:t>satisfy </w:t>
      </w:r>
      <w:r>
        <w:rPr>
          <w:color w:val="231F20"/>
          <w:w w:val="110"/>
        </w:rPr>
        <w:t>the criteria or what other forms of </w:t>
      </w:r>
      <w:r>
        <w:rPr>
          <w:color w:val="231F20"/>
          <w:spacing w:val="2"/>
          <w:w w:val="110"/>
        </w:rPr>
        <w:t>service </w:t>
      </w:r>
      <w:r>
        <w:rPr>
          <w:color w:val="231F20"/>
          <w:w w:val="110"/>
        </w:rPr>
        <w:t>might be </w:t>
      </w:r>
      <w:r>
        <w:rPr>
          <w:color w:val="231F20"/>
          <w:spacing w:val="3"/>
          <w:w w:val="110"/>
        </w:rPr>
        <w:t>offered  </w:t>
      </w:r>
      <w:r>
        <w:rPr>
          <w:color w:val="231F20"/>
          <w:w w:val="110"/>
        </w:rPr>
        <w:t>to the</w:t>
      </w:r>
      <w:r>
        <w:rPr>
          <w:color w:val="231F20"/>
          <w:spacing w:val="2"/>
          <w:w w:val="110"/>
        </w:rPr>
        <w:t> </w:t>
      </w:r>
      <w:r>
        <w:rPr>
          <w:color w:val="231F20"/>
          <w:w w:val="110"/>
        </w:rPr>
        <w:t>Church.</w:t>
      </w:r>
    </w:p>
    <w:p>
      <w:pPr>
        <w:spacing w:after="0" w:line="273" w:lineRule="auto"/>
        <w:sectPr>
          <w:type w:val="continuous"/>
          <w:pgSz w:w="11910" w:h="16840"/>
          <w:pgMar w:top="680" w:bottom="280" w:left="460" w:right="0"/>
          <w:cols w:num="2" w:equalWidth="0">
            <w:col w:w="4083" w:space="668"/>
            <w:col w:w="6699"/>
          </w:cols>
        </w:sectPr>
      </w:pPr>
    </w:p>
    <w:p>
      <w:pPr>
        <w:pStyle w:val="BodyText"/>
        <w:tabs>
          <w:tab w:pos="6099" w:val="left" w:leader="none"/>
        </w:tabs>
        <w:spacing w:line="273" w:lineRule="auto" w:before="157"/>
        <w:ind w:left="6099" w:right="1448" w:hanging="4751"/>
      </w:pPr>
      <w:r>
        <w:rPr>
          <w:color w:val="231F20"/>
          <w:w w:val="110"/>
        </w:rPr>
        <w:t>Enquirers</w:t>
      </w:r>
      <w:r>
        <w:rPr>
          <w:color w:val="231F20"/>
          <w:spacing w:val="23"/>
          <w:w w:val="110"/>
        </w:rPr>
        <w:t> </w:t>
      </w:r>
      <w:r>
        <w:rPr>
          <w:color w:val="231F20"/>
          <w:w w:val="110"/>
        </w:rPr>
        <w:t>Conferences</w:t>
        <w:tab/>
        <w:t>At any point during this stage of the </w:t>
      </w:r>
      <w:r>
        <w:rPr>
          <w:color w:val="231F20"/>
          <w:spacing w:val="2"/>
          <w:w w:val="110"/>
        </w:rPr>
        <w:t>process </w:t>
      </w:r>
      <w:r>
        <w:rPr>
          <w:color w:val="231F20"/>
          <w:w w:val="110"/>
        </w:rPr>
        <w:t>the potential candidate should attend a Synod Enquirers</w:t>
      </w:r>
      <w:r>
        <w:rPr>
          <w:color w:val="231F20"/>
          <w:spacing w:val="2"/>
          <w:w w:val="110"/>
        </w:rPr>
        <w:t> </w:t>
      </w:r>
      <w:r>
        <w:rPr>
          <w:color w:val="231F20"/>
          <w:w w:val="110"/>
        </w:rPr>
        <w:t>Conference.</w:t>
      </w:r>
    </w:p>
    <w:p>
      <w:pPr>
        <w:spacing w:after="0" w:line="273" w:lineRule="auto"/>
        <w:sectPr>
          <w:type w:val="continuous"/>
          <w:pgSz w:w="11910" w:h="16840"/>
          <w:pgMar w:top="680" w:bottom="280" w:left="460" w:right="0"/>
        </w:sectPr>
      </w:pPr>
    </w:p>
    <w:p>
      <w:pPr>
        <w:pStyle w:val="BodyText"/>
        <w:spacing w:line="441" w:lineRule="auto" w:before="155"/>
        <w:ind w:left="1348"/>
      </w:pPr>
      <w:r>
        <w:rPr/>
        <w:pict>
          <v:group style="position:absolute;margin-left:51.023998pt;margin-top:60.945084pt;width:526.3pt;height:729.95pt;mso-position-horizontal-relative:page;mso-position-vertical-relative:page;z-index:-275415040" coordorigin="1020,1219" coordsize="10526,14599">
            <v:shape style="position:absolute;left:1739;top:1283;width:4016;height:630" coordorigin="1739,1284" coordsize="4016,630" path="m5755,1612l1897,1612,1897,1284,1739,1284,1739,1612,1739,1914,5755,1914,5755,1612e" filled="true" fillcolor="#d8dadc" stroked="false">
              <v:path arrowok="t"/>
              <v:fill type="solid"/>
            </v:shape>
            <v:line style="position:absolute" from="1739,1278" to="5755,1278" stroked="true" strokeweight=".6pt" strokecolor="#d8dadc">
              <v:stroke dashstyle="solid"/>
            </v:line>
            <v:shape style="position:absolute;left:1897;top:1283;width:3858;height:328" coordorigin="1897,1284" coordsize="3858,328" path="m5755,1284l5340,1284,1897,1284,1897,1611,5340,1611,5755,1611,5755,1284e" filled="true" fillcolor="#d8dadc" stroked="false">
              <v:path arrowok="t"/>
              <v:fill type="solid"/>
            </v:shape>
            <v:shape style="position:absolute;left:1436;top:1218;width:9932;height:14486" type="#_x0000_t75" stroked="false">
              <v:imagedata r:id="rId241" o:title=""/>
            </v:shape>
            <v:rect style="position:absolute;left:1020;top:14796;width:10526;height:1021" filled="true" fillcolor="#ffffff" stroked="false">
              <v:fill type="solid"/>
            </v:rect>
            <w10:wrap type="none"/>
          </v:group>
        </w:pict>
      </w:r>
      <w:r>
        <w:rPr>
          <w:color w:val="231F20"/>
          <w:w w:val="110"/>
        </w:rPr>
        <w:t>THE FORMAL CANDIDATING STAGE CHURCH MEETING INTERVIEW</w:t>
      </w:r>
    </w:p>
    <w:p>
      <w:pPr>
        <w:pStyle w:val="BodyText"/>
        <w:rPr>
          <w:sz w:val="22"/>
        </w:rPr>
      </w:pPr>
    </w:p>
    <w:p>
      <w:pPr>
        <w:pStyle w:val="BodyText"/>
        <w:rPr>
          <w:sz w:val="22"/>
        </w:rPr>
      </w:pPr>
    </w:p>
    <w:p>
      <w:pPr>
        <w:pStyle w:val="BodyText"/>
        <w:rPr>
          <w:sz w:val="22"/>
        </w:rPr>
      </w:pPr>
    </w:p>
    <w:p>
      <w:pPr>
        <w:pStyle w:val="BodyText"/>
        <w:spacing w:before="4"/>
        <w:rPr>
          <w:sz w:val="24"/>
        </w:rPr>
      </w:pPr>
    </w:p>
    <w:p>
      <w:pPr>
        <w:pStyle w:val="BodyText"/>
        <w:ind w:left="1348"/>
      </w:pPr>
      <w:r>
        <w:rPr>
          <w:color w:val="231F20"/>
          <w:w w:val="110"/>
        </w:rPr>
        <w:t>SYNOD INTERVIEWS</w:t>
      </w:r>
    </w:p>
    <w:p>
      <w:pPr>
        <w:pStyle w:val="BodyText"/>
        <w:rPr>
          <w:sz w:val="22"/>
        </w:rPr>
      </w:pPr>
      <w:r>
        <w:rPr/>
        <w:br w:type="column"/>
      </w:r>
      <w:r>
        <w:rPr>
          <w:sz w:val="22"/>
        </w:rPr>
      </w:r>
    </w:p>
    <w:p>
      <w:pPr>
        <w:pStyle w:val="BodyText"/>
        <w:spacing w:before="11"/>
        <w:rPr>
          <w:sz w:val="23"/>
        </w:rPr>
      </w:pPr>
    </w:p>
    <w:p>
      <w:pPr>
        <w:spacing w:line="273" w:lineRule="auto" w:before="0"/>
        <w:ind w:left="1103" w:right="1689" w:firstLine="0"/>
        <w:jc w:val="left"/>
        <w:rPr>
          <w:i/>
          <w:sz w:val="18"/>
        </w:rPr>
      </w:pPr>
      <w:r>
        <w:rPr>
          <w:color w:val="231F20"/>
          <w:w w:val="110"/>
          <w:sz w:val="18"/>
        </w:rPr>
        <w:t>Produces a decision of a Council of the Church. </w:t>
      </w:r>
      <w:r>
        <w:rPr>
          <w:i/>
          <w:color w:val="231F20"/>
          <w:w w:val="110"/>
          <w:sz w:val="18"/>
        </w:rPr>
        <w:t>If the decision is not to </w:t>
      </w:r>
      <w:r>
        <w:rPr>
          <w:i/>
          <w:color w:val="231F20"/>
          <w:w w:val="110"/>
          <w:sz w:val="18"/>
        </w:rPr>
        <w:t>recommend the candidate will not </w:t>
      </w:r>
      <w:r>
        <w:rPr>
          <w:i/>
          <w:color w:val="231F20"/>
          <w:spacing w:val="2"/>
          <w:w w:val="110"/>
          <w:sz w:val="18"/>
        </w:rPr>
        <w:t>proceed </w:t>
      </w:r>
      <w:r>
        <w:rPr>
          <w:i/>
          <w:color w:val="231F20"/>
          <w:w w:val="110"/>
          <w:sz w:val="18"/>
        </w:rPr>
        <w:t>to the </w:t>
      </w:r>
      <w:r>
        <w:rPr>
          <w:i/>
          <w:color w:val="231F20"/>
          <w:spacing w:val="2"/>
          <w:w w:val="110"/>
          <w:sz w:val="18"/>
        </w:rPr>
        <w:t>next</w:t>
      </w:r>
      <w:r>
        <w:rPr>
          <w:i/>
          <w:color w:val="231F20"/>
          <w:spacing w:val="8"/>
          <w:w w:val="110"/>
          <w:sz w:val="18"/>
        </w:rPr>
        <w:t> </w:t>
      </w:r>
      <w:r>
        <w:rPr>
          <w:i/>
          <w:color w:val="231F20"/>
          <w:w w:val="110"/>
          <w:sz w:val="18"/>
        </w:rPr>
        <w:t>stage.</w:t>
      </w:r>
    </w:p>
    <w:p>
      <w:pPr>
        <w:pStyle w:val="BodyText"/>
        <w:rPr>
          <w:i/>
          <w:sz w:val="22"/>
        </w:rPr>
      </w:pPr>
    </w:p>
    <w:p>
      <w:pPr>
        <w:pStyle w:val="BodyText"/>
        <w:spacing w:before="4"/>
        <w:rPr>
          <w:i/>
          <w:sz w:val="19"/>
        </w:rPr>
      </w:pPr>
    </w:p>
    <w:p>
      <w:pPr>
        <w:spacing w:line="273" w:lineRule="auto" w:before="0"/>
        <w:ind w:left="1103" w:right="1689" w:firstLine="0"/>
        <w:jc w:val="left"/>
        <w:rPr>
          <w:i/>
          <w:sz w:val="18"/>
        </w:rPr>
      </w:pPr>
      <w:r>
        <w:rPr>
          <w:color w:val="231F20"/>
          <w:w w:val="110"/>
          <w:sz w:val="18"/>
        </w:rPr>
        <w:t>Produces a decision of a Council of the Church. </w:t>
      </w:r>
      <w:r>
        <w:rPr>
          <w:i/>
          <w:color w:val="231F20"/>
          <w:w w:val="110"/>
          <w:sz w:val="18"/>
        </w:rPr>
        <w:t>If the decision is not to </w:t>
      </w:r>
      <w:r>
        <w:rPr>
          <w:i/>
          <w:color w:val="231F20"/>
          <w:w w:val="110"/>
          <w:sz w:val="18"/>
        </w:rPr>
        <w:t>recommend the candidate will not </w:t>
      </w:r>
      <w:r>
        <w:rPr>
          <w:i/>
          <w:color w:val="231F20"/>
          <w:spacing w:val="2"/>
          <w:w w:val="110"/>
          <w:sz w:val="18"/>
        </w:rPr>
        <w:t>proceed </w:t>
      </w:r>
      <w:r>
        <w:rPr>
          <w:i/>
          <w:color w:val="231F20"/>
          <w:w w:val="110"/>
          <w:sz w:val="18"/>
        </w:rPr>
        <w:t>to the </w:t>
      </w:r>
      <w:r>
        <w:rPr>
          <w:i/>
          <w:color w:val="231F20"/>
          <w:spacing w:val="2"/>
          <w:w w:val="110"/>
          <w:sz w:val="18"/>
        </w:rPr>
        <w:t>next</w:t>
      </w:r>
      <w:r>
        <w:rPr>
          <w:i/>
          <w:color w:val="231F20"/>
          <w:spacing w:val="8"/>
          <w:w w:val="110"/>
          <w:sz w:val="18"/>
        </w:rPr>
        <w:t> </w:t>
      </w:r>
      <w:r>
        <w:rPr>
          <w:i/>
          <w:color w:val="231F20"/>
          <w:w w:val="110"/>
          <w:sz w:val="18"/>
        </w:rPr>
        <w:t>stage.</w:t>
      </w:r>
    </w:p>
    <w:p>
      <w:pPr>
        <w:pStyle w:val="BodyText"/>
        <w:spacing w:line="273" w:lineRule="auto" w:before="3"/>
        <w:ind w:left="1103" w:right="1689"/>
      </w:pPr>
      <w:r>
        <w:rPr>
          <w:color w:val="231F20"/>
          <w:w w:val="110"/>
        </w:rPr>
        <w:t>Therefore any candidate who goes on to the Assessment Conference goes sponsored by the Synod.</w:t>
      </w:r>
    </w:p>
    <w:p>
      <w:pPr>
        <w:spacing w:after="0" w:line="273" w:lineRule="auto"/>
        <w:sectPr>
          <w:type w:val="continuous"/>
          <w:pgSz w:w="11910" w:h="16840"/>
          <w:pgMar w:top="680" w:bottom="280" w:left="460" w:right="0"/>
          <w:cols w:num="2" w:equalWidth="0">
            <w:col w:w="4957" w:space="40"/>
            <w:col w:w="6453"/>
          </w:cols>
        </w:sectPr>
      </w:pPr>
    </w:p>
    <w:p>
      <w:pPr>
        <w:pStyle w:val="BodyText"/>
        <w:rPr>
          <w:sz w:val="20"/>
        </w:rPr>
      </w:pPr>
    </w:p>
    <w:p>
      <w:pPr>
        <w:pStyle w:val="BodyText"/>
        <w:spacing w:before="4"/>
      </w:pPr>
    </w:p>
    <w:p>
      <w:pPr>
        <w:pStyle w:val="BodyText"/>
        <w:spacing w:line="273" w:lineRule="auto"/>
        <w:ind w:left="5532" w:right="1831"/>
      </w:pPr>
      <w:r>
        <w:rPr>
          <w:color w:val="231F20"/>
          <w:w w:val="110"/>
        </w:rPr>
        <w:t>With the demise of the District Council, in the case of candidates for the Ministry</w:t>
      </w:r>
    </w:p>
    <w:p>
      <w:pPr>
        <w:pStyle w:val="BodyText"/>
        <w:spacing w:line="273" w:lineRule="auto" w:before="1"/>
        <w:ind w:left="5532" w:right="1650"/>
      </w:pPr>
      <w:r>
        <w:rPr>
          <w:color w:val="231F20"/>
          <w:w w:val="110"/>
        </w:rPr>
        <w:t>of Word and Sacraments, Synod will need to arrange for an assessed service and</w:t>
      </w:r>
      <w:r>
        <w:rPr>
          <w:color w:val="231F20"/>
          <w:spacing w:val="-25"/>
          <w:w w:val="110"/>
        </w:rPr>
        <w:t> </w:t>
      </w:r>
      <w:r>
        <w:rPr>
          <w:color w:val="231F20"/>
          <w:w w:val="110"/>
        </w:rPr>
        <w:t>see through </w:t>
      </w:r>
      <w:r>
        <w:rPr>
          <w:color w:val="231F20"/>
          <w:spacing w:val="-3"/>
          <w:w w:val="110"/>
        </w:rPr>
        <w:t>any </w:t>
      </w:r>
      <w:r>
        <w:rPr>
          <w:color w:val="231F20"/>
          <w:w w:val="110"/>
        </w:rPr>
        <w:t>appropriate placement work or </w:t>
      </w:r>
      <w:r>
        <w:rPr>
          <w:color w:val="231F20"/>
          <w:spacing w:val="-3"/>
          <w:w w:val="110"/>
        </w:rPr>
        <w:t>‘shadowing’. </w:t>
      </w:r>
      <w:r>
        <w:rPr>
          <w:color w:val="231F20"/>
          <w:w w:val="110"/>
        </w:rPr>
        <w:t>The Synod also will need to collect local knowledge and</w:t>
      </w:r>
      <w:r>
        <w:rPr>
          <w:color w:val="231F20"/>
          <w:spacing w:val="36"/>
          <w:w w:val="110"/>
        </w:rPr>
        <w:t> </w:t>
      </w:r>
      <w:r>
        <w:rPr>
          <w:color w:val="231F20"/>
          <w:w w:val="110"/>
        </w:rPr>
        <w:t>opinion</w:t>
      </w:r>
    </w:p>
    <w:p>
      <w:pPr>
        <w:pStyle w:val="BodyText"/>
        <w:spacing w:line="273" w:lineRule="auto" w:before="4"/>
        <w:ind w:left="5532" w:right="1778"/>
      </w:pPr>
      <w:r>
        <w:rPr>
          <w:color w:val="231F20"/>
          <w:w w:val="110"/>
        </w:rPr>
        <w:t>of the candidate, which is set in a wider context than that of the local church alone, to help in reaching an informed decision. The new Structures of each Synod will doubtless determine how that is to be achieved.</w:t>
      </w:r>
    </w:p>
    <w:p>
      <w:pPr>
        <w:pStyle w:val="BodyText"/>
        <w:spacing w:before="10"/>
        <w:rPr>
          <w:sz w:val="20"/>
        </w:rPr>
      </w:pPr>
    </w:p>
    <w:p>
      <w:pPr>
        <w:pStyle w:val="BodyText"/>
        <w:spacing w:line="273" w:lineRule="auto"/>
        <w:ind w:left="5532" w:right="1593"/>
      </w:pPr>
      <w:r>
        <w:rPr>
          <w:color w:val="231F20"/>
          <w:w w:val="110"/>
        </w:rPr>
        <w:t>The Synod interview should also identify whether there are determining factors in each candidate’s situation, personal or otherwise, which the interviewers would want the Training Board, which interviews on behalf of the Education and Learning Committee, to take into account in selecting the resource centre and training programme. This information should</w:t>
      </w:r>
    </w:p>
    <w:p>
      <w:pPr>
        <w:pStyle w:val="BodyText"/>
        <w:spacing w:line="273" w:lineRule="auto" w:before="6"/>
        <w:ind w:left="5532" w:right="1593"/>
      </w:pPr>
      <w:r>
        <w:rPr>
          <w:color w:val="231F20"/>
          <w:w w:val="110"/>
        </w:rPr>
        <w:t>be sent to the Training Board via the Ministries office along with the report on the candidate for the Assessment Board.</w:t>
      </w:r>
    </w:p>
    <w:p>
      <w:pPr>
        <w:pStyle w:val="BodyText"/>
        <w:rPr>
          <w:sz w:val="20"/>
        </w:rPr>
      </w:pPr>
    </w:p>
    <w:p>
      <w:pPr>
        <w:spacing w:after="0"/>
        <w:rPr>
          <w:sz w:val="20"/>
        </w:rPr>
        <w:sectPr>
          <w:pgSz w:w="11910" w:h="16840"/>
          <w:pgMar w:header="558" w:footer="484" w:top="820" w:bottom="760" w:left="460" w:right="0"/>
        </w:sectPr>
      </w:pPr>
    </w:p>
    <w:p>
      <w:pPr>
        <w:pStyle w:val="BodyText"/>
        <w:spacing w:before="3"/>
        <w:rPr>
          <w:sz w:val="21"/>
        </w:rPr>
      </w:pPr>
      <w:r>
        <w:rPr/>
        <w:pict>
          <v:group style="position:absolute;margin-left:26.457001pt;margin-top:45.354015pt;width:533.9pt;height:747.45pt;mso-position-horizontal-relative:page;mso-position-vertical-relative:page;z-index:-275414016" coordorigin="529,907" coordsize="10678,14949">
            <v:shape style="position:absolute;left:870;top:1031;width:9872;height:14643" coordorigin="870,1032" coordsize="9872,14643" path="m870,15434l874,15573,900,15644,972,15670,1110,15674,10502,15674,10640,15670,10712,15644,10738,15573,10742,15434,10742,1272,10738,1133,10712,1062,10640,1035,10502,1032,1110,1032,972,1035,900,1062,874,1133,870,1272,870,15434xe" filled="false" stroked="true" strokeweight="3pt" strokecolor="#000000">
              <v:path arrowok="t"/>
              <v:stroke dashstyle="solid"/>
            </v:shape>
            <v:shape style="position:absolute;left:529;top:907;width:10678;height:14949" coordorigin="529,907" coordsize="10678,14949" path="m11055,14797l529,14797,529,15855,11055,15855,11055,14797m11206,907l680,907,680,1285,11206,1285,11206,907e" filled="true" fillcolor="#ffffff" stroked="false">
              <v:path arrowok="t"/>
              <v:fill type="solid"/>
            </v:shape>
            <w10:wrap type="none"/>
          </v:group>
        </w:pict>
      </w:r>
    </w:p>
    <w:p>
      <w:pPr>
        <w:pStyle w:val="BodyText"/>
        <w:ind w:left="781"/>
      </w:pPr>
      <w:r>
        <w:rPr>
          <w:color w:val="231F20"/>
          <w:w w:val="110"/>
        </w:rPr>
        <w:t>ASSESSMENT BOARD CONFERENCE</w:t>
      </w:r>
    </w:p>
    <w:p>
      <w:pPr>
        <w:pStyle w:val="BodyText"/>
        <w:spacing w:before="10"/>
        <w:rPr>
          <w:sz w:val="21"/>
        </w:rPr>
      </w:pPr>
      <w:r>
        <w:rPr/>
        <w:br w:type="column"/>
      </w:r>
      <w:r>
        <w:rPr>
          <w:sz w:val="21"/>
        </w:rPr>
      </w:r>
    </w:p>
    <w:p>
      <w:pPr>
        <w:pStyle w:val="BodyText"/>
        <w:spacing w:line="273" w:lineRule="auto"/>
        <w:ind w:left="781" w:right="1960"/>
      </w:pPr>
      <w:r>
        <w:rPr>
          <w:color w:val="231F20"/>
          <w:w w:val="110"/>
        </w:rPr>
        <w:t>At the end of this Conference two decisions will have been made on behalf of the United Reformed Church, recognising that the </w:t>
      </w:r>
      <w:r>
        <w:rPr>
          <w:color w:val="231F20"/>
          <w:spacing w:val="2"/>
          <w:w w:val="110"/>
        </w:rPr>
        <w:t>Assessment </w:t>
      </w:r>
      <w:r>
        <w:rPr>
          <w:color w:val="231F20"/>
          <w:w w:val="110"/>
        </w:rPr>
        <w:t>Board has a mandate to do its work </w:t>
      </w:r>
      <w:r>
        <w:rPr>
          <w:color w:val="231F20"/>
          <w:spacing w:val="2"/>
          <w:w w:val="110"/>
        </w:rPr>
        <w:t>from </w:t>
      </w:r>
      <w:r>
        <w:rPr>
          <w:color w:val="231F20"/>
          <w:w w:val="110"/>
        </w:rPr>
        <w:t>General</w:t>
      </w:r>
      <w:r>
        <w:rPr>
          <w:color w:val="231F20"/>
          <w:spacing w:val="1"/>
          <w:w w:val="110"/>
        </w:rPr>
        <w:t> </w:t>
      </w:r>
      <w:r>
        <w:rPr>
          <w:color w:val="231F20"/>
          <w:w w:val="110"/>
        </w:rPr>
        <w:t>Assembly.</w:t>
      </w:r>
    </w:p>
    <w:p>
      <w:pPr>
        <w:pStyle w:val="BodyText"/>
        <w:spacing w:before="10"/>
        <w:rPr>
          <w:sz w:val="20"/>
        </w:rPr>
      </w:pPr>
    </w:p>
    <w:p>
      <w:pPr>
        <w:pStyle w:val="BodyText"/>
        <w:spacing w:line="273" w:lineRule="auto" w:before="1"/>
        <w:ind w:left="781" w:right="1912"/>
      </w:pPr>
      <w:r>
        <w:rPr>
          <w:color w:val="231F20"/>
          <w:w w:val="110"/>
        </w:rPr>
        <w:t>The first decision taken by the Assessment Board will be whether the candidate may or may not go forward for training.</w:t>
      </w:r>
    </w:p>
    <w:p>
      <w:pPr>
        <w:pStyle w:val="BodyText"/>
        <w:spacing w:before="9"/>
        <w:rPr>
          <w:sz w:val="20"/>
        </w:rPr>
      </w:pPr>
    </w:p>
    <w:p>
      <w:pPr>
        <w:pStyle w:val="BodyText"/>
        <w:spacing w:line="273" w:lineRule="auto"/>
        <w:ind w:left="781" w:right="1912"/>
      </w:pPr>
      <w:r>
        <w:rPr>
          <w:color w:val="231F20"/>
          <w:w w:val="110"/>
        </w:rPr>
        <w:t>If there is a positive recommendation  it will be accompanied by a second decision taken by the Training board as to the Resource Centre through which the candidate/student will be</w:t>
      </w:r>
      <w:r>
        <w:rPr>
          <w:color w:val="231F20"/>
          <w:spacing w:val="34"/>
          <w:w w:val="110"/>
        </w:rPr>
        <w:t> </w:t>
      </w:r>
      <w:r>
        <w:rPr>
          <w:color w:val="231F20"/>
          <w:w w:val="110"/>
        </w:rPr>
        <w:t>trained.</w:t>
      </w:r>
    </w:p>
    <w:p>
      <w:pPr>
        <w:pStyle w:val="BodyText"/>
        <w:spacing w:line="273" w:lineRule="auto" w:before="3"/>
        <w:ind w:left="781" w:right="1876"/>
      </w:pPr>
      <w:r>
        <w:rPr>
          <w:color w:val="231F20"/>
          <w:w w:val="110"/>
        </w:rPr>
        <w:t>The Training Board will also give an indication of the nature of that</w:t>
      </w:r>
      <w:r>
        <w:rPr>
          <w:color w:val="231F20"/>
          <w:spacing w:val="61"/>
          <w:w w:val="110"/>
        </w:rPr>
        <w:t> </w:t>
      </w:r>
      <w:r>
        <w:rPr>
          <w:color w:val="231F20"/>
          <w:w w:val="110"/>
        </w:rPr>
        <w:t>training.</w:t>
      </w:r>
    </w:p>
    <w:p>
      <w:pPr>
        <w:pStyle w:val="BodyText"/>
        <w:spacing w:before="8"/>
        <w:rPr>
          <w:sz w:val="20"/>
        </w:rPr>
      </w:pPr>
    </w:p>
    <w:p>
      <w:pPr>
        <w:pStyle w:val="BodyText"/>
        <w:spacing w:line="273" w:lineRule="auto" w:before="1"/>
        <w:ind w:left="781" w:right="1912"/>
      </w:pPr>
      <w:r>
        <w:rPr>
          <w:color w:val="231F20"/>
          <w:w w:val="110"/>
        </w:rPr>
        <w:t>The Training Board interviews the candidate during the weekend of the assessment Conference, but plays no part in the decisions reached by the Assessment Board.</w:t>
      </w:r>
    </w:p>
    <w:p>
      <w:pPr>
        <w:spacing w:after="0" w:line="273" w:lineRule="auto"/>
        <w:sectPr>
          <w:type w:val="continuous"/>
          <w:pgSz w:w="11910" w:h="16840"/>
          <w:pgMar w:top="680" w:bottom="280" w:left="460" w:right="0"/>
          <w:cols w:num="2" w:equalWidth="0">
            <w:col w:w="4491" w:space="258"/>
            <w:col w:w="6701"/>
          </w:cols>
        </w:sectPr>
      </w:pPr>
    </w:p>
    <w:p>
      <w:pPr>
        <w:pStyle w:val="BodyText"/>
        <w:spacing w:before="9"/>
        <w:rPr>
          <w:sz w:val="27"/>
        </w:rPr>
      </w:pPr>
    </w:p>
    <w:p>
      <w:pPr>
        <w:pStyle w:val="BodyText"/>
        <w:spacing w:line="273" w:lineRule="auto" w:before="101"/>
        <w:ind w:left="6099" w:right="1301"/>
      </w:pPr>
      <w:r>
        <w:rPr/>
        <w:pict>
          <v:group style="position:absolute;margin-left:66.141998pt;margin-top:-13.390785pt;width:526.3pt;height:618.9pt;mso-position-horizontal-relative:page;mso-position-vertical-relative:paragraph;z-index:-275412992" coordorigin="1323,-268" coordsize="10526,12378">
            <v:shape style="position:absolute;left:1512;top:-144;width:9872;height:12224" coordorigin="1513,-143" coordsize="9872,12224" path="m1513,11840l1517,11979,1543,12050,1614,12076,1753,12080,11144,12080,11283,12076,11354,12050,11380,11979,11384,11840,11384,97,11380,-42,11354,-113,11283,-139,11144,-143,1753,-143,1614,-139,1543,-113,1517,-42,1513,97,1513,11840xe" filled="false" stroked="true" strokeweight="3pt" strokecolor="#000000">
              <v:path arrowok="t"/>
              <v:stroke dashstyle="solid"/>
            </v:shape>
            <v:rect style="position:absolute;left:1322;top:-268;width:10526;height:378" filled="true" fillcolor="#ffffff" stroked="false">
              <v:fill type="solid"/>
            </v:rect>
            <w10:wrap type="none"/>
          </v:group>
        </w:pict>
      </w:r>
      <w:r>
        <w:rPr>
          <w:color w:val="231F20"/>
          <w:w w:val="110"/>
        </w:rPr>
        <w:t>In the event that the </w:t>
      </w:r>
      <w:r>
        <w:rPr>
          <w:color w:val="231F20"/>
          <w:spacing w:val="2"/>
          <w:w w:val="110"/>
        </w:rPr>
        <w:t>Assessment </w:t>
      </w:r>
      <w:r>
        <w:rPr>
          <w:color w:val="231F20"/>
          <w:w w:val="110"/>
        </w:rPr>
        <w:t>Board does not recommend a candidate for training then the </w:t>
      </w:r>
      <w:r>
        <w:rPr>
          <w:color w:val="231F20"/>
          <w:spacing w:val="3"/>
          <w:w w:val="110"/>
        </w:rPr>
        <w:t>Secretary </w:t>
      </w:r>
      <w:r>
        <w:rPr>
          <w:color w:val="231F20"/>
          <w:w w:val="110"/>
        </w:rPr>
        <w:t>of the assessment Board must </w:t>
      </w:r>
      <w:r>
        <w:rPr>
          <w:color w:val="231F20"/>
          <w:spacing w:val="2"/>
          <w:w w:val="110"/>
        </w:rPr>
        <w:t>notify </w:t>
      </w:r>
      <w:r>
        <w:rPr>
          <w:color w:val="231F20"/>
          <w:w w:val="110"/>
        </w:rPr>
        <w:t>the relevant Synod and arrange a meeting in order to come to an agreed decision about the</w:t>
      </w:r>
      <w:r>
        <w:rPr>
          <w:color w:val="231F20"/>
          <w:spacing w:val="3"/>
          <w:w w:val="110"/>
        </w:rPr>
        <w:t> </w:t>
      </w:r>
      <w:r>
        <w:rPr>
          <w:color w:val="231F20"/>
          <w:w w:val="110"/>
        </w:rPr>
        <w:t>candidate.</w:t>
      </w:r>
    </w:p>
    <w:p>
      <w:pPr>
        <w:pStyle w:val="BodyText"/>
        <w:spacing w:before="11"/>
        <w:rPr>
          <w:sz w:val="20"/>
        </w:rPr>
      </w:pPr>
    </w:p>
    <w:p>
      <w:pPr>
        <w:pStyle w:val="BodyText"/>
        <w:spacing w:line="273" w:lineRule="auto"/>
        <w:ind w:left="6099" w:right="1365"/>
      </w:pPr>
      <w:r>
        <w:rPr>
          <w:color w:val="231F20"/>
          <w:w w:val="110"/>
        </w:rPr>
        <w:t>No candidate will be informed immediately of the decision of the Assessment Board or the training recommendation. This allows time for any divisions over the recommendation to be resolved between the Board and the Synods and ensures an equality of treatment for each candidate.</w:t>
      </w:r>
    </w:p>
    <w:p>
      <w:pPr>
        <w:pStyle w:val="BodyText"/>
        <w:rPr>
          <w:sz w:val="21"/>
        </w:rPr>
      </w:pPr>
    </w:p>
    <w:p>
      <w:pPr>
        <w:pStyle w:val="BodyText"/>
        <w:spacing w:line="273" w:lineRule="auto"/>
        <w:ind w:left="6099" w:right="1365"/>
      </w:pPr>
      <w:r>
        <w:rPr>
          <w:color w:val="231F20"/>
          <w:w w:val="110"/>
        </w:rPr>
        <w:t>The Synods will arrange for each candidate to be debriefed after the decision has been made known and ensure that the candidates who have not been accepted for training receive</w:t>
      </w:r>
    </w:p>
    <w:p>
      <w:pPr>
        <w:pStyle w:val="BodyText"/>
        <w:spacing w:line="273" w:lineRule="auto" w:before="3"/>
        <w:ind w:left="6099" w:right="1056"/>
      </w:pPr>
      <w:r>
        <w:rPr>
          <w:color w:val="231F20"/>
          <w:w w:val="110"/>
        </w:rPr>
        <w:t>appropriate support. This may include an element of mentoring if the candidate has been advised to reapply after completing some further, wider exploration of the United Reformed Church.</w:t>
      </w:r>
    </w:p>
    <w:p>
      <w:pPr>
        <w:pStyle w:val="BodyText"/>
        <w:tabs>
          <w:tab w:pos="6099" w:val="left" w:leader="none"/>
        </w:tabs>
        <w:spacing w:line="273" w:lineRule="auto" w:before="156"/>
        <w:ind w:left="6099" w:right="1365" w:hanging="4751"/>
      </w:pPr>
      <w:r>
        <w:rPr>
          <w:color w:val="231F20"/>
          <w:w w:val="110"/>
        </w:rPr>
        <w:t>During</w:t>
      </w:r>
      <w:r>
        <w:rPr>
          <w:color w:val="231F20"/>
          <w:spacing w:val="9"/>
          <w:w w:val="110"/>
        </w:rPr>
        <w:t> </w:t>
      </w:r>
      <w:r>
        <w:rPr>
          <w:color w:val="231F20"/>
          <w:w w:val="110"/>
        </w:rPr>
        <w:t>training</w:t>
        <w:tab/>
        <w:t>The Synods will be asked to continue  to exercise the pastoral </w:t>
      </w:r>
      <w:r>
        <w:rPr>
          <w:color w:val="231F20"/>
          <w:spacing w:val="2"/>
          <w:w w:val="110"/>
        </w:rPr>
        <w:t>care </w:t>
      </w:r>
      <w:r>
        <w:rPr>
          <w:color w:val="231F20"/>
          <w:w w:val="110"/>
        </w:rPr>
        <w:t>of the candidates as is presently the case. This should not present a conflict since no candidate will have been sent to the </w:t>
      </w:r>
      <w:r>
        <w:rPr>
          <w:color w:val="231F20"/>
          <w:spacing w:val="2"/>
          <w:w w:val="110"/>
        </w:rPr>
        <w:t>Assessment </w:t>
      </w:r>
      <w:r>
        <w:rPr>
          <w:color w:val="231F20"/>
          <w:w w:val="110"/>
        </w:rPr>
        <w:t>Conference who does not have the prior support of the</w:t>
      </w:r>
      <w:r>
        <w:rPr>
          <w:color w:val="231F20"/>
          <w:spacing w:val="36"/>
          <w:w w:val="110"/>
        </w:rPr>
        <w:t> </w:t>
      </w:r>
      <w:r>
        <w:rPr>
          <w:color w:val="231F20"/>
          <w:w w:val="110"/>
        </w:rPr>
        <w:t>Synod.</w:t>
      </w:r>
    </w:p>
    <w:p>
      <w:pPr>
        <w:pStyle w:val="BodyText"/>
        <w:spacing w:before="11"/>
        <w:rPr>
          <w:sz w:val="20"/>
        </w:rPr>
      </w:pPr>
    </w:p>
    <w:p>
      <w:pPr>
        <w:pStyle w:val="BodyText"/>
        <w:spacing w:line="273" w:lineRule="auto"/>
        <w:ind w:left="6099" w:right="1051"/>
      </w:pPr>
      <w:r>
        <w:rPr>
          <w:color w:val="231F20"/>
          <w:w w:val="110"/>
        </w:rPr>
        <w:t>Synods will also continue to attend the annual progress meetings with the training institution. </w:t>
      </w:r>
      <w:r>
        <w:rPr>
          <w:color w:val="231F20"/>
          <w:spacing w:val="-3"/>
          <w:w w:val="110"/>
        </w:rPr>
        <w:t>However </w:t>
      </w:r>
      <w:r>
        <w:rPr>
          <w:color w:val="231F20"/>
          <w:w w:val="110"/>
        </w:rPr>
        <w:t>copies of these reports should be sent to the Assembly Ministries/Education and Learning Committees which </w:t>
      </w:r>
      <w:r>
        <w:rPr>
          <w:color w:val="231F20"/>
          <w:spacing w:val="-3"/>
          <w:w w:val="110"/>
        </w:rPr>
        <w:t>have</w:t>
      </w:r>
      <w:r>
        <w:rPr>
          <w:color w:val="231F20"/>
          <w:spacing w:val="-2"/>
          <w:w w:val="110"/>
        </w:rPr>
        <w:t> </w:t>
      </w:r>
      <w:r>
        <w:rPr>
          <w:color w:val="231F20"/>
          <w:w w:val="110"/>
        </w:rPr>
        <w:t>responsibilities</w:t>
      </w:r>
    </w:p>
    <w:p>
      <w:pPr>
        <w:pStyle w:val="BodyText"/>
        <w:spacing w:line="273" w:lineRule="auto" w:before="4"/>
        <w:ind w:left="6099" w:right="1283"/>
      </w:pPr>
      <w:r>
        <w:rPr>
          <w:color w:val="231F20"/>
          <w:w w:val="110"/>
        </w:rPr>
        <w:t>on behalf of the whole Church. This will enable the Committees to evaluate, and learn from, the decisions that have been taken and raise their awareness of any concerns which may emerge.</w:t>
      </w:r>
    </w:p>
    <w:p>
      <w:pPr>
        <w:pStyle w:val="BodyText"/>
        <w:rPr>
          <w:sz w:val="22"/>
        </w:rPr>
      </w:pPr>
    </w:p>
    <w:p>
      <w:pPr>
        <w:pStyle w:val="BodyText"/>
        <w:rPr>
          <w:sz w:val="22"/>
        </w:rPr>
      </w:pPr>
    </w:p>
    <w:p>
      <w:pPr>
        <w:pStyle w:val="BodyText"/>
        <w:spacing w:before="7"/>
        <w:rPr>
          <w:sz w:val="24"/>
        </w:rPr>
      </w:pPr>
    </w:p>
    <w:p>
      <w:pPr>
        <w:pStyle w:val="ListParagraph"/>
        <w:numPr>
          <w:ilvl w:val="0"/>
          <w:numId w:val="99"/>
        </w:numPr>
        <w:tabs>
          <w:tab w:pos="1921" w:val="left" w:leader="none"/>
          <w:tab w:pos="1922" w:val="left" w:leader="none"/>
        </w:tabs>
        <w:spacing w:line="240" w:lineRule="auto" w:before="0" w:after="0"/>
        <w:ind w:left="1921" w:right="0" w:hanging="682"/>
        <w:jc w:val="left"/>
        <w:rPr>
          <w:sz w:val="18"/>
        </w:rPr>
      </w:pPr>
      <w:r>
        <w:rPr>
          <w:color w:val="231F20"/>
          <w:w w:val="110"/>
          <w:sz w:val="18"/>
        </w:rPr>
        <w:t>The </w:t>
      </w:r>
      <w:r>
        <w:rPr>
          <w:color w:val="231F20"/>
          <w:spacing w:val="2"/>
          <w:w w:val="110"/>
          <w:sz w:val="18"/>
        </w:rPr>
        <w:t>proposed </w:t>
      </w:r>
      <w:r>
        <w:rPr>
          <w:color w:val="231F20"/>
          <w:w w:val="110"/>
          <w:sz w:val="18"/>
        </w:rPr>
        <w:t>revision of the procedure</w:t>
      </w:r>
      <w:r>
        <w:rPr>
          <w:color w:val="231F20"/>
          <w:spacing w:val="8"/>
          <w:w w:val="110"/>
          <w:sz w:val="18"/>
        </w:rPr>
        <w:t> </w:t>
      </w:r>
      <w:r>
        <w:rPr>
          <w:color w:val="231F20"/>
          <w:spacing w:val="-3"/>
          <w:w w:val="110"/>
          <w:sz w:val="18"/>
        </w:rPr>
        <w:t>will;</w:t>
      </w:r>
    </w:p>
    <w:p>
      <w:pPr>
        <w:pStyle w:val="ListParagraph"/>
        <w:numPr>
          <w:ilvl w:val="1"/>
          <w:numId w:val="99"/>
        </w:numPr>
        <w:tabs>
          <w:tab w:pos="2262" w:val="left" w:leader="none"/>
        </w:tabs>
        <w:spacing w:line="273" w:lineRule="auto" w:before="30" w:after="0"/>
        <w:ind w:left="2261" w:right="1241" w:hanging="340"/>
        <w:jc w:val="left"/>
        <w:rPr>
          <w:sz w:val="18"/>
        </w:rPr>
      </w:pPr>
      <w:r>
        <w:rPr>
          <w:color w:val="231F20"/>
          <w:w w:val="110"/>
          <w:sz w:val="18"/>
        </w:rPr>
        <w:t>ensure the retention of that element in the procedure which has been  provided by the </w:t>
      </w:r>
      <w:r>
        <w:rPr>
          <w:color w:val="231F20"/>
          <w:spacing w:val="2"/>
          <w:w w:val="110"/>
          <w:sz w:val="18"/>
        </w:rPr>
        <w:t>District </w:t>
      </w:r>
      <w:r>
        <w:rPr>
          <w:color w:val="231F20"/>
          <w:w w:val="110"/>
          <w:sz w:val="18"/>
        </w:rPr>
        <w:t>interview until July 2007 by adding assessment which is wider than the local church commendation to the Synod</w:t>
      </w:r>
      <w:r>
        <w:rPr>
          <w:color w:val="231F20"/>
          <w:spacing w:val="62"/>
          <w:w w:val="110"/>
          <w:sz w:val="18"/>
        </w:rPr>
        <w:t> </w:t>
      </w:r>
      <w:r>
        <w:rPr>
          <w:color w:val="231F20"/>
          <w:w w:val="110"/>
          <w:sz w:val="18"/>
        </w:rPr>
        <w:t>interviews,</w:t>
      </w:r>
    </w:p>
    <w:p>
      <w:pPr>
        <w:pStyle w:val="ListParagraph"/>
        <w:numPr>
          <w:ilvl w:val="1"/>
          <w:numId w:val="99"/>
        </w:numPr>
        <w:tabs>
          <w:tab w:pos="2262" w:val="left" w:leader="none"/>
        </w:tabs>
        <w:spacing w:line="273" w:lineRule="auto" w:before="2" w:after="0"/>
        <w:ind w:left="2261" w:right="1594" w:hanging="341"/>
        <w:jc w:val="left"/>
        <w:rPr>
          <w:sz w:val="18"/>
        </w:rPr>
      </w:pPr>
      <w:r>
        <w:rPr>
          <w:color w:val="231F20"/>
          <w:w w:val="110"/>
          <w:sz w:val="18"/>
        </w:rPr>
        <w:t>continue to </w:t>
      </w:r>
      <w:r>
        <w:rPr>
          <w:color w:val="231F20"/>
          <w:spacing w:val="2"/>
          <w:w w:val="110"/>
          <w:sz w:val="18"/>
        </w:rPr>
        <w:t>offer </w:t>
      </w:r>
      <w:r>
        <w:rPr>
          <w:color w:val="231F20"/>
          <w:w w:val="110"/>
          <w:sz w:val="18"/>
        </w:rPr>
        <w:t>pastoral </w:t>
      </w:r>
      <w:r>
        <w:rPr>
          <w:color w:val="231F20"/>
          <w:spacing w:val="2"/>
          <w:w w:val="110"/>
          <w:sz w:val="18"/>
        </w:rPr>
        <w:t>care </w:t>
      </w:r>
      <w:r>
        <w:rPr>
          <w:color w:val="231F20"/>
          <w:w w:val="110"/>
          <w:sz w:val="18"/>
        </w:rPr>
        <w:t>to the candidates and students through the Synods during </w:t>
      </w:r>
      <w:r>
        <w:rPr>
          <w:color w:val="231F20"/>
          <w:spacing w:val="2"/>
          <w:w w:val="110"/>
          <w:sz w:val="18"/>
        </w:rPr>
        <w:t>selection </w:t>
      </w:r>
      <w:r>
        <w:rPr>
          <w:color w:val="231F20"/>
          <w:w w:val="110"/>
          <w:sz w:val="18"/>
        </w:rPr>
        <w:t>and through</w:t>
      </w:r>
      <w:r>
        <w:rPr>
          <w:color w:val="231F20"/>
          <w:spacing w:val="8"/>
          <w:w w:val="110"/>
          <w:sz w:val="18"/>
        </w:rPr>
        <w:t> </w:t>
      </w:r>
      <w:r>
        <w:rPr>
          <w:color w:val="231F20"/>
          <w:w w:val="110"/>
          <w:sz w:val="18"/>
        </w:rPr>
        <w:t>training.</w:t>
      </w:r>
    </w:p>
    <w:p>
      <w:pPr>
        <w:spacing w:after="0" w:line="273" w:lineRule="auto"/>
        <w:jc w:val="left"/>
        <w:rPr>
          <w:sz w:val="18"/>
        </w:rPr>
        <w:sectPr>
          <w:pgSz w:w="11910" w:h="16840"/>
          <w:pgMar w:header="558" w:footer="564" w:top="820" w:bottom="760" w:left="460" w:right="0"/>
        </w:sectPr>
      </w:pPr>
    </w:p>
    <w:p>
      <w:pPr>
        <w:pStyle w:val="BodyText"/>
        <w:spacing w:before="9"/>
        <w:rPr>
          <w:sz w:val="13"/>
        </w:rPr>
      </w:pPr>
    </w:p>
    <w:p>
      <w:pPr>
        <w:pStyle w:val="ListParagraph"/>
        <w:numPr>
          <w:ilvl w:val="0"/>
          <w:numId w:val="99"/>
        </w:numPr>
        <w:tabs>
          <w:tab w:pos="1354" w:val="left" w:leader="none"/>
          <w:tab w:pos="1355" w:val="left" w:leader="none"/>
        </w:tabs>
        <w:spacing w:line="273" w:lineRule="auto" w:before="101" w:after="0"/>
        <w:ind w:left="673" w:right="1729" w:firstLine="0"/>
        <w:jc w:val="left"/>
        <w:rPr>
          <w:sz w:val="18"/>
        </w:rPr>
      </w:pPr>
      <w:r>
        <w:rPr>
          <w:color w:val="231F20"/>
          <w:w w:val="110"/>
          <w:sz w:val="18"/>
        </w:rPr>
        <w:t>The proposal to change the locus of the final decision </w:t>
      </w:r>
      <w:r>
        <w:rPr>
          <w:color w:val="231F20"/>
          <w:spacing w:val="2"/>
          <w:w w:val="110"/>
          <w:sz w:val="18"/>
        </w:rPr>
        <w:t>from </w:t>
      </w:r>
      <w:r>
        <w:rPr>
          <w:color w:val="231F20"/>
          <w:w w:val="110"/>
          <w:sz w:val="18"/>
        </w:rPr>
        <w:t>the Synod to the </w:t>
      </w:r>
      <w:r>
        <w:rPr>
          <w:color w:val="231F20"/>
          <w:spacing w:val="2"/>
          <w:w w:val="110"/>
          <w:sz w:val="18"/>
        </w:rPr>
        <w:t>Assessment </w:t>
      </w:r>
      <w:r>
        <w:rPr>
          <w:color w:val="231F20"/>
          <w:w w:val="110"/>
          <w:sz w:val="18"/>
        </w:rPr>
        <w:t>Board is made in the light of discussions that have taken place since the 2005 resolution to abolish the </w:t>
      </w:r>
      <w:r>
        <w:rPr>
          <w:color w:val="231F20"/>
          <w:spacing w:val="2"/>
          <w:w w:val="110"/>
          <w:sz w:val="18"/>
        </w:rPr>
        <w:t>Districts, </w:t>
      </w:r>
      <w:r>
        <w:rPr>
          <w:color w:val="231F20"/>
          <w:w w:val="110"/>
          <w:sz w:val="18"/>
        </w:rPr>
        <w:t>thereby removing a decision of a Council of the Church</w:t>
      </w:r>
      <w:r>
        <w:rPr>
          <w:color w:val="231F20"/>
          <w:spacing w:val="13"/>
          <w:w w:val="110"/>
          <w:sz w:val="18"/>
        </w:rPr>
        <w:t> </w:t>
      </w:r>
      <w:r>
        <w:rPr>
          <w:color w:val="231F20"/>
          <w:spacing w:val="2"/>
          <w:w w:val="110"/>
          <w:sz w:val="18"/>
        </w:rPr>
        <w:t>from</w:t>
      </w:r>
      <w:r>
        <w:rPr>
          <w:color w:val="231F20"/>
          <w:spacing w:val="14"/>
          <w:w w:val="110"/>
          <w:sz w:val="18"/>
        </w:rPr>
        <w:t> </w:t>
      </w:r>
      <w:r>
        <w:rPr>
          <w:color w:val="231F20"/>
          <w:w w:val="110"/>
          <w:sz w:val="18"/>
        </w:rPr>
        <w:t>the</w:t>
      </w:r>
      <w:r>
        <w:rPr>
          <w:color w:val="231F20"/>
          <w:spacing w:val="14"/>
          <w:w w:val="110"/>
          <w:sz w:val="18"/>
        </w:rPr>
        <w:t> </w:t>
      </w:r>
      <w:r>
        <w:rPr>
          <w:color w:val="231F20"/>
          <w:w w:val="110"/>
          <w:sz w:val="18"/>
        </w:rPr>
        <w:t>candidating</w:t>
      </w:r>
      <w:r>
        <w:rPr>
          <w:color w:val="231F20"/>
          <w:spacing w:val="14"/>
          <w:w w:val="110"/>
          <w:sz w:val="18"/>
        </w:rPr>
        <w:t> </w:t>
      </w:r>
      <w:r>
        <w:rPr>
          <w:color w:val="231F20"/>
          <w:spacing w:val="2"/>
          <w:w w:val="110"/>
          <w:sz w:val="18"/>
        </w:rPr>
        <w:t>process</w:t>
      </w:r>
      <w:r>
        <w:rPr>
          <w:color w:val="231F20"/>
          <w:spacing w:val="14"/>
          <w:w w:val="110"/>
          <w:sz w:val="18"/>
        </w:rPr>
        <w:t> </w:t>
      </w:r>
      <w:r>
        <w:rPr>
          <w:color w:val="231F20"/>
          <w:w w:val="110"/>
          <w:sz w:val="18"/>
        </w:rPr>
        <w:t>and</w:t>
      </w:r>
      <w:r>
        <w:rPr>
          <w:color w:val="231F20"/>
          <w:spacing w:val="14"/>
          <w:w w:val="110"/>
          <w:sz w:val="18"/>
        </w:rPr>
        <w:t> </w:t>
      </w:r>
      <w:r>
        <w:rPr>
          <w:color w:val="231F20"/>
          <w:w w:val="110"/>
          <w:sz w:val="18"/>
        </w:rPr>
        <w:t>requiring</w:t>
      </w:r>
      <w:r>
        <w:rPr>
          <w:color w:val="231F20"/>
          <w:spacing w:val="14"/>
          <w:w w:val="110"/>
          <w:sz w:val="18"/>
        </w:rPr>
        <w:t> </w:t>
      </w:r>
      <w:r>
        <w:rPr>
          <w:color w:val="231F20"/>
          <w:w w:val="110"/>
          <w:sz w:val="18"/>
        </w:rPr>
        <w:t>a</w:t>
      </w:r>
      <w:r>
        <w:rPr>
          <w:color w:val="231F20"/>
          <w:spacing w:val="14"/>
          <w:w w:val="110"/>
          <w:sz w:val="18"/>
        </w:rPr>
        <w:t> </w:t>
      </w:r>
      <w:r>
        <w:rPr>
          <w:color w:val="231F20"/>
          <w:w w:val="110"/>
          <w:sz w:val="18"/>
        </w:rPr>
        <w:t>revision</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the</w:t>
      </w:r>
      <w:r>
        <w:rPr>
          <w:color w:val="231F20"/>
          <w:spacing w:val="14"/>
          <w:w w:val="110"/>
          <w:sz w:val="18"/>
        </w:rPr>
        <w:t> </w:t>
      </w:r>
      <w:r>
        <w:rPr>
          <w:color w:val="231F20"/>
          <w:w w:val="110"/>
          <w:sz w:val="18"/>
        </w:rPr>
        <w:t>present</w:t>
      </w:r>
      <w:r>
        <w:rPr>
          <w:color w:val="231F20"/>
          <w:spacing w:val="14"/>
          <w:w w:val="110"/>
          <w:sz w:val="18"/>
        </w:rPr>
        <w:t> </w:t>
      </w:r>
      <w:r>
        <w:rPr>
          <w:color w:val="231F20"/>
          <w:w w:val="110"/>
          <w:sz w:val="18"/>
        </w:rPr>
        <w:t>procedures.</w:t>
      </w:r>
    </w:p>
    <w:p>
      <w:pPr>
        <w:pStyle w:val="BodyText"/>
        <w:spacing w:before="9"/>
        <w:rPr>
          <w:sz w:val="20"/>
        </w:rPr>
      </w:pPr>
    </w:p>
    <w:p>
      <w:pPr>
        <w:pStyle w:val="ListParagraph"/>
        <w:numPr>
          <w:ilvl w:val="0"/>
          <w:numId w:val="99"/>
        </w:numPr>
        <w:tabs>
          <w:tab w:pos="1393" w:val="left" w:leader="none"/>
          <w:tab w:pos="1394" w:val="left" w:leader="none"/>
        </w:tabs>
        <w:spacing w:line="273" w:lineRule="auto" w:before="0" w:after="0"/>
        <w:ind w:left="673" w:right="1712" w:firstLine="0"/>
        <w:jc w:val="left"/>
        <w:rPr>
          <w:sz w:val="18"/>
        </w:rPr>
      </w:pPr>
      <w:r>
        <w:rPr>
          <w:color w:val="231F20"/>
          <w:w w:val="110"/>
          <w:sz w:val="18"/>
        </w:rPr>
        <w:t>David Cutler, the Convener of the </w:t>
      </w:r>
      <w:r>
        <w:rPr>
          <w:color w:val="231F20"/>
          <w:spacing w:val="2"/>
          <w:w w:val="110"/>
          <w:sz w:val="18"/>
        </w:rPr>
        <w:t>Assessment </w:t>
      </w:r>
      <w:r>
        <w:rPr>
          <w:color w:val="231F20"/>
          <w:w w:val="110"/>
          <w:sz w:val="18"/>
        </w:rPr>
        <w:t>Board, Christine Craven, </w:t>
      </w:r>
      <w:r>
        <w:rPr>
          <w:color w:val="231F20"/>
          <w:spacing w:val="3"/>
          <w:w w:val="110"/>
          <w:sz w:val="18"/>
        </w:rPr>
        <w:t>Secretary </w:t>
      </w:r>
      <w:r>
        <w:rPr>
          <w:color w:val="231F20"/>
          <w:w w:val="110"/>
          <w:sz w:val="18"/>
        </w:rPr>
        <w:t>for Ministries, and </w:t>
      </w:r>
      <w:r>
        <w:rPr>
          <w:color w:val="231F20"/>
          <w:spacing w:val="-3"/>
          <w:w w:val="110"/>
          <w:sz w:val="18"/>
        </w:rPr>
        <w:t>24 </w:t>
      </w:r>
      <w:r>
        <w:rPr>
          <w:color w:val="231F20"/>
          <w:w w:val="110"/>
          <w:sz w:val="18"/>
        </w:rPr>
        <w:t>representatives of the Synods met on the 12</w:t>
      </w:r>
      <w:r>
        <w:rPr>
          <w:color w:val="231F20"/>
          <w:w w:val="110"/>
          <w:position w:val="6"/>
          <w:sz w:val="10"/>
        </w:rPr>
        <w:t>th </w:t>
      </w:r>
      <w:r>
        <w:rPr>
          <w:color w:val="231F20"/>
          <w:w w:val="110"/>
          <w:sz w:val="18"/>
        </w:rPr>
        <w:t>January 2006 and considered the implications for the candidating procedure of changes to the </w:t>
      </w:r>
      <w:r>
        <w:rPr>
          <w:color w:val="231F20"/>
          <w:spacing w:val="2"/>
          <w:w w:val="110"/>
          <w:sz w:val="18"/>
        </w:rPr>
        <w:t>structures    </w:t>
      </w:r>
      <w:r>
        <w:rPr>
          <w:color w:val="231F20"/>
          <w:w w:val="110"/>
          <w:sz w:val="18"/>
        </w:rPr>
        <w:t>of the United Reformed Church. The implications were also discussed by the </w:t>
      </w:r>
      <w:r>
        <w:rPr>
          <w:color w:val="231F20"/>
          <w:spacing w:val="2"/>
          <w:w w:val="110"/>
          <w:sz w:val="18"/>
        </w:rPr>
        <w:t>Assessment</w:t>
      </w:r>
      <w:r>
        <w:rPr>
          <w:color w:val="231F20"/>
          <w:spacing w:val="73"/>
          <w:w w:val="110"/>
          <w:sz w:val="18"/>
        </w:rPr>
        <w:t> </w:t>
      </w:r>
      <w:r>
        <w:rPr>
          <w:color w:val="231F20"/>
          <w:w w:val="110"/>
          <w:sz w:val="18"/>
        </w:rPr>
        <w:t>Board which met on the 9</w:t>
      </w:r>
      <w:r>
        <w:rPr>
          <w:color w:val="231F20"/>
          <w:w w:val="110"/>
          <w:position w:val="6"/>
          <w:sz w:val="10"/>
        </w:rPr>
        <w:t>th  </w:t>
      </w:r>
      <w:r>
        <w:rPr>
          <w:color w:val="231F20"/>
          <w:w w:val="110"/>
          <w:sz w:val="18"/>
        </w:rPr>
        <w:t>September 2006 when the note of the January discussion   and the agreements </w:t>
      </w:r>
      <w:r>
        <w:rPr>
          <w:color w:val="231F20"/>
          <w:spacing w:val="2"/>
          <w:w w:val="110"/>
          <w:sz w:val="18"/>
        </w:rPr>
        <w:t>reached </w:t>
      </w:r>
      <w:r>
        <w:rPr>
          <w:color w:val="231F20"/>
          <w:w w:val="110"/>
          <w:sz w:val="18"/>
        </w:rPr>
        <w:t>were taken into</w:t>
      </w:r>
      <w:r>
        <w:rPr>
          <w:color w:val="231F20"/>
          <w:spacing w:val="13"/>
          <w:w w:val="110"/>
          <w:sz w:val="18"/>
        </w:rPr>
        <w:t> </w:t>
      </w:r>
      <w:r>
        <w:rPr>
          <w:color w:val="231F20"/>
          <w:w w:val="110"/>
          <w:sz w:val="18"/>
        </w:rPr>
        <w:t>account.</w:t>
      </w:r>
    </w:p>
    <w:p>
      <w:pPr>
        <w:pStyle w:val="BodyText"/>
        <w:spacing w:before="10"/>
        <w:rPr>
          <w:sz w:val="20"/>
        </w:rPr>
      </w:pPr>
    </w:p>
    <w:p>
      <w:pPr>
        <w:pStyle w:val="ListParagraph"/>
        <w:numPr>
          <w:ilvl w:val="0"/>
          <w:numId w:val="99"/>
        </w:numPr>
        <w:tabs>
          <w:tab w:pos="1393" w:val="left" w:leader="none"/>
          <w:tab w:pos="1394" w:val="left" w:leader="none"/>
        </w:tabs>
        <w:spacing w:line="273" w:lineRule="auto" w:before="1" w:after="0"/>
        <w:ind w:left="673" w:right="1937" w:firstLine="0"/>
        <w:jc w:val="left"/>
        <w:rPr>
          <w:sz w:val="18"/>
        </w:rPr>
      </w:pPr>
      <w:r>
        <w:rPr>
          <w:color w:val="231F20"/>
          <w:w w:val="110"/>
          <w:sz w:val="18"/>
        </w:rPr>
        <w:t>All who have so far considered this matter have been clear that there must be   a consistency about the decisions made to send candidates for training which can be delivered by the </w:t>
      </w:r>
      <w:r>
        <w:rPr>
          <w:color w:val="231F20"/>
          <w:spacing w:val="2"/>
          <w:w w:val="110"/>
          <w:sz w:val="18"/>
        </w:rPr>
        <w:t>Assessment </w:t>
      </w:r>
      <w:r>
        <w:rPr>
          <w:color w:val="231F20"/>
          <w:w w:val="110"/>
          <w:sz w:val="18"/>
        </w:rPr>
        <w:t>Board. However the ongoing pastoral </w:t>
      </w:r>
      <w:r>
        <w:rPr>
          <w:color w:val="231F20"/>
          <w:spacing w:val="2"/>
          <w:w w:val="110"/>
          <w:sz w:val="18"/>
        </w:rPr>
        <w:t>care </w:t>
      </w:r>
      <w:r>
        <w:rPr>
          <w:color w:val="231F20"/>
          <w:w w:val="110"/>
          <w:sz w:val="18"/>
        </w:rPr>
        <w:t>of students is also a matter of </w:t>
      </w:r>
      <w:r>
        <w:rPr>
          <w:color w:val="231F20"/>
          <w:spacing w:val="2"/>
          <w:w w:val="110"/>
          <w:sz w:val="18"/>
        </w:rPr>
        <w:t>importance </w:t>
      </w:r>
      <w:r>
        <w:rPr>
          <w:color w:val="231F20"/>
          <w:w w:val="110"/>
          <w:sz w:val="18"/>
        </w:rPr>
        <w:t>and this might be more </w:t>
      </w:r>
      <w:r>
        <w:rPr>
          <w:color w:val="231F20"/>
          <w:spacing w:val="2"/>
          <w:w w:val="110"/>
          <w:sz w:val="18"/>
        </w:rPr>
        <w:t>effectively </w:t>
      </w:r>
      <w:r>
        <w:rPr>
          <w:color w:val="231F20"/>
          <w:w w:val="110"/>
          <w:sz w:val="18"/>
        </w:rPr>
        <w:t>delivered by the Synod which sponsored the</w:t>
      </w:r>
      <w:r>
        <w:rPr>
          <w:color w:val="231F20"/>
          <w:spacing w:val="4"/>
          <w:w w:val="110"/>
          <w:sz w:val="18"/>
        </w:rPr>
        <w:t> </w:t>
      </w:r>
      <w:r>
        <w:rPr>
          <w:color w:val="231F20"/>
          <w:w w:val="110"/>
          <w:sz w:val="18"/>
        </w:rPr>
        <w:t>candidate.</w:t>
      </w:r>
    </w:p>
    <w:p>
      <w:pPr>
        <w:pStyle w:val="BodyText"/>
        <w:spacing w:before="10"/>
        <w:rPr>
          <w:sz w:val="20"/>
        </w:rPr>
      </w:pPr>
    </w:p>
    <w:p>
      <w:pPr>
        <w:pStyle w:val="ListParagraph"/>
        <w:numPr>
          <w:ilvl w:val="0"/>
          <w:numId w:val="99"/>
        </w:numPr>
        <w:tabs>
          <w:tab w:pos="1393" w:val="left" w:leader="none"/>
          <w:tab w:pos="1394" w:val="left" w:leader="none"/>
        </w:tabs>
        <w:spacing w:line="273" w:lineRule="auto" w:before="0" w:after="0"/>
        <w:ind w:left="673" w:right="1765" w:firstLine="0"/>
        <w:jc w:val="left"/>
        <w:rPr>
          <w:sz w:val="18"/>
        </w:rPr>
      </w:pPr>
      <w:r>
        <w:rPr>
          <w:color w:val="231F20"/>
          <w:w w:val="110"/>
          <w:sz w:val="18"/>
        </w:rPr>
        <w:t>The </w:t>
      </w:r>
      <w:r>
        <w:rPr>
          <w:color w:val="231F20"/>
          <w:spacing w:val="2"/>
          <w:w w:val="110"/>
          <w:sz w:val="18"/>
        </w:rPr>
        <w:t>process proposed seeks </w:t>
      </w:r>
      <w:r>
        <w:rPr>
          <w:color w:val="231F20"/>
          <w:w w:val="110"/>
          <w:sz w:val="18"/>
        </w:rPr>
        <w:t>to address both the need for consistency and for pastoral </w:t>
      </w:r>
      <w:r>
        <w:rPr>
          <w:color w:val="231F20"/>
          <w:spacing w:val="2"/>
          <w:w w:val="110"/>
          <w:sz w:val="18"/>
        </w:rPr>
        <w:t>care </w:t>
      </w:r>
      <w:r>
        <w:rPr>
          <w:color w:val="231F20"/>
          <w:w w:val="110"/>
          <w:sz w:val="18"/>
        </w:rPr>
        <w:t>as it continues to engage all the Councils of the Church in the discernment of vocation and thus ensures the final decision remains the responsibility of the whole church. At the same time local knowledge of the candidate’s needs is given </w:t>
      </w:r>
      <w:r>
        <w:rPr>
          <w:color w:val="231F20"/>
          <w:spacing w:val="3"/>
          <w:w w:val="110"/>
          <w:sz w:val="18"/>
        </w:rPr>
        <w:t>necessary </w:t>
      </w:r>
      <w:r>
        <w:rPr>
          <w:color w:val="231F20"/>
          <w:w w:val="110"/>
          <w:sz w:val="18"/>
        </w:rPr>
        <w:t>weight both at the assessment stage and throughout the training</w:t>
      </w:r>
      <w:r>
        <w:rPr>
          <w:color w:val="231F20"/>
          <w:spacing w:val="46"/>
          <w:w w:val="110"/>
          <w:sz w:val="18"/>
        </w:rPr>
        <w:t> </w:t>
      </w:r>
      <w:r>
        <w:rPr>
          <w:color w:val="231F20"/>
          <w:w w:val="110"/>
          <w:sz w:val="18"/>
        </w:rPr>
        <w:t>period.</w:t>
      </w:r>
    </w:p>
    <w:p>
      <w:pPr>
        <w:pStyle w:val="BodyText"/>
        <w:spacing w:before="10"/>
        <w:rPr>
          <w:sz w:val="20"/>
        </w:rPr>
      </w:pPr>
    </w:p>
    <w:p>
      <w:pPr>
        <w:pStyle w:val="ListParagraph"/>
        <w:numPr>
          <w:ilvl w:val="1"/>
          <w:numId w:val="100"/>
        </w:numPr>
        <w:tabs>
          <w:tab w:pos="1354" w:val="left" w:leader="none"/>
          <w:tab w:pos="1355" w:val="left" w:leader="none"/>
        </w:tabs>
        <w:spacing w:line="273" w:lineRule="auto" w:before="0" w:after="0"/>
        <w:ind w:left="673" w:right="1751" w:firstLine="0"/>
        <w:jc w:val="left"/>
        <w:rPr>
          <w:sz w:val="18"/>
        </w:rPr>
      </w:pPr>
      <w:r>
        <w:rPr>
          <w:color w:val="231F20"/>
          <w:w w:val="110"/>
          <w:sz w:val="18"/>
        </w:rPr>
        <w:t>The Ministries Committee suggests that the decision about a student’s readiness for ordination/commission ought to include representatives </w:t>
      </w:r>
      <w:r>
        <w:rPr>
          <w:color w:val="231F20"/>
          <w:spacing w:val="2"/>
          <w:w w:val="110"/>
          <w:sz w:val="18"/>
        </w:rPr>
        <w:t>from </w:t>
      </w:r>
      <w:r>
        <w:rPr>
          <w:color w:val="231F20"/>
          <w:w w:val="110"/>
          <w:sz w:val="18"/>
        </w:rPr>
        <w:t>all the bodies which, under the </w:t>
      </w:r>
      <w:r>
        <w:rPr>
          <w:color w:val="231F20"/>
          <w:spacing w:val="2"/>
          <w:w w:val="110"/>
          <w:sz w:val="18"/>
        </w:rPr>
        <w:t>proposed </w:t>
      </w:r>
      <w:r>
        <w:rPr>
          <w:color w:val="231F20"/>
          <w:w w:val="110"/>
          <w:sz w:val="18"/>
        </w:rPr>
        <w:t>system, will have been monitoring the individual’s development through the </w:t>
      </w:r>
      <w:r>
        <w:rPr>
          <w:color w:val="231F20"/>
          <w:spacing w:val="2"/>
          <w:w w:val="110"/>
          <w:sz w:val="18"/>
        </w:rPr>
        <w:t>course </w:t>
      </w:r>
      <w:r>
        <w:rPr>
          <w:color w:val="231F20"/>
          <w:w w:val="110"/>
          <w:sz w:val="18"/>
        </w:rPr>
        <w:t>of training. That is the Resource Centre for Learning, the Synod, and the Ministries and Education and Learning</w:t>
      </w:r>
      <w:r>
        <w:rPr>
          <w:color w:val="231F20"/>
          <w:spacing w:val="16"/>
          <w:w w:val="110"/>
          <w:sz w:val="18"/>
        </w:rPr>
        <w:t> </w:t>
      </w:r>
      <w:r>
        <w:rPr>
          <w:color w:val="231F20"/>
          <w:w w:val="110"/>
          <w:sz w:val="18"/>
        </w:rPr>
        <w:t>Committees.</w:t>
      </w:r>
    </w:p>
    <w:p>
      <w:pPr>
        <w:pStyle w:val="BodyText"/>
        <w:spacing w:before="10"/>
        <w:rPr>
          <w:sz w:val="20"/>
        </w:rPr>
      </w:pPr>
    </w:p>
    <w:p>
      <w:pPr>
        <w:pStyle w:val="ListParagraph"/>
        <w:numPr>
          <w:ilvl w:val="1"/>
          <w:numId w:val="100"/>
        </w:numPr>
        <w:tabs>
          <w:tab w:pos="1393" w:val="left" w:leader="none"/>
          <w:tab w:pos="1394" w:val="left" w:leader="none"/>
        </w:tabs>
        <w:spacing w:line="273" w:lineRule="auto" w:before="0" w:after="0"/>
        <w:ind w:left="673" w:right="2028" w:firstLine="0"/>
        <w:jc w:val="left"/>
        <w:rPr>
          <w:sz w:val="18"/>
        </w:rPr>
      </w:pPr>
      <w:r>
        <w:rPr>
          <w:color w:val="231F20"/>
          <w:spacing w:val="-3"/>
          <w:w w:val="110"/>
          <w:sz w:val="18"/>
        </w:rPr>
        <w:t>However, </w:t>
      </w:r>
      <w:r>
        <w:rPr>
          <w:color w:val="231F20"/>
          <w:w w:val="110"/>
          <w:sz w:val="18"/>
        </w:rPr>
        <w:t>the readiness for ordination/commission for students whose assessment for the ministries of Word and Sacraments or Church Related Community Work took place </w:t>
      </w:r>
      <w:r>
        <w:rPr>
          <w:color w:val="231F20"/>
          <w:spacing w:val="2"/>
          <w:w w:val="110"/>
          <w:sz w:val="18"/>
        </w:rPr>
        <w:t>before </w:t>
      </w:r>
      <w:r>
        <w:rPr>
          <w:color w:val="231F20"/>
          <w:w w:val="110"/>
          <w:sz w:val="18"/>
        </w:rPr>
        <w:t>July 2007 should for the time being follow the procedure in place prior to July</w:t>
      </w:r>
      <w:r>
        <w:rPr>
          <w:color w:val="231F20"/>
          <w:spacing w:val="4"/>
          <w:w w:val="110"/>
          <w:sz w:val="18"/>
        </w:rPr>
        <w:t> </w:t>
      </w:r>
      <w:r>
        <w:rPr>
          <w:color w:val="231F20"/>
          <w:spacing w:val="-6"/>
          <w:w w:val="110"/>
          <w:sz w:val="18"/>
        </w:rPr>
        <w:t>2007.</w:t>
      </w:r>
    </w:p>
    <w:p>
      <w:pPr>
        <w:pStyle w:val="BodyText"/>
        <w:spacing w:before="9"/>
        <w:rPr>
          <w:sz w:val="20"/>
        </w:rPr>
      </w:pPr>
    </w:p>
    <w:p>
      <w:pPr>
        <w:pStyle w:val="ListParagraph"/>
        <w:numPr>
          <w:ilvl w:val="0"/>
          <w:numId w:val="101"/>
        </w:numPr>
        <w:tabs>
          <w:tab w:pos="1354" w:val="left" w:leader="none"/>
          <w:tab w:pos="1355" w:val="left" w:leader="none"/>
        </w:tabs>
        <w:spacing w:line="273" w:lineRule="auto" w:before="0" w:after="0"/>
        <w:ind w:left="673" w:right="1758" w:firstLine="0"/>
        <w:jc w:val="left"/>
        <w:rPr>
          <w:sz w:val="18"/>
        </w:rPr>
      </w:pPr>
      <w:r>
        <w:rPr>
          <w:color w:val="231F20"/>
          <w:w w:val="110"/>
          <w:sz w:val="18"/>
        </w:rPr>
        <w:t>Further work needs to be done on the procedures for supporting those who are  not accepted for training at whatever stage in the </w:t>
      </w:r>
      <w:r>
        <w:rPr>
          <w:color w:val="231F20"/>
          <w:spacing w:val="2"/>
          <w:w w:val="110"/>
          <w:sz w:val="18"/>
        </w:rPr>
        <w:t>process </w:t>
      </w:r>
      <w:r>
        <w:rPr>
          <w:color w:val="231F20"/>
          <w:w w:val="110"/>
          <w:sz w:val="18"/>
        </w:rPr>
        <w:t>that decision is made. This is to ensure that there is a consistency about our treatment of candidates throughout the United Reformed</w:t>
      </w:r>
      <w:r>
        <w:rPr>
          <w:color w:val="231F20"/>
          <w:spacing w:val="2"/>
          <w:w w:val="110"/>
          <w:sz w:val="18"/>
        </w:rPr>
        <w:t> </w:t>
      </w:r>
      <w:r>
        <w:rPr>
          <w:color w:val="231F20"/>
          <w:w w:val="110"/>
          <w:sz w:val="18"/>
        </w:rPr>
        <w:t>Church.</w:t>
      </w:r>
    </w:p>
    <w:p>
      <w:pPr>
        <w:pStyle w:val="BodyText"/>
        <w:rPr>
          <w:sz w:val="20"/>
        </w:rPr>
      </w:pPr>
    </w:p>
    <w:p>
      <w:pPr>
        <w:pStyle w:val="BodyText"/>
        <w:rPr>
          <w:sz w:val="20"/>
        </w:rPr>
      </w:pPr>
    </w:p>
    <w:p>
      <w:pPr>
        <w:pStyle w:val="BodyText"/>
        <w:rPr>
          <w:sz w:val="20"/>
        </w:rPr>
      </w:pPr>
    </w:p>
    <w:p>
      <w:pPr>
        <w:spacing w:before="431"/>
        <w:ind w:left="0" w:right="1024" w:firstLine="0"/>
        <w:jc w:val="center"/>
        <w:rPr>
          <w:i/>
          <w:sz w:val="24"/>
        </w:rPr>
      </w:pPr>
      <w:r>
        <w:rPr>
          <w:i/>
          <w:color w:val="231F20"/>
          <w:w w:val="600"/>
          <w:sz w:val="24"/>
        </w:rPr>
        <w:t>   </w:t>
      </w:r>
    </w:p>
    <w:p>
      <w:pPr>
        <w:spacing w:after="0"/>
        <w:jc w:val="center"/>
        <w:rPr>
          <w:sz w:val="24"/>
        </w:rPr>
        <w:sectPr>
          <w:pgSz w:w="11910" w:h="16840"/>
          <w:pgMar w:header="558" w:footer="484" w:top="820" w:bottom="760" w:left="460" w:right="0"/>
        </w:sectPr>
      </w:pPr>
    </w:p>
    <w:p>
      <w:pPr>
        <w:spacing w:before="28"/>
        <w:ind w:left="673" w:right="0" w:firstLine="0"/>
        <w:jc w:val="left"/>
        <w:rPr>
          <w:rFonts w:ascii="Eurostile Bold"/>
          <w:b/>
          <w:sz w:val="28"/>
        </w:rPr>
      </w:pPr>
      <w:r>
        <w:rPr>
          <w:rFonts w:ascii="Eurostile Bold"/>
          <w:b/>
          <w:color w:val="A7A9AC"/>
          <w:w w:val="95"/>
          <w:sz w:val="28"/>
        </w:rPr>
        <w:t>Assisted Dying</w:t>
      </w:r>
    </w:p>
    <w:p>
      <w:pPr>
        <w:pStyle w:val="BodyText"/>
        <w:spacing w:before="6"/>
        <w:rPr>
          <w:rFonts w:ascii="Eurostile Bold"/>
          <w:b/>
          <w:sz w:val="38"/>
        </w:rPr>
      </w:pPr>
    </w:p>
    <w:p>
      <w:pPr>
        <w:tabs>
          <w:tab w:pos="8271" w:val="left" w:leader="none"/>
        </w:tabs>
        <w:spacing w:before="0"/>
        <w:ind w:left="1657" w:right="0" w:firstLine="0"/>
        <w:jc w:val="left"/>
        <w:rPr>
          <w:b/>
          <w:sz w:val="20"/>
        </w:rPr>
      </w:pPr>
      <w:r>
        <w:rPr/>
        <w:pict>
          <v:group style="position:absolute;margin-left:85.044014pt;margin-top:2.191354pt;width:496.6pt;height:436.75pt;mso-position-horizontal-relative:page;mso-position-vertical-relative:paragraph;z-index:-275411968" coordorigin="1701,44" coordsize="9932,8735">
            <v:shape style="position:absolute;left:2003;top:109;width:4016;height:630" coordorigin="2004,110" coordsize="4016,630" path="m6019,436l2162,436,2162,110,2004,110,2004,436,2004,740,6019,740,6019,436e" filled="true" fillcolor="#d8dadc" stroked="false">
              <v:path arrowok="t"/>
              <v:fill type="solid"/>
            </v:shape>
            <v:line style="position:absolute" from="2004,103" to="6019,103" stroked="true" strokeweight=".7pt" strokecolor="#d8dadc">
              <v:stroke dashstyle="solid"/>
            </v:line>
            <v:shape style="position:absolute;left:2161;top:108;width:3858;height:328" coordorigin="2162,109" coordsize="3858,328" path="m6019,109l5604,109,2162,109,2162,436,5604,436,6019,436,6019,109e" filled="true" fillcolor="#d8dadc" stroked="false">
              <v:path arrowok="t"/>
              <v:fill type="solid"/>
            </v:shape>
            <v:shape style="position:absolute;left:1700;top:43;width:9932;height:8735" type="#_x0000_t75" stroked="false">
              <v:imagedata r:id="rId244" o:title=""/>
            </v:shape>
            <w10:wrap type="none"/>
          </v:group>
        </w:pict>
      </w:r>
      <w:r>
        <w:rPr>
          <w:b/>
          <w:color w:val="FFFFFF"/>
          <w:spacing w:val="2"/>
          <w:w w:val="111"/>
          <w:position w:val="19"/>
          <w:sz w:val="43"/>
        </w:rPr>
        <w:t>R</w:t>
      </w:r>
      <w:r>
        <w:rPr>
          <w:b/>
          <w:color w:val="FFFFFF"/>
          <w:spacing w:val="1"/>
          <w:w w:val="111"/>
          <w:position w:val="19"/>
          <w:sz w:val="43"/>
        </w:rPr>
        <w:t>E</w:t>
      </w:r>
      <w:r>
        <w:rPr>
          <w:b/>
          <w:color w:val="FFFFFF"/>
          <w:w w:val="111"/>
          <w:position w:val="19"/>
          <w:sz w:val="43"/>
        </w:rPr>
        <w:t>S</w:t>
      </w:r>
      <w:r>
        <w:rPr>
          <w:b/>
          <w:color w:val="FFFFFF"/>
          <w:spacing w:val="-4"/>
          <w:w w:val="111"/>
          <w:position w:val="19"/>
          <w:sz w:val="43"/>
        </w:rPr>
        <w:t>O</w:t>
      </w:r>
      <w:r>
        <w:rPr>
          <w:b/>
          <w:color w:val="FFFFFF"/>
          <w:spacing w:val="-6"/>
          <w:w w:val="111"/>
          <w:position w:val="19"/>
          <w:sz w:val="43"/>
        </w:rPr>
        <w:t>L</w:t>
      </w:r>
      <w:r>
        <w:rPr>
          <w:b/>
          <w:color w:val="FFFFFF"/>
          <w:spacing w:val="-2"/>
          <w:w w:val="111"/>
          <w:position w:val="19"/>
          <w:sz w:val="43"/>
        </w:rPr>
        <w:t>U</w:t>
      </w:r>
      <w:r>
        <w:rPr>
          <w:b/>
          <w:color w:val="FFFFFF"/>
          <w:spacing w:val="3"/>
          <w:w w:val="111"/>
          <w:position w:val="19"/>
          <w:sz w:val="43"/>
        </w:rPr>
        <w:t>T</w:t>
      </w:r>
      <w:r>
        <w:rPr>
          <w:b/>
          <w:color w:val="FFFFFF"/>
          <w:spacing w:val="-15"/>
          <w:w w:val="111"/>
          <w:position w:val="19"/>
          <w:sz w:val="43"/>
        </w:rPr>
        <w:t>I</w:t>
      </w:r>
      <w:r>
        <w:rPr>
          <w:b/>
          <w:color w:val="FFFFFF"/>
          <w:spacing w:val="-205"/>
          <w:w w:val="111"/>
          <w:position w:val="19"/>
          <w:sz w:val="43"/>
        </w:rPr>
        <w:t>O</w:t>
      </w:r>
      <w:r>
        <w:rPr>
          <w:b/>
          <w:color w:val="231F20"/>
          <w:spacing w:val="-197"/>
          <w:w w:val="112"/>
          <w:sz w:val="50"/>
        </w:rPr>
        <w:t>5</w:t>
      </w:r>
      <w:r>
        <w:rPr>
          <w:b/>
          <w:color w:val="FFFFFF"/>
          <w:spacing w:val="-244"/>
          <w:w w:val="111"/>
          <w:position w:val="19"/>
          <w:sz w:val="43"/>
        </w:rPr>
        <w:t>N</w:t>
      </w:r>
      <w:r>
        <w:rPr>
          <w:b/>
          <w:color w:val="231F20"/>
          <w:w w:val="112"/>
          <w:sz w:val="50"/>
        </w:rPr>
        <w:t>1</w:t>
      </w:r>
      <w:r>
        <w:rPr>
          <w:b/>
          <w:color w:val="231F20"/>
          <w:sz w:val="50"/>
        </w:rPr>
        <w:tab/>
      </w:r>
      <w:r>
        <w:rPr>
          <w:b/>
          <w:color w:val="231F20"/>
          <w:spacing w:val="5"/>
          <w:w w:val="109"/>
          <w:sz w:val="20"/>
        </w:rPr>
        <w:t>A</w:t>
      </w:r>
      <w:r>
        <w:rPr>
          <w:b/>
          <w:color w:val="231F20"/>
          <w:spacing w:val="4"/>
          <w:w w:val="109"/>
          <w:sz w:val="20"/>
        </w:rPr>
        <w:t>s</w:t>
      </w:r>
      <w:r>
        <w:rPr>
          <w:b/>
          <w:color w:val="231F20"/>
          <w:spacing w:val="2"/>
          <w:w w:val="109"/>
          <w:sz w:val="20"/>
        </w:rPr>
        <w:t>s</w:t>
      </w:r>
      <w:r>
        <w:rPr>
          <w:b/>
          <w:color w:val="231F20"/>
          <w:spacing w:val="2"/>
          <w:w w:val="110"/>
          <w:sz w:val="20"/>
        </w:rPr>
        <w:t>i</w:t>
      </w:r>
      <w:r>
        <w:rPr>
          <w:b/>
          <w:color w:val="231F20"/>
          <w:spacing w:val="3"/>
          <w:w w:val="109"/>
          <w:sz w:val="20"/>
        </w:rPr>
        <w:t>s</w:t>
      </w:r>
      <w:r>
        <w:rPr>
          <w:b/>
          <w:color w:val="231F20"/>
          <w:spacing w:val="2"/>
          <w:w w:val="110"/>
          <w:sz w:val="20"/>
        </w:rPr>
        <w:t>t</w:t>
      </w:r>
      <w:r>
        <w:rPr>
          <w:b/>
          <w:color w:val="231F20"/>
          <w:spacing w:val="3"/>
          <w:w w:val="109"/>
          <w:sz w:val="20"/>
        </w:rPr>
        <w:t>e</w:t>
      </w:r>
      <w:r>
        <w:rPr>
          <w:b/>
          <w:color w:val="231F20"/>
          <w:w w:val="109"/>
          <w:sz w:val="20"/>
        </w:rPr>
        <w:t>d</w:t>
      </w:r>
      <w:r>
        <w:rPr>
          <w:b/>
          <w:color w:val="231F20"/>
          <w:spacing w:val="6"/>
          <w:sz w:val="20"/>
        </w:rPr>
        <w:t> </w:t>
      </w:r>
      <w:r>
        <w:rPr>
          <w:b/>
          <w:color w:val="231F20"/>
          <w:spacing w:val="1"/>
          <w:w w:val="109"/>
          <w:sz w:val="20"/>
        </w:rPr>
        <w:t>D</w:t>
      </w:r>
      <w:r>
        <w:rPr>
          <w:b/>
          <w:color w:val="231F20"/>
          <w:w w:val="110"/>
          <w:sz w:val="20"/>
        </w:rPr>
        <w:t>y</w:t>
      </w:r>
      <w:r>
        <w:rPr>
          <w:b/>
          <w:color w:val="231F20"/>
          <w:spacing w:val="-1"/>
          <w:w w:val="110"/>
          <w:sz w:val="20"/>
        </w:rPr>
        <w:t>i</w:t>
      </w:r>
      <w:r>
        <w:rPr>
          <w:b/>
          <w:color w:val="231F20"/>
          <w:spacing w:val="1"/>
          <w:w w:val="109"/>
          <w:sz w:val="20"/>
        </w:rPr>
        <w:t>n</w:t>
      </w:r>
      <w:r>
        <w:rPr>
          <w:b/>
          <w:color w:val="231F20"/>
          <w:w w:val="109"/>
          <w:sz w:val="20"/>
        </w:rPr>
        <w:t>g</w:t>
      </w:r>
    </w:p>
    <w:p>
      <w:pPr>
        <w:pStyle w:val="BodyText"/>
        <w:spacing w:before="214"/>
        <w:ind w:left="1563"/>
      </w:pPr>
      <w:r>
        <w:rPr>
          <w:color w:val="231F20"/>
          <w:w w:val="110"/>
        </w:rPr>
        <w:t>General Assembly </w:t>
      </w:r>
      <w:r>
        <w:rPr>
          <w:color w:val="231F20"/>
          <w:spacing w:val="2"/>
          <w:w w:val="110"/>
        </w:rPr>
        <w:t>affirms </w:t>
      </w:r>
      <w:r>
        <w:rPr>
          <w:color w:val="231F20"/>
          <w:w w:val="110"/>
        </w:rPr>
        <w:t>the </w:t>
      </w:r>
      <w:r>
        <w:rPr>
          <w:color w:val="231F20"/>
          <w:spacing w:val="3"/>
          <w:w w:val="110"/>
        </w:rPr>
        <w:t>report </w:t>
      </w:r>
      <w:r>
        <w:rPr>
          <w:color w:val="231F20"/>
          <w:spacing w:val="2"/>
          <w:w w:val="110"/>
        </w:rPr>
        <w:t>Assisted </w:t>
      </w:r>
      <w:r>
        <w:rPr>
          <w:color w:val="231F20"/>
          <w:w w:val="110"/>
        </w:rPr>
        <w:t>Dying, as encapsulated in the</w:t>
      </w:r>
      <w:r>
        <w:rPr>
          <w:color w:val="231F20"/>
          <w:spacing w:val="51"/>
          <w:w w:val="110"/>
        </w:rPr>
        <w:t> </w:t>
      </w:r>
      <w:r>
        <w:rPr>
          <w:color w:val="231F20"/>
          <w:w w:val="110"/>
        </w:rPr>
        <w:t>following</w:t>
      </w:r>
    </w:p>
    <w:p>
      <w:pPr>
        <w:pStyle w:val="BodyText"/>
        <w:spacing w:before="32"/>
        <w:ind w:left="1563"/>
      </w:pPr>
      <w:r>
        <w:rPr>
          <w:color w:val="231F20"/>
          <w:w w:val="110"/>
        </w:rPr>
        <w:t>statements:</w:t>
      </w:r>
    </w:p>
    <w:p>
      <w:pPr>
        <w:pStyle w:val="BodyText"/>
        <w:spacing w:before="1"/>
        <w:rPr>
          <w:sz w:val="23"/>
        </w:rPr>
      </w:pPr>
    </w:p>
    <w:p>
      <w:pPr>
        <w:pStyle w:val="ListParagraph"/>
        <w:numPr>
          <w:ilvl w:val="1"/>
          <w:numId w:val="101"/>
        </w:numPr>
        <w:tabs>
          <w:tab w:pos="2243" w:val="left" w:leader="none"/>
          <w:tab w:pos="2244" w:val="left" w:leader="none"/>
        </w:tabs>
        <w:spacing w:line="273" w:lineRule="auto" w:before="0" w:after="0"/>
        <w:ind w:left="2243" w:right="1569" w:hanging="681"/>
        <w:jc w:val="left"/>
        <w:rPr>
          <w:sz w:val="18"/>
        </w:rPr>
      </w:pPr>
      <w:r>
        <w:rPr>
          <w:color w:val="231F20"/>
          <w:spacing w:val="3"/>
          <w:w w:val="110"/>
          <w:sz w:val="18"/>
        </w:rPr>
        <w:t>As </w:t>
      </w:r>
      <w:r>
        <w:rPr>
          <w:color w:val="231F20"/>
          <w:w w:val="110"/>
          <w:sz w:val="18"/>
        </w:rPr>
        <w:t>Christians we regard all human life as being God given, and </w:t>
      </w:r>
      <w:r>
        <w:rPr>
          <w:color w:val="231F20"/>
          <w:spacing w:val="2"/>
          <w:w w:val="110"/>
          <w:sz w:val="18"/>
        </w:rPr>
        <w:t>therefore </w:t>
      </w:r>
      <w:r>
        <w:rPr>
          <w:color w:val="231F20"/>
          <w:w w:val="110"/>
          <w:sz w:val="18"/>
        </w:rPr>
        <w:t>precious; we believe that death is not the end and we have faith that there is a more </w:t>
      </w:r>
      <w:r>
        <w:rPr>
          <w:color w:val="231F20"/>
          <w:spacing w:val="3"/>
          <w:w w:val="110"/>
          <w:sz w:val="18"/>
        </w:rPr>
        <w:t>perfect </w:t>
      </w:r>
      <w:r>
        <w:rPr>
          <w:color w:val="231F20"/>
          <w:w w:val="110"/>
          <w:sz w:val="18"/>
        </w:rPr>
        <w:t>life to</w:t>
      </w:r>
      <w:r>
        <w:rPr>
          <w:color w:val="231F20"/>
          <w:spacing w:val="3"/>
          <w:w w:val="110"/>
          <w:sz w:val="18"/>
        </w:rPr>
        <w:t> </w:t>
      </w:r>
      <w:r>
        <w:rPr>
          <w:color w:val="231F20"/>
          <w:w w:val="110"/>
          <w:sz w:val="18"/>
        </w:rPr>
        <w:t>follow.</w:t>
      </w:r>
    </w:p>
    <w:p>
      <w:pPr>
        <w:pStyle w:val="BodyText"/>
        <w:spacing w:before="9"/>
        <w:rPr>
          <w:sz w:val="20"/>
        </w:rPr>
      </w:pPr>
    </w:p>
    <w:p>
      <w:pPr>
        <w:pStyle w:val="ListParagraph"/>
        <w:numPr>
          <w:ilvl w:val="1"/>
          <w:numId w:val="101"/>
        </w:numPr>
        <w:tabs>
          <w:tab w:pos="2243" w:val="left" w:leader="none"/>
          <w:tab w:pos="2244" w:val="left" w:leader="none"/>
        </w:tabs>
        <w:spacing w:line="273" w:lineRule="auto" w:before="0" w:after="0"/>
        <w:ind w:left="2243" w:right="1223" w:hanging="681"/>
        <w:jc w:val="left"/>
        <w:rPr>
          <w:sz w:val="18"/>
        </w:rPr>
      </w:pPr>
      <w:r>
        <w:rPr>
          <w:color w:val="231F20"/>
          <w:spacing w:val="-4"/>
          <w:w w:val="110"/>
          <w:sz w:val="18"/>
        </w:rPr>
        <w:t>We </w:t>
      </w:r>
      <w:r>
        <w:rPr>
          <w:color w:val="231F20"/>
          <w:w w:val="110"/>
          <w:sz w:val="18"/>
        </w:rPr>
        <w:t>recognise that there is a time to die and that there are circumstances in which it will be wrong to continue to provide treatment designed to prolong</w:t>
      </w:r>
      <w:r>
        <w:rPr>
          <w:color w:val="231F20"/>
          <w:spacing w:val="-23"/>
          <w:w w:val="110"/>
          <w:sz w:val="18"/>
        </w:rPr>
        <w:t> </w:t>
      </w:r>
      <w:r>
        <w:rPr>
          <w:color w:val="231F20"/>
          <w:w w:val="110"/>
          <w:sz w:val="18"/>
        </w:rPr>
        <w:t>life.</w:t>
      </w:r>
    </w:p>
    <w:p>
      <w:pPr>
        <w:pStyle w:val="BodyText"/>
        <w:spacing w:before="8"/>
        <w:rPr>
          <w:sz w:val="20"/>
        </w:rPr>
      </w:pPr>
    </w:p>
    <w:p>
      <w:pPr>
        <w:pStyle w:val="ListParagraph"/>
        <w:numPr>
          <w:ilvl w:val="1"/>
          <w:numId w:val="101"/>
        </w:numPr>
        <w:tabs>
          <w:tab w:pos="2243" w:val="left" w:leader="none"/>
          <w:tab w:pos="2244" w:val="left" w:leader="none"/>
        </w:tabs>
        <w:spacing w:line="273" w:lineRule="auto" w:before="0" w:after="0"/>
        <w:ind w:left="2243" w:right="1165" w:hanging="681"/>
        <w:jc w:val="left"/>
        <w:rPr>
          <w:sz w:val="18"/>
        </w:rPr>
      </w:pPr>
      <w:r>
        <w:rPr>
          <w:color w:val="231F20"/>
          <w:spacing w:val="-3"/>
          <w:w w:val="110"/>
          <w:sz w:val="18"/>
        </w:rPr>
        <w:t>We </w:t>
      </w:r>
      <w:r>
        <w:rPr>
          <w:color w:val="231F20"/>
          <w:w w:val="110"/>
          <w:sz w:val="18"/>
        </w:rPr>
        <w:t>recognise that some palliative treatment for the terminally ill, makes the patient more </w:t>
      </w:r>
      <w:r>
        <w:rPr>
          <w:color w:val="231F20"/>
          <w:spacing w:val="2"/>
          <w:w w:val="110"/>
          <w:sz w:val="18"/>
        </w:rPr>
        <w:t>comfortable </w:t>
      </w:r>
      <w:r>
        <w:rPr>
          <w:color w:val="231F20"/>
          <w:w w:val="110"/>
          <w:sz w:val="18"/>
        </w:rPr>
        <w:t>and pain free, but can also hasten death. </w:t>
      </w:r>
      <w:r>
        <w:rPr>
          <w:color w:val="231F20"/>
          <w:spacing w:val="-3"/>
          <w:w w:val="110"/>
          <w:sz w:val="18"/>
        </w:rPr>
        <w:t>We </w:t>
      </w:r>
      <w:r>
        <w:rPr>
          <w:color w:val="231F20"/>
          <w:w w:val="110"/>
          <w:sz w:val="18"/>
        </w:rPr>
        <w:t>believe this to be acceptable, as long as the </w:t>
      </w:r>
      <w:r>
        <w:rPr>
          <w:color w:val="231F20"/>
          <w:spacing w:val="2"/>
          <w:w w:val="110"/>
          <w:sz w:val="18"/>
        </w:rPr>
        <w:t>primary </w:t>
      </w:r>
      <w:r>
        <w:rPr>
          <w:color w:val="231F20"/>
          <w:w w:val="110"/>
          <w:sz w:val="18"/>
        </w:rPr>
        <w:t>purpose of the treatment is pain relief and </w:t>
      </w:r>
      <w:r>
        <w:rPr>
          <w:color w:val="231F20"/>
          <w:spacing w:val="2"/>
          <w:w w:val="110"/>
          <w:sz w:val="18"/>
        </w:rPr>
        <w:t>comfort </w:t>
      </w:r>
      <w:r>
        <w:rPr>
          <w:color w:val="231F20"/>
          <w:w w:val="110"/>
          <w:sz w:val="18"/>
        </w:rPr>
        <w:t>of the</w:t>
      </w:r>
      <w:r>
        <w:rPr>
          <w:color w:val="231F20"/>
          <w:spacing w:val="5"/>
          <w:w w:val="110"/>
          <w:sz w:val="18"/>
        </w:rPr>
        <w:t> </w:t>
      </w:r>
      <w:r>
        <w:rPr>
          <w:color w:val="231F20"/>
          <w:w w:val="110"/>
          <w:sz w:val="18"/>
        </w:rPr>
        <w:t>patient.</w:t>
      </w:r>
    </w:p>
    <w:p>
      <w:pPr>
        <w:pStyle w:val="BodyText"/>
        <w:spacing w:before="10"/>
        <w:rPr>
          <w:sz w:val="20"/>
        </w:rPr>
      </w:pPr>
    </w:p>
    <w:p>
      <w:pPr>
        <w:pStyle w:val="ListParagraph"/>
        <w:numPr>
          <w:ilvl w:val="1"/>
          <w:numId w:val="101"/>
        </w:numPr>
        <w:tabs>
          <w:tab w:pos="2243" w:val="left" w:leader="none"/>
          <w:tab w:pos="2244" w:val="left" w:leader="none"/>
        </w:tabs>
        <w:spacing w:line="273" w:lineRule="auto" w:before="0" w:after="0"/>
        <w:ind w:left="2243" w:right="1304" w:hanging="681"/>
        <w:jc w:val="left"/>
        <w:rPr>
          <w:sz w:val="18"/>
        </w:rPr>
      </w:pPr>
      <w:r>
        <w:rPr>
          <w:color w:val="231F20"/>
          <w:spacing w:val="-3"/>
          <w:w w:val="110"/>
          <w:sz w:val="18"/>
        </w:rPr>
        <w:t>We </w:t>
      </w:r>
      <w:r>
        <w:rPr>
          <w:color w:val="231F20"/>
          <w:w w:val="110"/>
          <w:sz w:val="18"/>
        </w:rPr>
        <w:t>could not support legislation that would empower medical </w:t>
      </w:r>
      <w:r>
        <w:rPr>
          <w:color w:val="231F20"/>
          <w:spacing w:val="3"/>
          <w:w w:val="110"/>
          <w:sz w:val="18"/>
        </w:rPr>
        <w:t>staff </w:t>
      </w:r>
      <w:r>
        <w:rPr>
          <w:color w:val="231F20"/>
          <w:w w:val="110"/>
          <w:sz w:val="18"/>
        </w:rPr>
        <w:t>to intervene in ways which deliberately seek to assist a patient to die. </w:t>
      </w:r>
      <w:r>
        <w:rPr>
          <w:color w:val="231F20"/>
          <w:spacing w:val="-3"/>
          <w:w w:val="110"/>
          <w:sz w:val="18"/>
        </w:rPr>
        <w:t>We </w:t>
      </w:r>
      <w:r>
        <w:rPr>
          <w:color w:val="231F20"/>
          <w:w w:val="110"/>
          <w:sz w:val="18"/>
        </w:rPr>
        <w:t>would </w:t>
      </w:r>
      <w:r>
        <w:rPr>
          <w:color w:val="231F20"/>
          <w:spacing w:val="2"/>
          <w:w w:val="110"/>
          <w:sz w:val="18"/>
        </w:rPr>
        <w:t>therefore </w:t>
      </w:r>
      <w:r>
        <w:rPr>
          <w:color w:val="231F20"/>
          <w:w w:val="110"/>
          <w:sz w:val="18"/>
        </w:rPr>
        <w:t>oppose any change in the law to permit voluntary euthanasia or assisted</w:t>
      </w:r>
      <w:r>
        <w:rPr>
          <w:color w:val="231F20"/>
          <w:spacing w:val="1"/>
          <w:w w:val="110"/>
          <w:sz w:val="18"/>
        </w:rPr>
        <w:t> </w:t>
      </w:r>
      <w:r>
        <w:rPr>
          <w:color w:val="231F20"/>
          <w:w w:val="110"/>
          <w:sz w:val="18"/>
        </w:rPr>
        <w:t>suicide.</w:t>
      </w:r>
    </w:p>
    <w:p>
      <w:pPr>
        <w:pStyle w:val="BodyText"/>
        <w:spacing w:before="9"/>
        <w:rPr>
          <w:sz w:val="20"/>
        </w:rPr>
      </w:pPr>
    </w:p>
    <w:p>
      <w:pPr>
        <w:pStyle w:val="ListParagraph"/>
        <w:numPr>
          <w:ilvl w:val="1"/>
          <w:numId w:val="101"/>
        </w:numPr>
        <w:tabs>
          <w:tab w:pos="2243" w:val="left" w:leader="none"/>
          <w:tab w:pos="2244" w:val="left" w:leader="none"/>
        </w:tabs>
        <w:spacing w:line="273" w:lineRule="auto" w:before="0" w:after="0"/>
        <w:ind w:left="2243" w:right="1203" w:hanging="681"/>
        <w:jc w:val="left"/>
        <w:rPr>
          <w:sz w:val="18"/>
        </w:rPr>
      </w:pPr>
      <w:r>
        <w:rPr>
          <w:color w:val="231F20"/>
          <w:spacing w:val="-3"/>
          <w:w w:val="110"/>
          <w:sz w:val="18"/>
        </w:rPr>
        <w:t>We </w:t>
      </w:r>
      <w:r>
        <w:rPr>
          <w:color w:val="231F20"/>
          <w:w w:val="110"/>
          <w:sz w:val="18"/>
        </w:rPr>
        <w:t>believe that a Living Will or Advance Directive which has been prepared by a patient of sound mind, can be helpful for </w:t>
      </w:r>
      <w:r>
        <w:rPr>
          <w:color w:val="231F20"/>
          <w:spacing w:val="3"/>
          <w:w w:val="110"/>
          <w:sz w:val="18"/>
        </w:rPr>
        <w:t>carers </w:t>
      </w:r>
      <w:r>
        <w:rPr>
          <w:color w:val="231F20"/>
          <w:w w:val="110"/>
          <w:sz w:val="18"/>
        </w:rPr>
        <w:t>and relatives; however we  do</w:t>
      </w:r>
      <w:r>
        <w:rPr>
          <w:color w:val="231F20"/>
          <w:spacing w:val="9"/>
          <w:w w:val="110"/>
          <w:sz w:val="18"/>
        </w:rPr>
        <w:t> </w:t>
      </w:r>
      <w:r>
        <w:rPr>
          <w:color w:val="231F20"/>
          <w:w w:val="110"/>
          <w:sz w:val="18"/>
        </w:rPr>
        <w:t>not</w:t>
      </w:r>
      <w:r>
        <w:rPr>
          <w:color w:val="231F20"/>
          <w:spacing w:val="9"/>
          <w:w w:val="110"/>
          <w:sz w:val="18"/>
        </w:rPr>
        <w:t> </w:t>
      </w:r>
      <w:r>
        <w:rPr>
          <w:color w:val="231F20"/>
          <w:w w:val="110"/>
          <w:sz w:val="18"/>
        </w:rPr>
        <w:t>believe</w:t>
      </w:r>
      <w:r>
        <w:rPr>
          <w:color w:val="231F20"/>
          <w:spacing w:val="9"/>
          <w:w w:val="110"/>
          <w:sz w:val="18"/>
        </w:rPr>
        <w:t> </w:t>
      </w:r>
      <w:r>
        <w:rPr>
          <w:color w:val="231F20"/>
          <w:w w:val="110"/>
          <w:sz w:val="18"/>
        </w:rPr>
        <w:t>such</w:t>
      </w:r>
      <w:r>
        <w:rPr>
          <w:color w:val="231F20"/>
          <w:spacing w:val="9"/>
          <w:w w:val="110"/>
          <w:sz w:val="18"/>
        </w:rPr>
        <w:t> </w:t>
      </w:r>
      <w:r>
        <w:rPr>
          <w:color w:val="231F20"/>
          <w:w w:val="110"/>
          <w:sz w:val="18"/>
        </w:rPr>
        <w:t>a</w:t>
      </w:r>
      <w:r>
        <w:rPr>
          <w:color w:val="231F20"/>
          <w:spacing w:val="9"/>
          <w:w w:val="110"/>
          <w:sz w:val="18"/>
        </w:rPr>
        <w:t> </w:t>
      </w:r>
      <w:r>
        <w:rPr>
          <w:color w:val="231F20"/>
          <w:w w:val="110"/>
          <w:sz w:val="18"/>
        </w:rPr>
        <w:t>document</w:t>
      </w:r>
      <w:r>
        <w:rPr>
          <w:color w:val="231F20"/>
          <w:spacing w:val="9"/>
          <w:w w:val="110"/>
          <w:sz w:val="18"/>
        </w:rPr>
        <w:t> </w:t>
      </w:r>
      <w:r>
        <w:rPr>
          <w:color w:val="231F20"/>
          <w:w w:val="110"/>
          <w:sz w:val="18"/>
        </w:rPr>
        <w:t>should</w:t>
      </w:r>
      <w:r>
        <w:rPr>
          <w:color w:val="231F20"/>
          <w:spacing w:val="9"/>
          <w:w w:val="110"/>
          <w:sz w:val="18"/>
        </w:rPr>
        <w:t> </w:t>
      </w:r>
      <w:r>
        <w:rPr>
          <w:color w:val="231F20"/>
          <w:w w:val="110"/>
          <w:sz w:val="18"/>
        </w:rPr>
        <w:t>be</w:t>
      </w:r>
      <w:r>
        <w:rPr>
          <w:color w:val="231F20"/>
          <w:spacing w:val="9"/>
          <w:w w:val="110"/>
          <w:sz w:val="18"/>
        </w:rPr>
        <w:t> </w:t>
      </w:r>
      <w:r>
        <w:rPr>
          <w:color w:val="231F20"/>
          <w:w w:val="110"/>
          <w:sz w:val="18"/>
        </w:rPr>
        <w:t>used</w:t>
      </w:r>
      <w:r>
        <w:rPr>
          <w:color w:val="231F20"/>
          <w:spacing w:val="9"/>
          <w:w w:val="110"/>
          <w:sz w:val="18"/>
        </w:rPr>
        <w:t> </w:t>
      </w:r>
      <w:r>
        <w:rPr>
          <w:color w:val="231F20"/>
          <w:w w:val="110"/>
          <w:sz w:val="18"/>
        </w:rPr>
        <w:t>to</w:t>
      </w:r>
      <w:r>
        <w:rPr>
          <w:color w:val="231F20"/>
          <w:spacing w:val="9"/>
          <w:w w:val="110"/>
          <w:sz w:val="18"/>
        </w:rPr>
        <w:t> </w:t>
      </w:r>
      <w:r>
        <w:rPr>
          <w:color w:val="231F20"/>
          <w:w w:val="110"/>
          <w:sz w:val="18"/>
        </w:rPr>
        <w:t>facilitate</w:t>
      </w:r>
      <w:r>
        <w:rPr>
          <w:color w:val="231F20"/>
          <w:spacing w:val="10"/>
          <w:w w:val="110"/>
          <w:sz w:val="18"/>
        </w:rPr>
        <w:t> </w:t>
      </w:r>
      <w:r>
        <w:rPr>
          <w:color w:val="231F20"/>
          <w:w w:val="110"/>
          <w:sz w:val="18"/>
        </w:rPr>
        <w:t>a</w:t>
      </w:r>
      <w:r>
        <w:rPr>
          <w:color w:val="231F20"/>
          <w:spacing w:val="9"/>
          <w:w w:val="110"/>
          <w:sz w:val="18"/>
        </w:rPr>
        <w:t> </w:t>
      </w:r>
      <w:r>
        <w:rPr>
          <w:color w:val="231F20"/>
          <w:w w:val="110"/>
          <w:sz w:val="18"/>
        </w:rPr>
        <w:t>person’s</w:t>
      </w:r>
      <w:r>
        <w:rPr>
          <w:color w:val="231F20"/>
          <w:spacing w:val="9"/>
          <w:w w:val="110"/>
          <w:sz w:val="18"/>
        </w:rPr>
        <w:t> </w:t>
      </w:r>
      <w:r>
        <w:rPr>
          <w:color w:val="231F20"/>
          <w:w w:val="110"/>
          <w:sz w:val="18"/>
        </w:rPr>
        <w:t>death.</w:t>
      </w:r>
    </w:p>
    <w:p>
      <w:pPr>
        <w:pStyle w:val="BodyText"/>
        <w:spacing w:before="9"/>
        <w:rPr>
          <w:sz w:val="20"/>
        </w:rPr>
      </w:pPr>
    </w:p>
    <w:p>
      <w:pPr>
        <w:pStyle w:val="ListParagraph"/>
        <w:numPr>
          <w:ilvl w:val="1"/>
          <w:numId w:val="101"/>
        </w:numPr>
        <w:tabs>
          <w:tab w:pos="2243" w:val="left" w:leader="none"/>
          <w:tab w:pos="2244" w:val="left" w:leader="none"/>
        </w:tabs>
        <w:spacing w:line="273" w:lineRule="auto" w:before="0" w:after="0"/>
        <w:ind w:left="2243" w:right="1552" w:hanging="681"/>
        <w:jc w:val="left"/>
        <w:rPr>
          <w:sz w:val="18"/>
        </w:rPr>
      </w:pPr>
      <w:r>
        <w:rPr>
          <w:color w:val="231F20"/>
          <w:spacing w:val="-3"/>
          <w:w w:val="110"/>
          <w:sz w:val="18"/>
        </w:rPr>
        <w:t>We </w:t>
      </w:r>
      <w:r>
        <w:rPr>
          <w:color w:val="231F20"/>
          <w:w w:val="110"/>
          <w:sz w:val="18"/>
        </w:rPr>
        <w:t>believe that additional </w:t>
      </w:r>
      <w:r>
        <w:rPr>
          <w:color w:val="231F20"/>
          <w:spacing w:val="2"/>
          <w:w w:val="110"/>
          <w:sz w:val="18"/>
        </w:rPr>
        <w:t>resources </w:t>
      </w:r>
      <w:r>
        <w:rPr>
          <w:color w:val="231F20"/>
          <w:w w:val="110"/>
          <w:sz w:val="18"/>
        </w:rPr>
        <w:t>are needed to provide more uniformly available and more high quality palliative</w:t>
      </w:r>
      <w:r>
        <w:rPr>
          <w:color w:val="231F20"/>
          <w:spacing w:val="11"/>
          <w:w w:val="110"/>
          <w:sz w:val="18"/>
        </w:rPr>
        <w:t> </w:t>
      </w:r>
      <w:r>
        <w:rPr>
          <w:color w:val="231F20"/>
          <w:w w:val="110"/>
          <w:sz w:val="18"/>
        </w:rPr>
        <w:t>care.</w:t>
      </w:r>
    </w:p>
    <w:p>
      <w:pPr>
        <w:pStyle w:val="BodyText"/>
        <w:spacing w:before="8"/>
        <w:rPr>
          <w:sz w:val="20"/>
        </w:rPr>
      </w:pPr>
    </w:p>
    <w:p>
      <w:pPr>
        <w:pStyle w:val="ListParagraph"/>
        <w:numPr>
          <w:ilvl w:val="1"/>
          <w:numId w:val="101"/>
        </w:numPr>
        <w:tabs>
          <w:tab w:pos="2243" w:val="left" w:leader="none"/>
          <w:tab w:pos="2244" w:val="left" w:leader="none"/>
        </w:tabs>
        <w:spacing w:line="273" w:lineRule="auto" w:before="0" w:after="0"/>
        <w:ind w:left="2243" w:right="1527" w:hanging="681"/>
        <w:jc w:val="left"/>
        <w:rPr>
          <w:sz w:val="18"/>
        </w:rPr>
      </w:pPr>
      <w:r>
        <w:rPr>
          <w:color w:val="231F20"/>
          <w:spacing w:val="-3"/>
          <w:w w:val="110"/>
          <w:sz w:val="18"/>
        </w:rPr>
        <w:t>We </w:t>
      </w:r>
      <w:r>
        <w:rPr>
          <w:color w:val="231F20"/>
          <w:w w:val="110"/>
          <w:sz w:val="18"/>
        </w:rPr>
        <w:t>recognise the valuable contribution made by </w:t>
      </w:r>
      <w:r>
        <w:rPr>
          <w:color w:val="231F20"/>
          <w:spacing w:val="2"/>
          <w:w w:val="110"/>
          <w:sz w:val="18"/>
        </w:rPr>
        <w:t>carers. </w:t>
      </w:r>
      <w:r>
        <w:rPr>
          <w:color w:val="231F20"/>
          <w:spacing w:val="-3"/>
          <w:w w:val="110"/>
          <w:sz w:val="18"/>
        </w:rPr>
        <w:t>We </w:t>
      </w:r>
      <w:r>
        <w:rPr>
          <w:color w:val="231F20"/>
          <w:w w:val="110"/>
          <w:sz w:val="18"/>
        </w:rPr>
        <w:t>express our prayerful </w:t>
      </w:r>
      <w:r>
        <w:rPr>
          <w:color w:val="231F20"/>
          <w:spacing w:val="2"/>
          <w:w w:val="110"/>
          <w:sz w:val="18"/>
        </w:rPr>
        <w:t>support </w:t>
      </w:r>
      <w:r>
        <w:rPr>
          <w:color w:val="231F20"/>
          <w:w w:val="110"/>
          <w:sz w:val="18"/>
        </w:rPr>
        <w:t>for those who work in, and promote hospices, and others who care, </w:t>
      </w:r>
      <w:r>
        <w:rPr>
          <w:color w:val="231F20"/>
          <w:spacing w:val="2"/>
          <w:w w:val="110"/>
          <w:sz w:val="18"/>
        </w:rPr>
        <w:t>befriend </w:t>
      </w:r>
      <w:r>
        <w:rPr>
          <w:color w:val="231F20"/>
          <w:w w:val="110"/>
          <w:sz w:val="18"/>
        </w:rPr>
        <w:t>and provide support for the</w:t>
      </w:r>
      <w:r>
        <w:rPr>
          <w:color w:val="231F20"/>
          <w:spacing w:val="20"/>
          <w:w w:val="110"/>
          <w:sz w:val="18"/>
        </w:rPr>
        <w:t> </w:t>
      </w:r>
      <w:r>
        <w:rPr>
          <w:color w:val="231F20"/>
          <w:w w:val="110"/>
          <w:sz w:val="18"/>
        </w:rPr>
        <w:t>dying.</w:t>
      </w:r>
    </w:p>
    <w:p>
      <w:pPr>
        <w:spacing w:after="0" w:line="273" w:lineRule="auto"/>
        <w:jc w:val="left"/>
        <w:rPr>
          <w:sz w:val="18"/>
        </w:rPr>
        <w:sectPr>
          <w:headerReference w:type="default" r:id="rId242"/>
          <w:footerReference w:type="default" r:id="rId243"/>
          <w:pgSz w:w="11910" w:h="16840"/>
          <w:pgMar w:header="0" w:footer="564" w:top="460" w:bottom="760" w:left="460" w:right="0"/>
          <w:pgNumType w:start="167"/>
        </w:sectPr>
      </w:pPr>
    </w:p>
    <w:p>
      <w:pPr>
        <w:pStyle w:val="BodyText"/>
        <w:spacing w:before="5"/>
        <w:rPr>
          <w:sz w:val="16"/>
        </w:rPr>
      </w:pPr>
      <w:r>
        <w:rPr/>
        <w:pict>
          <v:shape style="position:absolute;margin-left:67.181099pt;margin-top:77.641014pt;width:506pt;height:578.4pt;mso-position-horizontal-relative:page;mso-position-vertical-relative:page;z-index:-275410944" type="#_x0000_t202" filled="false" stroked="false">
            <v:textbox inset="0,0,0,0">
              <w:txbxContent>
                <w:p>
                  <w:pPr>
                    <w:spacing w:line="9" w:lineRule="exact" w:before="0"/>
                    <w:ind w:left="9146" w:right="0" w:firstLine="0"/>
                    <w:jc w:val="left"/>
                    <w:rPr>
                      <w:b/>
                      <w:sz w:val="80"/>
                    </w:rPr>
                  </w:pPr>
                  <w:bookmarkStart w:name="_bookmark0" w:id="1"/>
                  <w:bookmarkEnd w:id="1"/>
                  <w:r>
                    <w:rPr/>
                  </w:r>
                  <w:r>
                    <w:rPr>
                      <w:b/>
                      <w:w w:val="99"/>
                      <w:sz w:val="80"/>
                    </w:rPr>
                    <w:t>A</w:t>
                  </w:r>
                </w:p>
                <w:p>
                  <w:pPr>
                    <w:spacing w:line="115" w:lineRule="auto" w:before="223"/>
                    <w:ind w:left="9146" w:right="225" w:firstLine="0"/>
                    <w:jc w:val="left"/>
                    <w:rPr>
                      <w:b/>
                      <w:sz w:val="80"/>
                    </w:rPr>
                  </w:pPr>
                  <w:r>
                    <w:rPr>
                      <w:b/>
                      <w:sz w:val="80"/>
                    </w:rPr>
                    <w:t>s s</w:t>
                  </w:r>
                </w:p>
                <w:p>
                  <w:pPr>
                    <w:spacing w:line="64" w:lineRule="auto" w:before="162"/>
                    <w:ind w:left="9146" w:right="225" w:firstLine="0"/>
                    <w:jc w:val="left"/>
                    <w:rPr>
                      <w:b/>
                      <w:sz w:val="80"/>
                    </w:rPr>
                  </w:pPr>
                  <w:r>
                    <w:rPr>
                      <w:b/>
                      <w:sz w:val="80"/>
                    </w:rPr>
                    <w:t>i s</w:t>
                  </w:r>
                </w:p>
                <w:p>
                  <w:pPr>
                    <w:spacing w:line="86" w:lineRule="auto" w:before="125"/>
                    <w:ind w:left="9146" w:right="225" w:firstLine="0"/>
                    <w:jc w:val="left"/>
                    <w:rPr>
                      <w:b/>
                      <w:sz w:val="80"/>
                    </w:rPr>
                  </w:pPr>
                  <w:r>
                    <w:rPr>
                      <w:b/>
                      <w:sz w:val="80"/>
                    </w:rPr>
                    <w:t>t e</w:t>
                  </w:r>
                </w:p>
                <w:p>
                  <w:pPr>
                    <w:tabs>
                      <w:tab w:pos="6546" w:val="left" w:leader="none"/>
                      <w:tab w:pos="9146" w:val="left" w:leader="none"/>
                    </w:tabs>
                    <w:spacing w:line="842" w:lineRule="exact" w:before="0"/>
                    <w:ind w:left="65" w:right="0" w:firstLine="0"/>
                    <w:jc w:val="left"/>
                    <w:rPr>
                      <w:b/>
                      <w:sz w:val="80"/>
                    </w:rPr>
                  </w:pPr>
                  <w:r>
                    <w:rPr>
                      <w:b/>
                      <w:color w:val="FFFFFF"/>
                      <w:spacing w:val="2"/>
                      <w:w w:val="111"/>
                      <w:position w:val="19"/>
                      <w:sz w:val="43"/>
                    </w:rPr>
                    <w:t>R</w:t>
                  </w:r>
                  <w:r>
                    <w:rPr>
                      <w:b/>
                      <w:color w:val="FFFFFF"/>
                      <w:spacing w:val="1"/>
                      <w:w w:val="111"/>
                      <w:position w:val="19"/>
                      <w:sz w:val="43"/>
                    </w:rPr>
                    <w:t>E</w:t>
                  </w:r>
                  <w:r>
                    <w:rPr>
                      <w:b/>
                      <w:color w:val="FFFFFF"/>
                      <w:w w:val="111"/>
                      <w:position w:val="19"/>
                      <w:sz w:val="43"/>
                    </w:rPr>
                    <w:t>S</w:t>
                  </w:r>
                  <w:r>
                    <w:rPr>
                      <w:b/>
                      <w:color w:val="FFFFFF"/>
                      <w:spacing w:val="-4"/>
                      <w:w w:val="111"/>
                      <w:position w:val="19"/>
                      <w:sz w:val="43"/>
                    </w:rPr>
                    <w:t>O</w:t>
                  </w:r>
                  <w:r>
                    <w:rPr>
                      <w:b/>
                      <w:color w:val="FFFFFF"/>
                      <w:spacing w:val="-6"/>
                      <w:w w:val="111"/>
                      <w:position w:val="19"/>
                      <w:sz w:val="43"/>
                    </w:rPr>
                    <w:t>L</w:t>
                  </w:r>
                  <w:r>
                    <w:rPr>
                      <w:b/>
                      <w:color w:val="FFFFFF"/>
                      <w:spacing w:val="-2"/>
                      <w:w w:val="111"/>
                      <w:position w:val="19"/>
                      <w:sz w:val="43"/>
                    </w:rPr>
                    <w:t>U</w:t>
                  </w:r>
                  <w:r>
                    <w:rPr>
                      <w:b/>
                      <w:color w:val="FFFFFF"/>
                      <w:spacing w:val="3"/>
                      <w:w w:val="111"/>
                      <w:position w:val="19"/>
                      <w:sz w:val="43"/>
                    </w:rPr>
                    <w:t>T</w:t>
                  </w:r>
                  <w:r>
                    <w:rPr>
                      <w:b/>
                      <w:color w:val="FFFFFF"/>
                      <w:spacing w:val="-15"/>
                      <w:w w:val="111"/>
                      <w:position w:val="19"/>
                      <w:sz w:val="43"/>
                    </w:rPr>
                    <w:t>I</w:t>
                  </w:r>
                  <w:r>
                    <w:rPr>
                      <w:b/>
                      <w:color w:val="FFFFFF"/>
                      <w:spacing w:val="-89"/>
                      <w:w w:val="111"/>
                      <w:position w:val="19"/>
                      <w:sz w:val="43"/>
                    </w:rPr>
                    <w:t>O</w:t>
                  </w:r>
                  <w:r>
                    <w:rPr>
                      <w:b/>
                      <w:spacing w:val="-313"/>
                      <w:w w:val="112"/>
                      <w:sz w:val="50"/>
                    </w:rPr>
                    <w:t>5</w:t>
                  </w:r>
                  <w:r>
                    <w:rPr>
                      <w:b/>
                      <w:color w:val="FFFFFF"/>
                      <w:spacing w:val="-128"/>
                      <w:w w:val="111"/>
                      <w:position w:val="19"/>
                      <w:sz w:val="43"/>
                    </w:rPr>
                    <w:t>N</w:t>
                  </w:r>
                  <w:r>
                    <w:rPr>
                      <w:b/>
                      <w:w w:val="112"/>
                      <w:sz w:val="50"/>
                    </w:rPr>
                    <w:t>1</w:t>
                  </w:r>
                  <w:r>
                    <w:rPr>
                      <w:b/>
                      <w:sz w:val="50"/>
                    </w:rPr>
                    <w:tab/>
                  </w:r>
                  <w:r>
                    <w:rPr>
                      <w:b/>
                      <w:spacing w:val="5"/>
                      <w:w w:val="109"/>
                      <w:sz w:val="20"/>
                    </w:rPr>
                    <w:t>A</w:t>
                  </w:r>
                  <w:r>
                    <w:rPr>
                      <w:b/>
                      <w:spacing w:val="4"/>
                      <w:w w:val="109"/>
                      <w:sz w:val="20"/>
                    </w:rPr>
                    <w:t>s</w:t>
                  </w:r>
                  <w:r>
                    <w:rPr>
                      <w:b/>
                      <w:spacing w:val="2"/>
                      <w:w w:val="109"/>
                      <w:sz w:val="20"/>
                    </w:rPr>
                    <w:t>s</w:t>
                  </w:r>
                  <w:r>
                    <w:rPr>
                      <w:b/>
                      <w:spacing w:val="2"/>
                      <w:w w:val="110"/>
                      <w:sz w:val="20"/>
                    </w:rPr>
                    <w:t>i</w:t>
                  </w:r>
                  <w:r>
                    <w:rPr>
                      <w:b/>
                      <w:spacing w:val="3"/>
                      <w:w w:val="109"/>
                      <w:sz w:val="20"/>
                    </w:rPr>
                    <w:t>s</w:t>
                  </w:r>
                  <w:r>
                    <w:rPr>
                      <w:b/>
                      <w:spacing w:val="2"/>
                      <w:w w:val="110"/>
                      <w:sz w:val="20"/>
                    </w:rPr>
                    <w:t>t</w:t>
                  </w:r>
                  <w:r>
                    <w:rPr>
                      <w:b/>
                      <w:spacing w:val="3"/>
                      <w:w w:val="109"/>
                      <w:sz w:val="20"/>
                    </w:rPr>
                    <w:t>e</w:t>
                  </w:r>
                  <w:r>
                    <w:rPr>
                      <w:b/>
                      <w:w w:val="109"/>
                      <w:sz w:val="20"/>
                    </w:rPr>
                    <w:t>d</w:t>
                  </w:r>
                  <w:r>
                    <w:rPr>
                      <w:b/>
                      <w:spacing w:val="6"/>
                      <w:sz w:val="20"/>
                    </w:rPr>
                    <w:t> </w:t>
                  </w:r>
                  <w:r>
                    <w:rPr>
                      <w:b/>
                      <w:spacing w:val="1"/>
                      <w:w w:val="109"/>
                      <w:sz w:val="20"/>
                    </w:rPr>
                    <w:t>D</w:t>
                  </w:r>
                  <w:r>
                    <w:rPr>
                      <w:b/>
                      <w:w w:val="110"/>
                      <w:sz w:val="20"/>
                    </w:rPr>
                    <w:t>y</w:t>
                  </w:r>
                  <w:r>
                    <w:rPr>
                      <w:b/>
                      <w:spacing w:val="-1"/>
                      <w:w w:val="110"/>
                      <w:sz w:val="20"/>
                    </w:rPr>
                    <w:t>i</w:t>
                  </w:r>
                  <w:r>
                    <w:rPr>
                      <w:b/>
                      <w:spacing w:val="1"/>
                      <w:w w:val="109"/>
                      <w:sz w:val="20"/>
                    </w:rPr>
                    <w:t>n</w:t>
                  </w:r>
                  <w:r>
                    <w:rPr>
                      <w:b/>
                      <w:w w:val="109"/>
                      <w:sz w:val="20"/>
                    </w:rPr>
                    <w:t>g</w:t>
                  </w:r>
                  <w:r>
                    <w:rPr>
                      <w:b/>
                      <w:sz w:val="20"/>
                    </w:rPr>
                    <w:tab/>
                  </w:r>
                  <w:r>
                    <w:rPr>
                      <w:b/>
                      <w:w w:val="99"/>
                      <w:position w:val="64"/>
                      <w:sz w:val="80"/>
                    </w:rPr>
                    <w:t>d</w:t>
                  </w:r>
                </w:p>
                <w:p>
                  <w:pPr>
                    <w:pStyle w:val="BodyText"/>
                    <w:tabs>
                      <w:tab w:pos="9146" w:val="left" w:leader="none"/>
                    </w:tabs>
                    <w:spacing w:line="797" w:lineRule="exact"/>
                    <w:rPr>
                      <w:b/>
                      <w:sz w:val="80"/>
                    </w:rPr>
                  </w:pPr>
                  <w:r>
                    <w:rPr>
                      <w:w w:val="110"/>
                    </w:rPr>
                    <w:t>General Assembly </w:t>
                  </w:r>
                  <w:r>
                    <w:rPr>
                      <w:spacing w:val="2"/>
                      <w:w w:val="110"/>
                    </w:rPr>
                    <w:t>affirms </w:t>
                  </w:r>
                  <w:r>
                    <w:rPr>
                      <w:w w:val="110"/>
                    </w:rPr>
                    <w:t>the </w:t>
                  </w:r>
                  <w:r>
                    <w:rPr>
                      <w:spacing w:val="3"/>
                      <w:w w:val="110"/>
                    </w:rPr>
                    <w:t>report </w:t>
                  </w:r>
                  <w:r>
                    <w:rPr>
                      <w:spacing w:val="2"/>
                      <w:w w:val="110"/>
                    </w:rPr>
                    <w:t>Assisted </w:t>
                  </w:r>
                  <w:r>
                    <w:rPr>
                      <w:w w:val="110"/>
                    </w:rPr>
                    <w:t>Dying, as encapsulated</w:t>
                  </w:r>
                  <w:r>
                    <w:rPr>
                      <w:spacing w:val="58"/>
                      <w:w w:val="110"/>
                    </w:rPr>
                    <w:t> </w:t>
                  </w:r>
                  <w:r>
                    <w:rPr>
                      <w:w w:val="110"/>
                    </w:rPr>
                    <w:t>in</w:t>
                  </w:r>
                  <w:r>
                    <w:rPr>
                      <w:spacing w:val="7"/>
                      <w:w w:val="110"/>
                    </w:rPr>
                    <w:t> </w:t>
                  </w:r>
                  <w:r>
                    <w:rPr>
                      <w:w w:val="110"/>
                    </w:rPr>
                    <w:t>the</w:t>
                    <w:tab/>
                  </w:r>
                  <w:r>
                    <w:rPr>
                      <w:b/>
                      <w:w w:val="110"/>
                      <w:position w:val="32"/>
                      <w:sz w:val="80"/>
                    </w:rPr>
                    <w:t>D</w:t>
                  </w:r>
                </w:p>
                <w:p>
                  <w:pPr>
                    <w:pStyle w:val="BodyText"/>
                    <w:spacing w:line="162" w:lineRule="exact"/>
                  </w:pPr>
                  <w:r>
                    <w:rPr>
                      <w:w w:val="110"/>
                    </w:rPr>
                    <w:t>following statements:</w:t>
                  </w:r>
                </w:p>
                <w:p>
                  <w:pPr>
                    <w:pStyle w:val="BodyText"/>
                    <w:tabs>
                      <w:tab w:pos="9146" w:val="left" w:leader="none"/>
                    </w:tabs>
                    <w:spacing w:line="60" w:lineRule="auto" w:before="26"/>
                    <w:jc w:val="both"/>
                    <w:rPr>
                      <w:b/>
                      <w:sz w:val="80"/>
                    </w:rPr>
                  </w:pPr>
                  <w:r>
                    <w:rPr>
                      <w:spacing w:val="-5"/>
                      <w:w w:val="111"/>
                    </w:rPr>
                    <w:t>i</w:t>
                  </w:r>
                  <w:r>
                    <w:rPr>
                      <w:w w:val="111"/>
                    </w:rPr>
                    <w:t>)</w:t>
                  </w:r>
                  <w:r>
                    <w:rPr/>
                    <w:t>        </w:t>
                  </w:r>
                  <w:r>
                    <w:rPr>
                      <w:spacing w:val="9"/>
                    </w:rPr>
                    <w:t> </w:t>
                  </w:r>
                  <w:r>
                    <w:rPr>
                      <w:spacing w:val="6"/>
                      <w:w w:val="111"/>
                    </w:rPr>
                    <w:t>A</w:t>
                  </w:r>
                  <w:r>
                    <w:rPr>
                      <w:w w:val="111"/>
                    </w:rPr>
                    <w:t>s</w:t>
                  </w:r>
                  <w:r>
                    <w:rPr>
                      <w:spacing w:val="7"/>
                    </w:rPr>
                    <w:t> </w:t>
                  </w:r>
                  <w:r>
                    <w:rPr>
                      <w:spacing w:val="2"/>
                      <w:w w:val="111"/>
                    </w:rPr>
                    <w:t>C</w:t>
                  </w:r>
                  <w:r>
                    <w:rPr>
                      <w:w w:val="111"/>
                    </w:rPr>
                    <w:t>h</w:t>
                  </w:r>
                  <w:r>
                    <w:rPr>
                      <w:spacing w:val="4"/>
                      <w:w w:val="111"/>
                    </w:rPr>
                    <w:t>r</w:t>
                  </w:r>
                  <w:r>
                    <w:rPr>
                      <w:spacing w:val="1"/>
                      <w:w w:val="111"/>
                    </w:rPr>
                    <w:t>i</w:t>
                  </w:r>
                  <w:r>
                    <w:rPr>
                      <w:spacing w:val="3"/>
                      <w:w w:val="111"/>
                    </w:rPr>
                    <w:t>s</w:t>
                  </w:r>
                  <w:r>
                    <w:rPr>
                      <w:spacing w:val="2"/>
                      <w:w w:val="111"/>
                    </w:rPr>
                    <w:t>t</w:t>
                  </w:r>
                  <w:r>
                    <w:rPr>
                      <w:spacing w:val="-1"/>
                      <w:w w:val="111"/>
                    </w:rPr>
                    <w:t>i</w:t>
                  </w:r>
                  <w:r>
                    <w:rPr>
                      <w:w w:val="111"/>
                    </w:rPr>
                    <w:t>a</w:t>
                  </w:r>
                  <w:r>
                    <w:rPr>
                      <w:spacing w:val="1"/>
                      <w:w w:val="111"/>
                    </w:rPr>
                    <w:t>n</w:t>
                  </w:r>
                  <w:r>
                    <w:rPr>
                      <w:w w:val="111"/>
                    </w:rPr>
                    <w:t>s</w:t>
                  </w:r>
                  <w:r>
                    <w:rPr>
                      <w:spacing w:val="7"/>
                    </w:rPr>
                    <w:t> </w:t>
                  </w:r>
                  <w:r>
                    <w:rPr>
                      <w:spacing w:val="-2"/>
                      <w:w w:val="111"/>
                    </w:rPr>
                    <w:t>w</w:t>
                  </w:r>
                  <w:r>
                    <w:rPr>
                      <w:w w:val="111"/>
                    </w:rPr>
                    <w:t>e</w:t>
                  </w:r>
                  <w:r>
                    <w:rPr>
                      <w:spacing w:val="7"/>
                    </w:rPr>
                    <w:t> </w:t>
                  </w:r>
                  <w:r>
                    <w:rPr>
                      <w:spacing w:val="4"/>
                      <w:w w:val="111"/>
                    </w:rPr>
                    <w:t>r</w:t>
                  </w:r>
                  <w:r>
                    <w:rPr>
                      <w:spacing w:val="3"/>
                      <w:w w:val="111"/>
                    </w:rPr>
                    <w:t>e</w:t>
                  </w:r>
                  <w:r>
                    <w:rPr>
                      <w:w w:val="111"/>
                    </w:rPr>
                    <w:t>ga</w:t>
                  </w:r>
                  <w:r>
                    <w:rPr>
                      <w:spacing w:val="4"/>
                      <w:w w:val="111"/>
                    </w:rPr>
                    <w:t>r</w:t>
                  </w:r>
                  <w:r>
                    <w:rPr>
                      <w:w w:val="111"/>
                    </w:rPr>
                    <w:t>d</w:t>
                  </w:r>
                  <w:r>
                    <w:rPr>
                      <w:spacing w:val="7"/>
                    </w:rPr>
                    <w:t> </w:t>
                  </w:r>
                  <w:r>
                    <w:rPr>
                      <w:w w:val="111"/>
                    </w:rPr>
                    <w:t>a</w:t>
                  </w:r>
                  <w:r>
                    <w:rPr>
                      <w:spacing w:val="-1"/>
                      <w:w w:val="111"/>
                    </w:rPr>
                    <w:t>l</w:t>
                  </w:r>
                  <w:r>
                    <w:rPr>
                      <w:w w:val="111"/>
                    </w:rPr>
                    <w:t>l</w:t>
                  </w:r>
                  <w:r>
                    <w:rPr>
                      <w:spacing w:val="6"/>
                    </w:rPr>
                    <w:t> </w:t>
                  </w:r>
                  <w:r>
                    <w:rPr>
                      <w:w w:val="111"/>
                    </w:rPr>
                    <w:t>human</w:t>
                  </w:r>
                  <w:r>
                    <w:rPr>
                      <w:spacing w:val="7"/>
                    </w:rPr>
                    <w:t> </w:t>
                  </w:r>
                  <w:r>
                    <w:rPr>
                      <w:spacing w:val="-1"/>
                      <w:w w:val="111"/>
                    </w:rPr>
                    <w:t>l</w:t>
                  </w:r>
                  <w:r>
                    <w:rPr>
                      <w:w w:val="111"/>
                    </w:rPr>
                    <w:t>i</w:t>
                  </w:r>
                  <w:r>
                    <w:rPr>
                      <w:spacing w:val="2"/>
                      <w:w w:val="111"/>
                    </w:rPr>
                    <w:t>f</w:t>
                  </w:r>
                  <w:r>
                    <w:rPr>
                      <w:w w:val="111"/>
                    </w:rPr>
                    <w:t>e</w:t>
                  </w:r>
                  <w:r>
                    <w:rPr>
                      <w:spacing w:val="7"/>
                    </w:rPr>
                    <w:t> </w:t>
                  </w:r>
                  <w:r>
                    <w:rPr>
                      <w:spacing w:val="1"/>
                      <w:w w:val="111"/>
                    </w:rPr>
                    <w:t>a</w:t>
                  </w:r>
                  <w:r>
                    <w:rPr>
                      <w:w w:val="111"/>
                    </w:rPr>
                    <w:t>s</w:t>
                  </w:r>
                  <w:r>
                    <w:rPr>
                      <w:spacing w:val="7"/>
                    </w:rPr>
                    <w:t> </w:t>
                  </w:r>
                  <w:r>
                    <w:rPr>
                      <w:spacing w:val="3"/>
                      <w:w w:val="111"/>
                    </w:rPr>
                    <w:t>b</w:t>
                  </w:r>
                  <w:r>
                    <w:rPr>
                      <w:spacing w:val="2"/>
                      <w:w w:val="111"/>
                    </w:rPr>
                    <w:t>e</w:t>
                  </w:r>
                  <w:r>
                    <w:rPr>
                      <w:spacing w:val="-1"/>
                      <w:w w:val="111"/>
                    </w:rPr>
                    <w:t>i</w:t>
                  </w:r>
                  <w:r>
                    <w:rPr>
                      <w:spacing w:val="1"/>
                      <w:w w:val="111"/>
                    </w:rPr>
                    <w:t>n</w:t>
                  </w:r>
                  <w:r>
                    <w:rPr>
                      <w:w w:val="111"/>
                    </w:rPr>
                    <w:t>g</w:t>
                  </w:r>
                  <w:r>
                    <w:rPr>
                      <w:spacing w:val="7"/>
                    </w:rPr>
                    <w:t> </w:t>
                  </w:r>
                  <w:r>
                    <w:rPr>
                      <w:spacing w:val="3"/>
                      <w:w w:val="111"/>
                    </w:rPr>
                    <w:t>Go</w:t>
                  </w:r>
                  <w:r>
                    <w:rPr>
                      <w:w w:val="111"/>
                    </w:rPr>
                    <w:t>d</w:t>
                  </w:r>
                  <w:r>
                    <w:rPr>
                      <w:spacing w:val="7"/>
                    </w:rPr>
                    <w:t> </w:t>
                  </w:r>
                  <w:r>
                    <w:rPr>
                      <w:w w:val="111"/>
                    </w:rPr>
                    <w:t>g</w:t>
                  </w:r>
                  <w:r>
                    <w:rPr>
                      <w:spacing w:val="1"/>
                      <w:w w:val="111"/>
                    </w:rPr>
                    <w:t>i</w:t>
                  </w:r>
                  <w:r>
                    <w:rPr>
                      <w:spacing w:val="-3"/>
                      <w:w w:val="111"/>
                    </w:rPr>
                    <w:t>v</w:t>
                  </w:r>
                  <w:r>
                    <w:rPr>
                      <w:spacing w:val="2"/>
                      <w:w w:val="111"/>
                    </w:rPr>
                    <w:t>e</w:t>
                  </w:r>
                  <w:r>
                    <w:rPr>
                      <w:spacing w:val="-4"/>
                      <w:w w:val="111"/>
                    </w:rPr>
                    <w:t>n</w:t>
                  </w:r>
                  <w:r>
                    <w:rPr>
                      <w:w w:val="111"/>
                    </w:rPr>
                    <w:t>,</w:t>
                  </w:r>
                  <w:r>
                    <w:rPr>
                      <w:spacing w:val="7"/>
                    </w:rPr>
                    <w:t> </w:t>
                  </w:r>
                  <w:r>
                    <w:rPr>
                      <w:w w:val="111"/>
                    </w:rPr>
                    <w:t>a</w:t>
                  </w:r>
                  <w:r>
                    <w:rPr>
                      <w:spacing w:val="1"/>
                      <w:w w:val="111"/>
                    </w:rPr>
                    <w:t>n</w:t>
                  </w:r>
                  <w:r>
                    <w:rPr>
                      <w:w w:val="111"/>
                    </w:rPr>
                    <w:t>d</w:t>
                  </w:r>
                  <w:r>
                    <w:rPr>
                      <w:spacing w:val="7"/>
                    </w:rPr>
                    <w:t> </w:t>
                  </w:r>
                  <w:r>
                    <w:rPr>
                      <w:spacing w:val="2"/>
                      <w:w w:val="111"/>
                    </w:rPr>
                    <w:t>t</w:t>
                  </w:r>
                  <w:r>
                    <w:rPr>
                      <w:spacing w:val="1"/>
                      <w:w w:val="111"/>
                    </w:rPr>
                    <w:t>h</w:t>
                  </w:r>
                  <w:r>
                    <w:rPr>
                      <w:spacing w:val="2"/>
                      <w:w w:val="111"/>
                    </w:rPr>
                    <w:t>e</w:t>
                  </w:r>
                  <w:r>
                    <w:rPr>
                      <w:spacing w:val="4"/>
                      <w:w w:val="111"/>
                    </w:rPr>
                    <w:t>r</w:t>
                  </w:r>
                  <w:r>
                    <w:rPr>
                      <w:spacing w:val="2"/>
                      <w:w w:val="111"/>
                    </w:rPr>
                    <w:t>e</w:t>
                  </w:r>
                  <w:r>
                    <w:rPr>
                      <w:spacing w:val="3"/>
                      <w:w w:val="111"/>
                    </w:rPr>
                    <w:t>f</w:t>
                  </w:r>
                  <w:r>
                    <w:rPr>
                      <w:spacing w:val="1"/>
                      <w:w w:val="111"/>
                    </w:rPr>
                    <w:t>o</w:t>
                  </w:r>
                  <w:r>
                    <w:rPr>
                      <w:spacing w:val="4"/>
                      <w:w w:val="111"/>
                    </w:rPr>
                    <w:t>r</w:t>
                  </w:r>
                  <w:r>
                    <w:rPr>
                      <w:w w:val="111"/>
                    </w:rPr>
                    <w:t>e</w:t>
                  </w:r>
                  <w:r>
                    <w:rPr/>
                    <w:t>         </w:t>
                  </w:r>
                  <w:r>
                    <w:rPr>
                      <w:spacing w:val="26"/>
                    </w:rPr>
                    <w:t> </w:t>
                  </w:r>
                  <w:r>
                    <w:rPr>
                      <w:rFonts w:ascii="Eurostile Bold"/>
                      <w:b/>
                      <w:color w:val="ACACAC"/>
                      <w:spacing w:val="-50"/>
                      <w:w w:val="85"/>
                      <w:position w:val="41"/>
                      <w:sz w:val="36"/>
                    </w:rPr>
                    <w:t>Genera</w:t>
                  </w:r>
                  <w:r>
                    <w:rPr>
                      <w:rFonts w:ascii="Eurostile Bold"/>
                      <w:b/>
                      <w:color w:val="ACACAC"/>
                      <w:spacing w:val="-51"/>
                      <w:w w:val="85"/>
                      <w:position w:val="41"/>
                      <w:sz w:val="36"/>
                    </w:rPr>
                    <w:t>l</w:t>
                  </w:r>
                  <w:r>
                    <w:rPr>
                      <w:b/>
                      <w:spacing w:val="-49"/>
                      <w:position w:val="42"/>
                      <w:sz w:val="80"/>
                    </w:rPr>
                    <w:t>y</w:t>
                  </w:r>
                  <w:r>
                    <w:rPr>
                      <w:b/>
                      <w:position w:val="42"/>
                      <w:sz w:val="80"/>
                    </w:rPr>
                    <w:t> </w:t>
                  </w:r>
                  <w:r>
                    <w:rPr>
                      <w:w w:val="105"/>
                    </w:rPr>
                    <w:t>precious;</w:t>
                  </w:r>
                  <w:r>
                    <w:rPr>
                      <w:spacing w:val="20"/>
                      <w:w w:val="105"/>
                    </w:rPr>
                    <w:t> </w:t>
                  </w:r>
                  <w:r>
                    <w:rPr>
                      <w:w w:val="105"/>
                    </w:rPr>
                    <w:t>we</w:t>
                  </w:r>
                  <w:r>
                    <w:rPr>
                      <w:spacing w:val="20"/>
                      <w:w w:val="105"/>
                    </w:rPr>
                    <w:t> </w:t>
                  </w:r>
                  <w:r>
                    <w:rPr>
                      <w:w w:val="105"/>
                    </w:rPr>
                    <w:t>believe</w:t>
                  </w:r>
                  <w:r>
                    <w:rPr>
                      <w:spacing w:val="20"/>
                      <w:w w:val="105"/>
                    </w:rPr>
                    <w:t> </w:t>
                  </w:r>
                  <w:r>
                    <w:rPr>
                      <w:w w:val="105"/>
                    </w:rPr>
                    <w:t>that</w:t>
                  </w:r>
                  <w:r>
                    <w:rPr>
                      <w:spacing w:val="20"/>
                      <w:w w:val="105"/>
                    </w:rPr>
                    <w:t> </w:t>
                  </w:r>
                  <w:r>
                    <w:rPr>
                      <w:w w:val="105"/>
                    </w:rPr>
                    <w:t>death</w:t>
                  </w:r>
                  <w:r>
                    <w:rPr>
                      <w:spacing w:val="20"/>
                      <w:w w:val="105"/>
                    </w:rPr>
                    <w:t> </w:t>
                  </w:r>
                  <w:r>
                    <w:rPr>
                      <w:w w:val="105"/>
                    </w:rPr>
                    <w:t>is</w:t>
                  </w:r>
                  <w:r>
                    <w:rPr>
                      <w:spacing w:val="20"/>
                      <w:w w:val="105"/>
                    </w:rPr>
                    <w:t> </w:t>
                  </w:r>
                  <w:r>
                    <w:rPr>
                      <w:w w:val="105"/>
                    </w:rPr>
                    <w:t>not</w:t>
                  </w:r>
                  <w:r>
                    <w:rPr>
                      <w:spacing w:val="21"/>
                      <w:w w:val="105"/>
                    </w:rPr>
                    <w:t> </w:t>
                  </w:r>
                  <w:r>
                    <w:rPr>
                      <w:w w:val="105"/>
                    </w:rPr>
                    <w:t>the</w:t>
                  </w:r>
                  <w:r>
                    <w:rPr>
                      <w:spacing w:val="20"/>
                      <w:w w:val="105"/>
                    </w:rPr>
                    <w:t> </w:t>
                  </w:r>
                  <w:r>
                    <w:rPr>
                      <w:w w:val="105"/>
                    </w:rPr>
                    <w:t>end</w:t>
                  </w:r>
                  <w:r>
                    <w:rPr>
                      <w:spacing w:val="20"/>
                      <w:w w:val="105"/>
                    </w:rPr>
                    <w:t> </w:t>
                  </w:r>
                  <w:r>
                    <w:rPr>
                      <w:w w:val="105"/>
                    </w:rPr>
                    <w:t>and</w:t>
                  </w:r>
                  <w:r>
                    <w:rPr>
                      <w:spacing w:val="20"/>
                      <w:w w:val="105"/>
                    </w:rPr>
                    <w:t> </w:t>
                  </w:r>
                  <w:r>
                    <w:rPr>
                      <w:w w:val="105"/>
                    </w:rPr>
                    <w:t>we</w:t>
                  </w:r>
                  <w:r>
                    <w:rPr>
                      <w:spacing w:val="20"/>
                      <w:w w:val="105"/>
                    </w:rPr>
                    <w:t> </w:t>
                  </w:r>
                  <w:r>
                    <w:rPr>
                      <w:w w:val="105"/>
                    </w:rPr>
                    <w:t>have</w:t>
                  </w:r>
                  <w:r>
                    <w:rPr>
                      <w:spacing w:val="20"/>
                      <w:w w:val="105"/>
                    </w:rPr>
                    <w:t> </w:t>
                  </w:r>
                  <w:r>
                    <w:rPr>
                      <w:w w:val="105"/>
                    </w:rPr>
                    <w:t>faith</w:t>
                  </w:r>
                  <w:r>
                    <w:rPr>
                      <w:spacing w:val="20"/>
                      <w:w w:val="105"/>
                    </w:rPr>
                    <w:t> </w:t>
                  </w:r>
                  <w:r>
                    <w:rPr>
                      <w:w w:val="105"/>
                    </w:rPr>
                    <w:t>that</w:t>
                  </w:r>
                  <w:r>
                    <w:rPr>
                      <w:spacing w:val="21"/>
                      <w:w w:val="105"/>
                    </w:rPr>
                    <w:t> </w:t>
                  </w:r>
                  <w:r>
                    <w:rPr>
                      <w:w w:val="105"/>
                    </w:rPr>
                    <w:t>there</w:t>
                  </w:r>
                  <w:r>
                    <w:rPr>
                      <w:spacing w:val="20"/>
                      <w:w w:val="105"/>
                    </w:rPr>
                    <w:t> </w:t>
                  </w:r>
                  <w:r>
                    <w:rPr>
                      <w:w w:val="105"/>
                    </w:rPr>
                    <w:t>is</w:t>
                  </w:r>
                  <w:r>
                    <w:rPr>
                      <w:spacing w:val="20"/>
                      <w:w w:val="105"/>
                    </w:rPr>
                    <w:t> </w:t>
                  </w:r>
                  <w:r>
                    <w:rPr>
                      <w:w w:val="105"/>
                    </w:rPr>
                    <w:t>a</w:t>
                    <w:tab/>
                  </w:r>
                  <w:r>
                    <w:rPr>
                      <w:b/>
                      <w:w w:val="105"/>
                      <w:position w:val="17"/>
                      <w:sz w:val="80"/>
                    </w:rPr>
                    <w:t>i </w:t>
                  </w:r>
                  <w:r>
                    <w:rPr>
                      <w:w w:val="105"/>
                    </w:rPr>
                    <w:t>more </w:t>
                  </w:r>
                  <w:r>
                    <w:rPr>
                      <w:spacing w:val="3"/>
                      <w:w w:val="105"/>
                    </w:rPr>
                    <w:t>perfect </w:t>
                  </w:r>
                  <w:r>
                    <w:rPr>
                      <w:w w:val="105"/>
                    </w:rPr>
                    <w:t>life</w:t>
                  </w:r>
                  <w:r>
                    <w:rPr>
                      <w:spacing w:val="45"/>
                      <w:w w:val="105"/>
                    </w:rPr>
                    <w:t> </w:t>
                  </w:r>
                  <w:r>
                    <w:rPr>
                      <w:w w:val="105"/>
                    </w:rPr>
                    <w:t>to</w:t>
                  </w:r>
                  <w:r>
                    <w:rPr>
                      <w:spacing w:val="17"/>
                      <w:w w:val="105"/>
                    </w:rPr>
                    <w:t> </w:t>
                  </w:r>
                  <w:r>
                    <w:rPr>
                      <w:w w:val="105"/>
                    </w:rPr>
                    <w:t>follow.</w:t>
                    <w:tab/>
                  </w:r>
                  <w:r>
                    <w:rPr>
                      <w:b/>
                      <w:w w:val="105"/>
                      <w:position w:val="17"/>
                      <w:sz w:val="80"/>
                    </w:rPr>
                    <w:t>n</w:t>
                  </w:r>
                </w:p>
                <w:p>
                  <w:pPr>
                    <w:pStyle w:val="BodyText"/>
                    <w:tabs>
                      <w:tab w:pos="719" w:val="left" w:leader="none"/>
                    </w:tabs>
                    <w:spacing w:line="262" w:lineRule="exact"/>
                  </w:pPr>
                  <w:r>
                    <w:rPr>
                      <w:w w:val="110"/>
                    </w:rPr>
                    <w:t>ii)</w:t>
                    <w:tab/>
                  </w:r>
                  <w:r>
                    <w:rPr>
                      <w:spacing w:val="-3"/>
                      <w:w w:val="110"/>
                    </w:rPr>
                    <w:t>We </w:t>
                  </w:r>
                  <w:r>
                    <w:rPr>
                      <w:w w:val="110"/>
                    </w:rPr>
                    <w:t>recognise that there is a time to die and that there are</w:t>
                  </w:r>
                  <w:r>
                    <w:rPr>
                      <w:spacing w:val="55"/>
                      <w:w w:val="110"/>
                    </w:rPr>
                    <w:t> </w:t>
                  </w:r>
                  <w:r>
                    <w:rPr>
                      <w:w w:val="110"/>
                    </w:rPr>
                    <w:t>circumstances</w:t>
                  </w:r>
                </w:p>
                <w:p>
                  <w:pPr>
                    <w:pStyle w:val="BodyText"/>
                    <w:tabs>
                      <w:tab w:pos="8787" w:val="left" w:leader="none"/>
                    </w:tabs>
                    <w:spacing w:line="469" w:lineRule="exact"/>
                    <w:rPr>
                      <w:b/>
                      <w:sz w:val="80"/>
                    </w:rPr>
                  </w:pPr>
                  <w:r>
                    <w:rPr>
                      <w:spacing w:val="-1"/>
                      <w:w w:val="111"/>
                    </w:rPr>
                    <w:t>i</w:t>
                  </w:r>
                  <w:r>
                    <w:rPr>
                      <w:w w:val="111"/>
                    </w:rPr>
                    <w:t>n</w:t>
                  </w:r>
                  <w:r>
                    <w:rPr>
                      <w:spacing w:val="6"/>
                    </w:rPr>
                    <w:t> </w:t>
                  </w:r>
                  <w:r>
                    <w:rPr>
                      <w:spacing w:val="-1"/>
                      <w:w w:val="111"/>
                    </w:rPr>
                    <w:t>wh</w:t>
                  </w:r>
                  <w:r>
                    <w:rPr>
                      <w:w w:val="111"/>
                    </w:rPr>
                    <w:t>i</w:t>
                  </w:r>
                  <w:r>
                    <w:rPr>
                      <w:spacing w:val="4"/>
                      <w:w w:val="111"/>
                    </w:rPr>
                    <w:t>c</w:t>
                  </w:r>
                  <w:r>
                    <w:rPr>
                      <w:w w:val="111"/>
                    </w:rPr>
                    <w:t>h</w:t>
                  </w:r>
                  <w:r>
                    <w:rPr>
                      <w:spacing w:val="7"/>
                    </w:rPr>
                    <w:t> </w:t>
                  </w:r>
                  <w:r>
                    <w:rPr>
                      <w:w w:val="111"/>
                    </w:rPr>
                    <w:t>it</w:t>
                  </w:r>
                  <w:r>
                    <w:rPr>
                      <w:spacing w:val="7"/>
                    </w:rPr>
                    <w:t> </w:t>
                  </w:r>
                  <w:r>
                    <w:rPr>
                      <w:spacing w:val="-1"/>
                      <w:w w:val="111"/>
                    </w:rPr>
                    <w:t>wil</w:t>
                  </w:r>
                  <w:r>
                    <w:rPr>
                      <w:w w:val="111"/>
                    </w:rPr>
                    <w:t>l</w:t>
                  </w:r>
                  <w:r>
                    <w:rPr>
                      <w:spacing w:val="6"/>
                    </w:rPr>
                    <w:t> </w:t>
                  </w:r>
                  <w:r>
                    <w:rPr>
                      <w:spacing w:val="3"/>
                      <w:w w:val="111"/>
                    </w:rPr>
                    <w:t>b</w:t>
                  </w:r>
                  <w:r>
                    <w:rPr>
                      <w:w w:val="111"/>
                    </w:rPr>
                    <w:t>e</w:t>
                  </w:r>
                  <w:r>
                    <w:rPr>
                      <w:spacing w:val="7"/>
                    </w:rPr>
                    <w:t> </w:t>
                  </w:r>
                  <w:r>
                    <w:rPr>
                      <w:spacing w:val="-1"/>
                      <w:w w:val="111"/>
                    </w:rPr>
                    <w:t>w</w:t>
                  </w:r>
                  <w:r>
                    <w:rPr>
                      <w:spacing w:val="4"/>
                      <w:w w:val="111"/>
                    </w:rPr>
                    <w:t>r</w:t>
                  </w:r>
                  <w:r>
                    <w:rPr>
                      <w:spacing w:val="1"/>
                      <w:w w:val="111"/>
                    </w:rPr>
                    <w:t>on</w:t>
                  </w:r>
                  <w:r>
                    <w:rPr>
                      <w:w w:val="111"/>
                    </w:rPr>
                    <w:t>g</w:t>
                  </w:r>
                  <w:r>
                    <w:rPr>
                      <w:spacing w:val="7"/>
                    </w:rPr>
                    <w:t> </w:t>
                  </w:r>
                  <w:r>
                    <w:rPr>
                      <w:spacing w:val="1"/>
                      <w:w w:val="111"/>
                    </w:rPr>
                    <w:t>t</w:t>
                  </w:r>
                  <w:r>
                    <w:rPr>
                      <w:w w:val="111"/>
                    </w:rPr>
                    <w:t>o</w:t>
                  </w:r>
                  <w:r>
                    <w:rPr>
                      <w:spacing w:val="7"/>
                    </w:rPr>
                    <w:t> </w:t>
                  </w:r>
                  <w:r>
                    <w:rPr>
                      <w:spacing w:val="3"/>
                      <w:w w:val="111"/>
                    </w:rPr>
                    <w:t>c</w:t>
                  </w:r>
                  <w:r>
                    <w:rPr>
                      <w:spacing w:val="1"/>
                      <w:w w:val="111"/>
                    </w:rPr>
                    <w:t>o</w:t>
                  </w:r>
                  <w:r>
                    <w:rPr>
                      <w:w w:val="111"/>
                    </w:rPr>
                    <w:t>n</w:t>
                  </w:r>
                  <w:r>
                    <w:rPr>
                      <w:spacing w:val="2"/>
                      <w:w w:val="111"/>
                    </w:rPr>
                    <w:t>t</w:t>
                  </w:r>
                  <w:r>
                    <w:rPr>
                      <w:spacing w:val="-1"/>
                      <w:w w:val="111"/>
                    </w:rPr>
                    <w:t>in</w:t>
                  </w:r>
                  <w:r>
                    <w:rPr>
                      <w:w w:val="111"/>
                    </w:rPr>
                    <w:t>ue</w:t>
                  </w:r>
                  <w:r>
                    <w:rPr>
                      <w:spacing w:val="7"/>
                    </w:rPr>
                    <w:t> </w:t>
                  </w:r>
                  <w:r>
                    <w:rPr>
                      <w:spacing w:val="1"/>
                      <w:w w:val="111"/>
                    </w:rPr>
                    <w:t>t</w:t>
                  </w:r>
                  <w:r>
                    <w:rPr>
                      <w:w w:val="111"/>
                    </w:rPr>
                    <w:t>o</w:t>
                  </w:r>
                  <w:r>
                    <w:rPr>
                      <w:spacing w:val="7"/>
                    </w:rPr>
                    <w:t> </w:t>
                  </w:r>
                  <w:r>
                    <w:rPr>
                      <w:spacing w:val="1"/>
                      <w:w w:val="111"/>
                    </w:rPr>
                    <w:t>p</w:t>
                  </w:r>
                  <w:r>
                    <w:rPr>
                      <w:spacing w:val="5"/>
                      <w:w w:val="111"/>
                    </w:rPr>
                    <w:t>r</w:t>
                  </w:r>
                  <w:r>
                    <w:rPr>
                      <w:spacing w:val="-2"/>
                      <w:w w:val="111"/>
                    </w:rPr>
                    <w:t>o</w:t>
                  </w:r>
                  <w:r>
                    <w:rPr>
                      <w:spacing w:val="1"/>
                      <w:w w:val="111"/>
                    </w:rPr>
                    <w:t>vid</w:t>
                  </w:r>
                  <w:r>
                    <w:rPr>
                      <w:w w:val="111"/>
                    </w:rPr>
                    <w:t>e</w:t>
                  </w:r>
                  <w:r>
                    <w:rPr>
                      <w:spacing w:val="7"/>
                    </w:rPr>
                    <w:t> </w:t>
                  </w:r>
                  <w:r>
                    <w:rPr>
                      <w:spacing w:val="2"/>
                      <w:w w:val="111"/>
                    </w:rPr>
                    <w:t>t</w:t>
                  </w:r>
                  <w:r>
                    <w:rPr>
                      <w:spacing w:val="4"/>
                      <w:w w:val="111"/>
                    </w:rPr>
                    <w:t>r</w:t>
                  </w:r>
                  <w:r>
                    <w:rPr>
                      <w:spacing w:val="2"/>
                      <w:w w:val="111"/>
                    </w:rPr>
                    <w:t>e</w:t>
                  </w:r>
                  <w:r>
                    <w:rPr>
                      <w:w w:val="111"/>
                    </w:rPr>
                    <w:t>a</w:t>
                  </w:r>
                  <w:r>
                    <w:rPr>
                      <w:spacing w:val="2"/>
                      <w:w w:val="111"/>
                    </w:rPr>
                    <w:t>t</w:t>
                  </w:r>
                  <w:r>
                    <w:rPr>
                      <w:spacing w:val="1"/>
                      <w:w w:val="111"/>
                    </w:rPr>
                    <w:t>m</w:t>
                  </w:r>
                  <w:r>
                    <w:rPr>
                      <w:spacing w:val="2"/>
                      <w:w w:val="111"/>
                    </w:rPr>
                    <w:t>e</w:t>
                  </w:r>
                  <w:r>
                    <w:rPr>
                      <w:w w:val="111"/>
                    </w:rPr>
                    <w:t>nt</w:t>
                  </w:r>
                  <w:r>
                    <w:rPr>
                      <w:spacing w:val="7"/>
                    </w:rPr>
                    <w:t> </w:t>
                  </w:r>
                  <w:r>
                    <w:rPr>
                      <w:spacing w:val="1"/>
                      <w:w w:val="111"/>
                    </w:rPr>
                    <w:t>d</w:t>
                  </w:r>
                  <w:r>
                    <w:rPr>
                      <w:spacing w:val="3"/>
                      <w:w w:val="111"/>
                    </w:rPr>
                    <w:t>e</w:t>
                  </w:r>
                  <w:r>
                    <w:rPr>
                      <w:spacing w:val="2"/>
                      <w:w w:val="111"/>
                    </w:rPr>
                    <w:t>s</w:t>
                  </w:r>
                  <w:r>
                    <w:rPr>
                      <w:w w:val="111"/>
                    </w:rPr>
                    <w:t>ig</w:t>
                  </w:r>
                  <w:r>
                    <w:rPr>
                      <w:spacing w:val="1"/>
                      <w:w w:val="111"/>
                    </w:rPr>
                    <w:t>n</w:t>
                  </w:r>
                  <w:r>
                    <w:rPr>
                      <w:spacing w:val="3"/>
                      <w:w w:val="111"/>
                    </w:rPr>
                    <w:t>e</w:t>
                  </w:r>
                  <w:r>
                    <w:rPr>
                      <w:w w:val="111"/>
                    </w:rPr>
                    <w:t>d</w:t>
                  </w:r>
                  <w:r>
                    <w:rPr>
                      <w:spacing w:val="7"/>
                    </w:rPr>
                    <w:t> </w:t>
                  </w:r>
                  <w:r>
                    <w:rPr>
                      <w:spacing w:val="1"/>
                      <w:w w:val="111"/>
                    </w:rPr>
                    <w:t>t</w:t>
                  </w:r>
                  <w:r>
                    <w:rPr>
                      <w:w w:val="111"/>
                    </w:rPr>
                    <w:t>o</w:t>
                  </w:r>
                  <w:r>
                    <w:rPr>
                      <w:spacing w:val="7"/>
                    </w:rPr>
                    <w:t> </w:t>
                  </w:r>
                  <w:r>
                    <w:rPr>
                      <w:spacing w:val="1"/>
                      <w:w w:val="111"/>
                    </w:rPr>
                    <w:t>p</w:t>
                  </w:r>
                  <w:r>
                    <w:rPr>
                      <w:spacing w:val="5"/>
                      <w:w w:val="111"/>
                    </w:rPr>
                    <w:t>r</w:t>
                  </w:r>
                  <w:r>
                    <w:rPr>
                      <w:spacing w:val="1"/>
                      <w:w w:val="111"/>
                    </w:rPr>
                    <w:t>olon</w:t>
                  </w:r>
                  <w:r>
                    <w:rPr>
                      <w:w w:val="111"/>
                    </w:rPr>
                    <w:t>g</w:t>
                  </w:r>
                  <w:r>
                    <w:rPr>
                      <w:spacing w:val="7"/>
                    </w:rPr>
                    <w:t> </w:t>
                  </w:r>
                  <w:r>
                    <w:rPr>
                      <w:spacing w:val="-1"/>
                      <w:w w:val="111"/>
                    </w:rPr>
                    <w:t>l</w:t>
                  </w:r>
                  <w:r>
                    <w:rPr>
                      <w:w w:val="111"/>
                    </w:rPr>
                    <w:t>i</w:t>
                  </w:r>
                  <w:r>
                    <w:rPr>
                      <w:spacing w:val="2"/>
                      <w:w w:val="111"/>
                    </w:rPr>
                    <w:t>f</w:t>
                  </w:r>
                  <w:r>
                    <w:rPr>
                      <w:spacing w:val="-1"/>
                      <w:w w:val="111"/>
                    </w:rPr>
                    <w:t>e</w:t>
                  </w:r>
                  <w:r>
                    <w:rPr>
                      <w:w w:val="111"/>
                    </w:rPr>
                    <w:t>.</w:t>
                  </w:r>
                  <w:r>
                    <w:rPr/>
                    <w:tab/>
                  </w:r>
                  <w:r>
                    <w:rPr>
                      <w:rFonts w:ascii="Eurostile Bold"/>
                      <w:b/>
                      <w:color w:val="ACACAC"/>
                      <w:spacing w:val="-82"/>
                      <w:w w:val="85"/>
                      <w:position w:val="36"/>
                      <w:sz w:val="36"/>
                    </w:rPr>
                    <w:t>Assembl</w:t>
                  </w:r>
                  <w:r>
                    <w:rPr>
                      <w:rFonts w:ascii="Eurostile Bold"/>
                      <w:b/>
                      <w:color w:val="ACACAC"/>
                      <w:spacing w:val="-83"/>
                      <w:w w:val="85"/>
                      <w:position w:val="36"/>
                      <w:sz w:val="36"/>
                    </w:rPr>
                    <w:t>y</w:t>
                  </w:r>
                  <w:r>
                    <w:rPr>
                      <w:b/>
                      <w:spacing w:val="-82"/>
                      <w:w w:val="99"/>
                      <w:position w:val="37"/>
                      <w:sz w:val="80"/>
                    </w:rPr>
                    <w:t>g</w:t>
                  </w:r>
                </w:p>
                <w:p>
                  <w:pPr>
                    <w:pStyle w:val="BodyText"/>
                    <w:tabs>
                      <w:tab w:pos="719" w:val="left" w:leader="none"/>
                    </w:tabs>
                    <w:spacing w:line="273" w:lineRule="auto" w:before="263"/>
                    <w:ind w:right="2123"/>
                  </w:pPr>
                  <w:r>
                    <w:rPr>
                      <w:w w:val="110"/>
                    </w:rPr>
                    <w:t>iii)</w:t>
                    <w:tab/>
                  </w:r>
                  <w:r>
                    <w:rPr>
                      <w:spacing w:val="-3"/>
                      <w:w w:val="110"/>
                    </w:rPr>
                    <w:t>We </w:t>
                  </w:r>
                  <w:r>
                    <w:rPr>
                      <w:w w:val="110"/>
                    </w:rPr>
                    <w:t>recognise that some palliative treatment for the terminally ill,  makes</w:t>
                  </w:r>
                  <w:r>
                    <w:rPr>
                      <w:spacing w:val="9"/>
                      <w:w w:val="110"/>
                    </w:rPr>
                    <w:t> </w:t>
                  </w:r>
                  <w:r>
                    <w:rPr>
                      <w:w w:val="110"/>
                    </w:rPr>
                    <w:t>the</w:t>
                  </w:r>
                  <w:r>
                    <w:rPr>
                      <w:spacing w:val="10"/>
                      <w:w w:val="110"/>
                    </w:rPr>
                    <w:t> </w:t>
                  </w:r>
                  <w:r>
                    <w:rPr>
                      <w:w w:val="110"/>
                    </w:rPr>
                    <w:t>patient</w:t>
                  </w:r>
                  <w:r>
                    <w:rPr>
                      <w:spacing w:val="10"/>
                      <w:w w:val="110"/>
                    </w:rPr>
                    <w:t> </w:t>
                  </w:r>
                  <w:r>
                    <w:rPr>
                      <w:w w:val="110"/>
                    </w:rPr>
                    <w:t>more</w:t>
                  </w:r>
                  <w:r>
                    <w:rPr>
                      <w:spacing w:val="10"/>
                      <w:w w:val="110"/>
                    </w:rPr>
                    <w:t> </w:t>
                  </w:r>
                  <w:r>
                    <w:rPr>
                      <w:spacing w:val="2"/>
                      <w:w w:val="110"/>
                    </w:rPr>
                    <w:t>comfortable</w:t>
                  </w:r>
                  <w:r>
                    <w:rPr>
                      <w:spacing w:val="10"/>
                      <w:w w:val="110"/>
                    </w:rPr>
                    <w:t> </w:t>
                  </w:r>
                  <w:r>
                    <w:rPr>
                      <w:w w:val="110"/>
                    </w:rPr>
                    <w:t>and</w:t>
                  </w:r>
                  <w:r>
                    <w:rPr>
                      <w:spacing w:val="10"/>
                      <w:w w:val="110"/>
                    </w:rPr>
                    <w:t> </w:t>
                  </w:r>
                  <w:r>
                    <w:rPr>
                      <w:w w:val="110"/>
                    </w:rPr>
                    <w:t>pain</w:t>
                  </w:r>
                  <w:r>
                    <w:rPr>
                      <w:spacing w:val="8"/>
                      <w:w w:val="110"/>
                    </w:rPr>
                    <w:t> </w:t>
                  </w:r>
                  <w:r>
                    <w:rPr>
                      <w:w w:val="110"/>
                    </w:rPr>
                    <w:t>free,</w:t>
                  </w:r>
                  <w:r>
                    <w:rPr>
                      <w:spacing w:val="10"/>
                      <w:w w:val="110"/>
                    </w:rPr>
                    <w:t> </w:t>
                  </w:r>
                  <w:r>
                    <w:rPr>
                      <w:w w:val="110"/>
                    </w:rPr>
                    <w:t>but</w:t>
                  </w:r>
                  <w:r>
                    <w:rPr>
                      <w:spacing w:val="10"/>
                      <w:w w:val="110"/>
                    </w:rPr>
                    <w:t> </w:t>
                  </w:r>
                  <w:r>
                    <w:rPr>
                      <w:w w:val="110"/>
                    </w:rPr>
                    <w:t>can</w:t>
                  </w:r>
                  <w:r>
                    <w:rPr>
                      <w:spacing w:val="10"/>
                      <w:w w:val="110"/>
                    </w:rPr>
                    <w:t> </w:t>
                  </w:r>
                  <w:r>
                    <w:rPr>
                      <w:w w:val="110"/>
                    </w:rPr>
                    <w:t>also</w:t>
                  </w:r>
                  <w:r>
                    <w:rPr>
                      <w:spacing w:val="10"/>
                      <w:w w:val="110"/>
                    </w:rPr>
                    <w:t> </w:t>
                  </w:r>
                  <w:r>
                    <w:rPr>
                      <w:w w:val="110"/>
                    </w:rPr>
                    <w:t>hasten</w:t>
                  </w:r>
                  <w:r>
                    <w:rPr>
                      <w:spacing w:val="10"/>
                      <w:w w:val="110"/>
                    </w:rPr>
                    <w:t> </w:t>
                  </w:r>
                  <w:r>
                    <w:rPr>
                      <w:w w:val="110"/>
                    </w:rPr>
                    <w:t>death.</w:t>
                  </w:r>
                </w:p>
                <w:p>
                  <w:pPr>
                    <w:pStyle w:val="BodyText"/>
                    <w:spacing w:line="273" w:lineRule="auto" w:before="2"/>
                    <w:ind w:right="1784"/>
                  </w:pPr>
                  <w:r>
                    <w:rPr>
                      <w:spacing w:val="-3"/>
                      <w:w w:val="110"/>
                    </w:rPr>
                    <w:t>We </w:t>
                  </w:r>
                  <w:r>
                    <w:rPr>
                      <w:w w:val="110"/>
                    </w:rPr>
                    <w:t>believe this to be acceptable, as long as the primary purpose of the treatment is pain relief and </w:t>
                  </w:r>
                  <w:r>
                    <w:rPr>
                      <w:spacing w:val="2"/>
                      <w:w w:val="110"/>
                    </w:rPr>
                    <w:t>comfort </w:t>
                  </w:r>
                  <w:r>
                    <w:rPr>
                      <w:w w:val="110"/>
                    </w:rPr>
                    <w:t>of the</w:t>
                  </w:r>
                  <w:r>
                    <w:rPr>
                      <w:spacing w:val="7"/>
                      <w:w w:val="110"/>
                    </w:rPr>
                    <w:t> </w:t>
                  </w:r>
                  <w:r>
                    <w:rPr>
                      <w:w w:val="110"/>
                    </w:rPr>
                    <w:t>patient.</w:t>
                  </w:r>
                </w:p>
                <w:p>
                  <w:pPr>
                    <w:pStyle w:val="BodyText"/>
                    <w:tabs>
                      <w:tab w:pos="719" w:val="left" w:leader="none"/>
                      <w:tab w:pos="9147" w:val="right" w:leader="none"/>
                    </w:tabs>
                    <w:rPr>
                      <w:rFonts w:ascii="Eurostile Bold"/>
                      <w:b/>
                      <w:sz w:val="36"/>
                    </w:rPr>
                  </w:pPr>
                  <w:r>
                    <w:rPr>
                      <w:spacing w:val="-4"/>
                      <w:w w:val="110"/>
                    </w:rPr>
                    <w:t>iv)</w:t>
                    <w:tab/>
                  </w:r>
                  <w:r>
                    <w:rPr>
                      <w:spacing w:val="-3"/>
                      <w:w w:val="110"/>
                    </w:rPr>
                    <w:t>We</w:t>
                  </w:r>
                  <w:r>
                    <w:rPr>
                      <w:spacing w:val="-8"/>
                      <w:w w:val="110"/>
                    </w:rPr>
                    <w:t> </w:t>
                  </w:r>
                  <w:r>
                    <w:rPr>
                      <w:w w:val="110"/>
                    </w:rPr>
                    <w:t>could</w:t>
                  </w:r>
                  <w:r>
                    <w:rPr>
                      <w:spacing w:val="-7"/>
                      <w:w w:val="110"/>
                    </w:rPr>
                    <w:t> </w:t>
                  </w:r>
                  <w:r>
                    <w:rPr>
                      <w:w w:val="110"/>
                    </w:rPr>
                    <w:t>not</w:t>
                  </w:r>
                  <w:r>
                    <w:rPr>
                      <w:spacing w:val="-7"/>
                      <w:w w:val="110"/>
                    </w:rPr>
                    <w:t> </w:t>
                  </w:r>
                  <w:r>
                    <w:rPr>
                      <w:w w:val="110"/>
                    </w:rPr>
                    <w:t>support</w:t>
                  </w:r>
                  <w:r>
                    <w:rPr>
                      <w:spacing w:val="-7"/>
                      <w:w w:val="110"/>
                    </w:rPr>
                    <w:t> </w:t>
                  </w:r>
                  <w:r>
                    <w:rPr>
                      <w:w w:val="110"/>
                    </w:rPr>
                    <w:t>legislation</w:t>
                  </w:r>
                  <w:r>
                    <w:rPr>
                      <w:spacing w:val="-7"/>
                      <w:w w:val="110"/>
                    </w:rPr>
                    <w:t> </w:t>
                  </w:r>
                  <w:r>
                    <w:rPr>
                      <w:w w:val="110"/>
                    </w:rPr>
                    <w:t>that</w:t>
                  </w:r>
                  <w:r>
                    <w:rPr>
                      <w:spacing w:val="-7"/>
                      <w:w w:val="110"/>
                    </w:rPr>
                    <w:t> </w:t>
                  </w:r>
                  <w:r>
                    <w:rPr>
                      <w:w w:val="110"/>
                    </w:rPr>
                    <w:t>would</w:t>
                  </w:r>
                  <w:r>
                    <w:rPr>
                      <w:spacing w:val="-7"/>
                      <w:w w:val="110"/>
                    </w:rPr>
                    <w:t> </w:t>
                  </w:r>
                  <w:r>
                    <w:rPr>
                      <w:w w:val="110"/>
                    </w:rPr>
                    <w:t>empower</w:t>
                  </w:r>
                  <w:r>
                    <w:rPr>
                      <w:spacing w:val="-7"/>
                      <w:w w:val="110"/>
                    </w:rPr>
                    <w:t> </w:t>
                  </w:r>
                  <w:r>
                    <w:rPr>
                      <w:w w:val="110"/>
                    </w:rPr>
                    <w:t>medical</w:t>
                  </w:r>
                  <w:r>
                    <w:rPr>
                      <w:spacing w:val="-7"/>
                      <w:w w:val="110"/>
                    </w:rPr>
                    <w:t> </w:t>
                  </w:r>
                  <w:r>
                    <w:rPr>
                      <w:spacing w:val="3"/>
                      <w:w w:val="110"/>
                    </w:rPr>
                    <w:t>staff</w:t>
                  </w:r>
                  <w:r>
                    <w:rPr>
                      <w:spacing w:val="-7"/>
                      <w:w w:val="110"/>
                    </w:rPr>
                    <w:t> </w:t>
                  </w:r>
                  <w:r>
                    <w:rPr>
                      <w:w w:val="110"/>
                    </w:rPr>
                    <w:t>to</w:t>
                    <w:tab/>
                  </w:r>
                  <w:r>
                    <w:rPr>
                      <w:rFonts w:ascii="Eurostile Bold"/>
                      <w:b/>
                      <w:color w:val="ACACAC"/>
                      <w:w w:val="110"/>
                      <w:position w:val="53"/>
                      <w:sz w:val="36"/>
                    </w:rPr>
                    <w:t>2007</w:t>
                  </w:r>
                </w:p>
                <w:p>
                  <w:pPr>
                    <w:pStyle w:val="BodyText"/>
                    <w:spacing w:line="273" w:lineRule="auto"/>
                    <w:ind w:right="2123"/>
                  </w:pPr>
                  <w:r>
                    <w:rPr>
                      <w:w w:val="110"/>
                    </w:rPr>
                    <w:t>intervene in ways which deliberately seek to assist a patient to die. We would therefore oppose any change in the law to permit voluntary euthanasia or assisted suicide.</w:t>
                  </w:r>
                </w:p>
                <w:p>
                  <w:pPr>
                    <w:pStyle w:val="BodyText"/>
                    <w:tabs>
                      <w:tab w:pos="719" w:val="left" w:leader="none"/>
                    </w:tabs>
                    <w:spacing w:line="273" w:lineRule="auto"/>
                    <w:ind w:right="1784"/>
                  </w:pPr>
                  <w:r>
                    <w:rPr>
                      <w:spacing w:val="-6"/>
                      <w:w w:val="110"/>
                    </w:rPr>
                    <w:t>v)</w:t>
                    <w:tab/>
                  </w:r>
                  <w:r>
                    <w:rPr>
                      <w:spacing w:val="-3"/>
                      <w:w w:val="110"/>
                    </w:rPr>
                    <w:t>We </w:t>
                  </w:r>
                  <w:r>
                    <w:rPr>
                      <w:w w:val="110"/>
                    </w:rPr>
                    <w:t>believe that a Living Will or Advance Directive which has been prepared by a patient of sound mind, can be helpful for </w:t>
                  </w:r>
                  <w:r>
                    <w:rPr>
                      <w:spacing w:val="3"/>
                      <w:w w:val="110"/>
                    </w:rPr>
                    <w:t>carers </w:t>
                  </w:r>
                  <w:r>
                    <w:rPr>
                      <w:w w:val="110"/>
                    </w:rPr>
                    <w:t>and relatives; however we   do</w:t>
                  </w:r>
                  <w:r>
                    <w:rPr>
                      <w:spacing w:val="6"/>
                      <w:w w:val="110"/>
                    </w:rPr>
                    <w:t> </w:t>
                  </w:r>
                  <w:r>
                    <w:rPr>
                      <w:w w:val="110"/>
                    </w:rPr>
                    <w:t>not</w:t>
                  </w:r>
                  <w:r>
                    <w:rPr>
                      <w:spacing w:val="7"/>
                      <w:w w:val="110"/>
                    </w:rPr>
                    <w:t> </w:t>
                  </w:r>
                  <w:r>
                    <w:rPr>
                      <w:w w:val="110"/>
                    </w:rPr>
                    <w:t>believe</w:t>
                  </w:r>
                  <w:r>
                    <w:rPr>
                      <w:spacing w:val="6"/>
                      <w:w w:val="110"/>
                    </w:rPr>
                    <w:t> </w:t>
                  </w:r>
                  <w:r>
                    <w:rPr>
                      <w:w w:val="110"/>
                    </w:rPr>
                    <w:t>such</w:t>
                  </w:r>
                  <w:r>
                    <w:rPr>
                      <w:spacing w:val="7"/>
                      <w:w w:val="110"/>
                    </w:rPr>
                    <w:t> </w:t>
                  </w:r>
                  <w:r>
                    <w:rPr>
                      <w:w w:val="110"/>
                    </w:rPr>
                    <w:t>a</w:t>
                  </w:r>
                  <w:r>
                    <w:rPr>
                      <w:spacing w:val="6"/>
                      <w:w w:val="110"/>
                    </w:rPr>
                    <w:t> </w:t>
                  </w:r>
                  <w:r>
                    <w:rPr>
                      <w:w w:val="110"/>
                    </w:rPr>
                    <w:t>document</w:t>
                  </w:r>
                  <w:r>
                    <w:rPr>
                      <w:spacing w:val="7"/>
                      <w:w w:val="110"/>
                    </w:rPr>
                    <w:t> </w:t>
                  </w:r>
                  <w:r>
                    <w:rPr>
                      <w:w w:val="110"/>
                    </w:rPr>
                    <w:t>should</w:t>
                  </w:r>
                  <w:r>
                    <w:rPr>
                      <w:spacing w:val="6"/>
                      <w:w w:val="110"/>
                    </w:rPr>
                    <w:t> </w:t>
                  </w:r>
                  <w:r>
                    <w:rPr>
                      <w:w w:val="110"/>
                    </w:rPr>
                    <w:t>be</w:t>
                  </w:r>
                  <w:r>
                    <w:rPr>
                      <w:spacing w:val="7"/>
                      <w:w w:val="110"/>
                    </w:rPr>
                    <w:t> </w:t>
                  </w:r>
                  <w:r>
                    <w:rPr>
                      <w:w w:val="110"/>
                    </w:rPr>
                    <w:t>used</w:t>
                  </w:r>
                  <w:r>
                    <w:rPr>
                      <w:spacing w:val="7"/>
                      <w:w w:val="110"/>
                    </w:rPr>
                    <w:t> </w:t>
                  </w:r>
                  <w:r>
                    <w:rPr>
                      <w:w w:val="110"/>
                    </w:rPr>
                    <w:t>to</w:t>
                  </w:r>
                  <w:r>
                    <w:rPr>
                      <w:spacing w:val="6"/>
                      <w:w w:val="110"/>
                    </w:rPr>
                    <w:t> </w:t>
                  </w:r>
                  <w:r>
                    <w:rPr>
                      <w:w w:val="110"/>
                    </w:rPr>
                    <w:t>facilitate</w:t>
                  </w:r>
                  <w:r>
                    <w:rPr>
                      <w:spacing w:val="7"/>
                      <w:w w:val="110"/>
                    </w:rPr>
                    <w:t> </w:t>
                  </w:r>
                  <w:r>
                    <w:rPr>
                      <w:w w:val="110"/>
                    </w:rPr>
                    <w:t>a</w:t>
                  </w:r>
                  <w:r>
                    <w:rPr>
                      <w:spacing w:val="6"/>
                      <w:w w:val="110"/>
                    </w:rPr>
                    <w:t> </w:t>
                  </w:r>
                  <w:r>
                    <w:rPr>
                      <w:w w:val="110"/>
                    </w:rPr>
                    <w:t>person’s</w:t>
                  </w:r>
                  <w:r>
                    <w:rPr>
                      <w:spacing w:val="7"/>
                      <w:w w:val="110"/>
                    </w:rPr>
                    <w:t> </w:t>
                  </w:r>
                  <w:r>
                    <w:rPr>
                      <w:w w:val="110"/>
                    </w:rPr>
                    <w:t>death.</w:t>
                  </w:r>
                </w:p>
                <w:p>
                  <w:pPr>
                    <w:pStyle w:val="BodyText"/>
                    <w:tabs>
                      <w:tab w:pos="719" w:val="left" w:leader="none"/>
                    </w:tabs>
                    <w:spacing w:line="273" w:lineRule="auto" w:before="82"/>
                    <w:ind w:right="1784"/>
                  </w:pPr>
                  <w:r>
                    <w:rPr>
                      <w:w w:val="110"/>
                    </w:rPr>
                    <w:t>vi)</w:t>
                    <w:tab/>
                  </w:r>
                  <w:r>
                    <w:rPr>
                      <w:spacing w:val="-3"/>
                      <w:w w:val="110"/>
                    </w:rPr>
                    <w:t>We </w:t>
                  </w:r>
                  <w:r>
                    <w:rPr>
                      <w:w w:val="110"/>
                    </w:rPr>
                    <w:t>believe that additional </w:t>
                  </w:r>
                  <w:r>
                    <w:rPr>
                      <w:spacing w:val="2"/>
                      <w:w w:val="110"/>
                    </w:rPr>
                    <w:t>resources </w:t>
                  </w:r>
                  <w:r>
                    <w:rPr>
                      <w:w w:val="110"/>
                    </w:rPr>
                    <w:t>are needed to provide more uniformly available and more high quality palliative</w:t>
                  </w:r>
                  <w:r>
                    <w:rPr>
                      <w:spacing w:val="10"/>
                      <w:w w:val="110"/>
                    </w:rPr>
                    <w:t> </w:t>
                  </w:r>
                  <w:r>
                    <w:rPr>
                      <w:w w:val="110"/>
                    </w:rPr>
                    <w:t>care.</w:t>
                  </w:r>
                </w:p>
                <w:p>
                  <w:pPr>
                    <w:pStyle w:val="BodyText"/>
                    <w:spacing w:before="8"/>
                    <w:rPr>
                      <w:sz w:val="20"/>
                    </w:rPr>
                  </w:pPr>
                </w:p>
                <w:p>
                  <w:pPr>
                    <w:pStyle w:val="BodyText"/>
                    <w:tabs>
                      <w:tab w:pos="719" w:val="left" w:leader="none"/>
                    </w:tabs>
                    <w:spacing w:line="273" w:lineRule="auto"/>
                    <w:ind w:right="1960"/>
                  </w:pPr>
                  <w:r>
                    <w:rPr>
                      <w:w w:val="110"/>
                    </w:rPr>
                    <w:t>vii)</w:t>
                    <w:tab/>
                  </w:r>
                  <w:r>
                    <w:rPr>
                      <w:spacing w:val="-3"/>
                      <w:w w:val="110"/>
                    </w:rPr>
                    <w:t>We </w:t>
                  </w:r>
                  <w:r>
                    <w:rPr>
                      <w:w w:val="110"/>
                    </w:rPr>
                    <w:t>recognise the valuable contribution made by </w:t>
                  </w:r>
                  <w:r>
                    <w:rPr>
                      <w:spacing w:val="2"/>
                      <w:w w:val="110"/>
                    </w:rPr>
                    <w:t>carers. </w:t>
                  </w:r>
                  <w:r>
                    <w:rPr>
                      <w:spacing w:val="-3"/>
                      <w:w w:val="110"/>
                    </w:rPr>
                    <w:t>We </w:t>
                  </w:r>
                  <w:r>
                    <w:rPr>
                      <w:w w:val="110"/>
                    </w:rPr>
                    <w:t>express our prayerful </w:t>
                  </w:r>
                  <w:r>
                    <w:rPr>
                      <w:spacing w:val="2"/>
                      <w:w w:val="110"/>
                    </w:rPr>
                    <w:t>support </w:t>
                  </w:r>
                  <w:r>
                    <w:rPr>
                      <w:w w:val="110"/>
                    </w:rPr>
                    <w:t>for those who work in, and promote hospices, and others who care, befriend and provide support for the</w:t>
                  </w:r>
                  <w:r>
                    <w:rPr>
                      <w:spacing w:val="17"/>
                      <w:w w:val="110"/>
                    </w:rPr>
                    <w:t> </w:t>
                  </w:r>
                  <w:r>
                    <w:rPr>
                      <w:w w:val="110"/>
                    </w:rPr>
                    <w:t>dying.</w:t>
                  </w:r>
                </w:p>
              </w:txbxContent>
            </v:textbox>
            <w10:wrap type="none"/>
          </v:shape>
        </w:pict>
      </w:r>
      <w:r>
        <w:rPr/>
        <w:pict>
          <v:group style="position:absolute;margin-left:0pt;margin-top:.000015pt;width:595.3pt;height:841.9pt;mso-position-horizontal-relative:page;mso-position-vertical-relative:page;z-index:-275409920" coordorigin="0,0" coordsize="11906,16838">
            <v:rect style="position:absolute;left:1295;top:4806;width:4016;height:643" filled="true" fillcolor="#acacac" stroked="false">
              <v:fill opacity="32768f" type="solid"/>
            </v:rect>
            <v:shape style="position:absolute;left:1022;top:4783;width:9872;height:8675" coordorigin="1023,4784" coordsize="9872,8675" path="m1023,13218l1027,13357,1053,13428,1124,13454,1263,13458,10654,13458,10793,13454,10864,13428,10890,13357,10894,13218,10894,5024,10890,4885,10864,4814,10793,4787,10654,4784,1263,4784,1124,4787,1053,4814,1027,4885,1023,5024,1023,13218xe" filled="false" stroked="true" strokeweight="3pt" strokecolor="#000000">
              <v:path arrowok="t"/>
              <v:stroke dashstyle="solid"/>
            </v:shape>
            <v:shape style="position:absolute;left:0;top:0;width:11906;height:16838" type="#_x0000_t75" stroked="false">
              <v:imagedata r:id="rId247" o:title=""/>
            </v:shape>
            <w10:wrap type="none"/>
          </v:group>
        </w:pict>
      </w:r>
    </w:p>
    <w:p>
      <w:pPr>
        <w:spacing w:after="0"/>
        <w:rPr>
          <w:sz w:val="16"/>
        </w:rPr>
        <w:sectPr>
          <w:headerReference w:type="even" r:id="rId245"/>
          <w:footerReference w:type="even" r:id="rId246"/>
          <w:pgSz w:w="11910" w:h="16840"/>
          <w:pgMar w:header="0" w:footer="0" w:top="1580" w:bottom="280" w:left="460" w:right="0"/>
        </w:sectPr>
      </w:pPr>
    </w:p>
    <w:p>
      <w:pPr>
        <w:pStyle w:val="BodyText"/>
        <w:rPr>
          <w:sz w:val="20"/>
        </w:rPr>
      </w:pPr>
    </w:p>
    <w:p>
      <w:pPr>
        <w:pStyle w:val="BodyText"/>
        <w:rPr>
          <w:sz w:val="20"/>
        </w:rPr>
      </w:pPr>
    </w:p>
    <w:p>
      <w:pPr>
        <w:pStyle w:val="BodyText"/>
        <w:spacing w:before="10"/>
        <w:rPr>
          <w:sz w:val="19"/>
        </w:rPr>
      </w:pPr>
    </w:p>
    <w:p>
      <w:pPr>
        <w:spacing w:before="0"/>
        <w:ind w:left="0" w:right="1868" w:firstLine="0"/>
        <w:jc w:val="right"/>
        <w:rPr>
          <w:i/>
          <w:sz w:val="18"/>
        </w:rPr>
      </w:pPr>
      <w:r>
        <w:rPr/>
        <w:pict>
          <v:group style="position:absolute;margin-left:102.991997pt;margin-top:-3.558836pt;width:412.95pt;height:386.7pt;mso-position-horizontal-relative:page;mso-position-vertical-relative:paragraph;z-index:-275406848" coordorigin="2060,-71" coordsize="8259,7734">
            <v:line style="position:absolute" from="2060,7648" to="10205,7648" stroked="true" strokeweight=".5pt" strokecolor="#000000">
              <v:stroke dashstyle="solid"/>
            </v:line>
            <v:rect style="position:absolute;left:2107;top:-62;width:8201;height:7714" filled="false" stroked="true" strokeweight="1pt" strokecolor="#000000">
              <v:stroke dashstyle="solid"/>
            </v:rect>
            <w10:wrap type="none"/>
          </v:group>
        </w:pict>
      </w:r>
      <w:r>
        <w:rPr/>
        <w:pict>
          <v:shape style="position:absolute;margin-left:15.673688pt;margin-top:-37.356285pt;width:60.35pt;height:238.7pt;mso-position-horizontal-relative:page;mso-position-vertical-relative:paragraph;z-index:-275405824" type="#_x0000_t202" filled="false" stroked="false">
            <v:textbox inset="0,0,0,0" style="layout-flow:vertical;mso-layout-flow-alt:bottom-to-top">
              <w:txbxContent>
                <w:p>
                  <w:pPr>
                    <w:spacing w:before="20"/>
                    <w:ind w:left="20" w:right="0" w:firstLine="0"/>
                    <w:jc w:val="left"/>
                    <w:rPr>
                      <w:b/>
                      <w:sz w:val="96"/>
                    </w:rPr>
                  </w:pPr>
                  <w:r>
                    <w:rPr>
                      <w:b/>
                      <w:spacing w:val="-10"/>
                      <w:sz w:val="96"/>
                    </w:rPr>
                    <w:t>Contents</w:t>
                  </w:r>
                </w:p>
              </w:txbxContent>
            </v:textbox>
            <w10:wrap type="none"/>
          </v:shape>
        </w:pict>
      </w:r>
      <w:r>
        <w:rPr>
          <w:i/>
          <w:w w:val="110"/>
          <w:sz w:val="18"/>
        </w:rPr>
        <w:t>page</w:t>
      </w:r>
    </w:p>
    <w:p>
      <w:pPr>
        <w:pStyle w:val="BodyText"/>
        <w:spacing w:before="9"/>
        <w:rPr>
          <w:i/>
          <w:sz w:val="15"/>
        </w:rPr>
      </w:pPr>
    </w:p>
    <w:p>
      <w:pPr>
        <w:numPr>
          <w:ilvl w:val="2"/>
          <w:numId w:val="101"/>
        </w:numPr>
        <w:tabs>
          <w:tab w:pos="3039" w:val="left" w:leader="none"/>
          <w:tab w:pos="3040" w:val="left" w:leader="none"/>
          <w:tab w:pos="9574" w:val="right" w:leader="dot"/>
        </w:tabs>
        <w:spacing w:before="102"/>
        <w:ind w:left="3039" w:right="0" w:hanging="874"/>
        <w:jc w:val="left"/>
        <w:rPr>
          <w:sz w:val="18"/>
        </w:rPr>
      </w:pPr>
      <w:r>
        <w:rPr>
          <w:b/>
          <w:w w:val="110"/>
          <w:sz w:val="18"/>
        </w:rPr>
        <w:t>Why this debate</w:t>
      </w:r>
      <w:r>
        <w:rPr>
          <w:b/>
          <w:spacing w:val="1"/>
          <w:w w:val="110"/>
          <w:sz w:val="18"/>
        </w:rPr>
        <w:t> </w:t>
      </w:r>
      <w:r>
        <w:rPr>
          <w:b/>
          <w:w w:val="110"/>
          <w:sz w:val="18"/>
        </w:rPr>
        <w:t>now</w:t>
        <w:tab/>
      </w:r>
      <w:r>
        <w:rPr>
          <w:w w:val="110"/>
          <w:sz w:val="18"/>
        </w:rPr>
        <w:t>3</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Political </w:t>
      </w:r>
      <w:r>
        <w:rPr>
          <w:b/>
          <w:spacing w:val="2"/>
          <w:w w:val="110"/>
          <w:sz w:val="18"/>
        </w:rPr>
        <w:t>Context</w:t>
        <w:tab/>
      </w:r>
      <w:r>
        <w:rPr>
          <w:w w:val="110"/>
          <w:sz w:val="18"/>
        </w:rPr>
        <w:t>4</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spacing w:val="2"/>
          <w:w w:val="110"/>
          <w:sz w:val="18"/>
        </w:rPr>
        <w:t>Perspectives</w:t>
        <w:tab/>
      </w:r>
      <w:r>
        <w:rPr>
          <w:w w:val="110"/>
          <w:sz w:val="18"/>
        </w:rPr>
        <w:t>4</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A Reformed view</w:t>
        <w:tab/>
      </w:r>
      <w:r>
        <w:rPr>
          <w:w w:val="110"/>
          <w:sz w:val="18"/>
        </w:rPr>
        <w:t>6</w:t>
      </w:r>
    </w:p>
    <w:p>
      <w:pPr>
        <w:numPr>
          <w:ilvl w:val="2"/>
          <w:numId w:val="101"/>
        </w:numPr>
        <w:tabs>
          <w:tab w:pos="3039" w:val="left" w:leader="none"/>
          <w:tab w:pos="3040" w:val="left" w:leader="none"/>
          <w:tab w:pos="9574" w:val="right" w:leader="dot"/>
        </w:tabs>
        <w:spacing w:before="162"/>
        <w:ind w:left="3039" w:right="0" w:hanging="874"/>
        <w:jc w:val="left"/>
        <w:rPr>
          <w:sz w:val="18"/>
        </w:rPr>
      </w:pPr>
      <w:r>
        <w:rPr>
          <w:b/>
          <w:w w:val="110"/>
          <w:sz w:val="18"/>
        </w:rPr>
        <w:t>Practical</w:t>
      </w:r>
      <w:r>
        <w:rPr>
          <w:b/>
          <w:spacing w:val="1"/>
          <w:w w:val="110"/>
          <w:sz w:val="18"/>
        </w:rPr>
        <w:t> </w:t>
      </w:r>
      <w:r>
        <w:rPr>
          <w:b/>
          <w:w w:val="110"/>
          <w:sz w:val="18"/>
        </w:rPr>
        <w:t>considerations</w:t>
        <w:tab/>
      </w:r>
      <w:r>
        <w:rPr>
          <w:w w:val="110"/>
          <w:sz w:val="18"/>
        </w:rPr>
        <w:t>9</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A </w:t>
      </w:r>
      <w:r>
        <w:rPr>
          <w:b/>
          <w:spacing w:val="2"/>
          <w:w w:val="110"/>
          <w:sz w:val="18"/>
        </w:rPr>
        <w:t>researcher’s</w:t>
      </w:r>
      <w:r>
        <w:rPr>
          <w:b/>
          <w:w w:val="110"/>
          <w:sz w:val="18"/>
        </w:rPr>
        <w:t> epiphany</w:t>
        <w:tab/>
      </w:r>
      <w:r>
        <w:rPr>
          <w:spacing w:val="-5"/>
          <w:w w:val="110"/>
          <w:sz w:val="18"/>
        </w:rPr>
        <w:t>11</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Living Wills</w:t>
        <w:tab/>
      </w:r>
      <w:r>
        <w:rPr>
          <w:w w:val="110"/>
          <w:sz w:val="18"/>
        </w:rPr>
        <w:t>12</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Palliative Care</w:t>
        <w:tab/>
      </w:r>
      <w:r>
        <w:rPr>
          <w:spacing w:val="-3"/>
          <w:w w:val="110"/>
          <w:sz w:val="18"/>
        </w:rPr>
        <w:t>13</w:t>
      </w:r>
    </w:p>
    <w:p>
      <w:pPr>
        <w:spacing w:after="0"/>
        <w:jc w:val="left"/>
        <w:rPr>
          <w:sz w:val="18"/>
        </w:rPr>
        <w:sectPr>
          <w:headerReference w:type="even" r:id="rId248"/>
          <w:footerReference w:type="even" r:id="rId249"/>
          <w:footerReference w:type="default" r:id="rId250"/>
          <w:pgSz w:w="11910" w:h="16840"/>
          <w:pgMar w:header="558" w:footer="564" w:top="760" w:bottom="760" w:left="460" w:right="0"/>
          <w:pgNumType w:start="2"/>
        </w:sectPr>
      </w:pPr>
    </w:p>
    <w:p>
      <w:pPr>
        <w:numPr>
          <w:ilvl w:val="2"/>
          <w:numId w:val="101"/>
        </w:numPr>
        <w:tabs>
          <w:tab w:pos="3039" w:val="left" w:leader="none"/>
          <w:tab w:pos="3040" w:val="left" w:leader="none"/>
        </w:tabs>
        <w:spacing w:before="161"/>
        <w:ind w:left="3039" w:right="0" w:hanging="874"/>
        <w:jc w:val="left"/>
        <w:rPr>
          <w:b/>
          <w:sz w:val="18"/>
        </w:rPr>
      </w:pPr>
      <w:r>
        <w:rPr>
          <w:b/>
          <w:spacing w:val="2"/>
          <w:w w:val="110"/>
          <w:sz w:val="18"/>
        </w:rPr>
        <w:t>Response </w:t>
      </w:r>
      <w:r>
        <w:rPr>
          <w:b/>
          <w:w w:val="110"/>
          <w:sz w:val="18"/>
        </w:rPr>
        <w:t>to</w:t>
      </w:r>
      <w:r>
        <w:rPr>
          <w:b/>
          <w:spacing w:val="33"/>
          <w:w w:val="110"/>
          <w:sz w:val="18"/>
        </w:rPr>
        <w:t> </w:t>
      </w:r>
      <w:r>
        <w:rPr>
          <w:b/>
          <w:w w:val="110"/>
          <w:sz w:val="18"/>
        </w:rPr>
        <w:t>questionnaire</w:t>
      </w:r>
    </w:p>
    <w:p>
      <w:pPr>
        <w:numPr>
          <w:ilvl w:val="2"/>
          <w:numId w:val="101"/>
        </w:numPr>
        <w:tabs>
          <w:tab w:pos="3039" w:val="left" w:leader="none"/>
          <w:tab w:pos="3040" w:val="left" w:leader="none"/>
        </w:tabs>
        <w:spacing w:before="162"/>
        <w:ind w:left="3039" w:right="0" w:hanging="874"/>
        <w:jc w:val="left"/>
        <w:rPr>
          <w:b/>
          <w:sz w:val="18"/>
        </w:rPr>
      </w:pPr>
      <w:r>
        <w:rPr>
          <w:b/>
          <w:w w:val="110"/>
          <w:sz w:val="18"/>
        </w:rPr>
        <w:t>Conclusion and</w:t>
      </w:r>
      <w:r>
        <w:rPr>
          <w:b/>
          <w:spacing w:val="26"/>
          <w:w w:val="110"/>
          <w:sz w:val="18"/>
        </w:rPr>
        <w:t> </w:t>
      </w:r>
      <w:r>
        <w:rPr>
          <w:b/>
          <w:spacing w:val="2"/>
          <w:w w:val="110"/>
          <w:sz w:val="18"/>
        </w:rPr>
        <w:t>resolution</w:t>
      </w:r>
    </w:p>
    <w:p>
      <w:pPr>
        <w:spacing w:before="160"/>
        <w:ind w:left="124" w:right="0" w:firstLine="0"/>
        <w:jc w:val="left"/>
        <w:rPr>
          <w:sz w:val="18"/>
        </w:rPr>
      </w:pPr>
      <w:r>
        <w:rPr/>
        <w:br w:type="column"/>
      </w:r>
      <w:r>
        <w:rPr>
          <w:spacing w:val="-3"/>
          <w:w w:val="115"/>
          <w:sz w:val="14"/>
        </w:rPr>
        <w:t>..................................................... </w:t>
      </w:r>
      <w:r>
        <w:rPr>
          <w:spacing w:val="9"/>
          <w:w w:val="115"/>
          <w:sz w:val="14"/>
        </w:rPr>
        <w:t> </w:t>
      </w:r>
      <w:r>
        <w:rPr>
          <w:spacing w:val="-3"/>
          <w:w w:val="115"/>
          <w:sz w:val="18"/>
        </w:rPr>
        <w:t>13</w:t>
      </w:r>
    </w:p>
    <w:p>
      <w:pPr>
        <w:spacing w:before="161"/>
        <w:ind w:left="19" w:right="0" w:firstLine="0"/>
        <w:jc w:val="left"/>
        <w:rPr>
          <w:sz w:val="18"/>
        </w:rPr>
      </w:pPr>
      <w:r>
        <w:rPr>
          <w:spacing w:val="-3"/>
          <w:w w:val="115"/>
          <w:sz w:val="14"/>
        </w:rPr>
        <w:t>....................................................... </w:t>
      </w:r>
      <w:r>
        <w:rPr>
          <w:spacing w:val="8"/>
          <w:w w:val="115"/>
          <w:sz w:val="14"/>
        </w:rPr>
        <w:t> </w:t>
      </w:r>
      <w:r>
        <w:rPr>
          <w:spacing w:val="-6"/>
          <w:w w:val="115"/>
          <w:sz w:val="18"/>
        </w:rPr>
        <w:t>14</w:t>
      </w:r>
    </w:p>
    <w:p>
      <w:pPr>
        <w:spacing w:after="0"/>
        <w:jc w:val="left"/>
        <w:rPr>
          <w:sz w:val="18"/>
        </w:rPr>
        <w:sectPr>
          <w:type w:val="continuous"/>
          <w:pgSz w:w="11910" w:h="16840"/>
          <w:pgMar w:top="680" w:bottom="280" w:left="460" w:right="0"/>
          <w:cols w:num="2" w:equalWidth="0">
            <w:col w:w="6080" w:space="40"/>
            <w:col w:w="5330"/>
          </w:cols>
        </w:sectPr>
      </w:pPr>
    </w:p>
    <w:p>
      <w:pPr>
        <w:numPr>
          <w:ilvl w:val="2"/>
          <w:numId w:val="101"/>
        </w:numPr>
        <w:tabs>
          <w:tab w:pos="3039" w:val="left" w:leader="none"/>
          <w:tab w:pos="3040" w:val="left" w:leader="none"/>
          <w:tab w:pos="9574" w:val="right" w:leader="dot"/>
        </w:tabs>
        <w:spacing w:before="161"/>
        <w:ind w:left="3039" w:right="0" w:hanging="874"/>
        <w:jc w:val="left"/>
        <w:rPr>
          <w:sz w:val="18"/>
        </w:rPr>
      </w:pPr>
      <w:r>
        <w:rPr>
          <w:b/>
          <w:spacing w:val="2"/>
          <w:w w:val="110"/>
          <w:sz w:val="18"/>
        </w:rPr>
        <w:t>References</w:t>
        <w:tab/>
      </w:r>
      <w:r>
        <w:rPr>
          <w:spacing w:val="-3"/>
          <w:w w:val="110"/>
          <w:sz w:val="18"/>
        </w:rPr>
        <w:t>15</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spacing w:val="2"/>
          <w:w w:val="110"/>
          <w:sz w:val="18"/>
        </w:rPr>
        <w:t>Sources </w:t>
      </w:r>
      <w:r>
        <w:rPr>
          <w:b/>
          <w:w w:val="110"/>
          <w:sz w:val="18"/>
        </w:rPr>
        <w:t>of </w:t>
      </w:r>
      <w:r>
        <w:rPr>
          <w:b/>
          <w:spacing w:val="2"/>
          <w:w w:val="110"/>
          <w:sz w:val="18"/>
        </w:rPr>
        <w:t>further</w:t>
      </w:r>
      <w:r>
        <w:rPr>
          <w:b/>
          <w:spacing w:val="1"/>
          <w:w w:val="110"/>
          <w:sz w:val="18"/>
        </w:rPr>
        <w:t> </w:t>
      </w:r>
      <w:r>
        <w:rPr>
          <w:b/>
          <w:w w:val="110"/>
          <w:sz w:val="18"/>
        </w:rPr>
        <w:t>information</w:t>
        <w:tab/>
      </w:r>
      <w:r>
        <w:rPr>
          <w:spacing w:val="-5"/>
          <w:w w:val="110"/>
          <w:sz w:val="18"/>
        </w:rPr>
        <w:t>16</w:t>
      </w:r>
    </w:p>
    <w:p>
      <w:pPr>
        <w:numPr>
          <w:ilvl w:val="2"/>
          <w:numId w:val="101"/>
        </w:numPr>
        <w:tabs>
          <w:tab w:pos="3039" w:val="left" w:leader="none"/>
          <w:tab w:pos="3040" w:val="left" w:leader="none"/>
          <w:tab w:pos="9574" w:val="right" w:leader="dot"/>
        </w:tabs>
        <w:spacing w:before="162"/>
        <w:ind w:left="3039" w:right="0" w:hanging="874"/>
        <w:jc w:val="left"/>
        <w:rPr>
          <w:sz w:val="18"/>
        </w:rPr>
      </w:pPr>
      <w:r>
        <w:rPr>
          <w:b/>
          <w:spacing w:val="2"/>
          <w:w w:val="110"/>
          <w:sz w:val="18"/>
        </w:rPr>
        <w:t>Suggested</w:t>
      </w:r>
      <w:r>
        <w:rPr>
          <w:b/>
          <w:w w:val="110"/>
          <w:sz w:val="18"/>
        </w:rPr>
        <w:t> </w:t>
      </w:r>
      <w:r>
        <w:rPr>
          <w:b/>
          <w:spacing w:val="2"/>
          <w:w w:val="110"/>
          <w:sz w:val="18"/>
        </w:rPr>
        <w:t>further</w:t>
      </w:r>
      <w:r>
        <w:rPr>
          <w:b/>
          <w:spacing w:val="1"/>
          <w:w w:val="110"/>
          <w:sz w:val="18"/>
        </w:rPr>
        <w:t> </w:t>
      </w:r>
      <w:r>
        <w:rPr>
          <w:b/>
          <w:w w:val="110"/>
          <w:sz w:val="18"/>
        </w:rPr>
        <w:t>reading</w:t>
        <w:tab/>
      </w:r>
      <w:r>
        <w:rPr>
          <w:spacing w:val="-5"/>
          <w:w w:val="110"/>
          <w:sz w:val="18"/>
        </w:rPr>
        <w:t>16</w:t>
      </w:r>
    </w:p>
    <w:p>
      <w:pPr>
        <w:numPr>
          <w:ilvl w:val="2"/>
          <w:numId w:val="101"/>
        </w:numPr>
        <w:tabs>
          <w:tab w:pos="3039" w:val="left" w:leader="none"/>
          <w:tab w:pos="3040" w:val="left" w:leader="none"/>
          <w:tab w:pos="9329" w:val="left" w:leader="none"/>
        </w:tabs>
        <w:spacing w:before="161"/>
        <w:ind w:left="3039" w:right="0" w:hanging="874"/>
        <w:jc w:val="left"/>
        <w:rPr>
          <w:sz w:val="18"/>
        </w:rPr>
      </w:pPr>
      <w:r>
        <w:rPr>
          <w:b/>
          <w:w w:val="110"/>
          <w:sz w:val="18"/>
        </w:rPr>
        <w:t>Appendix A: Summary of </w:t>
      </w:r>
      <w:r>
        <w:rPr>
          <w:b/>
          <w:spacing w:val="2"/>
          <w:w w:val="110"/>
          <w:sz w:val="18"/>
        </w:rPr>
        <w:t>responses </w:t>
      </w:r>
      <w:r>
        <w:rPr>
          <w:b/>
          <w:spacing w:val="16"/>
          <w:w w:val="110"/>
          <w:sz w:val="18"/>
        </w:rPr>
        <w:t> </w:t>
      </w:r>
      <w:r>
        <w:rPr>
          <w:b/>
          <w:w w:val="110"/>
          <w:sz w:val="18"/>
        </w:rPr>
        <w:t>to</w:t>
      </w:r>
      <w:r>
        <w:rPr>
          <w:b/>
          <w:spacing w:val="17"/>
          <w:w w:val="110"/>
          <w:sz w:val="18"/>
        </w:rPr>
        <w:t> </w:t>
      </w:r>
      <w:r>
        <w:rPr>
          <w:b/>
          <w:w w:val="110"/>
          <w:sz w:val="18"/>
        </w:rPr>
        <w:t>questionnaire</w:t>
        <w:tab/>
      </w:r>
      <w:r>
        <w:rPr>
          <w:spacing w:val="-5"/>
          <w:w w:val="110"/>
          <w:sz w:val="18"/>
        </w:rPr>
        <w:t>17</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Appendix B: Example of a</w:t>
      </w:r>
      <w:r>
        <w:rPr>
          <w:b/>
          <w:spacing w:val="7"/>
          <w:w w:val="110"/>
          <w:sz w:val="18"/>
        </w:rPr>
        <w:t> </w:t>
      </w:r>
      <w:r>
        <w:rPr>
          <w:b/>
          <w:w w:val="110"/>
          <w:sz w:val="18"/>
        </w:rPr>
        <w:t>Living</w:t>
      </w:r>
      <w:r>
        <w:rPr>
          <w:b/>
          <w:spacing w:val="2"/>
          <w:w w:val="110"/>
          <w:sz w:val="18"/>
        </w:rPr>
        <w:t> </w:t>
      </w:r>
      <w:r>
        <w:rPr>
          <w:b/>
          <w:w w:val="110"/>
          <w:sz w:val="18"/>
        </w:rPr>
        <w:t>will</w:t>
        <w:tab/>
      </w:r>
      <w:r>
        <w:rPr>
          <w:w w:val="110"/>
          <w:sz w:val="18"/>
        </w:rPr>
        <w:t>23</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Appendix C:</w:t>
      </w:r>
      <w:r>
        <w:rPr>
          <w:b/>
          <w:spacing w:val="1"/>
          <w:w w:val="110"/>
          <w:sz w:val="18"/>
        </w:rPr>
        <w:t> </w:t>
      </w:r>
      <w:r>
        <w:rPr>
          <w:b/>
          <w:w w:val="110"/>
          <w:sz w:val="18"/>
        </w:rPr>
        <w:t>Parish</w:t>
      </w:r>
      <w:r>
        <w:rPr>
          <w:b/>
          <w:spacing w:val="1"/>
          <w:w w:val="110"/>
          <w:sz w:val="18"/>
        </w:rPr>
        <w:t> </w:t>
      </w:r>
      <w:r>
        <w:rPr>
          <w:b/>
          <w:w w:val="110"/>
          <w:sz w:val="18"/>
        </w:rPr>
        <w:t>Nursing</w:t>
        <w:tab/>
      </w:r>
      <w:r>
        <w:rPr>
          <w:spacing w:val="-3"/>
          <w:w w:val="110"/>
          <w:sz w:val="18"/>
        </w:rPr>
        <w:t>27</w:t>
      </w:r>
    </w:p>
    <w:p>
      <w:pPr>
        <w:numPr>
          <w:ilvl w:val="2"/>
          <w:numId w:val="101"/>
        </w:numPr>
        <w:tabs>
          <w:tab w:pos="3039" w:val="left" w:leader="none"/>
          <w:tab w:pos="3040" w:val="left" w:leader="none"/>
          <w:tab w:pos="9574" w:val="right" w:leader="dot"/>
        </w:tabs>
        <w:spacing w:before="161"/>
        <w:ind w:left="3039" w:right="0" w:hanging="874"/>
        <w:jc w:val="left"/>
        <w:rPr>
          <w:sz w:val="18"/>
        </w:rPr>
      </w:pPr>
      <w:r>
        <w:rPr>
          <w:b/>
          <w:w w:val="110"/>
          <w:sz w:val="18"/>
        </w:rPr>
        <w:t>Appendix D: Christian</w:t>
      </w:r>
      <w:r>
        <w:rPr>
          <w:b/>
          <w:spacing w:val="-2"/>
          <w:w w:val="110"/>
          <w:sz w:val="18"/>
        </w:rPr>
        <w:t> </w:t>
      </w:r>
      <w:r>
        <w:rPr>
          <w:b/>
          <w:w w:val="110"/>
          <w:sz w:val="18"/>
        </w:rPr>
        <w:t>Healing</w:t>
      </w:r>
      <w:r>
        <w:rPr>
          <w:b/>
          <w:spacing w:val="3"/>
          <w:w w:val="110"/>
          <w:sz w:val="18"/>
        </w:rPr>
        <w:t> </w:t>
      </w:r>
      <w:r>
        <w:rPr>
          <w:b/>
          <w:w w:val="110"/>
          <w:sz w:val="18"/>
        </w:rPr>
        <w:t>Ministry</w:t>
        <w:tab/>
      </w:r>
      <w:r>
        <w:rPr>
          <w:w w:val="110"/>
          <w:sz w:val="18"/>
        </w:rPr>
        <w:t>29</w:t>
      </w:r>
    </w:p>
    <w:p>
      <w:pPr>
        <w:numPr>
          <w:ilvl w:val="2"/>
          <w:numId w:val="101"/>
        </w:numPr>
        <w:tabs>
          <w:tab w:pos="3039" w:val="left" w:leader="none"/>
          <w:tab w:pos="3040" w:val="left" w:leader="none"/>
          <w:tab w:pos="9574" w:val="right" w:leader="dot"/>
        </w:tabs>
        <w:spacing w:before="162"/>
        <w:ind w:left="3039" w:right="0" w:hanging="874"/>
        <w:jc w:val="left"/>
        <w:rPr>
          <w:sz w:val="18"/>
        </w:rPr>
      </w:pPr>
      <w:r>
        <w:rPr>
          <w:b/>
          <w:w w:val="110"/>
          <w:sz w:val="18"/>
        </w:rPr>
        <w:t>Study Guide</w:t>
        <w:tab/>
      </w:r>
      <w:r>
        <w:rPr>
          <w:spacing w:val="-4"/>
          <w:w w:val="110"/>
          <w:sz w:val="18"/>
        </w:rPr>
        <w:t>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group style="position:absolute;margin-left:102.991997pt;margin-top:11.846787pt;width:407.25pt;height:2.5pt;mso-position-horizontal-relative:page;mso-position-vertical-relative:paragraph;z-index:-251460608;mso-wrap-distance-left:0;mso-wrap-distance-right:0" coordorigin="2060,237" coordsize="8145,50">
            <v:line style="position:absolute" from="2060,282" to="10205,282" stroked="true" strokeweight=".5pt" strokecolor="#000000">
              <v:stroke dashstyle="solid"/>
            </v:line>
            <v:line style="position:absolute" from="2060,242" to="10205,242" stroked="true" strokeweight=".5pt" strokecolor="#000000">
              <v:stroke dashstyle="solid"/>
            </v:line>
            <w10:wrap type="topAndBottom"/>
          </v:group>
        </w:pict>
      </w:r>
    </w:p>
    <w:p>
      <w:pPr>
        <w:pStyle w:val="BodyText"/>
        <w:spacing w:line="273" w:lineRule="auto" w:before="170"/>
        <w:ind w:left="1599" w:right="2219"/>
      </w:pPr>
      <w:r>
        <w:rPr>
          <w:w w:val="110"/>
        </w:rPr>
        <w:t>A booklet containing the Paper and the Guide, in a more accessible format, will be available soon after General Assembly. We hope that it will prove to be a valuable resource for church groups. Enquiries to Church and Society</w:t>
      </w:r>
      <w:hyperlink r:id="rId155">
        <w:r>
          <w:rPr>
            <w:w w:val="110"/>
          </w:rPr>
          <w:t> church.society@urc.org.uk </w:t>
        </w:r>
      </w:hyperlink>
      <w:r>
        <w:rPr>
          <w:w w:val="110"/>
        </w:rPr>
        <w:t>or 86 Tavistock Place, London WC1H 9RT.</w:t>
      </w:r>
    </w:p>
    <w:p>
      <w:pPr>
        <w:pStyle w:val="BodyText"/>
        <w:spacing w:before="6"/>
        <w:rPr>
          <w:sz w:val="13"/>
        </w:rPr>
      </w:pPr>
      <w:r>
        <w:rPr/>
        <w:pict>
          <v:shape style="position:absolute;margin-left:102.991997pt;margin-top:10.422773pt;width:407.25pt;height:.1pt;mso-position-horizontal-relative:page;mso-position-vertical-relative:paragraph;z-index:-251459584;mso-wrap-distance-left:0;mso-wrap-distance-right:0" coordorigin="2060,208" coordsize="8145,0" path="m2060,208l10205,208e" filled="false" stroked="true" strokeweight=".5pt" strokecolor="#000000">
            <v:path arrowok="t"/>
            <v:stroke dashstyle="solid"/>
            <w10:wrap type="topAndBottom"/>
          </v:shape>
        </w:pict>
      </w:r>
    </w:p>
    <w:p>
      <w:pPr>
        <w:spacing w:after="0"/>
        <w:rPr>
          <w:sz w:val="13"/>
        </w:rPr>
        <w:sectPr>
          <w:type w:val="continuous"/>
          <w:pgSz w:w="11910" w:h="16840"/>
          <w:pgMar w:top="680" w:bottom="280" w:left="460" w:right="0"/>
        </w:sectPr>
      </w:pPr>
    </w:p>
    <w:p>
      <w:pPr>
        <w:pStyle w:val="ListParagraph"/>
        <w:numPr>
          <w:ilvl w:val="0"/>
          <w:numId w:val="102"/>
        </w:numPr>
        <w:tabs>
          <w:tab w:pos="1960" w:val="left" w:leader="none"/>
          <w:tab w:pos="1961" w:val="left" w:leader="none"/>
        </w:tabs>
        <w:spacing w:line="240" w:lineRule="auto" w:before="75" w:after="0"/>
        <w:ind w:left="1960" w:right="0" w:hanging="721"/>
        <w:jc w:val="left"/>
        <w:rPr>
          <w:b/>
          <w:sz w:val="29"/>
        </w:rPr>
      </w:pPr>
      <w:r>
        <w:rPr/>
        <w:pict>
          <v:shape style="position:absolute;margin-left:505.572693pt;margin-top:36.841114pt;width:68.6pt;height:449.75pt;mso-position-horizontal-relative:page;mso-position-vertical-relative:page;z-index:251859968" type="#_x0000_t202" filled="false" stroked="false">
            <v:textbox inset="0,0,0,0" style="layout-flow:vertical">
              <w:txbxContent>
                <w:p>
                  <w:pPr>
                    <w:spacing w:line="938" w:lineRule="exact" w:before="20"/>
                    <w:ind w:left="20" w:right="0" w:firstLine="0"/>
                    <w:jc w:val="left"/>
                    <w:rPr>
                      <w:b/>
                      <w:sz w:val="80"/>
                    </w:rPr>
                  </w:pPr>
                  <w:r>
                    <w:rPr>
                      <w:b/>
                      <w:sz w:val="80"/>
                    </w:rPr>
                    <w:t>Assisted Dying</w:t>
                  </w:r>
                </w:p>
                <w:p>
                  <w:pPr>
                    <w:spacing w:line="411" w:lineRule="exact" w:before="0"/>
                    <w:ind w:left="5197" w:right="0" w:firstLine="0"/>
                    <w:jc w:val="left"/>
                    <w:rPr>
                      <w:rFonts w:ascii="Eurostile Bold"/>
                      <w:b/>
                      <w:sz w:val="36"/>
                    </w:rPr>
                  </w:pPr>
                  <w:r>
                    <w:rPr>
                      <w:rFonts w:ascii="Eurostile Bold"/>
                      <w:b/>
                      <w:color w:val="ACACAC"/>
                      <w:w w:val="85"/>
                      <w:sz w:val="36"/>
                    </w:rPr>
                    <w:t>General Assembly 2007</w:t>
                  </w:r>
                </w:p>
              </w:txbxContent>
            </v:textbox>
            <w10:wrap type="none"/>
          </v:shape>
        </w:pict>
      </w:r>
      <w:r>
        <w:rPr>
          <w:b/>
          <w:spacing w:val="-5"/>
          <w:w w:val="110"/>
          <w:sz w:val="29"/>
        </w:rPr>
        <w:t>Why </w:t>
      </w:r>
      <w:r>
        <w:rPr>
          <w:b/>
          <w:w w:val="110"/>
          <w:sz w:val="29"/>
        </w:rPr>
        <w:t>this debate</w:t>
      </w:r>
      <w:r>
        <w:rPr>
          <w:b/>
          <w:spacing w:val="5"/>
          <w:w w:val="110"/>
          <w:sz w:val="29"/>
        </w:rPr>
        <w:t> </w:t>
      </w:r>
      <w:r>
        <w:rPr>
          <w:b/>
          <w:spacing w:val="-3"/>
          <w:w w:val="110"/>
          <w:sz w:val="29"/>
        </w:rPr>
        <w:t>now?</w:t>
      </w:r>
    </w:p>
    <w:p>
      <w:pPr>
        <w:pStyle w:val="ListParagraph"/>
        <w:numPr>
          <w:ilvl w:val="1"/>
          <w:numId w:val="102"/>
        </w:numPr>
        <w:tabs>
          <w:tab w:pos="1960" w:val="left" w:leader="none"/>
          <w:tab w:pos="1961" w:val="left" w:leader="none"/>
        </w:tabs>
        <w:spacing w:line="273" w:lineRule="auto" w:before="258" w:after="0"/>
        <w:ind w:left="1240" w:right="2612" w:firstLine="0"/>
        <w:jc w:val="left"/>
        <w:rPr>
          <w:sz w:val="18"/>
        </w:rPr>
      </w:pPr>
      <w:r>
        <w:rPr>
          <w:w w:val="110"/>
          <w:sz w:val="18"/>
        </w:rPr>
        <w:t>The context is a momentum for change to the legislation governing euthanasia, which saw </w:t>
      </w:r>
      <w:r>
        <w:rPr>
          <w:spacing w:val="2"/>
          <w:w w:val="110"/>
          <w:sz w:val="18"/>
        </w:rPr>
        <w:t>Lord </w:t>
      </w:r>
      <w:r>
        <w:rPr>
          <w:w w:val="110"/>
          <w:sz w:val="18"/>
        </w:rPr>
        <w:t>Joffe’s </w:t>
      </w:r>
      <w:r>
        <w:rPr>
          <w:i/>
          <w:w w:val="110"/>
          <w:sz w:val="18"/>
        </w:rPr>
        <w:t>Assisted Dying for the Terminally Ill Bill </w:t>
      </w:r>
      <w:r>
        <w:rPr>
          <w:spacing w:val="2"/>
          <w:w w:val="110"/>
          <w:sz w:val="18"/>
        </w:rPr>
        <w:t>attract </w:t>
      </w:r>
      <w:r>
        <w:rPr>
          <w:w w:val="110"/>
          <w:sz w:val="18"/>
        </w:rPr>
        <w:t>considerable support in the House of </w:t>
      </w:r>
      <w:r>
        <w:rPr>
          <w:spacing w:val="2"/>
          <w:w w:val="110"/>
          <w:sz w:val="18"/>
        </w:rPr>
        <w:t>Lords </w:t>
      </w:r>
      <w:r>
        <w:rPr>
          <w:w w:val="110"/>
          <w:sz w:val="18"/>
        </w:rPr>
        <w:t>early in 2006. The Bill was</w:t>
      </w:r>
      <w:r>
        <w:rPr>
          <w:spacing w:val="9"/>
          <w:w w:val="110"/>
          <w:sz w:val="18"/>
        </w:rPr>
        <w:t> </w:t>
      </w:r>
      <w:r>
        <w:rPr>
          <w:w w:val="110"/>
          <w:sz w:val="18"/>
        </w:rPr>
        <w:t>eventually</w:t>
      </w:r>
      <w:r>
        <w:rPr>
          <w:spacing w:val="10"/>
          <w:w w:val="110"/>
          <w:sz w:val="18"/>
        </w:rPr>
        <w:t> </w:t>
      </w:r>
      <w:r>
        <w:rPr>
          <w:w w:val="110"/>
          <w:sz w:val="18"/>
        </w:rPr>
        <w:t>defeated,</w:t>
      </w:r>
      <w:r>
        <w:rPr>
          <w:spacing w:val="9"/>
          <w:w w:val="110"/>
          <w:sz w:val="18"/>
        </w:rPr>
        <w:t> </w:t>
      </w:r>
      <w:r>
        <w:rPr>
          <w:w w:val="110"/>
          <w:sz w:val="18"/>
        </w:rPr>
        <w:t>due</w:t>
      </w:r>
      <w:r>
        <w:rPr>
          <w:spacing w:val="10"/>
          <w:w w:val="110"/>
          <w:sz w:val="18"/>
        </w:rPr>
        <w:t> </w:t>
      </w:r>
      <w:r>
        <w:rPr>
          <w:w w:val="110"/>
          <w:sz w:val="18"/>
        </w:rPr>
        <w:t>in</w:t>
      </w:r>
      <w:r>
        <w:rPr>
          <w:spacing w:val="9"/>
          <w:w w:val="110"/>
          <w:sz w:val="18"/>
        </w:rPr>
        <w:t> </w:t>
      </w:r>
      <w:r>
        <w:rPr>
          <w:spacing w:val="2"/>
          <w:w w:val="110"/>
          <w:sz w:val="18"/>
        </w:rPr>
        <w:t>part</w:t>
      </w:r>
      <w:r>
        <w:rPr>
          <w:spacing w:val="10"/>
          <w:w w:val="110"/>
          <w:sz w:val="18"/>
        </w:rPr>
        <w:t> </w:t>
      </w:r>
      <w:r>
        <w:rPr>
          <w:w w:val="110"/>
          <w:sz w:val="18"/>
        </w:rPr>
        <w:t>to</w:t>
      </w:r>
      <w:r>
        <w:rPr>
          <w:spacing w:val="9"/>
          <w:w w:val="110"/>
          <w:sz w:val="18"/>
        </w:rPr>
        <w:t> </w:t>
      </w:r>
      <w:r>
        <w:rPr>
          <w:w w:val="110"/>
          <w:sz w:val="18"/>
        </w:rPr>
        <w:t>opposition</w:t>
      </w:r>
      <w:r>
        <w:rPr>
          <w:spacing w:val="10"/>
          <w:w w:val="110"/>
          <w:sz w:val="18"/>
        </w:rPr>
        <w:t> </w:t>
      </w:r>
      <w:r>
        <w:rPr>
          <w:spacing w:val="2"/>
          <w:w w:val="110"/>
          <w:sz w:val="18"/>
        </w:rPr>
        <w:t>from</w:t>
      </w:r>
      <w:r>
        <w:rPr>
          <w:spacing w:val="9"/>
          <w:w w:val="110"/>
          <w:sz w:val="18"/>
        </w:rPr>
        <w:t> </w:t>
      </w:r>
      <w:r>
        <w:rPr>
          <w:w w:val="110"/>
          <w:sz w:val="18"/>
        </w:rPr>
        <w:t>Church</w:t>
      </w:r>
      <w:r>
        <w:rPr>
          <w:spacing w:val="10"/>
          <w:w w:val="110"/>
          <w:sz w:val="18"/>
        </w:rPr>
        <w:t> </w:t>
      </w:r>
      <w:r>
        <w:rPr>
          <w:w w:val="110"/>
          <w:sz w:val="18"/>
        </w:rPr>
        <w:t>of</w:t>
      </w:r>
      <w:r>
        <w:rPr>
          <w:spacing w:val="9"/>
          <w:w w:val="110"/>
          <w:sz w:val="18"/>
        </w:rPr>
        <w:t> </w:t>
      </w:r>
      <w:r>
        <w:rPr>
          <w:w w:val="110"/>
          <w:sz w:val="18"/>
        </w:rPr>
        <w:t>England</w:t>
      </w:r>
    </w:p>
    <w:p>
      <w:pPr>
        <w:pStyle w:val="BodyText"/>
        <w:spacing w:line="273" w:lineRule="auto" w:before="3"/>
        <w:ind w:left="1240" w:right="2181"/>
      </w:pPr>
      <w:r>
        <w:rPr>
          <w:w w:val="110"/>
        </w:rPr>
        <w:t>bishops sitting in the Lords, but there will almost certainly be </w:t>
      </w:r>
      <w:r>
        <w:rPr>
          <w:spacing w:val="2"/>
          <w:w w:val="110"/>
        </w:rPr>
        <w:t>fresh </w:t>
      </w:r>
      <w:r>
        <w:rPr>
          <w:w w:val="110"/>
        </w:rPr>
        <w:t>attempts to amend the </w:t>
      </w:r>
      <w:r>
        <w:rPr>
          <w:spacing w:val="-3"/>
          <w:w w:val="110"/>
        </w:rPr>
        <w:t>law. </w:t>
      </w:r>
      <w:r>
        <w:rPr>
          <w:w w:val="110"/>
        </w:rPr>
        <w:t>Some Christian denominations have clearly stated positions on </w:t>
      </w:r>
      <w:r>
        <w:rPr>
          <w:spacing w:val="2"/>
          <w:w w:val="110"/>
        </w:rPr>
        <w:t>Assisted </w:t>
      </w:r>
      <w:r>
        <w:rPr>
          <w:w w:val="110"/>
        </w:rPr>
        <w:t>Dying and Euthanasia; </w:t>
      </w:r>
      <w:r>
        <w:rPr>
          <w:spacing w:val="-3"/>
          <w:w w:val="110"/>
        </w:rPr>
        <w:t>however, </w:t>
      </w:r>
      <w:r>
        <w:rPr>
          <w:w w:val="110"/>
        </w:rPr>
        <w:t>these issues have not been formally discussed by the United Reformed Church. A </w:t>
      </w:r>
      <w:r>
        <w:rPr>
          <w:spacing w:val="2"/>
          <w:w w:val="110"/>
        </w:rPr>
        <w:t>resource </w:t>
      </w:r>
      <w:r>
        <w:rPr>
          <w:w w:val="110"/>
        </w:rPr>
        <w:t>pack </w:t>
      </w:r>
      <w:r>
        <w:rPr>
          <w:i/>
          <w:w w:val="110"/>
        </w:rPr>
        <w:t>A Time </w:t>
      </w:r>
      <w:r>
        <w:rPr>
          <w:i/>
          <w:spacing w:val="-7"/>
          <w:w w:val="110"/>
        </w:rPr>
        <w:t>To </w:t>
      </w:r>
      <w:r>
        <w:rPr>
          <w:i/>
          <w:w w:val="110"/>
        </w:rPr>
        <w:t>Die </w:t>
      </w:r>
      <w:r>
        <w:rPr>
          <w:w w:val="110"/>
        </w:rPr>
        <w:t>produced by Church and </w:t>
      </w:r>
      <w:r>
        <w:rPr>
          <w:spacing w:val="2"/>
          <w:w w:val="110"/>
        </w:rPr>
        <w:t>Society </w:t>
      </w:r>
      <w:r>
        <w:rPr>
          <w:w w:val="110"/>
        </w:rPr>
        <w:t>in 2002 covered issues of bereavement and  loss but deliberately made no </w:t>
      </w:r>
      <w:r>
        <w:rPr>
          <w:spacing w:val="2"/>
          <w:w w:val="110"/>
        </w:rPr>
        <w:t>reference </w:t>
      </w:r>
      <w:r>
        <w:rPr>
          <w:w w:val="110"/>
        </w:rPr>
        <w:t>to assisted suicide, for the reason that: </w:t>
      </w:r>
      <w:r>
        <w:rPr>
          <w:i/>
          <w:w w:val="110"/>
        </w:rPr>
        <w:t>euthanasia is at present not legal in this country</w:t>
      </w:r>
      <w:r>
        <w:rPr>
          <w:i/>
          <w:spacing w:val="23"/>
          <w:w w:val="110"/>
        </w:rPr>
        <w:t> </w:t>
      </w:r>
      <w:r>
        <w:rPr>
          <w:spacing w:val="-5"/>
          <w:w w:val="110"/>
          <w:position w:val="6"/>
          <w:sz w:val="10"/>
        </w:rPr>
        <w:t>(1)</w:t>
      </w:r>
      <w:r>
        <w:rPr>
          <w:spacing w:val="-5"/>
          <w:w w:val="110"/>
        </w:rPr>
        <w:t>.</w:t>
      </w:r>
    </w:p>
    <w:p>
      <w:pPr>
        <w:pStyle w:val="BodyText"/>
        <w:spacing w:before="11"/>
        <w:rPr>
          <w:sz w:val="20"/>
        </w:rPr>
      </w:pPr>
    </w:p>
    <w:p>
      <w:pPr>
        <w:pStyle w:val="ListParagraph"/>
        <w:numPr>
          <w:ilvl w:val="1"/>
          <w:numId w:val="102"/>
        </w:numPr>
        <w:tabs>
          <w:tab w:pos="1960" w:val="left" w:leader="none"/>
          <w:tab w:pos="1961" w:val="left" w:leader="none"/>
        </w:tabs>
        <w:spacing w:line="240" w:lineRule="auto" w:before="0" w:after="0"/>
        <w:ind w:left="1960" w:right="0" w:hanging="721"/>
        <w:jc w:val="left"/>
        <w:rPr>
          <w:sz w:val="18"/>
        </w:rPr>
      </w:pPr>
      <w:r>
        <w:rPr>
          <w:w w:val="110"/>
          <w:sz w:val="18"/>
        </w:rPr>
        <w:t>The Church and </w:t>
      </w:r>
      <w:r>
        <w:rPr>
          <w:spacing w:val="2"/>
          <w:w w:val="110"/>
          <w:sz w:val="18"/>
        </w:rPr>
        <w:t>Society </w:t>
      </w:r>
      <w:r>
        <w:rPr>
          <w:w w:val="110"/>
          <w:sz w:val="18"/>
        </w:rPr>
        <w:t>committee agreed in January 2006 that</w:t>
      </w:r>
      <w:r>
        <w:rPr>
          <w:spacing w:val="29"/>
          <w:w w:val="110"/>
          <w:sz w:val="18"/>
        </w:rPr>
        <w:t> </w:t>
      </w:r>
      <w:r>
        <w:rPr>
          <w:w w:val="110"/>
          <w:sz w:val="18"/>
        </w:rPr>
        <w:t>this</w:t>
      </w:r>
    </w:p>
    <w:p>
      <w:pPr>
        <w:pStyle w:val="BodyText"/>
        <w:spacing w:line="273" w:lineRule="auto" w:before="31"/>
        <w:ind w:left="1240" w:right="2009"/>
      </w:pPr>
      <w:r>
        <w:rPr>
          <w:w w:val="110"/>
        </w:rPr>
        <w:t>was an issue that the Church should be encouraged to consider and the intention to mount a debate was signalled in the report to General Assembly in 2006 </w:t>
      </w:r>
      <w:r>
        <w:rPr>
          <w:w w:val="110"/>
          <w:position w:val="6"/>
          <w:sz w:val="10"/>
        </w:rPr>
        <w:t>(2)</w:t>
      </w:r>
      <w:r>
        <w:rPr>
          <w:w w:val="110"/>
        </w:rPr>
        <w:t>.</w:t>
      </w:r>
    </w:p>
    <w:p>
      <w:pPr>
        <w:pStyle w:val="BodyText"/>
        <w:spacing w:before="1"/>
        <w:ind w:left="1240"/>
      </w:pPr>
      <w:r>
        <w:rPr>
          <w:w w:val="110"/>
        </w:rPr>
        <w:t>The Committee has encouraged discussion through:</w:t>
      </w:r>
    </w:p>
    <w:p>
      <w:pPr>
        <w:pStyle w:val="BodyText"/>
        <w:spacing w:before="2"/>
        <w:rPr>
          <w:sz w:val="23"/>
        </w:rPr>
      </w:pPr>
    </w:p>
    <w:p>
      <w:pPr>
        <w:pStyle w:val="BodyText"/>
        <w:spacing w:line="273" w:lineRule="auto"/>
        <w:ind w:left="1960" w:right="2348"/>
      </w:pPr>
      <w:r>
        <w:rPr>
          <w:w w:val="110"/>
        </w:rPr>
        <w:t>A questionnaire, distributed widely and available at General Assembly 2006. (Section 9 and Appendix A);</w:t>
      </w:r>
    </w:p>
    <w:p>
      <w:pPr>
        <w:pStyle w:val="BodyText"/>
        <w:spacing w:before="1"/>
        <w:ind w:left="1960"/>
      </w:pPr>
      <w:r>
        <w:rPr>
          <w:w w:val="110"/>
        </w:rPr>
        <w:t>The Church and Society network hotline;</w:t>
      </w:r>
    </w:p>
    <w:p>
      <w:pPr>
        <w:pStyle w:val="BodyText"/>
        <w:spacing w:line="273" w:lineRule="auto" w:before="31"/>
        <w:ind w:left="1960" w:right="4041"/>
      </w:pPr>
      <w:r>
        <w:rPr>
          <w:w w:val="110"/>
        </w:rPr>
        <w:t>The Church and </w:t>
      </w:r>
      <w:r>
        <w:rPr>
          <w:spacing w:val="2"/>
          <w:w w:val="110"/>
        </w:rPr>
        <w:t>Society </w:t>
      </w:r>
      <w:r>
        <w:rPr>
          <w:w w:val="110"/>
        </w:rPr>
        <w:t>pages on the URC website; An </w:t>
      </w:r>
      <w:r>
        <w:rPr>
          <w:spacing w:val="2"/>
          <w:w w:val="110"/>
        </w:rPr>
        <w:t>article </w:t>
      </w:r>
      <w:r>
        <w:rPr>
          <w:w w:val="110"/>
        </w:rPr>
        <w:t>in the </w:t>
      </w:r>
      <w:r>
        <w:rPr>
          <w:spacing w:val="2"/>
          <w:w w:val="110"/>
        </w:rPr>
        <w:t>October </w:t>
      </w:r>
      <w:r>
        <w:rPr>
          <w:w w:val="110"/>
        </w:rPr>
        <w:t>2006 edition of Reform;</w:t>
      </w:r>
      <w:r>
        <w:rPr>
          <w:spacing w:val="64"/>
          <w:w w:val="110"/>
        </w:rPr>
        <w:t> </w:t>
      </w:r>
      <w:r>
        <w:rPr>
          <w:w w:val="110"/>
        </w:rPr>
        <w:t>and</w:t>
      </w:r>
    </w:p>
    <w:p>
      <w:pPr>
        <w:pStyle w:val="BodyText"/>
        <w:spacing w:line="273" w:lineRule="auto" w:before="2"/>
        <w:ind w:left="1960" w:right="2348"/>
      </w:pPr>
      <w:r>
        <w:rPr>
          <w:w w:val="110"/>
        </w:rPr>
        <w:t>The Secretary raising the issue during visits to synods, districts and local churches;</w:t>
      </w:r>
    </w:p>
    <w:p>
      <w:pPr>
        <w:pStyle w:val="BodyText"/>
        <w:spacing w:before="1"/>
        <w:ind w:left="1960"/>
      </w:pPr>
      <w:r>
        <w:rPr>
          <w:w w:val="110"/>
        </w:rPr>
        <w:t>A study guide.</w:t>
      </w:r>
    </w:p>
    <w:p>
      <w:pPr>
        <w:pStyle w:val="BodyText"/>
        <w:spacing w:before="2"/>
        <w:rPr>
          <w:sz w:val="23"/>
        </w:rPr>
      </w:pPr>
    </w:p>
    <w:p>
      <w:pPr>
        <w:pStyle w:val="ListParagraph"/>
        <w:numPr>
          <w:ilvl w:val="1"/>
          <w:numId w:val="102"/>
        </w:numPr>
        <w:tabs>
          <w:tab w:pos="1960" w:val="left" w:leader="none"/>
          <w:tab w:pos="1961" w:val="left" w:leader="none"/>
        </w:tabs>
        <w:spacing w:line="273" w:lineRule="auto" w:before="0" w:after="0"/>
        <w:ind w:left="1240" w:right="2196" w:firstLine="0"/>
        <w:jc w:val="left"/>
        <w:rPr>
          <w:sz w:val="18"/>
        </w:rPr>
      </w:pPr>
      <w:r>
        <w:rPr>
          <w:w w:val="110"/>
          <w:sz w:val="18"/>
        </w:rPr>
        <w:t>Many responded, their views nearly always being based upon formative personal experiences, either as a professional carer, or as a result of living through the death of a loved one. Encouragingly, some churches and </w:t>
      </w:r>
      <w:r>
        <w:rPr>
          <w:spacing w:val="2"/>
          <w:w w:val="110"/>
          <w:sz w:val="18"/>
        </w:rPr>
        <w:t>districts reported </w:t>
      </w:r>
      <w:r>
        <w:rPr>
          <w:w w:val="110"/>
          <w:sz w:val="18"/>
        </w:rPr>
        <w:t>that they held discussions, </w:t>
      </w:r>
      <w:r>
        <w:rPr>
          <w:spacing w:val="2"/>
          <w:w w:val="110"/>
          <w:sz w:val="18"/>
        </w:rPr>
        <w:t>often </w:t>
      </w:r>
      <w:r>
        <w:rPr>
          <w:w w:val="110"/>
          <w:sz w:val="18"/>
        </w:rPr>
        <w:t>led by people who had briefed themselves for the task. Invariably, the </w:t>
      </w:r>
      <w:r>
        <w:rPr>
          <w:spacing w:val="3"/>
          <w:w w:val="110"/>
          <w:sz w:val="18"/>
        </w:rPr>
        <w:t>report </w:t>
      </w:r>
      <w:r>
        <w:rPr>
          <w:w w:val="110"/>
          <w:sz w:val="18"/>
        </w:rPr>
        <w:t>back was that the</w:t>
      </w:r>
      <w:r>
        <w:rPr>
          <w:spacing w:val="55"/>
          <w:w w:val="110"/>
          <w:sz w:val="18"/>
        </w:rPr>
        <w:t> </w:t>
      </w:r>
      <w:r>
        <w:rPr>
          <w:w w:val="110"/>
          <w:sz w:val="18"/>
        </w:rPr>
        <w:t>debate</w:t>
      </w:r>
    </w:p>
    <w:p>
      <w:pPr>
        <w:pStyle w:val="BodyText"/>
        <w:spacing w:line="273" w:lineRule="auto" w:before="3"/>
        <w:ind w:left="1240" w:right="2550"/>
      </w:pPr>
      <w:r>
        <w:rPr>
          <w:w w:val="110"/>
        </w:rPr>
        <w:t>was </w:t>
      </w:r>
      <w:r>
        <w:rPr>
          <w:spacing w:val="-3"/>
          <w:w w:val="110"/>
        </w:rPr>
        <w:t>lively, </w:t>
      </w:r>
      <w:r>
        <w:rPr>
          <w:w w:val="110"/>
        </w:rPr>
        <w:t>with people sharing a range of experiences. By </w:t>
      </w:r>
      <w:r>
        <w:rPr>
          <w:spacing w:val="2"/>
          <w:w w:val="110"/>
        </w:rPr>
        <w:t>February </w:t>
      </w:r>
      <w:r>
        <w:rPr>
          <w:spacing w:val="-7"/>
          <w:w w:val="110"/>
        </w:rPr>
        <w:t>2007, </w:t>
      </w:r>
      <w:r>
        <w:rPr>
          <w:w w:val="110"/>
        </w:rPr>
        <w:t>139 </w:t>
      </w:r>
      <w:r>
        <w:rPr>
          <w:spacing w:val="2"/>
          <w:w w:val="110"/>
        </w:rPr>
        <w:t>responses </w:t>
      </w:r>
      <w:r>
        <w:rPr>
          <w:w w:val="110"/>
        </w:rPr>
        <w:t>had been received, including </w:t>
      </w:r>
      <w:r>
        <w:rPr>
          <w:spacing w:val="-3"/>
          <w:w w:val="110"/>
        </w:rPr>
        <w:t>12 </w:t>
      </w:r>
      <w:r>
        <w:rPr>
          <w:spacing w:val="2"/>
          <w:w w:val="110"/>
        </w:rPr>
        <w:t>from </w:t>
      </w:r>
      <w:r>
        <w:rPr>
          <w:w w:val="110"/>
        </w:rPr>
        <w:t>groups. Trends </w:t>
      </w:r>
      <w:r>
        <w:rPr>
          <w:spacing w:val="2"/>
          <w:w w:val="110"/>
        </w:rPr>
        <w:t>from </w:t>
      </w:r>
      <w:r>
        <w:rPr>
          <w:w w:val="110"/>
        </w:rPr>
        <w:t>the </w:t>
      </w:r>
      <w:r>
        <w:rPr>
          <w:spacing w:val="2"/>
          <w:w w:val="110"/>
        </w:rPr>
        <w:t>responses </w:t>
      </w:r>
      <w:r>
        <w:rPr>
          <w:w w:val="110"/>
        </w:rPr>
        <w:t>are highlighted in </w:t>
      </w:r>
      <w:r>
        <w:rPr>
          <w:spacing w:val="2"/>
          <w:w w:val="110"/>
        </w:rPr>
        <w:t>Section </w:t>
      </w:r>
      <w:r>
        <w:rPr>
          <w:spacing w:val="-5"/>
          <w:w w:val="110"/>
        </w:rPr>
        <w:t>9; </w:t>
      </w:r>
      <w:r>
        <w:rPr>
          <w:w w:val="110"/>
        </w:rPr>
        <w:t>the questions asked and a fuller summary of </w:t>
      </w:r>
      <w:r>
        <w:rPr>
          <w:spacing w:val="2"/>
          <w:w w:val="110"/>
        </w:rPr>
        <w:t>responses </w:t>
      </w:r>
      <w:r>
        <w:rPr>
          <w:w w:val="110"/>
        </w:rPr>
        <w:t>will be found in Appendix</w:t>
      </w:r>
      <w:r>
        <w:rPr>
          <w:spacing w:val="16"/>
          <w:w w:val="110"/>
        </w:rPr>
        <w:t> </w:t>
      </w:r>
      <w:r>
        <w:rPr>
          <w:w w:val="110"/>
        </w:rPr>
        <w:t>A.</w:t>
      </w:r>
    </w:p>
    <w:p>
      <w:pPr>
        <w:pStyle w:val="BodyText"/>
        <w:spacing w:before="9"/>
        <w:rPr>
          <w:sz w:val="20"/>
        </w:rPr>
      </w:pPr>
    </w:p>
    <w:p>
      <w:pPr>
        <w:pStyle w:val="ListParagraph"/>
        <w:numPr>
          <w:ilvl w:val="1"/>
          <w:numId w:val="102"/>
        </w:numPr>
        <w:tabs>
          <w:tab w:pos="1961" w:val="left" w:leader="none"/>
        </w:tabs>
        <w:spacing w:line="273" w:lineRule="auto" w:before="0" w:after="0"/>
        <w:ind w:left="1240" w:right="2569" w:firstLine="0"/>
        <w:jc w:val="both"/>
        <w:rPr>
          <w:sz w:val="18"/>
        </w:rPr>
      </w:pPr>
      <w:r>
        <w:rPr>
          <w:w w:val="110"/>
          <w:sz w:val="18"/>
        </w:rPr>
        <w:t>This paper does </w:t>
      </w:r>
      <w:r>
        <w:rPr>
          <w:i/>
          <w:w w:val="110"/>
          <w:sz w:val="18"/>
          <w:u w:val="single"/>
        </w:rPr>
        <w:t>not</w:t>
      </w:r>
      <w:r>
        <w:rPr>
          <w:i/>
          <w:w w:val="110"/>
          <w:sz w:val="18"/>
        </w:rPr>
        <w:t> </w:t>
      </w:r>
      <w:r>
        <w:rPr>
          <w:w w:val="110"/>
          <w:sz w:val="18"/>
        </w:rPr>
        <w:t>pretend to be exhaustive, nor overly academic; it does </w:t>
      </w:r>
      <w:r>
        <w:rPr>
          <w:spacing w:val="4"/>
          <w:w w:val="110"/>
          <w:sz w:val="18"/>
        </w:rPr>
        <w:t>try </w:t>
      </w:r>
      <w:r>
        <w:rPr>
          <w:w w:val="110"/>
          <w:sz w:val="18"/>
        </w:rPr>
        <w:t>to identify the main issues of concern, recognising that medical advances make this a complex issue. It points the reader wanting</w:t>
      </w:r>
      <w:r>
        <w:rPr>
          <w:spacing w:val="11"/>
          <w:w w:val="110"/>
          <w:sz w:val="18"/>
        </w:rPr>
        <w:t> </w:t>
      </w:r>
      <w:r>
        <w:rPr>
          <w:w w:val="110"/>
          <w:sz w:val="18"/>
        </w:rPr>
        <w:t>more</w:t>
      </w:r>
    </w:p>
    <w:p>
      <w:pPr>
        <w:pStyle w:val="BodyText"/>
        <w:spacing w:line="273" w:lineRule="auto" w:before="2"/>
        <w:ind w:left="1240" w:right="1985"/>
      </w:pPr>
      <w:r>
        <w:rPr>
          <w:w w:val="110"/>
        </w:rPr>
        <w:t>to </w:t>
      </w:r>
      <w:r>
        <w:rPr>
          <w:spacing w:val="2"/>
          <w:w w:val="110"/>
        </w:rPr>
        <w:t>further </w:t>
      </w:r>
      <w:r>
        <w:rPr>
          <w:w w:val="110"/>
        </w:rPr>
        <w:t>sources of information. In compiling it, the Church and </w:t>
      </w:r>
      <w:r>
        <w:rPr>
          <w:spacing w:val="2"/>
          <w:w w:val="110"/>
        </w:rPr>
        <w:t>Society </w:t>
      </w:r>
      <w:r>
        <w:rPr>
          <w:w w:val="110"/>
        </w:rPr>
        <w:t>Committee has been assisted particularly by the Revd Delia Bond, co-ordinator   of the URC Health and Healing Network; the Revd Dr Neil Messer, senior </w:t>
      </w:r>
      <w:r>
        <w:rPr>
          <w:spacing w:val="2"/>
          <w:w w:val="110"/>
        </w:rPr>
        <w:t>lecturer </w:t>
      </w:r>
      <w:r>
        <w:rPr>
          <w:w w:val="110"/>
        </w:rPr>
        <w:t>in Christian theology in the Department of Theology and Religious Studies, University of Wales, Lampeter; Malcolm Johnson, </w:t>
      </w:r>
      <w:r>
        <w:rPr>
          <w:spacing w:val="2"/>
          <w:w w:val="110"/>
        </w:rPr>
        <w:t>Professor </w:t>
      </w:r>
      <w:r>
        <w:rPr>
          <w:w w:val="110"/>
        </w:rPr>
        <w:t>of Health</w:t>
      </w:r>
      <w:r>
        <w:rPr>
          <w:spacing w:val="51"/>
          <w:w w:val="110"/>
        </w:rPr>
        <w:t> </w:t>
      </w:r>
      <w:r>
        <w:rPr>
          <w:w w:val="110"/>
        </w:rPr>
        <w:t>and</w:t>
      </w:r>
    </w:p>
    <w:p>
      <w:pPr>
        <w:pStyle w:val="BodyText"/>
        <w:spacing w:line="273" w:lineRule="auto" w:before="3"/>
        <w:ind w:left="1240" w:right="2061"/>
      </w:pPr>
      <w:r>
        <w:rPr>
          <w:w w:val="110"/>
        </w:rPr>
        <w:t>Social Policy at Bristol University, </w:t>
      </w:r>
      <w:r>
        <w:rPr>
          <w:spacing w:val="2"/>
          <w:w w:val="110"/>
        </w:rPr>
        <w:t>Professor </w:t>
      </w:r>
      <w:r>
        <w:rPr>
          <w:w w:val="110"/>
        </w:rPr>
        <w:t>of Gerontology and End of Life Care, University of Bath, and former Convener of the Church and </w:t>
      </w:r>
      <w:r>
        <w:rPr>
          <w:spacing w:val="2"/>
          <w:w w:val="110"/>
        </w:rPr>
        <w:t>Society </w:t>
      </w:r>
      <w:r>
        <w:rPr>
          <w:w w:val="110"/>
        </w:rPr>
        <w:t>Committee; Dr Pamela Cressey, Convener of Eastern Synod Church and </w:t>
      </w:r>
      <w:r>
        <w:rPr>
          <w:spacing w:val="2"/>
          <w:w w:val="110"/>
        </w:rPr>
        <w:t>Society </w:t>
      </w:r>
      <w:r>
        <w:rPr>
          <w:w w:val="110"/>
        </w:rPr>
        <w:t>Committee and a retired </w:t>
      </w:r>
      <w:r>
        <w:rPr>
          <w:spacing w:val="-8"/>
          <w:w w:val="110"/>
        </w:rPr>
        <w:t>GP, </w:t>
      </w:r>
      <w:r>
        <w:rPr>
          <w:w w:val="110"/>
        </w:rPr>
        <w:t>and colleague </w:t>
      </w:r>
      <w:r>
        <w:rPr>
          <w:spacing w:val="2"/>
          <w:w w:val="110"/>
        </w:rPr>
        <w:t>members </w:t>
      </w:r>
      <w:r>
        <w:rPr>
          <w:w w:val="110"/>
        </w:rPr>
        <w:t>of the Methodist, Baptist and United Reformed Church Joint Public Issues </w:t>
      </w:r>
      <w:r>
        <w:rPr>
          <w:spacing w:val="-5"/>
          <w:w w:val="110"/>
        </w:rPr>
        <w:t>Team; </w:t>
      </w:r>
      <w:r>
        <w:rPr>
          <w:w w:val="110"/>
        </w:rPr>
        <w:t>and also by the many people who have taken the trouble to </w:t>
      </w:r>
      <w:r>
        <w:rPr>
          <w:spacing w:val="2"/>
          <w:w w:val="110"/>
        </w:rPr>
        <w:t>respond </w:t>
      </w:r>
      <w:r>
        <w:rPr>
          <w:w w:val="110"/>
        </w:rPr>
        <w:t>to the questionnaire (See </w:t>
      </w:r>
      <w:r>
        <w:rPr>
          <w:spacing w:val="2"/>
          <w:w w:val="110"/>
        </w:rPr>
        <w:t>Section </w:t>
      </w:r>
      <w:r>
        <w:rPr>
          <w:w w:val="110"/>
        </w:rPr>
        <w:t>9 and Appendix </w:t>
      </w:r>
      <w:r>
        <w:rPr>
          <w:spacing w:val="-5"/>
          <w:w w:val="110"/>
        </w:rPr>
        <w:t>A).</w:t>
      </w:r>
    </w:p>
    <w:p>
      <w:pPr>
        <w:spacing w:after="0" w:line="273" w:lineRule="auto"/>
        <w:sectPr>
          <w:headerReference w:type="even" r:id="rId251"/>
          <w:pgSz w:w="11910" w:h="16840"/>
          <w:pgMar w:header="0" w:footer="564" w:top="1320" w:bottom="760" w:left="460" w:right="0"/>
        </w:sectPr>
      </w:pPr>
    </w:p>
    <w:p>
      <w:pPr>
        <w:pStyle w:val="BodyText"/>
        <w:spacing w:before="5"/>
        <w:rPr>
          <w:sz w:val="12"/>
        </w:rPr>
      </w:pPr>
    </w:p>
    <w:p>
      <w:pPr>
        <w:pStyle w:val="Heading9"/>
        <w:numPr>
          <w:ilvl w:val="0"/>
          <w:numId w:val="102"/>
        </w:numPr>
        <w:tabs>
          <w:tab w:pos="1393" w:val="left" w:leader="none"/>
          <w:tab w:pos="1394" w:val="left" w:leader="none"/>
        </w:tabs>
        <w:spacing w:line="240" w:lineRule="auto" w:before="98" w:after="0"/>
        <w:ind w:left="1393" w:right="0" w:hanging="721"/>
        <w:jc w:val="left"/>
      </w:pPr>
      <w:r>
        <w:rPr>
          <w:w w:val="110"/>
        </w:rPr>
        <w:t>Political context</w:t>
      </w:r>
    </w:p>
    <w:p>
      <w:pPr>
        <w:pStyle w:val="ListParagraph"/>
        <w:numPr>
          <w:ilvl w:val="1"/>
          <w:numId w:val="102"/>
        </w:numPr>
        <w:tabs>
          <w:tab w:pos="1393" w:val="left" w:leader="none"/>
          <w:tab w:pos="1394" w:val="left" w:leader="none"/>
        </w:tabs>
        <w:spacing w:line="273" w:lineRule="auto" w:before="258" w:after="0"/>
        <w:ind w:left="673" w:right="2043" w:firstLine="0"/>
        <w:jc w:val="left"/>
        <w:rPr>
          <w:sz w:val="18"/>
        </w:rPr>
      </w:pPr>
      <w:r>
        <w:rPr>
          <w:spacing w:val="2"/>
          <w:w w:val="110"/>
          <w:sz w:val="18"/>
        </w:rPr>
        <w:t>Lord </w:t>
      </w:r>
      <w:r>
        <w:rPr>
          <w:w w:val="110"/>
          <w:sz w:val="18"/>
        </w:rPr>
        <w:t>Joffe’s Bill would have enabled adults of sound mind, who were </w:t>
      </w:r>
      <w:r>
        <w:rPr>
          <w:spacing w:val="2"/>
          <w:w w:val="110"/>
          <w:sz w:val="18"/>
        </w:rPr>
        <w:t>suffering </w:t>
      </w:r>
      <w:r>
        <w:rPr>
          <w:w w:val="110"/>
          <w:sz w:val="18"/>
        </w:rPr>
        <w:t>unbearably as a result of terminal illness, to receive medical assistance to die at their own</w:t>
      </w:r>
      <w:r>
        <w:rPr>
          <w:spacing w:val="10"/>
          <w:w w:val="110"/>
          <w:sz w:val="18"/>
        </w:rPr>
        <w:t> </w:t>
      </w:r>
      <w:r>
        <w:rPr>
          <w:w w:val="110"/>
          <w:sz w:val="18"/>
        </w:rPr>
        <w:t>request</w:t>
      </w:r>
      <w:r>
        <w:rPr>
          <w:spacing w:val="10"/>
          <w:w w:val="110"/>
          <w:sz w:val="18"/>
        </w:rPr>
        <w:t> </w:t>
      </w:r>
      <w:r>
        <w:rPr>
          <w:spacing w:val="-3"/>
          <w:w w:val="110"/>
          <w:position w:val="6"/>
          <w:sz w:val="10"/>
        </w:rPr>
        <w:t>(3)</w:t>
      </w:r>
      <w:r>
        <w:rPr>
          <w:spacing w:val="-3"/>
          <w:w w:val="110"/>
          <w:sz w:val="18"/>
        </w:rPr>
        <w:t>.</w:t>
      </w:r>
      <w:r>
        <w:rPr>
          <w:spacing w:val="11"/>
          <w:w w:val="110"/>
          <w:sz w:val="18"/>
        </w:rPr>
        <w:t> </w:t>
      </w:r>
      <w:r>
        <w:rPr>
          <w:w w:val="110"/>
          <w:sz w:val="18"/>
        </w:rPr>
        <w:t>The</w:t>
      </w:r>
      <w:r>
        <w:rPr>
          <w:spacing w:val="10"/>
          <w:w w:val="110"/>
          <w:sz w:val="18"/>
        </w:rPr>
        <w:t> </w:t>
      </w:r>
      <w:r>
        <w:rPr>
          <w:w w:val="110"/>
          <w:sz w:val="18"/>
        </w:rPr>
        <w:t>Bill</w:t>
      </w:r>
      <w:r>
        <w:rPr>
          <w:spacing w:val="9"/>
          <w:w w:val="110"/>
          <w:sz w:val="18"/>
        </w:rPr>
        <w:t> </w:t>
      </w:r>
      <w:r>
        <w:rPr>
          <w:w w:val="110"/>
          <w:sz w:val="18"/>
        </w:rPr>
        <w:t>contained</w:t>
      </w:r>
      <w:r>
        <w:rPr>
          <w:spacing w:val="11"/>
          <w:w w:val="110"/>
          <w:sz w:val="18"/>
        </w:rPr>
        <w:t> </w:t>
      </w:r>
      <w:r>
        <w:rPr>
          <w:w w:val="110"/>
          <w:sz w:val="18"/>
        </w:rPr>
        <w:t>a</w:t>
      </w:r>
      <w:r>
        <w:rPr>
          <w:spacing w:val="10"/>
          <w:w w:val="110"/>
          <w:sz w:val="18"/>
        </w:rPr>
        <w:t> </w:t>
      </w:r>
      <w:r>
        <w:rPr>
          <w:w w:val="110"/>
          <w:sz w:val="18"/>
        </w:rPr>
        <w:t>number</w:t>
      </w:r>
      <w:r>
        <w:rPr>
          <w:spacing w:val="11"/>
          <w:w w:val="110"/>
          <w:sz w:val="18"/>
        </w:rPr>
        <w:t> </w:t>
      </w:r>
      <w:r>
        <w:rPr>
          <w:w w:val="110"/>
          <w:sz w:val="18"/>
        </w:rPr>
        <w:t>of</w:t>
      </w:r>
      <w:r>
        <w:rPr>
          <w:spacing w:val="10"/>
          <w:w w:val="110"/>
          <w:sz w:val="18"/>
        </w:rPr>
        <w:t> </w:t>
      </w:r>
      <w:r>
        <w:rPr>
          <w:w w:val="110"/>
          <w:sz w:val="18"/>
        </w:rPr>
        <w:t>safeguards,</w:t>
      </w:r>
      <w:r>
        <w:rPr>
          <w:spacing w:val="10"/>
          <w:w w:val="110"/>
          <w:sz w:val="18"/>
        </w:rPr>
        <w:t> </w:t>
      </w:r>
      <w:r>
        <w:rPr>
          <w:w w:val="110"/>
          <w:sz w:val="18"/>
        </w:rPr>
        <w:t>including</w:t>
      </w:r>
      <w:r>
        <w:rPr>
          <w:spacing w:val="11"/>
          <w:w w:val="110"/>
          <w:sz w:val="18"/>
        </w:rPr>
        <w:t> </w:t>
      </w:r>
      <w:r>
        <w:rPr>
          <w:w w:val="110"/>
          <w:sz w:val="18"/>
        </w:rPr>
        <w:t>requiring</w:t>
      </w:r>
      <w:r>
        <w:rPr>
          <w:spacing w:val="10"/>
          <w:w w:val="110"/>
          <w:sz w:val="18"/>
        </w:rPr>
        <w:t> </w:t>
      </w:r>
      <w:r>
        <w:rPr>
          <w:w w:val="110"/>
          <w:sz w:val="18"/>
        </w:rPr>
        <w:t>that:</w:t>
      </w:r>
    </w:p>
    <w:p>
      <w:pPr>
        <w:pStyle w:val="BodyText"/>
        <w:spacing w:before="9"/>
        <w:rPr>
          <w:sz w:val="20"/>
        </w:rPr>
      </w:pPr>
    </w:p>
    <w:p>
      <w:pPr>
        <w:pStyle w:val="BodyText"/>
        <w:spacing w:line="273" w:lineRule="auto"/>
        <w:ind w:left="1393" w:right="3181"/>
      </w:pPr>
      <w:r>
        <w:rPr>
          <w:w w:val="110"/>
        </w:rPr>
        <w:t>There be medical confirmation that the person was of sound mind, had a terminal illness, and was suffering unbearably;</w:t>
      </w:r>
    </w:p>
    <w:p>
      <w:pPr>
        <w:pStyle w:val="BodyText"/>
        <w:spacing w:line="273" w:lineRule="auto" w:before="1"/>
        <w:ind w:left="1393" w:right="3181"/>
      </w:pPr>
      <w:r>
        <w:rPr>
          <w:w w:val="110"/>
        </w:rPr>
        <w:t>A specialist in palliative </w:t>
      </w:r>
      <w:r>
        <w:rPr>
          <w:spacing w:val="2"/>
          <w:w w:val="110"/>
        </w:rPr>
        <w:t>care </w:t>
      </w:r>
      <w:r>
        <w:rPr>
          <w:w w:val="110"/>
        </w:rPr>
        <w:t>discuss other options with the patient; A second </w:t>
      </w:r>
      <w:r>
        <w:rPr>
          <w:spacing w:val="2"/>
          <w:w w:val="110"/>
        </w:rPr>
        <w:t>doctor </w:t>
      </w:r>
      <w:r>
        <w:rPr>
          <w:w w:val="110"/>
        </w:rPr>
        <w:t>confirm the</w:t>
      </w:r>
      <w:r>
        <w:rPr>
          <w:spacing w:val="7"/>
          <w:w w:val="110"/>
        </w:rPr>
        <w:t> </w:t>
      </w:r>
      <w:r>
        <w:rPr>
          <w:w w:val="110"/>
        </w:rPr>
        <w:t>diagnosis;</w:t>
      </w:r>
    </w:p>
    <w:p>
      <w:pPr>
        <w:pStyle w:val="BodyText"/>
        <w:spacing w:line="273" w:lineRule="auto" w:before="1"/>
        <w:ind w:left="1393" w:right="2906"/>
      </w:pPr>
      <w:r>
        <w:rPr>
          <w:w w:val="110"/>
        </w:rPr>
        <w:t>A solicitor and an unbiased witness satisfy themselves that the criteria had been fulfilled;</w:t>
      </w:r>
    </w:p>
    <w:p>
      <w:pPr>
        <w:pStyle w:val="BodyText"/>
        <w:spacing w:before="2"/>
        <w:ind w:left="1393"/>
      </w:pPr>
      <w:r>
        <w:rPr>
          <w:w w:val="110"/>
        </w:rPr>
        <w:t>The patient be given fourteen days to change her/his mind.</w:t>
      </w:r>
    </w:p>
    <w:p>
      <w:pPr>
        <w:pStyle w:val="BodyText"/>
        <w:spacing w:before="1"/>
        <w:rPr>
          <w:sz w:val="23"/>
        </w:rPr>
      </w:pPr>
    </w:p>
    <w:p>
      <w:pPr>
        <w:pStyle w:val="ListParagraph"/>
        <w:numPr>
          <w:ilvl w:val="1"/>
          <w:numId w:val="102"/>
        </w:numPr>
        <w:tabs>
          <w:tab w:pos="1393" w:val="left" w:leader="none"/>
          <w:tab w:pos="1394" w:val="left" w:leader="none"/>
        </w:tabs>
        <w:spacing w:line="273" w:lineRule="auto" w:before="0" w:after="0"/>
        <w:ind w:left="673" w:right="2736" w:firstLine="0"/>
        <w:jc w:val="left"/>
        <w:rPr>
          <w:sz w:val="18"/>
        </w:rPr>
      </w:pPr>
      <w:r>
        <w:rPr>
          <w:spacing w:val="3"/>
          <w:w w:val="110"/>
          <w:sz w:val="18"/>
        </w:rPr>
        <w:t>The </w:t>
      </w:r>
      <w:r>
        <w:rPr>
          <w:w w:val="110"/>
          <w:sz w:val="18"/>
        </w:rPr>
        <w:t>Bill was </w:t>
      </w:r>
      <w:r>
        <w:rPr>
          <w:spacing w:val="3"/>
          <w:w w:val="110"/>
          <w:sz w:val="18"/>
        </w:rPr>
        <w:t>defeated </w:t>
      </w:r>
      <w:r>
        <w:rPr>
          <w:w w:val="110"/>
          <w:sz w:val="18"/>
        </w:rPr>
        <w:t>by 148 votes to 100 </w:t>
      </w:r>
      <w:r>
        <w:rPr>
          <w:spacing w:val="4"/>
          <w:w w:val="110"/>
          <w:sz w:val="18"/>
        </w:rPr>
        <w:t>after </w:t>
      </w:r>
      <w:r>
        <w:rPr>
          <w:w w:val="110"/>
          <w:sz w:val="18"/>
        </w:rPr>
        <w:t>a seven hour </w:t>
      </w:r>
      <w:r>
        <w:rPr>
          <w:spacing w:val="2"/>
          <w:w w:val="110"/>
          <w:sz w:val="18"/>
        </w:rPr>
        <w:t>debate. </w:t>
      </w:r>
      <w:r>
        <w:rPr>
          <w:spacing w:val="3"/>
          <w:w w:val="110"/>
          <w:sz w:val="18"/>
        </w:rPr>
        <w:t>The</w:t>
      </w:r>
      <w:r>
        <w:rPr>
          <w:spacing w:val="14"/>
          <w:w w:val="110"/>
          <w:sz w:val="18"/>
        </w:rPr>
        <w:t> </w:t>
      </w:r>
      <w:r>
        <w:rPr>
          <w:spacing w:val="3"/>
          <w:w w:val="110"/>
          <w:sz w:val="18"/>
        </w:rPr>
        <w:t>Archbishop</w:t>
      </w:r>
      <w:r>
        <w:rPr>
          <w:spacing w:val="15"/>
          <w:w w:val="110"/>
          <w:sz w:val="18"/>
        </w:rPr>
        <w:t> </w:t>
      </w:r>
      <w:r>
        <w:rPr>
          <w:w w:val="110"/>
          <w:sz w:val="18"/>
        </w:rPr>
        <w:t>of</w:t>
      </w:r>
      <w:r>
        <w:rPr>
          <w:spacing w:val="15"/>
          <w:w w:val="110"/>
          <w:sz w:val="18"/>
        </w:rPr>
        <w:t> </w:t>
      </w:r>
      <w:r>
        <w:rPr>
          <w:spacing w:val="3"/>
          <w:w w:val="110"/>
          <w:sz w:val="18"/>
        </w:rPr>
        <w:t>Canterbury</w:t>
      </w:r>
      <w:r>
        <w:rPr>
          <w:spacing w:val="15"/>
          <w:w w:val="110"/>
          <w:sz w:val="18"/>
        </w:rPr>
        <w:t> </w:t>
      </w:r>
      <w:r>
        <w:rPr>
          <w:w w:val="110"/>
          <w:sz w:val="18"/>
        </w:rPr>
        <w:t>was</w:t>
      </w:r>
      <w:r>
        <w:rPr>
          <w:spacing w:val="15"/>
          <w:w w:val="110"/>
          <w:sz w:val="18"/>
        </w:rPr>
        <w:t> </w:t>
      </w:r>
      <w:r>
        <w:rPr>
          <w:w w:val="110"/>
          <w:sz w:val="18"/>
        </w:rPr>
        <w:t>one</w:t>
      </w:r>
      <w:r>
        <w:rPr>
          <w:spacing w:val="14"/>
          <w:w w:val="110"/>
          <w:sz w:val="18"/>
        </w:rPr>
        <w:t> </w:t>
      </w:r>
      <w:r>
        <w:rPr>
          <w:w w:val="110"/>
          <w:sz w:val="18"/>
        </w:rPr>
        <w:t>of</w:t>
      </w:r>
      <w:r>
        <w:rPr>
          <w:spacing w:val="15"/>
          <w:w w:val="110"/>
          <w:sz w:val="18"/>
        </w:rPr>
        <w:t> </w:t>
      </w:r>
      <w:r>
        <w:rPr>
          <w:spacing w:val="3"/>
          <w:w w:val="110"/>
          <w:sz w:val="18"/>
        </w:rPr>
        <w:t>those</w:t>
      </w:r>
      <w:r>
        <w:rPr>
          <w:spacing w:val="15"/>
          <w:w w:val="110"/>
          <w:sz w:val="18"/>
        </w:rPr>
        <w:t> </w:t>
      </w:r>
      <w:r>
        <w:rPr>
          <w:w w:val="110"/>
          <w:sz w:val="18"/>
        </w:rPr>
        <w:t>who</w:t>
      </w:r>
      <w:r>
        <w:rPr>
          <w:spacing w:val="15"/>
          <w:w w:val="110"/>
          <w:sz w:val="18"/>
        </w:rPr>
        <w:t> </w:t>
      </w:r>
      <w:r>
        <w:rPr>
          <w:w w:val="110"/>
          <w:sz w:val="18"/>
        </w:rPr>
        <w:t>spoke</w:t>
      </w:r>
      <w:r>
        <w:rPr>
          <w:spacing w:val="15"/>
          <w:w w:val="110"/>
          <w:sz w:val="18"/>
        </w:rPr>
        <w:t> </w:t>
      </w:r>
      <w:r>
        <w:rPr>
          <w:spacing w:val="2"/>
          <w:w w:val="110"/>
          <w:sz w:val="18"/>
        </w:rPr>
        <w:t>against</w:t>
      </w:r>
      <w:r>
        <w:rPr>
          <w:spacing w:val="14"/>
          <w:w w:val="110"/>
          <w:sz w:val="18"/>
        </w:rPr>
        <w:t> </w:t>
      </w:r>
      <w:r>
        <w:rPr>
          <w:w w:val="110"/>
          <w:sz w:val="18"/>
        </w:rPr>
        <w:t>it,</w:t>
      </w:r>
      <w:r>
        <w:rPr>
          <w:spacing w:val="14"/>
          <w:w w:val="110"/>
          <w:sz w:val="18"/>
        </w:rPr>
        <w:t> </w:t>
      </w:r>
      <w:r>
        <w:rPr>
          <w:w w:val="110"/>
          <w:sz w:val="18"/>
        </w:rPr>
        <w:t>saying:</w:t>
      </w:r>
    </w:p>
    <w:p>
      <w:pPr>
        <w:pStyle w:val="BodyText"/>
        <w:spacing w:before="8"/>
        <w:rPr>
          <w:sz w:val="20"/>
        </w:rPr>
      </w:pPr>
    </w:p>
    <w:p>
      <w:pPr>
        <w:spacing w:line="273" w:lineRule="auto" w:before="1"/>
        <w:ind w:left="1354" w:right="1864" w:firstLine="0"/>
        <w:jc w:val="left"/>
        <w:rPr>
          <w:i/>
          <w:sz w:val="18"/>
        </w:rPr>
      </w:pPr>
      <w:r>
        <w:rPr>
          <w:i/>
          <w:w w:val="110"/>
          <w:sz w:val="18"/>
        </w:rPr>
        <w:t>Whether or not you believe that God enters into consideration, it remains true  </w:t>
      </w:r>
      <w:r>
        <w:rPr>
          <w:i/>
          <w:w w:val="110"/>
          <w:sz w:val="18"/>
        </w:rPr>
        <w:t>that to specify, even in the fairly broad terms of the Bill, conditions under which it would be both reasonable and legal to end your life, is to say that </w:t>
      </w:r>
      <w:r>
        <w:rPr>
          <w:i/>
          <w:spacing w:val="2"/>
          <w:w w:val="110"/>
          <w:sz w:val="18"/>
        </w:rPr>
        <w:t>certain </w:t>
      </w:r>
      <w:r>
        <w:rPr>
          <w:i/>
          <w:w w:val="110"/>
          <w:sz w:val="18"/>
        </w:rPr>
        <w:t>kinds of human life are not worth living</w:t>
      </w:r>
      <w:r>
        <w:rPr>
          <w:i/>
          <w:spacing w:val="7"/>
          <w:w w:val="110"/>
          <w:sz w:val="18"/>
        </w:rPr>
        <w:t> </w:t>
      </w:r>
      <w:r>
        <w:rPr>
          <w:w w:val="110"/>
          <w:position w:val="6"/>
          <w:sz w:val="10"/>
        </w:rPr>
        <w:t>(4)</w:t>
      </w:r>
      <w:r>
        <w:rPr>
          <w:i/>
          <w:w w:val="110"/>
          <w:sz w:val="18"/>
        </w:rPr>
        <w:t>.</w:t>
      </w:r>
    </w:p>
    <w:p>
      <w:pPr>
        <w:pStyle w:val="BodyText"/>
        <w:rPr>
          <w:i/>
          <w:sz w:val="22"/>
        </w:rPr>
      </w:pPr>
    </w:p>
    <w:p>
      <w:pPr>
        <w:pStyle w:val="BodyText"/>
        <w:spacing w:before="3"/>
        <w:rPr>
          <w:i/>
          <w:sz w:val="19"/>
        </w:rPr>
      </w:pPr>
    </w:p>
    <w:p>
      <w:pPr>
        <w:pStyle w:val="Heading9"/>
        <w:numPr>
          <w:ilvl w:val="0"/>
          <w:numId w:val="102"/>
        </w:numPr>
        <w:tabs>
          <w:tab w:pos="1393" w:val="left" w:leader="none"/>
          <w:tab w:pos="1394" w:val="left" w:leader="none"/>
        </w:tabs>
        <w:spacing w:line="240" w:lineRule="auto" w:before="0" w:after="0"/>
        <w:ind w:left="1393" w:right="0" w:hanging="721"/>
        <w:jc w:val="left"/>
      </w:pPr>
      <w:r>
        <w:rPr>
          <w:w w:val="110"/>
        </w:rPr>
        <w:t>Perspectives</w:t>
      </w:r>
    </w:p>
    <w:p>
      <w:pPr>
        <w:pStyle w:val="ListParagraph"/>
        <w:numPr>
          <w:ilvl w:val="1"/>
          <w:numId w:val="102"/>
        </w:numPr>
        <w:tabs>
          <w:tab w:pos="1393" w:val="left" w:leader="none"/>
          <w:tab w:pos="1394" w:val="left" w:leader="none"/>
        </w:tabs>
        <w:spacing w:line="273" w:lineRule="auto" w:before="258" w:after="0"/>
        <w:ind w:left="673" w:right="1792" w:firstLine="0"/>
        <w:jc w:val="left"/>
        <w:rPr>
          <w:sz w:val="18"/>
        </w:rPr>
      </w:pPr>
      <w:r>
        <w:rPr>
          <w:w w:val="110"/>
          <w:sz w:val="18"/>
        </w:rPr>
        <w:t>As Christians, our perspectives on Assisted Dying, are shaped by our faith and informed by Christian </w:t>
      </w:r>
      <w:r>
        <w:rPr>
          <w:spacing w:val="-3"/>
          <w:w w:val="110"/>
          <w:sz w:val="18"/>
        </w:rPr>
        <w:t>theology. </w:t>
      </w:r>
      <w:r>
        <w:rPr>
          <w:spacing w:val="-4"/>
          <w:w w:val="110"/>
          <w:sz w:val="18"/>
        </w:rPr>
        <w:t>We </w:t>
      </w:r>
      <w:r>
        <w:rPr>
          <w:w w:val="110"/>
          <w:sz w:val="18"/>
        </w:rPr>
        <w:t>acknowledge that those of other faiths, or without faith,</w:t>
      </w:r>
      <w:r>
        <w:rPr>
          <w:spacing w:val="-8"/>
          <w:w w:val="110"/>
          <w:sz w:val="18"/>
        </w:rPr>
        <w:t> </w:t>
      </w:r>
      <w:r>
        <w:rPr>
          <w:spacing w:val="-3"/>
          <w:w w:val="110"/>
          <w:sz w:val="18"/>
        </w:rPr>
        <w:t>may</w:t>
      </w:r>
      <w:r>
        <w:rPr>
          <w:spacing w:val="-8"/>
          <w:w w:val="110"/>
          <w:sz w:val="18"/>
        </w:rPr>
        <w:t> </w:t>
      </w:r>
      <w:r>
        <w:rPr>
          <w:spacing w:val="-3"/>
          <w:w w:val="110"/>
          <w:sz w:val="18"/>
        </w:rPr>
        <w:t>have</w:t>
      </w:r>
      <w:r>
        <w:rPr>
          <w:spacing w:val="-8"/>
          <w:w w:val="110"/>
          <w:sz w:val="18"/>
        </w:rPr>
        <w:t> </w:t>
      </w:r>
      <w:r>
        <w:rPr>
          <w:w w:val="110"/>
          <w:sz w:val="18"/>
        </w:rPr>
        <w:t>a</w:t>
      </w:r>
      <w:r>
        <w:rPr>
          <w:spacing w:val="-8"/>
          <w:w w:val="110"/>
          <w:sz w:val="18"/>
        </w:rPr>
        <w:t> </w:t>
      </w:r>
      <w:r>
        <w:rPr>
          <w:w w:val="110"/>
          <w:sz w:val="18"/>
        </w:rPr>
        <w:t>different</w:t>
      </w:r>
      <w:r>
        <w:rPr>
          <w:spacing w:val="-8"/>
          <w:w w:val="110"/>
          <w:sz w:val="18"/>
        </w:rPr>
        <w:t> </w:t>
      </w:r>
      <w:r>
        <w:rPr>
          <w:spacing w:val="-4"/>
          <w:w w:val="110"/>
          <w:sz w:val="18"/>
        </w:rPr>
        <w:t>view,</w:t>
      </w:r>
      <w:r>
        <w:rPr>
          <w:spacing w:val="-8"/>
          <w:w w:val="110"/>
          <w:sz w:val="18"/>
        </w:rPr>
        <w:t> </w:t>
      </w:r>
      <w:r>
        <w:rPr>
          <w:w w:val="110"/>
          <w:sz w:val="18"/>
        </w:rPr>
        <w:t>informed</w:t>
      </w:r>
      <w:r>
        <w:rPr>
          <w:spacing w:val="-8"/>
          <w:w w:val="110"/>
          <w:sz w:val="18"/>
        </w:rPr>
        <w:t> </w:t>
      </w:r>
      <w:r>
        <w:rPr>
          <w:w w:val="110"/>
          <w:sz w:val="18"/>
        </w:rPr>
        <w:t>by</w:t>
      </w:r>
      <w:r>
        <w:rPr>
          <w:spacing w:val="-7"/>
          <w:w w:val="110"/>
          <w:sz w:val="18"/>
        </w:rPr>
        <w:t> </w:t>
      </w:r>
      <w:r>
        <w:rPr>
          <w:w w:val="110"/>
          <w:sz w:val="18"/>
        </w:rPr>
        <w:t>their</w:t>
      </w:r>
      <w:r>
        <w:rPr>
          <w:spacing w:val="-8"/>
          <w:w w:val="110"/>
          <w:sz w:val="18"/>
        </w:rPr>
        <w:t> </w:t>
      </w:r>
      <w:r>
        <w:rPr>
          <w:w w:val="110"/>
          <w:sz w:val="18"/>
        </w:rPr>
        <w:t>background.</w:t>
      </w:r>
      <w:r>
        <w:rPr>
          <w:spacing w:val="-8"/>
          <w:w w:val="110"/>
          <w:sz w:val="18"/>
        </w:rPr>
        <w:t> </w:t>
      </w:r>
      <w:r>
        <w:rPr>
          <w:w w:val="110"/>
          <w:sz w:val="18"/>
        </w:rPr>
        <w:t>As</w:t>
      </w:r>
      <w:r>
        <w:rPr>
          <w:spacing w:val="-8"/>
          <w:w w:val="110"/>
          <w:sz w:val="18"/>
        </w:rPr>
        <w:t> </w:t>
      </w:r>
      <w:r>
        <w:rPr>
          <w:w w:val="110"/>
          <w:sz w:val="18"/>
        </w:rPr>
        <w:t>Christians</w:t>
      </w:r>
      <w:r>
        <w:rPr>
          <w:spacing w:val="-8"/>
          <w:w w:val="110"/>
          <w:sz w:val="18"/>
        </w:rPr>
        <w:t> </w:t>
      </w:r>
      <w:r>
        <w:rPr>
          <w:w w:val="110"/>
          <w:sz w:val="18"/>
        </w:rPr>
        <w:t>we</w:t>
      </w:r>
      <w:r>
        <w:rPr>
          <w:spacing w:val="-8"/>
          <w:w w:val="110"/>
          <w:sz w:val="18"/>
        </w:rPr>
        <w:t> </w:t>
      </w:r>
      <w:r>
        <w:rPr>
          <w:w w:val="110"/>
          <w:sz w:val="18"/>
        </w:rPr>
        <w:t>believe</w:t>
      </w:r>
      <w:r>
        <w:rPr>
          <w:spacing w:val="-8"/>
          <w:w w:val="110"/>
          <w:sz w:val="18"/>
        </w:rPr>
        <w:t> </w:t>
      </w:r>
      <w:r>
        <w:rPr>
          <w:w w:val="110"/>
          <w:sz w:val="18"/>
        </w:rPr>
        <w:t>in the sanctity of human life. It is God given and not ours to extinguish. </w:t>
      </w:r>
      <w:r>
        <w:rPr>
          <w:spacing w:val="-4"/>
          <w:w w:val="110"/>
          <w:sz w:val="18"/>
        </w:rPr>
        <w:t>We </w:t>
      </w:r>
      <w:r>
        <w:rPr>
          <w:w w:val="110"/>
          <w:sz w:val="18"/>
        </w:rPr>
        <w:t>also accept that we are mortal, and </w:t>
      </w:r>
      <w:r>
        <w:rPr>
          <w:spacing w:val="-3"/>
          <w:w w:val="110"/>
          <w:sz w:val="18"/>
        </w:rPr>
        <w:t>have </w:t>
      </w:r>
      <w:r>
        <w:rPr>
          <w:w w:val="110"/>
          <w:sz w:val="18"/>
        </w:rPr>
        <w:t>a finite life span on earth. </w:t>
      </w:r>
      <w:r>
        <w:rPr>
          <w:spacing w:val="-4"/>
          <w:w w:val="110"/>
          <w:sz w:val="18"/>
        </w:rPr>
        <w:t>We </w:t>
      </w:r>
      <w:r>
        <w:rPr>
          <w:w w:val="110"/>
          <w:sz w:val="18"/>
        </w:rPr>
        <w:t>believe in life after death and the promise</w:t>
      </w:r>
      <w:r>
        <w:rPr>
          <w:spacing w:val="-8"/>
          <w:w w:val="110"/>
          <w:sz w:val="18"/>
        </w:rPr>
        <w:t> </w:t>
      </w:r>
      <w:r>
        <w:rPr>
          <w:w w:val="110"/>
          <w:sz w:val="18"/>
        </w:rPr>
        <w:t>of</w:t>
      </w:r>
      <w:r>
        <w:rPr>
          <w:spacing w:val="-8"/>
          <w:w w:val="110"/>
          <w:sz w:val="18"/>
        </w:rPr>
        <w:t> </w:t>
      </w:r>
      <w:r>
        <w:rPr>
          <w:w w:val="110"/>
          <w:sz w:val="18"/>
        </w:rPr>
        <w:t>eternal</w:t>
      </w:r>
      <w:r>
        <w:rPr>
          <w:spacing w:val="-8"/>
          <w:w w:val="110"/>
          <w:sz w:val="18"/>
        </w:rPr>
        <w:t> </w:t>
      </w:r>
      <w:r>
        <w:rPr>
          <w:w w:val="110"/>
          <w:sz w:val="18"/>
        </w:rPr>
        <w:t>life.</w:t>
      </w:r>
      <w:r>
        <w:rPr>
          <w:spacing w:val="-8"/>
          <w:w w:val="110"/>
          <w:sz w:val="18"/>
        </w:rPr>
        <w:t> </w:t>
      </w:r>
      <w:r>
        <w:rPr>
          <w:w w:val="110"/>
          <w:sz w:val="18"/>
        </w:rPr>
        <w:t>There</w:t>
      </w:r>
      <w:r>
        <w:rPr>
          <w:spacing w:val="-7"/>
          <w:w w:val="110"/>
          <w:sz w:val="18"/>
        </w:rPr>
        <w:t> </w:t>
      </w:r>
      <w:r>
        <w:rPr>
          <w:w w:val="110"/>
          <w:sz w:val="18"/>
        </w:rPr>
        <w:t>is</w:t>
      </w:r>
      <w:r>
        <w:rPr>
          <w:spacing w:val="-8"/>
          <w:w w:val="110"/>
          <w:sz w:val="18"/>
        </w:rPr>
        <w:t> </w:t>
      </w:r>
      <w:r>
        <w:rPr>
          <w:w w:val="110"/>
          <w:sz w:val="18"/>
        </w:rPr>
        <w:t>a</w:t>
      </w:r>
      <w:r>
        <w:rPr>
          <w:spacing w:val="-8"/>
          <w:w w:val="110"/>
          <w:sz w:val="18"/>
        </w:rPr>
        <w:t> </w:t>
      </w:r>
      <w:r>
        <w:rPr>
          <w:w w:val="110"/>
          <w:sz w:val="18"/>
        </w:rPr>
        <w:t>sense</w:t>
      </w:r>
      <w:r>
        <w:rPr>
          <w:spacing w:val="-8"/>
          <w:w w:val="110"/>
          <w:sz w:val="18"/>
        </w:rPr>
        <w:t> </w:t>
      </w:r>
      <w:r>
        <w:rPr>
          <w:w w:val="110"/>
          <w:sz w:val="18"/>
        </w:rPr>
        <w:t>in</w:t>
      </w:r>
      <w:r>
        <w:rPr>
          <w:spacing w:val="-8"/>
          <w:w w:val="110"/>
          <w:sz w:val="18"/>
        </w:rPr>
        <w:t> </w:t>
      </w:r>
      <w:r>
        <w:rPr>
          <w:w w:val="110"/>
          <w:sz w:val="18"/>
        </w:rPr>
        <w:t>which</w:t>
      </w:r>
      <w:r>
        <w:rPr>
          <w:spacing w:val="-7"/>
          <w:w w:val="110"/>
          <w:sz w:val="18"/>
        </w:rPr>
        <w:t> </w:t>
      </w:r>
      <w:r>
        <w:rPr>
          <w:w w:val="110"/>
          <w:sz w:val="18"/>
        </w:rPr>
        <w:t>death</w:t>
      </w:r>
      <w:r>
        <w:rPr>
          <w:spacing w:val="-8"/>
          <w:w w:val="110"/>
          <w:sz w:val="18"/>
        </w:rPr>
        <w:t> </w:t>
      </w:r>
      <w:r>
        <w:rPr>
          <w:w w:val="110"/>
          <w:sz w:val="18"/>
        </w:rPr>
        <w:t>is</w:t>
      </w:r>
      <w:r>
        <w:rPr>
          <w:spacing w:val="-8"/>
          <w:w w:val="110"/>
          <w:sz w:val="18"/>
        </w:rPr>
        <w:t> </w:t>
      </w:r>
      <w:r>
        <w:rPr>
          <w:w w:val="110"/>
          <w:sz w:val="18"/>
        </w:rPr>
        <w:t>the</w:t>
      </w:r>
      <w:r>
        <w:rPr>
          <w:spacing w:val="-8"/>
          <w:w w:val="110"/>
          <w:sz w:val="18"/>
        </w:rPr>
        <w:t> </w:t>
      </w:r>
      <w:r>
        <w:rPr>
          <w:w w:val="110"/>
          <w:sz w:val="18"/>
        </w:rPr>
        <w:t>ultimate</w:t>
      </w:r>
      <w:r>
        <w:rPr>
          <w:spacing w:val="-7"/>
          <w:w w:val="110"/>
          <w:sz w:val="18"/>
        </w:rPr>
        <w:t> </w:t>
      </w:r>
      <w:r>
        <w:rPr>
          <w:w w:val="110"/>
          <w:sz w:val="18"/>
        </w:rPr>
        <w:t>healing.</w:t>
      </w:r>
      <w:r>
        <w:rPr>
          <w:spacing w:val="-8"/>
          <w:w w:val="110"/>
          <w:sz w:val="18"/>
        </w:rPr>
        <w:t> </w:t>
      </w:r>
      <w:r>
        <w:rPr>
          <w:spacing w:val="-4"/>
          <w:w w:val="110"/>
          <w:sz w:val="18"/>
        </w:rPr>
        <w:t>We</w:t>
      </w:r>
      <w:r>
        <w:rPr>
          <w:spacing w:val="-8"/>
          <w:w w:val="110"/>
          <w:sz w:val="18"/>
        </w:rPr>
        <w:t> </w:t>
      </w:r>
      <w:r>
        <w:rPr>
          <w:w w:val="110"/>
          <w:sz w:val="18"/>
        </w:rPr>
        <w:t>believe in</w:t>
      </w:r>
      <w:r>
        <w:rPr>
          <w:spacing w:val="-8"/>
          <w:w w:val="110"/>
          <w:sz w:val="18"/>
        </w:rPr>
        <w:t> </w:t>
      </w:r>
      <w:r>
        <w:rPr>
          <w:w w:val="110"/>
          <w:sz w:val="18"/>
        </w:rPr>
        <w:t>living</w:t>
      </w:r>
      <w:r>
        <w:rPr>
          <w:spacing w:val="-7"/>
          <w:w w:val="110"/>
          <w:sz w:val="18"/>
        </w:rPr>
        <w:t> </w:t>
      </w:r>
      <w:r>
        <w:rPr>
          <w:w w:val="110"/>
          <w:sz w:val="18"/>
        </w:rPr>
        <w:t>the</w:t>
      </w:r>
      <w:r>
        <w:rPr>
          <w:spacing w:val="-7"/>
          <w:w w:val="110"/>
          <w:sz w:val="18"/>
        </w:rPr>
        <w:t> </w:t>
      </w:r>
      <w:r>
        <w:rPr>
          <w:w w:val="110"/>
          <w:sz w:val="18"/>
        </w:rPr>
        <w:t>Christian</w:t>
      </w:r>
      <w:r>
        <w:rPr>
          <w:spacing w:val="-8"/>
          <w:w w:val="110"/>
          <w:sz w:val="18"/>
        </w:rPr>
        <w:t> </w:t>
      </w:r>
      <w:r>
        <w:rPr>
          <w:w w:val="110"/>
          <w:sz w:val="18"/>
        </w:rPr>
        <w:t>life</w:t>
      </w:r>
      <w:r>
        <w:rPr>
          <w:spacing w:val="-7"/>
          <w:w w:val="110"/>
          <w:sz w:val="18"/>
        </w:rPr>
        <w:t> </w:t>
      </w:r>
      <w:r>
        <w:rPr>
          <w:w w:val="110"/>
          <w:sz w:val="18"/>
        </w:rPr>
        <w:t>in</w:t>
      </w:r>
      <w:r>
        <w:rPr>
          <w:spacing w:val="-7"/>
          <w:w w:val="110"/>
          <w:sz w:val="18"/>
        </w:rPr>
        <w:t> </w:t>
      </w:r>
      <w:r>
        <w:rPr>
          <w:w w:val="110"/>
          <w:sz w:val="18"/>
        </w:rPr>
        <w:t>all</w:t>
      </w:r>
      <w:r>
        <w:rPr>
          <w:spacing w:val="-8"/>
          <w:w w:val="110"/>
          <w:sz w:val="18"/>
        </w:rPr>
        <w:t> </w:t>
      </w:r>
      <w:r>
        <w:rPr>
          <w:w w:val="110"/>
          <w:sz w:val="18"/>
        </w:rPr>
        <w:t>its</w:t>
      </w:r>
      <w:r>
        <w:rPr>
          <w:spacing w:val="-7"/>
          <w:w w:val="110"/>
          <w:sz w:val="18"/>
        </w:rPr>
        <w:t> </w:t>
      </w:r>
      <w:r>
        <w:rPr>
          <w:w w:val="110"/>
          <w:sz w:val="18"/>
        </w:rPr>
        <w:t>fullness</w:t>
      </w:r>
      <w:r>
        <w:rPr>
          <w:spacing w:val="-7"/>
          <w:w w:val="110"/>
          <w:sz w:val="18"/>
        </w:rPr>
        <w:t> </w:t>
      </w:r>
      <w:r>
        <w:rPr>
          <w:w w:val="110"/>
          <w:sz w:val="18"/>
        </w:rPr>
        <w:t>within</w:t>
      </w:r>
      <w:r>
        <w:rPr>
          <w:spacing w:val="-8"/>
          <w:w w:val="110"/>
          <w:sz w:val="18"/>
        </w:rPr>
        <w:t> </w:t>
      </w:r>
      <w:r>
        <w:rPr>
          <w:w w:val="110"/>
          <w:sz w:val="18"/>
        </w:rPr>
        <w:t>the</w:t>
      </w:r>
      <w:r>
        <w:rPr>
          <w:spacing w:val="-7"/>
          <w:w w:val="110"/>
          <w:sz w:val="18"/>
        </w:rPr>
        <w:t> </w:t>
      </w:r>
      <w:r>
        <w:rPr>
          <w:w w:val="110"/>
          <w:sz w:val="18"/>
        </w:rPr>
        <w:t>limitations</w:t>
      </w:r>
      <w:r>
        <w:rPr>
          <w:spacing w:val="-7"/>
          <w:w w:val="110"/>
          <w:sz w:val="18"/>
        </w:rPr>
        <w:t> </w:t>
      </w:r>
      <w:r>
        <w:rPr>
          <w:w w:val="110"/>
          <w:sz w:val="18"/>
        </w:rPr>
        <w:t>of</w:t>
      </w:r>
      <w:r>
        <w:rPr>
          <w:spacing w:val="-7"/>
          <w:w w:val="110"/>
          <w:sz w:val="18"/>
        </w:rPr>
        <w:t> </w:t>
      </w:r>
      <w:r>
        <w:rPr>
          <w:w w:val="110"/>
          <w:sz w:val="18"/>
        </w:rPr>
        <w:t>our</w:t>
      </w:r>
      <w:r>
        <w:rPr>
          <w:spacing w:val="-8"/>
          <w:w w:val="110"/>
          <w:sz w:val="18"/>
        </w:rPr>
        <w:t> </w:t>
      </w:r>
      <w:r>
        <w:rPr>
          <w:w w:val="110"/>
          <w:sz w:val="18"/>
        </w:rPr>
        <w:t>circumstances.</w:t>
      </w:r>
    </w:p>
    <w:p>
      <w:pPr>
        <w:pStyle w:val="BodyText"/>
        <w:spacing w:before="11"/>
        <w:rPr>
          <w:sz w:val="20"/>
        </w:rPr>
      </w:pPr>
    </w:p>
    <w:p>
      <w:pPr>
        <w:pStyle w:val="ListParagraph"/>
        <w:numPr>
          <w:ilvl w:val="1"/>
          <w:numId w:val="102"/>
        </w:numPr>
        <w:tabs>
          <w:tab w:pos="1393" w:val="left" w:leader="none"/>
          <w:tab w:pos="1394" w:val="left" w:leader="none"/>
        </w:tabs>
        <w:spacing w:line="273" w:lineRule="auto" w:before="0" w:after="0"/>
        <w:ind w:left="673" w:right="1713" w:firstLine="0"/>
        <w:jc w:val="left"/>
        <w:rPr>
          <w:sz w:val="18"/>
        </w:rPr>
      </w:pPr>
      <w:r>
        <w:rPr>
          <w:w w:val="110"/>
          <w:sz w:val="18"/>
        </w:rPr>
        <w:t>Some Christians hold the view that life should be </w:t>
      </w:r>
      <w:r>
        <w:rPr>
          <w:spacing w:val="2"/>
          <w:w w:val="110"/>
          <w:sz w:val="18"/>
        </w:rPr>
        <w:t>preserved </w:t>
      </w:r>
      <w:r>
        <w:rPr>
          <w:w w:val="110"/>
          <w:sz w:val="18"/>
        </w:rPr>
        <w:t>for as long as  possible, </w:t>
      </w:r>
      <w:r>
        <w:rPr>
          <w:spacing w:val="2"/>
          <w:w w:val="110"/>
          <w:sz w:val="18"/>
        </w:rPr>
        <w:t>because </w:t>
      </w:r>
      <w:r>
        <w:rPr>
          <w:w w:val="110"/>
          <w:sz w:val="18"/>
        </w:rPr>
        <w:t>it is always possible that God will intervene and </w:t>
      </w:r>
      <w:r>
        <w:rPr>
          <w:spacing w:val="3"/>
          <w:w w:val="110"/>
          <w:sz w:val="18"/>
        </w:rPr>
        <w:t>effect </w:t>
      </w:r>
      <w:r>
        <w:rPr>
          <w:w w:val="110"/>
          <w:sz w:val="18"/>
        </w:rPr>
        <w:t>a miraculous recovery, beyond that which medical science can comprehend. </w:t>
      </w:r>
      <w:r>
        <w:rPr>
          <w:spacing w:val="2"/>
          <w:w w:val="110"/>
          <w:sz w:val="18"/>
        </w:rPr>
        <w:t>Others </w:t>
      </w:r>
      <w:r>
        <w:rPr>
          <w:w w:val="110"/>
          <w:sz w:val="18"/>
        </w:rPr>
        <w:t>feel that whilst it could never be acceptable to help end the life of a patient by a deliberate act, in some circumstances it could be acceptable to withhold treatment and to allow a patient to die. The words of the 19</w:t>
      </w:r>
      <w:r>
        <w:rPr>
          <w:w w:val="110"/>
          <w:position w:val="6"/>
          <w:sz w:val="10"/>
        </w:rPr>
        <w:t>th </w:t>
      </w:r>
      <w:r>
        <w:rPr>
          <w:spacing w:val="2"/>
          <w:w w:val="110"/>
          <w:sz w:val="18"/>
        </w:rPr>
        <w:t>Century </w:t>
      </w:r>
      <w:r>
        <w:rPr>
          <w:w w:val="110"/>
          <w:sz w:val="18"/>
        </w:rPr>
        <w:t>humanist poet </w:t>
      </w:r>
      <w:r>
        <w:rPr>
          <w:spacing w:val="2"/>
          <w:w w:val="110"/>
          <w:sz w:val="18"/>
        </w:rPr>
        <w:t>Arthur </w:t>
      </w:r>
      <w:r>
        <w:rPr>
          <w:w w:val="110"/>
          <w:sz w:val="18"/>
        </w:rPr>
        <w:t>Hugh Clough, are </w:t>
      </w:r>
      <w:r>
        <w:rPr>
          <w:spacing w:val="2"/>
          <w:w w:val="110"/>
          <w:sz w:val="18"/>
        </w:rPr>
        <w:t>often </w:t>
      </w:r>
      <w:r>
        <w:rPr>
          <w:w w:val="110"/>
          <w:sz w:val="18"/>
        </w:rPr>
        <w:t>quoted in euthanasia debates: </w:t>
      </w:r>
      <w:r>
        <w:rPr>
          <w:i/>
          <w:w w:val="110"/>
          <w:sz w:val="18"/>
        </w:rPr>
        <w:t>Thou shalt not kill, but needst not strive, officiously to keep alive </w:t>
      </w:r>
      <w:r>
        <w:rPr>
          <w:w w:val="110"/>
          <w:position w:val="6"/>
          <w:sz w:val="10"/>
        </w:rPr>
        <w:t>(5)</w:t>
      </w:r>
      <w:r>
        <w:rPr>
          <w:w w:val="110"/>
          <w:sz w:val="18"/>
        </w:rPr>
        <w:t>. </w:t>
      </w:r>
      <w:r>
        <w:rPr>
          <w:spacing w:val="2"/>
          <w:w w:val="110"/>
          <w:sz w:val="18"/>
        </w:rPr>
        <w:t>These </w:t>
      </w:r>
      <w:r>
        <w:rPr>
          <w:w w:val="110"/>
          <w:sz w:val="18"/>
        </w:rPr>
        <w:t>words now have a significance beyond that envisaged when Clough wrote them,  for advances in medical science mean that life can be sustained, even in ‘a </w:t>
      </w:r>
      <w:r>
        <w:rPr>
          <w:spacing w:val="2"/>
          <w:w w:val="110"/>
          <w:sz w:val="18"/>
        </w:rPr>
        <w:t>persistent </w:t>
      </w:r>
      <w:r>
        <w:rPr>
          <w:w w:val="110"/>
          <w:sz w:val="18"/>
        </w:rPr>
        <w:t>vegetative state’ in patients who would have died less than a generation</w:t>
      </w:r>
      <w:r>
        <w:rPr>
          <w:spacing w:val="52"/>
          <w:w w:val="110"/>
          <w:sz w:val="18"/>
        </w:rPr>
        <w:t> </w:t>
      </w:r>
      <w:r>
        <w:rPr>
          <w:w w:val="110"/>
          <w:sz w:val="18"/>
        </w:rPr>
        <w:t>ago.</w:t>
      </w:r>
    </w:p>
    <w:p>
      <w:pPr>
        <w:pStyle w:val="BodyText"/>
        <w:spacing w:line="273" w:lineRule="auto" w:before="7"/>
        <w:ind w:left="673" w:right="2348"/>
      </w:pPr>
      <w:r>
        <w:rPr>
          <w:w w:val="110"/>
        </w:rPr>
        <w:t>However, it is the active provision of assistance to a patient to take her/his own life that is at issue now.</w:t>
      </w:r>
    </w:p>
    <w:p>
      <w:pPr>
        <w:pStyle w:val="BodyText"/>
        <w:spacing w:before="8"/>
        <w:rPr>
          <w:sz w:val="20"/>
        </w:rPr>
      </w:pPr>
    </w:p>
    <w:p>
      <w:pPr>
        <w:pStyle w:val="ListParagraph"/>
        <w:numPr>
          <w:ilvl w:val="1"/>
          <w:numId w:val="102"/>
        </w:numPr>
        <w:tabs>
          <w:tab w:pos="1393" w:val="left" w:leader="none"/>
          <w:tab w:pos="1394" w:val="left" w:leader="none"/>
        </w:tabs>
        <w:spacing w:line="273" w:lineRule="auto" w:before="0" w:after="0"/>
        <w:ind w:left="673" w:right="2035" w:firstLine="0"/>
        <w:jc w:val="left"/>
        <w:rPr>
          <w:sz w:val="18"/>
        </w:rPr>
      </w:pPr>
      <w:r>
        <w:rPr>
          <w:w w:val="110"/>
          <w:sz w:val="18"/>
        </w:rPr>
        <w:t>The Catholic Bishops of England and Wales and the Church of England House   of Bishops submitted a joint paper to the House of </w:t>
      </w:r>
      <w:r>
        <w:rPr>
          <w:spacing w:val="2"/>
          <w:w w:val="110"/>
          <w:sz w:val="18"/>
        </w:rPr>
        <w:t>Lords Select </w:t>
      </w:r>
      <w:r>
        <w:rPr>
          <w:w w:val="110"/>
          <w:sz w:val="18"/>
        </w:rPr>
        <w:t>Committee formed to consider </w:t>
      </w:r>
      <w:r>
        <w:rPr>
          <w:spacing w:val="2"/>
          <w:w w:val="110"/>
          <w:sz w:val="18"/>
        </w:rPr>
        <w:t>Lord </w:t>
      </w:r>
      <w:r>
        <w:rPr>
          <w:w w:val="110"/>
          <w:sz w:val="18"/>
        </w:rPr>
        <w:t>Joffe’s Bill. The submission was based upon the belief that God himself had given to humankind the gift of life. </w:t>
      </w:r>
      <w:r>
        <w:rPr>
          <w:spacing w:val="2"/>
          <w:w w:val="110"/>
          <w:sz w:val="18"/>
        </w:rPr>
        <w:t>As </w:t>
      </w:r>
      <w:r>
        <w:rPr>
          <w:w w:val="110"/>
          <w:sz w:val="18"/>
        </w:rPr>
        <w:t>such, it was to be revered and cherished.  All human beings were to be valued, irrespective of – among other </w:t>
      </w:r>
      <w:r>
        <w:rPr>
          <w:spacing w:val="2"/>
          <w:w w:val="110"/>
          <w:sz w:val="18"/>
        </w:rPr>
        <w:t>factors </w:t>
      </w:r>
      <w:r>
        <w:rPr>
          <w:w w:val="110"/>
          <w:sz w:val="18"/>
        </w:rPr>
        <w:t>– age and potential for</w:t>
      </w:r>
      <w:r>
        <w:rPr>
          <w:spacing w:val="2"/>
          <w:w w:val="110"/>
          <w:sz w:val="18"/>
        </w:rPr>
        <w:t> </w:t>
      </w:r>
      <w:r>
        <w:rPr>
          <w:w w:val="110"/>
          <w:sz w:val="18"/>
        </w:rPr>
        <w:t>achievement.</w:t>
      </w:r>
    </w:p>
    <w:p>
      <w:pPr>
        <w:pStyle w:val="BodyText"/>
        <w:spacing w:before="10"/>
        <w:rPr>
          <w:sz w:val="20"/>
        </w:rPr>
      </w:pPr>
    </w:p>
    <w:p>
      <w:pPr>
        <w:pStyle w:val="ListParagraph"/>
        <w:numPr>
          <w:ilvl w:val="1"/>
          <w:numId w:val="102"/>
        </w:numPr>
        <w:tabs>
          <w:tab w:pos="1393" w:val="left" w:leader="none"/>
          <w:tab w:pos="1394" w:val="left" w:leader="none"/>
        </w:tabs>
        <w:spacing w:line="273" w:lineRule="auto" w:before="0" w:after="0"/>
        <w:ind w:left="673" w:right="1698" w:firstLine="0"/>
        <w:jc w:val="left"/>
        <w:rPr>
          <w:sz w:val="18"/>
        </w:rPr>
      </w:pPr>
      <w:r>
        <w:rPr>
          <w:w w:val="110"/>
          <w:sz w:val="18"/>
        </w:rPr>
        <w:t>The two Churches submitted that all decisions about individual lives bear upon others, with whom we live in community, and for this reason it could not be held that the law relating to euthanasia was simply concerned with private morality. This was an issue in which </w:t>
      </w:r>
      <w:r>
        <w:rPr>
          <w:spacing w:val="2"/>
          <w:w w:val="110"/>
          <w:sz w:val="18"/>
        </w:rPr>
        <w:t>society </w:t>
      </w:r>
      <w:r>
        <w:rPr>
          <w:w w:val="110"/>
          <w:sz w:val="18"/>
        </w:rPr>
        <w:t>had to make a positive choice to </w:t>
      </w:r>
      <w:r>
        <w:rPr>
          <w:spacing w:val="2"/>
          <w:w w:val="110"/>
          <w:sz w:val="18"/>
        </w:rPr>
        <w:t>protect </w:t>
      </w:r>
      <w:r>
        <w:rPr>
          <w:w w:val="110"/>
          <w:sz w:val="18"/>
        </w:rPr>
        <w:t>the interests of its vulnerable members, even if this meant limiting the </w:t>
      </w:r>
      <w:r>
        <w:rPr>
          <w:spacing w:val="2"/>
          <w:w w:val="110"/>
          <w:sz w:val="18"/>
        </w:rPr>
        <w:t>freedom </w:t>
      </w:r>
      <w:r>
        <w:rPr>
          <w:w w:val="110"/>
          <w:sz w:val="18"/>
        </w:rPr>
        <w:t>of determination of</w:t>
      </w:r>
      <w:r>
        <w:rPr>
          <w:spacing w:val="50"/>
          <w:w w:val="110"/>
          <w:sz w:val="18"/>
        </w:rPr>
        <w:t> </w:t>
      </w:r>
      <w:r>
        <w:rPr>
          <w:w w:val="110"/>
          <w:sz w:val="18"/>
        </w:rPr>
        <w:t>others.</w:t>
      </w:r>
    </w:p>
    <w:p>
      <w:pPr>
        <w:spacing w:after="0" w:line="273" w:lineRule="auto"/>
        <w:jc w:val="left"/>
        <w:rPr>
          <w:sz w:val="18"/>
        </w:rPr>
        <w:sectPr>
          <w:headerReference w:type="even" r:id="rId252"/>
          <w:headerReference w:type="default" r:id="rId253"/>
          <w:footerReference w:type="even" r:id="rId254"/>
          <w:footerReference w:type="default" r:id="rId255"/>
          <w:pgSz w:w="11910" w:h="16840"/>
          <w:pgMar w:header="558" w:footer="564" w:top="820" w:bottom="760" w:left="460" w:right="0"/>
          <w:pgNumType w:start="4"/>
        </w:sectPr>
      </w:pPr>
    </w:p>
    <w:p>
      <w:pPr>
        <w:pStyle w:val="BodyText"/>
        <w:spacing w:before="1"/>
        <w:rPr>
          <w:sz w:val="16"/>
        </w:rPr>
      </w:pPr>
    </w:p>
    <w:p>
      <w:pPr>
        <w:pStyle w:val="ListParagraph"/>
        <w:numPr>
          <w:ilvl w:val="1"/>
          <w:numId w:val="102"/>
        </w:numPr>
        <w:tabs>
          <w:tab w:pos="1960" w:val="left" w:leader="none"/>
          <w:tab w:pos="1961" w:val="left" w:leader="none"/>
        </w:tabs>
        <w:spacing w:line="273" w:lineRule="auto" w:before="100" w:after="0"/>
        <w:ind w:left="1240" w:right="4781" w:firstLine="0"/>
        <w:jc w:val="left"/>
        <w:rPr>
          <w:sz w:val="18"/>
        </w:rPr>
      </w:pPr>
      <w:r>
        <w:rPr/>
        <w:pict>
          <v:group style="position:absolute;margin-left:377.272003pt;margin-top:1.705335pt;width:161.6pt;height:440.6pt;mso-position-horizontal-relative:page;mso-position-vertical-relative:paragraph;z-index:251862016" coordorigin="7545,34" coordsize="3232,8812">
            <v:shape style="position:absolute;left:7545;top:34;width:3231;height:8778" coordorigin="7545,34" coordsize="3231,8778" path="m10606,34l7716,34,7617,37,7567,55,7548,106,7545,204,7545,8641,7548,8740,7567,8790,7617,8809,7716,8812,10606,8812,10704,8809,10755,8790,10773,8740,10776,8641,10776,204,10773,106,10755,55,10704,37,10606,34xe" filled="true" fillcolor="#7c7c7c" stroked="false">
              <v:path arrowok="t"/>
              <v:fill type="solid"/>
            </v:shape>
            <v:shape style="position:absolute;left:7545;top:7432;width:3232;height:1413" type="#_x0000_t75" stroked="false">
              <v:imagedata r:id="rId256" o:title=""/>
            </v:shape>
            <v:shape style="position:absolute;left:7545;top:34;width:3232;height:8812" type="#_x0000_t202" filled="false" stroked="false">
              <v:textbox inset="0,0,0,0">
                <w:txbxContent>
                  <w:p>
                    <w:pPr>
                      <w:spacing w:line="240" w:lineRule="auto" w:before="4"/>
                      <w:rPr>
                        <w:sz w:val="30"/>
                      </w:rPr>
                    </w:pPr>
                  </w:p>
                  <w:p>
                    <w:pPr>
                      <w:spacing w:line="247" w:lineRule="auto" w:before="0"/>
                      <w:ind w:left="246" w:right="193" w:firstLine="0"/>
                      <w:jc w:val="left"/>
                      <w:rPr>
                        <w:b/>
                        <w:sz w:val="20"/>
                      </w:rPr>
                    </w:pPr>
                    <w:r>
                      <w:rPr>
                        <w:b/>
                        <w:w w:val="110"/>
                        <w:sz w:val="38"/>
                      </w:rPr>
                      <w:t>Alice </w:t>
                    </w:r>
                    <w:r>
                      <w:rPr>
                        <w:b/>
                        <w:color w:val="FFFFFF"/>
                        <w:w w:val="110"/>
                        <w:sz w:val="20"/>
                      </w:rPr>
                      <w:t>died two years after she was diagnosed with ovarian cancer.</w:t>
                    </w:r>
                  </w:p>
                  <w:p>
                    <w:pPr>
                      <w:spacing w:line="256" w:lineRule="auto" w:before="0"/>
                      <w:ind w:left="246" w:right="228" w:hanging="1"/>
                      <w:jc w:val="both"/>
                      <w:rPr>
                        <w:b/>
                        <w:sz w:val="20"/>
                      </w:rPr>
                    </w:pPr>
                    <w:r>
                      <w:rPr>
                        <w:b/>
                        <w:color w:val="FFFFFF"/>
                        <w:w w:val="110"/>
                        <w:sz w:val="20"/>
                      </w:rPr>
                      <w:t>During the two years, she threw herself into work at her church.</w:t>
                    </w:r>
                  </w:p>
                  <w:p>
                    <w:pPr>
                      <w:spacing w:line="256" w:lineRule="auto" w:before="0"/>
                      <w:ind w:left="246" w:right="725" w:firstLine="0"/>
                      <w:jc w:val="left"/>
                      <w:rPr>
                        <w:b/>
                        <w:sz w:val="20"/>
                      </w:rPr>
                    </w:pPr>
                    <w:r>
                      <w:rPr>
                        <w:b/>
                        <w:color w:val="FFFFFF"/>
                        <w:w w:val="110"/>
                        <w:sz w:val="20"/>
                      </w:rPr>
                      <w:t>Her husband said: “Alice recognised she would have a</w:t>
                    </w:r>
                  </w:p>
                  <w:p>
                    <w:pPr>
                      <w:spacing w:line="256" w:lineRule="auto" w:before="0"/>
                      <w:ind w:left="246" w:right="193" w:firstLine="0"/>
                      <w:jc w:val="left"/>
                      <w:rPr>
                        <w:b/>
                        <w:sz w:val="20"/>
                      </w:rPr>
                    </w:pPr>
                    <w:r>
                      <w:rPr>
                        <w:b/>
                        <w:color w:val="FFFFFF"/>
                        <w:w w:val="110"/>
                        <w:sz w:val="20"/>
                      </w:rPr>
                      <w:t>short life, but she had the peace that the Lord had saved her.</w:t>
                    </w:r>
                  </w:p>
                  <w:p>
                    <w:pPr>
                      <w:spacing w:line="256" w:lineRule="auto" w:before="0"/>
                      <w:ind w:left="246" w:right="193" w:firstLine="0"/>
                      <w:jc w:val="left"/>
                      <w:rPr>
                        <w:b/>
                        <w:sz w:val="20"/>
                      </w:rPr>
                    </w:pPr>
                    <w:r>
                      <w:rPr>
                        <w:b/>
                        <w:color w:val="FFFFFF"/>
                        <w:w w:val="110"/>
                        <w:sz w:val="20"/>
                      </w:rPr>
                      <w:t>It was comforting for me to see her so at ease. The last thing she said to me was</w:t>
                    </w:r>
                  </w:p>
                  <w:p>
                    <w:pPr>
                      <w:spacing w:line="243" w:lineRule="exact" w:before="0"/>
                      <w:ind w:left="246" w:right="0" w:firstLine="0"/>
                      <w:jc w:val="left"/>
                      <w:rPr>
                        <w:b/>
                        <w:sz w:val="20"/>
                      </w:rPr>
                    </w:pPr>
                    <w:r>
                      <w:rPr>
                        <w:b/>
                        <w:color w:val="FFFFFF"/>
                        <w:w w:val="110"/>
                        <w:sz w:val="20"/>
                      </w:rPr>
                      <w:t>‘I am content’ ”.</w:t>
                    </w:r>
                  </w:p>
                  <w:p>
                    <w:pPr>
                      <w:spacing w:line="240" w:lineRule="auto" w:before="5"/>
                      <w:rPr>
                        <w:b/>
                        <w:sz w:val="21"/>
                      </w:rPr>
                    </w:pPr>
                  </w:p>
                  <w:p>
                    <w:pPr>
                      <w:spacing w:line="247" w:lineRule="auto" w:before="1"/>
                      <w:ind w:left="1160" w:right="188" w:firstLine="354"/>
                      <w:jc w:val="left"/>
                      <w:rPr>
                        <w:i/>
                        <w:sz w:val="20"/>
                      </w:rPr>
                    </w:pPr>
                    <w:r>
                      <w:rPr>
                        <w:i/>
                        <w:color w:val="FFFFFF"/>
                        <w:w w:val="110"/>
                        <w:sz w:val="20"/>
                      </w:rPr>
                      <w:t>Baptist Times </w:t>
                    </w:r>
                    <w:r>
                      <w:rPr>
                        <w:i/>
                        <w:color w:val="FFFFFF"/>
                        <w:w w:val="110"/>
                        <w:sz w:val="20"/>
                      </w:rPr>
                      <w:t>20 October 2005</w:t>
                    </w:r>
                  </w:p>
                </w:txbxContent>
              </v:textbox>
              <w10:wrap type="none"/>
            </v:shape>
            <w10:wrap type="none"/>
          </v:group>
        </w:pict>
      </w:r>
      <w:r>
        <w:rPr>
          <w:w w:val="110"/>
          <w:sz w:val="18"/>
        </w:rPr>
        <w:t>Neither Church insisted that a dying or seriously ill </w:t>
      </w:r>
      <w:r>
        <w:rPr>
          <w:spacing w:val="2"/>
          <w:w w:val="110"/>
          <w:sz w:val="18"/>
        </w:rPr>
        <w:t>person </w:t>
      </w:r>
      <w:r>
        <w:rPr>
          <w:w w:val="110"/>
          <w:sz w:val="18"/>
        </w:rPr>
        <w:t>should be kept alive by all  possible means for as long as possible. Patients  might reasonably </w:t>
      </w:r>
      <w:r>
        <w:rPr>
          <w:spacing w:val="2"/>
          <w:w w:val="110"/>
          <w:sz w:val="18"/>
        </w:rPr>
        <w:t>refuse </w:t>
      </w:r>
      <w:r>
        <w:rPr>
          <w:w w:val="110"/>
          <w:sz w:val="18"/>
        </w:rPr>
        <w:t>a particular treatment as being too burdensome. Treatment for a dying patient should be proportionate to the therapeutic </w:t>
      </w:r>
      <w:r>
        <w:rPr>
          <w:spacing w:val="3"/>
          <w:w w:val="110"/>
          <w:sz w:val="18"/>
        </w:rPr>
        <w:t>effect </w:t>
      </w:r>
      <w:r>
        <w:rPr>
          <w:w w:val="110"/>
          <w:sz w:val="18"/>
        </w:rPr>
        <w:t>to be </w:t>
      </w:r>
      <w:r>
        <w:rPr>
          <w:spacing w:val="2"/>
          <w:w w:val="110"/>
          <w:sz w:val="18"/>
        </w:rPr>
        <w:t>expected </w:t>
      </w:r>
      <w:r>
        <w:rPr>
          <w:w w:val="110"/>
          <w:sz w:val="18"/>
        </w:rPr>
        <w:t>and should not be disproportionately painful, intrusive, risky, or costly, in the circum- </w:t>
      </w:r>
      <w:r>
        <w:rPr>
          <w:spacing w:val="2"/>
          <w:w w:val="110"/>
          <w:sz w:val="18"/>
        </w:rPr>
        <w:t>stances </w:t>
      </w:r>
      <w:r>
        <w:rPr>
          <w:w w:val="110"/>
          <w:sz w:val="18"/>
        </w:rPr>
        <w:t>pertaining. Having said that, the aim of giving or refusing treatment should never be to   make the patient die. Patients should not be able to demand that </w:t>
      </w:r>
      <w:r>
        <w:rPr>
          <w:spacing w:val="2"/>
          <w:w w:val="110"/>
          <w:sz w:val="18"/>
        </w:rPr>
        <w:t>doctors </w:t>
      </w:r>
      <w:r>
        <w:rPr>
          <w:w w:val="110"/>
          <w:sz w:val="18"/>
        </w:rPr>
        <w:t>collaborate in bringing about their death; that, the submission said, would be illegal and morally wrong. If </w:t>
      </w:r>
      <w:r>
        <w:rPr>
          <w:spacing w:val="2"/>
          <w:w w:val="110"/>
          <w:sz w:val="18"/>
        </w:rPr>
        <w:t>doctors </w:t>
      </w:r>
      <w:r>
        <w:rPr>
          <w:w w:val="110"/>
          <w:sz w:val="18"/>
        </w:rPr>
        <w:t>were</w:t>
      </w:r>
      <w:r>
        <w:rPr>
          <w:spacing w:val="38"/>
          <w:w w:val="110"/>
          <w:sz w:val="18"/>
        </w:rPr>
        <w:t> </w:t>
      </w:r>
      <w:r>
        <w:rPr>
          <w:w w:val="110"/>
          <w:sz w:val="18"/>
        </w:rPr>
        <w:t>allowed,</w:t>
      </w:r>
    </w:p>
    <w:p>
      <w:pPr>
        <w:pStyle w:val="BodyText"/>
        <w:spacing w:line="273" w:lineRule="auto" w:before="9"/>
        <w:ind w:left="1240" w:right="4783"/>
      </w:pPr>
      <w:r>
        <w:rPr>
          <w:w w:val="110"/>
        </w:rPr>
        <w:t>in some circumstances, to kill their patients rather than care for them, this would lead, inexorably, to an undermining of trust. A change in the law to permit assisted dying would change the cultural air breathed by all of us, and affect attitudes to older people and those with chronic illness. The submission concluded:</w:t>
      </w:r>
    </w:p>
    <w:p>
      <w:pPr>
        <w:pStyle w:val="BodyText"/>
        <w:spacing w:before="11"/>
        <w:rPr>
          <w:sz w:val="20"/>
        </w:rPr>
      </w:pPr>
    </w:p>
    <w:p>
      <w:pPr>
        <w:spacing w:line="273" w:lineRule="auto" w:before="0"/>
        <w:ind w:left="1921" w:right="4862" w:firstLine="0"/>
        <w:jc w:val="left"/>
        <w:rPr>
          <w:sz w:val="18"/>
        </w:rPr>
      </w:pPr>
      <w:r>
        <w:rPr>
          <w:i/>
          <w:spacing w:val="-3"/>
          <w:w w:val="110"/>
          <w:sz w:val="18"/>
        </w:rPr>
        <w:t>It </w:t>
      </w:r>
      <w:r>
        <w:rPr>
          <w:i/>
          <w:w w:val="110"/>
          <w:sz w:val="18"/>
        </w:rPr>
        <w:t>is deeply misguided to propose a </w:t>
      </w:r>
      <w:r>
        <w:rPr>
          <w:i/>
          <w:spacing w:val="-2"/>
          <w:w w:val="110"/>
          <w:sz w:val="18"/>
        </w:rPr>
        <w:t>law </w:t>
      </w:r>
      <w:r>
        <w:rPr>
          <w:i/>
          <w:spacing w:val="-3"/>
          <w:w w:val="110"/>
          <w:sz w:val="18"/>
        </w:rPr>
        <w:t>by </w:t>
      </w:r>
      <w:r>
        <w:rPr>
          <w:i/>
          <w:w w:val="110"/>
          <w:sz w:val="18"/>
        </w:rPr>
        <w:t>which it would be legal for terminally ill people to be killed or assisted in suicide </w:t>
      </w:r>
      <w:r>
        <w:rPr>
          <w:i/>
          <w:spacing w:val="-3"/>
          <w:w w:val="110"/>
          <w:sz w:val="18"/>
        </w:rPr>
        <w:t>by </w:t>
      </w:r>
      <w:r>
        <w:rPr>
          <w:i/>
          <w:w w:val="110"/>
          <w:sz w:val="18"/>
        </w:rPr>
        <w:t>those caring for them, even if there are safeguards to ensure it is only the terminally ill who</w:t>
      </w:r>
      <w:r>
        <w:rPr>
          <w:i/>
          <w:spacing w:val="-35"/>
          <w:w w:val="110"/>
          <w:sz w:val="18"/>
        </w:rPr>
        <w:t> </w:t>
      </w:r>
      <w:r>
        <w:rPr>
          <w:i/>
          <w:w w:val="110"/>
          <w:sz w:val="18"/>
        </w:rPr>
        <w:t>would </w:t>
      </w:r>
      <w:r>
        <w:rPr>
          <w:i/>
          <w:spacing w:val="-3"/>
          <w:w w:val="110"/>
          <w:sz w:val="18"/>
        </w:rPr>
        <w:t>qualify. </w:t>
      </w:r>
      <w:r>
        <w:rPr>
          <w:i/>
          <w:spacing w:val="-8"/>
          <w:w w:val="110"/>
          <w:sz w:val="18"/>
        </w:rPr>
        <w:t>To </w:t>
      </w:r>
      <w:r>
        <w:rPr>
          <w:i/>
          <w:w w:val="110"/>
          <w:sz w:val="18"/>
        </w:rPr>
        <w:t>take this step would fundamentally undermine the basis of </w:t>
      </w:r>
      <w:r>
        <w:rPr>
          <w:i/>
          <w:spacing w:val="-2"/>
          <w:w w:val="110"/>
          <w:sz w:val="18"/>
        </w:rPr>
        <w:t>law </w:t>
      </w:r>
      <w:r>
        <w:rPr>
          <w:i/>
          <w:w w:val="110"/>
          <w:sz w:val="18"/>
        </w:rPr>
        <w:t>and medicine and undermine the duty of the state to care for vulnerable people. </w:t>
      </w:r>
      <w:r>
        <w:rPr>
          <w:i/>
          <w:spacing w:val="-3"/>
          <w:w w:val="110"/>
          <w:sz w:val="18"/>
        </w:rPr>
        <w:t>It </w:t>
      </w:r>
      <w:r>
        <w:rPr>
          <w:i/>
          <w:w w:val="110"/>
          <w:sz w:val="18"/>
        </w:rPr>
        <w:t>would risk a gradual erosion of values in </w:t>
      </w:r>
      <w:r>
        <w:rPr>
          <w:i/>
          <w:spacing w:val="-2"/>
          <w:w w:val="110"/>
          <w:sz w:val="18"/>
        </w:rPr>
        <w:t>which, </w:t>
      </w:r>
      <w:r>
        <w:rPr>
          <w:i/>
          <w:spacing w:val="-3"/>
          <w:w w:val="110"/>
          <w:sz w:val="18"/>
        </w:rPr>
        <w:t>over </w:t>
      </w:r>
      <w:r>
        <w:rPr>
          <w:i/>
          <w:w w:val="110"/>
          <w:sz w:val="18"/>
        </w:rPr>
        <w:t>time, the cold calculation of costs of caring properly for the ill and the old would loom large. As a result, </w:t>
      </w:r>
      <w:r>
        <w:rPr>
          <w:i/>
          <w:spacing w:val="-3"/>
          <w:w w:val="110"/>
          <w:sz w:val="18"/>
        </w:rPr>
        <w:t>many </w:t>
      </w:r>
      <w:r>
        <w:rPr>
          <w:i/>
          <w:w w:val="110"/>
          <w:sz w:val="18"/>
        </w:rPr>
        <w:t>who are ill or dying would feel a burden to others. The right to die would become a duty to die</w:t>
      </w:r>
      <w:r>
        <w:rPr>
          <w:i/>
          <w:spacing w:val="-10"/>
          <w:w w:val="110"/>
          <w:sz w:val="18"/>
        </w:rPr>
        <w:t> </w:t>
      </w:r>
      <w:r>
        <w:rPr>
          <w:spacing w:val="-4"/>
          <w:w w:val="110"/>
          <w:position w:val="6"/>
          <w:sz w:val="10"/>
        </w:rPr>
        <w:t>(6)</w:t>
      </w:r>
      <w:r>
        <w:rPr>
          <w:spacing w:val="-4"/>
          <w:w w:val="110"/>
          <w:sz w:val="18"/>
        </w:rPr>
        <w:t>.</w:t>
      </w:r>
    </w:p>
    <w:p>
      <w:pPr>
        <w:pStyle w:val="BodyText"/>
        <w:spacing w:before="4"/>
        <w:rPr>
          <w:sz w:val="21"/>
        </w:rPr>
      </w:pPr>
    </w:p>
    <w:p>
      <w:pPr>
        <w:pStyle w:val="ListParagraph"/>
        <w:numPr>
          <w:ilvl w:val="1"/>
          <w:numId w:val="102"/>
        </w:numPr>
        <w:tabs>
          <w:tab w:pos="1960" w:val="left" w:leader="none"/>
          <w:tab w:pos="1961" w:val="left" w:leader="none"/>
        </w:tabs>
        <w:spacing w:line="273" w:lineRule="auto" w:before="0" w:after="0"/>
        <w:ind w:left="1240" w:right="1426" w:firstLine="0"/>
        <w:jc w:val="left"/>
        <w:rPr>
          <w:sz w:val="18"/>
        </w:rPr>
      </w:pPr>
      <w:r>
        <w:rPr>
          <w:w w:val="110"/>
          <w:sz w:val="18"/>
        </w:rPr>
        <w:t>The Methodist Church made a submission recognising that there were complex moral problems integral to the final </w:t>
      </w:r>
      <w:r>
        <w:rPr>
          <w:spacing w:val="2"/>
          <w:w w:val="110"/>
          <w:sz w:val="18"/>
        </w:rPr>
        <w:t>stages </w:t>
      </w:r>
      <w:r>
        <w:rPr>
          <w:w w:val="110"/>
          <w:sz w:val="18"/>
        </w:rPr>
        <w:t>of some terminal illnesses, but noting that the Christian tradition insists on the infinite </w:t>
      </w:r>
      <w:r>
        <w:rPr>
          <w:spacing w:val="3"/>
          <w:w w:val="110"/>
          <w:sz w:val="18"/>
        </w:rPr>
        <w:t>respect </w:t>
      </w:r>
      <w:r>
        <w:rPr>
          <w:w w:val="110"/>
          <w:sz w:val="18"/>
        </w:rPr>
        <w:t>owed to every individual human being – not proportional to well being, nor any assessment of seriousness of illness, injury or disability</w:t>
      </w:r>
      <w:r>
        <w:rPr>
          <w:spacing w:val="2"/>
          <w:w w:val="110"/>
          <w:sz w:val="18"/>
        </w:rPr>
        <w:t> </w:t>
      </w:r>
      <w:r>
        <w:rPr>
          <w:w w:val="110"/>
          <w:position w:val="6"/>
          <w:sz w:val="10"/>
        </w:rPr>
        <w:t>(7)</w:t>
      </w:r>
      <w:r>
        <w:rPr>
          <w:w w:val="110"/>
          <w:sz w:val="18"/>
        </w:rPr>
        <w:t>.</w:t>
      </w:r>
    </w:p>
    <w:p>
      <w:pPr>
        <w:pStyle w:val="BodyText"/>
        <w:spacing w:before="10"/>
        <w:rPr>
          <w:sz w:val="20"/>
        </w:rPr>
      </w:pPr>
    </w:p>
    <w:p>
      <w:pPr>
        <w:pStyle w:val="ListParagraph"/>
        <w:numPr>
          <w:ilvl w:val="1"/>
          <w:numId w:val="102"/>
        </w:numPr>
        <w:tabs>
          <w:tab w:pos="1960" w:val="left" w:leader="none"/>
          <w:tab w:pos="1961" w:val="left" w:leader="none"/>
        </w:tabs>
        <w:spacing w:line="273" w:lineRule="auto" w:before="0" w:after="0"/>
        <w:ind w:left="1240" w:right="1458" w:firstLine="0"/>
        <w:jc w:val="left"/>
        <w:rPr>
          <w:sz w:val="18"/>
        </w:rPr>
      </w:pPr>
      <w:r>
        <w:rPr>
          <w:w w:val="110"/>
          <w:sz w:val="18"/>
        </w:rPr>
        <w:t>The submission of the Voluntary Euthanasia </w:t>
      </w:r>
      <w:r>
        <w:rPr>
          <w:spacing w:val="2"/>
          <w:w w:val="110"/>
          <w:sz w:val="18"/>
        </w:rPr>
        <w:t>Society </w:t>
      </w:r>
      <w:r>
        <w:rPr>
          <w:spacing w:val="-4"/>
          <w:w w:val="110"/>
          <w:sz w:val="18"/>
        </w:rPr>
        <w:t>(now </w:t>
      </w:r>
      <w:r>
        <w:rPr>
          <w:w w:val="110"/>
          <w:sz w:val="18"/>
        </w:rPr>
        <w:t>Dignity in Dying)  said that many terminally ill people would like medical help to die, but to provide that help was currently illegal. Despite this, health professionals repeatedly broke the </w:t>
      </w:r>
      <w:r>
        <w:rPr>
          <w:spacing w:val="-4"/>
          <w:w w:val="110"/>
          <w:sz w:val="18"/>
        </w:rPr>
        <w:t>law, </w:t>
      </w:r>
      <w:r>
        <w:rPr>
          <w:w w:val="110"/>
          <w:sz w:val="18"/>
        </w:rPr>
        <w:t>out of compassion and </w:t>
      </w:r>
      <w:r>
        <w:rPr>
          <w:spacing w:val="3"/>
          <w:w w:val="110"/>
          <w:sz w:val="18"/>
        </w:rPr>
        <w:t>respect </w:t>
      </w:r>
      <w:r>
        <w:rPr>
          <w:w w:val="110"/>
          <w:sz w:val="18"/>
        </w:rPr>
        <w:t>for the wishes of terminally ill patients. Some patients attempted</w:t>
      </w:r>
      <w:r>
        <w:rPr>
          <w:spacing w:val="7"/>
          <w:w w:val="110"/>
          <w:sz w:val="18"/>
        </w:rPr>
        <w:t> </w:t>
      </w:r>
      <w:r>
        <w:rPr>
          <w:w w:val="110"/>
          <w:sz w:val="18"/>
        </w:rPr>
        <w:t>to</w:t>
      </w:r>
      <w:r>
        <w:rPr>
          <w:spacing w:val="8"/>
          <w:w w:val="110"/>
          <w:sz w:val="18"/>
        </w:rPr>
        <w:t> </w:t>
      </w:r>
      <w:r>
        <w:rPr>
          <w:w w:val="110"/>
          <w:sz w:val="18"/>
        </w:rPr>
        <w:t>end</w:t>
      </w:r>
      <w:r>
        <w:rPr>
          <w:spacing w:val="7"/>
          <w:w w:val="110"/>
          <w:sz w:val="18"/>
        </w:rPr>
        <w:t> </w:t>
      </w:r>
      <w:r>
        <w:rPr>
          <w:w w:val="110"/>
          <w:sz w:val="18"/>
        </w:rPr>
        <w:t>their</w:t>
      </w:r>
      <w:r>
        <w:rPr>
          <w:spacing w:val="7"/>
          <w:w w:val="110"/>
          <w:sz w:val="18"/>
        </w:rPr>
        <w:t> </w:t>
      </w:r>
      <w:r>
        <w:rPr>
          <w:w w:val="110"/>
          <w:sz w:val="18"/>
        </w:rPr>
        <w:t>own</w:t>
      </w:r>
      <w:r>
        <w:rPr>
          <w:spacing w:val="7"/>
          <w:w w:val="110"/>
          <w:sz w:val="18"/>
        </w:rPr>
        <w:t> </w:t>
      </w:r>
      <w:r>
        <w:rPr>
          <w:w w:val="110"/>
          <w:sz w:val="18"/>
        </w:rPr>
        <w:t>life</w:t>
      </w:r>
      <w:r>
        <w:rPr>
          <w:spacing w:val="8"/>
          <w:w w:val="110"/>
          <w:sz w:val="18"/>
        </w:rPr>
        <w:t> </w:t>
      </w:r>
      <w:r>
        <w:rPr>
          <w:w w:val="110"/>
          <w:sz w:val="18"/>
        </w:rPr>
        <w:t>–</w:t>
      </w:r>
      <w:r>
        <w:rPr>
          <w:spacing w:val="7"/>
          <w:w w:val="110"/>
          <w:sz w:val="18"/>
        </w:rPr>
        <w:t> </w:t>
      </w:r>
      <w:r>
        <w:rPr>
          <w:w w:val="110"/>
          <w:sz w:val="18"/>
        </w:rPr>
        <w:t>with</w:t>
      </w:r>
      <w:r>
        <w:rPr>
          <w:spacing w:val="8"/>
          <w:w w:val="110"/>
          <w:sz w:val="18"/>
        </w:rPr>
        <w:t> </w:t>
      </w:r>
      <w:r>
        <w:rPr>
          <w:w w:val="110"/>
          <w:sz w:val="18"/>
        </w:rPr>
        <w:t>or</w:t>
      </w:r>
      <w:r>
        <w:rPr>
          <w:spacing w:val="7"/>
          <w:w w:val="110"/>
          <w:sz w:val="18"/>
        </w:rPr>
        <w:t> </w:t>
      </w:r>
      <w:r>
        <w:rPr>
          <w:w w:val="110"/>
          <w:sz w:val="18"/>
        </w:rPr>
        <w:t>without</w:t>
      </w:r>
      <w:r>
        <w:rPr>
          <w:spacing w:val="8"/>
          <w:w w:val="110"/>
          <w:sz w:val="18"/>
        </w:rPr>
        <w:t> </w:t>
      </w:r>
      <w:r>
        <w:rPr>
          <w:w w:val="110"/>
          <w:sz w:val="18"/>
        </w:rPr>
        <w:t>the</w:t>
      </w:r>
      <w:r>
        <w:rPr>
          <w:spacing w:val="7"/>
          <w:w w:val="110"/>
          <w:sz w:val="18"/>
        </w:rPr>
        <w:t> </w:t>
      </w:r>
      <w:r>
        <w:rPr>
          <w:w w:val="110"/>
          <w:sz w:val="18"/>
        </w:rPr>
        <w:t>help</w:t>
      </w:r>
      <w:r>
        <w:rPr>
          <w:spacing w:val="8"/>
          <w:w w:val="110"/>
          <w:sz w:val="18"/>
        </w:rPr>
        <w:t> </w:t>
      </w:r>
      <w:r>
        <w:rPr>
          <w:w w:val="110"/>
          <w:sz w:val="18"/>
        </w:rPr>
        <w:t>of</w:t>
      </w:r>
      <w:r>
        <w:rPr>
          <w:spacing w:val="7"/>
          <w:w w:val="110"/>
          <w:sz w:val="18"/>
        </w:rPr>
        <w:t> </w:t>
      </w:r>
      <w:r>
        <w:rPr>
          <w:w w:val="110"/>
          <w:sz w:val="18"/>
        </w:rPr>
        <w:t>a</w:t>
      </w:r>
      <w:r>
        <w:rPr>
          <w:spacing w:val="8"/>
          <w:w w:val="110"/>
          <w:sz w:val="18"/>
        </w:rPr>
        <w:t> </w:t>
      </w:r>
      <w:r>
        <w:rPr>
          <w:w w:val="110"/>
          <w:sz w:val="18"/>
        </w:rPr>
        <w:t>loved</w:t>
      </w:r>
      <w:r>
        <w:rPr>
          <w:spacing w:val="7"/>
          <w:w w:val="110"/>
          <w:sz w:val="18"/>
        </w:rPr>
        <w:t> </w:t>
      </w:r>
      <w:r>
        <w:rPr>
          <w:w w:val="110"/>
          <w:sz w:val="18"/>
        </w:rPr>
        <w:t>one</w:t>
      </w:r>
      <w:r>
        <w:rPr>
          <w:spacing w:val="8"/>
          <w:w w:val="110"/>
          <w:sz w:val="18"/>
        </w:rPr>
        <w:t> </w:t>
      </w:r>
      <w:r>
        <w:rPr>
          <w:w w:val="110"/>
          <w:sz w:val="18"/>
        </w:rPr>
        <w:t>–</w:t>
      </w:r>
      <w:r>
        <w:rPr>
          <w:spacing w:val="7"/>
          <w:w w:val="110"/>
          <w:sz w:val="18"/>
        </w:rPr>
        <w:t> </w:t>
      </w:r>
      <w:r>
        <w:rPr>
          <w:w w:val="110"/>
          <w:sz w:val="18"/>
        </w:rPr>
        <w:t>sometimes</w:t>
      </w:r>
    </w:p>
    <w:p>
      <w:pPr>
        <w:pStyle w:val="BodyText"/>
        <w:spacing w:line="273" w:lineRule="auto" w:before="3"/>
        <w:ind w:left="1240" w:right="1292"/>
        <w:jc w:val="both"/>
      </w:pPr>
      <w:r>
        <w:rPr>
          <w:w w:val="110"/>
        </w:rPr>
        <w:t>with deeply distressing consequences, not just for the patient, but also for the relative. The general public had made it clear in opinion polls that they wanted the law changed. The Society said:</w:t>
      </w:r>
    </w:p>
    <w:p>
      <w:pPr>
        <w:pStyle w:val="BodyText"/>
        <w:spacing w:before="9"/>
        <w:rPr>
          <w:sz w:val="20"/>
        </w:rPr>
      </w:pPr>
    </w:p>
    <w:p>
      <w:pPr>
        <w:tabs>
          <w:tab w:pos="3370" w:val="left" w:leader="dot"/>
        </w:tabs>
        <w:spacing w:before="0"/>
        <w:ind w:left="1921" w:right="0" w:firstLine="0"/>
        <w:jc w:val="left"/>
        <w:rPr>
          <w:i/>
          <w:sz w:val="18"/>
        </w:rPr>
      </w:pPr>
      <w:r>
        <w:rPr>
          <w:i/>
          <w:w w:val="110"/>
          <w:sz w:val="18"/>
        </w:rPr>
        <w:t>the</w:t>
      </w:r>
      <w:r>
        <w:rPr>
          <w:i/>
          <w:spacing w:val="8"/>
          <w:w w:val="110"/>
          <w:sz w:val="18"/>
        </w:rPr>
        <w:t> </w:t>
      </w:r>
      <w:r>
        <w:rPr>
          <w:i/>
          <w:w w:val="110"/>
          <w:sz w:val="18"/>
        </w:rPr>
        <w:t>choice</w:t>
        <w:tab/>
        <w:t>is not </w:t>
      </w:r>
      <w:r>
        <w:rPr>
          <w:i/>
          <w:spacing w:val="2"/>
          <w:w w:val="110"/>
          <w:sz w:val="18"/>
        </w:rPr>
        <w:t>between </w:t>
      </w:r>
      <w:r>
        <w:rPr>
          <w:i/>
          <w:w w:val="110"/>
          <w:sz w:val="18"/>
        </w:rPr>
        <w:t>permitting and preventing medically assisted</w:t>
      </w:r>
      <w:r>
        <w:rPr>
          <w:i/>
          <w:spacing w:val="34"/>
          <w:w w:val="110"/>
          <w:sz w:val="18"/>
        </w:rPr>
        <w:t> </w:t>
      </w:r>
      <w:r>
        <w:rPr>
          <w:i/>
          <w:w w:val="110"/>
          <w:sz w:val="18"/>
        </w:rPr>
        <w:t>dying.</w:t>
      </w:r>
    </w:p>
    <w:p>
      <w:pPr>
        <w:spacing w:line="273" w:lineRule="auto" w:before="31"/>
        <w:ind w:left="1921" w:right="1664" w:firstLine="0"/>
        <w:jc w:val="left"/>
        <w:rPr>
          <w:sz w:val="18"/>
        </w:rPr>
      </w:pPr>
      <w:r>
        <w:rPr>
          <w:i/>
          <w:w w:val="110"/>
          <w:sz w:val="18"/>
        </w:rPr>
        <w:t>The choice is </w:t>
      </w:r>
      <w:r>
        <w:rPr>
          <w:i/>
          <w:spacing w:val="2"/>
          <w:w w:val="110"/>
          <w:sz w:val="18"/>
        </w:rPr>
        <w:t>between </w:t>
      </w:r>
      <w:r>
        <w:rPr>
          <w:i/>
          <w:w w:val="110"/>
          <w:sz w:val="18"/>
        </w:rPr>
        <w:t>making medically assisted dying visible and regulated, </w:t>
      </w:r>
      <w:r>
        <w:rPr>
          <w:i/>
          <w:w w:val="110"/>
          <w:sz w:val="18"/>
        </w:rPr>
        <w:t>or allowing it to continue ‘underground’ without any safeguards, transparency or accountability</w:t>
      </w:r>
      <w:r>
        <w:rPr>
          <w:i/>
          <w:spacing w:val="2"/>
          <w:w w:val="110"/>
          <w:sz w:val="18"/>
        </w:rPr>
        <w:t> </w:t>
      </w:r>
      <w:r>
        <w:rPr>
          <w:spacing w:val="-3"/>
          <w:w w:val="110"/>
          <w:position w:val="6"/>
          <w:sz w:val="10"/>
        </w:rPr>
        <w:t>(8)</w:t>
      </w:r>
      <w:r>
        <w:rPr>
          <w:spacing w:val="-3"/>
          <w:w w:val="110"/>
          <w:sz w:val="18"/>
        </w:rPr>
        <w:t>.</w:t>
      </w:r>
    </w:p>
    <w:p>
      <w:pPr>
        <w:spacing w:after="0" w:line="273" w:lineRule="auto"/>
        <w:jc w:val="left"/>
        <w:rPr>
          <w:sz w:val="18"/>
        </w:rPr>
        <w:sectPr>
          <w:pgSz w:w="11910" w:h="16840"/>
          <w:pgMar w:header="558" w:footer="564" w:top="820" w:bottom="760" w:left="460" w:right="0"/>
        </w:sectPr>
      </w:pPr>
    </w:p>
    <w:p>
      <w:pPr>
        <w:pStyle w:val="BodyText"/>
        <w:spacing w:before="9"/>
        <w:rPr>
          <w:sz w:val="13"/>
        </w:rPr>
      </w:pPr>
    </w:p>
    <w:p>
      <w:pPr>
        <w:pStyle w:val="ListParagraph"/>
        <w:numPr>
          <w:ilvl w:val="1"/>
          <w:numId w:val="102"/>
        </w:numPr>
        <w:tabs>
          <w:tab w:pos="1393" w:val="left" w:leader="none"/>
          <w:tab w:pos="1394" w:val="left" w:leader="none"/>
        </w:tabs>
        <w:spacing w:line="273" w:lineRule="auto" w:before="101" w:after="0"/>
        <w:ind w:left="673" w:right="4736" w:firstLine="0"/>
        <w:jc w:val="left"/>
        <w:rPr>
          <w:sz w:val="18"/>
        </w:rPr>
      </w:pPr>
      <w:r>
        <w:rPr/>
        <w:pict>
          <v:group style="position:absolute;margin-left:376.062988pt;margin-top:6.451816pt;width:161.550pt;height:617.5pt;mso-position-horizontal-relative:page;mso-position-vertical-relative:paragraph;z-index:251864064" coordorigin="7521,129" coordsize="3231,12350">
            <v:shape style="position:absolute;left:7521;top:129;width:3231;height:12293" coordorigin="7521,129" coordsize="3231,12293" path="m10582,129l7691,129,7593,132,7543,150,7524,201,7521,299,7521,12251,7524,12350,7543,12400,7593,12419,7691,12421,10582,12421,10680,12419,10730,12400,10749,12350,10752,12251,10752,299,10749,201,10730,150,10680,132,10582,129xe" filled="true" fillcolor="#7c7c7c" stroked="false">
              <v:path arrowok="t"/>
              <v:fill type="solid"/>
            </v:shape>
            <v:shape style="position:absolute;left:7523;top:10522;width:3229;height:1956" type="#_x0000_t75" stroked="false">
              <v:imagedata r:id="rId257" o:title=""/>
            </v:shape>
            <v:shape style="position:absolute;left:7521;top:129;width:3231;height:12350" type="#_x0000_t202" filled="false" stroked="false">
              <v:textbox inset="0,0,0,0">
                <w:txbxContent>
                  <w:p>
                    <w:pPr>
                      <w:spacing w:line="240" w:lineRule="auto" w:before="4"/>
                      <w:rPr>
                        <w:sz w:val="30"/>
                      </w:rPr>
                    </w:pPr>
                  </w:p>
                  <w:p>
                    <w:pPr>
                      <w:spacing w:line="252" w:lineRule="auto" w:before="0"/>
                      <w:ind w:left="246" w:right="232" w:hanging="1"/>
                      <w:jc w:val="left"/>
                      <w:rPr>
                        <w:b/>
                        <w:sz w:val="20"/>
                      </w:rPr>
                    </w:pPr>
                    <w:r>
                      <w:rPr>
                        <w:b/>
                        <w:w w:val="110"/>
                        <w:sz w:val="38"/>
                      </w:rPr>
                      <w:t>Anne, </w:t>
                    </w:r>
                    <w:r>
                      <w:rPr>
                        <w:b/>
                        <w:color w:val="FFFFFF"/>
                        <w:w w:val="110"/>
                        <w:sz w:val="20"/>
                      </w:rPr>
                      <w:t>a retired doctor, was suffering from an incurable brain disease. She had seen her husband die from a closely related degenerative illness, four</w:t>
                    </w:r>
                    <w:r>
                      <w:rPr>
                        <w:b/>
                        <w:color w:val="FFFFFF"/>
                        <w:spacing w:val="-1"/>
                        <w:w w:val="110"/>
                        <w:sz w:val="20"/>
                      </w:rPr>
                      <w:t> </w:t>
                    </w:r>
                    <w:r>
                      <w:rPr>
                        <w:b/>
                        <w:color w:val="FFFFFF"/>
                        <w:w w:val="110"/>
                        <w:sz w:val="20"/>
                      </w:rPr>
                      <w:t>years</w:t>
                    </w:r>
                  </w:p>
                  <w:p>
                    <w:pPr>
                      <w:spacing w:line="256" w:lineRule="auto" w:before="0"/>
                      <w:ind w:left="246" w:right="245" w:firstLine="0"/>
                      <w:jc w:val="left"/>
                      <w:rPr>
                        <w:b/>
                        <w:sz w:val="20"/>
                      </w:rPr>
                    </w:pPr>
                    <w:r>
                      <w:rPr>
                        <w:b/>
                        <w:color w:val="FFFFFF"/>
                        <w:w w:val="110"/>
                        <w:sz w:val="20"/>
                      </w:rPr>
                      <w:t>before. She said she did not want the “long slow demise” that he had suffered. She travelled to Switzerland to take her life, by drinking barbiturates, with the help of the Dignitas clinic. Her son said: “She was ready</w:t>
                    </w:r>
                    <w:r>
                      <w:rPr>
                        <w:b/>
                        <w:color w:val="FFFFFF"/>
                        <w:spacing w:val="1"/>
                        <w:w w:val="110"/>
                        <w:sz w:val="20"/>
                      </w:rPr>
                      <w:t> </w:t>
                    </w:r>
                    <w:r>
                      <w:rPr>
                        <w:b/>
                        <w:color w:val="FFFFFF"/>
                        <w:w w:val="110"/>
                        <w:sz w:val="20"/>
                      </w:rPr>
                      <w:t>to</w:t>
                    </w:r>
                  </w:p>
                  <w:p>
                    <w:pPr>
                      <w:spacing w:line="256" w:lineRule="auto" w:before="0"/>
                      <w:ind w:left="246" w:right="457" w:firstLine="0"/>
                      <w:jc w:val="left"/>
                      <w:rPr>
                        <w:b/>
                        <w:sz w:val="20"/>
                      </w:rPr>
                    </w:pPr>
                    <w:r>
                      <w:rPr>
                        <w:b/>
                        <w:color w:val="FFFFFF"/>
                        <w:w w:val="110"/>
                        <w:sz w:val="20"/>
                      </w:rPr>
                      <w:t>go and that makes it all the easier for us. </w:t>
                    </w:r>
                    <w:r>
                      <w:rPr>
                        <w:b/>
                        <w:color w:val="FFFFFF"/>
                        <w:spacing w:val="-3"/>
                        <w:w w:val="110"/>
                        <w:sz w:val="20"/>
                      </w:rPr>
                      <w:t>We </w:t>
                    </w:r>
                    <w:r>
                      <w:rPr>
                        <w:b/>
                        <w:color w:val="FFFFFF"/>
                        <w:spacing w:val="2"/>
                        <w:w w:val="110"/>
                        <w:sz w:val="20"/>
                      </w:rPr>
                      <w:t>respect </w:t>
                    </w:r>
                    <w:r>
                      <w:rPr>
                        <w:b/>
                        <w:color w:val="FFFFFF"/>
                        <w:w w:val="110"/>
                        <w:sz w:val="20"/>
                      </w:rPr>
                      <w:t>her choice. </w:t>
                    </w:r>
                    <w:r>
                      <w:rPr>
                        <w:b/>
                        <w:color w:val="FFFFFF"/>
                        <w:spacing w:val="-3"/>
                        <w:w w:val="110"/>
                        <w:sz w:val="20"/>
                      </w:rPr>
                      <w:t>We </w:t>
                    </w:r>
                    <w:r>
                      <w:rPr>
                        <w:b/>
                        <w:color w:val="FFFFFF"/>
                        <w:w w:val="110"/>
                        <w:sz w:val="20"/>
                      </w:rPr>
                      <w:t>are very thankful that her suffering was</w:t>
                    </w:r>
                    <w:r>
                      <w:rPr>
                        <w:b/>
                        <w:color w:val="FFFFFF"/>
                        <w:spacing w:val="-1"/>
                        <w:w w:val="110"/>
                        <w:sz w:val="20"/>
                      </w:rPr>
                      <w:t> </w:t>
                    </w:r>
                    <w:r>
                      <w:rPr>
                        <w:b/>
                        <w:color w:val="FFFFFF"/>
                        <w:w w:val="110"/>
                        <w:sz w:val="20"/>
                      </w:rPr>
                      <w:t>over”.</w:t>
                    </w:r>
                  </w:p>
                  <w:p>
                    <w:pPr>
                      <w:spacing w:line="240" w:lineRule="auto" w:before="7"/>
                      <w:rPr>
                        <w:b/>
                        <w:sz w:val="19"/>
                      </w:rPr>
                    </w:pPr>
                  </w:p>
                  <w:p>
                    <w:pPr>
                      <w:spacing w:line="247" w:lineRule="auto" w:before="1"/>
                      <w:ind w:left="1167" w:right="0" w:firstLine="144"/>
                      <w:jc w:val="left"/>
                      <w:rPr>
                        <w:i/>
                        <w:sz w:val="20"/>
                      </w:rPr>
                    </w:pPr>
                    <w:r>
                      <w:rPr>
                        <w:i/>
                        <w:color w:val="FFFFFF"/>
                        <w:w w:val="110"/>
                        <w:sz w:val="20"/>
                      </w:rPr>
                      <w:t>Daily Telegraph </w:t>
                    </w:r>
                    <w:r>
                      <w:rPr>
                        <w:i/>
                        <w:color w:val="FFFFFF"/>
                        <w:w w:val="110"/>
                        <w:sz w:val="20"/>
                      </w:rPr>
                      <w:t>25 January 2006</w:t>
                    </w:r>
                  </w:p>
                </w:txbxContent>
              </v:textbox>
              <w10:wrap type="none"/>
            </v:shape>
            <w10:wrap type="none"/>
          </v:group>
        </w:pict>
      </w:r>
      <w:r>
        <w:rPr>
          <w:w w:val="110"/>
          <w:sz w:val="18"/>
        </w:rPr>
        <w:t>The Royal College of General </w:t>
      </w:r>
      <w:r>
        <w:rPr>
          <w:spacing w:val="2"/>
          <w:w w:val="110"/>
          <w:sz w:val="18"/>
        </w:rPr>
        <w:t>Practitioners </w:t>
      </w:r>
      <w:r>
        <w:rPr>
          <w:w w:val="110"/>
          <w:sz w:val="18"/>
        </w:rPr>
        <w:t>opposed the Bill. The Royal College of Physicians asked its </w:t>
      </w:r>
      <w:r>
        <w:rPr>
          <w:spacing w:val="2"/>
          <w:w w:val="110"/>
          <w:sz w:val="18"/>
        </w:rPr>
        <w:t>members </w:t>
      </w:r>
      <w:r>
        <w:rPr>
          <w:w w:val="110"/>
          <w:sz w:val="18"/>
        </w:rPr>
        <w:t>for their views and </w:t>
      </w:r>
      <w:r>
        <w:rPr>
          <w:spacing w:val="2"/>
          <w:w w:val="110"/>
          <w:sz w:val="18"/>
        </w:rPr>
        <w:t>reported </w:t>
      </w:r>
      <w:r>
        <w:rPr>
          <w:w w:val="110"/>
          <w:sz w:val="18"/>
        </w:rPr>
        <w:t>that 73 per cent of</w:t>
      </w:r>
      <w:r>
        <w:rPr>
          <w:spacing w:val="47"/>
          <w:w w:val="110"/>
          <w:sz w:val="18"/>
        </w:rPr>
        <w:t> </w:t>
      </w:r>
      <w:r>
        <w:rPr>
          <w:w w:val="110"/>
          <w:sz w:val="18"/>
        </w:rPr>
        <w:t>those</w:t>
      </w:r>
    </w:p>
    <w:p>
      <w:pPr>
        <w:pStyle w:val="BodyText"/>
        <w:spacing w:line="273" w:lineRule="auto" w:before="1"/>
        <w:ind w:left="673" w:right="4783"/>
      </w:pPr>
      <w:r>
        <w:rPr>
          <w:w w:val="110"/>
        </w:rPr>
        <w:t>who responded were opposed to it. The British Medical Association adopted a “neutral” position, but has since said that it does not believe patients have a right to assistance to end their</w:t>
      </w:r>
      <w:r>
        <w:rPr>
          <w:spacing w:val="2"/>
          <w:w w:val="110"/>
        </w:rPr>
        <w:t> </w:t>
      </w:r>
      <w:r>
        <w:rPr>
          <w:w w:val="110"/>
        </w:rPr>
        <w:t>lives.</w:t>
      </w:r>
    </w:p>
    <w:p>
      <w:pPr>
        <w:pStyle w:val="BodyText"/>
        <w:rPr>
          <w:sz w:val="22"/>
        </w:rPr>
      </w:pPr>
    </w:p>
    <w:p>
      <w:pPr>
        <w:pStyle w:val="BodyText"/>
        <w:spacing w:before="4"/>
        <w:rPr>
          <w:sz w:val="19"/>
        </w:rPr>
      </w:pPr>
    </w:p>
    <w:p>
      <w:pPr>
        <w:pStyle w:val="Heading9"/>
        <w:numPr>
          <w:ilvl w:val="0"/>
          <w:numId w:val="102"/>
        </w:numPr>
        <w:tabs>
          <w:tab w:pos="1393" w:val="left" w:leader="none"/>
          <w:tab w:pos="1394" w:val="left" w:leader="none"/>
        </w:tabs>
        <w:spacing w:line="244" w:lineRule="auto" w:before="0" w:after="0"/>
        <w:ind w:left="1394" w:right="6667" w:hanging="721"/>
        <w:jc w:val="left"/>
      </w:pPr>
      <w:r>
        <w:rPr>
          <w:w w:val="110"/>
        </w:rPr>
        <w:t>A Reformed </w:t>
      </w:r>
      <w:r>
        <w:rPr>
          <w:spacing w:val="-3"/>
          <w:w w:val="110"/>
        </w:rPr>
        <w:t>view </w:t>
      </w:r>
      <w:r>
        <w:rPr>
          <w:w w:val="110"/>
        </w:rPr>
        <w:t>– </w:t>
      </w:r>
      <w:r>
        <w:rPr>
          <w:spacing w:val="-3"/>
          <w:w w:val="110"/>
        </w:rPr>
        <w:t>by </w:t>
      </w:r>
      <w:r>
        <w:rPr>
          <w:w w:val="110"/>
        </w:rPr>
        <w:t>Neil</w:t>
      </w:r>
      <w:r>
        <w:rPr>
          <w:spacing w:val="4"/>
          <w:w w:val="110"/>
        </w:rPr>
        <w:t> </w:t>
      </w:r>
      <w:r>
        <w:rPr>
          <w:w w:val="110"/>
        </w:rPr>
        <w:t>Messer</w:t>
      </w:r>
    </w:p>
    <w:p>
      <w:pPr>
        <w:pStyle w:val="ListParagraph"/>
        <w:numPr>
          <w:ilvl w:val="1"/>
          <w:numId w:val="102"/>
        </w:numPr>
        <w:tabs>
          <w:tab w:pos="1393" w:val="left" w:leader="none"/>
          <w:tab w:pos="1394" w:val="left" w:leader="none"/>
        </w:tabs>
        <w:spacing w:line="273" w:lineRule="auto" w:before="252" w:after="0"/>
        <w:ind w:left="673" w:right="4798" w:firstLine="0"/>
        <w:jc w:val="left"/>
        <w:rPr>
          <w:sz w:val="18"/>
        </w:rPr>
      </w:pPr>
      <w:r>
        <w:rPr>
          <w:w w:val="110"/>
          <w:sz w:val="18"/>
        </w:rPr>
        <w:t>There are probably four areas of debate that require some critical attention from a Christian perspective that regards ‘the Word of God in the Old and New Testaments, discerned under the guidance of the Holy Spirit, </w:t>
      </w:r>
      <w:r>
        <w:rPr>
          <w:spacing w:val="-9"/>
          <w:w w:val="110"/>
          <w:sz w:val="18"/>
        </w:rPr>
        <w:t>[as] </w:t>
      </w:r>
      <w:r>
        <w:rPr>
          <w:w w:val="110"/>
          <w:sz w:val="18"/>
        </w:rPr>
        <w:t>the supreme authority for the faith and conduct of all God’s people’ </w:t>
      </w:r>
      <w:r>
        <w:rPr>
          <w:spacing w:val="-5"/>
          <w:w w:val="110"/>
          <w:position w:val="6"/>
          <w:sz w:val="10"/>
        </w:rPr>
        <w:t>(9)</w:t>
      </w:r>
      <w:r>
        <w:rPr>
          <w:spacing w:val="-5"/>
          <w:w w:val="110"/>
          <w:sz w:val="18"/>
        </w:rPr>
        <w:t>: </w:t>
      </w:r>
      <w:r>
        <w:rPr>
          <w:w w:val="110"/>
          <w:sz w:val="18"/>
        </w:rPr>
        <w:t>human </w:t>
      </w:r>
      <w:r>
        <w:rPr>
          <w:spacing w:val="-3"/>
          <w:w w:val="110"/>
          <w:sz w:val="18"/>
        </w:rPr>
        <w:t>autonomy; </w:t>
      </w:r>
      <w:r>
        <w:rPr>
          <w:w w:val="110"/>
          <w:sz w:val="18"/>
        </w:rPr>
        <w:t>suffering, compassion and  the </w:t>
      </w:r>
      <w:r>
        <w:rPr>
          <w:spacing w:val="-3"/>
          <w:w w:val="110"/>
          <w:sz w:val="18"/>
        </w:rPr>
        <w:t>love </w:t>
      </w:r>
      <w:r>
        <w:rPr>
          <w:w w:val="110"/>
          <w:sz w:val="18"/>
        </w:rPr>
        <w:t>of neighbour; acts, omissions and the doctrine of ‘double effect’; and consequences and ‘slippery</w:t>
      </w:r>
      <w:r>
        <w:rPr>
          <w:spacing w:val="-14"/>
          <w:w w:val="110"/>
          <w:sz w:val="18"/>
        </w:rPr>
        <w:t> </w:t>
      </w:r>
      <w:r>
        <w:rPr>
          <w:w w:val="110"/>
          <w:sz w:val="18"/>
        </w:rPr>
        <w:t>slopes’.</w:t>
      </w:r>
    </w:p>
    <w:p>
      <w:pPr>
        <w:pStyle w:val="BodyText"/>
        <w:spacing w:before="11"/>
        <w:rPr>
          <w:sz w:val="20"/>
        </w:rPr>
      </w:pPr>
    </w:p>
    <w:p>
      <w:pPr>
        <w:pStyle w:val="ListParagraph"/>
        <w:numPr>
          <w:ilvl w:val="1"/>
          <w:numId w:val="102"/>
        </w:numPr>
        <w:tabs>
          <w:tab w:pos="1393" w:val="left" w:leader="none"/>
          <w:tab w:pos="1394" w:val="left" w:leader="none"/>
        </w:tabs>
        <w:spacing w:line="240" w:lineRule="auto" w:before="1" w:after="0"/>
        <w:ind w:left="1393" w:right="0" w:hanging="721"/>
        <w:jc w:val="left"/>
        <w:rPr>
          <w:i/>
          <w:sz w:val="18"/>
        </w:rPr>
      </w:pPr>
      <w:r>
        <w:rPr>
          <w:i/>
          <w:w w:val="110"/>
          <w:sz w:val="18"/>
        </w:rPr>
        <w:t>Human autonomy</w:t>
      </w:r>
    </w:p>
    <w:p>
      <w:pPr>
        <w:pStyle w:val="BodyText"/>
        <w:spacing w:before="1"/>
        <w:rPr>
          <w:i/>
          <w:sz w:val="23"/>
        </w:rPr>
      </w:pPr>
    </w:p>
    <w:p>
      <w:pPr>
        <w:pStyle w:val="ListParagraph"/>
        <w:numPr>
          <w:ilvl w:val="2"/>
          <w:numId w:val="102"/>
        </w:numPr>
        <w:tabs>
          <w:tab w:pos="1393" w:val="left" w:leader="none"/>
          <w:tab w:pos="1394" w:val="left" w:leader="none"/>
        </w:tabs>
        <w:spacing w:line="273" w:lineRule="auto" w:before="0" w:after="0"/>
        <w:ind w:left="673" w:right="5779" w:firstLine="0"/>
        <w:jc w:val="left"/>
        <w:rPr>
          <w:sz w:val="18"/>
        </w:rPr>
      </w:pPr>
      <w:r>
        <w:rPr>
          <w:w w:val="110"/>
          <w:sz w:val="18"/>
        </w:rPr>
        <w:t>The notion that human autonomy  must be </w:t>
      </w:r>
      <w:r>
        <w:rPr>
          <w:spacing w:val="2"/>
          <w:w w:val="110"/>
          <w:sz w:val="18"/>
        </w:rPr>
        <w:t>respected </w:t>
      </w:r>
      <w:r>
        <w:rPr>
          <w:w w:val="110"/>
          <w:sz w:val="18"/>
        </w:rPr>
        <w:t>is a </w:t>
      </w:r>
      <w:r>
        <w:rPr>
          <w:spacing w:val="2"/>
          <w:w w:val="110"/>
          <w:sz w:val="18"/>
        </w:rPr>
        <w:t>very </w:t>
      </w:r>
      <w:r>
        <w:rPr>
          <w:w w:val="110"/>
          <w:sz w:val="18"/>
        </w:rPr>
        <w:t>widespread assumption</w:t>
      </w:r>
      <w:r>
        <w:rPr>
          <w:spacing w:val="6"/>
          <w:w w:val="110"/>
          <w:sz w:val="18"/>
        </w:rPr>
        <w:t> </w:t>
      </w:r>
      <w:r>
        <w:rPr>
          <w:w w:val="110"/>
          <w:sz w:val="18"/>
        </w:rPr>
        <w:t>in</w:t>
      </w:r>
    </w:p>
    <w:p>
      <w:pPr>
        <w:pStyle w:val="BodyText"/>
        <w:spacing w:line="273" w:lineRule="auto" w:before="1"/>
        <w:ind w:left="673" w:right="5373"/>
      </w:pPr>
      <w:r>
        <w:rPr>
          <w:spacing w:val="2"/>
          <w:w w:val="110"/>
        </w:rPr>
        <w:t>contemporary </w:t>
      </w:r>
      <w:r>
        <w:rPr>
          <w:w w:val="110"/>
        </w:rPr>
        <w:t>debates about medical ethics. It has philosophical </w:t>
      </w:r>
      <w:r>
        <w:rPr>
          <w:spacing w:val="2"/>
          <w:w w:val="110"/>
        </w:rPr>
        <w:t>roots </w:t>
      </w:r>
      <w:r>
        <w:rPr>
          <w:w w:val="110"/>
        </w:rPr>
        <w:t>in the work of two </w:t>
      </w:r>
      <w:r>
        <w:rPr>
          <w:spacing w:val="2"/>
          <w:w w:val="110"/>
        </w:rPr>
        <w:t>very </w:t>
      </w:r>
      <w:r>
        <w:rPr>
          <w:w w:val="110"/>
        </w:rPr>
        <w:t>different thinkers, Immanuel Kant and John Stuart </w:t>
      </w:r>
      <w:r>
        <w:rPr>
          <w:spacing w:val="-3"/>
          <w:w w:val="110"/>
        </w:rPr>
        <w:t>Mill; </w:t>
      </w:r>
      <w:r>
        <w:rPr>
          <w:w w:val="110"/>
        </w:rPr>
        <w:t>Kant particularly could support a more nuanced version   of it than the one frequently put about in discussions on medical ethics. Be that as it </w:t>
      </w:r>
      <w:r>
        <w:rPr>
          <w:spacing w:val="-5"/>
          <w:w w:val="110"/>
        </w:rPr>
        <w:t>may, </w:t>
      </w:r>
      <w:r>
        <w:rPr>
          <w:w w:val="110"/>
        </w:rPr>
        <w:t>when </w:t>
      </w:r>
      <w:r>
        <w:rPr>
          <w:spacing w:val="3"/>
          <w:w w:val="110"/>
        </w:rPr>
        <w:t>respect  </w:t>
      </w:r>
      <w:r>
        <w:rPr>
          <w:w w:val="110"/>
        </w:rPr>
        <w:t>for autonomy is considered in </w:t>
      </w:r>
      <w:r>
        <w:rPr>
          <w:spacing w:val="2"/>
          <w:w w:val="110"/>
        </w:rPr>
        <w:t>contemporary</w:t>
      </w:r>
      <w:r>
        <w:rPr>
          <w:spacing w:val="8"/>
          <w:w w:val="110"/>
        </w:rPr>
        <w:t> </w:t>
      </w:r>
      <w:r>
        <w:rPr>
          <w:w w:val="110"/>
        </w:rPr>
        <w:t>debates</w:t>
      </w:r>
    </w:p>
    <w:p>
      <w:pPr>
        <w:pStyle w:val="ListParagraph"/>
        <w:numPr>
          <w:ilvl w:val="0"/>
          <w:numId w:val="9"/>
        </w:numPr>
        <w:tabs>
          <w:tab w:pos="872" w:val="left" w:leader="none"/>
        </w:tabs>
        <w:spacing w:line="240" w:lineRule="auto" w:before="5" w:after="0"/>
        <w:ind w:left="871" w:right="0" w:hanging="199"/>
        <w:jc w:val="left"/>
        <w:rPr>
          <w:sz w:val="18"/>
        </w:rPr>
      </w:pPr>
      <w:r>
        <w:rPr>
          <w:w w:val="110"/>
          <w:sz w:val="18"/>
        </w:rPr>
        <w:t>including those about assisted dying – it </w:t>
      </w:r>
      <w:r>
        <w:rPr>
          <w:spacing w:val="2"/>
          <w:w w:val="110"/>
          <w:sz w:val="18"/>
        </w:rPr>
        <w:t>often</w:t>
      </w:r>
      <w:r>
        <w:rPr>
          <w:spacing w:val="13"/>
          <w:w w:val="110"/>
          <w:sz w:val="18"/>
        </w:rPr>
        <w:t> </w:t>
      </w:r>
      <w:r>
        <w:rPr>
          <w:w w:val="110"/>
          <w:sz w:val="18"/>
        </w:rPr>
        <w:t>means:</w:t>
      </w:r>
    </w:p>
    <w:p>
      <w:pPr>
        <w:pStyle w:val="BodyText"/>
        <w:spacing w:line="273" w:lineRule="auto" w:before="31"/>
        <w:ind w:left="673" w:right="4783"/>
      </w:pPr>
      <w:r>
        <w:rPr>
          <w:w w:val="110"/>
        </w:rPr>
        <w:t>if I am an adult whose </w:t>
      </w:r>
      <w:r>
        <w:rPr>
          <w:spacing w:val="2"/>
          <w:w w:val="110"/>
        </w:rPr>
        <w:t>capacity </w:t>
      </w:r>
      <w:r>
        <w:rPr>
          <w:w w:val="110"/>
        </w:rPr>
        <w:t>for </w:t>
      </w:r>
      <w:r>
        <w:rPr>
          <w:spacing w:val="2"/>
          <w:w w:val="110"/>
        </w:rPr>
        <w:t>free </w:t>
      </w:r>
      <w:r>
        <w:rPr>
          <w:w w:val="110"/>
        </w:rPr>
        <w:t>and informed decision-making is not significantly impaired by illness, disability, coercion or anything else, then I should be </w:t>
      </w:r>
      <w:r>
        <w:rPr>
          <w:spacing w:val="2"/>
          <w:w w:val="110"/>
        </w:rPr>
        <w:t>free </w:t>
      </w:r>
      <w:r>
        <w:rPr>
          <w:w w:val="110"/>
        </w:rPr>
        <w:t>to do what I choose with my own life, to the extent that exercise of my </w:t>
      </w:r>
      <w:r>
        <w:rPr>
          <w:spacing w:val="2"/>
          <w:w w:val="110"/>
        </w:rPr>
        <w:t>freedom </w:t>
      </w:r>
      <w:r>
        <w:rPr>
          <w:w w:val="110"/>
        </w:rPr>
        <w:t>does not hinder anyone else’s exercise of theirs. The </w:t>
      </w:r>
      <w:r>
        <w:rPr>
          <w:spacing w:val="2"/>
          <w:w w:val="110"/>
        </w:rPr>
        <w:t>freedom </w:t>
      </w:r>
      <w:r>
        <w:rPr>
          <w:w w:val="110"/>
        </w:rPr>
        <w:t>to which I am entitled is </w:t>
      </w:r>
      <w:r>
        <w:rPr>
          <w:spacing w:val="2"/>
          <w:w w:val="110"/>
        </w:rPr>
        <w:t>often </w:t>
      </w:r>
      <w:r>
        <w:rPr>
          <w:w w:val="110"/>
        </w:rPr>
        <w:t>taken to include the </w:t>
      </w:r>
      <w:r>
        <w:rPr>
          <w:spacing w:val="2"/>
          <w:w w:val="110"/>
        </w:rPr>
        <w:t>freedom </w:t>
      </w:r>
      <w:r>
        <w:rPr>
          <w:w w:val="110"/>
        </w:rPr>
        <w:t>to end my own life at a time, and in a </w:t>
      </w:r>
      <w:r>
        <w:rPr>
          <w:spacing w:val="-3"/>
          <w:w w:val="110"/>
        </w:rPr>
        <w:t>manner, </w:t>
      </w:r>
      <w:r>
        <w:rPr>
          <w:w w:val="110"/>
        </w:rPr>
        <w:t>of my own choosing and the right  to seek medical help to do so. Such an understanding of autonomy informed many of the arguments in favour of  the </w:t>
      </w:r>
      <w:r>
        <w:rPr>
          <w:spacing w:val="2"/>
          <w:w w:val="110"/>
        </w:rPr>
        <w:t>Joffe </w:t>
      </w:r>
      <w:r>
        <w:rPr>
          <w:w w:val="110"/>
        </w:rPr>
        <w:t>Bill, including a number of the submissions to the House of </w:t>
      </w:r>
      <w:r>
        <w:rPr>
          <w:spacing w:val="2"/>
          <w:w w:val="110"/>
        </w:rPr>
        <w:t>Lords Select</w:t>
      </w:r>
      <w:r>
        <w:rPr>
          <w:spacing w:val="6"/>
          <w:w w:val="110"/>
        </w:rPr>
        <w:t> </w:t>
      </w:r>
      <w:r>
        <w:rPr>
          <w:w w:val="110"/>
        </w:rPr>
        <w:t>Committee.</w:t>
      </w:r>
    </w:p>
    <w:p>
      <w:pPr>
        <w:pStyle w:val="BodyText"/>
        <w:spacing w:before="2"/>
        <w:rPr>
          <w:sz w:val="21"/>
        </w:rPr>
      </w:pPr>
    </w:p>
    <w:p>
      <w:pPr>
        <w:pStyle w:val="ListParagraph"/>
        <w:numPr>
          <w:ilvl w:val="2"/>
          <w:numId w:val="102"/>
        </w:numPr>
        <w:tabs>
          <w:tab w:pos="1394" w:val="left" w:leader="none"/>
        </w:tabs>
        <w:spacing w:line="273" w:lineRule="auto" w:before="1" w:after="0"/>
        <w:ind w:left="673" w:right="4456" w:hanging="1"/>
        <w:jc w:val="left"/>
        <w:rPr>
          <w:sz w:val="18"/>
        </w:rPr>
      </w:pPr>
      <w:r>
        <w:rPr>
          <w:w w:val="110"/>
          <w:sz w:val="18"/>
        </w:rPr>
        <w:t>Such a view of autonomy is open to criticism </w:t>
      </w:r>
      <w:r>
        <w:rPr>
          <w:spacing w:val="2"/>
          <w:w w:val="110"/>
          <w:sz w:val="18"/>
        </w:rPr>
        <w:t>from </w:t>
      </w:r>
      <w:r>
        <w:rPr>
          <w:w w:val="110"/>
          <w:sz w:val="18"/>
        </w:rPr>
        <w:t>several </w:t>
      </w:r>
      <w:r>
        <w:rPr>
          <w:spacing w:val="2"/>
          <w:w w:val="110"/>
          <w:sz w:val="18"/>
        </w:rPr>
        <w:t>perspectives. </w:t>
      </w:r>
      <w:r>
        <w:rPr>
          <w:w w:val="110"/>
          <w:sz w:val="18"/>
        </w:rPr>
        <w:t>For example, some feminists might argue that it assumes an individualistic understanding of human life that </w:t>
      </w:r>
      <w:r>
        <w:rPr>
          <w:spacing w:val="3"/>
          <w:w w:val="110"/>
          <w:sz w:val="18"/>
        </w:rPr>
        <w:t>reflects </w:t>
      </w:r>
      <w:r>
        <w:rPr>
          <w:w w:val="110"/>
          <w:sz w:val="18"/>
        </w:rPr>
        <w:t>male more than female</w:t>
      </w:r>
      <w:r>
        <w:rPr>
          <w:spacing w:val="15"/>
          <w:w w:val="110"/>
          <w:sz w:val="18"/>
        </w:rPr>
        <w:t> </w:t>
      </w:r>
      <w:r>
        <w:rPr>
          <w:w w:val="110"/>
          <w:sz w:val="18"/>
        </w:rPr>
        <w:t>experience</w:t>
      </w:r>
      <w:r>
        <w:rPr>
          <w:w w:val="110"/>
          <w:position w:val="6"/>
          <w:sz w:val="10"/>
        </w:rPr>
        <w:t>(10)</w:t>
      </w:r>
      <w:r>
        <w:rPr>
          <w:w w:val="110"/>
          <w:sz w:val="18"/>
        </w:rPr>
        <w:t>.</w:t>
      </w:r>
    </w:p>
    <w:p>
      <w:pPr>
        <w:pStyle w:val="BodyText"/>
        <w:spacing w:line="273" w:lineRule="auto" w:before="2"/>
        <w:ind w:left="673" w:right="2181"/>
      </w:pPr>
      <w:r>
        <w:rPr>
          <w:w w:val="110"/>
        </w:rPr>
        <w:t>From a Reformed Christian standpoint, the basic assumption that my life is my own, to do with as I choose, seems unsustainable. A key biblical theme is that God is the creator, owner and giver of human life, and no human can claim absolute ownership of their own – or anyone else’s – life. This would seem to be </w:t>
      </w:r>
      <w:r>
        <w:rPr>
          <w:spacing w:val="2"/>
          <w:w w:val="110"/>
        </w:rPr>
        <w:t>part </w:t>
      </w:r>
      <w:r>
        <w:rPr>
          <w:w w:val="110"/>
        </w:rPr>
        <w:t>of what underpins some of the laws in the </w:t>
      </w:r>
      <w:r>
        <w:rPr>
          <w:spacing w:val="-3"/>
          <w:w w:val="110"/>
        </w:rPr>
        <w:t>Torah, </w:t>
      </w:r>
      <w:r>
        <w:rPr>
          <w:w w:val="110"/>
        </w:rPr>
        <w:t>including those about the taking of life. The central reason for Christians saying that ‘we are not our own’ is that we ‘were bought with a price’</w:t>
      </w:r>
      <w:r>
        <w:rPr>
          <w:spacing w:val="8"/>
          <w:w w:val="110"/>
        </w:rPr>
        <w:t> </w:t>
      </w:r>
      <w:r>
        <w:rPr>
          <w:spacing w:val="-8"/>
          <w:w w:val="110"/>
        </w:rPr>
        <w:t>(1</w:t>
      </w:r>
      <w:r>
        <w:rPr>
          <w:spacing w:val="9"/>
          <w:w w:val="110"/>
        </w:rPr>
        <w:t> </w:t>
      </w:r>
      <w:r>
        <w:rPr>
          <w:w w:val="110"/>
        </w:rPr>
        <w:t>Cor</w:t>
      </w:r>
      <w:r>
        <w:rPr>
          <w:spacing w:val="8"/>
          <w:w w:val="110"/>
        </w:rPr>
        <w:t> </w:t>
      </w:r>
      <w:r>
        <w:rPr>
          <w:spacing w:val="-5"/>
          <w:w w:val="110"/>
        </w:rPr>
        <w:t>6:</w:t>
      </w:r>
      <w:r>
        <w:rPr>
          <w:spacing w:val="9"/>
          <w:w w:val="110"/>
        </w:rPr>
        <w:t> </w:t>
      </w:r>
      <w:r>
        <w:rPr>
          <w:spacing w:val="-6"/>
          <w:w w:val="110"/>
        </w:rPr>
        <w:t>20),</w:t>
      </w:r>
      <w:r>
        <w:rPr>
          <w:spacing w:val="23"/>
          <w:w w:val="110"/>
        </w:rPr>
        <w:t> </w:t>
      </w:r>
      <w:r>
        <w:rPr>
          <w:w w:val="110"/>
        </w:rPr>
        <w:t>that</w:t>
      </w:r>
      <w:r>
        <w:rPr>
          <w:spacing w:val="8"/>
          <w:w w:val="110"/>
        </w:rPr>
        <w:t> </w:t>
      </w:r>
      <w:r>
        <w:rPr>
          <w:w w:val="110"/>
        </w:rPr>
        <w:t>we</w:t>
      </w:r>
      <w:r>
        <w:rPr>
          <w:spacing w:val="9"/>
          <w:w w:val="110"/>
        </w:rPr>
        <w:t> </w:t>
      </w:r>
      <w:r>
        <w:rPr>
          <w:w w:val="110"/>
        </w:rPr>
        <w:t>have</w:t>
      </w:r>
      <w:r>
        <w:rPr>
          <w:spacing w:val="8"/>
          <w:w w:val="110"/>
        </w:rPr>
        <w:t> </w:t>
      </w:r>
      <w:r>
        <w:rPr>
          <w:w w:val="110"/>
        </w:rPr>
        <w:t>been</w:t>
      </w:r>
      <w:r>
        <w:rPr>
          <w:spacing w:val="9"/>
          <w:w w:val="110"/>
        </w:rPr>
        <w:t> </w:t>
      </w:r>
      <w:r>
        <w:rPr>
          <w:w w:val="110"/>
        </w:rPr>
        <w:t>‘purchased’</w:t>
      </w:r>
      <w:r>
        <w:rPr>
          <w:spacing w:val="8"/>
          <w:w w:val="110"/>
        </w:rPr>
        <w:t> </w:t>
      </w:r>
      <w:r>
        <w:rPr>
          <w:w w:val="110"/>
        </w:rPr>
        <w:t>by</w:t>
      </w:r>
      <w:r>
        <w:rPr>
          <w:spacing w:val="9"/>
          <w:w w:val="110"/>
        </w:rPr>
        <w:t> </w:t>
      </w:r>
      <w:r>
        <w:rPr>
          <w:w w:val="110"/>
        </w:rPr>
        <w:t>Christ’s</w:t>
      </w:r>
      <w:r>
        <w:rPr>
          <w:spacing w:val="8"/>
          <w:w w:val="110"/>
        </w:rPr>
        <w:t> </w:t>
      </w:r>
      <w:r>
        <w:rPr>
          <w:w w:val="110"/>
        </w:rPr>
        <w:t>saving</w:t>
      </w:r>
      <w:r>
        <w:rPr>
          <w:spacing w:val="9"/>
          <w:w w:val="110"/>
        </w:rPr>
        <w:t> </w:t>
      </w:r>
      <w:r>
        <w:rPr>
          <w:w w:val="110"/>
        </w:rPr>
        <w:t>death</w:t>
      </w:r>
      <w:r>
        <w:rPr>
          <w:spacing w:val="8"/>
          <w:w w:val="110"/>
        </w:rPr>
        <w:t> </w:t>
      </w:r>
      <w:r>
        <w:rPr>
          <w:w w:val="110"/>
        </w:rPr>
        <w:t>in</w:t>
      </w:r>
      <w:r>
        <w:rPr>
          <w:spacing w:val="9"/>
          <w:w w:val="110"/>
        </w:rPr>
        <w:t> </w:t>
      </w:r>
      <w:r>
        <w:rPr>
          <w:w w:val="110"/>
        </w:rPr>
        <w:t>order</w:t>
      </w:r>
    </w:p>
    <w:p>
      <w:pPr>
        <w:spacing w:after="0" w:line="273" w:lineRule="auto"/>
        <w:sectPr>
          <w:pgSz w:w="11910" w:h="16840"/>
          <w:pgMar w:header="558" w:footer="564" w:top="820" w:bottom="760" w:left="460" w:right="0"/>
        </w:sectPr>
      </w:pPr>
    </w:p>
    <w:p>
      <w:pPr>
        <w:pStyle w:val="BodyText"/>
        <w:spacing w:before="9"/>
        <w:rPr>
          <w:sz w:val="13"/>
        </w:rPr>
      </w:pPr>
    </w:p>
    <w:p>
      <w:pPr>
        <w:pStyle w:val="BodyText"/>
        <w:spacing w:line="273" w:lineRule="auto" w:before="101"/>
        <w:ind w:left="1240" w:right="1365"/>
      </w:pPr>
      <w:r>
        <w:rPr>
          <w:w w:val="110"/>
        </w:rPr>
        <w:t>that our lives might be transformed, renewed and might become all that God means them to be. As Paul recognises, this affirmation sets limits on the things that we ought to do with our own – or other people’s – bodies. Some might say that Paul is only addressing Christians when he says this. However, it would seem a strange theological stance to say that whatever Christ’s death shows us about God’s good purposes for human life </w:t>
      </w:r>
      <w:r>
        <w:rPr>
          <w:i/>
          <w:w w:val="110"/>
        </w:rPr>
        <w:t>only </w:t>
      </w:r>
      <w:r>
        <w:rPr>
          <w:w w:val="110"/>
        </w:rPr>
        <w:t>applies to those who are already Christians.</w:t>
      </w:r>
    </w:p>
    <w:p>
      <w:pPr>
        <w:pStyle w:val="BodyText"/>
        <w:spacing w:before="10"/>
        <w:rPr>
          <w:sz w:val="20"/>
        </w:rPr>
      </w:pPr>
    </w:p>
    <w:p>
      <w:pPr>
        <w:pStyle w:val="ListParagraph"/>
        <w:numPr>
          <w:ilvl w:val="2"/>
          <w:numId w:val="102"/>
        </w:numPr>
        <w:tabs>
          <w:tab w:pos="1960" w:val="left" w:leader="none"/>
          <w:tab w:pos="1961" w:val="left" w:leader="none"/>
        </w:tabs>
        <w:spacing w:line="273" w:lineRule="auto" w:before="0" w:after="0"/>
        <w:ind w:left="1240" w:right="1131" w:hanging="1"/>
        <w:jc w:val="left"/>
        <w:rPr>
          <w:sz w:val="18"/>
        </w:rPr>
      </w:pPr>
      <w:r>
        <w:rPr>
          <w:w w:val="110"/>
          <w:sz w:val="18"/>
        </w:rPr>
        <w:t>In short, if Christians are to think about euthanasia and assisted suicide, respect for autonomy will prove a very unsatisfactory starting point. A more promising start can be made from considering how God’s gift of life should be respected and protected in these circumstances, or as Barth formulated it in </w:t>
      </w:r>
      <w:r>
        <w:rPr>
          <w:i/>
          <w:w w:val="110"/>
          <w:sz w:val="18"/>
        </w:rPr>
        <w:t>Church Dogmatics </w:t>
      </w:r>
      <w:r>
        <w:rPr>
          <w:w w:val="110"/>
          <w:sz w:val="18"/>
        </w:rPr>
        <w:t>what it means in these circumstances to obey the command ‘Thou shalt not kill’ </w:t>
      </w:r>
      <w:r>
        <w:rPr>
          <w:spacing w:val="-5"/>
          <w:w w:val="110"/>
          <w:position w:val="6"/>
          <w:sz w:val="10"/>
        </w:rPr>
        <w:t>(11)</w:t>
      </w:r>
      <w:r>
        <w:rPr>
          <w:spacing w:val="-5"/>
          <w:w w:val="110"/>
          <w:sz w:val="18"/>
        </w:rPr>
        <w:t>. </w:t>
      </w:r>
      <w:r>
        <w:rPr>
          <w:w w:val="110"/>
          <w:sz w:val="18"/>
        </w:rPr>
        <w:t>Whereas Barth thought that obedience to God’s command could, in some exceptional situations, </w:t>
      </w:r>
      <w:r>
        <w:rPr>
          <w:spacing w:val="-3"/>
          <w:w w:val="110"/>
          <w:sz w:val="18"/>
        </w:rPr>
        <w:t>involve </w:t>
      </w:r>
      <w:r>
        <w:rPr>
          <w:w w:val="110"/>
          <w:sz w:val="18"/>
        </w:rPr>
        <w:t>the taking of human life, he seems not to </w:t>
      </w:r>
      <w:r>
        <w:rPr>
          <w:spacing w:val="-3"/>
          <w:w w:val="110"/>
          <w:sz w:val="18"/>
        </w:rPr>
        <w:t>have </w:t>
      </w:r>
      <w:r>
        <w:rPr>
          <w:w w:val="110"/>
          <w:sz w:val="18"/>
        </w:rPr>
        <w:t>allowed that euthanasia could ever be commanded by God. Christians working within this tradition who wish to </w:t>
      </w:r>
      <w:r>
        <w:rPr>
          <w:spacing w:val="-3"/>
          <w:w w:val="110"/>
          <w:sz w:val="18"/>
        </w:rPr>
        <w:t>make </w:t>
      </w:r>
      <w:r>
        <w:rPr>
          <w:w w:val="110"/>
          <w:sz w:val="18"/>
        </w:rPr>
        <w:t>a case for assisted dying would need to show that Barth was wrong, and that assisted suicide and euthanasia could in some circumstances be </w:t>
      </w:r>
      <w:r>
        <w:rPr>
          <w:spacing w:val="-3"/>
          <w:w w:val="110"/>
          <w:sz w:val="18"/>
        </w:rPr>
        <w:t>ways </w:t>
      </w:r>
      <w:r>
        <w:rPr>
          <w:w w:val="110"/>
          <w:sz w:val="18"/>
        </w:rPr>
        <w:t>of obeying God’s command to protect human</w:t>
      </w:r>
      <w:r>
        <w:rPr>
          <w:spacing w:val="-21"/>
          <w:w w:val="110"/>
          <w:sz w:val="18"/>
        </w:rPr>
        <w:t> </w:t>
      </w:r>
      <w:r>
        <w:rPr>
          <w:w w:val="110"/>
          <w:sz w:val="18"/>
        </w:rPr>
        <w:t>life.</w:t>
      </w:r>
    </w:p>
    <w:p>
      <w:pPr>
        <w:pStyle w:val="BodyText"/>
        <w:spacing w:before="1"/>
        <w:rPr>
          <w:sz w:val="21"/>
        </w:rPr>
      </w:pPr>
    </w:p>
    <w:p>
      <w:pPr>
        <w:pStyle w:val="ListParagraph"/>
        <w:numPr>
          <w:ilvl w:val="1"/>
          <w:numId w:val="102"/>
        </w:numPr>
        <w:tabs>
          <w:tab w:pos="1960" w:val="left" w:leader="none"/>
          <w:tab w:pos="1961" w:val="left" w:leader="none"/>
        </w:tabs>
        <w:spacing w:line="240" w:lineRule="auto" w:before="0" w:after="0"/>
        <w:ind w:left="1960" w:right="0" w:hanging="721"/>
        <w:jc w:val="left"/>
        <w:rPr>
          <w:i/>
          <w:sz w:val="18"/>
        </w:rPr>
      </w:pPr>
      <w:r>
        <w:rPr>
          <w:i/>
          <w:w w:val="110"/>
          <w:sz w:val="18"/>
        </w:rPr>
        <w:t>Suffering, compassion and love of</w:t>
      </w:r>
      <w:r>
        <w:rPr>
          <w:i/>
          <w:spacing w:val="8"/>
          <w:w w:val="110"/>
          <w:sz w:val="18"/>
        </w:rPr>
        <w:t> </w:t>
      </w:r>
      <w:r>
        <w:rPr>
          <w:i/>
          <w:w w:val="110"/>
          <w:sz w:val="18"/>
        </w:rPr>
        <w:t>neighbour</w:t>
      </w:r>
    </w:p>
    <w:p>
      <w:pPr>
        <w:pStyle w:val="BodyText"/>
        <w:spacing w:before="2"/>
        <w:rPr>
          <w:i/>
          <w:sz w:val="23"/>
        </w:rPr>
      </w:pPr>
    </w:p>
    <w:p>
      <w:pPr>
        <w:pStyle w:val="ListParagraph"/>
        <w:numPr>
          <w:ilvl w:val="2"/>
          <w:numId w:val="102"/>
        </w:numPr>
        <w:tabs>
          <w:tab w:pos="1960" w:val="left" w:leader="none"/>
          <w:tab w:pos="1961" w:val="left" w:leader="none"/>
        </w:tabs>
        <w:spacing w:line="273" w:lineRule="auto" w:before="0" w:after="0"/>
        <w:ind w:left="1240" w:right="1324" w:firstLine="0"/>
        <w:jc w:val="left"/>
        <w:rPr>
          <w:sz w:val="18"/>
        </w:rPr>
      </w:pPr>
      <w:r>
        <w:rPr>
          <w:spacing w:val="3"/>
          <w:w w:val="110"/>
          <w:sz w:val="18"/>
        </w:rPr>
        <w:t>Another </w:t>
      </w:r>
      <w:r>
        <w:rPr>
          <w:w w:val="110"/>
          <w:sz w:val="18"/>
        </w:rPr>
        <w:t>dominant line of </w:t>
      </w:r>
      <w:r>
        <w:rPr>
          <w:spacing w:val="2"/>
          <w:w w:val="110"/>
          <w:sz w:val="18"/>
        </w:rPr>
        <w:t>argument </w:t>
      </w:r>
      <w:r>
        <w:rPr>
          <w:spacing w:val="3"/>
          <w:w w:val="110"/>
          <w:sz w:val="18"/>
        </w:rPr>
        <w:t>focuses </w:t>
      </w:r>
      <w:r>
        <w:rPr>
          <w:w w:val="110"/>
          <w:sz w:val="18"/>
        </w:rPr>
        <w:t>on compassion; </w:t>
      </w:r>
      <w:r>
        <w:rPr>
          <w:spacing w:val="2"/>
          <w:w w:val="110"/>
          <w:sz w:val="18"/>
        </w:rPr>
        <w:t>some patients, </w:t>
      </w:r>
      <w:r>
        <w:rPr>
          <w:spacing w:val="3"/>
          <w:w w:val="110"/>
          <w:sz w:val="18"/>
        </w:rPr>
        <w:t>particularly </w:t>
      </w:r>
      <w:r>
        <w:rPr>
          <w:spacing w:val="2"/>
          <w:w w:val="110"/>
          <w:sz w:val="18"/>
        </w:rPr>
        <w:t>some </w:t>
      </w:r>
      <w:r>
        <w:rPr>
          <w:w w:val="110"/>
          <w:sz w:val="18"/>
        </w:rPr>
        <w:t>who </w:t>
      </w:r>
      <w:r>
        <w:rPr>
          <w:spacing w:val="2"/>
          <w:w w:val="110"/>
          <w:sz w:val="18"/>
        </w:rPr>
        <w:t>are </w:t>
      </w:r>
      <w:r>
        <w:rPr>
          <w:spacing w:val="3"/>
          <w:w w:val="110"/>
          <w:sz w:val="18"/>
        </w:rPr>
        <w:t>chronically </w:t>
      </w:r>
      <w:r>
        <w:rPr>
          <w:w w:val="110"/>
          <w:sz w:val="18"/>
        </w:rPr>
        <w:t>or </w:t>
      </w:r>
      <w:r>
        <w:rPr>
          <w:spacing w:val="2"/>
          <w:w w:val="110"/>
          <w:sz w:val="18"/>
        </w:rPr>
        <w:t>terminally </w:t>
      </w:r>
      <w:r>
        <w:rPr>
          <w:w w:val="110"/>
          <w:sz w:val="18"/>
        </w:rPr>
        <w:t>ill, </w:t>
      </w:r>
      <w:r>
        <w:rPr>
          <w:spacing w:val="3"/>
          <w:w w:val="110"/>
          <w:sz w:val="18"/>
        </w:rPr>
        <w:t>experience terrible </w:t>
      </w:r>
      <w:r>
        <w:rPr>
          <w:w w:val="110"/>
          <w:sz w:val="18"/>
        </w:rPr>
        <w:t>pain and </w:t>
      </w:r>
      <w:r>
        <w:rPr>
          <w:spacing w:val="4"/>
          <w:w w:val="110"/>
          <w:sz w:val="18"/>
        </w:rPr>
        <w:t>suffering </w:t>
      </w:r>
      <w:r>
        <w:rPr>
          <w:w w:val="110"/>
          <w:sz w:val="18"/>
        </w:rPr>
        <w:t>and </w:t>
      </w:r>
      <w:r>
        <w:rPr>
          <w:spacing w:val="2"/>
          <w:w w:val="110"/>
          <w:sz w:val="18"/>
        </w:rPr>
        <w:t>long for death </w:t>
      </w:r>
      <w:r>
        <w:rPr>
          <w:w w:val="110"/>
          <w:sz w:val="18"/>
        </w:rPr>
        <w:t>to </w:t>
      </w:r>
      <w:r>
        <w:rPr>
          <w:spacing w:val="3"/>
          <w:w w:val="110"/>
          <w:sz w:val="18"/>
        </w:rPr>
        <w:t>release </w:t>
      </w:r>
      <w:r>
        <w:rPr>
          <w:w w:val="110"/>
          <w:sz w:val="18"/>
        </w:rPr>
        <w:t>them; </w:t>
      </w:r>
      <w:r>
        <w:rPr>
          <w:spacing w:val="2"/>
          <w:w w:val="110"/>
          <w:sz w:val="18"/>
        </w:rPr>
        <w:t>surely the compassionate </w:t>
      </w:r>
      <w:r>
        <w:rPr>
          <w:w w:val="110"/>
          <w:sz w:val="18"/>
        </w:rPr>
        <w:t>thing to do is to help </w:t>
      </w:r>
      <w:r>
        <w:rPr>
          <w:spacing w:val="2"/>
          <w:w w:val="110"/>
          <w:sz w:val="18"/>
        </w:rPr>
        <w:t>them </w:t>
      </w:r>
      <w:r>
        <w:rPr>
          <w:w w:val="110"/>
          <w:sz w:val="18"/>
        </w:rPr>
        <w:t>to a </w:t>
      </w:r>
      <w:r>
        <w:rPr>
          <w:spacing w:val="2"/>
          <w:w w:val="110"/>
          <w:sz w:val="18"/>
        </w:rPr>
        <w:t>quick, painless </w:t>
      </w:r>
      <w:r>
        <w:rPr>
          <w:w w:val="110"/>
          <w:sz w:val="18"/>
        </w:rPr>
        <w:t>and dignified end. In </w:t>
      </w:r>
      <w:r>
        <w:rPr>
          <w:spacing w:val="2"/>
          <w:w w:val="110"/>
          <w:sz w:val="18"/>
        </w:rPr>
        <w:t>the debate about the </w:t>
      </w:r>
      <w:r>
        <w:rPr>
          <w:spacing w:val="4"/>
          <w:w w:val="110"/>
          <w:sz w:val="18"/>
        </w:rPr>
        <w:t>Joffe </w:t>
      </w:r>
      <w:r>
        <w:rPr>
          <w:w w:val="110"/>
          <w:sz w:val="18"/>
        </w:rPr>
        <w:t>Bill, this view was </w:t>
      </w:r>
      <w:r>
        <w:rPr>
          <w:spacing w:val="4"/>
          <w:w w:val="110"/>
          <w:sz w:val="18"/>
        </w:rPr>
        <w:t>expressed </w:t>
      </w:r>
      <w:r>
        <w:rPr>
          <w:spacing w:val="3"/>
          <w:w w:val="110"/>
          <w:sz w:val="18"/>
        </w:rPr>
        <w:t>frequently </w:t>
      </w:r>
      <w:r>
        <w:rPr>
          <w:w w:val="110"/>
          <w:sz w:val="18"/>
        </w:rPr>
        <w:t>and forcefully, with </w:t>
      </w:r>
      <w:r>
        <w:rPr>
          <w:spacing w:val="2"/>
          <w:w w:val="110"/>
          <w:sz w:val="18"/>
        </w:rPr>
        <w:t>the </w:t>
      </w:r>
      <w:r>
        <w:rPr>
          <w:w w:val="110"/>
          <w:sz w:val="18"/>
        </w:rPr>
        <w:t>help of </w:t>
      </w:r>
      <w:r>
        <w:rPr>
          <w:spacing w:val="3"/>
          <w:w w:val="110"/>
          <w:sz w:val="18"/>
        </w:rPr>
        <w:t>powerful </w:t>
      </w:r>
      <w:r>
        <w:rPr>
          <w:w w:val="110"/>
          <w:sz w:val="18"/>
        </w:rPr>
        <w:t>and well- </w:t>
      </w:r>
      <w:r>
        <w:rPr>
          <w:spacing w:val="2"/>
          <w:w w:val="110"/>
          <w:sz w:val="18"/>
        </w:rPr>
        <w:t>publicised </w:t>
      </w:r>
      <w:r>
        <w:rPr>
          <w:spacing w:val="3"/>
          <w:w w:val="110"/>
          <w:sz w:val="18"/>
        </w:rPr>
        <w:t>stories </w:t>
      </w:r>
      <w:r>
        <w:rPr>
          <w:w w:val="110"/>
          <w:sz w:val="18"/>
        </w:rPr>
        <w:t>of </w:t>
      </w:r>
      <w:r>
        <w:rPr>
          <w:spacing w:val="5"/>
          <w:w w:val="110"/>
          <w:sz w:val="18"/>
        </w:rPr>
        <w:t>sufferers </w:t>
      </w:r>
      <w:r>
        <w:rPr>
          <w:w w:val="110"/>
          <w:sz w:val="18"/>
        </w:rPr>
        <w:t>and </w:t>
      </w:r>
      <w:r>
        <w:rPr>
          <w:spacing w:val="2"/>
          <w:w w:val="110"/>
          <w:sz w:val="18"/>
        </w:rPr>
        <w:t>their</w:t>
      </w:r>
      <w:r>
        <w:rPr>
          <w:spacing w:val="24"/>
          <w:w w:val="110"/>
          <w:sz w:val="18"/>
        </w:rPr>
        <w:t> </w:t>
      </w:r>
      <w:r>
        <w:rPr>
          <w:spacing w:val="2"/>
          <w:w w:val="110"/>
          <w:sz w:val="18"/>
        </w:rPr>
        <w:t>families.</w:t>
      </w:r>
    </w:p>
    <w:p>
      <w:pPr>
        <w:pStyle w:val="BodyText"/>
        <w:spacing w:before="10"/>
        <w:rPr>
          <w:sz w:val="20"/>
        </w:rPr>
      </w:pPr>
    </w:p>
    <w:p>
      <w:pPr>
        <w:pStyle w:val="ListParagraph"/>
        <w:numPr>
          <w:ilvl w:val="2"/>
          <w:numId w:val="102"/>
        </w:numPr>
        <w:tabs>
          <w:tab w:pos="1960" w:val="left" w:leader="none"/>
          <w:tab w:pos="1961" w:val="left" w:leader="none"/>
        </w:tabs>
        <w:spacing w:line="273" w:lineRule="auto" w:before="1" w:after="0"/>
        <w:ind w:left="1240" w:right="1294" w:firstLine="0"/>
        <w:jc w:val="left"/>
        <w:rPr>
          <w:sz w:val="18"/>
        </w:rPr>
      </w:pPr>
      <w:r>
        <w:rPr>
          <w:w w:val="110"/>
          <w:sz w:val="18"/>
        </w:rPr>
        <w:t>It might seem that the Christian imperative to love our neighbour as ourselves would reinforce this line of argument </w:t>
      </w:r>
      <w:r>
        <w:rPr>
          <w:spacing w:val="-6"/>
          <w:w w:val="110"/>
          <w:sz w:val="18"/>
        </w:rPr>
        <w:t>(as </w:t>
      </w:r>
      <w:r>
        <w:rPr>
          <w:w w:val="110"/>
          <w:sz w:val="18"/>
        </w:rPr>
        <w:t>Malcolm Johnson suggest in </w:t>
      </w:r>
      <w:r>
        <w:rPr>
          <w:spacing w:val="2"/>
          <w:w w:val="110"/>
          <w:sz w:val="18"/>
        </w:rPr>
        <w:t>Section </w:t>
      </w:r>
      <w:r>
        <w:rPr>
          <w:spacing w:val="-5"/>
          <w:w w:val="110"/>
          <w:sz w:val="18"/>
        </w:rPr>
        <w:t>6). </w:t>
      </w:r>
      <w:r>
        <w:rPr>
          <w:w w:val="110"/>
          <w:sz w:val="18"/>
        </w:rPr>
        <w:t>Those who have not experienced such </w:t>
      </w:r>
      <w:r>
        <w:rPr>
          <w:spacing w:val="2"/>
          <w:w w:val="110"/>
          <w:sz w:val="18"/>
        </w:rPr>
        <w:t>suffering </w:t>
      </w:r>
      <w:r>
        <w:rPr>
          <w:w w:val="110"/>
          <w:sz w:val="18"/>
        </w:rPr>
        <w:t>in their own lives or those of loved ones  should be cautious in what they say about this; it would be easy to speak glibly or even callously. But that said, this line of argument contains buried assumptions that are distinctly problematic for our Christian tradition. One is the assumption that we know what ‘loving our neighbour’ </w:t>
      </w:r>
      <w:r>
        <w:rPr>
          <w:i/>
          <w:w w:val="110"/>
          <w:sz w:val="18"/>
        </w:rPr>
        <w:t>means</w:t>
      </w:r>
      <w:r>
        <w:rPr>
          <w:w w:val="110"/>
          <w:sz w:val="18"/>
        </w:rPr>
        <w:t>. It might seem obvious, for example, that</w:t>
      </w:r>
      <w:r>
        <w:rPr>
          <w:spacing w:val="1"/>
          <w:w w:val="110"/>
          <w:sz w:val="18"/>
        </w:rPr>
        <w:t> </w:t>
      </w:r>
      <w:r>
        <w:rPr>
          <w:w w:val="110"/>
          <w:sz w:val="18"/>
        </w:rPr>
        <w:t>when</w:t>
      </w:r>
    </w:p>
    <w:p>
      <w:pPr>
        <w:pStyle w:val="BodyText"/>
        <w:spacing w:line="273" w:lineRule="auto" w:before="4"/>
        <w:ind w:left="1240" w:right="1341"/>
      </w:pPr>
      <w:r>
        <w:rPr>
          <w:w w:val="110"/>
        </w:rPr>
        <w:t>my neighbour is in pain, the over-riding demand of neighbour-love is to do whatever I can to relieve </w:t>
      </w:r>
      <w:r>
        <w:rPr>
          <w:spacing w:val="-3"/>
          <w:w w:val="110"/>
        </w:rPr>
        <w:t>pain; </w:t>
      </w:r>
      <w:r>
        <w:rPr>
          <w:w w:val="110"/>
        </w:rPr>
        <w:t>and if that means euthanasia, so be it. But this assumption, that  the relief of pain and </w:t>
      </w:r>
      <w:r>
        <w:rPr>
          <w:spacing w:val="2"/>
          <w:w w:val="110"/>
        </w:rPr>
        <w:t>suffering </w:t>
      </w:r>
      <w:r>
        <w:rPr>
          <w:w w:val="110"/>
        </w:rPr>
        <w:t>has an </w:t>
      </w:r>
      <w:r>
        <w:rPr>
          <w:spacing w:val="2"/>
          <w:w w:val="110"/>
        </w:rPr>
        <w:t>importance </w:t>
      </w:r>
      <w:r>
        <w:rPr>
          <w:w w:val="110"/>
        </w:rPr>
        <w:t>which over-rides other obligations,   is a peculiarly modern one that seems to owe more to secularising trends of thought   (in particular, eighteenth </w:t>
      </w:r>
      <w:r>
        <w:rPr>
          <w:spacing w:val="2"/>
          <w:w w:val="110"/>
        </w:rPr>
        <w:t>century </w:t>
      </w:r>
      <w:r>
        <w:rPr>
          <w:w w:val="110"/>
        </w:rPr>
        <w:t>utilitarianism) than to the sources of our Christian tradition. It should not be denied that the relief of </w:t>
      </w:r>
      <w:r>
        <w:rPr>
          <w:spacing w:val="2"/>
          <w:w w:val="110"/>
        </w:rPr>
        <w:t>suffering </w:t>
      </w:r>
      <w:r>
        <w:rPr>
          <w:w w:val="110"/>
        </w:rPr>
        <w:t>is a highly important obligation</w:t>
      </w:r>
      <w:r>
        <w:rPr>
          <w:spacing w:val="9"/>
          <w:w w:val="110"/>
        </w:rPr>
        <w:t> </w:t>
      </w:r>
      <w:r>
        <w:rPr>
          <w:w w:val="110"/>
        </w:rPr>
        <w:t>–</w:t>
      </w:r>
      <w:r>
        <w:rPr>
          <w:spacing w:val="9"/>
          <w:w w:val="110"/>
        </w:rPr>
        <w:t> </w:t>
      </w:r>
      <w:r>
        <w:rPr>
          <w:w w:val="110"/>
        </w:rPr>
        <w:t>the</w:t>
      </w:r>
      <w:r>
        <w:rPr>
          <w:spacing w:val="10"/>
          <w:w w:val="110"/>
        </w:rPr>
        <w:t> </w:t>
      </w:r>
      <w:r>
        <w:rPr>
          <w:w w:val="110"/>
        </w:rPr>
        <w:t>long</w:t>
      </w:r>
      <w:r>
        <w:rPr>
          <w:spacing w:val="9"/>
          <w:w w:val="110"/>
        </w:rPr>
        <w:t> </w:t>
      </w:r>
      <w:r>
        <w:rPr>
          <w:spacing w:val="2"/>
          <w:w w:val="110"/>
        </w:rPr>
        <w:t>history</w:t>
      </w:r>
      <w:r>
        <w:rPr>
          <w:spacing w:val="10"/>
          <w:w w:val="110"/>
        </w:rPr>
        <w:t> </w:t>
      </w:r>
      <w:r>
        <w:rPr>
          <w:w w:val="110"/>
        </w:rPr>
        <w:t>of</w:t>
      </w:r>
      <w:r>
        <w:rPr>
          <w:spacing w:val="9"/>
          <w:w w:val="110"/>
        </w:rPr>
        <w:t> </w:t>
      </w:r>
      <w:r>
        <w:rPr>
          <w:w w:val="110"/>
        </w:rPr>
        <w:t>Christian</w:t>
      </w:r>
      <w:r>
        <w:rPr>
          <w:spacing w:val="10"/>
          <w:w w:val="110"/>
        </w:rPr>
        <w:t> </w:t>
      </w:r>
      <w:r>
        <w:rPr>
          <w:w w:val="110"/>
        </w:rPr>
        <w:t>involvement</w:t>
      </w:r>
      <w:r>
        <w:rPr>
          <w:spacing w:val="9"/>
          <w:w w:val="110"/>
        </w:rPr>
        <w:t> </w:t>
      </w:r>
      <w:r>
        <w:rPr>
          <w:w w:val="110"/>
        </w:rPr>
        <w:t>in</w:t>
      </w:r>
      <w:r>
        <w:rPr>
          <w:spacing w:val="9"/>
          <w:w w:val="110"/>
        </w:rPr>
        <w:t> </w:t>
      </w:r>
      <w:r>
        <w:rPr>
          <w:w w:val="110"/>
        </w:rPr>
        <w:t>medicine</w:t>
      </w:r>
      <w:r>
        <w:rPr>
          <w:spacing w:val="10"/>
          <w:w w:val="110"/>
        </w:rPr>
        <w:t> </w:t>
      </w:r>
      <w:r>
        <w:rPr>
          <w:spacing w:val="2"/>
          <w:w w:val="110"/>
        </w:rPr>
        <w:t>bears</w:t>
      </w:r>
      <w:r>
        <w:rPr>
          <w:spacing w:val="9"/>
          <w:w w:val="110"/>
        </w:rPr>
        <w:t> </w:t>
      </w:r>
      <w:r>
        <w:rPr>
          <w:w w:val="110"/>
        </w:rPr>
        <w:t>witness</w:t>
      </w:r>
      <w:r>
        <w:rPr>
          <w:spacing w:val="10"/>
          <w:w w:val="110"/>
        </w:rPr>
        <w:t> </w:t>
      </w:r>
      <w:r>
        <w:rPr>
          <w:w w:val="110"/>
        </w:rPr>
        <w:t>to</w:t>
      </w:r>
      <w:r>
        <w:rPr>
          <w:spacing w:val="9"/>
          <w:w w:val="110"/>
        </w:rPr>
        <w:t> </w:t>
      </w:r>
      <w:r>
        <w:rPr>
          <w:w w:val="110"/>
        </w:rPr>
        <w:t>that</w:t>
      </w:r>
    </w:p>
    <w:p>
      <w:pPr>
        <w:spacing w:before="4"/>
        <w:ind w:left="1240" w:right="0" w:firstLine="0"/>
        <w:jc w:val="left"/>
        <w:rPr>
          <w:sz w:val="18"/>
        </w:rPr>
      </w:pPr>
      <w:r>
        <w:rPr>
          <w:w w:val="110"/>
          <w:sz w:val="18"/>
        </w:rPr>
        <w:t>– but it might not be the </w:t>
      </w:r>
      <w:r>
        <w:rPr>
          <w:i/>
          <w:w w:val="110"/>
          <w:sz w:val="18"/>
        </w:rPr>
        <w:t>only </w:t>
      </w:r>
      <w:r>
        <w:rPr>
          <w:w w:val="110"/>
          <w:sz w:val="18"/>
        </w:rPr>
        <w:t>or the </w:t>
      </w:r>
      <w:r>
        <w:rPr>
          <w:i/>
          <w:w w:val="110"/>
          <w:sz w:val="18"/>
        </w:rPr>
        <w:t>over-riding </w:t>
      </w:r>
      <w:r>
        <w:rPr>
          <w:w w:val="110"/>
          <w:sz w:val="18"/>
        </w:rPr>
        <w:t>obligation.</w:t>
      </w:r>
    </w:p>
    <w:p>
      <w:pPr>
        <w:pStyle w:val="BodyText"/>
        <w:spacing w:before="2"/>
        <w:rPr>
          <w:sz w:val="23"/>
        </w:rPr>
      </w:pPr>
    </w:p>
    <w:p>
      <w:pPr>
        <w:pStyle w:val="ListParagraph"/>
        <w:numPr>
          <w:ilvl w:val="2"/>
          <w:numId w:val="102"/>
        </w:numPr>
        <w:tabs>
          <w:tab w:pos="1960" w:val="left" w:leader="none"/>
          <w:tab w:pos="1961" w:val="left" w:leader="none"/>
        </w:tabs>
        <w:spacing w:line="273" w:lineRule="auto" w:before="0" w:after="0"/>
        <w:ind w:left="1240" w:right="1705" w:firstLine="0"/>
        <w:jc w:val="left"/>
        <w:rPr>
          <w:sz w:val="18"/>
        </w:rPr>
      </w:pPr>
      <w:r>
        <w:rPr>
          <w:w w:val="110"/>
          <w:sz w:val="18"/>
        </w:rPr>
        <w:t>The biblical witness at the </w:t>
      </w:r>
      <w:r>
        <w:rPr>
          <w:spacing w:val="2"/>
          <w:w w:val="110"/>
          <w:sz w:val="18"/>
        </w:rPr>
        <w:t>roots </w:t>
      </w:r>
      <w:r>
        <w:rPr>
          <w:w w:val="110"/>
          <w:sz w:val="18"/>
        </w:rPr>
        <w:t>of our tradition suggests a more nuanced understanding of both </w:t>
      </w:r>
      <w:r>
        <w:rPr>
          <w:spacing w:val="2"/>
          <w:w w:val="110"/>
          <w:sz w:val="18"/>
        </w:rPr>
        <w:t>suffering </w:t>
      </w:r>
      <w:r>
        <w:rPr>
          <w:w w:val="110"/>
          <w:sz w:val="18"/>
        </w:rPr>
        <w:t>and love. For example, Paul pleaded with God to   be relieved of the </w:t>
      </w:r>
      <w:r>
        <w:rPr>
          <w:spacing w:val="2"/>
          <w:w w:val="110"/>
          <w:sz w:val="18"/>
        </w:rPr>
        <w:t>‘thorn </w:t>
      </w:r>
      <w:r>
        <w:rPr>
          <w:w w:val="110"/>
          <w:sz w:val="18"/>
        </w:rPr>
        <w:t>in his flesh’ but received the answer ‘My grace is sufficent for you, for power is made </w:t>
      </w:r>
      <w:r>
        <w:rPr>
          <w:spacing w:val="3"/>
          <w:w w:val="110"/>
          <w:sz w:val="18"/>
        </w:rPr>
        <w:t>perfect </w:t>
      </w:r>
      <w:r>
        <w:rPr>
          <w:w w:val="110"/>
          <w:sz w:val="18"/>
        </w:rPr>
        <w:t>in weakness’ </w:t>
      </w:r>
      <w:r>
        <w:rPr>
          <w:spacing w:val="-4"/>
          <w:w w:val="110"/>
          <w:sz w:val="18"/>
        </w:rPr>
        <w:t>(2 </w:t>
      </w:r>
      <w:r>
        <w:rPr>
          <w:w w:val="110"/>
          <w:sz w:val="18"/>
        </w:rPr>
        <w:t>Cor </w:t>
      </w:r>
      <w:r>
        <w:rPr>
          <w:spacing w:val="-11"/>
          <w:w w:val="110"/>
          <w:sz w:val="18"/>
        </w:rPr>
        <w:t>12:1-10), </w:t>
      </w:r>
      <w:r>
        <w:rPr>
          <w:w w:val="110"/>
          <w:sz w:val="18"/>
        </w:rPr>
        <w:t>which </w:t>
      </w:r>
      <w:r>
        <w:rPr>
          <w:spacing w:val="3"/>
          <w:w w:val="110"/>
          <w:sz w:val="18"/>
        </w:rPr>
        <w:t>suggests</w:t>
      </w:r>
      <w:r>
        <w:rPr>
          <w:spacing w:val="16"/>
          <w:w w:val="110"/>
          <w:sz w:val="18"/>
        </w:rPr>
        <w:t> </w:t>
      </w:r>
      <w:r>
        <w:rPr>
          <w:w w:val="110"/>
          <w:sz w:val="18"/>
        </w:rPr>
        <w:t>an</w:t>
      </w:r>
    </w:p>
    <w:p>
      <w:pPr>
        <w:pStyle w:val="BodyText"/>
        <w:spacing w:line="273" w:lineRule="auto" w:before="2"/>
        <w:ind w:left="1240" w:right="1593"/>
      </w:pPr>
      <w:r>
        <w:rPr>
          <w:spacing w:val="3"/>
          <w:w w:val="110"/>
        </w:rPr>
        <w:t>understanding </w:t>
      </w:r>
      <w:r>
        <w:rPr>
          <w:w w:val="110"/>
        </w:rPr>
        <w:t>of </w:t>
      </w:r>
      <w:r>
        <w:rPr>
          <w:spacing w:val="4"/>
          <w:w w:val="110"/>
        </w:rPr>
        <w:t>suffering </w:t>
      </w:r>
      <w:r>
        <w:rPr>
          <w:w w:val="110"/>
        </w:rPr>
        <w:t>that is </w:t>
      </w:r>
      <w:r>
        <w:rPr>
          <w:spacing w:val="2"/>
          <w:w w:val="110"/>
        </w:rPr>
        <w:t>both </w:t>
      </w:r>
      <w:r>
        <w:rPr>
          <w:spacing w:val="3"/>
          <w:w w:val="110"/>
        </w:rPr>
        <w:t>richer </w:t>
      </w:r>
      <w:r>
        <w:rPr>
          <w:w w:val="110"/>
        </w:rPr>
        <w:t>and </w:t>
      </w:r>
      <w:r>
        <w:rPr>
          <w:spacing w:val="3"/>
          <w:w w:val="110"/>
        </w:rPr>
        <w:t>more </w:t>
      </w:r>
      <w:r>
        <w:rPr>
          <w:spacing w:val="2"/>
          <w:w w:val="110"/>
        </w:rPr>
        <w:t>complex </w:t>
      </w:r>
      <w:r>
        <w:rPr>
          <w:w w:val="110"/>
        </w:rPr>
        <w:t>than the utilitarian view summarised </w:t>
      </w:r>
      <w:r>
        <w:rPr>
          <w:spacing w:val="-3"/>
          <w:w w:val="110"/>
        </w:rPr>
        <w:t>above. </w:t>
      </w:r>
      <w:r>
        <w:rPr>
          <w:w w:val="110"/>
        </w:rPr>
        <w:t>Certainly, in the picture presented by </w:t>
      </w:r>
      <w:r>
        <w:rPr>
          <w:spacing w:val="-3"/>
          <w:w w:val="110"/>
        </w:rPr>
        <w:t>Paul’s </w:t>
      </w:r>
      <w:r>
        <w:rPr>
          <w:w w:val="110"/>
        </w:rPr>
        <w:t>account, his </w:t>
      </w:r>
      <w:r>
        <w:rPr>
          <w:spacing w:val="2"/>
          <w:w w:val="110"/>
        </w:rPr>
        <w:t>suffering </w:t>
      </w:r>
      <w:r>
        <w:rPr>
          <w:w w:val="110"/>
        </w:rPr>
        <w:t>is a real and terrible </w:t>
      </w:r>
      <w:r>
        <w:rPr>
          <w:spacing w:val="-3"/>
          <w:w w:val="110"/>
        </w:rPr>
        <w:t>evil; </w:t>
      </w:r>
      <w:r>
        <w:rPr>
          <w:w w:val="110"/>
        </w:rPr>
        <w:t>but at the same time, mysteriously, it has become an occasion by which he has experienced God’s grace in a powerful</w:t>
      </w:r>
      <w:r>
        <w:rPr>
          <w:spacing w:val="53"/>
          <w:w w:val="110"/>
        </w:rPr>
        <w:t> </w:t>
      </w:r>
      <w:r>
        <w:rPr>
          <w:spacing w:val="-5"/>
          <w:w w:val="110"/>
        </w:rPr>
        <w:t>way.</w:t>
      </w:r>
    </w:p>
    <w:p>
      <w:pPr>
        <w:pStyle w:val="BodyText"/>
        <w:spacing w:before="10"/>
        <w:rPr>
          <w:sz w:val="20"/>
        </w:rPr>
      </w:pPr>
    </w:p>
    <w:p>
      <w:pPr>
        <w:pStyle w:val="ListParagraph"/>
        <w:numPr>
          <w:ilvl w:val="2"/>
          <w:numId w:val="102"/>
        </w:numPr>
        <w:tabs>
          <w:tab w:pos="1960" w:val="left" w:leader="none"/>
          <w:tab w:pos="1961" w:val="left" w:leader="none"/>
        </w:tabs>
        <w:spacing w:line="273" w:lineRule="auto" w:before="0" w:after="0"/>
        <w:ind w:left="1240" w:right="1239" w:hanging="1"/>
        <w:jc w:val="left"/>
        <w:rPr>
          <w:sz w:val="18"/>
        </w:rPr>
      </w:pPr>
      <w:r>
        <w:rPr>
          <w:spacing w:val="2"/>
          <w:w w:val="110"/>
          <w:sz w:val="18"/>
        </w:rPr>
        <w:t>There </w:t>
      </w:r>
      <w:r>
        <w:rPr>
          <w:w w:val="110"/>
          <w:sz w:val="18"/>
        </w:rPr>
        <w:t>is no room in this picture for downplaying the reality of </w:t>
      </w:r>
      <w:r>
        <w:rPr>
          <w:spacing w:val="2"/>
          <w:w w:val="110"/>
          <w:sz w:val="18"/>
        </w:rPr>
        <w:t>suffering </w:t>
      </w:r>
      <w:r>
        <w:rPr>
          <w:w w:val="110"/>
          <w:sz w:val="18"/>
        </w:rPr>
        <w:t>or for   glib talk about its being ‘good for the soul’. But Paul also witnesses to the mysterious ways in which God is encountered in the midst of suffering. His testimony suggests that it won’t do to conclude that my over-riding obligation to my </w:t>
      </w:r>
      <w:r>
        <w:rPr>
          <w:spacing w:val="2"/>
          <w:w w:val="110"/>
          <w:sz w:val="18"/>
        </w:rPr>
        <w:t>suffering </w:t>
      </w:r>
      <w:r>
        <w:rPr>
          <w:w w:val="110"/>
          <w:sz w:val="18"/>
        </w:rPr>
        <w:t>neighbour is to</w:t>
      </w:r>
    </w:p>
    <w:p>
      <w:pPr>
        <w:pStyle w:val="BodyText"/>
        <w:spacing w:line="273" w:lineRule="auto" w:before="2"/>
        <w:ind w:left="1240" w:right="1143"/>
      </w:pPr>
      <w:r>
        <w:rPr>
          <w:w w:val="110"/>
        </w:rPr>
        <w:t>do everything I can to end suffering, including killing her or him. Such a line of thought leads some Christian thinkers to argue that one of the most important contributions that Christian churches can make to the debate about euthanasia and assisted suicide is to</w:t>
      </w:r>
    </w:p>
    <w:p>
      <w:pPr>
        <w:spacing w:after="0" w:line="273" w:lineRule="auto"/>
        <w:sectPr>
          <w:pgSz w:w="11910" w:h="16840"/>
          <w:pgMar w:header="558" w:footer="564" w:top="820" w:bottom="760" w:left="460" w:right="0"/>
        </w:sectPr>
      </w:pPr>
    </w:p>
    <w:p>
      <w:pPr>
        <w:pStyle w:val="BodyText"/>
        <w:spacing w:before="9"/>
        <w:rPr>
          <w:sz w:val="13"/>
        </w:rPr>
      </w:pPr>
    </w:p>
    <w:p>
      <w:pPr>
        <w:pStyle w:val="BodyText"/>
        <w:spacing w:before="101"/>
        <w:ind w:left="673"/>
      </w:pPr>
      <w:r>
        <w:rPr>
          <w:w w:val="110"/>
        </w:rPr>
        <w:t>be</w:t>
      </w:r>
      <w:r>
        <w:rPr>
          <w:spacing w:val="9"/>
          <w:w w:val="110"/>
        </w:rPr>
        <w:t> </w:t>
      </w:r>
      <w:r>
        <w:rPr>
          <w:w w:val="110"/>
        </w:rPr>
        <w:t>the</w:t>
      </w:r>
      <w:r>
        <w:rPr>
          <w:spacing w:val="9"/>
          <w:w w:val="110"/>
        </w:rPr>
        <w:t> </w:t>
      </w:r>
      <w:r>
        <w:rPr>
          <w:w w:val="110"/>
        </w:rPr>
        <w:t>kind</w:t>
      </w:r>
      <w:r>
        <w:rPr>
          <w:spacing w:val="9"/>
          <w:w w:val="110"/>
        </w:rPr>
        <w:t> </w:t>
      </w:r>
      <w:r>
        <w:rPr>
          <w:w w:val="110"/>
        </w:rPr>
        <w:t>of</w:t>
      </w:r>
      <w:r>
        <w:rPr>
          <w:spacing w:val="9"/>
          <w:w w:val="110"/>
        </w:rPr>
        <w:t> </w:t>
      </w:r>
      <w:r>
        <w:rPr>
          <w:w w:val="110"/>
        </w:rPr>
        <w:t>communities</w:t>
      </w:r>
      <w:r>
        <w:rPr>
          <w:spacing w:val="9"/>
          <w:w w:val="110"/>
        </w:rPr>
        <w:t> </w:t>
      </w:r>
      <w:r>
        <w:rPr>
          <w:w w:val="110"/>
        </w:rPr>
        <w:t>that</w:t>
      </w:r>
      <w:r>
        <w:rPr>
          <w:spacing w:val="9"/>
          <w:w w:val="110"/>
        </w:rPr>
        <w:t> </w:t>
      </w:r>
      <w:r>
        <w:rPr>
          <w:w w:val="110"/>
        </w:rPr>
        <w:t>can</w:t>
      </w:r>
      <w:r>
        <w:rPr>
          <w:spacing w:val="9"/>
          <w:w w:val="110"/>
        </w:rPr>
        <w:t> </w:t>
      </w:r>
      <w:r>
        <w:rPr>
          <w:w w:val="110"/>
        </w:rPr>
        <w:t>give</w:t>
      </w:r>
      <w:r>
        <w:rPr>
          <w:spacing w:val="10"/>
          <w:w w:val="110"/>
        </w:rPr>
        <w:t> </w:t>
      </w:r>
      <w:r>
        <w:rPr>
          <w:spacing w:val="2"/>
          <w:w w:val="110"/>
        </w:rPr>
        <w:t>suffering</w:t>
      </w:r>
      <w:r>
        <w:rPr>
          <w:spacing w:val="9"/>
          <w:w w:val="110"/>
        </w:rPr>
        <w:t> </w:t>
      </w:r>
      <w:r>
        <w:rPr>
          <w:w w:val="110"/>
        </w:rPr>
        <w:t>human</w:t>
      </w:r>
      <w:r>
        <w:rPr>
          <w:spacing w:val="9"/>
          <w:w w:val="110"/>
        </w:rPr>
        <w:t> </w:t>
      </w:r>
      <w:r>
        <w:rPr>
          <w:w w:val="110"/>
        </w:rPr>
        <w:t>beings</w:t>
      </w:r>
      <w:r>
        <w:rPr>
          <w:spacing w:val="9"/>
          <w:w w:val="110"/>
        </w:rPr>
        <w:t> </w:t>
      </w:r>
      <w:r>
        <w:rPr>
          <w:w w:val="110"/>
        </w:rPr>
        <w:t>the</w:t>
      </w:r>
      <w:r>
        <w:rPr>
          <w:spacing w:val="9"/>
          <w:w w:val="110"/>
        </w:rPr>
        <w:t> </w:t>
      </w:r>
      <w:r>
        <w:rPr>
          <w:spacing w:val="2"/>
          <w:w w:val="110"/>
        </w:rPr>
        <w:t>resource</w:t>
      </w:r>
    </w:p>
    <w:p>
      <w:pPr>
        <w:pStyle w:val="BodyText"/>
        <w:spacing w:line="273" w:lineRule="auto" w:before="31"/>
        <w:ind w:left="673" w:right="1856"/>
      </w:pPr>
      <w:r>
        <w:rPr>
          <w:w w:val="110"/>
        </w:rPr>
        <w:t>to </w:t>
      </w:r>
      <w:r>
        <w:rPr>
          <w:i/>
          <w:w w:val="110"/>
        </w:rPr>
        <w:t>endure </w:t>
      </w:r>
      <w:r>
        <w:rPr>
          <w:w w:val="110"/>
        </w:rPr>
        <w:t>pain and indignity. Stories can be told of ways in which this has happened,    to remarkable </w:t>
      </w:r>
      <w:r>
        <w:rPr>
          <w:spacing w:val="3"/>
          <w:w w:val="110"/>
        </w:rPr>
        <w:t>effect </w:t>
      </w:r>
      <w:r>
        <w:rPr>
          <w:w w:val="110"/>
        </w:rPr>
        <w:t>– the Christian </w:t>
      </w:r>
      <w:r>
        <w:rPr>
          <w:spacing w:val="2"/>
          <w:w w:val="110"/>
        </w:rPr>
        <w:t>roots </w:t>
      </w:r>
      <w:r>
        <w:rPr>
          <w:w w:val="110"/>
        </w:rPr>
        <w:t>of the hospice movement should be noted – but it has to be said that our churches </w:t>
      </w:r>
      <w:r>
        <w:rPr>
          <w:spacing w:val="2"/>
          <w:w w:val="110"/>
        </w:rPr>
        <w:t>often </w:t>
      </w:r>
      <w:r>
        <w:rPr>
          <w:w w:val="110"/>
        </w:rPr>
        <w:t>fail to live up to their calling in this regard. If our </w:t>
      </w:r>
      <w:r>
        <w:rPr>
          <w:spacing w:val="2"/>
          <w:w w:val="110"/>
        </w:rPr>
        <w:t>practice </w:t>
      </w:r>
      <w:r>
        <w:rPr>
          <w:w w:val="110"/>
        </w:rPr>
        <w:t>were better, our words and arguments might sound less</w:t>
      </w:r>
      <w:r>
        <w:rPr>
          <w:spacing w:val="48"/>
          <w:w w:val="110"/>
        </w:rPr>
        <w:t> </w:t>
      </w:r>
      <w:r>
        <w:rPr>
          <w:w w:val="110"/>
        </w:rPr>
        <w:t>hollow.</w:t>
      </w:r>
    </w:p>
    <w:p>
      <w:pPr>
        <w:pStyle w:val="BodyText"/>
        <w:spacing w:before="9"/>
        <w:rPr>
          <w:sz w:val="20"/>
        </w:rPr>
      </w:pPr>
    </w:p>
    <w:p>
      <w:pPr>
        <w:pStyle w:val="ListParagraph"/>
        <w:numPr>
          <w:ilvl w:val="1"/>
          <w:numId w:val="102"/>
        </w:numPr>
        <w:tabs>
          <w:tab w:pos="1393" w:val="left" w:leader="none"/>
          <w:tab w:pos="1394" w:val="left" w:leader="none"/>
        </w:tabs>
        <w:spacing w:line="240" w:lineRule="auto" w:before="0" w:after="0"/>
        <w:ind w:left="1393" w:right="0" w:hanging="721"/>
        <w:jc w:val="left"/>
        <w:rPr>
          <w:i/>
          <w:sz w:val="18"/>
        </w:rPr>
      </w:pPr>
      <w:r>
        <w:rPr>
          <w:i/>
          <w:w w:val="110"/>
          <w:sz w:val="18"/>
        </w:rPr>
        <w:t>Acts, omissions and double</w:t>
      </w:r>
      <w:r>
        <w:rPr>
          <w:i/>
          <w:spacing w:val="4"/>
          <w:w w:val="110"/>
          <w:sz w:val="18"/>
        </w:rPr>
        <w:t> </w:t>
      </w:r>
      <w:r>
        <w:rPr>
          <w:i/>
          <w:spacing w:val="3"/>
          <w:w w:val="110"/>
          <w:sz w:val="18"/>
        </w:rPr>
        <w:t>effect</w:t>
      </w:r>
    </w:p>
    <w:p>
      <w:pPr>
        <w:pStyle w:val="BodyText"/>
        <w:spacing w:before="2"/>
        <w:rPr>
          <w:i/>
          <w:sz w:val="23"/>
        </w:rPr>
      </w:pPr>
    </w:p>
    <w:p>
      <w:pPr>
        <w:pStyle w:val="ListParagraph"/>
        <w:numPr>
          <w:ilvl w:val="2"/>
          <w:numId w:val="102"/>
        </w:numPr>
        <w:tabs>
          <w:tab w:pos="1393" w:val="left" w:leader="none"/>
          <w:tab w:pos="1394" w:val="left" w:leader="none"/>
        </w:tabs>
        <w:spacing w:line="273" w:lineRule="auto" w:before="0" w:after="0"/>
        <w:ind w:left="673" w:right="1965" w:firstLine="0"/>
        <w:jc w:val="left"/>
        <w:rPr>
          <w:sz w:val="18"/>
        </w:rPr>
      </w:pPr>
      <w:r>
        <w:rPr>
          <w:w w:val="110"/>
          <w:sz w:val="18"/>
        </w:rPr>
        <w:t>A third line of argument </w:t>
      </w:r>
      <w:r>
        <w:rPr>
          <w:spacing w:val="2"/>
          <w:w w:val="110"/>
          <w:sz w:val="18"/>
        </w:rPr>
        <w:t>often </w:t>
      </w:r>
      <w:r>
        <w:rPr>
          <w:w w:val="110"/>
          <w:sz w:val="18"/>
        </w:rPr>
        <w:t>used in favour of assisted dying is, in </w:t>
      </w:r>
      <w:r>
        <w:rPr>
          <w:spacing w:val="3"/>
          <w:w w:val="110"/>
          <w:sz w:val="18"/>
        </w:rPr>
        <w:t>effect,   </w:t>
      </w:r>
      <w:r>
        <w:rPr>
          <w:w w:val="110"/>
          <w:sz w:val="18"/>
        </w:rPr>
        <w:t>that we already </w:t>
      </w:r>
      <w:r>
        <w:rPr>
          <w:spacing w:val="2"/>
          <w:w w:val="110"/>
          <w:sz w:val="18"/>
        </w:rPr>
        <w:t>practice </w:t>
      </w:r>
      <w:r>
        <w:rPr>
          <w:w w:val="110"/>
          <w:sz w:val="18"/>
        </w:rPr>
        <w:t>forms of euthanasia, so we might as well be honest and do it more efficiently and effectively. </w:t>
      </w:r>
      <w:r>
        <w:rPr>
          <w:spacing w:val="3"/>
          <w:w w:val="110"/>
          <w:sz w:val="18"/>
        </w:rPr>
        <w:t>Doctors </w:t>
      </w:r>
      <w:r>
        <w:rPr>
          <w:w w:val="110"/>
          <w:sz w:val="18"/>
        </w:rPr>
        <w:t>withhold or withdraw medical treatment that could prolong a patient’s life, so why not give a lethal injection that will end it all more quickly and easily? Or again, </w:t>
      </w:r>
      <w:r>
        <w:rPr>
          <w:spacing w:val="2"/>
          <w:w w:val="110"/>
          <w:sz w:val="18"/>
        </w:rPr>
        <w:t>doctors </w:t>
      </w:r>
      <w:r>
        <w:rPr>
          <w:w w:val="110"/>
          <w:sz w:val="18"/>
        </w:rPr>
        <w:t>might give drugs with the aim of relieving</w:t>
      </w:r>
      <w:r>
        <w:rPr>
          <w:spacing w:val="6"/>
          <w:w w:val="110"/>
          <w:sz w:val="18"/>
        </w:rPr>
        <w:t> </w:t>
      </w:r>
      <w:r>
        <w:rPr>
          <w:w w:val="110"/>
          <w:sz w:val="18"/>
        </w:rPr>
        <w:t>pain</w:t>
      </w:r>
    </w:p>
    <w:p>
      <w:pPr>
        <w:pStyle w:val="BodyText"/>
        <w:spacing w:line="273" w:lineRule="auto" w:before="3"/>
        <w:ind w:left="673" w:right="1903"/>
      </w:pPr>
      <w:r>
        <w:rPr>
          <w:w w:val="110"/>
        </w:rPr>
        <w:t>even though they can </w:t>
      </w:r>
      <w:r>
        <w:rPr>
          <w:spacing w:val="2"/>
          <w:w w:val="110"/>
        </w:rPr>
        <w:t>foresee </w:t>
      </w:r>
      <w:r>
        <w:rPr>
          <w:w w:val="110"/>
        </w:rPr>
        <w:t>that those drugs would have the </w:t>
      </w:r>
      <w:r>
        <w:rPr>
          <w:spacing w:val="2"/>
          <w:w w:val="110"/>
        </w:rPr>
        <w:t>side-effect </w:t>
      </w:r>
      <w:r>
        <w:rPr>
          <w:w w:val="110"/>
        </w:rPr>
        <w:t>of shortening the patient’s life. In doing this, they appeal to the ethical and legal principle of ‘double </w:t>
      </w:r>
      <w:r>
        <w:rPr>
          <w:spacing w:val="4"/>
          <w:w w:val="110"/>
        </w:rPr>
        <w:t>effect’ </w:t>
      </w:r>
      <w:r>
        <w:rPr>
          <w:w w:val="110"/>
        </w:rPr>
        <w:t>which states that an action done with a good intention (in this case, relieving  </w:t>
      </w:r>
      <w:r>
        <w:rPr>
          <w:spacing w:val="-4"/>
          <w:w w:val="110"/>
        </w:rPr>
        <w:t>pain) </w:t>
      </w:r>
      <w:r>
        <w:rPr>
          <w:w w:val="110"/>
        </w:rPr>
        <w:t>can sometimes be permissible even if it also results in a </w:t>
      </w:r>
      <w:r>
        <w:rPr>
          <w:spacing w:val="2"/>
          <w:w w:val="110"/>
        </w:rPr>
        <w:t>foreseen </w:t>
      </w:r>
      <w:r>
        <w:rPr>
          <w:w w:val="110"/>
        </w:rPr>
        <w:t>but unintended evil consequence (shortening the patient’s </w:t>
      </w:r>
      <w:r>
        <w:rPr>
          <w:spacing w:val="-3"/>
          <w:w w:val="110"/>
        </w:rPr>
        <w:t>life). </w:t>
      </w:r>
      <w:r>
        <w:rPr>
          <w:w w:val="110"/>
        </w:rPr>
        <w:t>Some advocates  of  assisted  dying argue</w:t>
      </w:r>
      <w:r>
        <w:rPr>
          <w:spacing w:val="8"/>
          <w:w w:val="110"/>
        </w:rPr>
        <w:t> </w:t>
      </w:r>
      <w:r>
        <w:rPr>
          <w:w w:val="110"/>
        </w:rPr>
        <w:t>that</w:t>
      </w:r>
      <w:r>
        <w:rPr>
          <w:spacing w:val="9"/>
          <w:w w:val="110"/>
        </w:rPr>
        <w:t> </w:t>
      </w:r>
      <w:r>
        <w:rPr>
          <w:w w:val="110"/>
        </w:rPr>
        <w:t>these</w:t>
      </w:r>
      <w:r>
        <w:rPr>
          <w:spacing w:val="9"/>
          <w:w w:val="110"/>
        </w:rPr>
        <w:t> </w:t>
      </w:r>
      <w:r>
        <w:rPr>
          <w:w w:val="110"/>
        </w:rPr>
        <w:t>distinctions</w:t>
      </w:r>
      <w:r>
        <w:rPr>
          <w:spacing w:val="8"/>
          <w:w w:val="110"/>
        </w:rPr>
        <w:t> </w:t>
      </w:r>
      <w:r>
        <w:rPr>
          <w:w w:val="110"/>
        </w:rPr>
        <w:t>–</w:t>
      </w:r>
      <w:r>
        <w:rPr>
          <w:spacing w:val="9"/>
          <w:w w:val="110"/>
        </w:rPr>
        <w:t> </w:t>
      </w:r>
      <w:r>
        <w:rPr>
          <w:w w:val="110"/>
        </w:rPr>
        <w:t>between</w:t>
      </w:r>
      <w:r>
        <w:rPr>
          <w:spacing w:val="9"/>
          <w:w w:val="110"/>
        </w:rPr>
        <w:t> </w:t>
      </w:r>
      <w:r>
        <w:rPr>
          <w:spacing w:val="3"/>
          <w:w w:val="110"/>
        </w:rPr>
        <w:t>acts</w:t>
      </w:r>
      <w:r>
        <w:rPr>
          <w:spacing w:val="8"/>
          <w:w w:val="110"/>
        </w:rPr>
        <w:t> </w:t>
      </w:r>
      <w:r>
        <w:rPr>
          <w:w w:val="110"/>
        </w:rPr>
        <w:t>and</w:t>
      </w:r>
      <w:r>
        <w:rPr>
          <w:spacing w:val="9"/>
          <w:w w:val="110"/>
        </w:rPr>
        <w:t> </w:t>
      </w:r>
      <w:r>
        <w:rPr>
          <w:w w:val="110"/>
        </w:rPr>
        <w:t>omissions,</w:t>
      </w:r>
      <w:r>
        <w:rPr>
          <w:spacing w:val="9"/>
          <w:w w:val="110"/>
        </w:rPr>
        <w:t> </w:t>
      </w:r>
      <w:r>
        <w:rPr>
          <w:w w:val="110"/>
        </w:rPr>
        <w:t>and</w:t>
      </w:r>
      <w:r>
        <w:rPr>
          <w:spacing w:val="8"/>
          <w:w w:val="110"/>
        </w:rPr>
        <w:t> </w:t>
      </w:r>
      <w:r>
        <w:rPr>
          <w:w w:val="110"/>
        </w:rPr>
        <w:t>between</w:t>
      </w:r>
      <w:r>
        <w:rPr>
          <w:spacing w:val="9"/>
          <w:w w:val="110"/>
        </w:rPr>
        <w:t> </w:t>
      </w:r>
      <w:r>
        <w:rPr>
          <w:w w:val="110"/>
        </w:rPr>
        <w:t>intended</w:t>
      </w:r>
    </w:p>
    <w:p>
      <w:pPr>
        <w:pStyle w:val="BodyText"/>
        <w:spacing w:line="273" w:lineRule="auto" w:before="4"/>
        <w:ind w:left="673" w:right="1829"/>
      </w:pPr>
      <w:r>
        <w:rPr>
          <w:w w:val="110"/>
        </w:rPr>
        <w:t>and foreseen consequences – are false, and therefore if we accept some kinds of action (or inaction) that hasten patient death, we should be willing to go further and accept direct intentional killing.</w:t>
      </w:r>
    </w:p>
    <w:p>
      <w:pPr>
        <w:pStyle w:val="BodyText"/>
        <w:spacing w:before="9"/>
        <w:rPr>
          <w:sz w:val="20"/>
        </w:rPr>
      </w:pPr>
    </w:p>
    <w:p>
      <w:pPr>
        <w:pStyle w:val="ListParagraph"/>
        <w:numPr>
          <w:ilvl w:val="2"/>
          <w:numId w:val="102"/>
        </w:numPr>
        <w:tabs>
          <w:tab w:pos="1393" w:val="left" w:leader="none"/>
          <w:tab w:pos="1394" w:val="left" w:leader="none"/>
        </w:tabs>
        <w:spacing w:line="273" w:lineRule="auto" w:before="0" w:after="0"/>
        <w:ind w:left="673" w:right="1802" w:firstLine="0"/>
        <w:jc w:val="left"/>
        <w:rPr>
          <w:sz w:val="18"/>
        </w:rPr>
      </w:pPr>
      <w:r>
        <w:rPr>
          <w:spacing w:val="2"/>
          <w:w w:val="110"/>
          <w:sz w:val="18"/>
        </w:rPr>
        <w:t>These </w:t>
      </w:r>
      <w:r>
        <w:rPr>
          <w:w w:val="110"/>
          <w:sz w:val="18"/>
        </w:rPr>
        <w:t>issues are more philosophical than theological. </w:t>
      </w:r>
      <w:r>
        <w:rPr>
          <w:spacing w:val="-3"/>
          <w:w w:val="110"/>
          <w:sz w:val="18"/>
        </w:rPr>
        <w:t>However, </w:t>
      </w:r>
      <w:r>
        <w:rPr>
          <w:w w:val="110"/>
          <w:sz w:val="18"/>
        </w:rPr>
        <w:t>many of those who deny the significance of the act/omission distinction and the relevance of the  ‘double </w:t>
      </w:r>
      <w:r>
        <w:rPr>
          <w:spacing w:val="4"/>
          <w:w w:val="110"/>
          <w:sz w:val="18"/>
        </w:rPr>
        <w:t>effect’ </w:t>
      </w:r>
      <w:r>
        <w:rPr>
          <w:w w:val="110"/>
          <w:sz w:val="18"/>
        </w:rPr>
        <w:t>principle assume a view of ethics in which the only relevant </w:t>
      </w:r>
      <w:r>
        <w:rPr>
          <w:spacing w:val="2"/>
          <w:w w:val="110"/>
          <w:sz w:val="18"/>
        </w:rPr>
        <w:t>factor </w:t>
      </w:r>
      <w:r>
        <w:rPr>
          <w:w w:val="110"/>
          <w:sz w:val="18"/>
        </w:rPr>
        <w:t>in assessing the morality of an </w:t>
      </w:r>
      <w:r>
        <w:rPr>
          <w:spacing w:val="2"/>
          <w:w w:val="110"/>
          <w:sz w:val="18"/>
        </w:rPr>
        <w:t>act </w:t>
      </w:r>
      <w:r>
        <w:rPr>
          <w:w w:val="110"/>
          <w:sz w:val="18"/>
        </w:rPr>
        <w:t>is its consequences. A </w:t>
      </w:r>
      <w:r>
        <w:rPr>
          <w:spacing w:val="2"/>
          <w:w w:val="110"/>
          <w:sz w:val="18"/>
        </w:rPr>
        <w:t>strong case </w:t>
      </w:r>
      <w:r>
        <w:rPr>
          <w:w w:val="110"/>
          <w:sz w:val="18"/>
        </w:rPr>
        <w:t>can be made that Christians are committed to a richer view of moral action.  For example, we have a   stake in the claim that there is an important </w:t>
      </w:r>
      <w:r>
        <w:rPr>
          <w:spacing w:val="2"/>
          <w:w w:val="110"/>
          <w:sz w:val="18"/>
        </w:rPr>
        <w:t>difference </w:t>
      </w:r>
      <w:r>
        <w:rPr>
          <w:w w:val="110"/>
          <w:sz w:val="18"/>
        </w:rPr>
        <w:t>between </w:t>
      </w:r>
      <w:r>
        <w:rPr>
          <w:i/>
          <w:w w:val="110"/>
          <w:sz w:val="18"/>
        </w:rPr>
        <w:t>aiming to relieve pain</w:t>
      </w:r>
      <w:r>
        <w:rPr>
          <w:w w:val="110"/>
          <w:sz w:val="18"/>
        </w:rPr>
        <w:t>, knowing that this might also hasten death, and </w:t>
      </w:r>
      <w:r>
        <w:rPr>
          <w:i/>
          <w:w w:val="110"/>
          <w:sz w:val="18"/>
        </w:rPr>
        <w:t>aiming to kill</w:t>
      </w:r>
      <w:r>
        <w:rPr>
          <w:w w:val="110"/>
          <w:sz w:val="18"/>
        </w:rPr>
        <w:t>. </w:t>
      </w:r>
      <w:r>
        <w:rPr>
          <w:spacing w:val="2"/>
          <w:w w:val="110"/>
          <w:sz w:val="18"/>
        </w:rPr>
        <w:t>Part </w:t>
      </w:r>
      <w:r>
        <w:rPr>
          <w:w w:val="110"/>
          <w:sz w:val="18"/>
        </w:rPr>
        <w:t>of the </w:t>
      </w:r>
      <w:r>
        <w:rPr>
          <w:spacing w:val="2"/>
          <w:w w:val="110"/>
          <w:sz w:val="18"/>
        </w:rPr>
        <w:t>difference </w:t>
      </w:r>
      <w:r>
        <w:rPr>
          <w:w w:val="110"/>
          <w:sz w:val="18"/>
        </w:rPr>
        <w:t>might lie in the </w:t>
      </w:r>
      <w:r>
        <w:rPr>
          <w:spacing w:val="4"/>
          <w:w w:val="110"/>
          <w:sz w:val="18"/>
        </w:rPr>
        <w:t>effects </w:t>
      </w:r>
      <w:r>
        <w:rPr>
          <w:w w:val="110"/>
          <w:sz w:val="18"/>
        </w:rPr>
        <w:t>that these different </w:t>
      </w:r>
      <w:r>
        <w:rPr>
          <w:spacing w:val="2"/>
          <w:w w:val="110"/>
          <w:sz w:val="18"/>
        </w:rPr>
        <w:t>courses </w:t>
      </w:r>
      <w:r>
        <w:rPr>
          <w:w w:val="110"/>
          <w:sz w:val="18"/>
        </w:rPr>
        <w:t>of action would have on those who </w:t>
      </w:r>
      <w:r>
        <w:rPr>
          <w:spacing w:val="2"/>
          <w:w w:val="110"/>
          <w:sz w:val="18"/>
        </w:rPr>
        <w:t>performed </w:t>
      </w:r>
      <w:r>
        <w:rPr>
          <w:w w:val="110"/>
          <w:sz w:val="18"/>
        </w:rPr>
        <w:t>them, and on the communities and societies that sanctioned them. It is not only the end results of actions that matter, but also the kind of people and communities we become. If I am a </w:t>
      </w:r>
      <w:r>
        <w:rPr>
          <w:spacing w:val="2"/>
          <w:w w:val="110"/>
          <w:sz w:val="18"/>
        </w:rPr>
        <w:t>doctor </w:t>
      </w:r>
      <w:r>
        <w:rPr>
          <w:w w:val="110"/>
          <w:sz w:val="18"/>
        </w:rPr>
        <w:t>who gets accustomed to aiming to kill some of my terminally ill patients, that could gradually make me into a different kind of</w:t>
      </w:r>
      <w:r>
        <w:rPr>
          <w:spacing w:val="9"/>
          <w:w w:val="110"/>
          <w:sz w:val="18"/>
        </w:rPr>
        <w:t> </w:t>
      </w:r>
      <w:r>
        <w:rPr>
          <w:spacing w:val="2"/>
          <w:w w:val="110"/>
          <w:sz w:val="18"/>
        </w:rPr>
        <w:t>person</w:t>
      </w:r>
    </w:p>
    <w:p>
      <w:pPr>
        <w:pStyle w:val="BodyText"/>
        <w:spacing w:line="273" w:lineRule="auto" w:before="7"/>
        <w:ind w:left="673" w:right="1829"/>
      </w:pPr>
      <w:r>
        <w:rPr>
          <w:w w:val="110"/>
        </w:rPr>
        <w:t>than I would be, if I restricted myself to trying to relieve their pain. Similarly, a society that became accustomed to the intentional killing of some if its terminally ill members might also gradually develop an altered moral character as a result </w:t>
      </w:r>
      <w:r>
        <w:rPr>
          <w:w w:val="110"/>
          <w:position w:val="6"/>
          <w:sz w:val="10"/>
        </w:rPr>
        <w:t>(12)</w:t>
      </w:r>
      <w:r>
        <w:rPr>
          <w:w w:val="110"/>
        </w:rPr>
        <w:t>.</w:t>
      </w:r>
    </w:p>
    <w:p>
      <w:pPr>
        <w:pStyle w:val="BodyText"/>
        <w:spacing w:before="8"/>
        <w:rPr>
          <w:sz w:val="20"/>
        </w:rPr>
      </w:pPr>
    </w:p>
    <w:p>
      <w:pPr>
        <w:pStyle w:val="ListParagraph"/>
        <w:numPr>
          <w:ilvl w:val="1"/>
          <w:numId w:val="102"/>
        </w:numPr>
        <w:tabs>
          <w:tab w:pos="1393" w:val="left" w:leader="none"/>
          <w:tab w:pos="1394" w:val="left" w:leader="none"/>
        </w:tabs>
        <w:spacing w:line="240" w:lineRule="auto" w:before="1" w:after="0"/>
        <w:ind w:left="1393" w:right="0" w:hanging="721"/>
        <w:jc w:val="left"/>
        <w:rPr>
          <w:i/>
          <w:sz w:val="18"/>
        </w:rPr>
      </w:pPr>
      <w:r>
        <w:rPr>
          <w:i/>
          <w:w w:val="110"/>
          <w:sz w:val="18"/>
        </w:rPr>
        <w:t>Consequences and slippery</w:t>
      </w:r>
      <w:r>
        <w:rPr>
          <w:i/>
          <w:spacing w:val="4"/>
          <w:w w:val="110"/>
          <w:sz w:val="18"/>
        </w:rPr>
        <w:t> </w:t>
      </w:r>
      <w:r>
        <w:rPr>
          <w:i/>
          <w:w w:val="110"/>
          <w:sz w:val="18"/>
        </w:rPr>
        <w:t>slopes</w:t>
      </w:r>
    </w:p>
    <w:p>
      <w:pPr>
        <w:pStyle w:val="BodyText"/>
        <w:spacing w:before="1"/>
        <w:rPr>
          <w:i/>
          <w:sz w:val="23"/>
        </w:rPr>
      </w:pPr>
    </w:p>
    <w:p>
      <w:pPr>
        <w:pStyle w:val="BodyText"/>
        <w:spacing w:line="273" w:lineRule="auto"/>
        <w:ind w:left="673" w:right="1664"/>
      </w:pPr>
      <w:r>
        <w:rPr>
          <w:w w:val="110"/>
        </w:rPr>
        <w:t>Another important strand of public debate concerns the possible consequences, beneficial and harmful, of proposed legislation. Opponents of assisted dying sometimes argue that even if it could be morally justified in individual cases, the effect would be that the lives of many more innocent and vulnerable people would be placed at risk. A related claim is that even if legislation contained built-in safeguards, to permit assisted dying would set society on a ‘slippery slope’ which would lead eventually to widespread euthanasia, loss of respect for human life, and the loss of protection for the vulnerable. In a sense, these arguments are secondary to those already discussed. If Christians conclude on principle that it is morally unacceptable to legislate for assisted dying, the arguments about consequences and slippery slopes will be superfluous. However, they are not unimportant; the social consequences of legislation should be considered, and even if assisted dying were morally legitimate in some cases, it could still be the case that the likely harmful consequences were so great that it would be wrong to legalise it. This, however, is an argument that is likely to turn more on empirical evidence than theological considerations.</w:t>
      </w:r>
    </w:p>
    <w:p>
      <w:pPr>
        <w:spacing w:after="0" w:line="273" w:lineRule="auto"/>
        <w:sectPr>
          <w:pgSz w:w="11910" w:h="16840"/>
          <w:pgMar w:header="558" w:footer="564" w:top="820" w:bottom="760" w:left="460" w:right="0"/>
        </w:sectPr>
      </w:pPr>
    </w:p>
    <w:p>
      <w:pPr>
        <w:pStyle w:val="BodyText"/>
        <w:spacing w:before="5"/>
        <w:rPr>
          <w:sz w:val="12"/>
        </w:rPr>
      </w:pPr>
    </w:p>
    <w:p>
      <w:pPr>
        <w:pStyle w:val="Heading9"/>
        <w:numPr>
          <w:ilvl w:val="0"/>
          <w:numId w:val="102"/>
        </w:numPr>
        <w:tabs>
          <w:tab w:pos="1960" w:val="left" w:leader="none"/>
          <w:tab w:pos="1961" w:val="left" w:leader="none"/>
        </w:tabs>
        <w:spacing w:line="240" w:lineRule="auto" w:before="98" w:after="0"/>
        <w:ind w:left="1960" w:right="0" w:hanging="721"/>
        <w:jc w:val="left"/>
      </w:pPr>
      <w:r>
        <w:rPr/>
        <w:pict>
          <v:group style="position:absolute;margin-left:376.562988pt;margin-top:3.964283pt;width:161.550pt;height:574.950pt;mso-position-horizontal-relative:page;mso-position-vertical-relative:paragraph;z-index:251866112" coordorigin="7531,79" coordsize="3231,11499">
            <v:shape style="position:absolute;left:7531;top:79;width:3231;height:11461" coordorigin="7531,79" coordsize="3231,11461" path="m10592,79l7701,79,7603,82,7553,101,7534,151,7531,249,7531,11370,7534,11468,7553,11519,7603,11537,7701,11540,10592,11540,10690,11537,10740,11519,10759,11468,10762,11370,10762,249,10759,151,10740,101,10690,82,10592,79xe" filled="true" fillcolor="#7c7c7c" stroked="false">
              <v:path arrowok="t"/>
              <v:fill type="solid"/>
            </v:shape>
            <v:shape style="position:absolute;left:7533;top:9537;width:3228;height:2041" type="#_x0000_t75" stroked="false">
              <v:imagedata r:id="rId258" o:title=""/>
            </v:shape>
            <v:shape style="position:absolute;left:7531;top:79;width:3231;height:11499" type="#_x0000_t202" filled="false" stroked="false">
              <v:textbox inset="0,0,0,0">
                <w:txbxContent>
                  <w:p>
                    <w:pPr>
                      <w:spacing w:line="451" w:lineRule="exact" w:before="369"/>
                      <w:ind w:left="246" w:right="0" w:firstLine="0"/>
                      <w:jc w:val="left"/>
                      <w:rPr>
                        <w:b/>
                        <w:sz w:val="38"/>
                      </w:rPr>
                    </w:pPr>
                    <w:r>
                      <w:rPr>
                        <w:b/>
                        <w:w w:val="110"/>
                        <w:sz w:val="38"/>
                      </w:rPr>
                      <w:t>Superman</w:t>
                    </w:r>
                  </w:p>
                  <w:p>
                    <w:pPr>
                      <w:spacing w:line="256" w:lineRule="auto" w:before="0"/>
                      <w:ind w:left="246" w:right="362" w:firstLine="0"/>
                      <w:jc w:val="left"/>
                      <w:rPr>
                        <w:b/>
                        <w:sz w:val="20"/>
                      </w:rPr>
                    </w:pPr>
                    <w:r>
                      <w:rPr>
                        <w:b/>
                        <w:color w:val="FFFFFF"/>
                        <w:w w:val="110"/>
                        <w:sz w:val="20"/>
                      </w:rPr>
                      <w:t>actor Christopher Reeve was paralysed in a horse-riding accident in 1995;</w:t>
                    </w:r>
                  </w:p>
                  <w:p>
                    <w:pPr>
                      <w:spacing w:line="256" w:lineRule="auto" w:before="0"/>
                      <w:ind w:left="246" w:right="415" w:firstLine="0"/>
                      <w:jc w:val="left"/>
                      <w:rPr>
                        <w:b/>
                        <w:sz w:val="20"/>
                      </w:rPr>
                    </w:pPr>
                    <w:r>
                      <w:rPr>
                        <w:b/>
                        <w:color w:val="FFFFFF"/>
                        <w:w w:val="110"/>
                        <w:sz w:val="20"/>
                      </w:rPr>
                      <w:t>his spinal injury was so severe that his first lucid thought was that it might be better for everyone if he were to die.</w:t>
                    </w:r>
                  </w:p>
                  <w:p>
                    <w:pPr>
                      <w:spacing w:line="256" w:lineRule="auto" w:before="0"/>
                      <w:ind w:left="246" w:right="339" w:firstLine="0"/>
                      <w:jc w:val="left"/>
                      <w:rPr>
                        <w:b/>
                        <w:sz w:val="20"/>
                      </w:rPr>
                    </w:pPr>
                    <w:r>
                      <w:rPr>
                        <w:b/>
                        <w:color w:val="FFFFFF"/>
                        <w:w w:val="110"/>
                        <w:sz w:val="20"/>
                      </w:rPr>
                      <w:t>However, his passion for how he chose to live his life from then on, his courage, his determination and his generosity in spirit were an inspiration to all</w:t>
                    </w:r>
                  </w:p>
                  <w:p>
                    <w:pPr>
                      <w:spacing w:line="256" w:lineRule="auto" w:before="0"/>
                      <w:ind w:left="246" w:right="152" w:hanging="1"/>
                      <w:jc w:val="left"/>
                      <w:rPr>
                        <w:b/>
                        <w:sz w:val="20"/>
                      </w:rPr>
                    </w:pPr>
                    <w:r>
                      <w:rPr>
                        <w:b/>
                        <w:color w:val="FFFFFF"/>
                        <w:w w:val="110"/>
                        <w:sz w:val="20"/>
                      </w:rPr>
                      <w:t>those he subsequently met. He died in October 2004.</w:t>
                    </w:r>
                  </w:p>
                  <w:p>
                    <w:pPr>
                      <w:spacing w:line="240" w:lineRule="auto" w:before="7"/>
                      <w:rPr>
                        <w:b/>
                        <w:sz w:val="19"/>
                      </w:rPr>
                    </w:pPr>
                  </w:p>
                  <w:p>
                    <w:pPr>
                      <w:spacing w:line="247" w:lineRule="auto" w:before="0"/>
                      <w:ind w:left="209" w:right="200" w:firstLine="392"/>
                      <w:jc w:val="right"/>
                      <w:rPr>
                        <w:i/>
                        <w:sz w:val="20"/>
                      </w:rPr>
                    </w:pPr>
                    <w:r>
                      <w:rPr>
                        <w:i/>
                        <w:color w:val="FFFFFF"/>
                        <w:w w:val="110"/>
                        <w:sz w:val="20"/>
                      </w:rPr>
                      <w:t>Christopher and Dana</w:t>
                    </w:r>
                    <w:r>
                      <w:rPr>
                        <w:i/>
                        <w:color w:val="FFFFFF"/>
                        <w:w w:val="110"/>
                        <w:sz w:val="20"/>
                      </w:rPr>
                      <w:t> Reeve Foundation </w:t>
                    </w:r>
                    <w:hyperlink r:id="rId259">
                      <w:r>
                        <w:rPr>
                          <w:i/>
                          <w:color w:val="FFFFFF"/>
                          <w:w w:val="105"/>
                          <w:sz w:val="20"/>
                        </w:rPr>
                        <w:t>www.christopherreeve.org</w:t>
                      </w:r>
                    </w:hyperlink>
                  </w:p>
                </w:txbxContent>
              </v:textbox>
              <w10:wrap type="none"/>
            </v:shape>
            <w10:wrap type="none"/>
          </v:group>
        </w:pict>
      </w:r>
      <w:r>
        <w:rPr>
          <w:w w:val="110"/>
        </w:rPr>
        <w:t>Practical</w:t>
      </w:r>
      <w:r>
        <w:rPr>
          <w:spacing w:val="-1"/>
          <w:w w:val="110"/>
        </w:rPr>
        <w:t> </w:t>
      </w:r>
      <w:r>
        <w:rPr>
          <w:w w:val="110"/>
        </w:rPr>
        <w:t>considerations</w:t>
      </w:r>
    </w:p>
    <w:p>
      <w:pPr>
        <w:pStyle w:val="ListParagraph"/>
        <w:numPr>
          <w:ilvl w:val="1"/>
          <w:numId w:val="102"/>
        </w:numPr>
        <w:tabs>
          <w:tab w:pos="1960" w:val="left" w:leader="none"/>
          <w:tab w:pos="1961" w:val="left" w:leader="none"/>
        </w:tabs>
        <w:spacing w:line="273" w:lineRule="auto" w:before="258" w:after="0"/>
        <w:ind w:left="1240" w:right="4869" w:firstLine="0"/>
        <w:jc w:val="left"/>
        <w:rPr>
          <w:sz w:val="18"/>
        </w:rPr>
      </w:pPr>
      <w:r>
        <w:rPr>
          <w:w w:val="110"/>
          <w:sz w:val="18"/>
        </w:rPr>
        <w:t>Advances in technology and medicine give us choices that were not available even a generation ago; choices about whether we prolong life at all costs, or recognise that there is a time to die. So many considerations come into the debate:</w:t>
      </w:r>
      <w:r>
        <w:rPr>
          <w:spacing w:val="34"/>
          <w:w w:val="110"/>
          <w:sz w:val="18"/>
        </w:rPr>
        <w:t> </w:t>
      </w:r>
      <w:r>
        <w:rPr>
          <w:w w:val="110"/>
          <w:sz w:val="18"/>
        </w:rPr>
        <w:t>the</w:t>
      </w:r>
    </w:p>
    <w:p>
      <w:pPr>
        <w:pStyle w:val="BodyText"/>
        <w:spacing w:line="273" w:lineRule="auto" w:before="3"/>
        <w:ind w:left="1240" w:right="4847"/>
      </w:pPr>
      <w:r>
        <w:rPr>
          <w:w w:val="110"/>
        </w:rPr>
        <w:t>age of the patient, the quality of life, the cost and </w:t>
      </w:r>
      <w:r>
        <w:rPr>
          <w:spacing w:val="3"/>
          <w:w w:val="110"/>
        </w:rPr>
        <w:t>efficacy </w:t>
      </w:r>
      <w:r>
        <w:rPr>
          <w:w w:val="110"/>
        </w:rPr>
        <w:t>of treatment and the patient’s wish and readiness to die. </w:t>
      </w:r>
      <w:r>
        <w:rPr>
          <w:spacing w:val="2"/>
          <w:w w:val="110"/>
        </w:rPr>
        <w:t>There </w:t>
      </w:r>
      <w:r>
        <w:rPr>
          <w:w w:val="110"/>
        </w:rPr>
        <w:t>will be as many views on  this subject as there are individuals, each coming with their own beliefs, traditions and experiences; some will have been uplifting; others will have been dreadful. Each patient will have a different threshold of pain, and attitude to suffering. Each will</w:t>
      </w:r>
      <w:r>
        <w:rPr>
          <w:spacing w:val="40"/>
          <w:w w:val="110"/>
        </w:rPr>
        <w:t> </w:t>
      </w:r>
      <w:r>
        <w:rPr>
          <w:w w:val="110"/>
        </w:rPr>
        <w:t>have</w:t>
      </w:r>
    </w:p>
    <w:p>
      <w:pPr>
        <w:pStyle w:val="BodyText"/>
        <w:spacing w:line="273" w:lineRule="auto" w:before="5"/>
        <w:ind w:left="1240" w:right="4783"/>
      </w:pPr>
      <w:r>
        <w:rPr>
          <w:w w:val="110"/>
        </w:rPr>
        <w:t>thoughts and beliefs about death and personal fears. Health professionals will have their own views; they are </w:t>
      </w:r>
      <w:r>
        <w:rPr>
          <w:spacing w:val="2"/>
          <w:w w:val="110"/>
        </w:rPr>
        <w:t>often </w:t>
      </w:r>
      <w:r>
        <w:rPr>
          <w:w w:val="110"/>
        </w:rPr>
        <w:t>under pressure to assist terminally ill and </w:t>
      </w:r>
      <w:r>
        <w:rPr>
          <w:spacing w:val="2"/>
          <w:w w:val="110"/>
        </w:rPr>
        <w:t>suffering </w:t>
      </w:r>
      <w:r>
        <w:rPr>
          <w:w w:val="110"/>
        </w:rPr>
        <w:t>patients to end their lives – if not</w:t>
      </w:r>
      <w:r>
        <w:rPr>
          <w:spacing w:val="38"/>
          <w:w w:val="110"/>
        </w:rPr>
        <w:t> </w:t>
      </w:r>
      <w:r>
        <w:rPr>
          <w:spacing w:val="2"/>
          <w:w w:val="110"/>
        </w:rPr>
        <w:t>from</w:t>
      </w:r>
    </w:p>
    <w:p>
      <w:pPr>
        <w:pStyle w:val="BodyText"/>
        <w:spacing w:before="3"/>
        <w:ind w:left="1240"/>
      </w:pPr>
      <w:r>
        <w:rPr>
          <w:w w:val="110"/>
        </w:rPr>
        <w:t>the patient, then from family members.</w:t>
      </w:r>
    </w:p>
    <w:p>
      <w:pPr>
        <w:pStyle w:val="BodyText"/>
        <w:spacing w:before="1"/>
        <w:rPr>
          <w:sz w:val="23"/>
        </w:rPr>
      </w:pPr>
    </w:p>
    <w:p>
      <w:pPr>
        <w:pStyle w:val="ListParagraph"/>
        <w:numPr>
          <w:ilvl w:val="1"/>
          <w:numId w:val="102"/>
        </w:numPr>
        <w:tabs>
          <w:tab w:pos="1960" w:val="left" w:leader="none"/>
          <w:tab w:pos="1961" w:val="left" w:leader="none"/>
        </w:tabs>
        <w:spacing w:line="273" w:lineRule="auto" w:before="1" w:after="0"/>
        <w:ind w:left="1240" w:right="4713" w:firstLine="0"/>
        <w:jc w:val="left"/>
        <w:rPr>
          <w:sz w:val="18"/>
        </w:rPr>
      </w:pPr>
      <w:r>
        <w:rPr>
          <w:w w:val="110"/>
          <w:sz w:val="18"/>
        </w:rPr>
        <w:t>As Christians we recognise we are made up of </w:t>
      </w:r>
      <w:r>
        <w:rPr>
          <w:spacing w:val="-4"/>
          <w:w w:val="110"/>
          <w:sz w:val="18"/>
        </w:rPr>
        <w:t>body, </w:t>
      </w:r>
      <w:r>
        <w:rPr>
          <w:w w:val="110"/>
          <w:sz w:val="18"/>
        </w:rPr>
        <w:t>mind and spirit, and we function in relationships. There are </w:t>
      </w:r>
      <w:r>
        <w:rPr>
          <w:spacing w:val="-3"/>
          <w:w w:val="110"/>
          <w:sz w:val="18"/>
        </w:rPr>
        <w:t>many </w:t>
      </w:r>
      <w:r>
        <w:rPr>
          <w:w w:val="110"/>
          <w:sz w:val="18"/>
        </w:rPr>
        <w:t>types of suffering, not just physical, and when addressing end of life issues we must heed the necessity to address not just physical, but also spiritual, mental and emotional</w:t>
      </w:r>
      <w:r>
        <w:rPr>
          <w:spacing w:val="-14"/>
          <w:w w:val="110"/>
          <w:sz w:val="18"/>
        </w:rPr>
        <w:t> </w:t>
      </w:r>
      <w:r>
        <w:rPr>
          <w:w w:val="110"/>
          <w:sz w:val="18"/>
        </w:rPr>
        <w:t>needs.</w:t>
      </w:r>
    </w:p>
    <w:p>
      <w:pPr>
        <w:pStyle w:val="BodyText"/>
        <w:spacing w:before="10"/>
        <w:rPr>
          <w:sz w:val="20"/>
        </w:rPr>
      </w:pPr>
    </w:p>
    <w:p>
      <w:pPr>
        <w:pStyle w:val="ListParagraph"/>
        <w:numPr>
          <w:ilvl w:val="1"/>
          <w:numId w:val="102"/>
        </w:numPr>
        <w:tabs>
          <w:tab w:pos="1960" w:val="left" w:leader="none"/>
          <w:tab w:pos="1961" w:val="left" w:leader="none"/>
        </w:tabs>
        <w:spacing w:line="273" w:lineRule="auto" w:before="0" w:after="0"/>
        <w:ind w:left="1240" w:right="4764" w:firstLine="0"/>
        <w:jc w:val="left"/>
        <w:rPr>
          <w:sz w:val="18"/>
        </w:rPr>
      </w:pPr>
      <w:r>
        <w:rPr>
          <w:w w:val="110"/>
          <w:sz w:val="18"/>
        </w:rPr>
        <w:t>Peace of mind is important at all </w:t>
      </w:r>
      <w:r>
        <w:rPr>
          <w:spacing w:val="2"/>
          <w:w w:val="110"/>
          <w:sz w:val="18"/>
        </w:rPr>
        <w:t>stages </w:t>
      </w:r>
      <w:r>
        <w:rPr>
          <w:w w:val="110"/>
          <w:sz w:val="18"/>
        </w:rPr>
        <w:t>of  life, and especially at the time of death. This requires that there are opportunities for the patient to speak to, and pray with, someone she or he can trust, and to express concerns regarding people  </w:t>
      </w:r>
      <w:r>
        <w:rPr>
          <w:spacing w:val="3"/>
          <w:w w:val="110"/>
          <w:sz w:val="18"/>
        </w:rPr>
        <w:t>left </w:t>
      </w:r>
      <w:r>
        <w:rPr>
          <w:w w:val="110"/>
          <w:sz w:val="18"/>
        </w:rPr>
        <w:t>behind, and the restoration of relationships, with God, family </w:t>
      </w:r>
      <w:r>
        <w:rPr>
          <w:spacing w:val="2"/>
          <w:w w:val="110"/>
          <w:sz w:val="18"/>
        </w:rPr>
        <w:t>members </w:t>
      </w:r>
      <w:r>
        <w:rPr>
          <w:w w:val="110"/>
          <w:sz w:val="18"/>
        </w:rPr>
        <w:t>and others. </w:t>
      </w:r>
      <w:r>
        <w:rPr>
          <w:spacing w:val="3"/>
          <w:w w:val="110"/>
          <w:sz w:val="18"/>
        </w:rPr>
        <w:t>Often </w:t>
      </w:r>
      <w:r>
        <w:rPr>
          <w:w w:val="110"/>
          <w:sz w:val="18"/>
        </w:rPr>
        <w:t>it is too difficult and painful to speak with those who are </w:t>
      </w:r>
      <w:r>
        <w:rPr>
          <w:spacing w:val="2"/>
          <w:w w:val="110"/>
          <w:sz w:val="18"/>
        </w:rPr>
        <w:t>closest. </w:t>
      </w:r>
      <w:r>
        <w:rPr>
          <w:w w:val="110"/>
          <w:sz w:val="18"/>
        </w:rPr>
        <w:t>It</w:t>
      </w:r>
      <w:r>
        <w:rPr>
          <w:spacing w:val="46"/>
          <w:w w:val="110"/>
          <w:sz w:val="18"/>
        </w:rPr>
        <w:t> </w:t>
      </w:r>
      <w:r>
        <w:rPr>
          <w:w w:val="110"/>
          <w:sz w:val="18"/>
        </w:rPr>
        <w:t>will</w:t>
      </w:r>
    </w:p>
    <w:p>
      <w:pPr>
        <w:pStyle w:val="BodyText"/>
        <w:spacing w:line="273" w:lineRule="auto" w:before="5"/>
        <w:ind w:left="1240" w:right="4797"/>
      </w:pPr>
      <w:r>
        <w:rPr>
          <w:w w:val="110"/>
        </w:rPr>
        <w:t>be the chaplain, minister, </w:t>
      </w:r>
      <w:r>
        <w:rPr>
          <w:spacing w:val="2"/>
          <w:w w:val="110"/>
        </w:rPr>
        <w:t>doctor </w:t>
      </w:r>
      <w:r>
        <w:rPr>
          <w:w w:val="110"/>
        </w:rPr>
        <w:t>or nurse – especially in a hospice setting – who will listen, </w:t>
      </w:r>
      <w:r>
        <w:rPr>
          <w:spacing w:val="2"/>
          <w:w w:val="110"/>
        </w:rPr>
        <w:t>reflect </w:t>
      </w:r>
      <w:r>
        <w:rPr>
          <w:w w:val="110"/>
        </w:rPr>
        <w:t>and   allow the patient to make confession and give thanks. </w:t>
      </w:r>
      <w:r>
        <w:rPr>
          <w:spacing w:val="2"/>
          <w:w w:val="110"/>
        </w:rPr>
        <w:t>These </w:t>
      </w:r>
      <w:r>
        <w:rPr>
          <w:w w:val="110"/>
        </w:rPr>
        <w:t>professionals who, </w:t>
      </w:r>
      <w:r>
        <w:rPr>
          <w:spacing w:val="-4"/>
          <w:w w:val="110"/>
        </w:rPr>
        <w:t>daily, </w:t>
      </w:r>
      <w:r>
        <w:rPr>
          <w:w w:val="110"/>
        </w:rPr>
        <w:t>see </w:t>
      </w:r>
      <w:r>
        <w:rPr>
          <w:spacing w:val="2"/>
          <w:w w:val="110"/>
        </w:rPr>
        <w:t>suffering </w:t>
      </w:r>
      <w:r>
        <w:rPr>
          <w:w w:val="110"/>
        </w:rPr>
        <w:t>in  others, have their own perspective, and also</w:t>
      </w:r>
      <w:r>
        <w:rPr>
          <w:spacing w:val="51"/>
          <w:w w:val="110"/>
        </w:rPr>
        <w:t> </w:t>
      </w:r>
      <w:r>
        <w:rPr>
          <w:w w:val="110"/>
        </w:rPr>
        <w:t>need</w:t>
      </w:r>
    </w:p>
    <w:p>
      <w:pPr>
        <w:pStyle w:val="BodyText"/>
        <w:spacing w:before="3"/>
        <w:ind w:left="1240"/>
      </w:pPr>
      <w:r>
        <w:rPr>
          <w:w w:val="110"/>
        </w:rPr>
        <w:t>to be supported in prayer and love.</w:t>
      </w:r>
    </w:p>
    <w:p>
      <w:pPr>
        <w:pStyle w:val="BodyText"/>
        <w:spacing w:before="2"/>
        <w:rPr>
          <w:sz w:val="23"/>
        </w:rPr>
      </w:pPr>
    </w:p>
    <w:p>
      <w:pPr>
        <w:pStyle w:val="ListParagraph"/>
        <w:numPr>
          <w:ilvl w:val="1"/>
          <w:numId w:val="102"/>
        </w:numPr>
        <w:tabs>
          <w:tab w:pos="1960" w:val="left" w:leader="none"/>
          <w:tab w:pos="1961" w:val="left" w:leader="none"/>
        </w:tabs>
        <w:spacing w:line="273" w:lineRule="auto" w:before="0" w:after="0"/>
        <w:ind w:left="1240" w:right="5035" w:hanging="1"/>
        <w:jc w:val="left"/>
        <w:rPr>
          <w:sz w:val="18"/>
        </w:rPr>
      </w:pPr>
      <w:r>
        <w:rPr>
          <w:w w:val="110"/>
          <w:sz w:val="18"/>
        </w:rPr>
        <w:t>This is an important </w:t>
      </w:r>
      <w:r>
        <w:rPr>
          <w:spacing w:val="2"/>
          <w:w w:val="110"/>
          <w:sz w:val="18"/>
        </w:rPr>
        <w:t>part </w:t>
      </w:r>
      <w:r>
        <w:rPr>
          <w:w w:val="110"/>
          <w:sz w:val="18"/>
        </w:rPr>
        <w:t>of the Healing Ministry. See Appendix </w:t>
      </w:r>
      <w:r>
        <w:rPr>
          <w:spacing w:val="-5"/>
          <w:w w:val="110"/>
          <w:sz w:val="18"/>
        </w:rPr>
        <w:t>D. </w:t>
      </w:r>
      <w:r>
        <w:rPr>
          <w:spacing w:val="3"/>
          <w:w w:val="110"/>
          <w:sz w:val="18"/>
        </w:rPr>
        <w:t>As </w:t>
      </w:r>
      <w:r>
        <w:rPr>
          <w:w w:val="110"/>
          <w:sz w:val="18"/>
        </w:rPr>
        <w:t>churches and individuals we pray for healing, and have to</w:t>
      </w:r>
      <w:r>
        <w:rPr>
          <w:spacing w:val="63"/>
          <w:w w:val="110"/>
          <w:sz w:val="18"/>
        </w:rPr>
        <w:t> </w:t>
      </w:r>
      <w:r>
        <w:rPr>
          <w:w w:val="110"/>
          <w:sz w:val="18"/>
        </w:rPr>
        <w:t>accept</w:t>
      </w:r>
    </w:p>
    <w:p>
      <w:pPr>
        <w:pStyle w:val="BodyText"/>
        <w:spacing w:line="273" w:lineRule="auto" w:before="1"/>
        <w:ind w:left="1240" w:right="1365"/>
      </w:pPr>
      <w:r>
        <w:rPr>
          <w:w w:val="110"/>
        </w:rPr>
        <w:t>that sometimes the greatest healing is death and being brought into the nearer </w:t>
      </w:r>
      <w:r>
        <w:rPr>
          <w:spacing w:val="2"/>
          <w:w w:val="110"/>
        </w:rPr>
        <w:t>presence </w:t>
      </w:r>
      <w:r>
        <w:rPr>
          <w:w w:val="110"/>
        </w:rPr>
        <w:t>of God. </w:t>
      </w:r>
      <w:r>
        <w:rPr>
          <w:spacing w:val="-3"/>
          <w:w w:val="110"/>
        </w:rPr>
        <w:t>We </w:t>
      </w:r>
      <w:r>
        <w:rPr>
          <w:w w:val="110"/>
        </w:rPr>
        <w:t>do see prayers answered, and we give thanks when people are cured and healed. </w:t>
      </w:r>
      <w:r>
        <w:rPr>
          <w:spacing w:val="-3"/>
          <w:w w:val="110"/>
        </w:rPr>
        <w:t>We </w:t>
      </w:r>
      <w:r>
        <w:rPr>
          <w:w w:val="110"/>
        </w:rPr>
        <w:t>long for all prayers to be answered in the way we want, but have to content ourselves with the knowledge that prayers are answered by God in his time and his</w:t>
      </w:r>
      <w:r>
        <w:rPr>
          <w:spacing w:val="1"/>
          <w:w w:val="110"/>
        </w:rPr>
        <w:t> </w:t>
      </w:r>
      <w:r>
        <w:rPr>
          <w:spacing w:val="-5"/>
          <w:w w:val="110"/>
        </w:rPr>
        <w:t>way.</w:t>
      </w:r>
    </w:p>
    <w:p>
      <w:pPr>
        <w:pStyle w:val="BodyText"/>
        <w:spacing w:before="10"/>
        <w:rPr>
          <w:sz w:val="20"/>
        </w:rPr>
      </w:pPr>
    </w:p>
    <w:p>
      <w:pPr>
        <w:pStyle w:val="ListParagraph"/>
        <w:numPr>
          <w:ilvl w:val="1"/>
          <w:numId w:val="102"/>
        </w:numPr>
        <w:tabs>
          <w:tab w:pos="1960" w:val="left" w:leader="none"/>
          <w:tab w:pos="1961" w:val="left" w:leader="none"/>
        </w:tabs>
        <w:spacing w:line="273" w:lineRule="auto" w:before="1" w:after="0"/>
        <w:ind w:left="1240" w:right="1209" w:firstLine="0"/>
        <w:jc w:val="left"/>
        <w:rPr>
          <w:sz w:val="18"/>
        </w:rPr>
      </w:pPr>
      <w:r>
        <w:rPr>
          <w:w w:val="110"/>
          <w:sz w:val="18"/>
        </w:rPr>
        <w:t>Hospice facilities are under-resourced and there is insufficient </w:t>
      </w:r>
      <w:r>
        <w:rPr>
          <w:spacing w:val="2"/>
          <w:w w:val="110"/>
          <w:sz w:val="18"/>
        </w:rPr>
        <w:t>capacity </w:t>
      </w:r>
      <w:r>
        <w:rPr>
          <w:w w:val="110"/>
          <w:sz w:val="18"/>
        </w:rPr>
        <w:t>to cope with</w:t>
      </w:r>
      <w:r>
        <w:rPr>
          <w:spacing w:val="7"/>
          <w:w w:val="110"/>
          <w:sz w:val="18"/>
        </w:rPr>
        <w:t> </w:t>
      </w:r>
      <w:r>
        <w:rPr>
          <w:w w:val="110"/>
          <w:sz w:val="18"/>
        </w:rPr>
        <w:t>all</w:t>
      </w:r>
      <w:r>
        <w:rPr>
          <w:spacing w:val="6"/>
          <w:w w:val="110"/>
          <w:sz w:val="18"/>
        </w:rPr>
        <w:t> </w:t>
      </w:r>
      <w:r>
        <w:rPr>
          <w:w w:val="110"/>
          <w:sz w:val="18"/>
        </w:rPr>
        <w:t>who</w:t>
      </w:r>
      <w:r>
        <w:rPr>
          <w:spacing w:val="7"/>
          <w:w w:val="110"/>
          <w:sz w:val="18"/>
        </w:rPr>
        <w:t> </w:t>
      </w:r>
      <w:r>
        <w:rPr>
          <w:w w:val="110"/>
          <w:sz w:val="18"/>
        </w:rPr>
        <w:t>are</w:t>
      </w:r>
      <w:r>
        <w:rPr>
          <w:spacing w:val="7"/>
          <w:w w:val="110"/>
          <w:sz w:val="18"/>
        </w:rPr>
        <w:t> </w:t>
      </w:r>
      <w:r>
        <w:rPr>
          <w:w w:val="110"/>
          <w:sz w:val="18"/>
        </w:rPr>
        <w:t>terminally</w:t>
      </w:r>
      <w:r>
        <w:rPr>
          <w:spacing w:val="7"/>
          <w:w w:val="110"/>
          <w:sz w:val="18"/>
        </w:rPr>
        <w:t> </w:t>
      </w:r>
      <w:r>
        <w:rPr>
          <w:w w:val="110"/>
          <w:sz w:val="18"/>
        </w:rPr>
        <w:t>ill</w:t>
      </w:r>
      <w:r>
        <w:rPr>
          <w:spacing w:val="6"/>
          <w:w w:val="110"/>
          <w:sz w:val="18"/>
        </w:rPr>
        <w:t> </w:t>
      </w:r>
      <w:r>
        <w:rPr>
          <w:w w:val="110"/>
          <w:sz w:val="18"/>
        </w:rPr>
        <w:t>(see</w:t>
      </w:r>
      <w:r>
        <w:rPr>
          <w:spacing w:val="8"/>
          <w:w w:val="110"/>
          <w:sz w:val="18"/>
        </w:rPr>
        <w:t> </w:t>
      </w:r>
      <w:r>
        <w:rPr>
          <w:spacing w:val="2"/>
          <w:w w:val="110"/>
          <w:sz w:val="18"/>
        </w:rPr>
        <w:t>Section</w:t>
      </w:r>
      <w:r>
        <w:rPr>
          <w:spacing w:val="7"/>
          <w:w w:val="110"/>
          <w:sz w:val="18"/>
        </w:rPr>
        <w:t> </w:t>
      </w:r>
      <w:r>
        <w:rPr>
          <w:spacing w:val="-6"/>
          <w:w w:val="110"/>
          <w:sz w:val="18"/>
        </w:rPr>
        <w:t>8).</w:t>
      </w:r>
      <w:r>
        <w:rPr>
          <w:spacing w:val="7"/>
          <w:w w:val="110"/>
          <w:sz w:val="18"/>
        </w:rPr>
        <w:t> </w:t>
      </w:r>
      <w:r>
        <w:rPr>
          <w:w w:val="110"/>
          <w:sz w:val="18"/>
        </w:rPr>
        <w:t>Many</w:t>
      </w:r>
      <w:r>
        <w:rPr>
          <w:spacing w:val="7"/>
          <w:w w:val="110"/>
          <w:sz w:val="18"/>
        </w:rPr>
        <w:t> </w:t>
      </w:r>
      <w:r>
        <w:rPr>
          <w:w w:val="110"/>
          <w:sz w:val="18"/>
        </w:rPr>
        <w:t>without</w:t>
      </w:r>
      <w:r>
        <w:rPr>
          <w:spacing w:val="7"/>
          <w:w w:val="110"/>
          <w:sz w:val="18"/>
        </w:rPr>
        <w:t> </w:t>
      </w:r>
      <w:r>
        <w:rPr>
          <w:w w:val="110"/>
          <w:sz w:val="18"/>
        </w:rPr>
        <w:t>families</w:t>
      </w:r>
      <w:r>
        <w:rPr>
          <w:spacing w:val="7"/>
          <w:w w:val="110"/>
          <w:sz w:val="18"/>
        </w:rPr>
        <w:t> </w:t>
      </w:r>
      <w:r>
        <w:rPr>
          <w:w w:val="110"/>
          <w:sz w:val="18"/>
        </w:rPr>
        <w:t>die</w:t>
      </w:r>
      <w:r>
        <w:rPr>
          <w:spacing w:val="8"/>
          <w:w w:val="110"/>
          <w:sz w:val="18"/>
        </w:rPr>
        <w:t> </w:t>
      </w:r>
      <w:r>
        <w:rPr>
          <w:w w:val="110"/>
          <w:sz w:val="18"/>
        </w:rPr>
        <w:t>alone</w:t>
      </w:r>
      <w:r>
        <w:rPr>
          <w:spacing w:val="7"/>
          <w:w w:val="110"/>
          <w:sz w:val="18"/>
        </w:rPr>
        <w:t> </w:t>
      </w:r>
      <w:r>
        <w:rPr>
          <w:w w:val="110"/>
          <w:sz w:val="18"/>
        </w:rPr>
        <w:t>in</w:t>
      </w:r>
      <w:r>
        <w:rPr>
          <w:spacing w:val="7"/>
          <w:w w:val="110"/>
          <w:sz w:val="18"/>
        </w:rPr>
        <w:t> </w:t>
      </w:r>
      <w:r>
        <w:rPr>
          <w:w w:val="110"/>
          <w:sz w:val="18"/>
        </w:rPr>
        <w:t>hospital</w:t>
      </w:r>
    </w:p>
    <w:p>
      <w:pPr>
        <w:pStyle w:val="BodyText"/>
        <w:spacing w:line="273" w:lineRule="auto" w:before="1"/>
        <w:ind w:left="1240" w:right="1279"/>
      </w:pPr>
      <w:r>
        <w:rPr>
          <w:w w:val="110"/>
        </w:rPr>
        <w:t>– not always the best place to be when dying, as hospital resources are seldom directed to give the love, understanding, spiritual and emotional care and attention required.</w:t>
      </w:r>
    </w:p>
    <w:p>
      <w:pPr>
        <w:pStyle w:val="BodyText"/>
        <w:spacing w:line="273" w:lineRule="auto" w:before="1"/>
        <w:ind w:left="1240" w:right="1593"/>
      </w:pPr>
      <w:r>
        <w:rPr>
          <w:w w:val="110"/>
        </w:rPr>
        <w:t>Care in the home from specialist nursing organisations can be wonderful, if available, but if lacking, can put a great strain on families.</w:t>
      </w:r>
    </w:p>
    <w:p>
      <w:pPr>
        <w:spacing w:after="0" w:line="273" w:lineRule="auto"/>
        <w:sectPr>
          <w:pgSz w:w="11910" w:h="16840"/>
          <w:pgMar w:header="558" w:footer="564" w:top="820" w:bottom="760" w:left="460" w:right="0"/>
        </w:sectPr>
      </w:pPr>
    </w:p>
    <w:p>
      <w:pPr>
        <w:pStyle w:val="BodyText"/>
        <w:spacing w:before="9"/>
        <w:rPr>
          <w:sz w:val="13"/>
        </w:rPr>
      </w:pPr>
      <w:r>
        <w:rPr/>
        <w:pict>
          <v:group style="position:absolute;margin-left:377.007996pt;margin-top:62.363014pt;width:161.6pt;height:713.15pt;mso-position-horizontal-relative:page;mso-position-vertical-relative:page;z-index:251868160" coordorigin="7540,1247" coordsize="3232,14263">
            <v:shape style="position:absolute;left:7541;top:1247;width:3231;height:13989" coordorigin="7541,1247" coordsize="3231,13989" path="m10602,1247l7711,1247,7613,1250,7563,1269,7544,1319,7541,1417,7541,15066,7544,15164,7563,15215,7613,15234,7711,15236,10602,15236,10700,15234,10750,15215,10769,15164,10772,15066,10772,1417,10769,1319,10750,1269,10700,1250,10602,1247xe" filled="true" fillcolor="#7c7c7c" stroked="false">
              <v:path arrowok="t"/>
              <v:fill type="solid"/>
            </v:shape>
            <v:shape style="position:absolute;left:7540;top:12996;width:3232;height:2514" type="#_x0000_t75" stroked="false">
              <v:imagedata r:id="rId260" o:title=""/>
            </v:shape>
            <v:shape style="position:absolute;left:7540;top:1247;width:3232;height:14263" type="#_x0000_t202" filled="false" stroked="false">
              <v:textbox inset="0,0,0,0">
                <w:txbxContent>
                  <w:p>
                    <w:pPr>
                      <w:spacing w:line="240" w:lineRule="auto" w:before="4"/>
                      <w:rPr>
                        <w:sz w:val="30"/>
                      </w:rPr>
                    </w:pPr>
                  </w:p>
                  <w:p>
                    <w:pPr>
                      <w:spacing w:line="252" w:lineRule="auto" w:before="0"/>
                      <w:ind w:left="247" w:right="403" w:firstLine="0"/>
                      <w:jc w:val="left"/>
                      <w:rPr>
                        <w:b/>
                        <w:sz w:val="20"/>
                      </w:rPr>
                    </w:pPr>
                    <w:r>
                      <w:rPr>
                        <w:b/>
                        <w:color w:val="FFFFFF"/>
                        <w:w w:val="110"/>
                        <w:sz w:val="20"/>
                      </w:rPr>
                      <w:t>Our son </w:t>
                    </w:r>
                    <w:r>
                      <w:rPr>
                        <w:b/>
                        <w:w w:val="110"/>
                        <w:sz w:val="38"/>
                      </w:rPr>
                      <w:t>Danny </w:t>
                    </w:r>
                    <w:r>
                      <w:rPr>
                        <w:b/>
                        <w:color w:val="FFFFFF"/>
                        <w:w w:val="110"/>
                        <w:sz w:val="20"/>
                      </w:rPr>
                      <w:t>died a drawn-out, painful death from an incurable bowel disease. By the time he was 21 he had gone through over 300 operations.</w:t>
                    </w:r>
                  </w:p>
                  <w:p>
                    <w:pPr>
                      <w:spacing w:line="256" w:lineRule="auto" w:before="0"/>
                      <w:ind w:left="247" w:right="278" w:firstLine="0"/>
                      <w:jc w:val="left"/>
                      <w:rPr>
                        <w:b/>
                        <w:sz w:val="20"/>
                      </w:rPr>
                    </w:pPr>
                    <w:r>
                      <w:rPr>
                        <w:b/>
                        <w:color w:val="FFFFFF"/>
                        <w:w w:val="110"/>
                        <w:sz w:val="20"/>
                      </w:rPr>
                      <w:t>We pursued every possible hope until the top international specialists eventually conceded there was nothing more they could do. The best drugs often couldn’t alleviate his pain</w:t>
                    </w:r>
                  </w:p>
                  <w:p>
                    <w:pPr>
                      <w:spacing w:line="256" w:lineRule="auto" w:before="0"/>
                      <w:ind w:left="247" w:right="193" w:firstLine="0"/>
                      <w:jc w:val="left"/>
                      <w:rPr>
                        <w:b/>
                        <w:sz w:val="20"/>
                      </w:rPr>
                    </w:pPr>
                    <w:r>
                      <w:rPr>
                        <w:b/>
                        <w:color w:val="FFFFFF"/>
                        <w:w w:val="110"/>
                        <w:sz w:val="20"/>
                      </w:rPr>
                      <w:t>and so he spent the last year of his life asking the doctors for medical help to die.</w:t>
                    </w:r>
                  </w:p>
                  <w:p>
                    <w:pPr>
                      <w:spacing w:line="256" w:lineRule="auto" w:before="0"/>
                      <w:ind w:left="247" w:right="661" w:firstLine="0"/>
                      <w:jc w:val="left"/>
                      <w:rPr>
                        <w:b/>
                        <w:sz w:val="20"/>
                      </w:rPr>
                    </w:pPr>
                    <w:r>
                      <w:rPr>
                        <w:b/>
                        <w:color w:val="FFFFFF"/>
                        <w:w w:val="110"/>
                        <w:sz w:val="20"/>
                      </w:rPr>
                      <w:t>The doctors would not help him die and instead Danny practically had to starve himself to</w:t>
                    </w:r>
                  </w:p>
                  <w:p>
                    <w:pPr>
                      <w:spacing w:line="256" w:lineRule="auto" w:before="0"/>
                      <w:ind w:left="247" w:right="243" w:firstLine="0"/>
                      <w:jc w:val="left"/>
                      <w:rPr>
                        <w:b/>
                        <w:sz w:val="20"/>
                      </w:rPr>
                    </w:pPr>
                    <w:r>
                      <w:rPr>
                        <w:b/>
                        <w:color w:val="FFFFFF"/>
                        <w:w w:val="110"/>
                        <w:sz w:val="20"/>
                      </w:rPr>
                      <w:t>death. What he went through at the end of his life is a disgrace. After all Danny had to go through, he should have at least had the choice of dying well.</w:t>
                    </w:r>
                  </w:p>
                  <w:p>
                    <w:pPr>
                      <w:spacing w:line="240" w:lineRule="auto" w:before="7"/>
                      <w:rPr>
                        <w:b/>
                        <w:sz w:val="19"/>
                      </w:rPr>
                    </w:pPr>
                  </w:p>
                  <w:p>
                    <w:pPr>
                      <w:spacing w:line="247" w:lineRule="auto" w:before="0"/>
                      <w:ind w:left="195" w:right="200" w:firstLine="509"/>
                      <w:jc w:val="right"/>
                      <w:rPr>
                        <w:i/>
                        <w:sz w:val="20"/>
                      </w:rPr>
                    </w:pPr>
                    <w:r>
                      <w:rPr>
                        <w:i/>
                        <w:color w:val="FFFFFF"/>
                        <w:w w:val="110"/>
                        <w:sz w:val="20"/>
                      </w:rPr>
                      <w:t>People’s stories from</w:t>
                    </w:r>
                    <w:r>
                      <w:rPr>
                        <w:i/>
                        <w:color w:val="FFFFFF"/>
                        <w:w w:val="109"/>
                        <w:sz w:val="20"/>
                      </w:rPr>
                      <w:t> </w:t>
                    </w:r>
                    <w:r>
                      <w:rPr>
                        <w:i/>
                        <w:color w:val="FFFFFF"/>
                        <w:w w:val="110"/>
                        <w:sz w:val="20"/>
                      </w:rPr>
                      <w:t>Dignity in Dying </w:t>
                    </w:r>
                    <w:hyperlink r:id="rId261">
                      <w:r>
                        <w:rPr>
                          <w:i/>
                          <w:color w:val="FFFFFF"/>
                          <w:w w:val="105"/>
                          <w:sz w:val="20"/>
                        </w:rPr>
                        <w:t>www.dignityindying.org.uk</w:t>
                      </w:r>
                    </w:hyperlink>
                  </w:p>
                </w:txbxContent>
              </v:textbox>
              <w10:wrap type="none"/>
            </v:shape>
            <w10:wrap type="none"/>
          </v:group>
        </w:pict>
      </w:r>
    </w:p>
    <w:p>
      <w:pPr>
        <w:pStyle w:val="ListParagraph"/>
        <w:numPr>
          <w:ilvl w:val="1"/>
          <w:numId w:val="102"/>
        </w:numPr>
        <w:tabs>
          <w:tab w:pos="1393" w:val="left" w:leader="none"/>
          <w:tab w:pos="1394" w:val="left" w:leader="none"/>
        </w:tabs>
        <w:spacing w:line="273" w:lineRule="auto" w:before="101" w:after="0"/>
        <w:ind w:left="673" w:right="4977" w:firstLine="0"/>
        <w:jc w:val="left"/>
        <w:rPr>
          <w:sz w:val="18"/>
        </w:rPr>
      </w:pPr>
      <w:r>
        <w:rPr>
          <w:w w:val="110"/>
          <w:sz w:val="18"/>
        </w:rPr>
        <w:t>In recent years, people have </w:t>
      </w:r>
      <w:r>
        <w:rPr>
          <w:spacing w:val="2"/>
          <w:w w:val="110"/>
          <w:sz w:val="18"/>
        </w:rPr>
        <w:t>often </w:t>
      </w:r>
      <w:r>
        <w:rPr>
          <w:w w:val="110"/>
          <w:sz w:val="18"/>
        </w:rPr>
        <w:t>been </w:t>
      </w:r>
      <w:r>
        <w:rPr>
          <w:spacing w:val="2"/>
          <w:w w:val="110"/>
          <w:sz w:val="18"/>
        </w:rPr>
        <w:t>reluctant </w:t>
      </w:r>
      <w:r>
        <w:rPr>
          <w:w w:val="110"/>
          <w:sz w:val="18"/>
        </w:rPr>
        <w:t>to discuss death, leaving superstition, </w:t>
      </w:r>
      <w:r>
        <w:rPr>
          <w:spacing w:val="-3"/>
          <w:w w:val="110"/>
          <w:sz w:val="18"/>
        </w:rPr>
        <w:t>fear, </w:t>
      </w:r>
      <w:r>
        <w:rPr>
          <w:w w:val="110"/>
          <w:sz w:val="18"/>
        </w:rPr>
        <w:t>anger and guilt, especially about untimely death. Many say they   are not afraid of death itself, but of the manner of dying as they have seen </w:t>
      </w:r>
      <w:r>
        <w:rPr>
          <w:spacing w:val="2"/>
          <w:w w:val="110"/>
          <w:sz w:val="18"/>
        </w:rPr>
        <w:t>suffering </w:t>
      </w:r>
      <w:r>
        <w:rPr>
          <w:w w:val="110"/>
          <w:sz w:val="18"/>
        </w:rPr>
        <w:t>first hand. They are </w:t>
      </w:r>
      <w:r>
        <w:rPr>
          <w:spacing w:val="2"/>
          <w:w w:val="110"/>
          <w:sz w:val="18"/>
        </w:rPr>
        <w:t>fearful  </w:t>
      </w:r>
      <w:r>
        <w:rPr>
          <w:w w:val="110"/>
          <w:sz w:val="18"/>
        </w:rPr>
        <w:t>of unmanageable pain in body, mind or spirit and</w:t>
      </w:r>
      <w:r>
        <w:rPr>
          <w:spacing w:val="31"/>
          <w:w w:val="110"/>
          <w:sz w:val="18"/>
        </w:rPr>
        <w:t> </w:t>
      </w:r>
      <w:r>
        <w:rPr>
          <w:w w:val="110"/>
          <w:sz w:val="18"/>
        </w:rPr>
        <w:t>of</w:t>
      </w:r>
    </w:p>
    <w:p>
      <w:pPr>
        <w:pStyle w:val="BodyText"/>
        <w:spacing w:line="273" w:lineRule="auto" w:before="3"/>
        <w:ind w:left="673" w:right="4968"/>
      </w:pPr>
      <w:r>
        <w:rPr>
          <w:w w:val="110"/>
        </w:rPr>
        <w:t>the inability to communicate wishes, and loss of dignity when they </w:t>
      </w:r>
      <w:r>
        <w:rPr>
          <w:spacing w:val="2"/>
          <w:w w:val="110"/>
        </w:rPr>
        <w:t>reach </w:t>
      </w:r>
      <w:r>
        <w:rPr>
          <w:w w:val="110"/>
        </w:rPr>
        <w:t>a point where they can do nothing for themselves. Many are afraid of dementia and the loss of personality. </w:t>
      </w:r>
      <w:r>
        <w:rPr>
          <w:spacing w:val="2"/>
          <w:w w:val="110"/>
        </w:rPr>
        <w:t>There </w:t>
      </w:r>
      <w:r>
        <w:rPr>
          <w:w w:val="110"/>
        </w:rPr>
        <w:t>is a fear of life-threatening diseases, and the treatment – or unavailability of treatment. People ask themselves: Will I be able to cope – and what about those looking </w:t>
      </w:r>
      <w:r>
        <w:rPr>
          <w:spacing w:val="2"/>
          <w:w w:val="110"/>
        </w:rPr>
        <w:t>after </w:t>
      </w:r>
      <w:r>
        <w:rPr>
          <w:w w:val="110"/>
        </w:rPr>
        <w:t>me. What about the burden I will be   to them? </w:t>
      </w:r>
      <w:r>
        <w:rPr>
          <w:spacing w:val="2"/>
          <w:w w:val="110"/>
        </w:rPr>
        <w:t>There </w:t>
      </w:r>
      <w:r>
        <w:rPr>
          <w:w w:val="110"/>
        </w:rPr>
        <w:t>are those who say: If ever I become</w:t>
      </w:r>
      <w:r>
        <w:rPr>
          <w:spacing w:val="39"/>
          <w:w w:val="110"/>
        </w:rPr>
        <w:t> </w:t>
      </w:r>
      <w:r>
        <w:rPr>
          <w:w w:val="110"/>
        </w:rPr>
        <w:t>a</w:t>
      </w:r>
    </w:p>
    <w:p>
      <w:pPr>
        <w:pStyle w:val="BodyText"/>
        <w:spacing w:line="273" w:lineRule="auto" w:before="5"/>
        <w:ind w:left="673" w:right="4783"/>
      </w:pPr>
      <w:r>
        <w:rPr>
          <w:w w:val="110"/>
        </w:rPr>
        <w:t>vegetable and can no longer speak or move or do anything for myself, then please do not artificially keep me</w:t>
      </w:r>
      <w:r>
        <w:rPr>
          <w:spacing w:val="52"/>
          <w:w w:val="110"/>
        </w:rPr>
        <w:t> </w:t>
      </w:r>
      <w:r>
        <w:rPr>
          <w:w w:val="110"/>
        </w:rPr>
        <w:t>alive.</w:t>
      </w:r>
    </w:p>
    <w:p>
      <w:pPr>
        <w:pStyle w:val="BodyText"/>
        <w:spacing w:line="273" w:lineRule="auto" w:before="2"/>
        <w:ind w:left="673" w:right="4783"/>
      </w:pPr>
      <w:r>
        <w:rPr>
          <w:w w:val="110"/>
        </w:rPr>
        <w:t>What most would wish for is a timely, gentle and peaceful death in a loving, caring situation.</w:t>
      </w:r>
    </w:p>
    <w:p>
      <w:pPr>
        <w:pStyle w:val="BodyText"/>
        <w:spacing w:before="8"/>
        <w:rPr>
          <w:sz w:val="20"/>
        </w:rPr>
      </w:pPr>
    </w:p>
    <w:p>
      <w:pPr>
        <w:pStyle w:val="ListParagraph"/>
        <w:numPr>
          <w:ilvl w:val="1"/>
          <w:numId w:val="102"/>
        </w:numPr>
        <w:tabs>
          <w:tab w:pos="1393" w:val="left" w:leader="none"/>
          <w:tab w:pos="1394" w:val="left" w:leader="none"/>
        </w:tabs>
        <w:spacing w:line="273" w:lineRule="auto" w:before="0" w:after="0"/>
        <w:ind w:left="673" w:right="4900" w:firstLine="0"/>
        <w:jc w:val="left"/>
        <w:rPr>
          <w:sz w:val="18"/>
        </w:rPr>
      </w:pPr>
      <w:r>
        <w:rPr>
          <w:w w:val="110"/>
          <w:sz w:val="18"/>
        </w:rPr>
        <w:t>It is </w:t>
      </w:r>
      <w:r>
        <w:rPr>
          <w:spacing w:val="2"/>
          <w:w w:val="110"/>
          <w:sz w:val="18"/>
        </w:rPr>
        <w:t>difficult </w:t>
      </w:r>
      <w:r>
        <w:rPr>
          <w:w w:val="110"/>
          <w:sz w:val="18"/>
        </w:rPr>
        <w:t>to </w:t>
      </w:r>
      <w:r>
        <w:rPr>
          <w:spacing w:val="3"/>
          <w:w w:val="110"/>
          <w:sz w:val="18"/>
        </w:rPr>
        <w:t>observe </w:t>
      </w:r>
      <w:r>
        <w:rPr>
          <w:spacing w:val="4"/>
          <w:w w:val="110"/>
          <w:sz w:val="18"/>
        </w:rPr>
        <w:t>suffering </w:t>
      </w:r>
      <w:r>
        <w:rPr>
          <w:w w:val="110"/>
          <w:sz w:val="18"/>
        </w:rPr>
        <w:t>in </w:t>
      </w:r>
      <w:r>
        <w:rPr>
          <w:spacing w:val="3"/>
          <w:w w:val="110"/>
          <w:sz w:val="18"/>
        </w:rPr>
        <w:t>others, </w:t>
      </w:r>
      <w:r>
        <w:rPr>
          <w:w w:val="110"/>
          <w:sz w:val="18"/>
        </w:rPr>
        <w:t>and </w:t>
      </w:r>
      <w:r>
        <w:rPr>
          <w:spacing w:val="2"/>
          <w:w w:val="110"/>
          <w:sz w:val="18"/>
        </w:rPr>
        <w:t>difficult for the </w:t>
      </w:r>
      <w:r>
        <w:rPr>
          <w:spacing w:val="4"/>
          <w:w w:val="110"/>
          <w:sz w:val="18"/>
        </w:rPr>
        <w:t>sufferer </w:t>
      </w:r>
      <w:r>
        <w:rPr>
          <w:w w:val="110"/>
          <w:sz w:val="18"/>
        </w:rPr>
        <w:t>to </w:t>
      </w:r>
      <w:r>
        <w:rPr>
          <w:spacing w:val="2"/>
          <w:w w:val="110"/>
          <w:sz w:val="18"/>
        </w:rPr>
        <w:t>endure. </w:t>
      </w:r>
      <w:r>
        <w:rPr>
          <w:spacing w:val="3"/>
          <w:w w:val="110"/>
          <w:sz w:val="18"/>
        </w:rPr>
        <w:t>Where does </w:t>
      </w:r>
      <w:r>
        <w:rPr>
          <w:spacing w:val="4"/>
          <w:w w:val="110"/>
          <w:sz w:val="18"/>
        </w:rPr>
        <w:t>suffering </w:t>
      </w:r>
      <w:r>
        <w:rPr>
          <w:w w:val="110"/>
          <w:sz w:val="18"/>
        </w:rPr>
        <w:t>fit into </w:t>
      </w:r>
      <w:r>
        <w:rPr>
          <w:spacing w:val="2"/>
          <w:w w:val="110"/>
          <w:sz w:val="18"/>
        </w:rPr>
        <w:t>the </w:t>
      </w:r>
      <w:r>
        <w:rPr>
          <w:spacing w:val="3"/>
          <w:w w:val="110"/>
          <w:sz w:val="18"/>
        </w:rPr>
        <w:t>Christian perspective? </w:t>
      </w:r>
      <w:r>
        <w:rPr>
          <w:w w:val="110"/>
          <w:sz w:val="18"/>
        </w:rPr>
        <w:t>We </w:t>
      </w:r>
      <w:r>
        <w:rPr>
          <w:spacing w:val="2"/>
          <w:w w:val="110"/>
          <w:sz w:val="18"/>
        </w:rPr>
        <w:t>are </w:t>
      </w:r>
      <w:r>
        <w:rPr>
          <w:w w:val="110"/>
          <w:sz w:val="18"/>
        </w:rPr>
        <w:t>all </w:t>
      </w:r>
      <w:r>
        <w:rPr>
          <w:spacing w:val="4"/>
          <w:w w:val="110"/>
          <w:sz w:val="18"/>
        </w:rPr>
        <w:t>part </w:t>
      </w:r>
      <w:r>
        <w:rPr>
          <w:w w:val="110"/>
          <w:sz w:val="18"/>
        </w:rPr>
        <w:t>of a </w:t>
      </w:r>
      <w:r>
        <w:rPr>
          <w:spacing w:val="2"/>
          <w:w w:val="110"/>
          <w:sz w:val="18"/>
        </w:rPr>
        <w:t>fallen world </w:t>
      </w:r>
      <w:r>
        <w:rPr>
          <w:w w:val="110"/>
          <w:sz w:val="18"/>
        </w:rPr>
        <w:t>– it is </w:t>
      </w:r>
      <w:r>
        <w:rPr>
          <w:spacing w:val="4"/>
          <w:w w:val="110"/>
          <w:sz w:val="18"/>
        </w:rPr>
        <w:t>part </w:t>
      </w:r>
      <w:r>
        <w:rPr>
          <w:w w:val="110"/>
          <w:sz w:val="18"/>
        </w:rPr>
        <w:t>of our human </w:t>
      </w:r>
      <w:r>
        <w:rPr>
          <w:spacing w:val="2"/>
          <w:w w:val="110"/>
          <w:sz w:val="18"/>
        </w:rPr>
        <w:t>condition. </w:t>
      </w:r>
      <w:r>
        <w:rPr>
          <w:spacing w:val="3"/>
          <w:w w:val="110"/>
          <w:sz w:val="18"/>
        </w:rPr>
        <w:t>There </w:t>
      </w:r>
      <w:r>
        <w:rPr>
          <w:w w:val="110"/>
          <w:sz w:val="18"/>
        </w:rPr>
        <w:t>is evil, </w:t>
      </w:r>
      <w:r>
        <w:rPr>
          <w:spacing w:val="3"/>
          <w:w w:val="110"/>
          <w:sz w:val="18"/>
        </w:rPr>
        <w:t>sickness, </w:t>
      </w:r>
      <w:r>
        <w:rPr>
          <w:spacing w:val="4"/>
          <w:w w:val="110"/>
          <w:sz w:val="18"/>
        </w:rPr>
        <w:t>suffering </w:t>
      </w:r>
      <w:r>
        <w:rPr>
          <w:w w:val="110"/>
          <w:sz w:val="18"/>
        </w:rPr>
        <w:t>and dis-ease; we </w:t>
      </w:r>
      <w:r>
        <w:rPr>
          <w:spacing w:val="2"/>
          <w:w w:val="110"/>
          <w:sz w:val="18"/>
        </w:rPr>
        <w:t>cannot </w:t>
      </w:r>
      <w:r>
        <w:rPr>
          <w:spacing w:val="3"/>
          <w:w w:val="110"/>
          <w:sz w:val="18"/>
        </w:rPr>
        <w:t>escape </w:t>
      </w:r>
      <w:r>
        <w:rPr>
          <w:w w:val="110"/>
          <w:sz w:val="18"/>
        </w:rPr>
        <w:t>it whatever our </w:t>
      </w:r>
      <w:r>
        <w:rPr>
          <w:spacing w:val="3"/>
          <w:w w:val="110"/>
          <w:sz w:val="18"/>
        </w:rPr>
        <w:t>piety </w:t>
      </w:r>
      <w:r>
        <w:rPr>
          <w:w w:val="110"/>
          <w:sz w:val="18"/>
        </w:rPr>
        <w:t>and belief, </w:t>
      </w:r>
      <w:r>
        <w:rPr>
          <w:spacing w:val="2"/>
          <w:w w:val="110"/>
          <w:sz w:val="18"/>
        </w:rPr>
        <w:t>none </w:t>
      </w:r>
      <w:r>
        <w:rPr>
          <w:w w:val="110"/>
          <w:sz w:val="18"/>
        </w:rPr>
        <w:t>of us is immune. We</w:t>
      </w:r>
      <w:r>
        <w:rPr>
          <w:spacing w:val="9"/>
          <w:w w:val="110"/>
          <w:sz w:val="18"/>
        </w:rPr>
        <w:t> </w:t>
      </w:r>
      <w:r>
        <w:rPr>
          <w:spacing w:val="2"/>
          <w:w w:val="110"/>
          <w:sz w:val="18"/>
        </w:rPr>
        <w:t>are</w:t>
      </w:r>
      <w:r>
        <w:rPr>
          <w:spacing w:val="9"/>
          <w:w w:val="110"/>
          <w:sz w:val="18"/>
        </w:rPr>
        <w:t> </w:t>
      </w:r>
      <w:r>
        <w:rPr>
          <w:w w:val="110"/>
          <w:sz w:val="18"/>
        </w:rPr>
        <w:t>all</w:t>
      </w:r>
      <w:r>
        <w:rPr>
          <w:spacing w:val="9"/>
          <w:w w:val="110"/>
          <w:sz w:val="18"/>
        </w:rPr>
        <w:t> </w:t>
      </w:r>
      <w:r>
        <w:rPr>
          <w:spacing w:val="2"/>
          <w:w w:val="110"/>
          <w:sz w:val="18"/>
        </w:rPr>
        <w:t>caught</w:t>
      </w:r>
      <w:r>
        <w:rPr>
          <w:spacing w:val="11"/>
          <w:w w:val="110"/>
          <w:sz w:val="18"/>
        </w:rPr>
        <w:t> </w:t>
      </w:r>
      <w:r>
        <w:rPr>
          <w:w w:val="110"/>
          <w:sz w:val="18"/>
        </w:rPr>
        <w:t>up</w:t>
      </w:r>
      <w:r>
        <w:rPr>
          <w:spacing w:val="9"/>
          <w:w w:val="110"/>
          <w:sz w:val="18"/>
        </w:rPr>
        <w:t> </w:t>
      </w:r>
      <w:r>
        <w:rPr>
          <w:w w:val="110"/>
          <w:sz w:val="18"/>
        </w:rPr>
        <w:t>in</w:t>
      </w:r>
      <w:r>
        <w:rPr>
          <w:spacing w:val="10"/>
          <w:w w:val="110"/>
          <w:sz w:val="18"/>
        </w:rPr>
        <w:t> </w:t>
      </w:r>
      <w:r>
        <w:rPr>
          <w:w w:val="110"/>
          <w:sz w:val="18"/>
        </w:rPr>
        <w:t>it,</w:t>
      </w:r>
      <w:r>
        <w:rPr>
          <w:spacing w:val="11"/>
          <w:w w:val="110"/>
          <w:sz w:val="18"/>
        </w:rPr>
        <w:t> </w:t>
      </w:r>
      <w:r>
        <w:rPr>
          <w:w w:val="110"/>
          <w:sz w:val="18"/>
        </w:rPr>
        <w:t>until</w:t>
      </w:r>
      <w:r>
        <w:rPr>
          <w:spacing w:val="10"/>
          <w:w w:val="110"/>
          <w:sz w:val="18"/>
        </w:rPr>
        <w:t> </w:t>
      </w:r>
      <w:r>
        <w:rPr>
          <w:spacing w:val="2"/>
          <w:w w:val="110"/>
          <w:sz w:val="18"/>
        </w:rPr>
        <w:t>God’s</w:t>
      </w:r>
      <w:r>
        <w:rPr>
          <w:spacing w:val="11"/>
          <w:w w:val="110"/>
          <w:sz w:val="18"/>
        </w:rPr>
        <w:t> </w:t>
      </w:r>
      <w:r>
        <w:rPr>
          <w:spacing w:val="2"/>
          <w:w w:val="110"/>
          <w:sz w:val="18"/>
        </w:rPr>
        <w:t>Kingdom</w:t>
      </w:r>
      <w:r>
        <w:rPr>
          <w:spacing w:val="10"/>
          <w:w w:val="110"/>
          <w:sz w:val="18"/>
        </w:rPr>
        <w:t> </w:t>
      </w:r>
      <w:r>
        <w:rPr>
          <w:spacing w:val="2"/>
          <w:w w:val="110"/>
          <w:sz w:val="18"/>
        </w:rPr>
        <w:t>comes,</w:t>
      </w:r>
    </w:p>
    <w:p>
      <w:pPr>
        <w:pStyle w:val="BodyText"/>
        <w:spacing w:line="273" w:lineRule="auto" w:before="4"/>
        <w:ind w:left="673" w:right="4847"/>
      </w:pPr>
      <w:r>
        <w:rPr>
          <w:w w:val="110"/>
        </w:rPr>
        <w:t>it will </w:t>
      </w:r>
      <w:r>
        <w:rPr>
          <w:spacing w:val="2"/>
          <w:w w:val="110"/>
        </w:rPr>
        <w:t>continue </w:t>
      </w:r>
      <w:r>
        <w:rPr>
          <w:w w:val="110"/>
        </w:rPr>
        <w:t>to </w:t>
      </w:r>
      <w:r>
        <w:rPr>
          <w:spacing w:val="2"/>
          <w:w w:val="110"/>
        </w:rPr>
        <w:t>be </w:t>
      </w:r>
      <w:r>
        <w:rPr>
          <w:w w:val="110"/>
        </w:rPr>
        <w:t>so. We believe </w:t>
      </w:r>
      <w:r>
        <w:rPr>
          <w:spacing w:val="3"/>
          <w:w w:val="110"/>
        </w:rPr>
        <w:t>God does </w:t>
      </w:r>
      <w:r>
        <w:rPr>
          <w:w w:val="110"/>
        </w:rPr>
        <w:t>not </w:t>
      </w:r>
      <w:r>
        <w:rPr>
          <w:spacing w:val="3"/>
          <w:w w:val="110"/>
        </w:rPr>
        <w:t>send </w:t>
      </w:r>
      <w:r>
        <w:rPr>
          <w:spacing w:val="4"/>
          <w:w w:val="110"/>
        </w:rPr>
        <w:t>suffering </w:t>
      </w:r>
      <w:r>
        <w:rPr>
          <w:w w:val="110"/>
        </w:rPr>
        <w:t>but </w:t>
      </w:r>
      <w:r>
        <w:rPr>
          <w:spacing w:val="3"/>
          <w:w w:val="110"/>
        </w:rPr>
        <w:t>promises </w:t>
      </w:r>
      <w:r>
        <w:rPr>
          <w:w w:val="110"/>
        </w:rPr>
        <w:t>to </w:t>
      </w:r>
      <w:r>
        <w:rPr>
          <w:spacing w:val="2"/>
          <w:w w:val="110"/>
        </w:rPr>
        <w:t>be </w:t>
      </w:r>
      <w:r>
        <w:rPr>
          <w:w w:val="110"/>
        </w:rPr>
        <w:t>with us in our </w:t>
      </w:r>
      <w:r>
        <w:rPr>
          <w:spacing w:val="3"/>
          <w:w w:val="110"/>
        </w:rPr>
        <w:t>suffering </w:t>
      </w:r>
      <w:r>
        <w:rPr>
          <w:w w:val="110"/>
        </w:rPr>
        <w:t>and </w:t>
      </w:r>
      <w:r>
        <w:rPr>
          <w:spacing w:val="3"/>
          <w:w w:val="110"/>
        </w:rPr>
        <w:t>works </w:t>
      </w:r>
      <w:r>
        <w:rPr>
          <w:spacing w:val="2"/>
          <w:w w:val="110"/>
        </w:rPr>
        <w:t>through channels </w:t>
      </w:r>
      <w:r>
        <w:rPr>
          <w:spacing w:val="3"/>
          <w:w w:val="110"/>
        </w:rPr>
        <w:t>here </w:t>
      </w:r>
      <w:r>
        <w:rPr>
          <w:w w:val="110"/>
        </w:rPr>
        <w:t>on </w:t>
      </w:r>
      <w:r>
        <w:rPr>
          <w:spacing w:val="3"/>
          <w:w w:val="110"/>
        </w:rPr>
        <w:t>earth. </w:t>
      </w:r>
      <w:r>
        <w:rPr>
          <w:w w:val="110"/>
        </w:rPr>
        <w:t>He </w:t>
      </w:r>
      <w:r>
        <w:rPr>
          <w:spacing w:val="3"/>
          <w:w w:val="110"/>
        </w:rPr>
        <w:t>works </w:t>
      </w:r>
      <w:r>
        <w:rPr>
          <w:spacing w:val="2"/>
          <w:w w:val="110"/>
        </w:rPr>
        <w:t>through </w:t>
      </w:r>
      <w:r>
        <w:rPr>
          <w:spacing w:val="3"/>
          <w:w w:val="110"/>
        </w:rPr>
        <w:t>those </w:t>
      </w:r>
      <w:r>
        <w:rPr>
          <w:w w:val="110"/>
        </w:rPr>
        <w:t>who </w:t>
      </w:r>
      <w:r>
        <w:rPr>
          <w:spacing w:val="2"/>
          <w:w w:val="110"/>
        </w:rPr>
        <w:t>are alongside, </w:t>
      </w:r>
      <w:r>
        <w:rPr>
          <w:w w:val="110"/>
        </w:rPr>
        <w:t>who </w:t>
      </w:r>
      <w:r>
        <w:rPr>
          <w:spacing w:val="2"/>
          <w:w w:val="110"/>
        </w:rPr>
        <w:t>strive </w:t>
      </w:r>
      <w:r>
        <w:rPr>
          <w:w w:val="110"/>
        </w:rPr>
        <w:t>to alleviate and </w:t>
      </w:r>
      <w:r>
        <w:rPr>
          <w:spacing w:val="2"/>
          <w:w w:val="110"/>
        </w:rPr>
        <w:t>prevent the </w:t>
      </w:r>
      <w:r>
        <w:rPr>
          <w:spacing w:val="4"/>
          <w:w w:val="110"/>
        </w:rPr>
        <w:t>suffering </w:t>
      </w:r>
      <w:r>
        <w:rPr>
          <w:w w:val="110"/>
        </w:rPr>
        <w:t>of </w:t>
      </w:r>
      <w:r>
        <w:rPr>
          <w:spacing w:val="3"/>
          <w:w w:val="110"/>
        </w:rPr>
        <w:t>others. The </w:t>
      </w:r>
      <w:r>
        <w:rPr>
          <w:spacing w:val="2"/>
          <w:w w:val="110"/>
        </w:rPr>
        <w:t>Church, God’s </w:t>
      </w:r>
      <w:r>
        <w:rPr>
          <w:spacing w:val="3"/>
          <w:w w:val="110"/>
        </w:rPr>
        <w:t>body </w:t>
      </w:r>
      <w:r>
        <w:rPr>
          <w:w w:val="110"/>
        </w:rPr>
        <w:t>on </w:t>
      </w:r>
      <w:r>
        <w:rPr>
          <w:spacing w:val="4"/>
          <w:w w:val="110"/>
        </w:rPr>
        <w:t>earth </w:t>
      </w:r>
      <w:r>
        <w:rPr>
          <w:w w:val="110"/>
        </w:rPr>
        <w:t>– </w:t>
      </w:r>
      <w:r>
        <w:rPr>
          <w:spacing w:val="2"/>
          <w:w w:val="110"/>
        </w:rPr>
        <w:t>through </w:t>
      </w:r>
      <w:r>
        <w:rPr>
          <w:w w:val="110"/>
        </w:rPr>
        <w:t>prayer, </w:t>
      </w:r>
      <w:r>
        <w:rPr>
          <w:spacing w:val="3"/>
          <w:w w:val="110"/>
        </w:rPr>
        <w:t>pastoral care, </w:t>
      </w:r>
      <w:r>
        <w:rPr>
          <w:spacing w:val="2"/>
          <w:w w:val="110"/>
        </w:rPr>
        <w:t>befriending, listening </w:t>
      </w:r>
      <w:r>
        <w:rPr>
          <w:w w:val="110"/>
        </w:rPr>
        <w:t>and </w:t>
      </w:r>
      <w:r>
        <w:rPr>
          <w:spacing w:val="2"/>
          <w:w w:val="110"/>
        </w:rPr>
        <w:t>the </w:t>
      </w:r>
      <w:r>
        <w:rPr>
          <w:w w:val="110"/>
        </w:rPr>
        <w:t>healing </w:t>
      </w:r>
      <w:r>
        <w:rPr>
          <w:spacing w:val="3"/>
          <w:w w:val="110"/>
        </w:rPr>
        <w:t>ministry </w:t>
      </w:r>
      <w:r>
        <w:rPr>
          <w:w w:val="110"/>
        </w:rPr>
        <w:t>in </w:t>
      </w:r>
      <w:r>
        <w:rPr>
          <w:spacing w:val="3"/>
          <w:w w:val="110"/>
        </w:rPr>
        <w:t>its broadest</w:t>
      </w:r>
      <w:r>
        <w:rPr>
          <w:spacing w:val="9"/>
          <w:w w:val="110"/>
        </w:rPr>
        <w:t> </w:t>
      </w:r>
      <w:r>
        <w:rPr>
          <w:spacing w:val="3"/>
          <w:w w:val="110"/>
        </w:rPr>
        <w:t>sense</w:t>
      </w:r>
    </w:p>
    <w:p>
      <w:pPr>
        <w:pStyle w:val="ListParagraph"/>
        <w:numPr>
          <w:ilvl w:val="0"/>
          <w:numId w:val="9"/>
        </w:numPr>
        <w:tabs>
          <w:tab w:pos="876" w:val="left" w:leader="none"/>
        </w:tabs>
        <w:spacing w:line="273" w:lineRule="auto" w:before="4" w:after="0"/>
        <w:ind w:left="673" w:right="5177" w:firstLine="0"/>
        <w:jc w:val="left"/>
        <w:rPr>
          <w:sz w:val="18"/>
        </w:rPr>
      </w:pPr>
      <w:r>
        <w:rPr>
          <w:spacing w:val="3"/>
          <w:w w:val="110"/>
          <w:sz w:val="18"/>
        </w:rPr>
        <w:t>can reach </w:t>
      </w:r>
      <w:r>
        <w:rPr>
          <w:w w:val="110"/>
          <w:sz w:val="18"/>
        </w:rPr>
        <w:t>out to </w:t>
      </w:r>
      <w:r>
        <w:rPr>
          <w:spacing w:val="3"/>
          <w:w w:val="110"/>
          <w:sz w:val="18"/>
        </w:rPr>
        <w:t>those </w:t>
      </w:r>
      <w:r>
        <w:rPr>
          <w:w w:val="110"/>
          <w:sz w:val="18"/>
        </w:rPr>
        <w:t>who </w:t>
      </w:r>
      <w:r>
        <w:rPr>
          <w:spacing w:val="2"/>
          <w:w w:val="110"/>
          <w:sz w:val="18"/>
        </w:rPr>
        <w:t>are </w:t>
      </w:r>
      <w:r>
        <w:rPr>
          <w:spacing w:val="4"/>
          <w:w w:val="110"/>
          <w:sz w:val="18"/>
        </w:rPr>
        <w:t>suffering </w:t>
      </w:r>
      <w:r>
        <w:rPr>
          <w:w w:val="110"/>
          <w:sz w:val="18"/>
        </w:rPr>
        <w:t>and dying. </w:t>
      </w:r>
      <w:r>
        <w:rPr>
          <w:spacing w:val="3"/>
          <w:w w:val="110"/>
          <w:sz w:val="18"/>
        </w:rPr>
        <w:t>Through </w:t>
      </w:r>
      <w:r>
        <w:rPr>
          <w:spacing w:val="2"/>
          <w:w w:val="110"/>
          <w:sz w:val="18"/>
        </w:rPr>
        <w:t>being </w:t>
      </w:r>
      <w:r>
        <w:rPr>
          <w:spacing w:val="4"/>
          <w:w w:val="110"/>
          <w:sz w:val="18"/>
        </w:rPr>
        <w:t>part </w:t>
      </w:r>
      <w:r>
        <w:rPr>
          <w:spacing w:val="-2"/>
          <w:w w:val="110"/>
          <w:sz w:val="18"/>
        </w:rPr>
        <w:t>of, </w:t>
      </w:r>
      <w:r>
        <w:rPr>
          <w:w w:val="110"/>
          <w:sz w:val="18"/>
        </w:rPr>
        <w:t>or in </w:t>
      </w:r>
      <w:r>
        <w:rPr>
          <w:spacing w:val="3"/>
          <w:w w:val="110"/>
          <w:sz w:val="18"/>
        </w:rPr>
        <w:t>touch </w:t>
      </w:r>
      <w:r>
        <w:rPr>
          <w:w w:val="110"/>
          <w:sz w:val="18"/>
        </w:rPr>
        <w:t>with, </w:t>
      </w:r>
      <w:r>
        <w:rPr>
          <w:spacing w:val="2"/>
          <w:w w:val="110"/>
          <w:sz w:val="18"/>
        </w:rPr>
        <w:t>the </w:t>
      </w:r>
      <w:r>
        <w:rPr>
          <w:spacing w:val="3"/>
          <w:w w:val="110"/>
          <w:sz w:val="18"/>
        </w:rPr>
        <w:t>caring professions </w:t>
      </w:r>
      <w:r>
        <w:rPr>
          <w:w w:val="110"/>
          <w:sz w:val="18"/>
        </w:rPr>
        <w:t>– </w:t>
      </w:r>
      <w:r>
        <w:rPr>
          <w:spacing w:val="3"/>
          <w:w w:val="110"/>
          <w:sz w:val="18"/>
        </w:rPr>
        <w:t>reaching </w:t>
      </w:r>
      <w:r>
        <w:rPr>
          <w:w w:val="110"/>
          <w:sz w:val="18"/>
        </w:rPr>
        <w:t>out into </w:t>
      </w:r>
      <w:r>
        <w:rPr>
          <w:spacing w:val="2"/>
          <w:w w:val="110"/>
          <w:sz w:val="18"/>
        </w:rPr>
        <w:t>the wider community </w:t>
      </w:r>
      <w:r>
        <w:rPr>
          <w:w w:val="110"/>
          <w:sz w:val="18"/>
        </w:rPr>
        <w:t>and </w:t>
      </w:r>
      <w:r>
        <w:rPr>
          <w:spacing w:val="2"/>
          <w:w w:val="110"/>
          <w:sz w:val="18"/>
        </w:rPr>
        <w:t>looking </w:t>
      </w:r>
      <w:r>
        <w:rPr>
          <w:w w:val="110"/>
          <w:sz w:val="18"/>
        </w:rPr>
        <w:t>at </w:t>
      </w:r>
      <w:r>
        <w:rPr>
          <w:spacing w:val="2"/>
          <w:w w:val="110"/>
          <w:sz w:val="18"/>
        </w:rPr>
        <w:t>wider world </w:t>
      </w:r>
      <w:r>
        <w:rPr>
          <w:spacing w:val="3"/>
          <w:w w:val="110"/>
          <w:sz w:val="18"/>
        </w:rPr>
        <w:t>issues </w:t>
      </w:r>
      <w:r>
        <w:rPr>
          <w:w w:val="110"/>
          <w:sz w:val="18"/>
        </w:rPr>
        <w:t>– </w:t>
      </w:r>
      <w:r>
        <w:rPr>
          <w:spacing w:val="2"/>
          <w:w w:val="110"/>
          <w:sz w:val="18"/>
        </w:rPr>
        <w:t>the </w:t>
      </w:r>
      <w:r>
        <w:rPr>
          <w:spacing w:val="3"/>
          <w:w w:val="110"/>
          <w:sz w:val="18"/>
        </w:rPr>
        <w:t>Church </w:t>
      </w:r>
      <w:r>
        <w:rPr>
          <w:w w:val="110"/>
          <w:sz w:val="18"/>
        </w:rPr>
        <w:t>has</w:t>
      </w:r>
    </w:p>
    <w:p>
      <w:pPr>
        <w:pStyle w:val="BodyText"/>
        <w:spacing w:line="273" w:lineRule="auto" w:before="3"/>
        <w:ind w:left="673" w:right="5373"/>
      </w:pPr>
      <w:r>
        <w:rPr>
          <w:w w:val="110"/>
        </w:rPr>
        <w:t>a significant role in the alleviation and prevention of suffering. The developing concept of “parish nursing” may come to play a significant role. See Appendix C.</w:t>
      </w:r>
    </w:p>
    <w:p>
      <w:pPr>
        <w:pStyle w:val="BodyText"/>
        <w:spacing w:before="9"/>
        <w:rPr>
          <w:sz w:val="20"/>
        </w:rPr>
      </w:pPr>
    </w:p>
    <w:p>
      <w:pPr>
        <w:pStyle w:val="ListParagraph"/>
        <w:numPr>
          <w:ilvl w:val="1"/>
          <w:numId w:val="102"/>
        </w:numPr>
        <w:tabs>
          <w:tab w:pos="1393" w:val="left" w:leader="none"/>
          <w:tab w:pos="1394" w:val="left" w:leader="none"/>
        </w:tabs>
        <w:spacing w:line="273" w:lineRule="auto" w:before="0" w:after="0"/>
        <w:ind w:left="673" w:right="4817" w:firstLine="0"/>
        <w:jc w:val="left"/>
        <w:rPr>
          <w:sz w:val="18"/>
        </w:rPr>
      </w:pPr>
      <w:r>
        <w:rPr>
          <w:spacing w:val="3"/>
          <w:w w:val="110"/>
          <w:sz w:val="18"/>
        </w:rPr>
        <w:t>As </w:t>
      </w:r>
      <w:r>
        <w:rPr>
          <w:w w:val="110"/>
          <w:sz w:val="18"/>
        </w:rPr>
        <w:t>Christians we believe in the </w:t>
      </w:r>
      <w:r>
        <w:rPr>
          <w:spacing w:val="2"/>
          <w:w w:val="110"/>
          <w:sz w:val="18"/>
        </w:rPr>
        <w:t>sanctity </w:t>
      </w:r>
      <w:r>
        <w:rPr>
          <w:w w:val="110"/>
          <w:sz w:val="18"/>
        </w:rPr>
        <w:t>of human life, life is God given and not ours to extinguish. Equally, we have to accept that the greatest healing is death and being brought into the nearer </w:t>
      </w:r>
      <w:r>
        <w:rPr>
          <w:spacing w:val="2"/>
          <w:w w:val="110"/>
          <w:sz w:val="18"/>
        </w:rPr>
        <w:t>presence </w:t>
      </w:r>
      <w:r>
        <w:rPr>
          <w:w w:val="110"/>
          <w:sz w:val="18"/>
        </w:rPr>
        <w:t>of God. </w:t>
      </w:r>
      <w:r>
        <w:rPr>
          <w:spacing w:val="-3"/>
          <w:w w:val="110"/>
          <w:sz w:val="18"/>
        </w:rPr>
        <w:t>We </w:t>
      </w:r>
      <w:r>
        <w:rPr>
          <w:w w:val="110"/>
          <w:sz w:val="18"/>
        </w:rPr>
        <w:t>also accept that we are </w:t>
      </w:r>
      <w:r>
        <w:rPr>
          <w:spacing w:val="2"/>
          <w:w w:val="110"/>
          <w:sz w:val="18"/>
        </w:rPr>
        <w:t>mortal </w:t>
      </w:r>
      <w:r>
        <w:rPr>
          <w:w w:val="110"/>
          <w:sz w:val="18"/>
        </w:rPr>
        <w:t>and have a finite span on earth, and that death will come to each; we are not immortal.  </w:t>
      </w:r>
      <w:r>
        <w:rPr>
          <w:spacing w:val="-3"/>
          <w:w w:val="110"/>
          <w:sz w:val="18"/>
        </w:rPr>
        <w:t>We </w:t>
      </w:r>
      <w:r>
        <w:rPr>
          <w:w w:val="110"/>
          <w:sz w:val="18"/>
        </w:rPr>
        <w:t>believe in life </w:t>
      </w:r>
      <w:r>
        <w:rPr>
          <w:spacing w:val="2"/>
          <w:w w:val="110"/>
          <w:sz w:val="18"/>
        </w:rPr>
        <w:t>after </w:t>
      </w:r>
      <w:r>
        <w:rPr>
          <w:w w:val="110"/>
          <w:sz w:val="18"/>
        </w:rPr>
        <w:t>death and the promise of eternal life. </w:t>
      </w:r>
      <w:r>
        <w:rPr>
          <w:spacing w:val="-3"/>
          <w:w w:val="110"/>
          <w:sz w:val="18"/>
        </w:rPr>
        <w:t>We </w:t>
      </w:r>
      <w:r>
        <w:rPr>
          <w:w w:val="110"/>
          <w:sz w:val="18"/>
        </w:rPr>
        <w:t>believe in living the Christian life in all its fullness within the limitations of our circumstances. Our Christian lives should be manifest by showing and sharing Christian love, </w:t>
      </w:r>
      <w:r>
        <w:rPr>
          <w:spacing w:val="2"/>
          <w:w w:val="110"/>
          <w:sz w:val="18"/>
        </w:rPr>
        <w:t>care </w:t>
      </w:r>
      <w:r>
        <w:rPr>
          <w:w w:val="110"/>
          <w:sz w:val="18"/>
        </w:rPr>
        <w:t>and concern, and by praying for one</w:t>
      </w:r>
      <w:r>
        <w:rPr>
          <w:spacing w:val="39"/>
          <w:w w:val="110"/>
          <w:sz w:val="18"/>
        </w:rPr>
        <w:t> </w:t>
      </w:r>
      <w:r>
        <w:rPr>
          <w:w w:val="110"/>
          <w:sz w:val="18"/>
        </w:rPr>
        <w:t>another.</w:t>
      </w:r>
    </w:p>
    <w:p>
      <w:pPr>
        <w:pStyle w:val="BodyText"/>
        <w:spacing w:before="1"/>
        <w:rPr>
          <w:sz w:val="21"/>
        </w:rPr>
      </w:pPr>
    </w:p>
    <w:p>
      <w:pPr>
        <w:pStyle w:val="ListParagraph"/>
        <w:numPr>
          <w:ilvl w:val="1"/>
          <w:numId w:val="102"/>
        </w:numPr>
        <w:tabs>
          <w:tab w:pos="1393" w:val="left" w:leader="none"/>
          <w:tab w:pos="1394" w:val="left" w:leader="none"/>
        </w:tabs>
        <w:spacing w:line="273" w:lineRule="auto" w:before="0" w:after="0"/>
        <w:ind w:left="673" w:right="5214" w:firstLine="0"/>
        <w:jc w:val="left"/>
        <w:rPr>
          <w:sz w:val="18"/>
        </w:rPr>
      </w:pPr>
      <w:r>
        <w:rPr>
          <w:spacing w:val="3"/>
          <w:w w:val="110"/>
          <w:sz w:val="18"/>
        </w:rPr>
        <w:t>As </w:t>
      </w:r>
      <w:r>
        <w:rPr>
          <w:w w:val="110"/>
          <w:sz w:val="18"/>
        </w:rPr>
        <w:t>you read this </w:t>
      </w:r>
      <w:r>
        <w:rPr>
          <w:spacing w:val="-3"/>
          <w:w w:val="110"/>
          <w:sz w:val="18"/>
        </w:rPr>
        <w:t>paper, </w:t>
      </w:r>
      <w:r>
        <w:rPr>
          <w:w w:val="110"/>
          <w:sz w:val="18"/>
        </w:rPr>
        <w:t>this may well be a good point at which to pause – for </w:t>
      </w:r>
      <w:r>
        <w:rPr>
          <w:spacing w:val="2"/>
          <w:w w:val="110"/>
          <w:sz w:val="18"/>
        </w:rPr>
        <w:t>reflection </w:t>
      </w:r>
      <w:r>
        <w:rPr>
          <w:w w:val="110"/>
          <w:sz w:val="18"/>
        </w:rPr>
        <w:t>and</w:t>
      </w:r>
      <w:r>
        <w:rPr>
          <w:spacing w:val="44"/>
          <w:w w:val="110"/>
          <w:sz w:val="18"/>
        </w:rPr>
        <w:t> </w:t>
      </w:r>
      <w:r>
        <w:rPr>
          <w:spacing w:val="-3"/>
          <w:w w:val="110"/>
          <w:sz w:val="18"/>
        </w:rPr>
        <w:t>prayer.</w:t>
      </w:r>
    </w:p>
    <w:p>
      <w:pPr>
        <w:spacing w:after="0" w:line="273" w:lineRule="auto"/>
        <w:jc w:val="left"/>
        <w:rPr>
          <w:sz w:val="18"/>
        </w:rPr>
        <w:sectPr>
          <w:pgSz w:w="11910" w:h="16840"/>
          <w:pgMar w:header="558" w:footer="564" w:top="820" w:bottom="760" w:left="460" w:right="0"/>
        </w:sectPr>
      </w:pPr>
    </w:p>
    <w:p>
      <w:pPr>
        <w:pStyle w:val="BodyText"/>
        <w:spacing w:before="5"/>
        <w:rPr>
          <w:sz w:val="12"/>
        </w:rPr>
      </w:pPr>
    </w:p>
    <w:p>
      <w:pPr>
        <w:pStyle w:val="Heading9"/>
        <w:numPr>
          <w:ilvl w:val="0"/>
          <w:numId w:val="102"/>
        </w:numPr>
        <w:tabs>
          <w:tab w:pos="1960" w:val="left" w:leader="none"/>
          <w:tab w:pos="1961" w:val="left" w:leader="none"/>
        </w:tabs>
        <w:spacing w:line="244" w:lineRule="auto" w:before="98" w:after="0"/>
        <w:ind w:left="1960" w:right="1897" w:hanging="720"/>
        <w:jc w:val="left"/>
      </w:pPr>
      <w:r>
        <w:rPr>
          <w:w w:val="110"/>
        </w:rPr>
        <w:t>A researcher’s </w:t>
      </w:r>
      <w:r>
        <w:rPr>
          <w:spacing w:val="-3"/>
          <w:w w:val="110"/>
        </w:rPr>
        <w:t>epiphany </w:t>
      </w:r>
      <w:r>
        <w:rPr>
          <w:w w:val="110"/>
        </w:rPr>
        <w:t>– a personal </w:t>
      </w:r>
      <w:r>
        <w:rPr>
          <w:spacing w:val="-3"/>
          <w:w w:val="110"/>
        </w:rPr>
        <w:t>view by </w:t>
      </w:r>
      <w:r>
        <w:rPr>
          <w:w w:val="110"/>
        </w:rPr>
        <w:t>Malcolm</w:t>
      </w:r>
      <w:r>
        <w:rPr>
          <w:spacing w:val="2"/>
          <w:w w:val="110"/>
        </w:rPr>
        <w:t> </w:t>
      </w:r>
      <w:r>
        <w:rPr>
          <w:w w:val="110"/>
        </w:rPr>
        <w:t>Johnson</w:t>
      </w:r>
    </w:p>
    <w:p>
      <w:pPr>
        <w:pStyle w:val="ListParagraph"/>
        <w:numPr>
          <w:ilvl w:val="1"/>
          <w:numId w:val="102"/>
        </w:numPr>
        <w:tabs>
          <w:tab w:pos="1960" w:val="left" w:leader="none"/>
          <w:tab w:pos="1961" w:val="left" w:leader="none"/>
        </w:tabs>
        <w:spacing w:line="273" w:lineRule="auto" w:before="251" w:after="0"/>
        <w:ind w:left="1240" w:right="1293" w:firstLine="0"/>
        <w:jc w:val="left"/>
        <w:rPr>
          <w:sz w:val="18"/>
        </w:rPr>
      </w:pPr>
      <w:r>
        <w:rPr>
          <w:spacing w:val="3"/>
          <w:w w:val="110"/>
          <w:sz w:val="18"/>
        </w:rPr>
        <w:t>As </w:t>
      </w:r>
      <w:r>
        <w:rPr>
          <w:w w:val="110"/>
          <w:sz w:val="18"/>
        </w:rPr>
        <w:t>an academic gerontologist </w:t>
      </w:r>
      <w:r>
        <w:rPr>
          <w:spacing w:val="-9"/>
          <w:w w:val="110"/>
          <w:sz w:val="18"/>
        </w:rPr>
        <w:t>(a </w:t>
      </w:r>
      <w:r>
        <w:rPr>
          <w:spacing w:val="2"/>
          <w:w w:val="110"/>
          <w:sz w:val="18"/>
        </w:rPr>
        <w:t>researcher </w:t>
      </w:r>
      <w:r>
        <w:rPr>
          <w:w w:val="110"/>
          <w:sz w:val="18"/>
        </w:rPr>
        <w:t>on ageing and the lifespan), like the overwhelming majority of other gerontologists – who study everything up to the brink, but no </w:t>
      </w:r>
      <w:r>
        <w:rPr>
          <w:spacing w:val="2"/>
          <w:w w:val="110"/>
          <w:sz w:val="18"/>
        </w:rPr>
        <w:t>further </w:t>
      </w:r>
      <w:r>
        <w:rPr>
          <w:w w:val="110"/>
          <w:sz w:val="18"/>
        </w:rPr>
        <w:t>– I had paid little professional attention to death and dying. But in 1988,  I was asked to produce an Open University </w:t>
      </w:r>
      <w:r>
        <w:rPr>
          <w:spacing w:val="2"/>
          <w:w w:val="110"/>
          <w:sz w:val="18"/>
        </w:rPr>
        <w:t>course </w:t>
      </w:r>
      <w:r>
        <w:rPr>
          <w:w w:val="110"/>
          <w:sz w:val="18"/>
        </w:rPr>
        <w:t>on end of life issues. </w:t>
      </w:r>
      <w:r>
        <w:rPr>
          <w:spacing w:val="2"/>
          <w:w w:val="110"/>
          <w:sz w:val="18"/>
        </w:rPr>
        <w:t>After </w:t>
      </w:r>
      <w:r>
        <w:rPr>
          <w:w w:val="110"/>
          <w:sz w:val="18"/>
        </w:rPr>
        <w:t>much </w:t>
      </w:r>
      <w:r>
        <w:rPr>
          <w:spacing w:val="3"/>
          <w:w w:val="110"/>
          <w:sz w:val="18"/>
        </w:rPr>
        <w:t>effort, </w:t>
      </w:r>
      <w:r>
        <w:rPr>
          <w:w w:val="110"/>
          <w:sz w:val="18"/>
        </w:rPr>
        <w:t>we not only </w:t>
      </w:r>
      <w:r>
        <w:rPr>
          <w:spacing w:val="2"/>
          <w:w w:val="110"/>
          <w:sz w:val="18"/>
        </w:rPr>
        <w:t>persuaded </w:t>
      </w:r>
      <w:r>
        <w:rPr>
          <w:w w:val="110"/>
          <w:sz w:val="18"/>
        </w:rPr>
        <w:t>the Department of Health to fund the production, but  also completed a full half-credit undergraduate course, </w:t>
      </w:r>
      <w:r>
        <w:rPr>
          <w:i/>
          <w:w w:val="110"/>
          <w:sz w:val="18"/>
        </w:rPr>
        <w:t>Death, Dying and Bereavement </w:t>
      </w:r>
      <w:r>
        <w:rPr>
          <w:w w:val="110"/>
          <w:sz w:val="18"/>
        </w:rPr>
        <w:t>which has now been used by up to 40,000 students</w:t>
      </w:r>
      <w:r>
        <w:rPr>
          <w:spacing w:val="21"/>
          <w:w w:val="110"/>
          <w:sz w:val="18"/>
        </w:rPr>
        <w:t> </w:t>
      </w:r>
      <w:r>
        <w:rPr>
          <w:spacing w:val="-3"/>
          <w:w w:val="110"/>
          <w:position w:val="6"/>
          <w:sz w:val="10"/>
        </w:rPr>
        <w:t>(13)</w:t>
      </w:r>
      <w:r>
        <w:rPr>
          <w:spacing w:val="-3"/>
          <w:w w:val="110"/>
          <w:sz w:val="18"/>
        </w:rPr>
        <w:t>.</w:t>
      </w:r>
    </w:p>
    <w:p>
      <w:pPr>
        <w:pStyle w:val="BodyText"/>
        <w:spacing w:before="12"/>
        <w:rPr>
          <w:sz w:val="20"/>
        </w:rPr>
      </w:pPr>
    </w:p>
    <w:p>
      <w:pPr>
        <w:pStyle w:val="ListParagraph"/>
        <w:numPr>
          <w:ilvl w:val="1"/>
          <w:numId w:val="102"/>
        </w:numPr>
        <w:tabs>
          <w:tab w:pos="1960" w:val="left" w:leader="none"/>
          <w:tab w:pos="1961" w:val="left" w:leader="none"/>
        </w:tabs>
        <w:spacing w:line="273" w:lineRule="auto" w:before="0" w:after="0"/>
        <w:ind w:left="1240" w:right="1306" w:firstLine="0"/>
        <w:jc w:val="left"/>
        <w:rPr>
          <w:sz w:val="18"/>
        </w:rPr>
      </w:pPr>
      <w:r>
        <w:rPr>
          <w:w w:val="110"/>
          <w:sz w:val="18"/>
        </w:rPr>
        <w:t>During the three years it took to create the learning materials, the Course </w:t>
      </w:r>
      <w:r>
        <w:rPr>
          <w:spacing w:val="-5"/>
          <w:w w:val="110"/>
          <w:sz w:val="18"/>
        </w:rPr>
        <w:t>Team </w:t>
      </w:r>
      <w:r>
        <w:rPr>
          <w:w w:val="110"/>
          <w:sz w:val="18"/>
        </w:rPr>
        <w:t>were immersed in matters related to dying. It was an immensely difficult human task; though very rewarding. </w:t>
      </w:r>
      <w:r>
        <w:rPr>
          <w:spacing w:val="-4"/>
          <w:w w:val="110"/>
          <w:sz w:val="18"/>
        </w:rPr>
        <w:t>We </w:t>
      </w:r>
      <w:r>
        <w:rPr>
          <w:w w:val="110"/>
          <w:sz w:val="18"/>
        </w:rPr>
        <w:t>had </w:t>
      </w:r>
      <w:r>
        <w:rPr>
          <w:spacing w:val="-3"/>
          <w:w w:val="110"/>
          <w:sz w:val="18"/>
        </w:rPr>
        <w:t>many </w:t>
      </w:r>
      <w:r>
        <w:rPr>
          <w:w w:val="110"/>
          <w:sz w:val="18"/>
        </w:rPr>
        <w:t>wonderful collaborators, including St Christopher’s Hospice in South London and its charismatic </w:t>
      </w:r>
      <w:r>
        <w:rPr>
          <w:spacing w:val="-4"/>
          <w:w w:val="110"/>
          <w:sz w:val="18"/>
        </w:rPr>
        <w:t>founder, </w:t>
      </w:r>
      <w:r>
        <w:rPr>
          <w:w w:val="110"/>
          <w:sz w:val="18"/>
        </w:rPr>
        <w:t>Dame Cicely Saunders, who is regarded as being the founder of the Modern Hospice Movement. Dame Cicely promoted the humane care of dying people with the evangelical zeal of the deeply convinced Christian she was. At that time and </w:t>
      </w:r>
      <w:r>
        <w:rPr>
          <w:spacing w:val="-5"/>
          <w:w w:val="110"/>
          <w:sz w:val="18"/>
        </w:rPr>
        <w:t>later, </w:t>
      </w:r>
      <w:r>
        <w:rPr>
          <w:w w:val="110"/>
          <w:sz w:val="18"/>
        </w:rPr>
        <w:t>I was persuaded of her orthodox Anglican Christian view that all life was sacred and should never be taken. She added to this dictum a phrase that has become the doubtful mantra of the hospice and palliative care </w:t>
      </w:r>
      <w:r>
        <w:rPr>
          <w:spacing w:val="-3"/>
          <w:w w:val="110"/>
          <w:sz w:val="18"/>
        </w:rPr>
        <w:t>movement: </w:t>
      </w:r>
      <w:r>
        <w:rPr>
          <w:w w:val="110"/>
          <w:sz w:val="18"/>
        </w:rPr>
        <w:t>The taking of life is never justified because we now </w:t>
      </w:r>
      <w:r>
        <w:rPr>
          <w:spacing w:val="-3"/>
          <w:w w:val="110"/>
          <w:sz w:val="18"/>
        </w:rPr>
        <w:t>have </w:t>
      </w:r>
      <w:r>
        <w:rPr>
          <w:w w:val="110"/>
          <w:sz w:val="18"/>
        </w:rPr>
        <w:t>the ability to deal with all </w:t>
      </w:r>
      <w:r>
        <w:rPr>
          <w:spacing w:val="-3"/>
          <w:w w:val="110"/>
          <w:sz w:val="18"/>
        </w:rPr>
        <w:t>pain. </w:t>
      </w:r>
      <w:r>
        <w:rPr>
          <w:w w:val="110"/>
          <w:sz w:val="18"/>
        </w:rPr>
        <w:t>This claim was made extensively by those who opposed Lord Joffe’s</w:t>
      </w:r>
      <w:r>
        <w:rPr>
          <w:spacing w:val="-13"/>
          <w:w w:val="110"/>
          <w:sz w:val="18"/>
        </w:rPr>
        <w:t> </w:t>
      </w:r>
      <w:r>
        <w:rPr>
          <w:spacing w:val="-3"/>
          <w:w w:val="110"/>
          <w:sz w:val="18"/>
        </w:rPr>
        <w:t>Bill.</w:t>
      </w:r>
    </w:p>
    <w:p>
      <w:pPr>
        <w:pStyle w:val="BodyText"/>
        <w:spacing w:before="1"/>
        <w:rPr>
          <w:sz w:val="21"/>
        </w:rPr>
      </w:pPr>
    </w:p>
    <w:p>
      <w:pPr>
        <w:pStyle w:val="ListParagraph"/>
        <w:numPr>
          <w:ilvl w:val="1"/>
          <w:numId w:val="102"/>
        </w:numPr>
        <w:tabs>
          <w:tab w:pos="1960" w:val="left" w:leader="none"/>
          <w:tab w:pos="1961" w:val="left" w:leader="none"/>
        </w:tabs>
        <w:spacing w:line="273" w:lineRule="auto" w:before="1" w:after="0"/>
        <w:ind w:left="1240" w:right="1377" w:firstLine="0"/>
        <w:jc w:val="left"/>
        <w:rPr>
          <w:sz w:val="18"/>
        </w:rPr>
      </w:pPr>
      <w:r>
        <w:rPr>
          <w:w w:val="110"/>
          <w:sz w:val="18"/>
        </w:rPr>
        <w:t>Further involvement with death and dying led me into work on funerals and memorialising with another social innovator, </w:t>
      </w:r>
      <w:r>
        <w:rPr>
          <w:spacing w:val="2"/>
          <w:w w:val="110"/>
          <w:sz w:val="18"/>
        </w:rPr>
        <w:t>Lord </w:t>
      </w:r>
      <w:r>
        <w:rPr>
          <w:w w:val="110"/>
          <w:sz w:val="18"/>
        </w:rPr>
        <w:t>Michael </w:t>
      </w:r>
      <w:r>
        <w:rPr>
          <w:spacing w:val="-3"/>
          <w:w w:val="110"/>
          <w:sz w:val="18"/>
        </w:rPr>
        <w:t>Young, </w:t>
      </w:r>
      <w:r>
        <w:rPr>
          <w:w w:val="110"/>
          <w:sz w:val="18"/>
        </w:rPr>
        <w:t>who had just created The National Funerals College as a result of the </w:t>
      </w:r>
      <w:r>
        <w:rPr>
          <w:spacing w:val="2"/>
          <w:w w:val="110"/>
          <w:sz w:val="18"/>
        </w:rPr>
        <w:t>misery </w:t>
      </w:r>
      <w:r>
        <w:rPr>
          <w:w w:val="110"/>
          <w:sz w:val="18"/>
        </w:rPr>
        <w:t>he saw in researching his book  </w:t>
      </w:r>
      <w:r>
        <w:rPr>
          <w:i/>
          <w:w w:val="110"/>
          <w:sz w:val="18"/>
        </w:rPr>
        <w:t>A Good Death </w:t>
      </w:r>
      <w:r>
        <w:rPr>
          <w:spacing w:val="-4"/>
          <w:w w:val="110"/>
          <w:position w:val="6"/>
          <w:sz w:val="10"/>
        </w:rPr>
        <w:t>(14)</w:t>
      </w:r>
      <w:r>
        <w:rPr>
          <w:spacing w:val="-4"/>
          <w:w w:val="110"/>
          <w:sz w:val="18"/>
        </w:rPr>
        <w:t>. </w:t>
      </w:r>
      <w:r>
        <w:rPr>
          <w:w w:val="110"/>
          <w:sz w:val="18"/>
        </w:rPr>
        <w:t>Michael – a sometime Buddhist – </w:t>
      </w:r>
      <w:r>
        <w:rPr>
          <w:spacing w:val="2"/>
          <w:w w:val="110"/>
          <w:sz w:val="18"/>
        </w:rPr>
        <w:t>observed </w:t>
      </w:r>
      <w:r>
        <w:rPr>
          <w:w w:val="110"/>
          <w:sz w:val="18"/>
        </w:rPr>
        <w:t>the common everyday experience of death as a lamentable </w:t>
      </w:r>
      <w:r>
        <w:rPr>
          <w:spacing w:val="2"/>
          <w:w w:val="110"/>
          <w:sz w:val="18"/>
        </w:rPr>
        <w:t>commentary </w:t>
      </w:r>
      <w:r>
        <w:rPr>
          <w:w w:val="110"/>
          <w:sz w:val="18"/>
        </w:rPr>
        <w:t>on our death-denying society. </w:t>
      </w:r>
      <w:r>
        <w:rPr>
          <w:spacing w:val="-3"/>
          <w:w w:val="110"/>
          <w:sz w:val="18"/>
        </w:rPr>
        <w:t>We </w:t>
      </w:r>
      <w:r>
        <w:rPr>
          <w:w w:val="110"/>
          <w:sz w:val="18"/>
        </w:rPr>
        <w:t>wrote</w:t>
      </w:r>
      <w:r>
        <w:rPr>
          <w:spacing w:val="7"/>
          <w:w w:val="110"/>
          <w:sz w:val="18"/>
        </w:rPr>
        <w:t> </w:t>
      </w:r>
      <w:r>
        <w:rPr>
          <w:spacing w:val="-3"/>
          <w:w w:val="110"/>
          <w:sz w:val="18"/>
        </w:rPr>
        <w:t>(along</w:t>
      </w:r>
      <w:r>
        <w:rPr>
          <w:spacing w:val="8"/>
          <w:w w:val="110"/>
          <w:sz w:val="18"/>
        </w:rPr>
        <w:t> </w:t>
      </w:r>
      <w:r>
        <w:rPr>
          <w:w w:val="110"/>
          <w:sz w:val="18"/>
        </w:rPr>
        <w:t>with</w:t>
      </w:r>
      <w:r>
        <w:rPr>
          <w:spacing w:val="8"/>
          <w:w w:val="110"/>
          <w:sz w:val="18"/>
        </w:rPr>
        <w:t> </w:t>
      </w:r>
      <w:r>
        <w:rPr>
          <w:w w:val="110"/>
          <w:sz w:val="18"/>
        </w:rPr>
        <w:t>others)</w:t>
      </w:r>
      <w:r>
        <w:rPr>
          <w:spacing w:val="8"/>
          <w:w w:val="110"/>
          <w:sz w:val="18"/>
        </w:rPr>
        <w:t> </w:t>
      </w:r>
      <w:r>
        <w:rPr>
          <w:w w:val="110"/>
          <w:sz w:val="18"/>
        </w:rPr>
        <w:t>a</w:t>
      </w:r>
      <w:r>
        <w:rPr>
          <w:spacing w:val="8"/>
          <w:w w:val="110"/>
          <w:sz w:val="18"/>
        </w:rPr>
        <w:t> </w:t>
      </w:r>
      <w:r>
        <w:rPr>
          <w:w w:val="110"/>
          <w:sz w:val="18"/>
        </w:rPr>
        <w:t>publication</w:t>
      </w:r>
      <w:r>
        <w:rPr>
          <w:spacing w:val="8"/>
          <w:w w:val="110"/>
          <w:sz w:val="18"/>
        </w:rPr>
        <w:t> </w:t>
      </w:r>
      <w:r>
        <w:rPr>
          <w:w w:val="110"/>
          <w:sz w:val="18"/>
        </w:rPr>
        <w:t>called</w:t>
      </w:r>
      <w:r>
        <w:rPr>
          <w:spacing w:val="7"/>
          <w:w w:val="110"/>
          <w:sz w:val="18"/>
        </w:rPr>
        <w:t> </w:t>
      </w:r>
      <w:r>
        <w:rPr>
          <w:i/>
          <w:w w:val="110"/>
          <w:sz w:val="18"/>
        </w:rPr>
        <w:t>The</w:t>
      </w:r>
      <w:r>
        <w:rPr>
          <w:i/>
          <w:spacing w:val="8"/>
          <w:w w:val="110"/>
          <w:sz w:val="18"/>
        </w:rPr>
        <w:t> </w:t>
      </w:r>
      <w:r>
        <w:rPr>
          <w:i/>
          <w:w w:val="110"/>
          <w:sz w:val="18"/>
        </w:rPr>
        <w:t>Dead</w:t>
      </w:r>
      <w:r>
        <w:rPr>
          <w:i/>
          <w:spacing w:val="8"/>
          <w:w w:val="110"/>
          <w:sz w:val="18"/>
        </w:rPr>
        <w:t> </w:t>
      </w:r>
      <w:r>
        <w:rPr>
          <w:i/>
          <w:w w:val="110"/>
          <w:sz w:val="18"/>
        </w:rPr>
        <w:t>Citizens</w:t>
      </w:r>
      <w:r>
        <w:rPr>
          <w:i/>
          <w:spacing w:val="8"/>
          <w:w w:val="110"/>
          <w:sz w:val="18"/>
        </w:rPr>
        <w:t> </w:t>
      </w:r>
      <w:r>
        <w:rPr>
          <w:i/>
          <w:w w:val="110"/>
          <w:sz w:val="18"/>
        </w:rPr>
        <w:t>Charter</w:t>
      </w:r>
      <w:r>
        <w:rPr>
          <w:i/>
          <w:spacing w:val="8"/>
          <w:w w:val="110"/>
          <w:sz w:val="18"/>
        </w:rPr>
        <w:t> </w:t>
      </w:r>
      <w:r>
        <w:rPr>
          <w:spacing w:val="-3"/>
          <w:w w:val="110"/>
          <w:position w:val="6"/>
          <w:sz w:val="10"/>
        </w:rPr>
        <w:t>(15)</w:t>
      </w:r>
      <w:r>
        <w:rPr>
          <w:spacing w:val="-3"/>
          <w:w w:val="110"/>
          <w:sz w:val="18"/>
        </w:rPr>
        <w:t>.</w:t>
      </w:r>
      <w:r>
        <w:rPr>
          <w:spacing w:val="8"/>
          <w:w w:val="110"/>
          <w:sz w:val="18"/>
        </w:rPr>
        <w:t> </w:t>
      </w:r>
      <w:r>
        <w:rPr>
          <w:w w:val="110"/>
          <w:sz w:val="18"/>
        </w:rPr>
        <w:t>I</w:t>
      </w:r>
      <w:r>
        <w:rPr>
          <w:spacing w:val="8"/>
          <w:w w:val="110"/>
          <w:sz w:val="18"/>
        </w:rPr>
        <w:t> </w:t>
      </w:r>
      <w:r>
        <w:rPr>
          <w:w w:val="110"/>
          <w:sz w:val="18"/>
        </w:rPr>
        <w:t>took</w:t>
      </w:r>
    </w:p>
    <w:p>
      <w:pPr>
        <w:pStyle w:val="BodyText"/>
        <w:spacing w:line="273" w:lineRule="auto" w:before="3"/>
        <w:ind w:left="1240" w:right="1365"/>
      </w:pPr>
      <w:r>
        <w:rPr>
          <w:w w:val="110"/>
        </w:rPr>
        <w:t>a closer interest in the real life experience of dying at the end of the 20</w:t>
      </w:r>
      <w:r>
        <w:rPr>
          <w:w w:val="110"/>
          <w:position w:val="6"/>
          <w:sz w:val="10"/>
        </w:rPr>
        <w:t>th </w:t>
      </w:r>
      <w:r>
        <w:rPr>
          <w:w w:val="110"/>
        </w:rPr>
        <w:t>century, including training staff in care homes for older people, on how to understand the social and psychological processes of dying. My team taught the history of death, the cultural diversity of approaches to death and elders, the importance of symbolic rituals such as funerals, the contemporary meanings of spirituality and ‘biographical pain’ and how to deal with death professionals – funeral directors, doctors and clergy.</w:t>
      </w:r>
    </w:p>
    <w:p>
      <w:pPr>
        <w:pStyle w:val="BodyText"/>
        <w:spacing w:before="11"/>
        <w:rPr>
          <w:sz w:val="20"/>
        </w:rPr>
      </w:pPr>
    </w:p>
    <w:p>
      <w:pPr>
        <w:pStyle w:val="ListParagraph"/>
        <w:numPr>
          <w:ilvl w:val="1"/>
          <w:numId w:val="102"/>
        </w:numPr>
        <w:tabs>
          <w:tab w:pos="1960" w:val="left" w:leader="none"/>
          <w:tab w:pos="1961" w:val="left" w:leader="none"/>
        </w:tabs>
        <w:spacing w:line="273" w:lineRule="auto" w:before="0" w:after="0"/>
        <w:ind w:left="1240" w:right="1322" w:firstLine="0"/>
        <w:jc w:val="left"/>
        <w:rPr>
          <w:sz w:val="18"/>
        </w:rPr>
      </w:pPr>
      <w:r>
        <w:rPr>
          <w:w w:val="110"/>
          <w:sz w:val="18"/>
        </w:rPr>
        <w:t>My </w:t>
      </w:r>
      <w:r>
        <w:rPr>
          <w:spacing w:val="2"/>
          <w:w w:val="110"/>
          <w:sz w:val="18"/>
        </w:rPr>
        <w:t>research </w:t>
      </w:r>
      <w:r>
        <w:rPr>
          <w:w w:val="110"/>
          <w:sz w:val="18"/>
        </w:rPr>
        <w:t>on older people at the end of life led me to understand the anguish that many experience as they face imminent death. The average age of people in </w:t>
      </w:r>
      <w:r>
        <w:rPr>
          <w:spacing w:val="2"/>
          <w:w w:val="110"/>
          <w:sz w:val="18"/>
        </w:rPr>
        <w:t>care </w:t>
      </w:r>
      <w:r>
        <w:rPr>
          <w:w w:val="110"/>
          <w:sz w:val="18"/>
        </w:rPr>
        <w:t>homes today is 90. With endless time to think, but not much time to live, a great deal  of time is given over to reflection.  For some, all is harmony and contentment. But   most</w:t>
      </w:r>
      <w:r>
        <w:rPr>
          <w:spacing w:val="8"/>
          <w:w w:val="110"/>
          <w:sz w:val="18"/>
        </w:rPr>
        <w:t> </w:t>
      </w:r>
      <w:r>
        <w:rPr>
          <w:w w:val="110"/>
          <w:sz w:val="18"/>
        </w:rPr>
        <w:t>find</w:t>
      </w:r>
      <w:r>
        <w:rPr>
          <w:spacing w:val="8"/>
          <w:w w:val="110"/>
          <w:sz w:val="18"/>
        </w:rPr>
        <w:t> </w:t>
      </w:r>
      <w:r>
        <w:rPr>
          <w:w w:val="110"/>
          <w:sz w:val="18"/>
        </w:rPr>
        <w:t>that</w:t>
      </w:r>
      <w:r>
        <w:rPr>
          <w:spacing w:val="8"/>
          <w:w w:val="110"/>
          <w:sz w:val="18"/>
        </w:rPr>
        <w:t> </w:t>
      </w:r>
      <w:r>
        <w:rPr>
          <w:w w:val="110"/>
          <w:sz w:val="18"/>
        </w:rPr>
        <w:t>unconfined</w:t>
      </w:r>
      <w:r>
        <w:rPr>
          <w:spacing w:val="8"/>
          <w:w w:val="110"/>
          <w:sz w:val="18"/>
        </w:rPr>
        <w:t> </w:t>
      </w:r>
      <w:r>
        <w:rPr>
          <w:w w:val="110"/>
          <w:sz w:val="18"/>
        </w:rPr>
        <w:t>time</w:t>
      </w:r>
      <w:r>
        <w:rPr>
          <w:spacing w:val="9"/>
          <w:w w:val="110"/>
          <w:sz w:val="18"/>
        </w:rPr>
        <w:t> </w:t>
      </w:r>
      <w:r>
        <w:rPr>
          <w:w w:val="110"/>
          <w:sz w:val="18"/>
        </w:rPr>
        <w:t>for</w:t>
      </w:r>
      <w:r>
        <w:rPr>
          <w:spacing w:val="8"/>
          <w:w w:val="110"/>
          <w:sz w:val="18"/>
        </w:rPr>
        <w:t> </w:t>
      </w:r>
      <w:r>
        <w:rPr>
          <w:w w:val="110"/>
          <w:sz w:val="18"/>
        </w:rPr>
        <w:t>life</w:t>
      </w:r>
      <w:r>
        <w:rPr>
          <w:spacing w:val="8"/>
          <w:w w:val="110"/>
          <w:sz w:val="18"/>
        </w:rPr>
        <w:t> </w:t>
      </w:r>
      <w:r>
        <w:rPr>
          <w:w w:val="110"/>
          <w:sz w:val="18"/>
        </w:rPr>
        <w:t>review</w:t>
      </w:r>
      <w:r>
        <w:rPr>
          <w:spacing w:val="8"/>
          <w:w w:val="110"/>
          <w:sz w:val="18"/>
        </w:rPr>
        <w:t> </w:t>
      </w:r>
      <w:r>
        <w:rPr>
          <w:w w:val="110"/>
          <w:sz w:val="18"/>
        </w:rPr>
        <w:t>takes</w:t>
      </w:r>
      <w:r>
        <w:rPr>
          <w:spacing w:val="9"/>
          <w:w w:val="110"/>
          <w:sz w:val="18"/>
        </w:rPr>
        <w:t> </w:t>
      </w:r>
      <w:r>
        <w:rPr>
          <w:w w:val="110"/>
          <w:sz w:val="18"/>
        </w:rPr>
        <w:t>them</w:t>
      </w:r>
      <w:r>
        <w:rPr>
          <w:spacing w:val="8"/>
          <w:w w:val="110"/>
          <w:sz w:val="18"/>
        </w:rPr>
        <w:t> </w:t>
      </w:r>
      <w:r>
        <w:rPr>
          <w:w w:val="110"/>
          <w:sz w:val="18"/>
        </w:rPr>
        <w:t>into</w:t>
      </w:r>
      <w:r>
        <w:rPr>
          <w:spacing w:val="8"/>
          <w:w w:val="110"/>
          <w:sz w:val="18"/>
        </w:rPr>
        <w:t> </w:t>
      </w:r>
      <w:r>
        <w:rPr>
          <w:w w:val="110"/>
          <w:sz w:val="18"/>
        </w:rPr>
        <w:t>the</w:t>
      </w:r>
      <w:r>
        <w:rPr>
          <w:spacing w:val="8"/>
          <w:w w:val="110"/>
          <w:sz w:val="18"/>
        </w:rPr>
        <w:t> </w:t>
      </w:r>
      <w:r>
        <w:rPr>
          <w:w w:val="110"/>
          <w:sz w:val="18"/>
        </w:rPr>
        <w:t>deeper</w:t>
      </w:r>
      <w:r>
        <w:rPr>
          <w:spacing w:val="8"/>
          <w:w w:val="110"/>
          <w:sz w:val="18"/>
        </w:rPr>
        <w:t> </w:t>
      </w:r>
      <w:r>
        <w:rPr>
          <w:spacing w:val="2"/>
          <w:w w:val="110"/>
          <w:sz w:val="18"/>
        </w:rPr>
        <w:t>recesses</w:t>
      </w:r>
      <w:r>
        <w:rPr>
          <w:spacing w:val="9"/>
          <w:w w:val="110"/>
          <w:sz w:val="18"/>
        </w:rPr>
        <w:t> </w:t>
      </w:r>
      <w:r>
        <w:rPr>
          <w:w w:val="110"/>
          <w:sz w:val="18"/>
        </w:rPr>
        <w:t>of</w:t>
      </w:r>
    </w:p>
    <w:p>
      <w:pPr>
        <w:pStyle w:val="BodyText"/>
        <w:spacing w:line="273" w:lineRule="auto" w:before="3"/>
        <w:ind w:left="1240" w:right="1279"/>
      </w:pPr>
      <w:r>
        <w:rPr>
          <w:w w:val="110"/>
        </w:rPr>
        <w:t>memory. </w:t>
      </w:r>
      <w:r>
        <w:rPr>
          <w:spacing w:val="-5"/>
          <w:w w:val="110"/>
        </w:rPr>
        <w:t>Too </w:t>
      </w:r>
      <w:r>
        <w:rPr>
          <w:spacing w:val="2"/>
          <w:w w:val="110"/>
        </w:rPr>
        <w:t>often </w:t>
      </w:r>
      <w:r>
        <w:rPr>
          <w:w w:val="110"/>
        </w:rPr>
        <w:t>the dominant recollections are of dreadful experiences – things done by others to harm them, actions taken but deeply regretted, things always promised yet still undone. This leisure to </w:t>
      </w:r>
      <w:r>
        <w:rPr>
          <w:spacing w:val="2"/>
          <w:w w:val="110"/>
        </w:rPr>
        <w:t>reflect </w:t>
      </w:r>
      <w:r>
        <w:rPr>
          <w:w w:val="110"/>
        </w:rPr>
        <w:t>is accompanied by disability and an incapacity to right these wrongs, and there is much guilt and self loathing. Some see this as unforgivable  sin. </w:t>
      </w:r>
      <w:r>
        <w:rPr>
          <w:spacing w:val="2"/>
          <w:w w:val="110"/>
        </w:rPr>
        <w:t>Others </w:t>
      </w:r>
      <w:r>
        <w:rPr>
          <w:w w:val="110"/>
        </w:rPr>
        <w:t>with no belief, simply feel tortured. </w:t>
      </w:r>
      <w:r>
        <w:rPr>
          <w:spacing w:val="-4"/>
          <w:w w:val="110"/>
        </w:rPr>
        <w:t>Yet </w:t>
      </w:r>
      <w:r>
        <w:rPr>
          <w:w w:val="110"/>
        </w:rPr>
        <w:t>they rarely find a sympathetic and  safe</w:t>
      </w:r>
      <w:r>
        <w:rPr>
          <w:spacing w:val="7"/>
          <w:w w:val="110"/>
        </w:rPr>
        <w:t> </w:t>
      </w:r>
      <w:r>
        <w:rPr>
          <w:w w:val="110"/>
        </w:rPr>
        <w:t>listener</w:t>
      </w:r>
      <w:r>
        <w:rPr>
          <w:spacing w:val="8"/>
          <w:w w:val="110"/>
        </w:rPr>
        <w:t> </w:t>
      </w:r>
      <w:r>
        <w:rPr>
          <w:w w:val="110"/>
        </w:rPr>
        <w:t>to</w:t>
      </w:r>
      <w:r>
        <w:rPr>
          <w:spacing w:val="7"/>
          <w:w w:val="110"/>
        </w:rPr>
        <w:t> </w:t>
      </w:r>
      <w:r>
        <w:rPr>
          <w:w w:val="110"/>
        </w:rPr>
        <w:t>relieve</w:t>
      </w:r>
      <w:r>
        <w:rPr>
          <w:spacing w:val="8"/>
          <w:w w:val="110"/>
        </w:rPr>
        <w:t> </w:t>
      </w:r>
      <w:r>
        <w:rPr>
          <w:w w:val="110"/>
        </w:rPr>
        <w:t>this</w:t>
      </w:r>
      <w:r>
        <w:rPr>
          <w:spacing w:val="8"/>
          <w:w w:val="110"/>
        </w:rPr>
        <w:t> </w:t>
      </w:r>
      <w:r>
        <w:rPr>
          <w:w w:val="110"/>
        </w:rPr>
        <w:t>profound</w:t>
      </w:r>
      <w:r>
        <w:rPr>
          <w:spacing w:val="7"/>
          <w:w w:val="110"/>
        </w:rPr>
        <w:t> </w:t>
      </w:r>
      <w:r>
        <w:rPr>
          <w:w w:val="110"/>
        </w:rPr>
        <w:t>distress:</w:t>
      </w:r>
      <w:r>
        <w:rPr>
          <w:spacing w:val="8"/>
          <w:w w:val="110"/>
        </w:rPr>
        <w:t> </w:t>
      </w:r>
      <w:r>
        <w:rPr>
          <w:w w:val="110"/>
        </w:rPr>
        <w:t>which</w:t>
      </w:r>
      <w:r>
        <w:rPr>
          <w:spacing w:val="7"/>
          <w:w w:val="110"/>
        </w:rPr>
        <w:t> </w:t>
      </w:r>
      <w:r>
        <w:rPr>
          <w:w w:val="110"/>
        </w:rPr>
        <w:t>I</w:t>
      </w:r>
      <w:r>
        <w:rPr>
          <w:spacing w:val="8"/>
          <w:w w:val="110"/>
        </w:rPr>
        <w:t> </w:t>
      </w:r>
      <w:r>
        <w:rPr>
          <w:w w:val="110"/>
        </w:rPr>
        <w:t>have</w:t>
      </w:r>
      <w:r>
        <w:rPr>
          <w:spacing w:val="8"/>
          <w:w w:val="110"/>
        </w:rPr>
        <w:t> </w:t>
      </w:r>
      <w:r>
        <w:rPr>
          <w:w w:val="110"/>
        </w:rPr>
        <w:t>called</w:t>
      </w:r>
      <w:r>
        <w:rPr>
          <w:spacing w:val="7"/>
          <w:w w:val="110"/>
        </w:rPr>
        <w:t> </w:t>
      </w:r>
      <w:r>
        <w:rPr>
          <w:w w:val="110"/>
        </w:rPr>
        <w:t>‘biographical</w:t>
      </w:r>
      <w:r>
        <w:rPr>
          <w:spacing w:val="8"/>
          <w:w w:val="110"/>
        </w:rPr>
        <w:t> </w:t>
      </w:r>
      <w:r>
        <w:rPr>
          <w:spacing w:val="-3"/>
          <w:w w:val="110"/>
        </w:rPr>
        <w:t>pain’.</w:t>
      </w:r>
    </w:p>
    <w:p>
      <w:pPr>
        <w:pStyle w:val="BodyText"/>
        <w:spacing w:before="10"/>
        <w:rPr>
          <w:sz w:val="20"/>
        </w:rPr>
      </w:pPr>
    </w:p>
    <w:p>
      <w:pPr>
        <w:pStyle w:val="ListParagraph"/>
        <w:numPr>
          <w:ilvl w:val="1"/>
          <w:numId w:val="102"/>
        </w:numPr>
        <w:tabs>
          <w:tab w:pos="1960" w:val="left" w:leader="none"/>
          <w:tab w:pos="1961" w:val="left" w:leader="none"/>
        </w:tabs>
        <w:spacing w:line="273" w:lineRule="auto" w:before="1" w:after="0"/>
        <w:ind w:left="1240" w:right="1295" w:firstLine="0"/>
        <w:jc w:val="left"/>
        <w:rPr>
          <w:sz w:val="18"/>
        </w:rPr>
      </w:pPr>
      <w:r>
        <w:rPr>
          <w:w w:val="110"/>
          <w:sz w:val="18"/>
        </w:rPr>
        <w:t>So when we </w:t>
      </w:r>
      <w:r>
        <w:rPr>
          <w:spacing w:val="2"/>
          <w:w w:val="110"/>
          <w:sz w:val="18"/>
        </w:rPr>
        <w:t>observe </w:t>
      </w:r>
      <w:r>
        <w:rPr>
          <w:w w:val="110"/>
          <w:sz w:val="18"/>
        </w:rPr>
        <w:t>the landscape of </w:t>
      </w:r>
      <w:r>
        <w:rPr>
          <w:spacing w:val="2"/>
          <w:w w:val="110"/>
          <w:sz w:val="18"/>
        </w:rPr>
        <w:t>contemporary </w:t>
      </w:r>
      <w:r>
        <w:rPr>
          <w:w w:val="110"/>
          <w:sz w:val="18"/>
        </w:rPr>
        <w:t>death, it is not one of pain- </w:t>
      </w:r>
      <w:r>
        <w:rPr>
          <w:spacing w:val="2"/>
          <w:w w:val="110"/>
          <w:sz w:val="18"/>
        </w:rPr>
        <w:t>free </w:t>
      </w:r>
      <w:r>
        <w:rPr>
          <w:w w:val="110"/>
          <w:sz w:val="18"/>
        </w:rPr>
        <w:t>transition, assisted to a </w:t>
      </w:r>
      <w:r>
        <w:rPr>
          <w:spacing w:val="2"/>
          <w:w w:val="110"/>
          <w:sz w:val="18"/>
        </w:rPr>
        <w:t>comfortable </w:t>
      </w:r>
      <w:r>
        <w:rPr>
          <w:w w:val="110"/>
          <w:sz w:val="18"/>
        </w:rPr>
        <w:t>end by palliative care. Such </w:t>
      </w:r>
      <w:r>
        <w:rPr>
          <w:spacing w:val="2"/>
          <w:w w:val="110"/>
          <w:sz w:val="18"/>
        </w:rPr>
        <w:t>services </w:t>
      </w:r>
      <w:r>
        <w:rPr>
          <w:w w:val="110"/>
          <w:sz w:val="18"/>
        </w:rPr>
        <w:t>are rationed (mostly to younger people with cancers). More to the point, the indications    are that the great majority die in physical pain which goes untreated or unreached by medication;</w:t>
      </w:r>
      <w:r>
        <w:rPr>
          <w:spacing w:val="12"/>
          <w:w w:val="110"/>
          <w:sz w:val="18"/>
        </w:rPr>
        <w:t> </w:t>
      </w:r>
      <w:r>
        <w:rPr>
          <w:w w:val="110"/>
          <w:sz w:val="18"/>
        </w:rPr>
        <w:t>or</w:t>
      </w:r>
      <w:r>
        <w:rPr>
          <w:spacing w:val="12"/>
          <w:w w:val="110"/>
          <w:sz w:val="18"/>
        </w:rPr>
        <w:t> </w:t>
      </w:r>
      <w:r>
        <w:rPr>
          <w:w w:val="110"/>
          <w:sz w:val="18"/>
        </w:rPr>
        <w:t>in</w:t>
      </w:r>
      <w:r>
        <w:rPr>
          <w:spacing w:val="12"/>
          <w:w w:val="110"/>
          <w:sz w:val="18"/>
        </w:rPr>
        <w:t> </w:t>
      </w:r>
      <w:r>
        <w:rPr>
          <w:w w:val="110"/>
          <w:sz w:val="18"/>
        </w:rPr>
        <w:t>unrevealed</w:t>
      </w:r>
      <w:r>
        <w:rPr>
          <w:spacing w:val="12"/>
          <w:w w:val="110"/>
          <w:sz w:val="18"/>
        </w:rPr>
        <w:t> </w:t>
      </w:r>
      <w:r>
        <w:rPr>
          <w:w w:val="110"/>
          <w:sz w:val="18"/>
        </w:rPr>
        <w:t>‘biographical</w:t>
      </w:r>
      <w:r>
        <w:rPr>
          <w:spacing w:val="12"/>
          <w:w w:val="110"/>
          <w:sz w:val="18"/>
        </w:rPr>
        <w:t> </w:t>
      </w:r>
      <w:r>
        <w:rPr>
          <w:spacing w:val="-3"/>
          <w:w w:val="110"/>
          <w:sz w:val="18"/>
        </w:rPr>
        <w:t>pain’.</w:t>
      </w:r>
      <w:r>
        <w:rPr>
          <w:spacing w:val="12"/>
          <w:w w:val="110"/>
          <w:sz w:val="18"/>
        </w:rPr>
        <w:t> </w:t>
      </w:r>
      <w:r>
        <w:rPr>
          <w:w w:val="110"/>
          <w:sz w:val="18"/>
        </w:rPr>
        <w:t>Without</w:t>
      </w:r>
      <w:r>
        <w:rPr>
          <w:spacing w:val="12"/>
          <w:w w:val="110"/>
          <w:sz w:val="18"/>
        </w:rPr>
        <w:t> </w:t>
      </w:r>
      <w:r>
        <w:rPr>
          <w:w w:val="110"/>
          <w:sz w:val="18"/>
        </w:rPr>
        <w:t>the</w:t>
      </w:r>
      <w:r>
        <w:rPr>
          <w:spacing w:val="12"/>
          <w:w w:val="110"/>
          <w:sz w:val="18"/>
        </w:rPr>
        <w:t> </w:t>
      </w:r>
      <w:r>
        <w:rPr>
          <w:w w:val="110"/>
          <w:sz w:val="18"/>
        </w:rPr>
        <w:t>opportunity</w:t>
      </w:r>
      <w:r>
        <w:rPr>
          <w:spacing w:val="12"/>
          <w:w w:val="110"/>
          <w:sz w:val="18"/>
        </w:rPr>
        <w:t> </w:t>
      </w:r>
      <w:r>
        <w:rPr>
          <w:w w:val="110"/>
          <w:sz w:val="18"/>
        </w:rPr>
        <w:t>to</w:t>
      </w:r>
      <w:r>
        <w:rPr>
          <w:spacing w:val="12"/>
          <w:w w:val="110"/>
          <w:sz w:val="18"/>
        </w:rPr>
        <w:t> </w:t>
      </w:r>
      <w:r>
        <w:rPr>
          <w:w w:val="110"/>
          <w:sz w:val="18"/>
        </w:rPr>
        <w:t>be</w:t>
      </w:r>
      <w:r>
        <w:rPr>
          <w:spacing w:val="13"/>
          <w:w w:val="110"/>
          <w:sz w:val="18"/>
        </w:rPr>
        <w:t> </w:t>
      </w:r>
      <w:r>
        <w:rPr>
          <w:w w:val="110"/>
          <w:sz w:val="18"/>
        </w:rPr>
        <w:t>relieved</w:t>
      </w:r>
    </w:p>
    <w:p>
      <w:pPr>
        <w:pStyle w:val="BodyText"/>
        <w:spacing w:line="273" w:lineRule="auto" w:before="2"/>
        <w:ind w:left="1240" w:right="1365"/>
      </w:pPr>
      <w:r>
        <w:rPr>
          <w:w w:val="110"/>
        </w:rPr>
        <w:t>of this appalling anguish and the possibility of forgiveness, it seems right to allow those whose lives are a living hell to exit with careful provision, and dignity.</w:t>
      </w:r>
    </w:p>
    <w:p>
      <w:pPr>
        <w:spacing w:after="0" w:line="273" w:lineRule="auto"/>
        <w:sectPr>
          <w:pgSz w:w="11910" w:h="16840"/>
          <w:pgMar w:header="558" w:footer="564" w:top="820" w:bottom="760" w:left="460" w:right="0"/>
        </w:sectPr>
      </w:pPr>
    </w:p>
    <w:p>
      <w:pPr>
        <w:pStyle w:val="BodyText"/>
        <w:spacing w:before="9"/>
        <w:rPr>
          <w:sz w:val="13"/>
        </w:rPr>
      </w:pPr>
    </w:p>
    <w:p>
      <w:pPr>
        <w:pStyle w:val="ListParagraph"/>
        <w:numPr>
          <w:ilvl w:val="1"/>
          <w:numId w:val="102"/>
        </w:numPr>
        <w:tabs>
          <w:tab w:pos="1393" w:val="left" w:leader="none"/>
          <w:tab w:pos="1394" w:val="left" w:leader="none"/>
        </w:tabs>
        <w:spacing w:line="273" w:lineRule="auto" w:before="101" w:after="0"/>
        <w:ind w:left="673" w:right="1698" w:firstLine="0"/>
        <w:jc w:val="left"/>
        <w:rPr>
          <w:sz w:val="18"/>
        </w:rPr>
      </w:pPr>
      <w:r>
        <w:rPr>
          <w:w w:val="110"/>
          <w:sz w:val="18"/>
        </w:rPr>
        <w:t>These observations </w:t>
      </w:r>
      <w:r>
        <w:rPr>
          <w:spacing w:val="-3"/>
          <w:w w:val="110"/>
          <w:sz w:val="18"/>
        </w:rPr>
        <w:t>over </w:t>
      </w:r>
      <w:r>
        <w:rPr>
          <w:w w:val="110"/>
          <w:sz w:val="18"/>
        </w:rPr>
        <w:t>nearly a decade </w:t>
      </w:r>
      <w:r>
        <w:rPr>
          <w:spacing w:val="-3"/>
          <w:w w:val="110"/>
          <w:sz w:val="18"/>
        </w:rPr>
        <w:t>have </w:t>
      </w:r>
      <w:r>
        <w:rPr>
          <w:w w:val="110"/>
          <w:sz w:val="18"/>
        </w:rPr>
        <w:t>made me a critical friend of the hospice movement and I am no longer able to stand with Dame Cicely Saunders on assisted death. I no longer accept arguments about the nobility of pain or the restrictions on</w:t>
      </w:r>
      <w:r>
        <w:rPr>
          <w:spacing w:val="-9"/>
          <w:w w:val="110"/>
          <w:sz w:val="18"/>
        </w:rPr>
        <w:t> </w:t>
      </w:r>
      <w:r>
        <w:rPr>
          <w:w w:val="110"/>
          <w:sz w:val="18"/>
        </w:rPr>
        <w:t>freewill</w:t>
      </w:r>
      <w:r>
        <w:rPr>
          <w:spacing w:val="-8"/>
          <w:w w:val="110"/>
          <w:sz w:val="18"/>
        </w:rPr>
        <w:t> </w:t>
      </w:r>
      <w:r>
        <w:rPr>
          <w:w w:val="110"/>
          <w:sz w:val="18"/>
        </w:rPr>
        <w:t>imposed</w:t>
      </w:r>
      <w:r>
        <w:rPr>
          <w:spacing w:val="-8"/>
          <w:w w:val="110"/>
          <w:sz w:val="18"/>
        </w:rPr>
        <w:t> </w:t>
      </w:r>
      <w:r>
        <w:rPr>
          <w:w w:val="110"/>
          <w:sz w:val="18"/>
        </w:rPr>
        <w:t>by</w:t>
      </w:r>
      <w:r>
        <w:rPr>
          <w:spacing w:val="-8"/>
          <w:w w:val="110"/>
          <w:sz w:val="18"/>
        </w:rPr>
        <w:t> </w:t>
      </w:r>
      <w:r>
        <w:rPr>
          <w:w w:val="110"/>
          <w:sz w:val="18"/>
        </w:rPr>
        <w:t>a</w:t>
      </w:r>
      <w:r>
        <w:rPr>
          <w:spacing w:val="-9"/>
          <w:w w:val="110"/>
          <w:sz w:val="18"/>
        </w:rPr>
        <w:t> </w:t>
      </w:r>
      <w:r>
        <w:rPr>
          <w:w w:val="110"/>
          <w:sz w:val="18"/>
        </w:rPr>
        <w:t>God</w:t>
      </w:r>
      <w:r>
        <w:rPr>
          <w:spacing w:val="-8"/>
          <w:w w:val="110"/>
          <w:sz w:val="18"/>
        </w:rPr>
        <w:t> </w:t>
      </w:r>
      <w:r>
        <w:rPr>
          <w:w w:val="110"/>
          <w:sz w:val="18"/>
        </w:rPr>
        <w:t>who</w:t>
      </w:r>
      <w:r>
        <w:rPr>
          <w:spacing w:val="-8"/>
          <w:w w:val="110"/>
          <w:sz w:val="18"/>
        </w:rPr>
        <w:t> </w:t>
      </w:r>
      <w:r>
        <w:rPr>
          <w:w w:val="110"/>
          <w:sz w:val="18"/>
        </w:rPr>
        <w:t>will</w:t>
      </w:r>
      <w:r>
        <w:rPr>
          <w:spacing w:val="-8"/>
          <w:w w:val="110"/>
          <w:sz w:val="18"/>
        </w:rPr>
        <w:t> </w:t>
      </w:r>
      <w:r>
        <w:rPr>
          <w:w w:val="110"/>
          <w:sz w:val="18"/>
        </w:rPr>
        <w:t>choose</w:t>
      </w:r>
      <w:r>
        <w:rPr>
          <w:spacing w:val="-8"/>
          <w:w w:val="110"/>
          <w:sz w:val="18"/>
        </w:rPr>
        <w:t> </w:t>
      </w:r>
      <w:r>
        <w:rPr>
          <w:w w:val="110"/>
          <w:sz w:val="18"/>
        </w:rPr>
        <w:t>the</w:t>
      </w:r>
      <w:r>
        <w:rPr>
          <w:spacing w:val="-9"/>
          <w:w w:val="110"/>
          <w:sz w:val="18"/>
        </w:rPr>
        <w:t> </w:t>
      </w:r>
      <w:r>
        <w:rPr>
          <w:w w:val="110"/>
          <w:sz w:val="18"/>
        </w:rPr>
        <w:t>hour</w:t>
      </w:r>
      <w:r>
        <w:rPr>
          <w:spacing w:val="-8"/>
          <w:w w:val="110"/>
          <w:sz w:val="18"/>
        </w:rPr>
        <w:t> </w:t>
      </w:r>
      <w:r>
        <w:rPr>
          <w:w w:val="110"/>
          <w:sz w:val="18"/>
        </w:rPr>
        <w:t>and</w:t>
      </w:r>
      <w:r>
        <w:rPr>
          <w:spacing w:val="-8"/>
          <w:w w:val="110"/>
          <w:sz w:val="18"/>
        </w:rPr>
        <w:t> </w:t>
      </w:r>
      <w:r>
        <w:rPr>
          <w:w w:val="110"/>
          <w:sz w:val="18"/>
        </w:rPr>
        <w:t>the</w:t>
      </w:r>
      <w:r>
        <w:rPr>
          <w:spacing w:val="-8"/>
          <w:w w:val="110"/>
          <w:sz w:val="18"/>
        </w:rPr>
        <w:t> </w:t>
      </w:r>
      <w:r>
        <w:rPr>
          <w:w w:val="110"/>
          <w:sz w:val="18"/>
        </w:rPr>
        <w:t>manner</w:t>
      </w:r>
      <w:r>
        <w:rPr>
          <w:spacing w:val="-9"/>
          <w:w w:val="110"/>
          <w:sz w:val="18"/>
        </w:rPr>
        <w:t> </w:t>
      </w:r>
      <w:r>
        <w:rPr>
          <w:w w:val="110"/>
          <w:sz w:val="18"/>
        </w:rPr>
        <w:t>of</w:t>
      </w:r>
      <w:r>
        <w:rPr>
          <w:spacing w:val="-8"/>
          <w:w w:val="110"/>
          <w:sz w:val="18"/>
        </w:rPr>
        <w:t> </w:t>
      </w:r>
      <w:r>
        <w:rPr>
          <w:w w:val="110"/>
          <w:sz w:val="18"/>
        </w:rPr>
        <w:t>death,</w:t>
      </w:r>
      <w:r>
        <w:rPr>
          <w:spacing w:val="-8"/>
          <w:w w:val="110"/>
          <w:sz w:val="18"/>
        </w:rPr>
        <w:t> </w:t>
      </w:r>
      <w:r>
        <w:rPr>
          <w:w w:val="110"/>
          <w:sz w:val="18"/>
        </w:rPr>
        <w:t>regardless of human cost. This is not our God of </w:t>
      </w:r>
      <w:r>
        <w:rPr>
          <w:spacing w:val="-3"/>
          <w:w w:val="110"/>
          <w:sz w:val="18"/>
        </w:rPr>
        <w:t>love. </w:t>
      </w:r>
      <w:r>
        <w:rPr>
          <w:w w:val="110"/>
          <w:sz w:val="18"/>
        </w:rPr>
        <w:t>When you </w:t>
      </w:r>
      <w:r>
        <w:rPr>
          <w:spacing w:val="-3"/>
          <w:w w:val="110"/>
          <w:sz w:val="18"/>
        </w:rPr>
        <w:t>have </w:t>
      </w:r>
      <w:r>
        <w:rPr>
          <w:w w:val="110"/>
          <w:sz w:val="18"/>
        </w:rPr>
        <w:t>seen it, you recognise the awfulness</w:t>
      </w:r>
      <w:r>
        <w:rPr>
          <w:spacing w:val="-9"/>
          <w:w w:val="110"/>
          <w:sz w:val="18"/>
        </w:rPr>
        <w:t> </w:t>
      </w:r>
      <w:r>
        <w:rPr>
          <w:w w:val="110"/>
          <w:sz w:val="18"/>
        </w:rPr>
        <w:t>of</w:t>
      </w:r>
      <w:r>
        <w:rPr>
          <w:spacing w:val="-9"/>
          <w:w w:val="110"/>
          <w:sz w:val="18"/>
        </w:rPr>
        <w:t> </w:t>
      </w:r>
      <w:r>
        <w:rPr>
          <w:w w:val="110"/>
          <w:sz w:val="18"/>
        </w:rPr>
        <w:t>continuing</w:t>
      </w:r>
      <w:r>
        <w:rPr>
          <w:spacing w:val="-8"/>
          <w:w w:val="110"/>
          <w:sz w:val="18"/>
        </w:rPr>
        <w:t> </w:t>
      </w:r>
      <w:r>
        <w:rPr>
          <w:w w:val="110"/>
          <w:sz w:val="18"/>
        </w:rPr>
        <w:t>to</w:t>
      </w:r>
      <w:r>
        <w:rPr>
          <w:spacing w:val="-9"/>
          <w:w w:val="110"/>
          <w:sz w:val="18"/>
        </w:rPr>
        <w:t> </w:t>
      </w:r>
      <w:r>
        <w:rPr>
          <w:w w:val="110"/>
          <w:sz w:val="18"/>
        </w:rPr>
        <w:t>sustain</w:t>
      </w:r>
      <w:r>
        <w:rPr>
          <w:spacing w:val="-8"/>
          <w:w w:val="110"/>
          <w:sz w:val="18"/>
        </w:rPr>
        <w:t> </w:t>
      </w:r>
      <w:r>
        <w:rPr>
          <w:w w:val="110"/>
          <w:sz w:val="18"/>
        </w:rPr>
        <w:t>life</w:t>
      </w:r>
      <w:r>
        <w:rPr>
          <w:spacing w:val="-9"/>
          <w:w w:val="110"/>
          <w:sz w:val="18"/>
        </w:rPr>
        <w:t> </w:t>
      </w:r>
      <w:r>
        <w:rPr>
          <w:w w:val="110"/>
          <w:sz w:val="18"/>
        </w:rPr>
        <w:t>that</w:t>
      </w:r>
      <w:r>
        <w:rPr>
          <w:spacing w:val="-8"/>
          <w:w w:val="110"/>
          <w:sz w:val="18"/>
        </w:rPr>
        <w:t> </w:t>
      </w:r>
      <w:r>
        <w:rPr>
          <w:w w:val="110"/>
          <w:sz w:val="18"/>
        </w:rPr>
        <w:t>is</w:t>
      </w:r>
      <w:r>
        <w:rPr>
          <w:spacing w:val="-9"/>
          <w:w w:val="110"/>
          <w:sz w:val="18"/>
        </w:rPr>
        <w:t> </w:t>
      </w:r>
      <w:r>
        <w:rPr>
          <w:w w:val="110"/>
          <w:sz w:val="18"/>
        </w:rPr>
        <w:t>finished;</w:t>
      </w:r>
      <w:r>
        <w:rPr>
          <w:spacing w:val="-8"/>
          <w:w w:val="110"/>
          <w:sz w:val="18"/>
        </w:rPr>
        <w:t> </w:t>
      </w:r>
      <w:r>
        <w:rPr>
          <w:w w:val="110"/>
          <w:sz w:val="18"/>
        </w:rPr>
        <w:t>you</w:t>
      </w:r>
      <w:r>
        <w:rPr>
          <w:spacing w:val="-9"/>
          <w:w w:val="110"/>
          <w:sz w:val="18"/>
        </w:rPr>
        <w:t> </w:t>
      </w:r>
      <w:r>
        <w:rPr>
          <w:w w:val="110"/>
          <w:sz w:val="18"/>
        </w:rPr>
        <w:t>know</w:t>
      </w:r>
      <w:r>
        <w:rPr>
          <w:spacing w:val="-8"/>
          <w:w w:val="110"/>
          <w:sz w:val="18"/>
        </w:rPr>
        <w:t> </w:t>
      </w:r>
      <w:r>
        <w:rPr>
          <w:w w:val="110"/>
          <w:sz w:val="18"/>
        </w:rPr>
        <w:t>that</w:t>
      </w:r>
      <w:r>
        <w:rPr>
          <w:spacing w:val="-9"/>
          <w:w w:val="110"/>
          <w:sz w:val="18"/>
        </w:rPr>
        <w:t> </w:t>
      </w:r>
      <w:r>
        <w:rPr>
          <w:w w:val="110"/>
          <w:sz w:val="18"/>
        </w:rPr>
        <w:t>to</w:t>
      </w:r>
      <w:r>
        <w:rPr>
          <w:spacing w:val="-8"/>
          <w:w w:val="110"/>
          <w:sz w:val="18"/>
        </w:rPr>
        <w:t> </w:t>
      </w:r>
      <w:r>
        <w:rPr>
          <w:w w:val="110"/>
          <w:sz w:val="18"/>
        </w:rPr>
        <w:t>enable</w:t>
      </w:r>
      <w:r>
        <w:rPr>
          <w:spacing w:val="-9"/>
          <w:w w:val="110"/>
          <w:sz w:val="18"/>
        </w:rPr>
        <w:t> </w:t>
      </w:r>
      <w:r>
        <w:rPr>
          <w:w w:val="110"/>
          <w:sz w:val="18"/>
        </w:rPr>
        <w:t>a</w:t>
      </w:r>
      <w:r>
        <w:rPr>
          <w:spacing w:val="-8"/>
          <w:w w:val="110"/>
          <w:sz w:val="18"/>
        </w:rPr>
        <w:t> </w:t>
      </w:r>
      <w:r>
        <w:rPr>
          <w:w w:val="110"/>
          <w:sz w:val="18"/>
        </w:rPr>
        <w:t>patient</w:t>
      </w:r>
      <w:r>
        <w:rPr>
          <w:spacing w:val="-9"/>
          <w:w w:val="110"/>
          <w:sz w:val="18"/>
        </w:rPr>
        <w:t> </w:t>
      </w:r>
      <w:r>
        <w:rPr>
          <w:w w:val="110"/>
          <w:sz w:val="18"/>
        </w:rPr>
        <w:t>to choose</w:t>
      </w:r>
      <w:r>
        <w:rPr>
          <w:spacing w:val="-5"/>
          <w:w w:val="110"/>
          <w:sz w:val="18"/>
        </w:rPr>
        <w:t> </w:t>
      </w:r>
      <w:r>
        <w:rPr>
          <w:w w:val="110"/>
          <w:sz w:val="18"/>
        </w:rPr>
        <w:t>to</w:t>
      </w:r>
      <w:r>
        <w:rPr>
          <w:spacing w:val="-5"/>
          <w:w w:val="110"/>
          <w:sz w:val="18"/>
        </w:rPr>
        <w:t> </w:t>
      </w:r>
      <w:r>
        <w:rPr>
          <w:spacing w:val="-3"/>
          <w:w w:val="110"/>
          <w:sz w:val="18"/>
        </w:rPr>
        <w:t>leave</w:t>
      </w:r>
      <w:r>
        <w:rPr>
          <w:spacing w:val="-5"/>
          <w:w w:val="110"/>
          <w:sz w:val="18"/>
        </w:rPr>
        <w:t> </w:t>
      </w:r>
      <w:r>
        <w:rPr>
          <w:w w:val="110"/>
          <w:sz w:val="18"/>
        </w:rPr>
        <w:t>it</w:t>
      </w:r>
      <w:r>
        <w:rPr>
          <w:spacing w:val="-5"/>
          <w:w w:val="110"/>
          <w:sz w:val="18"/>
        </w:rPr>
        <w:t> </w:t>
      </w:r>
      <w:r>
        <w:rPr>
          <w:w w:val="110"/>
          <w:sz w:val="18"/>
        </w:rPr>
        <w:t>all</w:t>
      </w:r>
      <w:r>
        <w:rPr>
          <w:spacing w:val="-5"/>
          <w:w w:val="110"/>
          <w:sz w:val="18"/>
        </w:rPr>
        <w:t> </w:t>
      </w:r>
      <w:r>
        <w:rPr>
          <w:w w:val="110"/>
          <w:sz w:val="18"/>
        </w:rPr>
        <w:t>behind</w:t>
      </w:r>
      <w:r>
        <w:rPr>
          <w:spacing w:val="-5"/>
          <w:w w:val="110"/>
          <w:sz w:val="18"/>
        </w:rPr>
        <w:t> </w:t>
      </w:r>
      <w:r>
        <w:rPr>
          <w:w w:val="110"/>
          <w:sz w:val="18"/>
        </w:rPr>
        <w:t>in</w:t>
      </w:r>
      <w:r>
        <w:rPr>
          <w:spacing w:val="-5"/>
          <w:w w:val="110"/>
          <w:sz w:val="18"/>
        </w:rPr>
        <w:t> </w:t>
      </w:r>
      <w:r>
        <w:rPr>
          <w:w w:val="110"/>
          <w:sz w:val="18"/>
        </w:rPr>
        <w:t>a</w:t>
      </w:r>
      <w:r>
        <w:rPr>
          <w:spacing w:val="-5"/>
          <w:w w:val="110"/>
          <w:sz w:val="18"/>
        </w:rPr>
        <w:t> </w:t>
      </w:r>
      <w:r>
        <w:rPr>
          <w:w w:val="110"/>
          <w:sz w:val="18"/>
        </w:rPr>
        <w:t>controlled</w:t>
      </w:r>
      <w:r>
        <w:rPr>
          <w:spacing w:val="-5"/>
          <w:w w:val="110"/>
          <w:sz w:val="18"/>
        </w:rPr>
        <w:t> </w:t>
      </w:r>
      <w:r>
        <w:rPr>
          <w:w w:val="110"/>
          <w:sz w:val="18"/>
        </w:rPr>
        <w:t>and</w:t>
      </w:r>
      <w:r>
        <w:rPr>
          <w:spacing w:val="-5"/>
          <w:w w:val="110"/>
          <w:sz w:val="18"/>
        </w:rPr>
        <w:t> </w:t>
      </w:r>
      <w:r>
        <w:rPr>
          <w:w w:val="110"/>
          <w:sz w:val="18"/>
        </w:rPr>
        <w:t>honest</w:t>
      </w:r>
      <w:r>
        <w:rPr>
          <w:spacing w:val="-5"/>
          <w:w w:val="110"/>
          <w:sz w:val="18"/>
        </w:rPr>
        <w:t> </w:t>
      </w:r>
      <w:r>
        <w:rPr>
          <w:spacing w:val="-3"/>
          <w:w w:val="110"/>
          <w:sz w:val="18"/>
        </w:rPr>
        <w:t>way</w:t>
      </w:r>
      <w:r>
        <w:rPr>
          <w:spacing w:val="-5"/>
          <w:w w:val="110"/>
          <w:sz w:val="18"/>
        </w:rPr>
        <w:t> </w:t>
      </w:r>
      <w:r>
        <w:rPr>
          <w:w w:val="110"/>
          <w:sz w:val="18"/>
        </w:rPr>
        <w:t>is</w:t>
      </w:r>
      <w:r>
        <w:rPr>
          <w:spacing w:val="-5"/>
          <w:w w:val="110"/>
          <w:sz w:val="18"/>
        </w:rPr>
        <w:t> </w:t>
      </w:r>
      <w:r>
        <w:rPr>
          <w:w w:val="110"/>
          <w:sz w:val="18"/>
        </w:rPr>
        <w:t>a</w:t>
      </w:r>
      <w:r>
        <w:rPr>
          <w:spacing w:val="-5"/>
          <w:w w:val="110"/>
          <w:sz w:val="18"/>
        </w:rPr>
        <w:t> </w:t>
      </w:r>
      <w:r>
        <w:rPr>
          <w:w w:val="110"/>
          <w:sz w:val="18"/>
        </w:rPr>
        <w:t>supreme</w:t>
      </w:r>
      <w:r>
        <w:rPr>
          <w:spacing w:val="-5"/>
          <w:w w:val="110"/>
          <w:sz w:val="18"/>
        </w:rPr>
        <w:t> </w:t>
      </w:r>
      <w:r>
        <w:rPr>
          <w:w w:val="110"/>
          <w:sz w:val="18"/>
        </w:rPr>
        <w:t>act</w:t>
      </w:r>
      <w:r>
        <w:rPr>
          <w:spacing w:val="-5"/>
          <w:w w:val="110"/>
          <w:sz w:val="18"/>
        </w:rPr>
        <w:t> </w:t>
      </w:r>
      <w:r>
        <w:rPr>
          <w:w w:val="110"/>
          <w:sz w:val="18"/>
        </w:rPr>
        <w:t>of</w:t>
      </w:r>
      <w:r>
        <w:rPr>
          <w:spacing w:val="-5"/>
          <w:w w:val="110"/>
          <w:sz w:val="18"/>
        </w:rPr>
        <w:t> </w:t>
      </w:r>
      <w:r>
        <w:rPr>
          <w:spacing w:val="-3"/>
          <w:w w:val="110"/>
          <w:sz w:val="18"/>
        </w:rPr>
        <w:t>love.</w:t>
      </w:r>
    </w:p>
    <w:p>
      <w:pPr>
        <w:pStyle w:val="BodyText"/>
        <w:spacing w:before="11"/>
        <w:rPr>
          <w:sz w:val="20"/>
        </w:rPr>
      </w:pPr>
    </w:p>
    <w:p>
      <w:pPr>
        <w:pStyle w:val="ListParagraph"/>
        <w:numPr>
          <w:ilvl w:val="1"/>
          <w:numId w:val="102"/>
        </w:numPr>
        <w:tabs>
          <w:tab w:pos="1393" w:val="left" w:leader="none"/>
          <w:tab w:pos="1394" w:val="left" w:leader="none"/>
        </w:tabs>
        <w:spacing w:line="273" w:lineRule="auto" w:before="0" w:after="0"/>
        <w:ind w:left="673" w:right="1794" w:firstLine="0"/>
        <w:jc w:val="left"/>
        <w:rPr>
          <w:sz w:val="18"/>
        </w:rPr>
      </w:pPr>
      <w:r>
        <w:rPr>
          <w:w w:val="110"/>
          <w:sz w:val="18"/>
        </w:rPr>
        <w:t>In this brief account of an emerging recognition of the fallacy of the theologically </w:t>
      </w:r>
      <w:r>
        <w:rPr>
          <w:spacing w:val="2"/>
          <w:w w:val="110"/>
          <w:sz w:val="18"/>
        </w:rPr>
        <w:t>supported </w:t>
      </w:r>
      <w:r>
        <w:rPr>
          <w:w w:val="110"/>
          <w:sz w:val="18"/>
        </w:rPr>
        <w:t>view that all life is </w:t>
      </w:r>
      <w:r>
        <w:rPr>
          <w:spacing w:val="2"/>
          <w:w w:val="110"/>
          <w:sz w:val="18"/>
        </w:rPr>
        <w:t>worth </w:t>
      </w:r>
      <w:r>
        <w:rPr>
          <w:w w:val="110"/>
          <w:sz w:val="18"/>
        </w:rPr>
        <w:t>living, there has been no space to address the theological arguments. </w:t>
      </w:r>
      <w:r>
        <w:rPr>
          <w:spacing w:val="-4"/>
          <w:w w:val="110"/>
          <w:sz w:val="18"/>
        </w:rPr>
        <w:t>Yet </w:t>
      </w:r>
      <w:r>
        <w:rPr>
          <w:w w:val="110"/>
          <w:sz w:val="18"/>
        </w:rPr>
        <w:t>there is much to be said about the </w:t>
      </w:r>
      <w:r>
        <w:rPr>
          <w:spacing w:val="2"/>
          <w:w w:val="110"/>
          <w:sz w:val="18"/>
        </w:rPr>
        <w:t>perversity </w:t>
      </w:r>
      <w:r>
        <w:rPr>
          <w:w w:val="110"/>
          <w:sz w:val="18"/>
        </w:rPr>
        <w:t>of the arguments which elevate ‘God-given’ pain, however extreme, into an opportunity for personal growth and grace. Nor is it a repudiation of the </w:t>
      </w:r>
      <w:r>
        <w:rPr>
          <w:spacing w:val="2"/>
          <w:w w:val="110"/>
          <w:sz w:val="18"/>
        </w:rPr>
        <w:t>sanctity </w:t>
      </w:r>
      <w:r>
        <w:rPr>
          <w:w w:val="110"/>
          <w:sz w:val="18"/>
        </w:rPr>
        <w:t>of life argument to recognise that there are circumstances in which sustaining human life is no more than pious punishment. So, I hope the United </w:t>
      </w:r>
      <w:r>
        <w:rPr>
          <w:spacing w:val="2"/>
          <w:w w:val="110"/>
          <w:sz w:val="18"/>
        </w:rPr>
        <w:t>reformed </w:t>
      </w:r>
      <w:r>
        <w:rPr>
          <w:w w:val="110"/>
          <w:sz w:val="18"/>
        </w:rPr>
        <w:t>Church, and other mainstream churches in the UK, will soon come out </w:t>
      </w:r>
      <w:r>
        <w:rPr>
          <w:spacing w:val="2"/>
          <w:w w:val="110"/>
          <w:sz w:val="18"/>
        </w:rPr>
        <w:t>from </w:t>
      </w:r>
      <w:r>
        <w:rPr>
          <w:w w:val="110"/>
          <w:sz w:val="18"/>
        </w:rPr>
        <w:t>behind the </w:t>
      </w:r>
      <w:r>
        <w:rPr>
          <w:spacing w:val="2"/>
          <w:w w:val="110"/>
          <w:sz w:val="18"/>
        </w:rPr>
        <w:t>screen </w:t>
      </w:r>
      <w:r>
        <w:rPr>
          <w:w w:val="110"/>
          <w:sz w:val="18"/>
        </w:rPr>
        <w:t>of traditional but flawed theology – as we so commendably have in the </w:t>
      </w:r>
      <w:r>
        <w:rPr>
          <w:spacing w:val="2"/>
          <w:w w:val="110"/>
          <w:sz w:val="18"/>
        </w:rPr>
        <w:t>case </w:t>
      </w:r>
      <w:r>
        <w:rPr>
          <w:w w:val="110"/>
          <w:sz w:val="18"/>
        </w:rPr>
        <w:t>of women and homosexuals</w:t>
      </w:r>
      <w:r>
        <w:rPr>
          <w:spacing w:val="2"/>
          <w:w w:val="110"/>
          <w:sz w:val="18"/>
        </w:rPr>
        <w:t> </w:t>
      </w:r>
      <w:r>
        <w:rPr>
          <w:w w:val="110"/>
          <w:sz w:val="18"/>
        </w:rPr>
        <w:t>–</w:t>
      </w:r>
    </w:p>
    <w:p>
      <w:pPr>
        <w:pStyle w:val="BodyText"/>
        <w:spacing w:line="273" w:lineRule="auto" w:before="6"/>
        <w:ind w:left="673" w:right="2384"/>
      </w:pPr>
      <w:r>
        <w:rPr>
          <w:w w:val="110"/>
        </w:rPr>
        <w:t>to support humane and well-ordered policies, which will enable the tormented to end their suffering with dignity.</w:t>
      </w:r>
    </w:p>
    <w:p>
      <w:pPr>
        <w:pStyle w:val="BodyText"/>
        <w:rPr>
          <w:sz w:val="22"/>
        </w:rPr>
      </w:pPr>
    </w:p>
    <w:p>
      <w:pPr>
        <w:pStyle w:val="BodyText"/>
        <w:spacing w:before="1"/>
        <w:rPr>
          <w:sz w:val="19"/>
        </w:rPr>
      </w:pPr>
    </w:p>
    <w:p>
      <w:pPr>
        <w:pStyle w:val="Heading9"/>
        <w:numPr>
          <w:ilvl w:val="0"/>
          <w:numId w:val="102"/>
        </w:numPr>
        <w:tabs>
          <w:tab w:pos="1393" w:val="left" w:leader="none"/>
          <w:tab w:pos="1394" w:val="left" w:leader="none"/>
        </w:tabs>
        <w:spacing w:line="240" w:lineRule="auto" w:before="1" w:after="0"/>
        <w:ind w:left="1393" w:right="0" w:hanging="721"/>
        <w:jc w:val="left"/>
      </w:pPr>
      <w:r>
        <w:rPr>
          <w:spacing w:val="-3"/>
          <w:w w:val="110"/>
        </w:rPr>
        <w:t>Living</w:t>
      </w:r>
      <w:r>
        <w:rPr>
          <w:w w:val="110"/>
        </w:rPr>
        <w:t> </w:t>
      </w:r>
      <w:r>
        <w:rPr>
          <w:spacing w:val="-3"/>
          <w:w w:val="110"/>
        </w:rPr>
        <w:t>Wills</w:t>
      </w:r>
    </w:p>
    <w:p>
      <w:pPr>
        <w:pStyle w:val="ListParagraph"/>
        <w:numPr>
          <w:ilvl w:val="1"/>
          <w:numId w:val="102"/>
        </w:numPr>
        <w:tabs>
          <w:tab w:pos="1393" w:val="left" w:leader="none"/>
          <w:tab w:pos="1394" w:val="left" w:leader="none"/>
        </w:tabs>
        <w:spacing w:line="273" w:lineRule="auto" w:before="258" w:after="0"/>
        <w:ind w:left="673" w:right="2440" w:firstLine="0"/>
        <w:jc w:val="left"/>
        <w:rPr>
          <w:sz w:val="18"/>
        </w:rPr>
      </w:pPr>
      <w:r>
        <w:rPr>
          <w:w w:val="110"/>
          <w:sz w:val="18"/>
        </w:rPr>
        <w:t>Provisions of the Mental </w:t>
      </w:r>
      <w:r>
        <w:rPr>
          <w:spacing w:val="2"/>
          <w:w w:val="110"/>
          <w:sz w:val="18"/>
        </w:rPr>
        <w:t>Capacity Act </w:t>
      </w:r>
      <w:r>
        <w:rPr>
          <w:w w:val="110"/>
          <w:sz w:val="18"/>
        </w:rPr>
        <w:t>2005, </w:t>
      </w:r>
      <w:r>
        <w:rPr>
          <w:spacing w:val="2"/>
          <w:w w:val="110"/>
          <w:sz w:val="18"/>
        </w:rPr>
        <w:t>expected </w:t>
      </w:r>
      <w:r>
        <w:rPr>
          <w:w w:val="110"/>
          <w:sz w:val="18"/>
        </w:rPr>
        <w:t>to come into </w:t>
      </w:r>
      <w:r>
        <w:rPr>
          <w:spacing w:val="2"/>
          <w:w w:val="110"/>
          <w:sz w:val="18"/>
        </w:rPr>
        <w:t>force </w:t>
      </w:r>
      <w:r>
        <w:rPr>
          <w:w w:val="110"/>
          <w:sz w:val="18"/>
        </w:rPr>
        <w:t>in autumn</w:t>
      </w:r>
      <w:r>
        <w:rPr>
          <w:spacing w:val="7"/>
          <w:w w:val="110"/>
          <w:sz w:val="18"/>
        </w:rPr>
        <w:t> </w:t>
      </w:r>
      <w:r>
        <w:rPr>
          <w:spacing w:val="-7"/>
          <w:w w:val="110"/>
          <w:sz w:val="18"/>
        </w:rPr>
        <w:t>2007,</w:t>
      </w:r>
      <w:r>
        <w:rPr>
          <w:spacing w:val="7"/>
          <w:w w:val="110"/>
          <w:sz w:val="18"/>
        </w:rPr>
        <w:t> </w:t>
      </w:r>
      <w:r>
        <w:rPr>
          <w:w w:val="110"/>
          <w:sz w:val="18"/>
        </w:rPr>
        <w:t>put</w:t>
      </w:r>
      <w:r>
        <w:rPr>
          <w:spacing w:val="8"/>
          <w:w w:val="110"/>
          <w:sz w:val="18"/>
        </w:rPr>
        <w:t> </w:t>
      </w:r>
      <w:r>
        <w:rPr>
          <w:w w:val="110"/>
          <w:sz w:val="18"/>
        </w:rPr>
        <w:t>on</w:t>
      </w:r>
      <w:r>
        <w:rPr>
          <w:spacing w:val="7"/>
          <w:w w:val="110"/>
          <w:sz w:val="18"/>
        </w:rPr>
        <w:t> </w:t>
      </w:r>
      <w:r>
        <w:rPr>
          <w:w w:val="110"/>
          <w:sz w:val="18"/>
        </w:rPr>
        <w:t>a</w:t>
      </w:r>
      <w:r>
        <w:rPr>
          <w:spacing w:val="8"/>
          <w:w w:val="110"/>
          <w:sz w:val="18"/>
        </w:rPr>
        <w:t> </w:t>
      </w:r>
      <w:r>
        <w:rPr>
          <w:spacing w:val="2"/>
          <w:w w:val="110"/>
          <w:sz w:val="18"/>
        </w:rPr>
        <w:t>statutory</w:t>
      </w:r>
      <w:r>
        <w:rPr>
          <w:spacing w:val="7"/>
          <w:w w:val="110"/>
          <w:sz w:val="18"/>
        </w:rPr>
        <w:t> </w:t>
      </w:r>
      <w:r>
        <w:rPr>
          <w:w w:val="110"/>
          <w:sz w:val="18"/>
        </w:rPr>
        <w:t>footing</w:t>
      </w:r>
      <w:r>
        <w:rPr>
          <w:spacing w:val="7"/>
          <w:w w:val="110"/>
          <w:sz w:val="18"/>
        </w:rPr>
        <w:t> </w:t>
      </w:r>
      <w:r>
        <w:rPr>
          <w:w w:val="110"/>
          <w:sz w:val="18"/>
        </w:rPr>
        <w:t>–</w:t>
      </w:r>
      <w:r>
        <w:rPr>
          <w:spacing w:val="8"/>
          <w:w w:val="110"/>
          <w:sz w:val="18"/>
        </w:rPr>
        <w:t> </w:t>
      </w:r>
      <w:r>
        <w:rPr>
          <w:w w:val="110"/>
          <w:sz w:val="18"/>
        </w:rPr>
        <w:t>and</w:t>
      </w:r>
      <w:r>
        <w:rPr>
          <w:spacing w:val="7"/>
          <w:w w:val="110"/>
          <w:sz w:val="18"/>
        </w:rPr>
        <w:t> </w:t>
      </w:r>
      <w:r>
        <w:rPr>
          <w:spacing w:val="2"/>
          <w:w w:val="110"/>
          <w:sz w:val="18"/>
        </w:rPr>
        <w:t>therefore</w:t>
      </w:r>
      <w:r>
        <w:rPr>
          <w:spacing w:val="8"/>
          <w:w w:val="110"/>
          <w:sz w:val="18"/>
        </w:rPr>
        <w:t> </w:t>
      </w:r>
      <w:r>
        <w:rPr>
          <w:w w:val="110"/>
          <w:sz w:val="18"/>
        </w:rPr>
        <w:t>give</w:t>
      </w:r>
      <w:r>
        <w:rPr>
          <w:spacing w:val="7"/>
          <w:w w:val="110"/>
          <w:sz w:val="18"/>
        </w:rPr>
        <w:t> </w:t>
      </w:r>
      <w:r>
        <w:rPr>
          <w:w w:val="110"/>
          <w:sz w:val="18"/>
        </w:rPr>
        <w:t>greater</w:t>
      </w:r>
      <w:r>
        <w:rPr>
          <w:spacing w:val="7"/>
          <w:w w:val="110"/>
          <w:sz w:val="18"/>
        </w:rPr>
        <w:t> </w:t>
      </w:r>
      <w:r>
        <w:rPr>
          <w:w w:val="110"/>
          <w:sz w:val="18"/>
        </w:rPr>
        <w:t>status</w:t>
      </w:r>
      <w:r>
        <w:rPr>
          <w:spacing w:val="8"/>
          <w:w w:val="110"/>
          <w:sz w:val="18"/>
        </w:rPr>
        <w:t> </w:t>
      </w:r>
      <w:r>
        <w:rPr>
          <w:w w:val="110"/>
          <w:sz w:val="18"/>
        </w:rPr>
        <w:t>to</w:t>
      </w:r>
      <w:r>
        <w:rPr>
          <w:spacing w:val="7"/>
          <w:w w:val="110"/>
          <w:sz w:val="18"/>
        </w:rPr>
        <w:t> </w:t>
      </w:r>
      <w:r>
        <w:rPr>
          <w:w w:val="110"/>
          <w:sz w:val="18"/>
        </w:rPr>
        <w:t>–</w:t>
      </w:r>
    </w:p>
    <w:p>
      <w:pPr>
        <w:pStyle w:val="BodyText"/>
        <w:spacing w:line="273" w:lineRule="auto" w:before="1"/>
        <w:ind w:left="673" w:right="1829"/>
      </w:pPr>
      <w:r>
        <w:rPr>
          <w:w w:val="110"/>
        </w:rPr>
        <w:t>so-called ‘Living Wills’ or ‘Advance Directives’. These can be used as a way to express preferences regarding health care and treatment in the event of incapacity. They allow individuals, while they are mentally able, to give expression to how they wish to be treated in certain circumstances; this information goes to their medical advisers, and if requested, to a friend or family member, who would act on their behalf if they became physically and/or mentally incapacitated.</w:t>
      </w:r>
    </w:p>
    <w:p>
      <w:pPr>
        <w:pStyle w:val="BodyText"/>
        <w:spacing w:before="10"/>
        <w:rPr>
          <w:sz w:val="20"/>
        </w:rPr>
      </w:pPr>
    </w:p>
    <w:p>
      <w:pPr>
        <w:pStyle w:val="ListParagraph"/>
        <w:numPr>
          <w:ilvl w:val="1"/>
          <w:numId w:val="102"/>
        </w:numPr>
        <w:tabs>
          <w:tab w:pos="1393" w:val="left" w:leader="none"/>
          <w:tab w:pos="1394" w:val="left" w:leader="none"/>
        </w:tabs>
        <w:spacing w:line="273" w:lineRule="auto" w:before="1" w:after="0"/>
        <w:ind w:left="673" w:right="1798" w:hanging="1"/>
        <w:jc w:val="left"/>
        <w:rPr>
          <w:sz w:val="18"/>
        </w:rPr>
      </w:pPr>
      <w:r>
        <w:rPr>
          <w:w w:val="110"/>
          <w:sz w:val="18"/>
        </w:rPr>
        <w:t>Some see this as a helpful way in which patients can make clear their views to medical </w:t>
      </w:r>
      <w:r>
        <w:rPr>
          <w:spacing w:val="3"/>
          <w:w w:val="110"/>
          <w:sz w:val="18"/>
        </w:rPr>
        <w:t>staff </w:t>
      </w:r>
      <w:r>
        <w:rPr>
          <w:w w:val="110"/>
          <w:sz w:val="18"/>
        </w:rPr>
        <w:t>and relatives particularly on life sustaining treatment and resuscitation. Knowing the patient’s wishes can avoid confusion and assist </w:t>
      </w:r>
      <w:r>
        <w:rPr>
          <w:spacing w:val="3"/>
          <w:w w:val="110"/>
          <w:sz w:val="18"/>
        </w:rPr>
        <w:t>carers </w:t>
      </w:r>
      <w:r>
        <w:rPr>
          <w:w w:val="110"/>
          <w:sz w:val="18"/>
        </w:rPr>
        <w:t>and families when difficult decisions are discussed regarding </w:t>
      </w:r>
      <w:r>
        <w:rPr>
          <w:spacing w:val="2"/>
          <w:w w:val="110"/>
          <w:sz w:val="18"/>
        </w:rPr>
        <w:t>further </w:t>
      </w:r>
      <w:r>
        <w:rPr>
          <w:w w:val="110"/>
          <w:sz w:val="18"/>
        </w:rPr>
        <w:t>intrusive surgery, intensive treatment and resuscitation. </w:t>
      </w:r>
      <w:r>
        <w:rPr>
          <w:spacing w:val="-3"/>
          <w:w w:val="110"/>
          <w:sz w:val="18"/>
        </w:rPr>
        <w:t>However, </w:t>
      </w:r>
      <w:r>
        <w:rPr>
          <w:w w:val="110"/>
          <w:sz w:val="18"/>
        </w:rPr>
        <w:t>there is concern about such documents being ignored or used to </w:t>
      </w:r>
      <w:r>
        <w:rPr>
          <w:i/>
          <w:w w:val="110"/>
          <w:sz w:val="18"/>
          <w:u w:val="single"/>
        </w:rPr>
        <w:t>facilitate</w:t>
      </w:r>
      <w:r>
        <w:rPr>
          <w:i/>
          <w:w w:val="110"/>
          <w:sz w:val="18"/>
        </w:rPr>
        <w:t> </w:t>
      </w:r>
      <w:r>
        <w:rPr>
          <w:w w:val="110"/>
          <w:sz w:val="18"/>
        </w:rPr>
        <w:t>a person’s</w:t>
      </w:r>
      <w:r>
        <w:rPr>
          <w:spacing w:val="5"/>
          <w:w w:val="110"/>
          <w:sz w:val="18"/>
        </w:rPr>
        <w:t> </w:t>
      </w:r>
      <w:r>
        <w:rPr>
          <w:w w:val="110"/>
          <w:sz w:val="18"/>
        </w:rPr>
        <w:t>death.</w:t>
      </w:r>
    </w:p>
    <w:p>
      <w:pPr>
        <w:pStyle w:val="BodyText"/>
        <w:spacing w:before="10"/>
        <w:rPr>
          <w:sz w:val="20"/>
        </w:rPr>
      </w:pPr>
    </w:p>
    <w:p>
      <w:pPr>
        <w:pStyle w:val="ListParagraph"/>
        <w:numPr>
          <w:ilvl w:val="1"/>
          <w:numId w:val="102"/>
        </w:numPr>
        <w:tabs>
          <w:tab w:pos="1393" w:val="left" w:leader="none"/>
          <w:tab w:pos="1394" w:val="left" w:leader="none"/>
        </w:tabs>
        <w:spacing w:line="273" w:lineRule="auto" w:before="0" w:after="0"/>
        <w:ind w:left="673" w:right="1711" w:hanging="1"/>
        <w:jc w:val="left"/>
        <w:rPr>
          <w:sz w:val="18"/>
        </w:rPr>
      </w:pPr>
      <w:r>
        <w:rPr>
          <w:w w:val="110"/>
          <w:sz w:val="18"/>
        </w:rPr>
        <w:t>Discussion with Churches – particularly with the Catholic Church – resulted in safeguards being written into the Act. One of the most significant was the statement    that the default position would be to continue treatment – that is to say that if there was any</w:t>
      </w:r>
      <w:r>
        <w:rPr>
          <w:spacing w:val="6"/>
          <w:w w:val="110"/>
          <w:sz w:val="18"/>
        </w:rPr>
        <w:t> </w:t>
      </w:r>
      <w:r>
        <w:rPr>
          <w:w w:val="110"/>
          <w:sz w:val="18"/>
        </w:rPr>
        <w:t>doubt</w:t>
      </w:r>
      <w:r>
        <w:rPr>
          <w:spacing w:val="7"/>
          <w:w w:val="110"/>
          <w:sz w:val="18"/>
        </w:rPr>
        <w:t> </w:t>
      </w:r>
      <w:r>
        <w:rPr>
          <w:w w:val="110"/>
          <w:sz w:val="18"/>
        </w:rPr>
        <w:t>about</w:t>
      </w:r>
      <w:r>
        <w:rPr>
          <w:spacing w:val="7"/>
          <w:w w:val="110"/>
          <w:sz w:val="18"/>
        </w:rPr>
        <w:t> </w:t>
      </w:r>
      <w:r>
        <w:rPr>
          <w:w w:val="110"/>
          <w:sz w:val="18"/>
        </w:rPr>
        <w:t>the</w:t>
      </w:r>
      <w:r>
        <w:rPr>
          <w:spacing w:val="7"/>
          <w:w w:val="110"/>
          <w:sz w:val="18"/>
        </w:rPr>
        <w:t> </w:t>
      </w:r>
      <w:r>
        <w:rPr>
          <w:w w:val="110"/>
          <w:sz w:val="18"/>
        </w:rPr>
        <w:t>patient’s</w:t>
      </w:r>
      <w:r>
        <w:rPr>
          <w:spacing w:val="7"/>
          <w:w w:val="110"/>
          <w:sz w:val="18"/>
        </w:rPr>
        <w:t> </w:t>
      </w:r>
      <w:r>
        <w:rPr>
          <w:w w:val="110"/>
          <w:sz w:val="18"/>
        </w:rPr>
        <w:t>intentions</w:t>
      </w:r>
      <w:r>
        <w:rPr>
          <w:spacing w:val="7"/>
          <w:w w:val="110"/>
          <w:sz w:val="18"/>
        </w:rPr>
        <w:t> </w:t>
      </w:r>
      <w:r>
        <w:rPr>
          <w:w w:val="110"/>
          <w:sz w:val="18"/>
        </w:rPr>
        <w:t>or</w:t>
      </w:r>
      <w:r>
        <w:rPr>
          <w:spacing w:val="7"/>
          <w:w w:val="110"/>
          <w:sz w:val="18"/>
        </w:rPr>
        <w:t> </w:t>
      </w:r>
      <w:r>
        <w:rPr>
          <w:w w:val="110"/>
          <w:sz w:val="18"/>
        </w:rPr>
        <w:t>state</w:t>
      </w:r>
      <w:r>
        <w:rPr>
          <w:spacing w:val="6"/>
          <w:w w:val="110"/>
          <w:sz w:val="18"/>
        </w:rPr>
        <w:t> </w:t>
      </w:r>
      <w:r>
        <w:rPr>
          <w:w w:val="110"/>
          <w:sz w:val="18"/>
        </w:rPr>
        <w:t>of</w:t>
      </w:r>
      <w:r>
        <w:rPr>
          <w:spacing w:val="7"/>
          <w:w w:val="110"/>
          <w:sz w:val="18"/>
        </w:rPr>
        <w:t> </w:t>
      </w:r>
      <w:r>
        <w:rPr>
          <w:w w:val="110"/>
          <w:sz w:val="18"/>
        </w:rPr>
        <w:t>mind</w:t>
      </w:r>
      <w:r>
        <w:rPr>
          <w:spacing w:val="7"/>
          <w:w w:val="110"/>
          <w:sz w:val="18"/>
        </w:rPr>
        <w:t> </w:t>
      </w:r>
      <w:r>
        <w:rPr>
          <w:w w:val="110"/>
          <w:sz w:val="18"/>
        </w:rPr>
        <w:t>when</w:t>
      </w:r>
      <w:r>
        <w:rPr>
          <w:spacing w:val="7"/>
          <w:w w:val="110"/>
          <w:sz w:val="18"/>
        </w:rPr>
        <w:t> </w:t>
      </w:r>
      <w:r>
        <w:rPr>
          <w:w w:val="110"/>
          <w:sz w:val="18"/>
        </w:rPr>
        <w:t>writing</w:t>
      </w:r>
      <w:r>
        <w:rPr>
          <w:spacing w:val="7"/>
          <w:w w:val="110"/>
          <w:sz w:val="18"/>
        </w:rPr>
        <w:t> </w:t>
      </w:r>
      <w:r>
        <w:rPr>
          <w:w w:val="110"/>
          <w:sz w:val="18"/>
        </w:rPr>
        <w:t>the</w:t>
      </w:r>
      <w:r>
        <w:rPr>
          <w:spacing w:val="7"/>
          <w:w w:val="110"/>
          <w:sz w:val="18"/>
        </w:rPr>
        <w:t> </w:t>
      </w:r>
      <w:r>
        <w:rPr>
          <w:w w:val="110"/>
          <w:sz w:val="18"/>
        </w:rPr>
        <w:t>Living</w:t>
      </w:r>
      <w:r>
        <w:rPr>
          <w:spacing w:val="7"/>
          <w:w w:val="110"/>
          <w:sz w:val="18"/>
        </w:rPr>
        <w:t> </w:t>
      </w:r>
      <w:r>
        <w:rPr>
          <w:w w:val="110"/>
          <w:sz w:val="18"/>
        </w:rPr>
        <w:t>Will,</w:t>
      </w:r>
    </w:p>
    <w:p>
      <w:pPr>
        <w:pStyle w:val="BodyText"/>
        <w:spacing w:line="273" w:lineRule="auto" w:before="3"/>
        <w:ind w:left="673" w:right="1593"/>
      </w:pPr>
      <w:r>
        <w:rPr>
          <w:w w:val="110"/>
        </w:rPr>
        <w:t>or the motives of the person appointed to act, then treatment should be continued until these were resolved.</w:t>
      </w:r>
    </w:p>
    <w:p>
      <w:pPr>
        <w:pStyle w:val="BodyText"/>
        <w:spacing w:before="8"/>
        <w:rPr>
          <w:sz w:val="20"/>
        </w:rPr>
      </w:pPr>
    </w:p>
    <w:p>
      <w:pPr>
        <w:pStyle w:val="ListParagraph"/>
        <w:numPr>
          <w:ilvl w:val="1"/>
          <w:numId w:val="102"/>
        </w:numPr>
        <w:tabs>
          <w:tab w:pos="1393" w:val="left" w:leader="none"/>
          <w:tab w:pos="1394" w:val="left" w:leader="none"/>
        </w:tabs>
        <w:spacing w:line="273" w:lineRule="auto" w:before="0" w:after="0"/>
        <w:ind w:left="673" w:right="1721" w:firstLine="0"/>
        <w:jc w:val="left"/>
        <w:rPr>
          <w:sz w:val="18"/>
        </w:rPr>
      </w:pPr>
      <w:r>
        <w:rPr>
          <w:w w:val="110"/>
          <w:sz w:val="18"/>
        </w:rPr>
        <w:t>Some fears concerning the legislation do </w:t>
      </w:r>
      <w:r>
        <w:rPr>
          <w:spacing w:val="-3"/>
          <w:w w:val="110"/>
          <w:sz w:val="18"/>
        </w:rPr>
        <w:t>remain: </w:t>
      </w:r>
      <w:r>
        <w:rPr>
          <w:w w:val="110"/>
          <w:sz w:val="18"/>
        </w:rPr>
        <w:t>A Living Will might not </w:t>
      </w:r>
      <w:r>
        <w:rPr>
          <w:spacing w:val="-3"/>
          <w:w w:val="110"/>
          <w:sz w:val="18"/>
        </w:rPr>
        <w:t>give </w:t>
      </w:r>
      <w:r>
        <w:rPr>
          <w:w w:val="110"/>
          <w:sz w:val="18"/>
        </w:rPr>
        <w:t>the patient</w:t>
      </w:r>
      <w:r>
        <w:rPr>
          <w:spacing w:val="-8"/>
          <w:w w:val="110"/>
          <w:sz w:val="18"/>
        </w:rPr>
        <w:t> </w:t>
      </w:r>
      <w:r>
        <w:rPr>
          <w:w w:val="110"/>
          <w:sz w:val="18"/>
        </w:rPr>
        <w:t>adequate</w:t>
      </w:r>
      <w:r>
        <w:rPr>
          <w:spacing w:val="-8"/>
          <w:w w:val="110"/>
          <w:sz w:val="18"/>
        </w:rPr>
        <w:t> </w:t>
      </w:r>
      <w:r>
        <w:rPr>
          <w:w w:val="110"/>
          <w:sz w:val="18"/>
        </w:rPr>
        <w:t>opportunity</w:t>
      </w:r>
      <w:r>
        <w:rPr>
          <w:spacing w:val="-8"/>
          <w:w w:val="110"/>
          <w:sz w:val="18"/>
        </w:rPr>
        <w:t> </w:t>
      </w:r>
      <w:r>
        <w:rPr>
          <w:w w:val="110"/>
          <w:sz w:val="18"/>
        </w:rPr>
        <w:t>to</w:t>
      </w:r>
      <w:r>
        <w:rPr>
          <w:spacing w:val="-8"/>
          <w:w w:val="110"/>
          <w:sz w:val="18"/>
        </w:rPr>
        <w:t> </w:t>
      </w:r>
      <w:r>
        <w:rPr>
          <w:w w:val="110"/>
          <w:sz w:val="18"/>
        </w:rPr>
        <w:t>change</w:t>
      </w:r>
      <w:r>
        <w:rPr>
          <w:spacing w:val="-8"/>
          <w:w w:val="110"/>
          <w:sz w:val="18"/>
        </w:rPr>
        <w:t> </w:t>
      </w:r>
      <w:r>
        <w:rPr>
          <w:spacing w:val="-3"/>
          <w:w w:val="110"/>
          <w:sz w:val="18"/>
        </w:rPr>
        <w:t>her/his</w:t>
      </w:r>
      <w:r>
        <w:rPr>
          <w:spacing w:val="-8"/>
          <w:w w:val="110"/>
          <w:sz w:val="18"/>
        </w:rPr>
        <w:t> </w:t>
      </w:r>
      <w:r>
        <w:rPr>
          <w:w w:val="110"/>
          <w:sz w:val="18"/>
        </w:rPr>
        <w:t>mind</w:t>
      </w:r>
      <w:r>
        <w:rPr>
          <w:spacing w:val="-7"/>
          <w:w w:val="110"/>
          <w:sz w:val="18"/>
        </w:rPr>
        <w:t> </w:t>
      </w:r>
      <w:r>
        <w:rPr>
          <w:w w:val="110"/>
          <w:sz w:val="18"/>
        </w:rPr>
        <w:t>in</w:t>
      </w:r>
      <w:r>
        <w:rPr>
          <w:spacing w:val="-8"/>
          <w:w w:val="110"/>
          <w:sz w:val="18"/>
        </w:rPr>
        <w:t> </w:t>
      </w:r>
      <w:r>
        <w:rPr>
          <w:w w:val="110"/>
          <w:sz w:val="18"/>
        </w:rPr>
        <w:t>a</w:t>
      </w:r>
      <w:r>
        <w:rPr>
          <w:spacing w:val="-8"/>
          <w:w w:val="110"/>
          <w:sz w:val="18"/>
        </w:rPr>
        <w:t> </w:t>
      </w:r>
      <w:r>
        <w:rPr>
          <w:w w:val="110"/>
          <w:sz w:val="18"/>
        </w:rPr>
        <w:t>situation</w:t>
      </w:r>
      <w:r>
        <w:rPr>
          <w:spacing w:val="-8"/>
          <w:w w:val="110"/>
          <w:sz w:val="18"/>
        </w:rPr>
        <w:t> </w:t>
      </w:r>
      <w:r>
        <w:rPr>
          <w:w w:val="110"/>
          <w:sz w:val="18"/>
        </w:rPr>
        <w:t>that</w:t>
      </w:r>
      <w:r>
        <w:rPr>
          <w:spacing w:val="-8"/>
          <w:w w:val="110"/>
          <w:sz w:val="18"/>
        </w:rPr>
        <w:t> </w:t>
      </w:r>
      <w:r>
        <w:rPr>
          <w:w w:val="110"/>
          <w:sz w:val="18"/>
        </w:rPr>
        <w:t>was</w:t>
      </w:r>
      <w:r>
        <w:rPr>
          <w:spacing w:val="-8"/>
          <w:w w:val="110"/>
          <w:sz w:val="18"/>
        </w:rPr>
        <w:t> </w:t>
      </w:r>
      <w:r>
        <w:rPr>
          <w:w w:val="110"/>
          <w:sz w:val="18"/>
        </w:rPr>
        <w:t>not</w:t>
      </w:r>
      <w:r>
        <w:rPr>
          <w:spacing w:val="-8"/>
          <w:w w:val="110"/>
          <w:sz w:val="18"/>
        </w:rPr>
        <w:t> </w:t>
      </w:r>
      <w:r>
        <w:rPr>
          <w:w w:val="110"/>
          <w:sz w:val="18"/>
        </w:rPr>
        <w:t>adequately foreseen, a vulnerable patient could be exposed to pressure in drawing-up a Living </w:t>
      </w:r>
      <w:r>
        <w:rPr>
          <w:spacing w:val="-3"/>
          <w:w w:val="110"/>
          <w:sz w:val="18"/>
        </w:rPr>
        <w:t>Will, </w:t>
      </w:r>
      <w:r>
        <w:rPr>
          <w:w w:val="110"/>
          <w:sz w:val="18"/>
        </w:rPr>
        <w:t>and </w:t>
      </w:r>
      <w:r>
        <w:rPr>
          <w:spacing w:val="-5"/>
          <w:w w:val="110"/>
          <w:sz w:val="18"/>
        </w:rPr>
        <w:t>anyway, </w:t>
      </w:r>
      <w:r>
        <w:rPr>
          <w:spacing w:val="-3"/>
          <w:w w:val="110"/>
          <w:sz w:val="18"/>
        </w:rPr>
        <w:t>any </w:t>
      </w:r>
      <w:r>
        <w:rPr>
          <w:w w:val="110"/>
          <w:sz w:val="18"/>
        </w:rPr>
        <w:t>such document, drawn-up in advance, could not cover all conceivable circumstances that might arise. (The Catholic Bishops Conference of England and Wales is producing</w:t>
      </w:r>
      <w:r>
        <w:rPr>
          <w:spacing w:val="-7"/>
          <w:w w:val="110"/>
          <w:sz w:val="18"/>
        </w:rPr>
        <w:t> </w:t>
      </w:r>
      <w:r>
        <w:rPr>
          <w:w w:val="110"/>
          <w:sz w:val="18"/>
        </w:rPr>
        <w:t>a</w:t>
      </w:r>
      <w:r>
        <w:rPr>
          <w:spacing w:val="-6"/>
          <w:w w:val="110"/>
          <w:sz w:val="18"/>
        </w:rPr>
        <w:t> </w:t>
      </w:r>
      <w:r>
        <w:rPr>
          <w:w w:val="110"/>
          <w:sz w:val="18"/>
        </w:rPr>
        <w:t>booklet</w:t>
      </w:r>
      <w:r>
        <w:rPr>
          <w:spacing w:val="-6"/>
          <w:w w:val="110"/>
          <w:sz w:val="18"/>
        </w:rPr>
        <w:t> </w:t>
      </w:r>
      <w:r>
        <w:rPr>
          <w:w w:val="110"/>
          <w:sz w:val="18"/>
        </w:rPr>
        <w:t>on</w:t>
      </w:r>
      <w:r>
        <w:rPr>
          <w:spacing w:val="-6"/>
          <w:w w:val="110"/>
          <w:sz w:val="18"/>
        </w:rPr>
        <w:t> </w:t>
      </w:r>
      <w:r>
        <w:rPr>
          <w:w w:val="110"/>
          <w:sz w:val="18"/>
        </w:rPr>
        <w:t>Living</w:t>
      </w:r>
      <w:r>
        <w:rPr>
          <w:spacing w:val="-6"/>
          <w:w w:val="110"/>
          <w:sz w:val="18"/>
        </w:rPr>
        <w:t> </w:t>
      </w:r>
      <w:r>
        <w:rPr>
          <w:spacing w:val="-3"/>
          <w:w w:val="110"/>
          <w:sz w:val="18"/>
        </w:rPr>
        <w:t>Wills,</w:t>
      </w:r>
      <w:r>
        <w:rPr>
          <w:spacing w:val="-7"/>
          <w:w w:val="110"/>
          <w:sz w:val="18"/>
        </w:rPr>
        <w:t> </w:t>
      </w:r>
      <w:r>
        <w:rPr>
          <w:w w:val="110"/>
          <w:sz w:val="18"/>
        </w:rPr>
        <w:t>to</w:t>
      </w:r>
      <w:r>
        <w:rPr>
          <w:spacing w:val="-6"/>
          <w:w w:val="110"/>
          <w:sz w:val="18"/>
        </w:rPr>
        <w:t> </w:t>
      </w:r>
      <w:r>
        <w:rPr>
          <w:w w:val="110"/>
          <w:sz w:val="18"/>
        </w:rPr>
        <w:t>be</w:t>
      </w:r>
      <w:r>
        <w:rPr>
          <w:spacing w:val="-6"/>
          <w:w w:val="110"/>
          <w:sz w:val="18"/>
        </w:rPr>
        <w:t> </w:t>
      </w:r>
      <w:r>
        <w:rPr>
          <w:w w:val="110"/>
          <w:sz w:val="18"/>
        </w:rPr>
        <w:t>published,</w:t>
      </w:r>
      <w:r>
        <w:rPr>
          <w:spacing w:val="-6"/>
          <w:w w:val="110"/>
          <w:sz w:val="18"/>
        </w:rPr>
        <w:t> </w:t>
      </w:r>
      <w:r>
        <w:rPr>
          <w:w w:val="110"/>
          <w:sz w:val="18"/>
        </w:rPr>
        <w:t>by</w:t>
      </w:r>
      <w:r>
        <w:rPr>
          <w:spacing w:val="-6"/>
          <w:w w:val="110"/>
          <w:sz w:val="18"/>
        </w:rPr>
        <w:t> </w:t>
      </w:r>
      <w:r>
        <w:rPr>
          <w:w w:val="110"/>
          <w:sz w:val="18"/>
        </w:rPr>
        <w:t>the</w:t>
      </w:r>
      <w:r>
        <w:rPr>
          <w:spacing w:val="-7"/>
          <w:w w:val="110"/>
          <w:sz w:val="18"/>
        </w:rPr>
        <w:t> </w:t>
      </w:r>
      <w:r>
        <w:rPr>
          <w:w w:val="110"/>
          <w:sz w:val="18"/>
        </w:rPr>
        <w:t>Catholic</w:t>
      </w:r>
      <w:r>
        <w:rPr>
          <w:spacing w:val="-6"/>
          <w:w w:val="110"/>
          <w:sz w:val="18"/>
        </w:rPr>
        <w:t> </w:t>
      </w:r>
      <w:r>
        <w:rPr>
          <w:spacing w:val="-3"/>
          <w:w w:val="110"/>
          <w:sz w:val="18"/>
        </w:rPr>
        <w:t>Trust</w:t>
      </w:r>
      <w:r>
        <w:rPr>
          <w:spacing w:val="-6"/>
          <w:w w:val="110"/>
          <w:sz w:val="18"/>
        </w:rPr>
        <w:t> </w:t>
      </w:r>
      <w:r>
        <w:rPr>
          <w:w w:val="110"/>
          <w:sz w:val="18"/>
        </w:rPr>
        <w:t>Society).</w:t>
      </w:r>
    </w:p>
    <w:p>
      <w:pPr>
        <w:pStyle w:val="BodyText"/>
        <w:spacing w:before="10"/>
        <w:rPr>
          <w:sz w:val="20"/>
        </w:rPr>
      </w:pPr>
    </w:p>
    <w:p>
      <w:pPr>
        <w:pStyle w:val="ListParagraph"/>
        <w:numPr>
          <w:ilvl w:val="1"/>
          <w:numId w:val="102"/>
        </w:numPr>
        <w:tabs>
          <w:tab w:pos="1393" w:val="left" w:leader="none"/>
          <w:tab w:pos="1394" w:val="left" w:leader="none"/>
        </w:tabs>
        <w:spacing w:line="240" w:lineRule="auto" w:before="1" w:after="0"/>
        <w:ind w:left="1393" w:right="0" w:hanging="721"/>
        <w:jc w:val="left"/>
        <w:rPr>
          <w:sz w:val="18"/>
        </w:rPr>
      </w:pPr>
      <w:r>
        <w:rPr>
          <w:w w:val="110"/>
          <w:sz w:val="18"/>
        </w:rPr>
        <w:t>An example of a Living Will can be seen in Appendix</w:t>
      </w:r>
      <w:r>
        <w:rPr>
          <w:spacing w:val="18"/>
          <w:w w:val="110"/>
          <w:sz w:val="18"/>
        </w:rPr>
        <w:t> </w:t>
      </w:r>
      <w:r>
        <w:rPr>
          <w:w w:val="110"/>
          <w:sz w:val="18"/>
        </w:rPr>
        <w:t>B</w:t>
      </w:r>
    </w:p>
    <w:p>
      <w:pPr>
        <w:spacing w:after="0" w:line="240" w:lineRule="auto"/>
        <w:jc w:val="left"/>
        <w:rPr>
          <w:sz w:val="18"/>
        </w:rPr>
        <w:sectPr>
          <w:pgSz w:w="11910" w:h="16840"/>
          <w:pgMar w:header="558" w:footer="564" w:top="820" w:bottom="760" w:left="460" w:right="0"/>
        </w:sectPr>
      </w:pPr>
    </w:p>
    <w:p>
      <w:pPr>
        <w:pStyle w:val="BodyText"/>
        <w:spacing w:before="5"/>
        <w:rPr>
          <w:sz w:val="12"/>
        </w:rPr>
      </w:pPr>
      <w:r>
        <w:rPr/>
        <w:pict>
          <v:group style="position:absolute;margin-left:376.562988pt;margin-top:53.414013pt;width:161.550pt;height:722.35pt;mso-position-horizontal-relative:page;mso-position-vertical-relative:page;z-index:251870208" coordorigin="7531,1068" coordsize="3231,14447">
            <v:shape style="position:absolute;left:7531;top:1068;width:3231;height:14315" coordorigin="7531,1068" coordsize="3231,14315" path="m10592,1068l7701,1068,7603,1071,7553,1090,7534,1140,7531,1238,7531,15213,7534,15311,7553,15361,7603,15380,7701,15383,10592,15383,10690,15380,10740,15361,10759,15311,10762,15213,10762,1238,10759,1140,10740,1090,10690,1071,10592,1068xe" filled="true" fillcolor="#7c7c7c" stroked="false">
              <v:path arrowok="t"/>
              <v:fill type="solid"/>
            </v:shape>
            <v:shape style="position:absolute;left:7533;top:13251;width:3227;height:2263" type="#_x0000_t75" stroked="false">
              <v:imagedata r:id="rId262" o:title=""/>
            </v:shape>
            <v:shape style="position:absolute;left:7531;top:1068;width:3231;height:14447" type="#_x0000_t202" filled="false" stroked="false">
              <v:textbox inset="0,0,0,0">
                <w:txbxContent>
                  <w:p>
                    <w:pPr>
                      <w:spacing w:line="240" w:lineRule="auto" w:before="0"/>
                      <w:rPr>
                        <w:sz w:val="24"/>
                      </w:rPr>
                    </w:pPr>
                  </w:p>
                  <w:p>
                    <w:pPr>
                      <w:spacing w:line="240" w:lineRule="auto" w:before="3"/>
                      <w:rPr>
                        <w:sz w:val="21"/>
                      </w:rPr>
                    </w:pPr>
                  </w:p>
                  <w:p>
                    <w:pPr>
                      <w:spacing w:line="256" w:lineRule="auto" w:before="0"/>
                      <w:ind w:left="246" w:right="708" w:hanging="1"/>
                      <w:jc w:val="left"/>
                      <w:rPr>
                        <w:b/>
                        <w:sz w:val="20"/>
                      </w:rPr>
                    </w:pPr>
                    <w:r>
                      <w:rPr>
                        <w:b/>
                        <w:color w:val="FFFFFF"/>
                        <w:w w:val="110"/>
                        <w:sz w:val="20"/>
                      </w:rPr>
                      <w:t>Dependent  upon a wheelchair</w:t>
                    </w:r>
                    <w:r>
                      <w:rPr>
                        <w:b/>
                        <w:color w:val="FFFFFF"/>
                        <w:spacing w:val="-26"/>
                        <w:w w:val="110"/>
                        <w:sz w:val="20"/>
                      </w:rPr>
                      <w:t> </w:t>
                    </w:r>
                    <w:r>
                      <w:rPr>
                        <w:b/>
                        <w:color w:val="FFFFFF"/>
                        <w:w w:val="110"/>
                        <w:sz w:val="20"/>
                      </w:rPr>
                      <w:t>since</w:t>
                    </w:r>
                  </w:p>
                  <w:p>
                    <w:pPr>
                      <w:spacing w:line="350" w:lineRule="exact" w:before="0"/>
                      <w:ind w:left="246" w:right="0" w:firstLine="0"/>
                      <w:jc w:val="left"/>
                      <w:rPr>
                        <w:b/>
                        <w:sz w:val="38"/>
                      </w:rPr>
                    </w:pPr>
                    <w:r>
                      <w:rPr>
                        <w:b/>
                        <w:color w:val="FFFFFF"/>
                        <w:w w:val="110"/>
                        <w:sz w:val="20"/>
                      </w:rPr>
                      <w:t>girlhood, </w:t>
                    </w:r>
                    <w:r>
                      <w:rPr>
                        <w:b/>
                        <w:w w:val="110"/>
                        <w:position w:val="-7"/>
                        <w:sz w:val="38"/>
                      </w:rPr>
                      <w:t>Janice</w:t>
                    </w:r>
                  </w:p>
                  <w:p>
                    <w:pPr>
                      <w:spacing w:line="213" w:lineRule="exact" w:before="0"/>
                      <w:ind w:left="246" w:right="0" w:firstLine="0"/>
                      <w:jc w:val="left"/>
                      <w:rPr>
                        <w:b/>
                        <w:sz w:val="20"/>
                      </w:rPr>
                    </w:pPr>
                    <w:r>
                      <w:rPr>
                        <w:b/>
                        <w:color w:val="FFFFFF"/>
                        <w:w w:val="110"/>
                        <w:sz w:val="20"/>
                      </w:rPr>
                      <w:t>hopes her rapidly</w:t>
                    </w:r>
                  </w:p>
                  <w:p>
                    <w:pPr>
                      <w:spacing w:line="256" w:lineRule="auto" w:before="17"/>
                      <w:ind w:left="247" w:right="185" w:firstLine="0"/>
                      <w:jc w:val="left"/>
                      <w:rPr>
                        <w:b/>
                        <w:sz w:val="20"/>
                      </w:rPr>
                    </w:pPr>
                    <w:r>
                      <w:rPr>
                        <w:b/>
                        <w:color w:val="FFFFFF"/>
                        <w:w w:val="110"/>
                        <w:sz w:val="20"/>
                      </w:rPr>
                      <w:t>progressing muscular dystrophy won’t claim her life before she has a chance to see her 17-year-old daughter go to college. Despite pain and immobility, Janice says she never would kill herself and thinks it is an awful mistake to allow doctors to prescribe life-ending drugs to</w:t>
                    </w:r>
                  </w:p>
                  <w:p>
                    <w:pPr>
                      <w:spacing w:line="256" w:lineRule="auto" w:before="0"/>
                      <w:ind w:left="247" w:right="232" w:hanging="1"/>
                      <w:jc w:val="left"/>
                      <w:rPr>
                        <w:b/>
                        <w:sz w:val="20"/>
                      </w:rPr>
                    </w:pPr>
                    <w:r>
                      <w:rPr>
                        <w:b/>
                        <w:color w:val="FFFFFF"/>
                        <w:w w:val="110"/>
                        <w:sz w:val="20"/>
                      </w:rPr>
                      <w:t>people facing</w:t>
                    </w:r>
                    <w:r>
                      <w:rPr>
                        <w:b/>
                        <w:color w:val="FFFFFF"/>
                        <w:spacing w:val="-33"/>
                        <w:w w:val="110"/>
                        <w:sz w:val="20"/>
                      </w:rPr>
                      <w:t> </w:t>
                    </w:r>
                    <w:r>
                      <w:rPr>
                        <w:b/>
                        <w:color w:val="FFFFFF"/>
                        <w:w w:val="110"/>
                        <w:sz w:val="20"/>
                      </w:rPr>
                      <w:t>terminal illness. The core of </w:t>
                    </w:r>
                    <w:r>
                      <w:rPr>
                        <w:b/>
                        <w:color w:val="FFFFFF"/>
                        <w:spacing w:val="-3"/>
                        <w:w w:val="110"/>
                        <w:sz w:val="20"/>
                      </w:rPr>
                      <w:t>Janice’s </w:t>
                    </w:r>
                    <w:r>
                      <w:rPr>
                        <w:b/>
                        <w:color w:val="FFFFFF"/>
                        <w:w w:val="110"/>
                        <w:sz w:val="20"/>
                      </w:rPr>
                      <w:t>belief is that life is a gift, no</w:t>
                    </w:r>
                    <w:r>
                      <w:rPr>
                        <w:b/>
                        <w:color w:val="FFFFFF"/>
                        <w:spacing w:val="-29"/>
                        <w:w w:val="110"/>
                        <w:sz w:val="20"/>
                      </w:rPr>
                      <w:t> </w:t>
                    </w:r>
                    <w:r>
                      <w:rPr>
                        <w:b/>
                        <w:color w:val="FFFFFF"/>
                        <w:w w:val="110"/>
                        <w:sz w:val="20"/>
                      </w:rPr>
                      <w:t>matter what the </w:t>
                    </w:r>
                    <w:r>
                      <w:rPr>
                        <w:b/>
                        <w:color w:val="FFFFFF"/>
                        <w:spacing w:val="-3"/>
                        <w:w w:val="110"/>
                        <w:sz w:val="20"/>
                      </w:rPr>
                      <w:t>person’s </w:t>
                    </w:r>
                    <w:r>
                      <w:rPr>
                        <w:b/>
                        <w:color w:val="FFFFFF"/>
                        <w:w w:val="110"/>
                        <w:sz w:val="20"/>
                      </w:rPr>
                      <w:t>situation. Assisted suicide sends the opposite message, she believes. “If someone</w:t>
                    </w:r>
                    <w:r>
                      <w:rPr>
                        <w:b/>
                        <w:color w:val="FFFFFF"/>
                        <w:spacing w:val="-6"/>
                        <w:w w:val="110"/>
                        <w:sz w:val="20"/>
                      </w:rPr>
                      <w:t> </w:t>
                    </w:r>
                    <w:r>
                      <w:rPr>
                        <w:b/>
                        <w:color w:val="FFFFFF"/>
                        <w:w w:val="110"/>
                        <w:sz w:val="20"/>
                      </w:rPr>
                      <w:t>becomes</w:t>
                    </w:r>
                  </w:p>
                  <w:p>
                    <w:pPr>
                      <w:spacing w:line="256" w:lineRule="auto" w:before="0"/>
                      <w:ind w:left="246" w:right="457" w:firstLine="2"/>
                      <w:jc w:val="left"/>
                      <w:rPr>
                        <w:i/>
                        <w:sz w:val="20"/>
                      </w:rPr>
                    </w:pPr>
                    <w:r>
                      <w:rPr>
                        <w:b/>
                        <w:color w:val="FFFFFF"/>
                        <w:w w:val="110"/>
                        <w:sz w:val="20"/>
                      </w:rPr>
                      <w:t>an inconvenience or a bother, we throw them away. It’s a Pandora’s box. We don’t have a clue about what this is going to do in the future</w:t>
                    </w:r>
                    <w:r>
                      <w:rPr>
                        <w:i/>
                        <w:color w:val="FFFFFF"/>
                        <w:w w:val="110"/>
                        <w:sz w:val="20"/>
                      </w:rPr>
                      <w:t>.</w:t>
                    </w:r>
                  </w:p>
                  <w:p>
                    <w:pPr>
                      <w:spacing w:line="240" w:lineRule="auto" w:before="11"/>
                      <w:rPr>
                        <w:i/>
                        <w:sz w:val="17"/>
                      </w:rPr>
                    </w:pPr>
                  </w:p>
                  <w:p>
                    <w:pPr>
                      <w:spacing w:before="0"/>
                      <w:ind w:left="674" w:right="0" w:firstLine="0"/>
                      <w:jc w:val="left"/>
                      <w:rPr>
                        <w:i/>
                        <w:sz w:val="20"/>
                      </w:rPr>
                    </w:pPr>
                    <w:hyperlink r:id="rId263">
                      <w:r>
                        <w:rPr>
                          <w:i/>
                          <w:color w:val="FFFFFF"/>
                          <w:w w:val="110"/>
                          <w:sz w:val="20"/>
                        </w:rPr>
                        <w:t>www.euthanasia.com</w:t>
                      </w:r>
                    </w:hyperlink>
                  </w:p>
                </w:txbxContent>
              </v:textbox>
              <w10:wrap type="none"/>
            </v:shape>
            <w10:wrap type="none"/>
          </v:group>
        </w:pict>
      </w:r>
    </w:p>
    <w:p>
      <w:pPr>
        <w:pStyle w:val="Heading9"/>
        <w:numPr>
          <w:ilvl w:val="0"/>
          <w:numId w:val="102"/>
        </w:numPr>
        <w:tabs>
          <w:tab w:pos="1960" w:val="left" w:leader="none"/>
          <w:tab w:pos="1961" w:val="left" w:leader="none"/>
        </w:tabs>
        <w:spacing w:line="240" w:lineRule="auto" w:before="98" w:after="0"/>
        <w:ind w:left="1960" w:right="0" w:hanging="721"/>
        <w:jc w:val="left"/>
      </w:pPr>
      <w:r>
        <w:rPr>
          <w:spacing w:val="-4"/>
          <w:w w:val="110"/>
        </w:rPr>
        <w:t>Palliative</w:t>
      </w:r>
      <w:r>
        <w:rPr>
          <w:w w:val="110"/>
        </w:rPr>
        <w:t> Care</w:t>
      </w:r>
    </w:p>
    <w:p>
      <w:pPr>
        <w:pStyle w:val="ListParagraph"/>
        <w:numPr>
          <w:ilvl w:val="1"/>
          <w:numId w:val="102"/>
        </w:numPr>
        <w:tabs>
          <w:tab w:pos="1960" w:val="left" w:leader="none"/>
          <w:tab w:pos="1961" w:val="left" w:leader="none"/>
        </w:tabs>
        <w:spacing w:line="273" w:lineRule="auto" w:before="258" w:after="0"/>
        <w:ind w:left="1240" w:right="4720" w:firstLine="0"/>
        <w:jc w:val="left"/>
        <w:rPr>
          <w:sz w:val="18"/>
        </w:rPr>
      </w:pPr>
      <w:r>
        <w:rPr>
          <w:w w:val="110"/>
          <w:sz w:val="18"/>
        </w:rPr>
        <w:t>Good palliative care recognises that each person has unique physical, emotional and spiritual needs, all of which ought to be addressed. It aims neither to hasten death, nor to prolong life at all costs. But accepts that when a patient is dying, the relief of suffering, be it physical, emotional or spiritual, takes precedence </w:t>
      </w:r>
      <w:r>
        <w:rPr>
          <w:spacing w:val="-3"/>
          <w:w w:val="110"/>
          <w:sz w:val="18"/>
        </w:rPr>
        <w:t>over </w:t>
      </w:r>
      <w:r>
        <w:rPr>
          <w:w w:val="110"/>
          <w:sz w:val="18"/>
        </w:rPr>
        <w:t>both of these</w:t>
      </w:r>
      <w:r>
        <w:rPr>
          <w:spacing w:val="-8"/>
          <w:w w:val="110"/>
          <w:sz w:val="18"/>
        </w:rPr>
        <w:t> </w:t>
      </w:r>
      <w:r>
        <w:rPr>
          <w:w w:val="110"/>
          <w:sz w:val="18"/>
        </w:rPr>
        <w:t>concerns.</w:t>
      </w:r>
    </w:p>
    <w:p>
      <w:pPr>
        <w:pStyle w:val="BodyText"/>
        <w:spacing w:before="11"/>
        <w:rPr>
          <w:sz w:val="20"/>
        </w:rPr>
      </w:pPr>
    </w:p>
    <w:p>
      <w:pPr>
        <w:pStyle w:val="ListParagraph"/>
        <w:numPr>
          <w:ilvl w:val="1"/>
          <w:numId w:val="102"/>
        </w:numPr>
        <w:tabs>
          <w:tab w:pos="1960" w:val="left" w:leader="none"/>
          <w:tab w:pos="1961" w:val="left" w:leader="none"/>
        </w:tabs>
        <w:spacing w:line="273" w:lineRule="auto" w:before="0" w:after="0"/>
        <w:ind w:left="1240" w:right="4787" w:firstLine="0"/>
        <w:jc w:val="left"/>
        <w:rPr>
          <w:sz w:val="18"/>
        </w:rPr>
      </w:pPr>
      <w:r>
        <w:rPr>
          <w:spacing w:val="2"/>
          <w:w w:val="110"/>
          <w:sz w:val="18"/>
        </w:rPr>
        <w:t>There </w:t>
      </w:r>
      <w:r>
        <w:rPr>
          <w:w w:val="110"/>
          <w:sz w:val="18"/>
        </w:rPr>
        <w:t>have been rapid advances in palliative </w:t>
      </w:r>
      <w:r>
        <w:rPr>
          <w:spacing w:val="2"/>
          <w:w w:val="110"/>
          <w:sz w:val="18"/>
        </w:rPr>
        <w:t>care </w:t>
      </w:r>
      <w:r>
        <w:rPr>
          <w:w w:val="110"/>
          <w:sz w:val="18"/>
        </w:rPr>
        <w:t>and in the growth of the hospice movement, such that a briefing by the Christian group </w:t>
      </w:r>
      <w:r>
        <w:rPr>
          <w:spacing w:val="3"/>
          <w:w w:val="110"/>
          <w:sz w:val="18"/>
        </w:rPr>
        <w:t>CARE </w:t>
      </w:r>
      <w:r>
        <w:rPr>
          <w:w w:val="110"/>
          <w:sz w:val="18"/>
        </w:rPr>
        <w:t>says succinctly: </w:t>
      </w:r>
      <w:r>
        <w:rPr>
          <w:i/>
          <w:spacing w:val="-3"/>
          <w:w w:val="110"/>
          <w:sz w:val="18"/>
        </w:rPr>
        <w:t>We </w:t>
      </w:r>
      <w:r>
        <w:rPr>
          <w:i/>
          <w:w w:val="110"/>
          <w:sz w:val="18"/>
        </w:rPr>
        <w:t>do not have to kill the patient to kill </w:t>
      </w:r>
      <w:r>
        <w:rPr>
          <w:i/>
          <w:w w:val="110"/>
          <w:sz w:val="18"/>
        </w:rPr>
        <w:t>the symptoms </w:t>
      </w:r>
      <w:r>
        <w:rPr>
          <w:spacing w:val="-3"/>
          <w:w w:val="110"/>
          <w:position w:val="6"/>
          <w:sz w:val="10"/>
        </w:rPr>
        <w:t>(16)</w:t>
      </w:r>
      <w:r>
        <w:rPr>
          <w:spacing w:val="-3"/>
          <w:w w:val="110"/>
          <w:sz w:val="18"/>
        </w:rPr>
        <w:t>. However, </w:t>
      </w:r>
      <w:r>
        <w:rPr>
          <w:w w:val="110"/>
          <w:sz w:val="18"/>
        </w:rPr>
        <w:t>provision and </w:t>
      </w:r>
      <w:r>
        <w:rPr>
          <w:spacing w:val="2"/>
          <w:w w:val="110"/>
          <w:sz w:val="18"/>
        </w:rPr>
        <w:t>expertise  </w:t>
      </w:r>
      <w:r>
        <w:rPr>
          <w:w w:val="110"/>
          <w:sz w:val="18"/>
        </w:rPr>
        <w:t>is not uniformly available. </w:t>
      </w:r>
      <w:r>
        <w:rPr>
          <w:spacing w:val="2"/>
          <w:w w:val="110"/>
          <w:sz w:val="18"/>
        </w:rPr>
        <w:t>There </w:t>
      </w:r>
      <w:r>
        <w:rPr>
          <w:w w:val="110"/>
          <w:sz w:val="18"/>
        </w:rPr>
        <w:t>seems to be general agreement on the need for </w:t>
      </w:r>
      <w:r>
        <w:rPr>
          <w:spacing w:val="2"/>
          <w:w w:val="110"/>
          <w:sz w:val="18"/>
        </w:rPr>
        <w:t>better </w:t>
      </w:r>
      <w:r>
        <w:rPr>
          <w:w w:val="110"/>
          <w:sz w:val="18"/>
        </w:rPr>
        <w:t>provision and for medical </w:t>
      </w:r>
      <w:r>
        <w:rPr>
          <w:spacing w:val="3"/>
          <w:w w:val="110"/>
          <w:sz w:val="18"/>
        </w:rPr>
        <w:t>staff </w:t>
      </w:r>
      <w:r>
        <w:rPr>
          <w:w w:val="110"/>
          <w:sz w:val="18"/>
        </w:rPr>
        <w:t>to be </w:t>
      </w:r>
      <w:r>
        <w:rPr>
          <w:spacing w:val="2"/>
          <w:w w:val="110"/>
          <w:sz w:val="18"/>
        </w:rPr>
        <w:t>better </w:t>
      </w:r>
      <w:r>
        <w:rPr>
          <w:w w:val="110"/>
          <w:sz w:val="18"/>
        </w:rPr>
        <w:t>trained in the</w:t>
      </w:r>
      <w:r>
        <w:rPr>
          <w:spacing w:val="7"/>
          <w:w w:val="110"/>
          <w:sz w:val="18"/>
        </w:rPr>
        <w:t> </w:t>
      </w:r>
      <w:r>
        <w:rPr>
          <w:w w:val="110"/>
          <w:sz w:val="18"/>
        </w:rPr>
        <w:t>discipline</w:t>
      </w:r>
    </w:p>
    <w:p>
      <w:pPr>
        <w:pStyle w:val="BodyText"/>
        <w:spacing w:line="273" w:lineRule="auto" w:before="5"/>
        <w:ind w:left="1240" w:right="4783"/>
        <w:rPr>
          <w:i/>
        </w:rPr>
      </w:pPr>
      <w:r>
        <w:rPr>
          <w:w w:val="110"/>
        </w:rPr>
        <w:t>– a clear point to emerge from the responses to the Church and Society Questionnaire (Section 9 and Appendix A)</w:t>
      </w:r>
      <w:r>
        <w:rPr>
          <w:i/>
          <w:w w:val="110"/>
        </w:rPr>
        <w:t>.</w:t>
      </w:r>
    </w:p>
    <w:p>
      <w:pPr>
        <w:pStyle w:val="BodyText"/>
        <w:rPr>
          <w:i/>
          <w:sz w:val="22"/>
        </w:rPr>
      </w:pPr>
    </w:p>
    <w:p>
      <w:pPr>
        <w:pStyle w:val="BodyText"/>
        <w:spacing w:before="3"/>
        <w:rPr>
          <w:i/>
          <w:sz w:val="19"/>
        </w:rPr>
      </w:pPr>
    </w:p>
    <w:p>
      <w:pPr>
        <w:pStyle w:val="Heading9"/>
        <w:numPr>
          <w:ilvl w:val="0"/>
          <w:numId w:val="102"/>
        </w:numPr>
        <w:tabs>
          <w:tab w:pos="1960" w:val="left" w:leader="none"/>
          <w:tab w:pos="1961" w:val="left" w:leader="none"/>
        </w:tabs>
        <w:spacing w:line="240" w:lineRule="auto" w:before="0" w:after="0"/>
        <w:ind w:left="1960" w:right="0" w:hanging="721"/>
        <w:jc w:val="left"/>
      </w:pPr>
      <w:r>
        <w:rPr>
          <w:w w:val="110"/>
        </w:rPr>
        <w:t>Response to</w:t>
      </w:r>
      <w:r>
        <w:rPr>
          <w:spacing w:val="-4"/>
          <w:w w:val="110"/>
        </w:rPr>
        <w:t> </w:t>
      </w:r>
      <w:r>
        <w:rPr>
          <w:w w:val="110"/>
        </w:rPr>
        <w:t>questionnaire</w:t>
      </w:r>
    </w:p>
    <w:p>
      <w:pPr>
        <w:pStyle w:val="ListParagraph"/>
        <w:numPr>
          <w:ilvl w:val="1"/>
          <w:numId w:val="102"/>
        </w:numPr>
        <w:tabs>
          <w:tab w:pos="1960" w:val="left" w:leader="none"/>
          <w:tab w:pos="1961" w:val="left" w:leader="none"/>
        </w:tabs>
        <w:spacing w:line="273" w:lineRule="auto" w:before="258" w:after="0"/>
        <w:ind w:left="1240" w:right="4861" w:firstLine="0"/>
        <w:jc w:val="left"/>
        <w:rPr>
          <w:sz w:val="18"/>
        </w:rPr>
      </w:pPr>
      <w:r>
        <w:rPr>
          <w:w w:val="110"/>
          <w:sz w:val="18"/>
        </w:rPr>
        <w:t>Church and </w:t>
      </w:r>
      <w:r>
        <w:rPr>
          <w:spacing w:val="2"/>
          <w:w w:val="110"/>
          <w:sz w:val="18"/>
        </w:rPr>
        <w:t>Society </w:t>
      </w:r>
      <w:r>
        <w:rPr>
          <w:w w:val="110"/>
          <w:sz w:val="18"/>
        </w:rPr>
        <w:t>highlighted a number of questions in its questionnaire. By </w:t>
      </w:r>
      <w:r>
        <w:rPr>
          <w:spacing w:val="2"/>
          <w:w w:val="110"/>
          <w:sz w:val="18"/>
        </w:rPr>
        <w:t>February </w:t>
      </w:r>
      <w:r>
        <w:rPr>
          <w:w w:val="110"/>
          <w:sz w:val="18"/>
        </w:rPr>
        <w:t>2007  139 </w:t>
      </w:r>
      <w:r>
        <w:rPr>
          <w:spacing w:val="2"/>
          <w:w w:val="110"/>
          <w:sz w:val="18"/>
        </w:rPr>
        <w:t>responses </w:t>
      </w:r>
      <w:r>
        <w:rPr>
          <w:w w:val="110"/>
          <w:sz w:val="18"/>
        </w:rPr>
        <w:t>had been received, including </w:t>
      </w:r>
      <w:r>
        <w:rPr>
          <w:spacing w:val="-3"/>
          <w:w w:val="110"/>
          <w:sz w:val="18"/>
        </w:rPr>
        <w:t>12 </w:t>
      </w:r>
      <w:r>
        <w:rPr>
          <w:spacing w:val="2"/>
          <w:w w:val="110"/>
          <w:sz w:val="18"/>
        </w:rPr>
        <w:t>from </w:t>
      </w:r>
      <w:r>
        <w:rPr>
          <w:w w:val="110"/>
          <w:sz w:val="18"/>
        </w:rPr>
        <w:t>groups. Trends </w:t>
      </w:r>
      <w:r>
        <w:rPr>
          <w:spacing w:val="2"/>
          <w:w w:val="110"/>
          <w:sz w:val="18"/>
        </w:rPr>
        <w:t>from </w:t>
      </w:r>
      <w:r>
        <w:rPr>
          <w:w w:val="110"/>
          <w:sz w:val="18"/>
        </w:rPr>
        <w:t>the </w:t>
      </w:r>
      <w:r>
        <w:rPr>
          <w:spacing w:val="2"/>
          <w:w w:val="110"/>
          <w:sz w:val="18"/>
        </w:rPr>
        <w:t>responses </w:t>
      </w:r>
      <w:r>
        <w:rPr>
          <w:w w:val="110"/>
          <w:sz w:val="18"/>
        </w:rPr>
        <w:t>are identified below; the questions asked and a fuller list of </w:t>
      </w:r>
      <w:r>
        <w:rPr>
          <w:spacing w:val="2"/>
          <w:w w:val="110"/>
          <w:sz w:val="18"/>
        </w:rPr>
        <w:t>responses </w:t>
      </w:r>
      <w:r>
        <w:rPr>
          <w:w w:val="110"/>
          <w:sz w:val="18"/>
        </w:rPr>
        <w:t>is detailed in Appendix</w:t>
      </w:r>
      <w:r>
        <w:rPr>
          <w:spacing w:val="11"/>
          <w:w w:val="110"/>
          <w:sz w:val="18"/>
        </w:rPr>
        <w:t> </w:t>
      </w:r>
      <w:r>
        <w:rPr>
          <w:w w:val="110"/>
          <w:sz w:val="18"/>
        </w:rPr>
        <w:t>A.</w:t>
      </w:r>
    </w:p>
    <w:p>
      <w:pPr>
        <w:pStyle w:val="BodyText"/>
        <w:spacing w:before="11"/>
        <w:rPr>
          <w:sz w:val="20"/>
        </w:rPr>
      </w:pPr>
    </w:p>
    <w:p>
      <w:pPr>
        <w:pStyle w:val="BodyText"/>
        <w:spacing w:line="273" w:lineRule="auto"/>
        <w:ind w:left="1960" w:right="4783"/>
      </w:pPr>
      <w:r>
        <w:rPr>
          <w:w w:val="110"/>
        </w:rPr>
        <w:t>Many people are worried about becoming a burden as their health fails.</w:t>
      </w:r>
    </w:p>
    <w:p>
      <w:pPr>
        <w:pStyle w:val="BodyText"/>
        <w:spacing w:line="273" w:lineRule="auto" w:before="115"/>
        <w:ind w:left="1960" w:right="4871"/>
      </w:pPr>
      <w:r>
        <w:rPr>
          <w:w w:val="110"/>
        </w:rPr>
        <w:t>Most are not so much afraid of death itself, but have associated fears: being alone, </w:t>
      </w:r>
      <w:r>
        <w:rPr>
          <w:spacing w:val="2"/>
          <w:w w:val="110"/>
        </w:rPr>
        <w:t>suffering </w:t>
      </w:r>
      <w:r>
        <w:rPr>
          <w:w w:val="110"/>
        </w:rPr>
        <w:t>unbearable pain, and losing</w:t>
      </w:r>
      <w:r>
        <w:rPr>
          <w:spacing w:val="45"/>
          <w:w w:val="110"/>
        </w:rPr>
        <w:t> </w:t>
      </w:r>
      <w:r>
        <w:rPr>
          <w:w w:val="110"/>
        </w:rPr>
        <w:t>dignity.</w:t>
      </w:r>
    </w:p>
    <w:p>
      <w:pPr>
        <w:pStyle w:val="BodyText"/>
        <w:spacing w:line="273" w:lineRule="auto" w:before="115"/>
        <w:ind w:left="1960" w:right="4821"/>
      </w:pPr>
      <w:r>
        <w:rPr>
          <w:w w:val="110"/>
        </w:rPr>
        <w:t>Most accept that there may come a time when it is right to withdraw medical intervention,  but that this is not the same as assisting the death of someone who still has quality of</w:t>
      </w:r>
      <w:r>
        <w:rPr>
          <w:spacing w:val="59"/>
          <w:w w:val="110"/>
        </w:rPr>
        <w:t> </w:t>
      </w:r>
      <w:r>
        <w:rPr>
          <w:w w:val="110"/>
        </w:rPr>
        <w:t>life.</w:t>
      </w:r>
    </w:p>
    <w:p>
      <w:pPr>
        <w:pStyle w:val="BodyText"/>
        <w:spacing w:line="273" w:lineRule="auto" w:before="116"/>
        <w:ind w:left="1960" w:right="4966"/>
      </w:pPr>
      <w:r>
        <w:rPr>
          <w:w w:val="110"/>
        </w:rPr>
        <w:t>Most accept that some palliative treatment may hasten death, and are happy with this, as long as the intention of treatment is relief of pain.</w:t>
      </w:r>
    </w:p>
    <w:p>
      <w:pPr>
        <w:pStyle w:val="BodyText"/>
        <w:spacing w:line="273" w:lineRule="auto" w:before="116"/>
        <w:ind w:left="1960" w:right="4783"/>
      </w:pPr>
      <w:r>
        <w:rPr>
          <w:w w:val="110"/>
        </w:rPr>
        <w:t>People do fear that if assisted dying is permitted, the permission may be misused.</w:t>
      </w:r>
    </w:p>
    <w:p>
      <w:pPr>
        <w:pStyle w:val="BodyText"/>
        <w:spacing w:line="273" w:lineRule="auto" w:before="115"/>
        <w:ind w:left="1960" w:right="4966"/>
      </w:pPr>
      <w:r>
        <w:rPr>
          <w:i/>
          <w:w w:val="110"/>
          <w:u w:val="single"/>
        </w:rPr>
        <w:t>Everyone</w:t>
      </w:r>
      <w:r>
        <w:rPr>
          <w:i/>
          <w:w w:val="110"/>
        </w:rPr>
        <w:t> </w:t>
      </w:r>
      <w:r>
        <w:rPr>
          <w:w w:val="110"/>
        </w:rPr>
        <w:t>agrees that palliative care should be better resourced.</w:t>
      </w:r>
    </w:p>
    <w:p>
      <w:pPr>
        <w:spacing w:after="0" w:line="273" w:lineRule="auto"/>
        <w:sectPr>
          <w:pgSz w:w="11910" w:h="16840"/>
          <w:pgMar w:header="558" w:footer="564" w:top="820" w:bottom="760" w:left="460" w:right="0"/>
        </w:sectPr>
      </w:pPr>
    </w:p>
    <w:p>
      <w:pPr>
        <w:pStyle w:val="BodyText"/>
        <w:spacing w:before="5"/>
        <w:rPr>
          <w:sz w:val="12"/>
        </w:rPr>
      </w:pPr>
      <w:r>
        <w:rPr/>
        <w:pict>
          <v:group style="position:absolute;margin-left:366.614014pt;margin-top:58.111015pt;width:171.95pt;height:752.6pt;mso-position-horizontal-relative:page;mso-position-vertical-relative:page;z-index:251872256" coordorigin="7332,1162" coordsize="3439,15052">
            <v:shape style="position:absolute;left:7332;top:1162;width:3439;height:15052" coordorigin="7332,1162" coordsize="3439,15052" path="m10600,1162l7502,1162,7404,1165,7354,1183,7335,1234,7332,1332,7332,16044,7335,16142,7354,16193,7404,16212,7502,16214,10600,16214,10699,16212,10749,16193,10768,16142,10771,16044,10771,1332,10768,1234,10749,1183,10699,1165,10600,1162xe" filled="true" fillcolor="#7c7c7c" stroked="false">
              <v:path arrowok="t"/>
              <v:fill type="solid"/>
            </v:shape>
            <v:shape style="position:absolute;left:7332;top:1162;width:3439;height:15052" type="#_x0000_t202" filled="false" stroked="false">
              <v:textbox inset="0,0,0,0">
                <w:txbxContent>
                  <w:p>
                    <w:pPr>
                      <w:spacing w:before="329"/>
                      <w:ind w:left="246" w:right="0" w:firstLine="0"/>
                      <w:jc w:val="left"/>
                      <w:rPr>
                        <w:b/>
                        <w:sz w:val="38"/>
                      </w:rPr>
                    </w:pPr>
                    <w:r>
                      <w:rPr>
                        <w:b/>
                        <w:w w:val="110"/>
                        <w:sz w:val="38"/>
                      </w:rPr>
                      <w:t>Yvonne,</w:t>
                    </w:r>
                  </w:p>
                  <w:p>
                    <w:pPr>
                      <w:spacing w:line="256" w:lineRule="auto" w:before="19"/>
                      <w:ind w:left="246" w:right="245" w:hanging="1"/>
                      <w:jc w:val="left"/>
                      <w:rPr>
                        <w:b/>
                        <w:sz w:val="20"/>
                      </w:rPr>
                    </w:pPr>
                    <w:r>
                      <w:rPr>
                        <w:b/>
                        <w:color w:val="FFFFFF"/>
                        <w:w w:val="110"/>
                        <w:sz w:val="20"/>
                      </w:rPr>
                      <w:t>had only a distant elderly cousin and was fearful about what would happen if she became terminally ill or mentally incapacitated. She wanted to make provision for that eventuality, so asked various friends and a solicitor to take care</w:t>
                    </w:r>
                  </w:p>
                  <w:p>
                    <w:pPr>
                      <w:spacing w:line="256" w:lineRule="auto" w:before="0"/>
                      <w:ind w:left="248" w:right="396" w:hanging="1"/>
                      <w:jc w:val="left"/>
                      <w:rPr>
                        <w:b/>
                        <w:sz w:val="20"/>
                      </w:rPr>
                    </w:pPr>
                    <w:r>
                      <w:rPr>
                        <w:b/>
                        <w:color w:val="FFFFFF"/>
                        <w:w w:val="110"/>
                        <w:sz w:val="20"/>
                      </w:rPr>
                      <w:t>of her affairs, in that event. She</w:t>
                    </w:r>
                    <w:r>
                      <w:rPr>
                        <w:b/>
                        <w:color w:val="FFFFFF"/>
                        <w:spacing w:val="-55"/>
                        <w:w w:val="110"/>
                        <w:sz w:val="20"/>
                      </w:rPr>
                      <w:t> </w:t>
                    </w:r>
                    <w:r>
                      <w:rPr>
                        <w:b/>
                        <w:color w:val="FFFFFF"/>
                        <w:w w:val="110"/>
                        <w:sz w:val="20"/>
                      </w:rPr>
                      <w:t>approached her minister to take her funeral when</w:t>
                    </w:r>
                  </w:p>
                  <w:p>
                    <w:pPr>
                      <w:spacing w:line="256" w:lineRule="auto" w:before="0"/>
                      <w:ind w:left="248" w:right="402" w:hanging="1"/>
                      <w:jc w:val="left"/>
                      <w:rPr>
                        <w:b/>
                        <w:sz w:val="20"/>
                      </w:rPr>
                    </w:pPr>
                    <w:r>
                      <w:rPr>
                        <w:b/>
                        <w:color w:val="FFFFFF"/>
                        <w:w w:val="110"/>
                        <w:sz w:val="20"/>
                      </w:rPr>
                      <w:t>the time came and </w:t>
                    </w:r>
                    <w:r>
                      <w:rPr>
                        <w:b/>
                        <w:color w:val="FFFFFF"/>
                        <w:spacing w:val="-4"/>
                        <w:w w:val="110"/>
                        <w:sz w:val="20"/>
                      </w:rPr>
                      <w:t>gave </w:t>
                    </w:r>
                    <w:r>
                      <w:rPr>
                        <w:b/>
                        <w:color w:val="FFFFFF"/>
                        <w:w w:val="110"/>
                        <w:sz w:val="20"/>
                      </w:rPr>
                      <w:t>instructions for that too. Sadly she developed cancer just a</w:t>
                    </w:r>
                    <w:r>
                      <w:rPr>
                        <w:b/>
                        <w:color w:val="FFFFFF"/>
                        <w:spacing w:val="-16"/>
                        <w:w w:val="110"/>
                        <w:sz w:val="20"/>
                      </w:rPr>
                      <w:t> </w:t>
                    </w:r>
                    <w:r>
                      <w:rPr>
                        <w:b/>
                        <w:color w:val="FFFFFF"/>
                        <w:w w:val="110"/>
                        <w:sz w:val="20"/>
                      </w:rPr>
                      <w:t>few</w:t>
                    </w:r>
                    <w:r>
                      <w:rPr>
                        <w:b/>
                        <w:color w:val="FFFFFF"/>
                        <w:spacing w:val="-16"/>
                        <w:w w:val="110"/>
                        <w:sz w:val="20"/>
                      </w:rPr>
                      <w:t> </w:t>
                    </w:r>
                    <w:r>
                      <w:rPr>
                        <w:b/>
                        <w:color w:val="FFFFFF"/>
                        <w:w w:val="110"/>
                        <w:sz w:val="20"/>
                      </w:rPr>
                      <w:t>years</w:t>
                    </w:r>
                    <w:r>
                      <w:rPr>
                        <w:b/>
                        <w:color w:val="FFFFFF"/>
                        <w:spacing w:val="-15"/>
                        <w:w w:val="110"/>
                        <w:sz w:val="20"/>
                      </w:rPr>
                      <w:t> </w:t>
                    </w:r>
                    <w:r>
                      <w:rPr>
                        <w:b/>
                        <w:color w:val="FFFFFF"/>
                        <w:spacing w:val="-4"/>
                        <w:w w:val="110"/>
                        <w:sz w:val="20"/>
                      </w:rPr>
                      <w:t>later,</w:t>
                    </w:r>
                    <w:r>
                      <w:rPr>
                        <w:b/>
                        <w:color w:val="FFFFFF"/>
                        <w:spacing w:val="-15"/>
                        <w:w w:val="110"/>
                        <w:sz w:val="20"/>
                      </w:rPr>
                      <w:t> </w:t>
                    </w:r>
                    <w:r>
                      <w:rPr>
                        <w:b/>
                        <w:color w:val="FFFFFF"/>
                        <w:w w:val="110"/>
                        <w:sz w:val="20"/>
                      </w:rPr>
                      <w:t>went though all the</w:t>
                    </w:r>
                    <w:r>
                      <w:rPr>
                        <w:b/>
                        <w:color w:val="FFFFFF"/>
                        <w:spacing w:val="-32"/>
                        <w:w w:val="110"/>
                        <w:sz w:val="20"/>
                      </w:rPr>
                      <w:t> </w:t>
                    </w:r>
                    <w:r>
                      <w:rPr>
                        <w:b/>
                        <w:color w:val="FFFFFF"/>
                        <w:w w:val="110"/>
                        <w:sz w:val="20"/>
                      </w:rPr>
                      <w:t>usual</w:t>
                    </w:r>
                  </w:p>
                  <w:p>
                    <w:pPr>
                      <w:spacing w:line="256" w:lineRule="auto" w:before="0"/>
                      <w:ind w:left="249" w:right="255" w:firstLine="0"/>
                      <w:jc w:val="left"/>
                      <w:rPr>
                        <w:b/>
                        <w:sz w:val="20"/>
                      </w:rPr>
                    </w:pPr>
                    <w:r>
                      <w:rPr>
                        <w:b/>
                        <w:color w:val="FFFFFF"/>
                        <w:w w:val="110"/>
                        <w:sz w:val="20"/>
                      </w:rPr>
                      <w:t>treatments and yet</w:t>
                    </w:r>
                    <w:r>
                      <w:rPr>
                        <w:b/>
                        <w:color w:val="FFFFFF"/>
                        <w:spacing w:val="-56"/>
                        <w:w w:val="110"/>
                        <w:sz w:val="20"/>
                      </w:rPr>
                      <w:t> </w:t>
                    </w:r>
                    <w:r>
                      <w:rPr>
                        <w:b/>
                        <w:color w:val="FFFFFF"/>
                        <w:w w:val="110"/>
                        <w:sz w:val="20"/>
                      </w:rPr>
                      <w:t>died a </w:t>
                    </w:r>
                    <w:r>
                      <w:rPr>
                        <w:b/>
                        <w:color w:val="FFFFFF"/>
                        <w:spacing w:val="-3"/>
                        <w:w w:val="110"/>
                        <w:sz w:val="20"/>
                      </w:rPr>
                      <w:t>year </w:t>
                    </w:r>
                    <w:r>
                      <w:rPr>
                        <w:b/>
                        <w:color w:val="FFFFFF"/>
                        <w:spacing w:val="-4"/>
                        <w:w w:val="110"/>
                        <w:sz w:val="20"/>
                      </w:rPr>
                      <w:t>later, </w:t>
                    </w:r>
                    <w:r>
                      <w:rPr>
                        <w:b/>
                        <w:color w:val="FFFFFF"/>
                        <w:w w:val="110"/>
                        <w:sz w:val="20"/>
                      </w:rPr>
                      <w:t>after the expectation and hope that she </w:t>
                    </w:r>
                    <w:r>
                      <w:rPr>
                        <w:b/>
                        <w:color w:val="FFFFFF"/>
                        <w:spacing w:val="-2"/>
                        <w:w w:val="110"/>
                        <w:sz w:val="20"/>
                      </w:rPr>
                      <w:t>would</w:t>
                    </w:r>
                    <w:r>
                      <w:rPr>
                        <w:b/>
                        <w:color w:val="FFFFFF"/>
                        <w:spacing w:val="-24"/>
                        <w:w w:val="110"/>
                        <w:sz w:val="20"/>
                      </w:rPr>
                      <w:t> </w:t>
                    </w:r>
                    <w:r>
                      <w:rPr>
                        <w:b/>
                        <w:color w:val="FFFFFF"/>
                        <w:spacing w:val="-4"/>
                        <w:w w:val="110"/>
                        <w:sz w:val="20"/>
                      </w:rPr>
                      <w:t>have</w:t>
                    </w:r>
                  </w:p>
                  <w:p>
                    <w:pPr>
                      <w:spacing w:before="0"/>
                      <w:ind w:left="246" w:right="0" w:firstLine="0"/>
                      <w:jc w:val="left"/>
                      <w:rPr>
                        <w:b/>
                        <w:sz w:val="20"/>
                      </w:rPr>
                    </w:pPr>
                    <w:r>
                      <w:rPr>
                        <w:b/>
                        <w:color w:val="FFFFFF"/>
                        <w:w w:val="110"/>
                        <w:sz w:val="20"/>
                      </w:rPr>
                      <w:t>2-3 more years.</w:t>
                    </w:r>
                  </w:p>
                  <w:p>
                    <w:pPr>
                      <w:spacing w:line="240" w:lineRule="auto" w:before="7"/>
                      <w:rPr>
                        <w:b/>
                        <w:sz w:val="22"/>
                      </w:rPr>
                    </w:pPr>
                  </w:p>
                  <w:p>
                    <w:pPr>
                      <w:spacing w:line="256" w:lineRule="auto" w:before="0"/>
                      <w:ind w:left="246" w:right="214" w:hanging="1"/>
                      <w:jc w:val="left"/>
                      <w:rPr>
                        <w:b/>
                        <w:sz w:val="20"/>
                      </w:rPr>
                    </w:pPr>
                    <w:r>
                      <w:rPr>
                        <w:b/>
                        <w:color w:val="FFFFFF"/>
                        <w:w w:val="110"/>
                        <w:sz w:val="20"/>
                      </w:rPr>
                      <w:t>She died after just a few weeks in a hospice, supported by the</w:t>
                    </w:r>
                    <w:r>
                      <w:rPr>
                        <w:b/>
                        <w:color w:val="FFFFFF"/>
                        <w:spacing w:val="-53"/>
                        <w:w w:val="110"/>
                        <w:sz w:val="20"/>
                      </w:rPr>
                      <w:t> </w:t>
                    </w:r>
                    <w:r>
                      <w:rPr>
                        <w:b/>
                        <w:color w:val="FFFFFF"/>
                        <w:w w:val="110"/>
                        <w:sz w:val="20"/>
                      </w:rPr>
                      <w:t>church and surrounded by </w:t>
                    </w:r>
                    <w:r>
                      <w:rPr>
                        <w:b/>
                        <w:color w:val="FFFFFF"/>
                        <w:spacing w:val="-3"/>
                        <w:w w:val="110"/>
                        <w:sz w:val="20"/>
                      </w:rPr>
                      <w:t>many </w:t>
                    </w:r>
                    <w:r>
                      <w:rPr>
                        <w:b/>
                        <w:color w:val="FFFFFF"/>
                        <w:w w:val="110"/>
                        <w:sz w:val="20"/>
                      </w:rPr>
                      <w:t>friends who really valued her friendship and had great </w:t>
                    </w:r>
                    <w:r>
                      <w:rPr>
                        <w:b/>
                        <w:color w:val="FFFFFF"/>
                        <w:spacing w:val="-3"/>
                        <w:w w:val="110"/>
                        <w:sz w:val="20"/>
                      </w:rPr>
                      <w:t>love </w:t>
                    </w:r>
                    <w:r>
                      <w:rPr>
                        <w:b/>
                        <w:color w:val="FFFFFF"/>
                        <w:w w:val="110"/>
                        <w:sz w:val="20"/>
                      </w:rPr>
                      <w:t>for </w:t>
                    </w:r>
                    <w:r>
                      <w:rPr>
                        <w:b/>
                        <w:color w:val="FFFFFF"/>
                        <w:spacing w:val="-5"/>
                        <w:w w:val="110"/>
                        <w:sz w:val="20"/>
                      </w:rPr>
                      <w:t>her. </w:t>
                    </w:r>
                    <w:r>
                      <w:rPr>
                        <w:b/>
                        <w:color w:val="FFFFFF"/>
                        <w:w w:val="110"/>
                        <w:sz w:val="20"/>
                      </w:rPr>
                      <w:t>She was</w:t>
                    </w:r>
                    <w:r>
                      <w:rPr>
                        <w:b/>
                        <w:color w:val="FFFFFF"/>
                        <w:spacing w:val="-21"/>
                        <w:w w:val="110"/>
                        <w:sz w:val="20"/>
                      </w:rPr>
                      <w:t> </w:t>
                    </w:r>
                    <w:r>
                      <w:rPr>
                        <w:b/>
                        <w:color w:val="FFFFFF"/>
                        <w:w w:val="110"/>
                        <w:sz w:val="20"/>
                      </w:rPr>
                      <w:t>afraid</w:t>
                    </w:r>
                  </w:p>
                  <w:p>
                    <w:pPr>
                      <w:spacing w:line="256" w:lineRule="auto" w:before="0"/>
                      <w:ind w:left="246" w:right="396" w:firstLine="1"/>
                      <w:jc w:val="left"/>
                      <w:rPr>
                        <w:b/>
                        <w:sz w:val="20"/>
                      </w:rPr>
                    </w:pPr>
                    <w:r>
                      <w:rPr>
                        <w:b/>
                        <w:color w:val="FFFFFF"/>
                        <w:w w:val="110"/>
                        <w:sz w:val="20"/>
                      </w:rPr>
                      <w:t>of pain, and had a Living Will in place. When she knew there was no coming back, she bravely faced</w:t>
                    </w:r>
                  </w:p>
                  <w:p>
                    <w:pPr>
                      <w:spacing w:line="256" w:lineRule="auto" w:before="0"/>
                      <w:ind w:left="247" w:right="245" w:hanging="1"/>
                      <w:jc w:val="left"/>
                      <w:rPr>
                        <w:b/>
                        <w:sz w:val="20"/>
                      </w:rPr>
                    </w:pPr>
                    <w:r>
                      <w:rPr>
                        <w:b/>
                        <w:color w:val="FFFFFF"/>
                        <w:w w:val="110"/>
                        <w:sz w:val="20"/>
                      </w:rPr>
                      <w:t>the inevitability of death. She prepared herself with prayers of confession, was prayed with on numerous occasions, she was anointed and found a deep peace, but would often ask: ‘Is today</w:t>
                    </w:r>
                  </w:p>
                  <w:p>
                    <w:pPr>
                      <w:spacing w:line="256" w:lineRule="auto" w:before="0"/>
                      <w:ind w:left="247" w:right="0" w:hanging="1"/>
                      <w:jc w:val="left"/>
                      <w:rPr>
                        <w:b/>
                        <w:sz w:val="20"/>
                      </w:rPr>
                    </w:pPr>
                    <w:r>
                      <w:rPr>
                        <w:b/>
                        <w:color w:val="FFFFFF"/>
                        <w:w w:val="110"/>
                        <w:sz w:val="20"/>
                      </w:rPr>
                      <w:t>the day when I will die. When will it be?’</w:t>
                    </w:r>
                  </w:p>
                  <w:p>
                    <w:pPr>
                      <w:spacing w:line="256" w:lineRule="auto" w:before="0"/>
                      <w:ind w:left="246" w:right="199" w:hanging="1"/>
                      <w:jc w:val="left"/>
                      <w:rPr>
                        <w:b/>
                        <w:sz w:val="38"/>
                      </w:rPr>
                    </w:pPr>
                    <w:r>
                      <w:rPr>
                        <w:b/>
                        <w:color w:val="FFFFFF"/>
                        <w:w w:val="110"/>
                        <w:sz w:val="20"/>
                      </w:rPr>
                      <w:t>Other patients came </w:t>
                    </w:r>
                    <w:r>
                      <w:rPr>
                        <w:b/>
                        <w:color w:val="FFFFFF"/>
                        <w:spacing w:val="-3"/>
                        <w:w w:val="110"/>
                        <w:sz w:val="20"/>
                      </w:rPr>
                      <w:t>i</w:t>
                    </w:r>
                    <w:r>
                      <w:rPr>
                        <w:b/>
                        <w:color w:val="FFFFFF"/>
                        <w:spacing w:val="-2"/>
                        <w:w w:val="109"/>
                        <w:sz w:val="20"/>
                      </w:rPr>
                      <w:t>n</w:t>
                    </w:r>
                    <w:r>
                      <w:rPr>
                        <w:b/>
                        <w:color w:val="FFFFFF"/>
                        <w:w w:val="110"/>
                        <w:sz w:val="20"/>
                      </w:rPr>
                      <w:t>to</w:t>
                    </w:r>
                    <w:r>
                      <w:rPr>
                        <w:b/>
                        <w:color w:val="FFFFFF"/>
                        <w:spacing w:val="2"/>
                        <w:sz w:val="20"/>
                      </w:rPr>
                      <w:t> </w:t>
                    </w:r>
                    <w:r>
                      <w:rPr>
                        <w:b/>
                        <w:color w:val="FFFFFF"/>
                        <w:spacing w:val="-2"/>
                        <w:w w:val="109"/>
                        <w:sz w:val="20"/>
                      </w:rPr>
                      <w:t>h</w:t>
                    </w:r>
                    <w:r>
                      <w:rPr>
                        <w:b/>
                        <w:color w:val="FFFFFF"/>
                        <w:w w:val="109"/>
                        <w:sz w:val="20"/>
                      </w:rPr>
                      <w:t>er</w:t>
                    </w:r>
                    <w:r>
                      <w:rPr>
                        <w:b/>
                        <w:color w:val="FFFFFF"/>
                        <w:spacing w:val="2"/>
                        <w:sz w:val="20"/>
                      </w:rPr>
                      <w:t> </w:t>
                    </w:r>
                    <w:r>
                      <w:rPr>
                        <w:b/>
                        <w:color w:val="FFFFFF"/>
                        <w:w w:val="109"/>
                        <w:sz w:val="20"/>
                      </w:rPr>
                      <w:t>s</w:t>
                    </w:r>
                    <w:r>
                      <w:rPr>
                        <w:b/>
                        <w:color w:val="FFFFFF"/>
                        <w:spacing w:val="-2"/>
                        <w:w w:val="109"/>
                        <w:sz w:val="20"/>
                      </w:rPr>
                      <w:t>m</w:t>
                    </w:r>
                    <w:r>
                      <w:rPr>
                        <w:b/>
                        <w:color w:val="FFFFFF"/>
                        <w:spacing w:val="-3"/>
                        <w:w w:val="110"/>
                        <w:sz w:val="20"/>
                      </w:rPr>
                      <w:t>al</w:t>
                    </w:r>
                    <w:r>
                      <w:rPr>
                        <w:b/>
                        <w:color w:val="FFFFFF"/>
                        <w:w w:val="110"/>
                        <w:sz w:val="20"/>
                      </w:rPr>
                      <w:t>l</w:t>
                    </w:r>
                    <w:r>
                      <w:rPr>
                        <w:b/>
                        <w:color w:val="FFFFFF"/>
                        <w:spacing w:val="2"/>
                        <w:sz w:val="20"/>
                      </w:rPr>
                      <w:t> </w:t>
                    </w:r>
                    <w:r>
                      <w:rPr>
                        <w:b/>
                        <w:color w:val="FFFFFF"/>
                        <w:spacing w:val="-3"/>
                        <w:w w:val="109"/>
                        <w:sz w:val="20"/>
                      </w:rPr>
                      <w:t>w</w:t>
                    </w:r>
                    <w:r>
                      <w:rPr>
                        <w:b/>
                        <w:color w:val="FFFFFF"/>
                        <w:spacing w:val="-3"/>
                        <w:w w:val="110"/>
                        <w:sz w:val="20"/>
                      </w:rPr>
                      <w:t>a</w:t>
                    </w:r>
                    <w:r>
                      <w:rPr>
                        <w:b/>
                        <w:color w:val="FFFFFF"/>
                        <w:spacing w:val="1"/>
                        <w:w w:val="109"/>
                        <w:sz w:val="20"/>
                      </w:rPr>
                      <w:t>r</w:t>
                    </w:r>
                    <w:r>
                      <w:rPr>
                        <w:b/>
                        <w:color w:val="FFFFFF"/>
                        <w:w w:val="109"/>
                        <w:sz w:val="20"/>
                      </w:rPr>
                      <w:t>d</w:t>
                    </w:r>
                    <w:r>
                      <w:rPr>
                        <w:b/>
                        <w:color w:val="FFFFFF"/>
                        <w:spacing w:val="2"/>
                        <w:sz w:val="20"/>
                      </w:rPr>
                      <w:t> </w:t>
                    </w:r>
                    <w:r>
                      <w:rPr>
                        <w:b/>
                        <w:color w:val="FFFFFF"/>
                        <w:spacing w:val="-43"/>
                        <w:w w:val="110"/>
                        <w:sz w:val="20"/>
                      </w:rPr>
                      <w:t>a</w:t>
                    </w:r>
                    <w:r>
                      <w:rPr>
                        <w:b/>
                        <w:spacing w:val="-112"/>
                        <w:w w:val="110"/>
                        <w:position w:val="-25"/>
                        <w:sz w:val="38"/>
                      </w:rPr>
                      <w:t>.</w:t>
                    </w:r>
                    <w:r>
                      <w:rPr>
                        <w:b/>
                        <w:color w:val="FFFFFF"/>
                        <w:spacing w:val="-55"/>
                        <w:w w:val="109"/>
                        <w:sz w:val="20"/>
                      </w:rPr>
                      <w:t>n</w:t>
                    </w:r>
                    <w:r>
                      <w:rPr>
                        <w:b/>
                        <w:spacing w:val="-98"/>
                        <w:w w:val="110"/>
                        <w:position w:val="-25"/>
                        <w:sz w:val="38"/>
                      </w:rPr>
                      <w:t>.</w:t>
                    </w:r>
                    <w:r>
                      <w:rPr>
                        <w:b/>
                        <w:color w:val="FFFFFF"/>
                        <w:spacing w:val="-66"/>
                        <w:w w:val="109"/>
                        <w:sz w:val="20"/>
                      </w:rPr>
                      <w:t>d</w:t>
                    </w:r>
                    <w:r>
                      <w:rPr>
                        <w:b/>
                        <w:w w:val="110"/>
                        <w:position w:val="-25"/>
                        <w:sz w:val="38"/>
                      </w:rPr>
                      <w:t>.</w:t>
                    </w:r>
                  </w:p>
                </w:txbxContent>
              </v:textbox>
              <w10:wrap type="none"/>
            </v:shape>
            <w10:wrap type="none"/>
          </v:group>
        </w:pict>
      </w:r>
    </w:p>
    <w:p>
      <w:pPr>
        <w:pStyle w:val="Heading9"/>
        <w:numPr>
          <w:ilvl w:val="0"/>
          <w:numId w:val="102"/>
        </w:numPr>
        <w:tabs>
          <w:tab w:pos="1394" w:val="left" w:leader="none"/>
        </w:tabs>
        <w:spacing w:line="240" w:lineRule="auto" w:before="98" w:after="0"/>
        <w:ind w:left="1393" w:right="0" w:hanging="721"/>
        <w:jc w:val="left"/>
      </w:pPr>
      <w:r>
        <w:rPr>
          <w:w w:val="110"/>
        </w:rPr>
        <w:t>Conclusion</w:t>
      </w:r>
    </w:p>
    <w:p>
      <w:pPr>
        <w:pStyle w:val="ListParagraph"/>
        <w:numPr>
          <w:ilvl w:val="1"/>
          <w:numId w:val="102"/>
        </w:numPr>
        <w:tabs>
          <w:tab w:pos="1393" w:val="left" w:leader="none"/>
          <w:tab w:pos="1394" w:val="left" w:leader="none"/>
        </w:tabs>
        <w:spacing w:line="273" w:lineRule="auto" w:before="258" w:after="0"/>
        <w:ind w:left="673" w:right="5842" w:firstLine="0"/>
        <w:jc w:val="left"/>
        <w:rPr>
          <w:sz w:val="18"/>
        </w:rPr>
      </w:pPr>
      <w:r>
        <w:rPr>
          <w:w w:val="110"/>
          <w:sz w:val="18"/>
        </w:rPr>
        <w:t>Church and </w:t>
      </w:r>
      <w:r>
        <w:rPr>
          <w:spacing w:val="2"/>
          <w:w w:val="110"/>
          <w:sz w:val="18"/>
        </w:rPr>
        <w:t>Society </w:t>
      </w:r>
      <w:r>
        <w:rPr>
          <w:w w:val="110"/>
          <w:sz w:val="18"/>
        </w:rPr>
        <w:t>encourages General Assembly to recognise that </w:t>
      </w:r>
      <w:r>
        <w:rPr>
          <w:spacing w:val="2"/>
          <w:w w:val="110"/>
          <w:sz w:val="18"/>
        </w:rPr>
        <w:t>Assisted </w:t>
      </w:r>
      <w:r>
        <w:rPr>
          <w:w w:val="110"/>
          <w:sz w:val="18"/>
        </w:rPr>
        <w:t>Dying is a complex subject; advances in technology and medicine pose new challenges. </w:t>
      </w:r>
      <w:r>
        <w:rPr>
          <w:spacing w:val="-3"/>
          <w:w w:val="110"/>
          <w:sz w:val="18"/>
        </w:rPr>
        <w:t>We </w:t>
      </w:r>
      <w:r>
        <w:rPr>
          <w:w w:val="110"/>
          <w:sz w:val="18"/>
        </w:rPr>
        <w:t>believe there is a time to die, and we recognise that there</w:t>
      </w:r>
      <w:r>
        <w:rPr>
          <w:spacing w:val="3"/>
          <w:w w:val="110"/>
          <w:sz w:val="18"/>
        </w:rPr>
        <w:t> </w:t>
      </w:r>
      <w:r>
        <w:rPr>
          <w:w w:val="110"/>
          <w:sz w:val="18"/>
        </w:rPr>
        <w:t>are</w:t>
      </w:r>
    </w:p>
    <w:p>
      <w:pPr>
        <w:pStyle w:val="BodyText"/>
        <w:spacing w:line="273" w:lineRule="auto" w:before="3"/>
        <w:ind w:left="673" w:right="5623"/>
      </w:pPr>
      <w:r>
        <w:rPr>
          <w:w w:val="110"/>
        </w:rPr>
        <w:t>circumstances in which it will be wrong to continue to provide treatment designed to prolong life.</w:t>
      </w:r>
    </w:p>
    <w:p>
      <w:pPr>
        <w:pStyle w:val="BodyText"/>
        <w:spacing w:line="273" w:lineRule="auto" w:before="1"/>
        <w:ind w:left="673" w:right="5722"/>
      </w:pPr>
      <w:r>
        <w:rPr>
          <w:spacing w:val="-3"/>
          <w:w w:val="110"/>
        </w:rPr>
        <w:t>However, </w:t>
      </w:r>
      <w:r>
        <w:rPr>
          <w:w w:val="110"/>
        </w:rPr>
        <w:t>we do not believe it is right to empower, or to give </w:t>
      </w:r>
      <w:r>
        <w:rPr>
          <w:spacing w:val="2"/>
          <w:w w:val="110"/>
        </w:rPr>
        <w:t>doctors </w:t>
      </w:r>
      <w:r>
        <w:rPr>
          <w:w w:val="110"/>
        </w:rPr>
        <w:t>responsibility for providing, medical intervention which deliberately </w:t>
      </w:r>
      <w:r>
        <w:rPr>
          <w:spacing w:val="2"/>
          <w:w w:val="110"/>
        </w:rPr>
        <w:t>seeks </w:t>
      </w:r>
      <w:r>
        <w:rPr>
          <w:w w:val="110"/>
        </w:rPr>
        <w:t>to assist a patient to die. </w:t>
      </w:r>
      <w:r>
        <w:rPr>
          <w:spacing w:val="-3"/>
          <w:w w:val="110"/>
        </w:rPr>
        <w:t>We </w:t>
      </w:r>
      <w:r>
        <w:rPr>
          <w:w w:val="110"/>
        </w:rPr>
        <w:t>recognise that these  are </w:t>
      </w:r>
      <w:r>
        <w:rPr>
          <w:spacing w:val="2"/>
          <w:w w:val="110"/>
        </w:rPr>
        <w:t>often matters </w:t>
      </w:r>
      <w:r>
        <w:rPr>
          <w:w w:val="110"/>
        </w:rPr>
        <w:t>of fine judgment but we do not </w:t>
      </w:r>
      <w:r>
        <w:rPr>
          <w:spacing w:val="2"/>
          <w:w w:val="110"/>
        </w:rPr>
        <w:t>support </w:t>
      </w:r>
      <w:r>
        <w:rPr>
          <w:w w:val="110"/>
        </w:rPr>
        <w:t>changes to legislation to allow assisted dying or</w:t>
      </w:r>
      <w:r>
        <w:rPr>
          <w:spacing w:val="2"/>
          <w:w w:val="110"/>
        </w:rPr>
        <w:t> </w:t>
      </w:r>
      <w:r>
        <w:rPr>
          <w:w w:val="110"/>
        </w:rPr>
        <w:t>euthanasia.</w:t>
      </w:r>
    </w:p>
    <w:p>
      <w:pPr>
        <w:pStyle w:val="BodyText"/>
        <w:rPr>
          <w:sz w:val="21"/>
        </w:rPr>
      </w:pPr>
    </w:p>
    <w:p>
      <w:pPr>
        <w:pStyle w:val="ListParagraph"/>
        <w:numPr>
          <w:ilvl w:val="1"/>
          <w:numId w:val="102"/>
        </w:numPr>
        <w:tabs>
          <w:tab w:pos="1393" w:val="left" w:leader="none"/>
          <w:tab w:pos="1394" w:val="left" w:leader="none"/>
        </w:tabs>
        <w:spacing w:line="273" w:lineRule="auto" w:before="0" w:after="0"/>
        <w:ind w:left="673" w:right="5546" w:firstLine="0"/>
        <w:jc w:val="left"/>
        <w:rPr>
          <w:sz w:val="18"/>
        </w:rPr>
      </w:pPr>
      <w:r>
        <w:rPr>
          <w:spacing w:val="2"/>
          <w:w w:val="110"/>
          <w:sz w:val="18"/>
        </w:rPr>
        <w:t>There </w:t>
      </w:r>
      <w:r>
        <w:rPr>
          <w:w w:val="110"/>
          <w:sz w:val="18"/>
        </w:rPr>
        <w:t>is clearly considerable interest in the subject within the Church. Many people have views born out of personal experience of seeing </w:t>
      </w:r>
      <w:r>
        <w:rPr>
          <w:spacing w:val="2"/>
          <w:w w:val="110"/>
          <w:sz w:val="18"/>
        </w:rPr>
        <w:t>suffering </w:t>
      </w:r>
      <w:r>
        <w:rPr>
          <w:w w:val="110"/>
          <w:sz w:val="18"/>
        </w:rPr>
        <w:t>in body, mind or spirit – or all three. Most have experienced the death of a loved one and</w:t>
      </w:r>
      <w:r>
        <w:rPr>
          <w:spacing w:val="42"/>
          <w:w w:val="110"/>
          <w:sz w:val="18"/>
        </w:rPr>
        <w:t> </w:t>
      </w:r>
      <w:r>
        <w:rPr>
          <w:w w:val="110"/>
          <w:sz w:val="18"/>
        </w:rPr>
        <w:t>that</w:t>
      </w:r>
    </w:p>
    <w:p>
      <w:pPr>
        <w:pStyle w:val="BodyText"/>
        <w:spacing w:line="273" w:lineRule="auto" w:before="3"/>
        <w:ind w:left="673" w:right="5956"/>
      </w:pPr>
      <w:r>
        <w:rPr>
          <w:w w:val="110"/>
        </w:rPr>
        <w:t>has helped form their view on death and the way of dying. Sensitivity rather than dogmatic pronouncement is therefore required.</w:t>
      </w:r>
    </w:p>
    <w:p>
      <w:pPr>
        <w:pStyle w:val="BodyText"/>
        <w:spacing w:before="8"/>
        <w:rPr>
          <w:sz w:val="20"/>
        </w:rPr>
      </w:pPr>
    </w:p>
    <w:p>
      <w:pPr>
        <w:pStyle w:val="ListParagraph"/>
        <w:numPr>
          <w:ilvl w:val="1"/>
          <w:numId w:val="102"/>
        </w:numPr>
        <w:tabs>
          <w:tab w:pos="1393" w:val="left" w:leader="none"/>
          <w:tab w:pos="1394" w:val="left" w:leader="none"/>
        </w:tabs>
        <w:spacing w:line="273" w:lineRule="auto" w:before="0" w:after="0"/>
        <w:ind w:left="673" w:right="5511" w:firstLine="0"/>
        <w:jc w:val="left"/>
        <w:rPr>
          <w:sz w:val="18"/>
        </w:rPr>
      </w:pPr>
      <w:r>
        <w:rPr>
          <w:spacing w:val="-3"/>
          <w:w w:val="110"/>
          <w:sz w:val="18"/>
        </w:rPr>
        <w:t>We </w:t>
      </w:r>
      <w:r>
        <w:rPr>
          <w:w w:val="110"/>
          <w:sz w:val="18"/>
        </w:rPr>
        <w:t>recognise that the issues raised have implications for the Church and the pastoral </w:t>
      </w:r>
      <w:r>
        <w:rPr>
          <w:spacing w:val="2"/>
          <w:w w:val="110"/>
          <w:sz w:val="18"/>
        </w:rPr>
        <w:t>care </w:t>
      </w:r>
      <w:r>
        <w:rPr>
          <w:w w:val="110"/>
          <w:sz w:val="18"/>
        </w:rPr>
        <w:t>of the chronically sick and the terminally ill. </w:t>
      </w:r>
      <w:r>
        <w:rPr>
          <w:spacing w:val="2"/>
          <w:w w:val="110"/>
          <w:sz w:val="18"/>
        </w:rPr>
        <w:t>There </w:t>
      </w:r>
      <w:r>
        <w:rPr>
          <w:w w:val="110"/>
          <w:sz w:val="18"/>
        </w:rPr>
        <w:t>is   a need to </w:t>
      </w:r>
      <w:r>
        <w:rPr>
          <w:spacing w:val="2"/>
          <w:w w:val="110"/>
          <w:sz w:val="18"/>
        </w:rPr>
        <w:t>offer </w:t>
      </w:r>
      <w:r>
        <w:rPr>
          <w:w w:val="110"/>
          <w:sz w:val="18"/>
        </w:rPr>
        <w:t>prayerful support, for </w:t>
      </w:r>
      <w:r>
        <w:rPr>
          <w:spacing w:val="3"/>
          <w:w w:val="110"/>
          <w:sz w:val="18"/>
        </w:rPr>
        <w:t>sufferers </w:t>
      </w:r>
      <w:r>
        <w:rPr>
          <w:w w:val="110"/>
          <w:sz w:val="18"/>
        </w:rPr>
        <w:t>and </w:t>
      </w:r>
      <w:r>
        <w:rPr>
          <w:spacing w:val="2"/>
          <w:w w:val="110"/>
          <w:sz w:val="18"/>
        </w:rPr>
        <w:t>carers. </w:t>
      </w:r>
      <w:r>
        <w:rPr>
          <w:spacing w:val="-3"/>
          <w:w w:val="110"/>
          <w:sz w:val="18"/>
        </w:rPr>
        <w:t>We  </w:t>
      </w:r>
      <w:r>
        <w:rPr>
          <w:w w:val="110"/>
          <w:sz w:val="18"/>
        </w:rPr>
        <w:t>recognise pain can be in body, mind</w:t>
      </w:r>
      <w:r>
        <w:rPr>
          <w:spacing w:val="69"/>
          <w:w w:val="110"/>
          <w:sz w:val="18"/>
        </w:rPr>
        <w:t> </w:t>
      </w:r>
      <w:r>
        <w:rPr>
          <w:w w:val="110"/>
          <w:sz w:val="18"/>
        </w:rPr>
        <w:t>and spirit, and that </w:t>
      </w:r>
      <w:r>
        <w:rPr>
          <w:spacing w:val="2"/>
          <w:w w:val="110"/>
          <w:sz w:val="18"/>
        </w:rPr>
        <w:t>care </w:t>
      </w:r>
      <w:r>
        <w:rPr>
          <w:w w:val="110"/>
          <w:sz w:val="18"/>
        </w:rPr>
        <w:t>must be taken to address all</w:t>
      </w:r>
      <w:r>
        <w:rPr>
          <w:spacing w:val="-1"/>
          <w:w w:val="110"/>
          <w:sz w:val="18"/>
        </w:rPr>
        <w:t> </w:t>
      </w:r>
      <w:r>
        <w:rPr>
          <w:w w:val="110"/>
          <w:sz w:val="18"/>
        </w:rPr>
        <w:t>three.</w:t>
      </w:r>
    </w:p>
    <w:p>
      <w:pPr>
        <w:pStyle w:val="BodyText"/>
        <w:spacing w:before="12"/>
        <w:rPr>
          <w:sz w:val="20"/>
        </w:rPr>
      </w:pPr>
    </w:p>
    <w:p>
      <w:pPr>
        <w:pStyle w:val="ListParagraph"/>
        <w:numPr>
          <w:ilvl w:val="1"/>
          <w:numId w:val="102"/>
        </w:numPr>
        <w:tabs>
          <w:tab w:pos="1393" w:val="left" w:leader="none"/>
          <w:tab w:pos="1394" w:val="left" w:leader="none"/>
        </w:tabs>
        <w:spacing w:line="273" w:lineRule="auto" w:before="0" w:after="0"/>
        <w:ind w:left="673" w:right="5455" w:firstLine="0"/>
        <w:jc w:val="left"/>
        <w:rPr>
          <w:sz w:val="18"/>
        </w:rPr>
      </w:pPr>
      <w:r>
        <w:rPr>
          <w:spacing w:val="-3"/>
          <w:w w:val="110"/>
          <w:sz w:val="18"/>
        </w:rPr>
        <w:t>We </w:t>
      </w:r>
      <w:r>
        <w:rPr>
          <w:w w:val="110"/>
          <w:sz w:val="18"/>
        </w:rPr>
        <w:t>recognise and </w:t>
      </w:r>
      <w:r>
        <w:rPr>
          <w:spacing w:val="3"/>
          <w:w w:val="110"/>
          <w:sz w:val="18"/>
        </w:rPr>
        <w:t>respect </w:t>
      </w:r>
      <w:r>
        <w:rPr>
          <w:w w:val="110"/>
          <w:sz w:val="18"/>
        </w:rPr>
        <w:t>the </w:t>
      </w:r>
      <w:r>
        <w:rPr>
          <w:spacing w:val="2"/>
          <w:w w:val="110"/>
          <w:sz w:val="18"/>
        </w:rPr>
        <w:t>fact </w:t>
      </w:r>
      <w:r>
        <w:rPr>
          <w:w w:val="110"/>
          <w:sz w:val="18"/>
        </w:rPr>
        <w:t>that those of other faiths, or no faith, may have a different  view of life, death and</w:t>
      </w:r>
      <w:r>
        <w:rPr>
          <w:spacing w:val="11"/>
          <w:w w:val="110"/>
          <w:sz w:val="18"/>
        </w:rPr>
        <w:t> </w:t>
      </w:r>
      <w:r>
        <w:rPr>
          <w:w w:val="110"/>
          <w:sz w:val="18"/>
        </w:rPr>
        <w:t>suffering.</w:t>
      </w:r>
    </w:p>
    <w:p>
      <w:pPr>
        <w:pStyle w:val="BodyText"/>
        <w:spacing w:before="8"/>
        <w:rPr>
          <w:sz w:val="20"/>
        </w:rPr>
      </w:pPr>
    </w:p>
    <w:p>
      <w:pPr>
        <w:pStyle w:val="ListParagraph"/>
        <w:numPr>
          <w:ilvl w:val="1"/>
          <w:numId w:val="102"/>
        </w:numPr>
        <w:tabs>
          <w:tab w:pos="1393" w:val="left" w:leader="none"/>
          <w:tab w:pos="1394" w:val="left" w:leader="none"/>
        </w:tabs>
        <w:spacing w:line="273" w:lineRule="auto" w:before="0" w:after="0"/>
        <w:ind w:left="673" w:right="5408" w:firstLine="0"/>
        <w:jc w:val="left"/>
        <w:rPr>
          <w:sz w:val="18"/>
        </w:rPr>
      </w:pPr>
      <w:r>
        <w:rPr>
          <w:w w:val="110"/>
          <w:sz w:val="18"/>
        </w:rPr>
        <w:t>Whilst acknowledging the dilemma and anxiety which sometimes surrounds terminal illness, we believe the vulnerable might be at risk </w:t>
      </w:r>
      <w:r>
        <w:rPr>
          <w:spacing w:val="2"/>
          <w:w w:val="110"/>
          <w:sz w:val="18"/>
        </w:rPr>
        <w:t>from </w:t>
      </w:r>
      <w:r>
        <w:rPr>
          <w:w w:val="110"/>
          <w:sz w:val="18"/>
        </w:rPr>
        <w:t>possible abuse of legislation that would empower medical </w:t>
      </w:r>
      <w:r>
        <w:rPr>
          <w:spacing w:val="3"/>
          <w:w w:val="110"/>
          <w:sz w:val="18"/>
        </w:rPr>
        <w:t>staff </w:t>
      </w:r>
      <w:r>
        <w:rPr>
          <w:w w:val="110"/>
          <w:sz w:val="18"/>
        </w:rPr>
        <w:t>to intervene in ways which deliberately seek to assist a patient to die. </w:t>
      </w:r>
      <w:r>
        <w:rPr>
          <w:spacing w:val="-3"/>
          <w:w w:val="110"/>
          <w:sz w:val="18"/>
        </w:rPr>
        <w:t>However, </w:t>
      </w:r>
      <w:r>
        <w:rPr>
          <w:w w:val="110"/>
          <w:sz w:val="18"/>
        </w:rPr>
        <w:t>we do </w:t>
      </w:r>
      <w:r>
        <w:rPr>
          <w:spacing w:val="2"/>
          <w:w w:val="110"/>
          <w:sz w:val="18"/>
        </w:rPr>
        <w:t>support </w:t>
      </w:r>
      <w:r>
        <w:rPr>
          <w:w w:val="110"/>
          <w:sz w:val="18"/>
        </w:rPr>
        <w:t>the right that terminally ill patients already have, to decline treatment that might prolong</w:t>
      </w:r>
      <w:r>
        <w:rPr>
          <w:spacing w:val="50"/>
          <w:w w:val="110"/>
          <w:sz w:val="18"/>
        </w:rPr>
        <w:t> </w:t>
      </w:r>
      <w:r>
        <w:rPr>
          <w:w w:val="110"/>
          <w:sz w:val="18"/>
        </w:rPr>
        <w:t>life.</w:t>
      </w:r>
    </w:p>
    <w:p>
      <w:pPr>
        <w:spacing w:after="0" w:line="273" w:lineRule="auto"/>
        <w:jc w:val="left"/>
        <w:rPr>
          <w:sz w:val="18"/>
        </w:rPr>
        <w:sectPr>
          <w:pgSz w:w="11910" w:h="16840"/>
          <w:pgMar w:header="558" w:footer="564" w:top="820" w:bottom="720" w:left="460" w:right="0"/>
        </w:sectPr>
      </w:pPr>
    </w:p>
    <w:p>
      <w:pPr>
        <w:pStyle w:val="BodyText"/>
        <w:spacing w:before="5"/>
        <w:rPr>
          <w:sz w:val="12"/>
        </w:rPr>
      </w:pPr>
      <w:r>
        <w:rPr/>
        <w:pict>
          <v:group style="position:absolute;margin-left:55.275993pt;margin-top:57.402016pt;width:160.9pt;height:752.4pt;mso-position-horizontal-relative:page;mso-position-vertical-relative:page;z-index:251874304" coordorigin="1106,1148" coordsize="3218,15048">
            <v:shape style="position:absolute;left:1105;top:1148;width:3218;height:14315" coordorigin="1106,1148" coordsize="3218,14315" path="m4153,1148l1276,1148,1177,1151,1127,1169,1108,1220,1106,1318,1106,15292,1108,15391,1127,15441,1177,15460,1276,15462,4153,15462,4251,15460,4302,15441,4320,15391,4323,15292,4323,1318,4320,1220,4302,1169,4251,1151,4153,1148xe" filled="true" fillcolor="#7c7c7c" stroked="false">
              <v:path arrowok="t"/>
              <v:fill type="solid"/>
            </v:shape>
            <v:shape style="position:absolute;left:1105;top:14329;width:3218;height:1867" type="#_x0000_t75" stroked="false">
              <v:imagedata r:id="rId264" o:title=""/>
            </v:shape>
            <v:shape style="position:absolute;left:1105;top:1148;width:3218;height:15048" type="#_x0000_t202" filled="false" stroked="false">
              <v:textbox inset="0,0,0,0">
                <w:txbxContent>
                  <w:p>
                    <w:pPr>
                      <w:spacing w:line="451" w:lineRule="exact" w:before="109"/>
                      <w:ind w:left="246" w:right="0" w:firstLine="0"/>
                      <w:jc w:val="left"/>
                      <w:rPr>
                        <w:b/>
                        <w:sz w:val="38"/>
                      </w:rPr>
                    </w:pPr>
                    <w:r>
                      <w:rPr>
                        <w:b/>
                        <w:w w:val="110"/>
                        <w:sz w:val="38"/>
                      </w:rPr>
                      <w:t>...</w:t>
                    </w:r>
                  </w:p>
                  <w:p>
                    <w:pPr>
                      <w:spacing w:line="256" w:lineRule="auto" w:before="0"/>
                      <w:ind w:left="246" w:right="275" w:hanging="1"/>
                      <w:jc w:val="left"/>
                      <w:rPr>
                        <w:b/>
                        <w:sz w:val="20"/>
                      </w:rPr>
                    </w:pPr>
                    <w:r>
                      <w:rPr>
                        <w:b/>
                        <w:color w:val="FFFFFF"/>
                        <w:w w:val="110"/>
                        <w:sz w:val="20"/>
                      </w:rPr>
                      <w:t>occupied the other beds, and died and she was still there witnessing their deaths. Painkilling morphine helped her, but also had other side effects. She</w:t>
                    </w:r>
                  </w:p>
                  <w:p>
                    <w:pPr>
                      <w:spacing w:line="256" w:lineRule="auto" w:before="0"/>
                      <w:ind w:left="246" w:right="24" w:firstLine="0"/>
                      <w:jc w:val="left"/>
                      <w:rPr>
                        <w:b/>
                        <w:sz w:val="20"/>
                      </w:rPr>
                    </w:pPr>
                    <w:r>
                      <w:rPr>
                        <w:b/>
                        <w:color w:val="FFFFFF"/>
                        <w:w w:val="110"/>
                        <w:sz w:val="20"/>
                      </w:rPr>
                      <w:t>did not want to be artificially fed or to have more intrusive surgery, she was kept comfortable and pain free, but as she got weaker, she said:</w:t>
                    </w:r>
                  </w:p>
                  <w:p>
                    <w:pPr>
                      <w:spacing w:line="256" w:lineRule="auto" w:before="0"/>
                      <w:ind w:left="246" w:right="570" w:hanging="1"/>
                      <w:jc w:val="left"/>
                      <w:rPr>
                        <w:b/>
                        <w:sz w:val="20"/>
                      </w:rPr>
                    </w:pPr>
                    <w:r>
                      <w:rPr>
                        <w:b/>
                        <w:color w:val="FFFFFF"/>
                        <w:w w:val="110"/>
                        <w:sz w:val="20"/>
                      </w:rPr>
                      <w:t>‘I am ready for the Lord to take me, there is no more</w:t>
                    </w:r>
                  </w:p>
                  <w:p>
                    <w:pPr>
                      <w:spacing w:line="256" w:lineRule="auto" w:before="0"/>
                      <w:ind w:left="247" w:right="275" w:hanging="1"/>
                      <w:jc w:val="left"/>
                      <w:rPr>
                        <w:b/>
                        <w:sz w:val="20"/>
                      </w:rPr>
                    </w:pPr>
                    <w:r>
                      <w:rPr>
                        <w:b/>
                        <w:color w:val="FFFFFF"/>
                        <w:w w:val="110"/>
                        <w:sz w:val="20"/>
                      </w:rPr>
                      <w:t>I can do for anyone’. Over the weeks she slowly got weaker and when she died she had close friends around her.</w:t>
                    </w:r>
                  </w:p>
                  <w:p>
                    <w:pPr>
                      <w:spacing w:line="240" w:lineRule="auto" w:before="4"/>
                      <w:rPr>
                        <w:b/>
                        <w:sz w:val="20"/>
                      </w:rPr>
                    </w:pPr>
                  </w:p>
                  <w:p>
                    <w:pPr>
                      <w:spacing w:line="256" w:lineRule="auto" w:before="0"/>
                      <w:ind w:left="246" w:right="570" w:firstLine="0"/>
                      <w:jc w:val="left"/>
                      <w:rPr>
                        <w:b/>
                        <w:sz w:val="20"/>
                      </w:rPr>
                    </w:pPr>
                    <w:r>
                      <w:rPr>
                        <w:b/>
                        <w:color w:val="FFFFFF"/>
                        <w:w w:val="110"/>
                        <w:sz w:val="20"/>
                      </w:rPr>
                      <w:t>The minister took her funeral as she had requested</w:t>
                    </w:r>
                    <w:r>
                      <w:rPr>
                        <w:b/>
                        <w:color w:val="FFFFFF"/>
                        <w:spacing w:val="-17"/>
                        <w:w w:val="110"/>
                        <w:sz w:val="20"/>
                      </w:rPr>
                      <w:t> </w:t>
                    </w:r>
                    <w:r>
                      <w:rPr>
                        <w:b/>
                        <w:color w:val="FFFFFF"/>
                        <w:w w:val="110"/>
                        <w:sz w:val="20"/>
                      </w:rPr>
                      <w:t>with her </w:t>
                    </w:r>
                    <w:r>
                      <w:rPr>
                        <w:b/>
                        <w:color w:val="FFFFFF"/>
                        <w:spacing w:val="-3"/>
                        <w:w w:val="110"/>
                        <w:sz w:val="20"/>
                      </w:rPr>
                      <w:t>hymns </w:t>
                    </w:r>
                    <w:r>
                      <w:rPr>
                        <w:b/>
                        <w:color w:val="FFFFFF"/>
                        <w:w w:val="110"/>
                        <w:sz w:val="20"/>
                      </w:rPr>
                      <w:t>and wishes</w:t>
                    </w:r>
                    <w:r>
                      <w:rPr>
                        <w:b/>
                        <w:color w:val="FFFFFF"/>
                        <w:spacing w:val="-7"/>
                        <w:w w:val="110"/>
                        <w:sz w:val="20"/>
                      </w:rPr>
                      <w:t> </w:t>
                    </w:r>
                    <w:r>
                      <w:rPr>
                        <w:b/>
                        <w:color w:val="FFFFFF"/>
                        <w:w w:val="110"/>
                        <w:sz w:val="20"/>
                      </w:rPr>
                      <w:t>adhered</w:t>
                    </w:r>
                  </w:p>
                  <w:p>
                    <w:pPr>
                      <w:spacing w:line="256" w:lineRule="auto" w:before="0"/>
                      <w:ind w:left="246" w:right="259" w:firstLine="0"/>
                      <w:jc w:val="left"/>
                      <w:rPr>
                        <w:b/>
                        <w:sz w:val="20"/>
                      </w:rPr>
                    </w:pPr>
                    <w:r>
                      <w:rPr>
                        <w:b/>
                        <w:color w:val="FFFFFF"/>
                        <w:w w:val="110"/>
                        <w:sz w:val="20"/>
                      </w:rPr>
                      <w:t>to. Her church was packed, with friends. The singing was</w:t>
                    </w:r>
                    <w:r>
                      <w:rPr>
                        <w:b/>
                        <w:color w:val="FFFFFF"/>
                        <w:spacing w:val="-27"/>
                        <w:w w:val="110"/>
                        <w:sz w:val="20"/>
                      </w:rPr>
                      <w:t> </w:t>
                    </w:r>
                    <w:r>
                      <w:rPr>
                        <w:b/>
                        <w:color w:val="FFFFFF"/>
                        <w:spacing w:val="-4"/>
                        <w:w w:val="110"/>
                        <w:sz w:val="20"/>
                      </w:rPr>
                      <w:t>great </w:t>
                    </w:r>
                    <w:r>
                      <w:rPr>
                        <w:b/>
                        <w:color w:val="FFFFFF"/>
                        <w:w w:val="110"/>
                        <w:sz w:val="20"/>
                      </w:rPr>
                      <w:t>as they </w:t>
                    </w:r>
                    <w:r>
                      <w:rPr>
                        <w:b/>
                        <w:color w:val="FFFFFF"/>
                        <w:spacing w:val="-4"/>
                        <w:w w:val="110"/>
                        <w:sz w:val="20"/>
                      </w:rPr>
                      <w:t>gave </w:t>
                    </w:r>
                    <w:r>
                      <w:rPr>
                        <w:b/>
                        <w:color w:val="FFFFFF"/>
                        <w:w w:val="110"/>
                        <w:sz w:val="20"/>
                      </w:rPr>
                      <w:t>thanks for her life. She used her Living Will, died with dignity and </w:t>
                    </w:r>
                    <w:r>
                      <w:rPr>
                        <w:b/>
                        <w:color w:val="FFFFFF"/>
                        <w:spacing w:val="-3"/>
                        <w:w w:val="110"/>
                        <w:sz w:val="20"/>
                      </w:rPr>
                      <w:t>love </w:t>
                    </w:r>
                    <w:r>
                      <w:rPr>
                        <w:b/>
                        <w:color w:val="FFFFFF"/>
                        <w:w w:val="110"/>
                        <w:sz w:val="20"/>
                      </w:rPr>
                      <w:t>surrounding </w:t>
                    </w:r>
                    <w:r>
                      <w:rPr>
                        <w:b/>
                        <w:color w:val="FFFFFF"/>
                        <w:spacing w:val="-5"/>
                        <w:w w:val="110"/>
                        <w:sz w:val="20"/>
                      </w:rPr>
                      <w:t>her, </w:t>
                    </w:r>
                    <w:r>
                      <w:rPr>
                        <w:b/>
                        <w:color w:val="FFFFFF"/>
                        <w:w w:val="110"/>
                        <w:sz w:val="20"/>
                      </w:rPr>
                      <w:t>she had refused some treatment when it was no longer going to be</w:t>
                    </w:r>
                    <w:r>
                      <w:rPr>
                        <w:b/>
                        <w:color w:val="FFFFFF"/>
                        <w:spacing w:val="-13"/>
                        <w:w w:val="110"/>
                        <w:sz w:val="20"/>
                      </w:rPr>
                      <w:t> </w:t>
                    </w:r>
                    <w:r>
                      <w:rPr>
                        <w:b/>
                        <w:color w:val="FFFFFF"/>
                        <w:w w:val="110"/>
                        <w:sz w:val="20"/>
                      </w:rPr>
                      <w:t>beneficial,</w:t>
                    </w:r>
                  </w:p>
                  <w:p>
                    <w:pPr>
                      <w:spacing w:line="256" w:lineRule="auto" w:before="0"/>
                      <w:ind w:left="246" w:right="375" w:hanging="1"/>
                      <w:jc w:val="left"/>
                      <w:rPr>
                        <w:b/>
                        <w:sz w:val="20"/>
                      </w:rPr>
                    </w:pPr>
                    <w:r>
                      <w:rPr>
                        <w:b/>
                        <w:color w:val="FFFFFF"/>
                        <w:w w:val="110"/>
                        <w:sz w:val="20"/>
                      </w:rPr>
                      <w:t>and was ready to die when the time</w:t>
                    </w:r>
                    <w:r>
                      <w:rPr>
                        <w:b/>
                        <w:color w:val="FFFFFF"/>
                        <w:spacing w:val="-27"/>
                        <w:w w:val="110"/>
                        <w:sz w:val="20"/>
                      </w:rPr>
                      <w:t> </w:t>
                    </w:r>
                    <w:r>
                      <w:rPr>
                        <w:b/>
                        <w:color w:val="FFFFFF"/>
                        <w:w w:val="110"/>
                        <w:sz w:val="20"/>
                      </w:rPr>
                      <w:t>came, and totally at peace with herself</w:t>
                    </w:r>
                    <w:r>
                      <w:rPr>
                        <w:b/>
                        <w:color w:val="FFFFFF"/>
                        <w:spacing w:val="-12"/>
                        <w:w w:val="110"/>
                        <w:sz w:val="20"/>
                      </w:rPr>
                      <w:t> </w:t>
                    </w:r>
                    <w:r>
                      <w:rPr>
                        <w:b/>
                        <w:color w:val="FFFFFF"/>
                        <w:w w:val="110"/>
                        <w:sz w:val="20"/>
                      </w:rPr>
                      <w:t>and</w:t>
                    </w:r>
                  </w:p>
                  <w:p>
                    <w:pPr>
                      <w:spacing w:line="256" w:lineRule="auto" w:before="0"/>
                      <w:ind w:left="247" w:right="0" w:firstLine="0"/>
                      <w:jc w:val="left"/>
                      <w:rPr>
                        <w:b/>
                        <w:sz w:val="20"/>
                      </w:rPr>
                    </w:pPr>
                    <w:r>
                      <w:rPr>
                        <w:b/>
                        <w:color w:val="FFFFFF"/>
                        <w:w w:val="110"/>
                        <w:sz w:val="20"/>
                      </w:rPr>
                      <w:t>her Lord and those around her.</w:t>
                    </w:r>
                  </w:p>
                </w:txbxContent>
              </v:textbox>
              <w10:wrap type="none"/>
            </v:shape>
            <w10:wrap type="none"/>
          </v:group>
        </w:pict>
      </w:r>
    </w:p>
    <w:p>
      <w:pPr>
        <w:pStyle w:val="Heading9"/>
        <w:numPr>
          <w:ilvl w:val="0"/>
          <w:numId w:val="102"/>
        </w:numPr>
        <w:tabs>
          <w:tab w:pos="4928" w:val="left" w:leader="none"/>
        </w:tabs>
        <w:spacing w:line="240" w:lineRule="auto" w:before="98" w:after="0"/>
        <w:ind w:left="4927" w:right="0" w:hanging="721"/>
        <w:jc w:val="left"/>
      </w:pPr>
      <w:r>
        <w:rPr>
          <w:w w:val="110"/>
        </w:rPr>
        <w:t>References</w:t>
      </w:r>
    </w:p>
    <w:p>
      <w:pPr>
        <w:pStyle w:val="ListParagraph"/>
        <w:numPr>
          <w:ilvl w:val="0"/>
          <w:numId w:val="103"/>
        </w:numPr>
        <w:tabs>
          <w:tab w:pos="4888" w:val="left" w:leader="none"/>
          <w:tab w:pos="4889" w:val="left" w:leader="none"/>
        </w:tabs>
        <w:spacing w:line="264" w:lineRule="auto" w:before="258" w:after="0"/>
        <w:ind w:left="4888" w:right="1297" w:hanging="681"/>
        <w:jc w:val="left"/>
        <w:rPr>
          <w:sz w:val="18"/>
        </w:rPr>
      </w:pPr>
      <w:r>
        <w:rPr>
          <w:w w:val="110"/>
          <w:sz w:val="18"/>
        </w:rPr>
        <w:t>United Reformed Church. </w:t>
      </w:r>
      <w:r>
        <w:rPr>
          <w:i/>
          <w:w w:val="110"/>
          <w:sz w:val="18"/>
        </w:rPr>
        <w:t>A Time to Die. A resource </w:t>
      </w:r>
      <w:r>
        <w:rPr>
          <w:i/>
          <w:w w:val="110"/>
          <w:sz w:val="18"/>
        </w:rPr>
        <w:t>pack for the churches.</w:t>
      </w:r>
      <w:r>
        <w:rPr>
          <w:i/>
          <w:spacing w:val="6"/>
          <w:w w:val="110"/>
          <w:sz w:val="18"/>
        </w:rPr>
        <w:t> </w:t>
      </w:r>
      <w:r>
        <w:rPr>
          <w:w w:val="110"/>
          <w:sz w:val="18"/>
        </w:rPr>
        <w:t>2002</w:t>
      </w:r>
    </w:p>
    <w:p>
      <w:pPr>
        <w:pStyle w:val="ListParagraph"/>
        <w:numPr>
          <w:ilvl w:val="0"/>
          <w:numId w:val="103"/>
        </w:numPr>
        <w:tabs>
          <w:tab w:pos="4888" w:val="left" w:leader="none"/>
          <w:tab w:pos="4889" w:val="left" w:leader="none"/>
        </w:tabs>
        <w:spacing w:line="264" w:lineRule="auto" w:before="140" w:after="0"/>
        <w:ind w:left="4888" w:right="1419" w:hanging="681"/>
        <w:jc w:val="left"/>
        <w:rPr>
          <w:sz w:val="18"/>
        </w:rPr>
      </w:pPr>
      <w:r>
        <w:rPr>
          <w:w w:val="110"/>
          <w:sz w:val="18"/>
        </w:rPr>
        <w:t>United Reformed Church. </w:t>
      </w:r>
      <w:r>
        <w:rPr>
          <w:i/>
          <w:w w:val="110"/>
          <w:sz w:val="18"/>
        </w:rPr>
        <w:t>General Assembly 2006. </w:t>
      </w:r>
      <w:r>
        <w:rPr>
          <w:i/>
          <w:w w:val="110"/>
          <w:sz w:val="18"/>
        </w:rPr>
        <w:t>Annual </w:t>
      </w:r>
      <w:r>
        <w:rPr>
          <w:i/>
          <w:spacing w:val="2"/>
          <w:w w:val="110"/>
          <w:sz w:val="18"/>
        </w:rPr>
        <w:t>report, </w:t>
      </w:r>
      <w:r>
        <w:rPr>
          <w:i/>
          <w:w w:val="110"/>
          <w:sz w:val="18"/>
        </w:rPr>
        <w:t>resolutions and papers</w:t>
      </w:r>
      <w:r>
        <w:rPr>
          <w:w w:val="110"/>
          <w:sz w:val="18"/>
        </w:rPr>
        <w:t>. Page </w:t>
      </w:r>
      <w:r>
        <w:rPr>
          <w:spacing w:val="-3"/>
          <w:w w:val="110"/>
          <w:sz w:val="18"/>
        </w:rPr>
        <w:t>52, </w:t>
      </w:r>
      <w:r>
        <w:rPr>
          <w:w w:val="110"/>
          <w:sz w:val="18"/>
        </w:rPr>
        <w:t>para. 5.3.</w:t>
      </w:r>
    </w:p>
    <w:p>
      <w:pPr>
        <w:pStyle w:val="ListParagraph"/>
        <w:numPr>
          <w:ilvl w:val="0"/>
          <w:numId w:val="103"/>
        </w:numPr>
        <w:tabs>
          <w:tab w:pos="4887" w:val="left" w:leader="none"/>
          <w:tab w:pos="4889" w:val="left" w:leader="none"/>
        </w:tabs>
        <w:spacing w:line="264" w:lineRule="auto" w:before="140" w:after="0"/>
        <w:ind w:left="4888" w:right="1381" w:hanging="681"/>
        <w:jc w:val="left"/>
        <w:rPr>
          <w:sz w:val="18"/>
        </w:rPr>
      </w:pPr>
      <w:r>
        <w:rPr>
          <w:i/>
          <w:w w:val="110"/>
          <w:sz w:val="18"/>
        </w:rPr>
        <w:t>Assisted Dying for the Terminally Ill Bill</w:t>
      </w:r>
      <w:r>
        <w:rPr>
          <w:w w:val="110"/>
          <w:sz w:val="18"/>
        </w:rPr>
        <w:t>. Printed 9 November 2005. Full </w:t>
      </w:r>
      <w:r>
        <w:rPr>
          <w:spacing w:val="2"/>
          <w:w w:val="110"/>
          <w:sz w:val="18"/>
        </w:rPr>
        <w:t>text </w:t>
      </w:r>
      <w:r>
        <w:rPr>
          <w:w w:val="110"/>
          <w:sz w:val="18"/>
        </w:rPr>
        <w:t>available at </w:t>
      </w:r>
      <w:hyperlink r:id="rId265">
        <w:r>
          <w:rPr>
            <w:spacing w:val="-3"/>
            <w:w w:val="110"/>
            <w:sz w:val="18"/>
          </w:rPr>
          <w:t>http://www.</w:t>
        </w:r>
      </w:hyperlink>
      <w:r>
        <w:rPr>
          <w:spacing w:val="-3"/>
          <w:w w:val="110"/>
          <w:sz w:val="18"/>
        </w:rPr>
        <w:t> </w:t>
      </w:r>
      <w:r>
        <w:rPr>
          <w:w w:val="110"/>
          <w:sz w:val="18"/>
        </w:rPr>
        <w:t>publications.parliament.uk/pa/pabills/200506/ assisted_dying_for_the_terminally_ill.htm</w:t>
      </w:r>
    </w:p>
    <w:p>
      <w:pPr>
        <w:pStyle w:val="ListParagraph"/>
        <w:numPr>
          <w:ilvl w:val="0"/>
          <w:numId w:val="103"/>
        </w:numPr>
        <w:tabs>
          <w:tab w:pos="4887" w:val="left" w:leader="none"/>
          <w:tab w:pos="4888" w:val="left" w:leader="none"/>
        </w:tabs>
        <w:spacing w:line="240" w:lineRule="auto" w:before="139" w:after="0"/>
        <w:ind w:left="4887" w:right="0" w:hanging="681"/>
        <w:jc w:val="left"/>
        <w:rPr>
          <w:sz w:val="18"/>
        </w:rPr>
      </w:pPr>
      <w:r>
        <w:rPr>
          <w:i/>
          <w:w w:val="110"/>
          <w:sz w:val="18"/>
        </w:rPr>
        <w:t>Church Times</w:t>
      </w:r>
      <w:r>
        <w:rPr>
          <w:w w:val="110"/>
          <w:sz w:val="18"/>
        </w:rPr>
        <w:t>. </w:t>
      </w:r>
      <w:r>
        <w:rPr>
          <w:spacing w:val="-5"/>
          <w:w w:val="110"/>
          <w:sz w:val="18"/>
        </w:rPr>
        <w:t>19 </w:t>
      </w:r>
      <w:r>
        <w:rPr>
          <w:w w:val="110"/>
          <w:sz w:val="18"/>
        </w:rPr>
        <w:t>May</w:t>
      </w:r>
      <w:r>
        <w:rPr>
          <w:spacing w:val="10"/>
          <w:w w:val="110"/>
          <w:sz w:val="18"/>
        </w:rPr>
        <w:t> </w:t>
      </w:r>
      <w:r>
        <w:rPr>
          <w:w w:val="110"/>
          <w:sz w:val="18"/>
        </w:rPr>
        <w:t>2006</w:t>
      </w:r>
    </w:p>
    <w:p>
      <w:pPr>
        <w:pStyle w:val="ListParagraph"/>
        <w:numPr>
          <w:ilvl w:val="0"/>
          <w:numId w:val="103"/>
        </w:numPr>
        <w:tabs>
          <w:tab w:pos="4887" w:val="left" w:leader="none"/>
          <w:tab w:pos="4889" w:val="left" w:leader="none"/>
        </w:tabs>
        <w:spacing w:line="240" w:lineRule="auto" w:before="164" w:after="0"/>
        <w:ind w:left="4888" w:right="0" w:hanging="682"/>
        <w:jc w:val="left"/>
        <w:rPr>
          <w:sz w:val="18"/>
        </w:rPr>
      </w:pPr>
      <w:r>
        <w:rPr>
          <w:spacing w:val="2"/>
          <w:w w:val="110"/>
          <w:sz w:val="18"/>
        </w:rPr>
        <w:t>Arthur </w:t>
      </w:r>
      <w:r>
        <w:rPr>
          <w:w w:val="110"/>
          <w:sz w:val="18"/>
        </w:rPr>
        <w:t>Hugh Clough.</w:t>
      </w:r>
      <w:r>
        <w:rPr>
          <w:spacing w:val="2"/>
          <w:w w:val="110"/>
          <w:sz w:val="18"/>
        </w:rPr>
        <w:t> </w:t>
      </w:r>
      <w:r>
        <w:rPr>
          <w:spacing w:val="-6"/>
          <w:w w:val="110"/>
          <w:sz w:val="18"/>
        </w:rPr>
        <w:t>1819–1861</w:t>
      </w:r>
    </w:p>
    <w:p>
      <w:pPr>
        <w:pStyle w:val="ListParagraph"/>
        <w:numPr>
          <w:ilvl w:val="0"/>
          <w:numId w:val="103"/>
        </w:numPr>
        <w:tabs>
          <w:tab w:pos="4887" w:val="left" w:leader="none"/>
          <w:tab w:pos="4889" w:val="left" w:leader="none"/>
        </w:tabs>
        <w:spacing w:line="264" w:lineRule="auto" w:before="163" w:after="0"/>
        <w:ind w:left="4888" w:right="1131" w:hanging="681"/>
        <w:jc w:val="left"/>
        <w:rPr>
          <w:sz w:val="18"/>
        </w:rPr>
      </w:pPr>
      <w:r>
        <w:rPr>
          <w:w w:val="110"/>
          <w:sz w:val="18"/>
        </w:rPr>
        <w:t>Catholic Bishops Conference of England and Wales and Church of England House of Bishops. </w:t>
      </w:r>
      <w:r>
        <w:rPr>
          <w:i/>
          <w:w w:val="110"/>
          <w:sz w:val="18"/>
        </w:rPr>
        <w:t>Joint </w:t>
      </w:r>
      <w:r>
        <w:rPr>
          <w:i/>
          <w:w w:val="110"/>
          <w:sz w:val="18"/>
        </w:rPr>
        <w:t>submission to the House of Lords Select Committee on the Assisted Dying for the Terminally Ill Bill</w:t>
      </w:r>
      <w:r>
        <w:rPr>
          <w:w w:val="110"/>
          <w:sz w:val="18"/>
        </w:rPr>
        <w:t>. 2004. Available at </w:t>
      </w:r>
      <w:hyperlink r:id="rId266">
        <w:r>
          <w:rPr>
            <w:w w:val="110"/>
            <w:sz w:val="18"/>
          </w:rPr>
          <w:t>http://www.catholicchurch.org.uk/</w:t>
        </w:r>
      </w:hyperlink>
      <w:r>
        <w:rPr>
          <w:w w:val="110"/>
          <w:sz w:val="18"/>
        </w:rPr>
        <w:t> topics/euthanasia.htm and</w:t>
      </w:r>
      <w:hyperlink r:id="rId267">
        <w:r>
          <w:rPr>
            <w:w w:val="110"/>
            <w:sz w:val="18"/>
          </w:rPr>
          <w:t> </w:t>
        </w:r>
        <w:r>
          <w:rPr>
            <w:spacing w:val="-1"/>
            <w:w w:val="110"/>
            <w:sz w:val="18"/>
          </w:rPr>
          <w:t>http://www.cofe.anglican.org/news/news_item.2004-</w:t>
        </w:r>
      </w:hyperlink>
      <w:r>
        <w:rPr>
          <w:spacing w:val="-1"/>
          <w:w w:val="110"/>
          <w:sz w:val="18"/>
        </w:rPr>
        <w:t> </w:t>
      </w:r>
      <w:r>
        <w:rPr>
          <w:spacing w:val="-5"/>
          <w:w w:val="110"/>
          <w:sz w:val="18"/>
        </w:rPr>
        <w:t>10-19.9713099720</w:t>
      </w:r>
    </w:p>
    <w:p>
      <w:pPr>
        <w:pStyle w:val="ListParagraph"/>
        <w:numPr>
          <w:ilvl w:val="0"/>
          <w:numId w:val="103"/>
        </w:numPr>
        <w:tabs>
          <w:tab w:pos="4888" w:val="left" w:leader="none"/>
          <w:tab w:pos="4889" w:val="left" w:leader="none"/>
        </w:tabs>
        <w:spacing w:line="264" w:lineRule="auto" w:before="136" w:after="0"/>
        <w:ind w:left="4888" w:right="1246" w:hanging="681"/>
        <w:jc w:val="left"/>
        <w:rPr>
          <w:sz w:val="18"/>
        </w:rPr>
      </w:pPr>
      <w:r>
        <w:rPr>
          <w:w w:val="110"/>
          <w:sz w:val="18"/>
        </w:rPr>
        <w:t>Methodist Church of Great Britain. </w:t>
      </w:r>
      <w:r>
        <w:rPr>
          <w:i/>
          <w:w w:val="110"/>
          <w:sz w:val="18"/>
        </w:rPr>
        <w:t>Written response </w:t>
      </w:r>
      <w:r>
        <w:rPr>
          <w:i/>
          <w:w w:val="110"/>
          <w:sz w:val="18"/>
        </w:rPr>
        <w:t>to the House of Lords Select committee on the Assisted Dying for the Terminally Ill Bill. </w:t>
      </w:r>
      <w:r>
        <w:rPr>
          <w:w w:val="110"/>
          <w:sz w:val="18"/>
        </w:rPr>
        <w:t>2004. </w:t>
      </w:r>
      <w:r>
        <w:rPr>
          <w:i/>
          <w:w w:val="110"/>
          <w:sz w:val="18"/>
        </w:rPr>
        <w:t>A</w:t>
      </w:r>
      <w:r>
        <w:rPr>
          <w:w w:val="110"/>
          <w:sz w:val="18"/>
        </w:rPr>
        <w:t>vailable at </w:t>
      </w:r>
      <w:hyperlink r:id="rId268">
        <w:r>
          <w:rPr>
            <w:w w:val="110"/>
            <w:sz w:val="18"/>
          </w:rPr>
          <w:t>http://www.methodist.org.uk/index.</w:t>
        </w:r>
      </w:hyperlink>
      <w:r>
        <w:rPr>
          <w:w w:val="110"/>
          <w:sz w:val="18"/>
        </w:rPr>
        <w:t> cfm?fuseaction=news.content&amp;cmid=915</w:t>
      </w:r>
    </w:p>
    <w:p>
      <w:pPr>
        <w:pStyle w:val="ListParagraph"/>
        <w:numPr>
          <w:ilvl w:val="0"/>
          <w:numId w:val="103"/>
        </w:numPr>
        <w:tabs>
          <w:tab w:pos="4888" w:val="left" w:leader="none"/>
          <w:tab w:pos="4889" w:val="left" w:leader="none"/>
        </w:tabs>
        <w:spacing w:line="264" w:lineRule="auto" w:before="139" w:after="0"/>
        <w:ind w:left="4887" w:right="1165" w:hanging="681"/>
        <w:jc w:val="left"/>
        <w:rPr>
          <w:sz w:val="18"/>
        </w:rPr>
      </w:pPr>
      <w:r>
        <w:rPr>
          <w:w w:val="110"/>
          <w:sz w:val="18"/>
        </w:rPr>
        <w:t>Voluntary Euthanasia </w:t>
      </w:r>
      <w:r>
        <w:rPr>
          <w:spacing w:val="2"/>
          <w:w w:val="110"/>
          <w:sz w:val="18"/>
        </w:rPr>
        <w:t>Society </w:t>
      </w:r>
      <w:r>
        <w:rPr>
          <w:spacing w:val="-4"/>
          <w:w w:val="110"/>
          <w:sz w:val="18"/>
        </w:rPr>
        <w:t>(now </w:t>
      </w:r>
      <w:r>
        <w:rPr>
          <w:w w:val="110"/>
          <w:sz w:val="18"/>
        </w:rPr>
        <w:t>Dignity in </w:t>
      </w:r>
      <w:r>
        <w:rPr>
          <w:spacing w:val="-3"/>
          <w:w w:val="110"/>
          <w:sz w:val="18"/>
        </w:rPr>
        <w:t>Dying). </w:t>
      </w:r>
      <w:r>
        <w:rPr>
          <w:i/>
          <w:w w:val="110"/>
          <w:sz w:val="18"/>
        </w:rPr>
        <w:t>Submission to the House of Lords </w:t>
      </w:r>
      <w:r>
        <w:rPr>
          <w:i/>
          <w:spacing w:val="2"/>
          <w:w w:val="110"/>
          <w:sz w:val="18"/>
        </w:rPr>
        <w:t>select </w:t>
      </w:r>
      <w:r>
        <w:rPr>
          <w:i/>
          <w:w w:val="110"/>
          <w:sz w:val="18"/>
        </w:rPr>
        <w:t>committee </w:t>
      </w:r>
      <w:r>
        <w:rPr>
          <w:i/>
          <w:w w:val="110"/>
          <w:sz w:val="18"/>
        </w:rPr>
        <w:t>on the Assisted Dying for the Terminally Ill Bill. </w:t>
      </w:r>
      <w:r>
        <w:rPr>
          <w:w w:val="110"/>
          <w:sz w:val="18"/>
        </w:rPr>
        <w:t>2004 Available at</w:t>
      </w:r>
      <w:r>
        <w:rPr>
          <w:spacing w:val="5"/>
          <w:w w:val="110"/>
          <w:sz w:val="18"/>
        </w:rPr>
        <w:t> </w:t>
      </w:r>
      <w:hyperlink r:id="rId261">
        <w:r>
          <w:rPr>
            <w:w w:val="110"/>
            <w:sz w:val="18"/>
          </w:rPr>
          <w:t>www.dignityindying.org.uk</w:t>
        </w:r>
      </w:hyperlink>
    </w:p>
    <w:p>
      <w:pPr>
        <w:pStyle w:val="ListParagraph"/>
        <w:numPr>
          <w:ilvl w:val="0"/>
          <w:numId w:val="103"/>
        </w:numPr>
        <w:tabs>
          <w:tab w:pos="4887" w:val="left" w:leader="none"/>
          <w:tab w:pos="4889" w:val="left" w:leader="none"/>
        </w:tabs>
        <w:spacing w:line="264" w:lineRule="auto" w:before="139" w:after="0"/>
        <w:ind w:left="4888" w:right="1951" w:hanging="681"/>
        <w:jc w:val="left"/>
        <w:rPr>
          <w:sz w:val="18"/>
        </w:rPr>
      </w:pPr>
      <w:r>
        <w:rPr>
          <w:w w:val="110"/>
          <w:sz w:val="18"/>
        </w:rPr>
        <w:t>United Reformed Church. The Basis of Union, Schedule</w:t>
      </w:r>
      <w:r>
        <w:rPr>
          <w:spacing w:val="1"/>
          <w:w w:val="110"/>
          <w:sz w:val="18"/>
        </w:rPr>
        <w:t> </w:t>
      </w:r>
      <w:r>
        <w:rPr>
          <w:w w:val="110"/>
          <w:sz w:val="18"/>
        </w:rPr>
        <w:t>D</w:t>
      </w:r>
    </w:p>
    <w:p>
      <w:pPr>
        <w:pStyle w:val="ListParagraph"/>
        <w:numPr>
          <w:ilvl w:val="0"/>
          <w:numId w:val="103"/>
        </w:numPr>
        <w:tabs>
          <w:tab w:pos="4887" w:val="left" w:leader="none"/>
          <w:tab w:pos="4889" w:val="left" w:leader="none"/>
        </w:tabs>
        <w:spacing w:line="264" w:lineRule="auto" w:before="140" w:after="0"/>
        <w:ind w:left="4888" w:right="1156" w:hanging="681"/>
        <w:jc w:val="left"/>
        <w:rPr>
          <w:sz w:val="18"/>
        </w:rPr>
      </w:pPr>
      <w:r>
        <w:rPr>
          <w:w w:val="110"/>
          <w:sz w:val="18"/>
        </w:rPr>
        <w:t>Susan Frank Parsons, </w:t>
      </w:r>
      <w:r>
        <w:rPr>
          <w:i/>
          <w:w w:val="110"/>
          <w:sz w:val="18"/>
        </w:rPr>
        <w:t>Feminism and Christian Ethics</w:t>
      </w:r>
      <w:r>
        <w:rPr>
          <w:w w:val="110"/>
          <w:sz w:val="18"/>
        </w:rPr>
        <w:t>, Cambridge: Cambridge University Press, </w:t>
      </w:r>
      <w:r>
        <w:rPr>
          <w:spacing w:val="-3"/>
          <w:w w:val="110"/>
          <w:sz w:val="18"/>
        </w:rPr>
        <w:t>1996, </w:t>
      </w:r>
      <w:r>
        <w:rPr>
          <w:w w:val="110"/>
          <w:sz w:val="18"/>
        </w:rPr>
        <w:t>pp. 53-6, </w:t>
      </w:r>
      <w:r>
        <w:rPr>
          <w:spacing w:val="-5"/>
          <w:w w:val="110"/>
          <w:sz w:val="18"/>
        </w:rPr>
        <w:t>137-41.</w:t>
      </w:r>
    </w:p>
    <w:p>
      <w:pPr>
        <w:pStyle w:val="ListParagraph"/>
        <w:numPr>
          <w:ilvl w:val="0"/>
          <w:numId w:val="103"/>
        </w:numPr>
        <w:tabs>
          <w:tab w:pos="4887" w:val="left" w:leader="none"/>
          <w:tab w:pos="4889" w:val="left" w:leader="none"/>
        </w:tabs>
        <w:spacing w:line="240" w:lineRule="auto" w:before="140" w:after="0"/>
        <w:ind w:left="4888" w:right="0" w:hanging="682"/>
        <w:jc w:val="left"/>
        <w:rPr>
          <w:sz w:val="18"/>
        </w:rPr>
      </w:pPr>
      <w:r>
        <w:rPr>
          <w:w w:val="110"/>
          <w:sz w:val="18"/>
        </w:rPr>
        <w:t>Karl Barth. </w:t>
      </w:r>
      <w:r>
        <w:rPr>
          <w:i/>
          <w:w w:val="110"/>
          <w:sz w:val="18"/>
        </w:rPr>
        <w:t>Church Dogmatics</w:t>
      </w:r>
      <w:r>
        <w:rPr>
          <w:w w:val="110"/>
          <w:sz w:val="18"/>
        </w:rPr>
        <w:t>, vol. 3 of</w:t>
      </w:r>
      <w:r>
        <w:rPr>
          <w:spacing w:val="16"/>
          <w:w w:val="110"/>
          <w:sz w:val="18"/>
        </w:rPr>
        <w:t> </w:t>
      </w:r>
      <w:r>
        <w:rPr>
          <w:spacing w:val="-6"/>
          <w:w w:val="110"/>
          <w:sz w:val="18"/>
        </w:rPr>
        <w:t>14.</w:t>
      </w:r>
    </w:p>
    <w:p>
      <w:pPr>
        <w:pStyle w:val="ListParagraph"/>
        <w:numPr>
          <w:ilvl w:val="0"/>
          <w:numId w:val="103"/>
        </w:numPr>
        <w:tabs>
          <w:tab w:pos="4888" w:val="left" w:leader="none"/>
          <w:tab w:pos="4889" w:val="left" w:leader="none"/>
        </w:tabs>
        <w:spacing w:line="264" w:lineRule="auto" w:before="163" w:after="0"/>
        <w:ind w:left="4888" w:right="1215" w:hanging="681"/>
        <w:jc w:val="left"/>
        <w:rPr>
          <w:sz w:val="18"/>
        </w:rPr>
      </w:pPr>
      <w:r>
        <w:rPr>
          <w:w w:val="110"/>
          <w:sz w:val="18"/>
        </w:rPr>
        <w:t>Acts, omissions and double </w:t>
      </w:r>
      <w:r>
        <w:rPr>
          <w:spacing w:val="3"/>
          <w:w w:val="110"/>
          <w:sz w:val="18"/>
        </w:rPr>
        <w:t>effect </w:t>
      </w:r>
      <w:r>
        <w:rPr>
          <w:w w:val="110"/>
          <w:sz w:val="18"/>
        </w:rPr>
        <w:t>are helpfully dealt with by Nigel Biggar </w:t>
      </w:r>
      <w:r>
        <w:rPr>
          <w:i/>
          <w:w w:val="110"/>
          <w:sz w:val="18"/>
        </w:rPr>
        <w:t>Aiming to Kill: the ethics of </w:t>
      </w:r>
      <w:r>
        <w:rPr>
          <w:i/>
          <w:w w:val="110"/>
          <w:sz w:val="18"/>
        </w:rPr>
        <w:t>suicide and euthanasia. </w:t>
      </w:r>
      <w:r>
        <w:rPr>
          <w:w w:val="110"/>
          <w:sz w:val="18"/>
        </w:rPr>
        <w:t>London: Darton, Longman &amp; </w:t>
      </w:r>
      <w:r>
        <w:rPr>
          <w:spacing w:val="-3"/>
          <w:w w:val="110"/>
          <w:sz w:val="18"/>
        </w:rPr>
        <w:t>Todd.</w:t>
      </w:r>
      <w:r>
        <w:rPr>
          <w:w w:val="110"/>
          <w:sz w:val="18"/>
        </w:rPr>
        <w:t> 2004</w:t>
      </w:r>
    </w:p>
    <w:p>
      <w:pPr>
        <w:pStyle w:val="ListParagraph"/>
        <w:numPr>
          <w:ilvl w:val="0"/>
          <w:numId w:val="103"/>
        </w:numPr>
        <w:tabs>
          <w:tab w:pos="4887" w:val="left" w:leader="none"/>
          <w:tab w:pos="4889" w:val="left" w:leader="none"/>
        </w:tabs>
        <w:spacing w:line="264" w:lineRule="auto" w:before="139" w:after="0"/>
        <w:ind w:left="4888" w:right="1225" w:hanging="681"/>
        <w:jc w:val="left"/>
        <w:rPr>
          <w:sz w:val="18"/>
        </w:rPr>
      </w:pPr>
      <w:r>
        <w:rPr>
          <w:spacing w:val="2"/>
          <w:w w:val="110"/>
          <w:sz w:val="18"/>
        </w:rPr>
        <w:t>Donna Dickenson, Malcolm Johnson </w:t>
      </w:r>
      <w:r>
        <w:rPr>
          <w:w w:val="110"/>
          <w:sz w:val="18"/>
        </w:rPr>
        <w:t>and </w:t>
      </w:r>
      <w:r>
        <w:rPr>
          <w:spacing w:val="2"/>
          <w:w w:val="110"/>
          <w:sz w:val="18"/>
        </w:rPr>
        <w:t>Jeanne </w:t>
      </w:r>
      <w:r>
        <w:rPr>
          <w:spacing w:val="3"/>
          <w:w w:val="110"/>
          <w:sz w:val="18"/>
        </w:rPr>
        <w:t>Katz </w:t>
      </w:r>
      <w:r>
        <w:rPr>
          <w:spacing w:val="-4"/>
          <w:w w:val="110"/>
          <w:sz w:val="18"/>
        </w:rPr>
        <w:t>(eds) </w:t>
      </w:r>
      <w:r>
        <w:rPr>
          <w:i/>
          <w:w w:val="110"/>
          <w:sz w:val="18"/>
        </w:rPr>
        <w:t>Death, Dying and </w:t>
      </w:r>
      <w:r>
        <w:rPr>
          <w:i/>
          <w:spacing w:val="2"/>
          <w:w w:val="110"/>
          <w:sz w:val="18"/>
        </w:rPr>
        <w:t>Bereavement</w:t>
      </w:r>
      <w:r>
        <w:rPr>
          <w:spacing w:val="2"/>
          <w:w w:val="110"/>
          <w:sz w:val="18"/>
        </w:rPr>
        <w:t>. </w:t>
      </w:r>
      <w:r>
        <w:rPr>
          <w:w w:val="110"/>
          <w:sz w:val="18"/>
        </w:rPr>
        <w:t>London: Sage (Second edition). </w:t>
      </w:r>
      <w:r>
        <w:rPr>
          <w:spacing w:val="-4"/>
          <w:w w:val="110"/>
          <w:sz w:val="18"/>
        </w:rPr>
        <w:t>1993 </w:t>
      </w:r>
      <w:r>
        <w:rPr>
          <w:w w:val="110"/>
          <w:sz w:val="18"/>
        </w:rPr>
        <w:t>&amp;</w:t>
      </w:r>
      <w:r>
        <w:rPr>
          <w:spacing w:val="11"/>
          <w:w w:val="110"/>
          <w:sz w:val="18"/>
        </w:rPr>
        <w:t> </w:t>
      </w:r>
      <w:r>
        <w:rPr>
          <w:w w:val="110"/>
          <w:sz w:val="18"/>
        </w:rPr>
        <w:t>2000</w:t>
      </w:r>
    </w:p>
    <w:p>
      <w:pPr>
        <w:pStyle w:val="ListParagraph"/>
        <w:numPr>
          <w:ilvl w:val="0"/>
          <w:numId w:val="103"/>
        </w:numPr>
        <w:tabs>
          <w:tab w:pos="4887" w:val="left" w:leader="none"/>
          <w:tab w:pos="4889" w:val="left" w:leader="none"/>
        </w:tabs>
        <w:spacing w:line="264" w:lineRule="auto" w:before="140" w:after="0"/>
        <w:ind w:left="4888" w:right="1559" w:hanging="681"/>
        <w:jc w:val="left"/>
        <w:rPr>
          <w:sz w:val="18"/>
        </w:rPr>
      </w:pPr>
      <w:r>
        <w:rPr>
          <w:w w:val="110"/>
          <w:sz w:val="18"/>
        </w:rPr>
        <w:t>Michael Young and Lesley Cullen. </w:t>
      </w:r>
      <w:r>
        <w:rPr>
          <w:i/>
          <w:w w:val="110"/>
          <w:sz w:val="18"/>
        </w:rPr>
        <w:t>A Good Death: </w:t>
      </w:r>
      <w:r>
        <w:rPr>
          <w:i/>
          <w:w w:val="110"/>
          <w:sz w:val="18"/>
        </w:rPr>
        <w:t>Conversations with East Londoners</w:t>
      </w:r>
      <w:r>
        <w:rPr>
          <w:w w:val="110"/>
          <w:sz w:val="18"/>
        </w:rPr>
        <w:t>. London: Routledge. 1966</w:t>
      </w:r>
    </w:p>
    <w:p>
      <w:pPr>
        <w:pStyle w:val="ListParagraph"/>
        <w:numPr>
          <w:ilvl w:val="0"/>
          <w:numId w:val="103"/>
        </w:numPr>
        <w:tabs>
          <w:tab w:pos="4887" w:val="left" w:leader="none"/>
          <w:tab w:pos="4889" w:val="left" w:leader="none"/>
        </w:tabs>
        <w:spacing w:line="240" w:lineRule="auto" w:before="140" w:after="0"/>
        <w:ind w:left="4888" w:right="0" w:hanging="682"/>
        <w:jc w:val="left"/>
        <w:rPr>
          <w:sz w:val="18"/>
        </w:rPr>
      </w:pPr>
      <w:r>
        <w:rPr>
          <w:w w:val="110"/>
          <w:sz w:val="18"/>
        </w:rPr>
        <w:t>Michael </w:t>
      </w:r>
      <w:r>
        <w:rPr>
          <w:spacing w:val="-3"/>
          <w:w w:val="110"/>
          <w:sz w:val="18"/>
        </w:rPr>
        <w:t>Young, </w:t>
      </w:r>
      <w:r>
        <w:rPr>
          <w:w w:val="110"/>
          <w:sz w:val="18"/>
        </w:rPr>
        <w:t>Malcolm Johnson et</w:t>
      </w:r>
      <w:r>
        <w:rPr>
          <w:spacing w:val="10"/>
          <w:w w:val="110"/>
          <w:sz w:val="18"/>
        </w:rPr>
        <w:t> </w:t>
      </w:r>
      <w:r>
        <w:rPr>
          <w:w w:val="110"/>
          <w:sz w:val="18"/>
        </w:rPr>
        <w:t>al.</w:t>
      </w:r>
    </w:p>
    <w:p>
      <w:pPr>
        <w:pStyle w:val="BodyText"/>
        <w:spacing w:line="264" w:lineRule="auto" w:before="21"/>
        <w:ind w:left="4888" w:right="1286"/>
      </w:pPr>
      <w:r>
        <w:rPr>
          <w:i/>
          <w:w w:val="110"/>
        </w:rPr>
        <w:t>The Dead Citizens Charter: </w:t>
      </w:r>
      <w:r>
        <w:rPr>
          <w:w w:val="110"/>
        </w:rPr>
        <w:t>National Funerals College. Available from NFC, 75, Long Ashton Road, Bristol, BS41 9HY, price £5. Cheques payable to National Funerals College.</w:t>
      </w:r>
    </w:p>
    <w:p>
      <w:pPr>
        <w:pStyle w:val="ListParagraph"/>
        <w:numPr>
          <w:ilvl w:val="0"/>
          <w:numId w:val="103"/>
        </w:numPr>
        <w:tabs>
          <w:tab w:pos="4887" w:val="left" w:leader="none"/>
          <w:tab w:pos="4889" w:val="left" w:leader="none"/>
        </w:tabs>
        <w:spacing w:line="240" w:lineRule="auto" w:before="149" w:after="0"/>
        <w:ind w:left="4888" w:right="0" w:hanging="682"/>
        <w:jc w:val="left"/>
        <w:rPr>
          <w:sz w:val="18"/>
        </w:rPr>
      </w:pPr>
      <w:r>
        <w:rPr>
          <w:i/>
          <w:w w:val="110"/>
          <w:sz w:val="18"/>
        </w:rPr>
        <w:t>Euthanasia Explained. </w:t>
      </w:r>
      <w:r>
        <w:rPr>
          <w:spacing w:val="2"/>
          <w:w w:val="110"/>
          <w:sz w:val="18"/>
        </w:rPr>
        <w:t>CARE.</w:t>
      </w:r>
      <w:r>
        <w:rPr>
          <w:spacing w:val="5"/>
          <w:w w:val="110"/>
          <w:sz w:val="18"/>
        </w:rPr>
        <w:t> </w:t>
      </w:r>
      <w:r>
        <w:rPr>
          <w:w w:val="110"/>
          <w:sz w:val="18"/>
        </w:rPr>
        <w:t>Undated.</w:t>
      </w:r>
    </w:p>
    <w:p>
      <w:pPr>
        <w:spacing w:after="0" w:line="240" w:lineRule="auto"/>
        <w:jc w:val="left"/>
        <w:rPr>
          <w:sz w:val="18"/>
        </w:rPr>
        <w:sectPr>
          <w:pgSz w:w="11910" w:h="16840"/>
          <w:pgMar w:header="558" w:footer="564" w:top="820" w:bottom="760" w:left="460" w:right="0"/>
        </w:sectPr>
      </w:pPr>
    </w:p>
    <w:p>
      <w:pPr>
        <w:pStyle w:val="BodyText"/>
        <w:spacing w:before="5"/>
        <w:rPr>
          <w:sz w:val="12"/>
        </w:rPr>
      </w:pPr>
      <w:r>
        <w:rPr/>
        <w:pict>
          <v:group style="position:absolute;margin-left:382.677002pt;margin-top:56.693016pt;width:161.6pt;height:733.95pt;mso-position-horizontal-relative:page;mso-position-vertical-relative:page;z-index:251876352" coordorigin="7654,1134" coordsize="3232,14679">
            <v:shape style="position:absolute;left:7654;top:1133;width:3231;height:14636" coordorigin="7655,1134" coordsize="3231,14636" path="m10715,1134l7825,1134,7726,1137,7676,1155,7657,1206,7655,1304,7655,15599,7657,15698,7676,15748,7726,15767,7825,15770,10715,15770,10813,15767,10864,15748,10882,15698,10885,15599,10885,1304,10882,1206,10864,1155,10813,1137,10715,1134xe" filled="true" fillcolor="#7c7c7c" stroked="false">
              <v:path arrowok="t"/>
              <v:fill type="solid"/>
            </v:shape>
            <v:shape style="position:absolute;left:7653;top:12897;width:3232;height:2915" type="#_x0000_t75" stroked="false">
              <v:imagedata r:id="rId269" o:title=""/>
            </v:shape>
            <v:shape style="position:absolute;left:7653;top:1133;width:3232;height:14679" type="#_x0000_t202" filled="false" stroked="false">
              <v:textbox inset="0,0,0,0">
                <w:txbxContent>
                  <w:p>
                    <w:pPr>
                      <w:spacing w:line="240" w:lineRule="auto" w:before="8"/>
                      <w:rPr>
                        <w:sz w:val="30"/>
                      </w:rPr>
                    </w:pPr>
                  </w:p>
                  <w:p>
                    <w:pPr>
                      <w:spacing w:line="237" w:lineRule="auto" w:before="0"/>
                      <w:ind w:left="247" w:right="193" w:firstLine="0"/>
                      <w:jc w:val="left"/>
                      <w:rPr>
                        <w:b/>
                        <w:sz w:val="20"/>
                      </w:rPr>
                    </w:pPr>
                    <w:r>
                      <w:rPr>
                        <w:b/>
                        <w:w w:val="110"/>
                        <w:sz w:val="38"/>
                      </w:rPr>
                      <w:t>Bert </w:t>
                    </w:r>
                    <w:r>
                      <w:rPr>
                        <w:b/>
                        <w:color w:val="FFFFFF"/>
                        <w:w w:val="110"/>
                        <w:sz w:val="20"/>
                      </w:rPr>
                      <w:t>had had several heart attacks and strokes, and</w:t>
                    </w:r>
                  </w:p>
                  <w:p>
                    <w:pPr>
                      <w:spacing w:line="256" w:lineRule="auto" w:before="19"/>
                      <w:ind w:left="247" w:right="773" w:firstLine="0"/>
                      <w:jc w:val="left"/>
                      <w:rPr>
                        <w:b/>
                        <w:sz w:val="20"/>
                      </w:rPr>
                    </w:pPr>
                    <w:r>
                      <w:rPr>
                        <w:b/>
                        <w:color w:val="FFFFFF"/>
                        <w:w w:val="110"/>
                        <w:sz w:val="20"/>
                      </w:rPr>
                      <w:t>life was limited to a wheelchair. Conversation was difficult, and</w:t>
                    </w:r>
                    <w:r>
                      <w:rPr>
                        <w:b/>
                        <w:color w:val="FFFFFF"/>
                        <w:spacing w:val="1"/>
                        <w:w w:val="110"/>
                        <w:sz w:val="20"/>
                      </w:rPr>
                      <w:t> </w:t>
                    </w:r>
                    <w:r>
                      <w:rPr>
                        <w:b/>
                        <w:color w:val="FFFFFF"/>
                        <w:w w:val="110"/>
                        <w:sz w:val="20"/>
                      </w:rPr>
                      <w:t>he</w:t>
                    </w:r>
                  </w:p>
                  <w:p>
                    <w:pPr>
                      <w:spacing w:line="256" w:lineRule="auto" w:before="0"/>
                      <w:ind w:left="247" w:right="193" w:hanging="1"/>
                      <w:jc w:val="left"/>
                      <w:rPr>
                        <w:b/>
                        <w:sz w:val="20"/>
                      </w:rPr>
                    </w:pPr>
                    <w:r>
                      <w:rPr>
                        <w:b/>
                        <w:color w:val="FFFFFF"/>
                        <w:w w:val="110"/>
                        <w:sz w:val="20"/>
                      </w:rPr>
                      <w:t>could do nothing for himself. A life long Christian he had requested the doctors not to resuscitate</w:t>
                    </w:r>
                  </w:p>
                  <w:p>
                    <w:pPr>
                      <w:spacing w:line="256" w:lineRule="auto" w:before="0"/>
                      <w:ind w:left="247" w:right="278" w:firstLine="0"/>
                      <w:jc w:val="left"/>
                      <w:rPr>
                        <w:b/>
                        <w:sz w:val="20"/>
                      </w:rPr>
                    </w:pPr>
                    <w:r>
                      <w:rPr>
                        <w:b/>
                        <w:color w:val="FFFFFF"/>
                        <w:w w:val="110"/>
                        <w:sz w:val="20"/>
                      </w:rPr>
                      <w:t>him if he had another major heart </w:t>
                    </w:r>
                    <w:r>
                      <w:rPr>
                        <w:b/>
                        <w:color w:val="FFFFFF"/>
                        <w:spacing w:val="2"/>
                        <w:w w:val="110"/>
                        <w:sz w:val="20"/>
                      </w:rPr>
                      <w:t>attack; </w:t>
                    </w:r>
                    <w:r>
                      <w:rPr>
                        <w:b/>
                        <w:color w:val="FFFFFF"/>
                        <w:w w:val="110"/>
                        <w:sz w:val="20"/>
                      </w:rPr>
                      <w:t>he had endured enough. He put his things in order with his family and friends and with God, was at peace and took every day as it came. He enjoyed life within his very limited condition, and when he </w:t>
                    </w:r>
                    <w:r>
                      <w:rPr>
                        <w:b/>
                        <w:color w:val="FFFFFF"/>
                        <w:spacing w:val="2"/>
                        <w:w w:val="110"/>
                        <w:sz w:val="20"/>
                      </w:rPr>
                      <w:t>suffered </w:t>
                    </w:r>
                    <w:r>
                      <w:rPr>
                        <w:b/>
                        <w:color w:val="FFFFFF"/>
                        <w:w w:val="110"/>
                        <w:sz w:val="20"/>
                      </w:rPr>
                      <w:t>another massive heart </w:t>
                    </w:r>
                    <w:r>
                      <w:rPr>
                        <w:b/>
                        <w:color w:val="FFFFFF"/>
                        <w:spacing w:val="2"/>
                        <w:w w:val="110"/>
                        <w:sz w:val="20"/>
                      </w:rPr>
                      <w:t>attack, </w:t>
                    </w:r>
                    <w:r>
                      <w:rPr>
                        <w:b/>
                        <w:color w:val="FFFFFF"/>
                        <w:w w:val="110"/>
                        <w:sz w:val="20"/>
                      </w:rPr>
                      <w:t>he</w:t>
                    </w:r>
                    <w:r>
                      <w:rPr>
                        <w:b/>
                        <w:color w:val="FFFFFF"/>
                        <w:spacing w:val="-1"/>
                        <w:w w:val="110"/>
                        <w:sz w:val="20"/>
                      </w:rPr>
                      <w:t> </w:t>
                    </w:r>
                    <w:r>
                      <w:rPr>
                        <w:b/>
                        <w:color w:val="FFFFFF"/>
                        <w:w w:val="110"/>
                        <w:sz w:val="20"/>
                      </w:rPr>
                      <w:t>died.</w:t>
                    </w:r>
                  </w:p>
                </w:txbxContent>
              </v:textbox>
              <w10:wrap type="none"/>
            </v:shape>
            <w10:wrap type="none"/>
          </v:group>
        </w:pict>
      </w:r>
    </w:p>
    <w:p>
      <w:pPr>
        <w:pStyle w:val="Heading9"/>
        <w:numPr>
          <w:ilvl w:val="0"/>
          <w:numId w:val="104"/>
        </w:numPr>
        <w:tabs>
          <w:tab w:pos="1394" w:val="left" w:leader="none"/>
        </w:tabs>
        <w:spacing w:line="240" w:lineRule="auto" w:before="98" w:after="0"/>
        <w:ind w:left="1393" w:right="0" w:hanging="721"/>
        <w:jc w:val="left"/>
      </w:pPr>
      <w:r>
        <w:rPr>
          <w:w w:val="110"/>
        </w:rPr>
        <w:t>Sources of further</w:t>
      </w:r>
      <w:r>
        <w:rPr>
          <w:spacing w:val="-8"/>
          <w:w w:val="110"/>
        </w:rPr>
        <w:t> </w:t>
      </w:r>
      <w:r>
        <w:rPr>
          <w:spacing w:val="-3"/>
          <w:w w:val="110"/>
        </w:rPr>
        <w:t>information</w:t>
      </w:r>
    </w:p>
    <w:p>
      <w:pPr>
        <w:spacing w:line="273" w:lineRule="auto" w:before="258"/>
        <w:ind w:left="673" w:right="4039" w:hanging="1"/>
        <w:jc w:val="left"/>
        <w:rPr>
          <w:sz w:val="18"/>
        </w:rPr>
      </w:pPr>
      <w:r>
        <w:rPr>
          <w:b/>
          <w:w w:val="110"/>
          <w:sz w:val="18"/>
        </w:rPr>
        <w:t>The </w:t>
      </w:r>
      <w:r>
        <w:rPr>
          <w:b/>
          <w:i/>
          <w:w w:val="110"/>
          <w:sz w:val="18"/>
        </w:rPr>
        <w:t>Life Valued </w:t>
      </w:r>
      <w:r>
        <w:rPr>
          <w:b/>
          <w:w w:val="110"/>
          <w:sz w:val="18"/>
        </w:rPr>
        <w:t>programme of </w:t>
      </w:r>
      <w:r>
        <w:rPr>
          <w:b/>
          <w:spacing w:val="2"/>
          <w:w w:val="110"/>
          <w:sz w:val="18"/>
        </w:rPr>
        <w:t>CARE</w:t>
      </w:r>
      <w:r>
        <w:rPr>
          <w:spacing w:val="2"/>
          <w:w w:val="110"/>
          <w:sz w:val="18"/>
        </w:rPr>
        <w:t>, </w:t>
      </w:r>
      <w:r>
        <w:rPr>
          <w:w w:val="110"/>
          <w:sz w:val="18"/>
        </w:rPr>
        <w:t>a Christian charity, opposes any change to the law regarding assisted</w:t>
      </w:r>
      <w:r>
        <w:rPr>
          <w:spacing w:val="57"/>
          <w:w w:val="110"/>
          <w:sz w:val="18"/>
        </w:rPr>
        <w:t> </w:t>
      </w:r>
      <w:r>
        <w:rPr>
          <w:w w:val="110"/>
          <w:sz w:val="18"/>
        </w:rPr>
        <w:t>dying</w:t>
      </w:r>
    </w:p>
    <w:p>
      <w:pPr>
        <w:pStyle w:val="BodyText"/>
        <w:spacing w:line="273" w:lineRule="auto" w:before="1"/>
        <w:ind w:left="673" w:right="5373"/>
      </w:pPr>
      <w:r>
        <w:rPr>
          <w:w w:val="110"/>
        </w:rPr>
        <w:t>for the terminally ill and supports the development of better palliative care (www.care.org.uk).</w:t>
      </w:r>
    </w:p>
    <w:p>
      <w:pPr>
        <w:pStyle w:val="BodyText"/>
        <w:spacing w:before="8"/>
        <w:rPr>
          <w:sz w:val="20"/>
        </w:rPr>
      </w:pPr>
    </w:p>
    <w:p>
      <w:pPr>
        <w:pStyle w:val="BodyText"/>
        <w:spacing w:line="273" w:lineRule="auto" w:before="1"/>
        <w:ind w:left="673" w:right="5294" w:hanging="1"/>
      </w:pPr>
      <w:r>
        <w:rPr>
          <w:b/>
          <w:w w:val="110"/>
        </w:rPr>
        <w:t>Care NOT Killing </w:t>
      </w:r>
      <w:r>
        <w:rPr>
          <w:w w:val="110"/>
        </w:rPr>
        <w:t>is an alliance of human rights and healthcare groups and faith-based organisations which </w:t>
      </w:r>
      <w:r>
        <w:rPr>
          <w:spacing w:val="2"/>
          <w:w w:val="110"/>
        </w:rPr>
        <w:t>seeks </w:t>
      </w:r>
      <w:r>
        <w:rPr>
          <w:w w:val="110"/>
        </w:rPr>
        <w:t>to promote </w:t>
      </w:r>
      <w:r>
        <w:rPr>
          <w:spacing w:val="2"/>
          <w:w w:val="110"/>
        </w:rPr>
        <w:t>better </w:t>
      </w:r>
      <w:r>
        <w:rPr>
          <w:w w:val="110"/>
        </w:rPr>
        <w:t>palliative care, to ensure that legislation regarding euthanasia and assisted suicide   is not relaxed</w:t>
      </w:r>
      <w:r>
        <w:rPr>
          <w:spacing w:val="4"/>
          <w:w w:val="110"/>
        </w:rPr>
        <w:t> </w:t>
      </w:r>
      <w:r>
        <w:rPr>
          <w:w w:val="110"/>
        </w:rPr>
        <w:t>(www.carenotkilling.org.uk).</w:t>
      </w:r>
    </w:p>
    <w:p>
      <w:pPr>
        <w:pStyle w:val="BodyText"/>
        <w:spacing w:before="9"/>
        <w:rPr>
          <w:sz w:val="20"/>
        </w:rPr>
      </w:pPr>
    </w:p>
    <w:p>
      <w:pPr>
        <w:pStyle w:val="BodyText"/>
        <w:spacing w:line="273" w:lineRule="auto" w:before="1"/>
        <w:ind w:left="673" w:right="5124" w:hanging="1"/>
      </w:pPr>
      <w:r>
        <w:rPr>
          <w:b/>
          <w:w w:val="110"/>
        </w:rPr>
        <w:t>Not Dead Yet UK </w:t>
      </w:r>
      <w:r>
        <w:rPr>
          <w:w w:val="110"/>
        </w:rPr>
        <w:t>is a network of disabled people who have joined an international alliance of those who oppose the ‘legalised killing’ of disabled people (</w:t>
      </w:r>
      <w:hyperlink r:id="rId270">
        <w:r>
          <w:rPr>
            <w:w w:val="110"/>
          </w:rPr>
          <w:t>http://www.livingwithdignity.info/ndy_home.html).</w:t>
        </w:r>
      </w:hyperlink>
    </w:p>
    <w:p>
      <w:pPr>
        <w:pStyle w:val="BodyText"/>
        <w:spacing w:before="9"/>
        <w:rPr>
          <w:sz w:val="20"/>
        </w:rPr>
      </w:pPr>
    </w:p>
    <w:p>
      <w:pPr>
        <w:pStyle w:val="BodyText"/>
        <w:spacing w:line="273" w:lineRule="auto"/>
        <w:ind w:left="673" w:right="4783" w:hanging="1"/>
      </w:pPr>
      <w:r>
        <w:rPr>
          <w:b/>
          <w:w w:val="110"/>
        </w:rPr>
        <w:t>Dignity in Dying </w:t>
      </w:r>
      <w:r>
        <w:rPr>
          <w:w w:val="110"/>
        </w:rPr>
        <w:t>(formerly the Voluntary Euthanasia Society) promotes patient choice at the end of life and campaigns for a change in the law to permit medically assisted dying within strict safeguards (www.dignityindying.org.uk).</w:t>
      </w:r>
    </w:p>
    <w:p>
      <w:pPr>
        <w:pStyle w:val="BodyText"/>
        <w:spacing w:before="10"/>
        <w:rPr>
          <w:sz w:val="20"/>
        </w:rPr>
      </w:pPr>
    </w:p>
    <w:p>
      <w:pPr>
        <w:pStyle w:val="BodyText"/>
        <w:spacing w:line="273" w:lineRule="auto"/>
        <w:ind w:left="673" w:right="4783"/>
      </w:pPr>
      <w:r>
        <w:rPr>
          <w:b/>
          <w:w w:val="110"/>
        </w:rPr>
        <w:t>Friends at the End </w:t>
      </w:r>
      <w:r>
        <w:rPr>
          <w:w w:val="110"/>
        </w:rPr>
        <w:t>supports doctor assisted suicide with good palliative care (www.friends-at-the-end.org.uk).</w:t>
      </w:r>
    </w:p>
    <w:p>
      <w:pPr>
        <w:pStyle w:val="BodyText"/>
        <w:spacing w:before="10"/>
        <w:rPr>
          <w:sz w:val="19"/>
        </w:rPr>
      </w:pPr>
    </w:p>
    <w:p>
      <w:pPr>
        <w:pStyle w:val="BodyText"/>
        <w:spacing w:line="273" w:lineRule="auto"/>
        <w:ind w:left="673" w:right="5318"/>
      </w:pPr>
      <w:r>
        <w:rPr>
          <w:w w:val="110"/>
        </w:rPr>
        <w:t>More information about </w:t>
      </w:r>
      <w:r>
        <w:rPr>
          <w:b/>
          <w:w w:val="110"/>
        </w:rPr>
        <w:t>Parish Nursing </w:t>
      </w:r>
      <w:r>
        <w:rPr>
          <w:w w:val="110"/>
        </w:rPr>
        <w:t>(Appendix D) (available at www.parishnursing.co.uk).</w:t>
      </w:r>
    </w:p>
    <w:p>
      <w:pPr>
        <w:pStyle w:val="BodyText"/>
        <w:spacing w:before="8"/>
        <w:rPr>
          <w:sz w:val="20"/>
        </w:rPr>
      </w:pPr>
    </w:p>
    <w:p>
      <w:pPr>
        <w:pStyle w:val="Heading9"/>
        <w:numPr>
          <w:ilvl w:val="0"/>
          <w:numId w:val="104"/>
        </w:numPr>
        <w:tabs>
          <w:tab w:pos="1394" w:val="left" w:leader="none"/>
        </w:tabs>
        <w:spacing w:line="240" w:lineRule="auto" w:before="0" w:after="0"/>
        <w:ind w:left="1393" w:right="0" w:hanging="721"/>
        <w:jc w:val="left"/>
      </w:pPr>
      <w:r>
        <w:rPr>
          <w:w w:val="110"/>
        </w:rPr>
        <w:t>Suggested further reading</w:t>
      </w:r>
    </w:p>
    <w:p>
      <w:pPr>
        <w:spacing w:line="273" w:lineRule="auto" w:before="258"/>
        <w:ind w:left="673" w:right="5623" w:firstLine="0"/>
        <w:jc w:val="left"/>
        <w:rPr>
          <w:sz w:val="18"/>
        </w:rPr>
      </w:pPr>
      <w:r>
        <w:rPr>
          <w:i/>
          <w:w w:val="110"/>
          <w:sz w:val="18"/>
        </w:rPr>
        <w:t>Report of the House of Lords Select Committee on </w:t>
      </w:r>
      <w:r>
        <w:rPr>
          <w:i/>
          <w:w w:val="110"/>
          <w:sz w:val="18"/>
        </w:rPr>
        <w:t>the Assisted Dying for the Terminally Ill Bill. </w:t>
      </w:r>
      <w:r>
        <w:rPr>
          <w:w w:val="110"/>
          <w:sz w:val="18"/>
        </w:rPr>
        <w:t>2005.</w:t>
      </w:r>
    </w:p>
    <w:p>
      <w:pPr>
        <w:pStyle w:val="BodyText"/>
        <w:spacing w:line="273" w:lineRule="auto" w:before="1"/>
        <w:ind w:left="673" w:right="4966"/>
      </w:pPr>
      <w:r>
        <w:rPr>
          <w:w w:val="110"/>
        </w:rPr>
        <w:t>Available at </w:t>
      </w:r>
      <w:hyperlink r:id="rId271">
        <w:r>
          <w:rPr>
            <w:w w:val="110"/>
          </w:rPr>
          <w:t>www.parliament.the-stationery-office.co.uk</w:t>
        </w:r>
      </w:hyperlink>
      <w:r>
        <w:rPr>
          <w:w w:val="110"/>
        </w:rPr>
        <w:t> HL 86-I, 86-II and 86-III.</w:t>
      </w:r>
    </w:p>
    <w:p>
      <w:pPr>
        <w:pStyle w:val="BodyText"/>
        <w:spacing w:before="8"/>
        <w:rPr>
          <w:sz w:val="20"/>
        </w:rPr>
      </w:pPr>
    </w:p>
    <w:p>
      <w:pPr>
        <w:pStyle w:val="BodyText"/>
        <w:spacing w:line="273" w:lineRule="auto"/>
        <w:ind w:left="673" w:right="4920"/>
      </w:pPr>
      <w:r>
        <w:rPr>
          <w:w w:val="110"/>
        </w:rPr>
        <w:t>Report of a debate in the Scottish Parliament on ‘Dying with Dignity’ </w:t>
      </w:r>
      <w:r>
        <w:rPr>
          <w:spacing w:val="-6"/>
          <w:w w:val="110"/>
        </w:rPr>
        <w:t>11 </w:t>
      </w:r>
      <w:r>
        <w:rPr>
          <w:w w:val="110"/>
        </w:rPr>
        <w:t>December 2006 is at http://www.scottish.</w:t>
      </w:r>
    </w:p>
    <w:p>
      <w:pPr>
        <w:pStyle w:val="BodyText"/>
        <w:spacing w:line="273" w:lineRule="auto" w:before="1"/>
        <w:ind w:left="673" w:right="4637"/>
      </w:pPr>
      <w:r>
        <w:rPr>
          <w:w w:val="110"/>
        </w:rPr>
        <w:t>parliament.uk/business/officialReports/meetingsParliament/ or-04/sor1111-02.htm#Col11876</w:t>
      </w:r>
    </w:p>
    <w:p>
      <w:pPr>
        <w:pStyle w:val="BodyText"/>
        <w:spacing w:line="273" w:lineRule="auto" w:before="2"/>
        <w:ind w:left="673" w:right="4966"/>
      </w:pPr>
      <w:r>
        <w:rPr>
          <w:w w:val="110"/>
        </w:rPr>
        <w:t>Minutes of the meeting of a Scottish cross-party group on palliative care on 17 November 2004 are at </w:t>
      </w:r>
      <w:hyperlink r:id="rId265">
        <w:r>
          <w:rPr>
            <w:w w:val="110"/>
          </w:rPr>
          <w:t>http://www.</w:t>
        </w:r>
      </w:hyperlink>
      <w:r>
        <w:rPr>
          <w:w w:val="110"/>
        </w:rPr>
        <w:t> scottish.parliament.uk/msp/crossPartyGroups/groups/ palliative-docs/Minutes_041117.pdf</w:t>
      </w:r>
    </w:p>
    <w:p>
      <w:pPr>
        <w:pStyle w:val="BodyText"/>
        <w:spacing w:line="273" w:lineRule="auto" w:before="2"/>
        <w:ind w:left="673" w:right="4690"/>
      </w:pPr>
      <w:r>
        <w:rPr>
          <w:w w:val="110"/>
        </w:rPr>
        <w:t>A guide to the Scottish Dying with Dignity consultation is at </w:t>
      </w:r>
      <w:hyperlink r:id="rId272">
        <w:r>
          <w:rPr>
            <w:w w:val="110"/>
          </w:rPr>
          <w:t>http://www.scottish.parliament.uk/business/bills/pdfs/mb-</w:t>
        </w:r>
      </w:hyperlink>
      <w:r>
        <w:rPr>
          <w:w w:val="110"/>
        </w:rPr>
        <w:t> consultations/DyingWithDignity-summary.pdf</w:t>
      </w:r>
    </w:p>
    <w:p>
      <w:pPr>
        <w:pStyle w:val="BodyText"/>
        <w:spacing w:before="9"/>
        <w:rPr>
          <w:sz w:val="20"/>
        </w:rPr>
      </w:pPr>
    </w:p>
    <w:p>
      <w:pPr>
        <w:spacing w:line="273" w:lineRule="auto" w:before="0"/>
        <w:ind w:left="673" w:right="4783" w:firstLine="0"/>
        <w:jc w:val="left"/>
        <w:rPr>
          <w:sz w:val="18"/>
        </w:rPr>
      </w:pPr>
      <w:r>
        <w:rPr>
          <w:w w:val="110"/>
          <w:sz w:val="18"/>
        </w:rPr>
        <w:t>Nigel Biggar </w:t>
      </w:r>
      <w:r>
        <w:rPr>
          <w:i/>
          <w:w w:val="110"/>
          <w:sz w:val="18"/>
        </w:rPr>
        <w:t>Aiming to Kill: the ethics of suicide and </w:t>
      </w:r>
      <w:r>
        <w:rPr>
          <w:i/>
          <w:w w:val="110"/>
          <w:sz w:val="18"/>
        </w:rPr>
        <w:t>euthanasia. </w:t>
      </w:r>
      <w:r>
        <w:rPr>
          <w:w w:val="110"/>
          <w:sz w:val="18"/>
        </w:rPr>
        <w:t>London: Darton, Longman &amp; Todd, 2004.</w:t>
      </w:r>
    </w:p>
    <w:p>
      <w:pPr>
        <w:pStyle w:val="BodyText"/>
        <w:spacing w:before="8"/>
        <w:rPr>
          <w:sz w:val="20"/>
        </w:rPr>
      </w:pPr>
    </w:p>
    <w:p>
      <w:pPr>
        <w:spacing w:line="273" w:lineRule="auto" w:before="0"/>
        <w:ind w:left="673" w:right="4783" w:firstLine="0"/>
        <w:jc w:val="left"/>
        <w:rPr>
          <w:sz w:val="18"/>
        </w:rPr>
      </w:pPr>
      <w:r>
        <w:rPr>
          <w:w w:val="110"/>
          <w:sz w:val="18"/>
        </w:rPr>
        <w:t>Neil Messer </w:t>
      </w:r>
      <w:r>
        <w:rPr>
          <w:i/>
          <w:w w:val="110"/>
          <w:sz w:val="18"/>
        </w:rPr>
        <w:t>SCM Study Guide to Christian Ethics. </w:t>
      </w:r>
      <w:r>
        <w:rPr>
          <w:w w:val="110"/>
          <w:sz w:val="18"/>
        </w:rPr>
        <w:t>London; SCM 2006.</w:t>
      </w:r>
    </w:p>
    <w:p>
      <w:pPr>
        <w:pStyle w:val="BodyText"/>
        <w:spacing w:before="8"/>
        <w:rPr>
          <w:sz w:val="20"/>
        </w:rPr>
      </w:pPr>
    </w:p>
    <w:p>
      <w:pPr>
        <w:spacing w:line="273" w:lineRule="auto" w:before="0"/>
        <w:ind w:left="673" w:right="4783" w:firstLine="0"/>
        <w:jc w:val="left"/>
        <w:rPr>
          <w:sz w:val="18"/>
        </w:rPr>
      </w:pPr>
      <w:r>
        <w:rPr>
          <w:w w:val="110"/>
          <w:sz w:val="18"/>
        </w:rPr>
        <w:t>Allen Verhey </w:t>
      </w:r>
      <w:r>
        <w:rPr>
          <w:i/>
          <w:w w:val="110"/>
          <w:sz w:val="18"/>
        </w:rPr>
        <w:t>Reading the Bible in the strange world of </w:t>
      </w:r>
      <w:r>
        <w:rPr>
          <w:i/>
          <w:w w:val="110"/>
          <w:sz w:val="18"/>
        </w:rPr>
        <w:t>medicine. </w:t>
      </w:r>
      <w:r>
        <w:rPr>
          <w:w w:val="110"/>
          <w:sz w:val="18"/>
        </w:rPr>
        <w:t>Grand Rapids: Eerdmans 2003.</w:t>
      </w:r>
    </w:p>
    <w:p>
      <w:pPr>
        <w:spacing w:after="0" w:line="273" w:lineRule="auto"/>
        <w:jc w:val="left"/>
        <w:rPr>
          <w:sz w:val="18"/>
        </w:rPr>
        <w:sectPr>
          <w:pgSz w:w="11910" w:h="16840"/>
          <w:pgMar w:header="558" w:footer="564" w:top="820" w:bottom="760" w:left="460" w:right="0"/>
        </w:sectPr>
      </w:pPr>
    </w:p>
    <w:p>
      <w:pPr>
        <w:pStyle w:val="BodyText"/>
        <w:spacing w:before="4"/>
        <w:rPr>
          <w:sz w:val="16"/>
        </w:rPr>
      </w:pPr>
    </w:p>
    <w:p>
      <w:pPr>
        <w:spacing w:before="104"/>
        <w:ind w:left="1240" w:right="0" w:firstLine="0"/>
        <w:jc w:val="left"/>
        <w:rPr>
          <w:b/>
          <w:sz w:val="50"/>
        </w:rPr>
      </w:pPr>
      <w:r>
        <w:rPr/>
        <w:pict>
          <v:shape style="position:absolute;margin-left:523.527466pt;margin-top:-10.928013pt;width:50.65pt;height:325.4pt;mso-position-horizontal-relative:page;mso-position-vertical-relative:paragraph;z-index:251881472" type="#_x0000_t202" filled="false" stroked="false">
            <v:textbox inset="0,0,0,0" style="layout-flow:vertical">
              <w:txbxContent>
                <w:p>
                  <w:pPr>
                    <w:spacing w:before="20"/>
                    <w:ind w:left="20" w:right="0" w:firstLine="0"/>
                    <w:jc w:val="left"/>
                    <w:rPr>
                      <w:b/>
                      <w:sz w:val="80"/>
                    </w:rPr>
                  </w:pPr>
                  <w:r>
                    <w:rPr>
                      <w:b/>
                      <w:spacing w:val="-10"/>
                      <w:sz w:val="80"/>
                    </w:rPr>
                    <w:t>Assisted </w:t>
                  </w:r>
                  <w:r>
                    <w:rPr>
                      <w:b/>
                      <w:spacing w:val="-17"/>
                      <w:sz w:val="80"/>
                    </w:rPr>
                    <w:t>Dying</w:t>
                  </w:r>
                </w:p>
              </w:txbxContent>
            </v:textbox>
            <w10:wrap type="none"/>
          </v:shape>
        </w:pict>
      </w:r>
      <w:r>
        <w:rPr>
          <w:b/>
          <w:w w:val="110"/>
          <w:sz w:val="50"/>
        </w:rPr>
        <w:t>Appendix A</w:t>
      </w:r>
    </w:p>
    <w:p>
      <w:pPr>
        <w:pStyle w:val="Heading9"/>
        <w:spacing w:before="133"/>
      </w:pPr>
      <w:r>
        <w:rPr>
          <w:w w:val="110"/>
        </w:rPr>
        <w:t>Summary of responses to questionnaire</w:t>
      </w:r>
    </w:p>
    <w:p>
      <w:pPr>
        <w:pStyle w:val="BodyText"/>
        <w:spacing w:before="4"/>
        <w:rPr>
          <w:b/>
          <w:sz w:val="39"/>
        </w:rPr>
      </w:pPr>
    </w:p>
    <w:p>
      <w:pPr>
        <w:pStyle w:val="BodyText"/>
        <w:spacing w:line="273" w:lineRule="auto" w:before="1"/>
        <w:ind w:left="1240" w:right="2459"/>
        <w:jc w:val="both"/>
      </w:pPr>
      <w:r>
        <w:rPr>
          <w:w w:val="110"/>
        </w:rPr>
        <w:t>One hundred and thirty-nine responses were received by 16 February 2007, including twelve from groups. Numbers in brackets indicates where several respondents made the same point.</w:t>
      </w:r>
    </w:p>
    <w:p>
      <w:pPr>
        <w:pStyle w:val="BodyText"/>
        <w:rPr>
          <w:sz w:val="20"/>
        </w:rPr>
      </w:pPr>
    </w:p>
    <w:p>
      <w:pPr>
        <w:pStyle w:val="BodyText"/>
        <w:spacing w:before="11"/>
        <w:rPr>
          <w:sz w:val="21"/>
        </w:rPr>
      </w:pPr>
      <w:r>
        <w:rPr/>
        <w:pict>
          <v:group style="position:absolute;margin-left:56.693001pt;margin-top:15.308524pt;width:460.25pt;height:44.35pt;mso-position-horizontal-relative:page;mso-position-vertical-relative:paragraph;z-index:-251438080;mso-wrap-distance-left:0;mso-wrap-distance-right:0" coordorigin="1134,306" coordsize="9205,887">
            <v:rect style="position:absolute;left:1993;top:458;width:8345;height:720" filled="true" fillcolor="#000000" stroked="false">
              <v:fill opacity="49152f" type="solid"/>
            </v:rect>
            <v:shape style="position:absolute;left:1690;top:650;width:8455;height:455" coordorigin="1691,651" coordsize="8455,455" path="m9922,651l1691,651,1691,1105,9922,1105,10051,1101,10118,1077,10142,1009,10146,878,10142,747,10118,679,10051,654,9922,651xe" filled="true" fillcolor="#ffffff" stroked="false">
              <v:path arrowok="t"/>
              <v:fill type="solid"/>
            </v:shape>
            <v:shape style="position:absolute;left:1690;top:650;width:8455;height:455" coordorigin="1691,651" coordsize="8455,455" path="m10146,878l10142,747,10118,679,10051,654,9922,651,1691,651,1691,1105,9922,1105,10051,1101,10118,1077,10142,1009,10146,878xe" filled="false" stroked="true" strokeweight=".25pt" strokecolor="#000000">
              <v:path arrowok="t"/>
              <v:stroke dashstyle="solid"/>
            </v:shape>
            <v:rect style="position:absolute;left:1143;top:332;width:850;height:851" filled="true" fillcolor="#ffffff" stroked="false">
              <v:fill type="solid"/>
            </v:rect>
            <v:rect style="position:absolute;left:1143;top:332;width:850;height:851" filled="false" stroked="true" strokeweight="1pt" strokecolor="#ffffff">
              <v:stroke dashstyle="solid"/>
            </v:rect>
            <v:shape style="position:absolute;left:1133;top:306;width:9205;height:887" type="#_x0000_t202" filled="false" stroked="false">
              <v:textbox inset="0,0,0,0">
                <w:txbxContent>
                  <w:p>
                    <w:pPr>
                      <w:spacing w:before="0"/>
                      <w:ind w:left="566" w:right="0" w:firstLine="0"/>
                      <w:jc w:val="left"/>
                      <w:rPr>
                        <w:i/>
                        <w:sz w:val="18"/>
                      </w:rPr>
                    </w:pPr>
                    <w:r>
                      <w:rPr>
                        <w:b/>
                        <w:w w:val="110"/>
                        <w:sz w:val="63"/>
                      </w:rPr>
                      <w:t>1 </w:t>
                    </w:r>
                    <w:r>
                      <w:rPr>
                        <w:i/>
                        <w:w w:val="110"/>
                        <w:sz w:val="18"/>
                      </w:rPr>
                      <w:t>As Christians how does our faith affect our views on this subject?</w:t>
                    </w:r>
                  </w:p>
                </w:txbxContent>
              </v:textbox>
              <w10:wrap type="none"/>
            </v:shape>
            <w10:wrap type="topAndBottom"/>
          </v:group>
        </w:pict>
      </w:r>
    </w:p>
    <w:p>
      <w:pPr>
        <w:pStyle w:val="ListParagraph"/>
        <w:numPr>
          <w:ilvl w:val="1"/>
          <w:numId w:val="104"/>
        </w:numPr>
        <w:tabs>
          <w:tab w:pos="1921" w:val="left" w:leader="none"/>
          <w:tab w:pos="1922" w:val="left" w:leader="none"/>
        </w:tabs>
        <w:spacing w:line="277" w:lineRule="exact" w:before="6" w:after="0"/>
        <w:ind w:left="1921" w:right="0" w:hanging="682"/>
        <w:jc w:val="left"/>
        <w:rPr>
          <w:sz w:val="18"/>
        </w:rPr>
      </w:pPr>
      <w:r>
        <w:rPr>
          <w:spacing w:val="2"/>
          <w:w w:val="110"/>
          <w:sz w:val="18"/>
        </w:rPr>
        <w:t>sanctity </w:t>
      </w:r>
      <w:r>
        <w:rPr>
          <w:w w:val="110"/>
          <w:sz w:val="18"/>
        </w:rPr>
        <w:t>of life/precious gift</w:t>
      </w:r>
      <w:r>
        <w:rPr>
          <w:spacing w:val="2"/>
          <w:w w:val="110"/>
          <w:sz w:val="18"/>
        </w:rPr>
        <w:t> </w:t>
      </w:r>
      <w:r>
        <w:rPr>
          <w:spacing w:val="-8"/>
          <w:w w:val="110"/>
          <w:sz w:val="18"/>
        </w:rPr>
        <w:t>(16)</w:t>
      </w:r>
    </w:p>
    <w:p>
      <w:pPr>
        <w:pStyle w:val="ListParagraph"/>
        <w:numPr>
          <w:ilvl w:val="1"/>
          <w:numId w:val="104"/>
        </w:numPr>
        <w:tabs>
          <w:tab w:pos="1921" w:val="left" w:leader="none"/>
          <w:tab w:pos="1922" w:val="left" w:leader="none"/>
        </w:tabs>
        <w:spacing w:line="218" w:lineRule="auto" w:before="0" w:after="0"/>
        <w:ind w:left="1921" w:right="1887" w:hanging="681"/>
        <w:jc w:val="left"/>
        <w:rPr>
          <w:sz w:val="18"/>
        </w:rPr>
      </w:pPr>
      <w:r>
        <w:rPr>
          <w:w w:val="110"/>
          <w:sz w:val="18"/>
        </w:rPr>
        <w:t>eternal dimension </w:t>
      </w:r>
      <w:r>
        <w:rPr>
          <w:spacing w:val="2"/>
          <w:w w:val="110"/>
          <w:sz w:val="18"/>
        </w:rPr>
        <w:t>affecting perspective </w:t>
      </w:r>
      <w:r>
        <w:rPr>
          <w:w w:val="110"/>
          <w:sz w:val="18"/>
        </w:rPr>
        <w:t>on temporal events; death as end and</w:t>
      </w:r>
      <w:r>
        <w:rPr>
          <w:spacing w:val="7"/>
          <w:w w:val="110"/>
          <w:sz w:val="18"/>
        </w:rPr>
        <w:t> </w:t>
      </w:r>
      <w:r>
        <w:rPr>
          <w:w w:val="110"/>
          <w:sz w:val="18"/>
        </w:rPr>
        <w:t>beginning</w:t>
      </w:r>
      <w:r>
        <w:rPr>
          <w:spacing w:val="8"/>
          <w:w w:val="110"/>
          <w:sz w:val="18"/>
        </w:rPr>
        <w:t> </w:t>
      </w:r>
      <w:r>
        <w:rPr>
          <w:spacing w:val="-10"/>
          <w:w w:val="110"/>
          <w:sz w:val="18"/>
        </w:rPr>
        <w:t>(19);</w:t>
      </w:r>
      <w:r>
        <w:rPr>
          <w:spacing w:val="8"/>
          <w:w w:val="110"/>
          <w:sz w:val="18"/>
        </w:rPr>
        <w:t> </w:t>
      </w:r>
      <w:r>
        <w:rPr>
          <w:w w:val="110"/>
          <w:sz w:val="18"/>
        </w:rPr>
        <w:t>God</w:t>
      </w:r>
      <w:r>
        <w:rPr>
          <w:spacing w:val="8"/>
          <w:w w:val="110"/>
          <w:sz w:val="18"/>
        </w:rPr>
        <w:t> </w:t>
      </w:r>
      <w:r>
        <w:rPr>
          <w:w w:val="110"/>
          <w:sz w:val="18"/>
        </w:rPr>
        <w:t>with</w:t>
      </w:r>
      <w:r>
        <w:rPr>
          <w:spacing w:val="7"/>
          <w:w w:val="110"/>
          <w:sz w:val="18"/>
        </w:rPr>
        <w:t> </w:t>
      </w:r>
      <w:r>
        <w:rPr>
          <w:w w:val="110"/>
          <w:sz w:val="18"/>
        </w:rPr>
        <w:t>us</w:t>
      </w:r>
      <w:r>
        <w:rPr>
          <w:spacing w:val="8"/>
          <w:w w:val="110"/>
          <w:sz w:val="18"/>
        </w:rPr>
        <w:t> </w:t>
      </w:r>
      <w:r>
        <w:rPr>
          <w:w w:val="110"/>
          <w:sz w:val="18"/>
        </w:rPr>
        <w:t>in</w:t>
      </w:r>
      <w:r>
        <w:rPr>
          <w:spacing w:val="8"/>
          <w:w w:val="110"/>
          <w:sz w:val="18"/>
        </w:rPr>
        <w:t> </w:t>
      </w:r>
      <w:r>
        <w:rPr>
          <w:w w:val="110"/>
          <w:sz w:val="18"/>
        </w:rPr>
        <w:t>the</w:t>
      </w:r>
      <w:r>
        <w:rPr>
          <w:spacing w:val="8"/>
          <w:w w:val="110"/>
          <w:sz w:val="18"/>
        </w:rPr>
        <w:t> </w:t>
      </w:r>
      <w:r>
        <w:rPr>
          <w:w w:val="110"/>
          <w:sz w:val="18"/>
        </w:rPr>
        <w:t>transition</w:t>
      </w:r>
      <w:r>
        <w:rPr>
          <w:spacing w:val="8"/>
          <w:w w:val="110"/>
          <w:sz w:val="18"/>
        </w:rPr>
        <w:t> </w:t>
      </w:r>
      <w:r>
        <w:rPr>
          <w:spacing w:val="-8"/>
          <w:w w:val="110"/>
          <w:sz w:val="18"/>
        </w:rPr>
        <w:t>(2);</w:t>
      </w:r>
      <w:r>
        <w:rPr>
          <w:spacing w:val="7"/>
          <w:w w:val="110"/>
          <w:sz w:val="18"/>
        </w:rPr>
        <w:t> </w:t>
      </w:r>
      <w:r>
        <w:rPr>
          <w:w w:val="110"/>
          <w:sz w:val="18"/>
        </w:rPr>
        <w:t>helps</w:t>
      </w:r>
      <w:r>
        <w:rPr>
          <w:spacing w:val="8"/>
          <w:w w:val="110"/>
          <w:sz w:val="18"/>
        </w:rPr>
        <w:t> </w:t>
      </w:r>
      <w:r>
        <w:rPr>
          <w:w w:val="110"/>
          <w:sz w:val="18"/>
        </w:rPr>
        <w:t>take</w:t>
      </w:r>
      <w:r>
        <w:rPr>
          <w:spacing w:val="8"/>
          <w:w w:val="110"/>
          <w:sz w:val="18"/>
        </w:rPr>
        <w:t> </w:t>
      </w:r>
      <w:r>
        <w:rPr>
          <w:w w:val="110"/>
          <w:sz w:val="18"/>
        </w:rPr>
        <w:t>fear</w:t>
      </w:r>
      <w:r>
        <w:rPr>
          <w:spacing w:val="8"/>
          <w:w w:val="110"/>
          <w:sz w:val="18"/>
        </w:rPr>
        <w:t> </w:t>
      </w:r>
      <w:r>
        <w:rPr>
          <w:w w:val="110"/>
          <w:sz w:val="18"/>
        </w:rPr>
        <w:t>out</w:t>
      </w:r>
      <w:r>
        <w:rPr>
          <w:spacing w:val="7"/>
          <w:w w:val="110"/>
          <w:sz w:val="18"/>
        </w:rPr>
        <w:t> </w:t>
      </w:r>
      <w:r>
        <w:rPr>
          <w:w w:val="110"/>
          <w:sz w:val="18"/>
        </w:rPr>
        <w:t>of</w:t>
      </w:r>
    </w:p>
    <w:p>
      <w:pPr>
        <w:pStyle w:val="BodyText"/>
        <w:spacing w:line="273" w:lineRule="auto" w:before="28"/>
        <w:ind w:left="1921" w:right="1593"/>
      </w:pPr>
      <w:r>
        <w:rPr>
          <w:w w:val="110"/>
        </w:rPr>
        <w:t>death (6); allows us to talk about death during life; brings hope but should acknowledge pain of loss</w:t>
      </w:r>
    </w:p>
    <w:p>
      <w:pPr>
        <w:pStyle w:val="ListParagraph"/>
        <w:numPr>
          <w:ilvl w:val="1"/>
          <w:numId w:val="104"/>
        </w:numPr>
        <w:tabs>
          <w:tab w:pos="1921" w:val="left" w:leader="none"/>
          <w:tab w:pos="1922" w:val="left" w:leader="none"/>
        </w:tabs>
        <w:spacing w:line="248" w:lineRule="exact" w:before="0" w:after="0"/>
        <w:ind w:left="1921" w:right="0" w:hanging="682"/>
        <w:jc w:val="left"/>
        <w:rPr>
          <w:sz w:val="18"/>
        </w:rPr>
      </w:pPr>
      <w:r>
        <w:rPr>
          <w:w w:val="110"/>
          <w:sz w:val="18"/>
        </w:rPr>
        <w:t>gives view of </w:t>
      </w:r>
      <w:r>
        <w:rPr>
          <w:spacing w:val="2"/>
          <w:w w:val="110"/>
          <w:sz w:val="18"/>
        </w:rPr>
        <w:t>suffering </w:t>
      </w:r>
      <w:r>
        <w:rPr>
          <w:w w:val="110"/>
          <w:sz w:val="18"/>
        </w:rPr>
        <w:t>at odds with culture of</w:t>
      </w:r>
      <w:r>
        <w:rPr>
          <w:spacing w:val="13"/>
          <w:w w:val="110"/>
          <w:sz w:val="18"/>
        </w:rPr>
        <w:t> </w:t>
      </w:r>
      <w:r>
        <w:rPr>
          <w:spacing w:val="2"/>
          <w:w w:val="110"/>
          <w:sz w:val="18"/>
        </w:rPr>
        <w:t>comfort</w:t>
      </w:r>
    </w:p>
    <w:p>
      <w:pPr>
        <w:pStyle w:val="ListParagraph"/>
        <w:numPr>
          <w:ilvl w:val="1"/>
          <w:numId w:val="104"/>
        </w:numPr>
        <w:tabs>
          <w:tab w:pos="1921" w:val="left" w:leader="none"/>
          <w:tab w:pos="1922" w:val="left" w:leader="none"/>
        </w:tabs>
        <w:spacing w:line="218" w:lineRule="auto" w:before="0" w:after="0"/>
        <w:ind w:left="1921" w:right="2048" w:hanging="681"/>
        <w:jc w:val="left"/>
        <w:rPr>
          <w:sz w:val="18"/>
        </w:rPr>
      </w:pPr>
      <w:r>
        <w:rPr>
          <w:w w:val="110"/>
          <w:sz w:val="18"/>
        </w:rPr>
        <w:t>only God has right to end life </w:t>
      </w:r>
      <w:r>
        <w:rPr>
          <w:spacing w:val="-8"/>
          <w:w w:val="110"/>
          <w:sz w:val="18"/>
        </w:rPr>
        <w:t>(9) </w:t>
      </w:r>
      <w:r>
        <w:rPr>
          <w:w w:val="110"/>
          <w:sz w:val="18"/>
        </w:rPr>
        <w:t>– no </w:t>
      </w:r>
      <w:r>
        <w:rPr>
          <w:spacing w:val="2"/>
          <w:w w:val="110"/>
          <w:sz w:val="18"/>
        </w:rPr>
        <w:t>person </w:t>
      </w:r>
      <w:r>
        <w:rPr>
          <w:w w:val="110"/>
          <w:sz w:val="18"/>
        </w:rPr>
        <w:t>should interfere; God’s will, right time </w:t>
      </w:r>
      <w:r>
        <w:rPr>
          <w:spacing w:val="-6"/>
          <w:w w:val="110"/>
          <w:sz w:val="18"/>
        </w:rPr>
        <w:t>(5); </w:t>
      </w:r>
      <w:r>
        <w:rPr>
          <w:w w:val="110"/>
          <w:sz w:val="18"/>
        </w:rPr>
        <w:t>should not </w:t>
      </w:r>
      <w:r>
        <w:rPr>
          <w:spacing w:val="2"/>
          <w:w w:val="110"/>
          <w:sz w:val="18"/>
        </w:rPr>
        <w:t>act </w:t>
      </w:r>
      <w:r>
        <w:rPr>
          <w:w w:val="110"/>
          <w:sz w:val="18"/>
        </w:rPr>
        <w:t>like God in extending longevity</w:t>
      </w:r>
      <w:r>
        <w:rPr>
          <w:spacing w:val="53"/>
          <w:w w:val="110"/>
          <w:sz w:val="18"/>
        </w:rPr>
        <w:t> </w:t>
      </w:r>
      <w:r>
        <w:rPr>
          <w:spacing w:val="-10"/>
          <w:w w:val="110"/>
          <w:sz w:val="18"/>
        </w:rPr>
        <w:t>(4)</w:t>
      </w:r>
    </w:p>
    <w:p>
      <w:pPr>
        <w:pStyle w:val="ListParagraph"/>
        <w:numPr>
          <w:ilvl w:val="1"/>
          <w:numId w:val="104"/>
        </w:numPr>
        <w:tabs>
          <w:tab w:pos="1921" w:val="left" w:leader="none"/>
          <w:tab w:pos="1922" w:val="left" w:leader="none"/>
        </w:tabs>
        <w:spacing w:line="277" w:lineRule="exact" w:before="0" w:after="0"/>
        <w:ind w:left="1921" w:right="0" w:hanging="682"/>
        <w:jc w:val="left"/>
        <w:rPr>
          <w:sz w:val="18"/>
        </w:rPr>
      </w:pPr>
      <w:r>
        <w:rPr>
          <w:w w:val="110"/>
          <w:sz w:val="18"/>
        </w:rPr>
        <w:t>well-being is material, physical </w:t>
      </w:r>
      <w:r>
        <w:rPr>
          <w:i/>
          <w:w w:val="110"/>
          <w:sz w:val="18"/>
        </w:rPr>
        <w:t>and</w:t>
      </w:r>
      <w:r>
        <w:rPr>
          <w:i/>
          <w:spacing w:val="7"/>
          <w:w w:val="110"/>
          <w:sz w:val="18"/>
        </w:rPr>
        <w:t> </w:t>
      </w:r>
      <w:r>
        <w:rPr>
          <w:w w:val="110"/>
          <w:sz w:val="18"/>
        </w:rPr>
        <w:t>spiritual</w:t>
      </w:r>
    </w:p>
    <w:p>
      <w:pPr>
        <w:pStyle w:val="ListParagraph"/>
        <w:numPr>
          <w:ilvl w:val="1"/>
          <w:numId w:val="104"/>
        </w:numPr>
        <w:tabs>
          <w:tab w:pos="1921" w:val="left" w:leader="none"/>
          <w:tab w:pos="1922" w:val="left" w:leader="none"/>
        </w:tabs>
        <w:spacing w:line="218" w:lineRule="auto" w:before="0" w:after="0"/>
        <w:ind w:left="1921" w:right="2380" w:hanging="681"/>
        <w:jc w:val="left"/>
        <w:rPr>
          <w:sz w:val="18"/>
        </w:rPr>
      </w:pPr>
      <w:r>
        <w:rPr>
          <w:w w:val="110"/>
          <w:sz w:val="18"/>
        </w:rPr>
        <w:t>Christ’s love for us – why does he let us suffer? God does not wish his children to </w:t>
      </w:r>
      <w:r>
        <w:rPr>
          <w:spacing w:val="2"/>
          <w:w w:val="110"/>
          <w:sz w:val="18"/>
        </w:rPr>
        <w:t>suffer</w:t>
      </w:r>
      <w:r>
        <w:rPr>
          <w:spacing w:val="3"/>
          <w:w w:val="110"/>
          <w:sz w:val="18"/>
        </w:rPr>
        <w:t> </w:t>
      </w:r>
      <w:r>
        <w:rPr>
          <w:spacing w:val="-6"/>
          <w:w w:val="110"/>
          <w:sz w:val="18"/>
        </w:rPr>
        <w:t>(3)</w:t>
      </w:r>
    </w:p>
    <w:p>
      <w:pPr>
        <w:pStyle w:val="ListParagraph"/>
        <w:numPr>
          <w:ilvl w:val="1"/>
          <w:numId w:val="104"/>
        </w:numPr>
        <w:tabs>
          <w:tab w:pos="1921" w:val="left" w:leader="none"/>
          <w:tab w:pos="1922" w:val="left" w:leader="none"/>
        </w:tabs>
        <w:spacing w:line="218" w:lineRule="auto" w:before="14" w:after="0"/>
        <w:ind w:left="1921" w:right="2087" w:hanging="681"/>
        <w:jc w:val="left"/>
        <w:rPr>
          <w:sz w:val="18"/>
        </w:rPr>
      </w:pPr>
      <w:r>
        <w:rPr>
          <w:w w:val="110"/>
          <w:sz w:val="18"/>
        </w:rPr>
        <w:t>my belief and desire to be allowed to make choices regarding my destiny goes against general Christian</w:t>
      </w:r>
      <w:r>
        <w:rPr>
          <w:spacing w:val="7"/>
          <w:w w:val="110"/>
          <w:sz w:val="18"/>
        </w:rPr>
        <w:t> </w:t>
      </w:r>
      <w:r>
        <w:rPr>
          <w:w w:val="110"/>
          <w:sz w:val="18"/>
        </w:rPr>
        <w:t>belief</w:t>
      </w:r>
    </w:p>
    <w:p>
      <w:pPr>
        <w:pStyle w:val="ListParagraph"/>
        <w:numPr>
          <w:ilvl w:val="1"/>
          <w:numId w:val="104"/>
        </w:numPr>
        <w:tabs>
          <w:tab w:pos="1921" w:val="left" w:leader="none"/>
          <w:tab w:pos="1922" w:val="left" w:leader="none"/>
        </w:tabs>
        <w:spacing w:line="277" w:lineRule="exact" w:before="6" w:after="0"/>
        <w:ind w:left="1921" w:right="0" w:hanging="682"/>
        <w:jc w:val="left"/>
        <w:rPr>
          <w:sz w:val="18"/>
        </w:rPr>
      </w:pPr>
      <w:r>
        <w:rPr>
          <w:w w:val="110"/>
          <w:sz w:val="18"/>
        </w:rPr>
        <w:t>makes it </w:t>
      </w:r>
      <w:r>
        <w:rPr>
          <w:spacing w:val="2"/>
          <w:w w:val="110"/>
          <w:sz w:val="18"/>
        </w:rPr>
        <w:t>very </w:t>
      </w:r>
      <w:r>
        <w:rPr>
          <w:w w:val="110"/>
          <w:sz w:val="18"/>
        </w:rPr>
        <w:t>difficult to accept assisted dying</w:t>
      </w:r>
      <w:r>
        <w:rPr>
          <w:spacing w:val="12"/>
          <w:w w:val="110"/>
          <w:sz w:val="18"/>
        </w:rPr>
        <w:t> </w:t>
      </w:r>
      <w:r>
        <w:rPr>
          <w:spacing w:val="-7"/>
          <w:w w:val="110"/>
          <w:sz w:val="18"/>
        </w:rPr>
        <w:t>(2)</w:t>
      </w:r>
    </w:p>
    <w:p>
      <w:pPr>
        <w:pStyle w:val="ListParagraph"/>
        <w:numPr>
          <w:ilvl w:val="1"/>
          <w:numId w:val="104"/>
        </w:numPr>
        <w:tabs>
          <w:tab w:pos="1921" w:val="left" w:leader="none"/>
          <w:tab w:pos="1922" w:val="left" w:leader="none"/>
        </w:tabs>
        <w:spacing w:line="218" w:lineRule="auto" w:before="0" w:after="0"/>
        <w:ind w:left="1921" w:right="1856" w:hanging="681"/>
        <w:jc w:val="left"/>
        <w:rPr>
          <w:sz w:val="18"/>
        </w:rPr>
      </w:pPr>
      <w:r>
        <w:rPr>
          <w:w w:val="110"/>
          <w:sz w:val="18"/>
        </w:rPr>
        <w:t>do not believe in conscious personal life ‘after’ death – understand eternity as</w:t>
      </w:r>
      <w:r>
        <w:rPr>
          <w:spacing w:val="7"/>
          <w:w w:val="110"/>
          <w:sz w:val="18"/>
        </w:rPr>
        <w:t> </w:t>
      </w:r>
      <w:r>
        <w:rPr>
          <w:w w:val="110"/>
          <w:sz w:val="18"/>
        </w:rPr>
        <w:t>another</w:t>
      </w:r>
      <w:r>
        <w:rPr>
          <w:spacing w:val="7"/>
          <w:w w:val="110"/>
          <w:sz w:val="18"/>
        </w:rPr>
        <w:t> </w:t>
      </w:r>
      <w:r>
        <w:rPr>
          <w:w w:val="110"/>
          <w:sz w:val="18"/>
        </w:rPr>
        <w:t>dimension</w:t>
      </w:r>
      <w:r>
        <w:rPr>
          <w:spacing w:val="8"/>
          <w:w w:val="110"/>
          <w:sz w:val="18"/>
        </w:rPr>
        <w:t> </w:t>
      </w:r>
      <w:r>
        <w:rPr>
          <w:w w:val="110"/>
          <w:sz w:val="18"/>
        </w:rPr>
        <w:t>–</w:t>
      </w:r>
      <w:r>
        <w:rPr>
          <w:spacing w:val="7"/>
          <w:w w:val="110"/>
          <w:sz w:val="18"/>
        </w:rPr>
        <w:t> </w:t>
      </w:r>
      <w:r>
        <w:rPr>
          <w:w w:val="110"/>
          <w:sz w:val="18"/>
        </w:rPr>
        <w:t>through</w:t>
      </w:r>
      <w:r>
        <w:rPr>
          <w:spacing w:val="8"/>
          <w:w w:val="110"/>
          <w:sz w:val="18"/>
        </w:rPr>
        <w:t> </w:t>
      </w:r>
      <w:r>
        <w:rPr>
          <w:w w:val="110"/>
          <w:sz w:val="18"/>
        </w:rPr>
        <w:t>faith</w:t>
      </w:r>
      <w:r>
        <w:rPr>
          <w:spacing w:val="7"/>
          <w:w w:val="110"/>
          <w:sz w:val="18"/>
        </w:rPr>
        <w:t> </w:t>
      </w:r>
      <w:r>
        <w:rPr>
          <w:w w:val="110"/>
          <w:sz w:val="18"/>
        </w:rPr>
        <w:t>we</w:t>
      </w:r>
      <w:r>
        <w:rPr>
          <w:spacing w:val="7"/>
          <w:w w:val="110"/>
          <w:sz w:val="18"/>
        </w:rPr>
        <w:t> </w:t>
      </w:r>
      <w:r>
        <w:rPr>
          <w:w w:val="110"/>
          <w:sz w:val="18"/>
        </w:rPr>
        <w:t>are</w:t>
      </w:r>
      <w:r>
        <w:rPr>
          <w:spacing w:val="8"/>
          <w:w w:val="110"/>
          <w:sz w:val="18"/>
        </w:rPr>
        <w:t> </w:t>
      </w:r>
      <w:r>
        <w:rPr>
          <w:w w:val="110"/>
          <w:sz w:val="18"/>
        </w:rPr>
        <w:t>granted</w:t>
      </w:r>
      <w:r>
        <w:rPr>
          <w:spacing w:val="7"/>
          <w:w w:val="110"/>
          <w:sz w:val="18"/>
        </w:rPr>
        <w:t> </w:t>
      </w:r>
      <w:r>
        <w:rPr>
          <w:w w:val="110"/>
          <w:sz w:val="18"/>
        </w:rPr>
        <w:t>windows</w:t>
      </w:r>
      <w:r>
        <w:rPr>
          <w:spacing w:val="8"/>
          <w:w w:val="110"/>
          <w:sz w:val="18"/>
        </w:rPr>
        <w:t> </w:t>
      </w:r>
      <w:r>
        <w:rPr>
          <w:w w:val="110"/>
          <w:sz w:val="18"/>
        </w:rPr>
        <w:t>into</w:t>
      </w:r>
      <w:r>
        <w:rPr>
          <w:spacing w:val="7"/>
          <w:w w:val="110"/>
          <w:sz w:val="18"/>
        </w:rPr>
        <w:t> </w:t>
      </w:r>
      <w:r>
        <w:rPr>
          <w:w w:val="110"/>
          <w:sz w:val="18"/>
        </w:rPr>
        <w:t>gift</w:t>
      </w:r>
      <w:r>
        <w:rPr>
          <w:spacing w:val="7"/>
          <w:w w:val="110"/>
          <w:sz w:val="18"/>
        </w:rPr>
        <w:t> </w:t>
      </w:r>
      <w:r>
        <w:rPr>
          <w:w w:val="110"/>
          <w:sz w:val="18"/>
        </w:rPr>
        <w:t>of</w:t>
      </w:r>
    </w:p>
    <w:p>
      <w:pPr>
        <w:pStyle w:val="BodyText"/>
        <w:spacing w:before="28"/>
        <w:ind w:left="1921"/>
      </w:pPr>
      <w:r>
        <w:rPr>
          <w:w w:val="110"/>
        </w:rPr>
        <w:t>eternal life</w:t>
      </w:r>
    </w:p>
    <w:p>
      <w:pPr>
        <w:pStyle w:val="ListParagraph"/>
        <w:numPr>
          <w:ilvl w:val="1"/>
          <w:numId w:val="104"/>
        </w:numPr>
        <w:tabs>
          <w:tab w:pos="1921" w:val="left" w:leader="none"/>
          <w:tab w:pos="1922" w:val="left" w:leader="none"/>
        </w:tabs>
        <w:spacing w:line="277" w:lineRule="exact" w:before="1" w:after="0"/>
        <w:ind w:left="1921" w:right="0" w:hanging="682"/>
        <w:jc w:val="left"/>
        <w:rPr>
          <w:sz w:val="18"/>
        </w:rPr>
      </w:pPr>
      <w:r>
        <w:rPr>
          <w:w w:val="110"/>
          <w:sz w:val="18"/>
        </w:rPr>
        <w:t>not as much as it</w:t>
      </w:r>
      <w:r>
        <w:rPr>
          <w:spacing w:val="4"/>
          <w:w w:val="110"/>
          <w:sz w:val="18"/>
        </w:rPr>
        <w:t> </w:t>
      </w:r>
      <w:r>
        <w:rPr>
          <w:w w:val="110"/>
          <w:sz w:val="18"/>
        </w:rPr>
        <w:t>should</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spacing w:val="2"/>
          <w:w w:val="110"/>
          <w:sz w:val="18"/>
        </w:rPr>
        <w:t>very </w:t>
      </w:r>
      <w:r>
        <w:rPr>
          <w:w w:val="110"/>
          <w:sz w:val="18"/>
        </w:rPr>
        <w:t>little</w:t>
      </w:r>
      <w:r>
        <w:rPr>
          <w:spacing w:val="-1"/>
          <w:w w:val="110"/>
          <w:sz w:val="18"/>
        </w:rPr>
        <w:t> </w:t>
      </w:r>
      <w:r>
        <w:rPr>
          <w:spacing w:val="-6"/>
          <w:w w:val="110"/>
          <w:sz w:val="18"/>
        </w:rPr>
        <w:t>(3)</w:t>
      </w:r>
    </w:p>
    <w:p>
      <w:pPr>
        <w:pStyle w:val="ListParagraph"/>
        <w:numPr>
          <w:ilvl w:val="1"/>
          <w:numId w:val="104"/>
        </w:numPr>
        <w:tabs>
          <w:tab w:pos="1921" w:val="left" w:leader="none"/>
          <w:tab w:pos="1922" w:val="left" w:leader="none"/>
        </w:tabs>
        <w:spacing w:line="218" w:lineRule="auto" w:before="0" w:after="0"/>
        <w:ind w:left="1921" w:right="2035" w:hanging="681"/>
        <w:jc w:val="left"/>
        <w:rPr>
          <w:sz w:val="18"/>
        </w:rPr>
      </w:pPr>
      <w:r>
        <w:rPr>
          <w:w w:val="110"/>
          <w:sz w:val="18"/>
        </w:rPr>
        <w:t>sometimes conflicts with more human instinct that no one should have to linger in pain, lack of dignity, burden</w:t>
      </w:r>
      <w:r>
        <w:rPr>
          <w:spacing w:val="9"/>
          <w:w w:val="110"/>
          <w:sz w:val="18"/>
        </w:rPr>
        <w:t> </w:t>
      </w:r>
      <w:r>
        <w:rPr>
          <w:spacing w:val="-8"/>
          <w:w w:val="110"/>
          <w:sz w:val="18"/>
        </w:rPr>
        <w:t>(13)</w:t>
      </w:r>
    </w:p>
    <w:p>
      <w:pPr>
        <w:pStyle w:val="ListParagraph"/>
        <w:numPr>
          <w:ilvl w:val="1"/>
          <w:numId w:val="104"/>
        </w:numPr>
        <w:tabs>
          <w:tab w:pos="1921" w:val="left" w:leader="none"/>
          <w:tab w:pos="1922" w:val="left" w:leader="none"/>
        </w:tabs>
        <w:spacing w:line="218" w:lineRule="auto" w:before="16" w:after="0"/>
        <w:ind w:left="1921" w:right="2108" w:hanging="681"/>
        <w:jc w:val="left"/>
        <w:rPr>
          <w:sz w:val="18"/>
        </w:rPr>
      </w:pPr>
      <w:r>
        <w:rPr>
          <w:w w:val="110"/>
          <w:sz w:val="18"/>
        </w:rPr>
        <w:t>ensure way we live does not directly or indirectly cause death of another </w:t>
      </w:r>
      <w:r>
        <w:rPr>
          <w:spacing w:val="2"/>
          <w:w w:val="110"/>
          <w:sz w:val="18"/>
        </w:rPr>
        <w:t>person</w:t>
      </w:r>
    </w:p>
    <w:p>
      <w:pPr>
        <w:pStyle w:val="ListParagraph"/>
        <w:numPr>
          <w:ilvl w:val="1"/>
          <w:numId w:val="104"/>
        </w:numPr>
        <w:tabs>
          <w:tab w:pos="1921" w:val="left" w:leader="none"/>
          <w:tab w:pos="1922" w:val="left" w:leader="none"/>
        </w:tabs>
        <w:spacing w:line="277" w:lineRule="exact" w:before="6" w:after="0"/>
        <w:ind w:left="1921" w:right="0" w:hanging="682"/>
        <w:jc w:val="left"/>
        <w:rPr>
          <w:sz w:val="18"/>
        </w:rPr>
      </w:pPr>
      <w:r>
        <w:rPr>
          <w:w w:val="110"/>
          <w:sz w:val="18"/>
        </w:rPr>
        <w:t>medical</w:t>
      </w:r>
      <w:r>
        <w:rPr>
          <w:spacing w:val="-11"/>
          <w:w w:val="110"/>
          <w:sz w:val="18"/>
        </w:rPr>
        <w:t> </w:t>
      </w:r>
      <w:r>
        <w:rPr>
          <w:w w:val="110"/>
          <w:sz w:val="18"/>
        </w:rPr>
        <w:t>advances</w:t>
      </w:r>
      <w:r>
        <w:rPr>
          <w:spacing w:val="-11"/>
          <w:w w:val="110"/>
          <w:sz w:val="18"/>
        </w:rPr>
        <w:t> </w:t>
      </w:r>
      <w:r>
        <w:rPr>
          <w:w w:val="110"/>
          <w:sz w:val="18"/>
        </w:rPr>
        <w:t>and</w:t>
      </w:r>
      <w:r>
        <w:rPr>
          <w:spacing w:val="-10"/>
          <w:w w:val="110"/>
          <w:sz w:val="18"/>
        </w:rPr>
        <w:t> </w:t>
      </w:r>
      <w:r>
        <w:rPr>
          <w:w w:val="110"/>
          <w:sz w:val="18"/>
        </w:rPr>
        <w:t>caring</w:t>
      </w:r>
      <w:r>
        <w:rPr>
          <w:spacing w:val="-11"/>
          <w:w w:val="110"/>
          <w:sz w:val="18"/>
        </w:rPr>
        <w:t> </w:t>
      </w:r>
      <w:r>
        <w:rPr>
          <w:w w:val="110"/>
          <w:sz w:val="18"/>
        </w:rPr>
        <w:t>professionals,</w:t>
      </w:r>
      <w:r>
        <w:rPr>
          <w:spacing w:val="-10"/>
          <w:w w:val="110"/>
          <w:sz w:val="18"/>
        </w:rPr>
        <w:t> </w:t>
      </w:r>
      <w:r>
        <w:rPr>
          <w:w w:val="110"/>
          <w:sz w:val="18"/>
        </w:rPr>
        <w:t>are</w:t>
      </w:r>
      <w:r>
        <w:rPr>
          <w:spacing w:val="-10"/>
          <w:w w:val="110"/>
          <w:sz w:val="18"/>
        </w:rPr>
        <w:t> </w:t>
      </w:r>
      <w:r>
        <w:rPr>
          <w:w w:val="110"/>
          <w:sz w:val="18"/>
        </w:rPr>
        <w:t>also</w:t>
      </w:r>
      <w:r>
        <w:rPr>
          <w:spacing w:val="-10"/>
          <w:w w:val="110"/>
          <w:sz w:val="18"/>
        </w:rPr>
        <w:t> </w:t>
      </w:r>
      <w:r>
        <w:rPr>
          <w:w w:val="110"/>
          <w:sz w:val="18"/>
        </w:rPr>
        <w:t>expressions</w:t>
      </w:r>
      <w:r>
        <w:rPr>
          <w:spacing w:val="-10"/>
          <w:w w:val="110"/>
          <w:sz w:val="18"/>
        </w:rPr>
        <w:t> </w:t>
      </w:r>
      <w:r>
        <w:rPr>
          <w:w w:val="110"/>
          <w:sz w:val="18"/>
        </w:rPr>
        <w:t>of</w:t>
      </w:r>
      <w:r>
        <w:rPr>
          <w:spacing w:val="-10"/>
          <w:w w:val="110"/>
          <w:sz w:val="18"/>
        </w:rPr>
        <w:t> </w:t>
      </w:r>
      <w:r>
        <w:rPr>
          <w:w w:val="110"/>
          <w:sz w:val="18"/>
        </w:rPr>
        <w:t>God’s</w:t>
      </w:r>
      <w:r>
        <w:rPr>
          <w:spacing w:val="-11"/>
          <w:w w:val="110"/>
          <w:sz w:val="18"/>
        </w:rPr>
        <w:t> </w:t>
      </w:r>
      <w:r>
        <w:rPr>
          <w:spacing w:val="-3"/>
          <w:w w:val="110"/>
          <w:sz w:val="18"/>
        </w:rPr>
        <w:t>love</w:t>
      </w:r>
      <w:r>
        <w:rPr>
          <w:spacing w:val="-11"/>
          <w:w w:val="110"/>
          <w:sz w:val="18"/>
        </w:rPr>
        <w:t> </w:t>
      </w:r>
      <w:r>
        <w:rPr>
          <w:spacing w:val="-8"/>
          <w:w w:val="110"/>
          <w:sz w:val="18"/>
        </w:rPr>
        <w:t>(2)</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w w:val="110"/>
          <w:sz w:val="18"/>
        </w:rPr>
        <w:t>God’s will that we should </w:t>
      </w:r>
      <w:r>
        <w:rPr>
          <w:spacing w:val="2"/>
          <w:w w:val="110"/>
          <w:sz w:val="18"/>
        </w:rPr>
        <w:t>care </w:t>
      </w:r>
      <w:r>
        <w:rPr>
          <w:w w:val="110"/>
          <w:sz w:val="18"/>
        </w:rPr>
        <w:t>for one another until end of life</w:t>
      </w:r>
      <w:r>
        <w:rPr>
          <w:spacing w:val="23"/>
          <w:w w:val="110"/>
          <w:sz w:val="18"/>
        </w:rPr>
        <w:t> </w:t>
      </w:r>
      <w:r>
        <w:rPr>
          <w:spacing w:val="-6"/>
          <w:w w:val="110"/>
          <w:sz w:val="18"/>
        </w:rPr>
        <w:t>(3)</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w w:val="110"/>
          <w:sz w:val="18"/>
        </w:rPr>
        <w:t>life should not be ended prematurely or</w:t>
      </w:r>
      <w:r>
        <w:rPr>
          <w:spacing w:val="15"/>
          <w:w w:val="110"/>
          <w:sz w:val="18"/>
        </w:rPr>
        <w:t> </w:t>
      </w:r>
      <w:r>
        <w:rPr>
          <w:w w:val="110"/>
          <w:sz w:val="18"/>
        </w:rPr>
        <w:t>irresponsibly</w:t>
      </w:r>
    </w:p>
    <w:p>
      <w:pPr>
        <w:pStyle w:val="ListParagraph"/>
        <w:numPr>
          <w:ilvl w:val="1"/>
          <w:numId w:val="104"/>
        </w:numPr>
        <w:tabs>
          <w:tab w:pos="1921" w:val="left" w:leader="none"/>
          <w:tab w:pos="1922" w:val="left" w:leader="none"/>
        </w:tabs>
        <w:spacing w:line="218" w:lineRule="auto" w:before="0" w:after="0"/>
        <w:ind w:left="1921" w:right="1876" w:hanging="681"/>
        <w:jc w:val="left"/>
        <w:rPr>
          <w:sz w:val="18"/>
        </w:rPr>
      </w:pPr>
      <w:r>
        <w:rPr>
          <w:w w:val="110"/>
          <w:sz w:val="18"/>
        </w:rPr>
        <w:t>transforms it; life beyond death as an excitement to be anticipated eagerly but life on </w:t>
      </w:r>
      <w:r>
        <w:rPr>
          <w:spacing w:val="2"/>
          <w:w w:val="110"/>
          <w:sz w:val="18"/>
        </w:rPr>
        <w:t>earth </w:t>
      </w:r>
      <w:r>
        <w:rPr>
          <w:w w:val="110"/>
          <w:sz w:val="18"/>
        </w:rPr>
        <w:t>still</w:t>
      </w:r>
      <w:r>
        <w:rPr>
          <w:spacing w:val="3"/>
          <w:w w:val="110"/>
          <w:sz w:val="18"/>
        </w:rPr>
        <w:t> </w:t>
      </w:r>
      <w:r>
        <w:rPr>
          <w:w w:val="110"/>
          <w:sz w:val="18"/>
        </w:rPr>
        <w:t>sacred.</w:t>
      </w:r>
    </w:p>
    <w:p>
      <w:pPr>
        <w:pStyle w:val="BodyText"/>
        <w:rPr>
          <w:sz w:val="20"/>
        </w:rPr>
      </w:pPr>
    </w:p>
    <w:p>
      <w:pPr>
        <w:pStyle w:val="BodyText"/>
        <w:spacing w:before="1"/>
        <w:rPr>
          <w:sz w:val="24"/>
        </w:rPr>
      </w:pPr>
      <w:r>
        <w:rPr/>
        <w:pict>
          <v:group style="position:absolute;margin-left:57.068001pt;margin-top:16.613449pt;width:462.75pt;height:43.6pt;mso-position-horizontal-relative:page;mso-position-vertical-relative:paragraph;z-index:-251436032;mso-wrap-distance-left:0;mso-wrap-distance-right:0" coordorigin="1141,332" coordsize="9255,872">
            <v:rect style="position:absolute;left:2087;top:469;width:8309;height:720" filled="true" fillcolor="#000000" stroked="false">
              <v:fill opacity="49152f" type="solid"/>
            </v:rect>
            <v:shape style="position:absolute;left:1698;top:661;width:8504;height:455" coordorigin="1698,662" coordsize="8504,455" path="m9977,662l1698,662,1698,1116,9977,1116,10107,1113,10174,1088,10199,1020,10202,889,10199,758,10174,690,10107,665,9977,662xe" filled="true" fillcolor="#ffffff" stroked="false">
              <v:path arrowok="t"/>
              <v:fill type="solid"/>
            </v:shape>
            <v:shape style="position:absolute;left:1698;top:661;width:8504;height:455" coordorigin="1698,662" coordsize="8504,455" path="m10202,889l10199,758,10174,690,10107,665,9977,662,1698,662,1698,1116,9977,1116,10107,1113,10174,1088,10199,1020,10202,889xe" filled="false" stroked="true" strokeweight=".25pt" strokecolor="#000000">
              <v:path arrowok="t"/>
              <v:stroke dashstyle="solid"/>
            </v:shape>
            <v:rect style="position:absolute;left:1151;top:385;width:937;height:808" filled="true" fillcolor="#ffffff" stroked="false">
              <v:fill type="solid"/>
            </v:rect>
            <v:rect style="position:absolute;left:1151;top:385;width:937;height:808" filled="false" stroked="true" strokeweight="1pt" strokecolor="#ffffff">
              <v:stroke dashstyle="solid"/>
            </v:rect>
            <v:shape style="position:absolute;left:1141;top:332;width:9255;height:872" type="#_x0000_t202" filled="false" stroked="false">
              <v:textbox inset="0,0,0,0">
                <w:txbxContent>
                  <w:p>
                    <w:pPr>
                      <w:spacing w:before="0"/>
                      <w:ind w:left="559" w:right="0" w:firstLine="0"/>
                      <w:jc w:val="left"/>
                      <w:rPr>
                        <w:i/>
                        <w:sz w:val="18"/>
                      </w:rPr>
                    </w:pPr>
                    <w:r>
                      <w:rPr>
                        <w:b/>
                        <w:w w:val="110"/>
                        <w:sz w:val="63"/>
                      </w:rPr>
                      <w:t>2 </w:t>
                    </w:r>
                    <w:r>
                      <w:rPr>
                        <w:i/>
                        <w:w w:val="110"/>
                        <w:sz w:val="18"/>
                      </w:rPr>
                      <w:t>What is the “ideal” death?</w:t>
                    </w:r>
                  </w:p>
                </w:txbxContent>
              </v:textbox>
              <w10:wrap type="none"/>
            </v:shape>
            <w10:wrap type="topAndBottom"/>
          </v:group>
        </w:pict>
      </w:r>
    </w:p>
    <w:p>
      <w:pPr>
        <w:pStyle w:val="ListParagraph"/>
        <w:numPr>
          <w:ilvl w:val="1"/>
          <w:numId w:val="104"/>
        </w:numPr>
        <w:tabs>
          <w:tab w:pos="1921" w:val="left" w:leader="none"/>
          <w:tab w:pos="1922" w:val="left" w:leader="none"/>
        </w:tabs>
        <w:spacing w:line="218" w:lineRule="auto" w:before="40" w:after="0"/>
        <w:ind w:left="1921" w:right="1761" w:hanging="681"/>
        <w:jc w:val="left"/>
        <w:rPr>
          <w:sz w:val="18"/>
        </w:rPr>
      </w:pPr>
      <w:r>
        <w:rPr>
          <w:w w:val="110"/>
          <w:sz w:val="18"/>
        </w:rPr>
        <w:t>in faith; reconciled to God/at peace with God </w:t>
      </w:r>
      <w:r>
        <w:rPr>
          <w:spacing w:val="-9"/>
          <w:w w:val="110"/>
          <w:sz w:val="18"/>
        </w:rPr>
        <w:t>(8); </w:t>
      </w:r>
      <w:r>
        <w:rPr>
          <w:w w:val="110"/>
          <w:sz w:val="18"/>
        </w:rPr>
        <w:t>at the end of a fulfilled life in assurance of God’s forgiveness and love</w:t>
      </w:r>
      <w:r>
        <w:rPr>
          <w:spacing w:val="13"/>
          <w:w w:val="110"/>
          <w:sz w:val="18"/>
        </w:rPr>
        <w:t> </w:t>
      </w:r>
      <w:r>
        <w:rPr>
          <w:spacing w:val="-6"/>
          <w:w w:val="110"/>
          <w:sz w:val="18"/>
        </w:rPr>
        <w:t>(3)</w:t>
      </w:r>
    </w:p>
    <w:p>
      <w:pPr>
        <w:pStyle w:val="ListParagraph"/>
        <w:numPr>
          <w:ilvl w:val="1"/>
          <w:numId w:val="104"/>
        </w:numPr>
        <w:tabs>
          <w:tab w:pos="1921" w:val="left" w:leader="none"/>
          <w:tab w:pos="1922" w:val="left" w:leader="none"/>
        </w:tabs>
        <w:spacing w:line="277" w:lineRule="exact" w:before="6" w:after="0"/>
        <w:ind w:left="1921" w:right="0" w:hanging="682"/>
        <w:jc w:val="left"/>
        <w:rPr>
          <w:sz w:val="18"/>
        </w:rPr>
      </w:pPr>
      <w:r>
        <w:rPr>
          <w:w w:val="110"/>
          <w:sz w:val="18"/>
        </w:rPr>
        <w:t>without pain/anxiety </w:t>
      </w:r>
      <w:r>
        <w:rPr>
          <w:spacing w:val="-4"/>
          <w:w w:val="110"/>
          <w:sz w:val="18"/>
        </w:rPr>
        <w:t>(35) </w:t>
      </w:r>
      <w:r>
        <w:rPr>
          <w:w w:val="110"/>
          <w:sz w:val="18"/>
        </w:rPr>
        <w:t>and loss of physical/mental dignity</w:t>
      </w:r>
      <w:r>
        <w:rPr>
          <w:spacing w:val="24"/>
          <w:w w:val="110"/>
          <w:sz w:val="18"/>
        </w:rPr>
        <w:t> </w:t>
      </w:r>
      <w:r>
        <w:rPr>
          <w:spacing w:val="-11"/>
          <w:w w:val="110"/>
          <w:sz w:val="18"/>
        </w:rPr>
        <w:t>(11)</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w w:val="110"/>
          <w:sz w:val="18"/>
        </w:rPr>
        <w:t>anticipated; not lingering – surrounded by love, family, friends</w:t>
      </w:r>
      <w:r>
        <w:rPr>
          <w:spacing w:val="20"/>
          <w:w w:val="110"/>
          <w:sz w:val="18"/>
        </w:rPr>
        <w:t> </w:t>
      </w:r>
      <w:r>
        <w:rPr>
          <w:spacing w:val="-4"/>
          <w:w w:val="110"/>
          <w:sz w:val="18"/>
        </w:rPr>
        <w:t>(27)</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w w:val="110"/>
          <w:sz w:val="18"/>
        </w:rPr>
        <w:t>with time of preparation </w:t>
      </w:r>
      <w:r>
        <w:rPr>
          <w:spacing w:val="-9"/>
          <w:w w:val="110"/>
          <w:sz w:val="18"/>
        </w:rPr>
        <w:t>(12) </w:t>
      </w:r>
      <w:r>
        <w:rPr>
          <w:w w:val="110"/>
          <w:sz w:val="18"/>
        </w:rPr>
        <w:t>farewells/restoring</w:t>
      </w:r>
      <w:r>
        <w:rPr>
          <w:spacing w:val="25"/>
          <w:w w:val="110"/>
          <w:sz w:val="18"/>
        </w:rPr>
        <w:t> </w:t>
      </w:r>
      <w:r>
        <w:rPr>
          <w:w w:val="110"/>
          <w:sz w:val="18"/>
        </w:rPr>
        <w:t>relationships</w:t>
      </w:r>
    </w:p>
    <w:p>
      <w:pPr>
        <w:pStyle w:val="ListParagraph"/>
        <w:numPr>
          <w:ilvl w:val="1"/>
          <w:numId w:val="104"/>
        </w:numPr>
        <w:tabs>
          <w:tab w:pos="1921" w:val="left" w:leader="none"/>
          <w:tab w:pos="1922" w:val="left" w:leader="none"/>
        </w:tabs>
        <w:spacing w:line="250" w:lineRule="exact" w:before="0" w:after="0"/>
        <w:ind w:left="1921" w:right="0" w:hanging="682"/>
        <w:jc w:val="left"/>
        <w:rPr>
          <w:sz w:val="18"/>
        </w:rPr>
      </w:pPr>
      <w:r>
        <w:rPr>
          <w:w w:val="110"/>
          <w:sz w:val="18"/>
        </w:rPr>
        <w:t>in sleep/peacefully </w:t>
      </w:r>
      <w:r>
        <w:rPr>
          <w:spacing w:val="-8"/>
          <w:w w:val="110"/>
          <w:sz w:val="18"/>
        </w:rPr>
        <w:t>(30); </w:t>
      </w:r>
      <w:r>
        <w:rPr>
          <w:w w:val="110"/>
          <w:sz w:val="18"/>
        </w:rPr>
        <w:t>quick </w:t>
      </w:r>
      <w:r>
        <w:rPr>
          <w:spacing w:val="-10"/>
          <w:w w:val="110"/>
          <w:sz w:val="18"/>
        </w:rPr>
        <w:t>(21); </w:t>
      </w:r>
      <w:r>
        <w:rPr>
          <w:w w:val="110"/>
          <w:sz w:val="18"/>
        </w:rPr>
        <w:t>when elderly/after long and fulfilled life</w:t>
      </w:r>
      <w:r>
        <w:rPr>
          <w:spacing w:val="-21"/>
          <w:w w:val="110"/>
          <w:sz w:val="18"/>
        </w:rPr>
        <w:t> </w:t>
      </w:r>
      <w:r>
        <w:rPr>
          <w:spacing w:val="-8"/>
          <w:w w:val="110"/>
          <w:sz w:val="18"/>
        </w:rPr>
        <w:t>(6)</w:t>
      </w:r>
    </w:p>
    <w:p>
      <w:pPr>
        <w:pStyle w:val="ListParagraph"/>
        <w:numPr>
          <w:ilvl w:val="1"/>
          <w:numId w:val="104"/>
        </w:numPr>
        <w:tabs>
          <w:tab w:pos="1921" w:val="left" w:leader="none"/>
          <w:tab w:pos="1922" w:val="left" w:leader="none"/>
        </w:tabs>
        <w:spacing w:line="218" w:lineRule="auto" w:before="0" w:after="0"/>
        <w:ind w:left="1921" w:right="1659" w:hanging="681"/>
        <w:jc w:val="left"/>
        <w:rPr>
          <w:sz w:val="18"/>
        </w:rPr>
      </w:pPr>
      <w:r>
        <w:rPr>
          <w:w w:val="110"/>
          <w:sz w:val="18"/>
        </w:rPr>
        <w:t>to die suddenly with no illness/pain – but this is selfish, a shock for relatives/ friends – and why should I be so fortunate as not to</w:t>
      </w:r>
      <w:r>
        <w:rPr>
          <w:spacing w:val="35"/>
          <w:w w:val="110"/>
          <w:sz w:val="18"/>
        </w:rPr>
        <w:t> </w:t>
      </w:r>
      <w:r>
        <w:rPr>
          <w:spacing w:val="2"/>
          <w:w w:val="110"/>
          <w:sz w:val="18"/>
        </w:rPr>
        <w:t>suffer</w:t>
      </w:r>
    </w:p>
    <w:p>
      <w:pPr>
        <w:spacing w:after="0" w:line="218" w:lineRule="auto"/>
        <w:jc w:val="left"/>
        <w:rPr>
          <w:sz w:val="18"/>
        </w:rPr>
        <w:sectPr>
          <w:headerReference w:type="default" r:id="rId273"/>
          <w:headerReference w:type="even" r:id="rId274"/>
          <w:footerReference w:type="default" r:id="rId275"/>
          <w:footerReference w:type="even" r:id="rId276"/>
          <w:pgSz w:w="11910" w:h="16840"/>
          <w:pgMar w:header="557" w:footer="564" w:top="740" w:bottom="760" w:left="460" w:right="0"/>
          <w:pgNumType w:start="17"/>
        </w:sectPr>
      </w:pPr>
    </w:p>
    <w:p>
      <w:pPr>
        <w:pStyle w:val="ListParagraph"/>
        <w:numPr>
          <w:ilvl w:val="0"/>
          <w:numId w:val="2"/>
        </w:numPr>
        <w:tabs>
          <w:tab w:pos="1354" w:val="left" w:leader="none"/>
          <w:tab w:pos="1355" w:val="left" w:leader="none"/>
        </w:tabs>
        <w:spacing w:line="277" w:lineRule="exact" w:before="109" w:after="0"/>
        <w:ind w:left="1354" w:right="0" w:hanging="682"/>
        <w:jc w:val="left"/>
        <w:rPr>
          <w:sz w:val="25"/>
        </w:rPr>
      </w:pPr>
      <w:r>
        <w:rPr>
          <w:w w:val="110"/>
          <w:sz w:val="18"/>
        </w:rPr>
        <w:t>at</w:t>
      </w:r>
      <w:r>
        <w:rPr>
          <w:spacing w:val="-8"/>
          <w:w w:val="110"/>
          <w:sz w:val="18"/>
        </w:rPr>
        <w:t> </w:t>
      </w:r>
      <w:r>
        <w:rPr>
          <w:w w:val="110"/>
          <w:sz w:val="18"/>
        </w:rPr>
        <w:t>time</w:t>
      </w:r>
      <w:r>
        <w:rPr>
          <w:spacing w:val="-8"/>
          <w:w w:val="110"/>
          <w:sz w:val="18"/>
        </w:rPr>
        <w:t> </w:t>
      </w:r>
      <w:r>
        <w:rPr>
          <w:w w:val="110"/>
          <w:sz w:val="18"/>
        </w:rPr>
        <w:t>chosen</w:t>
      </w:r>
      <w:r>
        <w:rPr>
          <w:spacing w:val="-8"/>
          <w:w w:val="110"/>
          <w:sz w:val="18"/>
        </w:rPr>
        <w:t> </w:t>
      </w:r>
      <w:r>
        <w:rPr>
          <w:w w:val="110"/>
          <w:sz w:val="18"/>
        </w:rPr>
        <w:t>by</w:t>
      </w:r>
      <w:r>
        <w:rPr>
          <w:spacing w:val="-8"/>
          <w:w w:val="110"/>
          <w:sz w:val="18"/>
        </w:rPr>
        <w:t> </w:t>
      </w:r>
      <w:r>
        <w:rPr>
          <w:w w:val="110"/>
          <w:sz w:val="18"/>
        </w:rPr>
        <w:t>individual</w:t>
      </w:r>
      <w:r>
        <w:rPr>
          <w:spacing w:val="-8"/>
          <w:w w:val="110"/>
          <w:sz w:val="18"/>
        </w:rPr>
        <w:t> </w:t>
      </w:r>
      <w:r>
        <w:rPr>
          <w:w w:val="110"/>
          <w:sz w:val="18"/>
        </w:rPr>
        <w:t>if</w:t>
      </w:r>
      <w:r>
        <w:rPr>
          <w:spacing w:val="-8"/>
          <w:w w:val="110"/>
          <w:sz w:val="18"/>
        </w:rPr>
        <w:t> </w:t>
      </w:r>
      <w:r>
        <w:rPr>
          <w:w w:val="110"/>
          <w:sz w:val="18"/>
        </w:rPr>
        <w:t>possible</w:t>
      </w:r>
      <w:r>
        <w:rPr>
          <w:spacing w:val="-8"/>
          <w:w w:val="110"/>
          <w:sz w:val="18"/>
        </w:rPr>
        <w:t> </w:t>
      </w:r>
      <w:r>
        <w:rPr>
          <w:w w:val="110"/>
          <w:sz w:val="18"/>
        </w:rPr>
        <w:t>(including</w:t>
      </w:r>
      <w:r>
        <w:rPr>
          <w:spacing w:val="-8"/>
          <w:w w:val="110"/>
          <w:sz w:val="18"/>
        </w:rPr>
        <w:t> </w:t>
      </w:r>
      <w:r>
        <w:rPr>
          <w:w w:val="110"/>
          <w:sz w:val="18"/>
        </w:rPr>
        <w:t>right</w:t>
      </w:r>
      <w:r>
        <w:rPr>
          <w:spacing w:val="-8"/>
          <w:w w:val="110"/>
          <w:sz w:val="18"/>
        </w:rPr>
        <w:t> </w:t>
      </w:r>
      <w:r>
        <w:rPr>
          <w:w w:val="110"/>
          <w:sz w:val="18"/>
        </w:rPr>
        <w:t>to</w:t>
      </w:r>
      <w:r>
        <w:rPr>
          <w:spacing w:val="-7"/>
          <w:w w:val="110"/>
          <w:sz w:val="18"/>
        </w:rPr>
        <w:t> </w:t>
      </w:r>
      <w:r>
        <w:rPr>
          <w:spacing w:val="-3"/>
          <w:w w:val="110"/>
          <w:sz w:val="18"/>
        </w:rPr>
        <w:t>have</w:t>
      </w:r>
      <w:r>
        <w:rPr>
          <w:spacing w:val="-8"/>
          <w:w w:val="110"/>
          <w:sz w:val="18"/>
        </w:rPr>
        <w:t> </w:t>
      </w:r>
      <w:r>
        <w:rPr>
          <w:w w:val="110"/>
          <w:sz w:val="18"/>
        </w:rPr>
        <w:t>assistance</w:t>
      </w:r>
      <w:r>
        <w:rPr>
          <w:spacing w:val="-8"/>
          <w:w w:val="110"/>
          <w:sz w:val="18"/>
        </w:rPr>
        <w:t> </w:t>
      </w:r>
      <w:r>
        <w:rPr>
          <w:w w:val="110"/>
          <w:sz w:val="18"/>
        </w:rPr>
        <w:t>to</w:t>
      </w:r>
      <w:r>
        <w:rPr>
          <w:spacing w:val="-8"/>
          <w:w w:val="110"/>
          <w:sz w:val="18"/>
        </w:rPr>
        <w:t> </w:t>
      </w:r>
      <w:r>
        <w:rPr>
          <w:spacing w:val="-5"/>
          <w:w w:val="110"/>
          <w:sz w:val="18"/>
        </w:rPr>
        <w:t>die)</w:t>
      </w:r>
    </w:p>
    <w:p>
      <w:pPr>
        <w:pStyle w:val="ListParagraph"/>
        <w:numPr>
          <w:ilvl w:val="0"/>
          <w:numId w:val="2"/>
        </w:numPr>
        <w:tabs>
          <w:tab w:pos="1354" w:val="left" w:leader="none"/>
          <w:tab w:pos="1355" w:val="left" w:leader="none"/>
        </w:tabs>
        <w:spacing w:line="218" w:lineRule="auto" w:before="0" w:after="0"/>
        <w:ind w:left="1354" w:right="1861" w:hanging="681"/>
        <w:jc w:val="left"/>
        <w:rPr>
          <w:sz w:val="25"/>
        </w:rPr>
      </w:pPr>
      <w:r>
        <w:rPr>
          <w:w w:val="110"/>
          <w:sz w:val="18"/>
        </w:rPr>
        <w:t>not causing too much pain for those who love me – having confidence that those we love can go on without us</w:t>
      </w:r>
      <w:r>
        <w:rPr>
          <w:spacing w:val="7"/>
          <w:w w:val="110"/>
          <w:sz w:val="18"/>
        </w:rPr>
        <w:t> </w:t>
      </w:r>
      <w:r>
        <w:rPr>
          <w:spacing w:val="-10"/>
          <w:w w:val="110"/>
          <w:sz w:val="18"/>
        </w:rPr>
        <w:t>(4)</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peaceful cessation of the human </w:t>
      </w:r>
      <w:r>
        <w:rPr>
          <w:spacing w:val="6"/>
          <w:w w:val="110"/>
          <w:sz w:val="18"/>
        </w:rPr>
        <w:t> </w:t>
      </w:r>
      <w:r>
        <w:rPr>
          <w:w w:val="110"/>
          <w:sz w:val="18"/>
        </w:rPr>
        <w:t>machine</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can there be such a thing?</w:t>
      </w:r>
      <w:r>
        <w:rPr>
          <w:spacing w:val="5"/>
          <w:w w:val="110"/>
          <w:sz w:val="18"/>
        </w:rPr>
        <w:t> </w:t>
      </w:r>
      <w:r>
        <w:rPr>
          <w:spacing w:val="-9"/>
          <w:w w:val="110"/>
          <w:sz w:val="18"/>
        </w:rPr>
        <w:t>(4).</w:t>
      </w:r>
    </w:p>
    <w:p>
      <w:pPr>
        <w:pStyle w:val="BodyText"/>
        <w:rPr>
          <w:sz w:val="20"/>
        </w:rPr>
      </w:pPr>
    </w:p>
    <w:p>
      <w:pPr>
        <w:pStyle w:val="BodyText"/>
        <w:spacing w:before="9"/>
        <w:rPr>
          <w:sz w:val="19"/>
        </w:rPr>
      </w:pPr>
      <w:r>
        <w:rPr/>
        <w:pict>
          <v:group style="position:absolute;margin-left:28.722pt;margin-top:13.963609pt;width:491.2pt;height:56.15pt;mso-position-horizontal-relative:page;mso-position-vertical-relative:paragraph;z-index:-251432960;mso-wrap-distance-left:0;mso-wrap-distance-right:0" coordorigin="574,279" coordsize="9824,1123">
            <v:rect style="position:absolute;left:1482;top:474;width:8915;height:893" filled="true" fillcolor="#000000" stroked="false">
              <v:fill opacity="49152f" type="solid"/>
            </v:rect>
            <v:shape style="position:absolute;left:1131;top:666;width:9071;height:617" coordorigin="1131,667" coordsize="9071,617" path="m9962,667l1131,667,1131,1284,9962,1284,10101,1279,10172,1245,10198,1154,10202,975,10198,797,10172,705,10101,672,9962,667xe" filled="true" fillcolor="#ffffff" stroked="false">
              <v:path arrowok="t"/>
              <v:fill type="solid"/>
            </v:shape>
            <v:shape style="position:absolute;left:1131;top:666;width:9071;height:617" coordorigin="1131,667" coordsize="9071,617" path="m10202,975l10198,797,10172,705,10101,672,9962,667,1131,667,1131,1284,9962,1284,10101,1279,10172,1245,10198,1154,10202,975xe" filled="false" stroked="true" strokeweight=".25pt" strokecolor="#000000">
              <v:path arrowok="t"/>
              <v:stroke dashstyle="solid"/>
            </v:shape>
            <v:rect style="position:absolute;left:584;top:395;width:899;height:996" filled="true" fillcolor="#ffffff" stroked="false">
              <v:fill type="solid"/>
            </v:rect>
            <v:rect style="position:absolute;left:584;top:395;width:899;height:996" filled="false" stroked="true" strokeweight="1pt" strokecolor="#ffffff">
              <v:stroke dashstyle="solid"/>
            </v:rect>
            <v:shape style="position:absolute;left:574;top:279;width:9824;height:1123" type="#_x0000_t202" filled="false" stroked="false">
              <v:textbox inset="0,0,0,0">
                <w:txbxContent>
                  <w:p>
                    <w:pPr>
                      <w:spacing w:line="192" w:lineRule="auto" w:before="126"/>
                      <w:ind w:left="1279" w:right="830" w:hanging="721"/>
                      <w:jc w:val="left"/>
                      <w:rPr>
                        <w:i/>
                        <w:sz w:val="18"/>
                      </w:rPr>
                    </w:pPr>
                    <w:r>
                      <w:rPr>
                        <w:b/>
                        <w:w w:val="110"/>
                        <w:sz w:val="63"/>
                      </w:rPr>
                      <w:t>3 </w:t>
                    </w:r>
                    <w:r>
                      <w:rPr>
                        <w:i/>
                        <w:w w:val="110"/>
                        <w:sz w:val="18"/>
                      </w:rPr>
                      <w:t>Are we worried about becoming a burden, restricting the lives of carers, </w:t>
                    </w:r>
                    <w:r>
                      <w:rPr>
                        <w:i/>
                        <w:w w:val="110"/>
                        <w:sz w:val="18"/>
                      </w:rPr>
                      <w:t>using up family resources, and not getting good care?</w:t>
                    </w:r>
                  </w:p>
                </w:txbxContent>
              </v:textbox>
              <w10:wrap type="none"/>
            </v:shape>
            <w10:wrap type="topAndBottom"/>
          </v:group>
        </w:pict>
      </w:r>
    </w:p>
    <w:p>
      <w:pPr>
        <w:pStyle w:val="ListParagraph"/>
        <w:numPr>
          <w:ilvl w:val="0"/>
          <w:numId w:val="2"/>
        </w:numPr>
        <w:tabs>
          <w:tab w:pos="1354" w:val="left" w:leader="none"/>
          <w:tab w:pos="1355" w:val="left" w:leader="none"/>
        </w:tabs>
        <w:spacing w:line="277" w:lineRule="exact" w:before="21" w:after="0"/>
        <w:ind w:left="1354" w:right="0" w:hanging="682"/>
        <w:jc w:val="left"/>
        <w:rPr>
          <w:sz w:val="25"/>
        </w:rPr>
      </w:pPr>
      <w:r>
        <w:rPr>
          <w:w w:val="110"/>
          <w:sz w:val="18"/>
        </w:rPr>
        <w:t>yes to all of these</w:t>
      </w:r>
      <w:r>
        <w:rPr>
          <w:spacing w:val="3"/>
          <w:w w:val="110"/>
          <w:sz w:val="18"/>
        </w:rPr>
        <w:t> </w:t>
      </w:r>
      <w:r>
        <w:rPr>
          <w:spacing w:val="-5"/>
          <w:w w:val="110"/>
          <w:sz w:val="18"/>
        </w:rPr>
        <w:t>(70)</w:t>
      </w:r>
    </w:p>
    <w:p>
      <w:pPr>
        <w:pStyle w:val="ListParagraph"/>
        <w:numPr>
          <w:ilvl w:val="0"/>
          <w:numId w:val="2"/>
        </w:numPr>
        <w:tabs>
          <w:tab w:pos="1354" w:val="left" w:leader="none"/>
          <w:tab w:pos="1355" w:val="left" w:leader="none"/>
        </w:tabs>
        <w:spacing w:line="218" w:lineRule="auto" w:before="0" w:after="0"/>
        <w:ind w:left="1354" w:right="1866" w:hanging="681"/>
        <w:jc w:val="left"/>
        <w:rPr>
          <w:sz w:val="25"/>
        </w:rPr>
      </w:pPr>
      <w:r>
        <w:rPr>
          <w:w w:val="110"/>
          <w:sz w:val="18"/>
        </w:rPr>
        <w:t>generally no </w:t>
      </w:r>
      <w:r>
        <w:rPr>
          <w:spacing w:val="-6"/>
          <w:w w:val="110"/>
          <w:sz w:val="18"/>
        </w:rPr>
        <w:t>(5); </w:t>
      </w:r>
      <w:r>
        <w:rPr>
          <w:w w:val="110"/>
          <w:sz w:val="18"/>
        </w:rPr>
        <w:t>God will supply; trust in God’s </w:t>
      </w:r>
      <w:r>
        <w:rPr>
          <w:spacing w:val="2"/>
          <w:w w:val="110"/>
          <w:sz w:val="18"/>
        </w:rPr>
        <w:t>care </w:t>
      </w:r>
      <w:r>
        <w:rPr>
          <w:w w:val="110"/>
          <w:sz w:val="18"/>
        </w:rPr>
        <w:t>and </w:t>
      </w:r>
      <w:r>
        <w:rPr>
          <w:spacing w:val="-3"/>
          <w:w w:val="110"/>
          <w:sz w:val="18"/>
        </w:rPr>
        <w:t>love; </w:t>
      </w:r>
      <w:r>
        <w:rPr>
          <w:spacing w:val="2"/>
          <w:w w:val="110"/>
          <w:sz w:val="18"/>
        </w:rPr>
        <w:t>‘worry’ </w:t>
      </w:r>
      <w:r>
        <w:rPr>
          <w:w w:val="110"/>
          <w:sz w:val="18"/>
        </w:rPr>
        <w:t>shows our failure to</w:t>
      </w:r>
      <w:r>
        <w:rPr>
          <w:spacing w:val="1"/>
          <w:w w:val="110"/>
          <w:sz w:val="18"/>
        </w:rPr>
        <w:t> </w:t>
      </w:r>
      <w:r>
        <w:rPr>
          <w:w w:val="110"/>
          <w:sz w:val="18"/>
        </w:rPr>
        <w:t>trust</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media generate</w:t>
      </w:r>
      <w:r>
        <w:rPr>
          <w:spacing w:val="2"/>
          <w:w w:val="110"/>
          <w:sz w:val="18"/>
        </w:rPr>
        <w:t> </w:t>
      </w:r>
      <w:r>
        <w:rPr>
          <w:w w:val="110"/>
          <w:sz w:val="18"/>
        </w:rPr>
        <w:t>anxiety</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being a burden/restricting lives of family </w:t>
      </w:r>
      <w:r>
        <w:rPr>
          <w:spacing w:val="-8"/>
          <w:w w:val="110"/>
          <w:sz w:val="18"/>
        </w:rPr>
        <w:t>(6); </w:t>
      </w:r>
      <w:r>
        <w:rPr>
          <w:w w:val="110"/>
          <w:sz w:val="18"/>
        </w:rPr>
        <w:t>impulse for drawing up living</w:t>
      </w:r>
      <w:r>
        <w:rPr>
          <w:spacing w:val="46"/>
          <w:w w:val="110"/>
          <w:sz w:val="18"/>
        </w:rPr>
        <w:t> </w:t>
      </w:r>
      <w:r>
        <w:rPr>
          <w:w w:val="110"/>
          <w:sz w:val="18"/>
        </w:rPr>
        <w:t>will?</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cost of care/standards/availability</w:t>
      </w:r>
      <w:r>
        <w:rPr>
          <w:spacing w:val="3"/>
          <w:w w:val="110"/>
          <w:sz w:val="18"/>
        </w:rPr>
        <w:t> </w:t>
      </w:r>
      <w:r>
        <w:rPr>
          <w:spacing w:val="-8"/>
          <w:w w:val="110"/>
          <w:sz w:val="18"/>
        </w:rPr>
        <w:t>(8)</w:t>
      </w:r>
    </w:p>
    <w:p>
      <w:pPr>
        <w:pStyle w:val="ListParagraph"/>
        <w:numPr>
          <w:ilvl w:val="0"/>
          <w:numId w:val="2"/>
        </w:numPr>
        <w:tabs>
          <w:tab w:pos="1354" w:val="left" w:leader="none"/>
          <w:tab w:pos="1355" w:val="left" w:leader="none"/>
        </w:tabs>
        <w:spacing w:line="218" w:lineRule="auto" w:before="0" w:after="0"/>
        <w:ind w:left="1354" w:right="2246" w:hanging="681"/>
        <w:jc w:val="left"/>
        <w:rPr>
          <w:sz w:val="25"/>
        </w:rPr>
      </w:pPr>
      <w:r>
        <w:rPr>
          <w:w w:val="110"/>
          <w:sz w:val="18"/>
        </w:rPr>
        <w:t>elderly </w:t>
      </w:r>
      <w:r>
        <w:rPr>
          <w:spacing w:val="2"/>
          <w:w w:val="110"/>
          <w:sz w:val="18"/>
        </w:rPr>
        <w:t>distressed </w:t>
      </w:r>
      <w:r>
        <w:rPr>
          <w:w w:val="110"/>
          <w:sz w:val="18"/>
        </w:rPr>
        <w:t>at having to sell homes; paying for funeral/wanting money to leave to</w:t>
      </w:r>
      <w:r>
        <w:rPr>
          <w:spacing w:val="2"/>
          <w:w w:val="110"/>
          <w:sz w:val="18"/>
        </w:rPr>
        <w:t> </w:t>
      </w:r>
      <w:r>
        <w:rPr>
          <w:w w:val="110"/>
          <w:sz w:val="18"/>
        </w:rPr>
        <w:t>family</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spacing w:val="2"/>
          <w:w w:val="110"/>
          <w:sz w:val="18"/>
        </w:rPr>
        <w:t>horror </w:t>
      </w:r>
      <w:r>
        <w:rPr>
          <w:w w:val="110"/>
          <w:sz w:val="18"/>
        </w:rPr>
        <w:t>of being put into a</w:t>
      </w:r>
      <w:r>
        <w:rPr>
          <w:spacing w:val="4"/>
          <w:w w:val="110"/>
          <w:sz w:val="18"/>
        </w:rPr>
        <w:t> </w:t>
      </w:r>
      <w:r>
        <w:rPr>
          <w:w w:val="110"/>
          <w:sz w:val="18"/>
        </w:rPr>
        <w:t>home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should be balance between sacrificial </w:t>
      </w:r>
      <w:r>
        <w:rPr>
          <w:spacing w:val="2"/>
          <w:w w:val="110"/>
          <w:sz w:val="18"/>
        </w:rPr>
        <w:t>care </w:t>
      </w:r>
      <w:r>
        <w:rPr>
          <w:w w:val="110"/>
          <w:sz w:val="18"/>
        </w:rPr>
        <w:t>of family and that provided by</w:t>
      </w:r>
      <w:r>
        <w:rPr>
          <w:spacing w:val="45"/>
          <w:w w:val="110"/>
          <w:sz w:val="18"/>
        </w:rPr>
        <w:t> </w:t>
      </w:r>
      <w:r>
        <w:rPr>
          <w:w w:val="110"/>
          <w:sz w:val="18"/>
        </w:rPr>
        <w:t>state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many worries would disappear if we were a more caring</w:t>
      </w:r>
      <w:r>
        <w:rPr>
          <w:spacing w:val="25"/>
          <w:w w:val="110"/>
          <w:sz w:val="18"/>
        </w:rPr>
        <w:t> </w:t>
      </w:r>
      <w:r>
        <w:rPr>
          <w:w w:val="110"/>
          <w:sz w:val="18"/>
        </w:rPr>
        <w:t>community</w:t>
      </w:r>
    </w:p>
    <w:p>
      <w:pPr>
        <w:pStyle w:val="ListParagraph"/>
        <w:numPr>
          <w:ilvl w:val="0"/>
          <w:numId w:val="2"/>
        </w:numPr>
        <w:tabs>
          <w:tab w:pos="1354" w:val="left" w:leader="none"/>
          <w:tab w:pos="1355" w:val="left" w:leader="none"/>
        </w:tabs>
        <w:spacing w:line="218" w:lineRule="auto" w:before="0" w:after="0"/>
        <w:ind w:left="1354" w:right="2394" w:hanging="681"/>
        <w:jc w:val="left"/>
        <w:rPr>
          <w:sz w:val="25"/>
        </w:rPr>
      </w:pPr>
      <w:r>
        <w:rPr>
          <w:w w:val="110"/>
          <w:sz w:val="18"/>
        </w:rPr>
        <w:t>concern about lack of support for </w:t>
      </w:r>
      <w:r>
        <w:rPr>
          <w:spacing w:val="3"/>
          <w:w w:val="110"/>
          <w:sz w:val="18"/>
        </w:rPr>
        <w:t>carers </w:t>
      </w:r>
      <w:r>
        <w:rPr>
          <w:spacing w:val="-8"/>
          <w:w w:val="110"/>
          <w:sz w:val="18"/>
        </w:rPr>
        <w:t>(2); </w:t>
      </w:r>
      <w:r>
        <w:rPr>
          <w:w w:val="110"/>
          <w:sz w:val="18"/>
        </w:rPr>
        <w:t>love should never be a burden but illness or disability </w:t>
      </w:r>
      <w:r>
        <w:rPr>
          <w:spacing w:val="2"/>
          <w:w w:val="110"/>
          <w:sz w:val="18"/>
        </w:rPr>
        <w:t>presents </w:t>
      </w:r>
      <w:r>
        <w:rPr>
          <w:w w:val="110"/>
          <w:sz w:val="18"/>
        </w:rPr>
        <w:t>strains</w:t>
      </w:r>
      <w:r>
        <w:rPr>
          <w:spacing w:val="9"/>
          <w:w w:val="110"/>
          <w:sz w:val="18"/>
        </w:rPr>
        <w:t> </w:t>
      </w:r>
      <w:r>
        <w:rPr>
          <w:spacing w:val="-7"/>
          <w:w w:val="110"/>
          <w:sz w:val="18"/>
        </w:rPr>
        <w:t>(6)</w:t>
      </w:r>
    </w:p>
    <w:p>
      <w:pPr>
        <w:pStyle w:val="ListParagraph"/>
        <w:numPr>
          <w:ilvl w:val="0"/>
          <w:numId w:val="2"/>
        </w:numPr>
        <w:tabs>
          <w:tab w:pos="1354" w:val="left" w:leader="none"/>
          <w:tab w:pos="1355" w:val="left" w:leader="none"/>
        </w:tabs>
        <w:spacing w:line="218" w:lineRule="auto" w:before="11" w:after="0"/>
        <w:ind w:left="1354" w:right="2845" w:hanging="681"/>
        <w:jc w:val="left"/>
        <w:rPr>
          <w:sz w:val="25"/>
        </w:rPr>
      </w:pPr>
      <w:r>
        <w:rPr>
          <w:w w:val="110"/>
          <w:sz w:val="18"/>
        </w:rPr>
        <w:t>as most can </w:t>
      </w:r>
      <w:r>
        <w:rPr>
          <w:spacing w:val="2"/>
          <w:w w:val="110"/>
          <w:sz w:val="18"/>
        </w:rPr>
        <w:t>expect </w:t>
      </w:r>
      <w:r>
        <w:rPr>
          <w:w w:val="110"/>
          <w:sz w:val="18"/>
        </w:rPr>
        <w:t>to live longer, it will be an increasingly complicated situation for individuals and</w:t>
      </w:r>
      <w:r>
        <w:rPr>
          <w:spacing w:val="6"/>
          <w:w w:val="110"/>
          <w:sz w:val="18"/>
        </w:rPr>
        <w:t> </w:t>
      </w:r>
      <w:r>
        <w:rPr>
          <w:w w:val="110"/>
          <w:sz w:val="18"/>
        </w:rPr>
        <w:t>families</w:t>
      </w:r>
    </w:p>
    <w:p>
      <w:pPr>
        <w:pStyle w:val="ListParagraph"/>
        <w:numPr>
          <w:ilvl w:val="0"/>
          <w:numId w:val="2"/>
        </w:numPr>
        <w:tabs>
          <w:tab w:pos="1354" w:val="left" w:leader="none"/>
          <w:tab w:pos="1355" w:val="left" w:leader="none"/>
        </w:tabs>
        <w:spacing w:line="277" w:lineRule="exact" w:before="6" w:after="0"/>
        <w:ind w:left="1354" w:right="0" w:hanging="682"/>
        <w:jc w:val="left"/>
        <w:rPr>
          <w:sz w:val="25"/>
        </w:rPr>
      </w:pPr>
      <w:r>
        <w:rPr>
          <w:w w:val="110"/>
          <w:sz w:val="18"/>
        </w:rPr>
        <w:t>terminal </w:t>
      </w:r>
      <w:r>
        <w:rPr>
          <w:spacing w:val="2"/>
          <w:w w:val="110"/>
          <w:sz w:val="18"/>
        </w:rPr>
        <w:t>care </w:t>
      </w:r>
      <w:r>
        <w:rPr>
          <w:w w:val="110"/>
          <w:sz w:val="18"/>
        </w:rPr>
        <w:t>usually seen as</w:t>
      </w:r>
      <w:r>
        <w:rPr>
          <w:spacing w:val="4"/>
          <w:w w:val="110"/>
          <w:sz w:val="18"/>
        </w:rPr>
        <w:t> </w:t>
      </w:r>
      <w:r>
        <w:rPr>
          <w:w w:val="110"/>
          <w:sz w:val="18"/>
        </w:rPr>
        <w:t>excellent</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good </w:t>
      </w:r>
      <w:r>
        <w:rPr>
          <w:spacing w:val="2"/>
          <w:w w:val="110"/>
          <w:sz w:val="18"/>
        </w:rPr>
        <w:t>care </w:t>
      </w:r>
      <w:r>
        <w:rPr>
          <w:w w:val="110"/>
          <w:sz w:val="18"/>
        </w:rPr>
        <w:t>is physical, spiritual and</w:t>
      </w:r>
      <w:r>
        <w:rPr>
          <w:spacing w:val="6"/>
          <w:w w:val="110"/>
          <w:sz w:val="18"/>
        </w:rPr>
        <w:t> </w:t>
      </w:r>
      <w:r>
        <w:rPr>
          <w:w w:val="110"/>
          <w:sz w:val="18"/>
        </w:rPr>
        <w:t>emotional</w:t>
      </w:r>
    </w:p>
    <w:p>
      <w:pPr>
        <w:pStyle w:val="ListParagraph"/>
        <w:numPr>
          <w:ilvl w:val="0"/>
          <w:numId w:val="2"/>
        </w:numPr>
        <w:tabs>
          <w:tab w:pos="1354" w:val="left" w:leader="none"/>
          <w:tab w:pos="1355" w:val="left" w:leader="none"/>
        </w:tabs>
        <w:spacing w:line="218" w:lineRule="auto" w:before="0" w:after="0"/>
        <w:ind w:left="1354" w:right="2967" w:hanging="681"/>
        <w:jc w:val="left"/>
        <w:rPr>
          <w:sz w:val="25"/>
        </w:rPr>
      </w:pPr>
      <w:r>
        <w:rPr>
          <w:w w:val="110"/>
          <w:sz w:val="18"/>
        </w:rPr>
        <w:t>hope for </w:t>
      </w:r>
      <w:r>
        <w:rPr>
          <w:spacing w:val="2"/>
          <w:w w:val="110"/>
          <w:sz w:val="18"/>
        </w:rPr>
        <w:t>best care </w:t>
      </w:r>
      <w:r>
        <w:rPr>
          <w:w w:val="110"/>
          <w:sz w:val="18"/>
        </w:rPr>
        <w:t>possible; no-one should be denied proper </w:t>
      </w:r>
      <w:r>
        <w:rPr>
          <w:spacing w:val="2"/>
          <w:w w:val="110"/>
          <w:sz w:val="18"/>
        </w:rPr>
        <w:t>care </w:t>
      </w:r>
      <w:r>
        <w:rPr>
          <w:w w:val="110"/>
          <w:sz w:val="18"/>
        </w:rPr>
        <w:t>and compassionate</w:t>
      </w:r>
      <w:r>
        <w:rPr>
          <w:spacing w:val="1"/>
          <w:w w:val="110"/>
          <w:sz w:val="18"/>
        </w:rPr>
        <w:t> </w:t>
      </w:r>
      <w:r>
        <w:rPr>
          <w:w w:val="110"/>
          <w:sz w:val="18"/>
        </w:rPr>
        <w:t>treatment</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people are unprepared – not wanting to think about</w:t>
      </w:r>
      <w:r>
        <w:rPr>
          <w:spacing w:val="18"/>
          <w:w w:val="110"/>
          <w:sz w:val="18"/>
        </w:rPr>
        <w:t> </w:t>
      </w:r>
      <w:r>
        <w:rPr>
          <w:w w:val="110"/>
          <w:sz w:val="18"/>
        </w:rPr>
        <w:t>future</w:t>
      </w:r>
    </w:p>
    <w:p>
      <w:pPr>
        <w:pStyle w:val="ListParagraph"/>
        <w:numPr>
          <w:ilvl w:val="0"/>
          <w:numId w:val="2"/>
        </w:numPr>
        <w:tabs>
          <w:tab w:pos="1354" w:val="left" w:leader="none"/>
          <w:tab w:pos="1355" w:val="left" w:leader="none"/>
        </w:tabs>
        <w:spacing w:line="218" w:lineRule="auto" w:before="0" w:after="0"/>
        <w:ind w:left="1354" w:right="2808" w:hanging="681"/>
        <w:jc w:val="left"/>
        <w:rPr>
          <w:sz w:val="25"/>
        </w:rPr>
      </w:pPr>
      <w:r>
        <w:rPr>
          <w:w w:val="110"/>
          <w:sz w:val="18"/>
        </w:rPr>
        <w:t>may be worrying unnecessarily; can do something about it/plan to help alleviate </w:t>
      </w:r>
      <w:r>
        <w:rPr>
          <w:spacing w:val="-10"/>
          <w:w w:val="110"/>
          <w:sz w:val="18"/>
        </w:rPr>
        <w:t>(4)</w:t>
      </w:r>
    </w:p>
    <w:p>
      <w:pPr>
        <w:pStyle w:val="ListParagraph"/>
        <w:numPr>
          <w:ilvl w:val="0"/>
          <w:numId w:val="2"/>
        </w:numPr>
        <w:tabs>
          <w:tab w:pos="1354" w:val="left" w:leader="none"/>
          <w:tab w:pos="1355" w:val="left" w:leader="none"/>
        </w:tabs>
        <w:spacing w:line="240" w:lineRule="auto" w:before="0" w:after="0"/>
        <w:ind w:left="1354" w:right="0" w:hanging="682"/>
        <w:jc w:val="left"/>
        <w:rPr>
          <w:sz w:val="25"/>
        </w:rPr>
      </w:pPr>
      <w:r>
        <w:rPr>
          <w:w w:val="110"/>
          <w:sz w:val="18"/>
        </w:rPr>
        <w:t>should be target to match </w:t>
      </w:r>
      <w:r>
        <w:rPr>
          <w:spacing w:val="2"/>
          <w:w w:val="110"/>
          <w:sz w:val="18"/>
        </w:rPr>
        <w:t>entry </w:t>
      </w:r>
      <w:r>
        <w:rPr>
          <w:w w:val="110"/>
          <w:sz w:val="18"/>
        </w:rPr>
        <w:t>standards (maternity) to exit</w:t>
      </w:r>
      <w:r>
        <w:rPr>
          <w:spacing w:val="28"/>
          <w:w w:val="110"/>
          <w:sz w:val="18"/>
        </w:rPr>
        <w:t> </w:t>
      </w:r>
      <w:r>
        <w:rPr>
          <w:w w:val="110"/>
          <w:sz w:val="18"/>
        </w:rPr>
        <w:t>standards.</w:t>
      </w:r>
    </w:p>
    <w:p>
      <w:pPr>
        <w:pStyle w:val="BodyText"/>
        <w:rPr>
          <w:sz w:val="20"/>
        </w:rPr>
      </w:pPr>
    </w:p>
    <w:p>
      <w:pPr>
        <w:pStyle w:val="BodyText"/>
        <w:spacing w:before="6"/>
        <w:rPr>
          <w:sz w:val="19"/>
        </w:rPr>
      </w:pPr>
      <w:r>
        <w:rPr/>
        <w:pict>
          <v:group style="position:absolute;margin-left:28.722pt;margin-top:13.805917pt;width:491.2pt;height:55.3pt;mso-position-horizontal-relative:page;mso-position-vertical-relative:paragraph;z-index:-251430912;mso-wrap-distance-left:0;mso-wrap-distance-right:0" coordorigin="574,276" coordsize="9824,1106">
            <v:rect style="position:absolute;left:1482;top:454;width:8915;height:893" filled="true" fillcolor="#000000" stroked="false">
              <v:fill opacity="49152f" type="solid"/>
            </v:rect>
            <v:shape style="position:absolute;left:1131;top:647;width:9071;height:617" coordorigin="1131,647" coordsize="9071,617" path="m9962,647l1131,647,1131,1264,9962,1264,10101,1259,10172,1225,10198,1134,10202,956,10198,777,10172,686,10101,652,9962,647xe" filled="true" fillcolor="#ffffff" stroked="false">
              <v:path arrowok="t"/>
              <v:fill type="solid"/>
            </v:shape>
            <v:shape style="position:absolute;left:1131;top:647;width:9071;height:617" coordorigin="1131,647" coordsize="9071,617" path="m10202,956l10198,777,10172,686,10101,652,9962,647,1131,647,1131,1264,9962,1264,10101,1259,10172,1225,10198,1134,10202,956xe" filled="false" stroked="true" strokeweight=".25pt" strokecolor="#000000">
              <v:path arrowok="t"/>
              <v:stroke dashstyle="solid"/>
            </v:shape>
            <v:rect style="position:absolute;left:584;top:328;width:899;height:1043" filled="true" fillcolor="#ffffff" stroked="false">
              <v:fill type="solid"/>
            </v:rect>
            <v:rect style="position:absolute;left:584;top:328;width:899;height:1043" filled="false" stroked="true" strokeweight="1pt" strokecolor="#ffffff">
              <v:stroke dashstyle="solid"/>
            </v:rect>
            <v:shape style="position:absolute;left:574;top:276;width:9824;height:1106" type="#_x0000_t202" filled="false" stroked="false">
              <v:textbox inset="0,0,0,0">
                <w:txbxContent>
                  <w:p>
                    <w:pPr>
                      <w:spacing w:line="734" w:lineRule="exact" w:before="0"/>
                      <w:ind w:left="559" w:right="0" w:firstLine="0"/>
                      <w:jc w:val="left"/>
                      <w:rPr>
                        <w:i/>
                        <w:sz w:val="18"/>
                      </w:rPr>
                    </w:pPr>
                    <w:r>
                      <w:rPr>
                        <w:b/>
                        <w:w w:val="110"/>
                        <w:sz w:val="63"/>
                      </w:rPr>
                      <w:t>4 </w:t>
                    </w:r>
                    <w:r>
                      <w:rPr>
                        <w:i/>
                        <w:w w:val="110"/>
                        <w:sz w:val="18"/>
                      </w:rPr>
                      <w:t>What are people most afraid of when they </w:t>
                    </w:r>
                    <w:r>
                      <w:rPr>
                        <w:i/>
                        <w:spacing w:val="-3"/>
                        <w:w w:val="110"/>
                        <w:sz w:val="18"/>
                      </w:rPr>
                      <w:t>die? </w:t>
                    </w:r>
                    <w:r>
                      <w:rPr>
                        <w:i/>
                        <w:w w:val="110"/>
                        <w:sz w:val="18"/>
                      </w:rPr>
                      <w:t>Being alone? Unbearable</w:t>
                    </w:r>
                    <w:r>
                      <w:rPr>
                        <w:i/>
                        <w:spacing w:val="66"/>
                        <w:w w:val="110"/>
                        <w:sz w:val="18"/>
                      </w:rPr>
                      <w:t> </w:t>
                    </w:r>
                    <w:r>
                      <w:rPr>
                        <w:i/>
                        <w:w w:val="110"/>
                        <w:sz w:val="18"/>
                      </w:rPr>
                      <w:t>pain?</w:t>
                    </w:r>
                  </w:p>
                  <w:p>
                    <w:pPr>
                      <w:spacing w:line="187" w:lineRule="exact" w:before="0"/>
                      <w:ind w:left="1279" w:right="0" w:firstLine="0"/>
                      <w:jc w:val="left"/>
                      <w:rPr>
                        <w:i/>
                        <w:sz w:val="18"/>
                      </w:rPr>
                    </w:pPr>
                    <w:r>
                      <w:rPr>
                        <w:i/>
                        <w:w w:val="110"/>
                        <w:sz w:val="18"/>
                      </w:rPr>
                      <w:t>Loss of dignity? Being trapped in a body that has become a tomb?</w:t>
                    </w:r>
                  </w:p>
                </w:txbxContent>
              </v:textbox>
              <w10:wrap type="none"/>
            </v:shape>
            <w10:wrap type="topAndBottom"/>
          </v:group>
        </w:pict>
      </w:r>
    </w:p>
    <w:p>
      <w:pPr>
        <w:pStyle w:val="ListParagraph"/>
        <w:numPr>
          <w:ilvl w:val="0"/>
          <w:numId w:val="2"/>
        </w:numPr>
        <w:tabs>
          <w:tab w:pos="1354" w:val="left" w:leader="none"/>
          <w:tab w:pos="1355" w:val="left" w:leader="none"/>
        </w:tabs>
        <w:spacing w:line="277" w:lineRule="exact" w:before="37" w:after="0"/>
        <w:ind w:left="1354" w:right="0" w:hanging="682"/>
        <w:jc w:val="left"/>
        <w:rPr>
          <w:sz w:val="25"/>
        </w:rPr>
      </w:pPr>
      <w:r>
        <w:rPr>
          <w:w w:val="110"/>
          <w:sz w:val="18"/>
        </w:rPr>
        <w:t>majority agreement with all the above,</w:t>
      </w:r>
      <w:r>
        <w:rPr>
          <w:spacing w:val="7"/>
          <w:w w:val="110"/>
          <w:sz w:val="18"/>
        </w:rPr>
        <w:t> </w:t>
      </w:r>
      <w:r>
        <w:rPr>
          <w:w w:val="110"/>
          <w:sz w:val="18"/>
        </w:rPr>
        <w:t>plus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leaving</w:t>
      </w:r>
      <w:r>
        <w:rPr>
          <w:spacing w:val="-10"/>
          <w:w w:val="110"/>
          <w:sz w:val="18"/>
        </w:rPr>
        <w:t> </w:t>
      </w:r>
      <w:r>
        <w:rPr>
          <w:w w:val="110"/>
          <w:sz w:val="18"/>
        </w:rPr>
        <w:t>others</w:t>
      </w:r>
      <w:r>
        <w:rPr>
          <w:spacing w:val="-10"/>
          <w:w w:val="110"/>
          <w:sz w:val="18"/>
        </w:rPr>
        <w:t> </w:t>
      </w:r>
      <w:r>
        <w:rPr>
          <w:w w:val="110"/>
          <w:sz w:val="18"/>
        </w:rPr>
        <w:t>behind/not</w:t>
      </w:r>
      <w:r>
        <w:rPr>
          <w:spacing w:val="-9"/>
          <w:w w:val="110"/>
          <w:sz w:val="18"/>
        </w:rPr>
        <w:t> </w:t>
      </w:r>
      <w:r>
        <w:rPr>
          <w:w w:val="110"/>
          <w:sz w:val="18"/>
        </w:rPr>
        <w:t>saying</w:t>
      </w:r>
      <w:r>
        <w:rPr>
          <w:spacing w:val="-10"/>
          <w:w w:val="110"/>
          <w:sz w:val="18"/>
        </w:rPr>
        <w:t> </w:t>
      </w:r>
      <w:r>
        <w:rPr>
          <w:w w:val="110"/>
          <w:sz w:val="18"/>
        </w:rPr>
        <w:t>goodbye/unfinished</w:t>
      </w:r>
      <w:r>
        <w:rPr>
          <w:spacing w:val="-9"/>
          <w:w w:val="110"/>
          <w:sz w:val="18"/>
        </w:rPr>
        <w:t> </w:t>
      </w:r>
      <w:r>
        <w:rPr>
          <w:w w:val="110"/>
          <w:sz w:val="18"/>
        </w:rPr>
        <w:t>business</w:t>
      </w:r>
      <w:r>
        <w:rPr>
          <w:spacing w:val="-10"/>
          <w:w w:val="110"/>
          <w:sz w:val="18"/>
        </w:rPr>
        <w:t> </w:t>
      </w:r>
      <w:r>
        <w:rPr>
          <w:w w:val="110"/>
          <w:sz w:val="18"/>
        </w:rPr>
        <w:t>–</w:t>
      </w:r>
      <w:r>
        <w:rPr>
          <w:spacing w:val="-9"/>
          <w:w w:val="110"/>
          <w:sz w:val="18"/>
        </w:rPr>
        <w:t> </w:t>
      </w:r>
      <w:r>
        <w:rPr>
          <w:w w:val="110"/>
          <w:sz w:val="18"/>
        </w:rPr>
        <w:t>unpreparedness</w:t>
      </w:r>
      <w:r>
        <w:rPr>
          <w:spacing w:val="-10"/>
          <w:w w:val="110"/>
          <w:sz w:val="18"/>
        </w:rPr>
        <w:t> </w:t>
      </w:r>
      <w:r>
        <w:rPr>
          <w:spacing w:val="-8"/>
          <w:w w:val="110"/>
          <w:sz w:val="18"/>
        </w:rPr>
        <w:t>(6)</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dying outside relationship with God; not having a</w:t>
      </w:r>
      <w:r>
        <w:rPr>
          <w:spacing w:val="12"/>
          <w:w w:val="110"/>
          <w:sz w:val="18"/>
        </w:rPr>
        <w:t> </w:t>
      </w:r>
      <w:r>
        <w:rPr>
          <w:w w:val="110"/>
          <w:sz w:val="18"/>
        </w:rPr>
        <w:t>saviour</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loss of mental faculties/ability to communicate </w:t>
      </w:r>
      <w:r>
        <w:rPr>
          <w:spacing w:val="-7"/>
          <w:w w:val="110"/>
          <w:sz w:val="18"/>
        </w:rPr>
        <w:t>(20); </w:t>
      </w:r>
      <w:r>
        <w:rPr>
          <w:w w:val="110"/>
          <w:sz w:val="18"/>
        </w:rPr>
        <w:t>the</w:t>
      </w:r>
      <w:r>
        <w:rPr>
          <w:spacing w:val="26"/>
          <w:w w:val="110"/>
          <w:sz w:val="18"/>
        </w:rPr>
        <w:t> </w:t>
      </w:r>
      <w:r>
        <w:rPr>
          <w:w w:val="110"/>
          <w:sz w:val="18"/>
        </w:rPr>
        <w:t>unknown</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reduced quality of life with debilitating illness more frightening than death</w:t>
      </w:r>
      <w:r>
        <w:rPr>
          <w:spacing w:val="47"/>
          <w:w w:val="110"/>
          <w:sz w:val="18"/>
        </w:rPr>
        <w:t> </w:t>
      </w:r>
      <w:r>
        <w:rPr>
          <w:w w:val="110"/>
          <w:sz w:val="18"/>
        </w:rPr>
        <w:t>itself</w:t>
      </w:r>
    </w:p>
    <w:p>
      <w:pPr>
        <w:pStyle w:val="ListParagraph"/>
        <w:numPr>
          <w:ilvl w:val="0"/>
          <w:numId w:val="2"/>
        </w:numPr>
        <w:tabs>
          <w:tab w:pos="1354" w:val="left" w:leader="none"/>
          <w:tab w:pos="1355" w:val="left" w:leader="none"/>
        </w:tabs>
        <w:spacing w:line="218" w:lineRule="auto" w:before="0" w:after="0"/>
        <w:ind w:left="1354" w:right="2243" w:hanging="681"/>
        <w:jc w:val="left"/>
        <w:rPr>
          <w:sz w:val="25"/>
        </w:rPr>
      </w:pPr>
      <w:r>
        <w:rPr>
          <w:w w:val="110"/>
          <w:sz w:val="18"/>
        </w:rPr>
        <w:t>being alone might be a benefit – the others are outside our choice and might be</w:t>
      </w:r>
      <w:r>
        <w:rPr>
          <w:spacing w:val="6"/>
          <w:w w:val="110"/>
          <w:sz w:val="18"/>
        </w:rPr>
        <w:t> </w:t>
      </w:r>
      <w:r>
        <w:rPr>
          <w:w w:val="110"/>
          <w:sz w:val="18"/>
        </w:rPr>
        <w:t>good</w:t>
      </w:r>
      <w:r>
        <w:rPr>
          <w:spacing w:val="7"/>
          <w:w w:val="110"/>
          <w:sz w:val="18"/>
        </w:rPr>
        <w:t> </w:t>
      </w:r>
      <w:r>
        <w:rPr>
          <w:w w:val="110"/>
          <w:sz w:val="18"/>
        </w:rPr>
        <w:t>argument</w:t>
      </w:r>
      <w:r>
        <w:rPr>
          <w:spacing w:val="6"/>
          <w:w w:val="110"/>
          <w:sz w:val="18"/>
        </w:rPr>
        <w:t> </w:t>
      </w:r>
      <w:r>
        <w:rPr>
          <w:w w:val="110"/>
          <w:sz w:val="18"/>
        </w:rPr>
        <w:t>for</w:t>
      </w:r>
      <w:r>
        <w:rPr>
          <w:spacing w:val="7"/>
          <w:w w:val="110"/>
          <w:sz w:val="18"/>
        </w:rPr>
        <w:t> </w:t>
      </w:r>
      <w:r>
        <w:rPr>
          <w:w w:val="110"/>
          <w:sz w:val="18"/>
        </w:rPr>
        <w:t>a</w:t>
      </w:r>
      <w:r>
        <w:rPr>
          <w:spacing w:val="6"/>
          <w:w w:val="110"/>
          <w:sz w:val="18"/>
        </w:rPr>
        <w:t> </w:t>
      </w:r>
      <w:r>
        <w:rPr>
          <w:w w:val="110"/>
          <w:sz w:val="18"/>
        </w:rPr>
        <w:t>human</w:t>
      </w:r>
      <w:r>
        <w:rPr>
          <w:spacing w:val="7"/>
          <w:w w:val="110"/>
          <w:sz w:val="18"/>
        </w:rPr>
        <w:t> </w:t>
      </w:r>
      <w:r>
        <w:rPr>
          <w:w w:val="110"/>
          <w:sz w:val="18"/>
        </w:rPr>
        <w:t>agency</w:t>
      </w:r>
      <w:r>
        <w:rPr>
          <w:spacing w:val="6"/>
          <w:w w:val="110"/>
          <w:sz w:val="18"/>
        </w:rPr>
        <w:t> </w:t>
      </w:r>
      <w:r>
        <w:rPr>
          <w:w w:val="110"/>
          <w:sz w:val="18"/>
        </w:rPr>
        <w:t>in</w:t>
      </w:r>
      <w:r>
        <w:rPr>
          <w:spacing w:val="7"/>
          <w:w w:val="110"/>
          <w:sz w:val="18"/>
        </w:rPr>
        <w:t> </w:t>
      </w:r>
      <w:r>
        <w:rPr>
          <w:w w:val="110"/>
          <w:sz w:val="18"/>
        </w:rPr>
        <w:t>death,</w:t>
      </w:r>
      <w:r>
        <w:rPr>
          <w:spacing w:val="7"/>
          <w:w w:val="110"/>
          <w:sz w:val="18"/>
        </w:rPr>
        <w:t> </w:t>
      </w:r>
      <w:r>
        <w:rPr>
          <w:w w:val="110"/>
          <w:sz w:val="18"/>
        </w:rPr>
        <w:t>just</w:t>
      </w:r>
      <w:r>
        <w:rPr>
          <w:spacing w:val="6"/>
          <w:w w:val="110"/>
          <w:sz w:val="18"/>
        </w:rPr>
        <w:t> </w:t>
      </w:r>
      <w:r>
        <w:rPr>
          <w:w w:val="110"/>
          <w:sz w:val="18"/>
        </w:rPr>
        <w:t>as</w:t>
      </w:r>
      <w:r>
        <w:rPr>
          <w:spacing w:val="7"/>
          <w:w w:val="110"/>
          <w:sz w:val="18"/>
        </w:rPr>
        <w:t> </w:t>
      </w:r>
      <w:r>
        <w:rPr>
          <w:w w:val="110"/>
          <w:sz w:val="18"/>
        </w:rPr>
        <w:t>there</w:t>
      </w:r>
      <w:r>
        <w:rPr>
          <w:spacing w:val="6"/>
          <w:w w:val="110"/>
          <w:sz w:val="18"/>
        </w:rPr>
        <w:t> </w:t>
      </w:r>
      <w:r>
        <w:rPr>
          <w:w w:val="110"/>
          <w:sz w:val="18"/>
        </w:rPr>
        <w:t>was</w:t>
      </w:r>
      <w:r>
        <w:rPr>
          <w:spacing w:val="7"/>
          <w:w w:val="110"/>
          <w:sz w:val="18"/>
        </w:rPr>
        <w:t> </w:t>
      </w:r>
      <w:r>
        <w:rPr>
          <w:w w:val="110"/>
          <w:sz w:val="18"/>
        </w:rPr>
        <w:t>in</w:t>
      </w:r>
      <w:r>
        <w:rPr>
          <w:spacing w:val="6"/>
          <w:w w:val="110"/>
          <w:sz w:val="18"/>
        </w:rPr>
        <w:t> </w:t>
      </w:r>
      <w:r>
        <w:rPr>
          <w:spacing w:val="2"/>
          <w:w w:val="110"/>
          <w:sz w:val="18"/>
        </w:rPr>
        <w:t>birth</w:t>
      </w:r>
    </w:p>
    <w:p>
      <w:pPr>
        <w:pStyle w:val="ListParagraph"/>
        <w:numPr>
          <w:ilvl w:val="0"/>
          <w:numId w:val="2"/>
        </w:numPr>
        <w:tabs>
          <w:tab w:pos="1354" w:val="left" w:leader="none"/>
          <w:tab w:pos="1355" w:val="left" w:leader="none"/>
        </w:tabs>
        <w:spacing w:line="218" w:lineRule="auto" w:before="17" w:after="0"/>
        <w:ind w:left="1354" w:right="3107" w:hanging="681"/>
        <w:jc w:val="left"/>
        <w:rPr>
          <w:sz w:val="25"/>
        </w:rPr>
      </w:pPr>
      <w:r>
        <w:rPr>
          <w:w w:val="110"/>
          <w:sz w:val="18"/>
        </w:rPr>
        <w:t>people seldom show their real feelings – so how do we really </w:t>
      </w:r>
      <w:r>
        <w:rPr>
          <w:spacing w:val="-3"/>
          <w:w w:val="110"/>
          <w:sz w:val="18"/>
        </w:rPr>
        <w:t>know?; </w:t>
      </w:r>
      <w:r>
        <w:rPr>
          <w:w w:val="110"/>
          <w:sz w:val="18"/>
        </w:rPr>
        <w:t>depends on</w:t>
      </w:r>
      <w:r>
        <w:rPr>
          <w:spacing w:val="2"/>
          <w:w w:val="110"/>
          <w:sz w:val="18"/>
        </w:rPr>
        <w:t> </w:t>
      </w:r>
      <w:r>
        <w:rPr>
          <w:w w:val="110"/>
          <w:sz w:val="18"/>
        </w:rPr>
        <w:t>individual</w:t>
      </w:r>
    </w:p>
    <w:p>
      <w:pPr>
        <w:pStyle w:val="ListParagraph"/>
        <w:numPr>
          <w:ilvl w:val="0"/>
          <w:numId w:val="2"/>
        </w:numPr>
        <w:tabs>
          <w:tab w:pos="1354" w:val="left" w:leader="none"/>
          <w:tab w:pos="1355" w:val="left" w:leader="none"/>
        </w:tabs>
        <w:spacing w:line="277" w:lineRule="exact" w:before="5" w:after="0"/>
        <w:ind w:left="1354" w:right="0" w:hanging="682"/>
        <w:jc w:val="left"/>
        <w:rPr>
          <w:sz w:val="25"/>
        </w:rPr>
      </w:pPr>
      <w:r>
        <w:rPr>
          <w:w w:val="110"/>
          <w:sz w:val="18"/>
        </w:rPr>
        <w:t>being alone is not a worry; God is with</w:t>
      </w:r>
      <w:r>
        <w:rPr>
          <w:spacing w:val="12"/>
          <w:w w:val="110"/>
          <w:sz w:val="18"/>
        </w:rPr>
        <w:t> </w:t>
      </w:r>
      <w:r>
        <w:rPr>
          <w:w w:val="110"/>
          <w:sz w:val="18"/>
        </w:rPr>
        <w:t>us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inappropriate attempts to resuscitate people ready to</w:t>
      </w:r>
      <w:r>
        <w:rPr>
          <w:spacing w:val="16"/>
          <w:w w:val="110"/>
          <w:sz w:val="18"/>
        </w:rPr>
        <w:t> </w:t>
      </w:r>
      <w:r>
        <w:rPr>
          <w:w w:val="110"/>
          <w:sz w:val="18"/>
        </w:rPr>
        <w:t>die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being somewhere I don’t want to be – ie. in</w:t>
      </w:r>
      <w:r>
        <w:rPr>
          <w:spacing w:val="16"/>
          <w:w w:val="110"/>
          <w:sz w:val="18"/>
        </w:rPr>
        <w:t> </w:t>
      </w:r>
      <w:r>
        <w:rPr>
          <w:w w:val="110"/>
          <w:sz w:val="18"/>
        </w:rPr>
        <w:t>hospital</w:t>
      </w:r>
    </w:p>
    <w:p>
      <w:pPr>
        <w:pStyle w:val="ListParagraph"/>
        <w:numPr>
          <w:ilvl w:val="0"/>
          <w:numId w:val="2"/>
        </w:numPr>
        <w:tabs>
          <w:tab w:pos="1354" w:val="left" w:leader="none"/>
          <w:tab w:pos="1355" w:val="left" w:leader="none"/>
        </w:tabs>
        <w:spacing w:line="218" w:lineRule="auto" w:before="0" w:after="0"/>
        <w:ind w:left="1354" w:right="1992" w:hanging="681"/>
        <w:jc w:val="left"/>
        <w:rPr>
          <w:sz w:val="25"/>
        </w:rPr>
      </w:pPr>
      <w:r>
        <w:rPr>
          <w:w w:val="110"/>
          <w:sz w:val="18"/>
        </w:rPr>
        <w:t>only one cure for fear of death, the Christian message of promise of eternal life in</w:t>
      </w:r>
      <w:r>
        <w:rPr>
          <w:spacing w:val="-1"/>
          <w:w w:val="110"/>
          <w:sz w:val="18"/>
        </w:rPr>
        <w:t> </w:t>
      </w:r>
      <w:r>
        <w:rPr>
          <w:w w:val="110"/>
          <w:sz w:val="18"/>
        </w:rPr>
        <w:t>Jesus</w:t>
      </w:r>
    </w:p>
    <w:p>
      <w:pPr>
        <w:pStyle w:val="ListParagraph"/>
        <w:numPr>
          <w:ilvl w:val="0"/>
          <w:numId w:val="2"/>
        </w:numPr>
        <w:tabs>
          <w:tab w:pos="1354" w:val="left" w:leader="none"/>
          <w:tab w:pos="1355" w:val="left" w:leader="none"/>
        </w:tabs>
        <w:spacing w:line="240" w:lineRule="auto" w:before="0" w:after="0"/>
        <w:ind w:left="1354" w:right="0" w:hanging="682"/>
        <w:jc w:val="left"/>
        <w:rPr>
          <w:sz w:val="25"/>
        </w:rPr>
      </w:pPr>
      <w:r>
        <w:rPr>
          <w:w w:val="110"/>
          <w:sz w:val="18"/>
        </w:rPr>
        <w:t>don’t think I fear death, in many ways I look </w:t>
      </w:r>
      <w:r>
        <w:rPr>
          <w:spacing w:val="2"/>
          <w:w w:val="110"/>
          <w:sz w:val="18"/>
        </w:rPr>
        <w:t>forward </w:t>
      </w:r>
      <w:r>
        <w:rPr>
          <w:w w:val="110"/>
          <w:sz w:val="18"/>
        </w:rPr>
        <w:t>with some</w:t>
      </w:r>
      <w:r>
        <w:rPr>
          <w:spacing w:val="26"/>
          <w:w w:val="110"/>
          <w:sz w:val="18"/>
        </w:rPr>
        <w:t> </w:t>
      </w:r>
      <w:r>
        <w:rPr>
          <w:w w:val="110"/>
          <w:sz w:val="18"/>
        </w:rPr>
        <w:t>curiosity.</w:t>
      </w:r>
    </w:p>
    <w:p>
      <w:pPr>
        <w:spacing w:after="0" w:line="240" w:lineRule="auto"/>
        <w:jc w:val="left"/>
        <w:rPr>
          <w:sz w:val="25"/>
        </w:rPr>
        <w:sectPr>
          <w:pgSz w:w="11910" w:h="16840"/>
          <w:pgMar w:header="558" w:footer="564" w:top="820" w:bottom="760" w:left="460" w:right="0"/>
        </w:sectPr>
      </w:pPr>
    </w:p>
    <w:p>
      <w:pPr>
        <w:pStyle w:val="BodyText"/>
        <w:spacing w:before="5"/>
        <w:rPr>
          <w:sz w:val="3"/>
        </w:rPr>
      </w:pPr>
    </w:p>
    <w:p>
      <w:pPr>
        <w:pStyle w:val="BodyText"/>
        <w:ind w:left="692"/>
        <w:rPr>
          <w:sz w:val="20"/>
        </w:rPr>
      </w:pPr>
      <w:r>
        <w:rPr>
          <w:sz w:val="20"/>
        </w:rPr>
        <w:pict>
          <v:group style="width:491.2pt;height:43.9pt;mso-position-horizontal-relative:char;mso-position-vertical-relative:line" coordorigin="0,0" coordsize="9824,878">
            <v:rect style="position:absolute;left:477;top:143;width:9346;height:720" filled="true" fillcolor="#000000" stroked="false">
              <v:fill opacity="49152f" type="solid"/>
            </v:rect>
            <v:shape style="position:absolute;left:556;top:335;width:9071;height:455" coordorigin="557,336" coordsize="9071,455" path="m9388,336l557,336,557,790,9388,790,9527,787,9598,762,9624,694,9628,563,9624,432,9598,364,9527,339,9388,336xe" filled="true" fillcolor="#ffffff" stroked="false">
              <v:path arrowok="t"/>
              <v:fill type="solid"/>
            </v:shape>
            <v:shape style="position:absolute;left:556;top:335;width:9071;height:455" coordorigin="557,336" coordsize="9071,455" path="m9628,563l9624,432,9598,364,9527,339,9388,336,557,336,557,790,9388,790,9527,787,9598,762,9624,694,9628,563xe" filled="false" stroked="true" strokeweight=".25pt" strokecolor="#000000">
              <v:path arrowok="t"/>
              <v:stroke dashstyle="solid"/>
            </v:shape>
            <v:rect style="position:absolute;left:10;top:164;width:710;height:703" filled="true" fillcolor="#ffffff" stroked="false">
              <v:fill type="solid"/>
            </v:rect>
            <v:rect style="position:absolute;left:10;top:164;width:710;height:703" filled="false" stroked="true" strokeweight="1pt" strokecolor="#ffffff">
              <v:stroke dashstyle="solid"/>
            </v:rect>
            <v:shape style="position:absolute;left:0;top:0;width:9824;height:878" type="#_x0000_t202" filled="false" stroked="false">
              <v:textbox inset="0,0,0,0">
                <w:txbxContent>
                  <w:p>
                    <w:pPr>
                      <w:spacing w:before="0"/>
                      <w:ind w:left="548" w:right="0" w:firstLine="0"/>
                      <w:jc w:val="left"/>
                      <w:rPr>
                        <w:i/>
                        <w:sz w:val="18"/>
                      </w:rPr>
                    </w:pPr>
                    <w:r>
                      <w:rPr>
                        <w:b/>
                        <w:w w:val="110"/>
                        <w:sz w:val="63"/>
                      </w:rPr>
                      <w:t>5 </w:t>
                    </w:r>
                    <w:r>
                      <w:rPr>
                        <w:i/>
                        <w:w w:val="110"/>
                        <w:sz w:val="18"/>
                      </w:rPr>
                      <w:t>What does ‘Quality of life’ mean?</w:t>
                    </w:r>
                  </w:p>
                </w:txbxContent>
              </v:textbox>
              <w10:wrap type="none"/>
            </v:shape>
          </v:group>
        </w:pict>
      </w:r>
      <w:r>
        <w:rPr>
          <w:sz w:val="20"/>
        </w:rPr>
      </w:r>
    </w:p>
    <w:p>
      <w:pPr>
        <w:pStyle w:val="ListParagraph"/>
        <w:numPr>
          <w:ilvl w:val="1"/>
          <w:numId w:val="2"/>
        </w:numPr>
        <w:tabs>
          <w:tab w:pos="1921" w:val="left" w:leader="none"/>
          <w:tab w:pos="1922" w:val="left" w:leader="none"/>
        </w:tabs>
        <w:spacing w:line="277" w:lineRule="exact" w:before="22" w:after="0"/>
        <w:ind w:left="1921" w:right="0" w:hanging="682"/>
        <w:jc w:val="left"/>
        <w:rPr>
          <w:sz w:val="25"/>
        </w:rPr>
      </w:pPr>
      <w:r>
        <w:rPr>
          <w:w w:val="110"/>
          <w:sz w:val="18"/>
        </w:rPr>
        <w:t>will </w:t>
      </w:r>
      <w:r>
        <w:rPr>
          <w:spacing w:val="2"/>
          <w:w w:val="110"/>
          <w:sz w:val="18"/>
        </w:rPr>
        <w:t>vary </w:t>
      </w:r>
      <w:r>
        <w:rPr>
          <w:w w:val="110"/>
          <w:sz w:val="18"/>
        </w:rPr>
        <w:t>at </w:t>
      </w:r>
      <w:r>
        <w:rPr>
          <w:spacing w:val="2"/>
          <w:w w:val="110"/>
          <w:sz w:val="18"/>
        </w:rPr>
        <w:t>different stages </w:t>
      </w:r>
      <w:r>
        <w:rPr>
          <w:w w:val="110"/>
          <w:sz w:val="18"/>
        </w:rPr>
        <w:t>of life/for different people</w:t>
      </w:r>
      <w:r>
        <w:rPr>
          <w:spacing w:val="12"/>
          <w:w w:val="110"/>
          <w:sz w:val="18"/>
        </w:rPr>
        <w:t> </w:t>
      </w:r>
      <w:r>
        <w:rPr>
          <w:spacing w:val="-7"/>
          <w:w w:val="110"/>
          <w:sz w:val="18"/>
        </w:rPr>
        <w:t>(15)</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might improve </w:t>
      </w:r>
      <w:r>
        <w:rPr>
          <w:spacing w:val="2"/>
          <w:w w:val="110"/>
          <w:sz w:val="18"/>
        </w:rPr>
        <w:t>after </w:t>
      </w:r>
      <w:r>
        <w:rPr>
          <w:w w:val="110"/>
          <w:sz w:val="18"/>
        </w:rPr>
        <w:t>death</w:t>
      </w:r>
    </w:p>
    <w:p>
      <w:pPr>
        <w:pStyle w:val="ListParagraph"/>
        <w:numPr>
          <w:ilvl w:val="1"/>
          <w:numId w:val="2"/>
        </w:numPr>
        <w:tabs>
          <w:tab w:pos="1921" w:val="left" w:leader="none"/>
          <w:tab w:pos="1922" w:val="left" w:leader="none"/>
        </w:tabs>
        <w:spacing w:line="218" w:lineRule="auto" w:before="0" w:after="0"/>
        <w:ind w:left="1921" w:right="1732" w:hanging="681"/>
        <w:jc w:val="left"/>
        <w:rPr>
          <w:sz w:val="25"/>
        </w:rPr>
      </w:pPr>
      <w:r>
        <w:rPr>
          <w:w w:val="110"/>
          <w:sz w:val="18"/>
        </w:rPr>
        <w:t>having something positive to experience or give </w:t>
      </w:r>
      <w:r>
        <w:rPr>
          <w:spacing w:val="-9"/>
          <w:w w:val="110"/>
          <w:sz w:val="18"/>
        </w:rPr>
        <w:t>(13); </w:t>
      </w:r>
      <w:r>
        <w:rPr>
          <w:w w:val="110"/>
          <w:sz w:val="18"/>
        </w:rPr>
        <w:t>ability to achieve what you set out to do </w:t>
      </w:r>
      <w:r>
        <w:rPr>
          <w:spacing w:val="-9"/>
          <w:w w:val="110"/>
          <w:sz w:val="18"/>
        </w:rPr>
        <w:t>(8); </w:t>
      </w:r>
      <w:r>
        <w:rPr>
          <w:w w:val="110"/>
          <w:sz w:val="18"/>
        </w:rPr>
        <w:t>sense of purpose</w:t>
      </w:r>
      <w:r>
        <w:rPr>
          <w:spacing w:val="25"/>
          <w:w w:val="110"/>
          <w:sz w:val="18"/>
        </w:rPr>
        <w:t> </w:t>
      </w:r>
      <w:r>
        <w:rPr>
          <w:spacing w:val="-8"/>
          <w:w w:val="110"/>
          <w:sz w:val="18"/>
        </w:rPr>
        <w:t>(9)</w:t>
      </w:r>
    </w:p>
    <w:p>
      <w:pPr>
        <w:pStyle w:val="ListParagraph"/>
        <w:numPr>
          <w:ilvl w:val="1"/>
          <w:numId w:val="2"/>
        </w:numPr>
        <w:tabs>
          <w:tab w:pos="1921" w:val="left" w:leader="none"/>
          <w:tab w:pos="1922" w:val="left" w:leader="none"/>
        </w:tabs>
        <w:spacing w:line="218" w:lineRule="auto" w:before="17" w:after="0"/>
        <w:ind w:left="1921" w:right="1753" w:hanging="681"/>
        <w:jc w:val="left"/>
        <w:rPr>
          <w:sz w:val="25"/>
        </w:rPr>
      </w:pPr>
      <w:r>
        <w:rPr>
          <w:w w:val="110"/>
          <w:sz w:val="18"/>
        </w:rPr>
        <w:t>ability to maintain dignity/independence </w:t>
      </w:r>
      <w:r>
        <w:rPr>
          <w:spacing w:val="-8"/>
          <w:w w:val="110"/>
          <w:sz w:val="18"/>
        </w:rPr>
        <w:t>(21) </w:t>
      </w:r>
      <w:r>
        <w:rPr>
          <w:w w:val="110"/>
          <w:sz w:val="18"/>
        </w:rPr>
        <w:t>mobility/skills; being in control of own decision-making</w:t>
      </w:r>
      <w:r>
        <w:rPr>
          <w:spacing w:val="3"/>
          <w:w w:val="110"/>
          <w:sz w:val="18"/>
        </w:rPr>
        <w:t> </w:t>
      </w:r>
      <w:r>
        <w:rPr>
          <w:spacing w:val="-9"/>
          <w:w w:val="110"/>
          <w:sz w:val="18"/>
        </w:rPr>
        <w:t>(10)</w:t>
      </w:r>
    </w:p>
    <w:p>
      <w:pPr>
        <w:pStyle w:val="ListParagraph"/>
        <w:numPr>
          <w:ilvl w:val="1"/>
          <w:numId w:val="2"/>
        </w:numPr>
        <w:tabs>
          <w:tab w:pos="1921" w:val="left" w:leader="none"/>
          <w:tab w:pos="1922" w:val="left" w:leader="none"/>
        </w:tabs>
        <w:spacing w:line="277" w:lineRule="exact" w:before="5" w:after="0"/>
        <w:ind w:left="1921" w:right="0" w:hanging="682"/>
        <w:jc w:val="left"/>
        <w:rPr>
          <w:sz w:val="25"/>
        </w:rPr>
      </w:pPr>
      <w:r>
        <w:rPr>
          <w:w w:val="110"/>
          <w:sz w:val="18"/>
        </w:rPr>
        <w:t>ability to communicate and be listened to</w:t>
      </w:r>
      <w:r>
        <w:rPr>
          <w:spacing w:val="11"/>
          <w:w w:val="110"/>
          <w:sz w:val="18"/>
        </w:rPr>
        <w:t> </w:t>
      </w:r>
      <w:r>
        <w:rPr>
          <w:spacing w:val="-7"/>
          <w:w w:val="110"/>
          <w:sz w:val="18"/>
        </w:rPr>
        <w:t>(17)</w:t>
      </w:r>
    </w:p>
    <w:p>
      <w:pPr>
        <w:pStyle w:val="ListParagraph"/>
        <w:numPr>
          <w:ilvl w:val="1"/>
          <w:numId w:val="2"/>
        </w:numPr>
        <w:tabs>
          <w:tab w:pos="1921" w:val="left" w:leader="none"/>
          <w:tab w:pos="1922" w:val="left" w:leader="none"/>
        </w:tabs>
        <w:spacing w:line="265" w:lineRule="exact" w:before="0" w:after="0"/>
        <w:ind w:left="1921" w:right="0" w:hanging="682"/>
        <w:jc w:val="left"/>
        <w:rPr>
          <w:sz w:val="25"/>
        </w:rPr>
      </w:pPr>
      <w:r>
        <w:rPr>
          <w:w w:val="110"/>
          <w:sz w:val="18"/>
        </w:rPr>
        <w:t>living without severe pain/terminal degenerative illness</w:t>
      </w:r>
      <w:r>
        <w:rPr>
          <w:spacing w:val="13"/>
          <w:w w:val="110"/>
          <w:sz w:val="18"/>
        </w:rPr>
        <w:t> </w:t>
      </w:r>
      <w:r>
        <w:rPr>
          <w:spacing w:val="-9"/>
          <w:w w:val="110"/>
          <w:sz w:val="18"/>
        </w:rPr>
        <w:t>(12)</w:t>
      </w:r>
    </w:p>
    <w:p>
      <w:pPr>
        <w:pStyle w:val="ListParagraph"/>
        <w:numPr>
          <w:ilvl w:val="2"/>
          <w:numId w:val="2"/>
        </w:numPr>
        <w:tabs>
          <w:tab w:pos="2119" w:val="left" w:leader="none"/>
        </w:tabs>
        <w:spacing w:line="207" w:lineRule="exact" w:before="0" w:after="0"/>
        <w:ind w:left="2118" w:right="0" w:hanging="198"/>
        <w:jc w:val="left"/>
        <w:rPr>
          <w:sz w:val="18"/>
        </w:rPr>
      </w:pPr>
      <w:r>
        <w:rPr>
          <w:w w:val="110"/>
          <w:sz w:val="18"/>
        </w:rPr>
        <w:t>not burden to</w:t>
      </w:r>
      <w:r>
        <w:rPr>
          <w:spacing w:val="2"/>
          <w:w w:val="110"/>
          <w:sz w:val="18"/>
        </w:rPr>
        <w:t> </w:t>
      </w:r>
      <w:r>
        <w:rPr>
          <w:w w:val="110"/>
          <w:sz w:val="18"/>
        </w:rPr>
        <w:t>family</w:t>
      </w:r>
    </w:p>
    <w:p>
      <w:pPr>
        <w:pStyle w:val="ListParagraph"/>
        <w:numPr>
          <w:ilvl w:val="1"/>
          <w:numId w:val="2"/>
        </w:numPr>
        <w:tabs>
          <w:tab w:pos="1921" w:val="left" w:leader="none"/>
          <w:tab w:pos="1922" w:val="left" w:leader="none"/>
        </w:tabs>
        <w:spacing w:line="277" w:lineRule="exact" w:before="1" w:after="0"/>
        <w:ind w:left="1921" w:right="0" w:hanging="682"/>
        <w:jc w:val="left"/>
        <w:rPr>
          <w:sz w:val="25"/>
        </w:rPr>
      </w:pPr>
      <w:r>
        <w:rPr>
          <w:w w:val="110"/>
          <w:sz w:val="18"/>
        </w:rPr>
        <w:t>enough </w:t>
      </w:r>
      <w:r>
        <w:rPr>
          <w:spacing w:val="2"/>
          <w:w w:val="110"/>
          <w:sz w:val="18"/>
        </w:rPr>
        <w:t>resources </w:t>
      </w:r>
      <w:r>
        <w:rPr>
          <w:w w:val="110"/>
          <w:sz w:val="18"/>
        </w:rPr>
        <w:t>for needs </w:t>
      </w:r>
      <w:r>
        <w:rPr>
          <w:spacing w:val="-8"/>
          <w:w w:val="110"/>
          <w:sz w:val="18"/>
        </w:rPr>
        <w:t>(2); </w:t>
      </w:r>
      <w:r>
        <w:rPr>
          <w:spacing w:val="2"/>
          <w:w w:val="110"/>
          <w:sz w:val="18"/>
        </w:rPr>
        <w:t>freedom from </w:t>
      </w:r>
      <w:r>
        <w:rPr>
          <w:w w:val="110"/>
          <w:sz w:val="18"/>
        </w:rPr>
        <w:t>want or fear</w:t>
      </w:r>
      <w:r>
        <w:rPr>
          <w:spacing w:val="23"/>
          <w:w w:val="110"/>
          <w:sz w:val="18"/>
        </w:rPr>
        <w:t> </w:t>
      </w:r>
      <w:r>
        <w:rPr>
          <w:spacing w:val="-6"/>
          <w:w w:val="110"/>
          <w:sz w:val="18"/>
        </w:rPr>
        <w:t>(3)</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loving and being loved/valued/respected</w:t>
      </w:r>
      <w:r>
        <w:rPr>
          <w:spacing w:val="6"/>
          <w:w w:val="110"/>
          <w:sz w:val="18"/>
        </w:rPr>
        <w:t> </w:t>
      </w:r>
      <w:r>
        <w:rPr>
          <w:spacing w:val="-11"/>
          <w:w w:val="110"/>
          <w:sz w:val="18"/>
        </w:rPr>
        <w:t>(11)</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family and friends/relationships</w:t>
      </w:r>
      <w:r>
        <w:rPr>
          <w:spacing w:val="3"/>
          <w:w w:val="110"/>
          <w:sz w:val="18"/>
        </w:rPr>
        <w:t> </w:t>
      </w:r>
      <w:r>
        <w:rPr>
          <w:spacing w:val="-8"/>
          <w:w w:val="110"/>
          <w:sz w:val="18"/>
        </w:rPr>
        <w:t>(13)</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in some circumstances, knowing the truth enhances quality of</w:t>
      </w:r>
      <w:r>
        <w:rPr>
          <w:spacing w:val="26"/>
          <w:w w:val="110"/>
          <w:sz w:val="18"/>
        </w:rPr>
        <w:t> </w:t>
      </w:r>
      <w:r>
        <w:rPr>
          <w:w w:val="110"/>
          <w:sz w:val="18"/>
        </w:rPr>
        <w:t>life</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living life rather than existing in life</w:t>
      </w:r>
      <w:r>
        <w:rPr>
          <w:spacing w:val="9"/>
          <w:w w:val="110"/>
          <w:sz w:val="18"/>
        </w:rPr>
        <w:t> </w:t>
      </w:r>
      <w:r>
        <w:rPr>
          <w:spacing w:val="-4"/>
          <w:w w:val="110"/>
          <w:sz w:val="18"/>
        </w:rPr>
        <w:t>(5)</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not being useless</w:t>
      </w:r>
      <w:r>
        <w:rPr>
          <w:spacing w:val="3"/>
          <w:w w:val="110"/>
          <w:sz w:val="18"/>
        </w:rPr>
        <w:t> </w:t>
      </w:r>
      <w:r>
        <w:rPr>
          <w:spacing w:val="-7"/>
          <w:w w:val="110"/>
          <w:sz w:val="18"/>
        </w:rPr>
        <w:t>(2)</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feeling that life, even if less active, is still</w:t>
      </w:r>
      <w:r>
        <w:rPr>
          <w:spacing w:val="15"/>
          <w:w w:val="110"/>
          <w:sz w:val="18"/>
        </w:rPr>
        <w:t> </w:t>
      </w:r>
      <w:r>
        <w:rPr>
          <w:w w:val="110"/>
          <w:sz w:val="18"/>
        </w:rPr>
        <w:t>worthwhile</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spacing w:val="2"/>
          <w:w w:val="110"/>
          <w:sz w:val="18"/>
        </w:rPr>
        <w:t>freedom</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God knows</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having faith</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being close to God and people around me, able to be used by</w:t>
      </w:r>
      <w:r>
        <w:rPr>
          <w:spacing w:val="32"/>
          <w:w w:val="110"/>
          <w:sz w:val="18"/>
        </w:rPr>
        <w:t> </w:t>
      </w:r>
      <w:r>
        <w:rPr>
          <w:w w:val="110"/>
          <w:sz w:val="18"/>
        </w:rPr>
        <w:t>him</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no human being has right to define quality of life for others</w:t>
      </w:r>
      <w:r>
        <w:rPr>
          <w:spacing w:val="28"/>
          <w:w w:val="110"/>
          <w:sz w:val="18"/>
        </w:rPr>
        <w:t> </w:t>
      </w:r>
      <w:r>
        <w:rPr>
          <w:spacing w:val="-7"/>
          <w:w w:val="110"/>
          <w:sz w:val="18"/>
        </w:rPr>
        <w:t>(2)</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spacing w:val="2"/>
          <w:w w:val="110"/>
          <w:sz w:val="18"/>
        </w:rPr>
        <w:t>support </w:t>
      </w:r>
      <w:r>
        <w:rPr>
          <w:w w:val="110"/>
          <w:sz w:val="18"/>
        </w:rPr>
        <w:t>to make the most of your present abilities</w:t>
      </w:r>
      <w:r>
        <w:rPr>
          <w:spacing w:val="13"/>
          <w:w w:val="110"/>
          <w:sz w:val="18"/>
        </w:rPr>
        <w:t> </w:t>
      </w:r>
      <w:r>
        <w:rPr>
          <w:spacing w:val="-7"/>
          <w:w w:val="110"/>
          <w:sz w:val="18"/>
        </w:rPr>
        <w:t>(6)</w:t>
      </w:r>
    </w:p>
    <w:p>
      <w:pPr>
        <w:pStyle w:val="ListParagraph"/>
        <w:numPr>
          <w:ilvl w:val="1"/>
          <w:numId w:val="2"/>
        </w:numPr>
        <w:tabs>
          <w:tab w:pos="1921" w:val="left" w:leader="none"/>
          <w:tab w:pos="1922" w:val="left" w:leader="none"/>
        </w:tabs>
        <w:spacing w:line="218" w:lineRule="auto" w:before="0" w:after="0"/>
        <w:ind w:left="1921" w:right="1519" w:hanging="681"/>
        <w:jc w:val="left"/>
        <w:rPr>
          <w:sz w:val="25"/>
        </w:rPr>
      </w:pPr>
      <w:r>
        <w:rPr>
          <w:w w:val="110"/>
          <w:sz w:val="18"/>
        </w:rPr>
        <w:t>when memories have gone, I don’t know what I would feel – just hope I would not</w:t>
      </w:r>
      <w:r>
        <w:rPr>
          <w:spacing w:val="6"/>
          <w:w w:val="110"/>
          <w:sz w:val="18"/>
        </w:rPr>
        <w:t> </w:t>
      </w:r>
      <w:r>
        <w:rPr>
          <w:w w:val="110"/>
          <w:sz w:val="18"/>
        </w:rPr>
        <w:t>be</w:t>
      </w:r>
      <w:r>
        <w:rPr>
          <w:spacing w:val="7"/>
          <w:w w:val="110"/>
          <w:sz w:val="18"/>
        </w:rPr>
        <w:t> </w:t>
      </w:r>
      <w:r>
        <w:rPr>
          <w:w w:val="110"/>
          <w:sz w:val="18"/>
        </w:rPr>
        <w:t>in</w:t>
      </w:r>
      <w:r>
        <w:rPr>
          <w:spacing w:val="7"/>
          <w:w w:val="110"/>
          <w:sz w:val="18"/>
        </w:rPr>
        <w:t> </w:t>
      </w:r>
      <w:r>
        <w:rPr>
          <w:w w:val="110"/>
          <w:sz w:val="18"/>
        </w:rPr>
        <w:t>any</w:t>
      </w:r>
      <w:r>
        <w:rPr>
          <w:spacing w:val="7"/>
          <w:w w:val="110"/>
          <w:sz w:val="18"/>
        </w:rPr>
        <w:t> </w:t>
      </w:r>
      <w:r>
        <w:rPr>
          <w:w w:val="110"/>
          <w:sz w:val="18"/>
        </w:rPr>
        <w:t>pain</w:t>
      </w:r>
      <w:r>
        <w:rPr>
          <w:spacing w:val="6"/>
          <w:w w:val="110"/>
          <w:sz w:val="18"/>
        </w:rPr>
        <w:t> </w:t>
      </w:r>
      <w:r>
        <w:rPr>
          <w:w w:val="110"/>
          <w:sz w:val="18"/>
        </w:rPr>
        <w:t>and</w:t>
      </w:r>
      <w:r>
        <w:rPr>
          <w:spacing w:val="7"/>
          <w:w w:val="110"/>
          <w:sz w:val="18"/>
        </w:rPr>
        <w:t> </w:t>
      </w:r>
      <w:r>
        <w:rPr>
          <w:w w:val="110"/>
          <w:sz w:val="18"/>
        </w:rPr>
        <w:t>would</w:t>
      </w:r>
      <w:r>
        <w:rPr>
          <w:spacing w:val="7"/>
          <w:w w:val="110"/>
          <w:sz w:val="18"/>
        </w:rPr>
        <w:t> </w:t>
      </w:r>
      <w:r>
        <w:rPr>
          <w:w w:val="110"/>
          <w:sz w:val="18"/>
        </w:rPr>
        <w:t>be</w:t>
      </w:r>
      <w:r>
        <w:rPr>
          <w:spacing w:val="7"/>
          <w:w w:val="110"/>
          <w:sz w:val="18"/>
        </w:rPr>
        <w:t> </w:t>
      </w:r>
      <w:r>
        <w:rPr>
          <w:w w:val="110"/>
          <w:sz w:val="18"/>
        </w:rPr>
        <w:t>visited</w:t>
      </w:r>
      <w:r>
        <w:rPr>
          <w:spacing w:val="7"/>
          <w:w w:val="110"/>
          <w:sz w:val="18"/>
        </w:rPr>
        <w:t> </w:t>
      </w:r>
      <w:r>
        <w:rPr>
          <w:w w:val="110"/>
          <w:sz w:val="18"/>
        </w:rPr>
        <w:t>by</w:t>
      </w:r>
      <w:r>
        <w:rPr>
          <w:spacing w:val="7"/>
          <w:w w:val="110"/>
          <w:sz w:val="18"/>
        </w:rPr>
        <w:t> </w:t>
      </w:r>
      <w:r>
        <w:rPr>
          <w:w w:val="110"/>
          <w:sz w:val="18"/>
        </w:rPr>
        <w:t>relatives</w:t>
      </w:r>
      <w:r>
        <w:rPr>
          <w:spacing w:val="7"/>
          <w:w w:val="110"/>
          <w:sz w:val="18"/>
        </w:rPr>
        <w:t> </w:t>
      </w:r>
      <w:r>
        <w:rPr>
          <w:w w:val="110"/>
          <w:sz w:val="18"/>
        </w:rPr>
        <w:t>even</w:t>
      </w:r>
      <w:r>
        <w:rPr>
          <w:spacing w:val="7"/>
          <w:w w:val="110"/>
          <w:sz w:val="18"/>
        </w:rPr>
        <w:t> </w:t>
      </w:r>
      <w:r>
        <w:rPr>
          <w:w w:val="110"/>
          <w:sz w:val="18"/>
        </w:rPr>
        <w:t>if</w:t>
      </w:r>
      <w:r>
        <w:rPr>
          <w:spacing w:val="7"/>
          <w:w w:val="110"/>
          <w:sz w:val="18"/>
        </w:rPr>
        <w:t> </w:t>
      </w:r>
      <w:r>
        <w:rPr>
          <w:w w:val="110"/>
          <w:sz w:val="18"/>
        </w:rPr>
        <w:t>I</w:t>
      </w:r>
      <w:r>
        <w:rPr>
          <w:spacing w:val="7"/>
          <w:w w:val="110"/>
          <w:sz w:val="18"/>
        </w:rPr>
        <w:t> </w:t>
      </w:r>
      <w:r>
        <w:rPr>
          <w:w w:val="110"/>
          <w:sz w:val="18"/>
        </w:rPr>
        <w:t>cannot</w:t>
      </w:r>
      <w:r>
        <w:rPr>
          <w:spacing w:val="7"/>
          <w:w w:val="110"/>
          <w:sz w:val="18"/>
        </w:rPr>
        <w:t> </w:t>
      </w:r>
      <w:r>
        <w:rPr>
          <w:w w:val="110"/>
          <w:sz w:val="18"/>
        </w:rPr>
        <w:t>recognise</w:t>
      </w:r>
    </w:p>
    <w:p>
      <w:pPr>
        <w:pStyle w:val="BodyText"/>
        <w:spacing w:before="28"/>
        <w:ind w:left="1921"/>
      </w:pPr>
      <w:r>
        <w:rPr>
          <w:w w:val="110"/>
        </w:rPr>
        <w:t>them, possibly just knowing someone was there.</w:t>
      </w:r>
    </w:p>
    <w:p>
      <w:pPr>
        <w:pStyle w:val="BodyText"/>
        <w:spacing w:before="3"/>
        <w:rPr>
          <w:sz w:val="14"/>
        </w:rPr>
      </w:pPr>
      <w:r>
        <w:rPr/>
        <w:pict>
          <v:group style="position:absolute;margin-left:39.685001pt;margin-top:10.607161pt;width:508.55pt;height:73.25pt;mso-position-horizontal-relative:page;mso-position-vertical-relative:paragraph;z-index:-251426816;mso-wrap-distance-left:0;mso-wrap-distance-right:0" coordorigin="794,212" coordsize="10171,1465">
            <v:rect style="position:absolute;left:1619;top:749;width:9346;height:893" filled="true" fillcolor="#000000" stroked="false">
              <v:fill opacity="49152f" type="solid"/>
            </v:rect>
            <v:shape style="position:absolute;left:1698;top:942;width:9071;height:617" coordorigin="1698,942" coordsize="9071,617" path="m10529,942l1698,942,1698,1559,10529,1559,10668,1554,10739,1521,10765,1429,10769,1251,10765,1072,10739,981,10668,947,10529,942xe" filled="true" fillcolor="#ffffff" stroked="false">
              <v:path arrowok="t"/>
              <v:fill type="solid"/>
            </v:shape>
            <v:shape style="position:absolute;left:1698;top:942;width:9071;height:617" coordorigin="1698,942" coordsize="9071,617" path="m10769,1251l10765,1072,10739,981,10668,947,10529,942,1698,942,1698,1559,10529,1559,10668,1554,10739,1521,10765,1429,10769,1251xe" filled="false" stroked="true" strokeweight=".25pt" strokecolor="#000000">
              <v:path arrowok="t"/>
              <v:stroke dashstyle="solid"/>
            </v:shape>
            <v:rect style="position:absolute;left:1151;top:902;width:908;height:765" filled="true" fillcolor="#ffffff" stroked="false">
              <v:fill type="solid"/>
            </v:rect>
            <v:rect style="position:absolute;left:1151;top:902;width:908;height:765" filled="false" stroked="true" strokeweight="1pt" strokecolor="#ffffff">
              <v:stroke dashstyle="solid"/>
            </v:rect>
            <v:rect style="position:absolute;left:803;top:222;width:1012;height:765" filled="true" fillcolor="#ffffff" stroked="false">
              <v:fill type="solid"/>
            </v:rect>
            <v:rect style="position:absolute;left:803;top:222;width:1012;height:765" filled="false" stroked="true" strokeweight="1pt" strokecolor="#ffffff">
              <v:stroke dashstyle="solid"/>
            </v:rect>
            <v:shape style="position:absolute;left:793;top:212;width:10171;height:1465" type="#_x0000_t202" filled="false" stroked="false">
              <v:textbox inset="0,0,0,0">
                <w:txbxContent>
                  <w:p>
                    <w:pPr>
                      <w:spacing w:line="734" w:lineRule="exact" w:before="367"/>
                      <w:ind w:left="907" w:right="0" w:firstLine="0"/>
                      <w:jc w:val="left"/>
                      <w:rPr>
                        <w:i/>
                        <w:sz w:val="18"/>
                      </w:rPr>
                    </w:pPr>
                    <w:r>
                      <w:rPr>
                        <w:b/>
                        <w:w w:val="110"/>
                        <w:sz w:val="63"/>
                      </w:rPr>
                      <w:t>6 </w:t>
                    </w:r>
                    <w:r>
                      <w:rPr>
                        <w:i/>
                        <w:w w:val="110"/>
                        <w:sz w:val="18"/>
                      </w:rPr>
                      <w:t>With modern technology it is possible to keep people alive artificially,</w:t>
                    </w:r>
                  </w:p>
                  <w:p>
                    <w:pPr>
                      <w:spacing w:line="187" w:lineRule="exact" w:before="0"/>
                      <w:ind w:left="1686" w:right="2094" w:firstLine="0"/>
                      <w:jc w:val="center"/>
                      <w:rPr>
                        <w:i/>
                        <w:sz w:val="18"/>
                      </w:rPr>
                    </w:pPr>
                    <w:r>
                      <w:rPr>
                        <w:i/>
                        <w:w w:val="110"/>
                        <w:sz w:val="18"/>
                      </w:rPr>
                      <w:t>even when vital organs have failed. How do we feel about that?</w:t>
                    </w:r>
                  </w:p>
                </w:txbxContent>
              </v:textbox>
              <w10:wrap type="none"/>
            </v:shape>
            <w10:wrap type="topAndBottom"/>
          </v:group>
        </w:pict>
      </w:r>
    </w:p>
    <w:p>
      <w:pPr>
        <w:pStyle w:val="ListParagraph"/>
        <w:numPr>
          <w:ilvl w:val="1"/>
          <w:numId w:val="2"/>
        </w:numPr>
        <w:tabs>
          <w:tab w:pos="1921" w:val="left" w:leader="none"/>
          <w:tab w:pos="1922" w:val="left" w:leader="none"/>
        </w:tabs>
        <w:spacing w:line="277" w:lineRule="exact" w:before="45" w:after="0"/>
        <w:ind w:left="1921" w:right="0" w:hanging="682"/>
        <w:jc w:val="left"/>
        <w:rPr>
          <w:sz w:val="25"/>
        </w:rPr>
      </w:pPr>
      <w:r>
        <w:rPr>
          <w:w w:val="110"/>
          <w:sz w:val="18"/>
        </w:rPr>
        <w:t>we shouldn’t do that</w:t>
      </w:r>
      <w:r>
        <w:rPr>
          <w:spacing w:val="3"/>
          <w:w w:val="110"/>
          <w:sz w:val="18"/>
        </w:rPr>
        <w:t> </w:t>
      </w:r>
      <w:r>
        <w:rPr>
          <w:spacing w:val="-3"/>
          <w:w w:val="110"/>
          <w:sz w:val="18"/>
        </w:rPr>
        <w:t>(25)</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‘Thou shalt not kill, but needst not strive officiously to keep alive’</w:t>
      </w:r>
      <w:r>
        <w:rPr>
          <w:spacing w:val="35"/>
          <w:w w:val="110"/>
          <w:sz w:val="18"/>
        </w:rPr>
        <w:t> </w:t>
      </w:r>
      <w:r>
        <w:rPr>
          <w:spacing w:val="-10"/>
          <w:w w:val="110"/>
          <w:sz w:val="18"/>
        </w:rPr>
        <w:t>(4)</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spacing w:val="2"/>
          <w:w w:val="110"/>
          <w:sz w:val="18"/>
        </w:rPr>
        <w:t>difference </w:t>
      </w:r>
      <w:r>
        <w:rPr>
          <w:w w:val="110"/>
          <w:sz w:val="18"/>
        </w:rPr>
        <w:t>between kidney failure at </w:t>
      </w:r>
      <w:r>
        <w:rPr>
          <w:spacing w:val="-3"/>
          <w:w w:val="110"/>
          <w:sz w:val="18"/>
        </w:rPr>
        <w:t>18 </w:t>
      </w:r>
      <w:r>
        <w:rPr>
          <w:w w:val="110"/>
          <w:sz w:val="18"/>
        </w:rPr>
        <w:t>and</w:t>
      </w:r>
      <w:r>
        <w:rPr>
          <w:spacing w:val="12"/>
          <w:w w:val="110"/>
          <w:sz w:val="18"/>
        </w:rPr>
        <w:t> </w:t>
      </w:r>
      <w:r>
        <w:rPr>
          <w:w w:val="110"/>
          <w:sz w:val="18"/>
        </w:rPr>
        <w:t>90</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waste of money/resources</w:t>
      </w:r>
      <w:r>
        <w:rPr>
          <w:spacing w:val="3"/>
          <w:w w:val="110"/>
          <w:sz w:val="18"/>
        </w:rPr>
        <w:t> </w:t>
      </w:r>
      <w:r>
        <w:rPr>
          <w:spacing w:val="-6"/>
          <w:w w:val="110"/>
          <w:sz w:val="18"/>
        </w:rPr>
        <w:t>(3)</w:t>
      </w:r>
    </w:p>
    <w:p>
      <w:pPr>
        <w:pStyle w:val="ListParagraph"/>
        <w:numPr>
          <w:ilvl w:val="1"/>
          <w:numId w:val="2"/>
        </w:numPr>
        <w:tabs>
          <w:tab w:pos="1921" w:val="left" w:leader="none"/>
          <w:tab w:pos="1922" w:val="left" w:leader="none"/>
        </w:tabs>
        <w:spacing w:line="218" w:lineRule="auto" w:before="0" w:after="0"/>
        <w:ind w:left="1921" w:right="1371" w:hanging="681"/>
        <w:jc w:val="left"/>
        <w:rPr>
          <w:sz w:val="25"/>
        </w:rPr>
      </w:pPr>
      <w:r>
        <w:rPr>
          <w:w w:val="110"/>
          <w:sz w:val="18"/>
        </w:rPr>
        <w:t>grey area; hardest question to answer – depends on age of patient/professional prognosis (7)</w:t>
      </w:r>
    </w:p>
    <w:p>
      <w:pPr>
        <w:pStyle w:val="ListParagraph"/>
        <w:numPr>
          <w:ilvl w:val="1"/>
          <w:numId w:val="2"/>
        </w:numPr>
        <w:tabs>
          <w:tab w:pos="1921" w:val="left" w:leader="none"/>
          <w:tab w:pos="1922" w:val="left" w:leader="none"/>
        </w:tabs>
        <w:spacing w:line="218" w:lineRule="auto" w:before="17" w:after="0"/>
        <w:ind w:left="1921" w:right="2014" w:hanging="681"/>
        <w:jc w:val="left"/>
        <w:rPr>
          <w:sz w:val="25"/>
        </w:rPr>
      </w:pPr>
      <w:r>
        <w:rPr>
          <w:w w:val="110"/>
          <w:sz w:val="18"/>
        </w:rPr>
        <w:t>can’t be sure if illness will cause death soon or if patient will recover </w:t>
      </w:r>
      <w:r>
        <w:rPr>
          <w:spacing w:val="2"/>
          <w:w w:val="110"/>
          <w:sz w:val="18"/>
        </w:rPr>
        <w:t>after </w:t>
      </w:r>
      <w:r>
        <w:rPr>
          <w:w w:val="110"/>
          <w:sz w:val="18"/>
        </w:rPr>
        <w:t>substantial time – if there is doubt, keep alive</w:t>
      </w:r>
      <w:r>
        <w:rPr>
          <w:spacing w:val="20"/>
          <w:w w:val="110"/>
          <w:sz w:val="18"/>
        </w:rPr>
        <w:t> </w:t>
      </w:r>
      <w:r>
        <w:rPr>
          <w:spacing w:val="-4"/>
          <w:w w:val="110"/>
          <w:sz w:val="18"/>
        </w:rPr>
        <w:t>(5)</w:t>
      </w:r>
    </w:p>
    <w:p>
      <w:pPr>
        <w:pStyle w:val="ListParagraph"/>
        <w:numPr>
          <w:ilvl w:val="1"/>
          <w:numId w:val="2"/>
        </w:numPr>
        <w:tabs>
          <w:tab w:pos="1921" w:val="left" w:leader="none"/>
          <w:tab w:pos="1922" w:val="left" w:leader="none"/>
        </w:tabs>
        <w:spacing w:line="277" w:lineRule="exact" w:before="5" w:after="0"/>
        <w:ind w:left="1921" w:right="0" w:hanging="682"/>
        <w:jc w:val="left"/>
        <w:rPr>
          <w:sz w:val="25"/>
        </w:rPr>
      </w:pPr>
      <w:r>
        <w:rPr>
          <w:w w:val="110"/>
          <w:sz w:val="18"/>
        </w:rPr>
        <w:t>wrong to keep alive if brain death is proven </w:t>
      </w:r>
      <w:r>
        <w:rPr>
          <w:spacing w:val="-10"/>
          <w:w w:val="110"/>
          <w:sz w:val="18"/>
        </w:rPr>
        <w:t>(4); </w:t>
      </w:r>
      <w:r>
        <w:rPr>
          <w:w w:val="110"/>
          <w:sz w:val="18"/>
        </w:rPr>
        <w:t>brain dead is</w:t>
      </w:r>
      <w:r>
        <w:rPr>
          <w:spacing w:val="38"/>
          <w:w w:val="110"/>
          <w:sz w:val="18"/>
        </w:rPr>
        <w:t> </w:t>
      </w:r>
      <w:r>
        <w:rPr>
          <w:w w:val="110"/>
          <w:sz w:val="18"/>
        </w:rPr>
        <w:t>dead</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with medical advances God-given, we should maintain life sensibly</w:t>
      </w:r>
      <w:r>
        <w:rPr>
          <w:spacing w:val="25"/>
          <w:w w:val="110"/>
          <w:sz w:val="18"/>
        </w:rPr>
        <w:t> </w:t>
      </w:r>
      <w:r>
        <w:rPr>
          <w:spacing w:val="-10"/>
          <w:w w:val="110"/>
          <w:sz w:val="18"/>
        </w:rPr>
        <w:t>(4)</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our own advancement has created more problems than it has</w:t>
      </w:r>
      <w:r>
        <w:rPr>
          <w:spacing w:val="31"/>
          <w:w w:val="110"/>
          <w:sz w:val="18"/>
        </w:rPr>
        <w:t> </w:t>
      </w:r>
      <w:r>
        <w:rPr>
          <w:w w:val="110"/>
          <w:sz w:val="18"/>
        </w:rPr>
        <w:t>solved</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my first feeling is a shudder of revulsion and I want to ask</w:t>
      </w:r>
      <w:r>
        <w:rPr>
          <w:spacing w:val="27"/>
          <w:w w:val="110"/>
          <w:sz w:val="18"/>
        </w:rPr>
        <w:t> </w:t>
      </w:r>
      <w:r>
        <w:rPr>
          <w:w w:val="110"/>
          <w:sz w:val="18"/>
        </w:rPr>
        <w:t>why</w:t>
      </w:r>
    </w:p>
    <w:p>
      <w:pPr>
        <w:pStyle w:val="ListParagraph"/>
        <w:numPr>
          <w:ilvl w:val="1"/>
          <w:numId w:val="2"/>
        </w:numPr>
        <w:tabs>
          <w:tab w:pos="1921" w:val="left" w:leader="none"/>
          <w:tab w:pos="1922" w:val="left" w:leader="none"/>
        </w:tabs>
        <w:spacing w:line="218" w:lineRule="auto" w:before="0" w:after="0"/>
        <w:ind w:left="1921" w:right="1736" w:hanging="681"/>
        <w:jc w:val="left"/>
        <w:rPr>
          <w:sz w:val="25"/>
        </w:rPr>
      </w:pPr>
      <w:r>
        <w:rPr>
          <w:w w:val="110"/>
          <w:sz w:val="18"/>
        </w:rPr>
        <w:t>life-saving technology is good – life-prolonging technology, when everything we naturally think of as ‘life’ has stopped, is playing God and</w:t>
      </w:r>
      <w:r>
        <w:rPr>
          <w:spacing w:val="2"/>
          <w:w w:val="110"/>
          <w:sz w:val="18"/>
        </w:rPr>
        <w:t> </w:t>
      </w:r>
      <w:r>
        <w:rPr>
          <w:w w:val="110"/>
          <w:sz w:val="18"/>
        </w:rPr>
        <w:t>dangerous.</w:t>
      </w:r>
    </w:p>
    <w:p>
      <w:pPr>
        <w:pStyle w:val="BodyText"/>
        <w:rPr>
          <w:sz w:val="20"/>
        </w:rPr>
      </w:pPr>
    </w:p>
    <w:p>
      <w:pPr>
        <w:pStyle w:val="BodyText"/>
        <w:spacing w:before="2"/>
        <w:rPr>
          <w:sz w:val="24"/>
        </w:rPr>
      </w:pPr>
      <w:r>
        <w:rPr/>
        <w:pict>
          <v:group style="position:absolute;margin-left:57.068001pt;margin-top:16.634026pt;width:491.2pt;height:55.8pt;mso-position-horizontal-relative:page;mso-position-vertical-relative:paragraph;z-index:-251422720;mso-wrap-distance-left:0;mso-wrap-distance-right:0" coordorigin="1141,333" coordsize="9824,1116">
            <v:rect style="position:absolute;left:2541;top:521;width:8424;height:893" filled="true" fillcolor="#000000" stroked="false">
              <v:fill opacity="49152f" type="solid"/>
            </v:rect>
            <v:shape style="position:absolute;left:1698;top:713;width:9071;height:617" coordorigin="1698,714" coordsize="9071,617" path="m10529,714l1698,714,1698,1331,10529,1331,10668,1326,10739,1292,10765,1200,10769,1022,10765,844,10739,752,10668,718,10529,714xe" filled="true" fillcolor="#ffffff" stroked="false">
              <v:path arrowok="t"/>
              <v:fill type="solid"/>
            </v:shape>
            <v:shape style="position:absolute;left:1698;top:713;width:9071;height:617" coordorigin="1698,714" coordsize="9071,617" path="m10769,1022l10765,844,10739,752,10668,718,10529,714,1698,714,1698,1331,10529,1331,10668,1326,10739,1292,10765,1200,10769,1022xe" filled="false" stroked="true" strokeweight=".25pt" strokecolor="#000000">
              <v:path arrowok="t"/>
              <v:stroke dashstyle="solid"/>
            </v:shape>
            <v:rect style="position:absolute;left:1151;top:503;width:1390;height:935" filled="true" fillcolor="#ffffff" stroked="false">
              <v:fill type="solid"/>
            </v:rect>
            <v:rect style="position:absolute;left:1151;top:503;width:1390;height:935" filled="false" stroked="true" strokeweight="1pt" strokecolor="#ffffff">
              <v:stroke dashstyle="solid"/>
            </v:rect>
            <v:shape style="position:absolute;left:1700;top:332;width:979;height:766" type="#_x0000_t202" filled="false" stroked="false">
              <v:textbox inset="0,0,0,0">
                <w:txbxContent>
                  <w:p>
                    <w:pPr>
                      <w:spacing w:before="0"/>
                      <w:ind w:left="0" w:right="0" w:firstLine="0"/>
                      <w:jc w:val="left"/>
                      <w:rPr>
                        <w:b/>
                        <w:sz w:val="63"/>
                      </w:rPr>
                    </w:pPr>
                    <w:r>
                      <w:rPr>
                        <w:b/>
                        <w:w w:val="110"/>
                        <w:sz w:val="63"/>
                      </w:rPr>
                      <w:t>6a</w:t>
                    </w:r>
                  </w:p>
                </w:txbxContent>
              </v:textbox>
              <w10:wrap type="none"/>
            </v:shape>
            <v:shape style="position:absolute;left:3140;top:785;width:7423;height:219" type="#_x0000_t202" filled="false" stroked="false">
              <v:textbox inset="0,0,0,0">
                <w:txbxContent>
                  <w:p>
                    <w:pPr>
                      <w:spacing w:before="0"/>
                      <w:ind w:left="0" w:right="0" w:firstLine="0"/>
                      <w:jc w:val="left"/>
                      <w:rPr>
                        <w:i/>
                        <w:sz w:val="18"/>
                      </w:rPr>
                    </w:pPr>
                    <w:r>
                      <w:rPr>
                        <w:i/>
                        <w:w w:val="110"/>
                        <w:sz w:val="18"/>
                      </w:rPr>
                      <w:t>Do we need to make a distinction between assisting someone to die who</w:t>
                    </w:r>
                  </w:p>
                </w:txbxContent>
              </v:textbox>
              <w10:wrap type="none"/>
            </v:shape>
            <v:shape style="position:absolute;left:2420;top:1035;width:7986;height:219" type="#_x0000_t202" filled="false" stroked="false">
              <v:textbox inset="0,0,0,0">
                <w:txbxContent>
                  <w:p>
                    <w:pPr>
                      <w:spacing w:before="0"/>
                      <w:ind w:left="0" w:right="0" w:firstLine="0"/>
                      <w:jc w:val="left"/>
                      <w:rPr>
                        <w:i/>
                        <w:sz w:val="18"/>
                      </w:rPr>
                    </w:pPr>
                    <w:r>
                      <w:rPr>
                        <w:i/>
                        <w:w w:val="110"/>
                        <w:sz w:val="18"/>
                      </w:rPr>
                      <w:t>still has quality of life, and withdrawing medical intervention at the right time?</w:t>
                    </w:r>
                  </w:p>
                </w:txbxContent>
              </v:textbox>
              <w10:wrap type="none"/>
            </v:shape>
            <w10:wrap type="topAndBottom"/>
          </v:group>
        </w:pict>
      </w:r>
    </w:p>
    <w:p>
      <w:pPr>
        <w:pStyle w:val="ListParagraph"/>
        <w:numPr>
          <w:ilvl w:val="1"/>
          <w:numId w:val="2"/>
        </w:numPr>
        <w:tabs>
          <w:tab w:pos="1921" w:val="left" w:leader="none"/>
          <w:tab w:pos="1922" w:val="left" w:leader="none"/>
        </w:tabs>
        <w:spacing w:line="277" w:lineRule="exact" w:before="27" w:after="0"/>
        <w:ind w:left="1921" w:right="0" w:hanging="682"/>
        <w:jc w:val="left"/>
        <w:rPr>
          <w:sz w:val="25"/>
        </w:rPr>
      </w:pPr>
      <w:r>
        <w:rPr>
          <w:w w:val="110"/>
          <w:sz w:val="18"/>
        </w:rPr>
        <w:t>majority say</w:t>
      </w:r>
      <w:r>
        <w:rPr>
          <w:spacing w:val="1"/>
          <w:w w:val="110"/>
          <w:sz w:val="18"/>
        </w:rPr>
        <w:t> </w:t>
      </w:r>
      <w:r>
        <w:rPr>
          <w:w w:val="110"/>
          <w:sz w:val="18"/>
        </w:rPr>
        <w:t>yes</w:t>
      </w:r>
    </w:p>
    <w:p>
      <w:pPr>
        <w:pStyle w:val="ListParagraph"/>
        <w:numPr>
          <w:ilvl w:val="1"/>
          <w:numId w:val="2"/>
        </w:numPr>
        <w:tabs>
          <w:tab w:pos="1921" w:val="left" w:leader="none"/>
          <w:tab w:pos="1922" w:val="left" w:leader="none"/>
        </w:tabs>
        <w:spacing w:line="218" w:lineRule="auto" w:before="0" w:after="0"/>
        <w:ind w:left="1921" w:right="1269" w:hanging="681"/>
        <w:jc w:val="left"/>
        <w:rPr>
          <w:sz w:val="25"/>
        </w:rPr>
      </w:pPr>
      <w:r>
        <w:rPr>
          <w:spacing w:val="2"/>
          <w:w w:val="110"/>
          <w:sz w:val="18"/>
        </w:rPr>
        <w:t>difference </w:t>
      </w:r>
      <w:r>
        <w:rPr>
          <w:w w:val="110"/>
          <w:sz w:val="18"/>
        </w:rPr>
        <w:t>between not treating someone and giving drugs to kill them; intention is everything</w:t>
      </w:r>
    </w:p>
    <w:p>
      <w:pPr>
        <w:spacing w:after="0" w:line="218" w:lineRule="auto"/>
        <w:jc w:val="left"/>
        <w:rPr>
          <w:sz w:val="25"/>
        </w:rPr>
        <w:sectPr>
          <w:pgSz w:w="11910" w:h="16840"/>
          <w:pgMar w:header="557" w:footer="564" w:top="820" w:bottom="760" w:left="460" w:right="0"/>
        </w:sectPr>
      </w:pPr>
    </w:p>
    <w:p>
      <w:pPr>
        <w:pStyle w:val="ListParagraph"/>
        <w:numPr>
          <w:ilvl w:val="0"/>
          <w:numId w:val="2"/>
        </w:numPr>
        <w:tabs>
          <w:tab w:pos="1354" w:val="left" w:leader="none"/>
          <w:tab w:pos="1355" w:val="left" w:leader="none"/>
        </w:tabs>
        <w:spacing w:line="277" w:lineRule="exact" w:before="114" w:after="0"/>
        <w:ind w:left="1354" w:right="0" w:hanging="682"/>
        <w:jc w:val="left"/>
        <w:rPr>
          <w:sz w:val="25"/>
        </w:rPr>
      </w:pPr>
      <w:r>
        <w:rPr>
          <w:w w:val="110"/>
          <w:sz w:val="18"/>
        </w:rPr>
        <w:t>is it really living or just not letting</w:t>
      </w:r>
      <w:r>
        <w:rPr>
          <w:spacing w:val="10"/>
          <w:w w:val="110"/>
          <w:sz w:val="18"/>
        </w:rPr>
        <w:t> </w:t>
      </w:r>
      <w:r>
        <w:rPr>
          <w:spacing w:val="-4"/>
          <w:w w:val="110"/>
          <w:sz w:val="18"/>
        </w:rPr>
        <w:t>go?</w:t>
      </w:r>
    </w:p>
    <w:p>
      <w:pPr>
        <w:pStyle w:val="ListParagraph"/>
        <w:numPr>
          <w:ilvl w:val="0"/>
          <w:numId w:val="2"/>
        </w:numPr>
        <w:tabs>
          <w:tab w:pos="1354" w:val="left" w:leader="none"/>
          <w:tab w:pos="1355" w:val="left" w:leader="none"/>
        </w:tabs>
        <w:spacing w:line="218" w:lineRule="auto" w:before="0" w:after="0"/>
        <w:ind w:left="1354" w:right="1913" w:hanging="681"/>
        <w:jc w:val="left"/>
        <w:rPr>
          <w:sz w:val="25"/>
        </w:rPr>
      </w:pPr>
      <w:r>
        <w:rPr>
          <w:w w:val="110"/>
          <w:sz w:val="18"/>
        </w:rPr>
        <w:t>should only be with agreement of patient (7) and family/medical advice; right to choose is</w:t>
      </w:r>
      <w:r>
        <w:rPr>
          <w:spacing w:val="2"/>
          <w:w w:val="110"/>
          <w:sz w:val="18"/>
        </w:rPr>
        <w:t> </w:t>
      </w:r>
      <w:r>
        <w:rPr>
          <w:w w:val="110"/>
          <w:sz w:val="18"/>
        </w:rPr>
        <w:t>paramount</w:t>
      </w:r>
    </w:p>
    <w:p>
      <w:pPr>
        <w:pStyle w:val="ListParagraph"/>
        <w:numPr>
          <w:ilvl w:val="0"/>
          <w:numId w:val="2"/>
        </w:numPr>
        <w:tabs>
          <w:tab w:pos="1354" w:val="left" w:leader="none"/>
          <w:tab w:pos="1355" w:val="left" w:leader="none"/>
        </w:tabs>
        <w:spacing w:line="218" w:lineRule="auto" w:before="17" w:after="0"/>
        <w:ind w:left="1354" w:right="2009" w:hanging="681"/>
        <w:jc w:val="left"/>
        <w:rPr>
          <w:sz w:val="25"/>
        </w:rPr>
      </w:pPr>
      <w:r>
        <w:rPr>
          <w:w w:val="110"/>
          <w:sz w:val="18"/>
        </w:rPr>
        <w:t>how do we define quality of life and right time? difficult to decide measurement criteria; assessing when to withdraw medical intervention is</w:t>
      </w:r>
      <w:r>
        <w:rPr>
          <w:spacing w:val="31"/>
          <w:w w:val="110"/>
          <w:sz w:val="18"/>
        </w:rPr>
        <w:t> </w:t>
      </w:r>
      <w:r>
        <w:rPr>
          <w:w w:val="110"/>
          <w:sz w:val="18"/>
        </w:rPr>
        <w:t>key</w:t>
      </w:r>
    </w:p>
    <w:p>
      <w:pPr>
        <w:pStyle w:val="ListParagraph"/>
        <w:numPr>
          <w:ilvl w:val="0"/>
          <w:numId w:val="2"/>
        </w:numPr>
        <w:tabs>
          <w:tab w:pos="1354" w:val="left" w:leader="none"/>
          <w:tab w:pos="1355" w:val="left" w:leader="none"/>
        </w:tabs>
        <w:spacing w:line="277" w:lineRule="exact" w:before="5" w:after="0"/>
        <w:ind w:left="1354" w:right="0" w:hanging="682"/>
        <w:jc w:val="left"/>
        <w:rPr>
          <w:sz w:val="25"/>
        </w:rPr>
      </w:pPr>
      <w:r>
        <w:rPr>
          <w:w w:val="110"/>
          <w:sz w:val="18"/>
        </w:rPr>
        <w:t>quality of life may be considered reasonable by others but unbearable by</w:t>
      </w:r>
      <w:r>
        <w:rPr>
          <w:spacing w:val="50"/>
          <w:w w:val="110"/>
          <w:sz w:val="18"/>
        </w:rPr>
        <w:t> </w:t>
      </w:r>
      <w:r>
        <w:rPr>
          <w:w w:val="110"/>
          <w:sz w:val="18"/>
        </w:rPr>
        <w:t>patient</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who are we to</w:t>
      </w:r>
      <w:r>
        <w:rPr>
          <w:spacing w:val="3"/>
          <w:w w:val="110"/>
          <w:sz w:val="18"/>
        </w:rPr>
        <w:t> </w:t>
      </w:r>
      <w:r>
        <w:rPr>
          <w:w w:val="110"/>
          <w:sz w:val="18"/>
        </w:rPr>
        <w:t>judge?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do not believe in life at all</w:t>
      </w:r>
      <w:r>
        <w:rPr>
          <w:spacing w:val="6"/>
          <w:w w:val="110"/>
          <w:sz w:val="18"/>
        </w:rPr>
        <w:t> </w:t>
      </w:r>
      <w:r>
        <w:rPr>
          <w:w w:val="110"/>
          <w:sz w:val="18"/>
        </w:rPr>
        <w:t>cost</w:t>
      </w:r>
    </w:p>
    <w:p>
      <w:pPr>
        <w:pStyle w:val="ListParagraph"/>
        <w:numPr>
          <w:ilvl w:val="0"/>
          <w:numId w:val="2"/>
        </w:numPr>
        <w:tabs>
          <w:tab w:pos="1354" w:val="left" w:leader="none"/>
          <w:tab w:pos="1355" w:val="left" w:leader="none"/>
        </w:tabs>
        <w:spacing w:line="218" w:lineRule="auto" w:before="0" w:after="0"/>
        <w:ind w:left="1354" w:right="1903" w:hanging="681"/>
        <w:jc w:val="left"/>
        <w:rPr>
          <w:sz w:val="25"/>
        </w:rPr>
      </w:pPr>
      <w:r>
        <w:rPr>
          <w:w w:val="110"/>
          <w:sz w:val="18"/>
        </w:rPr>
        <w:t>assisting someone who has </w:t>
      </w:r>
      <w:r>
        <w:rPr>
          <w:spacing w:val="2"/>
          <w:w w:val="110"/>
          <w:sz w:val="18"/>
        </w:rPr>
        <w:t>reached </w:t>
      </w:r>
      <w:r>
        <w:rPr>
          <w:w w:val="110"/>
          <w:sz w:val="18"/>
        </w:rPr>
        <w:t>the point where they want to die is showing immense love to</w:t>
      </w:r>
      <w:r>
        <w:rPr>
          <w:spacing w:val="3"/>
          <w:w w:val="110"/>
          <w:sz w:val="18"/>
        </w:rPr>
        <w:t> </w:t>
      </w:r>
      <w:r>
        <w:rPr>
          <w:w w:val="110"/>
          <w:sz w:val="18"/>
        </w:rPr>
        <w:t>them</w:t>
      </w:r>
    </w:p>
    <w:p>
      <w:pPr>
        <w:pStyle w:val="ListParagraph"/>
        <w:numPr>
          <w:ilvl w:val="0"/>
          <w:numId w:val="2"/>
        </w:numPr>
        <w:tabs>
          <w:tab w:pos="1354" w:val="left" w:leader="none"/>
          <w:tab w:pos="1355" w:val="left" w:leader="none"/>
        </w:tabs>
        <w:spacing w:line="240" w:lineRule="auto" w:before="0" w:after="0"/>
        <w:ind w:left="1354" w:right="0" w:hanging="682"/>
        <w:jc w:val="left"/>
        <w:rPr>
          <w:sz w:val="25"/>
        </w:rPr>
      </w:pPr>
      <w:r>
        <w:rPr>
          <w:w w:val="110"/>
          <w:sz w:val="18"/>
        </w:rPr>
        <w:t>those who respond to the appeal for help should not be</w:t>
      </w:r>
      <w:r>
        <w:rPr>
          <w:spacing w:val="30"/>
          <w:w w:val="110"/>
          <w:sz w:val="18"/>
        </w:rPr>
        <w:t> </w:t>
      </w:r>
      <w:r>
        <w:rPr>
          <w:w w:val="110"/>
          <w:sz w:val="18"/>
        </w:rPr>
        <w:t>criminalised.</w:t>
      </w:r>
    </w:p>
    <w:p>
      <w:pPr>
        <w:pStyle w:val="BodyText"/>
        <w:rPr>
          <w:sz w:val="20"/>
        </w:rPr>
      </w:pPr>
    </w:p>
    <w:p>
      <w:pPr>
        <w:pStyle w:val="BodyText"/>
        <w:spacing w:before="9"/>
        <w:rPr>
          <w:sz w:val="19"/>
        </w:rPr>
      </w:pPr>
      <w:r>
        <w:rPr/>
        <w:pict>
          <v:group style="position:absolute;margin-left:28.722pt;margin-top:13.948042pt;width:491.2pt;height:54.3pt;mso-position-horizontal-relative:page;mso-position-vertical-relative:paragraph;z-index:-251418624;mso-wrap-distance-left:0;mso-wrap-distance-right:0" coordorigin="574,279" coordsize="9824,1086">
            <v:rect style="position:absolute;left:1052;top:471;width:9346;height:893" filled="true" fillcolor="#000000" stroked="false">
              <v:fill opacity="49152f" type="solid"/>
            </v:rect>
            <v:shape style="position:absolute;left:1131;top:664;width:9071;height:617" coordorigin="1131,664" coordsize="9071,617" path="m9962,664l1131,664,1131,1281,9962,1281,10101,1276,10172,1243,10198,1151,10202,973,10198,794,10172,703,10101,669,9962,664xe" filled="true" fillcolor="#ffffff" stroked="false">
              <v:path arrowok="t"/>
              <v:fill type="solid"/>
            </v:shape>
            <v:shape style="position:absolute;left:1131;top:664;width:9071;height:617" coordorigin="1131,664" coordsize="9071,617" path="m10202,973l10198,794,10172,703,10101,669,9962,664,1131,664,1131,1281,9962,1281,10101,1276,10172,1243,10198,1151,10202,973xe" filled="false" stroked="true" strokeweight=".25pt" strokecolor="#000000">
              <v:path arrowok="t"/>
              <v:stroke dashstyle="solid"/>
            </v:shape>
            <v:rect style="position:absolute;left:584;top:298;width:1409;height:963" filled="true" fillcolor="#ffffff" stroked="false">
              <v:fill type="solid"/>
            </v:rect>
            <v:rect style="position:absolute;left:584;top:298;width:1409;height:963" filled="false" stroked="true" strokeweight="1pt" strokecolor="#ffffff">
              <v:stroke dashstyle="solid"/>
            </v:rect>
            <v:shape style="position:absolute;left:1133;top:278;width:999;height:766" type="#_x0000_t202" filled="false" stroked="false">
              <v:textbox inset="0,0,0,0">
                <w:txbxContent>
                  <w:p>
                    <w:pPr>
                      <w:spacing w:before="0"/>
                      <w:ind w:left="0" w:right="0" w:firstLine="0"/>
                      <w:jc w:val="left"/>
                      <w:rPr>
                        <w:b/>
                        <w:sz w:val="63"/>
                      </w:rPr>
                    </w:pPr>
                    <w:r>
                      <w:rPr>
                        <w:b/>
                        <w:w w:val="110"/>
                        <w:sz w:val="63"/>
                      </w:rPr>
                      <w:t>6b</w:t>
                    </w:r>
                  </w:p>
                </w:txbxContent>
              </v:textbox>
              <w10:wrap type="none"/>
            </v:shape>
            <v:shape style="position:absolute;left:2573;top:731;width:7288;height:219" type="#_x0000_t202" filled="false" stroked="false">
              <v:textbox inset="0,0,0,0">
                <w:txbxContent>
                  <w:p>
                    <w:pPr>
                      <w:spacing w:before="0"/>
                      <w:ind w:left="0" w:right="0" w:firstLine="0"/>
                      <w:jc w:val="left"/>
                      <w:rPr>
                        <w:i/>
                        <w:sz w:val="18"/>
                      </w:rPr>
                    </w:pPr>
                    <w:r>
                      <w:rPr>
                        <w:i/>
                        <w:w w:val="110"/>
                        <w:sz w:val="18"/>
                      </w:rPr>
                      <w:t>Do we also need to recognise that some palliative treatment makes the</w:t>
                    </w:r>
                  </w:p>
                </w:txbxContent>
              </v:textbox>
              <w10:wrap type="none"/>
            </v:shape>
            <v:shape style="position:absolute;left:1853;top:981;width:6585;height:219" type="#_x0000_t202" filled="false" stroked="false">
              <v:textbox inset="0,0,0,0">
                <w:txbxContent>
                  <w:p>
                    <w:pPr>
                      <w:spacing w:before="0"/>
                      <w:ind w:left="0" w:right="0" w:firstLine="0"/>
                      <w:jc w:val="left"/>
                      <w:rPr>
                        <w:i/>
                        <w:sz w:val="18"/>
                      </w:rPr>
                    </w:pPr>
                    <w:r>
                      <w:rPr>
                        <w:i/>
                        <w:w w:val="110"/>
                        <w:sz w:val="18"/>
                      </w:rPr>
                      <w:t>patient more comfortable and pain free, but also hastens death?</w:t>
                    </w:r>
                  </w:p>
                </w:txbxContent>
              </v:textbox>
              <w10:wrap type="none"/>
            </v:shape>
            <w10:wrap type="topAndBottom"/>
          </v:group>
        </w:pict>
      </w:r>
    </w:p>
    <w:p>
      <w:pPr>
        <w:pStyle w:val="ListParagraph"/>
        <w:numPr>
          <w:ilvl w:val="0"/>
          <w:numId w:val="2"/>
        </w:numPr>
        <w:tabs>
          <w:tab w:pos="1354" w:val="left" w:leader="none"/>
          <w:tab w:pos="1355" w:val="left" w:leader="none"/>
        </w:tabs>
        <w:spacing w:line="277" w:lineRule="exact" w:before="57" w:after="0"/>
        <w:ind w:left="1354" w:right="0" w:hanging="682"/>
        <w:jc w:val="left"/>
        <w:rPr>
          <w:sz w:val="25"/>
        </w:rPr>
      </w:pPr>
      <w:r>
        <w:rPr>
          <w:w w:val="110"/>
          <w:sz w:val="18"/>
        </w:rPr>
        <w:t>majority agree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yes, but shouldn’t be the intention of the treatment</w:t>
      </w:r>
      <w:r>
        <w:rPr>
          <w:spacing w:val="16"/>
          <w:w w:val="110"/>
          <w:sz w:val="18"/>
        </w:rPr>
        <w:t> </w:t>
      </w:r>
      <w:r>
        <w:rPr>
          <w:spacing w:val="-7"/>
          <w:w w:val="110"/>
          <w:sz w:val="18"/>
        </w:rPr>
        <w:t>(2)</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if there is any quality of life, patient should be helped to</w:t>
      </w:r>
      <w:r>
        <w:rPr>
          <w:spacing w:val="22"/>
          <w:w w:val="110"/>
          <w:sz w:val="18"/>
        </w:rPr>
        <w:t> </w:t>
      </w:r>
      <w:r>
        <w:rPr>
          <w:w w:val="110"/>
          <w:sz w:val="18"/>
        </w:rPr>
        <w:t>live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most palliative treatment enhances </w:t>
      </w:r>
      <w:r>
        <w:rPr>
          <w:spacing w:val="2"/>
          <w:w w:val="110"/>
          <w:sz w:val="18"/>
        </w:rPr>
        <w:t>sufferer’s</w:t>
      </w:r>
      <w:r>
        <w:rPr>
          <w:spacing w:val="8"/>
          <w:w w:val="110"/>
          <w:sz w:val="18"/>
        </w:rPr>
        <w:t> </w:t>
      </w:r>
      <w:r>
        <w:rPr>
          <w:w w:val="110"/>
          <w:sz w:val="18"/>
        </w:rPr>
        <w:t>life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spacing w:val="2"/>
          <w:w w:val="110"/>
          <w:sz w:val="18"/>
        </w:rPr>
        <w:t>comfort </w:t>
      </w:r>
      <w:r>
        <w:rPr>
          <w:w w:val="110"/>
          <w:sz w:val="18"/>
        </w:rPr>
        <w:t>and quality of life should take </w:t>
      </w:r>
      <w:r>
        <w:rPr>
          <w:spacing w:val="2"/>
          <w:w w:val="110"/>
          <w:sz w:val="18"/>
        </w:rPr>
        <w:t>precedence </w:t>
      </w:r>
      <w:r>
        <w:rPr>
          <w:w w:val="110"/>
          <w:sz w:val="18"/>
        </w:rPr>
        <w:t>over extending</w:t>
      </w:r>
      <w:r>
        <w:rPr>
          <w:spacing w:val="20"/>
          <w:w w:val="110"/>
          <w:sz w:val="18"/>
        </w:rPr>
        <w:t> </w:t>
      </w:r>
      <w:r>
        <w:rPr>
          <w:w w:val="110"/>
          <w:sz w:val="18"/>
        </w:rPr>
        <w:t>life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why get hung up on time? – why be afraid to hasten death in this </w:t>
      </w:r>
      <w:r>
        <w:rPr>
          <w:spacing w:val="-4"/>
          <w:w w:val="110"/>
          <w:sz w:val="18"/>
        </w:rPr>
        <w:t>way?</w:t>
      </w:r>
      <w:r>
        <w:rPr>
          <w:spacing w:val="32"/>
          <w:w w:val="110"/>
          <w:sz w:val="18"/>
        </w:rPr>
        <w:t> </w:t>
      </w:r>
      <w:r>
        <w:rPr>
          <w:spacing w:val="-7"/>
          <w:w w:val="110"/>
          <w:sz w:val="18"/>
        </w:rPr>
        <w:t>(2)</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need for constant review </w:t>
      </w:r>
      <w:r>
        <w:rPr>
          <w:spacing w:val="2"/>
          <w:w w:val="110"/>
          <w:sz w:val="18"/>
        </w:rPr>
        <w:t>because </w:t>
      </w:r>
      <w:r>
        <w:rPr>
          <w:w w:val="110"/>
          <w:sz w:val="18"/>
        </w:rPr>
        <w:t>of scientific</w:t>
      </w:r>
      <w:r>
        <w:rPr>
          <w:spacing w:val="13"/>
          <w:w w:val="110"/>
          <w:sz w:val="18"/>
        </w:rPr>
        <w:t> </w:t>
      </w:r>
      <w:r>
        <w:rPr>
          <w:w w:val="110"/>
          <w:sz w:val="18"/>
        </w:rPr>
        <w:t>advances.</w:t>
      </w:r>
    </w:p>
    <w:p>
      <w:pPr>
        <w:pStyle w:val="BodyText"/>
        <w:rPr>
          <w:sz w:val="20"/>
        </w:rPr>
      </w:pPr>
    </w:p>
    <w:p>
      <w:pPr>
        <w:pStyle w:val="BodyText"/>
        <w:spacing w:before="11"/>
        <w:rPr>
          <w:sz w:val="19"/>
        </w:rPr>
      </w:pPr>
      <w:r>
        <w:rPr/>
        <w:pict>
          <v:group style="position:absolute;margin-left:28.722pt;margin-top:14.08607pt;width:491.2pt;height:68.650pt;mso-position-horizontal-relative:page;mso-position-vertical-relative:paragraph;z-index:-251416576;mso-wrap-distance-left:0;mso-wrap-distance-right:0" coordorigin="574,282" coordsize="9824,1373">
            <v:rect style="position:absolute;left:1052;top:451;width:9346;height:1203" filled="true" fillcolor="#000000" stroked="false">
              <v:fill opacity="49152f" type="solid"/>
            </v:rect>
            <v:shape style="position:absolute;left:1131;top:644;width:9071;height:924" coordorigin="1131,644" coordsize="9071,924" path="m9962,644l1131,644,1131,1568,9962,1568,10101,1561,10172,1510,10198,1373,10202,1106,10198,839,10172,702,10101,651,9962,644xe" filled="true" fillcolor="#ffffff" stroked="false">
              <v:path arrowok="t"/>
              <v:fill type="solid"/>
            </v:shape>
            <v:shape style="position:absolute;left:1131;top:644;width:9071;height:924" coordorigin="1131,644" coordsize="9071,924" path="m10202,1106l10198,839,10172,702,10101,651,9962,644,1131,644,1131,1568,9962,1568,10101,1561,10172,1510,10198,1373,10202,1106xe" filled="false" stroked="true" strokeweight=".25pt" strokecolor="#000000">
              <v:path arrowok="t"/>
              <v:stroke dashstyle="solid"/>
            </v:shape>
            <v:rect style="position:absolute;left:584;top:297;width:899;height:1228" filled="true" fillcolor="#ffffff" stroked="false">
              <v:fill type="solid"/>
            </v:rect>
            <v:rect style="position:absolute;left:584;top:297;width:899;height:1228" filled="false" stroked="true" strokeweight="1pt" strokecolor="#ffffff">
              <v:stroke dashstyle="solid"/>
            </v:rect>
            <v:shape style="position:absolute;left:574;top:281;width:9824;height:1373" type="#_x0000_t202" filled="false" stroked="false">
              <v:textbox inset="0,0,0,0">
                <w:txbxContent>
                  <w:p>
                    <w:pPr>
                      <w:spacing w:line="192" w:lineRule="auto" w:before="126"/>
                      <w:ind w:left="1279" w:right="0" w:hanging="721"/>
                      <w:jc w:val="left"/>
                      <w:rPr>
                        <w:i/>
                        <w:sz w:val="18"/>
                      </w:rPr>
                    </w:pPr>
                    <w:r>
                      <w:rPr>
                        <w:b/>
                        <w:w w:val="110"/>
                        <w:sz w:val="63"/>
                      </w:rPr>
                      <w:t>7 </w:t>
                    </w:r>
                    <w:r>
                      <w:rPr>
                        <w:i/>
                        <w:w w:val="110"/>
                        <w:sz w:val="18"/>
                      </w:rPr>
                      <w:t>What are our fears about </w:t>
                    </w:r>
                    <w:r>
                      <w:rPr>
                        <w:i/>
                        <w:w w:val="110"/>
                        <w:sz w:val="18"/>
                        <w:u w:val="single"/>
                      </w:rPr>
                      <w:t>assisted</w:t>
                    </w:r>
                    <w:r>
                      <w:rPr>
                        <w:i/>
                        <w:w w:val="110"/>
                        <w:sz w:val="18"/>
                      </w:rPr>
                      <w:t> dying? Is it that it will be abused by doctors, </w:t>
                    </w:r>
                    <w:r>
                      <w:rPr>
                        <w:i/>
                        <w:w w:val="110"/>
                        <w:sz w:val="18"/>
                      </w:rPr>
                      <w:t>relatives or nursing homes or hospitals? That there will be untimely deaths of</w:t>
                    </w:r>
                  </w:p>
                  <w:p>
                    <w:pPr>
                      <w:spacing w:before="39"/>
                      <w:ind w:left="1279" w:right="0" w:firstLine="0"/>
                      <w:jc w:val="left"/>
                      <w:rPr>
                        <w:i/>
                        <w:sz w:val="18"/>
                      </w:rPr>
                    </w:pPr>
                    <w:r>
                      <w:rPr>
                        <w:i/>
                        <w:w w:val="110"/>
                        <w:sz w:val="18"/>
                      </w:rPr>
                      <w:t>the helpless? Does it send out the wrong signals to society?</w:t>
                    </w:r>
                  </w:p>
                </w:txbxContent>
              </v:textbox>
              <w10:wrap type="none"/>
            </v:shape>
            <w10:wrap type="topAndBottom"/>
          </v:group>
        </w:pict>
      </w:r>
    </w:p>
    <w:p>
      <w:pPr>
        <w:pStyle w:val="ListParagraph"/>
        <w:numPr>
          <w:ilvl w:val="0"/>
          <w:numId w:val="2"/>
        </w:numPr>
        <w:tabs>
          <w:tab w:pos="1354" w:val="left" w:leader="none"/>
          <w:tab w:pos="1355" w:val="left" w:leader="none"/>
        </w:tabs>
        <w:spacing w:line="277" w:lineRule="exact" w:before="21" w:after="0"/>
        <w:ind w:left="1354" w:right="0" w:hanging="682"/>
        <w:jc w:val="left"/>
        <w:rPr>
          <w:sz w:val="25"/>
        </w:rPr>
      </w:pPr>
      <w:r>
        <w:rPr>
          <w:w w:val="110"/>
          <w:sz w:val="18"/>
        </w:rPr>
        <w:t>all of the above</w:t>
      </w:r>
      <w:r>
        <w:rPr>
          <w:spacing w:val="2"/>
          <w:w w:val="110"/>
          <w:sz w:val="18"/>
        </w:rPr>
        <w:t> </w:t>
      </w:r>
      <w:r>
        <w:rPr>
          <w:spacing w:val="-9"/>
          <w:w w:val="110"/>
          <w:sz w:val="18"/>
        </w:rPr>
        <w:t>(42)</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assisted dying is wrong</w:t>
      </w:r>
      <w:r>
        <w:rPr>
          <w:spacing w:val="4"/>
          <w:w w:val="110"/>
          <w:sz w:val="18"/>
        </w:rPr>
        <w:t> </w:t>
      </w:r>
      <w:r>
        <w:rPr>
          <w:spacing w:val="-9"/>
          <w:w w:val="110"/>
          <w:sz w:val="18"/>
        </w:rPr>
        <w:t>(10)</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devalues </w:t>
      </w:r>
      <w:r>
        <w:rPr>
          <w:spacing w:val="2"/>
          <w:w w:val="110"/>
          <w:sz w:val="18"/>
        </w:rPr>
        <w:t>sanctity </w:t>
      </w:r>
      <w:r>
        <w:rPr>
          <w:w w:val="110"/>
          <w:sz w:val="18"/>
        </w:rPr>
        <w:t>of life </w:t>
      </w:r>
      <w:r>
        <w:rPr>
          <w:spacing w:val="-8"/>
          <w:w w:val="110"/>
          <w:sz w:val="18"/>
        </w:rPr>
        <w:t>(2); </w:t>
      </w:r>
      <w:r>
        <w:rPr>
          <w:w w:val="110"/>
          <w:sz w:val="18"/>
        </w:rPr>
        <w:t>ignores God’s </w:t>
      </w:r>
      <w:r>
        <w:rPr>
          <w:spacing w:val="-3"/>
          <w:w w:val="110"/>
          <w:sz w:val="18"/>
        </w:rPr>
        <w:t>will; </w:t>
      </w:r>
      <w:r>
        <w:rPr>
          <w:w w:val="110"/>
          <w:sz w:val="18"/>
        </w:rPr>
        <w:t>cheapens and degrades</w:t>
      </w:r>
      <w:r>
        <w:rPr>
          <w:spacing w:val="44"/>
          <w:w w:val="110"/>
          <w:sz w:val="18"/>
        </w:rPr>
        <w:t> </w:t>
      </w:r>
      <w:r>
        <w:rPr>
          <w:w w:val="110"/>
          <w:sz w:val="18"/>
        </w:rPr>
        <w:t>life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who will decide where line is drawn?</w:t>
      </w:r>
      <w:r>
        <w:rPr>
          <w:spacing w:val="5"/>
          <w:w w:val="110"/>
          <w:sz w:val="18"/>
        </w:rPr>
        <w:t> </w:t>
      </w:r>
      <w:r>
        <w:rPr>
          <w:spacing w:val="-7"/>
          <w:w w:val="110"/>
          <w:sz w:val="18"/>
        </w:rPr>
        <w:t>(2)</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spacing w:val="2"/>
          <w:w w:val="110"/>
          <w:sz w:val="18"/>
        </w:rPr>
        <w:t>fears </w:t>
      </w:r>
      <w:r>
        <w:rPr>
          <w:w w:val="110"/>
          <w:sz w:val="18"/>
        </w:rPr>
        <w:t>well-summarised but greatly</w:t>
      </w:r>
      <w:r>
        <w:rPr>
          <w:spacing w:val="4"/>
          <w:w w:val="110"/>
          <w:sz w:val="18"/>
        </w:rPr>
        <w:t> </w:t>
      </w:r>
      <w:r>
        <w:rPr>
          <w:w w:val="110"/>
          <w:sz w:val="18"/>
        </w:rPr>
        <w:t>exaggerated</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failure of </w:t>
      </w:r>
      <w:r>
        <w:rPr>
          <w:spacing w:val="2"/>
          <w:w w:val="110"/>
          <w:sz w:val="18"/>
        </w:rPr>
        <w:t>Joffe </w:t>
      </w:r>
      <w:r>
        <w:rPr>
          <w:w w:val="110"/>
          <w:sz w:val="18"/>
        </w:rPr>
        <w:t>Bill was a tragedy/URC should support his approach</w:t>
      </w:r>
      <w:r>
        <w:rPr>
          <w:spacing w:val="25"/>
          <w:w w:val="110"/>
          <w:sz w:val="18"/>
        </w:rPr>
        <w:t> </w:t>
      </w:r>
      <w:r>
        <w:rPr>
          <w:spacing w:val="-7"/>
          <w:w w:val="110"/>
          <w:sz w:val="18"/>
        </w:rPr>
        <w:t>(2)</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why are people so fearful?</w:t>
      </w:r>
      <w:r>
        <w:rPr>
          <w:spacing w:val="4"/>
          <w:w w:val="110"/>
          <w:sz w:val="18"/>
        </w:rPr>
        <w:t> </w:t>
      </w:r>
      <w:r>
        <w:rPr>
          <w:spacing w:val="-7"/>
          <w:w w:val="110"/>
          <w:sz w:val="18"/>
        </w:rPr>
        <w:t>(2)</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favour assisted dying being made</w:t>
      </w:r>
      <w:r>
        <w:rPr>
          <w:spacing w:val="6"/>
          <w:w w:val="110"/>
          <w:sz w:val="18"/>
        </w:rPr>
        <w:t> </w:t>
      </w:r>
      <w:r>
        <w:rPr>
          <w:w w:val="110"/>
          <w:sz w:val="18"/>
        </w:rPr>
        <w:t>legal</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no fear of assisted dying for self if no quality of</w:t>
      </w:r>
      <w:r>
        <w:rPr>
          <w:spacing w:val="19"/>
          <w:w w:val="110"/>
          <w:sz w:val="18"/>
        </w:rPr>
        <w:t> </w:t>
      </w:r>
      <w:r>
        <w:rPr>
          <w:w w:val="110"/>
          <w:sz w:val="18"/>
        </w:rPr>
        <w:t>life</w:t>
      </w:r>
    </w:p>
    <w:p>
      <w:pPr>
        <w:pStyle w:val="ListParagraph"/>
        <w:numPr>
          <w:ilvl w:val="0"/>
          <w:numId w:val="2"/>
        </w:numPr>
        <w:tabs>
          <w:tab w:pos="1354" w:val="left" w:leader="none"/>
          <w:tab w:pos="1355" w:val="left" w:leader="none"/>
        </w:tabs>
        <w:spacing w:line="218" w:lineRule="auto" w:before="0" w:after="0"/>
        <w:ind w:left="1354" w:right="1920" w:hanging="681"/>
        <w:jc w:val="left"/>
        <w:rPr>
          <w:sz w:val="25"/>
        </w:rPr>
      </w:pPr>
      <w:r>
        <w:rPr>
          <w:w w:val="110"/>
          <w:sz w:val="18"/>
        </w:rPr>
        <w:t>pressure on those who are ill </w:t>
      </w:r>
      <w:r>
        <w:rPr>
          <w:spacing w:val="-10"/>
          <w:w w:val="110"/>
          <w:sz w:val="18"/>
        </w:rPr>
        <w:t>(4); </w:t>
      </w:r>
      <w:r>
        <w:rPr>
          <w:w w:val="110"/>
          <w:sz w:val="18"/>
        </w:rPr>
        <w:t>if becomes commonplace; those incapacitated could</w:t>
      </w:r>
      <w:r>
        <w:rPr>
          <w:spacing w:val="9"/>
          <w:w w:val="110"/>
          <w:sz w:val="18"/>
        </w:rPr>
        <w:t> </w:t>
      </w:r>
      <w:r>
        <w:rPr>
          <w:w w:val="110"/>
          <w:sz w:val="18"/>
        </w:rPr>
        <w:t>be</w:t>
      </w:r>
      <w:r>
        <w:rPr>
          <w:spacing w:val="10"/>
          <w:w w:val="110"/>
          <w:sz w:val="18"/>
        </w:rPr>
        <w:t> </w:t>
      </w:r>
      <w:r>
        <w:rPr>
          <w:w w:val="110"/>
          <w:sz w:val="18"/>
        </w:rPr>
        <w:t>at</w:t>
      </w:r>
      <w:r>
        <w:rPr>
          <w:spacing w:val="9"/>
          <w:w w:val="110"/>
          <w:sz w:val="18"/>
        </w:rPr>
        <w:t> </w:t>
      </w:r>
      <w:r>
        <w:rPr>
          <w:spacing w:val="2"/>
          <w:w w:val="110"/>
          <w:sz w:val="18"/>
        </w:rPr>
        <w:t>mercy</w:t>
      </w:r>
      <w:r>
        <w:rPr>
          <w:spacing w:val="10"/>
          <w:w w:val="110"/>
          <w:sz w:val="18"/>
        </w:rPr>
        <w:t> </w:t>
      </w:r>
      <w:r>
        <w:rPr>
          <w:w w:val="110"/>
          <w:sz w:val="18"/>
        </w:rPr>
        <w:t>of</w:t>
      </w:r>
      <w:r>
        <w:rPr>
          <w:spacing w:val="9"/>
          <w:w w:val="110"/>
          <w:sz w:val="18"/>
        </w:rPr>
        <w:t> </w:t>
      </w:r>
      <w:r>
        <w:rPr>
          <w:w w:val="110"/>
          <w:sz w:val="18"/>
        </w:rPr>
        <w:t>institutions</w:t>
      </w:r>
      <w:r>
        <w:rPr>
          <w:spacing w:val="10"/>
          <w:w w:val="110"/>
          <w:sz w:val="18"/>
        </w:rPr>
        <w:t> </w:t>
      </w:r>
      <w:r>
        <w:rPr>
          <w:w w:val="110"/>
          <w:sz w:val="18"/>
        </w:rPr>
        <w:t>–</w:t>
      </w:r>
      <w:r>
        <w:rPr>
          <w:spacing w:val="10"/>
          <w:w w:val="110"/>
          <w:sz w:val="18"/>
        </w:rPr>
        <w:t> </w:t>
      </w:r>
      <w:r>
        <w:rPr>
          <w:w w:val="110"/>
          <w:sz w:val="18"/>
        </w:rPr>
        <w:t>nothing</w:t>
      </w:r>
      <w:r>
        <w:rPr>
          <w:spacing w:val="9"/>
          <w:w w:val="110"/>
          <w:sz w:val="18"/>
        </w:rPr>
        <w:t> </w:t>
      </w:r>
      <w:r>
        <w:rPr>
          <w:w w:val="110"/>
          <w:sz w:val="18"/>
        </w:rPr>
        <w:t>is</w:t>
      </w:r>
      <w:r>
        <w:rPr>
          <w:spacing w:val="10"/>
          <w:w w:val="110"/>
          <w:sz w:val="18"/>
        </w:rPr>
        <w:t> </w:t>
      </w:r>
      <w:r>
        <w:rPr>
          <w:w w:val="110"/>
          <w:sz w:val="18"/>
        </w:rPr>
        <w:t>totally</w:t>
      </w:r>
      <w:r>
        <w:rPr>
          <w:spacing w:val="9"/>
          <w:w w:val="110"/>
          <w:sz w:val="18"/>
        </w:rPr>
        <w:t> </w:t>
      </w:r>
      <w:r>
        <w:rPr>
          <w:w w:val="110"/>
          <w:sz w:val="18"/>
        </w:rPr>
        <w:t>voluntary;</w:t>
      </w:r>
      <w:r>
        <w:rPr>
          <w:spacing w:val="10"/>
          <w:w w:val="110"/>
          <w:sz w:val="18"/>
        </w:rPr>
        <w:t> </w:t>
      </w:r>
      <w:r>
        <w:rPr>
          <w:w w:val="110"/>
          <w:sz w:val="18"/>
        </w:rPr>
        <w:t>people</w:t>
      </w:r>
      <w:r>
        <w:rPr>
          <w:spacing w:val="10"/>
          <w:w w:val="110"/>
          <w:sz w:val="18"/>
        </w:rPr>
        <w:t> </w:t>
      </w:r>
      <w:r>
        <w:rPr>
          <w:w w:val="110"/>
          <w:sz w:val="18"/>
        </w:rPr>
        <w:t>could</w:t>
      </w:r>
      <w:r>
        <w:rPr>
          <w:spacing w:val="9"/>
          <w:w w:val="110"/>
          <w:sz w:val="18"/>
        </w:rPr>
        <w:t> </w:t>
      </w:r>
      <w:r>
        <w:rPr>
          <w:w w:val="110"/>
          <w:sz w:val="18"/>
        </w:rPr>
        <w:t>ask</w:t>
      </w:r>
    </w:p>
    <w:p>
      <w:pPr>
        <w:pStyle w:val="BodyText"/>
        <w:spacing w:line="273" w:lineRule="auto" w:before="28"/>
        <w:ind w:left="1354" w:right="1829"/>
      </w:pPr>
      <w:r>
        <w:rPr>
          <w:w w:val="110"/>
        </w:rPr>
        <w:t>for assisted dying to avoid perceived burdening of others; exercising own choice may become a battle; who is to be trusted?</w:t>
      </w:r>
    </w:p>
    <w:p>
      <w:pPr>
        <w:pStyle w:val="ListParagraph"/>
        <w:numPr>
          <w:ilvl w:val="0"/>
          <w:numId w:val="2"/>
        </w:numPr>
        <w:tabs>
          <w:tab w:pos="1354" w:val="left" w:leader="none"/>
          <w:tab w:pos="1355" w:val="left" w:leader="none"/>
        </w:tabs>
        <w:spacing w:line="248" w:lineRule="exact" w:before="0" w:after="0"/>
        <w:ind w:left="1354" w:right="0" w:hanging="682"/>
        <w:jc w:val="left"/>
        <w:rPr>
          <w:sz w:val="25"/>
        </w:rPr>
      </w:pPr>
      <w:r>
        <w:rPr>
          <w:w w:val="110"/>
          <w:sz w:val="18"/>
        </w:rPr>
        <w:t>some disagreement on potential for abuse by medical</w:t>
      </w:r>
      <w:r>
        <w:rPr>
          <w:spacing w:val="27"/>
          <w:w w:val="110"/>
          <w:sz w:val="18"/>
        </w:rPr>
        <w:t> </w:t>
      </w:r>
      <w:r>
        <w:rPr>
          <w:w w:val="110"/>
          <w:sz w:val="18"/>
        </w:rPr>
        <w:t>profession/family:</w:t>
      </w:r>
    </w:p>
    <w:p>
      <w:pPr>
        <w:pStyle w:val="ListParagraph"/>
        <w:numPr>
          <w:ilvl w:val="0"/>
          <w:numId w:val="105"/>
        </w:numPr>
        <w:tabs>
          <w:tab w:pos="1603" w:val="left" w:leader="none"/>
        </w:tabs>
        <w:spacing w:line="250" w:lineRule="exact" w:before="0" w:after="0"/>
        <w:ind w:left="1602" w:right="0" w:hanging="249"/>
        <w:jc w:val="left"/>
        <w:rPr>
          <w:sz w:val="18"/>
        </w:rPr>
      </w:pPr>
      <w:r>
        <w:rPr>
          <w:w w:val="110"/>
          <w:sz w:val="18"/>
        </w:rPr>
        <w:t>Shipman/Allitt were able to </w:t>
      </w:r>
      <w:r>
        <w:rPr>
          <w:spacing w:val="2"/>
          <w:w w:val="110"/>
          <w:sz w:val="18"/>
        </w:rPr>
        <w:t>act </w:t>
      </w:r>
      <w:r>
        <w:rPr>
          <w:w w:val="110"/>
          <w:sz w:val="18"/>
        </w:rPr>
        <w:t>without legitimisation of assisted</w:t>
      </w:r>
      <w:r>
        <w:rPr>
          <w:spacing w:val="23"/>
          <w:w w:val="110"/>
          <w:sz w:val="18"/>
        </w:rPr>
        <w:t> </w:t>
      </w:r>
      <w:r>
        <w:rPr>
          <w:w w:val="110"/>
          <w:sz w:val="18"/>
        </w:rPr>
        <w:t>dying</w:t>
      </w:r>
    </w:p>
    <w:p>
      <w:pPr>
        <w:pStyle w:val="ListParagraph"/>
        <w:numPr>
          <w:ilvl w:val="0"/>
          <w:numId w:val="105"/>
        </w:numPr>
        <w:tabs>
          <w:tab w:pos="1603" w:val="left" w:leader="none"/>
        </w:tabs>
        <w:spacing w:line="218" w:lineRule="auto" w:before="0" w:after="0"/>
        <w:ind w:left="1635" w:right="2596" w:hanging="282"/>
        <w:jc w:val="left"/>
        <w:rPr>
          <w:sz w:val="18"/>
        </w:rPr>
      </w:pPr>
      <w:r>
        <w:rPr>
          <w:w w:val="110"/>
          <w:sz w:val="18"/>
        </w:rPr>
        <w:t>where money is to be made in completion of certificates, some </w:t>
      </w:r>
      <w:r>
        <w:rPr>
          <w:spacing w:val="2"/>
          <w:w w:val="110"/>
          <w:sz w:val="18"/>
        </w:rPr>
        <w:t>doctors </w:t>
      </w:r>
      <w:r>
        <w:rPr>
          <w:w w:val="110"/>
          <w:sz w:val="18"/>
        </w:rPr>
        <w:t>will be less worried about</w:t>
      </w:r>
      <w:r>
        <w:rPr>
          <w:spacing w:val="7"/>
          <w:w w:val="110"/>
          <w:sz w:val="18"/>
        </w:rPr>
        <w:t> </w:t>
      </w:r>
      <w:r>
        <w:rPr>
          <w:w w:val="110"/>
          <w:sz w:val="18"/>
        </w:rPr>
        <w:t>ethics</w:t>
      </w:r>
    </w:p>
    <w:p>
      <w:pPr>
        <w:pStyle w:val="ListParagraph"/>
        <w:numPr>
          <w:ilvl w:val="0"/>
          <w:numId w:val="105"/>
        </w:numPr>
        <w:tabs>
          <w:tab w:pos="1603" w:val="left" w:leader="none"/>
        </w:tabs>
        <w:spacing w:line="277" w:lineRule="exact" w:before="0" w:after="0"/>
        <w:ind w:left="1602" w:right="0" w:hanging="249"/>
        <w:jc w:val="left"/>
        <w:rPr>
          <w:sz w:val="18"/>
        </w:rPr>
      </w:pPr>
      <w:r>
        <w:rPr>
          <w:w w:val="110"/>
          <w:sz w:val="18"/>
        </w:rPr>
        <w:t>danger in less well-run institutions where bed-blocking is a</w:t>
      </w:r>
      <w:r>
        <w:rPr>
          <w:spacing w:val="26"/>
          <w:w w:val="110"/>
          <w:sz w:val="18"/>
        </w:rPr>
        <w:t> </w:t>
      </w:r>
      <w:r>
        <w:rPr>
          <w:w w:val="110"/>
          <w:sz w:val="18"/>
        </w:rPr>
        <w:t>concern</w:t>
      </w:r>
    </w:p>
    <w:p>
      <w:pPr>
        <w:pStyle w:val="ListParagraph"/>
        <w:numPr>
          <w:ilvl w:val="0"/>
          <w:numId w:val="105"/>
        </w:numPr>
        <w:tabs>
          <w:tab w:pos="1603" w:val="left" w:leader="none"/>
        </w:tabs>
        <w:spacing w:line="250" w:lineRule="exact" w:before="0" w:after="0"/>
        <w:ind w:left="1602" w:right="0" w:hanging="249"/>
        <w:jc w:val="left"/>
        <w:rPr>
          <w:sz w:val="18"/>
        </w:rPr>
      </w:pPr>
      <w:r>
        <w:rPr>
          <w:spacing w:val="-3"/>
          <w:w w:val="110"/>
          <w:sz w:val="18"/>
        </w:rPr>
        <w:t>fear, </w:t>
      </w:r>
      <w:r>
        <w:rPr>
          <w:w w:val="110"/>
          <w:sz w:val="18"/>
        </w:rPr>
        <w:t>inconvenience and financial considerations will cloud judgement of</w:t>
      </w:r>
      <w:r>
        <w:rPr>
          <w:spacing w:val="36"/>
          <w:w w:val="110"/>
          <w:sz w:val="18"/>
        </w:rPr>
        <w:t> </w:t>
      </w:r>
      <w:r>
        <w:rPr>
          <w:w w:val="110"/>
          <w:sz w:val="18"/>
        </w:rPr>
        <w:t>family</w:t>
      </w:r>
    </w:p>
    <w:p>
      <w:pPr>
        <w:pStyle w:val="ListParagraph"/>
        <w:numPr>
          <w:ilvl w:val="0"/>
          <w:numId w:val="105"/>
        </w:numPr>
        <w:tabs>
          <w:tab w:pos="1603" w:val="left" w:leader="none"/>
        </w:tabs>
        <w:spacing w:line="250" w:lineRule="exact" w:before="0" w:after="0"/>
        <w:ind w:left="1602" w:right="0" w:hanging="249"/>
        <w:jc w:val="left"/>
        <w:rPr>
          <w:sz w:val="18"/>
        </w:rPr>
      </w:pPr>
      <w:r>
        <w:rPr>
          <w:w w:val="110"/>
          <w:sz w:val="18"/>
        </w:rPr>
        <w:t>with proper safeguards, may lead to reduction in</w:t>
      </w:r>
      <w:r>
        <w:rPr>
          <w:spacing w:val="16"/>
          <w:w w:val="110"/>
          <w:sz w:val="18"/>
        </w:rPr>
        <w:t> </w:t>
      </w:r>
      <w:r>
        <w:rPr>
          <w:w w:val="110"/>
          <w:sz w:val="18"/>
        </w:rPr>
        <w:t>abuse</w:t>
      </w:r>
    </w:p>
    <w:p>
      <w:pPr>
        <w:pStyle w:val="ListParagraph"/>
        <w:numPr>
          <w:ilvl w:val="0"/>
          <w:numId w:val="105"/>
        </w:numPr>
        <w:tabs>
          <w:tab w:pos="1603" w:val="left" w:leader="none"/>
        </w:tabs>
        <w:spacing w:line="250" w:lineRule="exact" w:before="0" w:after="0"/>
        <w:ind w:left="1602" w:right="0" w:hanging="249"/>
        <w:jc w:val="left"/>
        <w:rPr>
          <w:sz w:val="18"/>
        </w:rPr>
      </w:pPr>
      <w:r>
        <w:rPr>
          <w:w w:val="110"/>
          <w:sz w:val="18"/>
        </w:rPr>
        <w:t>puts too much power in hands of</w:t>
      </w:r>
      <w:r>
        <w:rPr>
          <w:spacing w:val="9"/>
          <w:w w:val="110"/>
          <w:sz w:val="18"/>
        </w:rPr>
        <w:t> </w:t>
      </w:r>
      <w:r>
        <w:rPr>
          <w:spacing w:val="2"/>
          <w:w w:val="110"/>
          <w:sz w:val="18"/>
        </w:rPr>
        <w:t>doctors</w:t>
      </w:r>
    </w:p>
    <w:p>
      <w:pPr>
        <w:pStyle w:val="ListParagraph"/>
        <w:numPr>
          <w:ilvl w:val="0"/>
          <w:numId w:val="105"/>
        </w:numPr>
        <w:tabs>
          <w:tab w:pos="1603" w:val="left" w:leader="none"/>
        </w:tabs>
        <w:spacing w:line="250" w:lineRule="exact" w:before="0" w:after="0"/>
        <w:ind w:left="1602" w:right="0" w:hanging="249"/>
        <w:jc w:val="left"/>
        <w:rPr>
          <w:sz w:val="18"/>
        </w:rPr>
      </w:pPr>
      <w:r>
        <w:rPr>
          <w:w w:val="110"/>
          <w:sz w:val="18"/>
        </w:rPr>
        <w:t>fear of bad and uncaring</w:t>
      </w:r>
      <w:r>
        <w:rPr>
          <w:spacing w:val="5"/>
          <w:w w:val="110"/>
          <w:sz w:val="18"/>
        </w:rPr>
        <w:t> </w:t>
      </w:r>
      <w:r>
        <w:rPr>
          <w:spacing w:val="2"/>
          <w:w w:val="110"/>
          <w:sz w:val="18"/>
        </w:rPr>
        <w:t>practice</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‘assisted’ needs defining – ensure safeguards/proper and </w:t>
      </w:r>
      <w:r>
        <w:rPr>
          <w:spacing w:val="2"/>
          <w:w w:val="110"/>
          <w:sz w:val="18"/>
        </w:rPr>
        <w:t>effective</w:t>
      </w:r>
      <w:r>
        <w:rPr>
          <w:spacing w:val="31"/>
          <w:w w:val="110"/>
          <w:sz w:val="18"/>
        </w:rPr>
        <w:t> </w:t>
      </w:r>
      <w:r>
        <w:rPr>
          <w:w w:val="110"/>
          <w:sz w:val="18"/>
        </w:rPr>
        <w:t>controls(32)</w:t>
      </w:r>
    </w:p>
    <w:p>
      <w:pPr>
        <w:pStyle w:val="ListParagraph"/>
        <w:numPr>
          <w:ilvl w:val="0"/>
          <w:numId w:val="2"/>
        </w:numPr>
        <w:tabs>
          <w:tab w:pos="1354" w:val="left" w:leader="none"/>
          <w:tab w:pos="1355" w:val="left" w:leader="none"/>
        </w:tabs>
        <w:spacing w:line="218" w:lineRule="auto" w:before="0" w:after="0"/>
        <w:ind w:left="1354" w:right="1987" w:hanging="681"/>
        <w:jc w:val="left"/>
        <w:rPr>
          <w:sz w:val="25"/>
        </w:rPr>
      </w:pPr>
      <w:r>
        <w:rPr>
          <w:w w:val="110"/>
          <w:sz w:val="18"/>
        </w:rPr>
        <w:t>desperate people going abroad suggests something needs to be done; can understand</w:t>
      </w:r>
      <w:r>
        <w:rPr>
          <w:spacing w:val="9"/>
          <w:w w:val="110"/>
          <w:sz w:val="18"/>
        </w:rPr>
        <w:t> </w:t>
      </w:r>
      <w:r>
        <w:rPr>
          <w:w w:val="110"/>
          <w:sz w:val="18"/>
        </w:rPr>
        <w:t>why</w:t>
      </w:r>
      <w:r>
        <w:rPr>
          <w:spacing w:val="10"/>
          <w:w w:val="110"/>
          <w:sz w:val="18"/>
        </w:rPr>
        <w:t> </w:t>
      </w:r>
      <w:r>
        <w:rPr>
          <w:w w:val="110"/>
          <w:sz w:val="18"/>
        </w:rPr>
        <w:t>some</w:t>
      </w:r>
      <w:r>
        <w:rPr>
          <w:spacing w:val="10"/>
          <w:w w:val="110"/>
          <w:sz w:val="18"/>
        </w:rPr>
        <w:t> </w:t>
      </w:r>
      <w:r>
        <w:rPr>
          <w:w w:val="110"/>
          <w:sz w:val="18"/>
        </w:rPr>
        <w:t>people</w:t>
      </w:r>
      <w:r>
        <w:rPr>
          <w:spacing w:val="10"/>
          <w:w w:val="110"/>
          <w:sz w:val="18"/>
        </w:rPr>
        <w:t> </w:t>
      </w:r>
      <w:r>
        <w:rPr>
          <w:w w:val="110"/>
          <w:sz w:val="18"/>
        </w:rPr>
        <w:t>want</w:t>
      </w:r>
      <w:r>
        <w:rPr>
          <w:spacing w:val="9"/>
          <w:w w:val="110"/>
          <w:sz w:val="18"/>
        </w:rPr>
        <w:t> </w:t>
      </w:r>
      <w:r>
        <w:rPr>
          <w:w w:val="110"/>
          <w:sz w:val="18"/>
        </w:rPr>
        <w:t>it;</w:t>
      </w:r>
      <w:r>
        <w:rPr>
          <w:spacing w:val="10"/>
          <w:w w:val="110"/>
          <w:sz w:val="18"/>
        </w:rPr>
        <w:t> </w:t>
      </w:r>
      <w:r>
        <w:rPr>
          <w:spacing w:val="2"/>
          <w:w w:val="110"/>
          <w:sz w:val="18"/>
        </w:rPr>
        <w:t>society</w:t>
      </w:r>
      <w:r>
        <w:rPr>
          <w:spacing w:val="10"/>
          <w:w w:val="110"/>
          <w:sz w:val="18"/>
        </w:rPr>
        <w:t> </w:t>
      </w:r>
      <w:r>
        <w:rPr>
          <w:w w:val="110"/>
          <w:sz w:val="18"/>
        </w:rPr>
        <w:t>should</w:t>
      </w:r>
      <w:r>
        <w:rPr>
          <w:spacing w:val="10"/>
          <w:w w:val="110"/>
          <w:sz w:val="18"/>
        </w:rPr>
        <w:t> </w:t>
      </w:r>
      <w:r>
        <w:rPr>
          <w:w w:val="110"/>
          <w:sz w:val="18"/>
        </w:rPr>
        <w:t>accept</w:t>
      </w:r>
      <w:r>
        <w:rPr>
          <w:spacing w:val="10"/>
          <w:w w:val="110"/>
          <w:sz w:val="18"/>
        </w:rPr>
        <w:t> </w:t>
      </w:r>
      <w:r>
        <w:rPr>
          <w:w w:val="110"/>
          <w:sz w:val="18"/>
        </w:rPr>
        <w:t>we</w:t>
      </w:r>
      <w:r>
        <w:rPr>
          <w:spacing w:val="9"/>
          <w:w w:val="110"/>
          <w:sz w:val="18"/>
        </w:rPr>
        <w:t> </w:t>
      </w:r>
      <w:r>
        <w:rPr>
          <w:w w:val="110"/>
          <w:sz w:val="18"/>
        </w:rPr>
        <w:t>are</w:t>
      </w:r>
      <w:r>
        <w:rPr>
          <w:spacing w:val="10"/>
          <w:w w:val="110"/>
          <w:sz w:val="18"/>
        </w:rPr>
        <w:t> </w:t>
      </w:r>
      <w:r>
        <w:rPr>
          <w:w w:val="110"/>
          <w:sz w:val="18"/>
        </w:rPr>
        <w:t>all</w:t>
      </w:r>
      <w:r>
        <w:rPr>
          <w:spacing w:val="9"/>
          <w:w w:val="110"/>
          <w:sz w:val="18"/>
        </w:rPr>
        <w:t> </w:t>
      </w:r>
      <w:r>
        <w:rPr>
          <w:spacing w:val="2"/>
          <w:w w:val="110"/>
          <w:sz w:val="18"/>
        </w:rPr>
        <w:t>different</w:t>
      </w:r>
    </w:p>
    <w:p>
      <w:pPr>
        <w:spacing w:after="0" w:line="218" w:lineRule="auto"/>
        <w:jc w:val="left"/>
        <w:rPr>
          <w:sz w:val="25"/>
        </w:rPr>
        <w:sectPr>
          <w:pgSz w:w="11910" w:h="16840"/>
          <w:pgMar w:header="558" w:footer="564" w:top="820" w:bottom="760" w:left="460" w:right="0"/>
        </w:sectPr>
      </w:pPr>
    </w:p>
    <w:p>
      <w:pPr>
        <w:pStyle w:val="BodyText"/>
        <w:spacing w:before="2"/>
        <w:rPr>
          <w:sz w:val="16"/>
        </w:rPr>
      </w:pPr>
    </w:p>
    <w:p>
      <w:pPr>
        <w:pStyle w:val="ListParagraph"/>
        <w:numPr>
          <w:ilvl w:val="1"/>
          <w:numId w:val="2"/>
        </w:numPr>
        <w:tabs>
          <w:tab w:pos="1921" w:val="left" w:leader="none"/>
          <w:tab w:pos="1922" w:val="left" w:leader="none"/>
        </w:tabs>
        <w:spacing w:line="277" w:lineRule="exact" w:before="102" w:after="0"/>
        <w:ind w:left="1921" w:right="0" w:hanging="682"/>
        <w:jc w:val="left"/>
        <w:rPr>
          <w:sz w:val="25"/>
        </w:rPr>
      </w:pPr>
      <w:r>
        <w:rPr>
          <w:w w:val="110"/>
          <w:sz w:val="18"/>
        </w:rPr>
        <w:t>human right to commit suicide – why not help if it’s a person’s own</w:t>
      </w:r>
      <w:r>
        <w:rPr>
          <w:spacing w:val="43"/>
          <w:w w:val="110"/>
          <w:sz w:val="18"/>
        </w:rPr>
        <w:t> </w:t>
      </w:r>
      <w:r>
        <w:rPr>
          <w:w w:val="110"/>
          <w:sz w:val="18"/>
        </w:rPr>
        <w:t>decision?</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more </w:t>
      </w:r>
      <w:r>
        <w:rPr>
          <w:spacing w:val="2"/>
          <w:w w:val="110"/>
          <w:sz w:val="18"/>
        </w:rPr>
        <w:t>research </w:t>
      </w:r>
      <w:r>
        <w:rPr>
          <w:w w:val="110"/>
          <w:sz w:val="18"/>
        </w:rPr>
        <w:t>needed</w:t>
      </w:r>
      <w:r>
        <w:rPr>
          <w:spacing w:val="1"/>
          <w:w w:val="110"/>
          <w:sz w:val="18"/>
        </w:rPr>
        <w:t> </w:t>
      </w:r>
      <w:r>
        <w:rPr>
          <w:spacing w:val="-7"/>
          <w:w w:val="110"/>
          <w:sz w:val="18"/>
        </w:rPr>
        <w:t>(2)</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people fear losing control – blame </w:t>
      </w:r>
      <w:r>
        <w:rPr>
          <w:spacing w:val="2"/>
          <w:w w:val="110"/>
          <w:sz w:val="18"/>
        </w:rPr>
        <w:t>doctors </w:t>
      </w:r>
      <w:r>
        <w:rPr>
          <w:w w:val="110"/>
          <w:sz w:val="18"/>
        </w:rPr>
        <w:t>when they have done no</w:t>
      </w:r>
      <w:r>
        <w:rPr>
          <w:spacing w:val="37"/>
          <w:w w:val="110"/>
          <w:sz w:val="18"/>
        </w:rPr>
        <w:t> </w:t>
      </w:r>
      <w:r>
        <w:rPr>
          <w:w w:val="110"/>
          <w:sz w:val="18"/>
        </w:rPr>
        <w:t>wrong</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shouldn’t be needed with good palliative </w:t>
      </w:r>
      <w:r>
        <w:rPr>
          <w:spacing w:val="2"/>
          <w:w w:val="110"/>
          <w:sz w:val="18"/>
        </w:rPr>
        <w:t>care</w:t>
      </w:r>
      <w:r>
        <w:rPr>
          <w:spacing w:val="11"/>
          <w:w w:val="110"/>
          <w:sz w:val="18"/>
        </w:rPr>
        <w:t> </w:t>
      </w:r>
      <w:r>
        <w:rPr>
          <w:spacing w:val="-6"/>
          <w:w w:val="110"/>
          <w:sz w:val="18"/>
        </w:rPr>
        <w:t>(3)</w:t>
      </w:r>
    </w:p>
    <w:p>
      <w:pPr>
        <w:pStyle w:val="ListParagraph"/>
        <w:numPr>
          <w:ilvl w:val="1"/>
          <w:numId w:val="2"/>
        </w:numPr>
        <w:tabs>
          <w:tab w:pos="1921" w:val="left" w:leader="none"/>
          <w:tab w:pos="1922" w:val="left" w:leader="none"/>
        </w:tabs>
        <w:spacing w:line="218" w:lineRule="auto" w:before="0" w:after="0"/>
        <w:ind w:left="1921" w:right="1184" w:hanging="681"/>
        <w:jc w:val="left"/>
        <w:rPr>
          <w:sz w:val="25"/>
        </w:rPr>
      </w:pPr>
      <w:r>
        <w:rPr>
          <w:w w:val="110"/>
          <w:sz w:val="18"/>
        </w:rPr>
        <w:t>once the law has devalued life, who is to stop it being devalued </w:t>
      </w:r>
      <w:r>
        <w:rPr>
          <w:spacing w:val="2"/>
          <w:w w:val="110"/>
          <w:sz w:val="18"/>
        </w:rPr>
        <w:t>further </w:t>
      </w:r>
      <w:r>
        <w:rPr>
          <w:w w:val="110"/>
          <w:sz w:val="18"/>
        </w:rPr>
        <w:t>by anyone with an</w:t>
      </w:r>
      <w:r>
        <w:rPr>
          <w:spacing w:val="1"/>
          <w:w w:val="110"/>
          <w:sz w:val="18"/>
        </w:rPr>
        <w:t> </w:t>
      </w:r>
      <w:r>
        <w:rPr>
          <w:w w:val="110"/>
          <w:sz w:val="18"/>
        </w:rPr>
        <w:t>agenda?</w:t>
      </w:r>
    </w:p>
    <w:p>
      <w:pPr>
        <w:pStyle w:val="ListParagraph"/>
        <w:numPr>
          <w:ilvl w:val="1"/>
          <w:numId w:val="2"/>
        </w:numPr>
        <w:tabs>
          <w:tab w:pos="1921" w:val="left" w:leader="none"/>
          <w:tab w:pos="1922" w:val="left" w:leader="none"/>
        </w:tabs>
        <w:spacing w:line="292" w:lineRule="exact" w:before="0" w:after="0"/>
        <w:ind w:left="1921" w:right="0" w:hanging="682"/>
        <w:jc w:val="left"/>
        <w:rPr>
          <w:sz w:val="25"/>
        </w:rPr>
      </w:pPr>
      <w:r>
        <w:rPr>
          <w:w w:val="110"/>
          <w:sz w:val="18"/>
        </w:rPr>
        <w:t>if dealt with openly there should be no wrong signals and hopefully few</w:t>
      </w:r>
      <w:r>
        <w:rPr>
          <w:spacing w:val="49"/>
          <w:w w:val="110"/>
          <w:sz w:val="18"/>
        </w:rPr>
        <w:t> </w:t>
      </w:r>
      <w:r>
        <w:rPr>
          <w:spacing w:val="2"/>
          <w:w w:val="110"/>
          <w:sz w:val="18"/>
        </w:rPr>
        <w:t>fears</w:t>
      </w:r>
    </w:p>
    <w:p>
      <w:pPr>
        <w:pStyle w:val="ListParagraph"/>
        <w:numPr>
          <w:ilvl w:val="2"/>
          <w:numId w:val="2"/>
        </w:numPr>
        <w:tabs>
          <w:tab w:pos="2119" w:val="left" w:leader="none"/>
        </w:tabs>
        <w:spacing w:line="207" w:lineRule="exact" w:before="0" w:after="0"/>
        <w:ind w:left="2118" w:right="0" w:hanging="198"/>
        <w:jc w:val="left"/>
        <w:rPr>
          <w:sz w:val="18"/>
        </w:rPr>
      </w:pPr>
      <w:r>
        <w:rPr>
          <w:w w:val="110"/>
          <w:sz w:val="18"/>
        </w:rPr>
        <w:t>if individual has control of own death, that is not</w:t>
      </w:r>
      <w:r>
        <w:rPr>
          <w:spacing w:val="17"/>
          <w:w w:val="110"/>
          <w:sz w:val="18"/>
        </w:rPr>
        <w:t> </w:t>
      </w:r>
      <w:r>
        <w:rPr>
          <w:w w:val="110"/>
          <w:sz w:val="18"/>
        </w:rPr>
        <w:t>abuse</w:t>
      </w:r>
    </w:p>
    <w:p>
      <w:pPr>
        <w:pStyle w:val="ListParagraph"/>
        <w:numPr>
          <w:ilvl w:val="1"/>
          <w:numId w:val="2"/>
        </w:numPr>
        <w:tabs>
          <w:tab w:pos="1921" w:val="left" w:leader="none"/>
          <w:tab w:pos="1922" w:val="left" w:leader="none"/>
        </w:tabs>
        <w:spacing w:line="218" w:lineRule="auto" w:before="17" w:after="0"/>
        <w:ind w:left="1921" w:right="1301" w:hanging="681"/>
        <w:jc w:val="left"/>
        <w:rPr>
          <w:sz w:val="25"/>
        </w:rPr>
      </w:pPr>
      <w:r>
        <w:rPr>
          <w:w w:val="110"/>
          <w:sz w:val="18"/>
        </w:rPr>
        <w:t>not morally wrong, but to demand assistance as of right or legally may place too much weight on medical</w:t>
      </w:r>
      <w:r>
        <w:rPr>
          <w:spacing w:val="4"/>
          <w:w w:val="110"/>
          <w:sz w:val="18"/>
        </w:rPr>
        <w:t> </w:t>
      </w:r>
      <w:r>
        <w:rPr>
          <w:spacing w:val="3"/>
          <w:w w:val="110"/>
          <w:sz w:val="18"/>
        </w:rPr>
        <w:t>staff</w:t>
      </w:r>
    </w:p>
    <w:p>
      <w:pPr>
        <w:pStyle w:val="ListParagraph"/>
        <w:numPr>
          <w:ilvl w:val="1"/>
          <w:numId w:val="2"/>
        </w:numPr>
        <w:tabs>
          <w:tab w:pos="1921" w:val="left" w:leader="none"/>
          <w:tab w:pos="1922" w:val="left" w:leader="none"/>
        </w:tabs>
        <w:spacing w:line="277" w:lineRule="exact" w:before="6" w:after="0"/>
        <w:ind w:left="1921" w:right="0" w:hanging="682"/>
        <w:jc w:val="left"/>
        <w:rPr>
          <w:sz w:val="25"/>
        </w:rPr>
      </w:pPr>
      <w:r>
        <w:rPr>
          <w:w w:val="110"/>
          <w:sz w:val="18"/>
        </w:rPr>
        <w:t>should trust medical profession/loving and caring families</w:t>
      </w:r>
      <w:r>
        <w:rPr>
          <w:spacing w:val="20"/>
          <w:w w:val="110"/>
          <w:sz w:val="18"/>
        </w:rPr>
        <w:t> </w:t>
      </w:r>
      <w:r>
        <w:rPr>
          <w:spacing w:val="-7"/>
          <w:w w:val="110"/>
          <w:sz w:val="18"/>
        </w:rPr>
        <w:t>(2)</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people need to discuss dying </w:t>
      </w:r>
      <w:r>
        <w:rPr>
          <w:spacing w:val="2"/>
          <w:w w:val="110"/>
          <w:sz w:val="18"/>
        </w:rPr>
        <w:t>before </w:t>
      </w:r>
      <w:r>
        <w:rPr>
          <w:w w:val="110"/>
          <w:sz w:val="18"/>
        </w:rPr>
        <w:t>they </w:t>
      </w:r>
      <w:r>
        <w:rPr>
          <w:spacing w:val="2"/>
          <w:w w:val="110"/>
          <w:sz w:val="18"/>
        </w:rPr>
        <w:t>reach </w:t>
      </w:r>
      <w:r>
        <w:rPr>
          <w:w w:val="110"/>
          <w:sz w:val="18"/>
        </w:rPr>
        <w:t>stage of terminal</w:t>
      </w:r>
      <w:r>
        <w:rPr>
          <w:spacing w:val="33"/>
          <w:w w:val="110"/>
          <w:sz w:val="18"/>
        </w:rPr>
        <w:t> </w:t>
      </w:r>
      <w:r>
        <w:rPr>
          <w:w w:val="110"/>
          <w:sz w:val="18"/>
        </w:rPr>
        <w:t>illness</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should benefit </w:t>
      </w:r>
      <w:r>
        <w:rPr>
          <w:spacing w:val="2"/>
          <w:w w:val="110"/>
          <w:sz w:val="18"/>
        </w:rPr>
        <w:t>society</w:t>
      </w:r>
      <w:r>
        <w:rPr>
          <w:spacing w:val="3"/>
          <w:w w:val="110"/>
          <w:sz w:val="18"/>
        </w:rPr>
        <w:t> </w:t>
      </w:r>
      <w:r>
        <w:rPr>
          <w:w w:val="110"/>
          <w:sz w:val="18"/>
        </w:rPr>
        <w:t>overall</w:t>
      </w:r>
    </w:p>
    <w:p>
      <w:pPr>
        <w:pStyle w:val="ListParagraph"/>
        <w:numPr>
          <w:ilvl w:val="1"/>
          <w:numId w:val="2"/>
        </w:numPr>
        <w:tabs>
          <w:tab w:pos="1921" w:val="left" w:leader="none"/>
          <w:tab w:pos="1922" w:val="left" w:leader="none"/>
        </w:tabs>
        <w:spacing w:line="218" w:lineRule="auto" w:before="0" w:after="0"/>
        <w:ind w:left="1921" w:right="1753" w:hanging="681"/>
        <w:jc w:val="left"/>
        <w:rPr>
          <w:sz w:val="25"/>
        </w:rPr>
      </w:pPr>
      <w:r>
        <w:rPr>
          <w:w w:val="110"/>
          <w:sz w:val="18"/>
        </w:rPr>
        <w:t>if people of faith emphasised that death is not the end, perhaps some of the anguish around assisted dying could be</w:t>
      </w:r>
      <w:r>
        <w:rPr>
          <w:spacing w:val="12"/>
          <w:w w:val="110"/>
          <w:sz w:val="18"/>
        </w:rPr>
        <w:t> </w:t>
      </w:r>
      <w:r>
        <w:rPr>
          <w:w w:val="110"/>
          <w:sz w:val="18"/>
        </w:rPr>
        <w:t>allayed</w:t>
      </w:r>
    </w:p>
    <w:p>
      <w:pPr>
        <w:pStyle w:val="ListParagraph"/>
        <w:numPr>
          <w:ilvl w:val="1"/>
          <w:numId w:val="2"/>
        </w:numPr>
        <w:tabs>
          <w:tab w:pos="1921" w:val="left" w:leader="none"/>
          <w:tab w:pos="1922" w:val="left" w:leader="none"/>
        </w:tabs>
        <w:spacing w:line="218" w:lineRule="auto" w:before="16" w:after="0"/>
        <w:ind w:left="1921" w:right="1135" w:hanging="681"/>
        <w:jc w:val="left"/>
        <w:rPr>
          <w:sz w:val="25"/>
        </w:rPr>
      </w:pPr>
      <w:r>
        <w:rPr>
          <w:w w:val="110"/>
          <w:sz w:val="18"/>
        </w:rPr>
        <w:t>with modern science God has given us potential to ‘play God’ with life all the time, eg. genetic</w:t>
      </w:r>
      <w:r>
        <w:rPr>
          <w:spacing w:val="2"/>
          <w:w w:val="110"/>
          <w:sz w:val="18"/>
        </w:rPr>
        <w:t> </w:t>
      </w:r>
      <w:r>
        <w:rPr>
          <w:w w:val="110"/>
          <w:sz w:val="18"/>
        </w:rPr>
        <w:t>engineering</w:t>
      </w:r>
    </w:p>
    <w:p>
      <w:pPr>
        <w:pStyle w:val="ListParagraph"/>
        <w:numPr>
          <w:ilvl w:val="1"/>
          <w:numId w:val="2"/>
        </w:numPr>
        <w:tabs>
          <w:tab w:pos="1921" w:val="left" w:leader="none"/>
          <w:tab w:pos="1922" w:val="left" w:leader="none"/>
        </w:tabs>
        <w:spacing w:line="292" w:lineRule="exact" w:before="6" w:after="0"/>
        <w:ind w:left="1921" w:right="0" w:hanging="682"/>
        <w:jc w:val="left"/>
        <w:rPr>
          <w:sz w:val="25"/>
        </w:rPr>
      </w:pPr>
      <w:r>
        <w:rPr>
          <w:w w:val="110"/>
          <w:sz w:val="18"/>
        </w:rPr>
        <w:t>legalising would help a loving partner to </w:t>
      </w:r>
      <w:r>
        <w:rPr>
          <w:spacing w:val="2"/>
          <w:w w:val="110"/>
          <w:sz w:val="18"/>
        </w:rPr>
        <w:t>carry</w:t>
      </w:r>
      <w:r>
        <w:rPr>
          <w:spacing w:val="-49"/>
          <w:w w:val="110"/>
          <w:sz w:val="18"/>
        </w:rPr>
        <w:t> </w:t>
      </w:r>
      <w:r>
        <w:rPr>
          <w:w w:val="110"/>
          <w:sz w:val="18"/>
        </w:rPr>
        <w:t>out the final loving act to a loved one</w:t>
      </w:r>
    </w:p>
    <w:p>
      <w:pPr>
        <w:pStyle w:val="ListParagraph"/>
        <w:numPr>
          <w:ilvl w:val="2"/>
          <w:numId w:val="2"/>
        </w:numPr>
        <w:tabs>
          <w:tab w:pos="2119" w:val="left" w:leader="none"/>
        </w:tabs>
        <w:spacing w:line="207" w:lineRule="exact" w:before="0" w:after="0"/>
        <w:ind w:left="2118" w:right="0" w:hanging="198"/>
        <w:jc w:val="left"/>
        <w:rPr>
          <w:sz w:val="18"/>
        </w:rPr>
      </w:pPr>
      <w:r>
        <w:rPr>
          <w:w w:val="110"/>
          <w:sz w:val="18"/>
        </w:rPr>
        <w:t>I would hate to see my </w:t>
      </w:r>
      <w:r>
        <w:rPr>
          <w:spacing w:val="2"/>
          <w:w w:val="110"/>
          <w:sz w:val="18"/>
        </w:rPr>
        <w:t>partner suffer </w:t>
      </w:r>
      <w:r>
        <w:rPr>
          <w:w w:val="110"/>
          <w:sz w:val="18"/>
        </w:rPr>
        <w:t>if s/he no longer wanted to be</w:t>
      </w:r>
      <w:r>
        <w:rPr>
          <w:spacing w:val="37"/>
          <w:w w:val="110"/>
          <w:sz w:val="18"/>
        </w:rPr>
        <w:t> </w:t>
      </w:r>
      <w:r>
        <w:rPr>
          <w:w w:val="110"/>
          <w:sz w:val="18"/>
        </w:rPr>
        <w:t>alive</w:t>
      </w:r>
    </w:p>
    <w:p>
      <w:pPr>
        <w:pStyle w:val="ListParagraph"/>
        <w:numPr>
          <w:ilvl w:val="1"/>
          <w:numId w:val="2"/>
        </w:numPr>
        <w:tabs>
          <w:tab w:pos="1921" w:val="left" w:leader="none"/>
          <w:tab w:pos="1922" w:val="left" w:leader="none"/>
        </w:tabs>
        <w:spacing w:line="277" w:lineRule="exact" w:before="1" w:after="0"/>
        <w:ind w:left="1921" w:right="0" w:hanging="682"/>
        <w:jc w:val="left"/>
        <w:rPr>
          <w:sz w:val="25"/>
        </w:rPr>
      </w:pPr>
      <w:r>
        <w:rPr>
          <w:w w:val="110"/>
          <w:sz w:val="18"/>
        </w:rPr>
        <w:t>the objections to it are far outweighed by the misery caused by refusing to allow</w:t>
      </w:r>
      <w:r>
        <w:rPr>
          <w:spacing w:val="-37"/>
          <w:w w:val="110"/>
          <w:sz w:val="18"/>
        </w:rPr>
        <w:t> </w:t>
      </w:r>
      <w:r>
        <w:rPr>
          <w:w w:val="110"/>
          <w:sz w:val="18"/>
        </w:rPr>
        <w:t>it</w:t>
      </w:r>
    </w:p>
    <w:p>
      <w:pPr>
        <w:pStyle w:val="ListParagraph"/>
        <w:numPr>
          <w:ilvl w:val="1"/>
          <w:numId w:val="2"/>
        </w:numPr>
        <w:tabs>
          <w:tab w:pos="1921" w:val="left" w:leader="none"/>
          <w:tab w:pos="1922" w:val="left" w:leader="none"/>
        </w:tabs>
        <w:spacing w:line="218" w:lineRule="auto" w:before="0" w:after="0"/>
        <w:ind w:left="1921" w:right="1331" w:hanging="681"/>
        <w:jc w:val="left"/>
        <w:rPr>
          <w:sz w:val="25"/>
        </w:rPr>
      </w:pPr>
      <w:r>
        <w:rPr>
          <w:w w:val="110"/>
          <w:sz w:val="18"/>
        </w:rPr>
        <w:t>we realised, even more clearly, as our Church discussed the issue that our prayers</w:t>
      </w:r>
      <w:r>
        <w:rPr>
          <w:spacing w:val="12"/>
          <w:w w:val="110"/>
          <w:sz w:val="18"/>
        </w:rPr>
        <w:t> </w:t>
      </w:r>
      <w:r>
        <w:rPr>
          <w:w w:val="110"/>
          <w:sz w:val="18"/>
        </w:rPr>
        <w:t>for</w:t>
      </w:r>
      <w:r>
        <w:rPr>
          <w:spacing w:val="13"/>
          <w:w w:val="110"/>
          <w:sz w:val="18"/>
        </w:rPr>
        <w:t> </w:t>
      </w:r>
      <w:r>
        <w:rPr>
          <w:w w:val="110"/>
          <w:sz w:val="18"/>
        </w:rPr>
        <w:t>the</w:t>
      </w:r>
      <w:r>
        <w:rPr>
          <w:spacing w:val="13"/>
          <w:w w:val="110"/>
          <w:sz w:val="18"/>
        </w:rPr>
        <w:t> </w:t>
      </w:r>
      <w:r>
        <w:rPr>
          <w:w w:val="110"/>
          <w:sz w:val="18"/>
        </w:rPr>
        <w:t>medical</w:t>
      </w:r>
      <w:r>
        <w:rPr>
          <w:spacing w:val="13"/>
          <w:w w:val="110"/>
          <w:sz w:val="18"/>
        </w:rPr>
        <w:t> </w:t>
      </w:r>
      <w:r>
        <w:rPr>
          <w:w w:val="110"/>
          <w:sz w:val="18"/>
        </w:rPr>
        <w:t>profession</w:t>
      </w:r>
      <w:r>
        <w:rPr>
          <w:spacing w:val="13"/>
          <w:w w:val="110"/>
          <w:sz w:val="18"/>
        </w:rPr>
        <w:t> </w:t>
      </w:r>
      <w:r>
        <w:rPr>
          <w:w w:val="110"/>
          <w:sz w:val="18"/>
        </w:rPr>
        <w:t>are</w:t>
      </w:r>
      <w:r>
        <w:rPr>
          <w:spacing w:val="13"/>
          <w:w w:val="110"/>
          <w:sz w:val="18"/>
        </w:rPr>
        <w:t> </w:t>
      </w:r>
      <w:r>
        <w:rPr>
          <w:w w:val="110"/>
          <w:sz w:val="18"/>
        </w:rPr>
        <w:t>vital,</w:t>
      </w:r>
      <w:r>
        <w:rPr>
          <w:spacing w:val="13"/>
          <w:w w:val="110"/>
          <w:sz w:val="18"/>
        </w:rPr>
        <w:t> </w:t>
      </w:r>
      <w:r>
        <w:rPr>
          <w:w w:val="110"/>
          <w:sz w:val="18"/>
        </w:rPr>
        <w:t>as</w:t>
      </w:r>
      <w:r>
        <w:rPr>
          <w:spacing w:val="13"/>
          <w:w w:val="110"/>
          <w:sz w:val="18"/>
        </w:rPr>
        <w:t> </w:t>
      </w:r>
      <w:r>
        <w:rPr>
          <w:w w:val="110"/>
          <w:sz w:val="18"/>
        </w:rPr>
        <w:t>they</w:t>
      </w:r>
      <w:r>
        <w:rPr>
          <w:spacing w:val="13"/>
          <w:w w:val="110"/>
          <w:sz w:val="18"/>
        </w:rPr>
        <w:t> </w:t>
      </w:r>
      <w:r>
        <w:rPr>
          <w:w w:val="110"/>
          <w:sz w:val="18"/>
        </w:rPr>
        <w:t>struggle</w:t>
      </w:r>
      <w:r>
        <w:rPr>
          <w:spacing w:val="13"/>
          <w:w w:val="110"/>
          <w:sz w:val="18"/>
        </w:rPr>
        <w:t> </w:t>
      </w:r>
      <w:r>
        <w:rPr>
          <w:w w:val="110"/>
          <w:sz w:val="18"/>
        </w:rPr>
        <w:t>with</w:t>
      </w:r>
      <w:r>
        <w:rPr>
          <w:spacing w:val="13"/>
          <w:w w:val="110"/>
          <w:sz w:val="18"/>
        </w:rPr>
        <w:t> </w:t>
      </w:r>
      <w:r>
        <w:rPr>
          <w:w w:val="110"/>
          <w:sz w:val="18"/>
        </w:rPr>
        <w:t>ethical</w:t>
      </w:r>
      <w:r>
        <w:rPr>
          <w:spacing w:val="13"/>
          <w:w w:val="110"/>
          <w:sz w:val="18"/>
        </w:rPr>
        <w:t> </w:t>
      </w:r>
      <w:r>
        <w:rPr>
          <w:w w:val="110"/>
          <w:sz w:val="18"/>
        </w:rPr>
        <w:t>issues.</w:t>
      </w:r>
    </w:p>
    <w:p>
      <w:pPr>
        <w:pStyle w:val="BodyText"/>
        <w:rPr>
          <w:sz w:val="20"/>
        </w:rPr>
      </w:pPr>
    </w:p>
    <w:p>
      <w:pPr>
        <w:pStyle w:val="BodyText"/>
        <w:spacing w:before="1"/>
        <w:rPr>
          <w:sz w:val="24"/>
        </w:rPr>
      </w:pPr>
      <w:r>
        <w:rPr/>
        <w:pict>
          <v:group style="position:absolute;margin-left:57.068001pt;margin-top:16.612341pt;width:491.2pt;height:56.7pt;mso-position-horizontal-relative:page;mso-position-vertical-relative:paragraph;z-index:-251414528;mso-wrap-distance-left:0;mso-wrap-distance-right:0" coordorigin="1141,332" coordsize="9824,1134">
            <v:rect style="position:absolute;left:2030;top:538;width:8934;height:893" filled="true" fillcolor="#000000" stroked="false">
              <v:fill opacity="49152f" type="solid"/>
            </v:rect>
            <v:shape style="position:absolute;left:1698;top:731;width:9071;height:617" coordorigin="1698,731" coordsize="9071,617" path="m10529,731l1698,731,1698,1348,10529,1348,10668,1343,10739,1310,10765,1218,10769,1040,10765,861,10739,770,10668,736,10529,731xe" filled="true" fillcolor="#ffffff" stroked="false">
              <v:path arrowok="t"/>
              <v:fill type="solid"/>
            </v:shape>
            <v:shape style="position:absolute;left:1698;top:731;width:9071;height:617" coordorigin="1698,731" coordsize="9071,617" path="m10769,1040l10765,861,10739,770,10668,736,10529,731,1698,731,1698,1348,10529,1348,10668,1343,10739,1310,10765,1218,10769,1040xe" filled="false" stroked="true" strokeweight=".25pt" strokecolor="#000000">
              <v:path arrowok="t"/>
              <v:stroke dashstyle="solid"/>
            </v:shape>
            <v:rect style="position:absolute;left:1151;top:384;width:880;height:1072" filled="true" fillcolor="#ffffff" stroked="false">
              <v:fill type="solid"/>
            </v:rect>
            <v:rect style="position:absolute;left:1151;top:384;width:880;height:1072" filled="false" stroked="true" strokeweight="1pt" strokecolor="#ffffff">
              <v:stroke dashstyle="solid"/>
            </v:rect>
            <v:shape style="position:absolute;left:1141;top:332;width:9824;height:1134" type="#_x0000_t202" filled="false" stroked="false">
              <v:textbox inset="0,0,0,0">
                <w:txbxContent>
                  <w:p>
                    <w:pPr>
                      <w:spacing w:line="192" w:lineRule="auto" w:before="126"/>
                      <w:ind w:left="1279" w:right="830" w:hanging="721"/>
                      <w:jc w:val="left"/>
                      <w:rPr>
                        <w:i/>
                        <w:sz w:val="18"/>
                      </w:rPr>
                    </w:pPr>
                    <w:r>
                      <w:rPr>
                        <w:b/>
                        <w:w w:val="110"/>
                        <w:sz w:val="63"/>
                      </w:rPr>
                      <w:t>8 </w:t>
                    </w:r>
                    <w:r>
                      <w:rPr>
                        <w:i/>
                        <w:w w:val="110"/>
                        <w:sz w:val="18"/>
                      </w:rPr>
                      <w:t>Suffering is a part of life but when it becomes unbearable do we have a duty </w:t>
                    </w:r>
                    <w:r>
                      <w:rPr>
                        <w:i/>
                        <w:w w:val="110"/>
                        <w:sz w:val="18"/>
                      </w:rPr>
                      <w:t>to release the sufferer rather than prolong it?</w:t>
                    </w:r>
                  </w:p>
                </w:txbxContent>
              </v:textbox>
              <w10:wrap type="none"/>
            </v:shape>
            <w10:wrap type="topAndBottom"/>
          </v:group>
        </w:pict>
      </w:r>
    </w:p>
    <w:p>
      <w:pPr>
        <w:pStyle w:val="ListParagraph"/>
        <w:numPr>
          <w:ilvl w:val="1"/>
          <w:numId w:val="2"/>
        </w:numPr>
        <w:tabs>
          <w:tab w:pos="1921" w:val="left" w:leader="none"/>
          <w:tab w:pos="1922" w:val="left" w:leader="none"/>
        </w:tabs>
        <w:spacing w:line="277" w:lineRule="exact" w:before="9" w:after="0"/>
        <w:ind w:left="1921" w:right="0" w:hanging="682"/>
        <w:jc w:val="left"/>
        <w:rPr>
          <w:sz w:val="25"/>
        </w:rPr>
      </w:pPr>
      <w:r>
        <w:rPr>
          <w:w w:val="110"/>
          <w:sz w:val="18"/>
        </w:rPr>
        <w:t>majority say</w:t>
      </w:r>
      <w:r>
        <w:rPr>
          <w:spacing w:val="1"/>
          <w:w w:val="110"/>
          <w:sz w:val="18"/>
        </w:rPr>
        <w:t> </w:t>
      </w:r>
      <w:r>
        <w:rPr>
          <w:w w:val="110"/>
          <w:sz w:val="18"/>
        </w:rPr>
        <w:t>yes</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no </w:t>
      </w:r>
      <w:r>
        <w:rPr>
          <w:spacing w:val="-10"/>
          <w:w w:val="110"/>
          <w:sz w:val="18"/>
        </w:rPr>
        <w:t>(19)</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‘duty’ is the wrong word </w:t>
      </w:r>
      <w:r>
        <w:rPr>
          <w:spacing w:val="-8"/>
          <w:w w:val="110"/>
          <w:sz w:val="18"/>
        </w:rPr>
        <w:t>(18) </w:t>
      </w:r>
      <w:r>
        <w:rPr>
          <w:w w:val="110"/>
          <w:sz w:val="18"/>
        </w:rPr>
        <w:t>– ‘choice’ or</w:t>
      </w:r>
      <w:r>
        <w:rPr>
          <w:spacing w:val="25"/>
          <w:w w:val="110"/>
          <w:sz w:val="18"/>
        </w:rPr>
        <w:t> </w:t>
      </w:r>
      <w:r>
        <w:rPr>
          <w:w w:val="110"/>
          <w:sz w:val="18"/>
        </w:rPr>
        <w:t>‘permission’</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doctors</w:t>
      </w:r>
      <w:r>
        <w:rPr>
          <w:spacing w:val="-9"/>
          <w:w w:val="110"/>
          <w:sz w:val="18"/>
        </w:rPr>
        <w:t> </w:t>
      </w:r>
      <w:r>
        <w:rPr>
          <w:spacing w:val="-3"/>
          <w:w w:val="110"/>
          <w:sz w:val="18"/>
        </w:rPr>
        <w:t>have</w:t>
      </w:r>
      <w:r>
        <w:rPr>
          <w:spacing w:val="-8"/>
          <w:w w:val="110"/>
          <w:sz w:val="18"/>
        </w:rPr>
        <w:t> </w:t>
      </w:r>
      <w:r>
        <w:rPr>
          <w:w w:val="110"/>
          <w:sz w:val="18"/>
        </w:rPr>
        <w:t>duty</w:t>
      </w:r>
      <w:r>
        <w:rPr>
          <w:spacing w:val="-8"/>
          <w:w w:val="110"/>
          <w:sz w:val="18"/>
        </w:rPr>
        <w:t> </w:t>
      </w:r>
      <w:r>
        <w:rPr>
          <w:w w:val="110"/>
          <w:sz w:val="18"/>
        </w:rPr>
        <w:t>to</w:t>
      </w:r>
      <w:r>
        <w:rPr>
          <w:spacing w:val="-8"/>
          <w:w w:val="110"/>
          <w:sz w:val="18"/>
        </w:rPr>
        <w:t> </w:t>
      </w:r>
      <w:r>
        <w:rPr>
          <w:w w:val="110"/>
          <w:sz w:val="18"/>
        </w:rPr>
        <w:t>release</w:t>
      </w:r>
      <w:r>
        <w:rPr>
          <w:spacing w:val="-8"/>
          <w:w w:val="110"/>
          <w:sz w:val="18"/>
        </w:rPr>
        <w:t> </w:t>
      </w:r>
      <w:r>
        <w:rPr>
          <w:w w:val="110"/>
          <w:sz w:val="18"/>
        </w:rPr>
        <w:t>patients</w:t>
      </w:r>
      <w:r>
        <w:rPr>
          <w:spacing w:val="-8"/>
          <w:w w:val="110"/>
          <w:sz w:val="18"/>
        </w:rPr>
        <w:t> </w:t>
      </w:r>
      <w:r>
        <w:rPr>
          <w:w w:val="110"/>
          <w:sz w:val="18"/>
        </w:rPr>
        <w:t>from</w:t>
      </w:r>
      <w:r>
        <w:rPr>
          <w:spacing w:val="-8"/>
          <w:w w:val="110"/>
          <w:sz w:val="18"/>
        </w:rPr>
        <w:t> </w:t>
      </w:r>
      <w:r>
        <w:rPr>
          <w:w w:val="110"/>
          <w:sz w:val="18"/>
        </w:rPr>
        <w:t>suffering</w:t>
      </w:r>
      <w:r>
        <w:rPr>
          <w:spacing w:val="-9"/>
          <w:w w:val="110"/>
          <w:sz w:val="18"/>
        </w:rPr>
        <w:t> </w:t>
      </w:r>
      <w:r>
        <w:rPr>
          <w:w w:val="110"/>
          <w:sz w:val="18"/>
        </w:rPr>
        <w:t>by</w:t>
      </w:r>
      <w:r>
        <w:rPr>
          <w:spacing w:val="-8"/>
          <w:w w:val="110"/>
          <w:sz w:val="18"/>
        </w:rPr>
        <w:t> </w:t>
      </w:r>
      <w:r>
        <w:rPr>
          <w:w w:val="110"/>
          <w:sz w:val="18"/>
        </w:rPr>
        <w:t>controlling</w:t>
      </w:r>
      <w:r>
        <w:rPr>
          <w:spacing w:val="-8"/>
          <w:w w:val="110"/>
          <w:sz w:val="18"/>
        </w:rPr>
        <w:t> </w:t>
      </w:r>
      <w:r>
        <w:rPr>
          <w:w w:val="110"/>
          <w:sz w:val="18"/>
        </w:rPr>
        <w:t>pain</w:t>
      </w:r>
      <w:r>
        <w:rPr>
          <w:spacing w:val="-8"/>
          <w:w w:val="110"/>
          <w:sz w:val="18"/>
        </w:rPr>
        <w:t> </w:t>
      </w:r>
      <w:r>
        <w:rPr>
          <w:w w:val="110"/>
          <w:sz w:val="18"/>
        </w:rPr>
        <w:t>properly</w:t>
      </w:r>
      <w:r>
        <w:rPr>
          <w:spacing w:val="-8"/>
          <w:w w:val="110"/>
          <w:sz w:val="18"/>
        </w:rPr>
        <w:t> </w:t>
      </w:r>
      <w:r>
        <w:rPr>
          <w:spacing w:val="-10"/>
          <w:w w:val="110"/>
          <w:sz w:val="18"/>
        </w:rPr>
        <w:t>(12)</w:t>
      </w:r>
    </w:p>
    <w:p>
      <w:pPr>
        <w:pStyle w:val="ListParagraph"/>
        <w:numPr>
          <w:ilvl w:val="1"/>
          <w:numId w:val="2"/>
        </w:numPr>
        <w:tabs>
          <w:tab w:pos="1921" w:val="left" w:leader="none"/>
          <w:tab w:pos="1922" w:val="left" w:leader="none"/>
        </w:tabs>
        <w:spacing w:line="250" w:lineRule="exact" w:before="0" w:after="0"/>
        <w:ind w:left="1921" w:right="0" w:hanging="682"/>
        <w:jc w:val="left"/>
        <w:rPr>
          <w:sz w:val="25"/>
        </w:rPr>
      </w:pPr>
      <w:r>
        <w:rPr>
          <w:w w:val="110"/>
          <w:sz w:val="18"/>
        </w:rPr>
        <w:t>not by killing them; why call it ‘release’ when you mean</w:t>
      </w:r>
      <w:r>
        <w:rPr>
          <w:spacing w:val="17"/>
          <w:w w:val="110"/>
          <w:sz w:val="18"/>
        </w:rPr>
        <w:t> </w:t>
      </w:r>
      <w:r>
        <w:rPr>
          <w:w w:val="110"/>
          <w:sz w:val="18"/>
        </w:rPr>
        <w:t>kill?</w:t>
      </w:r>
    </w:p>
    <w:p>
      <w:pPr>
        <w:pStyle w:val="ListParagraph"/>
        <w:numPr>
          <w:ilvl w:val="1"/>
          <w:numId w:val="2"/>
        </w:numPr>
        <w:tabs>
          <w:tab w:pos="1921" w:val="left" w:leader="none"/>
          <w:tab w:pos="1922" w:val="left" w:leader="none"/>
        </w:tabs>
        <w:spacing w:line="218" w:lineRule="auto" w:before="0" w:after="0"/>
        <w:ind w:left="1921" w:right="1643" w:hanging="681"/>
        <w:jc w:val="left"/>
        <w:rPr>
          <w:sz w:val="25"/>
        </w:rPr>
      </w:pPr>
      <w:r>
        <w:rPr>
          <w:w w:val="110"/>
          <w:sz w:val="18"/>
        </w:rPr>
        <w:t>consider why </w:t>
      </w:r>
      <w:r>
        <w:rPr>
          <w:spacing w:val="2"/>
          <w:w w:val="110"/>
          <w:sz w:val="18"/>
        </w:rPr>
        <w:t>suffering </w:t>
      </w:r>
      <w:r>
        <w:rPr>
          <w:spacing w:val="-4"/>
          <w:w w:val="110"/>
          <w:sz w:val="18"/>
        </w:rPr>
        <w:t>(pain) </w:t>
      </w:r>
      <w:r>
        <w:rPr>
          <w:w w:val="110"/>
          <w:sz w:val="18"/>
        </w:rPr>
        <w:t>is unbearable – poor pain management? lack of skills/resources on </w:t>
      </w:r>
      <w:r>
        <w:rPr>
          <w:spacing w:val="2"/>
          <w:w w:val="110"/>
          <w:sz w:val="18"/>
        </w:rPr>
        <w:t>part </w:t>
      </w:r>
      <w:r>
        <w:rPr>
          <w:w w:val="110"/>
          <w:sz w:val="18"/>
        </w:rPr>
        <w:t>of carers/nurses? lack of</w:t>
      </w:r>
      <w:r>
        <w:rPr>
          <w:spacing w:val="28"/>
          <w:w w:val="110"/>
          <w:sz w:val="18"/>
        </w:rPr>
        <w:t> </w:t>
      </w:r>
      <w:r>
        <w:rPr>
          <w:w w:val="110"/>
          <w:sz w:val="18"/>
        </w:rPr>
        <w:t>commitment?</w:t>
      </w:r>
    </w:p>
    <w:p>
      <w:pPr>
        <w:pStyle w:val="ListParagraph"/>
        <w:numPr>
          <w:ilvl w:val="1"/>
          <w:numId w:val="2"/>
        </w:numPr>
        <w:tabs>
          <w:tab w:pos="1921" w:val="left" w:leader="none"/>
          <w:tab w:pos="1922" w:val="left" w:leader="none"/>
        </w:tabs>
        <w:spacing w:line="218" w:lineRule="auto" w:before="17" w:after="0"/>
        <w:ind w:left="1921" w:right="1898" w:hanging="681"/>
        <w:jc w:val="left"/>
        <w:rPr>
          <w:sz w:val="25"/>
        </w:rPr>
      </w:pPr>
      <w:r>
        <w:rPr>
          <w:w w:val="110"/>
          <w:sz w:val="18"/>
        </w:rPr>
        <w:t>is refusing to kill someone to be equated with prolonging their suffering? Compare</w:t>
      </w:r>
      <w:r>
        <w:rPr>
          <w:spacing w:val="8"/>
          <w:w w:val="110"/>
          <w:sz w:val="18"/>
        </w:rPr>
        <w:t> </w:t>
      </w:r>
      <w:r>
        <w:rPr>
          <w:w w:val="110"/>
          <w:sz w:val="18"/>
        </w:rPr>
        <w:t>how</w:t>
      </w:r>
      <w:r>
        <w:rPr>
          <w:spacing w:val="6"/>
          <w:w w:val="110"/>
          <w:sz w:val="18"/>
        </w:rPr>
        <w:t> </w:t>
      </w:r>
      <w:r>
        <w:rPr>
          <w:w w:val="110"/>
          <w:sz w:val="18"/>
        </w:rPr>
        <w:t>we</w:t>
      </w:r>
      <w:r>
        <w:rPr>
          <w:spacing w:val="9"/>
          <w:w w:val="110"/>
          <w:sz w:val="18"/>
        </w:rPr>
        <w:t> </w:t>
      </w:r>
      <w:r>
        <w:rPr>
          <w:w w:val="110"/>
          <w:sz w:val="18"/>
        </w:rPr>
        <w:t>treat</w:t>
      </w:r>
      <w:r>
        <w:rPr>
          <w:spacing w:val="8"/>
          <w:w w:val="110"/>
          <w:sz w:val="18"/>
        </w:rPr>
        <w:t> </w:t>
      </w:r>
      <w:r>
        <w:rPr>
          <w:w w:val="110"/>
          <w:sz w:val="18"/>
        </w:rPr>
        <w:t>animals</w:t>
      </w:r>
      <w:r>
        <w:rPr>
          <w:spacing w:val="8"/>
          <w:w w:val="110"/>
          <w:sz w:val="18"/>
        </w:rPr>
        <w:t> </w:t>
      </w:r>
      <w:r>
        <w:rPr>
          <w:w w:val="110"/>
          <w:sz w:val="18"/>
        </w:rPr>
        <w:t>–</w:t>
      </w:r>
      <w:r>
        <w:rPr>
          <w:spacing w:val="8"/>
          <w:w w:val="110"/>
          <w:sz w:val="18"/>
        </w:rPr>
        <w:t> </w:t>
      </w:r>
      <w:r>
        <w:rPr>
          <w:w w:val="110"/>
          <w:sz w:val="18"/>
        </w:rPr>
        <w:t>but</w:t>
      </w:r>
      <w:r>
        <w:rPr>
          <w:spacing w:val="8"/>
          <w:w w:val="110"/>
          <w:sz w:val="18"/>
        </w:rPr>
        <w:t> </w:t>
      </w:r>
      <w:r>
        <w:rPr>
          <w:w w:val="110"/>
          <w:sz w:val="18"/>
        </w:rPr>
        <w:t>humans</w:t>
      </w:r>
      <w:r>
        <w:rPr>
          <w:spacing w:val="8"/>
          <w:w w:val="110"/>
          <w:sz w:val="18"/>
        </w:rPr>
        <w:t> </w:t>
      </w:r>
      <w:r>
        <w:rPr>
          <w:w w:val="110"/>
          <w:sz w:val="18"/>
        </w:rPr>
        <w:t>are</w:t>
      </w:r>
      <w:r>
        <w:rPr>
          <w:spacing w:val="8"/>
          <w:w w:val="110"/>
          <w:sz w:val="18"/>
        </w:rPr>
        <w:t> </w:t>
      </w:r>
      <w:r>
        <w:rPr>
          <w:w w:val="110"/>
          <w:sz w:val="18"/>
        </w:rPr>
        <w:t>not</w:t>
      </w:r>
      <w:r>
        <w:rPr>
          <w:spacing w:val="8"/>
          <w:w w:val="110"/>
          <w:sz w:val="18"/>
        </w:rPr>
        <w:t> </w:t>
      </w:r>
      <w:r>
        <w:rPr>
          <w:w w:val="110"/>
          <w:sz w:val="18"/>
        </w:rPr>
        <w:t>animals</w:t>
      </w:r>
      <w:r>
        <w:rPr>
          <w:spacing w:val="8"/>
          <w:w w:val="110"/>
          <w:sz w:val="18"/>
        </w:rPr>
        <w:t> </w:t>
      </w:r>
      <w:r>
        <w:rPr>
          <w:w w:val="110"/>
          <w:sz w:val="18"/>
        </w:rPr>
        <w:t>in</w:t>
      </w:r>
      <w:r>
        <w:rPr>
          <w:spacing w:val="8"/>
          <w:w w:val="110"/>
          <w:sz w:val="18"/>
        </w:rPr>
        <w:t> </w:t>
      </w:r>
      <w:r>
        <w:rPr>
          <w:w w:val="110"/>
          <w:sz w:val="18"/>
        </w:rPr>
        <w:t>this</w:t>
      </w:r>
      <w:r>
        <w:rPr>
          <w:spacing w:val="8"/>
          <w:w w:val="110"/>
          <w:sz w:val="18"/>
        </w:rPr>
        <w:t> </w:t>
      </w:r>
      <w:r>
        <w:rPr>
          <w:w w:val="110"/>
          <w:sz w:val="18"/>
        </w:rPr>
        <w:t>sense</w:t>
      </w:r>
    </w:p>
    <w:p>
      <w:pPr>
        <w:pStyle w:val="ListParagraph"/>
        <w:numPr>
          <w:ilvl w:val="1"/>
          <w:numId w:val="2"/>
        </w:numPr>
        <w:tabs>
          <w:tab w:pos="1921" w:val="left" w:leader="none"/>
          <w:tab w:pos="1922" w:val="left" w:leader="none"/>
        </w:tabs>
        <w:spacing w:line="277" w:lineRule="exact" w:before="5" w:after="0"/>
        <w:ind w:left="1921" w:right="0" w:hanging="682"/>
        <w:jc w:val="left"/>
        <w:rPr>
          <w:sz w:val="25"/>
        </w:rPr>
      </w:pPr>
      <w:r>
        <w:rPr>
          <w:w w:val="110"/>
          <w:sz w:val="18"/>
        </w:rPr>
        <w:t>patient must have final say if possible</w:t>
      </w:r>
      <w:r>
        <w:rPr>
          <w:spacing w:val="9"/>
          <w:w w:val="110"/>
          <w:sz w:val="18"/>
        </w:rPr>
        <w:t> </w:t>
      </w:r>
      <w:r>
        <w:rPr>
          <w:spacing w:val="-8"/>
          <w:w w:val="110"/>
          <w:sz w:val="18"/>
        </w:rPr>
        <w:t>(18)</w:t>
      </w:r>
    </w:p>
    <w:p>
      <w:pPr>
        <w:pStyle w:val="ListParagraph"/>
        <w:numPr>
          <w:ilvl w:val="1"/>
          <w:numId w:val="2"/>
        </w:numPr>
        <w:tabs>
          <w:tab w:pos="1921" w:val="left" w:leader="none"/>
          <w:tab w:pos="1922" w:val="left" w:leader="none"/>
        </w:tabs>
        <w:spacing w:line="218" w:lineRule="auto" w:before="0" w:after="0"/>
        <w:ind w:left="1921" w:right="1385" w:hanging="681"/>
        <w:jc w:val="left"/>
        <w:rPr>
          <w:sz w:val="25"/>
        </w:rPr>
      </w:pPr>
      <w:r>
        <w:rPr>
          <w:w w:val="110"/>
          <w:sz w:val="18"/>
        </w:rPr>
        <w:t>modern lifestyle/medicines mean general health is </w:t>
      </w:r>
      <w:r>
        <w:rPr>
          <w:spacing w:val="2"/>
          <w:w w:val="110"/>
          <w:sz w:val="18"/>
        </w:rPr>
        <w:t>better </w:t>
      </w:r>
      <w:r>
        <w:rPr>
          <w:w w:val="110"/>
          <w:sz w:val="18"/>
        </w:rPr>
        <w:t>– so </w:t>
      </w:r>
      <w:r>
        <w:rPr>
          <w:spacing w:val="2"/>
          <w:w w:val="110"/>
          <w:sz w:val="18"/>
        </w:rPr>
        <w:t>suffering </w:t>
      </w:r>
      <w:r>
        <w:rPr>
          <w:w w:val="110"/>
          <w:sz w:val="18"/>
        </w:rPr>
        <w:t>may be prolonged – not always </w:t>
      </w:r>
      <w:r>
        <w:rPr>
          <w:spacing w:val="2"/>
          <w:w w:val="110"/>
          <w:sz w:val="18"/>
        </w:rPr>
        <w:t>best </w:t>
      </w:r>
      <w:r>
        <w:rPr>
          <w:w w:val="110"/>
          <w:sz w:val="18"/>
        </w:rPr>
        <w:t>for</w:t>
      </w:r>
      <w:r>
        <w:rPr>
          <w:spacing w:val="7"/>
          <w:w w:val="110"/>
          <w:sz w:val="18"/>
        </w:rPr>
        <w:t> </w:t>
      </w:r>
      <w:r>
        <w:rPr>
          <w:w w:val="110"/>
          <w:sz w:val="18"/>
        </w:rPr>
        <w:t>patient</w:t>
      </w:r>
    </w:p>
    <w:p>
      <w:pPr>
        <w:pStyle w:val="ListParagraph"/>
        <w:numPr>
          <w:ilvl w:val="1"/>
          <w:numId w:val="2"/>
        </w:numPr>
        <w:tabs>
          <w:tab w:pos="1921" w:val="left" w:leader="none"/>
          <w:tab w:pos="1922" w:val="left" w:leader="none"/>
        </w:tabs>
        <w:spacing w:line="277" w:lineRule="exact" w:before="0" w:after="0"/>
        <w:ind w:left="1921" w:right="0" w:hanging="682"/>
        <w:jc w:val="left"/>
        <w:rPr>
          <w:sz w:val="25"/>
        </w:rPr>
      </w:pPr>
      <w:r>
        <w:rPr>
          <w:w w:val="110"/>
          <w:sz w:val="18"/>
        </w:rPr>
        <w:t>difficult to define where such a point is reached; the most difficult question</w:t>
      </w:r>
      <w:r>
        <w:rPr>
          <w:spacing w:val="62"/>
          <w:w w:val="110"/>
          <w:sz w:val="18"/>
        </w:rPr>
        <w:t> </w:t>
      </w:r>
      <w:r>
        <w:rPr>
          <w:spacing w:val="-8"/>
          <w:w w:val="110"/>
          <w:sz w:val="18"/>
        </w:rPr>
        <w:t>(16)</w:t>
      </w:r>
    </w:p>
    <w:p>
      <w:pPr>
        <w:pStyle w:val="ListParagraph"/>
        <w:numPr>
          <w:ilvl w:val="1"/>
          <w:numId w:val="2"/>
        </w:numPr>
        <w:tabs>
          <w:tab w:pos="1921" w:val="left" w:leader="none"/>
          <w:tab w:pos="1922" w:val="left" w:leader="none"/>
        </w:tabs>
        <w:spacing w:line="218" w:lineRule="auto" w:before="0" w:after="0"/>
        <w:ind w:left="1921" w:right="1884" w:hanging="681"/>
        <w:jc w:val="left"/>
        <w:rPr>
          <w:sz w:val="25"/>
        </w:rPr>
      </w:pPr>
      <w:r>
        <w:rPr>
          <w:w w:val="110"/>
          <w:sz w:val="18"/>
        </w:rPr>
        <w:t>stopping treatment knowing it will lead to death is </w:t>
      </w:r>
      <w:r>
        <w:rPr>
          <w:spacing w:val="2"/>
          <w:w w:val="110"/>
          <w:sz w:val="18"/>
        </w:rPr>
        <w:t>different from </w:t>
      </w:r>
      <w:r>
        <w:rPr>
          <w:w w:val="110"/>
          <w:sz w:val="18"/>
        </w:rPr>
        <w:t>the lethal injection </w:t>
      </w:r>
      <w:r>
        <w:rPr>
          <w:spacing w:val="-6"/>
          <w:w w:val="110"/>
          <w:sz w:val="18"/>
        </w:rPr>
        <w:t>(3)</w:t>
      </w:r>
    </w:p>
    <w:p>
      <w:pPr>
        <w:pStyle w:val="ListParagraph"/>
        <w:numPr>
          <w:ilvl w:val="1"/>
          <w:numId w:val="2"/>
        </w:numPr>
        <w:tabs>
          <w:tab w:pos="1921" w:val="left" w:leader="none"/>
          <w:tab w:pos="1922" w:val="left" w:leader="none"/>
        </w:tabs>
        <w:spacing w:line="277" w:lineRule="exact" w:before="0" w:after="0"/>
        <w:ind w:left="1921" w:right="0" w:hanging="682"/>
        <w:jc w:val="left"/>
        <w:rPr>
          <w:sz w:val="25"/>
        </w:rPr>
      </w:pPr>
      <w:r>
        <w:rPr>
          <w:w w:val="110"/>
          <w:sz w:val="18"/>
        </w:rPr>
        <w:t>unbearable pain/suffering is </w:t>
      </w:r>
      <w:r>
        <w:rPr>
          <w:spacing w:val="2"/>
          <w:w w:val="110"/>
          <w:sz w:val="18"/>
        </w:rPr>
        <w:t>very </w:t>
      </w:r>
      <w:r>
        <w:rPr>
          <w:w w:val="110"/>
          <w:sz w:val="18"/>
        </w:rPr>
        <w:t>subjective</w:t>
      </w:r>
      <w:r>
        <w:rPr>
          <w:spacing w:val="6"/>
          <w:w w:val="110"/>
          <w:sz w:val="18"/>
        </w:rPr>
        <w:t> </w:t>
      </w:r>
      <w:r>
        <w:rPr>
          <w:spacing w:val="-6"/>
          <w:w w:val="110"/>
          <w:sz w:val="18"/>
        </w:rPr>
        <w:t>(3)</w:t>
      </w:r>
    </w:p>
    <w:p>
      <w:pPr>
        <w:pStyle w:val="ListParagraph"/>
        <w:numPr>
          <w:ilvl w:val="1"/>
          <w:numId w:val="2"/>
        </w:numPr>
        <w:tabs>
          <w:tab w:pos="1921" w:val="left" w:leader="none"/>
          <w:tab w:pos="1922" w:val="left" w:leader="none"/>
        </w:tabs>
        <w:spacing w:line="218" w:lineRule="auto" w:before="0" w:after="0"/>
        <w:ind w:left="1921" w:right="1519" w:hanging="681"/>
        <w:jc w:val="left"/>
        <w:rPr>
          <w:sz w:val="25"/>
        </w:rPr>
      </w:pPr>
      <w:r>
        <w:rPr>
          <w:w w:val="110"/>
          <w:sz w:val="18"/>
        </w:rPr>
        <w:t>if </w:t>
      </w:r>
      <w:r>
        <w:rPr>
          <w:spacing w:val="2"/>
          <w:w w:val="110"/>
          <w:sz w:val="18"/>
        </w:rPr>
        <w:t>suffering </w:t>
      </w:r>
      <w:r>
        <w:rPr>
          <w:w w:val="110"/>
          <w:sz w:val="18"/>
        </w:rPr>
        <w:t>becomes intolerable, treatment as administered in hospices should be available</w:t>
      </w:r>
    </w:p>
    <w:p>
      <w:pPr>
        <w:pStyle w:val="ListParagraph"/>
        <w:numPr>
          <w:ilvl w:val="1"/>
          <w:numId w:val="2"/>
        </w:numPr>
        <w:tabs>
          <w:tab w:pos="1921" w:val="left" w:leader="none"/>
          <w:tab w:pos="1922" w:val="left" w:leader="none"/>
        </w:tabs>
        <w:spacing w:line="218" w:lineRule="auto" w:before="12" w:after="0"/>
        <w:ind w:left="1921" w:right="1249" w:hanging="681"/>
        <w:jc w:val="left"/>
        <w:rPr>
          <w:sz w:val="25"/>
        </w:rPr>
      </w:pPr>
      <w:r>
        <w:rPr>
          <w:w w:val="110"/>
          <w:sz w:val="18"/>
        </w:rPr>
        <w:t>faith versus humanity – as a human being I feel </w:t>
      </w:r>
      <w:r>
        <w:rPr>
          <w:spacing w:val="3"/>
          <w:w w:val="110"/>
          <w:sz w:val="18"/>
        </w:rPr>
        <w:t>sufferers </w:t>
      </w:r>
      <w:r>
        <w:rPr>
          <w:w w:val="110"/>
          <w:sz w:val="18"/>
        </w:rPr>
        <w:t>should be </w:t>
      </w:r>
      <w:r>
        <w:rPr>
          <w:spacing w:val="2"/>
          <w:w w:val="110"/>
          <w:sz w:val="18"/>
        </w:rPr>
        <w:t>released </w:t>
      </w:r>
      <w:r>
        <w:rPr>
          <w:w w:val="110"/>
          <w:sz w:val="18"/>
        </w:rPr>
        <w:t>but as</w:t>
      </w:r>
      <w:r>
        <w:rPr>
          <w:spacing w:val="5"/>
          <w:w w:val="110"/>
          <w:sz w:val="18"/>
        </w:rPr>
        <w:t> </w:t>
      </w:r>
      <w:r>
        <w:rPr>
          <w:w w:val="110"/>
          <w:sz w:val="18"/>
        </w:rPr>
        <w:t>a</w:t>
      </w:r>
      <w:r>
        <w:rPr>
          <w:spacing w:val="6"/>
          <w:w w:val="110"/>
          <w:sz w:val="18"/>
        </w:rPr>
        <w:t> </w:t>
      </w:r>
      <w:r>
        <w:rPr>
          <w:w w:val="110"/>
          <w:sz w:val="18"/>
        </w:rPr>
        <w:t>Christian</w:t>
      </w:r>
      <w:r>
        <w:rPr>
          <w:spacing w:val="6"/>
          <w:w w:val="110"/>
          <w:sz w:val="18"/>
        </w:rPr>
        <w:t> </w:t>
      </w:r>
      <w:r>
        <w:rPr>
          <w:w w:val="110"/>
          <w:sz w:val="18"/>
        </w:rPr>
        <w:t>I</w:t>
      </w:r>
      <w:r>
        <w:rPr>
          <w:spacing w:val="6"/>
          <w:w w:val="110"/>
          <w:sz w:val="18"/>
        </w:rPr>
        <w:t> </w:t>
      </w:r>
      <w:r>
        <w:rPr>
          <w:w w:val="110"/>
          <w:sz w:val="18"/>
        </w:rPr>
        <w:t>am</w:t>
      </w:r>
      <w:r>
        <w:rPr>
          <w:spacing w:val="6"/>
          <w:w w:val="110"/>
          <w:sz w:val="18"/>
        </w:rPr>
        <w:t> </w:t>
      </w:r>
      <w:r>
        <w:rPr>
          <w:w w:val="110"/>
          <w:sz w:val="18"/>
        </w:rPr>
        <w:t>aware</w:t>
      </w:r>
      <w:r>
        <w:rPr>
          <w:spacing w:val="5"/>
          <w:w w:val="110"/>
          <w:sz w:val="18"/>
        </w:rPr>
        <w:t> </w:t>
      </w:r>
      <w:r>
        <w:rPr>
          <w:w w:val="110"/>
          <w:sz w:val="18"/>
        </w:rPr>
        <w:t>of</w:t>
      </w:r>
      <w:r>
        <w:rPr>
          <w:spacing w:val="6"/>
          <w:w w:val="110"/>
          <w:sz w:val="18"/>
        </w:rPr>
        <w:t> </w:t>
      </w:r>
      <w:r>
        <w:rPr>
          <w:w w:val="110"/>
          <w:sz w:val="18"/>
        </w:rPr>
        <w:t>God</w:t>
      </w:r>
      <w:r>
        <w:rPr>
          <w:spacing w:val="6"/>
          <w:w w:val="110"/>
          <w:sz w:val="18"/>
        </w:rPr>
        <w:t> </w:t>
      </w:r>
      <w:r>
        <w:rPr>
          <w:w w:val="110"/>
          <w:sz w:val="18"/>
        </w:rPr>
        <w:t>in</w:t>
      </w:r>
      <w:r>
        <w:rPr>
          <w:spacing w:val="6"/>
          <w:w w:val="110"/>
          <w:sz w:val="18"/>
        </w:rPr>
        <w:t> </w:t>
      </w:r>
      <w:r>
        <w:rPr>
          <w:w w:val="110"/>
          <w:sz w:val="18"/>
        </w:rPr>
        <w:t>charge</w:t>
      </w:r>
      <w:r>
        <w:rPr>
          <w:spacing w:val="6"/>
          <w:w w:val="110"/>
          <w:sz w:val="18"/>
        </w:rPr>
        <w:t> </w:t>
      </w:r>
      <w:r>
        <w:rPr>
          <w:w w:val="110"/>
          <w:sz w:val="18"/>
        </w:rPr>
        <w:t>in</w:t>
      </w:r>
      <w:r>
        <w:rPr>
          <w:spacing w:val="5"/>
          <w:w w:val="110"/>
          <w:sz w:val="18"/>
        </w:rPr>
        <w:t> </w:t>
      </w:r>
      <w:r>
        <w:rPr>
          <w:w w:val="110"/>
          <w:sz w:val="18"/>
        </w:rPr>
        <w:t>the</w:t>
      </w:r>
      <w:r>
        <w:rPr>
          <w:spacing w:val="6"/>
          <w:w w:val="110"/>
          <w:sz w:val="18"/>
        </w:rPr>
        <w:t> </w:t>
      </w:r>
      <w:r>
        <w:rPr>
          <w:spacing w:val="2"/>
          <w:w w:val="110"/>
          <w:sz w:val="18"/>
        </w:rPr>
        <w:t>progress</w:t>
      </w:r>
      <w:r>
        <w:rPr>
          <w:spacing w:val="6"/>
          <w:w w:val="110"/>
          <w:sz w:val="18"/>
        </w:rPr>
        <w:t> </w:t>
      </w:r>
      <w:r>
        <w:rPr>
          <w:w w:val="110"/>
          <w:sz w:val="18"/>
        </w:rPr>
        <w:t>of</w:t>
      </w:r>
      <w:r>
        <w:rPr>
          <w:spacing w:val="6"/>
          <w:w w:val="110"/>
          <w:sz w:val="18"/>
        </w:rPr>
        <w:t> </w:t>
      </w:r>
      <w:r>
        <w:rPr>
          <w:w w:val="110"/>
          <w:sz w:val="18"/>
        </w:rPr>
        <w:t>every</w:t>
      </w:r>
      <w:r>
        <w:rPr>
          <w:spacing w:val="6"/>
          <w:w w:val="110"/>
          <w:sz w:val="18"/>
        </w:rPr>
        <w:t> </w:t>
      </w:r>
      <w:r>
        <w:rPr>
          <w:w w:val="110"/>
          <w:sz w:val="18"/>
        </w:rPr>
        <w:t>situation</w:t>
      </w:r>
    </w:p>
    <w:p>
      <w:pPr>
        <w:pStyle w:val="ListParagraph"/>
        <w:numPr>
          <w:ilvl w:val="1"/>
          <w:numId w:val="2"/>
        </w:numPr>
        <w:tabs>
          <w:tab w:pos="1921" w:val="left" w:leader="none"/>
          <w:tab w:pos="1922" w:val="left" w:leader="none"/>
        </w:tabs>
        <w:spacing w:line="218" w:lineRule="auto" w:before="24" w:after="0"/>
        <w:ind w:left="1921" w:right="1584" w:hanging="681"/>
        <w:jc w:val="left"/>
        <w:rPr>
          <w:sz w:val="25"/>
        </w:rPr>
      </w:pPr>
      <w:r>
        <w:rPr>
          <w:w w:val="110"/>
          <w:sz w:val="18"/>
        </w:rPr>
        <w:t>rights and conscience of those who might feel </w:t>
      </w:r>
      <w:r>
        <w:rPr>
          <w:spacing w:val="2"/>
          <w:w w:val="110"/>
          <w:sz w:val="18"/>
        </w:rPr>
        <w:t>pressured </w:t>
      </w:r>
      <w:r>
        <w:rPr>
          <w:w w:val="110"/>
          <w:sz w:val="18"/>
        </w:rPr>
        <w:t>to ‘release’ someone must be</w:t>
      </w:r>
      <w:r>
        <w:rPr>
          <w:spacing w:val="2"/>
          <w:w w:val="110"/>
          <w:sz w:val="18"/>
        </w:rPr>
        <w:t> </w:t>
      </w:r>
      <w:r>
        <w:rPr>
          <w:w w:val="110"/>
          <w:sz w:val="18"/>
        </w:rPr>
        <w:t>safeguarded</w:t>
      </w:r>
    </w:p>
    <w:p>
      <w:pPr>
        <w:pStyle w:val="ListParagraph"/>
        <w:numPr>
          <w:ilvl w:val="1"/>
          <w:numId w:val="2"/>
        </w:numPr>
        <w:tabs>
          <w:tab w:pos="1921" w:val="left" w:leader="none"/>
          <w:tab w:pos="1922" w:val="left" w:leader="none"/>
        </w:tabs>
        <w:spacing w:line="218" w:lineRule="auto" w:before="25" w:after="0"/>
        <w:ind w:left="1921" w:right="1704" w:hanging="681"/>
        <w:jc w:val="left"/>
        <w:rPr>
          <w:sz w:val="25"/>
        </w:rPr>
      </w:pPr>
      <w:r>
        <w:rPr>
          <w:w w:val="110"/>
          <w:sz w:val="18"/>
        </w:rPr>
        <w:t>society, and especially some churches, seem to place too much emphasis on </w:t>
      </w:r>
      <w:r>
        <w:rPr>
          <w:spacing w:val="2"/>
          <w:w w:val="110"/>
          <w:sz w:val="18"/>
        </w:rPr>
        <w:t>sanctity </w:t>
      </w:r>
      <w:r>
        <w:rPr>
          <w:w w:val="110"/>
          <w:sz w:val="18"/>
        </w:rPr>
        <w:t>of life at all costs, rather than quality of</w:t>
      </w:r>
      <w:r>
        <w:rPr>
          <w:spacing w:val="21"/>
          <w:w w:val="110"/>
          <w:sz w:val="18"/>
        </w:rPr>
        <w:t> </w:t>
      </w:r>
      <w:r>
        <w:rPr>
          <w:w w:val="110"/>
          <w:sz w:val="18"/>
        </w:rPr>
        <w:t>life.</w:t>
      </w:r>
    </w:p>
    <w:p>
      <w:pPr>
        <w:spacing w:after="0" w:line="218" w:lineRule="auto"/>
        <w:jc w:val="left"/>
        <w:rPr>
          <w:sz w:val="25"/>
        </w:rPr>
        <w:sectPr>
          <w:pgSz w:w="11910" w:h="16840"/>
          <w:pgMar w:header="557" w:footer="564" w:top="820" w:bottom="760" w:left="460" w:right="0"/>
        </w:sectPr>
      </w:pPr>
    </w:p>
    <w:p>
      <w:pPr>
        <w:pStyle w:val="BodyText"/>
        <w:spacing w:before="7"/>
        <w:rPr>
          <w:sz w:val="9"/>
        </w:rPr>
      </w:pPr>
    </w:p>
    <w:p>
      <w:pPr>
        <w:pStyle w:val="BodyText"/>
        <w:ind w:left="125"/>
        <w:rPr>
          <w:sz w:val="20"/>
        </w:rPr>
      </w:pPr>
      <w:r>
        <w:rPr>
          <w:sz w:val="20"/>
        </w:rPr>
        <w:pict>
          <v:group style="width:491.2pt;height:41.55pt;mso-position-horizontal-relative:char;mso-position-vertical-relative:line" coordorigin="0,0" coordsize="9824,831">
            <v:rect style="position:absolute;left:972;top:163;width:8851;height:663" filled="true" fillcolor="#000000" stroked="false">
              <v:fill opacity="49152f" type="solid"/>
            </v:rect>
            <v:shape style="position:absolute;left:556;top:356;width:9071;height:398" coordorigin="557,356" coordsize="9071,398" path="m9388,356l557,356,557,754,9388,754,9527,751,9598,729,9624,670,9628,555,9624,440,9598,381,9527,359,9388,356xe" filled="true" fillcolor="#ffffff" stroked="false">
              <v:path arrowok="t"/>
              <v:fill type="solid"/>
            </v:shape>
            <v:shape style="position:absolute;left:556;top:356;width:9071;height:398" coordorigin="557,356" coordsize="9071,398" path="m9628,555l9624,440,9598,381,9527,359,9388,356,557,356,557,754,9388,754,9527,751,9598,729,9624,670,9628,555xe" filled="false" stroked="true" strokeweight=".25pt" strokecolor="#000000">
              <v:path arrowok="t"/>
              <v:stroke dashstyle="solid"/>
            </v:shape>
            <v:rect style="position:absolute;left:10;top:37;width:963;height:784" filled="true" fillcolor="#ffffff" stroked="false">
              <v:fill type="solid"/>
            </v:rect>
            <v:rect style="position:absolute;left:10;top:37;width:963;height:784" filled="false" stroked="true" strokeweight="1pt" strokecolor="#ffffff">
              <v:stroke dashstyle="solid"/>
            </v:rect>
            <v:shape style="position:absolute;left:0;top:0;width:9824;height:831" type="#_x0000_t202" filled="false" stroked="false">
              <v:textbox inset="0,0,0,0">
                <w:txbxContent>
                  <w:p>
                    <w:pPr>
                      <w:spacing w:before="0"/>
                      <w:ind w:left="548" w:right="0" w:firstLine="0"/>
                      <w:jc w:val="left"/>
                      <w:rPr>
                        <w:i/>
                        <w:sz w:val="18"/>
                      </w:rPr>
                    </w:pPr>
                    <w:r>
                      <w:rPr>
                        <w:b/>
                        <w:w w:val="110"/>
                        <w:sz w:val="63"/>
                      </w:rPr>
                      <w:t>9 </w:t>
                    </w:r>
                    <w:r>
                      <w:rPr>
                        <w:i/>
                        <w:w w:val="110"/>
                        <w:sz w:val="18"/>
                      </w:rPr>
                      <w:t>What do we think about ‘Living Wills?’ (See Section 7).</w:t>
                    </w:r>
                  </w:p>
                </w:txbxContent>
              </v:textbox>
              <w10:wrap type="none"/>
            </v:shape>
          </v:group>
        </w:pict>
      </w:r>
      <w:r>
        <w:rPr>
          <w:sz w:val="20"/>
        </w:rPr>
      </w:r>
    </w:p>
    <w:p>
      <w:pPr>
        <w:pStyle w:val="ListParagraph"/>
        <w:numPr>
          <w:ilvl w:val="0"/>
          <w:numId w:val="2"/>
        </w:numPr>
        <w:tabs>
          <w:tab w:pos="1354" w:val="left" w:leader="none"/>
          <w:tab w:pos="1355" w:val="left" w:leader="none"/>
        </w:tabs>
        <w:spacing w:line="250" w:lineRule="exact" w:before="78" w:after="0"/>
        <w:ind w:left="1354" w:right="1739" w:hanging="681"/>
        <w:jc w:val="left"/>
        <w:rPr>
          <w:sz w:val="25"/>
        </w:rPr>
      </w:pPr>
      <w:r>
        <w:rPr>
          <w:w w:val="110"/>
          <w:sz w:val="18"/>
        </w:rPr>
        <w:t>two-thirds of respondents approve: excellent; everyone should be encouraged to produce one while mentally able to do </w:t>
      </w:r>
      <w:r>
        <w:rPr>
          <w:spacing w:val="-3"/>
          <w:w w:val="110"/>
          <w:sz w:val="18"/>
        </w:rPr>
        <w:t>so; </w:t>
      </w:r>
      <w:r>
        <w:rPr>
          <w:w w:val="110"/>
          <w:sz w:val="18"/>
        </w:rPr>
        <w:t>with proviso of legal/medical assurance that </w:t>
      </w:r>
      <w:r>
        <w:rPr>
          <w:spacing w:val="2"/>
          <w:w w:val="110"/>
          <w:sz w:val="18"/>
        </w:rPr>
        <w:t>person </w:t>
      </w:r>
      <w:r>
        <w:rPr>
          <w:w w:val="110"/>
          <w:sz w:val="18"/>
        </w:rPr>
        <w:t>is capable of the decision and is acting in own </w:t>
      </w:r>
      <w:r>
        <w:rPr>
          <w:spacing w:val="2"/>
          <w:w w:val="110"/>
          <w:sz w:val="18"/>
        </w:rPr>
        <w:t>free </w:t>
      </w:r>
      <w:r>
        <w:rPr>
          <w:spacing w:val="-3"/>
          <w:w w:val="110"/>
          <w:sz w:val="18"/>
        </w:rPr>
        <w:t>will; </w:t>
      </w:r>
      <w:r>
        <w:rPr>
          <w:w w:val="110"/>
          <w:sz w:val="18"/>
        </w:rPr>
        <w:t>allows dignity in death; sensible and</w:t>
      </w:r>
      <w:r>
        <w:rPr>
          <w:spacing w:val="3"/>
          <w:w w:val="110"/>
          <w:sz w:val="18"/>
        </w:rPr>
        <w:t> </w:t>
      </w:r>
      <w:r>
        <w:rPr>
          <w:w w:val="110"/>
          <w:sz w:val="18"/>
        </w:rPr>
        <w:t>good</w:t>
      </w:r>
    </w:p>
    <w:p>
      <w:pPr>
        <w:pStyle w:val="ListParagraph"/>
        <w:numPr>
          <w:ilvl w:val="0"/>
          <w:numId w:val="2"/>
        </w:numPr>
        <w:tabs>
          <w:tab w:pos="1354" w:val="left" w:leader="none"/>
          <w:tab w:pos="1355" w:val="left" w:leader="none"/>
        </w:tabs>
        <w:spacing w:line="266" w:lineRule="exact" w:before="0" w:after="0"/>
        <w:ind w:left="1354" w:right="0" w:hanging="682"/>
        <w:jc w:val="left"/>
        <w:rPr>
          <w:sz w:val="25"/>
        </w:rPr>
      </w:pPr>
      <w:r>
        <w:rPr>
          <w:w w:val="110"/>
          <w:sz w:val="18"/>
        </w:rPr>
        <w:t>mixed feelings/not happy</w:t>
      </w:r>
      <w:r>
        <w:rPr>
          <w:spacing w:val="2"/>
          <w:w w:val="110"/>
          <w:sz w:val="18"/>
        </w:rPr>
        <w:t> </w:t>
      </w:r>
      <w:r>
        <w:rPr>
          <w:spacing w:val="-8"/>
          <w:w w:val="110"/>
          <w:sz w:val="18"/>
        </w:rPr>
        <w:t>(9)</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wrong – grieves God and violates his plan</w:t>
      </w:r>
      <w:r>
        <w:rPr>
          <w:spacing w:val="11"/>
          <w:w w:val="110"/>
          <w:sz w:val="18"/>
        </w:rPr>
        <w:t> </w:t>
      </w:r>
      <w:r>
        <w:rPr>
          <w:spacing w:val="-6"/>
          <w:w w:val="110"/>
          <w:sz w:val="18"/>
        </w:rPr>
        <w:t>(3)</w:t>
      </w:r>
    </w:p>
    <w:p>
      <w:pPr>
        <w:pStyle w:val="ListParagraph"/>
        <w:numPr>
          <w:ilvl w:val="0"/>
          <w:numId w:val="2"/>
        </w:numPr>
        <w:tabs>
          <w:tab w:pos="1354" w:val="left" w:leader="none"/>
          <w:tab w:pos="1355" w:val="left" w:leader="none"/>
        </w:tabs>
        <w:spacing w:line="218" w:lineRule="auto" w:before="0" w:after="0"/>
        <w:ind w:left="1354" w:right="1917" w:hanging="681"/>
        <w:jc w:val="left"/>
        <w:rPr>
          <w:sz w:val="25"/>
        </w:rPr>
      </w:pPr>
      <w:r>
        <w:rPr>
          <w:w w:val="110"/>
          <w:sz w:val="18"/>
        </w:rPr>
        <w:t>problem of possible </w:t>
      </w:r>
      <w:r>
        <w:rPr>
          <w:spacing w:val="2"/>
          <w:w w:val="110"/>
          <w:sz w:val="18"/>
        </w:rPr>
        <w:t>difference </w:t>
      </w:r>
      <w:r>
        <w:rPr>
          <w:w w:val="110"/>
          <w:sz w:val="18"/>
        </w:rPr>
        <w:t>between thoughts when preparing living will, and reaching</w:t>
      </w:r>
      <w:r>
        <w:rPr>
          <w:spacing w:val="5"/>
          <w:w w:val="110"/>
          <w:sz w:val="18"/>
        </w:rPr>
        <w:t> </w:t>
      </w:r>
      <w:r>
        <w:rPr>
          <w:w w:val="110"/>
          <w:sz w:val="18"/>
        </w:rPr>
        <w:t>the</w:t>
      </w:r>
      <w:r>
        <w:rPr>
          <w:spacing w:val="6"/>
          <w:w w:val="110"/>
          <w:sz w:val="18"/>
        </w:rPr>
        <w:t> </w:t>
      </w:r>
      <w:r>
        <w:rPr>
          <w:w w:val="110"/>
          <w:sz w:val="18"/>
        </w:rPr>
        <w:t>stage</w:t>
      </w:r>
      <w:r>
        <w:rPr>
          <w:spacing w:val="6"/>
          <w:w w:val="110"/>
          <w:sz w:val="18"/>
        </w:rPr>
        <w:t> </w:t>
      </w:r>
      <w:r>
        <w:rPr>
          <w:w w:val="110"/>
          <w:sz w:val="18"/>
        </w:rPr>
        <w:t>of</w:t>
      </w:r>
      <w:r>
        <w:rPr>
          <w:spacing w:val="5"/>
          <w:w w:val="110"/>
          <w:sz w:val="18"/>
        </w:rPr>
        <w:t> </w:t>
      </w:r>
      <w:r>
        <w:rPr>
          <w:w w:val="110"/>
          <w:sz w:val="18"/>
        </w:rPr>
        <w:t>it</w:t>
      </w:r>
      <w:r>
        <w:rPr>
          <w:spacing w:val="6"/>
          <w:w w:val="110"/>
          <w:sz w:val="18"/>
        </w:rPr>
        <w:t> </w:t>
      </w:r>
      <w:r>
        <w:rPr>
          <w:w w:val="110"/>
          <w:sz w:val="18"/>
        </w:rPr>
        <w:t>being</w:t>
      </w:r>
      <w:r>
        <w:rPr>
          <w:spacing w:val="6"/>
          <w:w w:val="110"/>
          <w:sz w:val="18"/>
        </w:rPr>
        <w:t> </w:t>
      </w:r>
      <w:r>
        <w:rPr>
          <w:spacing w:val="2"/>
          <w:w w:val="110"/>
          <w:sz w:val="18"/>
        </w:rPr>
        <w:t>acted</w:t>
      </w:r>
      <w:r>
        <w:rPr>
          <w:spacing w:val="5"/>
          <w:w w:val="110"/>
          <w:sz w:val="18"/>
        </w:rPr>
        <w:t> </w:t>
      </w:r>
      <w:r>
        <w:rPr>
          <w:w w:val="110"/>
          <w:sz w:val="18"/>
        </w:rPr>
        <w:t>on</w:t>
      </w:r>
      <w:r>
        <w:rPr>
          <w:spacing w:val="6"/>
          <w:w w:val="110"/>
          <w:sz w:val="18"/>
        </w:rPr>
        <w:t> </w:t>
      </w:r>
      <w:r>
        <w:rPr>
          <w:spacing w:val="-6"/>
          <w:w w:val="110"/>
          <w:sz w:val="18"/>
        </w:rPr>
        <w:t>(5);</w:t>
      </w:r>
      <w:r>
        <w:rPr>
          <w:spacing w:val="6"/>
          <w:w w:val="110"/>
          <w:sz w:val="18"/>
        </w:rPr>
        <w:t> </w:t>
      </w:r>
      <w:r>
        <w:rPr>
          <w:w w:val="110"/>
          <w:sz w:val="18"/>
        </w:rPr>
        <w:t>instinct</w:t>
      </w:r>
      <w:r>
        <w:rPr>
          <w:spacing w:val="6"/>
          <w:w w:val="110"/>
          <w:sz w:val="18"/>
        </w:rPr>
        <w:t> </w:t>
      </w:r>
      <w:r>
        <w:rPr>
          <w:w w:val="110"/>
          <w:sz w:val="18"/>
        </w:rPr>
        <w:t>to</w:t>
      </w:r>
      <w:r>
        <w:rPr>
          <w:spacing w:val="5"/>
          <w:w w:val="110"/>
          <w:sz w:val="18"/>
        </w:rPr>
        <w:t> </w:t>
      </w:r>
      <w:r>
        <w:rPr>
          <w:w w:val="110"/>
          <w:sz w:val="18"/>
        </w:rPr>
        <w:t>cling</w:t>
      </w:r>
      <w:r>
        <w:rPr>
          <w:spacing w:val="6"/>
          <w:w w:val="110"/>
          <w:sz w:val="18"/>
        </w:rPr>
        <w:t> </w:t>
      </w:r>
      <w:r>
        <w:rPr>
          <w:w w:val="110"/>
          <w:sz w:val="18"/>
        </w:rPr>
        <w:t>to</w:t>
      </w:r>
      <w:r>
        <w:rPr>
          <w:spacing w:val="6"/>
          <w:w w:val="110"/>
          <w:sz w:val="18"/>
        </w:rPr>
        <w:t> </w:t>
      </w:r>
      <w:r>
        <w:rPr>
          <w:w w:val="110"/>
          <w:sz w:val="18"/>
        </w:rPr>
        <w:t>life</w:t>
      </w:r>
      <w:r>
        <w:rPr>
          <w:spacing w:val="5"/>
          <w:w w:val="110"/>
          <w:sz w:val="18"/>
        </w:rPr>
        <w:t> </w:t>
      </w:r>
      <w:r>
        <w:rPr>
          <w:w w:val="110"/>
          <w:sz w:val="18"/>
        </w:rPr>
        <w:t>is</w:t>
      </w:r>
      <w:r>
        <w:rPr>
          <w:spacing w:val="6"/>
          <w:w w:val="110"/>
          <w:sz w:val="18"/>
        </w:rPr>
        <w:t> </w:t>
      </w:r>
      <w:r>
        <w:rPr>
          <w:spacing w:val="2"/>
          <w:w w:val="110"/>
          <w:sz w:val="18"/>
        </w:rPr>
        <w:t>strong</w:t>
      </w:r>
    </w:p>
    <w:p>
      <w:pPr>
        <w:pStyle w:val="ListParagraph"/>
        <w:numPr>
          <w:ilvl w:val="0"/>
          <w:numId w:val="2"/>
        </w:numPr>
        <w:tabs>
          <w:tab w:pos="1354" w:val="left" w:leader="none"/>
          <w:tab w:pos="1355" w:val="left" w:leader="none"/>
        </w:tabs>
        <w:spacing w:line="250" w:lineRule="exact" w:before="9" w:after="0"/>
        <w:ind w:left="1354" w:right="2019" w:hanging="681"/>
        <w:jc w:val="left"/>
        <w:rPr>
          <w:sz w:val="25"/>
        </w:rPr>
      </w:pPr>
      <w:r>
        <w:rPr>
          <w:w w:val="110"/>
          <w:sz w:val="18"/>
        </w:rPr>
        <w:t>could help relatives/medical </w:t>
      </w:r>
      <w:r>
        <w:rPr>
          <w:spacing w:val="3"/>
          <w:w w:val="110"/>
          <w:sz w:val="18"/>
        </w:rPr>
        <w:t>staff </w:t>
      </w:r>
      <w:r>
        <w:rPr>
          <w:spacing w:val="2"/>
          <w:w w:val="110"/>
          <w:sz w:val="18"/>
        </w:rPr>
        <w:t>reach </w:t>
      </w:r>
      <w:r>
        <w:rPr>
          <w:w w:val="110"/>
          <w:sz w:val="18"/>
        </w:rPr>
        <w:t>decision </w:t>
      </w:r>
      <w:r>
        <w:rPr>
          <w:spacing w:val="-10"/>
          <w:w w:val="110"/>
          <w:sz w:val="18"/>
        </w:rPr>
        <w:t>(4); </w:t>
      </w:r>
      <w:r>
        <w:rPr>
          <w:w w:val="110"/>
          <w:sz w:val="18"/>
        </w:rPr>
        <w:t>in loving families there should be no doubt of patient’s wishes; takes pressure </w:t>
      </w:r>
      <w:r>
        <w:rPr>
          <w:spacing w:val="3"/>
          <w:w w:val="110"/>
          <w:sz w:val="18"/>
        </w:rPr>
        <w:t>off </w:t>
      </w:r>
      <w:r>
        <w:rPr>
          <w:w w:val="110"/>
          <w:sz w:val="18"/>
        </w:rPr>
        <w:t>family and guilt they can feel </w:t>
      </w:r>
      <w:r>
        <w:rPr>
          <w:spacing w:val="-5"/>
          <w:w w:val="110"/>
          <w:sz w:val="18"/>
        </w:rPr>
        <w:t>(7); </w:t>
      </w:r>
      <w:r>
        <w:rPr>
          <w:w w:val="110"/>
          <w:sz w:val="18"/>
        </w:rPr>
        <w:t>allows individual to ‘speak’ even if no longer able</w:t>
      </w:r>
      <w:r>
        <w:rPr>
          <w:spacing w:val="44"/>
          <w:w w:val="110"/>
          <w:sz w:val="18"/>
        </w:rPr>
        <w:t> </w:t>
      </w:r>
      <w:r>
        <w:rPr>
          <w:w w:val="110"/>
          <w:sz w:val="18"/>
        </w:rPr>
        <w:t>to</w:t>
      </w:r>
    </w:p>
    <w:p>
      <w:pPr>
        <w:pStyle w:val="ListParagraph"/>
        <w:numPr>
          <w:ilvl w:val="0"/>
          <w:numId w:val="2"/>
        </w:numPr>
        <w:tabs>
          <w:tab w:pos="1354" w:val="left" w:leader="none"/>
          <w:tab w:pos="1355" w:val="left" w:leader="none"/>
        </w:tabs>
        <w:spacing w:line="266" w:lineRule="exact" w:before="0" w:after="0"/>
        <w:ind w:left="1354" w:right="0" w:hanging="682"/>
        <w:jc w:val="left"/>
        <w:rPr>
          <w:sz w:val="25"/>
        </w:rPr>
      </w:pPr>
      <w:r>
        <w:rPr>
          <w:w w:val="110"/>
          <w:sz w:val="18"/>
        </w:rPr>
        <w:t>huge burden to put on </w:t>
      </w:r>
      <w:r>
        <w:rPr>
          <w:spacing w:val="2"/>
          <w:w w:val="110"/>
          <w:sz w:val="18"/>
        </w:rPr>
        <w:t>doctors </w:t>
      </w:r>
      <w:r>
        <w:rPr>
          <w:w w:val="110"/>
          <w:sz w:val="18"/>
        </w:rPr>
        <w:t>and</w:t>
      </w:r>
      <w:r>
        <w:rPr>
          <w:spacing w:val="7"/>
          <w:w w:val="110"/>
          <w:sz w:val="18"/>
        </w:rPr>
        <w:t> </w:t>
      </w:r>
      <w:r>
        <w:rPr>
          <w:w w:val="110"/>
          <w:sz w:val="18"/>
        </w:rPr>
        <w:t>families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useful as far as they go </w:t>
      </w:r>
      <w:r>
        <w:rPr>
          <w:spacing w:val="-8"/>
          <w:w w:val="110"/>
          <w:sz w:val="18"/>
        </w:rPr>
        <w:t>(3); </w:t>
      </w:r>
      <w:r>
        <w:rPr>
          <w:w w:val="110"/>
          <w:sz w:val="18"/>
        </w:rPr>
        <w:t>not always treated as binding by</w:t>
      </w:r>
      <w:r>
        <w:rPr>
          <w:spacing w:val="36"/>
          <w:w w:val="110"/>
          <w:sz w:val="18"/>
        </w:rPr>
        <w:t> </w:t>
      </w:r>
      <w:r>
        <w:rPr>
          <w:spacing w:val="2"/>
          <w:w w:val="110"/>
          <w:sz w:val="18"/>
        </w:rPr>
        <w:t>doctors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who is to execute the</w:t>
      </w:r>
      <w:r>
        <w:rPr>
          <w:spacing w:val="4"/>
          <w:w w:val="110"/>
          <w:sz w:val="18"/>
        </w:rPr>
        <w:t> </w:t>
      </w:r>
      <w:r>
        <w:rPr>
          <w:w w:val="110"/>
          <w:sz w:val="18"/>
        </w:rPr>
        <w:t>will?</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slippery slope; treading difficult line; could be open to abuse</w:t>
      </w:r>
      <w:r>
        <w:rPr>
          <w:spacing w:val="23"/>
          <w:w w:val="110"/>
          <w:sz w:val="18"/>
        </w:rPr>
        <w:t> </w:t>
      </w:r>
      <w:r>
        <w:rPr>
          <w:spacing w:val="-4"/>
          <w:w w:val="110"/>
          <w:sz w:val="18"/>
        </w:rPr>
        <w:t>(5)</w:t>
      </w:r>
    </w:p>
    <w:p>
      <w:pPr>
        <w:pStyle w:val="ListParagraph"/>
        <w:numPr>
          <w:ilvl w:val="0"/>
          <w:numId w:val="2"/>
        </w:numPr>
        <w:tabs>
          <w:tab w:pos="1354" w:val="left" w:leader="none"/>
          <w:tab w:pos="1355" w:val="left" w:leader="none"/>
        </w:tabs>
        <w:spacing w:line="218" w:lineRule="auto" w:before="0" w:after="0"/>
        <w:ind w:left="1354" w:right="2118" w:hanging="681"/>
        <w:jc w:val="left"/>
        <w:rPr>
          <w:sz w:val="25"/>
        </w:rPr>
      </w:pPr>
      <w:r>
        <w:rPr>
          <w:w w:val="110"/>
          <w:sz w:val="18"/>
        </w:rPr>
        <w:t>should be one </w:t>
      </w:r>
      <w:r>
        <w:rPr>
          <w:spacing w:val="2"/>
          <w:w w:val="110"/>
          <w:sz w:val="18"/>
        </w:rPr>
        <w:t>factor </w:t>
      </w:r>
      <w:r>
        <w:rPr>
          <w:w w:val="110"/>
          <w:sz w:val="18"/>
        </w:rPr>
        <w:t>in complex equation rather than ‘legally binding’ over eg. views of </w:t>
      </w:r>
      <w:r>
        <w:rPr>
          <w:spacing w:val="2"/>
          <w:w w:val="110"/>
          <w:sz w:val="18"/>
        </w:rPr>
        <w:t>next </w:t>
      </w:r>
      <w:r>
        <w:rPr>
          <w:w w:val="110"/>
          <w:sz w:val="18"/>
        </w:rPr>
        <w:t>of</w:t>
      </w:r>
      <w:r>
        <w:rPr>
          <w:spacing w:val="1"/>
          <w:w w:val="110"/>
          <w:sz w:val="18"/>
        </w:rPr>
        <w:t> </w:t>
      </w:r>
      <w:r>
        <w:rPr>
          <w:w w:val="110"/>
          <w:sz w:val="18"/>
        </w:rPr>
        <w:t>kin</w:t>
      </w:r>
    </w:p>
    <w:p>
      <w:pPr>
        <w:pStyle w:val="ListParagraph"/>
        <w:numPr>
          <w:ilvl w:val="0"/>
          <w:numId w:val="2"/>
        </w:numPr>
        <w:tabs>
          <w:tab w:pos="1354" w:val="left" w:leader="none"/>
          <w:tab w:pos="1355" w:val="left" w:leader="none"/>
        </w:tabs>
        <w:spacing w:line="218" w:lineRule="auto" w:before="16" w:after="0"/>
        <w:ind w:left="1354" w:right="2234" w:hanging="681"/>
        <w:jc w:val="left"/>
        <w:rPr>
          <w:sz w:val="25"/>
        </w:rPr>
      </w:pPr>
      <w:r>
        <w:rPr>
          <w:w w:val="110"/>
          <w:sz w:val="18"/>
        </w:rPr>
        <w:t>problems with ‘legally binding’ – should be proviso for people to change their mind/review </w:t>
      </w:r>
      <w:r>
        <w:rPr>
          <w:spacing w:val="-7"/>
          <w:w w:val="110"/>
          <w:sz w:val="18"/>
        </w:rPr>
        <w:t>(6) </w:t>
      </w:r>
      <w:r>
        <w:rPr>
          <w:w w:val="110"/>
          <w:sz w:val="18"/>
        </w:rPr>
        <w:t>without pressure </w:t>
      </w:r>
      <w:r>
        <w:rPr>
          <w:spacing w:val="2"/>
          <w:w w:val="110"/>
          <w:sz w:val="18"/>
        </w:rPr>
        <w:t>from</w:t>
      </w:r>
      <w:r>
        <w:rPr>
          <w:spacing w:val="18"/>
          <w:w w:val="110"/>
          <w:sz w:val="18"/>
        </w:rPr>
        <w:t> </w:t>
      </w:r>
      <w:r>
        <w:rPr>
          <w:w w:val="110"/>
          <w:sz w:val="18"/>
        </w:rPr>
        <w:t>relatives</w:t>
      </w:r>
    </w:p>
    <w:p>
      <w:pPr>
        <w:pStyle w:val="ListParagraph"/>
        <w:numPr>
          <w:ilvl w:val="0"/>
          <w:numId w:val="2"/>
        </w:numPr>
        <w:tabs>
          <w:tab w:pos="1354" w:val="left" w:leader="none"/>
          <w:tab w:pos="1355" w:val="left" w:leader="none"/>
        </w:tabs>
        <w:spacing w:line="218" w:lineRule="auto" w:before="25" w:after="0"/>
        <w:ind w:left="1354" w:right="1742" w:hanging="681"/>
        <w:jc w:val="left"/>
        <w:rPr>
          <w:sz w:val="25"/>
        </w:rPr>
      </w:pPr>
      <w:r>
        <w:rPr>
          <w:w w:val="110"/>
          <w:sz w:val="18"/>
        </w:rPr>
        <w:t>as long as there are safeguards, so that potentially curable or ‘improvable’ people are not</w:t>
      </w:r>
      <w:r>
        <w:rPr>
          <w:spacing w:val="1"/>
          <w:w w:val="110"/>
          <w:sz w:val="18"/>
        </w:rPr>
        <w:t> </w:t>
      </w:r>
      <w:r>
        <w:rPr>
          <w:w w:val="110"/>
          <w:sz w:val="18"/>
        </w:rPr>
        <w:t>killed</w:t>
      </w:r>
    </w:p>
    <w:p>
      <w:pPr>
        <w:pStyle w:val="ListParagraph"/>
        <w:numPr>
          <w:ilvl w:val="0"/>
          <w:numId w:val="2"/>
        </w:numPr>
        <w:tabs>
          <w:tab w:pos="1354" w:val="left" w:leader="none"/>
          <w:tab w:pos="1355" w:val="left" w:leader="none"/>
        </w:tabs>
        <w:spacing w:line="277" w:lineRule="exact" w:before="5" w:after="0"/>
        <w:ind w:left="1354" w:right="0" w:hanging="682"/>
        <w:jc w:val="left"/>
        <w:rPr>
          <w:sz w:val="25"/>
        </w:rPr>
      </w:pPr>
      <w:r>
        <w:rPr>
          <w:w w:val="110"/>
          <w:sz w:val="18"/>
        </w:rPr>
        <w:t>legislation must be watertight and not have loopholes allowing wide</w:t>
      </w:r>
      <w:r>
        <w:rPr>
          <w:spacing w:val="44"/>
          <w:w w:val="110"/>
          <w:sz w:val="18"/>
        </w:rPr>
        <w:t> </w:t>
      </w:r>
      <w:r>
        <w:rPr>
          <w:w w:val="110"/>
          <w:sz w:val="18"/>
        </w:rPr>
        <w:t>interpretation</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not totally sure why it should be </w:t>
      </w:r>
      <w:r>
        <w:rPr>
          <w:spacing w:val="2"/>
          <w:w w:val="110"/>
          <w:sz w:val="18"/>
        </w:rPr>
        <w:t>necessary </w:t>
      </w:r>
      <w:r>
        <w:rPr>
          <w:w w:val="110"/>
          <w:sz w:val="18"/>
        </w:rPr>
        <w:t>to take this legal</w:t>
      </w:r>
      <w:r>
        <w:rPr>
          <w:spacing w:val="23"/>
          <w:w w:val="110"/>
          <w:sz w:val="18"/>
        </w:rPr>
        <w:t> </w:t>
      </w:r>
      <w:r>
        <w:rPr>
          <w:w w:val="110"/>
          <w:sz w:val="18"/>
        </w:rPr>
        <w:t>step</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most of us are not decisive enough to make</w:t>
      </w:r>
      <w:r>
        <w:rPr>
          <w:spacing w:val="13"/>
          <w:w w:val="110"/>
          <w:sz w:val="18"/>
        </w:rPr>
        <w:t> </w:t>
      </w:r>
      <w:r>
        <w:rPr>
          <w:w w:val="110"/>
          <w:sz w:val="18"/>
        </w:rPr>
        <w:t>one</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have already made/signed one; want to make </w:t>
      </w:r>
      <w:r>
        <w:rPr>
          <w:spacing w:val="2"/>
          <w:w w:val="110"/>
          <w:sz w:val="18"/>
        </w:rPr>
        <w:t>further</w:t>
      </w:r>
      <w:r>
        <w:rPr>
          <w:spacing w:val="13"/>
          <w:w w:val="110"/>
          <w:sz w:val="18"/>
        </w:rPr>
        <w:t> </w:t>
      </w:r>
      <w:r>
        <w:rPr>
          <w:w w:val="110"/>
          <w:sz w:val="18"/>
        </w:rPr>
        <w:t>enquiries.</w:t>
      </w:r>
    </w:p>
    <w:p>
      <w:pPr>
        <w:pStyle w:val="BodyText"/>
        <w:rPr>
          <w:sz w:val="20"/>
        </w:rPr>
      </w:pPr>
    </w:p>
    <w:p>
      <w:pPr>
        <w:pStyle w:val="BodyText"/>
        <w:spacing w:before="11"/>
        <w:rPr>
          <w:sz w:val="19"/>
        </w:rPr>
      </w:pPr>
      <w:r>
        <w:rPr/>
        <w:pict>
          <v:group style="position:absolute;margin-left:28.722pt;margin-top:14.085772pt;width:491.2pt;height:55.9pt;mso-position-horizontal-relative:page;mso-position-vertical-relative:paragraph;z-index:-251408384;mso-wrap-distance-left:0;mso-wrap-distance-right:0" coordorigin="574,282" coordsize="9824,1118">
            <v:rect style="position:absolute;left:2049;top:471;width:8348;height:893" filled="true" fillcolor="#000000" stroked="false">
              <v:fill opacity="49152f" type="solid"/>
            </v:rect>
            <v:shape style="position:absolute;left:1131;top:664;width:9071;height:617" coordorigin="1131,664" coordsize="9071,617" path="m9962,664l1131,664,1131,1281,9962,1281,10101,1276,10172,1243,10198,1151,10202,973,10198,794,10172,703,10101,669,9962,664xe" filled="true" fillcolor="#ffffff" stroked="false">
              <v:path arrowok="t"/>
              <v:fill type="solid"/>
            </v:shape>
            <v:shape style="position:absolute;left:1131;top:664;width:9071;height:617" coordorigin="1131,664" coordsize="9071,617" path="m10202,973l10198,794,10172,703,10101,669,9962,664,1131,664,1131,1281,9962,1281,10101,1276,10172,1243,10198,1151,10202,973xe" filled="false" stroked="true" strokeweight=".25pt" strokecolor="#000000">
              <v:path arrowok="t"/>
              <v:stroke dashstyle="solid"/>
            </v:shape>
            <v:rect style="position:absolute;left:584;top:369;width:1466;height:1020" filled="true" fillcolor="#ffffff" stroked="false">
              <v:fill type="solid"/>
            </v:rect>
            <v:rect style="position:absolute;left:584;top:369;width:1466;height:1020" filled="false" stroked="true" strokeweight="1pt" strokecolor="#ffffff">
              <v:stroke dashstyle="solid"/>
            </v:rect>
            <v:shape style="position:absolute;left:1133;top:281;width:981;height:766" type="#_x0000_t202" filled="false" stroked="false">
              <v:textbox inset="0,0,0,0">
                <w:txbxContent>
                  <w:p>
                    <w:pPr>
                      <w:spacing w:before="0"/>
                      <w:ind w:left="0" w:right="0" w:firstLine="0"/>
                      <w:jc w:val="left"/>
                      <w:rPr>
                        <w:b/>
                        <w:sz w:val="63"/>
                      </w:rPr>
                    </w:pPr>
                    <w:r>
                      <w:rPr>
                        <w:b/>
                        <w:spacing w:val="-18"/>
                        <w:w w:val="110"/>
                        <w:sz w:val="63"/>
                      </w:rPr>
                      <w:t>10</w:t>
                    </w:r>
                  </w:p>
                </w:txbxContent>
              </v:textbox>
              <w10:wrap type="none"/>
            </v:shape>
            <v:shape style="position:absolute;left:2573;top:734;width:7285;height:219" type="#_x0000_t202" filled="false" stroked="false">
              <v:textbox inset="0,0,0,0">
                <w:txbxContent>
                  <w:p>
                    <w:pPr>
                      <w:spacing w:before="0"/>
                      <w:ind w:left="0" w:right="0" w:firstLine="0"/>
                      <w:jc w:val="left"/>
                      <w:rPr>
                        <w:i/>
                        <w:sz w:val="18"/>
                      </w:rPr>
                    </w:pPr>
                    <w:r>
                      <w:rPr>
                        <w:i/>
                        <w:w w:val="110"/>
                        <w:sz w:val="18"/>
                      </w:rPr>
                      <w:t>In all of this, presumably we would want to promote the need for good,</w:t>
                    </w:r>
                  </w:p>
                </w:txbxContent>
              </v:textbox>
              <w10:wrap type="none"/>
            </v:shape>
            <v:shape style="position:absolute;left:1853;top:984;width:3288;height:219" type="#_x0000_t202" filled="false" stroked="false">
              <v:textbox inset="0,0,0,0">
                <w:txbxContent>
                  <w:p>
                    <w:pPr>
                      <w:spacing w:before="0"/>
                      <w:ind w:left="0" w:right="0" w:firstLine="0"/>
                      <w:jc w:val="left"/>
                      <w:rPr>
                        <w:i/>
                        <w:sz w:val="18"/>
                      </w:rPr>
                    </w:pPr>
                    <w:r>
                      <w:rPr>
                        <w:i/>
                        <w:w w:val="110"/>
                        <w:sz w:val="18"/>
                      </w:rPr>
                      <w:t>readily available, palliative care.</w:t>
                    </w:r>
                  </w:p>
                </w:txbxContent>
              </v:textbox>
              <w10:wrap type="none"/>
            </v:shape>
            <w10:wrap type="topAndBottom"/>
          </v:group>
        </w:pict>
      </w:r>
    </w:p>
    <w:p>
      <w:pPr>
        <w:pStyle w:val="ListParagraph"/>
        <w:numPr>
          <w:ilvl w:val="0"/>
          <w:numId w:val="2"/>
        </w:numPr>
        <w:tabs>
          <w:tab w:pos="1354" w:val="left" w:leader="none"/>
          <w:tab w:pos="1355" w:val="left" w:leader="none"/>
        </w:tabs>
        <w:spacing w:line="277" w:lineRule="exact" w:before="26" w:after="0"/>
        <w:ind w:left="1354" w:right="0" w:hanging="682"/>
        <w:jc w:val="left"/>
        <w:rPr>
          <w:sz w:val="25"/>
        </w:rPr>
      </w:pPr>
      <w:r>
        <w:rPr>
          <w:w w:val="110"/>
          <w:sz w:val="18"/>
        </w:rPr>
        <w:t>all those responding</w:t>
      </w:r>
      <w:r>
        <w:rPr>
          <w:spacing w:val="2"/>
          <w:w w:val="110"/>
          <w:sz w:val="18"/>
        </w:rPr>
        <w:t> </w:t>
      </w:r>
      <w:r>
        <w:rPr>
          <w:w w:val="110"/>
          <w:sz w:val="18"/>
        </w:rPr>
        <w:t>agree</w:t>
      </w:r>
    </w:p>
    <w:p>
      <w:pPr>
        <w:pStyle w:val="ListParagraph"/>
        <w:numPr>
          <w:ilvl w:val="0"/>
          <w:numId w:val="2"/>
        </w:numPr>
        <w:tabs>
          <w:tab w:pos="1354" w:val="left" w:leader="none"/>
          <w:tab w:pos="1355" w:val="left" w:leader="none"/>
        </w:tabs>
        <w:spacing w:line="265" w:lineRule="exact" w:before="0" w:after="0"/>
        <w:ind w:left="1354" w:right="0" w:hanging="682"/>
        <w:jc w:val="left"/>
        <w:rPr>
          <w:sz w:val="25"/>
        </w:rPr>
      </w:pPr>
      <w:r>
        <w:rPr>
          <w:w w:val="110"/>
          <w:sz w:val="18"/>
        </w:rPr>
        <w:t>need equivalent of hospices/Macmillan nurses for dementia </w:t>
      </w:r>
      <w:r>
        <w:rPr>
          <w:spacing w:val="3"/>
          <w:w w:val="110"/>
          <w:sz w:val="18"/>
        </w:rPr>
        <w:t>sufferers </w:t>
      </w:r>
      <w:r>
        <w:rPr>
          <w:w w:val="110"/>
          <w:sz w:val="18"/>
        </w:rPr>
        <w:t>and</w:t>
      </w:r>
      <w:r>
        <w:rPr>
          <w:spacing w:val="38"/>
          <w:w w:val="110"/>
          <w:sz w:val="18"/>
        </w:rPr>
        <w:t> </w:t>
      </w:r>
      <w:r>
        <w:rPr>
          <w:w w:val="110"/>
          <w:sz w:val="18"/>
        </w:rPr>
        <w:t>families</w:t>
      </w:r>
    </w:p>
    <w:p>
      <w:pPr>
        <w:pStyle w:val="BodyText"/>
        <w:spacing w:line="207" w:lineRule="exact"/>
        <w:ind w:left="1354"/>
      </w:pPr>
      <w:r>
        <w:rPr>
          <w:w w:val="110"/>
        </w:rPr>
        <w:t>– would appreciate if C&amp;S committee could look into this</w:t>
      </w:r>
    </w:p>
    <w:p>
      <w:pPr>
        <w:pStyle w:val="ListParagraph"/>
        <w:numPr>
          <w:ilvl w:val="0"/>
          <w:numId w:val="2"/>
        </w:numPr>
        <w:tabs>
          <w:tab w:pos="1354" w:val="left" w:leader="none"/>
          <w:tab w:pos="1355" w:val="left" w:leader="none"/>
        </w:tabs>
        <w:spacing w:line="277" w:lineRule="exact" w:before="1" w:after="0"/>
        <w:ind w:left="1354" w:right="0" w:hanging="682"/>
        <w:jc w:val="left"/>
        <w:rPr>
          <w:sz w:val="25"/>
        </w:rPr>
      </w:pPr>
      <w:r>
        <w:rPr>
          <w:w w:val="110"/>
          <w:sz w:val="18"/>
        </w:rPr>
        <w:t>need for hospices to be able to manage proper home</w:t>
      </w:r>
      <w:r>
        <w:rPr>
          <w:spacing w:val="25"/>
          <w:w w:val="110"/>
          <w:sz w:val="18"/>
        </w:rPr>
        <w:t> </w:t>
      </w:r>
      <w:r>
        <w:rPr>
          <w:w w:val="110"/>
          <w:sz w:val="18"/>
        </w:rPr>
        <w:t>treatment</w:t>
      </w:r>
    </w:p>
    <w:p>
      <w:pPr>
        <w:pStyle w:val="ListParagraph"/>
        <w:numPr>
          <w:ilvl w:val="0"/>
          <w:numId w:val="2"/>
        </w:numPr>
        <w:tabs>
          <w:tab w:pos="1354" w:val="left" w:leader="none"/>
          <w:tab w:pos="1355" w:val="left" w:leader="none"/>
        </w:tabs>
        <w:spacing w:line="218" w:lineRule="auto" w:before="0" w:after="0"/>
        <w:ind w:left="1354" w:right="2271" w:hanging="681"/>
        <w:jc w:val="left"/>
        <w:rPr>
          <w:sz w:val="25"/>
        </w:rPr>
      </w:pPr>
      <w:r>
        <w:rPr>
          <w:w w:val="110"/>
          <w:sz w:val="18"/>
        </w:rPr>
        <w:t>example of continuing </w:t>
      </w:r>
      <w:r>
        <w:rPr>
          <w:spacing w:val="2"/>
          <w:w w:val="110"/>
          <w:sz w:val="18"/>
        </w:rPr>
        <w:t>heart </w:t>
      </w:r>
      <w:r>
        <w:rPr>
          <w:w w:val="110"/>
          <w:sz w:val="18"/>
        </w:rPr>
        <w:t>medication for 90 year old with total dementia/ incapacitated</w:t>
      </w:r>
      <w:r>
        <w:rPr>
          <w:spacing w:val="16"/>
          <w:w w:val="110"/>
          <w:sz w:val="18"/>
        </w:rPr>
        <w:t> </w:t>
      </w:r>
      <w:r>
        <w:rPr>
          <w:spacing w:val="2"/>
          <w:w w:val="110"/>
          <w:sz w:val="18"/>
        </w:rPr>
        <w:t>after</w:t>
      </w:r>
      <w:r>
        <w:rPr>
          <w:spacing w:val="17"/>
          <w:w w:val="110"/>
          <w:sz w:val="18"/>
        </w:rPr>
        <w:t> </w:t>
      </w:r>
      <w:r>
        <w:rPr>
          <w:w w:val="110"/>
          <w:sz w:val="18"/>
        </w:rPr>
        <w:t>severe</w:t>
      </w:r>
      <w:r>
        <w:rPr>
          <w:spacing w:val="17"/>
          <w:w w:val="110"/>
          <w:sz w:val="18"/>
        </w:rPr>
        <w:t> </w:t>
      </w:r>
      <w:r>
        <w:rPr>
          <w:w w:val="110"/>
          <w:sz w:val="18"/>
        </w:rPr>
        <w:t>stroke:</w:t>
      </w:r>
      <w:r>
        <w:rPr>
          <w:spacing w:val="17"/>
          <w:w w:val="110"/>
          <w:sz w:val="18"/>
        </w:rPr>
        <w:t> </w:t>
      </w:r>
      <w:r>
        <w:rPr>
          <w:w w:val="110"/>
          <w:sz w:val="18"/>
        </w:rPr>
        <w:t>family</w:t>
      </w:r>
      <w:r>
        <w:rPr>
          <w:spacing w:val="17"/>
          <w:w w:val="110"/>
          <w:sz w:val="18"/>
        </w:rPr>
        <w:t> </w:t>
      </w:r>
      <w:r>
        <w:rPr>
          <w:w w:val="110"/>
          <w:sz w:val="18"/>
        </w:rPr>
        <w:t>suggested</w:t>
      </w:r>
      <w:r>
        <w:rPr>
          <w:spacing w:val="17"/>
          <w:w w:val="110"/>
          <w:sz w:val="18"/>
        </w:rPr>
        <w:t> </w:t>
      </w:r>
      <w:r>
        <w:rPr>
          <w:w w:val="110"/>
          <w:sz w:val="18"/>
        </w:rPr>
        <w:t>stopping</w:t>
      </w:r>
      <w:r>
        <w:rPr>
          <w:spacing w:val="17"/>
          <w:w w:val="110"/>
          <w:sz w:val="18"/>
        </w:rPr>
        <w:t> </w:t>
      </w:r>
      <w:r>
        <w:rPr>
          <w:w w:val="110"/>
          <w:sz w:val="18"/>
        </w:rPr>
        <w:t>medication</w:t>
      </w:r>
      <w:r>
        <w:rPr>
          <w:spacing w:val="16"/>
          <w:w w:val="110"/>
          <w:sz w:val="18"/>
        </w:rPr>
        <w:t> </w:t>
      </w:r>
      <w:r>
        <w:rPr>
          <w:w w:val="110"/>
          <w:sz w:val="18"/>
        </w:rPr>
        <w:t>and</w:t>
      </w:r>
    </w:p>
    <w:p>
      <w:pPr>
        <w:pStyle w:val="BodyText"/>
        <w:spacing w:before="27"/>
        <w:ind w:left="1354"/>
      </w:pPr>
      <w:r>
        <w:rPr>
          <w:w w:val="110"/>
        </w:rPr>
        <w:t>letting death occur naturally: accused of seeking euthanasia</w:t>
      </w:r>
    </w:p>
    <w:p>
      <w:pPr>
        <w:pStyle w:val="ListParagraph"/>
        <w:numPr>
          <w:ilvl w:val="0"/>
          <w:numId w:val="2"/>
        </w:numPr>
        <w:tabs>
          <w:tab w:pos="1354" w:val="left" w:leader="none"/>
          <w:tab w:pos="1355" w:val="left" w:leader="none"/>
        </w:tabs>
        <w:spacing w:line="277" w:lineRule="exact" w:before="1" w:after="0"/>
        <w:ind w:left="1354" w:right="0" w:hanging="682"/>
        <w:jc w:val="left"/>
        <w:rPr>
          <w:sz w:val="25"/>
        </w:rPr>
      </w:pPr>
      <w:r>
        <w:rPr>
          <w:w w:val="110"/>
          <w:sz w:val="18"/>
        </w:rPr>
        <w:t>yes, but not as excuse to avoid grappling with the other issues</w:t>
      </w:r>
      <w:r>
        <w:rPr>
          <w:spacing w:val="24"/>
          <w:w w:val="110"/>
          <w:sz w:val="18"/>
        </w:rPr>
        <w:t> </w:t>
      </w:r>
      <w:r>
        <w:rPr>
          <w:spacing w:val="-6"/>
          <w:w w:val="110"/>
          <w:sz w:val="18"/>
        </w:rPr>
        <w:t>(3)</w:t>
      </w:r>
    </w:p>
    <w:p>
      <w:pPr>
        <w:pStyle w:val="ListParagraph"/>
        <w:numPr>
          <w:ilvl w:val="0"/>
          <w:numId w:val="2"/>
        </w:numPr>
        <w:tabs>
          <w:tab w:pos="1354" w:val="left" w:leader="none"/>
          <w:tab w:pos="1355" w:val="left" w:leader="none"/>
        </w:tabs>
        <w:spacing w:line="218" w:lineRule="auto" w:before="0" w:after="0"/>
        <w:ind w:left="1354" w:right="2014" w:hanging="681"/>
        <w:jc w:val="left"/>
        <w:rPr>
          <w:sz w:val="25"/>
        </w:rPr>
      </w:pPr>
      <w:r>
        <w:rPr>
          <w:w w:val="110"/>
          <w:sz w:val="18"/>
        </w:rPr>
        <w:t>yes, especially if patient can return home/move to proper accommodation for </w:t>
      </w:r>
      <w:r>
        <w:rPr>
          <w:spacing w:val="2"/>
          <w:w w:val="110"/>
          <w:sz w:val="18"/>
        </w:rPr>
        <w:t>care</w:t>
      </w:r>
      <w:r>
        <w:rPr>
          <w:spacing w:val="9"/>
          <w:w w:val="110"/>
          <w:sz w:val="18"/>
        </w:rPr>
        <w:t> </w:t>
      </w:r>
      <w:r>
        <w:rPr>
          <w:w w:val="110"/>
          <w:sz w:val="18"/>
        </w:rPr>
        <w:t>–</w:t>
      </w:r>
      <w:r>
        <w:rPr>
          <w:spacing w:val="9"/>
          <w:w w:val="110"/>
          <w:sz w:val="18"/>
        </w:rPr>
        <w:t> </w:t>
      </w:r>
      <w:r>
        <w:rPr>
          <w:w w:val="110"/>
          <w:sz w:val="18"/>
        </w:rPr>
        <w:t>hospices</w:t>
      </w:r>
      <w:r>
        <w:rPr>
          <w:spacing w:val="9"/>
          <w:w w:val="110"/>
          <w:sz w:val="18"/>
        </w:rPr>
        <w:t> </w:t>
      </w:r>
      <w:r>
        <w:rPr>
          <w:w w:val="110"/>
          <w:sz w:val="18"/>
        </w:rPr>
        <w:t>can’t</w:t>
      </w:r>
      <w:r>
        <w:rPr>
          <w:spacing w:val="9"/>
          <w:w w:val="110"/>
          <w:sz w:val="18"/>
        </w:rPr>
        <w:t> </w:t>
      </w:r>
      <w:r>
        <w:rPr>
          <w:w w:val="110"/>
          <w:sz w:val="18"/>
        </w:rPr>
        <w:t>take</w:t>
      </w:r>
      <w:r>
        <w:rPr>
          <w:spacing w:val="9"/>
          <w:w w:val="110"/>
          <w:sz w:val="18"/>
        </w:rPr>
        <w:t> </w:t>
      </w:r>
      <w:r>
        <w:rPr>
          <w:w w:val="110"/>
          <w:sz w:val="18"/>
        </w:rPr>
        <w:t>all</w:t>
      </w:r>
      <w:r>
        <w:rPr>
          <w:spacing w:val="8"/>
          <w:w w:val="110"/>
          <w:sz w:val="18"/>
        </w:rPr>
        <w:t> </w:t>
      </w:r>
      <w:r>
        <w:rPr>
          <w:w w:val="110"/>
          <w:sz w:val="18"/>
        </w:rPr>
        <w:t>who</w:t>
      </w:r>
      <w:r>
        <w:rPr>
          <w:spacing w:val="9"/>
          <w:w w:val="110"/>
          <w:sz w:val="18"/>
        </w:rPr>
        <w:t> </w:t>
      </w:r>
      <w:r>
        <w:rPr>
          <w:w w:val="110"/>
          <w:sz w:val="18"/>
        </w:rPr>
        <w:t>need</w:t>
      </w:r>
      <w:r>
        <w:rPr>
          <w:spacing w:val="9"/>
          <w:w w:val="110"/>
          <w:sz w:val="18"/>
        </w:rPr>
        <w:t> </w:t>
      </w:r>
      <w:r>
        <w:rPr>
          <w:w w:val="110"/>
          <w:sz w:val="18"/>
        </w:rPr>
        <w:t>to</w:t>
      </w:r>
      <w:r>
        <w:rPr>
          <w:spacing w:val="9"/>
          <w:w w:val="110"/>
          <w:sz w:val="18"/>
        </w:rPr>
        <w:t> </w:t>
      </w:r>
      <w:r>
        <w:rPr>
          <w:w w:val="110"/>
          <w:sz w:val="18"/>
        </w:rPr>
        <w:t>be</w:t>
      </w:r>
      <w:r>
        <w:rPr>
          <w:spacing w:val="9"/>
          <w:w w:val="110"/>
          <w:sz w:val="18"/>
        </w:rPr>
        <w:t> </w:t>
      </w:r>
      <w:r>
        <w:rPr>
          <w:w w:val="110"/>
          <w:sz w:val="18"/>
        </w:rPr>
        <w:t>monitored</w:t>
      </w:r>
      <w:r>
        <w:rPr>
          <w:spacing w:val="9"/>
          <w:w w:val="110"/>
          <w:sz w:val="18"/>
        </w:rPr>
        <w:t> </w:t>
      </w:r>
      <w:r>
        <w:rPr>
          <w:w w:val="110"/>
          <w:sz w:val="18"/>
        </w:rPr>
        <w:t>–</w:t>
      </w:r>
      <w:r>
        <w:rPr>
          <w:spacing w:val="9"/>
          <w:w w:val="110"/>
          <w:sz w:val="18"/>
        </w:rPr>
        <w:t> </w:t>
      </w:r>
      <w:r>
        <w:rPr>
          <w:w w:val="110"/>
          <w:sz w:val="18"/>
        </w:rPr>
        <w:t>hospitals</w:t>
      </w:r>
      <w:r>
        <w:rPr>
          <w:spacing w:val="9"/>
          <w:w w:val="110"/>
          <w:sz w:val="18"/>
        </w:rPr>
        <w:t> </w:t>
      </w:r>
      <w:r>
        <w:rPr>
          <w:w w:val="110"/>
          <w:sz w:val="18"/>
        </w:rPr>
        <w:t>are</w:t>
      </w:r>
      <w:r>
        <w:rPr>
          <w:spacing w:val="9"/>
          <w:w w:val="110"/>
          <w:sz w:val="18"/>
        </w:rPr>
        <w:t> </w:t>
      </w:r>
      <w:r>
        <w:rPr>
          <w:w w:val="110"/>
          <w:sz w:val="18"/>
        </w:rPr>
        <w:t>not</w:t>
      </w:r>
      <w:r>
        <w:rPr>
          <w:spacing w:val="9"/>
          <w:w w:val="110"/>
          <w:sz w:val="18"/>
        </w:rPr>
        <w:t> </w:t>
      </w:r>
      <w:r>
        <w:rPr>
          <w:w w:val="110"/>
          <w:sz w:val="18"/>
        </w:rPr>
        <w:t>the</w:t>
      </w:r>
    </w:p>
    <w:p>
      <w:pPr>
        <w:pStyle w:val="BodyText"/>
        <w:spacing w:before="28"/>
        <w:ind w:left="1354"/>
      </w:pPr>
      <w:r>
        <w:rPr>
          <w:w w:val="110"/>
        </w:rPr>
        <w:t>place for the terminally </w:t>
      </w:r>
      <w:r>
        <w:rPr>
          <w:spacing w:val="-3"/>
          <w:w w:val="110"/>
        </w:rPr>
        <w:t>ill; </w:t>
      </w:r>
      <w:r>
        <w:rPr>
          <w:w w:val="110"/>
        </w:rPr>
        <w:t>geriatric wards are no place to end a life with</w:t>
      </w:r>
      <w:r>
        <w:rPr>
          <w:spacing w:val="56"/>
          <w:w w:val="110"/>
        </w:rPr>
        <w:t> </w:t>
      </w:r>
      <w:r>
        <w:rPr>
          <w:w w:val="110"/>
        </w:rPr>
        <w:t>dignity</w:t>
      </w:r>
    </w:p>
    <w:p>
      <w:pPr>
        <w:pStyle w:val="ListParagraph"/>
        <w:numPr>
          <w:ilvl w:val="0"/>
          <w:numId w:val="2"/>
        </w:numPr>
        <w:tabs>
          <w:tab w:pos="1354" w:val="left" w:leader="none"/>
          <w:tab w:pos="1355" w:val="left" w:leader="none"/>
        </w:tabs>
        <w:spacing w:line="218" w:lineRule="auto" w:before="20" w:after="0"/>
        <w:ind w:left="1354" w:right="1719" w:hanging="681"/>
        <w:jc w:val="left"/>
        <w:rPr>
          <w:sz w:val="25"/>
        </w:rPr>
      </w:pPr>
      <w:r>
        <w:rPr>
          <w:w w:val="110"/>
          <w:sz w:val="18"/>
        </w:rPr>
        <w:t>hospice movement/hospices are beacons of light </w:t>
      </w:r>
      <w:r>
        <w:rPr>
          <w:spacing w:val="-9"/>
          <w:w w:val="110"/>
          <w:sz w:val="18"/>
        </w:rPr>
        <w:t>(8); </w:t>
      </w:r>
      <w:r>
        <w:rPr>
          <w:w w:val="110"/>
          <w:sz w:val="18"/>
        </w:rPr>
        <w:t>their role in </w:t>
      </w:r>
      <w:r>
        <w:rPr>
          <w:spacing w:val="2"/>
          <w:w w:val="110"/>
          <w:sz w:val="18"/>
        </w:rPr>
        <w:t>care </w:t>
      </w:r>
      <w:r>
        <w:rPr>
          <w:w w:val="110"/>
          <w:sz w:val="18"/>
        </w:rPr>
        <w:t>and dignity for the terminally ill must be emphasised and </w:t>
      </w:r>
      <w:r>
        <w:rPr>
          <w:spacing w:val="2"/>
          <w:w w:val="110"/>
          <w:sz w:val="18"/>
        </w:rPr>
        <w:t>extended </w:t>
      </w:r>
      <w:r>
        <w:rPr>
          <w:w w:val="110"/>
          <w:sz w:val="18"/>
        </w:rPr>
        <w:t>with NHS</w:t>
      </w:r>
      <w:r>
        <w:rPr>
          <w:spacing w:val="51"/>
          <w:w w:val="110"/>
          <w:sz w:val="18"/>
        </w:rPr>
        <w:t> </w:t>
      </w:r>
      <w:r>
        <w:rPr>
          <w:w w:val="110"/>
          <w:sz w:val="18"/>
        </w:rPr>
        <w:t>finance</w:t>
      </w:r>
    </w:p>
    <w:p>
      <w:pPr>
        <w:pStyle w:val="ListParagraph"/>
        <w:numPr>
          <w:ilvl w:val="0"/>
          <w:numId w:val="2"/>
        </w:numPr>
        <w:tabs>
          <w:tab w:pos="1354" w:val="left" w:leader="none"/>
          <w:tab w:pos="1355" w:val="left" w:leader="none"/>
        </w:tabs>
        <w:spacing w:line="277" w:lineRule="exact" w:before="5" w:after="0"/>
        <w:ind w:left="1354" w:right="0" w:hanging="682"/>
        <w:jc w:val="left"/>
        <w:rPr>
          <w:sz w:val="25"/>
        </w:rPr>
      </w:pPr>
      <w:r>
        <w:rPr>
          <w:w w:val="110"/>
          <w:sz w:val="18"/>
        </w:rPr>
        <w:t>urgent need for </w:t>
      </w:r>
      <w:r>
        <w:rPr>
          <w:spacing w:val="2"/>
          <w:w w:val="110"/>
          <w:sz w:val="18"/>
        </w:rPr>
        <w:t>practical </w:t>
      </w:r>
      <w:r>
        <w:rPr>
          <w:w w:val="110"/>
          <w:sz w:val="18"/>
        </w:rPr>
        <w:t>and emotional support for</w:t>
      </w:r>
      <w:r>
        <w:rPr>
          <w:spacing w:val="14"/>
          <w:w w:val="110"/>
          <w:sz w:val="18"/>
        </w:rPr>
        <w:t> </w:t>
      </w:r>
      <w:r>
        <w:rPr>
          <w:spacing w:val="3"/>
          <w:w w:val="110"/>
          <w:sz w:val="18"/>
        </w:rPr>
        <w:t>carers</w:t>
      </w:r>
    </w:p>
    <w:p>
      <w:pPr>
        <w:pStyle w:val="ListParagraph"/>
        <w:numPr>
          <w:ilvl w:val="0"/>
          <w:numId w:val="2"/>
        </w:numPr>
        <w:tabs>
          <w:tab w:pos="1354" w:val="left" w:leader="none"/>
          <w:tab w:pos="1355" w:val="left" w:leader="none"/>
        </w:tabs>
        <w:spacing w:line="218" w:lineRule="auto" w:before="0" w:after="0"/>
        <w:ind w:left="1354" w:right="2159" w:hanging="681"/>
        <w:jc w:val="left"/>
        <w:rPr>
          <w:sz w:val="25"/>
        </w:rPr>
      </w:pPr>
      <w:r>
        <w:rPr>
          <w:w w:val="110"/>
          <w:sz w:val="18"/>
        </w:rPr>
        <w:t>should be government funded/part of NHS </w:t>
      </w:r>
      <w:r>
        <w:rPr>
          <w:spacing w:val="-5"/>
          <w:w w:val="110"/>
          <w:sz w:val="18"/>
        </w:rPr>
        <w:t>(5), </w:t>
      </w:r>
      <w:r>
        <w:rPr>
          <w:w w:val="110"/>
          <w:sz w:val="18"/>
        </w:rPr>
        <w:t>and not dependent on charity/ ‘luck of the draw’/postcode</w:t>
      </w:r>
      <w:r>
        <w:rPr>
          <w:spacing w:val="4"/>
          <w:w w:val="110"/>
          <w:sz w:val="18"/>
        </w:rPr>
        <w:t> </w:t>
      </w:r>
      <w:r>
        <w:rPr>
          <w:spacing w:val="3"/>
          <w:w w:val="110"/>
          <w:sz w:val="18"/>
        </w:rPr>
        <w:t>lottery</w:t>
      </w: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specially trained staff can </w:t>
      </w:r>
      <w:r>
        <w:rPr>
          <w:spacing w:val="-3"/>
          <w:w w:val="110"/>
          <w:sz w:val="18"/>
        </w:rPr>
        <w:t>make </w:t>
      </w:r>
      <w:r>
        <w:rPr>
          <w:w w:val="110"/>
          <w:sz w:val="18"/>
        </w:rPr>
        <w:t>a huge difference to patients and those left</w:t>
      </w:r>
      <w:r>
        <w:rPr>
          <w:spacing w:val="-24"/>
          <w:w w:val="110"/>
          <w:sz w:val="18"/>
        </w:rPr>
        <w:t> </w:t>
      </w:r>
      <w:r>
        <w:rPr>
          <w:w w:val="110"/>
          <w:sz w:val="18"/>
        </w:rPr>
        <w:t>behind</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especially in hospitals; perception is that hospices do </w:t>
      </w:r>
      <w:r>
        <w:rPr>
          <w:spacing w:val="2"/>
          <w:w w:val="110"/>
          <w:sz w:val="18"/>
        </w:rPr>
        <w:t>better </w:t>
      </w:r>
      <w:r>
        <w:rPr>
          <w:w w:val="110"/>
          <w:sz w:val="18"/>
        </w:rPr>
        <w:t>job than</w:t>
      </w:r>
      <w:r>
        <w:rPr>
          <w:spacing w:val="33"/>
          <w:w w:val="110"/>
          <w:sz w:val="18"/>
        </w:rPr>
        <w:t> </w:t>
      </w:r>
      <w:r>
        <w:rPr>
          <w:w w:val="110"/>
          <w:sz w:val="18"/>
        </w:rPr>
        <w:t>NHS</w:t>
      </w:r>
    </w:p>
    <w:p>
      <w:pPr>
        <w:pStyle w:val="ListParagraph"/>
        <w:numPr>
          <w:ilvl w:val="0"/>
          <w:numId w:val="2"/>
        </w:numPr>
        <w:tabs>
          <w:tab w:pos="1354" w:val="left" w:leader="none"/>
          <w:tab w:pos="1355" w:val="left" w:leader="none"/>
        </w:tabs>
        <w:spacing w:line="218" w:lineRule="auto" w:before="0" w:after="0"/>
        <w:ind w:left="1354" w:right="2031" w:hanging="681"/>
        <w:jc w:val="left"/>
        <w:rPr>
          <w:sz w:val="25"/>
        </w:rPr>
      </w:pPr>
      <w:r>
        <w:rPr>
          <w:w w:val="110"/>
          <w:sz w:val="18"/>
        </w:rPr>
        <w:t>if good, readily available palliative </w:t>
      </w:r>
      <w:r>
        <w:rPr>
          <w:spacing w:val="2"/>
          <w:w w:val="110"/>
          <w:sz w:val="18"/>
        </w:rPr>
        <w:t>care </w:t>
      </w:r>
      <w:r>
        <w:rPr>
          <w:w w:val="110"/>
          <w:sz w:val="18"/>
        </w:rPr>
        <w:t>was a common </w:t>
      </w:r>
      <w:r>
        <w:rPr>
          <w:spacing w:val="2"/>
          <w:w w:val="110"/>
          <w:sz w:val="18"/>
        </w:rPr>
        <w:t>fact </w:t>
      </w:r>
      <w:r>
        <w:rPr>
          <w:w w:val="110"/>
          <w:sz w:val="18"/>
        </w:rPr>
        <w:t>then assisted dying would hardly be needed</w:t>
      </w:r>
      <w:r>
        <w:rPr>
          <w:spacing w:val="4"/>
          <w:w w:val="110"/>
          <w:sz w:val="18"/>
        </w:rPr>
        <w:t> </w:t>
      </w:r>
      <w:r>
        <w:rPr>
          <w:spacing w:val="-6"/>
          <w:w w:val="110"/>
          <w:sz w:val="18"/>
        </w:rPr>
        <w:t>(3)</w:t>
      </w:r>
    </w:p>
    <w:p>
      <w:pPr>
        <w:pStyle w:val="ListParagraph"/>
        <w:numPr>
          <w:ilvl w:val="0"/>
          <w:numId w:val="2"/>
        </w:numPr>
        <w:tabs>
          <w:tab w:pos="1354" w:val="left" w:leader="none"/>
          <w:tab w:pos="1355" w:val="left" w:leader="none"/>
        </w:tabs>
        <w:spacing w:line="250" w:lineRule="exact" w:before="7" w:after="0"/>
        <w:ind w:left="1354" w:right="1835" w:hanging="681"/>
        <w:jc w:val="left"/>
        <w:rPr>
          <w:sz w:val="25"/>
        </w:rPr>
      </w:pPr>
      <w:r>
        <w:rPr>
          <w:w w:val="110"/>
          <w:sz w:val="18"/>
        </w:rPr>
        <w:t>this is where society’s money and </w:t>
      </w:r>
      <w:r>
        <w:rPr>
          <w:spacing w:val="2"/>
          <w:w w:val="110"/>
          <w:sz w:val="18"/>
        </w:rPr>
        <w:t>research </w:t>
      </w:r>
      <w:r>
        <w:rPr>
          <w:w w:val="110"/>
          <w:sz w:val="18"/>
        </w:rPr>
        <w:t>should be going – if assisted dying </w:t>
      </w:r>
      <w:r>
        <w:rPr>
          <w:spacing w:val="2"/>
          <w:w w:val="110"/>
          <w:sz w:val="18"/>
        </w:rPr>
        <w:t>became </w:t>
      </w:r>
      <w:r>
        <w:rPr>
          <w:w w:val="110"/>
          <w:sz w:val="18"/>
        </w:rPr>
        <w:t>legal, less time and money would be put into promoting and researching palliative care.</w:t>
      </w:r>
    </w:p>
    <w:p>
      <w:pPr>
        <w:spacing w:after="0" w:line="250" w:lineRule="exact"/>
        <w:jc w:val="left"/>
        <w:rPr>
          <w:sz w:val="25"/>
        </w:rPr>
        <w:sectPr>
          <w:pgSz w:w="11910" w:h="16840"/>
          <w:pgMar w:header="558" w:footer="564" w:top="820" w:bottom="760" w:left="460" w:right="0"/>
        </w:sectPr>
      </w:pPr>
    </w:p>
    <w:p>
      <w:pPr>
        <w:pStyle w:val="BodyText"/>
        <w:spacing w:before="4"/>
        <w:rPr>
          <w:sz w:val="16"/>
        </w:rPr>
      </w:pPr>
    </w:p>
    <w:p>
      <w:pPr>
        <w:pStyle w:val="Heading4"/>
      </w:pPr>
      <w:r>
        <w:rPr/>
        <w:pict>
          <v:shape style="position:absolute;margin-left:523.527466pt;margin-top:-10.928051pt;width:50.65pt;height:325.4pt;mso-position-horizontal-relative:page;mso-position-vertical-relative:paragraph;z-index:251909120" type="#_x0000_t202" filled="false" stroked="false">
            <v:textbox inset="0,0,0,0" style="layout-flow:vertical">
              <w:txbxContent>
                <w:p>
                  <w:pPr>
                    <w:spacing w:before="20"/>
                    <w:ind w:left="20" w:right="0" w:firstLine="0"/>
                    <w:jc w:val="left"/>
                    <w:rPr>
                      <w:b/>
                      <w:sz w:val="80"/>
                    </w:rPr>
                  </w:pPr>
                  <w:r>
                    <w:rPr>
                      <w:b/>
                      <w:spacing w:val="-10"/>
                      <w:sz w:val="80"/>
                    </w:rPr>
                    <w:t>Assisted </w:t>
                  </w:r>
                  <w:r>
                    <w:rPr>
                      <w:b/>
                      <w:spacing w:val="-17"/>
                      <w:sz w:val="80"/>
                    </w:rPr>
                    <w:t>Dying</w:t>
                  </w:r>
                </w:p>
              </w:txbxContent>
            </v:textbox>
            <w10:wrap type="none"/>
          </v:shape>
        </w:pict>
      </w:r>
      <w:r>
        <w:rPr>
          <w:w w:val="110"/>
        </w:rPr>
        <w:t>Appendix B</w:t>
      </w:r>
    </w:p>
    <w:p>
      <w:pPr>
        <w:pStyle w:val="Heading9"/>
        <w:spacing w:before="213"/>
      </w:pPr>
      <w:r>
        <w:rPr>
          <w:w w:val="110"/>
        </w:rPr>
        <w:t>Example of a Living Will (Advance directive)</w:t>
      </w:r>
    </w:p>
    <w:p>
      <w:pPr>
        <w:pStyle w:val="BodyText"/>
        <w:spacing w:line="273" w:lineRule="auto" w:before="258"/>
        <w:ind w:left="1240" w:right="1593"/>
      </w:pPr>
      <w:r>
        <w:rPr>
          <w:w w:val="110"/>
        </w:rPr>
        <w:t>The preparation of a Living Will can offer peace of mind to certain people, and assistance to medical practitioners who may be involved in their treatment.</w:t>
      </w:r>
    </w:p>
    <w:p>
      <w:pPr>
        <w:pStyle w:val="BodyText"/>
        <w:spacing w:line="273" w:lineRule="auto" w:before="2"/>
        <w:ind w:left="1240" w:right="2397"/>
      </w:pPr>
      <w:r>
        <w:rPr>
          <w:w w:val="110"/>
        </w:rPr>
        <w:t>It is becoming more common for individuals to record on a simple form what they wish to happen in their medical care in the future, especially near the end of their life, if they are unable to convey their wishes to their carers, both</w:t>
      </w:r>
    </w:p>
    <w:p>
      <w:pPr>
        <w:pStyle w:val="BodyText"/>
        <w:spacing w:line="273" w:lineRule="auto" w:before="2"/>
        <w:ind w:left="1240" w:right="2124"/>
      </w:pPr>
      <w:r>
        <w:rPr>
          <w:w w:val="110"/>
        </w:rPr>
        <w:t>medical and personal. This may be because they are physically and/or mentally incapacitated, or are unconscious. It concerns their wishes on whether or not they want to be resuscitated or kept alive artificially.</w:t>
      </w:r>
    </w:p>
    <w:p>
      <w:pPr>
        <w:pStyle w:val="BodyText"/>
        <w:spacing w:before="8"/>
        <w:rPr>
          <w:sz w:val="20"/>
        </w:rPr>
      </w:pPr>
    </w:p>
    <w:p>
      <w:pPr>
        <w:pStyle w:val="BodyText"/>
        <w:spacing w:line="273" w:lineRule="auto"/>
        <w:ind w:left="1240" w:right="2348"/>
      </w:pPr>
      <w:r>
        <w:rPr>
          <w:w w:val="110"/>
        </w:rPr>
        <w:t>It is possible to write a simple signed statement, or there are various forms available to help. An example of such a form appears below. </w:t>
      </w:r>
      <w:r>
        <w:rPr>
          <w:spacing w:val="-3"/>
          <w:w w:val="110"/>
        </w:rPr>
        <w:t>However, </w:t>
      </w:r>
      <w:r>
        <w:rPr>
          <w:w w:val="110"/>
        </w:rPr>
        <w:t>this is not the only form of words which could be used. Every person’s situation is different, and you should consider whether, in your particular circumstances, you need to seek the advice of a solicitor to see whether a more detailed document would be advisable. Remember that a Living Will is different </w:t>
      </w:r>
      <w:r>
        <w:rPr>
          <w:spacing w:val="2"/>
          <w:w w:val="110"/>
        </w:rPr>
        <w:t>from </w:t>
      </w:r>
      <w:r>
        <w:rPr>
          <w:w w:val="110"/>
        </w:rPr>
        <w:t>any ordinary will which you may have made, or make, and which</w:t>
      </w:r>
      <w:r>
        <w:rPr>
          <w:spacing w:val="51"/>
          <w:w w:val="110"/>
        </w:rPr>
        <w:t> </w:t>
      </w:r>
      <w:r>
        <w:rPr>
          <w:w w:val="110"/>
        </w:rPr>
        <w:t>relates</w:t>
      </w:r>
    </w:p>
    <w:p>
      <w:pPr>
        <w:pStyle w:val="BodyText"/>
        <w:spacing w:line="273" w:lineRule="auto" w:before="5"/>
        <w:ind w:left="1240" w:right="2137"/>
      </w:pPr>
      <w:r>
        <w:rPr>
          <w:w w:val="110"/>
        </w:rPr>
        <w:t>to </w:t>
      </w:r>
      <w:r>
        <w:rPr>
          <w:spacing w:val="2"/>
          <w:w w:val="110"/>
        </w:rPr>
        <w:t>assets </w:t>
      </w:r>
      <w:r>
        <w:rPr>
          <w:w w:val="110"/>
        </w:rPr>
        <w:t>you own. The important thing is that others know that you have </w:t>
      </w:r>
      <w:r>
        <w:rPr>
          <w:spacing w:val="2"/>
          <w:w w:val="110"/>
        </w:rPr>
        <w:t>recorded </w:t>
      </w:r>
      <w:r>
        <w:rPr>
          <w:w w:val="110"/>
        </w:rPr>
        <w:t>your wishes, so it is a good idea to discuss it with your </w:t>
      </w:r>
      <w:r>
        <w:rPr>
          <w:spacing w:val="2"/>
          <w:w w:val="110"/>
        </w:rPr>
        <w:t>next </w:t>
      </w:r>
      <w:r>
        <w:rPr>
          <w:w w:val="110"/>
        </w:rPr>
        <w:t>of kin or  a near friend, your </w:t>
      </w:r>
      <w:r>
        <w:rPr>
          <w:spacing w:val="-8"/>
          <w:w w:val="110"/>
        </w:rPr>
        <w:t>GP, </w:t>
      </w:r>
      <w:r>
        <w:rPr>
          <w:w w:val="110"/>
        </w:rPr>
        <w:t>maybe your solicitor, and give each a copy of the form, and also to have one available in your papers. It is not usually helpful to keep   it with your Will! </w:t>
      </w:r>
      <w:r>
        <w:rPr>
          <w:spacing w:val="-4"/>
          <w:w w:val="110"/>
        </w:rPr>
        <w:t>You </w:t>
      </w:r>
      <w:r>
        <w:rPr>
          <w:w w:val="110"/>
        </w:rPr>
        <w:t>will probably wish to ask someone to be your “health </w:t>
      </w:r>
      <w:r>
        <w:rPr>
          <w:spacing w:val="2"/>
          <w:w w:val="110"/>
        </w:rPr>
        <w:t>care </w:t>
      </w:r>
      <w:r>
        <w:rPr>
          <w:w w:val="110"/>
        </w:rPr>
        <w:t>proxy”, who would take </w:t>
      </w:r>
      <w:r>
        <w:rPr>
          <w:spacing w:val="2"/>
          <w:w w:val="110"/>
        </w:rPr>
        <w:t>part </w:t>
      </w:r>
      <w:r>
        <w:rPr>
          <w:w w:val="110"/>
        </w:rPr>
        <w:t>in decision-making on your behalf if the living will was needed.</w:t>
      </w:r>
    </w:p>
    <w:p>
      <w:pPr>
        <w:pStyle w:val="BodyText"/>
        <w:spacing w:before="10"/>
        <w:rPr>
          <w:sz w:val="20"/>
        </w:rPr>
      </w:pPr>
    </w:p>
    <w:p>
      <w:pPr>
        <w:pStyle w:val="Heading9"/>
      </w:pPr>
      <w:r>
        <w:rPr>
          <w:w w:val="110"/>
        </w:rPr>
        <w:t>Suggested form for a living will</w:t>
      </w:r>
    </w:p>
    <w:p>
      <w:pPr>
        <w:pStyle w:val="BodyText"/>
        <w:spacing w:line="273" w:lineRule="auto" w:before="258"/>
        <w:ind w:left="1240" w:right="2348"/>
      </w:pPr>
      <w:r>
        <w:rPr>
          <w:w w:val="110"/>
        </w:rPr>
        <w:t>This is to record </w:t>
      </w:r>
      <w:r>
        <w:rPr>
          <w:spacing w:val="-3"/>
          <w:w w:val="110"/>
        </w:rPr>
        <w:t>my </w:t>
      </w:r>
      <w:r>
        <w:rPr>
          <w:w w:val="110"/>
        </w:rPr>
        <w:t>wishes about </w:t>
      </w:r>
      <w:r>
        <w:rPr>
          <w:spacing w:val="-3"/>
          <w:w w:val="110"/>
        </w:rPr>
        <w:t>my </w:t>
      </w:r>
      <w:r>
        <w:rPr>
          <w:w w:val="110"/>
        </w:rPr>
        <w:t>medical treatment, to take </w:t>
      </w:r>
      <w:r>
        <w:rPr>
          <w:spacing w:val="2"/>
          <w:w w:val="110"/>
        </w:rPr>
        <w:t>effect </w:t>
      </w:r>
      <w:r>
        <w:rPr>
          <w:w w:val="110"/>
        </w:rPr>
        <w:t>in the event of </w:t>
      </w:r>
      <w:r>
        <w:rPr>
          <w:spacing w:val="-3"/>
          <w:w w:val="110"/>
        </w:rPr>
        <w:t>my </w:t>
      </w:r>
      <w:r>
        <w:rPr>
          <w:w w:val="110"/>
        </w:rPr>
        <w:t>being unable to communicate </w:t>
      </w:r>
      <w:r>
        <w:rPr>
          <w:spacing w:val="-3"/>
          <w:w w:val="110"/>
        </w:rPr>
        <w:t>my </w:t>
      </w:r>
      <w:r>
        <w:rPr>
          <w:w w:val="110"/>
        </w:rPr>
        <w:t>preferences at a future</w:t>
      </w:r>
      <w:r>
        <w:rPr>
          <w:spacing w:val="-18"/>
          <w:w w:val="110"/>
        </w:rPr>
        <w:t> </w:t>
      </w:r>
      <w:r>
        <w:rPr>
          <w:w w:val="110"/>
        </w:rPr>
        <w:t>date.</w:t>
      </w:r>
    </w:p>
    <w:p>
      <w:pPr>
        <w:pStyle w:val="BodyText"/>
        <w:spacing w:line="273" w:lineRule="auto" w:before="2"/>
        <w:ind w:left="1240" w:right="2573"/>
      </w:pPr>
      <w:r>
        <w:rPr>
          <w:w w:val="110"/>
        </w:rPr>
        <w:t>This </w:t>
      </w:r>
      <w:r>
        <w:rPr>
          <w:spacing w:val="-3"/>
          <w:w w:val="110"/>
        </w:rPr>
        <w:t>may </w:t>
      </w:r>
      <w:r>
        <w:rPr>
          <w:w w:val="110"/>
        </w:rPr>
        <w:t>be because of physical or mental deterioration in </w:t>
      </w:r>
      <w:r>
        <w:rPr>
          <w:spacing w:val="-3"/>
          <w:w w:val="110"/>
        </w:rPr>
        <w:t>my </w:t>
      </w:r>
      <w:r>
        <w:rPr>
          <w:w w:val="110"/>
        </w:rPr>
        <w:t>health, which makes me unable to communicate </w:t>
      </w:r>
      <w:r>
        <w:rPr>
          <w:spacing w:val="-3"/>
          <w:w w:val="110"/>
        </w:rPr>
        <w:t>my </w:t>
      </w:r>
      <w:r>
        <w:rPr>
          <w:spacing w:val="-2"/>
          <w:w w:val="110"/>
        </w:rPr>
        <w:t>views, </w:t>
      </w:r>
      <w:r>
        <w:rPr>
          <w:w w:val="110"/>
        </w:rPr>
        <w:t>or because I am permanently unconscious. I understand that I </w:t>
      </w:r>
      <w:r>
        <w:rPr>
          <w:spacing w:val="-3"/>
          <w:w w:val="110"/>
        </w:rPr>
        <w:t>may </w:t>
      </w:r>
      <w:r>
        <w:rPr>
          <w:w w:val="110"/>
        </w:rPr>
        <w:t>change </w:t>
      </w:r>
      <w:r>
        <w:rPr>
          <w:spacing w:val="-3"/>
          <w:w w:val="110"/>
        </w:rPr>
        <w:t>my </w:t>
      </w:r>
      <w:r>
        <w:rPr>
          <w:w w:val="110"/>
        </w:rPr>
        <w:t>mind at </w:t>
      </w:r>
      <w:r>
        <w:rPr>
          <w:spacing w:val="-3"/>
          <w:w w:val="110"/>
        </w:rPr>
        <w:t>any </w:t>
      </w:r>
      <w:r>
        <w:rPr>
          <w:w w:val="110"/>
        </w:rPr>
        <w:t>time, and I will aim to review this document regularly to check that I still agree with</w:t>
      </w:r>
      <w:r>
        <w:rPr>
          <w:spacing w:val="-38"/>
          <w:w w:val="110"/>
        </w:rPr>
        <w:t> </w:t>
      </w:r>
      <w:r>
        <w:rPr>
          <w:w w:val="110"/>
        </w:rPr>
        <w:t>it.</w:t>
      </w:r>
    </w:p>
    <w:p>
      <w:pPr>
        <w:pStyle w:val="BodyText"/>
        <w:spacing w:line="273" w:lineRule="auto" w:before="2"/>
        <w:ind w:left="1240" w:right="2124"/>
      </w:pPr>
      <w:r>
        <w:rPr>
          <w:w w:val="110"/>
        </w:rPr>
        <w:t>I understand that I cannot demand any particular treatment, ask for anything against the law (such as euthanasia or assisted suicide); refuse the offer of food and drink by mouth or refuse the use of measures solely designed to maintain my comfort and dignity such as appropriate pain relief, and basic nursing care essential to keep me comfortable such as washing, bathing and mouth care.</w:t>
      </w:r>
    </w:p>
    <w:p>
      <w:pPr>
        <w:pStyle w:val="BodyText"/>
        <w:spacing w:before="10"/>
        <w:rPr>
          <w:sz w:val="20"/>
        </w:rPr>
      </w:pPr>
    </w:p>
    <w:p>
      <w:pPr>
        <w:pStyle w:val="BodyText"/>
        <w:spacing w:line="273" w:lineRule="auto"/>
        <w:ind w:left="1240" w:right="2906"/>
      </w:pPr>
      <w:r>
        <w:rPr>
          <w:w w:val="110"/>
        </w:rPr>
        <w:t>I am writing this Living Will as an Advance Directive, and declare that I understand its scope, and am mentally and physically capable of making the decisions contained in</w:t>
      </w:r>
      <w:r>
        <w:rPr>
          <w:spacing w:val="5"/>
          <w:w w:val="110"/>
        </w:rPr>
        <w:t> </w:t>
      </w:r>
      <w:r>
        <w:rPr>
          <w:w w:val="110"/>
        </w:rPr>
        <w:t>it.</w:t>
      </w:r>
    </w:p>
    <w:p>
      <w:pPr>
        <w:pStyle w:val="BodyText"/>
        <w:spacing w:line="273" w:lineRule="auto" w:before="2"/>
        <w:ind w:left="1240" w:right="2665"/>
      </w:pPr>
      <w:r>
        <w:rPr>
          <w:w w:val="110"/>
        </w:rPr>
        <w:t>I have not been influenced or harassed by anyone else when preparing it. My wishes are set out</w:t>
      </w:r>
      <w:r>
        <w:rPr>
          <w:spacing w:val="6"/>
          <w:w w:val="110"/>
        </w:rPr>
        <w:t> </w:t>
      </w:r>
      <w:r>
        <w:rPr>
          <w:w w:val="110"/>
        </w:rPr>
        <w:t>below.</w:t>
      </w:r>
    </w:p>
    <w:p>
      <w:pPr>
        <w:pStyle w:val="BodyText"/>
        <w:rPr>
          <w:sz w:val="22"/>
        </w:rPr>
      </w:pPr>
    </w:p>
    <w:p>
      <w:pPr>
        <w:pStyle w:val="BodyText"/>
        <w:tabs>
          <w:tab w:pos="3400" w:val="left" w:leader="none"/>
        </w:tabs>
        <w:spacing w:before="174"/>
        <w:ind w:left="1240"/>
      </w:pPr>
      <w:r>
        <w:rPr>
          <w:b/>
          <w:w w:val="110"/>
        </w:rPr>
        <w:t>FULL</w:t>
      </w:r>
      <w:r>
        <w:rPr>
          <w:b/>
          <w:spacing w:val="7"/>
          <w:w w:val="110"/>
        </w:rPr>
        <w:t> </w:t>
      </w:r>
      <w:r>
        <w:rPr>
          <w:b/>
          <w:w w:val="110"/>
        </w:rPr>
        <w:t>NAME</w:t>
        <w:tab/>
      </w:r>
      <w:r>
        <w:rPr>
          <w:spacing w:val="-6"/>
          <w:w w:val="110"/>
        </w:rPr>
        <w:t>..........................................................................</w:t>
      </w:r>
    </w:p>
    <w:p>
      <w:pPr>
        <w:pStyle w:val="BodyText"/>
        <w:spacing w:before="2"/>
      </w:pPr>
    </w:p>
    <w:p>
      <w:pPr>
        <w:pStyle w:val="BodyText"/>
        <w:tabs>
          <w:tab w:pos="3400" w:val="left" w:leader="none"/>
        </w:tabs>
        <w:ind w:left="1240"/>
      </w:pPr>
      <w:r>
        <w:rPr>
          <w:b/>
          <w:w w:val="110"/>
        </w:rPr>
        <w:t>Date</w:t>
      </w:r>
      <w:r>
        <w:rPr>
          <w:b/>
          <w:spacing w:val="5"/>
          <w:w w:val="110"/>
        </w:rPr>
        <w:t> </w:t>
      </w:r>
      <w:r>
        <w:rPr>
          <w:b/>
          <w:w w:val="110"/>
        </w:rPr>
        <w:t>of</w:t>
      </w:r>
      <w:r>
        <w:rPr>
          <w:b/>
          <w:spacing w:val="6"/>
          <w:w w:val="110"/>
        </w:rPr>
        <w:t> </w:t>
      </w:r>
      <w:r>
        <w:rPr>
          <w:b/>
          <w:spacing w:val="2"/>
          <w:w w:val="110"/>
        </w:rPr>
        <w:t>birth</w:t>
        <w:tab/>
      </w:r>
      <w:r>
        <w:rPr>
          <w:spacing w:val="-6"/>
          <w:w w:val="110"/>
        </w:rPr>
        <w:t>..........................................................................</w:t>
      </w:r>
    </w:p>
    <w:p>
      <w:pPr>
        <w:pStyle w:val="BodyText"/>
        <w:spacing w:before="2"/>
      </w:pPr>
    </w:p>
    <w:p>
      <w:pPr>
        <w:pStyle w:val="BodyText"/>
        <w:tabs>
          <w:tab w:pos="3400" w:val="left" w:leader="none"/>
        </w:tabs>
        <w:spacing w:before="1"/>
        <w:ind w:left="1240"/>
      </w:pPr>
      <w:r>
        <w:rPr>
          <w:b/>
          <w:w w:val="110"/>
        </w:rPr>
        <w:t>Current</w:t>
      </w:r>
      <w:r>
        <w:rPr>
          <w:b/>
          <w:spacing w:val="11"/>
          <w:w w:val="110"/>
        </w:rPr>
        <w:t> </w:t>
      </w:r>
      <w:r>
        <w:rPr>
          <w:b/>
          <w:spacing w:val="2"/>
          <w:w w:val="110"/>
        </w:rPr>
        <w:t>address</w:t>
        <w:tab/>
      </w:r>
      <w:r>
        <w:rPr>
          <w:spacing w:val="-6"/>
          <w:w w:val="110"/>
        </w:rPr>
        <w:t>..........................................................................</w:t>
      </w:r>
    </w:p>
    <w:p>
      <w:pPr>
        <w:pStyle w:val="BodyText"/>
        <w:spacing w:before="2"/>
      </w:pPr>
    </w:p>
    <w:p>
      <w:pPr>
        <w:pStyle w:val="BodyText"/>
        <w:ind w:left="1115" w:right="781"/>
        <w:jc w:val="center"/>
      </w:pPr>
      <w:r>
        <w:rPr>
          <w:spacing w:val="-6"/>
          <w:w w:val="110"/>
        </w:rPr>
        <w:t>..........................................................................</w:t>
      </w:r>
    </w:p>
    <w:p>
      <w:pPr>
        <w:pStyle w:val="BodyText"/>
        <w:spacing w:before="2"/>
      </w:pPr>
    </w:p>
    <w:p>
      <w:pPr>
        <w:pStyle w:val="BodyText"/>
        <w:ind w:left="1115" w:right="781"/>
        <w:jc w:val="center"/>
      </w:pPr>
      <w:r>
        <w:rPr>
          <w:spacing w:val="-6"/>
          <w:w w:val="110"/>
        </w:rPr>
        <w:t>..........................................................................</w:t>
      </w:r>
    </w:p>
    <w:p>
      <w:pPr>
        <w:spacing w:after="0"/>
        <w:jc w:val="center"/>
        <w:sectPr>
          <w:headerReference w:type="default" r:id="rId277"/>
          <w:headerReference w:type="even" r:id="rId278"/>
          <w:footerReference w:type="default" r:id="rId279"/>
          <w:footerReference w:type="even" r:id="rId280"/>
          <w:pgSz w:w="11910" w:h="16840"/>
          <w:pgMar w:header="557" w:footer="564" w:top="740" w:bottom="760" w:left="460" w:right="0"/>
          <w:pgNumType w:start="23"/>
        </w:sectPr>
      </w:pPr>
    </w:p>
    <w:p>
      <w:pPr>
        <w:pStyle w:val="BodyText"/>
        <w:spacing w:before="9"/>
        <w:rPr>
          <w:sz w:val="13"/>
        </w:rPr>
      </w:pPr>
    </w:p>
    <w:p>
      <w:pPr>
        <w:pStyle w:val="BodyText"/>
        <w:tabs>
          <w:tab w:pos="2833" w:val="left" w:leader="none"/>
        </w:tabs>
        <w:spacing w:before="101"/>
        <w:ind w:left="673"/>
      </w:pPr>
      <w:r>
        <w:rPr>
          <w:b/>
          <w:w w:val="110"/>
        </w:rPr>
        <w:t>Nat.</w:t>
      </w:r>
      <w:r>
        <w:rPr>
          <w:b/>
          <w:spacing w:val="9"/>
          <w:w w:val="110"/>
        </w:rPr>
        <w:t> </w:t>
      </w:r>
      <w:r>
        <w:rPr>
          <w:b/>
          <w:w w:val="110"/>
        </w:rPr>
        <w:t>Ins.</w:t>
      </w:r>
      <w:r>
        <w:rPr>
          <w:b/>
          <w:spacing w:val="10"/>
          <w:w w:val="110"/>
        </w:rPr>
        <w:t> </w:t>
      </w:r>
      <w:r>
        <w:rPr>
          <w:b/>
          <w:w w:val="110"/>
        </w:rPr>
        <w:t>number</w:t>
        <w:tab/>
      </w:r>
      <w:r>
        <w:rPr>
          <w:spacing w:val="-6"/>
          <w:w w:val="110"/>
        </w:rPr>
        <w:t>..........................................................................</w:t>
      </w:r>
    </w:p>
    <w:p>
      <w:pPr>
        <w:pStyle w:val="BodyText"/>
        <w:spacing w:before="2"/>
      </w:pPr>
    </w:p>
    <w:p>
      <w:pPr>
        <w:pStyle w:val="BodyText"/>
        <w:ind w:left="673"/>
      </w:pPr>
      <w:r>
        <w:rPr>
          <w:b/>
          <w:w w:val="110"/>
        </w:rPr>
        <w:t>Name and </w:t>
      </w:r>
      <w:r>
        <w:rPr>
          <w:b/>
          <w:spacing w:val="2"/>
          <w:w w:val="110"/>
        </w:rPr>
        <w:t>address</w:t>
      </w:r>
      <w:r>
        <w:rPr>
          <w:b/>
          <w:spacing w:val="69"/>
          <w:w w:val="110"/>
        </w:rPr>
        <w:t> </w:t>
      </w:r>
      <w:r>
        <w:rPr>
          <w:spacing w:val="-6"/>
          <w:w w:val="110"/>
        </w:rPr>
        <w:t>..........................................................................</w:t>
      </w:r>
    </w:p>
    <w:p>
      <w:pPr>
        <w:pStyle w:val="BodyText"/>
        <w:spacing w:before="2"/>
      </w:pPr>
    </w:p>
    <w:p>
      <w:pPr>
        <w:pStyle w:val="BodyText"/>
        <w:tabs>
          <w:tab w:pos="2833" w:val="left" w:leader="none"/>
        </w:tabs>
        <w:ind w:left="673"/>
      </w:pPr>
      <w:r>
        <w:rPr>
          <w:b/>
          <w:w w:val="110"/>
        </w:rPr>
        <w:t>of</w:t>
      </w:r>
      <w:r>
        <w:rPr>
          <w:b/>
          <w:spacing w:val="3"/>
          <w:w w:val="110"/>
        </w:rPr>
        <w:t> </w:t>
      </w:r>
      <w:r>
        <w:rPr>
          <w:b/>
          <w:w w:val="110"/>
        </w:rPr>
        <w:t>GP</w:t>
        <w:tab/>
      </w:r>
      <w:r>
        <w:rPr>
          <w:spacing w:val="-6"/>
          <w:w w:val="110"/>
        </w:rPr>
        <w:t>..........................................................................</w:t>
      </w:r>
    </w:p>
    <w:p>
      <w:pPr>
        <w:pStyle w:val="BodyText"/>
        <w:spacing w:before="3"/>
      </w:pPr>
    </w:p>
    <w:p>
      <w:pPr>
        <w:pStyle w:val="BodyText"/>
        <w:ind w:left="2833"/>
      </w:pPr>
      <w:r>
        <w:rPr>
          <w:spacing w:val="-6"/>
          <w:w w:val="110"/>
        </w:rPr>
        <w:t>..........................................................................</w:t>
      </w:r>
    </w:p>
    <w:p>
      <w:pPr>
        <w:pStyle w:val="BodyText"/>
        <w:spacing w:before="2"/>
        <w:rPr>
          <w:sz w:val="23"/>
        </w:rPr>
      </w:pPr>
    </w:p>
    <w:p>
      <w:pPr>
        <w:spacing w:line="273" w:lineRule="auto" w:before="0"/>
        <w:ind w:left="673" w:right="1931" w:firstLine="0"/>
        <w:jc w:val="left"/>
        <w:rPr>
          <w:i/>
          <w:sz w:val="18"/>
        </w:rPr>
      </w:pPr>
      <w:r>
        <w:rPr>
          <w:b/>
          <w:w w:val="110"/>
          <w:sz w:val="18"/>
        </w:rPr>
        <w:t>Name and </w:t>
      </w:r>
      <w:r>
        <w:rPr>
          <w:b/>
          <w:spacing w:val="2"/>
          <w:w w:val="110"/>
          <w:sz w:val="18"/>
        </w:rPr>
        <w:t>address </w:t>
      </w:r>
      <w:r>
        <w:rPr>
          <w:b/>
          <w:w w:val="110"/>
          <w:sz w:val="18"/>
        </w:rPr>
        <w:t>of primary contact</w:t>
      </w:r>
      <w:r>
        <w:rPr>
          <w:w w:val="110"/>
          <w:sz w:val="18"/>
        </w:rPr>
        <w:t>(s) </w:t>
      </w:r>
      <w:r>
        <w:rPr>
          <w:b/>
          <w:w w:val="110"/>
          <w:sz w:val="18"/>
        </w:rPr>
        <w:t>– health </w:t>
      </w:r>
      <w:r>
        <w:rPr>
          <w:b/>
          <w:spacing w:val="2"/>
          <w:w w:val="110"/>
          <w:sz w:val="18"/>
        </w:rPr>
        <w:t>care </w:t>
      </w:r>
      <w:r>
        <w:rPr>
          <w:b/>
          <w:spacing w:val="-3"/>
          <w:w w:val="110"/>
          <w:sz w:val="18"/>
        </w:rPr>
        <w:t>proxy</w:t>
      </w:r>
      <w:r>
        <w:rPr>
          <w:spacing w:val="-3"/>
          <w:w w:val="110"/>
          <w:sz w:val="18"/>
        </w:rPr>
        <w:t>(s) </w:t>
      </w:r>
      <w:r>
        <w:rPr>
          <w:i/>
          <w:w w:val="110"/>
          <w:sz w:val="18"/>
        </w:rPr>
        <w:t>(the person(s)  </w:t>
      </w:r>
      <w:r>
        <w:rPr>
          <w:i/>
          <w:w w:val="110"/>
          <w:sz w:val="18"/>
        </w:rPr>
        <w:t>you would like to be contacted to approve the decisions of medical </w:t>
      </w:r>
      <w:r>
        <w:rPr>
          <w:i/>
          <w:spacing w:val="2"/>
          <w:w w:val="110"/>
          <w:sz w:val="18"/>
        </w:rPr>
        <w:t>personnel </w:t>
      </w:r>
      <w:r>
        <w:rPr>
          <w:i/>
          <w:w w:val="110"/>
          <w:sz w:val="18"/>
        </w:rPr>
        <w:t>if required by your Living</w:t>
      </w:r>
      <w:r>
        <w:rPr>
          <w:i/>
          <w:spacing w:val="2"/>
          <w:w w:val="110"/>
          <w:sz w:val="18"/>
        </w:rPr>
        <w:t> </w:t>
      </w:r>
      <w:r>
        <w:rPr>
          <w:i/>
          <w:spacing w:val="-3"/>
          <w:w w:val="110"/>
          <w:sz w:val="18"/>
        </w:rPr>
        <w:t>Will):</w:t>
      </w:r>
    </w:p>
    <w:p>
      <w:pPr>
        <w:pStyle w:val="BodyText"/>
        <w:rPr>
          <w:i/>
          <w:sz w:val="22"/>
        </w:rPr>
      </w:pPr>
    </w:p>
    <w:p>
      <w:pPr>
        <w:pStyle w:val="BodyText"/>
        <w:tabs>
          <w:tab w:pos="3553" w:val="left" w:leader="none"/>
        </w:tabs>
        <w:spacing w:before="174"/>
        <w:ind w:left="673"/>
      </w:pPr>
      <w:r>
        <w:rPr>
          <w:b/>
          <w:w w:val="110"/>
        </w:rPr>
        <w:t>Name</w:t>
        <w:tab/>
      </w:r>
      <w:r>
        <w:rPr>
          <w:spacing w:val="-6"/>
          <w:w w:val="110"/>
        </w:rPr>
        <w:t>...........................................................................</w:t>
      </w:r>
    </w:p>
    <w:p>
      <w:pPr>
        <w:pStyle w:val="BodyText"/>
        <w:spacing w:before="2"/>
      </w:pPr>
    </w:p>
    <w:p>
      <w:pPr>
        <w:pStyle w:val="BodyText"/>
        <w:tabs>
          <w:tab w:pos="3553" w:val="left" w:leader="none"/>
        </w:tabs>
        <w:spacing w:before="1"/>
        <w:ind w:left="673"/>
      </w:pPr>
      <w:r>
        <w:rPr>
          <w:b/>
          <w:spacing w:val="2"/>
          <w:w w:val="110"/>
        </w:rPr>
        <w:t>Contact</w:t>
      </w:r>
      <w:r>
        <w:rPr>
          <w:b/>
          <w:spacing w:val="7"/>
          <w:w w:val="110"/>
        </w:rPr>
        <w:t> </w:t>
      </w:r>
      <w:r>
        <w:rPr>
          <w:b/>
          <w:spacing w:val="2"/>
          <w:w w:val="110"/>
        </w:rPr>
        <w:t>address</w:t>
        <w:tab/>
      </w:r>
      <w:r>
        <w:rPr>
          <w:spacing w:val="-6"/>
          <w:w w:val="110"/>
        </w:rPr>
        <w:t>...........................................................................</w:t>
      </w:r>
    </w:p>
    <w:p>
      <w:pPr>
        <w:pStyle w:val="BodyText"/>
        <w:spacing w:before="2"/>
      </w:pPr>
    </w:p>
    <w:p>
      <w:pPr>
        <w:pStyle w:val="BodyText"/>
        <w:ind w:left="3553"/>
      </w:pPr>
      <w:r>
        <w:rPr>
          <w:spacing w:val="-6"/>
          <w:w w:val="110"/>
        </w:rPr>
        <w:t>...........................................................................</w:t>
      </w:r>
    </w:p>
    <w:p>
      <w:pPr>
        <w:pStyle w:val="BodyText"/>
        <w:spacing w:before="2"/>
      </w:pPr>
    </w:p>
    <w:p>
      <w:pPr>
        <w:pStyle w:val="BodyText"/>
        <w:tabs>
          <w:tab w:pos="3553" w:val="left" w:leader="none"/>
        </w:tabs>
        <w:spacing w:before="1"/>
        <w:ind w:left="673"/>
      </w:pPr>
      <w:r>
        <w:rPr>
          <w:b/>
          <w:w w:val="110"/>
        </w:rPr>
        <w:t>Telephone</w:t>
      </w:r>
      <w:r>
        <w:rPr>
          <w:b/>
          <w:spacing w:val="11"/>
          <w:w w:val="110"/>
        </w:rPr>
        <w:t> </w:t>
      </w:r>
      <w:r>
        <w:rPr>
          <w:b/>
          <w:w w:val="110"/>
        </w:rPr>
        <w:t>number</w:t>
        <w:tab/>
      </w:r>
      <w:r>
        <w:rPr>
          <w:spacing w:val="-6"/>
          <w:w w:val="110"/>
        </w:rPr>
        <w:t>...........................................................................</w:t>
      </w:r>
    </w:p>
    <w:p>
      <w:pPr>
        <w:pStyle w:val="BodyText"/>
        <w:rPr>
          <w:sz w:val="22"/>
        </w:rPr>
      </w:pPr>
    </w:p>
    <w:p>
      <w:pPr>
        <w:spacing w:before="194"/>
        <w:ind w:left="673" w:right="0" w:firstLine="0"/>
        <w:jc w:val="left"/>
        <w:rPr>
          <w:b/>
          <w:sz w:val="18"/>
        </w:rPr>
      </w:pPr>
      <w:r>
        <w:rPr>
          <w:b/>
          <w:w w:val="110"/>
          <w:sz w:val="18"/>
        </w:rPr>
        <w:t>or</w:t>
      </w:r>
    </w:p>
    <w:p>
      <w:pPr>
        <w:pStyle w:val="BodyText"/>
        <w:rPr>
          <w:b/>
          <w:sz w:val="22"/>
        </w:rPr>
      </w:pPr>
    </w:p>
    <w:p>
      <w:pPr>
        <w:pStyle w:val="BodyText"/>
        <w:spacing w:before="1"/>
        <w:rPr>
          <w:b/>
          <w:sz w:val="24"/>
        </w:rPr>
      </w:pPr>
    </w:p>
    <w:p>
      <w:pPr>
        <w:pStyle w:val="BodyText"/>
        <w:tabs>
          <w:tab w:pos="3553" w:val="left" w:leader="none"/>
        </w:tabs>
        <w:spacing w:before="1"/>
        <w:ind w:left="673"/>
      </w:pPr>
      <w:r>
        <w:rPr>
          <w:b/>
          <w:w w:val="110"/>
        </w:rPr>
        <w:t>Name</w:t>
        <w:tab/>
      </w:r>
      <w:r>
        <w:rPr>
          <w:spacing w:val="-6"/>
          <w:w w:val="110"/>
        </w:rPr>
        <w:t>............................................................................</w:t>
      </w:r>
    </w:p>
    <w:p>
      <w:pPr>
        <w:pStyle w:val="BodyText"/>
        <w:spacing w:before="2"/>
      </w:pPr>
    </w:p>
    <w:p>
      <w:pPr>
        <w:pStyle w:val="BodyText"/>
        <w:tabs>
          <w:tab w:pos="3553" w:val="left" w:leader="none"/>
        </w:tabs>
        <w:ind w:left="673"/>
      </w:pPr>
      <w:r>
        <w:rPr>
          <w:b/>
          <w:spacing w:val="2"/>
          <w:w w:val="110"/>
        </w:rPr>
        <w:t>Contact</w:t>
      </w:r>
      <w:r>
        <w:rPr>
          <w:b/>
          <w:spacing w:val="7"/>
          <w:w w:val="110"/>
        </w:rPr>
        <w:t> </w:t>
      </w:r>
      <w:r>
        <w:rPr>
          <w:b/>
          <w:spacing w:val="2"/>
          <w:w w:val="110"/>
        </w:rPr>
        <w:t>address</w:t>
        <w:tab/>
      </w:r>
      <w:r>
        <w:rPr>
          <w:spacing w:val="-6"/>
          <w:w w:val="110"/>
        </w:rPr>
        <w:t>............................................................................</w:t>
      </w:r>
    </w:p>
    <w:p>
      <w:pPr>
        <w:pStyle w:val="BodyText"/>
        <w:spacing w:before="2"/>
      </w:pPr>
    </w:p>
    <w:p>
      <w:pPr>
        <w:pStyle w:val="BodyText"/>
        <w:ind w:left="3553"/>
      </w:pPr>
      <w:r>
        <w:rPr>
          <w:spacing w:val="-6"/>
          <w:w w:val="110"/>
        </w:rPr>
        <w:t>............................................................................</w:t>
      </w:r>
    </w:p>
    <w:p>
      <w:pPr>
        <w:pStyle w:val="BodyText"/>
        <w:spacing w:before="3"/>
      </w:pPr>
    </w:p>
    <w:p>
      <w:pPr>
        <w:pStyle w:val="BodyText"/>
        <w:tabs>
          <w:tab w:pos="3553" w:val="left" w:leader="none"/>
        </w:tabs>
        <w:ind w:left="673"/>
      </w:pPr>
      <w:r>
        <w:rPr>
          <w:b/>
          <w:w w:val="110"/>
        </w:rPr>
        <w:t>Telephone</w:t>
      </w:r>
      <w:r>
        <w:rPr>
          <w:b/>
          <w:spacing w:val="8"/>
          <w:w w:val="110"/>
        </w:rPr>
        <w:t> </w:t>
      </w:r>
      <w:r>
        <w:rPr>
          <w:b/>
          <w:w w:val="110"/>
        </w:rPr>
        <w:t>number</w:t>
        <w:tab/>
      </w:r>
      <w:r>
        <w:rPr>
          <w:spacing w:val="-6"/>
          <w:w w:val="110"/>
        </w:rPr>
        <w:t>............................................................................</w:t>
      </w:r>
    </w:p>
    <w:p>
      <w:pPr>
        <w:pStyle w:val="BodyText"/>
        <w:rPr>
          <w:sz w:val="22"/>
        </w:rPr>
      </w:pPr>
    </w:p>
    <w:p>
      <w:pPr>
        <w:pStyle w:val="BodyText"/>
        <w:spacing w:before="9"/>
        <w:rPr>
          <w:sz w:val="21"/>
        </w:rPr>
      </w:pPr>
    </w:p>
    <w:p>
      <w:pPr>
        <w:pStyle w:val="BodyText"/>
        <w:spacing w:line="273" w:lineRule="auto"/>
        <w:ind w:left="673" w:right="1957"/>
      </w:pPr>
      <w:r>
        <w:rPr>
          <w:w w:val="110"/>
        </w:rPr>
        <w:t>My wishes are as follows: I do, however, accept palliative care, including medication, to relieve distressing symptoms such as restlessness or pain, and to retain my dignity as far as possible.</w:t>
      </w:r>
    </w:p>
    <w:p>
      <w:pPr>
        <w:pStyle w:val="BodyText"/>
        <w:spacing w:before="8"/>
        <w:rPr>
          <w:sz w:val="20"/>
        </w:rPr>
      </w:pPr>
    </w:p>
    <w:p>
      <w:pPr>
        <w:spacing w:before="1"/>
        <w:ind w:left="673" w:right="0" w:firstLine="0"/>
        <w:jc w:val="left"/>
        <w:rPr>
          <w:i/>
          <w:sz w:val="18"/>
        </w:rPr>
      </w:pPr>
      <w:r>
        <w:rPr>
          <w:i/>
          <w:w w:val="110"/>
          <w:sz w:val="18"/>
        </w:rPr>
        <w:t>(Delete in each case the alternative </w:t>
      </w:r>
      <w:r>
        <w:rPr>
          <w:b/>
          <w:w w:val="110"/>
          <w:sz w:val="18"/>
        </w:rPr>
        <w:t>1) </w:t>
      </w:r>
      <w:r>
        <w:rPr>
          <w:i/>
          <w:w w:val="110"/>
          <w:sz w:val="18"/>
        </w:rPr>
        <w:t>or </w:t>
      </w:r>
      <w:r>
        <w:rPr>
          <w:b/>
          <w:w w:val="110"/>
          <w:sz w:val="18"/>
        </w:rPr>
        <w:t>2) </w:t>
      </w:r>
      <w:r>
        <w:rPr>
          <w:i/>
          <w:w w:val="110"/>
          <w:sz w:val="18"/>
        </w:rPr>
        <w:t>which is not applicable)</w:t>
      </w:r>
    </w:p>
    <w:p>
      <w:pPr>
        <w:pStyle w:val="BodyText"/>
        <w:spacing w:before="1"/>
        <w:rPr>
          <w:i/>
          <w:sz w:val="23"/>
        </w:rPr>
      </w:pPr>
    </w:p>
    <w:p>
      <w:pPr>
        <w:pStyle w:val="ListParagraph"/>
        <w:numPr>
          <w:ilvl w:val="0"/>
          <w:numId w:val="106"/>
        </w:numPr>
        <w:tabs>
          <w:tab w:pos="1393" w:val="left" w:leader="none"/>
          <w:tab w:pos="1394" w:val="left" w:leader="none"/>
        </w:tabs>
        <w:spacing w:line="240" w:lineRule="auto" w:before="0" w:after="0"/>
        <w:ind w:left="1393" w:right="0" w:hanging="721"/>
        <w:jc w:val="left"/>
        <w:rPr>
          <w:sz w:val="18"/>
        </w:rPr>
      </w:pPr>
      <w:r>
        <w:rPr>
          <w:w w:val="110"/>
          <w:sz w:val="18"/>
        </w:rPr>
        <w:t>If I </w:t>
      </w:r>
      <w:r>
        <w:rPr>
          <w:spacing w:val="-11"/>
          <w:w w:val="110"/>
          <w:sz w:val="18"/>
        </w:rPr>
        <w:t>(a) </w:t>
      </w:r>
      <w:r>
        <w:rPr>
          <w:w w:val="110"/>
          <w:sz w:val="18"/>
        </w:rPr>
        <w:t>have a severe physical illness and/or a severe mental illness</w:t>
      </w:r>
      <w:r>
        <w:rPr>
          <w:spacing w:val="39"/>
          <w:w w:val="110"/>
          <w:sz w:val="18"/>
        </w:rPr>
        <w:t> </w:t>
      </w:r>
      <w:r>
        <w:rPr>
          <w:w w:val="110"/>
          <w:sz w:val="18"/>
        </w:rPr>
        <w:t>and</w:t>
      </w:r>
    </w:p>
    <w:p>
      <w:pPr>
        <w:pStyle w:val="ListParagraph"/>
        <w:numPr>
          <w:ilvl w:val="0"/>
          <w:numId w:val="107"/>
        </w:numPr>
        <w:tabs>
          <w:tab w:pos="1754" w:val="left" w:leader="none"/>
        </w:tabs>
        <w:spacing w:line="240" w:lineRule="auto" w:before="32" w:after="0"/>
        <w:ind w:left="1753" w:right="0" w:hanging="361"/>
        <w:jc w:val="left"/>
        <w:rPr>
          <w:sz w:val="18"/>
        </w:rPr>
      </w:pPr>
      <w:r>
        <w:rPr>
          <w:w w:val="110"/>
          <w:sz w:val="18"/>
        </w:rPr>
        <w:t>am unable to participate </w:t>
      </w:r>
      <w:r>
        <w:rPr>
          <w:spacing w:val="2"/>
          <w:w w:val="110"/>
          <w:sz w:val="18"/>
        </w:rPr>
        <w:t>effectively </w:t>
      </w:r>
      <w:r>
        <w:rPr>
          <w:w w:val="110"/>
          <w:sz w:val="18"/>
        </w:rPr>
        <w:t>in decisions about my medical care,</w:t>
      </w:r>
      <w:r>
        <w:rPr>
          <w:spacing w:val="39"/>
          <w:w w:val="110"/>
          <w:sz w:val="18"/>
        </w:rPr>
        <w:t> </w:t>
      </w:r>
      <w:r>
        <w:rPr>
          <w:w w:val="110"/>
          <w:sz w:val="18"/>
        </w:rPr>
        <w:t>and</w:t>
      </w:r>
    </w:p>
    <w:p>
      <w:pPr>
        <w:pStyle w:val="ListParagraph"/>
        <w:numPr>
          <w:ilvl w:val="0"/>
          <w:numId w:val="107"/>
        </w:numPr>
        <w:tabs>
          <w:tab w:pos="1725" w:val="left" w:leader="none"/>
        </w:tabs>
        <w:spacing w:line="273" w:lineRule="auto" w:before="31" w:after="0"/>
        <w:ind w:left="1393" w:right="1768" w:firstLine="0"/>
        <w:jc w:val="left"/>
        <w:rPr>
          <w:sz w:val="18"/>
        </w:rPr>
      </w:pPr>
      <w:r>
        <w:rPr>
          <w:w w:val="110"/>
          <w:sz w:val="18"/>
        </w:rPr>
        <w:t>there is </w:t>
      </w:r>
      <w:r>
        <w:rPr>
          <w:spacing w:val="2"/>
          <w:w w:val="110"/>
          <w:sz w:val="18"/>
        </w:rPr>
        <w:t>very </w:t>
      </w:r>
      <w:r>
        <w:rPr>
          <w:w w:val="110"/>
          <w:sz w:val="18"/>
        </w:rPr>
        <w:t>little chance that I will recover in the opinion of two independent medical</w:t>
      </w:r>
      <w:r>
        <w:rPr>
          <w:spacing w:val="1"/>
          <w:w w:val="110"/>
          <w:sz w:val="18"/>
        </w:rPr>
        <w:t> </w:t>
      </w:r>
      <w:r>
        <w:rPr>
          <w:w w:val="110"/>
          <w:sz w:val="18"/>
        </w:rPr>
        <w:t>practitioners,</w:t>
      </w:r>
    </w:p>
    <w:p>
      <w:pPr>
        <w:pStyle w:val="BodyText"/>
        <w:spacing w:before="8"/>
        <w:rPr>
          <w:sz w:val="20"/>
        </w:rPr>
      </w:pPr>
    </w:p>
    <w:p>
      <w:pPr>
        <w:pStyle w:val="ListParagraph"/>
        <w:numPr>
          <w:ilvl w:val="0"/>
          <w:numId w:val="108"/>
        </w:numPr>
        <w:tabs>
          <w:tab w:pos="2113" w:val="left" w:leader="none"/>
          <w:tab w:pos="2114" w:val="left" w:leader="none"/>
          <w:tab w:pos="5332" w:val="left" w:leader="none"/>
        </w:tabs>
        <w:spacing w:line="273" w:lineRule="auto" w:before="0" w:after="0"/>
        <w:ind w:left="2113" w:right="2226" w:hanging="720"/>
        <w:jc w:val="left"/>
        <w:rPr>
          <w:b/>
          <w:sz w:val="18"/>
        </w:rPr>
      </w:pPr>
      <w:r>
        <w:rPr>
          <w:b/>
          <w:w w:val="110"/>
          <w:sz w:val="18"/>
        </w:rPr>
        <w:t>I do not wish </w:t>
      </w:r>
      <w:r>
        <w:rPr>
          <w:w w:val="110"/>
          <w:sz w:val="18"/>
        </w:rPr>
        <w:t>to be kept alive by artificial means, or to have medical procedures to prolong</w:t>
      </w:r>
      <w:r>
        <w:rPr>
          <w:spacing w:val="42"/>
          <w:w w:val="110"/>
          <w:sz w:val="18"/>
        </w:rPr>
        <w:t> </w:t>
      </w:r>
      <w:r>
        <w:rPr>
          <w:w w:val="110"/>
          <w:sz w:val="18"/>
        </w:rPr>
        <w:t>my</w:t>
      </w:r>
      <w:r>
        <w:rPr>
          <w:spacing w:val="14"/>
          <w:w w:val="110"/>
          <w:sz w:val="18"/>
        </w:rPr>
        <w:t> </w:t>
      </w:r>
      <w:r>
        <w:rPr>
          <w:w w:val="110"/>
          <w:sz w:val="18"/>
        </w:rPr>
        <w:t>life</w:t>
        <w:tab/>
      </w:r>
      <w:r>
        <w:rPr>
          <w:b/>
          <w:w w:val="110"/>
          <w:sz w:val="18"/>
        </w:rPr>
        <w:t>or</w:t>
      </w:r>
    </w:p>
    <w:p>
      <w:pPr>
        <w:pStyle w:val="BodyText"/>
        <w:spacing w:before="8"/>
        <w:rPr>
          <w:b/>
          <w:sz w:val="20"/>
        </w:rPr>
      </w:pPr>
    </w:p>
    <w:p>
      <w:pPr>
        <w:pStyle w:val="ListParagraph"/>
        <w:numPr>
          <w:ilvl w:val="0"/>
          <w:numId w:val="108"/>
        </w:numPr>
        <w:tabs>
          <w:tab w:pos="2113" w:val="left" w:leader="none"/>
          <w:tab w:pos="2114" w:val="left" w:leader="none"/>
        </w:tabs>
        <w:spacing w:line="273" w:lineRule="auto" w:before="0" w:after="0"/>
        <w:ind w:left="2113" w:right="2270" w:hanging="721"/>
        <w:jc w:val="left"/>
        <w:rPr>
          <w:sz w:val="18"/>
        </w:rPr>
      </w:pPr>
      <w:r>
        <w:rPr>
          <w:b/>
          <w:w w:val="110"/>
          <w:sz w:val="18"/>
        </w:rPr>
        <w:t>I do wish </w:t>
      </w:r>
      <w:r>
        <w:rPr>
          <w:w w:val="110"/>
          <w:sz w:val="18"/>
        </w:rPr>
        <w:t>to be kept alive for as long as is reasonably possible using whatever form of medical treatment is</w:t>
      </w:r>
      <w:r>
        <w:rPr>
          <w:spacing w:val="15"/>
          <w:w w:val="110"/>
          <w:sz w:val="18"/>
        </w:rPr>
        <w:t> </w:t>
      </w:r>
      <w:r>
        <w:rPr>
          <w:w w:val="110"/>
          <w:sz w:val="18"/>
        </w:rPr>
        <w:t>available</w:t>
      </w:r>
    </w:p>
    <w:p>
      <w:pPr>
        <w:pStyle w:val="BodyText"/>
        <w:rPr>
          <w:sz w:val="22"/>
        </w:rPr>
      </w:pPr>
    </w:p>
    <w:p>
      <w:pPr>
        <w:pStyle w:val="BodyText"/>
        <w:spacing w:before="3"/>
        <w:rPr>
          <w:sz w:val="19"/>
        </w:rPr>
      </w:pPr>
    </w:p>
    <w:p>
      <w:pPr>
        <w:pStyle w:val="ListParagraph"/>
        <w:numPr>
          <w:ilvl w:val="0"/>
          <w:numId w:val="106"/>
        </w:numPr>
        <w:tabs>
          <w:tab w:pos="1393" w:val="left" w:leader="none"/>
          <w:tab w:pos="1394" w:val="left" w:leader="none"/>
          <w:tab w:pos="6208" w:val="left" w:leader="dot"/>
        </w:tabs>
        <w:spacing w:line="240" w:lineRule="auto" w:before="0" w:after="0"/>
        <w:ind w:left="1393" w:right="0" w:hanging="721"/>
        <w:jc w:val="left"/>
        <w:rPr>
          <w:sz w:val="18"/>
        </w:rPr>
      </w:pPr>
      <w:r>
        <w:rPr>
          <w:w w:val="110"/>
          <w:sz w:val="18"/>
        </w:rPr>
        <w:t>If I  become and remain</w:t>
      </w:r>
      <w:r>
        <w:rPr>
          <w:spacing w:val="56"/>
          <w:w w:val="110"/>
          <w:sz w:val="18"/>
        </w:rPr>
        <w:t> </w:t>
      </w:r>
      <w:r>
        <w:rPr>
          <w:w w:val="110"/>
          <w:sz w:val="18"/>
        </w:rPr>
        <w:t>unconscious</w:t>
      </w:r>
      <w:r>
        <w:rPr>
          <w:spacing w:val="10"/>
          <w:w w:val="110"/>
          <w:sz w:val="18"/>
        </w:rPr>
        <w:t> </w:t>
      </w:r>
      <w:r>
        <w:rPr>
          <w:w w:val="110"/>
          <w:sz w:val="18"/>
        </w:rPr>
        <w:t>for</w:t>
        <w:tab/>
        <w:t>months or more, and in</w:t>
      </w:r>
      <w:r>
        <w:rPr>
          <w:spacing w:val="8"/>
          <w:w w:val="110"/>
          <w:sz w:val="18"/>
        </w:rPr>
        <w:t> </w:t>
      </w:r>
      <w:r>
        <w:rPr>
          <w:w w:val="110"/>
          <w:sz w:val="18"/>
        </w:rPr>
        <w:t>the</w:t>
      </w:r>
    </w:p>
    <w:p>
      <w:pPr>
        <w:pStyle w:val="BodyText"/>
        <w:spacing w:before="31"/>
        <w:ind w:left="1393"/>
      </w:pPr>
      <w:r>
        <w:rPr>
          <w:w w:val="110"/>
        </w:rPr>
        <w:t>opinion of two independent medical practitioners am not likely to recover,</w:t>
      </w:r>
    </w:p>
    <w:p>
      <w:pPr>
        <w:pStyle w:val="BodyText"/>
        <w:spacing w:before="2"/>
        <w:rPr>
          <w:sz w:val="23"/>
        </w:rPr>
      </w:pPr>
    </w:p>
    <w:p>
      <w:pPr>
        <w:pStyle w:val="ListParagraph"/>
        <w:numPr>
          <w:ilvl w:val="1"/>
          <w:numId w:val="106"/>
        </w:numPr>
        <w:tabs>
          <w:tab w:pos="2113" w:val="left" w:leader="none"/>
          <w:tab w:pos="2114" w:val="left" w:leader="none"/>
          <w:tab w:pos="5332" w:val="left" w:leader="none"/>
        </w:tabs>
        <w:spacing w:line="273" w:lineRule="auto" w:before="0" w:after="0"/>
        <w:ind w:left="2113" w:right="2227" w:hanging="721"/>
        <w:jc w:val="left"/>
        <w:rPr>
          <w:b/>
          <w:sz w:val="18"/>
        </w:rPr>
      </w:pPr>
      <w:r>
        <w:rPr>
          <w:b/>
          <w:w w:val="110"/>
          <w:sz w:val="18"/>
        </w:rPr>
        <w:t>I do not wish </w:t>
      </w:r>
      <w:r>
        <w:rPr>
          <w:w w:val="110"/>
          <w:sz w:val="18"/>
        </w:rPr>
        <w:t>to be kept alive by artificial means, or to have medical procedures to prolong</w:t>
      </w:r>
      <w:r>
        <w:rPr>
          <w:spacing w:val="42"/>
          <w:w w:val="110"/>
          <w:sz w:val="18"/>
        </w:rPr>
        <w:t> </w:t>
      </w:r>
      <w:r>
        <w:rPr>
          <w:w w:val="110"/>
          <w:sz w:val="18"/>
        </w:rPr>
        <w:t>my</w:t>
      </w:r>
      <w:r>
        <w:rPr>
          <w:spacing w:val="14"/>
          <w:w w:val="110"/>
          <w:sz w:val="18"/>
        </w:rPr>
        <w:t> </w:t>
      </w:r>
      <w:r>
        <w:rPr>
          <w:w w:val="110"/>
          <w:sz w:val="18"/>
        </w:rPr>
        <w:t>life</w:t>
        <w:tab/>
      </w:r>
      <w:r>
        <w:rPr>
          <w:b/>
          <w:w w:val="110"/>
          <w:sz w:val="18"/>
        </w:rPr>
        <w:t>or</w:t>
      </w:r>
    </w:p>
    <w:p>
      <w:pPr>
        <w:pStyle w:val="BodyText"/>
        <w:spacing w:before="8"/>
        <w:rPr>
          <w:b/>
          <w:sz w:val="20"/>
        </w:rPr>
      </w:pPr>
    </w:p>
    <w:p>
      <w:pPr>
        <w:pStyle w:val="ListParagraph"/>
        <w:numPr>
          <w:ilvl w:val="1"/>
          <w:numId w:val="106"/>
        </w:numPr>
        <w:tabs>
          <w:tab w:pos="2113" w:val="left" w:leader="none"/>
          <w:tab w:pos="2114" w:val="left" w:leader="none"/>
        </w:tabs>
        <w:spacing w:line="273" w:lineRule="auto" w:before="0" w:after="0"/>
        <w:ind w:left="2113" w:right="2270" w:hanging="721"/>
        <w:jc w:val="left"/>
        <w:rPr>
          <w:sz w:val="18"/>
        </w:rPr>
      </w:pPr>
      <w:r>
        <w:rPr>
          <w:b/>
          <w:w w:val="110"/>
          <w:sz w:val="18"/>
        </w:rPr>
        <w:t>I do wish </w:t>
      </w:r>
      <w:r>
        <w:rPr>
          <w:w w:val="110"/>
          <w:sz w:val="18"/>
        </w:rPr>
        <w:t>to be kept alive for as long as is reasonably possible using whatever form of medical treatment is</w:t>
      </w:r>
      <w:r>
        <w:rPr>
          <w:spacing w:val="16"/>
          <w:w w:val="110"/>
          <w:sz w:val="18"/>
        </w:rPr>
        <w:t> </w:t>
      </w:r>
      <w:r>
        <w:rPr>
          <w:w w:val="110"/>
          <w:sz w:val="18"/>
        </w:rPr>
        <w:t>available.</w:t>
      </w:r>
    </w:p>
    <w:p>
      <w:pPr>
        <w:spacing w:after="0" w:line="273" w:lineRule="auto"/>
        <w:jc w:val="left"/>
        <w:rPr>
          <w:sz w:val="18"/>
        </w:rPr>
        <w:sectPr>
          <w:pgSz w:w="11910" w:h="16840"/>
          <w:pgMar w:header="558" w:footer="564" w:top="820" w:bottom="760" w:left="460" w:right="0"/>
        </w:sectPr>
      </w:pPr>
    </w:p>
    <w:p>
      <w:pPr>
        <w:pStyle w:val="BodyText"/>
        <w:spacing w:before="9"/>
        <w:rPr>
          <w:sz w:val="13"/>
        </w:rPr>
      </w:pPr>
    </w:p>
    <w:p>
      <w:pPr>
        <w:pStyle w:val="ListParagraph"/>
        <w:numPr>
          <w:ilvl w:val="0"/>
          <w:numId w:val="106"/>
        </w:numPr>
        <w:tabs>
          <w:tab w:pos="1960" w:val="left" w:leader="none"/>
          <w:tab w:pos="1961" w:val="left" w:leader="none"/>
        </w:tabs>
        <w:spacing w:line="240" w:lineRule="auto" w:before="101" w:after="0"/>
        <w:ind w:left="1960" w:right="0" w:hanging="721"/>
        <w:jc w:val="left"/>
        <w:rPr>
          <w:sz w:val="18"/>
        </w:rPr>
      </w:pPr>
      <w:r>
        <w:rPr>
          <w:w w:val="110"/>
          <w:sz w:val="18"/>
        </w:rPr>
        <w:t>I have specific wishes in </w:t>
      </w:r>
      <w:r>
        <w:rPr>
          <w:spacing w:val="2"/>
          <w:w w:val="110"/>
          <w:sz w:val="18"/>
        </w:rPr>
        <w:t>certain </w:t>
      </w:r>
      <w:r>
        <w:rPr>
          <w:w w:val="110"/>
          <w:sz w:val="18"/>
        </w:rPr>
        <w:t>circumstances named</w:t>
      </w:r>
      <w:r>
        <w:rPr>
          <w:spacing w:val="16"/>
          <w:w w:val="110"/>
          <w:sz w:val="18"/>
        </w:rPr>
        <w:t> </w:t>
      </w:r>
      <w:r>
        <w:rPr>
          <w:w w:val="110"/>
          <w:sz w:val="18"/>
        </w:rPr>
        <w:t>below:</w:t>
      </w:r>
    </w:p>
    <w:p>
      <w:pPr>
        <w:pStyle w:val="BodyText"/>
        <w:rPr>
          <w:sz w:val="22"/>
        </w:rPr>
      </w:pPr>
    </w:p>
    <w:p>
      <w:pPr>
        <w:pStyle w:val="BodyText"/>
        <w:spacing w:before="9"/>
        <w:rPr>
          <w:sz w:val="16"/>
        </w:rPr>
      </w:pPr>
    </w:p>
    <w:p>
      <w:pPr>
        <w:pStyle w:val="BodyText"/>
        <w:ind w:left="3400"/>
      </w:pPr>
      <w:r>
        <w:rPr>
          <w:spacing w:val="-6"/>
          <w:w w:val="110"/>
        </w:rPr>
        <w:t>.................................................................................</w:t>
      </w:r>
    </w:p>
    <w:p>
      <w:pPr>
        <w:pStyle w:val="BodyText"/>
        <w:spacing w:before="2"/>
      </w:pPr>
    </w:p>
    <w:p>
      <w:pPr>
        <w:pStyle w:val="BodyText"/>
        <w:ind w:left="3400"/>
      </w:pPr>
      <w:r>
        <w:rPr>
          <w:spacing w:val="-6"/>
          <w:w w:val="110"/>
        </w:rPr>
        <w:t>.................................................................................</w:t>
      </w:r>
    </w:p>
    <w:p>
      <w:pPr>
        <w:pStyle w:val="BodyText"/>
        <w:spacing w:before="3"/>
      </w:pPr>
    </w:p>
    <w:p>
      <w:pPr>
        <w:pStyle w:val="BodyText"/>
        <w:ind w:left="3400"/>
      </w:pPr>
      <w:r>
        <w:rPr>
          <w:spacing w:val="-6"/>
          <w:w w:val="110"/>
        </w:rPr>
        <w:t>.................................................................................</w:t>
      </w:r>
    </w:p>
    <w:p>
      <w:pPr>
        <w:pStyle w:val="BodyText"/>
        <w:spacing w:before="2"/>
      </w:pPr>
    </w:p>
    <w:p>
      <w:pPr>
        <w:pStyle w:val="BodyText"/>
        <w:ind w:left="3400"/>
      </w:pPr>
      <w:r>
        <w:rPr>
          <w:spacing w:val="-6"/>
          <w:w w:val="110"/>
        </w:rPr>
        <w:t>.................................................................................</w:t>
      </w:r>
    </w:p>
    <w:p>
      <w:pPr>
        <w:pStyle w:val="BodyText"/>
        <w:spacing w:before="5"/>
        <w:rPr>
          <w:sz w:val="26"/>
        </w:rPr>
      </w:pPr>
    </w:p>
    <w:p>
      <w:pPr>
        <w:pStyle w:val="BodyText"/>
        <w:tabs>
          <w:tab w:pos="3400" w:val="left" w:leader="none"/>
        </w:tabs>
        <w:spacing w:before="1"/>
        <w:ind w:left="1240"/>
      </w:pPr>
      <w:r>
        <w:rPr>
          <w:b/>
          <w:spacing w:val="-3"/>
          <w:w w:val="110"/>
        </w:rPr>
        <w:t>Your</w:t>
      </w:r>
      <w:r>
        <w:rPr>
          <w:b/>
          <w:spacing w:val="10"/>
          <w:w w:val="110"/>
        </w:rPr>
        <w:t> </w:t>
      </w:r>
      <w:r>
        <w:rPr>
          <w:b/>
          <w:w w:val="110"/>
        </w:rPr>
        <w:t>signature</w:t>
        <w:tab/>
      </w:r>
      <w:r>
        <w:rPr>
          <w:spacing w:val="-6"/>
          <w:w w:val="110"/>
        </w:rPr>
        <w:t>.................................................................................</w:t>
      </w:r>
    </w:p>
    <w:p>
      <w:pPr>
        <w:spacing w:before="61"/>
        <w:ind w:left="1240" w:right="0" w:firstLine="0"/>
        <w:jc w:val="left"/>
        <w:rPr>
          <w:i/>
          <w:sz w:val="18"/>
        </w:rPr>
      </w:pPr>
      <w:r>
        <w:rPr>
          <w:i/>
          <w:w w:val="110"/>
          <w:sz w:val="18"/>
        </w:rPr>
        <w:t>(witnessed)</w:t>
      </w:r>
    </w:p>
    <w:p>
      <w:pPr>
        <w:pStyle w:val="BodyText"/>
        <w:spacing w:before="6"/>
        <w:rPr>
          <w:i/>
          <w:sz w:val="21"/>
        </w:rPr>
      </w:pPr>
    </w:p>
    <w:p>
      <w:pPr>
        <w:pStyle w:val="BodyText"/>
        <w:tabs>
          <w:tab w:pos="3400" w:val="left" w:leader="none"/>
        </w:tabs>
        <w:ind w:left="1240"/>
      </w:pPr>
      <w:r>
        <w:rPr>
          <w:b/>
          <w:w w:val="110"/>
        </w:rPr>
        <w:t>Date</w:t>
        <w:tab/>
      </w:r>
      <w:r>
        <w:rPr>
          <w:spacing w:val="-6"/>
          <w:w w:val="110"/>
        </w:rPr>
        <w:t>.................................................................................</w:t>
      </w:r>
    </w:p>
    <w:p>
      <w:pPr>
        <w:spacing w:before="31"/>
        <w:ind w:left="1240" w:right="0" w:firstLine="0"/>
        <w:jc w:val="left"/>
        <w:rPr>
          <w:i/>
          <w:sz w:val="18"/>
        </w:rPr>
      </w:pPr>
      <w:r>
        <w:rPr>
          <w:i/>
          <w:w w:val="110"/>
          <w:sz w:val="18"/>
        </w:rPr>
        <w:t>For the witnesses:–</w:t>
      </w:r>
    </w:p>
    <w:p>
      <w:pPr>
        <w:pStyle w:val="BodyText"/>
        <w:spacing w:line="273" w:lineRule="auto" w:before="32"/>
        <w:ind w:left="1240" w:right="1365"/>
      </w:pPr>
      <w:r>
        <w:rPr>
          <w:w w:val="110"/>
        </w:rPr>
        <w:t>I declare that when the maker signed this document he/she understood what it meant and that, as far as I am aware, no pressure has been put on the maker and that he/she has made it by his/her own wish</w:t>
      </w:r>
    </w:p>
    <w:p>
      <w:pPr>
        <w:pStyle w:val="BodyText"/>
        <w:spacing w:before="2"/>
        <w:rPr>
          <w:sz w:val="23"/>
        </w:rPr>
      </w:pPr>
    </w:p>
    <w:p>
      <w:pPr>
        <w:spacing w:before="0"/>
        <w:ind w:left="1240" w:right="0" w:firstLine="0"/>
        <w:jc w:val="left"/>
        <w:rPr>
          <w:b/>
          <w:sz w:val="18"/>
        </w:rPr>
      </w:pPr>
      <w:r>
        <w:rPr>
          <w:b/>
          <w:w w:val="110"/>
          <w:sz w:val="18"/>
        </w:rPr>
        <w:t>Witness 1 *</w:t>
      </w:r>
    </w:p>
    <w:p>
      <w:pPr>
        <w:pStyle w:val="BodyText"/>
        <w:spacing w:before="2"/>
        <w:rPr>
          <w:b/>
        </w:rPr>
      </w:pPr>
    </w:p>
    <w:p>
      <w:pPr>
        <w:pStyle w:val="BodyText"/>
        <w:tabs>
          <w:tab w:pos="3400" w:val="left" w:leader="none"/>
        </w:tabs>
        <w:ind w:left="1240"/>
      </w:pPr>
      <w:r>
        <w:rPr>
          <w:b/>
          <w:w w:val="110"/>
        </w:rPr>
        <w:t>Signature</w:t>
        <w:tab/>
      </w:r>
      <w:r>
        <w:rPr>
          <w:spacing w:val="-6"/>
          <w:w w:val="110"/>
        </w:rPr>
        <w:t>..................................................................................</w:t>
      </w:r>
    </w:p>
    <w:p>
      <w:pPr>
        <w:pStyle w:val="BodyText"/>
        <w:spacing w:before="2"/>
      </w:pPr>
    </w:p>
    <w:p>
      <w:pPr>
        <w:pStyle w:val="BodyText"/>
        <w:tabs>
          <w:tab w:pos="3400" w:val="left" w:leader="none"/>
        </w:tabs>
        <w:spacing w:before="1"/>
        <w:ind w:left="1240"/>
      </w:pPr>
      <w:r>
        <w:rPr>
          <w:b/>
          <w:spacing w:val="2"/>
          <w:w w:val="110"/>
        </w:rPr>
        <w:t>Contact</w:t>
      </w:r>
      <w:r>
        <w:rPr>
          <w:b/>
          <w:spacing w:val="10"/>
          <w:w w:val="110"/>
        </w:rPr>
        <w:t> </w:t>
      </w:r>
      <w:r>
        <w:rPr>
          <w:b/>
          <w:w w:val="110"/>
        </w:rPr>
        <w:t>details</w:t>
        <w:tab/>
      </w:r>
      <w:r>
        <w:rPr>
          <w:spacing w:val="-6"/>
          <w:w w:val="110"/>
        </w:rPr>
        <w:t>..................................................................................</w:t>
      </w:r>
    </w:p>
    <w:p>
      <w:pPr>
        <w:pStyle w:val="BodyText"/>
        <w:spacing w:before="2"/>
      </w:pPr>
    </w:p>
    <w:p>
      <w:pPr>
        <w:pStyle w:val="BodyText"/>
        <w:ind w:left="3400"/>
      </w:pPr>
      <w:r>
        <w:rPr>
          <w:spacing w:val="-6"/>
          <w:w w:val="110"/>
        </w:rPr>
        <w:t>..................................................................................</w:t>
      </w:r>
    </w:p>
    <w:p>
      <w:pPr>
        <w:pStyle w:val="BodyText"/>
        <w:spacing w:before="9"/>
        <w:rPr>
          <w:sz w:val="24"/>
        </w:rPr>
      </w:pPr>
    </w:p>
    <w:p>
      <w:pPr>
        <w:spacing w:before="1"/>
        <w:ind w:left="1240" w:right="0" w:firstLine="0"/>
        <w:jc w:val="left"/>
        <w:rPr>
          <w:sz w:val="18"/>
        </w:rPr>
      </w:pPr>
      <w:r>
        <w:rPr>
          <w:b/>
          <w:w w:val="110"/>
          <w:sz w:val="18"/>
        </w:rPr>
        <w:t>Witness 2 </w:t>
      </w:r>
      <w:r>
        <w:rPr>
          <w:w w:val="110"/>
          <w:sz w:val="18"/>
        </w:rPr>
        <w:t>*</w:t>
      </w:r>
    </w:p>
    <w:p>
      <w:pPr>
        <w:pStyle w:val="BodyText"/>
        <w:spacing w:before="2"/>
      </w:pPr>
    </w:p>
    <w:p>
      <w:pPr>
        <w:pStyle w:val="BodyText"/>
        <w:tabs>
          <w:tab w:pos="3400" w:val="left" w:leader="none"/>
        </w:tabs>
        <w:ind w:left="1240"/>
      </w:pPr>
      <w:r>
        <w:rPr>
          <w:b/>
          <w:w w:val="110"/>
        </w:rPr>
        <w:t>Signature</w:t>
        <w:tab/>
      </w:r>
      <w:r>
        <w:rPr>
          <w:spacing w:val="-6"/>
          <w:w w:val="110"/>
        </w:rPr>
        <w:t>..................................................................................</w:t>
      </w:r>
    </w:p>
    <w:p>
      <w:pPr>
        <w:pStyle w:val="BodyText"/>
        <w:spacing w:before="2"/>
      </w:pPr>
    </w:p>
    <w:p>
      <w:pPr>
        <w:pStyle w:val="BodyText"/>
        <w:tabs>
          <w:tab w:pos="3400" w:val="left" w:leader="none"/>
        </w:tabs>
        <w:ind w:left="1240"/>
      </w:pPr>
      <w:r>
        <w:rPr>
          <w:b/>
          <w:spacing w:val="2"/>
          <w:w w:val="110"/>
        </w:rPr>
        <w:t>Contact</w:t>
      </w:r>
      <w:r>
        <w:rPr>
          <w:b/>
          <w:spacing w:val="10"/>
          <w:w w:val="110"/>
        </w:rPr>
        <w:t> </w:t>
      </w:r>
      <w:r>
        <w:rPr>
          <w:b/>
          <w:w w:val="110"/>
        </w:rPr>
        <w:t>details</w:t>
        <w:tab/>
      </w:r>
      <w:r>
        <w:rPr>
          <w:spacing w:val="-6"/>
          <w:w w:val="110"/>
        </w:rPr>
        <w:t>..................................................................................</w:t>
      </w:r>
    </w:p>
    <w:p>
      <w:pPr>
        <w:pStyle w:val="BodyText"/>
        <w:spacing w:before="3"/>
      </w:pPr>
    </w:p>
    <w:p>
      <w:pPr>
        <w:pStyle w:val="BodyText"/>
        <w:ind w:left="3400"/>
      </w:pPr>
      <w:r>
        <w:rPr>
          <w:spacing w:val="-6"/>
          <w:w w:val="110"/>
        </w:rPr>
        <w:t>..................................................................................</w:t>
      </w:r>
    </w:p>
    <w:p>
      <w:pPr>
        <w:pStyle w:val="BodyText"/>
        <w:spacing w:before="2"/>
        <w:rPr>
          <w:sz w:val="23"/>
        </w:rPr>
      </w:pPr>
    </w:p>
    <w:p>
      <w:pPr>
        <w:spacing w:before="0"/>
        <w:ind w:left="1240" w:right="0" w:firstLine="0"/>
        <w:jc w:val="left"/>
        <w:rPr>
          <w:i/>
          <w:sz w:val="18"/>
        </w:rPr>
      </w:pPr>
      <w:r>
        <w:rPr>
          <w:i/>
          <w:w w:val="110"/>
          <w:sz w:val="18"/>
        </w:rPr>
        <w:t>* Witnesses must be </w:t>
      </w:r>
      <w:r>
        <w:rPr>
          <w:i/>
          <w:spacing w:val="-5"/>
          <w:w w:val="110"/>
          <w:sz w:val="18"/>
        </w:rPr>
        <w:t>18 </w:t>
      </w:r>
      <w:r>
        <w:rPr>
          <w:i/>
          <w:w w:val="110"/>
          <w:sz w:val="18"/>
        </w:rPr>
        <w:t>or over but not a partner, spouse, relative or anyone else</w:t>
      </w:r>
      <w:r>
        <w:rPr>
          <w:i/>
          <w:spacing w:val="57"/>
          <w:w w:val="110"/>
          <w:sz w:val="18"/>
        </w:rPr>
        <w:t> </w:t>
      </w:r>
      <w:r>
        <w:rPr>
          <w:i/>
          <w:w w:val="110"/>
          <w:sz w:val="18"/>
        </w:rPr>
        <w:t>who</w:t>
      </w:r>
    </w:p>
    <w:p>
      <w:pPr>
        <w:spacing w:before="31"/>
        <w:ind w:left="1240" w:right="0" w:firstLine="0"/>
        <w:jc w:val="left"/>
        <w:rPr>
          <w:i/>
          <w:sz w:val="18"/>
        </w:rPr>
      </w:pPr>
      <w:r>
        <w:rPr>
          <w:i/>
          <w:w w:val="110"/>
          <w:sz w:val="18"/>
        </w:rPr>
        <w:t>stands to benefit under the maker’s ordinary will</w:t>
      </w:r>
    </w:p>
    <w:p>
      <w:pPr>
        <w:pStyle w:val="BodyText"/>
        <w:spacing w:before="2"/>
        <w:rPr>
          <w:i/>
          <w:sz w:val="23"/>
        </w:rPr>
      </w:pPr>
    </w:p>
    <w:p>
      <w:pPr>
        <w:pStyle w:val="BodyText"/>
        <w:ind w:left="1240"/>
      </w:pPr>
      <w:r>
        <w:rPr>
          <w:w w:val="110"/>
        </w:rPr>
        <w:t>Review dates and signature:–</w:t>
      </w:r>
    </w:p>
    <w:p>
      <w:pPr>
        <w:pStyle w:val="BodyText"/>
        <w:spacing w:before="1"/>
        <w:rPr>
          <w:sz w:val="23"/>
        </w:rPr>
      </w:pPr>
    </w:p>
    <w:p>
      <w:pPr>
        <w:spacing w:before="1"/>
        <w:ind w:left="1240" w:right="0" w:firstLine="0"/>
        <w:jc w:val="left"/>
        <w:rPr>
          <w:b/>
          <w:sz w:val="18"/>
        </w:rPr>
      </w:pPr>
      <w:r>
        <w:rPr>
          <w:b/>
          <w:w w:val="110"/>
          <w:sz w:val="18"/>
        </w:rPr>
        <w:t>Notes</w:t>
      </w:r>
    </w:p>
    <w:p>
      <w:pPr>
        <w:pStyle w:val="BodyText"/>
        <w:spacing w:before="1"/>
        <w:rPr>
          <w:b/>
          <w:sz w:val="23"/>
        </w:rPr>
      </w:pPr>
    </w:p>
    <w:p>
      <w:pPr>
        <w:pStyle w:val="ListParagraph"/>
        <w:numPr>
          <w:ilvl w:val="0"/>
          <w:numId w:val="109"/>
        </w:numPr>
        <w:tabs>
          <w:tab w:pos="1921" w:val="left" w:leader="none"/>
          <w:tab w:pos="1922" w:val="left" w:leader="none"/>
        </w:tabs>
        <w:spacing w:line="273" w:lineRule="auto" w:before="0" w:after="0"/>
        <w:ind w:left="1921" w:right="1541" w:hanging="681"/>
        <w:jc w:val="left"/>
        <w:rPr>
          <w:sz w:val="18"/>
        </w:rPr>
      </w:pPr>
      <w:r>
        <w:rPr>
          <w:w w:val="110"/>
          <w:sz w:val="18"/>
        </w:rPr>
        <w:t>Living Wills are recognised as being legally enforceable by the British Medical Association, the Royal College of Nursing, the General Medical Council and the Law</w:t>
      </w:r>
      <w:r>
        <w:rPr>
          <w:spacing w:val="-1"/>
          <w:w w:val="110"/>
          <w:sz w:val="18"/>
        </w:rPr>
        <w:t> </w:t>
      </w:r>
      <w:r>
        <w:rPr>
          <w:w w:val="110"/>
          <w:sz w:val="18"/>
        </w:rPr>
        <w:t>Society.</w:t>
      </w:r>
    </w:p>
    <w:p>
      <w:pPr>
        <w:pStyle w:val="BodyText"/>
        <w:spacing w:before="9"/>
        <w:rPr>
          <w:sz w:val="20"/>
        </w:rPr>
      </w:pPr>
    </w:p>
    <w:p>
      <w:pPr>
        <w:pStyle w:val="ListParagraph"/>
        <w:numPr>
          <w:ilvl w:val="0"/>
          <w:numId w:val="109"/>
        </w:numPr>
        <w:tabs>
          <w:tab w:pos="1921" w:val="left" w:leader="none"/>
          <w:tab w:pos="1922" w:val="left" w:leader="none"/>
        </w:tabs>
        <w:spacing w:line="273" w:lineRule="auto" w:before="0" w:after="0"/>
        <w:ind w:left="1921" w:right="1331" w:hanging="681"/>
        <w:jc w:val="left"/>
        <w:rPr>
          <w:sz w:val="18"/>
        </w:rPr>
      </w:pPr>
      <w:r>
        <w:rPr>
          <w:spacing w:val="-3"/>
          <w:w w:val="110"/>
          <w:sz w:val="18"/>
        </w:rPr>
        <w:t>Your </w:t>
      </w:r>
      <w:r>
        <w:rPr>
          <w:w w:val="110"/>
          <w:sz w:val="18"/>
        </w:rPr>
        <w:t>Living Will should be discussed if possible with your family, your Medical Practitioner and your ‘advocate’. Copies should be deposited with each of them, and you should keep a copy in your papers. </w:t>
      </w:r>
      <w:r>
        <w:rPr>
          <w:spacing w:val="-4"/>
          <w:w w:val="110"/>
          <w:sz w:val="18"/>
        </w:rPr>
        <w:t>You </w:t>
      </w:r>
      <w:r>
        <w:rPr>
          <w:w w:val="110"/>
          <w:sz w:val="18"/>
        </w:rPr>
        <w:t>may like to </w:t>
      </w:r>
      <w:r>
        <w:rPr>
          <w:spacing w:val="3"/>
          <w:w w:val="110"/>
          <w:sz w:val="18"/>
        </w:rPr>
        <w:t>carry </w:t>
      </w:r>
      <w:r>
        <w:rPr>
          <w:w w:val="110"/>
          <w:sz w:val="18"/>
        </w:rPr>
        <w:t>a card saying that you have a Living Will, and where it can be</w:t>
      </w:r>
      <w:r>
        <w:rPr>
          <w:spacing w:val="20"/>
          <w:w w:val="110"/>
          <w:sz w:val="18"/>
        </w:rPr>
        <w:t> </w:t>
      </w:r>
      <w:r>
        <w:rPr>
          <w:w w:val="110"/>
          <w:sz w:val="18"/>
        </w:rPr>
        <w:t>found.</w:t>
      </w:r>
    </w:p>
    <w:p>
      <w:pPr>
        <w:pStyle w:val="BodyText"/>
        <w:spacing w:before="9"/>
        <w:rPr>
          <w:sz w:val="20"/>
        </w:rPr>
      </w:pPr>
    </w:p>
    <w:p>
      <w:pPr>
        <w:pStyle w:val="ListParagraph"/>
        <w:numPr>
          <w:ilvl w:val="0"/>
          <w:numId w:val="109"/>
        </w:numPr>
        <w:tabs>
          <w:tab w:pos="1921" w:val="left" w:leader="none"/>
          <w:tab w:pos="1922" w:val="left" w:leader="none"/>
        </w:tabs>
        <w:spacing w:line="273" w:lineRule="auto" w:before="1" w:after="0"/>
        <w:ind w:left="1921" w:right="1294" w:hanging="681"/>
        <w:jc w:val="left"/>
        <w:rPr>
          <w:sz w:val="18"/>
        </w:rPr>
      </w:pPr>
      <w:r>
        <w:rPr>
          <w:w w:val="110"/>
          <w:sz w:val="18"/>
        </w:rPr>
        <w:t>This form applies to England and Wales </w:t>
      </w:r>
      <w:r>
        <w:rPr>
          <w:spacing w:val="-3"/>
          <w:w w:val="110"/>
          <w:sz w:val="18"/>
        </w:rPr>
        <w:t>only. </w:t>
      </w:r>
      <w:r>
        <w:rPr>
          <w:w w:val="110"/>
          <w:sz w:val="18"/>
        </w:rPr>
        <w:t>In Scotland a similar procedure is known as </w:t>
      </w:r>
      <w:r>
        <w:rPr>
          <w:spacing w:val="-6"/>
          <w:w w:val="110"/>
          <w:sz w:val="18"/>
        </w:rPr>
        <w:t>‘A </w:t>
      </w:r>
      <w:r>
        <w:rPr>
          <w:w w:val="110"/>
          <w:sz w:val="18"/>
        </w:rPr>
        <w:t>Welfare Power of Attorney’, which must be granted by the Donor while he or she is mentally competent, and </w:t>
      </w:r>
      <w:r>
        <w:rPr>
          <w:spacing w:val="2"/>
          <w:w w:val="110"/>
          <w:sz w:val="18"/>
        </w:rPr>
        <w:t>registered </w:t>
      </w:r>
      <w:r>
        <w:rPr>
          <w:w w:val="110"/>
          <w:sz w:val="18"/>
        </w:rPr>
        <w:t>by the Donor at the </w:t>
      </w:r>
      <w:r>
        <w:rPr>
          <w:spacing w:val="2"/>
          <w:w w:val="110"/>
          <w:sz w:val="18"/>
        </w:rPr>
        <w:t>Office </w:t>
      </w:r>
      <w:r>
        <w:rPr>
          <w:w w:val="110"/>
          <w:sz w:val="18"/>
        </w:rPr>
        <w:t>of the Public Guardian. The above form could perhaps be</w:t>
      </w:r>
      <w:r>
        <w:rPr>
          <w:spacing w:val="38"/>
          <w:w w:val="110"/>
          <w:sz w:val="18"/>
        </w:rPr>
        <w:t> </w:t>
      </w:r>
      <w:r>
        <w:rPr>
          <w:w w:val="110"/>
          <w:sz w:val="18"/>
        </w:rPr>
        <w:t>adapted.</w:t>
      </w:r>
    </w:p>
    <w:p>
      <w:pPr>
        <w:pStyle w:val="BodyText"/>
        <w:spacing w:before="9"/>
        <w:rPr>
          <w:sz w:val="20"/>
        </w:rPr>
      </w:pPr>
    </w:p>
    <w:p>
      <w:pPr>
        <w:pStyle w:val="ListParagraph"/>
        <w:numPr>
          <w:ilvl w:val="0"/>
          <w:numId w:val="109"/>
        </w:numPr>
        <w:tabs>
          <w:tab w:pos="1921" w:val="left" w:leader="none"/>
          <w:tab w:pos="1922" w:val="left" w:leader="none"/>
        </w:tabs>
        <w:spacing w:line="273" w:lineRule="auto" w:before="0" w:after="0"/>
        <w:ind w:left="1921" w:right="1439" w:hanging="681"/>
        <w:jc w:val="left"/>
        <w:rPr>
          <w:sz w:val="18"/>
        </w:rPr>
      </w:pPr>
      <w:r>
        <w:rPr>
          <w:w w:val="110"/>
          <w:sz w:val="18"/>
        </w:rPr>
        <w:t>A new document is due to be introduced </w:t>
      </w:r>
      <w:r>
        <w:rPr>
          <w:spacing w:val="2"/>
          <w:w w:val="110"/>
          <w:sz w:val="18"/>
        </w:rPr>
        <w:t>shortly </w:t>
      </w:r>
      <w:r>
        <w:rPr>
          <w:w w:val="110"/>
          <w:sz w:val="18"/>
        </w:rPr>
        <w:t>for England and Wales called a Lasting Power of Attorney, but is not yet</w:t>
      </w:r>
      <w:r>
        <w:rPr>
          <w:spacing w:val="13"/>
          <w:w w:val="110"/>
          <w:sz w:val="18"/>
        </w:rPr>
        <w:t> </w:t>
      </w:r>
      <w:r>
        <w:rPr>
          <w:w w:val="110"/>
          <w:sz w:val="18"/>
        </w:rPr>
        <w:t>available.</w:t>
      </w:r>
    </w:p>
    <w:p>
      <w:pPr>
        <w:pStyle w:val="BodyText"/>
        <w:spacing w:before="8"/>
        <w:rPr>
          <w:sz w:val="20"/>
        </w:rPr>
      </w:pPr>
    </w:p>
    <w:p>
      <w:pPr>
        <w:pStyle w:val="ListParagraph"/>
        <w:numPr>
          <w:ilvl w:val="0"/>
          <w:numId w:val="109"/>
        </w:numPr>
        <w:tabs>
          <w:tab w:pos="1921" w:val="left" w:leader="none"/>
          <w:tab w:pos="1922" w:val="left" w:leader="none"/>
        </w:tabs>
        <w:spacing w:line="240" w:lineRule="auto" w:before="0" w:after="0"/>
        <w:ind w:left="1921" w:right="0" w:hanging="682"/>
        <w:jc w:val="left"/>
        <w:rPr>
          <w:sz w:val="18"/>
        </w:rPr>
      </w:pPr>
      <w:r>
        <w:rPr>
          <w:w w:val="110"/>
          <w:sz w:val="18"/>
        </w:rPr>
        <w:t>The United Reformed Church does not accept liability for the use of this</w:t>
      </w:r>
      <w:r>
        <w:rPr>
          <w:spacing w:val="58"/>
          <w:w w:val="110"/>
          <w:sz w:val="18"/>
        </w:rPr>
        <w:t> </w:t>
      </w:r>
      <w:r>
        <w:rPr>
          <w:w w:val="110"/>
          <w:sz w:val="18"/>
        </w:rPr>
        <w:t>form.</w:t>
      </w:r>
    </w:p>
    <w:p>
      <w:pPr>
        <w:spacing w:after="0" w:line="240" w:lineRule="auto"/>
        <w:jc w:val="left"/>
        <w:rPr>
          <w:sz w:val="18"/>
        </w:rPr>
        <w:sectPr>
          <w:pgSz w:w="11910" w:h="16840"/>
          <w:pgMar w:header="557" w:footer="564" w:top="820" w:bottom="760" w:left="460" w:right="0"/>
        </w:sectPr>
      </w:pPr>
    </w:p>
    <w:p>
      <w:pPr>
        <w:pStyle w:val="BodyText"/>
        <w:spacing w:before="5"/>
        <w:rPr>
          <w:sz w:val="16"/>
        </w:rPr>
      </w:pPr>
    </w:p>
    <w:p>
      <w:pPr>
        <w:spacing w:after="0"/>
        <w:rPr>
          <w:sz w:val="16"/>
        </w:rPr>
        <w:sectPr>
          <w:pgSz w:w="11910" w:h="16840"/>
          <w:pgMar w:header="558" w:footer="564" w:top="820" w:bottom="760" w:left="460" w:right="0"/>
        </w:sectPr>
      </w:pPr>
    </w:p>
    <w:p>
      <w:pPr>
        <w:spacing w:before="28"/>
        <w:ind w:left="673" w:right="0" w:firstLine="0"/>
        <w:jc w:val="left"/>
        <w:rPr>
          <w:rFonts w:ascii="Eurostile Bold" w:hAnsi="Eurostile Bold"/>
          <w:b/>
          <w:sz w:val="28"/>
        </w:rPr>
      </w:pPr>
      <w:r>
        <w:rPr/>
        <w:pict>
          <v:group style="position:absolute;margin-left:75.535004pt;margin-top:535.220032pt;width:204.5pt;height:225.75pt;mso-position-horizontal-relative:page;mso-position-vertical-relative:page;z-index:251921408" coordorigin="1511,10704" coordsize="4090,4515">
            <v:rect style="position:absolute;left:1510;top:10704;width:4090;height:4515" filled="true" fillcolor="#000000" stroked="false">
              <v:fill opacity="49152f" type="solid"/>
            </v:rect>
            <v:shape style="position:absolute;left:1589;top:10896;width:3813;height:4238" coordorigin="1590,10897" coordsize="3813,4238" path="m5301,10897l1590,10897,1590,15135,5301,15135,5360,15101,5390,14870,5401,14241,5402,13016,5401,11791,5390,11162,5360,10930,5301,10897xe" filled="true" fillcolor="#ffffff" stroked="false">
              <v:path arrowok="t"/>
              <v:fill type="solid"/>
            </v:shape>
            <v:shape style="position:absolute;left:1589;top:10896;width:3813;height:4238" coordorigin="1590,10897" coordsize="3813,4238" path="m5402,13016l5401,11791,5390,11162,5360,10930,5301,10897,1590,10897,1590,15135,5301,15135,5360,15101,5390,14870,5401,14241,5402,13016xe" filled="false" stroked="true" strokeweight=".25pt" strokecolor="#000000">
              <v:path arrowok="t"/>
              <v:stroke dashstyle="solid"/>
            </v:shape>
            <v:shape style="position:absolute;left:1984;top:11654;width:3048;height:2969" type="#_x0000_t202" filled="false" stroked="false">
              <v:textbox inset="0,0,0,0">
                <w:txbxContent>
                  <w:p>
                    <w:pPr>
                      <w:spacing w:line="273" w:lineRule="auto" w:before="0"/>
                      <w:ind w:left="0" w:right="284" w:firstLine="0"/>
                      <w:jc w:val="left"/>
                      <w:rPr>
                        <w:sz w:val="18"/>
                      </w:rPr>
                    </w:pPr>
                    <w:r>
                      <w:rPr>
                        <w:w w:val="110"/>
                        <w:sz w:val="18"/>
                      </w:rPr>
                      <w:t>Where </w:t>
                    </w:r>
                    <w:r>
                      <w:rPr>
                        <w:spacing w:val="2"/>
                        <w:w w:val="110"/>
                        <w:sz w:val="18"/>
                      </w:rPr>
                      <w:t>necessary </w:t>
                    </w:r>
                    <w:r>
                      <w:rPr>
                        <w:w w:val="110"/>
                        <w:sz w:val="18"/>
                      </w:rPr>
                      <w:t>the Parish Nurse will make </w:t>
                    </w:r>
                    <w:r>
                      <w:rPr>
                        <w:spacing w:val="2"/>
                        <w:w w:val="110"/>
                        <w:sz w:val="18"/>
                      </w:rPr>
                      <w:t>referrals </w:t>
                    </w:r>
                    <w:r>
                      <w:rPr>
                        <w:w w:val="110"/>
                        <w:sz w:val="18"/>
                      </w:rPr>
                      <w:t>to GPs,</w:t>
                    </w:r>
                    <w:r>
                      <w:rPr>
                        <w:spacing w:val="30"/>
                        <w:w w:val="110"/>
                        <w:sz w:val="18"/>
                      </w:rPr>
                      <w:t> </w:t>
                    </w:r>
                    <w:r>
                      <w:rPr>
                        <w:w w:val="110"/>
                        <w:sz w:val="18"/>
                      </w:rPr>
                      <w:t>dieticians,</w:t>
                    </w:r>
                  </w:p>
                  <w:p>
                    <w:pPr>
                      <w:spacing w:line="273" w:lineRule="auto" w:before="2"/>
                      <w:ind w:left="0" w:right="32" w:firstLine="0"/>
                      <w:jc w:val="left"/>
                      <w:rPr>
                        <w:sz w:val="18"/>
                      </w:rPr>
                    </w:pPr>
                    <w:r>
                      <w:rPr>
                        <w:w w:val="110"/>
                        <w:sz w:val="18"/>
                      </w:rPr>
                      <w:t>physiotherapists, counsellors, social </w:t>
                    </w:r>
                    <w:r>
                      <w:rPr>
                        <w:spacing w:val="2"/>
                        <w:w w:val="110"/>
                        <w:sz w:val="18"/>
                      </w:rPr>
                      <w:t>service departments </w:t>
                    </w:r>
                    <w:r>
                      <w:rPr>
                        <w:w w:val="110"/>
                        <w:sz w:val="18"/>
                      </w:rPr>
                      <w:t>and voluntary bodies as appropriate. This will require the development of  good local relationships with other health </w:t>
                    </w:r>
                    <w:r>
                      <w:rPr>
                        <w:spacing w:val="2"/>
                        <w:w w:val="110"/>
                        <w:sz w:val="18"/>
                      </w:rPr>
                      <w:t>care</w:t>
                    </w:r>
                    <w:r>
                      <w:rPr>
                        <w:spacing w:val="12"/>
                        <w:w w:val="110"/>
                        <w:sz w:val="18"/>
                      </w:rPr>
                      <w:t> </w:t>
                    </w:r>
                    <w:r>
                      <w:rPr>
                        <w:w w:val="110"/>
                        <w:sz w:val="18"/>
                      </w:rPr>
                      <w:t>professionals</w:t>
                    </w:r>
                  </w:p>
                  <w:p>
                    <w:pPr>
                      <w:spacing w:line="273" w:lineRule="auto" w:before="4"/>
                      <w:ind w:left="0" w:right="32" w:firstLine="0"/>
                      <w:jc w:val="left"/>
                      <w:rPr>
                        <w:sz w:val="18"/>
                      </w:rPr>
                    </w:pPr>
                    <w:r>
                      <w:rPr>
                        <w:w w:val="110"/>
                        <w:sz w:val="18"/>
                      </w:rPr>
                      <w:t>and wide knowledge of local voluntary organisations.</w:t>
                    </w:r>
                  </w:p>
                </w:txbxContent>
              </v:textbox>
              <w10:wrap type="none"/>
            </v:shape>
            <v:shape style="position:absolute;left:2704;top:11154;width:1675;height:219" type="#_x0000_t202" filled="false" stroked="false">
              <v:textbox inset="0,0,0,0">
                <w:txbxContent>
                  <w:p>
                    <w:pPr>
                      <w:spacing w:before="0"/>
                      <w:ind w:left="0" w:right="0" w:firstLine="0"/>
                      <w:jc w:val="left"/>
                      <w:rPr>
                        <w:b/>
                        <w:sz w:val="18"/>
                      </w:rPr>
                    </w:pPr>
                    <w:r>
                      <w:rPr>
                        <w:b/>
                        <w:w w:val="110"/>
                        <w:sz w:val="18"/>
                      </w:rPr>
                      <w:t>Referral Agent</w:t>
                    </w:r>
                  </w:p>
                </w:txbxContent>
              </v:textbox>
              <w10:wrap type="none"/>
            </v:shape>
            <v:shape style="position:absolute;left:1984;top:11154;width:235;height:219" type="#_x0000_t202" filled="false" stroked="false">
              <v:textbox inset="0,0,0,0">
                <w:txbxContent>
                  <w:p>
                    <w:pPr>
                      <w:spacing w:before="0"/>
                      <w:ind w:left="0" w:right="0" w:firstLine="0"/>
                      <w:jc w:val="left"/>
                      <w:rPr>
                        <w:b/>
                        <w:sz w:val="18"/>
                      </w:rPr>
                    </w:pPr>
                    <w:r>
                      <w:rPr>
                        <w:b/>
                        <w:w w:val="110"/>
                        <w:sz w:val="18"/>
                      </w:rPr>
                      <w:t>3.</w:t>
                    </w:r>
                  </w:p>
                </w:txbxContent>
              </v:textbox>
              <w10:wrap type="none"/>
            </v:shape>
            <w10:wrap type="none"/>
          </v:group>
        </w:pict>
      </w:r>
      <w:r>
        <w:rPr/>
        <w:pict>
          <v:group style="position:absolute;margin-left:291.912994pt;margin-top:571.598022pt;width:266.4pt;height:205.95pt;mso-position-horizontal-relative:page;mso-position-vertical-relative:page;z-index:251925504" coordorigin="5838,11432" coordsize="5328,4119">
            <v:rect style="position:absolute;left:5838;top:11431;width:5328;height:4119" filled="true" fillcolor="#000000" stroked="false">
              <v:fill opacity="49152f" type="solid"/>
            </v:rect>
            <v:shape style="position:absolute;left:5917;top:11624;width:5051;height:3851" coordorigin="5917,11625" coordsize="5051,3851" path="m10834,11625l5917,11625,5917,15475,10834,15475,10911,15445,10951,15234,10965,14663,10968,13550,10965,12437,10951,11865,10911,11655,10834,11625xe" filled="true" fillcolor="#ffffff" stroked="false">
              <v:path arrowok="t"/>
              <v:fill type="solid"/>
            </v:shape>
            <v:shape style="position:absolute;left:5917;top:11624;width:5051;height:3851" coordorigin="5917,11625" coordsize="5051,3851" path="m10968,13550l10965,12437,10951,11865,10911,11655,10834,11625,5917,11625,5917,15475,10834,15475,10911,15445,10951,15234,10965,14663,10968,13550xe" filled="false" stroked="true" strokeweight=".25pt" strokecolor="#000000">
              <v:path arrowok="t"/>
              <v:stroke dashstyle="solid"/>
            </v:shape>
            <v:shape style="position:absolute;left:6207;top:12608;width:4471;height:2469" type="#_x0000_t202" filled="false" stroked="false">
              <v:textbox inset="0,0,0,0">
                <w:txbxContent>
                  <w:p>
                    <w:pPr>
                      <w:spacing w:line="273" w:lineRule="auto" w:before="0"/>
                      <w:ind w:left="0" w:right="72" w:firstLine="0"/>
                      <w:jc w:val="left"/>
                      <w:rPr>
                        <w:sz w:val="18"/>
                      </w:rPr>
                    </w:pPr>
                    <w:r>
                      <w:rPr>
                        <w:w w:val="110"/>
                        <w:sz w:val="18"/>
                      </w:rPr>
                      <w:t>When a family in the church or community is in need of </w:t>
                    </w:r>
                    <w:r>
                      <w:rPr>
                        <w:spacing w:val="2"/>
                        <w:w w:val="110"/>
                        <w:sz w:val="18"/>
                      </w:rPr>
                      <w:t>extra practical </w:t>
                    </w:r>
                    <w:r>
                      <w:rPr>
                        <w:w w:val="110"/>
                        <w:sz w:val="18"/>
                      </w:rPr>
                      <w:t>care, the Parish Nurse will train and co-ordinate volunteers to help.  Unlike many NHS nurses, the Parish Nurse is in communication with  many people who want to</w:t>
                    </w:r>
                    <w:r>
                      <w:rPr>
                        <w:spacing w:val="15"/>
                        <w:w w:val="110"/>
                        <w:sz w:val="18"/>
                      </w:rPr>
                      <w:t> </w:t>
                    </w:r>
                    <w:r>
                      <w:rPr>
                        <w:w w:val="110"/>
                        <w:sz w:val="18"/>
                      </w:rPr>
                      <w:t>volunteer</w:t>
                    </w:r>
                  </w:p>
                  <w:p>
                    <w:pPr>
                      <w:spacing w:line="273" w:lineRule="auto" w:before="4"/>
                      <w:ind w:left="0" w:right="163" w:firstLine="0"/>
                      <w:jc w:val="left"/>
                      <w:rPr>
                        <w:sz w:val="18"/>
                      </w:rPr>
                    </w:pPr>
                    <w:r>
                      <w:rPr>
                        <w:w w:val="110"/>
                        <w:sz w:val="18"/>
                      </w:rPr>
                      <w:t>but do not know how to get involved appropriately. The Parish Nurse will run </w:t>
                    </w:r>
                    <w:r>
                      <w:rPr>
                        <w:spacing w:val="2"/>
                        <w:w w:val="110"/>
                        <w:sz w:val="18"/>
                      </w:rPr>
                      <w:t>First </w:t>
                    </w:r>
                    <w:r>
                      <w:rPr>
                        <w:w w:val="110"/>
                        <w:sz w:val="18"/>
                      </w:rPr>
                      <w:t>Aid </w:t>
                    </w:r>
                    <w:r>
                      <w:rPr>
                        <w:spacing w:val="2"/>
                        <w:w w:val="110"/>
                        <w:sz w:val="18"/>
                      </w:rPr>
                      <w:t>courses </w:t>
                    </w:r>
                    <w:r>
                      <w:rPr>
                        <w:w w:val="110"/>
                        <w:sz w:val="18"/>
                      </w:rPr>
                      <w:t>in order to equip people to provide </w:t>
                    </w:r>
                    <w:r>
                      <w:rPr>
                        <w:spacing w:val="2"/>
                        <w:w w:val="110"/>
                        <w:sz w:val="18"/>
                      </w:rPr>
                      <w:t>practical care </w:t>
                    </w:r>
                    <w:r>
                      <w:rPr>
                        <w:w w:val="110"/>
                        <w:sz w:val="18"/>
                      </w:rPr>
                      <w:t>in</w:t>
                    </w:r>
                    <w:r>
                      <w:rPr>
                        <w:spacing w:val="57"/>
                        <w:w w:val="110"/>
                        <w:sz w:val="18"/>
                      </w:rPr>
                      <w:t> </w:t>
                    </w:r>
                    <w:r>
                      <w:rPr>
                        <w:w w:val="110"/>
                        <w:sz w:val="18"/>
                      </w:rPr>
                      <w:t>emergencies.</w:t>
                    </w:r>
                  </w:p>
                </w:txbxContent>
              </v:textbox>
              <w10:wrap type="none"/>
            </v:shape>
            <v:shape style="position:absolute;left:6927;top:11858;width:2838;height:469" type="#_x0000_t202" filled="false" stroked="false">
              <v:textbox inset="0,0,0,0">
                <w:txbxContent>
                  <w:p>
                    <w:pPr>
                      <w:spacing w:line="273" w:lineRule="auto" w:before="0"/>
                      <w:ind w:left="0" w:right="0" w:firstLine="0"/>
                      <w:jc w:val="left"/>
                      <w:rPr>
                        <w:b/>
                        <w:sz w:val="18"/>
                      </w:rPr>
                    </w:pPr>
                    <w:r>
                      <w:rPr>
                        <w:b/>
                        <w:w w:val="110"/>
                        <w:sz w:val="18"/>
                      </w:rPr>
                      <w:t>Trainer and Co-ordinator of Volunteers</w:t>
                    </w:r>
                  </w:p>
                </w:txbxContent>
              </v:textbox>
              <w10:wrap type="none"/>
            </v:shape>
            <v:shape style="position:absolute;left:6207;top:11858;width:237;height:220" type="#_x0000_t202" filled="false" stroked="false">
              <v:textbox inset="0,0,0,0">
                <w:txbxContent>
                  <w:p>
                    <w:pPr>
                      <w:spacing w:before="0"/>
                      <w:ind w:left="0" w:right="0" w:firstLine="0"/>
                      <w:jc w:val="left"/>
                      <w:rPr>
                        <w:b/>
                        <w:sz w:val="18"/>
                      </w:rPr>
                    </w:pPr>
                    <w:r>
                      <w:rPr>
                        <w:b/>
                        <w:w w:val="110"/>
                        <w:sz w:val="18"/>
                      </w:rPr>
                      <w:t>4.</w:t>
                    </w:r>
                  </w:p>
                </w:txbxContent>
              </v:textbox>
              <w10:wrap type="none"/>
            </v:shape>
            <w10:wrap type="none"/>
          </v:group>
        </w:pict>
      </w:r>
      <w:r>
        <w:rPr/>
        <w:pict>
          <v:shape style="position:absolute;margin-left:523.527466pt;margin-top:12.947646pt;width:50.65pt;height:325.4pt;mso-position-horizontal-relative:page;mso-position-vertical-relative:paragraph;z-index:251926528" type="#_x0000_t202" filled="false" stroked="false">
            <v:textbox inset="0,0,0,0" style="layout-flow:vertical">
              <w:txbxContent>
                <w:p>
                  <w:pPr>
                    <w:spacing w:before="20"/>
                    <w:ind w:left="20" w:right="0" w:firstLine="0"/>
                    <w:jc w:val="left"/>
                    <w:rPr>
                      <w:b/>
                      <w:sz w:val="80"/>
                    </w:rPr>
                  </w:pPr>
                  <w:r>
                    <w:rPr>
                      <w:b/>
                      <w:spacing w:val="-10"/>
                      <w:sz w:val="80"/>
                    </w:rPr>
                    <w:t>Assisted </w:t>
                  </w:r>
                  <w:r>
                    <w:rPr>
                      <w:b/>
                      <w:spacing w:val="-17"/>
                      <w:sz w:val="80"/>
                    </w:rPr>
                    <w:t>Dying</w:t>
                  </w:r>
                </w:p>
              </w:txbxContent>
            </v:textbox>
            <w10:wrap type="none"/>
          </v:shape>
        </w:pict>
      </w:r>
      <w:r>
        <w:rPr>
          <w:rFonts w:ascii="Eurostile Bold" w:hAnsi="Eurostile Bold"/>
          <w:b/>
          <w:color w:val="ACACAC"/>
          <w:sz w:val="28"/>
        </w:rPr>
        <w:t>Appendix C – Assisted Dying</w:t>
      </w:r>
    </w:p>
    <w:p>
      <w:pPr>
        <w:spacing w:before="207"/>
        <w:ind w:left="1240" w:right="0" w:firstLine="0"/>
        <w:jc w:val="left"/>
        <w:rPr>
          <w:b/>
          <w:sz w:val="50"/>
        </w:rPr>
      </w:pPr>
      <w:r>
        <w:rPr>
          <w:b/>
          <w:w w:val="110"/>
          <w:sz w:val="50"/>
        </w:rPr>
        <w:t>Appendix C</w:t>
      </w:r>
    </w:p>
    <w:p>
      <w:pPr>
        <w:spacing w:before="214"/>
        <w:ind w:left="1240" w:right="0" w:firstLine="0"/>
        <w:jc w:val="left"/>
        <w:rPr>
          <w:b/>
          <w:sz w:val="29"/>
        </w:rPr>
      </w:pPr>
      <w:r>
        <w:rPr>
          <w:b/>
          <w:w w:val="110"/>
          <w:sz w:val="29"/>
        </w:rPr>
        <w:t>Parish Nursing</w:t>
      </w:r>
    </w:p>
    <w:p>
      <w:pPr>
        <w:pStyle w:val="BodyText"/>
        <w:spacing w:line="273" w:lineRule="auto" w:before="258"/>
        <w:ind w:left="1240" w:right="1829"/>
      </w:pPr>
      <w:r>
        <w:rPr>
          <w:w w:val="110"/>
        </w:rPr>
        <w:t>The title ‘Parish Nurse’ is widely used and recognised in </w:t>
      </w:r>
      <w:r>
        <w:rPr>
          <w:spacing w:val="2"/>
          <w:w w:val="110"/>
        </w:rPr>
        <w:t>North America </w:t>
      </w:r>
      <w:r>
        <w:rPr>
          <w:w w:val="110"/>
        </w:rPr>
        <w:t>where nurses operate </w:t>
      </w:r>
      <w:r>
        <w:rPr>
          <w:spacing w:val="2"/>
          <w:w w:val="110"/>
        </w:rPr>
        <w:t>across </w:t>
      </w:r>
      <w:r>
        <w:rPr>
          <w:w w:val="110"/>
        </w:rPr>
        <w:t>denominations and </w:t>
      </w:r>
      <w:r>
        <w:rPr>
          <w:spacing w:val="2"/>
          <w:w w:val="110"/>
        </w:rPr>
        <w:t>across </w:t>
      </w:r>
      <w:r>
        <w:rPr>
          <w:w w:val="110"/>
        </w:rPr>
        <w:t>faiths. In Britain, the term is less familiar.</w:t>
      </w:r>
      <w:r>
        <w:rPr>
          <w:spacing w:val="7"/>
          <w:w w:val="110"/>
        </w:rPr>
        <w:t> </w:t>
      </w:r>
      <w:r>
        <w:rPr>
          <w:w w:val="110"/>
        </w:rPr>
        <w:t>A</w:t>
      </w:r>
      <w:r>
        <w:rPr>
          <w:spacing w:val="8"/>
          <w:w w:val="110"/>
        </w:rPr>
        <w:t> </w:t>
      </w:r>
      <w:r>
        <w:rPr>
          <w:w w:val="110"/>
        </w:rPr>
        <w:t>Parish</w:t>
      </w:r>
      <w:r>
        <w:rPr>
          <w:spacing w:val="8"/>
          <w:w w:val="110"/>
        </w:rPr>
        <w:t> </w:t>
      </w:r>
      <w:r>
        <w:rPr>
          <w:w w:val="110"/>
        </w:rPr>
        <w:t>Nurse</w:t>
      </w:r>
      <w:r>
        <w:rPr>
          <w:spacing w:val="8"/>
          <w:w w:val="110"/>
        </w:rPr>
        <w:t> </w:t>
      </w:r>
      <w:r>
        <w:rPr>
          <w:w w:val="110"/>
        </w:rPr>
        <w:t>might</w:t>
      </w:r>
      <w:r>
        <w:rPr>
          <w:spacing w:val="8"/>
          <w:w w:val="110"/>
        </w:rPr>
        <w:t> </w:t>
      </w:r>
      <w:r>
        <w:rPr>
          <w:w w:val="110"/>
        </w:rPr>
        <w:t>operate</w:t>
      </w:r>
      <w:r>
        <w:rPr>
          <w:spacing w:val="8"/>
          <w:w w:val="110"/>
        </w:rPr>
        <w:t> </w:t>
      </w:r>
      <w:r>
        <w:rPr>
          <w:w w:val="110"/>
        </w:rPr>
        <w:t>within</w:t>
      </w:r>
      <w:r>
        <w:rPr>
          <w:spacing w:val="7"/>
          <w:w w:val="110"/>
        </w:rPr>
        <w:t> </w:t>
      </w:r>
      <w:r>
        <w:rPr>
          <w:w w:val="110"/>
        </w:rPr>
        <w:t>a</w:t>
      </w:r>
      <w:r>
        <w:rPr>
          <w:spacing w:val="8"/>
          <w:w w:val="110"/>
        </w:rPr>
        <w:t> </w:t>
      </w:r>
      <w:r>
        <w:rPr>
          <w:w w:val="110"/>
        </w:rPr>
        <w:t>local</w:t>
      </w:r>
      <w:r>
        <w:rPr>
          <w:spacing w:val="8"/>
          <w:w w:val="110"/>
        </w:rPr>
        <w:t> </w:t>
      </w:r>
      <w:r>
        <w:rPr>
          <w:w w:val="110"/>
        </w:rPr>
        <w:t>church</w:t>
      </w:r>
      <w:r>
        <w:rPr>
          <w:spacing w:val="8"/>
          <w:w w:val="110"/>
        </w:rPr>
        <w:t> </w:t>
      </w:r>
      <w:r>
        <w:rPr>
          <w:w w:val="110"/>
        </w:rPr>
        <w:t>context</w:t>
      </w:r>
      <w:r>
        <w:rPr>
          <w:spacing w:val="7"/>
          <w:w w:val="110"/>
        </w:rPr>
        <w:t> </w:t>
      </w:r>
      <w:r>
        <w:rPr>
          <w:w w:val="110"/>
        </w:rPr>
        <w:t>and</w:t>
      </w:r>
      <w:r>
        <w:rPr>
          <w:spacing w:val="8"/>
          <w:w w:val="110"/>
        </w:rPr>
        <w:t> </w:t>
      </w:r>
      <w:r>
        <w:rPr>
          <w:w w:val="110"/>
        </w:rPr>
        <w:t>provide</w:t>
      </w:r>
    </w:p>
    <w:p>
      <w:pPr>
        <w:pStyle w:val="BodyText"/>
        <w:spacing w:line="273" w:lineRule="auto" w:before="2"/>
        <w:ind w:left="1240" w:right="1955"/>
      </w:pPr>
      <w:r>
        <w:rPr/>
        <w:pict>
          <v:group style="position:absolute;margin-left:309.865997pt;margin-top:84.365456pt;width:201.6pt;height:306.4pt;mso-position-horizontal-relative:page;mso-position-vertical-relative:paragraph;z-index:251913216" coordorigin="6197,1687" coordsize="4032,6128">
            <v:rect style="position:absolute;left:6197;top:1687;width:4032;height:6128" filled="true" fillcolor="#000000" stroked="false">
              <v:fill opacity="49152f" type="solid"/>
            </v:rect>
            <v:shape style="position:absolute;left:6276;top:1879;width:3756;height:5849" coordorigin="6277,1880" coordsize="3756,5849" path="m9933,1880l6277,1880,6277,7728,9933,7728,9990,7683,10020,7363,10031,6495,10032,4804,10031,3114,10020,2245,9990,1926,9933,1880xe" filled="true" fillcolor="#ffffff" stroked="false">
              <v:path arrowok="t"/>
              <v:fill type="solid"/>
            </v:shape>
            <v:shape style="position:absolute;left:6276;top:1879;width:3756;height:5849" coordorigin="6277,1880" coordsize="3756,5849" path="m10032,4804l10031,3114,10020,2245,9990,1926,9933,1880,6277,1880,6277,7728,9933,7728,9990,7683,10020,7363,10031,6495,10032,4804xe" filled="false" stroked="true" strokeweight=".25pt" strokecolor="#000000">
              <v:path arrowok="t"/>
              <v:stroke dashstyle="solid"/>
            </v:shape>
            <v:shape style="position:absolute;left:6548;top:2948;width:3186;height:4470" type="#_x0000_t202" filled="false" stroked="false">
              <v:textbox inset="0,0,0,0">
                <w:txbxContent>
                  <w:p>
                    <w:pPr>
                      <w:spacing w:line="273" w:lineRule="auto" w:before="0"/>
                      <w:ind w:left="0" w:right="0" w:firstLine="0"/>
                      <w:jc w:val="left"/>
                      <w:rPr>
                        <w:sz w:val="18"/>
                      </w:rPr>
                    </w:pPr>
                    <w:r>
                      <w:rPr>
                        <w:w w:val="110"/>
                        <w:sz w:val="18"/>
                      </w:rPr>
                      <w:t>The Parish Nurse will organise clinic sessions at the church building or elsewhere, when blood pressure checks, weight management, and personal health advice are freely available to everyone in the congregation and community who wishes to attend. In addition s/he will make supportive visits to people who are in particular need because of family illness, bereavement, redundancy or other problems. S/he will also provide health care advice for colleagues in ministry and leadership within the church.</w:t>
                    </w:r>
                  </w:p>
                </w:txbxContent>
              </v:textbox>
              <w10:wrap type="none"/>
            </v:shape>
            <v:shape style="position:absolute;left:7268;top:2198;width:1832;height:469" type="#_x0000_t202" filled="false" stroked="false">
              <v:textbox inset="0,0,0,0">
                <w:txbxContent>
                  <w:p>
                    <w:pPr>
                      <w:spacing w:line="273" w:lineRule="auto" w:before="0"/>
                      <w:ind w:left="0" w:right="0" w:firstLine="0"/>
                      <w:jc w:val="left"/>
                      <w:rPr>
                        <w:b/>
                        <w:sz w:val="18"/>
                      </w:rPr>
                    </w:pPr>
                    <w:r>
                      <w:rPr>
                        <w:b/>
                        <w:w w:val="110"/>
                        <w:sz w:val="18"/>
                      </w:rPr>
                      <w:t>Personal Health Counsellor</w:t>
                    </w:r>
                  </w:p>
                </w:txbxContent>
              </v:textbox>
              <w10:wrap type="none"/>
            </v:shape>
            <v:shape style="position:absolute;left:6547;top:2198;width:240;height:220" type="#_x0000_t202" filled="false" stroked="false">
              <v:textbox inset="0,0,0,0">
                <w:txbxContent>
                  <w:p>
                    <w:pPr>
                      <w:spacing w:before="0"/>
                      <w:ind w:left="0" w:right="0" w:firstLine="0"/>
                      <w:jc w:val="left"/>
                      <w:rPr>
                        <w:b/>
                        <w:sz w:val="18"/>
                      </w:rPr>
                    </w:pPr>
                    <w:r>
                      <w:rPr>
                        <w:b/>
                        <w:w w:val="110"/>
                        <w:sz w:val="18"/>
                      </w:rPr>
                      <w:t>2.</w:t>
                    </w:r>
                  </w:p>
                </w:txbxContent>
              </v:textbox>
              <w10:wrap type="none"/>
            </v:shape>
            <w10:wrap type="none"/>
          </v:group>
        </w:pict>
      </w:r>
      <w:r>
        <w:rPr/>
        <w:pict>
          <v:group style="position:absolute;margin-left:75.535004pt;margin-top:55.546459pt;width:227.2pt;height:297.75pt;mso-position-horizontal-relative:page;mso-position-vertical-relative:paragraph;z-index:251917312" coordorigin="1511,1111" coordsize="4544,5955">
            <v:rect style="position:absolute;left:1510;top:1110;width:4544;height:5955" filled="true" fillcolor="#000000" stroked="false">
              <v:fill opacity="49152f" type="solid"/>
            </v:rect>
            <v:shape style="position:absolute;left:1589;top:1303;width:4266;height:5674" coordorigin="1590,1304" coordsize="4266,5674" path="m5743,1304l1590,1304,1590,6977,5743,6977,5808,6933,5842,6623,5854,5780,5856,4140,5854,2500,5842,1658,5808,1348,5743,1304xe" filled="true" fillcolor="#ffffff" stroked="false">
              <v:path arrowok="t"/>
              <v:fill type="solid"/>
            </v:shape>
            <v:shape style="position:absolute;left:1589;top:1303;width:4266;height:5674" coordorigin="1590,1304" coordsize="4266,5674" path="m5856,4140l5854,2500,5842,1658,5808,1348,5743,1304,1590,1304,1590,6977,5743,6977,5808,6933,5842,6623,5854,5780,5856,4140xe" filled="false" stroked="true" strokeweight=".25pt" strokecolor="#000000">
              <v:path arrowok="t"/>
              <v:stroke dashstyle="solid"/>
            </v:shape>
            <v:shape style="position:absolute;left:1795;top:2065;width:3968;height:4470" type="#_x0000_t202" filled="false" stroked="false">
              <v:textbox inset="0,0,0,0">
                <w:txbxContent>
                  <w:p>
                    <w:pPr>
                      <w:spacing w:line="273" w:lineRule="auto" w:before="0"/>
                      <w:ind w:left="0" w:right="276" w:firstLine="0"/>
                      <w:jc w:val="left"/>
                      <w:rPr>
                        <w:sz w:val="18"/>
                      </w:rPr>
                    </w:pPr>
                    <w:r>
                      <w:rPr>
                        <w:w w:val="110"/>
                        <w:sz w:val="18"/>
                      </w:rPr>
                      <w:t>The Parish Nurse will find all </w:t>
                    </w:r>
                    <w:r>
                      <w:rPr>
                        <w:spacing w:val="3"/>
                        <w:w w:val="110"/>
                        <w:sz w:val="18"/>
                      </w:rPr>
                      <w:t>sorts  </w:t>
                    </w:r>
                    <w:r>
                      <w:rPr>
                        <w:w w:val="110"/>
                        <w:sz w:val="18"/>
                      </w:rPr>
                      <w:t>of ways of promoting health in the congregation and local community, for example by organising health- </w:t>
                    </w:r>
                    <w:r>
                      <w:rPr>
                        <w:spacing w:val="2"/>
                        <w:w w:val="110"/>
                        <w:sz w:val="18"/>
                      </w:rPr>
                      <w:t>care </w:t>
                    </w:r>
                    <w:r>
                      <w:rPr>
                        <w:w w:val="110"/>
                        <w:sz w:val="18"/>
                      </w:rPr>
                      <w:t>teaching with parent-toddler groups, exercise classes with the elderly, </w:t>
                    </w:r>
                    <w:r>
                      <w:rPr>
                        <w:spacing w:val="2"/>
                        <w:w w:val="110"/>
                        <w:sz w:val="18"/>
                      </w:rPr>
                      <w:t>stress </w:t>
                    </w:r>
                    <w:r>
                      <w:rPr>
                        <w:w w:val="110"/>
                        <w:sz w:val="18"/>
                      </w:rPr>
                      <w:t>management </w:t>
                    </w:r>
                    <w:r>
                      <w:rPr>
                        <w:spacing w:val="2"/>
                        <w:w w:val="110"/>
                        <w:sz w:val="18"/>
                      </w:rPr>
                      <w:t>courses </w:t>
                    </w:r>
                    <w:r>
                      <w:rPr>
                        <w:w w:val="110"/>
                        <w:sz w:val="18"/>
                      </w:rPr>
                      <w:t>with business professionals, or by participating in teaching on</w:t>
                    </w:r>
                    <w:r>
                      <w:rPr>
                        <w:spacing w:val="37"/>
                        <w:w w:val="110"/>
                        <w:sz w:val="18"/>
                      </w:rPr>
                      <w:t> </w:t>
                    </w:r>
                    <w:r>
                      <w:rPr>
                        <w:w w:val="110"/>
                        <w:sz w:val="18"/>
                      </w:rPr>
                      <w:t>drugs,</w:t>
                    </w:r>
                  </w:p>
                  <w:p>
                    <w:pPr>
                      <w:spacing w:line="273" w:lineRule="auto" w:before="5"/>
                      <w:ind w:left="0" w:right="58" w:firstLine="0"/>
                      <w:jc w:val="left"/>
                      <w:rPr>
                        <w:sz w:val="18"/>
                      </w:rPr>
                    </w:pPr>
                    <w:r>
                      <w:rPr>
                        <w:w w:val="110"/>
                        <w:sz w:val="18"/>
                      </w:rPr>
                      <w:t>alcohol and sex education with youth groups. Such classes could be in church buildings or beyond.   The Parish Nurse will also be concerned about environmental and </w:t>
                    </w:r>
                    <w:r>
                      <w:rPr>
                        <w:spacing w:val="2"/>
                        <w:w w:val="110"/>
                        <w:sz w:val="18"/>
                      </w:rPr>
                      <w:t>safety </w:t>
                    </w:r>
                    <w:r>
                      <w:rPr>
                        <w:w w:val="110"/>
                        <w:sz w:val="18"/>
                      </w:rPr>
                      <w:t>issues and </w:t>
                    </w:r>
                    <w:r>
                      <w:rPr>
                        <w:spacing w:val="2"/>
                        <w:w w:val="110"/>
                        <w:sz w:val="18"/>
                      </w:rPr>
                      <w:t>First </w:t>
                    </w:r>
                    <w:r>
                      <w:rPr>
                        <w:w w:val="110"/>
                        <w:sz w:val="18"/>
                      </w:rPr>
                      <w:t>Aid facilities relating to the church and local community, and will encourage church </w:t>
                    </w:r>
                    <w:r>
                      <w:rPr>
                        <w:spacing w:val="2"/>
                        <w:w w:val="110"/>
                        <w:sz w:val="18"/>
                      </w:rPr>
                      <w:t>members </w:t>
                    </w:r>
                    <w:r>
                      <w:rPr>
                        <w:w w:val="110"/>
                        <w:sz w:val="18"/>
                      </w:rPr>
                      <w:t>to take appropriate</w:t>
                    </w:r>
                    <w:r>
                      <w:rPr>
                        <w:spacing w:val="2"/>
                        <w:w w:val="110"/>
                        <w:sz w:val="18"/>
                      </w:rPr>
                      <w:t> </w:t>
                    </w:r>
                    <w:r>
                      <w:rPr>
                        <w:w w:val="110"/>
                        <w:sz w:val="18"/>
                      </w:rPr>
                      <w:t>actions.</w:t>
                    </w:r>
                  </w:p>
                </w:txbxContent>
              </v:textbox>
              <w10:wrap type="none"/>
            </v:shape>
            <v:shape style="position:absolute;left:2515;top:1565;width:1851;height:219" type="#_x0000_t202" filled="false" stroked="false">
              <v:textbox inset="0,0,0,0">
                <w:txbxContent>
                  <w:p>
                    <w:pPr>
                      <w:spacing w:before="0"/>
                      <w:ind w:left="0" w:right="0" w:firstLine="0"/>
                      <w:jc w:val="left"/>
                      <w:rPr>
                        <w:b/>
                        <w:sz w:val="18"/>
                      </w:rPr>
                    </w:pPr>
                    <w:r>
                      <w:rPr>
                        <w:b/>
                        <w:w w:val="110"/>
                        <w:sz w:val="18"/>
                      </w:rPr>
                      <w:t>Health Educator</w:t>
                    </w:r>
                  </w:p>
                </w:txbxContent>
              </v:textbox>
              <w10:wrap type="none"/>
            </v:shape>
            <v:shape style="position:absolute;left:1795;top:1565;width:236;height:219" type="#_x0000_t202" filled="false" stroked="false">
              <v:textbox inset="0,0,0,0">
                <w:txbxContent>
                  <w:p>
                    <w:pPr>
                      <w:spacing w:before="0"/>
                      <w:ind w:left="0" w:right="0" w:firstLine="0"/>
                      <w:jc w:val="left"/>
                      <w:rPr>
                        <w:b/>
                        <w:sz w:val="18"/>
                      </w:rPr>
                    </w:pPr>
                    <w:r>
                      <w:rPr>
                        <w:b/>
                        <w:w w:val="110"/>
                        <w:sz w:val="18"/>
                      </w:rPr>
                      <w:t>1.</w:t>
                    </w:r>
                  </w:p>
                </w:txbxContent>
              </v:textbox>
              <w10:wrap type="none"/>
            </v:shape>
            <w10:wrap type="none"/>
          </v:group>
        </w:pict>
      </w:r>
      <w:r>
        <w:rPr>
          <w:w w:val="110"/>
        </w:rPr>
        <w:t>a number of </w:t>
      </w:r>
      <w:r>
        <w:rPr>
          <w:spacing w:val="2"/>
          <w:w w:val="110"/>
        </w:rPr>
        <w:t>services </w:t>
      </w:r>
      <w:r>
        <w:rPr>
          <w:w w:val="110"/>
        </w:rPr>
        <w:t>that could be summarised as being medically informed pastoral </w:t>
      </w:r>
      <w:r>
        <w:rPr>
          <w:spacing w:val="2"/>
          <w:w w:val="110"/>
        </w:rPr>
        <w:t>care </w:t>
      </w:r>
      <w:r>
        <w:rPr>
          <w:w w:val="110"/>
        </w:rPr>
        <w:t>and health promotion within a spiritual context. Below is an  example</w:t>
      </w:r>
      <w:r>
        <w:rPr>
          <w:spacing w:val="10"/>
          <w:w w:val="110"/>
        </w:rPr>
        <w:t> </w:t>
      </w:r>
      <w:r>
        <w:rPr>
          <w:w w:val="110"/>
        </w:rPr>
        <w:t>of</w:t>
      </w:r>
      <w:r>
        <w:rPr>
          <w:spacing w:val="10"/>
          <w:w w:val="110"/>
        </w:rPr>
        <w:t> </w:t>
      </w:r>
      <w:r>
        <w:rPr>
          <w:w w:val="110"/>
        </w:rPr>
        <w:t>a</w:t>
      </w:r>
      <w:r>
        <w:rPr>
          <w:spacing w:val="10"/>
          <w:w w:val="110"/>
        </w:rPr>
        <w:t> </w:t>
      </w:r>
      <w:r>
        <w:rPr>
          <w:w w:val="110"/>
        </w:rPr>
        <w:t>job</w:t>
      </w:r>
      <w:r>
        <w:rPr>
          <w:spacing w:val="10"/>
          <w:w w:val="110"/>
        </w:rPr>
        <w:t> </w:t>
      </w:r>
      <w:r>
        <w:rPr>
          <w:w w:val="110"/>
        </w:rPr>
        <w:t>description</w:t>
      </w:r>
      <w:r>
        <w:rPr>
          <w:spacing w:val="11"/>
          <w:w w:val="110"/>
        </w:rPr>
        <w:t> </w:t>
      </w:r>
      <w:r>
        <w:rPr>
          <w:w w:val="110"/>
        </w:rPr>
        <w:t>for</w:t>
      </w:r>
      <w:r>
        <w:rPr>
          <w:spacing w:val="10"/>
          <w:w w:val="110"/>
        </w:rPr>
        <w:t> </w:t>
      </w:r>
      <w:r>
        <w:rPr>
          <w:w w:val="110"/>
        </w:rPr>
        <w:t>a</w:t>
      </w:r>
      <w:r>
        <w:rPr>
          <w:spacing w:val="10"/>
          <w:w w:val="110"/>
        </w:rPr>
        <w:t> </w:t>
      </w:r>
      <w:r>
        <w:rPr>
          <w:w w:val="110"/>
        </w:rPr>
        <w:t>parish</w:t>
      </w:r>
      <w:r>
        <w:rPr>
          <w:spacing w:val="10"/>
          <w:w w:val="110"/>
        </w:rPr>
        <w:t> </w:t>
      </w:r>
      <w:r>
        <w:rPr>
          <w:w w:val="110"/>
        </w:rPr>
        <w:t>nurse</w:t>
      </w:r>
      <w:r>
        <w:rPr>
          <w:spacing w:val="11"/>
          <w:w w:val="110"/>
        </w:rPr>
        <w:t> </w:t>
      </w:r>
      <w:r>
        <w:rPr>
          <w:w w:val="110"/>
        </w:rPr>
        <w:t>who</w:t>
      </w:r>
      <w:r>
        <w:rPr>
          <w:spacing w:val="10"/>
          <w:w w:val="110"/>
        </w:rPr>
        <w:t> </w:t>
      </w:r>
      <w:r>
        <w:rPr>
          <w:w w:val="110"/>
        </w:rPr>
        <w:t>might</w:t>
      </w:r>
      <w:r>
        <w:rPr>
          <w:spacing w:val="10"/>
          <w:w w:val="110"/>
        </w:rPr>
        <w:t> </w:t>
      </w:r>
      <w:r>
        <w:rPr>
          <w:w w:val="110"/>
        </w:rPr>
        <w:t>operate</w:t>
      </w:r>
      <w:r>
        <w:rPr>
          <w:spacing w:val="10"/>
          <w:w w:val="110"/>
        </w:rPr>
        <w:t> </w:t>
      </w:r>
      <w:r>
        <w:rPr>
          <w:w w:val="110"/>
        </w:rPr>
        <w:t>within</w:t>
      </w:r>
      <w:r>
        <w:rPr>
          <w:spacing w:val="9"/>
          <w:w w:val="110"/>
        </w:rPr>
        <w:t> </w:t>
      </w:r>
      <w:r>
        <w:rPr>
          <w:w w:val="110"/>
        </w:rPr>
        <w:t>Britain.</w:t>
      </w:r>
    </w:p>
    <w:p>
      <w:pPr>
        <w:spacing w:after="0" w:line="273" w:lineRule="auto"/>
        <w:sectPr>
          <w:headerReference w:type="default" r:id="rId281"/>
          <w:footerReference w:type="default" r:id="rId282"/>
          <w:footerReference w:type="even" r:id="rId283"/>
          <w:pgSz w:w="11910" w:h="16840"/>
          <w:pgMar w:header="0" w:footer="564" w:top="460" w:bottom="760" w:left="460" w:right="0"/>
          <w:pgNumType w:start="27"/>
        </w:sectPr>
      </w:pPr>
    </w:p>
    <w:p>
      <w:pPr>
        <w:pStyle w:val="BodyText"/>
        <w:spacing w:before="8"/>
        <w:rPr>
          <w:sz w:val="8"/>
        </w:rPr>
      </w:pPr>
    </w:p>
    <w:p>
      <w:pPr>
        <w:pStyle w:val="BodyText"/>
        <w:ind w:left="597"/>
        <w:rPr>
          <w:sz w:val="20"/>
        </w:rPr>
      </w:pPr>
      <w:r>
        <w:rPr>
          <w:sz w:val="20"/>
        </w:rPr>
        <w:pict>
          <v:group style="width:249.85pt;height:185.8pt;mso-position-horizontal-relative:char;mso-position-vertical-relative:line" coordorigin="0,0" coordsize="4997,3716">
            <v:rect style="position:absolute;left:0;top:0;width:4997;height:3716" filled="true" fillcolor="#000000" stroked="false">
              <v:fill opacity="49152f" type="solid"/>
            </v:rect>
            <v:shape style="position:absolute;left:79;top:192;width:4720;height:3435" coordorigin="79,193" coordsize="4720,3435" path="m4674,193l79,193,79,3627,4674,3627,4746,3600,4783,3412,4797,2903,4799,1910,4797,917,4783,407,4746,219,4674,193xe" filled="true" fillcolor="#ffffff" stroked="false">
              <v:path arrowok="t"/>
              <v:fill type="solid"/>
            </v:shape>
            <v:shape style="position:absolute;left:79;top:192;width:4720;height:3435" coordorigin="79,193" coordsize="4720,3435" path="m4799,1910l4797,917,4783,407,4746,219,4674,193,79,193,79,3627,4674,3627,4746,3600,4783,3412,4797,2903,4799,1910xe" filled="false" stroked="true" strokeweight=".25pt" strokecolor="#000000">
              <v:path arrowok="t"/>
              <v:stroke dashstyle="solid"/>
            </v:shape>
            <v:shape style="position:absolute;left:379;top:1002;width:4061;height:2219" type="#_x0000_t202" filled="false" stroked="false">
              <v:textbox inset="0,0,0,0">
                <w:txbxContent>
                  <w:p>
                    <w:pPr>
                      <w:spacing w:line="273" w:lineRule="auto" w:before="0"/>
                      <w:ind w:left="0" w:right="18" w:firstLine="0"/>
                      <w:jc w:val="left"/>
                      <w:rPr>
                        <w:sz w:val="18"/>
                      </w:rPr>
                    </w:pPr>
                    <w:r>
                      <w:rPr>
                        <w:w w:val="110"/>
                        <w:sz w:val="18"/>
                      </w:rPr>
                      <w:t>The Parish nurse will identify needs for self-help support and develop groups such as stroke clubs, single parent groups, twins groups,  bereavement care groups and so on. The church building may or may not be appropriate for these, but the spiritual and physical elements of health will feature in their programmes.</w:t>
                    </w:r>
                  </w:p>
                </w:txbxContent>
              </v:textbox>
              <w10:wrap type="none"/>
            </v:shape>
            <v:shape style="position:absolute;left:1099;top:502;width:3322;height:219" type="#_x0000_t202" filled="false" stroked="false">
              <v:textbox inset="0,0,0,0">
                <w:txbxContent>
                  <w:p>
                    <w:pPr>
                      <w:spacing w:before="0"/>
                      <w:ind w:left="0" w:right="0" w:firstLine="0"/>
                      <w:jc w:val="left"/>
                      <w:rPr>
                        <w:b/>
                        <w:sz w:val="18"/>
                      </w:rPr>
                    </w:pPr>
                    <w:r>
                      <w:rPr>
                        <w:b/>
                        <w:w w:val="110"/>
                        <w:sz w:val="18"/>
                      </w:rPr>
                      <w:t>Developer of Support Groups</w:t>
                    </w:r>
                  </w:p>
                </w:txbxContent>
              </v:textbox>
              <w10:wrap type="none"/>
            </v:shape>
            <v:shape style="position:absolute;left:379;top:502;width:235;height:219" type="#_x0000_t202" filled="false" stroked="false">
              <v:textbox inset="0,0,0,0">
                <w:txbxContent>
                  <w:p>
                    <w:pPr>
                      <w:spacing w:before="0"/>
                      <w:ind w:left="0" w:right="0" w:firstLine="0"/>
                      <w:jc w:val="left"/>
                      <w:rPr>
                        <w:b/>
                        <w:sz w:val="18"/>
                      </w:rPr>
                    </w:pPr>
                    <w:r>
                      <w:rPr>
                        <w:b/>
                        <w:w w:val="110"/>
                        <w:sz w:val="18"/>
                      </w:rPr>
                      <w:t>5.</w:t>
                    </w:r>
                  </w:p>
                </w:txbxContent>
              </v:textbox>
              <w10:wrap type="none"/>
            </v:shape>
          </v:group>
        </w:pict>
      </w:r>
      <w:r>
        <w:rPr>
          <w:sz w:val="20"/>
        </w:rPr>
      </w:r>
    </w:p>
    <w:p>
      <w:pPr>
        <w:pStyle w:val="BodyText"/>
        <w:spacing w:before="9"/>
        <w:rPr>
          <w:sz w:val="7"/>
        </w:rPr>
      </w:pPr>
      <w:r>
        <w:rPr/>
        <w:pict>
          <v:group style="position:absolute;margin-left:166.244003pt;margin-top:6.673pt;width:227.2pt;height:142.2pt;mso-position-horizontal-relative:page;mso-position-vertical-relative:paragraph;z-index:-251381760;mso-wrap-distance-left:0;mso-wrap-distance-right:0" coordorigin="3325,133" coordsize="4544,2844">
            <v:rect style="position:absolute;left:3324;top:133;width:4544;height:2844" filled="true" fillcolor="#000000" stroked="false">
              <v:fill opacity="49152f" type="solid"/>
            </v:rect>
            <v:shape style="position:absolute;left:3404;top:326;width:4266;height:2566" coordorigin="3404,326" coordsize="4266,2566" path="m7557,326l3404,326,3404,2891,7557,2891,7622,2871,7656,2731,7668,2350,7670,1609,7668,867,7656,486,7622,346,7557,326xe" filled="true" fillcolor="#ffffff" stroked="false">
              <v:path arrowok="t"/>
              <v:fill type="solid"/>
            </v:shape>
            <v:shape style="position:absolute;left:3404;top:326;width:4266;height:2566" coordorigin="3404,326" coordsize="4266,2566" path="m7670,1609l7668,867,7656,486,7622,346,7557,326,3404,326,3404,2891,7557,2891,7622,2871,7656,2731,7668,2350,7670,1609xe" filled="false" stroked="true" strokeweight=".25pt" strokecolor="#000000">
              <v:path arrowok="t"/>
              <v:stroke dashstyle="solid"/>
            </v:shape>
            <v:shape style="position:absolute;left:3760;top:1173;width:3393;height:1219" type="#_x0000_t202" filled="false" stroked="false">
              <v:textbox inset="0,0,0,0">
                <w:txbxContent>
                  <w:p>
                    <w:pPr>
                      <w:spacing w:line="273" w:lineRule="auto" w:before="0"/>
                      <w:ind w:left="0" w:right="18" w:firstLine="0"/>
                      <w:jc w:val="left"/>
                      <w:rPr>
                        <w:sz w:val="18"/>
                      </w:rPr>
                    </w:pPr>
                    <w:r>
                      <w:rPr>
                        <w:w w:val="110"/>
                        <w:sz w:val="18"/>
                      </w:rPr>
                      <w:t>The Parish Nurse will accompany clients to hospital appointments  if desired, and </w:t>
                    </w:r>
                    <w:r>
                      <w:rPr>
                        <w:spacing w:val="2"/>
                        <w:w w:val="110"/>
                        <w:sz w:val="18"/>
                      </w:rPr>
                      <w:t>act </w:t>
                    </w:r>
                    <w:r>
                      <w:rPr>
                        <w:w w:val="110"/>
                        <w:sz w:val="18"/>
                      </w:rPr>
                      <w:t>as advocate for them in all their dealings with health</w:t>
                    </w:r>
                    <w:r>
                      <w:rPr>
                        <w:spacing w:val="2"/>
                        <w:w w:val="110"/>
                        <w:sz w:val="18"/>
                      </w:rPr>
                      <w:t> </w:t>
                    </w:r>
                    <w:r>
                      <w:rPr>
                        <w:w w:val="110"/>
                        <w:sz w:val="18"/>
                      </w:rPr>
                      <w:t>institutions.</w:t>
                    </w:r>
                  </w:p>
                </w:txbxContent>
              </v:textbox>
              <w10:wrap type="none"/>
            </v:shape>
            <v:shape style="position:absolute;left:4480;top:673;width:1888;height:219" type="#_x0000_t202" filled="false" stroked="false">
              <v:textbox inset="0,0,0,0">
                <w:txbxContent>
                  <w:p>
                    <w:pPr>
                      <w:spacing w:before="0"/>
                      <w:ind w:left="0" w:right="0" w:firstLine="0"/>
                      <w:jc w:val="left"/>
                      <w:rPr>
                        <w:b/>
                        <w:sz w:val="18"/>
                      </w:rPr>
                    </w:pPr>
                    <w:r>
                      <w:rPr>
                        <w:b/>
                        <w:w w:val="110"/>
                        <w:sz w:val="18"/>
                      </w:rPr>
                      <w:t>Health Advocate</w:t>
                    </w:r>
                  </w:p>
                </w:txbxContent>
              </v:textbox>
              <w10:wrap type="none"/>
            </v:shape>
            <v:shape style="position:absolute;left:3760;top:673;width:236;height:219" type="#_x0000_t202" filled="false" stroked="false">
              <v:textbox inset="0,0,0,0">
                <w:txbxContent>
                  <w:p>
                    <w:pPr>
                      <w:spacing w:before="0"/>
                      <w:ind w:left="0" w:right="0" w:firstLine="0"/>
                      <w:jc w:val="left"/>
                      <w:rPr>
                        <w:b/>
                        <w:sz w:val="18"/>
                      </w:rPr>
                    </w:pPr>
                    <w:r>
                      <w:rPr>
                        <w:b/>
                        <w:w w:val="110"/>
                        <w:sz w:val="18"/>
                      </w:rPr>
                      <w:t>6.</w:t>
                    </w:r>
                  </w:p>
                </w:txbxContent>
              </v:textbox>
              <w10:wrap type="none"/>
            </v:shape>
            <w10:wrap type="topAndBottom"/>
          </v:group>
        </w:pict>
      </w:r>
      <w:r>
        <w:rPr/>
        <w:pict>
          <v:group style="position:absolute;margin-left:52.858002pt;margin-top:160.216003pt;width:261.75pt;height:188.65pt;mso-position-horizontal-relative:page;mso-position-vertical-relative:paragraph;z-index:-251377664;mso-wrap-distance-left:0;mso-wrap-distance-right:0" coordorigin="1057,3204" coordsize="5235,3773">
            <v:rect style="position:absolute;left:1057;top:3204;width:5235;height:3773" filled="true" fillcolor="#000000" stroked="false">
              <v:fill opacity="49152f" type="solid"/>
            </v:rect>
            <v:shape style="position:absolute;left:1136;top:3396;width:4956;height:3501" coordorigin="1136,3397" coordsize="4956,3501" path="m5961,3397l1136,3397,1136,6897,5961,6897,6037,6870,6076,6679,6090,6159,6092,5147,6090,4135,6076,3616,6037,3424,5961,3397xe" filled="true" fillcolor="#ffffff" stroked="false">
              <v:path arrowok="t"/>
              <v:fill type="solid"/>
            </v:shape>
            <v:shape style="position:absolute;left:1136;top:3396;width:4956;height:3501" coordorigin="1136,3397" coordsize="4956,3501" path="m6092,5147l6090,4135,6076,3616,6037,3424,5961,3397,1136,3397,1136,6897,5961,6897,6037,6870,6076,6679,6090,6159,6092,5147xe" filled="false" stroked="true" strokeweight=".25pt" strokecolor="#000000">
              <v:path arrowok="t"/>
              <v:stroke dashstyle="solid"/>
            </v:shape>
            <v:shape style="position:absolute;left:1417;top:4301;width:4251;height:1969" type="#_x0000_t202" filled="false" stroked="false">
              <v:textbox inset="0,0,0,0">
                <w:txbxContent>
                  <w:p>
                    <w:pPr>
                      <w:spacing w:line="273" w:lineRule="auto" w:before="0"/>
                      <w:ind w:left="0" w:right="54" w:firstLine="0"/>
                      <w:jc w:val="left"/>
                      <w:rPr>
                        <w:sz w:val="18"/>
                      </w:rPr>
                    </w:pPr>
                    <w:r>
                      <w:rPr>
                        <w:w w:val="110"/>
                        <w:sz w:val="18"/>
                      </w:rPr>
                      <w:t>Prayer and discussion of spiritual issues will form a </w:t>
                    </w:r>
                    <w:r>
                      <w:rPr>
                        <w:spacing w:val="2"/>
                        <w:w w:val="110"/>
                        <w:sz w:val="18"/>
                      </w:rPr>
                      <w:t>part </w:t>
                    </w:r>
                    <w:r>
                      <w:rPr>
                        <w:w w:val="110"/>
                        <w:sz w:val="18"/>
                      </w:rPr>
                      <w:t>of most of the Parish Nurse’s interactions with clients so that wholeness of mind, body and spirit are the perceived aims of interventions. The Parish Nurse will be recognised by the church as </w:t>
                    </w:r>
                    <w:r>
                      <w:rPr>
                        <w:spacing w:val="2"/>
                        <w:w w:val="110"/>
                        <w:sz w:val="18"/>
                      </w:rPr>
                      <w:t>part </w:t>
                    </w:r>
                    <w:r>
                      <w:rPr>
                        <w:w w:val="110"/>
                        <w:sz w:val="18"/>
                      </w:rPr>
                      <w:t>of the ministry </w:t>
                    </w:r>
                    <w:r>
                      <w:rPr>
                        <w:spacing w:val="3"/>
                        <w:w w:val="110"/>
                        <w:sz w:val="18"/>
                      </w:rPr>
                      <w:t>staff </w:t>
                    </w:r>
                    <w:r>
                      <w:rPr>
                        <w:w w:val="110"/>
                        <w:sz w:val="18"/>
                      </w:rPr>
                      <w:t>team, even if working in a voluntary</w:t>
                    </w:r>
                    <w:r>
                      <w:rPr>
                        <w:spacing w:val="36"/>
                        <w:w w:val="110"/>
                        <w:sz w:val="18"/>
                      </w:rPr>
                      <w:t> </w:t>
                    </w:r>
                    <w:r>
                      <w:rPr>
                        <w:w w:val="110"/>
                        <w:sz w:val="18"/>
                      </w:rPr>
                      <w:t>capacity.</w:t>
                    </w:r>
                  </w:p>
                </w:txbxContent>
              </v:textbox>
              <w10:wrap type="none"/>
            </v:shape>
            <v:shape style="position:absolute;left:2137;top:3801;width:3445;height:219" type="#_x0000_t202" filled="false" stroked="false">
              <v:textbox inset="0,0,0,0">
                <w:txbxContent>
                  <w:p>
                    <w:pPr>
                      <w:spacing w:before="0"/>
                      <w:ind w:left="0" w:right="0" w:firstLine="0"/>
                      <w:jc w:val="left"/>
                      <w:rPr>
                        <w:b/>
                        <w:sz w:val="18"/>
                      </w:rPr>
                    </w:pPr>
                    <w:r>
                      <w:rPr>
                        <w:b/>
                        <w:w w:val="110"/>
                        <w:sz w:val="18"/>
                      </w:rPr>
                      <w:t>Integrator of Faith and</w:t>
                    </w:r>
                    <w:r>
                      <w:rPr>
                        <w:b/>
                        <w:spacing w:val="51"/>
                        <w:w w:val="110"/>
                        <w:sz w:val="18"/>
                      </w:rPr>
                      <w:t> </w:t>
                    </w:r>
                    <w:r>
                      <w:rPr>
                        <w:b/>
                        <w:w w:val="110"/>
                        <w:sz w:val="18"/>
                      </w:rPr>
                      <w:t>Health</w:t>
                    </w:r>
                  </w:p>
                </w:txbxContent>
              </v:textbox>
              <w10:wrap type="none"/>
            </v:shape>
            <v:shape style="position:absolute;left:1417;top:3801;width:213;height:219" type="#_x0000_t202" filled="false" stroked="false">
              <v:textbox inset="0,0,0,0">
                <w:txbxContent>
                  <w:p>
                    <w:pPr>
                      <w:spacing w:before="0"/>
                      <w:ind w:left="0" w:right="0" w:firstLine="0"/>
                      <w:jc w:val="left"/>
                      <w:rPr>
                        <w:b/>
                        <w:sz w:val="18"/>
                      </w:rPr>
                    </w:pPr>
                    <w:r>
                      <w:rPr>
                        <w:b/>
                        <w:w w:val="110"/>
                        <w:sz w:val="18"/>
                      </w:rPr>
                      <w:t>7.</w:t>
                    </w:r>
                  </w:p>
                </w:txbxContent>
              </v:textbox>
              <w10:wrap type="none"/>
            </v:shape>
            <w10:wrap type="topAndBottom"/>
          </v:group>
        </w:pict>
      </w:r>
    </w:p>
    <w:p>
      <w:pPr>
        <w:pStyle w:val="BodyText"/>
        <w:rPr>
          <w:sz w:val="13"/>
        </w:rPr>
      </w:pPr>
    </w:p>
    <w:p>
      <w:pPr>
        <w:pStyle w:val="BodyText"/>
        <w:rPr>
          <w:sz w:val="20"/>
        </w:rPr>
      </w:pPr>
    </w:p>
    <w:p>
      <w:pPr>
        <w:pStyle w:val="BodyText"/>
        <w:rPr>
          <w:sz w:val="20"/>
        </w:rPr>
      </w:pPr>
    </w:p>
    <w:p>
      <w:pPr>
        <w:pStyle w:val="BodyText"/>
        <w:spacing w:before="5"/>
        <w:rPr>
          <w:sz w:val="20"/>
        </w:rPr>
      </w:pPr>
    </w:p>
    <w:p>
      <w:pPr>
        <w:pStyle w:val="BodyText"/>
        <w:ind w:left="673"/>
      </w:pPr>
      <w:r>
        <w:rPr>
          <w:w w:val="110"/>
        </w:rPr>
        <w:t>For more information about parish nursing, go to </w:t>
      </w:r>
      <w:hyperlink r:id="rId285">
        <w:r>
          <w:rPr>
            <w:w w:val="110"/>
          </w:rPr>
          <w:t>www.parishnursing.co.uk</w:t>
        </w:r>
      </w:hyperlink>
    </w:p>
    <w:p>
      <w:pPr>
        <w:spacing w:after="0"/>
        <w:sectPr>
          <w:headerReference w:type="default" r:id="rId284"/>
          <w:pgSz w:w="11910" w:h="16840"/>
          <w:pgMar w:header="558" w:footer="564" w:top="820" w:bottom="760" w:left="460" w:right="0"/>
        </w:sectPr>
      </w:pPr>
    </w:p>
    <w:p>
      <w:pPr>
        <w:spacing w:before="28"/>
        <w:ind w:left="673" w:right="0" w:firstLine="0"/>
        <w:jc w:val="left"/>
        <w:rPr>
          <w:rFonts w:ascii="Eurostile Bold" w:hAnsi="Eurostile Bold"/>
          <w:b/>
          <w:sz w:val="28"/>
        </w:rPr>
      </w:pPr>
      <w:r>
        <w:rPr/>
        <w:pict>
          <v:shape style="position:absolute;margin-left:523.527466pt;margin-top:12.947646pt;width:50.65pt;height:325.4pt;mso-position-horizontal-relative:page;mso-position-vertical-relative:paragraph;z-index:251939840" type="#_x0000_t202" filled="false" stroked="false">
            <v:textbox inset="0,0,0,0" style="layout-flow:vertical">
              <w:txbxContent>
                <w:p>
                  <w:pPr>
                    <w:spacing w:before="20"/>
                    <w:ind w:left="20" w:right="0" w:firstLine="0"/>
                    <w:jc w:val="left"/>
                    <w:rPr>
                      <w:b/>
                      <w:sz w:val="80"/>
                    </w:rPr>
                  </w:pPr>
                  <w:r>
                    <w:rPr>
                      <w:b/>
                      <w:spacing w:val="-10"/>
                      <w:sz w:val="80"/>
                    </w:rPr>
                    <w:t>Assisted </w:t>
                  </w:r>
                  <w:r>
                    <w:rPr>
                      <w:b/>
                      <w:spacing w:val="-17"/>
                      <w:sz w:val="80"/>
                    </w:rPr>
                    <w:t>Dying</w:t>
                  </w:r>
                </w:p>
              </w:txbxContent>
            </v:textbox>
            <w10:wrap type="none"/>
          </v:shape>
        </w:pict>
      </w:r>
      <w:r>
        <w:rPr>
          <w:rFonts w:ascii="Eurostile Bold" w:hAnsi="Eurostile Bold"/>
          <w:b/>
          <w:color w:val="ACACAC"/>
          <w:sz w:val="28"/>
        </w:rPr>
        <w:t>Appendix D – Assisted Dying</w:t>
      </w:r>
    </w:p>
    <w:p>
      <w:pPr>
        <w:spacing w:before="207"/>
        <w:ind w:left="1240" w:right="0" w:firstLine="0"/>
        <w:jc w:val="left"/>
        <w:rPr>
          <w:b/>
          <w:sz w:val="50"/>
        </w:rPr>
      </w:pPr>
      <w:r>
        <w:rPr>
          <w:b/>
          <w:w w:val="110"/>
          <w:sz w:val="50"/>
        </w:rPr>
        <w:t>Appendix D</w:t>
      </w:r>
    </w:p>
    <w:p>
      <w:pPr>
        <w:spacing w:before="214"/>
        <w:ind w:left="1240" w:right="0" w:firstLine="0"/>
        <w:jc w:val="left"/>
        <w:rPr>
          <w:b/>
          <w:sz w:val="29"/>
        </w:rPr>
      </w:pPr>
      <w:r>
        <w:rPr>
          <w:b/>
          <w:w w:val="110"/>
          <w:sz w:val="29"/>
        </w:rPr>
        <w:t>Christian Healing Ministry: a brief introducion</w:t>
      </w:r>
    </w:p>
    <w:p>
      <w:pPr>
        <w:pStyle w:val="BodyText"/>
        <w:spacing w:line="273" w:lineRule="auto" w:before="258"/>
        <w:ind w:left="1240" w:right="2186"/>
      </w:pPr>
      <w:r>
        <w:rPr>
          <w:spacing w:val="2"/>
          <w:w w:val="110"/>
        </w:rPr>
        <w:t>There </w:t>
      </w:r>
      <w:r>
        <w:rPr>
          <w:w w:val="110"/>
        </w:rPr>
        <w:t>is no one single definition of healing ministry for it encompasses so many </w:t>
      </w:r>
      <w:r>
        <w:rPr>
          <w:spacing w:val="2"/>
          <w:w w:val="110"/>
        </w:rPr>
        <w:t>aspects </w:t>
      </w:r>
      <w:r>
        <w:rPr>
          <w:w w:val="110"/>
        </w:rPr>
        <w:t>of life. It is a biblically based ministry and is seen as the </w:t>
      </w:r>
      <w:r>
        <w:rPr>
          <w:spacing w:val="2"/>
          <w:w w:val="110"/>
        </w:rPr>
        <w:t>response </w:t>
      </w:r>
      <w:r>
        <w:rPr>
          <w:w w:val="110"/>
        </w:rPr>
        <w:t>of  the churches to Jesus’ commission to preach the gospel and heal the sick. It is about meeting people at their point of need, and helping them on their journey to wholeness.</w:t>
      </w:r>
    </w:p>
    <w:p>
      <w:pPr>
        <w:pStyle w:val="BodyText"/>
        <w:spacing w:before="10"/>
        <w:rPr>
          <w:sz w:val="20"/>
        </w:rPr>
      </w:pPr>
    </w:p>
    <w:p>
      <w:pPr>
        <w:pStyle w:val="BodyText"/>
        <w:spacing w:line="273" w:lineRule="auto"/>
        <w:ind w:left="1240" w:right="2061"/>
      </w:pPr>
      <w:r>
        <w:rPr>
          <w:w w:val="110"/>
        </w:rPr>
        <w:t>Healing, wholeness and salvation: These words embrace what God has done for us through the incarnation of Jesus Christ. The New Testament shows us that Jesus’ healing of the sick and casting out demons were a vivid demonstration of the coming of the kingdom, and his charge to continue that ministry in his name was part of his commission to his disciples.</w:t>
      </w:r>
    </w:p>
    <w:p>
      <w:pPr>
        <w:pStyle w:val="BodyText"/>
        <w:spacing w:before="4"/>
      </w:pPr>
    </w:p>
    <w:p>
      <w:pPr>
        <w:pStyle w:val="ListParagraph"/>
        <w:numPr>
          <w:ilvl w:val="0"/>
          <w:numId w:val="110"/>
        </w:numPr>
        <w:tabs>
          <w:tab w:pos="1921" w:val="left" w:leader="none"/>
          <w:tab w:pos="1922" w:val="left" w:leader="none"/>
        </w:tabs>
        <w:spacing w:line="240" w:lineRule="auto" w:before="0" w:after="0"/>
        <w:ind w:left="1921" w:right="0" w:hanging="682"/>
        <w:jc w:val="left"/>
        <w:rPr>
          <w:sz w:val="18"/>
        </w:rPr>
      </w:pPr>
      <w:r>
        <w:rPr>
          <w:w w:val="110"/>
          <w:sz w:val="18"/>
        </w:rPr>
        <w:t>This ministry is in </w:t>
      </w:r>
      <w:r>
        <w:rPr>
          <w:spacing w:val="2"/>
          <w:w w:val="110"/>
          <w:sz w:val="18"/>
        </w:rPr>
        <w:t>response </w:t>
      </w:r>
      <w:r>
        <w:rPr>
          <w:w w:val="110"/>
          <w:sz w:val="18"/>
        </w:rPr>
        <w:t>to Jesus’</w:t>
      </w:r>
      <w:r>
        <w:rPr>
          <w:spacing w:val="10"/>
          <w:w w:val="110"/>
          <w:sz w:val="18"/>
        </w:rPr>
        <w:t> </w:t>
      </w:r>
      <w:r>
        <w:rPr>
          <w:w w:val="110"/>
          <w:sz w:val="18"/>
        </w:rPr>
        <w:t>commission.</w:t>
      </w:r>
    </w:p>
    <w:p>
      <w:pPr>
        <w:pStyle w:val="ListParagraph"/>
        <w:numPr>
          <w:ilvl w:val="0"/>
          <w:numId w:val="110"/>
        </w:numPr>
        <w:tabs>
          <w:tab w:pos="1921" w:val="left" w:leader="none"/>
          <w:tab w:pos="1922" w:val="left" w:leader="none"/>
        </w:tabs>
        <w:spacing w:line="250" w:lineRule="exact" w:before="71" w:after="0"/>
        <w:ind w:left="1921" w:right="1936" w:hanging="681"/>
        <w:jc w:val="left"/>
        <w:rPr>
          <w:sz w:val="18"/>
        </w:rPr>
      </w:pPr>
      <w:r>
        <w:rPr>
          <w:spacing w:val="2"/>
          <w:w w:val="110"/>
          <w:sz w:val="18"/>
        </w:rPr>
        <w:t>There </w:t>
      </w:r>
      <w:r>
        <w:rPr>
          <w:w w:val="110"/>
          <w:sz w:val="18"/>
        </w:rPr>
        <w:t>is the recognition that all healing comes </w:t>
      </w:r>
      <w:r>
        <w:rPr>
          <w:spacing w:val="2"/>
          <w:w w:val="110"/>
          <w:sz w:val="18"/>
        </w:rPr>
        <w:t>from </w:t>
      </w:r>
      <w:r>
        <w:rPr>
          <w:w w:val="110"/>
          <w:sz w:val="18"/>
        </w:rPr>
        <w:t>God and we believe that he works through his body on earth, and so through faith, prayers, and actions we can be </w:t>
      </w:r>
      <w:r>
        <w:rPr>
          <w:spacing w:val="2"/>
          <w:w w:val="110"/>
          <w:sz w:val="18"/>
        </w:rPr>
        <w:t>part </w:t>
      </w:r>
      <w:r>
        <w:rPr>
          <w:w w:val="110"/>
          <w:sz w:val="18"/>
        </w:rPr>
        <w:t>of that </w:t>
      </w:r>
      <w:r>
        <w:rPr>
          <w:spacing w:val="2"/>
          <w:w w:val="110"/>
          <w:sz w:val="18"/>
        </w:rPr>
        <w:t>process </w:t>
      </w:r>
      <w:r>
        <w:rPr>
          <w:w w:val="110"/>
          <w:sz w:val="18"/>
        </w:rPr>
        <w:t>to bring healing and wholeness in body, mind, spirit and the</w:t>
      </w:r>
      <w:r>
        <w:rPr>
          <w:spacing w:val="6"/>
          <w:w w:val="110"/>
          <w:sz w:val="18"/>
        </w:rPr>
        <w:t> </w:t>
      </w:r>
      <w:r>
        <w:rPr>
          <w:w w:val="110"/>
          <w:sz w:val="18"/>
        </w:rPr>
        <w:t>emotions.</w:t>
      </w:r>
    </w:p>
    <w:p>
      <w:pPr>
        <w:pStyle w:val="ListParagraph"/>
        <w:numPr>
          <w:ilvl w:val="0"/>
          <w:numId w:val="110"/>
        </w:numPr>
        <w:tabs>
          <w:tab w:pos="1921" w:val="left" w:leader="none"/>
          <w:tab w:pos="1922" w:val="left" w:leader="none"/>
        </w:tabs>
        <w:spacing w:line="240" w:lineRule="auto" w:before="102" w:after="0"/>
        <w:ind w:left="1921" w:right="0" w:hanging="682"/>
        <w:jc w:val="left"/>
        <w:rPr>
          <w:sz w:val="18"/>
        </w:rPr>
      </w:pPr>
      <w:r>
        <w:rPr>
          <w:w w:val="110"/>
          <w:sz w:val="18"/>
        </w:rPr>
        <w:t>It</w:t>
      </w:r>
      <w:r>
        <w:rPr>
          <w:spacing w:val="-10"/>
          <w:w w:val="110"/>
          <w:sz w:val="18"/>
        </w:rPr>
        <w:t> </w:t>
      </w:r>
      <w:r>
        <w:rPr>
          <w:w w:val="110"/>
          <w:sz w:val="18"/>
        </w:rPr>
        <w:t>is</w:t>
      </w:r>
      <w:r>
        <w:rPr>
          <w:spacing w:val="-10"/>
          <w:w w:val="110"/>
          <w:sz w:val="18"/>
        </w:rPr>
        <w:t> </w:t>
      </w:r>
      <w:r>
        <w:rPr>
          <w:w w:val="110"/>
          <w:sz w:val="18"/>
        </w:rPr>
        <w:t>the</w:t>
      </w:r>
      <w:r>
        <w:rPr>
          <w:spacing w:val="-10"/>
          <w:w w:val="110"/>
          <w:sz w:val="18"/>
        </w:rPr>
        <w:t> </w:t>
      </w:r>
      <w:r>
        <w:rPr>
          <w:w w:val="110"/>
          <w:sz w:val="18"/>
        </w:rPr>
        <w:t>seeking</w:t>
      </w:r>
      <w:r>
        <w:rPr>
          <w:spacing w:val="-10"/>
          <w:w w:val="110"/>
          <w:sz w:val="18"/>
        </w:rPr>
        <w:t> </w:t>
      </w:r>
      <w:r>
        <w:rPr>
          <w:w w:val="110"/>
          <w:sz w:val="18"/>
        </w:rPr>
        <w:t>of</w:t>
      </w:r>
      <w:r>
        <w:rPr>
          <w:spacing w:val="-10"/>
          <w:w w:val="110"/>
          <w:sz w:val="18"/>
        </w:rPr>
        <w:t> </w:t>
      </w:r>
      <w:r>
        <w:rPr>
          <w:w w:val="110"/>
          <w:sz w:val="18"/>
        </w:rPr>
        <w:t>harmony</w:t>
      </w:r>
      <w:r>
        <w:rPr>
          <w:spacing w:val="-10"/>
          <w:w w:val="110"/>
          <w:sz w:val="18"/>
        </w:rPr>
        <w:t> </w:t>
      </w:r>
      <w:r>
        <w:rPr>
          <w:w w:val="110"/>
          <w:sz w:val="18"/>
        </w:rPr>
        <w:t>with</w:t>
      </w:r>
      <w:r>
        <w:rPr>
          <w:spacing w:val="-10"/>
          <w:w w:val="110"/>
          <w:sz w:val="18"/>
        </w:rPr>
        <w:t> </w:t>
      </w:r>
      <w:r>
        <w:rPr>
          <w:w w:val="110"/>
          <w:sz w:val="18"/>
        </w:rPr>
        <w:t>God,</w:t>
      </w:r>
      <w:r>
        <w:rPr>
          <w:spacing w:val="-9"/>
          <w:w w:val="110"/>
          <w:sz w:val="18"/>
        </w:rPr>
        <w:t> </w:t>
      </w:r>
      <w:r>
        <w:rPr>
          <w:spacing w:val="-3"/>
          <w:w w:val="110"/>
          <w:sz w:val="18"/>
        </w:rPr>
        <w:t>self,</w:t>
      </w:r>
      <w:r>
        <w:rPr>
          <w:spacing w:val="-10"/>
          <w:w w:val="110"/>
          <w:sz w:val="18"/>
        </w:rPr>
        <w:t> </w:t>
      </w:r>
      <w:r>
        <w:rPr>
          <w:w w:val="110"/>
          <w:sz w:val="18"/>
        </w:rPr>
        <w:t>others,</w:t>
      </w:r>
      <w:r>
        <w:rPr>
          <w:spacing w:val="-11"/>
          <w:w w:val="110"/>
          <w:sz w:val="18"/>
        </w:rPr>
        <w:t> </w:t>
      </w:r>
      <w:r>
        <w:rPr>
          <w:w w:val="110"/>
          <w:sz w:val="18"/>
        </w:rPr>
        <w:t>environment</w:t>
      </w:r>
      <w:r>
        <w:rPr>
          <w:spacing w:val="-10"/>
          <w:w w:val="110"/>
          <w:sz w:val="18"/>
        </w:rPr>
        <w:t> </w:t>
      </w:r>
      <w:r>
        <w:rPr>
          <w:w w:val="110"/>
          <w:sz w:val="18"/>
        </w:rPr>
        <w:t>and</w:t>
      </w:r>
      <w:r>
        <w:rPr>
          <w:spacing w:val="-11"/>
          <w:w w:val="110"/>
          <w:sz w:val="18"/>
        </w:rPr>
        <w:t> </w:t>
      </w:r>
      <w:r>
        <w:rPr>
          <w:w w:val="110"/>
          <w:sz w:val="18"/>
        </w:rPr>
        <w:t>creation.</w:t>
      </w:r>
    </w:p>
    <w:p>
      <w:pPr>
        <w:pStyle w:val="ListParagraph"/>
        <w:numPr>
          <w:ilvl w:val="0"/>
          <w:numId w:val="110"/>
        </w:numPr>
        <w:tabs>
          <w:tab w:pos="1921" w:val="left" w:leader="none"/>
          <w:tab w:pos="1922" w:val="left" w:leader="none"/>
        </w:tabs>
        <w:spacing w:line="218" w:lineRule="auto" w:before="78" w:after="0"/>
        <w:ind w:left="1921" w:right="2007" w:hanging="681"/>
        <w:jc w:val="left"/>
        <w:rPr>
          <w:sz w:val="18"/>
        </w:rPr>
      </w:pPr>
      <w:r>
        <w:rPr>
          <w:w w:val="110"/>
          <w:sz w:val="18"/>
        </w:rPr>
        <w:t>It is a journey towards living life to the full within our limitations </w:t>
      </w:r>
      <w:r>
        <w:rPr>
          <w:spacing w:val="-4"/>
          <w:w w:val="110"/>
          <w:sz w:val="18"/>
        </w:rPr>
        <w:t>(eg. </w:t>
      </w:r>
      <w:r>
        <w:rPr>
          <w:w w:val="110"/>
          <w:sz w:val="18"/>
        </w:rPr>
        <w:t>age, state of health or</w:t>
      </w:r>
      <w:r>
        <w:rPr>
          <w:spacing w:val="4"/>
          <w:w w:val="110"/>
          <w:sz w:val="18"/>
        </w:rPr>
        <w:t> </w:t>
      </w:r>
      <w:r>
        <w:rPr>
          <w:w w:val="110"/>
          <w:sz w:val="18"/>
        </w:rPr>
        <w:t>situation).</w:t>
      </w:r>
    </w:p>
    <w:p>
      <w:pPr>
        <w:pStyle w:val="ListParagraph"/>
        <w:numPr>
          <w:ilvl w:val="0"/>
          <w:numId w:val="110"/>
        </w:numPr>
        <w:tabs>
          <w:tab w:pos="1921" w:val="left" w:leader="none"/>
          <w:tab w:pos="1922" w:val="left" w:leader="none"/>
        </w:tabs>
        <w:spacing w:line="218" w:lineRule="auto" w:before="138" w:after="0"/>
        <w:ind w:left="1921" w:right="2225" w:hanging="681"/>
        <w:jc w:val="left"/>
        <w:rPr>
          <w:sz w:val="18"/>
        </w:rPr>
      </w:pPr>
      <w:r>
        <w:rPr>
          <w:w w:val="110"/>
          <w:sz w:val="18"/>
        </w:rPr>
        <w:t>It is truly holistic, concerned with the health and wellbeing of the whole </w:t>
      </w:r>
      <w:r>
        <w:rPr>
          <w:spacing w:val="2"/>
          <w:w w:val="110"/>
          <w:sz w:val="18"/>
        </w:rPr>
        <w:t>person </w:t>
      </w:r>
      <w:r>
        <w:rPr>
          <w:w w:val="110"/>
          <w:sz w:val="18"/>
        </w:rPr>
        <w:t>within a web of relationships, a specific context and</w:t>
      </w:r>
      <w:r>
        <w:rPr>
          <w:spacing w:val="63"/>
          <w:w w:val="110"/>
          <w:sz w:val="18"/>
        </w:rPr>
        <w:t> </w:t>
      </w:r>
      <w:r>
        <w:rPr>
          <w:w w:val="110"/>
          <w:sz w:val="18"/>
        </w:rPr>
        <w:t>history.</w:t>
      </w:r>
    </w:p>
    <w:p>
      <w:pPr>
        <w:pStyle w:val="ListParagraph"/>
        <w:numPr>
          <w:ilvl w:val="0"/>
          <w:numId w:val="110"/>
        </w:numPr>
        <w:tabs>
          <w:tab w:pos="1921" w:val="left" w:leader="none"/>
          <w:tab w:pos="1922" w:val="left" w:leader="none"/>
        </w:tabs>
        <w:spacing w:line="250" w:lineRule="exact" w:before="130" w:after="0"/>
        <w:ind w:left="1921" w:right="1954" w:hanging="681"/>
        <w:jc w:val="left"/>
        <w:rPr>
          <w:sz w:val="18"/>
        </w:rPr>
      </w:pPr>
      <w:r>
        <w:rPr>
          <w:w w:val="110"/>
          <w:sz w:val="18"/>
        </w:rPr>
        <w:t>It encompasses and encourages the prayerful and </w:t>
      </w:r>
      <w:r>
        <w:rPr>
          <w:spacing w:val="2"/>
          <w:w w:val="110"/>
          <w:sz w:val="18"/>
        </w:rPr>
        <w:t>practical </w:t>
      </w:r>
      <w:r>
        <w:rPr>
          <w:w w:val="110"/>
          <w:sz w:val="18"/>
        </w:rPr>
        <w:t>support of the whole Christian community for individuals and families and communities experiencing </w:t>
      </w:r>
      <w:r>
        <w:rPr>
          <w:spacing w:val="2"/>
          <w:w w:val="110"/>
          <w:sz w:val="18"/>
        </w:rPr>
        <w:t>sickness </w:t>
      </w:r>
      <w:r>
        <w:rPr>
          <w:w w:val="110"/>
          <w:sz w:val="18"/>
        </w:rPr>
        <w:t>and</w:t>
      </w:r>
      <w:r>
        <w:rPr>
          <w:spacing w:val="3"/>
          <w:w w:val="110"/>
          <w:sz w:val="18"/>
        </w:rPr>
        <w:t> </w:t>
      </w:r>
      <w:r>
        <w:rPr>
          <w:w w:val="110"/>
          <w:sz w:val="18"/>
        </w:rPr>
        <w:t>suffering.</w:t>
      </w:r>
    </w:p>
    <w:p>
      <w:pPr>
        <w:pStyle w:val="ListParagraph"/>
        <w:numPr>
          <w:ilvl w:val="0"/>
          <w:numId w:val="110"/>
        </w:numPr>
        <w:tabs>
          <w:tab w:pos="1921" w:val="left" w:leader="none"/>
          <w:tab w:pos="1922" w:val="left" w:leader="none"/>
        </w:tabs>
        <w:spacing w:line="250" w:lineRule="exact" w:before="114" w:after="0"/>
        <w:ind w:left="1921" w:right="2134" w:hanging="681"/>
        <w:jc w:val="left"/>
        <w:rPr>
          <w:sz w:val="18"/>
        </w:rPr>
      </w:pPr>
      <w:r>
        <w:rPr>
          <w:w w:val="110"/>
          <w:sz w:val="18"/>
        </w:rPr>
        <w:t>In </w:t>
      </w:r>
      <w:r>
        <w:rPr>
          <w:spacing w:val="2"/>
          <w:w w:val="110"/>
          <w:sz w:val="18"/>
        </w:rPr>
        <w:t>practical </w:t>
      </w:r>
      <w:r>
        <w:rPr>
          <w:w w:val="110"/>
          <w:sz w:val="18"/>
        </w:rPr>
        <w:t>terms there is a </w:t>
      </w:r>
      <w:r>
        <w:rPr>
          <w:spacing w:val="2"/>
          <w:w w:val="110"/>
          <w:sz w:val="18"/>
        </w:rPr>
        <w:t>very </w:t>
      </w:r>
      <w:r>
        <w:rPr>
          <w:w w:val="110"/>
          <w:sz w:val="18"/>
        </w:rPr>
        <w:t>wide remit, for it embraces most </w:t>
      </w:r>
      <w:r>
        <w:rPr>
          <w:spacing w:val="2"/>
          <w:w w:val="110"/>
          <w:sz w:val="18"/>
        </w:rPr>
        <w:t>aspects </w:t>
      </w:r>
      <w:r>
        <w:rPr>
          <w:w w:val="110"/>
          <w:sz w:val="18"/>
        </w:rPr>
        <w:t>of life where there is brokenness and disease including physical illness, broken relationships, abuse, trauma and</w:t>
      </w:r>
      <w:r>
        <w:rPr>
          <w:spacing w:val="27"/>
          <w:w w:val="110"/>
          <w:sz w:val="18"/>
        </w:rPr>
        <w:t> </w:t>
      </w:r>
      <w:r>
        <w:rPr>
          <w:w w:val="110"/>
          <w:sz w:val="18"/>
        </w:rPr>
        <w:t>depression.</w:t>
      </w:r>
    </w:p>
    <w:p>
      <w:pPr>
        <w:pStyle w:val="ListParagraph"/>
        <w:numPr>
          <w:ilvl w:val="0"/>
          <w:numId w:val="110"/>
        </w:numPr>
        <w:tabs>
          <w:tab w:pos="1921" w:val="left" w:leader="none"/>
          <w:tab w:pos="1922" w:val="left" w:leader="none"/>
        </w:tabs>
        <w:spacing w:line="218" w:lineRule="auto" w:before="121" w:after="0"/>
        <w:ind w:left="1921" w:right="2297" w:hanging="681"/>
        <w:jc w:val="left"/>
        <w:rPr>
          <w:sz w:val="18"/>
        </w:rPr>
      </w:pPr>
      <w:r>
        <w:rPr>
          <w:spacing w:val="2"/>
          <w:w w:val="110"/>
          <w:sz w:val="18"/>
        </w:rPr>
        <w:t>There </w:t>
      </w:r>
      <w:r>
        <w:rPr>
          <w:w w:val="110"/>
          <w:sz w:val="18"/>
        </w:rPr>
        <w:t>is a pastoral aspect, which co-operates with and recognises God working through the medical</w:t>
      </w:r>
      <w:r>
        <w:rPr>
          <w:spacing w:val="9"/>
          <w:w w:val="110"/>
          <w:sz w:val="18"/>
        </w:rPr>
        <w:t> </w:t>
      </w:r>
      <w:r>
        <w:rPr>
          <w:w w:val="110"/>
          <w:sz w:val="18"/>
        </w:rPr>
        <w:t>professions.</w:t>
      </w:r>
    </w:p>
    <w:p>
      <w:pPr>
        <w:pStyle w:val="ListParagraph"/>
        <w:numPr>
          <w:ilvl w:val="0"/>
          <w:numId w:val="110"/>
        </w:numPr>
        <w:tabs>
          <w:tab w:pos="1921" w:val="left" w:leader="none"/>
          <w:tab w:pos="1922" w:val="left" w:leader="none"/>
        </w:tabs>
        <w:spacing w:line="218" w:lineRule="auto" w:before="138" w:after="0"/>
        <w:ind w:left="1921" w:right="2805" w:hanging="681"/>
        <w:jc w:val="left"/>
        <w:rPr>
          <w:sz w:val="18"/>
        </w:rPr>
      </w:pPr>
      <w:r>
        <w:rPr>
          <w:w w:val="110"/>
          <w:sz w:val="18"/>
        </w:rPr>
        <w:t>Expression of God’s love and compassion for all people and the recognition</w:t>
      </w:r>
      <w:r>
        <w:rPr>
          <w:spacing w:val="10"/>
          <w:w w:val="110"/>
          <w:sz w:val="18"/>
        </w:rPr>
        <w:t> </w:t>
      </w:r>
      <w:r>
        <w:rPr>
          <w:w w:val="110"/>
          <w:sz w:val="18"/>
        </w:rPr>
        <w:t>of</w:t>
      </w:r>
      <w:r>
        <w:rPr>
          <w:spacing w:val="11"/>
          <w:w w:val="110"/>
          <w:sz w:val="18"/>
        </w:rPr>
        <w:t> </w:t>
      </w:r>
      <w:r>
        <w:rPr>
          <w:w w:val="110"/>
          <w:sz w:val="18"/>
        </w:rPr>
        <w:t>his</w:t>
      </w:r>
      <w:r>
        <w:rPr>
          <w:spacing w:val="11"/>
          <w:w w:val="110"/>
          <w:sz w:val="18"/>
        </w:rPr>
        <w:t> </w:t>
      </w:r>
      <w:r>
        <w:rPr>
          <w:w w:val="110"/>
          <w:sz w:val="18"/>
        </w:rPr>
        <w:t>being</w:t>
      </w:r>
      <w:r>
        <w:rPr>
          <w:spacing w:val="11"/>
          <w:w w:val="110"/>
          <w:sz w:val="18"/>
        </w:rPr>
        <w:t> </w:t>
      </w:r>
      <w:r>
        <w:rPr>
          <w:w w:val="110"/>
          <w:sz w:val="18"/>
        </w:rPr>
        <w:t>present</w:t>
      </w:r>
      <w:r>
        <w:rPr>
          <w:spacing w:val="11"/>
          <w:w w:val="110"/>
          <w:sz w:val="18"/>
        </w:rPr>
        <w:t> </w:t>
      </w:r>
      <w:r>
        <w:rPr>
          <w:w w:val="110"/>
          <w:sz w:val="18"/>
        </w:rPr>
        <w:t>in</w:t>
      </w:r>
      <w:r>
        <w:rPr>
          <w:spacing w:val="11"/>
          <w:w w:val="110"/>
          <w:sz w:val="18"/>
        </w:rPr>
        <w:t> </w:t>
      </w:r>
      <w:r>
        <w:rPr>
          <w:w w:val="110"/>
          <w:sz w:val="18"/>
        </w:rPr>
        <w:t>suffering.</w:t>
      </w:r>
      <w:r>
        <w:rPr>
          <w:spacing w:val="11"/>
          <w:w w:val="110"/>
          <w:sz w:val="18"/>
        </w:rPr>
        <w:t> </w:t>
      </w:r>
      <w:r>
        <w:rPr>
          <w:w w:val="110"/>
          <w:sz w:val="18"/>
        </w:rPr>
        <w:t>It</w:t>
      </w:r>
      <w:r>
        <w:rPr>
          <w:spacing w:val="11"/>
          <w:w w:val="110"/>
          <w:sz w:val="18"/>
        </w:rPr>
        <w:t> </w:t>
      </w:r>
      <w:r>
        <w:rPr>
          <w:w w:val="110"/>
          <w:sz w:val="18"/>
        </w:rPr>
        <w:t>is</w:t>
      </w:r>
      <w:r>
        <w:rPr>
          <w:spacing w:val="10"/>
          <w:w w:val="110"/>
          <w:sz w:val="18"/>
        </w:rPr>
        <w:t> </w:t>
      </w:r>
      <w:r>
        <w:rPr>
          <w:w w:val="110"/>
          <w:sz w:val="18"/>
        </w:rPr>
        <w:t>wholly</w:t>
      </w:r>
      <w:r>
        <w:rPr>
          <w:spacing w:val="11"/>
          <w:w w:val="110"/>
          <w:sz w:val="18"/>
        </w:rPr>
        <w:t> </w:t>
      </w:r>
      <w:r>
        <w:rPr>
          <w:w w:val="110"/>
          <w:sz w:val="18"/>
        </w:rPr>
        <w:t>inclusive.</w:t>
      </w:r>
    </w:p>
    <w:p>
      <w:pPr>
        <w:pStyle w:val="ListParagraph"/>
        <w:numPr>
          <w:ilvl w:val="0"/>
          <w:numId w:val="110"/>
        </w:numPr>
        <w:tabs>
          <w:tab w:pos="1921" w:val="left" w:leader="none"/>
          <w:tab w:pos="1922" w:val="left" w:leader="none"/>
        </w:tabs>
        <w:spacing w:line="250" w:lineRule="exact" w:before="130" w:after="0"/>
        <w:ind w:left="1921" w:right="1961" w:hanging="681"/>
        <w:jc w:val="left"/>
        <w:rPr>
          <w:sz w:val="18"/>
        </w:rPr>
      </w:pPr>
      <w:r>
        <w:rPr>
          <w:w w:val="110"/>
          <w:sz w:val="18"/>
        </w:rPr>
        <w:t>Through this ministry, human suffering, </w:t>
      </w:r>
      <w:r>
        <w:rPr>
          <w:spacing w:val="2"/>
          <w:w w:val="110"/>
          <w:sz w:val="18"/>
        </w:rPr>
        <w:t>sickness </w:t>
      </w:r>
      <w:r>
        <w:rPr>
          <w:w w:val="110"/>
          <w:sz w:val="18"/>
        </w:rPr>
        <w:t>and healing are put into context, given meaning they could not have </w:t>
      </w:r>
      <w:r>
        <w:rPr>
          <w:spacing w:val="2"/>
          <w:w w:val="110"/>
          <w:sz w:val="18"/>
        </w:rPr>
        <w:t>apart from </w:t>
      </w:r>
      <w:r>
        <w:rPr>
          <w:w w:val="110"/>
          <w:sz w:val="18"/>
        </w:rPr>
        <w:t>the life, death and </w:t>
      </w:r>
      <w:r>
        <w:rPr>
          <w:spacing w:val="2"/>
          <w:w w:val="110"/>
          <w:sz w:val="18"/>
        </w:rPr>
        <w:t>resurrection </w:t>
      </w:r>
      <w:r>
        <w:rPr>
          <w:w w:val="110"/>
          <w:sz w:val="18"/>
        </w:rPr>
        <w:t>of Jesus</w:t>
      </w:r>
      <w:r>
        <w:rPr>
          <w:spacing w:val="2"/>
          <w:w w:val="110"/>
          <w:sz w:val="18"/>
        </w:rPr>
        <w:t> </w:t>
      </w:r>
      <w:r>
        <w:rPr>
          <w:w w:val="110"/>
          <w:sz w:val="18"/>
        </w:rPr>
        <w:t>Christ.</w:t>
      </w:r>
    </w:p>
    <w:p>
      <w:pPr>
        <w:pStyle w:val="ListParagraph"/>
        <w:numPr>
          <w:ilvl w:val="0"/>
          <w:numId w:val="110"/>
        </w:numPr>
        <w:tabs>
          <w:tab w:pos="1921" w:val="left" w:leader="none"/>
          <w:tab w:pos="1922" w:val="left" w:leader="none"/>
        </w:tabs>
        <w:spacing w:line="218" w:lineRule="auto" w:before="121" w:after="0"/>
        <w:ind w:left="1921" w:right="2052" w:hanging="681"/>
        <w:jc w:val="left"/>
        <w:rPr>
          <w:sz w:val="18"/>
        </w:rPr>
      </w:pPr>
      <w:r>
        <w:rPr>
          <w:w w:val="110"/>
          <w:sz w:val="18"/>
        </w:rPr>
        <w:t>The ministry of healing is eschatological; it </w:t>
      </w:r>
      <w:r>
        <w:rPr>
          <w:spacing w:val="3"/>
          <w:w w:val="110"/>
          <w:sz w:val="18"/>
        </w:rPr>
        <w:t>offers </w:t>
      </w:r>
      <w:r>
        <w:rPr>
          <w:w w:val="110"/>
          <w:sz w:val="18"/>
        </w:rPr>
        <w:t>healing of the Christian soul within the context of eternity and preparation into eternal</w:t>
      </w:r>
      <w:r>
        <w:rPr>
          <w:spacing w:val="66"/>
          <w:w w:val="110"/>
          <w:sz w:val="18"/>
        </w:rPr>
        <w:t> </w:t>
      </w:r>
      <w:r>
        <w:rPr>
          <w:w w:val="110"/>
          <w:sz w:val="18"/>
        </w:rPr>
        <w:t>life.</w:t>
      </w:r>
    </w:p>
    <w:p>
      <w:pPr>
        <w:pStyle w:val="BodyText"/>
        <w:spacing w:before="10"/>
        <w:rPr>
          <w:sz w:val="32"/>
        </w:rPr>
      </w:pPr>
    </w:p>
    <w:p>
      <w:pPr>
        <w:pStyle w:val="BodyText"/>
        <w:spacing w:line="273" w:lineRule="auto"/>
        <w:ind w:left="1240" w:right="2219"/>
      </w:pPr>
      <w:r>
        <w:rPr>
          <w:w w:val="110"/>
        </w:rPr>
        <w:t>Healing ministry embraces forgiveness and reconciliation. Christ’s reconciling work on the cross is central to forgiveness and reconciliation. This includes the need to return to the full health of right relationships, starting with the right relationship with God, and recognising our dependency.</w:t>
      </w:r>
    </w:p>
    <w:p>
      <w:pPr>
        <w:pStyle w:val="BodyText"/>
        <w:spacing w:before="9"/>
        <w:rPr>
          <w:sz w:val="20"/>
        </w:rPr>
      </w:pPr>
    </w:p>
    <w:p>
      <w:pPr>
        <w:pStyle w:val="BodyText"/>
        <w:spacing w:line="273" w:lineRule="auto" w:before="1"/>
        <w:ind w:left="1240" w:right="2152"/>
      </w:pPr>
      <w:r>
        <w:rPr>
          <w:w w:val="110"/>
        </w:rPr>
        <w:t>Repentance, forgiveness and the dealing with guilt, </w:t>
      </w:r>
      <w:r>
        <w:rPr>
          <w:spacing w:val="-3"/>
          <w:w w:val="110"/>
        </w:rPr>
        <w:t>anger, </w:t>
      </w:r>
      <w:r>
        <w:rPr>
          <w:w w:val="110"/>
        </w:rPr>
        <w:t>rebellion and resentment are key to this ministry. So many are angry with God, themselves,  or others, and are severely burdened and diseased by the past. Much help is needed to bring some to the point where there can be healing and reconciliation and</w:t>
      </w:r>
      <w:r>
        <w:rPr>
          <w:spacing w:val="1"/>
          <w:w w:val="110"/>
        </w:rPr>
        <w:t> </w:t>
      </w:r>
      <w:r>
        <w:rPr>
          <w:w w:val="110"/>
        </w:rPr>
        <w:t>restoration.</w:t>
      </w:r>
    </w:p>
    <w:p>
      <w:pPr>
        <w:spacing w:after="0" w:line="273" w:lineRule="auto"/>
        <w:sectPr>
          <w:headerReference w:type="even" r:id="rId286"/>
          <w:pgSz w:w="11910" w:h="16840"/>
          <w:pgMar w:header="0" w:footer="564" w:top="460" w:bottom="760" w:left="460" w:right="0"/>
        </w:sectPr>
      </w:pPr>
    </w:p>
    <w:p>
      <w:pPr>
        <w:pStyle w:val="BodyText"/>
        <w:spacing w:before="9"/>
        <w:rPr>
          <w:sz w:val="13"/>
        </w:rPr>
      </w:pPr>
    </w:p>
    <w:p>
      <w:pPr>
        <w:pStyle w:val="BodyText"/>
        <w:spacing w:line="273" w:lineRule="auto" w:before="101"/>
        <w:ind w:left="673" w:right="1977"/>
      </w:pPr>
      <w:r>
        <w:rPr>
          <w:w w:val="110"/>
        </w:rPr>
        <w:t>In 2 Cor </w:t>
      </w:r>
      <w:r>
        <w:rPr>
          <w:spacing w:val="-10"/>
          <w:w w:val="110"/>
        </w:rPr>
        <w:t>5:17-20 </w:t>
      </w:r>
      <w:r>
        <w:rPr>
          <w:w w:val="110"/>
        </w:rPr>
        <w:t>we are urged to work towards reconciliation. In Col </w:t>
      </w:r>
      <w:r>
        <w:rPr>
          <w:spacing w:val="-7"/>
          <w:w w:val="110"/>
        </w:rPr>
        <w:t>1:20 </w:t>
      </w:r>
      <w:r>
        <w:rPr>
          <w:w w:val="110"/>
        </w:rPr>
        <w:t>there is a cosmic dimension to Christ’s death on the cross; Jesus by his act, reconciled himself   to all things whether on </w:t>
      </w:r>
      <w:r>
        <w:rPr>
          <w:spacing w:val="2"/>
          <w:w w:val="110"/>
        </w:rPr>
        <w:t>earth </w:t>
      </w:r>
      <w:r>
        <w:rPr>
          <w:w w:val="110"/>
        </w:rPr>
        <w:t>or in heaven. In Eph </w:t>
      </w:r>
      <w:r>
        <w:rPr>
          <w:spacing w:val="-9"/>
          <w:w w:val="110"/>
        </w:rPr>
        <w:t>2:16 </w:t>
      </w:r>
      <w:r>
        <w:rPr>
          <w:w w:val="110"/>
        </w:rPr>
        <w:t>reconciliation is seen as being supremely concerned with the healing of relationships. Reconciliation is the </w:t>
      </w:r>
      <w:r>
        <w:rPr>
          <w:spacing w:val="2"/>
          <w:w w:val="110"/>
        </w:rPr>
        <w:t>activity </w:t>
      </w:r>
      <w:r>
        <w:rPr>
          <w:w w:val="110"/>
        </w:rPr>
        <w:t>of God and man is the</w:t>
      </w:r>
      <w:r>
        <w:rPr>
          <w:spacing w:val="6"/>
          <w:w w:val="110"/>
        </w:rPr>
        <w:t> </w:t>
      </w:r>
      <w:r>
        <w:rPr>
          <w:w w:val="110"/>
        </w:rPr>
        <w:t>recipient.</w:t>
      </w:r>
    </w:p>
    <w:p>
      <w:pPr>
        <w:pStyle w:val="BodyText"/>
        <w:spacing w:before="10"/>
        <w:rPr>
          <w:sz w:val="20"/>
        </w:rPr>
      </w:pPr>
    </w:p>
    <w:p>
      <w:pPr>
        <w:pStyle w:val="BodyText"/>
        <w:spacing w:line="273" w:lineRule="auto"/>
        <w:ind w:left="673" w:right="1829"/>
      </w:pPr>
      <w:r>
        <w:rPr>
          <w:w w:val="110"/>
        </w:rPr>
        <w:t>The healing ministry works towards peace in the deepest sense of the word – the sense of well being that comes about when the will of God is being done, where there is a harmony of being at one with the purposes of God the creator. It embraces, prosperity, bodily health, contentedness, and good relations between</w:t>
      </w:r>
      <w:r>
        <w:rPr>
          <w:spacing w:val="26"/>
          <w:w w:val="110"/>
        </w:rPr>
        <w:t> </w:t>
      </w:r>
      <w:r>
        <w:rPr>
          <w:w w:val="110"/>
        </w:rPr>
        <w:t>people.</w:t>
      </w:r>
    </w:p>
    <w:p>
      <w:pPr>
        <w:pStyle w:val="BodyText"/>
        <w:spacing w:before="9"/>
        <w:rPr>
          <w:sz w:val="20"/>
        </w:rPr>
      </w:pPr>
    </w:p>
    <w:p>
      <w:pPr>
        <w:pStyle w:val="BodyText"/>
        <w:ind w:left="673"/>
      </w:pPr>
      <w:r>
        <w:rPr>
          <w:w w:val="110"/>
        </w:rPr>
        <w:t>In practical terms for the church, it embraces:</w:t>
      </w:r>
    </w:p>
    <w:p>
      <w:pPr>
        <w:pStyle w:val="BodyText"/>
        <w:spacing w:before="8"/>
        <w:rPr>
          <w:sz w:val="20"/>
        </w:rPr>
      </w:pPr>
    </w:p>
    <w:p>
      <w:pPr>
        <w:pStyle w:val="ListParagraph"/>
        <w:numPr>
          <w:ilvl w:val="0"/>
          <w:numId w:val="2"/>
        </w:numPr>
        <w:tabs>
          <w:tab w:pos="1354" w:val="left" w:leader="none"/>
          <w:tab w:pos="1355" w:val="left" w:leader="none"/>
        </w:tabs>
        <w:spacing w:line="277" w:lineRule="exact" w:before="0" w:after="0"/>
        <w:ind w:left="1354" w:right="0" w:hanging="682"/>
        <w:jc w:val="left"/>
        <w:rPr>
          <w:sz w:val="25"/>
        </w:rPr>
      </w:pPr>
      <w:r>
        <w:rPr>
          <w:w w:val="110"/>
          <w:sz w:val="18"/>
        </w:rPr>
        <w:t>Pastoral </w:t>
      </w:r>
      <w:r>
        <w:rPr>
          <w:spacing w:val="2"/>
          <w:w w:val="110"/>
          <w:sz w:val="18"/>
        </w:rPr>
        <w:t>care </w:t>
      </w:r>
      <w:r>
        <w:rPr>
          <w:w w:val="110"/>
          <w:sz w:val="18"/>
        </w:rPr>
        <w:t>at all levels.</w:t>
      </w:r>
    </w:p>
    <w:p>
      <w:pPr>
        <w:pStyle w:val="ListParagraph"/>
        <w:numPr>
          <w:ilvl w:val="0"/>
          <w:numId w:val="2"/>
        </w:numPr>
        <w:tabs>
          <w:tab w:pos="1354" w:val="left" w:leader="none"/>
          <w:tab w:pos="1355" w:val="left" w:leader="none"/>
        </w:tabs>
        <w:spacing w:line="218" w:lineRule="auto" w:before="0" w:after="0"/>
        <w:ind w:left="1354" w:right="2580" w:hanging="681"/>
        <w:jc w:val="left"/>
        <w:rPr>
          <w:sz w:val="25"/>
        </w:rPr>
      </w:pPr>
      <w:r>
        <w:rPr>
          <w:spacing w:val="-3"/>
          <w:w w:val="110"/>
          <w:sz w:val="18"/>
        </w:rPr>
        <w:t>Prayer, </w:t>
      </w:r>
      <w:r>
        <w:rPr>
          <w:w w:val="110"/>
          <w:sz w:val="18"/>
        </w:rPr>
        <w:t>prayer groups, praying with people, healing </w:t>
      </w:r>
      <w:r>
        <w:rPr>
          <w:spacing w:val="2"/>
          <w:w w:val="110"/>
          <w:sz w:val="18"/>
        </w:rPr>
        <w:t>services, </w:t>
      </w:r>
      <w:r>
        <w:rPr>
          <w:w w:val="110"/>
          <w:sz w:val="18"/>
        </w:rPr>
        <w:t>sacraments, anointing, listening, preparation for</w:t>
      </w:r>
      <w:r>
        <w:rPr>
          <w:spacing w:val="7"/>
          <w:w w:val="110"/>
          <w:sz w:val="18"/>
        </w:rPr>
        <w:t> </w:t>
      </w:r>
      <w:r>
        <w:rPr>
          <w:w w:val="110"/>
          <w:sz w:val="18"/>
        </w:rPr>
        <w:t>death.</w:t>
      </w:r>
    </w:p>
    <w:p>
      <w:pPr>
        <w:pStyle w:val="ListParagraph"/>
        <w:numPr>
          <w:ilvl w:val="0"/>
          <w:numId w:val="2"/>
        </w:numPr>
        <w:tabs>
          <w:tab w:pos="1354" w:val="left" w:leader="none"/>
          <w:tab w:pos="1355" w:val="left" w:leader="none"/>
        </w:tabs>
        <w:spacing w:line="250" w:lineRule="exact" w:before="9" w:after="0"/>
        <w:ind w:left="1354" w:right="2036" w:hanging="681"/>
        <w:jc w:val="left"/>
        <w:rPr>
          <w:sz w:val="25"/>
        </w:rPr>
      </w:pPr>
      <w:r>
        <w:rPr>
          <w:w w:val="110"/>
          <w:sz w:val="18"/>
        </w:rPr>
        <w:t>Being involved in the community in whatever way is appropriate for the </w:t>
      </w:r>
      <w:r>
        <w:rPr>
          <w:spacing w:val="2"/>
          <w:w w:val="110"/>
          <w:sz w:val="18"/>
        </w:rPr>
        <w:t>person </w:t>
      </w:r>
      <w:r>
        <w:rPr>
          <w:w w:val="110"/>
          <w:sz w:val="18"/>
        </w:rPr>
        <w:t>and situation, with disabled, ethnic groups, elderly, marginalised, rejected, imprisoned, lonely, vulnerable, sick, terminally ill, bereaved, </w:t>
      </w:r>
      <w:r>
        <w:rPr>
          <w:spacing w:val="2"/>
          <w:w w:val="110"/>
          <w:sz w:val="18"/>
        </w:rPr>
        <w:t>carers, </w:t>
      </w:r>
      <w:r>
        <w:rPr>
          <w:w w:val="110"/>
          <w:sz w:val="18"/>
        </w:rPr>
        <w:t>victims  and the</w:t>
      </w:r>
      <w:r>
        <w:rPr>
          <w:spacing w:val="2"/>
          <w:w w:val="110"/>
          <w:sz w:val="18"/>
        </w:rPr>
        <w:t> </w:t>
      </w:r>
      <w:r>
        <w:rPr>
          <w:w w:val="110"/>
          <w:sz w:val="18"/>
        </w:rPr>
        <w:t>frightened.</w:t>
      </w:r>
    </w:p>
    <w:p>
      <w:pPr>
        <w:pStyle w:val="ListParagraph"/>
        <w:numPr>
          <w:ilvl w:val="0"/>
          <w:numId w:val="2"/>
        </w:numPr>
        <w:tabs>
          <w:tab w:pos="1354" w:val="left" w:leader="none"/>
          <w:tab w:pos="1355" w:val="left" w:leader="none"/>
        </w:tabs>
        <w:spacing w:line="266" w:lineRule="exact" w:before="0" w:after="0"/>
        <w:ind w:left="1354" w:right="0" w:hanging="682"/>
        <w:jc w:val="left"/>
        <w:rPr>
          <w:sz w:val="25"/>
        </w:rPr>
      </w:pPr>
      <w:r>
        <w:rPr>
          <w:w w:val="110"/>
          <w:sz w:val="18"/>
        </w:rPr>
        <w:t>Healing of</w:t>
      </w:r>
      <w:r>
        <w:rPr>
          <w:spacing w:val="2"/>
          <w:w w:val="110"/>
          <w:sz w:val="18"/>
        </w:rPr>
        <w:t> </w:t>
      </w:r>
      <w:r>
        <w:rPr>
          <w:w w:val="110"/>
          <w:sz w:val="18"/>
        </w:rPr>
        <w:t>memories.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Deliverance ministry for people and</w:t>
      </w:r>
      <w:r>
        <w:rPr>
          <w:spacing w:val="8"/>
          <w:w w:val="110"/>
          <w:sz w:val="18"/>
        </w:rPr>
        <w:t> </w:t>
      </w:r>
      <w:r>
        <w:rPr>
          <w:w w:val="110"/>
          <w:sz w:val="18"/>
        </w:rPr>
        <w:t>places.</w:t>
      </w:r>
    </w:p>
    <w:p>
      <w:pPr>
        <w:pStyle w:val="ListParagraph"/>
        <w:numPr>
          <w:ilvl w:val="0"/>
          <w:numId w:val="2"/>
        </w:numPr>
        <w:tabs>
          <w:tab w:pos="1354" w:val="left" w:leader="none"/>
          <w:tab w:pos="1355" w:val="left" w:leader="none"/>
        </w:tabs>
        <w:spacing w:line="250" w:lineRule="exact" w:before="0" w:after="0"/>
        <w:ind w:left="1354" w:right="0" w:hanging="682"/>
        <w:jc w:val="left"/>
        <w:rPr>
          <w:sz w:val="25"/>
        </w:rPr>
      </w:pPr>
      <w:r>
        <w:rPr>
          <w:w w:val="110"/>
          <w:sz w:val="18"/>
        </w:rPr>
        <w:t>Forgiveness and</w:t>
      </w:r>
      <w:r>
        <w:rPr>
          <w:spacing w:val="2"/>
          <w:w w:val="110"/>
          <w:sz w:val="18"/>
        </w:rPr>
        <w:t> </w:t>
      </w:r>
      <w:r>
        <w:rPr>
          <w:w w:val="110"/>
          <w:sz w:val="18"/>
        </w:rPr>
        <w:t>reconciliation.</w:t>
      </w:r>
    </w:p>
    <w:p>
      <w:pPr>
        <w:pStyle w:val="ListParagraph"/>
        <w:numPr>
          <w:ilvl w:val="0"/>
          <w:numId w:val="2"/>
        </w:numPr>
        <w:tabs>
          <w:tab w:pos="1354" w:val="left" w:leader="none"/>
          <w:tab w:pos="1355" w:val="left" w:leader="none"/>
        </w:tabs>
        <w:spacing w:line="265" w:lineRule="exact" w:before="0" w:after="0"/>
        <w:ind w:left="1354" w:right="0" w:hanging="682"/>
        <w:jc w:val="left"/>
        <w:rPr>
          <w:sz w:val="25"/>
        </w:rPr>
      </w:pPr>
      <w:r>
        <w:rPr>
          <w:w w:val="110"/>
          <w:sz w:val="18"/>
        </w:rPr>
        <w:t>Healing </w:t>
      </w:r>
      <w:r>
        <w:rPr>
          <w:spacing w:val="2"/>
          <w:w w:val="110"/>
          <w:sz w:val="18"/>
        </w:rPr>
        <w:t>services </w:t>
      </w:r>
      <w:r>
        <w:rPr>
          <w:w w:val="110"/>
          <w:sz w:val="18"/>
        </w:rPr>
        <w:t>to bring healing and wholeness in the widest</w:t>
      </w:r>
      <w:r>
        <w:rPr>
          <w:spacing w:val="25"/>
          <w:w w:val="110"/>
          <w:sz w:val="18"/>
        </w:rPr>
        <w:t> </w:t>
      </w:r>
      <w:r>
        <w:rPr>
          <w:w w:val="110"/>
          <w:sz w:val="18"/>
        </w:rPr>
        <w:t>sense</w:t>
      </w:r>
    </w:p>
    <w:p>
      <w:pPr>
        <w:pStyle w:val="BodyText"/>
        <w:spacing w:line="207" w:lineRule="exact"/>
        <w:ind w:left="1354"/>
      </w:pPr>
      <w:r>
        <w:rPr>
          <w:w w:val="110"/>
        </w:rPr>
        <w:t>– not just seeking cures.</w:t>
      </w:r>
    </w:p>
    <w:p>
      <w:pPr>
        <w:pStyle w:val="BodyText"/>
        <w:spacing w:before="6"/>
        <w:rPr>
          <w:sz w:val="21"/>
        </w:rPr>
      </w:pPr>
      <w:r>
        <w:rPr/>
        <w:pict>
          <v:group style="position:absolute;margin-left:56.693001pt;margin-top:15.026747pt;width:456.55pt;height:180.95pt;mso-position-horizontal-relative:page;mso-position-vertical-relative:paragraph;z-index:-251374592;mso-wrap-distance-left:0;mso-wrap-distance-right:0" coordorigin="1134,301" coordsize="9131,3619">
            <v:shape style="position:absolute;left:1173;top:340;width:9051;height:3539" coordorigin="1174,341" coordsize="9051,3539" path="m1414,341l1275,344,1204,371,1178,442,1174,581,1174,3639,1178,3778,1204,3849,1275,3876,1414,3879,9985,3879,10123,3876,10195,3849,10221,3778,10225,3639,10225,581,10221,442,10195,371,10123,344,9985,341,1414,341xe" filled="false" stroked="true" strokeweight="4pt" strokecolor="#acacac">
              <v:path arrowok="t"/>
              <v:stroke dashstyle="solid"/>
            </v:shape>
            <v:shape style="position:absolute;left:1133;top:300;width:9131;height:3619" type="#_x0000_t202" filled="false" stroked="false">
              <v:textbox inset="0,0,0,0">
                <w:txbxContent>
                  <w:p>
                    <w:pPr>
                      <w:spacing w:before="230"/>
                      <w:ind w:left="226" w:right="0" w:firstLine="0"/>
                      <w:jc w:val="left"/>
                      <w:rPr>
                        <w:b/>
                        <w:sz w:val="29"/>
                      </w:rPr>
                    </w:pPr>
                    <w:r>
                      <w:rPr>
                        <w:b/>
                        <w:w w:val="110"/>
                        <w:sz w:val="29"/>
                      </w:rPr>
                      <w:t>Questions asked:</w:t>
                    </w:r>
                  </w:p>
                  <w:p>
                    <w:pPr>
                      <w:numPr>
                        <w:ilvl w:val="0"/>
                        <w:numId w:val="111"/>
                      </w:numPr>
                      <w:tabs>
                        <w:tab w:pos="680" w:val="left" w:leader="none"/>
                        <w:tab w:pos="681" w:val="left" w:leader="none"/>
                      </w:tabs>
                      <w:spacing w:line="273" w:lineRule="auto" w:before="258"/>
                      <w:ind w:left="680" w:right="428" w:hanging="454"/>
                      <w:jc w:val="left"/>
                      <w:rPr>
                        <w:sz w:val="18"/>
                      </w:rPr>
                    </w:pPr>
                    <w:r>
                      <w:rPr>
                        <w:spacing w:val="2"/>
                        <w:w w:val="110"/>
                        <w:sz w:val="18"/>
                      </w:rPr>
                      <w:t>Are </w:t>
                    </w:r>
                    <w:r>
                      <w:rPr>
                        <w:w w:val="110"/>
                        <w:sz w:val="18"/>
                      </w:rPr>
                      <w:t>prayers answered? </w:t>
                    </w:r>
                    <w:r>
                      <w:rPr>
                        <w:spacing w:val="-3"/>
                        <w:w w:val="110"/>
                        <w:sz w:val="18"/>
                      </w:rPr>
                      <w:t>Yes, </w:t>
                    </w:r>
                    <w:r>
                      <w:rPr>
                        <w:w w:val="110"/>
                        <w:sz w:val="18"/>
                      </w:rPr>
                      <w:t>not always as we want or in our time, but they are answered in God’s way and his</w:t>
                    </w:r>
                    <w:r>
                      <w:rPr>
                        <w:spacing w:val="7"/>
                        <w:w w:val="110"/>
                        <w:sz w:val="18"/>
                      </w:rPr>
                      <w:t> </w:t>
                    </w:r>
                    <w:r>
                      <w:rPr>
                        <w:w w:val="110"/>
                        <w:sz w:val="18"/>
                      </w:rPr>
                      <w:t>time.</w:t>
                    </w:r>
                  </w:p>
                  <w:p>
                    <w:pPr>
                      <w:numPr>
                        <w:ilvl w:val="0"/>
                        <w:numId w:val="111"/>
                      </w:numPr>
                      <w:tabs>
                        <w:tab w:pos="680" w:val="left" w:leader="none"/>
                        <w:tab w:pos="681" w:val="left" w:leader="none"/>
                      </w:tabs>
                      <w:spacing w:line="273" w:lineRule="auto" w:before="1"/>
                      <w:ind w:left="680" w:right="667" w:hanging="454"/>
                      <w:jc w:val="left"/>
                      <w:rPr>
                        <w:sz w:val="18"/>
                      </w:rPr>
                    </w:pPr>
                    <w:r>
                      <w:rPr>
                        <w:spacing w:val="2"/>
                        <w:w w:val="110"/>
                        <w:sz w:val="18"/>
                      </w:rPr>
                      <w:t>Are </w:t>
                    </w:r>
                    <w:r>
                      <w:rPr>
                        <w:w w:val="110"/>
                        <w:sz w:val="18"/>
                      </w:rPr>
                      <w:t>people physically healed? </w:t>
                    </w:r>
                    <w:r>
                      <w:rPr>
                        <w:spacing w:val="-3"/>
                        <w:w w:val="110"/>
                        <w:sz w:val="18"/>
                      </w:rPr>
                      <w:t>Yes </w:t>
                    </w:r>
                    <w:r>
                      <w:rPr>
                        <w:w w:val="110"/>
                        <w:sz w:val="18"/>
                      </w:rPr>
                      <w:t>but not always. </w:t>
                    </w:r>
                    <w:r>
                      <w:rPr>
                        <w:spacing w:val="-3"/>
                        <w:w w:val="110"/>
                        <w:sz w:val="18"/>
                      </w:rPr>
                      <w:t>We </w:t>
                    </w:r>
                    <w:r>
                      <w:rPr>
                        <w:w w:val="110"/>
                        <w:sz w:val="18"/>
                      </w:rPr>
                      <w:t>don’t know why some are</w:t>
                    </w:r>
                    <w:r>
                      <w:rPr>
                        <w:spacing w:val="9"/>
                        <w:w w:val="110"/>
                        <w:sz w:val="18"/>
                      </w:rPr>
                      <w:t> </w:t>
                    </w:r>
                    <w:r>
                      <w:rPr>
                        <w:w w:val="110"/>
                        <w:sz w:val="18"/>
                      </w:rPr>
                      <w:t>physically</w:t>
                    </w:r>
                    <w:r>
                      <w:rPr>
                        <w:spacing w:val="10"/>
                        <w:w w:val="110"/>
                        <w:sz w:val="18"/>
                      </w:rPr>
                      <w:t> </w:t>
                    </w:r>
                    <w:r>
                      <w:rPr>
                        <w:w w:val="110"/>
                        <w:sz w:val="18"/>
                      </w:rPr>
                      <w:t>healed</w:t>
                    </w:r>
                    <w:r>
                      <w:rPr>
                        <w:spacing w:val="10"/>
                        <w:w w:val="110"/>
                        <w:sz w:val="18"/>
                      </w:rPr>
                      <w:t> </w:t>
                    </w:r>
                    <w:r>
                      <w:rPr>
                        <w:w w:val="110"/>
                        <w:sz w:val="18"/>
                      </w:rPr>
                      <w:t>and</w:t>
                    </w:r>
                    <w:r>
                      <w:rPr>
                        <w:spacing w:val="10"/>
                        <w:w w:val="110"/>
                        <w:sz w:val="18"/>
                      </w:rPr>
                      <w:t> </w:t>
                    </w:r>
                    <w:r>
                      <w:rPr>
                        <w:w w:val="110"/>
                        <w:sz w:val="18"/>
                      </w:rPr>
                      <w:t>others</w:t>
                    </w:r>
                    <w:r>
                      <w:rPr>
                        <w:spacing w:val="9"/>
                        <w:w w:val="110"/>
                        <w:sz w:val="18"/>
                      </w:rPr>
                      <w:t> </w:t>
                    </w:r>
                    <w:r>
                      <w:rPr>
                        <w:w w:val="110"/>
                        <w:sz w:val="18"/>
                      </w:rPr>
                      <w:t>are</w:t>
                    </w:r>
                    <w:r>
                      <w:rPr>
                        <w:spacing w:val="10"/>
                        <w:w w:val="110"/>
                        <w:sz w:val="18"/>
                      </w:rPr>
                      <w:t> </w:t>
                    </w:r>
                    <w:r>
                      <w:rPr>
                        <w:w w:val="110"/>
                        <w:sz w:val="18"/>
                      </w:rPr>
                      <w:t>not.</w:t>
                    </w:r>
                    <w:r>
                      <w:rPr>
                        <w:spacing w:val="10"/>
                        <w:w w:val="110"/>
                        <w:sz w:val="18"/>
                      </w:rPr>
                      <w:t> </w:t>
                    </w:r>
                    <w:r>
                      <w:rPr>
                        <w:spacing w:val="3"/>
                        <w:w w:val="110"/>
                        <w:sz w:val="18"/>
                      </w:rPr>
                      <w:t>Often</w:t>
                    </w:r>
                    <w:r>
                      <w:rPr>
                        <w:spacing w:val="10"/>
                        <w:w w:val="110"/>
                        <w:sz w:val="18"/>
                      </w:rPr>
                      <w:t> </w:t>
                    </w:r>
                    <w:r>
                      <w:rPr>
                        <w:w w:val="110"/>
                        <w:sz w:val="18"/>
                      </w:rPr>
                      <w:t>healing</w:t>
                    </w:r>
                    <w:r>
                      <w:rPr>
                        <w:spacing w:val="10"/>
                        <w:w w:val="110"/>
                        <w:sz w:val="18"/>
                      </w:rPr>
                      <w:t> </w:t>
                    </w:r>
                    <w:r>
                      <w:rPr>
                        <w:w w:val="110"/>
                        <w:sz w:val="18"/>
                      </w:rPr>
                      <w:t>is</w:t>
                    </w:r>
                    <w:r>
                      <w:rPr>
                        <w:spacing w:val="9"/>
                        <w:w w:val="110"/>
                        <w:sz w:val="18"/>
                      </w:rPr>
                      <w:t> </w:t>
                    </w:r>
                    <w:r>
                      <w:rPr>
                        <w:w w:val="110"/>
                        <w:sz w:val="18"/>
                      </w:rPr>
                      <w:t>not</w:t>
                    </w:r>
                    <w:r>
                      <w:rPr>
                        <w:spacing w:val="10"/>
                        <w:w w:val="110"/>
                        <w:sz w:val="18"/>
                      </w:rPr>
                      <w:t> </w:t>
                    </w:r>
                    <w:r>
                      <w:rPr>
                        <w:w w:val="110"/>
                        <w:sz w:val="18"/>
                      </w:rPr>
                      <w:t>immediate</w:t>
                    </w:r>
                    <w:r>
                      <w:rPr>
                        <w:spacing w:val="10"/>
                        <w:w w:val="110"/>
                        <w:sz w:val="18"/>
                      </w:rPr>
                      <w:t> </w:t>
                    </w:r>
                    <w:r>
                      <w:rPr>
                        <w:w w:val="110"/>
                        <w:sz w:val="18"/>
                      </w:rPr>
                      <w:t>but</w:t>
                    </w:r>
                  </w:p>
                  <w:p>
                    <w:pPr>
                      <w:spacing w:line="273" w:lineRule="auto" w:before="1"/>
                      <w:ind w:left="680" w:right="0" w:firstLine="0"/>
                      <w:jc w:val="left"/>
                      <w:rPr>
                        <w:sz w:val="18"/>
                      </w:rPr>
                    </w:pPr>
                    <w:r>
                      <w:rPr>
                        <w:w w:val="110"/>
                        <w:sz w:val="18"/>
                      </w:rPr>
                      <w:t>comes as a package: change of heart, lifestyle, seeking of forgiveness, medical intervention and prayer.</w:t>
                    </w:r>
                  </w:p>
                  <w:p>
                    <w:pPr>
                      <w:numPr>
                        <w:ilvl w:val="0"/>
                        <w:numId w:val="111"/>
                      </w:numPr>
                      <w:tabs>
                        <w:tab w:pos="680" w:val="left" w:leader="none"/>
                        <w:tab w:pos="681" w:val="left" w:leader="none"/>
                      </w:tabs>
                      <w:spacing w:before="2"/>
                      <w:ind w:left="680" w:right="0" w:hanging="455"/>
                      <w:jc w:val="left"/>
                      <w:rPr>
                        <w:sz w:val="18"/>
                      </w:rPr>
                    </w:pPr>
                    <w:r>
                      <w:rPr>
                        <w:w w:val="110"/>
                        <w:sz w:val="18"/>
                      </w:rPr>
                      <w:t>Do miracles still happen? </w:t>
                    </w:r>
                    <w:r>
                      <w:rPr>
                        <w:spacing w:val="-3"/>
                        <w:w w:val="110"/>
                        <w:sz w:val="18"/>
                      </w:rPr>
                      <w:t>Yes, </w:t>
                    </w:r>
                    <w:r>
                      <w:rPr>
                        <w:w w:val="110"/>
                        <w:sz w:val="18"/>
                      </w:rPr>
                      <w:t>peoples’ lives change against all the</w:t>
                    </w:r>
                    <w:r>
                      <w:rPr>
                        <w:spacing w:val="50"/>
                        <w:w w:val="110"/>
                        <w:sz w:val="18"/>
                      </w:rPr>
                      <w:t> </w:t>
                    </w:r>
                    <w:r>
                      <w:rPr>
                        <w:w w:val="110"/>
                        <w:sz w:val="18"/>
                      </w:rPr>
                      <w:t>odds.</w:t>
                    </w:r>
                  </w:p>
                  <w:p>
                    <w:pPr>
                      <w:numPr>
                        <w:ilvl w:val="0"/>
                        <w:numId w:val="111"/>
                      </w:numPr>
                      <w:tabs>
                        <w:tab w:pos="680" w:val="left" w:leader="none"/>
                        <w:tab w:pos="681" w:val="left" w:leader="none"/>
                      </w:tabs>
                      <w:spacing w:line="273" w:lineRule="auto" w:before="31"/>
                      <w:ind w:left="680" w:right="294" w:hanging="454"/>
                      <w:jc w:val="left"/>
                      <w:rPr>
                        <w:sz w:val="18"/>
                      </w:rPr>
                    </w:pPr>
                    <w:r>
                      <w:rPr>
                        <w:w w:val="110"/>
                        <w:sz w:val="18"/>
                      </w:rPr>
                      <w:t>What is the usual </w:t>
                    </w:r>
                    <w:r>
                      <w:rPr>
                        <w:spacing w:val="2"/>
                        <w:w w:val="110"/>
                        <w:sz w:val="18"/>
                      </w:rPr>
                      <w:t>response </w:t>
                    </w:r>
                    <w:r>
                      <w:rPr>
                        <w:w w:val="110"/>
                        <w:sz w:val="18"/>
                      </w:rPr>
                      <w:t>to healing? </w:t>
                    </w:r>
                    <w:r>
                      <w:rPr>
                        <w:spacing w:val="-8"/>
                        <w:w w:val="110"/>
                        <w:sz w:val="18"/>
                      </w:rPr>
                      <w:t>To </w:t>
                    </w:r>
                    <w:r>
                      <w:rPr>
                        <w:w w:val="110"/>
                        <w:sz w:val="18"/>
                      </w:rPr>
                      <w:t>go and tell others and </w:t>
                    </w:r>
                    <w:r>
                      <w:rPr>
                        <w:spacing w:val="2"/>
                        <w:w w:val="110"/>
                        <w:sz w:val="18"/>
                      </w:rPr>
                      <w:t>serve </w:t>
                    </w:r>
                    <w:r>
                      <w:rPr>
                        <w:w w:val="110"/>
                        <w:sz w:val="18"/>
                      </w:rPr>
                      <w:t>the Lord, and live life to the full. </w:t>
                    </w:r>
                    <w:r>
                      <w:rPr>
                        <w:spacing w:val="2"/>
                        <w:w w:val="110"/>
                        <w:sz w:val="18"/>
                      </w:rPr>
                      <w:t>There </w:t>
                    </w:r>
                    <w:r>
                      <w:rPr>
                        <w:w w:val="110"/>
                        <w:sz w:val="18"/>
                      </w:rPr>
                      <w:t>is a new joy and excitement as people experience the living God and become powerful</w:t>
                    </w:r>
                    <w:r>
                      <w:rPr>
                        <w:spacing w:val="13"/>
                        <w:w w:val="110"/>
                        <w:sz w:val="18"/>
                      </w:rPr>
                      <w:t> </w:t>
                    </w:r>
                    <w:r>
                      <w:rPr>
                        <w:w w:val="110"/>
                        <w:sz w:val="18"/>
                      </w:rPr>
                      <w:t>witnesses.</w:t>
                    </w:r>
                  </w:p>
                </w:txbxContent>
              </v:textbox>
              <w10:wrap type="none"/>
            </v:shape>
            <w10:wrap type="topAndBottom"/>
          </v:group>
        </w:pict>
      </w:r>
    </w:p>
    <w:p>
      <w:pPr>
        <w:pStyle w:val="BodyText"/>
        <w:spacing w:before="9"/>
        <w:rPr>
          <w:sz w:val="7"/>
        </w:rPr>
      </w:pPr>
    </w:p>
    <w:p>
      <w:pPr>
        <w:pStyle w:val="Heading9"/>
        <w:spacing w:before="98"/>
        <w:ind w:left="673"/>
      </w:pPr>
      <w:r>
        <w:rPr>
          <w:w w:val="110"/>
        </w:rPr>
        <w:t>Useful books on the Healing Ministry</w:t>
      </w:r>
    </w:p>
    <w:p>
      <w:pPr>
        <w:spacing w:line="273" w:lineRule="auto" w:before="258"/>
        <w:ind w:left="673" w:right="3181" w:firstLine="0"/>
        <w:jc w:val="left"/>
        <w:rPr>
          <w:sz w:val="18"/>
        </w:rPr>
      </w:pPr>
      <w:r>
        <w:rPr>
          <w:i/>
          <w:w w:val="110"/>
          <w:sz w:val="18"/>
        </w:rPr>
        <w:t>A Time to Heal (a manual), </w:t>
      </w:r>
      <w:r>
        <w:rPr>
          <w:w w:val="110"/>
          <w:sz w:val="18"/>
        </w:rPr>
        <w:t>Church House Publishing 2000. ISBN 07151383 Francis MacNutt, </w:t>
      </w:r>
      <w:r>
        <w:rPr>
          <w:i/>
          <w:w w:val="110"/>
          <w:sz w:val="18"/>
        </w:rPr>
        <w:t>Healing, </w:t>
      </w:r>
      <w:r>
        <w:rPr>
          <w:w w:val="110"/>
          <w:sz w:val="18"/>
        </w:rPr>
        <w:t>Hodder and Stoughton 1997. ISBN 0340661402</w:t>
      </w:r>
    </w:p>
    <w:p>
      <w:pPr>
        <w:spacing w:line="273" w:lineRule="auto" w:before="1"/>
        <w:ind w:left="673" w:right="1908" w:firstLine="0"/>
        <w:jc w:val="left"/>
        <w:rPr>
          <w:sz w:val="18"/>
        </w:rPr>
      </w:pPr>
      <w:r>
        <w:rPr>
          <w:w w:val="110"/>
          <w:sz w:val="18"/>
        </w:rPr>
        <w:t>Francis MacNutt, </w:t>
      </w:r>
      <w:r>
        <w:rPr>
          <w:i/>
          <w:w w:val="110"/>
          <w:sz w:val="18"/>
        </w:rPr>
        <w:t>The Prayer that Heals, </w:t>
      </w:r>
      <w:r>
        <w:rPr>
          <w:spacing w:val="-3"/>
          <w:w w:val="110"/>
          <w:sz w:val="18"/>
        </w:rPr>
        <w:t>Ave  </w:t>
      </w:r>
      <w:r>
        <w:rPr>
          <w:w w:val="110"/>
          <w:sz w:val="18"/>
        </w:rPr>
        <w:t>Maria Press. 2005. ISBN </w:t>
      </w:r>
      <w:r>
        <w:rPr>
          <w:spacing w:val="-4"/>
          <w:w w:val="110"/>
          <w:sz w:val="18"/>
        </w:rPr>
        <w:t>1594710554   </w:t>
      </w:r>
      <w:r>
        <w:rPr>
          <w:w w:val="110"/>
          <w:sz w:val="18"/>
        </w:rPr>
        <w:t>Agnes Sanford, </w:t>
      </w:r>
      <w:r>
        <w:rPr>
          <w:i/>
          <w:w w:val="110"/>
          <w:sz w:val="18"/>
        </w:rPr>
        <w:t>Healing </w:t>
      </w:r>
      <w:r>
        <w:rPr>
          <w:i/>
          <w:spacing w:val="3"/>
          <w:w w:val="110"/>
          <w:sz w:val="18"/>
        </w:rPr>
        <w:t>Gifts </w:t>
      </w:r>
      <w:r>
        <w:rPr>
          <w:i/>
          <w:w w:val="110"/>
          <w:sz w:val="18"/>
        </w:rPr>
        <w:t>of the Spirit, </w:t>
      </w:r>
      <w:r>
        <w:rPr>
          <w:spacing w:val="2"/>
          <w:w w:val="110"/>
          <w:sz w:val="18"/>
        </w:rPr>
        <w:t>Arthur </w:t>
      </w:r>
      <w:r>
        <w:rPr>
          <w:w w:val="110"/>
          <w:sz w:val="18"/>
        </w:rPr>
        <w:t>James </w:t>
      </w:r>
      <w:r>
        <w:rPr>
          <w:spacing w:val="-5"/>
          <w:w w:val="110"/>
          <w:sz w:val="18"/>
        </w:rPr>
        <w:t>1979. </w:t>
      </w:r>
      <w:r>
        <w:rPr>
          <w:w w:val="110"/>
          <w:sz w:val="18"/>
        </w:rPr>
        <w:t>ISBN </w:t>
      </w:r>
      <w:r>
        <w:rPr>
          <w:spacing w:val="-3"/>
          <w:w w:val="110"/>
          <w:sz w:val="18"/>
        </w:rPr>
        <w:t>0853052107 </w:t>
      </w:r>
      <w:r>
        <w:rPr>
          <w:spacing w:val="63"/>
          <w:w w:val="110"/>
          <w:sz w:val="18"/>
        </w:rPr>
        <w:t> </w:t>
      </w:r>
      <w:r>
        <w:rPr>
          <w:w w:val="110"/>
          <w:sz w:val="18"/>
        </w:rPr>
        <w:t>Randolf Vickers, </w:t>
      </w:r>
      <w:r>
        <w:rPr>
          <w:i/>
          <w:w w:val="110"/>
          <w:sz w:val="18"/>
        </w:rPr>
        <w:t>The Anointing to Heal, </w:t>
      </w:r>
      <w:r>
        <w:rPr>
          <w:w w:val="110"/>
          <w:sz w:val="18"/>
        </w:rPr>
        <w:t>Terra Nova Publications 2005. ISBN </w:t>
      </w:r>
      <w:r>
        <w:rPr>
          <w:spacing w:val="-3"/>
          <w:w w:val="110"/>
          <w:sz w:val="18"/>
        </w:rPr>
        <w:t>1901949389 </w:t>
      </w:r>
      <w:r>
        <w:rPr>
          <w:w w:val="110"/>
          <w:sz w:val="18"/>
        </w:rPr>
        <w:t>John Gunstone, </w:t>
      </w:r>
      <w:r>
        <w:rPr>
          <w:i/>
          <w:w w:val="110"/>
          <w:sz w:val="18"/>
        </w:rPr>
        <w:t>A Touching Place</w:t>
      </w:r>
      <w:r>
        <w:rPr>
          <w:w w:val="110"/>
          <w:sz w:val="18"/>
        </w:rPr>
        <w:t>, </w:t>
      </w:r>
      <w:r>
        <w:rPr>
          <w:spacing w:val="2"/>
          <w:w w:val="110"/>
          <w:sz w:val="18"/>
        </w:rPr>
        <w:t>Canterbury Press </w:t>
      </w:r>
      <w:r>
        <w:rPr>
          <w:w w:val="110"/>
          <w:sz w:val="18"/>
        </w:rPr>
        <w:t>2005. ISBN</w:t>
      </w:r>
      <w:r>
        <w:rPr>
          <w:spacing w:val="28"/>
          <w:w w:val="110"/>
          <w:sz w:val="18"/>
        </w:rPr>
        <w:t> </w:t>
      </w:r>
      <w:r>
        <w:rPr>
          <w:spacing w:val="-6"/>
          <w:w w:val="110"/>
          <w:sz w:val="18"/>
        </w:rPr>
        <w:t>1853116319</w:t>
      </w:r>
    </w:p>
    <w:p>
      <w:pPr>
        <w:spacing w:line="273" w:lineRule="auto" w:before="3"/>
        <w:ind w:left="673" w:right="3181" w:firstLine="0"/>
        <w:jc w:val="left"/>
        <w:rPr>
          <w:sz w:val="18"/>
        </w:rPr>
      </w:pPr>
      <w:r>
        <w:rPr>
          <w:i/>
          <w:w w:val="110"/>
          <w:sz w:val="18"/>
        </w:rPr>
        <w:t>Healed, Restored, Forgiven. Prayers and Liturgies, </w:t>
      </w:r>
      <w:r>
        <w:rPr>
          <w:w w:val="110"/>
          <w:sz w:val="18"/>
        </w:rPr>
        <w:t>Canterbury Press 2004. ISBN 1853115878</w:t>
      </w:r>
    </w:p>
    <w:p>
      <w:pPr>
        <w:spacing w:line="273" w:lineRule="auto" w:before="1"/>
        <w:ind w:left="673" w:right="2267" w:firstLine="0"/>
        <w:jc w:val="left"/>
        <w:rPr>
          <w:sz w:val="18"/>
        </w:rPr>
      </w:pPr>
      <w:r>
        <w:rPr>
          <w:w w:val="110"/>
          <w:sz w:val="18"/>
        </w:rPr>
        <w:t>R T Kendall, </w:t>
      </w:r>
      <w:r>
        <w:rPr>
          <w:i/>
          <w:w w:val="110"/>
          <w:sz w:val="18"/>
        </w:rPr>
        <w:t>Total Forgiveness, </w:t>
      </w:r>
      <w:r>
        <w:rPr>
          <w:w w:val="110"/>
          <w:sz w:val="18"/>
        </w:rPr>
        <w:t>Hodder and Stoughton </w:t>
      </w:r>
      <w:r>
        <w:rPr>
          <w:spacing w:val="-3"/>
          <w:w w:val="110"/>
          <w:sz w:val="18"/>
        </w:rPr>
        <w:t>2001. </w:t>
      </w:r>
      <w:r>
        <w:rPr>
          <w:w w:val="110"/>
          <w:sz w:val="18"/>
        </w:rPr>
        <w:t>ISBN 034075639X  </w:t>
      </w:r>
      <w:r>
        <w:rPr>
          <w:spacing w:val="2"/>
          <w:w w:val="110"/>
          <w:sz w:val="18"/>
        </w:rPr>
        <w:t>Nicky </w:t>
      </w:r>
      <w:r>
        <w:rPr>
          <w:w w:val="110"/>
          <w:sz w:val="18"/>
        </w:rPr>
        <w:t>Gumbel, </w:t>
      </w:r>
      <w:r>
        <w:rPr>
          <w:i/>
          <w:spacing w:val="-2"/>
          <w:w w:val="110"/>
          <w:sz w:val="18"/>
        </w:rPr>
        <w:t>Why  </w:t>
      </w:r>
      <w:r>
        <w:rPr>
          <w:i/>
          <w:w w:val="110"/>
          <w:sz w:val="18"/>
        </w:rPr>
        <w:t>does God allow suffering, </w:t>
      </w:r>
      <w:r>
        <w:rPr>
          <w:w w:val="110"/>
          <w:sz w:val="18"/>
        </w:rPr>
        <w:t>Kingsway </w:t>
      </w:r>
      <w:r>
        <w:rPr>
          <w:spacing w:val="-3"/>
          <w:w w:val="110"/>
          <w:sz w:val="18"/>
        </w:rPr>
        <w:t>1999.  </w:t>
      </w:r>
      <w:r>
        <w:rPr>
          <w:w w:val="110"/>
          <w:sz w:val="18"/>
        </w:rPr>
        <w:t>ISBN 0854768629</w:t>
      </w:r>
      <w:r>
        <w:rPr>
          <w:spacing w:val="69"/>
          <w:w w:val="110"/>
          <w:sz w:val="18"/>
        </w:rPr>
        <w:t> </w:t>
      </w:r>
      <w:r>
        <w:rPr>
          <w:w w:val="110"/>
          <w:sz w:val="18"/>
        </w:rPr>
        <w:t>Ian Cowie, </w:t>
      </w:r>
      <w:r>
        <w:rPr>
          <w:i/>
          <w:w w:val="110"/>
          <w:sz w:val="18"/>
        </w:rPr>
        <w:t>Jesus healing works and ours, </w:t>
      </w:r>
      <w:r>
        <w:rPr>
          <w:w w:val="110"/>
          <w:sz w:val="18"/>
        </w:rPr>
        <w:t>Wild Goose Publications (Iona Community) 2000. ISBN</w:t>
      </w:r>
      <w:r>
        <w:rPr>
          <w:spacing w:val="2"/>
          <w:w w:val="110"/>
          <w:sz w:val="18"/>
        </w:rPr>
        <w:t> </w:t>
      </w:r>
      <w:r>
        <w:rPr>
          <w:spacing w:val="-4"/>
          <w:w w:val="110"/>
          <w:sz w:val="18"/>
        </w:rPr>
        <w:t>1901557278</w:t>
      </w:r>
    </w:p>
    <w:p>
      <w:pPr>
        <w:pStyle w:val="BodyText"/>
        <w:spacing w:line="273" w:lineRule="auto" w:before="2"/>
        <w:ind w:left="673" w:right="1593"/>
      </w:pPr>
      <w:r>
        <w:rPr>
          <w:w w:val="110"/>
        </w:rPr>
        <w:t>Ruth Burgess and Kathy Galloway (eds.), </w:t>
      </w:r>
      <w:r>
        <w:rPr>
          <w:i/>
          <w:w w:val="110"/>
        </w:rPr>
        <w:t>Praying for the Dawn, </w:t>
      </w:r>
      <w:r>
        <w:rPr>
          <w:w w:val="110"/>
        </w:rPr>
        <w:t>Wild Goose Publications (Iona Community) 2000. ISBN 190155726X</w:t>
      </w:r>
    </w:p>
    <w:p>
      <w:pPr>
        <w:spacing w:after="0" w:line="273" w:lineRule="auto"/>
        <w:sectPr>
          <w:headerReference w:type="even" r:id="rId287"/>
          <w:headerReference w:type="default" r:id="rId288"/>
          <w:footerReference w:type="even" r:id="rId289"/>
          <w:footerReference w:type="default" r:id="rId290"/>
          <w:pgSz w:w="11910" w:h="16840"/>
          <w:pgMar w:header="558" w:footer="564" w:top="820" w:bottom="760" w:left="460" w:right="0"/>
          <w:pgNumType w:start="30"/>
        </w:sectPr>
      </w:pPr>
    </w:p>
    <w:p>
      <w:pPr>
        <w:pStyle w:val="BodyText"/>
        <w:spacing w:before="4"/>
        <w:rPr>
          <w:sz w:val="16"/>
        </w:rPr>
      </w:pPr>
    </w:p>
    <w:p>
      <w:pPr>
        <w:pStyle w:val="Heading4"/>
      </w:pPr>
      <w:r>
        <w:rPr/>
        <w:pict>
          <v:shape style="position:absolute;margin-left:504.155273pt;margin-top:-10.928051pt;width:70pt;height:453.05pt;mso-position-horizontal-relative:page;mso-position-vertical-relative:paragraph;z-index:251945984" type="#_x0000_t202" filled="false" stroked="false">
            <v:textbox inset="0,0,0,0" style="layout-flow:vertical">
              <w:txbxContent>
                <w:p>
                  <w:pPr>
                    <w:spacing w:line="953" w:lineRule="exact" w:before="20"/>
                    <w:ind w:left="20" w:right="0" w:firstLine="0"/>
                    <w:jc w:val="left"/>
                    <w:rPr>
                      <w:b/>
                      <w:sz w:val="80"/>
                    </w:rPr>
                  </w:pPr>
                  <w:r>
                    <w:rPr>
                      <w:b/>
                      <w:sz w:val="80"/>
                    </w:rPr>
                    <w:t>Assisted Dying</w:t>
                  </w:r>
                </w:p>
                <w:p>
                  <w:pPr>
                    <w:spacing w:line="425" w:lineRule="exact" w:before="0"/>
                    <w:ind w:left="5263" w:right="0" w:firstLine="0"/>
                    <w:jc w:val="left"/>
                    <w:rPr>
                      <w:rFonts w:ascii="Eurostile Bold"/>
                      <w:b/>
                      <w:sz w:val="36"/>
                    </w:rPr>
                  </w:pPr>
                  <w:r>
                    <w:rPr>
                      <w:rFonts w:ascii="Eurostile Bold"/>
                      <w:b/>
                      <w:color w:val="ACACAC"/>
                      <w:w w:val="85"/>
                      <w:sz w:val="36"/>
                    </w:rPr>
                    <w:t>General Assembly 2007</w:t>
                  </w:r>
                </w:p>
              </w:txbxContent>
            </v:textbox>
            <w10:wrap type="none"/>
          </v:shape>
        </w:pict>
      </w:r>
      <w:r>
        <w:rPr>
          <w:w w:val="110"/>
        </w:rPr>
        <w:t>Study Guide</w:t>
      </w:r>
    </w:p>
    <w:p>
      <w:pPr>
        <w:pStyle w:val="BodyText"/>
        <w:spacing w:line="273" w:lineRule="auto" w:before="464"/>
        <w:ind w:left="1240" w:right="1957"/>
      </w:pPr>
      <w:r>
        <w:rPr>
          <w:w w:val="110"/>
        </w:rPr>
        <w:t>This Study Guide has been produced for use with the </w:t>
      </w:r>
      <w:r>
        <w:rPr>
          <w:spacing w:val="3"/>
          <w:w w:val="110"/>
        </w:rPr>
        <w:t>report </w:t>
      </w:r>
      <w:r>
        <w:rPr>
          <w:w w:val="110"/>
        </w:rPr>
        <w:t>on </w:t>
      </w:r>
      <w:r>
        <w:rPr>
          <w:spacing w:val="2"/>
          <w:w w:val="110"/>
        </w:rPr>
        <w:t>Assisted </w:t>
      </w:r>
      <w:r>
        <w:rPr>
          <w:w w:val="110"/>
        </w:rPr>
        <w:t>Dying.  The subject is complex and there are no easy answers to the problems associated with end of life issues, </w:t>
      </w:r>
      <w:r>
        <w:rPr>
          <w:spacing w:val="2"/>
          <w:w w:val="110"/>
        </w:rPr>
        <w:t>suffering </w:t>
      </w:r>
      <w:r>
        <w:rPr>
          <w:w w:val="110"/>
        </w:rPr>
        <w:t>and death. The Guide is designed for small group discussion,</w:t>
      </w:r>
      <w:r>
        <w:rPr>
          <w:spacing w:val="6"/>
          <w:w w:val="110"/>
        </w:rPr>
        <w:t> </w:t>
      </w:r>
      <w:r>
        <w:rPr>
          <w:w w:val="110"/>
        </w:rPr>
        <w:t>and</w:t>
      </w:r>
      <w:r>
        <w:rPr>
          <w:spacing w:val="6"/>
          <w:w w:val="110"/>
        </w:rPr>
        <w:t> </w:t>
      </w:r>
      <w:r>
        <w:rPr>
          <w:w w:val="110"/>
        </w:rPr>
        <w:t>is</w:t>
      </w:r>
      <w:r>
        <w:rPr>
          <w:spacing w:val="6"/>
          <w:w w:val="110"/>
        </w:rPr>
        <w:t> </w:t>
      </w:r>
      <w:r>
        <w:rPr>
          <w:w w:val="110"/>
        </w:rPr>
        <w:t>in</w:t>
      </w:r>
      <w:r>
        <w:rPr>
          <w:spacing w:val="6"/>
          <w:w w:val="110"/>
        </w:rPr>
        <w:t> </w:t>
      </w:r>
      <w:r>
        <w:rPr>
          <w:w w:val="110"/>
        </w:rPr>
        <w:t>seven</w:t>
      </w:r>
      <w:r>
        <w:rPr>
          <w:spacing w:val="7"/>
          <w:w w:val="110"/>
        </w:rPr>
        <w:t> </w:t>
      </w:r>
      <w:r>
        <w:rPr>
          <w:spacing w:val="3"/>
          <w:w w:val="110"/>
        </w:rPr>
        <w:t>parts</w:t>
      </w:r>
      <w:r>
        <w:rPr>
          <w:spacing w:val="6"/>
          <w:w w:val="110"/>
        </w:rPr>
        <w:t> </w:t>
      </w:r>
      <w:r>
        <w:rPr>
          <w:w w:val="110"/>
        </w:rPr>
        <w:t>which</w:t>
      </w:r>
      <w:r>
        <w:rPr>
          <w:spacing w:val="6"/>
          <w:w w:val="110"/>
        </w:rPr>
        <w:t> </w:t>
      </w:r>
      <w:r>
        <w:rPr>
          <w:w w:val="110"/>
        </w:rPr>
        <w:t>can</w:t>
      </w:r>
      <w:r>
        <w:rPr>
          <w:spacing w:val="6"/>
          <w:w w:val="110"/>
        </w:rPr>
        <w:t> </w:t>
      </w:r>
      <w:r>
        <w:rPr>
          <w:w w:val="110"/>
        </w:rPr>
        <w:t>be</w:t>
      </w:r>
      <w:r>
        <w:rPr>
          <w:spacing w:val="7"/>
          <w:w w:val="110"/>
        </w:rPr>
        <w:t> </w:t>
      </w:r>
      <w:r>
        <w:rPr>
          <w:w w:val="110"/>
        </w:rPr>
        <w:t>used</w:t>
      </w:r>
      <w:r>
        <w:rPr>
          <w:spacing w:val="6"/>
          <w:w w:val="110"/>
        </w:rPr>
        <w:t> </w:t>
      </w:r>
      <w:r>
        <w:rPr>
          <w:w w:val="110"/>
        </w:rPr>
        <w:t>over</w:t>
      </w:r>
      <w:r>
        <w:rPr>
          <w:spacing w:val="6"/>
          <w:w w:val="110"/>
        </w:rPr>
        <w:t> </w:t>
      </w:r>
      <w:r>
        <w:rPr>
          <w:w w:val="110"/>
        </w:rPr>
        <w:t>a</w:t>
      </w:r>
      <w:r>
        <w:rPr>
          <w:spacing w:val="6"/>
          <w:w w:val="110"/>
        </w:rPr>
        <w:t> </w:t>
      </w:r>
      <w:r>
        <w:rPr>
          <w:w w:val="110"/>
        </w:rPr>
        <w:t>series</w:t>
      </w:r>
      <w:r>
        <w:rPr>
          <w:spacing w:val="7"/>
          <w:w w:val="110"/>
        </w:rPr>
        <w:t> </w:t>
      </w:r>
      <w:r>
        <w:rPr>
          <w:w w:val="110"/>
        </w:rPr>
        <w:t>of</w:t>
      </w:r>
      <w:r>
        <w:rPr>
          <w:spacing w:val="6"/>
          <w:w w:val="110"/>
        </w:rPr>
        <w:t> </w:t>
      </w:r>
      <w:r>
        <w:rPr>
          <w:w w:val="110"/>
        </w:rPr>
        <w:t>sessions.</w:t>
      </w:r>
    </w:p>
    <w:p>
      <w:pPr>
        <w:pStyle w:val="BodyText"/>
        <w:spacing w:line="273" w:lineRule="auto" w:before="2"/>
        <w:ind w:left="1240" w:right="1593"/>
      </w:pPr>
      <w:r>
        <w:rPr>
          <w:w w:val="110"/>
        </w:rPr>
        <w:t>Each section looks at particular issues to do with assisted dying, and includes reflections, biblical references and questions for group conversations, and relates directly to a section in the report on Assisted Dying.</w:t>
      </w:r>
    </w:p>
    <w:p>
      <w:pPr>
        <w:pStyle w:val="BodyText"/>
        <w:spacing w:before="10"/>
        <w:rPr>
          <w:sz w:val="26"/>
        </w:rPr>
      </w:pPr>
      <w:r>
        <w:rPr/>
        <w:pict>
          <v:shape style="position:absolute;margin-left:85.539001pt;margin-top:17.513296pt;width:403.95pt;height:155.9pt;mso-position-horizontal-relative:page;mso-position-vertical-relative:paragraph;z-index:-251373568;mso-wrap-distance-left:0;mso-wrap-distance-right:0" type="#_x0000_t202" filled="true" fillcolor="#7c7c7c" stroked="false">
            <v:textbox inset="0,0,0,0">
              <w:txbxContent>
                <w:p>
                  <w:pPr>
                    <w:spacing w:before="201"/>
                    <w:ind w:left="216" w:right="0" w:firstLine="0"/>
                    <w:jc w:val="left"/>
                    <w:rPr>
                      <w:b/>
                      <w:sz w:val="29"/>
                    </w:rPr>
                  </w:pPr>
                  <w:r>
                    <w:rPr>
                      <w:b/>
                      <w:color w:val="FFFFFF"/>
                      <w:w w:val="110"/>
                      <w:sz w:val="29"/>
                    </w:rPr>
                    <w:t>Contents</w:t>
                  </w:r>
                </w:p>
                <w:p>
                  <w:pPr>
                    <w:numPr>
                      <w:ilvl w:val="0"/>
                      <w:numId w:val="112"/>
                    </w:numPr>
                    <w:tabs>
                      <w:tab w:pos="709" w:val="left" w:leader="none"/>
                      <w:tab w:pos="710" w:val="left" w:leader="none"/>
                    </w:tabs>
                    <w:spacing w:before="218"/>
                    <w:ind w:left="709" w:right="0" w:hanging="494"/>
                    <w:jc w:val="left"/>
                    <w:rPr>
                      <w:b/>
                      <w:sz w:val="18"/>
                    </w:rPr>
                  </w:pPr>
                  <w:r>
                    <w:rPr>
                      <w:b/>
                      <w:color w:val="FFFFFF"/>
                      <w:w w:val="110"/>
                      <w:sz w:val="18"/>
                    </w:rPr>
                    <w:t>Introduction</w:t>
                  </w:r>
                </w:p>
                <w:p>
                  <w:pPr>
                    <w:numPr>
                      <w:ilvl w:val="0"/>
                      <w:numId w:val="112"/>
                    </w:numPr>
                    <w:tabs>
                      <w:tab w:pos="709" w:val="left" w:leader="none"/>
                      <w:tab w:pos="710" w:val="left" w:leader="none"/>
                    </w:tabs>
                    <w:spacing w:before="98"/>
                    <w:ind w:left="709" w:right="0" w:hanging="494"/>
                    <w:jc w:val="left"/>
                    <w:rPr>
                      <w:b/>
                      <w:sz w:val="18"/>
                    </w:rPr>
                  </w:pPr>
                  <w:r>
                    <w:rPr>
                      <w:b/>
                      <w:color w:val="FFFFFF"/>
                      <w:w w:val="110"/>
                      <w:sz w:val="18"/>
                    </w:rPr>
                    <w:t>A Reformed view</w:t>
                  </w:r>
                </w:p>
                <w:p>
                  <w:pPr>
                    <w:numPr>
                      <w:ilvl w:val="0"/>
                      <w:numId w:val="112"/>
                    </w:numPr>
                    <w:tabs>
                      <w:tab w:pos="709" w:val="left" w:leader="none"/>
                      <w:tab w:pos="710" w:val="left" w:leader="none"/>
                    </w:tabs>
                    <w:spacing w:before="98"/>
                    <w:ind w:left="709" w:right="0" w:hanging="494"/>
                    <w:jc w:val="left"/>
                    <w:rPr>
                      <w:b/>
                      <w:sz w:val="18"/>
                    </w:rPr>
                  </w:pPr>
                  <w:r>
                    <w:rPr>
                      <w:b/>
                      <w:color w:val="FFFFFF"/>
                      <w:spacing w:val="2"/>
                      <w:w w:val="110"/>
                      <w:sz w:val="18"/>
                    </w:rPr>
                    <w:t>Suffering, </w:t>
                  </w:r>
                  <w:r>
                    <w:rPr>
                      <w:b/>
                      <w:color w:val="FFFFFF"/>
                      <w:w w:val="110"/>
                      <w:sz w:val="18"/>
                    </w:rPr>
                    <w:t>dying and fears </w:t>
                  </w:r>
                  <w:r>
                    <w:rPr>
                      <w:b/>
                      <w:color w:val="FFFFFF"/>
                      <w:spacing w:val="2"/>
                      <w:w w:val="110"/>
                      <w:sz w:val="18"/>
                    </w:rPr>
                    <w:t>associated </w:t>
                  </w:r>
                  <w:r>
                    <w:rPr>
                      <w:b/>
                      <w:color w:val="FFFFFF"/>
                      <w:w w:val="110"/>
                      <w:sz w:val="18"/>
                    </w:rPr>
                    <w:t>with end of life</w:t>
                  </w:r>
                  <w:r>
                    <w:rPr>
                      <w:b/>
                      <w:color w:val="FFFFFF"/>
                      <w:spacing w:val="44"/>
                      <w:w w:val="110"/>
                      <w:sz w:val="18"/>
                    </w:rPr>
                    <w:t> </w:t>
                  </w:r>
                  <w:r>
                    <w:rPr>
                      <w:b/>
                      <w:color w:val="FFFFFF"/>
                      <w:spacing w:val="2"/>
                      <w:w w:val="110"/>
                      <w:sz w:val="18"/>
                    </w:rPr>
                    <w:t>issues</w:t>
                  </w:r>
                </w:p>
                <w:p>
                  <w:pPr>
                    <w:numPr>
                      <w:ilvl w:val="0"/>
                      <w:numId w:val="112"/>
                    </w:numPr>
                    <w:tabs>
                      <w:tab w:pos="709" w:val="left" w:leader="none"/>
                      <w:tab w:pos="710" w:val="left" w:leader="none"/>
                    </w:tabs>
                    <w:spacing w:before="98"/>
                    <w:ind w:left="709" w:right="0" w:hanging="494"/>
                    <w:jc w:val="left"/>
                    <w:rPr>
                      <w:b/>
                      <w:sz w:val="18"/>
                    </w:rPr>
                  </w:pPr>
                  <w:r>
                    <w:rPr>
                      <w:b/>
                      <w:color w:val="FFFFFF"/>
                      <w:w w:val="110"/>
                      <w:sz w:val="18"/>
                    </w:rPr>
                    <w:t>Practical considerations</w:t>
                  </w:r>
                </w:p>
                <w:p>
                  <w:pPr>
                    <w:numPr>
                      <w:ilvl w:val="0"/>
                      <w:numId w:val="112"/>
                    </w:numPr>
                    <w:tabs>
                      <w:tab w:pos="709" w:val="left" w:leader="none"/>
                      <w:tab w:pos="710" w:val="left" w:leader="none"/>
                    </w:tabs>
                    <w:spacing w:before="98"/>
                    <w:ind w:left="709" w:right="0" w:hanging="494"/>
                    <w:jc w:val="left"/>
                    <w:rPr>
                      <w:b/>
                      <w:sz w:val="18"/>
                    </w:rPr>
                  </w:pPr>
                  <w:r>
                    <w:rPr>
                      <w:b/>
                      <w:color w:val="FFFFFF"/>
                      <w:w w:val="110"/>
                      <w:sz w:val="18"/>
                    </w:rPr>
                    <w:t>The elderly</w:t>
                  </w:r>
                </w:p>
                <w:p>
                  <w:pPr>
                    <w:numPr>
                      <w:ilvl w:val="0"/>
                      <w:numId w:val="112"/>
                    </w:numPr>
                    <w:tabs>
                      <w:tab w:pos="709" w:val="left" w:leader="none"/>
                      <w:tab w:pos="710" w:val="left" w:leader="none"/>
                    </w:tabs>
                    <w:spacing w:before="98"/>
                    <w:ind w:left="709" w:right="0" w:hanging="494"/>
                    <w:jc w:val="left"/>
                    <w:rPr>
                      <w:b/>
                      <w:sz w:val="18"/>
                    </w:rPr>
                  </w:pPr>
                  <w:r>
                    <w:rPr>
                      <w:b/>
                      <w:color w:val="FFFFFF"/>
                      <w:w w:val="110"/>
                      <w:sz w:val="18"/>
                    </w:rPr>
                    <w:t>Living wills – advance</w:t>
                  </w:r>
                  <w:r>
                    <w:rPr>
                      <w:b/>
                      <w:color w:val="FFFFFF"/>
                      <w:spacing w:val="2"/>
                      <w:w w:val="110"/>
                      <w:sz w:val="18"/>
                    </w:rPr>
                    <w:t> directives</w:t>
                  </w:r>
                </w:p>
                <w:p>
                  <w:pPr>
                    <w:numPr>
                      <w:ilvl w:val="0"/>
                      <w:numId w:val="112"/>
                    </w:numPr>
                    <w:tabs>
                      <w:tab w:pos="709" w:val="left" w:leader="none"/>
                      <w:tab w:pos="710" w:val="left" w:leader="none"/>
                    </w:tabs>
                    <w:spacing w:before="98"/>
                    <w:ind w:left="709" w:right="0" w:hanging="494"/>
                    <w:jc w:val="left"/>
                    <w:rPr>
                      <w:b/>
                      <w:sz w:val="18"/>
                    </w:rPr>
                  </w:pPr>
                  <w:r>
                    <w:rPr>
                      <w:b/>
                      <w:color w:val="FFFFFF"/>
                      <w:w w:val="110"/>
                      <w:sz w:val="18"/>
                    </w:rPr>
                    <w:t>Where do we go from</w:t>
                  </w:r>
                  <w:r>
                    <w:rPr>
                      <w:b/>
                      <w:color w:val="FFFFFF"/>
                      <w:spacing w:val="2"/>
                      <w:w w:val="110"/>
                      <w:sz w:val="18"/>
                    </w:rPr>
                    <w:t> </w:t>
                  </w:r>
                  <w:r>
                    <w:rPr>
                      <w:b/>
                      <w:color w:val="FFFFFF"/>
                      <w:w w:val="110"/>
                      <w:sz w:val="18"/>
                    </w:rPr>
                    <w:t>here?</w:t>
                  </w:r>
                </w:p>
              </w:txbxContent>
            </v:textbox>
            <v:fill type="solid"/>
            <w10:wrap type="topAndBottom"/>
          </v:shape>
        </w:pict>
      </w:r>
    </w:p>
    <w:p>
      <w:pPr>
        <w:pStyle w:val="BodyText"/>
        <w:spacing w:before="9"/>
      </w:pPr>
    </w:p>
    <w:p>
      <w:pPr>
        <w:pStyle w:val="Heading9"/>
        <w:spacing w:before="98"/>
      </w:pPr>
      <w:r>
        <w:rPr>
          <w:w w:val="110"/>
        </w:rPr>
        <w:t>Suggestions for use</w:t>
      </w:r>
    </w:p>
    <w:p>
      <w:pPr>
        <w:pStyle w:val="BodyText"/>
        <w:spacing w:line="273" w:lineRule="auto" w:before="121"/>
        <w:ind w:left="1240" w:right="2124"/>
      </w:pPr>
      <w:r>
        <w:rPr>
          <w:w w:val="110"/>
        </w:rPr>
        <w:t>Each module can be used as a basis for discussion for one session or more, depending upon interest and circumstances. It is suggested that each session commences with prayer and a Bible reading. </w:t>
      </w:r>
      <w:r>
        <w:rPr>
          <w:spacing w:val="2"/>
          <w:w w:val="110"/>
        </w:rPr>
        <w:t>There </w:t>
      </w:r>
      <w:r>
        <w:rPr>
          <w:w w:val="110"/>
        </w:rPr>
        <w:t>is a prayer at the beginning  of each </w:t>
      </w:r>
      <w:r>
        <w:rPr>
          <w:spacing w:val="2"/>
          <w:w w:val="110"/>
        </w:rPr>
        <w:t>section </w:t>
      </w:r>
      <w:r>
        <w:rPr>
          <w:w w:val="110"/>
        </w:rPr>
        <w:t>which you may find helpful. Some of the issues are </w:t>
      </w:r>
      <w:r>
        <w:rPr>
          <w:spacing w:val="2"/>
          <w:w w:val="110"/>
        </w:rPr>
        <w:t>very </w:t>
      </w:r>
      <w:r>
        <w:rPr>
          <w:w w:val="110"/>
        </w:rPr>
        <w:t>delicate and may become personal and distressing. Be sensitive to one another and respect differing </w:t>
      </w:r>
      <w:r>
        <w:rPr>
          <w:spacing w:val="-2"/>
          <w:w w:val="110"/>
        </w:rPr>
        <w:t>views, </w:t>
      </w:r>
      <w:r>
        <w:rPr>
          <w:w w:val="110"/>
        </w:rPr>
        <w:t>experiences and feelings. Pastoral follow-up may be needed </w:t>
      </w:r>
      <w:r>
        <w:rPr>
          <w:spacing w:val="2"/>
          <w:w w:val="110"/>
        </w:rPr>
        <w:t>after </w:t>
      </w:r>
      <w:r>
        <w:rPr>
          <w:w w:val="110"/>
        </w:rPr>
        <w:t>discussing some of the</w:t>
      </w:r>
      <w:r>
        <w:rPr>
          <w:spacing w:val="10"/>
          <w:w w:val="110"/>
        </w:rPr>
        <w:t> </w:t>
      </w:r>
      <w:r>
        <w:rPr>
          <w:w w:val="110"/>
        </w:rPr>
        <w:t>issues.</w:t>
      </w:r>
    </w:p>
    <w:p>
      <w:pPr>
        <w:pStyle w:val="BodyText"/>
        <w:spacing w:before="12"/>
        <w:rPr>
          <w:sz w:val="20"/>
        </w:rPr>
      </w:pPr>
    </w:p>
    <w:p>
      <w:pPr>
        <w:pStyle w:val="BodyText"/>
        <w:ind w:left="1240"/>
      </w:pPr>
      <w:r>
        <w:rPr>
          <w:w w:val="110"/>
        </w:rPr>
        <w:t>Make a note of your thoughts, ideas and concerns as you go along, the issues</w:t>
      </w:r>
    </w:p>
    <w:p>
      <w:pPr>
        <w:pStyle w:val="BodyText"/>
        <w:spacing w:line="273" w:lineRule="auto" w:before="31"/>
        <w:ind w:left="1240" w:right="1829"/>
      </w:pPr>
      <w:r>
        <w:rPr>
          <w:w w:val="110"/>
        </w:rPr>
        <w:t>to pray about, and what, if any, changes you would like to see within the church, community, society, family, amongst friends and from yourself. May it be an enriching experience.</w:t>
      </w:r>
    </w:p>
    <w:p>
      <w:pPr>
        <w:pStyle w:val="BodyText"/>
        <w:rPr>
          <w:sz w:val="20"/>
        </w:rPr>
      </w:pPr>
    </w:p>
    <w:p>
      <w:pPr>
        <w:pStyle w:val="BodyText"/>
        <w:spacing w:before="12"/>
        <w:rPr>
          <w:sz w:val="13"/>
        </w:rPr>
      </w:pPr>
      <w:r>
        <w:rPr/>
        <w:pict>
          <v:group style="position:absolute;margin-left:57.068001pt;margin-top:10.454002pt;width:441.15pt;height:46.4pt;mso-position-horizontal-relative:page;mso-position-vertical-relative:paragraph;z-index:-251371520;mso-wrap-distance-left:0;mso-wrap-distance-right:0" coordorigin="1141,209" coordsize="8823,928">
            <v:rect style="position:absolute;left:1561;top:209;width:8403;height:893" filled="true" fillcolor="#000000" stroked="false">
              <v:fill opacity="49152f" type="solid"/>
            </v:rect>
            <v:shape style="position:absolute;left:1640;top:401;width:8127;height:617" coordorigin="1641,402" coordsize="8127,617" path="m9553,402l1641,402,1641,1019,9553,1019,9677,1014,9741,980,9764,888,9768,710,9764,532,9741,440,9677,406,9553,402xe" filled="true" fillcolor="#ffffff" stroked="false">
              <v:path arrowok="t"/>
              <v:fill type="solid"/>
            </v:shape>
            <v:shape style="position:absolute;left:1640;top:401;width:8127;height:617" coordorigin="1641,402" coordsize="8127,617" path="m9768,710l9764,532,9741,440,9677,406,9553,402,1641,402,1641,1019,9553,1019,9677,1014,9741,980,9764,888,9768,710xe" filled="false" stroked="true" strokeweight=".25pt" strokecolor="#000000">
              <v:path arrowok="t"/>
              <v:stroke dashstyle="solid"/>
            </v:shape>
            <v:rect style="position:absolute;left:1151;top:453;width:1123;height:673" filled="true" fillcolor="#ffffff" stroked="false">
              <v:fill type="solid"/>
            </v:rect>
            <v:rect style="position:absolute;left:1151;top:453;width:1123;height:673" filled="false" stroked="true" strokeweight="1pt" strokecolor="#ffffff">
              <v:stroke dashstyle="solid"/>
            </v:rect>
            <v:shape style="position:absolute;left:1141;top:209;width:8823;height:928" type="#_x0000_t202" filled="false" stroked="false">
              <v:textbox inset="0,0,0,0">
                <w:txbxContent>
                  <w:p>
                    <w:pPr>
                      <w:tabs>
                        <w:tab w:pos="1279" w:val="left" w:leader="none"/>
                      </w:tabs>
                      <w:spacing w:before="299"/>
                      <w:ind w:left="559" w:right="0" w:firstLine="0"/>
                      <w:jc w:val="left"/>
                      <w:rPr>
                        <w:b/>
                        <w:sz w:val="29"/>
                      </w:rPr>
                    </w:pPr>
                    <w:r>
                      <w:rPr>
                        <w:b/>
                        <w:w w:val="110"/>
                        <w:sz w:val="29"/>
                      </w:rPr>
                      <w:t>1.</w:t>
                      <w:tab/>
                    </w:r>
                    <w:r>
                      <w:rPr>
                        <w:b/>
                        <w:spacing w:val="-3"/>
                        <w:w w:val="110"/>
                        <w:sz w:val="29"/>
                      </w:rPr>
                      <w:t>INTRODUCTION</w:t>
                    </w:r>
                  </w:p>
                </w:txbxContent>
              </v:textbox>
              <w10:wrap type="none"/>
            </v:shape>
            <w10:wrap type="topAndBottom"/>
          </v:group>
        </w:pict>
      </w:r>
    </w:p>
    <w:p>
      <w:pPr>
        <w:pStyle w:val="BodyText"/>
        <w:spacing w:before="7"/>
        <w:rPr>
          <w:sz w:val="8"/>
        </w:rPr>
      </w:pPr>
    </w:p>
    <w:p>
      <w:pPr>
        <w:pStyle w:val="Heading9"/>
        <w:spacing w:before="99"/>
      </w:pPr>
      <w:r>
        <w:rPr>
          <w:w w:val="110"/>
        </w:rPr>
        <w:t>Prayer</w:t>
      </w:r>
    </w:p>
    <w:p>
      <w:pPr>
        <w:pStyle w:val="BodyText"/>
        <w:spacing w:line="273" w:lineRule="auto" w:before="121"/>
        <w:ind w:left="1240" w:right="2018"/>
      </w:pPr>
      <w:r>
        <w:rPr>
          <w:w w:val="110"/>
        </w:rPr>
        <w:t>Gracious God, thank you for giving us this opportunity to spend time together   to discuss the complex issues about life and death and the mystery of suffering. Give us grace to listen to one another with open minds and be understanding when others have differing views </w:t>
      </w:r>
      <w:r>
        <w:rPr>
          <w:spacing w:val="2"/>
          <w:w w:val="110"/>
        </w:rPr>
        <w:t>from</w:t>
      </w:r>
      <w:r>
        <w:rPr>
          <w:spacing w:val="13"/>
          <w:w w:val="110"/>
        </w:rPr>
        <w:t> </w:t>
      </w:r>
      <w:r>
        <w:rPr>
          <w:w w:val="110"/>
        </w:rPr>
        <w:t>ourselves.</w:t>
      </w:r>
    </w:p>
    <w:p>
      <w:pPr>
        <w:pStyle w:val="BodyText"/>
        <w:spacing w:line="273" w:lineRule="auto" w:before="3"/>
        <w:ind w:left="1240" w:right="1829"/>
      </w:pPr>
      <w:r>
        <w:rPr>
          <w:w w:val="110"/>
        </w:rPr>
        <w:t>May we discern your words of wisdom, your truths as your Holy Spirit moves amongst us. May we be aware of your loving presence as we seek your guidance through the scriptures, prayers, and listening to one another.</w:t>
      </w:r>
    </w:p>
    <w:p>
      <w:pPr>
        <w:pStyle w:val="BodyText"/>
        <w:spacing w:before="2"/>
        <w:ind w:left="1240"/>
      </w:pPr>
      <w:r>
        <w:rPr>
          <w:w w:val="110"/>
        </w:rPr>
        <w:t>In Jesus’ name, Amen.</w:t>
      </w:r>
    </w:p>
    <w:p>
      <w:pPr>
        <w:spacing w:after="0"/>
        <w:sectPr>
          <w:pgSz w:w="11910" w:h="16840"/>
          <w:pgMar w:header="557" w:footer="564" w:top="740" w:bottom="760" w:left="460" w:right="0"/>
        </w:sectPr>
      </w:pPr>
    </w:p>
    <w:p>
      <w:pPr>
        <w:pStyle w:val="BodyText"/>
        <w:spacing w:before="9"/>
        <w:rPr>
          <w:sz w:val="13"/>
        </w:rPr>
      </w:pPr>
    </w:p>
    <w:p>
      <w:pPr>
        <w:pStyle w:val="BodyText"/>
        <w:spacing w:before="101"/>
        <w:ind w:left="673"/>
      </w:pPr>
      <w:r>
        <w:rPr>
          <w:w w:val="110"/>
        </w:rPr>
        <w:t>Where O death is your victory? Where O death is your sting? 1 Corinthians 15:55</w:t>
      </w:r>
    </w:p>
    <w:p>
      <w:pPr>
        <w:pStyle w:val="BodyText"/>
        <w:spacing w:before="1"/>
        <w:rPr>
          <w:sz w:val="23"/>
        </w:rPr>
      </w:pPr>
    </w:p>
    <w:p>
      <w:pPr>
        <w:pStyle w:val="BodyText"/>
        <w:ind w:left="673"/>
      </w:pPr>
      <w:r>
        <w:rPr>
          <w:w w:val="110"/>
        </w:rPr>
        <w:t>See Sections 1-3 of the report and case studies.</w:t>
      </w:r>
    </w:p>
    <w:p>
      <w:pPr>
        <w:pStyle w:val="BodyText"/>
        <w:spacing w:line="273" w:lineRule="auto" w:before="32"/>
        <w:ind w:left="673" w:right="2906"/>
      </w:pPr>
      <w:r>
        <w:rPr>
          <w:w w:val="110"/>
        </w:rPr>
        <w:t>If someone you loved was suffering unbearably, had lost their quality of life, and dignity, and wanted to die…what would you want for them?</w:t>
      </w:r>
    </w:p>
    <w:p>
      <w:pPr>
        <w:pStyle w:val="BodyText"/>
        <w:spacing w:before="1"/>
        <w:ind w:left="673"/>
      </w:pPr>
      <w:r>
        <w:rPr>
          <w:w w:val="110"/>
        </w:rPr>
        <w:t>Would you be assured that they would be called home in God’s good time?</w:t>
      </w:r>
    </w:p>
    <w:p>
      <w:pPr>
        <w:pStyle w:val="BodyText"/>
        <w:spacing w:line="273" w:lineRule="auto" w:before="31"/>
        <w:ind w:left="673" w:right="2348"/>
      </w:pPr>
      <w:r>
        <w:rPr>
          <w:w w:val="110"/>
        </w:rPr>
        <w:t>Or would you want to help them towards a gentle release? The answer isn’t easy. For Christians, ethical and moral dilemmas rarely are.</w:t>
      </w:r>
    </w:p>
    <w:p>
      <w:pPr>
        <w:pStyle w:val="BodyText"/>
        <w:spacing w:line="273" w:lineRule="auto" w:before="1"/>
        <w:ind w:left="673" w:right="3181"/>
      </w:pPr>
      <w:r>
        <w:rPr>
          <w:w w:val="110"/>
        </w:rPr>
        <w:t>Some seek clear theological guidance; others are influenced by traumatic personal experience.</w:t>
      </w:r>
    </w:p>
    <w:p>
      <w:pPr>
        <w:pStyle w:val="BodyText"/>
        <w:spacing w:line="273" w:lineRule="auto" w:before="2"/>
        <w:ind w:left="673" w:right="2061"/>
      </w:pPr>
      <w:r>
        <w:rPr>
          <w:w w:val="110"/>
        </w:rPr>
        <w:t>Assisted Dying – the notion that people of sound mind, who are terminally ill and suffering unbearably might receive medical help to end their lives – has become an issue of hot debate. Although an attempt to legalise this was defeated in the House of Lords in 2006, it is sure to re-emerge </w:t>
      </w:r>
      <w:r>
        <w:rPr>
          <w:w w:val="110"/>
          <w:sz w:val="16"/>
        </w:rPr>
        <w:t>(2.1)</w:t>
      </w:r>
      <w:r>
        <w:rPr>
          <w:w w:val="110"/>
        </w:rPr>
        <w:t>.</w:t>
      </w:r>
    </w:p>
    <w:p>
      <w:pPr>
        <w:pStyle w:val="BodyText"/>
        <w:spacing w:before="9"/>
        <w:rPr>
          <w:sz w:val="20"/>
        </w:rPr>
      </w:pPr>
    </w:p>
    <w:p>
      <w:pPr>
        <w:pStyle w:val="BodyText"/>
        <w:spacing w:line="273" w:lineRule="auto"/>
        <w:ind w:left="673" w:right="1934"/>
      </w:pPr>
      <w:r>
        <w:rPr>
          <w:spacing w:val="3"/>
          <w:w w:val="110"/>
        </w:rPr>
        <w:t>As </w:t>
      </w:r>
      <w:r>
        <w:rPr>
          <w:w w:val="110"/>
        </w:rPr>
        <w:t>Christians, we see death as an ultimate healing. Many feel there is a time to die, and that it might not be right to use medical advances to keep people alive artificially, when all quality of life is gone. But there are real concerns about positive action being taken   to end life. During the House of </w:t>
      </w:r>
      <w:r>
        <w:rPr>
          <w:spacing w:val="2"/>
          <w:w w:val="110"/>
        </w:rPr>
        <w:t>Lords </w:t>
      </w:r>
      <w:r>
        <w:rPr>
          <w:w w:val="110"/>
        </w:rPr>
        <w:t>debate, the Archbishop of </w:t>
      </w:r>
      <w:r>
        <w:rPr>
          <w:spacing w:val="2"/>
          <w:w w:val="110"/>
        </w:rPr>
        <w:t>Canterbury</w:t>
      </w:r>
      <w:r>
        <w:rPr>
          <w:spacing w:val="72"/>
          <w:w w:val="110"/>
        </w:rPr>
        <w:t> </w:t>
      </w:r>
      <w:r>
        <w:rPr>
          <w:w w:val="110"/>
        </w:rPr>
        <w:t>said:</w:t>
      </w:r>
    </w:p>
    <w:p>
      <w:pPr>
        <w:pStyle w:val="BodyText"/>
        <w:spacing w:before="9"/>
        <w:rPr>
          <w:sz w:val="20"/>
        </w:rPr>
      </w:pPr>
    </w:p>
    <w:p>
      <w:pPr>
        <w:spacing w:line="273" w:lineRule="auto" w:before="0"/>
        <w:ind w:left="1354" w:right="1829" w:firstLine="0"/>
        <w:jc w:val="left"/>
        <w:rPr>
          <w:sz w:val="18"/>
        </w:rPr>
      </w:pPr>
      <w:r>
        <w:rPr>
          <w:w w:val="110"/>
          <w:sz w:val="18"/>
        </w:rPr>
        <w:t>“</w:t>
      </w:r>
      <w:r>
        <w:rPr>
          <w:i/>
          <w:w w:val="110"/>
          <w:sz w:val="18"/>
        </w:rPr>
        <w:t>Whether or not you believe that God enters into consideration, it remains true </w:t>
      </w:r>
      <w:r>
        <w:rPr>
          <w:i/>
          <w:w w:val="110"/>
          <w:sz w:val="18"/>
        </w:rPr>
        <w:t>that to specify …conditions under which it would be both reasonable and legal to end your life, is to say that certain kinds of human life are not worth living </w:t>
      </w:r>
      <w:r>
        <w:rPr>
          <w:w w:val="110"/>
          <w:sz w:val="16"/>
        </w:rPr>
        <w:t>(2.2)</w:t>
      </w:r>
      <w:r>
        <w:rPr>
          <w:w w:val="110"/>
          <w:sz w:val="18"/>
        </w:rPr>
        <w:t>.”</w:t>
      </w:r>
    </w:p>
    <w:p>
      <w:pPr>
        <w:pStyle w:val="BodyText"/>
        <w:spacing w:before="9"/>
        <w:rPr>
          <w:sz w:val="20"/>
        </w:rPr>
      </w:pPr>
    </w:p>
    <w:p>
      <w:pPr>
        <w:pStyle w:val="BodyText"/>
        <w:spacing w:line="273" w:lineRule="auto"/>
        <w:ind w:left="673" w:right="1957"/>
      </w:pPr>
      <w:r>
        <w:rPr>
          <w:w w:val="110"/>
        </w:rPr>
        <w:t>Dignity in Dying (formerly the Voluntary Euthanasia Society) takes the view that health </w:t>
      </w:r>
      <w:r>
        <w:rPr>
          <w:spacing w:val="2"/>
          <w:w w:val="110"/>
        </w:rPr>
        <w:t>care </w:t>
      </w:r>
      <w:r>
        <w:rPr>
          <w:w w:val="110"/>
        </w:rPr>
        <w:t>professionals frequently break the </w:t>
      </w:r>
      <w:r>
        <w:rPr>
          <w:spacing w:val="-4"/>
          <w:w w:val="110"/>
        </w:rPr>
        <w:t>law, </w:t>
      </w:r>
      <w:r>
        <w:rPr>
          <w:w w:val="110"/>
        </w:rPr>
        <w:t>out of compassion and </w:t>
      </w:r>
      <w:r>
        <w:rPr>
          <w:spacing w:val="3"/>
          <w:w w:val="110"/>
        </w:rPr>
        <w:t>respect </w:t>
      </w:r>
      <w:r>
        <w:rPr>
          <w:w w:val="110"/>
        </w:rPr>
        <w:t>for the wishes of terminally ill patients, and the choice</w:t>
      </w:r>
      <w:r>
        <w:rPr>
          <w:spacing w:val="13"/>
          <w:w w:val="110"/>
        </w:rPr>
        <w:t> </w:t>
      </w:r>
      <w:r>
        <w:rPr>
          <w:w w:val="110"/>
        </w:rPr>
        <w:t>is:</w:t>
      </w:r>
    </w:p>
    <w:p>
      <w:pPr>
        <w:pStyle w:val="BodyText"/>
        <w:spacing w:before="9"/>
        <w:rPr>
          <w:sz w:val="20"/>
        </w:rPr>
      </w:pPr>
    </w:p>
    <w:p>
      <w:pPr>
        <w:spacing w:before="0"/>
        <w:ind w:left="1354" w:right="0" w:firstLine="0"/>
        <w:jc w:val="left"/>
        <w:rPr>
          <w:i/>
          <w:sz w:val="18"/>
        </w:rPr>
      </w:pPr>
      <w:r>
        <w:rPr>
          <w:w w:val="110"/>
          <w:sz w:val="18"/>
        </w:rPr>
        <w:t>“</w:t>
      </w:r>
      <w:r>
        <w:rPr>
          <w:i/>
          <w:w w:val="110"/>
          <w:sz w:val="18"/>
        </w:rPr>
        <w:t>...not between permitting and preventing medically assisted dying.</w:t>
      </w:r>
    </w:p>
    <w:p>
      <w:pPr>
        <w:spacing w:line="273" w:lineRule="auto" w:before="31"/>
        <w:ind w:left="1354" w:right="2303" w:hanging="1"/>
        <w:jc w:val="left"/>
        <w:rPr>
          <w:sz w:val="18"/>
        </w:rPr>
      </w:pPr>
      <w:r>
        <w:rPr>
          <w:i/>
          <w:w w:val="110"/>
          <w:sz w:val="18"/>
        </w:rPr>
        <w:t>The choice is between making medically assisted dying visible and regulated, </w:t>
      </w:r>
      <w:r>
        <w:rPr>
          <w:i/>
          <w:w w:val="110"/>
          <w:sz w:val="18"/>
        </w:rPr>
        <w:t>or allowing it to continue ‘underground’ without any safeguards, transparency or accountability </w:t>
      </w:r>
      <w:r>
        <w:rPr>
          <w:w w:val="110"/>
          <w:sz w:val="16"/>
        </w:rPr>
        <w:t>(3.7)</w:t>
      </w:r>
      <w:r>
        <w:rPr>
          <w:w w:val="110"/>
          <w:sz w:val="18"/>
        </w:rPr>
        <w:t>.”</w:t>
      </w:r>
    </w:p>
    <w:p>
      <w:pPr>
        <w:pStyle w:val="BodyText"/>
        <w:spacing w:before="9"/>
        <w:rPr>
          <w:sz w:val="25"/>
        </w:rPr>
      </w:pPr>
      <w:r>
        <w:rPr/>
        <w:pict>
          <v:shape style="position:absolute;margin-left:57.193001pt;margin-top:19.620302pt;width:452.55pt;height:307.1pt;mso-position-horizontal-relative:page;mso-position-vertical-relative:paragraph;z-index:-251369472;mso-wrap-distance-left:0;mso-wrap-distance-right:0" type="#_x0000_t202" filled="true" fillcolor="#7c7c7c" stroked="true" strokeweight="4pt" strokecolor="#acacac">
            <v:textbox inset="0,0,0,0">
              <w:txbxContent>
                <w:p>
                  <w:pPr>
                    <w:spacing w:before="128"/>
                    <w:ind w:left="176" w:right="0" w:firstLine="0"/>
                    <w:jc w:val="left"/>
                    <w:rPr>
                      <w:b/>
                      <w:sz w:val="38"/>
                    </w:rPr>
                  </w:pPr>
                  <w:r>
                    <w:rPr>
                      <w:b/>
                      <w:color w:val="FFFFFF"/>
                      <w:w w:val="110"/>
                      <w:sz w:val="38"/>
                    </w:rPr>
                    <w:t>Questions</w:t>
                  </w:r>
                </w:p>
                <w:p>
                  <w:pPr>
                    <w:numPr>
                      <w:ilvl w:val="0"/>
                      <w:numId w:val="113"/>
                    </w:numPr>
                    <w:tabs>
                      <w:tab w:pos="630" w:val="left" w:leader="none"/>
                      <w:tab w:pos="631" w:val="left" w:leader="none"/>
                    </w:tabs>
                    <w:spacing w:line="273" w:lineRule="auto" w:before="240"/>
                    <w:ind w:left="630" w:right="598" w:hanging="454"/>
                    <w:jc w:val="left"/>
                    <w:rPr>
                      <w:b/>
                      <w:sz w:val="18"/>
                    </w:rPr>
                  </w:pPr>
                  <w:r>
                    <w:rPr>
                      <w:b/>
                      <w:color w:val="FFFFFF"/>
                      <w:w w:val="110"/>
                      <w:sz w:val="18"/>
                    </w:rPr>
                    <w:t>Have you had personal </w:t>
                  </w:r>
                  <w:r>
                    <w:rPr>
                      <w:b/>
                      <w:color w:val="FFFFFF"/>
                      <w:spacing w:val="2"/>
                      <w:w w:val="110"/>
                      <w:sz w:val="18"/>
                    </w:rPr>
                    <w:t>experience </w:t>
                  </w:r>
                  <w:r>
                    <w:rPr>
                      <w:b/>
                      <w:color w:val="FFFFFF"/>
                      <w:w w:val="110"/>
                      <w:sz w:val="18"/>
                    </w:rPr>
                    <w:t>of a loved one suffering, and of wondering whether it would be </w:t>
                  </w:r>
                  <w:r>
                    <w:rPr>
                      <w:b/>
                      <w:color w:val="FFFFFF"/>
                      <w:spacing w:val="3"/>
                      <w:w w:val="110"/>
                      <w:sz w:val="18"/>
                    </w:rPr>
                    <w:t>better </w:t>
                  </w:r>
                  <w:r>
                    <w:rPr>
                      <w:b/>
                      <w:color w:val="FFFFFF"/>
                      <w:w w:val="110"/>
                      <w:sz w:val="18"/>
                    </w:rPr>
                    <w:t>if death intervened? Did faith help in your situation?</w:t>
                  </w:r>
                </w:p>
                <w:p>
                  <w:pPr>
                    <w:pStyle w:val="BodyText"/>
                    <w:spacing w:before="8"/>
                    <w:rPr>
                      <w:b/>
                      <w:sz w:val="20"/>
                    </w:rPr>
                  </w:pPr>
                </w:p>
                <w:p>
                  <w:pPr>
                    <w:numPr>
                      <w:ilvl w:val="0"/>
                      <w:numId w:val="113"/>
                    </w:numPr>
                    <w:tabs>
                      <w:tab w:pos="630" w:val="left" w:leader="none"/>
                      <w:tab w:pos="631" w:val="left" w:leader="none"/>
                    </w:tabs>
                    <w:spacing w:line="273" w:lineRule="auto" w:before="0"/>
                    <w:ind w:left="630" w:right="282" w:hanging="454"/>
                    <w:jc w:val="left"/>
                    <w:rPr>
                      <w:b/>
                      <w:sz w:val="18"/>
                    </w:rPr>
                  </w:pPr>
                  <w:r>
                    <w:rPr>
                      <w:b/>
                      <w:color w:val="FFFFFF"/>
                      <w:w w:val="110"/>
                      <w:sz w:val="18"/>
                    </w:rPr>
                    <w:t>Do you believe that human life was given by God, and should </w:t>
                  </w:r>
                  <w:r>
                    <w:rPr>
                      <w:b/>
                      <w:color w:val="FFFFFF"/>
                      <w:spacing w:val="2"/>
                      <w:w w:val="110"/>
                      <w:sz w:val="18"/>
                    </w:rPr>
                    <w:t>therefore </w:t>
                  </w:r>
                  <w:r>
                    <w:rPr>
                      <w:b/>
                      <w:color w:val="FFFFFF"/>
                      <w:w w:val="110"/>
                      <w:sz w:val="18"/>
                    </w:rPr>
                    <w:t>only be taken by God, in God’s good</w:t>
                  </w:r>
                  <w:r>
                    <w:rPr>
                      <w:b/>
                      <w:color w:val="FFFFFF"/>
                      <w:spacing w:val="7"/>
                      <w:w w:val="110"/>
                      <w:sz w:val="18"/>
                    </w:rPr>
                    <w:t> </w:t>
                  </w:r>
                  <w:r>
                    <w:rPr>
                      <w:b/>
                      <w:color w:val="FFFFFF"/>
                      <w:w w:val="110"/>
                      <w:sz w:val="18"/>
                    </w:rPr>
                    <w:t>time?</w:t>
                  </w:r>
                </w:p>
                <w:p>
                  <w:pPr>
                    <w:pStyle w:val="BodyText"/>
                    <w:spacing w:before="8"/>
                    <w:rPr>
                      <w:b/>
                      <w:sz w:val="20"/>
                    </w:rPr>
                  </w:pPr>
                </w:p>
                <w:p>
                  <w:pPr>
                    <w:numPr>
                      <w:ilvl w:val="0"/>
                      <w:numId w:val="113"/>
                    </w:numPr>
                    <w:tabs>
                      <w:tab w:pos="630" w:val="left" w:leader="none"/>
                      <w:tab w:pos="631" w:val="left" w:leader="none"/>
                    </w:tabs>
                    <w:spacing w:line="273" w:lineRule="auto" w:before="1"/>
                    <w:ind w:left="630" w:right="591" w:hanging="454"/>
                    <w:jc w:val="left"/>
                    <w:rPr>
                      <w:b/>
                      <w:sz w:val="18"/>
                    </w:rPr>
                  </w:pPr>
                  <w:r>
                    <w:rPr>
                      <w:b/>
                      <w:color w:val="FFFFFF"/>
                      <w:w w:val="110"/>
                      <w:sz w:val="18"/>
                    </w:rPr>
                    <w:t>Do you </w:t>
                  </w:r>
                  <w:r>
                    <w:rPr>
                      <w:b/>
                      <w:color w:val="FFFFFF"/>
                      <w:spacing w:val="2"/>
                      <w:w w:val="110"/>
                      <w:sz w:val="18"/>
                    </w:rPr>
                    <w:t>see circumstances </w:t>
                  </w:r>
                  <w:r>
                    <w:rPr>
                      <w:b/>
                      <w:color w:val="FFFFFF"/>
                      <w:w w:val="110"/>
                      <w:sz w:val="18"/>
                    </w:rPr>
                    <w:t>in which the power to </w:t>
                  </w:r>
                  <w:r>
                    <w:rPr>
                      <w:b/>
                      <w:color w:val="FFFFFF"/>
                      <w:spacing w:val="2"/>
                      <w:w w:val="110"/>
                      <w:sz w:val="18"/>
                    </w:rPr>
                    <w:t>assist </w:t>
                  </w:r>
                  <w:r>
                    <w:rPr>
                      <w:b/>
                      <w:color w:val="FFFFFF"/>
                      <w:w w:val="110"/>
                      <w:sz w:val="18"/>
                    </w:rPr>
                    <w:t>in a person’s death might be misused – by medical </w:t>
                  </w:r>
                  <w:r>
                    <w:rPr>
                      <w:b/>
                      <w:color w:val="FFFFFF"/>
                      <w:spacing w:val="3"/>
                      <w:w w:val="110"/>
                      <w:sz w:val="18"/>
                    </w:rPr>
                    <w:t>staff </w:t>
                  </w:r>
                  <w:r>
                    <w:rPr>
                      <w:b/>
                      <w:color w:val="FFFFFF"/>
                      <w:w w:val="110"/>
                      <w:sz w:val="18"/>
                    </w:rPr>
                    <w:t>or by</w:t>
                  </w:r>
                  <w:r>
                    <w:rPr>
                      <w:b/>
                      <w:color w:val="FFFFFF"/>
                      <w:spacing w:val="26"/>
                      <w:w w:val="110"/>
                      <w:sz w:val="18"/>
                    </w:rPr>
                    <w:t> </w:t>
                  </w:r>
                  <w:r>
                    <w:rPr>
                      <w:b/>
                      <w:color w:val="FFFFFF"/>
                      <w:w w:val="110"/>
                      <w:sz w:val="18"/>
                    </w:rPr>
                    <w:t>family?</w:t>
                  </w:r>
                </w:p>
                <w:p>
                  <w:pPr>
                    <w:pStyle w:val="BodyText"/>
                    <w:spacing w:before="8"/>
                    <w:rPr>
                      <w:b/>
                      <w:sz w:val="20"/>
                    </w:rPr>
                  </w:pPr>
                </w:p>
                <w:p>
                  <w:pPr>
                    <w:numPr>
                      <w:ilvl w:val="0"/>
                      <w:numId w:val="113"/>
                    </w:numPr>
                    <w:tabs>
                      <w:tab w:pos="630" w:val="left" w:leader="none"/>
                      <w:tab w:pos="631" w:val="left" w:leader="none"/>
                    </w:tabs>
                    <w:spacing w:line="273" w:lineRule="auto" w:before="0"/>
                    <w:ind w:left="630" w:right="1007" w:hanging="454"/>
                    <w:jc w:val="left"/>
                    <w:rPr>
                      <w:b/>
                      <w:sz w:val="18"/>
                    </w:rPr>
                  </w:pPr>
                  <w:r>
                    <w:rPr>
                      <w:b/>
                      <w:color w:val="FFFFFF"/>
                      <w:w w:val="110"/>
                      <w:sz w:val="18"/>
                    </w:rPr>
                    <w:t>What about the view of Dignity in Dying that it happens anyway, and it would be </w:t>
                  </w:r>
                  <w:r>
                    <w:rPr>
                      <w:b/>
                      <w:color w:val="FFFFFF"/>
                      <w:spacing w:val="3"/>
                      <w:w w:val="110"/>
                      <w:sz w:val="18"/>
                    </w:rPr>
                    <w:t>better </w:t>
                  </w:r>
                  <w:r>
                    <w:rPr>
                      <w:b/>
                      <w:color w:val="FFFFFF"/>
                      <w:w w:val="110"/>
                      <w:sz w:val="18"/>
                    </w:rPr>
                    <w:t>if it were</w:t>
                  </w:r>
                  <w:r>
                    <w:rPr>
                      <w:b/>
                      <w:color w:val="FFFFFF"/>
                      <w:spacing w:val="8"/>
                      <w:w w:val="110"/>
                      <w:sz w:val="18"/>
                    </w:rPr>
                    <w:t> </w:t>
                  </w:r>
                  <w:r>
                    <w:rPr>
                      <w:b/>
                      <w:color w:val="FFFFFF"/>
                      <w:w w:val="110"/>
                      <w:sz w:val="18"/>
                    </w:rPr>
                    <w:t>regulated?</w:t>
                  </w:r>
                </w:p>
                <w:p>
                  <w:pPr>
                    <w:pStyle w:val="BodyText"/>
                    <w:spacing w:before="8"/>
                    <w:rPr>
                      <w:b/>
                      <w:sz w:val="20"/>
                    </w:rPr>
                  </w:pPr>
                </w:p>
                <w:p>
                  <w:pPr>
                    <w:numPr>
                      <w:ilvl w:val="0"/>
                      <w:numId w:val="113"/>
                    </w:numPr>
                    <w:tabs>
                      <w:tab w:pos="630" w:val="left" w:leader="none"/>
                      <w:tab w:pos="631" w:val="left" w:leader="none"/>
                    </w:tabs>
                    <w:spacing w:before="0"/>
                    <w:ind w:left="630" w:right="0" w:hanging="455"/>
                    <w:jc w:val="left"/>
                    <w:rPr>
                      <w:b/>
                      <w:sz w:val="18"/>
                    </w:rPr>
                  </w:pPr>
                  <w:r>
                    <w:rPr>
                      <w:b/>
                      <w:color w:val="FFFFFF"/>
                      <w:w w:val="110"/>
                      <w:sz w:val="18"/>
                    </w:rPr>
                    <w:t>Do you </w:t>
                  </w:r>
                  <w:r>
                    <w:rPr>
                      <w:b/>
                      <w:color w:val="FFFFFF"/>
                      <w:spacing w:val="2"/>
                      <w:w w:val="110"/>
                      <w:sz w:val="18"/>
                    </w:rPr>
                    <w:t>see </w:t>
                  </w:r>
                  <w:r>
                    <w:rPr>
                      <w:b/>
                      <w:color w:val="FFFFFF"/>
                      <w:w w:val="110"/>
                      <w:sz w:val="18"/>
                    </w:rPr>
                    <w:t>a distinction </w:t>
                  </w:r>
                  <w:r>
                    <w:rPr>
                      <w:b/>
                      <w:color w:val="FFFFFF"/>
                      <w:spacing w:val="2"/>
                      <w:w w:val="110"/>
                      <w:sz w:val="18"/>
                    </w:rPr>
                    <w:t>between assisting </w:t>
                  </w:r>
                  <w:r>
                    <w:rPr>
                      <w:b/>
                      <w:color w:val="FFFFFF"/>
                      <w:w w:val="110"/>
                      <w:sz w:val="18"/>
                    </w:rPr>
                    <w:t>a </w:t>
                  </w:r>
                  <w:r>
                    <w:rPr>
                      <w:b/>
                      <w:color w:val="FFFFFF"/>
                      <w:spacing w:val="2"/>
                      <w:w w:val="110"/>
                      <w:sz w:val="18"/>
                    </w:rPr>
                    <w:t>person </w:t>
                  </w:r>
                  <w:r>
                    <w:rPr>
                      <w:b/>
                      <w:color w:val="FFFFFF"/>
                      <w:w w:val="110"/>
                      <w:sz w:val="18"/>
                    </w:rPr>
                    <w:t>to die and</w:t>
                  </w:r>
                  <w:r>
                    <w:rPr>
                      <w:b/>
                      <w:color w:val="FFFFFF"/>
                      <w:spacing w:val="9"/>
                      <w:w w:val="110"/>
                      <w:sz w:val="18"/>
                    </w:rPr>
                    <w:t> </w:t>
                  </w:r>
                  <w:r>
                    <w:rPr>
                      <w:b/>
                      <w:color w:val="FFFFFF"/>
                      <w:w w:val="110"/>
                      <w:sz w:val="18"/>
                    </w:rPr>
                    <w:t>keeping</w:t>
                  </w:r>
                </w:p>
                <w:p>
                  <w:pPr>
                    <w:spacing w:line="273" w:lineRule="auto" w:before="31"/>
                    <w:ind w:left="630" w:right="649" w:firstLine="0"/>
                    <w:jc w:val="left"/>
                    <w:rPr>
                      <w:b/>
                      <w:sz w:val="18"/>
                    </w:rPr>
                  </w:pPr>
                  <w:r>
                    <w:rPr>
                      <w:b/>
                      <w:color w:val="FFFFFF"/>
                      <w:w w:val="110"/>
                      <w:sz w:val="18"/>
                    </w:rPr>
                    <w:t>someone alive artificially? Do you agree with Arthur Hugh Clough? He said </w:t>
                  </w:r>
                  <w:r>
                    <w:rPr>
                      <w:b/>
                      <w:i/>
                      <w:color w:val="FFFFFF"/>
                      <w:w w:val="110"/>
                      <w:sz w:val="18"/>
                    </w:rPr>
                    <w:t>Thou shalt not kill, but needst not strive, officiously to keep </w:t>
                  </w:r>
                  <w:r>
                    <w:rPr>
                      <w:b/>
                      <w:i/>
                      <w:color w:val="FFFFFF"/>
                      <w:w w:val="110"/>
                      <w:sz w:val="18"/>
                    </w:rPr>
                    <w:t>alive </w:t>
                  </w:r>
                  <w:r>
                    <w:rPr>
                      <w:b/>
                      <w:color w:val="FFFFFF"/>
                      <w:w w:val="110"/>
                      <w:sz w:val="18"/>
                    </w:rPr>
                    <w:t>(5).</w:t>
                  </w:r>
                </w:p>
                <w:p>
                  <w:pPr>
                    <w:pStyle w:val="BodyText"/>
                    <w:spacing w:before="9"/>
                    <w:rPr>
                      <w:b/>
                      <w:sz w:val="20"/>
                    </w:rPr>
                  </w:pPr>
                </w:p>
                <w:p>
                  <w:pPr>
                    <w:spacing w:line="273" w:lineRule="auto" w:before="0"/>
                    <w:ind w:left="120" w:right="649" w:firstLine="0"/>
                    <w:jc w:val="left"/>
                    <w:rPr>
                      <w:b/>
                      <w:sz w:val="18"/>
                    </w:rPr>
                  </w:pPr>
                  <w:r>
                    <w:rPr>
                      <w:b/>
                      <w:color w:val="FFFFFF"/>
                      <w:w w:val="110"/>
                      <w:sz w:val="18"/>
                    </w:rPr>
                    <w:t>Different views are more fully explained on various websites: (See 12. Sources of Further Information).</w:t>
                  </w:r>
                </w:p>
              </w:txbxContent>
            </v:textbox>
            <v:fill type="solid"/>
            <v:stroke dashstyle="solid"/>
            <w10:wrap type="topAndBottom"/>
          </v:shape>
        </w:pict>
      </w:r>
    </w:p>
    <w:p>
      <w:pPr>
        <w:spacing w:after="0"/>
        <w:rPr>
          <w:sz w:val="25"/>
        </w:rPr>
        <w:sectPr>
          <w:headerReference w:type="even" r:id="rId291"/>
          <w:headerReference w:type="default" r:id="rId292"/>
          <w:footerReference w:type="even" r:id="rId293"/>
          <w:footerReference w:type="default" r:id="rId294"/>
          <w:pgSz w:w="11910" w:h="16840"/>
          <w:pgMar w:header="558" w:footer="564" w:top="820" w:bottom="760" w:left="460" w:right="0"/>
          <w:pgNumType w:start="32"/>
        </w:sectPr>
      </w:pPr>
    </w:p>
    <w:p>
      <w:pPr>
        <w:pStyle w:val="BodyText"/>
        <w:spacing w:before="11"/>
        <w:rPr>
          <w:sz w:val="7"/>
        </w:rPr>
      </w:pPr>
    </w:p>
    <w:p>
      <w:pPr>
        <w:pStyle w:val="BodyText"/>
        <w:ind w:left="673"/>
        <w:rPr>
          <w:sz w:val="20"/>
        </w:rPr>
      </w:pPr>
      <w:r>
        <w:rPr>
          <w:sz w:val="20"/>
        </w:rPr>
        <w:pict>
          <v:group style="width:491.2pt;height:46.4pt;mso-position-horizontal-relative:char;mso-position-vertical-relative:line" coordorigin="0,0" coordsize="9824,928">
            <v:rect style="position:absolute;left:477;top:0;width:9346;height:893" filled="true" fillcolor="#000000" stroked="false">
              <v:fill opacity="49152f" type="solid"/>
            </v:rect>
            <v:shape style="position:absolute;left:556;top:192;width:9071;height:617" coordorigin="557,193" coordsize="9071,617" path="m9388,193l557,193,557,810,9388,810,9527,805,9598,771,9624,679,9628,501,9624,323,9598,231,9527,197,9388,193xe" filled="true" fillcolor="#ffffff" stroked="false">
              <v:path arrowok="t"/>
              <v:fill type="solid"/>
            </v:shape>
            <v:shape style="position:absolute;left:556;top:192;width:9071;height:617" coordorigin="557,193" coordsize="9071,617" path="m9628,501l9624,323,9598,231,9527,197,9388,193,557,193,557,810,9388,810,9527,805,9598,771,9624,679,9628,501xe" filled="false" stroked="true" strokeweight=".25pt" strokecolor="#000000">
              <v:path arrowok="t"/>
              <v:stroke dashstyle="solid"/>
            </v:shape>
            <v:rect style="position:absolute;left:10;top:244;width:1256;height:673" filled="true" fillcolor="#ffffff" stroked="false">
              <v:fill type="solid"/>
            </v:rect>
            <v:rect style="position:absolute;left:10;top:244;width:1256;height:673" filled="false" stroked="true" strokeweight="1pt" strokecolor="#ffffff">
              <v:stroke dashstyle="solid"/>
            </v:rect>
            <v:shape style="position:absolute;left:0;top:0;width:9824;height:928" type="#_x0000_t202" filled="false" stroked="false">
              <v:textbox inset="0,0,0,0">
                <w:txbxContent>
                  <w:p>
                    <w:pPr>
                      <w:spacing w:line="240" w:lineRule="auto" w:before="6"/>
                      <w:rPr>
                        <w:sz w:val="26"/>
                      </w:rPr>
                    </w:pPr>
                  </w:p>
                  <w:p>
                    <w:pPr>
                      <w:tabs>
                        <w:tab w:pos="1286" w:val="left" w:leader="none"/>
                      </w:tabs>
                      <w:spacing w:before="0"/>
                      <w:ind w:left="566" w:right="0" w:firstLine="0"/>
                      <w:jc w:val="left"/>
                      <w:rPr>
                        <w:b/>
                        <w:sz w:val="29"/>
                      </w:rPr>
                    </w:pPr>
                    <w:r>
                      <w:rPr>
                        <w:b/>
                        <w:w w:val="110"/>
                        <w:sz w:val="29"/>
                      </w:rPr>
                      <w:t>2.</w:t>
                      <w:tab/>
                      <w:t>A REFORMED VIEW</w:t>
                    </w:r>
                  </w:p>
                </w:txbxContent>
              </v:textbox>
              <w10:wrap type="none"/>
            </v:shape>
          </v:group>
        </w:pict>
      </w:r>
      <w:r>
        <w:rPr>
          <w:sz w:val="20"/>
        </w:rPr>
      </w:r>
    </w:p>
    <w:p>
      <w:pPr>
        <w:pStyle w:val="Heading9"/>
        <w:spacing w:line="340" w:lineRule="exact"/>
      </w:pPr>
      <w:r>
        <w:rPr>
          <w:w w:val="110"/>
        </w:rPr>
        <w:t>Prayer</w:t>
      </w:r>
    </w:p>
    <w:p>
      <w:pPr>
        <w:pStyle w:val="BodyText"/>
        <w:spacing w:line="273" w:lineRule="auto" w:before="121"/>
        <w:ind w:left="1240" w:right="1532"/>
      </w:pPr>
      <w:r>
        <w:rPr>
          <w:w w:val="110"/>
        </w:rPr>
        <w:t>Gracious God, we thank you for creating the world in all its richness and beauty, and that we are a </w:t>
      </w:r>
      <w:r>
        <w:rPr>
          <w:spacing w:val="2"/>
          <w:w w:val="110"/>
        </w:rPr>
        <w:t>part </w:t>
      </w:r>
      <w:r>
        <w:rPr>
          <w:w w:val="110"/>
        </w:rPr>
        <w:t>of your creation, and have been given the gift of life. </w:t>
      </w:r>
      <w:r>
        <w:rPr>
          <w:spacing w:val="-4"/>
          <w:w w:val="110"/>
        </w:rPr>
        <w:t>You </w:t>
      </w:r>
      <w:r>
        <w:rPr>
          <w:w w:val="110"/>
        </w:rPr>
        <w:t>have  given us communities, families and friends in which to live and grow, may we seek to understand more of your truths so that we may use our time and our lives wisely, to your glory. Help us to value life, and know that when the time comes, death is not the end, but a new beginning still surrounded by your love. Give us the grace and wisdom to be open to discern your truth and will for your people, and in the midst of </w:t>
      </w:r>
      <w:r>
        <w:rPr>
          <w:spacing w:val="2"/>
          <w:w w:val="110"/>
        </w:rPr>
        <w:t>suffering </w:t>
      </w:r>
      <w:r>
        <w:rPr>
          <w:w w:val="110"/>
        </w:rPr>
        <w:t>know your love. In the name of Jesus</w:t>
      </w:r>
      <w:r>
        <w:rPr>
          <w:spacing w:val="9"/>
          <w:w w:val="110"/>
        </w:rPr>
        <w:t> </w:t>
      </w:r>
      <w:r>
        <w:rPr>
          <w:w w:val="110"/>
        </w:rPr>
        <w:t>Amen.</w:t>
      </w:r>
    </w:p>
    <w:p>
      <w:pPr>
        <w:pStyle w:val="BodyText"/>
        <w:rPr>
          <w:sz w:val="21"/>
        </w:rPr>
      </w:pPr>
    </w:p>
    <w:p>
      <w:pPr>
        <w:pStyle w:val="BodyText"/>
        <w:ind w:left="1240"/>
      </w:pPr>
      <w:r>
        <w:rPr>
          <w:w w:val="110"/>
        </w:rPr>
        <w:t>See Section 4 of the report.</w:t>
      </w:r>
    </w:p>
    <w:p>
      <w:pPr>
        <w:pStyle w:val="BodyText"/>
        <w:spacing w:line="273" w:lineRule="auto" w:before="31"/>
        <w:ind w:left="1240" w:right="1056"/>
      </w:pPr>
      <w:r>
        <w:rPr>
          <w:w w:val="110"/>
        </w:rPr>
        <w:t>The section of the Church and Society report entitled </w:t>
      </w:r>
      <w:r>
        <w:rPr>
          <w:spacing w:val="-7"/>
          <w:w w:val="110"/>
        </w:rPr>
        <w:t>‘A </w:t>
      </w:r>
      <w:r>
        <w:rPr>
          <w:w w:val="110"/>
        </w:rPr>
        <w:t>Reformed View’ is an attempt to identify some of the central theological and ethical issues at stake in the assisted dying debate</w:t>
      </w:r>
      <w:r>
        <w:rPr>
          <w:spacing w:val="-13"/>
          <w:w w:val="110"/>
        </w:rPr>
        <w:t> </w:t>
      </w:r>
      <w:r>
        <w:rPr>
          <w:w w:val="110"/>
        </w:rPr>
        <w:t>and</w:t>
      </w:r>
      <w:r>
        <w:rPr>
          <w:spacing w:val="-13"/>
          <w:w w:val="110"/>
        </w:rPr>
        <w:t> </w:t>
      </w:r>
      <w:r>
        <w:rPr>
          <w:w w:val="110"/>
        </w:rPr>
        <w:t>to</w:t>
      </w:r>
      <w:r>
        <w:rPr>
          <w:spacing w:val="-13"/>
          <w:w w:val="110"/>
        </w:rPr>
        <w:t> </w:t>
      </w:r>
      <w:r>
        <w:rPr>
          <w:w w:val="110"/>
        </w:rPr>
        <w:t>ask</w:t>
      </w:r>
      <w:r>
        <w:rPr>
          <w:spacing w:val="-13"/>
          <w:w w:val="110"/>
        </w:rPr>
        <w:t> </w:t>
      </w:r>
      <w:r>
        <w:rPr>
          <w:w w:val="110"/>
        </w:rPr>
        <w:t>how</w:t>
      </w:r>
      <w:r>
        <w:rPr>
          <w:spacing w:val="-13"/>
          <w:w w:val="110"/>
        </w:rPr>
        <w:t> </w:t>
      </w:r>
      <w:r>
        <w:rPr>
          <w:w w:val="110"/>
        </w:rPr>
        <w:t>a</w:t>
      </w:r>
      <w:r>
        <w:rPr>
          <w:spacing w:val="-13"/>
          <w:w w:val="110"/>
        </w:rPr>
        <w:t> </w:t>
      </w:r>
      <w:r>
        <w:rPr>
          <w:w w:val="110"/>
        </w:rPr>
        <w:t>Christian</w:t>
      </w:r>
      <w:r>
        <w:rPr>
          <w:spacing w:val="-13"/>
          <w:w w:val="110"/>
        </w:rPr>
        <w:t> </w:t>
      </w:r>
      <w:r>
        <w:rPr>
          <w:w w:val="110"/>
        </w:rPr>
        <w:t>Church</w:t>
      </w:r>
      <w:r>
        <w:rPr>
          <w:spacing w:val="-13"/>
          <w:w w:val="110"/>
        </w:rPr>
        <w:t> </w:t>
      </w:r>
      <w:r>
        <w:rPr>
          <w:w w:val="110"/>
        </w:rPr>
        <w:t>in</w:t>
      </w:r>
      <w:r>
        <w:rPr>
          <w:spacing w:val="-13"/>
          <w:w w:val="110"/>
        </w:rPr>
        <w:t> </w:t>
      </w:r>
      <w:r>
        <w:rPr>
          <w:w w:val="110"/>
        </w:rPr>
        <w:t>the</w:t>
      </w:r>
      <w:r>
        <w:rPr>
          <w:spacing w:val="-13"/>
          <w:w w:val="110"/>
        </w:rPr>
        <w:t> </w:t>
      </w:r>
      <w:r>
        <w:rPr>
          <w:w w:val="110"/>
        </w:rPr>
        <w:t>Reformed</w:t>
      </w:r>
      <w:r>
        <w:rPr>
          <w:spacing w:val="-12"/>
          <w:w w:val="110"/>
        </w:rPr>
        <w:t> </w:t>
      </w:r>
      <w:r>
        <w:rPr>
          <w:w w:val="110"/>
        </w:rPr>
        <w:t>tradition</w:t>
      </w:r>
      <w:r>
        <w:rPr>
          <w:spacing w:val="-13"/>
          <w:w w:val="110"/>
        </w:rPr>
        <w:t> </w:t>
      </w:r>
      <w:r>
        <w:rPr>
          <w:w w:val="110"/>
        </w:rPr>
        <w:t>should</w:t>
      </w:r>
      <w:r>
        <w:rPr>
          <w:spacing w:val="-13"/>
          <w:w w:val="110"/>
        </w:rPr>
        <w:t> </w:t>
      </w:r>
      <w:r>
        <w:rPr>
          <w:w w:val="110"/>
        </w:rPr>
        <w:t>respond</w:t>
      </w:r>
      <w:r>
        <w:rPr>
          <w:spacing w:val="-13"/>
          <w:w w:val="110"/>
        </w:rPr>
        <w:t> </w:t>
      </w:r>
      <w:r>
        <w:rPr>
          <w:w w:val="110"/>
        </w:rPr>
        <w:t>to</w:t>
      </w:r>
      <w:r>
        <w:rPr>
          <w:spacing w:val="-13"/>
          <w:w w:val="110"/>
        </w:rPr>
        <w:t> </w:t>
      </w:r>
      <w:r>
        <w:rPr>
          <w:w w:val="110"/>
        </w:rPr>
        <w:t>those issues. This section of the study guide offers some more general comments about how the Reformed tradition might shape our moral </w:t>
      </w:r>
      <w:r>
        <w:rPr>
          <w:spacing w:val="-3"/>
          <w:w w:val="110"/>
        </w:rPr>
        <w:t>living, </w:t>
      </w:r>
      <w:r>
        <w:rPr>
          <w:w w:val="110"/>
        </w:rPr>
        <w:t>thinking and decision-making. This might help</w:t>
      </w:r>
      <w:r>
        <w:rPr>
          <w:spacing w:val="-10"/>
          <w:w w:val="110"/>
        </w:rPr>
        <w:t> </w:t>
      </w:r>
      <w:r>
        <w:rPr>
          <w:w w:val="110"/>
        </w:rPr>
        <w:t>explain</w:t>
      </w:r>
      <w:r>
        <w:rPr>
          <w:spacing w:val="-10"/>
          <w:w w:val="110"/>
        </w:rPr>
        <w:t> </w:t>
      </w:r>
      <w:r>
        <w:rPr>
          <w:w w:val="110"/>
        </w:rPr>
        <w:t>some</w:t>
      </w:r>
      <w:r>
        <w:rPr>
          <w:spacing w:val="-9"/>
          <w:w w:val="110"/>
        </w:rPr>
        <w:t> </w:t>
      </w:r>
      <w:r>
        <w:rPr>
          <w:w w:val="110"/>
        </w:rPr>
        <w:t>of</w:t>
      </w:r>
      <w:r>
        <w:rPr>
          <w:spacing w:val="-10"/>
          <w:w w:val="110"/>
        </w:rPr>
        <w:t> </w:t>
      </w:r>
      <w:r>
        <w:rPr>
          <w:w w:val="110"/>
        </w:rPr>
        <w:t>the</w:t>
      </w:r>
      <w:r>
        <w:rPr>
          <w:spacing w:val="-9"/>
          <w:w w:val="110"/>
        </w:rPr>
        <w:t> </w:t>
      </w:r>
      <w:r>
        <w:rPr>
          <w:w w:val="110"/>
        </w:rPr>
        <w:t>thinking</w:t>
      </w:r>
      <w:r>
        <w:rPr>
          <w:spacing w:val="-10"/>
          <w:w w:val="110"/>
        </w:rPr>
        <w:t> </w:t>
      </w:r>
      <w:r>
        <w:rPr>
          <w:w w:val="110"/>
        </w:rPr>
        <w:t>behind</w:t>
      </w:r>
      <w:r>
        <w:rPr>
          <w:spacing w:val="-9"/>
          <w:w w:val="110"/>
        </w:rPr>
        <w:t> </w:t>
      </w:r>
      <w:r>
        <w:rPr>
          <w:w w:val="110"/>
        </w:rPr>
        <w:t>the</w:t>
      </w:r>
      <w:r>
        <w:rPr>
          <w:spacing w:val="-10"/>
          <w:w w:val="110"/>
        </w:rPr>
        <w:t> </w:t>
      </w:r>
      <w:r>
        <w:rPr>
          <w:w w:val="110"/>
        </w:rPr>
        <w:t>more</w:t>
      </w:r>
      <w:r>
        <w:rPr>
          <w:spacing w:val="-10"/>
          <w:w w:val="110"/>
        </w:rPr>
        <w:t> </w:t>
      </w:r>
      <w:r>
        <w:rPr>
          <w:w w:val="110"/>
        </w:rPr>
        <w:t>specific</w:t>
      </w:r>
      <w:r>
        <w:rPr>
          <w:spacing w:val="-9"/>
          <w:w w:val="110"/>
        </w:rPr>
        <w:t> </w:t>
      </w:r>
      <w:r>
        <w:rPr>
          <w:w w:val="110"/>
        </w:rPr>
        <w:t>arguments</w:t>
      </w:r>
      <w:r>
        <w:rPr>
          <w:spacing w:val="-10"/>
          <w:w w:val="110"/>
        </w:rPr>
        <w:t> </w:t>
      </w:r>
      <w:r>
        <w:rPr>
          <w:w w:val="110"/>
        </w:rPr>
        <w:t>in</w:t>
      </w:r>
      <w:r>
        <w:rPr>
          <w:spacing w:val="-9"/>
          <w:w w:val="110"/>
        </w:rPr>
        <w:t> </w:t>
      </w:r>
      <w:r>
        <w:rPr>
          <w:w w:val="110"/>
        </w:rPr>
        <w:t>the</w:t>
      </w:r>
      <w:r>
        <w:rPr>
          <w:spacing w:val="-10"/>
          <w:w w:val="110"/>
        </w:rPr>
        <w:t> </w:t>
      </w:r>
      <w:r>
        <w:rPr>
          <w:w w:val="110"/>
        </w:rPr>
        <w:t>report.</w:t>
      </w:r>
    </w:p>
    <w:p>
      <w:pPr>
        <w:pStyle w:val="BodyText"/>
        <w:spacing w:before="11"/>
        <w:rPr>
          <w:sz w:val="20"/>
        </w:rPr>
      </w:pPr>
    </w:p>
    <w:p>
      <w:pPr>
        <w:pStyle w:val="BodyText"/>
        <w:spacing w:line="273" w:lineRule="auto"/>
        <w:ind w:left="1240" w:right="1434"/>
      </w:pPr>
      <w:r>
        <w:rPr>
          <w:w w:val="110"/>
        </w:rPr>
        <w:t>The United Reformed Church ‘acknowledges the Word of God in the Old and New Testaments, discerned under the guidance of the Holy Spirit, as the supreme authority for the faith and conduct of all God’s people’ </w:t>
      </w:r>
      <w:r>
        <w:rPr>
          <w:spacing w:val="-5"/>
          <w:w w:val="110"/>
          <w:position w:val="6"/>
          <w:sz w:val="10"/>
        </w:rPr>
        <w:t>(1)</w:t>
      </w:r>
      <w:r>
        <w:rPr>
          <w:spacing w:val="-5"/>
          <w:w w:val="110"/>
        </w:rPr>
        <w:t>. </w:t>
      </w:r>
      <w:r>
        <w:rPr>
          <w:w w:val="110"/>
        </w:rPr>
        <w:t>This formula identifies a central role for our Scriptures in shaping our doctrine and ethics. It also, deliberately, admits of a wide range of interpretations of Scripture and understandings of the nature of its authority.   It allows a role for other sources (usually summarised as tradition, reason and experience) in theological and ethical thinking, and allows for a </w:t>
      </w:r>
      <w:r>
        <w:rPr>
          <w:spacing w:val="2"/>
          <w:w w:val="110"/>
        </w:rPr>
        <w:t>certain </w:t>
      </w:r>
      <w:r>
        <w:rPr>
          <w:w w:val="110"/>
        </w:rPr>
        <w:t>amount of prayerful improvisation on the </w:t>
      </w:r>
      <w:r>
        <w:rPr>
          <w:spacing w:val="2"/>
          <w:w w:val="110"/>
        </w:rPr>
        <w:t>part </w:t>
      </w:r>
      <w:r>
        <w:rPr>
          <w:w w:val="110"/>
        </w:rPr>
        <w:t>of a believer, or believing community, faced with  new situations and</w:t>
      </w:r>
      <w:r>
        <w:rPr>
          <w:spacing w:val="3"/>
          <w:w w:val="110"/>
        </w:rPr>
        <w:t> </w:t>
      </w:r>
      <w:r>
        <w:rPr>
          <w:w w:val="110"/>
        </w:rPr>
        <w:t>questions.</w:t>
      </w:r>
    </w:p>
    <w:p>
      <w:pPr>
        <w:pStyle w:val="BodyText"/>
        <w:rPr>
          <w:sz w:val="21"/>
        </w:rPr>
      </w:pPr>
    </w:p>
    <w:p>
      <w:pPr>
        <w:pStyle w:val="BodyText"/>
        <w:spacing w:line="273" w:lineRule="auto"/>
        <w:ind w:left="1240" w:right="1056"/>
      </w:pPr>
      <w:r>
        <w:rPr>
          <w:w w:val="110"/>
        </w:rPr>
        <w:t>When ‘discerning the Word of God in Scripture’, we need to remember that the biblical writings come from very different historical and social contexts from ours, and might not directly address our questions and concerns. We will not find within the Bible any formula for addressing the hard questions of contemporary medical ethics. In addressing these questions, the Bible functions most importantly in what New Testament scholar Richard Hays calls a ‘symbolic world’ mode </w:t>
      </w:r>
      <w:r>
        <w:rPr>
          <w:w w:val="110"/>
          <w:position w:val="6"/>
          <w:sz w:val="10"/>
        </w:rPr>
        <w:t>(2)</w:t>
      </w:r>
      <w:r>
        <w:rPr>
          <w:w w:val="110"/>
        </w:rPr>
        <w:t>. That is to say, it informs the Christian community’s vision of the world, its relation to God, and our place within it, re-shaping the community’s moral imagination along the lines of that biblical world-view. This re-shaping of the moral imagination happens (or should happen) centrally in the worship and shared life of the Christian community.</w:t>
      </w:r>
    </w:p>
    <w:p>
      <w:pPr>
        <w:pStyle w:val="BodyText"/>
        <w:spacing w:before="1"/>
        <w:rPr>
          <w:sz w:val="21"/>
        </w:rPr>
      </w:pPr>
    </w:p>
    <w:p>
      <w:pPr>
        <w:pStyle w:val="BodyText"/>
        <w:spacing w:line="273" w:lineRule="auto"/>
        <w:ind w:left="1240" w:right="1143"/>
      </w:pPr>
      <w:r>
        <w:rPr>
          <w:w w:val="110"/>
        </w:rPr>
        <w:t>As Christians participate in the Church’s worship and corporate life, this should enable them to grow in Christian character and to develop virtues, including a kind of ‘practical wisdom’ informed by faith, that will help them to live and act well in the morally testing situations which they encounter. This approach suggests that faithful Christian living will indeed involve an element of moral improvisation in response to new situations, but this does not mean that everything is up for negotiation. Some hold the view that Christian ethics does include moral principles and rules that are absolute and exceptionless, or as near as makes no difference.</w:t>
      </w:r>
    </w:p>
    <w:p>
      <w:pPr>
        <w:pStyle w:val="BodyText"/>
        <w:rPr>
          <w:sz w:val="21"/>
        </w:rPr>
      </w:pPr>
    </w:p>
    <w:p>
      <w:pPr>
        <w:pStyle w:val="BodyText"/>
        <w:spacing w:line="273" w:lineRule="auto"/>
        <w:ind w:left="1240" w:right="1593"/>
      </w:pPr>
      <w:r>
        <w:rPr>
          <w:w w:val="110"/>
        </w:rPr>
        <w:t>It is possible to outline some features of a biblically-shaped ‘symbolic world’ that are particularly relevant to the issue of assisted dying:</w:t>
      </w:r>
    </w:p>
    <w:p>
      <w:pPr>
        <w:pStyle w:val="BodyText"/>
        <w:rPr>
          <w:sz w:val="20"/>
        </w:rPr>
      </w:pPr>
    </w:p>
    <w:p>
      <w:pPr>
        <w:pStyle w:val="BodyText"/>
        <w:spacing w:before="7"/>
        <w:rPr>
          <w:sz w:val="29"/>
        </w:rPr>
      </w:pPr>
      <w:r>
        <w:rPr/>
        <w:pict>
          <v:shape style="position:absolute;margin-left:80.632004pt;margin-top:20.431585pt;width:114.1pt;height:.1pt;mso-position-horizontal-relative:page;mso-position-vertical-relative:paragraph;z-index:-251366400;mso-wrap-distance-left:0;mso-wrap-distance-right:0" coordorigin="1613,409" coordsize="2282,0" path="m1613,409l3895,409e" filled="false" stroked="true" strokeweight="1pt" strokecolor="#000000">
            <v:path arrowok="t"/>
            <v:stroke dashstyle="solid"/>
            <w10:wrap type="topAndBottom"/>
          </v:shape>
        </w:pict>
      </w:r>
    </w:p>
    <w:p>
      <w:pPr>
        <w:pStyle w:val="ListParagraph"/>
        <w:numPr>
          <w:ilvl w:val="0"/>
          <w:numId w:val="114"/>
        </w:numPr>
        <w:tabs>
          <w:tab w:pos="1832" w:val="left" w:leader="none"/>
          <w:tab w:pos="1833" w:val="left" w:leader="none"/>
        </w:tabs>
        <w:spacing w:line="240" w:lineRule="auto" w:before="65" w:after="0"/>
        <w:ind w:left="1832" w:right="0" w:hanging="681"/>
        <w:jc w:val="left"/>
        <w:rPr>
          <w:sz w:val="14"/>
        </w:rPr>
      </w:pPr>
      <w:r>
        <w:rPr>
          <w:w w:val="115"/>
          <w:sz w:val="14"/>
        </w:rPr>
        <w:t>United </w:t>
      </w:r>
      <w:r>
        <w:rPr>
          <w:spacing w:val="2"/>
          <w:w w:val="115"/>
          <w:sz w:val="14"/>
        </w:rPr>
        <w:t>Reformed Church Basis </w:t>
      </w:r>
      <w:r>
        <w:rPr>
          <w:w w:val="115"/>
          <w:sz w:val="14"/>
        </w:rPr>
        <w:t>of Union, para.</w:t>
      </w:r>
      <w:r>
        <w:rPr>
          <w:spacing w:val="-9"/>
          <w:w w:val="115"/>
          <w:sz w:val="14"/>
        </w:rPr>
        <w:t> </w:t>
      </w:r>
      <w:r>
        <w:rPr>
          <w:w w:val="115"/>
          <w:sz w:val="14"/>
        </w:rPr>
        <w:t>12.</w:t>
      </w:r>
    </w:p>
    <w:p>
      <w:pPr>
        <w:pStyle w:val="ListParagraph"/>
        <w:numPr>
          <w:ilvl w:val="0"/>
          <w:numId w:val="114"/>
        </w:numPr>
        <w:tabs>
          <w:tab w:pos="1832" w:val="left" w:leader="none"/>
          <w:tab w:pos="1833" w:val="left" w:leader="none"/>
        </w:tabs>
        <w:spacing w:line="240" w:lineRule="auto" w:before="79" w:after="0"/>
        <w:ind w:left="1832" w:right="0" w:hanging="681"/>
        <w:jc w:val="left"/>
        <w:rPr>
          <w:sz w:val="14"/>
        </w:rPr>
      </w:pPr>
      <w:r>
        <w:rPr>
          <w:w w:val="115"/>
          <w:sz w:val="14"/>
        </w:rPr>
        <w:t>Hays, </w:t>
      </w:r>
      <w:r>
        <w:rPr>
          <w:spacing w:val="2"/>
          <w:w w:val="115"/>
          <w:sz w:val="14"/>
        </w:rPr>
        <w:t>The </w:t>
      </w:r>
      <w:r>
        <w:rPr>
          <w:w w:val="115"/>
          <w:sz w:val="14"/>
        </w:rPr>
        <w:t>Moral </w:t>
      </w:r>
      <w:r>
        <w:rPr>
          <w:spacing w:val="2"/>
          <w:w w:val="115"/>
          <w:sz w:val="14"/>
        </w:rPr>
        <w:t>Vision </w:t>
      </w:r>
      <w:r>
        <w:rPr>
          <w:w w:val="115"/>
          <w:sz w:val="14"/>
        </w:rPr>
        <w:t>of the New Testament, Edinburgh: T &amp; T Clark,</w:t>
      </w:r>
      <w:r>
        <w:rPr>
          <w:spacing w:val="-10"/>
          <w:w w:val="115"/>
          <w:sz w:val="14"/>
        </w:rPr>
        <w:t> </w:t>
      </w:r>
      <w:r>
        <w:rPr>
          <w:w w:val="115"/>
          <w:sz w:val="14"/>
        </w:rPr>
        <w:t>1997</w:t>
      </w:r>
    </w:p>
    <w:p>
      <w:pPr>
        <w:spacing w:after="0" w:line="240" w:lineRule="auto"/>
        <w:jc w:val="left"/>
        <w:rPr>
          <w:sz w:val="14"/>
        </w:rPr>
        <w:sectPr>
          <w:pgSz w:w="11910" w:h="16840"/>
          <w:pgMar w:header="558" w:footer="564" w:top="820" w:bottom="760" w:left="460" w:right="0"/>
        </w:sectPr>
      </w:pPr>
    </w:p>
    <w:p>
      <w:pPr>
        <w:pStyle w:val="BodyText"/>
        <w:spacing w:before="9"/>
        <w:rPr>
          <w:sz w:val="13"/>
        </w:rPr>
      </w:pPr>
    </w:p>
    <w:p>
      <w:pPr>
        <w:pStyle w:val="BodyText"/>
        <w:spacing w:line="273" w:lineRule="auto" w:before="101"/>
        <w:ind w:left="1354" w:right="1696"/>
      </w:pPr>
      <w:r>
        <w:rPr>
          <w:w w:val="110"/>
        </w:rPr>
        <w:t>Human life, in common with the whole material world, is created by God, who loves it and has pronounced it ‘very good’. However, human life and the world are flawed and alienated from God in profound and complex ways (in traditional Christian language, ‘fallen’). But God has responded decisively to this predicament, offering humanity and the world, the hope of healing, reconciliation and ultimate fulfilment in and through the life, death and resurrection of Jesus Christ.</w:t>
      </w:r>
    </w:p>
    <w:p>
      <w:pPr>
        <w:pStyle w:val="BodyText"/>
        <w:spacing w:before="10"/>
        <w:rPr>
          <w:sz w:val="20"/>
        </w:rPr>
      </w:pPr>
    </w:p>
    <w:p>
      <w:pPr>
        <w:pStyle w:val="BodyText"/>
        <w:spacing w:line="273" w:lineRule="auto"/>
        <w:ind w:left="1354" w:right="1957"/>
      </w:pPr>
      <w:r>
        <w:rPr>
          <w:spacing w:val="2"/>
          <w:w w:val="110"/>
        </w:rPr>
        <w:t>Because </w:t>
      </w:r>
      <w:r>
        <w:rPr>
          <w:w w:val="110"/>
        </w:rPr>
        <w:t>humans are God’s creatures, our life is not our own, but is given to us as a loan or gift by God; this understanding lies, for example, behind the biblical prohibition of</w:t>
      </w:r>
      <w:r>
        <w:rPr>
          <w:spacing w:val="1"/>
          <w:w w:val="110"/>
        </w:rPr>
        <w:t> </w:t>
      </w:r>
      <w:r>
        <w:rPr>
          <w:w w:val="110"/>
        </w:rPr>
        <w:t>murder.</w:t>
      </w:r>
    </w:p>
    <w:p>
      <w:pPr>
        <w:pStyle w:val="BodyText"/>
        <w:spacing w:before="9"/>
        <w:rPr>
          <w:sz w:val="20"/>
        </w:rPr>
      </w:pPr>
    </w:p>
    <w:p>
      <w:pPr>
        <w:pStyle w:val="BodyText"/>
        <w:spacing w:line="273" w:lineRule="auto"/>
        <w:ind w:left="1354" w:right="2061"/>
      </w:pPr>
      <w:r>
        <w:rPr>
          <w:w w:val="110"/>
        </w:rPr>
        <w:t>Because every human is one of God’s beloved creatures, for whom Christ died, every human life has great and unconditional value. No human life, however limited, damaged or dependent, is beyond the reach of God’s love. This should make us highly suspicious of the claim, often made in discussions of medical ethics, that some human lives are not worth living, or that some human individuals have less of a claim to our respect and protection than others.</w:t>
      </w:r>
    </w:p>
    <w:p>
      <w:pPr>
        <w:pStyle w:val="BodyText"/>
        <w:spacing w:before="10"/>
        <w:rPr>
          <w:sz w:val="20"/>
        </w:rPr>
      </w:pPr>
    </w:p>
    <w:p>
      <w:pPr>
        <w:pStyle w:val="BodyText"/>
        <w:spacing w:line="273" w:lineRule="auto" w:before="1"/>
        <w:ind w:left="1354" w:right="2053"/>
      </w:pPr>
      <w:r>
        <w:rPr>
          <w:spacing w:val="-3"/>
          <w:w w:val="110"/>
        </w:rPr>
        <w:t>However, </w:t>
      </w:r>
      <w:r>
        <w:rPr>
          <w:w w:val="110"/>
        </w:rPr>
        <w:t>it would be misleading to talk of human life in this world as having   an ‘absolute’ or ‘infinite’ value: Christians have not usually thought that human lives</w:t>
      </w:r>
      <w:r>
        <w:rPr>
          <w:spacing w:val="9"/>
          <w:w w:val="110"/>
        </w:rPr>
        <w:t> </w:t>
      </w:r>
      <w:r>
        <w:rPr>
          <w:w w:val="110"/>
        </w:rPr>
        <w:t>should</w:t>
      </w:r>
      <w:r>
        <w:rPr>
          <w:spacing w:val="9"/>
          <w:w w:val="110"/>
        </w:rPr>
        <w:t> </w:t>
      </w:r>
      <w:r>
        <w:rPr>
          <w:w w:val="110"/>
        </w:rPr>
        <w:t>always</w:t>
      </w:r>
      <w:r>
        <w:rPr>
          <w:spacing w:val="10"/>
          <w:w w:val="110"/>
        </w:rPr>
        <w:t> </w:t>
      </w:r>
      <w:r>
        <w:rPr>
          <w:w w:val="110"/>
        </w:rPr>
        <w:t>be</w:t>
      </w:r>
      <w:r>
        <w:rPr>
          <w:spacing w:val="9"/>
          <w:w w:val="110"/>
        </w:rPr>
        <w:t> </w:t>
      </w:r>
      <w:r>
        <w:rPr>
          <w:w w:val="110"/>
        </w:rPr>
        <w:t>prolonged</w:t>
      </w:r>
      <w:r>
        <w:rPr>
          <w:spacing w:val="9"/>
          <w:w w:val="110"/>
        </w:rPr>
        <w:t> </w:t>
      </w:r>
      <w:r>
        <w:rPr>
          <w:w w:val="110"/>
        </w:rPr>
        <w:t>at</w:t>
      </w:r>
      <w:r>
        <w:rPr>
          <w:spacing w:val="10"/>
          <w:w w:val="110"/>
        </w:rPr>
        <w:t> </w:t>
      </w:r>
      <w:r>
        <w:rPr>
          <w:w w:val="110"/>
        </w:rPr>
        <w:t>all</w:t>
      </w:r>
      <w:r>
        <w:rPr>
          <w:spacing w:val="8"/>
          <w:w w:val="110"/>
        </w:rPr>
        <w:t> </w:t>
      </w:r>
      <w:r>
        <w:rPr>
          <w:spacing w:val="2"/>
          <w:w w:val="110"/>
        </w:rPr>
        <w:t>costs.</w:t>
      </w:r>
      <w:r>
        <w:rPr>
          <w:spacing w:val="9"/>
          <w:w w:val="110"/>
        </w:rPr>
        <w:t> </w:t>
      </w:r>
      <w:r>
        <w:rPr>
          <w:w w:val="110"/>
        </w:rPr>
        <w:t>Indeed,</w:t>
      </w:r>
      <w:r>
        <w:rPr>
          <w:spacing w:val="9"/>
          <w:w w:val="110"/>
        </w:rPr>
        <w:t> </w:t>
      </w:r>
      <w:r>
        <w:rPr>
          <w:w w:val="110"/>
        </w:rPr>
        <w:t>the</w:t>
      </w:r>
      <w:r>
        <w:rPr>
          <w:spacing w:val="10"/>
          <w:w w:val="110"/>
        </w:rPr>
        <w:t> </w:t>
      </w:r>
      <w:r>
        <w:rPr>
          <w:w w:val="110"/>
        </w:rPr>
        <w:t>Christian</w:t>
      </w:r>
      <w:r>
        <w:rPr>
          <w:spacing w:val="9"/>
          <w:w w:val="110"/>
        </w:rPr>
        <w:t> </w:t>
      </w:r>
      <w:r>
        <w:rPr>
          <w:w w:val="110"/>
        </w:rPr>
        <w:t>tradition</w:t>
      </w:r>
      <w:r>
        <w:rPr>
          <w:spacing w:val="10"/>
          <w:w w:val="110"/>
        </w:rPr>
        <w:t> </w:t>
      </w:r>
      <w:r>
        <w:rPr>
          <w:w w:val="110"/>
        </w:rPr>
        <w:t>of</w:t>
      </w:r>
    </w:p>
    <w:p>
      <w:pPr>
        <w:pStyle w:val="BodyText"/>
        <w:spacing w:line="273" w:lineRule="auto" w:before="2"/>
        <w:ind w:left="1354" w:right="1829"/>
      </w:pPr>
      <w:r>
        <w:rPr>
          <w:w w:val="110"/>
        </w:rPr>
        <w:t>honouring </w:t>
      </w:r>
      <w:r>
        <w:rPr>
          <w:spacing w:val="3"/>
          <w:w w:val="110"/>
        </w:rPr>
        <w:t>martyrs </w:t>
      </w:r>
      <w:r>
        <w:rPr>
          <w:w w:val="110"/>
        </w:rPr>
        <w:t>suggests that there are situations in which it is wrong to cling to life. The Christian faith in the </w:t>
      </w:r>
      <w:r>
        <w:rPr>
          <w:spacing w:val="2"/>
          <w:w w:val="110"/>
        </w:rPr>
        <w:t>resurrection </w:t>
      </w:r>
      <w:r>
        <w:rPr>
          <w:w w:val="110"/>
        </w:rPr>
        <w:t>of Jesus Christ means that our hope is not </w:t>
      </w:r>
      <w:r>
        <w:rPr>
          <w:spacing w:val="2"/>
          <w:w w:val="110"/>
        </w:rPr>
        <w:t>‘for </w:t>
      </w:r>
      <w:r>
        <w:rPr>
          <w:w w:val="110"/>
        </w:rPr>
        <w:t>this life only’ </w:t>
      </w:r>
      <w:r>
        <w:rPr>
          <w:spacing w:val="-8"/>
          <w:w w:val="110"/>
        </w:rPr>
        <w:t>(1 </w:t>
      </w:r>
      <w:r>
        <w:rPr>
          <w:w w:val="110"/>
        </w:rPr>
        <w:t>Cor </w:t>
      </w:r>
      <w:r>
        <w:rPr>
          <w:spacing w:val="-9"/>
          <w:w w:val="110"/>
        </w:rPr>
        <w:t>15:19), </w:t>
      </w:r>
      <w:r>
        <w:rPr>
          <w:w w:val="110"/>
        </w:rPr>
        <w:t>and that God’s loving </w:t>
      </w:r>
      <w:r>
        <w:rPr>
          <w:spacing w:val="2"/>
          <w:w w:val="110"/>
        </w:rPr>
        <w:t>care </w:t>
      </w:r>
      <w:r>
        <w:rPr>
          <w:w w:val="110"/>
        </w:rPr>
        <w:t>for us does not cease with our</w:t>
      </w:r>
      <w:r>
        <w:rPr>
          <w:spacing w:val="3"/>
          <w:w w:val="110"/>
        </w:rPr>
        <w:t> </w:t>
      </w:r>
      <w:r>
        <w:rPr>
          <w:w w:val="110"/>
        </w:rPr>
        <w:t>death.</w:t>
      </w:r>
    </w:p>
    <w:p>
      <w:pPr>
        <w:pStyle w:val="BodyText"/>
        <w:spacing w:before="9"/>
        <w:rPr>
          <w:sz w:val="20"/>
        </w:rPr>
      </w:pPr>
    </w:p>
    <w:p>
      <w:pPr>
        <w:pStyle w:val="BodyText"/>
        <w:spacing w:line="273" w:lineRule="auto"/>
        <w:ind w:left="1354" w:right="1829"/>
      </w:pPr>
      <w:r>
        <w:rPr>
          <w:w w:val="110"/>
        </w:rPr>
        <w:t>A major theme in the Bible is God’s covenant relationships with humankind, and with particular communities (notably Israel and the Church); this leads some Christian ethicists to think of particular human relationships, including marriage, family life and professional/patient relationships in health care, as covenant relationships that call for particular virtues and impose particular obligations.</w:t>
      </w:r>
    </w:p>
    <w:p>
      <w:pPr>
        <w:pStyle w:val="BodyText"/>
        <w:rPr>
          <w:sz w:val="20"/>
        </w:rPr>
      </w:pPr>
    </w:p>
    <w:p>
      <w:pPr>
        <w:pStyle w:val="BodyText"/>
        <w:spacing w:before="11"/>
        <w:rPr>
          <w:sz w:val="16"/>
        </w:rPr>
      </w:pPr>
      <w:r>
        <w:rPr/>
        <w:pict>
          <v:shape style="position:absolute;margin-left:58.693001pt;margin-top:14.223026pt;width:452.55pt;height:168pt;mso-position-horizontal-relative:page;mso-position-vertical-relative:paragraph;z-index:-251365376;mso-wrap-distance-left:0;mso-wrap-distance-right:0" type="#_x0000_t202" filled="true" fillcolor="#7c7c7c" stroked="true" strokeweight="4pt" strokecolor="#acacac">
            <v:textbox inset="0,0,0,0">
              <w:txbxContent>
                <w:p>
                  <w:pPr>
                    <w:spacing w:before="244"/>
                    <w:ind w:left="146" w:right="0" w:firstLine="0"/>
                    <w:jc w:val="left"/>
                    <w:rPr>
                      <w:b/>
                      <w:sz w:val="38"/>
                    </w:rPr>
                  </w:pPr>
                  <w:r>
                    <w:rPr>
                      <w:b/>
                      <w:color w:val="FFFFFF"/>
                      <w:w w:val="110"/>
                      <w:sz w:val="38"/>
                    </w:rPr>
                    <w:t>Questions</w:t>
                  </w:r>
                </w:p>
                <w:p>
                  <w:pPr>
                    <w:numPr>
                      <w:ilvl w:val="0"/>
                      <w:numId w:val="115"/>
                    </w:numPr>
                    <w:tabs>
                      <w:tab w:pos="600" w:val="left" w:leader="none"/>
                      <w:tab w:pos="601" w:val="left" w:leader="none"/>
                    </w:tabs>
                    <w:spacing w:line="273" w:lineRule="auto" w:before="240"/>
                    <w:ind w:left="600" w:right="600" w:hanging="454"/>
                    <w:jc w:val="left"/>
                    <w:rPr>
                      <w:b/>
                      <w:sz w:val="18"/>
                    </w:rPr>
                  </w:pPr>
                  <w:r>
                    <w:rPr>
                      <w:b/>
                      <w:color w:val="FFFFFF"/>
                      <w:w w:val="110"/>
                      <w:sz w:val="18"/>
                    </w:rPr>
                    <w:t>What does it mean to be </w:t>
                  </w:r>
                  <w:r>
                    <w:rPr>
                      <w:b/>
                      <w:color w:val="FFFFFF"/>
                      <w:spacing w:val="2"/>
                      <w:w w:val="110"/>
                      <w:sz w:val="18"/>
                    </w:rPr>
                    <w:t>created </w:t>
                  </w:r>
                  <w:r>
                    <w:rPr>
                      <w:b/>
                      <w:color w:val="FFFFFF"/>
                      <w:w w:val="110"/>
                      <w:sz w:val="18"/>
                    </w:rPr>
                    <w:t>by God and how does that relate to our </w:t>
                  </w:r>
                  <w:r>
                    <w:rPr>
                      <w:b/>
                      <w:color w:val="FFFFFF"/>
                      <w:spacing w:val="2"/>
                      <w:w w:val="110"/>
                      <w:sz w:val="18"/>
                    </w:rPr>
                    <w:t>attitudes </w:t>
                  </w:r>
                  <w:r>
                    <w:rPr>
                      <w:b/>
                      <w:color w:val="FFFFFF"/>
                      <w:w w:val="110"/>
                      <w:sz w:val="18"/>
                    </w:rPr>
                    <w:t>towards life and</w:t>
                  </w:r>
                  <w:r>
                    <w:rPr>
                      <w:b/>
                      <w:color w:val="FFFFFF"/>
                      <w:spacing w:val="2"/>
                      <w:w w:val="110"/>
                      <w:sz w:val="18"/>
                    </w:rPr>
                    <w:t> </w:t>
                  </w:r>
                  <w:r>
                    <w:rPr>
                      <w:b/>
                      <w:color w:val="FFFFFF"/>
                      <w:w w:val="110"/>
                      <w:sz w:val="18"/>
                    </w:rPr>
                    <w:t>death?</w:t>
                  </w:r>
                </w:p>
                <w:p>
                  <w:pPr>
                    <w:pStyle w:val="BodyText"/>
                    <w:spacing w:before="8"/>
                    <w:rPr>
                      <w:b/>
                      <w:sz w:val="20"/>
                    </w:rPr>
                  </w:pPr>
                </w:p>
                <w:p>
                  <w:pPr>
                    <w:numPr>
                      <w:ilvl w:val="0"/>
                      <w:numId w:val="115"/>
                    </w:numPr>
                    <w:tabs>
                      <w:tab w:pos="600" w:val="left" w:leader="none"/>
                      <w:tab w:pos="601" w:val="left" w:leader="none"/>
                    </w:tabs>
                    <w:spacing w:line="273" w:lineRule="auto" w:before="0"/>
                    <w:ind w:left="600" w:right="1371" w:hanging="454"/>
                    <w:jc w:val="left"/>
                    <w:rPr>
                      <w:b/>
                      <w:sz w:val="18"/>
                    </w:rPr>
                  </w:pPr>
                  <w:r>
                    <w:rPr>
                      <w:b/>
                      <w:color w:val="FFFFFF"/>
                      <w:w w:val="110"/>
                      <w:sz w:val="18"/>
                    </w:rPr>
                    <w:t>What do we understand by a covenant relationship with God? How do we honour that relationship with</w:t>
                  </w:r>
                  <w:r>
                    <w:rPr>
                      <w:b/>
                      <w:color w:val="FFFFFF"/>
                      <w:spacing w:val="17"/>
                      <w:w w:val="110"/>
                      <w:sz w:val="18"/>
                    </w:rPr>
                    <w:t> </w:t>
                  </w:r>
                  <w:r>
                    <w:rPr>
                      <w:b/>
                      <w:color w:val="FFFFFF"/>
                      <w:w w:val="110"/>
                      <w:sz w:val="18"/>
                    </w:rPr>
                    <w:t>God?</w:t>
                  </w:r>
                </w:p>
                <w:p>
                  <w:pPr>
                    <w:pStyle w:val="BodyText"/>
                    <w:spacing w:before="8"/>
                    <w:rPr>
                      <w:b/>
                      <w:sz w:val="20"/>
                    </w:rPr>
                  </w:pPr>
                </w:p>
                <w:p>
                  <w:pPr>
                    <w:numPr>
                      <w:ilvl w:val="0"/>
                      <w:numId w:val="115"/>
                    </w:numPr>
                    <w:tabs>
                      <w:tab w:pos="600" w:val="left" w:leader="none"/>
                      <w:tab w:pos="601" w:val="left" w:leader="none"/>
                    </w:tabs>
                    <w:spacing w:line="273" w:lineRule="auto" w:before="0"/>
                    <w:ind w:left="600" w:right="971" w:hanging="454"/>
                    <w:jc w:val="left"/>
                    <w:rPr>
                      <w:b/>
                      <w:sz w:val="18"/>
                    </w:rPr>
                  </w:pPr>
                  <w:r>
                    <w:rPr>
                      <w:b/>
                      <w:color w:val="FFFFFF"/>
                      <w:w w:val="110"/>
                      <w:sz w:val="18"/>
                    </w:rPr>
                    <w:t>How do we value human life? </w:t>
                  </w:r>
                  <w:r>
                    <w:rPr>
                      <w:b/>
                      <w:color w:val="FFFFFF"/>
                      <w:spacing w:val="2"/>
                      <w:w w:val="110"/>
                      <w:sz w:val="18"/>
                    </w:rPr>
                    <w:t>Does </w:t>
                  </w:r>
                  <w:r>
                    <w:rPr>
                      <w:b/>
                      <w:color w:val="FFFFFF"/>
                      <w:w w:val="110"/>
                      <w:sz w:val="18"/>
                    </w:rPr>
                    <w:t>the value of a human life ever </w:t>
                  </w:r>
                  <w:r>
                    <w:rPr>
                      <w:b/>
                      <w:color w:val="FFFFFF"/>
                      <w:spacing w:val="2"/>
                      <w:w w:val="110"/>
                      <w:sz w:val="18"/>
                    </w:rPr>
                    <w:t>become</w:t>
                  </w:r>
                  <w:r>
                    <w:rPr>
                      <w:b/>
                      <w:color w:val="FFFFFF"/>
                      <w:w w:val="110"/>
                      <w:sz w:val="18"/>
                    </w:rPr>
                    <w:t> worthless?</w:t>
                  </w:r>
                </w:p>
              </w:txbxContent>
            </v:textbox>
            <v:fill type="solid"/>
            <v:stroke dashstyle="solid"/>
            <w10:wrap type="topAndBottom"/>
          </v:shape>
        </w:pict>
      </w:r>
    </w:p>
    <w:p>
      <w:pPr>
        <w:spacing w:after="0"/>
        <w:rPr>
          <w:sz w:val="16"/>
        </w:rPr>
        <w:sectPr>
          <w:pgSz w:w="11910" w:h="16840"/>
          <w:pgMar w:header="558" w:footer="564" w:top="820" w:bottom="760" w:left="460" w:right="0"/>
        </w:sectPr>
      </w:pPr>
    </w:p>
    <w:p>
      <w:pPr>
        <w:pStyle w:val="BodyText"/>
        <w:spacing w:before="11"/>
        <w:rPr>
          <w:sz w:val="7"/>
        </w:rPr>
      </w:pPr>
    </w:p>
    <w:p>
      <w:pPr>
        <w:pStyle w:val="BodyText"/>
        <w:ind w:left="673"/>
        <w:rPr>
          <w:sz w:val="20"/>
        </w:rPr>
      </w:pPr>
      <w:r>
        <w:rPr>
          <w:sz w:val="20"/>
        </w:rPr>
        <w:pict>
          <v:group style="width:491.2pt;height:60.1pt;mso-position-horizontal-relative:char;mso-position-vertical-relative:line" coordorigin="0,0" coordsize="9824,1202">
            <v:rect style="position:absolute;left:477;top:0;width:9346;height:1124" filled="true" fillcolor="#000000" stroked="false">
              <v:fill opacity="49152f" type="solid"/>
            </v:rect>
            <v:shape style="position:absolute;left:556;top:192;width:9071;height:849" coordorigin="557,193" coordsize="9071,849" path="m9388,193l557,193,557,1041,9388,1041,9527,1034,9598,988,9624,862,9628,617,9624,371,9598,246,9527,199,9388,193xe" filled="true" fillcolor="#ffffff" stroked="false">
              <v:path arrowok="t"/>
              <v:fill type="solid"/>
            </v:shape>
            <v:shape style="position:absolute;left:556;top:192;width:9071;height:849" coordorigin="557,193" coordsize="9071,849" path="m9628,617l9624,371,9598,246,9527,199,9388,193,557,193,557,1041,9388,1041,9527,1034,9598,988,9624,862,9628,617xe" filled="false" stroked="true" strokeweight=".25pt" strokecolor="#000000">
              <v:path arrowok="t"/>
              <v:stroke dashstyle="solid"/>
            </v:shape>
            <v:rect style="position:absolute;left:10;top:261;width:1256;height:930" filled="true" fillcolor="#ffffff" stroked="false">
              <v:fill type="solid"/>
            </v:rect>
            <v:rect style="position:absolute;left:10;top:261;width:1256;height:930" filled="false" stroked="true" strokeweight="1pt" strokecolor="#ffffff">
              <v:stroke dashstyle="solid"/>
            </v:rect>
            <v:shape style="position:absolute;left:0;top:0;width:9824;height:1202" type="#_x0000_t202" filled="false" stroked="false">
              <v:textbox inset="0,0,0,0">
                <w:txbxContent>
                  <w:p>
                    <w:pPr>
                      <w:tabs>
                        <w:tab w:pos="1286" w:val="left" w:leader="none"/>
                      </w:tabs>
                      <w:spacing w:line="244" w:lineRule="auto" w:before="237"/>
                      <w:ind w:left="1286" w:right="452" w:hanging="720"/>
                      <w:jc w:val="left"/>
                      <w:rPr>
                        <w:b/>
                        <w:sz w:val="29"/>
                      </w:rPr>
                    </w:pPr>
                    <w:r>
                      <w:rPr>
                        <w:b/>
                        <w:spacing w:val="-3"/>
                        <w:w w:val="110"/>
                        <w:sz w:val="29"/>
                      </w:rPr>
                      <w:t>3.</w:t>
                      <w:tab/>
                    </w:r>
                    <w:r>
                      <w:rPr>
                        <w:b/>
                        <w:w w:val="110"/>
                        <w:sz w:val="29"/>
                      </w:rPr>
                      <w:t>SUFFERING, </w:t>
                    </w:r>
                    <w:r>
                      <w:rPr>
                        <w:b/>
                        <w:spacing w:val="-4"/>
                        <w:w w:val="110"/>
                        <w:sz w:val="29"/>
                      </w:rPr>
                      <w:t>DYING </w:t>
                    </w:r>
                    <w:r>
                      <w:rPr>
                        <w:b/>
                        <w:w w:val="110"/>
                        <w:sz w:val="29"/>
                      </w:rPr>
                      <w:t>AND FEARS ASSOCIATED WITH END OF LIFE ISSUES</w:t>
                    </w:r>
                  </w:p>
                </w:txbxContent>
              </v:textbox>
              <w10:wrap type="none"/>
            </v:shape>
          </v:group>
        </w:pict>
      </w:r>
      <w:r>
        <w:rPr>
          <w:sz w:val="20"/>
        </w:rPr>
      </w:r>
    </w:p>
    <w:p>
      <w:pPr>
        <w:pStyle w:val="BodyText"/>
        <w:spacing w:before="8"/>
        <w:rPr>
          <w:sz w:val="10"/>
        </w:rPr>
      </w:pPr>
    </w:p>
    <w:p>
      <w:pPr>
        <w:pStyle w:val="Heading9"/>
        <w:spacing w:before="98"/>
      </w:pPr>
      <w:r>
        <w:rPr>
          <w:w w:val="110"/>
        </w:rPr>
        <w:t>Prayer</w:t>
      </w:r>
    </w:p>
    <w:p>
      <w:pPr>
        <w:pStyle w:val="BodyText"/>
        <w:spacing w:line="273" w:lineRule="auto" w:before="122"/>
        <w:ind w:left="1240" w:right="1143"/>
      </w:pPr>
      <w:r>
        <w:rPr>
          <w:w w:val="110"/>
        </w:rPr>
        <w:t>We give thanks Lord, that we have come together to think and talk about the great mysteries of suffering and death. We thank you that you have an everlasting love for us, and that you want us to love and care for others.</w:t>
      </w:r>
    </w:p>
    <w:p>
      <w:pPr>
        <w:pStyle w:val="BodyText"/>
        <w:spacing w:line="273" w:lineRule="auto" w:before="2"/>
        <w:ind w:left="1240" w:right="1194"/>
      </w:pPr>
      <w:r>
        <w:rPr>
          <w:spacing w:val="-3"/>
          <w:w w:val="110"/>
        </w:rPr>
        <w:t>We </w:t>
      </w:r>
      <w:r>
        <w:rPr>
          <w:w w:val="110"/>
        </w:rPr>
        <w:t>are </w:t>
      </w:r>
      <w:r>
        <w:rPr>
          <w:spacing w:val="2"/>
          <w:w w:val="110"/>
        </w:rPr>
        <w:t>often </w:t>
      </w:r>
      <w:r>
        <w:rPr>
          <w:w w:val="110"/>
        </w:rPr>
        <w:t>afraid to talk about </w:t>
      </w:r>
      <w:r>
        <w:rPr>
          <w:spacing w:val="2"/>
          <w:w w:val="110"/>
        </w:rPr>
        <w:t>suffering </w:t>
      </w:r>
      <w:r>
        <w:rPr>
          <w:w w:val="110"/>
        </w:rPr>
        <w:t>and dying </w:t>
      </w:r>
      <w:r>
        <w:rPr>
          <w:spacing w:val="2"/>
          <w:w w:val="110"/>
        </w:rPr>
        <w:t>because </w:t>
      </w:r>
      <w:r>
        <w:rPr>
          <w:w w:val="110"/>
        </w:rPr>
        <w:t>we do not know the answers to these mysteries and we are </w:t>
      </w:r>
      <w:r>
        <w:rPr>
          <w:spacing w:val="2"/>
          <w:w w:val="110"/>
        </w:rPr>
        <w:t>fearful </w:t>
      </w:r>
      <w:r>
        <w:rPr>
          <w:w w:val="110"/>
        </w:rPr>
        <w:t>in </w:t>
      </w:r>
      <w:r>
        <w:rPr>
          <w:spacing w:val="2"/>
          <w:w w:val="110"/>
        </w:rPr>
        <w:t>case </w:t>
      </w:r>
      <w:r>
        <w:rPr>
          <w:w w:val="110"/>
        </w:rPr>
        <w:t>we upset others and unsettle ourselves. May your Holy Spirit guide us as we look at the scriptures and speak with one another. Help us to understand more of your love for us and for all people and give us insights into the mysteries of </w:t>
      </w:r>
      <w:r>
        <w:rPr>
          <w:spacing w:val="2"/>
          <w:w w:val="110"/>
        </w:rPr>
        <w:t>suffering </w:t>
      </w:r>
      <w:r>
        <w:rPr>
          <w:w w:val="110"/>
        </w:rPr>
        <w:t>and death and take away our </w:t>
      </w:r>
      <w:r>
        <w:rPr>
          <w:spacing w:val="-3"/>
          <w:w w:val="110"/>
        </w:rPr>
        <w:t>fear. </w:t>
      </w:r>
      <w:r>
        <w:rPr>
          <w:w w:val="110"/>
        </w:rPr>
        <w:t>Help us in our discussions to be sensitive to one another’s feelings and help us to know how we should </w:t>
      </w:r>
      <w:r>
        <w:rPr>
          <w:spacing w:val="2"/>
          <w:w w:val="110"/>
        </w:rPr>
        <w:t>act </w:t>
      </w:r>
      <w:r>
        <w:rPr>
          <w:w w:val="110"/>
        </w:rPr>
        <w:t>as individuals and as a church or group in </w:t>
      </w:r>
      <w:r>
        <w:rPr>
          <w:spacing w:val="3"/>
          <w:w w:val="110"/>
        </w:rPr>
        <w:t>respect </w:t>
      </w:r>
      <w:r>
        <w:rPr>
          <w:w w:val="110"/>
        </w:rPr>
        <w:t>of end of life</w:t>
      </w:r>
      <w:r>
        <w:rPr>
          <w:spacing w:val="48"/>
          <w:w w:val="110"/>
        </w:rPr>
        <w:t> </w:t>
      </w:r>
      <w:r>
        <w:rPr>
          <w:w w:val="110"/>
        </w:rPr>
        <w:t>issues.</w:t>
      </w:r>
    </w:p>
    <w:p>
      <w:pPr>
        <w:pStyle w:val="BodyText"/>
        <w:spacing w:line="273" w:lineRule="auto" w:before="4"/>
        <w:ind w:left="1240" w:right="1365"/>
      </w:pPr>
      <w:r>
        <w:rPr>
          <w:w w:val="110"/>
        </w:rPr>
        <w:t>Thank you that you died and suffered and rose again for us, so that we may know more about the mystery of death and life everlasting. In Jesus’ name, Amen.</w:t>
      </w:r>
    </w:p>
    <w:p>
      <w:pPr>
        <w:pStyle w:val="BodyText"/>
        <w:spacing w:before="7"/>
        <w:rPr>
          <w:sz w:val="20"/>
        </w:rPr>
      </w:pPr>
    </w:p>
    <w:p>
      <w:pPr>
        <w:pStyle w:val="Heading9"/>
      </w:pPr>
      <w:r>
        <w:rPr>
          <w:w w:val="110"/>
        </w:rPr>
        <w:t>Bible Reading</w:t>
      </w:r>
    </w:p>
    <w:p>
      <w:pPr>
        <w:pStyle w:val="BodyText"/>
        <w:spacing w:before="122"/>
        <w:ind w:left="1240"/>
      </w:pPr>
      <w:r>
        <w:rPr>
          <w:w w:val="110"/>
        </w:rPr>
        <w:t>Luke 10: 25-37. Mark 12: 28-34. Matthew 19: 16-19. James 5: 13-16</w:t>
      </w:r>
    </w:p>
    <w:p>
      <w:pPr>
        <w:pStyle w:val="BodyText"/>
        <w:spacing w:before="2"/>
        <w:rPr>
          <w:sz w:val="23"/>
        </w:rPr>
      </w:pPr>
    </w:p>
    <w:p>
      <w:pPr>
        <w:pStyle w:val="BodyText"/>
        <w:spacing w:line="273" w:lineRule="auto"/>
        <w:ind w:left="1240" w:right="1365"/>
      </w:pPr>
      <w:r>
        <w:rPr>
          <w:w w:val="110"/>
        </w:rPr>
        <w:t>See Sections 4.3 – 5 of the report, and most other sections. Also see case studies and Appendix D (healing ministry).</w:t>
      </w:r>
    </w:p>
    <w:p>
      <w:pPr>
        <w:pStyle w:val="BodyText"/>
        <w:spacing w:line="273" w:lineRule="auto" w:before="1"/>
        <w:ind w:left="1240" w:right="1358"/>
      </w:pPr>
      <w:r>
        <w:rPr>
          <w:w w:val="110"/>
        </w:rPr>
        <w:t>This is not a subject that can be addressed in isolation for we live in communities, thus it</w:t>
      </w:r>
      <w:r>
        <w:rPr>
          <w:spacing w:val="7"/>
          <w:w w:val="110"/>
        </w:rPr>
        <w:t> </w:t>
      </w:r>
      <w:r>
        <w:rPr>
          <w:w w:val="110"/>
        </w:rPr>
        <w:t>relates</w:t>
      </w:r>
      <w:r>
        <w:rPr>
          <w:spacing w:val="8"/>
          <w:w w:val="110"/>
        </w:rPr>
        <w:t> </w:t>
      </w:r>
      <w:r>
        <w:rPr>
          <w:w w:val="110"/>
        </w:rPr>
        <w:t>to</w:t>
      </w:r>
      <w:r>
        <w:rPr>
          <w:spacing w:val="8"/>
          <w:w w:val="110"/>
        </w:rPr>
        <w:t> </w:t>
      </w:r>
      <w:r>
        <w:rPr>
          <w:w w:val="110"/>
        </w:rPr>
        <w:t>the</w:t>
      </w:r>
      <w:r>
        <w:rPr>
          <w:spacing w:val="7"/>
          <w:w w:val="110"/>
        </w:rPr>
        <w:t> </w:t>
      </w:r>
      <w:r>
        <w:rPr>
          <w:w w:val="110"/>
        </w:rPr>
        <w:t>whole</w:t>
      </w:r>
      <w:r>
        <w:rPr>
          <w:spacing w:val="8"/>
          <w:w w:val="110"/>
        </w:rPr>
        <w:t> </w:t>
      </w:r>
      <w:r>
        <w:rPr>
          <w:w w:val="110"/>
        </w:rPr>
        <w:t>of</w:t>
      </w:r>
      <w:r>
        <w:rPr>
          <w:spacing w:val="8"/>
          <w:w w:val="110"/>
        </w:rPr>
        <w:t> </w:t>
      </w:r>
      <w:r>
        <w:rPr>
          <w:w w:val="110"/>
        </w:rPr>
        <w:t>the</w:t>
      </w:r>
      <w:r>
        <w:rPr>
          <w:spacing w:val="7"/>
          <w:w w:val="110"/>
        </w:rPr>
        <w:t> </w:t>
      </w:r>
      <w:r>
        <w:rPr>
          <w:spacing w:val="3"/>
          <w:w w:val="110"/>
        </w:rPr>
        <w:t>report</w:t>
      </w:r>
      <w:r>
        <w:rPr>
          <w:spacing w:val="8"/>
          <w:w w:val="110"/>
        </w:rPr>
        <w:t> </w:t>
      </w:r>
      <w:r>
        <w:rPr>
          <w:w w:val="110"/>
        </w:rPr>
        <w:t>and</w:t>
      </w:r>
      <w:r>
        <w:rPr>
          <w:spacing w:val="8"/>
          <w:w w:val="110"/>
        </w:rPr>
        <w:t> </w:t>
      </w:r>
      <w:r>
        <w:rPr>
          <w:w w:val="110"/>
        </w:rPr>
        <w:t>the</w:t>
      </w:r>
      <w:r>
        <w:rPr>
          <w:spacing w:val="7"/>
          <w:w w:val="110"/>
        </w:rPr>
        <w:t> </w:t>
      </w:r>
      <w:r>
        <w:rPr>
          <w:w w:val="110"/>
        </w:rPr>
        <w:t>Appendices.</w:t>
      </w:r>
      <w:r>
        <w:rPr>
          <w:spacing w:val="8"/>
          <w:w w:val="110"/>
        </w:rPr>
        <w:t> </w:t>
      </w:r>
      <w:r>
        <w:rPr>
          <w:w w:val="110"/>
        </w:rPr>
        <w:t>However</w:t>
      </w:r>
      <w:r>
        <w:rPr>
          <w:spacing w:val="8"/>
          <w:w w:val="110"/>
        </w:rPr>
        <w:t> </w:t>
      </w:r>
      <w:r>
        <w:rPr>
          <w:w w:val="110"/>
        </w:rPr>
        <w:t>we</w:t>
      </w:r>
      <w:r>
        <w:rPr>
          <w:spacing w:val="7"/>
          <w:w w:val="110"/>
        </w:rPr>
        <w:t> </w:t>
      </w:r>
      <w:r>
        <w:rPr>
          <w:w w:val="110"/>
        </w:rPr>
        <w:t>will</w:t>
      </w:r>
      <w:r>
        <w:rPr>
          <w:spacing w:val="7"/>
          <w:w w:val="110"/>
        </w:rPr>
        <w:t> </w:t>
      </w:r>
      <w:r>
        <w:rPr>
          <w:w w:val="110"/>
        </w:rPr>
        <w:t>endeavour</w:t>
      </w:r>
      <w:r>
        <w:rPr>
          <w:spacing w:val="8"/>
          <w:w w:val="110"/>
        </w:rPr>
        <w:t> </w:t>
      </w:r>
      <w:r>
        <w:rPr>
          <w:w w:val="110"/>
        </w:rPr>
        <w:t>to</w:t>
      </w:r>
    </w:p>
    <w:p>
      <w:pPr>
        <w:pStyle w:val="BodyText"/>
        <w:spacing w:line="273" w:lineRule="auto" w:before="1"/>
        <w:ind w:left="1240" w:right="1143"/>
      </w:pPr>
      <w:r>
        <w:rPr>
          <w:w w:val="110"/>
        </w:rPr>
        <w:t>focus on just a few aspects in this section to try to unravel our understanding of suffering and our response to it.</w:t>
      </w:r>
    </w:p>
    <w:p>
      <w:pPr>
        <w:pStyle w:val="BodyText"/>
        <w:spacing w:before="8"/>
        <w:rPr>
          <w:sz w:val="20"/>
        </w:rPr>
      </w:pPr>
    </w:p>
    <w:p>
      <w:pPr>
        <w:pStyle w:val="BodyText"/>
        <w:spacing w:line="273" w:lineRule="auto"/>
        <w:ind w:left="1240" w:right="1593"/>
      </w:pPr>
      <w:r>
        <w:rPr>
          <w:w w:val="110"/>
        </w:rPr>
        <w:t>Our responses to these issues will be informed by our faith, the teaching we have received and our own experiences. By listening to one another you may come to a different understanding and to see things from a different perspective.</w:t>
      </w:r>
    </w:p>
    <w:p>
      <w:pPr>
        <w:pStyle w:val="BodyText"/>
        <w:spacing w:before="9"/>
        <w:rPr>
          <w:sz w:val="20"/>
        </w:rPr>
      </w:pPr>
    </w:p>
    <w:p>
      <w:pPr>
        <w:pStyle w:val="BodyText"/>
        <w:spacing w:line="273" w:lineRule="auto"/>
        <w:ind w:left="1240" w:right="1365"/>
      </w:pPr>
      <w:r>
        <w:rPr>
          <w:w w:val="110"/>
        </w:rPr>
        <w:t>First, let us look at suffering from the theological perspective highlighted in section 4.3 of the report which addresses suffering; you may find it helpful to re-read that section (or read it aloud if you are in a group).</w:t>
      </w:r>
    </w:p>
    <w:p>
      <w:pPr>
        <w:pStyle w:val="BodyText"/>
        <w:spacing w:before="10"/>
        <w:rPr>
          <w:sz w:val="22"/>
        </w:rPr>
      </w:pPr>
      <w:r>
        <w:rPr/>
        <w:pict>
          <v:shape style="position:absolute;margin-left:84.039001pt;margin-top:17.836988pt;width:452.55pt;height:141.550pt;mso-position-horizontal-relative:page;mso-position-vertical-relative:paragraph;z-index:-251362304;mso-wrap-distance-left:0;mso-wrap-distance-right:0" type="#_x0000_t202" filled="true" fillcolor="#7c7c7c" stroked="true" strokeweight="4pt" strokecolor="#acacac">
            <v:textbox inset="0,0,0,0">
              <w:txbxContent>
                <w:p>
                  <w:pPr>
                    <w:spacing w:before="134"/>
                    <w:ind w:left="206" w:right="0" w:firstLine="0"/>
                    <w:jc w:val="left"/>
                    <w:rPr>
                      <w:b/>
                      <w:sz w:val="38"/>
                    </w:rPr>
                  </w:pPr>
                  <w:r>
                    <w:rPr>
                      <w:b/>
                      <w:color w:val="FFFFFF"/>
                      <w:w w:val="110"/>
                      <w:sz w:val="38"/>
                    </w:rPr>
                    <w:t>Questions</w:t>
                  </w:r>
                </w:p>
                <w:p>
                  <w:pPr>
                    <w:numPr>
                      <w:ilvl w:val="0"/>
                      <w:numId w:val="116"/>
                    </w:numPr>
                    <w:tabs>
                      <w:tab w:pos="660" w:val="left" w:leader="none"/>
                      <w:tab w:pos="661" w:val="left" w:leader="none"/>
                    </w:tabs>
                    <w:spacing w:before="239"/>
                    <w:ind w:left="660" w:right="0" w:hanging="455"/>
                    <w:jc w:val="left"/>
                    <w:rPr>
                      <w:b/>
                      <w:sz w:val="18"/>
                    </w:rPr>
                  </w:pPr>
                  <w:r>
                    <w:rPr>
                      <w:b/>
                      <w:color w:val="FFFFFF"/>
                      <w:w w:val="110"/>
                      <w:sz w:val="18"/>
                    </w:rPr>
                    <w:t>What does loving your neighbour</w:t>
                  </w:r>
                  <w:r>
                    <w:rPr>
                      <w:b/>
                      <w:color w:val="FFFFFF"/>
                      <w:spacing w:val="4"/>
                      <w:w w:val="110"/>
                      <w:sz w:val="18"/>
                    </w:rPr>
                    <w:t> </w:t>
                  </w:r>
                  <w:r>
                    <w:rPr>
                      <w:b/>
                      <w:color w:val="FFFFFF"/>
                      <w:w w:val="110"/>
                      <w:sz w:val="18"/>
                    </w:rPr>
                    <w:t>mean?</w:t>
                  </w:r>
                </w:p>
                <w:p>
                  <w:pPr>
                    <w:pStyle w:val="BodyText"/>
                    <w:spacing w:before="2"/>
                    <w:rPr>
                      <w:b/>
                      <w:sz w:val="23"/>
                    </w:rPr>
                  </w:pPr>
                </w:p>
                <w:p>
                  <w:pPr>
                    <w:numPr>
                      <w:ilvl w:val="0"/>
                      <w:numId w:val="116"/>
                    </w:numPr>
                    <w:tabs>
                      <w:tab w:pos="660" w:val="left" w:leader="none"/>
                      <w:tab w:pos="661" w:val="left" w:leader="none"/>
                    </w:tabs>
                    <w:spacing w:line="273" w:lineRule="auto" w:before="0"/>
                    <w:ind w:left="660" w:right="1322" w:hanging="454"/>
                    <w:jc w:val="left"/>
                    <w:rPr>
                      <w:b/>
                      <w:sz w:val="18"/>
                    </w:rPr>
                  </w:pPr>
                  <w:r>
                    <w:rPr>
                      <w:b/>
                      <w:color w:val="FFFFFF"/>
                      <w:w w:val="110"/>
                      <w:sz w:val="18"/>
                    </w:rPr>
                    <w:t>What is suffering? Is it only physical or are </w:t>
                  </w:r>
                  <w:r>
                    <w:rPr>
                      <w:b/>
                      <w:color w:val="FFFFFF"/>
                      <w:spacing w:val="2"/>
                      <w:w w:val="110"/>
                      <w:sz w:val="18"/>
                    </w:rPr>
                    <w:t>there </w:t>
                  </w:r>
                  <w:r>
                    <w:rPr>
                      <w:b/>
                      <w:color w:val="FFFFFF"/>
                      <w:w w:val="110"/>
                      <w:sz w:val="18"/>
                    </w:rPr>
                    <w:t>other forms of suffering? Can we </w:t>
                  </w:r>
                  <w:r>
                    <w:rPr>
                      <w:b/>
                      <w:color w:val="FFFFFF"/>
                      <w:spacing w:val="2"/>
                      <w:w w:val="110"/>
                      <w:sz w:val="18"/>
                    </w:rPr>
                    <w:t>see suffering </w:t>
                  </w:r>
                  <w:r>
                    <w:rPr>
                      <w:b/>
                      <w:color w:val="FFFFFF"/>
                      <w:w w:val="110"/>
                      <w:sz w:val="18"/>
                    </w:rPr>
                    <w:t>in</w:t>
                  </w:r>
                  <w:r>
                    <w:rPr>
                      <w:b/>
                      <w:color w:val="FFFFFF"/>
                      <w:spacing w:val="11"/>
                      <w:w w:val="110"/>
                      <w:sz w:val="18"/>
                    </w:rPr>
                    <w:t> </w:t>
                  </w:r>
                  <w:r>
                    <w:rPr>
                      <w:b/>
                      <w:color w:val="FFFFFF"/>
                      <w:w w:val="110"/>
                      <w:sz w:val="18"/>
                    </w:rPr>
                    <w:t>isolation?</w:t>
                  </w:r>
                </w:p>
                <w:p>
                  <w:pPr>
                    <w:pStyle w:val="BodyText"/>
                    <w:spacing w:before="8"/>
                    <w:rPr>
                      <w:b/>
                      <w:sz w:val="20"/>
                    </w:rPr>
                  </w:pPr>
                </w:p>
                <w:p>
                  <w:pPr>
                    <w:numPr>
                      <w:ilvl w:val="0"/>
                      <w:numId w:val="116"/>
                    </w:numPr>
                    <w:tabs>
                      <w:tab w:pos="659" w:val="left" w:leader="none"/>
                      <w:tab w:pos="661" w:val="left" w:leader="none"/>
                    </w:tabs>
                    <w:spacing w:before="0"/>
                    <w:ind w:left="660" w:right="0" w:hanging="455"/>
                    <w:jc w:val="left"/>
                    <w:rPr>
                      <w:b/>
                      <w:sz w:val="18"/>
                    </w:rPr>
                  </w:pPr>
                  <w:r>
                    <w:rPr>
                      <w:b/>
                      <w:color w:val="FFFFFF"/>
                      <w:spacing w:val="2"/>
                      <w:w w:val="110"/>
                      <w:sz w:val="18"/>
                    </w:rPr>
                    <w:t>Are </w:t>
                  </w:r>
                  <w:r>
                    <w:rPr>
                      <w:b/>
                      <w:color w:val="FFFFFF"/>
                      <w:w w:val="110"/>
                      <w:sz w:val="18"/>
                    </w:rPr>
                    <w:t>we afraid of </w:t>
                  </w:r>
                  <w:r>
                    <w:rPr>
                      <w:b/>
                      <w:color w:val="FFFFFF"/>
                      <w:spacing w:val="2"/>
                      <w:w w:val="110"/>
                      <w:sz w:val="18"/>
                    </w:rPr>
                    <w:t>suffering </w:t>
                  </w:r>
                  <w:r>
                    <w:rPr>
                      <w:b/>
                      <w:color w:val="FFFFFF"/>
                      <w:w w:val="110"/>
                      <w:sz w:val="18"/>
                    </w:rPr>
                    <w:t>for ourselves or</w:t>
                  </w:r>
                  <w:r>
                    <w:rPr>
                      <w:b/>
                      <w:color w:val="FFFFFF"/>
                      <w:spacing w:val="9"/>
                      <w:w w:val="110"/>
                      <w:sz w:val="18"/>
                    </w:rPr>
                    <w:t> </w:t>
                  </w:r>
                  <w:r>
                    <w:rPr>
                      <w:b/>
                      <w:color w:val="FFFFFF"/>
                      <w:w w:val="110"/>
                      <w:sz w:val="18"/>
                    </w:rPr>
                    <w:t>others?</w:t>
                  </w:r>
                </w:p>
                <w:p>
                  <w:pPr>
                    <w:spacing w:before="32"/>
                    <w:ind w:left="660" w:right="0" w:firstLine="0"/>
                    <w:jc w:val="left"/>
                    <w:rPr>
                      <w:b/>
                      <w:sz w:val="18"/>
                    </w:rPr>
                  </w:pPr>
                  <w:r>
                    <w:rPr>
                      <w:b/>
                      <w:color w:val="FFFFFF"/>
                      <w:w w:val="110"/>
                      <w:sz w:val="18"/>
                    </w:rPr>
                    <w:t>If so, how does that affect our response to suffering?</w:t>
                  </w:r>
                </w:p>
              </w:txbxContent>
            </v:textbox>
            <v:fill type="solid"/>
            <v:stroke dashstyle="solid"/>
            <w10:wrap type="topAndBottom"/>
          </v:shape>
        </w:pict>
      </w:r>
    </w:p>
    <w:p>
      <w:pPr>
        <w:pStyle w:val="BodyText"/>
        <w:spacing w:before="10"/>
        <w:rPr>
          <w:sz w:val="21"/>
        </w:rPr>
      </w:pPr>
    </w:p>
    <w:p>
      <w:pPr>
        <w:pStyle w:val="BodyText"/>
        <w:spacing w:line="273" w:lineRule="auto" w:before="101"/>
        <w:ind w:left="1240" w:right="1114"/>
      </w:pPr>
      <w:r>
        <w:rPr>
          <w:w w:val="110"/>
        </w:rPr>
        <w:t>‘Thou shalt not kill’ is one of the ten commandments. Our dilemma is how to </w:t>
      </w:r>
      <w:r>
        <w:rPr>
          <w:spacing w:val="2"/>
          <w:w w:val="110"/>
        </w:rPr>
        <w:t>respond </w:t>
      </w:r>
      <w:r>
        <w:rPr>
          <w:w w:val="110"/>
        </w:rPr>
        <w:t>to </w:t>
      </w:r>
      <w:r>
        <w:rPr>
          <w:spacing w:val="2"/>
          <w:w w:val="110"/>
        </w:rPr>
        <w:t>extreme suffering </w:t>
      </w:r>
      <w:r>
        <w:rPr>
          <w:w w:val="110"/>
        </w:rPr>
        <w:t>and pain, especially when the patient </w:t>
      </w:r>
      <w:r>
        <w:rPr>
          <w:spacing w:val="2"/>
          <w:w w:val="110"/>
        </w:rPr>
        <w:t>requests </w:t>
      </w:r>
      <w:r>
        <w:rPr>
          <w:w w:val="110"/>
        </w:rPr>
        <w:t>help and when complete relief is not possible, to help or allow the patient to die. Here we enter the realm of palliative </w:t>
      </w:r>
      <w:r>
        <w:rPr>
          <w:spacing w:val="2"/>
          <w:w w:val="110"/>
        </w:rPr>
        <w:t>care </w:t>
      </w:r>
      <w:r>
        <w:rPr>
          <w:w w:val="110"/>
        </w:rPr>
        <w:t>and hospices (see module 4 of this Study </w:t>
      </w:r>
      <w:r>
        <w:rPr>
          <w:spacing w:val="-3"/>
          <w:w w:val="110"/>
        </w:rPr>
        <w:t>Guide), </w:t>
      </w:r>
      <w:r>
        <w:rPr>
          <w:w w:val="110"/>
        </w:rPr>
        <w:t>Living Wills (module </w:t>
      </w:r>
      <w:r>
        <w:rPr>
          <w:spacing w:val="-4"/>
          <w:w w:val="110"/>
        </w:rPr>
        <w:t>6)  </w:t>
      </w:r>
      <w:r>
        <w:rPr>
          <w:w w:val="110"/>
        </w:rPr>
        <w:t>and social and political </w:t>
      </w:r>
      <w:r>
        <w:rPr>
          <w:spacing w:val="2"/>
          <w:w w:val="110"/>
        </w:rPr>
        <w:t>matters </w:t>
      </w:r>
      <w:r>
        <w:rPr>
          <w:w w:val="110"/>
        </w:rPr>
        <w:t>(module</w:t>
      </w:r>
      <w:r>
        <w:rPr>
          <w:spacing w:val="6"/>
          <w:w w:val="110"/>
        </w:rPr>
        <w:t> </w:t>
      </w:r>
      <w:r>
        <w:rPr>
          <w:spacing w:val="-8"/>
          <w:w w:val="110"/>
        </w:rPr>
        <w:t>1).</w:t>
      </w:r>
    </w:p>
    <w:p>
      <w:pPr>
        <w:spacing w:after="0" w:line="273" w:lineRule="auto"/>
        <w:sectPr>
          <w:pgSz w:w="11910" w:h="16840"/>
          <w:pgMar w:header="558" w:footer="564" w:top="820" w:bottom="760" w:left="460" w:right="0"/>
        </w:sectPr>
      </w:pPr>
    </w:p>
    <w:p>
      <w:pPr>
        <w:pStyle w:val="BodyText"/>
        <w:spacing w:before="9"/>
        <w:rPr>
          <w:sz w:val="13"/>
        </w:rPr>
      </w:pPr>
    </w:p>
    <w:p>
      <w:pPr>
        <w:pStyle w:val="BodyText"/>
        <w:spacing w:line="273" w:lineRule="auto" w:before="101"/>
        <w:ind w:left="673" w:right="3653"/>
      </w:pPr>
      <w:r>
        <w:rPr>
          <w:w w:val="110"/>
        </w:rPr>
        <w:t>Share with one another any experiences of suffering you feel relevant. In your opinion was this dealt with in the best possible way?</w:t>
      </w:r>
    </w:p>
    <w:p>
      <w:pPr>
        <w:pStyle w:val="BodyText"/>
        <w:spacing w:line="273" w:lineRule="auto" w:before="1"/>
        <w:ind w:left="673" w:right="5373"/>
      </w:pPr>
      <w:r>
        <w:rPr>
          <w:w w:val="110"/>
        </w:rPr>
        <w:t>If not, how could it have been dealt with differently? Were you involved in any decision</w:t>
      </w:r>
      <w:r>
        <w:rPr>
          <w:spacing w:val="13"/>
          <w:w w:val="110"/>
        </w:rPr>
        <w:t> </w:t>
      </w:r>
      <w:r>
        <w:rPr>
          <w:w w:val="110"/>
        </w:rPr>
        <w:t>making?</w:t>
      </w:r>
    </w:p>
    <w:p>
      <w:pPr>
        <w:pStyle w:val="BodyText"/>
        <w:spacing w:before="8"/>
        <w:rPr>
          <w:sz w:val="20"/>
        </w:rPr>
      </w:pPr>
    </w:p>
    <w:p>
      <w:pPr>
        <w:pStyle w:val="BodyText"/>
        <w:spacing w:line="273" w:lineRule="auto"/>
        <w:ind w:left="673" w:right="1829"/>
      </w:pPr>
      <w:r>
        <w:rPr>
          <w:w w:val="110"/>
        </w:rPr>
        <w:t>From the pastoral and practical perspective look again at section </w:t>
      </w:r>
      <w:r>
        <w:rPr>
          <w:spacing w:val="-6"/>
          <w:w w:val="110"/>
        </w:rPr>
        <w:t>5.7 </w:t>
      </w:r>
      <w:r>
        <w:rPr>
          <w:w w:val="110"/>
        </w:rPr>
        <w:t>of the report </w:t>
      </w:r>
      <w:r>
        <w:rPr>
          <w:spacing w:val="-3"/>
          <w:w w:val="110"/>
        </w:rPr>
        <w:t>(if </w:t>
      </w:r>
      <w:r>
        <w:rPr>
          <w:w w:val="110"/>
        </w:rPr>
        <w:t>you are in a group, you could read it out</w:t>
      </w:r>
      <w:r>
        <w:rPr>
          <w:spacing w:val="10"/>
          <w:w w:val="110"/>
        </w:rPr>
        <w:t> </w:t>
      </w:r>
      <w:r>
        <w:rPr>
          <w:w w:val="110"/>
        </w:rPr>
        <w:t>loud).</w:t>
      </w:r>
    </w:p>
    <w:p>
      <w:pPr>
        <w:pStyle w:val="BodyText"/>
        <w:spacing w:before="8"/>
        <w:rPr>
          <w:sz w:val="20"/>
        </w:rPr>
      </w:pPr>
    </w:p>
    <w:p>
      <w:pPr>
        <w:pStyle w:val="BodyText"/>
        <w:spacing w:line="273" w:lineRule="auto"/>
        <w:ind w:left="673" w:right="1813"/>
      </w:pPr>
      <w:r>
        <w:rPr>
          <w:w w:val="110"/>
        </w:rPr>
        <w:t>This gives the church many things to discuss in </w:t>
      </w:r>
      <w:r>
        <w:rPr>
          <w:spacing w:val="3"/>
          <w:w w:val="110"/>
        </w:rPr>
        <w:t>respect </w:t>
      </w:r>
      <w:r>
        <w:rPr>
          <w:w w:val="110"/>
        </w:rPr>
        <w:t>of how we respond to caring for </w:t>
      </w:r>
      <w:r>
        <w:rPr>
          <w:spacing w:val="3"/>
          <w:w w:val="110"/>
        </w:rPr>
        <w:t>sufferers </w:t>
      </w:r>
      <w:r>
        <w:rPr>
          <w:w w:val="110"/>
        </w:rPr>
        <w:t>in </w:t>
      </w:r>
      <w:r>
        <w:rPr>
          <w:spacing w:val="2"/>
          <w:w w:val="110"/>
        </w:rPr>
        <w:t>practical </w:t>
      </w:r>
      <w:r>
        <w:rPr>
          <w:w w:val="110"/>
        </w:rPr>
        <w:t>ways. The </w:t>
      </w:r>
      <w:r>
        <w:rPr>
          <w:spacing w:val="2"/>
          <w:w w:val="110"/>
        </w:rPr>
        <w:t>Lord </w:t>
      </w:r>
      <w:r>
        <w:rPr>
          <w:w w:val="110"/>
        </w:rPr>
        <w:t>taught us and showed us how to </w:t>
      </w:r>
      <w:r>
        <w:rPr>
          <w:spacing w:val="-4"/>
          <w:w w:val="110"/>
        </w:rPr>
        <w:t>pray, </w:t>
      </w:r>
      <w:r>
        <w:rPr>
          <w:w w:val="110"/>
        </w:rPr>
        <w:t>in James </w:t>
      </w:r>
      <w:r>
        <w:rPr>
          <w:spacing w:val="-6"/>
          <w:w w:val="110"/>
        </w:rPr>
        <w:t>5: </w:t>
      </w:r>
      <w:r>
        <w:rPr>
          <w:spacing w:val="-7"/>
          <w:w w:val="110"/>
        </w:rPr>
        <w:t>13-16 </w:t>
      </w:r>
      <w:r>
        <w:rPr>
          <w:w w:val="110"/>
        </w:rPr>
        <w:t>we are urged to pray when anyone is in trouble, it is something we are all called  to do as</w:t>
      </w:r>
      <w:r>
        <w:rPr>
          <w:spacing w:val="3"/>
          <w:w w:val="110"/>
        </w:rPr>
        <w:t> </w:t>
      </w:r>
      <w:r>
        <w:rPr>
          <w:w w:val="110"/>
        </w:rPr>
        <w:t>Christians.</w:t>
      </w:r>
    </w:p>
    <w:p>
      <w:pPr>
        <w:pStyle w:val="BodyText"/>
        <w:spacing w:before="10"/>
        <w:rPr>
          <w:sz w:val="20"/>
        </w:rPr>
      </w:pPr>
    </w:p>
    <w:p>
      <w:pPr>
        <w:pStyle w:val="BodyText"/>
        <w:ind w:left="673"/>
      </w:pPr>
      <w:r>
        <w:rPr>
          <w:w w:val="110"/>
        </w:rPr>
        <w:t>Much will depend on individual circumstances. You may like to discuss:</w:t>
      </w:r>
    </w:p>
    <w:p>
      <w:pPr>
        <w:pStyle w:val="BodyText"/>
        <w:spacing w:before="1"/>
        <w:rPr>
          <w:sz w:val="23"/>
        </w:rPr>
      </w:pPr>
    </w:p>
    <w:p>
      <w:pPr>
        <w:pStyle w:val="ListParagraph"/>
        <w:numPr>
          <w:ilvl w:val="0"/>
          <w:numId w:val="117"/>
        </w:numPr>
        <w:tabs>
          <w:tab w:pos="1354" w:val="left" w:leader="none"/>
          <w:tab w:pos="1355" w:val="left" w:leader="none"/>
        </w:tabs>
        <w:spacing w:line="240" w:lineRule="auto" w:before="1" w:after="0"/>
        <w:ind w:left="1354" w:right="0" w:hanging="682"/>
        <w:jc w:val="left"/>
        <w:rPr>
          <w:sz w:val="18"/>
        </w:rPr>
      </w:pPr>
      <w:r>
        <w:rPr>
          <w:w w:val="110"/>
          <w:sz w:val="18"/>
        </w:rPr>
        <w:t>Do</w:t>
      </w:r>
      <w:r>
        <w:rPr>
          <w:spacing w:val="-6"/>
          <w:w w:val="110"/>
          <w:sz w:val="18"/>
        </w:rPr>
        <w:t> </w:t>
      </w:r>
      <w:r>
        <w:rPr>
          <w:w w:val="110"/>
          <w:sz w:val="18"/>
        </w:rPr>
        <w:t>we</w:t>
      </w:r>
      <w:r>
        <w:rPr>
          <w:spacing w:val="-6"/>
          <w:w w:val="110"/>
          <w:sz w:val="18"/>
        </w:rPr>
        <w:t> </w:t>
      </w:r>
      <w:r>
        <w:rPr>
          <w:w w:val="110"/>
          <w:sz w:val="18"/>
        </w:rPr>
        <w:t>pray</w:t>
      </w:r>
      <w:r>
        <w:rPr>
          <w:spacing w:val="-5"/>
          <w:w w:val="110"/>
          <w:sz w:val="18"/>
        </w:rPr>
        <w:t> </w:t>
      </w:r>
      <w:r>
        <w:rPr>
          <w:spacing w:val="-3"/>
          <w:w w:val="110"/>
          <w:sz w:val="18"/>
        </w:rPr>
        <w:t>enough?</w:t>
      </w:r>
      <w:r>
        <w:rPr>
          <w:spacing w:val="-6"/>
          <w:w w:val="110"/>
          <w:sz w:val="18"/>
        </w:rPr>
        <w:t> </w:t>
      </w:r>
      <w:r>
        <w:rPr>
          <w:spacing w:val="-3"/>
          <w:w w:val="110"/>
          <w:sz w:val="18"/>
        </w:rPr>
        <w:t>If</w:t>
      </w:r>
      <w:r>
        <w:rPr>
          <w:spacing w:val="-5"/>
          <w:w w:val="110"/>
          <w:sz w:val="18"/>
        </w:rPr>
        <w:t> </w:t>
      </w:r>
      <w:r>
        <w:rPr>
          <w:w w:val="110"/>
          <w:sz w:val="18"/>
        </w:rPr>
        <w:t>not,</w:t>
      </w:r>
      <w:r>
        <w:rPr>
          <w:spacing w:val="-6"/>
          <w:w w:val="110"/>
          <w:sz w:val="18"/>
        </w:rPr>
        <w:t> </w:t>
      </w:r>
      <w:r>
        <w:rPr>
          <w:w w:val="110"/>
          <w:sz w:val="18"/>
        </w:rPr>
        <w:t>how</w:t>
      </w:r>
      <w:r>
        <w:rPr>
          <w:spacing w:val="-5"/>
          <w:w w:val="110"/>
          <w:sz w:val="18"/>
        </w:rPr>
        <w:t> </w:t>
      </w:r>
      <w:r>
        <w:rPr>
          <w:w w:val="110"/>
          <w:sz w:val="18"/>
        </w:rPr>
        <w:t>could</w:t>
      </w:r>
      <w:r>
        <w:rPr>
          <w:spacing w:val="-6"/>
          <w:w w:val="110"/>
          <w:sz w:val="18"/>
        </w:rPr>
        <w:t> </w:t>
      </w:r>
      <w:r>
        <w:rPr>
          <w:w w:val="110"/>
          <w:sz w:val="18"/>
        </w:rPr>
        <w:t>we</w:t>
      </w:r>
      <w:r>
        <w:rPr>
          <w:spacing w:val="-5"/>
          <w:w w:val="110"/>
          <w:sz w:val="18"/>
        </w:rPr>
        <w:t> </w:t>
      </w:r>
      <w:r>
        <w:rPr>
          <w:w w:val="110"/>
          <w:sz w:val="18"/>
        </w:rPr>
        <w:t>encourage</w:t>
      </w:r>
      <w:r>
        <w:rPr>
          <w:spacing w:val="-6"/>
          <w:w w:val="110"/>
          <w:sz w:val="18"/>
        </w:rPr>
        <w:t> </w:t>
      </w:r>
      <w:r>
        <w:rPr>
          <w:w w:val="110"/>
          <w:sz w:val="18"/>
        </w:rPr>
        <w:t>one</w:t>
      </w:r>
      <w:r>
        <w:rPr>
          <w:spacing w:val="-5"/>
          <w:w w:val="110"/>
          <w:sz w:val="18"/>
        </w:rPr>
        <w:t> </w:t>
      </w:r>
      <w:r>
        <w:rPr>
          <w:w w:val="110"/>
          <w:sz w:val="18"/>
        </w:rPr>
        <w:t>another</w:t>
      </w:r>
      <w:r>
        <w:rPr>
          <w:spacing w:val="-6"/>
          <w:w w:val="110"/>
          <w:sz w:val="18"/>
        </w:rPr>
        <w:t> </w:t>
      </w:r>
      <w:r>
        <w:rPr>
          <w:w w:val="110"/>
          <w:sz w:val="18"/>
        </w:rPr>
        <w:t>to</w:t>
      </w:r>
      <w:r>
        <w:rPr>
          <w:spacing w:val="-6"/>
          <w:w w:val="110"/>
          <w:sz w:val="18"/>
        </w:rPr>
        <w:t> </w:t>
      </w:r>
      <w:r>
        <w:rPr>
          <w:w w:val="110"/>
          <w:sz w:val="18"/>
        </w:rPr>
        <w:t>pray</w:t>
      </w:r>
      <w:r>
        <w:rPr>
          <w:spacing w:val="-5"/>
          <w:w w:val="110"/>
          <w:sz w:val="18"/>
        </w:rPr>
        <w:t> </w:t>
      </w:r>
      <w:r>
        <w:rPr>
          <w:w w:val="110"/>
          <w:sz w:val="18"/>
        </w:rPr>
        <w:t>for</w:t>
      </w:r>
      <w:r>
        <w:rPr>
          <w:spacing w:val="-6"/>
          <w:w w:val="110"/>
          <w:sz w:val="18"/>
        </w:rPr>
        <w:t> </w:t>
      </w:r>
      <w:r>
        <w:rPr>
          <w:w w:val="110"/>
          <w:sz w:val="18"/>
        </w:rPr>
        <w:t>others?</w:t>
      </w:r>
    </w:p>
    <w:p>
      <w:pPr>
        <w:pStyle w:val="BodyText"/>
        <w:spacing w:before="2"/>
        <w:rPr>
          <w:sz w:val="21"/>
        </w:rPr>
      </w:pPr>
    </w:p>
    <w:p>
      <w:pPr>
        <w:pStyle w:val="ListParagraph"/>
        <w:numPr>
          <w:ilvl w:val="0"/>
          <w:numId w:val="117"/>
        </w:numPr>
        <w:tabs>
          <w:tab w:pos="1354" w:val="left" w:leader="none"/>
          <w:tab w:pos="1355" w:val="left" w:leader="none"/>
        </w:tabs>
        <w:spacing w:line="273" w:lineRule="auto" w:before="0" w:after="0"/>
        <w:ind w:left="1354" w:right="2003" w:hanging="681"/>
        <w:jc w:val="left"/>
        <w:rPr>
          <w:sz w:val="18"/>
        </w:rPr>
      </w:pPr>
      <w:r>
        <w:rPr>
          <w:w w:val="110"/>
          <w:sz w:val="18"/>
        </w:rPr>
        <w:t>If all </w:t>
      </w:r>
      <w:r>
        <w:rPr>
          <w:spacing w:val="2"/>
          <w:w w:val="110"/>
          <w:sz w:val="18"/>
        </w:rPr>
        <w:t>resources </w:t>
      </w:r>
      <w:r>
        <w:rPr>
          <w:w w:val="110"/>
          <w:sz w:val="18"/>
        </w:rPr>
        <w:t>were available, </w:t>
      </w:r>
      <w:r>
        <w:rPr>
          <w:spacing w:val="-3"/>
          <w:w w:val="110"/>
          <w:sz w:val="18"/>
        </w:rPr>
        <w:t>money, </w:t>
      </w:r>
      <w:r>
        <w:rPr>
          <w:w w:val="110"/>
          <w:sz w:val="18"/>
        </w:rPr>
        <w:t>time, people, expertise, etc., how would we aim to alleviate</w:t>
      </w:r>
      <w:r>
        <w:rPr>
          <w:spacing w:val="3"/>
          <w:w w:val="110"/>
          <w:sz w:val="18"/>
        </w:rPr>
        <w:t> </w:t>
      </w:r>
      <w:r>
        <w:rPr>
          <w:w w:val="110"/>
          <w:sz w:val="18"/>
        </w:rPr>
        <w:t>suffering?</w:t>
      </w:r>
    </w:p>
    <w:p>
      <w:pPr>
        <w:pStyle w:val="BodyText"/>
        <w:spacing w:before="9"/>
      </w:pPr>
    </w:p>
    <w:p>
      <w:pPr>
        <w:pStyle w:val="ListParagraph"/>
        <w:numPr>
          <w:ilvl w:val="0"/>
          <w:numId w:val="117"/>
        </w:numPr>
        <w:tabs>
          <w:tab w:pos="1354" w:val="left" w:leader="none"/>
          <w:tab w:pos="1355" w:val="left" w:leader="none"/>
        </w:tabs>
        <w:spacing w:line="273" w:lineRule="auto" w:before="0" w:after="0"/>
        <w:ind w:left="1354" w:right="2283" w:hanging="681"/>
        <w:jc w:val="left"/>
        <w:rPr>
          <w:sz w:val="18"/>
        </w:rPr>
      </w:pPr>
      <w:r>
        <w:rPr>
          <w:w w:val="110"/>
          <w:sz w:val="18"/>
        </w:rPr>
        <w:t>With the </w:t>
      </w:r>
      <w:r>
        <w:rPr>
          <w:spacing w:val="2"/>
          <w:w w:val="110"/>
          <w:sz w:val="18"/>
        </w:rPr>
        <w:t>resources </w:t>
      </w:r>
      <w:r>
        <w:rPr>
          <w:w w:val="110"/>
          <w:sz w:val="18"/>
        </w:rPr>
        <w:t>we have, what should be our priorities in our community, or nationally?</w:t>
      </w:r>
    </w:p>
    <w:p>
      <w:pPr>
        <w:pStyle w:val="BodyText"/>
        <w:spacing w:before="9"/>
      </w:pPr>
    </w:p>
    <w:p>
      <w:pPr>
        <w:pStyle w:val="ListParagraph"/>
        <w:numPr>
          <w:ilvl w:val="0"/>
          <w:numId w:val="117"/>
        </w:numPr>
        <w:tabs>
          <w:tab w:pos="1354" w:val="left" w:leader="none"/>
          <w:tab w:pos="1355" w:val="left" w:leader="none"/>
        </w:tabs>
        <w:spacing w:line="273" w:lineRule="auto" w:before="1" w:after="0"/>
        <w:ind w:left="1354" w:right="2333" w:hanging="681"/>
        <w:jc w:val="left"/>
        <w:rPr>
          <w:sz w:val="18"/>
        </w:rPr>
      </w:pPr>
      <w:r>
        <w:rPr>
          <w:w w:val="110"/>
          <w:sz w:val="18"/>
        </w:rPr>
        <w:t>What do you think of the idea of parish nursing? Is it relevant for your area? (See Appendix</w:t>
      </w:r>
      <w:r>
        <w:rPr>
          <w:spacing w:val="1"/>
          <w:w w:val="110"/>
          <w:sz w:val="18"/>
        </w:rPr>
        <w:t> </w:t>
      </w:r>
      <w:r>
        <w:rPr>
          <w:spacing w:val="-3"/>
          <w:w w:val="110"/>
          <w:sz w:val="18"/>
        </w:rPr>
        <w:t>C).</w:t>
      </w:r>
    </w:p>
    <w:p>
      <w:pPr>
        <w:pStyle w:val="BodyText"/>
        <w:spacing w:before="9"/>
      </w:pPr>
    </w:p>
    <w:p>
      <w:pPr>
        <w:pStyle w:val="ListParagraph"/>
        <w:numPr>
          <w:ilvl w:val="0"/>
          <w:numId w:val="117"/>
        </w:numPr>
        <w:tabs>
          <w:tab w:pos="1354" w:val="left" w:leader="none"/>
          <w:tab w:pos="1355" w:val="left" w:leader="none"/>
        </w:tabs>
        <w:spacing w:line="273" w:lineRule="auto" w:before="0" w:after="0"/>
        <w:ind w:left="1354" w:right="2088" w:hanging="681"/>
        <w:jc w:val="left"/>
        <w:rPr>
          <w:sz w:val="18"/>
        </w:rPr>
      </w:pPr>
      <w:r>
        <w:rPr>
          <w:spacing w:val="3"/>
          <w:w w:val="110"/>
          <w:sz w:val="18"/>
        </w:rPr>
        <w:t>The </w:t>
      </w:r>
      <w:r>
        <w:rPr>
          <w:w w:val="110"/>
          <w:sz w:val="18"/>
        </w:rPr>
        <w:t>Healing </w:t>
      </w:r>
      <w:r>
        <w:rPr>
          <w:spacing w:val="3"/>
          <w:w w:val="110"/>
          <w:sz w:val="18"/>
        </w:rPr>
        <w:t>Ministry encompasses </w:t>
      </w:r>
      <w:r>
        <w:rPr>
          <w:w w:val="110"/>
          <w:sz w:val="18"/>
        </w:rPr>
        <w:t>all </w:t>
      </w:r>
      <w:r>
        <w:rPr>
          <w:spacing w:val="4"/>
          <w:w w:val="110"/>
          <w:sz w:val="18"/>
        </w:rPr>
        <w:t>aspects </w:t>
      </w:r>
      <w:r>
        <w:rPr>
          <w:w w:val="110"/>
          <w:sz w:val="18"/>
        </w:rPr>
        <w:t>of life. </w:t>
      </w:r>
      <w:r>
        <w:rPr>
          <w:spacing w:val="2"/>
          <w:w w:val="110"/>
          <w:sz w:val="18"/>
        </w:rPr>
        <w:t>Can </w:t>
      </w:r>
      <w:r>
        <w:rPr>
          <w:w w:val="110"/>
          <w:sz w:val="18"/>
        </w:rPr>
        <w:t>you </w:t>
      </w:r>
      <w:r>
        <w:rPr>
          <w:spacing w:val="3"/>
          <w:w w:val="110"/>
          <w:sz w:val="18"/>
        </w:rPr>
        <w:t>see </w:t>
      </w:r>
      <w:r>
        <w:rPr>
          <w:spacing w:val="2"/>
          <w:w w:val="110"/>
          <w:sz w:val="18"/>
        </w:rPr>
        <w:t>areas </w:t>
      </w:r>
      <w:r>
        <w:rPr>
          <w:spacing w:val="3"/>
          <w:w w:val="110"/>
          <w:sz w:val="18"/>
        </w:rPr>
        <w:t>where </w:t>
      </w:r>
      <w:r>
        <w:rPr>
          <w:w w:val="110"/>
          <w:sz w:val="18"/>
        </w:rPr>
        <w:t>it </w:t>
      </w:r>
      <w:r>
        <w:rPr>
          <w:spacing w:val="3"/>
          <w:w w:val="110"/>
          <w:sz w:val="18"/>
        </w:rPr>
        <w:t>operates </w:t>
      </w:r>
      <w:r>
        <w:rPr>
          <w:w w:val="110"/>
          <w:sz w:val="18"/>
        </w:rPr>
        <w:t>in your </w:t>
      </w:r>
      <w:r>
        <w:rPr>
          <w:spacing w:val="3"/>
          <w:w w:val="110"/>
          <w:sz w:val="18"/>
        </w:rPr>
        <w:t>church </w:t>
      </w:r>
      <w:r>
        <w:rPr>
          <w:spacing w:val="2"/>
          <w:w w:val="110"/>
          <w:sz w:val="18"/>
        </w:rPr>
        <w:t>already </w:t>
      </w:r>
      <w:r>
        <w:rPr>
          <w:w w:val="110"/>
          <w:sz w:val="18"/>
        </w:rPr>
        <w:t>and might it be </w:t>
      </w:r>
      <w:r>
        <w:rPr>
          <w:spacing w:val="2"/>
          <w:w w:val="110"/>
          <w:sz w:val="18"/>
        </w:rPr>
        <w:t>developed</w:t>
      </w:r>
      <w:r>
        <w:rPr>
          <w:spacing w:val="12"/>
          <w:w w:val="110"/>
          <w:sz w:val="18"/>
        </w:rPr>
        <w:t> </w:t>
      </w:r>
      <w:r>
        <w:rPr>
          <w:spacing w:val="2"/>
          <w:w w:val="110"/>
          <w:sz w:val="18"/>
        </w:rPr>
        <w:t>further?</w:t>
      </w:r>
    </w:p>
    <w:p>
      <w:pPr>
        <w:pStyle w:val="BodyText"/>
        <w:spacing w:before="1"/>
        <w:ind w:left="1354"/>
      </w:pPr>
      <w:r>
        <w:rPr>
          <w:w w:val="110"/>
        </w:rPr>
        <w:t>(See Appendix D).</w:t>
      </w:r>
    </w:p>
    <w:p>
      <w:pPr>
        <w:pStyle w:val="BodyText"/>
        <w:rPr>
          <w:sz w:val="22"/>
        </w:rPr>
      </w:pPr>
    </w:p>
    <w:p>
      <w:pPr>
        <w:pStyle w:val="BodyText"/>
        <w:spacing w:before="10"/>
        <w:rPr>
          <w:sz w:val="19"/>
        </w:rPr>
      </w:pPr>
    </w:p>
    <w:p>
      <w:pPr>
        <w:pStyle w:val="BodyText"/>
        <w:spacing w:line="273" w:lineRule="auto"/>
        <w:ind w:left="673" w:right="1829"/>
      </w:pPr>
      <w:r>
        <w:rPr>
          <w:w w:val="110"/>
        </w:rPr>
        <w:t>If you would like further information contact your Synod Adviser for the Healing Ministry or see the recommended book list at the end of Appendix D).</w:t>
      </w:r>
    </w:p>
    <w:p>
      <w:pPr>
        <w:pStyle w:val="BodyText"/>
        <w:spacing w:before="1"/>
        <w:ind w:left="673"/>
      </w:pPr>
      <w:r>
        <w:rPr>
          <w:w w:val="110"/>
        </w:rPr>
        <w:t>You might like to make notes of your responses to these questions.</w:t>
      </w:r>
    </w:p>
    <w:p>
      <w:pPr>
        <w:pStyle w:val="BodyText"/>
        <w:spacing w:line="273" w:lineRule="auto" w:before="31"/>
        <w:ind w:left="673" w:right="2061"/>
      </w:pPr>
      <w:r>
        <w:rPr>
          <w:w w:val="110"/>
        </w:rPr>
        <w:t>Take time to pray about all you have discussed and be pastorally sensitive to those in the group who have not found this subject easy.</w:t>
      </w:r>
    </w:p>
    <w:p>
      <w:pPr>
        <w:spacing w:after="0" w:line="273" w:lineRule="auto"/>
        <w:sectPr>
          <w:pgSz w:w="11910" w:h="16840"/>
          <w:pgMar w:header="558" w:footer="564" w:top="820" w:bottom="760" w:left="460" w:right="0"/>
        </w:sectPr>
      </w:pPr>
    </w:p>
    <w:p>
      <w:pPr>
        <w:pStyle w:val="BodyText"/>
        <w:spacing w:before="11"/>
        <w:rPr>
          <w:sz w:val="7"/>
        </w:rPr>
      </w:pPr>
    </w:p>
    <w:p>
      <w:pPr>
        <w:pStyle w:val="BodyText"/>
        <w:ind w:left="673"/>
        <w:rPr>
          <w:sz w:val="20"/>
        </w:rPr>
      </w:pPr>
      <w:r>
        <w:rPr>
          <w:sz w:val="20"/>
        </w:rPr>
        <w:pict>
          <v:group style="width:491.2pt;height:46.4pt;mso-position-horizontal-relative:char;mso-position-vertical-relative:line" coordorigin="0,0" coordsize="9824,928">
            <v:rect style="position:absolute;left:477;top:0;width:9346;height:893" filled="true" fillcolor="#000000" stroked="false">
              <v:fill opacity="49152f" type="solid"/>
            </v:rect>
            <v:shape style="position:absolute;left:556;top:192;width:9071;height:617" coordorigin="557,193" coordsize="9071,617" path="m9388,193l557,193,557,810,9388,810,9527,805,9598,771,9624,679,9628,501,9624,323,9598,231,9527,197,9388,193xe" filled="true" fillcolor="#ffffff" stroked="false">
              <v:path arrowok="t"/>
              <v:fill type="solid"/>
            </v:shape>
            <v:shape style="position:absolute;left:556;top:192;width:9071;height:617" coordorigin="557,193" coordsize="9071,617" path="m9628,501l9624,323,9598,231,9527,197,9388,193,557,193,557,810,9388,810,9527,805,9598,771,9624,679,9628,501xe" filled="false" stroked="true" strokeweight=".25pt" strokecolor="#000000">
              <v:path arrowok="t"/>
              <v:stroke dashstyle="solid"/>
            </v:shape>
            <v:rect style="position:absolute;left:10;top:244;width:1256;height:673" filled="true" fillcolor="#ffffff" stroked="false">
              <v:fill type="solid"/>
            </v:rect>
            <v:rect style="position:absolute;left:10;top:244;width:1256;height:673" filled="false" stroked="true" strokeweight="1pt" strokecolor="#ffffff">
              <v:stroke dashstyle="solid"/>
            </v:rect>
            <v:shape style="position:absolute;left:0;top:0;width:9824;height:928" type="#_x0000_t202" filled="false" stroked="false">
              <v:textbox inset="0,0,0,0">
                <w:txbxContent>
                  <w:p>
                    <w:pPr>
                      <w:spacing w:line="240" w:lineRule="auto" w:before="4"/>
                      <w:rPr>
                        <w:sz w:val="25"/>
                      </w:rPr>
                    </w:pPr>
                  </w:p>
                  <w:p>
                    <w:pPr>
                      <w:tabs>
                        <w:tab w:pos="1286" w:val="left" w:leader="none"/>
                      </w:tabs>
                      <w:spacing w:before="0"/>
                      <w:ind w:left="566" w:right="0" w:firstLine="0"/>
                      <w:jc w:val="left"/>
                      <w:rPr>
                        <w:b/>
                        <w:sz w:val="29"/>
                      </w:rPr>
                    </w:pPr>
                    <w:r>
                      <w:rPr>
                        <w:b/>
                        <w:w w:val="110"/>
                        <w:sz w:val="29"/>
                      </w:rPr>
                      <w:t>4.</w:t>
                      <w:tab/>
                      <w:t>PRACTICAL</w:t>
                    </w:r>
                    <w:r>
                      <w:rPr>
                        <w:b/>
                        <w:spacing w:val="-1"/>
                        <w:w w:val="110"/>
                        <w:sz w:val="29"/>
                      </w:rPr>
                      <w:t> </w:t>
                    </w:r>
                    <w:r>
                      <w:rPr>
                        <w:b/>
                        <w:w w:val="110"/>
                        <w:sz w:val="29"/>
                      </w:rPr>
                      <w:t>CONSIDERATIONS</w:t>
                    </w:r>
                  </w:p>
                </w:txbxContent>
              </v:textbox>
              <w10:wrap type="none"/>
            </v:shape>
          </v:group>
        </w:pict>
      </w:r>
      <w:r>
        <w:rPr>
          <w:sz w:val="20"/>
        </w:rPr>
      </w:r>
    </w:p>
    <w:p>
      <w:pPr>
        <w:pStyle w:val="BodyText"/>
        <w:spacing w:before="4"/>
        <w:rPr>
          <w:sz w:val="10"/>
        </w:rPr>
      </w:pPr>
    </w:p>
    <w:p>
      <w:pPr>
        <w:pStyle w:val="Heading9"/>
        <w:spacing w:before="98"/>
      </w:pPr>
      <w:r>
        <w:rPr>
          <w:w w:val="110"/>
        </w:rPr>
        <w:t>Prayer</w:t>
      </w:r>
    </w:p>
    <w:p>
      <w:pPr>
        <w:pStyle w:val="BodyText"/>
        <w:spacing w:line="273" w:lineRule="auto" w:before="122"/>
        <w:ind w:left="1240" w:right="1260"/>
      </w:pPr>
      <w:r>
        <w:rPr>
          <w:w w:val="110"/>
        </w:rPr>
        <w:t>Loving God, we thank you that you have gathered us here to think about and discuss the issues of illness and </w:t>
      </w:r>
      <w:r>
        <w:rPr>
          <w:spacing w:val="2"/>
          <w:w w:val="110"/>
        </w:rPr>
        <w:t>suffering </w:t>
      </w:r>
      <w:r>
        <w:rPr>
          <w:w w:val="110"/>
        </w:rPr>
        <w:t>at the end of life. </w:t>
      </w:r>
      <w:r>
        <w:rPr>
          <w:spacing w:val="-3"/>
          <w:w w:val="110"/>
        </w:rPr>
        <w:t>We </w:t>
      </w:r>
      <w:r>
        <w:rPr>
          <w:w w:val="110"/>
        </w:rPr>
        <w:t>ask that your Holy Spirit may guide our words and thoughts so that we are in tune with your will. Show us how </w:t>
      </w:r>
      <w:r>
        <w:rPr>
          <w:spacing w:val="2"/>
          <w:w w:val="110"/>
        </w:rPr>
        <w:t>best </w:t>
      </w:r>
      <w:r>
        <w:rPr>
          <w:w w:val="110"/>
        </w:rPr>
        <w:t>to </w:t>
      </w:r>
      <w:r>
        <w:rPr>
          <w:spacing w:val="2"/>
          <w:w w:val="110"/>
        </w:rPr>
        <w:t>care </w:t>
      </w:r>
      <w:r>
        <w:rPr>
          <w:w w:val="110"/>
        </w:rPr>
        <w:t>for those near death, enabling them to know they are loved and valued in surroundings   in which they are </w:t>
      </w:r>
      <w:r>
        <w:rPr>
          <w:spacing w:val="2"/>
          <w:w w:val="110"/>
        </w:rPr>
        <w:t>comfortable </w:t>
      </w:r>
      <w:r>
        <w:rPr>
          <w:w w:val="110"/>
        </w:rPr>
        <w:t>and pain free. Help us to be mindful too, of the lonely, frightened and hurting people who have no one to love them or bring relief. In our modern society, show us how we determine the right time to die when someone is suffering, and how </w:t>
      </w:r>
      <w:r>
        <w:rPr>
          <w:spacing w:val="2"/>
          <w:w w:val="110"/>
        </w:rPr>
        <w:t>best </w:t>
      </w:r>
      <w:r>
        <w:rPr>
          <w:w w:val="110"/>
        </w:rPr>
        <w:t>we can </w:t>
      </w:r>
      <w:r>
        <w:rPr>
          <w:spacing w:val="2"/>
          <w:w w:val="110"/>
        </w:rPr>
        <w:t>care </w:t>
      </w:r>
      <w:r>
        <w:rPr>
          <w:w w:val="110"/>
        </w:rPr>
        <w:t>for them. Help us all to value life and live each day  to the full within our limitations of age and health. May we remember that death is not  the</w:t>
      </w:r>
      <w:r>
        <w:rPr>
          <w:spacing w:val="5"/>
          <w:w w:val="110"/>
        </w:rPr>
        <w:t> </w:t>
      </w:r>
      <w:r>
        <w:rPr>
          <w:w w:val="110"/>
        </w:rPr>
        <w:t>end</w:t>
      </w:r>
      <w:r>
        <w:rPr>
          <w:spacing w:val="6"/>
          <w:w w:val="110"/>
        </w:rPr>
        <w:t> </w:t>
      </w:r>
      <w:r>
        <w:rPr>
          <w:w w:val="110"/>
        </w:rPr>
        <w:t>but</w:t>
      </w:r>
      <w:r>
        <w:rPr>
          <w:spacing w:val="6"/>
          <w:w w:val="110"/>
        </w:rPr>
        <w:t> </w:t>
      </w:r>
      <w:r>
        <w:rPr>
          <w:w w:val="110"/>
        </w:rPr>
        <w:t>a</w:t>
      </w:r>
      <w:r>
        <w:rPr>
          <w:spacing w:val="6"/>
          <w:w w:val="110"/>
        </w:rPr>
        <w:t> </w:t>
      </w:r>
      <w:r>
        <w:rPr>
          <w:w w:val="110"/>
        </w:rPr>
        <w:t>new</w:t>
      </w:r>
      <w:r>
        <w:rPr>
          <w:spacing w:val="6"/>
          <w:w w:val="110"/>
        </w:rPr>
        <w:t> </w:t>
      </w:r>
      <w:r>
        <w:rPr>
          <w:w w:val="110"/>
        </w:rPr>
        <w:t>beginning</w:t>
      </w:r>
      <w:r>
        <w:rPr>
          <w:spacing w:val="6"/>
          <w:w w:val="110"/>
        </w:rPr>
        <w:t> </w:t>
      </w:r>
      <w:r>
        <w:rPr>
          <w:w w:val="110"/>
        </w:rPr>
        <w:t>with</w:t>
      </w:r>
      <w:r>
        <w:rPr>
          <w:spacing w:val="6"/>
          <w:w w:val="110"/>
        </w:rPr>
        <w:t> </w:t>
      </w:r>
      <w:r>
        <w:rPr>
          <w:w w:val="110"/>
        </w:rPr>
        <w:t>you,</w:t>
      </w:r>
      <w:r>
        <w:rPr>
          <w:spacing w:val="6"/>
          <w:w w:val="110"/>
        </w:rPr>
        <w:t> </w:t>
      </w:r>
      <w:r>
        <w:rPr>
          <w:w w:val="110"/>
        </w:rPr>
        <w:t>surrounded</w:t>
      </w:r>
      <w:r>
        <w:rPr>
          <w:spacing w:val="6"/>
          <w:w w:val="110"/>
        </w:rPr>
        <w:t> </w:t>
      </w:r>
      <w:r>
        <w:rPr>
          <w:w w:val="110"/>
        </w:rPr>
        <w:t>by</w:t>
      </w:r>
      <w:r>
        <w:rPr>
          <w:spacing w:val="6"/>
          <w:w w:val="110"/>
        </w:rPr>
        <w:t> </w:t>
      </w:r>
      <w:r>
        <w:rPr>
          <w:w w:val="110"/>
        </w:rPr>
        <w:t>your</w:t>
      </w:r>
      <w:r>
        <w:rPr>
          <w:spacing w:val="6"/>
          <w:w w:val="110"/>
        </w:rPr>
        <w:t> </w:t>
      </w:r>
      <w:r>
        <w:rPr>
          <w:w w:val="110"/>
        </w:rPr>
        <w:t>love</w:t>
      </w:r>
      <w:r>
        <w:rPr>
          <w:spacing w:val="6"/>
          <w:w w:val="110"/>
        </w:rPr>
        <w:t> </w:t>
      </w:r>
      <w:r>
        <w:rPr>
          <w:w w:val="110"/>
        </w:rPr>
        <w:t>In</w:t>
      </w:r>
      <w:r>
        <w:rPr>
          <w:spacing w:val="6"/>
          <w:w w:val="110"/>
        </w:rPr>
        <w:t> </w:t>
      </w:r>
      <w:r>
        <w:rPr>
          <w:w w:val="110"/>
        </w:rPr>
        <w:t>Jesus’</w:t>
      </w:r>
      <w:r>
        <w:rPr>
          <w:spacing w:val="6"/>
          <w:w w:val="110"/>
        </w:rPr>
        <w:t> </w:t>
      </w:r>
      <w:r>
        <w:rPr>
          <w:w w:val="110"/>
        </w:rPr>
        <w:t>name,</w:t>
      </w:r>
      <w:r>
        <w:rPr>
          <w:spacing w:val="6"/>
          <w:w w:val="110"/>
        </w:rPr>
        <w:t> </w:t>
      </w:r>
      <w:r>
        <w:rPr>
          <w:w w:val="110"/>
        </w:rPr>
        <w:t>Amen.</w:t>
      </w:r>
    </w:p>
    <w:p>
      <w:pPr>
        <w:pStyle w:val="BodyText"/>
        <w:spacing w:before="1"/>
        <w:rPr>
          <w:sz w:val="21"/>
        </w:rPr>
      </w:pPr>
    </w:p>
    <w:p>
      <w:pPr>
        <w:pStyle w:val="BodyText"/>
        <w:spacing w:line="273" w:lineRule="auto"/>
        <w:ind w:left="1240" w:right="1593"/>
      </w:pPr>
      <w:r>
        <w:rPr>
          <w:w w:val="110"/>
        </w:rPr>
        <w:t>See Section 5 of the report, case studies, Appendix C (parish nursing) and D (healing ministry).</w:t>
      </w:r>
    </w:p>
    <w:p>
      <w:pPr>
        <w:pStyle w:val="BodyText"/>
        <w:spacing w:before="7"/>
        <w:rPr>
          <w:sz w:val="20"/>
        </w:rPr>
      </w:pPr>
    </w:p>
    <w:p>
      <w:pPr>
        <w:pStyle w:val="Heading9"/>
      </w:pPr>
      <w:r>
        <w:rPr>
          <w:w w:val="110"/>
        </w:rPr>
        <w:t>Bible Reading</w:t>
      </w:r>
    </w:p>
    <w:p>
      <w:pPr>
        <w:pStyle w:val="BodyText"/>
        <w:spacing w:before="122"/>
        <w:ind w:left="1240"/>
      </w:pPr>
      <w:r>
        <w:rPr>
          <w:w w:val="110"/>
        </w:rPr>
        <w:t>John 14: 27 (14-27) John 13: 12-17 (1-17) Romans 12: 1-19</w:t>
      </w:r>
    </w:p>
    <w:p>
      <w:pPr>
        <w:pStyle w:val="BodyText"/>
        <w:spacing w:before="1"/>
        <w:rPr>
          <w:sz w:val="23"/>
        </w:rPr>
      </w:pPr>
    </w:p>
    <w:p>
      <w:pPr>
        <w:pStyle w:val="BodyText"/>
        <w:ind w:left="1240"/>
      </w:pPr>
      <w:r>
        <w:rPr>
          <w:w w:val="110"/>
        </w:rPr>
        <w:t>Re-read paragraph 5.1 of the report. If you are in a group, it might help to read this aloud.</w:t>
      </w:r>
    </w:p>
    <w:p>
      <w:pPr>
        <w:pStyle w:val="BodyText"/>
        <w:spacing w:before="2"/>
        <w:rPr>
          <w:sz w:val="23"/>
        </w:rPr>
      </w:pPr>
    </w:p>
    <w:p>
      <w:pPr>
        <w:pStyle w:val="BodyText"/>
        <w:spacing w:line="273" w:lineRule="auto"/>
        <w:ind w:left="1240" w:right="1593"/>
      </w:pPr>
      <w:r>
        <w:rPr>
          <w:w w:val="110"/>
        </w:rPr>
        <w:t>This gives us profound dilemmas as Christians as we seek to follow Christian teaching and view the situation in perspective and give meaningful and helpful support and comfort. Our natural instinct is to offer pastoral care, but sometimes even that feels beyond us in the most extreme of situations, and we flounder.</w:t>
      </w:r>
    </w:p>
    <w:p>
      <w:pPr>
        <w:pStyle w:val="BodyText"/>
        <w:spacing w:before="9"/>
        <w:rPr>
          <w:sz w:val="20"/>
        </w:rPr>
      </w:pPr>
    </w:p>
    <w:p>
      <w:pPr>
        <w:pStyle w:val="BodyText"/>
        <w:spacing w:line="273" w:lineRule="auto" w:before="1"/>
        <w:ind w:left="1240" w:right="1286"/>
      </w:pPr>
      <w:r>
        <w:rPr>
          <w:w w:val="110"/>
        </w:rPr>
        <w:t>What can we do in these sad and prolonged situations of terminal decline? Our pastoral </w:t>
      </w:r>
      <w:r>
        <w:rPr>
          <w:spacing w:val="2"/>
          <w:w w:val="110"/>
        </w:rPr>
        <w:t>response </w:t>
      </w:r>
      <w:r>
        <w:rPr>
          <w:w w:val="110"/>
        </w:rPr>
        <w:t>will depend on whether the patient is at home, in hospital or in a hospice or nursing home, whether there is a large supportive family or just one carer, or no family. Also the wishes of the patient and family must be </w:t>
      </w:r>
      <w:r>
        <w:rPr>
          <w:spacing w:val="2"/>
          <w:w w:val="110"/>
        </w:rPr>
        <w:t>respected </w:t>
      </w:r>
      <w:r>
        <w:rPr>
          <w:w w:val="110"/>
        </w:rPr>
        <w:t>when they prefer not to have visitors.</w:t>
      </w:r>
    </w:p>
    <w:p>
      <w:pPr>
        <w:pStyle w:val="BodyText"/>
        <w:spacing w:before="10"/>
        <w:rPr>
          <w:sz w:val="20"/>
        </w:rPr>
      </w:pPr>
    </w:p>
    <w:p>
      <w:pPr>
        <w:pStyle w:val="BodyText"/>
        <w:spacing w:line="273" w:lineRule="auto"/>
        <w:ind w:left="1240" w:right="1447"/>
      </w:pPr>
      <w:r>
        <w:rPr>
          <w:spacing w:val="3"/>
          <w:w w:val="110"/>
        </w:rPr>
        <w:t>As </w:t>
      </w:r>
      <w:r>
        <w:rPr>
          <w:w w:val="110"/>
        </w:rPr>
        <w:t>Christians we recognise we are made up of body, mind and spirit, and we function in relationships. </w:t>
      </w:r>
      <w:r>
        <w:rPr>
          <w:spacing w:val="2"/>
          <w:w w:val="110"/>
        </w:rPr>
        <w:t>There </w:t>
      </w:r>
      <w:r>
        <w:rPr>
          <w:w w:val="110"/>
        </w:rPr>
        <w:t>are many </w:t>
      </w:r>
      <w:r>
        <w:rPr>
          <w:spacing w:val="2"/>
          <w:w w:val="110"/>
        </w:rPr>
        <w:t>types </w:t>
      </w:r>
      <w:r>
        <w:rPr>
          <w:w w:val="110"/>
        </w:rPr>
        <w:t>of suffering, not just physical, and when addressing</w:t>
      </w:r>
      <w:r>
        <w:rPr>
          <w:spacing w:val="10"/>
          <w:w w:val="110"/>
        </w:rPr>
        <w:t> </w:t>
      </w:r>
      <w:r>
        <w:rPr>
          <w:w w:val="110"/>
        </w:rPr>
        <w:t>end</w:t>
      </w:r>
      <w:r>
        <w:rPr>
          <w:spacing w:val="10"/>
          <w:w w:val="110"/>
        </w:rPr>
        <w:t> </w:t>
      </w:r>
      <w:r>
        <w:rPr>
          <w:w w:val="110"/>
        </w:rPr>
        <w:t>of</w:t>
      </w:r>
      <w:r>
        <w:rPr>
          <w:spacing w:val="10"/>
          <w:w w:val="110"/>
        </w:rPr>
        <w:t> </w:t>
      </w:r>
      <w:r>
        <w:rPr>
          <w:w w:val="110"/>
        </w:rPr>
        <w:t>life</w:t>
      </w:r>
      <w:r>
        <w:rPr>
          <w:spacing w:val="11"/>
          <w:w w:val="110"/>
        </w:rPr>
        <w:t> </w:t>
      </w:r>
      <w:r>
        <w:rPr>
          <w:w w:val="110"/>
        </w:rPr>
        <w:t>issues</w:t>
      </w:r>
      <w:r>
        <w:rPr>
          <w:spacing w:val="10"/>
          <w:w w:val="110"/>
        </w:rPr>
        <w:t> </w:t>
      </w:r>
      <w:r>
        <w:rPr>
          <w:w w:val="110"/>
        </w:rPr>
        <w:t>we</w:t>
      </w:r>
      <w:r>
        <w:rPr>
          <w:spacing w:val="10"/>
          <w:w w:val="110"/>
        </w:rPr>
        <w:t> </w:t>
      </w:r>
      <w:r>
        <w:rPr>
          <w:w w:val="110"/>
        </w:rPr>
        <w:t>must</w:t>
      </w:r>
      <w:r>
        <w:rPr>
          <w:spacing w:val="10"/>
          <w:w w:val="110"/>
        </w:rPr>
        <w:t> </w:t>
      </w:r>
      <w:r>
        <w:rPr>
          <w:w w:val="110"/>
        </w:rPr>
        <w:t>heed</w:t>
      </w:r>
      <w:r>
        <w:rPr>
          <w:spacing w:val="11"/>
          <w:w w:val="110"/>
        </w:rPr>
        <w:t> </w:t>
      </w:r>
      <w:r>
        <w:rPr>
          <w:w w:val="110"/>
        </w:rPr>
        <w:t>the</w:t>
      </w:r>
      <w:r>
        <w:rPr>
          <w:spacing w:val="10"/>
          <w:w w:val="110"/>
        </w:rPr>
        <w:t> </w:t>
      </w:r>
      <w:r>
        <w:rPr>
          <w:spacing w:val="2"/>
          <w:w w:val="110"/>
        </w:rPr>
        <w:t>necessity</w:t>
      </w:r>
      <w:r>
        <w:rPr>
          <w:spacing w:val="10"/>
          <w:w w:val="110"/>
        </w:rPr>
        <w:t> </w:t>
      </w:r>
      <w:r>
        <w:rPr>
          <w:w w:val="110"/>
        </w:rPr>
        <w:t>to</w:t>
      </w:r>
      <w:r>
        <w:rPr>
          <w:spacing w:val="11"/>
          <w:w w:val="110"/>
        </w:rPr>
        <w:t> </w:t>
      </w:r>
      <w:r>
        <w:rPr>
          <w:w w:val="110"/>
        </w:rPr>
        <w:t>address</w:t>
      </w:r>
      <w:r>
        <w:rPr>
          <w:spacing w:val="10"/>
          <w:w w:val="110"/>
        </w:rPr>
        <w:t> </w:t>
      </w:r>
      <w:r>
        <w:rPr>
          <w:w w:val="110"/>
        </w:rPr>
        <w:t>not</w:t>
      </w:r>
      <w:r>
        <w:rPr>
          <w:spacing w:val="10"/>
          <w:w w:val="110"/>
        </w:rPr>
        <w:t> </w:t>
      </w:r>
      <w:r>
        <w:rPr>
          <w:w w:val="110"/>
        </w:rPr>
        <w:t>just</w:t>
      </w:r>
      <w:r>
        <w:rPr>
          <w:spacing w:val="10"/>
          <w:w w:val="110"/>
        </w:rPr>
        <w:t> </w:t>
      </w:r>
      <w:r>
        <w:rPr>
          <w:w w:val="110"/>
        </w:rPr>
        <w:t>physical,</w:t>
      </w:r>
    </w:p>
    <w:p>
      <w:pPr>
        <w:pStyle w:val="BodyText"/>
        <w:spacing w:line="273" w:lineRule="auto" w:before="2"/>
        <w:ind w:left="1240" w:right="1365"/>
      </w:pPr>
      <w:r>
        <w:rPr>
          <w:w w:val="110"/>
        </w:rPr>
        <w:t>but also spiritual, mental and emotional needs. This brings us to peace of mind which is important at all stages of life, and especially at the time of death. (Refer to 5.3).</w:t>
      </w:r>
    </w:p>
    <w:p>
      <w:pPr>
        <w:pStyle w:val="BodyText"/>
        <w:spacing w:before="8"/>
        <w:rPr>
          <w:sz w:val="20"/>
        </w:rPr>
      </w:pPr>
    </w:p>
    <w:p>
      <w:pPr>
        <w:pStyle w:val="BodyText"/>
        <w:spacing w:line="273" w:lineRule="auto"/>
        <w:ind w:left="1240" w:right="1143"/>
      </w:pPr>
      <w:r>
        <w:rPr>
          <w:w w:val="110"/>
        </w:rPr>
        <w:t>Visiting the terminally ill is not always easy, and many shy away from it, though training can be helpful. The length of the visit and the timing has to be carefully gauged, and sometimes ‘just being there’, is enough.</w:t>
      </w:r>
    </w:p>
    <w:p>
      <w:pPr>
        <w:pStyle w:val="BodyText"/>
        <w:spacing w:before="8"/>
        <w:rPr>
          <w:sz w:val="20"/>
        </w:rPr>
      </w:pPr>
    </w:p>
    <w:p>
      <w:pPr>
        <w:pStyle w:val="BodyText"/>
        <w:spacing w:line="273" w:lineRule="auto" w:before="1"/>
        <w:ind w:left="1240" w:right="1279"/>
      </w:pPr>
      <w:r>
        <w:rPr>
          <w:w w:val="110"/>
        </w:rPr>
        <w:t>Appropriate conversation can be valued, but most of all the person still needs to be treated as a person, not an illness, to have their needs and dignity respected. The pastoral visitor must be sufficiently aware to listen and meet them at their point of need.</w:t>
      </w:r>
    </w:p>
    <w:p>
      <w:pPr>
        <w:pStyle w:val="BodyText"/>
        <w:spacing w:before="8"/>
        <w:rPr>
          <w:sz w:val="20"/>
        </w:rPr>
      </w:pPr>
    </w:p>
    <w:p>
      <w:pPr>
        <w:pStyle w:val="BodyText"/>
        <w:spacing w:line="273" w:lineRule="auto" w:before="1"/>
        <w:ind w:left="1240" w:right="1403"/>
      </w:pPr>
      <w:r>
        <w:rPr>
          <w:w w:val="110"/>
        </w:rPr>
        <w:t>Appropriate prayers, visits, practical help and the opportunity for the patient to talk to someone confidentially about the big issues, personal confessions, the meaning of life and death, etc. to have someone to pray with them and bring Holy Communion may help to bring peace of mind.</w:t>
      </w:r>
    </w:p>
    <w:p>
      <w:pPr>
        <w:pStyle w:val="BodyText"/>
        <w:spacing w:before="9"/>
        <w:rPr>
          <w:sz w:val="20"/>
        </w:rPr>
      </w:pPr>
    </w:p>
    <w:p>
      <w:pPr>
        <w:pStyle w:val="BodyText"/>
        <w:spacing w:line="273" w:lineRule="auto"/>
        <w:ind w:left="1240" w:right="1365"/>
      </w:pPr>
      <w:r>
        <w:rPr>
          <w:w w:val="110"/>
        </w:rPr>
        <w:t>Palliative </w:t>
      </w:r>
      <w:r>
        <w:rPr>
          <w:spacing w:val="2"/>
          <w:w w:val="110"/>
        </w:rPr>
        <w:t>care </w:t>
      </w:r>
      <w:r>
        <w:rPr>
          <w:w w:val="110"/>
        </w:rPr>
        <w:t>is managing and relieving </w:t>
      </w:r>
      <w:r>
        <w:rPr>
          <w:spacing w:val="2"/>
          <w:w w:val="110"/>
        </w:rPr>
        <w:t>extreme </w:t>
      </w:r>
      <w:r>
        <w:rPr>
          <w:w w:val="110"/>
        </w:rPr>
        <w:t>pain and </w:t>
      </w:r>
      <w:r>
        <w:rPr>
          <w:spacing w:val="2"/>
          <w:w w:val="110"/>
        </w:rPr>
        <w:t>discomfort </w:t>
      </w:r>
      <w:r>
        <w:rPr>
          <w:w w:val="110"/>
        </w:rPr>
        <w:t>through medication and appropriate care. Hospitals can </w:t>
      </w:r>
      <w:r>
        <w:rPr>
          <w:spacing w:val="2"/>
          <w:w w:val="110"/>
        </w:rPr>
        <w:t>offer </w:t>
      </w:r>
      <w:r>
        <w:rPr>
          <w:w w:val="110"/>
        </w:rPr>
        <w:t>excellent end of life palliative </w:t>
      </w:r>
      <w:r>
        <w:rPr>
          <w:spacing w:val="2"/>
          <w:w w:val="110"/>
        </w:rPr>
        <w:t>care</w:t>
      </w:r>
      <w:r>
        <w:rPr>
          <w:spacing w:val="73"/>
          <w:w w:val="110"/>
        </w:rPr>
        <w:t> </w:t>
      </w:r>
      <w:r>
        <w:rPr>
          <w:w w:val="110"/>
        </w:rPr>
        <w:t>but are </w:t>
      </w:r>
      <w:r>
        <w:rPr>
          <w:spacing w:val="2"/>
          <w:w w:val="110"/>
        </w:rPr>
        <w:t>often </w:t>
      </w:r>
      <w:r>
        <w:rPr>
          <w:w w:val="110"/>
        </w:rPr>
        <w:t>too busy to devote the time to long-term terminally ill</w:t>
      </w:r>
      <w:r>
        <w:rPr>
          <w:spacing w:val="56"/>
          <w:w w:val="110"/>
        </w:rPr>
        <w:t> </w:t>
      </w:r>
      <w:r>
        <w:rPr>
          <w:w w:val="110"/>
        </w:rPr>
        <w:t>patients.</w:t>
      </w:r>
    </w:p>
    <w:p>
      <w:pPr>
        <w:spacing w:after="0" w:line="273" w:lineRule="auto"/>
        <w:sectPr>
          <w:pgSz w:w="11910" w:h="16840"/>
          <w:pgMar w:header="558" w:footer="564" w:top="820" w:bottom="760" w:left="460" w:right="0"/>
        </w:sectPr>
      </w:pPr>
    </w:p>
    <w:p>
      <w:pPr>
        <w:pStyle w:val="BodyText"/>
        <w:rPr>
          <w:sz w:val="20"/>
        </w:rPr>
      </w:pPr>
    </w:p>
    <w:p>
      <w:pPr>
        <w:pStyle w:val="BodyText"/>
        <w:spacing w:before="7"/>
        <w:rPr>
          <w:sz w:val="22"/>
        </w:rPr>
      </w:pPr>
    </w:p>
    <w:p>
      <w:pPr>
        <w:pStyle w:val="BodyText"/>
        <w:spacing w:line="273" w:lineRule="auto"/>
        <w:ind w:left="673" w:right="1930"/>
        <w:jc w:val="both"/>
      </w:pPr>
      <w:r>
        <w:rPr>
          <w:w w:val="110"/>
        </w:rPr>
        <w:t>The hospice movement </w:t>
      </w:r>
      <w:r>
        <w:rPr>
          <w:spacing w:val="3"/>
          <w:w w:val="110"/>
        </w:rPr>
        <w:t>offers </w:t>
      </w:r>
      <w:r>
        <w:rPr>
          <w:w w:val="110"/>
        </w:rPr>
        <w:t>specialist palliative </w:t>
      </w:r>
      <w:r>
        <w:rPr>
          <w:spacing w:val="2"/>
          <w:w w:val="110"/>
        </w:rPr>
        <w:t>care </w:t>
      </w:r>
      <w:r>
        <w:rPr>
          <w:w w:val="110"/>
        </w:rPr>
        <w:t>for the terminally ill at home, in a hospice, special hospital unit or </w:t>
      </w:r>
      <w:r>
        <w:rPr>
          <w:spacing w:val="2"/>
          <w:w w:val="110"/>
        </w:rPr>
        <w:t>care </w:t>
      </w:r>
      <w:r>
        <w:rPr>
          <w:w w:val="110"/>
        </w:rPr>
        <w:t>home. This is usually excellent, with the patient receiving </w:t>
      </w:r>
      <w:r>
        <w:rPr>
          <w:spacing w:val="2"/>
          <w:w w:val="110"/>
        </w:rPr>
        <w:t>expert </w:t>
      </w:r>
      <w:r>
        <w:rPr>
          <w:w w:val="110"/>
        </w:rPr>
        <w:t>pain relief, </w:t>
      </w:r>
      <w:r>
        <w:rPr>
          <w:spacing w:val="2"/>
          <w:w w:val="110"/>
        </w:rPr>
        <w:t>care </w:t>
      </w:r>
      <w:r>
        <w:rPr>
          <w:w w:val="110"/>
        </w:rPr>
        <w:t>with the emotional and </w:t>
      </w:r>
      <w:r>
        <w:rPr>
          <w:spacing w:val="2"/>
          <w:w w:val="110"/>
        </w:rPr>
        <w:t>practical </w:t>
      </w:r>
      <w:r>
        <w:rPr>
          <w:w w:val="110"/>
        </w:rPr>
        <w:t>needs of</w:t>
      </w:r>
      <w:r>
        <w:rPr>
          <w:spacing w:val="67"/>
          <w:w w:val="110"/>
        </w:rPr>
        <w:t> </w:t>
      </w:r>
      <w:r>
        <w:rPr>
          <w:w w:val="110"/>
        </w:rPr>
        <w:t>family</w:t>
      </w:r>
    </w:p>
    <w:p>
      <w:pPr>
        <w:pStyle w:val="BodyText"/>
        <w:spacing w:line="273" w:lineRule="auto" w:before="2"/>
        <w:ind w:left="673" w:right="1829"/>
      </w:pPr>
      <w:r>
        <w:rPr>
          <w:w w:val="110"/>
        </w:rPr>
        <w:t>and friends being met as well. Hospices are usually quieter than hospitals with staff having time and training to deal with end of life issues. Through the trained chaplains, appropriate spiritual care is offered; this can bring peace of mind to both patient and family and friends.</w:t>
      </w:r>
    </w:p>
    <w:p>
      <w:pPr>
        <w:pStyle w:val="BodyText"/>
        <w:spacing w:before="9"/>
        <w:rPr>
          <w:sz w:val="20"/>
        </w:rPr>
      </w:pPr>
    </w:p>
    <w:p>
      <w:pPr>
        <w:pStyle w:val="BodyText"/>
        <w:spacing w:line="273" w:lineRule="auto" w:before="1"/>
        <w:ind w:left="673" w:right="1633"/>
      </w:pPr>
      <w:r>
        <w:rPr>
          <w:w w:val="110"/>
        </w:rPr>
        <w:t>Chaplains in all these situations have an important role in bringing spiritual help and </w:t>
      </w:r>
      <w:r>
        <w:rPr>
          <w:spacing w:val="2"/>
          <w:w w:val="110"/>
        </w:rPr>
        <w:t>comfort </w:t>
      </w:r>
      <w:r>
        <w:rPr>
          <w:w w:val="110"/>
        </w:rPr>
        <w:t>to the </w:t>
      </w:r>
      <w:r>
        <w:rPr>
          <w:spacing w:val="2"/>
          <w:w w:val="110"/>
        </w:rPr>
        <w:t>suffering </w:t>
      </w:r>
      <w:r>
        <w:rPr>
          <w:w w:val="110"/>
        </w:rPr>
        <w:t>and dying. </w:t>
      </w:r>
      <w:r>
        <w:rPr>
          <w:spacing w:val="-3"/>
          <w:w w:val="110"/>
        </w:rPr>
        <w:t>However,  </w:t>
      </w:r>
      <w:r>
        <w:rPr>
          <w:w w:val="110"/>
        </w:rPr>
        <w:t>there is insufficient </w:t>
      </w:r>
      <w:r>
        <w:rPr>
          <w:spacing w:val="2"/>
          <w:w w:val="110"/>
        </w:rPr>
        <w:t>capacity </w:t>
      </w:r>
      <w:r>
        <w:rPr>
          <w:w w:val="110"/>
        </w:rPr>
        <w:t>to cope with   all who are terminally ill (see paragraph 5.5 and </w:t>
      </w:r>
      <w:r>
        <w:rPr>
          <w:spacing w:val="2"/>
          <w:w w:val="110"/>
        </w:rPr>
        <w:t>section </w:t>
      </w:r>
      <w:r>
        <w:rPr>
          <w:w w:val="110"/>
        </w:rPr>
        <w:t>8 of the Report). Inevitably some die in hospital alone, in geriatric wards where </w:t>
      </w:r>
      <w:r>
        <w:rPr>
          <w:spacing w:val="3"/>
          <w:w w:val="110"/>
        </w:rPr>
        <w:t>staff </w:t>
      </w:r>
      <w:r>
        <w:rPr>
          <w:w w:val="110"/>
        </w:rPr>
        <w:t>are</w:t>
      </w:r>
      <w:r>
        <w:rPr>
          <w:spacing w:val="22"/>
          <w:w w:val="110"/>
        </w:rPr>
        <w:t> </w:t>
      </w:r>
      <w:r>
        <w:rPr>
          <w:spacing w:val="-3"/>
          <w:w w:val="110"/>
        </w:rPr>
        <w:t>busy.</w:t>
      </w:r>
    </w:p>
    <w:p>
      <w:pPr>
        <w:pStyle w:val="BodyText"/>
        <w:spacing w:before="9"/>
        <w:rPr>
          <w:sz w:val="20"/>
        </w:rPr>
      </w:pPr>
    </w:p>
    <w:p>
      <w:pPr>
        <w:pStyle w:val="BodyText"/>
        <w:spacing w:line="273" w:lineRule="auto"/>
        <w:ind w:left="673" w:right="2219"/>
      </w:pPr>
      <w:r>
        <w:rPr>
          <w:w w:val="110"/>
        </w:rPr>
        <w:t>For those looking </w:t>
      </w:r>
      <w:r>
        <w:rPr>
          <w:spacing w:val="2"/>
          <w:w w:val="110"/>
        </w:rPr>
        <w:t>after </w:t>
      </w:r>
      <w:r>
        <w:rPr>
          <w:w w:val="110"/>
        </w:rPr>
        <w:t>dementia </w:t>
      </w:r>
      <w:r>
        <w:rPr>
          <w:spacing w:val="2"/>
          <w:w w:val="110"/>
        </w:rPr>
        <w:t>sufferers, </w:t>
      </w:r>
      <w:r>
        <w:rPr>
          <w:w w:val="110"/>
        </w:rPr>
        <w:t>there is an even greater problem, how and where </w:t>
      </w:r>
      <w:r>
        <w:rPr>
          <w:spacing w:val="2"/>
          <w:w w:val="110"/>
        </w:rPr>
        <w:t>best </w:t>
      </w:r>
      <w:r>
        <w:rPr>
          <w:w w:val="110"/>
        </w:rPr>
        <w:t>to </w:t>
      </w:r>
      <w:r>
        <w:rPr>
          <w:spacing w:val="2"/>
          <w:w w:val="110"/>
        </w:rPr>
        <w:t>care </w:t>
      </w:r>
      <w:r>
        <w:rPr>
          <w:w w:val="110"/>
        </w:rPr>
        <w:t>for them, especially when other terminal illnesses add to the problem? </w:t>
      </w:r>
      <w:r>
        <w:rPr>
          <w:spacing w:val="2"/>
          <w:w w:val="110"/>
        </w:rPr>
        <w:t>(These </w:t>
      </w:r>
      <w:r>
        <w:rPr>
          <w:w w:val="110"/>
        </w:rPr>
        <w:t>issues are explored </w:t>
      </w:r>
      <w:r>
        <w:rPr>
          <w:spacing w:val="2"/>
          <w:w w:val="110"/>
        </w:rPr>
        <w:t>further </w:t>
      </w:r>
      <w:r>
        <w:rPr>
          <w:w w:val="110"/>
        </w:rPr>
        <w:t>in module 5 of this Study</w:t>
      </w:r>
      <w:r>
        <w:rPr>
          <w:spacing w:val="57"/>
          <w:w w:val="110"/>
        </w:rPr>
        <w:t> </w:t>
      </w:r>
      <w:r>
        <w:rPr>
          <w:w w:val="110"/>
        </w:rPr>
        <w:t>Guide.)</w:t>
      </w:r>
    </w:p>
    <w:p>
      <w:pPr>
        <w:pStyle w:val="BodyText"/>
        <w:spacing w:before="9"/>
        <w:rPr>
          <w:sz w:val="20"/>
        </w:rPr>
      </w:pPr>
    </w:p>
    <w:p>
      <w:pPr>
        <w:pStyle w:val="BodyText"/>
        <w:spacing w:line="273" w:lineRule="auto"/>
        <w:ind w:left="673" w:right="2214"/>
      </w:pPr>
      <w:r>
        <w:rPr>
          <w:spacing w:val="2"/>
          <w:w w:val="110"/>
        </w:rPr>
        <w:t>There </w:t>
      </w:r>
      <w:r>
        <w:rPr>
          <w:w w:val="110"/>
        </w:rPr>
        <w:t>are no easy or universal answers. Each group discussing these issues will have their own experiences to draw on. </w:t>
      </w:r>
      <w:r>
        <w:rPr>
          <w:spacing w:val="-4"/>
          <w:w w:val="110"/>
        </w:rPr>
        <w:t>You </w:t>
      </w:r>
      <w:r>
        <w:rPr>
          <w:w w:val="110"/>
        </w:rPr>
        <w:t>might find it helpful to look at the </w:t>
      </w:r>
      <w:r>
        <w:rPr>
          <w:spacing w:val="2"/>
          <w:w w:val="110"/>
        </w:rPr>
        <w:t>responses </w:t>
      </w:r>
      <w:r>
        <w:rPr>
          <w:spacing w:val="73"/>
          <w:w w:val="110"/>
        </w:rPr>
        <w:t> </w:t>
      </w:r>
      <w:r>
        <w:rPr>
          <w:w w:val="110"/>
        </w:rPr>
        <w:t>to the questionnaire (Appendix </w:t>
      </w:r>
      <w:r>
        <w:rPr>
          <w:spacing w:val="-4"/>
          <w:w w:val="110"/>
        </w:rPr>
        <w:t>A) </w:t>
      </w:r>
      <w:r>
        <w:rPr>
          <w:w w:val="110"/>
        </w:rPr>
        <w:t>at this stage, as many are relevant to the </w:t>
      </w:r>
      <w:r>
        <w:rPr>
          <w:spacing w:val="2"/>
          <w:w w:val="110"/>
        </w:rPr>
        <w:t>practical </w:t>
      </w:r>
      <w:r>
        <w:rPr>
          <w:w w:val="110"/>
        </w:rPr>
        <w:t>considerations</w:t>
      </w:r>
      <w:r>
        <w:rPr>
          <w:spacing w:val="1"/>
          <w:w w:val="110"/>
        </w:rPr>
        <w:t> </w:t>
      </w:r>
      <w:r>
        <w:rPr>
          <w:w w:val="110"/>
        </w:rPr>
        <w:t>raised.</w:t>
      </w:r>
    </w:p>
    <w:p>
      <w:pPr>
        <w:pStyle w:val="BodyText"/>
        <w:rPr>
          <w:sz w:val="22"/>
        </w:rPr>
      </w:pPr>
    </w:p>
    <w:p>
      <w:pPr>
        <w:pStyle w:val="BodyText"/>
        <w:spacing w:before="8"/>
        <w:rPr>
          <w:sz w:val="21"/>
        </w:rPr>
      </w:pPr>
    </w:p>
    <w:p>
      <w:pPr>
        <w:spacing w:before="0"/>
        <w:ind w:left="900" w:right="0" w:firstLine="0"/>
        <w:jc w:val="left"/>
        <w:rPr>
          <w:b/>
          <w:sz w:val="38"/>
        </w:rPr>
      </w:pPr>
      <w:r>
        <w:rPr/>
        <w:pict>
          <v:group style="position:absolute;margin-left:56.693001pt;margin-top:-11.855138pt;width:456.55pt;height:406.3pt;mso-position-horizontal-relative:page;mso-position-vertical-relative:paragraph;z-index:-275307520" coordorigin="1134,-237" coordsize="9131,8126">
            <v:rect style="position:absolute;left:1173;top:-198;width:9051;height:8046" filled="true" fillcolor="#7c7c7c" stroked="false">
              <v:fill type="solid"/>
            </v:rect>
            <v:rect style="position:absolute;left:1173;top:-198;width:9051;height:8046" filled="false" stroked="true" strokeweight="4pt" strokecolor="#acacac">
              <v:stroke dashstyle="solid"/>
            </v:rect>
            <w10:wrap type="none"/>
          </v:group>
        </w:pict>
      </w:r>
      <w:r>
        <w:rPr>
          <w:b/>
          <w:color w:val="FFFFFF"/>
          <w:w w:val="110"/>
          <w:sz w:val="38"/>
        </w:rPr>
        <w:t>Questions</w:t>
      </w:r>
    </w:p>
    <w:p>
      <w:pPr>
        <w:numPr>
          <w:ilvl w:val="1"/>
          <w:numId w:val="117"/>
        </w:numPr>
        <w:tabs>
          <w:tab w:pos="1355" w:val="left" w:leader="none"/>
        </w:tabs>
        <w:spacing w:line="273" w:lineRule="auto" w:before="240"/>
        <w:ind w:left="1354" w:right="2725" w:hanging="454"/>
        <w:jc w:val="both"/>
        <w:rPr>
          <w:b/>
          <w:sz w:val="18"/>
        </w:rPr>
      </w:pPr>
      <w:r>
        <w:rPr>
          <w:b/>
          <w:color w:val="FFFFFF"/>
          <w:w w:val="110"/>
          <w:sz w:val="18"/>
        </w:rPr>
        <w:t>What are Christian </w:t>
      </w:r>
      <w:r>
        <w:rPr>
          <w:b/>
          <w:color w:val="FFFFFF"/>
          <w:spacing w:val="2"/>
          <w:w w:val="110"/>
          <w:sz w:val="18"/>
        </w:rPr>
        <w:t>responsibilities </w:t>
      </w:r>
      <w:r>
        <w:rPr>
          <w:b/>
          <w:color w:val="FFFFFF"/>
          <w:w w:val="110"/>
          <w:sz w:val="18"/>
        </w:rPr>
        <w:t>when it </w:t>
      </w:r>
      <w:r>
        <w:rPr>
          <w:b/>
          <w:color w:val="FFFFFF"/>
          <w:spacing w:val="2"/>
          <w:w w:val="110"/>
          <w:sz w:val="18"/>
        </w:rPr>
        <w:t>comes </w:t>
      </w:r>
      <w:r>
        <w:rPr>
          <w:b/>
          <w:color w:val="FFFFFF"/>
          <w:w w:val="110"/>
          <w:sz w:val="18"/>
        </w:rPr>
        <w:t>to caring for the</w:t>
      </w:r>
      <w:r>
        <w:rPr>
          <w:b/>
          <w:color w:val="FFFFFF"/>
          <w:spacing w:val="9"/>
          <w:w w:val="110"/>
          <w:sz w:val="18"/>
        </w:rPr>
        <w:t> </w:t>
      </w:r>
      <w:r>
        <w:rPr>
          <w:b/>
          <w:color w:val="FFFFFF"/>
          <w:w w:val="110"/>
          <w:sz w:val="18"/>
        </w:rPr>
        <w:t>terminally</w:t>
      </w:r>
      <w:r>
        <w:rPr>
          <w:b/>
          <w:color w:val="FFFFFF"/>
          <w:spacing w:val="10"/>
          <w:w w:val="110"/>
          <w:sz w:val="18"/>
        </w:rPr>
        <w:t> </w:t>
      </w:r>
      <w:r>
        <w:rPr>
          <w:b/>
          <w:color w:val="FFFFFF"/>
          <w:w w:val="110"/>
          <w:sz w:val="18"/>
        </w:rPr>
        <w:t>ill?</w:t>
      </w:r>
      <w:r>
        <w:rPr>
          <w:b/>
          <w:color w:val="FFFFFF"/>
          <w:spacing w:val="9"/>
          <w:w w:val="110"/>
          <w:sz w:val="18"/>
        </w:rPr>
        <w:t> </w:t>
      </w:r>
      <w:r>
        <w:rPr>
          <w:b/>
          <w:color w:val="FFFFFF"/>
          <w:w w:val="110"/>
          <w:sz w:val="18"/>
        </w:rPr>
        <w:t>Do</w:t>
      </w:r>
      <w:r>
        <w:rPr>
          <w:b/>
          <w:color w:val="FFFFFF"/>
          <w:spacing w:val="10"/>
          <w:w w:val="110"/>
          <w:sz w:val="18"/>
        </w:rPr>
        <w:t> </w:t>
      </w:r>
      <w:r>
        <w:rPr>
          <w:b/>
          <w:color w:val="FFFFFF"/>
          <w:w w:val="110"/>
          <w:sz w:val="18"/>
        </w:rPr>
        <w:t>we</w:t>
      </w:r>
      <w:r>
        <w:rPr>
          <w:b/>
          <w:color w:val="FFFFFF"/>
          <w:spacing w:val="10"/>
          <w:w w:val="110"/>
          <w:sz w:val="18"/>
        </w:rPr>
        <w:t> </w:t>
      </w:r>
      <w:r>
        <w:rPr>
          <w:b/>
          <w:color w:val="FFFFFF"/>
          <w:w w:val="110"/>
          <w:sz w:val="18"/>
        </w:rPr>
        <w:t>tailor</w:t>
      </w:r>
      <w:r>
        <w:rPr>
          <w:b/>
          <w:color w:val="FFFFFF"/>
          <w:spacing w:val="9"/>
          <w:w w:val="110"/>
          <w:sz w:val="18"/>
        </w:rPr>
        <w:t> </w:t>
      </w:r>
      <w:r>
        <w:rPr>
          <w:b/>
          <w:color w:val="FFFFFF"/>
          <w:w w:val="110"/>
          <w:sz w:val="18"/>
        </w:rPr>
        <w:t>our</w:t>
      </w:r>
      <w:r>
        <w:rPr>
          <w:b/>
          <w:color w:val="FFFFFF"/>
          <w:spacing w:val="10"/>
          <w:w w:val="110"/>
          <w:sz w:val="18"/>
        </w:rPr>
        <w:t> </w:t>
      </w:r>
      <w:r>
        <w:rPr>
          <w:b/>
          <w:color w:val="FFFFFF"/>
          <w:spacing w:val="2"/>
          <w:w w:val="110"/>
          <w:sz w:val="18"/>
        </w:rPr>
        <w:t>responses</w:t>
      </w:r>
      <w:r>
        <w:rPr>
          <w:b/>
          <w:color w:val="FFFFFF"/>
          <w:spacing w:val="10"/>
          <w:w w:val="110"/>
          <w:sz w:val="18"/>
        </w:rPr>
        <w:t> </w:t>
      </w:r>
      <w:r>
        <w:rPr>
          <w:b/>
          <w:color w:val="FFFFFF"/>
          <w:w w:val="110"/>
          <w:sz w:val="18"/>
        </w:rPr>
        <w:t>to</w:t>
      </w:r>
      <w:r>
        <w:rPr>
          <w:b/>
          <w:color w:val="FFFFFF"/>
          <w:spacing w:val="9"/>
          <w:w w:val="110"/>
          <w:sz w:val="18"/>
        </w:rPr>
        <w:t> </w:t>
      </w:r>
      <w:r>
        <w:rPr>
          <w:b/>
          <w:color w:val="FFFFFF"/>
          <w:w w:val="110"/>
          <w:sz w:val="18"/>
        </w:rPr>
        <w:t>the</w:t>
      </w:r>
      <w:r>
        <w:rPr>
          <w:b/>
          <w:color w:val="FFFFFF"/>
          <w:spacing w:val="10"/>
          <w:w w:val="110"/>
          <w:sz w:val="18"/>
        </w:rPr>
        <w:t> </w:t>
      </w:r>
      <w:r>
        <w:rPr>
          <w:b/>
          <w:color w:val="FFFFFF"/>
          <w:w w:val="110"/>
          <w:sz w:val="18"/>
        </w:rPr>
        <w:t>situation</w:t>
      </w:r>
      <w:r>
        <w:rPr>
          <w:b/>
          <w:color w:val="FFFFFF"/>
          <w:spacing w:val="9"/>
          <w:w w:val="110"/>
          <w:sz w:val="18"/>
        </w:rPr>
        <w:t> </w:t>
      </w:r>
      <w:r>
        <w:rPr>
          <w:b/>
          <w:color w:val="FFFFFF"/>
          <w:w w:val="110"/>
          <w:sz w:val="18"/>
        </w:rPr>
        <w:t>i.e.</w:t>
      </w:r>
    </w:p>
    <w:p>
      <w:pPr>
        <w:spacing w:line="273" w:lineRule="auto" w:before="1"/>
        <w:ind w:left="1354" w:right="2426" w:hanging="1"/>
        <w:jc w:val="both"/>
        <w:rPr>
          <w:b/>
          <w:sz w:val="18"/>
        </w:rPr>
      </w:pPr>
      <w:r>
        <w:rPr>
          <w:b/>
          <w:color w:val="FFFFFF"/>
          <w:w w:val="110"/>
          <w:sz w:val="18"/>
        </w:rPr>
        <w:t>when the patient has a large supportive family and friends or when there is no family at all? Look at the case studies and draw on your own experiences.</w:t>
      </w:r>
    </w:p>
    <w:p>
      <w:pPr>
        <w:pStyle w:val="BodyText"/>
        <w:spacing w:before="8"/>
        <w:rPr>
          <w:b/>
          <w:sz w:val="20"/>
        </w:rPr>
      </w:pPr>
    </w:p>
    <w:p>
      <w:pPr>
        <w:pStyle w:val="ListParagraph"/>
        <w:numPr>
          <w:ilvl w:val="1"/>
          <w:numId w:val="117"/>
        </w:numPr>
        <w:tabs>
          <w:tab w:pos="1354" w:val="left" w:leader="none"/>
          <w:tab w:pos="1355" w:val="left" w:leader="none"/>
        </w:tabs>
        <w:spacing w:line="273" w:lineRule="auto" w:before="1" w:after="0"/>
        <w:ind w:left="1354" w:right="2601" w:hanging="454"/>
        <w:jc w:val="left"/>
        <w:rPr>
          <w:b/>
          <w:sz w:val="18"/>
        </w:rPr>
      </w:pPr>
      <w:r>
        <w:rPr>
          <w:b/>
          <w:color w:val="FFFFFF"/>
          <w:spacing w:val="-4"/>
          <w:w w:val="110"/>
          <w:sz w:val="18"/>
        </w:rPr>
        <w:t>Take </w:t>
      </w:r>
      <w:r>
        <w:rPr>
          <w:b/>
          <w:color w:val="FFFFFF"/>
          <w:w w:val="110"/>
          <w:sz w:val="18"/>
        </w:rPr>
        <w:t>a look at Appendix C on Parish Nursing. Could this be helpful when addressing end of life</w:t>
      </w:r>
      <w:r>
        <w:rPr>
          <w:b/>
          <w:color w:val="FFFFFF"/>
          <w:spacing w:val="6"/>
          <w:w w:val="110"/>
          <w:sz w:val="18"/>
        </w:rPr>
        <w:t> </w:t>
      </w:r>
      <w:r>
        <w:rPr>
          <w:b/>
          <w:color w:val="FFFFFF"/>
          <w:w w:val="110"/>
          <w:sz w:val="18"/>
        </w:rPr>
        <w:t>issues?</w:t>
      </w:r>
    </w:p>
    <w:p>
      <w:pPr>
        <w:pStyle w:val="BodyText"/>
        <w:spacing w:before="8"/>
        <w:rPr>
          <w:b/>
          <w:sz w:val="20"/>
        </w:rPr>
      </w:pPr>
    </w:p>
    <w:p>
      <w:pPr>
        <w:pStyle w:val="ListParagraph"/>
        <w:numPr>
          <w:ilvl w:val="1"/>
          <w:numId w:val="117"/>
        </w:numPr>
        <w:tabs>
          <w:tab w:pos="1353" w:val="left" w:leader="none"/>
          <w:tab w:pos="1354" w:val="left" w:leader="none"/>
        </w:tabs>
        <w:spacing w:line="273" w:lineRule="auto" w:before="0" w:after="0"/>
        <w:ind w:left="1354" w:right="2782" w:hanging="454"/>
        <w:jc w:val="left"/>
        <w:rPr>
          <w:b/>
          <w:sz w:val="18"/>
        </w:rPr>
      </w:pPr>
      <w:r>
        <w:rPr>
          <w:b/>
          <w:color w:val="FFFFFF"/>
          <w:w w:val="110"/>
          <w:sz w:val="18"/>
        </w:rPr>
        <w:t>In your </w:t>
      </w:r>
      <w:r>
        <w:rPr>
          <w:b/>
          <w:color w:val="FFFFFF"/>
          <w:spacing w:val="2"/>
          <w:w w:val="110"/>
          <w:sz w:val="18"/>
        </w:rPr>
        <w:t>experience, </w:t>
      </w:r>
      <w:r>
        <w:rPr>
          <w:b/>
          <w:color w:val="FFFFFF"/>
          <w:w w:val="110"/>
          <w:sz w:val="18"/>
        </w:rPr>
        <w:t>is hospice </w:t>
      </w:r>
      <w:r>
        <w:rPr>
          <w:b/>
          <w:color w:val="FFFFFF"/>
          <w:spacing w:val="2"/>
          <w:w w:val="110"/>
          <w:sz w:val="18"/>
        </w:rPr>
        <w:t>care </w:t>
      </w:r>
      <w:r>
        <w:rPr>
          <w:b/>
          <w:color w:val="FFFFFF"/>
          <w:w w:val="110"/>
          <w:sz w:val="18"/>
        </w:rPr>
        <w:t>widely available or are </w:t>
      </w:r>
      <w:r>
        <w:rPr>
          <w:b/>
          <w:color w:val="FFFFFF"/>
          <w:spacing w:val="2"/>
          <w:w w:val="110"/>
          <w:sz w:val="18"/>
        </w:rPr>
        <w:t>there </w:t>
      </w:r>
      <w:r>
        <w:rPr>
          <w:b/>
          <w:color w:val="FFFFFF"/>
          <w:w w:val="110"/>
          <w:sz w:val="18"/>
        </w:rPr>
        <w:t>limitations in the availability of</w:t>
      </w:r>
      <w:r>
        <w:rPr>
          <w:b/>
          <w:color w:val="FFFFFF"/>
          <w:spacing w:val="7"/>
          <w:w w:val="110"/>
          <w:sz w:val="18"/>
        </w:rPr>
        <w:t> </w:t>
      </w:r>
      <w:r>
        <w:rPr>
          <w:b/>
          <w:color w:val="FFFFFF"/>
          <w:w w:val="110"/>
          <w:sz w:val="18"/>
        </w:rPr>
        <w:t>places?</w:t>
      </w:r>
    </w:p>
    <w:p>
      <w:pPr>
        <w:pStyle w:val="BodyText"/>
        <w:spacing w:before="8"/>
        <w:rPr>
          <w:b/>
          <w:sz w:val="20"/>
        </w:rPr>
      </w:pPr>
    </w:p>
    <w:p>
      <w:pPr>
        <w:pStyle w:val="ListParagraph"/>
        <w:numPr>
          <w:ilvl w:val="1"/>
          <w:numId w:val="117"/>
        </w:numPr>
        <w:tabs>
          <w:tab w:pos="1354" w:val="left" w:leader="none"/>
          <w:tab w:pos="1355" w:val="left" w:leader="none"/>
        </w:tabs>
        <w:spacing w:line="273" w:lineRule="auto" w:before="0" w:after="0"/>
        <w:ind w:left="1354" w:right="2226" w:hanging="454"/>
        <w:jc w:val="left"/>
        <w:rPr>
          <w:b/>
          <w:sz w:val="18"/>
        </w:rPr>
      </w:pPr>
      <w:r>
        <w:rPr>
          <w:b/>
          <w:color w:val="FFFFFF"/>
          <w:spacing w:val="-4"/>
          <w:w w:val="110"/>
          <w:sz w:val="18"/>
        </w:rPr>
        <w:t>Take </w:t>
      </w:r>
      <w:r>
        <w:rPr>
          <w:b/>
          <w:color w:val="FFFFFF"/>
          <w:w w:val="110"/>
          <w:sz w:val="18"/>
        </w:rPr>
        <w:t>a look at Appendix D on the Healing Ministry. Could you </w:t>
      </w:r>
      <w:r>
        <w:rPr>
          <w:b/>
          <w:color w:val="FFFFFF"/>
          <w:spacing w:val="2"/>
          <w:w w:val="110"/>
          <w:sz w:val="18"/>
        </w:rPr>
        <w:t>see </w:t>
      </w:r>
      <w:r>
        <w:rPr>
          <w:b/>
          <w:color w:val="FFFFFF"/>
          <w:w w:val="110"/>
          <w:sz w:val="18"/>
        </w:rPr>
        <w:t>this as an </w:t>
      </w:r>
      <w:r>
        <w:rPr>
          <w:b/>
          <w:color w:val="FFFFFF"/>
          <w:spacing w:val="2"/>
          <w:w w:val="110"/>
          <w:sz w:val="18"/>
        </w:rPr>
        <w:t>extension </w:t>
      </w:r>
      <w:r>
        <w:rPr>
          <w:b/>
          <w:color w:val="FFFFFF"/>
          <w:w w:val="110"/>
          <w:sz w:val="18"/>
        </w:rPr>
        <w:t>of pastoral care relevant to the situations we have </w:t>
      </w:r>
      <w:r>
        <w:rPr>
          <w:b/>
          <w:color w:val="FFFFFF"/>
          <w:spacing w:val="2"/>
          <w:w w:val="110"/>
          <w:sz w:val="18"/>
        </w:rPr>
        <w:t>been</w:t>
      </w:r>
      <w:r>
        <w:rPr>
          <w:b/>
          <w:color w:val="FFFFFF"/>
          <w:w w:val="110"/>
          <w:sz w:val="18"/>
        </w:rPr>
        <w:t> discussing?</w:t>
      </w:r>
    </w:p>
    <w:p>
      <w:pPr>
        <w:pStyle w:val="BodyText"/>
        <w:spacing w:before="9"/>
        <w:rPr>
          <w:b/>
          <w:sz w:val="20"/>
        </w:rPr>
      </w:pPr>
    </w:p>
    <w:p>
      <w:pPr>
        <w:pStyle w:val="ListParagraph"/>
        <w:numPr>
          <w:ilvl w:val="1"/>
          <w:numId w:val="117"/>
        </w:numPr>
        <w:tabs>
          <w:tab w:pos="1354" w:val="left" w:leader="none"/>
          <w:tab w:pos="1355" w:val="left" w:leader="none"/>
        </w:tabs>
        <w:spacing w:line="273" w:lineRule="auto" w:before="0" w:after="0"/>
        <w:ind w:left="1354" w:right="2111" w:hanging="454"/>
        <w:jc w:val="left"/>
        <w:rPr>
          <w:b/>
          <w:sz w:val="18"/>
        </w:rPr>
      </w:pPr>
      <w:r>
        <w:rPr>
          <w:b/>
          <w:color w:val="FFFFFF"/>
          <w:w w:val="110"/>
          <w:sz w:val="18"/>
        </w:rPr>
        <w:t>If </w:t>
      </w:r>
      <w:r>
        <w:rPr>
          <w:b/>
          <w:color w:val="FFFFFF"/>
          <w:spacing w:val="2"/>
          <w:w w:val="110"/>
          <w:sz w:val="18"/>
        </w:rPr>
        <w:t>there </w:t>
      </w:r>
      <w:r>
        <w:rPr>
          <w:b/>
          <w:color w:val="FFFFFF"/>
          <w:w w:val="110"/>
          <w:sz w:val="18"/>
        </w:rPr>
        <w:t>is a serious problem with </w:t>
      </w:r>
      <w:r>
        <w:rPr>
          <w:b/>
          <w:color w:val="FFFFFF"/>
          <w:spacing w:val="2"/>
          <w:w w:val="110"/>
          <w:sz w:val="18"/>
        </w:rPr>
        <w:t>care </w:t>
      </w:r>
      <w:r>
        <w:rPr>
          <w:b/>
          <w:color w:val="FFFFFF"/>
          <w:w w:val="110"/>
          <w:sz w:val="18"/>
        </w:rPr>
        <w:t>for someone who is terminally ill, what should we do, if anything? If </w:t>
      </w:r>
      <w:r>
        <w:rPr>
          <w:b/>
          <w:color w:val="FFFFFF"/>
          <w:spacing w:val="2"/>
          <w:w w:val="110"/>
          <w:sz w:val="18"/>
        </w:rPr>
        <w:t>there </w:t>
      </w:r>
      <w:r>
        <w:rPr>
          <w:b/>
          <w:color w:val="FFFFFF"/>
          <w:w w:val="110"/>
          <w:sz w:val="18"/>
        </w:rPr>
        <w:t>is no space in the hospice, what then? What are the </w:t>
      </w:r>
      <w:r>
        <w:rPr>
          <w:b/>
          <w:color w:val="FFFFFF"/>
          <w:spacing w:val="2"/>
          <w:w w:val="110"/>
          <w:sz w:val="18"/>
        </w:rPr>
        <w:t>issues </w:t>
      </w:r>
      <w:r>
        <w:rPr>
          <w:b/>
          <w:color w:val="FFFFFF"/>
          <w:w w:val="110"/>
          <w:sz w:val="18"/>
        </w:rPr>
        <w:t>to be </w:t>
      </w:r>
      <w:r>
        <w:rPr>
          <w:b/>
          <w:color w:val="FFFFFF"/>
          <w:spacing w:val="2"/>
          <w:w w:val="110"/>
          <w:sz w:val="18"/>
        </w:rPr>
        <w:t>considered before</w:t>
      </w:r>
      <w:r>
        <w:rPr>
          <w:b/>
          <w:color w:val="FFFFFF"/>
          <w:spacing w:val="15"/>
          <w:w w:val="110"/>
          <w:sz w:val="18"/>
        </w:rPr>
        <w:t> </w:t>
      </w:r>
      <w:r>
        <w:rPr>
          <w:b/>
          <w:color w:val="FFFFFF"/>
          <w:w w:val="110"/>
          <w:sz w:val="18"/>
        </w:rPr>
        <w:t>intervening?</w:t>
      </w:r>
    </w:p>
    <w:p>
      <w:pPr>
        <w:pStyle w:val="BodyText"/>
        <w:spacing w:before="8"/>
        <w:rPr>
          <w:b/>
          <w:sz w:val="20"/>
        </w:rPr>
      </w:pPr>
    </w:p>
    <w:p>
      <w:pPr>
        <w:pStyle w:val="ListParagraph"/>
        <w:numPr>
          <w:ilvl w:val="1"/>
          <w:numId w:val="117"/>
        </w:numPr>
        <w:tabs>
          <w:tab w:pos="1353" w:val="left" w:leader="none"/>
          <w:tab w:pos="1355" w:val="left" w:leader="none"/>
        </w:tabs>
        <w:spacing w:line="240" w:lineRule="auto" w:before="1" w:after="0"/>
        <w:ind w:left="1354" w:right="0" w:hanging="455"/>
        <w:jc w:val="left"/>
        <w:rPr>
          <w:b/>
          <w:sz w:val="18"/>
        </w:rPr>
      </w:pPr>
      <w:r>
        <w:rPr>
          <w:b/>
          <w:color w:val="FFFFFF"/>
          <w:w w:val="110"/>
          <w:sz w:val="18"/>
        </w:rPr>
        <w:t>Hospices are often under-resourced. How can the church offer</w:t>
      </w:r>
      <w:r>
        <w:rPr>
          <w:b/>
          <w:color w:val="FFFFFF"/>
          <w:spacing w:val="-10"/>
          <w:w w:val="110"/>
          <w:sz w:val="18"/>
        </w:rPr>
        <w:t> </w:t>
      </w:r>
      <w:r>
        <w:rPr>
          <w:b/>
          <w:color w:val="FFFFFF"/>
          <w:w w:val="110"/>
          <w:sz w:val="18"/>
        </w:rPr>
        <w:t>support?</w:t>
      </w:r>
    </w:p>
    <w:p>
      <w:pPr>
        <w:pStyle w:val="BodyText"/>
        <w:spacing w:before="1"/>
        <w:rPr>
          <w:b/>
          <w:sz w:val="23"/>
        </w:rPr>
      </w:pPr>
    </w:p>
    <w:p>
      <w:pPr>
        <w:pStyle w:val="ListParagraph"/>
        <w:numPr>
          <w:ilvl w:val="1"/>
          <w:numId w:val="117"/>
        </w:numPr>
        <w:tabs>
          <w:tab w:pos="1354" w:val="left" w:leader="none"/>
          <w:tab w:pos="1355" w:val="left" w:leader="none"/>
        </w:tabs>
        <w:spacing w:line="273" w:lineRule="auto" w:before="0" w:after="0"/>
        <w:ind w:left="1354" w:right="2271" w:hanging="454"/>
        <w:jc w:val="left"/>
        <w:rPr>
          <w:b/>
          <w:sz w:val="18"/>
        </w:rPr>
      </w:pPr>
      <w:r>
        <w:rPr>
          <w:b/>
          <w:color w:val="FFFFFF"/>
          <w:w w:val="110"/>
          <w:sz w:val="18"/>
        </w:rPr>
        <w:t>Do you liaise with, value and support your hospital chaplains in their special role?</w:t>
      </w:r>
    </w:p>
    <w:p>
      <w:pPr>
        <w:pStyle w:val="BodyText"/>
        <w:spacing w:before="8"/>
        <w:rPr>
          <w:b/>
          <w:sz w:val="20"/>
        </w:rPr>
      </w:pPr>
    </w:p>
    <w:p>
      <w:pPr>
        <w:pStyle w:val="ListParagraph"/>
        <w:numPr>
          <w:ilvl w:val="1"/>
          <w:numId w:val="117"/>
        </w:numPr>
        <w:tabs>
          <w:tab w:pos="1354" w:val="left" w:leader="none"/>
          <w:tab w:pos="1355" w:val="left" w:leader="none"/>
        </w:tabs>
        <w:spacing w:line="273" w:lineRule="auto" w:before="1" w:after="0"/>
        <w:ind w:left="1354" w:right="2299" w:hanging="454"/>
        <w:jc w:val="left"/>
        <w:rPr>
          <w:b/>
          <w:sz w:val="18"/>
        </w:rPr>
      </w:pPr>
      <w:r>
        <w:rPr>
          <w:b/>
          <w:color w:val="FFFFFF"/>
          <w:w w:val="110"/>
          <w:sz w:val="18"/>
        </w:rPr>
        <w:t>How can the </w:t>
      </w:r>
      <w:r>
        <w:rPr>
          <w:b/>
          <w:color w:val="FFFFFF"/>
          <w:spacing w:val="2"/>
          <w:w w:val="110"/>
          <w:sz w:val="18"/>
        </w:rPr>
        <w:t>church </w:t>
      </w:r>
      <w:r>
        <w:rPr>
          <w:b/>
          <w:color w:val="FFFFFF"/>
          <w:w w:val="110"/>
          <w:sz w:val="18"/>
        </w:rPr>
        <w:t>and individuals </w:t>
      </w:r>
      <w:r>
        <w:rPr>
          <w:b/>
          <w:color w:val="FFFFFF"/>
          <w:spacing w:val="2"/>
          <w:w w:val="110"/>
          <w:sz w:val="18"/>
        </w:rPr>
        <w:t>best </w:t>
      </w:r>
      <w:r>
        <w:rPr>
          <w:b/>
          <w:color w:val="FFFFFF"/>
          <w:w w:val="110"/>
          <w:sz w:val="18"/>
        </w:rPr>
        <w:t>support the </w:t>
      </w:r>
      <w:r>
        <w:rPr>
          <w:b/>
          <w:color w:val="FFFFFF"/>
          <w:spacing w:val="2"/>
          <w:w w:val="110"/>
          <w:sz w:val="18"/>
        </w:rPr>
        <w:t>patient, </w:t>
      </w:r>
      <w:r>
        <w:rPr>
          <w:b/>
          <w:color w:val="FFFFFF"/>
          <w:w w:val="110"/>
          <w:sz w:val="18"/>
        </w:rPr>
        <w:t>family, </w:t>
      </w:r>
      <w:r>
        <w:rPr>
          <w:b/>
          <w:color w:val="FFFFFF"/>
          <w:spacing w:val="2"/>
          <w:w w:val="110"/>
          <w:sz w:val="18"/>
        </w:rPr>
        <w:t>carers, </w:t>
      </w:r>
      <w:r>
        <w:rPr>
          <w:b/>
          <w:color w:val="FFFFFF"/>
          <w:w w:val="110"/>
          <w:sz w:val="18"/>
        </w:rPr>
        <w:t>chaplains and friends?</w:t>
      </w:r>
    </w:p>
    <w:p>
      <w:pPr>
        <w:spacing w:after="0" w:line="273" w:lineRule="auto"/>
        <w:jc w:val="left"/>
        <w:rPr>
          <w:sz w:val="18"/>
        </w:rPr>
        <w:sectPr>
          <w:pgSz w:w="11910" w:h="16840"/>
          <w:pgMar w:header="558" w:footer="564" w:top="820" w:bottom="760" w:left="460" w:right="0"/>
        </w:sectPr>
      </w:pPr>
    </w:p>
    <w:p>
      <w:pPr>
        <w:pStyle w:val="BodyText"/>
        <w:spacing w:before="11"/>
        <w:rPr>
          <w:b/>
          <w:sz w:val="7"/>
        </w:rPr>
      </w:pPr>
    </w:p>
    <w:p>
      <w:pPr>
        <w:pStyle w:val="BodyText"/>
        <w:ind w:left="673"/>
        <w:rPr>
          <w:sz w:val="20"/>
        </w:rPr>
      </w:pPr>
      <w:r>
        <w:rPr>
          <w:sz w:val="20"/>
        </w:rPr>
        <w:pict>
          <v:group style="width:491.2pt;height:46.4pt;mso-position-horizontal-relative:char;mso-position-vertical-relative:line" coordorigin="0,0" coordsize="9824,928">
            <v:rect style="position:absolute;left:477;top:0;width:9346;height:893" filled="true" fillcolor="#000000" stroked="false">
              <v:fill opacity="49152f" type="solid"/>
            </v:rect>
            <v:shape style="position:absolute;left:556;top:192;width:9071;height:617" coordorigin="557,193" coordsize="9071,617" path="m9388,193l557,193,557,810,9388,810,9527,805,9598,771,9624,679,9628,501,9624,323,9598,231,9527,197,9388,193xe" filled="true" fillcolor="#ffffff" stroked="false">
              <v:path arrowok="t"/>
              <v:fill type="solid"/>
            </v:shape>
            <v:shape style="position:absolute;left:556;top:192;width:9071;height:617" coordorigin="557,193" coordsize="9071,617" path="m9628,501l9624,323,9598,231,9527,197,9388,193,557,193,557,810,9388,810,9527,805,9598,771,9624,679,9628,501xe" filled="false" stroked="true" strokeweight=".25pt" strokecolor="#000000">
              <v:path arrowok="t"/>
              <v:stroke dashstyle="solid"/>
            </v:shape>
            <v:rect style="position:absolute;left:10;top:244;width:1256;height:673" filled="true" fillcolor="#ffffff" stroked="false">
              <v:fill type="solid"/>
            </v:rect>
            <v:rect style="position:absolute;left:10;top:244;width:1256;height:673" filled="false" stroked="true" strokeweight="1pt" strokecolor="#ffffff">
              <v:stroke dashstyle="solid"/>
            </v:rect>
            <v:shape style="position:absolute;left:0;top:0;width:9824;height:928" type="#_x0000_t202" filled="false" stroked="false">
              <v:textbox inset="0,0,0,0">
                <w:txbxContent>
                  <w:p>
                    <w:pPr>
                      <w:spacing w:line="240" w:lineRule="auto" w:before="4"/>
                      <w:rPr>
                        <w:b/>
                        <w:sz w:val="25"/>
                      </w:rPr>
                    </w:pPr>
                  </w:p>
                  <w:p>
                    <w:pPr>
                      <w:tabs>
                        <w:tab w:pos="1286" w:val="left" w:leader="none"/>
                      </w:tabs>
                      <w:spacing w:before="0"/>
                      <w:ind w:left="566" w:right="0" w:firstLine="0"/>
                      <w:jc w:val="left"/>
                      <w:rPr>
                        <w:b/>
                        <w:sz w:val="29"/>
                      </w:rPr>
                    </w:pPr>
                    <w:r>
                      <w:rPr>
                        <w:b/>
                        <w:spacing w:val="-3"/>
                        <w:w w:val="110"/>
                        <w:sz w:val="29"/>
                      </w:rPr>
                      <w:t>5.</w:t>
                      <w:tab/>
                    </w:r>
                    <w:r>
                      <w:rPr>
                        <w:b/>
                        <w:w w:val="110"/>
                        <w:sz w:val="29"/>
                      </w:rPr>
                      <w:t>THE </w:t>
                    </w:r>
                    <w:r>
                      <w:rPr>
                        <w:b/>
                        <w:spacing w:val="-5"/>
                        <w:w w:val="110"/>
                        <w:sz w:val="29"/>
                      </w:rPr>
                      <w:t>ELDERLY</w:t>
                    </w:r>
                  </w:p>
                </w:txbxContent>
              </v:textbox>
              <w10:wrap type="none"/>
            </v:shape>
          </v:group>
        </w:pict>
      </w:r>
      <w:r>
        <w:rPr>
          <w:sz w:val="20"/>
        </w:rPr>
      </w:r>
    </w:p>
    <w:p>
      <w:pPr>
        <w:pStyle w:val="BodyText"/>
        <w:spacing w:before="4"/>
        <w:rPr>
          <w:b/>
          <w:sz w:val="10"/>
        </w:rPr>
      </w:pPr>
    </w:p>
    <w:p>
      <w:pPr>
        <w:spacing w:before="98"/>
        <w:ind w:left="1240" w:right="0" w:firstLine="0"/>
        <w:jc w:val="left"/>
        <w:rPr>
          <w:b/>
          <w:sz w:val="29"/>
        </w:rPr>
      </w:pPr>
      <w:r>
        <w:rPr>
          <w:b/>
          <w:w w:val="110"/>
          <w:sz w:val="29"/>
        </w:rPr>
        <w:t>Prayer</w:t>
      </w:r>
    </w:p>
    <w:p>
      <w:pPr>
        <w:pStyle w:val="BodyText"/>
        <w:spacing w:line="273" w:lineRule="auto" w:before="65"/>
        <w:ind w:left="1240" w:right="1365"/>
      </w:pPr>
      <w:r>
        <w:rPr>
          <w:w w:val="110"/>
        </w:rPr>
        <w:t>O Lord God, look with mercy on all those whose increasing years bring them isolation, distress, or weakness. Provide for them homes of dignity and peace; give them understanding helpers, and the willingness to accept help. And, as their strength diminishes, increase their faith and their assurance of your love.</w:t>
      </w:r>
    </w:p>
    <w:p>
      <w:pPr>
        <w:pStyle w:val="BodyText"/>
        <w:spacing w:before="2"/>
        <w:ind w:left="1240"/>
      </w:pPr>
      <w:r>
        <w:rPr>
          <w:w w:val="110"/>
        </w:rPr>
        <w:t>We pray in the name of Jesus Christ our Lord. Amen</w:t>
      </w:r>
    </w:p>
    <w:p>
      <w:pPr>
        <w:pStyle w:val="BodyText"/>
        <w:spacing w:before="2"/>
        <w:rPr>
          <w:sz w:val="23"/>
        </w:rPr>
      </w:pPr>
    </w:p>
    <w:p>
      <w:pPr>
        <w:pStyle w:val="BodyText"/>
        <w:ind w:left="1240"/>
        <w:jc w:val="both"/>
      </w:pPr>
      <w:r>
        <w:rPr>
          <w:w w:val="110"/>
        </w:rPr>
        <w:t>See Section 6 of the report.</w:t>
      </w:r>
    </w:p>
    <w:p>
      <w:pPr>
        <w:pStyle w:val="BodyText"/>
        <w:spacing w:line="273" w:lineRule="auto" w:before="31"/>
        <w:ind w:left="1240" w:right="1321"/>
        <w:jc w:val="both"/>
      </w:pPr>
      <w:r>
        <w:rPr>
          <w:w w:val="110"/>
        </w:rPr>
        <w:t>For many old people there is much time available, perhaps too much, to sit and ponder over their lives, with success and failure, opportunities taken and missed, relationships broken and not restored.</w:t>
      </w:r>
    </w:p>
    <w:p>
      <w:pPr>
        <w:pStyle w:val="BodyText"/>
        <w:spacing w:before="9"/>
        <w:rPr>
          <w:sz w:val="20"/>
        </w:rPr>
      </w:pPr>
    </w:p>
    <w:p>
      <w:pPr>
        <w:pStyle w:val="BodyText"/>
        <w:ind w:left="1240"/>
        <w:jc w:val="both"/>
      </w:pPr>
      <w:r>
        <w:rPr>
          <w:w w:val="110"/>
        </w:rPr>
        <w:t>Malcolm Johnson highlights the ‘anguish’ which many old people endure in paragraph</w:t>
      </w:r>
    </w:p>
    <w:p>
      <w:pPr>
        <w:pStyle w:val="ListParagraph"/>
        <w:numPr>
          <w:ilvl w:val="1"/>
          <w:numId w:val="118"/>
        </w:numPr>
        <w:tabs>
          <w:tab w:pos="1632" w:val="left" w:leader="none"/>
        </w:tabs>
        <w:spacing w:line="273" w:lineRule="auto" w:before="32" w:after="0"/>
        <w:ind w:left="1240" w:right="1515" w:firstLine="0"/>
        <w:jc w:val="left"/>
        <w:rPr>
          <w:sz w:val="18"/>
        </w:rPr>
      </w:pPr>
      <w:r>
        <w:rPr>
          <w:w w:val="110"/>
          <w:sz w:val="18"/>
        </w:rPr>
        <w:t>of the </w:t>
      </w:r>
      <w:r>
        <w:rPr>
          <w:spacing w:val="2"/>
          <w:w w:val="110"/>
          <w:sz w:val="18"/>
        </w:rPr>
        <w:t>report. </w:t>
      </w:r>
      <w:r>
        <w:rPr>
          <w:w w:val="110"/>
          <w:sz w:val="18"/>
        </w:rPr>
        <w:t>He speaks of ‘biographical </w:t>
      </w:r>
      <w:r>
        <w:rPr>
          <w:spacing w:val="-3"/>
          <w:w w:val="110"/>
          <w:sz w:val="18"/>
        </w:rPr>
        <w:t>pain’, </w:t>
      </w:r>
      <w:r>
        <w:rPr>
          <w:w w:val="110"/>
          <w:sz w:val="18"/>
        </w:rPr>
        <w:t>which includes promises made but unfulfilled, wrongs unable to be righted, leading to guilt and</w:t>
      </w:r>
      <w:r>
        <w:rPr>
          <w:spacing w:val="37"/>
          <w:w w:val="110"/>
          <w:sz w:val="18"/>
        </w:rPr>
        <w:t> </w:t>
      </w:r>
      <w:r>
        <w:rPr>
          <w:w w:val="110"/>
          <w:sz w:val="18"/>
        </w:rPr>
        <w:t>self-loathing:</w:t>
      </w:r>
    </w:p>
    <w:p>
      <w:pPr>
        <w:pStyle w:val="BodyText"/>
        <w:spacing w:before="8"/>
        <w:rPr>
          <w:sz w:val="20"/>
        </w:rPr>
      </w:pPr>
    </w:p>
    <w:p>
      <w:pPr>
        <w:spacing w:line="273" w:lineRule="auto" w:before="0"/>
        <w:ind w:left="1920" w:right="2348" w:firstLine="0"/>
        <w:jc w:val="left"/>
        <w:rPr>
          <w:i/>
          <w:sz w:val="18"/>
        </w:rPr>
      </w:pPr>
      <w:r>
        <w:rPr>
          <w:i/>
          <w:w w:val="110"/>
          <w:sz w:val="18"/>
        </w:rPr>
        <w:t>“Some see this as unforgivable sin, others, with no belief, simply feel </w:t>
      </w:r>
      <w:r>
        <w:rPr>
          <w:i/>
          <w:w w:val="110"/>
          <w:sz w:val="18"/>
        </w:rPr>
        <w:t>tortured. Yet they rarely find a sympathetic and safe listener to relieve this profound distress...”</w:t>
      </w:r>
    </w:p>
    <w:p>
      <w:pPr>
        <w:pStyle w:val="BodyText"/>
        <w:spacing w:before="8"/>
        <w:rPr>
          <w:i/>
          <w:sz w:val="20"/>
        </w:rPr>
      </w:pPr>
    </w:p>
    <w:p>
      <w:pPr>
        <w:pStyle w:val="BodyText"/>
        <w:spacing w:line="273" w:lineRule="auto"/>
        <w:ind w:left="1240" w:right="1440"/>
      </w:pPr>
      <w:r>
        <w:rPr>
          <w:w w:val="110"/>
        </w:rPr>
        <w:t>The following meditation, ‘Old Nun’s Prayer’ could provide the basis for a full discussion on the agonies of those who are growing old and dependent. It may be helpful to read   it straight through, and then invite people in the group, or ourselves if alone, to recall situations with elderly relatives or friends who may have these thoughts – or indeed ourselves, whatever our age! It is in many ways a positive conversation with God, </w:t>
      </w:r>
      <w:r>
        <w:rPr>
          <w:spacing w:val="2"/>
          <w:w w:val="110"/>
        </w:rPr>
        <w:t>sorting </w:t>
      </w:r>
      <w:r>
        <w:rPr>
          <w:w w:val="110"/>
        </w:rPr>
        <w:t>out what is a good way to deal with old</w:t>
      </w:r>
      <w:r>
        <w:rPr>
          <w:spacing w:val="15"/>
          <w:w w:val="110"/>
        </w:rPr>
        <w:t> </w:t>
      </w:r>
      <w:r>
        <w:rPr>
          <w:w w:val="110"/>
        </w:rPr>
        <w:t>age!</w:t>
      </w:r>
    </w:p>
    <w:p>
      <w:pPr>
        <w:pStyle w:val="BodyText"/>
        <w:spacing w:before="11"/>
        <w:rPr>
          <w:sz w:val="20"/>
        </w:rPr>
      </w:pPr>
    </w:p>
    <w:p>
      <w:pPr>
        <w:spacing w:line="273" w:lineRule="auto" w:before="0"/>
        <w:ind w:left="1920" w:right="1426" w:firstLine="0"/>
        <w:jc w:val="left"/>
        <w:rPr>
          <w:i/>
          <w:sz w:val="18"/>
        </w:rPr>
      </w:pPr>
      <w:r>
        <w:rPr>
          <w:i/>
          <w:w w:val="110"/>
          <w:sz w:val="18"/>
        </w:rPr>
        <w:t>Lord, thou knowest </w:t>
      </w:r>
      <w:r>
        <w:rPr>
          <w:i/>
          <w:spacing w:val="2"/>
          <w:w w:val="110"/>
          <w:sz w:val="18"/>
        </w:rPr>
        <w:t>better </w:t>
      </w:r>
      <w:r>
        <w:rPr>
          <w:i/>
          <w:w w:val="110"/>
          <w:sz w:val="18"/>
        </w:rPr>
        <w:t>than I know myself that I am growing </w:t>
      </w:r>
      <w:r>
        <w:rPr>
          <w:i/>
          <w:spacing w:val="-3"/>
          <w:w w:val="110"/>
          <w:sz w:val="18"/>
        </w:rPr>
        <w:t>older, </w:t>
      </w:r>
      <w:r>
        <w:rPr>
          <w:i/>
          <w:w w:val="110"/>
          <w:sz w:val="18"/>
        </w:rPr>
        <w:t>and will </w:t>
      </w:r>
      <w:r>
        <w:rPr>
          <w:i/>
          <w:w w:val="110"/>
          <w:sz w:val="18"/>
        </w:rPr>
        <w:t>some day be old. Keep me from getting talkative, and particularly from the   fatal habit of thinking that I must say something on every subject and on every </w:t>
      </w:r>
      <w:r>
        <w:rPr>
          <w:i/>
          <w:spacing w:val="3"/>
          <w:w w:val="110"/>
          <w:sz w:val="18"/>
        </w:rPr>
        <w:t>occasion. </w:t>
      </w:r>
      <w:r>
        <w:rPr>
          <w:i/>
          <w:spacing w:val="2"/>
          <w:w w:val="110"/>
          <w:sz w:val="18"/>
        </w:rPr>
        <w:t>Release </w:t>
      </w:r>
      <w:r>
        <w:rPr>
          <w:i/>
          <w:w w:val="110"/>
          <w:sz w:val="18"/>
        </w:rPr>
        <w:t>me </w:t>
      </w:r>
      <w:r>
        <w:rPr>
          <w:i/>
          <w:spacing w:val="3"/>
          <w:w w:val="110"/>
          <w:sz w:val="18"/>
        </w:rPr>
        <w:t>from </w:t>
      </w:r>
      <w:r>
        <w:rPr>
          <w:i/>
          <w:w w:val="110"/>
          <w:sz w:val="18"/>
        </w:rPr>
        <w:t>craving to </w:t>
      </w:r>
      <w:r>
        <w:rPr>
          <w:i/>
          <w:spacing w:val="2"/>
          <w:w w:val="110"/>
          <w:sz w:val="18"/>
        </w:rPr>
        <w:t>straighten </w:t>
      </w:r>
      <w:r>
        <w:rPr>
          <w:i/>
          <w:w w:val="110"/>
          <w:sz w:val="18"/>
        </w:rPr>
        <w:t>out </w:t>
      </w:r>
      <w:r>
        <w:rPr>
          <w:i/>
          <w:spacing w:val="2"/>
          <w:w w:val="110"/>
          <w:sz w:val="18"/>
        </w:rPr>
        <w:t>everybody’s</w:t>
      </w:r>
      <w:r>
        <w:rPr>
          <w:i/>
          <w:spacing w:val="15"/>
          <w:w w:val="110"/>
          <w:sz w:val="18"/>
        </w:rPr>
        <w:t> </w:t>
      </w:r>
      <w:r>
        <w:rPr>
          <w:i/>
          <w:spacing w:val="4"/>
          <w:w w:val="110"/>
          <w:sz w:val="18"/>
        </w:rPr>
        <w:t>affairs.</w:t>
      </w:r>
    </w:p>
    <w:p>
      <w:pPr>
        <w:spacing w:line="273" w:lineRule="auto" w:before="3"/>
        <w:ind w:left="1920" w:right="1593" w:firstLine="0"/>
        <w:jc w:val="left"/>
        <w:rPr>
          <w:i/>
          <w:sz w:val="18"/>
        </w:rPr>
      </w:pPr>
      <w:r>
        <w:rPr>
          <w:i/>
          <w:w w:val="110"/>
          <w:sz w:val="18"/>
        </w:rPr>
        <w:t>Keep my mind from the recital of endless details – give me wings to come to </w:t>
      </w:r>
      <w:r>
        <w:rPr>
          <w:i/>
          <w:w w:val="110"/>
          <w:sz w:val="18"/>
        </w:rPr>
        <w:t>the point.</w:t>
      </w:r>
    </w:p>
    <w:p>
      <w:pPr>
        <w:spacing w:before="1"/>
        <w:ind w:left="1920" w:right="0" w:firstLine="0"/>
        <w:jc w:val="left"/>
        <w:rPr>
          <w:i/>
          <w:sz w:val="18"/>
        </w:rPr>
      </w:pPr>
      <w:r>
        <w:rPr>
          <w:i/>
          <w:w w:val="110"/>
          <w:sz w:val="18"/>
        </w:rPr>
        <w:t>I ask for grace enough to listen to the tales of others’ pains.</w:t>
      </w:r>
    </w:p>
    <w:p>
      <w:pPr>
        <w:spacing w:line="273" w:lineRule="auto" w:before="31"/>
        <w:ind w:left="1920" w:right="1368" w:firstLine="0"/>
        <w:jc w:val="left"/>
        <w:rPr>
          <w:i/>
          <w:sz w:val="18"/>
        </w:rPr>
      </w:pPr>
      <w:r>
        <w:rPr>
          <w:i/>
          <w:w w:val="110"/>
          <w:sz w:val="18"/>
        </w:rPr>
        <w:t>Help me to endure them with patience. But seal my lips on my own aches and </w:t>
      </w:r>
      <w:r>
        <w:rPr>
          <w:i/>
          <w:w w:val="110"/>
          <w:sz w:val="18"/>
        </w:rPr>
        <w:t>pains – they are increasing, and my love of rehearsing them is becoming sweeter as the years go by. Teach me the glorious lesson that occasionally it is possible that I may be mistaken. Keep me reasonably sweet. I do not want to be a saint</w:t>
      </w:r>
    </w:p>
    <w:p>
      <w:pPr>
        <w:spacing w:line="273" w:lineRule="auto" w:before="3"/>
        <w:ind w:left="1920" w:right="1778" w:firstLine="0"/>
        <w:jc w:val="left"/>
        <w:rPr>
          <w:i/>
          <w:sz w:val="18"/>
        </w:rPr>
      </w:pPr>
      <w:r>
        <w:rPr>
          <w:i/>
          <w:w w:val="110"/>
          <w:sz w:val="18"/>
        </w:rPr>
        <w:t>– some of them are so hard to live with – but a sour old woman is one of the </w:t>
      </w:r>
      <w:r>
        <w:rPr>
          <w:i/>
          <w:w w:val="110"/>
          <w:sz w:val="18"/>
        </w:rPr>
        <w:t>crowning works of the devil. Make me thoughtful – but not moody; helpful, but not bossy. With my vast store of wisdom it seems a pity not to use it all. But thou knowest Lord, that I want a few friends at the end.</w:t>
      </w:r>
    </w:p>
    <w:p>
      <w:pPr>
        <w:pStyle w:val="BodyText"/>
        <w:spacing w:before="9"/>
        <w:rPr>
          <w:i/>
          <w:sz w:val="20"/>
        </w:rPr>
      </w:pPr>
    </w:p>
    <w:p>
      <w:pPr>
        <w:pStyle w:val="BodyText"/>
        <w:spacing w:line="273" w:lineRule="auto"/>
        <w:ind w:left="1240" w:right="1143"/>
      </w:pPr>
      <w:r>
        <w:rPr>
          <w:w w:val="110"/>
        </w:rPr>
        <w:t>Responses to the questionnaire raise further issues. Question 3 focused on the elderly: “Are we worried about becoming a burden, restricting the lives of carers, using up family resources and not getting good care?” (See Appendix A, 3.)</w:t>
      </w:r>
    </w:p>
    <w:p>
      <w:pPr>
        <w:spacing w:after="0" w:line="273" w:lineRule="auto"/>
        <w:sectPr>
          <w:pgSz w:w="11910" w:h="16840"/>
          <w:pgMar w:header="558" w:footer="564" w:top="820" w:bottom="760" w:left="460" w:right="0"/>
        </w:sectPr>
      </w:pPr>
    </w:p>
    <w:p>
      <w:pPr>
        <w:pStyle w:val="BodyText"/>
        <w:spacing w:before="11"/>
        <w:rPr>
          <w:sz w:val="23"/>
        </w:rPr>
      </w:pPr>
    </w:p>
    <w:p>
      <w:pPr>
        <w:pStyle w:val="BodyText"/>
        <w:ind w:left="642"/>
        <w:rPr>
          <w:sz w:val="20"/>
        </w:rPr>
      </w:pPr>
      <w:r>
        <w:rPr>
          <w:position w:val="-3"/>
          <w:sz w:val="20"/>
        </w:rPr>
        <w:pict>
          <v:shape style="width:452.55pt;height:291.05pt;mso-position-horizontal-relative:char;mso-position-vertical-relative:line" type="#_x0000_t202" filled="true" fillcolor="#7c7c7c" stroked="true" strokeweight="4pt" strokecolor="#acacac">
            <w10:anchorlock/>
            <v:textbox inset="0,0,0,0">
              <w:txbxContent>
                <w:p>
                  <w:pPr>
                    <w:spacing w:before="48"/>
                    <w:ind w:left="178" w:right="0" w:firstLine="0"/>
                    <w:jc w:val="left"/>
                    <w:rPr>
                      <w:b/>
                      <w:sz w:val="38"/>
                    </w:rPr>
                  </w:pPr>
                  <w:r>
                    <w:rPr>
                      <w:b/>
                      <w:color w:val="FFFFFF"/>
                      <w:w w:val="110"/>
                      <w:sz w:val="38"/>
                    </w:rPr>
                    <w:t>Questions</w:t>
                  </w:r>
                </w:p>
                <w:p>
                  <w:pPr>
                    <w:numPr>
                      <w:ilvl w:val="0"/>
                      <w:numId w:val="119"/>
                    </w:numPr>
                    <w:tabs>
                      <w:tab w:pos="631" w:val="left" w:leader="none"/>
                      <w:tab w:pos="632" w:val="left" w:leader="none"/>
                    </w:tabs>
                    <w:spacing w:line="273" w:lineRule="auto" w:before="239"/>
                    <w:ind w:left="631" w:right="455" w:hanging="454"/>
                    <w:jc w:val="left"/>
                    <w:rPr>
                      <w:b/>
                      <w:sz w:val="18"/>
                    </w:rPr>
                  </w:pPr>
                  <w:r>
                    <w:rPr>
                      <w:b/>
                      <w:color w:val="FFFFFF"/>
                      <w:w w:val="110"/>
                      <w:sz w:val="18"/>
                    </w:rPr>
                    <w:t>How can we as Christians </w:t>
                  </w:r>
                  <w:r>
                    <w:rPr>
                      <w:b/>
                      <w:color w:val="FFFFFF"/>
                      <w:spacing w:val="2"/>
                      <w:w w:val="110"/>
                      <w:sz w:val="18"/>
                    </w:rPr>
                    <w:t>ensure </w:t>
                  </w:r>
                  <w:r>
                    <w:rPr>
                      <w:b/>
                      <w:color w:val="FFFFFF"/>
                      <w:w w:val="110"/>
                      <w:sz w:val="18"/>
                    </w:rPr>
                    <w:t>that people who are old and frail do not feel themselves to be a burden? What work is undertaken by us  as individuals and churches to help old people to feel </w:t>
                  </w:r>
                  <w:r>
                    <w:rPr>
                      <w:b/>
                      <w:color w:val="FFFFFF"/>
                      <w:spacing w:val="-8"/>
                      <w:w w:val="110"/>
                      <w:sz w:val="18"/>
                    </w:rPr>
                    <w:t>a)</w:t>
                  </w:r>
                  <w:r>
                    <w:rPr>
                      <w:b/>
                      <w:color w:val="FFFFFF"/>
                      <w:spacing w:val="7"/>
                      <w:w w:val="110"/>
                      <w:sz w:val="18"/>
                    </w:rPr>
                    <w:t> </w:t>
                  </w:r>
                  <w:r>
                    <w:rPr>
                      <w:b/>
                      <w:color w:val="FFFFFF"/>
                      <w:w w:val="110"/>
                      <w:sz w:val="18"/>
                    </w:rPr>
                    <w:t>valued?</w:t>
                  </w:r>
                </w:p>
                <w:p>
                  <w:pPr>
                    <w:spacing w:before="2"/>
                    <w:ind w:left="631" w:right="0" w:firstLine="0"/>
                    <w:jc w:val="left"/>
                    <w:rPr>
                      <w:b/>
                      <w:sz w:val="18"/>
                    </w:rPr>
                  </w:pPr>
                  <w:r>
                    <w:rPr>
                      <w:b/>
                      <w:color w:val="FFFFFF"/>
                      <w:w w:val="110"/>
                      <w:sz w:val="18"/>
                    </w:rPr>
                    <w:t>b) secure?</w:t>
                  </w:r>
                </w:p>
                <w:p>
                  <w:pPr>
                    <w:pStyle w:val="BodyText"/>
                    <w:spacing w:before="1"/>
                    <w:rPr>
                      <w:b/>
                      <w:sz w:val="23"/>
                    </w:rPr>
                  </w:pPr>
                </w:p>
                <w:p>
                  <w:pPr>
                    <w:numPr>
                      <w:ilvl w:val="0"/>
                      <w:numId w:val="119"/>
                    </w:numPr>
                    <w:tabs>
                      <w:tab w:pos="631" w:val="left" w:leader="none"/>
                      <w:tab w:pos="632" w:val="left" w:leader="none"/>
                    </w:tabs>
                    <w:spacing w:line="273" w:lineRule="auto" w:before="1"/>
                    <w:ind w:left="631" w:right="180" w:hanging="454"/>
                    <w:jc w:val="left"/>
                    <w:rPr>
                      <w:b/>
                      <w:sz w:val="18"/>
                    </w:rPr>
                  </w:pPr>
                  <w:r>
                    <w:rPr>
                      <w:b/>
                      <w:color w:val="FFFFFF"/>
                      <w:w w:val="110"/>
                      <w:sz w:val="18"/>
                    </w:rPr>
                    <w:t>How can our dignity be maintained if we </w:t>
                  </w:r>
                  <w:r>
                    <w:rPr>
                      <w:b/>
                      <w:color w:val="FFFFFF"/>
                      <w:spacing w:val="2"/>
                      <w:w w:val="110"/>
                      <w:sz w:val="18"/>
                    </w:rPr>
                    <w:t>become </w:t>
                  </w:r>
                  <w:r>
                    <w:rPr>
                      <w:b/>
                      <w:color w:val="FFFFFF"/>
                      <w:w w:val="110"/>
                      <w:sz w:val="18"/>
                    </w:rPr>
                    <w:t>disabled, frail in mind, dependent? As God’s people are all equal in his sight, created by him and, as Jesus taught, loved by him, do we have a special responsibility to care for the</w:t>
                  </w:r>
                  <w:r>
                    <w:rPr>
                      <w:b/>
                      <w:color w:val="FFFFFF"/>
                      <w:spacing w:val="1"/>
                      <w:w w:val="110"/>
                      <w:sz w:val="18"/>
                    </w:rPr>
                    <w:t> </w:t>
                  </w:r>
                  <w:r>
                    <w:rPr>
                      <w:b/>
                      <w:color w:val="FFFFFF"/>
                      <w:w w:val="110"/>
                      <w:sz w:val="18"/>
                    </w:rPr>
                    <w:t>elderly?</w:t>
                  </w:r>
                </w:p>
                <w:p>
                  <w:pPr>
                    <w:pStyle w:val="BodyText"/>
                    <w:spacing w:before="9"/>
                    <w:rPr>
                      <w:b/>
                      <w:sz w:val="20"/>
                    </w:rPr>
                  </w:pPr>
                </w:p>
                <w:p>
                  <w:pPr>
                    <w:numPr>
                      <w:ilvl w:val="0"/>
                      <w:numId w:val="119"/>
                    </w:numPr>
                    <w:tabs>
                      <w:tab w:pos="631" w:val="left" w:leader="none"/>
                      <w:tab w:pos="632" w:val="left" w:leader="none"/>
                    </w:tabs>
                    <w:spacing w:line="273" w:lineRule="auto" w:before="0"/>
                    <w:ind w:left="631" w:right="126" w:hanging="454"/>
                    <w:jc w:val="left"/>
                    <w:rPr>
                      <w:b/>
                      <w:sz w:val="18"/>
                    </w:rPr>
                  </w:pPr>
                  <w:r>
                    <w:rPr>
                      <w:b/>
                      <w:color w:val="FFFFFF"/>
                      <w:w w:val="110"/>
                      <w:sz w:val="18"/>
                    </w:rPr>
                    <w:t>What about Christian Homes and Nursing Homes – are there any in your area, and how are the churches involved? What worship </w:t>
                  </w:r>
                  <w:r>
                    <w:rPr>
                      <w:b/>
                      <w:color w:val="FFFFFF"/>
                      <w:spacing w:val="3"/>
                      <w:w w:val="110"/>
                      <w:sz w:val="18"/>
                    </w:rPr>
                    <w:t>services </w:t>
                  </w:r>
                  <w:r>
                    <w:rPr>
                      <w:b/>
                      <w:color w:val="FFFFFF"/>
                      <w:w w:val="110"/>
                      <w:sz w:val="18"/>
                    </w:rPr>
                    <w:t>are held</w:t>
                  </w:r>
                  <w:r>
                    <w:rPr>
                      <w:b/>
                      <w:color w:val="FFFFFF"/>
                      <w:spacing w:val="10"/>
                      <w:w w:val="110"/>
                      <w:sz w:val="18"/>
                    </w:rPr>
                    <w:t> </w:t>
                  </w:r>
                  <w:r>
                    <w:rPr>
                      <w:b/>
                      <w:color w:val="FFFFFF"/>
                      <w:w w:val="110"/>
                      <w:sz w:val="18"/>
                    </w:rPr>
                    <w:t>in</w:t>
                  </w:r>
                  <w:r>
                    <w:rPr>
                      <w:b/>
                      <w:color w:val="FFFFFF"/>
                      <w:spacing w:val="10"/>
                      <w:w w:val="110"/>
                      <w:sz w:val="18"/>
                    </w:rPr>
                    <w:t> </w:t>
                  </w:r>
                  <w:r>
                    <w:rPr>
                      <w:b/>
                      <w:color w:val="FFFFFF"/>
                      <w:w w:val="110"/>
                      <w:sz w:val="18"/>
                    </w:rPr>
                    <w:t>Homes,</w:t>
                  </w:r>
                  <w:r>
                    <w:rPr>
                      <w:b/>
                      <w:color w:val="FFFFFF"/>
                      <w:spacing w:val="11"/>
                      <w:w w:val="110"/>
                      <w:sz w:val="18"/>
                    </w:rPr>
                    <w:t> </w:t>
                  </w:r>
                  <w:r>
                    <w:rPr>
                      <w:b/>
                      <w:color w:val="FFFFFF"/>
                      <w:w w:val="110"/>
                      <w:sz w:val="18"/>
                    </w:rPr>
                    <w:t>Hospitals,</w:t>
                  </w:r>
                  <w:r>
                    <w:rPr>
                      <w:b/>
                      <w:color w:val="FFFFFF"/>
                      <w:spacing w:val="10"/>
                      <w:w w:val="110"/>
                      <w:sz w:val="18"/>
                    </w:rPr>
                    <w:t> </w:t>
                  </w:r>
                  <w:r>
                    <w:rPr>
                      <w:b/>
                      <w:color w:val="FFFFFF"/>
                      <w:w w:val="110"/>
                      <w:sz w:val="18"/>
                    </w:rPr>
                    <w:t>and</w:t>
                  </w:r>
                  <w:r>
                    <w:rPr>
                      <w:b/>
                      <w:color w:val="FFFFFF"/>
                      <w:spacing w:val="10"/>
                      <w:w w:val="110"/>
                      <w:sz w:val="18"/>
                    </w:rPr>
                    <w:t> </w:t>
                  </w:r>
                  <w:r>
                    <w:rPr>
                      <w:b/>
                      <w:color w:val="FFFFFF"/>
                      <w:w w:val="110"/>
                      <w:sz w:val="18"/>
                    </w:rPr>
                    <w:t>are</w:t>
                  </w:r>
                  <w:r>
                    <w:rPr>
                      <w:b/>
                      <w:color w:val="FFFFFF"/>
                      <w:spacing w:val="11"/>
                      <w:w w:val="110"/>
                      <w:sz w:val="18"/>
                    </w:rPr>
                    <w:t> </w:t>
                  </w:r>
                  <w:r>
                    <w:rPr>
                      <w:b/>
                      <w:color w:val="FFFFFF"/>
                      <w:w w:val="110"/>
                      <w:sz w:val="18"/>
                    </w:rPr>
                    <w:t>special</w:t>
                  </w:r>
                  <w:r>
                    <w:rPr>
                      <w:b/>
                      <w:color w:val="FFFFFF"/>
                      <w:spacing w:val="10"/>
                      <w:w w:val="110"/>
                      <w:sz w:val="18"/>
                    </w:rPr>
                    <w:t> </w:t>
                  </w:r>
                  <w:r>
                    <w:rPr>
                      <w:b/>
                      <w:color w:val="FFFFFF"/>
                      <w:w w:val="110"/>
                      <w:sz w:val="18"/>
                    </w:rPr>
                    <w:t>prayers</w:t>
                  </w:r>
                  <w:r>
                    <w:rPr>
                      <w:b/>
                      <w:color w:val="FFFFFF"/>
                      <w:spacing w:val="10"/>
                      <w:w w:val="110"/>
                      <w:sz w:val="18"/>
                    </w:rPr>
                    <w:t> </w:t>
                  </w:r>
                  <w:r>
                    <w:rPr>
                      <w:b/>
                      <w:color w:val="FFFFFF"/>
                      <w:w w:val="110"/>
                      <w:sz w:val="18"/>
                    </w:rPr>
                    <w:t>and</w:t>
                  </w:r>
                  <w:r>
                    <w:rPr>
                      <w:b/>
                      <w:color w:val="FFFFFF"/>
                      <w:spacing w:val="11"/>
                      <w:w w:val="110"/>
                      <w:sz w:val="18"/>
                    </w:rPr>
                    <w:t> </w:t>
                  </w:r>
                  <w:r>
                    <w:rPr>
                      <w:b/>
                      <w:color w:val="FFFFFF"/>
                      <w:spacing w:val="2"/>
                      <w:w w:val="110"/>
                      <w:sz w:val="18"/>
                    </w:rPr>
                    <w:t>themes</w:t>
                  </w:r>
                  <w:r>
                    <w:rPr>
                      <w:b/>
                      <w:color w:val="FFFFFF"/>
                      <w:spacing w:val="10"/>
                      <w:w w:val="110"/>
                      <w:sz w:val="18"/>
                    </w:rPr>
                    <w:t> </w:t>
                  </w:r>
                  <w:r>
                    <w:rPr>
                      <w:b/>
                      <w:color w:val="FFFFFF"/>
                      <w:w w:val="110"/>
                      <w:sz w:val="18"/>
                    </w:rPr>
                    <w:t>chosen?</w:t>
                  </w:r>
                </w:p>
                <w:p>
                  <w:pPr>
                    <w:pStyle w:val="BodyText"/>
                    <w:spacing w:before="9"/>
                    <w:rPr>
                      <w:b/>
                      <w:sz w:val="20"/>
                    </w:rPr>
                  </w:pPr>
                </w:p>
                <w:p>
                  <w:pPr>
                    <w:numPr>
                      <w:ilvl w:val="0"/>
                      <w:numId w:val="119"/>
                    </w:numPr>
                    <w:tabs>
                      <w:tab w:pos="631" w:val="left" w:leader="none"/>
                      <w:tab w:pos="632" w:val="left" w:leader="none"/>
                    </w:tabs>
                    <w:spacing w:line="273" w:lineRule="auto" w:before="0"/>
                    <w:ind w:left="631" w:right="512" w:hanging="454"/>
                    <w:jc w:val="left"/>
                    <w:rPr>
                      <w:b/>
                      <w:sz w:val="18"/>
                    </w:rPr>
                  </w:pPr>
                  <w:r>
                    <w:rPr>
                      <w:b/>
                      <w:color w:val="FFFFFF"/>
                      <w:w w:val="110"/>
                      <w:sz w:val="18"/>
                    </w:rPr>
                    <w:t>How could we achieve the same standard of care for the elderly  dying as is available in the Hospice Movement? There is no way at  the present time that all those who need hospice care can have it .   ‘It should be a target to match exit standards with </w:t>
                  </w:r>
                  <w:r>
                    <w:rPr>
                      <w:b/>
                      <w:color w:val="FFFFFF"/>
                      <w:spacing w:val="3"/>
                      <w:w w:val="110"/>
                      <w:sz w:val="18"/>
                    </w:rPr>
                    <w:t>entry </w:t>
                  </w:r>
                  <w:r>
                    <w:rPr>
                      <w:b/>
                      <w:color w:val="FFFFFF"/>
                      <w:w w:val="110"/>
                      <w:sz w:val="18"/>
                    </w:rPr>
                    <w:t>(maternity) standards’ (Appendix </w:t>
                  </w:r>
                  <w:r>
                    <w:rPr>
                      <w:b/>
                      <w:color w:val="FFFFFF"/>
                      <w:spacing w:val="3"/>
                      <w:w w:val="110"/>
                      <w:sz w:val="18"/>
                    </w:rPr>
                    <w:t>A,</w:t>
                  </w:r>
                  <w:r>
                    <w:rPr>
                      <w:b/>
                      <w:color w:val="FFFFFF"/>
                      <w:spacing w:val="1"/>
                      <w:w w:val="110"/>
                      <w:sz w:val="18"/>
                    </w:rPr>
                    <w:t> </w:t>
                  </w:r>
                  <w:r>
                    <w:rPr>
                      <w:b/>
                      <w:color w:val="FFFFFF"/>
                      <w:spacing w:val="-5"/>
                      <w:w w:val="110"/>
                      <w:sz w:val="18"/>
                    </w:rPr>
                    <w:t>3.)</w:t>
                  </w:r>
                </w:p>
              </w:txbxContent>
            </v:textbox>
            <v:fill type="solid"/>
            <v:stroke dashstyle="solid"/>
          </v:shape>
        </w:pict>
      </w:r>
      <w:r>
        <w:rPr>
          <w:position w:val="-3"/>
          <w:sz w:val="20"/>
        </w:rPr>
      </w:r>
    </w:p>
    <w:p>
      <w:pPr>
        <w:pStyle w:val="BodyText"/>
        <w:rPr>
          <w:sz w:val="20"/>
        </w:rPr>
      </w:pPr>
    </w:p>
    <w:p>
      <w:pPr>
        <w:pStyle w:val="BodyText"/>
        <w:spacing w:before="11"/>
        <w:rPr>
          <w:sz w:val="22"/>
        </w:rPr>
      </w:pPr>
      <w:r>
        <w:rPr/>
        <w:pict>
          <v:group style="position:absolute;margin-left:28.722pt;margin-top:15.87068pt;width:491.2pt;height:46.4pt;mso-position-horizontal-relative:page;mso-position-vertical-relative:paragraph;z-index:-251354112;mso-wrap-distance-left:0;mso-wrap-distance-right:0" coordorigin="574,317" coordsize="9824,928">
            <v:rect style="position:absolute;left:1052;top:317;width:9346;height:893" filled="true" fillcolor="#000000" stroked="false">
              <v:fill opacity="49152f" type="solid"/>
            </v:rect>
            <v:shape style="position:absolute;left:1131;top:510;width:9071;height:617" coordorigin="1131,510" coordsize="9071,617" path="m9962,510l1131,510,1131,1127,9962,1127,10101,1122,10172,1088,10198,997,10202,818,10198,640,10172,549,10101,515,9962,510xe" filled="true" fillcolor="#ffffff" stroked="false">
              <v:path arrowok="t"/>
              <v:fill type="solid"/>
            </v:shape>
            <v:shape style="position:absolute;left:1131;top:510;width:9071;height:617" coordorigin="1131,510" coordsize="9071,617" path="m10202,818l10198,640,10172,549,10101,515,9962,510,1131,510,1131,1127,9962,1127,10101,1122,10172,1088,10198,997,10202,818xe" filled="false" stroked="true" strokeweight=".25pt" strokecolor="#000000">
              <v:path arrowok="t"/>
              <v:stroke dashstyle="solid"/>
            </v:shape>
            <v:rect style="position:absolute;left:584;top:562;width:1256;height:673" filled="true" fillcolor="#ffffff" stroked="false">
              <v:fill type="solid"/>
            </v:rect>
            <v:rect style="position:absolute;left:584;top:562;width:1256;height:673" filled="false" stroked="true" strokeweight="1.0pt" strokecolor="#ffffff">
              <v:stroke dashstyle="solid"/>
            </v:rect>
            <v:shape style="position:absolute;left:574;top:317;width:9824;height:928" type="#_x0000_t202" filled="false" stroked="false">
              <v:textbox inset="0,0,0,0">
                <w:txbxContent>
                  <w:p>
                    <w:pPr>
                      <w:spacing w:line="240" w:lineRule="auto" w:before="9"/>
                      <w:rPr>
                        <w:sz w:val="25"/>
                      </w:rPr>
                    </w:pPr>
                  </w:p>
                  <w:p>
                    <w:pPr>
                      <w:tabs>
                        <w:tab w:pos="1279" w:val="left" w:leader="none"/>
                      </w:tabs>
                      <w:spacing w:before="0"/>
                      <w:ind w:left="559" w:right="0" w:firstLine="0"/>
                      <w:jc w:val="left"/>
                      <w:rPr>
                        <w:b/>
                        <w:sz w:val="29"/>
                      </w:rPr>
                    </w:pPr>
                    <w:r>
                      <w:rPr>
                        <w:b/>
                        <w:w w:val="110"/>
                        <w:sz w:val="29"/>
                      </w:rPr>
                      <w:t>6.</w:t>
                      <w:tab/>
                      <w:t>LIVING WILLS – </w:t>
                    </w:r>
                    <w:r>
                      <w:rPr>
                        <w:b/>
                        <w:spacing w:val="-5"/>
                        <w:w w:val="110"/>
                        <w:sz w:val="29"/>
                      </w:rPr>
                      <w:t>ADVANCE</w:t>
                    </w:r>
                    <w:r>
                      <w:rPr>
                        <w:b/>
                        <w:spacing w:val="6"/>
                        <w:w w:val="110"/>
                        <w:sz w:val="29"/>
                      </w:rPr>
                      <w:t> </w:t>
                    </w:r>
                    <w:r>
                      <w:rPr>
                        <w:b/>
                        <w:w w:val="110"/>
                        <w:sz w:val="29"/>
                      </w:rPr>
                      <w:t>DIRECTIVES</w:t>
                    </w:r>
                  </w:p>
                </w:txbxContent>
              </v:textbox>
              <w10:wrap type="none"/>
            </v:shape>
            <w10:wrap type="topAndBottom"/>
          </v:group>
        </w:pict>
      </w:r>
    </w:p>
    <w:p>
      <w:pPr>
        <w:pStyle w:val="BodyText"/>
        <w:spacing w:before="9"/>
        <w:rPr>
          <w:sz w:val="9"/>
        </w:rPr>
      </w:pPr>
    </w:p>
    <w:p>
      <w:pPr>
        <w:spacing w:before="98"/>
        <w:ind w:left="673" w:right="0" w:firstLine="0"/>
        <w:jc w:val="left"/>
        <w:rPr>
          <w:b/>
          <w:sz w:val="29"/>
        </w:rPr>
      </w:pPr>
      <w:r>
        <w:rPr>
          <w:b/>
          <w:w w:val="110"/>
          <w:sz w:val="29"/>
        </w:rPr>
        <w:t>Prayer</w:t>
      </w:r>
    </w:p>
    <w:p>
      <w:pPr>
        <w:pStyle w:val="BodyText"/>
        <w:spacing w:line="273" w:lineRule="auto" w:before="122"/>
        <w:ind w:left="673" w:right="2039"/>
      </w:pPr>
      <w:r>
        <w:rPr>
          <w:spacing w:val="-3"/>
          <w:w w:val="110"/>
        </w:rPr>
        <w:t>We </w:t>
      </w:r>
      <w:r>
        <w:rPr>
          <w:w w:val="110"/>
        </w:rPr>
        <w:t>thank you that we are a </w:t>
      </w:r>
      <w:r>
        <w:rPr>
          <w:spacing w:val="2"/>
          <w:w w:val="110"/>
        </w:rPr>
        <w:t>part </w:t>
      </w:r>
      <w:r>
        <w:rPr>
          <w:w w:val="110"/>
        </w:rPr>
        <w:t>of your creation. </w:t>
      </w:r>
      <w:r>
        <w:rPr>
          <w:spacing w:val="2"/>
          <w:w w:val="110"/>
        </w:rPr>
        <w:t>There </w:t>
      </w:r>
      <w:r>
        <w:rPr>
          <w:w w:val="110"/>
        </w:rPr>
        <w:t>is much we do not understand about life, death and </w:t>
      </w:r>
      <w:r>
        <w:rPr>
          <w:spacing w:val="2"/>
          <w:w w:val="110"/>
        </w:rPr>
        <w:t>suffering </w:t>
      </w:r>
      <w:r>
        <w:rPr>
          <w:w w:val="110"/>
        </w:rPr>
        <w:t>and thus we are sometimes </w:t>
      </w:r>
      <w:r>
        <w:rPr>
          <w:spacing w:val="2"/>
          <w:w w:val="110"/>
        </w:rPr>
        <w:t>fearful </w:t>
      </w:r>
      <w:r>
        <w:rPr>
          <w:w w:val="110"/>
        </w:rPr>
        <w:t>and unsure how to </w:t>
      </w:r>
      <w:r>
        <w:rPr>
          <w:spacing w:val="2"/>
          <w:w w:val="110"/>
        </w:rPr>
        <w:t>best </w:t>
      </w:r>
      <w:r>
        <w:rPr>
          <w:w w:val="110"/>
        </w:rPr>
        <w:t>deal with the end of life issues, especially when there is </w:t>
      </w:r>
      <w:r>
        <w:rPr>
          <w:spacing w:val="2"/>
          <w:w w:val="110"/>
        </w:rPr>
        <w:t>suffering </w:t>
      </w:r>
      <w:r>
        <w:rPr>
          <w:w w:val="110"/>
        </w:rPr>
        <w:t>in body, mind   or spirit or all three. Some may have experienced </w:t>
      </w:r>
      <w:r>
        <w:rPr>
          <w:spacing w:val="2"/>
          <w:w w:val="110"/>
        </w:rPr>
        <w:t>suffering </w:t>
      </w:r>
      <w:r>
        <w:rPr>
          <w:w w:val="110"/>
        </w:rPr>
        <w:t>in others or caring for a loved one and one is aware of the strain and anxieties </w:t>
      </w:r>
      <w:r>
        <w:rPr>
          <w:spacing w:val="2"/>
          <w:w w:val="110"/>
        </w:rPr>
        <w:t>cast </w:t>
      </w:r>
      <w:r>
        <w:rPr>
          <w:w w:val="110"/>
        </w:rPr>
        <w:t>upon the </w:t>
      </w:r>
      <w:r>
        <w:rPr>
          <w:spacing w:val="2"/>
          <w:w w:val="110"/>
        </w:rPr>
        <w:t>carers. </w:t>
      </w:r>
      <w:r>
        <w:rPr>
          <w:w w:val="110"/>
        </w:rPr>
        <w:t>In our discussions, may your Holy Spirit </w:t>
      </w:r>
      <w:r>
        <w:rPr>
          <w:spacing w:val="2"/>
          <w:w w:val="110"/>
        </w:rPr>
        <w:t>direct </w:t>
      </w:r>
      <w:r>
        <w:rPr>
          <w:w w:val="110"/>
        </w:rPr>
        <w:t>and guide us and bring us </w:t>
      </w:r>
      <w:r>
        <w:rPr>
          <w:spacing w:val="2"/>
          <w:w w:val="110"/>
        </w:rPr>
        <w:t>comfort </w:t>
      </w:r>
      <w:r>
        <w:rPr>
          <w:w w:val="110"/>
        </w:rPr>
        <w:t>as to the way </w:t>
      </w:r>
      <w:r>
        <w:rPr>
          <w:spacing w:val="2"/>
          <w:w w:val="110"/>
        </w:rPr>
        <w:t>forward </w:t>
      </w:r>
      <w:r>
        <w:rPr>
          <w:w w:val="110"/>
        </w:rPr>
        <w:t>for ourselves and others. </w:t>
      </w:r>
      <w:r>
        <w:rPr>
          <w:spacing w:val="3"/>
          <w:w w:val="110"/>
        </w:rPr>
        <w:t>As </w:t>
      </w:r>
      <w:r>
        <w:rPr>
          <w:w w:val="110"/>
        </w:rPr>
        <w:t>we discuss Living Wills, may we be honest with ourselves and each </w:t>
      </w:r>
      <w:r>
        <w:rPr>
          <w:spacing w:val="-3"/>
          <w:w w:val="110"/>
        </w:rPr>
        <w:t>other, </w:t>
      </w:r>
      <w:r>
        <w:rPr>
          <w:w w:val="110"/>
        </w:rPr>
        <w:t>about our </w:t>
      </w:r>
      <w:r>
        <w:rPr>
          <w:spacing w:val="2"/>
          <w:w w:val="110"/>
        </w:rPr>
        <w:t>fears </w:t>
      </w:r>
      <w:r>
        <w:rPr>
          <w:w w:val="110"/>
        </w:rPr>
        <w:t>of losing control of our lives and having </w:t>
      </w:r>
      <w:r>
        <w:rPr>
          <w:spacing w:val="2"/>
          <w:w w:val="110"/>
        </w:rPr>
        <w:t>suffering </w:t>
      </w:r>
      <w:r>
        <w:rPr>
          <w:w w:val="110"/>
        </w:rPr>
        <w:t>over which we have little or no control. </w:t>
      </w:r>
      <w:r>
        <w:rPr>
          <w:spacing w:val="-3"/>
          <w:w w:val="110"/>
        </w:rPr>
        <w:t>We </w:t>
      </w:r>
      <w:r>
        <w:rPr>
          <w:w w:val="110"/>
        </w:rPr>
        <w:t>want to value life with all its richness and possibilities, but also want to recognise the right time to let go and not prolong suffering. </w:t>
      </w:r>
      <w:r>
        <w:rPr>
          <w:spacing w:val="-3"/>
          <w:w w:val="110"/>
        </w:rPr>
        <w:t>We </w:t>
      </w:r>
      <w:r>
        <w:rPr>
          <w:w w:val="110"/>
        </w:rPr>
        <w:t>thank you that you gave your life for us and overcame death,   and showed us that death is not the end, but </w:t>
      </w:r>
      <w:r>
        <w:rPr>
          <w:spacing w:val="2"/>
          <w:w w:val="110"/>
        </w:rPr>
        <w:t>after </w:t>
      </w:r>
      <w:r>
        <w:rPr>
          <w:w w:val="110"/>
        </w:rPr>
        <w:t>death we have everlasting life with you still surrounded by your love. In Jesus’ name,</w:t>
      </w:r>
      <w:r>
        <w:rPr>
          <w:spacing w:val="15"/>
          <w:w w:val="110"/>
        </w:rPr>
        <w:t> </w:t>
      </w:r>
      <w:r>
        <w:rPr>
          <w:w w:val="110"/>
        </w:rPr>
        <w:t>Amen.</w:t>
      </w:r>
    </w:p>
    <w:p>
      <w:pPr>
        <w:pStyle w:val="BodyText"/>
        <w:spacing w:line="500" w:lineRule="exact" w:before="39"/>
        <w:ind w:left="673" w:right="3181"/>
      </w:pPr>
      <w:r>
        <w:rPr>
          <w:w w:val="110"/>
        </w:rPr>
        <w:t>See Section 7 of the report and the example of a Living Will (Appendix B). The preparation of a Living Will can offer peace of mind to certain people,</w:t>
      </w:r>
    </w:p>
    <w:p>
      <w:pPr>
        <w:pStyle w:val="BodyText"/>
        <w:spacing w:line="188" w:lineRule="exact"/>
        <w:ind w:left="673"/>
      </w:pPr>
      <w:r>
        <w:rPr>
          <w:w w:val="110"/>
        </w:rPr>
        <w:t>and assistance to medical practitioners who may be involved in their treatment.</w:t>
      </w:r>
    </w:p>
    <w:p>
      <w:pPr>
        <w:pStyle w:val="BodyText"/>
        <w:spacing w:before="31"/>
        <w:ind w:left="673"/>
      </w:pPr>
      <w:r>
        <w:rPr>
          <w:w w:val="110"/>
        </w:rPr>
        <w:t>Take a look at the example of a Living Will in Appendix B.</w:t>
      </w:r>
    </w:p>
    <w:p>
      <w:pPr>
        <w:pStyle w:val="BodyText"/>
        <w:spacing w:before="1"/>
        <w:rPr>
          <w:sz w:val="23"/>
        </w:rPr>
      </w:pPr>
    </w:p>
    <w:p>
      <w:pPr>
        <w:pStyle w:val="BodyText"/>
        <w:spacing w:line="273" w:lineRule="auto" w:before="1"/>
        <w:ind w:left="673" w:right="1708"/>
      </w:pPr>
      <w:r>
        <w:rPr>
          <w:w w:val="110"/>
        </w:rPr>
        <w:t>It is becoming more common for individuals to record on a simple form what they wish to happen</w:t>
      </w:r>
      <w:r>
        <w:rPr>
          <w:spacing w:val="-8"/>
          <w:w w:val="110"/>
        </w:rPr>
        <w:t> </w:t>
      </w:r>
      <w:r>
        <w:rPr>
          <w:w w:val="110"/>
        </w:rPr>
        <w:t>in</w:t>
      </w:r>
      <w:r>
        <w:rPr>
          <w:spacing w:val="-8"/>
          <w:w w:val="110"/>
        </w:rPr>
        <w:t> </w:t>
      </w:r>
      <w:r>
        <w:rPr>
          <w:w w:val="110"/>
        </w:rPr>
        <w:t>their</w:t>
      </w:r>
      <w:r>
        <w:rPr>
          <w:spacing w:val="-7"/>
          <w:w w:val="110"/>
        </w:rPr>
        <w:t> </w:t>
      </w:r>
      <w:r>
        <w:rPr>
          <w:w w:val="110"/>
        </w:rPr>
        <w:t>medical</w:t>
      </w:r>
      <w:r>
        <w:rPr>
          <w:spacing w:val="-8"/>
          <w:w w:val="110"/>
        </w:rPr>
        <w:t> </w:t>
      </w:r>
      <w:r>
        <w:rPr>
          <w:w w:val="110"/>
        </w:rPr>
        <w:t>care</w:t>
      </w:r>
      <w:r>
        <w:rPr>
          <w:spacing w:val="-8"/>
          <w:w w:val="110"/>
        </w:rPr>
        <w:t> </w:t>
      </w:r>
      <w:r>
        <w:rPr>
          <w:w w:val="110"/>
        </w:rPr>
        <w:t>in</w:t>
      </w:r>
      <w:r>
        <w:rPr>
          <w:spacing w:val="-7"/>
          <w:w w:val="110"/>
        </w:rPr>
        <w:t> </w:t>
      </w:r>
      <w:r>
        <w:rPr>
          <w:w w:val="110"/>
        </w:rPr>
        <w:t>the</w:t>
      </w:r>
      <w:r>
        <w:rPr>
          <w:spacing w:val="-8"/>
          <w:w w:val="110"/>
        </w:rPr>
        <w:t> </w:t>
      </w:r>
      <w:r>
        <w:rPr>
          <w:w w:val="110"/>
        </w:rPr>
        <w:t>future,</w:t>
      </w:r>
      <w:r>
        <w:rPr>
          <w:spacing w:val="-7"/>
          <w:w w:val="110"/>
        </w:rPr>
        <w:t> </w:t>
      </w:r>
      <w:r>
        <w:rPr>
          <w:w w:val="110"/>
        </w:rPr>
        <w:t>especially</w:t>
      </w:r>
      <w:r>
        <w:rPr>
          <w:spacing w:val="-8"/>
          <w:w w:val="110"/>
        </w:rPr>
        <w:t> </w:t>
      </w:r>
      <w:r>
        <w:rPr>
          <w:w w:val="110"/>
        </w:rPr>
        <w:t>near</w:t>
      </w:r>
      <w:r>
        <w:rPr>
          <w:spacing w:val="-8"/>
          <w:w w:val="110"/>
        </w:rPr>
        <w:t> </w:t>
      </w:r>
      <w:r>
        <w:rPr>
          <w:w w:val="110"/>
        </w:rPr>
        <w:t>the</w:t>
      </w:r>
      <w:r>
        <w:rPr>
          <w:spacing w:val="-7"/>
          <w:w w:val="110"/>
        </w:rPr>
        <w:t> </w:t>
      </w:r>
      <w:r>
        <w:rPr>
          <w:w w:val="110"/>
        </w:rPr>
        <w:t>end</w:t>
      </w:r>
      <w:r>
        <w:rPr>
          <w:spacing w:val="-8"/>
          <w:w w:val="110"/>
        </w:rPr>
        <w:t> </w:t>
      </w:r>
      <w:r>
        <w:rPr>
          <w:w w:val="110"/>
        </w:rPr>
        <w:t>of</w:t>
      </w:r>
      <w:r>
        <w:rPr>
          <w:spacing w:val="-7"/>
          <w:w w:val="110"/>
        </w:rPr>
        <w:t> </w:t>
      </w:r>
      <w:r>
        <w:rPr>
          <w:w w:val="110"/>
        </w:rPr>
        <w:t>life,</w:t>
      </w:r>
      <w:r>
        <w:rPr>
          <w:spacing w:val="-8"/>
          <w:w w:val="110"/>
        </w:rPr>
        <w:t> </w:t>
      </w:r>
      <w:r>
        <w:rPr>
          <w:w w:val="110"/>
        </w:rPr>
        <w:t>if</w:t>
      </w:r>
      <w:r>
        <w:rPr>
          <w:spacing w:val="-8"/>
          <w:w w:val="110"/>
        </w:rPr>
        <w:t> </w:t>
      </w:r>
      <w:r>
        <w:rPr>
          <w:w w:val="110"/>
        </w:rPr>
        <w:t>they</w:t>
      </w:r>
      <w:r>
        <w:rPr>
          <w:spacing w:val="-7"/>
          <w:w w:val="110"/>
        </w:rPr>
        <w:t> </w:t>
      </w:r>
      <w:r>
        <w:rPr>
          <w:w w:val="110"/>
        </w:rPr>
        <w:t>are</w:t>
      </w:r>
      <w:r>
        <w:rPr>
          <w:spacing w:val="-8"/>
          <w:w w:val="110"/>
        </w:rPr>
        <w:t> </w:t>
      </w:r>
      <w:r>
        <w:rPr>
          <w:w w:val="110"/>
        </w:rPr>
        <w:t>unable to </w:t>
      </w:r>
      <w:r>
        <w:rPr>
          <w:spacing w:val="-3"/>
          <w:w w:val="110"/>
        </w:rPr>
        <w:t>convey </w:t>
      </w:r>
      <w:r>
        <w:rPr>
          <w:w w:val="110"/>
        </w:rPr>
        <w:t>their wishes to their carers, both medical and personal. This </w:t>
      </w:r>
      <w:r>
        <w:rPr>
          <w:spacing w:val="-3"/>
          <w:w w:val="110"/>
        </w:rPr>
        <w:t>may </w:t>
      </w:r>
      <w:r>
        <w:rPr>
          <w:w w:val="110"/>
        </w:rPr>
        <w:t>be because they are physically and </w:t>
      </w:r>
      <w:r>
        <w:rPr>
          <w:spacing w:val="-5"/>
          <w:w w:val="110"/>
        </w:rPr>
        <w:t>/or </w:t>
      </w:r>
      <w:r>
        <w:rPr>
          <w:w w:val="110"/>
        </w:rPr>
        <w:t>mentally incapacitated, or are unconscious. It concerns their wishes</w:t>
      </w:r>
      <w:r>
        <w:rPr>
          <w:spacing w:val="-6"/>
          <w:w w:val="110"/>
        </w:rPr>
        <w:t> </w:t>
      </w:r>
      <w:r>
        <w:rPr>
          <w:w w:val="110"/>
        </w:rPr>
        <w:t>on</w:t>
      </w:r>
      <w:r>
        <w:rPr>
          <w:spacing w:val="-6"/>
          <w:w w:val="110"/>
        </w:rPr>
        <w:t> </w:t>
      </w:r>
      <w:r>
        <w:rPr>
          <w:w w:val="110"/>
        </w:rPr>
        <w:t>whether</w:t>
      </w:r>
      <w:r>
        <w:rPr>
          <w:spacing w:val="-6"/>
          <w:w w:val="110"/>
        </w:rPr>
        <w:t> </w:t>
      </w:r>
      <w:r>
        <w:rPr>
          <w:w w:val="110"/>
        </w:rPr>
        <w:t>or</w:t>
      </w:r>
      <w:r>
        <w:rPr>
          <w:spacing w:val="-6"/>
          <w:w w:val="110"/>
        </w:rPr>
        <w:t> </w:t>
      </w:r>
      <w:r>
        <w:rPr>
          <w:w w:val="110"/>
        </w:rPr>
        <w:t>not</w:t>
      </w:r>
      <w:r>
        <w:rPr>
          <w:spacing w:val="-6"/>
          <w:w w:val="110"/>
        </w:rPr>
        <w:t> </w:t>
      </w:r>
      <w:r>
        <w:rPr>
          <w:w w:val="110"/>
        </w:rPr>
        <w:t>they</w:t>
      </w:r>
      <w:r>
        <w:rPr>
          <w:spacing w:val="-6"/>
          <w:w w:val="110"/>
        </w:rPr>
        <w:t> </w:t>
      </w:r>
      <w:r>
        <w:rPr>
          <w:w w:val="110"/>
        </w:rPr>
        <w:t>want</w:t>
      </w:r>
      <w:r>
        <w:rPr>
          <w:spacing w:val="-5"/>
          <w:w w:val="110"/>
        </w:rPr>
        <w:t> </w:t>
      </w:r>
      <w:r>
        <w:rPr>
          <w:w w:val="110"/>
        </w:rPr>
        <w:t>to</w:t>
      </w:r>
      <w:r>
        <w:rPr>
          <w:spacing w:val="-6"/>
          <w:w w:val="110"/>
        </w:rPr>
        <w:t> </w:t>
      </w:r>
      <w:r>
        <w:rPr>
          <w:w w:val="110"/>
        </w:rPr>
        <w:t>be</w:t>
      </w:r>
      <w:r>
        <w:rPr>
          <w:spacing w:val="-6"/>
          <w:w w:val="110"/>
        </w:rPr>
        <w:t> </w:t>
      </w:r>
      <w:r>
        <w:rPr>
          <w:w w:val="110"/>
        </w:rPr>
        <w:t>resuscitated</w:t>
      </w:r>
      <w:r>
        <w:rPr>
          <w:spacing w:val="-6"/>
          <w:w w:val="110"/>
        </w:rPr>
        <w:t> </w:t>
      </w:r>
      <w:r>
        <w:rPr>
          <w:w w:val="110"/>
        </w:rPr>
        <w:t>or</w:t>
      </w:r>
      <w:r>
        <w:rPr>
          <w:spacing w:val="-6"/>
          <w:w w:val="110"/>
        </w:rPr>
        <w:t> </w:t>
      </w:r>
      <w:r>
        <w:rPr>
          <w:w w:val="110"/>
        </w:rPr>
        <w:t>kept</w:t>
      </w:r>
      <w:r>
        <w:rPr>
          <w:spacing w:val="-6"/>
          <w:w w:val="110"/>
        </w:rPr>
        <w:t> </w:t>
      </w:r>
      <w:r>
        <w:rPr>
          <w:spacing w:val="-3"/>
          <w:w w:val="110"/>
        </w:rPr>
        <w:t>alive</w:t>
      </w:r>
      <w:r>
        <w:rPr>
          <w:spacing w:val="-6"/>
          <w:w w:val="110"/>
        </w:rPr>
        <w:t> </w:t>
      </w:r>
      <w:r>
        <w:rPr>
          <w:w w:val="110"/>
        </w:rPr>
        <w:t>artificially.</w:t>
      </w:r>
    </w:p>
    <w:p>
      <w:pPr>
        <w:spacing w:after="0" w:line="273" w:lineRule="auto"/>
        <w:sectPr>
          <w:pgSz w:w="11910" w:h="16840"/>
          <w:pgMar w:header="558" w:footer="564" w:top="820" w:bottom="760" w:left="460" w:right="0"/>
        </w:sectPr>
      </w:pPr>
    </w:p>
    <w:p>
      <w:pPr>
        <w:pStyle w:val="BodyText"/>
        <w:spacing w:before="9"/>
        <w:rPr>
          <w:sz w:val="13"/>
        </w:rPr>
      </w:pPr>
    </w:p>
    <w:p>
      <w:pPr>
        <w:pStyle w:val="BodyText"/>
        <w:spacing w:line="268" w:lineRule="auto" w:before="101"/>
        <w:ind w:left="1240" w:right="1487"/>
      </w:pPr>
      <w:r>
        <w:rPr>
          <w:w w:val="110"/>
        </w:rPr>
        <w:t>It is possible to write a simple signed statement, or there are various forms available   to help. Appendix B is an example of such a form, or you may like to ask a solicitor to provide a more detailed document. The important thing is that others know that you have </w:t>
      </w:r>
      <w:r>
        <w:rPr>
          <w:spacing w:val="2"/>
          <w:w w:val="110"/>
        </w:rPr>
        <w:t>recorded </w:t>
      </w:r>
      <w:r>
        <w:rPr>
          <w:w w:val="110"/>
        </w:rPr>
        <w:t>your wishes, so it is a good idea to discuss it with your </w:t>
      </w:r>
      <w:r>
        <w:rPr>
          <w:spacing w:val="2"/>
          <w:w w:val="110"/>
        </w:rPr>
        <w:t>next </w:t>
      </w:r>
      <w:r>
        <w:rPr>
          <w:w w:val="110"/>
        </w:rPr>
        <w:t>of kin or a near friend, your </w:t>
      </w:r>
      <w:r>
        <w:rPr>
          <w:spacing w:val="-8"/>
          <w:w w:val="110"/>
        </w:rPr>
        <w:t>GP, </w:t>
      </w:r>
      <w:r>
        <w:rPr>
          <w:w w:val="110"/>
        </w:rPr>
        <w:t>perhaps your solicitor, and give each a copy of the form, and also to have one available in your papers. It is not usually helpful to keep it with your Will! </w:t>
      </w:r>
      <w:r>
        <w:rPr>
          <w:spacing w:val="-4"/>
          <w:w w:val="110"/>
        </w:rPr>
        <w:t>You </w:t>
      </w:r>
      <w:r>
        <w:rPr>
          <w:w w:val="110"/>
        </w:rPr>
        <w:t>will probably wish to ask someone to be your “health </w:t>
      </w:r>
      <w:r>
        <w:rPr>
          <w:spacing w:val="2"/>
          <w:w w:val="110"/>
        </w:rPr>
        <w:t>care </w:t>
      </w:r>
      <w:r>
        <w:rPr>
          <w:w w:val="110"/>
        </w:rPr>
        <w:t>proxy”, who would take </w:t>
      </w:r>
      <w:r>
        <w:rPr>
          <w:spacing w:val="2"/>
          <w:w w:val="110"/>
        </w:rPr>
        <w:t>part </w:t>
      </w:r>
      <w:r>
        <w:rPr>
          <w:w w:val="110"/>
        </w:rPr>
        <w:t>in decision-making on your behalf if the Living Will was</w:t>
      </w:r>
      <w:r>
        <w:rPr>
          <w:spacing w:val="31"/>
          <w:w w:val="110"/>
        </w:rPr>
        <w:t> </w:t>
      </w:r>
      <w:r>
        <w:rPr>
          <w:w w:val="110"/>
        </w:rPr>
        <w:t>needed.</w:t>
      </w:r>
    </w:p>
    <w:p>
      <w:pPr>
        <w:pStyle w:val="BodyText"/>
        <w:spacing w:before="5"/>
        <w:rPr>
          <w:sz w:val="19"/>
        </w:rPr>
      </w:pPr>
    </w:p>
    <w:p>
      <w:pPr>
        <w:pStyle w:val="BodyText"/>
        <w:spacing w:line="268" w:lineRule="auto"/>
        <w:ind w:left="1240" w:right="1365"/>
      </w:pPr>
      <w:r>
        <w:rPr>
          <w:w w:val="110"/>
        </w:rPr>
        <w:t>It is at times when people have experienced the dying of loved ones or friends that the subject comes into focus, especially if the experience is not a good</w:t>
      </w:r>
      <w:r>
        <w:rPr>
          <w:spacing w:val="53"/>
          <w:w w:val="110"/>
        </w:rPr>
        <w:t> </w:t>
      </w:r>
      <w:r>
        <w:rPr>
          <w:w w:val="110"/>
        </w:rPr>
        <w:t>one.</w:t>
      </w:r>
    </w:p>
    <w:p>
      <w:pPr>
        <w:pStyle w:val="BodyText"/>
        <w:spacing w:before="11"/>
        <w:rPr>
          <w:sz w:val="19"/>
        </w:rPr>
      </w:pPr>
    </w:p>
    <w:p>
      <w:pPr>
        <w:pStyle w:val="BodyText"/>
        <w:spacing w:line="268" w:lineRule="auto"/>
        <w:ind w:left="1240" w:right="1593"/>
      </w:pPr>
      <w:r>
        <w:rPr>
          <w:w w:val="110"/>
        </w:rPr>
        <w:t>When “DNR” (Do Not Resuscitate) is written on hospital notes without the knowledge of – or discussion with – the patient or relatives, distress is caused.</w:t>
      </w:r>
    </w:p>
    <w:p>
      <w:pPr>
        <w:pStyle w:val="BodyText"/>
        <w:spacing w:before="11"/>
        <w:rPr>
          <w:sz w:val="19"/>
        </w:rPr>
      </w:pPr>
    </w:p>
    <w:p>
      <w:pPr>
        <w:pStyle w:val="BodyText"/>
        <w:spacing w:line="268" w:lineRule="auto"/>
        <w:ind w:left="1240" w:right="1143"/>
      </w:pPr>
      <w:r>
        <w:rPr>
          <w:w w:val="110"/>
        </w:rPr>
        <w:t>Confusion by some carers about what is euthanasia may cause unnecessary interference. If there is a Living Will that may help to avert this, but there is no guarantee that the patient’s wishes will be known or accepted.</w:t>
      </w:r>
    </w:p>
    <w:p>
      <w:pPr>
        <w:pStyle w:val="BodyText"/>
        <w:spacing w:before="10"/>
        <w:rPr>
          <w:sz w:val="19"/>
        </w:rPr>
      </w:pPr>
    </w:p>
    <w:p>
      <w:pPr>
        <w:pStyle w:val="BodyText"/>
        <w:spacing w:line="268" w:lineRule="auto" w:before="1"/>
        <w:ind w:left="1240" w:right="1143"/>
      </w:pPr>
      <w:r>
        <w:rPr>
          <w:w w:val="110"/>
        </w:rPr>
        <w:t>Health workers on the whole welcome Living Will instructions as a factor in their choice of treatment, given the provisos of appropriateness at the time of decisions. Though these may have legal standing there is still uncertainly about how they should be interpreted.</w:t>
      </w:r>
    </w:p>
    <w:p>
      <w:pPr>
        <w:pStyle w:val="BodyText"/>
        <w:spacing w:line="268" w:lineRule="auto"/>
        <w:ind w:left="1240" w:right="1143"/>
      </w:pPr>
      <w:r>
        <w:rPr>
          <w:w w:val="110"/>
        </w:rPr>
        <w:t>As litigation increases, especially in hospital, a written statement of the patient’s wishes can be very helpful to doctors and nurses in making correct choices of treatment, with the written Living Will to guide them.</w:t>
      </w:r>
    </w:p>
    <w:p>
      <w:pPr>
        <w:pStyle w:val="BodyText"/>
        <w:spacing w:before="8"/>
        <w:rPr>
          <w:sz w:val="23"/>
        </w:rPr>
      </w:pPr>
    </w:p>
    <w:p>
      <w:pPr>
        <w:pStyle w:val="Heading7"/>
        <w:ind w:left="1467"/>
      </w:pPr>
      <w:r>
        <w:rPr/>
        <w:pict>
          <v:group style="position:absolute;margin-left:85.039001pt;margin-top:-7.006264pt;width:456.55pt;height:393.55pt;mso-position-horizontal-relative:page;mso-position-vertical-relative:paragraph;z-index:-275301376" coordorigin="1701,-140" coordsize="9131,7871">
            <v:rect style="position:absolute;left:1740;top:-101;width:9051;height:7791" filled="true" fillcolor="#7c7c7c" stroked="false">
              <v:fill type="solid"/>
            </v:rect>
            <v:rect style="position:absolute;left:1740;top:-101;width:9051;height:7791" filled="false" stroked="true" strokeweight="4pt" strokecolor="#acacac">
              <v:stroke dashstyle="solid"/>
            </v:rect>
            <w10:wrap type="none"/>
          </v:group>
        </w:pict>
      </w:r>
      <w:r>
        <w:rPr>
          <w:color w:val="FFFFFF"/>
          <w:w w:val="110"/>
        </w:rPr>
        <w:t>Questions</w:t>
      </w:r>
    </w:p>
    <w:p>
      <w:pPr>
        <w:numPr>
          <w:ilvl w:val="2"/>
          <w:numId w:val="118"/>
        </w:numPr>
        <w:tabs>
          <w:tab w:pos="1920" w:val="left" w:leader="none"/>
          <w:tab w:pos="1921" w:val="left" w:leader="none"/>
        </w:tabs>
        <w:spacing w:line="273" w:lineRule="auto" w:before="239"/>
        <w:ind w:left="1921" w:right="1366" w:hanging="454"/>
        <w:jc w:val="left"/>
        <w:rPr>
          <w:b/>
          <w:sz w:val="18"/>
        </w:rPr>
      </w:pPr>
      <w:r>
        <w:rPr>
          <w:b/>
          <w:color w:val="FFFFFF"/>
          <w:w w:val="110"/>
          <w:sz w:val="18"/>
        </w:rPr>
        <w:t>What is a suitable time to bring up the subject of living wills with   family and friends? Do you know anyone who has made one? Do you have experience, first- or second-hand, of caring for someone so incapacitated that you were </w:t>
      </w:r>
      <w:r>
        <w:rPr>
          <w:b/>
          <w:color w:val="FFFFFF"/>
          <w:spacing w:val="2"/>
          <w:w w:val="110"/>
          <w:sz w:val="18"/>
        </w:rPr>
        <w:t>consulted </w:t>
      </w:r>
      <w:r>
        <w:rPr>
          <w:b/>
          <w:color w:val="FFFFFF"/>
          <w:w w:val="110"/>
          <w:sz w:val="18"/>
        </w:rPr>
        <w:t>on </w:t>
      </w:r>
      <w:r>
        <w:rPr>
          <w:b/>
          <w:color w:val="FFFFFF"/>
          <w:spacing w:val="2"/>
          <w:w w:val="110"/>
          <w:sz w:val="18"/>
        </w:rPr>
        <w:t>decisions </w:t>
      </w:r>
      <w:r>
        <w:rPr>
          <w:b/>
          <w:color w:val="FFFFFF"/>
          <w:w w:val="110"/>
          <w:sz w:val="18"/>
        </w:rPr>
        <w:t>that must be made for them on </w:t>
      </w:r>
      <w:r>
        <w:rPr>
          <w:b/>
          <w:color w:val="FFFFFF"/>
          <w:spacing w:val="2"/>
          <w:w w:val="110"/>
          <w:sz w:val="18"/>
        </w:rPr>
        <w:t>artificial </w:t>
      </w:r>
      <w:r>
        <w:rPr>
          <w:b/>
          <w:color w:val="FFFFFF"/>
          <w:w w:val="110"/>
          <w:sz w:val="18"/>
        </w:rPr>
        <w:t>prolongation of life? Were </w:t>
      </w:r>
      <w:r>
        <w:rPr>
          <w:b/>
          <w:color w:val="FFFFFF"/>
          <w:spacing w:val="2"/>
          <w:w w:val="110"/>
          <w:sz w:val="18"/>
        </w:rPr>
        <w:t>these </w:t>
      </w:r>
      <w:r>
        <w:rPr>
          <w:b/>
          <w:color w:val="FFFFFF"/>
          <w:w w:val="110"/>
          <w:sz w:val="18"/>
        </w:rPr>
        <w:t>decisions difficult to make? Was </w:t>
      </w:r>
      <w:r>
        <w:rPr>
          <w:b/>
          <w:color w:val="FFFFFF"/>
          <w:spacing w:val="2"/>
          <w:w w:val="110"/>
          <w:sz w:val="18"/>
        </w:rPr>
        <w:t>there </w:t>
      </w:r>
      <w:r>
        <w:rPr>
          <w:b/>
          <w:color w:val="FFFFFF"/>
          <w:w w:val="110"/>
          <w:sz w:val="18"/>
        </w:rPr>
        <w:t>a Living Will available and if so, was it</w:t>
      </w:r>
      <w:r>
        <w:rPr>
          <w:b/>
          <w:color w:val="FFFFFF"/>
          <w:spacing w:val="46"/>
          <w:w w:val="110"/>
          <w:sz w:val="18"/>
        </w:rPr>
        <w:t> </w:t>
      </w:r>
      <w:r>
        <w:rPr>
          <w:b/>
          <w:color w:val="FFFFFF"/>
          <w:w w:val="110"/>
          <w:sz w:val="18"/>
        </w:rPr>
        <w:t>helpful?</w:t>
      </w:r>
    </w:p>
    <w:p>
      <w:pPr>
        <w:pStyle w:val="BodyText"/>
        <w:spacing w:before="5"/>
        <w:rPr>
          <w:b/>
        </w:rPr>
      </w:pPr>
    </w:p>
    <w:p>
      <w:pPr>
        <w:pStyle w:val="ListParagraph"/>
        <w:numPr>
          <w:ilvl w:val="2"/>
          <w:numId w:val="118"/>
        </w:numPr>
        <w:tabs>
          <w:tab w:pos="1921" w:val="left" w:leader="none"/>
          <w:tab w:pos="1922" w:val="left" w:leader="none"/>
        </w:tabs>
        <w:spacing w:line="273" w:lineRule="auto" w:before="0" w:after="0"/>
        <w:ind w:left="1921" w:right="1255" w:hanging="454"/>
        <w:jc w:val="left"/>
        <w:rPr>
          <w:b/>
          <w:sz w:val="18"/>
        </w:rPr>
      </w:pPr>
      <w:r>
        <w:rPr>
          <w:b/>
          <w:color w:val="FFFFFF"/>
          <w:w w:val="110"/>
          <w:sz w:val="18"/>
        </w:rPr>
        <w:t>Are there dangers in persuading someone to fill in a form expressing  their wishes? Might </w:t>
      </w:r>
      <w:r>
        <w:rPr>
          <w:b/>
          <w:color w:val="FFFFFF"/>
          <w:spacing w:val="2"/>
          <w:w w:val="110"/>
          <w:sz w:val="18"/>
        </w:rPr>
        <w:t>there </w:t>
      </w:r>
      <w:r>
        <w:rPr>
          <w:b/>
          <w:color w:val="FFFFFF"/>
          <w:w w:val="110"/>
          <w:sz w:val="18"/>
        </w:rPr>
        <w:t>be </w:t>
      </w:r>
      <w:r>
        <w:rPr>
          <w:b/>
          <w:color w:val="FFFFFF"/>
          <w:spacing w:val="2"/>
          <w:w w:val="110"/>
          <w:sz w:val="18"/>
        </w:rPr>
        <w:t>pressure </w:t>
      </w:r>
      <w:r>
        <w:rPr>
          <w:b/>
          <w:color w:val="FFFFFF"/>
          <w:w w:val="110"/>
          <w:sz w:val="18"/>
        </w:rPr>
        <w:t>on them to make a choice for the sake of </w:t>
      </w:r>
      <w:r>
        <w:rPr>
          <w:b/>
          <w:color w:val="FFFFFF"/>
          <w:spacing w:val="2"/>
          <w:w w:val="110"/>
          <w:sz w:val="18"/>
        </w:rPr>
        <w:t>others, </w:t>
      </w:r>
      <w:r>
        <w:rPr>
          <w:b/>
          <w:color w:val="FFFFFF"/>
          <w:w w:val="110"/>
          <w:sz w:val="18"/>
        </w:rPr>
        <w:t>which they did not really want? How can we explain that this is not euthanasia, (it is not helping the </w:t>
      </w:r>
      <w:r>
        <w:rPr>
          <w:b/>
          <w:color w:val="FFFFFF"/>
          <w:spacing w:val="2"/>
          <w:w w:val="110"/>
          <w:sz w:val="18"/>
        </w:rPr>
        <w:t>person </w:t>
      </w:r>
      <w:r>
        <w:rPr>
          <w:b/>
          <w:color w:val="FFFFFF"/>
          <w:w w:val="110"/>
          <w:sz w:val="18"/>
        </w:rPr>
        <w:t>to </w:t>
      </w:r>
      <w:r>
        <w:rPr>
          <w:b/>
          <w:color w:val="FFFFFF"/>
          <w:spacing w:val="-4"/>
          <w:w w:val="110"/>
          <w:sz w:val="18"/>
        </w:rPr>
        <w:t>die), </w:t>
      </w:r>
      <w:r>
        <w:rPr>
          <w:b/>
          <w:color w:val="FFFFFF"/>
          <w:w w:val="110"/>
          <w:sz w:val="18"/>
        </w:rPr>
        <w:t>but </w:t>
      </w:r>
      <w:r>
        <w:rPr>
          <w:b/>
          <w:color w:val="FFFFFF"/>
          <w:spacing w:val="2"/>
          <w:w w:val="110"/>
          <w:sz w:val="18"/>
        </w:rPr>
        <w:t>accepting </w:t>
      </w:r>
      <w:r>
        <w:rPr>
          <w:b/>
          <w:color w:val="FFFFFF"/>
          <w:w w:val="110"/>
          <w:sz w:val="18"/>
        </w:rPr>
        <w:t>that it only applies if they would die if </w:t>
      </w:r>
      <w:r>
        <w:rPr>
          <w:b/>
          <w:color w:val="FFFFFF"/>
          <w:spacing w:val="2"/>
          <w:w w:val="110"/>
          <w:sz w:val="18"/>
        </w:rPr>
        <w:t>left </w:t>
      </w:r>
      <w:r>
        <w:rPr>
          <w:b/>
          <w:color w:val="FFFFFF"/>
          <w:w w:val="110"/>
          <w:sz w:val="18"/>
        </w:rPr>
        <w:t>without </w:t>
      </w:r>
      <w:r>
        <w:rPr>
          <w:b/>
          <w:color w:val="FFFFFF"/>
          <w:spacing w:val="2"/>
          <w:w w:val="110"/>
          <w:sz w:val="18"/>
        </w:rPr>
        <w:t>artificial </w:t>
      </w:r>
      <w:r>
        <w:rPr>
          <w:b/>
          <w:color w:val="FFFFFF"/>
          <w:w w:val="110"/>
          <w:sz w:val="18"/>
        </w:rPr>
        <w:t>aid, either medical or mechanical?</w:t>
      </w:r>
    </w:p>
    <w:p>
      <w:pPr>
        <w:pStyle w:val="BodyText"/>
        <w:spacing w:before="5"/>
        <w:rPr>
          <w:b/>
        </w:rPr>
      </w:pPr>
    </w:p>
    <w:p>
      <w:pPr>
        <w:pStyle w:val="ListParagraph"/>
        <w:numPr>
          <w:ilvl w:val="2"/>
          <w:numId w:val="118"/>
        </w:numPr>
        <w:tabs>
          <w:tab w:pos="1920" w:val="left" w:leader="none"/>
          <w:tab w:pos="1921" w:val="left" w:leader="none"/>
        </w:tabs>
        <w:spacing w:line="273" w:lineRule="auto" w:before="0" w:after="0"/>
        <w:ind w:left="1921" w:right="1273" w:hanging="454"/>
        <w:jc w:val="left"/>
        <w:rPr>
          <w:b/>
          <w:sz w:val="18"/>
        </w:rPr>
      </w:pPr>
      <w:r>
        <w:rPr>
          <w:b/>
          <w:color w:val="FFFFFF"/>
          <w:w w:val="110"/>
          <w:sz w:val="18"/>
        </w:rPr>
        <w:t>What has our Christian faith to say about our making life-or-death decisions for: </w:t>
      </w:r>
      <w:r>
        <w:rPr>
          <w:b/>
          <w:color w:val="FFFFFF"/>
          <w:spacing w:val="-9"/>
          <w:w w:val="110"/>
          <w:sz w:val="18"/>
        </w:rPr>
        <w:t>a) </w:t>
      </w:r>
      <w:r>
        <w:rPr>
          <w:b/>
          <w:color w:val="FFFFFF"/>
          <w:w w:val="110"/>
          <w:sz w:val="18"/>
        </w:rPr>
        <w:t>ourselves? </w:t>
      </w:r>
      <w:r>
        <w:rPr>
          <w:b/>
          <w:color w:val="FFFFFF"/>
          <w:spacing w:val="-9"/>
          <w:w w:val="110"/>
          <w:sz w:val="18"/>
        </w:rPr>
        <w:t>b) </w:t>
      </w:r>
      <w:r>
        <w:rPr>
          <w:b/>
          <w:color w:val="FFFFFF"/>
          <w:w w:val="110"/>
          <w:sz w:val="18"/>
        </w:rPr>
        <w:t>others? Is modern medicine </w:t>
      </w:r>
      <w:r>
        <w:rPr>
          <w:b/>
          <w:color w:val="FFFFFF"/>
          <w:spacing w:val="-3"/>
          <w:w w:val="110"/>
          <w:sz w:val="18"/>
        </w:rPr>
        <w:t>always </w:t>
      </w:r>
      <w:r>
        <w:rPr>
          <w:b/>
          <w:color w:val="FFFFFF"/>
          <w:w w:val="110"/>
          <w:sz w:val="18"/>
        </w:rPr>
        <w:t>helpful as it enables people to be kept alive artificially, indefinitely? There are continuing advances in transplant surgery – heart, lung, </w:t>
      </w:r>
      <w:r>
        <w:rPr>
          <w:b/>
          <w:color w:val="FFFFFF"/>
          <w:spacing w:val="-4"/>
          <w:w w:val="110"/>
          <w:sz w:val="18"/>
        </w:rPr>
        <w:t>liver, </w:t>
      </w:r>
      <w:r>
        <w:rPr>
          <w:b/>
          <w:color w:val="FFFFFF"/>
          <w:spacing w:val="-3"/>
          <w:w w:val="110"/>
          <w:sz w:val="18"/>
        </w:rPr>
        <w:t>kidney, </w:t>
      </w:r>
      <w:r>
        <w:rPr>
          <w:b/>
          <w:color w:val="FFFFFF"/>
          <w:w w:val="110"/>
          <w:sz w:val="18"/>
        </w:rPr>
        <w:t>face. Is there a limit to ethical use of transplants to prolong our natural lifespan? Are we in danger of interfering with God’s created</w:t>
      </w:r>
      <w:r>
        <w:rPr>
          <w:b/>
          <w:color w:val="FFFFFF"/>
          <w:spacing w:val="-16"/>
          <w:w w:val="110"/>
          <w:sz w:val="18"/>
        </w:rPr>
        <w:t> </w:t>
      </w:r>
      <w:r>
        <w:rPr>
          <w:b/>
          <w:color w:val="FFFFFF"/>
          <w:w w:val="110"/>
          <w:sz w:val="18"/>
        </w:rPr>
        <w:t>order?</w:t>
      </w:r>
    </w:p>
    <w:p>
      <w:pPr>
        <w:pStyle w:val="BodyText"/>
        <w:spacing w:before="5"/>
        <w:rPr>
          <w:b/>
        </w:rPr>
      </w:pPr>
    </w:p>
    <w:p>
      <w:pPr>
        <w:pStyle w:val="ListParagraph"/>
        <w:numPr>
          <w:ilvl w:val="2"/>
          <w:numId w:val="118"/>
        </w:numPr>
        <w:tabs>
          <w:tab w:pos="1922" w:val="left" w:leader="none"/>
          <w:tab w:pos="1923" w:val="left" w:leader="none"/>
        </w:tabs>
        <w:spacing w:line="273" w:lineRule="auto" w:before="0" w:after="0"/>
        <w:ind w:left="1922" w:right="1431" w:hanging="454"/>
        <w:jc w:val="left"/>
        <w:rPr>
          <w:b/>
          <w:sz w:val="18"/>
        </w:rPr>
      </w:pPr>
      <w:r>
        <w:rPr>
          <w:b/>
          <w:color w:val="FFFFFF"/>
          <w:w w:val="110"/>
          <w:sz w:val="18"/>
        </w:rPr>
        <w:t>If we believe in life </w:t>
      </w:r>
      <w:r>
        <w:rPr>
          <w:b/>
          <w:color w:val="FFFFFF"/>
          <w:spacing w:val="2"/>
          <w:w w:val="110"/>
          <w:sz w:val="18"/>
        </w:rPr>
        <w:t>after </w:t>
      </w:r>
      <w:r>
        <w:rPr>
          <w:b/>
          <w:color w:val="FFFFFF"/>
          <w:w w:val="110"/>
          <w:sz w:val="18"/>
        </w:rPr>
        <w:t>death why do we cling on to this </w:t>
      </w:r>
      <w:r>
        <w:rPr>
          <w:b/>
          <w:color w:val="FFFFFF"/>
          <w:spacing w:val="2"/>
          <w:w w:val="110"/>
          <w:sz w:val="18"/>
        </w:rPr>
        <w:t>mortal </w:t>
      </w:r>
      <w:r>
        <w:rPr>
          <w:b/>
          <w:color w:val="FFFFFF"/>
          <w:w w:val="110"/>
          <w:sz w:val="18"/>
        </w:rPr>
        <w:t>life in spite of </w:t>
      </w:r>
      <w:r>
        <w:rPr>
          <w:b/>
          <w:color w:val="FFFFFF"/>
          <w:spacing w:val="2"/>
          <w:w w:val="110"/>
          <w:sz w:val="18"/>
        </w:rPr>
        <w:t>sickness </w:t>
      </w:r>
      <w:r>
        <w:rPr>
          <w:b/>
          <w:color w:val="FFFFFF"/>
          <w:w w:val="110"/>
          <w:sz w:val="18"/>
        </w:rPr>
        <w:t>and suffering?</w:t>
      </w:r>
    </w:p>
    <w:p>
      <w:pPr>
        <w:pStyle w:val="BodyText"/>
        <w:spacing w:before="2"/>
        <w:rPr>
          <w:b/>
        </w:rPr>
      </w:pPr>
    </w:p>
    <w:p>
      <w:pPr>
        <w:pStyle w:val="ListParagraph"/>
        <w:numPr>
          <w:ilvl w:val="2"/>
          <w:numId w:val="118"/>
        </w:numPr>
        <w:tabs>
          <w:tab w:pos="1922" w:val="left" w:leader="none"/>
          <w:tab w:pos="1923" w:val="left" w:leader="none"/>
        </w:tabs>
        <w:spacing w:line="273" w:lineRule="auto" w:before="1" w:after="0"/>
        <w:ind w:left="1921" w:right="1440" w:hanging="452"/>
        <w:jc w:val="left"/>
        <w:rPr>
          <w:b/>
          <w:sz w:val="18"/>
        </w:rPr>
      </w:pPr>
      <w:r>
        <w:rPr>
          <w:b/>
          <w:color w:val="FFFFFF"/>
          <w:spacing w:val="2"/>
          <w:w w:val="110"/>
          <w:sz w:val="18"/>
        </w:rPr>
        <w:t>Does </w:t>
      </w:r>
      <w:r>
        <w:rPr>
          <w:b/>
          <w:color w:val="FFFFFF"/>
          <w:w w:val="110"/>
          <w:sz w:val="18"/>
        </w:rPr>
        <w:t>the fact of </w:t>
      </w:r>
      <w:r>
        <w:rPr>
          <w:b/>
          <w:color w:val="FFFFFF"/>
          <w:spacing w:val="2"/>
          <w:w w:val="110"/>
          <w:sz w:val="18"/>
        </w:rPr>
        <w:t>Jesus’ </w:t>
      </w:r>
      <w:r>
        <w:rPr>
          <w:b/>
          <w:color w:val="FFFFFF"/>
          <w:w w:val="110"/>
          <w:sz w:val="18"/>
        </w:rPr>
        <w:t>miraculous healing </w:t>
      </w:r>
      <w:r>
        <w:rPr>
          <w:b/>
          <w:color w:val="FFFFFF"/>
          <w:spacing w:val="3"/>
          <w:w w:val="110"/>
          <w:sz w:val="18"/>
        </w:rPr>
        <w:t>affect </w:t>
      </w:r>
      <w:r>
        <w:rPr>
          <w:b/>
          <w:color w:val="FFFFFF"/>
          <w:w w:val="110"/>
          <w:sz w:val="18"/>
        </w:rPr>
        <w:t>our choice of artificially prolonging our life, in </w:t>
      </w:r>
      <w:r>
        <w:rPr>
          <w:b/>
          <w:color w:val="FFFFFF"/>
          <w:spacing w:val="2"/>
          <w:w w:val="110"/>
          <w:sz w:val="18"/>
        </w:rPr>
        <w:t>case </w:t>
      </w:r>
      <w:r>
        <w:rPr>
          <w:b/>
          <w:color w:val="FFFFFF"/>
          <w:w w:val="110"/>
          <w:sz w:val="18"/>
        </w:rPr>
        <w:t>we might undergo a miracle cure in the future? (Jairus’ daughter healed – St Mark’s </w:t>
      </w:r>
      <w:r>
        <w:rPr>
          <w:b/>
          <w:color w:val="FFFFFF"/>
          <w:spacing w:val="2"/>
          <w:w w:val="110"/>
          <w:sz w:val="18"/>
        </w:rPr>
        <w:t>Gospel </w:t>
      </w:r>
      <w:r>
        <w:rPr>
          <w:b/>
          <w:color w:val="FFFFFF"/>
          <w:w w:val="110"/>
          <w:sz w:val="18"/>
        </w:rPr>
        <w:t>chapter 5,  the </w:t>
      </w:r>
      <w:r>
        <w:rPr>
          <w:b/>
          <w:color w:val="FFFFFF"/>
          <w:spacing w:val="2"/>
          <w:w w:val="110"/>
          <w:sz w:val="18"/>
        </w:rPr>
        <w:t>story </w:t>
      </w:r>
      <w:r>
        <w:rPr>
          <w:b/>
          <w:color w:val="FFFFFF"/>
          <w:w w:val="110"/>
          <w:sz w:val="18"/>
        </w:rPr>
        <w:t>of the raising of Lazarus – St John’s </w:t>
      </w:r>
      <w:r>
        <w:rPr>
          <w:b/>
          <w:color w:val="FFFFFF"/>
          <w:spacing w:val="2"/>
          <w:w w:val="110"/>
          <w:sz w:val="18"/>
        </w:rPr>
        <w:t>Gospel, </w:t>
      </w:r>
      <w:r>
        <w:rPr>
          <w:b/>
          <w:color w:val="FFFFFF"/>
          <w:w w:val="110"/>
          <w:sz w:val="18"/>
        </w:rPr>
        <w:t>chapter</w:t>
      </w:r>
      <w:r>
        <w:rPr>
          <w:b/>
          <w:color w:val="FFFFFF"/>
          <w:spacing w:val="58"/>
          <w:w w:val="110"/>
          <w:sz w:val="18"/>
        </w:rPr>
        <w:t> </w:t>
      </w:r>
      <w:r>
        <w:rPr>
          <w:b/>
          <w:color w:val="FFFFFF"/>
          <w:spacing w:val="-6"/>
          <w:w w:val="110"/>
          <w:sz w:val="18"/>
        </w:rPr>
        <w:t>11.)</w:t>
      </w:r>
    </w:p>
    <w:p>
      <w:pPr>
        <w:pStyle w:val="BodyText"/>
        <w:spacing w:before="6"/>
        <w:rPr>
          <w:b/>
          <w:sz w:val="26"/>
        </w:rPr>
      </w:pPr>
    </w:p>
    <w:p>
      <w:pPr>
        <w:pStyle w:val="BodyText"/>
        <w:spacing w:line="273" w:lineRule="auto"/>
        <w:ind w:left="1240" w:right="1143"/>
      </w:pPr>
      <w:r>
        <w:rPr>
          <w:w w:val="110"/>
        </w:rPr>
        <w:t>After this session, be pastorally sensitive and supportive to one another, especially if someone is caring for a loved one who is terminally ill, or who has had a recent diagnosis.</w:t>
      </w:r>
    </w:p>
    <w:p>
      <w:pPr>
        <w:spacing w:after="0" w:line="273" w:lineRule="auto"/>
        <w:sectPr>
          <w:pgSz w:w="11910" w:h="16840"/>
          <w:pgMar w:header="558" w:footer="564" w:top="820" w:bottom="760" w:left="460" w:right="0"/>
        </w:sectPr>
      </w:pPr>
    </w:p>
    <w:p>
      <w:pPr>
        <w:pStyle w:val="BodyText"/>
        <w:spacing w:before="8"/>
        <w:rPr>
          <w:sz w:val="8"/>
        </w:rPr>
      </w:pPr>
    </w:p>
    <w:p>
      <w:pPr>
        <w:pStyle w:val="BodyText"/>
        <w:ind w:left="114"/>
        <w:rPr>
          <w:sz w:val="20"/>
        </w:rPr>
      </w:pPr>
      <w:r>
        <w:rPr>
          <w:sz w:val="20"/>
        </w:rPr>
        <w:pict>
          <v:group style="width:491.2pt;height:46.4pt;mso-position-horizontal-relative:char;mso-position-vertical-relative:line" coordorigin="0,0" coordsize="9824,928">
            <v:rect style="position:absolute;left:477;top:0;width:9346;height:893" filled="true" fillcolor="#000000" stroked="false">
              <v:fill opacity="49152f" type="solid"/>
            </v:rect>
            <v:shape style="position:absolute;left:556;top:192;width:9071;height:617" coordorigin="557,193" coordsize="9071,617" path="m9388,193l557,193,557,810,9388,810,9527,805,9598,771,9624,679,9628,501,9624,323,9598,231,9527,197,9388,193xe" filled="true" fillcolor="#ffffff" stroked="false">
              <v:path arrowok="t"/>
              <v:fill type="solid"/>
            </v:shape>
            <v:shape style="position:absolute;left:556;top:192;width:9071;height:617" coordorigin="557,193" coordsize="9071,617" path="m9628,501l9624,323,9598,231,9527,197,9388,193,557,193,557,810,9388,810,9527,805,9598,771,9624,679,9628,501xe" filled="false" stroked="true" strokeweight=".25pt" strokecolor="#000000">
              <v:path arrowok="t"/>
              <v:stroke dashstyle="solid"/>
            </v:shape>
            <v:rect style="position:absolute;left:10;top:244;width:1256;height:673" filled="true" fillcolor="#ffffff" stroked="false">
              <v:fill type="solid"/>
            </v:rect>
            <v:rect style="position:absolute;left:10;top:244;width:1256;height:673" filled="false" stroked="true" strokeweight="1.0pt" strokecolor="#ffffff">
              <v:stroke dashstyle="solid"/>
            </v:rect>
            <v:shape style="position:absolute;left:559;top:286;width:322;height:351" type="#_x0000_t202" filled="false" stroked="false">
              <v:textbox inset="0,0,0,0">
                <w:txbxContent>
                  <w:p>
                    <w:pPr>
                      <w:spacing w:line="350" w:lineRule="exact" w:before="0"/>
                      <w:ind w:left="0" w:right="0" w:firstLine="0"/>
                      <w:jc w:val="left"/>
                      <w:rPr>
                        <w:b/>
                        <w:sz w:val="29"/>
                      </w:rPr>
                    </w:pPr>
                    <w:r>
                      <w:rPr>
                        <w:b/>
                        <w:spacing w:val="-21"/>
                        <w:w w:val="110"/>
                        <w:sz w:val="29"/>
                      </w:rPr>
                      <w:t>7.</w:t>
                    </w:r>
                  </w:p>
                </w:txbxContent>
              </v:textbox>
              <w10:wrap type="none"/>
            </v:shape>
            <v:shape style="position:absolute;left:1279;top:286;width:5695;height:351" type="#_x0000_t202" filled="false" stroked="false">
              <v:textbox inset="0,0,0,0">
                <w:txbxContent>
                  <w:p>
                    <w:pPr>
                      <w:spacing w:line="350" w:lineRule="exact" w:before="0"/>
                      <w:ind w:left="0" w:right="0" w:firstLine="0"/>
                      <w:jc w:val="left"/>
                      <w:rPr>
                        <w:b/>
                        <w:sz w:val="29"/>
                      </w:rPr>
                    </w:pPr>
                    <w:r>
                      <w:rPr>
                        <w:b/>
                        <w:w w:val="110"/>
                        <w:sz w:val="29"/>
                      </w:rPr>
                      <w:t>WHERE DO WE GO FROM HERE?</w:t>
                    </w:r>
                  </w:p>
                </w:txbxContent>
              </v:textbox>
              <w10:wrap type="none"/>
            </v:shape>
          </v:group>
        </w:pict>
      </w:r>
      <w:r>
        <w:rPr>
          <w:sz w:val="20"/>
        </w:rPr>
      </w:r>
    </w:p>
    <w:p>
      <w:pPr>
        <w:pStyle w:val="BodyText"/>
        <w:spacing w:before="4"/>
        <w:rPr>
          <w:sz w:val="8"/>
        </w:rPr>
      </w:pPr>
    </w:p>
    <w:p>
      <w:pPr>
        <w:spacing w:before="98"/>
        <w:ind w:left="673" w:right="0" w:firstLine="0"/>
        <w:jc w:val="left"/>
        <w:rPr>
          <w:b/>
          <w:sz w:val="29"/>
        </w:rPr>
      </w:pPr>
      <w:r>
        <w:rPr>
          <w:b/>
          <w:w w:val="110"/>
          <w:sz w:val="29"/>
        </w:rPr>
        <w:t>Prayer</w:t>
      </w:r>
    </w:p>
    <w:p>
      <w:pPr>
        <w:pStyle w:val="BodyText"/>
        <w:spacing w:line="273" w:lineRule="auto" w:before="122"/>
        <w:ind w:left="673" w:right="1778"/>
      </w:pPr>
      <w:r>
        <w:rPr>
          <w:w w:val="110"/>
        </w:rPr>
        <w:t>Gracious God, we give thanks for the richness of the discussions we have had. Thank you for opening our eyes to the many issues it has raised, and that as a group we have had the opportunity to share experiences, concerns and to think about issues in a new way.</w:t>
      </w:r>
    </w:p>
    <w:p>
      <w:pPr>
        <w:pStyle w:val="BodyText"/>
        <w:spacing w:line="273" w:lineRule="auto" w:before="2"/>
        <w:ind w:left="673" w:right="1829"/>
      </w:pPr>
      <w:r>
        <w:rPr>
          <w:w w:val="110"/>
        </w:rPr>
        <w:t>We ask that you will help us as we discuss ways forward, help us to focus on the real needs in our church, community, family and amongst our friends. May your Holy Spirit move amongst us as we seek to discern the way forward, as individuals, and as a group or church. May we seek to help others to have peace of mind and feel safe and loved as they face the end of life. Show us how to be your body here on earth. In Jesus’ name, Amen</w:t>
      </w:r>
    </w:p>
    <w:p>
      <w:pPr>
        <w:pStyle w:val="BodyText"/>
        <w:rPr>
          <w:sz w:val="20"/>
        </w:rPr>
      </w:pPr>
    </w:p>
    <w:p>
      <w:pPr>
        <w:pStyle w:val="BodyText"/>
        <w:spacing w:before="7"/>
        <w:rPr>
          <w:sz w:val="19"/>
        </w:rPr>
      </w:pPr>
      <w:r>
        <w:rPr/>
        <w:pict>
          <v:shape style="position:absolute;margin-left:59.638pt;margin-top:15.857277pt;width:452.55pt;height:381.55pt;mso-position-horizontal-relative:page;mso-position-vertical-relative:paragraph;z-index:-251348992;mso-wrap-distance-left:0;mso-wrap-distance-right:0" type="#_x0000_t202" filled="true" fillcolor="#7c7c7c" stroked="true" strokeweight="4pt" strokecolor="#acacac">
            <v:textbox inset="0,0,0,0">
              <w:txbxContent>
                <w:p>
                  <w:pPr>
                    <w:pStyle w:val="BodyText"/>
                    <w:rPr>
                      <w:sz w:val="22"/>
                    </w:rPr>
                  </w:pPr>
                </w:p>
                <w:p>
                  <w:pPr>
                    <w:spacing w:before="136"/>
                    <w:ind w:left="581" w:right="0" w:firstLine="0"/>
                    <w:jc w:val="left"/>
                    <w:rPr>
                      <w:b/>
                      <w:sz w:val="18"/>
                    </w:rPr>
                  </w:pPr>
                  <w:r>
                    <w:rPr>
                      <w:b/>
                      <w:color w:val="FFFFFF"/>
                      <w:w w:val="110"/>
                      <w:sz w:val="18"/>
                    </w:rPr>
                    <w:t>Reflect on your discussions and refer back to your notes. Are there any</w:t>
                  </w:r>
                </w:p>
                <w:p>
                  <w:pPr>
                    <w:spacing w:before="31"/>
                    <w:ind w:left="581" w:right="0" w:firstLine="0"/>
                    <w:jc w:val="left"/>
                    <w:rPr>
                      <w:b/>
                      <w:sz w:val="18"/>
                    </w:rPr>
                  </w:pPr>
                  <w:r>
                    <w:rPr>
                      <w:b/>
                      <w:color w:val="FFFFFF"/>
                      <w:w w:val="110"/>
                      <w:sz w:val="18"/>
                    </w:rPr>
                    <w:t>areas for prayer or change?</w:t>
                  </w:r>
                </w:p>
                <w:p>
                  <w:pPr>
                    <w:pStyle w:val="BodyText"/>
                    <w:spacing w:before="2"/>
                    <w:rPr>
                      <w:b/>
                      <w:sz w:val="23"/>
                    </w:rPr>
                  </w:pPr>
                </w:p>
                <w:p>
                  <w:pPr>
                    <w:spacing w:before="0"/>
                    <w:ind w:left="1341" w:right="0" w:firstLine="0"/>
                    <w:jc w:val="left"/>
                    <w:rPr>
                      <w:b/>
                      <w:sz w:val="18"/>
                    </w:rPr>
                  </w:pPr>
                  <w:r>
                    <w:rPr>
                      <w:b/>
                      <w:color w:val="FFFFFF"/>
                      <w:w w:val="110"/>
                      <w:sz w:val="18"/>
                    </w:rPr>
                    <w:t>as a church</w:t>
                  </w:r>
                </w:p>
                <w:p>
                  <w:pPr>
                    <w:spacing w:line="273" w:lineRule="auto" w:before="31"/>
                    <w:ind w:left="1341" w:right="5322" w:firstLine="0"/>
                    <w:jc w:val="left"/>
                    <w:rPr>
                      <w:b/>
                      <w:sz w:val="18"/>
                    </w:rPr>
                  </w:pPr>
                  <w:r>
                    <w:rPr>
                      <w:b/>
                      <w:color w:val="FFFFFF"/>
                      <w:w w:val="110"/>
                      <w:sz w:val="18"/>
                    </w:rPr>
                    <w:t>as a denomination as a group of people as an</w:t>
                  </w:r>
                  <w:r>
                    <w:rPr>
                      <w:b/>
                      <w:color w:val="FFFFFF"/>
                      <w:spacing w:val="4"/>
                      <w:w w:val="110"/>
                      <w:sz w:val="18"/>
                    </w:rPr>
                    <w:t> </w:t>
                  </w:r>
                  <w:r>
                    <w:rPr>
                      <w:b/>
                      <w:color w:val="FFFFFF"/>
                      <w:w w:val="110"/>
                      <w:sz w:val="18"/>
                    </w:rPr>
                    <w:t>individual</w:t>
                  </w:r>
                </w:p>
                <w:p>
                  <w:pPr>
                    <w:spacing w:line="273" w:lineRule="auto" w:before="2"/>
                    <w:ind w:left="1341" w:right="5132" w:firstLine="0"/>
                    <w:jc w:val="left"/>
                    <w:rPr>
                      <w:b/>
                      <w:sz w:val="18"/>
                    </w:rPr>
                  </w:pPr>
                  <w:r>
                    <w:rPr>
                      <w:b/>
                      <w:color w:val="FFFFFF"/>
                      <w:w w:val="110"/>
                      <w:sz w:val="18"/>
                    </w:rPr>
                    <w:t>as a family ecumenically</w:t>
                  </w:r>
                </w:p>
                <w:p>
                  <w:pPr>
                    <w:spacing w:line="500" w:lineRule="exact" w:before="32"/>
                    <w:ind w:left="1341" w:right="649" w:hanging="760"/>
                    <w:jc w:val="left"/>
                    <w:rPr>
                      <w:b/>
                      <w:sz w:val="18"/>
                    </w:rPr>
                  </w:pPr>
                  <w:r>
                    <w:rPr>
                      <w:b/>
                      <w:color w:val="FFFFFF"/>
                      <w:w w:val="110"/>
                      <w:sz w:val="18"/>
                    </w:rPr>
                    <w:t>Does anything need changing? Attitudes, procedures, level of care? as a church</w:t>
                  </w:r>
                </w:p>
                <w:p>
                  <w:pPr>
                    <w:spacing w:line="188" w:lineRule="exact" w:before="0"/>
                    <w:ind w:left="1341" w:right="0" w:firstLine="0"/>
                    <w:jc w:val="left"/>
                    <w:rPr>
                      <w:b/>
                      <w:sz w:val="18"/>
                    </w:rPr>
                  </w:pPr>
                  <w:r>
                    <w:rPr>
                      <w:b/>
                      <w:color w:val="FFFFFF"/>
                      <w:w w:val="110"/>
                      <w:sz w:val="18"/>
                    </w:rPr>
                    <w:t>as a denomination</w:t>
                  </w:r>
                </w:p>
                <w:p>
                  <w:pPr>
                    <w:spacing w:line="273" w:lineRule="auto" w:before="32"/>
                    <w:ind w:left="1341" w:right="5132" w:firstLine="0"/>
                    <w:jc w:val="left"/>
                    <w:rPr>
                      <w:b/>
                      <w:sz w:val="18"/>
                    </w:rPr>
                  </w:pPr>
                  <w:r>
                    <w:rPr>
                      <w:b/>
                      <w:color w:val="FFFFFF"/>
                      <w:w w:val="110"/>
                      <w:sz w:val="18"/>
                    </w:rPr>
                    <w:t>as a group of people as an individual</w:t>
                  </w:r>
                </w:p>
                <w:p>
                  <w:pPr>
                    <w:spacing w:line="273" w:lineRule="auto" w:before="1"/>
                    <w:ind w:left="1341" w:right="5132" w:firstLine="0"/>
                    <w:jc w:val="left"/>
                    <w:rPr>
                      <w:b/>
                      <w:sz w:val="18"/>
                    </w:rPr>
                  </w:pPr>
                  <w:r>
                    <w:rPr>
                      <w:b/>
                      <w:color w:val="FFFFFF"/>
                      <w:w w:val="110"/>
                      <w:sz w:val="18"/>
                    </w:rPr>
                    <w:t>as a family ecumenically</w:t>
                  </w:r>
                </w:p>
                <w:p>
                  <w:pPr>
                    <w:spacing w:line="500" w:lineRule="exact" w:before="32"/>
                    <w:ind w:left="1341" w:right="1731" w:hanging="760"/>
                    <w:jc w:val="left"/>
                    <w:rPr>
                      <w:b/>
                      <w:sz w:val="18"/>
                    </w:rPr>
                  </w:pPr>
                  <w:r>
                    <w:rPr>
                      <w:b/>
                      <w:color w:val="FFFFFF"/>
                      <w:w w:val="110"/>
                      <w:sz w:val="18"/>
                    </w:rPr>
                    <w:t>What can I/we do? Are there any ideas for the next step? as a church</w:t>
                  </w:r>
                </w:p>
                <w:p>
                  <w:pPr>
                    <w:spacing w:line="188" w:lineRule="exact" w:before="0"/>
                    <w:ind w:left="1341" w:right="0" w:firstLine="0"/>
                    <w:jc w:val="left"/>
                    <w:rPr>
                      <w:b/>
                      <w:sz w:val="18"/>
                    </w:rPr>
                  </w:pPr>
                  <w:r>
                    <w:rPr>
                      <w:b/>
                      <w:color w:val="FFFFFF"/>
                      <w:w w:val="110"/>
                      <w:sz w:val="18"/>
                    </w:rPr>
                    <w:t>as a denomination</w:t>
                  </w:r>
                </w:p>
                <w:p>
                  <w:pPr>
                    <w:spacing w:line="273" w:lineRule="auto" w:before="31"/>
                    <w:ind w:left="1341" w:right="5132" w:firstLine="0"/>
                    <w:jc w:val="left"/>
                    <w:rPr>
                      <w:b/>
                      <w:sz w:val="18"/>
                    </w:rPr>
                  </w:pPr>
                  <w:r>
                    <w:rPr>
                      <w:b/>
                      <w:color w:val="FFFFFF"/>
                      <w:w w:val="110"/>
                      <w:sz w:val="18"/>
                    </w:rPr>
                    <w:t>as a group of people as an individual</w:t>
                  </w:r>
                </w:p>
                <w:p>
                  <w:pPr>
                    <w:spacing w:line="273" w:lineRule="auto" w:before="2"/>
                    <w:ind w:left="1341" w:right="5132" w:firstLine="0"/>
                    <w:jc w:val="left"/>
                    <w:rPr>
                      <w:b/>
                      <w:sz w:val="18"/>
                    </w:rPr>
                  </w:pPr>
                  <w:r>
                    <w:rPr>
                      <w:b/>
                      <w:color w:val="FFFFFF"/>
                      <w:w w:val="110"/>
                      <w:sz w:val="18"/>
                    </w:rPr>
                    <w:t>as a family ecumenically</w:t>
                  </w:r>
                </w:p>
              </w:txbxContent>
            </v:textbox>
            <v:fill type="solid"/>
            <v:stroke dashstyle="solid"/>
            <w10:wrap type="topAndBottom"/>
          </v:shape>
        </w:pict>
      </w:r>
    </w:p>
    <w:p>
      <w:pPr>
        <w:pStyle w:val="BodyText"/>
        <w:rPr>
          <w:sz w:val="20"/>
        </w:rPr>
      </w:pPr>
    </w:p>
    <w:p>
      <w:pPr>
        <w:pStyle w:val="BodyText"/>
        <w:spacing w:before="8"/>
        <w:rPr>
          <w:sz w:val="20"/>
        </w:rPr>
      </w:pPr>
    </w:p>
    <w:p>
      <w:pPr>
        <w:pStyle w:val="BodyText"/>
        <w:spacing w:line="273" w:lineRule="auto"/>
        <w:ind w:left="673" w:right="1910"/>
      </w:pPr>
      <w:r>
        <w:rPr>
          <w:w w:val="110"/>
        </w:rPr>
        <w:t>We live in a </w:t>
      </w:r>
      <w:r>
        <w:rPr>
          <w:spacing w:val="2"/>
          <w:w w:val="110"/>
        </w:rPr>
        <w:t>secular culture </w:t>
      </w:r>
      <w:r>
        <w:rPr>
          <w:spacing w:val="3"/>
          <w:w w:val="110"/>
        </w:rPr>
        <w:t>where </w:t>
      </w:r>
      <w:r>
        <w:rPr>
          <w:w w:val="110"/>
        </w:rPr>
        <w:t>many </w:t>
      </w:r>
      <w:r>
        <w:rPr>
          <w:spacing w:val="2"/>
          <w:w w:val="110"/>
        </w:rPr>
        <w:t>are afraid </w:t>
      </w:r>
      <w:r>
        <w:rPr>
          <w:w w:val="110"/>
        </w:rPr>
        <w:t>to </w:t>
      </w:r>
      <w:r>
        <w:rPr>
          <w:spacing w:val="2"/>
          <w:w w:val="110"/>
        </w:rPr>
        <w:t>talk </w:t>
      </w:r>
      <w:r>
        <w:rPr>
          <w:w w:val="110"/>
        </w:rPr>
        <w:t>of death. It is </w:t>
      </w:r>
      <w:r>
        <w:rPr>
          <w:spacing w:val="4"/>
          <w:w w:val="110"/>
        </w:rPr>
        <w:t>often </w:t>
      </w:r>
      <w:r>
        <w:rPr>
          <w:spacing w:val="2"/>
          <w:w w:val="110"/>
        </w:rPr>
        <w:t>remarked </w:t>
      </w:r>
      <w:r>
        <w:rPr>
          <w:w w:val="110"/>
        </w:rPr>
        <w:t>that, while </w:t>
      </w:r>
      <w:r>
        <w:rPr>
          <w:spacing w:val="2"/>
          <w:w w:val="110"/>
        </w:rPr>
        <w:t>the </w:t>
      </w:r>
      <w:r>
        <w:rPr>
          <w:spacing w:val="3"/>
          <w:w w:val="110"/>
        </w:rPr>
        <w:t>Victorians </w:t>
      </w:r>
      <w:r>
        <w:rPr>
          <w:spacing w:val="2"/>
          <w:w w:val="110"/>
        </w:rPr>
        <w:t>were </w:t>
      </w:r>
      <w:r>
        <w:rPr>
          <w:w w:val="110"/>
        </w:rPr>
        <w:t>shy of </w:t>
      </w:r>
      <w:r>
        <w:rPr>
          <w:spacing w:val="2"/>
          <w:w w:val="110"/>
        </w:rPr>
        <w:t>talking about </w:t>
      </w:r>
      <w:r>
        <w:rPr>
          <w:spacing w:val="3"/>
          <w:w w:val="110"/>
        </w:rPr>
        <w:t>sex </w:t>
      </w:r>
      <w:r>
        <w:rPr>
          <w:w w:val="110"/>
        </w:rPr>
        <w:t>but always </w:t>
      </w:r>
      <w:r>
        <w:rPr>
          <w:spacing w:val="3"/>
          <w:w w:val="110"/>
        </w:rPr>
        <w:t>ready    </w:t>
      </w:r>
      <w:r>
        <w:rPr>
          <w:w w:val="110"/>
        </w:rPr>
        <w:t>to </w:t>
      </w:r>
      <w:r>
        <w:rPr>
          <w:spacing w:val="2"/>
          <w:w w:val="110"/>
        </w:rPr>
        <w:t>speak </w:t>
      </w:r>
      <w:r>
        <w:rPr>
          <w:w w:val="110"/>
        </w:rPr>
        <w:t>of death, we have </w:t>
      </w:r>
      <w:r>
        <w:rPr>
          <w:spacing w:val="2"/>
          <w:w w:val="110"/>
        </w:rPr>
        <w:t>the </w:t>
      </w:r>
      <w:r>
        <w:rPr>
          <w:spacing w:val="3"/>
          <w:w w:val="110"/>
        </w:rPr>
        <w:t>opposite </w:t>
      </w:r>
      <w:r>
        <w:rPr>
          <w:w w:val="110"/>
        </w:rPr>
        <w:t>tendency. </w:t>
      </w:r>
      <w:r>
        <w:rPr>
          <w:spacing w:val="2"/>
          <w:w w:val="110"/>
        </w:rPr>
        <w:t>But </w:t>
      </w:r>
      <w:r>
        <w:rPr>
          <w:w w:val="110"/>
        </w:rPr>
        <w:t>within our </w:t>
      </w:r>
      <w:r>
        <w:rPr>
          <w:spacing w:val="3"/>
          <w:w w:val="110"/>
        </w:rPr>
        <w:t>Christian </w:t>
      </w:r>
      <w:r>
        <w:rPr>
          <w:spacing w:val="2"/>
          <w:w w:val="110"/>
        </w:rPr>
        <w:t>faith    </w:t>
      </w:r>
      <w:r>
        <w:rPr>
          <w:spacing w:val="3"/>
          <w:w w:val="110"/>
        </w:rPr>
        <w:t>there </w:t>
      </w:r>
      <w:r>
        <w:rPr>
          <w:w w:val="110"/>
        </w:rPr>
        <w:t>is </w:t>
      </w:r>
      <w:r>
        <w:rPr>
          <w:spacing w:val="3"/>
          <w:w w:val="110"/>
        </w:rPr>
        <w:t>plenty </w:t>
      </w:r>
      <w:r>
        <w:rPr>
          <w:w w:val="110"/>
        </w:rPr>
        <w:t>of </w:t>
      </w:r>
      <w:r>
        <w:rPr>
          <w:spacing w:val="3"/>
          <w:w w:val="110"/>
        </w:rPr>
        <w:t>space </w:t>
      </w:r>
      <w:r>
        <w:rPr>
          <w:spacing w:val="2"/>
          <w:w w:val="110"/>
        </w:rPr>
        <w:t>for talk </w:t>
      </w:r>
      <w:r>
        <w:rPr>
          <w:w w:val="110"/>
        </w:rPr>
        <w:t>of death. For </w:t>
      </w:r>
      <w:r>
        <w:rPr>
          <w:spacing w:val="2"/>
          <w:w w:val="110"/>
        </w:rPr>
        <w:t>some </w:t>
      </w:r>
      <w:r>
        <w:rPr>
          <w:w w:val="110"/>
        </w:rPr>
        <w:t>who </w:t>
      </w:r>
      <w:r>
        <w:rPr>
          <w:spacing w:val="2"/>
          <w:w w:val="110"/>
        </w:rPr>
        <w:t>are </w:t>
      </w:r>
      <w:r>
        <w:rPr>
          <w:w w:val="110"/>
        </w:rPr>
        <w:t>dying or </w:t>
      </w:r>
      <w:r>
        <w:rPr>
          <w:spacing w:val="2"/>
          <w:w w:val="110"/>
        </w:rPr>
        <w:t>facing the death</w:t>
      </w:r>
      <w:r>
        <w:rPr>
          <w:spacing w:val="73"/>
          <w:w w:val="110"/>
        </w:rPr>
        <w:t> </w:t>
      </w:r>
      <w:r>
        <w:rPr>
          <w:w w:val="110"/>
        </w:rPr>
        <w:t>of</w:t>
      </w:r>
      <w:r>
        <w:rPr>
          <w:spacing w:val="10"/>
          <w:w w:val="110"/>
        </w:rPr>
        <w:t> </w:t>
      </w:r>
      <w:r>
        <w:rPr>
          <w:spacing w:val="3"/>
          <w:w w:val="110"/>
        </w:rPr>
        <w:t>someone</w:t>
      </w:r>
      <w:r>
        <w:rPr>
          <w:spacing w:val="11"/>
          <w:w w:val="110"/>
        </w:rPr>
        <w:t> </w:t>
      </w:r>
      <w:r>
        <w:rPr>
          <w:w w:val="110"/>
        </w:rPr>
        <w:t>they</w:t>
      </w:r>
      <w:r>
        <w:rPr>
          <w:spacing w:val="10"/>
          <w:w w:val="110"/>
        </w:rPr>
        <w:t> </w:t>
      </w:r>
      <w:r>
        <w:rPr>
          <w:w w:val="110"/>
        </w:rPr>
        <w:t>love,</w:t>
      </w:r>
      <w:r>
        <w:rPr>
          <w:spacing w:val="11"/>
          <w:w w:val="110"/>
        </w:rPr>
        <w:t> </w:t>
      </w:r>
      <w:r>
        <w:rPr>
          <w:spacing w:val="2"/>
          <w:w w:val="110"/>
        </w:rPr>
        <w:t>the</w:t>
      </w:r>
      <w:r>
        <w:rPr>
          <w:spacing w:val="11"/>
          <w:w w:val="110"/>
        </w:rPr>
        <w:t> </w:t>
      </w:r>
      <w:r>
        <w:rPr>
          <w:spacing w:val="3"/>
          <w:w w:val="110"/>
        </w:rPr>
        <w:t>Church</w:t>
      </w:r>
      <w:r>
        <w:rPr>
          <w:spacing w:val="10"/>
          <w:w w:val="110"/>
        </w:rPr>
        <w:t> </w:t>
      </w:r>
      <w:r>
        <w:rPr>
          <w:w w:val="110"/>
        </w:rPr>
        <w:t>is</w:t>
      </w:r>
      <w:r>
        <w:rPr>
          <w:spacing w:val="11"/>
          <w:w w:val="110"/>
        </w:rPr>
        <w:t> </w:t>
      </w:r>
      <w:r>
        <w:rPr>
          <w:w w:val="110"/>
        </w:rPr>
        <w:t>a</w:t>
      </w:r>
      <w:r>
        <w:rPr>
          <w:spacing w:val="11"/>
          <w:w w:val="110"/>
        </w:rPr>
        <w:t> </w:t>
      </w:r>
      <w:r>
        <w:rPr>
          <w:spacing w:val="2"/>
          <w:w w:val="110"/>
        </w:rPr>
        <w:t>place</w:t>
      </w:r>
      <w:r>
        <w:rPr>
          <w:spacing w:val="9"/>
          <w:w w:val="110"/>
        </w:rPr>
        <w:t> </w:t>
      </w:r>
      <w:r>
        <w:rPr>
          <w:spacing w:val="3"/>
          <w:w w:val="110"/>
        </w:rPr>
        <w:t>where</w:t>
      </w:r>
      <w:r>
        <w:rPr>
          <w:spacing w:val="10"/>
          <w:w w:val="110"/>
        </w:rPr>
        <w:t> </w:t>
      </w:r>
      <w:r>
        <w:rPr>
          <w:w w:val="110"/>
        </w:rPr>
        <w:t>this</w:t>
      </w:r>
      <w:r>
        <w:rPr>
          <w:spacing w:val="10"/>
          <w:w w:val="110"/>
        </w:rPr>
        <w:t> </w:t>
      </w:r>
      <w:r>
        <w:rPr>
          <w:spacing w:val="2"/>
          <w:w w:val="110"/>
        </w:rPr>
        <w:t>cultural</w:t>
      </w:r>
      <w:r>
        <w:rPr>
          <w:spacing w:val="11"/>
          <w:w w:val="110"/>
        </w:rPr>
        <w:t> </w:t>
      </w:r>
      <w:r>
        <w:rPr>
          <w:spacing w:val="3"/>
          <w:w w:val="110"/>
        </w:rPr>
        <w:t>taboo</w:t>
      </w:r>
      <w:r>
        <w:rPr>
          <w:spacing w:val="11"/>
          <w:w w:val="110"/>
        </w:rPr>
        <w:t> </w:t>
      </w:r>
      <w:r>
        <w:rPr>
          <w:w w:val="110"/>
        </w:rPr>
        <w:t>is</w:t>
      </w:r>
      <w:r>
        <w:rPr>
          <w:spacing w:val="10"/>
          <w:w w:val="110"/>
        </w:rPr>
        <w:t> </w:t>
      </w:r>
      <w:r>
        <w:rPr>
          <w:spacing w:val="3"/>
          <w:w w:val="110"/>
        </w:rPr>
        <w:t>lifted</w:t>
      </w:r>
      <w:r>
        <w:rPr>
          <w:spacing w:val="11"/>
          <w:w w:val="110"/>
        </w:rPr>
        <w:t> </w:t>
      </w:r>
      <w:r>
        <w:rPr>
          <w:w w:val="110"/>
        </w:rPr>
        <w:t>and</w:t>
      </w:r>
    </w:p>
    <w:p>
      <w:pPr>
        <w:pStyle w:val="BodyText"/>
        <w:spacing w:line="273" w:lineRule="auto" w:before="3"/>
        <w:ind w:left="673" w:right="1593"/>
      </w:pPr>
      <w:r>
        <w:rPr>
          <w:spacing w:val="2"/>
          <w:w w:val="110"/>
        </w:rPr>
        <w:t>where, </w:t>
      </w:r>
      <w:r>
        <w:rPr>
          <w:w w:val="110"/>
        </w:rPr>
        <w:t>with relief, </w:t>
      </w:r>
      <w:r>
        <w:rPr>
          <w:spacing w:val="2"/>
          <w:w w:val="110"/>
        </w:rPr>
        <w:t>death </w:t>
      </w:r>
      <w:r>
        <w:rPr>
          <w:spacing w:val="3"/>
          <w:w w:val="110"/>
        </w:rPr>
        <w:t>can </w:t>
      </w:r>
      <w:r>
        <w:rPr>
          <w:spacing w:val="2"/>
          <w:w w:val="110"/>
        </w:rPr>
        <w:t>be spoken </w:t>
      </w:r>
      <w:r>
        <w:rPr>
          <w:w w:val="110"/>
        </w:rPr>
        <w:t>of. We say </w:t>
      </w:r>
      <w:r>
        <w:rPr>
          <w:spacing w:val="2"/>
          <w:w w:val="110"/>
        </w:rPr>
        <w:t>much about the death </w:t>
      </w:r>
      <w:r>
        <w:rPr>
          <w:w w:val="110"/>
        </w:rPr>
        <w:t>of </w:t>
      </w:r>
      <w:r>
        <w:rPr>
          <w:spacing w:val="3"/>
          <w:w w:val="110"/>
        </w:rPr>
        <w:t>Jesus </w:t>
      </w:r>
      <w:r>
        <w:rPr>
          <w:w w:val="110"/>
        </w:rPr>
        <w:t>and </w:t>
      </w:r>
      <w:r>
        <w:rPr>
          <w:spacing w:val="2"/>
          <w:w w:val="110"/>
        </w:rPr>
        <w:t>about </w:t>
      </w:r>
      <w:r>
        <w:rPr>
          <w:w w:val="110"/>
        </w:rPr>
        <w:t>what we believe his </w:t>
      </w:r>
      <w:r>
        <w:rPr>
          <w:spacing w:val="2"/>
          <w:w w:val="110"/>
        </w:rPr>
        <w:t>death means for </w:t>
      </w:r>
      <w:r>
        <w:rPr>
          <w:w w:val="110"/>
        </w:rPr>
        <w:t>us within </w:t>
      </w:r>
      <w:r>
        <w:rPr>
          <w:spacing w:val="2"/>
          <w:w w:val="110"/>
        </w:rPr>
        <w:t>God’s </w:t>
      </w:r>
      <w:r>
        <w:rPr>
          <w:w w:val="110"/>
        </w:rPr>
        <w:t>love – </w:t>
      </w:r>
      <w:r>
        <w:rPr>
          <w:spacing w:val="2"/>
          <w:w w:val="110"/>
        </w:rPr>
        <w:t>the salvation </w:t>
      </w:r>
      <w:r>
        <w:rPr>
          <w:w w:val="110"/>
        </w:rPr>
        <w:t>of </w:t>
      </w:r>
      <w:r>
        <w:rPr>
          <w:spacing w:val="2"/>
          <w:w w:val="110"/>
        </w:rPr>
        <w:t>the</w:t>
      </w:r>
      <w:r>
        <w:rPr>
          <w:spacing w:val="73"/>
          <w:w w:val="110"/>
        </w:rPr>
        <w:t> </w:t>
      </w:r>
      <w:r>
        <w:rPr>
          <w:w w:val="110"/>
        </w:rPr>
        <w:t>world, </w:t>
      </w:r>
      <w:r>
        <w:rPr>
          <w:spacing w:val="2"/>
          <w:w w:val="110"/>
        </w:rPr>
        <w:t>the </w:t>
      </w:r>
      <w:r>
        <w:rPr>
          <w:spacing w:val="3"/>
          <w:w w:val="110"/>
        </w:rPr>
        <w:t>forgiveness </w:t>
      </w:r>
      <w:r>
        <w:rPr>
          <w:w w:val="110"/>
        </w:rPr>
        <w:t>of sins, and </w:t>
      </w:r>
      <w:r>
        <w:rPr>
          <w:spacing w:val="2"/>
          <w:w w:val="110"/>
        </w:rPr>
        <w:t>the defeat </w:t>
      </w:r>
      <w:r>
        <w:rPr>
          <w:w w:val="110"/>
        </w:rPr>
        <w:t>of </w:t>
      </w:r>
      <w:r>
        <w:rPr>
          <w:spacing w:val="2"/>
          <w:w w:val="110"/>
        </w:rPr>
        <w:t>death </w:t>
      </w:r>
      <w:r>
        <w:rPr>
          <w:w w:val="110"/>
        </w:rPr>
        <w:t>itself. We </w:t>
      </w:r>
      <w:r>
        <w:rPr>
          <w:spacing w:val="2"/>
          <w:w w:val="110"/>
        </w:rPr>
        <w:t>also speak about the</w:t>
      </w:r>
    </w:p>
    <w:p>
      <w:pPr>
        <w:spacing w:after="0" w:line="273" w:lineRule="auto"/>
        <w:sectPr>
          <w:pgSz w:w="11910" w:h="16840"/>
          <w:pgMar w:header="558" w:footer="564" w:top="820" w:bottom="760" w:left="460" w:right="0"/>
        </w:sectPr>
      </w:pPr>
    </w:p>
    <w:p>
      <w:pPr>
        <w:pStyle w:val="BodyText"/>
        <w:spacing w:before="9"/>
        <w:rPr>
          <w:sz w:val="13"/>
        </w:rPr>
      </w:pPr>
    </w:p>
    <w:p>
      <w:pPr>
        <w:pStyle w:val="BodyText"/>
        <w:spacing w:line="273" w:lineRule="auto" w:before="101"/>
        <w:ind w:left="1368" w:right="1676"/>
        <w:jc w:val="both"/>
      </w:pPr>
      <w:r>
        <w:rPr>
          <w:w w:val="110"/>
        </w:rPr>
        <w:t>meaning of our own </w:t>
      </w:r>
      <w:r>
        <w:rPr>
          <w:spacing w:val="2"/>
          <w:w w:val="110"/>
        </w:rPr>
        <w:t>death </w:t>
      </w:r>
      <w:r>
        <w:rPr>
          <w:w w:val="110"/>
        </w:rPr>
        <w:t>and of </w:t>
      </w:r>
      <w:r>
        <w:rPr>
          <w:spacing w:val="2"/>
          <w:w w:val="110"/>
        </w:rPr>
        <w:t>the </w:t>
      </w:r>
      <w:r>
        <w:rPr>
          <w:spacing w:val="3"/>
          <w:w w:val="110"/>
        </w:rPr>
        <w:t>promise </w:t>
      </w:r>
      <w:r>
        <w:rPr>
          <w:w w:val="110"/>
        </w:rPr>
        <w:t>of </w:t>
      </w:r>
      <w:r>
        <w:rPr>
          <w:spacing w:val="3"/>
          <w:w w:val="110"/>
        </w:rPr>
        <w:t>eternal </w:t>
      </w:r>
      <w:r>
        <w:rPr>
          <w:w w:val="110"/>
        </w:rPr>
        <w:t>life, </w:t>
      </w:r>
      <w:r>
        <w:rPr>
          <w:spacing w:val="3"/>
          <w:w w:val="110"/>
        </w:rPr>
        <w:t>sometimes </w:t>
      </w:r>
      <w:r>
        <w:rPr>
          <w:w w:val="110"/>
        </w:rPr>
        <w:t>in </w:t>
      </w:r>
      <w:r>
        <w:rPr>
          <w:spacing w:val="3"/>
          <w:w w:val="110"/>
        </w:rPr>
        <w:t>terms </w:t>
      </w:r>
      <w:r>
        <w:rPr>
          <w:w w:val="110"/>
        </w:rPr>
        <w:t>of </w:t>
      </w:r>
      <w:r>
        <w:rPr>
          <w:spacing w:val="2"/>
          <w:w w:val="110"/>
        </w:rPr>
        <w:t>immortality, </w:t>
      </w:r>
      <w:r>
        <w:rPr>
          <w:w w:val="110"/>
        </w:rPr>
        <w:t>but </w:t>
      </w:r>
      <w:r>
        <w:rPr>
          <w:spacing w:val="2"/>
          <w:w w:val="110"/>
        </w:rPr>
        <w:t>predominantly </w:t>
      </w:r>
      <w:r>
        <w:rPr>
          <w:w w:val="110"/>
        </w:rPr>
        <w:t>in </w:t>
      </w:r>
      <w:r>
        <w:rPr>
          <w:spacing w:val="3"/>
          <w:w w:val="110"/>
        </w:rPr>
        <w:t>terms </w:t>
      </w:r>
      <w:r>
        <w:rPr>
          <w:w w:val="110"/>
        </w:rPr>
        <w:t>of </w:t>
      </w:r>
      <w:r>
        <w:rPr>
          <w:spacing w:val="3"/>
          <w:w w:val="110"/>
        </w:rPr>
        <w:t>resurrection. </w:t>
      </w:r>
      <w:r>
        <w:rPr>
          <w:spacing w:val="4"/>
          <w:w w:val="110"/>
        </w:rPr>
        <w:t>As </w:t>
      </w:r>
      <w:r>
        <w:rPr>
          <w:spacing w:val="3"/>
          <w:w w:val="110"/>
        </w:rPr>
        <w:t>Christian </w:t>
      </w:r>
      <w:r>
        <w:rPr>
          <w:spacing w:val="2"/>
          <w:w w:val="110"/>
        </w:rPr>
        <w:t>people, </w:t>
      </w:r>
      <w:r>
        <w:rPr>
          <w:w w:val="110"/>
        </w:rPr>
        <w:t>we</w:t>
      </w:r>
      <w:r>
        <w:rPr>
          <w:spacing w:val="11"/>
          <w:w w:val="110"/>
        </w:rPr>
        <w:t> </w:t>
      </w:r>
      <w:r>
        <w:rPr>
          <w:spacing w:val="2"/>
          <w:w w:val="110"/>
        </w:rPr>
        <w:t>also</w:t>
      </w:r>
      <w:r>
        <w:rPr>
          <w:spacing w:val="11"/>
          <w:w w:val="110"/>
        </w:rPr>
        <w:t> </w:t>
      </w:r>
      <w:r>
        <w:rPr>
          <w:w w:val="110"/>
        </w:rPr>
        <w:t>say</w:t>
      </w:r>
      <w:r>
        <w:rPr>
          <w:spacing w:val="12"/>
          <w:w w:val="110"/>
        </w:rPr>
        <w:t> </w:t>
      </w:r>
      <w:r>
        <w:rPr>
          <w:w w:val="110"/>
        </w:rPr>
        <w:t>a</w:t>
      </w:r>
      <w:r>
        <w:rPr>
          <w:spacing w:val="12"/>
          <w:w w:val="110"/>
        </w:rPr>
        <w:t> </w:t>
      </w:r>
      <w:r>
        <w:rPr>
          <w:spacing w:val="3"/>
          <w:w w:val="110"/>
        </w:rPr>
        <w:t>good</w:t>
      </w:r>
      <w:r>
        <w:rPr>
          <w:spacing w:val="11"/>
          <w:w w:val="110"/>
        </w:rPr>
        <w:t> </w:t>
      </w:r>
      <w:r>
        <w:rPr>
          <w:spacing w:val="2"/>
          <w:w w:val="110"/>
        </w:rPr>
        <w:t>deal</w:t>
      </w:r>
      <w:r>
        <w:rPr>
          <w:spacing w:val="11"/>
          <w:w w:val="110"/>
        </w:rPr>
        <w:t> </w:t>
      </w:r>
      <w:r>
        <w:rPr>
          <w:spacing w:val="2"/>
          <w:w w:val="110"/>
        </w:rPr>
        <w:t>about</w:t>
      </w:r>
      <w:r>
        <w:rPr>
          <w:spacing w:val="11"/>
          <w:w w:val="110"/>
        </w:rPr>
        <w:t> </w:t>
      </w:r>
      <w:r>
        <w:rPr>
          <w:spacing w:val="2"/>
          <w:w w:val="110"/>
        </w:rPr>
        <w:t>the</w:t>
      </w:r>
      <w:r>
        <w:rPr>
          <w:spacing w:val="12"/>
          <w:w w:val="110"/>
        </w:rPr>
        <w:t> </w:t>
      </w:r>
      <w:r>
        <w:rPr>
          <w:w w:val="110"/>
        </w:rPr>
        <w:t>meaning</w:t>
      </w:r>
      <w:r>
        <w:rPr>
          <w:spacing w:val="12"/>
          <w:w w:val="110"/>
        </w:rPr>
        <w:t> </w:t>
      </w:r>
      <w:r>
        <w:rPr>
          <w:w w:val="110"/>
        </w:rPr>
        <w:t>of</w:t>
      </w:r>
      <w:r>
        <w:rPr>
          <w:spacing w:val="12"/>
          <w:w w:val="110"/>
        </w:rPr>
        <w:t> </w:t>
      </w:r>
      <w:r>
        <w:rPr>
          <w:w w:val="110"/>
        </w:rPr>
        <w:t>life,</w:t>
      </w:r>
      <w:r>
        <w:rPr>
          <w:spacing w:val="12"/>
          <w:w w:val="110"/>
        </w:rPr>
        <w:t> </w:t>
      </w:r>
      <w:r>
        <w:rPr>
          <w:spacing w:val="2"/>
          <w:w w:val="110"/>
        </w:rPr>
        <w:t>about</w:t>
      </w:r>
      <w:r>
        <w:rPr>
          <w:spacing w:val="11"/>
          <w:w w:val="110"/>
        </w:rPr>
        <w:t> </w:t>
      </w:r>
      <w:r>
        <w:rPr>
          <w:spacing w:val="3"/>
          <w:w w:val="110"/>
        </w:rPr>
        <w:t>its</w:t>
      </w:r>
      <w:r>
        <w:rPr>
          <w:spacing w:val="12"/>
          <w:w w:val="110"/>
        </w:rPr>
        <w:t> </w:t>
      </w:r>
      <w:r>
        <w:rPr>
          <w:spacing w:val="4"/>
          <w:w w:val="110"/>
        </w:rPr>
        <w:t>sanctity</w:t>
      </w:r>
      <w:r>
        <w:rPr>
          <w:spacing w:val="12"/>
          <w:w w:val="110"/>
        </w:rPr>
        <w:t> </w:t>
      </w:r>
      <w:r>
        <w:rPr>
          <w:w w:val="110"/>
        </w:rPr>
        <w:t>and</w:t>
      </w:r>
      <w:r>
        <w:rPr>
          <w:spacing w:val="11"/>
          <w:w w:val="110"/>
        </w:rPr>
        <w:t> </w:t>
      </w:r>
      <w:r>
        <w:rPr>
          <w:w w:val="110"/>
        </w:rPr>
        <w:t>dignity,</w:t>
      </w:r>
    </w:p>
    <w:p>
      <w:pPr>
        <w:pStyle w:val="BodyText"/>
        <w:spacing w:line="273" w:lineRule="auto" w:before="1"/>
        <w:ind w:left="1368" w:right="1214"/>
      </w:pPr>
      <w:r>
        <w:rPr>
          <w:w w:val="110"/>
        </w:rPr>
        <w:t>of how life </w:t>
      </w:r>
      <w:r>
        <w:rPr>
          <w:spacing w:val="3"/>
          <w:w w:val="110"/>
        </w:rPr>
        <w:t>itself </w:t>
      </w:r>
      <w:r>
        <w:rPr>
          <w:w w:val="110"/>
        </w:rPr>
        <w:t>is a </w:t>
      </w:r>
      <w:r>
        <w:rPr>
          <w:spacing w:val="3"/>
          <w:w w:val="110"/>
        </w:rPr>
        <w:t>gift from God </w:t>
      </w:r>
      <w:r>
        <w:rPr>
          <w:w w:val="110"/>
        </w:rPr>
        <w:t>and of how human </w:t>
      </w:r>
      <w:r>
        <w:rPr>
          <w:spacing w:val="2"/>
          <w:w w:val="110"/>
        </w:rPr>
        <w:t>beings are </w:t>
      </w:r>
      <w:r>
        <w:rPr>
          <w:w w:val="110"/>
        </w:rPr>
        <w:t>made in </w:t>
      </w:r>
      <w:r>
        <w:rPr>
          <w:spacing w:val="2"/>
          <w:w w:val="110"/>
        </w:rPr>
        <w:t>the </w:t>
      </w:r>
      <w:r>
        <w:rPr>
          <w:w w:val="110"/>
        </w:rPr>
        <w:t>image    of </w:t>
      </w:r>
      <w:r>
        <w:rPr>
          <w:spacing w:val="2"/>
          <w:w w:val="110"/>
        </w:rPr>
        <w:t>God. </w:t>
      </w:r>
      <w:r>
        <w:rPr>
          <w:w w:val="110"/>
        </w:rPr>
        <w:t>We have </w:t>
      </w:r>
      <w:r>
        <w:rPr>
          <w:spacing w:val="2"/>
          <w:w w:val="110"/>
        </w:rPr>
        <w:t>begun </w:t>
      </w:r>
      <w:r>
        <w:rPr>
          <w:w w:val="110"/>
        </w:rPr>
        <w:t>to </w:t>
      </w:r>
      <w:r>
        <w:rPr>
          <w:spacing w:val="2"/>
          <w:w w:val="110"/>
        </w:rPr>
        <w:t>talk </w:t>
      </w:r>
      <w:r>
        <w:rPr>
          <w:w w:val="110"/>
        </w:rPr>
        <w:t>again </w:t>
      </w:r>
      <w:r>
        <w:rPr>
          <w:spacing w:val="2"/>
          <w:w w:val="110"/>
        </w:rPr>
        <w:t>about </w:t>
      </w:r>
      <w:r>
        <w:rPr>
          <w:w w:val="110"/>
        </w:rPr>
        <w:t>what it </w:t>
      </w:r>
      <w:r>
        <w:rPr>
          <w:spacing w:val="2"/>
          <w:w w:val="110"/>
        </w:rPr>
        <w:t>means </w:t>
      </w:r>
      <w:r>
        <w:rPr>
          <w:w w:val="110"/>
        </w:rPr>
        <w:t>to have a </w:t>
      </w:r>
      <w:r>
        <w:rPr>
          <w:spacing w:val="2"/>
          <w:w w:val="110"/>
        </w:rPr>
        <w:t>‘soul’ (perhaps </w:t>
      </w:r>
      <w:r>
        <w:rPr>
          <w:w w:val="110"/>
        </w:rPr>
        <w:t>in </w:t>
      </w:r>
      <w:r>
        <w:rPr>
          <w:spacing w:val="3"/>
          <w:w w:val="110"/>
        </w:rPr>
        <w:t>response </w:t>
      </w:r>
      <w:r>
        <w:rPr>
          <w:w w:val="110"/>
        </w:rPr>
        <w:t>to a </w:t>
      </w:r>
      <w:r>
        <w:rPr>
          <w:spacing w:val="2"/>
          <w:w w:val="110"/>
        </w:rPr>
        <w:t>secular culture which mourns the </w:t>
      </w:r>
      <w:r>
        <w:rPr>
          <w:spacing w:val="3"/>
          <w:w w:val="110"/>
        </w:rPr>
        <w:t>loss </w:t>
      </w:r>
      <w:r>
        <w:rPr>
          <w:w w:val="110"/>
        </w:rPr>
        <w:t>of </w:t>
      </w:r>
      <w:r>
        <w:rPr>
          <w:spacing w:val="3"/>
          <w:w w:val="110"/>
        </w:rPr>
        <w:t>its </w:t>
      </w:r>
      <w:r>
        <w:rPr>
          <w:spacing w:val="2"/>
          <w:w w:val="110"/>
        </w:rPr>
        <w:t>‘soul’). </w:t>
      </w:r>
      <w:r>
        <w:rPr>
          <w:spacing w:val="3"/>
          <w:w w:val="110"/>
        </w:rPr>
        <w:t>Christian theology   </w:t>
      </w:r>
      <w:r>
        <w:rPr>
          <w:w w:val="110"/>
        </w:rPr>
        <w:t>is </w:t>
      </w:r>
      <w:r>
        <w:rPr>
          <w:spacing w:val="3"/>
          <w:w w:val="110"/>
        </w:rPr>
        <w:t>rich </w:t>
      </w:r>
      <w:r>
        <w:rPr>
          <w:w w:val="110"/>
        </w:rPr>
        <w:t>in </w:t>
      </w:r>
      <w:r>
        <w:rPr>
          <w:spacing w:val="2"/>
          <w:w w:val="110"/>
        </w:rPr>
        <w:t>the language </w:t>
      </w:r>
      <w:r>
        <w:rPr>
          <w:w w:val="110"/>
        </w:rPr>
        <w:t>of life and </w:t>
      </w:r>
      <w:r>
        <w:rPr>
          <w:spacing w:val="2"/>
          <w:w w:val="110"/>
        </w:rPr>
        <w:t>death </w:t>
      </w:r>
      <w:r>
        <w:rPr>
          <w:w w:val="110"/>
        </w:rPr>
        <w:t>of </w:t>
      </w:r>
      <w:r>
        <w:rPr>
          <w:spacing w:val="3"/>
          <w:w w:val="110"/>
        </w:rPr>
        <w:t>its</w:t>
      </w:r>
      <w:r>
        <w:rPr>
          <w:spacing w:val="54"/>
          <w:w w:val="110"/>
        </w:rPr>
        <w:t> </w:t>
      </w:r>
      <w:r>
        <w:rPr>
          <w:w w:val="110"/>
        </w:rPr>
        <w:t>meaning.</w:t>
      </w:r>
    </w:p>
    <w:p>
      <w:pPr>
        <w:pStyle w:val="BodyText"/>
        <w:spacing w:before="10"/>
        <w:rPr>
          <w:sz w:val="20"/>
        </w:rPr>
      </w:pPr>
    </w:p>
    <w:p>
      <w:pPr>
        <w:pStyle w:val="BodyText"/>
        <w:spacing w:line="273" w:lineRule="auto"/>
        <w:ind w:left="1368" w:right="1613"/>
      </w:pPr>
      <w:r>
        <w:rPr>
          <w:w w:val="110"/>
        </w:rPr>
        <w:t>At </w:t>
      </w:r>
      <w:r>
        <w:rPr>
          <w:spacing w:val="2"/>
          <w:w w:val="110"/>
        </w:rPr>
        <w:t>the same </w:t>
      </w:r>
      <w:r>
        <w:rPr>
          <w:w w:val="110"/>
        </w:rPr>
        <w:t>time </w:t>
      </w:r>
      <w:r>
        <w:rPr>
          <w:spacing w:val="3"/>
          <w:w w:val="110"/>
        </w:rPr>
        <w:t>Christian </w:t>
      </w:r>
      <w:r>
        <w:rPr>
          <w:spacing w:val="2"/>
          <w:w w:val="110"/>
        </w:rPr>
        <w:t>people, along </w:t>
      </w:r>
      <w:r>
        <w:rPr>
          <w:w w:val="110"/>
        </w:rPr>
        <w:t>with </w:t>
      </w:r>
      <w:r>
        <w:rPr>
          <w:spacing w:val="3"/>
          <w:w w:val="110"/>
        </w:rPr>
        <w:t>others, </w:t>
      </w:r>
      <w:r>
        <w:rPr>
          <w:w w:val="110"/>
        </w:rPr>
        <w:t>have </w:t>
      </w:r>
      <w:r>
        <w:rPr>
          <w:spacing w:val="3"/>
          <w:w w:val="110"/>
        </w:rPr>
        <w:t>been wrestling </w:t>
      </w:r>
      <w:r>
        <w:rPr>
          <w:w w:val="110"/>
        </w:rPr>
        <w:t>with </w:t>
      </w:r>
      <w:r>
        <w:rPr>
          <w:spacing w:val="2"/>
          <w:w w:val="110"/>
        </w:rPr>
        <w:t>the</w:t>
      </w:r>
      <w:r>
        <w:rPr>
          <w:spacing w:val="73"/>
          <w:w w:val="110"/>
        </w:rPr>
        <w:t> </w:t>
      </w:r>
      <w:r>
        <w:rPr>
          <w:w w:val="110"/>
        </w:rPr>
        <w:t>‘end of life’ </w:t>
      </w:r>
      <w:r>
        <w:rPr>
          <w:spacing w:val="3"/>
          <w:w w:val="110"/>
        </w:rPr>
        <w:t>issues discussed </w:t>
      </w:r>
      <w:r>
        <w:rPr>
          <w:w w:val="110"/>
        </w:rPr>
        <w:t>in this </w:t>
      </w:r>
      <w:r>
        <w:rPr>
          <w:spacing w:val="4"/>
          <w:w w:val="110"/>
        </w:rPr>
        <w:t>report. </w:t>
      </w:r>
      <w:r>
        <w:rPr>
          <w:w w:val="110"/>
        </w:rPr>
        <w:t>We have </w:t>
      </w:r>
      <w:r>
        <w:rPr>
          <w:spacing w:val="4"/>
          <w:w w:val="110"/>
        </w:rPr>
        <w:t>often </w:t>
      </w:r>
      <w:r>
        <w:rPr>
          <w:spacing w:val="2"/>
          <w:w w:val="110"/>
        </w:rPr>
        <w:t>found </w:t>
      </w:r>
      <w:r>
        <w:rPr>
          <w:w w:val="110"/>
        </w:rPr>
        <w:t>it </w:t>
      </w:r>
      <w:r>
        <w:rPr>
          <w:spacing w:val="2"/>
          <w:w w:val="110"/>
        </w:rPr>
        <w:t>strikingly hard </w:t>
      </w:r>
      <w:r>
        <w:rPr>
          <w:spacing w:val="73"/>
          <w:w w:val="110"/>
        </w:rPr>
        <w:t> </w:t>
      </w:r>
      <w:r>
        <w:rPr>
          <w:w w:val="110"/>
        </w:rPr>
        <w:t>to make </w:t>
      </w:r>
      <w:r>
        <w:rPr>
          <w:spacing w:val="2"/>
          <w:w w:val="110"/>
        </w:rPr>
        <w:t>the </w:t>
      </w:r>
      <w:r>
        <w:rPr>
          <w:spacing w:val="3"/>
          <w:w w:val="110"/>
        </w:rPr>
        <w:t>connections between </w:t>
      </w:r>
      <w:r>
        <w:rPr>
          <w:w w:val="110"/>
        </w:rPr>
        <w:t>our </w:t>
      </w:r>
      <w:r>
        <w:rPr>
          <w:spacing w:val="3"/>
          <w:w w:val="110"/>
        </w:rPr>
        <w:t>theological </w:t>
      </w:r>
      <w:r>
        <w:rPr>
          <w:spacing w:val="2"/>
          <w:w w:val="110"/>
        </w:rPr>
        <w:t>talk, the language </w:t>
      </w:r>
      <w:r>
        <w:rPr>
          <w:w w:val="110"/>
        </w:rPr>
        <w:t>and </w:t>
      </w:r>
      <w:r>
        <w:rPr>
          <w:spacing w:val="2"/>
          <w:w w:val="110"/>
        </w:rPr>
        <w:t>hope </w:t>
      </w:r>
      <w:r>
        <w:rPr>
          <w:w w:val="110"/>
        </w:rPr>
        <w:t>of  our faith, and </w:t>
      </w:r>
      <w:r>
        <w:rPr>
          <w:spacing w:val="2"/>
          <w:w w:val="110"/>
        </w:rPr>
        <w:t>the moral </w:t>
      </w:r>
      <w:r>
        <w:rPr>
          <w:w w:val="110"/>
        </w:rPr>
        <w:t>and </w:t>
      </w:r>
      <w:r>
        <w:rPr>
          <w:spacing w:val="3"/>
          <w:w w:val="110"/>
        </w:rPr>
        <w:t>practical questions </w:t>
      </w:r>
      <w:r>
        <w:rPr>
          <w:w w:val="110"/>
        </w:rPr>
        <w:t>of </w:t>
      </w:r>
      <w:r>
        <w:rPr>
          <w:spacing w:val="3"/>
          <w:w w:val="110"/>
        </w:rPr>
        <w:t>assisted </w:t>
      </w:r>
      <w:r>
        <w:rPr>
          <w:w w:val="110"/>
        </w:rPr>
        <w:t>dying and </w:t>
      </w:r>
      <w:r>
        <w:rPr>
          <w:spacing w:val="2"/>
          <w:w w:val="110"/>
        </w:rPr>
        <w:t>euthanasia.</w:t>
      </w:r>
      <w:r>
        <w:rPr>
          <w:spacing w:val="73"/>
          <w:w w:val="110"/>
        </w:rPr>
        <w:t> </w:t>
      </w:r>
      <w:r>
        <w:rPr>
          <w:spacing w:val="3"/>
          <w:w w:val="110"/>
        </w:rPr>
        <w:t>Sometimes people </w:t>
      </w:r>
      <w:r>
        <w:rPr>
          <w:spacing w:val="2"/>
          <w:w w:val="110"/>
        </w:rPr>
        <w:t>use </w:t>
      </w:r>
      <w:r>
        <w:rPr>
          <w:spacing w:val="3"/>
          <w:w w:val="110"/>
        </w:rPr>
        <w:t>theological arguments </w:t>
      </w:r>
      <w:r>
        <w:rPr>
          <w:w w:val="110"/>
        </w:rPr>
        <w:t>to </w:t>
      </w:r>
      <w:r>
        <w:rPr>
          <w:spacing w:val="3"/>
          <w:w w:val="110"/>
        </w:rPr>
        <w:t>defend </w:t>
      </w:r>
      <w:r>
        <w:rPr>
          <w:w w:val="110"/>
        </w:rPr>
        <w:t>an </w:t>
      </w:r>
      <w:r>
        <w:rPr>
          <w:spacing w:val="2"/>
          <w:w w:val="110"/>
        </w:rPr>
        <w:t>ethical position, </w:t>
      </w:r>
      <w:r>
        <w:rPr>
          <w:w w:val="110"/>
        </w:rPr>
        <w:t>but it   is not always </w:t>
      </w:r>
      <w:r>
        <w:rPr>
          <w:spacing w:val="3"/>
          <w:w w:val="110"/>
        </w:rPr>
        <w:t>clear </w:t>
      </w:r>
      <w:r>
        <w:rPr>
          <w:w w:val="110"/>
        </w:rPr>
        <w:t>that </w:t>
      </w:r>
      <w:r>
        <w:rPr>
          <w:spacing w:val="2"/>
          <w:w w:val="110"/>
        </w:rPr>
        <w:t>the </w:t>
      </w:r>
      <w:r>
        <w:rPr>
          <w:w w:val="110"/>
        </w:rPr>
        <w:t>one </w:t>
      </w:r>
      <w:r>
        <w:rPr>
          <w:spacing w:val="3"/>
          <w:w w:val="110"/>
        </w:rPr>
        <w:t>necessarily </w:t>
      </w:r>
      <w:r>
        <w:rPr>
          <w:spacing w:val="2"/>
          <w:w w:val="110"/>
        </w:rPr>
        <w:t>leads </w:t>
      </w:r>
      <w:r>
        <w:rPr>
          <w:w w:val="110"/>
        </w:rPr>
        <w:t>to </w:t>
      </w:r>
      <w:r>
        <w:rPr>
          <w:spacing w:val="2"/>
          <w:w w:val="110"/>
        </w:rPr>
        <w:t>the </w:t>
      </w:r>
      <w:r>
        <w:rPr>
          <w:w w:val="110"/>
        </w:rPr>
        <w:t>other. Many </w:t>
      </w:r>
      <w:r>
        <w:rPr>
          <w:spacing w:val="2"/>
          <w:w w:val="110"/>
        </w:rPr>
        <w:t>argue </w:t>
      </w:r>
      <w:r>
        <w:rPr>
          <w:w w:val="110"/>
        </w:rPr>
        <w:t>that a </w:t>
      </w:r>
      <w:r>
        <w:rPr>
          <w:spacing w:val="2"/>
          <w:w w:val="110"/>
        </w:rPr>
        <w:t>belief </w:t>
      </w:r>
      <w:r>
        <w:rPr>
          <w:w w:val="110"/>
        </w:rPr>
        <w:t>in </w:t>
      </w:r>
      <w:r>
        <w:rPr>
          <w:spacing w:val="2"/>
          <w:w w:val="110"/>
        </w:rPr>
        <w:t>the </w:t>
      </w:r>
      <w:r>
        <w:rPr>
          <w:spacing w:val="4"/>
          <w:w w:val="110"/>
        </w:rPr>
        <w:t>sanctity </w:t>
      </w:r>
      <w:r>
        <w:rPr>
          <w:w w:val="110"/>
        </w:rPr>
        <w:t>of life </w:t>
      </w:r>
      <w:r>
        <w:rPr>
          <w:spacing w:val="2"/>
          <w:w w:val="110"/>
        </w:rPr>
        <w:t>means </w:t>
      </w:r>
      <w:r>
        <w:rPr>
          <w:w w:val="110"/>
        </w:rPr>
        <w:t>that it would </w:t>
      </w:r>
      <w:r>
        <w:rPr>
          <w:spacing w:val="2"/>
          <w:w w:val="110"/>
        </w:rPr>
        <w:t>be </w:t>
      </w:r>
      <w:r>
        <w:rPr>
          <w:spacing w:val="3"/>
          <w:w w:val="110"/>
        </w:rPr>
        <w:t>wrong </w:t>
      </w:r>
      <w:r>
        <w:rPr>
          <w:w w:val="110"/>
        </w:rPr>
        <w:t>to </w:t>
      </w:r>
      <w:r>
        <w:rPr>
          <w:spacing w:val="3"/>
          <w:w w:val="110"/>
        </w:rPr>
        <w:t>assist </w:t>
      </w:r>
      <w:r>
        <w:rPr>
          <w:w w:val="110"/>
        </w:rPr>
        <w:t>anyone to die.  </w:t>
      </w:r>
      <w:r>
        <w:rPr>
          <w:spacing w:val="2"/>
          <w:w w:val="110"/>
        </w:rPr>
        <w:t>But </w:t>
      </w:r>
      <w:r>
        <w:rPr>
          <w:spacing w:val="3"/>
          <w:w w:val="110"/>
        </w:rPr>
        <w:t>before </w:t>
      </w:r>
      <w:r>
        <w:rPr>
          <w:w w:val="110"/>
        </w:rPr>
        <w:t>we </w:t>
      </w:r>
      <w:r>
        <w:rPr>
          <w:spacing w:val="3"/>
          <w:w w:val="110"/>
        </w:rPr>
        <w:t>reach </w:t>
      </w:r>
      <w:r>
        <w:rPr>
          <w:w w:val="110"/>
        </w:rPr>
        <w:t>that </w:t>
      </w:r>
      <w:r>
        <w:rPr>
          <w:spacing w:val="3"/>
          <w:w w:val="110"/>
        </w:rPr>
        <w:t>conclusion </w:t>
      </w:r>
      <w:r>
        <w:rPr>
          <w:w w:val="110"/>
        </w:rPr>
        <w:t>we </w:t>
      </w:r>
      <w:r>
        <w:rPr>
          <w:spacing w:val="2"/>
          <w:w w:val="110"/>
        </w:rPr>
        <w:t>must ask </w:t>
      </w:r>
      <w:r>
        <w:rPr>
          <w:w w:val="110"/>
        </w:rPr>
        <w:t>what it </w:t>
      </w:r>
      <w:r>
        <w:rPr>
          <w:spacing w:val="2"/>
          <w:w w:val="110"/>
        </w:rPr>
        <w:t>means </w:t>
      </w:r>
      <w:r>
        <w:rPr>
          <w:w w:val="110"/>
        </w:rPr>
        <w:t>to say that life is holy. It may </w:t>
      </w:r>
      <w:r>
        <w:rPr>
          <w:spacing w:val="2"/>
          <w:w w:val="110"/>
        </w:rPr>
        <w:t>indeed mean </w:t>
      </w:r>
      <w:r>
        <w:rPr>
          <w:w w:val="110"/>
        </w:rPr>
        <w:t>that life is </w:t>
      </w:r>
      <w:r>
        <w:rPr>
          <w:spacing w:val="2"/>
          <w:w w:val="110"/>
        </w:rPr>
        <w:t>God’s </w:t>
      </w:r>
      <w:r>
        <w:rPr>
          <w:spacing w:val="3"/>
          <w:w w:val="110"/>
        </w:rPr>
        <w:t>gift </w:t>
      </w:r>
      <w:r>
        <w:rPr>
          <w:w w:val="110"/>
        </w:rPr>
        <w:t>to us, but </w:t>
      </w:r>
      <w:r>
        <w:rPr>
          <w:spacing w:val="3"/>
          <w:w w:val="110"/>
        </w:rPr>
        <w:t>does </w:t>
      </w:r>
      <w:r>
        <w:rPr>
          <w:w w:val="110"/>
        </w:rPr>
        <w:t>that </w:t>
      </w:r>
      <w:r>
        <w:rPr>
          <w:spacing w:val="2"/>
          <w:w w:val="110"/>
        </w:rPr>
        <w:t>mean </w:t>
      </w:r>
      <w:r>
        <w:rPr>
          <w:w w:val="110"/>
        </w:rPr>
        <w:t>that we may play no </w:t>
      </w:r>
      <w:r>
        <w:rPr>
          <w:spacing w:val="4"/>
          <w:w w:val="110"/>
        </w:rPr>
        <w:t>part </w:t>
      </w:r>
      <w:r>
        <w:rPr>
          <w:w w:val="110"/>
        </w:rPr>
        <w:t>in </w:t>
      </w:r>
      <w:r>
        <w:rPr>
          <w:spacing w:val="2"/>
          <w:w w:val="110"/>
        </w:rPr>
        <w:t>taking </w:t>
      </w:r>
      <w:r>
        <w:rPr>
          <w:spacing w:val="3"/>
          <w:w w:val="110"/>
        </w:rPr>
        <w:t>decisions </w:t>
      </w:r>
      <w:r>
        <w:rPr>
          <w:w w:val="110"/>
        </w:rPr>
        <w:t>over </w:t>
      </w:r>
      <w:r>
        <w:rPr>
          <w:spacing w:val="3"/>
          <w:w w:val="110"/>
        </w:rPr>
        <w:t>its </w:t>
      </w:r>
      <w:r>
        <w:rPr>
          <w:w w:val="110"/>
        </w:rPr>
        <w:t>end? (Christians </w:t>
      </w:r>
      <w:r>
        <w:rPr>
          <w:spacing w:val="2"/>
          <w:w w:val="110"/>
        </w:rPr>
        <w:t>are still </w:t>
      </w:r>
      <w:r>
        <w:rPr>
          <w:w w:val="110"/>
        </w:rPr>
        <w:t>divided, </w:t>
      </w:r>
      <w:r>
        <w:rPr>
          <w:spacing w:val="2"/>
          <w:w w:val="110"/>
        </w:rPr>
        <w:t>for</w:t>
      </w:r>
      <w:r>
        <w:rPr>
          <w:spacing w:val="73"/>
          <w:w w:val="110"/>
        </w:rPr>
        <w:t> </w:t>
      </w:r>
      <w:r>
        <w:rPr>
          <w:w w:val="110"/>
        </w:rPr>
        <w:t>example, over </w:t>
      </w:r>
      <w:r>
        <w:rPr>
          <w:spacing w:val="2"/>
          <w:w w:val="110"/>
        </w:rPr>
        <w:t>whether </w:t>
      </w:r>
      <w:r>
        <w:rPr>
          <w:w w:val="110"/>
        </w:rPr>
        <w:t>a </w:t>
      </w:r>
      <w:r>
        <w:rPr>
          <w:spacing w:val="3"/>
          <w:w w:val="110"/>
        </w:rPr>
        <w:t>recognition </w:t>
      </w:r>
      <w:r>
        <w:rPr>
          <w:w w:val="110"/>
        </w:rPr>
        <w:t>that life is </w:t>
      </w:r>
      <w:r>
        <w:rPr>
          <w:spacing w:val="2"/>
          <w:w w:val="110"/>
        </w:rPr>
        <w:t>God’s </w:t>
      </w:r>
      <w:r>
        <w:rPr>
          <w:spacing w:val="3"/>
          <w:w w:val="110"/>
        </w:rPr>
        <w:t>gift permits </w:t>
      </w:r>
      <w:r>
        <w:rPr>
          <w:w w:val="110"/>
        </w:rPr>
        <w:t>or </w:t>
      </w:r>
      <w:r>
        <w:rPr>
          <w:spacing w:val="3"/>
          <w:w w:val="110"/>
        </w:rPr>
        <w:t>forbids </w:t>
      </w:r>
      <w:r>
        <w:rPr>
          <w:spacing w:val="2"/>
          <w:w w:val="110"/>
        </w:rPr>
        <w:t>the </w:t>
      </w:r>
      <w:r>
        <w:rPr>
          <w:spacing w:val="73"/>
          <w:w w:val="110"/>
        </w:rPr>
        <w:t> </w:t>
      </w:r>
      <w:r>
        <w:rPr>
          <w:spacing w:val="2"/>
          <w:w w:val="110"/>
        </w:rPr>
        <w:t>use </w:t>
      </w:r>
      <w:r>
        <w:rPr>
          <w:w w:val="110"/>
        </w:rPr>
        <w:t>of</w:t>
      </w:r>
      <w:r>
        <w:rPr>
          <w:spacing w:val="8"/>
          <w:w w:val="110"/>
        </w:rPr>
        <w:t> </w:t>
      </w:r>
      <w:r>
        <w:rPr>
          <w:w w:val="110"/>
        </w:rPr>
        <w:t>contraception).</w:t>
      </w:r>
    </w:p>
    <w:p>
      <w:pPr>
        <w:pStyle w:val="BodyText"/>
        <w:spacing w:before="2"/>
        <w:rPr>
          <w:sz w:val="21"/>
        </w:rPr>
      </w:pPr>
    </w:p>
    <w:p>
      <w:pPr>
        <w:pStyle w:val="BodyText"/>
        <w:spacing w:line="273" w:lineRule="auto"/>
        <w:ind w:left="1368" w:right="1204"/>
      </w:pPr>
      <w:r>
        <w:rPr>
          <w:w w:val="110"/>
        </w:rPr>
        <w:t>It </w:t>
      </w:r>
      <w:r>
        <w:rPr>
          <w:spacing w:val="2"/>
          <w:w w:val="110"/>
        </w:rPr>
        <w:t>could be </w:t>
      </w:r>
      <w:r>
        <w:rPr>
          <w:spacing w:val="3"/>
          <w:w w:val="110"/>
        </w:rPr>
        <w:t>argued </w:t>
      </w:r>
      <w:r>
        <w:rPr>
          <w:w w:val="110"/>
        </w:rPr>
        <w:t>that </w:t>
      </w:r>
      <w:r>
        <w:rPr>
          <w:spacing w:val="3"/>
          <w:w w:val="110"/>
        </w:rPr>
        <w:t>God </w:t>
      </w:r>
      <w:r>
        <w:rPr>
          <w:w w:val="110"/>
        </w:rPr>
        <w:t>has given us our lives, but </w:t>
      </w:r>
      <w:r>
        <w:rPr>
          <w:spacing w:val="2"/>
          <w:w w:val="110"/>
        </w:rPr>
        <w:t>also </w:t>
      </w:r>
      <w:r>
        <w:rPr>
          <w:w w:val="110"/>
        </w:rPr>
        <w:t>invites us to make    </w:t>
      </w:r>
      <w:r>
        <w:rPr>
          <w:spacing w:val="2"/>
          <w:w w:val="110"/>
        </w:rPr>
        <w:t>mature </w:t>
      </w:r>
      <w:r>
        <w:rPr>
          <w:spacing w:val="3"/>
          <w:w w:val="110"/>
        </w:rPr>
        <w:t>decisions </w:t>
      </w:r>
      <w:r>
        <w:rPr>
          <w:spacing w:val="2"/>
          <w:w w:val="110"/>
        </w:rPr>
        <w:t>about </w:t>
      </w:r>
      <w:r>
        <w:rPr>
          <w:w w:val="110"/>
        </w:rPr>
        <w:t>them, in ways </w:t>
      </w:r>
      <w:r>
        <w:rPr>
          <w:spacing w:val="2"/>
          <w:w w:val="110"/>
        </w:rPr>
        <w:t>which are also </w:t>
      </w:r>
      <w:r>
        <w:rPr>
          <w:w w:val="110"/>
        </w:rPr>
        <w:t>in </w:t>
      </w:r>
      <w:r>
        <w:rPr>
          <w:spacing w:val="3"/>
          <w:w w:val="110"/>
        </w:rPr>
        <w:t>response </w:t>
      </w:r>
      <w:r>
        <w:rPr>
          <w:w w:val="110"/>
        </w:rPr>
        <w:t>to a holy </w:t>
      </w:r>
      <w:r>
        <w:rPr>
          <w:spacing w:val="2"/>
          <w:w w:val="110"/>
        </w:rPr>
        <w:t>responsibility. </w:t>
      </w:r>
      <w:r>
        <w:rPr>
          <w:w w:val="110"/>
        </w:rPr>
        <w:t>If we </w:t>
      </w:r>
      <w:r>
        <w:rPr>
          <w:spacing w:val="2"/>
          <w:w w:val="110"/>
        </w:rPr>
        <w:t>are stewards </w:t>
      </w:r>
      <w:r>
        <w:rPr>
          <w:w w:val="110"/>
        </w:rPr>
        <w:t>of </w:t>
      </w:r>
      <w:r>
        <w:rPr>
          <w:spacing w:val="2"/>
          <w:w w:val="110"/>
        </w:rPr>
        <w:t>creation, are </w:t>
      </w:r>
      <w:r>
        <w:rPr>
          <w:w w:val="110"/>
        </w:rPr>
        <w:t>we not </w:t>
      </w:r>
      <w:r>
        <w:rPr>
          <w:spacing w:val="2"/>
          <w:w w:val="110"/>
        </w:rPr>
        <w:t>stewards </w:t>
      </w:r>
      <w:r>
        <w:rPr>
          <w:w w:val="110"/>
        </w:rPr>
        <w:t>of our own lives? Also, we have to think </w:t>
      </w:r>
      <w:r>
        <w:rPr>
          <w:spacing w:val="3"/>
          <w:w w:val="110"/>
        </w:rPr>
        <w:t>carefully </w:t>
      </w:r>
      <w:r>
        <w:rPr>
          <w:spacing w:val="2"/>
          <w:w w:val="110"/>
        </w:rPr>
        <w:t>about </w:t>
      </w:r>
      <w:r>
        <w:rPr>
          <w:w w:val="110"/>
        </w:rPr>
        <w:t>what it </w:t>
      </w:r>
      <w:r>
        <w:rPr>
          <w:spacing w:val="2"/>
          <w:w w:val="110"/>
        </w:rPr>
        <w:t>means </w:t>
      </w:r>
      <w:r>
        <w:rPr>
          <w:w w:val="110"/>
        </w:rPr>
        <w:t>to </w:t>
      </w:r>
      <w:r>
        <w:rPr>
          <w:spacing w:val="3"/>
          <w:w w:val="110"/>
        </w:rPr>
        <w:t>affirm </w:t>
      </w:r>
      <w:r>
        <w:rPr>
          <w:w w:val="110"/>
        </w:rPr>
        <w:t>that </w:t>
      </w:r>
      <w:r>
        <w:rPr>
          <w:spacing w:val="2"/>
          <w:w w:val="110"/>
        </w:rPr>
        <w:t>death </w:t>
      </w:r>
      <w:r>
        <w:rPr>
          <w:w w:val="110"/>
        </w:rPr>
        <w:t>is </w:t>
      </w:r>
      <w:r>
        <w:rPr>
          <w:spacing w:val="2"/>
          <w:w w:val="110"/>
        </w:rPr>
        <w:t>defeated.</w:t>
      </w:r>
      <w:r>
        <w:rPr>
          <w:spacing w:val="73"/>
          <w:w w:val="110"/>
        </w:rPr>
        <w:t> </w:t>
      </w:r>
      <w:r>
        <w:rPr>
          <w:w w:val="110"/>
        </w:rPr>
        <w:t>In many </w:t>
      </w:r>
      <w:r>
        <w:rPr>
          <w:spacing w:val="3"/>
          <w:w w:val="110"/>
        </w:rPr>
        <w:t>Christian </w:t>
      </w:r>
      <w:r>
        <w:rPr>
          <w:spacing w:val="2"/>
          <w:w w:val="110"/>
        </w:rPr>
        <w:t>traditions death </w:t>
      </w:r>
      <w:r>
        <w:rPr>
          <w:w w:val="110"/>
        </w:rPr>
        <w:t>is </w:t>
      </w:r>
      <w:r>
        <w:rPr>
          <w:spacing w:val="2"/>
          <w:w w:val="110"/>
        </w:rPr>
        <w:t>the </w:t>
      </w:r>
      <w:r>
        <w:rPr>
          <w:w w:val="110"/>
        </w:rPr>
        <w:t>ultimate enemy, while </w:t>
      </w:r>
      <w:r>
        <w:rPr>
          <w:spacing w:val="2"/>
          <w:w w:val="110"/>
        </w:rPr>
        <w:t>for </w:t>
      </w:r>
      <w:r>
        <w:rPr>
          <w:spacing w:val="3"/>
          <w:w w:val="110"/>
        </w:rPr>
        <w:t>others </w:t>
      </w:r>
      <w:r>
        <w:rPr>
          <w:w w:val="110"/>
        </w:rPr>
        <w:t>it may </w:t>
      </w:r>
      <w:r>
        <w:rPr>
          <w:spacing w:val="2"/>
          <w:w w:val="110"/>
        </w:rPr>
        <w:t>also</w:t>
      </w:r>
      <w:r>
        <w:rPr>
          <w:spacing w:val="73"/>
          <w:w w:val="110"/>
        </w:rPr>
        <w:t> </w:t>
      </w:r>
      <w:r>
        <w:rPr>
          <w:spacing w:val="2"/>
          <w:w w:val="110"/>
        </w:rPr>
        <w:t>be </w:t>
      </w:r>
      <w:r>
        <w:rPr>
          <w:spacing w:val="3"/>
          <w:w w:val="110"/>
        </w:rPr>
        <w:t>considered </w:t>
      </w:r>
      <w:r>
        <w:rPr>
          <w:w w:val="110"/>
        </w:rPr>
        <w:t>a </w:t>
      </w:r>
      <w:r>
        <w:rPr>
          <w:spacing w:val="3"/>
          <w:w w:val="110"/>
        </w:rPr>
        <w:t>friend </w:t>
      </w:r>
      <w:r>
        <w:rPr>
          <w:w w:val="110"/>
        </w:rPr>
        <w:t>– or simply </w:t>
      </w:r>
      <w:r>
        <w:rPr>
          <w:spacing w:val="2"/>
          <w:w w:val="110"/>
        </w:rPr>
        <w:t>the marking point </w:t>
      </w:r>
      <w:r>
        <w:rPr>
          <w:w w:val="110"/>
        </w:rPr>
        <w:t>of a </w:t>
      </w:r>
      <w:r>
        <w:rPr>
          <w:spacing w:val="2"/>
          <w:w w:val="110"/>
        </w:rPr>
        <w:t>transition </w:t>
      </w:r>
      <w:r>
        <w:rPr>
          <w:spacing w:val="3"/>
          <w:w w:val="110"/>
        </w:rPr>
        <w:t>from </w:t>
      </w:r>
      <w:r>
        <w:rPr>
          <w:w w:val="110"/>
        </w:rPr>
        <w:t>one life to another. What would this </w:t>
      </w:r>
      <w:r>
        <w:rPr>
          <w:spacing w:val="2"/>
          <w:w w:val="110"/>
        </w:rPr>
        <w:t>mean for </w:t>
      </w:r>
      <w:r>
        <w:rPr>
          <w:w w:val="110"/>
        </w:rPr>
        <w:t>making </w:t>
      </w:r>
      <w:r>
        <w:rPr>
          <w:spacing w:val="3"/>
          <w:w w:val="110"/>
        </w:rPr>
        <w:t>decisions </w:t>
      </w:r>
      <w:r>
        <w:rPr>
          <w:w w:val="110"/>
        </w:rPr>
        <w:t>at </w:t>
      </w:r>
      <w:r>
        <w:rPr>
          <w:spacing w:val="2"/>
          <w:w w:val="110"/>
        </w:rPr>
        <w:t>the end </w:t>
      </w:r>
      <w:r>
        <w:rPr>
          <w:w w:val="110"/>
        </w:rPr>
        <w:t>of life? It may not </w:t>
      </w:r>
      <w:r>
        <w:rPr>
          <w:spacing w:val="2"/>
          <w:w w:val="110"/>
        </w:rPr>
        <w:t>be</w:t>
      </w:r>
      <w:r>
        <w:rPr>
          <w:spacing w:val="73"/>
          <w:w w:val="110"/>
        </w:rPr>
        <w:t> </w:t>
      </w:r>
      <w:r>
        <w:rPr>
          <w:w w:val="110"/>
        </w:rPr>
        <w:t>at all or </w:t>
      </w:r>
      <w:r>
        <w:rPr>
          <w:spacing w:val="2"/>
          <w:w w:val="110"/>
        </w:rPr>
        <w:t>obviously clear! </w:t>
      </w:r>
      <w:r>
        <w:rPr>
          <w:w w:val="110"/>
        </w:rPr>
        <w:t>Again, you might think it </w:t>
      </w:r>
      <w:r>
        <w:rPr>
          <w:spacing w:val="3"/>
          <w:w w:val="110"/>
        </w:rPr>
        <w:t>straightforward </w:t>
      </w:r>
      <w:r>
        <w:rPr>
          <w:w w:val="110"/>
        </w:rPr>
        <w:t>to </w:t>
      </w:r>
      <w:r>
        <w:rPr>
          <w:spacing w:val="3"/>
          <w:w w:val="110"/>
        </w:rPr>
        <w:t>conclude </w:t>
      </w:r>
      <w:r>
        <w:rPr>
          <w:w w:val="110"/>
        </w:rPr>
        <w:t>that </w:t>
      </w:r>
      <w:r>
        <w:rPr>
          <w:spacing w:val="3"/>
          <w:w w:val="110"/>
        </w:rPr>
        <w:t>Christians </w:t>
      </w:r>
      <w:r>
        <w:rPr>
          <w:spacing w:val="2"/>
          <w:w w:val="110"/>
        </w:rPr>
        <w:t>should </w:t>
      </w:r>
      <w:r>
        <w:rPr>
          <w:w w:val="110"/>
        </w:rPr>
        <w:t>never </w:t>
      </w:r>
      <w:r>
        <w:rPr>
          <w:spacing w:val="3"/>
          <w:w w:val="110"/>
        </w:rPr>
        <w:t>choose </w:t>
      </w:r>
      <w:r>
        <w:rPr>
          <w:spacing w:val="2"/>
          <w:w w:val="110"/>
        </w:rPr>
        <w:t>death for themselves, </w:t>
      </w:r>
      <w:r>
        <w:rPr>
          <w:w w:val="110"/>
        </w:rPr>
        <w:t>but </w:t>
      </w:r>
      <w:r>
        <w:rPr>
          <w:spacing w:val="3"/>
          <w:w w:val="110"/>
        </w:rPr>
        <w:t>trust God </w:t>
      </w:r>
      <w:r>
        <w:rPr>
          <w:w w:val="110"/>
        </w:rPr>
        <w:t>to </w:t>
      </w:r>
      <w:r>
        <w:rPr>
          <w:spacing w:val="3"/>
          <w:w w:val="110"/>
        </w:rPr>
        <w:t>choose </w:t>
      </w:r>
      <w:r>
        <w:rPr>
          <w:spacing w:val="2"/>
          <w:w w:val="110"/>
        </w:rPr>
        <w:t>the </w:t>
      </w:r>
      <w:r>
        <w:rPr>
          <w:w w:val="110"/>
        </w:rPr>
        <w:t>time. </w:t>
      </w:r>
      <w:r>
        <w:rPr>
          <w:spacing w:val="2"/>
          <w:w w:val="110"/>
        </w:rPr>
        <w:t>But </w:t>
      </w:r>
      <w:r>
        <w:rPr>
          <w:w w:val="110"/>
        </w:rPr>
        <w:t>this is not quite how </w:t>
      </w:r>
      <w:r>
        <w:rPr>
          <w:spacing w:val="3"/>
          <w:w w:val="110"/>
        </w:rPr>
        <w:t>Christian </w:t>
      </w:r>
      <w:r>
        <w:rPr>
          <w:spacing w:val="5"/>
          <w:w w:val="110"/>
        </w:rPr>
        <w:t>martyrs </w:t>
      </w:r>
      <w:r>
        <w:rPr>
          <w:w w:val="110"/>
        </w:rPr>
        <w:t>have </w:t>
      </w:r>
      <w:r>
        <w:rPr>
          <w:spacing w:val="3"/>
          <w:w w:val="110"/>
        </w:rPr>
        <w:t>seen </w:t>
      </w:r>
      <w:r>
        <w:rPr>
          <w:spacing w:val="2"/>
          <w:w w:val="110"/>
        </w:rPr>
        <w:t>the issue. When </w:t>
      </w:r>
      <w:r>
        <w:rPr>
          <w:spacing w:val="3"/>
          <w:w w:val="110"/>
        </w:rPr>
        <w:t>Christian </w:t>
      </w:r>
      <w:r>
        <w:rPr>
          <w:spacing w:val="2"/>
          <w:w w:val="110"/>
        </w:rPr>
        <w:t>discipleship </w:t>
      </w:r>
      <w:r>
        <w:rPr>
          <w:w w:val="110"/>
        </w:rPr>
        <w:t>is </w:t>
      </w:r>
      <w:r>
        <w:rPr>
          <w:spacing w:val="4"/>
          <w:w w:val="110"/>
        </w:rPr>
        <w:t>often </w:t>
      </w:r>
      <w:r>
        <w:rPr>
          <w:spacing w:val="3"/>
          <w:w w:val="110"/>
        </w:rPr>
        <w:t>seen </w:t>
      </w:r>
      <w:r>
        <w:rPr>
          <w:w w:val="110"/>
        </w:rPr>
        <w:t>as a </w:t>
      </w:r>
      <w:r>
        <w:rPr>
          <w:spacing w:val="2"/>
          <w:w w:val="110"/>
        </w:rPr>
        <w:t>growing </w:t>
      </w:r>
      <w:r>
        <w:rPr>
          <w:w w:val="110"/>
        </w:rPr>
        <w:t>into maturity, </w:t>
      </w:r>
      <w:r>
        <w:rPr>
          <w:spacing w:val="2"/>
          <w:w w:val="110"/>
        </w:rPr>
        <w:t>the </w:t>
      </w:r>
      <w:r>
        <w:rPr>
          <w:spacing w:val="3"/>
          <w:w w:val="110"/>
        </w:rPr>
        <w:t>maturity </w:t>
      </w:r>
      <w:r>
        <w:rPr>
          <w:w w:val="110"/>
        </w:rPr>
        <w:t>of </w:t>
      </w:r>
      <w:r>
        <w:rPr>
          <w:spacing w:val="3"/>
          <w:w w:val="110"/>
        </w:rPr>
        <w:t>Christ </w:t>
      </w:r>
      <w:r>
        <w:rPr>
          <w:w w:val="110"/>
        </w:rPr>
        <w:t>even,   </w:t>
      </w:r>
      <w:r>
        <w:rPr>
          <w:spacing w:val="2"/>
          <w:w w:val="110"/>
        </w:rPr>
        <w:t>then </w:t>
      </w:r>
      <w:r>
        <w:rPr>
          <w:w w:val="110"/>
        </w:rPr>
        <w:t>what do we say </w:t>
      </w:r>
      <w:r>
        <w:rPr>
          <w:spacing w:val="2"/>
          <w:w w:val="110"/>
        </w:rPr>
        <w:t>about </w:t>
      </w:r>
      <w:r>
        <w:rPr>
          <w:spacing w:val="3"/>
          <w:w w:val="110"/>
        </w:rPr>
        <w:t>serious choices </w:t>
      </w:r>
      <w:r>
        <w:rPr>
          <w:w w:val="110"/>
        </w:rPr>
        <w:t>over life and death? </w:t>
      </w:r>
      <w:r>
        <w:rPr>
          <w:spacing w:val="2"/>
          <w:w w:val="110"/>
        </w:rPr>
        <w:t>Some </w:t>
      </w:r>
      <w:r>
        <w:rPr>
          <w:w w:val="110"/>
        </w:rPr>
        <w:t>might say that  to </w:t>
      </w:r>
      <w:r>
        <w:rPr>
          <w:spacing w:val="3"/>
          <w:w w:val="110"/>
        </w:rPr>
        <w:t>assist </w:t>
      </w:r>
      <w:r>
        <w:rPr>
          <w:w w:val="110"/>
        </w:rPr>
        <w:t>anyone in dying is to ‘play God’. </w:t>
      </w:r>
      <w:r>
        <w:rPr>
          <w:spacing w:val="2"/>
          <w:w w:val="110"/>
        </w:rPr>
        <w:t>But </w:t>
      </w:r>
      <w:r>
        <w:rPr>
          <w:w w:val="110"/>
        </w:rPr>
        <w:t>what </w:t>
      </w:r>
      <w:r>
        <w:rPr>
          <w:spacing w:val="2"/>
          <w:w w:val="110"/>
        </w:rPr>
        <w:t>then </w:t>
      </w:r>
      <w:r>
        <w:rPr>
          <w:w w:val="110"/>
        </w:rPr>
        <w:t>do we make of </w:t>
      </w:r>
      <w:r>
        <w:rPr>
          <w:spacing w:val="2"/>
          <w:w w:val="110"/>
        </w:rPr>
        <w:t>the biblical</w:t>
      </w:r>
      <w:r>
        <w:rPr>
          <w:spacing w:val="73"/>
          <w:w w:val="110"/>
        </w:rPr>
        <w:t> </w:t>
      </w:r>
      <w:r>
        <w:rPr>
          <w:w w:val="110"/>
        </w:rPr>
        <w:t>insight that we </w:t>
      </w:r>
      <w:r>
        <w:rPr>
          <w:spacing w:val="2"/>
          <w:w w:val="110"/>
        </w:rPr>
        <w:t>are </w:t>
      </w:r>
      <w:r>
        <w:rPr>
          <w:w w:val="110"/>
        </w:rPr>
        <w:t>made ‘in </w:t>
      </w:r>
      <w:r>
        <w:rPr>
          <w:spacing w:val="2"/>
          <w:w w:val="110"/>
        </w:rPr>
        <w:t>the </w:t>
      </w:r>
      <w:r>
        <w:rPr>
          <w:w w:val="110"/>
        </w:rPr>
        <w:t>image of </w:t>
      </w:r>
      <w:r>
        <w:rPr>
          <w:spacing w:val="4"/>
          <w:w w:val="110"/>
        </w:rPr>
        <w:t>God’? </w:t>
      </w:r>
      <w:r>
        <w:rPr>
          <w:w w:val="110"/>
        </w:rPr>
        <w:t>It is </w:t>
      </w:r>
      <w:r>
        <w:rPr>
          <w:spacing w:val="4"/>
          <w:w w:val="110"/>
        </w:rPr>
        <w:t>often </w:t>
      </w:r>
      <w:r>
        <w:rPr>
          <w:spacing w:val="3"/>
          <w:w w:val="110"/>
        </w:rPr>
        <w:t>assumed </w:t>
      </w:r>
      <w:r>
        <w:rPr>
          <w:w w:val="110"/>
        </w:rPr>
        <w:t>that </w:t>
      </w:r>
      <w:r>
        <w:rPr>
          <w:spacing w:val="3"/>
          <w:w w:val="110"/>
        </w:rPr>
        <w:t>theological reflection </w:t>
      </w:r>
      <w:r>
        <w:rPr>
          <w:w w:val="110"/>
        </w:rPr>
        <w:t>on </w:t>
      </w:r>
      <w:r>
        <w:rPr>
          <w:spacing w:val="3"/>
          <w:w w:val="110"/>
        </w:rPr>
        <w:t>these issues </w:t>
      </w:r>
      <w:r>
        <w:rPr>
          <w:spacing w:val="2"/>
          <w:w w:val="110"/>
        </w:rPr>
        <w:t>leads </w:t>
      </w:r>
      <w:r>
        <w:rPr>
          <w:w w:val="110"/>
        </w:rPr>
        <w:t>only in one – obvious – </w:t>
      </w:r>
      <w:r>
        <w:rPr>
          <w:spacing w:val="3"/>
          <w:w w:val="110"/>
        </w:rPr>
        <w:t>direction, </w:t>
      </w:r>
      <w:r>
        <w:rPr>
          <w:w w:val="110"/>
        </w:rPr>
        <w:t>but that is an </w:t>
      </w:r>
      <w:r>
        <w:rPr>
          <w:spacing w:val="2"/>
          <w:w w:val="110"/>
        </w:rPr>
        <w:t>oversimplification.</w:t>
      </w:r>
    </w:p>
    <w:p>
      <w:pPr>
        <w:pStyle w:val="BodyText"/>
        <w:spacing w:before="5"/>
        <w:rPr>
          <w:sz w:val="21"/>
        </w:rPr>
      </w:pPr>
    </w:p>
    <w:p>
      <w:pPr>
        <w:pStyle w:val="BodyText"/>
        <w:spacing w:line="273" w:lineRule="auto"/>
        <w:ind w:left="1368" w:right="1693"/>
      </w:pPr>
      <w:r>
        <w:rPr>
          <w:w w:val="110"/>
        </w:rPr>
        <w:t>Within this </w:t>
      </w:r>
      <w:r>
        <w:rPr>
          <w:spacing w:val="2"/>
          <w:w w:val="110"/>
        </w:rPr>
        <w:t>paper </w:t>
      </w:r>
      <w:r>
        <w:rPr>
          <w:w w:val="110"/>
        </w:rPr>
        <w:t>a </w:t>
      </w:r>
      <w:r>
        <w:rPr>
          <w:spacing w:val="2"/>
          <w:w w:val="110"/>
        </w:rPr>
        <w:t>range </w:t>
      </w:r>
      <w:r>
        <w:rPr>
          <w:w w:val="110"/>
        </w:rPr>
        <w:t>of views </w:t>
      </w:r>
      <w:r>
        <w:rPr>
          <w:spacing w:val="2"/>
          <w:w w:val="110"/>
        </w:rPr>
        <w:t>about </w:t>
      </w:r>
      <w:r>
        <w:rPr>
          <w:w w:val="110"/>
        </w:rPr>
        <w:t>this </w:t>
      </w:r>
      <w:r>
        <w:rPr>
          <w:spacing w:val="3"/>
          <w:w w:val="110"/>
        </w:rPr>
        <w:t>subject </w:t>
      </w:r>
      <w:r>
        <w:rPr>
          <w:spacing w:val="2"/>
          <w:w w:val="110"/>
        </w:rPr>
        <w:t>are </w:t>
      </w:r>
      <w:r>
        <w:rPr>
          <w:spacing w:val="3"/>
          <w:w w:val="110"/>
        </w:rPr>
        <w:t>presented. </w:t>
      </w:r>
      <w:r>
        <w:rPr>
          <w:spacing w:val="2"/>
          <w:w w:val="110"/>
        </w:rPr>
        <w:t>Malcolm </w:t>
      </w:r>
      <w:r>
        <w:rPr>
          <w:w w:val="110"/>
        </w:rPr>
        <w:t>Johnson’s views </w:t>
      </w:r>
      <w:r>
        <w:rPr>
          <w:spacing w:val="2"/>
          <w:w w:val="110"/>
        </w:rPr>
        <w:t>are </w:t>
      </w:r>
      <w:r>
        <w:rPr>
          <w:spacing w:val="3"/>
          <w:w w:val="110"/>
        </w:rPr>
        <w:t>rooted </w:t>
      </w:r>
      <w:r>
        <w:rPr>
          <w:w w:val="110"/>
        </w:rPr>
        <w:t>in  </w:t>
      </w:r>
      <w:r>
        <w:rPr>
          <w:spacing w:val="3"/>
          <w:w w:val="110"/>
        </w:rPr>
        <w:t>theology </w:t>
      </w:r>
      <w:r>
        <w:rPr>
          <w:w w:val="110"/>
        </w:rPr>
        <w:t>as  </w:t>
      </w:r>
      <w:r>
        <w:rPr>
          <w:spacing w:val="2"/>
          <w:w w:val="110"/>
        </w:rPr>
        <w:t>much </w:t>
      </w:r>
      <w:r>
        <w:rPr>
          <w:w w:val="110"/>
        </w:rPr>
        <w:t>as  </w:t>
      </w:r>
      <w:r>
        <w:rPr>
          <w:spacing w:val="2"/>
          <w:w w:val="110"/>
        </w:rPr>
        <w:t>Neil </w:t>
      </w:r>
      <w:r>
        <w:rPr>
          <w:spacing w:val="3"/>
          <w:w w:val="110"/>
        </w:rPr>
        <w:t>Messer’s, </w:t>
      </w:r>
      <w:r>
        <w:rPr>
          <w:spacing w:val="2"/>
          <w:w w:val="110"/>
        </w:rPr>
        <w:t>for example. But </w:t>
      </w:r>
      <w:r>
        <w:rPr>
          <w:w w:val="110"/>
        </w:rPr>
        <w:t>they </w:t>
      </w:r>
      <w:r>
        <w:rPr>
          <w:spacing w:val="2"/>
          <w:w w:val="110"/>
        </w:rPr>
        <w:t>come </w:t>
      </w:r>
      <w:r>
        <w:rPr>
          <w:w w:val="110"/>
        </w:rPr>
        <w:t>to </w:t>
      </w:r>
      <w:r>
        <w:rPr>
          <w:spacing w:val="3"/>
          <w:w w:val="110"/>
        </w:rPr>
        <w:t>different conclusions. </w:t>
      </w:r>
      <w:r>
        <w:rPr>
          <w:w w:val="110"/>
        </w:rPr>
        <w:t>Is it that one is </w:t>
      </w:r>
      <w:r>
        <w:rPr>
          <w:spacing w:val="3"/>
          <w:w w:val="110"/>
        </w:rPr>
        <w:t>wrong </w:t>
      </w:r>
      <w:r>
        <w:rPr>
          <w:w w:val="110"/>
        </w:rPr>
        <w:t>and </w:t>
      </w:r>
      <w:r>
        <w:rPr>
          <w:spacing w:val="2"/>
          <w:w w:val="110"/>
        </w:rPr>
        <w:t>the other right,</w:t>
      </w:r>
      <w:r>
        <w:rPr>
          <w:spacing w:val="73"/>
          <w:w w:val="110"/>
        </w:rPr>
        <w:t> </w:t>
      </w:r>
      <w:r>
        <w:rPr>
          <w:w w:val="110"/>
        </w:rPr>
        <w:t>or that </w:t>
      </w:r>
      <w:r>
        <w:rPr>
          <w:spacing w:val="2"/>
          <w:w w:val="110"/>
        </w:rPr>
        <w:t>both </w:t>
      </w:r>
      <w:r>
        <w:rPr>
          <w:w w:val="110"/>
        </w:rPr>
        <w:t>reveal what </w:t>
      </w:r>
      <w:r>
        <w:rPr>
          <w:spacing w:val="2"/>
          <w:w w:val="110"/>
        </w:rPr>
        <w:t>the other </w:t>
      </w:r>
      <w:r>
        <w:rPr>
          <w:spacing w:val="3"/>
          <w:w w:val="110"/>
        </w:rPr>
        <w:t>neglects, </w:t>
      </w:r>
      <w:r>
        <w:rPr>
          <w:spacing w:val="2"/>
          <w:w w:val="110"/>
        </w:rPr>
        <w:t>so </w:t>
      </w:r>
      <w:r>
        <w:rPr>
          <w:w w:val="110"/>
        </w:rPr>
        <w:t>that we </w:t>
      </w:r>
      <w:r>
        <w:rPr>
          <w:spacing w:val="3"/>
          <w:w w:val="110"/>
        </w:rPr>
        <w:t>can </w:t>
      </w:r>
      <w:r>
        <w:rPr>
          <w:spacing w:val="2"/>
          <w:w w:val="110"/>
        </w:rPr>
        <w:t>see, </w:t>
      </w:r>
      <w:r>
        <w:rPr>
          <w:w w:val="110"/>
        </w:rPr>
        <w:t>as we </w:t>
      </w:r>
      <w:r>
        <w:rPr>
          <w:spacing w:val="2"/>
          <w:w w:val="110"/>
        </w:rPr>
        <w:t>hold them</w:t>
      </w:r>
      <w:r>
        <w:rPr>
          <w:spacing w:val="73"/>
          <w:w w:val="110"/>
        </w:rPr>
        <w:t> </w:t>
      </w:r>
      <w:r>
        <w:rPr>
          <w:w w:val="110"/>
        </w:rPr>
        <w:t>together, a </w:t>
      </w:r>
      <w:r>
        <w:rPr>
          <w:spacing w:val="3"/>
          <w:w w:val="110"/>
        </w:rPr>
        <w:t>more </w:t>
      </w:r>
      <w:r>
        <w:rPr>
          <w:spacing w:val="2"/>
          <w:w w:val="110"/>
        </w:rPr>
        <w:t>nuanced </w:t>
      </w:r>
      <w:r>
        <w:rPr>
          <w:w w:val="110"/>
        </w:rPr>
        <w:t>view? It is our </w:t>
      </w:r>
      <w:r>
        <w:rPr>
          <w:spacing w:val="2"/>
          <w:w w:val="110"/>
        </w:rPr>
        <w:t>hope </w:t>
      </w:r>
      <w:r>
        <w:rPr>
          <w:w w:val="110"/>
        </w:rPr>
        <w:t>and prayer that </w:t>
      </w:r>
      <w:r>
        <w:rPr>
          <w:spacing w:val="2"/>
          <w:w w:val="110"/>
        </w:rPr>
        <w:t>the </w:t>
      </w:r>
      <w:r>
        <w:rPr>
          <w:spacing w:val="4"/>
          <w:w w:val="110"/>
        </w:rPr>
        <w:t>report, </w:t>
      </w:r>
      <w:r>
        <w:rPr>
          <w:w w:val="110"/>
        </w:rPr>
        <w:t>and </w:t>
      </w:r>
      <w:r>
        <w:rPr>
          <w:spacing w:val="2"/>
          <w:w w:val="110"/>
        </w:rPr>
        <w:t>the</w:t>
      </w:r>
      <w:r>
        <w:rPr>
          <w:spacing w:val="73"/>
          <w:w w:val="110"/>
        </w:rPr>
        <w:t> </w:t>
      </w:r>
      <w:r>
        <w:rPr>
          <w:spacing w:val="3"/>
          <w:w w:val="110"/>
        </w:rPr>
        <w:t>study </w:t>
      </w:r>
      <w:r>
        <w:rPr>
          <w:w w:val="110"/>
        </w:rPr>
        <w:t>guide, has </w:t>
      </w:r>
      <w:r>
        <w:rPr>
          <w:spacing w:val="2"/>
          <w:w w:val="110"/>
        </w:rPr>
        <w:t>helped inform </w:t>
      </w:r>
      <w:r>
        <w:rPr>
          <w:w w:val="110"/>
        </w:rPr>
        <w:t>and equip you on your own </w:t>
      </w:r>
      <w:r>
        <w:rPr>
          <w:spacing w:val="3"/>
          <w:w w:val="110"/>
        </w:rPr>
        <w:t>Christian </w:t>
      </w:r>
      <w:r>
        <w:rPr>
          <w:spacing w:val="2"/>
          <w:w w:val="110"/>
        </w:rPr>
        <w:t>journey </w:t>
      </w:r>
      <w:r>
        <w:rPr>
          <w:w w:val="110"/>
        </w:rPr>
        <w:t>and   in </w:t>
      </w:r>
      <w:r>
        <w:rPr>
          <w:spacing w:val="3"/>
          <w:w w:val="110"/>
        </w:rPr>
        <w:t>choices </w:t>
      </w:r>
      <w:r>
        <w:rPr>
          <w:w w:val="110"/>
        </w:rPr>
        <w:t>you may </w:t>
      </w:r>
      <w:r>
        <w:rPr>
          <w:spacing w:val="2"/>
          <w:w w:val="110"/>
        </w:rPr>
        <w:t>be </w:t>
      </w:r>
      <w:r>
        <w:rPr>
          <w:spacing w:val="3"/>
          <w:w w:val="110"/>
        </w:rPr>
        <w:t>called </w:t>
      </w:r>
      <w:r>
        <w:rPr>
          <w:w w:val="110"/>
        </w:rPr>
        <w:t>to</w:t>
      </w:r>
      <w:r>
        <w:rPr>
          <w:spacing w:val="25"/>
          <w:w w:val="110"/>
        </w:rPr>
        <w:t> </w:t>
      </w:r>
      <w:r>
        <w:rPr>
          <w:w w:val="110"/>
        </w:rPr>
        <w:t>make.</w:t>
      </w:r>
    </w:p>
    <w:p>
      <w:pPr>
        <w:spacing w:after="0" w:line="273" w:lineRule="auto"/>
        <w:sectPr>
          <w:pgSz w:w="11910" w:h="16840"/>
          <w:pgMar w:header="558" w:footer="564" w:top="820" w:bottom="760" w:left="460" w:right="0"/>
        </w:sectPr>
      </w:pPr>
    </w:p>
    <w:p>
      <w:pPr>
        <w:pStyle w:val="BodyText"/>
        <w:spacing w:before="5"/>
        <w:rPr>
          <w:sz w:val="16"/>
        </w:rPr>
      </w:pPr>
    </w:p>
    <w:p>
      <w:pPr>
        <w:spacing w:after="0"/>
        <w:rPr>
          <w:sz w:val="16"/>
        </w:rPr>
        <w:sectPr>
          <w:pgSz w:w="11910" w:h="16840"/>
          <w:pgMar w:header="558" w:footer="564" w:top="820" w:bottom="760" w:left="460" w:right="0"/>
        </w:sectPr>
      </w:pPr>
    </w:p>
    <w:p>
      <w:pPr>
        <w:pStyle w:val="BodyText"/>
        <w:spacing w:before="5"/>
        <w:rPr>
          <w:sz w:val="16"/>
        </w:rPr>
      </w:pPr>
    </w:p>
    <w:p>
      <w:pPr>
        <w:spacing w:after="0"/>
        <w:rPr>
          <w:sz w:val="16"/>
        </w:rPr>
        <w:sectPr>
          <w:headerReference w:type="even" r:id="rId295"/>
          <w:footerReference w:type="even" r:id="rId296"/>
          <w:footerReference w:type="default" r:id="rId297"/>
          <w:pgSz w:w="11910" w:h="16840"/>
          <w:pgMar w:header="0" w:footer="484" w:top="1580" w:bottom="680" w:left="460" w:right="0"/>
        </w:sectPr>
      </w:pPr>
    </w:p>
    <w:p>
      <w:pPr>
        <w:pStyle w:val="Heading9"/>
        <w:spacing w:before="69"/>
      </w:pPr>
      <w:r>
        <w:rPr/>
        <w:pict>
          <v:shape style="position:absolute;margin-left:507.100189pt;margin-top:36.840614pt;width:68.850pt;height:609.7pt;mso-position-horizontal-relative:page;mso-position-vertical-relative:page;z-index:251968512" type="#_x0000_t202" filled="false" stroked="false">
            <v:textbox inset="0,0,0,0" style="layout-flow:vertical">
              <w:txbxContent>
                <w:p>
                  <w:pPr>
                    <w:spacing w:line="989" w:lineRule="exact" w:before="20"/>
                    <w:ind w:left="20" w:right="0" w:firstLine="0"/>
                    <w:jc w:val="left"/>
                    <w:rPr>
                      <w:b/>
                      <w:sz w:val="88"/>
                    </w:rPr>
                  </w:pPr>
                  <w:r>
                    <w:rPr>
                      <w:b/>
                      <w:color w:val="231F20"/>
                      <w:sz w:val="88"/>
                    </w:rPr>
                    <w:t>Commitment for Life</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color w:val="231F20"/>
          <w:w w:val="110"/>
        </w:rPr>
        <w:t>Our Mission</w:t>
      </w:r>
    </w:p>
    <w:p>
      <w:pPr>
        <w:pStyle w:val="BodyText"/>
        <w:spacing w:line="273" w:lineRule="auto" w:before="258"/>
        <w:ind w:left="1240" w:right="2219"/>
      </w:pPr>
      <w:r>
        <w:rPr>
          <w:color w:val="231F20"/>
          <w:w w:val="110"/>
        </w:rPr>
        <w:t>Commitment for Life works for justice, for hope and for the future. </w:t>
      </w:r>
      <w:r>
        <w:rPr>
          <w:color w:val="231F20"/>
          <w:spacing w:val="-3"/>
          <w:w w:val="110"/>
        </w:rPr>
        <w:t>We </w:t>
      </w:r>
      <w:r>
        <w:rPr>
          <w:color w:val="231F20"/>
          <w:w w:val="110"/>
        </w:rPr>
        <w:t>work through Christian Aid and the World Development Movement. The </w:t>
      </w:r>
      <w:r>
        <w:rPr>
          <w:color w:val="231F20"/>
          <w:spacing w:val="3"/>
          <w:w w:val="110"/>
        </w:rPr>
        <w:t>story </w:t>
      </w:r>
      <w:r>
        <w:rPr>
          <w:color w:val="231F20"/>
          <w:w w:val="110"/>
        </w:rPr>
        <w:t>of Amina Begum illustrates why we make a connection between our faith and lifestyle. The Bible is full of stories that show us how to treat our neighbour in </w:t>
      </w:r>
      <w:r>
        <w:rPr>
          <w:color w:val="231F20"/>
          <w:spacing w:val="2"/>
          <w:w w:val="110"/>
        </w:rPr>
        <w:t>response </w:t>
      </w:r>
      <w:r>
        <w:rPr>
          <w:color w:val="231F20"/>
          <w:w w:val="110"/>
        </w:rPr>
        <w:t>to God’s love for us. </w:t>
      </w:r>
      <w:r>
        <w:rPr>
          <w:color w:val="231F20"/>
          <w:spacing w:val="2"/>
          <w:w w:val="110"/>
        </w:rPr>
        <w:t>As </w:t>
      </w:r>
      <w:r>
        <w:rPr>
          <w:color w:val="231F20"/>
          <w:w w:val="110"/>
        </w:rPr>
        <w:t>we are reminded in Galatians </w:t>
      </w:r>
      <w:r>
        <w:rPr>
          <w:color w:val="231F20"/>
          <w:spacing w:val="-10"/>
          <w:w w:val="110"/>
        </w:rPr>
        <w:t>5:14 </w:t>
      </w:r>
      <w:r>
        <w:rPr>
          <w:color w:val="231F20"/>
          <w:w w:val="110"/>
        </w:rPr>
        <w:t>“Love your neighbour as</w:t>
      </w:r>
      <w:r>
        <w:rPr>
          <w:color w:val="231F20"/>
          <w:spacing w:val="1"/>
          <w:w w:val="110"/>
        </w:rPr>
        <w:t> </w:t>
      </w:r>
      <w:r>
        <w:rPr>
          <w:color w:val="231F20"/>
          <w:w w:val="110"/>
        </w:rPr>
        <w:t>yourself.”</w:t>
      </w:r>
    </w:p>
    <w:p>
      <w:pPr>
        <w:pStyle w:val="BodyText"/>
        <w:spacing w:before="11"/>
        <w:rPr>
          <w:sz w:val="20"/>
        </w:rPr>
      </w:pPr>
    </w:p>
    <w:p>
      <w:pPr>
        <w:pStyle w:val="BodyText"/>
        <w:spacing w:line="273" w:lineRule="auto"/>
        <w:ind w:left="5095" w:right="2164"/>
      </w:pPr>
      <w:r>
        <w:rPr>
          <w:color w:val="231F20"/>
          <w:w w:val="110"/>
        </w:rPr>
        <w:t>Amina’s family have been </w:t>
      </w:r>
      <w:r>
        <w:rPr>
          <w:color w:val="231F20"/>
          <w:spacing w:val="2"/>
          <w:w w:val="110"/>
        </w:rPr>
        <w:t>forced </w:t>
      </w:r>
      <w:r>
        <w:rPr>
          <w:color w:val="231F20"/>
          <w:w w:val="110"/>
        </w:rPr>
        <w:t>to move three times already as slowly, inexorably the River Padma </w:t>
      </w:r>
      <w:r>
        <w:rPr>
          <w:color w:val="231F20"/>
          <w:spacing w:val="-3"/>
          <w:w w:val="110"/>
        </w:rPr>
        <w:t>(Ganges) </w:t>
      </w:r>
      <w:r>
        <w:rPr>
          <w:color w:val="231F20"/>
          <w:w w:val="110"/>
        </w:rPr>
        <w:t>has pushed them back. And each time they move they lose more than just their</w:t>
      </w:r>
      <w:r>
        <w:rPr>
          <w:color w:val="231F20"/>
          <w:spacing w:val="32"/>
          <w:w w:val="110"/>
        </w:rPr>
        <w:t> </w:t>
      </w:r>
      <w:r>
        <w:rPr>
          <w:color w:val="231F20"/>
          <w:w w:val="110"/>
        </w:rPr>
        <w:t>house</w:t>
      </w:r>
    </w:p>
    <w:p>
      <w:pPr>
        <w:pStyle w:val="BodyText"/>
        <w:spacing w:line="273" w:lineRule="auto" w:before="3"/>
        <w:ind w:left="5095" w:right="2348"/>
      </w:pPr>
      <w:r>
        <w:rPr>
          <w:color w:val="231F20"/>
          <w:w w:val="110"/>
        </w:rPr>
        <w:t>– they lose security, money and hope for the future.</w:t>
      </w:r>
    </w:p>
    <w:p>
      <w:pPr>
        <w:pStyle w:val="BodyText"/>
        <w:spacing w:before="8"/>
        <w:rPr>
          <w:sz w:val="20"/>
        </w:rPr>
      </w:pPr>
    </w:p>
    <w:p>
      <w:pPr>
        <w:pStyle w:val="BodyText"/>
        <w:spacing w:line="273" w:lineRule="auto"/>
        <w:ind w:left="5095" w:right="2353"/>
      </w:pPr>
      <w:r>
        <w:rPr>
          <w:color w:val="231F20"/>
          <w:w w:val="110"/>
        </w:rPr>
        <w:t>Amina </w:t>
      </w:r>
      <w:r>
        <w:rPr>
          <w:color w:val="231F20"/>
          <w:spacing w:val="2"/>
          <w:w w:val="110"/>
        </w:rPr>
        <w:t>remembers </w:t>
      </w:r>
      <w:r>
        <w:rPr>
          <w:color w:val="231F20"/>
          <w:w w:val="110"/>
        </w:rPr>
        <w:t>the </w:t>
      </w:r>
      <w:r>
        <w:rPr>
          <w:color w:val="231F20"/>
          <w:spacing w:val="2"/>
          <w:w w:val="110"/>
        </w:rPr>
        <w:t>forced </w:t>
      </w:r>
      <w:r>
        <w:rPr>
          <w:color w:val="231F20"/>
          <w:w w:val="110"/>
        </w:rPr>
        <w:t>moves all too well. “Since we first lost our land to the </w:t>
      </w:r>
      <w:r>
        <w:rPr>
          <w:color w:val="231F20"/>
          <w:spacing w:val="-3"/>
          <w:w w:val="110"/>
        </w:rPr>
        <w:t>river, </w:t>
      </w:r>
      <w:r>
        <w:rPr>
          <w:color w:val="231F20"/>
          <w:w w:val="110"/>
        </w:rPr>
        <w:t>we never had enough food or clothes for </w:t>
      </w:r>
      <w:r>
        <w:rPr>
          <w:color w:val="231F20"/>
          <w:spacing w:val="-3"/>
          <w:w w:val="110"/>
        </w:rPr>
        <w:t>us,” </w:t>
      </w:r>
      <w:r>
        <w:rPr>
          <w:color w:val="231F20"/>
          <w:w w:val="110"/>
        </w:rPr>
        <w:t>she says. It is </w:t>
      </w:r>
      <w:r>
        <w:rPr>
          <w:color w:val="231F20"/>
          <w:spacing w:val="2"/>
          <w:w w:val="110"/>
        </w:rPr>
        <w:t>because </w:t>
      </w:r>
      <w:r>
        <w:rPr>
          <w:color w:val="231F20"/>
          <w:w w:val="110"/>
        </w:rPr>
        <w:t>of CCDB’s* work and the family’s own determination that they are getting back on their feet</w:t>
      </w:r>
      <w:r>
        <w:rPr>
          <w:color w:val="231F20"/>
          <w:spacing w:val="8"/>
          <w:w w:val="110"/>
        </w:rPr>
        <w:t> </w:t>
      </w:r>
      <w:r>
        <w:rPr>
          <w:color w:val="231F20"/>
          <w:w w:val="110"/>
        </w:rPr>
        <w:t>again.</w:t>
      </w:r>
    </w:p>
    <w:p>
      <w:pPr>
        <w:pStyle w:val="BodyText"/>
        <w:spacing w:before="11"/>
        <w:rPr>
          <w:sz w:val="20"/>
        </w:rPr>
      </w:pPr>
    </w:p>
    <w:p>
      <w:pPr>
        <w:pStyle w:val="BodyText"/>
        <w:spacing w:line="273" w:lineRule="auto" w:before="1"/>
        <w:ind w:left="5095" w:right="2053"/>
      </w:pPr>
      <w:r>
        <w:rPr>
          <w:color w:val="231F20"/>
          <w:w w:val="110"/>
        </w:rPr>
        <w:t>“I got a CCDB loan to buy two goats.” Amina says. “They have had two kids. We’ll probably sell the goats and invest the </w:t>
      </w:r>
      <w:r>
        <w:rPr>
          <w:color w:val="231F20"/>
          <w:spacing w:val="-4"/>
          <w:w w:val="110"/>
        </w:rPr>
        <w:t>money. </w:t>
      </w:r>
      <w:r>
        <w:rPr>
          <w:color w:val="231F20"/>
          <w:w w:val="110"/>
        </w:rPr>
        <w:t>Before I joined CCDB, I had no money to save. Now I will have something to fall back</w:t>
      </w:r>
      <w:r>
        <w:rPr>
          <w:color w:val="231F20"/>
          <w:spacing w:val="3"/>
          <w:w w:val="110"/>
        </w:rPr>
        <w:t> </w:t>
      </w:r>
      <w:r>
        <w:rPr>
          <w:color w:val="231F20"/>
          <w:spacing w:val="-4"/>
          <w:w w:val="110"/>
        </w:rPr>
        <w:t>on.”</w:t>
      </w:r>
    </w:p>
    <w:p>
      <w:pPr>
        <w:pStyle w:val="BodyText"/>
        <w:spacing w:before="10"/>
        <w:rPr>
          <w:sz w:val="20"/>
        </w:rPr>
      </w:pPr>
    </w:p>
    <w:p>
      <w:pPr>
        <w:pStyle w:val="BodyText"/>
        <w:spacing w:line="273" w:lineRule="auto"/>
        <w:ind w:left="1240" w:right="2348"/>
      </w:pPr>
      <w:r>
        <w:rPr>
          <w:color w:val="231F20"/>
          <w:w w:val="110"/>
        </w:rPr>
        <w:t>But nothing is </w:t>
      </w:r>
      <w:r>
        <w:rPr>
          <w:color w:val="231F20"/>
          <w:spacing w:val="2"/>
          <w:w w:val="110"/>
        </w:rPr>
        <w:t>certain </w:t>
      </w:r>
      <w:r>
        <w:rPr>
          <w:color w:val="231F20"/>
          <w:w w:val="110"/>
        </w:rPr>
        <w:t>for Amina and she </w:t>
      </w:r>
      <w:r>
        <w:rPr>
          <w:color w:val="231F20"/>
          <w:spacing w:val="2"/>
          <w:w w:val="110"/>
        </w:rPr>
        <w:t>fears </w:t>
      </w:r>
      <w:r>
        <w:rPr>
          <w:color w:val="231F20"/>
          <w:w w:val="110"/>
        </w:rPr>
        <w:t>for the future. “This place is only about 1.5km </w:t>
      </w:r>
      <w:r>
        <w:rPr>
          <w:color w:val="231F20"/>
          <w:spacing w:val="2"/>
          <w:w w:val="110"/>
        </w:rPr>
        <w:t>from </w:t>
      </w:r>
      <w:r>
        <w:rPr>
          <w:color w:val="231F20"/>
          <w:w w:val="110"/>
        </w:rPr>
        <w:t>the river bank so one day it will be taken too. Nobody can </w:t>
      </w:r>
      <w:r>
        <w:rPr>
          <w:color w:val="231F20"/>
          <w:spacing w:val="2"/>
          <w:w w:val="110"/>
        </w:rPr>
        <w:t>predict </w:t>
      </w:r>
      <w:r>
        <w:rPr>
          <w:color w:val="231F20"/>
          <w:w w:val="110"/>
        </w:rPr>
        <w:t>when it will happen, so we are saving some money so that we can buy land somewhere else. The trouble is we can’t go too far </w:t>
      </w:r>
      <w:r>
        <w:rPr>
          <w:color w:val="231F20"/>
          <w:spacing w:val="2"/>
          <w:w w:val="110"/>
        </w:rPr>
        <w:t>because </w:t>
      </w:r>
      <w:r>
        <w:rPr>
          <w:color w:val="231F20"/>
          <w:w w:val="110"/>
        </w:rPr>
        <w:t>the land </w:t>
      </w:r>
      <w:r>
        <w:rPr>
          <w:color w:val="231F20"/>
          <w:spacing w:val="2"/>
          <w:w w:val="110"/>
        </w:rPr>
        <w:t>further </w:t>
      </w:r>
      <w:r>
        <w:rPr>
          <w:color w:val="231F20"/>
          <w:w w:val="110"/>
        </w:rPr>
        <w:t>away </w:t>
      </w:r>
      <w:r>
        <w:rPr>
          <w:color w:val="231F20"/>
          <w:spacing w:val="2"/>
          <w:w w:val="110"/>
        </w:rPr>
        <w:t>costs </w:t>
      </w:r>
      <w:r>
        <w:rPr>
          <w:color w:val="231F20"/>
          <w:w w:val="110"/>
        </w:rPr>
        <w:t>so much</w:t>
      </w:r>
      <w:r>
        <w:rPr>
          <w:color w:val="231F20"/>
          <w:spacing w:val="2"/>
          <w:w w:val="110"/>
        </w:rPr>
        <w:t> </w:t>
      </w:r>
      <w:r>
        <w:rPr>
          <w:color w:val="231F20"/>
          <w:spacing w:val="-4"/>
          <w:w w:val="110"/>
        </w:rPr>
        <w:t>money.”</w:t>
      </w:r>
    </w:p>
    <w:p>
      <w:pPr>
        <w:pStyle w:val="BodyText"/>
        <w:spacing w:before="10"/>
        <w:rPr>
          <w:sz w:val="20"/>
        </w:rPr>
      </w:pPr>
    </w:p>
    <w:p>
      <w:pPr>
        <w:pStyle w:val="BodyText"/>
        <w:ind w:left="1240"/>
      </w:pPr>
      <w:r>
        <w:rPr>
          <w:color w:val="231F20"/>
          <w:w w:val="110"/>
        </w:rPr>
        <w:t>CCDB continues to work to help those affected by climate change in Bangladesh</w:t>
      </w:r>
    </w:p>
    <w:p>
      <w:pPr>
        <w:pStyle w:val="BodyText"/>
        <w:spacing w:line="273" w:lineRule="auto" w:before="32"/>
        <w:ind w:left="1240" w:right="2348"/>
      </w:pPr>
      <w:r>
        <w:rPr>
          <w:color w:val="231F20"/>
          <w:w w:val="110"/>
        </w:rPr>
        <w:t>– those who have done next to nothing to contribute to the problem but are paying an unfairly high price as their homes and livelihoods are destroyed.</w:t>
      </w:r>
    </w:p>
    <w:p>
      <w:pPr>
        <w:pStyle w:val="BodyText"/>
        <w:spacing w:before="1"/>
      </w:pPr>
    </w:p>
    <w:p>
      <w:pPr>
        <w:pStyle w:val="BodyText"/>
        <w:ind w:right="2280"/>
        <w:jc w:val="right"/>
      </w:pPr>
      <w:r>
        <w:rPr>
          <w:color w:val="231F20"/>
        </w:rPr>
        <w:t>Christian Aid/Amanda</w:t>
      </w:r>
      <w:r>
        <w:rPr>
          <w:color w:val="231F20"/>
          <w:spacing w:val="6"/>
        </w:rPr>
        <w:t> </w:t>
      </w:r>
      <w:r>
        <w:rPr>
          <w:color w:val="231F20"/>
        </w:rPr>
        <w:t>Farrant</w:t>
      </w:r>
    </w:p>
    <w:p>
      <w:pPr>
        <w:pStyle w:val="BodyText"/>
        <w:spacing w:before="2"/>
        <w:ind w:right="2281"/>
        <w:jc w:val="right"/>
      </w:pPr>
      <w:r>
        <w:rPr>
          <w:color w:val="231F20"/>
        </w:rPr>
        <w:t>*Christian Commission for Development in</w:t>
      </w:r>
      <w:r>
        <w:rPr>
          <w:color w:val="231F20"/>
          <w:spacing w:val="36"/>
        </w:rPr>
        <w:t> </w:t>
      </w:r>
      <w:r>
        <w:rPr>
          <w:color w:val="231F20"/>
        </w:rPr>
        <w:t>Bangladesh</w:t>
      </w:r>
    </w:p>
    <w:p>
      <w:pPr>
        <w:pStyle w:val="BodyText"/>
        <w:spacing w:before="10"/>
        <w:rPr>
          <w:sz w:val="28"/>
        </w:rPr>
      </w:pPr>
    </w:p>
    <w:p>
      <w:pPr>
        <w:spacing w:before="1"/>
        <w:ind w:left="1240" w:right="0" w:firstLine="0"/>
        <w:jc w:val="left"/>
        <w:rPr>
          <w:b/>
          <w:sz w:val="20"/>
        </w:rPr>
      </w:pPr>
      <w:r>
        <w:rPr>
          <w:b/>
          <w:color w:val="231F20"/>
          <w:w w:val="110"/>
          <w:sz w:val="20"/>
        </w:rPr>
        <w:t>Campaigning</w:t>
      </w:r>
    </w:p>
    <w:p>
      <w:pPr>
        <w:pStyle w:val="BodyText"/>
        <w:spacing w:before="27"/>
        <w:ind w:left="1240"/>
      </w:pPr>
      <w:r>
        <w:rPr>
          <w:color w:val="231F20"/>
          <w:w w:val="110"/>
        </w:rPr>
        <w:t>Supporters showed their support for justice issues through:-</w:t>
      </w:r>
    </w:p>
    <w:p>
      <w:pPr>
        <w:pStyle w:val="ListParagraph"/>
        <w:numPr>
          <w:ilvl w:val="2"/>
          <w:numId w:val="117"/>
        </w:numPr>
        <w:tabs>
          <w:tab w:pos="1921" w:val="left" w:leader="none"/>
          <w:tab w:pos="1922" w:val="left" w:leader="none"/>
        </w:tabs>
        <w:spacing w:line="277" w:lineRule="exact" w:before="0" w:after="0"/>
        <w:ind w:left="1921" w:right="0" w:hanging="682"/>
        <w:jc w:val="left"/>
        <w:rPr>
          <w:sz w:val="18"/>
        </w:rPr>
      </w:pPr>
      <w:r>
        <w:rPr>
          <w:color w:val="231F20"/>
          <w:w w:val="110"/>
          <w:sz w:val="18"/>
        </w:rPr>
        <w:t>‘The Beat Goes on’ events – July</w:t>
      </w:r>
      <w:r>
        <w:rPr>
          <w:color w:val="231F20"/>
          <w:spacing w:val="9"/>
          <w:w w:val="110"/>
          <w:sz w:val="18"/>
        </w:rPr>
        <w:t> </w:t>
      </w:r>
      <w:r>
        <w:rPr>
          <w:color w:val="231F20"/>
          <w:w w:val="110"/>
          <w:sz w:val="18"/>
        </w:rPr>
        <w:t>2006</w:t>
      </w:r>
    </w:p>
    <w:p>
      <w:pPr>
        <w:pStyle w:val="ListParagraph"/>
        <w:numPr>
          <w:ilvl w:val="2"/>
          <w:numId w:val="117"/>
        </w:numPr>
        <w:tabs>
          <w:tab w:pos="1921" w:val="left" w:leader="none"/>
          <w:tab w:pos="1922" w:val="left" w:leader="none"/>
        </w:tabs>
        <w:spacing w:line="250" w:lineRule="exact" w:before="0" w:after="0"/>
        <w:ind w:left="1921" w:right="0" w:hanging="682"/>
        <w:jc w:val="left"/>
        <w:rPr>
          <w:sz w:val="18"/>
        </w:rPr>
      </w:pPr>
      <w:r>
        <w:rPr>
          <w:color w:val="231F20"/>
          <w:w w:val="110"/>
          <w:sz w:val="18"/>
        </w:rPr>
        <w:t>‘The Beat Goes on’ Rally – September </w:t>
      </w:r>
      <w:r>
        <w:rPr>
          <w:color w:val="231F20"/>
          <w:spacing w:val="9"/>
          <w:w w:val="110"/>
          <w:sz w:val="18"/>
        </w:rPr>
        <w:t> </w:t>
      </w:r>
      <w:r>
        <w:rPr>
          <w:color w:val="231F20"/>
          <w:w w:val="110"/>
          <w:sz w:val="18"/>
        </w:rPr>
        <w:t>2006</w:t>
      </w:r>
    </w:p>
    <w:p>
      <w:pPr>
        <w:pStyle w:val="ListParagraph"/>
        <w:numPr>
          <w:ilvl w:val="2"/>
          <w:numId w:val="117"/>
        </w:numPr>
        <w:tabs>
          <w:tab w:pos="1921" w:val="left" w:leader="none"/>
          <w:tab w:pos="1922" w:val="left" w:leader="none"/>
        </w:tabs>
        <w:spacing w:line="250" w:lineRule="exact" w:before="0" w:after="0"/>
        <w:ind w:left="1921" w:right="0" w:hanging="682"/>
        <w:jc w:val="left"/>
        <w:rPr>
          <w:sz w:val="18"/>
        </w:rPr>
      </w:pPr>
      <w:r>
        <w:rPr>
          <w:color w:val="231F20"/>
          <w:w w:val="110"/>
          <w:sz w:val="18"/>
        </w:rPr>
        <w:t>Stop Climate Chaos Rally – November</w:t>
      </w:r>
      <w:r>
        <w:rPr>
          <w:color w:val="231F20"/>
          <w:spacing w:val="61"/>
          <w:w w:val="110"/>
          <w:sz w:val="18"/>
        </w:rPr>
        <w:t> </w:t>
      </w:r>
      <w:r>
        <w:rPr>
          <w:color w:val="231F20"/>
          <w:w w:val="110"/>
          <w:sz w:val="18"/>
        </w:rPr>
        <w:t>2006</w:t>
      </w:r>
    </w:p>
    <w:p>
      <w:pPr>
        <w:pStyle w:val="ListParagraph"/>
        <w:numPr>
          <w:ilvl w:val="2"/>
          <w:numId w:val="117"/>
        </w:numPr>
        <w:tabs>
          <w:tab w:pos="1921" w:val="left" w:leader="none"/>
          <w:tab w:pos="1922" w:val="left" w:leader="none"/>
        </w:tabs>
        <w:spacing w:line="250" w:lineRule="exact" w:before="0" w:after="0"/>
        <w:ind w:left="1921" w:right="0" w:hanging="682"/>
        <w:jc w:val="left"/>
        <w:rPr>
          <w:sz w:val="18"/>
        </w:rPr>
      </w:pPr>
      <w:r>
        <w:rPr>
          <w:color w:val="231F20"/>
          <w:w w:val="110"/>
          <w:sz w:val="18"/>
        </w:rPr>
        <w:t>Trade Justice Action against </w:t>
      </w:r>
      <w:r>
        <w:rPr>
          <w:color w:val="231F20"/>
          <w:spacing w:val="-4"/>
          <w:w w:val="110"/>
          <w:sz w:val="18"/>
        </w:rPr>
        <w:t>EPA’s </w:t>
      </w:r>
      <w:r>
        <w:rPr>
          <w:color w:val="231F20"/>
          <w:w w:val="110"/>
          <w:sz w:val="18"/>
        </w:rPr>
        <w:t>– April</w:t>
      </w:r>
      <w:r>
        <w:rPr>
          <w:color w:val="231F20"/>
          <w:spacing w:val="14"/>
          <w:w w:val="110"/>
          <w:sz w:val="18"/>
        </w:rPr>
        <w:t> </w:t>
      </w:r>
      <w:r>
        <w:rPr>
          <w:color w:val="231F20"/>
          <w:w w:val="110"/>
          <w:sz w:val="18"/>
        </w:rPr>
        <w:t>2007</w:t>
      </w:r>
    </w:p>
    <w:p>
      <w:pPr>
        <w:pStyle w:val="ListParagraph"/>
        <w:numPr>
          <w:ilvl w:val="2"/>
          <w:numId w:val="117"/>
        </w:numPr>
        <w:tabs>
          <w:tab w:pos="1921" w:val="left" w:leader="none"/>
          <w:tab w:pos="1922" w:val="left" w:leader="none"/>
        </w:tabs>
        <w:spacing w:line="218" w:lineRule="auto" w:before="0" w:after="0"/>
        <w:ind w:left="1921" w:right="3244" w:hanging="681"/>
        <w:jc w:val="left"/>
        <w:rPr>
          <w:sz w:val="18"/>
        </w:rPr>
      </w:pPr>
      <w:r>
        <w:rPr>
          <w:color w:val="231F20"/>
          <w:w w:val="110"/>
          <w:sz w:val="18"/>
        </w:rPr>
        <w:t>Sending </w:t>
      </w:r>
      <w:r>
        <w:rPr>
          <w:color w:val="231F20"/>
          <w:spacing w:val="2"/>
          <w:w w:val="110"/>
          <w:sz w:val="18"/>
        </w:rPr>
        <w:t>postcards </w:t>
      </w:r>
      <w:r>
        <w:rPr>
          <w:color w:val="231F20"/>
          <w:w w:val="110"/>
          <w:sz w:val="18"/>
        </w:rPr>
        <w:t>and </w:t>
      </w:r>
      <w:r>
        <w:rPr>
          <w:color w:val="231F20"/>
          <w:spacing w:val="2"/>
          <w:w w:val="110"/>
          <w:sz w:val="18"/>
        </w:rPr>
        <w:t>letters </w:t>
      </w:r>
      <w:r>
        <w:rPr>
          <w:color w:val="231F20"/>
          <w:w w:val="110"/>
          <w:sz w:val="18"/>
        </w:rPr>
        <w:t>on concerns about trade, debt, HIV/AIDS and climate</w:t>
      </w:r>
      <w:r>
        <w:rPr>
          <w:color w:val="231F20"/>
          <w:spacing w:val="3"/>
          <w:w w:val="110"/>
          <w:sz w:val="18"/>
        </w:rPr>
        <w:t> </w:t>
      </w:r>
      <w:r>
        <w:rPr>
          <w:color w:val="231F20"/>
          <w:w w:val="110"/>
          <w:sz w:val="18"/>
        </w:rPr>
        <w:t>change.</w:t>
      </w:r>
    </w:p>
    <w:p>
      <w:pPr>
        <w:pStyle w:val="ListParagraph"/>
        <w:numPr>
          <w:ilvl w:val="2"/>
          <w:numId w:val="117"/>
        </w:numPr>
        <w:tabs>
          <w:tab w:pos="1921" w:val="left" w:leader="none"/>
          <w:tab w:pos="1922" w:val="left" w:leader="none"/>
        </w:tabs>
        <w:spacing w:line="240" w:lineRule="auto" w:before="0" w:after="0"/>
        <w:ind w:left="1921" w:right="0" w:hanging="682"/>
        <w:jc w:val="left"/>
        <w:rPr>
          <w:sz w:val="18"/>
        </w:rPr>
      </w:pPr>
      <w:r>
        <w:rPr>
          <w:color w:val="231F20"/>
          <w:w w:val="110"/>
          <w:sz w:val="18"/>
        </w:rPr>
        <w:t>Raising awareness of issues through worship and</w:t>
      </w:r>
      <w:r>
        <w:rPr>
          <w:color w:val="231F20"/>
          <w:spacing w:val="16"/>
          <w:w w:val="110"/>
          <w:sz w:val="18"/>
        </w:rPr>
        <w:t> </w:t>
      </w:r>
      <w:r>
        <w:rPr>
          <w:color w:val="231F20"/>
          <w:w w:val="110"/>
          <w:sz w:val="18"/>
        </w:rPr>
        <w:t>events.</w:t>
      </w:r>
    </w:p>
    <w:p>
      <w:pPr>
        <w:spacing w:after="0" w:line="240" w:lineRule="auto"/>
        <w:jc w:val="left"/>
        <w:rPr>
          <w:sz w:val="18"/>
        </w:rPr>
        <w:sectPr>
          <w:headerReference w:type="default" r:id="rId298"/>
          <w:pgSz w:w="11910" w:h="16840"/>
          <w:pgMar w:header="0" w:footer="564" w:top="1360" w:bottom="760" w:left="460" w:right="0"/>
        </w:sectPr>
      </w:pPr>
    </w:p>
    <w:p>
      <w:pPr>
        <w:spacing w:before="28"/>
        <w:ind w:left="0" w:right="1131" w:firstLine="0"/>
        <w:jc w:val="right"/>
        <w:rPr>
          <w:rFonts w:ascii="Eurostile Bold"/>
          <w:b/>
          <w:sz w:val="28"/>
        </w:rPr>
      </w:pPr>
      <w:r>
        <w:rPr>
          <w:rFonts w:ascii="Eurostile Bold"/>
          <w:b/>
          <w:color w:val="A7A9AC"/>
          <w:w w:val="85"/>
          <w:sz w:val="28"/>
        </w:rPr>
        <w:t>Commitment for Life</w:t>
      </w:r>
    </w:p>
    <w:p>
      <w:pPr>
        <w:pStyle w:val="BodyText"/>
        <w:spacing w:before="2"/>
        <w:rPr>
          <w:rFonts w:ascii="Eurostile Bold"/>
          <w:b/>
          <w:sz w:val="12"/>
        </w:rPr>
      </w:pPr>
    </w:p>
    <w:p>
      <w:pPr>
        <w:spacing w:line="241" w:lineRule="exact" w:before="99"/>
        <w:ind w:left="673" w:right="0" w:firstLine="0"/>
        <w:jc w:val="left"/>
        <w:rPr>
          <w:b/>
          <w:sz w:val="20"/>
        </w:rPr>
      </w:pPr>
      <w:r>
        <w:rPr>
          <w:b/>
          <w:color w:val="231F20"/>
          <w:w w:val="110"/>
          <w:sz w:val="20"/>
        </w:rPr>
        <w:t>Working Ecumenically</w:t>
      </w:r>
    </w:p>
    <w:p>
      <w:pPr>
        <w:pStyle w:val="ListParagraph"/>
        <w:numPr>
          <w:ilvl w:val="0"/>
          <w:numId w:val="2"/>
        </w:numPr>
        <w:tabs>
          <w:tab w:pos="1354" w:val="left" w:leader="none"/>
          <w:tab w:pos="1355" w:val="left" w:leader="none"/>
        </w:tabs>
        <w:spacing w:line="218" w:lineRule="auto" w:before="17" w:after="0"/>
        <w:ind w:left="1354" w:right="2072" w:hanging="681"/>
        <w:jc w:val="left"/>
        <w:rPr>
          <w:color w:val="231F20"/>
          <w:sz w:val="25"/>
        </w:rPr>
      </w:pPr>
      <w:r>
        <w:rPr>
          <w:color w:val="231F20"/>
          <w:w w:val="110"/>
          <w:sz w:val="18"/>
        </w:rPr>
        <w:t>Through the AIDS group. The Christmas </w:t>
      </w:r>
      <w:r>
        <w:rPr>
          <w:color w:val="231F20"/>
          <w:spacing w:val="2"/>
          <w:w w:val="110"/>
          <w:sz w:val="18"/>
        </w:rPr>
        <w:t>resource ‘Cry </w:t>
      </w:r>
      <w:r>
        <w:rPr>
          <w:color w:val="231F20"/>
          <w:w w:val="110"/>
          <w:sz w:val="18"/>
        </w:rPr>
        <w:t>of the Child’ highlighted </w:t>
      </w:r>
      <w:r>
        <w:rPr>
          <w:color w:val="231F20"/>
          <w:spacing w:val="2"/>
          <w:w w:val="110"/>
          <w:sz w:val="18"/>
        </w:rPr>
        <w:t>stories </w:t>
      </w:r>
      <w:r>
        <w:rPr>
          <w:color w:val="231F20"/>
          <w:w w:val="110"/>
          <w:sz w:val="18"/>
        </w:rPr>
        <w:t>and actions.</w:t>
      </w:r>
    </w:p>
    <w:p>
      <w:pPr>
        <w:pStyle w:val="ListParagraph"/>
        <w:numPr>
          <w:ilvl w:val="0"/>
          <w:numId w:val="2"/>
        </w:numPr>
        <w:tabs>
          <w:tab w:pos="1354" w:val="left" w:leader="none"/>
          <w:tab w:pos="1355" w:val="left" w:leader="none"/>
        </w:tabs>
        <w:spacing w:line="250" w:lineRule="exact" w:before="17" w:after="0"/>
        <w:ind w:left="1354" w:right="1658" w:hanging="681"/>
        <w:jc w:val="left"/>
        <w:rPr>
          <w:color w:val="231F20"/>
          <w:sz w:val="25"/>
        </w:rPr>
      </w:pPr>
      <w:r>
        <w:rPr>
          <w:color w:val="231F20"/>
          <w:w w:val="110"/>
          <w:sz w:val="18"/>
        </w:rPr>
        <w:t>For peace and reconciliation in Israel and the Occupied Palestinian Territories.    This issue is given voice through Moving Stories, our monthly e-publication. The annual Israel/Palestine Activist Day allowed people to explore the situation whilst many</w:t>
      </w:r>
      <w:r>
        <w:rPr>
          <w:color w:val="231F20"/>
          <w:spacing w:val="9"/>
          <w:w w:val="110"/>
          <w:sz w:val="18"/>
        </w:rPr>
        <w:t> </w:t>
      </w:r>
      <w:r>
        <w:rPr>
          <w:color w:val="231F20"/>
          <w:w w:val="110"/>
          <w:sz w:val="18"/>
        </w:rPr>
        <w:t>of</w:t>
      </w:r>
      <w:r>
        <w:rPr>
          <w:color w:val="231F20"/>
          <w:spacing w:val="9"/>
          <w:w w:val="110"/>
          <w:sz w:val="18"/>
        </w:rPr>
        <w:t> </w:t>
      </w:r>
      <w:r>
        <w:rPr>
          <w:color w:val="231F20"/>
          <w:w w:val="110"/>
          <w:sz w:val="18"/>
        </w:rPr>
        <w:t>our</w:t>
      </w:r>
      <w:r>
        <w:rPr>
          <w:color w:val="231F20"/>
          <w:spacing w:val="9"/>
          <w:w w:val="110"/>
          <w:sz w:val="18"/>
        </w:rPr>
        <w:t> </w:t>
      </w:r>
      <w:r>
        <w:rPr>
          <w:color w:val="231F20"/>
          <w:spacing w:val="2"/>
          <w:w w:val="110"/>
          <w:sz w:val="18"/>
        </w:rPr>
        <w:t>activists</w:t>
      </w:r>
      <w:r>
        <w:rPr>
          <w:color w:val="231F20"/>
          <w:spacing w:val="9"/>
          <w:w w:val="110"/>
          <w:sz w:val="18"/>
        </w:rPr>
        <w:t> </w:t>
      </w:r>
      <w:r>
        <w:rPr>
          <w:color w:val="231F20"/>
          <w:w w:val="110"/>
          <w:sz w:val="18"/>
        </w:rPr>
        <w:t>attended</w:t>
      </w:r>
      <w:r>
        <w:rPr>
          <w:color w:val="231F20"/>
          <w:spacing w:val="9"/>
          <w:w w:val="110"/>
          <w:sz w:val="18"/>
        </w:rPr>
        <w:t> </w:t>
      </w:r>
      <w:r>
        <w:rPr>
          <w:color w:val="231F20"/>
          <w:w w:val="110"/>
          <w:sz w:val="18"/>
        </w:rPr>
        <w:t>the</w:t>
      </w:r>
      <w:r>
        <w:rPr>
          <w:color w:val="231F20"/>
          <w:spacing w:val="9"/>
          <w:w w:val="110"/>
          <w:sz w:val="18"/>
        </w:rPr>
        <w:t> </w:t>
      </w:r>
      <w:r>
        <w:rPr>
          <w:color w:val="231F20"/>
          <w:w w:val="110"/>
          <w:sz w:val="18"/>
        </w:rPr>
        <w:t>Lobby</w:t>
      </w:r>
      <w:r>
        <w:rPr>
          <w:color w:val="231F20"/>
          <w:spacing w:val="9"/>
          <w:w w:val="110"/>
          <w:sz w:val="18"/>
        </w:rPr>
        <w:t> </w:t>
      </w:r>
      <w:r>
        <w:rPr>
          <w:color w:val="231F20"/>
          <w:w w:val="110"/>
          <w:sz w:val="18"/>
        </w:rPr>
        <w:t>of</w:t>
      </w:r>
      <w:r>
        <w:rPr>
          <w:color w:val="231F20"/>
          <w:spacing w:val="9"/>
          <w:w w:val="110"/>
          <w:sz w:val="18"/>
        </w:rPr>
        <w:t> </w:t>
      </w:r>
      <w:r>
        <w:rPr>
          <w:color w:val="231F20"/>
          <w:w w:val="110"/>
          <w:sz w:val="18"/>
        </w:rPr>
        <w:t>Parliament</w:t>
      </w:r>
      <w:r>
        <w:rPr>
          <w:color w:val="231F20"/>
          <w:spacing w:val="9"/>
          <w:w w:val="110"/>
          <w:sz w:val="18"/>
        </w:rPr>
        <w:t> </w:t>
      </w:r>
      <w:r>
        <w:rPr>
          <w:color w:val="231F20"/>
          <w:w w:val="110"/>
          <w:sz w:val="18"/>
        </w:rPr>
        <w:t>for</w:t>
      </w:r>
      <w:r>
        <w:rPr>
          <w:color w:val="231F20"/>
          <w:spacing w:val="9"/>
          <w:w w:val="110"/>
          <w:sz w:val="18"/>
        </w:rPr>
        <w:t> </w:t>
      </w:r>
      <w:r>
        <w:rPr>
          <w:color w:val="231F20"/>
          <w:w w:val="110"/>
          <w:sz w:val="18"/>
        </w:rPr>
        <w:t>Palestine,</w:t>
      </w:r>
      <w:r>
        <w:rPr>
          <w:color w:val="231F20"/>
          <w:spacing w:val="9"/>
          <w:w w:val="110"/>
          <w:sz w:val="18"/>
        </w:rPr>
        <w:t> </w:t>
      </w:r>
      <w:r>
        <w:rPr>
          <w:color w:val="231F20"/>
          <w:w w:val="110"/>
          <w:sz w:val="18"/>
        </w:rPr>
        <w:t>in</w:t>
      </w:r>
      <w:r>
        <w:rPr>
          <w:color w:val="231F20"/>
          <w:spacing w:val="9"/>
          <w:w w:val="110"/>
          <w:sz w:val="18"/>
        </w:rPr>
        <w:t> </w:t>
      </w:r>
      <w:r>
        <w:rPr>
          <w:color w:val="231F20"/>
          <w:w w:val="110"/>
          <w:sz w:val="18"/>
        </w:rPr>
        <w:t>November.</w:t>
      </w:r>
    </w:p>
    <w:p>
      <w:pPr>
        <w:pStyle w:val="ListParagraph"/>
        <w:numPr>
          <w:ilvl w:val="0"/>
          <w:numId w:val="2"/>
        </w:numPr>
        <w:tabs>
          <w:tab w:pos="1354" w:val="left" w:leader="none"/>
          <w:tab w:pos="1355" w:val="left" w:leader="none"/>
        </w:tabs>
        <w:spacing w:line="250" w:lineRule="exact" w:before="0" w:after="0"/>
        <w:ind w:left="1354" w:right="2515" w:hanging="681"/>
        <w:jc w:val="left"/>
        <w:rPr>
          <w:color w:val="231F20"/>
          <w:sz w:val="25"/>
        </w:rPr>
      </w:pPr>
      <w:r>
        <w:rPr>
          <w:color w:val="231F20"/>
          <w:w w:val="110"/>
          <w:sz w:val="18"/>
        </w:rPr>
        <w:t>Advocates and other church </w:t>
      </w:r>
      <w:r>
        <w:rPr>
          <w:color w:val="231F20"/>
          <w:spacing w:val="2"/>
          <w:w w:val="110"/>
          <w:sz w:val="18"/>
        </w:rPr>
        <w:t>members </w:t>
      </w:r>
      <w:r>
        <w:rPr>
          <w:color w:val="231F20"/>
          <w:w w:val="110"/>
          <w:sz w:val="18"/>
        </w:rPr>
        <w:t>took </w:t>
      </w:r>
      <w:r>
        <w:rPr>
          <w:color w:val="231F20"/>
          <w:spacing w:val="2"/>
          <w:w w:val="110"/>
          <w:sz w:val="18"/>
        </w:rPr>
        <w:t>part </w:t>
      </w:r>
      <w:r>
        <w:rPr>
          <w:color w:val="231F20"/>
          <w:w w:val="110"/>
          <w:sz w:val="18"/>
        </w:rPr>
        <w:t>in the Ecumenical World Development Conference in March where the theme of ‘How our </w:t>
      </w:r>
      <w:r>
        <w:rPr>
          <w:color w:val="231F20"/>
          <w:spacing w:val="2"/>
          <w:w w:val="110"/>
          <w:sz w:val="18"/>
        </w:rPr>
        <w:t>Lifestyles </w:t>
      </w:r>
      <w:r>
        <w:rPr>
          <w:color w:val="231F20"/>
          <w:w w:val="110"/>
          <w:sz w:val="18"/>
        </w:rPr>
        <w:t>impact on the global south’ introduced delegates to development issues related to climate</w:t>
      </w:r>
      <w:r>
        <w:rPr>
          <w:color w:val="231F20"/>
          <w:spacing w:val="3"/>
          <w:w w:val="110"/>
          <w:sz w:val="18"/>
        </w:rPr>
        <w:t> </w:t>
      </w:r>
      <w:r>
        <w:rPr>
          <w:color w:val="231F20"/>
          <w:w w:val="110"/>
          <w:sz w:val="18"/>
        </w:rPr>
        <w:t>change.</w:t>
      </w:r>
    </w:p>
    <w:p>
      <w:pPr>
        <w:pStyle w:val="ListParagraph"/>
        <w:numPr>
          <w:ilvl w:val="0"/>
          <w:numId w:val="2"/>
        </w:numPr>
        <w:tabs>
          <w:tab w:pos="1354" w:val="left" w:leader="none"/>
          <w:tab w:pos="1355" w:val="left" w:leader="none"/>
        </w:tabs>
        <w:spacing w:line="218" w:lineRule="auto" w:before="7" w:after="0"/>
        <w:ind w:left="1354" w:right="2393" w:hanging="681"/>
        <w:jc w:val="left"/>
        <w:rPr>
          <w:color w:val="231F20"/>
          <w:sz w:val="25"/>
        </w:rPr>
      </w:pPr>
      <w:r>
        <w:rPr>
          <w:color w:val="231F20"/>
          <w:w w:val="110"/>
          <w:sz w:val="18"/>
        </w:rPr>
        <w:t>With other agencies e.g Operation Noah, Methodist Relief and Development Agency.</w:t>
      </w:r>
    </w:p>
    <w:p>
      <w:pPr>
        <w:pStyle w:val="BodyText"/>
        <w:spacing w:before="11"/>
        <w:rPr>
          <w:sz w:val="21"/>
        </w:rPr>
      </w:pPr>
    </w:p>
    <w:p>
      <w:pPr>
        <w:spacing w:line="241" w:lineRule="exact" w:before="0"/>
        <w:ind w:left="673" w:right="0" w:firstLine="0"/>
        <w:jc w:val="left"/>
        <w:rPr>
          <w:b/>
          <w:sz w:val="20"/>
        </w:rPr>
      </w:pPr>
      <w:r>
        <w:rPr>
          <w:b/>
          <w:color w:val="231F20"/>
          <w:w w:val="110"/>
          <w:sz w:val="20"/>
        </w:rPr>
        <w:t>Support and Education</w:t>
      </w:r>
    </w:p>
    <w:p>
      <w:pPr>
        <w:pStyle w:val="ListParagraph"/>
        <w:numPr>
          <w:ilvl w:val="0"/>
          <w:numId w:val="2"/>
        </w:numPr>
        <w:tabs>
          <w:tab w:pos="1354" w:val="left" w:leader="none"/>
          <w:tab w:pos="1355" w:val="left" w:leader="none"/>
        </w:tabs>
        <w:spacing w:line="250" w:lineRule="exact" w:before="10" w:after="0"/>
        <w:ind w:left="1354" w:right="1671" w:hanging="681"/>
        <w:jc w:val="left"/>
        <w:rPr>
          <w:color w:val="231F20"/>
          <w:sz w:val="25"/>
        </w:rPr>
      </w:pPr>
      <w:r>
        <w:rPr>
          <w:color w:val="231F20"/>
          <w:w w:val="110"/>
          <w:sz w:val="18"/>
        </w:rPr>
        <w:t>Through </w:t>
      </w:r>
      <w:r>
        <w:rPr>
          <w:color w:val="231F20"/>
          <w:spacing w:val="2"/>
          <w:w w:val="110"/>
          <w:sz w:val="18"/>
        </w:rPr>
        <w:t>partner </w:t>
      </w:r>
      <w:r>
        <w:rPr>
          <w:color w:val="231F20"/>
          <w:w w:val="110"/>
          <w:sz w:val="18"/>
        </w:rPr>
        <w:t>countries updates, leaflets, </w:t>
      </w:r>
      <w:r>
        <w:rPr>
          <w:color w:val="231F20"/>
          <w:spacing w:val="2"/>
          <w:w w:val="110"/>
          <w:sz w:val="18"/>
        </w:rPr>
        <w:t>posters </w:t>
      </w:r>
      <w:r>
        <w:rPr>
          <w:color w:val="231F20"/>
          <w:w w:val="110"/>
          <w:sz w:val="18"/>
        </w:rPr>
        <w:t>and the e-publication ‘Stories for Change,’ we hope to give local churches a deeper understanding of life in our four </w:t>
      </w:r>
      <w:r>
        <w:rPr>
          <w:color w:val="231F20"/>
          <w:spacing w:val="2"/>
          <w:w w:val="110"/>
          <w:sz w:val="18"/>
        </w:rPr>
        <w:t>partner </w:t>
      </w:r>
      <w:r>
        <w:rPr>
          <w:color w:val="231F20"/>
          <w:w w:val="110"/>
          <w:sz w:val="18"/>
        </w:rPr>
        <w:t>countries, Bangladesh, Jamaica, the Occupied Palestinian Territories and Zimbabwe. All have had turbulent times and need our support through </w:t>
      </w:r>
      <w:r>
        <w:rPr>
          <w:color w:val="231F20"/>
          <w:spacing w:val="-3"/>
          <w:w w:val="110"/>
          <w:sz w:val="18"/>
        </w:rPr>
        <w:t>prayer, </w:t>
      </w:r>
      <w:r>
        <w:rPr>
          <w:color w:val="231F20"/>
          <w:spacing w:val="2"/>
          <w:w w:val="110"/>
          <w:sz w:val="18"/>
        </w:rPr>
        <w:t>action </w:t>
      </w:r>
      <w:r>
        <w:rPr>
          <w:color w:val="231F20"/>
          <w:w w:val="110"/>
          <w:sz w:val="18"/>
        </w:rPr>
        <w:t>and</w:t>
      </w:r>
      <w:r>
        <w:rPr>
          <w:color w:val="231F20"/>
          <w:spacing w:val="-1"/>
          <w:w w:val="110"/>
          <w:sz w:val="18"/>
        </w:rPr>
        <w:t> </w:t>
      </w:r>
      <w:r>
        <w:rPr>
          <w:color w:val="231F20"/>
          <w:w w:val="110"/>
          <w:sz w:val="18"/>
        </w:rPr>
        <w:t>giving.</w:t>
      </w:r>
    </w:p>
    <w:p>
      <w:pPr>
        <w:pStyle w:val="ListParagraph"/>
        <w:numPr>
          <w:ilvl w:val="0"/>
          <w:numId w:val="2"/>
        </w:numPr>
        <w:tabs>
          <w:tab w:pos="1354" w:val="left" w:leader="none"/>
          <w:tab w:pos="1355" w:val="left" w:leader="none"/>
        </w:tabs>
        <w:spacing w:line="250" w:lineRule="exact" w:before="0" w:after="0"/>
        <w:ind w:left="1354" w:right="1662" w:hanging="681"/>
        <w:jc w:val="left"/>
        <w:rPr>
          <w:color w:val="231F20"/>
          <w:sz w:val="25"/>
        </w:rPr>
      </w:pPr>
      <w:r>
        <w:rPr>
          <w:color w:val="231F20"/>
          <w:w w:val="110"/>
          <w:sz w:val="18"/>
        </w:rPr>
        <w:t>By increasing awareness of the </w:t>
      </w:r>
      <w:r>
        <w:rPr>
          <w:color w:val="231F20"/>
          <w:spacing w:val="3"/>
          <w:w w:val="110"/>
          <w:sz w:val="18"/>
        </w:rPr>
        <w:t>effect </w:t>
      </w:r>
      <w:r>
        <w:rPr>
          <w:color w:val="231F20"/>
          <w:w w:val="110"/>
          <w:sz w:val="18"/>
        </w:rPr>
        <w:t>our </w:t>
      </w:r>
      <w:r>
        <w:rPr>
          <w:color w:val="231F20"/>
          <w:spacing w:val="2"/>
          <w:w w:val="110"/>
          <w:sz w:val="18"/>
        </w:rPr>
        <w:t>carbon </w:t>
      </w:r>
      <w:r>
        <w:rPr>
          <w:color w:val="231F20"/>
          <w:w w:val="110"/>
          <w:sz w:val="18"/>
        </w:rPr>
        <w:t>footprint is having on the world‘s </w:t>
      </w:r>
      <w:r>
        <w:rPr>
          <w:color w:val="231F20"/>
          <w:spacing w:val="-3"/>
          <w:w w:val="110"/>
          <w:sz w:val="18"/>
        </w:rPr>
        <w:t>poor. </w:t>
      </w:r>
      <w:r>
        <w:rPr>
          <w:color w:val="231F20"/>
          <w:w w:val="110"/>
          <w:sz w:val="18"/>
        </w:rPr>
        <w:t>Our resolution to General Assembly challenges churches to cut their </w:t>
      </w:r>
      <w:r>
        <w:rPr>
          <w:color w:val="231F20"/>
          <w:spacing w:val="2"/>
          <w:w w:val="110"/>
          <w:sz w:val="18"/>
        </w:rPr>
        <w:t>carbon</w:t>
      </w:r>
      <w:r>
        <w:rPr>
          <w:color w:val="231F20"/>
          <w:spacing w:val="73"/>
          <w:w w:val="110"/>
          <w:sz w:val="18"/>
        </w:rPr>
        <w:t> </w:t>
      </w:r>
      <w:r>
        <w:rPr>
          <w:color w:val="231F20"/>
          <w:w w:val="110"/>
          <w:sz w:val="18"/>
        </w:rPr>
        <w:t>emissions as well as campaigning for change (see ‘Cut your Carbon’ leaflet and   ‘On the Water’s Edge’</w:t>
      </w:r>
      <w:r>
        <w:rPr>
          <w:color w:val="231F20"/>
          <w:spacing w:val="4"/>
          <w:w w:val="110"/>
          <w:sz w:val="18"/>
        </w:rPr>
        <w:t> </w:t>
      </w:r>
      <w:r>
        <w:rPr>
          <w:color w:val="231F20"/>
          <w:w w:val="110"/>
          <w:sz w:val="18"/>
        </w:rPr>
        <w:t>booklet).</w:t>
      </w:r>
    </w:p>
    <w:p>
      <w:pPr>
        <w:pStyle w:val="ListParagraph"/>
        <w:numPr>
          <w:ilvl w:val="0"/>
          <w:numId w:val="2"/>
        </w:numPr>
        <w:tabs>
          <w:tab w:pos="1354" w:val="left" w:leader="none"/>
          <w:tab w:pos="1355" w:val="left" w:leader="none"/>
        </w:tabs>
        <w:spacing w:line="250" w:lineRule="exact" w:before="0" w:after="0"/>
        <w:ind w:left="1354" w:right="1758" w:hanging="681"/>
        <w:jc w:val="left"/>
        <w:rPr>
          <w:color w:val="231F20"/>
          <w:sz w:val="25"/>
        </w:rPr>
      </w:pPr>
      <w:r>
        <w:rPr>
          <w:color w:val="231F20"/>
          <w:w w:val="110"/>
          <w:sz w:val="18"/>
        </w:rPr>
        <w:t>Through our convener, sub committee, advocates and link people who play a vital role and to whom we </w:t>
      </w:r>
      <w:r>
        <w:rPr>
          <w:color w:val="231F20"/>
          <w:spacing w:val="2"/>
          <w:w w:val="110"/>
          <w:sz w:val="18"/>
        </w:rPr>
        <w:t>offer </w:t>
      </w:r>
      <w:r>
        <w:rPr>
          <w:color w:val="231F20"/>
          <w:w w:val="110"/>
          <w:sz w:val="18"/>
        </w:rPr>
        <w:t>grateful thanks. </w:t>
      </w:r>
      <w:r>
        <w:rPr>
          <w:color w:val="231F20"/>
          <w:spacing w:val="-3"/>
          <w:w w:val="110"/>
          <w:sz w:val="18"/>
        </w:rPr>
        <w:t>We </w:t>
      </w:r>
      <w:r>
        <w:rPr>
          <w:color w:val="231F20"/>
          <w:w w:val="110"/>
          <w:sz w:val="18"/>
        </w:rPr>
        <w:t>would love to hear </w:t>
      </w:r>
      <w:r>
        <w:rPr>
          <w:color w:val="231F20"/>
          <w:spacing w:val="2"/>
          <w:w w:val="110"/>
          <w:sz w:val="18"/>
        </w:rPr>
        <w:t>from </w:t>
      </w:r>
      <w:r>
        <w:rPr>
          <w:color w:val="231F20"/>
          <w:w w:val="110"/>
          <w:sz w:val="18"/>
        </w:rPr>
        <w:t>anyone who would consider being an</w:t>
      </w:r>
      <w:r>
        <w:rPr>
          <w:color w:val="231F20"/>
          <w:spacing w:val="7"/>
          <w:w w:val="110"/>
          <w:sz w:val="18"/>
        </w:rPr>
        <w:t> </w:t>
      </w:r>
      <w:r>
        <w:rPr>
          <w:color w:val="231F20"/>
          <w:w w:val="110"/>
          <w:sz w:val="18"/>
        </w:rPr>
        <w:t>advocate.</w:t>
      </w:r>
    </w:p>
    <w:p>
      <w:pPr>
        <w:pStyle w:val="ListParagraph"/>
        <w:numPr>
          <w:ilvl w:val="0"/>
          <w:numId w:val="2"/>
        </w:numPr>
        <w:tabs>
          <w:tab w:pos="1354" w:val="left" w:leader="none"/>
          <w:tab w:pos="1355" w:val="left" w:leader="none"/>
        </w:tabs>
        <w:spacing w:line="218" w:lineRule="auto" w:before="7" w:after="0"/>
        <w:ind w:left="1354" w:right="1822" w:hanging="681"/>
        <w:jc w:val="left"/>
        <w:rPr>
          <w:color w:val="231F20"/>
          <w:sz w:val="25"/>
        </w:rPr>
      </w:pPr>
      <w:r>
        <w:rPr>
          <w:color w:val="231F20"/>
          <w:w w:val="110"/>
          <w:sz w:val="18"/>
        </w:rPr>
        <w:t>Through the FURY group who continue to share with congregations the hope that Christian Aid </w:t>
      </w:r>
      <w:r>
        <w:rPr>
          <w:color w:val="231F20"/>
          <w:spacing w:val="2"/>
          <w:w w:val="110"/>
          <w:sz w:val="18"/>
        </w:rPr>
        <w:t>partners </w:t>
      </w:r>
      <w:r>
        <w:rPr>
          <w:color w:val="231F20"/>
          <w:w w:val="110"/>
          <w:sz w:val="18"/>
        </w:rPr>
        <w:t>give in</w:t>
      </w:r>
      <w:r>
        <w:rPr>
          <w:color w:val="231F20"/>
          <w:spacing w:val="5"/>
          <w:w w:val="110"/>
          <w:sz w:val="18"/>
        </w:rPr>
        <w:t> </w:t>
      </w:r>
      <w:r>
        <w:rPr>
          <w:color w:val="231F20"/>
          <w:w w:val="110"/>
          <w:sz w:val="18"/>
        </w:rPr>
        <w:t>Jamaica.</w:t>
      </w:r>
    </w:p>
    <w:p>
      <w:pPr>
        <w:pStyle w:val="ListParagraph"/>
        <w:numPr>
          <w:ilvl w:val="0"/>
          <w:numId w:val="2"/>
        </w:numPr>
        <w:tabs>
          <w:tab w:pos="1354" w:val="left" w:leader="none"/>
          <w:tab w:pos="1355" w:val="left" w:leader="none"/>
        </w:tabs>
        <w:spacing w:line="292" w:lineRule="exact" w:before="6" w:after="0"/>
        <w:ind w:left="1354" w:right="0" w:hanging="682"/>
        <w:jc w:val="left"/>
        <w:rPr>
          <w:color w:val="231F20"/>
          <w:sz w:val="25"/>
        </w:rPr>
      </w:pPr>
      <w:r>
        <w:rPr>
          <w:color w:val="231F20"/>
          <w:w w:val="110"/>
          <w:sz w:val="18"/>
        </w:rPr>
        <w:t>During the year we have</w:t>
      </w:r>
      <w:r>
        <w:rPr>
          <w:color w:val="231F20"/>
          <w:spacing w:val="4"/>
          <w:w w:val="110"/>
          <w:sz w:val="18"/>
        </w:rPr>
        <w:t> </w:t>
      </w:r>
      <w:r>
        <w:rPr>
          <w:color w:val="231F20"/>
          <w:w w:val="110"/>
          <w:sz w:val="18"/>
        </w:rPr>
        <w:t>welcomed:-</w:t>
      </w:r>
    </w:p>
    <w:p>
      <w:pPr>
        <w:pStyle w:val="BodyText"/>
        <w:spacing w:line="207" w:lineRule="exact"/>
        <w:ind w:left="1354"/>
      </w:pPr>
      <w:r>
        <w:rPr>
          <w:color w:val="231F20"/>
          <w:w w:val="110"/>
        </w:rPr>
        <w:t>Novlet Dougherty-Reid (Jamaica AIDS Support for Life).</w:t>
      </w:r>
    </w:p>
    <w:p>
      <w:pPr>
        <w:pStyle w:val="BodyText"/>
        <w:spacing w:line="273" w:lineRule="auto" w:before="31"/>
        <w:ind w:left="1354" w:right="3181"/>
      </w:pPr>
      <w:r>
        <w:rPr>
          <w:color w:val="231F20"/>
          <w:w w:val="110"/>
        </w:rPr>
        <w:t>David Baroi (Christian Commission for Development in Bangladesh) Vuyisile Ndlovu (Christian Care, Zimbabwe)</w:t>
      </w:r>
    </w:p>
    <w:p>
      <w:pPr>
        <w:pStyle w:val="BodyText"/>
        <w:rPr>
          <w:sz w:val="19"/>
        </w:rPr>
      </w:pPr>
    </w:p>
    <w:p>
      <w:pPr>
        <w:spacing w:line="241" w:lineRule="exact" w:before="0"/>
        <w:ind w:left="673" w:right="0" w:firstLine="0"/>
        <w:jc w:val="left"/>
        <w:rPr>
          <w:b/>
          <w:sz w:val="20"/>
        </w:rPr>
      </w:pPr>
      <w:r>
        <w:rPr>
          <w:b/>
          <w:color w:val="231F20"/>
          <w:w w:val="110"/>
          <w:sz w:val="20"/>
        </w:rPr>
        <w:t>Statistics</w:t>
      </w:r>
    </w:p>
    <w:p>
      <w:pPr>
        <w:pStyle w:val="ListParagraph"/>
        <w:numPr>
          <w:ilvl w:val="0"/>
          <w:numId w:val="2"/>
        </w:numPr>
        <w:tabs>
          <w:tab w:pos="1354" w:val="left" w:leader="none"/>
          <w:tab w:pos="1355" w:val="left" w:leader="none"/>
        </w:tabs>
        <w:spacing w:line="275" w:lineRule="exact" w:before="0" w:after="0"/>
        <w:ind w:left="1354" w:right="0" w:hanging="682"/>
        <w:jc w:val="left"/>
        <w:rPr>
          <w:color w:val="231F20"/>
          <w:sz w:val="25"/>
        </w:rPr>
      </w:pPr>
      <w:r>
        <w:rPr>
          <w:color w:val="231F20"/>
          <w:w w:val="110"/>
          <w:sz w:val="18"/>
        </w:rPr>
        <w:t>Number of churches in scheme:</w:t>
      </w:r>
      <w:r>
        <w:rPr>
          <w:color w:val="231F20"/>
          <w:spacing w:val="6"/>
          <w:w w:val="110"/>
          <w:sz w:val="18"/>
        </w:rPr>
        <w:t> </w:t>
      </w:r>
      <w:r>
        <w:rPr>
          <w:color w:val="231F20"/>
          <w:w w:val="110"/>
          <w:sz w:val="18"/>
        </w:rPr>
        <w:t>643.</w:t>
      </w:r>
    </w:p>
    <w:p>
      <w:pPr>
        <w:pStyle w:val="ListParagraph"/>
        <w:numPr>
          <w:ilvl w:val="0"/>
          <w:numId w:val="2"/>
        </w:numPr>
        <w:tabs>
          <w:tab w:pos="1354" w:val="left" w:leader="none"/>
          <w:tab w:pos="1355" w:val="left" w:leader="none"/>
        </w:tabs>
        <w:spacing w:line="218" w:lineRule="auto" w:before="0" w:after="0"/>
        <w:ind w:left="1354" w:right="1609" w:hanging="681"/>
        <w:jc w:val="left"/>
        <w:rPr>
          <w:color w:val="231F20"/>
          <w:sz w:val="25"/>
        </w:rPr>
      </w:pPr>
      <w:r>
        <w:rPr>
          <w:color w:val="231F20"/>
          <w:w w:val="110"/>
          <w:sz w:val="18"/>
        </w:rPr>
        <w:t>Amount raised, £556,000, of which </w:t>
      </w:r>
      <w:r>
        <w:rPr>
          <w:color w:val="231F20"/>
          <w:spacing w:val="-3"/>
          <w:w w:val="110"/>
          <w:sz w:val="18"/>
        </w:rPr>
        <w:t>75% </w:t>
      </w:r>
      <w:r>
        <w:rPr>
          <w:color w:val="231F20"/>
          <w:w w:val="110"/>
          <w:sz w:val="18"/>
        </w:rPr>
        <w:t>goes to Christian Aid, </w:t>
      </w:r>
      <w:r>
        <w:rPr>
          <w:color w:val="231F20"/>
          <w:spacing w:val="-3"/>
          <w:w w:val="110"/>
          <w:sz w:val="18"/>
        </w:rPr>
        <w:t>10% </w:t>
      </w:r>
      <w:r>
        <w:rPr>
          <w:color w:val="231F20"/>
          <w:w w:val="110"/>
          <w:sz w:val="18"/>
        </w:rPr>
        <w:t>to World Development Movement and </w:t>
      </w:r>
      <w:r>
        <w:rPr>
          <w:color w:val="231F20"/>
          <w:spacing w:val="-4"/>
          <w:w w:val="110"/>
          <w:sz w:val="18"/>
        </w:rPr>
        <w:t>15% </w:t>
      </w:r>
      <w:r>
        <w:rPr>
          <w:color w:val="231F20"/>
          <w:w w:val="110"/>
          <w:sz w:val="18"/>
        </w:rPr>
        <w:t>for administration of the scheme and grant</w:t>
      </w:r>
      <w:r>
        <w:rPr>
          <w:color w:val="231F20"/>
          <w:spacing w:val="-22"/>
          <w:w w:val="110"/>
          <w:sz w:val="18"/>
        </w:rPr>
        <w:t> </w:t>
      </w:r>
      <w:r>
        <w:rPr>
          <w:color w:val="231F20"/>
          <w:w w:val="110"/>
          <w:sz w:val="18"/>
        </w:rPr>
        <w:t>giving.</w:t>
      </w:r>
    </w:p>
    <w:p>
      <w:pPr>
        <w:pStyle w:val="ListParagraph"/>
        <w:numPr>
          <w:ilvl w:val="0"/>
          <w:numId w:val="2"/>
        </w:numPr>
        <w:tabs>
          <w:tab w:pos="1354" w:val="left" w:leader="none"/>
          <w:tab w:pos="1355" w:val="left" w:leader="none"/>
        </w:tabs>
        <w:spacing w:line="292" w:lineRule="exact" w:before="0" w:after="0"/>
        <w:ind w:left="1354" w:right="0" w:hanging="682"/>
        <w:jc w:val="left"/>
        <w:rPr>
          <w:color w:val="231F20"/>
          <w:sz w:val="25"/>
        </w:rPr>
      </w:pPr>
      <w:r>
        <w:rPr>
          <w:color w:val="231F20"/>
          <w:w w:val="110"/>
          <w:sz w:val="18"/>
        </w:rPr>
        <w:t>In 2006 grants given</w:t>
      </w:r>
      <w:r>
        <w:rPr>
          <w:color w:val="231F20"/>
          <w:spacing w:val="3"/>
          <w:w w:val="110"/>
          <w:sz w:val="18"/>
        </w:rPr>
        <w:t> </w:t>
      </w:r>
      <w:r>
        <w:rPr>
          <w:color w:val="231F20"/>
          <w:spacing w:val="-6"/>
          <w:w w:val="110"/>
          <w:sz w:val="18"/>
        </w:rPr>
        <w:t>to:-</w:t>
      </w:r>
    </w:p>
    <w:p>
      <w:pPr>
        <w:pStyle w:val="BodyText"/>
        <w:spacing w:line="207" w:lineRule="exact"/>
        <w:ind w:left="1354"/>
      </w:pPr>
      <w:r>
        <w:rPr>
          <w:color w:val="231F20"/>
          <w:w w:val="110"/>
        </w:rPr>
        <w:t>Baby Milk Action, Banana Link, DEA, EAPPI (Ecumenical Accompanier Programme</w:t>
      </w:r>
    </w:p>
    <w:p>
      <w:pPr>
        <w:pStyle w:val="BodyText"/>
        <w:spacing w:line="273" w:lineRule="auto" w:before="29"/>
        <w:ind w:left="1354" w:right="1664"/>
      </w:pPr>
      <w:r>
        <w:rPr>
          <w:color w:val="231F20"/>
          <w:w w:val="110"/>
        </w:rPr>
        <w:t>in Israel and Palestine), Fairtrade Foundation, Father Dieter’s Inauguration (Silveira House), Jubilee Debt Campaign, Landmine Action, Lebanon Appeal, One World Week, Operation Noah, People and Planet and Trade Justice</w:t>
      </w:r>
      <w:r>
        <w:rPr>
          <w:color w:val="231F20"/>
          <w:spacing w:val="38"/>
          <w:w w:val="110"/>
        </w:rPr>
        <w:t> </w:t>
      </w:r>
      <w:r>
        <w:rPr>
          <w:color w:val="231F20"/>
          <w:w w:val="110"/>
        </w:rPr>
        <w:t>Movement.</w:t>
      </w:r>
    </w:p>
    <w:p>
      <w:pPr>
        <w:pStyle w:val="ListParagraph"/>
        <w:numPr>
          <w:ilvl w:val="0"/>
          <w:numId w:val="2"/>
        </w:numPr>
        <w:tabs>
          <w:tab w:pos="1354" w:val="left" w:leader="none"/>
          <w:tab w:pos="1355" w:val="left" w:leader="none"/>
        </w:tabs>
        <w:spacing w:line="275" w:lineRule="exact" w:before="0" w:after="0"/>
        <w:ind w:left="1354" w:right="0" w:hanging="682"/>
        <w:jc w:val="left"/>
        <w:rPr>
          <w:color w:val="231F20"/>
          <w:sz w:val="25"/>
        </w:rPr>
      </w:pPr>
      <w:r>
        <w:rPr>
          <w:color w:val="231F20"/>
          <w:w w:val="110"/>
          <w:sz w:val="18"/>
        </w:rPr>
        <w:t>The main database now shows 660 Fairtrade Churches </w:t>
      </w:r>
      <w:r>
        <w:rPr>
          <w:color w:val="231F20"/>
          <w:spacing w:val="2"/>
          <w:w w:val="110"/>
          <w:sz w:val="18"/>
        </w:rPr>
        <w:t>from </w:t>
      </w:r>
      <w:r>
        <w:rPr>
          <w:color w:val="231F20"/>
          <w:w w:val="110"/>
          <w:sz w:val="18"/>
        </w:rPr>
        <w:t>all </w:t>
      </w:r>
      <w:r>
        <w:rPr>
          <w:color w:val="231F20"/>
          <w:spacing w:val="-3"/>
          <w:w w:val="110"/>
          <w:sz w:val="18"/>
        </w:rPr>
        <w:t>13</w:t>
      </w:r>
      <w:r>
        <w:rPr>
          <w:color w:val="231F20"/>
          <w:spacing w:val="33"/>
          <w:w w:val="110"/>
          <w:sz w:val="18"/>
        </w:rPr>
        <w:t> </w:t>
      </w:r>
      <w:r>
        <w:rPr>
          <w:color w:val="231F20"/>
          <w:w w:val="110"/>
          <w:sz w:val="18"/>
        </w:rPr>
        <w:t>Synods.</w:t>
      </w:r>
    </w:p>
    <w:p>
      <w:pPr>
        <w:pStyle w:val="BodyText"/>
        <w:spacing w:before="2"/>
        <w:rPr>
          <w:sz w:val="39"/>
        </w:rPr>
      </w:pPr>
    </w:p>
    <w:p>
      <w:pPr>
        <w:pStyle w:val="Heading9"/>
        <w:ind w:left="673"/>
      </w:pPr>
      <w:r>
        <w:rPr>
          <w:color w:val="231F20"/>
          <w:w w:val="110"/>
        </w:rPr>
        <w:t>Looking Ahead</w:t>
      </w:r>
    </w:p>
    <w:p>
      <w:pPr>
        <w:pStyle w:val="BodyText"/>
        <w:spacing w:line="273" w:lineRule="auto" w:before="258"/>
        <w:ind w:left="673" w:right="1829"/>
      </w:pPr>
      <w:r>
        <w:rPr>
          <w:color w:val="231F20"/>
          <w:spacing w:val="-3"/>
          <w:w w:val="110"/>
        </w:rPr>
        <w:t>We </w:t>
      </w:r>
      <w:r>
        <w:rPr>
          <w:color w:val="231F20"/>
          <w:w w:val="110"/>
        </w:rPr>
        <w:t>would encourage all congregations to join the scheme. None of the development and campaigning could be done without the exceptional committed giving </w:t>
      </w:r>
      <w:r>
        <w:rPr>
          <w:color w:val="231F20"/>
          <w:spacing w:val="2"/>
          <w:w w:val="110"/>
        </w:rPr>
        <w:t>from </w:t>
      </w:r>
      <w:r>
        <w:rPr>
          <w:color w:val="231F20"/>
          <w:w w:val="110"/>
        </w:rPr>
        <w:t>our churches. It would be wonderful if we could raise the total in </w:t>
      </w:r>
      <w:r>
        <w:rPr>
          <w:color w:val="231F20"/>
          <w:spacing w:val="-6"/>
          <w:w w:val="110"/>
        </w:rPr>
        <w:t>2007. </w:t>
      </w:r>
      <w:r>
        <w:rPr>
          <w:color w:val="231F20"/>
          <w:w w:val="110"/>
        </w:rPr>
        <w:t>This would really help both Christian Aid and the WDM in their campaigns for climate justice, for those who have  done little to add to the problem but already are </w:t>
      </w:r>
      <w:r>
        <w:rPr>
          <w:color w:val="231F20"/>
          <w:spacing w:val="2"/>
          <w:w w:val="110"/>
        </w:rPr>
        <w:t>suffering </w:t>
      </w:r>
      <w:r>
        <w:rPr>
          <w:color w:val="231F20"/>
          <w:w w:val="110"/>
        </w:rPr>
        <w:t>the</w:t>
      </w:r>
      <w:r>
        <w:rPr>
          <w:color w:val="231F20"/>
          <w:spacing w:val="62"/>
          <w:w w:val="110"/>
        </w:rPr>
        <w:t> </w:t>
      </w:r>
      <w:r>
        <w:rPr>
          <w:color w:val="231F20"/>
          <w:w w:val="110"/>
        </w:rPr>
        <w:t>consequences.</w:t>
      </w:r>
    </w:p>
    <w:p>
      <w:pPr>
        <w:spacing w:after="0" w:line="273" w:lineRule="auto"/>
        <w:sectPr>
          <w:headerReference w:type="even" r:id="rId299"/>
          <w:footerReference w:type="even" r:id="rId300"/>
          <w:footerReference w:type="default" r:id="rId301"/>
          <w:pgSz w:w="11910" w:h="16840"/>
          <w:pgMar w:header="0" w:footer="484" w:top="460" w:bottom="680" w:left="460" w:right="0"/>
        </w:sectPr>
      </w:pPr>
    </w:p>
    <w:p>
      <w:pPr>
        <w:pStyle w:val="Heading9"/>
        <w:spacing w:before="69"/>
      </w:pPr>
      <w:r>
        <w:rPr/>
        <w:pict>
          <v:shape style="position:absolute;margin-left:507.100189pt;margin-top:36.840614pt;width:68.850pt;height:609.7pt;mso-position-horizontal-relative:page;mso-position-vertical-relative:page;z-index:251969536" type="#_x0000_t202" filled="false" stroked="false">
            <v:textbox inset="0,0,0,0" style="layout-flow:vertical">
              <w:txbxContent>
                <w:p>
                  <w:pPr>
                    <w:spacing w:line="989" w:lineRule="exact" w:before="20"/>
                    <w:ind w:left="20" w:right="0" w:firstLine="0"/>
                    <w:jc w:val="left"/>
                    <w:rPr>
                      <w:b/>
                      <w:sz w:val="88"/>
                    </w:rPr>
                  </w:pPr>
                  <w:r>
                    <w:rPr>
                      <w:b/>
                      <w:color w:val="231F20"/>
                      <w:sz w:val="88"/>
                    </w:rPr>
                    <w:t>East Midlands Synod</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color w:val="231F20"/>
          <w:w w:val="110"/>
        </w:rPr>
        <w:t>People, Places and Presence</w:t>
      </w:r>
    </w:p>
    <w:p>
      <w:pPr>
        <w:spacing w:before="238"/>
        <w:ind w:left="1240" w:right="0" w:firstLine="0"/>
        <w:jc w:val="left"/>
        <w:rPr>
          <w:b/>
          <w:sz w:val="20"/>
        </w:rPr>
      </w:pPr>
      <w:r>
        <w:rPr>
          <w:b/>
          <w:color w:val="231F20"/>
          <w:w w:val="110"/>
          <w:sz w:val="20"/>
        </w:rPr>
        <w:t>People</w:t>
      </w:r>
    </w:p>
    <w:p>
      <w:pPr>
        <w:pStyle w:val="BodyText"/>
        <w:spacing w:line="273" w:lineRule="auto" w:before="27"/>
        <w:ind w:left="1240" w:right="2550"/>
      </w:pPr>
      <w:r>
        <w:rPr>
          <w:color w:val="231F20"/>
          <w:w w:val="110"/>
        </w:rPr>
        <w:t>Our </w:t>
      </w:r>
      <w:r>
        <w:rPr>
          <w:b/>
          <w:color w:val="231F20"/>
          <w:w w:val="110"/>
        </w:rPr>
        <w:t>young people </w:t>
      </w:r>
      <w:r>
        <w:rPr>
          <w:color w:val="231F20"/>
          <w:w w:val="110"/>
        </w:rPr>
        <w:t>are an encouragement to us. The depth of faith and boundless energy they displayed at the seventh ‘Mission Means Me’ (MMM) weekend was heartening. We give thanks for them and their leaders and look to them for hope and encouragement in becoming the Church God is calling us to be.</w:t>
      </w:r>
    </w:p>
    <w:p>
      <w:pPr>
        <w:pStyle w:val="BodyText"/>
        <w:spacing w:before="10"/>
        <w:rPr>
          <w:sz w:val="20"/>
        </w:rPr>
      </w:pPr>
    </w:p>
    <w:p>
      <w:pPr>
        <w:pStyle w:val="BodyText"/>
        <w:spacing w:line="273" w:lineRule="auto"/>
        <w:ind w:left="1240" w:right="2433"/>
      </w:pPr>
      <w:r>
        <w:rPr>
          <w:color w:val="231F20"/>
          <w:spacing w:val="-3"/>
          <w:w w:val="110"/>
        </w:rPr>
        <w:t>We </w:t>
      </w:r>
      <w:r>
        <w:rPr>
          <w:color w:val="231F20"/>
          <w:w w:val="110"/>
        </w:rPr>
        <w:t>are going through a time of changes in personnel, with several </w:t>
      </w:r>
      <w:r>
        <w:rPr>
          <w:b/>
          <w:color w:val="231F20"/>
          <w:w w:val="110"/>
        </w:rPr>
        <w:t>ministers </w:t>
      </w:r>
      <w:r>
        <w:rPr>
          <w:color w:val="231F20"/>
          <w:w w:val="110"/>
        </w:rPr>
        <w:t>reaching retirement age. </w:t>
      </w:r>
      <w:r>
        <w:rPr>
          <w:color w:val="231F20"/>
          <w:spacing w:val="-3"/>
          <w:w w:val="110"/>
        </w:rPr>
        <w:t>We </w:t>
      </w:r>
      <w:r>
        <w:rPr>
          <w:color w:val="231F20"/>
          <w:w w:val="110"/>
        </w:rPr>
        <w:t>know that this is going to be a feature of the whole church over the </w:t>
      </w:r>
      <w:r>
        <w:rPr>
          <w:color w:val="231F20"/>
          <w:spacing w:val="2"/>
          <w:w w:val="110"/>
        </w:rPr>
        <w:t>next </w:t>
      </w:r>
      <w:r>
        <w:rPr>
          <w:color w:val="231F20"/>
          <w:w w:val="110"/>
        </w:rPr>
        <w:t>five years, but we are already beginning to   realise the loss of their mature wisdom. </w:t>
      </w:r>
      <w:r>
        <w:rPr>
          <w:color w:val="231F20"/>
          <w:spacing w:val="-3"/>
          <w:w w:val="110"/>
        </w:rPr>
        <w:t>We </w:t>
      </w:r>
      <w:r>
        <w:rPr>
          <w:color w:val="231F20"/>
          <w:w w:val="110"/>
        </w:rPr>
        <w:t>also have several ministers going through the </w:t>
      </w:r>
      <w:r>
        <w:rPr>
          <w:color w:val="231F20"/>
          <w:spacing w:val="2"/>
          <w:w w:val="110"/>
        </w:rPr>
        <w:t>process </w:t>
      </w:r>
      <w:r>
        <w:rPr>
          <w:color w:val="231F20"/>
          <w:w w:val="110"/>
        </w:rPr>
        <w:t>of seeking early retirement on the grounds of ill health. The </w:t>
      </w:r>
      <w:r>
        <w:rPr>
          <w:color w:val="231F20"/>
          <w:spacing w:val="2"/>
          <w:w w:val="110"/>
        </w:rPr>
        <w:t>stresses </w:t>
      </w:r>
      <w:r>
        <w:rPr>
          <w:color w:val="231F20"/>
          <w:w w:val="110"/>
        </w:rPr>
        <w:t>on ministers are not unique, but we feel for those for whom ministry has become impossible, and who face an earlier end to their active </w:t>
      </w:r>
      <w:r>
        <w:rPr>
          <w:color w:val="231F20"/>
          <w:spacing w:val="2"/>
          <w:w w:val="110"/>
        </w:rPr>
        <w:t>service </w:t>
      </w:r>
      <w:r>
        <w:rPr>
          <w:color w:val="231F20"/>
          <w:w w:val="110"/>
        </w:rPr>
        <w:t>than they had</w:t>
      </w:r>
      <w:r>
        <w:rPr>
          <w:color w:val="231F20"/>
          <w:spacing w:val="2"/>
          <w:w w:val="110"/>
        </w:rPr>
        <w:t> </w:t>
      </w:r>
      <w:r>
        <w:rPr>
          <w:color w:val="231F20"/>
          <w:w w:val="110"/>
        </w:rPr>
        <w:t>hoped.</w:t>
      </w:r>
    </w:p>
    <w:p>
      <w:pPr>
        <w:pStyle w:val="BodyText"/>
        <w:rPr>
          <w:sz w:val="21"/>
        </w:rPr>
      </w:pPr>
    </w:p>
    <w:p>
      <w:pPr>
        <w:pStyle w:val="BodyText"/>
        <w:spacing w:line="273" w:lineRule="auto"/>
        <w:ind w:left="1240" w:right="2819"/>
      </w:pPr>
      <w:r>
        <w:rPr>
          <w:color w:val="231F20"/>
          <w:w w:val="110"/>
        </w:rPr>
        <w:t>We are deeply grateful for the service that has been given by faithful and gifted members of the synod, including Irene Wren our </w:t>
      </w:r>
      <w:r>
        <w:rPr>
          <w:b/>
          <w:color w:val="231F20"/>
          <w:w w:val="110"/>
        </w:rPr>
        <w:t>Synod Clerk </w:t>
      </w:r>
      <w:r>
        <w:rPr>
          <w:color w:val="231F20"/>
          <w:w w:val="110"/>
        </w:rPr>
        <w:t>for the last six years, and we hope that those who take their place will be as wise and inspired.</w:t>
      </w:r>
    </w:p>
    <w:p>
      <w:pPr>
        <w:pStyle w:val="BodyText"/>
        <w:spacing w:before="1"/>
        <w:rPr>
          <w:sz w:val="19"/>
        </w:rPr>
      </w:pPr>
    </w:p>
    <w:p>
      <w:pPr>
        <w:spacing w:before="0"/>
        <w:ind w:left="1240" w:right="0" w:firstLine="0"/>
        <w:jc w:val="left"/>
        <w:rPr>
          <w:b/>
          <w:sz w:val="20"/>
        </w:rPr>
      </w:pPr>
      <w:r>
        <w:rPr>
          <w:b/>
          <w:color w:val="231F20"/>
          <w:w w:val="110"/>
          <w:sz w:val="20"/>
        </w:rPr>
        <w:t>Places</w:t>
      </w:r>
    </w:p>
    <w:p>
      <w:pPr>
        <w:pStyle w:val="BodyText"/>
        <w:spacing w:line="273" w:lineRule="auto" w:before="27"/>
        <w:ind w:left="1240" w:right="2432"/>
      </w:pPr>
      <w:r>
        <w:rPr>
          <w:color w:val="231F20"/>
          <w:spacing w:val="-3"/>
          <w:w w:val="110"/>
        </w:rPr>
        <w:t>We </w:t>
      </w:r>
      <w:r>
        <w:rPr>
          <w:color w:val="231F20"/>
          <w:w w:val="110"/>
        </w:rPr>
        <w:t>are blessed by having a number of new and refurbished churches which are beacons of promise. ‘The Crossing’ in Worksop, a united church with    the Methodists, has a prime site on the high </w:t>
      </w:r>
      <w:r>
        <w:rPr>
          <w:color w:val="231F20"/>
          <w:spacing w:val="2"/>
          <w:w w:val="110"/>
        </w:rPr>
        <w:t>street </w:t>
      </w:r>
      <w:r>
        <w:rPr>
          <w:color w:val="231F20"/>
          <w:w w:val="110"/>
        </w:rPr>
        <w:t>and uses it to the full  with a café, and community centre. </w:t>
      </w:r>
      <w:r>
        <w:rPr>
          <w:color w:val="231F20"/>
          <w:spacing w:val="2"/>
          <w:w w:val="110"/>
        </w:rPr>
        <w:t>Newport </w:t>
      </w:r>
      <w:r>
        <w:rPr>
          <w:color w:val="231F20"/>
          <w:w w:val="110"/>
        </w:rPr>
        <w:t>Pagnell Church has a delightful worship area as a result of their refurbishment. The March Synod was held there and the hospitality was warm and encouraging. Sleaford Church has, </w:t>
      </w:r>
      <w:r>
        <w:rPr>
          <w:color w:val="231F20"/>
          <w:spacing w:val="2"/>
          <w:w w:val="110"/>
        </w:rPr>
        <w:t>after</w:t>
      </w:r>
      <w:r>
        <w:rPr>
          <w:color w:val="231F20"/>
          <w:spacing w:val="10"/>
          <w:w w:val="110"/>
        </w:rPr>
        <w:t> </w:t>
      </w:r>
      <w:r>
        <w:rPr>
          <w:color w:val="231F20"/>
          <w:w w:val="110"/>
        </w:rPr>
        <w:t>a</w:t>
      </w:r>
      <w:r>
        <w:rPr>
          <w:color w:val="231F20"/>
          <w:spacing w:val="10"/>
          <w:w w:val="110"/>
        </w:rPr>
        <w:t> </w:t>
      </w:r>
      <w:r>
        <w:rPr>
          <w:color w:val="231F20"/>
          <w:w w:val="110"/>
        </w:rPr>
        <w:t>struggle</w:t>
      </w:r>
      <w:r>
        <w:rPr>
          <w:color w:val="231F20"/>
          <w:spacing w:val="10"/>
          <w:w w:val="110"/>
        </w:rPr>
        <w:t> </w:t>
      </w:r>
      <w:r>
        <w:rPr>
          <w:color w:val="231F20"/>
          <w:w w:val="110"/>
        </w:rPr>
        <w:t>to</w:t>
      </w:r>
      <w:r>
        <w:rPr>
          <w:color w:val="231F20"/>
          <w:spacing w:val="10"/>
          <w:w w:val="110"/>
        </w:rPr>
        <w:t> </w:t>
      </w:r>
      <w:r>
        <w:rPr>
          <w:color w:val="231F20"/>
          <w:w w:val="110"/>
        </w:rPr>
        <w:t>obtain</w:t>
      </w:r>
      <w:r>
        <w:rPr>
          <w:color w:val="231F20"/>
          <w:spacing w:val="10"/>
          <w:w w:val="110"/>
        </w:rPr>
        <w:t> </w:t>
      </w:r>
      <w:r>
        <w:rPr>
          <w:color w:val="231F20"/>
          <w:w w:val="110"/>
        </w:rPr>
        <w:t>funding,</w:t>
      </w:r>
      <w:r>
        <w:rPr>
          <w:color w:val="231F20"/>
          <w:spacing w:val="10"/>
          <w:w w:val="110"/>
        </w:rPr>
        <w:t> </w:t>
      </w:r>
      <w:r>
        <w:rPr>
          <w:color w:val="231F20"/>
          <w:w w:val="110"/>
        </w:rPr>
        <w:t>begun</w:t>
      </w:r>
      <w:r>
        <w:rPr>
          <w:color w:val="231F20"/>
          <w:spacing w:val="10"/>
          <w:w w:val="110"/>
        </w:rPr>
        <w:t> </w:t>
      </w:r>
      <w:r>
        <w:rPr>
          <w:color w:val="231F20"/>
          <w:w w:val="110"/>
        </w:rPr>
        <w:t>its</w:t>
      </w:r>
      <w:r>
        <w:rPr>
          <w:color w:val="231F20"/>
          <w:spacing w:val="10"/>
          <w:w w:val="110"/>
        </w:rPr>
        <w:t> </w:t>
      </w:r>
      <w:r>
        <w:rPr>
          <w:color w:val="231F20"/>
          <w:w w:val="110"/>
        </w:rPr>
        <w:t>redevelopment</w:t>
      </w:r>
      <w:r>
        <w:rPr>
          <w:color w:val="231F20"/>
          <w:spacing w:val="10"/>
          <w:w w:val="110"/>
        </w:rPr>
        <w:t> </w:t>
      </w:r>
      <w:r>
        <w:rPr>
          <w:color w:val="231F20"/>
          <w:w w:val="110"/>
        </w:rPr>
        <w:t>of</w:t>
      </w:r>
      <w:r>
        <w:rPr>
          <w:color w:val="231F20"/>
          <w:spacing w:val="10"/>
          <w:w w:val="110"/>
        </w:rPr>
        <w:t> </w:t>
      </w:r>
      <w:r>
        <w:rPr>
          <w:color w:val="231F20"/>
          <w:w w:val="110"/>
        </w:rPr>
        <w:t>its</w:t>
      </w:r>
      <w:r>
        <w:rPr>
          <w:color w:val="231F20"/>
          <w:spacing w:val="10"/>
          <w:w w:val="110"/>
        </w:rPr>
        <w:t> </w:t>
      </w:r>
      <w:r>
        <w:rPr>
          <w:color w:val="231F20"/>
          <w:w w:val="110"/>
        </w:rPr>
        <w:t>frontage</w:t>
      </w:r>
    </w:p>
    <w:p>
      <w:pPr>
        <w:pStyle w:val="BodyText"/>
        <w:spacing w:line="273" w:lineRule="auto" w:before="5"/>
        <w:ind w:left="1240" w:right="2422"/>
      </w:pPr>
      <w:r>
        <w:rPr>
          <w:color w:val="231F20"/>
          <w:w w:val="110"/>
        </w:rPr>
        <w:t>onto the high </w:t>
      </w:r>
      <w:r>
        <w:rPr>
          <w:color w:val="231F20"/>
          <w:spacing w:val="2"/>
          <w:w w:val="110"/>
        </w:rPr>
        <w:t>street. </w:t>
      </w:r>
      <w:r>
        <w:rPr>
          <w:color w:val="231F20"/>
          <w:w w:val="110"/>
        </w:rPr>
        <w:t>It will become a “Multi Use Centre” for the benefit of the community. A Multi Use Centre is a place where organisations can promote their </w:t>
      </w:r>
      <w:r>
        <w:rPr>
          <w:color w:val="231F20"/>
          <w:spacing w:val="2"/>
          <w:w w:val="110"/>
        </w:rPr>
        <w:t>services </w:t>
      </w:r>
      <w:r>
        <w:rPr>
          <w:color w:val="231F20"/>
          <w:w w:val="110"/>
        </w:rPr>
        <w:t>in one location either in a face to face situation or through the provision of advice and information leaflets. This will be one of a network of Multi Use Centres being developed in Lincolnshire whereby rural communities can benefit </w:t>
      </w:r>
      <w:r>
        <w:rPr>
          <w:color w:val="231F20"/>
          <w:spacing w:val="2"/>
          <w:w w:val="110"/>
        </w:rPr>
        <w:t>from </w:t>
      </w:r>
      <w:r>
        <w:rPr>
          <w:color w:val="231F20"/>
          <w:w w:val="110"/>
        </w:rPr>
        <w:t>increased </w:t>
      </w:r>
      <w:r>
        <w:rPr>
          <w:color w:val="231F20"/>
          <w:spacing w:val="2"/>
          <w:w w:val="110"/>
        </w:rPr>
        <w:t>services. </w:t>
      </w:r>
      <w:r>
        <w:rPr>
          <w:color w:val="231F20"/>
          <w:w w:val="110"/>
        </w:rPr>
        <w:t>Crossways at Yardley Hastings is a   synod </w:t>
      </w:r>
      <w:r>
        <w:rPr>
          <w:color w:val="231F20"/>
          <w:spacing w:val="2"/>
          <w:w w:val="110"/>
        </w:rPr>
        <w:t>project </w:t>
      </w:r>
      <w:r>
        <w:rPr>
          <w:color w:val="231F20"/>
          <w:w w:val="110"/>
        </w:rPr>
        <w:t>focusing on youth and children, rural and small churches and spirituality. Derek Hopkins is the </w:t>
      </w:r>
      <w:r>
        <w:rPr>
          <w:color w:val="231F20"/>
          <w:spacing w:val="2"/>
          <w:w w:val="110"/>
        </w:rPr>
        <w:t>Director </w:t>
      </w:r>
      <w:r>
        <w:rPr>
          <w:color w:val="231F20"/>
          <w:w w:val="110"/>
        </w:rPr>
        <w:t>and an exciting</w:t>
      </w:r>
      <w:r>
        <w:rPr>
          <w:color w:val="231F20"/>
          <w:spacing w:val="49"/>
          <w:w w:val="110"/>
        </w:rPr>
        <w:t> </w:t>
      </w:r>
      <w:r>
        <w:rPr>
          <w:color w:val="231F20"/>
          <w:w w:val="110"/>
        </w:rPr>
        <w:t>programme</w:t>
      </w:r>
    </w:p>
    <w:p>
      <w:pPr>
        <w:pStyle w:val="BodyText"/>
        <w:spacing w:before="5"/>
        <w:ind w:left="1240"/>
      </w:pPr>
      <w:r>
        <w:rPr>
          <w:color w:val="231F20"/>
          <w:w w:val="110"/>
        </w:rPr>
        <w:t>is being developed. See the website </w:t>
      </w:r>
      <w:hyperlink r:id="rId303">
        <w:r>
          <w:rPr>
            <w:color w:val="231F20"/>
            <w:w w:val="110"/>
          </w:rPr>
          <w:t>www.crosswayscentre.org.uk</w:t>
        </w:r>
      </w:hyperlink>
    </w:p>
    <w:p>
      <w:pPr>
        <w:pStyle w:val="BodyText"/>
        <w:spacing w:before="1"/>
        <w:rPr>
          <w:sz w:val="23"/>
        </w:rPr>
      </w:pPr>
    </w:p>
    <w:p>
      <w:pPr>
        <w:pStyle w:val="BodyText"/>
        <w:spacing w:line="273" w:lineRule="auto"/>
        <w:ind w:left="1240" w:right="3181"/>
        <w:rPr>
          <w:b/>
        </w:rPr>
      </w:pPr>
      <w:r>
        <w:rPr>
          <w:color w:val="231F20"/>
          <w:w w:val="110"/>
        </w:rPr>
        <w:t>Across the southern area of the Synod there is a swathe of new housing planned over the next twenty years, from </w:t>
      </w:r>
      <w:r>
        <w:rPr>
          <w:b/>
          <w:color w:val="231F20"/>
          <w:w w:val="110"/>
        </w:rPr>
        <w:t>Milton Keynes to</w:t>
      </w:r>
    </w:p>
    <w:p>
      <w:pPr>
        <w:pStyle w:val="BodyText"/>
        <w:spacing w:line="273" w:lineRule="auto" w:before="2"/>
        <w:ind w:left="1240" w:right="2451"/>
      </w:pPr>
      <w:r>
        <w:rPr>
          <w:b/>
          <w:color w:val="231F20"/>
          <w:w w:val="110"/>
        </w:rPr>
        <w:t>Wellingborough</w:t>
      </w:r>
      <w:r>
        <w:rPr>
          <w:color w:val="231F20"/>
          <w:w w:val="110"/>
        </w:rPr>
        <w:t>. With our ecumenical </w:t>
      </w:r>
      <w:r>
        <w:rPr>
          <w:color w:val="231F20"/>
          <w:spacing w:val="2"/>
          <w:w w:val="110"/>
        </w:rPr>
        <w:t>partners </w:t>
      </w:r>
      <w:r>
        <w:rPr>
          <w:color w:val="231F20"/>
          <w:w w:val="110"/>
        </w:rPr>
        <w:t>we are being helped to respond to this new mission </w:t>
      </w:r>
      <w:r>
        <w:rPr>
          <w:color w:val="231F20"/>
          <w:spacing w:val="2"/>
          <w:w w:val="110"/>
        </w:rPr>
        <w:t>opportunity </w:t>
      </w:r>
      <w:r>
        <w:rPr>
          <w:color w:val="231F20"/>
          <w:w w:val="110"/>
        </w:rPr>
        <w:t>by the special ministries of Bob </w:t>
      </w:r>
      <w:r>
        <w:rPr>
          <w:color w:val="231F20"/>
          <w:spacing w:val="2"/>
          <w:w w:val="110"/>
        </w:rPr>
        <w:t>Purser </w:t>
      </w:r>
      <w:r>
        <w:rPr>
          <w:color w:val="231F20"/>
          <w:w w:val="110"/>
        </w:rPr>
        <w:t>in Northamptonshire and Tim </w:t>
      </w:r>
      <w:r>
        <w:rPr>
          <w:color w:val="231F20"/>
          <w:spacing w:val="2"/>
          <w:w w:val="110"/>
        </w:rPr>
        <w:t>Norwood </w:t>
      </w:r>
      <w:r>
        <w:rPr>
          <w:color w:val="231F20"/>
          <w:w w:val="110"/>
        </w:rPr>
        <w:t>in Milton Keynes. But there are other developments too which require our attention, like the continued growth of supply chain industry distribution centres </w:t>
      </w:r>
      <w:r>
        <w:rPr>
          <w:color w:val="231F20"/>
          <w:spacing w:val="2"/>
          <w:w w:val="110"/>
        </w:rPr>
        <w:t>across </w:t>
      </w:r>
      <w:r>
        <w:rPr>
          <w:color w:val="231F20"/>
          <w:w w:val="110"/>
        </w:rPr>
        <w:t>the midlands   and elsewhere. A new ministry is being created based at the </w:t>
      </w:r>
      <w:r>
        <w:rPr>
          <w:b/>
          <w:color w:val="231F20"/>
          <w:w w:val="110"/>
        </w:rPr>
        <w:t>Daventry International Rail Freight Terminal and with </w:t>
      </w:r>
      <w:r>
        <w:rPr>
          <w:b/>
          <w:color w:val="231F20"/>
          <w:spacing w:val="3"/>
          <w:w w:val="110"/>
        </w:rPr>
        <w:t>Lutterworth </w:t>
      </w:r>
      <w:r>
        <w:rPr>
          <w:b/>
          <w:color w:val="231F20"/>
          <w:w w:val="110"/>
        </w:rPr>
        <w:t>United Reformed Church</w:t>
      </w:r>
      <w:r>
        <w:rPr>
          <w:color w:val="231F20"/>
          <w:w w:val="110"/>
        </w:rPr>
        <w:t>, which has involved negotiations </w:t>
      </w:r>
      <w:r>
        <w:rPr>
          <w:color w:val="231F20"/>
          <w:spacing w:val="2"/>
          <w:w w:val="110"/>
        </w:rPr>
        <w:t>across </w:t>
      </w:r>
      <w:r>
        <w:rPr>
          <w:color w:val="231F20"/>
          <w:w w:val="110"/>
        </w:rPr>
        <w:t>Synod, and ecumenical boundaries. But rural areas are also facing changes and the strong ecumenical </w:t>
      </w:r>
      <w:r>
        <w:rPr>
          <w:color w:val="231F20"/>
          <w:spacing w:val="2"/>
          <w:w w:val="110"/>
        </w:rPr>
        <w:t>partnership </w:t>
      </w:r>
      <w:r>
        <w:rPr>
          <w:color w:val="231F20"/>
          <w:w w:val="110"/>
        </w:rPr>
        <w:t>in </w:t>
      </w:r>
      <w:r>
        <w:rPr>
          <w:b/>
          <w:color w:val="231F20"/>
          <w:spacing w:val="2"/>
          <w:w w:val="110"/>
        </w:rPr>
        <w:t>Churches </w:t>
      </w:r>
      <w:r>
        <w:rPr>
          <w:b/>
          <w:color w:val="231F20"/>
          <w:w w:val="110"/>
        </w:rPr>
        <w:t>Together in All Lincolnshire</w:t>
      </w:r>
      <w:r>
        <w:rPr>
          <w:color w:val="231F20"/>
          <w:w w:val="110"/>
        </w:rPr>
        <w:t>, which includes Ground Level, means that </w:t>
      </w:r>
      <w:r>
        <w:rPr>
          <w:color w:val="231F20"/>
          <w:spacing w:val="3"/>
          <w:w w:val="110"/>
        </w:rPr>
        <w:t>‘fresh </w:t>
      </w:r>
      <w:r>
        <w:rPr>
          <w:color w:val="231F20"/>
          <w:w w:val="110"/>
        </w:rPr>
        <w:t>expressions’ of church are  to be found </w:t>
      </w:r>
      <w:r>
        <w:rPr>
          <w:color w:val="231F20"/>
          <w:spacing w:val="2"/>
          <w:w w:val="110"/>
        </w:rPr>
        <w:t>across </w:t>
      </w:r>
      <w:r>
        <w:rPr>
          <w:color w:val="231F20"/>
          <w:w w:val="110"/>
        </w:rPr>
        <w:t>the whole of the synod, not just in urban</w:t>
      </w:r>
      <w:r>
        <w:rPr>
          <w:color w:val="231F20"/>
          <w:spacing w:val="55"/>
          <w:w w:val="110"/>
        </w:rPr>
        <w:t> </w:t>
      </w:r>
      <w:r>
        <w:rPr>
          <w:color w:val="231F20"/>
          <w:w w:val="110"/>
        </w:rPr>
        <w:t>areas.</w:t>
      </w:r>
    </w:p>
    <w:p>
      <w:pPr>
        <w:spacing w:after="0" w:line="273" w:lineRule="auto"/>
        <w:sectPr>
          <w:headerReference w:type="default" r:id="rId302"/>
          <w:pgSz w:w="11910" w:h="16840"/>
          <w:pgMar w:header="0" w:footer="564" w:top="1360" w:bottom="760" w:left="460" w:right="0"/>
        </w:sectPr>
      </w:pPr>
    </w:p>
    <w:p>
      <w:pPr>
        <w:spacing w:before="28"/>
        <w:ind w:left="0" w:right="1130" w:firstLine="0"/>
        <w:jc w:val="right"/>
        <w:rPr>
          <w:rFonts w:ascii="Eurostile Bold"/>
          <w:b/>
          <w:sz w:val="28"/>
        </w:rPr>
      </w:pPr>
      <w:r>
        <w:rPr>
          <w:rFonts w:ascii="Eurostile Bold"/>
          <w:b/>
          <w:color w:val="A7A9AC"/>
          <w:w w:val="85"/>
          <w:sz w:val="28"/>
        </w:rPr>
        <w:t>Synod Report</w:t>
      </w:r>
    </w:p>
    <w:p>
      <w:pPr>
        <w:pStyle w:val="BodyText"/>
        <w:spacing w:before="2"/>
        <w:rPr>
          <w:rFonts w:ascii="Eurostile Bold"/>
          <w:b/>
          <w:sz w:val="12"/>
        </w:rPr>
      </w:pPr>
    </w:p>
    <w:p>
      <w:pPr>
        <w:spacing w:before="99"/>
        <w:ind w:left="673" w:right="0" w:firstLine="0"/>
        <w:jc w:val="left"/>
        <w:rPr>
          <w:b/>
          <w:sz w:val="20"/>
        </w:rPr>
      </w:pPr>
      <w:r>
        <w:rPr>
          <w:b/>
          <w:color w:val="231F20"/>
          <w:w w:val="110"/>
          <w:sz w:val="20"/>
        </w:rPr>
        <w:t>Presence</w:t>
      </w:r>
    </w:p>
    <w:p>
      <w:pPr>
        <w:pStyle w:val="BodyText"/>
        <w:spacing w:line="273" w:lineRule="auto" w:before="27"/>
        <w:ind w:left="673" w:right="1991"/>
      </w:pPr>
      <w:r>
        <w:rPr>
          <w:color w:val="231F20"/>
          <w:w w:val="110"/>
        </w:rPr>
        <w:t>In </w:t>
      </w:r>
      <w:r>
        <w:rPr>
          <w:b/>
          <w:color w:val="231F20"/>
          <w:w w:val="110"/>
        </w:rPr>
        <w:t>Leicester</w:t>
      </w:r>
      <w:r>
        <w:rPr>
          <w:color w:val="231F20"/>
          <w:w w:val="110"/>
        </w:rPr>
        <w:t>, we are </w:t>
      </w:r>
      <w:r>
        <w:rPr>
          <w:color w:val="231F20"/>
          <w:spacing w:val="2"/>
          <w:w w:val="110"/>
        </w:rPr>
        <w:t>partners </w:t>
      </w:r>
      <w:r>
        <w:rPr>
          <w:color w:val="231F20"/>
          <w:w w:val="110"/>
        </w:rPr>
        <w:t>in an ecumenical </w:t>
      </w:r>
      <w:r>
        <w:rPr>
          <w:color w:val="231F20"/>
          <w:spacing w:val="2"/>
          <w:w w:val="110"/>
        </w:rPr>
        <w:t>project </w:t>
      </w:r>
      <w:r>
        <w:rPr>
          <w:color w:val="231F20"/>
          <w:w w:val="110"/>
        </w:rPr>
        <w:t>to empower Christians to be    a more positive </w:t>
      </w:r>
      <w:r>
        <w:rPr>
          <w:color w:val="231F20"/>
          <w:spacing w:val="2"/>
          <w:w w:val="110"/>
        </w:rPr>
        <w:t>presence </w:t>
      </w:r>
      <w:r>
        <w:rPr>
          <w:color w:val="231F20"/>
          <w:w w:val="110"/>
        </w:rPr>
        <w:t>in that multi-faith and multi-cultural city. </w:t>
      </w:r>
      <w:r>
        <w:rPr>
          <w:b/>
          <w:color w:val="231F20"/>
          <w:w w:val="110"/>
        </w:rPr>
        <w:t>The St Philip’s </w:t>
      </w:r>
      <w:r>
        <w:rPr>
          <w:b/>
          <w:color w:val="231F20"/>
          <w:spacing w:val="2"/>
          <w:w w:val="110"/>
        </w:rPr>
        <w:t>Centre </w:t>
      </w:r>
      <w:r>
        <w:rPr>
          <w:color w:val="231F20"/>
          <w:w w:val="110"/>
        </w:rPr>
        <w:t>arises </w:t>
      </w:r>
      <w:r>
        <w:rPr>
          <w:color w:val="231F20"/>
          <w:spacing w:val="2"/>
          <w:w w:val="110"/>
        </w:rPr>
        <w:t>from </w:t>
      </w:r>
      <w:r>
        <w:rPr>
          <w:color w:val="231F20"/>
          <w:w w:val="110"/>
        </w:rPr>
        <w:t>the Church of England programme of ‘presence and engagement’, but in Leicester it has become a fully ecumenical venture, with the United Reformed Church providing a full-time member of </w:t>
      </w:r>
      <w:r>
        <w:rPr>
          <w:color w:val="231F20"/>
          <w:spacing w:val="3"/>
          <w:w w:val="110"/>
        </w:rPr>
        <w:t>staff </w:t>
      </w:r>
      <w:r>
        <w:rPr>
          <w:color w:val="231F20"/>
          <w:w w:val="110"/>
        </w:rPr>
        <w:t>in Clare</w:t>
      </w:r>
      <w:r>
        <w:rPr>
          <w:color w:val="231F20"/>
          <w:spacing w:val="21"/>
          <w:w w:val="110"/>
        </w:rPr>
        <w:t> </w:t>
      </w:r>
      <w:r>
        <w:rPr>
          <w:color w:val="231F20"/>
          <w:w w:val="110"/>
        </w:rPr>
        <w:t>Downing.</w:t>
      </w:r>
    </w:p>
    <w:p>
      <w:pPr>
        <w:pStyle w:val="BodyText"/>
        <w:spacing w:before="10"/>
        <w:rPr>
          <w:sz w:val="20"/>
        </w:rPr>
      </w:pPr>
    </w:p>
    <w:p>
      <w:pPr>
        <w:pStyle w:val="BodyText"/>
        <w:spacing w:line="273" w:lineRule="auto"/>
        <w:ind w:left="673" w:right="1955"/>
      </w:pPr>
      <w:r>
        <w:rPr>
          <w:color w:val="231F20"/>
          <w:spacing w:val="-3"/>
          <w:w w:val="110"/>
        </w:rPr>
        <w:t>However, </w:t>
      </w:r>
      <w:r>
        <w:rPr>
          <w:color w:val="231F20"/>
          <w:w w:val="110"/>
        </w:rPr>
        <w:t>there are places where we as the United Reformed Church are </w:t>
      </w:r>
      <w:r>
        <w:rPr>
          <w:b/>
          <w:color w:val="231F20"/>
          <w:w w:val="110"/>
        </w:rPr>
        <w:t>not </w:t>
      </w:r>
      <w:r>
        <w:rPr>
          <w:b/>
          <w:color w:val="231F20"/>
          <w:spacing w:val="2"/>
          <w:w w:val="110"/>
        </w:rPr>
        <w:t>present</w:t>
      </w:r>
      <w:r>
        <w:rPr>
          <w:color w:val="231F20"/>
          <w:spacing w:val="2"/>
          <w:w w:val="110"/>
        </w:rPr>
        <w:t>. </w:t>
      </w:r>
      <w:r>
        <w:rPr>
          <w:color w:val="231F20"/>
          <w:w w:val="110"/>
        </w:rPr>
        <w:t>One of the intriguing possibilities in the Catch the Vision </w:t>
      </w:r>
      <w:r>
        <w:rPr>
          <w:color w:val="231F20"/>
          <w:spacing w:val="2"/>
          <w:w w:val="110"/>
        </w:rPr>
        <w:t>process </w:t>
      </w:r>
      <w:r>
        <w:rPr>
          <w:color w:val="231F20"/>
          <w:w w:val="110"/>
        </w:rPr>
        <w:t>is to consider initiating new work where we have not been for a long time. </w:t>
      </w:r>
      <w:r>
        <w:rPr>
          <w:color w:val="231F20"/>
          <w:spacing w:val="2"/>
          <w:w w:val="110"/>
        </w:rPr>
        <w:t>Asking </w:t>
      </w:r>
      <w:r>
        <w:rPr>
          <w:color w:val="231F20"/>
          <w:w w:val="110"/>
        </w:rPr>
        <w:t>our ecumenical </w:t>
      </w:r>
      <w:r>
        <w:rPr>
          <w:color w:val="231F20"/>
          <w:spacing w:val="2"/>
          <w:w w:val="110"/>
        </w:rPr>
        <w:t>partners </w:t>
      </w:r>
      <w:r>
        <w:rPr>
          <w:color w:val="231F20"/>
          <w:spacing w:val="73"/>
          <w:w w:val="110"/>
        </w:rPr>
        <w:t> </w:t>
      </w:r>
      <w:r>
        <w:rPr>
          <w:color w:val="231F20"/>
          <w:w w:val="110"/>
        </w:rPr>
        <w:t>what the United Reformed Church could </w:t>
      </w:r>
      <w:r>
        <w:rPr>
          <w:color w:val="231F20"/>
          <w:spacing w:val="2"/>
          <w:w w:val="110"/>
        </w:rPr>
        <w:t>offer </w:t>
      </w:r>
      <w:r>
        <w:rPr>
          <w:color w:val="231F20"/>
          <w:w w:val="110"/>
        </w:rPr>
        <w:t>to a town where we are present through </w:t>
      </w:r>
      <w:r>
        <w:rPr>
          <w:color w:val="231F20"/>
          <w:spacing w:val="2"/>
          <w:w w:val="110"/>
        </w:rPr>
        <w:t>members </w:t>
      </w:r>
      <w:r>
        <w:rPr>
          <w:color w:val="231F20"/>
          <w:w w:val="110"/>
        </w:rPr>
        <w:t>and ministers but not through a local church, would be a challenge to them and to</w:t>
      </w:r>
      <w:r>
        <w:rPr>
          <w:color w:val="231F20"/>
          <w:spacing w:val="1"/>
          <w:w w:val="110"/>
        </w:rPr>
        <w:t> </w:t>
      </w:r>
      <w:r>
        <w:rPr>
          <w:color w:val="231F20"/>
          <w:w w:val="110"/>
        </w:rPr>
        <w:t>us.</w:t>
      </w:r>
    </w:p>
    <w:p>
      <w:pPr>
        <w:pStyle w:val="BodyText"/>
        <w:spacing w:before="10"/>
        <w:rPr>
          <w:sz w:val="20"/>
        </w:rPr>
      </w:pPr>
    </w:p>
    <w:p>
      <w:pPr>
        <w:pStyle w:val="BodyText"/>
        <w:spacing w:line="273" w:lineRule="auto"/>
        <w:ind w:left="673" w:right="1704"/>
      </w:pPr>
      <w:r>
        <w:rPr>
          <w:b/>
          <w:color w:val="231F20"/>
          <w:w w:val="110"/>
        </w:rPr>
        <w:t>‘Where is the Synod located?</w:t>
      </w:r>
      <w:r>
        <w:rPr>
          <w:color w:val="231F20"/>
          <w:w w:val="110"/>
        </w:rPr>
        <w:t>’ is one of the questions of </w:t>
      </w:r>
      <w:r>
        <w:rPr>
          <w:color w:val="231F20"/>
          <w:spacing w:val="2"/>
          <w:w w:val="110"/>
        </w:rPr>
        <w:t>presence </w:t>
      </w:r>
      <w:r>
        <w:rPr>
          <w:color w:val="231F20"/>
          <w:w w:val="110"/>
        </w:rPr>
        <w:t>that has been   raised in the new synod consultations. Most seem to assume that it is in the Synod    </w:t>
      </w:r>
      <w:r>
        <w:rPr>
          <w:color w:val="231F20"/>
          <w:spacing w:val="2"/>
          <w:w w:val="110"/>
        </w:rPr>
        <w:t>office </w:t>
      </w:r>
      <w:r>
        <w:rPr>
          <w:color w:val="231F20"/>
          <w:w w:val="110"/>
        </w:rPr>
        <w:t>in Nottingham. But our new communications exercise through revitalized web-site, and fortnightly e-letter </w:t>
      </w:r>
      <w:r>
        <w:rPr>
          <w:color w:val="231F20"/>
          <w:spacing w:val="2"/>
          <w:w w:val="110"/>
        </w:rPr>
        <w:t>tries </w:t>
      </w:r>
      <w:r>
        <w:rPr>
          <w:color w:val="231F20"/>
          <w:w w:val="110"/>
        </w:rPr>
        <w:t>to encourage people to see that the synod is all over the  East Midlands. Each place is </w:t>
      </w:r>
      <w:r>
        <w:rPr>
          <w:color w:val="231F20"/>
          <w:spacing w:val="2"/>
          <w:w w:val="110"/>
        </w:rPr>
        <w:t>connected </w:t>
      </w:r>
      <w:r>
        <w:rPr>
          <w:color w:val="231F20"/>
          <w:w w:val="110"/>
        </w:rPr>
        <w:t>and contributes to the communications</w:t>
      </w:r>
      <w:r>
        <w:rPr>
          <w:color w:val="231F20"/>
          <w:spacing w:val="11"/>
          <w:w w:val="110"/>
        </w:rPr>
        <w:t> </w:t>
      </w:r>
      <w:r>
        <w:rPr>
          <w:color w:val="231F20"/>
          <w:w w:val="110"/>
        </w:rPr>
        <w:t>web.</w:t>
      </w:r>
    </w:p>
    <w:p>
      <w:pPr>
        <w:pStyle w:val="BodyText"/>
        <w:rPr>
          <w:sz w:val="22"/>
        </w:rPr>
      </w:pPr>
    </w:p>
    <w:p>
      <w:pPr>
        <w:pStyle w:val="BodyText"/>
        <w:spacing w:before="9"/>
        <w:rPr>
          <w:sz w:val="17"/>
        </w:rPr>
      </w:pPr>
    </w:p>
    <w:p>
      <w:pPr>
        <w:spacing w:before="0"/>
        <w:ind w:left="673" w:right="0" w:firstLine="0"/>
        <w:jc w:val="left"/>
        <w:rPr>
          <w:b/>
          <w:sz w:val="20"/>
        </w:rPr>
      </w:pPr>
      <w:r>
        <w:rPr>
          <w:b/>
          <w:color w:val="231F20"/>
          <w:w w:val="110"/>
          <w:sz w:val="20"/>
        </w:rPr>
        <w:t>Points to ponder</w:t>
      </w:r>
    </w:p>
    <w:p>
      <w:pPr>
        <w:pStyle w:val="BodyText"/>
        <w:spacing w:before="4"/>
        <w:rPr>
          <w:b/>
          <w:sz w:val="20"/>
        </w:rPr>
      </w:pPr>
    </w:p>
    <w:p>
      <w:pPr>
        <w:pStyle w:val="ListParagraph"/>
        <w:numPr>
          <w:ilvl w:val="0"/>
          <w:numId w:val="2"/>
        </w:numPr>
        <w:tabs>
          <w:tab w:pos="1354" w:val="left" w:leader="none"/>
          <w:tab w:pos="1355" w:val="left" w:leader="none"/>
        </w:tabs>
        <w:spacing w:line="292" w:lineRule="exact" w:before="0" w:after="0"/>
        <w:ind w:left="1354" w:right="0" w:hanging="682"/>
        <w:jc w:val="left"/>
        <w:rPr>
          <w:color w:val="231F20"/>
          <w:sz w:val="25"/>
        </w:rPr>
      </w:pPr>
      <w:r>
        <w:rPr>
          <w:color w:val="231F20"/>
          <w:w w:val="110"/>
          <w:sz w:val="18"/>
        </w:rPr>
        <w:t>How can we </w:t>
      </w:r>
      <w:r>
        <w:rPr>
          <w:color w:val="231F20"/>
          <w:spacing w:val="2"/>
          <w:w w:val="110"/>
          <w:sz w:val="18"/>
        </w:rPr>
        <w:t>best </w:t>
      </w:r>
      <w:r>
        <w:rPr>
          <w:color w:val="231F20"/>
          <w:w w:val="110"/>
          <w:sz w:val="18"/>
        </w:rPr>
        <w:t>realise the potential of the leaders in our church,</w:t>
      </w:r>
      <w:r>
        <w:rPr>
          <w:color w:val="231F20"/>
          <w:spacing w:val="31"/>
          <w:w w:val="110"/>
          <w:sz w:val="18"/>
        </w:rPr>
        <w:t> </w:t>
      </w:r>
      <w:r>
        <w:rPr>
          <w:color w:val="231F20"/>
          <w:w w:val="110"/>
          <w:sz w:val="18"/>
        </w:rPr>
        <w:t>e.g.</w:t>
      </w:r>
    </w:p>
    <w:p>
      <w:pPr>
        <w:pStyle w:val="BodyText"/>
        <w:spacing w:line="207" w:lineRule="exact"/>
        <w:ind w:left="858" w:right="1251"/>
        <w:jc w:val="center"/>
      </w:pPr>
      <w:r>
        <w:rPr>
          <w:color w:val="231F20"/>
          <w:w w:val="110"/>
        </w:rPr>
        <w:t>workers</w:t>
      </w:r>
      <w:r>
        <w:rPr>
          <w:color w:val="231F20"/>
          <w:spacing w:val="13"/>
          <w:w w:val="110"/>
        </w:rPr>
        <w:t> </w:t>
      </w:r>
      <w:r>
        <w:rPr>
          <w:color w:val="231F20"/>
          <w:w w:val="110"/>
        </w:rPr>
        <w:t>with</w:t>
      </w:r>
      <w:r>
        <w:rPr>
          <w:color w:val="231F20"/>
          <w:spacing w:val="13"/>
          <w:w w:val="110"/>
        </w:rPr>
        <w:t> </w:t>
      </w:r>
      <w:r>
        <w:rPr>
          <w:color w:val="231F20"/>
          <w:w w:val="110"/>
        </w:rPr>
        <w:t>children</w:t>
      </w:r>
      <w:r>
        <w:rPr>
          <w:color w:val="231F20"/>
          <w:spacing w:val="13"/>
          <w:w w:val="110"/>
        </w:rPr>
        <w:t> </w:t>
      </w:r>
      <w:r>
        <w:rPr>
          <w:color w:val="231F20"/>
          <w:w w:val="110"/>
        </w:rPr>
        <w:t>and</w:t>
      </w:r>
      <w:r>
        <w:rPr>
          <w:color w:val="231F20"/>
          <w:spacing w:val="14"/>
          <w:w w:val="110"/>
        </w:rPr>
        <w:t> </w:t>
      </w:r>
      <w:r>
        <w:rPr>
          <w:color w:val="231F20"/>
          <w:w w:val="110"/>
        </w:rPr>
        <w:t>young</w:t>
      </w:r>
      <w:r>
        <w:rPr>
          <w:color w:val="231F20"/>
          <w:spacing w:val="13"/>
          <w:w w:val="110"/>
        </w:rPr>
        <w:t> </w:t>
      </w:r>
      <w:r>
        <w:rPr>
          <w:color w:val="231F20"/>
          <w:w w:val="110"/>
        </w:rPr>
        <w:t>people,</w:t>
      </w:r>
      <w:r>
        <w:rPr>
          <w:color w:val="231F20"/>
          <w:spacing w:val="13"/>
          <w:w w:val="110"/>
        </w:rPr>
        <w:t> </w:t>
      </w:r>
      <w:r>
        <w:rPr>
          <w:color w:val="231F20"/>
          <w:w w:val="110"/>
        </w:rPr>
        <w:t>pastoral</w:t>
      </w:r>
      <w:r>
        <w:rPr>
          <w:color w:val="231F20"/>
          <w:spacing w:val="13"/>
          <w:w w:val="110"/>
        </w:rPr>
        <w:t> </w:t>
      </w:r>
      <w:r>
        <w:rPr>
          <w:color w:val="231F20"/>
          <w:spacing w:val="2"/>
          <w:w w:val="110"/>
        </w:rPr>
        <w:t>carers,</w:t>
      </w:r>
      <w:r>
        <w:rPr>
          <w:color w:val="231F20"/>
          <w:spacing w:val="14"/>
          <w:w w:val="110"/>
        </w:rPr>
        <w:t> </w:t>
      </w:r>
      <w:r>
        <w:rPr>
          <w:color w:val="231F20"/>
          <w:w w:val="110"/>
        </w:rPr>
        <w:t>local</w:t>
      </w:r>
      <w:r>
        <w:rPr>
          <w:color w:val="231F20"/>
          <w:spacing w:val="13"/>
          <w:w w:val="110"/>
        </w:rPr>
        <w:t> </w:t>
      </w:r>
      <w:r>
        <w:rPr>
          <w:color w:val="231F20"/>
          <w:w w:val="110"/>
        </w:rPr>
        <w:t>church</w:t>
      </w:r>
      <w:r>
        <w:rPr>
          <w:color w:val="231F20"/>
          <w:spacing w:val="13"/>
          <w:w w:val="110"/>
        </w:rPr>
        <w:t> </w:t>
      </w:r>
      <w:r>
        <w:rPr>
          <w:color w:val="231F20"/>
          <w:w w:val="110"/>
        </w:rPr>
        <w:t>leaders,</w:t>
      </w:r>
      <w:r>
        <w:rPr>
          <w:color w:val="231F20"/>
          <w:spacing w:val="14"/>
          <w:w w:val="110"/>
        </w:rPr>
        <w:t> </w:t>
      </w:r>
      <w:r>
        <w:rPr>
          <w:color w:val="231F20"/>
          <w:w w:val="110"/>
        </w:rPr>
        <w:t>lay</w:t>
      </w:r>
    </w:p>
    <w:p>
      <w:pPr>
        <w:pStyle w:val="BodyText"/>
        <w:spacing w:before="31"/>
        <w:ind w:left="893" w:right="1251"/>
        <w:jc w:val="center"/>
      </w:pPr>
      <w:r>
        <w:rPr>
          <w:color w:val="231F20"/>
          <w:spacing w:val="2"/>
          <w:w w:val="110"/>
        </w:rPr>
        <w:t>preachers</w:t>
      </w:r>
      <w:r>
        <w:rPr>
          <w:color w:val="231F20"/>
          <w:spacing w:val="14"/>
          <w:w w:val="110"/>
        </w:rPr>
        <w:t> </w:t>
      </w:r>
      <w:r>
        <w:rPr>
          <w:color w:val="231F20"/>
          <w:w w:val="110"/>
        </w:rPr>
        <w:t>and</w:t>
      </w:r>
      <w:r>
        <w:rPr>
          <w:color w:val="231F20"/>
          <w:spacing w:val="14"/>
          <w:w w:val="110"/>
        </w:rPr>
        <w:t> </w:t>
      </w:r>
      <w:r>
        <w:rPr>
          <w:color w:val="231F20"/>
          <w:w w:val="110"/>
        </w:rPr>
        <w:t>worship</w:t>
      </w:r>
      <w:r>
        <w:rPr>
          <w:color w:val="231F20"/>
          <w:spacing w:val="14"/>
          <w:w w:val="110"/>
        </w:rPr>
        <w:t> </w:t>
      </w:r>
      <w:r>
        <w:rPr>
          <w:color w:val="231F20"/>
          <w:w w:val="110"/>
        </w:rPr>
        <w:t>teams,</w:t>
      </w:r>
      <w:r>
        <w:rPr>
          <w:color w:val="231F20"/>
          <w:spacing w:val="14"/>
          <w:w w:val="110"/>
        </w:rPr>
        <w:t> </w:t>
      </w:r>
      <w:r>
        <w:rPr>
          <w:color w:val="231F20"/>
          <w:w w:val="110"/>
        </w:rPr>
        <w:t>Church</w:t>
      </w:r>
      <w:r>
        <w:rPr>
          <w:color w:val="231F20"/>
          <w:spacing w:val="14"/>
          <w:w w:val="110"/>
        </w:rPr>
        <w:t> </w:t>
      </w:r>
      <w:r>
        <w:rPr>
          <w:color w:val="231F20"/>
          <w:w w:val="110"/>
        </w:rPr>
        <w:t>Related</w:t>
      </w:r>
      <w:r>
        <w:rPr>
          <w:color w:val="231F20"/>
          <w:spacing w:val="15"/>
          <w:w w:val="110"/>
        </w:rPr>
        <w:t> </w:t>
      </w:r>
      <w:r>
        <w:rPr>
          <w:color w:val="231F20"/>
          <w:w w:val="110"/>
        </w:rPr>
        <w:t>Community</w:t>
      </w:r>
      <w:r>
        <w:rPr>
          <w:color w:val="231F20"/>
          <w:spacing w:val="14"/>
          <w:w w:val="110"/>
        </w:rPr>
        <w:t> </w:t>
      </w:r>
      <w:r>
        <w:rPr>
          <w:color w:val="231F20"/>
          <w:w w:val="110"/>
        </w:rPr>
        <w:t>Workers</w:t>
      </w:r>
      <w:r>
        <w:rPr>
          <w:color w:val="231F20"/>
          <w:spacing w:val="14"/>
          <w:w w:val="110"/>
        </w:rPr>
        <w:t> </w:t>
      </w:r>
      <w:r>
        <w:rPr>
          <w:color w:val="231F20"/>
          <w:w w:val="110"/>
        </w:rPr>
        <w:t>and</w:t>
      </w:r>
      <w:r>
        <w:rPr>
          <w:color w:val="231F20"/>
          <w:spacing w:val="14"/>
          <w:w w:val="110"/>
        </w:rPr>
        <w:t> </w:t>
      </w:r>
      <w:r>
        <w:rPr>
          <w:color w:val="231F20"/>
          <w:w w:val="110"/>
        </w:rPr>
        <w:t>Ministers?</w:t>
      </w:r>
    </w:p>
    <w:p>
      <w:pPr>
        <w:pStyle w:val="BodyText"/>
        <w:spacing w:before="2"/>
        <w:rPr>
          <w:sz w:val="22"/>
        </w:rPr>
      </w:pPr>
    </w:p>
    <w:p>
      <w:pPr>
        <w:pStyle w:val="ListParagraph"/>
        <w:numPr>
          <w:ilvl w:val="0"/>
          <w:numId w:val="2"/>
        </w:numPr>
        <w:tabs>
          <w:tab w:pos="1354" w:val="left" w:leader="none"/>
          <w:tab w:pos="1355" w:val="left" w:leader="none"/>
        </w:tabs>
        <w:spacing w:line="218" w:lineRule="auto" w:before="1" w:after="0"/>
        <w:ind w:left="1354" w:right="1982" w:hanging="681"/>
        <w:jc w:val="left"/>
        <w:rPr>
          <w:color w:val="231F20"/>
          <w:sz w:val="25"/>
        </w:rPr>
      </w:pPr>
      <w:r>
        <w:rPr>
          <w:color w:val="231F20"/>
          <w:w w:val="110"/>
          <w:sz w:val="18"/>
        </w:rPr>
        <w:t>How well equipped is the United Reformed Church to be able to respond to new opportunities?</w:t>
      </w:r>
    </w:p>
    <w:p>
      <w:pPr>
        <w:pStyle w:val="BodyText"/>
        <w:spacing w:line="273" w:lineRule="auto" w:before="35"/>
        <w:ind w:left="1354" w:right="1786" w:hanging="45"/>
        <w:jc w:val="center"/>
      </w:pPr>
      <w:r>
        <w:rPr>
          <w:color w:val="231F20"/>
          <w:w w:val="110"/>
        </w:rPr>
        <w:t>For a long time all our new churches have been ecumenical. Could we open a new congregation of the United Reformed Church? How could we go about doing that?</w:t>
      </w:r>
    </w:p>
    <w:p>
      <w:pPr>
        <w:pStyle w:val="BodyText"/>
        <w:spacing w:before="1"/>
        <w:rPr>
          <w:sz w:val="19"/>
        </w:rPr>
      </w:pPr>
    </w:p>
    <w:p>
      <w:pPr>
        <w:pStyle w:val="ListParagraph"/>
        <w:numPr>
          <w:ilvl w:val="0"/>
          <w:numId w:val="2"/>
        </w:numPr>
        <w:tabs>
          <w:tab w:pos="1355" w:val="left" w:leader="none"/>
        </w:tabs>
        <w:spacing w:line="250" w:lineRule="exact" w:before="1" w:after="0"/>
        <w:ind w:left="1354" w:right="2474" w:hanging="681"/>
        <w:jc w:val="both"/>
        <w:rPr>
          <w:color w:val="231F20"/>
          <w:sz w:val="25"/>
        </w:rPr>
      </w:pPr>
      <w:r>
        <w:rPr>
          <w:color w:val="231F20"/>
          <w:spacing w:val="-8"/>
          <w:w w:val="110"/>
          <w:sz w:val="18"/>
        </w:rPr>
        <w:t>To </w:t>
      </w:r>
      <w:r>
        <w:rPr>
          <w:color w:val="231F20"/>
          <w:w w:val="110"/>
          <w:sz w:val="18"/>
        </w:rPr>
        <w:t>what extent is there a </w:t>
      </w:r>
      <w:r>
        <w:rPr>
          <w:color w:val="231F20"/>
          <w:spacing w:val="2"/>
          <w:w w:val="110"/>
          <w:sz w:val="18"/>
        </w:rPr>
        <w:t>strong </w:t>
      </w:r>
      <w:r>
        <w:rPr>
          <w:color w:val="231F20"/>
          <w:w w:val="110"/>
          <w:sz w:val="18"/>
        </w:rPr>
        <w:t>regional </w:t>
      </w:r>
      <w:r>
        <w:rPr>
          <w:color w:val="231F20"/>
          <w:spacing w:val="2"/>
          <w:w w:val="110"/>
          <w:sz w:val="18"/>
        </w:rPr>
        <w:t>presence </w:t>
      </w:r>
      <w:r>
        <w:rPr>
          <w:color w:val="231F20"/>
          <w:w w:val="110"/>
          <w:sz w:val="18"/>
        </w:rPr>
        <w:t>of the United Reformed Church? How does a regional </w:t>
      </w:r>
      <w:r>
        <w:rPr>
          <w:color w:val="231F20"/>
          <w:spacing w:val="2"/>
          <w:w w:val="110"/>
          <w:sz w:val="18"/>
        </w:rPr>
        <w:t>presence </w:t>
      </w:r>
      <w:r>
        <w:rPr>
          <w:color w:val="231F20"/>
          <w:w w:val="110"/>
          <w:sz w:val="18"/>
        </w:rPr>
        <w:t>relate to local awareness of United Reformed Church congregations and our image in the</w:t>
      </w:r>
      <w:r>
        <w:rPr>
          <w:color w:val="231F20"/>
          <w:spacing w:val="30"/>
          <w:w w:val="110"/>
          <w:sz w:val="18"/>
        </w:rPr>
        <w:t> </w:t>
      </w:r>
      <w:r>
        <w:rPr>
          <w:color w:val="231F20"/>
          <w:w w:val="110"/>
          <w:sz w:val="18"/>
        </w:rPr>
        <w:t>media?</w:t>
      </w:r>
    </w:p>
    <w:p>
      <w:pPr>
        <w:spacing w:after="0" w:line="250" w:lineRule="exact"/>
        <w:jc w:val="both"/>
        <w:rPr>
          <w:sz w:val="25"/>
        </w:rPr>
        <w:sectPr>
          <w:headerReference w:type="even" r:id="rId304"/>
          <w:footerReference w:type="even" r:id="rId305"/>
          <w:pgSz w:w="11910" w:h="16840"/>
          <w:pgMar w:header="0" w:footer="564" w:top="460" w:bottom="760" w:left="460" w:right="0"/>
        </w:sectPr>
      </w:pPr>
    </w:p>
    <w:p>
      <w:pPr>
        <w:pStyle w:val="BodyText"/>
        <w:rPr>
          <w:sz w:val="20"/>
        </w:rPr>
      </w:pPr>
      <w:r>
        <w:rPr/>
        <w:pict>
          <v:group style="position:absolute;margin-left:.003015pt;margin-top:0pt;width:841.9pt;height:595.3pt;mso-position-horizontal-relative:page;mso-position-vertical-relative:page;z-index:-275294208" coordorigin="0,0" coordsize="16838,11906">
            <v:shape style="position:absolute;left:0;top:3493;width:4212;height:8412" type="#_x0000_t75" stroked="false">
              <v:imagedata r:id="rId308" o:title=""/>
            </v:shape>
            <v:shape style="position:absolute;left:0;top:0;width:4913;height:3504" type="#_x0000_t75" stroked="false">
              <v:imagedata r:id="rId309" o:title=""/>
            </v:shape>
            <v:shape style="position:absolute;left:4201;top:3493;width:4224;height:8412" type="#_x0000_t75" stroked="false">
              <v:imagedata r:id="rId310" o:title=""/>
            </v:shape>
            <v:shape style="position:absolute;left:4902;top:0;width:4924;height:3504" type="#_x0000_t75" stroked="false">
              <v:imagedata r:id="rId311" o:title=""/>
            </v:shape>
            <v:shape style="position:absolute;left:8415;top:3493;width:4219;height:8412" type="#_x0000_t75" stroked="false">
              <v:imagedata r:id="rId9" o:title=""/>
            </v:shape>
            <v:shape style="position:absolute;left:9816;top:0;width:4919;height:3504" type="#_x0000_t75" stroked="false">
              <v:imagedata r:id="rId312" o:title=""/>
            </v:shape>
            <v:shape style="position:absolute;left:12624;top:3493;width:4214;height:8412" type="#_x0000_t75" stroked="false">
              <v:imagedata r:id="rId313" o:title=""/>
            </v:shape>
            <v:shape style="position:absolute;left:14726;top:0;width:2112;height:3504" type="#_x0000_t75" stroked="false">
              <v:imagedata r:id="rId314" o:title=""/>
            </v:shape>
            <w10:wrap type="none"/>
          </v:group>
        </w:pict>
      </w:r>
      <w:r>
        <w:rPr/>
        <w:pict>
          <v:shape style="position:absolute;margin-left:151.000229pt;margin-top:214.065659pt;width:36.050pt;height:189.85pt;mso-position-horizontal-relative:page;mso-position-vertical-relative:page;z-index:251971584" type="#_x0000_t202" filled="false" stroked="false">
            <v:textbox inset="0,0,0,0" style="layout-flow:vertical;mso-layout-flow-alt:bottom-to-top">
              <w:txbxContent>
                <w:p>
                  <w:pPr>
                    <w:spacing w:before="20"/>
                    <w:ind w:left="20" w:right="0" w:firstLine="0"/>
                    <w:jc w:val="left"/>
                    <w:rPr>
                      <w:b/>
                      <w:sz w:val="56"/>
                    </w:rPr>
                  </w:pPr>
                  <w:r>
                    <w:rPr>
                      <w:b/>
                      <w:color w:val="808285"/>
                      <w:spacing w:val="-4"/>
                      <w:sz w:val="56"/>
                    </w:rPr>
                    <w:t>Document </w:t>
                  </w:r>
                  <w:r>
                    <w:rPr>
                      <w:b/>
                      <w:color w:val="808285"/>
                      <w:sz w:val="56"/>
                    </w:rPr>
                    <w:t>1</w:t>
                  </w:r>
                </w:p>
              </w:txbxContent>
            </v:textbox>
            <w10:wrap type="none"/>
          </v:shape>
        </w:pict>
      </w:r>
    </w:p>
    <w:p>
      <w:pPr>
        <w:pStyle w:val="BodyText"/>
        <w:spacing w:before="6"/>
        <w:rPr>
          <w:sz w:val="29"/>
        </w:rPr>
      </w:pPr>
    </w:p>
    <w:p>
      <w:pPr>
        <w:pStyle w:val="Heading1"/>
        <w:spacing w:line="1024" w:lineRule="exact" w:before="100"/>
        <w:ind w:left="107"/>
      </w:pPr>
      <w:r>
        <w:rPr>
          <w:color w:val="231F20"/>
        </w:rPr>
        <w:t>Heritage Lottery Fund</w:t>
      </w:r>
    </w:p>
    <w:p>
      <w:pPr>
        <w:pStyle w:val="Heading8"/>
        <w:spacing w:line="399" w:lineRule="exact"/>
        <w:ind w:right="1161"/>
        <w:jc w:val="right"/>
      </w:pPr>
      <w:r>
        <w:rPr>
          <w:color w:val="A7A9AC"/>
          <w:w w:val="85"/>
        </w:rPr>
        <w:t>Document 1</w:t>
      </w:r>
    </w:p>
    <w:p>
      <w:pPr>
        <w:spacing w:after="0" w:line="399" w:lineRule="exact"/>
        <w:jc w:val="right"/>
        <w:sectPr>
          <w:headerReference w:type="default" r:id="rId306"/>
          <w:footerReference w:type="default" r:id="rId307"/>
          <w:pgSz w:w="16840" w:h="11910" w:orient="landscape"/>
          <w:pgMar w:header="0" w:footer="0" w:top="0" w:bottom="280" w:left="1480" w:right="2420"/>
        </w:sectPr>
      </w:pPr>
    </w:p>
    <w:p>
      <w:pPr>
        <w:pStyle w:val="BodyText"/>
        <w:spacing w:before="2"/>
        <w:rPr>
          <w:rFonts w:ascii="Eurostile Bold"/>
          <w:b/>
          <w:sz w:val="16"/>
        </w:rPr>
      </w:pPr>
    </w:p>
    <w:p>
      <w:pPr>
        <w:spacing w:after="0"/>
        <w:rPr>
          <w:rFonts w:ascii="Eurostile Bold"/>
          <w:sz w:val="16"/>
        </w:rPr>
        <w:sectPr>
          <w:headerReference w:type="even" r:id="rId315"/>
          <w:footerReference w:type="even" r:id="rId316"/>
          <w:pgSz w:w="11910" w:h="16840"/>
          <w:pgMar w:header="0" w:footer="0" w:top="1580" w:bottom="280" w:left="620" w:right="0"/>
        </w:sectPr>
      </w:pPr>
    </w:p>
    <w:p>
      <w:pPr>
        <w:spacing w:before="82"/>
        <w:ind w:left="513" w:right="0" w:firstLine="0"/>
        <w:jc w:val="left"/>
        <w:rPr>
          <w:b/>
          <w:sz w:val="56"/>
        </w:rPr>
      </w:pPr>
      <w:r>
        <w:rPr/>
        <w:pict>
          <v:shape style="position:absolute;margin-left:507.808899pt;margin-top:8.94087pt;width:68.150pt;height:648.450pt;mso-position-horizontal-relative:page;mso-position-vertical-relative:paragraph;z-index:251972608" type="#_x0000_t202" filled="false" stroked="false">
            <v:textbox inset="0,0,0,0" style="layout-flow:vertical">
              <w:txbxContent>
                <w:p>
                  <w:pPr>
                    <w:spacing w:line="982" w:lineRule="exact" w:before="20"/>
                    <w:ind w:left="20" w:right="0" w:firstLine="0"/>
                    <w:jc w:val="left"/>
                    <w:rPr>
                      <w:b/>
                      <w:sz w:val="88"/>
                    </w:rPr>
                  </w:pPr>
                  <w:r>
                    <w:rPr>
                      <w:b/>
                      <w:color w:val="231F20"/>
                      <w:sz w:val="88"/>
                    </w:rPr>
                    <w:t>Heritage Lottery Fund</w:t>
                  </w:r>
                </w:p>
                <w:p>
                  <w:pPr>
                    <w:spacing w:line="358"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z w:val="56"/>
        </w:rPr>
        <w:t>Document 1</w:t>
      </w:r>
    </w:p>
    <w:p>
      <w:pPr>
        <w:pStyle w:val="BodyText"/>
        <w:rPr>
          <w:b/>
          <w:sz w:val="20"/>
        </w:rPr>
      </w:pPr>
    </w:p>
    <w:p>
      <w:pPr>
        <w:pStyle w:val="BodyText"/>
        <w:spacing w:before="1"/>
        <w:rPr>
          <w:b/>
          <w:sz w:val="21"/>
        </w:rPr>
      </w:pPr>
    </w:p>
    <w:p>
      <w:pPr>
        <w:pStyle w:val="Heading9"/>
        <w:numPr>
          <w:ilvl w:val="0"/>
          <w:numId w:val="120"/>
        </w:numPr>
        <w:tabs>
          <w:tab w:pos="1233" w:val="left" w:leader="none"/>
          <w:tab w:pos="1234" w:val="left" w:leader="none"/>
        </w:tabs>
        <w:spacing w:line="240" w:lineRule="auto" w:before="99" w:after="0"/>
        <w:ind w:left="1233" w:right="0" w:hanging="721"/>
        <w:jc w:val="left"/>
      </w:pPr>
      <w:r>
        <w:rPr>
          <w:color w:val="231F20"/>
          <w:w w:val="110"/>
        </w:rPr>
        <w:t>Introduction</w:t>
      </w:r>
    </w:p>
    <w:p>
      <w:pPr>
        <w:pStyle w:val="ListParagraph"/>
        <w:numPr>
          <w:ilvl w:val="1"/>
          <w:numId w:val="120"/>
        </w:numPr>
        <w:tabs>
          <w:tab w:pos="1233" w:val="left" w:leader="none"/>
          <w:tab w:pos="1234" w:val="left" w:leader="none"/>
        </w:tabs>
        <w:spacing w:line="273" w:lineRule="auto" w:before="258" w:after="0"/>
        <w:ind w:left="513" w:right="2309" w:firstLine="0"/>
        <w:jc w:val="left"/>
        <w:rPr>
          <w:sz w:val="18"/>
        </w:rPr>
      </w:pPr>
      <w:r>
        <w:rPr>
          <w:color w:val="231F20"/>
          <w:w w:val="110"/>
          <w:sz w:val="18"/>
        </w:rPr>
        <w:t>A resolution </w:t>
      </w:r>
      <w:r>
        <w:rPr>
          <w:color w:val="231F20"/>
          <w:spacing w:val="2"/>
          <w:w w:val="110"/>
          <w:sz w:val="18"/>
        </w:rPr>
        <w:t>carried </w:t>
      </w:r>
      <w:r>
        <w:rPr>
          <w:color w:val="231F20"/>
          <w:w w:val="110"/>
          <w:sz w:val="18"/>
        </w:rPr>
        <w:t>at General Assembly 2006 asked that Assembly </w:t>
      </w:r>
      <w:r>
        <w:rPr>
          <w:color w:val="231F20"/>
          <w:spacing w:val="2"/>
          <w:w w:val="110"/>
          <w:sz w:val="18"/>
        </w:rPr>
        <w:t>re- </w:t>
      </w:r>
      <w:r>
        <w:rPr>
          <w:color w:val="231F20"/>
          <w:w w:val="110"/>
          <w:sz w:val="18"/>
        </w:rPr>
        <w:t>consider its position in </w:t>
      </w:r>
      <w:r>
        <w:rPr>
          <w:color w:val="231F20"/>
          <w:spacing w:val="3"/>
          <w:w w:val="110"/>
          <w:sz w:val="18"/>
        </w:rPr>
        <w:t>respect </w:t>
      </w:r>
      <w:r>
        <w:rPr>
          <w:color w:val="231F20"/>
          <w:w w:val="110"/>
          <w:sz w:val="18"/>
        </w:rPr>
        <w:t>of applications for </w:t>
      </w:r>
      <w:r>
        <w:rPr>
          <w:color w:val="231F20"/>
          <w:spacing w:val="3"/>
          <w:w w:val="110"/>
          <w:sz w:val="18"/>
        </w:rPr>
        <w:t>Lottery </w:t>
      </w:r>
      <w:r>
        <w:rPr>
          <w:color w:val="231F20"/>
          <w:w w:val="110"/>
          <w:sz w:val="18"/>
        </w:rPr>
        <w:t>funding, in the light of diminishing government funding available for the upkeep and repair of historic church buildings – especially buildings formally listed as being of special historic or architectural interest – and the diverse way in which the </w:t>
      </w:r>
      <w:r>
        <w:rPr>
          <w:color w:val="231F20"/>
          <w:spacing w:val="3"/>
          <w:w w:val="110"/>
          <w:sz w:val="18"/>
        </w:rPr>
        <w:t>Lottery </w:t>
      </w:r>
      <w:r>
        <w:rPr>
          <w:color w:val="231F20"/>
          <w:w w:val="110"/>
          <w:sz w:val="18"/>
        </w:rPr>
        <w:t>is now being used to fund other agencies and sources of financial support. Mission Council asked the Church and </w:t>
      </w:r>
      <w:r>
        <w:rPr>
          <w:color w:val="231F20"/>
          <w:spacing w:val="2"/>
          <w:w w:val="110"/>
          <w:sz w:val="18"/>
        </w:rPr>
        <w:t>Society </w:t>
      </w:r>
      <w:r>
        <w:rPr>
          <w:color w:val="231F20"/>
          <w:w w:val="110"/>
          <w:sz w:val="18"/>
        </w:rPr>
        <w:t>Committee to prepare a briefing with a recommendation to be brought to Assembly</w:t>
      </w:r>
      <w:r>
        <w:rPr>
          <w:color w:val="231F20"/>
          <w:spacing w:val="3"/>
          <w:w w:val="110"/>
          <w:sz w:val="18"/>
        </w:rPr>
        <w:t> </w:t>
      </w:r>
      <w:r>
        <w:rPr>
          <w:color w:val="231F20"/>
          <w:spacing w:val="-6"/>
          <w:w w:val="110"/>
          <w:sz w:val="18"/>
        </w:rPr>
        <w:t>2007.</w:t>
      </w:r>
    </w:p>
    <w:p>
      <w:pPr>
        <w:pStyle w:val="BodyText"/>
        <w:spacing w:before="11"/>
        <w:rPr>
          <w:sz w:val="20"/>
        </w:rPr>
      </w:pPr>
    </w:p>
    <w:p>
      <w:pPr>
        <w:pStyle w:val="ListParagraph"/>
        <w:numPr>
          <w:ilvl w:val="1"/>
          <w:numId w:val="120"/>
        </w:numPr>
        <w:tabs>
          <w:tab w:pos="1233" w:val="left" w:leader="none"/>
          <w:tab w:pos="1234" w:val="left" w:leader="none"/>
        </w:tabs>
        <w:spacing w:line="273" w:lineRule="auto" w:before="1" w:after="0"/>
        <w:ind w:left="513" w:right="2401" w:firstLine="0"/>
        <w:jc w:val="left"/>
        <w:rPr>
          <w:sz w:val="18"/>
        </w:rPr>
      </w:pPr>
      <w:r>
        <w:rPr>
          <w:color w:val="231F20"/>
          <w:w w:val="110"/>
          <w:sz w:val="18"/>
        </w:rPr>
        <w:t>In September </w:t>
      </w:r>
      <w:r>
        <w:rPr>
          <w:color w:val="231F20"/>
          <w:spacing w:val="-3"/>
          <w:w w:val="110"/>
          <w:sz w:val="18"/>
        </w:rPr>
        <w:t>2006, </w:t>
      </w:r>
      <w:r>
        <w:rPr>
          <w:color w:val="231F20"/>
          <w:w w:val="110"/>
          <w:sz w:val="18"/>
        </w:rPr>
        <w:t>the Church and Society committee expressed the provisional view that the committee should propose that the Church alter its</w:t>
      </w:r>
      <w:r>
        <w:rPr>
          <w:color w:val="231F20"/>
          <w:spacing w:val="-3"/>
          <w:w w:val="110"/>
          <w:sz w:val="18"/>
        </w:rPr>
        <w:t> </w:t>
      </w:r>
      <w:r>
        <w:rPr>
          <w:color w:val="231F20"/>
          <w:w w:val="110"/>
          <w:sz w:val="18"/>
        </w:rPr>
        <w:t>stance</w:t>
      </w:r>
    </w:p>
    <w:p>
      <w:pPr>
        <w:pStyle w:val="BodyText"/>
        <w:spacing w:line="273" w:lineRule="auto" w:before="1"/>
        <w:ind w:left="513" w:right="1844"/>
      </w:pPr>
      <w:r>
        <w:rPr>
          <w:color w:val="231F20"/>
          <w:w w:val="110"/>
        </w:rPr>
        <w:t>to allow applications for lottery funding for this specific purpose. A paper explaining the background, and why the committee had come to this view, was approved by Mission Council (with slight amendment) on 27 January. The paper appears below, as amended.</w:t>
      </w:r>
    </w:p>
    <w:p>
      <w:pPr>
        <w:pStyle w:val="BodyText"/>
        <w:spacing w:before="9"/>
        <w:rPr>
          <w:sz w:val="20"/>
        </w:rPr>
      </w:pPr>
    </w:p>
    <w:p>
      <w:pPr>
        <w:pStyle w:val="ListParagraph"/>
        <w:numPr>
          <w:ilvl w:val="1"/>
          <w:numId w:val="120"/>
        </w:numPr>
        <w:tabs>
          <w:tab w:pos="1233" w:val="left" w:leader="none"/>
          <w:tab w:pos="1234" w:val="left" w:leader="none"/>
        </w:tabs>
        <w:spacing w:line="273" w:lineRule="auto" w:before="0" w:after="0"/>
        <w:ind w:left="513" w:right="1968" w:firstLine="0"/>
        <w:jc w:val="left"/>
        <w:rPr>
          <w:sz w:val="18"/>
        </w:rPr>
      </w:pPr>
      <w:r>
        <w:rPr>
          <w:color w:val="231F20"/>
          <w:spacing w:val="4"/>
          <w:w w:val="110"/>
          <w:sz w:val="18"/>
        </w:rPr>
        <w:t>Assistance </w:t>
      </w:r>
      <w:r>
        <w:rPr>
          <w:color w:val="231F20"/>
          <w:w w:val="110"/>
          <w:sz w:val="18"/>
        </w:rPr>
        <w:t>has </w:t>
      </w:r>
      <w:r>
        <w:rPr>
          <w:color w:val="231F20"/>
          <w:spacing w:val="3"/>
          <w:w w:val="110"/>
          <w:sz w:val="18"/>
        </w:rPr>
        <w:t>been </w:t>
      </w:r>
      <w:r>
        <w:rPr>
          <w:color w:val="231F20"/>
          <w:w w:val="110"/>
          <w:sz w:val="18"/>
        </w:rPr>
        <w:t>given by a </w:t>
      </w:r>
      <w:r>
        <w:rPr>
          <w:color w:val="231F20"/>
          <w:spacing w:val="2"/>
          <w:w w:val="110"/>
          <w:sz w:val="18"/>
        </w:rPr>
        <w:t>number </w:t>
      </w:r>
      <w:r>
        <w:rPr>
          <w:color w:val="231F20"/>
          <w:w w:val="110"/>
          <w:sz w:val="18"/>
        </w:rPr>
        <w:t>of </w:t>
      </w:r>
      <w:r>
        <w:rPr>
          <w:color w:val="231F20"/>
          <w:spacing w:val="2"/>
          <w:w w:val="110"/>
          <w:sz w:val="18"/>
        </w:rPr>
        <w:t>people, </w:t>
      </w:r>
      <w:r>
        <w:rPr>
          <w:color w:val="231F20"/>
          <w:w w:val="110"/>
          <w:sz w:val="18"/>
        </w:rPr>
        <w:t>but </w:t>
      </w:r>
      <w:r>
        <w:rPr>
          <w:color w:val="231F20"/>
          <w:spacing w:val="3"/>
          <w:w w:val="110"/>
          <w:sz w:val="18"/>
        </w:rPr>
        <w:t>particularly </w:t>
      </w:r>
      <w:r>
        <w:rPr>
          <w:color w:val="231F20"/>
          <w:w w:val="110"/>
          <w:sz w:val="18"/>
        </w:rPr>
        <w:t>by  </w:t>
      </w:r>
      <w:r>
        <w:rPr>
          <w:color w:val="231F20"/>
          <w:spacing w:val="3"/>
          <w:w w:val="110"/>
          <w:sz w:val="18"/>
        </w:rPr>
        <w:t>members </w:t>
      </w:r>
      <w:r>
        <w:rPr>
          <w:color w:val="231F20"/>
          <w:w w:val="110"/>
          <w:sz w:val="18"/>
        </w:rPr>
        <w:t>of </w:t>
      </w:r>
      <w:r>
        <w:rPr>
          <w:color w:val="231F20"/>
          <w:spacing w:val="2"/>
          <w:w w:val="110"/>
          <w:sz w:val="18"/>
        </w:rPr>
        <w:t>the </w:t>
      </w:r>
      <w:r>
        <w:rPr>
          <w:color w:val="231F20"/>
          <w:spacing w:val="3"/>
          <w:w w:val="110"/>
          <w:sz w:val="18"/>
        </w:rPr>
        <w:t>Listed </w:t>
      </w:r>
      <w:r>
        <w:rPr>
          <w:color w:val="231F20"/>
          <w:spacing w:val="2"/>
          <w:w w:val="110"/>
          <w:sz w:val="18"/>
        </w:rPr>
        <w:t>Buildings </w:t>
      </w:r>
      <w:r>
        <w:rPr>
          <w:color w:val="231F20"/>
          <w:spacing w:val="4"/>
          <w:w w:val="110"/>
          <w:sz w:val="18"/>
        </w:rPr>
        <w:t>Advisory </w:t>
      </w:r>
      <w:r>
        <w:rPr>
          <w:color w:val="231F20"/>
          <w:w w:val="110"/>
          <w:sz w:val="18"/>
        </w:rPr>
        <w:t>Group, </w:t>
      </w:r>
      <w:r>
        <w:rPr>
          <w:color w:val="231F20"/>
          <w:spacing w:val="2"/>
          <w:w w:val="110"/>
          <w:sz w:val="18"/>
        </w:rPr>
        <w:t>the </w:t>
      </w:r>
      <w:r>
        <w:rPr>
          <w:color w:val="231F20"/>
          <w:spacing w:val="3"/>
          <w:w w:val="110"/>
          <w:sz w:val="18"/>
        </w:rPr>
        <w:t>Church </w:t>
      </w:r>
      <w:r>
        <w:rPr>
          <w:color w:val="231F20"/>
          <w:w w:val="110"/>
          <w:sz w:val="18"/>
        </w:rPr>
        <w:t>and </w:t>
      </w:r>
      <w:r>
        <w:rPr>
          <w:color w:val="231F20"/>
          <w:spacing w:val="4"/>
          <w:w w:val="110"/>
          <w:sz w:val="18"/>
        </w:rPr>
        <w:t>Society </w:t>
      </w:r>
      <w:r>
        <w:rPr>
          <w:color w:val="231F20"/>
          <w:spacing w:val="3"/>
          <w:w w:val="110"/>
          <w:sz w:val="18"/>
        </w:rPr>
        <w:t>Committee </w:t>
      </w:r>
      <w:r>
        <w:rPr>
          <w:color w:val="231F20"/>
          <w:w w:val="110"/>
          <w:sz w:val="18"/>
        </w:rPr>
        <w:t>and </w:t>
      </w:r>
      <w:r>
        <w:rPr>
          <w:color w:val="231F20"/>
          <w:spacing w:val="2"/>
          <w:w w:val="110"/>
          <w:sz w:val="18"/>
        </w:rPr>
        <w:t>the </w:t>
      </w:r>
      <w:r>
        <w:rPr>
          <w:color w:val="231F20"/>
          <w:w w:val="110"/>
          <w:sz w:val="18"/>
        </w:rPr>
        <w:t>Joint Public </w:t>
      </w:r>
      <w:r>
        <w:rPr>
          <w:color w:val="231F20"/>
          <w:spacing w:val="3"/>
          <w:w w:val="110"/>
          <w:sz w:val="18"/>
        </w:rPr>
        <w:t>Issues </w:t>
      </w:r>
      <w:r>
        <w:rPr>
          <w:color w:val="231F20"/>
          <w:w w:val="110"/>
          <w:sz w:val="18"/>
        </w:rPr>
        <w:t>Team </w:t>
      </w:r>
      <w:r>
        <w:rPr>
          <w:color w:val="231F20"/>
          <w:spacing w:val="2"/>
          <w:w w:val="110"/>
          <w:sz w:val="18"/>
        </w:rPr>
        <w:t>(Baptist, </w:t>
      </w:r>
      <w:r>
        <w:rPr>
          <w:color w:val="231F20"/>
          <w:spacing w:val="3"/>
          <w:w w:val="110"/>
          <w:sz w:val="18"/>
        </w:rPr>
        <w:t>Methodist </w:t>
      </w:r>
      <w:r>
        <w:rPr>
          <w:color w:val="231F20"/>
          <w:w w:val="110"/>
          <w:sz w:val="18"/>
        </w:rPr>
        <w:t>and </w:t>
      </w:r>
      <w:r>
        <w:rPr>
          <w:color w:val="231F20"/>
          <w:spacing w:val="2"/>
          <w:w w:val="110"/>
          <w:sz w:val="18"/>
        </w:rPr>
        <w:t>United</w:t>
      </w:r>
      <w:r>
        <w:rPr>
          <w:color w:val="231F20"/>
          <w:spacing w:val="6"/>
          <w:w w:val="110"/>
          <w:sz w:val="18"/>
        </w:rPr>
        <w:t> </w:t>
      </w:r>
      <w:r>
        <w:rPr>
          <w:color w:val="231F20"/>
          <w:spacing w:val="2"/>
          <w:w w:val="110"/>
          <w:sz w:val="18"/>
        </w:rPr>
        <w:t>Reformed).</w:t>
      </w:r>
    </w:p>
    <w:p>
      <w:pPr>
        <w:pStyle w:val="BodyText"/>
        <w:rPr>
          <w:sz w:val="22"/>
        </w:rPr>
      </w:pPr>
    </w:p>
    <w:p>
      <w:pPr>
        <w:pStyle w:val="BodyText"/>
        <w:spacing w:before="2"/>
        <w:rPr>
          <w:sz w:val="19"/>
        </w:rPr>
      </w:pPr>
    </w:p>
    <w:p>
      <w:pPr>
        <w:pStyle w:val="Heading9"/>
        <w:numPr>
          <w:ilvl w:val="0"/>
          <w:numId w:val="120"/>
        </w:numPr>
        <w:tabs>
          <w:tab w:pos="1233" w:val="left" w:leader="none"/>
          <w:tab w:pos="1234" w:val="left" w:leader="none"/>
        </w:tabs>
        <w:spacing w:line="240" w:lineRule="auto" w:before="0" w:after="0"/>
        <w:ind w:left="1233" w:right="0" w:hanging="721"/>
        <w:jc w:val="left"/>
      </w:pPr>
      <w:r>
        <w:rPr>
          <w:color w:val="231F20"/>
          <w:w w:val="110"/>
        </w:rPr>
        <w:t>History</w:t>
      </w:r>
    </w:p>
    <w:p>
      <w:pPr>
        <w:pStyle w:val="ListParagraph"/>
        <w:numPr>
          <w:ilvl w:val="1"/>
          <w:numId w:val="120"/>
        </w:numPr>
        <w:tabs>
          <w:tab w:pos="1233" w:val="left" w:leader="none"/>
          <w:tab w:pos="1234" w:val="left" w:leader="none"/>
        </w:tabs>
        <w:spacing w:line="240" w:lineRule="auto" w:before="259" w:after="0"/>
        <w:ind w:left="1234" w:right="0" w:hanging="721"/>
        <w:jc w:val="left"/>
        <w:rPr>
          <w:sz w:val="18"/>
        </w:rPr>
      </w:pPr>
      <w:r>
        <w:rPr>
          <w:color w:val="231F20"/>
          <w:spacing w:val="-5"/>
          <w:w w:val="110"/>
          <w:sz w:val="18"/>
        </w:rPr>
        <w:t>1995: </w:t>
      </w:r>
      <w:r>
        <w:rPr>
          <w:color w:val="231F20"/>
          <w:w w:val="110"/>
          <w:sz w:val="18"/>
        </w:rPr>
        <w:t>Assembly passed the following resolution: Assembly urges</w:t>
      </w:r>
      <w:r>
        <w:rPr>
          <w:color w:val="231F20"/>
          <w:spacing w:val="36"/>
          <w:w w:val="110"/>
          <w:sz w:val="18"/>
        </w:rPr>
        <w:t> </w:t>
      </w:r>
      <w:r>
        <w:rPr>
          <w:color w:val="231F20"/>
          <w:spacing w:val="2"/>
          <w:w w:val="110"/>
          <w:sz w:val="18"/>
        </w:rPr>
        <w:t>members</w:t>
      </w:r>
    </w:p>
    <w:p>
      <w:pPr>
        <w:pStyle w:val="BodyText"/>
        <w:spacing w:before="31"/>
        <w:ind w:left="513"/>
      </w:pPr>
      <w:r>
        <w:rPr>
          <w:color w:val="231F20"/>
          <w:w w:val="110"/>
        </w:rPr>
        <w:t>and councils of the Church to disassociate themselves from the Lottery:</w:t>
      </w:r>
    </w:p>
    <w:p>
      <w:pPr>
        <w:pStyle w:val="ListParagraph"/>
        <w:numPr>
          <w:ilvl w:val="0"/>
          <w:numId w:val="121"/>
        </w:numPr>
        <w:tabs>
          <w:tab w:pos="781" w:val="left" w:leader="none"/>
        </w:tabs>
        <w:spacing w:line="240" w:lineRule="auto" w:before="31" w:after="0"/>
        <w:ind w:left="780" w:right="0" w:hanging="268"/>
        <w:jc w:val="left"/>
        <w:rPr>
          <w:sz w:val="18"/>
        </w:rPr>
      </w:pPr>
      <w:r>
        <w:rPr>
          <w:color w:val="231F20"/>
          <w:w w:val="110"/>
          <w:sz w:val="18"/>
        </w:rPr>
        <w:t>by refusing to buy tickets; and </w:t>
      </w:r>
      <w:r>
        <w:rPr>
          <w:color w:val="231F20"/>
          <w:spacing w:val="-8"/>
          <w:w w:val="110"/>
          <w:sz w:val="18"/>
        </w:rPr>
        <w:t>b) </w:t>
      </w:r>
      <w:r>
        <w:rPr>
          <w:color w:val="231F20"/>
          <w:w w:val="110"/>
          <w:sz w:val="18"/>
        </w:rPr>
        <w:t>by declining to apply for</w:t>
      </w:r>
      <w:r>
        <w:rPr>
          <w:color w:val="231F20"/>
          <w:spacing w:val="38"/>
          <w:w w:val="110"/>
          <w:sz w:val="18"/>
        </w:rPr>
        <w:t> </w:t>
      </w:r>
      <w:r>
        <w:rPr>
          <w:color w:val="231F20"/>
          <w:spacing w:val="2"/>
          <w:w w:val="110"/>
          <w:sz w:val="18"/>
        </w:rPr>
        <w:t>Lottery-generated</w:t>
      </w:r>
    </w:p>
    <w:p>
      <w:pPr>
        <w:pStyle w:val="BodyText"/>
        <w:spacing w:before="31"/>
        <w:ind w:left="513"/>
      </w:pPr>
      <w:r>
        <w:rPr>
          <w:color w:val="231F20"/>
          <w:w w:val="110"/>
        </w:rPr>
        <w:t>funds for church purposes.</w:t>
      </w:r>
    </w:p>
    <w:p>
      <w:pPr>
        <w:pStyle w:val="BodyText"/>
        <w:spacing w:before="2"/>
        <w:rPr>
          <w:sz w:val="23"/>
        </w:rPr>
      </w:pPr>
    </w:p>
    <w:p>
      <w:pPr>
        <w:pStyle w:val="ListParagraph"/>
        <w:numPr>
          <w:ilvl w:val="1"/>
          <w:numId w:val="120"/>
        </w:numPr>
        <w:tabs>
          <w:tab w:pos="1233" w:val="left" w:leader="none"/>
          <w:tab w:pos="1234" w:val="left" w:leader="none"/>
        </w:tabs>
        <w:spacing w:line="273" w:lineRule="auto" w:before="0" w:after="0"/>
        <w:ind w:left="513" w:right="2238" w:firstLine="0"/>
        <w:jc w:val="left"/>
        <w:rPr>
          <w:sz w:val="18"/>
        </w:rPr>
      </w:pPr>
      <w:r>
        <w:rPr>
          <w:color w:val="231F20"/>
          <w:spacing w:val="-4"/>
          <w:w w:val="110"/>
          <w:sz w:val="18"/>
        </w:rPr>
        <w:t>1997: </w:t>
      </w:r>
      <w:r>
        <w:rPr>
          <w:color w:val="231F20"/>
          <w:spacing w:val="3"/>
          <w:w w:val="110"/>
          <w:sz w:val="18"/>
        </w:rPr>
        <w:t>The Church </w:t>
      </w:r>
      <w:r>
        <w:rPr>
          <w:color w:val="231F20"/>
          <w:w w:val="110"/>
          <w:sz w:val="18"/>
        </w:rPr>
        <w:t>and </w:t>
      </w:r>
      <w:r>
        <w:rPr>
          <w:color w:val="231F20"/>
          <w:spacing w:val="4"/>
          <w:w w:val="110"/>
          <w:sz w:val="18"/>
        </w:rPr>
        <w:t>Society </w:t>
      </w:r>
      <w:r>
        <w:rPr>
          <w:color w:val="231F20"/>
          <w:spacing w:val="3"/>
          <w:w w:val="110"/>
          <w:sz w:val="18"/>
        </w:rPr>
        <w:t>Committee </w:t>
      </w:r>
      <w:r>
        <w:rPr>
          <w:color w:val="231F20"/>
          <w:w w:val="110"/>
          <w:sz w:val="18"/>
        </w:rPr>
        <w:t>was asked to </w:t>
      </w:r>
      <w:r>
        <w:rPr>
          <w:color w:val="231F20"/>
          <w:spacing w:val="3"/>
          <w:w w:val="110"/>
          <w:sz w:val="18"/>
        </w:rPr>
        <w:t>interpret </w:t>
      </w:r>
      <w:r>
        <w:rPr>
          <w:color w:val="231F20"/>
          <w:spacing w:val="2"/>
          <w:w w:val="110"/>
          <w:sz w:val="18"/>
        </w:rPr>
        <w:t>the </w:t>
      </w:r>
      <w:r>
        <w:rPr>
          <w:color w:val="231F20"/>
          <w:w w:val="110"/>
          <w:sz w:val="18"/>
        </w:rPr>
        <w:t>1995 </w:t>
      </w:r>
      <w:r>
        <w:rPr>
          <w:color w:val="231F20"/>
          <w:spacing w:val="2"/>
          <w:w w:val="110"/>
          <w:sz w:val="18"/>
        </w:rPr>
        <w:t>resolution. </w:t>
      </w:r>
      <w:r>
        <w:rPr>
          <w:color w:val="231F20"/>
          <w:w w:val="110"/>
          <w:sz w:val="18"/>
        </w:rPr>
        <w:t>It </w:t>
      </w:r>
      <w:r>
        <w:rPr>
          <w:color w:val="231F20"/>
          <w:spacing w:val="3"/>
          <w:w w:val="110"/>
          <w:sz w:val="18"/>
        </w:rPr>
        <w:t>suggested </w:t>
      </w:r>
      <w:r>
        <w:rPr>
          <w:color w:val="231F20"/>
          <w:w w:val="110"/>
          <w:sz w:val="18"/>
        </w:rPr>
        <w:t>that </w:t>
      </w:r>
      <w:r>
        <w:rPr>
          <w:color w:val="231F20"/>
          <w:spacing w:val="3"/>
          <w:w w:val="110"/>
          <w:sz w:val="18"/>
        </w:rPr>
        <w:t>where </w:t>
      </w:r>
      <w:r>
        <w:rPr>
          <w:color w:val="231F20"/>
          <w:w w:val="110"/>
          <w:sz w:val="18"/>
        </w:rPr>
        <w:t>an </w:t>
      </w:r>
      <w:r>
        <w:rPr>
          <w:color w:val="231F20"/>
          <w:spacing w:val="2"/>
          <w:w w:val="110"/>
          <w:sz w:val="18"/>
        </w:rPr>
        <w:t>application for </w:t>
      </w:r>
      <w:r>
        <w:rPr>
          <w:color w:val="231F20"/>
          <w:spacing w:val="4"/>
          <w:w w:val="110"/>
          <w:sz w:val="18"/>
        </w:rPr>
        <w:t>lottery </w:t>
      </w:r>
      <w:r>
        <w:rPr>
          <w:color w:val="231F20"/>
          <w:spacing w:val="2"/>
          <w:w w:val="110"/>
          <w:sz w:val="18"/>
        </w:rPr>
        <w:t>funding </w:t>
      </w:r>
      <w:r>
        <w:rPr>
          <w:color w:val="231F20"/>
          <w:w w:val="110"/>
          <w:sz w:val="18"/>
        </w:rPr>
        <w:t>was </w:t>
      </w:r>
      <w:r>
        <w:rPr>
          <w:color w:val="231F20"/>
          <w:spacing w:val="3"/>
          <w:w w:val="110"/>
          <w:sz w:val="18"/>
        </w:rPr>
        <w:t>more broadly based </w:t>
      </w:r>
      <w:r>
        <w:rPr>
          <w:color w:val="231F20"/>
          <w:w w:val="110"/>
          <w:sz w:val="18"/>
        </w:rPr>
        <w:t>than </w:t>
      </w:r>
      <w:r>
        <w:rPr>
          <w:color w:val="231F20"/>
          <w:spacing w:val="3"/>
          <w:w w:val="110"/>
          <w:sz w:val="18"/>
        </w:rPr>
        <w:t>from </w:t>
      </w:r>
      <w:r>
        <w:rPr>
          <w:color w:val="231F20"/>
          <w:w w:val="110"/>
          <w:sz w:val="18"/>
        </w:rPr>
        <w:t>a </w:t>
      </w:r>
      <w:r>
        <w:rPr>
          <w:color w:val="231F20"/>
          <w:spacing w:val="2"/>
          <w:w w:val="110"/>
          <w:sz w:val="18"/>
        </w:rPr>
        <w:t>single church, </w:t>
      </w:r>
      <w:r>
        <w:rPr>
          <w:color w:val="231F20"/>
          <w:w w:val="110"/>
          <w:sz w:val="18"/>
        </w:rPr>
        <w:t>and </w:t>
      </w:r>
      <w:r>
        <w:rPr>
          <w:color w:val="231F20"/>
          <w:spacing w:val="3"/>
          <w:w w:val="110"/>
          <w:sz w:val="18"/>
        </w:rPr>
        <w:t>where </w:t>
      </w:r>
      <w:r>
        <w:rPr>
          <w:color w:val="231F20"/>
          <w:w w:val="110"/>
          <w:sz w:val="18"/>
        </w:rPr>
        <w:t>it </w:t>
      </w:r>
      <w:r>
        <w:rPr>
          <w:color w:val="231F20"/>
          <w:spacing w:val="2"/>
          <w:w w:val="110"/>
          <w:sz w:val="18"/>
        </w:rPr>
        <w:t>sought funding for </w:t>
      </w:r>
      <w:r>
        <w:rPr>
          <w:color w:val="231F20"/>
          <w:spacing w:val="4"/>
          <w:w w:val="110"/>
          <w:sz w:val="18"/>
        </w:rPr>
        <w:t>projects </w:t>
      </w:r>
      <w:r>
        <w:rPr>
          <w:color w:val="231F20"/>
          <w:w w:val="110"/>
          <w:sz w:val="18"/>
        </w:rPr>
        <w:t>to </w:t>
      </w:r>
      <w:r>
        <w:rPr>
          <w:color w:val="231F20"/>
          <w:spacing w:val="2"/>
          <w:w w:val="110"/>
          <w:sz w:val="18"/>
        </w:rPr>
        <w:t>benefit the whole community </w:t>
      </w:r>
      <w:r>
        <w:rPr>
          <w:color w:val="231F20"/>
          <w:spacing w:val="-3"/>
          <w:w w:val="110"/>
          <w:sz w:val="18"/>
        </w:rPr>
        <w:t>(and </w:t>
      </w:r>
      <w:r>
        <w:rPr>
          <w:color w:val="231F20"/>
          <w:w w:val="110"/>
          <w:sz w:val="18"/>
        </w:rPr>
        <w:t>not </w:t>
      </w:r>
      <w:r>
        <w:rPr>
          <w:color w:val="231F20"/>
          <w:spacing w:val="3"/>
          <w:w w:val="110"/>
          <w:sz w:val="18"/>
        </w:rPr>
        <w:t>merely </w:t>
      </w:r>
      <w:r>
        <w:rPr>
          <w:color w:val="231F20"/>
          <w:w w:val="110"/>
          <w:sz w:val="18"/>
        </w:rPr>
        <w:t>or </w:t>
      </w:r>
      <w:r>
        <w:rPr>
          <w:color w:val="231F20"/>
          <w:spacing w:val="2"/>
          <w:w w:val="110"/>
          <w:sz w:val="18"/>
        </w:rPr>
        <w:t>primarily the </w:t>
      </w:r>
      <w:r>
        <w:rPr>
          <w:color w:val="231F20"/>
          <w:spacing w:val="3"/>
          <w:w w:val="110"/>
          <w:sz w:val="18"/>
        </w:rPr>
        <w:t>church </w:t>
      </w:r>
      <w:r>
        <w:rPr>
          <w:color w:val="231F20"/>
          <w:w w:val="110"/>
          <w:sz w:val="18"/>
        </w:rPr>
        <w:t>and </w:t>
      </w:r>
      <w:r>
        <w:rPr>
          <w:color w:val="231F20"/>
          <w:spacing w:val="3"/>
          <w:w w:val="110"/>
          <w:sz w:val="18"/>
        </w:rPr>
        <w:t>its </w:t>
      </w:r>
      <w:r>
        <w:rPr>
          <w:color w:val="231F20"/>
          <w:w w:val="110"/>
          <w:sz w:val="18"/>
        </w:rPr>
        <w:t>organisations)</w:t>
      </w:r>
      <w:r>
        <w:rPr>
          <w:color w:val="231F20"/>
          <w:spacing w:val="13"/>
          <w:w w:val="110"/>
          <w:sz w:val="18"/>
        </w:rPr>
        <w:t> </w:t>
      </w:r>
      <w:r>
        <w:rPr>
          <w:color w:val="231F20"/>
          <w:w w:val="110"/>
          <w:sz w:val="18"/>
        </w:rPr>
        <w:t>this</w:t>
      </w:r>
      <w:r>
        <w:rPr>
          <w:color w:val="231F20"/>
          <w:spacing w:val="13"/>
          <w:w w:val="110"/>
          <w:sz w:val="18"/>
        </w:rPr>
        <w:t> </w:t>
      </w:r>
      <w:r>
        <w:rPr>
          <w:color w:val="231F20"/>
          <w:w w:val="110"/>
          <w:sz w:val="18"/>
        </w:rPr>
        <w:t>did</w:t>
      </w:r>
      <w:r>
        <w:rPr>
          <w:color w:val="231F20"/>
          <w:spacing w:val="14"/>
          <w:w w:val="110"/>
          <w:sz w:val="18"/>
        </w:rPr>
        <w:t> </w:t>
      </w:r>
      <w:r>
        <w:rPr>
          <w:color w:val="231F20"/>
          <w:w w:val="110"/>
          <w:sz w:val="18"/>
        </w:rPr>
        <w:t>not</w:t>
      </w:r>
      <w:r>
        <w:rPr>
          <w:color w:val="231F20"/>
          <w:spacing w:val="14"/>
          <w:w w:val="110"/>
          <w:sz w:val="18"/>
        </w:rPr>
        <w:t> </w:t>
      </w:r>
      <w:r>
        <w:rPr>
          <w:color w:val="231F20"/>
          <w:spacing w:val="3"/>
          <w:w w:val="110"/>
          <w:sz w:val="18"/>
        </w:rPr>
        <w:t>breach</w:t>
      </w:r>
      <w:r>
        <w:rPr>
          <w:color w:val="231F20"/>
          <w:spacing w:val="13"/>
          <w:w w:val="110"/>
          <w:sz w:val="18"/>
        </w:rPr>
        <w:t> </w:t>
      </w:r>
      <w:r>
        <w:rPr>
          <w:color w:val="231F20"/>
          <w:spacing w:val="2"/>
          <w:w w:val="110"/>
          <w:sz w:val="18"/>
        </w:rPr>
        <w:t>the</w:t>
      </w:r>
      <w:r>
        <w:rPr>
          <w:color w:val="231F20"/>
          <w:spacing w:val="14"/>
          <w:w w:val="110"/>
          <w:sz w:val="18"/>
        </w:rPr>
        <w:t> </w:t>
      </w:r>
      <w:r>
        <w:rPr>
          <w:color w:val="231F20"/>
          <w:spacing w:val="2"/>
          <w:w w:val="110"/>
          <w:sz w:val="18"/>
        </w:rPr>
        <w:t>spirit</w:t>
      </w:r>
      <w:r>
        <w:rPr>
          <w:color w:val="231F20"/>
          <w:spacing w:val="14"/>
          <w:w w:val="110"/>
          <w:sz w:val="18"/>
        </w:rPr>
        <w:t> </w:t>
      </w:r>
      <w:r>
        <w:rPr>
          <w:color w:val="231F20"/>
          <w:w w:val="110"/>
          <w:sz w:val="18"/>
        </w:rPr>
        <w:t>of</w:t>
      </w:r>
      <w:r>
        <w:rPr>
          <w:color w:val="231F20"/>
          <w:spacing w:val="13"/>
          <w:w w:val="110"/>
          <w:sz w:val="18"/>
        </w:rPr>
        <w:t> </w:t>
      </w:r>
      <w:r>
        <w:rPr>
          <w:color w:val="231F20"/>
          <w:w w:val="110"/>
          <w:sz w:val="18"/>
        </w:rPr>
        <w:t>what</w:t>
      </w:r>
      <w:r>
        <w:rPr>
          <w:color w:val="231F20"/>
          <w:spacing w:val="13"/>
          <w:w w:val="110"/>
          <w:sz w:val="18"/>
        </w:rPr>
        <w:t> </w:t>
      </w:r>
      <w:r>
        <w:rPr>
          <w:color w:val="231F20"/>
          <w:spacing w:val="3"/>
          <w:w w:val="110"/>
          <w:sz w:val="18"/>
        </w:rPr>
        <w:t>Assembly</w:t>
      </w:r>
      <w:r>
        <w:rPr>
          <w:color w:val="231F20"/>
          <w:spacing w:val="14"/>
          <w:w w:val="110"/>
          <w:sz w:val="18"/>
        </w:rPr>
        <w:t> </w:t>
      </w:r>
      <w:r>
        <w:rPr>
          <w:color w:val="231F20"/>
          <w:w w:val="110"/>
          <w:sz w:val="18"/>
        </w:rPr>
        <w:t>had</w:t>
      </w:r>
      <w:r>
        <w:rPr>
          <w:color w:val="231F20"/>
          <w:spacing w:val="14"/>
          <w:w w:val="110"/>
          <w:sz w:val="18"/>
        </w:rPr>
        <w:t> </w:t>
      </w:r>
      <w:r>
        <w:rPr>
          <w:color w:val="231F20"/>
          <w:spacing w:val="2"/>
          <w:w w:val="110"/>
          <w:sz w:val="18"/>
        </w:rPr>
        <w:t>determined.</w:t>
      </w:r>
    </w:p>
    <w:p>
      <w:pPr>
        <w:pStyle w:val="BodyText"/>
        <w:spacing w:before="10"/>
        <w:rPr>
          <w:sz w:val="20"/>
        </w:rPr>
      </w:pPr>
    </w:p>
    <w:p>
      <w:pPr>
        <w:pStyle w:val="ListParagraph"/>
        <w:numPr>
          <w:ilvl w:val="1"/>
          <w:numId w:val="120"/>
        </w:numPr>
        <w:tabs>
          <w:tab w:pos="1233" w:val="left" w:leader="none"/>
          <w:tab w:pos="1234" w:val="left" w:leader="none"/>
        </w:tabs>
        <w:spacing w:line="240" w:lineRule="auto" w:before="0" w:after="0"/>
        <w:ind w:left="1233" w:right="0" w:hanging="721"/>
        <w:jc w:val="left"/>
        <w:rPr>
          <w:sz w:val="18"/>
        </w:rPr>
      </w:pPr>
      <w:r>
        <w:rPr>
          <w:color w:val="231F20"/>
          <w:w w:val="110"/>
          <w:sz w:val="18"/>
        </w:rPr>
        <w:t>June 2004: Synod Moderators received a </w:t>
      </w:r>
      <w:r>
        <w:rPr>
          <w:color w:val="231F20"/>
          <w:spacing w:val="2"/>
          <w:w w:val="110"/>
          <w:sz w:val="18"/>
        </w:rPr>
        <w:t>letter from </w:t>
      </w:r>
      <w:r>
        <w:rPr>
          <w:color w:val="231F20"/>
          <w:w w:val="110"/>
          <w:sz w:val="18"/>
        </w:rPr>
        <w:t>Assembly</w:t>
      </w:r>
      <w:r>
        <w:rPr>
          <w:color w:val="231F20"/>
          <w:spacing w:val="22"/>
          <w:w w:val="110"/>
          <w:sz w:val="18"/>
        </w:rPr>
        <w:t> </w:t>
      </w:r>
      <w:r>
        <w:rPr>
          <w:color w:val="231F20"/>
          <w:w w:val="110"/>
          <w:sz w:val="18"/>
        </w:rPr>
        <w:t>Listed</w:t>
      </w:r>
    </w:p>
    <w:p>
      <w:pPr>
        <w:pStyle w:val="BodyText"/>
        <w:spacing w:before="31"/>
        <w:ind w:left="513"/>
      </w:pPr>
      <w:r>
        <w:rPr>
          <w:color w:val="231F20"/>
          <w:w w:val="110"/>
        </w:rPr>
        <w:t>Buildings Advisory Group with an enclosure from English Heritage, which made</w:t>
      </w:r>
    </w:p>
    <w:p>
      <w:pPr>
        <w:pStyle w:val="BodyText"/>
        <w:spacing w:line="273" w:lineRule="auto" w:before="32"/>
        <w:ind w:left="513" w:right="1844" w:hanging="1"/>
      </w:pPr>
      <w:r>
        <w:rPr>
          <w:color w:val="231F20"/>
          <w:w w:val="110"/>
        </w:rPr>
        <w:t>it clear that public funding for Grade 2 listed buildings now came entirely from the Heritage Lottery Fund.</w:t>
      </w:r>
    </w:p>
    <w:p>
      <w:pPr>
        <w:pStyle w:val="BodyText"/>
        <w:spacing w:before="8"/>
        <w:rPr>
          <w:sz w:val="20"/>
        </w:rPr>
      </w:pPr>
    </w:p>
    <w:p>
      <w:pPr>
        <w:pStyle w:val="ListParagraph"/>
        <w:numPr>
          <w:ilvl w:val="1"/>
          <w:numId w:val="120"/>
        </w:numPr>
        <w:tabs>
          <w:tab w:pos="1233" w:val="left" w:leader="none"/>
          <w:tab w:pos="1234" w:val="left" w:leader="none"/>
        </w:tabs>
        <w:spacing w:line="273" w:lineRule="auto" w:before="0" w:after="0"/>
        <w:ind w:left="513" w:right="2532" w:firstLine="0"/>
        <w:jc w:val="left"/>
        <w:rPr>
          <w:sz w:val="18"/>
        </w:rPr>
      </w:pPr>
      <w:r>
        <w:rPr>
          <w:color w:val="231F20"/>
          <w:w w:val="110"/>
          <w:sz w:val="18"/>
        </w:rPr>
        <w:t>November 2004: Church and </w:t>
      </w:r>
      <w:r>
        <w:rPr>
          <w:color w:val="231F20"/>
          <w:spacing w:val="2"/>
          <w:w w:val="110"/>
          <w:sz w:val="18"/>
        </w:rPr>
        <w:t>Society </w:t>
      </w:r>
      <w:r>
        <w:rPr>
          <w:color w:val="231F20"/>
          <w:w w:val="110"/>
          <w:sz w:val="18"/>
        </w:rPr>
        <w:t>Committee felt the English Heritage position gave the Church little room to manoeuvre and that it might be time for the </w:t>
      </w:r>
      <w:r>
        <w:rPr>
          <w:color w:val="231F20"/>
          <w:spacing w:val="-3"/>
          <w:w w:val="110"/>
          <w:sz w:val="18"/>
        </w:rPr>
        <w:t>1995 </w:t>
      </w:r>
      <w:r>
        <w:rPr>
          <w:color w:val="231F20"/>
          <w:w w:val="110"/>
          <w:sz w:val="18"/>
        </w:rPr>
        <w:t>resolution to be re-visited – albeit </w:t>
      </w:r>
      <w:r>
        <w:rPr>
          <w:color w:val="231F20"/>
          <w:spacing w:val="2"/>
          <w:w w:val="110"/>
          <w:sz w:val="18"/>
        </w:rPr>
        <w:t>after </w:t>
      </w:r>
      <w:r>
        <w:rPr>
          <w:color w:val="231F20"/>
          <w:w w:val="110"/>
          <w:sz w:val="18"/>
        </w:rPr>
        <w:t>a protest had been lodged with English Heritage – but that this should be a decision for Assembly, with advice </w:t>
      </w:r>
      <w:r>
        <w:rPr>
          <w:color w:val="231F20"/>
          <w:spacing w:val="2"/>
          <w:w w:val="110"/>
          <w:sz w:val="18"/>
        </w:rPr>
        <w:t>from </w:t>
      </w:r>
      <w:r>
        <w:rPr>
          <w:color w:val="231F20"/>
          <w:w w:val="110"/>
          <w:sz w:val="18"/>
        </w:rPr>
        <w:t>Mission Council.</w:t>
      </w:r>
    </w:p>
    <w:p>
      <w:pPr>
        <w:pStyle w:val="BodyText"/>
        <w:spacing w:before="10"/>
        <w:rPr>
          <w:sz w:val="20"/>
        </w:rPr>
      </w:pPr>
    </w:p>
    <w:p>
      <w:pPr>
        <w:pStyle w:val="ListParagraph"/>
        <w:numPr>
          <w:ilvl w:val="1"/>
          <w:numId w:val="120"/>
        </w:numPr>
        <w:tabs>
          <w:tab w:pos="1234" w:val="left" w:leader="none"/>
        </w:tabs>
        <w:spacing w:line="273" w:lineRule="auto" w:before="0" w:after="0"/>
        <w:ind w:left="513" w:right="2322" w:firstLine="0"/>
        <w:jc w:val="both"/>
        <w:rPr>
          <w:sz w:val="18"/>
        </w:rPr>
      </w:pPr>
      <w:r>
        <w:rPr>
          <w:color w:val="231F20"/>
          <w:w w:val="110"/>
          <w:sz w:val="18"/>
        </w:rPr>
        <w:t>January </w:t>
      </w:r>
      <w:r>
        <w:rPr>
          <w:color w:val="231F20"/>
          <w:spacing w:val="-5"/>
          <w:w w:val="110"/>
          <w:sz w:val="18"/>
        </w:rPr>
        <w:t>2005: </w:t>
      </w:r>
      <w:r>
        <w:rPr>
          <w:color w:val="231F20"/>
          <w:w w:val="110"/>
          <w:sz w:val="18"/>
        </w:rPr>
        <w:t>Mission Council noted that the </w:t>
      </w:r>
      <w:r>
        <w:rPr>
          <w:color w:val="231F20"/>
          <w:spacing w:val="-5"/>
          <w:w w:val="110"/>
          <w:sz w:val="18"/>
        </w:rPr>
        <w:t>1995 </w:t>
      </w:r>
      <w:r>
        <w:rPr>
          <w:color w:val="231F20"/>
          <w:w w:val="110"/>
          <w:sz w:val="18"/>
        </w:rPr>
        <w:t>resolution merely “urged” and did not “require” churches to disassociate themselves from the Lottery and that there was no need, at present, to alter the Church’s </w:t>
      </w:r>
      <w:r>
        <w:rPr>
          <w:color w:val="231F20"/>
          <w:spacing w:val="-5"/>
          <w:w w:val="110"/>
          <w:sz w:val="18"/>
        </w:rPr>
        <w:t>1995</w:t>
      </w:r>
      <w:r>
        <w:rPr>
          <w:color w:val="231F20"/>
          <w:spacing w:val="-30"/>
          <w:w w:val="110"/>
          <w:sz w:val="18"/>
        </w:rPr>
        <w:t> </w:t>
      </w:r>
      <w:r>
        <w:rPr>
          <w:color w:val="231F20"/>
          <w:spacing w:val="-3"/>
          <w:w w:val="110"/>
          <w:sz w:val="18"/>
        </w:rPr>
        <w:t>policy.</w:t>
      </w:r>
    </w:p>
    <w:p>
      <w:pPr>
        <w:pStyle w:val="BodyText"/>
        <w:spacing w:before="6"/>
        <w:rPr>
          <w:sz w:val="12"/>
        </w:rPr>
      </w:pPr>
    </w:p>
    <w:p>
      <w:pPr>
        <w:pStyle w:val="ListParagraph"/>
        <w:numPr>
          <w:ilvl w:val="1"/>
          <w:numId w:val="120"/>
        </w:numPr>
        <w:tabs>
          <w:tab w:pos="1234" w:val="left" w:leader="none"/>
        </w:tabs>
        <w:spacing w:line="273" w:lineRule="auto" w:before="100" w:after="0"/>
        <w:ind w:left="513" w:right="2114" w:firstLine="0"/>
        <w:jc w:val="both"/>
        <w:rPr>
          <w:sz w:val="18"/>
        </w:rPr>
      </w:pPr>
      <w:r>
        <w:rPr>
          <w:color w:val="231F20"/>
          <w:spacing w:val="2"/>
          <w:w w:val="110"/>
          <w:sz w:val="18"/>
        </w:rPr>
        <w:t>February </w:t>
      </w:r>
      <w:r>
        <w:rPr>
          <w:color w:val="231F20"/>
          <w:spacing w:val="-3"/>
          <w:w w:val="110"/>
          <w:sz w:val="18"/>
        </w:rPr>
        <w:t>2005: </w:t>
      </w:r>
      <w:r>
        <w:rPr>
          <w:color w:val="231F20"/>
          <w:w w:val="110"/>
          <w:sz w:val="18"/>
        </w:rPr>
        <w:t>Church and </w:t>
      </w:r>
      <w:r>
        <w:rPr>
          <w:color w:val="231F20"/>
          <w:spacing w:val="2"/>
          <w:w w:val="110"/>
          <w:sz w:val="18"/>
        </w:rPr>
        <w:t>Society </w:t>
      </w:r>
      <w:r>
        <w:rPr>
          <w:color w:val="231F20"/>
          <w:w w:val="110"/>
          <w:sz w:val="18"/>
        </w:rPr>
        <w:t>Committee decided that Mission Council’s view</w:t>
      </w:r>
      <w:r>
        <w:rPr>
          <w:color w:val="231F20"/>
          <w:spacing w:val="7"/>
          <w:w w:val="110"/>
          <w:sz w:val="18"/>
        </w:rPr>
        <w:t> </w:t>
      </w:r>
      <w:r>
        <w:rPr>
          <w:color w:val="231F20"/>
          <w:w w:val="110"/>
          <w:sz w:val="18"/>
        </w:rPr>
        <w:t>should</w:t>
      </w:r>
      <w:r>
        <w:rPr>
          <w:color w:val="231F20"/>
          <w:spacing w:val="7"/>
          <w:w w:val="110"/>
          <w:sz w:val="18"/>
        </w:rPr>
        <w:t> </w:t>
      </w:r>
      <w:r>
        <w:rPr>
          <w:color w:val="231F20"/>
          <w:w w:val="110"/>
          <w:sz w:val="18"/>
        </w:rPr>
        <w:t>be</w:t>
      </w:r>
      <w:r>
        <w:rPr>
          <w:color w:val="231F20"/>
          <w:spacing w:val="7"/>
          <w:w w:val="110"/>
          <w:sz w:val="18"/>
        </w:rPr>
        <w:t> </w:t>
      </w:r>
      <w:r>
        <w:rPr>
          <w:color w:val="231F20"/>
          <w:w w:val="110"/>
          <w:sz w:val="18"/>
        </w:rPr>
        <w:t>noted</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Church</w:t>
      </w:r>
      <w:r>
        <w:rPr>
          <w:color w:val="231F20"/>
          <w:spacing w:val="7"/>
          <w:w w:val="110"/>
          <w:sz w:val="18"/>
        </w:rPr>
        <w:t> </w:t>
      </w:r>
      <w:r>
        <w:rPr>
          <w:color w:val="231F20"/>
          <w:w w:val="110"/>
          <w:sz w:val="18"/>
        </w:rPr>
        <w:t>and</w:t>
      </w:r>
      <w:r>
        <w:rPr>
          <w:color w:val="231F20"/>
          <w:spacing w:val="7"/>
          <w:w w:val="110"/>
          <w:sz w:val="18"/>
        </w:rPr>
        <w:t> </w:t>
      </w:r>
      <w:r>
        <w:rPr>
          <w:color w:val="231F20"/>
          <w:spacing w:val="2"/>
          <w:w w:val="110"/>
          <w:sz w:val="18"/>
        </w:rPr>
        <w:t>Society</w:t>
      </w:r>
      <w:r>
        <w:rPr>
          <w:color w:val="231F20"/>
          <w:spacing w:val="7"/>
          <w:w w:val="110"/>
          <w:sz w:val="18"/>
        </w:rPr>
        <w:t> </w:t>
      </w:r>
      <w:r>
        <w:rPr>
          <w:color w:val="231F20"/>
          <w:spacing w:val="3"/>
          <w:w w:val="110"/>
          <w:sz w:val="18"/>
        </w:rPr>
        <w:t>report</w:t>
      </w:r>
      <w:r>
        <w:rPr>
          <w:color w:val="231F20"/>
          <w:spacing w:val="7"/>
          <w:w w:val="110"/>
          <w:sz w:val="18"/>
        </w:rPr>
        <w:t> </w:t>
      </w:r>
      <w:r>
        <w:rPr>
          <w:color w:val="231F20"/>
          <w:w w:val="110"/>
          <w:sz w:val="18"/>
        </w:rPr>
        <w:t>to</w:t>
      </w:r>
      <w:r>
        <w:rPr>
          <w:color w:val="231F20"/>
          <w:spacing w:val="8"/>
          <w:w w:val="110"/>
          <w:sz w:val="18"/>
        </w:rPr>
        <w:t> </w:t>
      </w:r>
      <w:r>
        <w:rPr>
          <w:color w:val="231F20"/>
          <w:w w:val="110"/>
          <w:sz w:val="18"/>
        </w:rPr>
        <w:t>Assembly,</w:t>
      </w:r>
      <w:r>
        <w:rPr>
          <w:color w:val="231F20"/>
          <w:spacing w:val="7"/>
          <w:w w:val="110"/>
          <w:sz w:val="18"/>
        </w:rPr>
        <w:t> </w:t>
      </w:r>
      <w:r>
        <w:rPr>
          <w:color w:val="231F20"/>
          <w:w w:val="110"/>
          <w:sz w:val="18"/>
        </w:rPr>
        <w:t>together</w:t>
      </w:r>
      <w:r>
        <w:rPr>
          <w:color w:val="231F20"/>
          <w:spacing w:val="7"/>
          <w:w w:val="110"/>
          <w:sz w:val="18"/>
        </w:rPr>
        <w:t> </w:t>
      </w:r>
      <w:r>
        <w:rPr>
          <w:color w:val="231F20"/>
          <w:w w:val="110"/>
          <w:sz w:val="18"/>
        </w:rPr>
        <w:t>with</w:t>
      </w:r>
    </w:p>
    <w:p>
      <w:pPr>
        <w:pStyle w:val="BodyText"/>
        <w:spacing w:line="273" w:lineRule="auto" w:before="1"/>
        <w:ind w:left="513" w:right="2412"/>
        <w:jc w:val="both"/>
      </w:pPr>
      <w:r>
        <w:rPr>
          <w:color w:val="231F20"/>
          <w:w w:val="110"/>
        </w:rPr>
        <w:t>a re-statement of general opposition to proposed new gambling legislation. In the event, this appears not to have happened, probably because there was no Church and Society Secretary in post.</w:t>
      </w:r>
    </w:p>
    <w:p>
      <w:pPr>
        <w:spacing w:before="142"/>
        <w:ind w:left="0" w:right="1131" w:firstLine="0"/>
        <w:jc w:val="right"/>
        <w:rPr>
          <w:rFonts w:ascii="Eurostile Bold"/>
          <w:b/>
          <w:sz w:val="24"/>
        </w:rPr>
      </w:pPr>
      <w:r>
        <w:rPr>
          <w:rFonts w:ascii="Eurostile Bold"/>
          <w:b/>
          <w:color w:val="231F20"/>
          <w:w w:val="87"/>
          <w:sz w:val="24"/>
        </w:rPr>
        <w:t>3</w:t>
      </w:r>
    </w:p>
    <w:p>
      <w:pPr>
        <w:spacing w:after="0"/>
        <w:jc w:val="right"/>
        <w:rPr>
          <w:rFonts w:ascii="Eurostile Bold"/>
          <w:sz w:val="24"/>
        </w:rPr>
        <w:sectPr>
          <w:headerReference w:type="default" r:id="rId317"/>
          <w:footerReference w:type="default" r:id="rId318"/>
          <w:pgSz w:w="11910" w:h="16840"/>
          <w:pgMar w:header="0" w:footer="0" w:top="540" w:bottom="280" w:left="620" w:right="0"/>
        </w:sectPr>
      </w:pPr>
    </w:p>
    <w:p>
      <w:pPr>
        <w:pStyle w:val="BodyText"/>
        <w:spacing w:before="2"/>
        <w:rPr>
          <w:rFonts w:ascii="Eurostile Bold"/>
          <w:b/>
          <w:sz w:val="12"/>
        </w:rPr>
      </w:pPr>
    </w:p>
    <w:p>
      <w:pPr>
        <w:pStyle w:val="ListParagraph"/>
        <w:numPr>
          <w:ilvl w:val="0"/>
          <w:numId w:val="120"/>
        </w:numPr>
        <w:tabs>
          <w:tab w:pos="1233" w:val="left" w:leader="none"/>
          <w:tab w:pos="1234" w:val="left" w:leader="none"/>
        </w:tabs>
        <w:spacing w:line="240" w:lineRule="auto" w:before="98" w:after="0"/>
        <w:ind w:left="1233" w:right="0" w:hanging="721"/>
        <w:jc w:val="left"/>
        <w:rPr>
          <w:b/>
          <w:sz w:val="29"/>
        </w:rPr>
      </w:pPr>
      <w:r>
        <w:rPr>
          <w:b/>
          <w:color w:val="231F20"/>
          <w:w w:val="110"/>
          <w:sz w:val="29"/>
        </w:rPr>
        <w:t>Listed Churches</w:t>
      </w:r>
    </w:p>
    <w:p>
      <w:pPr>
        <w:pStyle w:val="ListParagraph"/>
        <w:numPr>
          <w:ilvl w:val="1"/>
          <w:numId w:val="120"/>
        </w:numPr>
        <w:tabs>
          <w:tab w:pos="1233" w:val="left" w:leader="none"/>
          <w:tab w:pos="1234" w:val="left" w:leader="none"/>
        </w:tabs>
        <w:spacing w:line="273" w:lineRule="auto" w:before="259" w:after="0"/>
        <w:ind w:left="513" w:right="1802" w:firstLine="0"/>
        <w:jc w:val="left"/>
        <w:rPr>
          <w:sz w:val="18"/>
        </w:rPr>
      </w:pPr>
      <w:r>
        <w:rPr>
          <w:color w:val="231F20"/>
          <w:w w:val="110"/>
          <w:sz w:val="18"/>
        </w:rPr>
        <w:t>Anyone can request that a building be listed. The application for listing is dealt with by English Heritage </w:t>
      </w:r>
      <w:r>
        <w:rPr>
          <w:color w:val="231F20"/>
          <w:spacing w:val="-5"/>
          <w:w w:val="110"/>
          <w:sz w:val="18"/>
        </w:rPr>
        <w:t>(or </w:t>
      </w:r>
      <w:r>
        <w:rPr>
          <w:color w:val="231F20"/>
          <w:w w:val="110"/>
          <w:sz w:val="18"/>
        </w:rPr>
        <w:t>in Wales and Scotland by Cadw or Historic Scotland). Recommendations are confirmed by the relevant </w:t>
      </w:r>
      <w:r>
        <w:rPr>
          <w:color w:val="231F20"/>
          <w:spacing w:val="3"/>
          <w:w w:val="110"/>
          <w:sz w:val="18"/>
        </w:rPr>
        <w:t>Secretary </w:t>
      </w:r>
      <w:r>
        <w:rPr>
          <w:color w:val="231F20"/>
          <w:w w:val="110"/>
          <w:sz w:val="18"/>
        </w:rPr>
        <w:t>of State. An order cannot    be contested, which is a source of concern to some, who believe that the owners of the building should be able to make representations. Once a building is listed, it cannot be demolished, or altered in any way that would change its character, without consent; the owners</w:t>
      </w:r>
      <w:r>
        <w:rPr>
          <w:color w:val="231F20"/>
          <w:spacing w:val="7"/>
          <w:w w:val="110"/>
          <w:sz w:val="18"/>
        </w:rPr>
        <w:t> </w:t>
      </w:r>
      <w:r>
        <w:rPr>
          <w:color w:val="231F20"/>
          <w:w w:val="110"/>
          <w:sz w:val="18"/>
        </w:rPr>
        <w:t>are</w:t>
      </w:r>
      <w:r>
        <w:rPr>
          <w:color w:val="231F20"/>
          <w:spacing w:val="7"/>
          <w:w w:val="110"/>
          <w:sz w:val="18"/>
        </w:rPr>
        <w:t> </w:t>
      </w:r>
      <w:r>
        <w:rPr>
          <w:color w:val="231F20"/>
          <w:w w:val="110"/>
          <w:sz w:val="18"/>
        </w:rPr>
        <w:t>required</w:t>
      </w:r>
      <w:r>
        <w:rPr>
          <w:color w:val="231F20"/>
          <w:spacing w:val="7"/>
          <w:w w:val="110"/>
          <w:sz w:val="18"/>
        </w:rPr>
        <w:t> </w:t>
      </w:r>
      <w:r>
        <w:rPr>
          <w:color w:val="231F20"/>
          <w:w w:val="110"/>
          <w:sz w:val="18"/>
        </w:rPr>
        <w:t>to</w:t>
      </w:r>
      <w:r>
        <w:rPr>
          <w:color w:val="231F20"/>
          <w:spacing w:val="7"/>
          <w:w w:val="110"/>
          <w:sz w:val="18"/>
        </w:rPr>
        <w:t> </w:t>
      </w:r>
      <w:r>
        <w:rPr>
          <w:color w:val="231F20"/>
          <w:w w:val="110"/>
          <w:sz w:val="18"/>
        </w:rPr>
        <w:t>keep</w:t>
      </w:r>
      <w:r>
        <w:rPr>
          <w:color w:val="231F20"/>
          <w:spacing w:val="7"/>
          <w:w w:val="110"/>
          <w:sz w:val="18"/>
        </w:rPr>
        <w:t> </w:t>
      </w:r>
      <w:r>
        <w:rPr>
          <w:color w:val="231F20"/>
          <w:w w:val="110"/>
          <w:sz w:val="18"/>
        </w:rPr>
        <w:t>it</w:t>
      </w:r>
      <w:r>
        <w:rPr>
          <w:color w:val="231F20"/>
          <w:spacing w:val="7"/>
          <w:w w:val="110"/>
          <w:sz w:val="18"/>
        </w:rPr>
        <w:t> </w:t>
      </w:r>
      <w:r>
        <w:rPr>
          <w:color w:val="231F20"/>
          <w:w w:val="110"/>
          <w:sz w:val="18"/>
        </w:rPr>
        <w:t>in</w:t>
      </w:r>
      <w:r>
        <w:rPr>
          <w:color w:val="231F20"/>
          <w:spacing w:val="7"/>
          <w:w w:val="110"/>
          <w:sz w:val="18"/>
        </w:rPr>
        <w:t> </w:t>
      </w:r>
      <w:r>
        <w:rPr>
          <w:color w:val="231F20"/>
          <w:w w:val="110"/>
          <w:sz w:val="18"/>
        </w:rPr>
        <w:t>good</w:t>
      </w:r>
      <w:r>
        <w:rPr>
          <w:color w:val="231F20"/>
          <w:spacing w:val="7"/>
          <w:w w:val="110"/>
          <w:sz w:val="18"/>
        </w:rPr>
        <w:t> </w:t>
      </w:r>
      <w:r>
        <w:rPr>
          <w:color w:val="231F20"/>
          <w:w w:val="110"/>
          <w:sz w:val="18"/>
        </w:rPr>
        <w:t>repair.</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7"/>
          <w:w w:val="110"/>
          <w:sz w:val="18"/>
        </w:rPr>
        <w:t> </w:t>
      </w:r>
      <w:r>
        <w:rPr>
          <w:color w:val="231F20"/>
          <w:spacing w:val="2"/>
          <w:w w:val="110"/>
          <w:sz w:val="18"/>
        </w:rPr>
        <w:t>case</w:t>
      </w:r>
      <w:r>
        <w:rPr>
          <w:color w:val="231F20"/>
          <w:spacing w:val="7"/>
          <w:w w:val="110"/>
          <w:sz w:val="18"/>
        </w:rPr>
        <w:t> </w:t>
      </w:r>
      <w:r>
        <w:rPr>
          <w:color w:val="231F20"/>
          <w:w w:val="110"/>
          <w:sz w:val="18"/>
        </w:rPr>
        <w:t>of</w:t>
      </w:r>
      <w:r>
        <w:rPr>
          <w:color w:val="231F20"/>
          <w:spacing w:val="7"/>
          <w:w w:val="110"/>
          <w:sz w:val="18"/>
        </w:rPr>
        <w:t> </w:t>
      </w:r>
      <w:r>
        <w:rPr>
          <w:color w:val="231F20"/>
          <w:w w:val="110"/>
          <w:sz w:val="18"/>
        </w:rPr>
        <w:t>United</w:t>
      </w:r>
      <w:r>
        <w:rPr>
          <w:color w:val="231F20"/>
          <w:spacing w:val="7"/>
          <w:w w:val="110"/>
          <w:sz w:val="18"/>
        </w:rPr>
        <w:t> </w:t>
      </w:r>
      <w:r>
        <w:rPr>
          <w:color w:val="231F20"/>
          <w:w w:val="110"/>
          <w:sz w:val="18"/>
        </w:rPr>
        <w:t>Reformed</w:t>
      </w:r>
      <w:r>
        <w:rPr>
          <w:color w:val="231F20"/>
          <w:spacing w:val="7"/>
          <w:w w:val="110"/>
          <w:sz w:val="18"/>
        </w:rPr>
        <w:t> </w:t>
      </w:r>
      <w:r>
        <w:rPr>
          <w:color w:val="231F20"/>
          <w:w w:val="110"/>
          <w:sz w:val="18"/>
        </w:rPr>
        <w:t>Church</w:t>
      </w:r>
    </w:p>
    <w:p>
      <w:pPr>
        <w:pStyle w:val="BodyText"/>
        <w:spacing w:line="273" w:lineRule="auto" w:before="4"/>
        <w:ind w:left="513" w:right="1844"/>
      </w:pPr>
      <w:r>
        <w:rPr>
          <w:color w:val="231F20"/>
          <w:w w:val="110"/>
        </w:rPr>
        <w:t>buildings, consent is (except in the case of total demolition) sought through the Church’s ecclesiastical exemption control procedure. There are three categories of listing:</w:t>
      </w:r>
    </w:p>
    <w:p>
      <w:pPr>
        <w:pStyle w:val="BodyText"/>
        <w:spacing w:before="8"/>
        <w:rPr>
          <w:sz w:val="20"/>
        </w:rPr>
      </w:pPr>
    </w:p>
    <w:p>
      <w:pPr>
        <w:pStyle w:val="BodyText"/>
        <w:tabs>
          <w:tab w:pos="1953" w:val="left" w:leader="none"/>
        </w:tabs>
        <w:ind w:left="513"/>
      </w:pPr>
      <w:r>
        <w:rPr>
          <w:color w:val="231F20"/>
          <w:w w:val="110"/>
        </w:rPr>
        <w:t>Grade</w:t>
      </w:r>
      <w:r>
        <w:rPr>
          <w:color w:val="231F20"/>
          <w:spacing w:val="6"/>
          <w:w w:val="110"/>
        </w:rPr>
        <w:t> </w:t>
      </w:r>
      <w:r>
        <w:rPr>
          <w:color w:val="231F20"/>
          <w:w w:val="110"/>
        </w:rPr>
        <w:t>1</w:t>
        <w:tab/>
        <w:t>Buildings of exceptional</w:t>
      </w:r>
      <w:r>
        <w:rPr>
          <w:color w:val="231F20"/>
          <w:spacing w:val="4"/>
          <w:w w:val="110"/>
        </w:rPr>
        <w:t> </w:t>
      </w:r>
      <w:r>
        <w:rPr>
          <w:color w:val="231F20"/>
          <w:w w:val="110"/>
        </w:rPr>
        <w:t>interest</w:t>
      </w:r>
    </w:p>
    <w:p>
      <w:pPr>
        <w:pStyle w:val="BodyText"/>
        <w:tabs>
          <w:tab w:pos="1953" w:val="left" w:leader="none"/>
        </w:tabs>
        <w:spacing w:before="31"/>
        <w:ind w:left="513"/>
      </w:pPr>
      <w:r>
        <w:rPr>
          <w:color w:val="231F20"/>
          <w:w w:val="110"/>
        </w:rPr>
        <w:t>Grade</w:t>
      </w:r>
      <w:r>
        <w:rPr>
          <w:color w:val="231F20"/>
          <w:spacing w:val="7"/>
          <w:w w:val="110"/>
        </w:rPr>
        <w:t> </w:t>
      </w:r>
      <w:r>
        <w:rPr>
          <w:color w:val="231F20"/>
          <w:spacing w:val="-3"/>
          <w:w w:val="110"/>
        </w:rPr>
        <w:t>2*</w:t>
        <w:tab/>
      </w:r>
      <w:r>
        <w:rPr>
          <w:color w:val="231F20"/>
          <w:w w:val="110"/>
        </w:rPr>
        <w:t>Particularly important buildings of more than special</w:t>
      </w:r>
      <w:r>
        <w:rPr>
          <w:color w:val="231F20"/>
          <w:spacing w:val="21"/>
          <w:w w:val="110"/>
        </w:rPr>
        <w:t> </w:t>
      </w:r>
      <w:r>
        <w:rPr>
          <w:color w:val="231F20"/>
          <w:w w:val="110"/>
        </w:rPr>
        <w:t>interest</w:t>
      </w:r>
    </w:p>
    <w:p>
      <w:pPr>
        <w:pStyle w:val="BodyText"/>
        <w:tabs>
          <w:tab w:pos="1953" w:val="left" w:leader="none"/>
        </w:tabs>
        <w:spacing w:line="549" w:lineRule="auto" w:before="32"/>
        <w:ind w:left="513" w:right="2174"/>
      </w:pPr>
      <w:r>
        <w:rPr>
          <w:color w:val="231F20"/>
          <w:w w:val="110"/>
        </w:rPr>
        <w:t>Grade</w:t>
      </w:r>
      <w:r>
        <w:rPr>
          <w:color w:val="231F20"/>
          <w:spacing w:val="6"/>
          <w:w w:val="110"/>
        </w:rPr>
        <w:t> </w:t>
      </w:r>
      <w:r>
        <w:rPr>
          <w:color w:val="231F20"/>
          <w:w w:val="110"/>
        </w:rPr>
        <w:t>2</w:t>
        <w:tab/>
        <w:t>Buildings of special interest, warranting every </w:t>
      </w:r>
      <w:r>
        <w:rPr>
          <w:color w:val="231F20"/>
          <w:spacing w:val="4"/>
          <w:w w:val="110"/>
        </w:rPr>
        <w:t>effort </w:t>
      </w:r>
      <w:r>
        <w:rPr>
          <w:color w:val="231F20"/>
          <w:w w:val="110"/>
        </w:rPr>
        <w:t>to </w:t>
      </w:r>
      <w:r>
        <w:rPr>
          <w:color w:val="231F20"/>
          <w:spacing w:val="2"/>
          <w:w w:val="110"/>
        </w:rPr>
        <w:t>preserve </w:t>
      </w:r>
      <w:r>
        <w:rPr>
          <w:color w:val="231F20"/>
          <w:w w:val="110"/>
        </w:rPr>
        <w:t>them For details see:  </w:t>
      </w:r>
      <w:hyperlink r:id="rId323">
        <w:r>
          <w:rPr>
            <w:color w:val="231F20"/>
            <w:w w:val="110"/>
          </w:rPr>
          <w:t>http://www.english-heritage.org.uk/server/show/conWebDoc.2422</w:t>
        </w:r>
      </w:hyperlink>
      <w:r>
        <w:rPr>
          <w:color w:val="231F20"/>
          <w:w w:val="110"/>
        </w:rPr>
        <w:t> In Scotland, the three categories</w:t>
      </w:r>
      <w:r>
        <w:rPr>
          <w:color w:val="231F20"/>
          <w:spacing w:val="7"/>
          <w:w w:val="110"/>
        </w:rPr>
        <w:t> </w:t>
      </w:r>
      <w:r>
        <w:rPr>
          <w:color w:val="231F20"/>
          <w:w w:val="110"/>
        </w:rPr>
        <w:t>are:</w:t>
      </w:r>
    </w:p>
    <w:p>
      <w:pPr>
        <w:pStyle w:val="BodyText"/>
        <w:tabs>
          <w:tab w:pos="1953" w:val="left" w:leader="none"/>
        </w:tabs>
        <w:spacing w:line="273" w:lineRule="auto"/>
        <w:ind w:left="513" w:right="4099"/>
      </w:pPr>
      <w:r>
        <w:rPr>
          <w:color w:val="231F20"/>
          <w:w w:val="110"/>
        </w:rPr>
        <w:t>Cat.</w:t>
      </w:r>
      <w:r>
        <w:rPr>
          <w:color w:val="231F20"/>
          <w:spacing w:val="3"/>
          <w:w w:val="110"/>
        </w:rPr>
        <w:t> </w:t>
      </w:r>
      <w:r>
        <w:rPr>
          <w:color w:val="231F20"/>
          <w:w w:val="110"/>
        </w:rPr>
        <w:t>A:</w:t>
        <w:tab/>
        <w:t>Buildings of national or international </w:t>
      </w:r>
      <w:r>
        <w:rPr>
          <w:color w:val="231F20"/>
          <w:spacing w:val="2"/>
          <w:w w:val="110"/>
        </w:rPr>
        <w:t>importance </w:t>
      </w:r>
      <w:r>
        <w:rPr>
          <w:color w:val="231F20"/>
          <w:w w:val="110"/>
        </w:rPr>
        <w:t>Cat.</w:t>
      </w:r>
      <w:r>
        <w:rPr>
          <w:color w:val="231F20"/>
          <w:spacing w:val="5"/>
          <w:w w:val="110"/>
        </w:rPr>
        <w:t> </w:t>
      </w:r>
      <w:r>
        <w:rPr>
          <w:color w:val="231F20"/>
          <w:spacing w:val="-4"/>
          <w:w w:val="110"/>
        </w:rPr>
        <w:t>B:</w:t>
        <w:tab/>
      </w:r>
      <w:r>
        <w:rPr>
          <w:color w:val="231F20"/>
          <w:w w:val="110"/>
        </w:rPr>
        <w:t>Buildings of regional or more than local </w:t>
      </w:r>
      <w:r>
        <w:rPr>
          <w:color w:val="231F20"/>
          <w:spacing w:val="2"/>
          <w:w w:val="110"/>
        </w:rPr>
        <w:t>importance </w:t>
      </w:r>
      <w:r>
        <w:rPr>
          <w:color w:val="231F20"/>
          <w:w w:val="110"/>
        </w:rPr>
        <w:t>Cat.</w:t>
      </w:r>
      <w:r>
        <w:rPr>
          <w:color w:val="231F20"/>
          <w:spacing w:val="6"/>
          <w:w w:val="110"/>
        </w:rPr>
        <w:t> </w:t>
      </w:r>
      <w:r>
        <w:rPr>
          <w:color w:val="231F20"/>
          <w:spacing w:val="-6"/>
          <w:w w:val="110"/>
        </w:rPr>
        <w:t>C(S):</w:t>
        <w:tab/>
      </w:r>
      <w:r>
        <w:rPr>
          <w:color w:val="231F20"/>
          <w:w w:val="110"/>
        </w:rPr>
        <w:t>Buildings of local</w:t>
      </w:r>
      <w:r>
        <w:rPr>
          <w:color w:val="231F20"/>
          <w:spacing w:val="6"/>
          <w:w w:val="110"/>
        </w:rPr>
        <w:t> </w:t>
      </w:r>
      <w:r>
        <w:rPr>
          <w:color w:val="231F20"/>
          <w:spacing w:val="2"/>
          <w:w w:val="110"/>
        </w:rPr>
        <w:t>importance</w:t>
      </w:r>
    </w:p>
    <w:p>
      <w:pPr>
        <w:pStyle w:val="BodyText"/>
        <w:spacing w:before="5"/>
        <w:rPr>
          <w:sz w:val="20"/>
        </w:rPr>
      </w:pPr>
    </w:p>
    <w:p>
      <w:pPr>
        <w:pStyle w:val="BodyText"/>
        <w:spacing w:before="1"/>
        <w:ind w:left="513"/>
      </w:pPr>
      <w:r>
        <w:rPr>
          <w:color w:val="231F20"/>
          <w:w w:val="110"/>
        </w:rPr>
        <w:t>For details see:</w:t>
      </w:r>
    </w:p>
    <w:p>
      <w:pPr>
        <w:pStyle w:val="BodyText"/>
        <w:spacing w:before="31"/>
        <w:ind w:left="513"/>
      </w:pPr>
      <w:hyperlink r:id="rId324">
        <w:r>
          <w:rPr>
            <w:color w:val="231F20"/>
            <w:w w:val="110"/>
          </w:rPr>
          <w:t>http://www.historic-scotland.gov.uk/index/historicbuildings/hsandlistedbuildings.htm</w:t>
        </w:r>
      </w:hyperlink>
    </w:p>
    <w:p>
      <w:pPr>
        <w:pStyle w:val="BodyText"/>
        <w:spacing w:before="1"/>
        <w:rPr>
          <w:sz w:val="23"/>
        </w:rPr>
      </w:pPr>
    </w:p>
    <w:p>
      <w:pPr>
        <w:pStyle w:val="ListParagraph"/>
        <w:numPr>
          <w:ilvl w:val="1"/>
          <w:numId w:val="120"/>
        </w:numPr>
        <w:tabs>
          <w:tab w:pos="1233" w:val="left" w:leader="none"/>
          <w:tab w:pos="1234" w:val="left" w:leader="none"/>
        </w:tabs>
        <w:spacing w:line="273" w:lineRule="auto" w:before="0" w:after="0"/>
        <w:ind w:left="513" w:right="1486" w:firstLine="0"/>
        <w:jc w:val="left"/>
        <w:rPr>
          <w:sz w:val="18"/>
        </w:rPr>
      </w:pPr>
      <w:r>
        <w:rPr>
          <w:color w:val="231F20"/>
          <w:w w:val="110"/>
          <w:sz w:val="18"/>
        </w:rPr>
        <w:t>Under the authority of Mission Council, the URC’s Listed Buildings Advisory Group works with synod property committees in England and Wales to ensure that aspects of conservation and planning </w:t>
      </w:r>
      <w:r>
        <w:rPr>
          <w:color w:val="231F20"/>
          <w:spacing w:val="-3"/>
          <w:w w:val="110"/>
          <w:sz w:val="18"/>
        </w:rPr>
        <w:t>law </w:t>
      </w:r>
      <w:r>
        <w:rPr>
          <w:color w:val="231F20"/>
          <w:w w:val="110"/>
          <w:sz w:val="18"/>
        </w:rPr>
        <w:t>are properly observed in relation to listed buildings. </w:t>
      </w:r>
      <w:r>
        <w:rPr>
          <w:color w:val="231F20"/>
          <w:spacing w:val="-3"/>
          <w:w w:val="110"/>
          <w:sz w:val="18"/>
        </w:rPr>
        <w:t>(In </w:t>
      </w:r>
      <w:r>
        <w:rPr>
          <w:color w:val="231F20"/>
          <w:w w:val="110"/>
          <w:sz w:val="18"/>
        </w:rPr>
        <w:t>Scotland, the United Reformed Church works through the Scottish Churches’ </w:t>
      </w:r>
      <w:r>
        <w:rPr>
          <w:color w:val="231F20"/>
          <w:spacing w:val="-3"/>
          <w:w w:val="110"/>
          <w:sz w:val="18"/>
        </w:rPr>
        <w:t>Committee). </w:t>
      </w:r>
      <w:r>
        <w:rPr>
          <w:color w:val="231F20"/>
          <w:w w:val="110"/>
          <w:sz w:val="18"/>
        </w:rPr>
        <w:t>Although practices </w:t>
      </w:r>
      <w:r>
        <w:rPr>
          <w:color w:val="231F20"/>
          <w:spacing w:val="-3"/>
          <w:w w:val="110"/>
          <w:sz w:val="18"/>
        </w:rPr>
        <w:t>may </w:t>
      </w:r>
      <w:r>
        <w:rPr>
          <w:color w:val="231F20"/>
          <w:w w:val="110"/>
          <w:sz w:val="18"/>
        </w:rPr>
        <w:t>differ within synods as to the duties exercised by the local church, the Listed Buildings Advisory Group believes that in most cases it would be the elders of a local church, who would </w:t>
      </w:r>
      <w:r>
        <w:rPr>
          <w:color w:val="231F20"/>
          <w:spacing w:val="-3"/>
          <w:w w:val="110"/>
          <w:sz w:val="18"/>
        </w:rPr>
        <w:t>have </w:t>
      </w:r>
      <w:r>
        <w:rPr>
          <w:color w:val="231F20"/>
          <w:w w:val="110"/>
          <w:sz w:val="18"/>
        </w:rPr>
        <w:t>responsibility for ensuring that a listed church was protected and properly maintained – and more generally for ensuring that a local church complies with the legislation. Synod trustees are required to ensure that local churches are aware of their responsibilities, that information is dispersed to local churches, and to be available to give advice. Appendix Three on page </w:t>
      </w:r>
      <w:r>
        <w:rPr>
          <w:color w:val="231F20"/>
          <w:spacing w:val="-4"/>
          <w:w w:val="110"/>
          <w:sz w:val="18"/>
        </w:rPr>
        <w:t>182 </w:t>
      </w:r>
      <w:r>
        <w:rPr>
          <w:color w:val="231F20"/>
          <w:w w:val="110"/>
          <w:sz w:val="18"/>
        </w:rPr>
        <w:t>&amp; </w:t>
      </w:r>
      <w:r>
        <w:rPr>
          <w:color w:val="231F20"/>
          <w:spacing w:val="-4"/>
          <w:w w:val="110"/>
          <w:sz w:val="18"/>
        </w:rPr>
        <w:t>183 </w:t>
      </w:r>
      <w:r>
        <w:rPr>
          <w:color w:val="231F20"/>
          <w:w w:val="110"/>
          <w:sz w:val="18"/>
        </w:rPr>
        <w:t>of the General Assembly Book of Reports 2006 sets out the responsibilities of the different councils of the Church. It</w:t>
      </w:r>
      <w:r>
        <w:rPr>
          <w:color w:val="231F20"/>
          <w:spacing w:val="-34"/>
          <w:w w:val="110"/>
          <w:sz w:val="18"/>
        </w:rPr>
        <w:t> </w:t>
      </w:r>
      <w:r>
        <w:rPr>
          <w:color w:val="231F20"/>
          <w:w w:val="110"/>
          <w:sz w:val="18"/>
        </w:rPr>
        <w:t>states:</w:t>
      </w:r>
    </w:p>
    <w:p>
      <w:pPr>
        <w:pStyle w:val="BodyText"/>
        <w:spacing w:before="2"/>
        <w:rPr>
          <w:sz w:val="21"/>
        </w:rPr>
      </w:pPr>
    </w:p>
    <w:p>
      <w:pPr>
        <w:spacing w:line="273" w:lineRule="auto" w:before="1"/>
        <w:ind w:left="513" w:right="1844" w:firstLine="0"/>
        <w:jc w:val="left"/>
        <w:rPr>
          <w:i/>
          <w:sz w:val="18"/>
        </w:rPr>
      </w:pPr>
      <w:r>
        <w:rPr>
          <w:i/>
          <w:color w:val="231F20"/>
          <w:w w:val="110"/>
          <w:sz w:val="18"/>
        </w:rPr>
        <w:t>It is a function of the elders’ meeting to recommend to the church meeting, </w:t>
      </w:r>
      <w:r>
        <w:rPr>
          <w:i/>
          <w:color w:val="231F20"/>
          <w:w w:val="110"/>
          <w:sz w:val="18"/>
        </w:rPr>
        <w:t>arrangements for the proper maintenance of buildings, and of the church meeting to make, or provide for the making of, such arrangements.</w:t>
      </w:r>
    </w:p>
    <w:p>
      <w:pPr>
        <w:pStyle w:val="BodyText"/>
        <w:spacing w:before="8"/>
        <w:rPr>
          <w:i/>
          <w:sz w:val="20"/>
        </w:rPr>
      </w:pPr>
    </w:p>
    <w:p>
      <w:pPr>
        <w:pStyle w:val="ListParagraph"/>
        <w:numPr>
          <w:ilvl w:val="1"/>
          <w:numId w:val="120"/>
        </w:numPr>
        <w:tabs>
          <w:tab w:pos="1233" w:val="left" w:leader="none"/>
          <w:tab w:pos="1234" w:val="left" w:leader="none"/>
        </w:tabs>
        <w:spacing w:line="240" w:lineRule="auto" w:before="0" w:after="0"/>
        <w:ind w:left="1233" w:right="0" w:hanging="721"/>
        <w:jc w:val="left"/>
        <w:rPr>
          <w:sz w:val="18"/>
        </w:rPr>
      </w:pPr>
      <w:r>
        <w:rPr>
          <w:color w:val="231F20"/>
          <w:w w:val="110"/>
          <w:sz w:val="18"/>
        </w:rPr>
        <w:t>A</w:t>
      </w:r>
      <w:r>
        <w:rPr>
          <w:color w:val="231F20"/>
          <w:spacing w:val="-9"/>
          <w:w w:val="110"/>
          <w:sz w:val="18"/>
        </w:rPr>
        <w:t> </w:t>
      </w:r>
      <w:r>
        <w:rPr>
          <w:color w:val="231F20"/>
          <w:w w:val="110"/>
          <w:sz w:val="18"/>
        </w:rPr>
        <w:t>complete</w:t>
      </w:r>
      <w:r>
        <w:rPr>
          <w:color w:val="231F20"/>
          <w:spacing w:val="-9"/>
          <w:w w:val="110"/>
          <w:sz w:val="18"/>
        </w:rPr>
        <w:t> </w:t>
      </w:r>
      <w:r>
        <w:rPr>
          <w:color w:val="231F20"/>
          <w:w w:val="110"/>
          <w:sz w:val="18"/>
        </w:rPr>
        <w:t>figure</w:t>
      </w:r>
      <w:r>
        <w:rPr>
          <w:color w:val="231F20"/>
          <w:spacing w:val="-8"/>
          <w:w w:val="110"/>
          <w:sz w:val="18"/>
        </w:rPr>
        <w:t> </w:t>
      </w:r>
      <w:r>
        <w:rPr>
          <w:color w:val="231F20"/>
          <w:w w:val="110"/>
          <w:sz w:val="18"/>
        </w:rPr>
        <w:t>for</w:t>
      </w:r>
      <w:r>
        <w:rPr>
          <w:color w:val="231F20"/>
          <w:spacing w:val="-9"/>
          <w:w w:val="110"/>
          <w:sz w:val="18"/>
        </w:rPr>
        <w:t> </w:t>
      </w:r>
      <w:r>
        <w:rPr>
          <w:color w:val="231F20"/>
          <w:w w:val="110"/>
          <w:sz w:val="18"/>
        </w:rPr>
        <w:t>the</w:t>
      </w:r>
      <w:r>
        <w:rPr>
          <w:color w:val="231F20"/>
          <w:spacing w:val="-8"/>
          <w:w w:val="110"/>
          <w:sz w:val="18"/>
        </w:rPr>
        <w:t> </w:t>
      </w:r>
      <w:r>
        <w:rPr>
          <w:color w:val="231F20"/>
          <w:w w:val="110"/>
          <w:sz w:val="18"/>
        </w:rPr>
        <w:t>number</w:t>
      </w:r>
      <w:r>
        <w:rPr>
          <w:color w:val="231F20"/>
          <w:spacing w:val="-9"/>
          <w:w w:val="110"/>
          <w:sz w:val="18"/>
        </w:rPr>
        <w:t> </w:t>
      </w:r>
      <w:r>
        <w:rPr>
          <w:color w:val="231F20"/>
          <w:w w:val="110"/>
          <w:sz w:val="18"/>
        </w:rPr>
        <w:t>of</w:t>
      </w:r>
      <w:r>
        <w:rPr>
          <w:color w:val="231F20"/>
          <w:spacing w:val="-8"/>
          <w:w w:val="110"/>
          <w:sz w:val="18"/>
        </w:rPr>
        <w:t> </w:t>
      </w:r>
      <w:r>
        <w:rPr>
          <w:color w:val="231F20"/>
          <w:w w:val="110"/>
          <w:sz w:val="18"/>
        </w:rPr>
        <w:t>listed</w:t>
      </w:r>
      <w:r>
        <w:rPr>
          <w:color w:val="231F20"/>
          <w:spacing w:val="-9"/>
          <w:w w:val="110"/>
          <w:sz w:val="18"/>
        </w:rPr>
        <w:t> </w:t>
      </w:r>
      <w:r>
        <w:rPr>
          <w:color w:val="231F20"/>
          <w:w w:val="110"/>
          <w:sz w:val="18"/>
        </w:rPr>
        <w:t>United</w:t>
      </w:r>
      <w:r>
        <w:rPr>
          <w:color w:val="231F20"/>
          <w:spacing w:val="-8"/>
          <w:w w:val="110"/>
          <w:sz w:val="18"/>
        </w:rPr>
        <w:t> </w:t>
      </w:r>
      <w:r>
        <w:rPr>
          <w:color w:val="231F20"/>
          <w:w w:val="110"/>
          <w:sz w:val="18"/>
        </w:rPr>
        <w:t>Reformed</w:t>
      </w:r>
      <w:r>
        <w:rPr>
          <w:color w:val="231F20"/>
          <w:spacing w:val="-9"/>
          <w:w w:val="110"/>
          <w:sz w:val="18"/>
        </w:rPr>
        <w:t> </w:t>
      </w:r>
      <w:r>
        <w:rPr>
          <w:color w:val="231F20"/>
          <w:w w:val="110"/>
          <w:sz w:val="18"/>
        </w:rPr>
        <w:t>Church</w:t>
      </w:r>
      <w:r>
        <w:rPr>
          <w:color w:val="231F20"/>
          <w:spacing w:val="-8"/>
          <w:w w:val="110"/>
          <w:sz w:val="18"/>
        </w:rPr>
        <w:t> </w:t>
      </w:r>
      <w:r>
        <w:rPr>
          <w:color w:val="231F20"/>
          <w:w w:val="110"/>
          <w:sz w:val="18"/>
        </w:rPr>
        <w:t>church</w:t>
      </w:r>
      <w:r>
        <w:rPr>
          <w:color w:val="231F20"/>
          <w:spacing w:val="-9"/>
          <w:w w:val="110"/>
          <w:sz w:val="18"/>
        </w:rPr>
        <w:t> </w:t>
      </w:r>
      <w:r>
        <w:rPr>
          <w:color w:val="231F20"/>
          <w:w w:val="110"/>
          <w:sz w:val="18"/>
        </w:rPr>
        <w:t>buildings</w:t>
      </w:r>
      <w:r>
        <w:rPr>
          <w:color w:val="231F20"/>
          <w:spacing w:val="-8"/>
          <w:w w:val="110"/>
          <w:sz w:val="18"/>
        </w:rPr>
        <w:t> </w:t>
      </w:r>
      <w:r>
        <w:rPr>
          <w:color w:val="231F20"/>
          <w:spacing w:val="-4"/>
          <w:w w:val="110"/>
          <w:sz w:val="18"/>
        </w:rPr>
        <w:t>is:</w:t>
      </w:r>
    </w:p>
    <w:p>
      <w:pPr>
        <w:pStyle w:val="BodyText"/>
        <w:spacing w:before="11"/>
        <w:rPr>
          <w:sz w:val="14"/>
        </w:rPr>
      </w:pPr>
    </w:p>
    <w:p>
      <w:pPr>
        <w:spacing w:after="0"/>
        <w:rPr>
          <w:sz w:val="14"/>
        </w:rPr>
        <w:sectPr>
          <w:headerReference w:type="even" r:id="rId319"/>
          <w:headerReference w:type="default" r:id="rId320"/>
          <w:footerReference w:type="even" r:id="rId321"/>
          <w:footerReference w:type="default" r:id="rId322"/>
          <w:pgSz w:w="11910" w:h="16840"/>
          <w:pgMar w:header="558" w:footer="564" w:top="820" w:bottom="760" w:left="620" w:right="0"/>
          <w:pgNumType w:start="4"/>
        </w:sectPr>
      </w:pPr>
    </w:p>
    <w:p>
      <w:pPr>
        <w:spacing w:before="100"/>
        <w:ind w:left="513" w:right="0" w:firstLine="0"/>
        <w:jc w:val="left"/>
        <w:rPr>
          <w:b/>
          <w:sz w:val="18"/>
        </w:rPr>
      </w:pPr>
      <w:r>
        <w:rPr>
          <w:b/>
          <w:color w:val="231F20"/>
          <w:w w:val="110"/>
          <w:sz w:val="18"/>
        </w:rPr>
        <w:t>England and Wales:</w:t>
      </w:r>
    </w:p>
    <w:p>
      <w:pPr>
        <w:pStyle w:val="BodyText"/>
        <w:tabs>
          <w:tab w:pos="2766" w:val="left" w:leader="none"/>
        </w:tabs>
        <w:spacing w:before="32"/>
        <w:ind w:left="513"/>
        <w:rPr>
          <w:sz w:val="14"/>
        </w:rPr>
      </w:pPr>
      <w:r>
        <w:rPr>
          <w:color w:val="231F20"/>
          <w:w w:val="110"/>
        </w:rPr>
        <w:t>Grade</w:t>
      </w:r>
      <w:r>
        <w:rPr>
          <w:color w:val="231F20"/>
          <w:spacing w:val="6"/>
          <w:w w:val="110"/>
        </w:rPr>
        <w:t> </w:t>
      </w:r>
      <w:r>
        <w:rPr>
          <w:color w:val="231F20"/>
          <w:w w:val="110"/>
        </w:rPr>
        <w:t>1</w:t>
        <w:tab/>
        <w:t>3 (see footnote)</w:t>
      </w:r>
      <w:r>
        <w:rPr>
          <w:color w:val="231F20"/>
          <w:spacing w:val="-22"/>
          <w:w w:val="110"/>
        </w:rPr>
        <w:t> </w:t>
      </w:r>
      <w:r>
        <w:rPr>
          <w:color w:val="231F20"/>
          <w:w w:val="110"/>
          <w:position w:val="4"/>
          <w:sz w:val="14"/>
        </w:rPr>
        <w:t>1</w:t>
      </w:r>
    </w:p>
    <w:p>
      <w:pPr>
        <w:pStyle w:val="BodyText"/>
        <w:tabs>
          <w:tab w:pos="2893" w:val="right" w:leader="none"/>
        </w:tabs>
        <w:spacing w:before="31"/>
        <w:ind w:left="513"/>
      </w:pPr>
      <w:r>
        <w:rPr>
          <w:color w:val="231F20"/>
          <w:w w:val="110"/>
        </w:rPr>
        <w:t>Grade</w:t>
      </w:r>
      <w:r>
        <w:rPr>
          <w:color w:val="231F20"/>
          <w:spacing w:val="1"/>
          <w:w w:val="110"/>
        </w:rPr>
        <w:t> </w:t>
      </w:r>
      <w:r>
        <w:rPr>
          <w:color w:val="231F20"/>
          <w:spacing w:val="-3"/>
          <w:w w:val="110"/>
        </w:rPr>
        <w:t>2*</w:t>
        <w:tab/>
      </w:r>
      <w:r>
        <w:rPr>
          <w:color w:val="231F20"/>
          <w:w w:val="110"/>
        </w:rPr>
        <w:t>25</w:t>
      </w:r>
    </w:p>
    <w:p>
      <w:pPr>
        <w:pStyle w:val="BodyText"/>
        <w:tabs>
          <w:tab w:pos="2893" w:val="right" w:leader="none"/>
        </w:tabs>
        <w:spacing w:before="31"/>
        <w:ind w:left="513"/>
      </w:pPr>
      <w:r>
        <w:rPr>
          <w:color w:val="231F20"/>
          <w:w w:val="110"/>
        </w:rPr>
        <w:t>Grade</w:t>
      </w:r>
      <w:r>
        <w:rPr>
          <w:color w:val="231F20"/>
          <w:spacing w:val="1"/>
          <w:w w:val="110"/>
        </w:rPr>
        <w:t> </w:t>
      </w:r>
      <w:r>
        <w:rPr>
          <w:color w:val="231F20"/>
          <w:w w:val="110"/>
        </w:rPr>
        <w:t>2</w:t>
        <w:tab/>
        <w:t>309</w:t>
      </w:r>
    </w:p>
    <w:p>
      <w:pPr>
        <w:spacing w:before="112"/>
        <w:ind w:left="513" w:right="0" w:firstLine="0"/>
        <w:jc w:val="left"/>
        <w:rPr>
          <w:b/>
          <w:sz w:val="18"/>
        </w:rPr>
      </w:pPr>
      <w:r>
        <w:rPr/>
        <w:br w:type="column"/>
      </w:r>
      <w:r>
        <w:rPr>
          <w:b/>
          <w:color w:val="231F20"/>
          <w:w w:val="110"/>
          <w:sz w:val="18"/>
        </w:rPr>
        <w:t>Scotland:</w:t>
      </w:r>
    </w:p>
    <w:p>
      <w:pPr>
        <w:pStyle w:val="BodyText"/>
        <w:tabs>
          <w:tab w:pos="2643" w:val="left" w:leader="none"/>
        </w:tabs>
        <w:spacing w:before="31"/>
        <w:ind w:left="513"/>
      </w:pPr>
      <w:r>
        <w:rPr>
          <w:color w:val="231F20"/>
          <w:spacing w:val="2"/>
          <w:w w:val="110"/>
        </w:rPr>
        <w:t>Category</w:t>
      </w:r>
      <w:r>
        <w:rPr>
          <w:color w:val="231F20"/>
          <w:spacing w:val="6"/>
          <w:w w:val="110"/>
        </w:rPr>
        <w:t> </w:t>
      </w:r>
      <w:r>
        <w:rPr>
          <w:color w:val="231F20"/>
          <w:w w:val="110"/>
        </w:rPr>
        <w:t>B</w:t>
        <w:tab/>
        <w:t>12</w:t>
      </w:r>
    </w:p>
    <w:p>
      <w:pPr>
        <w:pStyle w:val="BodyText"/>
        <w:tabs>
          <w:tab w:pos="2766" w:val="left" w:leader="none"/>
        </w:tabs>
        <w:spacing w:before="31"/>
        <w:ind w:left="513"/>
        <w:rPr>
          <w:sz w:val="14"/>
        </w:rPr>
      </w:pPr>
      <w:r>
        <w:rPr>
          <w:color w:val="231F20"/>
          <w:spacing w:val="2"/>
          <w:w w:val="110"/>
        </w:rPr>
        <w:t>Category</w:t>
      </w:r>
      <w:r>
        <w:rPr>
          <w:color w:val="231F20"/>
          <w:spacing w:val="6"/>
          <w:w w:val="110"/>
        </w:rPr>
        <w:t> </w:t>
      </w:r>
      <w:r>
        <w:rPr>
          <w:color w:val="231F20"/>
          <w:w w:val="110"/>
        </w:rPr>
        <w:t>A</w:t>
        <w:tab/>
        <w:t>2 (see footnote)</w:t>
      </w:r>
      <w:r>
        <w:rPr>
          <w:color w:val="231F20"/>
          <w:spacing w:val="-27"/>
          <w:w w:val="110"/>
        </w:rPr>
        <w:t> </w:t>
      </w:r>
      <w:r>
        <w:rPr>
          <w:color w:val="231F20"/>
          <w:w w:val="110"/>
          <w:position w:val="4"/>
          <w:sz w:val="14"/>
        </w:rPr>
        <w:t>2</w:t>
      </w:r>
    </w:p>
    <w:p>
      <w:pPr>
        <w:pStyle w:val="BodyText"/>
        <w:tabs>
          <w:tab w:pos="2766" w:val="left" w:leader="none"/>
        </w:tabs>
        <w:spacing w:before="31"/>
        <w:ind w:left="513"/>
      </w:pPr>
      <w:r>
        <w:rPr>
          <w:color w:val="231F20"/>
          <w:spacing w:val="2"/>
          <w:w w:val="110"/>
        </w:rPr>
        <w:t>Category</w:t>
      </w:r>
      <w:r>
        <w:rPr>
          <w:color w:val="231F20"/>
          <w:spacing w:val="8"/>
          <w:w w:val="110"/>
        </w:rPr>
        <w:t> </w:t>
      </w:r>
      <w:r>
        <w:rPr>
          <w:color w:val="231F20"/>
          <w:spacing w:val="-5"/>
          <w:w w:val="110"/>
        </w:rPr>
        <w:t>C(S)</w:t>
        <w:tab/>
      </w:r>
      <w:r>
        <w:rPr>
          <w:color w:val="231F20"/>
          <w:w w:val="110"/>
        </w:rPr>
        <w:t>5</w:t>
      </w:r>
    </w:p>
    <w:p>
      <w:pPr>
        <w:spacing w:after="0"/>
        <w:sectPr>
          <w:type w:val="continuous"/>
          <w:pgSz w:w="11910" w:h="16840"/>
          <w:pgMar w:top="680" w:bottom="280" w:left="620" w:right="0"/>
          <w:cols w:num="2" w:equalWidth="0">
            <w:col w:w="4712" w:space="135"/>
            <w:col w:w="6443"/>
          </w:cols>
        </w:sectPr>
      </w:pPr>
    </w:p>
    <w:p>
      <w:pPr>
        <w:pStyle w:val="BodyText"/>
        <w:rPr>
          <w:sz w:val="12"/>
        </w:rPr>
      </w:pPr>
    </w:p>
    <w:p>
      <w:pPr>
        <w:pStyle w:val="ListParagraph"/>
        <w:numPr>
          <w:ilvl w:val="1"/>
          <w:numId w:val="120"/>
        </w:numPr>
        <w:tabs>
          <w:tab w:pos="1233" w:val="left" w:leader="none"/>
          <w:tab w:pos="1234" w:val="left" w:leader="none"/>
        </w:tabs>
        <w:spacing w:line="273" w:lineRule="auto" w:before="100" w:after="0"/>
        <w:ind w:left="513" w:right="1710" w:firstLine="0"/>
        <w:jc w:val="left"/>
        <w:rPr>
          <w:sz w:val="18"/>
        </w:rPr>
      </w:pPr>
      <w:r>
        <w:rPr>
          <w:color w:val="231F20"/>
          <w:w w:val="110"/>
          <w:sz w:val="18"/>
        </w:rPr>
        <w:t>Whilst, it is sometimes possible to obtain funding </w:t>
      </w:r>
      <w:r>
        <w:rPr>
          <w:color w:val="231F20"/>
          <w:spacing w:val="2"/>
          <w:w w:val="110"/>
          <w:sz w:val="18"/>
        </w:rPr>
        <w:t>from </w:t>
      </w:r>
      <w:r>
        <w:rPr>
          <w:color w:val="231F20"/>
          <w:w w:val="110"/>
          <w:sz w:val="18"/>
        </w:rPr>
        <w:t>other sources to maintain Grade 1 buildings, Heritage </w:t>
      </w:r>
      <w:r>
        <w:rPr>
          <w:color w:val="231F20"/>
          <w:spacing w:val="3"/>
          <w:w w:val="110"/>
          <w:sz w:val="18"/>
        </w:rPr>
        <w:t>Lottery </w:t>
      </w:r>
      <w:r>
        <w:rPr>
          <w:color w:val="231F20"/>
          <w:w w:val="110"/>
          <w:sz w:val="18"/>
        </w:rPr>
        <w:t>funding </w:t>
      </w:r>
      <w:r>
        <w:rPr>
          <w:color w:val="231F20"/>
          <w:spacing w:val="2"/>
          <w:w w:val="110"/>
          <w:sz w:val="18"/>
        </w:rPr>
        <w:t>represents </w:t>
      </w:r>
      <w:r>
        <w:rPr>
          <w:color w:val="231F20"/>
          <w:w w:val="110"/>
          <w:sz w:val="18"/>
        </w:rPr>
        <w:t>virtually the only source of public finance for those listed as Grade</w:t>
      </w:r>
      <w:r>
        <w:rPr>
          <w:color w:val="231F20"/>
          <w:spacing w:val="8"/>
          <w:w w:val="110"/>
          <w:sz w:val="18"/>
        </w:rPr>
        <w:t> </w:t>
      </w:r>
      <w:r>
        <w:rPr>
          <w:color w:val="231F20"/>
          <w:w w:val="110"/>
          <w:sz w:val="18"/>
        </w:rPr>
        <w:t>2.</w:t>
      </w:r>
    </w:p>
    <w:p>
      <w:pPr>
        <w:pStyle w:val="BodyText"/>
        <w:spacing w:before="8"/>
        <w:rPr>
          <w:sz w:val="12"/>
        </w:rPr>
      </w:pPr>
      <w:r>
        <w:rPr/>
        <w:pict>
          <v:shape style="position:absolute;margin-left:56.692993pt;margin-top:9.925057pt;width:481.9pt;height:.1pt;mso-position-horizontal-relative:page;mso-position-vertical-relative:paragraph;z-index:-251342848;mso-wrap-distance-left:0;mso-wrap-distance-right:0" coordorigin="1134,199" coordsize="9638,0" path="m1134,199l10772,199e" filled="false" stroked="true" strokeweight=".5pt" strokecolor="#231f20">
            <v:path arrowok="t"/>
            <v:stroke dashstyle="solid"/>
            <w10:wrap type="topAndBottom"/>
          </v:shape>
        </w:pict>
      </w:r>
    </w:p>
    <w:p>
      <w:pPr>
        <w:pStyle w:val="ListParagraph"/>
        <w:numPr>
          <w:ilvl w:val="0"/>
          <w:numId w:val="122"/>
        </w:numPr>
        <w:tabs>
          <w:tab w:pos="1233" w:val="left" w:leader="none"/>
          <w:tab w:pos="1234" w:val="left" w:leader="none"/>
        </w:tabs>
        <w:spacing w:line="271" w:lineRule="auto" w:before="52" w:after="0"/>
        <w:ind w:left="1233" w:right="2435" w:hanging="720"/>
        <w:jc w:val="left"/>
        <w:rPr>
          <w:sz w:val="16"/>
        </w:rPr>
      </w:pPr>
      <w:r>
        <w:rPr>
          <w:color w:val="231F20"/>
          <w:w w:val="115"/>
          <w:sz w:val="16"/>
        </w:rPr>
        <w:t>The</w:t>
      </w:r>
      <w:r>
        <w:rPr>
          <w:color w:val="231F20"/>
          <w:spacing w:val="-11"/>
          <w:w w:val="115"/>
          <w:sz w:val="16"/>
        </w:rPr>
        <w:t> </w:t>
      </w:r>
      <w:r>
        <w:rPr>
          <w:color w:val="231F20"/>
          <w:w w:val="115"/>
          <w:sz w:val="16"/>
        </w:rPr>
        <w:t>Grade</w:t>
      </w:r>
      <w:r>
        <w:rPr>
          <w:color w:val="231F20"/>
          <w:spacing w:val="-11"/>
          <w:w w:val="115"/>
          <w:sz w:val="16"/>
        </w:rPr>
        <w:t> </w:t>
      </w:r>
      <w:r>
        <w:rPr>
          <w:color w:val="231F20"/>
          <w:w w:val="115"/>
          <w:sz w:val="16"/>
        </w:rPr>
        <w:t>1</w:t>
      </w:r>
      <w:r>
        <w:rPr>
          <w:color w:val="231F20"/>
          <w:spacing w:val="-11"/>
          <w:w w:val="115"/>
          <w:sz w:val="16"/>
        </w:rPr>
        <w:t> </w:t>
      </w:r>
      <w:r>
        <w:rPr>
          <w:color w:val="231F20"/>
          <w:spacing w:val="2"/>
          <w:w w:val="115"/>
          <w:sz w:val="16"/>
        </w:rPr>
        <w:t>churches</w:t>
      </w:r>
      <w:r>
        <w:rPr>
          <w:color w:val="231F20"/>
          <w:spacing w:val="-11"/>
          <w:w w:val="115"/>
          <w:sz w:val="16"/>
        </w:rPr>
        <w:t> </w:t>
      </w:r>
      <w:r>
        <w:rPr>
          <w:color w:val="231F20"/>
          <w:w w:val="115"/>
          <w:sz w:val="16"/>
        </w:rPr>
        <w:t>are</w:t>
      </w:r>
      <w:r>
        <w:rPr>
          <w:color w:val="231F20"/>
          <w:spacing w:val="-11"/>
          <w:w w:val="115"/>
          <w:sz w:val="16"/>
        </w:rPr>
        <w:t> </w:t>
      </w:r>
      <w:r>
        <w:rPr>
          <w:color w:val="231F20"/>
          <w:w w:val="115"/>
          <w:sz w:val="16"/>
        </w:rPr>
        <w:t>Saltaire</w:t>
      </w:r>
      <w:r>
        <w:rPr>
          <w:color w:val="231F20"/>
          <w:spacing w:val="-10"/>
          <w:w w:val="115"/>
          <w:sz w:val="16"/>
        </w:rPr>
        <w:t> </w:t>
      </w:r>
      <w:r>
        <w:rPr>
          <w:color w:val="231F20"/>
          <w:w w:val="115"/>
          <w:sz w:val="16"/>
        </w:rPr>
        <w:t>(Yorkshire),</w:t>
      </w:r>
      <w:r>
        <w:rPr>
          <w:color w:val="231F20"/>
          <w:spacing w:val="-11"/>
          <w:w w:val="115"/>
          <w:sz w:val="16"/>
        </w:rPr>
        <w:t> </w:t>
      </w:r>
      <w:r>
        <w:rPr>
          <w:color w:val="231F20"/>
          <w:w w:val="115"/>
          <w:sz w:val="16"/>
        </w:rPr>
        <w:t>Monks</w:t>
      </w:r>
      <w:r>
        <w:rPr>
          <w:color w:val="231F20"/>
          <w:spacing w:val="-11"/>
          <w:w w:val="115"/>
          <w:sz w:val="16"/>
        </w:rPr>
        <w:t> </w:t>
      </w:r>
      <w:r>
        <w:rPr>
          <w:color w:val="231F20"/>
          <w:w w:val="115"/>
          <w:sz w:val="16"/>
        </w:rPr>
        <w:t>Chapel</w:t>
      </w:r>
      <w:r>
        <w:rPr>
          <w:color w:val="231F20"/>
          <w:spacing w:val="-12"/>
          <w:w w:val="115"/>
          <w:sz w:val="16"/>
        </w:rPr>
        <w:t> </w:t>
      </w:r>
      <w:r>
        <w:rPr>
          <w:color w:val="231F20"/>
          <w:w w:val="115"/>
          <w:sz w:val="16"/>
        </w:rPr>
        <w:t>(South</w:t>
      </w:r>
      <w:r>
        <w:rPr>
          <w:color w:val="231F20"/>
          <w:spacing w:val="-10"/>
          <w:w w:val="115"/>
          <w:sz w:val="16"/>
        </w:rPr>
        <w:t> </w:t>
      </w:r>
      <w:r>
        <w:rPr>
          <w:color w:val="231F20"/>
          <w:w w:val="115"/>
          <w:sz w:val="16"/>
        </w:rPr>
        <w:t>Western)</w:t>
      </w:r>
      <w:r>
        <w:rPr>
          <w:color w:val="231F20"/>
          <w:spacing w:val="-11"/>
          <w:w w:val="115"/>
          <w:sz w:val="16"/>
        </w:rPr>
        <w:t> </w:t>
      </w:r>
      <w:r>
        <w:rPr>
          <w:color w:val="231F20"/>
          <w:w w:val="115"/>
          <w:sz w:val="16"/>
        </w:rPr>
        <w:t>and Maesyronnen</w:t>
      </w:r>
      <w:r>
        <w:rPr>
          <w:color w:val="231F20"/>
          <w:spacing w:val="-2"/>
          <w:w w:val="115"/>
          <w:sz w:val="16"/>
        </w:rPr>
        <w:t> </w:t>
      </w:r>
      <w:r>
        <w:rPr>
          <w:color w:val="231F20"/>
          <w:w w:val="115"/>
          <w:sz w:val="16"/>
        </w:rPr>
        <w:t>(Wales)</w:t>
      </w:r>
    </w:p>
    <w:p>
      <w:pPr>
        <w:pStyle w:val="ListParagraph"/>
        <w:numPr>
          <w:ilvl w:val="0"/>
          <w:numId w:val="122"/>
        </w:numPr>
        <w:tabs>
          <w:tab w:pos="1233" w:val="left" w:leader="none"/>
          <w:tab w:pos="1234" w:val="left" w:leader="none"/>
        </w:tabs>
        <w:spacing w:line="195" w:lineRule="exact" w:before="0" w:after="0"/>
        <w:ind w:left="1233" w:right="0" w:hanging="721"/>
        <w:jc w:val="left"/>
        <w:rPr>
          <w:sz w:val="16"/>
        </w:rPr>
      </w:pPr>
      <w:r>
        <w:rPr>
          <w:color w:val="231F20"/>
          <w:w w:val="115"/>
          <w:sz w:val="16"/>
        </w:rPr>
        <w:t>The</w:t>
      </w:r>
      <w:r>
        <w:rPr>
          <w:color w:val="231F20"/>
          <w:spacing w:val="-4"/>
          <w:w w:val="115"/>
          <w:sz w:val="16"/>
        </w:rPr>
        <w:t> </w:t>
      </w:r>
      <w:r>
        <w:rPr>
          <w:color w:val="231F20"/>
          <w:spacing w:val="2"/>
          <w:w w:val="115"/>
          <w:sz w:val="16"/>
        </w:rPr>
        <w:t>Category</w:t>
      </w:r>
      <w:r>
        <w:rPr>
          <w:color w:val="231F20"/>
          <w:spacing w:val="-4"/>
          <w:w w:val="115"/>
          <w:sz w:val="16"/>
        </w:rPr>
        <w:t> </w:t>
      </w:r>
      <w:r>
        <w:rPr>
          <w:color w:val="231F20"/>
          <w:w w:val="115"/>
          <w:sz w:val="16"/>
        </w:rPr>
        <w:t>A</w:t>
      </w:r>
      <w:r>
        <w:rPr>
          <w:color w:val="231F20"/>
          <w:spacing w:val="-4"/>
          <w:w w:val="115"/>
          <w:sz w:val="16"/>
        </w:rPr>
        <w:t> </w:t>
      </w:r>
      <w:r>
        <w:rPr>
          <w:color w:val="231F20"/>
          <w:spacing w:val="2"/>
          <w:w w:val="115"/>
          <w:sz w:val="16"/>
        </w:rPr>
        <w:t>churches</w:t>
      </w:r>
      <w:r>
        <w:rPr>
          <w:color w:val="231F20"/>
          <w:spacing w:val="-3"/>
          <w:w w:val="115"/>
          <w:sz w:val="16"/>
        </w:rPr>
        <w:t> </w:t>
      </w:r>
      <w:r>
        <w:rPr>
          <w:color w:val="231F20"/>
          <w:w w:val="115"/>
          <w:sz w:val="16"/>
        </w:rPr>
        <w:t>are</w:t>
      </w:r>
      <w:r>
        <w:rPr>
          <w:color w:val="231F20"/>
          <w:spacing w:val="-4"/>
          <w:w w:val="115"/>
          <w:sz w:val="16"/>
        </w:rPr>
        <w:t> </w:t>
      </w:r>
      <w:r>
        <w:rPr>
          <w:color w:val="231F20"/>
          <w:w w:val="115"/>
          <w:sz w:val="16"/>
        </w:rPr>
        <w:t>St</w:t>
      </w:r>
      <w:r>
        <w:rPr>
          <w:color w:val="231F20"/>
          <w:spacing w:val="-4"/>
          <w:w w:val="115"/>
          <w:sz w:val="16"/>
        </w:rPr>
        <w:t> </w:t>
      </w:r>
      <w:r>
        <w:rPr>
          <w:color w:val="231F20"/>
          <w:w w:val="115"/>
          <w:sz w:val="16"/>
        </w:rPr>
        <w:t>Nicholas</w:t>
      </w:r>
      <w:r>
        <w:rPr>
          <w:color w:val="231F20"/>
          <w:spacing w:val="-4"/>
          <w:w w:val="115"/>
          <w:sz w:val="16"/>
        </w:rPr>
        <w:t> </w:t>
      </w:r>
      <w:r>
        <w:rPr>
          <w:color w:val="231F20"/>
          <w:w w:val="115"/>
          <w:sz w:val="16"/>
        </w:rPr>
        <w:t>(Scotland</w:t>
      </w:r>
      <w:r>
        <w:rPr>
          <w:color w:val="231F20"/>
          <w:spacing w:val="-3"/>
          <w:w w:val="115"/>
          <w:sz w:val="16"/>
        </w:rPr>
        <w:t> </w:t>
      </w:r>
      <w:r>
        <w:rPr>
          <w:color w:val="231F20"/>
          <w:w w:val="115"/>
          <w:sz w:val="16"/>
        </w:rPr>
        <w:t>–</w:t>
      </w:r>
      <w:r>
        <w:rPr>
          <w:color w:val="231F20"/>
          <w:spacing w:val="-4"/>
          <w:w w:val="115"/>
          <w:sz w:val="16"/>
        </w:rPr>
        <w:t> </w:t>
      </w:r>
      <w:r>
        <w:rPr>
          <w:color w:val="231F20"/>
          <w:w w:val="115"/>
          <w:sz w:val="16"/>
        </w:rPr>
        <w:t>Church</w:t>
      </w:r>
      <w:r>
        <w:rPr>
          <w:color w:val="231F20"/>
          <w:spacing w:val="-4"/>
          <w:w w:val="115"/>
          <w:sz w:val="16"/>
        </w:rPr>
        <w:t> </w:t>
      </w:r>
      <w:r>
        <w:rPr>
          <w:color w:val="231F20"/>
          <w:w w:val="115"/>
          <w:sz w:val="16"/>
        </w:rPr>
        <w:t>of</w:t>
      </w:r>
      <w:r>
        <w:rPr>
          <w:color w:val="231F20"/>
          <w:spacing w:val="-4"/>
          <w:w w:val="115"/>
          <w:sz w:val="16"/>
        </w:rPr>
        <w:t> </w:t>
      </w:r>
      <w:r>
        <w:rPr>
          <w:color w:val="231F20"/>
          <w:w w:val="115"/>
          <w:sz w:val="16"/>
        </w:rPr>
        <w:t>Scotland/URC)</w:t>
      </w:r>
      <w:r>
        <w:rPr>
          <w:color w:val="231F20"/>
          <w:spacing w:val="-3"/>
          <w:w w:val="115"/>
          <w:sz w:val="16"/>
        </w:rPr>
        <w:t> </w:t>
      </w:r>
      <w:r>
        <w:rPr>
          <w:color w:val="231F20"/>
          <w:w w:val="115"/>
          <w:sz w:val="16"/>
        </w:rPr>
        <w:t>Oakshaw</w:t>
      </w:r>
    </w:p>
    <w:p>
      <w:pPr>
        <w:spacing w:before="25"/>
        <w:ind w:left="1233" w:right="0" w:firstLine="0"/>
        <w:jc w:val="left"/>
        <w:rPr>
          <w:sz w:val="16"/>
        </w:rPr>
      </w:pPr>
      <w:r>
        <w:rPr>
          <w:color w:val="231F20"/>
          <w:w w:val="115"/>
          <w:sz w:val="16"/>
        </w:rPr>
        <w:t>(Scotland – URC/Church of Scotland)</w:t>
      </w:r>
    </w:p>
    <w:p>
      <w:pPr>
        <w:spacing w:after="0"/>
        <w:jc w:val="left"/>
        <w:rPr>
          <w:sz w:val="16"/>
        </w:rPr>
        <w:sectPr>
          <w:type w:val="continuous"/>
          <w:pgSz w:w="11910" w:h="16840"/>
          <w:pgMar w:top="680" w:bottom="280" w:left="620" w:right="0"/>
        </w:sectPr>
      </w:pPr>
    </w:p>
    <w:p>
      <w:pPr>
        <w:pStyle w:val="BodyText"/>
        <w:spacing w:before="5"/>
        <w:rPr>
          <w:sz w:val="12"/>
        </w:rPr>
      </w:pPr>
    </w:p>
    <w:p>
      <w:pPr>
        <w:pStyle w:val="Heading9"/>
        <w:numPr>
          <w:ilvl w:val="0"/>
          <w:numId w:val="120"/>
        </w:numPr>
        <w:tabs>
          <w:tab w:pos="1800" w:val="left" w:leader="none"/>
          <w:tab w:pos="1801" w:val="left" w:leader="none"/>
        </w:tabs>
        <w:spacing w:line="240" w:lineRule="auto" w:before="98" w:after="0"/>
        <w:ind w:left="1800" w:right="0" w:hanging="721"/>
        <w:jc w:val="left"/>
      </w:pPr>
      <w:r>
        <w:rPr>
          <w:color w:val="231F20"/>
          <w:w w:val="110"/>
        </w:rPr>
        <w:t>Local churches</w:t>
      </w:r>
    </w:p>
    <w:p>
      <w:pPr>
        <w:pStyle w:val="ListParagraph"/>
        <w:numPr>
          <w:ilvl w:val="1"/>
          <w:numId w:val="120"/>
        </w:numPr>
        <w:tabs>
          <w:tab w:pos="1800" w:val="left" w:leader="none"/>
          <w:tab w:pos="1801" w:val="left" w:leader="none"/>
        </w:tabs>
        <w:spacing w:line="240" w:lineRule="auto" w:before="258" w:after="0"/>
        <w:ind w:left="1800" w:right="0" w:hanging="721"/>
        <w:jc w:val="left"/>
        <w:rPr>
          <w:sz w:val="18"/>
        </w:rPr>
      </w:pPr>
      <w:r>
        <w:rPr>
          <w:color w:val="231F20"/>
          <w:w w:val="110"/>
          <w:sz w:val="18"/>
        </w:rPr>
        <w:t>For some listed local churches this is a live and pressing issue. It is clear</w:t>
      </w:r>
      <w:r>
        <w:rPr>
          <w:color w:val="231F20"/>
          <w:spacing w:val="61"/>
          <w:w w:val="110"/>
          <w:sz w:val="18"/>
        </w:rPr>
        <w:t> </w:t>
      </w:r>
      <w:r>
        <w:rPr>
          <w:color w:val="231F20"/>
          <w:w w:val="110"/>
          <w:sz w:val="18"/>
        </w:rPr>
        <w:t>that</w:t>
      </w:r>
    </w:p>
    <w:p>
      <w:pPr>
        <w:pStyle w:val="BodyText"/>
        <w:spacing w:before="31"/>
        <w:ind w:left="1080"/>
      </w:pPr>
      <w:r>
        <w:rPr>
          <w:color w:val="231F20"/>
          <w:w w:val="110"/>
        </w:rPr>
        <w:t>some are not only listed – but also </w:t>
      </w:r>
      <w:r>
        <w:rPr>
          <w:i/>
          <w:color w:val="231F20"/>
          <w:w w:val="110"/>
          <w:u w:val="single" w:color="231F20"/>
        </w:rPr>
        <w:t>listing</w:t>
      </w:r>
      <w:r>
        <w:rPr>
          <w:i/>
          <w:color w:val="231F20"/>
          <w:w w:val="110"/>
        </w:rPr>
        <w:t>! </w:t>
      </w:r>
      <w:r>
        <w:rPr>
          <w:color w:val="231F20"/>
          <w:w w:val="110"/>
        </w:rPr>
        <w:t>Here are comments from three:</w:t>
      </w:r>
    </w:p>
    <w:p>
      <w:pPr>
        <w:pStyle w:val="BodyText"/>
        <w:spacing w:before="2"/>
        <w:rPr>
          <w:sz w:val="23"/>
        </w:rPr>
      </w:pPr>
    </w:p>
    <w:p>
      <w:pPr>
        <w:spacing w:line="273" w:lineRule="auto" w:before="0"/>
        <w:ind w:left="1080" w:right="1844" w:firstLine="0"/>
        <w:jc w:val="left"/>
        <w:rPr>
          <w:i/>
          <w:sz w:val="18"/>
        </w:rPr>
      </w:pPr>
      <w:r>
        <w:rPr>
          <w:i/>
          <w:color w:val="231F20"/>
          <w:w w:val="110"/>
          <w:sz w:val="18"/>
        </w:rPr>
        <w:t>The church is a Georgian meeting house. The windows need renewing but because </w:t>
      </w:r>
      <w:r>
        <w:rPr>
          <w:i/>
          <w:color w:val="231F20"/>
          <w:w w:val="110"/>
          <w:sz w:val="18"/>
        </w:rPr>
        <w:t>the building is listed, an architect has had to be employed to ensure that the replacements are appropriate. This has made the job much more expensive.</w:t>
      </w:r>
    </w:p>
    <w:p>
      <w:pPr>
        <w:pStyle w:val="BodyText"/>
        <w:spacing w:before="9"/>
        <w:rPr>
          <w:i/>
          <w:sz w:val="20"/>
        </w:rPr>
      </w:pPr>
    </w:p>
    <w:p>
      <w:pPr>
        <w:spacing w:line="273" w:lineRule="auto" w:before="0"/>
        <w:ind w:left="1080" w:right="1444" w:firstLine="0"/>
        <w:jc w:val="left"/>
        <w:rPr>
          <w:i/>
          <w:sz w:val="18"/>
        </w:rPr>
      </w:pPr>
      <w:r>
        <w:rPr>
          <w:i/>
          <w:color w:val="231F20"/>
          <w:spacing w:val="2"/>
          <w:w w:val="110"/>
          <w:sz w:val="18"/>
        </w:rPr>
        <w:t>Our listing severely limits </w:t>
      </w:r>
      <w:r>
        <w:rPr>
          <w:i/>
          <w:color w:val="231F20"/>
          <w:w w:val="110"/>
          <w:sz w:val="18"/>
        </w:rPr>
        <w:t>any </w:t>
      </w:r>
      <w:r>
        <w:rPr>
          <w:i/>
          <w:color w:val="231F20"/>
          <w:spacing w:val="2"/>
          <w:w w:val="110"/>
          <w:sz w:val="18"/>
        </w:rPr>
        <w:t>change </w:t>
      </w:r>
      <w:r>
        <w:rPr>
          <w:i/>
          <w:color w:val="231F20"/>
          <w:w w:val="110"/>
          <w:sz w:val="18"/>
        </w:rPr>
        <w:t>to the </w:t>
      </w:r>
      <w:r>
        <w:rPr>
          <w:i/>
          <w:color w:val="231F20"/>
          <w:spacing w:val="2"/>
          <w:w w:val="110"/>
          <w:sz w:val="18"/>
        </w:rPr>
        <w:t>fabric </w:t>
      </w:r>
      <w:r>
        <w:rPr>
          <w:i/>
          <w:color w:val="231F20"/>
          <w:w w:val="110"/>
          <w:sz w:val="18"/>
        </w:rPr>
        <w:t>or </w:t>
      </w:r>
      <w:r>
        <w:rPr>
          <w:i/>
          <w:color w:val="231F20"/>
          <w:spacing w:val="2"/>
          <w:w w:val="110"/>
          <w:sz w:val="18"/>
        </w:rPr>
        <w:t>usage. </w:t>
      </w:r>
      <w:r>
        <w:rPr>
          <w:i/>
          <w:color w:val="231F20"/>
          <w:w w:val="110"/>
          <w:sz w:val="18"/>
        </w:rPr>
        <w:t>We </w:t>
      </w:r>
      <w:r>
        <w:rPr>
          <w:i/>
          <w:color w:val="231F20"/>
          <w:spacing w:val="2"/>
          <w:w w:val="110"/>
          <w:sz w:val="18"/>
        </w:rPr>
        <w:t>are </w:t>
      </w:r>
      <w:r>
        <w:rPr>
          <w:i/>
          <w:color w:val="231F20"/>
          <w:spacing w:val="3"/>
          <w:w w:val="110"/>
          <w:sz w:val="18"/>
        </w:rPr>
        <w:t>presently </w:t>
      </w:r>
      <w:r>
        <w:rPr>
          <w:i/>
          <w:color w:val="231F20"/>
          <w:spacing w:val="2"/>
          <w:w w:val="110"/>
          <w:sz w:val="18"/>
        </w:rPr>
        <w:t>holding</w:t>
      </w:r>
      <w:r>
        <w:rPr>
          <w:i/>
          <w:color w:val="231F20"/>
          <w:spacing w:val="73"/>
          <w:w w:val="110"/>
          <w:sz w:val="18"/>
        </w:rPr>
        <w:t> </w:t>
      </w:r>
      <w:r>
        <w:rPr>
          <w:i/>
          <w:color w:val="231F20"/>
          <w:w w:val="110"/>
          <w:sz w:val="18"/>
        </w:rPr>
        <w:t>our </w:t>
      </w:r>
      <w:r>
        <w:rPr>
          <w:i/>
          <w:color w:val="231F20"/>
          <w:spacing w:val="2"/>
          <w:w w:val="110"/>
          <w:sz w:val="18"/>
        </w:rPr>
        <w:t>breath </w:t>
      </w:r>
      <w:r>
        <w:rPr>
          <w:i/>
          <w:color w:val="231F20"/>
          <w:w w:val="110"/>
          <w:sz w:val="18"/>
        </w:rPr>
        <w:t>that the winter </w:t>
      </w:r>
      <w:r>
        <w:rPr>
          <w:i/>
          <w:color w:val="231F20"/>
          <w:spacing w:val="2"/>
          <w:w w:val="110"/>
          <w:sz w:val="18"/>
        </w:rPr>
        <w:t>weather </w:t>
      </w:r>
      <w:r>
        <w:rPr>
          <w:i/>
          <w:color w:val="231F20"/>
          <w:w w:val="110"/>
          <w:sz w:val="18"/>
        </w:rPr>
        <w:t>will not blow in a huge </w:t>
      </w:r>
      <w:r>
        <w:rPr>
          <w:i/>
          <w:color w:val="231F20"/>
          <w:spacing w:val="3"/>
          <w:w w:val="110"/>
          <w:sz w:val="18"/>
        </w:rPr>
        <w:t>stained </w:t>
      </w:r>
      <w:r>
        <w:rPr>
          <w:i/>
          <w:color w:val="231F20"/>
          <w:spacing w:val="2"/>
          <w:w w:val="110"/>
          <w:sz w:val="18"/>
        </w:rPr>
        <w:t>glass </w:t>
      </w:r>
      <w:r>
        <w:rPr>
          <w:i/>
          <w:color w:val="231F20"/>
          <w:w w:val="110"/>
          <w:sz w:val="18"/>
        </w:rPr>
        <w:t>window,    which is </w:t>
      </w:r>
      <w:r>
        <w:rPr>
          <w:i/>
          <w:color w:val="231F20"/>
          <w:spacing w:val="2"/>
          <w:w w:val="110"/>
          <w:sz w:val="18"/>
        </w:rPr>
        <w:t>held </w:t>
      </w:r>
      <w:r>
        <w:rPr>
          <w:i/>
          <w:color w:val="231F20"/>
          <w:w w:val="110"/>
          <w:sz w:val="18"/>
        </w:rPr>
        <w:t>in </w:t>
      </w:r>
      <w:r>
        <w:rPr>
          <w:i/>
          <w:color w:val="231F20"/>
          <w:spacing w:val="2"/>
          <w:w w:val="110"/>
          <w:sz w:val="18"/>
        </w:rPr>
        <w:t>place </w:t>
      </w:r>
      <w:r>
        <w:rPr>
          <w:i/>
          <w:color w:val="231F20"/>
          <w:w w:val="110"/>
          <w:sz w:val="18"/>
        </w:rPr>
        <w:t>by </w:t>
      </w:r>
      <w:r>
        <w:rPr>
          <w:i/>
          <w:color w:val="231F20"/>
          <w:spacing w:val="3"/>
          <w:w w:val="110"/>
          <w:sz w:val="18"/>
        </w:rPr>
        <w:t>rust </w:t>
      </w:r>
      <w:r>
        <w:rPr>
          <w:i/>
          <w:color w:val="231F20"/>
          <w:w w:val="110"/>
          <w:sz w:val="18"/>
        </w:rPr>
        <w:t>and </w:t>
      </w:r>
      <w:r>
        <w:rPr>
          <w:i/>
          <w:color w:val="231F20"/>
          <w:spacing w:val="2"/>
          <w:w w:val="110"/>
          <w:sz w:val="18"/>
        </w:rPr>
        <w:t>lead </w:t>
      </w:r>
      <w:r>
        <w:rPr>
          <w:i/>
          <w:color w:val="231F20"/>
          <w:w w:val="110"/>
          <w:sz w:val="18"/>
        </w:rPr>
        <w:t>that is </w:t>
      </w:r>
      <w:r>
        <w:rPr>
          <w:i/>
          <w:color w:val="231F20"/>
          <w:spacing w:val="-5"/>
          <w:w w:val="110"/>
          <w:sz w:val="18"/>
        </w:rPr>
        <w:t>145 </w:t>
      </w:r>
      <w:r>
        <w:rPr>
          <w:i/>
          <w:color w:val="231F20"/>
          <w:spacing w:val="2"/>
          <w:w w:val="110"/>
          <w:sz w:val="18"/>
        </w:rPr>
        <w:t>years </w:t>
      </w:r>
      <w:r>
        <w:rPr>
          <w:i/>
          <w:color w:val="231F20"/>
          <w:w w:val="110"/>
          <w:sz w:val="18"/>
        </w:rPr>
        <w:t>old. </w:t>
      </w:r>
      <w:r>
        <w:rPr>
          <w:i/>
          <w:color w:val="231F20"/>
          <w:spacing w:val="2"/>
          <w:w w:val="110"/>
          <w:sz w:val="18"/>
        </w:rPr>
        <w:t>The last rough estimate</w:t>
      </w:r>
      <w:r>
        <w:rPr>
          <w:i/>
          <w:color w:val="231F20"/>
          <w:spacing w:val="73"/>
          <w:w w:val="110"/>
          <w:sz w:val="18"/>
        </w:rPr>
        <w:t> </w:t>
      </w:r>
      <w:r>
        <w:rPr>
          <w:i/>
          <w:color w:val="231F20"/>
          <w:w w:val="110"/>
          <w:sz w:val="18"/>
        </w:rPr>
        <w:t>we had </w:t>
      </w:r>
      <w:r>
        <w:rPr>
          <w:i/>
          <w:color w:val="231F20"/>
          <w:spacing w:val="2"/>
          <w:w w:val="110"/>
          <w:sz w:val="18"/>
        </w:rPr>
        <w:t>for </w:t>
      </w:r>
      <w:r>
        <w:rPr>
          <w:i/>
          <w:color w:val="231F20"/>
          <w:w w:val="110"/>
          <w:sz w:val="18"/>
        </w:rPr>
        <w:t>this </w:t>
      </w:r>
      <w:r>
        <w:rPr>
          <w:i/>
          <w:color w:val="231F20"/>
          <w:spacing w:val="2"/>
          <w:w w:val="110"/>
          <w:sz w:val="18"/>
        </w:rPr>
        <w:t>repair </w:t>
      </w:r>
      <w:r>
        <w:rPr>
          <w:i/>
          <w:color w:val="231F20"/>
          <w:w w:val="110"/>
          <w:sz w:val="18"/>
        </w:rPr>
        <w:t>was five </w:t>
      </w:r>
      <w:r>
        <w:rPr>
          <w:i/>
          <w:color w:val="231F20"/>
          <w:spacing w:val="2"/>
          <w:w w:val="110"/>
          <w:sz w:val="18"/>
        </w:rPr>
        <w:t>years </w:t>
      </w:r>
      <w:r>
        <w:rPr>
          <w:i/>
          <w:color w:val="231F20"/>
          <w:w w:val="110"/>
          <w:sz w:val="18"/>
        </w:rPr>
        <w:t>ago and was in the </w:t>
      </w:r>
      <w:r>
        <w:rPr>
          <w:i/>
          <w:color w:val="231F20"/>
          <w:spacing w:val="2"/>
          <w:w w:val="110"/>
          <w:sz w:val="18"/>
        </w:rPr>
        <w:t>region </w:t>
      </w:r>
      <w:r>
        <w:rPr>
          <w:i/>
          <w:color w:val="231F20"/>
          <w:w w:val="110"/>
          <w:sz w:val="18"/>
        </w:rPr>
        <w:t>of £150,000 plus the </w:t>
      </w:r>
      <w:r>
        <w:rPr>
          <w:i/>
          <w:color w:val="231F20"/>
          <w:spacing w:val="3"/>
          <w:w w:val="110"/>
          <w:sz w:val="18"/>
        </w:rPr>
        <w:t>cost </w:t>
      </w:r>
      <w:r>
        <w:rPr>
          <w:i/>
          <w:color w:val="231F20"/>
          <w:w w:val="110"/>
          <w:sz w:val="18"/>
        </w:rPr>
        <w:t>of </w:t>
      </w:r>
      <w:r>
        <w:rPr>
          <w:i/>
          <w:color w:val="231F20"/>
          <w:spacing w:val="3"/>
          <w:w w:val="110"/>
          <w:sz w:val="18"/>
        </w:rPr>
        <w:t>scaffolding. </w:t>
      </w:r>
      <w:r>
        <w:rPr>
          <w:i/>
          <w:color w:val="231F20"/>
          <w:w w:val="110"/>
          <w:sz w:val="18"/>
        </w:rPr>
        <w:t>For a </w:t>
      </w:r>
      <w:r>
        <w:rPr>
          <w:i/>
          <w:color w:val="231F20"/>
          <w:spacing w:val="2"/>
          <w:w w:val="110"/>
          <w:sz w:val="18"/>
        </w:rPr>
        <w:t>congregation </w:t>
      </w:r>
      <w:r>
        <w:rPr>
          <w:i/>
          <w:color w:val="231F20"/>
          <w:w w:val="110"/>
          <w:sz w:val="18"/>
        </w:rPr>
        <w:t>of </w:t>
      </w:r>
      <w:r>
        <w:rPr>
          <w:i/>
          <w:color w:val="231F20"/>
          <w:spacing w:val="2"/>
          <w:w w:val="110"/>
          <w:sz w:val="18"/>
        </w:rPr>
        <w:t>under </w:t>
      </w:r>
      <w:r>
        <w:rPr>
          <w:i/>
          <w:color w:val="231F20"/>
          <w:w w:val="110"/>
          <w:sz w:val="18"/>
        </w:rPr>
        <w:t>sixty, a </w:t>
      </w:r>
      <w:r>
        <w:rPr>
          <w:i/>
          <w:color w:val="231F20"/>
          <w:spacing w:val="3"/>
          <w:w w:val="110"/>
          <w:sz w:val="18"/>
        </w:rPr>
        <w:t>repair </w:t>
      </w:r>
      <w:r>
        <w:rPr>
          <w:i/>
          <w:color w:val="231F20"/>
          <w:w w:val="110"/>
          <w:sz w:val="18"/>
        </w:rPr>
        <w:t>bill of that </w:t>
      </w:r>
      <w:r>
        <w:rPr>
          <w:i/>
          <w:color w:val="231F20"/>
          <w:spacing w:val="2"/>
          <w:w w:val="110"/>
          <w:sz w:val="18"/>
        </w:rPr>
        <w:t>nature </w:t>
      </w:r>
      <w:r>
        <w:rPr>
          <w:i/>
          <w:color w:val="231F20"/>
          <w:w w:val="110"/>
          <w:sz w:val="18"/>
        </w:rPr>
        <w:t>is beyond</w:t>
      </w:r>
      <w:r>
        <w:rPr>
          <w:i/>
          <w:color w:val="231F20"/>
          <w:spacing w:val="4"/>
          <w:w w:val="110"/>
          <w:sz w:val="18"/>
        </w:rPr>
        <w:t> </w:t>
      </w:r>
      <w:r>
        <w:rPr>
          <w:i/>
          <w:color w:val="231F20"/>
          <w:spacing w:val="2"/>
          <w:w w:val="110"/>
          <w:sz w:val="18"/>
        </w:rPr>
        <w:t>contemplation.</w:t>
      </w:r>
    </w:p>
    <w:p>
      <w:pPr>
        <w:pStyle w:val="BodyText"/>
        <w:spacing w:before="10"/>
        <w:rPr>
          <w:i/>
          <w:sz w:val="20"/>
        </w:rPr>
      </w:pPr>
    </w:p>
    <w:p>
      <w:pPr>
        <w:spacing w:line="273" w:lineRule="auto" w:before="1"/>
        <w:ind w:left="1080" w:right="1205" w:firstLine="0"/>
        <w:jc w:val="left"/>
        <w:rPr>
          <w:i/>
          <w:sz w:val="18"/>
        </w:rPr>
      </w:pPr>
      <w:r>
        <w:rPr>
          <w:i/>
          <w:color w:val="231F20"/>
          <w:w w:val="110"/>
          <w:sz w:val="18"/>
        </w:rPr>
        <w:t>Our (Grade 1) Church is of Italianate design. This virtually rules out any change to the </w:t>
      </w:r>
      <w:r>
        <w:rPr>
          <w:i/>
          <w:color w:val="231F20"/>
          <w:w w:val="110"/>
          <w:sz w:val="18"/>
        </w:rPr>
        <w:t>fabric of the building. Even panes of glass must be replaced like for like. But we cannot get the glass, so it would have to be specially made. We need £2 million over the next four or five years.</w:t>
      </w:r>
    </w:p>
    <w:p>
      <w:pPr>
        <w:pStyle w:val="BodyText"/>
        <w:rPr>
          <w:i/>
          <w:sz w:val="22"/>
        </w:rPr>
      </w:pPr>
    </w:p>
    <w:p>
      <w:pPr>
        <w:pStyle w:val="BodyText"/>
        <w:spacing w:before="3"/>
        <w:rPr>
          <w:i/>
          <w:sz w:val="19"/>
        </w:rPr>
      </w:pPr>
    </w:p>
    <w:p>
      <w:pPr>
        <w:pStyle w:val="Heading9"/>
        <w:numPr>
          <w:ilvl w:val="0"/>
          <w:numId w:val="120"/>
        </w:numPr>
        <w:tabs>
          <w:tab w:pos="1800" w:val="left" w:leader="none"/>
          <w:tab w:pos="1801" w:val="left" w:leader="none"/>
        </w:tabs>
        <w:spacing w:line="240" w:lineRule="auto" w:before="0" w:after="0"/>
        <w:ind w:left="1800" w:right="0" w:hanging="721"/>
        <w:jc w:val="left"/>
      </w:pPr>
      <w:r>
        <w:rPr>
          <w:color w:val="231F20"/>
          <w:w w:val="110"/>
        </w:rPr>
        <w:t>The debate</w:t>
      </w:r>
    </w:p>
    <w:p>
      <w:pPr>
        <w:pStyle w:val="ListParagraph"/>
        <w:numPr>
          <w:ilvl w:val="1"/>
          <w:numId w:val="120"/>
        </w:numPr>
        <w:tabs>
          <w:tab w:pos="1800" w:val="left" w:leader="none"/>
          <w:tab w:pos="1801" w:val="left" w:leader="none"/>
        </w:tabs>
        <w:spacing w:line="240" w:lineRule="auto" w:before="258" w:after="0"/>
        <w:ind w:left="1800" w:right="0" w:hanging="721"/>
        <w:jc w:val="left"/>
        <w:rPr>
          <w:sz w:val="18"/>
        </w:rPr>
      </w:pPr>
      <w:r>
        <w:rPr>
          <w:color w:val="231F20"/>
          <w:spacing w:val="2"/>
          <w:w w:val="110"/>
          <w:sz w:val="18"/>
        </w:rPr>
        <w:t>There </w:t>
      </w:r>
      <w:r>
        <w:rPr>
          <w:color w:val="231F20"/>
          <w:w w:val="110"/>
          <w:sz w:val="18"/>
        </w:rPr>
        <w:t>is a range of views about the Lottery, and applications for </w:t>
      </w:r>
      <w:r>
        <w:rPr>
          <w:color w:val="231F20"/>
          <w:spacing w:val="3"/>
          <w:w w:val="110"/>
          <w:sz w:val="18"/>
        </w:rPr>
        <w:t>Lottery</w:t>
      </w:r>
      <w:r>
        <w:rPr>
          <w:color w:val="231F20"/>
          <w:spacing w:val="53"/>
          <w:w w:val="110"/>
          <w:sz w:val="18"/>
        </w:rPr>
        <w:t> </w:t>
      </w:r>
      <w:r>
        <w:rPr>
          <w:color w:val="231F20"/>
          <w:w w:val="110"/>
          <w:sz w:val="18"/>
        </w:rPr>
        <w:t>funding:</w:t>
      </w:r>
    </w:p>
    <w:p>
      <w:pPr>
        <w:pStyle w:val="BodyText"/>
        <w:spacing w:before="2"/>
        <w:rPr>
          <w:sz w:val="23"/>
        </w:rPr>
      </w:pPr>
    </w:p>
    <w:p>
      <w:pPr>
        <w:pStyle w:val="ListParagraph"/>
        <w:numPr>
          <w:ilvl w:val="1"/>
          <w:numId w:val="120"/>
        </w:numPr>
        <w:tabs>
          <w:tab w:pos="1800" w:val="left" w:leader="none"/>
          <w:tab w:pos="1801" w:val="left" w:leader="none"/>
        </w:tabs>
        <w:spacing w:line="273" w:lineRule="auto" w:before="0" w:after="0"/>
        <w:ind w:left="1080" w:right="1298" w:firstLine="0"/>
        <w:jc w:val="left"/>
        <w:rPr>
          <w:sz w:val="18"/>
        </w:rPr>
      </w:pPr>
      <w:r>
        <w:rPr>
          <w:color w:val="231F20"/>
          <w:w w:val="110"/>
          <w:sz w:val="18"/>
        </w:rPr>
        <w:t>The Listed Buildings </w:t>
      </w:r>
      <w:r>
        <w:rPr>
          <w:color w:val="231F20"/>
          <w:spacing w:val="2"/>
          <w:w w:val="110"/>
          <w:sz w:val="18"/>
        </w:rPr>
        <w:t>Advisory </w:t>
      </w:r>
      <w:r>
        <w:rPr>
          <w:color w:val="231F20"/>
          <w:w w:val="110"/>
          <w:sz w:val="18"/>
        </w:rPr>
        <w:t>Group, whilst understanding the spirit of the </w:t>
      </w:r>
      <w:r>
        <w:rPr>
          <w:color w:val="231F20"/>
          <w:spacing w:val="-3"/>
          <w:w w:val="110"/>
          <w:sz w:val="18"/>
        </w:rPr>
        <w:t>1995 </w:t>
      </w:r>
      <w:r>
        <w:rPr>
          <w:color w:val="231F20"/>
          <w:w w:val="110"/>
          <w:sz w:val="18"/>
        </w:rPr>
        <w:t>resolution, </w:t>
      </w:r>
      <w:r>
        <w:rPr>
          <w:color w:val="231F20"/>
          <w:spacing w:val="2"/>
          <w:w w:val="110"/>
          <w:sz w:val="18"/>
        </w:rPr>
        <w:t>expresses </w:t>
      </w:r>
      <w:r>
        <w:rPr>
          <w:color w:val="231F20"/>
          <w:w w:val="110"/>
          <w:sz w:val="18"/>
        </w:rPr>
        <w:t>concern that, if the United Reformed Church does not accept </w:t>
      </w:r>
      <w:r>
        <w:rPr>
          <w:color w:val="231F20"/>
          <w:spacing w:val="3"/>
          <w:w w:val="110"/>
          <w:sz w:val="18"/>
        </w:rPr>
        <w:t>Lottery </w:t>
      </w:r>
      <w:r>
        <w:rPr>
          <w:color w:val="231F20"/>
          <w:w w:val="110"/>
          <w:sz w:val="18"/>
        </w:rPr>
        <w:t>funding, it increasingly puts pressure on other sources of funding within the Church to maintain listed buildings. The Group believes that a change to the Church’s stance would allow a more straightforward relationship with English Heritage, which might secure a larger slice of available funding for United Reformed churches and allow more use of English Heritage’s considerable </w:t>
      </w:r>
      <w:r>
        <w:rPr>
          <w:color w:val="231F20"/>
          <w:spacing w:val="2"/>
          <w:w w:val="110"/>
          <w:sz w:val="18"/>
        </w:rPr>
        <w:t>expertise. There </w:t>
      </w:r>
      <w:r>
        <w:rPr>
          <w:color w:val="231F20"/>
          <w:w w:val="110"/>
          <w:sz w:val="18"/>
        </w:rPr>
        <w:t>is also a more general concern expressed, that the Church will simply not be able to fulfil its obligation to    </w:t>
      </w:r>
      <w:r>
        <w:rPr>
          <w:color w:val="231F20"/>
          <w:spacing w:val="2"/>
          <w:w w:val="110"/>
          <w:sz w:val="18"/>
        </w:rPr>
        <w:t>care </w:t>
      </w:r>
      <w:r>
        <w:rPr>
          <w:color w:val="231F20"/>
          <w:w w:val="110"/>
          <w:sz w:val="18"/>
        </w:rPr>
        <w:t>for listed buildings, and that local </w:t>
      </w:r>
      <w:r>
        <w:rPr>
          <w:color w:val="231F20"/>
          <w:spacing w:val="2"/>
          <w:w w:val="110"/>
          <w:sz w:val="18"/>
        </w:rPr>
        <w:t>elders </w:t>
      </w:r>
      <w:r>
        <w:rPr>
          <w:color w:val="231F20"/>
          <w:w w:val="110"/>
          <w:sz w:val="18"/>
        </w:rPr>
        <w:t>may find themselves in an increasingly uncomfortable position. Accepting </w:t>
      </w:r>
      <w:r>
        <w:rPr>
          <w:color w:val="231F20"/>
          <w:spacing w:val="3"/>
          <w:w w:val="110"/>
          <w:sz w:val="18"/>
        </w:rPr>
        <w:t>Lottery </w:t>
      </w:r>
      <w:r>
        <w:rPr>
          <w:color w:val="231F20"/>
          <w:w w:val="110"/>
          <w:sz w:val="18"/>
        </w:rPr>
        <w:t>funding for this purpose, it is argued, will allow the church to spend more of its own money on</w:t>
      </w:r>
      <w:r>
        <w:rPr>
          <w:color w:val="231F20"/>
          <w:spacing w:val="27"/>
          <w:w w:val="110"/>
          <w:sz w:val="18"/>
        </w:rPr>
        <w:t> </w:t>
      </w:r>
      <w:r>
        <w:rPr>
          <w:color w:val="231F20"/>
          <w:w w:val="110"/>
          <w:sz w:val="18"/>
        </w:rPr>
        <w:t>Mission.</w:t>
      </w:r>
    </w:p>
    <w:p>
      <w:pPr>
        <w:pStyle w:val="BodyText"/>
        <w:spacing w:before="1"/>
        <w:rPr>
          <w:sz w:val="21"/>
        </w:rPr>
      </w:pPr>
    </w:p>
    <w:p>
      <w:pPr>
        <w:pStyle w:val="ListParagraph"/>
        <w:numPr>
          <w:ilvl w:val="1"/>
          <w:numId w:val="120"/>
        </w:numPr>
        <w:tabs>
          <w:tab w:pos="1800" w:val="left" w:leader="none"/>
          <w:tab w:pos="1801" w:val="left" w:leader="none"/>
        </w:tabs>
        <w:spacing w:line="273" w:lineRule="auto" w:before="0" w:after="0"/>
        <w:ind w:left="1080" w:right="1223" w:firstLine="0"/>
        <w:jc w:val="left"/>
        <w:rPr>
          <w:sz w:val="18"/>
        </w:rPr>
      </w:pPr>
      <w:r>
        <w:rPr>
          <w:color w:val="231F20"/>
          <w:w w:val="110"/>
          <w:sz w:val="18"/>
        </w:rPr>
        <w:t>Some say that </w:t>
      </w:r>
      <w:r>
        <w:rPr>
          <w:color w:val="231F20"/>
          <w:spacing w:val="3"/>
          <w:w w:val="110"/>
          <w:sz w:val="18"/>
        </w:rPr>
        <w:t>Lottery </w:t>
      </w:r>
      <w:r>
        <w:rPr>
          <w:color w:val="231F20"/>
          <w:w w:val="110"/>
          <w:sz w:val="18"/>
        </w:rPr>
        <w:t>funding is </w:t>
      </w:r>
      <w:r>
        <w:rPr>
          <w:color w:val="231F20"/>
          <w:spacing w:val="2"/>
          <w:w w:val="110"/>
          <w:sz w:val="18"/>
        </w:rPr>
        <w:t>often </w:t>
      </w:r>
      <w:r>
        <w:rPr>
          <w:color w:val="231F20"/>
          <w:w w:val="110"/>
          <w:sz w:val="18"/>
        </w:rPr>
        <w:t>used for dubious purposes, so it would be much </w:t>
      </w:r>
      <w:r>
        <w:rPr>
          <w:color w:val="231F20"/>
          <w:spacing w:val="2"/>
          <w:w w:val="110"/>
          <w:sz w:val="18"/>
        </w:rPr>
        <w:t>better </w:t>
      </w:r>
      <w:r>
        <w:rPr>
          <w:color w:val="231F20"/>
          <w:w w:val="110"/>
          <w:sz w:val="18"/>
        </w:rPr>
        <w:t>that some of it should be used for </w:t>
      </w:r>
      <w:r>
        <w:rPr>
          <w:color w:val="231F20"/>
          <w:spacing w:val="2"/>
          <w:w w:val="110"/>
          <w:sz w:val="18"/>
        </w:rPr>
        <w:t>furthering </w:t>
      </w:r>
      <w:r>
        <w:rPr>
          <w:color w:val="231F20"/>
          <w:w w:val="110"/>
          <w:sz w:val="18"/>
        </w:rPr>
        <w:t>the work of God’s kingdom. Some are able to make a distinction between gambling as such </w:t>
      </w:r>
      <w:r>
        <w:rPr>
          <w:color w:val="231F20"/>
          <w:spacing w:val="-4"/>
          <w:w w:val="110"/>
          <w:sz w:val="18"/>
        </w:rPr>
        <w:t>(and </w:t>
      </w:r>
      <w:r>
        <w:rPr>
          <w:color w:val="231F20"/>
          <w:w w:val="110"/>
          <w:sz w:val="18"/>
        </w:rPr>
        <w:t>benefiting </w:t>
      </w:r>
      <w:r>
        <w:rPr>
          <w:color w:val="231F20"/>
          <w:spacing w:val="2"/>
          <w:w w:val="110"/>
          <w:sz w:val="18"/>
        </w:rPr>
        <w:t>from </w:t>
      </w:r>
      <w:r>
        <w:rPr>
          <w:color w:val="231F20"/>
          <w:w w:val="110"/>
          <w:sz w:val="18"/>
        </w:rPr>
        <w:t>it  by spending the winnings) and drawing on national funds derived </w:t>
      </w:r>
      <w:r>
        <w:rPr>
          <w:color w:val="231F20"/>
          <w:spacing w:val="2"/>
          <w:w w:val="110"/>
          <w:sz w:val="18"/>
        </w:rPr>
        <w:t>from </w:t>
      </w:r>
      <w:r>
        <w:rPr>
          <w:color w:val="231F20"/>
          <w:w w:val="110"/>
          <w:sz w:val="18"/>
        </w:rPr>
        <w:t>money raised as  a tax levied on</w:t>
      </w:r>
      <w:r>
        <w:rPr>
          <w:color w:val="231F20"/>
          <w:spacing w:val="3"/>
          <w:w w:val="110"/>
          <w:sz w:val="18"/>
        </w:rPr>
        <w:t> </w:t>
      </w:r>
      <w:r>
        <w:rPr>
          <w:color w:val="231F20"/>
          <w:w w:val="110"/>
          <w:sz w:val="18"/>
        </w:rPr>
        <w:t>gambling.</w:t>
      </w:r>
    </w:p>
    <w:p>
      <w:pPr>
        <w:pStyle w:val="BodyText"/>
        <w:spacing w:before="10"/>
        <w:rPr>
          <w:sz w:val="20"/>
        </w:rPr>
      </w:pPr>
    </w:p>
    <w:p>
      <w:pPr>
        <w:pStyle w:val="ListParagraph"/>
        <w:numPr>
          <w:ilvl w:val="1"/>
          <w:numId w:val="120"/>
        </w:numPr>
        <w:tabs>
          <w:tab w:pos="1800" w:val="left" w:leader="none"/>
          <w:tab w:pos="1801" w:val="left" w:leader="none"/>
        </w:tabs>
        <w:spacing w:line="273" w:lineRule="auto" w:before="1" w:after="0"/>
        <w:ind w:left="1080" w:right="1149" w:firstLine="0"/>
        <w:jc w:val="left"/>
        <w:rPr>
          <w:sz w:val="18"/>
        </w:rPr>
      </w:pPr>
      <w:r>
        <w:rPr>
          <w:color w:val="231F20"/>
          <w:spacing w:val="4"/>
          <w:w w:val="110"/>
          <w:sz w:val="18"/>
        </w:rPr>
        <w:t>Others </w:t>
      </w:r>
      <w:r>
        <w:rPr>
          <w:color w:val="231F20"/>
          <w:w w:val="110"/>
          <w:sz w:val="18"/>
        </w:rPr>
        <w:t>say </w:t>
      </w:r>
      <w:r>
        <w:rPr>
          <w:color w:val="231F20"/>
          <w:spacing w:val="2"/>
          <w:w w:val="110"/>
          <w:sz w:val="18"/>
        </w:rPr>
        <w:t>the world </w:t>
      </w:r>
      <w:r>
        <w:rPr>
          <w:color w:val="231F20"/>
          <w:w w:val="110"/>
          <w:sz w:val="18"/>
        </w:rPr>
        <w:t>has moved on </w:t>
      </w:r>
      <w:r>
        <w:rPr>
          <w:color w:val="231F20"/>
          <w:spacing w:val="2"/>
          <w:w w:val="110"/>
          <w:sz w:val="18"/>
        </w:rPr>
        <w:t>since </w:t>
      </w:r>
      <w:r>
        <w:rPr>
          <w:color w:val="231F20"/>
          <w:spacing w:val="-3"/>
          <w:w w:val="110"/>
          <w:sz w:val="18"/>
        </w:rPr>
        <w:t>1995; </w:t>
      </w:r>
      <w:r>
        <w:rPr>
          <w:color w:val="231F20"/>
          <w:spacing w:val="5"/>
          <w:w w:val="110"/>
          <w:sz w:val="18"/>
        </w:rPr>
        <w:t>Lottery </w:t>
      </w:r>
      <w:r>
        <w:rPr>
          <w:color w:val="231F20"/>
          <w:spacing w:val="2"/>
          <w:w w:val="110"/>
          <w:sz w:val="18"/>
        </w:rPr>
        <w:t>funding </w:t>
      </w:r>
      <w:r>
        <w:rPr>
          <w:color w:val="231F20"/>
          <w:w w:val="110"/>
          <w:sz w:val="18"/>
        </w:rPr>
        <w:t>is now  </w:t>
      </w:r>
      <w:r>
        <w:rPr>
          <w:color w:val="231F20"/>
          <w:spacing w:val="4"/>
          <w:w w:val="110"/>
          <w:sz w:val="18"/>
        </w:rPr>
        <w:t>effectively </w:t>
      </w:r>
      <w:r>
        <w:rPr>
          <w:color w:val="231F20"/>
          <w:spacing w:val="2"/>
          <w:w w:val="110"/>
          <w:sz w:val="18"/>
        </w:rPr>
        <w:t>government </w:t>
      </w:r>
      <w:r>
        <w:rPr>
          <w:color w:val="231F20"/>
          <w:w w:val="110"/>
          <w:sz w:val="18"/>
        </w:rPr>
        <w:t>funding, and we </w:t>
      </w:r>
      <w:r>
        <w:rPr>
          <w:color w:val="231F20"/>
          <w:spacing w:val="2"/>
          <w:w w:val="110"/>
          <w:sz w:val="18"/>
        </w:rPr>
        <w:t>inflict </w:t>
      </w:r>
      <w:r>
        <w:rPr>
          <w:color w:val="231F20"/>
          <w:spacing w:val="4"/>
          <w:w w:val="110"/>
          <w:sz w:val="18"/>
        </w:rPr>
        <w:t>unnecessary </w:t>
      </w:r>
      <w:r>
        <w:rPr>
          <w:color w:val="231F20"/>
          <w:w w:val="110"/>
          <w:sz w:val="18"/>
        </w:rPr>
        <w:t>self-harm on </w:t>
      </w:r>
      <w:r>
        <w:rPr>
          <w:color w:val="231F20"/>
          <w:spacing w:val="3"/>
          <w:w w:val="110"/>
          <w:sz w:val="18"/>
        </w:rPr>
        <w:t>ourselves </w:t>
      </w:r>
      <w:r>
        <w:rPr>
          <w:color w:val="231F20"/>
          <w:w w:val="110"/>
          <w:sz w:val="18"/>
        </w:rPr>
        <w:t>by </w:t>
      </w:r>
      <w:r>
        <w:rPr>
          <w:color w:val="231F20"/>
          <w:spacing w:val="2"/>
          <w:w w:val="110"/>
          <w:sz w:val="18"/>
        </w:rPr>
        <w:t>exercising </w:t>
      </w:r>
      <w:r>
        <w:rPr>
          <w:color w:val="231F20"/>
          <w:w w:val="110"/>
          <w:sz w:val="18"/>
        </w:rPr>
        <w:t>our </w:t>
      </w:r>
      <w:r>
        <w:rPr>
          <w:color w:val="231F20"/>
          <w:spacing w:val="3"/>
          <w:w w:val="110"/>
          <w:sz w:val="18"/>
        </w:rPr>
        <w:t>conscience </w:t>
      </w:r>
      <w:r>
        <w:rPr>
          <w:color w:val="231F20"/>
          <w:w w:val="110"/>
          <w:sz w:val="18"/>
        </w:rPr>
        <w:t>over </w:t>
      </w:r>
      <w:r>
        <w:rPr>
          <w:color w:val="231F20"/>
          <w:spacing w:val="2"/>
          <w:w w:val="110"/>
          <w:sz w:val="18"/>
        </w:rPr>
        <w:t>the issue. </w:t>
      </w:r>
      <w:r>
        <w:rPr>
          <w:color w:val="231F20"/>
          <w:spacing w:val="3"/>
          <w:w w:val="110"/>
          <w:sz w:val="18"/>
        </w:rPr>
        <w:t>Other </w:t>
      </w:r>
      <w:r>
        <w:rPr>
          <w:color w:val="231F20"/>
          <w:spacing w:val="2"/>
          <w:w w:val="110"/>
          <w:sz w:val="18"/>
        </w:rPr>
        <w:t>denominations </w:t>
      </w:r>
      <w:r>
        <w:rPr>
          <w:color w:val="231F20"/>
          <w:w w:val="110"/>
          <w:sz w:val="18"/>
        </w:rPr>
        <w:t>have by and </w:t>
      </w:r>
      <w:r>
        <w:rPr>
          <w:color w:val="231F20"/>
          <w:spacing w:val="2"/>
          <w:w w:val="110"/>
          <w:sz w:val="18"/>
        </w:rPr>
        <w:t>large come</w:t>
      </w:r>
      <w:r>
        <w:rPr>
          <w:color w:val="231F20"/>
          <w:spacing w:val="73"/>
          <w:w w:val="110"/>
          <w:sz w:val="18"/>
        </w:rPr>
        <w:t> </w:t>
      </w:r>
      <w:r>
        <w:rPr>
          <w:color w:val="231F20"/>
          <w:w w:val="110"/>
          <w:sz w:val="18"/>
        </w:rPr>
        <w:t>to that </w:t>
      </w:r>
      <w:r>
        <w:rPr>
          <w:color w:val="231F20"/>
          <w:spacing w:val="2"/>
          <w:w w:val="110"/>
          <w:sz w:val="18"/>
        </w:rPr>
        <w:t>conclusion. </w:t>
      </w:r>
      <w:r>
        <w:rPr>
          <w:color w:val="231F20"/>
          <w:w w:val="110"/>
          <w:sz w:val="18"/>
        </w:rPr>
        <w:t>If we </w:t>
      </w:r>
      <w:r>
        <w:rPr>
          <w:color w:val="231F20"/>
          <w:spacing w:val="2"/>
          <w:w w:val="110"/>
          <w:sz w:val="18"/>
        </w:rPr>
        <w:t>were </w:t>
      </w:r>
      <w:r>
        <w:rPr>
          <w:color w:val="231F20"/>
          <w:w w:val="110"/>
          <w:sz w:val="18"/>
        </w:rPr>
        <w:t>to inquire, it is </w:t>
      </w:r>
      <w:r>
        <w:rPr>
          <w:color w:val="231F20"/>
          <w:spacing w:val="2"/>
          <w:w w:val="110"/>
          <w:sz w:val="18"/>
        </w:rPr>
        <w:t>argued, </w:t>
      </w:r>
      <w:r>
        <w:rPr>
          <w:color w:val="231F20"/>
          <w:w w:val="110"/>
          <w:sz w:val="18"/>
        </w:rPr>
        <w:t>we would </w:t>
      </w:r>
      <w:r>
        <w:rPr>
          <w:color w:val="231F20"/>
          <w:spacing w:val="4"/>
          <w:w w:val="110"/>
          <w:sz w:val="18"/>
        </w:rPr>
        <w:t>often </w:t>
      </w:r>
      <w:r>
        <w:rPr>
          <w:color w:val="231F20"/>
          <w:spacing w:val="2"/>
          <w:w w:val="110"/>
          <w:sz w:val="18"/>
        </w:rPr>
        <w:t>discover </w:t>
      </w:r>
      <w:r>
        <w:rPr>
          <w:color w:val="231F20"/>
          <w:w w:val="110"/>
          <w:sz w:val="18"/>
        </w:rPr>
        <w:t>that </w:t>
      </w:r>
      <w:r>
        <w:rPr>
          <w:color w:val="231F20"/>
          <w:spacing w:val="2"/>
          <w:w w:val="110"/>
          <w:sz w:val="18"/>
        </w:rPr>
        <w:t>funding </w:t>
      </w:r>
      <w:r>
        <w:rPr>
          <w:color w:val="231F20"/>
          <w:spacing w:val="3"/>
          <w:w w:val="110"/>
          <w:sz w:val="18"/>
        </w:rPr>
        <w:t>from </w:t>
      </w:r>
      <w:r>
        <w:rPr>
          <w:color w:val="231F20"/>
          <w:spacing w:val="2"/>
          <w:w w:val="110"/>
          <w:sz w:val="18"/>
        </w:rPr>
        <w:t>other </w:t>
      </w:r>
      <w:r>
        <w:rPr>
          <w:color w:val="231F20"/>
          <w:spacing w:val="3"/>
          <w:w w:val="110"/>
          <w:sz w:val="18"/>
        </w:rPr>
        <w:t>sources, such </w:t>
      </w:r>
      <w:r>
        <w:rPr>
          <w:color w:val="231F20"/>
          <w:w w:val="110"/>
          <w:sz w:val="18"/>
        </w:rPr>
        <w:t>as </w:t>
      </w:r>
      <w:r>
        <w:rPr>
          <w:color w:val="231F20"/>
          <w:spacing w:val="3"/>
          <w:w w:val="110"/>
          <w:sz w:val="18"/>
        </w:rPr>
        <w:t>local </w:t>
      </w:r>
      <w:r>
        <w:rPr>
          <w:color w:val="231F20"/>
          <w:spacing w:val="2"/>
          <w:w w:val="110"/>
          <w:sz w:val="18"/>
        </w:rPr>
        <w:t>authorities, for </w:t>
      </w:r>
      <w:r>
        <w:rPr>
          <w:color w:val="231F20"/>
          <w:w w:val="110"/>
          <w:sz w:val="18"/>
        </w:rPr>
        <w:t>youth or </w:t>
      </w:r>
      <w:r>
        <w:rPr>
          <w:color w:val="231F20"/>
          <w:spacing w:val="2"/>
          <w:w w:val="110"/>
          <w:sz w:val="18"/>
        </w:rPr>
        <w:t>community work, </w:t>
      </w:r>
      <w:r>
        <w:rPr>
          <w:color w:val="231F20"/>
          <w:spacing w:val="3"/>
          <w:w w:val="110"/>
          <w:sz w:val="18"/>
        </w:rPr>
        <w:t>came </w:t>
      </w:r>
      <w:r>
        <w:rPr>
          <w:color w:val="231F20"/>
          <w:w w:val="110"/>
          <w:sz w:val="18"/>
        </w:rPr>
        <w:t>originally, </w:t>
      </w:r>
      <w:r>
        <w:rPr>
          <w:color w:val="231F20"/>
          <w:spacing w:val="3"/>
          <w:w w:val="110"/>
          <w:sz w:val="18"/>
        </w:rPr>
        <w:t>from </w:t>
      </w:r>
      <w:r>
        <w:rPr>
          <w:color w:val="231F20"/>
          <w:spacing w:val="2"/>
          <w:w w:val="110"/>
          <w:sz w:val="18"/>
        </w:rPr>
        <w:t>the</w:t>
      </w:r>
      <w:r>
        <w:rPr>
          <w:color w:val="231F20"/>
          <w:spacing w:val="15"/>
          <w:w w:val="110"/>
          <w:sz w:val="18"/>
        </w:rPr>
        <w:t> </w:t>
      </w:r>
      <w:r>
        <w:rPr>
          <w:color w:val="231F20"/>
          <w:spacing w:val="2"/>
          <w:w w:val="110"/>
          <w:sz w:val="18"/>
        </w:rPr>
        <w:t>Lottery.</w:t>
      </w:r>
    </w:p>
    <w:p>
      <w:pPr>
        <w:pStyle w:val="BodyText"/>
        <w:spacing w:before="10"/>
        <w:rPr>
          <w:sz w:val="20"/>
        </w:rPr>
      </w:pPr>
    </w:p>
    <w:p>
      <w:pPr>
        <w:pStyle w:val="ListParagraph"/>
        <w:numPr>
          <w:ilvl w:val="1"/>
          <w:numId w:val="120"/>
        </w:numPr>
        <w:tabs>
          <w:tab w:pos="1801" w:val="left" w:leader="none"/>
          <w:tab w:pos="1802" w:val="left" w:leader="none"/>
        </w:tabs>
        <w:spacing w:line="273" w:lineRule="auto" w:before="0" w:after="0"/>
        <w:ind w:left="1080" w:right="1235" w:firstLine="1"/>
        <w:jc w:val="left"/>
        <w:rPr>
          <w:sz w:val="18"/>
        </w:rPr>
      </w:pPr>
      <w:r>
        <w:rPr>
          <w:color w:val="231F20"/>
          <w:w w:val="110"/>
          <w:sz w:val="18"/>
        </w:rPr>
        <w:t>In making a </w:t>
      </w:r>
      <w:r>
        <w:rPr>
          <w:color w:val="231F20"/>
          <w:spacing w:val="2"/>
          <w:w w:val="110"/>
          <w:sz w:val="18"/>
        </w:rPr>
        <w:t>case </w:t>
      </w:r>
      <w:r>
        <w:rPr>
          <w:color w:val="231F20"/>
          <w:w w:val="110"/>
          <w:sz w:val="18"/>
        </w:rPr>
        <w:t>for involvement with the </w:t>
      </w:r>
      <w:r>
        <w:rPr>
          <w:color w:val="231F20"/>
          <w:spacing w:val="3"/>
          <w:w w:val="110"/>
          <w:sz w:val="18"/>
        </w:rPr>
        <w:t>Lottery </w:t>
      </w:r>
      <w:r>
        <w:rPr>
          <w:color w:val="231F20"/>
          <w:w w:val="110"/>
          <w:sz w:val="18"/>
        </w:rPr>
        <w:t>or other forms of gambling, some would contend that they can see no </w:t>
      </w:r>
      <w:r>
        <w:rPr>
          <w:color w:val="231F20"/>
          <w:spacing w:val="2"/>
          <w:w w:val="110"/>
          <w:sz w:val="18"/>
        </w:rPr>
        <w:t>difference </w:t>
      </w:r>
      <w:r>
        <w:rPr>
          <w:color w:val="231F20"/>
          <w:w w:val="110"/>
          <w:sz w:val="18"/>
        </w:rPr>
        <w:t>between this and financial investment. Neither gamblers nor investors are immune </w:t>
      </w:r>
      <w:r>
        <w:rPr>
          <w:color w:val="231F20"/>
          <w:spacing w:val="2"/>
          <w:w w:val="110"/>
          <w:sz w:val="18"/>
        </w:rPr>
        <w:t>from </w:t>
      </w:r>
      <w:r>
        <w:rPr>
          <w:color w:val="231F20"/>
          <w:w w:val="110"/>
          <w:sz w:val="18"/>
        </w:rPr>
        <w:t>the sin of greed and covetousness. </w:t>
      </w:r>
      <w:r>
        <w:rPr>
          <w:color w:val="231F20"/>
          <w:spacing w:val="2"/>
          <w:w w:val="110"/>
          <w:sz w:val="18"/>
        </w:rPr>
        <w:t>Others </w:t>
      </w:r>
      <w:r>
        <w:rPr>
          <w:color w:val="231F20"/>
          <w:w w:val="110"/>
          <w:sz w:val="18"/>
        </w:rPr>
        <w:t>do make a distinction: the investment gains of one do not depend on</w:t>
      </w:r>
      <w:r>
        <w:rPr>
          <w:color w:val="231F20"/>
          <w:spacing w:val="6"/>
          <w:w w:val="110"/>
          <w:sz w:val="18"/>
        </w:rPr>
        <w:t> </w:t>
      </w:r>
      <w:r>
        <w:rPr>
          <w:color w:val="231F20"/>
          <w:w w:val="110"/>
          <w:sz w:val="18"/>
        </w:rPr>
        <w:t>the</w:t>
      </w:r>
      <w:r>
        <w:rPr>
          <w:color w:val="231F20"/>
          <w:spacing w:val="7"/>
          <w:w w:val="110"/>
          <w:sz w:val="18"/>
        </w:rPr>
        <w:t> </w:t>
      </w:r>
      <w:r>
        <w:rPr>
          <w:color w:val="231F20"/>
          <w:spacing w:val="2"/>
          <w:w w:val="110"/>
          <w:sz w:val="18"/>
        </w:rPr>
        <w:t>losses</w:t>
      </w:r>
      <w:r>
        <w:rPr>
          <w:color w:val="231F20"/>
          <w:spacing w:val="7"/>
          <w:w w:val="110"/>
          <w:sz w:val="18"/>
        </w:rPr>
        <w:t> </w:t>
      </w:r>
      <w:r>
        <w:rPr>
          <w:color w:val="231F20"/>
          <w:w w:val="110"/>
          <w:sz w:val="18"/>
        </w:rPr>
        <w:t>of</w:t>
      </w:r>
      <w:r>
        <w:rPr>
          <w:color w:val="231F20"/>
          <w:spacing w:val="6"/>
          <w:w w:val="110"/>
          <w:sz w:val="18"/>
        </w:rPr>
        <w:t> </w:t>
      </w:r>
      <w:r>
        <w:rPr>
          <w:color w:val="231F20"/>
          <w:w w:val="110"/>
          <w:sz w:val="18"/>
        </w:rPr>
        <w:t>another;</w:t>
      </w:r>
      <w:r>
        <w:rPr>
          <w:color w:val="231F20"/>
          <w:spacing w:val="7"/>
          <w:w w:val="110"/>
          <w:sz w:val="18"/>
        </w:rPr>
        <w:t> </w:t>
      </w:r>
      <w:r>
        <w:rPr>
          <w:color w:val="231F20"/>
          <w:spacing w:val="3"/>
          <w:w w:val="110"/>
          <w:sz w:val="18"/>
        </w:rPr>
        <w:t>Lottery</w:t>
      </w:r>
      <w:r>
        <w:rPr>
          <w:color w:val="231F20"/>
          <w:spacing w:val="7"/>
          <w:w w:val="110"/>
          <w:sz w:val="18"/>
        </w:rPr>
        <w:t> </w:t>
      </w:r>
      <w:r>
        <w:rPr>
          <w:color w:val="231F20"/>
          <w:w w:val="110"/>
          <w:sz w:val="18"/>
        </w:rPr>
        <w:t>wins</w:t>
      </w:r>
      <w:r>
        <w:rPr>
          <w:color w:val="231F20"/>
          <w:spacing w:val="7"/>
          <w:w w:val="110"/>
          <w:sz w:val="18"/>
        </w:rPr>
        <w:t> </w:t>
      </w:r>
      <w:r>
        <w:rPr>
          <w:color w:val="231F20"/>
          <w:w w:val="110"/>
          <w:sz w:val="18"/>
        </w:rPr>
        <w:t>are</w:t>
      </w:r>
      <w:r>
        <w:rPr>
          <w:color w:val="231F20"/>
          <w:spacing w:val="6"/>
          <w:w w:val="110"/>
          <w:sz w:val="18"/>
        </w:rPr>
        <w:t> </w:t>
      </w:r>
      <w:r>
        <w:rPr>
          <w:color w:val="231F20"/>
          <w:w w:val="110"/>
          <w:sz w:val="18"/>
        </w:rPr>
        <w:t>at</w:t>
      </w:r>
      <w:r>
        <w:rPr>
          <w:color w:val="231F20"/>
          <w:spacing w:val="7"/>
          <w:w w:val="110"/>
          <w:sz w:val="18"/>
        </w:rPr>
        <w:t> </w:t>
      </w:r>
      <w:r>
        <w:rPr>
          <w:color w:val="231F20"/>
          <w:w w:val="110"/>
          <w:sz w:val="18"/>
        </w:rPr>
        <w:t>the</w:t>
      </w:r>
      <w:r>
        <w:rPr>
          <w:color w:val="231F20"/>
          <w:spacing w:val="7"/>
          <w:w w:val="110"/>
          <w:sz w:val="18"/>
        </w:rPr>
        <w:t> </w:t>
      </w:r>
      <w:r>
        <w:rPr>
          <w:color w:val="231F20"/>
          <w:w w:val="110"/>
          <w:sz w:val="18"/>
        </w:rPr>
        <w:t>expense</w:t>
      </w:r>
      <w:r>
        <w:rPr>
          <w:color w:val="231F20"/>
          <w:spacing w:val="7"/>
          <w:w w:val="110"/>
          <w:sz w:val="18"/>
        </w:rPr>
        <w:t> </w:t>
      </w:r>
      <w:r>
        <w:rPr>
          <w:color w:val="231F20"/>
          <w:w w:val="110"/>
          <w:sz w:val="18"/>
        </w:rPr>
        <w:t>of</w:t>
      </w:r>
      <w:r>
        <w:rPr>
          <w:color w:val="231F20"/>
          <w:spacing w:val="6"/>
          <w:w w:val="110"/>
          <w:sz w:val="18"/>
        </w:rPr>
        <w:t> </w:t>
      </w:r>
      <w:r>
        <w:rPr>
          <w:color w:val="231F20"/>
          <w:w w:val="110"/>
          <w:sz w:val="18"/>
        </w:rPr>
        <w:t>someone</w:t>
      </w:r>
      <w:r>
        <w:rPr>
          <w:color w:val="231F20"/>
          <w:spacing w:val="7"/>
          <w:w w:val="110"/>
          <w:sz w:val="18"/>
        </w:rPr>
        <w:t> </w:t>
      </w:r>
      <w:r>
        <w:rPr>
          <w:color w:val="231F20"/>
          <w:w w:val="110"/>
          <w:sz w:val="18"/>
        </w:rPr>
        <w:t>else’s</w:t>
      </w:r>
      <w:r>
        <w:rPr>
          <w:color w:val="231F20"/>
          <w:spacing w:val="7"/>
          <w:w w:val="110"/>
          <w:sz w:val="18"/>
        </w:rPr>
        <w:t> </w:t>
      </w:r>
      <w:r>
        <w:rPr>
          <w:color w:val="231F20"/>
          <w:w w:val="110"/>
          <w:sz w:val="18"/>
        </w:rPr>
        <w:t>losses.</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20"/>
        </w:numPr>
        <w:tabs>
          <w:tab w:pos="1233" w:val="left" w:leader="none"/>
          <w:tab w:pos="1234" w:val="left" w:leader="none"/>
        </w:tabs>
        <w:spacing w:line="273" w:lineRule="auto" w:before="101" w:after="0"/>
        <w:ind w:left="513" w:right="1804" w:firstLine="0"/>
        <w:jc w:val="left"/>
        <w:rPr>
          <w:sz w:val="18"/>
        </w:rPr>
      </w:pPr>
      <w:r>
        <w:rPr>
          <w:color w:val="231F20"/>
          <w:w w:val="110"/>
          <w:sz w:val="18"/>
        </w:rPr>
        <w:t>Some would also contend that gambling is not </w:t>
      </w:r>
      <w:r>
        <w:rPr>
          <w:i/>
          <w:color w:val="231F20"/>
          <w:w w:val="110"/>
          <w:sz w:val="18"/>
        </w:rPr>
        <w:t>malum in se </w:t>
      </w:r>
      <w:r>
        <w:rPr>
          <w:color w:val="231F20"/>
          <w:spacing w:val="-4"/>
          <w:w w:val="110"/>
          <w:sz w:val="18"/>
        </w:rPr>
        <w:t>(not </w:t>
      </w:r>
      <w:r>
        <w:rPr>
          <w:color w:val="231F20"/>
          <w:w w:val="110"/>
          <w:sz w:val="18"/>
        </w:rPr>
        <w:t>bad in </w:t>
      </w:r>
      <w:r>
        <w:rPr>
          <w:color w:val="231F20"/>
          <w:spacing w:val="2"/>
          <w:w w:val="110"/>
          <w:sz w:val="18"/>
        </w:rPr>
        <w:t>itself) </w:t>
      </w:r>
      <w:r>
        <w:rPr>
          <w:color w:val="231F20"/>
          <w:w w:val="110"/>
          <w:sz w:val="18"/>
        </w:rPr>
        <w:t>– that it is a legitimate consumer pursuit. This means that </w:t>
      </w:r>
      <w:r>
        <w:rPr>
          <w:color w:val="231F20"/>
          <w:spacing w:val="2"/>
          <w:w w:val="110"/>
          <w:sz w:val="18"/>
        </w:rPr>
        <w:t>freedom </w:t>
      </w:r>
      <w:r>
        <w:rPr>
          <w:color w:val="231F20"/>
          <w:w w:val="110"/>
          <w:sz w:val="18"/>
        </w:rPr>
        <w:t>of will requires a right to freely choose to participate; to say otherwise would be to </w:t>
      </w:r>
      <w:r>
        <w:rPr>
          <w:color w:val="231F20"/>
          <w:spacing w:val="2"/>
          <w:w w:val="110"/>
          <w:sz w:val="18"/>
        </w:rPr>
        <w:t>interfere </w:t>
      </w:r>
      <w:r>
        <w:rPr>
          <w:color w:val="231F20"/>
          <w:w w:val="110"/>
          <w:sz w:val="18"/>
        </w:rPr>
        <w:t>with consumer sovereignty, and could smack of paternalism. </w:t>
      </w:r>
      <w:r>
        <w:rPr>
          <w:color w:val="231F20"/>
          <w:spacing w:val="2"/>
          <w:w w:val="110"/>
          <w:sz w:val="18"/>
        </w:rPr>
        <w:t>Others </w:t>
      </w:r>
      <w:r>
        <w:rPr>
          <w:color w:val="231F20"/>
          <w:w w:val="110"/>
          <w:sz w:val="18"/>
        </w:rPr>
        <w:t>counter that </w:t>
      </w:r>
      <w:r>
        <w:rPr>
          <w:color w:val="231F20"/>
          <w:spacing w:val="2"/>
          <w:w w:val="110"/>
          <w:sz w:val="18"/>
        </w:rPr>
        <w:t>freedom carries </w:t>
      </w:r>
      <w:r>
        <w:rPr>
          <w:color w:val="231F20"/>
          <w:w w:val="110"/>
          <w:sz w:val="18"/>
        </w:rPr>
        <w:t>with  it a responsibility that attends to the common good and the well being of</w:t>
      </w:r>
      <w:r>
        <w:rPr>
          <w:color w:val="231F20"/>
          <w:spacing w:val="68"/>
          <w:w w:val="110"/>
          <w:sz w:val="18"/>
        </w:rPr>
        <w:t> </w:t>
      </w:r>
      <w:r>
        <w:rPr>
          <w:color w:val="231F20"/>
          <w:w w:val="110"/>
          <w:sz w:val="18"/>
        </w:rPr>
        <w:t>all.</w:t>
      </w:r>
    </w:p>
    <w:p>
      <w:pPr>
        <w:pStyle w:val="BodyText"/>
        <w:spacing w:before="9"/>
        <w:rPr>
          <w:sz w:val="20"/>
        </w:rPr>
      </w:pPr>
    </w:p>
    <w:p>
      <w:pPr>
        <w:pStyle w:val="ListParagraph"/>
        <w:numPr>
          <w:ilvl w:val="1"/>
          <w:numId w:val="120"/>
        </w:numPr>
        <w:tabs>
          <w:tab w:pos="1233" w:val="left" w:leader="none"/>
          <w:tab w:pos="1234" w:val="left" w:leader="none"/>
        </w:tabs>
        <w:spacing w:line="273" w:lineRule="auto" w:before="1" w:after="0"/>
        <w:ind w:left="513" w:right="2021" w:firstLine="0"/>
        <w:jc w:val="left"/>
        <w:rPr>
          <w:sz w:val="18"/>
        </w:rPr>
      </w:pPr>
      <w:r>
        <w:rPr>
          <w:color w:val="231F20"/>
          <w:w w:val="110"/>
          <w:sz w:val="18"/>
        </w:rPr>
        <w:t>Some contend that to sanction applications for </w:t>
      </w:r>
      <w:r>
        <w:rPr>
          <w:color w:val="231F20"/>
          <w:spacing w:val="3"/>
          <w:w w:val="110"/>
          <w:sz w:val="18"/>
        </w:rPr>
        <w:t>Lottery </w:t>
      </w:r>
      <w:r>
        <w:rPr>
          <w:color w:val="231F20"/>
          <w:w w:val="110"/>
          <w:sz w:val="18"/>
        </w:rPr>
        <w:t>funding, whilst at the same time discouraging church </w:t>
      </w:r>
      <w:r>
        <w:rPr>
          <w:color w:val="231F20"/>
          <w:spacing w:val="2"/>
          <w:w w:val="110"/>
          <w:sz w:val="18"/>
        </w:rPr>
        <w:t>members from </w:t>
      </w:r>
      <w:r>
        <w:rPr>
          <w:color w:val="231F20"/>
          <w:w w:val="110"/>
          <w:sz w:val="18"/>
        </w:rPr>
        <w:t>buying </w:t>
      </w:r>
      <w:r>
        <w:rPr>
          <w:color w:val="231F20"/>
          <w:spacing w:val="3"/>
          <w:w w:val="110"/>
          <w:sz w:val="18"/>
        </w:rPr>
        <w:t>Lottery </w:t>
      </w:r>
      <w:r>
        <w:rPr>
          <w:color w:val="231F20"/>
          <w:w w:val="110"/>
          <w:sz w:val="18"/>
        </w:rPr>
        <w:t>tickets is hypocritical. </w:t>
      </w:r>
      <w:r>
        <w:rPr>
          <w:color w:val="231F20"/>
          <w:spacing w:val="-3"/>
          <w:w w:val="110"/>
          <w:sz w:val="18"/>
        </w:rPr>
        <w:t>However, </w:t>
      </w:r>
      <w:r>
        <w:rPr>
          <w:color w:val="231F20"/>
          <w:w w:val="110"/>
          <w:sz w:val="18"/>
        </w:rPr>
        <w:t>it might be said to be equally hypocritical to visit a theatre, museum or </w:t>
      </w:r>
      <w:r>
        <w:rPr>
          <w:color w:val="231F20"/>
          <w:spacing w:val="3"/>
          <w:w w:val="110"/>
          <w:sz w:val="18"/>
        </w:rPr>
        <w:t>art </w:t>
      </w:r>
      <w:r>
        <w:rPr>
          <w:color w:val="231F20"/>
          <w:w w:val="110"/>
          <w:sz w:val="18"/>
        </w:rPr>
        <w:t>gallery, or attend the </w:t>
      </w:r>
      <w:r>
        <w:rPr>
          <w:color w:val="231F20"/>
          <w:spacing w:val="-4"/>
          <w:w w:val="110"/>
          <w:sz w:val="18"/>
        </w:rPr>
        <w:t>2012 </w:t>
      </w:r>
      <w:r>
        <w:rPr>
          <w:color w:val="231F20"/>
          <w:w w:val="110"/>
          <w:sz w:val="18"/>
        </w:rPr>
        <w:t>Olympic Games </w:t>
      </w:r>
      <w:r>
        <w:rPr>
          <w:color w:val="231F20"/>
          <w:spacing w:val="-5"/>
          <w:w w:val="110"/>
          <w:sz w:val="18"/>
        </w:rPr>
        <w:t>(all </w:t>
      </w:r>
      <w:r>
        <w:rPr>
          <w:color w:val="231F20"/>
          <w:w w:val="110"/>
          <w:sz w:val="18"/>
        </w:rPr>
        <w:t>of which are benefiting </w:t>
      </w:r>
      <w:r>
        <w:rPr>
          <w:color w:val="231F20"/>
          <w:spacing w:val="2"/>
          <w:w w:val="110"/>
          <w:sz w:val="18"/>
        </w:rPr>
        <w:t>from </w:t>
      </w:r>
      <w:r>
        <w:rPr>
          <w:color w:val="231F20"/>
          <w:spacing w:val="3"/>
          <w:w w:val="110"/>
          <w:sz w:val="18"/>
        </w:rPr>
        <w:t>Lottery </w:t>
      </w:r>
      <w:r>
        <w:rPr>
          <w:color w:val="231F20"/>
          <w:w w:val="110"/>
          <w:sz w:val="18"/>
        </w:rPr>
        <w:t>funding) whilst resisting an approach for similar funding to maintain a historic church building. This, perhaps, illustrates the extent to which the </w:t>
      </w:r>
      <w:r>
        <w:rPr>
          <w:color w:val="231F20"/>
          <w:spacing w:val="3"/>
          <w:w w:val="110"/>
          <w:sz w:val="18"/>
        </w:rPr>
        <w:t>Lottery </w:t>
      </w:r>
      <w:r>
        <w:rPr>
          <w:color w:val="231F20"/>
          <w:w w:val="110"/>
          <w:sz w:val="18"/>
        </w:rPr>
        <w:t>has become </w:t>
      </w:r>
      <w:r>
        <w:rPr>
          <w:color w:val="231F20"/>
          <w:spacing w:val="2"/>
          <w:w w:val="110"/>
          <w:sz w:val="18"/>
        </w:rPr>
        <w:t>part </w:t>
      </w:r>
      <w:r>
        <w:rPr>
          <w:color w:val="231F20"/>
          <w:w w:val="110"/>
          <w:sz w:val="18"/>
        </w:rPr>
        <w:t>of national life.</w:t>
      </w:r>
    </w:p>
    <w:p>
      <w:pPr>
        <w:pStyle w:val="BodyText"/>
        <w:spacing w:before="11"/>
        <w:rPr>
          <w:sz w:val="20"/>
        </w:rPr>
      </w:pPr>
    </w:p>
    <w:p>
      <w:pPr>
        <w:pStyle w:val="ListParagraph"/>
        <w:numPr>
          <w:ilvl w:val="1"/>
          <w:numId w:val="120"/>
        </w:numPr>
        <w:tabs>
          <w:tab w:pos="1233" w:val="left" w:leader="none"/>
          <w:tab w:pos="1234" w:val="left" w:leader="none"/>
        </w:tabs>
        <w:spacing w:line="273" w:lineRule="auto" w:before="0" w:after="0"/>
        <w:ind w:left="513" w:right="1927" w:firstLine="0"/>
        <w:jc w:val="left"/>
        <w:rPr>
          <w:sz w:val="18"/>
        </w:rPr>
      </w:pPr>
      <w:r>
        <w:rPr>
          <w:color w:val="231F20"/>
          <w:w w:val="110"/>
          <w:sz w:val="18"/>
        </w:rPr>
        <w:t>For some, put </w:t>
      </w:r>
      <w:r>
        <w:rPr>
          <w:color w:val="231F20"/>
          <w:spacing w:val="-3"/>
          <w:w w:val="110"/>
          <w:sz w:val="18"/>
        </w:rPr>
        <w:t>simply, </w:t>
      </w:r>
      <w:r>
        <w:rPr>
          <w:color w:val="231F20"/>
          <w:w w:val="110"/>
          <w:sz w:val="18"/>
        </w:rPr>
        <w:t>the </w:t>
      </w:r>
      <w:r>
        <w:rPr>
          <w:color w:val="231F20"/>
          <w:spacing w:val="3"/>
          <w:w w:val="110"/>
          <w:sz w:val="18"/>
        </w:rPr>
        <w:t>Lottery </w:t>
      </w:r>
      <w:r>
        <w:rPr>
          <w:color w:val="231F20"/>
          <w:w w:val="110"/>
          <w:sz w:val="18"/>
        </w:rPr>
        <w:t>is gambling and gambling remains a social evil. The United Reformed Church, in common with other Free Churches, has for long recognised that gambling can be harmful, and can blight the lives both of gamblers   and their family members. Although </w:t>
      </w:r>
      <w:r>
        <w:rPr>
          <w:color w:val="231F20"/>
          <w:spacing w:val="2"/>
          <w:w w:val="110"/>
          <w:sz w:val="18"/>
        </w:rPr>
        <w:t>research </w:t>
      </w:r>
      <w:r>
        <w:rPr>
          <w:color w:val="231F20"/>
          <w:w w:val="110"/>
          <w:sz w:val="18"/>
        </w:rPr>
        <w:t>suggests that the </w:t>
      </w:r>
      <w:r>
        <w:rPr>
          <w:color w:val="231F20"/>
          <w:spacing w:val="3"/>
          <w:w w:val="110"/>
          <w:sz w:val="18"/>
        </w:rPr>
        <w:t>Lottery </w:t>
      </w:r>
      <w:r>
        <w:rPr>
          <w:color w:val="231F20"/>
          <w:w w:val="110"/>
          <w:sz w:val="18"/>
        </w:rPr>
        <w:t>is played fairly equally </w:t>
      </w:r>
      <w:r>
        <w:rPr>
          <w:color w:val="231F20"/>
          <w:spacing w:val="2"/>
          <w:w w:val="110"/>
          <w:sz w:val="18"/>
        </w:rPr>
        <w:t>across </w:t>
      </w:r>
      <w:r>
        <w:rPr>
          <w:color w:val="231F20"/>
          <w:w w:val="110"/>
          <w:sz w:val="18"/>
        </w:rPr>
        <w:t>social classes, some spend money they cannot </w:t>
      </w:r>
      <w:r>
        <w:rPr>
          <w:color w:val="231F20"/>
          <w:spacing w:val="2"/>
          <w:w w:val="110"/>
          <w:sz w:val="18"/>
        </w:rPr>
        <w:t>afford </w:t>
      </w:r>
      <w:r>
        <w:rPr>
          <w:color w:val="231F20"/>
          <w:w w:val="110"/>
          <w:sz w:val="18"/>
        </w:rPr>
        <w:t>to spend, partly  for fun, but also, sometimes, in pursuit of the big win that will solve their financial problems. Instead, they may be driven </w:t>
      </w:r>
      <w:r>
        <w:rPr>
          <w:color w:val="231F20"/>
          <w:spacing w:val="2"/>
          <w:w w:val="110"/>
          <w:sz w:val="18"/>
        </w:rPr>
        <w:t>further </w:t>
      </w:r>
      <w:r>
        <w:rPr>
          <w:color w:val="231F20"/>
          <w:w w:val="110"/>
          <w:sz w:val="18"/>
        </w:rPr>
        <w:t>into </w:t>
      </w:r>
      <w:r>
        <w:rPr>
          <w:color w:val="231F20"/>
          <w:spacing w:val="2"/>
          <w:w w:val="110"/>
          <w:sz w:val="18"/>
        </w:rPr>
        <w:t>poverty </w:t>
      </w:r>
      <w:r>
        <w:rPr>
          <w:color w:val="231F20"/>
          <w:w w:val="110"/>
          <w:sz w:val="18"/>
        </w:rPr>
        <w:t>and</w:t>
      </w:r>
      <w:r>
        <w:rPr>
          <w:color w:val="231F20"/>
          <w:spacing w:val="28"/>
          <w:w w:val="110"/>
          <w:sz w:val="18"/>
        </w:rPr>
        <w:t> </w:t>
      </w:r>
      <w:r>
        <w:rPr>
          <w:color w:val="231F20"/>
          <w:w w:val="110"/>
          <w:sz w:val="18"/>
        </w:rPr>
        <w:t>despair.</w:t>
      </w:r>
    </w:p>
    <w:p>
      <w:pPr>
        <w:pStyle w:val="BodyText"/>
        <w:spacing w:before="11"/>
        <w:rPr>
          <w:sz w:val="20"/>
        </w:rPr>
      </w:pPr>
    </w:p>
    <w:p>
      <w:pPr>
        <w:pStyle w:val="ListParagraph"/>
        <w:numPr>
          <w:ilvl w:val="1"/>
          <w:numId w:val="120"/>
        </w:numPr>
        <w:tabs>
          <w:tab w:pos="1233" w:val="left" w:leader="none"/>
          <w:tab w:pos="1234" w:val="left" w:leader="none"/>
        </w:tabs>
        <w:spacing w:line="273" w:lineRule="auto" w:before="0" w:after="0"/>
        <w:ind w:left="513" w:right="1957" w:firstLine="0"/>
        <w:jc w:val="left"/>
        <w:rPr>
          <w:sz w:val="18"/>
        </w:rPr>
      </w:pPr>
      <w:r>
        <w:rPr>
          <w:color w:val="231F20"/>
          <w:w w:val="110"/>
          <w:sz w:val="18"/>
        </w:rPr>
        <w:t>Whilst many see a small sum spent on the </w:t>
      </w:r>
      <w:r>
        <w:rPr>
          <w:color w:val="231F20"/>
          <w:spacing w:val="3"/>
          <w:w w:val="110"/>
          <w:sz w:val="18"/>
        </w:rPr>
        <w:t>Lottery </w:t>
      </w:r>
      <w:r>
        <w:rPr>
          <w:color w:val="231F20"/>
          <w:w w:val="110"/>
          <w:sz w:val="18"/>
        </w:rPr>
        <w:t>as harmless enjoyment, and say that the </w:t>
      </w:r>
      <w:r>
        <w:rPr>
          <w:color w:val="231F20"/>
          <w:spacing w:val="3"/>
          <w:w w:val="110"/>
          <w:sz w:val="18"/>
        </w:rPr>
        <w:t>Lottery </w:t>
      </w:r>
      <w:r>
        <w:rPr>
          <w:color w:val="231F20"/>
          <w:w w:val="110"/>
          <w:sz w:val="18"/>
        </w:rPr>
        <w:t>may be less readily addictive, and </w:t>
      </w:r>
      <w:r>
        <w:rPr>
          <w:color w:val="231F20"/>
          <w:spacing w:val="2"/>
          <w:w w:val="110"/>
          <w:sz w:val="18"/>
        </w:rPr>
        <w:t>therefore </w:t>
      </w:r>
      <w:r>
        <w:rPr>
          <w:color w:val="231F20"/>
          <w:w w:val="110"/>
          <w:sz w:val="18"/>
        </w:rPr>
        <w:t>less dangerous than some other forms of gambling, it may nevertheless normalise gambling for those who </w:t>
      </w:r>
      <w:r>
        <w:rPr>
          <w:color w:val="231F20"/>
          <w:spacing w:val="-4"/>
          <w:w w:val="110"/>
          <w:sz w:val="18"/>
        </w:rPr>
        <w:t>play. </w:t>
      </w:r>
      <w:r>
        <w:rPr>
          <w:color w:val="231F20"/>
          <w:w w:val="110"/>
          <w:sz w:val="18"/>
        </w:rPr>
        <w:t>For some it </w:t>
      </w:r>
      <w:r>
        <w:rPr>
          <w:color w:val="231F20"/>
          <w:spacing w:val="2"/>
          <w:w w:val="110"/>
          <w:sz w:val="18"/>
        </w:rPr>
        <w:t>becomes </w:t>
      </w:r>
      <w:r>
        <w:rPr>
          <w:color w:val="231F20"/>
          <w:w w:val="110"/>
          <w:sz w:val="18"/>
        </w:rPr>
        <w:t>an addiction, which disrupts or destroys family life, and  leads to debt, crime, unemployment, homelessness and mental ill-health. A Gambling Prevalence Survey in 2000 estimated that there could be up to 350,000</w:t>
      </w:r>
      <w:r>
        <w:rPr>
          <w:color w:val="231F20"/>
          <w:spacing w:val="10"/>
          <w:w w:val="110"/>
          <w:sz w:val="18"/>
        </w:rPr>
        <w:t> </w:t>
      </w:r>
      <w:r>
        <w:rPr>
          <w:color w:val="231F20"/>
          <w:w w:val="110"/>
          <w:sz w:val="18"/>
        </w:rPr>
        <w:t>problem</w:t>
      </w:r>
    </w:p>
    <w:p>
      <w:pPr>
        <w:pStyle w:val="BodyText"/>
        <w:spacing w:line="273" w:lineRule="auto" w:before="4"/>
        <w:ind w:left="513" w:right="1791"/>
      </w:pPr>
      <w:r>
        <w:rPr>
          <w:color w:val="231F20"/>
          <w:w w:val="110"/>
        </w:rPr>
        <w:t>gamblers in Britain. A </w:t>
      </w:r>
      <w:r>
        <w:rPr>
          <w:color w:val="231F20"/>
          <w:spacing w:val="2"/>
          <w:w w:val="110"/>
        </w:rPr>
        <w:t>further </w:t>
      </w:r>
      <w:r>
        <w:rPr>
          <w:color w:val="231F20"/>
          <w:w w:val="110"/>
        </w:rPr>
        <w:t>Gambling Prevalence Study is to be published in 2007 (see www.gamblingcommission.gov.uk). </w:t>
      </w:r>
      <w:r>
        <w:rPr>
          <w:color w:val="231F20"/>
          <w:spacing w:val="2"/>
          <w:w w:val="110"/>
        </w:rPr>
        <w:t>Last </w:t>
      </w:r>
      <w:r>
        <w:rPr>
          <w:color w:val="231F20"/>
          <w:w w:val="110"/>
        </w:rPr>
        <w:t>year Britain spent about £53billion on gambling, 20 per cent more than eight years previously (see </w:t>
      </w:r>
      <w:hyperlink r:id="rId325">
        <w:r>
          <w:rPr>
            <w:color w:val="231F20"/>
            <w:w w:val="110"/>
          </w:rPr>
          <w:t>http://www.guardian.co.uk/gambling/</w:t>
        </w:r>
      </w:hyperlink>
      <w:r>
        <w:rPr>
          <w:color w:val="231F20"/>
          <w:w w:val="110"/>
        </w:rPr>
        <w:t> </w:t>
      </w:r>
      <w:r>
        <w:rPr>
          <w:color w:val="231F20"/>
          <w:spacing w:val="-3"/>
          <w:w w:val="110"/>
        </w:rPr>
        <w:t>story/0,,1827082,00.html).  </w:t>
      </w:r>
      <w:r>
        <w:rPr>
          <w:color w:val="231F20"/>
          <w:w w:val="110"/>
        </w:rPr>
        <w:t>Recent </w:t>
      </w:r>
      <w:r>
        <w:rPr>
          <w:color w:val="231F20"/>
          <w:spacing w:val="2"/>
          <w:w w:val="110"/>
        </w:rPr>
        <w:t>research </w:t>
      </w:r>
      <w:r>
        <w:rPr>
          <w:color w:val="231F20"/>
          <w:w w:val="110"/>
        </w:rPr>
        <w:t>by the BBC Panorama programme, suggested that 5.8 million people, many of them teenagers – visited internet gambling sites in one six month period during 2006. In 2005 20% of those calling the GamCare helpline had gambling debts of more than </w:t>
      </w:r>
      <w:r>
        <w:rPr>
          <w:color w:val="231F20"/>
          <w:spacing w:val="-3"/>
          <w:w w:val="110"/>
        </w:rPr>
        <w:t>£10,000 </w:t>
      </w:r>
      <w:r>
        <w:rPr>
          <w:color w:val="231F20"/>
          <w:w w:val="110"/>
        </w:rPr>
        <w:t>– some in excess of £100,000 (</w:t>
      </w:r>
      <w:hyperlink r:id="rId326">
        <w:r>
          <w:rPr>
            <w:color w:val="231F20"/>
            <w:w w:val="110"/>
          </w:rPr>
          <w:t>http://www.gamcare.org.uk/publications.php).</w:t>
        </w:r>
      </w:hyperlink>
    </w:p>
    <w:p>
      <w:pPr>
        <w:pStyle w:val="BodyText"/>
        <w:spacing w:before="12"/>
        <w:rPr>
          <w:sz w:val="20"/>
        </w:rPr>
      </w:pPr>
    </w:p>
    <w:p>
      <w:pPr>
        <w:pStyle w:val="ListParagraph"/>
        <w:numPr>
          <w:ilvl w:val="1"/>
          <w:numId w:val="120"/>
        </w:numPr>
        <w:tabs>
          <w:tab w:pos="1233" w:val="left" w:leader="none"/>
          <w:tab w:pos="1234" w:val="left" w:leader="none"/>
        </w:tabs>
        <w:spacing w:line="273" w:lineRule="auto" w:before="0" w:after="0"/>
        <w:ind w:left="513" w:right="1802" w:firstLine="0"/>
        <w:jc w:val="left"/>
        <w:rPr>
          <w:sz w:val="18"/>
        </w:rPr>
      </w:pPr>
      <w:r>
        <w:rPr>
          <w:color w:val="231F20"/>
          <w:w w:val="110"/>
          <w:sz w:val="18"/>
        </w:rPr>
        <w:t>Another approach has it that – however urgent the need to repair our buildings, or however convincing the argument about the evils of gambling – any decision should be based upon what we are about as the body of Christ or as the household of God.    The </w:t>
      </w:r>
      <w:r>
        <w:rPr>
          <w:i/>
          <w:color w:val="231F20"/>
          <w:w w:val="110"/>
          <w:sz w:val="18"/>
        </w:rPr>
        <w:t>oikonomia </w:t>
      </w:r>
      <w:r>
        <w:rPr>
          <w:color w:val="231F20"/>
          <w:w w:val="110"/>
          <w:sz w:val="18"/>
        </w:rPr>
        <w:t>(the economy) of God in Christ is an </w:t>
      </w:r>
      <w:r>
        <w:rPr>
          <w:color w:val="231F20"/>
          <w:spacing w:val="2"/>
          <w:w w:val="110"/>
          <w:sz w:val="18"/>
        </w:rPr>
        <w:t>offering </w:t>
      </w:r>
      <w:r>
        <w:rPr>
          <w:color w:val="231F20"/>
          <w:w w:val="110"/>
          <w:sz w:val="18"/>
        </w:rPr>
        <w:t>of abundant life in which all are able to participate. Full life, not chance or wealth, is the ultimate goal of the gospel by which we are called to</w:t>
      </w:r>
      <w:r>
        <w:rPr>
          <w:color w:val="231F20"/>
          <w:spacing w:val="6"/>
          <w:w w:val="110"/>
          <w:sz w:val="18"/>
        </w:rPr>
        <w:t> </w:t>
      </w:r>
      <w:r>
        <w:rPr>
          <w:color w:val="231F20"/>
          <w:w w:val="110"/>
          <w:sz w:val="18"/>
        </w:rPr>
        <w:t>live.</w:t>
      </w:r>
    </w:p>
    <w:p>
      <w:pPr>
        <w:pStyle w:val="BodyText"/>
        <w:rPr>
          <w:sz w:val="22"/>
        </w:rPr>
      </w:pPr>
    </w:p>
    <w:p>
      <w:pPr>
        <w:pStyle w:val="BodyText"/>
        <w:spacing w:before="4"/>
        <w:rPr>
          <w:sz w:val="19"/>
        </w:rPr>
      </w:pPr>
    </w:p>
    <w:p>
      <w:pPr>
        <w:pStyle w:val="Heading9"/>
        <w:numPr>
          <w:ilvl w:val="0"/>
          <w:numId w:val="120"/>
        </w:numPr>
        <w:tabs>
          <w:tab w:pos="1233" w:val="left" w:leader="none"/>
          <w:tab w:pos="1234" w:val="left" w:leader="none"/>
        </w:tabs>
        <w:spacing w:line="240" w:lineRule="auto" w:before="0" w:after="0"/>
        <w:ind w:left="1233" w:right="0" w:hanging="721"/>
        <w:jc w:val="left"/>
      </w:pPr>
      <w:r>
        <w:rPr>
          <w:color w:val="231F20"/>
          <w:w w:val="110"/>
        </w:rPr>
        <w:t>Theological</w:t>
      </w:r>
      <w:r>
        <w:rPr>
          <w:color w:val="231F20"/>
          <w:spacing w:val="-1"/>
          <w:w w:val="110"/>
        </w:rPr>
        <w:t> </w:t>
      </w:r>
      <w:r>
        <w:rPr>
          <w:color w:val="231F20"/>
          <w:w w:val="110"/>
        </w:rPr>
        <w:t>reflections</w:t>
      </w:r>
    </w:p>
    <w:p>
      <w:pPr>
        <w:pStyle w:val="ListParagraph"/>
        <w:numPr>
          <w:ilvl w:val="1"/>
          <w:numId w:val="120"/>
        </w:numPr>
        <w:tabs>
          <w:tab w:pos="1233" w:val="left" w:leader="none"/>
          <w:tab w:pos="1234" w:val="left" w:leader="none"/>
        </w:tabs>
        <w:spacing w:line="273" w:lineRule="auto" w:before="259" w:after="0"/>
        <w:ind w:left="513" w:right="1770" w:firstLine="0"/>
        <w:jc w:val="left"/>
        <w:rPr>
          <w:sz w:val="18"/>
        </w:rPr>
      </w:pPr>
      <w:r>
        <w:rPr>
          <w:color w:val="231F20"/>
          <w:w w:val="110"/>
          <w:sz w:val="18"/>
        </w:rPr>
        <w:t>One message </w:t>
      </w:r>
      <w:r>
        <w:rPr>
          <w:color w:val="231F20"/>
          <w:spacing w:val="-3"/>
          <w:w w:val="110"/>
          <w:sz w:val="18"/>
        </w:rPr>
        <w:t>that </w:t>
      </w:r>
      <w:r>
        <w:rPr>
          <w:color w:val="231F20"/>
          <w:w w:val="110"/>
          <w:sz w:val="18"/>
        </w:rPr>
        <w:t>the Lottery suggests is </w:t>
      </w:r>
      <w:r>
        <w:rPr>
          <w:color w:val="231F20"/>
          <w:spacing w:val="-3"/>
          <w:w w:val="110"/>
          <w:sz w:val="18"/>
        </w:rPr>
        <w:t>that </w:t>
      </w:r>
      <w:r>
        <w:rPr>
          <w:color w:val="231F20"/>
          <w:spacing w:val="-4"/>
          <w:w w:val="110"/>
          <w:sz w:val="18"/>
        </w:rPr>
        <w:t>life, </w:t>
      </w:r>
      <w:r>
        <w:rPr>
          <w:color w:val="231F20"/>
          <w:spacing w:val="-3"/>
          <w:w w:val="110"/>
          <w:sz w:val="18"/>
        </w:rPr>
        <w:t>work and living </w:t>
      </w:r>
      <w:r>
        <w:rPr>
          <w:color w:val="231F20"/>
          <w:w w:val="110"/>
          <w:sz w:val="18"/>
        </w:rPr>
        <w:t>is </w:t>
      </w:r>
      <w:r>
        <w:rPr>
          <w:color w:val="231F20"/>
          <w:spacing w:val="-3"/>
          <w:w w:val="110"/>
          <w:sz w:val="18"/>
        </w:rPr>
        <w:t>about chance. </w:t>
      </w:r>
      <w:r>
        <w:rPr>
          <w:color w:val="231F20"/>
          <w:w w:val="110"/>
          <w:sz w:val="18"/>
        </w:rPr>
        <w:t>As a </w:t>
      </w:r>
      <w:r>
        <w:rPr>
          <w:color w:val="231F20"/>
          <w:spacing w:val="-4"/>
          <w:w w:val="110"/>
          <w:sz w:val="18"/>
        </w:rPr>
        <w:t>national ritual, </w:t>
      </w:r>
      <w:r>
        <w:rPr>
          <w:color w:val="231F20"/>
          <w:spacing w:val="-3"/>
          <w:w w:val="110"/>
          <w:sz w:val="18"/>
        </w:rPr>
        <w:t>with </w:t>
      </w:r>
      <w:r>
        <w:rPr>
          <w:color w:val="231F20"/>
          <w:w w:val="110"/>
          <w:sz w:val="18"/>
        </w:rPr>
        <w:t>the symbol of crossed fingers </w:t>
      </w:r>
      <w:r>
        <w:rPr>
          <w:color w:val="231F20"/>
          <w:spacing w:val="-3"/>
          <w:w w:val="110"/>
          <w:sz w:val="18"/>
        </w:rPr>
        <w:t>ingrained in </w:t>
      </w:r>
      <w:r>
        <w:rPr>
          <w:color w:val="231F20"/>
          <w:w w:val="110"/>
          <w:sz w:val="18"/>
        </w:rPr>
        <w:t>the </w:t>
      </w:r>
      <w:r>
        <w:rPr>
          <w:color w:val="231F20"/>
          <w:spacing w:val="-4"/>
          <w:w w:val="110"/>
          <w:sz w:val="18"/>
        </w:rPr>
        <w:t>imagination, </w:t>
      </w:r>
      <w:r>
        <w:rPr>
          <w:color w:val="231F20"/>
          <w:w w:val="110"/>
          <w:sz w:val="18"/>
        </w:rPr>
        <w:t>the message of a superstitious </w:t>
      </w:r>
      <w:r>
        <w:rPr>
          <w:color w:val="231F20"/>
          <w:spacing w:val="-3"/>
          <w:w w:val="110"/>
          <w:sz w:val="18"/>
        </w:rPr>
        <w:t>dependence </w:t>
      </w:r>
      <w:r>
        <w:rPr>
          <w:color w:val="231F20"/>
          <w:w w:val="110"/>
          <w:sz w:val="18"/>
        </w:rPr>
        <w:t>on the </w:t>
      </w:r>
      <w:r>
        <w:rPr>
          <w:color w:val="231F20"/>
          <w:spacing w:val="-3"/>
          <w:w w:val="110"/>
          <w:sz w:val="18"/>
        </w:rPr>
        <w:t>economy </w:t>
      </w:r>
      <w:r>
        <w:rPr>
          <w:color w:val="231F20"/>
          <w:w w:val="110"/>
          <w:sz w:val="18"/>
        </w:rPr>
        <w:t>of the </w:t>
      </w:r>
      <w:r>
        <w:rPr>
          <w:color w:val="231F20"/>
          <w:spacing w:val="-4"/>
          <w:w w:val="110"/>
          <w:sz w:val="18"/>
        </w:rPr>
        <w:t>world, </w:t>
      </w:r>
      <w:r>
        <w:rPr>
          <w:color w:val="231F20"/>
          <w:spacing w:val="-3"/>
          <w:w w:val="110"/>
          <w:sz w:val="18"/>
        </w:rPr>
        <w:t>and chance, </w:t>
      </w:r>
      <w:r>
        <w:rPr>
          <w:color w:val="231F20"/>
          <w:w w:val="110"/>
          <w:sz w:val="18"/>
        </w:rPr>
        <w:t>rather </w:t>
      </w:r>
      <w:r>
        <w:rPr>
          <w:color w:val="231F20"/>
          <w:spacing w:val="-3"/>
          <w:w w:val="110"/>
          <w:sz w:val="18"/>
        </w:rPr>
        <w:t>than God, </w:t>
      </w:r>
      <w:r>
        <w:rPr>
          <w:color w:val="231F20"/>
          <w:w w:val="110"/>
          <w:sz w:val="18"/>
        </w:rPr>
        <w:t>is </w:t>
      </w:r>
      <w:r>
        <w:rPr>
          <w:color w:val="231F20"/>
          <w:spacing w:val="-3"/>
          <w:w w:val="110"/>
          <w:sz w:val="18"/>
        </w:rPr>
        <w:t>not </w:t>
      </w:r>
      <w:r>
        <w:rPr>
          <w:color w:val="231F20"/>
          <w:w w:val="110"/>
          <w:sz w:val="18"/>
        </w:rPr>
        <w:t>difficult to </w:t>
      </w:r>
      <w:r>
        <w:rPr>
          <w:color w:val="231F20"/>
          <w:spacing w:val="-3"/>
          <w:w w:val="110"/>
          <w:sz w:val="18"/>
        </w:rPr>
        <w:t>deduce. How </w:t>
      </w:r>
      <w:r>
        <w:rPr>
          <w:color w:val="231F20"/>
          <w:w w:val="110"/>
          <w:sz w:val="18"/>
        </w:rPr>
        <w:t>do </w:t>
      </w:r>
      <w:r>
        <w:rPr>
          <w:color w:val="231F20"/>
          <w:spacing w:val="-3"/>
          <w:w w:val="110"/>
          <w:sz w:val="18"/>
        </w:rPr>
        <w:t>we </w:t>
      </w:r>
      <w:r>
        <w:rPr>
          <w:color w:val="231F20"/>
          <w:w w:val="110"/>
          <w:sz w:val="18"/>
        </w:rPr>
        <w:t>respond to </w:t>
      </w:r>
      <w:r>
        <w:rPr>
          <w:color w:val="231F20"/>
          <w:spacing w:val="-5"/>
          <w:w w:val="110"/>
          <w:sz w:val="18"/>
        </w:rPr>
        <w:t>this? </w:t>
      </w:r>
      <w:r>
        <w:rPr>
          <w:color w:val="231F20"/>
          <w:w w:val="110"/>
          <w:sz w:val="18"/>
        </w:rPr>
        <w:t>From a </w:t>
      </w:r>
      <w:r>
        <w:rPr>
          <w:color w:val="231F20"/>
          <w:spacing w:val="-3"/>
          <w:w w:val="110"/>
          <w:sz w:val="18"/>
        </w:rPr>
        <w:t>biblical/theological </w:t>
      </w:r>
      <w:r>
        <w:rPr>
          <w:color w:val="231F20"/>
          <w:w w:val="110"/>
          <w:sz w:val="18"/>
        </w:rPr>
        <w:t>perspective can </w:t>
      </w:r>
      <w:r>
        <w:rPr>
          <w:color w:val="231F20"/>
          <w:spacing w:val="-3"/>
          <w:w w:val="110"/>
          <w:sz w:val="18"/>
        </w:rPr>
        <w:t>we </w:t>
      </w:r>
      <w:r>
        <w:rPr>
          <w:color w:val="231F20"/>
          <w:w w:val="110"/>
          <w:sz w:val="18"/>
        </w:rPr>
        <w:t>discern </w:t>
      </w:r>
      <w:r>
        <w:rPr>
          <w:color w:val="231F20"/>
          <w:spacing w:val="-3"/>
          <w:w w:val="110"/>
          <w:sz w:val="18"/>
        </w:rPr>
        <w:t>possible </w:t>
      </w:r>
      <w:r>
        <w:rPr>
          <w:color w:val="231F20"/>
          <w:spacing w:val="-4"/>
          <w:w w:val="110"/>
          <w:sz w:val="18"/>
        </w:rPr>
        <w:t>guidelines, </w:t>
      </w:r>
      <w:r>
        <w:rPr>
          <w:color w:val="231F20"/>
          <w:w w:val="110"/>
          <w:sz w:val="18"/>
        </w:rPr>
        <w:t>as there is no </w:t>
      </w:r>
      <w:r>
        <w:rPr>
          <w:color w:val="231F20"/>
          <w:spacing w:val="-3"/>
          <w:w w:val="110"/>
          <w:sz w:val="18"/>
        </w:rPr>
        <w:t>Christian blueprint </w:t>
      </w:r>
      <w:r>
        <w:rPr>
          <w:color w:val="231F20"/>
          <w:w w:val="110"/>
          <w:sz w:val="18"/>
        </w:rPr>
        <w:t>to</w:t>
      </w:r>
      <w:r>
        <w:rPr>
          <w:color w:val="231F20"/>
          <w:spacing w:val="-36"/>
          <w:w w:val="110"/>
          <w:sz w:val="18"/>
        </w:rPr>
        <w:t> </w:t>
      </w:r>
      <w:r>
        <w:rPr>
          <w:color w:val="231F20"/>
          <w:spacing w:val="-5"/>
          <w:w w:val="110"/>
          <w:sz w:val="18"/>
        </w:rPr>
        <w:t>guide?</w:t>
      </w:r>
    </w:p>
    <w:p>
      <w:pPr>
        <w:pStyle w:val="BodyText"/>
        <w:spacing w:before="9"/>
        <w:rPr>
          <w:sz w:val="20"/>
        </w:rPr>
      </w:pPr>
    </w:p>
    <w:p>
      <w:pPr>
        <w:pStyle w:val="ListParagraph"/>
        <w:numPr>
          <w:ilvl w:val="1"/>
          <w:numId w:val="120"/>
        </w:numPr>
        <w:tabs>
          <w:tab w:pos="1233" w:val="left" w:leader="none"/>
          <w:tab w:pos="1234" w:val="left" w:leader="none"/>
        </w:tabs>
        <w:spacing w:line="273" w:lineRule="auto" w:before="1" w:after="0"/>
        <w:ind w:left="513" w:right="2148" w:firstLine="0"/>
        <w:jc w:val="left"/>
        <w:rPr>
          <w:sz w:val="18"/>
        </w:rPr>
      </w:pPr>
      <w:r>
        <w:rPr>
          <w:color w:val="231F20"/>
          <w:w w:val="110"/>
          <w:sz w:val="18"/>
        </w:rPr>
        <w:t>Our baptism in Christ demands that we lead godly </w:t>
      </w:r>
      <w:r>
        <w:rPr>
          <w:color w:val="231F20"/>
          <w:spacing w:val="-3"/>
          <w:w w:val="110"/>
          <w:sz w:val="18"/>
        </w:rPr>
        <w:t>lives, </w:t>
      </w:r>
      <w:r>
        <w:rPr>
          <w:color w:val="231F20"/>
          <w:w w:val="110"/>
          <w:sz w:val="18"/>
        </w:rPr>
        <w:t>bearing witness to our common faith in the “God in Christ” economy </w:t>
      </w:r>
      <w:r>
        <w:rPr>
          <w:color w:val="231F20"/>
          <w:spacing w:val="-7"/>
          <w:w w:val="110"/>
          <w:sz w:val="18"/>
        </w:rPr>
        <w:t>(Phil.1:27). </w:t>
      </w:r>
      <w:r>
        <w:rPr>
          <w:color w:val="231F20"/>
          <w:w w:val="110"/>
          <w:sz w:val="18"/>
        </w:rPr>
        <w:t>It can be contended that  the Lottery </w:t>
      </w:r>
      <w:r>
        <w:rPr>
          <w:color w:val="231F20"/>
          <w:spacing w:val="-3"/>
          <w:w w:val="110"/>
          <w:sz w:val="18"/>
        </w:rPr>
        <w:t>may </w:t>
      </w:r>
      <w:r>
        <w:rPr>
          <w:color w:val="231F20"/>
          <w:w w:val="110"/>
          <w:sz w:val="18"/>
        </w:rPr>
        <w:t>lead us </w:t>
      </w:r>
      <w:r>
        <w:rPr>
          <w:color w:val="231F20"/>
          <w:spacing w:val="-3"/>
          <w:w w:val="110"/>
          <w:sz w:val="18"/>
        </w:rPr>
        <w:t>away </w:t>
      </w:r>
      <w:r>
        <w:rPr>
          <w:color w:val="231F20"/>
          <w:w w:val="110"/>
          <w:sz w:val="18"/>
        </w:rPr>
        <w:t>from godly lives as it promotes the sins of greed and covetousness – the obsessive desire for material </w:t>
      </w:r>
      <w:r>
        <w:rPr>
          <w:color w:val="231F20"/>
          <w:spacing w:val="-3"/>
          <w:w w:val="110"/>
          <w:sz w:val="18"/>
        </w:rPr>
        <w:t>gain, </w:t>
      </w:r>
      <w:r>
        <w:rPr>
          <w:color w:val="231F20"/>
          <w:w w:val="110"/>
          <w:sz w:val="18"/>
        </w:rPr>
        <w:t>motivated by images of great wealth. The tendency towards </w:t>
      </w:r>
      <w:r>
        <w:rPr>
          <w:i/>
          <w:color w:val="231F20"/>
          <w:w w:val="110"/>
          <w:sz w:val="18"/>
        </w:rPr>
        <w:t>pleonexia </w:t>
      </w:r>
      <w:r>
        <w:rPr>
          <w:color w:val="231F20"/>
          <w:spacing w:val="-4"/>
          <w:w w:val="110"/>
          <w:sz w:val="18"/>
        </w:rPr>
        <w:t>(annexing </w:t>
      </w:r>
      <w:r>
        <w:rPr>
          <w:color w:val="231F20"/>
          <w:w w:val="110"/>
          <w:sz w:val="18"/>
        </w:rPr>
        <w:t>what does not belong to </w:t>
      </w:r>
      <w:r>
        <w:rPr>
          <w:color w:val="231F20"/>
          <w:spacing w:val="-5"/>
          <w:w w:val="110"/>
          <w:sz w:val="18"/>
        </w:rPr>
        <w:t>us</w:t>
      </w:r>
      <w:r>
        <w:rPr>
          <w:i/>
          <w:color w:val="231F20"/>
          <w:spacing w:val="-5"/>
          <w:w w:val="110"/>
          <w:sz w:val="18"/>
        </w:rPr>
        <w:t>)</w:t>
      </w:r>
      <w:r>
        <w:rPr>
          <w:i/>
          <w:color w:val="231F20"/>
          <w:spacing w:val="-3"/>
          <w:w w:val="110"/>
          <w:sz w:val="18"/>
        </w:rPr>
        <w:t> </w:t>
      </w:r>
      <w:r>
        <w:rPr>
          <w:color w:val="231F20"/>
          <w:w w:val="110"/>
          <w:sz w:val="18"/>
        </w:rPr>
        <w:t>runs</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BodyText"/>
        <w:spacing w:line="273" w:lineRule="auto" w:before="101"/>
        <w:ind w:left="1080" w:right="1205"/>
      </w:pPr>
      <w:r>
        <w:rPr>
          <w:color w:val="231F20"/>
          <w:w w:val="110"/>
        </w:rPr>
        <w:t>counter to God’s liturgy of abundance for all. This can lead to a misdirection of these gifts for selfish means and ultimately idolatry, and a failing to live out our responsibilities as good stewards of what God has given us.</w:t>
      </w:r>
    </w:p>
    <w:p>
      <w:pPr>
        <w:pStyle w:val="BodyText"/>
        <w:spacing w:before="8"/>
        <w:rPr>
          <w:sz w:val="20"/>
        </w:rPr>
      </w:pPr>
    </w:p>
    <w:p>
      <w:pPr>
        <w:pStyle w:val="ListParagraph"/>
        <w:numPr>
          <w:ilvl w:val="1"/>
          <w:numId w:val="120"/>
        </w:numPr>
        <w:tabs>
          <w:tab w:pos="1801" w:val="left" w:leader="none"/>
          <w:tab w:pos="1802" w:val="left" w:leader="none"/>
        </w:tabs>
        <w:spacing w:line="273" w:lineRule="auto" w:before="0" w:after="0"/>
        <w:ind w:left="1080" w:right="1216" w:firstLine="0"/>
        <w:jc w:val="left"/>
        <w:rPr>
          <w:sz w:val="18"/>
        </w:rPr>
      </w:pPr>
      <w:r>
        <w:rPr>
          <w:color w:val="231F20"/>
          <w:w w:val="110"/>
          <w:sz w:val="18"/>
        </w:rPr>
        <w:t>Involvement in a game of chance may also be inconsistent with trust in God’s providence. The </w:t>
      </w:r>
      <w:r>
        <w:rPr>
          <w:color w:val="231F20"/>
          <w:spacing w:val="3"/>
          <w:w w:val="110"/>
          <w:sz w:val="18"/>
        </w:rPr>
        <w:t>Lottery </w:t>
      </w:r>
      <w:r>
        <w:rPr>
          <w:color w:val="231F20"/>
          <w:w w:val="110"/>
          <w:sz w:val="18"/>
        </w:rPr>
        <w:t>trivializes and attempts to manipulate God’s providence and  </w:t>
      </w:r>
      <w:r>
        <w:rPr>
          <w:color w:val="231F20"/>
          <w:spacing w:val="2"/>
          <w:w w:val="110"/>
          <w:sz w:val="18"/>
        </w:rPr>
        <w:t>care </w:t>
      </w:r>
      <w:r>
        <w:rPr>
          <w:color w:val="231F20"/>
          <w:w w:val="110"/>
          <w:sz w:val="18"/>
        </w:rPr>
        <w:t>of creation. A Reformed perspective, with its </w:t>
      </w:r>
      <w:r>
        <w:rPr>
          <w:color w:val="231F20"/>
          <w:spacing w:val="2"/>
          <w:w w:val="110"/>
          <w:sz w:val="18"/>
        </w:rPr>
        <w:t>strong </w:t>
      </w:r>
      <w:r>
        <w:rPr>
          <w:color w:val="231F20"/>
          <w:w w:val="110"/>
          <w:sz w:val="18"/>
        </w:rPr>
        <w:t>sense of God’s guidance of the world, ought to be particularly </w:t>
      </w:r>
      <w:r>
        <w:rPr>
          <w:color w:val="231F20"/>
          <w:spacing w:val="2"/>
          <w:w w:val="110"/>
          <w:sz w:val="18"/>
        </w:rPr>
        <w:t>critical </w:t>
      </w:r>
      <w:r>
        <w:rPr>
          <w:color w:val="231F20"/>
          <w:w w:val="110"/>
          <w:sz w:val="18"/>
        </w:rPr>
        <w:t>of activities that make God an accomplice in any economy of chance. In a situation of despair and hopelessness, the </w:t>
      </w:r>
      <w:r>
        <w:rPr>
          <w:color w:val="231F20"/>
          <w:spacing w:val="3"/>
          <w:w w:val="110"/>
          <w:sz w:val="18"/>
        </w:rPr>
        <w:t>Lottery </w:t>
      </w:r>
      <w:r>
        <w:rPr>
          <w:color w:val="231F20"/>
          <w:w w:val="110"/>
          <w:sz w:val="18"/>
        </w:rPr>
        <w:t>may invite people to place their trust in a false god, fortune, rather than the counter claim of “Give us this day our daily</w:t>
      </w:r>
      <w:r>
        <w:rPr>
          <w:color w:val="231F20"/>
          <w:spacing w:val="4"/>
          <w:w w:val="110"/>
          <w:sz w:val="18"/>
        </w:rPr>
        <w:t> </w:t>
      </w:r>
      <w:r>
        <w:rPr>
          <w:color w:val="231F20"/>
          <w:w w:val="110"/>
          <w:sz w:val="18"/>
        </w:rPr>
        <w:t>bread”.</w:t>
      </w:r>
    </w:p>
    <w:p>
      <w:pPr>
        <w:pStyle w:val="BodyText"/>
        <w:spacing w:before="11"/>
        <w:rPr>
          <w:sz w:val="20"/>
        </w:rPr>
      </w:pPr>
    </w:p>
    <w:p>
      <w:pPr>
        <w:pStyle w:val="ListParagraph"/>
        <w:numPr>
          <w:ilvl w:val="1"/>
          <w:numId w:val="120"/>
        </w:numPr>
        <w:tabs>
          <w:tab w:pos="1800" w:val="left" w:leader="none"/>
          <w:tab w:pos="1801" w:val="left" w:leader="none"/>
        </w:tabs>
        <w:spacing w:line="273" w:lineRule="auto" w:before="1" w:after="0"/>
        <w:ind w:left="1080" w:right="1537" w:firstLine="0"/>
        <w:jc w:val="left"/>
        <w:rPr>
          <w:sz w:val="18"/>
        </w:rPr>
      </w:pPr>
      <w:r>
        <w:rPr>
          <w:color w:val="231F20"/>
          <w:spacing w:val="-3"/>
          <w:w w:val="110"/>
          <w:sz w:val="18"/>
        </w:rPr>
        <w:t>If </w:t>
      </w:r>
      <w:r>
        <w:rPr>
          <w:color w:val="231F20"/>
          <w:w w:val="110"/>
          <w:sz w:val="18"/>
        </w:rPr>
        <w:t>as a Church we hold to God’s preferential option for the </w:t>
      </w:r>
      <w:r>
        <w:rPr>
          <w:color w:val="231F20"/>
          <w:spacing w:val="-5"/>
          <w:w w:val="110"/>
          <w:sz w:val="18"/>
        </w:rPr>
        <w:t>poor, </w:t>
      </w:r>
      <w:r>
        <w:rPr>
          <w:color w:val="231F20"/>
          <w:w w:val="110"/>
          <w:sz w:val="18"/>
        </w:rPr>
        <w:t>then the fact that</w:t>
      </w:r>
      <w:r>
        <w:rPr>
          <w:color w:val="231F20"/>
          <w:spacing w:val="-6"/>
          <w:w w:val="110"/>
          <w:sz w:val="18"/>
        </w:rPr>
        <w:t> </w:t>
      </w:r>
      <w:r>
        <w:rPr>
          <w:color w:val="231F20"/>
          <w:w w:val="110"/>
          <w:sz w:val="18"/>
        </w:rPr>
        <w:t>some</w:t>
      </w:r>
      <w:r>
        <w:rPr>
          <w:color w:val="231F20"/>
          <w:spacing w:val="-5"/>
          <w:w w:val="110"/>
          <w:sz w:val="18"/>
        </w:rPr>
        <w:t> </w:t>
      </w:r>
      <w:r>
        <w:rPr>
          <w:color w:val="231F20"/>
          <w:w w:val="110"/>
          <w:sz w:val="18"/>
        </w:rPr>
        <w:t>choose,</w:t>
      </w:r>
      <w:r>
        <w:rPr>
          <w:color w:val="231F20"/>
          <w:spacing w:val="-5"/>
          <w:w w:val="110"/>
          <w:sz w:val="18"/>
        </w:rPr>
        <w:t> </w:t>
      </w:r>
      <w:r>
        <w:rPr>
          <w:color w:val="231F20"/>
          <w:w w:val="110"/>
          <w:sz w:val="18"/>
        </w:rPr>
        <w:t>or</w:t>
      </w:r>
      <w:r>
        <w:rPr>
          <w:color w:val="231F20"/>
          <w:spacing w:val="-5"/>
          <w:w w:val="110"/>
          <w:sz w:val="18"/>
        </w:rPr>
        <w:t> </w:t>
      </w:r>
      <w:r>
        <w:rPr>
          <w:color w:val="231F20"/>
          <w:w w:val="110"/>
          <w:sz w:val="18"/>
        </w:rPr>
        <w:t>are</w:t>
      </w:r>
      <w:r>
        <w:rPr>
          <w:color w:val="231F20"/>
          <w:spacing w:val="-5"/>
          <w:w w:val="110"/>
          <w:sz w:val="18"/>
        </w:rPr>
        <w:t> </w:t>
      </w:r>
      <w:r>
        <w:rPr>
          <w:color w:val="231F20"/>
          <w:spacing w:val="-3"/>
          <w:w w:val="110"/>
          <w:sz w:val="18"/>
        </w:rPr>
        <w:t>drawn,</w:t>
      </w:r>
      <w:r>
        <w:rPr>
          <w:color w:val="231F20"/>
          <w:spacing w:val="-5"/>
          <w:w w:val="110"/>
          <w:sz w:val="18"/>
        </w:rPr>
        <w:t> </w:t>
      </w:r>
      <w:r>
        <w:rPr>
          <w:color w:val="231F20"/>
          <w:w w:val="110"/>
          <w:sz w:val="18"/>
        </w:rPr>
        <w:t>to</w:t>
      </w:r>
      <w:r>
        <w:rPr>
          <w:color w:val="231F20"/>
          <w:spacing w:val="-5"/>
          <w:w w:val="110"/>
          <w:sz w:val="18"/>
        </w:rPr>
        <w:t> </w:t>
      </w:r>
      <w:r>
        <w:rPr>
          <w:color w:val="231F20"/>
          <w:w w:val="110"/>
          <w:sz w:val="18"/>
        </w:rPr>
        <w:t>spend</w:t>
      </w:r>
      <w:r>
        <w:rPr>
          <w:color w:val="231F20"/>
          <w:spacing w:val="-5"/>
          <w:w w:val="110"/>
          <w:sz w:val="18"/>
        </w:rPr>
        <w:t> </w:t>
      </w:r>
      <w:r>
        <w:rPr>
          <w:color w:val="231F20"/>
          <w:w w:val="110"/>
          <w:sz w:val="18"/>
        </w:rPr>
        <w:t>money</w:t>
      </w:r>
      <w:r>
        <w:rPr>
          <w:color w:val="231F20"/>
          <w:spacing w:val="-5"/>
          <w:w w:val="110"/>
          <w:sz w:val="18"/>
        </w:rPr>
        <w:t> </w:t>
      </w:r>
      <w:r>
        <w:rPr>
          <w:color w:val="231F20"/>
          <w:w w:val="110"/>
          <w:sz w:val="18"/>
        </w:rPr>
        <w:t>they</w:t>
      </w:r>
      <w:r>
        <w:rPr>
          <w:color w:val="231F20"/>
          <w:spacing w:val="-5"/>
          <w:w w:val="110"/>
          <w:sz w:val="18"/>
        </w:rPr>
        <w:t> </w:t>
      </w:r>
      <w:r>
        <w:rPr>
          <w:color w:val="231F20"/>
          <w:w w:val="110"/>
          <w:sz w:val="18"/>
        </w:rPr>
        <w:t>cannot</w:t>
      </w:r>
      <w:r>
        <w:rPr>
          <w:color w:val="231F20"/>
          <w:spacing w:val="-5"/>
          <w:w w:val="110"/>
          <w:sz w:val="18"/>
        </w:rPr>
        <w:t> </w:t>
      </w:r>
      <w:r>
        <w:rPr>
          <w:color w:val="231F20"/>
          <w:w w:val="110"/>
          <w:sz w:val="18"/>
        </w:rPr>
        <w:t>afford</w:t>
      </w:r>
      <w:r>
        <w:rPr>
          <w:color w:val="231F20"/>
          <w:spacing w:val="-5"/>
          <w:w w:val="110"/>
          <w:sz w:val="18"/>
        </w:rPr>
        <w:t> </w:t>
      </w:r>
      <w:r>
        <w:rPr>
          <w:color w:val="231F20"/>
          <w:w w:val="110"/>
          <w:sz w:val="18"/>
        </w:rPr>
        <w:t>becomes</w:t>
      </w:r>
      <w:r>
        <w:rPr>
          <w:color w:val="231F20"/>
          <w:spacing w:val="-5"/>
          <w:w w:val="110"/>
          <w:sz w:val="18"/>
        </w:rPr>
        <w:t> </w:t>
      </w:r>
      <w:r>
        <w:rPr>
          <w:color w:val="231F20"/>
          <w:w w:val="110"/>
          <w:sz w:val="18"/>
        </w:rPr>
        <w:t>a</w:t>
      </w:r>
      <w:r>
        <w:rPr>
          <w:color w:val="231F20"/>
          <w:spacing w:val="-5"/>
          <w:w w:val="110"/>
          <w:sz w:val="18"/>
        </w:rPr>
        <w:t> </w:t>
      </w:r>
      <w:r>
        <w:rPr>
          <w:color w:val="231F20"/>
          <w:w w:val="110"/>
          <w:sz w:val="18"/>
        </w:rPr>
        <w:t>matter of</w:t>
      </w:r>
      <w:r>
        <w:rPr>
          <w:color w:val="231F20"/>
          <w:spacing w:val="-6"/>
          <w:w w:val="110"/>
          <w:sz w:val="18"/>
        </w:rPr>
        <w:t> </w:t>
      </w:r>
      <w:r>
        <w:rPr>
          <w:color w:val="231F20"/>
          <w:w w:val="110"/>
          <w:sz w:val="18"/>
        </w:rPr>
        <w:t>concern.</w:t>
      </w:r>
      <w:r>
        <w:rPr>
          <w:color w:val="231F20"/>
          <w:spacing w:val="-6"/>
          <w:w w:val="110"/>
          <w:sz w:val="18"/>
        </w:rPr>
        <w:t> </w:t>
      </w:r>
      <w:r>
        <w:rPr>
          <w:color w:val="231F20"/>
          <w:spacing w:val="-3"/>
          <w:w w:val="110"/>
          <w:sz w:val="18"/>
        </w:rPr>
        <w:t>If</w:t>
      </w:r>
      <w:r>
        <w:rPr>
          <w:color w:val="231F20"/>
          <w:spacing w:val="-6"/>
          <w:w w:val="110"/>
          <w:sz w:val="18"/>
        </w:rPr>
        <w:t> </w:t>
      </w:r>
      <w:r>
        <w:rPr>
          <w:color w:val="231F20"/>
          <w:w w:val="110"/>
          <w:sz w:val="18"/>
        </w:rPr>
        <w:t>the</w:t>
      </w:r>
      <w:r>
        <w:rPr>
          <w:color w:val="231F20"/>
          <w:spacing w:val="-5"/>
          <w:w w:val="110"/>
          <w:sz w:val="18"/>
        </w:rPr>
        <w:t> </w:t>
      </w:r>
      <w:r>
        <w:rPr>
          <w:color w:val="231F20"/>
          <w:w w:val="110"/>
          <w:sz w:val="18"/>
        </w:rPr>
        <w:t>National</w:t>
      </w:r>
      <w:r>
        <w:rPr>
          <w:color w:val="231F20"/>
          <w:spacing w:val="-6"/>
          <w:w w:val="110"/>
          <w:sz w:val="18"/>
        </w:rPr>
        <w:t> </w:t>
      </w:r>
      <w:r>
        <w:rPr>
          <w:color w:val="231F20"/>
          <w:w w:val="110"/>
          <w:sz w:val="18"/>
        </w:rPr>
        <w:t>Lottery</w:t>
      </w:r>
      <w:r>
        <w:rPr>
          <w:color w:val="231F20"/>
          <w:spacing w:val="-6"/>
          <w:w w:val="110"/>
          <w:sz w:val="18"/>
        </w:rPr>
        <w:t> </w:t>
      </w:r>
      <w:r>
        <w:rPr>
          <w:color w:val="231F20"/>
          <w:w w:val="110"/>
          <w:sz w:val="18"/>
        </w:rPr>
        <w:t>is</w:t>
      </w:r>
      <w:r>
        <w:rPr>
          <w:color w:val="231F20"/>
          <w:spacing w:val="-5"/>
          <w:w w:val="110"/>
          <w:sz w:val="18"/>
        </w:rPr>
        <w:t> </w:t>
      </w:r>
      <w:r>
        <w:rPr>
          <w:color w:val="231F20"/>
          <w:w w:val="110"/>
          <w:sz w:val="18"/>
        </w:rPr>
        <w:t>conducted</w:t>
      </w:r>
      <w:r>
        <w:rPr>
          <w:color w:val="231F20"/>
          <w:spacing w:val="-6"/>
          <w:w w:val="110"/>
          <w:sz w:val="18"/>
        </w:rPr>
        <w:t> </w:t>
      </w:r>
      <w:r>
        <w:rPr>
          <w:color w:val="231F20"/>
          <w:w w:val="110"/>
          <w:sz w:val="18"/>
        </w:rPr>
        <w:t>as</w:t>
      </w:r>
      <w:r>
        <w:rPr>
          <w:color w:val="231F20"/>
          <w:spacing w:val="-6"/>
          <w:w w:val="110"/>
          <w:sz w:val="18"/>
        </w:rPr>
        <w:t> </w:t>
      </w:r>
      <w:r>
        <w:rPr>
          <w:color w:val="231F20"/>
          <w:w w:val="110"/>
          <w:sz w:val="18"/>
        </w:rPr>
        <w:t>a</w:t>
      </w:r>
      <w:r>
        <w:rPr>
          <w:color w:val="231F20"/>
          <w:spacing w:val="-6"/>
          <w:w w:val="110"/>
          <w:sz w:val="18"/>
        </w:rPr>
        <w:t> </w:t>
      </w:r>
      <w:r>
        <w:rPr>
          <w:color w:val="231F20"/>
          <w:w w:val="110"/>
          <w:sz w:val="18"/>
        </w:rPr>
        <w:t>means</w:t>
      </w:r>
      <w:r>
        <w:rPr>
          <w:color w:val="231F20"/>
          <w:spacing w:val="-5"/>
          <w:w w:val="110"/>
          <w:sz w:val="18"/>
        </w:rPr>
        <w:t> </w:t>
      </w:r>
      <w:r>
        <w:rPr>
          <w:color w:val="231F20"/>
          <w:w w:val="110"/>
          <w:sz w:val="18"/>
        </w:rPr>
        <w:t>to</w:t>
      </w:r>
      <w:r>
        <w:rPr>
          <w:color w:val="231F20"/>
          <w:spacing w:val="-6"/>
          <w:w w:val="110"/>
          <w:sz w:val="18"/>
        </w:rPr>
        <w:t> </w:t>
      </w:r>
      <w:r>
        <w:rPr>
          <w:color w:val="231F20"/>
          <w:w w:val="110"/>
          <w:sz w:val="18"/>
        </w:rPr>
        <w:t>raise</w:t>
      </w:r>
      <w:r>
        <w:rPr>
          <w:color w:val="231F20"/>
          <w:spacing w:val="-6"/>
          <w:w w:val="110"/>
          <w:sz w:val="18"/>
        </w:rPr>
        <w:t> </w:t>
      </w:r>
      <w:r>
        <w:rPr>
          <w:color w:val="231F20"/>
          <w:w w:val="110"/>
          <w:sz w:val="18"/>
        </w:rPr>
        <w:t>public</w:t>
      </w:r>
      <w:r>
        <w:rPr>
          <w:color w:val="231F20"/>
          <w:spacing w:val="-5"/>
          <w:w w:val="110"/>
          <w:sz w:val="18"/>
        </w:rPr>
        <w:t> </w:t>
      </w:r>
      <w:r>
        <w:rPr>
          <w:color w:val="231F20"/>
          <w:w w:val="110"/>
          <w:sz w:val="18"/>
        </w:rPr>
        <w:t>funds</w:t>
      </w:r>
      <w:r>
        <w:rPr>
          <w:color w:val="231F20"/>
          <w:spacing w:val="-6"/>
          <w:w w:val="110"/>
          <w:sz w:val="18"/>
        </w:rPr>
        <w:t> </w:t>
      </w:r>
      <w:r>
        <w:rPr>
          <w:color w:val="231F20"/>
          <w:w w:val="110"/>
          <w:sz w:val="18"/>
        </w:rPr>
        <w:t>for</w:t>
      </w:r>
      <w:r>
        <w:rPr>
          <w:color w:val="231F20"/>
          <w:spacing w:val="-6"/>
          <w:w w:val="110"/>
          <w:sz w:val="18"/>
        </w:rPr>
        <w:t> </w:t>
      </w:r>
      <w:r>
        <w:rPr>
          <w:color w:val="231F20"/>
          <w:w w:val="110"/>
          <w:sz w:val="18"/>
        </w:rPr>
        <w:t>the common</w:t>
      </w:r>
      <w:r>
        <w:rPr>
          <w:color w:val="231F20"/>
          <w:spacing w:val="-6"/>
          <w:w w:val="110"/>
          <w:sz w:val="18"/>
        </w:rPr>
        <w:t> </w:t>
      </w:r>
      <w:r>
        <w:rPr>
          <w:color w:val="231F20"/>
          <w:w w:val="110"/>
          <w:sz w:val="18"/>
        </w:rPr>
        <w:t>good,</w:t>
      </w:r>
      <w:r>
        <w:rPr>
          <w:color w:val="231F20"/>
          <w:spacing w:val="-6"/>
          <w:w w:val="110"/>
          <w:sz w:val="18"/>
        </w:rPr>
        <w:t> </w:t>
      </w:r>
      <w:r>
        <w:rPr>
          <w:color w:val="231F20"/>
          <w:w w:val="110"/>
          <w:sz w:val="18"/>
        </w:rPr>
        <w:t>then</w:t>
      </w:r>
      <w:r>
        <w:rPr>
          <w:color w:val="231F20"/>
          <w:spacing w:val="-5"/>
          <w:w w:val="110"/>
          <w:sz w:val="18"/>
        </w:rPr>
        <w:t> </w:t>
      </w:r>
      <w:r>
        <w:rPr>
          <w:color w:val="231F20"/>
          <w:w w:val="110"/>
          <w:sz w:val="18"/>
        </w:rPr>
        <w:t>should</w:t>
      </w:r>
      <w:r>
        <w:rPr>
          <w:color w:val="231F20"/>
          <w:spacing w:val="-6"/>
          <w:w w:val="110"/>
          <w:sz w:val="18"/>
        </w:rPr>
        <w:t> </w:t>
      </w:r>
      <w:r>
        <w:rPr>
          <w:color w:val="231F20"/>
          <w:w w:val="110"/>
          <w:sz w:val="18"/>
        </w:rPr>
        <w:t>not</w:t>
      </w:r>
      <w:r>
        <w:rPr>
          <w:color w:val="231F20"/>
          <w:spacing w:val="-6"/>
          <w:w w:val="110"/>
          <w:sz w:val="18"/>
        </w:rPr>
        <w:t> </w:t>
      </w:r>
      <w:r>
        <w:rPr>
          <w:color w:val="231F20"/>
          <w:w w:val="110"/>
          <w:sz w:val="18"/>
        </w:rPr>
        <w:t>the</w:t>
      </w:r>
      <w:r>
        <w:rPr>
          <w:color w:val="231F20"/>
          <w:spacing w:val="-5"/>
          <w:w w:val="110"/>
          <w:sz w:val="18"/>
        </w:rPr>
        <w:t> </w:t>
      </w:r>
      <w:r>
        <w:rPr>
          <w:color w:val="231F20"/>
          <w:w w:val="110"/>
          <w:sz w:val="18"/>
        </w:rPr>
        <w:t>costs</w:t>
      </w:r>
      <w:r>
        <w:rPr>
          <w:color w:val="231F20"/>
          <w:spacing w:val="-6"/>
          <w:w w:val="110"/>
          <w:sz w:val="18"/>
        </w:rPr>
        <w:t> </w:t>
      </w:r>
      <w:r>
        <w:rPr>
          <w:color w:val="231F20"/>
          <w:w w:val="110"/>
          <w:sz w:val="18"/>
        </w:rPr>
        <w:t>be</w:t>
      </w:r>
      <w:r>
        <w:rPr>
          <w:color w:val="231F20"/>
          <w:spacing w:val="-6"/>
          <w:w w:val="110"/>
          <w:sz w:val="18"/>
        </w:rPr>
        <w:t> </w:t>
      </w:r>
      <w:r>
        <w:rPr>
          <w:color w:val="231F20"/>
          <w:w w:val="110"/>
          <w:sz w:val="18"/>
        </w:rPr>
        <w:t>progressive,</w:t>
      </w:r>
      <w:r>
        <w:rPr>
          <w:color w:val="231F20"/>
          <w:spacing w:val="-5"/>
          <w:w w:val="110"/>
          <w:sz w:val="18"/>
        </w:rPr>
        <w:t> </w:t>
      </w:r>
      <w:r>
        <w:rPr>
          <w:color w:val="231F20"/>
          <w:w w:val="110"/>
          <w:sz w:val="18"/>
        </w:rPr>
        <w:t>so</w:t>
      </w:r>
      <w:r>
        <w:rPr>
          <w:color w:val="231F20"/>
          <w:spacing w:val="-6"/>
          <w:w w:val="110"/>
          <w:sz w:val="18"/>
        </w:rPr>
        <w:t> </w:t>
      </w:r>
      <w:r>
        <w:rPr>
          <w:color w:val="231F20"/>
          <w:w w:val="110"/>
          <w:sz w:val="18"/>
        </w:rPr>
        <w:t>that</w:t>
      </w:r>
      <w:r>
        <w:rPr>
          <w:color w:val="231F20"/>
          <w:spacing w:val="-6"/>
          <w:w w:val="110"/>
          <w:sz w:val="18"/>
        </w:rPr>
        <w:t> </w:t>
      </w:r>
      <w:r>
        <w:rPr>
          <w:color w:val="231F20"/>
          <w:w w:val="110"/>
          <w:sz w:val="18"/>
        </w:rPr>
        <w:t>those</w:t>
      </w:r>
      <w:r>
        <w:rPr>
          <w:color w:val="231F20"/>
          <w:spacing w:val="-5"/>
          <w:w w:val="110"/>
          <w:sz w:val="18"/>
        </w:rPr>
        <w:t> </w:t>
      </w:r>
      <w:r>
        <w:rPr>
          <w:color w:val="231F20"/>
          <w:w w:val="110"/>
          <w:sz w:val="18"/>
        </w:rPr>
        <w:t>who</w:t>
      </w:r>
      <w:r>
        <w:rPr>
          <w:color w:val="231F20"/>
          <w:spacing w:val="-6"/>
          <w:w w:val="110"/>
          <w:sz w:val="18"/>
        </w:rPr>
        <w:t> </w:t>
      </w:r>
      <w:r>
        <w:rPr>
          <w:color w:val="231F20"/>
          <w:w w:val="110"/>
          <w:sz w:val="18"/>
        </w:rPr>
        <w:t>are</w:t>
      </w:r>
      <w:r>
        <w:rPr>
          <w:color w:val="231F20"/>
          <w:spacing w:val="-5"/>
          <w:w w:val="110"/>
          <w:sz w:val="18"/>
        </w:rPr>
        <w:t> </w:t>
      </w:r>
      <w:r>
        <w:rPr>
          <w:color w:val="231F20"/>
          <w:w w:val="110"/>
          <w:sz w:val="18"/>
        </w:rPr>
        <w:t>better</w:t>
      </w:r>
    </w:p>
    <w:p>
      <w:pPr>
        <w:pStyle w:val="BodyText"/>
        <w:spacing w:line="273" w:lineRule="auto" w:before="2"/>
        <w:ind w:left="1080" w:right="1076"/>
      </w:pPr>
      <w:r>
        <w:rPr>
          <w:color w:val="231F20"/>
          <w:w w:val="110"/>
        </w:rPr>
        <w:t>able, bear a greater portion of the public burden. Should the cost of maintaining heritage sites fall disproportionately on the poor? Is this another form of “grinding the poor” against which Scripture offers harsh words?</w:t>
      </w:r>
    </w:p>
    <w:p>
      <w:pPr>
        <w:pStyle w:val="BodyText"/>
        <w:spacing w:before="9"/>
        <w:rPr>
          <w:sz w:val="20"/>
        </w:rPr>
      </w:pPr>
    </w:p>
    <w:p>
      <w:pPr>
        <w:pStyle w:val="ListParagraph"/>
        <w:numPr>
          <w:ilvl w:val="1"/>
          <w:numId w:val="120"/>
        </w:numPr>
        <w:tabs>
          <w:tab w:pos="1800" w:val="left" w:leader="none"/>
          <w:tab w:pos="1801" w:val="left" w:leader="none"/>
        </w:tabs>
        <w:spacing w:line="273" w:lineRule="auto" w:before="0" w:after="0"/>
        <w:ind w:left="1080" w:right="1464" w:firstLine="0"/>
        <w:jc w:val="left"/>
        <w:rPr>
          <w:sz w:val="18"/>
        </w:rPr>
      </w:pPr>
      <w:r>
        <w:rPr>
          <w:color w:val="231F20"/>
          <w:w w:val="110"/>
          <w:sz w:val="18"/>
        </w:rPr>
        <w:t>Whilst</w:t>
      </w:r>
      <w:r>
        <w:rPr>
          <w:color w:val="231F20"/>
          <w:spacing w:val="-7"/>
          <w:w w:val="110"/>
          <w:sz w:val="18"/>
        </w:rPr>
        <w:t> </w:t>
      </w:r>
      <w:r>
        <w:rPr>
          <w:color w:val="231F20"/>
          <w:w w:val="110"/>
          <w:sz w:val="18"/>
        </w:rPr>
        <w:t>these</w:t>
      </w:r>
      <w:r>
        <w:rPr>
          <w:color w:val="231F20"/>
          <w:spacing w:val="-6"/>
          <w:w w:val="110"/>
          <w:sz w:val="18"/>
        </w:rPr>
        <w:t> </w:t>
      </w:r>
      <w:r>
        <w:rPr>
          <w:color w:val="231F20"/>
          <w:spacing w:val="-3"/>
          <w:w w:val="110"/>
          <w:sz w:val="18"/>
        </w:rPr>
        <w:t>may</w:t>
      </w:r>
      <w:r>
        <w:rPr>
          <w:color w:val="231F20"/>
          <w:spacing w:val="-6"/>
          <w:w w:val="110"/>
          <w:sz w:val="18"/>
        </w:rPr>
        <w:t> </w:t>
      </w:r>
      <w:r>
        <w:rPr>
          <w:color w:val="231F20"/>
          <w:w w:val="110"/>
          <w:sz w:val="18"/>
        </w:rPr>
        <w:t>be</w:t>
      </w:r>
      <w:r>
        <w:rPr>
          <w:color w:val="231F20"/>
          <w:spacing w:val="-6"/>
          <w:w w:val="110"/>
          <w:sz w:val="18"/>
        </w:rPr>
        <w:t> </w:t>
      </w:r>
      <w:r>
        <w:rPr>
          <w:color w:val="231F20"/>
          <w:w w:val="110"/>
          <w:sz w:val="18"/>
        </w:rPr>
        <w:t>pointers</w:t>
      </w:r>
      <w:r>
        <w:rPr>
          <w:color w:val="231F20"/>
          <w:spacing w:val="-6"/>
          <w:w w:val="110"/>
          <w:sz w:val="18"/>
        </w:rPr>
        <w:t> </w:t>
      </w:r>
      <w:r>
        <w:rPr>
          <w:color w:val="231F20"/>
          <w:w w:val="110"/>
          <w:sz w:val="18"/>
        </w:rPr>
        <w:t>to</w:t>
      </w:r>
      <w:r>
        <w:rPr>
          <w:color w:val="231F20"/>
          <w:spacing w:val="-6"/>
          <w:w w:val="110"/>
          <w:sz w:val="18"/>
        </w:rPr>
        <w:t> </w:t>
      </w:r>
      <w:r>
        <w:rPr>
          <w:color w:val="231F20"/>
          <w:w w:val="110"/>
          <w:sz w:val="18"/>
        </w:rPr>
        <w:t>us</w:t>
      </w:r>
      <w:r>
        <w:rPr>
          <w:color w:val="231F20"/>
          <w:spacing w:val="-6"/>
          <w:w w:val="110"/>
          <w:sz w:val="18"/>
        </w:rPr>
        <w:t> </w:t>
      </w:r>
      <w:r>
        <w:rPr>
          <w:color w:val="231F20"/>
          <w:w w:val="110"/>
          <w:sz w:val="18"/>
        </w:rPr>
        <w:t>being</w:t>
      </w:r>
      <w:r>
        <w:rPr>
          <w:color w:val="231F20"/>
          <w:spacing w:val="-6"/>
          <w:w w:val="110"/>
          <w:sz w:val="18"/>
        </w:rPr>
        <w:t> </w:t>
      </w:r>
      <w:r>
        <w:rPr>
          <w:color w:val="231F20"/>
          <w:w w:val="110"/>
          <w:sz w:val="18"/>
        </w:rPr>
        <w:t>wary</w:t>
      </w:r>
      <w:r>
        <w:rPr>
          <w:color w:val="231F20"/>
          <w:spacing w:val="-6"/>
          <w:w w:val="110"/>
          <w:sz w:val="18"/>
        </w:rPr>
        <w:t> </w:t>
      </w:r>
      <w:r>
        <w:rPr>
          <w:color w:val="231F20"/>
          <w:w w:val="110"/>
          <w:sz w:val="18"/>
        </w:rPr>
        <w:t>of</w:t>
      </w:r>
      <w:r>
        <w:rPr>
          <w:color w:val="231F20"/>
          <w:spacing w:val="-6"/>
          <w:w w:val="110"/>
          <w:sz w:val="18"/>
        </w:rPr>
        <w:t> </w:t>
      </w:r>
      <w:r>
        <w:rPr>
          <w:color w:val="231F20"/>
          <w:w w:val="110"/>
          <w:sz w:val="18"/>
        </w:rPr>
        <w:t>participation</w:t>
      </w:r>
      <w:r>
        <w:rPr>
          <w:color w:val="231F20"/>
          <w:spacing w:val="-6"/>
          <w:w w:val="110"/>
          <w:sz w:val="18"/>
        </w:rPr>
        <w:t> </w:t>
      </w:r>
      <w:r>
        <w:rPr>
          <w:color w:val="231F20"/>
          <w:w w:val="110"/>
          <w:sz w:val="18"/>
        </w:rPr>
        <w:t>in</w:t>
      </w:r>
      <w:r>
        <w:rPr>
          <w:color w:val="231F20"/>
          <w:spacing w:val="-6"/>
          <w:w w:val="110"/>
          <w:sz w:val="18"/>
        </w:rPr>
        <w:t> </w:t>
      </w:r>
      <w:r>
        <w:rPr>
          <w:color w:val="231F20"/>
          <w:w w:val="110"/>
          <w:sz w:val="18"/>
        </w:rPr>
        <w:t>the</w:t>
      </w:r>
      <w:r>
        <w:rPr>
          <w:color w:val="231F20"/>
          <w:spacing w:val="-6"/>
          <w:w w:val="110"/>
          <w:sz w:val="18"/>
        </w:rPr>
        <w:t> </w:t>
      </w:r>
      <w:r>
        <w:rPr>
          <w:color w:val="231F20"/>
          <w:w w:val="110"/>
          <w:sz w:val="18"/>
        </w:rPr>
        <w:t>Lottery,</w:t>
      </w:r>
      <w:r>
        <w:rPr>
          <w:color w:val="231F20"/>
          <w:spacing w:val="-6"/>
          <w:w w:val="110"/>
          <w:sz w:val="18"/>
        </w:rPr>
        <w:t> </w:t>
      </w:r>
      <w:r>
        <w:rPr>
          <w:color w:val="231F20"/>
          <w:w w:val="110"/>
          <w:sz w:val="18"/>
        </w:rPr>
        <w:t>the question at issue is not whether the Church should relax its advice to </w:t>
      </w:r>
      <w:r>
        <w:rPr>
          <w:color w:val="231F20"/>
          <w:spacing w:val="2"/>
          <w:w w:val="110"/>
          <w:sz w:val="18"/>
        </w:rPr>
        <w:t>members </w:t>
      </w:r>
      <w:r>
        <w:rPr>
          <w:color w:val="231F20"/>
          <w:w w:val="110"/>
          <w:sz w:val="18"/>
        </w:rPr>
        <w:t>not    to buy </w:t>
      </w:r>
      <w:r>
        <w:rPr>
          <w:color w:val="231F20"/>
          <w:spacing w:val="3"/>
          <w:w w:val="110"/>
          <w:sz w:val="18"/>
        </w:rPr>
        <w:t>Lottery </w:t>
      </w:r>
      <w:r>
        <w:rPr>
          <w:color w:val="231F20"/>
          <w:w w:val="110"/>
          <w:sz w:val="18"/>
        </w:rPr>
        <w:t>tickets, but whether </w:t>
      </w:r>
      <w:r>
        <w:rPr>
          <w:color w:val="231F20"/>
          <w:spacing w:val="3"/>
          <w:w w:val="110"/>
          <w:sz w:val="18"/>
        </w:rPr>
        <w:t>Lottery </w:t>
      </w:r>
      <w:r>
        <w:rPr>
          <w:color w:val="231F20"/>
          <w:w w:val="110"/>
          <w:sz w:val="18"/>
        </w:rPr>
        <w:t>funding should be sought for one specific purpose.</w:t>
      </w:r>
      <w:r>
        <w:rPr>
          <w:color w:val="231F20"/>
          <w:spacing w:val="9"/>
          <w:w w:val="110"/>
          <w:sz w:val="18"/>
        </w:rPr>
        <w:t> </w:t>
      </w:r>
      <w:r>
        <w:rPr>
          <w:color w:val="231F20"/>
          <w:w w:val="110"/>
          <w:sz w:val="18"/>
        </w:rPr>
        <w:t>While</w:t>
      </w:r>
      <w:r>
        <w:rPr>
          <w:color w:val="231F20"/>
          <w:spacing w:val="10"/>
          <w:w w:val="110"/>
          <w:sz w:val="18"/>
        </w:rPr>
        <w:t> </w:t>
      </w:r>
      <w:r>
        <w:rPr>
          <w:color w:val="231F20"/>
          <w:w w:val="110"/>
          <w:sz w:val="18"/>
        </w:rPr>
        <w:t>greed</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covetousness</w:t>
      </w:r>
      <w:r>
        <w:rPr>
          <w:color w:val="231F20"/>
          <w:spacing w:val="10"/>
          <w:w w:val="110"/>
          <w:sz w:val="18"/>
        </w:rPr>
        <w:t> </w:t>
      </w:r>
      <w:r>
        <w:rPr>
          <w:color w:val="231F20"/>
          <w:w w:val="110"/>
          <w:sz w:val="18"/>
        </w:rPr>
        <w:t>can</w:t>
      </w:r>
      <w:r>
        <w:rPr>
          <w:color w:val="231F20"/>
          <w:spacing w:val="10"/>
          <w:w w:val="110"/>
          <w:sz w:val="18"/>
        </w:rPr>
        <w:t> </w:t>
      </w:r>
      <w:r>
        <w:rPr>
          <w:color w:val="231F20"/>
          <w:w w:val="110"/>
          <w:sz w:val="18"/>
        </w:rPr>
        <w:t>be</w:t>
      </w:r>
      <w:r>
        <w:rPr>
          <w:color w:val="231F20"/>
          <w:spacing w:val="9"/>
          <w:w w:val="110"/>
          <w:sz w:val="18"/>
        </w:rPr>
        <w:t> </w:t>
      </w:r>
      <w:r>
        <w:rPr>
          <w:color w:val="231F20"/>
          <w:w w:val="110"/>
          <w:sz w:val="18"/>
        </w:rPr>
        <w:t>what</w:t>
      </w:r>
      <w:r>
        <w:rPr>
          <w:color w:val="231F20"/>
          <w:spacing w:val="10"/>
          <w:w w:val="110"/>
          <w:sz w:val="18"/>
        </w:rPr>
        <w:t> </w:t>
      </w:r>
      <w:r>
        <w:rPr>
          <w:color w:val="231F20"/>
          <w:w w:val="110"/>
          <w:sz w:val="18"/>
        </w:rPr>
        <w:t>motivates</w:t>
      </w:r>
      <w:r>
        <w:rPr>
          <w:color w:val="231F20"/>
          <w:spacing w:val="10"/>
          <w:w w:val="110"/>
          <w:sz w:val="18"/>
        </w:rPr>
        <w:t> </w:t>
      </w:r>
      <w:r>
        <w:rPr>
          <w:color w:val="231F20"/>
          <w:w w:val="110"/>
          <w:sz w:val="18"/>
        </w:rPr>
        <w:t>much</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ethos</w:t>
      </w:r>
      <w:r>
        <w:rPr>
          <w:color w:val="231F20"/>
          <w:spacing w:val="9"/>
          <w:w w:val="110"/>
          <w:sz w:val="18"/>
        </w:rPr>
        <w:t> </w:t>
      </w:r>
      <w:r>
        <w:rPr>
          <w:color w:val="231F20"/>
          <w:w w:val="110"/>
          <w:sz w:val="18"/>
        </w:rPr>
        <w:t>of</w:t>
      </w:r>
    </w:p>
    <w:p>
      <w:pPr>
        <w:pStyle w:val="BodyText"/>
        <w:spacing w:line="273" w:lineRule="auto" w:before="2"/>
        <w:ind w:left="1080" w:right="1205"/>
      </w:pPr>
      <w:r>
        <w:rPr>
          <w:color w:val="231F20"/>
          <w:w w:val="110"/>
        </w:rPr>
        <w:t>the Lottery, the same may be said of much in all of our lives. There are so many other things that we do that are motivated by obsessive material gain. Why, then, should the Lottery be singled out?</w:t>
      </w:r>
    </w:p>
    <w:p>
      <w:pPr>
        <w:pStyle w:val="BodyText"/>
        <w:spacing w:before="9"/>
        <w:rPr>
          <w:sz w:val="20"/>
        </w:rPr>
      </w:pPr>
    </w:p>
    <w:p>
      <w:pPr>
        <w:pStyle w:val="ListParagraph"/>
        <w:numPr>
          <w:ilvl w:val="1"/>
          <w:numId w:val="120"/>
        </w:numPr>
        <w:tabs>
          <w:tab w:pos="1800" w:val="left" w:leader="none"/>
          <w:tab w:pos="1801" w:val="left" w:leader="none"/>
        </w:tabs>
        <w:spacing w:line="273" w:lineRule="auto" w:before="0" w:after="0"/>
        <w:ind w:left="1080" w:right="1215" w:firstLine="0"/>
        <w:jc w:val="left"/>
        <w:rPr>
          <w:sz w:val="18"/>
        </w:rPr>
      </w:pPr>
      <w:r>
        <w:rPr>
          <w:color w:val="231F20"/>
          <w:w w:val="110"/>
          <w:sz w:val="18"/>
        </w:rPr>
        <w:t>Our Christian understanding of the economic common good sharpens the dilemma of faith and faithfulness that these issues place </w:t>
      </w:r>
      <w:r>
        <w:rPr>
          <w:color w:val="231F20"/>
          <w:spacing w:val="2"/>
          <w:w w:val="110"/>
          <w:sz w:val="18"/>
        </w:rPr>
        <w:t>before </w:t>
      </w:r>
      <w:r>
        <w:rPr>
          <w:color w:val="231F20"/>
          <w:w w:val="110"/>
          <w:sz w:val="18"/>
        </w:rPr>
        <w:t>us. What is more, it </w:t>
      </w:r>
      <w:r>
        <w:rPr>
          <w:color w:val="231F20"/>
          <w:spacing w:val="2"/>
          <w:w w:val="110"/>
          <w:sz w:val="18"/>
        </w:rPr>
        <w:t>underscores </w:t>
      </w:r>
      <w:r>
        <w:rPr>
          <w:color w:val="231F20"/>
          <w:w w:val="110"/>
          <w:sz w:val="18"/>
        </w:rPr>
        <w:t>our human state: the contradictions and the ambiguities that humans have to live with and</w:t>
      </w:r>
      <w:r>
        <w:rPr>
          <w:color w:val="231F20"/>
          <w:spacing w:val="6"/>
          <w:w w:val="110"/>
          <w:sz w:val="18"/>
        </w:rPr>
        <w:t> </w:t>
      </w:r>
      <w:r>
        <w:rPr>
          <w:color w:val="231F20"/>
          <w:w w:val="110"/>
          <w:sz w:val="18"/>
        </w:rPr>
        <w:t>in</w:t>
      </w:r>
      <w:r>
        <w:rPr>
          <w:color w:val="231F20"/>
          <w:spacing w:val="7"/>
          <w:w w:val="110"/>
          <w:sz w:val="18"/>
        </w:rPr>
        <w:t> </w:t>
      </w:r>
      <w:r>
        <w:rPr>
          <w:color w:val="231F20"/>
          <w:w w:val="110"/>
          <w:sz w:val="18"/>
        </w:rPr>
        <w:t>spite</w:t>
      </w:r>
      <w:r>
        <w:rPr>
          <w:color w:val="231F20"/>
          <w:spacing w:val="6"/>
          <w:w w:val="110"/>
          <w:sz w:val="18"/>
        </w:rPr>
        <w:t> </w:t>
      </w:r>
      <w:r>
        <w:rPr>
          <w:color w:val="231F20"/>
          <w:w w:val="110"/>
          <w:sz w:val="18"/>
        </w:rPr>
        <w:t>of</w:t>
      </w:r>
      <w:r>
        <w:rPr>
          <w:color w:val="231F20"/>
          <w:spacing w:val="7"/>
          <w:w w:val="110"/>
          <w:sz w:val="18"/>
        </w:rPr>
        <w:t> </w:t>
      </w:r>
      <w:r>
        <w:rPr>
          <w:color w:val="231F20"/>
          <w:w w:val="110"/>
          <w:sz w:val="18"/>
        </w:rPr>
        <w:t>which,</w:t>
      </w:r>
      <w:r>
        <w:rPr>
          <w:color w:val="231F20"/>
          <w:spacing w:val="6"/>
          <w:w w:val="110"/>
          <w:sz w:val="18"/>
        </w:rPr>
        <w:t> </w:t>
      </w:r>
      <w:r>
        <w:rPr>
          <w:color w:val="231F20"/>
          <w:w w:val="110"/>
          <w:sz w:val="18"/>
        </w:rPr>
        <w:t>God</w:t>
      </w:r>
      <w:r>
        <w:rPr>
          <w:color w:val="231F20"/>
          <w:spacing w:val="7"/>
          <w:w w:val="110"/>
          <w:sz w:val="18"/>
        </w:rPr>
        <w:t> </w:t>
      </w:r>
      <w:r>
        <w:rPr>
          <w:color w:val="231F20"/>
          <w:w w:val="110"/>
          <w:sz w:val="18"/>
        </w:rPr>
        <w:t>in</w:t>
      </w:r>
      <w:r>
        <w:rPr>
          <w:color w:val="231F20"/>
          <w:spacing w:val="6"/>
          <w:w w:val="110"/>
          <w:sz w:val="18"/>
        </w:rPr>
        <w:t> </w:t>
      </w:r>
      <w:r>
        <w:rPr>
          <w:color w:val="231F20"/>
          <w:w w:val="110"/>
          <w:sz w:val="18"/>
        </w:rPr>
        <w:t>Christ</w:t>
      </w:r>
      <w:r>
        <w:rPr>
          <w:color w:val="231F20"/>
          <w:spacing w:val="7"/>
          <w:w w:val="110"/>
          <w:sz w:val="18"/>
        </w:rPr>
        <w:t> </w:t>
      </w:r>
      <w:r>
        <w:rPr>
          <w:color w:val="231F20"/>
          <w:w w:val="110"/>
          <w:sz w:val="18"/>
        </w:rPr>
        <w:t>will</w:t>
      </w:r>
      <w:r>
        <w:rPr>
          <w:color w:val="231F20"/>
          <w:spacing w:val="5"/>
          <w:w w:val="110"/>
          <w:sz w:val="18"/>
        </w:rPr>
        <w:t> </w:t>
      </w:r>
      <w:r>
        <w:rPr>
          <w:color w:val="231F20"/>
          <w:w w:val="110"/>
          <w:sz w:val="18"/>
        </w:rPr>
        <w:t>not</w:t>
      </w:r>
      <w:r>
        <w:rPr>
          <w:color w:val="231F20"/>
          <w:spacing w:val="7"/>
          <w:w w:val="110"/>
          <w:sz w:val="18"/>
        </w:rPr>
        <w:t> </w:t>
      </w:r>
      <w:r>
        <w:rPr>
          <w:color w:val="231F20"/>
          <w:w w:val="110"/>
          <w:sz w:val="18"/>
        </w:rPr>
        <w:t>abandon</w:t>
      </w:r>
      <w:r>
        <w:rPr>
          <w:color w:val="231F20"/>
          <w:spacing w:val="6"/>
          <w:w w:val="110"/>
          <w:sz w:val="18"/>
        </w:rPr>
        <w:t> </w:t>
      </w:r>
      <w:r>
        <w:rPr>
          <w:color w:val="231F20"/>
          <w:w w:val="110"/>
          <w:sz w:val="18"/>
        </w:rPr>
        <w:t>humankind.</w:t>
      </w:r>
      <w:r>
        <w:rPr>
          <w:color w:val="231F20"/>
          <w:spacing w:val="7"/>
          <w:w w:val="110"/>
          <w:sz w:val="18"/>
        </w:rPr>
        <w:t> </w:t>
      </w:r>
      <w:r>
        <w:rPr>
          <w:color w:val="231F20"/>
          <w:w w:val="110"/>
          <w:sz w:val="18"/>
        </w:rPr>
        <w:t>Grace</w:t>
      </w:r>
      <w:r>
        <w:rPr>
          <w:color w:val="231F20"/>
          <w:spacing w:val="6"/>
          <w:w w:val="110"/>
          <w:sz w:val="18"/>
        </w:rPr>
        <w:t> </w:t>
      </w:r>
      <w:r>
        <w:rPr>
          <w:color w:val="231F20"/>
          <w:w w:val="110"/>
          <w:sz w:val="18"/>
        </w:rPr>
        <w:t>still</w:t>
      </w:r>
      <w:r>
        <w:rPr>
          <w:color w:val="231F20"/>
          <w:spacing w:val="5"/>
          <w:w w:val="110"/>
          <w:sz w:val="18"/>
        </w:rPr>
        <w:t> </w:t>
      </w:r>
      <w:r>
        <w:rPr>
          <w:color w:val="231F20"/>
          <w:w w:val="110"/>
          <w:sz w:val="18"/>
        </w:rPr>
        <w:t>abounds.</w:t>
      </w:r>
    </w:p>
    <w:p>
      <w:pPr>
        <w:pStyle w:val="BodyText"/>
        <w:rPr>
          <w:sz w:val="22"/>
        </w:rPr>
      </w:pPr>
    </w:p>
    <w:p>
      <w:pPr>
        <w:pStyle w:val="BodyText"/>
        <w:spacing w:before="3"/>
        <w:rPr>
          <w:sz w:val="19"/>
        </w:rPr>
      </w:pPr>
    </w:p>
    <w:p>
      <w:pPr>
        <w:pStyle w:val="Heading9"/>
        <w:numPr>
          <w:ilvl w:val="0"/>
          <w:numId w:val="120"/>
        </w:numPr>
        <w:tabs>
          <w:tab w:pos="1800" w:val="left" w:leader="none"/>
          <w:tab w:pos="1801" w:val="left" w:leader="none"/>
        </w:tabs>
        <w:spacing w:line="240" w:lineRule="auto" w:before="1" w:after="0"/>
        <w:ind w:left="1800" w:right="0" w:hanging="721"/>
        <w:jc w:val="left"/>
      </w:pPr>
      <w:r>
        <w:rPr>
          <w:color w:val="231F20"/>
          <w:spacing w:val="-5"/>
          <w:w w:val="110"/>
        </w:rPr>
        <w:t>Views </w:t>
      </w:r>
      <w:r>
        <w:rPr>
          <w:color w:val="231F20"/>
          <w:spacing w:val="-3"/>
          <w:w w:val="110"/>
        </w:rPr>
        <w:t>of other</w:t>
      </w:r>
      <w:r>
        <w:rPr>
          <w:color w:val="231F20"/>
          <w:spacing w:val="-12"/>
          <w:w w:val="110"/>
        </w:rPr>
        <w:t> </w:t>
      </w:r>
      <w:r>
        <w:rPr>
          <w:color w:val="231F20"/>
          <w:spacing w:val="-4"/>
          <w:w w:val="110"/>
        </w:rPr>
        <w:t>churches</w:t>
      </w:r>
    </w:p>
    <w:p>
      <w:pPr>
        <w:pStyle w:val="ListParagraph"/>
        <w:numPr>
          <w:ilvl w:val="1"/>
          <w:numId w:val="120"/>
        </w:numPr>
        <w:tabs>
          <w:tab w:pos="1800" w:val="left" w:leader="none"/>
          <w:tab w:pos="1801" w:val="left" w:leader="none"/>
        </w:tabs>
        <w:spacing w:line="273" w:lineRule="auto" w:before="258" w:after="0"/>
        <w:ind w:left="1080" w:right="1447" w:firstLine="0"/>
        <w:jc w:val="left"/>
        <w:rPr>
          <w:sz w:val="18"/>
        </w:rPr>
      </w:pPr>
      <w:r>
        <w:rPr>
          <w:color w:val="231F20"/>
          <w:w w:val="110"/>
          <w:sz w:val="18"/>
        </w:rPr>
        <w:t>Methodist churches are able to consider applying for Lottery funding. In </w:t>
      </w:r>
      <w:r>
        <w:rPr>
          <w:color w:val="231F20"/>
          <w:spacing w:val="-5"/>
          <w:w w:val="110"/>
          <w:sz w:val="18"/>
        </w:rPr>
        <w:t>1999, </w:t>
      </w:r>
      <w:r>
        <w:rPr>
          <w:color w:val="231F20"/>
          <w:w w:val="110"/>
          <w:sz w:val="18"/>
        </w:rPr>
        <w:t>Methodist Conference agreed that </w:t>
      </w:r>
      <w:r>
        <w:rPr>
          <w:color w:val="231F20"/>
          <w:spacing w:val="-3"/>
          <w:w w:val="110"/>
          <w:sz w:val="18"/>
        </w:rPr>
        <w:t>any </w:t>
      </w:r>
      <w:r>
        <w:rPr>
          <w:color w:val="231F20"/>
          <w:w w:val="110"/>
          <w:sz w:val="18"/>
        </w:rPr>
        <w:t>decision was for local managing trustees. The Church has around </w:t>
      </w:r>
      <w:r>
        <w:rPr>
          <w:color w:val="231F20"/>
          <w:spacing w:val="-3"/>
          <w:w w:val="110"/>
          <w:sz w:val="18"/>
        </w:rPr>
        <w:t>620 </w:t>
      </w:r>
      <w:r>
        <w:rPr>
          <w:color w:val="231F20"/>
          <w:w w:val="110"/>
          <w:sz w:val="18"/>
        </w:rPr>
        <w:t>listed churches in England, Scotland, Wales and the Channel Islands. Three or four applications </w:t>
      </w:r>
      <w:r>
        <w:rPr>
          <w:color w:val="231F20"/>
          <w:spacing w:val="-3"/>
          <w:w w:val="110"/>
          <w:sz w:val="18"/>
        </w:rPr>
        <w:t>have </w:t>
      </w:r>
      <w:r>
        <w:rPr>
          <w:color w:val="231F20"/>
          <w:w w:val="110"/>
          <w:sz w:val="18"/>
        </w:rPr>
        <w:t>been made each year since </w:t>
      </w:r>
      <w:r>
        <w:rPr>
          <w:color w:val="231F20"/>
          <w:spacing w:val="-3"/>
          <w:w w:val="110"/>
          <w:sz w:val="18"/>
        </w:rPr>
        <w:t>2000; </w:t>
      </w:r>
      <w:r>
        <w:rPr>
          <w:color w:val="231F20"/>
          <w:w w:val="110"/>
          <w:sz w:val="18"/>
        </w:rPr>
        <w:t>the majority </w:t>
      </w:r>
      <w:r>
        <w:rPr>
          <w:color w:val="231F20"/>
          <w:spacing w:val="-3"/>
          <w:w w:val="110"/>
          <w:sz w:val="18"/>
        </w:rPr>
        <w:t>have </w:t>
      </w:r>
      <w:r>
        <w:rPr>
          <w:color w:val="231F20"/>
          <w:w w:val="110"/>
          <w:sz w:val="18"/>
        </w:rPr>
        <w:t>been successful, realising, on average, something in the region of </w:t>
      </w:r>
      <w:r>
        <w:rPr>
          <w:color w:val="231F20"/>
          <w:spacing w:val="-4"/>
          <w:w w:val="110"/>
          <w:sz w:val="18"/>
        </w:rPr>
        <w:t>£100,000. </w:t>
      </w:r>
      <w:r>
        <w:rPr>
          <w:color w:val="231F20"/>
          <w:w w:val="110"/>
          <w:sz w:val="18"/>
        </w:rPr>
        <w:t>Some local trustees </w:t>
      </w:r>
      <w:r>
        <w:rPr>
          <w:color w:val="231F20"/>
          <w:spacing w:val="-3"/>
          <w:w w:val="110"/>
          <w:sz w:val="18"/>
        </w:rPr>
        <w:t>have </w:t>
      </w:r>
      <w:r>
        <w:rPr>
          <w:color w:val="231F20"/>
          <w:w w:val="110"/>
          <w:sz w:val="18"/>
        </w:rPr>
        <w:t>declined to </w:t>
      </w:r>
      <w:r>
        <w:rPr>
          <w:color w:val="231F20"/>
          <w:spacing w:val="-4"/>
          <w:w w:val="110"/>
          <w:sz w:val="18"/>
        </w:rPr>
        <w:t>apply. </w:t>
      </w:r>
      <w:r>
        <w:rPr>
          <w:color w:val="231F20"/>
          <w:w w:val="110"/>
          <w:sz w:val="18"/>
        </w:rPr>
        <w:t>(While this paper was being drafted, there was debate within the Methodist Church about whether the trustees of the Old Rectory, Epworth – Wesley’s birthplace – should accept Lottery money to fund</w:t>
      </w:r>
      <w:r>
        <w:rPr>
          <w:color w:val="231F20"/>
          <w:spacing w:val="-25"/>
          <w:w w:val="110"/>
          <w:sz w:val="18"/>
        </w:rPr>
        <w:t> </w:t>
      </w:r>
      <w:r>
        <w:rPr>
          <w:color w:val="231F20"/>
          <w:w w:val="110"/>
          <w:sz w:val="18"/>
        </w:rPr>
        <w:t>restoration).</w:t>
      </w:r>
    </w:p>
    <w:p>
      <w:pPr>
        <w:pStyle w:val="BodyText"/>
        <w:spacing w:line="273" w:lineRule="auto" w:before="5"/>
        <w:ind w:left="1080" w:right="1375"/>
      </w:pPr>
      <w:r>
        <w:rPr>
          <w:color w:val="231F20"/>
          <w:w w:val="110"/>
        </w:rPr>
        <w:t>The Methodist Church’s general approach to the Lottery, as with other forms of gambling, is to press for safeguards to protect people from harm (for more details see </w:t>
      </w:r>
      <w:hyperlink r:id="rId327">
        <w:r>
          <w:rPr>
            <w:color w:val="231F20"/>
            <w:w w:val="110"/>
          </w:rPr>
          <w:t>www.methodist.org.uk/static/factsheets/fs_lottery.htm).</w:t>
        </w:r>
      </w:hyperlink>
    </w:p>
    <w:p>
      <w:pPr>
        <w:pStyle w:val="BodyText"/>
        <w:spacing w:before="8"/>
        <w:rPr>
          <w:sz w:val="20"/>
        </w:rPr>
      </w:pPr>
    </w:p>
    <w:p>
      <w:pPr>
        <w:pStyle w:val="ListParagraph"/>
        <w:numPr>
          <w:ilvl w:val="1"/>
          <w:numId w:val="120"/>
        </w:numPr>
        <w:tabs>
          <w:tab w:pos="1800" w:val="left" w:leader="none"/>
          <w:tab w:pos="1801" w:val="left" w:leader="none"/>
        </w:tabs>
        <w:spacing w:line="273" w:lineRule="auto" w:before="1" w:after="0"/>
        <w:ind w:left="1080" w:right="1334" w:firstLine="0"/>
        <w:jc w:val="left"/>
        <w:rPr>
          <w:sz w:val="18"/>
        </w:rPr>
      </w:pPr>
      <w:r>
        <w:rPr>
          <w:color w:val="231F20"/>
          <w:w w:val="110"/>
          <w:sz w:val="18"/>
        </w:rPr>
        <w:t>The Salvation Army says it does not knowingly apply for </w:t>
      </w:r>
      <w:r>
        <w:rPr>
          <w:color w:val="231F20"/>
          <w:spacing w:val="3"/>
          <w:w w:val="110"/>
          <w:sz w:val="18"/>
        </w:rPr>
        <w:t>Lottery </w:t>
      </w:r>
      <w:r>
        <w:rPr>
          <w:color w:val="231F20"/>
          <w:w w:val="110"/>
          <w:sz w:val="18"/>
        </w:rPr>
        <w:t>funding for any purpose. </w:t>
      </w:r>
      <w:r>
        <w:rPr>
          <w:color w:val="231F20"/>
          <w:spacing w:val="-3"/>
          <w:w w:val="110"/>
          <w:sz w:val="18"/>
        </w:rPr>
        <w:t>However, </w:t>
      </w:r>
      <w:r>
        <w:rPr>
          <w:color w:val="231F20"/>
          <w:w w:val="110"/>
          <w:sz w:val="18"/>
        </w:rPr>
        <w:t>it acknowledges that it is possible that it has received money that has its origins in the Lottery, </w:t>
      </w:r>
      <w:r>
        <w:rPr>
          <w:color w:val="231F20"/>
          <w:spacing w:val="2"/>
          <w:w w:val="110"/>
          <w:sz w:val="18"/>
        </w:rPr>
        <w:t>because </w:t>
      </w:r>
      <w:r>
        <w:rPr>
          <w:color w:val="231F20"/>
          <w:w w:val="110"/>
          <w:sz w:val="18"/>
        </w:rPr>
        <w:t>it does not question donors about where their money came</w:t>
      </w:r>
      <w:r>
        <w:rPr>
          <w:color w:val="231F20"/>
          <w:spacing w:val="1"/>
          <w:w w:val="110"/>
          <w:sz w:val="18"/>
        </w:rPr>
        <w:t> </w:t>
      </w:r>
      <w:r>
        <w:rPr>
          <w:color w:val="231F20"/>
          <w:w w:val="110"/>
          <w:sz w:val="18"/>
        </w:rPr>
        <w:t>from.</w:t>
      </w:r>
    </w:p>
    <w:p>
      <w:pPr>
        <w:pStyle w:val="BodyText"/>
        <w:spacing w:before="9"/>
        <w:rPr>
          <w:sz w:val="20"/>
        </w:rPr>
      </w:pPr>
    </w:p>
    <w:p>
      <w:pPr>
        <w:pStyle w:val="BodyText"/>
        <w:tabs>
          <w:tab w:pos="1800" w:val="left" w:leader="none"/>
        </w:tabs>
        <w:spacing w:line="273" w:lineRule="auto"/>
        <w:ind w:left="1080" w:right="1375"/>
      </w:pPr>
      <w:r>
        <w:rPr>
          <w:color w:val="231F20"/>
          <w:spacing w:val="-8"/>
          <w:w w:val="110"/>
        </w:rPr>
        <w:t>7.3.</w:t>
        <w:tab/>
      </w:r>
      <w:r>
        <w:rPr>
          <w:color w:val="231F20"/>
          <w:w w:val="110"/>
        </w:rPr>
        <w:t>The Church of England </w:t>
      </w:r>
      <w:r>
        <w:rPr>
          <w:color w:val="231F20"/>
          <w:spacing w:val="2"/>
          <w:w w:val="110"/>
        </w:rPr>
        <w:t>sees </w:t>
      </w:r>
      <w:r>
        <w:rPr>
          <w:color w:val="231F20"/>
          <w:w w:val="110"/>
        </w:rPr>
        <w:t>no basis on which </w:t>
      </w:r>
      <w:r>
        <w:rPr>
          <w:color w:val="231F20"/>
          <w:spacing w:val="3"/>
          <w:w w:val="110"/>
        </w:rPr>
        <w:t>Lottery </w:t>
      </w:r>
      <w:r>
        <w:rPr>
          <w:color w:val="231F20"/>
          <w:w w:val="110"/>
        </w:rPr>
        <w:t>money should be used to finance worship, evangelism and pastoral care. </w:t>
      </w:r>
      <w:r>
        <w:rPr>
          <w:color w:val="231F20"/>
          <w:spacing w:val="-3"/>
          <w:w w:val="110"/>
        </w:rPr>
        <w:t>However,  </w:t>
      </w:r>
      <w:r>
        <w:rPr>
          <w:color w:val="231F20"/>
          <w:w w:val="110"/>
        </w:rPr>
        <w:t>the repair and maintenance</w:t>
      </w:r>
      <w:r>
        <w:rPr>
          <w:color w:val="231F20"/>
          <w:spacing w:val="69"/>
          <w:w w:val="110"/>
        </w:rPr>
        <w:t> </w:t>
      </w:r>
      <w:r>
        <w:rPr>
          <w:color w:val="231F20"/>
          <w:w w:val="110"/>
        </w:rPr>
        <w:t>of</w:t>
      </w:r>
      <w:r>
        <w:rPr>
          <w:color w:val="231F20"/>
          <w:spacing w:val="11"/>
          <w:w w:val="110"/>
        </w:rPr>
        <w:t> </w:t>
      </w:r>
      <w:r>
        <w:rPr>
          <w:color w:val="231F20"/>
          <w:w w:val="110"/>
        </w:rPr>
        <w:t>historic</w:t>
      </w:r>
      <w:r>
        <w:rPr>
          <w:color w:val="231F20"/>
          <w:spacing w:val="11"/>
          <w:w w:val="110"/>
        </w:rPr>
        <w:t> </w:t>
      </w:r>
      <w:r>
        <w:rPr>
          <w:color w:val="231F20"/>
          <w:w w:val="110"/>
        </w:rPr>
        <w:t>churches</w:t>
      </w:r>
      <w:r>
        <w:rPr>
          <w:color w:val="231F20"/>
          <w:spacing w:val="12"/>
          <w:w w:val="110"/>
        </w:rPr>
        <w:t> </w:t>
      </w:r>
      <w:r>
        <w:rPr>
          <w:color w:val="231F20"/>
          <w:w w:val="110"/>
        </w:rPr>
        <w:t>and</w:t>
      </w:r>
      <w:r>
        <w:rPr>
          <w:color w:val="231F20"/>
          <w:spacing w:val="11"/>
          <w:w w:val="110"/>
        </w:rPr>
        <w:t> </w:t>
      </w:r>
      <w:r>
        <w:rPr>
          <w:color w:val="231F20"/>
          <w:w w:val="110"/>
        </w:rPr>
        <w:t>cathedrals</w:t>
      </w:r>
      <w:r>
        <w:rPr>
          <w:color w:val="231F20"/>
          <w:spacing w:val="12"/>
          <w:w w:val="110"/>
        </w:rPr>
        <w:t> </w:t>
      </w:r>
      <w:r>
        <w:rPr>
          <w:color w:val="231F20"/>
          <w:w w:val="110"/>
        </w:rPr>
        <w:t>is</w:t>
      </w:r>
      <w:r>
        <w:rPr>
          <w:color w:val="231F20"/>
          <w:spacing w:val="11"/>
          <w:w w:val="110"/>
        </w:rPr>
        <w:t> </w:t>
      </w:r>
      <w:r>
        <w:rPr>
          <w:color w:val="231F20"/>
          <w:w w:val="110"/>
        </w:rPr>
        <w:t>seen</w:t>
      </w:r>
      <w:r>
        <w:rPr>
          <w:color w:val="231F20"/>
          <w:spacing w:val="11"/>
          <w:w w:val="110"/>
        </w:rPr>
        <w:t> </w:t>
      </w:r>
      <w:r>
        <w:rPr>
          <w:color w:val="231F20"/>
          <w:w w:val="110"/>
        </w:rPr>
        <w:t>as</w:t>
      </w:r>
      <w:r>
        <w:rPr>
          <w:color w:val="231F20"/>
          <w:spacing w:val="12"/>
          <w:w w:val="110"/>
        </w:rPr>
        <w:t> </w:t>
      </w:r>
      <w:r>
        <w:rPr>
          <w:color w:val="231F20"/>
          <w:w w:val="110"/>
        </w:rPr>
        <w:t>being</w:t>
      </w:r>
      <w:r>
        <w:rPr>
          <w:color w:val="231F20"/>
          <w:spacing w:val="11"/>
          <w:w w:val="110"/>
        </w:rPr>
        <w:t> </w:t>
      </w:r>
      <w:r>
        <w:rPr>
          <w:color w:val="231F20"/>
          <w:w w:val="110"/>
        </w:rPr>
        <w:t>a</w:t>
      </w:r>
      <w:r>
        <w:rPr>
          <w:color w:val="231F20"/>
          <w:spacing w:val="12"/>
          <w:w w:val="110"/>
        </w:rPr>
        <w:t> </w:t>
      </w:r>
      <w:r>
        <w:rPr>
          <w:color w:val="231F20"/>
          <w:w w:val="110"/>
        </w:rPr>
        <w:t>responsibility</w:t>
      </w:r>
      <w:r>
        <w:rPr>
          <w:color w:val="231F20"/>
          <w:spacing w:val="11"/>
          <w:w w:val="110"/>
        </w:rPr>
        <w:t> </w:t>
      </w:r>
      <w:r>
        <w:rPr>
          <w:color w:val="231F20"/>
          <w:w w:val="110"/>
        </w:rPr>
        <w:t>which</w:t>
      </w:r>
      <w:r>
        <w:rPr>
          <w:color w:val="231F20"/>
          <w:spacing w:val="12"/>
          <w:w w:val="110"/>
        </w:rPr>
        <w:t> </w:t>
      </w:r>
      <w:r>
        <w:rPr>
          <w:color w:val="231F20"/>
          <w:w w:val="110"/>
        </w:rPr>
        <w:t>the</w:t>
      </w:r>
      <w:r>
        <w:rPr>
          <w:color w:val="231F20"/>
          <w:spacing w:val="11"/>
          <w:w w:val="110"/>
        </w:rPr>
        <w:t> </w:t>
      </w:r>
      <w:r>
        <w:rPr>
          <w:color w:val="231F20"/>
          <w:w w:val="110"/>
        </w:rPr>
        <w:t>Church</w:t>
      </w:r>
    </w:p>
    <w:p>
      <w:pPr>
        <w:pStyle w:val="BodyText"/>
        <w:spacing w:line="273" w:lineRule="auto" w:before="2"/>
        <w:ind w:left="1080" w:right="1205"/>
      </w:pPr>
      <w:r>
        <w:rPr>
          <w:color w:val="231F20"/>
          <w:w w:val="110"/>
        </w:rPr>
        <w:t>undertakes, in part, on behalf of the nation as a whole. The Church’s bishops therefore decided that it would be acceptable for individual Church of England bodies to decide</w:t>
      </w:r>
    </w:p>
    <w:p>
      <w:pPr>
        <w:spacing w:after="0" w:line="273" w:lineRule="auto"/>
        <w:sectPr>
          <w:pgSz w:w="11910" w:h="16840"/>
          <w:pgMar w:header="558" w:footer="564" w:top="820" w:bottom="760" w:left="620" w:right="0"/>
        </w:sectPr>
      </w:pPr>
    </w:p>
    <w:p>
      <w:pPr>
        <w:pStyle w:val="BodyText"/>
        <w:spacing w:before="9"/>
        <w:rPr>
          <w:sz w:val="13"/>
        </w:rPr>
      </w:pPr>
    </w:p>
    <w:p>
      <w:pPr>
        <w:pStyle w:val="BodyText"/>
        <w:spacing w:line="273" w:lineRule="auto" w:before="101"/>
        <w:ind w:left="513" w:right="1844"/>
      </w:pPr>
      <w:r>
        <w:rPr>
          <w:color w:val="231F20"/>
          <w:w w:val="110"/>
        </w:rPr>
        <w:t>whether to apply for Lottery funds for projects connected with these purposes – and many have done so. The Church of England has 4,200 parish churches that are Grade 1 listed, representing 45% of all Grade 1 buildings in England.</w:t>
      </w:r>
    </w:p>
    <w:p>
      <w:pPr>
        <w:pStyle w:val="BodyText"/>
        <w:spacing w:before="8"/>
        <w:rPr>
          <w:sz w:val="20"/>
        </w:rPr>
      </w:pPr>
    </w:p>
    <w:p>
      <w:pPr>
        <w:pStyle w:val="BodyText"/>
        <w:tabs>
          <w:tab w:pos="1233" w:val="left" w:leader="none"/>
        </w:tabs>
        <w:spacing w:line="273" w:lineRule="auto"/>
        <w:ind w:left="513" w:right="1791"/>
      </w:pPr>
      <w:r>
        <w:rPr>
          <w:color w:val="231F20"/>
          <w:spacing w:val="-11"/>
          <w:w w:val="110"/>
        </w:rPr>
        <w:t>7.4</w:t>
        <w:tab/>
      </w:r>
      <w:r>
        <w:rPr>
          <w:color w:val="231F20"/>
          <w:w w:val="110"/>
        </w:rPr>
        <w:t>Despite a distaste for the Lottery, the General Assembly of the Church of Scotland voted in </w:t>
      </w:r>
      <w:r>
        <w:rPr>
          <w:color w:val="231F20"/>
          <w:spacing w:val="-4"/>
          <w:w w:val="110"/>
        </w:rPr>
        <w:t>1998 </w:t>
      </w:r>
      <w:r>
        <w:rPr>
          <w:color w:val="231F20"/>
          <w:w w:val="110"/>
        </w:rPr>
        <w:t>to permit congregations to </w:t>
      </w:r>
      <w:r>
        <w:rPr>
          <w:color w:val="231F20"/>
          <w:spacing w:val="-3"/>
          <w:w w:val="110"/>
        </w:rPr>
        <w:t>make </w:t>
      </w:r>
      <w:r>
        <w:rPr>
          <w:color w:val="231F20"/>
          <w:w w:val="110"/>
        </w:rPr>
        <w:t>application for Lottery funds as they saw fit, recognising that public funding was increasingly financed by Lottery</w:t>
      </w:r>
      <w:r>
        <w:rPr>
          <w:color w:val="231F20"/>
          <w:spacing w:val="-26"/>
          <w:w w:val="110"/>
        </w:rPr>
        <w:t> </w:t>
      </w:r>
      <w:r>
        <w:rPr>
          <w:color w:val="231F20"/>
          <w:w w:val="110"/>
        </w:rPr>
        <w:t>revenue.</w:t>
      </w:r>
    </w:p>
    <w:p>
      <w:pPr>
        <w:pStyle w:val="BodyText"/>
        <w:rPr>
          <w:sz w:val="22"/>
        </w:rPr>
      </w:pPr>
    </w:p>
    <w:p>
      <w:pPr>
        <w:pStyle w:val="BodyText"/>
        <w:spacing w:before="3"/>
        <w:rPr>
          <w:sz w:val="19"/>
        </w:rPr>
      </w:pPr>
    </w:p>
    <w:p>
      <w:pPr>
        <w:pStyle w:val="Heading9"/>
        <w:numPr>
          <w:ilvl w:val="0"/>
          <w:numId w:val="120"/>
        </w:numPr>
        <w:tabs>
          <w:tab w:pos="1233" w:val="left" w:leader="none"/>
          <w:tab w:pos="1234" w:val="left" w:leader="none"/>
        </w:tabs>
        <w:spacing w:line="240" w:lineRule="auto" w:before="0" w:after="0"/>
        <w:ind w:left="1233" w:right="0" w:hanging="721"/>
        <w:jc w:val="left"/>
      </w:pPr>
      <w:r>
        <w:rPr>
          <w:color w:val="231F20"/>
          <w:w w:val="110"/>
        </w:rPr>
        <w:t>Commentary</w:t>
      </w:r>
    </w:p>
    <w:p>
      <w:pPr>
        <w:pStyle w:val="ListParagraph"/>
        <w:numPr>
          <w:ilvl w:val="1"/>
          <w:numId w:val="120"/>
        </w:numPr>
        <w:tabs>
          <w:tab w:pos="1233" w:val="left" w:leader="none"/>
          <w:tab w:pos="1234" w:val="left" w:leader="none"/>
        </w:tabs>
        <w:spacing w:line="273" w:lineRule="auto" w:before="258" w:after="0"/>
        <w:ind w:left="513" w:right="2116" w:firstLine="0"/>
        <w:jc w:val="left"/>
        <w:rPr>
          <w:sz w:val="18"/>
        </w:rPr>
      </w:pPr>
      <w:r>
        <w:rPr>
          <w:color w:val="231F20"/>
          <w:w w:val="110"/>
          <w:sz w:val="18"/>
        </w:rPr>
        <w:t>It is, perhaps fitting, that the Church should be considering the issue of  </w:t>
      </w:r>
      <w:r>
        <w:rPr>
          <w:color w:val="231F20"/>
          <w:spacing w:val="3"/>
          <w:w w:val="110"/>
          <w:sz w:val="18"/>
        </w:rPr>
        <w:t>Lottery </w:t>
      </w:r>
      <w:r>
        <w:rPr>
          <w:color w:val="231F20"/>
          <w:w w:val="110"/>
          <w:sz w:val="18"/>
        </w:rPr>
        <w:t>funding, as it commemorates the 200</w:t>
      </w:r>
      <w:r>
        <w:rPr>
          <w:color w:val="231F20"/>
          <w:w w:val="110"/>
          <w:position w:val="6"/>
          <w:sz w:val="10"/>
        </w:rPr>
        <w:t>th </w:t>
      </w:r>
      <w:r>
        <w:rPr>
          <w:color w:val="231F20"/>
          <w:w w:val="110"/>
          <w:sz w:val="18"/>
        </w:rPr>
        <w:t>anniversary of the ending of Britain’s involvement</w:t>
      </w:r>
      <w:r>
        <w:rPr>
          <w:color w:val="231F20"/>
          <w:spacing w:val="7"/>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Transatlantic</w:t>
      </w:r>
      <w:r>
        <w:rPr>
          <w:color w:val="231F20"/>
          <w:spacing w:val="7"/>
          <w:w w:val="110"/>
          <w:sz w:val="18"/>
        </w:rPr>
        <w:t> </w:t>
      </w:r>
      <w:r>
        <w:rPr>
          <w:color w:val="231F20"/>
          <w:w w:val="110"/>
          <w:sz w:val="18"/>
        </w:rPr>
        <w:t>slave</w:t>
      </w:r>
      <w:r>
        <w:rPr>
          <w:color w:val="231F20"/>
          <w:spacing w:val="7"/>
          <w:w w:val="110"/>
          <w:sz w:val="18"/>
        </w:rPr>
        <w:t> </w:t>
      </w:r>
      <w:r>
        <w:rPr>
          <w:color w:val="231F20"/>
          <w:w w:val="110"/>
          <w:sz w:val="18"/>
        </w:rPr>
        <w:t>trade.</w:t>
      </w:r>
      <w:r>
        <w:rPr>
          <w:color w:val="231F20"/>
          <w:spacing w:val="7"/>
          <w:w w:val="110"/>
          <w:sz w:val="18"/>
        </w:rPr>
        <w:t> </w:t>
      </w:r>
      <w:r>
        <w:rPr>
          <w:color w:val="231F20"/>
          <w:w w:val="110"/>
          <w:sz w:val="18"/>
        </w:rPr>
        <w:t>When</w:t>
      </w:r>
      <w:r>
        <w:rPr>
          <w:color w:val="231F20"/>
          <w:spacing w:val="7"/>
          <w:w w:val="110"/>
          <w:sz w:val="18"/>
        </w:rPr>
        <w:t> </w:t>
      </w:r>
      <w:r>
        <w:rPr>
          <w:color w:val="231F20"/>
          <w:w w:val="110"/>
          <w:sz w:val="18"/>
        </w:rPr>
        <w:t>the</w:t>
      </w:r>
      <w:r>
        <w:rPr>
          <w:color w:val="231F20"/>
          <w:spacing w:val="7"/>
          <w:w w:val="110"/>
          <w:sz w:val="18"/>
        </w:rPr>
        <w:t> </w:t>
      </w:r>
      <w:r>
        <w:rPr>
          <w:color w:val="231F20"/>
          <w:spacing w:val="2"/>
          <w:w w:val="110"/>
          <w:sz w:val="18"/>
        </w:rPr>
        <w:t>Act</w:t>
      </w:r>
      <w:r>
        <w:rPr>
          <w:color w:val="231F20"/>
          <w:spacing w:val="7"/>
          <w:w w:val="110"/>
          <w:sz w:val="18"/>
        </w:rPr>
        <w:t> </w:t>
      </w:r>
      <w:r>
        <w:rPr>
          <w:color w:val="231F20"/>
          <w:w w:val="110"/>
          <w:sz w:val="18"/>
        </w:rPr>
        <w:t>of</w:t>
      </w:r>
      <w:r>
        <w:rPr>
          <w:color w:val="231F20"/>
          <w:spacing w:val="8"/>
          <w:w w:val="110"/>
          <w:sz w:val="18"/>
        </w:rPr>
        <w:t> </w:t>
      </w:r>
      <w:r>
        <w:rPr>
          <w:color w:val="231F20"/>
          <w:w w:val="110"/>
          <w:sz w:val="18"/>
        </w:rPr>
        <w:t>abolition</w:t>
      </w:r>
      <w:r>
        <w:rPr>
          <w:color w:val="231F20"/>
          <w:spacing w:val="7"/>
          <w:w w:val="110"/>
          <w:sz w:val="18"/>
        </w:rPr>
        <w:t> </w:t>
      </w:r>
      <w:r>
        <w:rPr>
          <w:color w:val="231F20"/>
          <w:w w:val="110"/>
          <w:sz w:val="18"/>
        </w:rPr>
        <w:t>was</w:t>
      </w:r>
      <w:r>
        <w:rPr>
          <w:color w:val="231F20"/>
          <w:spacing w:val="7"/>
          <w:w w:val="110"/>
          <w:sz w:val="18"/>
        </w:rPr>
        <w:t> </w:t>
      </w:r>
      <w:r>
        <w:rPr>
          <w:color w:val="231F20"/>
          <w:spacing w:val="2"/>
          <w:w w:val="110"/>
          <w:sz w:val="18"/>
        </w:rPr>
        <w:t>passed</w:t>
      </w:r>
      <w:r>
        <w:rPr>
          <w:color w:val="231F20"/>
          <w:spacing w:val="7"/>
          <w:w w:val="110"/>
          <w:sz w:val="18"/>
        </w:rPr>
        <w:t> </w:t>
      </w:r>
      <w:r>
        <w:rPr>
          <w:color w:val="231F20"/>
          <w:w w:val="110"/>
          <w:sz w:val="18"/>
        </w:rPr>
        <w:t>in</w:t>
      </w:r>
    </w:p>
    <w:p>
      <w:pPr>
        <w:pStyle w:val="BodyText"/>
        <w:spacing w:before="2"/>
        <w:ind w:left="513"/>
      </w:pPr>
      <w:r>
        <w:rPr>
          <w:color w:val="231F20"/>
          <w:w w:val="110"/>
        </w:rPr>
        <w:t>1806, William Wilberforce apparently turned to another abolitionist and said exultantly:</w:t>
      </w:r>
    </w:p>
    <w:p>
      <w:pPr>
        <w:spacing w:before="32"/>
        <w:ind w:left="513" w:right="0" w:firstLine="0"/>
        <w:jc w:val="left"/>
        <w:rPr>
          <w:i/>
          <w:sz w:val="18"/>
        </w:rPr>
      </w:pPr>
      <w:r>
        <w:rPr>
          <w:i/>
          <w:color w:val="231F20"/>
          <w:w w:val="110"/>
          <w:sz w:val="18"/>
        </w:rPr>
        <w:t>What shall be abolish next? </w:t>
      </w:r>
      <w:r>
        <w:rPr>
          <w:color w:val="231F20"/>
          <w:w w:val="110"/>
          <w:sz w:val="18"/>
        </w:rPr>
        <w:t>The other is said to have replied: </w:t>
      </w:r>
      <w:r>
        <w:rPr>
          <w:i/>
          <w:color w:val="231F20"/>
          <w:w w:val="110"/>
          <w:sz w:val="18"/>
        </w:rPr>
        <w:t>The Lottery, I think.</w:t>
      </w:r>
    </w:p>
    <w:p>
      <w:pPr>
        <w:pStyle w:val="BodyText"/>
        <w:spacing w:before="31"/>
        <w:ind w:left="513"/>
      </w:pPr>
      <w:r>
        <w:rPr>
          <w:color w:val="231F20"/>
          <w:w w:val="110"/>
        </w:rPr>
        <w:t>The task for our Church currently, is much less ambitious than that!</w:t>
      </w:r>
    </w:p>
    <w:p>
      <w:pPr>
        <w:pStyle w:val="BodyText"/>
        <w:spacing w:before="1"/>
        <w:rPr>
          <w:sz w:val="23"/>
        </w:rPr>
      </w:pPr>
    </w:p>
    <w:p>
      <w:pPr>
        <w:pStyle w:val="ListParagraph"/>
        <w:numPr>
          <w:ilvl w:val="1"/>
          <w:numId w:val="120"/>
        </w:numPr>
        <w:tabs>
          <w:tab w:pos="1233" w:val="left" w:leader="none"/>
          <w:tab w:pos="1234" w:val="left" w:leader="none"/>
        </w:tabs>
        <w:spacing w:line="273" w:lineRule="auto" w:before="1" w:after="0"/>
        <w:ind w:left="513" w:right="1859" w:firstLine="0"/>
        <w:jc w:val="left"/>
        <w:rPr>
          <w:sz w:val="18"/>
        </w:rPr>
      </w:pPr>
      <w:r>
        <w:rPr>
          <w:color w:val="231F20"/>
          <w:w w:val="110"/>
          <w:sz w:val="18"/>
        </w:rPr>
        <w:t>It has been suggested that a more appropriate </w:t>
      </w:r>
      <w:r>
        <w:rPr>
          <w:color w:val="231F20"/>
          <w:spacing w:val="-3"/>
          <w:w w:val="110"/>
          <w:sz w:val="18"/>
        </w:rPr>
        <w:t>way </w:t>
      </w:r>
      <w:r>
        <w:rPr>
          <w:color w:val="231F20"/>
          <w:w w:val="110"/>
          <w:sz w:val="18"/>
        </w:rPr>
        <w:t>forward would be to protest to English Heritage that non-Lottery funding is not </w:t>
      </w:r>
      <w:r>
        <w:rPr>
          <w:color w:val="231F20"/>
          <w:spacing w:val="-3"/>
          <w:w w:val="110"/>
          <w:sz w:val="18"/>
        </w:rPr>
        <w:t>available </w:t>
      </w:r>
      <w:r>
        <w:rPr>
          <w:color w:val="231F20"/>
          <w:w w:val="110"/>
          <w:sz w:val="18"/>
        </w:rPr>
        <w:t>to Churches that object to seeking Lottery </w:t>
      </w:r>
      <w:r>
        <w:rPr>
          <w:color w:val="231F20"/>
          <w:spacing w:val="-5"/>
          <w:w w:val="110"/>
          <w:sz w:val="18"/>
        </w:rPr>
        <w:t>money, </w:t>
      </w:r>
      <w:r>
        <w:rPr>
          <w:color w:val="231F20"/>
          <w:spacing w:val="-3"/>
          <w:w w:val="110"/>
          <w:sz w:val="18"/>
        </w:rPr>
        <w:t>and/or </w:t>
      </w:r>
      <w:r>
        <w:rPr>
          <w:color w:val="231F20"/>
          <w:w w:val="110"/>
          <w:sz w:val="18"/>
        </w:rPr>
        <w:t>to urge government to </w:t>
      </w:r>
      <w:r>
        <w:rPr>
          <w:color w:val="231F20"/>
          <w:spacing w:val="-3"/>
          <w:w w:val="110"/>
          <w:sz w:val="18"/>
        </w:rPr>
        <w:t>make </w:t>
      </w:r>
      <w:r>
        <w:rPr>
          <w:color w:val="231F20"/>
          <w:w w:val="110"/>
          <w:sz w:val="18"/>
        </w:rPr>
        <w:t>other funds available from state sources. The Listed Buildings Advisory Group is clear that this would not change the government’s decision and could damage increasingly warm relations which the United Reformed Church enjoys with English Heritage, which is said to be increasingly sympathetic to the position of Churches. An approach to government would not be easy to mount, as colleague churches are accepting Lottery funding. Another suggestion is to encourage application to other independent sources of funding. </w:t>
      </w:r>
      <w:r>
        <w:rPr>
          <w:color w:val="231F20"/>
          <w:spacing w:val="-3"/>
          <w:w w:val="110"/>
          <w:sz w:val="18"/>
        </w:rPr>
        <w:t>Again, </w:t>
      </w:r>
      <w:r>
        <w:rPr>
          <w:color w:val="231F20"/>
          <w:w w:val="110"/>
          <w:sz w:val="18"/>
        </w:rPr>
        <w:t>the advice of the Listed Buildings Advisory Group is that this is becoming increasingly difficult – except, perhaps, in the case of Grade 1 listed </w:t>
      </w:r>
      <w:r>
        <w:rPr>
          <w:color w:val="231F20"/>
          <w:spacing w:val="-3"/>
          <w:w w:val="110"/>
          <w:sz w:val="18"/>
        </w:rPr>
        <w:t>buildings; </w:t>
      </w:r>
      <w:r>
        <w:rPr>
          <w:color w:val="231F20"/>
          <w:w w:val="110"/>
          <w:sz w:val="18"/>
        </w:rPr>
        <w:t>for other listed buildings, independent trusts refer applicants to the Heritage Lottery</w:t>
      </w:r>
      <w:r>
        <w:rPr>
          <w:color w:val="231F20"/>
          <w:spacing w:val="-17"/>
          <w:w w:val="110"/>
          <w:sz w:val="18"/>
        </w:rPr>
        <w:t> </w:t>
      </w:r>
      <w:r>
        <w:rPr>
          <w:color w:val="231F20"/>
          <w:spacing w:val="-4"/>
          <w:w w:val="110"/>
          <w:sz w:val="18"/>
        </w:rPr>
        <w:t>Fund.</w:t>
      </w:r>
    </w:p>
    <w:p>
      <w:pPr>
        <w:pStyle w:val="BodyText"/>
        <w:spacing w:before="2"/>
        <w:rPr>
          <w:sz w:val="21"/>
        </w:rPr>
      </w:pPr>
    </w:p>
    <w:p>
      <w:pPr>
        <w:pStyle w:val="ListParagraph"/>
        <w:numPr>
          <w:ilvl w:val="1"/>
          <w:numId w:val="120"/>
        </w:numPr>
        <w:tabs>
          <w:tab w:pos="1234" w:val="left" w:leader="none"/>
          <w:tab w:pos="1235" w:val="left" w:leader="none"/>
        </w:tabs>
        <w:spacing w:line="273" w:lineRule="auto" w:before="0" w:after="0"/>
        <w:ind w:left="513" w:right="1920" w:firstLine="0"/>
        <w:jc w:val="left"/>
        <w:rPr>
          <w:sz w:val="18"/>
        </w:rPr>
      </w:pPr>
      <w:r>
        <w:rPr>
          <w:color w:val="231F20"/>
          <w:w w:val="110"/>
          <w:sz w:val="18"/>
        </w:rPr>
        <w:t>The Church and Society committee re-affirms its concern about the impact of  the Lottery and will continue to work with other denominations to express this. The committee recognises that it is readily accessible to those for whom gambling is, or </w:t>
      </w:r>
      <w:r>
        <w:rPr>
          <w:color w:val="231F20"/>
          <w:spacing w:val="-4"/>
          <w:w w:val="110"/>
          <w:sz w:val="18"/>
        </w:rPr>
        <w:t>may </w:t>
      </w:r>
      <w:r>
        <w:rPr>
          <w:color w:val="231F20"/>
          <w:w w:val="110"/>
          <w:sz w:val="18"/>
        </w:rPr>
        <w:t>become, addictive, and that it </w:t>
      </w:r>
      <w:r>
        <w:rPr>
          <w:color w:val="231F20"/>
          <w:spacing w:val="-3"/>
          <w:w w:val="110"/>
          <w:sz w:val="18"/>
        </w:rPr>
        <w:t>may </w:t>
      </w:r>
      <w:r>
        <w:rPr>
          <w:color w:val="231F20"/>
          <w:w w:val="110"/>
          <w:sz w:val="18"/>
        </w:rPr>
        <w:t>normalise gambling for people, some of whom </w:t>
      </w:r>
      <w:r>
        <w:rPr>
          <w:color w:val="231F20"/>
          <w:spacing w:val="-4"/>
          <w:w w:val="110"/>
          <w:sz w:val="18"/>
        </w:rPr>
        <w:t>may </w:t>
      </w:r>
      <w:r>
        <w:rPr>
          <w:color w:val="231F20"/>
          <w:w w:val="110"/>
          <w:sz w:val="18"/>
        </w:rPr>
        <w:t>be driven further into poverty as a consequence. </w:t>
      </w:r>
      <w:r>
        <w:rPr>
          <w:color w:val="231F20"/>
          <w:spacing w:val="-5"/>
          <w:w w:val="110"/>
          <w:sz w:val="18"/>
        </w:rPr>
        <w:t>However, </w:t>
      </w:r>
      <w:r>
        <w:rPr>
          <w:color w:val="231F20"/>
          <w:w w:val="110"/>
          <w:sz w:val="18"/>
        </w:rPr>
        <w:t>taking into account all</w:t>
      </w:r>
      <w:r>
        <w:rPr>
          <w:color w:val="231F20"/>
          <w:spacing w:val="-5"/>
          <w:w w:val="110"/>
          <w:sz w:val="18"/>
        </w:rPr>
        <w:t> </w:t>
      </w:r>
      <w:r>
        <w:rPr>
          <w:color w:val="231F20"/>
          <w:w w:val="110"/>
          <w:sz w:val="18"/>
        </w:rPr>
        <w:t>the</w:t>
      </w:r>
    </w:p>
    <w:p>
      <w:pPr>
        <w:pStyle w:val="BodyText"/>
        <w:spacing w:line="273" w:lineRule="auto" w:before="3"/>
        <w:ind w:left="513" w:right="1753"/>
      </w:pPr>
      <w:r>
        <w:rPr>
          <w:color w:val="231F20"/>
          <w:w w:val="110"/>
        </w:rPr>
        <w:t>circumstances, the committee believes it is now right to recommend to General Assembly that it should allow the elders and church meeting of churches which are </w:t>
      </w:r>
      <w:r>
        <w:rPr>
          <w:i/>
          <w:color w:val="231F20"/>
          <w:w w:val="110"/>
          <w:u w:val="single" w:color="231F20"/>
        </w:rPr>
        <w:t>listed</w:t>
      </w:r>
      <w:r>
        <w:rPr>
          <w:i/>
          <w:color w:val="231F20"/>
          <w:w w:val="110"/>
        </w:rPr>
        <w:t> </w:t>
      </w:r>
      <w:r>
        <w:rPr>
          <w:color w:val="231F20"/>
          <w:w w:val="110"/>
        </w:rPr>
        <w:t>buildings, to make application for Heritage Lottery funding, for the upkeep of the building, if they wish to do so. This should not be taken as a more general endorsement of the Lottery.</w:t>
      </w:r>
    </w:p>
    <w:p>
      <w:pPr>
        <w:pStyle w:val="BodyText"/>
        <w:spacing w:before="3"/>
        <w:ind w:left="513"/>
      </w:pPr>
      <w:r>
        <w:rPr>
          <w:color w:val="231F20"/>
          <w:w w:val="110"/>
        </w:rPr>
        <w:t>The committee does not recommend that this relief be extended to other “historic” church</w:t>
      </w:r>
    </w:p>
    <w:p>
      <w:pPr>
        <w:pStyle w:val="BodyText"/>
        <w:spacing w:before="31"/>
        <w:ind w:left="513"/>
      </w:pPr>
      <w:r>
        <w:rPr>
          <w:color w:val="231F20"/>
          <w:w w:val="110"/>
        </w:rPr>
        <w:t>buildings which are not listed, as the same arguments do not necessarily apply.</w:t>
      </w:r>
    </w:p>
    <w:p>
      <w:pPr>
        <w:pStyle w:val="BodyText"/>
        <w:spacing w:before="6"/>
        <w:rPr>
          <w:sz w:val="24"/>
        </w:rPr>
      </w:pPr>
      <w:r>
        <w:rPr/>
        <w:pict>
          <v:group style="position:absolute;margin-left:42.025169pt;margin-top:16.856104pt;width:496.6pt;height:135pt;mso-position-horizontal-relative:page;mso-position-vertical-relative:paragraph;z-index:-251338752;mso-wrap-distance-left:0;mso-wrap-distance-right:0" coordorigin="841,337" coordsize="9932,2700">
            <v:rect style="position:absolute;left:1143;top:776;width:4016;height:304" filled="true" fillcolor="#d8dadc" stroked="false">
              <v:fill type="solid"/>
            </v:rect>
            <v:rect style="position:absolute;left:1143;top:450;width:159;height:326" filled="true" fillcolor="#d8dadc" stroked="false">
              <v:fill type="solid"/>
            </v:rect>
            <v:line style="position:absolute" from="1143,445" to="5159,445" stroked="true" strokeweight=".6pt" strokecolor="#d8dadc">
              <v:stroke dashstyle="solid"/>
            </v:line>
            <v:rect style="position:absolute;left:4743;top:450;width:416;height:327" filled="true" fillcolor="#d8dadc" stroked="false">
              <v:fill type="solid"/>
            </v:rect>
            <v:rect style="position:absolute;left:1301;top:450;width:3443;height:327" filled="true" fillcolor="#d8dadc" stroked="false">
              <v:fill type="solid"/>
            </v:rect>
            <v:shape style="position:absolute;left:840;top:386;width:9932;height:2651" type="#_x0000_t75" stroked="false">
              <v:imagedata r:id="rId328" o:title=""/>
            </v:shape>
            <v:shape style="position:absolute;left:1256;top:337;width:3648;height:739" type="#_x0000_t202" filled="false" stroked="false">
              <v:textbox inset="0,0,0,0">
                <w:txbxContent>
                  <w:p>
                    <w:pPr>
                      <w:spacing w:line="206" w:lineRule="auto" w:before="44"/>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38"/>
                        <w:w w:val="111"/>
                        <w:sz w:val="43"/>
                      </w:rPr>
                      <w:t>O</w:t>
                    </w:r>
                    <w:r>
                      <w:rPr>
                        <w:b/>
                        <w:color w:val="231F20"/>
                        <w:spacing w:val="-164"/>
                        <w:w w:val="112"/>
                        <w:position w:val="-19"/>
                        <w:sz w:val="50"/>
                      </w:rPr>
                      <w:t>4</w:t>
                    </w:r>
                    <w:r>
                      <w:rPr>
                        <w:b/>
                        <w:color w:val="FFFFFF"/>
                        <w:spacing w:val="-273"/>
                        <w:w w:val="111"/>
                        <w:sz w:val="43"/>
                      </w:rPr>
                      <w:t>N</w:t>
                    </w:r>
                    <w:r>
                      <w:rPr>
                        <w:b/>
                        <w:color w:val="231F20"/>
                        <w:spacing w:val="-30"/>
                        <w:w w:val="112"/>
                        <w:position w:val="-19"/>
                        <w:sz w:val="50"/>
                      </w:rPr>
                      <w:t>1</w:t>
                    </w:r>
                  </w:p>
                </w:txbxContent>
              </v:textbox>
              <w10:wrap type="none"/>
            </v:shape>
            <v:shape style="position:absolute;left:6559;top:771;width:3153;height:241" type="#_x0000_t202" filled="false" stroked="false">
              <v:textbox inset="0,0,0,0">
                <w:txbxContent>
                  <w:p>
                    <w:pPr>
                      <w:spacing w:line="241" w:lineRule="exact" w:before="0"/>
                      <w:ind w:left="0" w:right="0" w:firstLine="0"/>
                      <w:jc w:val="left"/>
                      <w:rPr>
                        <w:b/>
                        <w:sz w:val="20"/>
                      </w:rPr>
                    </w:pPr>
                    <w:r>
                      <w:rPr>
                        <w:b/>
                        <w:color w:val="231F20"/>
                        <w:w w:val="110"/>
                        <w:sz w:val="20"/>
                      </w:rPr>
                      <w:t>Heritage Lottery Funding</w:t>
                    </w:r>
                  </w:p>
                </w:txbxContent>
              </v:textbox>
              <w10:wrap type="none"/>
            </v:shape>
            <v:shape style="position:absolute;left:1133;top:1289;width:8715;height:1469" type="#_x0000_t202" filled="false" stroked="false">
              <v:textbox inset="0,0,0,0">
                <w:txbxContent>
                  <w:p>
                    <w:pPr>
                      <w:spacing w:line="273" w:lineRule="auto" w:before="0"/>
                      <w:ind w:left="0" w:right="18" w:firstLine="0"/>
                      <w:jc w:val="left"/>
                      <w:rPr>
                        <w:sz w:val="18"/>
                      </w:rPr>
                    </w:pPr>
                    <w:r>
                      <w:rPr>
                        <w:color w:val="231F20"/>
                        <w:w w:val="110"/>
                        <w:sz w:val="18"/>
                      </w:rPr>
                      <w:t>Having re-considered its position on Lottery funding, General Assembly accepts, reluctantly, that some local churches will need to make application to the Heritage Lottery Fund to assist with the upkeep and repair of their </w:t>
                    </w:r>
                    <w:r>
                      <w:rPr>
                        <w:i/>
                        <w:color w:val="231F20"/>
                        <w:w w:val="110"/>
                        <w:sz w:val="18"/>
                        <w:u w:val="single" w:color="231F20"/>
                      </w:rPr>
                      <w:t>listed</w:t>
                    </w:r>
                    <w:r>
                      <w:rPr>
                        <w:i/>
                        <w:color w:val="231F20"/>
                        <w:w w:val="110"/>
                        <w:sz w:val="18"/>
                      </w:rPr>
                      <w:t> </w:t>
                    </w:r>
                    <w:r>
                      <w:rPr>
                        <w:color w:val="231F20"/>
                        <w:w w:val="110"/>
                        <w:sz w:val="18"/>
                      </w:rPr>
                      <w:t>church buildings and, in that respect, revises the advice contained in Resolution 20 of General Assembly 1995, which urged members and councils of the Church to disassociate themselves from the Lottery.</w:t>
                    </w:r>
                  </w:p>
                </w:txbxContent>
              </v:textbox>
              <w10:wrap type="none"/>
            </v:shape>
            <w10:wrap type="topAndBottom"/>
          </v:group>
        </w:pict>
      </w:r>
    </w:p>
    <w:p>
      <w:pPr>
        <w:spacing w:after="0"/>
        <w:rPr>
          <w:sz w:val="24"/>
        </w:rPr>
        <w:sectPr>
          <w:pgSz w:w="11910" w:h="16840"/>
          <w:pgMar w:header="558" w:footer="564" w:top="820" w:bottom="760" w:left="620" w:right="0"/>
        </w:sectPr>
      </w:pPr>
    </w:p>
    <w:p>
      <w:pPr>
        <w:pStyle w:val="BodyText"/>
        <w:rPr>
          <w:sz w:val="20"/>
        </w:rPr>
      </w:pPr>
      <w:r>
        <w:rPr/>
        <w:pict>
          <v:group style="position:absolute;margin-left:.003015pt;margin-top:0pt;width:841.9pt;height:595.3pt;mso-position-horizontal-relative:page;mso-position-vertical-relative:page;z-index:-275281920" coordorigin="0,0" coordsize="16838,11906">
            <v:shape style="position:absolute;left:0;top:3493;width:4212;height:8412" type="#_x0000_t75" stroked="false">
              <v:imagedata r:id="rId331" o:title=""/>
            </v:shape>
            <v:shape style="position:absolute;left:0;top:0;width:4913;height:3504" type="#_x0000_t75" stroked="false">
              <v:imagedata r:id="rId332" o:title=""/>
            </v:shape>
            <v:shape style="position:absolute;left:4201;top:3493;width:4224;height:8412" type="#_x0000_t75" stroked="false">
              <v:imagedata r:id="rId310" o:title=""/>
            </v:shape>
            <v:shape style="position:absolute;left:4902;top:0;width:4924;height:923" type="#_x0000_t75" stroked="false">
              <v:imagedata r:id="rId333" o:title=""/>
            </v:shape>
            <v:shape style="position:absolute;left:4902;top:1652;width:4924;height:150" type="#_x0000_t75" stroked="false">
              <v:imagedata r:id="rId334" o:title=""/>
            </v:shape>
            <v:shape style="position:absolute;left:4902;top:2532;width:4924;height:971" type="#_x0000_t75" stroked="false">
              <v:imagedata r:id="rId335" o:title=""/>
            </v:shape>
            <v:shape style="position:absolute;left:8415;top:3493;width:4219;height:8412" type="#_x0000_t75" stroked="false">
              <v:imagedata r:id="rId9" o:title=""/>
            </v:shape>
            <v:shape style="position:absolute;left:9816;top:0;width:4919;height:3504" type="#_x0000_t75" stroked="false">
              <v:imagedata r:id="rId336" o:title=""/>
            </v:shape>
            <v:shape style="position:absolute;left:12624;top:3493;width:4214;height:8412" type="#_x0000_t75" stroked="false">
              <v:imagedata r:id="rId313" o:title=""/>
            </v:shape>
            <v:shape style="position:absolute;left:14726;top:0;width:2112;height:3504" type="#_x0000_t75" stroked="false">
              <v:imagedata r:id="rId314" o:title=""/>
            </v:shape>
            <v:shape style="position:absolute;left:1417;top:922;width:9174;height:731" type="#_x0000_t75" stroked="false">
              <v:imagedata r:id="rId337" o:title=""/>
            </v:shape>
            <v:shape style="position:absolute;left:1417;top:1802;width:12432;height:731" type="#_x0000_t75" stroked="false">
              <v:imagedata r:id="rId338" o:title=""/>
            </v:shape>
            <v:shape style="position:absolute;left:12704;top:2695;width:1871;height:245" type="#_x0000_t75" stroked="false">
              <v:imagedata r:id="rId339" o:title=""/>
            </v:shape>
            <v:shape style="position:absolute;left:3187;top:4328;width:425;height:3677" type="#_x0000_t75" stroked="false">
              <v:imagedata r:id="rId340" o:title=""/>
            </v:shape>
            <w10:wrap type="none"/>
          </v:group>
        </w:pict>
      </w:r>
    </w:p>
    <w:p>
      <w:pPr>
        <w:pStyle w:val="BodyText"/>
        <w:rPr>
          <w:sz w:val="20"/>
        </w:rPr>
      </w:pPr>
    </w:p>
    <w:p>
      <w:pPr>
        <w:spacing w:line="228" w:lineRule="auto" w:before="282"/>
        <w:ind w:left="637" w:right="245" w:hanging="520"/>
        <w:jc w:val="left"/>
        <w:rPr>
          <w:b/>
          <w:sz w:val="76"/>
        </w:rPr>
      </w:pPr>
      <w:r>
        <w:rPr/>
        <w:pict>
          <v:shape style="position:absolute;margin-left:83.862411pt;margin-top:12.189782pt;width:446.25pt;height:46.2pt;mso-position-horizontal-relative:page;mso-position-vertical-relative:paragraph;z-index:-275286016" type="#_x0000_t202" filled="false" stroked="false">
            <v:textbox inset="0,0,0,0">
              <w:txbxContent>
                <w:p>
                  <w:pPr>
                    <w:spacing w:before="0"/>
                    <w:ind w:left="0" w:right="0" w:firstLine="0"/>
                    <w:jc w:val="left"/>
                    <w:rPr>
                      <w:b/>
                      <w:sz w:val="76"/>
                    </w:rPr>
                  </w:pPr>
                  <w:r>
                    <w:rPr>
                      <w:b/>
                      <w:color w:val="231F20"/>
                      <w:spacing w:val="-12"/>
                      <w:sz w:val="76"/>
                    </w:rPr>
                    <w:t>Moratorium </w:t>
                  </w:r>
                  <w:r>
                    <w:rPr>
                      <w:b/>
                      <w:color w:val="231F20"/>
                      <w:spacing w:val="-6"/>
                      <w:sz w:val="76"/>
                    </w:rPr>
                    <w:t>on </w:t>
                  </w:r>
                  <w:r>
                    <w:rPr>
                      <w:b/>
                      <w:color w:val="231F20"/>
                      <w:spacing w:val="-7"/>
                      <w:sz w:val="76"/>
                    </w:rPr>
                    <w:t>policy</w:t>
                  </w:r>
                </w:p>
              </w:txbxContent>
            </v:textbox>
            <w10:wrap type="none"/>
          </v:shape>
        </w:pict>
      </w:r>
      <w:r>
        <w:rPr/>
        <w:pict>
          <v:shape style="position:absolute;margin-left:109.854416pt;margin-top:56.193783pt;width:583.1pt;height:46.2pt;mso-position-horizontal-relative:page;mso-position-vertical-relative:paragraph;z-index:-275284992" type="#_x0000_t202" filled="false" stroked="false">
            <v:textbox inset="0,0,0,0">
              <w:txbxContent>
                <w:p>
                  <w:pPr>
                    <w:spacing w:before="0"/>
                    <w:ind w:left="0" w:right="0" w:firstLine="0"/>
                    <w:jc w:val="left"/>
                    <w:rPr>
                      <w:b/>
                      <w:sz w:val="76"/>
                    </w:rPr>
                  </w:pPr>
                  <w:r>
                    <w:rPr>
                      <w:b/>
                      <w:color w:val="231F20"/>
                      <w:spacing w:val="-6"/>
                      <w:sz w:val="76"/>
                    </w:rPr>
                    <w:t>decisions on </w:t>
                  </w:r>
                  <w:r>
                    <w:rPr>
                      <w:b/>
                      <w:color w:val="231F20"/>
                      <w:spacing w:val="-8"/>
                      <w:sz w:val="76"/>
                    </w:rPr>
                    <w:t>homosexuality</w:t>
                  </w:r>
                </w:p>
              </w:txbxContent>
            </v:textbox>
            <w10:wrap type="none"/>
          </v:shape>
        </w:pict>
      </w:r>
      <w:r>
        <w:rPr>
          <w:b/>
          <w:spacing w:val="-12"/>
          <w:sz w:val="76"/>
        </w:rPr>
        <w:t>Moratorium </w:t>
      </w:r>
      <w:r>
        <w:rPr>
          <w:b/>
          <w:spacing w:val="-6"/>
          <w:sz w:val="76"/>
        </w:rPr>
        <w:t>on </w:t>
      </w:r>
      <w:r>
        <w:rPr>
          <w:b/>
          <w:spacing w:val="-7"/>
          <w:sz w:val="76"/>
        </w:rPr>
        <w:t>policy </w:t>
      </w:r>
      <w:r>
        <w:rPr>
          <w:b/>
          <w:spacing w:val="-6"/>
          <w:sz w:val="76"/>
        </w:rPr>
        <w:t>decisions on </w:t>
      </w:r>
      <w:r>
        <w:rPr>
          <w:b/>
          <w:spacing w:val="-8"/>
          <w:sz w:val="76"/>
        </w:rPr>
        <w:t>homosexuality</w:t>
      </w:r>
    </w:p>
    <w:p>
      <w:pPr>
        <w:spacing w:before="54"/>
        <w:ind w:left="0" w:right="99" w:firstLine="0"/>
        <w:jc w:val="right"/>
        <w:rPr>
          <w:rFonts w:ascii="Eurostile Bold"/>
          <w:b/>
          <w:sz w:val="36"/>
        </w:rPr>
      </w:pPr>
      <w:r>
        <w:rPr/>
        <w:pict>
          <v:shape style="position:absolute;margin-left:634.155945pt;margin-top:6.048639pt;width:95.7pt;height:18pt;mso-position-horizontal-relative:page;mso-position-vertical-relative:paragraph;z-index:-275283968" type="#_x0000_t202" filled="false" stroked="false">
            <v:textbox inset="0,0,0,0">
              <w:txbxContent>
                <w:p>
                  <w:pPr>
                    <w:spacing w:line="360" w:lineRule="exact" w:before="0"/>
                    <w:ind w:left="0" w:right="0" w:firstLine="0"/>
                    <w:jc w:val="left"/>
                    <w:rPr>
                      <w:rFonts w:ascii="Eurostile Bold"/>
                      <w:b/>
                      <w:sz w:val="36"/>
                    </w:rPr>
                  </w:pPr>
                  <w:r>
                    <w:rPr>
                      <w:rFonts w:ascii="Eurostile Bold"/>
                      <w:b/>
                      <w:color w:val="A7A9AC"/>
                      <w:w w:val="85"/>
                      <w:sz w:val="36"/>
                    </w:rPr>
                    <w:t>Document 2</w:t>
                  </w:r>
                </w:p>
              </w:txbxContent>
            </v:textbox>
            <w10:wrap type="none"/>
          </v:shape>
        </w:pict>
      </w:r>
      <w:r>
        <w:rPr/>
        <w:pict>
          <v:shape style="position:absolute;margin-left:152.000229pt;margin-top:116.781769pt;width:34.050pt;height:187.7pt;mso-position-horizontal-relative:page;mso-position-vertical-relative:paragraph;z-index:-275282944" type="#_x0000_t202" filled="false" stroked="false">
            <v:textbox inset="0,0,0,0">
              <w:txbxContent>
                <w:p>
                  <w:pPr>
                    <w:spacing w:line="399" w:lineRule="exact" w:before="0"/>
                    <w:ind w:left="0" w:right="0" w:firstLine="0"/>
                    <w:jc w:val="left"/>
                    <w:rPr>
                      <w:b/>
                      <w:sz w:val="56"/>
                    </w:rPr>
                  </w:pPr>
                  <w:r>
                    <w:rPr>
                      <w:b/>
                      <w:color w:val="808285"/>
                      <w:sz w:val="56"/>
                    </w:rPr>
                    <w:t>2</w:t>
                  </w:r>
                </w:p>
                <w:p>
                  <w:pPr>
                    <w:spacing w:line="134" w:lineRule="auto" w:before="131"/>
                    <w:ind w:left="0" w:right="0" w:firstLine="0"/>
                    <w:jc w:val="both"/>
                    <w:rPr>
                      <w:b/>
                      <w:sz w:val="56"/>
                    </w:rPr>
                  </w:pPr>
                  <w:r>
                    <w:rPr>
                      <w:b/>
                      <w:color w:val="808285"/>
                      <w:sz w:val="56"/>
                    </w:rPr>
                    <w:t>t n e</w:t>
                  </w:r>
                </w:p>
                <w:p>
                  <w:pPr>
                    <w:spacing w:line="136" w:lineRule="auto" w:before="199"/>
                    <w:ind w:left="0" w:right="0" w:firstLine="0"/>
                    <w:jc w:val="left"/>
                    <w:rPr>
                      <w:b/>
                      <w:sz w:val="56"/>
                    </w:rPr>
                  </w:pPr>
                  <w:r>
                    <w:rPr>
                      <w:b/>
                      <w:color w:val="808285"/>
                      <w:sz w:val="56"/>
                    </w:rPr>
                    <w:t>m u</w:t>
                  </w:r>
                </w:p>
                <w:p>
                  <w:pPr>
                    <w:pStyle w:val="BodyText"/>
                    <w:spacing w:before="7"/>
                    <w:rPr>
                      <w:b/>
                      <w:sz w:val="44"/>
                    </w:rPr>
                  </w:pPr>
                </w:p>
                <w:p>
                  <w:pPr>
                    <w:spacing w:line="563" w:lineRule="exact" w:before="0"/>
                    <w:ind w:left="0" w:right="0" w:firstLine="0"/>
                    <w:jc w:val="left"/>
                    <w:rPr>
                      <w:b/>
                      <w:sz w:val="56"/>
                    </w:rPr>
                  </w:pPr>
                  <w:r>
                    <w:rPr>
                      <w:b/>
                      <w:color w:val="808285"/>
                      <w:spacing w:val="-4"/>
                      <w:sz w:val="56"/>
                    </w:rPr>
                    <w:t>o</w:t>
                  </w:r>
                </w:p>
              </w:txbxContent>
            </v:textbox>
            <w10:wrap type="none"/>
          </v:shape>
        </w:pict>
      </w:r>
      <w:r>
        <w:rPr/>
        <w:pict>
          <v:shape style="position:absolute;margin-left:151.000229pt;margin-top:87.631378pt;width:36.050pt;height:217.85pt;mso-position-horizontal-relative:page;mso-position-vertical-relative:paragraph;z-index:251983872" type="#_x0000_t202" filled="false" stroked="false">
            <v:textbox inset="0,0,0,0" style="layout-flow:vertical;mso-layout-flow-alt:bottom-to-top">
              <w:txbxContent>
                <w:p>
                  <w:pPr>
                    <w:spacing w:before="20"/>
                    <w:ind w:left="20" w:right="0" w:firstLine="0"/>
                    <w:jc w:val="left"/>
                    <w:rPr>
                      <w:b/>
                      <w:sz w:val="56"/>
                    </w:rPr>
                  </w:pPr>
                  <w:r>
                    <w:rPr>
                      <w:b/>
                      <w:color w:val="808285"/>
                      <w:spacing w:val="-465"/>
                      <w:w w:val="99"/>
                      <w:sz w:val="56"/>
                    </w:rPr>
                    <w:t>D</w:t>
                  </w:r>
                  <w:r>
                    <w:rPr>
                      <w:b/>
                      <w:color w:val="808285"/>
                      <w:w w:val="99"/>
                      <w:sz w:val="56"/>
                    </w:rPr>
                    <w:t>c</w:t>
                  </w:r>
                  <w:r>
                    <w:rPr>
                      <w:b/>
                      <w:color w:val="808285"/>
                      <w:spacing w:val="38"/>
                      <w:sz w:val="56"/>
                    </w:rPr>
                    <w:t> </w:t>
                  </w:r>
                  <w:r>
                    <w:rPr>
                      <w:b/>
                      <w:spacing w:val="-4"/>
                      <w:w w:val="99"/>
                      <w:sz w:val="56"/>
                    </w:rPr>
                    <w:t>Do</w:t>
                  </w:r>
                  <w:r>
                    <w:rPr>
                      <w:b/>
                      <w:spacing w:val="1"/>
                      <w:w w:val="99"/>
                      <w:sz w:val="56"/>
                    </w:rPr>
                    <w:t>c</w:t>
                  </w:r>
                  <w:r>
                    <w:rPr>
                      <w:b/>
                      <w:spacing w:val="-9"/>
                      <w:w w:val="99"/>
                      <w:sz w:val="56"/>
                    </w:rPr>
                    <w:t>u</w:t>
                  </w:r>
                  <w:r>
                    <w:rPr>
                      <w:b/>
                      <w:spacing w:val="-7"/>
                      <w:w w:val="99"/>
                      <w:sz w:val="56"/>
                    </w:rPr>
                    <w:t>m</w:t>
                  </w:r>
                  <w:r>
                    <w:rPr>
                      <w:b/>
                      <w:spacing w:val="-2"/>
                      <w:w w:val="99"/>
                      <w:sz w:val="56"/>
                    </w:rPr>
                    <w:t>e</w:t>
                  </w:r>
                  <w:r>
                    <w:rPr>
                      <w:b/>
                      <w:spacing w:val="-7"/>
                      <w:w w:val="99"/>
                      <w:sz w:val="56"/>
                    </w:rPr>
                    <w:t>n</w:t>
                  </w:r>
                  <w:r>
                    <w:rPr>
                      <w:b/>
                      <w:sz w:val="56"/>
                    </w:rPr>
                    <w:t>t 2</w:t>
                  </w:r>
                </w:p>
              </w:txbxContent>
            </v:textbox>
            <w10:wrap type="none"/>
          </v:shape>
        </w:pict>
      </w:r>
      <w:r>
        <w:rPr>
          <w:rFonts w:ascii="Eurostile Bold"/>
          <w:b/>
          <w:w w:val="85"/>
          <w:sz w:val="36"/>
        </w:rPr>
        <w:t>Document 2</w:t>
      </w:r>
    </w:p>
    <w:p>
      <w:pPr>
        <w:spacing w:after="0"/>
        <w:jc w:val="right"/>
        <w:rPr>
          <w:rFonts w:ascii="Eurostile Bold"/>
          <w:sz w:val="36"/>
        </w:rPr>
        <w:sectPr>
          <w:headerReference w:type="default" r:id="rId329"/>
          <w:footerReference w:type="default" r:id="rId330"/>
          <w:pgSz w:w="16840" w:h="11910" w:orient="landscape"/>
          <w:pgMar w:header="0" w:footer="0" w:top="0" w:bottom="280" w:left="1560" w:right="2140"/>
        </w:sectPr>
      </w:pPr>
    </w:p>
    <w:p>
      <w:pPr>
        <w:pStyle w:val="BodyText"/>
        <w:spacing w:before="2"/>
        <w:rPr>
          <w:rFonts w:ascii="Eurostile Bold"/>
          <w:b/>
          <w:sz w:val="16"/>
        </w:rPr>
      </w:pPr>
    </w:p>
    <w:p>
      <w:pPr>
        <w:spacing w:after="0"/>
        <w:rPr>
          <w:rFonts w:ascii="Eurostile Bold"/>
          <w:sz w:val="16"/>
        </w:rPr>
        <w:sectPr>
          <w:headerReference w:type="even" r:id="rId341"/>
          <w:footerReference w:type="even" r:id="rId342"/>
          <w:pgSz w:w="11910" w:h="16840"/>
          <w:pgMar w:header="0" w:footer="0" w:top="1580" w:bottom="280" w:left="620" w:right="0"/>
        </w:sectPr>
      </w:pPr>
    </w:p>
    <w:p>
      <w:pPr>
        <w:spacing w:before="82"/>
        <w:ind w:left="513" w:right="0" w:firstLine="0"/>
        <w:jc w:val="left"/>
        <w:rPr>
          <w:b/>
          <w:sz w:val="56"/>
        </w:rPr>
      </w:pPr>
      <w:r>
        <w:rPr/>
        <w:pict>
          <v:shape style="position:absolute;margin-left:526.295471pt;margin-top:8.94087pt;width:48.2pt;height:448.25pt;mso-position-horizontal-relative:page;mso-position-vertical-relative:paragraph;z-index:251984896" type="#_x0000_t202" filled="false" stroked="false">
            <v:textbox inset="0,0,0,0" style="layout-flow:vertical">
              <w:txbxContent>
                <w:p>
                  <w:pPr>
                    <w:spacing w:before="20"/>
                    <w:ind w:left="20" w:right="0" w:firstLine="0"/>
                    <w:jc w:val="left"/>
                    <w:rPr>
                      <w:b/>
                      <w:sz w:val="76"/>
                    </w:rPr>
                  </w:pPr>
                  <w:r>
                    <w:rPr>
                      <w:b/>
                      <w:color w:val="231F20"/>
                      <w:spacing w:val="-12"/>
                      <w:sz w:val="76"/>
                    </w:rPr>
                    <w:t>Moratorium </w:t>
                  </w:r>
                  <w:r>
                    <w:rPr>
                      <w:b/>
                      <w:color w:val="231F20"/>
                      <w:spacing w:val="-6"/>
                      <w:sz w:val="76"/>
                    </w:rPr>
                    <w:t>on </w:t>
                  </w:r>
                  <w:r>
                    <w:rPr>
                      <w:b/>
                      <w:color w:val="231F20"/>
                      <w:spacing w:val="-7"/>
                      <w:sz w:val="76"/>
                    </w:rPr>
                    <w:t>policy</w:t>
                  </w:r>
                </w:p>
              </w:txbxContent>
            </v:textbox>
            <w10:wrap type="none"/>
          </v:shape>
        </w:pict>
      </w:r>
      <w:r>
        <w:rPr>
          <w:b/>
          <w:color w:val="231F20"/>
          <w:sz w:val="56"/>
        </w:rPr>
        <w:t>Document 2</w:t>
      </w:r>
    </w:p>
    <w:p>
      <w:pPr>
        <w:pStyle w:val="BodyText"/>
        <w:rPr>
          <w:b/>
          <w:sz w:val="20"/>
        </w:rPr>
      </w:pPr>
    </w:p>
    <w:p>
      <w:pPr>
        <w:pStyle w:val="BodyText"/>
        <w:spacing w:before="1"/>
        <w:rPr>
          <w:b/>
          <w:sz w:val="21"/>
        </w:rPr>
      </w:pPr>
    </w:p>
    <w:p>
      <w:pPr>
        <w:pStyle w:val="Heading9"/>
        <w:numPr>
          <w:ilvl w:val="0"/>
          <w:numId w:val="123"/>
        </w:numPr>
        <w:tabs>
          <w:tab w:pos="1233" w:val="left" w:leader="none"/>
          <w:tab w:pos="1234" w:val="left" w:leader="none"/>
        </w:tabs>
        <w:spacing w:line="240" w:lineRule="auto" w:before="99" w:after="0"/>
        <w:ind w:left="1233" w:right="0" w:hanging="721"/>
        <w:jc w:val="left"/>
      </w:pPr>
      <w:r>
        <w:rPr/>
        <w:pict>
          <v:shape style="position:absolute;margin-left:486.281494pt;margin-top:-15.145444pt;width:48.2pt;height:585.1pt;mso-position-horizontal-relative:page;mso-position-vertical-relative:paragraph;z-index:251986944" type="#_x0000_t202" filled="false" stroked="false">
            <v:textbox inset="0,0,0,0" style="layout-flow:vertical">
              <w:txbxContent>
                <w:p>
                  <w:pPr>
                    <w:spacing w:before="20"/>
                    <w:ind w:left="20" w:right="0" w:firstLine="0"/>
                    <w:jc w:val="left"/>
                    <w:rPr>
                      <w:b/>
                      <w:sz w:val="76"/>
                    </w:rPr>
                  </w:pPr>
                  <w:r>
                    <w:rPr>
                      <w:b/>
                      <w:color w:val="231F20"/>
                      <w:spacing w:val="-6"/>
                      <w:sz w:val="76"/>
                    </w:rPr>
                    <w:t>decisions on </w:t>
                  </w:r>
                  <w:r>
                    <w:rPr>
                      <w:b/>
                      <w:color w:val="231F20"/>
                      <w:spacing w:val="-8"/>
                      <w:sz w:val="76"/>
                    </w:rPr>
                    <w:t>homosexuality</w:t>
                  </w:r>
                </w:p>
              </w:txbxContent>
            </v:textbox>
            <w10:wrap type="none"/>
          </v:shape>
        </w:pict>
      </w:r>
      <w:r>
        <w:rPr>
          <w:color w:val="231F20"/>
          <w:w w:val="110"/>
        </w:rPr>
        <w:t>Introduction </w:t>
      </w:r>
      <w:r>
        <w:rPr>
          <w:color w:val="231F20"/>
          <w:spacing w:val="-2"/>
          <w:w w:val="110"/>
        </w:rPr>
        <w:t>and</w:t>
      </w:r>
      <w:r>
        <w:rPr>
          <w:color w:val="231F20"/>
          <w:spacing w:val="-1"/>
          <w:w w:val="110"/>
        </w:rPr>
        <w:t> </w:t>
      </w:r>
      <w:r>
        <w:rPr>
          <w:color w:val="231F20"/>
          <w:w w:val="110"/>
        </w:rPr>
        <w:t>Summary</w:t>
      </w:r>
    </w:p>
    <w:p>
      <w:pPr>
        <w:pStyle w:val="ListParagraph"/>
        <w:numPr>
          <w:ilvl w:val="1"/>
          <w:numId w:val="123"/>
        </w:numPr>
        <w:tabs>
          <w:tab w:pos="1233" w:val="left" w:leader="none"/>
          <w:tab w:pos="1234" w:val="left" w:leader="none"/>
        </w:tabs>
        <w:spacing w:line="273" w:lineRule="auto" w:before="258" w:after="0"/>
        <w:ind w:left="513" w:right="2583" w:firstLine="0"/>
        <w:jc w:val="left"/>
        <w:rPr>
          <w:sz w:val="18"/>
        </w:rPr>
      </w:pPr>
      <w:r>
        <w:rPr>
          <w:color w:val="231F20"/>
          <w:w w:val="110"/>
          <w:sz w:val="18"/>
        </w:rPr>
        <w:t>In </w:t>
      </w:r>
      <w:r>
        <w:rPr>
          <w:color w:val="231F20"/>
          <w:spacing w:val="-5"/>
          <w:w w:val="110"/>
          <w:sz w:val="18"/>
        </w:rPr>
        <w:t>1999, </w:t>
      </w:r>
      <w:r>
        <w:rPr>
          <w:color w:val="231F20"/>
          <w:w w:val="110"/>
          <w:sz w:val="18"/>
        </w:rPr>
        <w:t>a major report entitled “Human Sexuality Report </w:t>
      </w:r>
      <w:r>
        <w:rPr>
          <w:color w:val="231F20"/>
          <w:spacing w:val="-3"/>
          <w:w w:val="110"/>
          <w:sz w:val="18"/>
        </w:rPr>
        <w:t>1999” </w:t>
      </w:r>
      <w:r>
        <w:rPr>
          <w:color w:val="231F20"/>
          <w:w w:val="110"/>
          <w:sz w:val="18"/>
        </w:rPr>
        <w:t>was presented to General Assembly.  It was the fruit of two years’ work undertaken  in five groups. It remains a full and useful document and is the most recent of a series of reports produced on the subject within our church. A few printed copies are still </w:t>
      </w:r>
      <w:r>
        <w:rPr>
          <w:color w:val="231F20"/>
          <w:spacing w:val="-3"/>
          <w:w w:val="110"/>
          <w:sz w:val="18"/>
        </w:rPr>
        <w:t>available </w:t>
      </w:r>
      <w:r>
        <w:rPr>
          <w:color w:val="231F20"/>
          <w:w w:val="110"/>
          <w:sz w:val="18"/>
        </w:rPr>
        <w:t>from Church House, or it can be found on the Church’s website </w:t>
      </w:r>
      <w:r>
        <w:rPr>
          <w:color w:val="231F20"/>
          <w:spacing w:val="-4"/>
          <w:w w:val="110"/>
          <w:sz w:val="18"/>
        </w:rPr>
        <w:t>(www.urc.org.uk).</w:t>
      </w:r>
    </w:p>
    <w:p>
      <w:pPr>
        <w:pStyle w:val="BodyText"/>
        <w:spacing w:before="10"/>
        <w:rPr>
          <w:sz w:val="20"/>
        </w:rPr>
      </w:pPr>
    </w:p>
    <w:p>
      <w:pPr>
        <w:pStyle w:val="ListParagraph"/>
        <w:numPr>
          <w:ilvl w:val="1"/>
          <w:numId w:val="123"/>
        </w:numPr>
        <w:tabs>
          <w:tab w:pos="1233" w:val="left" w:leader="none"/>
          <w:tab w:pos="1234" w:val="left" w:leader="none"/>
        </w:tabs>
        <w:spacing w:line="273" w:lineRule="auto" w:before="0" w:after="0"/>
        <w:ind w:left="513" w:right="2728" w:firstLine="0"/>
        <w:jc w:val="left"/>
        <w:rPr>
          <w:sz w:val="18"/>
        </w:rPr>
      </w:pPr>
      <w:r>
        <w:rPr>
          <w:color w:val="231F20"/>
          <w:w w:val="110"/>
          <w:sz w:val="18"/>
        </w:rPr>
        <w:t>One of its recommendations, which became General Assembly resolution 34 </w:t>
      </w:r>
      <w:r>
        <w:rPr>
          <w:color w:val="231F20"/>
          <w:spacing w:val="-8"/>
          <w:w w:val="110"/>
          <w:sz w:val="18"/>
        </w:rPr>
        <w:t>(1999) </w:t>
      </w:r>
      <w:r>
        <w:rPr>
          <w:color w:val="231F20"/>
          <w:w w:val="110"/>
          <w:sz w:val="18"/>
        </w:rPr>
        <w:t>sought to test the mind of the church on a form of words which read as</w:t>
      </w:r>
      <w:r>
        <w:rPr>
          <w:color w:val="231F20"/>
          <w:spacing w:val="-4"/>
          <w:w w:val="110"/>
          <w:sz w:val="18"/>
        </w:rPr>
        <w:t> </w:t>
      </w:r>
      <w:r>
        <w:rPr>
          <w:color w:val="231F20"/>
          <w:spacing w:val="-3"/>
          <w:w w:val="110"/>
          <w:sz w:val="18"/>
        </w:rPr>
        <w:t>follows:</w:t>
      </w:r>
    </w:p>
    <w:p>
      <w:pPr>
        <w:pStyle w:val="BodyText"/>
        <w:spacing w:line="273" w:lineRule="auto" w:before="2"/>
        <w:ind w:left="1194" w:right="2379"/>
      </w:pPr>
      <w:r>
        <w:rPr>
          <w:color w:val="231F20"/>
          <w:spacing w:val="-3"/>
          <w:w w:val="110"/>
        </w:rPr>
        <w:t>“In </w:t>
      </w:r>
      <w:r>
        <w:rPr>
          <w:color w:val="231F20"/>
          <w:w w:val="110"/>
        </w:rPr>
        <w:t>the context of the affirmations commended to the church in Resolution </w:t>
      </w:r>
      <w:r>
        <w:rPr>
          <w:color w:val="231F20"/>
          <w:spacing w:val="-7"/>
          <w:w w:val="110"/>
        </w:rPr>
        <w:t>31,</w:t>
      </w:r>
      <w:r>
        <w:rPr>
          <w:color w:val="231F20"/>
          <w:spacing w:val="-15"/>
          <w:w w:val="110"/>
        </w:rPr>
        <w:t> </w:t>
      </w:r>
      <w:r>
        <w:rPr>
          <w:color w:val="231F20"/>
          <w:w w:val="110"/>
        </w:rPr>
        <w:t>the</w:t>
      </w:r>
      <w:r>
        <w:rPr>
          <w:color w:val="231F20"/>
          <w:spacing w:val="-14"/>
          <w:w w:val="110"/>
        </w:rPr>
        <w:t> </w:t>
      </w:r>
      <w:r>
        <w:rPr>
          <w:color w:val="231F20"/>
          <w:w w:val="110"/>
        </w:rPr>
        <w:t>United</w:t>
      </w:r>
      <w:r>
        <w:rPr>
          <w:color w:val="231F20"/>
          <w:spacing w:val="-14"/>
          <w:w w:val="110"/>
        </w:rPr>
        <w:t> </w:t>
      </w:r>
      <w:r>
        <w:rPr>
          <w:color w:val="231F20"/>
          <w:w w:val="110"/>
        </w:rPr>
        <w:t>Reformed</w:t>
      </w:r>
      <w:r>
        <w:rPr>
          <w:color w:val="231F20"/>
          <w:spacing w:val="-14"/>
          <w:w w:val="110"/>
        </w:rPr>
        <w:t> </w:t>
      </w:r>
      <w:r>
        <w:rPr>
          <w:color w:val="231F20"/>
          <w:w w:val="110"/>
        </w:rPr>
        <w:t>Church</w:t>
      </w:r>
      <w:r>
        <w:rPr>
          <w:color w:val="231F20"/>
          <w:spacing w:val="-14"/>
          <w:w w:val="110"/>
        </w:rPr>
        <w:t> </w:t>
      </w:r>
      <w:r>
        <w:rPr>
          <w:color w:val="231F20"/>
          <w:w w:val="110"/>
        </w:rPr>
        <w:t>affirms</w:t>
      </w:r>
      <w:r>
        <w:rPr>
          <w:color w:val="231F20"/>
          <w:spacing w:val="-14"/>
          <w:w w:val="110"/>
        </w:rPr>
        <w:t> </w:t>
      </w:r>
      <w:r>
        <w:rPr>
          <w:color w:val="231F20"/>
          <w:w w:val="110"/>
        </w:rPr>
        <w:t>and</w:t>
      </w:r>
      <w:r>
        <w:rPr>
          <w:color w:val="231F20"/>
          <w:spacing w:val="-14"/>
          <w:w w:val="110"/>
        </w:rPr>
        <w:t> </w:t>
      </w:r>
      <w:r>
        <w:rPr>
          <w:color w:val="231F20"/>
          <w:w w:val="110"/>
        </w:rPr>
        <w:t>welcomes</w:t>
      </w:r>
      <w:r>
        <w:rPr>
          <w:color w:val="231F20"/>
          <w:spacing w:val="-15"/>
          <w:w w:val="110"/>
        </w:rPr>
        <w:t> </w:t>
      </w:r>
      <w:r>
        <w:rPr>
          <w:color w:val="231F20"/>
          <w:w w:val="110"/>
        </w:rPr>
        <w:t>people</w:t>
      </w:r>
      <w:r>
        <w:rPr>
          <w:color w:val="231F20"/>
          <w:spacing w:val="-14"/>
          <w:w w:val="110"/>
        </w:rPr>
        <w:t> </w:t>
      </w:r>
      <w:r>
        <w:rPr>
          <w:color w:val="231F20"/>
          <w:w w:val="110"/>
        </w:rPr>
        <w:t>of</w:t>
      </w:r>
      <w:r>
        <w:rPr>
          <w:color w:val="231F20"/>
          <w:spacing w:val="-14"/>
          <w:w w:val="110"/>
        </w:rPr>
        <w:t> </w:t>
      </w:r>
      <w:r>
        <w:rPr>
          <w:color w:val="231F20"/>
          <w:w w:val="110"/>
        </w:rPr>
        <w:t>homosexual orientation</w:t>
      </w:r>
      <w:r>
        <w:rPr>
          <w:color w:val="231F20"/>
          <w:spacing w:val="-15"/>
          <w:w w:val="110"/>
        </w:rPr>
        <w:t> </w:t>
      </w:r>
      <w:r>
        <w:rPr>
          <w:color w:val="231F20"/>
          <w:w w:val="110"/>
        </w:rPr>
        <w:t>within</w:t>
      </w:r>
      <w:r>
        <w:rPr>
          <w:color w:val="231F20"/>
          <w:spacing w:val="-15"/>
          <w:w w:val="110"/>
        </w:rPr>
        <w:t> </w:t>
      </w:r>
      <w:r>
        <w:rPr>
          <w:color w:val="231F20"/>
          <w:w w:val="110"/>
        </w:rPr>
        <w:t>the</w:t>
      </w:r>
      <w:r>
        <w:rPr>
          <w:color w:val="231F20"/>
          <w:spacing w:val="-15"/>
          <w:w w:val="110"/>
        </w:rPr>
        <w:t> </w:t>
      </w:r>
      <w:r>
        <w:rPr>
          <w:color w:val="231F20"/>
          <w:w w:val="110"/>
        </w:rPr>
        <w:t>life</w:t>
      </w:r>
      <w:r>
        <w:rPr>
          <w:color w:val="231F20"/>
          <w:spacing w:val="-14"/>
          <w:w w:val="110"/>
        </w:rPr>
        <w:t> </w:t>
      </w:r>
      <w:r>
        <w:rPr>
          <w:color w:val="231F20"/>
          <w:w w:val="110"/>
        </w:rPr>
        <w:t>of</w:t>
      </w:r>
      <w:r>
        <w:rPr>
          <w:color w:val="231F20"/>
          <w:spacing w:val="-15"/>
          <w:w w:val="110"/>
        </w:rPr>
        <w:t> </w:t>
      </w:r>
      <w:r>
        <w:rPr>
          <w:color w:val="231F20"/>
          <w:w w:val="110"/>
        </w:rPr>
        <w:t>the</w:t>
      </w:r>
      <w:r>
        <w:rPr>
          <w:color w:val="231F20"/>
          <w:spacing w:val="-15"/>
          <w:w w:val="110"/>
        </w:rPr>
        <w:t> </w:t>
      </w:r>
      <w:r>
        <w:rPr>
          <w:color w:val="231F20"/>
          <w:w w:val="110"/>
        </w:rPr>
        <w:t>church</w:t>
      </w:r>
      <w:r>
        <w:rPr>
          <w:color w:val="231F20"/>
          <w:spacing w:val="-15"/>
          <w:w w:val="110"/>
        </w:rPr>
        <w:t> </w:t>
      </w:r>
      <w:r>
        <w:rPr>
          <w:color w:val="231F20"/>
          <w:w w:val="110"/>
        </w:rPr>
        <w:t>and</w:t>
      </w:r>
      <w:r>
        <w:rPr>
          <w:color w:val="231F20"/>
          <w:spacing w:val="-14"/>
          <w:w w:val="110"/>
        </w:rPr>
        <w:t> </w:t>
      </w:r>
      <w:r>
        <w:rPr>
          <w:color w:val="231F20"/>
          <w:w w:val="110"/>
        </w:rPr>
        <w:t>society,</w:t>
      </w:r>
      <w:r>
        <w:rPr>
          <w:color w:val="231F20"/>
          <w:spacing w:val="-15"/>
          <w:w w:val="110"/>
        </w:rPr>
        <w:t> </w:t>
      </w:r>
      <w:r>
        <w:rPr>
          <w:color w:val="231F20"/>
          <w:w w:val="110"/>
        </w:rPr>
        <w:t>but</w:t>
      </w:r>
      <w:r>
        <w:rPr>
          <w:color w:val="231F20"/>
          <w:spacing w:val="-15"/>
          <w:w w:val="110"/>
        </w:rPr>
        <w:t> </w:t>
      </w:r>
      <w:r>
        <w:rPr>
          <w:color w:val="231F20"/>
          <w:w w:val="110"/>
        </w:rPr>
        <w:t>does</w:t>
      </w:r>
      <w:r>
        <w:rPr>
          <w:color w:val="231F20"/>
          <w:spacing w:val="-14"/>
          <w:w w:val="110"/>
        </w:rPr>
        <w:t> </w:t>
      </w:r>
      <w:r>
        <w:rPr>
          <w:color w:val="231F20"/>
          <w:w w:val="110"/>
        </w:rPr>
        <w:t>not</w:t>
      </w:r>
      <w:r>
        <w:rPr>
          <w:color w:val="231F20"/>
          <w:spacing w:val="-15"/>
          <w:w w:val="110"/>
        </w:rPr>
        <w:t> </w:t>
      </w:r>
      <w:r>
        <w:rPr>
          <w:color w:val="231F20"/>
          <w:w w:val="110"/>
        </w:rPr>
        <w:t>believe</w:t>
      </w:r>
      <w:r>
        <w:rPr>
          <w:color w:val="231F20"/>
          <w:spacing w:val="-15"/>
          <w:w w:val="110"/>
        </w:rPr>
        <w:t> </w:t>
      </w:r>
      <w:r>
        <w:rPr>
          <w:color w:val="231F20"/>
          <w:w w:val="110"/>
        </w:rPr>
        <w:t>that there is a sufficiently clear mind within the church at this time to affirm the acceptability of homosexual</w:t>
      </w:r>
      <w:r>
        <w:rPr>
          <w:color w:val="231F20"/>
          <w:spacing w:val="-19"/>
          <w:w w:val="110"/>
        </w:rPr>
        <w:t> </w:t>
      </w:r>
      <w:r>
        <w:rPr>
          <w:color w:val="231F20"/>
          <w:w w:val="110"/>
        </w:rPr>
        <w:t>practice.”</w:t>
      </w:r>
    </w:p>
    <w:p>
      <w:pPr>
        <w:pStyle w:val="BodyText"/>
        <w:spacing w:before="10"/>
        <w:rPr>
          <w:sz w:val="20"/>
        </w:rPr>
      </w:pPr>
    </w:p>
    <w:p>
      <w:pPr>
        <w:pStyle w:val="ListParagraph"/>
        <w:numPr>
          <w:ilvl w:val="1"/>
          <w:numId w:val="123"/>
        </w:numPr>
        <w:tabs>
          <w:tab w:pos="1234" w:val="left" w:leader="none"/>
        </w:tabs>
        <w:spacing w:line="273" w:lineRule="auto" w:before="0" w:after="0"/>
        <w:ind w:left="513" w:right="2795" w:firstLine="0"/>
        <w:jc w:val="both"/>
        <w:rPr>
          <w:sz w:val="18"/>
        </w:rPr>
      </w:pPr>
      <w:r>
        <w:rPr>
          <w:color w:val="231F20"/>
          <w:w w:val="110"/>
          <w:sz w:val="18"/>
        </w:rPr>
        <w:t>Following discussion in the wider church </w:t>
      </w:r>
      <w:r>
        <w:rPr>
          <w:color w:val="231F20"/>
          <w:spacing w:val="-3"/>
          <w:w w:val="110"/>
          <w:sz w:val="18"/>
        </w:rPr>
        <w:t>over </w:t>
      </w:r>
      <w:r>
        <w:rPr>
          <w:color w:val="231F20"/>
          <w:w w:val="110"/>
          <w:sz w:val="18"/>
        </w:rPr>
        <w:t>the next </w:t>
      </w:r>
      <w:r>
        <w:rPr>
          <w:color w:val="231F20"/>
          <w:spacing w:val="-6"/>
          <w:w w:val="110"/>
          <w:sz w:val="18"/>
        </w:rPr>
        <w:t>year, </w:t>
      </w:r>
      <w:r>
        <w:rPr>
          <w:color w:val="231F20"/>
          <w:w w:val="110"/>
          <w:sz w:val="18"/>
        </w:rPr>
        <w:t>a number of resolutions were brought to the Assembly in </w:t>
      </w:r>
      <w:r>
        <w:rPr>
          <w:color w:val="231F20"/>
          <w:spacing w:val="-3"/>
          <w:w w:val="110"/>
          <w:sz w:val="18"/>
        </w:rPr>
        <w:t>2000, </w:t>
      </w:r>
      <w:r>
        <w:rPr>
          <w:color w:val="231F20"/>
          <w:w w:val="110"/>
          <w:sz w:val="18"/>
        </w:rPr>
        <w:t>among</w:t>
      </w:r>
      <w:r>
        <w:rPr>
          <w:color w:val="231F20"/>
          <w:spacing w:val="-16"/>
          <w:w w:val="110"/>
          <w:sz w:val="18"/>
        </w:rPr>
        <w:t> </w:t>
      </w:r>
      <w:r>
        <w:rPr>
          <w:color w:val="231F20"/>
          <w:spacing w:val="-3"/>
          <w:w w:val="110"/>
          <w:sz w:val="18"/>
        </w:rPr>
        <w:t>them:</w:t>
      </w:r>
    </w:p>
    <w:p>
      <w:pPr>
        <w:pStyle w:val="BodyText"/>
        <w:spacing w:line="273" w:lineRule="auto" w:before="1"/>
        <w:ind w:left="1193" w:right="2272"/>
        <w:jc w:val="both"/>
      </w:pPr>
      <w:r>
        <w:rPr>
          <w:color w:val="231F20"/>
          <w:w w:val="110"/>
        </w:rPr>
        <w:t>“</w:t>
      </w:r>
      <w:r>
        <w:rPr>
          <w:b/>
          <w:color w:val="231F20"/>
          <w:w w:val="110"/>
        </w:rPr>
        <w:t>Resolution </w:t>
      </w:r>
      <w:r>
        <w:rPr>
          <w:b/>
          <w:color w:val="231F20"/>
          <w:spacing w:val="-4"/>
          <w:w w:val="110"/>
        </w:rPr>
        <w:t>14</w:t>
      </w:r>
      <w:r>
        <w:rPr>
          <w:color w:val="231F20"/>
          <w:spacing w:val="-4"/>
          <w:w w:val="110"/>
        </w:rPr>
        <w:t>. </w:t>
      </w:r>
      <w:r>
        <w:rPr>
          <w:color w:val="231F20"/>
          <w:w w:val="110"/>
        </w:rPr>
        <w:t>General Assembly, recognising that the statement contained within</w:t>
      </w:r>
      <w:r>
        <w:rPr>
          <w:color w:val="231F20"/>
          <w:spacing w:val="-7"/>
          <w:w w:val="110"/>
        </w:rPr>
        <w:t> </w:t>
      </w:r>
      <w:r>
        <w:rPr>
          <w:color w:val="231F20"/>
          <w:w w:val="110"/>
        </w:rPr>
        <w:t>Resolution</w:t>
      </w:r>
      <w:r>
        <w:rPr>
          <w:color w:val="231F20"/>
          <w:spacing w:val="-7"/>
          <w:w w:val="110"/>
        </w:rPr>
        <w:t> </w:t>
      </w:r>
      <w:r>
        <w:rPr>
          <w:color w:val="231F20"/>
          <w:w w:val="110"/>
        </w:rPr>
        <w:t>34</w:t>
      </w:r>
      <w:r>
        <w:rPr>
          <w:color w:val="231F20"/>
          <w:spacing w:val="-7"/>
          <w:w w:val="110"/>
        </w:rPr>
        <w:t> </w:t>
      </w:r>
      <w:r>
        <w:rPr>
          <w:color w:val="231F20"/>
          <w:w w:val="110"/>
        </w:rPr>
        <w:t>of</w:t>
      </w:r>
      <w:r>
        <w:rPr>
          <w:color w:val="231F20"/>
          <w:spacing w:val="-7"/>
          <w:w w:val="110"/>
        </w:rPr>
        <w:t> </w:t>
      </w:r>
      <w:r>
        <w:rPr>
          <w:color w:val="231F20"/>
          <w:spacing w:val="-4"/>
          <w:w w:val="110"/>
        </w:rPr>
        <w:t>1999</w:t>
      </w:r>
      <w:r>
        <w:rPr>
          <w:color w:val="231F20"/>
          <w:spacing w:val="-7"/>
          <w:w w:val="110"/>
        </w:rPr>
        <w:t> </w:t>
      </w:r>
      <w:r>
        <w:rPr>
          <w:color w:val="231F20"/>
          <w:w w:val="110"/>
        </w:rPr>
        <w:t>has</w:t>
      </w:r>
      <w:r>
        <w:rPr>
          <w:color w:val="231F20"/>
          <w:spacing w:val="-7"/>
          <w:w w:val="110"/>
        </w:rPr>
        <w:t> </w:t>
      </w:r>
      <w:r>
        <w:rPr>
          <w:color w:val="231F20"/>
          <w:w w:val="110"/>
        </w:rPr>
        <w:t>received</w:t>
      </w:r>
      <w:r>
        <w:rPr>
          <w:color w:val="231F20"/>
          <w:spacing w:val="-7"/>
          <w:w w:val="110"/>
        </w:rPr>
        <w:t> </w:t>
      </w:r>
      <w:r>
        <w:rPr>
          <w:color w:val="231F20"/>
          <w:w w:val="110"/>
        </w:rPr>
        <w:t>a</w:t>
      </w:r>
      <w:r>
        <w:rPr>
          <w:color w:val="231F20"/>
          <w:spacing w:val="-7"/>
          <w:w w:val="110"/>
        </w:rPr>
        <w:t> </w:t>
      </w:r>
      <w:r>
        <w:rPr>
          <w:color w:val="231F20"/>
          <w:w w:val="110"/>
        </w:rPr>
        <w:t>measure</w:t>
      </w:r>
      <w:r>
        <w:rPr>
          <w:color w:val="231F20"/>
          <w:spacing w:val="-7"/>
          <w:w w:val="110"/>
        </w:rPr>
        <w:t> </w:t>
      </w:r>
      <w:r>
        <w:rPr>
          <w:color w:val="231F20"/>
          <w:w w:val="110"/>
        </w:rPr>
        <w:t>of</w:t>
      </w:r>
      <w:r>
        <w:rPr>
          <w:color w:val="231F20"/>
          <w:spacing w:val="-7"/>
          <w:w w:val="110"/>
        </w:rPr>
        <w:t> </w:t>
      </w:r>
      <w:r>
        <w:rPr>
          <w:color w:val="231F20"/>
          <w:w w:val="110"/>
        </w:rPr>
        <w:t>support</w:t>
      </w:r>
      <w:r>
        <w:rPr>
          <w:color w:val="231F20"/>
          <w:spacing w:val="-7"/>
          <w:w w:val="110"/>
        </w:rPr>
        <w:t> </w:t>
      </w:r>
      <w:r>
        <w:rPr>
          <w:color w:val="231F20"/>
          <w:w w:val="110"/>
        </w:rPr>
        <w:t>in</w:t>
      </w:r>
      <w:r>
        <w:rPr>
          <w:color w:val="231F20"/>
          <w:spacing w:val="-7"/>
          <w:w w:val="110"/>
        </w:rPr>
        <w:t> </w:t>
      </w:r>
      <w:r>
        <w:rPr>
          <w:color w:val="231F20"/>
          <w:w w:val="110"/>
        </w:rPr>
        <w:t>the</w:t>
      </w:r>
      <w:r>
        <w:rPr>
          <w:color w:val="231F20"/>
          <w:spacing w:val="-7"/>
          <w:w w:val="110"/>
        </w:rPr>
        <w:t> </w:t>
      </w:r>
      <w:r>
        <w:rPr>
          <w:color w:val="231F20"/>
          <w:w w:val="110"/>
        </w:rPr>
        <w:t>councils of the church, but not sufficient to allow it to</w:t>
      </w:r>
      <w:r>
        <w:rPr>
          <w:color w:val="231F20"/>
          <w:spacing w:val="-49"/>
          <w:w w:val="110"/>
        </w:rPr>
        <w:t> </w:t>
      </w:r>
      <w:r>
        <w:rPr>
          <w:color w:val="231F20"/>
          <w:w w:val="110"/>
        </w:rPr>
        <w:t>proceed:</w:t>
      </w:r>
    </w:p>
    <w:p>
      <w:pPr>
        <w:pStyle w:val="ListParagraph"/>
        <w:numPr>
          <w:ilvl w:val="2"/>
          <w:numId w:val="123"/>
        </w:numPr>
        <w:tabs>
          <w:tab w:pos="1535" w:val="left" w:leader="none"/>
        </w:tabs>
        <w:spacing w:line="273" w:lineRule="auto" w:before="2" w:after="0"/>
        <w:ind w:left="1534" w:right="2319" w:hanging="341"/>
        <w:jc w:val="left"/>
        <w:rPr>
          <w:sz w:val="18"/>
        </w:rPr>
      </w:pPr>
      <w:r>
        <w:rPr>
          <w:color w:val="231F20"/>
          <w:spacing w:val="2"/>
          <w:w w:val="110"/>
          <w:sz w:val="18"/>
        </w:rPr>
        <w:t>accepts </w:t>
      </w:r>
      <w:r>
        <w:rPr>
          <w:color w:val="231F20"/>
          <w:w w:val="110"/>
          <w:sz w:val="18"/>
        </w:rPr>
        <w:t>that there is a lack of agreement relating to issues of human sexuality, and that any </w:t>
      </w:r>
      <w:r>
        <w:rPr>
          <w:color w:val="231F20"/>
          <w:spacing w:val="2"/>
          <w:w w:val="110"/>
          <w:sz w:val="18"/>
        </w:rPr>
        <w:t>further </w:t>
      </w:r>
      <w:r>
        <w:rPr>
          <w:color w:val="231F20"/>
          <w:w w:val="110"/>
          <w:sz w:val="18"/>
        </w:rPr>
        <w:t>resolution attempting to declare the mind of the church on this subject would be unlikely to find sufficient support  at this</w:t>
      </w:r>
      <w:r>
        <w:rPr>
          <w:color w:val="231F20"/>
          <w:spacing w:val="1"/>
          <w:w w:val="110"/>
          <w:sz w:val="18"/>
        </w:rPr>
        <w:t> </w:t>
      </w:r>
      <w:r>
        <w:rPr>
          <w:color w:val="231F20"/>
          <w:w w:val="110"/>
          <w:sz w:val="18"/>
        </w:rPr>
        <w:t>time;</w:t>
      </w:r>
    </w:p>
    <w:p>
      <w:pPr>
        <w:pStyle w:val="ListParagraph"/>
        <w:numPr>
          <w:ilvl w:val="2"/>
          <w:numId w:val="123"/>
        </w:numPr>
        <w:tabs>
          <w:tab w:pos="1535" w:val="left" w:leader="none"/>
        </w:tabs>
        <w:spacing w:line="273" w:lineRule="auto" w:before="3" w:after="0"/>
        <w:ind w:left="1534" w:right="2721" w:hanging="341"/>
        <w:jc w:val="left"/>
        <w:rPr>
          <w:sz w:val="18"/>
        </w:rPr>
      </w:pPr>
      <w:r>
        <w:rPr>
          <w:color w:val="231F20"/>
          <w:spacing w:val="2"/>
          <w:w w:val="110"/>
          <w:sz w:val="18"/>
        </w:rPr>
        <w:t>affirms </w:t>
      </w:r>
      <w:r>
        <w:rPr>
          <w:color w:val="231F20"/>
          <w:w w:val="110"/>
          <w:sz w:val="18"/>
        </w:rPr>
        <w:t>that the </w:t>
      </w:r>
      <w:r>
        <w:rPr>
          <w:color w:val="231F20"/>
          <w:spacing w:val="2"/>
          <w:w w:val="110"/>
          <w:sz w:val="18"/>
        </w:rPr>
        <w:t>process </w:t>
      </w:r>
      <w:r>
        <w:rPr>
          <w:color w:val="231F20"/>
          <w:w w:val="110"/>
          <w:sz w:val="18"/>
        </w:rPr>
        <w:t>the church uses to </w:t>
      </w:r>
      <w:r>
        <w:rPr>
          <w:color w:val="231F20"/>
          <w:spacing w:val="2"/>
          <w:w w:val="110"/>
          <w:sz w:val="18"/>
        </w:rPr>
        <w:t>assess </w:t>
      </w:r>
      <w:r>
        <w:rPr>
          <w:color w:val="231F20"/>
          <w:w w:val="110"/>
          <w:sz w:val="18"/>
        </w:rPr>
        <w:t>candidates and to call ministers is the means by which the church </w:t>
      </w:r>
      <w:r>
        <w:rPr>
          <w:color w:val="231F20"/>
          <w:spacing w:val="2"/>
          <w:w w:val="110"/>
          <w:sz w:val="18"/>
        </w:rPr>
        <w:t>seeks </w:t>
      </w:r>
      <w:r>
        <w:rPr>
          <w:color w:val="231F20"/>
          <w:w w:val="110"/>
          <w:sz w:val="18"/>
        </w:rPr>
        <w:t>to discern the call of God;</w:t>
      </w:r>
      <w:r>
        <w:rPr>
          <w:color w:val="231F20"/>
          <w:spacing w:val="1"/>
          <w:w w:val="110"/>
          <w:sz w:val="18"/>
        </w:rPr>
        <w:t> </w:t>
      </w:r>
      <w:r>
        <w:rPr>
          <w:color w:val="231F20"/>
          <w:w w:val="110"/>
          <w:sz w:val="18"/>
        </w:rPr>
        <w:t>and</w:t>
      </w:r>
    </w:p>
    <w:p>
      <w:pPr>
        <w:pStyle w:val="ListParagraph"/>
        <w:numPr>
          <w:ilvl w:val="2"/>
          <w:numId w:val="123"/>
        </w:numPr>
        <w:tabs>
          <w:tab w:pos="1535" w:val="left" w:leader="none"/>
        </w:tabs>
        <w:spacing w:line="273" w:lineRule="auto" w:before="2" w:after="0"/>
        <w:ind w:left="1534" w:right="2324" w:hanging="341"/>
        <w:jc w:val="left"/>
        <w:rPr>
          <w:sz w:val="18"/>
        </w:rPr>
      </w:pPr>
      <w:r>
        <w:rPr>
          <w:color w:val="231F20"/>
          <w:w w:val="110"/>
          <w:sz w:val="18"/>
        </w:rPr>
        <w:t>acknowledges that discussion on these </w:t>
      </w:r>
      <w:r>
        <w:rPr>
          <w:color w:val="231F20"/>
          <w:spacing w:val="2"/>
          <w:w w:val="110"/>
          <w:sz w:val="18"/>
        </w:rPr>
        <w:t>matters </w:t>
      </w:r>
      <w:r>
        <w:rPr>
          <w:color w:val="231F20"/>
          <w:w w:val="110"/>
          <w:sz w:val="18"/>
        </w:rPr>
        <w:t>will continue within as well as beyond the church and encourages the United Reformed Church  to base its consideration on the Human Sexuality </w:t>
      </w:r>
      <w:r>
        <w:rPr>
          <w:color w:val="231F20"/>
          <w:spacing w:val="2"/>
          <w:w w:val="110"/>
          <w:sz w:val="18"/>
        </w:rPr>
        <w:t>Report </w:t>
      </w:r>
      <w:r>
        <w:rPr>
          <w:color w:val="231F20"/>
          <w:spacing w:val="-4"/>
          <w:w w:val="110"/>
          <w:sz w:val="18"/>
        </w:rPr>
        <w:t>1999, </w:t>
      </w:r>
      <w:r>
        <w:rPr>
          <w:color w:val="231F20"/>
          <w:w w:val="110"/>
          <w:sz w:val="18"/>
        </w:rPr>
        <w:t>wherever possible within an ecumenical</w:t>
      </w:r>
      <w:r>
        <w:rPr>
          <w:color w:val="231F20"/>
          <w:spacing w:val="7"/>
          <w:w w:val="110"/>
          <w:sz w:val="18"/>
        </w:rPr>
        <w:t> </w:t>
      </w:r>
      <w:r>
        <w:rPr>
          <w:color w:val="231F20"/>
          <w:w w:val="110"/>
          <w:sz w:val="18"/>
        </w:rPr>
        <w:t>context.</w:t>
      </w:r>
    </w:p>
    <w:p>
      <w:pPr>
        <w:pStyle w:val="BodyText"/>
        <w:spacing w:line="273" w:lineRule="auto" w:before="2"/>
        <w:ind w:left="1194" w:right="2720"/>
      </w:pPr>
      <w:r>
        <w:rPr/>
        <w:pict>
          <v:shape style="position:absolute;margin-left:527.651367pt;margin-top:32.999146pt;width:20pt;height:190.9pt;mso-position-horizontal-relative:page;mso-position-vertical-relative:paragraph;z-index:251985920"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rPr>
        <w:t>“</w:t>
      </w:r>
      <w:r>
        <w:rPr>
          <w:b/>
          <w:color w:val="231F20"/>
          <w:w w:val="110"/>
        </w:rPr>
        <w:t>Resolution 15</w:t>
      </w:r>
      <w:r>
        <w:rPr>
          <w:color w:val="231F20"/>
          <w:w w:val="110"/>
        </w:rPr>
        <w:t>. General Assembly asks that for a period of seven years, during which reflection, prayer and sharing continue, no resolutions attempting to define the policy of the church on homosexuality should be proposed in any of the councils of the church.”</w:t>
      </w:r>
    </w:p>
    <w:p>
      <w:pPr>
        <w:pStyle w:val="BodyText"/>
        <w:spacing w:before="9"/>
        <w:rPr>
          <w:sz w:val="20"/>
        </w:rPr>
      </w:pPr>
    </w:p>
    <w:p>
      <w:pPr>
        <w:pStyle w:val="ListParagraph"/>
        <w:numPr>
          <w:ilvl w:val="1"/>
          <w:numId w:val="123"/>
        </w:numPr>
        <w:tabs>
          <w:tab w:pos="1233" w:val="left" w:leader="none"/>
          <w:tab w:pos="1234" w:val="left" w:leader="none"/>
        </w:tabs>
        <w:spacing w:line="273" w:lineRule="auto" w:before="0" w:after="0"/>
        <w:ind w:left="514" w:right="2259" w:hanging="1"/>
        <w:jc w:val="left"/>
        <w:rPr>
          <w:sz w:val="18"/>
        </w:rPr>
      </w:pPr>
      <w:r>
        <w:rPr>
          <w:color w:val="231F20"/>
          <w:w w:val="110"/>
          <w:sz w:val="18"/>
        </w:rPr>
        <w:t>This established the </w:t>
      </w:r>
      <w:r>
        <w:rPr>
          <w:b/>
          <w:color w:val="231F20"/>
          <w:w w:val="110"/>
          <w:sz w:val="18"/>
        </w:rPr>
        <w:t>moratorium </w:t>
      </w:r>
      <w:r>
        <w:rPr>
          <w:color w:val="231F20"/>
          <w:w w:val="110"/>
          <w:sz w:val="18"/>
        </w:rPr>
        <w:t>which comes to an end at Assembly </w:t>
      </w:r>
      <w:r>
        <w:rPr>
          <w:color w:val="231F20"/>
          <w:spacing w:val="-8"/>
          <w:w w:val="110"/>
          <w:sz w:val="18"/>
        </w:rPr>
        <w:t>2007. </w:t>
      </w:r>
      <w:r>
        <w:rPr>
          <w:color w:val="231F20"/>
          <w:w w:val="110"/>
          <w:sz w:val="18"/>
        </w:rPr>
        <w:t>In preparation for this Assembly, Mission Council has given thought to the next steps that might be</w:t>
      </w:r>
      <w:r>
        <w:rPr>
          <w:color w:val="231F20"/>
          <w:spacing w:val="-12"/>
          <w:w w:val="110"/>
          <w:sz w:val="18"/>
        </w:rPr>
        <w:t> </w:t>
      </w:r>
      <w:r>
        <w:rPr>
          <w:color w:val="231F20"/>
          <w:w w:val="110"/>
          <w:sz w:val="18"/>
        </w:rPr>
        <w:t>taken.</w:t>
      </w:r>
    </w:p>
    <w:p>
      <w:pPr>
        <w:pStyle w:val="BodyText"/>
        <w:spacing w:before="6"/>
        <w:rPr>
          <w:sz w:val="12"/>
        </w:rPr>
      </w:pPr>
    </w:p>
    <w:p>
      <w:pPr>
        <w:pStyle w:val="ListParagraph"/>
        <w:numPr>
          <w:ilvl w:val="1"/>
          <w:numId w:val="123"/>
        </w:numPr>
        <w:tabs>
          <w:tab w:pos="1234" w:val="left" w:leader="none"/>
        </w:tabs>
        <w:spacing w:line="240" w:lineRule="auto" w:before="100" w:after="0"/>
        <w:ind w:left="1233" w:right="0" w:hanging="720"/>
        <w:jc w:val="both"/>
        <w:rPr>
          <w:sz w:val="18"/>
        </w:rPr>
      </w:pPr>
      <w:r>
        <w:rPr>
          <w:color w:val="231F20"/>
          <w:spacing w:val="2"/>
          <w:w w:val="110"/>
          <w:sz w:val="18"/>
        </w:rPr>
        <w:t>After </w:t>
      </w:r>
      <w:r>
        <w:rPr>
          <w:color w:val="231F20"/>
          <w:w w:val="110"/>
          <w:sz w:val="18"/>
        </w:rPr>
        <w:t>looking at possible options, Mission Council recommends to</w:t>
      </w:r>
      <w:r>
        <w:rPr>
          <w:color w:val="231F20"/>
          <w:spacing w:val="29"/>
          <w:w w:val="110"/>
          <w:sz w:val="18"/>
        </w:rPr>
        <w:t> </w:t>
      </w:r>
      <w:r>
        <w:rPr>
          <w:color w:val="231F20"/>
          <w:w w:val="110"/>
          <w:sz w:val="18"/>
        </w:rPr>
        <w:t>General</w:t>
      </w:r>
    </w:p>
    <w:p>
      <w:pPr>
        <w:pStyle w:val="BodyText"/>
        <w:spacing w:before="32"/>
        <w:ind w:left="513"/>
        <w:jc w:val="both"/>
      </w:pPr>
      <w:r>
        <w:rPr>
          <w:color w:val="231F20"/>
          <w:w w:val="110"/>
        </w:rPr>
        <w:t>Assembly that it –</w:t>
      </w:r>
    </w:p>
    <w:p>
      <w:pPr>
        <w:pStyle w:val="ListParagraph"/>
        <w:numPr>
          <w:ilvl w:val="0"/>
          <w:numId w:val="124"/>
        </w:numPr>
        <w:tabs>
          <w:tab w:pos="1195" w:val="left" w:leader="none"/>
        </w:tabs>
        <w:spacing w:line="273" w:lineRule="auto" w:before="31" w:after="0"/>
        <w:ind w:left="1194" w:right="2261" w:hanging="681"/>
        <w:jc w:val="both"/>
        <w:rPr>
          <w:sz w:val="18"/>
        </w:rPr>
      </w:pPr>
      <w:r>
        <w:rPr>
          <w:color w:val="231F20"/>
          <w:w w:val="110"/>
          <w:sz w:val="18"/>
        </w:rPr>
        <w:t>remind the church of the </w:t>
      </w:r>
      <w:r>
        <w:rPr>
          <w:color w:val="231F20"/>
          <w:spacing w:val="2"/>
          <w:w w:val="110"/>
          <w:sz w:val="18"/>
        </w:rPr>
        <w:t>very </w:t>
      </w:r>
      <w:r>
        <w:rPr>
          <w:color w:val="231F20"/>
          <w:w w:val="110"/>
          <w:sz w:val="18"/>
        </w:rPr>
        <w:t>considerable work which led up to the Human Sexuality </w:t>
      </w:r>
      <w:r>
        <w:rPr>
          <w:color w:val="231F20"/>
          <w:spacing w:val="2"/>
          <w:w w:val="110"/>
          <w:sz w:val="18"/>
        </w:rPr>
        <w:t>Report </w:t>
      </w:r>
      <w:r>
        <w:rPr>
          <w:color w:val="231F20"/>
          <w:spacing w:val="-4"/>
          <w:w w:val="110"/>
          <w:sz w:val="18"/>
        </w:rPr>
        <w:t>1999, </w:t>
      </w:r>
      <w:r>
        <w:rPr>
          <w:color w:val="231F20"/>
          <w:w w:val="110"/>
          <w:sz w:val="18"/>
        </w:rPr>
        <w:t>acknowledging that discussions have not in </w:t>
      </w:r>
      <w:r>
        <w:rPr>
          <w:color w:val="231F20"/>
          <w:spacing w:val="2"/>
          <w:w w:val="110"/>
          <w:sz w:val="18"/>
        </w:rPr>
        <w:t>fact </w:t>
      </w:r>
      <w:r>
        <w:rPr>
          <w:color w:val="231F20"/>
          <w:w w:val="110"/>
          <w:sz w:val="18"/>
        </w:rPr>
        <w:t>been continued or developed in the intervening</w:t>
      </w:r>
      <w:r>
        <w:rPr>
          <w:color w:val="231F20"/>
          <w:spacing w:val="11"/>
          <w:w w:val="110"/>
          <w:sz w:val="18"/>
        </w:rPr>
        <w:t> </w:t>
      </w:r>
      <w:r>
        <w:rPr>
          <w:color w:val="231F20"/>
          <w:w w:val="110"/>
          <w:sz w:val="18"/>
        </w:rPr>
        <w:t>time;</w:t>
      </w:r>
    </w:p>
    <w:p>
      <w:pPr>
        <w:pStyle w:val="ListParagraph"/>
        <w:numPr>
          <w:ilvl w:val="0"/>
          <w:numId w:val="124"/>
        </w:numPr>
        <w:tabs>
          <w:tab w:pos="1194" w:val="left" w:leader="none"/>
          <w:tab w:pos="1195" w:val="left" w:leader="none"/>
        </w:tabs>
        <w:spacing w:line="273" w:lineRule="auto" w:before="2" w:after="0"/>
        <w:ind w:left="1194" w:right="2284" w:hanging="681"/>
        <w:jc w:val="left"/>
        <w:rPr>
          <w:sz w:val="18"/>
        </w:rPr>
      </w:pPr>
      <w:r>
        <w:rPr>
          <w:color w:val="231F20"/>
          <w:w w:val="110"/>
          <w:sz w:val="18"/>
        </w:rPr>
        <w:t>call the church to a recognition of the continuing diversity and disagreement that exists over these issues and also to a recommitment to stay together and work</w:t>
      </w:r>
      <w:r>
        <w:rPr>
          <w:color w:val="231F20"/>
          <w:spacing w:val="2"/>
          <w:w w:val="110"/>
          <w:sz w:val="18"/>
        </w:rPr>
        <w:t> </w:t>
      </w:r>
      <w:r>
        <w:rPr>
          <w:color w:val="231F20"/>
          <w:w w:val="110"/>
          <w:sz w:val="18"/>
        </w:rPr>
        <w:t>together;</w:t>
      </w:r>
    </w:p>
    <w:p>
      <w:pPr>
        <w:pStyle w:val="ListParagraph"/>
        <w:numPr>
          <w:ilvl w:val="0"/>
          <w:numId w:val="124"/>
        </w:numPr>
        <w:tabs>
          <w:tab w:pos="1194" w:val="left" w:leader="none"/>
          <w:tab w:pos="1195" w:val="left" w:leader="none"/>
        </w:tabs>
        <w:spacing w:line="273" w:lineRule="auto" w:before="2" w:after="0"/>
        <w:ind w:left="1194" w:right="2767" w:hanging="681"/>
        <w:jc w:val="left"/>
        <w:rPr>
          <w:sz w:val="18"/>
        </w:rPr>
      </w:pPr>
      <w:r>
        <w:rPr>
          <w:color w:val="231F20"/>
          <w:w w:val="110"/>
          <w:sz w:val="18"/>
        </w:rPr>
        <w:t>emphasise the value and place of the current Catch the Vision and Evangelism Consultation process, and set the </w:t>
      </w:r>
      <w:r>
        <w:rPr>
          <w:color w:val="231F20"/>
          <w:spacing w:val="2"/>
          <w:w w:val="110"/>
          <w:sz w:val="18"/>
        </w:rPr>
        <w:t>next </w:t>
      </w:r>
      <w:r>
        <w:rPr>
          <w:color w:val="231F20"/>
          <w:w w:val="110"/>
          <w:sz w:val="18"/>
        </w:rPr>
        <w:t>phase of discussions within that</w:t>
      </w:r>
      <w:r>
        <w:rPr>
          <w:color w:val="231F20"/>
          <w:spacing w:val="1"/>
          <w:w w:val="110"/>
          <w:sz w:val="18"/>
        </w:rPr>
        <w:t> </w:t>
      </w:r>
      <w:r>
        <w:rPr>
          <w:color w:val="231F20"/>
          <w:w w:val="110"/>
          <w:sz w:val="18"/>
        </w:rPr>
        <w:t>context;</w:t>
      </w:r>
    </w:p>
    <w:p>
      <w:pPr>
        <w:pStyle w:val="ListParagraph"/>
        <w:numPr>
          <w:ilvl w:val="0"/>
          <w:numId w:val="124"/>
        </w:numPr>
        <w:tabs>
          <w:tab w:pos="1194" w:val="left" w:leader="none"/>
          <w:tab w:pos="1195" w:val="left" w:leader="none"/>
        </w:tabs>
        <w:spacing w:line="240" w:lineRule="auto" w:before="1" w:after="0"/>
        <w:ind w:left="1194" w:right="0" w:hanging="682"/>
        <w:jc w:val="left"/>
        <w:rPr>
          <w:sz w:val="18"/>
        </w:rPr>
      </w:pPr>
      <w:r>
        <w:rPr>
          <w:color w:val="231F20"/>
          <w:w w:val="110"/>
          <w:sz w:val="18"/>
        </w:rPr>
        <w:t>outline</w:t>
      </w:r>
      <w:r>
        <w:rPr>
          <w:color w:val="231F20"/>
          <w:spacing w:val="-8"/>
          <w:w w:val="110"/>
          <w:sz w:val="18"/>
        </w:rPr>
        <w:t> </w:t>
      </w:r>
      <w:r>
        <w:rPr>
          <w:color w:val="231F20"/>
          <w:w w:val="110"/>
          <w:sz w:val="18"/>
        </w:rPr>
        <w:t>a</w:t>
      </w:r>
      <w:r>
        <w:rPr>
          <w:color w:val="231F20"/>
          <w:spacing w:val="-7"/>
          <w:w w:val="110"/>
          <w:sz w:val="18"/>
        </w:rPr>
        <w:t> </w:t>
      </w:r>
      <w:r>
        <w:rPr>
          <w:color w:val="231F20"/>
          <w:w w:val="110"/>
          <w:sz w:val="18"/>
        </w:rPr>
        <w:t>process</w:t>
      </w:r>
      <w:r>
        <w:rPr>
          <w:color w:val="231F20"/>
          <w:spacing w:val="-8"/>
          <w:w w:val="110"/>
          <w:sz w:val="18"/>
        </w:rPr>
        <w:t> </w:t>
      </w:r>
      <w:r>
        <w:rPr>
          <w:color w:val="231F20"/>
          <w:w w:val="110"/>
          <w:sz w:val="18"/>
        </w:rPr>
        <w:t>for</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consideration</w:t>
      </w:r>
      <w:r>
        <w:rPr>
          <w:color w:val="231F20"/>
          <w:spacing w:val="-8"/>
          <w:w w:val="110"/>
          <w:sz w:val="18"/>
        </w:rPr>
        <w:t> </w:t>
      </w:r>
      <w:r>
        <w:rPr>
          <w:color w:val="231F20"/>
          <w:w w:val="110"/>
          <w:sz w:val="18"/>
        </w:rPr>
        <w:t>of</w:t>
      </w:r>
      <w:r>
        <w:rPr>
          <w:color w:val="231F20"/>
          <w:spacing w:val="-7"/>
          <w:w w:val="110"/>
          <w:sz w:val="18"/>
        </w:rPr>
        <w:t> </w:t>
      </w:r>
      <w:r>
        <w:rPr>
          <w:color w:val="231F20"/>
          <w:w w:val="110"/>
          <w:sz w:val="18"/>
        </w:rPr>
        <w:t>issues</w:t>
      </w:r>
      <w:r>
        <w:rPr>
          <w:color w:val="231F20"/>
          <w:spacing w:val="-8"/>
          <w:w w:val="110"/>
          <w:sz w:val="18"/>
        </w:rPr>
        <w:t> </w:t>
      </w:r>
      <w:r>
        <w:rPr>
          <w:color w:val="231F20"/>
          <w:w w:val="110"/>
          <w:sz w:val="18"/>
        </w:rPr>
        <w:t>that</w:t>
      </w:r>
      <w:r>
        <w:rPr>
          <w:color w:val="231F20"/>
          <w:spacing w:val="-7"/>
          <w:w w:val="110"/>
          <w:sz w:val="18"/>
        </w:rPr>
        <w:t> </w:t>
      </w:r>
      <w:r>
        <w:rPr>
          <w:color w:val="231F20"/>
          <w:w w:val="110"/>
          <w:sz w:val="18"/>
        </w:rPr>
        <w:t>need</w:t>
      </w:r>
      <w:r>
        <w:rPr>
          <w:color w:val="231F20"/>
          <w:spacing w:val="-7"/>
          <w:w w:val="110"/>
          <w:sz w:val="18"/>
        </w:rPr>
        <w:t> </w:t>
      </w:r>
      <w:r>
        <w:rPr>
          <w:color w:val="231F20"/>
          <w:w w:val="110"/>
          <w:sz w:val="18"/>
        </w:rPr>
        <w:t>further</w:t>
      </w:r>
      <w:r>
        <w:rPr>
          <w:color w:val="231F20"/>
          <w:spacing w:val="-8"/>
          <w:w w:val="110"/>
          <w:sz w:val="18"/>
        </w:rPr>
        <w:t> </w:t>
      </w:r>
      <w:r>
        <w:rPr>
          <w:color w:val="231F20"/>
          <w:w w:val="110"/>
          <w:sz w:val="18"/>
        </w:rPr>
        <w:t>exploration;</w:t>
      </w:r>
    </w:p>
    <w:p>
      <w:pPr>
        <w:pStyle w:val="ListParagraph"/>
        <w:numPr>
          <w:ilvl w:val="0"/>
          <w:numId w:val="124"/>
        </w:numPr>
        <w:tabs>
          <w:tab w:pos="1194" w:val="left" w:leader="none"/>
          <w:tab w:pos="1195" w:val="left" w:leader="none"/>
        </w:tabs>
        <w:spacing w:line="240" w:lineRule="auto" w:before="32" w:after="0"/>
        <w:ind w:left="1194" w:right="0" w:hanging="682"/>
        <w:jc w:val="left"/>
        <w:rPr>
          <w:sz w:val="18"/>
        </w:rPr>
      </w:pPr>
      <w:r>
        <w:rPr>
          <w:color w:val="231F20"/>
          <w:w w:val="110"/>
          <w:sz w:val="18"/>
        </w:rPr>
        <w:t>encourage continuing restraint over attempts to define</w:t>
      </w:r>
      <w:r>
        <w:rPr>
          <w:color w:val="231F20"/>
          <w:spacing w:val="14"/>
          <w:w w:val="110"/>
          <w:sz w:val="18"/>
        </w:rPr>
        <w:t> </w:t>
      </w:r>
      <w:r>
        <w:rPr>
          <w:color w:val="231F20"/>
          <w:w w:val="110"/>
          <w:sz w:val="18"/>
        </w:rPr>
        <w:t>policy.</w:t>
      </w:r>
    </w:p>
    <w:p>
      <w:pPr>
        <w:spacing w:before="31"/>
        <w:ind w:left="0" w:right="1131" w:firstLine="0"/>
        <w:jc w:val="right"/>
        <w:rPr>
          <w:rFonts w:ascii="Eurostile Bold"/>
          <w:b/>
          <w:sz w:val="24"/>
        </w:rPr>
      </w:pPr>
      <w:r>
        <w:rPr>
          <w:rFonts w:ascii="Eurostile Bold"/>
          <w:b/>
          <w:color w:val="231F20"/>
          <w:w w:val="87"/>
          <w:sz w:val="24"/>
        </w:rPr>
        <w:t>3</w:t>
      </w:r>
    </w:p>
    <w:p>
      <w:pPr>
        <w:spacing w:after="0"/>
        <w:jc w:val="right"/>
        <w:rPr>
          <w:rFonts w:ascii="Eurostile Bold"/>
          <w:sz w:val="24"/>
        </w:rPr>
        <w:sectPr>
          <w:headerReference w:type="default" r:id="rId343"/>
          <w:footerReference w:type="default" r:id="rId344"/>
          <w:pgSz w:w="11910" w:h="16840"/>
          <w:pgMar w:header="0" w:footer="0" w:top="540" w:bottom="280" w:left="620" w:right="0"/>
        </w:sectPr>
      </w:pPr>
    </w:p>
    <w:p>
      <w:pPr>
        <w:pStyle w:val="BodyText"/>
        <w:spacing w:before="3"/>
        <w:rPr>
          <w:rFonts w:ascii="Eurostile Bold"/>
          <w:b/>
          <w:sz w:val="24"/>
        </w:rPr>
      </w:pPr>
    </w:p>
    <w:p>
      <w:pPr>
        <w:pStyle w:val="ListParagraph"/>
        <w:numPr>
          <w:ilvl w:val="0"/>
          <w:numId w:val="125"/>
        </w:numPr>
        <w:tabs>
          <w:tab w:pos="1233" w:val="left" w:leader="none"/>
          <w:tab w:pos="1234" w:val="left" w:leader="none"/>
        </w:tabs>
        <w:spacing w:line="240" w:lineRule="auto" w:before="98" w:after="0"/>
        <w:ind w:left="1233" w:right="0" w:hanging="721"/>
        <w:jc w:val="left"/>
        <w:rPr>
          <w:b/>
          <w:sz w:val="29"/>
        </w:rPr>
      </w:pPr>
      <w:r>
        <w:rPr>
          <w:b/>
          <w:color w:val="231F20"/>
          <w:w w:val="110"/>
          <w:sz w:val="29"/>
        </w:rPr>
        <w:t>The current context</w:t>
      </w:r>
    </w:p>
    <w:p>
      <w:pPr>
        <w:pStyle w:val="ListParagraph"/>
        <w:numPr>
          <w:ilvl w:val="1"/>
          <w:numId w:val="125"/>
        </w:numPr>
        <w:tabs>
          <w:tab w:pos="1233" w:val="left" w:leader="none"/>
          <w:tab w:pos="1234" w:val="left" w:leader="none"/>
        </w:tabs>
        <w:spacing w:line="273" w:lineRule="auto" w:before="258" w:after="0"/>
        <w:ind w:left="513" w:right="1734" w:firstLine="0"/>
        <w:jc w:val="left"/>
        <w:rPr>
          <w:sz w:val="18"/>
        </w:rPr>
      </w:pPr>
      <w:r>
        <w:rPr>
          <w:color w:val="231F20"/>
          <w:w w:val="110"/>
          <w:sz w:val="18"/>
        </w:rPr>
        <w:t>Since the </w:t>
      </w:r>
      <w:r>
        <w:rPr>
          <w:color w:val="231F20"/>
          <w:spacing w:val="-4"/>
          <w:w w:val="110"/>
          <w:sz w:val="18"/>
        </w:rPr>
        <w:t>1999 </w:t>
      </w:r>
      <w:r>
        <w:rPr>
          <w:color w:val="231F20"/>
          <w:w w:val="110"/>
          <w:sz w:val="18"/>
        </w:rPr>
        <w:t>report to General Assembly on Human </w:t>
      </w:r>
      <w:r>
        <w:rPr>
          <w:color w:val="231F20"/>
          <w:spacing w:val="-3"/>
          <w:w w:val="110"/>
          <w:sz w:val="18"/>
        </w:rPr>
        <w:t>Sexuality, </w:t>
      </w:r>
      <w:r>
        <w:rPr>
          <w:color w:val="231F20"/>
          <w:w w:val="110"/>
          <w:sz w:val="18"/>
        </w:rPr>
        <w:t>there </w:t>
      </w:r>
      <w:r>
        <w:rPr>
          <w:color w:val="231F20"/>
          <w:spacing w:val="-3"/>
          <w:w w:val="110"/>
          <w:sz w:val="18"/>
        </w:rPr>
        <w:t>have </w:t>
      </w:r>
      <w:r>
        <w:rPr>
          <w:color w:val="231F20"/>
          <w:w w:val="110"/>
          <w:sz w:val="18"/>
        </w:rPr>
        <w:t>been some developments in the perception of same-sex relationships within society as a whole, and there </w:t>
      </w:r>
      <w:r>
        <w:rPr>
          <w:color w:val="231F20"/>
          <w:spacing w:val="-3"/>
          <w:w w:val="110"/>
          <w:sz w:val="18"/>
        </w:rPr>
        <w:t>have </w:t>
      </w:r>
      <w:r>
        <w:rPr>
          <w:color w:val="231F20"/>
          <w:w w:val="110"/>
          <w:sz w:val="18"/>
        </w:rPr>
        <w:t>been changes in the </w:t>
      </w:r>
      <w:r>
        <w:rPr>
          <w:color w:val="231F20"/>
          <w:spacing w:val="-5"/>
          <w:w w:val="110"/>
          <w:sz w:val="18"/>
        </w:rPr>
        <w:t>law, </w:t>
      </w:r>
      <w:r>
        <w:rPr>
          <w:color w:val="231F20"/>
          <w:w w:val="110"/>
          <w:sz w:val="18"/>
        </w:rPr>
        <w:t>notably in relation to civil</w:t>
      </w:r>
      <w:r>
        <w:rPr>
          <w:color w:val="231F20"/>
          <w:spacing w:val="-15"/>
          <w:w w:val="110"/>
          <w:sz w:val="18"/>
        </w:rPr>
        <w:t> </w:t>
      </w:r>
      <w:r>
        <w:rPr>
          <w:color w:val="231F20"/>
          <w:w w:val="110"/>
          <w:sz w:val="18"/>
        </w:rPr>
        <w:t>partnerships.</w:t>
      </w:r>
    </w:p>
    <w:p>
      <w:pPr>
        <w:pStyle w:val="BodyText"/>
        <w:spacing w:before="9"/>
        <w:rPr>
          <w:sz w:val="20"/>
        </w:rPr>
      </w:pPr>
    </w:p>
    <w:p>
      <w:pPr>
        <w:pStyle w:val="ListParagraph"/>
        <w:numPr>
          <w:ilvl w:val="1"/>
          <w:numId w:val="125"/>
        </w:numPr>
        <w:tabs>
          <w:tab w:pos="1233" w:val="left" w:leader="none"/>
          <w:tab w:pos="1234" w:val="left" w:leader="none"/>
        </w:tabs>
        <w:spacing w:line="273" w:lineRule="auto" w:before="0" w:after="0"/>
        <w:ind w:left="513" w:right="1696" w:firstLine="0"/>
        <w:jc w:val="left"/>
        <w:rPr>
          <w:sz w:val="18"/>
        </w:rPr>
      </w:pPr>
      <w:r>
        <w:rPr>
          <w:color w:val="231F20"/>
          <w:w w:val="110"/>
          <w:sz w:val="18"/>
        </w:rPr>
        <w:t>Within the church, as the moratorium has been honoured, it is difficult to assess what changes in opinions and attitudes there </w:t>
      </w:r>
      <w:r>
        <w:rPr>
          <w:color w:val="231F20"/>
          <w:spacing w:val="-3"/>
          <w:w w:val="110"/>
          <w:sz w:val="18"/>
        </w:rPr>
        <w:t>may have </w:t>
      </w:r>
      <w:r>
        <w:rPr>
          <w:color w:val="231F20"/>
          <w:w w:val="110"/>
          <w:sz w:val="18"/>
        </w:rPr>
        <w:t>been. Also, during this period, the church has not taken the opportunity that was envisaged and encouraged in the Assembly resolutions in </w:t>
      </w:r>
      <w:r>
        <w:rPr>
          <w:color w:val="231F20"/>
          <w:spacing w:val="-4"/>
          <w:w w:val="110"/>
          <w:sz w:val="18"/>
        </w:rPr>
        <w:t>1999 </w:t>
      </w:r>
      <w:r>
        <w:rPr>
          <w:color w:val="231F20"/>
          <w:w w:val="110"/>
          <w:sz w:val="18"/>
        </w:rPr>
        <w:t>and 2000 to continue open and constructive discussion of matters of human</w:t>
      </w:r>
      <w:r>
        <w:rPr>
          <w:color w:val="231F20"/>
          <w:spacing w:val="-4"/>
          <w:w w:val="110"/>
          <w:sz w:val="18"/>
        </w:rPr>
        <w:t> </w:t>
      </w:r>
      <w:r>
        <w:rPr>
          <w:color w:val="231F20"/>
          <w:w w:val="110"/>
          <w:sz w:val="18"/>
        </w:rPr>
        <w:t>sexuality.</w:t>
      </w:r>
    </w:p>
    <w:p>
      <w:pPr>
        <w:pStyle w:val="BodyText"/>
        <w:spacing w:before="10"/>
        <w:rPr>
          <w:sz w:val="20"/>
        </w:rPr>
      </w:pPr>
    </w:p>
    <w:p>
      <w:pPr>
        <w:pStyle w:val="ListParagraph"/>
        <w:numPr>
          <w:ilvl w:val="1"/>
          <w:numId w:val="125"/>
        </w:numPr>
        <w:tabs>
          <w:tab w:pos="1233" w:val="left" w:leader="none"/>
          <w:tab w:pos="1234" w:val="left" w:leader="none"/>
        </w:tabs>
        <w:spacing w:line="273" w:lineRule="auto" w:before="0" w:after="0"/>
        <w:ind w:left="513" w:right="1958" w:firstLine="0"/>
        <w:jc w:val="left"/>
        <w:rPr>
          <w:sz w:val="18"/>
        </w:rPr>
      </w:pPr>
      <w:r>
        <w:rPr>
          <w:color w:val="231F20"/>
          <w:w w:val="110"/>
          <w:sz w:val="18"/>
        </w:rPr>
        <w:t>Assembly </w:t>
      </w:r>
      <w:r>
        <w:rPr>
          <w:color w:val="231F20"/>
          <w:spacing w:val="2"/>
          <w:w w:val="110"/>
          <w:sz w:val="18"/>
        </w:rPr>
        <w:t>affirmed </w:t>
      </w:r>
      <w:r>
        <w:rPr>
          <w:color w:val="231F20"/>
          <w:w w:val="110"/>
          <w:sz w:val="18"/>
        </w:rPr>
        <w:t>in 2000 that the normal assessment procedure was the way decisions about candidates for ministry were to be</w:t>
      </w:r>
      <w:r>
        <w:rPr>
          <w:color w:val="231F20"/>
          <w:spacing w:val="21"/>
          <w:w w:val="110"/>
          <w:sz w:val="18"/>
        </w:rPr>
        <w:t> </w:t>
      </w:r>
      <w:r>
        <w:rPr>
          <w:color w:val="231F20"/>
          <w:w w:val="110"/>
          <w:sz w:val="18"/>
        </w:rPr>
        <w:t>taken.</w:t>
      </w:r>
    </w:p>
    <w:p>
      <w:pPr>
        <w:pStyle w:val="BodyText"/>
        <w:spacing w:before="8"/>
        <w:rPr>
          <w:sz w:val="20"/>
        </w:rPr>
      </w:pPr>
    </w:p>
    <w:p>
      <w:pPr>
        <w:pStyle w:val="ListParagraph"/>
        <w:numPr>
          <w:ilvl w:val="1"/>
          <w:numId w:val="125"/>
        </w:numPr>
        <w:tabs>
          <w:tab w:pos="1233" w:val="left" w:leader="none"/>
          <w:tab w:pos="1234" w:val="left" w:leader="none"/>
        </w:tabs>
        <w:spacing w:line="273" w:lineRule="auto" w:before="0" w:after="0"/>
        <w:ind w:left="513" w:right="1458" w:firstLine="0"/>
        <w:jc w:val="left"/>
        <w:rPr>
          <w:sz w:val="18"/>
        </w:rPr>
      </w:pPr>
      <w:r>
        <w:rPr>
          <w:color w:val="231F20"/>
          <w:spacing w:val="3"/>
          <w:w w:val="110"/>
          <w:sz w:val="18"/>
        </w:rPr>
        <w:t>General Assembly </w:t>
      </w:r>
      <w:r>
        <w:rPr>
          <w:color w:val="231F20"/>
          <w:w w:val="110"/>
          <w:sz w:val="18"/>
        </w:rPr>
        <w:t>has, however, not made any </w:t>
      </w:r>
      <w:r>
        <w:rPr>
          <w:color w:val="231F20"/>
          <w:spacing w:val="3"/>
          <w:w w:val="110"/>
          <w:sz w:val="18"/>
        </w:rPr>
        <w:t>formal decisions </w:t>
      </w:r>
      <w:r>
        <w:rPr>
          <w:color w:val="231F20"/>
          <w:spacing w:val="2"/>
          <w:w w:val="110"/>
          <w:sz w:val="18"/>
        </w:rPr>
        <w:t>against </w:t>
      </w:r>
      <w:r>
        <w:rPr>
          <w:color w:val="231F20"/>
          <w:w w:val="110"/>
          <w:sz w:val="18"/>
        </w:rPr>
        <w:t>or in  favour of </w:t>
      </w:r>
      <w:r>
        <w:rPr>
          <w:color w:val="231F20"/>
          <w:spacing w:val="2"/>
          <w:w w:val="110"/>
          <w:sz w:val="18"/>
        </w:rPr>
        <w:t>the ordination </w:t>
      </w:r>
      <w:r>
        <w:rPr>
          <w:color w:val="231F20"/>
          <w:w w:val="110"/>
          <w:sz w:val="18"/>
        </w:rPr>
        <w:t>of </w:t>
      </w:r>
      <w:r>
        <w:rPr>
          <w:color w:val="231F20"/>
          <w:spacing w:val="3"/>
          <w:w w:val="110"/>
          <w:sz w:val="18"/>
        </w:rPr>
        <w:t>people </w:t>
      </w:r>
      <w:r>
        <w:rPr>
          <w:color w:val="231F20"/>
          <w:w w:val="110"/>
          <w:sz w:val="18"/>
        </w:rPr>
        <w:t>in </w:t>
      </w:r>
      <w:r>
        <w:rPr>
          <w:color w:val="231F20"/>
          <w:spacing w:val="3"/>
          <w:w w:val="110"/>
          <w:sz w:val="18"/>
        </w:rPr>
        <w:t>committed same-sex </w:t>
      </w:r>
      <w:r>
        <w:rPr>
          <w:color w:val="231F20"/>
          <w:spacing w:val="2"/>
          <w:w w:val="110"/>
          <w:sz w:val="18"/>
        </w:rPr>
        <w:t>relationships. </w:t>
      </w:r>
      <w:r>
        <w:rPr>
          <w:color w:val="231F20"/>
          <w:w w:val="110"/>
          <w:sz w:val="18"/>
        </w:rPr>
        <w:t>It is </w:t>
      </w:r>
      <w:r>
        <w:rPr>
          <w:color w:val="231F20"/>
          <w:spacing w:val="3"/>
          <w:w w:val="110"/>
          <w:sz w:val="18"/>
        </w:rPr>
        <w:t>reaching </w:t>
      </w:r>
      <w:r>
        <w:rPr>
          <w:color w:val="231F20"/>
          <w:w w:val="110"/>
          <w:sz w:val="18"/>
        </w:rPr>
        <w:t>a </w:t>
      </w:r>
      <w:r>
        <w:rPr>
          <w:color w:val="231F20"/>
          <w:spacing w:val="2"/>
          <w:w w:val="110"/>
          <w:sz w:val="18"/>
        </w:rPr>
        <w:t>common </w:t>
      </w:r>
      <w:r>
        <w:rPr>
          <w:color w:val="231F20"/>
          <w:w w:val="110"/>
          <w:sz w:val="18"/>
        </w:rPr>
        <w:t>mind on this that has </w:t>
      </w:r>
      <w:r>
        <w:rPr>
          <w:color w:val="231F20"/>
          <w:spacing w:val="2"/>
          <w:w w:val="110"/>
          <w:sz w:val="18"/>
        </w:rPr>
        <w:t>so far proved impossible. </w:t>
      </w:r>
      <w:r>
        <w:rPr>
          <w:color w:val="231F20"/>
          <w:w w:val="110"/>
          <w:sz w:val="18"/>
        </w:rPr>
        <w:t>While </w:t>
      </w:r>
      <w:r>
        <w:rPr>
          <w:color w:val="231F20"/>
          <w:spacing w:val="2"/>
          <w:w w:val="110"/>
          <w:sz w:val="18"/>
        </w:rPr>
        <w:t>some </w:t>
      </w:r>
      <w:r>
        <w:rPr>
          <w:color w:val="231F20"/>
          <w:w w:val="110"/>
          <w:sz w:val="18"/>
        </w:rPr>
        <w:t>have </w:t>
      </w:r>
      <w:r>
        <w:rPr>
          <w:color w:val="231F20"/>
          <w:spacing w:val="2"/>
          <w:w w:val="110"/>
          <w:sz w:val="18"/>
        </w:rPr>
        <w:t>felt </w:t>
      </w:r>
      <w:r>
        <w:rPr>
          <w:color w:val="231F20"/>
          <w:w w:val="110"/>
          <w:sz w:val="18"/>
        </w:rPr>
        <w:t>that it was always </w:t>
      </w:r>
      <w:r>
        <w:rPr>
          <w:color w:val="231F20"/>
          <w:spacing w:val="2"/>
          <w:w w:val="110"/>
          <w:sz w:val="18"/>
        </w:rPr>
        <w:t>legitimate for </w:t>
      </w:r>
      <w:r>
        <w:rPr>
          <w:color w:val="231F20"/>
          <w:spacing w:val="3"/>
          <w:w w:val="110"/>
          <w:sz w:val="18"/>
        </w:rPr>
        <w:t>such people </w:t>
      </w:r>
      <w:r>
        <w:rPr>
          <w:color w:val="231F20"/>
          <w:w w:val="110"/>
          <w:sz w:val="18"/>
        </w:rPr>
        <w:t>to </w:t>
      </w:r>
      <w:r>
        <w:rPr>
          <w:color w:val="231F20"/>
          <w:spacing w:val="2"/>
          <w:w w:val="110"/>
          <w:sz w:val="18"/>
        </w:rPr>
        <w:t>be ordained </w:t>
      </w:r>
      <w:r>
        <w:rPr>
          <w:color w:val="231F20"/>
          <w:w w:val="110"/>
          <w:sz w:val="18"/>
        </w:rPr>
        <w:t>if they </w:t>
      </w:r>
      <w:r>
        <w:rPr>
          <w:color w:val="231F20"/>
          <w:spacing w:val="2"/>
          <w:w w:val="110"/>
          <w:sz w:val="18"/>
        </w:rPr>
        <w:t>fulfilled other </w:t>
      </w:r>
      <w:r>
        <w:rPr>
          <w:color w:val="231F20"/>
          <w:spacing w:val="3"/>
          <w:w w:val="110"/>
          <w:sz w:val="18"/>
        </w:rPr>
        <w:t>criteria </w:t>
      </w:r>
      <w:r>
        <w:rPr>
          <w:color w:val="231F20"/>
          <w:w w:val="110"/>
          <w:sz w:val="18"/>
        </w:rPr>
        <w:t>acceptably, </w:t>
      </w:r>
      <w:r>
        <w:rPr>
          <w:color w:val="231F20"/>
          <w:spacing w:val="3"/>
          <w:w w:val="110"/>
          <w:sz w:val="18"/>
        </w:rPr>
        <w:t>others </w:t>
      </w:r>
      <w:r>
        <w:rPr>
          <w:color w:val="231F20"/>
          <w:w w:val="110"/>
          <w:sz w:val="18"/>
        </w:rPr>
        <w:t>have </w:t>
      </w:r>
      <w:r>
        <w:rPr>
          <w:color w:val="231F20"/>
          <w:spacing w:val="3"/>
          <w:w w:val="110"/>
          <w:sz w:val="18"/>
        </w:rPr>
        <w:t>seen such </w:t>
      </w:r>
      <w:r>
        <w:rPr>
          <w:color w:val="231F20"/>
          <w:w w:val="110"/>
          <w:sz w:val="18"/>
        </w:rPr>
        <w:t>a </w:t>
      </w:r>
      <w:r>
        <w:rPr>
          <w:color w:val="231F20"/>
          <w:spacing w:val="3"/>
          <w:w w:val="110"/>
          <w:sz w:val="18"/>
        </w:rPr>
        <w:t>step </w:t>
      </w:r>
      <w:r>
        <w:rPr>
          <w:color w:val="231F20"/>
          <w:w w:val="110"/>
          <w:sz w:val="18"/>
        </w:rPr>
        <w:t>as a new and </w:t>
      </w:r>
      <w:r>
        <w:rPr>
          <w:color w:val="231F20"/>
          <w:spacing w:val="3"/>
          <w:w w:val="110"/>
          <w:sz w:val="18"/>
        </w:rPr>
        <w:t>unacceptable departure from </w:t>
      </w:r>
      <w:r>
        <w:rPr>
          <w:color w:val="231F20"/>
          <w:spacing w:val="2"/>
          <w:w w:val="110"/>
          <w:sz w:val="18"/>
        </w:rPr>
        <w:t>the traditions </w:t>
      </w:r>
      <w:r>
        <w:rPr>
          <w:color w:val="231F20"/>
          <w:w w:val="110"/>
          <w:sz w:val="18"/>
        </w:rPr>
        <w:t>of </w:t>
      </w:r>
      <w:r>
        <w:rPr>
          <w:color w:val="231F20"/>
          <w:spacing w:val="2"/>
          <w:w w:val="110"/>
          <w:sz w:val="18"/>
        </w:rPr>
        <w:t>the</w:t>
      </w:r>
      <w:r>
        <w:rPr>
          <w:color w:val="231F20"/>
          <w:spacing w:val="3"/>
          <w:w w:val="110"/>
          <w:sz w:val="18"/>
        </w:rPr>
        <w:t> </w:t>
      </w:r>
      <w:r>
        <w:rPr>
          <w:color w:val="231F20"/>
          <w:spacing w:val="2"/>
          <w:w w:val="110"/>
          <w:sz w:val="18"/>
        </w:rPr>
        <w:t>church.</w:t>
      </w:r>
    </w:p>
    <w:p>
      <w:pPr>
        <w:pStyle w:val="BodyText"/>
        <w:spacing w:before="11"/>
        <w:rPr>
          <w:sz w:val="20"/>
        </w:rPr>
      </w:pPr>
    </w:p>
    <w:p>
      <w:pPr>
        <w:pStyle w:val="ListParagraph"/>
        <w:numPr>
          <w:ilvl w:val="1"/>
          <w:numId w:val="125"/>
        </w:numPr>
        <w:tabs>
          <w:tab w:pos="1233" w:val="left" w:leader="none"/>
          <w:tab w:pos="1234" w:val="left" w:leader="none"/>
          <w:tab w:pos="1769" w:val="left" w:leader="none"/>
        </w:tabs>
        <w:spacing w:line="273" w:lineRule="auto" w:before="0" w:after="0"/>
        <w:ind w:left="513" w:right="1464" w:firstLine="0"/>
        <w:jc w:val="left"/>
        <w:rPr>
          <w:sz w:val="18"/>
        </w:rPr>
      </w:pPr>
      <w:r>
        <w:rPr>
          <w:color w:val="231F20"/>
          <w:w w:val="110"/>
          <w:sz w:val="18"/>
        </w:rPr>
        <w:t>For some, this absence of a declared policy has meant </w:t>
      </w:r>
      <w:r>
        <w:rPr>
          <w:color w:val="231F20"/>
          <w:spacing w:val="2"/>
          <w:w w:val="110"/>
          <w:sz w:val="18"/>
        </w:rPr>
        <w:t>freedom </w:t>
      </w:r>
      <w:r>
        <w:rPr>
          <w:color w:val="231F20"/>
          <w:w w:val="110"/>
          <w:sz w:val="18"/>
        </w:rPr>
        <w:t>to make decisions locally and in the councils and committees of the church according to </w:t>
      </w:r>
      <w:r>
        <w:rPr>
          <w:color w:val="231F20"/>
          <w:spacing w:val="2"/>
          <w:w w:val="110"/>
          <w:sz w:val="18"/>
        </w:rPr>
        <w:t>best </w:t>
      </w:r>
      <w:r>
        <w:rPr>
          <w:color w:val="231F20"/>
          <w:w w:val="110"/>
          <w:sz w:val="18"/>
        </w:rPr>
        <w:t>Christian judgment.</w:t>
        <w:tab/>
        <w:t>This is the procedure </w:t>
      </w:r>
      <w:r>
        <w:rPr>
          <w:color w:val="231F20"/>
          <w:spacing w:val="2"/>
          <w:w w:val="110"/>
          <w:sz w:val="18"/>
        </w:rPr>
        <w:t>permitted </w:t>
      </w:r>
      <w:r>
        <w:rPr>
          <w:color w:val="231F20"/>
          <w:w w:val="110"/>
          <w:sz w:val="18"/>
        </w:rPr>
        <w:t>under Resolution </w:t>
      </w:r>
      <w:r>
        <w:rPr>
          <w:color w:val="231F20"/>
          <w:spacing w:val="-6"/>
          <w:w w:val="110"/>
          <w:sz w:val="18"/>
        </w:rPr>
        <w:t>14(b) </w:t>
      </w:r>
      <w:r>
        <w:rPr>
          <w:color w:val="231F20"/>
          <w:w w:val="110"/>
          <w:sz w:val="18"/>
        </w:rPr>
        <w:t>of 2000 (see 1.3  </w:t>
      </w:r>
      <w:r>
        <w:rPr>
          <w:color w:val="231F20"/>
          <w:spacing w:val="-3"/>
          <w:w w:val="110"/>
          <w:sz w:val="18"/>
        </w:rPr>
        <w:t>above).</w:t>
      </w:r>
      <w:r>
        <w:rPr>
          <w:color w:val="231F20"/>
          <w:spacing w:val="63"/>
          <w:w w:val="110"/>
          <w:sz w:val="18"/>
        </w:rPr>
        <w:t> </w:t>
      </w:r>
      <w:r>
        <w:rPr>
          <w:color w:val="231F20"/>
          <w:w w:val="110"/>
          <w:sz w:val="18"/>
        </w:rPr>
        <w:t>For others, the absence of a policy has seemed to become a policy in itself, in that it has allowed actions which were not acceptable to </w:t>
      </w:r>
      <w:r>
        <w:rPr>
          <w:color w:val="231F20"/>
          <w:spacing w:val="2"/>
          <w:w w:val="110"/>
          <w:sz w:val="18"/>
        </w:rPr>
        <w:t>sections </w:t>
      </w:r>
      <w:r>
        <w:rPr>
          <w:color w:val="231F20"/>
          <w:w w:val="110"/>
          <w:sz w:val="18"/>
        </w:rPr>
        <w:t>of the</w:t>
      </w:r>
      <w:r>
        <w:rPr>
          <w:color w:val="231F20"/>
          <w:spacing w:val="44"/>
          <w:w w:val="110"/>
          <w:sz w:val="18"/>
        </w:rPr>
        <w:t> </w:t>
      </w:r>
      <w:r>
        <w:rPr>
          <w:color w:val="231F20"/>
          <w:w w:val="110"/>
          <w:sz w:val="18"/>
        </w:rPr>
        <w:t>church.</w:t>
      </w:r>
    </w:p>
    <w:p>
      <w:pPr>
        <w:pStyle w:val="BodyText"/>
        <w:spacing w:before="10"/>
        <w:rPr>
          <w:sz w:val="20"/>
        </w:rPr>
      </w:pPr>
    </w:p>
    <w:p>
      <w:pPr>
        <w:pStyle w:val="ListParagraph"/>
        <w:numPr>
          <w:ilvl w:val="1"/>
          <w:numId w:val="125"/>
        </w:numPr>
        <w:tabs>
          <w:tab w:pos="1233" w:val="left" w:leader="none"/>
          <w:tab w:pos="1234" w:val="left" w:leader="none"/>
        </w:tabs>
        <w:spacing w:line="273" w:lineRule="auto" w:before="0" w:after="0"/>
        <w:ind w:left="513" w:right="1632" w:firstLine="0"/>
        <w:jc w:val="left"/>
        <w:rPr>
          <w:sz w:val="18"/>
        </w:rPr>
      </w:pPr>
      <w:r>
        <w:rPr>
          <w:color w:val="231F20"/>
          <w:w w:val="110"/>
          <w:sz w:val="18"/>
        </w:rPr>
        <w:t>While </w:t>
      </w:r>
      <w:r>
        <w:rPr>
          <w:color w:val="231F20"/>
          <w:spacing w:val="2"/>
          <w:w w:val="110"/>
          <w:sz w:val="18"/>
        </w:rPr>
        <w:t>therefore </w:t>
      </w:r>
      <w:r>
        <w:rPr>
          <w:color w:val="231F20"/>
          <w:w w:val="110"/>
          <w:sz w:val="18"/>
        </w:rPr>
        <w:t>there has not been any real </w:t>
      </w:r>
      <w:r>
        <w:rPr>
          <w:color w:val="231F20"/>
          <w:spacing w:val="2"/>
          <w:w w:val="110"/>
          <w:sz w:val="18"/>
        </w:rPr>
        <w:t>progress </w:t>
      </w:r>
      <w:r>
        <w:rPr>
          <w:color w:val="231F20"/>
          <w:w w:val="110"/>
          <w:sz w:val="18"/>
        </w:rPr>
        <w:t>in terms of understanding or agreement within the church, we are in a new situation in several </w:t>
      </w:r>
      <w:r>
        <w:rPr>
          <w:color w:val="231F20"/>
          <w:spacing w:val="3"/>
          <w:w w:val="110"/>
          <w:sz w:val="18"/>
        </w:rPr>
        <w:t>respects</w:t>
      </w:r>
      <w:r>
        <w:rPr>
          <w:color w:val="231F20"/>
          <w:spacing w:val="48"/>
          <w:w w:val="110"/>
          <w:sz w:val="18"/>
        </w:rPr>
        <w:t> </w:t>
      </w:r>
      <w:r>
        <w:rPr>
          <w:color w:val="231F20"/>
          <w:w w:val="110"/>
          <w:sz w:val="18"/>
        </w:rPr>
        <w:t>–</w:t>
      </w:r>
    </w:p>
    <w:p>
      <w:pPr>
        <w:pStyle w:val="ListParagraph"/>
        <w:numPr>
          <w:ilvl w:val="0"/>
          <w:numId w:val="126"/>
        </w:numPr>
        <w:tabs>
          <w:tab w:pos="1194" w:val="left" w:leader="none"/>
          <w:tab w:pos="1195" w:val="left" w:leader="none"/>
        </w:tabs>
        <w:spacing w:line="218" w:lineRule="auto" w:before="0" w:after="0"/>
        <w:ind w:left="1194" w:right="1601" w:hanging="681"/>
        <w:jc w:val="left"/>
        <w:rPr>
          <w:sz w:val="18"/>
        </w:rPr>
      </w:pPr>
      <w:r>
        <w:rPr>
          <w:color w:val="231F20"/>
          <w:w w:val="110"/>
          <w:sz w:val="18"/>
        </w:rPr>
        <w:t>civil </w:t>
      </w:r>
      <w:r>
        <w:rPr>
          <w:color w:val="231F20"/>
          <w:spacing w:val="2"/>
          <w:w w:val="110"/>
          <w:sz w:val="18"/>
        </w:rPr>
        <w:t>partnerships </w:t>
      </w:r>
      <w:r>
        <w:rPr>
          <w:color w:val="231F20"/>
          <w:w w:val="110"/>
          <w:sz w:val="18"/>
        </w:rPr>
        <w:t>have been introduced and also new anti-discrimination legislation relating to employment and the provision of goods and</w:t>
      </w:r>
      <w:r>
        <w:rPr>
          <w:color w:val="231F20"/>
          <w:spacing w:val="33"/>
          <w:w w:val="110"/>
          <w:sz w:val="18"/>
        </w:rPr>
        <w:t> </w:t>
      </w:r>
      <w:r>
        <w:rPr>
          <w:color w:val="231F20"/>
          <w:w w:val="110"/>
          <w:sz w:val="18"/>
        </w:rPr>
        <w:t>services;</w:t>
      </w:r>
    </w:p>
    <w:p>
      <w:pPr>
        <w:pStyle w:val="ListParagraph"/>
        <w:numPr>
          <w:ilvl w:val="0"/>
          <w:numId w:val="126"/>
        </w:numPr>
        <w:tabs>
          <w:tab w:pos="1194" w:val="left" w:leader="none"/>
          <w:tab w:pos="1195" w:val="left" w:leader="none"/>
        </w:tabs>
        <w:spacing w:line="218" w:lineRule="auto" w:before="14" w:after="0"/>
        <w:ind w:left="1194" w:right="1654" w:hanging="681"/>
        <w:jc w:val="left"/>
        <w:rPr>
          <w:sz w:val="18"/>
        </w:rPr>
      </w:pPr>
      <w:r>
        <w:rPr>
          <w:color w:val="231F20"/>
          <w:w w:val="110"/>
          <w:sz w:val="18"/>
        </w:rPr>
        <w:t>tensions within the Anglican World Communion have raised the profile of this issue within the life of the church and</w:t>
      </w:r>
      <w:r>
        <w:rPr>
          <w:color w:val="231F20"/>
          <w:spacing w:val="10"/>
          <w:w w:val="110"/>
          <w:sz w:val="18"/>
        </w:rPr>
        <w:t> </w:t>
      </w:r>
      <w:r>
        <w:rPr>
          <w:color w:val="231F20"/>
          <w:w w:val="110"/>
          <w:sz w:val="18"/>
        </w:rPr>
        <w:t>society;</w:t>
      </w:r>
    </w:p>
    <w:p>
      <w:pPr>
        <w:pStyle w:val="ListParagraph"/>
        <w:numPr>
          <w:ilvl w:val="0"/>
          <w:numId w:val="126"/>
        </w:numPr>
        <w:tabs>
          <w:tab w:pos="1194" w:val="left" w:leader="none"/>
          <w:tab w:pos="1195" w:val="left" w:leader="none"/>
        </w:tabs>
        <w:spacing w:line="218" w:lineRule="auto" w:before="24" w:after="0"/>
        <w:ind w:left="1194" w:right="2667" w:hanging="681"/>
        <w:jc w:val="left"/>
        <w:rPr>
          <w:sz w:val="18"/>
        </w:rPr>
      </w:pPr>
      <w:r>
        <w:rPr>
          <w:color w:val="231F20"/>
          <w:w w:val="110"/>
          <w:sz w:val="18"/>
        </w:rPr>
        <w:t>the media have heightened the general awareness of issues of same-sex relationships within</w:t>
      </w:r>
      <w:r>
        <w:rPr>
          <w:color w:val="231F20"/>
          <w:spacing w:val="1"/>
          <w:w w:val="110"/>
          <w:sz w:val="18"/>
        </w:rPr>
        <w:t> </w:t>
      </w:r>
      <w:r>
        <w:rPr>
          <w:color w:val="231F20"/>
          <w:w w:val="110"/>
          <w:sz w:val="18"/>
        </w:rPr>
        <w:t>society;</w:t>
      </w:r>
    </w:p>
    <w:p>
      <w:pPr>
        <w:pStyle w:val="ListParagraph"/>
        <w:numPr>
          <w:ilvl w:val="0"/>
          <w:numId w:val="126"/>
        </w:numPr>
        <w:tabs>
          <w:tab w:pos="1194" w:val="left" w:leader="none"/>
          <w:tab w:pos="1195" w:val="left" w:leader="none"/>
        </w:tabs>
        <w:spacing w:line="218" w:lineRule="auto" w:before="25" w:after="0"/>
        <w:ind w:left="1194" w:right="1617" w:hanging="681"/>
        <w:jc w:val="left"/>
        <w:rPr>
          <w:sz w:val="18"/>
        </w:rPr>
      </w:pPr>
      <w:r>
        <w:rPr>
          <w:color w:val="231F20"/>
          <w:w w:val="110"/>
          <w:sz w:val="18"/>
        </w:rPr>
        <w:t>we are now in the midst of re-evaluating our life as a church through the Catch the Vision process;</w:t>
      </w:r>
    </w:p>
    <w:p>
      <w:pPr>
        <w:pStyle w:val="ListParagraph"/>
        <w:numPr>
          <w:ilvl w:val="0"/>
          <w:numId w:val="126"/>
        </w:numPr>
        <w:tabs>
          <w:tab w:pos="1194" w:val="left" w:leader="none"/>
          <w:tab w:pos="1195" w:val="left" w:leader="none"/>
        </w:tabs>
        <w:spacing w:line="218" w:lineRule="auto" w:before="24" w:after="0"/>
        <w:ind w:left="1194" w:right="1688" w:hanging="681"/>
        <w:jc w:val="left"/>
        <w:rPr>
          <w:sz w:val="18"/>
        </w:rPr>
      </w:pPr>
      <w:r>
        <w:rPr>
          <w:color w:val="231F20"/>
          <w:w w:val="110"/>
          <w:sz w:val="18"/>
        </w:rPr>
        <w:t>there is </w:t>
      </w:r>
      <w:r>
        <w:rPr>
          <w:color w:val="231F20"/>
          <w:spacing w:val="2"/>
          <w:w w:val="110"/>
          <w:sz w:val="18"/>
        </w:rPr>
        <w:t>reluctance </w:t>
      </w:r>
      <w:r>
        <w:rPr>
          <w:color w:val="231F20"/>
          <w:w w:val="110"/>
          <w:sz w:val="18"/>
        </w:rPr>
        <w:t>in many </w:t>
      </w:r>
      <w:r>
        <w:rPr>
          <w:color w:val="231F20"/>
          <w:spacing w:val="3"/>
          <w:w w:val="110"/>
          <w:sz w:val="18"/>
        </w:rPr>
        <w:t>parts </w:t>
      </w:r>
      <w:r>
        <w:rPr>
          <w:color w:val="231F20"/>
          <w:w w:val="110"/>
          <w:sz w:val="18"/>
        </w:rPr>
        <w:t>of the church to re-engage in a discussion which was so distracting, distressing and</w:t>
      </w:r>
      <w:r>
        <w:rPr>
          <w:color w:val="231F20"/>
          <w:spacing w:val="9"/>
          <w:w w:val="110"/>
          <w:sz w:val="18"/>
        </w:rPr>
        <w:t> </w:t>
      </w:r>
      <w:r>
        <w:rPr>
          <w:color w:val="231F20"/>
          <w:w w:val="110"/>
          <w:sz w:val="18"/>
        </w:rPr>
        <w:t>divisive.</w:t>
      </w:r>
    </w:p>
    <w:p>
      <w:pPr>
        <w:pStyle w:val="BodyText"/>
        <w:spacing w:before="6"/>
        <w:rPr>
          <w:sz w:val="23"/>
        </w:rPr>
      </w:pPr>
    </w:p>
    <w:p>
      <w:pPr>
        <w:pStyle w:val="ListParagraph"/>
        <w:numPr>
          <w:ilvl w:val="1"/>
          <w:numId w:val="125"/>
        </w:numPr>
        <w:tabs>
          <w:tab w:pos="1233" w:val="left" w:leader="none"/>
          <w:tab w:pos="1234" w:val="left" w:leader="none"/>
        </w:tabs>
        <w:spacing w:line="273" w:lineRule="auto" w:before="1" w:after="0"/>
        <w:ind w:left="513" w:right="1561" w:firstLine="0"/>
        <w:jc w:val="left"/>
        <w:rPr>
          <w:sz w:val="18"/>
        </w:rPr>
      </w:pPr>
      <w:r>
        <w:rPr>
          <w:color w:val="231F20"/>
          <w:w w:val="110"/>
          <w:sz w:val="18"/>
        </w:rPr>
        <w:t>It is the last two points which are particularly relevant at this moment. As the moratorium comes to an end, we cannot simply revert to where we were seven years ago. As</w:t>
      </w:r>
      <w:r>
        <w:rPr>
          <w:color w:val="231F20"/>
          <w:spacing w:val="-7"/>
          <w:w w:val="110"/>
          <w:sz w:val="18"/>
        </w:rPr>
        <w:t> </w:t>
      </w:r>
      <w:r>
        <w:rPr>
          <w:color w:val="231F20"/>
          <w:w w:val="110"/>
          <w:sz w:val="18"/>
        </w:rPr>
        <w:t>part</w:t>
      </w:r>
      <w:r>
        <w:rPr>
          <w:color w:val="231F20"/>
          <w:spacing w:val="-7"/>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Catch</w:t>
      </w:r>
      <w:r>
        <w:rPr>
          <w:color w:val="231F20"/>
          <w:spacing w:val="-6"/>
          <w:w w:val="110"/>
          <w:sz w:val="18"/>
        </w:rPr>
        <w:t> </w:t>
      </w:r>
      <w:r>
        <w:rPr>
          <w:color w:val="231F20"/>
          <w:w w:val="110"/>
          <w:sz w:val="18"/>
        </w:rPr>
        <w:t>the</w:t>
      </w:r>
      <w:r>
        <w:rPr>
          <w:color w:val="231F20"/>
          <w:spacing w:val="-7"/>
          <w:w w:val="110"/>
          <w:sz w:val="18"/>
        </w:rPr>
        <w:t> </w:t>
      </w:r>
      <w:r>
        <w:rPr>
          <w:color w:val="231F20"/>
          <w:w w:val="110"/>
          <w:sz w:val="18"/>
        </w:rPr>
        <w:t>Vision</w:t>
      </w:r>
      <w:r>
        <w:rPr>
          <w:color w:val="231F20"/>
          <w:spacing w:val="-6"/>
          <w:w w:val="110"/>
          <w:sz w:val="18"/>
        </w:rPr>
        <w:t> </w:t>
      </w:r>
      <w:r>
        <w:rPr>
          <w:color w:val="231F20"/>
          <w:w w:val="110"/>
          <w:sz w:val="18"/>
        </w:rPr>
        <w:t>process,</w:t>
      </w:r>
      <w:r>
        <w:rPr>
          <w:color w:val="231F20"/>
          <w:spacing w:val="-7"/>
          <w:w w:val="110"/>
          <w:sz w:val="18"/>
        </w:rPr>
        <w:t> </w:t>
      </w:r>
      <w:r>
        <w:rPr>
          <w:color w:val="231F20"/>
          <w:w w:val="110"/>
          <w:sz w:val="18"/>
        </w:rPr>
        <w:t>a</w:t>
      </w:r>
      <w:r>
        <w:rPr>
          <w:color w:val="231F20"/>
          <w:spacing w:val="-6"/>
          <w:w w:val="110"/>
          <w:sz w:val="18"/>
        </w:rPr>
        <w:t> </w:t>
      </w:r>
      <w:r>
        <w:rPr>
          <w:color w:val="231F20"/>
          <w:w w:val="110"/>
          <w:sz w:val="18"/>
        </w:rPr>
        <w:t>series</w:t>
      </w:r>
      <w:r>
        <w:rPr>
          <w:color w:val="231F20"/>
          <w:spacing w:val="-7"/>
          <w:w w:val="110"/>
          <w:sz w:val="18"/>
        </w:rPr>
        <w:t> </w:t>
      </w:r>
      <w:r>
        <w:rPr>
          <w:color w:val="231F20"/>
          <w:w w:val="110"/>
          <w:sz w:val="18"/>
        </w:rPr>
        <w:t>of</w:t>
      </w:r>
      <w:r>
        <w:rPr>
          <w:color w:val="231F20"/>
          <w:spacing w:val="-6"/>
          <w:w w:val="110"/>
          <w:sz w:val="18"/>
        </w:rPr>
        <w:t> </w:t>
      </w:r>
      <w:r>
        <w:rPr>
          <w:color w:val="231F20"/>
          <w:w w:val="110"/>
          <w:sz w:val="18"/>
        </w:rPr>
        <w:t>“Evangelism</w:t>
      </w:r>
      <w:r>
        <w:rPr>
          <w:color w:val="231F20"/>
          <w:spacing w:val="-7"/>
          <w:w w:val="110"/>
          <w:sz w:val="18"/>
        </w:rPr>
        <w:t> </w:t>
      </w:r>
      <w:r>
        <w:rPr>
          <w:color w:val="231F20"/>
          <w:spacing w:val="-6"/>
          <w:w w:val="110"/>
          <w:sz w:val="18"/>
        </w:rPr>
        <w:t>(or </w:t>
      </w:r>
      <w:r>
        <w:rPr>
          <w:color w:val="231F20"/>
          <w:w w:val="110"/>
          <w:sz w:val="18"/>
        </w:rPr>
        <w:t>Hothorpe)</w:t>
      </w:r>
      <w:r>
        <w:rPr>
          <w:color w:val="231F20"/>
          <w:spacing w:val="-7"/>
          <w:w w:val="110"/>
          <w:sz w:val="18"/>
        </w:rPr>
        <w:t> </w:t>
      </w:r>
      <w:r>
        <w:rPr>
          <w:color w:val="231F20"/>
          <w:w w:val="110"/>
          <w:sz w:val="18"/>
        </w:rPr>
        <w:t>Consultations” has been set </w:t>
      </w:r>
      <w:r>
        <w:rPr>
          <w:color w:val="231F20"/>
          <w:spacing w:val="-4"/>
          <w:w w:val="110"/>
          <w:sz w:val="18"/>
        </w:rPr>
        <w:t>up. </w:t>
      </w:r>
      <w:r>
        <w:rPr>
          <w:color w:val="231F20"/>
          <w:w w:val="110"/>
          <w:sz w:val="18"/>
        </w:rPr>
        <w:t>These </w:t>
      </w:r>
      <w:r>
        <w:rPr>
          <w:color w:val="231F20"/>
          <w:spacing w:val="-3"/>
          <w:w w:val="110"/>
          <w:sz w:val="18"/>
        </w:rPr>
        <w:t>involve </w:t>
      </w:r>
      <w:r>
        <w:rPr>
          <w:color w:val="231F20"/>
          <w:w w:val="110"/>
          <w:sz w:val="18"/>
        </w:rPr>
        <w:t>people from across the theological traditions of the church and </w:t>
      </w:r>
      <w:r>
        <w:rPr>
          <w:color w:val="231F20"/>
          <w:spacing w:val="-3"/>
          <w:w w:val="110"/>
          <w:sz w:val="18"/>
        </w:rPr>
        <w:t>have </w:t>
      </w:r>
      <w:r>
        <w:rPr>
          <w:color w:val="231F20"/>
          <w:w w:val="110"/>
          <w:sz w:val="18"/>
        </w:rPr>
        <w:t>already been the means of establishing good relationships and a desire to explore a number of issues together in some depth. This part of the Catch the Vision process is reported elsewhere. It is sufficient to note here that this is an ongoing process which is expected to </w:t>
      </w:r>
      <w:r>
        <w:rPr>
          <w:color w:val="231F20"/>
          <w:spacing w:val="-3"/>
          <w:w w:val="110"/>
          <w:sz w:val="18"/>
        </w:rPr>
        <w:t>make </w:t>
      </w:r>
      <w:r>
        <w:rPr>
          <w:color w:val="231F20"/>
          <w:w w:val="110"/>
          <w:sz w:val="18"/>
        </w:rPr>
        <w:t>major contributions to the life and ethos of the United Reformed Church during this </w:t>
      </w:r>
      <w:r>
        <w:rPr>
          <w:color w:val="231F20"/>
          <w:spacing w:val="-6"/>
          <w:w w:val="110"/>
          <w:sz w:val="18"/>
        </w:rPr>
        <w:t>year, </w:t>
      </w:r>
      <w:r>
        <w:rPr>
          <w:color w:val="231F20"/>
          <w:w w:val="110"/>
          <w:sz w:val="18"/>
        </w:rPr>
        <w:t>and that the reopening of the sexuality discussion at this stage could overshadow</w:t>
      </w:r>
      <w:r>
        <w:rPr>
          <w:color w:val="231F20"/>
          <w:spacing w:val="-8"/>
          <w:w w:val="110"/>
          <w:sz w:val="18"/>
        </w:rPr>
        <w:t> </w:t>
      </w:r>
      <w:r>
        <w:rPr>
          <w:color w:val="231F20"/>
          <w:w w:val="110"/>
          <w:sz w:val="18"/>
        </w:rPr>
        <w:t>that</w:t>
      </w:r>
      <w:r>
        <w:rPr>
          <w:color w:val="231F20"/>
          <w:spacing w:val="-7"/>
          <w:w w:val="110"/>
          <w:sz w:val="18"/>
        </w:rPr>
        <w:t> </w:t>
      </w:r>
      <w:r>
        <w:rPr>
          <w:color w:val="231F20"/>
          <w:w w:val="110"/>
          <w:sz w:val="18"/>
        </w:rPr>
        <w:t>work</w:t>
      </w:r>
      <w:r>
        <w:rPr>
          <w:color w:val="231F20"/>
          <w:spacing w:val="-8"/>
          <w:w w:val="110"/>
          <w:sz w:val="18"/>
        </w:rPr>
        <w:t> </w:t>
      </w:r>
      <w:r>
        <w:rPr>
          <w:color w:val="231F20"/>
          <w:w w:val="110"/>
          <w:sz w:val="18"/>
        </w:rPr>
        <w:t>in</w:t>
      </w:r>
      <w:r>
        <w:rPr>
          <w:color w:val="231F20"/>
          <w:spacing w:val="-7"/>
          <w:w w:val="110"/>
          <w:sz w:val="18"/>
        </w:rPr>
        <w:t> </w:t>
      </w:r>
      <w:r>
        <w:rPr>
          <w:color w:val="231F20"/>
          <w:w w:val="110"/>
          <w:sz w:val="18"/>
        </w:rPr>
        <w:t>an</w:t>
      </w:r>
      <w:r>
        <w:rPr>
          <w:color w:val="231F20"/>
          <w:spacing w:val="-7"/>
          <w:w w:val="110"/>
          <w:sz w:val="18"/>
        </w:rPr>
        <w:t> </w:t>
      </w:r>
      <w:r>
        <w:rPr>
          <w:color w:val="231F20"/>
          <w:w w:val="110"/>
          <w:sz w:val="18"/>
        </w:rPr>
        <w:t>unhelpful</w:t>
      </w:r>
      <w:r>
        <w:rPr>
          <w:color w:val="231F20"/>
          <w:spacing w:val="-8"/>
          <w:w w:val="110"/>
          <w:sz w:val="18"/>
        </w:rPr>
        <w:t> </w:t>
      </w:r>
      <w:r>
        <w:rPr>
          <w:color w:val="231F20"/>
          <w:spacing w:val="-7"/>
          <w:w w:val="110"/>
          <w:sz w:val="18"/>
        </w:rPr>
        <w:t>way, </w:t>
      </w:r>
      <w:r>
        <w:rPr>
          <w:color w:val="231F20"/>
          <w:w w:val="110"/>
          <w:sz w:val="18"/>
        </w:rPr>
        <w:t>particularly</w:t>
      </w:r>
      <w:r>
        <w:rPr>
          <w:color w:val="231F20"/>
          <w:spacing w:val="-8"/>
          <w:w w:val="110"/>
          <w:sz w:val="18"/>
        </w:rPr>
        <w:t> </w:t>
      </w:r>
      <w:r>
        <w:rPr>
          <w:color w:val="231F20"/>
          <w:w w:val="110"/>
          <w:sz w:val="18"/>
        </w:rPr>
        <w:t>as</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consultations</w:t>
      </w:r>
      <w:r>
        <w:rPr>
          <w:color w:val="231F20"/>
          <w:spacing w:val="-8"/>
          <w:w w:val="110"/>
          <w:sz w:val="18"/>
        </w:rPr>
        <w:t> </w:t>
      </w:r>
      <w:r>
        <w:rPr>
          <w:color w:val="231F20"/>
          <w:w w:val="110"/>
          <w:sz w:val="18"/>
        </w:rPr>
        <w:t>so</w:t>
      </w:r>
      <w:r>
        <w:rPr>
          <w:color w:val="231F20"/>
          <w:spacing w:val="-7"/>
          <w:w w:val="110"/>
          <w:sz w:val="18"/>
        </w:rPr>
        <w:t> </w:t>
      </w:r>
      <w:r>
        <w:rPr>
          <w:color w:val="231F20"/>
          <w:w w:val="110"/>
          <w:sz w:val="18"/>
        </w:rPr>
        <w:t>far</w:t>
      </w:r>
      <w:r>
        <w:rPr>
          <w:color w:val="231F20"/>
          <w:spacing w:val="-8"/>
          <w:w w:val="110"/>
          <w:sz w:val="18"/>
        </w:rPr>
        <w:t> </w:t>
      </w:r>
      <w:r>
        <w:rPr>
          <w:color w:val="231F20"/>
          <w:spacing w:val="-3"/>
          <w:w w:val="110"/>
          <w:sz w:val="18"/>
        </w:rPr>
        <w:t>have</w:t>
      </w:r>
      <w:r>
        <w:rPr>
          <w:color w:val="231F20"/>
          <w:spacing w:val="-7"/>
          <w:w w:val="110"/>
          <w:sz w:val="18"/>
        </w:rPr>
        <w:t> </w:t>
      </w:r>
      <w:r>
        <w:rPr>
          <w:color w:val="231F20"/>
          <w:w w:val="110"/>
          <w:sz w:val="18"/>
        </w:rPr>
        <w:t>been leading towards a greater sense of unity and cooperation. It would be constructive to build upon</w:t>
      </w:r>
      <w:r>
        <w:rPr>
          <w:color w:val="231F20"/>
          <w:spacing w:val="-6"/>
          <w:w w:val="110"/>
          <w:sz w:val="18"/>
        </w:rPr>
        <w:t> </w:t>
      </w:r>
      <w:r>
        <w:rPr>
          <w:color w:val="231F20"/>
          <w:w w:val="110"/>
          <w:sz w:val="18"/>
        </w:rPr>
        <w:t>the</w:t>
      </w:r>
      <w:r>
        <w:rPr>
          <w:color w:val="231F20"/>
          <w:spacing w:val="-5"/>
          <w:w w:val="110"/>
          <w:sz w:val="18"/>
        </w:rPr>
        <w:t> </w:t>
      </w:r>
      <w:r>
        <w:rPr>
          <w:color w:val="231F20"/>
          <w:w w:val="110"/>
          <w:sz w:val="18"/>
        </w:rPr>
        <w:t>fruits</w:t>
      </w:r>
      <w:r>
        <w:rPr>
          <w:color w:val="231F20"/>
          <w:spacing w:val="-6"/>
          <w:w w:val="110"/>
          <w:sz w:val="18"/>
        </w:rPr>
        <w:t> </w:t>
      </w:r>
      <w:r>
        <w:rPr>
          <w:color w:val="231F20"/>
          <w:w w:val="110"/>
          <w:sz w:val="18"/>
        </w:rPr>
        <w:t>of</w:t>
      </w:r>
      <w:r>
        <w:rPr>
          <w:color w:val="231F20"/>
          <w:spacing w:val="-5"/>
          <w:w w:val="110"/>
          <w:sz w:val="18"/>
        </w:rPr>
        <w:t> </w:t>
      </w:r>
      <w:r>
        <w:rPr>
          <w:color w:val="231F20"/>
          <w:w w:val="110"/>
          <w:sz w:val="18"/>
        </w:rPr>
        <w:t>this</w:t>
      </w:r>
      <w:r>
        <w:rPr>
          <w:color w:val="231F20"/>
          <w:spacing w:val="-6"/>
          <w:w w:val="110"/>
          <w:sz w:val="18"/>
        </w:rPr>
        <w:t> </w:t>
      </w:r>
      <w:r>
        <w:rPr>
          <w:color w:val="231F20"/>
          <w:w w:val="110"/>
          <w:sz w:val="18"/>
        </w:rPr>
        <w:t>work</w:t>
      </w:r>
      <w:r>
        <w:rPr>
          <w:color w:val="231F20"/>
          <w:spacing w:val="-5"/>
          <w:w w:val="110"/>
          <w:sz w:val="18"/>
        </w:rPr>
        <w:t> </w:t>
      </w:r>
      <w:r>
        <w:rPr>
          <w:color w:val="231F20"/>
          <w:spacing w:val="-3"/>
          <w:w w:val="110"/>
          <w:sz w:val="18"/>
        </w:rPr>
        <w:t>over</w:t>
      </w:r>
      <w:r>
        <w:rPr>
          <w:color w:val="231F20"/>
          <w:spacing w:val="-6"/>
          <w:w w:val="110"/>
          <w:sz w:val="18"/>
        </w:rPr>
        <w:t> </w:t>
      </w:r>
      <w:r>
        <w:rPr>
          <w:color w:val="231F20"/>
          <w:w w:val="110"/>
          <w:sz w:val="18"/>
        </w:rPr>
        <w:t>the</w:t>
      </w:r>
      <w:r>
        <w:rPr>
          <w:color w:val="231F20"/>
          <w:spacing w:val="-5"/>
          <w:w w:val="110"/>
          <w:sz w:val="18"/>
        </w:rPr>
        <w:t> </w:t>
      </w:r>
      <w:r>
        <w:rPr>
          <w:color w:val="231F20"/>
          <w:w w:val="110"/>
          <w:sz w:val="18"/>
        </w:rPr>
        <w:t>coming</w:t>
      </w:r>
      <w:r>
        <w:rPr>
          <w:color w:val="231F20"/>
          <w:spacing w:val="-6"/>
          <w:w w:val="110"/>
          <w:sz w:val="18"/>
        </w:rPr>
        <w:t> </w:t>
      </w:r>
      <w:r>
        <w:rPr>
          <w:color w:val="231F20"/>
          <w:w w:val="110"/>
          <w:sz w:val="18"/>
        </w:rPr>
        <w:t>months</w:t>
      </w:r>
      <w:r>
        <w:rPr>
          <w:color w:val="231F20"/>
          <w:spacing w:val="-5"/>
          <w:w w:val="110"/>
          <w:sz w:val="18"/>
        </w:rPr>
        <w:t> </w:t>
      </w:r>
      <w:r>
        <w:rPr>
          <w:color w:val="231F20"/>
          <w:w w:val="110"/>
          <w:sz w:val="18"/>
        </w:rPr>
        <w:t>and</w:t>
      </w:r>
      <w:r>
        <w:rPr>
          <w:color w:val="231F20"/>
          <w:spacing w:val="-6"/>
          <w:w w:val="110"/>
          <w:sz w:val="18"/>
        </w:rPr>
        <w:t> </w:t>
      </w:r>
      <w:r>
        <w:rPr>
          <w:color w:val="231F20"/>
          <w:w w:val="110"/>
          <w:sz w:val="18"/>
        </w:rPr>
        <w:t>as</w:t>
      </w:r>
      <w:r>
        <w:rPr>
          <w:color w:val="231F20"/>
          <w:spacing w:val="-5"/>
          <w:w w:val="110"/>
          <w:sz w:val="18"/>
        </w:rPr>
        <w:t> </w:t>
      </w:r>
      <w:r>
        <w:rPr>
          <w:color w:val="231F20"/>
          <w:w w:val="110"/>
          <w:sz w:val="18"/>
        </w:rPr>
        <w:t>it</w:t>
      </w:r>
      <w:r>
        <w:rPr>
          <w:color w:val="231F20"/>
          <w:spacing w:val="-5"/>
          <w:w w:val="110"/>
          <w:sz w:val="18"/>
        </w:rPr>
        <w:t> </w:t>
      </w:r>
      <w:r>
        <w:rPr>
          <w:color w:val="231F20"/>
          <w:w w:val="110"/>
          <w:sz w:val="18"/>
        </w:rPr>
        <w:t>reaches</w:t>
      </w:r>
      <w:r>
        <w:rPr>
          <w:color w:val="231F20"/>
          <w:spacing w:val="-6"/>
          <w:w w:val="110"/>
          <w:sz w:val="18"/>
        </w:rPr>
        <w:t> </w:t>
      </w:r>
      <w:r>
        <w:rPr>
          <w:color w:val="231F20"/>
          <w:w w:val="110"/>
          <w:sz w:val="18"/>
        </w:rPr>
        <w:t>completion.</w:t>
      </w:r>
    </w:p>
    <w:p>
      <w:pPr>
        <w:spacing w:after="0" w:line="273" w:lineRule="auto"/>
        <w:jc w:val="left"/>
        <w:rPr>
          <w:sz w:val="18"/>
        </w:rPr>
        <w:sectPr>
          <w:headerReference w:type="even" r:id="rId345"/>
          <w:headerReference w:type="default" r:id="rId346"/>
          <w:footerReference w:type="even" r:id="rId347"/>
          <w:footerReference w:type="default" r:id="rId348"/>
          <w:pgSz w:w="11910" w:h="16840"/>
          <w:pgMar w:header="558" w:footer="564" w:top="820" w:bottom="760" w:left="620" w:right="0"/>
          <w:pgNumType w:start="4"/>
        </w:sectPr>
      </w:pPr>
    </w:p>
    <w:p>
      <w:pPr>
        <w:pStyle w:val="BodyText"/>
        <w:spacing w:before="1"/>
        <w:rPr>
          <w:sz w:val="24"/>
        </w:rPr>
      </w:pPr>
    </w:p>
    <w:p>
      <w:pPr>
        <w:pStyle w:val="Heading9"/>
        <w:numPr>
          <w:ilvl w:val="0"/>
          <w:numId w:val="125"/>
        </w:numPr>
        <w:tabs>
          <w:tab w:pos="1233" w:val="left" w:leader="none"/>
          <w:tab w:pos="1234" w:val="left" w:leader="none"/>
        </w:tabs>
        <w:spacing w:line="240" w:lineRule="auto" w:before="98" w:after="0"/>
        <w:ind w:left="1233" w:right="0" w:hanging="721"/>
        <w:jc w:val="left"/>
      </w:pPr>
      <w:r>
        <w:rPr>
          <w:color w:val="231F20"/>
          <w:w w:val="110"/>
        </w:rPr>
        <w:t>Some</w:t>
      </w:r>
      <w:r>
        <w:rPr>
          <w:color w:val="231F20"/>
          <w:spacing w:val="-1"/>
          <w:w w:val="110"/>
        </w:rPr>
        <w:t> </w:t>
      </w:r>
      <w:r>
        <w:rPr>
          <w:color w:val="231F20"/>
          <w:w w:val="110"/>
        </w:rPr>
        <w:t>convictions</w:t>
      </w:r>
    </w:p>
    <w:p>
      <w:pPr>
        <w:pStyle w:val="ListParagraph"/>
        <w:numPr>
          <w:ilvl w:val="1"/>
          <w:numId w:val="125"/>
        </w:numPr>
        <w:tabs>
          <w:tab w:pos="1233" w:val="left" w:leader="none"/>
          <w:tab w:pos="1234" w:val="left" w:leader="none"/>
        </w:tabs>
        <w:spacing w:line="273" w:lineRule="auto" w:before="258" w:after="0"/>
        <w:ind w:left="513" w:right="1549" w:firstLine="0"/>
        <w:jc w:val="left"/>
        <w:rPr>
          <w:sz w:val="18"/>
        </w:rPr>
      </w:pPr>
      <w:r>
        <w:rPr>
          <w:color w:val="231F20"/>
          <w:w w:val="110"/>
          <w:sz w:val="18"/>
        </w:rPr>
        <w:t>Beyond the deep convictions that unite us as Christ’s people, it seems important to review the range of particular convictions that do or should unite us at this point. Among these are the</w:t>
      </w:r>
      <w:r>
        <w:rPr>
          <w:color w:val="231F20"/>
          <w:spacing w:val="3"/>
          <w:w w:val="110"/>
          <w:sz w:val="18"/>
        </w:rPr>
        <w:t> </w:t>
      </w:r>
      <w:r>
        <w:rPr>
          <w:color w:val="231F20"/>
          <w:w w:val="110"/>
          <w:sz w:val="18"/>
        </w:rPr>
        <w:t>following:</w:t>
      </w:r>
    </w:p>
    <w:p>
      <w:pPr>
        <w:pStyle w:val="BodyText"/>
        <w:spacing w:before="9"/>
        <w:rPr>
          <w:sz w:val="20"/>
        </w:rPr>
      </w:pPr>
    </w:p>
    <w:p>
      <w:pPr>
        <w:pStyle w:val="ListParagraph"/>
        <w:numPr>
          <w:ilvl w:val="0"/>
          <w:numId w:val="127"/>
        </w:numPr>
        <w:tabs>
          <w:tab w:pos="1193" w:val="left" w:leader="none"/>
          <w:tab w:pos="1195" w:val="left" w:leader="none"/>
        </w:tabs>
        <w:spacing w:line="273" w:lineRule="auto" w:before="0" w:after="0"/>
        <w:ind w:left="1194" w:right="1491" w:hanging="681"/>
        <w:jc w:val="left"/>
        <w:rPr>
          <w:sz w:val="18"/>
        </w:rPr>
      </w:pPr>
      <w:r>
        <w:rPr>
          <w:color w:val="231F20"/>
          <w:w w:val="110"/>
          <w:sz w:val="18"/>
        </w:rPr>
        <w:t>In order to maintain its </w:t>
      </w:r>
      <w:r>
        <w:rPr>
          <w:i/>
          <w:color w:val="231F20"/>
          <w:w w:val="110"/>
          <w:sz w:val="18"/>
        </w:rPr>
        <w:t>integrity</w:t>
      </w:r>
      <w:r>
        <w:rPr>
          <w:color w:val="231F20"/>
          <w:w w:val="110"/>
          <w:sz w:val="18"/>
        </w:rPr>
        <w:t>, the church must look honestly at itself and face up to the extent of its internal</w:t>
      </w:r>
      <w:r>
        <w:rPr>
          <w:color w:val="231F20"/>
          <w:spacing w:val="8"/>
          <w:w w:val="110"/>
          <w:sz w:val="18"/>
        </w:rPr>
        <w:t> </w:t>
      </w:r>
      <w:r>
        <w:rPr>
          <w:color w:val="231F20"/>
          <w:w w:val="110"/>
          <w:sz w:val="18"/>
        </w:rPr>
        <w:t>diversity.</w:t>
      </w:r>
    </w:p>
    <w:p>
      <w:pPr>
        <w:pStyle w:val="ListParagraph"/>
        <w:numPr>
          <w:ilvl w:val="0"/>
          <w:numId w:val="127"/>
        </w:numPr>
        <w:tabs>
          <w:tab w:pos="1194" w:val="left" w:leader="none"/>
          <w:tab w:pos="1195" w:val="left" w:leader="none"/>
        </w:tabs>
        <w:spacing w:line="273" w:lineRule="auto" w:before="1" w:after="0"/>
        <w:ind w:left="1194" w:right="1146" w:hanging="681"/>
        <w:jc w:val="left"/>
        <w:rPr>
          <w:sz w:val="18"/>
        </w:rPr>
      </w:pPr>
      <w:r>
        <w:rPr>
          <w:color w:val="231F20"/>
          <w:w w:val="110"/>
          <w:sz w:val="18"/>
        </w:rPr>
        <w:t>The church’s life is built on our </w:t>
      </w:r>
      <w:r>
        <w:rPr>
          <w:i/>
          <w:color w:val="231F20"/>
          <w:w w:val="110"/>
          <w:sz w:val="18"/>
        </w:rPr>
        <w:t>relationships </w:t>
      </w:r>
      <w:r>
        <w:rPr>
          <w:color w:val="231F20"/>
          <w:w w:val="110"/>
          <w:sz w:val="18"/>
        </w:rPr>
        <w:t>in Christ and with one another.  It is vital   to meet one another within the life of fellowship and common discipleship.  It is also  vital to be committed to exploration and dialogue together. Bringing people of differing understandings together for discussion has more </w:t>
      </w:r>
      <w:r>
        <w:rPr>
          <w:color w:val="231F20"/>
          <w:spacing w:val="2"/>
          <w:w w:val="110"/>
          <w:sz w:val="18"/>
        </w:rPr>
        <w:t>often </w:t>
      </w:r>
      <w:r>
        <w:rPr>
          <w:color w:val="231F20"/>
          <w:w w:val="110"/>
          <w:sz w:val="18"/>
        </w:rPr>
        <w:t>than not proved to be fruitful. Engaging in the </w:t>
      </w:r>
      <w:r>
        <w:rPr>
          <w:color w:val="231F20"/>
          <w:spacing w:val="2"/>
          <w:w w:val="110"/>
          <w:sz w:val="18"/>
        </w:rPr>
        <w:t>process </w:t>
      </w:r>
      <w:r>
        <w:rPr>
          <w:color w:val="231F20"/>
          <w:w w:val="110"/>
          <w:sz w:val="18"/>
        </w:rPr>
        <w:t>is as important as its</w:t>
      </w:r>
      <w:r>
        <w:rPr>
          <w:color w:val="231F20"/>
          <w:spacing w:val="21"/>
          <w:w w:val="110"/>
          <w:sz w:val="18"/>
        </w:rPr>
        <w:t> </w:t>
      </w:r>
      <w:r>
        <w:rPr>
          <w:color w:val="231F20"/>
          <w:w w:val="110"/>
          <w:sz w:val="18"/>
        </w:rPr>
        <w:t>conclusions.</w:t>
      </w:r>
    </w:p>
    <w:p>
      <w:pPr>
        <w:pStyle w:val="ListParagraph"/>
        <w:numPr>
          <w:ilvl w:val="0"/>
          <w:numId w:val="127"/>
        </w:numPr>
        <w:tabs>
          <w:tab w:pos="1194" w:val="left" w:leader="none"/>
          <w:tab w:pos="1195" w:val="left" w:leader="none"/>
        </w:tabs>
        <w:spacing w:line="273" w:lineRule="auto" w:before="3" w:after="0"/>
        <w:ind w:left="1194" w:right="1701" w:hanging="681"/>
        <w:jc w:val="left"/>
        <w:rPr>
          <w:sz w:val="18"/>
        </w:rPr>
      </w:pPr>
      <w:r>
        <w:rPr>
          <w:color w:val="231F20"/>
          <w:w w:val="110"/>
          <w:sz w:val="18"/>
        </w:rPr>
        <w:t>The </w:t>
      </w:r>
      <w:r>
        <w:rPr>
          <w:i/>
          <w:color w:val="231F20"/>
          <w:w w:val="110"/>
          <w:sz w:val="18"/>
        </w:rPr>
        <w:t>unity </w:t>
      </w:r>
      <w:r>
        <w:rPr>
          <w:color w:val="231F20"/>
          <w:w w:val="110"/>
          <w:sz w:val="18"/>
        </w:rPr>
        <w:t>of the church is a gospel </w:t>
      </w:r>
      <w:r>
        <w:rPr>
          <w:color w:val="231F20"/>
          <w:spacing w:val="2"/>
          <w:w w:val="110"/>
          <w:sz w:val="18"/>
        </w:rPr>
        <w:t>priority </w:t>
      </w:r>
      <w:r>
        <w:rPr>
          <w:color w:val="231F20"/>
          <w:w w:val="110"/>
          <w:sz w:val="18"/>
        </w:rPr>
        <w:t>and a divine gift, to be </w:t>
      </w:r>
      <w:r>
        <w:rPr>
          <w:color w:val="231F20"/>
          <w:spacing w:val="2"/>
          <w:w w:val="110"/>
          <w:sz w:val="18"/>
        </w:rPr>
        <w:t>responded </w:t>
      </w:r>
      <w:r>
        <w:rPr>
          <w:color w:val="231F20"/>
          <w:w w:val="110"/>
          <w:sz w:val="18"/>
        </w:rPr>
        <w:t>to in human terms through the struggle of living</w:t>
      </w:r>
      <w:r>
        <w:rPr>
          <w:color w:val="231F20"/>
          <w:spacing w:val="15"/>
          <w:w w:val="110"/>
          <w:sz w:val="18"/>
        </w:rPr>
        <w:t> </w:t>
      </w:r>
      <w:r>
        <w:rPr>
          <w:color w:val="231F20"/>
          <w:w w:val="110"/>
          <w:sz w:val="18"/>
        </w:rPr>
        <w:t>together.</w:t>
      </w:r>
    </w:p>
    <w:p>
      <w:pPr>
        <w:pStyle w:val="ListParagraph"/>
        <w:numPr>
          <w:ilvl w:val="0"/>
          <w:numId w:val="127"/>
        </w:numPr>
        <w:tabs>
          <w:tab w:pos="1194" w:val="left" w:leader="none"/>
          <w:tab w:pos="1195" w:val="left" w:leader="none"/>
        </w:tabs>
        <w:spacing w:line="273" w:lineRule="auto" w:before="1" w:after="0"/>
        <w:ind w:left="1194" w:right="2019" w:hanging="681"/>
        <w:jc w:val="left"/>
        <w:rPr>
          <w:sz w:val="18"/>
        </w:rPr>
      </w:pPr>
      <w:r>
        <w:rPr>
          <w:color w:val="231F20"/>
          <w:spacing w:val="3"/>
          <w:w w:val="110"/>
          <w:sz w:val="18"/>
        </w:rPr>
        <w:t>The </w:t>
      </w:r>
      <w:r>
        <w:rPr>
          <w:i/>
          <w:color w:val="231F20"/>
          <w:spacing w:val="3"/>
          <w:w w:val="110"/>
          <w:sz w:val="18"/>
        </w:rPr>
        <w:t>Catch </w:t>
      </w:r>
      <w:r>
        <w:rPr>
          <w:i/>
          <w:color w:val="231F20"/>
          <w:w w:val="110"/>
          <w:sz w:val="18"/>
        </w:rPr>
        <w:t>the </w:t>
      </w:r>
      <w:r>
        <w:rPr>
          <w:i/>
          <w:color w:val="231F20"/>
          <w:spacing w:val="2"/>
          <w:w w:val="110"/>
          <w:sz w:val="18"/>
        </w:rPr>
        <w:t>Vision </w:t>
      </w:r>
      <w:r>
        <w:rPr>
          <w:color w:val="231F20"/>
          <w:spacing w:val="4"/>
          <w:w w:val="110"/>
          <w:sz w:val="18"/>
        </w:rPr>
        <w:t>process </w:t>
      </w:r>
      <w:r>
        <w:rPr>
          <w:color w:val="231F20"/>
          <w:w w:val="110"/>
          <w:sz w:val="18"/>
        </w:rPr>
        <w:t>is of </w:t>
      </w:r>
      <w:r>
        <w:rPr>
          <w:color w:val="231F20"/>
          <w:spacing w:val="2"/>
          <w:w w:val="110"/>
          <w:sz w:val="18"/>
        </w:rPr>
        <w:t>great significance for the </w:t>
      </w:r>
      <w:r>
        <w:rPr>
          <w:color w:val="231F20"/>
          <w:w w:val="110"/>
          <w:sz w:val="18"/>
        </w:rPr>
        <w:t>life of </w:t>
      </w:r>
      <w:r>
        <w:rPr>
          <w:color w:val="231F20"/>
          <w:spacing w:val="2"/>
          <w:w w:val="110"/>
          <w:sz w:val="18"/>
        </w:rPr>
        <w:t>the church.</w:t>
      </w:r>
      <w:r>
        <w:rPr>
          <w:color w:val="231F20"/>
          <w:spacing w:val="73"/>
          <w:w w:val="110"/>
          <w:sz w:val="18"/>
        </w:rPr>
        <w:t> </w:t>
      </w:r>
      <w:r>
        <w:rPr>
          <w:color w:val="231F20"/>
          <w:w w:val="110"/>
          <w:sz w:val="18"/>
        </w:rPr>
        <w:t>It would </w:t>
      </w:r>
      <w:r>
        <w:rPr>
          <w:color w:val="231F20"/>
          <w:spacing w:val="2"/>
          <w:w w:val="110"/>
          <w:sz w:val="18"/>
        </w:rPr>
        <w:t>be </w:t>
      </w:r>
      <w:r>
        <w:rPr>
          <w:color w:val="231F20"/>
          <w:spacing w:val="3"/>
          <w:w w:val="110"/>
          <w:sz w:val="18"/>
        </w:rPr>
        <w:t>most </w:t>
      </w:r>
      <w:r>
        <w:rPr>
          <w:color w:val="231F20"/>
          <w:spacing w:val="2"/>
          <w:w w:val="110"/>
          <w:sz w:val="18"/>
        </w:rPr>
        <w:t>helpful </w:t>
      </w:r>
      <w:r>
        <w:rPr>
          <w:color w:val="231F20"/>
          <w:w w:val="110"/>
          <w:sz w:val="18"/>
        </w:rPr>
        <w:t>if </w:t>
      </w:r>
      <w:r>
        <w:rPr>
          <w:color w:val="231F20"/>
          <w:spacing w:val="2"/>
          <w:w w:val="110"/>
          <w:sz w:val="18"/>
        </w:rPr>
        <w:t>the </w:t>
      </w:r>
      <w:r>
        <w:rPr>
          <w:color w:val="231F20"/>
          <w:spacing w:val="3"/>
          <w:w w:val="110"/>
          <w:sz w:val="18"/>
        </w:rPr>
        <w:t>next steps </w:t>
      </w:r>
      <w:r>
        <w:rPr>
          <w:color w:val="231F20"/>
          <w:w w:val="110"/>
          <w:sz w:val="18"/>
        </w:rPr>
        <w:t>in </w:t>
      </w:r>
      <w:r>
        <w:rPr>
          <w:color w:val="231F20"/>
          <w:spacing w:val="2"/>
          <w:w w:val="110"/>
          <w:sz w:val="18"/>
        </w:rPr>
        <w:t>the </w:t>
      </w:r>
      <w:r>
        <w:rPr>
          <w:color w:val="231F20"/>
          <w:w w:val="110"/>
          <w:sz w:val="18"/>
        </w:rPr>
        <w:t>human </w:t>
      </w:r>
      <w:r>
        <w:rPr>
          <w:color w:val="231F20"/>
          <w:spacing w:val="3"/>
          <w:w w:val="110"/>
          <w:sz w:val="18"/>
        </w:rPr>
        <w:t>sexuality </w:t>
      </w:r>
      <w:r>
        <w:rPr>
          <w:color w:val="231F20"/>
          <w:spacing w:val="2"/>
          <w:w w:val="110"/>
          <w:sz w:val="18"/>
        </w:rPr>
        <w:t>discussion, </w:t>
      </w:r>
      <w:r>
        <w:rPr>
          <w:color w:val="231F20"/>
          <w:spacing w:val="3"/>
          <w:w w:val="110"/>
          <w:sz w:val="18"/>
        </w:rPr>
        <w:t>rather</w:t>
      </w:r>
      <w:r>
        <w:rPr>
          <w:color w:val="231F20"/>
          <w:spacing w:val="9"/>
          <w:w w:val="110"/>
          <w:sz w:val="18"/>
        </w:rPr>
        <w:t> </w:t>
      </w:r>
      <w:r>
        <w:rPr>
          <w:color w:val="231F20"/>
          <w:w w:val="110"/>
          <w:sz w:val="18"/>
        </w:rPr>
        <w:t>than</w:t>
      </w:r>
      <w:r>
        <w:rPr>
          <w:color w:val="231F20"/>
          <w:spacing w:val="10"/>
          <w:w w:val="110"/>
          <w:sz w:val="18"/>
        </w:rPr>
        <w:t> </w:t>
      </w:r>
      <w:r>
        <w:rPr>
          <w:color w:val="231F20"/>
          <w:spacing w:val="3"/>
          <w:w w:val="110"/>
          <w:sz w:val="18"/>
        </w:rPr>
        <w:t>interfering</w:t>
      </w:r>
      <w:r>
        <w:rPr>
          <w:color w:val="231F20"/>
          <w:spacing w:val="10"/>
          <w:w w:val="110"/>
          <w:sz w:val="18"/>
        </w:rPr>
        <w:t> </w:t>
      </w:r>
      <w:r>
        <w:rPr>
          <w:color w:val="231F20"/>
          <w:w w:val="110"/>
          <w:sz w:val="18"/>
        </w:rPr>
        <w:t>with</w:t>
      </w:r>
      <w:r>
        <w:rPr>
          <w:color w:val="231F20"/>
          <w:spacing w:val="10"/>
          <w:w w:val="110"/>
          <w:sz w:val="18"/>
        </w:rPr>
        <w:t> </w:t>
      </w:r>
      <w:r>
        <w:rPr>
          <w:color w:val="231F20"/>
          <w:w w:val="110"/>
          <w:sz w:val="18"/>
        </w:rPr>
        <w:t>this</w:t>
      </w:r>
      <w:r>
        <w:rPr>
          <w:color w:val="231F20"/>
          <w:spacing w:val="11"/>
          <w:w w:val="110"/>
          <w:sz w:val="18"/>
        </w:rPr>
        <w:t> </w:t>
      </w:r>
      <w:r>
        <w:rPr>
          <w:color w:val="231F20"/>
          <w:spacing w:val="3"/>
          <w:w w:val="110"/>
          <w:sz w:val="18"/>
        </w:rPr>
        <w:t>process,</w:t>
      </w:r>
      <w:r>
        <w:rPr>
          <w:color w:val="231F20"/>
          <w:spacing w:val="10"/>
          <w:w w:val="110"/>
          <w:sz w:val="18"/>
        </w:rPr>
        <w:t> </w:t>
      </w:r>
      <w:r>
        <w:rPr>
          <w:color w:val="231F20"/>
          <w:spacing w:val="2"/>
          <w:w w:val="110"/>
          <w:sz w:val="18"/>
        </w:rPr>
        <w:t>could</w:t>
      </w:r>
      <w:r>
        <w:rPr>
          <w:color w:val="231F20"/>
          <w:spacing w:val="11"/>
          <w:w w:val="110"/>
          <w:sz w:val="18"/>
        </w:rPr>
        <w:t> </w:t>
      </w:r>
      <w:r>
        <w:rPr>
          <w:color w:val="231F20"/>
          <w:spacing w:val="2"/>
          <w:w w:val="110"/>
          <w:sz w:val="18"/>
        </w:rPr>
        <w:t>be</w:t>
      </w:r>
      <w:r>
        <w:rPr>
          <w:color w:val="231F20"/>
          <w:spacing w:val="10"/>
          <w:w w:val="110"/>
          <w:sz w:val="18"/>
        </w:rPr>
        <w:t> </w:t>
      </w:r>
      <w:r>
        <w:rPr>
          <w:color w:val="231F20"/>
          <w:w w:val="110"/>
          <w:sz w:val="18"/>
        </w:rPr>
        <w:t>taken</w:t>
      </w:r>
      <w:r>
        <w:rPr>
          <w:color w:val="231F20"/>
          <w:spacing w:val="10"/>
          <w:w w:val="110"/>
          <w:sz w:val="18"/>
        </w:rPr>
        <w:t> </w:t>
      </w:r>
      <w:r>
        <w:rPr>
          <w:color w:val="231F20"/>
          <w:w w:val="110"/>
          <w:sz w:val="18"/>
        </w:rPr>
        <w:t>in</w:t>
      </w:r>
      <w:r>
        <w:rPr>
          <w:color w:val="231F20"/>
          <w:spacing w:val="10"/>
          <w:w w:val="110"/>
          <w:sz w:val="18"/>
        </w:rPr>
        <w:t> </w:t>
      </w:r>
      <w:r>
        <w:rPr>
          <w:color w:val="231F20"/>
          <w:spacing w:val="2"/>
          <w:w w:val="110"/>
          <w:sz w:val="18"/>
        </w:rPr>
        <w:t>the</w:t>
      </w:r>
      <w:r>
        <w:rPr>
          <w:color w:val="231F20"/>
          <w:spacing w:val="9"/>
          <w:w w:val="110"/>
          <w:sz w:val="18"/>
        </w:rPr>
        <w:t> </w:t>
      </w:r>
      <w:r>
        <w:rPr>
          <w:color w:val="231F20"/>
          <w:w w:val="110"/>
          <w:sz w:val="18"/>
        </w:rPr>
        <w:t>light</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it.</w:t>
      </w:r>
    </w:p>
    <w:p>
      <w:pPr>
        <w:pStyle w:val="ListParagraph"/>
        <w:numPr>
          <w:ilvl w:val="0"/>
          <w:numId w:val="127"/>
        </w:numPr>
        <w:tabs>
          <w:tab w:pos="1193" w:val="left" w:leader="none"/>
          <w:tab w:pos="1194" w:val="left" w:leader="none"/>
        </w:tabs>
        <w:spacing w:line="273" w:lineRule="auto" w:before="2" w:after="0"/>
        <w:ind w:left="1194" w:right="1175" w:hanging="681"/>
        <w:jc w:val="left"/>
        <w:rPr>
          <w:sz w:val="18"/>
        </w:rPr>
      </w:pPr>
      <w:r>
        <w:rPr>
          <w:color w:val="231F20"/>
          <w:w w:val="110"/>
          <w:sz w:val="18"/>
        </w:rPr>
        <w:t>More work is needed on a wide </w:t>
      </w:r>
      <w:r>
        <w:rPr>
          <w:i/>
          <w:color w:val="231F20"/>
          <w:w w:val="110"/>
          <w:sz w:val="18"/>
        </w:rPr>
        <w:t>range of issues </w:t>
      </w:r>
      <w:r>
        <w:rPr>
          <w:color w:val="231F20"/>
          <w:w w:val="110"/>
          <w:sz w:val="18"/>
        </w:rPr>
        <w:t>which have not been adequately </w:t>
      </w:r>
      <w:r>
        <w:rPr>
          <w:color w:val="231F20"/>
          <w:spacing w:val="2"/>
          <w:w w:val="110"/>
          <w:sz w:val="18"/>
        </w:rPr>
        <w:t>addressed </w:t>
      </w:r>
      <w:r>
        <w:rPr>
          <w:color w:val="231F20"/>
          <w:w w:val="110"/>
          <w:sz w:val="18"/>
        </w:rPr>
        <w:t>so far or which need to be looked at afresh in the changing circumstances. </w:t>
      </w:r>
      <w:r>
        <w:rPr>
          <w:color w:val="231F20"/>
          <w:spacing w:val="2"/>
          <w:w w:val="110"/>
          <w:sz w:val="18"/>
        </w:rPr>
        <w:t>There </w:t>
      </w:r>
      <w:r>
        <w:rPr>
          <w:color w:val="231F20"/>
          <w:w w:val="110"/>
          <w:sz w:val="18"/>
        </w:rPr>
        <w:t>are complexities in what might appear at first sight to be simple issues – such as the </w:t>
      </w:r>
      <w:r>
        <w:rPr>
          <w:color w:val="231F20"/>
          <w:spacing w:val="2"/>
          <w:w w:val="110"/>
          <w:sz w:val="18"/>
        </w:rPr>
        <w:t>fact </w:t>
      </w:r>
      <w:r>
        <w:rPr>
          <w:color w:val="231F20"/>
          <w:w w:val="110"/>
          <w:sz w:val="18"/>
        </w:rPr>
        <w:t>that civil </w:t>
      </w:r>
      <w:r>
        <w:rPr>
          <w:color w:val="231F20"/>
          <w:spacing w:val="2"/>
          <w:w w:val="110"/>
          <w:sz w:val="18"/>
        </w:rPr>
        <w:t>partnerships </w:t>
      </w:r>
      <w:r>
        <w:rPr>
          <w:color w:val="231F20"/>
          <w:w w:val="110"/>
          <w:sz w:val="18"/>
        </w:rPr>
        <w:t>do not necessarily imply sexual activity. Some of these are fundamental to discerning the way</w:t>
      </w:r>
      <w:r>
        <w:rPr>
          <w:color w:val="231F20"/>
          <w:spacing w:val="11"/>
          <w:w w:val="110"/>
          <w:sz w:val="18"/>
        </w:rPr>
        <w:t> </w:t>
      </w:r>
      <w:r>
        <w:rPr>
          <w:color w:val="231F20"/>
          <w:w w:val="110"/>
          <w:sz w:val="18"/>
        </w:rPr>
        <w:t>forward.</w:t>
      </w:r>
    </w:p>
    <w:p>
      <w:pPr>
        <w:pStyle w:val="ListParagraph"/>
        <w:numPr>
          <w:ilvl w:val="0"/>
          <w:numId w:val="127"/>
        </w:numPr>
        <w:tabs>
          <w:tab w:pos="1194" w:val="left" w:leader="none"/>
          <w:tab w:pos="1195" w:val="left" w:leader="none"/>
        </w:tabs>
        <w:spacing w:line="273" w:lineRule="auto" w:before="3" w:after="0"/>
        <w:ind w:left="1193" w:right="1388" w:hanging="681"/>
        <w:jc w:val="left"/>
        <w:rPr>
          <w:sz w:val="18"/>
        </w:rPr>
      </w:pPr>
      <w:r>
        <w:rPr>
          <w:color w:val="231F20"/>
          <w:w w:val="110"/>
          <w:sz w:val="18"/>
        </w:rPr>
        <w:t>This work is important and the church should </w:t>
      </w:r>
      <w:r>
        <w:rPr>
          <w:i/>
          <w:color w:val="231F20"/>
          <w:w w:val="110"/>
          <w:sz w:val="18"/>
        </w:rPr>
        <w:t>commit </w:t>
      </w:r>
      <w:r>
        <w:rPr>
          <w:color w:val="231F20"/>
          <w:w w:val="110"/>
          <w:sz w:val="18"/>
        </w:rPr>
        <w:t>itself to this continuing </w:t>
      </w:r>
      <w:r>
        <w:rPr>
          <w:color w:val="231F20"/>
          <w:spacing w:val="2"/>
          <w:w w:val="110"/>
          <w:sz w:val="18"/>
        </w:rPr>
        <w:t>process</w:t>
      </w:r>
      <w:r>
        <w:rPr>
          <w:color w:val="231F20"/>
          <w:spacing w:val="73"/>
          <w:w w:val="110"/>
          <w:sz w:val="18"/>
        </w:rPr>
        <w:t> </w:t>
      </w:r>
      <w:r>
        <w:rPr>
          <w:color w:val="231F20"/>
          <w:w w:val="110"/>
          <w:sz w:val="18"/>
        </w:rPr>
        <w:t>with all that that means concerning </w:t>
      </w:r>
      <w:r>
        <w:rPr>
          <w:color w:val="231F20"/>
          <w:spacing w:val="2"/>
          <w:w w:val="110"/>
          <w:sz w:val="18"/>
        </w:rPr>
        <w:t>resources </w:t>
      </w:r>
      <w:r>
        <w:rPr>
          <w:color w:val="231F20"/>
          <w:w w:val="110"/>
          <w:sz w:val="18"/>
        </w:rPr>
        <w:t>and</w:t>
      </w:r>
      <w:r>
        <w:rPr>
          <w:color w:val="231F20"/>
          <w:spacing w:val="14"/>
          <w:w w:val="110"/>
          <w:sz w:val="18"/>
        </w:rPr>
        <w:t> </w:t>
      </w:r>
      <w:r>
        <w:rPr>
          <w:color w:val="231F20"/>
          <w:w w:val="110"/>
          <w:sz w:val="18"/>
        </w:rPr>
        <w:t>time.</w:t>
      </w:r>
    </w:p>
    <w:p>
      <w:pPr>
        <w:pStyle w:val="BodyText"/>
        <w:spacing w:before="8"/>
        <w:rPr>
          <w:sz w:val="20"/>
        </w:rPr>
      </w:pPr>
    </w:p>
    <w:p>
      <w:pPr>
        <w:pStyle w:val="ListParagraph"/>
        <w:numPr>
          <w:ilvl w:val="1"/>
          <w:numId w:val="125"/>
        </w:numPr>
        <w:tabs>
          <w:tab w:pos="1233" w:val="left" w:leader="none"/>
          <w:tab w:pos="1234" w:val="left" w:leader="none"/>
        </w:tabs>
        <w:spacing w:line="273" w:lineRule="auto" w:before="0" w:after="0"/>
        <w:ind w:left="513" w:right="1262" w:hanging="1"/>
        <w:jc w:val="left"/>
        <w:rPr>
          <w:sz w:val="18"/>
        </w:rPr>
      </w:pPr>
      <w:r>
        <w:rPr>
          <w:color w:val="231F20"/>
          <w:w w:val="110"/>
          <w:sz w:val="18"/>
        </w:rPr>
        <w:t>At the same time the depth of the tensions and pain amongst us must not be underestimated. For those who take a strong view towards either end of the spectrum of understanding there is sometimes sheer incomprehension that </w:t>
      </w:r>
      <w:r>
        <w:rPr>
          <w:color w:val="231F20"/>
          <w:spacing w:val="-3"/>
          <w:w w:val="110"/>
          <w:sz w:val="18"/>
        </w:rPr>
        <w:t>anyone </w:t>
      </w:r>
      <w:r>
        <w:rPr>
          <w:color w:val="231F20"/>
          <w:w w:val="110"/>
          <w:sz w:val="18"/>
        </w:rPr>
        <w:t>could possibly believe what they understand their opposite colleagues to believe. Both “sides” can regard the other as unchristian and grossly mistaken in their attitudes and actions; neither can see how the other’s position can be justified or acceptable in the life of the church. They </w:t>
      </w:r>
      <w:r>
        <w:rPr>
          <w:color w:val="231F20"/>
          <w:spacing w:val="-3"/>
          <w:w w:val="110"/>
          <w:sz w:val="18"/>
        </w:rPr>
        <w:t>may </w:t>
      </w:r>
      <w:r>
        <w:rPr>
          <w:color w:val="231F20"/>
          <w:w w:val="110"/>
          <w:sz w:val="18"/>
        </w:rPr>
        <w:t>be horrified or mystified by some of the points made in the summaries that appear below </w:t>
      </w:r>
      <w:r>
        <w:rPr>
          <w:color w:val="231F20"/>
          <w:spacing w:val="-4"/>
          <w:w w:val="110"/>
          <w:sz w:val="18"/>
        </w:rPr>
        <w:t>(see </w:t>
      </w:r>
      <w:r>
        <w:rPr>
          <w:color w:val="231F20"/>
          <w:w w:val="110"/>
          <w:sz w:val="18"/>
        </w:rPr>
        <w:t>section </w:t>
      </w:r>
      <w:r>
        <w:rPr>
          <w:color w:val="231F20"/>
          <w:spacing w:val="-4"/>
          <w:w w:val="110"/>
          <w:sz w:val="18"/>
        </w:rPr>
        <w:t>7). </w:t>
      </w:r>
      <w:r>
        <w:rPr>
          <w:color w:val="231F20"/>
          <w:w w:val="110"/>
          <w:sz w:val="18"/>
        </w:rPr>
        <w:t>There are others who occupy a more “middle” ground who cannot understand what all the fuss is about, and others again who </w:t>
      </w:r>
      <w:r>
        <w:rPr>
          <w:color w:val="231F20"/>
          <w:spacing w:val="-3"/>
          <w:w w:val="110"/>
          <w:sz w:val="18"/>
        </w:rPr>
        <w:t>have </w:t>
      </w:r>
      <w:r>
        <w:rPr>
          <w:color w:val="231F20"/>
          <w:w w:val="110"/>
          <w:sz w:val="18"/>
        </w:rPr>
        <w:t>struggled deeply to hear and understand the different voices and resolve things in their own minds, but </w:t>
      </w:r>
      <w:r>
        <w:rPr>
          <w:color w:val="231F20"/>
          <w:spacing w:val="-3"/>
          <w:w w:val="110"/>
          <w:sz w:val="18"/>
        </w:rPr>
        <w:t>have </w:t>
      </w:r>
      <w:r>
        <w:rPr>
          <w:color w:val="231F20"/>
          <w:w w:val="110"/>
          <w:sz w:val="18"/>
        </w:rPr>
        <w:t>been unable to reach </w:t>
      </w:r>
      <w:r>
        <w:rPr>
          <w:color w:val="231F20"/>
          <w:spacing w:val="-3"/>
          <w:w w:val="110"/>
          <w:sz w:val="18"/>
        </w:rPr>
        <w:t>any </w:t>
      </w:r>
      <w:r>
        <w:rPr>
          <w:color w:val="231F20"/>
          <w:w w:val="110"/>
          <w:sz w:val="18"/>
        </w:rPr>
        <w:t>conclusions. But none of us has the right to condemn others without striving to listen to and understand them. All of us </w:t>
      </w:r>
      <w:r>
        <w:rPr>
          <w:color w:val="231F20"/>
          <w:spacing w:val="-3"/>
          <w:w w:val="110"/>
          <w:sz w:val="18"/>
        </w:rPr>
        <w:t>have </w:t>
      </w:r>
      <w:r>
        <w:rPr>
          <w:color w:val="231F20"/>
          <w:w w:val="110"/>
          <w:sz w:val="18"/>
        </w:rPr>
        <w:t>prejudices, </w:t>
      </w:r>
      <w:r>
        <w:rPr>
          <w:color w:val="231F20"/>
          <w:spacing w:val="-3"/>
          <w:w w:val="110"/>
          <w:sz w:val="18"/>
        </w:rPr>
        <w:t>make </w:t>
      </w:r>
      <w:r>
        <w:rPr>
          <w:color w:val="231F20"/>
          <w:w w:val="110"/>
          <w:sz w:val="18"/>
        </w:rPr>
        <w:t>assumptions and believe stereotypes. All of us need to bring these humbly before God for</w:t>
      </w:r>
      <w:r>
        <w:rPr>
          <w:color w:val="231F20"/>
          <w:spacing w:val="-21"/>
          <w:w w:val="110"/>
          <w:sz w:val="18"/>
        </w:rPr>
        <w:t> </w:t>
      </w:r>
      <w:r>
        <w:rPr>
          <w:color w:val="231F20"/>
          <w:w w:val="110"/>
          <w:sz w:val="18"/>
        </w:rPr>
        <w:t>reassessment.</w:t>
      </w:r>
    </w:p>
    <w:p>
      <w:pPr>
        <w:pStyle w:val="BodyText"/>
        <w:spacing w:before="3"/>
        <w:rPr>
          <w:sz w:val="21"/>
        </w:rPr>
      </w:pPr>
    </w:p>
    <w:p>
      <w:pPr>
        <w:pStyle w:val="ListParagraph"/>
        <w:numPr>
          <w:ilvl w:val="1"/>
          <w:numId w:val="125"/>
        </w:numPr>
        <w:tabs>
          <w:tab w:pos="1233" w:val="left" w:leader="none"/>
          <w:tab w:pos="1234" w:val="left" w:leader="none"/>
        </w:tabs>
        <w:spacing w:line="273" w:lineRule="auto" w:before="0" w:after="0"/>
        <w:ind w:left="513" w:right="1552" w:hanging="1"/>
        <w:jc w:val="left"/>
        <w:rPr>
          <w:sz w:val="18"/>
        </w:rPr>
      </w:pPr>
      <w:r>
        <w:rPr>
          <w:color w:val="231F20"/>
          <w:w w:val="110"/>
          <w:sz w:val="18"/>
        </w:rPr>
        <w:t>This is, of course, not the first time we </w:t>
      </w:r>
      <w:r>
        <w:rPr>
          <w:color w:val="231F20"/>
          <w:spacing w:val="-3"/>
          <w:w w:val="110"/>
          <w:sz w:val="18"/>
        </w:rPr>
        <w:t>have </w:t>
      </w:r>
      <w:r>
        <w:rPr>
          <w:color w:val="231F20"/>
          <w:w w:val="110"/>
          <w:sz w:val="18"/>
        </w:rPr>
        <w:t>been at such a painful point. There are some similarities with decisions about the ordination of women in </w:t>
      </w:r>
      <w:r>
        <w:rPr>
          <w:color w:val="231F20"/>
          <w:spacing w:val="-3"/>
          <w:w w:val="110"/>
          <w:sz w:val="18"/>
        </w:rPr>
        <w:t>ministry, </w:t>
      </w:r>
      <w:r>
        <w:rPr>
          <w:color w:val="231F20"/>
          <w:w w:val="110"/>
          <w:sz w:val="18"/>
        </w:rPr>
        <w:t>and even more so </w:t>
      </w:r>
      <w:r>
        <w:rPr>
          <w:color w:val="231F20"/>
          <w:spacing w:val="-3"/>
          <w:w w:val="110"/>
          <w:sz w:val="18"/>
        </w:rPr>
        <w:t>over </w:t>
      </w:r>
      <w:r>
        <w:rPr>
          <w:color w:val="231F20"/>
          <w:w w:val="110"/>
          <w:sz w:val="18"/>
        </w:rPr>
        <w:t>pacifism. In last century’s passionate debates </w:t>
      </w:r>
      <w:r>
        <w:rPr>
          <w:color w:val="231F20"/>
          <w:spacing w:val="-3"/>
          <w:w w:val="110"/>
          <w:sz w:val="18"/>
        </w:rPr>
        <w:t>over </w:t>
      </w:r>
      <w:r>
        <w:rPr>
          <w:color w:val="231F20"/>
          <w:w w:val="110"/>
          <w:sz w:val="18"/>
        </w:rPr>
        <w:t>pacifism there was a strong and uncomprehending tension between people who sometimes thought that those who believed differently from themselves were denying the gospel. It </w:t>
      </w:r>
      <w:r>
        <w:rPr>
          <w:color w:val="231F20"/>
          <w:spacing w:val="-3"/>
          <w:w w:val="110"/>
          <w:sz w:val="18"/>
        </w:rPr>
        <w:t>may </w:t>
      </w:r>
      <w:r>
        <w:rPr>
          <w:color w:val="231F20"/>
          <w:w w:val="110"/>
          <w:sz w:val="18"/>
        </w:rPr>
        <w:t>be that just as strongly in this case, </w:t>
      </w:r>
      <w:r>
        <w:rPr>
          <w:color w:val="231F20"/>
          <w:spacing w:val="-3"/>
          <w:w w:val="110"/>
          <w:sz w:val="18"/>
        </w:rPr>
        <w:t>many </w:t>
      </w:r>
      <w:r>
        <w:rPr>
          <w:color w:val="231F20"/>
          <w:w w:val="110"/>
          <w:sz w:val="18"/>
        </w:rPr>
        <w:t>people feel passionately because the expression of sexuality has to do with the integrity of the gospel they believe and </w:t>
      </w:r>
      <w:r>
        <w:rPr>
          <w:color w:val="231F20"/>
          <w:spacing w:val="-3"/>
          <w:w w:val="110"/>
          <w:sz w:val="18"/>
        </w:rPr>
        <w:t>live </w:t>
      </w:r>
      <w:r>
        <w:rPr>
          <w:color w:val="231F20"/>
          <w:spacing w:val="-8"/>
          <w:w w:val="110"/>
          <w:sz w:val="18"/>
        </w:rPr>
        <w:t>by. </w:t>
      </w:r>
      <w:r>
        <w:rPr>
          <w:color w:val="231F20"/>
          <w:spacing w:val="53"/>
          <w:w w:val="110"/>
          <w:sz w:val="18"/>
        </w:rPr>
        <w:t> </w:t>
      </w:r>
      <w:r>
        <w:rPr>
          <w:color w:val="231F20"/>
          <w:w w:val="110"/>
          <w:sz w:val="18"/>
        </w:rPr>
        <w:t>It touches deep emotional chords because it concerns people’s own self understanding. It touches core issues of the interpretation</w:t>
      </w:r>
      <w:r>
        <w:rPr>
          <w:color w:val="231F20"/>
          <w:spacing w:val="-9"/>
          <w:w w:val="110"/>
          <w:sz w:val="18"/>
        </w:rPr>
        <w:t> </w:t>
      </w:r>
      <w:r>
        <w:rPr>
          <w:color w:val="231F20"/>
          <w:w w:val="110"/>
          <w:sz w:val="18"/>
        </w:rPr>
        <w:t>of</w:t>
      </w:r>
    </w:p>
    <w:p>
      <w:pPr>
        <w:pStyle w:val="BodyText"/>
        <w:spacing w:line="273" w:lineRule="auto" w:before="5"/>
        <w:ind w:left="513" w:right="1375"/>
      </w:pPr>
      <w:r>
        <w:rPr>
          <w:color w:val="231F20"/>
          <w:w w:val="110"/>
        </w:rPr>
        <w:t>Scripture and its relation to contemporary life. This sense of deep significance is experienced by people at both ends of the spectrum.</w:t>
      </w:r>
    </w:p>
    <w:p>
      <w:pPr>
        <w:pStyle w:val="BodyText"/>
        <w:spacing w:before="8"/>
        <w:rPr>
          <w:sz w:val="20"/>
        </w:rPr>
      </w:pPr>
    </w:p>
    <w:p>
      <w:pPr>
        <w:pStyle w:val="ListParagraph"/>
        <w:numPr>
          <w:ilvl w:val="1"/>
          <w:numId w:val="125"/>
        </w:numPr>
        <w:tabs>
          <w:tab w:pos="1233" w:val="left" w:leader="none"/>
          <w:tab w:pos="1234" w:val="left" w:leader="none"/>
        </w:tabs>
        <w:spacing w:line="273" w:lineRule="auto" w:before="0" w:after="0"/>
        <w:ind w:left="513" w:right="1162" w:firstLine="0"/>
        <w:jc w:val="left"/>
        <w:rPr>
          <w:sz w:val="18"/>
        </w:rPr>
      </w:pPr>
      <w:r>
        <w:rPr>
          <w:color w:val="231F20"/>
          <w:spacing w:val="-3"/>
          <w:w w:val="110"/>
          <w:sz w:val="18"/>
        </w:rPr>
        <w:t>Clearly, </w:t>
      </w:r>
      <w:r>
        <w:rPr>
          <w:color w:val="231F20"/>
          <w:w w:val="110"/>
          <w:sz w:val="18"/>
        </w:rPr>
        <w:t>our own church is not alone in this struggle. Any church that is not almost</w:t>
      </w:r>
      <w:r>
        <w:rPr>
          <w:color w:val="231F20"/>
          <w:spacing w:val="-48"/>
          <w:w w:val="110"/>
          <w:sz w:val="18"/>
        </w:rPr>
        <w:t> </w:t>
      </w:r>
      <w:r>
        <w:rPr>
          <w:color w:val="231F20"/>
          <w:w w:val="110"/>
          <w:sz w:val="18"/>
        </w:rPr>
        <w:t>totally monolithic, and this includes practically all the </w:t>
      </w:r>
      <w:r>
        <w:rPr>
          <w:color w:val="231F20"/>
          <w:spacing w:val="-3"/>
          <w:w w:val="110"/>
          <w:sz w:val="18"/>
        </w:rPr>
        <w:t>mainline </w:t>
      </w:r>
      <w:r>
        <w:rPr>
          <w:color w:val="231F20"/>
          <w:w w:val="110"/>
          <w:sz w:val="18"/>
        </w:rPr>
        <w:t>churches in this </w:t>
      </w:r>
      <w:r>
        <w:rPr>
          <w:color w:val="231F20"/>
          <w:spacing w:val="-3"/>
          <w:w w:val="110"/>
          <w:sz w:val="18"/>
        </w:rPr>
        <w:t>country, </w:t>
      </w:r>
      <w:r>
        <w:rPr>
          <w:color w:val="231F20"/>
          <w:w w:val="110"/>
          <w:sz w:val="18"/>
        </w:rPr>
        <w:t>feels the force of this tension, sometimes almost to breaking point. This does seem a good reason for</w:t>
      </w:r>
      <w:r>
        <w:rPr>
          <w:color w:val="231F20"/>
          <w:spacing w:val="-22"/>
          <w:w w:val="110"/>
          <w:sz w:val="18"/>
        </w:rPr>
        <w:t> </w:t>
      </w:r>
      <w:r>
        <w:rPr>
          <w:color w:val="231F20"/>
          <w:w w:val="110"/>
          <w:sz w:val="18"/>
        </w:rPr>
        <w:t>trying</w:t>
      </w:r>
    </w:p>
    <w:p>
      <w:pPr>
        <w:pStyle w:val="BodyText"/>
        <w:spacing w:line="273" w:lineRule="auto" w:before="2"/>
        <w:ind w:left="513" w:right="1375"/>
      </w:pPr>
      <w:r>
        <w:rPr>
          <w:color w:val="231F20"/>
          <w:w w:val="110"/>
        </w:rPr>
        <w:t>to explore some of the issues </w:t>
      </w:r>
      <w:r>
        <w:rPr>
          <w:color w:val="231F20"/>
          <w:spacing w:val="-3"/>
          <w:w w:val="110"/>
        </w:rPr>
        <w:t>ecumenically, </w:t>
      </w:r>
      <w:r>
        <w:rPr>
          <w:color w:val="231F20"/>
          <w:w w:val="110"/>
        </w:rPr>
        <w:t>though at the end of the </w:t>
      </w:r>
      <w:r>
        <w:rPr>
          <w:color w:val="231F20"/>
          <w:spacing w:val="-3"/>
          <w:w w:val="110"/>
        </w:rPr>
        <w:t>day </w:t>
      </w:r>
      <w:r>
        <w:rPr>
          <w:color w:val="231F20"/>
          <w:w w:val="110"/>
        </w:rPr>
        <w:t>we </w:t>
      </w:r>
      <w:r>
        <w:rPr>
          <w:color w:val="231F20"/>
          <w:spacing w:val="-3"/>
          <w:w w:val="110"/>
        </w:rPr>
        <w:t>have </w:t>
      </w:r>
      <w:r>
        <w:rPr>
          <w:color w:val="231F20"/>
          <w:w w:val="110"/>
        </w:rPr>
        <w:t>to work this out in our own </w:t>
      </w:r>
      <w:r>
        <w:rPr>
          <w:color w:val="231F20"/>
          <w:spacing w:val="-7"/>
          <w:w w:val="110"/>
        </w:rPr>
        <w:t>way. </w:t>
      </w:r>
      <w:r>
        <w:rPr>
          <w:color w:val="231F20"/>
          <w:w w:val="110"/>
        </w:rPr>
        <w:t>Some Anglican and Methodist documents, as well as some international approaches, </w:t>
      </w:r>
      <w:r>
        <w:rPr>
          <w:color w:val="231F20"/>
          <w:spacing w:val="-3"/>
          <w:w w:val="110"/>
        </w:rPr>
        <w:t>have </w:t>
      </w:r>
      <w:r>
        <w:rPr>
          <w:color w:val="231F20"/>
          <w:w w:val="110"/>
        </w:rPr>
        <w:t>been considered briefly </w:t>
      </w:r>
      <w:r>
        <w:rPr>
          <w:color w:val="231F20"/>
          <w:spacing w:val="-3"/>
          <w:w w:val="110"/>
        </w:rPr>
        <w:t>over </w:t>
      </w:r>
      <w:r>
        <w:rPr>
          <w:color w:val="231F20"/>
          <w:w w:val="110"/>
        </w:rPr>
        <w:t>recent months, and could be helpful. </w:t>
      </w:r>
      <w:r>
        <w:rPr>
          <w:color w:val="231F20"/>
          <w:spacing w:val="-4"/>
          <w:w w:val="110"/>
        </w:rPr>
        <w:t>We </w:t>
      </w:r>
      <w:r>
        <w:rPr>
          <w:color w:val="231F20"/>
          <w:spacing w:val="-3"/>
          <w:w w:val="110"/>
        </w:rPr>
        <w:t>may </w:t>
      </w:r>
      <w:r>
        <w:rPr>
          <w:color w:val="231F20"/>
          <w:w w:val="110"/>
        </w:rPr>
        <w:t>need to return to these as we chart a </w:t>
      </w:r>
      <w:r>
        <w:rPr>
          <w:color w:val="231F20"/>
          <w:spacing w:val="-3"/>
          <w:w w:val="110"/>
        </w:rPr>
        <w:t>way </w:t>
      </w:r>
      <w:r>
        <w:rPr>
          <w:color w:val="231F20"/>
          <w:w w:val="110"/>
        </w:rPr>
        <w:t>forward.</w:t>
      </w:r>
    </w:p>
    <w:p>
      <w:pPr>
        <w:spacing w:after="0" w:line="273" w:lineRule="auto"/>
        <w:sectPr>
          <w:pgSz w:w="11910" w:h="16840"/>
          <w:pgMar w:header="558" w:footer="564" w:top="820" w:bottom="760" w:left="620" w:right="0"/>
        </w:sectPr>
      </w:pPr>
    </w:p>
    <w:p>
      <w:pPr>
        <w:pStyle w:val="BodyText"/>
        <w:spacing w:before="1"/>
        <w:rPr>
          <w:sz w:val="17"/>
        </w:rPr>
      </w:pPr>
    </w:p>
    <w:p>
      <w:pPr>
        <w:pStyle w:val="Heading9"/>
        <w:numPr>
          <w:ilvl w:val="0"/>
          <w:numId w:val="128"/>
        </w:numPr>
        <w:tabs>
          <w:tab w:pos="1233" w:val="left" w:leader="none"/>
          <w:tab w:pos="1234" w:val="left" w:leader="none"/>
        </w:tabs>
        <w:spacing w:line="240" w:lineRule="auto" w:before="98" w:after="0"/>
        <w:ind w:left="1233" w:right="0" w:hanging="721"/>
        <w:jc w:val="left"/>
      </w:pPr>
      <w:r>
        <w:rPr>
          <w:color w:val="231F20"/>
          <w:w w:val="110"/>
        </w:rPr>
        <w:t>Unity </w:t>
      </w:r>
      <w:r>
        <w:rPr>
          <w:color w:val="231F20"/>
          <w:spacing w:val="-3"/>
          <w:w w:val="110"/>
        </w:rPr>
        <w:t>and</w:t>
      </w:r>
      <w:r>
        <w:rPr>
          <w:color w:val="231F20"/>
          <w:w w:val="110"/>
        </w:rPr>
        <w:t> diversity</w:t>
      </w:r>
    </w:p>
    <w:p>
      <w:pPr>
        <w:pStyle w:val="ListParagraph"/>
        <w:numPr>
          <w:ilvl w:val="1"/>
          <w:numId w:val="128"/>
        </w:numPr>
        <w:tabs>
          <w:tab w:pos="1233" w:val="left" w:leader="none"/>
          <w:tab w:pos="1234" w:val="left" w:leader="none"/>
        </w:tabs>
        <w:spacing w:line="273" w:lineRule="auto" w:before="258" w:after="0"/>
        <w:ind w:left="513" w:right="1938" w:firstLine="0"/>
        <w:jc w:val="left"/>
        <w:rPr>
          <w:sz w:val="18"/>
        </w:rPr>
      </w:pPr>
      <w:r>
        <w:rPr>
          <w:color w:val="231F20"/>
          <w:spacing w:val="-3"/>
          <w:w w:val="110"/>
          <w:sz w:val="18"/>
        </w:rPr>
        <w:t>We </w:t>
      </w:r>
      <w:r>
        <w:rPr>
          <w:color w:val="231F20"/>
          <w:w w:val="110"/>
          <w:sz w:val="18"/>
        </w:rPr>
        <w:t>need perhaps at this point to weigh what unity means to us. </w:t>
      </w:r>
      <w:r>
        <w:rPr>
          <w:color w:val="231F20"/>
          <w:spacing w:val="-3"/>
          <w:w w:val="110"/>
          <w:sz w:val="18"/>
        </w:rPr>
        <w:t>We </w:t>
      </w:r>
      <w:r>
        <w:rPr>
          <w:color w:val="231F20"/>
          <w:w w:val="110"/>
          <w:sz w:val="18"/>
        </w:rPr>
        <w:t>are bound together as Christians not just by being </w:t>
      </w:r>
      <w:r>
        <w:rPr>
          <w:color w:val="231F20"/>
          <w:spacing w:val="2"/>
          <w:w w:val="110"/>
          <w:sz w:val="18"/>
        </w:rPr>
        <w:t>part </w:t>
      </w:r>
      <w:r>
        <w:rPr>
          <w:color w:val="231F20"/>
          <w:w w:val="110"/>
          <w:sz w:val="18"/>
        </w:rPr>
        <w:t>of one church, but by our common receiving and sharing in the grace of God through Jesus Christ.  </w:t>
      </w:r>
      <w:r>
        <w:rPr>
          <w:color w:val="231F20"/>
          <w:spacing w:val="-3"/>
          <w:w w:val="110"/>
          <w:sz w:val="18"/>
        </w:rPr>
        <w:t>We </w:t>
      </w:r>
      <w:r>
        <w:rPr>
          <w:color w:val="231F20"/>
          <w:w w:val="110"/>
          <w:sz w:val="18"/>
        </w:rPr>
        <w:t>share one Lord,  one faith, one baptism. </w:t>
      </w:r>
      <w:r>
        <w:rPr>
          <w:color w:val="231F20"/>
          <w:spacing w:val="-3"/>
          <w:w w:val="110"/>
          <w:sz w:val="18"/>
        </w:rPr>
        <w:t>We </w:t>
      </w:r>
      <w:r>
        <w:rPr>
          <w:color w:val="231F20"/>
          <w:w w:val="110"/>
          <w:sz w:val="18"/>
        </w:rPr>
        <w:t>have </w:t>
      </w:r>
      <w:r>
        <w:rPr>
          <w:color w:val="231F20"/>
          <w:spacing w:val="2"/>
          <w:w w:val="110"/>
          <w:sz w:val="18"/>
        </w:rPr>
        <w:t>therefore </w:t>
      </w:r>
      <w:r>
        <w:rPr>
          <w:color w:val="231F20"/>
          <w:w w:val="110"/>
          <w:sz w:val="18"/>
        </w:rPr>
        <w:t>to look at our disagreements in the light of this deep covenant bond as well as our Lord’s passionate prayer that we might be one. At the same time we clearly do not and cannot believe exactly the same things within our</w:t>
      </w:r>
      <w:r>
        <w:rPr>
          <w:color w:val="231F20"/>
          <w:spacing w:val="5"/>
          <w:w w:val="110"/>
          <w:sz w:val="18"/>
        </w:rPr>
        <w:t> </w:t>
      </w:r>
      <w:r>
        <w:rPr>
          <w:color w:val="231F20"/>
          <w:w w:val="110"/>
          <w:sz w:val="18"/>
        </w:rPr>
        <w:t>faith.</w:t>
      </w:r>
      <w:r>
        <w:rPr>
          <w:color w:val="231F20"/>
          <w:spacing w:val="10"/>
          <w:w w:val="110"/>
          <w:sz w:val="18"/>
        </w:rPr>
        <w:t> </w:t>
      </w:r>
      <w:r>
        <w:rPr>
          <w:color w:val="231F20"/>
          <w:w w:val="110"/>
          <w:sz w:val="18"/>
        </w:rPr>
        <w:t>Over</w:t>
      </w:r>
      <w:r>
        <w:rPr>
          <w:color w:val="231F20"/>
          <w:spacing w:val="5"/>
          <w:w w:val="110"/>
          <w:sz w:val="18"/>
        </w:rPr>
        <w:t> </w:t>
      </w:r>
      <w:r>
        <w:rPr>
          <w:color w:val="231F20"/>
          <w:w w:val="110"/>
          <w:sz w:val="18"/>
        </w:rPr>
        <w:t>the</w:t>
      </w:r>
      <w:r>
        <w:rPr>
          <w:color w:val="231F20"/>
          <w:spacing w:val="5"/>
          <w:w w:val="110"/>
          <w:sz w:val="18"/>
        </w:rPr>
        <w:t> </w:t>
      </w:r>
      <w:r>
        <w:rPr>
          <w:color w:val="231F20"/>
          <w:w w:val="110"/>
          <w:sz w:val="18"/>
        </w:rPr>
        <w:t>years</w:t>
      </w:r>
      <w:r>
        <w:rPr>
          <w:color w:val="231F20"/>
          <w:spacing w:val="5"/>
          <w:w w:val="110"/>
          <w:sz w:val="18"/>
        </w:rPr>
        <w:t> </w:t>
      </w:r>
      <w:r>
        <w:rPr>
          <w:color w:val="231F20"/>
          <w:w w:val="110"/>
          <w:sz w:val="18"/>
        </w:rPr>
        <w:t>we</w:t>
      </w:r>
      <w:r>
        <w:rPr>
          <w:color w:val="231F20"/>
          <w:spacing w:val="5"/>
          <w:w w:val="110"/>
          <w:sz w:val="18"/>
        </w:rPr>
        <w:t> </w:t>
      </w:r>
      <w:r>
        <w:rPr>
          <w:color w:val="231F20"/>
          <w:w w:val="110"/>
          <w:sz w:val="18"/>
        </w:rPr>
        <w:t>have</w:t>
      </w:r>
      <w:r>
        <w:rPr>
          <w:color w:val="231F20"/>
          <w:spacing w:val="5"/>
          <w:w w:val="110"/>
          <w:sz w:val="18"/>
        </w:rPr>
        <w:t> </w:t>
      </w:r>
      <w:r>
        <w:rPr>
          <w:color w:val="231F20"/>
          <w:w w:val="110"/>
          <w:sz w:val="18"/>
        </w:rPr>
        <w:t>had</w:t>
      </w:r>
      <w:r>
        <w:rPr>
          <w:color w:val="231F20"/>
          <w:spacing w:val="5"/>
          <w:w w:val="110"/>
          <w:sz w:val="18"/>
        </w:rPr>
        <w:t> </w:t>
      </w:r>
      <w:r>
        <w:rPr>
          <w:color w:val="231F20"/>
          <w:w w:val="110"/>
          <w:sz w:val="18"/>
        </w:rPr>
        <w:t>to</w:t>
      </w:r>
      <w:r>
        <w:rPr>
          <w:color w:val="231F20"/>
          <w:spacing w:val="5"/>
          <w:w w:val="110"/>
          <w:sz w:val="18"/>
        </w:rPr>
        <w:t> </w:t>
      </w:r>
      <w:r>
        <w:rPr>
          <w:color w:val="231F20"/>
          <w:w w:val="110"/>
          <w:sz w:val="18"/>
        </w:rPr>
        <w:t>find</w:t>
      </w:r>
      <w:r>
        <w:rPr>
          <w:color w:val="231F20"/>
          <w:spacing w:val="6"/>
          <w:w w:val="110"/>
          <w:sz w:val="18"/>
        </w:rPr>
        <w:t> </w:t>
      </w:r>
      <w:r>
        <w:rPr>
          <w:color w:val="231F20"/>
          <w:w w:val="110"/>
          <w:sz w:val="18"/>
        </w:rPr>
        <w:t>ways</w:t>
      </w:r>
      <w:r>
        <w:rPr>
          <w:color w:val="231F20"/>
          <w:spacing w:val="5"/>
          <w:w w:val="110"/>
          <w:sz w:val="18"/>
        </w:rPr>
        <w:t> </w:t>
      </w:r>
      <w:r>
        <w:rPr>
          <w:color w:val="231F20"/>
          <w:w w:val="110"/>
          <w:sz w:val="18"/>
        </w:rPr>
        <w:t>of</w:t>
      </w:r>
      <w:r>
        <w:rPr>
          <w:color w:val="231F20"/>
          <w:spacing w:val="5"/>
          <w:w w:val="110"/>
          <w:sz w:val="18"/>
        </w:rPr>
        <w:t> </w:t>
      </w:r>
      <w:r>
        <w:rPr>
          <w:color w:val="231F20"/>
          <w:w w:val="110"/>
          <w:sz w:val="18"/>
        </w:rPr>
        <w:t>living</w:t>
      </w:r>
      <w:r>
        <w:rPr>
          <w:color w:val="231F20"/>
          <w:spacing w:val="5"/>
          <w:w w:val="110"/>
          <w:sz w:val="18"/>
        </w:rPr>
        <w:t> </w:t>
      </w:r>
      <w:r>
        <w:rPr>
          <w:color w:val="231F20"/>
          <w:w w:val="110"/>
          <w:sz w:val="18"/>
        </w:rPr>
        <w:t>with</w:t>
      </w:r>
      <w:r>
        <w:rPr>
          <w:color w:val="231F20"/>
          <w:spacing w:val="5"/>
          <w:w w:val="110"/>
          <w:sz w:val="18"/>
        </w:rPr>
        <w:t> </w:t>
      </w:r>
      <w:r>
        <w:rPr>
          <w:color w:val="231F20"/>
          <w:w w:val="110"/>
          <w:sz w:val="18"/>
        </w:rPr>
        <w:t>our</w:t>
      </w:r>
      <w:r>
        <w:rPr>
          <w:color w:val="231F20"/>
          <w:spacing w:val="5"/>
          <w:w w:val="110"/>
          <w:sz w:val="18"/>
        </w:rPr>
        <w:t> </w:t>
      </w:r>
      <w:r>
        <w:rPr>
          <w:color w:val="231F20"/>
          <w:spacing w:val="2"/>
          <w:w w:val="110"/>
          <w:sz w:val="18"/>
        </w:rPr>
        <w:t>differences.</w:t>
      </w:r>
      <w:r>
        <w:rPr>
          <w:color w:val="231F20"/>
          <w:spacing w:val="8"/>
          <w:w w:val="110"/>
          <w:sz w:val="18"/>
        </w:rPr>
        <w:t> </w:t>
      </w:r>
      <w:r>
        <w:rPr>
          <w:color w:val="231F20"/>
          <w:w w:val="110"/>
          <w:sz w:val="18"/>
        </w:rPr>
        <w:t>This</w:t>
      </w:r>
    </w:p>
    <w:p>
      <w:pPr>
        <w:pStyle w:val="BodyText"/>
        <w:spacing w:line="273" w:lineRule="auto" w:before="4"/>
        <w:ind w:left="513" w:right="1866"/>
      </w:pPr>
      <w:r>
        <w:rPr>
          <w:color w:val="231F20"/>
          <w:w w:val="110"/>
        </w:rPr>
        <w:t>particular issue seems to present us with the challenge – if we cannot agree over human sexuality, and if we cannot persuade others of the rightness of our understanding, how shall we then live together and is it right that we should go on trying?  It seems to us  that the first, practical, </w:t>
      </w:r>
      <w:r>
        <w:rPr>
          <w:color w:val="231F20"/>
          <w:spacing w:val="2"/>
          <w:w w:val="110"/>
        </w:rPr>
        <w:t>part </w:t>
      </w:r>
      <w:r>
        <w:rPr>
          <w:color w:val="231F20"/>
          <w:w w:val="110"/>
        </w:rPr>
        <w:t>of that question has not been fully addressed. </w:t>
      </w:r>
      <w:r>
        <w:rPr>
          <w:color w:val="231F20"/>
          <w:spacing w:val="2"/>
          <w:w w:val="110"/>
        </w:rPr>
        <w:t>There </w:t>
      </w:r>
      <w:r>
        <w:rPr>
          <w:color w:val="231F20"/>
          <w:w w:val="110"/>
        </w:rPr>
        <w:t>are some difficult detailed questions here which need to be explored (see </w:t>
      </w:r>
      <w:r>
        <w:rPr>
          <w:color w:val="231F20"/>
          <w:spacing w:val="2"/>
          <w:w w:val="110"/>
        </w:rPr>
        <w:t>section </w:t>
      </w:r>
      <w:r>
        <w:rPr>
          <w:color w:val="231F20"/>
          <w:w w:val="110"/>
        </w:rPr>
        <w:t>9 below). Regarding the imperative of unity, it has been powerfully put to us – how can we pray   for unity and understanding in the world, and for peace between Israel and Palestine for instance,</w:t>
      </w:r>
      <w:r>
        <w:rPr>
          <w:color w:val="231F20"/>
          <w:spacing w:val="7"/>
          <w:w w:val="110"/>
        </w:rPr>
        <w:t> </w:t>
      </w:r>
      <w:r>
        <w:rPr>
          <w:color w:val="231F20"/>
          <w:w w:val="110"/>
        </w:rPr>
        <w:t>when</w:t>
      </w:r>
      <w:r>
        <w:rPr>
          <w:color w:val="231F20"/>
          <w:spacing w:val="8"/>
          <w:w w:val="110"/>
        </w:rPr>
        <w:t> </w:t>
      </w:r>
      <w:r>
        <w:rPr>
          <w:color w:val="231F20"/>
          <w:w w:val="110"/>
        </w:rPr>
        <w:t>we</w:t>
      </w:r>
      <w:r>
        <w:rPr>
          <w:color w:val="231F20"/>
          <w:spacing w:val="8"/>
          <w:w w:val="110"/>
        </w:rPr>
        <w:t> </w:t>
      </w:r>
      <w:r>
        <w:rPr>
          <w:color w:val="231F20"/>
          <w:w w:val="110"/>
        </w:rPr>
        <w:t>do</w:t>
      </w:r>
      <w:r>
        <w:rPr>
          <w:color w:val="231F20"/>
          <w:spacing w:val="8"/>
          <w:w w:val="110"/>
        </w:rPr>
        <w:t> </w:t>
      </w:r>
      <w:r>
        <w:rPr>
          <w:color w:val="231F20"/>
          <w:w w:val="110"/>
        </w:rPr>
        <w:t>not</w:t>
      </w:r>
      <w:r>
        <w:rPr>
          <w:color w:val="231F20"/>
          <w:spacing w:val="8"/>
          <w:w w:val="110"/>
        </w:rPr>
        <w:t> </w:t>
      </w:r>
      <w:r>
        <w:rPr>
          <w:color w:val="231F20"/>
          <w:w w:val="110"/>
        </w:rPr>
        <w:t>ourselves</w:t>
      </w:r>
      <w:r>
        <w:rPr>
          <w:color w:val="231F20"/>
          <w:spacing w:val="8"/>
          <w:w w:val="110"/>
        </w:rPr>
        <w:t> </w:t>
      </w:r>
      <w:r>
        <w:rPr>
          <w:color w:val="231F20"/>
          <w:w w:val="110"/>
        </w:rPr>
        <w:t>demonstrate</w:t>
      </w:r>
      <w:r>
        <w:rPr>
          <w:color w:val="231F20"/>
          <w:spacing w:val="8"/>
          <w:w w:val="110"/>
        </w:rPr>
        <w:t> </w:t>
      </w:r>
      <w:r>
        <w:rPr>
          <w:color w:val="231F20"/>
          <w:w w:val="110"/>
        </w:rPr>
        <w:t>a</w:t>
      </w:r>
      <w:r>
        <w:rPr>
          <w:color w:val="231F20"/>
          <w:spacing w:val="8"/>
          <w:w w:val="110"/>
        </w:rPr>
        <w:t> </w:t>
      </w:r>
      <w:r>
        <w:rPr>
          <w:color w:val="231F20"/>
          <w:w w:val="110"/>
        </w:rPr>
        <w:t>unity</w:t>
      </w:r>
      <w:r>
        <w:rPr>
          <w:color w:val="231F20"/>
          <w:spacing w:val="8"/>
          <w:w w:val="110"/>
        </w:rPr>
        <w:t> </w:t>
      </w:r>
      <w:r>
        <w:rPr>
          <w:color w:val="231F20"/>
          <w:w w:val="110"/>
        </w:rPr>
        <w:t>which</w:t>
      </w:r>
      <w:r>
        <w:rPr>
          <w:color w:val="231F20"/>
          <w:spacing w:val="8"/>
          <w:w w:val="110"/>
        </w:rPr>
        <w:t> </w:t>
      </w:r>
      <w:r>
        <w:rPr>
          <w:color w:val="231F20"/>
          <w:w w:val="110"/>
        </w:rPr>
        <w:t>copes</w:t>
      </w:r>
      <w:r>
        <w:rPr>
          <w:color w:val="231F20"/>
          <w:spacing w:val="8"/>
          <w:w w:val="110"/>
        </w:rPr>
        <w:t> </w:t>
      </w:r>
      <w:r>
        <w:rPr>
          <w:color w:val="231F20"/>
          <w:w w:val="110"/>
        </w:rPr>
        <w:t>with</w:t>
      </w:r>
      <w:r>
        <w:rPr>
          <w:color w:val="231F20"/>
          <w:spacing w:val="8"/>
          <w:w w:val="110"/>
        </w:rPr>
        <w:t> </w:t>
      </w:r>
      <w:r>
        <w:rPr>
          <w:color w:val="231F20"/>
          <w:w w:val="110"/>
        </w:rPr>
        <w:t>diversity?</w:t>
      </w:r>
    </w:p>
    <w:p>
      <w:pPr>
        <w:pStyle w:val="BodyText"/>
        <w:rPr>
          <w:sz w:val="21"/>
        </w:rPr>
      </w:pPr>
    </w:p>
    <w:p>
      <w:pPr>
        <w:pStyle w:val="ListParagraph"/>
        <w:numPr>
          <w:ilvl w:val="1"/>
          <w:numId w:val="128"/>
        </w:numPr>
        <w:tabs>
          <w:tab w:pos="1233" w:val="left" w:leader="none"/>
          <w:tab w:pos="1234" w:val="left" w:leader="none"/>
        </w:tabs>
        <w:spacing w:line="273" w:lineRule="auto" w:before="0" w:after="0"/>
        <w:ind w:left="513" w:right="1720" w:firstLine="0"/>
        <w:jc w:val="left"/>
        <w:rPr>
          <w:sz w:val="18"/>
        </w:rPr>
      </w:pPr>
      <w:r>
        <w:rPr>
          <w:color w:val="231F20"/>
          <w:w w:val="110"/>
          <w:sz w:val="18"/>
        </w:rPr>
        <w:t>It is a painful but joyful reality that those with whom we may profoundly disagree within the life of the church are also </w:t>
      </w:r>
      <w:r>
        <w:rPr>
          <w:color w:val="231F20"/>
          <w:spacing w:val="2"/>
          <w:w w:val="110"/>
          <w:sz w:val="18"/>
        </w:rPr>
        <w:t>servants </w:t>
      </w:r>
      <w:r>
        <w:rPr>
          <w:color w:val="231F20"/>
          <w:w w:val="110"/>
          <w:sz w:val="18"/>
        </w:rPr>
        <w:t>of Christ and recipients of God’s grace.    </w:t>
      </w:r>
      <w:r>
        <w:rPr>
          <w:color w:val="231F20"/>
          <w:spacing w:val="-3"/>
          <w:w w:val="110"/>
          <w:sz w:val="18"/>
        </w:rPr>
        <w:t>We </w:t>
      </w:r>
      <w:r>
        <w:rPr>
          <w:color w:val="231F20"/>
          <w:w w:val="110"/>
          <w:sz w:val="18"/>
        </w:rPr>
        <w:t>need to recognise </w:t>
      </w:r>
      <w:r>
        <w:rPr>
          <w:color w:val="231F20"/>
          <w:spacing w:val="2"/>
          <w:w w:val="110"/>
          <w:sz w:val="18"/>
        </w:rPr>
        <w:t>therefore </w:t>
      </w:r>
      <w:r>
        <w:rPr>
          <w:color w:val="231F20"/>
          <w:w w:val="110"/>
          <w:sz w:val="18"/>
        </w:rPr>
        <w:t>that they may have insights which we have not yet received and that we may have valid insights to share with them. It should not</w:t>
      </w:r>
      <w:r>
        <w:rPr>
          <w:color w:val="231F20"/>
          <w:spacing w:val="2"/>
          <w:w w:val="110"/>
          <w:sz w:val="18"/>
        </w:rPr>
        <w:t> </w:t>
      </w:r>
      <w:r>
        <w:rPr>
          <w:color w:val="231F20"/>
          <w:w w:val="110"/>
          <w:sz w:val="18"/>
        </w:rPr>
        <w:t>be</w:t>
      </w:r>
    </w:p>
    <w:p>
      <w:pPr>
        <w:pStyle w:val="BodyText"/>
        <w:spacing w:line="273" w:lineRule="auto" w:before="3"/>
        <w:ind w:left="513" w:right="2174"/>
      </w:pPr>
      <w:r>
        <w:rPr>
          <w:color w:val="231F20"/>
          <w:w w:val="110"/>
        </w:rPr>
        <w:t>in our Christian vocabulary to say – ‘I do not like what you are saying or what you believe and </w:t>
      </w:r>
      <w:r>
        <w:rPr>
          <w:color w:val="231F20"/>
          <w:spacing w:val="2"/>
          <w:w w:val="110"/>
        </w:rPr>
        <w:t>therefore </w:t>
      </w:r>
      <w:r>
        <w:rPr>
          <w:color w:val="231F20"/>
          <w:w w:val="110"/>
        </w:rPr>
        <w:t>I must walk </w:t>
      </w:r>
      <w:r>
        <w:rPr>
          <w:color w:val="231F20"/>
          <w:spacing w:val="-6"/>
          <w:w w:val="110"/>
        </w:rPr>
        <w:t>away.’ </w:t>
      </w:r>
      <w:r>
        <w:rPr>
          <w:color w:val="231F20"/>
          <w:w w:val="110"/>
        </w:rPr>
        <w:t>It is also in the nature of our church that we are not only a united church but a diverse church.  </w:t>
      </w:r>
      <w:r>
        <w:rPr>
          <w:color w:val="231F20"/>
          <w:spacing w:val="-3"/>
          <w:w w:val="110"/>
        </w:rPr>
        <w:t>We </w:t>
      </w:r>
      <w:r>
        <w:rPr>
          <w:color w:val="231F20"/>
          <w:w w:val="110"/>
        </w:rPr>
        <w:t>are here exploring the extent   of</w:t>
      </w:r>
      <w:r>
        <w:rPr>
          <w:color w:val="231F20"/>
          <w:spacing w:val="7"/>
          <w:w w:val="110"/>
        </w:rPr>
        <w:t> </w:t>
      </w:r>
      <w:r>
        <w:rPr>
          <w:color w:val="231F20"/>
          <w:w w:val="110"/>
        </w:rPr>
        <w:t>that</w:t>
      </w:r>
      <w:r>
        <w:rPr>
          <w:color w:val="231F20"/>
          <w:spacing w:val="7"/>
          <w:w w:val="110"/>
        </w:rPr>
        <w:t> </w:t>
      </w:r>
      <w:r>
        <w:rPr>
          <w:color w:val="231F20"/>
          <w:w w:val="110"/>
        </w:rPr>
        <w:t>Christian</w:t>
      </w:r>
      <w:r>
        <w:rPr>
          <w:color w:val="231F20"/>
          <w:spacing w:val="7"/>
          <w:w w:val="110"/>
        </w:rPr>
        <w:t> </w:t>
      </w:r>
      <w:r>
        <w:rPr>
          <w:color w:val="231F20"/>
          <w:w w:val="110"/>
        </w:rPr>
        <w:t>diversity.</w:t>
      </w:r>
      <w:r>
        <w:rPr>
          <w:color w:val="231F20"/>
          <w:spacing w:val="14"/>
          <w:w w:val="110"/>
        </w:rPr>
        <w:t> </w:t>
      </w:r>
      <w:r>
        <w:rPr>
          <w:color w:val="231F20"/>
          <w:spacing w:val="-3"/>
          <w:w w:val="110"/>
        </w:rPr>
        <w:t>We</w:t>
      </w:r>
      <w:r>
        <w:rPr>
          <w:color w:val="231F20"/>
          <w:spacing w:val="7"/>
          <w:w w:val="110"/>
        </w:rPr>
        <w:t> </w:t>
      </w:r>
      <w:r>
        <w:rPr>
          <w:color w:val="231F20"/>
          <w:w w:val="110"/>
        </w:rPr>
        <w:t>give</w:t>
      </w:r>
      <w:r>
        <w:rPr>
          <w:color w:val="231F20"/>
          <w:spacing w:val="7"/>
          <w:w w:val="110"/>
        </w:rPr>
        <w:t> </w:t>
      </w:r>
      <w:r>
        <w:rPr>
          <w:color w:val="231F20"/>
          <w:w w:val="110"/>
        </w:rPr>
        <w:t>considerable</w:t>
      </w:r>
      <w:r>
        <w:rPr>
          <w:color w:val="231F20"/>
          <w:spacing w:val="7"/>
          <w:w w:val="110"/>
        </w:rPr>
        <w:t> </w:t>
      </w:r>
      <w:r>
        <w:rPr>
          <w:color w:val="231F20"/>
          <w:w w:val="110"/>
        </w:rPr>
        <w:t>time</w:t>
      </w:r>
      <w:r>
        <w:rPr>
          <w:color w:val="231F20"/>
          <w:spacing w:val="7"/>
          <w:w w:val="110"/>
        </w:rPr>
        <w:t> </w:t>
      </w:r>
      <w:r>
        <w:rPr>
          <w:color w:val="231F20"/>
          <w:w w:val="110"/>
        </w:rPr>
        <w:t>and</w:t>
      </w:r>
      <w:r>
        <w:rPr>
          <w:color w:val="231F20"/>
          <w:spacing w:val="7"/>
          <w:w w:val="110"/>
        </w:rPr>
        <w:t> </w:t>
      </w:r>
      <w:r>
        <w:rPr>
          <w:color w:val="231F20"/>
          <w:w w:val="110"/>
        </w:rPr>
        <w:t>energy</w:t>
      </w:r>
      <w:r>
        <w:rPr>
          <w:color w:val="231F20"/>
          <w:spacing w:val="7"/>
          <w:w w:val="110"/>
        </w:rPr>
        <w:t> </w:t>
      </w:r>
      <w:r>
        <w:rPr>
          <w:color w:val="231F20"/>
          <w:w w:val="110"/>
        </w:rPr>
        <w:t>to</w:t>
      </w:r>
      <w:r>
        <w:rPr>
          <w:color w:val="231F20"/>
          <w:spacing w:val="7"/>
          <w:w w:val="110"/>
        </w:rPr>
        <w:t> </w:t>
      </w:r>
      <w:r>
        <w:rPr>
          <w:color w:val="231F20"/>
          <w:w w:val="110"/>
        </w:rPr>
        <w:t>exploring</w:t>
      </w:r>
      <w:r>
        <w:rPr>
          <w:color w:val="231F20"/>
          <w:spacing w:val="7"/>
          <w:w w:val="110"/>
        </w:rPr>
        <w:t> </w:t>
      </w:r>
      <w:r>
        <w:rPr>
          <w:color w:val="231F20"/>
          <w:w w:val="110"/>
        </w:rPr>
        <w:t>our</w:t>
      </w:r>
    </w:p>
    <w:p>
      <w:pPr>
        <w:pStyle w:val="BodyText"/>
        <w:spacing w:line="273" w:lineRule="auto" w:before="2"/>
        <w:ind w:left="513" w:right="1844"/>
      </w:pPr>
      <w:r>
        <w:rPr>
          <w:color w:val="231F20"/>
          <w:w w:val="110"/>
        </w:rPr>
        <w:t>ecumenical relationships with other churches. We need now to conduct our own internal “ecumenical” discussions.</w:t>
      </w:r>
    </w:p>
    <w:p>
      <w:pPr>
        <w:pStyle w:val="BodyText"/>
        <w:spacing w:before="8"/>
        <w:rPr>
          <w:sz w:val="20"/>
        </w:rPr>
      </w:pPr>
    </w:p>
    <w:p>
      <w:pPr>
        <w:pStyle w:val="ListParagraph"/>
        <w:numPr>
          <w:ilvl w:val="1"/>
          <w:numId w:val="128"/>
        </w:numPr>
        <w:tabs>
          <w:tab w:pos="1233" w:val="left" w:leader="none"/>
          <w:tab w:pos="1234" w:val="left" w:leader="none"/>
        </w:tabs>
        <w:spacing w:line="273" w:lineRule="auto" w:before="0" w:after="0"/>
        <w:ind w:left="513" w:right="2221" w:hanging="1"/>
        <w:jc w:val="left"/>
        <w:rPr>
          <w:sz w:val="18"/>
        </w:rPr>
      </w:pPr>
      <w:r>
        <w:rPr>
          <w:color w:val="231F20"/>
          <w:w w:val="110"/>
          <w:sz w:val="18"/>
        </w:rPr>
        <w:t>In summary, we </w:t>
      </w:r>
      <w:r>
        <w:rPr>
          <w:color w:val="231F20"/>
          <w:spacing w:val="3"/>
          <w:w w:val="110"/>
          <w:sz w:val="18"/>
        </w:rPr>
        <w:t>need </w:t>
      </w:r>
      <w:r>
        <w:rPr>
          <w:color w:val="231F20"/>
          <w:w w:val="110"/>
          <w:sz w:val="18"/>
        </w:rPr>
        <w:t>to keep a </w:t>
      </w:r>
      <w:r>
        <w:rPr>
          <w:color w:val="231F20"/>
          <w:spacing w:val="3"/>
          <w:w w:val="110"/>
          <w:sz w:val="18"/>
        </w:rPr>
        <w:t>sense </w:t>
      </w:r>
      <w:r>
        <w:rPr>
          <w:color w:val="231F20"/>
          <w:w w:val="110"/>
          <w:sz w:val="18"/>
        </w:rPr>
        <w:t>of </w:t>
      </w:r>
      <w:r>
        <w:rPr>
          <w:color w:val="231F20"/>
          <w:spacing w:val="4"/>
          <w:w w:val="110"/>
          <w:sz w:val="18"/>
        </w:rPr>
        <w:t>proportion </w:t>
      </w:r>
      <w:r>
        <w:rPr>
          <w:color w:val="231F20"/>
          <w:spacing w:val="2"/>
          <w:w w:val="110"/>
          <w:sz w:val="18"/>
        </w:rPr>
        <w:t>about </w:t>
      </w:r>
      <w:r>
        <w:rPr>
          <w:color w:val="231F20"/>
          <w:w w:val="110"/>
          <w:sz w:val="18"/>
        </w:rPr>
        <w:t>this </w:t>
      </w:r>
      <w:r>
        <w:rPr>
          <w:color w:val="231F20"/>
          <w:spacing w:val="2"/>
          <w:w w:val="110"/>
          <w:sz w:val="18"/>
        </w:rPr>
        <w:t>issue, which</w:t>
      </w:r>
      <w:r>
        <w:rPr>
          <w:color w:val="231F20"/>
          <w:spacing w:val="73"/>
          <w:w w:val="110"/>
          <w:sz w:val="18"/>
        </w:rPr>
        <w:t> </w:t>
      </w:r>
      <w:r>
        <w:rPr>
          <w:color w:val="231F20"/>
          <w:spacing w:val="3"/>
          <w:w w:val="110"/>
          <w:sz w:val="18"/>
        </w:rPr>
        <w:t>can</w:t>
      </w:r>
      <w:r>
        <w:rPr>
          <w:color w:val="231F20"/>
          <w:spacing w:val="11"/>
          <w:w w:val="110"/>
          <w:sz w:val="18"/>
        </w:rPr>
        <w:t> </w:t>
      </w:r>
      <w:r>
        <w:rPr>
          <w:color w:val="231F20"/>
          <w:w w:val="110"/>
          <w:sz w:val="18"/>
        </w:rPr>
        <w:t>never</w:t>
      </w:r>
      <w:r>
        <w:rPr>
          <w:color w:val="231F20"/>
          <w:spacing w:val="11"/>
          <w:w w:val="110"/>
          <w:sz w:val="18"/>
        </w:rPr>
        <w:t> </w:t>
      </w:r>
      <w:r>
        <w:rPr>
          <w:color w:val="231F20"/>
          <w:spacing w:val="2"/>
          <w:w w:val="110"/>
          <w:sz w:val="18"/>
        </w:rPr>
        <w:t>be</w:t>
      </w:r>
      <w:r>
        <w:rPr>
          <w:color w:val="231F20"/>
          <w:spacing w:val="10"/>
          <w:w w:val="110"/>
          <w:sz w:val="18"/>
        </w:rPr>
        <w:t> </w:t>
      </w:r>
      <w:r>
        <w:rPr>
          <w:color w:val="231F20"/>
          <w:w w:val="110"/>
          <w:sz w:val="18"/>
        </w:rPr>
        <w:t>as</w:t>
      </w:r>
      <w:r>
        <w:rPr>
          <w:color w:val="231F20"/>
          <w:spacing w:val="12"/>
          <w:w w:val="110"/>
          <w:sz w:val="18"/>
        </w:rPr>
        <w:t> </w:t>
      </w:r>
      <w:r>
        <w:rPr>
          <w:color w:val="231F20"/>
          <w:spacing w:val="3"/>
          <w:w w:val="110"/>
          <w:sz w:val="18"/>
        </w:rPr>
        <w:t>important</w:t>
      </w:r>
      <w:r>
        <w:rPr>
          <w:color w:val="231F20"/>
          <w:spacing w:val="10"/>
          <w:w w:val="110"/>
          <w:sz w:val="18"/>
        </w:rPr>
        <w:t> </w:t>
      </w:r>
      <w:r>
        <w:rPr>
          <w:color w:val="231F20"/>
          <w:w w:val="110"/>
          <w:sz w:val="18"/>
        </w:rPr>
        <w:t>as</w:t>
      </w:r>
      <w:r>
        <w:rPr>
          <w:color w:val="231F20"/>
          <w:spacing w:val="11"/>
          <w:w w:val="110"/>
          <w:sz w:val="18"/>
        </w:rPr>
        <w:t> </w:t>
      </w:r>
      <w:r>
        <w:rPr>
          <w:color w:val="231F20"/>
          <w:spacing w:val="2"/>
          <w:w w:val="110"/>
          <w:sz w:val="18"/>
        </w:rPr>
        <w:t>the</w:t>
      </w:r>
      <w:r>
        <w:rPr>
          <w:color w:val="231F20"/>
          <w:spacing w:val="12"/>
          <w:w w:val="110"/>
          <w:sz w:val="18"/>
        </w:rPr>
        <w:t> </w:t>
      </w:r>
      <w:r>
        <w:rPr>
          <w:color w:val="231F20"/>
          <w:spacing w:val="3"/>
          <w:w w:val="110"/>
          <w:sz w:val="18"/>
        </w:rPr>
        <w:t>gospel</w:t>
      </w:r>
      <w:r>
        <w:rPr>
          <w:color w:val="231F20"/>
          <w:spacing w:val="11"/>
          <w:w w:val="110"/>
          <w:sz w:val="18"/>
        </w:rPr>
        <w:t> </w:t>
      </w:r>
      <w:r>
        <w:rPr>
          <w:color w:val="231F20"/>
          <w:spacing w:val="3"/>
          <w:w w:val="110"/>
          <w:sz w:val="18"/>
        </w:rPr>
        <w:t>itself</w:t>
      </w:r>
      <w:r>
        <w:rPr>
          <w:color w:val="231F20"/>
          <w:spacing w:val="11"/>
          <w:w w:val="110"/>
          <w:sz w:val="18"/>
        </w:rPr>
        <w:t> </w:t>
      </w:r>
      <w:r>
        <w:rPr>
          <w:color w:val="231F20"/>
          <w:w w:val="110"/>
          <w:sz w:val="18"/>
        </w:rPr>
        <w:t>nor</w:t>
      </w:r>
      <w:r>
        <w:rPr>
          <w:color w:val="231F20"/>
          <w:spacing w:val="12"/>
          <w:w w:val="110"/>
          <w:sz w:val="18"/>
        </w:rPr>
        <w:t> </w:t>
      </w:r>
      <w:r>
        <w:rPr>
          <w:color w:val="231F20"/>
          <w:w w:val="110"/>
          <w:sz w:val="18"/>
        </w:rPr>
        <w:t>all</w:t>
      </w:r>
      <w:r>
        <w:rPr>
          <w:color w:val="231F20"/>
          <w:spacing w:val="11"/>
          <w:w w:val="110"/>
          <w:sz w:val="18"/>
        </w:rPr>
        <w:t> </w:t>
      </w:r>
      <w:r>
        <w:rPr>
          <w:color w:val="231F20"/>
          <w:spacing w:val="3"/>
          <w:w w:val="110"/>
          <w:sz w:val="18"/>
        </w:rPr>
        <w:t>those</w:t>
      </w:r>
      <w:r>
        <w:rPr>
          <w:color w:val="231F20"/>
          <w:spacing w:val="11"/>
          <w:w w:val="110"/>
          <w:sz w:val="18"/>
        </w:rPr>
        <w:t> </w:t>
      </w:r>
      <w:r>
        <w:rPr>
          <w:color w:val="231F20"/>
          <w:spacing w:val="2"/>
          <w:w w:val="110"/>
          <w:sz w:val="18"/>
        </w:rPr>
        <w:t>things</w:t>
      </w:r>
      <w:r>
        <w:rPr>
          <w:color w:val="231F20"/>
          <w:spacing w:val="12"/>
          <w:w w:val="110"/>
          <w:sz w:val="18"/>
        </w:rPr>
        <w:t> </w:t>
      </w:r>
      <w:r>
        <w:rPr>
          <w:color w:val="231F20"/>
          <w:w w:val="110"/>
          <w:sz w:val="18"/>
        </w:rPr>
        <w:t>in</w:t>
      </w:r>
      <w:r>
        <w:rPr>
          <w:color w:val="231F20"/>
          <w:spacing w:val="11"/>
          <w:w w:val="110"/>
          <w:sz w:val="18"/>
        </w:rPr>
        <w:t> </w:t>
      </w:r>
      <w:r>
        <w:rPr>
          <w:color w:val="231F20"/>
          <w:spacing w:val="2"/>
          <w:w w:val="110"/>
          <w:sz w:val="18"/>
        </w:rPr>
        <w:t>which</w:t>
      </w:r>
      <w:r>
        <w:rPr>
          <w:color w:val="231F20"/>
          <w:spacing w:val="10"/>
          <w:w w:val="110"/>
          <w:sz w:val="18"/>
        </w:rPr>
        <w:t> </w:t>
      </w:r>
      <w:r>
        <w:rPr>
          <w:color w:val="231F20"/>
          <w:w w:val="110"/>
          <w:sz w:val="18"/>
        </w:rPr>
        <w:t>we</w:t>
      </w:r>
      <w:r>
        <w:rPr>
          <w:color w:val="231F20"/>
          <w:spacing w:val="11"/>
          <w:w w:val="110"/>
          <w:sz w:val="18"/>
        </w:rPr>
        <w:t> </w:t>
      </w:r>
      <w:r>
        <w:rPr>
          <w:color w:val="231F20"/>
          <w:spacing w:val="2"/>
          <w:w w:val="110"/>
          <w:sz w:val="18"/>
        </w:rPr>
        <w:t>are</w:t>
      </w:r>
    </w:p>
    <w:p>
      <w:pPr>
        <w:pStyle w:val="BodyText"/>
        <w:spacing w:line="273" w:lineRule="auto" w:before="1"/>
        <w:ind w:left="513" w:right="1753"/>
      </w:pPr>
      <w:r>
        <w:rPr>
          <w:color w:val="231F20"/>
          <w:w w:val="110"/>
        </w:rPr>
        <w:t>firmly united. We must also consider the impression we make on the world around us. We believe we have come to a point where we need to say to one another –</w:t>
      </w:r>
    </w:p>
    <w:p>
      <w:pPr>
        <w:pStyle w:val="ListParagraph"/>
        <w:numPr>
          <w:ilvl w:val="0"/>
          <w:numId w:val="129"/>
        </w:numPr>
        <w:tabs>
          <w:tab w:pos="1194" w:val="left" w:leader="none"/>
          <w:tab w:pos="1195" w:val="left" w:leader="none"/>
        </w:tabs>
        <w:spacing w:line="248" w:lineRule="exact" w:before="0" w:after="0"/>
        <w:ind w:left="1194" w:right="0" w:hanging="682"/>
        <w:jc w:val="left"/>
        <w:rPr>
          <w:sz w:val="18"/>
        </w:rPr>
      </w:pPr>
      <w:r>
        <w:rPr>
          <w:color w:val="231F20"/>
          <w:w w:val="110"/>
          <w:sz w:val="18"/>
        </w:rPr>
        <w:t>this is who and where we</w:t>
      </w:r>
      <w:r>
        <w:rPr>
          <w:color w:val="231F20"/>
          <w:spacing w:val="5"/>
          <w:w w:val="110"/>
          <w:sz w:val="18"/>
        </w:rPr>
        <w:t> </w:t>
      </w:r>
      <w:r>
        <w:rPr>
          <w:color w:val="231F20"/>
          <w:w w:val="110"/>
          <w:sz w:val="18"/>
        </w:rPr>
        <w:t>are;</w:t>
      </w:r>
    </w:p>
    <w:p>
      <w:pPr>
        <w:pStyle w:val="ListParagraph"/>
        <w:numPr>
          <w:ilvl w:val="0"/>
          <w:numId w:val="129"/>
        </w:numPr>
        <w:tabs>
          <w:tab w:pos="1194" w:val="left" w:leader="none"/>
          <w:tab w:pos="1195" w:val="left" w:leader="none"/>
        </w:tabs>
        <w:spacing w:line="250" w:lineRule="exact" w:before="0" w:after="0"/>
        <w:ind w:left="1194" w:right="0" w:hanging="682"/>
        <w:jc w:val="left"/>
        <w:rPr>
          <w:sz w:val="18"/>
        </w:rPr>
      </w:pPr>
      <w:r>
        <w:rPr>
          <w:color w:val="231F20"/>
          <w:w w:val="110"/>
          <w:sz w:val="18"/>
        </w:rPr>
        <w:t>can we now recognise and face our</w:t>
      </w:r>
      <w:r>
        <w:rPr>
          <w:color w:val="231F20"/>
          <w:spacing w:val="10"/>
          <w:w w:val="110"/>
          <w:sz w:val="18"/>
        </w:rPr>
        <w:t> </w:t>
      </w:r>
      <w:r>
        <w:rPr>
          <w:color w:val="231F20"/>
          <w:w w:val="110"/>
          <w:sz w:val="18"/>
        </w:rPr>
        <w:t>differences?</w:t>
      </w:r>
    </w:p>
    <w:p>
      <w:pPr>
        <w:pStyle w:val="ListParagraph"/>
        <w:numPr>
          <w:ilvl w:val="0"/>
          <w:numId w:val="129"/>
        </w:numPr>
        <w:tabs>
          <w:tab w:pos="1194" w:val="left" w:leader="none"/>
          <w:tab w:pos="1195" w:val="left" w:leader="none"/>
        </w:tabs>
        <w:spacing w:line="277" w:lineRule="exact" w:before="0" w:after="0"/>
        <w:ind w:left="1194" w:right="0" w:hanging="682"/>
        <w:jc w:val="left"/>
        <w:rPr>
          <w:sz w:val="18"/>
        </w:rPr>
      </w:pPr>
      <w:r>
        <w:rPr/>
        <w:pict>
          <v:shape style="position:absolute;margin-left:56.692993pt;margin-top:19.658432pt;width:481.9pt;height:.1pt;mso-position-horizontal-relative:page;mso-position-vertical-relative:paragraph;z-index:-251328512;mso-wrap-distance-left:0;mso-wrap-distance-right:0" coordorigin="1134,393" coordsize="9638,0" path="m1134,393l10772,393e" filled="false" stroked="true" strokeweight=".5pt" strokecolor="#231f20">
            <v:path arrowok="t"/>
            <v:stroke dashstyle="solid"/>
            <w10:wrap type="topAndBottom"/>
          </v:shape>
        </w:pict>
      </w:r>
      <w:r>
        <w:rPr>
          <w:color w:val="231F20"/>
          <w:w w:val="110"/>
          <w:sz w:val="18"/>
        </w:rPr>
        <w:t>and how might we live with</w:t>
      </w:r>
      <w:r>
        <w:rPr>
          <w:color w:val="231F20"/>
          <w:spacing w:val="4"/>
          <w:w w:val="110"/>
          <w:sz w:val="18"/>
        </w:rPr>
        <w:t> </w:t>
      </w:r>
      <w:r>
        <w:rPr>
          <w:color w:val="231F20"/>
          <w:w w:val="110"/>
          <w:sz w:val="18"/>
        </w:rPr>
        <w:t>that?</w:t>
      </w:r>
    </w:p>
    <w:p>
      <w:pPr>
        <w:pStyle w:val="BodyText"/>
        <w:spacing w:before="9"/>
        <w:rPr>
          <w:sz w:val="26"/>
        </w:rPr>
      </w:pPr>
    </w:p>
    <w:p>
      <w:pPr>
        <w:pStyle w:val="Heading9"/>
        <w:numPr>
          <w:ilvl w:val="0"/>
          <w:numId w:val="128"/>
        </w:numPr>
        <w:tabs>
          <w:tab w:pos="1233" w:val="left" w:leader="none"/>
          <w:tab w:pos="1234" w:val="left" w:leader="none"/>
        </w:tabs>
        <w:spacing w:line="240" w:lineRule="auto" w:before="0" w:after="0"/>
        <w:ind w:left="1233" w:right="0" w:hanging="721"/>
        <w:jc w:val="left"/>
      </w:pPr>
      <w:r>
        <w:rPr>
          <w:color w:val="231F20"/>
          <w:w w:val="110"/>
        </w:rPr>
        <w:t>Options</w:t>
      </w:r>
    </w:p>
    <w:p>
      <w:pPr>
        <w:pStyle w:val="ListParagraph"/>
        <w:numPr>
          <w:ilvl w:val="1"/>
          <w:numId w:val="128"/>
        </w:numPr>
        <w:tabs>
          <w:tab w:pos="1233" w:val="left" w:leader="none"/>
          <w:tab w:pos="1234" w:val="left" w:leader="none"/>
        </w:tabs>
        <w:spacing w:line="273" w:lineRule="auto" w:before="259" w:after="0"/>
        <w:ind w:left="513" w:right="1853" w:firstLine="0"/>
        <w:jc w:val="left"/>
        <w:rPr>
          <w:sz w:val="18"/>
        </w:rPr>
      </w:pPr>
      <w:r>
        <w:rPr>
          <w:color w:val="231F20"/>
          <w:w w:val="110"/>
          <w:sz w:val="18"/>
        </w:rPr>
        <w:t>In considering the question – what happens when the moratorium expires at General Assembly 2007? Mission Council has recognised that there are several options. Those to which detailed consideration has been given include</w:t>
      </w:r>
      <w:r>
        <w:rPr>
          <w:color w:val="231F20"/>
          <w:spacing w:val="28"/>
          <w:w w:val="110"/>
          <w:sz w:val="18"/>
        </w:rPr>
        <w:t> </w:t>
      </w:r>
      <w:r>
        <w:rPr>
          <w:color w:val="231F20"/>
          <w:w w:val="110"/>
          <w:sz w:val="18"/>
        </w:rPr>
        <w:t>–</w:t>
      </w:r>
    </w:p>
    <w:p>
      <w:pPr>
        <w:pStyle w:val="BodyText"/>
        <w:spacing w:before="2"/>
      </w:pPr>
    </w:p>
    <w:p>
      <w:pPr>
        <w:pStyle w:val="ListParagraph"/>
        <w:numPr>
          <w:ilvl w:val="0"/>
          <w:numId w:val="129"/>
        </w:numPr>
        <w:tabs>
          <w:tab w:pos="1194" w:val="left" w:leader="none"/>
          <w:tab w:pos="1195" w:val="left" w:leader="none"/>
        </w:tabs>
        <w:spacing w:line="277" w:lineRule="exact" w:before="0" w:after="0"/>
        <w:ind w:left="1194" w:right="0" w:hanging="682"/>
        <w:jc w:val="left"/>
        <w:rPr>
          <w:i/>
          <w:sz w:val="18"/>
        </w:rPr>
      </w:pPr>
      <w:r>
        <w:rPr>
          <w:i/>
          <w:color w:val="231F20"/>
          <w:w w:val="110"/>
          <w:sz w:val="18"/>
        </w:rPr>
        <w:t>Extending the moratorium for a further</w:t>
      </w:r>
      <w:r>
        <w:rPr>
          <w:i/>
          <w:color w:val="231F20"/>
          <w:spacing w:val="-21"/>
          <w:w w:val="110"/>
          <w:sz w:val="18"/>
        </w:rPr>
        <w:t> </w:t>
      </w:r>
      <w:r>
        <w:rPr>
          <w:i/>
          <w:color w:val="231F20"/>
          <w:w w:val="110"/>
          <w:sz w:val="18"/>
        </w:rPr>
        <w:t>period.</w:t>
      </w:r>
    </w:p>
    <w:p>
      <w:pPr>
        <w:pStyle w:val="ListParagraph"/>
        <w:numPr>
          <w:ilvl w:val="0"/>
          <w:numId w:val="129"/>
        </w:numPr>
        <w:tabs>
          <w:tab w:pos="1194" w:val="left" w:leader="none"/>
          <w:tab w:pos="1195" w:val="left" w:leader="none"/>
        </w:tabs>
        <w:spacing w:line="250" w:lineRule="exact" w:before="0" w:after="0"/>
        <w:ind w:left="1194" w:right="0" w:hanging="682"/>
        <w:jc w:val="left"/>
        <w:rPr>
          <w:i/>
          <w:sz w:val="18"/>
        </w:rPr>
      </w:pPr>
      <w:r>
        <w:rPr>
          <w:i/>
          <w:color w:val="231F20"/>
          <w:w w:val="110"/>
          <w:sz w:val="18"/>
        </w:rPr>
        <w:t>Allowing the moratorium to end and doing nothing</w:t>
      </w:r>
      <w:r>
        <w:rPr>
          <w:i/>
          <w:color w:val="231F20"/>
          <w:spacing w:val="-32"/>
          <w:w w:val="110"/>
          <w:sz w:val="18"/>
        </w:rPr>
        <w:t> </w:t>
      </w:r>
      <w:r>
        <w:rPr>
          <w:i/>
          <w:color w:val="231F20"/>
          <w:w w:val="110"/>
          <w:sz w:val="18"/>
        </w:rPr>
        <w:t>further.</w:t>
      </w:r>
    </w:p>
    <w:p>
      <w:pPr>
        <w:pStyle w:val="ListParagraph"/>
        <w:numPr>
          <w:ilvl w:val="0"/>
          <w:numId w:val="129"/>
        </w:numPr>
        <w:tabs>
          <w:tab w:pos="1194" w:val="left" w:leader="none"/>
          <w:tab w:pos="1195" w:val="left" w:leader="none"/>
        </w:tabs>
        <w:spacing w:line="250" w:lineRule="exact" w:before="0" w:after="0"/>
        <w:ind w:left="1194" w:right="0" w:hanging="682"/>
        <w:jc w:val="left"/>
        <w:rPr>
          <w:i/>
          <w:sz w:val="18"/>
        </w:rPr>
      </w:pPr>
      <w:r>
        <w:rPr>
          <w:i/>
          <w:color w:val="231F20"/>
          <w:w w:val="110"/>
          <w:sz w:val="18"/>
        </w:rPr>
        <w:t>Making a fresh attempt to define the church's</w:t>
      </w:r>
      <w:r>
        <w:rPr>
          <w:i/>
          <w:color w:val="231F20"/>
          <w:spacing w:val="-28"/>
          <w:w w:val="110"/>
          <w:sz w:val="18"/>
        </w:rPr>
        <w:t> </w:t>
      </w:r>
      <w:r>
        <w:rPr>
          <w:i/>
          <w:color w:val="231F20"/>
          <w:spacing w:val="-3"/>
          <w:w w:val="110"/>
          <w:sz w:val="18"/>
        </w:rPr>
        <w:t>policy.</w:t>
      </w:r>
    </w:p>
    <w:p>
      <w:pPr>
        <w:pStyle w:val="ListParagraph"/>
        <w:numPr>
          <w:ilvl w:val="0"/>
          <w:numId w:val="129"/>
        </w:numPr>
        <w:tabs>
          <w:tab w:pos="1194" w:val="left" w:leader="none"/>
          <w:tab w:pos="1195" w:val="left" w:leader="none"/>
        </w:tabs>
        <w:spacing w:line="250" w:lineRule="exact" w:before="0" w:after="0"/>
        <w:ind w:left="1194" w:right="0" w:hanging="682"/>
        <w:jc w:val="left"/>
        <w:rPr>
          <w:i/>
          <w:sz w:val="18"/>
        </w:rPr>
      </w:pPr>
      <w:r>
        <w:rPr>
          <w:i/>
          <w:color w:val="231F20"/>
          <w:w w:val="110"/>
          <w:sz w:val="18"/>
        </w:rPr>
        <w:t>Making a “commitment” to stay together and work</w:t>
      </w:r>
      <w:r>
        <w:rPr>
          <w:i/>
          <w:color w:val="231F20"/>
          <w:spacing w:val="-27"/>
          <w:w w:val="110"/>
          <w:sz w:val="18"/>
        </w:rPr>
        <w:t> </w:t>
      </w:r>
      <w:r>
        <w:rPr>
          <w:i/>
          <w:color w:val="231F20"/>
          <w:spacing w:val="-3"/>
          <w:w w:val="110"/>
          <w:sz w:val="18"/>
        </w:rPr>
        <w:t>together.</w:t>
      </w:r>
    </w:p>
    <w:p>
      <w:pPr>
        <w:pStyle w:val="ListParagraph"/>
        <w:numPr>
          <w:ilvl w:val="0"/>
          <w:numId w:val="129"/>
        </w:numPr>
        <w:tabs>
          <w:tab w:pos="1194" w:val="left" w:leader="none"/>
          <w:tab w:pos="1195" w:val="left" w:leader="none"/>
        </w:tabs>
        <w:spacing w:line="277" w:lineRule="exact" w:before="0" w:after="0"/>
        <w:ind w:left="1194" w:right="0" w:hanging="682"/>
        <w:jc w:val="left"/>
        <w:rPr>
          <w:i/>
          <w:sz w:val="18"/>
        </w:rPr>
      </w:pPr>
      <w:r>
        <w:rPr>
          <w:i/>
          <w:color w:val="231F20"/>
          <w:w w:val="110"/>
          <w:sz w:val="18"/>
        </w:rPr>
        <w:t>Making</w:t>
      </w:r>
      <w:r>
        <w:rPr>
          <w:i/>
          <w:color w:val="231F20"/>
          <w:spacing w:val="-6"/>
          <w:w w:val="110"/>
          <w:sz w:val="18"/>
        </w:rPr>
        <w:t> </w:t>
      </w:r>
      <w:r>
        <w:rPr>
          <w:i/>
          <w:color w:val="231F20"/>
          <w:w w:val="110"/>
          <w:sz w:val="18"/>
        </w:rPr>
        <w:t>a</w:t>
      </w:r>
      <w:r>
        <w:rPr>
          <w:i/>
          <w:color w:val="231F20"/>
          <w:spacing w:val="-5"/>
          <w:w w:val="110"/>
          <w:sz w:val="18"/>
        </w:rPr>
        <w:t> </w:t>
      </w:r>
      <w:r>
        <w:rPr>
          <w:i/>
          <w:color w:val="231F20"/>
          <w:w w:val="110"/>
          <w:sz w:val="18"/>
        </w:rPr>
        <w:t>“commitment”</w:t>
      </w:r>
      <w:r>
        <w:rPr>
          <w:i/>
          <w:color w:val="231F20"/>
          <w:spacing w:val="-6"/>
          <w:w w:val="110"/>
          <w:sz w:val="18"/>
        </w:rPr>
        <w:t> </w:t>
      </w:r>
      <w:r>
        <w:rPr>
          <w:i/>
          <w:color w:val="231F20"/>
          <w:w w:val="110"/>
          <w:sz w:val="18"/>
        </w:rPr>
        <w:t>and</w:t>
      </w:r>
      <w:r>
        <w:rPr>
          <w:i/>
          <w:color w:val="231F20"/>
          <w:spacing w:val="-5"/>
          <w:w w:val="110"/>
          <w:sz w:val="18"/>
        </w:rPr>
        <w:t> </w:t>
      </w:r>
      <w:r>
        <w:rPr>
          <w:i/>
          <w:color w:val="231F20"/>
          <w:w w:val="110"/>
          <w:sz w:val="18"/>
        </w:rPr>
        <w:t>agreeing</w:t>
      </w:r>
      <w:r>
        <w:rPr>
          <w:i/>
          <w:color w:val="231F20"/>
          <w:spacing w:val="-6"/>
          <w:w w:val="110"/>
          <w:sz w:val="18"/>
        </w:rPr>
        <w:t> </w:t>
      </w:r>
      <w:r>
        <w:rPr>
          <w:i/>
          <w:color w:val="231F20"/>
          <w:w w:val="110"/>
          <w:sz w:val="18"/>
        </w:rPr>
        <w:t>to</w:t>
      </w:r>
      <w:r>
        <w:rPr>
          <w:i/>
          <w:color w:val="231F20"/>
          <w:spacing w:val="-5"/>
          <w:w w:val="110"/>
          <w:sz w:val="18"/>
        </w:rPr>
        <w:t> </w:t>
      </w:r>
      <w:r>
        <w:rPr>
          <w:i/>
          <w:color w:val="231F20"/>
          <w:w w:val="110"/>
          <w:sz w:val="18"/>
        </w:rPr>
        <w:t>continue</w:t>
      </w:r>
      <w:r>
        <w:rPr>
          <w:i/>
          <w:color w:val="231F20"/>
          <w:spacing w:val="-6"/>
          <w:w w:val="110"/>
          <w:sz w:val="18"/>
        </w:rPr>
        <w:t> </w:t>
      </w:r>
      <w:r>
        <w:rPr>
          <w:i/>
          <w:color w:val="231F20"/>
          <w:w w:val="110"/>
          <w:sz w:val="18"/>
        </w:rPr>
        <w:t>exploring</w:t>
      </w:r>
      <w:r>
        <w:rPr>
          <w:i/>
          <w:color w:val="231F20"/>
          <w:spacing w:val="-5"/>
          <w:w w:val="110"/>
          <w:sz w:val="18"/>
        </w:rPr>
        <w:t> </w:t>
      </w:r>
      <w:r>
        <w:rPr>
          <w:i/>
          <w:color w:val="231F20"/>
          <w:w w:val="110"/>
          <w:sz w:val="18"/>
        </w:rPr>
        <w:t>a</w:t>
      </w:r>
      <w:r>
        <w:rPr>
          <w:i/>
          <w:color w:val="231F20"/>
          <w:spacing w:val="-6"/>
          <w:w w:val="110"/>
          <w:sz w:val="18"/>
        </w:rPr>
        <w:t> </w:t>
      </w:r>
      <w:r>
        <w:rPr>
          <w:i/>
          <w:color w:val="231F20"/>
          <w:w w:val="110"/>
          <w:sz w:val="18"/>
        </w:rPr>
        <w:t>number</w:t>
      </w:r>
      <w:r>
        <w:rPr>
          <w:i/>
          <w:color w:val="231F20"/>
          <w:spacing w:val="-5"/>
          <w:w w:val="110"/>
          <w:sz w:val="18"/>
        </w:rPr>
        <w:t> </w:t>
      </w:r>
      <w:r>
        <w:rPr>
          <w:i/>
          <w:color w:val="231F20"/>
          <w:w w:val="110"/>
          <w:sz w:val="18"/>
        </w:rPr>
        <w:t>of</w:t>
      </w:r>
      <w:r>
        <w:rPr>
          <w:i/>
          <w:color w:val="231F20"/>
          <w:spacing w:val="-6"/>
          <w:w w:val="110"/>
          <w:sz w:val="18"/>
        </w:rPr>
        <w:t> </w:t>
      </w:r>
      <w:r>
        <w:rPr>
          <w:i/>
          <w:color w:val="231F20"/>
          <w:spacing w:val="-3"/>
          <w:w w:val="110"/>
          <w:sz w:val="18"/>
        </w:rPr>
        <w:t>key</w:t>
      </w:r>
      <w:r>
        <w:rPr>
          <w:i/>
          <w:color w:val="231F20"/>
          <w:spacing w:val="-5"/>
          <w:w w:val="110"/>
          <w:sz w:val="18"/>
        </w:rPr>
        <w:t> </w:t>
      </w:r>
      <w:r>
        <w:rPr>
          <w:i/>
          <w:color w:val="231F20"/>
          <w:w w:val="110"/>
          <w:sz w:val="18"/>
        </w:rPr>
        <w:t>issues.</w:t>
      </w:r>
    </w:p>
    <w:p>
      <w:pPr>
        <w:pStyle w:val="ListParagraph"/>
        <w:numPr>
          <w:ilvl w:val="1"/>
          <w:numId w:val="128"/>
        </w:numPr>
        <w:tabs>
          <w:tab w:pos="1233" w:val="left" w:leader="none"/>
          <w:tab w:pos="1234" w:val="left" w:leader="none"/>
        </w:tabs>
        <w:spacing w:line="273" w:lineRule="auto" w:before="227" w:after="0"/>
        <w:ind w:left="513" w:right="2078" w:firstLine="0"/>
        <w:jc w:val="left"/>
        <w:rPr>
          <w:sz w:val="18"/>
        </w:rPr>
      </w:pPr>
      <w:r>
        <w:rPr>
          <w:color w:val="231F20"/>
          <w:w w:val="110"/>
          <w:sz w:val="18"/>
        </w:rPr>
        <w:t>Each of these options has its </w:t>
      </w:r>
      <w:r>
        <w:rPr>
          <w:color w:val="231F20"/>
          <w:spacing w:val="2"/>
          <w:w w:val="110"/>
          <w:sz w:val="18"/>
        </w:rPr>
        <w:t>attractions </w:t>
      </w:r>
      <w:r>
        <w:rPr>
          <w:color w:val="231F20"/>
          <w:w w:val="110"/>
          <w:sz w:val="18"/>
        </w:rPr>
        <w:t>as well as problems. </w:t>
      </w:r>
      <w:r>
        <w:rPr>
          <w:color w:val="231F20"/>
          <w:spacing w:val="2"/>
          <w:w w:val="110"/>
          <w:sz w:val="18"/>
        </w:rPr>
        <w:t>There </w:t>
      </w:r>
      <w:r>
        <w:rPr>
          <w:color w:val="231F20"/>
          <w:w w:val="110"/>
          <w:sz w:val="18"/>
        </w:rPr>
        <w:t>is a widespread feeling that the moratorium has brought a welcome relief </w:t>
      </w:r>
      <w:r>
        <w:rPr>
          <w:color w:val="231F20"/>
          <w:spacing w:val="2"/>
          <w:w w:val="110"/>
          <w:sz w:val="18"/>
        </w:rPr>
        <w:t>from </w:t>
      </w:r>
      <w:r>
        <w:rPr>
          <w:color w:val="231F20"/>
          <w:w w:val="110"/>
          <w:sz w:val="18"/>
        </w:rPr>
        <w:t>open controversy.  On the other hand there is need to make a number of decisions, some  of which cannot be put </w:t>
      </w:r>
      <w:r>
        <w:rPr>
          <w:color w:val="231F20"/>
          <w:spacing w:val="3"/>
          <w:w w:val="110"/>
          <w:sz w:val="18"/>
        </w:rPr>
        <w:t>off </w:t>
      </w:r>
      <w:r>
        <w:rPr>
          <w:color w:val="231F20"/>
          <w:w w:val="110"/>
          <w:sz w:val="18"/>
        </w:rPr>
        <w:t>indefinitely. The first two options were not felt to be </w:t>
      </w:r>
      <w:r>
        <w:rPr>
          <w:color w:val="231F20"/>
          <w:spacing w:val="2"/>
          <w:w w:val="110"/>
          <w:sz w:val="18"/>
        </w:rPr>
        <w:t>satisfactory because </w:t>
      </w:r>
      <w:r>
        <w:rPr>
          <w:color w:val="231F20"/>
          <w:w w:val="110"/>
          <w:sz w:val="18"/>
        </w:rPr>
        <w:t>they would not move us forward. The third option would simply not be viable, given the recent experience of inconclusive discussions, and the sheer impossiblity so far of being able to </w:t>
      </w:r>
      <w:r>
        <w:rPr>
          <w:color w:val="231F20"/>
          <w:spacing w:val="2"/>
          <w:w w:val="110"/>
          <w:sz w:val="18"/>
        </w:rPr>
        <w:t>reach </w:t>
      </w:r>
      <w:r>
        <w:rPr>
          <w:color w:val="231F20"/>
          <w:w w:val="110"/>
          <w:sz w:val="18"/>
        </w:rPr>
        <w:t>a common mind on a declared</w:t>
      </w:r>
      <w:r>
        <w:rPr>
          <w:color w:val="231F20"/>
          <w:spacing w:val="5"/>
          <w:w w:val="110"/>
          <w:sz w:val="18"/>
        </w:rPr>
        <w:t> </w:t>
      </w:r>
      <w:r>
        <w:rPr>
          <w:color w:val="231F20"/>
          <w:w w:val="110"/>
          <w:sz w:val="18"/>
        </w:rPr>
        <w:t>policy.</w:t>
      </w:r>
    </w:p>
    <w:p>
      <w:pPr>
        <w:spacing w:after="0" w:line="273" w:lineRule="auto"/>
        <w:jc w:val="left"/>
        <w:rPr>
          <w:sz w:val="18"/>
        </w:rPr>
        <w:sectPr>
          <w:pgSz w:w="11910" w:h="16840"/>
          <w:pgMar w:header="558" w:footer="564" w:top="820" w:bottom="760" w:left="620" w:right="0"/>
        </w:sectPr>
      </w:pPr>
    </w:p>
    <w:p>
      <w:pPr>
        <w:pStyle w:val="BodyText"/>
        <w:spacing w:before="5"/>
      </w:pPr>
    </w:p>
    <w:p>
      <w:pPr>
        <w:pStyle w:val="ListParagraph"/>
        <w:numPr>
          <w:ilvl w:val="1"/>
          <w:numId w:val="128"/>
        </w:numPr>
        <w:tabs>
          <w:tab w:pos="1800" w:val="left" w:leader="none"/>
          <w:tab w:pos="1801" w:val="left" w:leader="none"/>
        </w:tabs>
        <w:spacing w:line="273" w:lineRule="auto" w:before="101" w:after="0"/>
        <w:ind w:left="1080" w:right="1643" w:firstLine="0"/>
        <w:jc w:val="left"/>
        <w:rPr>
          <w:sz w:val="18"/>
        </w:rPr>
      </w:pPr>
      <w:r>
        <w:rPr>
          <w:color w:val="231F20"/>
          <w:w w:val="110"/>
          <w:sz w:val="18"/>
        </w:rPr>
        <w:t>Also, at this point in our history, we want to give full value to the Catch the Vision </w:t>
      </w:r>
      <w:r>
        <w:rPr>
          <w:color w:val="231F20"/>
          <w:spacing w:val="2"/>
          <w:w w:val="110"/>
          <w:sz w:val="18"/>
        </w:rPr>
        <w:t>process. </w:t>
      </w:r>
      <w:r>
        <w:rPr>
          <w:color w:val="231F20"/>
          <w:w w:val="110"/>
          <w:sz w:val="18"/>
        </w:rPr>
        <w:t>A </w:t>
      </w:r>
      <w:r>
        <w:rPr>
          <w:color w:val="231F20"/>
          <w:spacing w:val="2"/>
          <w:w w:val="110"/>
          <w:sz w:val="18"/>
        </w:rPr>
        <w:t>fresh </w:t>
      </w:r>
      <w:r>
        <w:rPr>
          <w:color w:val="231F20"/>
          <w:w w:val="110"/>
          <w:sz w:val="18"/>
        </w:rPr>
        <w:t>debate on issues of sexuality could all too easily become a major distraction </w:t>
      </w:r>
      <w:r>
        <w:rPr>
          <w:color w:val="231F20"/>
          <w:spacing w:val="2"/>
          <w:w w:val="110"/>
          <w:sz w:val="18"/>
        </w:rPr>
        <w:t>from </w:t>
      </w:r>
      <w:r>
        <w:rPr>
          <w:color w:val="231F20"/>
          <w:w w:val="110"/>
          <w:sz w:val="18"/>
        </w:rPr>
        <w:t>that creative piece of work. </w:t>
      </w:r>
      <w:r>
        <w:rPr>
          <w:color w:val="231F20"/>
          <w:spacing w:val="-3"/>
          <w:w w:val="110"/>
          <w:sz w:val="18"/>
        </w:rPr>
        <w:t>We </w:t>
      </w:r>
      <w:r>
        <w:rPr>
          <w:color w:val="231F20"/>
          <w:w w:val="110"/>
          <w:sz w:val="18"/>
        </w:rPr>
        <w:t>note that work has recently been commissioned on key areas of our life such as our use of the Bible, prayer and evangelism. It would be good to give more time for that work to bear fruit and to developing </w:t>
      </w:r>
      <w:r>
        <w:rPr>
          <w:color w:val="231F20"/>
          <w:spacing w:val="2"/>
          <w:w w:val="110"/>
          <w:sz w:val="18"/>
        </w:rPr>
        <w:t>patterns </w:t>
      </w:r>
      <w:r>
        <w:rPr>
          <w:color w:val="231F20"/>
          <w:w w:val="110"/>
          <w:sz w:val="18"/>
        </w:rPr>
        <w:t>of common thinking and action without being diverted by less essential</w:t>
      </w:r>
      <w:r>
        <w:rPr>
          <w:color w:val="231F20"/>
          <w:spacing w:val="1"/>
          <w:w w:val="110"/>
          <w:sz w:val="18"/>
        </w:rPr>
        <w:t> </w:t>
      </w:r>
      <w:r>
        <w:rPr>
          <w:color w:val="231F20"/>
          <w:w w:val="110"/>
          <w:sz w:val="18"/>
        </w:rPr>
        <w:t>issues.</w:t>
      </w:r>
    </w:p>
    <w:p>
      <w:pPr>
        <w:pStyle w:val="BodyText"/>
        <w:spacing w:before="11"/>
        <w:rPr>
          <w:sz w:val="20"/>
        </w:rPr>
      </w:pPr>
    </w:p>
    <w:p>
      <w:pPr>
        <w:pStyle w:val="ListParagraph"/>
        <w:numPr>
          <w:ilvl w:val="1"/>
          <w:numId w:val="128"/>
        </w:numPr>
        <w:tabs>
          <w:tab w:pos="1801" w:val="left" w:leader="none"/>
        </w:tabs>
        <w:spacing w:line="273" w:lineRule="auto" w:before="0" w:after="0"/>
        <w:ind w:left="1080" w:right="1266" w:firstLine="0"/>
        <w:jc w:val="both"/>
        <w:rPr>
          <w:sz w:val="18"/>
        </w:rPr>
      </w:pPr>
      <w:r>
        <w:rPr>
          <w:color w:val="231F20"/>
          <w:w w:val="110"/>
          <w:sz w:val="18"/>
        </w:rPr>
        <w:t>Bearing all these </w:t>
      </w:r>
      <w:r>
        <w:rPr>
          <w:color w:val="231F20"/>
          <w:spacing w:val="2"/>
          <w:w w:val="110"/>
          <w:sz w:val="18"/>
        </w:rPr>
        <w:t>factors </w:t>
      </w:r>
      <w:r>
        <w:rPr>
          <w:color w:val="231F20"/>
          <w:w w:val="110"/>
          <w:sz w:val="18"/>
        </w:rPr>
        <w:t>in mind, therefore, Mission Council </w:t>
      </w:r>
      <w:r>
        <w:rPr>
          <w:color w:val="231F20"/>
          <w:spacing w:val="2"/>
          <w:w w:val="110"/>
          <w:sz w:val="18"/>
        </w:rPr>
        <w:t>proposes </w:t>
      </w:r>
      <w:r>
        <w:rPr>
          <w:color w:val="231F20"/>
          <w:w w:val="110"/>
          <w:sz w:val="18"/>
        </w:rPr>
        <w:t>to develop the last of the options above by</w:t>
      </w:r>
      <w:r>
        <w:rPr>
          <w:color w:val="231F20"/>
          <w:spacing w:val="8"/>
          <w:w w:val="110"/>
          <w:sz w:val="18"/>
        </w:rPr>
        <w:t> </w:t>
      </w:r>
      <w:r>
        <w:rPr>
          <w:color w:val="231F20"/>
          <w:w w:val="110"/>
          <w:sz w:val="18"/>
        </w:rPr>
        <w:t>–</w:t>
      </w:r>
    </w:p>
    <w:p>
      <w:pPr>
        <w:numPr>
          <w:ilvl w:val="0"/>
          <w:numId w:val="130"/>
        </w:numPr>
        <w:tabs>
          <w:tab w:pos="1762" w:val="left" w:leader="none"/>
        </w:tabs>
        <w:spacing w:line="273" w:lineRule="auto" w:before="1"/>
        <w:ind w:left="1761" w:right="1307" w:hanging="681"/>
        <w:jc w:val="both"/>
        <w:rPr>
          <w:b/>
          <w:sz w:val="18"/>
        </w:rPr>
      </w:pPr>
      <w:r>
        <w:rPr>
          <w:b/>
          <w:color w:val="231F20"/>
          <w:w w:val="110"/>
          <w:sz w:val="18"/>
        </w:rPr>
        <w:t>inviting </w:t>
      </w:r>
      <w:r>
        <w:rPr>
          <w:b/>
          <w:color w:val="231F20"/>
          <w:spacing w:val="2"/>
          <w:w w:val="110"/>
          <w:sz w:val="18"/>
        </w:rPr>
        <w:t>Assembly </w:t>
      </w:r>
      <w:r>
        <w:rPr>
          <w:b/>
          <w:color w:val="231F20"/>
          <w:w w:val="110"/>
          <w:sz w:val="18"/>
        </w:rPr>
        <w:t>to endorse the Commitment set out below (sections 6 and </w:t>
      </w:r>
      <w:r>
        <w:rPr>
          <w:b/>
          <w:color w:val="231F20"/>
          <w:spacing w:val="-3"/>
          <w:w w:val="110"/>
          <w:sz w:val="18"/>
        </w:rPr>
        <w:t>7),</w:t>
      </w:r>
      <w:r>
        <w:rPr>
          <w:b/>
          <w:color w:val="231F20"/>
          <w:w w:val="110"/>
          <w:sz w:val="18"/>
        </w:rPr>
        <w:t> and</w:t>
      </w:r>
    </w:p>
    <w:p>
      <w:pPr>
        <w:pStyle w:val="ListParagraph"/>
        <w:numPr>
          <w:ilvl w:val="0"/>
          <w:numId w:val="130"/>
        </w:numPr>
        <w:tabs>
          <w:tab w:pos="1762" w:val="left" w:leader="none"/>
        </w:tabs>
        <w:spacing w:line="273" w:lineRule="auto" w:before="1" w:after="0"/>
        <w:ind w:left="1761" w:right="1587" w:hanging="681"/>
        <w:jc w:val="both"/>
        <w:rPr>
          <w:b/>
          <w:sz w:val="18"/>
        </w:rPr>
      </w:pPr>
      <w:r>
        <w:rPr>
          <w:b/>
          <w:color w:val="231F20"/>
          <w:w w:val="110"/>
          <w:sz w:val="18"/>
        </w:rPr>
        <w:t>outlining a </w:t>
      </w:r>
      <w:r>
        <w:rPr>
          <w:b/>
          <w:color w:val="231F20"/>
          <w:spacing w:val="2"/>
          <w:w w:val="110"/>
          <w:sz w:val="18"/>
        </w:rPr>
        <w:t>process </w:t>
      </w:r>
      <w:r>
        <w:rPr>
          <w:b/>
          <w:color w:val="231F20"/>
          <w:w w:val="110"/>
          <w:sz w:val="18"/>
        </w:rPr>
        <w:t>by which </w:t>
      </w:r>
      <w:r>
        <w:rPr>
          <w:b/>
          <w:color w:val="231F20"/>
          <w:spacing w:val="2"/>
          <w:w w:val="110"/>
          <w:sz w:val="18"/>
        </w:rPr>
        <w:t>further </w:t>
      </w:r>
      <w:r>
        <w:rPr>
          <w:b/>
          <w:color w:val="231F20"/>
          <w:w w:val="110"/>
          <w:sz w:val="18"/>
        </w:rPr>
        <w:t>discussions can take place in the light of work already done (the 1999 report) and the </w:t>
      </w:r>
      <w:r>
        <w:rPr>
          <w:b/>
          <w:color w:val="231F20"/>
          <w:spacing w:val="2"/>
          <w:w w:val="110"/>
          <w:sz w:val="18"/>
        </w:rPr>
        <w:t>Catch </w:t>
      </w:r>
      <w:r>
        <w:rPr>
          <w:b/>
          <w:color w:val="231F20"/>
          <w:w w:val="110"/>
          <w:sz w:val="18"/>
        </w:rPr>
        <w:t>the Vision </w:t>
      </w:r>
      <w:r>
        <w:rPr>
          <w:b/>
          <w:color w:val="231F20"/>
          <w:spacing w:val="2"/>
          <w:w w:val="110"/>
          <w:sz w:val="18"/>
        </w:rPr>
        <w:t>process </w:t>
      </w:r>
      <w:r>
        <w:rPr>
          <w:b/>
          <w:color w:val="231F20"/>
          <w:w w:val="110"/>
          <w:sz w:val="18"/>
        </w:rPr>
        <w:t>(sections 8 and</w:t>
      </w:r>
      <w:r>
        <w:rPr>
          <w:b/>
          <w:color w:val="231F20"/>
          <w:spacing w:val="-1"/>
          <w:w w:val="110"/>
          <w:sz w:val="18"/>
        </w:rPr>
        <w:t> </w:t>
      </w:r>
      <w:r>
        <w:rPr>
          <w:b/>
          <w:color w:val="231F20"/>
          <w:spacing w:val="-6"/>
          <w:w w:val="110"/>
          <w:sz w:val="18"/>
        </w:rPr>
        <w:t>9).</w:t>
      </w:r>
    </w:p>
    <w:p>
      <w:pPr>
        <w:pStyle w:val="BodyText"/>
        <w:spacing w:before="9"/>
        <w:rPr>
          <w:b/>
          <w:sz w:val="20"/>
        </w:rPr>
      </w:pPr>
    </w:p>
    <w:p>
      <w:pPr>
        <w:pStyle w:val="ListParagraph"/>
        <w:numPr>
          <w:ilvl w:val="1"/>
          <w:numId w:val="128"/>
        </w:numPr>
        <w:tabs>
          <w:tab w:pos="1800" w:val="left" w:leader="none"/>
          <w:tab w:pos="1801" w:val="left" w:leader="none"/>
        </w:tabs>
        <w:spacing w:line="273" w:lineRule="auto" w:before="0" w:after="0"/>
        <w:ind w:left="1080" w:right="1250" w:firstLine="0"/>
        <w:jc w:val="left"/>
        <w:rPr>
          <w:sz w:val="18"/>
        </w:rPr>
      </w:pPr>
      <w:r>
        <w:rPr>
          <w:color w:val="231F20"/>
          <w:w w:val="110"/>
          <w:sz w:val="18"/>
        </w:rPr>
        <w:t>The first of these would provide an occasion for the open recognition of diversity and the need for an atmosphere of </w:t>
      </w:r>
      <w:r>
        <w:rPr>
          <w:color w:val="231F20"/>
          <w:spacing w:val="2"/>
          <w:w w:val="110"/>
          <w:sz w:val="18"/>
        </w:rPr>
        <w:t>respect; </w:t>
      </w:r>
      <w:r>
        <w:rPr>
          <w:color w:val="231F20"/>
          <w:w w:val="110"/>
          <w:sz w:val="18"/>
        </w:rPr>
        <w:t>it would emphasise the significance of    unity with diversity, and encourage a continuing journey together.  It would </w:t>
      </w:r>
      <w:r>
        <w:rPr>
          <w:color w:val="231F20"/>
          <w:spacing w:val="2"/>
          <w:w w:val="110"/>
          <w:sz w:val="18"/>
        </w:rPr>
        <w:t>represent </w:t>
      </w:r>
      <w:r>
        <w:rPr>
          <w:color w:val="231F20"/>
          <w:spacing w:val="73"/>
          <w:w w:val="110"/>
          <w:sz w:val="18"/>
        </w:rPr>
        <w:t> </w:t>
      </w:r>
      <w:r>
        <w:rPr>
          <w:color w:val="231F20"/>
          <w:w w:val="110"/>
          <w:sz w:val="18"/>
        </w:rPr>
        <w:t>a healthy and </w:t>
      </w:r>
      <w:r>
        <w:rPr>
          <w:color w:val="231F20"/>
          <w:spacing w:val="2"/>
          <w:w w:val="110"/>
          <w:sz w:val="18"/>
        </w:rPr>
        <w:t>necessary </w:t>
      </w:r>
      <w:r>
        <w:rPr>
          <w:color w:val="231F20"/>
          <w:w w:val="110"/>
          <w:sz w:val="18"/>
        </w:rPr>
        <w:t>living with tension and </w:t>
      </w:r>
      <w:r>
        <w:rPr>
          <w:color w:val="231F20"/>
          <w:spacing w:val="2"/>
          <w:w w:val="110"/>
          <w:sz w:val="18"/>
        </w:rPr>
        <w:t>difference </w:t>
      </w:r>
      <w:r>
        <w:rPr>
          <w:color w:val="231F20"/>
          <w:w w:val="110"/>
          <w:sz w:val="18"/>
        </w:rPr>
        <w:t>and provide the context for the </w:t>
      </w:r>
      <w:r>
        <w:rPr>
          <w:color w:val="231F20"/>
          <w:spacing w:val="2"/>
          <w:w w:val="110"/>
          <w:sz w:val="18"/>
        </w:rPr>
        <w:t>next </w:t>
      </w:r>
      <w:r>
        <w:rPr>
          <w:color w:val="231F20"/>
          <w:w w:val="110"/>
          <w:sz w:val="18"/>
        </w:rPr>
        <w:t>stage of</w:t>
      </w:r>
      <w:r>
        <w:rPr>
          <w:color w:val="231F20"/>
          <w:spacing w:val="3"/>
          <w:w w:val="110"/>
          <w:sz w:val="18"/>
        </w:rPr>
        <w:t> </w:t>
      </w:r>
      <w:r>
        <w:rPr>
          <w:color w:val="231F20"/>
          <w:w w:val="110"/>
          <w:sz w:val="18"/>
        </w:rPr>
        <w:t>discussions.</w:t>
      </w:r>
    </w:p>
    <w:p>
      <w:pPr>
        <w:pStyle w:val="BodyText"/>
        <w:spacing w:before="10"/>
        <w:rPr>
          <w:sz w:val="20"/>
        </w:rPr>
      </w:pPr>
    </w:p>
    <w:p>
      <w:pPr>
        <w:pStyle w:val="ListParagraph"/>
        <w:numPr>
          <w:ilvl w:val="1"/>
          <w:numId w:val="128"/>
        </w:numPr>
        <w:tabs>
          <w:tab w:pos="1800" w:val="left" w:leader="none"/>
          <w:tab w:pos="1801" w:val="left" w:leader="none"/>
        </w:tabs>
        <w:spacing w:line="273" w:lineRule="auto" w:before="0" w:after="0"/>
        <w:ind w:left="1080" w:right="1428" w:hanging="1"/>
        <w:jc w:val="left"/>
        <w:rPr>
          <w:sz w:val="18"/>
        </w:rPr>
      </w:pPr>
      <w:r>
        <w:rPr>
          <w:color w:val="231F20"/>
          <w:w w:val="110"/>
          <w:sz w:val="18"/>
        </w:rPr>
        <w:t>The second would allow for the outworking of the Catch the Vision </w:t>
      </w:r>
      <w:r>
        <w:rPr>
          <w:color w:val="231F20"/>
          <w:spacing w:val="2"/>
          <w:w w:val="110"/>
          <w:sz w:val="18"/>
        </w:rPr>
        <w:t>process </w:t>
      </w:r>
      <w:r>
        <w:rPr>
          <w:color w:val="231F20"/>
          <w:w w:val="110"/>
          <w:sz w:val="18"/>
        </w:rPr>
        <w:t>and also provide appropriate means for </w:t>
      </w:r>
      <w:r>
        <w:rPr>
          <w:color w:val="231F20"/>
          <w:spacing w:val="2"/>
          <w:w w:val="110"/>
          <w:sz w:val="18"/>
        </w:rPr>
        <w:t>further</w:t>
      </w:r>
      <w:r>
        <w:rPr>
          <w:color w:val="231F20"/>
          <w:spacing w:val="16"/>
          <w:w w:val="110"/>
          <w:sz w:val="18"/>
        </w:rPr>
        <w:t> </w:t>
      </w:r>
      <w:r>
        <w:rPr>
          <w:color w:val="231F20"/>
          <w:w w:val="110"/>
          <w:sz w:val="18"/>
        </w:rPr>
        <w:t>discussions.</w:t>
      </w:r>
    </w:p>
    <w:p>
      <w:pPr>
        <w:pStyle w:val="BodyText"/>
        <w:spacing w:before="8"/>
        <w:rPr>
          <w:sz w:val="20"/>
        </w:rPr>
      </w:pPr>
    </w:p>
    <w:p>
      <w:pPr>
        <w:pStyle w:val="ListParagraph"/>
        <w:numPr>
          <w:ilvl w:val="1"/>
          <w:numId w:val="128"/>
        </w:numPr>
        <w:tabs>
          <w:tab w:pos="1800" w:val="left" w:leader="none"/>
          <w:tab w:pos="1801" w:val="left" w:leader="none"/>
        </w:tabs>
        <w:spacing w:line="273" w:lineRule="auto" w:before="0" w:after="0"/>
        <w:ind w:left="1080" w:right="1204" w:firstLine="0"/>
        <w:jc w:val="left"/>
        <w:rPr>
          <w:sz w:val="18"/>
        </w:rPr>
      </w:pPr>
      <w:r>
        <w:rPr>
          <w:color w:val="231F20"/>
          <w:w w:val="110"/>
          <w:sz w:val="18"/>
        </w:rPr>
        <w:t>It needs to be recognised that the endorsement of a Commitment of this nature will not be easy for everyone. In particular it does not define an end point at which decisions will need to be reached. </w:t>
      </w:r>
      <w:r>
        <w:rPr>
          <w:color w:val="231F20"/>
          <w:spacing w:val="-3"/>
          <w:w w:val="110"/>
          <w:sz w:val="18"/>
        </w:rPr>
        <w:t>However, </w:t>
      </w:r>
      <w:r>
        <w:rPr>
          <w:color w:val="231F20"/>
          <w:w w:val="110"/>
          <w:sz w:val="18"/>
        </w:rPr>
        <w:t>it is </w:t>
      </w:r>
      <w:r>
        <w:rPr>
          <w:color w:val="231F20"/>
          <w:spacing w:val="3"/>
          <w:w w:val="110"/>
          <w:sz w:val="18"/>
        </w:rPr>
        <w:t>offered </w:t>
      </w:r>
      <w:r>
        <w:rPr>
          <w:color w:val="231F20"/>
          <w:w w:val="110"/>
          <w:sz w:val="18"/>
        </w:rPr>
        <w:t>as a means of holding us together meanwhile, so that we can face these difficult issues with mutual </w:t>
      </w:r>
      <w:r>
        <w:rPr>
          <w:color w:val="231F20"/>
          <w:spacing w:val="3"/>
          <w:w w:val="110"/>
          <w:sz w:val="18"/>
        </w:rPr>
        <w:t>respect </w:t>
      </w:r>
      <w:r>
        <w:rPr>
          <w:color w:val="231F20"/>
          <w:w w:val="110"/>
          <w:sz w:val="18"/>
        </w:rPr>
        <w:t>and perhaps come to some measure of understanding. It does not presume any particular outcome.  On a journey of this nature none of us knows exactly what the destination  may be or what new discoveries we may make along the </w:t>
      </w:r>
      <w:r>
        <w:rPr>
          <w:color w:val="231F20"/>
          <w:spacing w:val="-5"/>
          <w:w w:val="110"/>
          <w:sz w:val="18"/>
        </w:rPr>
        <w:t>way. </w:t>
      </w:r>
      <w:r>
        <w:rPr>
          <w:color w:val="231F20"/>
          <w:w w:val="110"/>
          <w:sz w:val="18"/>
        </w:rPr>
        <w:t>None of us should </w:t>
      </w:r>
      <w:r>
        <w:rPr>
          <w:color w:val="231F20"/>
          <w:spacing w:val="2"/>
          <w:w w:val="110"/>
          <w:sz w:val="18"/>
        </w:rPr>
        <w:t>expect </w:t>
      </w:r>
      <w:r>
        <w:rPr>
          <w:color w:val="231F20"/>
          <w:w w:val="110"/>
          <w:sz w:val="18"/>
        </w:rPr>
        <w:t>to take the church in our own direction, only that we seek together to find our Lord’s direction for his</w:t>
      </w:r>
      <w:r>
        <w:rPr>
          <w:color w:val="231F20"/>
          <w:spacing w:val="3"/>
          <w:w w:val="110"/>
          <w:sz w:val="18"/>
        </w:rPr>
        <w:t> </w:t>
      </w:r>
      <w:r>
        <w:rPr>
          <w:color w:val="231F20"/>
          <w:w w:val="110"/>
          <w:sz w:val="18"/>
        </w:rPr>
        <w:t>church.</w:t>
      </w:r>
    </w:p>
    <w:p>
      <w:pPr>
        <w:pStyle w:val="BodyText"/>
        <w:rPr>
          <w:sz w:val="21"/>
        </w:rPr>
      </w:pPr>
    </w:p>
    <w:p>
      <w:pPr>
        <w:pStyle w:val="ListParagraph"/>
        <w:numPr>
          <w:ilvl w:val="1"/>
          <w:numId w:val="128"/>
        </w:numPr>
        <w:tabs>
          <w:tab w:pos="1800" w:val="left" w:leader="none"/>
          <w:tab w:pos="1801" w:val="left" w:leader="none"/>
        </w:tabs>
        <w:spacing w:line="273" w:lineRule="auto" w:before="1" w:after="0"/>
        <w:ind w:left="1080" w:right="1146" w:firstLine="0"/>
        <w:jc w:val="left"/>
        <w:rPr>
          <w:sz w:val="18"/>
        </w:rPr>
      </w:pPr>
      <w:r>
        <w:rPr/>
        <w:pict>
          <v:shape style="position:absolute;margin-left:56.692993pt;margin-top:105.607224pt;width:481.9pt;height:.1pt;mso-position-horizontal-relative:page;mso-position-vertical-relative:paragraph;z-index:-251327488;mso-wrap-distance-left:0;mso-wrap-distance-right:0" coordorigin="1134,2112" coordsize="9638,0" path="m1134,2112l10772,2112e" filled="false" stroked="true" strokeweight=".5pt" strokecolor="#231f20">
            <v:path arrowok="t"/>
            <v:stroke dashstyle="solid"/>
            <w10:wrap type="topAndBottom"/>
          </v:shape>
        </w:pict>
      </w:r>
      <w:r>
        <w:rPr>
          <w:color w:val="231F20"/>
          <w:w w:val="110"/>
          <w:sz w:val="18"/>
        </w:rPr>
        <w:t>Perhaps the challenge in front of us can be put in the following terms. All of us read the same </w:t>
      </w:r>
      <w:r>
        <w:rPr>
          <w:color w:val="231F20"/>
          <w:spacing w:val="3"/>
          <w:w w:val="110"/>
          <w:sz w:val="18"/>
        </w:rPr>
        <w:t>story </w:t>
      </w:r>
      <w:r>
        <w:rPr>
          <w:color w:val="231F20"/>
          <w:w w:val="110"/>
          <w:sz w:val="18"/>
        </w:rPr>
        <w:t>in the Bible, we belong to the same heritage of faith. How is it then that some can come to mutually exclusive understandings of what is most honouring to God in relation to one key </w:t>
      </w:r>
      <w:r>
        <w:rPr>
          <w:color w:val="231F20"/>
          <w:spacing w:val="2"/>
          <w:w w:val="110"/>
          <w:sz w:val="18"/>
        </w:rPr>
        <w:t>aspect </w:t>
      </w:r>
      <w:r>
        <w:rPr>
          <w:color w:val="231F20"/>
          <w:w w:val="110"/>
          <w:sz w:val="18"/>
        </w:rPr>
        <w:t>of human living? </w:t>
      </w:r>
      <w:r>
        <w:rPr>
          <w:color w:val="231F20"/>
          <w:spacing w:val="-3"/>
          <w:w w:val="110"/>
          <w:sz w:val="18"/>
        </w:rPr>
        <w:t>We </w:t>
      </w:r>
      <w:r>
        <w:rPr>
          <w:color w:val="231F20"/>
          <w:w w:val="110"/>
          <w:sz w:val="18"/>
        </w:rPr>
        <w:t>need to listen to one another to discover how that has happened and to understand the nature of that </w:t>
      </w:r>
      <w:r>
        <w:rPr>
          <w:color w:val="231F20"/>
          <w:spacing w:val="2"/>
          <w:w w:val="110"/>
          <w:sz w:val="18"/>
        </w:rPr>
        <w:t>difference before </w:t>
      </w:r>
      <w:r>
        <w:rPr>
          <w:color w:val="231F20"/>
          <w:w w:val="110"/>
          <w:sz w:val="18"/>
        </w:rPr>
        <w:t>deciding what to do or how to live with it. </w:t>
      </w:r>
      <w:r>
        <w:rPr>
          <w:color w:val="231F20"/>
          <w:spacing w:val="-3"/>
          <w:w w:val="110"/>
          <w:sz w:val="18"/>
        </w:rPr>
        <w:t>We </w:t>
      </w:r>
      <w:r>
        <w:rPr>
          <w:color w:val="231F20"/>
          <w:w w:val="110"/>
          <w:sz w:val="18"/>
        </w:rPr>
        <w:t>may find more agreement than we had expected. </w:t>
      </w:r>
      <w:r>
        <w:rPr>
          <w:color w:val="231F20"/>
          <w:spacing w:val="-3"/>
          <w:w w:val="110"/>
          <w:sz w:val="18"/>
        </w:rPr>
        <w:t>We </w:t>
      </w:r>
      <w:r>
        <w:rPr>
          <w:color w:val="231F20"/>
          <w:w w:val="110"/>
          <w:sz w:val="18"/>
        </w:rPr>
        <w:t>may find some of those </w:t>
      </w:r>
      <w:r>
        <w:rPr>
          <w:color w:val="231F20"/>
          <w:spacing w:val="2"/>
          <w:w w:val="110"/>
          <w:sz w:val="18"/>
        </w:rPr>
        <w:t>differences </w:t>
      </w:r>
      <w:r>
        <w:rPr>
          <w:color w:val="231F20"/>
          <w:w w:val="110"/>
          <w:sz w:val="18"/>
        </w:rPr>
        <w:t>are insoluble. </w:t>
      </w:r>
      <w:r>
        <w:rPr>
          <w:color w:val="231F20"/>
          <w:spacing w:val="-3"/>
          <w:w w:val="110"/>
          <w:sz w:val="18"/>
        </w:rPr>
        <w:t>We </w:t>
      </w:r>
      <w:r>
        <w:rPr>
          <w:color w:val="231F20"/>
          <w:w w:val="110"/>
          <w:sz w:val="18"/>
        </w:rPr>
        <w:t>may find ways of living with that</w:t>
      </w:r>
      <w:r>
        <w:rPr>
          <w:color w:val="231F20"/>
          <w:spacing w:val="2"/>
          <w:w w:val="110"/>
          <w:sz w:val="18"/>
        </w:rPr>
        <w:t> </w:t>
      </w:r>
      <w:r>
        <w:rPr>
          <w:color w:val="231F20"/>
          <w:w w:val="110"/>
          <w:sz w:val="18"/>
        </w:rPr>
        <w:t>tension.</w:t>
      </w:r>
    </w:p>
    <w:p>
      <w:pPr>
        <w:pStyle w:val="BodyText"/>
        <w:spacing w:before="1"/>
        <w:rPr>
          <w:sz w:val="29"/>
        </w:rPr>
      </w:pPr>
    </w:p>
    <w:p>
      <w:pPr>
        <w:pStyle w:val="Heading9"/>
        <w:numPr>
          <w:ilvl w:val="0"/>
          <w:numId w:val="128"/>
        </w:numPr>
        <w:tabs>
          <w:tab w:pos="1801" w:val="left" w:leader="none"/>
        </w:tabs>
        <w:spacing w:line="240" w:lineRule="auto" w:before="0" w:after="0"/>
        <w:ind w:left="1800" w:right="0" w:hanging="721"/>
        <w:jc w:val="both"/>
      </w:pPr>
      <w:r>
        <w:rPr>
          <w:color w:val="231F20"/>
          <w:w w:val="110"/>
        </w:rPr>
        <w:t>The</w:t>
      </w:r>
      <w:r>
        <w:rPr>
          <w:color w:val="231F20"/>
          <w:spacing w:val="-1"/>
          <w:w w:val="110"/>
        </w:rPr>
        <w:t> </w:t>
      </w:r>
      <w:r>
        <w:rPr>
          <w:color w:val="231F20"/>
          <w:w w:val="110"/>
        </w:rPr>
        <w:t>Commitment</w:t>
      </w:r>
    </w:p>
    <w:p>
      <w:pPr>
        <w:pStyle w:val="ListParagraph"/>
        <w:numPr>
          <w:ilvl w:val="1"/>
          <w:numId w:val="128"/>
        </w:numPr>
        <w:tabs>
          <w:tab w:pos="1800" w:val="left" w:leader="none"/>
          <w:tab w:pos="1801" w:val="left" w:leader="none"/>
        </w:tabs>
        <w:spacing w:line="273" w:lineRule="auto" w:before="258" w:after="0"/>
        <w:ind w:left="1080" w:right="1252" w:firstLine="0"/>
        <w:jc w:val="left"/>
        <w:rPr>
          <w:sz w:val="18"/>
        </w:rPr>
      </w:pPr>
      <w:r>
        <w:rPr>
          <w:color w:val="231F20"/>
          <w:w w:val="110"/>
          <w:sz w:val="18"/>
        </w:rPr>
        <w:t>This Commitment aims to create a framework for conducting our church life and future discussions together.   It is suggested that General Assembly should make such   a commitment and encourage synods and local churches to recognise it as the basis for their consideration of these</w:t>
      </w:r>
      <w:r>
        <w:rPr>
          <w:color w:val="231F20"/>
          <w:spacing w:val="5"/>
          <w:w w:val="110"/>
          <w:sz w:val="18"/>
        </w:rPr>
        <w:t> </w:t>
      </w:r>
      <w:r>
        <w:rPr>
          <w:color w:val="231F20"/>
          <w:w w:val="110"/>
          <w:sz w:val="18"/>
        </w:rPr>
        <w:t>issues.</w:t>
      </w:r>
    </w:p>
    <w:p>
      <w:pPr>
        <w:pStyle w:val="BodyText"/>
        <w:spacing w:before="10"/>
        <w:rPr>
          <w:sz w:val="20"/>
        </w:rPr>
      </w:pPr>
    </w:p>
    <w:p>
      <w:pPr>
        <w:pStyle w:val="ListParagraph"/>
        <w:numPr>
          <w:ilvl w:val="1"/>
          <w:numId w:val="128"/>
        </w:numPr>
        <w:tabs>
          <w:tab w:pos="1800" w:val="left" w:leader="none"/>
          <w:tab w:pos="1801" w:val="left" w:leader="none"/>
        </w:tabs>
        <w:spacing w:line="240" w:lineRule="auto" w:before="0" w:after="0"/>
        <w:ind w:left="1800" w:right="0" w:hanging="721"/>
        <w:jc w:val="left"/>
        <w:rPr>
          <w:sz w:val="18"/>
        </w:rPr>
      </w:pPr>
      <w:r>
        <w:rPr>
          <w:color w:val="231F20"/>
          <w:w w:val="110"/>
          <w:sz w:val="18"/>
        </w:rPr>
        <w:t>In this way we hope</w:t>
      </w:r>
      <w:r>
        <w:rPr>
          <w:color w:val="231F20"/>
          <w:spacing w:val="4"/>
          <w:w w:val="110"/>
          <w:sz w:val="18"/>
        </w:rPr>
        <w:t> </w:t>
      </w:r>
      <w:r>
        <w:rPr>
          <w:color w:val="231F20"/>
          <w:spacing w:val="-3"/>
          <w:w w:val="110"/>
          <w:sz w:val="18"/>
        </w:rPr>
        <w:t>to:</w:t>
      </w:r>
    </w:p>
    <w:p>
      <w:pPr>
        <w:pStyle w:val="ListParagraph"/>
        <w:numPr>
          <w:ilvl w:val="0"/>
          <w:numId w:val="131"/>
        </w:numPr>
        <w:tabs>
          <w:tab w:pos="1761" w:val="left" w:leader="none"/>
          <w:tab w:pos="1762" w:val="left" w:leader="none"/>
        </w:tabs>
        <w:spacing w:line="273" w:lineRule="auto" w:before="31" w:after="0"/>
        <w:ind w:left="1761" w:right="1477" w:hanging="681"/>
        <w:jc w:val="left"/>
        <w:rPr>
          <w:sz w:val="18"/>
        </w:rPr>
      </w:pPr>
      <w:r>
        <w:rPr>
          <w:color w:val="231F20"/>
          <w:w w:val="110"/>
          <w:sz w:val="18"/>
        </w:rPr>
        <w:t>ensure that all within the United Reformed Church can feel that their voice and views have been heard and are recognised as having their own</w:t>
      </w:r>
      <w:r>
        <w:rPr>
          <w:color w:val="231F20"/>
          <w:spacing w:val="57"/>
          <w:w w:val="110"/>
          <w:sz w:val="18"/>
        </w:rPr>
        <w:t> </w:t>
      </w:r>
      <w:r>
        <w:rPr>
          <w:color w:val="231F20"/>
          <w:w w:val="110"/>
          <w:sz w:val="18"/>
        </w:rPr>
        <w:t>integrity,</w:t>
      </w:r>
    </w:p>
    <w:p>
      <w:pPr>
        <w:pStyle w:val="ListParagraph"/>
        <w:numPr>
          <w:ilvl w:val="0"/>
          <w:numId w:val="131"/>
        </w:numPr>
        <w:tabs>
          <w:tab w:pos="1761" w:val="left" w:leader="none"/>
          <w:tab w:pos="1762" w:val="left" w:leader="none"/>
        </w:tabs>
        <w:spacing w:line="273" w:lineRule="auto" w:before="1" w:after="0"/>
        <w:ind w:left="1761" w:right="1478" w:hanging="681"/>
        <w:jc w:val="left"/>
        <w:rPr>
          <w:sz w:val="18"/>
        </w:rPr>
      </w:pPr>
      <w:r>
        <w:rPr>
          <w:color w:val="231F20"/>
          <w:w w:val="110"/>
          <w:sz w:val="18"/>
        </w:rPr>
        <w:t>agree to continue in fellowship together despite divisions of understanding and </w:t>
      </w:r>
      <w:r>
        <w:rPr>
          <w:color w:val="231F20"/>
          <w:spacing w:val="2"/>
          <w:w w:val="110"/>
          <w:sz w:val="18"/>
        </w:rPr>
        <w:t>practice </w:t>
      </w:r>
      <w:r>
        <w:rPr>
          <w:color w:val="231F20"/>
          <w:w w:val="110"/>
          <w:sz w:val="18"/>
        </w:rPr>
        <w:t>on this issue,</w:t>
      </w:r>
    </w:p>
    <w:p>
      <w:pPr>
        <w:pStyle w:val="ListParagraph"/>
        <w:numPr>
          <w:ilvl w:val="0"/>
          <w:numId w:val="131"/>
        </w:numPr>
        <w:tabs>
          <w:tab w:pos="1761" w:val="left" w:leader="none"/>
          <w:tab w:pos="1762" w:val="left" w:leader="none"/>
        </w:tabs>
        <w:spacing w:line="240" w:lineRule="auto" w:before="2" w:after="0"/>
        <w:ind w:left="1761" w:right="0" w:hanging="682"/>
        <w:jc w:val="left"/>
        <w:rPr>
          <w:sz w:val="18"/>
        </w:rPr>
      </w:pPr>
      <w:r>
        <w:rPr>
          <w:color w:val="231F20"/>
          <w:w w:val="110"/>
          <w:sz w:val="18"/>
        </w:rPr>
        <w:t>commit ourselves to travel this path of </w:t>
      </w:r>
      <w:r>
        <w:rPr>
          <w:color w:val="231F20"/>
          <w:spacing w:val="2"/>
          <w:w w:val="110"/>
          <w:sz w:val="18"/>
        </w:rPr>
        <w:t>further </w:t>
      </w:r>
      <w:r>
        <w:rPr>
          <w:color w:val="231F20"/>
          <w:w w:val="110"/>
          <w:sz w:val="18"/>
        </w:rPr>
        <w:t>exploration</w:t>
      </w:r>
      <w:r>
        <w:rPr>
          <w:color w:val="231F20"/>
          <w:spacing w:val="21"/>
          <w:w w:val="110"/>
          <w:sz w:val="18"/>
        </w:rPr>
        <w:t> </w:t>
      </w:r>
      <w:r>
        <w:rPr>
          <w:color w:val="231F20"/>
          <w:w w:val="110"/>
          <w:sz w:val="18"/>
        </w:rPr>
        <w:t>together.</w:t>
      </w:r>
    </w:p>
    <w:p>
      <w:pPr>
        <w:spacing w:after="0" w:line="240" w:lineRule="auto"/>
        <w:jc w:val="left"/>
        <w:rPr>
          <w:sz w:val="18"/>
        </w:rPr>
        <w:sectPr>
          <w:pgSz w:w="11910" w:h="16840"/>
          <w:pgMar w:header="558" w:footer="564" w:top="820" w:bottom="760" w:left="620" w:right="0"/>
        </w:sectPr>
      </w:pPr>
    </w:p>
    <w:p>
      <w:pPr>
        <w:pStyle w:val="BodyText"/>
        <w:spacing w:before="7"/>
        <w:rPr>
          <w:sz w:val="19"/>
        </w:rPr>
      </w:pPr>
    </w:p>
    <w:p>
      <w:pPr>
        <w:pStyle w:val="ListParagraph"/>
        <w:numPr>
          <w:ilvl w:val="1"/>
          <w:numId w:val="128"/>
        </w:numPr>
        <w:tabs>
          <w:tab w:pos="1233" w:val="left" w:leader="none"/>
          <w:tab w:pos="1234" w:val="left" w:leader="none"/>
        </w:tabs>
        <w:spacing w:line="273" w:lineRule="auto" w:before="101" w:after="0"/>
        <w:ind w:left="513" w:right="2260" w:firstLine="0"/>
        <w:jc w:val="left"/>
        <w:rPr>
          <w:sz w:val="18"/>
        </w:rPr>
      </w:pPr>
      <w:r>
        <w:rPr>
          <w:color w:val="231F20"/>
          <w:w w:val="110"/>
          <w:sz w:val="18"/>
        </w:rPr>
        <w:t>In recognising that the broad range of positions outlined in the Commitment is</w:t>
      </w:r>
      <w:r>
        <w:rPr>
          <w:color w:val="231F20"/>
          <w:spacing w:val="12"/>
          <w:w w:val="110"/>
          <w:sz w:val="18"/>
        </w:rPr>
        <w:t> </w:t>
      </w:r>
      <w:r>
        <w:rPr>
          <w:color w:val="231F20"/>
          <w:w w:val="110"/>
          <w:sz w:val="18"/>
        </w:rPr>
        <w:t>generally</w:t>
      </w:r>
      <w:r>
        <w:rPr>
          <w:color w:val="231F20"/>
          <w:spacing w:val="12"/>
          <w:w w:val="110"/>
          <w:sz w:val="18"/>
        </w:rPr>
        <w:t> </w:t>
      </w:r>
      <w:r>
        <w:rPr>
          <w:color w:val="231F20"/>
          <w:w w:val="110"/>
          <w:sz w:val="18"/>
        </w:rPr>
        <w:t>representative</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different</w:t>
      </w:r>
      <w:r>
        <w:rPr>
          <w:color w:val="231F20"/>
          <w:spacing w:val="12"/>
          <w:w w:val="110"/>
          <w:sz w:val="18"/>
        </w:rPr>
        <w:t> </w:t>
      </w:r>
      <w:r>
        <w:rPr>
          <w:color w:val="231F20"/>
          <w:w w:val="110"/>
          <w:sz w:val="18"/>
        </w:rPr>
        <w:t>views</w:t>
      </w:r>
      <w:r>
        <w:rPr>
          <w:color w:val="231F20"/>
          <w:spacing w:val="12"/>
          <w:w w:val="110"/>
          <w:sz w:val="18"/>
        </w:rPr>
        <w:t> </w:t>
      </w:r>
      <w:r>
        <w:rPr>
          <w:color w:val="231F20"/>
          <w:w w:val="110"/>
          <w:sz w:val="18"/>
        </w:rPr>
        <w:t>held</w:t>
      </w:r>
      <w:r>
        <w:rPr>
          <w:color w:val="231F20"/>
          <w:spacing w:val="12"/>
          <w:w w:val="110"/>
          <w:sz w:val="18"/>
        </w:rPr>
        <w:t> </w:t>
      </w:r>
      <w:r>
        <w:rPr>
          <w:color w:val="231F20"/>
          <w:w w:val="110"/>
          <w:sz w:val="18"/>
        </w:rPr>
        <w:t>within</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church</w:t>
      </w:r>
      <w:r>
        <w:rPr>
          <w:color w:val="231F20"/>
          <w:spacing w:val="12"/>
          <w:w w:val="110"/>
          <w:sz w:val="18"/>
        </w:rPr>
        <w:t> </w:t>
      </w:r>
      <w:r>
        <w:rPr>
          <w:color w:val="231F20"/>
          <w:w w:val="110"/>
          <w:sz w:val="18"/>
        </w:rPr>
        <w:t>at</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present</w:t>
      </w:r>
    </w:p>
    <w:p>
      <w:pPr>
        <w:pStyle w:val="BodyText"/>
        <w:spacing w:line="273" w:lineRule="auto" w:before="1"/>
        <w:ind w:left="513" w:right="2040"/>
      </w:pPr>
      <w:r>
        <w:rPr/>
        <w:pict>
          <v:shape style="position:absolute;margin-left:56.692993pt;margin-top:44.23135pt;width:481.9pt;height:.1pt;mso-position-horizontal-relative:page;mso-position-vertical-relative:paragraph;z-index:-251326464;mso-wrap-distance-left:0;mso-wrap-distance-right:0" coordorigin="1134,885" coordsize="9638,0" path="m1134,885l10772,885e" filled="false" stroked="true" strokeweight=".5pt" strokecolor="#231f20">
            <v:path arrowok="t"/>
            <v:stroke dashstyle="solid"/>
            <w10:wrap type="topAndBottom"/>
          </v:shape>
        </w:pict>
      </w:r>
      <w:r>
        <w:rPr>
          <w:color w:val="231F20"/>
          <w:w w:val="110"/>
        </w:rPr>
        <w:t>time, it needs to be emphasised that none of these should be regarded as a </w:t>
      </w:r>
      <w:r>
        <w:rPr>
          <w:color w:val="231F20"/>
          <w:spacing w:val="2"/>
          <w:w w:val="110"/>
        </w:rPr>
        <w:t>settled </w:t>
      </w:r>
      <w:r>
        <w:rPr>
          <w:color w:val="231F20"/>
          <w:w w:val="110"/>
        </w:rPr>
        <w:t>or “watertight” position that cannot be reviewed or revised as understanding develops, and that none of them as such is the official position or policy of the</w:t>
      </w:r>
      <w:r>
        <w:rPr>
          <w:color w:val="231F20"/>
          <w:spacing w:val="8"/>
          <w:w w:val="110"/>
        </w:rPr>
        <w:t> </w:t>
      </w:r>
      <w:r>
        <w:rPr>
          <w:color w:val="231F20"/>
          <w:w w:val="110"/>
        </w:rPr>
        <w:t>church.</w:t>
      </w:r>
    </w:p>
    <w:p>
      <w:pPr>
        <w:pStyle w:val="BodyText"/>
        <w:spacing w:before="3"/>
        <w:rPr>
          <w:sz w:val="27"/>
        </w:rPr>
      </w:pPr>
    </w:p>
    <w:p>
      <w:pPr>
        <w:pStyle w:val="Heading9"/>
        <w:numPr>
          <w:ilvl w:val="0"/>
          <w:numId w:val="128"/>
        </w:numPr>
        <w:tabs>
          <w:tab w:pos="1233" w:val="left" w:leader="none"/>
          <w:tab w:pos="1234" w:val="left" w:leader="none"/>
        </w:tabs>
        <w:spacing w:line="240" w:lineRule="auto" w:before="0" w:after="0"/>
        <w:ind w:left="1233" w:right="0" w:hanging="721"/>
        <w:jc w:val="left"/>
      </w:pPr>
      <w:r>
        <w:rPr>
          <w:color w:val="231F20"/>
          <w:w w:val="110"/>
        </w:rPr>
        <w:t>Commitment on </w:t>
      </w:r>
      <w:r>
        <w:rPr>
          <w:color w:val="231F20"/>
          <w:spacing w:val="-3"/>
          <w:w w:val="110"/>
        </w:rPr>
        <w:t>Human</w:t>
      </w:r>
      <w:r>
        <w:rPr>
          <w:color w:val="231F20"/>
          <w:spacing w:val="-1"/>
          <w:w w:val="110"/>
        </w:rPr>
        <w:t> </w:t>
      </w:r>
      <w:r>
        <w:rPr>
          <w:color w:val="231F20"/>
          <w:w w:val="110"/>
        </w:rPr>
        <w:t>Sexuality</w:t>
      </w:r>
    </w:p>
    <w:p>
      <w:pPr>
        <w:pStyle w:val="BodyText"/>
        <w:spacing w:before="258"/>
        <w:ind w:left="513"/>
      </w:pPr>
      <w:r>
        <w:rPr>
          <w:color w:val="231F20"/>
          <w:w w:val="110"/>
        </w:rPr>
        <w:t>As the General Assembly of the United Reformed Church,</w:t>
      </w:r>
    </w:p>
    <w:p>
      <w:pPr>
        <w:pStyle w:val="BodyText"/>
        <w:spacing w:before="2"/>
        <w:rPr>
          <w:sz w:val="23"/>
        </w:rPr>
      </w:pPr>
    </w:p>
    <w:p>
      <w:pPr>
        <w:pStyle w:val="ListParagraph"/>
        <w:numPr>
          <w:ilvl w:val="1"/>
          <w:numId w:val="128"/>
        </w:numPr>
        <w:tabs>
          <w:tab w:pos="1233" w:val="left" w:leader="none"/>
          <w:tab w:pos="1234" w:val="left" w:leader="none"/>
        </w:tabs>
        <w:spacing w:line="240" w:lineRule="auto" w:before="0" w:after="0"/>
        <w:ind w:left="1233" w:right="0" w:hanging="721"/>
        <w:jc w:val="left"/>
        <w:rPr>
          <w:sz w:val="18"/>
        </w:rPr>
      </w:pPr>
      <w:r>
        <w:rPr>
          <w:color w:val="231F20"/>
          <w:w w:val="110"/>
          <w:sz w:val="18"/>
        </w:rPr>
        <w:t>we recognise that</w:t>
      </w:r>
      <w:r>
        <w:rPr>
          <w:color w:val="231F20"/>
          <w:spacing w:val="2"/>
          <w:w w:val="110"/>
          <w:sz w:val="18"/>
        </w:rPr>
        <w:t> </w:t>
      </w:r>
      <w:r>
        <w:rPr>
          <w:color w:val="231F20"/>
          <w:w w:val="110"/>
          <w:sz w:val="18"/>
        </w:rPr>
        <w:t>–</w:t>
      </w:r>
    </w:p>
    <w:p>
      <w:pPr>
        <w:pStyle w:val="ListParagraph"/>
        <w:numPr>
          <w:ilvl w:val="0"/>
          <w:numId w:val="132"/>
        </w:numPr>
        <w:tabs>
          <w:tab w:pos="1194" w:val="left" w:leader="none"/>
          <w:tab w:pos="1195" w:val="left" w:leader="none"/>
        </w:tabs>
        <w:spacing w:line="218" w:lineRule="auto" w:before="20" w:after="0"/>
        <w:ind w:left="1194" w:right="2426" w:hanging="681"/>
        <w:jc w:val="left"/>
        <w:rPr>
          <w:sz w:val="18"/>
        </w:rPr>
      </w:pPr>
      <w:r>
        <w:rPr>
          <w:color w:val="231F20"/>
          <w:w w:val="110"/>
          <w:sz w:val="18"/>
        </w:rPr>
        <w:t>many of the issues and views surrounding human sexuality can seem to be intractable and</w:t>
      </w:r>
      <w:r>
        <w:rPr>
          <w:color w:val="231F20"/>
          <w:spacing w:val="3"/>
          <w:w w:val="110"/>
          <w:sz w:val="18"/>
        </w:rPr>
        <w:t> </w:t>
      </w:r>
      <w:r>
        <w:rPr>
          <w:color w:val="231F20"/>
          <w:w w:val="110"/>
          <w:sz w:val="18"/>
        </w:rPr>
        <w:t>irreconcilable;</w:t>
      </w:r>
    </w:p>
    <w:p>
      <w:pPr>
        <w:pStyle w:val="ListParagraph"/>
        <w:numPr>
          <w:ilvl w:val="0"/>
          <w:numId w:val="132"/>
        </w:numPr>
        <w:tabs>
          <w:tab w:pos="1194" w:val="left" w:leader="none"/>
          <w:tab w:pos="1195" w:val="left" w:leader="none"/>
        </w:tabs>
        <w:spacing w:line="218" w:lineRule="auto" w:before="24" w:after="0"/>
        <w:ind w:left="1194" w:right="2506" w:hanging="681"/>
        <w:jc w:val="left"/>
        <w:rPr>
          <w:sz w:val="18"/>
        </w:rPr>
      </w:pPr>
      <w:r>
        <w:rPr>
          <w:color w:val="231F20"/>
          <w:w w:val="110"/>
          <w:sz w:val="18"/>
        </w:rPr>
        <w:t>despite lengthy debates, much study and many </w:t>
      </w:r>
      <w:r>
        <w:rPr>
          <w:color w:val="231F20"/>
          <w:spacing w:val="2"/>
          <w:w w:val="110"/>
          <w:sz w:val="18"/>
        </w:rPr>
        <w:t>reports, </w:t>
      </w:r>
      <w:r>
        <w:rPr>
          <w:color w:val="231F20"/>
          <w:w w:val="110"/>
          <w:sz w:val="18"/>
        </w:rPr>
        <w:t>opinions have not changed sufficiently for us to be of one</w:t>
      </w:r>
      <w:r>
        <w:rPr>
          <w:color w:val="231F20"/>
          <w:spacing w:val="16"/>
          <w:w w:val="110"/>
          <w:sz w:val="18"/>
        </w:rPr>
        <w:t> </w:t>
      </w:r>
      <w:r>
        <w:rPr>
          <w:color w:val="231F20"/>
          <w:w w:val="110"/>
          <w:sz w:val="18"/>
        </w:rPr>
        <w:t>mind;</w:t>
      </w:r>
    </w:p>
    <w:p>
      <w:pPr>
        <w:pStyle w:val="ListParagraph"/>
        <w:numPr>
          <w:ilvl w:val="0"/>
          <w:numId w:val="132"/>
        </w:numPr>
        <w:tabs>
          <w:tab w:pos="1194" w:val="left" w:leader="none"/>
          <w:tab w:pos="1195" w:val="left" w:leader="none"/>
        </w:tabs>
        <w:spacing w:line="277" w:lineRule="exact" w:before="6" w:after="0"/>
        <w:ind w:left="1194" w:right="0" w:hanging="682"/>
        <w:jc w:val="left"/>
        <w:rPr>
          <w:sz w:val="18"/>
        </w:rPr>
      </w:pPr>
      <w:r>
        <w:rPr>
          <w:color w:val="231F20"/>
          <w:w w:val="110"/>
          <w:sz w:val="18"/>
        </w:rPr>
        <w:t>this is a deeply emotive and potentially divisive</w:t>
      </w:r>
      <w:r>
        <w:rPr>
          <w:color w:val="231F20"/>
          <w:spacing w:val="12"/>
          <w:w w:val="110"/>
          <w:sz w:val="18"/>
        </w:rPr>
        <w:t> </w:t>
      </w:r>
      <w:r>
        <w:rPr>
          <w:color w:val="231F20"/>
          <w:w w:val="110"/>
          <w:sz w:val="18"/>
        </w:rPr>
        <w:t>issue;</w:t>
      </w:r>
    </w:p>
    <w:p>
      <w:pPr>
        <w:pStyle w:val="ListParagraph"/>
        <w:numPr>
          <w:ilvl w:val="0"/>
          <w:numId w:val="132"/>
        </w:numPr>
        <w:tabs>
          <w:tab w:pos="1194" w:val="left" w:leader="none"/>
          <w:tab w:pos="1195" w:val="left" w:leader="none"/>
        </w:tabs>
        <w:spacing w:line="218" w:lineRule="auto" w:before="0" w:after="0"/>
        <w:ind w:left="1194" w:right="1772" w:hanging="681"/>
        <w:jc w:val="left"/>
        <w:rPr>
          <w:sz w:val="18"/>
        </w:rPr>
      </w:pPr>
      <w:r>
        <w:rPr>
          <w:color w:val="231F20"/>
          <w:w w:val="110"/>
          <w:sz w:val="18"/>
        </w:rPr>
        <w:t>human sexuality and the language we use about it raises </w:t>
      </w:r>
      <w:r>
        <w:rPr>
          <w:color w:val="231F20"/>
          <w:spacing w:val="-3"/>
          <w:w w:val="110"/>
          <w:sz w:val="18"/>
        </w:rPr>
        <w:t>many </w:t>
      </w:r>
      <w:r>
        <w:rPr>
          <w:color w:val="231F20"/>
          <w:w w:val="110"/>
          <w:sz w:val="18"/>
        </w:rPr>
        <w:t>complex questions, not least in the area of biblical</w:t>
      </w:r>
      <w:r>
        <w:rPr>
          <w:color w:val="231F20"/>
          <w:spacing w:val="14"/>
          <w:w w:val="110"/>
          <w:sz w:val="18"/>
        </w:rPr>
        <w:t> </w:t>
      </w:r>
      <w:r>
        <w:rPr>
          <w:color w:val="231F20"/>
          <w:w w:val="110"/>
          <w:sz w:val="18"/>
        </w:rPr>
        <w:t>interpretation.</w:t>
      </w:r>
    </w:p>
    <w:p>
      <w:pPr>
        <w:pStyle w:val="BodyText"/>
        <w:spacing w:before="10"/>
        <w:rPr>
          <w:sz w:val="22"/>
        </w:rPr>
      </w:pPr>
    </w:p>
    <w:p>
      <w:pPr>
        <w:pStyle w:val="ListParagraph"/>
        <w:numPr>
          <w:ilvl w:val="1"/>
          <w:numId w:val="128"/>
        </w:numPr>
        <w:tabs>
          <w:tab w:pos="1233" w:val="left" w:leader="none"/>
          <w:tab w:pos="1234" w:val="left" w:leader="none"/>
        </w:tabs>
        <w:spacing w:line="273" w:lineRule="auto" w:before="0" w:after="0"/>
        <w:ind w:left="513" w:right="1761" w:firstLine="0"/>
        <w:jc w:val="left"/>
        <w:rPr>
          <w:sz w:val="18"/>
        </w:rPr>
      </w:pPr>
      <w:r>
        <w:rPr>
          <w:color w:val="231F20"/>
          <w:w w:val="110"/>
          <w:sz w:val="18"/>
        </w:rPr>
        <w:t>while it is not possible to do full justice to the variety of views </w:t>
      </w:r>
      <w:r>
        <w:rPr>
          <w:color w:val="231F20"/>
          <w:spacing w:val="2"/>
          <w:w w:val="110"/>
          <w:sz w:val="18"/>
        </w:rPr>
        <w:t>represented </w:t>
      </w:r>
      <w:r>
        <w:rPr>
          <w:color w:val="231F20"/>
          <w:w w:val="110"/>
          <w:sz w:val="18"/>
        </w:rPr>
        <w:t>within the church, we recognise that the range includes</w:t>
      </w:r>
      <w:r>
        <w:rPr>
          <w:color w:val="231F20"/>
          <w:spacing w:val="16"/>
          <w:w w:val="110"/>
          <w:sz w:val="18"/>
        </w:rPr>
        <w:t> </w:t>
      </w:r>
      <w:r>
        <w:rPr>
          <w:color w:val="231F20"/>
          <w:w w:val="110"/>
          <w:sz w:val="18"/>
        </w:rPr>
        <w:t>–</w:t>
      </w:r>
    </w:p>
    <w:p>
      <w:pPr>
        <w:pStyle w:val="BodyText"/>
        <w:spacing w:before="9"/>
        <w:rPr>
          <w:sz w:val="20"/>
        </w:rPr>
      </w:pPr>
    </w:p>
    <w:p>
      <w:pPr>
        <w:pStyle w:val="ListParagraph"/>
        <w:numPr>
          <w:ilvl w:val="2"/>
          <w:numId w:val="128"/>
        </w:numPr>
        <w:tabs>
          <w:tab w:pos="1195" w:val="left" w:leader="none"/>
        </w:tabs>
        <w:spacing w:line="273" w:lineRule="auto" w:before="0" w:after="0"/>
        <w:ind w:left="513" w:right="2685" w:hanging="1"/>
        <w:jc w:val="left"/>
        <w:rPr>
          <w:sz w:val="18"/>
        </w:rPr>
      </w:pPr>
      <w:r>
        <w:rPr>
          <w:color w:val="231F20"/>
          <w:w w:val="110"/>
          <w:sz w:val="18"/>
        </w:rPr>
        <w:t>some people who feel that the debate on human sexuality has become a wrong focus and has received too much attention, believing</w:t>
      </w:r>
      <w:r>
        <w:rPr>
          <w:color w:val="231F20"/>
          <w:spacing w:val="38"/>
          <w:w w:val="110"/>
          <w:sz w:val="18"/>
        </w:rPr>
        <w:t> </w:t>
      </w:r>
      <w:r>
        <w:rPr>
          <w:color w:val="231F20"/>
          <w:w w:val="110"/>
          <w:sz w:val="18"/>
        </w:rPr>
        <w:t>that:</w:t>
      </w:r>
    </w:p>
    <w:p>
      <w:pPr>
        <w:pStyle w:val="ListParagraph"/>
        <w:numPr>
          <w:ilvl w:val="3"/>
          <w:numId w:val="128"/>
        </w:numPr>
        <w:tabs>
          <w:tab w:pos="1554" w:val="left" w:leader="none"/>
        </w:tabs>
        <w:spacing w:line="263" w:lineRule="exact" w:before="0" w:after="0"/>
        <w:ind w:left="1553" w:right="0" w:hanging="341"/>
        <w:jc w:val="left"/>
        <w:rPr>
          <w:sz w:val="18"/>
        </w:rPr>
      </w:pPr>
      <w:r>
        <w:rPr>
          <w:color w:val="231F20"/>
          <w:w w:val="110"/>
          <w:sz w:val="18"/>
        </w:rPr>
        <w:t>faithful living and worship should take </w:t>
      </w:r>
      <w:r>
        <w:rPr>
          <w:color w:val="231F20"/>
          <w:spacing w:val="2"/>
          <w:w w:val="110"/>
          <w:sz w:val="18"/>
        </w:rPr>
        <w:t>priority </w:t>
      </w:r>
      <w:r>
        <w:rPr>
          <w:color w:val="231F20"/>
          <w:w w:val="110"/>
          <w:sz w:val="18"/>
        </w:rPr>
        <w:t>over controversy</w:t>
      </w:r>
      <w:r>
        <w:rPr>
          <w:color w:val="231F20"/>
          <w:spacing w:val="21"/>
          <w:w w:val="110"/>
          <w:sz w:val="18"/>
        </w:rPr>
        <w:t> </w:t>
      </w:r>
      <w:r>
        <w:rPr>
          <w:color w:val="231F20"/>
          <w:w w:val="110"/>
          <w:sz w:val="18"/>
        </w:rPr>
        <w:t>about</w:t>
      </w:r>
    </w:p>
    <w:p>
      <w:pPr>
        <w:pStyle w:val="BodyText"/>
        <w:spacing w:line="207" w:lineRule="exact"/>
        <w:ind w:left="1553"/>
      </w:pPr>
      <w:r>
        <w:rPr>
          <w:color w:val="231F20"/>
          <w:w w:val="110"/>
        </w:rPr>
        <w:t>human sexuality;</w:t>
      </w:r>
    </w:p>
    <w:p>
      <w:pPr>
        <w:pStyle w:val="ListParagraph"/>
        <w:numPr>
          <w:ilvl w:val="3"/>
          <w:numId w:val="128"/>
        </w:numPr>
        <w:tabs>
          <w:tab w:pos="1554" w:val="left" w:leader="none"/>
        </w:tabs>
        <w:spacing w:line="218" w:lineRule="auto" w:before="20" w:after="0"/>
        <w:ind w:left="1553" w:right="1975" w:hanging="341"/>
        <w:jc w:val="left"/>
        <w:rPr>
          <w:sz w:val="18"/>
        </w:rPr>
      </w:pPr>
      <w:r>
        <w:rPr>
          <w:color w:val="231F20"/>
          <w:w w:val="110"/>
          <w:sz w:val="18"/>
        </w:rPr>
        <w:t>participation in God's mission and Christ's ministry in the world demands all the energy of God's</w:t>
      </w:r>
      <w:r>
        <w:rPr>
          <w:color w:val="231F20"/>
          <w:spacing w:val="4"/>
          <w:w w:val="110"/>
          <w:sz w:val="18"/>
        </w:rPr>
        <w:t> </w:t>
      </w:r>
      <w:r>
        <w:rPr>
          <w:color w:val="231F20"/>
          <w:w w:val="110"/>
          <w:sz w:val="18"/>
        </w:rPr>
        <w:t>people;</w:t>
      </w:r>
    </w:p>
    <w:p>
      <w:pPr>
        <w:pStyle w:val="ListParagraph"/>
        <w:numPr>
          <w:ilvl w:val="3"/>
          <w:numId w:val="128"/>
        </w:numPr>
        <w:tabs>
          <w:tab w:pos="1554" w:val="left" w:leader="none"/>
        </w:tabs>
        <w:spacing w:line="218" w:lineRule="auto" w:before="24" w:after="0"/>
        <w:ind w:left="1553" w:right="1925" w:hanging="341"/>
        <w:jc w:val="left"/>
        <w:rPr>
          <w:sz w:val="18"/>
        </w:rPr>
      </w:pPr>
      <w:r>
        <w:rPr>
          <w:color w:val="231F20"/>
          <w:w w:val="110"/>
          <w:sz w:val="18"/>
        </w:rPr>
        <w:t>this is not a matter over which policy decisions imposing a universal rule are </w:t>
      </w:r>
      <w:r>
        <w:rPr>
          <w:color w:val="231F20"/>
          <w:spacing w:val="2"/>
          <w:w w:val="110"/>
          <w:sz w:val="18"/>
        </w:rPr>
        <w:t>necessary </w:t>
      </w:r>
      <w:r>
        <w:rPr>
          <w:color w:val="231F20"/>
          <w:w w:val="110"/>
          <w:sz w:val="18"/>
        </w:rPr>
        <w:t>or appropriate;</w:t>
      </w:r>
    </w:p>
    <w:p>
      <w:pPr>
        <w:pStyle w:val="ListParagraph"/>
        <w:numPr>
          <w:ilvl w:val="3"/>
          <w:numId w:val="128"/>
        </w:numPr>
        <w:tabs>
          <w:tab w:pos="1554" w:val="left" w:leader="none"/>
        </w:tabs>
        <w:spacing w:line="218" w:lineRule="auto" w:before="24" w:after="0"/>
        <w:ind w:left="1553" w:right="2038" w:hanging="341"/>
        <w:jc w:val="left"/>
        <w:rPr>
          <w:sz w:val="18"/>
        </w:rPr>
      </w:pPr>
      <w:r>
        <w:rPr>
          <w:color w:val="231F20"/>
          <w:w w:val="110"/>
          <w:sz w:val="18"/>
        </w:rPr>
        <w:t>the church's existing assessment procedures are appropriate for discerning the call of</w:t>
      </w:r>
      <w:r>
        <w:rPr>
          <w:color w:val="231F20"/>
          <w:spacing w:val="1"/>
          <w:w w:val="110"/>
          <w:sz w:val="18"/>
        </w:rPr>
        <w:t> </w:t>
      </w:r>
      <w:r>
        <w:rPr>
          <w:color w:val="231F20"/>
          <w:w w:val="110"/>
          <w:sz w:val="18"/>
        </w:rPr>
        <w:t>God;</w:t>
      </w:r>
    </w:p>
    <w:p>
      <w:pPr>
        <w:pStyle w:val="ListParagraph"/>
        <w:numPr>
          <w:ilvl w:val="3"/>
          <w:numId w:val="128"/>
        </w:numPr>
        <w:tabs>
          <w:tab w:pos="1554" w:val="left" w:leader="none"/>
        </w:tabs>
        <w:spacing w:line="218" w:lineRule="auto" w:before="25" w:after="0"/>
        <w:ind w:left="1553" w:right="2090" w:hanging="341"/>
        <w:jc w:val="left"/>
        <w:rPr>
          <w:sz w:val="18"/>
        </w:rPr>
      </w:pPr>
      <w:r>
        <w:rPr>
          <w:color w:val="231F20"/>
          <w:spacing w:val="2"/>
          <w:w w:val="110"/>
          <w:sz w:val="18"/>
        </w:rPr>
        <w:t>responses </w:t>
      </w:r>
      <w:r>
        <w:rPr>
          <w:color w:val="231F20"/>
          <w:w w:val="110"/>
          <w:sz w:val="18"/>
        </w:rPr>
        <w:t>to pastoral situations involving people in same-sex relationships are </w:t>
      </w:r>
      <w:r>
        <w:rPr>
          <w:color w:val="231F20"/>
          <w:spacing w:val="2"/>
          <w:w w:val="110"/>
          <w:sz w:val="18"/>
        </w:rPr>
        <w:t>best </w:t>
      </w:r>
      <w:r>
        <w:rPr>
          <w:color w:val="231F20"/>
          <w:w w:val="110"/>
          <w:sz w:val="18"/>
        </w:rPr>
        <w:t>determined within the local</w:t>
      </w:r>
      <w:r>
        <w:rPr>
          <w:color w:val="231F20"/>
          <w:spacing w:val="9"/>
          <w:w w:val="110"/>
          <w:sz w:val="18"/>
        </w:rPr>
        <w:t> </w:t>
      </w:r>
      <w:r>
        <w:rPr>
          <w:color w:val="231F20"/>
          <w:w w:val="110"/>
          <w:sz w:val="18"/>
        </w:rPr>
        <w:t>church;</w:t>
      </w:r>
    </w:p>
    <w:p>
      <w:pPr>
        <w:pStyle w:val="ListParagraph"/>
        <w:numPr>
          <w:ilvl w:val="3"/>
          <w:numId w:val="128"/>
        </w:numPr>
        <w:tabs>
          <w:tab w:pos="1554" w:val="left" w:leader="none"/>
        </w:tabs>
        <w:spacing w:line="218" w:lineRule="auto" w:before="24" w:after="0"/>
        <w:ind w:left="1553" w:right="1849" w:hanging="341"/>
        <w:jc w:val="left"/>
        <w:rPr>
          <w:sz w:val="18"/>
        </w:rPr>
      </w:pPr>
      <w:r>
        <w:rPr>
          <w:color w:val="231F20"/>
          <w:w w:val="110"/>
          <w:sz w:val="18"/>
        </w:rPr>
        <w:t>working and sharing fellowship with people of </w:t>
      </w:r>
      <w:r>
        <w:rPr>
          <w:color w:val="231F20"/>
          <w:spacing w:val="2"/>
          <w:w w:val="110"/>
          <w:sz w:val="18"/>
        </w:rPr>
        <w:t>very </w:t>
      </w:r>
      <w:r>
        <w:rPr>
          <w:color w:val="231F20"/>
          <w:w w:val="110"/>
          <w:sz w:val="18"/>
        </w:rPr>
        <w:t>different views can create painful tensions, though it may also </w:t>
      </w:r>
      <w:r>
        <w:rPr>
          <w:color w:val="231F20"/>
          <w:spacing w:val="2"/>
          <w:w w:val="110"/>
          <w:sz w:val="18"/>
        </w:rPr>
        <w:t>offer </w:t>
      </w:r>
      <w:r>
        <w:rPr>
          <w:color w:val="231F20"/>
          <w:w w:val="110"/>
          <w:sz w:val="18"/>
        </w:rPr>
        <w:t>opportunity for</w:t>
      </w:r>
      <w:r>
        <w:rPr>
          <w:color w:val="231F20"/>
          <w:spacing w:val="39"/>
          <w:w w:val="110"/>
          <w:sz w:val="18"/>
        </w:rPr>
        <w:t> </w:t>
      </w:r>
      <w:r>
        <w:rPr>
          <w:color w:val="231F20"/>
          <w:w w:val="110"/>
          <w:sz w:val="18"/>
        </w:rPr>
        <w:t>growth</w:t>
      </w:r>
    </w:p>
    <w:p>
      <w:pPr>
        <w:pStyle w:val="BodyText"/>
        <w:spacing w:before="36"/>
        <w:ind w:left="1553"/>
      </w:pPr>
      <w:r>
        <w:rPr>
          <w:color w:val="231F20"/>
          <w:w w:val="110"/>
        </w:rPr>
        <w:t>and development.</w:t>
      </w:r>
    </w:p>
    <w:p>
      <w:pPr>
        <w:pStyle w:val="BodyText"/>
        <w:spacing w:before="2"/>
        <w:rPr>
          <w:sz w:val="23"/>
        </w:rPr>
      </w:pPr>
    </w:p>
    <w:p>
      <w:pPr>
        <w:pStyle w:val="ListParagraph"/>
        <w:numPr>
          <w:ilvl w:val="2"/>
          <w:numId w:val="128"/>
        </w:numPr>
        <w:tabs>
          <w:tab w:pos="1233" w:val="left" w:leader="none"/>
          <w:tab w:pos="1234" w:val="left" w:leader="none"/>
        </w:tabs>
        <w:spacing w:line="273" w:lineRule="auto" w:before="0" w:after="0"/>
        <w:ind w:left="513" w:right="1741" w:firstLine="0"/>
        <w:jc w:val="left"/>
        <w:rPr>
          <w:sz w:val="18"/>
        </w:rPr>
      </w:pPr>
      <w:r>
        <w:rPr>
          <w:color w:val="231F20"/>
          <w:w w:val="110"/>
          <w:sz w:val="18"/>
        </w:rPr>
        <w:t>some other people who feel that this debate is a </w:t>
      </w:r>
      <w:r>
        <w:rPr>
          <w:color w:val="231F20"/>
          <w:spacing w:val="2"/>
          <w:w w:val="110"/>
          <w:sz w:val="18"/>
        </w:rPr>
        <w:t>necessary </w:t>
      </w:r>
      <w:r>
        <w:rPr>
          <w:color w:val="231F20"/>
          <w:w w:val="110"/>
          <w:sz w:val="18"/>
        </w:rPr>
        <w:t>focus </w:t>
      </w:r>
      <w:r>
        <w:rPr>
          <w:color w:val="231F20"/>
          <w:spacing w:val="2"/>
          <w:w w:val="110"/>
          <w:sz w:val="18"/>
        </w:rPr>
        <w:t>because </w:t>
      </w:r>
      <w:r>
        <w:rPr>
          <w:color w:val="231F20"/>
          <w:w w:val="110"/>
          <w:sz w:val="18"/>
        </w:rPr>
        <w:t>it concerns the Word of God, and for them is a passionately held matter of holiness, purity and obedience to God’s commands in scripture, believing</w:t>
      </w:r>
      <w:r>
        <w:rPr>
          <w:color w:val="231F20"/>
          <w:spacing w:val="22"/>
          <w:w w:val="110"/>
          <w:sz w:val="18"/>
        </w:rPr>
        <w:t> </w:t>
      </w:r>
      <w:r>
        <w:rPr>
          <w:color w:val="231F20"/>
          <w:w w:val="110"/>
          <w:sz w:val="18"/>
        </w:rPr>
        <w:t>that:</w:t>
      </w:r>
    </w:p>
    <w:p>
      <w:pPr>
        <w:pStyle w:val="ListParagraph"/>
        <w:numPr>
          <w:ilvl w:val="3"/>
          <w:numId w:val="128"/>
        </w:numPr>
        <w:tabs>
          <w:tab w:pos="1554" w:val="left" w:leader="none"/>
        </w:tabs>
        <w:spacing w:line="263" w:lineRule="exact" w:before="0" w:after="0"/>
        <w:ind w:left="1553" w:right="0" w:hanging="341"/>
        <w:jc w:val="left"/>
        <w:rPr>
          <w:sz w:val="18"/>
        </w:rPr>
      </w:pPr>
      <w:r>
        <w:rPr>
          <w:color w:val="231F20"/>
          <w:w w:val="110"/>
          <w:sz w:val="18"/>
        </w:rPr>
        <w:t>God’s creation plan is for the complementarity of man and woman, and</w:t>
      </w:r>
      <w:r>
        <w:rPr>
          <w:color w:val="231F20"/>
          <w:spacing w:val="44"/>
          <w:w w:val="110"/>
          <w:sz w:val="18"/>
        </w:rPr>
        <w:t> </w:t>
      </w:r>
      <w:r>
        <w:rPr>
          <w:color w:val="231F20"/>
          <w:w w:val="110"/>
          <w:sz w:val="18"/>
        </w:rPr>
        <w:t>that</w:t>
      </w:r>
    </w:p>
    <w:p>
      <w:pPr>
        <w:pStyle w:val="BodyText"/>
        <w:spacing w:line="207" w:lineRule="exact"/>
        <w:ind w:left="1553"/>
      </w:pPr>
      <w:r>
        <w:rPr>
          <w:color w:val="231F20"/>
          <w:w w:val="110"/>
        </w:rPr>
        <w:t>sexual relations apart from that are therefore disordered;</w:t>
      </w:r>
    </w:p>
    <w:p>
      <w:pPr>
        <w:pStyle w:val="ListParagraph"/>
        <w:numPr>
          <w:ilvl w:val="3"/>
          <w:numId w:val="128"/>
        </w:numPr>
        <w:tabs>
          <w:tab w:pos="1554" w:val="left" w:leader="none"/>
        </w:tabs>
        <w:spacing w:line="250" w:lineRule="exact" w:before="12" w:after="0"/>
        <w:ind w:left="1553" w:right="2453" w:hanging="341"/>
        <w:jc w:val="left"/>
        <w:rPr>
          <w:sz w:val="18"/>
        </w:rPr>
      </w:pPr>
      <w:r>
        <w:rPr>
          <w:color w:val="231F20"/>
          <w:w w:val="110"/>
          <w:sz w:val="18"/>
        </w:rPr>
        <w:t>scripture and the traditions of the church teach that the only legitimate </w:t>
      </w:r>
      <w:r>
        <w:rPr>
          <w:color w:val="231F20"/>
          <w:spacing w:val="2"/>
          <w:w w:val="110"/>
          <w:sz w:val="18"/>
        </w:rPr>
        <w:t>pattern </w:t>
      </w:r>
      <w:r>
        <w:rPr>
          <w:color w:val="231F20"/>
          <w:w w:val="110"/>
          <w:sz w:val="18"/>
        </w:rPr>
        <w:t>for sexual relations is between a man and woman within the commitment of</w:t>
      </w:r>
      <w:r>
        <w:rPr>
          <w:color w:val="231F20"/>
          <w:spacing w:val="2"/>
          <w:w w:val="110"/>
          <w:sz w:val="18"/>
        </w:rPr>
        <w:t> </w:t>
      </w:r>
      <w:r>
        <w:rPr>
          <w:color w:val="231F20"/>
          <w:w w:val="110"/>
          <w:sz w:val="18"/>
        </w:rPr>
        <w:t>marriage;</w:t>
      </w:r>
    </w:p>
    <w:p>
      <w:pPr>
        <w:pStyle w:val="ListParagraph"/>
        <w:numPr>
          <w:ilvl w:val="3"/>
          <w:numId w:val="128"/>
        </w:numPr>
        <w:tabs>
          <w:tab w:pos="1554" w:val="left" w:leader="none"/>
        </w:tabs>
        <w:spacing w:line="266" w:lineRule="exact" w:before="0" w:after="0"/>
        <w:ind w:left="1553" w:right="0" w:hanging="341"/>
        <w:jc w:val="left"/>
        <w:rPr>
          <w:sz w:val="18"/>
        </w:rPr>
      </w:pPr>
      <w:r>
        <w:rPr>
          <w:color w:val="231F20"/>
          <w:w w:val="110"/>
          <w:sz w:val="18"/>
        </w:rPr>
        <w:t>all scriptural references to same-sex activity are explicit in their</w:t>
      </w:r>
      <w:r>
        <w:rPr>
          <w:color w:val="231F20"/>
          <w:spacing w:val="-27"/>
          <w:w w:val="110"/>
          <w:sz w:val="18"/>
        </w:rPr>
        <w:t> </w:t>
      </w:r>
      <w:r>
        <w:rPr>
          <w:color w:val="231F20"/>
          <w:w w:val="110"/>
          <w:sz w:val="18"/>
        </w:rPr>
        <w:t>condemnation;</w:t>
      </w:r>
    </w:p>
    <w:p>
      <w:pPr>
        <w:pStyle w:val="ListParagraph"/>
        <w:numPr>
          <w:ilvl w:val="3"/>
          <w:numId w:val="128"/>
        </w:numPr>
        <w:tabs>
          <w:tab w:pos="1554" w:val="left" w:leader="none"/>
        </w:tabs>
        <w:spacing w:line="265" w:lineRule="exact" w:before="0" w:after="0"/>
        <w:ind w:left="1553" w:right="0" w:hanging="341"/>
        <w:jc w:val="left"/>
        <w:rPr>
          <w:sz w:val="18"/>
        </w:rPr>
      </w:pPr>
      <w:r>
        <w:rPr>
          <w:color w:val="231F20"/>
          <w:w w:val="110"/>
          <w:sz w:val="18"/>
        </w:rPr>
        <w:t>same-sex </w:t>
      </w:r>
      <w:r>
        <w:rPr>
          <w:color w:val="231F20"/>
          <w:spacing w:val="2"/>
          <w:w w:val="110"/>
          <w:sz w:val="18"/>
        </w:rPr>
        <w:t>activity </w:t>
      </w:r>
      <w:r>
        <w:rPr>
          <w:color w:val="231F20"/>
          <w:w w:val="110"/>
          <w:sz w:val="18"/>
        </w:rPr>
        <w:t>is an </w:t>
      </w:r>
      <w:r>
        <w:rPr>
          <w:color w:val="231F20"/>
          <w:spacing w:val="2"/>
          <w:w w:val="110"/>
          <w:sz w:val="18"/>
        </w:rPr>
        <w:t>affront </w:t>
      </w:r>
      <w:r>
        <w:rPr>
          <w:color w:val="231F20"/>
          <w:w w:val="110"/>
          <w:sz w:val="18"/>
        </w:rPr>
        <w:t>to Christian morality and offensive to</w:t>
      </w:r>
      <w:r>
        <w:rPr>
          <w:color w:val="231F20"/>
          <w:spacing w:val="36"/>
          <w:w w:val="110"/>
          <w:sz w:val="18"/>
        </w:rPr>
        <w:t> </w:t>
      </w:r>
      <w:r>
        <w:rPr>
          <w:color w:val="231F20"/>
          <w:w w:val="110"/>
          <w:sz w:val="18"/>
        </w:rPr>
        <w:t>many</w:t>
      </w:r>
    </w:p>
    <w:p>
      <w:pPr>
        <w:pStyle w:val="BodyText"/>
        <w:spacing w:line="207" w:lineRule="exact"/>
        <w:ind w:left="1553"/>
      </w:pPr>
      <w:r>
        <w:rPr>
          <w:color w:val="231F20"/>
          <w:w w:val="110"/>
        </w:rPr>
        <w:t>people of other faiths and of none;</w:t>
      </w:r>
    </w:p>
    <w:p>
      <w:pPr>
        <w:pStyle w:val="ListParagraph"/>
        <w:numPr>
          <w:ilvl w:val="3"/>
          <w:numId w:val="128"/>
        </w:numPr>
        <w:tabs>
          <w:tab w:pos="1554" w:val="left" w:leader="none"/>
        </w:tabs>
        <w:spacing w:line="292" w:lineRule="exact" w:before="1" w:after="0"/>
        <w:ind w:left="1553" w:right="0" w:hanging="341"/>
        <w:jc w:val="left"/>
        <w:rPr>
          <w:sz w:val="18"/>
        </w:rPr>
      </w:pPr>
      <w:r>
        <w:rPr>
          <w:color w:val="231F20"/>
          <w:spacing w:val="3"/>
          <w:w w:val="110"/>
          <w:sz w:val="18"/>
        </w:rPr>
        <w:t>people </w:t>
      </w:r>
      <w:r>
        <w:rPr>
          <w:color w:val="231F20"/>
          <w:w w:val="110"/>
          <w:sz w:val="18"/>
        </w:rPr>
        <w:t>in </w:t>
      </w:r>
      <w:r>
        <w:rPr>
          <w:color w:val="231F20"/>
          <w:spacing w:val="2"/>
          <w:w w:val="110"/>
          <w:sz w:val="18"/>
        </w:rPr>
        <w:t>sexually active </w:t>
      </w:r>
      <w:r>
        <w:rPr>
          <w:color w:val="231F20"/>
          <w:spacing w:val="3"/>
          <w:w w:val="110"/>
          <w:sz w:val="18"/>
        </w:rPr>
        <w:t>same-sex </w:t>
      </w:r>
      <w:r>
        <w:rPr>
          <w:color w:val="231F20"/>
          <w:spacing w:val="2"/>
          <w:w w:val="110"/>
          <w:sz w:val="18"/>
        </w:rPr>
        <w:t>relationships should </w:t>
      </w:r>
      <w:r>
        <w:rPr>
          <w:color w:val="231F20"/>
          <w:w w:val="110"/>
          <w:sz w:val="18"/>
        </w:rPr>
        <w:t>not </w:t>
      </w:r>
      <w:r>
        <w:rPr>
          <w:color w:val="231F20"/>
          <w:spacing w:val="2"/>
          <w:w w:val="110"/>
          <w:sz w:val="18"/>
        </w:rPr>
        <w:t>be</w:t>
      </w:r>
      <w:r>
        <w:rPr>
          <w:color w:val="231F20"/>
          <w:spacing w:val="49"/>
          <w:w w:val="110"/>
          <w:sz w:val="18"/>
        </w:rPr>
        <w:t> </w:t>
      </w:r>
      <w:r>
        <w:rPr>
          <w:color w:val="231F20"/>
          <w:spacing w:val="3"/>
          <w:w w:val="110"/>
          <w:sz w:val="18"/>
        </w:rPr>
        <w:t>accepted</w:t>
      </w:r>
    </w:p>
    <w:p>
      <w:pPr>
        <w:pStyle w:val="BodyText"/>
        <w:spacing w:line="207" w:lineRule="exact"/>
        <w:ind w:left="1553"/>
      </w:pPr>
      <w:r>
        <w:rPr>
          <w:color w:val="231F20"/>
          <w:w w:val="110"/>
        </w:rPr>
        <w:t>for ministry;</w:t>
      </w:r>
    </w:p>
    <w:p>
      <w:pPr>
        <w:pStyle w:val="ListParagraph"/>
        <w:numPr>
          <w:ilvl w:val="3"/>
          <w:numId w:val="128"/>
        </w:numPr>
        <w:tabs>
          <w:tab w:pos="1554" w:val="left" w:leader="none"/>
        </w:tabs>
        <w:spacing w:line="292" w:lineRule="exact" w:before="1" w:after="0"/>
        <w:ind w:left="1553" w:right="0" w:hanging="341"/>
        <w:jc w:val="left"/>
        <w:rPr>
          <w:sz w:val="18"/>
        </w:rPr>
      </w:pPr>
      <w:r>
        <w:rPr>
          <w:color w:val="231F20"/>
          <w:spacing w:val="2"/>
          <w:w w:val="110"/>
          <w:sz w:val="18"/>
        </w:rPr>
        <w:t>the </w:t>
      </w:r>
      <w:r>
        <w:rPr>
          <w:color w:val="231F20"/>
          <w:spacing w:val="3"/>
          <w:w w:val="110"/>
          <w:sz w:val="18"/>
        </w:rPr>
        <w:t>acceptance </w:t>
      </w:r>
      <w:r>
        <w:rPr>
          <w:color w:val="231F20"/>
          <w:w w:val="110"/>
          <w:sz w:val="18"/>
        </w:rPr>
        <w:t>of same-sex </w:t>
      </w:r>
      <w:r>
        <w:rPr>
          <w:color w:val="231F20"/>
          <w:spacing w:val="-3"/>
          <w:w w:val="110"/>
          <w:sz w:val="18"/>
        </w:rPr>
        <w:t>(civil) </w:t>
      </w:r>
      <w:r>
        <w:rPr>
          <w:color w:val="231F20"/>
          <w:spacing w:val="2"/>
          <w:w w:val="110"/>
          <w:sz w:val="18"/>
        </w:rPr>
        <w:t>partnerships </w:t>
      </w:r>
      <w:r>
        <w:rPr>
          <w:color w:val="231F20"/>
          <w:w w:val="110"/>
          <w:sz w:val="18"/>
        </w:rPr>
        <w:t>on the </w:t>
      </w:r>
      <w:r>
        <w:rPr>
          <w:color w:val="231F20"/>
          <w:spacing w:val="2"/>
          <w:w w:val="110"/>
          <w:sz w:val="18"/>
        </w:rPr>
        <w:t>part </w:t>
      </w:r>
      <w:r>
        <w:rPr>
          <w:color w:val="231F20"/>
          <w:w w:val="110"/>
          <w:sz w:val="18"/>
        </w:rPr>
        <w:t>of </w:t>
      </w:r>
      <w:r>
        <w:rPr>
          <w:color w:val="231F20"/>
          <w:spacing w:val="2"/>
          <w:w w:val="110"/>
          <w:sz w:val="18"/>
        </w:rPr>
        <w:t>society </w:t>
      </w:r>
      <w:r>
        <w:rPr>
          <w:color w:val="231F20"/>
          <w:w w:val="110"/>
          <w:sz w:val="18"/>
        </w:rPr>
        <w:t>and</w:t>
      </w:r>
      <w:r>
        <w:rPr>
          <w:color w:val="231F20"/>
          <w:spacing w:val="36"/>
          <w:w w:val="110"/>
          <w:sz w:val="18"/>
        </w:rPr>
        <w:t> </w:t>
      </w:r>
      <w:r>
        <w:rPr>
          <w:color w:val="231F20"/>
          <w:w w:val="110"/>
          <w:sz w:val="18"/>
        </w:rPr>
        <w:t>the</w:t>
      </w:r>
    </w:p>
    <w:p>
      <w:pPr>
        <w:pStyle w:val="BodyText"/>
        <w:spacing w:line="207" w:lineRule="exact"/>
        <w:ind w:left="1553"/>
      </w:pPr>
      <w:r>
        <w:rPr>
          <w:color w:val="231F20"/>
          <w:w w:val="110"/>
        </w:rPr>
        <w:t>state is a matter to be resisted;</w:t>
      </w:r>
    </w:p>
    <w:p>
      <w:pPr>
        <w:pStyle w:val="ListParagraph"/>
        <w:numPr>
          <w:ilvl w:val="3"/>
          <w:numId w:val="128"/>
        </w:numPr>
        <w:tabs>
          <w:tab w:pos="1554" w:val="left" w:leader="none"/>
        </w:tabs>
        <w:spacing w:line="218" w:lineRule="auto" w:before="20" w:after="0"/>
        <w:ind w:left="1553" w:right="1956" w:hanging="341"/>
        <w:jc w:val="left"/>
        <w:rPr>
          <w:sz w:val="18"/>
        </w:rPr>
      </w:pPr>
      <w:r>
        <w:rPr>
          <w:color w:val="231F20"/>
          <w:w w:val="110"/>
          <w:sz w:val="18"/>
        </w:rPr>
        <w:t>the character and teaching of Jesus requires that both grace and truth must be embodied in dealing with this issue and with the people</w:t>
      </w:r>
      <w:r>
        <w:rPr>
          <w:color w:val="231F20"/>
          <w:spacing w:val="69"/>
          <w:w w:val="110"/>
          <w:sz w:val="18"/>
        </w:rPr>
        <w:t> </w:t>
      </w:r>
      <w:r>
        <w:rPr>
          <w:color w:val="231F20"/>
          <w:w w:val="110"/>
          <w:sz w:val="18"/>
        </w:rPr>
        <w:t>concerned;</w:t>
      </w:r>
    </w:p>
    <w:p>
      <w:pPr>
        <w:pStyle w:val="ListParagraph"/>
        <w:numPr>
          <w:ilvl w:val="3"/>
          <w:numId w:val="128"/>
        </w:numPr>
        <w:tabs>
          <w:tab w:pos="1554" w:val="left" w:leader="none"/>
        </w:tabs>
        <w:spacing w:line="218" w:lineRule="auto" w:before="24" w:after="0"/>
        <w:ind w:left="1553" w:right="2542" w:hanging="341"/>
        <w:jc w:val="left"/>
        <w:rPr>
          <w:sz w:val="18"/>
        </w:rPr>
      </w:pPr>
      <w:r>
        <w:rPr>
          <w:color w:val="231F20"/>
          <w:w w:val="110"/>
          <w:sz w:val="18"/>
        </w:rPr>
        <w:t>working and sharing fellowship with people of </w:t>
      </w:r>
      <w:r>
        <w:rPr>
          <w:color w:val="231F20"/>
          <w:spacing w:val="2"/>
          <w:w w:val="110"/>
          <w:sz w:val="18"/>
        </w:rPr>
        <w:t>very </w:t>
      </w:r>
      <w:r>
        <w:rPr>
          <w:color w:val="231F20"/>
          <w:w w:val="110"/>
          <w:sz w:val="18"/>
        </w:rPr>
        <w:t>different views and </w:t>
      </w:r>
      <w:r>
        <w:rPr>
          <w:color w:val="231F20"/>
          <w:spacing w:val="2"/>
          <w:w w:val="110"/>
          <w:sz w:val="18"/>
        </w:rPr>
        <w:t>practice </w:t>
      </w:r>
      <w:r>
        <w:rPr>
          <w:color w:val="231F20"/>
          <w:w w:val="110"/>
          <w:sz w:val="18"/>
        </w:rPr>
        <w:t>creates painful</w:t>
      </w:r>
      <w:r>
        <w:rPr>
          <w:color w:val="231F20"/>
          <w:spacing w:val="1"/>
          <w:w w:val="110"/>
          <w:sz w:val="18"/>
        </w:rPr>
        <w:t> </w:t>
      </w:r>
      <w:r>
        <w:rPr>
          <w:color w:val="231F20"/>
          <w:w w:val="110"/>
          <w:sz w:val="18"/>
        </w:rPr>
        <w:t>tensions.</w:t>
      </w:r>
    </w:p>
    <w:p>
      <w:pPr>
        <w:spacing w:after="0" w:line="218" w:lineRule="auto"/>
        <w:jc w:val="left"/>
        <w:rPr>
          <w:sz w:val="18"/>
        </w:rPr>
        <w:sectPr>
          <w:pgSz w:w="11910" w:h="16840"/>
          <w:pgMar w:header="558" w:footer="564" w:top="820" w:bottom="760" w:left="620" w:right="0"/>
        </w:sectPr>
      </w:pPr>
    </w:p>
    <w:p>
      <w:pPr>
        <w:pStyle w:val="BodyText"/>
        <w:spacing w:before="7"/>
        <w:rPr>
          <w:sz w:val="19"/>
        </w:rPr>
      </w:pPr>
    </w:p>
    <w:p>
      <w:pPr>
        <w:pStyle w:val="ListParagraph"/>
        <w:numPr>
          <w:ilvl w:val="2"/>
          <w:numId w:val="128"/>
        </w:numPr>
        <w:tabs>
          <w:tab w:pos="1800" w:val="left" w:leader="none"/>
          <w:tab w:pos="1801" w:val="left" w:leader="none"/>
        </w:tabs>
        <w:spacing w:line="273" w:lineRule="auto" w:before="101" w:after="0"/>
        <w:ind w:left="1080" w:right="1330" w:firstLine="0"/>
        <w:jc w:val="left"/>
        <w:rPr>
          <w:sz w:val="18"/>
        </w:rPr>
      </w:pPr>
      <w:r>
        <w:rPr>
          <w:color w:val="231F20"/>
          <w:w w:val="110"/>
          <w:sz w:val="18"/>
        </w:rPr>
        <w:t>some others again who feel that this debate is a </w:t>
      </w:r>
      <w:r>
        <w:rPr>
          <w:color w:val="231F20"/>
          <w:spacing w:val="2"/>
          <w:w w:val="110"/>
          <w:sz w:val="18"/>
        </w:rPr>
        <w:t>necessary </w:t>
      </w:r>
      <w:r>
        <w:rPr>
          <w:color w:val="231F20"/>
          <w:w w:val="110"/>
          <w:sz w:val="18"/>
        </w:rPr>
        <w:t>focus </w:t>
      </w:r>
      <w:r>
        <w:rPr>
          <w:color w:val="231F20"/>
          <w:spacing w:val="2"/>
          <w:w w:val="110"/>
          <w:sz w:val="18"/>
        </w:rPr>
        <w:t>because </w:t>
      </w:r>
      <w:r>
        <w:rPr>
          <w:color w:val="231F20"/>
          <w:w w:val="110"/>
          <w:sz w:val="18"/>
        </w:rPr>
        <w:t>it is a passionately held matter of God’s unbounded grace, justice, the work of the Spirit and faithfulness to God’s revelation in Christ and in scripture, believing</w:t>
      </w:r>
      <w:r>
        <w:rPr>
          <w:color w:val="231F20"/>
          <w:spacing w:val="41"/>
          <w:w w:val="110"/>
          <w:sz w:val="18"/>
        </w:rPr>
        <w:t> </w:t>
      </w:r>
      <w:r>
        <w:rPr>
          <w:color w:val="231F20"/>
          <w:w w:val="110"/>
          <w:sz w:val="18"/>
        </w:rPr>
        <w:t>that:</w:t>
      </w:r>
    </w:p>
    <w:p>
      <w:pPr>
        <w:pStyle w:val="ListParagraph"/>
        <w:numPr>
          <w:ilvl w:val="3"/>
          <w:numId w:val="128"/>
        </w:numPr>
        <w:tabs>
          <w:tab w:pos="2121" w:val="left" w:leader="none"/>
        </w:tabs>
        <w:spacing w:line="218" w:lineRule="auto" w:before="0" w:after="0"/>
        <w:ind w:left="2120" w:right="1812" w:hanging="341"/>
        <w:jc w:val="left"/>
        <w:rPr>
          <w:sz w:val="18"/>
        </w:rPr>
      </w:pPr>
      <w:r>
        <w:rPr>
          <w:color w:val="231F20"/>
          <w:w w:val="110"/>
          <w:sz w:val="18"/>
        </w:rPr>
        <w:t>God’s will is for newness of life for all people in Christ, regardless of any human distinctions, including sexual</w:t>
      </w:r>
      <w:r>
        <w:rPr>
          <w:color w:val="231F20"/>
          <w:spacing w:val="10"/>
          <w:w w:val="110"/>
          <w:sz w:val="18"/>
        </w:rPr>
        <w:t> </w:t>
      </w:r>
      <w:r>
        <w:rPr>
          <w:color w:val="231F20"/>
          <w:w w:val="110"/>
          <w:sz w:val="18"/>
        </w:rPr>
        <w:t>orientation;</w:t>
      </w:r>
    </w:p>
    <w:p>
      <w:pPr>
        <w:pStyle w:val="ListParagraph"/>
        <w:numPr>
          <w:ilvl w:val="3"/>
          <w:numId w:val="128"/>
        </w:numPr>
        <w:tabs>
          <w:tab w:pos="2121" w:val="left" w:leader="none"/>
        </w:tabs>
        <w:spacing w:line="218" w:lineRule="auto" w:before="14" w:after="0"/>
        <w:ind w:left="2120" w:right="1592" w:hanging="341"/>
        <w:jc w:val="left"/>
        <w:rPr>
          <w:sz w:val="18"/>
        </w:rPr>
      </w:pPr>
      <w:r>
        <w:rPr>
          <w:color w:val="231F20"/>
          <w:w w:val="110"/>
          <w:sz w:val="18"/>
        </w:rPr>
        <w:t>it is God’s creative intent that there are people whose innate sexual orientation</w:t>
      </w:r>
      <w:r>
        <w:rPr>
          <w:color w:val="231F20"/>
          <w:spacing w:val="12"/>
          <w:w w:val="110"/>
          <w:sz w:val="18"/>
        </w:rPr>
        <w:t> </w:t>
      </w:r>
      <w:r>
        <w:rPr>
          <w:color w:val="231F20"/>
          <w:w w:val="110"/>
          <w:sz w:val="18"/>
        </w:rPr>
        <w:t>and</w:t>
      </w:r>
      <w:r>
        <w:rPr>
          <w:color w:val="231F20"/>
          <w:spacing w:val="13"/>
          <w:w w:val="110"/>
          <w:sz w:val="18"/>
        </w:rPr>
        <w:t> </w:t>
      </w:r>
      <w:r>
        <w:rPr>
          <w:color w:val="231F20"/>
          <w:w w:val="110"/>
          <w:sz w:val="18"/>
        </w:rPr>
        <w:t>its</w:t>
      </w:r>
      <w:r>
        <w:rPr>
          <w:color w:val="231F20"/>
          <w:spacing w:val="13"/>
          <w:w w:val="110"/>
          <w:sz w:val="18"/>
        </w:rPr>
        <w:t> </w:t>
      </w:r>
      <w:r>
        <w:rPr>
          <w:color w:val="231F20"/>
          <w:w w:val="110"/>
          <w:sz w:val="18"/>
        </w:rPr>
        <w:t>fulfilment</w:t>
      </w:r>
      <w:r>
        <w:rPr>
          <w:color w:val="231F20"/>
          <w:spacing w:val="13"/>
          <w:w w:val="110"/>
          <w:sz w:val="18"/>
        </w:rPr>
        <w:t> </w:t>
      </w:r>
      <w:r>
        <w:rPr>
          <w:color w:val="231F20"/>
          <w:w w:val="110"/>
          <w:sz w:val="18"/>
        </w:rPr>
        <w:t>are</w:t>
      </w:r>
      <w:r>
        <w:rPr>
          <w:color w:val="231F20"/>
          <w:spacing w:val="13"/>
          <w:w w:val="110"/>
          <w:sz w:val="18"/>
        </w:rPr>
        <w:t> </w:t>
      </w:r>
      <w:r>
        <w:rPr>
          <w:color w:val="231F20"/>
          <w:w w:val="110"/>
          <w:sz w:val="18"/>
        </w:rPr>
        <w:t>directed</w:t>
      </w:r>
      <w:r>
        <w:rPr>
          <w:color w:val="231F20"/>
          <w:spacing w:val="12"/>
          <w:w w:val="110"/>
          <w:sz w:val="18"/>
        </w:rPr>
        <w:t> </w:t>
      </w:r>
      <w:r>
        <w:rPr>
          <w:color w:val="231F20"/>
          <w:w w:val="110"/>
          <w:sz w:val="18"/>
        </w:rPr>
        <w:t>towards</w:t>
      </w:r>
      <w:r>
        <w:rPr>
          <w:color w:val="231F20"/>
          <w:spacing w:val="13"/>
          <w:w w:val="110"/>
          <w:sz w:val="18"/>
        </w:rPr>
        <w:t> </w:t>
      </w:r>
      <w:r>
        <w:rPr>
          <w:color w:val="231F20"/>
          <w:w w:val="110"/>
          <w:sz w:val="18"/>
        </w:rPr>
        <w:t>others</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same</w:t>
      </w:r>
      <w:r>
        <w:rPr>
          <w:color w:val="231F20"/>
          <w:spacing w:val="13"/>
          <w:w w:val="110"/>
          <w:sz w:val="18"/>
        </w:rPr>
        <w:t> </w:t>
      </w:r>
      <w:r>
        <w:rPr>
          <w:color w:val="231F20"/>
          <w:w w:val="110"/>
          <w:sz w:val="18"/>
        </w:rPr>
        <w:t>sex;</w:t>
      </w:r>
    </w:p>
    <w:p>
      <w:pPr>
        <w:pStyle w:val="ListParagraph"/>
        <w:numPr>
          <w:ilvl w:val="3"/>
          <w:numId w:val="128"/>
        </w:numPr>
        <w:tabs>
          <w:tab w:pos="2121" w:val="left" w:leader="none"/>
        </w:tabs>
        <w:spacing w:line="250" w:lineRule="exact" w:before="17" w:after="0"/>
        <w:ind w:left="2120" w:right="2472" w:hanging="341"/>
        <w:jc w:val="left"/>
        <w:rPr>
          <w:sz w:val="18"/>
        </w:rPr>
      </w:pPr>
      <w:r>
        <w:rPr>
          <w:color w:val="231F20"/>
          <w:w w:val="110"/>
          <w:sz w:val="18"/>
        </w:rPr>
        <w:t>some people are called by God into committed, loving, same-sex relationships, including their sexual consummation, and that such relationships</w:t>
      </w:r>
      <w:r>
        <w:rPr>
          <w:color w:val="231F20"/>
          <w:spacing w:val="8"/>
          <w:w w:val="110"/>
          <w:sz w:val="18"/>
        </w:rPr>
        <w:t> </w:t>
      </w:r>
      <w:r>
        <w:rPr>
          <w:color w:val="231F20"/>
          <w:w w:val="110"/>
          <w:sz w:val="18"/>
        </w:rPr>
        <w:t>can</w:t>
      </w:r>
      <w:r>
        <w:rPr>
          <w:color w:val="231F20"/>
          <w:spacing w:val="9"/>
          <w:w w:val="110"/>
          <w:sz w:val="18"/>
        </w:rPr>
        <w:t> </w:t>
      </w:r>
      <w:r>
        <w:rPr>
          <w:color w:val="231F20"/>
          <w:w w:val="110"/>
          <w:sz w:val="18"/>
        </w:rPr>
        <w:t>be</w:t>
      </w:r>
      <w:r>
        <w:rPr>
          <w:color w:val="231F20"/>
          <w:spacing w:val="8"/>
          <w:w w:val="110"/>
          <w:sz w:val="18"/>
        </w:rPr>
        <w:t> </w:t>
      </w:r>
      <w:r>
        <w:rPr>
          <w:color w:val="231F20"/>
          <w:w w:val="110"/>
          <w:sz w:val="18"/>
        </w:rPr>
        <w:t>judged</w:t>
      </w:r>
      <w:r>
        <w:rPr>
          <w:color w:val="231F20"/>
          <w:spacing w:val="9"/>
          <w:w w:val="110"/>
          <w:sz w:val="18"/>
        </w:rPr>
        <w:t> </w:t>
      </w:r>
      <w:r>
        <w:rPr>
          <w:color w:val="231F20"/>
          <w:w w:val="110"/>
          <w:sz w:val="18"/>
        </w:rPr>
        <w:t>by</w:t>
      </w:r>
      <w:r>
        <w:rPr>
          <w:color w:val="231F20"/>
          <w:spacing w:val="8"/>
          <w:w w:val="110"/>
          <w:sz w:val="18"/>
        </w:rPr>
        <w:t> </w:t>
      </w:r>
      <w:r>
        <w:rPr>
          <w:color w:val="231F20"/>
          <w:w w:val="110"/>
          <w:sz w:val="18"/>
        </w:rPr>
        <w:t>the</w:t>
      </w:r>
      <w:r>
        <w:rPr>
          <w:color w:val="231F20"/>
          <w:spacing w:val="9"/>
          <w:w w:val="110"/>
          <w:sz w:val="18"/>
        </w:rPr>
        <w:t> </w:t>
      </w:r>
      <w:r>
        <w:rPr>
          <w:color w:val="231F20"/>
          <w:spacing w:val="2"/>
          <w:w w:val="110"/>
          <w:sz w:val="18"/>
        </w:rPr>
        <w:t>fruits</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8"/>
          <w:w w:val="110"/>
          <w:sz w:val="18"/>
        </w:rPr>
        <w:t> </w:t>
      </w:r>
      <w:r>
        <w:rPr>
          <w:color w:val="231F20"/>
          <w:w w:val="110"/>
          <w:sz w:val="18"/>
        </w:rPr>
        <w:t>Spirit</w:t>
      </w:r>
      <w:r>
        <w:rPr>
          <w:color w:val="231F20"/>
          <w:spacing w:val="9"/>
          <w:w w:val="110"/>
          <w:sz w:val="18"/>
        </w:rPr>
        <w:t> </w:t>
      </w:r>
      <w:r>
        <w:rPr>
          <w:color w:val="231F20"/>
          <w:w w:val="110"/>
          <w:sz w:val="18"/>
        </w:rPr>
        <w:t>that</w:t>
      </w:r>
      <w:r>
        <w:rPr>
          <w:color w:val="231F20"/>
          <w:spacing w:val="8"/>
          <w:w w:val="110"/>
          <w:sz w:val="18"/>
        </w:rPr>
        <w:t> </w:t>
      </w:r>
      <w:r>
        <w:rPr>
          <w:color w:val="231F20"/>
          <w:w w:val="110"/>
          <w:sz w:val="18"/>
        </w:rPr>
        <w:t>result;</w:t>
      </w:r>
    </w:p>
    <w:p>
      <w:pPr>
        <w:pStyle w:val="ListParagraph"/>
        <w:numPr>
          <w:ilvl w:val="3"/>
          <w:numId w:val="128"/>
        </w:numPr>
        <w:tabs>
          <w:tab w:pos="2121" w:val="left" w:leader="none"/>
        </w:tabs>
        <w:spacing w:line="218" w:lineRule="auto" w:before="8" w:after="0"/>
        <w:ind w:left="2120" w:right="1993" w:hanging="341"/>
        <w:jc w:val="left"/>
        <w:rPr>
          <w:sz w:val="18"/>
        </w:rPr>
      </w:pPr>
      <w:r>
        <w:rPr>
          <w:color w:val="231F20"/>
          <w:w w:val="110"/>
          <w:sz w:val="18"/>
        </w:rPr>
        <w:t>whilst most scriptural </w:t>
      </w:r>
      <w:r>
        <w:rPr>
          <w:color w:val="231F20"/>
          <w:spacing w:val="2"/>
          <w:w w:val="110"/>
          <w:sz w:val="18"/>
        </w:rPr>
        <w:t>references </w:t>
      </w:r>
      <w:r>
        <w:rPr>
          <w:color w:val="231F20"/>
          <w:w w:val="110"/>
          <w:sz w:val="18"/>
        </w:rPr>
        <w:t>to same-sex </w:t>
      </w:r>
      <w:r>
        <w:rPr>
          <w:color w:val="231F20"/>
          <w:spacing w:val="2"/>
          <w:w w:val="110"/>
          <w:sz w:val="18"/>
        </w:rPr>
        <w:t>activity </w:t>
      </w:r>
      <w:r>
        <w:rPr>
          <w:color w:val="231F20"/>
          <w:w w:val="110"/>
          <w:sz w:val="18"/>
        </w:rPr>
        <w:t>seem negative, they</w:t>
      </w:r>
      <w:r>
        <w:rPr>
          <w:color w:val="231F20"/>
          <w:spacing w:val="12"/>
          <w:w w:val="110"/>
          <w:sz w:val="18"/>
        </w:rPr>
        <w:t> </w:t>
      </w:r>
      <w:r>
        <w:rPr>
          <w:color w:val="231F20"/>
          <w:w w:val="110"/>
          <w:sz w:val="18"/>
        </w:rPr>
        <w:t>are</w:t>
      </w:r>
      <w:r>
        <w:rPr>
          <w:color w:val="231F20"/>
          <w:spacing w:val="13"/>
          <w:w w:val="110"/>
          <w:sz w:val="18"/>
        </w:rPr>
        <w:t> </w:t>
      </w:r>
      <w:r>
        <w:rPr>
          <w:color w:val="231F20"/>
          <w:w w:val="110"/>
          <w:sz w:val="18"/>
        </w:rPr>
        <w:t>not</w:t>
      </w:r>
      <w:r>
        <w:rPr>
          <w:color w:val="231F20"/>
          <w:spacing w:val="13"/>
          <w:w w:val="110"/>
          <w:sz w:val="18"/>
        </w:rPr>
        <w:t> </w:t>
      </w:r>
      <w:r>
        <w:rPr>
          <w:color w:val="231F20"/>
          <w:w w:val="110"/>
          <w:sz w:val="18"/>
        </w:rPr>
        <w:t>relevant</w:t>
      </w:r>
      <w:r>
        <w:rPr>
          <w:color w:val="231F20"/>
          <w:spacing w:val="13"/>
          <w:w w:val="110"/>
          <w:sz w:val="18"/>
        </w:rPr>
        <w:t> </w:t>
      </w:r>
      <w:r>
        <w:rPr>
          <w:color w:val="231F20"/>
          <w:w w:val="110"/>
          <w:sz w:val="18"/>
        </w:rPr>
        <w:t>to</w:t>
      </w:r>
      <w:r>
        <w:rPr>
          <w:color w:val="231F20"/>
          <w:spacing w:val="12"/>
          <w:w w:val="110"/>
          <w:sz w:val="18"/>
        </w:rPr>
        <w:t> </w:t>
      </w:r>
      <w:r>
        <w:rPr>
          <w:color w:val="231F20"/>
          <w:w w:val="110"/>
          <w:sz w:val="18"/>
        </w:rPr>
        <w:t>the</w:t>
      </w:r>
      <w:r>
        <w:rPr>
          <w:color w:val="231F20"/>
          <w:spacing w:val="13"/>
          <w:w w:val="110"/>
          <w:sz w:val="18"/>
        </w:rPr>
        <w:t> </w:t>
      </w:r>
      <w:r>
        <w:rPr>
          <w:color w:val="231F20"/>
          <w:spacing w:val="2"/>
          <w:w w:val="110"/>
          <w:sz w:val="18"/>
        </w:rPr>
        <w:t>contemporary</w:t>
      </w:r>
      <w:r>
        <w:rPr>
          <w:color w:val="231F20"/>
          <w:spacing w:val="13"/>
          <w:w w:val="110"/>
          <w:sz w:val="18"/>
        </w:rPr>
        <w:t> </w:t>
      </w:r>
      <w:r>
        <w:rPr>
          <w:color w:val="231F20"/>
          <w:w w:val="110"/>
          <w:sz w:val="18"/>
        </w:rPr>
        <w:t>understanding</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same-sex</w:t>
      </w:r>
    </w:p>
    <w:p>
      <w:pPr>
        <w:pStyle w:val="BodyText"/>
        <w:spacing w:line="273" w:lineRule="auto" w:before="36"/>
        <w:ind w:left="2120" w:right="1205"/>
      </w:pPr>
      <w:r>
        <w:rPr>
          <w:color w:val="231F20"/>
          <w:w w:val="110"/>
        </w:rPr>
        <w:t>relationships; emphasis needs to be given to the scriptural themes of grace, love and faithfulness;</w:t>
      </w:r>
    </w:p>
    <w:p>
      <w:pPr>
        <w:pStyle w:val="ListParagraph"/>
        <w:numPr>
          <w:ilvl w:val="3"/>
          <w:numId w:val="128"/>
        </w:numPr>
        <w:tabs>
          <w:tab w:pos="2121" w:val="left" w:leader="none"/>
        </w:tabs>
        <w:spacing w:line="218" w:lineRule="auto" w:before="0" w:after="0"/>
        <w:ind w:left="2120" w:right="1275" w:hanging="341"/>
        <w:jc w:val="left"/>
        <w:rPr>
          <w:sz w:val="18"/>
        </w:rPr>
      </w:pPr>
      <w:r>
        <w:rPr>
          <w:color w:val="231F20"/>
          <w:w w:val="110"/>
          <w:sz w:val="18"/>
        </w:rPr>
        <w:t>where vocations to ministry of those in committed same-sex relationships   are</w:t>
      </w:r>
      <w:r>
        <w:rPr>
          <w:color w:val="231F20"/>
          <w:spacing w:val="9"/>
          <w:w w:val="110"/>
          <w:sz w:val="18"/>
        </w:rPr>
        <w:t> </w:t>
      </w:r>
      <w:r>
        <w:rPr>
          <w:color w:val="231F20"/>
          <w:w w:val="110"/>
          <w:sz w:val="18"/>
        </w:rPr>
        <w:t>discerned</w:t>
      </w:r>
      <w:r>
        <w:rPr>
          <w:color w:val="231F20"/>
          <w:spacing w:val="10"/>
          <w:w w:val="110"/>
          <w:sz w:val="18"/>
        </w:rPr>
        <w:t> </w:t>
      </w:r>
      <w:r>
        <w:rPr>
          <w:color w:val="231F20"/>
          <w:w w:val="110"/>
          <w:sz w:val="18"/>
        </w:rPr>
        <w:t>through</w:t>
      </w:r>
      <w:r>
        <w:rPr>
          <w:color w:val="231F20"/>
          <w:spacing w:val="10"/>
          <w:w w:val="110"/>
          <w:sz w:val="18"/>
        </w:rPr>
        <w:t> </w:t>
      </w:r>
      <w:r>
        <w:rPr>
          <w:color w:val="231F20"/>
          <w:w w:val="110"/>
          <w:sz w:val="18"/>
        </w:rPr>
        <w:t>the</w:t>
      </w:r>
      <w:r>
        <w:rPr>
          <w:color w:val="231F20"/>
          <w:spacing w:val="10"/>
          <w:w w:val="110"/>
          <w:sz w:val="18"/>
        </w:rPr>
        <w:t> </w:t>
      </w:r>
      <w:r>
        <w:rPr>
          <w:color w:val="231F20"/>
          <w:spacing w:val="2"/>
          <w:w w:val="110"/>
          <w:sz w:val="18"/>
        </w:rPr>
        <w:t>processes</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church</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be</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work</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Holy</w:t>
      </w:r>
    </w:p>
    <w:p>
      <w:pPr>
        <w:pStyle w:val="BodyText"/>
        <w:spacing w:before="25"/>
        <w:ind w:left="2120"/>
      </w:pPr>
      <w:r>
        <w:rPr>
          <w:color w:val="231F20"/>
          <w:w w:val="110"/>
        </w:rPr>
        <w:t>Spirit, such vocations should be upheld;</w:t>
      </w:r>
    </w:p>
    <w:p>
      <w:pPr>
        <w:pStyle w:val="ListParagraph"/>
        <w:numPr>
          <w:ilvl w:val="3"/>
          <w:numId w:val="128"/>
        </w:numPr>
        <w:tabs>
          <w:tab w:pos="2121" w:val="left" w:leader="none"/>
        </w:tabs>
        <w:spacing w:line="218" w:lineRule="auto" w:before="20" w:after="0"/>
        <w:ind w:left="2120" w:right="1426" w:hanging="341"/>
        <w:jc w:val="left"/>
        <w:rPr>
          <w:sz w:val="18"/>
        </w:rPr>
      </w:pPr>
      <w:r>
        <w:rPr>
          <w:color w:val="231F20"/>
          <w:w w:val="110"/>
          <w:sz w:val="18"/>
        </w:rPr>
        <w:t>this is an issue of justice, and the church should celebrate changes made to address unjust </w:t>
      </w:r>
      <w:r>
        <w:rPr>
          <w:color w:val="231F20"/>
          <w:spacing w:val="2"/>
          <w:w w:val="110"/>
          <w:sz w:val="18"/>
        </w:rPr>
        <w:t>structures </w:t>
      </w:r>
      <w:r>
        <w:rPr>
          <w:color w:val="231F20"/>
          <w:w w:val="110"/>
          <w:sz w:val="18"/>
        </w:rPr>
        <w:t>in </w:t>
      </w:r>
      <w:r>
        <w:rPr>
          <w:color w:val="231F20"/>
          <w:spacing w:val="2"/>
          <w:w w:val="110"/>
          <w:sz w:val="18"/>
        </w:rPr>
        <w:t>society </w:t>
      </w:r>
      <w:r>
        <w:rPr>
          <w:color w:val="231F20"/>
          <w:w w:val="110"/>
          <w:sz w:val="18"/>
        </w:rPr>
        <w:t>as, in part, the work of the</w:t>
      </w:r>
      <w:r>
        <w:rPr>
          <w:color w:val="231F20"/>
          <w:spacing w:val="60"/>
          <w:w w:val="110"/>
          <w:sz w:val="18"/>
        </w:rPr>
        <w:t> </w:t>
      </w:r>
      <w:r>
        <w:rPr>
          <w:color w:val="231F20"/>
          <w:w w:val="110"/>
          <w:sz w:val="18"/>
        </w:rPr>
        <w:t>Spirit;</w:t>
      </w:r>
    </w:p>
    <w:p>
      <w:pPr>
        <w:pStyle w:val="ListParagraph"/>
        <w:numPr>
          <w:ilvl w:val="3"/>
          <w:numId w:val="128"/>
        </w:numPr>
        <w:tabs>
          <w:tab w:pos="2121" w:val="left" w:leader="none"/>
        </w:tabs>
        <w:spacing w:line="292" w:lineRule="exact" w:before="6" w:after="0"/>
        <w:ind w:left="2120" w:right="0" w:hanging="341"/>
        <w:jc w:val="left"/>
        <w:rPr>
          <w:sz w:val="18"/>
        </w:rPr>
      </w:pPr>
      <w:r>
        <w:rPr>
          <w:color w:val="231F20"/>
          <w:w w:val="110"/>
          <w:sz w:val="18"/>
        </w:rPr>
        <w:t>the church should welcome the creation of civil </w:t>
      </w:r>
      <w:r>
        <w:rPr>
          <w:color w:val="231F20"/>
          <w:spacing w:val="2"/>
          <w:w w:val="110"/>
          <w:sz w:val="18"/>
        </w:rPr>
        <w:t>partnerships </w:t>
      </w:r>
      <w:r>
        <w:rPr>
          <w:color w:val="231F20"/>
          <w:w w:val="110"/>
          <w:sz w:val="18"/>
        </w:rPr>
        <w:t>and support</w:t>
      </w:r>
      <w:r>
        <w:rPr>
          <w:color w:val="231F20"/>
          <w:spacing w:val="57"/>
          <w:w w:val="110"/>
          <w:sz w:val="18"/>
        </w:rPr>
        <w:t> </w:t>
      </w:r>
      <w:r>
        <w:rPr>
          <w:color w:val="231F20"/>
          <w:w w:val="110"/>
          <w:sz w:val="18"/>
        </w:rPr>
        <w:t>such</w:t>
      </w:r>
    </w:p>
    <w:p>
      <w:pPr>
        <w:pStyle w:val="BodyText"/>
        <w:spacing w:line="207" w:lineRule="exact"/>
        <w:ind w:left="2120"/>
      </w:pPr>
      <w:r>
        <w:rPr>
          <w:color w:val="231F20"/>
          <w:w w:val="110"/>
        </w:rPr>
        <w:t>unions pastorally;</w:t>
      </w:r>
    </w:p>
    <w:p>
      <w:pPr>
        <w:pStyle w:val="ListParagraph"/>
        <w:numPr>
          <w:ilvl w:val="3"/>
          <w:numId w:val="128"/>
        </w:numPr>
        <w:tabs>
          <w:tab w:pos="2121" w:val="left" w:leader="none"/>
        </w:tabs>
        <w:spacing w:line="218" w:lineRule="auto" w:before="20" w:after="0"/>
        <w:ind w:left="2120" w:right="1976" w:hanging="341"/>
        <w:jc w:val="left"/>
        <w:rPr>
          <w:sz w:val="18"/>
        </w:rPr>
      </w:pPr>
      <w:r>
        <w:rPr>
          <w:color w:val="231F20"/>
          <w:w w:val="110"/>
          <w:sz w:val="18"/>
        </w:rPr>
        <w:t>working and sharing fellowship with people of </w:t>
      </w:r>
      <w:r>
        <w:rPr>
          <w:color w:val="231F20"/>
          <w:spacing w:val="2"/>
          <w:w w:val="110"/>
          <w:sz w:val="18"/>
        </w:rPr>
        <w:t>very </w:t>
      </w:r>
      <w:r>
        <w:rPr>
          <w:color w:val="231F20"/>
          <w:w w:val="110"/>
          <w:sz w:val="18"/>
        </w:rPr>
        <w:t>different views and </w:t>
      </w:r>
      <w:r>
        <w:rPr>
          <w:color w:val="231F20"/>
          <w:spacing w:val="2"/>
          <w:w w:val="110"/>
          <w:sz w:val="18"/>
        </w:rPr>
        <w:t>practice </w:t>
      </w:r>
      <w:r>
        <w:rPr>
          <w:color w:val="231F20"/>
          <w:w w:val="110"/>
          <w:sz w:val="18"/>
        </w:rPr>
        <w:t>creates painful</w:t>
      </w:r>
      <w:r>
        <w:rPr>
          <w:color w:val="231F20"/>
          <w:spacing w:val="1"/>
          <w:w w:val="110"/>
          <w:sz w:val="18"/>
        </w:rPr>
        <w:t> </w:t>
      </w:r>
      <w:r>
        <w:rPr>
          <w:color w:val="231F20"/>
          <w:w w:val="110"/>
          <w:sz w:val="18"/>
        </w:rPr>
        <w:t>tensions.</w:t>
      </w:r>
    </w:p>
    <w:p>
      <w:pPr>
        <w:pStyle w:val="BodyText"/>
        <w:spacing w:before="6"/>
        <w:rPr>
          <w:sz w:val="23"/>
        </w:rPr>
      </w:pPr>
    </w:p>
    <w:p>
      <w:pPr>
        <w:pStyle w:val="ListParagraph"/>
        <w:numPr>
          <w:ilvl w:val="1"/>
          <w:numId w:val="128"/>
        </w:numPr>
        <w:tabs>
          <w:tab w:pos="1761" w:val="left" w:leader="none"/>
          <w:tab w:pos="1762" w:val="left" w:leader="none"/>
        </w:tabs>
        <w:spacing w:line="240" w:lineRule="auto" w:before="0" w:after="0"/>
        <w:ind w:left="1761" w:right="0" w:hanging="682"/>
        <w:jc w:val="left"/>
        <w:rPr>
          <w:sz w:val="18"/>
        </w:rPr>
      </w:pPr>
      <w:r>
        <w:rPr>
          <w:color w:val="231F20"/>
          <w:w w:val="110"/>
          <w:sz w:val="18"/>
        </w:rPr>
        <w:t>recognising this </w:t>
      </w:r>
      <w:r>
        <w:rPr>
          <w:color w:val="231F20"/>
          <w:spacing w:val="2"/>
          <w:w w:val="110"/>
          <w:sz w:val="18"/>
        </w:rPr>
        <w:t>very </w:t>
      </w:r>
      <w:r>
        <w:rPr>
          <w:color w:val="231F20"/>
          <w:w w:val="110"/>
          <w:sz w:val="18"/>
        </w:rPr>
        <w:t>wide range of views, we</w:t>
      </w:r>
      <w:r>
        <w:rPr>
          <w:color w:val="231F20"/>
          <w:spacing w:val="9"/>
          <w:w w:val="110"/>
          <w:sz w:val="18"/>
        </w:rPr>
        <w:t> </w:t>
      </w:r>
      <w:r>
        <w:rPr>
          <w:color w:val="231F20"/>
          <w:w w:val="110"/>
          <w:sz w:val="18"/>
        </w:rPr>
        <w:t>–</w:t>
      </w:r>
    </w:p>
    <w:p>
      <w:pPr>
        <w:pStyle w:val="ListParagraph"/>
        <w:numPr>
          <w:ilvl w:val="0"/>
          <w:numId w:val="133"/>
        </w:numPr>
        <w:tabs>
          <w:tab w:pos="1762" w:val="left" w:leader="none"/>
        </w:tabs>
        <w:spacing w:line="277" w:lineRule="exact" w:before="1" w:after="0"/>
        <w:ind w:left="1761" w:right="0" w:hanging="682"/>
        <w:jc w:val="both"/>
        <w:rPr>
          <w:sz w:val="18"/>
        </w:rPr>
      </w:pPr>
      <w:r>
        <w:rPr>
          <w:color w:val="231F20"/>
          <w:w w:val="110"/>
          <w:sz w:val="18"/>
        </w:rPr>
        <w:t>acknowledge this</w:t>
      </w:r>
      <w:r>
        <w:rPr>
          <w:color w:val="231F20"/>
          <w:spacing w:val="2"/>
          <w:w w:val="110"/>
          <w:sz w:val="18"/>
        </w:rPr>
        <w:t> </w:t>
      </w:r>
      <w:r>
        <w:rPr>
          <w:color w:val="231F20"/>
          <w:w w:val="110"/>
          <w:sz w:val="18"/>
        </w:rPr>
        <w:t>diversity;</w:t>
      </w:r>
    </w:p>
    <w:p>
      <w:pPr>
        <w:pStyle w:val="ListParagraph"/>
        <w:numPr>
          <w:ilvl w:val="0"/>
          <w:numId w:val="133"/>
        </w:numPr>
        <w:tabs>
          <w:tab w:pos="1762" w:val="left" w:leader="none"/>
        </w:tabs>
        <w:spacing w:line="250" w:lineRule="exact" w:before="0" w:after="0"/>
        <w:ind w:left="1761" w:right="0" w:hanging="682"/>
        <w:jc w:val="both"/>
        <w:rPr>
          <w:sz w:val="18"/>
        </w:rPr>
      </w:pPr>
      <w:r>
        <w:rPr>
          <w:color w:val="231F20"/>
          <w:w w:val="110"/>
          <w:sz w:val="18"/>
        </w:rPr>
        <w:t>accept that these views are all held with integrity and </w:t>
      </w:r>
      <w:r>
        <w:rPr>
          <w:color w:val="231F20"/>
          <w:spacing w:val="2"/>
          <w:w w:val="110"/>
          <w:sz w:val="18"/>
        </w:rPr>
        <w:t>often </w:t>
      </w:r>
      <w:r>
        <w:rPr>
          <w:color w:val="231F20"/>
          <w:w w:val="110"/>
          <w:sz w:val="18"/>
        </w:rPr>
        <w:t>with</w:t>
      </w:r>
      <w:r>
        <w:rPr>
          <w:color w:val="231F20"/>
          <w:spacing w:val="37"/>
          <w:w w:val="110"/>
          <w:sz w:val="18"/>
        </w:rPr>
        <w:t> </w:t>
      </w:r>
      <w:r>
        <w:rPr>
          <w:color w:val="231F20"/>
          <w:w w:val="110"/>
          <w:sz w:val="18"/>
        </w:rPr>
        <w:t>passion;</w:t>
      </w:r>
    </w:p>
    <w:p>
      <w:pPr>
        <w:pStyle w:val="ListParagraph"/>
        <w:numPr>
          <w:ilvl w:val="0"/>
          <w:numId w:val="133"/>
        </w:numPr>
        <w:tabs>
          <w:tab w:pos="1762" w:val="left" w:leader="none"/>
        </w:tabs>
        <w:spacing w:line="218" w:lineRule="auto" w:before="0" w:after="0"/>
        <w:ind w:left="1761" w:right="1607" w:hanging="681"/>
        <w:jc w:val="both"/>
        <w:rPr>
          <w:sz w:val="18"/>
        </w:rPr>
      </w:pPr>
      <w:r>
        <w:rPr>
          <w:color w:val="231F20"/>
          <w:w w:val="110"/>
          <w:sz w:val="18"/>
        </w:rPr>
        <w:t>acknowledge that those who are </w:t>
      </w:r>
      <w:r>
        <w:rPr>
          <w:color w:val="231F20"/>
          <w:spacing w:val="2"/>
          <w:w w:val="110"/>
          <w:sz w:val="18"/>
        </w:rPr>
        <w:t>sisters </w:t>
      </w:r>
      <w:r>
        <w:rPr>
          <w:color w:val="231F20"/>
          <w:w w:val="110"/>
          <w:sz w:val="18"/>
        </w:rPr>
        <w:t>and </w:t>
      </w:r>
      <w:r>
        <w:rPr>
          <w:color w:val="231F20"/>
          <w:spacing w:val="2"/>
          <w:w w:val="110"/>
          <w:sz w:val="18"/>
        </w:rPr>
        <w:t>brothers </w:t>
      </w:r>
      <w:r>
        <w:rPr>
          <w:color w:val="231F20"/>
          <w:w w:val="110"/>
          <w:sz w:val="18"/>
        </w:rPr>
        <w:t>in Christ are so through God's calling rather than personal</w:t>
      </w:r>
      <w:r>
        <w:rPr>
          <w:color w:val="231F20"/>
          <w:spacing w:val="10"/>
          <w:w w:val="110"/>
          <w:sz w:val="18"/>
        </w:rPr>
        <w:t> </w:t>
      </w:r>
      <w:r>
        <w:rPr>
          <w:color w:val="231F20"/>
          <w:w w:val="110"/>
          <w:sz w:val="18"/>
        </w:rPr>
        <w:t>choosing;</w:t>
      </w:r>
    </w:p>
    <w:p>
      <w:pPr>
        <w:pStyle w:val="ListParagraph"/>
        <w:numPr>
          <w:ilvl w:val="0"/>
          <w:numId w:val="133"/>
        </w:numPr>
        <w:tabs>
          <w:tab w:pos="1762" w:val="left" w:leader="none"/>
        </w:tabs>
        <w:spacing w:line="277" w:lineRule="exact" w:before="0" w:after="0"/>
        <w:ind w:left="1761" w:right="0" w:hanging="682"/>
        <w:jc w:val="both"/>
        <w:rPr>
          <w:sz w:val="18"/>
        </w:rPr>
      </w:pPr>
      <w:r>
        <w:rPr>
          <w:color w:val="231F20"/>
          <w:w w:val="110"/>
          <w:sz w:val="18"/>
        </w:rPr>
        <w:t>believe that Christ calls us to strive to live</w:t>
      </w:r>
      <w:r>
        <w:rPr>
          <w:color w:val="231F20"/>
          <w:spacing w:val="15"/>
          <w:w w:val="110"/>
          <w:sz w:val="18"/>
        </w:rPr>
        <w:t> </w:t>
      </w:r>
      <w:r>
        <w:rPr>
          <w:color w:val="231F20"/>
          <w:w w:val="110"/>
          <w:sz w:val="18"/>
        </w:rPr>
        <w:t>together;</w:t>
      </w:r>
    </w:p>
    <w:p>
      <w:pPr>
        <w:pStyle w:val="ListParagraph"/>
        <w:numPr>
          <w:ilvl w:val="0"/>
          <w:numId w:val="133"/>
        </w:numPr>
        <w:tabs>
          <w:tab w:pos="1762" w:val="left" w:leader="none"/>
        </w:tabs>
        <w:spacing w:line="218" w:lineRule="auto" w:before="0" w:after="0"/>
        <w:ind w:left="1761" w:right="1849" w:hanging="681"/>
        <w:jc w:val="both"/>
        <w:rPr>
          <w:sz w:val="18"/>
        </w:rPr>
      </w:pPr>
      <w:r>
        <w:rPr>
          <w:color w:val="231F20"/>
          <w:w w:val="110"/>
          <w:sz w:val="18"/>
        </w:rPr>
        <w:t>realise that this can only be done by reliance on the grace of God to enable mutual </w:t>
      </w:r>
      <w:r>
        <w:rPr>
          <w:color w:val="231F20"/>
          <w:spacing w:val="2"/>
          <w:w w:val="110"/>
          <w:sz w:val="18"/>
        </w:rPr>
        <w:t>respect, </w:t>
      </w:r>
      <w:r>
        <w:rPr>
          <w:color w:val="231F20"/>
          <w:w w:val="110"/>
          <w:sz w:val="18"/>
        </w:rPr>
        <w:t>love and continuing exploration</w:t>
      </w:r>
      <w:r>
        <w:rPr>
          <w:color w:val="231F20"/>
          <w:spacing w:val="17"/>
          <w:w w:val="110"/>
          <w:sz w:val="18"/>
        </w:rPr>
        <w:t> </w:t>
      </w:r>
      <w:r>
        <w:rPr>
          <w:color w:val="231F20"/>
          <w:w w:val="110"/>
          <w:sz w:val="18"/>
        </w:rPr>
        <w:t>together;</w:t>
      </w:r>
    </w:p>
    <w:p>
      <w:pPr>
        <w:pStyle w:val="ListParagraph"/>
        <w:numPr>
          <w:ilvl w:val="0"/>
          <w:numId w:val="133"/>
        </w:numPr>
        <w:tabs>
          <w:tab w:pos="1762" w:val="left" w:leader="none"/>
        </w:tabs>
        <w:spacing w:line="250" w:lineRule="exact" w:before="6" w:after="0"/>
        <w:ind w:left="1761" w:right="1181" w:hanging="681"/>
        <w:jc w:val="both"/>
        <w:rPr>
          <w:sz w:val="18"/>
        </w:rPr>
      </w:pPr>
      <w:r>
        <w:rPr>
          <w:color w:val="231F20"/>
          <w:w w:val="110"/>
          <w:sz w:val="18"/>
        </w:rPr>
        <w:t>agree to continue to explore these </w:t>
      </w:r>
      <w:r>
        <w:rPr>
          <w:color w:val="231F20"/>
          <w:spacing w:val="2"/>
          <w:w w:val="110"/>
          <w:sz w:val="18"/>
        </w:rPr>
        <w:t>differences </w:t>
      </w:r>
      <w:r>
        <w:rPr>
          <w:color w:val="231F20"/>
          <w:w w:val="110"/>
          <w:sz w:val="18"/>
        </w:rPr>
        <w:t>in the light of our understanding of Scripture and under the Holy Spirit's guidance for our individual and shared life in today's world.</w:t>
      </w:r>
    </w:p>
    <w:p>
      <w:pPr>
        <w:pStyle w:val="BodyText"/>
        <w:spacing w:before="2"/>
        <w:rPr>
          <w:sz w:val="22"/>
        </w:rPr>
      </w:pPr>
    </w:p>
    <w:p>
      <w:pPr>
        <w:pStyle w:val="ListParagraph"/>
        <w:numPr>
          <w:ilvl w:val="1"/>
          <w:numId w:val="128"/>
        </w:numPr>
        <w:tabs>
          <w:tab w:pos="1800" w:val="left" w:leader="none"/>
          <w:tab w:pos="1801" w:val="left" w:leader="none"/>
        </w:tabs>
        <w:spacing w:line="273" w:lineRule="auto" w:before="0" w:after="0"/>
        <w:ind w:left="1080" w:right="1146" w:firstLine="0"/>
        <w:jc w:val="left"/>
        <w:rPr>
          <w:sz w:val="18"/>
        </w:rPr>
      </w:pPr>
      <w:r>
        <w:rPr/>
        <w:pict>
          <v:shape style="position:absolute;margin-left:56.692993pt;margin-top:43.459335pt;width:481.9pt;height:.1pt;mso-position-horizontal-relative:page;mso-position-vertical-relative:paragraph;z-index:-251325440;mso-wrap-distance-left:0;mso-wrap-distance-right:0" coordorigin="1134,869" coordsize="9638,0" path="m1134,869l10772,869e" filled="false" stroked="true" strokeweight=".5pt" strokecolor="#231f20">
            <v:path arrowok="t"/>
            <v:stroke dashstyle="solid"/>
            <w10:wrap type="topAndBottom"/>
          </v:shape>
        </w:pict>
      </w:r>
      <w:r>
        <w:rPr>
          <w:color w:val="231F20"/>
          <w:w w:val="110"/>
          <w:sz w:val="18"/>
        </w:rPr>
        <w:t>in love and submission to Christ who holds us together, we </w:t>
      </w:r>
      <w:r>
        <w:rPr>
          <w:color w:val="231F20"/>
          <w:spacing w:val="2"/>
          <w:w w:val="110"/>
          <w:sz w:val="18"/>
        </w:rPr>
        <w:t>therefore </w:t>
      </w:r>
      <w:r>
        <w:rPr>
          <w:color w:val="231F20"/>
          <w:w w:val="110"/>
          <w:sz w:val="18"/>
        </w:rPr>
        <w:t>commit ourselves to stay together, to work and pray together, to treat one another with </w:t>
      </w:r>
      <w:r>
        <w:rPr>
          <w:color w:val="231F20"/>
          <w:spacing w:val="2"/>
          <w:w w:val="110"/>
          <w:sz w:val="18"/>
        </w:rPr>
        <w:t>respect, </w:t>
      </w:r>
      <w:r>
        <w:rPr>
          <w:color w:val="231F20"/>
          <w:w w:val="110"/>
          <w:sz w:val="18"/>
        </w:rPr>
        <w:t>and to seek God’s </w:t>
      </w:r>
      <w:r>
        <w:rPr>
          <w:color w:val="231F20"/>
          <w:spacing w:val="2"/>
          <w:w w:val="110"/>
          <w:sz w:val="18"/>
        </w:rPr>
        <w:t>gifts </w:t>
      </w:r>
      <w:r>
        <w:rPr>
          <w:color w:val="231F20"/>
          <w:w w:val="110"/>
          <w:sz w:val="18"/>
        </w:rPr>
        <w:t>of unity, harmony, wisdom and deeper</w:t>
      </w:r>
      <w:r>
        <w:rPr>
          <w:color w:val="231F20"/>
          <w:spacing w:val="43"/>
          <w:w w:val="110"/>
          <w:sz w:val="18"/>
        </w:rPr>
        <w:t> </w:t>
      </w:r>
      <w:r>
        <w:rPr>
          <w:color w:val="231F20"/>
          <w:w w:val="110"/>
          <w:sz w:val="18"/>
        </w:rPr>
        <w:t>understanding.</w:t>
      </w:r>
    </w:p>
    <w:p>
      <w:pPr>
        <w:pStyle w:val="BodyText"/>
        <w:rPr>
          <w:sz w:val="22"/>
        </w:rPr>
      </w:pPr>
    </w:p>
    <w:p>
      <w:pPr>
        <w:pStyle w:val="BodyText"/>
        <w:rPr>
          <w:sz w:val="27"/>
        </w:rPr>
      </w:pPr>
    </w:p>
    <w:p>
      <w:pPr>
        <w:pStyle w:val="Heading9"/>
        <w:numPr>
          <w:ilvl w:val="0"/>
          <w:numId w:val="128"/>
        </w:numPr>
        <w:tabs>
          <w:tab w:pos="1801" w:val="left" w:leader="none"/>
        </w:tabs>
        <w:spacing w:line="240" w:lineRule="auto" w:before="0" w:after="0"/>
        <w:ind w:left="1800" w:right="0" w:hanging="721"/>
        <w:jc w:val="both"/>
      </w:pPr>
      <w:r>
        <w:rPr>
          <w:color w:val="231F20"/>
          <w:spacing w:val="-7"/>
          <w:w w:val="110"/>
        </w:rPr>
        <w:t>Ways </w:t>
      </w:r>
      <w:r>
        <w:rPr>
          <w:color w:val="231F20"/>
          <w:w w:val="110"/>
        </w:rPr>
        <w:t>of</w:t>
      </w:r>
      <w:r>
        <w:rPr>
          <w:color w:val="231F20"/>
          <w:spacing w:val="7"/>
          <w:w w:val="110"/>
        </w:rPr>
        <w:t> </w:t>
      </w:r>
      <w:r>
        <w:rPr>
          <w:color w:val="231F20"/>
          <w:spacing w:val="-3"/>
          <w:w w:val="110"/>
        </w:rPr>
        <w:t>working</w:t>
      </w:r>
    </w:p>
    <w:p>
      <w:pPr>
        <w:pStyle w:val="ListParagraph"/>
        <w:numPr>
          <w:ilvl w:val="1"/>
          <w:numId w:val="128"/>
        </w:numPr>
        <w:tabs>
          <w:tab w:pos="1871" w:val="left" w:leader="none"/>
          <w:tab w:pos="1872" w:val="left" w:leader="none"/>
        </w:tabs>
        <w:spacing w:line="273" w:lineRule="auto" w:before="258" w:after="0"/>
        <w:ind w:left="1080" w:right="1566" w:firstLine="0"/>
        <w:jc w:val="left"/>
        <w:rPr>
          <w:sz w:val="18"/>
        </w:rPr>
      </w:pPr>
      <w:r>
        <w:rPr>
          <w:color w:val="231F20"/>
          <w:w w:val="110"/>
          <w:sz w:val="18"/>
        </w:rPr>
        <w:t>In the period </w:t>
      </w:r>
      <w:r>
        <w:rPr>
          <w:color w:val="231F20"/>
          <w:spacing w:val="2"/>
          <w:w w:val="110"/>
          <w:sz w:val="18"/>
        </w:rPr>
        <w:t>after </w:t>
      </w:r>
      <w:r>
        <w:rPr>
          <w:color w:val="231F20"/>
          <w:w w:val="110"/>
          <w:sz w:val="18"/>
        </w:rPr>
        <w:t>Assembly, if Assembly </w:t>
      </w:r>
      <w:r>
        <w:rPr>
          <w:color w:val="231F20"/>
          <w:spacing w:val="2"/>
          <w:w w:val="110"/>
          <w:sz w:val="18"/>
        </w:rPr>
        <w:t>accepts </w:t>
      </w:r>
      <w:r>
        <w:rPr>
          <w:color w:val="231F20"/>
          <w:w w:val="110"/>
          <w:sz w:val="18"/>
        </w:rPr>
        <w:t>these proposals, it might  be good for synods and local churches to </w:t>
      </w:r>
      <w:r>
        <w:rPr>
          <w:color w:val="231F20"/>
          <w:spacing w:val="2"/>
          <w:w w:val="110"/>
          <w:sz w:val="18"/>
        </w:rPr>
        <w:t>reflect </w:t>
      </w:r>
      <w:r>
        <w:rPr>
          <w:color w:val="231F20"/>
          <w:w w:val="110"/>
          <w:sz w:val="18"/>
        </w:rPr>
        <w:t>on the Commitment, and to identify themselves with its spirit and</w:t>
      </w:r>
      <w:r>
        <w:rPr>
          <w:color w:val="231F20"/>
          <w:spacing w:val="7"/>
          <w:w w:val="110"/>
          <w:sz w:val="18"/>
        </w:rPr>
        <w:t> </w:t>
      </w:r>
      <w:r>
        <w:rPr>
          <w:color w:val="231F20"/>
          <w:w w:val="110"/>
          <w:sz w:val="18"/>
        </w:rPr>
        <w:t>intention.</w:t>
      </w:r>
    </w:p>
    <w:p>
      <w:pPr>
        <w:pStyle w:val="BodyText"/>
        <w:spacing w:before="9"/>
        <w:rPr>
          <w:sz w:val="20"/>
        </w:rPr>
      </w:pPr>
    </w:p>
    <w:p>
      <w:pPr>
        <w:pStyle w:val="ListParagraph"/>
        <w:numPr>
          <w:ilvl w:val="1"/>
          <w:numId w:val="128"/>
        </w:numPr>
        <w:tabs>
          <w:tab w:pos="1800" w:val="left" w:leader="none"/>
          <w:tab w:pos="1801" w:val="left" w:leader="none"/>
        </w:tabs>
        <w:spacing w:line="273" w:lineRule="auto" w:before="0" w:after="0"/>
        <w:ind w:left="1080" w:right="1440" w:firstLine="0"/>
        <w:jc w:val="left"/>
        <w:rPr>
          <w:sz w:val="18"/>
        </w:rPr>
      </w:pPr>
      <w:r>
        <w:rPr>
          <w:color w:val="231F20"/>
          <w:w w:val="110"/>
          <w:sz w:val="18"/>
        </w:rPr>
        <w:t>Also in this period, time needs to be allowed for the relevant work of the Catch the Vision </w:t>
      </w:r>
      <w:r>
        <w:rPr>
          <w:color w:val="231F20"/>
          <w:spacing w:val="2"/>
          <w:w w:val="110"/>
          <w:sz w:val="18"/>
        </w:rPr>
        <w:t>process </w:t>
      </w:r>
      <w:r>
        <w:rPr>
          <w:color w:val="231F20"/>
          <w:w w:val="110"/>
          <w:sz w:val="18"/>
        </w:rPr>
        <w:t>to be completed and assimilated into the life of the Church.</w:t>
      </w:r>
    </w:p>
    <w:p>
      <w:pPr>
        <w:pStyle w:val="BodyText"/>
        <w:spacing w:before="8"/>
        <w:rPr>
          <w:sz w:val="20"/>
        </w:rPr>
      </w:pPr>
    </w:p>
    <w:p>
      <w:pPr>
        <w:pStyle w:val="ListParagraph"/>
        <w:numPr>
          <w:ilvl w:val="1"/>
          <w:numId w:val="128"/>
        </w:numPr>
        <w:tabs>
          <w:tab w:pos="1800" w:val="left" w:leader="none"/>
          <w:tab w:pos="1801" w:val="left" w:leader="none"/>
        </w:tabs>
        <w:spacing w:line="273" w:lineRule="auto" w:before="1" w:after="0"/>
        <w:ind w:left="1080" w:right="1396" w:firstLine="0"/>
        <w:jc w:val="left"/>
        <w:rPr>
          <w:sz w:val="18"/>
        </w:rPr>
      </w:pPr>
      <w:r>
        <w:rPr>
          <w:color w:val="231F20"/>
          <w:w w:val="110"/>
          <w:sz w:val="18"/>
        </w:rPr>
        <w:t>It is a clear conviction that the </w:t>
      </w:r>
      <w:r>
        <w:rPr>
          <w:color w:val="231F20"/>
          <w:spacing w:val="2"/>
          <w:w w:val="110"/>
          <w:sz w:val="18"/>
        </w:rPr>
        <w:t>process </w:t>
      </w:r>
      <w:r>
        <w:rPr>
          <w:color w:val="231F20"/>
          <w:w w:val="110"/>
          <w:sz w:val="18"/>
        </w:rPr>
        <w:t>of </w:t>
      </w:r>
      <w:r>
        <w:rPr>
          <w:color w:val="231F20"/>
          <w:spacing w:val="2"/>
          <w:w w:val="110"/>
          <w:sz w:val="18"/>
        </w:rPr>
        <w:t>further </w:t>
      </w:r>
      <w:r>
        <w:rPr>
          <w:color w:val="231F20"/>
          <w:w w:val="110"/>
          <w:sz w:val="18"/>
        </w:rPr>
        <w:t>discussion needs to take  place without the pressure of deadlines. While there may be need to come to some conclusions, and this </w:t>
      </w:r>
      <w:r>
        <w:rPr>
          <w:color w:val="231F20"/>
          <w:spacing w:val="2"/>
          <w:w w:val="110"/>
          <w:sz w:val="18"/>
        </w:rPr>
        <w:t>process </w:t>
      </w:r>
      <w:r>
        <w:rPr>
          <w:color w:val="231F20"/>
          <w:w w:val="110"/>
          <w:sz w:val="18"/>
        </w:rPr>
        <w:t>cannot be entirely open-ended, discussion might well be hindered rather than helped by the imposition of a timetable. It is imperative that the whole church is given space to be and to</w:t>
      </w:r>
      <w:r>
        <w:rPr>
          <w:color w:val="231F20"/>
          <w:spacing w:val="16"/>
          <w:w w:val="110"/>
          <w:sz w:val="18"/>
        </w:rPr>
        <w:t> </w:t>
      </w:r>
      <w:r>
        <w:rPr>
          <w:color w:val="231F20"/>
          <w:spacing w:val="2"/>
          <w:w w:val="110"/>
          <w:sz w:val="18"/>
        </w:rPr>
        <w:t>reflect.</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28"/>
        </w:numPr>
        <w:tabs>
          <w:tab w:pos="1233" w:val="left" w:leader="none"/>
          <w:tab w:pos="1234" w:val="left" w:leader="none"/>
        </w:tabs>
        <w:spacing w:line="273" w:lineRule="auto" w:before="101" w:after="0"/>
        <w:ind w:left="513" w:right="2142" w:firstLine="0"/>
        <w:jc w:val="left"/>
        <w:rPr>
          <w:sz w:val="18"/>
        </w:rPr>
      </w:pPr>
      <w:r>
        <w:rPr>
          <w:color w:val="231F20"/>
          <w:w w:val="110"/>
          <w:sz w:val="18"/>
        </w:rPr>
        <w:t>In order for </w:t>
      </w:r>
      <w:r>
        <w:rPr>
          <w:color w:val="231F20"/>
          <w:spacing w:val="2"/>
          <w:w w:val="110"/>
          <w:sz w:val="18"/>
        </w:rPr>
        <w:t>further </w:t>
      </w:r>
      <w:r>
        <w:rPr>
          <w:color w:val="231F20"/>
          <w:w w:val="110"/>
          <w:sz w:val="18"/>
        </w:rPr>
        <w:t>work to be coordinated and be moved forward, it would  be advisable for a small group, perhaps a task group of Mission Council, to have responsibility for overseeing the </w:t>
      </w:r>
      <w:r>
        <w:rPr>
          <w:color w:val="231F20"/>
          <w:spacing w:val="2"/>
          <w:w w:val="110"/>
          <w:sz w:val="18"/>
        </w:rPr>
        <w:t>process </w:t>
      </w:r>
      <w:r>
        <w:rPr>
          <w:color w:val="231F20"/>
          <w:w w:val="110"/>
          <w:sz w:val="18"/>
        </w:rPr>
        <w:t>and ensuring that discussions are held with the appropriate people and</w:t>
      </w:r>
      <w:r>
        <w:rPr>
          <w:color w:val="231F20"/>
          <w:spacing w:val="6"/>
          <w:w w:val="110"/>
          <w:sz w:val="18"/>
        </w:rPr>
        <w:t> </w:t>
      </w:r>
      <w:r>
        <w:rPr>
          <w:color w:val="231F20"/>
          <w:w w:val="110"/>
          <w:sz w:val="18"/>
        </w:rPr>
        <w:t>ecumenically.</w:t>
      </w:r>
    </w:p>
    <w:p>
      <w:pPr>
        <w:pStyle w:val="BodyText"/>
        <w:spacing w:before="9"/>
        <w:rPr>
          <w:sz w:val="20"/>
        </w:rPr>
      </w:pPr>
    </w:p>
    <w:p>
      <w:pPr>
        <w:pStyle w:val="ListParagraph"/>
        <w:numPr>
          <w:ilvl w:val="1"/>
          <w:numId w:val="128"/>
        </w:numPr>
        <w:tabs>
          <w:tab w:pos="1233" w:val="left" w:leader="none"/>
          <w:tab w:pos="1234" w:val="left" w:leader="none"/>
        </w:tabs>
        <w:spacing w:line="273" w:lineRule="auto" w:before="0" w:after="0"/>
        <w:ind w:left="513" w:right="1744" w:firstLine="0"/>
        <w:jc w:val="left"/>
        <w:rPr>
          <w:sz w:val="18"/>
        </w:rPr>
      </w:pPr>
      <w:r>
        <w:rPr>
          <w:color w:val="231F20"/>
          <w:w w:val="110"/>
          <w:sz w:val="18"/>
        </w:rPr>
        <w:t>One of the first things the group might be asked to do is to review the processes used</w:t>
      </w:r>
      <w:r>
        <w:rPr>
          <w:color w:val="231F20"/>
          <w:spacing w:val="-8"/>
          <w:w w:val="110"/>
          <w:sz w:val="18"/>
        </w:rPr>
        <w:t> </w:t>
      </w:r>
      <w:r>
        <w:rPr>
          <w:color w:val="231F20"/>
          <w:w w:val="110"/>
          <w:sz w:val="18"/>
        </w:rPr>
        <w:t>in</w:t>
      </w:r>
      <w:r>
        <w:rPr>
          <w:color w:val="231F20"/>
          <w:spacing w:val="-7"/>
          <w:w w:val="110"/>
          <w:sz w:val="18"/>
        </w:rPr>
        <w:t> </w:t>
      </w:r>
      <w:r>
        <w:rPr>
          <w:color w:val="231F20"/>
          <w:w w:val="110"/>
          <w:sz w:val="18"/>
        </w:rPr>
        <w:t>similar</w:t>
      </w:r>
      <w:r>
        <w:rPr>
          <w:color w:val="231F20"/>
          <w:spacing w:val="-7"/>
          <w:w w:val="110"/>
          <w:sz w:val="18"/>
        </w:rPr>
        <w:t> </w:t>
      </w:r>
      <w:r>
        <w:rPr>
          <w:color w:val="231F20"/>
          <w:w w:val="110"/>
          <w:sz w:val="18"/>
        </w:rPr>
        <w:t>discussions</w:t>
      </w:r>
      <w:r>
        <w:rPr>
          <w:color w:val="231F20"/>
          <w:spacing w:val="-7"/>
          <w:w w:val="110"/>
          <w:sz w:val="18"/>
        </w:rPr>
        <w:t> </w:t>
      </w:r>
      <w:r>
        <w:rPr>
          <w:color w:val="231F20"/>
          <w:w w:val="110"/>
          <w:sz w:val="18"/>
        </w:rPr>
        <w:t>by</w:t>
      </w:r>
      <w:r>
        <w:rPr>
          <w:color w:val="231F20"/>
          <w:spacing w:val="-7"/>
          <w:w w:val="110"/>
          <w:sz w:val="18"/>
        </w:rPr>
        <w:t> </w:t>
      </w:r>
      <w:r>
        <w:rPr>
          <w:color w:val="231F20"/>
          <w:w w:val="110"/>
          <w:sz w:val="18"/>
        </w:rPr>
        <w:t>some</w:t>
      </w:r>
      <w:r>
        <w:rPr>
          <w:color w:val="231F20"/>
          <w:spacing w:val="-7"/>
          <w:w w:val="110"/>
          <w:sz w:val="18"/>
        </w:rPr>
        <w:t> </w:t>
      </w:r>
      <w:r>
        <w:rPr>
          <w:color w:val="231F20"/>
          <w:w w:val="110"/>
          <w:sz w:val="18"/>
        </w:rPr>
        <w:t>other</w:t>
      </w:r>
      <w:r>
        <w:rPr>
          <w:color w:val="231F20"/>
          <w:spacing w:val="-7"/>
          <w:w w:val="110"/>
          <w:sz w:val="18"/>
        </w:rPr>
        <w:t> </w:t>
      </w:r>
      <w:r>
        <w:rPr>
          <w:color w:val="231F20"/>
          <w:w w:val="110"/>
          <w:sz w:val="18"/>
        </w:rPr>
        <w:t>churches,</w:t>
      </w:r>
      <w:r>
        <w:rPr>
          <w:color w:val="231F20"/>
          <w:spacing w:val="-8"/>
          <w:w w:val="110"/>
          <w:sz w:val="18"/>
        </w:rPr>
        <w:t> </w:t>
      </w:r>
      <w:r>
        <w:rPr>
          <w:color w:val="231F20"/>
          <w:w w:val="110"/>
          <w:sz w:val="18"/>
        </w:rPr>
        <w:t>such</w:t>
      </w:r>
      <w:r>
        <w:rPr>
          <w:color w:val="231F20"/>
          <w:spacing w:val="-7"/>
          <w:w w:val="110"/>
          <w:sz w:val="18"/>
        </w:rPr>
        <w:t> </w:t>
      </w:r>
      <w:r>
        <w:rPr>
          <w:color w:val="231F20"/>
          <w:w w:val="110"/>
          <w:sz w:val="18"/>
        </w:rPr>
        <w:t>as</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Church</w:t>
      </w:r>
      <w:r>
        <w:rPr>
          <w:color w:val="231F20"/>
          <w:spacing w:val="-7"/>
          <w:w w:val="110"/>
          <w:sz w:val="18"/>
        </w:rPr>
        <w:t> </w:t>
      </w:r>
      <w:r>
        <w:rPr>
          <w:color w:val="231F20"/>
          <w:w w:val="110"/>
          <w:sz w:val="18"/>
        </w:rPr>
        <w:t>of</w:t>
      </w:r>
      <w:r>
        <w:rPr>
          <w:color w:val="231F20"/>
          <w:spacing w:val="-7"/>
          <w:w w:val="110"/>
          <w:sz w:val="18"/>
        </w:rPr>
        <w:t> </w:t>
      </w:r>
      <w:r>
        <w:rPr>
          <w:color w:val="231F20"/>
          <w:w w:val="110"/>
          <w:sz w:val="18"/>
        </w:rPr>
        <w:t>Sweden</w:t>
      </w:r>
      <w:r>
        <w:rPr>
          <w:color w:val="231F20"/>
          <w:spacing w:val="-7"/>
          <w:w w:val="110"/>
          <w:sz w:val="18"/>
        </w:rPr>
        <w:t> </w:t>
      </w:r>
      <w:r>
        <w:rPr>
          <w:color w:val="231F20"/>
          <w:w w:val="110"/>
          <w:sz w:val="18"/>
        </w:rPr>
        <w:t>and</w:t>
      </w:r>
      <w:r>
        <w:rPr>
          <w:color w:val="231F20"/>
          <w:spacing w:val="-7"/>
          <w:w w:val="110"/>
          <w:sz w:val="18"/>
        </w:rPr>
        <w:t> </w:t>
      </w:r>
      <w:r>
        <w:rPr>
          <w:color w:val="231F20"/>
          <w:w w:val="110"/>
          <w:sz w:val="18"/>
        </w:rPr>
        <w:t>the French Reformed Church, and to consider these as models for our own use. </w:t>
      </w:r>
      <w:r>
        <w:rPr>
          <w:color w:val="231F20"/>
          <w:spacing w:val="-4"/>
          <w:w w:val="110"/>
          <w:sz w:val="18"/>
        </w:rPr>
        <w:t>We </w:t>
      </w:r>
      <w:r>
        <w:rPr>
          <w:color w:val="231F20"/>
          <w:w w:val="110"/>
          <w:sz w:val="18"/>
        </w:rPr>
        <w:t>might also want</w:t>
      </w:r>
      <w:r>
        <w:rPr>
          <w:color w:val="231F20"/>
          <w:spacing w:val="-8"/>
          <w:w w:val="110"/>
          <w:sz w:val="18"/>
        </w:rPr>
        <w:t> </w:t>
      </w:r>
      <w:r>
        <w:rPr>
          <w:color w:val="231F20"/>
          <w:w w:val="110"/>
          <w:sz w:val="18"/>
        </w:rPr>
        <w:t>to</w:t>
      </w:r>
      <w:r>
        <w:rPr>
          <w:color w:val="231F20"/>
          <w:spacing w:val="-7"/>
          <w:w w:val="110"/>
          <w:sz w:val="18"/>
        </w:rPr>
        <w:t> </w:t>
      </w:r>
      <w:r>
        <w:rPr>
          <w:color w:val="231F20"/>
          <w:w w:val="110"/>
          <w:sz w:val="18"/>
        </w:rPr>
        <w:t>learn</w:t>
      </w:r>
      <w:r>
        <w:rPr>
          <w:color w:val="231F20"/>
          <w:spacing w:val="-7"/>
          <w:w w:val="110"/>
          <w:sz w:val="18"/>
        </w:rPr>
        <w:t> </w:t>
      </w:r>
      <w:r>
        <w:rPr>
          <w:color w:val="231F20"/>
          <w:w w:val="110"/>
          <w:sz w:val="18"/>
        </w:rPr>
        <w:t>from</w:t>
      </w:r>
      <w:r>
        <w:rPr>
          <w:color w:val="231F20"/>
          <w:spacing w:val="-7"/>
          <w:w w:val="110"/>
          <w:sz w:val="18"/>
        </w:rPr>
        <w:t> </w:t>
      </w:r>
      <w:r>
        <w:rPr>
          <w:color w:val="231F20"/>
          <w:w w:val="110"/>
          <w:sz w:val="18"/>
        </w:rPr>
        <w:t>the</w:t>
      </w:r>
      <w:r>
        <w:rPr>
          <w:color w:val="231F20"/>
          <w:spacing w:val="-7"/>
          <w:w w:val="110"/>
          <w:sz w:val="18"/>
        </w:rPr>
        <w:t> </w:t>
      </w:r>
      <w:r>
        <w:rPr>
          <w:color w:val="231F20"/>
          <w:w w:val="110"/>
          <w:sz w:val="18"/>
        </w:rPr>
        <w:t>methods</w:t>
      </w:r>
      <w:r>
        <w:rPr>
          <w:color w:val="231F20"/>
          <w:spacing w:val="-7"/>
          <w:w w:val="110"/>
          <w:sz w:val="18"/>
        </w:rPr>
        <w:t> </w:t>
      </w:r>
      <w:r>
        <w:rPr>
          <w:color w:val="231F20"/>
          <w:w w:val="110"/>
          <w:sz w:val="18"/>
        </w:rPr>
        <w:t>of</w:t>
      </w:r>
      <w:r>
        <w:rPr>
          <w:color w:val="231F20"/>
          <w:spacing w:val="-7"/>
          <w:w w:val="110"/>
          <w:sz w:val="18"/>
        </w:rPr>
        <w:t> </w:t>
      </w:r>
      <w:r>
        <w:rPr>
          <w:color w:val="231F20"/>
          <w:w w:val="110"/>
          <w:sz w:val="18"/>
        </w:rPr>
        <w:t>those</w:t>
      </w:r>
      <w:r>
        <w:rPr>
          <w:color w:val="231F20"/>
          <w:spacing w:val="-7"/>
          <w:w w:val="110"/>
          <w:sz w:val="18"/>
        </w:rPr>
        <w:t> </w:t>
      </w:r>
      <w:r>
        <w:rPr>
          <w:color w:val="231F20"/>
          <w:w w:val="110"/>
          <w:sz w:val="18"/>
        </w:rPr>
        <w:t>who</w:t>
      </w:r>
      <w:r>
        <w:rPr>
          <w:color w:val="231F20"/>
          <w:spacing w:val="-7"/>
          <w:w w:val="110"/>
          <w:sz w:val="18"/>
        </w:rPr>
        <w:t> </w:t>
      </w:r>
      <w:r>
        <w:rPr>
          <w:color w:val="231F20"/>
          <w:spacing w:val="-3"/>
          <w:w w:val="110"/>
          <w:sz w:val="18"/>
        </w:rPr>
        <w:t>have</w:t>
      </w:r>
      <w:r>
        <w:rPr>
          <w:color w:val="231F20"/>
          <w:spacing w:val="-7"/>
          <w:w w:val="110"/>
          <w:sz w:val="18"/>
        </w:rPr>
        <w:t> </w:t>
      </w:r>
      <w:r>
        <w:rPr>
          <w:color w:val="231F20"/>
          <w:w w:val="110"/>
          <w:sz w:val="18"/>
        </w:rPr>
        <w:t>encouraged</w:t>
      </w:r>
      <w:r>
        <w:rPr>
          <w:color w:val="231F20"/>
          <w:spacing w:val="-7"/>
          <w:w w:val="110"/>
          <w:sz w:val="18"/>
        </w:rPr>
        <w:t> </w:t>
      </w:r>
      <w:r>
        <w:rPr>
          <w:color w:val="231F20"/>
          <w:w w:val="110"/>
          <w:sz w:val="18"/>
        </w:rPr>
        <w:t>“conflict</w:t>
      </w:r>
      <w:r>
        <w:rPr>
          <w:color w:val="231F20"/>
          <w:spacing w:val="-7"/>
          <w:w w:val="110"/>
          <w:sz w:val="18"/>
        </w:rPr>
        <w:t> </w:t>
      </w:r>
      <w:r>
        <w:rPr>
          <w:color w:val="231F20"/>
          <w:w w:val="110"/>
          <w:sz w:val="18"/>
        </w:rPr>
        <w:t>transformation”.</w:t>
      </w:r>
    </w:p>
    <w:p>
      <w:pPr>
        <w:pStyle w:val="BodyText"/>
        <w:spacing w:before="9"/>
        <w:rPr>
          <w:sz w:val="20"/>
        </w:rPr>
      </w:pPr>
    </w:p>
    <w:p>
      <w:pPr>
        <w:pStyle w:val="ListParagraph"/>
        <w:numPr>
          <w:ilvl w:val="1"/>
          <w:numId w:val="128"/>
        </w:numPr>
        <w:tabs>
          <w:tab w:pos="1234" w:val="left" w:leader="none"/>
        </w:tabs>
        <w:spacing w:line="273" w:lineRule="auto" w:before="0" w:after="0"/>
        <w:ind w:left="513" w:right="1942" w:firstLine="0"/>
        <w:jc w:val="both"/>
        <w:rPr>
          <w:sz w:val="18"/>
        </w:rPr>
      </w:pPr>
      <w:r>
        <w:rPr>
          <w:color w:val="231F20"/>
          <w:spacing w:val="3"/>
          <w:w w:val="110"/>
          <w:sz w:val="18"/>
        </w:rPr>
        <w:t>The </w:t>
      </w:r>
      <w:r>
        <w:rPr>
          <w:color w:val="231F20"/>
          <w:spacing w:val="2"/>
          <w:w w:val="110"/>
          <w:sz w:val="18"/>
        </w:rPr>
        <w:t>group </w:t>
      </w:r>
      <w:r>
        <w:rPr>
          <w:color w:val="231F20"/>
          <w:w w:val="110"/>
          <w:sz w:val="18"/>
        </w:rPr>
        <w:t>might </w:t>
      </w:r>
      <w:r>
        <w:rPr>
          <w:color w:val="231F20"/>
          <w:spacing w:val="2"/>
          <w:w w:val="110"/>
          <w:sz w:val="18"/>
        </w:rPr>
        <w:t>usefully gather </w:t>
      </w:r>
      <w:r>
        <w:rPr>
          <w:color w:val="231F20"/>
          <w:w w:val="110"/>
          <w:sz w:val="18"/>
        </w:rPr>
        <w:t>and </w:t>
      </w:r>
      <w:r>
        <w:rPr>
          <w:color w:val="231F20"/>
          <w:spacing w:val="2"/>
          <w:w w:val="110"/>
          <w:sz w:val="18"/>
        </w:rPr>
        <w:t>publish </w:t>
      </w:r>
      <w:r>
        <w:rPr>
          <w:color w:val="231F20"/>
          <w:spacing w:val="3"/>
          <w:w w:val="110"/>
          <w:sz w:val="18"/>
        </w:rPr>
        <w:t>accessible </w:t>
      </w:r>
      <w:r>
        <w:rPr>
          <w:color w:val="231F20"/>
          <w:spacing w:val="2"/>
          <w:w w:val="110"/>
          <w:sz w:val="18"/>
        </w:rPr>
        <w:t>materials covering the </w:t>
      </w:r>
      <w:r>
        <w:rPr>
          <w:color w:val="231F20"/>
          <w:spacing w:val="3"/>
          <w:w w:val="110"/>
          <w:sz w:val="18"/>
        </w:rPr>
        <w:t>diverse </w:t>
      </w:r>
      <w:r>
        <w:rPr>
          <w:color w:val="231F20"/>
          <w:spacing w:val="2"/>
          <w:w w:val="110"/>
          <w:sz w:val="18"/>
        </w:rPr>
        <w:t>range </w:t>
      </w:r>
      <w:r>
        <w:rPr>
          <w:color w:val="231F20"/>
          <w:w w:val="110"/>
          <w:sz w:val="18"/>
        </w:rPr>
        <w:t>of </w:t>
      </w:r>
      <w:r>
        <w:rPr>
          <w:color w:val="231F20"/>
          <w:spacing w:val="3"/>
          <w:w w:val="110"/>
          <w:sz w:val="18"/>
        </w:rPr>
        <w:t>subjects </w:t>
      </w:r>
      <w:r>
        <w:rPr>
          <w:color w:val="231F20"/>
          <w:w w:val="110"/>
          <w:sz w:val="18"/>
        </w:rPr>
        <w:t>and views </w:t>
      </w:r>
      <w:r>
        <w:rPr>
          <w:color w:val="231F20"/>
          <w:spacing w:val="2"/>
          <w:w w:val="110"/>
          <w:sz w:val="18"/>
        </w:rPr>
        <w:t>which </w:t>
      </w:r>
      <w:r>
        <w:rPr>
          <w:color w:val="231F20"/>
          <w:w w:val="110"/>
          <w:sz w:val="18"/>
        </w:rPr>
        <w:t>would </w:t>
      </w:r>
      <w:r>
        <w:rPr>
          <w:color w:val="231F20"/>
          <w:spacing w:val="2"/>
          <w:w w:val="110"/>
          <w:sz w:val="18"/>
        </w:rPr>
        <w:t>be </w:t>
      </w:r>
      <w:r>
        <w:rPr>
          <w:color w:val="231F20"/>
          <w:w w:val="110"/>
          <w:sz w:val="18"/>
        </w:rPr>
        <w:t>of help to small </w:t>
      </w:r>
      <w:r>
        <w:rPr>
          <w:color w:val="231F20"/>
          <w:spacing w:val="2"/>
          <w:w w:val="110"/>
          <w:sz w:val="18"/>
        </w:rPr>
        <w:t>groups </w:t>
      </w:r>
      <w:r>
        <w:rPr>
          <w:color w:val="231F20"/>
          <w:w w:val="110"/>
          <w:sz w:val="18"/>
        </w:rPr>
        <w:t>and </w:t>
      </w:r>
      <w:r>
        <w:rPr>
          <w:color w:val="231F20"/>
          <w:spacing w:val="3"/>
          <w:w w:val="110"/>
          <w:sz w:val="18"/>
        </w:rPr>
        <w:t>local churches.</w:t>
      </w:r>
    </w:p>
    <w:p>
      <w:pPr>
        <w:pStyle w:val="BodyText"/>
        <w:spacing w:before="9"/>
        <w:rPr>
          <w:sz w:val="20"/>
        </w:rPr>
      </w:pPr>
    </w:p>
    <w:p>
      <w:pPr>
        <w:pStyle w:val="ListParagraph"/>
        <w:numPr>
          <w:ilvl w:val="1"/>
          <w:numId w:val="128"/>
        </w:numPr>
        <w:tabs>
          <w:tab w:pos="1233" w:val="left" w:leader="none"/>
          <w:tab w:pos="1234" w:val="left" w:leader="none"/>
        </w:tabs>
        <w:spacing w:line="273" w:lineRule="auto" w:before="0" w:after="0"/>
        <w:ind w:left="513" w:right="1868" w:firstLine="0"/>
        <w:jc w:val="left"/>
        <w:rPr>
          <w:sz w:val="18"/>
        </w:rPr>
      </w:pPr>
      <w:r>
        <w:rPr>
          <w:color w:val="231F20"/>
          <w:w w:val="110"/>
          <w:sz w:val="18"/>
        </w:rPr>
        <w:t>The group would be responsible for considering how </w:t>
      </w:r>
      <w:r>
        <w:rPr>
          <w:color w:val="231F20"/>
          <w:spacing w:val="2"/>
          <w:w w:val="110"/>
          <w:sz w:val="18"/>
        </w:rPr>
        <w:t>best </w:t>
      </w:r>
      <w:r>
        <w:rPr>
          <w:color w:val="231F20"/>
          <w:w w:val="110"/>
          <w:sz w:val="18"/>
        </w:rPr>
        <w:t>to deal with the issues listed below, how discussions might take place and with whom – whether by special groups, ecumenically or by existing committees – and how local churches and the councils of the church might also be involved. The group would coordinate this work  and </w:t>
      </w:r>
      <w:r>
        <w:rPr>
          <w:color w:val="231F20"/>
          <w:spacing w:val="3"/>
          <w:w w:val="110"/>
          <w:sz w:val="18"/>
        </w:rPr>
        <w:t>report </w:t>
      </w:r>
      <w:r>
        <w:rPr>
          <w:color w:val="231F20"/>
          <w:w w:val="110"/>
          <w:sz w:val="18"/>
        </w:rPr>
        <w:t>back to Mission</w:t>
      </w:r>
      <w:r>
        <w:rPr>
          <w:color w:val="231F20"/>
          <w:spacing w:val="3"/>
          <w:w w:val="110"/>
          <w:sz w:val="18"/>
        </w:rPr>
        <w:t> </w:t>
      </w:r>
      <w:r>
        <w:rPr>
          <w:color w:val="231F20"/>
          <w:w w:val="110"/>
          <w:sz w:val="18"/>
        </w:rPr>
        <w:t>Council.</w:t>
      </w:r>
    </w:p>
    <w:p>
      <w:pPr>
        <w:pStyle w:val="BodyText"/>
        <w:spacing w:before="6"/>
        <w:rPr>
          <w:sz w:val="27"/>
        </w:rPr>
      </w:pPr>
      <w:r>
        <w:rPr/>
        <w:pict>
          <v:shape style="position:absolute;margin-left:56.692993pt;margin-top:18.944546pt;width:481.9pt;height:.1pt;mso-position-horizontal-relative:page;mso-position-vertical-relative:paragraph;z-index:-251324416;mso-wrap-distance-left:0;mso-wrap-distance-right:0" coordorigin="1134,379" coordsize="9638,0" path="m1134,379l10772,379e" filled="false" stroked="true" strokeweight=".5pt" strokecolor="#231f20">
            <v:path arrowok="t"/>
            <v:stroke dashstyle="solid"/>
            <w10:wrap type="topAndBottom"/>
          </v:shape>
        </w:pict>
      </w:r>
    </w:p>
    <w:p>
      <w:pPr>
        <w:pStyle w:val="BodyText"/>
        <w:spacing w:before="11"/>
        <w:rPr>
          <w:sz w:val="27"/>
        </w:rPr>
      </w:pPr>
    </w:p>
    <w:p>
      <w:pPr>
        <w:pStyle w:val="Heading9"/>
        <w:numPr>
          <w:ilvl w:val="0"/>
          <w:numId w:val="128"/>
        </w:numPr>
        <w:tabs>
          <w:tab w:pos="1234" w:val="left" w:leader="none"/>
        </w:tabs>
        <w:spacing w:line="240" w:lineRule="auto" w:before="1" w:after="0"/>
        <w:ind w:left="1233" w:right="0" w:hanging="721"/>
        <w:jc w:val="both"/>
      </w:pPr>
      <w:r>
        <w:rPr>
          <w:color w:val="231F20"/>
          <w:w w:val="110"/>
        </w:rPr>
        <w:t>Some issues to be explored</w:t>
      </w:r>
      <w:r>
        <w:rPr>
          <w:color w:val="231F20"/>
          <w:spacing w:val="1"/>
          <w:w w:val="110"/>
        </w:rPr>
        <w:t> </w:t>
      </w:r>
      <w:r>
        <w:rPr>
          <w:color w:val="231F20"/>
          <w:w w:val="110"/>
        </w:rPr>
        <w:t>further</w:t>
      </w:r>
    </w:p>
    <w:p>
      <w:pPr>
        <w:pStyle w:val="BodyText"/>
        <w:spacing w:line="273" w:lineRule="auto" w:before="258"/>
        <w:ind w:left="513" w:right="1721"/>
      </w:pPr>
      <w:r>
        <w:rPr>
          <w:color w:val="231F20"/>
          <w:w w:val="110"/>
        </w:rPr>
        <w:t>Mission Council recognises that as well as the range of issues considered in the </w:t>
      </w:r>
      <w:r>
        <w:rPr>
          <w:color w:val="231F20"/>
          <w:spacing w:val="3"/>
          <w:w w:val="110"/>
        </w:rPr>
        <w:t>report    </w:t>
      </w:r>
      <w:r>
        <w:rPr>
          <w:color w:val="231F20"/>
          <w:w w:val="110"/>
        </w:rPr>
        <w:t>of </w:t>
      </w:r>
      <w:r>
        <w:rPr>
          <w:color w:val="231F20"/>
          <w:spacing w:val="-4"/>
          <w:w w:val="110"/>
        </w:rPr>
        <w:t>1999, </w:t>
      </w:r>
      <w:r>
        <w:rPr>
          <w:color w:val="231F20"/>
          <w:w w:val="110"/>
        </w:rPr>
        <w:t>there are many related, </w:t>
      </w:r>
      <w:r>
        <w:rPr>
          <w:color w:val="231F20"/>
          <w:spacing w:val="2"/>
          <w:w w:val="110"/>
        </w:rPr>
        <w:t>often </w:t>
      </w:r>
      <w:r>
        <w:rPr>
          <w:color w:val="231F20"/>
          <w:w w:val="110"/>
        </w:rPr>
        <w:t>complex and significant issues which need to be explored in more depth and in a constructive atmosphere, and in terms of the </w:t>
      </w:r>
      <w:r>
        <w:rPr>
          <w:color w:val="231F20"/>
          <w:spacing w:val="2"/>
          <w:w w:val="110"/>
        </w:rPr>
        <w:t>processes</w:t>
      </w:r>
      <w:r>
        <w:rPr>
          <w:color w:val="231F20"/>
          <w:spacing w:val="73"/>
          <w:w w:val="110"/>
        </w:rPr>
        <w:t> </w:t>
      </w:r>
      <w:r>
        <w:rPr>
          <w:color w:val="231F20"/>
          <w:w w:val="110"/>
        </w:rPr>
        <w:t>set out above (section </w:t>
      </w:r>
      <w:r>
        <w:rPr>
          <w:color w:val="231F20"/>
          <w:spacing w:val="-6"/>
          <w:w w:val="110"/>
        </w:rPr>
        <w:t>8). </w:t>
      </w:r>
      <w:r>
        <w:rPr>
          <w:color w:val="231F20"/>
          <w:w w:val="110"/>
        </w:rPr>
        <w:t>In outline some of these are</w:t>
      </w:r>
      <w:r>
        <w:rPr>
          <w:color w:val="231F20"/>
          <w:spacing w:val="35"/>
          <w:w w:val="110"/>
        </w:rPr>
        <w:t> </w:t>
      </w:r>
      <w:r>
        <w:rPr>
          <w:color w:val="231F20"/>
          <w:w w:val="110"/>
        </w:rPr>
        <w:t>–</w:t>
      </w:r>
    </w:p>
    <w:p>
      <w:pPr>
        <w:pStyle w:val="BodyText"/>
        <w:spacing w:before="9"/>
        <w:rPr>
          <w:sz w:val="20"/>
        </w:rPr>
      </w:pPr>
    </w:p>
    <w:p>
      <w:pPr>
        <w:numPr>
          <w:ilvl w:val="1"/>
          <w:numId w:val="128"/>
        </w:numPr>
        <w:tabs>
          <w:tab w:pos="1233" w:val="left" w:leader="none"/>
          <w:tab w:pos="1234" w:val="left" w:leader="none"/>
        </w:tabs>
        <w:spacing w:before="0"/>
        <w:ind w:left="1233" w:right="0" w:hanging="721"/>
        <w:jc w:val="left"/>
        <w:rPr>
          <w:b/>
          <w:sz w:val="18"/>
        </w:rPr>
      </w:pPr>
      <w:r>
        <w:rPr>
          <w:b/>
          <w:color w:val="231F20"/>
          <w:w w:val="110"/>
          <w:sz w:val="18"/>
        </w:rPr>
        <w:t>Theology</w:t>
      </w:r>
    </w:p>
    <w:p>
      <w:pPr>
        <w:pStyle w:val="BodyText"/>
        <w:spacing w:line="273" w:lineRule="auto" w:before="31"/>
        <w:ind w:left="513" w:right="1744"/>
      </w:pPr>
      <w:r>
        <w:rPr>
          <w:color w:val="231F20"/>
          <w:w w:val="110"/>
        </w:rPr>
        <w:t>Among several theological issues to be addressed, a coherent and comprehensive theology of same-sex partnerships is urgently needed as a basis for </w:t>
      </w:r>
      <w:r>
        <w:rPr>
          <w:color w:val="231F20"/>
          <w:spacing w:val="-3"/>
          <w:w w:val="110"/>
        </w:rPr>
        <w:t>any </w:t>
      </w:r>
      <w:r>
        <w:rPr>
          <w:color w:val="231F20"/>
          <w:w w:val="110"/>
        </w:rPr>
        <w:t>further decisions. </w:t>
      </w:r>
      <w:r>
        <w:rPr>
          <w:color w:val="231F20"/>
          <w:spacing w:val="-5"/>
          <w:w w:val="110"/>
        </w:rPr>
        <w:t>(A </w:t>
      </w:r>
      <w:r>
        <w:rPr>
          <w:color w:val="231F20"/>
          <w:w w:val="110"/>
        </w:rPr>
        <w:t>number of the following points depend on establishing a clear theological </w:t>
      </w:r>
      <w:r>
        <w:rPr>
          <w:color w:val="231F20"/>
          <w:spacing w:val="-3"/>
          <w:w w:val="110"/>
        </w:rPr>
        <w:t>framework.) </w:t>
      </w:r>
      <w:r>
        <w:rPr>
          <w:color w:val="231F20"/>
          <w:spacing w:val="-4"/>
          <w:w w:val="110"/>
        </w:rPr>
        <w:t>Ideally, </w:t>
      </w:r>
      <w:r>
        <w:rPr>
          <w:color w:val="231F20"/>
          <w:w w:val="110"/>
        </w:rPr>
        <w:t>as with earlier work, this should be set within the context of human </w:t>
      </w:r>
      <w:r>
        <w:rPr>
          <w:color w:val="231F20"/>
          <w:spacing w:val="-3"/>
          <w:w w:val="110"/>
        </w:rPr>
        <w:t>sexuality, </w:t>
      </w:r>
      <w:r>
        <w:rPr>
          <w:color w:val="231F20"/>
          <w:w w:val="110"/>
        </w:rPr>
        <w:t>marriage and relationships in general as well as our understanding of</w:t>
      </w:r>
      <w:r>
        <w:rPr>
          <w:color w:val="231F20"/>
          <w:spacing w:val="-30"/>
          <w:w w:val="110"/>
        </w:rPr>
        <w:t> </w:t>
      </w:r>
      <w:r>
        <w:rPr>
          <w:color w:val="231F20"/>
          <w:spacing w:val="-4"/>
          <w:w w:val="110"/>
        </w:rPr>
        <w:t>gender.</w:t>
      </w:r>
    </w:p>
    <w:p>
      <w:pPr>
        <w:pStyle w:val="BodyText"/>
        <w:spacing w:before="10"/>
        <w:rPr>
          <w:sz w:val="20"/>
        </w:rPr>
      </w:pPr>
    </w:p>
    <w:p>
      <w:pPr>
        <w:numPr>
          <w:ilvl w:val="1"/>
          <w:numId w:val="128"/>
        </w:numPr>
        <w:tabs>
          <w:tab w:pos="1233" w:val="left" w:leader="none"/>
          <w:tab w:pos="1234" w:val="left" w:leader="none"/>
        </w:tabs>
        <w:spacing w:before="0"/>
        <w:ind w:left="1233" w:right="0" w:hanging="721"/>
        <w:jc w:val="left"/>
        <w:rPr>
          <w:b/>
          <w:sz w:val="18"/>
        </w:rPr>
      </w:pPr>
      <w:r>
        <w:rPr>
          <w:b/>
          <w:color w:val="231F20"/>
          <w:w w:val="110"/>
          <w:sz w:val="18"/>
        </w:rPr>
        <w:t>Advocacy</w:t>
      </w:r>
    </w:p>
    <w:p>
      <w:pPr>
        <w:pStyle w:val="BodyText"/>
        <w:tabs>
          <w:tab w:pos="2091" w:val="left" w:leader="none"/>
        </w:tabs>
        <w:spacing w:line="273" w:lineRule="auto" w:before="32"/>
        <w:ind w:left="513" w:right="2040"/>
      </w:pPr>
      <w:r>
        <w:rPr>
          <w:color w:val="231F20"/>
          <w:w w:val="110"/>
        </w:rPr>
        <w:t>Related to this is the need for </w:t>
      </w:r>
      <w:r>
        <w:rPr>
          <w:color w:val="231F20"/>
          <w:spacing w:val="2"/>
          <w:w w:val="110"/>
        </w:rPr>
        <w:t>clarity </w:t>
      </w:r>
      <w:r>
        <w:rPr>
          <w:color w:val="231F20"/>
          <w:w w:val="110"/>
        </w:rPr>
        <w:t>about the church’s teaching on </w:t>
      </w:r>
      <w:r>
        <w:rPr>
          <w:color w:val="231F20"/>
          <w:spacing w:val="2"/>
          <w:w w:val="110"/>
        </w:rPr>
        <w:t>matters </w:t>
      </w:r>
      <w:r>
        <w:rPr>
          <w:color w:val="231F20"/>
          <w:w w:val="110"/>
        </w:rPr>
        <w:t>of sexual relationships.</w:t>
        <w:tab/>
        <w:t>What do we actually </w:t>
      </w:r>
      <w:r>
        <w:rPr>
          <w:color w:val="231F20"/>
          <w:spacing w:val="2"/>
          <w:w w:val="110"/>
        </w:rPr>
        <w:t>affirm </w:t>
      </w:r>
      <w:r>
        <w:rPr>
          <w:color w:val="231F20"/>
          <w:w w:val="110"/>
        </w:rPr>
        <w:t>and teach about marriage, singleness, celibacy and same-sex relationships, for instance? Within this, how does the church cope with two incompatible </w:t>
      </w:r>
      <w:r>
        <w:rPr>
          <w:color w:val="231F20"/>
          <w:spacing w:val="2"/>
          <w:w w:val="110"/>
        </w:rPr>
        <w:t>sets </w:t>
      </w:r>
      <w:r>
        <w:rPr>
          <w:color w:val="231F20"/>
          <w:w w:val="110"/>
        </w:rPr>
        <w:t>of teaching, one of which says that same-sex </w:t>
      </w:r>
      <w:r>
        <w:rPr>
          <w:color w:val="231F20"/>
          <w:spacing w:val="2"/>
          <w:w w:val="110"/>
        </w:rPr>
        <w:t>practice </w:t>
      </w:r>
      <w:r>
        <w:rPr>
          <w:color w:val="231F20"/>
          <w:w w:val="110"/>
        </w:rPr>
        <w:t>is wrong and the other of which says that it can be life affirming? Do we say that our church teaches</w:t>
      </w:r>
      <w:r>
        <w:rPr>
          <w:color w:val="231F20"/>
          <w:spacing w:val="2"/>
          <w:w w:val="110"/>
        </w:rPr>
        <w:t> </w:t>
      </w:r>
      <w:r>
        <w:rPr>
          <w:color w:val="231F20"/>
          <w:w w:val="110"/>
        </w:rPr>
        <w:t>both?</w:t>
      </w:r>
    </w:p>
    <w:p>
      <w:pPr>
        <w:pStyle w:val="BodyText"/>
        <w:spacing w:before="10"/>
        <w:rPr>
          <w:sz w:val="20"/>
        </w:rPr>
      </w:pPr>
    </w:p>
    <w:p>
      <w:pPr>
        <w:numPr>
          <w:ilvl w:val="1"/>
          <w:numId w:val="128"/>
        </w:numPr>
        <w:tabs>
          <w:tab w:pos="1233" w:val="left" w:leader="none"/>
          <w:tab w:pos="1234" w:val="left" w:leader="none"/>
        </w:tabs>
        <w:spacing w:before="0"/>
        <w:ind w:left="1233" w:right="0" w:hanging="721"/>
        <w:jc w:val="left"/>
        <w:rPr>
          <w:b/>
          <w:sz w:val="18"/>
        </w:rPr>
      </w:pPr>
      <w:r>
        <w:rPr>
          <w:b/>
          <w:color w:val="231F20"/>
          <w:w w:val="110"/>
          <w:sz w:val="18"/>
        </w:rPr>
        <w:t>Standards in ministry</w:t>
      </w:r>
    </w:p>
    <w:p>
      <w:pPr>
        <w:pStyle w:val="BodyText"/>
        <w:spacing w:line="273" w:lineRule="auto" w:before="31"/>
        <w:ind w:left="513" w:right="2174"/>
      </w:pPr>
      <w:r>
        <w:rPr>
          <w:color w:val="231F20"/>
          <w:w w:val="110"/>
        </w:rPr>
        <w:t>What are acceptable patterns of life within ordained ministry? What standards are expected of ministers and members in relation to different expressions of sexuality? How are we to understand a minister’s promise to lead a holy life?</w:t>
      </w:r>
    </w:p>
    <w:p>
      <w:pPr>
        <w:pStyle w:val="BodyText"/>
        <w:spacing w:before="9"/>
        <w:rPr>
          <w:sz w:val="20"/>
        </w:rPr>
      </w:pPr>
    </w:p>
    <w:p>
      <w:pPr>
        <w:numPr>
          <w:ilvl w:val="1"/>
          <w:numId w:val="128"/>
        </w:numPr>
        <w:tabs>
          <w:tab w:pos="1233" w:val="left" w:leader="none"/>
          <w:tab w:pos="1234" w:val="left" w:leader="none"/>
        </w:tabs>
        <w:spacing w:before="0"/>
        <w:ind w:left="1233" w:right="0" w:hanging="721"/>
        <w:jc w:val="left"/>
        <w:rPr>
          <w:b/>
          <w:sz w:val="18"/>
        </w:rPr>
      </w:pPr>
      <w:r>
        <w:rPr>
          <w:b/>
          <w:color w:val="231F20"/>
          <w:w w:val="110"/>
          <w:sz w:val="18"/>
        </w:rPr>
        <w:t>Discipline</w:t>
      </w:r>
    </w:p>
    <w:p>
      <w:pPr>
        <w:pStyle w:val="BodyText"/>
        <w:spacing w:line="273" w:lineRule="auto" w:before="31"/>
        <w:ind w:left="513" w:right="1844"/>
      </w:pPr>
      <w:r>
        <w:rPr>
          <w:color w:val="231F20"/>
          <w:w w:val="110"/>
        </w:rPr>
        <w:t>Recognising that there are ordained ministers within the church in openly same-sex relationships, are they under similar disciplinary constraints as heterosexual and single ministers? If so, what do we understand those constraints to be?</w:t>
      </w:r>
    </w:p>
    <w:p>
      <w:pPr>
        <w:spacing w:after="0" w:line="273" w:lineRule="auto"/>
        <w:sectPr>
          <w:pgSz w:w="11910" w:h="16840"/>
          <w:pgMar w:header="558" w:footer="564" w:top="820" w:bottom="760" w:left="620" w:right="0"/>
        </w:sectPr>
      </w:pPr>
    </w:p>
    <w:p>
      <w:pPr>
        <w:pStyle w:val="BodyText"/>
        <w:spacing w:before="9"/>
        <w:rPr>
          <w:sz w:val="13"/>
        </w:rPr>
      </w:pPr>
    </w:p>
    <w:p>
      <w:pPr>
        <w:numPr>
          <w:ilvl w:val="1"/>
          <w:numId w:val="128"/>
        </w:numPr>
        <w:tabs>
          <w:tab w:pos="1800" w:val="left" w:leader="none"/>
          <w:tab w:pos="1801" w:val="left" w:leader="none"/>
        </w:tabs>
        <w:spacing w:before="101"/>
        <w:ind w:left="1800" w:right="0" w:hanging="721"/>
        <w:jc w:val="left"/>
        <w:rPr>
          <w:b/>
          <w:sz w:val="18"/>
        </w:rPr>
      </w:pPr>
      <w:r>
        <w:rPr>
          <w:b/>
          <w:color w:val="231F20"/>
          <w:w w:val="110"/>
          <w:sz w:val="18"/>
        </w:rPr>
        <w:t>Legal implications</w:t>
      </w:r>
    </w:p>
    <w:p>
      <w:pPr>
        <w:pStyle w:val="BodyText"/>
        <w:spacing w:line="273" w:lineRule="auto" w:before="31"/>
        <w:ind w:left="1080" w:right="1205"/>
      </w:pPr>
      <w:r>
        <w:rPr>
          <w:color w:val="231F20"/>
          <w:w w:val="110"/>
        </w:rPr>
        <w:t>Some recent legislation </w:t>
      </w:r>
      <w:r>
        <w:rPr>
          <w:color w:val="231F20"/>
          <w:spacing w:val="2"/>
          <w:w w:val="110"/>
        </w:rPr>
        <w:t>carries </w:t>
      </w:r>
      <w:r>
        <w:rPr>
          <w:color w:val="231F20"/>
          <w:w w:val="110"/>
        </w:rPr>
        <w:t>implications for the church. </w:t>
      </w:r>
      <w:r>
        <w:rPr>
          <w:color w:val="231F20"/>
          <w:spacing w:val="2"/>
          <w:w w:val="110"/>
        </w:rPr>
        <w:t>These </w:t>
      </w:r>
      <w:r>
        <w:rPr>
          <w:color w:val="231F20"/>
          <w:w w:val="110"/>
        </w:rPr>
        <w:t>need to be reviewed both in terms of what is required of the church and the church’s own response. It would be good to do this work ecumenically, and particularly in the light of recent work in the Methodist</w:t>
      </w:r>
      <w:r>
        <w:rPr>
          <w:color w:val="231F20"/>
          <w:spacing w:val="1"/>
          <w:w w:val="110"/>
        </w:rPr>
        <w:t> </w:t>
      </w:r>
      <w:r>
        <w:rPr>
          <w:color w:val="231F20"/>
          <w:w w:val="110"/>
        </w:rPr>
        <w:t>Church.</w:t>
      </w:r>
    </w:p>
    <w:p>
      <w:pPr>
        <w:pStyle w:val="BodyText"/>
        <w:spacing w:before="9"/>
        <w:rPr>
          <w:sz w:val="20"/>
        </w:rPr>
      </w:pPr>
    </w:p>
    <w:p>
      <w:pPr>
        <w:numPr>
          <w:ilvl w:val="1"/>
          <w:numId w:val="128"/>
        </w:numPr>
        <w:tabs>
          <w:tab w:pos="1800" w:val="left" w:leader="none"/>
          <w:tab w:pos="1801" w:val="left" w:leader="none"/>
        </w:tabs>
        <w:spacing w:before="0"/>
        <w:ind w:left="1800" w:right="0" w:hanging="721"/>
        <w:jc w:val="left"/>
        <w:rPr>
          <w:b/>
          <w:sz w:val="18"/>
        </w:rPr>
      </w:pPr>
      <w:r>
        <w:rPr>
          <w:b/>
          <w:color w:val="231F20"/>
          <w:w w:val="110"/>
          <w:sz w:val="18"/>
        </w:rPr>
        <w:t>Blessing of </w:t>
      </w:r>
      <w:r>
        <w:rPr>
          <w:b/>
          <w:color w:val="231F20"/>
          <w:spacing w:val="2"/>
          <w:w w:val="110"/>
          <w:sz w:val="18"/>
        </w:rPr>
        <w:t>partnerships</w:t>
      </w:r>
    </w:p>
    <w:p>
      <w:pPr>
        <w:pStyle w:val="BodyText"/>
        <w:spacing w:line="273" w:lineRule="auto" w:before="31"/>
        <w:ind w:left="1080" w:right="1457"/>
      </w:pPr>
      <w:r>
        <w:rPr>
          <w:color w:val="231F20"/>
          <w:w w:val="110"/>
        </w:rPr>
        <w:t>What attitude should the United Reformed Church take regarding the blessing of civil partnerships? Do the present guidelines need to be reviewed, and should they be subject to debate and decision in General Assembly?</w:t>
      </w:r>
    </w:p>
    <w:p>
      <w:pPr>
        <w:pStyle w:val="BodyText"/>
        <w:spacing w:before="9"/>
        <w:rPr>
          <w:sz w:val="20"/>
        </w:rPr>
      </w:pPr>
    </w:p>
    <w:p>
      <w:pPr>
        <w:numPr>
          <w:ilvl w:val="1"/>
          <w:numId w:val="128"/>
        </w:numPr>
        <w:tabs>
          <w:tab w:pos="1800" w:val="left" w:leader="none"/>
          <w:tab w:pos="1801" w:val="left" w:leader="none"/>
        </w:tabs>
        <w:spacing w:before="0"/>
        <w:ind w:left="1800" w:right="0" w:hanging="721"/>
        <w:jc w:val="left"/>
        <w:rPr>
          <w:b/>
          <w:sz w:val="18"/>
        </w:rPr>
      </w:pPr>
      <w:r>
        <w:rPr>
          <w:b/>
          <w:color w:val="231F20"/>
          <w:w w:val="110"/>
          <w:sz w:val="18"/>
        </w:rPr>
        <w:t>Unity</w:t>
      </w:r>
    </w:p>
    <w:p>
      <w:pPr>
        <w:pStyle w:val="BodyText"/>
        <w:spacing w:line="273" w:lineRule="auto" w:before="31"/>
        <w:ind w:left="1080" w:right="1508"/>
      </w:pPr>
      <w:r>
        <w:rPr>
          <w:color w:val="231F20"/>
          <w:w w:val="110"/>
        </w:rPr>
        <w:t>Believing that the unity of the church is a gospel priority, how much internal diversity    is tolerable </w:t>
      </w:r>
      <w:r>
        <w:rPr>
          <w:color w:val="231F20"/>
          <w:spacing w:val="2"/>
          <w:w w:val="110"/>
        </w:rPr>
        <w:t>before </w:t>
      </w:r>
      <w:r>
        <w:rPr>
          <w:color w:val="231F20"/>
          <w:w w:val="110"/>
        </w:rPr>
        <w:t>that unity is contradicted? Clearly there is much diversity within the present church over many issues, but would it ever be acceptable in the name of unity  to have such a diversity of beliefs and </w:t>
      </w:r>
      <w:r>
        <w:rPr>
          <w:color w:val="231F20"/>
          <w:spacing w:val="2"/>
          <w:w w:val="110"/>
        </w:rPr>
        <w:t>practices </w:t>
      </w:r>
      <w:r>
        <w:rPr>
          <w:color w:val="231F20"/>
          <w:w w:val="110"/>
        </w:rPr>
        <w:t>that </w:t>
      </w:r>
      <w:r>
        <w:rPr>
          <w:color w:val="231F20"/>
          <w:spacing w:val="2"/>
          <w:w w:val="110"/>
        </w:rPr>
        <w:t>members </w:t>
      </w:r>
      <w:r>
        <w:rPr>
          <w:color w:val="231F20"/>
          <w:w w:val="110"/>
        </w:rPr>
        <w:t>and ministers denied   the actions and beliefs of others and where some ministers were totally unacceptable    in</w:t>
      </w:r>
      <w:r>
        <w:rPr>
          <w:color w:val="231F20"/>
          <w:spacing w:val="5"/>
          <w:w w:val="110"/>
        </w:rPr>
        <w:t> </w:t>
      </w:r>
      <w:r>
        <w:rPr>
          <w:color w:val="231F20"/>
          <w:w w:val="110"/>
        </w:rPr>
        <w:t>some</w:t>
      </w:r>
      <w:r>
        <w:rPr>
          <w:color w:val="231F20"/>
          <w:spacing w:val="8"/>
          <w:w w:val="110"/>
        </w:rPr>
        <w:t> </w:t>
      </w:r>
      <w:r>
        <w:rPr>
          <w:color w:val="231F20"/>
          <w:spacing w:val="3"/>
          <w:w w:val="110"/>
        </w:rPr>
        <w:t>parts</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church?</w:t>
      </w:r>
      <w:r>
        <w:rPr>
          <w:color w:val="231F20"/>
          <w:spacing w:val="14"/>
          <w:w w:val="110"/>
        </w:rPr>
        <w:t> </w:t>
      </w:r>
      <w:r>
        <w:rPr>
          <w:color w:val="231F20"/>
          <w:w w:val="110"/>
        </w:rPr>
        <w:t>(Methodist</w:t>
      </w:r>
      <w:r>
        <w:rPr>
          <w:color w:val="231F20"/>
          <w:spacing w:val="7"/>
          <w:w w:val="110"/>
        </w:rPr>
        <w:t> </w:t>
      </w:r>
      <w:r>
        <w:rPr>
          <w:color w:val="231F20"/>
          <w:w w:val="110"/>
        </w:rPr>
        <w:t>Conference</w:t>
      </w:r>
      <w:r>
        <w:rPr>
          <w:color w:val="231F20"/>
          <w:spacing w:val="7"/>
          <w:w w:val="110"/>
        </w:rPr>
        <w:t> </w:t>
      </w:r>
      <w:r>
        <w:rPr>
          <w:color w:val="231F20"/>
          <w:w w:val="110"/>
        </w:rPr>
        <w:t>in</w:t>
      </w:r>
      <w:r>
        <w:rPr>
          <w:color w:val="231F20"/>
          <w:spacing w:val="7"/>
          <w:w w:val="110"/>
        </w:rPr>
        <w:t> </w:t>
      </w:r>
      <w:r>
        <w:rPr>
          <w:color w:val="231F20"/>
          <w:w w:val="110"/>
        </w:rPr>
        <w:t>2005</w:t>
      </w:r>
      <w:r>
        <w:rPr>
          <w:color w:val="231F20"/>
          <w:spacing w:val="7"/>
          <w:w w:val="110"/>
        </w:rPr>
        <w:t> </w:t>
      </w:r>
      <w:r>
        <w:rPr>
          <w:color w:val="231F20"/>
          <w:w w:val="110"/>
        </w:rPr>
        <w:t>asked</w:t>
      </w:r>
      <w:r>
        <w:rPr>
          <w:color w:val="231F20"/>
          <w:spacing w:val="7"/>
          <w:w w:val="110"/>
        </w:rPr>
        <w:t> </w:t>
      </w:r>
      <w:r>
        <w:rPr>
          <w:color w:val="231F20"/>
          <w:w w:val="110"/>
        </w:rPr>
        <w:t>that</w:t>
      </w:r>
      <w:r>
        <w:rPr>
          <w:color w:val="231F20"/>
          <w:spacing w:val="7"/>
          <w:w w:val="110"/>
        </w:rPr>
        <w:t> </w:t>
      </w:r>
      <w:r>
        <w:rPr>
          <w:color w:val="231F20"/>
          <w:w w:val="110"/>
        </w:rPr>
        <w:t>its</w:t>
      </w:r>
      <w:r>
        <w:rPr>
          <w:color w:val="231F20"/>
          <w:spacing w:val="7"/>
          <w:w w:val="110"/>
        </w:rPr>
        <w:t> </w:t>
      </w:r>
      <w:r>
        <w:rPr>
          <w:color w:val="231F20"/>
          <w:w w:val="110"/>
        </w:rPr>
        <w:t>“Faith</w:t>
      </w:r>
      <w:r>
        <w:rPr>
          <w:color w:val="231F20"/>
          <w:spacing w:val="7"/>
          <w:w w:val="110"/>
        </w:rPr>
        <w:t> </w:t>
      </w:r>
      <w:r>
        <w:rPr>
          <w:color w:val="231F20"/>
          <w:w w:val="110"/>
        </w:rPr>
        <w:t>and</w:t>
      </w:r>
    </w:p>
    <w:p>
      <w:pPr>
        <w:pStyle w:val="BodyText"/>
        <w:spacing w:line="273" w:lineRule="auto" w:before="4"/>
        <w:ind w:left="1080" w:right="1330"/>
      </w:pPr>
      <w:r>
        <w:rPr>
          <w:color w:val="231F20"/>
          <w:w w:val="110"/>
        </w:rPr>
        <w:t>Order Committee should </w:t>
      </w:r>
      <w:r>
        <w:rPr>
          <w:color w:val="231F20"/>
          <w:spacing w:val="2"/>
          <w:w w:val="110"/>
        </w:rPr>
        <w:t>reflect </w:t>
      </w:r>
      <w:r>
        <w:rPr>
          <w:color w:val="231F20"/>
          <w:w w:val="110"/>
        </w:rPr>
        <w:t>upon the theological implications of being a Church that has to live or contend with different and mutually </w:t>
      </w:r>
      <w:r>
        <w:rPr>
          <w:color w:val="231F20"/>
          <w:spacing w:val="2"/>
          <w:w w:val="110"/>
        </w:rPr>
        <w:t>contradictory </w:t>
      </w:r>
      <w:r>
        <w:rPr>
          <w:color w:val="231F20"/>
          <w:w w:val="110"/>
        </w:rPr>
        <w:t>convictions.”  </w:t>
      </w:r>
      <w:r>
        <w:rPr>
          <w:color w:val="231F20"/>
          <w:spacing w:val="-3"/>
          <w:w w:val="110"/>
        </w:rPr>
        <w:t>We </w:t>
      </w:r>
      <w:r>
        <w:rPr>
          <w:color w:val="231F20"/>
          <w:w w:val="110"/>
        </w:rPr>
        <w:t>need  to address the same question </w:t>
      </w:r>
      <w:r>
        <w:rPr>
          <w:color w:val="231F20"/>
          <w:spacing w:val="2"/>
          <w:w w:val="110"/>
        </w:rPr>
        <w:t>from </w:t>
      </w:r>
      <w:r>
        <w:rPr>
          <w:color w:val="231F20"/>
          <w:w w:val="110"/>
        </w:rPr>
        <w:t>our own</w:t>
      </w:r>
      <w:r>
        <w:rPr>
          <w:color w:val="231F20"/>
          <w:spacing w:val="16"/>
          <w:w w:val="110"/>
        </w:rPr>
        <w:t> </w:t>
      </w:r>
      <w:r>
        <w:rPr>
          <w:color w:val="231F20"/>
          <w:w w:val="110"/>
        </w:rPr>
        <w:t>perspective.)</w:t>
      </w:r>
    </w:p>
    <w:p>
      <w:pPr>
        <w:pStyle w:val="BodyText"/>
        <w:spacing w:before="9"/>
        <w:rPr>
          <w:sz w:val="20"/>
        </w:rPr>
      </w:pPr>
    </w:p>
    <w:p>
      <w:pPr>
        <w:numPr>
          <w:ilvl w:val="1"/>
          <w:numId w:val="128"/>
        </w:numPr>
        <w:tabs>
          <w:tab w:pos="1800" w:val="left" w:leader="none"/>
          <w:tab w:pos="1801" w:val="left" w:leader="none"/>
        </w:tabs>
        <w:spacing w:before="0"/>
        <w:ind w:left="1800" w:right="0" w:hanging="721"/>
        <w:jc w:val="left"/>
        <w:rPr>
          <w:b/>
          <w:sz w:val="18"/>
        </w:rPr>
      </w:pPr>
      <w:r>
        <w:rPr>
          <w:b/>
          <w:color w:val="231F20"/>
          <w:w w:val="110"/>
          <w:sz w:val="18"/>
        </w:rPr>
        <w:t>Practical implications of</w:t>
      </w:r>
      <w:r>
        <w:rPr>
          <w:b/>
          <w:color w:val="231F20"/>
          <w:spacing w:val="2"/>
          <w:w w:val="110"/>
          <w:sz w:val="18"/>
        </w:rPr>
        <w:t> </w:t>
      </w:r>
      <w:r>
        <w:rPr>
          <w:b/>
          <w:color w:val="231F20"/>
          <w:w w:val="110"/>
          <w:sz w:val="18"/>
        </w:rPr>
        <w:t>diversity</w:t>
      </w:r>
    </w:p>
    <w:p>
      <w:pPr>
        <w:pStyle w:val="BodyText"/>
        <w:spacing w:line="273" w:lineRule="auto" w:before="31"/>
        <w:ind w:left="1080" w:right="1457"/>
      </w:pPr>
      <w:r>
        <w:rPr>
          <w:color w:val="231F20"/>
          <w:spacing w:val="-3"/>
          <w:w w:val="110"/>
        </w:rPr>
        <w:t>We </w:t>
      </w:r>
      <w:r>
        <w:rPr>
          <w:color w:val="231F20"/>
          <w:w w:val="110"/>
        </w:rPr>
        <w:t>need to look carefully at the implications of the kind of diversity envisaged in the previous point.   Might the acceptance of mutually exclusive interpretations living side by side lead all too painfully to the “clustering” of churches and ministers of similar views? What does it mean for a minister to be called locally but recognised nationally, particularly if different criteria seem to be used in </w:t>
      </w:r>
      <w:r>
        <w:rPr>
          <w:color w:val="231F20"/>
          <w:spacing w:val="2"/>
          <w:w w:val="110"/>
        </w:rPr>
        <w:t>different </w:t>
      </w:r>
      <w:r>
        <w:rPr>
          <w:color w:val="231F20"/>
          <w:spacing w:val="3"/>
          <w:w w:val="110"/>
        </w:rPr>
        <w:t>parts </w:t>
      </w:r>
      <w:r>
        <w:rPr>
          <w:color w:val="231F20"/>
          <w:w w:val="110"/>
        </w:rPr>
        <w:t>of the church? Might some</w:t>
      </w:r>
      <w:r>
        <w:rPr>
          <w:color w:val="231F20"/>
          <w:spacing w:val="14"/>
          <w:w w:val="110"/>
        </w:rPr>
        <w:t> </w:t>
      </w:r>
      <w:r>
        <w:rPr>
          <w:color w:val="231F20"/>
          <w:w w:val="110"/>
        </w:rPr>
        <w:t>candidates</w:t>
      </w:r>
      <w:r>
        <w:rPr>
          <w:color w:val="231F20"/>
          <w:spacing w:val="14"/>
          <w:w w:val="110"/>
        </w:rPr>
        <w:t> </w:t>
      </w:r>
      <w:r>
        <w:rPr>
          <w:color w:val="231F20"/>
          <w:w w:val="110"/>
        </w:rPr>
        <w:t>for</w:t>
      </w:r>
      <w:r>
        <w:rPr>
          <w:color w:val="231F20"/>
          <w:spacing w:val="14"/>
          <w:w w:val="110"/>
        </w:rPr>
        <w:t> </w:t>
      </w:r>
      <w:r>
        <w:rPr>
          <w:color w:val="231F20"/>
          <w:w w:val="110"/>
        </w:rPr>
        <w:t>ministry</w:t>
      </w:r>
      <w:r>
        <w:rPr>
          <w:color w:val="231F20"/>
          <w:spacing w:val="14"/>
          <w:w w:val="110"/>
        </w:rPr>
        <w:t> </w:t>
      </w:r>
      <w:r>
        <w:rPr>
          <w:color w:val="231F20"/>
          <w:w w:val="110"/>
        </w:rPr>
        <w:t>and</w:t>
      </w:r>
      <w:r>
        <w:rPr>
          <w:color w:val="231F20"/>
          <w:spacing w:val="14"/>
          <w:w w:val="110"/>
        </w:rPr>
        <w:t> </w:t>
      </w:r>
      <w:r>
        <w:rPr>
          <w:color w:val="231F20"/>
          <w:w w:val="110"/>
        </w:rPr>
        <w:t>some</w:t>
      </w:r>
      <w:r>
        <w:rPr>
          <w:color w:val="231F20"/>
          <w:spacing w:val="15"/>
          <w:w w:val="110"/>
        </w:rPr>
        <w:t> </w:t>
      </w:r>
      <w:r>
        <w:rPr>
          <w:color w:val="231F20"/>
          <w:w w:val="110"/>
        </w:rPr>
        <w:t>existing</w:t>
      </w:r>
      <w:r>
        <w:rPr>
          <w:color w:val="231F20"/>
          <w:spacing w:val="14"/>
          <w:w w:val="110"/>
        </w:rPr>
        <w:t> </w:t>
      </w:r>
      <w:r>
        <w:rPr>
          <w:color w:val="231F20"/>
          <w:w w:val="110"/>
        </w:rPr>
        <w:t>ministers</w:t>
      </w:r>
      <w:r>
        <w:rPr>
          <w:color w:val="231F20"/>
          <w:spacing w:val="14"/>
          <w:w w:val="110"/>
        </w:rPr>
        <w:t> </w:t>
      </w:r>
      <w:r>
        <w:rPr>
          <w:color w:val="231F20"/>
          <w:w w:val="110"/>
        </w:rPr>
        <w:t>seeking</w:t>
      </w:r>
      <w:r>
        <w:rPr>
          <w:color w:val="231F20"/>
          <w:spacing w:val="14"/>
          <w:w w:val="110"/>
        </w:rPr>
        <w:t> </w:t>
      </w:r>
      <w:r>
        <w:rPr>
          <w:color w:val="231F20"/>
          <w:w w:val="110"/>
        </w:rPr>
        <w:t>pastorates</w:t>
      </w:r>
      <w:r>
        <w:rPr>
          <w:color w:val="231F20"/>
          <w:spacing w:val="14"/>
          <w:w w:val="110"/>
        </w:rPr>
        <w:t> </w:t>
      </w:r>
      <w:r>
        <w:rPr>
          <w:color w:val="231F20"/>
          <w:w w:val="110"/>
        </w:rPr>
        <w:t>need</w:t>
      </w:r>
      <w:r>
        <w:rPr>
          <w:color w:val="231F20"/>
          <w:spacing w:val="14"/>
          <w:w w:val="110"/>
        </w:rPr>
        <w:t> </w:t>
      </w:r>
      <w:r>
        <w:rPr>
          <w:color w:val="231F20"/>
          <w:w w:val="110"/>
        </w:rPr>
        <w:t>to</w:t>
      </w:r>
    </w:p>
    <w:p>
      <w:pPr>
        <w:pStyle w:val="BodyText"/>
        <w:spacing w:line="273" w:lineRule="auto" w:before="4"/>
        <w:ind w:left="1080" w:right="1205"/>
      </w:pPr>
      <w:r>
        <w:rPr>
          <w:color w:val="231F20"/>
          <w:w w:val="110"/>
        </w:rPr>
        <w:t>look for areas of the </w:t>
      </w:r>
      <w:r>
        <w:rPr>
          <w:color w:val="231F20"/>
          <w:spacing w:val="2"/>
          <w:w w:val="110"/>
        </w:rPr>
        <w:t>country </w:t>
      </w:r>
      <w:r>
        <w:rPr>
          <w:color w:val="231F20"/>
          <w:w w:val="110"/>
        </w:rPr>
        <w:t>where they might be more readily accepted than in others? If such </w:t>
      </w:r>
      <w:r>
        <w:rPr>
          <w:color w:val="231F20"/>
          <w:spacing w:val="2"/>
          <w:w w:val="110"/>
        </w:rPr>
        <w:t>pressures </w:t>
      </w:r>
      <w:r>
        <w:rPr>
          <w:color w:val="231F20"/>
          <w:w w:val="110"/>
        </w:rPr>
        <w:t>arise, how do we maintain the integrity of the</w:t>
      </w:r>
      <w:r>
        <w:rPr>
          <w:color w:val="231F20"/>
          <w:spacing w:val="34"/>
          <w:w w:val="110"/>
        </w:rPr>
        <w:t> </w:t>
      </w:r>
      <w:r>
        <w:rPr>
          <w:color w:val="231F20"/>
          <w:w w:val="110"/>
        </w:rPr>
        <w:t>church?</w:t>
      </w:r>
    </w:p>
    <w:p>
      <w:pPr>
        <w:pStyle w:val="BodyText"/>
        <w:spacing w:before="8"/>
        <w:rPr>
          <w:sz w:val="20"/>
        </w:rPr>
      </w:pPr>
    </w:p>
    <w:p>
      <w:pPr>
        <w:numPr>
          <w:ilvl w:val="1"/>
          <w:numId w:val="128"/>
        </w:numPr>
        <w:tabs>
          <w:tab w:pos="1800" w:val="left" w:leader="none"/>
          <w:tab w:pos="1801" w:val="left" w:leader="none"/>
        </w:tabs>
        <w:spacing w:before="0"/>
        <w:ind w:left="1800" w:right="0" w:hanging="721"/>
        <w:jc w:val="left"/>
        <w:rPr>
          <w:b/>
          <w:sz w:val="18"/>
        </w:rPr>
      </w:pPr>
      <w:r>
        <w:rPr>
          <w:b/>
          <w:color w:val="231F20"/>
          <w:spacing w:val="2"/>
          <w:w w:val="110"/>
          <w:sz w:val="18"/>
        </w:rPr>
        <w:t>Conscience</w:t>
      </w:r>
    </w:p>
    <w:p>
      <w:pPr>
        <w:pStyle w:val="BodyText"/>
        <w:spacing w:line="273" w:lineRule="auto" w:before="31"/>
        <w:ind w:left="1080" w:right="1375"/>
      </w:pPr>
      <w:r>
        <w:rPr>
          <w:color w:val="231F20"/>
          <w:w w:val="110"/>
        </w:rPr>
        <w:t>What are the implications of personal conscience in this area? For example, what freedom do individuals and congregations have to reject the ministries of those whose attitudes or lifestyles are not acceptable to them?</w:t>
      </w:r>
    </w:p>
    <w:p>
      <w:pPr>
        <w:pStyle w:val="BodyText"/>
        <w:spacing w:before="9"/>
        <w:rPr>
          <w:sz w:val="20"/>
        </w:rPr>
      </w:pPr>
    </w:p>
    <w:p>
      <w:pPr>
        <w:numPr>
          <w:ilvl w:val="1"/>
          <w:numId w:val="128"/>
        </w:numPr>
        <w:tabs>
          <w:tab w:pos="1800" w:val="left" w:leader="none"/>
          <w:tab w:pos="1801" w:val="left" w:leader="none"/>
        </w:tabs>
        <w:spacing w:before="0"/>
        <w:ind w:left="1800" w:right="0" w:hanging="721"/>
        <w:jc w:val="left"/>
        <w:rPr>
          <w:b/>
          <w:sz w:val="18"/>
        </w:rPr>
      </w:pPr>
      <w:r>
        <w:rPr>
          <w:b/>
          <w:color w:val="231F20"/>
          <w:spacing w:val="2"/>
          <w:w w:val="110"/>
          <w:sz w:val="18"/>
        </w:rPr>
        <w:t>Stereotyping</w:t>
      </w:r>
    </w:p>
    <w:p>
      <w:pPr>
        <w:pStyle w:val="BodyText"/>
        <w:spacing w:line="273" w:lineRule="auto" w:before="31"/>
        <w:ind w:left="1080" w:right="1844"/>
      </w:pPr>
      <w:r>
        <w:rPr>
          <w:color w:val="231F20"/>
          <w:w w:val="110"/>
        </w:rPr>
        <w:t>How do we overcome the dangers of stereotyping, which need to be challenged wherever they come</w:t>
      </w:r>
      <w:r>
        <w:rPr>
          <w:color w:val="231F20"/>
          <w:spacing w:val="3"/>
          <w:w w:val="110"/>
        </w:rPr>
        <w:t> </w:t>
      </w:r>
      <w:r>
        <w:rPr>
          <w:color w:val="231F20"/>
          <w:w w:val="110"/>
        </w:rPr>
        <w:t>from?</w:t>
      </w:r>
    </w:p>
    <w:p>
      <w:pPr>
        <w:pStyle w:val="BodyText"/>
        <w:spacing w:before="8"/>
        <w:rPr>
          <w:sz w:val="20"/>
        </w:rPr>
      </w:pPr>
    </w:p>
    <w:p>
      <w:pPr>
        <w:numPr>
          <w:ilvl w:val="1"/>
          <w:numId w:val="128"/>
        </w:numPr>
        <w:tabs>
          <w:tab w:pos="1800" w:val="left" w:leader="none"/>
          <w:tab w:pos="1801" w:val="left" w:leader="none"/>
        </w:tabs>
        <w:spacing w:before="1"/>
        <w:ind w:left="1800" w:right="0" w:hanging="721"/>
        <w:jc w:val="left"/>
        <w:rPr>
          <w:b/>
          <w:sz w:val="18"/>
        </w:rPr>
      </w:pPr>
      <w:r>
        <w:rPr>
          <w:b/>
          <w:color w:val="231F20"/>
          <w:w w:val="110"/>
          <w:sz w:val="18"/>
        </w:rPr>
        <w:t>Pastoral </w:t>
      </w:r>
      <w:r>
        <w:rPr>
          <w:b/>
          <w:color w:val="231F20"/>
          <w:spacing w:val="2"/>
          <w:w w:val="110"/>
          <w:sz w:val="18"/>
        </w:rPr>
        <w:t>issues</w:t>
      </w:r>
    </w:p>
    <w:p>
      <w:pPr>
        <w:pStyle w:val="BodyText"/>
        <w:spacing w:line="273" w:lineRule="auto" w:before="31"/>
        <w:ind w:left="1080" w:right="1375"/>
      </w:pPr>
      <w:r>
        <w:rPr>
          <w:color w:val="231F20"/>
          <w:w w:val="110"/>
        </w:rPr>
        <w:t>How should the church respond to those whose orientation is other than heterosexual and those in same-sex relationships and civil partnerships? How should the church respond to those who find such relationships and </w:t>
      </w:r>
      <w:r>
        <w:rPr>
          <w:color w:val="231F20"/>
          <w:spacing w:val="2"/>
          <w:w w:val="110"/>
        </w:rPr>
        <w:t>partnerships </w:t>
      </w:r>
      <w:r>
        <w:rPr>
          <w:color w:val="231F20"/>
          <w:w w:val="110"/>
        </w:rPr>
        <w:t>unacceptable and offensive in a Christian context? </w:t>
      </w:r>
      <w:r>
        <w:rPr>
          <w:color w:val="231F20"/>
          <w:spacing w:val="2"/>
          <w:w w:val="110"/>
        </w:rPr>
        <w:t>There </w:t>
      </w:r>
      <w:r>
        <w:rPr>
          <w:color w:val="231F20"/>
          <w:w w:val="110"/>
        </w:rPr>
        <w:t>is also potential for a wide range of issues of principle to arise </w:t>
      </w:r>
      <w:r>
        <w:rPr>
          <w:color w:val="231F20"/>
          <w:spacing w:val="2"/>
          <w:w w:val="110"/>
        </w:rPr>
        <w:t>from </w:t>
      </w:r>
      <w:r>
        <w:rPr>
          <w:color w:val="231F20"/>
          <w:w w:val="110"/>
        </w:rPr>
        <w:t>pastoral situations. Such things as a person’s reorientation of gender could </w:t>
      </w:r>
      <w:r>
        <w:rPr>
          <w:color w:val="231F20"/>
          <w:spacing w:val="3"/>
          <w:w w:val="110"/>
        </w:rPr>
        <w:t>affect </w:t>
      </w:r>
      <w:r>
        <w:rPr>
          <w:color w:val="231F20"/>
          <w:w w:val="110"/>
        </w:rPr>
        <w:t>a minister. Situations like this need to be looked at now so that when they do arise they can be addressed with understanding and</w:t>
      </w:r>
      <w:r>
        <w:rPr>
          <w:color w:val="231F20"/>
          <w:spacing w:val="55"/>
          <w:w w:val="110"/>
        </w:rPr>
        <w:t> </w:t>
      </w:r>
      <w:r>
        <w:rPr>
          <w:color w:val="231F20"/>
          <w:w w:val="110"/>
        </w:rPr>
        <w:t>care.</w:t>
      </w:r>
    </w:p>
    <w:p>
      <w:pPr>
        <w:pStyle w:val="BodyText"/>
        <w:spacing w:before="3"/>
        <w:rPr>
          <w:sz w:val="26"/>
        </w:rPr>
      </w:pPr>
      <w:r>
        <w:rPr/>
        <w:pict>
          <v:shape style="position:absolute;margin-left:56.692993pt;margin-top:18.15653pt;width:481.9pt;height:.1pt;mso-position-horizontal-relative:page;mso-position-vertical-relative:paragraph;z-index:-251323392;mso-wrap-distance-left:0;mso-wrap-distance-right:0" coordorigin="1134,363" coordsize="9638,0" path="m1134,363l10772,363e" filled="false" stroked="true" strokeweight=".5pt" strokecolor="#231f20">
            <v:path arrowok="t"/>
            <v:stroke dashstyle="solid"/>
            <w10:wrap type="topAndBottom"/>
          </v:shape>
        </w:pict>
      </w:r>
    </w:p>
    <w:p>
      <w:pPr>
        <w:spacing w:after="0"/>
        <w:rPr>
          <w:sz w:val="26"/>
        </w:rPr>
        <w:sectPr>
          <w:pgSz w:w="11910" w:h="16840"/>
          <w:pgMar w:header="558" w:footer="564" w:top="820" w:bottom="760" w:left="620" w:right="0"/>
        </w:sectPr>
      </w:pPr>
    </w:p>
    <w:p>
      <w:pPr>
        <w:pStyle w:val="BodyText"/>
        <w:spacing w:before="8"/>
        <w:rPr>
          <w:sz w:val="20"/>
        </w:rPr>
      </w:pPr>
    </w:p>
    <w:p>
      <w:pPr>
        <w:pStyle w:val="BodyText"/>
        <w:ind w:left="220"/>
        <w:rPr>
          <w:sz w:val="20"/>
        </w:rPr>
      </w:pPr>
      <w:r>
        <w:rPr>
          <w:sz w:val="20"/>
        </w:rPr>
        <w:pict>
          <v:group style="width:496.6pt;height:97.55pt;mso-position-horizontal-relative:char;mso-position-vertical-relative:line" coordorigin="0,0" coordsize="9932,1951">
            <v:rect style="position:absolute;left:302;top:440;width:4016;height:304" filled="true" fillcolor="#d8dadc" stroked="false">
              <v:fill type="solid"/>
            </v:rect>
            <v:rect style="position:absolute;left:302;top:114;width:159;height:326" filled="true" fillcolor="#d8dadc" stroked="false">
              <v:fill type="solid"/>
            </v:rect>
            <v:line style="position:absolute" from="303,108" to="4318,108" stroked="true" strokeweight=".7pt" strokecolor="#d8dadc">
              <v:stroke dashstyle="solid"/>
            </v:line>
            <v:rect style="position:absolute;left:3903;top:113;width:416;height:327" filled="true" fillcolor="#d8dadc" stroked="false">
              <v:fill type="solid"/>
            </v:rect>
            <v:rect style="position:absolute;left:460;top:113;width:3443;height:327" filled="true" fillcolor="#d8dadc" stroked="false">
              <v:fill type="solid"/>
            </v:rect>
            <v:shape style="position:absolute;left:0;top:48;width:9932;height:1902" type="#_x0000_t75" stroked="false">
              <v:imagedata r:id="rId349" o:title=""/>
            </v:shape>
            <v:shape style="position:absolute;left:416;top:0;width:3659;height:738" type="#_x0000_t202" filled="false" stroked="false">
              <v:textbox inset="0,0,0,0">
                <w:txbxContent>
                  <w:p>
                    <w:pPr>
                      <w:spacing w:line="206" w:lineRule="auto" w:before="44"/>
                      <w:ind w:left="0"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0"/>
                        <w:w w:val="111"/>
                        <w:sz w:val="43"/>
                      </w:rPr>
                      <w:t>O</w:t>
                    </w:r>
                    <w:r>
                      <w:rPr>
                        <w:b/>
                        <w:color w:val="231F20"/>
                        <w:spacing w:val="-153"/>
                        <w:w w:val="112"/>
                        <w:position w:val="-19"/>
                        <w:sz w:val="50"/>
                      </w:rPr>
                      <w:t>4</w:t>
                    </w:r>
                    <w:r>
                      <w:rPr>
                        <w:b/>
                        <w:color w:val="FFFFFF"/>
                        <w:spacing w:val="-273"/>
                        <w:w w:val="111"/>
                        <w:sz w:val="43"/>
                      </w:rPr>
                      <w:t>N</w:t>
                    </w:r>
                    <w:r>
                      <w:rPr>
                        <w:b/>
                        <w:color w:val="231F20"/>
                        <w:spacing w:val="-19"/>
                        <w:w w:val="112"/>
                        <w:position w:val="-19"/>
                        <w:sz w:val="50"/>
                      </w:rPr>
                      <w:t>2</w:t>
                    </w:r>
                  </w:p>
                </w:txbxContent>
              </v:textbox>
              <w10:wrap type="none"/>
            </v:shape>
            <v:shape style="position:absolute;left:4970;top:432;width:3903;height:491" type="#_x0000_t202" filled="false" stroked="false">
              <v:textbox inset="0,0,0,0">
                <w:txbxContent>
                  <w:p>
                    <w:pPr>
                      <w:spacing w:line="241" w:lineRule="exact" w:before="0"/>
                      <w:ind w:left="0" w:right="18" w:firstLine="0"/>
                      <w:jc w:val="right"/>
                      <w:rPr>
                        <w:b/>
                        <w:sz w:val="20"/>
                      </w:rPr>
                    </w:pPr>
                    <w:r>
                      <w:rPr>
                        <w:b/>
                        <w:color w:val="231F20"/>
                        <w:w w:val="110"/>
                        <w:sz w:val="20"/>
                      </w:rPr>
                      <w:t>Moratorium on policy</w:t>
                    </w:r>
                    <w:r>
                      <w:rPr>
                        <w:b/>
                        <w:color w:val="231F20"/>
                        <w:spacing w:val="15"/>
                        <w:w w:val="110"/>
                        <w:sz w:val="20"/>
                      </w:rPr>
                      <w:t> </w:t>
                    </w:r>
                    <w:r>
                      <w:rPr>
                        <w:b/>
                        <w:color w:val="231F20"/>
                        <w:w w:val="110"/>
                        <w:sz w:val="20"/>
                      </w:rPr>
                      <w:t>decisions</w:t>
                    </w:r>
                  </w:p>
                  <w:p>
                    <w:pPr>
                      <w:spacing w:line="243" w:lineRule="exact" w:before="7"/>
                      <w:ind w:left="0" w:right="18" w:firstLine="0"/>
                      <w:jc w:val="right"/>
                      <w:rPr>
                        <w:b/>
                        <w:sz w:val="20"/>
                      </w:rPr>
                    </w:pPr>
                    <w:r>
                      <w:rPr>
                        <w:b/>
                        <w:color w:val="231F20"/>
                        <w:w w:val="110"/>
                        <w:sz w:val="20"/>
                      </w:rPr>
                      <w:t>on</w:t>
                    </w:r>
                    <w:r>
                      <w:rPr>
                        <w:b/>
                        <w:color w:val="231F20"/>
                        <w:spacing w:val="14"/>
                        <w:w w:val="110"/>
                        <w:sz w:val="20"/>
                      </w:rPr>
                      <w:t> </w:t>
                    </w:r>
                    <w:r>
                      <w:rPr>
                        <w:b/>
                        <w:color w:val="231F20"/>
                        <w:w w:val="110"/>
                        <w:sz w:val="20"/>
                      </w:rPr>
                      <w:t>homosexuality</w:t>
                    </w:r>
                  </w:p>
                </w:txbxContent>
              </v:textbox>
              <w10:wrap type="none"/>
            </v:shape>
            <v:shape style="position:absolute;left:293;top:1200;width:8550;height:469" type="#_x0000_t202" filled="false" stroked="false">
              <v:textbox inset="0,0,0,0">
                <w:txbxContent>
                  <w:p>
                    <w:pPr>
                      <w:spacing w:line="273" w:lineRule="auto" w:before="0"/>
                      <w:ind w:left="0" w:right="0" w:firstLine="0"/>
                      <w:jc w:val="left"/>
                      <w:rPr>
                        <w:sz w:val="18"/>
                      </w:rPr>
                    </w:pPr>
                    <w:r>
                      <w:rPr>
                        <w:color w:val="231F20"/>
                        <w:w w:val="110"/>
                        <w:sz w:val="18"/>
                      </w:rPr>
                      <w:t>General Assembly welcomes and accepts Mission Council’s guidance concerning the ending of the moratorium on policy decisions on matters of human sexuality.</w:t>
                    </w:r>
                  </w:p>
                </w:txbxContent>
              </v:textbox>
              <w10:wrap type="none"/>
            </v:shape>
          </v:group>
        </w:pict>
      </w:r>
      <w:r>
        <w:rPr>
          <w:sz w:val="20"/>
        </w:rPr>
      </w:r>
    </w:p>
    <w:p>
      <w:pPr>
        <w:pStyle w:val="BodyText"/>
        <w:spacing w:before="10"/>
      </w:pPr>
      <w:r>
        <w:rPr/>
        <w:pict>
          <v:group style="position:absolute;margin-left:42.025169pt;margin-top:13.4047pt;width:496.6pt;height:76.150pt;mso-position-horizontal-relative:page;mso-position-vertical-relative:paragraph;z-index:-251317248;mso-wrap-distance-left:0;mso-wrap-distance-right:0" coordorigin="841,268" coordsize="9932,1523">
            <v:rect style="position:absolute;left:1143;top:708;width:4016;height:304" filled="true" fillcolor="#d8dadc" stroked="false">
              <v:fill type="solid"/>
            </v:rect>
            <v:rect style="position:absolute;left:1143;top:382;width:159;height:326" filled="true" fillcolor="#d8dadc" stroked="false">
              <v:fill type="solid"/>
            </v:rect>
            <v:line style="position:absolute" from="1143,376" to="5159,376" stroked="true" strokeweight=".7pt" strokecolor="#d8dadc">
              <v:stroke dashstyle="solid"/>
            </v:line>
            <v:rect style="position:absolute;left:4743;top:381;width:416;height:328" filled="true" fillcolor="#d8dadc" stroked="false">
              <v:fill type="solid"/>
            </v:rect>
            <v:rect style="position:absolute;left:1301;top:381;width:3443;height:328" filled="true" fillcolor="#d8dadc" stroked="false">
              <v:fill type="solid"/>
            </v:rect>
            <v:shape style="position:absolute;left:840;top:316;width:9932;height:1474" type="#_x0000_t75" stroked="false">
              <v:imagedata r:id="rId350" o:title=""/>
            </v:shape>
            <v:shape style="position:absolute;left:840;top:268;width:9932;height:1523" type="#_x0000_t202" filled="false" stroked="false">
              <v:textbox inset="0,0,0,0">
                <w:txbxContent>
                  <w:p>
                    <w:pPr>
                      <w:spacing w:before="2"/>
                      <w:ind w:left="416"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64"/>
                        <w:w w:val="111"/>
                        <w:sz w:val="43"/>
                      </w:rPr>
                      <w:t>O</w:t>
                    </w:r>
                    <w:r>
                      <w:rPr>
                        <w:b/>
                        <w:color w:val="231F20"/>
                        <w:spacing w:val="-139"/>
                        <w:w w:val="112"/>
                        <w:position w:val="-18"/>
                        <w:sz w:val="50"/>
                      </w:rPr>
                      <w:t>4</w:t>
                    </w:r>
                    <w:r>
                      <w:rPr>
                        <w:b/>
                        <w:color w:val="FFFFFF"/>
                        <w:spacing w:val="-273"/>
                        <w:w w:val="111"/>
                        <w:sz w:val="43"/>
                      </w:rPr>
                      <w:t>N</w:t>
                    </w:r>
                    <w:r>
                      <w:rPr>
                        <w:b/>
                        <w:color w:val="231F20"/>
                        <w:spacing w:val="-5"/>
                        <w:w w:val="112"/>
                        <w:position w:val="-18"/>
                        <w:sz w:val="50"/>
                      </w:rPr>
                      <w:t>3</w:t>
                    </w:r>
                  </w:p>
                  <w:p>
                    <w:pPr>
                      <w:spacing w:before="217"/>
                      <w:ind w:left="293" w:right="0" w:firstLine="0"/>
                      <w:jc w:val="left"/>
                      <w:rPr>
                        <w:sz w:val="18"/>
                      </w:rPr>
                    </w:pPr>
                    <w:r>
                      <w:rPr>
                        <w:color w:val="231F20"/>
                        <w:w w:val="110"/>
                        <w:sz w:val="18"/>
                      </w:rPr>
                      <w:t>General Assembly agrees to the wording of the Commitment on Human</w:t>
                    </w:r>
                    <w:r>
                      <w:rPr>
                        <w:color w:val="231F20"/>
                        <w:spacing w:val="56"/>
                        <w:w w:val="110"/>
                        <w:sz w:val="18"/>
                      </w:rPr>
                      <w:t> </w:t>
                    </w:r>
                    <w:r>
                      <w:rPr>
                        <w:color w:val="231F20"/>
                        <w:w w:val="110"/>
                        <w:sz w:val="18"/>
                      </w:rPr>
                      <w:t>Sexuality.</w:t>
                    </w:r>
                  </w:p>
                </w:txbxContent>
              </v:textbox>
              <w10:wrap type="none"/>
            </v:shape>
            <w10:wrap type="topAndBottom"/>
          </v:group>
        </w:pict>
      </w:r>
      <w:r>
        <w:rPr/>
        <w:pict>
          <v:group style="position:absolute;margin-left:42.025169pt;margin-top:99.625198pt;width:496.6pt;height:75.45pt;mso-position-horizontal-relative:page;mso-position-vertical-relative:paragraph;z-index:-251315200;mso-wrap-distance-left:0;mso-wrap-distance-right:0" coordorigin="841,1993" coordsize="9932,1509">
            <v:rect style="position:absolute;left:1143;top:2432;width:4016;height:304" filled="true" fillcolor="#d8dadc" stroked="false">
              <v:fill type="solid"/>
            </v:rect>
            <v:rect style="position:absolute;left:1143;top:2106;width:159;height:326" filled="true" fillcolor="#d8dadc" stroked="false">
              <v:fill type="solid"/>
            </v:rect>
            <v:line style="position:absolute" from="1143,2101" to="5159,2101" stroked="true" strokeweight=".6pt" strokecolor="#d8dadc">
              <v:stroke dashstyle="solid"/>
            </v:line>
            <v:rect style="position:absolute;left:4743;top:2106;width:416;height:328" filled="true" fillcolor="#d8dadc" stroked="false">
              <v:fill type="solid"/>
            </v:rect>
            <v:rect style="position:absolute;left:1301;top:2106;width:3443;height:328" filled="true" fillcolor="#d8dadc" stroked="false">
              <v:fill type="solid"/>
            </v:rect>
            <v:shape style="position:absolute;left:840;top:2041;width:9932;height:1460" type="#_x0000_t75" stroked="false">
              <v:imagedata r:id="rId351" o:title=""/>
            </v:shape>
            <v:shape style="position:absolute;left:840;top:1992;width:9932;height:1509" type="#_x0000_t202" filled="false" stroked="false">
              <v:textbox inset="0,0,0,0">
                <w:txbxContent>
                  <w:p>
                    <w:pPr>
                      <w:spacing w:before="2"/>
                      <w:ind w:left="416"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72"/>
                        <w:w w:val="111"/>
                        <w:sz w:val="43"/>
                      </w:rPr>
                      <w:t>O</w:t>
                    </w:r>
                    <w:r>
                      <w:rPr>
                        <w:b/>
                        <w:color w:val="231F20"/>
                        <w:spacing w:val="-131"/>
                        <w:w w:val="112"/>
                        <w:position w:val="-21"/>
                        <w:sz w:val="50"/>
                      </w:rPr>
                      <w:t>4</w:t>
                    </w:r>
                    <w:r>
                      <w:rPr>
                        <w:b/>
                        <w:color w:val="FFFFFF"/>
                        <w:spacing w:val="-273"/>
                        <w:w w:val="111"/>
                        <w:sz w:val="43"/>
                      </w:rPr>
                      <w:t>N</w:t>
                    </w:r>
                    <w:r>
                      <w:rPr>
                        <w:b/>
                        <w:color w:val="231F20"/>
                        <w:spacing w:val="3"/>
                        <w:w w:val="112"/>
                        <w:position w:val="-21"/>
                        <w:sz w:val="50"/>
                      </w:rPr>
                      <w:t>4</w:t>
                    </w:r>
                  </w:p>
                  <w:p>
                    <w:pPr>
                      <w:spacing w:before="213"/>
                      <w:ind w:left="293" w:right="0" w:firstLine="0"/>
                      <w:jc w:val="left"/>
                      <w:rPr>
                        <w:sz w:val="18"/>
                      </w:rPr>
                    </w:pPr>
                    <w:r>
                      <w:rPr>
                        <w:color w:val="231F20"/>
                        <w:w w:val="110"/>
                        <w:sz w:val="18"/>
                      </w:rPr>
                      <w:t>General Assembly adopts the Commitment on Human Sexuality on behalf of the church.</w:t>
                    </w:r>
                  </w:p>
                </w:txbxContent>
              </v:textbox>
              <w10:wrap type="none"/>
            </v:shape>
            <w10:wrap type="topAndBottom"/>
          </v:group>
        </w:pict>
      </w:r>
      <w:r>
        <w:rPr/>
        <w:pict>
          <v:group style="position:absolute;margin-left:43.692589pt;margin-top:188.320496pt;width:496.6pt;height:95.7pt;mso-position-horizontal-relative:page;mso-position-vertical-relative:paragraph;z-index:-251313152;mso-wrap-distance-left:0;mso-wrap-distance-right:0" coordorigin="874,3766" coordsize="9932,1914">
            <v:rect style="position:absolute;left:1176;top:4206;width:4016;height:306" filled="true" fillcolor="#d8dadc" stroked="false">
              <v:fill type="solid"/>
            </v:rect>
            <v:rect style="position:absolute;left:1176;top:3880;width:159;height:326" filled="true" fillcolor="#d8dadc" stroked="false">
              <v:fill type="solid"/>
            </v:rect>
            <v:line style="position:absolute" from="1177,3875" to="5192,3875" stroked="true" strokeweight=".6pt" strokecolor="#d8dadc">
              <v:stroke dashstyle="solid"/>
            </v:line>
            <v:rect style="position:absolute;left:4777;top:3880;width:416;height:327" filled="true" fillcolor="#d8dadc" stroked="false">
              <v:fill type="solid"/>
            </v:rect>
            <v:rect style="position:absolute;left:1334;top:3880;width:3443;height:327" filled="true" fillcolor="#d8dadc" stroked="false">
              <v:fill type="solid"/>
            </v:rect>
            <v:shape style="position:absolute;left:873;top:3808;width:9932;height:1872" type="#_x0000_t75" stroked="false">
              <v:imagedata r:id="rId352" o:title=""/>
            </v:shape>
            <v:shape style="position:absolute;left:873;top:3766;width:9932;height:1914" type="#_x0000_t202" filled="false" stroked="false">
              <v:textbox inset="0,0,0,0">
                <w:txbxContent>
                  <w:p>
                    <w:pPr>
                      <w:spacing w:before="2"/>
                      <w:ind w:left="416"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94"/>
                        <w:w w:val="111"/>
                        <w:sz w:val="43"/>
                      </w:rPr>
                      <w:t>O</w:t>
                    </w:r>
                    <w:r>
                      <w:rPr>
                        <w:b/>
                        <w:color w:val="231F20"/>
                        <w:spacing w:val="-109"/>
                        <w:w w:val="112"/>
                        <w:position w:val="-19"/>
                        <w:sz w:val="50"/>
                      </w:rPr>
                      <w:t>4</w:t>
                    </w:r>
                    <w:r>
                      <w:rPr>
                        <w:b/>
                        <w:color w:val="FFFFFF"/>
                        <w:spacing w:val="-306"/>
                        <w:w w:val="111"/>
                        <w:sz w:val="43"/>
                      </w:rPr>
                      <w:t>N</w:t>
                    </w:r>
                    <w:r>
                      <w:rPr>
                        <w:b/>
                        <w:color w:val="231F20"/>
                        <w:spacing w:val="-8"/>
                        <w:w w:val="112"/>
                        <w:position w:val="-19"/>
                        <w:sz w:val="50"/>
                      </w:rPr>
                      <w:t>5</w:t>
                    </w:r>
                  </w:p>
                  <w:p>
                    <w:pPr>
                      <w:spacing w:line="273" w:lineRule="auto" w:before="209"/>
                      <w:ind w:left="260" w:right="900" w:firstLine="0"/>
                      <w:jc w:val="both"/>
                      <w:rPr>
                        <w:sz w:val="18"/>
                      </w:rPr>
                    </w:pPr>
                    <w:r>
                      <w:rPr>
                        <w:color w:val="231F20"/>
                        <w:w w:val="110"/>
                        <w:sz w:val="18"/>
                      </w:rPr>
                      <w:t>General Assembly calls for further detailed discussions on aspects of human sexuality to be initiated in the light of the Catch the Vision process, with guidance from Mission Council and in the spirit of the Commitment.</w:t>
                    </w:r>
                  </w:p>
                </w:txbxContent>
              </v:textbox>
              <w10:wrap type="none"/>
            </v:shape>
            <w10:wrap type="topAndBottom"/>
          </v:group>
        </w:pict>
      </w:r>
      <w:r>
        <w:rPr/>
        <w:pict>
          <v:group style="position:absolute;margin-left:42.025169pt;margin-top:300.379211pt;width:496.6pt;height:109.65pt;mso-position-horizontal-relative:page;mso-position-vertical-relative:paragraph;z-index:-251311104;mso-wrap-distance-left:0;mso-wrap-distance-right:0" coordorigin="841,6008" coordsize="9932,2193">
            <v:rect style="position:absolute;left:1143;top:6448;width:4016;height:294" filled="true" fillcolor="#d8dadc" stroked="false">
              <v:fill type="solid"/>
            </v:rect>
            <v:rect style="position:absolute;left:1143;top:6120;width:159;height:328" filled="true" fillcolor="#d8dadc" stroked="false">
              <v:fill type="solid"/>
            </v:rect>
            <v:line style="position:absolute" from="1143,6115" to="5159,6115" stroked="true" strokeweight=".6pt" strokecolor="#d8dadc">
              <v:stroke dashstyle="solid"/>
            </v:line>
            <v:rect style="position:absolute;left:4743;top:6121;width:416;height:327" filled="true" fillcolor="#d8dadc" stroked="false">
              <v:fill type="solid"/>
            </v:rect>
            <v:rect style="position:absolute;left:1301;top:6121;width:3443;height:327" filled="true" fillcolor="#d8dadc" stroked="false">
              <v:fill type="solid"/>
            </v:rect>
            <v:shape style="position:absolute;left:840;top:6042;width:9932;height:2157" type="#_x0000_t75" stroked="false">
              <v:imagedata r:id="rId353" o:title=""/>
            </v:shape>
            <v:shape style="position:absolute;left:840;top:6007;width:9932;height:2193" type="#_x0000_t202" filled="false" stroked="false">
              <v:textbox inset="0,0,0,0">
                <w:txbxContent>
                  <w:p>
                    <w:pPr>
                      <w:spacing w:before="2"/>
                      <w:ind w:left="416"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64"/>
                        <w:w w:val="111"/>
                        <w:sz w:val="43"/>
                      </w:rPr>
                      <w:t>O</w:t>
                    </w:r>
                    <w:r>
                      <w:rPr>
                        <w:b/>
                        <w:color w:val="231F20"/>
                        <w:spacing w:val="-138"/>
                        <w:w w:val="112"/>
                        <w:position w:val="-19"/>
                        <w:sz w:val="50"/>
                      </w:rPr>
                      <w:t>4</w:t>
                    </w:r>
                    <w:r>
                      <w:rPr>
                        <w:b/>
                        <w:color w:val="FFFFFF"/>
                        <w:spacing w:val="-273"/>
                        <w:w w:val="111"/>
                        <w:sz w:val="43"/>
                      </w:rPr>
                      <w:t>N</w:t>
                    </w:r>
                    <w:r>
                      <w:rPr>
                        <w:b/>
                        <w:color w:val="231F20"/>
                        <w:spacing w:val="-4"/>
                        <w:w w:val="112"/>
                        <w:position w:val="-19"/>
                        <w:sz w:val="50"/>
                      </w:rPr>
                      <w:t>6</w:t>
                    </w:r>
                  </w:p>
                  <w:p>
                    <w:pPr>
                      <w:spacing w:line="273" w:lineRule="auto" w:before="218"/>
                      <w:ind w:left="293" w:right="729" w:firstLine="0"/>
                      <w:jc w:val="left"/>
                      <w:rPr>
                        <w:sz w:val="18"/>
                      </w:rPr>
                    </w:pPr>
                    <w:r>
                      <w:rPr>
                        <w:color w:val="231F20"/>
                        <w:w w:val="110"/>
                        <w:sz w:val="18"/>
                      </w:rPr>
                      <w:t>Acknowledging the value of earlier work on human sexuality, and recognising that there has been some confusion about the implications of the moratorium, General Assembly regrets that the extent of “reflection, prayer and sharing” has been limited over the past seven years and encourages the continuing use of that earlier material.</w:t>
                    </w:r>
                  </w:p>
                </w:txbxContent>
              </v:textbox>
              <w10:wrap type="none"/>
            </v:shape>
            <w10:wrap type="topAndBottom"/>
          </v:group>
        </w:pict>
      </w:r>
      <w:r>
        <w:rPr/>
        <w:pict>
          <v:group style="position:absolute;margin-left:42.025169pt;margin-top:424.900787pt;width:496.6pt;height:95.1pt;mso-position-horizontal-relative:page;mso-position-vertical-relative:paragraph;z-index:-251309056;mso-wrap-distance-left:0;mso-wrap-distance-right:0" coordorigin="841,8498" coordsize="9932,1902">
            <v:rect style="position:absolute;left:1143;top:8938;width:4016;height:304" filled="true" fillcolor="#d8dadc" stroked="false">
              <v:fill type="solid"/>
            </v:rect>
            <v:rect style="position:absolute;left:1143;top:8612;width:159;height:326" filled="true" fillcolor="#d8dadc" stroked="false">
              <v:fill type="solid"/>
            </v:rect>
            <v:line style="position:absolute" from="1143,8606" to="5159,8606" stroked="true" strokeweight=".7pt" strokecolor="#d8dadc">
              <v:stroke dashstyle="solid"/>
            </v:line>
            <v:rect style="position:absolute;left:4743;top:8611;width:416;height:328" filled="true" fillcolor="#d8dadc" stroked="false">
              <v:fill type="solid"/>
            </v:rect>
            <v:rect style="position:absolute;left:1301;top:8611;width:3443;height:328" filled="true" fillcolor="#d8dadc" stroked="false">
              <v:fill type="solid"/>
            </v:rect>
            <v:shape style="position:absolute;left:840;top:8546;width:9932;height:1854" type="#_x0000_t75" stroked="false">
              <v:imagedata r:id="rId354" o:title=""/>
            </v:shape>
            <v:shape style="position:absolute;left:840;top:8498;width:9932;height:1902" type="#_x0000_t202" filled="false" stroked="false">
              <v:textbox inset="0,0,0,0">
                <w:txbxContent>
                  <w:p>
                    <w:pPr>
                      <w:spacing w:before="2"/>
                      <w:ind w:left="416"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35"/>
                        <w:w w:val="111"/>
                        <w:sz w:val="43"/>
                      </w:rPr>
                      <w:t>O</w:t>
                    </w:r>
                    <w:r>
                      <w:rPr>
                        <w:b/>
                        <w:color w:val="231F20"/>
                        <w:spacing w:val="-167"/>
                        <w:w w:val="112"/>
                        <w:position w:val="-20"/>
                        <w:sz w:val="50"/>
                      </w:rPr>
                      <w:t>4</w:t>
                    </w:r>
                    <w:r>
                      <w:rPr>
                        <w:b/>
                        <w:color w:val="FFFFFF"/>
                        <w:spacing w:val="-273"/>
                        <w:w w:val="111"/>
                        <w:sz w:val="43"/>
                      </w:rPr>
                      <w:t>N</w:t>
                    </w:r>
                    <w:r>
                      <w:rPr>
                        <w:b/>
                        <w:color w:val="231F20"/>
                        <w:spacing w:val="-34"/>
                        <w:w w:val="112"/>
                        <w:position w:val="-20"/>
                        <w:sz w:val="50"/>
                      </w:rPr>
                      <w:t>7</w:t>
                    </w:r>
                  </w:p>
                  <w:p>
                    <w:pPr>
                      <w:spacing w:line="273" w:lineRule="auto" w:before="217"/>
                      <w:ind w:left="293" w:right="729" w:firstLine="0"/>
                      <w:jc w:val="left"/>
                      <w:rPr>
                        <w:sz w:val="18"/>
                      </w:rPr>
                    </w:pPr>
                    <w:r>
                      <w:rPr>
                        <w:color w:val="231F20"/>
                        <w:w w:val="110"/>
                        <w:sz w:val="18"/>
                      </w:rPr>
                      <w:t>General Assembly asks Mission Council to set up a task group to oversee the </w:t>
                    </w:r>
                    <w:r>
                      <w:rPr>
                        <w:color w:val="231F20"/>
                        <w:spacing w:val="2"/>
                        <w:w w:val="110"/>
                        <w:sz w:val="18"/>
                      </w:rPr>
                      <w:t>process </w:t>
                    </w:r>
                    <w:r>
                      <w:rPr>
                        <w:color w:val="231F20"/>
                        <w:spacing w:val="73"/>
                        <w:w w:val="110"/>
                        <w:sz w:val="18"/>
                      </w:rPr>
                      <w:t> </w:t>
                    </w:r>
                    <w:r>
                      <w:rPr>
                        <w:color w:val="231F20"/>
                        <w:w w:val="110"/>
                        <w:sz w:val="18"/>
                      </w:rPr>
                      <w:t>of addressing issues of human sexuality, particularly those set out in the </w:t>
                    </w:r>
                    <w:r>
                      <w:rPr>
                        <w:color w:val="231F20"/>
                        <w:spacing w:val="2"/>
                        <w:w w:val="110"/>
                        <w:sz w:val="18"/>
                      </w:rPr>
                      <w:t>report, </w:t>
                    </w:r>
                    <w:r>
                      <w:rPr>
                        <w:color w:val="231F20"/>
                        <w:w w:val="110"/>
                        <w:sz w:val="18"/>
                      </w:rPr>
                      <w:t>and to enable the </w:t>
                    </w:r>
                    <w:r>
                      <w:rPr>
                        <w:color w:val="231F20"/>
                        <w:spacing w:val="2"/>
                        <w:w w:val="110"/>
                        <w:sz w:val="18"/>
                      </w:rPr>
                      <w:t>process </w:t>
                    </w:r>
                    <w:r>
                      <w:rPr>
                        <w:color w:val="231F20"/>
                        <w:w w:val="110"/>
                        <w:sz w:val="18"/>
                      </w:rPr>
                      <w:t>of widening discussions to involve the whole</w:t>
                    </w:r>
                    <w:r>
                      <w:rPr>
                        <w:color w:val="231F20"/>
                        <w:spacing w:val="34"/>
                        <w:w w:val="110"/>
                        <w:sz w:val="18"/>
                      </w:rPr>
                      <w:t> </w:t>
                    </w:r>
                    <w:r>
                      <w:rPr>
                        <w:color w:val="231F20"/>
                        <w:w w:val="110"/>
                        <w:sz w:val="18"/>
                      </w:rPr>
                      <w:t>church.</w:t>
                    </w:r>
                  </w:p>
                </w:txbxContent>
              </v:textbox>
              <w10:wrap type="none"/>
            </v:shape>
            <w10:wrap type="topAndBottom"/>
          </v:group>
        </w:pict>
      </w:r>
      <w:r>
        <w:rPr/>
        <w:pict>
          <v:group style="position:absolute;margin-left:43.692589pt;margin-top:531.832886pt;width:496.6pt;height:104.35pt;mso-position-horizontal-relative:page;mso-position-vertical-relative:paragraph;z-index:-251304960;mso-wrap-distance-left:0;mso-wrap-distance-right:0" coordorigin="874,10637" coordsize="9932,2087">
            <v:rect style="position:absolute;left:1176;top:11076;width:4016;height:458" filled="true" fillcolor="#d8dadc" stroked="false">
              <v:fill type="solid"/>
            </v:rect>
            <v:rect style="position:absolute;left:1176;top:10750;width:159;height:326" filled="true" fillcolor="#d8dadc" stroked="false">
              <v:fill type="solid"/>
            </v:rect>
            <v:line style="position:absolute" from="1177,10745" to="5192,10745" stroked="true" strokeweight=".6pt" strokecolor="#d8dadc">
              <v:stroke dashstyle="solid"/>
            </v:line>
            <v:rect style="position:absolute;left:4777;top:10750;width:416;height:327" filled="true" fillcolor="#d8dadc" stroked="false">
              <v:fill type="solid"/>
            </v:rect>
            <v:rect style="position:absolute;left:1334;top:10750;width:3443;height:327" filled="true" fillcolor="#d8dadc" stroked="false">
              <v:fill type="solid"/>
            </v:rect>
            <v:shape style="position:absolute;left:873;top:10672;width:9932;height:2051" type="#_x0000_t75" stroked="false">
              <v:imagedata r:id="rId355" o:title=""/>
            </v:shape>
            <v:shape style="position:absolute;left:1290;top:10636;width:3549;height:526" type="#_x0000_t202" filled="false" stroked="false">
              <v:textbox inset="0,0,0,0">
                <w:txbxContent>
                  <w:p>
                    <w:pPr>
                      <w:spacing w:before="2"/>
                      <w:ind w:left="0" w:right="0" w:firstLine="0"/>
                      <w:jc w:val="left"/>
                      <w:rPr>
                        <w:b/>
                        <w:sz w:val="43"/>
                      </w:rPr>
                    </w:pPr>
                    <w:r>
                      <w:rPr>
                        <w:b/>
                        <w:color w:val="FFFFFF"/>
                        <w:w w:val="110"/>
                        <w:sz w:val="43"/>
                      </w:rPr>
                      <w:t>RESOLUTION</w:t>
                    </w:r>
                  </w:p>
                </w:txbxContent>
              </v:textbox>
              <w10:wrap type="none"/>
            </v:shape>
            <v:shape style="position:absolute;left:4116;top:10899;width:819;height:613" type="#_x0000_t202" filled="false" stroked="false">
              <v:textbox inset="0,0,0,0">
                <w:txbxContent>
                  <w:p>
                    <w:pPr>
                      <w:spacing w:before="4"/>
                      <w:ind w:left="0" w:right="0" w:firstLine="0"/>
                      <w:jc w:val="left"/>
                      <w:rPr>
                        <w:b/>
                        <w:sz w:val="50"/>
                      </w:rPr>
                    </w:pPr>
                    <w:r>
                      <w:rPr>
                        <w:b/>
                        <w:color w:val="231F20"/>
                        <w:w w:val="110"/>
                        <w:sz w:val="50"/>
                      </w:rPr>
                      <w:t>48</w:t>
                    </w:r>
                  </w:p>
                </w:txbxContent>
              </v:textbox>
              <w10:wrap type="none"/>
            </v:shape>
            <v:shape style="position:absolute;left:1133;top:11724;width:9070;height:719" type="#_x0000_t202" filled="false" stroked="false">
              <v:textbox inset="0,0,0,0">
                <w:txbxContent>
                  <w:p>
                    <w:pPr>
                      <w:spacing w:line="273" w:lineRule="auto" w:before="0"/>
                      <w:ind w:left="0" w:right="21" w:firstLine="0"/>
                      <w:jc w:val="left"/>
                      <w:rPr>
                        <w:sz w:val="18"/>
                      </w:rPr>
                    </w:pPr>
                    <w:r>
                      <w:rPr>
                        <w:color w:val="231F20"/>
                        <w:w w:val="110"/>
                        <w:sz w:val="18"/>
                      </w:rPr>
                      <w:t>General Assembly urges members of councils and local churches not to press for policy decisions on these matters during this process, but to join in discussions that might help to increase understanding and unity.</w:t>
                    </w:r>
                  </w:p>
                </w:txbxContent>
              </v:textbox>
              <w10:wrap type="none"/>
            </v:shape>
            <w10:wrap type="topAndBottom"/>
          </v:group>
        </w:pict>
      </w:r>
    </w:p>
    <w:p>
      <w:pPr>
        <w:pStyle w:val="BodyText"/>
        <w:rPr>
          <w:sz w:val="11"/>
        </w:rPr>
      </w:pPr>
    </w:p>
    <w:p>
      <w:pPr>
        <w:pStyle w:val="BodyText"/>
        <w:spacing w:before="3"/>
        <w:rPr>
          <w:sz w:val="16"/>
        </w:rPr>
      </w:pPr>
    </w:p>
    <w:p>
      <w:pPr>
        <w:pStyle w:val="BodyText"/>
        <w:spacing w:before="4"/>
        <w:rPr>
          <w:sz w:val="21"/>
        </w:rPr>
      </w:pPr>
    </w:p>
    <w:p>
      <w:pPr>
        <w:pStyle w:val="BodyText"/>
        <w:spacing w:before="11"/>
      </w:pPr>
    </w:p>
    <w:p>
      <w:pPr>
        <w:pStyle w:val="BodyText"/>
        <w:spacing w:before="10"/>
        <w:rPr>
          <w:sz w:val="13"/>
        </w:rPr>
      </w:pPr>
    </w:p>
    <w:p>
      <w:pPr>
        <w:spacing w:after="0"/>
        <w:rPr>
          <w:sz w:val="13"/>
        </w:rPr>
        <w:sectPr>
          <w:pgSz w:w="11910" w:h="16840"/>
          <w:pgMar w:header="558" w:footer="564" w:top="820" w:bottom="760" w:left="620" w:right="0"/>
        </w:sectPr>
      </w:pPr>
    </w:p>
    <w:p>
      <w:pPr>
        <w:pStyle w:val="BodyText"/>
        <w:rPr>
          <w:sz w:val="20"/>
        </w:rPr>
      </w:pPr>
      <w:r>
        <w:rPr/>
        <w:pict>
          <v:shape style="position:absolute;margin-left:524.527466pt;margin-top:46.345016pt;width:48.65pt;height:706.35pt;mso-position-horizontal-relative:page;mso-position-vertical-relative:page;z-index:-275213312" type="#_x0000_t202" filled="false" stroked="false">
            <v:textbox inset="0,0,0,0">
              <w:txbxContent>
                <w:p>
                  <w:pPr>
                    <w:spacing w:line="2" w:lineRule="exact" w:before="0"/>
                    <w:ind w:left="0" w:right="0" w:firstLine="0"/>
                    <w:jc w:val="left"/>
                    <w:rPr>
                      <w:b/>
                      <w:sz w:val="80"/>
                    </w:rPr>
                  </w:pPr>
                  <w:r>
                    <w:rPr>
                      <w:b/>
                      <w:color w:val="231F20"/>
                      <w:w w:val="99"/>
                      <w:sz w:val="80"/>
                    </w:rPr>
                    <w:t>G</w:t>
                  </w:r>
                </w:p>
                <w:p>
                  <w:pPr>
                    <w:spacing w:line="62" w:lineRule="auto" w:before="420"/>
                    <w:ind w:left="0" w:right="150" w:firstLine="0"/>
                    <w:jc w:val="left"/>
                    <w:rPr>
                      <w:b/>
                      <w:sz w:val="80"/>
                    </w:rPr>
                  </w:pPr>
                  <w:r>
                    <w:rPr>
                      <w:b/>
                      <w:color w:val="231F20"/>
                      <w:sz w:val="80"/>
                    </w:rPr>
                    <w:t>l o</w:t>
                  </w:r>
                </w:p>
                <w:p>
                  <w:pPr>
                    <w:spacing w:line="129" w:lineRule="auto" w:before="53"/>
                    <w:ind w:left="0" w:right="0" w:firstLine="0"/>
                    <w:jc w:val="both"/>
                    <w:rPr>
                      <w:b/>
                      <w:sz w:val="80"/>
                    </w:rPr>
                  </w:pPr>
                  <w:r>
                    <w:rPr>
                      <w:b/>
                      <w:color w:val="231F20"/>
                      <w:sz w:val="80"/>
                    </w:rPr>
                    <w:t>b a l</w:t>
                  </w:r>
                </w:p>
                <w:p>
                  <w:pPr>
                    <w:pStyle w:val="BodyText"/>
                    <w:rPr>
                      <w:b/>
                      <w:sz w:val="26"/>
                    </w:rPr>
                  </w:pPr>
                </w:p>
                <w:p>
                  <w:pPr>
                    <w:pStyle w:val="BodyText"/>
                    <w:rPr>
                      <w:b/>
                      <w:sz w:val="26"/>
                    </w:rPr>
                  </w:pPr>
                </w:p>
                <w:p>
                  <w:pPr>
                    <w:pStyle w:val="BodyText"/>
                    <w:spacing w:before="7"/>
                    <w:rPr>
                      <w:b/>
                      <w:sz w:val="20"/>
                    </w:rPr>
                  </w:pPr>
                </w:p>
                <w:p>
                  <w:pPr>
                    <w:spacing w:line="124" w:lineRule="auto" w:before="0"/>
                    <w:ind w:left="0" w:right="150" w:firstLine="0"/>
                    <w:jc w:val="left"/>
                    <w:rPr>
                      <w:b/>
                      <w:sz w:val="80"/>
                    </w:rPr>
                  </w:pPr>
                  <w:r>
                    <w:rPr>
                      <w:b/>
                      <w:color w:val="231F20"/>
                      <w:sz w:val="80"/>
                    </w:rPr>
                    <w:t>a r</w:t>
                  </w:r>
                </w:p>
                <w:p>
                  <w:pPr>
                    <w:pStyle w:val="BodyText"/>
                    <w:rPr>
                      <w:b/>
                      <w:sz w:val="40"/>
                    </w:rPr>
                  </w:pPr>
                </w:p>
                <w:p>
                  <w:pPr>
                    <w:pStyle w:val="BodyText"/>
                    <w:spacing w:before="6"/>
                    <w:rPr>
                      <w:b/>
                      <w:sz w:val="34"/>
                    </w:rPr>
                  </w:pPr>
                </w:p>
                <w:p>
                  <w:pPr>
                    <w:spacing w:line="62" w:lineRule="auto" w:before="1"/>
                    <w:ind w:left="0" w:right="150" w:firstLine="0"/>
                    <w:jc w:val="left"/>
                    <w:rPr>
                      <w:b/>
                      <w:sz w:val="80"/>
                    </w:rPr>
                  </w:pPr>
                  <w:r>
                    <w:rPr>
                      <w:b/>
                      <w:color w:val="231F20"/>
                      <w:sz w:val="80"/>
                    </w:rPr>
                    <w:t>i n</w:t>
                  </w:r>
                </w:p>
                <w:p>
                  <w:pPr>
                    <w:spacing w:line="436" w:lineRule="exact" w:before="0"/>
                    <w:ind w:left="0" w:right="0" w:firstLine="0"/>
                    <w:jc w:val="left"/>
                    <w:rPr>
                      <w:b/>
                      <w:sz w:val="80"/>
                    </w:rPr>
                  </w:pPr>
                  <w:r>
                    <w:rPr>
                      <w:b/>
                      <w:color w:val="231F20"/>
                      <w:w w:val="99"/>
                      <w:sz w:val="80"/>
                    </w:rPr>
                    <w:t>g</w:t>
                  </w:r>
                </w:p>
                <w:p>
                  <w:pPr>
                    <w:spacing w:line="115" w:lineRule="auto" w:before="182"/>
                    <w:ind w:left="0" w:right="150" w:firstLine="0"/>
                    <w:jc w:val="left"/>
                    <w:rPr>
                      <w:b/>
                      <w:sz w:val="80"/>
                    </w:rPr>
                  </w:pPr>
                  <w:r>
                    <w:rPr>
                      <w:b/>
                      <w:color w:val="231F20"/>
                      <w:sz w:val="80"/>
                    </w:rPr>
                    <w:t>/ C</w:t>
                  </w:r>
                </w:p>
                <w:p>
                  <w:pPr>
                    <w:spacing w:line="62" w:lineRule="auto" w:before="280"/>
                    <w:ind w:left="0" w:right="426" w:firstLine="0"/>
                    <w:jc w:val="left"/>
                    <w:rPr>
                      <w:b/>
                      <w:sz w:val="80"/>
                    </w:rPr>
                  </w:pPr>
                  <w:r>
                    <w:rPr>
                      <w:b/>
                      <w:color w:val="231F20"/>
                      <w:sz w:val="80"/>
                    </w:rPr>
                    <w:t>l  i</w:t>
                  </w:r>
                </w:p>
                <w:p>
                  <w:pPr>
                    <w:pStyle w:val="BodyText"/>
                    <w:rPr>
                      <w:b/>
                      <w:sz w:val="26"/>
                    </w:rPr>
                  </w:pPr>
                </w:p>
                <w:p>
                  <w:pPr>
                    <w:pStyle w:val="BodyText"/>
                    <w:spacing w:before="5"/>
                    <w:rPr>
                      <w:b/>
                      <w:sz w:val="29"/>
                    </w:rPr>
                  </w:pPr>
                </w:p>
                <w:p>
                  <w:pPr>
                    <w:spacing w:line="105" w:lineRule="auto" w:before="0"/>
                    <w:ind w:left="0" w:right="0" w:firstLine="0"/>
                    <w:jc w:val="both"/>
                    <w:rPr>
                      <w:b/>
                      <w:sz w:val="80"/>
                    </w:rPr>
                  </w:pPr>
                  <w:r>
                    <w:rPr>
                      <w:b/>
                      <w:color w:val="231F20"/>
                      <w:sz w:val="80"/>
                    </w:rPr>
                    <w:t>a t e</w:t>
                  </w:r>
                </w:p>
                <w:p>
                  <w:pPr>
                    <w:spacing w:line="689" w:lineRule="exact" w:before="0"/>
                    <w:ind w:left="0" w:right="0" w:firstLine="0"/>
                    <w:jc w:val="left"/>
                    <w:rPr>
                      <w:b/>
                      <w:sz w:val="80"/>
                    </w:rPr>
                  </w:pPr>
                  <w:r>
                    <w:rPr>
                      <w:b/>
                      <w:color w:val="231F20"/>
                      <w:sz w:val="80"/>
                    </w:rPr>
                    <w:t>C</w:t>
                  </w:r>
                </w:p>
                <w:p>
                  <w:pPr>
                    <w:spacing w:line="132" w:lineRule="auto" w:before="160"/>
                    <w:ind w:left="0" w:right="0" w:firstLine="0"/>
                    <w:jc w:val="both"/>
                    <w:rPr>
                      <w:b/>
                      <w:sz w:val="80"/>
                    </w:rPr>
                  </w:pPr>
                  <w:r>
                    <w:rPr>
                      <w:b/>
                      <w:color w:val="231F20"/>
                      <w:sz w:val="80"/>
                    </w:rPr>
                    <w:t>h a n g e</w:t>
                  </w:r>
                </w:p>
              </w:txbxContent>
            </v:textbox>
            <w10:wrap type="none"/>
          </v:shape>
        </w:pict>
      </w:r>
      <w:r>
        <w:rPr/>
        <w:pict>
          <v:group style="position:absolute;margin-left:0pt;margin-top:.003015pt;width:595.3pt;height:841.9pt;mso-position-horizontal-relative:page;mso-position-vertical-relative:page;z-index:-275211264" coordorigin="0,0" coordsize="11906,16838">
            <v:shape style="position:absolute;left:0;top:0;width:8412;height:4212" type="#_x0000_t75" stroked="false">
              <v:imagedata r:id="rId358" o:title=""/>
            </v:shape>
            <v:shape style="position:absolute;left:8401;top:0;width:2108;height:9126" type="#_x0000_t75" stroked="false">
              <v:imagedata r:id="rId359" o:title=""/>
            </v:shape>
            <v:shape style="position:absolute;left:10499;top:0;width:1407;height:1405" type="#_x0000_t75" stroked="false">
              <v:imagedata r:id="rId360" o:title=""/>
            </v:shape>
            <v:shape style="position:absolute;left:11200;top:1394;width:706;height:15444" type="#_x0000_t75" stroked="false">
              <v:imagedata r:id="rId361" o:title=""/>
            </v:shape>
            <v:shape style="position:absolute;left:0;top:4201;width:8412;height:4224" type="#_x0000_t75" stroked="false">
              <v:imagedata r:id="rId362" o:title=""/>
            </v:shape>
            <v:shape style="position:absolute;left:4197;top:6470;width:4215;height:576" type="#_x0000_t75" stroked="false">
              <v:imagedata r:id="rId363" o:title=""/>
            </v:shape>
            <v:shape style="position:absolute;left:4197;top:7186;width:4215;height:1239" type="#_x0000_t75" stroked="false">
              <v:imagedata r:id="rId364" o:title=""/>
            </v:shape>
            <v:shape style="position:absolute;left:0;top:8415;width:8412;height:4219" type="#_x0000_t75" stroked="false">
              <v:imagedata r:id="rId365" o:title=""/>
            </v:shape>
            <v:shape style="position:absolute;left:4197;top:8880;width:4215;height:487" type="#_x0000_t75" stroked="false">
              <v:imagedata r:id="rId366" o:title=""/>
            </v:shape>
            <v:shape style="position:absolute;left:4197;top:9539;width:4215;height:487" type="#_x0000_t75" stroked="false">
              <v:imagedata r:id="rId367" o:title=""/>
            </v:shape>
            <v:shape style="position:absolute;left:4197;top:10200;width:4215;height:76" type="#_x0000_t75" stroked="false">
              <v:imagedata r:id="rId368" o:title=""/>
            </v:shape>
            <v:shape style="position:absolute;left:4197;top:10450;width:4215;height:486" type="#_x0000_t75" stroked="false">
              <v:imagedata r:id="rId369" o:title=""/>
            </v:shape>
            <v:shape style="position:absolute;left:4197;top:11105;width:4215;height:80" type="#_x0000_t75" stroked="false">
              <v:imagedata r:id="rId368" o:title=""/>
            </v:shape>
            <v:shape style="position:absolute;left:4197;top:11359;width:4215;height:77" type="#_x0000_t75" stroked="false">
              <v:imagedata r:id="rId368" o:title=""/>
            </v:shape>
            <v:shape style="position:absolute;left:4197;top:11610;width:4215;height:76" type="#_x0000_t75" stroked="false">
              <v:imagedata r:id="rId368" o:title=""/>
            </v:shape>
            <v:shape style="position:absolute;left:4197;top:11860;width:4215;height:76" type="#_x0000_t75" stroked="false">
              <v:imagedata r:id="rId368" o:title=""/>
            </v:shape>
            <v:shape style="position:absolute;left:4197;top:12110;width:4215;height:76" type="#_x0000_t75" stroked="false">
              <v:imagedata r:id="rId368" o:title=""/>
            </v:shape>
            <v:shape style="position:absolute;left:4197;top:12360;width:4215;height:274" type="#_x0000_t75" stroked="false">
              <v:imagedata r:id="rId370" o:title=""/>
            </v:shape>
            <v:shape style="position:absolute;left:8401;top:9116;width:2108;height:7722" type="#_x0000_t75" stroked="false">
              <v:imagedata r:id="rId371" o:title=""/>
            </v:shape>
            <v:shape style="position:absolute;left:0;top:12624;width:8412;height:4214" type="#_x0000_t75" stroked="false">
              <v:imagedata r:id="rId372" o:title=""/>
            </v:shape>
            <v:shape style="position:absolute;left:10499;top:15022;width:711;height:1816" type="#_x0000_t75" stroked="false">
              <v:imagedata r:id="rId373" o:title=""/>
            </v:shape>
            <v:shape style="position:absolute;left:1329;top:4296;width:8249;height:174" type="#_x0000_t75" stroked="false">
              <v:imagedata r:id="rId374" o:title=""/>
            </v:shape>
            <v:shape style="position:absolute;left:1328;top:4545;width:8448;height:175" type="#_x0000_t75" stroked="false">
              <v:imagedata r:id="rId375" o:title=""/>
            </v:shape>
            <v:shape style="position:absolute;left:1326;top:4795;width:8442;height:175" type="#_x0000_t75" stroked="false">
              <v:imagedata r:id="rId375" o:title=""/>
            </v:shape>
            <v:shape style="position:absolute;left:1335;top:5046;width:8633;height:174" type="#_x0000_t75" stroked="false">
              <v:imagedata r:id="rId376" o:title=""/>
            </v:shape>
            <v:shape style="position:absolute;left:1334;top:5295;width:8638;height:175" type="#_x0000_t75" stroked="false">
              <v:imagedata r:id="rId377" o:title=""/>
            </v:shape>
            <v:shape style="position:absolute;left:1326;top:5545;width:8269;height:175" type="#_x0000_t75" stroked="false">
              <v:imagedata r:id="rId374" o:title=""/>
            </v:shape>
            <v:shape style="position:absolute;left:1328;top:5796;width:8269;height:174" type="#_x0000_t75" stroked="false">
              <v:imagedata r:id="rId374" o:title=""/>
            </v:shape>
            <v:shape style="position:absolute;left:1330;top:6045;width:8195;height:175" type="#_x0000_t75" stroked="false">
              <v:imagedata r:id="rId378" o:title=""/>
            </v:shape>
            <v:shape style="position:absolute;left:1335;top:6295;width:8432;height:175" type="#_x0000_t75" stroked="false">
              <v:imagedata r:id="rId379" o:title=""/>
            </v:shape>
            <v:shape style="position:absolute;left:1331;top:6545;width:6383;height:175" type="#_x0000_t75" stroked="false">
              <v:imagedata r:id="rId380" o:title=""/>
            </v:shape>
            <v:shape style="position:absolute;left:1327;top:7045;width:8113;height:141" type="#_x0000_t75" stroked="false">
              <v:imagedata r:id="rId381" o:title=""/>
            </v:shape>
            <v:shape style="position:absolute;left:1324;top:7296;width:800;height:140" type="#_x0000_t75" stroked="false">
              <v:imagedata r:id="rId382" o:title=""/>
            </v:shape>
            <v:shape style="position:absolute;left:1345;top:7801;width:79;height:132" type="#_x0000_t75" stroked="false">
              <v:imagedata r:id="rId383" o:title=""/>
            </v:shape>
            <v:rect style="position:absolute;left:1465;top:7908;width:24;height:25" filled="true" fillcolor="#fefefe" stroked="false">
              <v:fill type="solid"/>
            </v:rect>
            <v:shape style="position:absolute;left:2018;top:7796;width:4342;height:174" type="#_x0000_t75" stroked="false">
              <v:imagedata r:id="rId384" o:title=""/>
            </v:shape>
            <v:shape style="position:absolute;left:6437;top:7796;width:2014;height:140" type="#_x0000_t75" stroked="false">
              <v:imagedata r:id="rId385" o:title=""/>
            </v:shape>
            <v:shape style="position:absolute;left:8454;top:7796;width:1130;height:173" type="#_x0000_t75" stroked="false">
              <v:imagedata r:id="rId386" o:title=""/>
            </v:shape>
            <v:shape style="position:absolute;left:2025;top:8045;width:2503;height:174" type="#_x0000_t75" stroked="false">
              <v:imagedata r:id="rId387" o:title=""/>
            </v:shape>
            <v:shape style="position:absolute;left:1333;top:8459;width:99;height:134" type="#_x0000_t75" stroked="false">
              <v:imagedata r:id="rId388" o:title=""/>
            </v:shape>
            <v:rect style="position:absolute;left:1469;top:8568;width:24;height:26" filled="true" fillcolor="#fefefe" stroked="false">
              <v:fill type="solid"/>
            </v:rect>
            <v:shape style="position:absolute;left:2001;top:8455;width:7821;height:174" type="#_x0000_t75" stroked="false">
              <v:imagedata r:id="rId389" o:title=""/>
            </v:shape>
            <v:shape style="position:absolute;left:2006;top:8705;width:7531;height:175" type="#_x0000_t75" stroked="false">
              <v:imagedata r:id="rId390" o:title=""/>
            </v:shape>
            <v:shape style="position:absolute;left:2015;top:8955;width:6265;height:175" type="#_x0000_t75" stroked="false">
              <v:imagedata r:id="rId391" o:title=""/>
            </v:shape>
            <v:shape style="position:absolute;left:1334;top:9369;width:96;height:137" type="#_x0000_t75" stroked="false">
              <v:imagedata r:id="rId388" o:title=""/>
            </v:shape>
            <v:rect style="position:absolute;left:1464;top:9478;width:24;height:26" filled="true" fillcolor="#fefefe" stroked="false">
              <v:fill type="solid"/>
            </v:rect>
            <v:shape style="position:absolute;left:2017;top:9366;width:6445;height:173" type="#_x0000_t75" stroked="false">
              <v:imagedata r:id="rId392" o:title=""/>
            </v:shape>
            <v:shape style="position:absolute;left:1325;top:9782;width:163;height:131" type="#_x0000_t75" stroked="false">
              <v:imagedata r:id="rId393" o:title=""/>
            </v:shape>
            <v:shape style="position:absolute;left:2017;top:9776;width:5050;height:174" type="#_x0000_t75" stroked="false">
              <v:imagedata r:id="rId394" o:title=""/>
            </v:shape>
            <v:shape style="position:absolute;left:7142;top:9781;width:2525;height:169" type="#_x0000_t75" stroked="false">
              <v:imagedata r:id="rId395" o:title=""/>
            </v:shape>
            <v:shape style="position:absolute;left:2008;top:10026;width:7787;height:174" type="#_x0000_t75" stroked="false">
              <v:imagedata r:id="rId396" o:title=""/>
            </v:shape>
            <v:shape style="position:absolute;left:2016;top:10275;width:7337;height:175" type="#_x0000_t75" stroked="false">
              <v:imagedata r:id="rId397" o:title=""/>
            </v:shape>
            <v:shape style="position:absolute;left:2009;top:10526;width:2100;height:174" type="#_x0000_t75" stroked="false">
              <v:imagedata r:id="rId398" o:title=""/>
            </v:shape>
            <v:shape style="position:absolute;left:1336;top:10942;width:95;height:134" type="#_x0000_t75" stroked="false">
              <v:imagedata r:id="rId399" o:title=""/>
            </v:shape>
            <v:rect style="position:absolute;left:1466;top:11048;width:24;height:26" filled="true" fillcolor="#fefefe" stroked="false">
              <v:fill type="solid"/>
            </v:rect>
            <v:shape style="position:absolute;left:2001;top:10935;width:6870;height:171" type="#_x0000_t75" stroked="false">
              <v:imagedata r:id="rId400" o:title=""/>
            </v:shape>
            <v:shape style="position:absolute;left:2008;top:11185;width:7114;height:174" type="#_x0000_t75" stroked="false">
              <v:imagedata r:id="rId401" o:title=""/>
            </v:shape>
            <v:shape style="position:absolute;left:2004;top:11435;width:7146;height:175" type="#_x0000_t75" stroked="false">
              <v:imagedata r:id="rId402" o:title=""/>
            </v:shape>
            <v:shape style="position:absolute;left:2001;top:11685;width:7658;height:175" type="#_x0000_t75" stroked="false">
              <v:imagedata r:id="rId403" o:title=""/>
            </v:shape>
            <v:shape style="position:absolute;left:2008;top:11935;width:7559;height:175" type="#_x0000_t75" stroked="false">
              <v:imagedata r:id="rId404" o:title=""/>
            </v:shape>
            <v:shape style="position:absolute;left:2008;top:12185;width:7568;height:175" type="#_x0000_t75" stroked="false">
              <v:imagedata r:id="rId404" o:title=""/>
            </v:shape>
            <v:shape style="position:absolute;left:2016;top:12436;width:2489;height:140" type="#_x0000_t75" stroked="false">
              <v:imagedata r:id="rId405" o:title=""/>
            </v:shape>
            <v:shape style="position:absolute;left:4197;top:3173;width:3667;height:426" type="#_x0000_t75" stroked="false">
              <v:imagedata r:id="rId406" o:title=""/>
            </v:shape>
            <v:shape style="position:absolute;left:10493;top:966;width:773;height:14056" type="#_x0000_t75" stroked="false">
              <v:imagedata r:id="rId407" o:title=""/>
            </v:shape>
            <v:shape style="position:absolute;left:10229;top:11617;width:245;height:1873" type="#_x0000_t75" stroked="false">
              <v:imagedata r:id="rId408" o:title=""/>
            </v:shape>
            <w10:wrap type="none"/>
          </v:group>
        </w:pict>
      </w:r>
      <w:r>
        <w:rPr/>
        <w:pict>
          <v:shape style="position:absolute;margin-left:506.98999pt;margin-top:45.345016pt;width:67.2pt;height:708.35pt;mso-position-horizontal-relative:page;mso-position-vertical-relative:page;z-index:252054528" type="#_x0000_t202" filled="false" stroked="false">
            <v:textbox inset="0,0,0,0" style="layout-flow:vertical">
              <w:txbxContent>
                <w:p>
                  <w:pPr>
                    <w:spacing w:line="924" w:lineRule="exact" w:before="20"/>
                    <w:ind w:left="20" w:right="0" w:firstLine="0"/>
                    <w:jc w:val="left"/>
                    <w:rPr>
                      <w:b/>
                      <w:sz w:val="80"/>
                    </w:rPr>
                  </w:pPr>
                  <w:r>
                    <w:rPr>
                      <w:b/>
                      <w:spacing w:val="-17"/>
                      <w:sz w:val="80"/>
                    </w:rPr>
                    <w:t>Global </w:t>
                  </w:r>
                  <w:r>
                    <w:rPr>
                      <w:b/>
                      <w:shadow/>
                      <w:spacing w:val="-28"/>
                      <w:sz w:val="80"/>
                    </w:rPr>
                    <w:t>W</w:t>
                  </w:r>
                  <w:r>
                    <w:rPr>
                      <w:b/>
                      <w:shadow w:val="0"/>
                      <w:spacing w:val="-28"/>
                      <w:sz w:val="80"/>
                    </w:rPr>
                    <w:t>ar</w:t>
                  </w:r>
                  <w:r>
                    <w:rPr>
                      <w:b/>
                      <w:shadow/>
                      <w:spacing w:val="-28"/>
                      <w:sz w:val="80"/>
                    </w:rPr>
                    <w:t>m</w:t>
                  </w:r>
                  <w:r>
                    <w:rPr>
                      <w:b/>
                      <w:shadow w:val="0"/>
                      <w:spacing w:val="-28"/>
                      <w:sz w:val="80"/>
                    </w:rPr>
                    <w:t>ing/Cli</w:t>
                  </w:r>
                  <w:r>
                    <w:rPr>
                      <w:b/>
                      <w:shadow/>
                      <w:spacing w:val="-28"/>
                      <w:sz w:val="80"/>
                    </w:rPr>
                    <w:t>m</w:t>
                  </w:r>
                  <w:r>
                    <w:rPr>
                      <w:b/>
                      <w:shadow w:val="0"/>
                      <w:spacing w:val="-28"/>
                      <w:sz w:val="80"/>
                    </w:rPr>
                    <w:t>ate </w:t>
                  </w:r>
                  <w:r>
                    <w:rPr>
                      <w:b/>
                      <w:shadow w:val="0"/>
                      <w:spacing w:val="-17"/>
                      <w:sz w:val="80"/>
                    </w:rPr>
                    <w:t>Change</w:t>
                  </w:r>
                </w:p>
                <w:p>
                  <w:pPr>
                    <w:spacing w:line="397" w:lineRule="exact" w:before="0"/>
                    <w:ind w:left="0" w:right="1562" w:firstLine="0"/>
                    <w:jc w:val="right"/>
                    <w:rPr>
                      <w:rFonts w:ascii="Eurostile Bold"/>
                      <w:b/>
                      <w:sz w:val="36"/>
                    </w:rPr>
                  </w:pPr>
                  <w:r>
                    <w:rPr>
                      <w:rFonts w:ascii="Eurostile Bold"/>
                      <w:b/>
                      <w:color w:val="A7A9AC"/>
                      <w:spacing w:val="-170"/>
                      <w:w w:val="86"/>
                      <w:sz w:val="36"/>
                    </w:rPr>
                    <w:t>D</w:t>
                  </w:r>
                  <w:r>
                    <w:rPr>
                      <w:rFonts w:ascii="Eurostile Bold"/>
                      <w:b/>
                      <w:spacing w:val="-1"/>
                      <w:w w:val="86"/>
                      <w:sz w:val="36"/>
                    </w:rPr>
                    <w:t>Documen</w:t>
                  </w:r>
                  <w:r>
                    <w:rPr>
                      <w:rFonts w:ascii="Eurostile Bold"/>
                      <w:b/>
                      <w:w w:val="86"/>
                      <w:sz w:val="36"/>
                    </w:rPr>
                    <w:t>t</w:t>
                  </w:r>
                  <w:r>
                    <w:rPr>
                      <w:rFonts w:ascii="Eurostile Bold"/>
                      <w:b/>
                      <w:spacing w:val="-40"/>
                      <w:sz w:val="36"/>
                    </w:rPr>
                    <w:t> </w:t>
                  </w:r>
                  <w:r>
                    <w:rPr>
                      <w:rFonts w:ascii="Eurostile Bold"/>
                      <w:b/>
                      <w:w w:val="87"/>
                      <w:sz w:val="36"/>
                    </w:rPr>
                    <w:t>3</w:t>
                  </w:r>
                </w:p>
              </w:txbxContent>
            </v:textbox>
            <w10:wrap type="none"/>
          </v:shape>
        </w:pict>
      </w:r>
    </w:p>
    <w:p>
      <w:pPr>
        <w:pStyle w:val="BodyText"/>
        <w:rPr>
          <w:sz w:val="20"/>
        </w:rPr>
      </w:pPr>
    </w:p>
    <w:p>
      <w:pPr>
        <w:pStyle w:val="BodyText"/>
        <w:rPr>
          <w:sz w:val="20"/>
        </w:rPr>
      </w:pPr>
    </w:p>
    <w:p>
      <w:pPr>
        <w:pStyle w:val="BodyText"/>
        <w:rPr>
          <w:sz w:val="20"/>
        </w:rPr>
      </w:pPr>
    </w:p>
    <w:p>
      <w:pPr>
        <w:pStyle w:val="BodyText"/>
        <w:spacing w:before="3"/>
        <w:rPr>
          <w:sz w:val="29"/>
        </w:rPr>
      </w:pPr>
    </w:p>
    <w:p>
      <w:pPr>
        <w:spacing w:before="100"/>
        <w:ind w:left="0" w:right="476" w:firstLine="0"/>
        <w:jc w:val="center"/>
        <w:rPr>
          <w:b/>
          <w:sz w:val="56"/>
        </w:rPr>
      </w:pPr>
      <w:r>
        <w:rPr/>
        <w:pict>
          <v:shape style="position:absolute;margin-left:207.261307pt;margin-top:5.00002pt;width:187.85pt;height:34.050pt;mso-position-horizontal-relative:page;mso-position-vertical-relative:paragraph;z-index:-275214336" type="#_x0000_t202" filled="false" stroked="false">
            <v:textbox inset="0,0,0,0">
              <w:txbxContent>
                <w:p>
                  <w:pPr>
                    <w:spacing w:before="0"/>
                    <w:ind w:left="0" w:right="0" w:firstLine="0"/>
                    <w:jc w:val="left"/>
                    <w:rPr>
                      <w:b/>
                      <w:sz w:val="56"/>
                    </w:rPr>
                  </w:pPr>
                  <w:r>
                    <w:rPr>
                      <w:b/>
                      <w:color w:val="808285"/>
                      <w:spacing w:val="-4"/>
                      <w:sz w:val="56"/>
                    </w:rPr>
                    <w:t>Document </w:t>
                  </w:r>
                  <w:r>
                    <w:rPr>
                      <w:b/>
                      <w:color w:val="808285"/>
                      <w:spacing w:val="-17"/>
                      <w:sz w:val="56"/>
                    </w:rPr>
                    <w:t>3</w:t>
                  </w:r>
                </w:p>
              </w:txbxContent>
            </v:textbox>
            <w10:wrap type="none"/>
          </v:shape>
        </w:pict>
      </w:r>
      <w:r>
        <w:rPr>
          <w:b/>
          <w:sz w:val="56"/>
        </w:rPr>
        <w:t>Document 3</w:t>
      </w:r>
    </w:p>
    <w:p>
      <w:pPr>
        <w:pStyle w:val="BodyText"/>
        <w:rPr>
          <w:b/>
          <w:sz w:val="20"/>
        </w:rPr>
      </w:pPr>
    </w:p>
    <w:p>
      <w:pPr>
        <w:pStyle w:val="BodyText"/>
        <w:spacing w:before="8"/>
        <w:rPr>
          <w:b/>
          <w:sz w:val="16"/>
        </w:rPr>
      </w:pPr>
    </w:p>
    <w:p>
      <w:pPr>
        <w:pStyle w:val="BodyText"/>
        <w:spacing w:line="273" w:lineRule="auto" w:before="100"/>
        <w:ind w:left="698" w:right="2040"/>
      </w:pPr>
      <w:r>
        <w:rPr/>
        <w:pict>
          <v:shape style="position:absolute;margin-left:65.905502pt;margin-top:4.999978pt;width:413pt;height:10.95pt;mso-position-horizontal-relative:page;mso-position-vertical-relative:paragraph;z-index:-275252224" type="#_x0000_t202" filled="false" stroked="false">
            <v:textbox inset="0,0,0,0">
              <w:txbxContent>
                <w:p>
                  <w:pPr>
                    <w:pStyle w:val="BodyText"/>
                  </w:pPr>
                  <w:r>
                    <w:rPr>
                      <w:color w:val="231F20"/>
                      <w:w w:val="110"/>
                    </w:rPr>
                    <w:t>Global</w:t>
                  </w:r>
                  <w:r>
                    <w:rPr>
                      <w:color w:val="231F20"/>
                      <w:spacing w:val="-11"/>
                      <w:w w:val="110"/>
                    </w:rPr>
                    <w:t> </w:t>
                  </w:r>
                  <w:r>
                    <w:rPr>
                      <w:color w:val="231F20"/>
                      <w:w w:val="110"/>
                    </w:rPr>
                    <w:t>warming/climate</w:t>
                  </w:r>
                  <w:r>
                    <w:rPr>
                      <w:color w:val="231F20"/>
                      <w:spacing w:val="-10"/>
                      <w:w w:val="110"/>
                    </w:rPr>
                    <w:t> </w:t>
                  </w:r>
                  <w:r>
                    <w:rPr>
                      <w:color w:val="231F20"/>
                      <w:w w:val="110"/>
                    </w:rPr>
                    <w:t>change</w:t>
                  </w:r>
                  <w:r>
                    <w:rPr>
                      <w:color w:val="231F20"/>
                      <w:spacing w:val="-11"/>
                      <w:w w:val="110"/>
                    </w:rPr>
                    <w:t> </w:t>
                  </w:r>
                  <w:r>
                    <w:rPr>
                      <w:color w:val="231F20"/>
                      <w:w w:val="110"/>
                    </w:rPr>
                    <w:t>is</w:t>
                  </w:r>
                  <w:r>
                    <w:rPr>
                      <w:color w:val="231F20"/>
                      <w:spacing w:val="-10"/>
                      <w:w w:val="110"/>
                    </w:rPr>
                    <w:t> </w:t>
                  </w:r>
                  <w:r>
                    <w:rPr>
                      <w:color w:val="231F20"/>
                      <w:w w:val="110"/>
                    </w:rPr>
                    <w:t>widely</w:t>
                  </w:r>
                  <w:r>
                    <w:rPr>
                      <w:color w:val="231F20"/>
                      <w:spacing w:val="-11"/>
                      <w:w w:val="110"/>
                    </w:rPr>
                    <w:t> </w:t>
                  </w:r>
                  <w:r>
                    <w:rPr>
                      <w:color w:val="231F20"/>
                      <w:w w:val="110"/>
                    </w:rPr>
                    <w:t>recognised</w:t>
                  </w:r>
                  <w:r>
                    <w:rPr>
                      <w:color w:val="231F20"/>
                      <w:spacing w:val="-10"/>
                      <w:w w:val="110"/>
                    </w:rPr>
                    <w:t> </w:t>
                  </w:r>
                  <w:r>
                    <w:rPr>
                      <w:color w:val="231F20"/>
                      <w:w w:val="110"/>
                    </w:rPr>
                    <w:t>by</w:t>
                  </w:r>
                  <w:r>
                    <w:rPr>
                      <w:color w:val="231F20"/>
                      <w:spacing w:val="-10"/>
                      <w:w w:val="110"/>
                    </w:rPr>
                    <w:t> </w:t>
                  </w:r>
                  <w:r>
                    <w:rPr>
                      <w:color w:val="231F20"/>
                      <w:w w:val="110"/>
                    </w:rPr>
                    <w:t>scientists</w:t>
                  </w:r>
                  <w:r>
                    <w:rPr>
                      <w:color w:val="231F20"/>
                      <w:spacing w:val="-11"/>
                      <w:w w:val="110"/>
                    </w:rPr>
                    <w:t> </w:t>
                  </w:r>
                  <w:r>
                    <w:rPr>
                      <w:color w:val="231F20"/>
                      <w:w w:val="110"/>
                    </w:rPr>
                    <w:t>and</w:t>
                  </w:r>
                  <w:r>
                    <w:rPr>
                      <w:color w:val="231F20"/>
                      <w:spacing w:val="-10"/>
                      <w:w w:val="110"/>
                    </w:rPr>
                    <w:t> </w:t>
                  </w:r>
                  <w:r>
                    <w:rPr>
                      <w:color w:val="231F20"/>
                      <w:w w:val="110"/>
                    </w:rPr>
                    <w:t>governments</w:t>
                  </w:r>
                </w:p>
              </w:txbxContent>
            </v:textbox>
            <w10:wrap type="none"/>
          </v:shape>
        </w:pict>
      </w:r>
      <w:r>
        <w:rPr/>
        <w:pict>
          <v:shape style="position:absolute;margin-left:65.905502pt;margin-top:17.500978pt;width:422.85pt;height:10.95pt;mso-position-horizontal-relative:page;mso-position-vertical-relative:paragraph;z-index:-275251200" type="#_x0000_t202" filled="false" stroked="false">
            <v:textbox inset="0,0,0,0">
              <w:txbxContent>
                <w:p>
                  <w:pPr>
                    <w:pStyle w:val="BodyText"/>
                  </w:pPr>
                  <w:r>
                    <w:rPr>
                      <w:color w:val="231F20"/>
                      <w:w w:val="110"/>
                    </w:rPr>
                    <w:t>as</w:t>
                  </w:r>
                  <w:r>
                    <w:rPr>
                      <w:color w:val="231F20"/>
                      <w:spacing w:val="-9"/>
                      <w:w w:val="110"/>
                    </w:rPr>
                    <w:t> </w:t>
                  </w:r>
                  <w:r>
                    <w:rPr>
                      <w:color w:val="231F20"/>
                      <w:w w:val="110"/>
                    </w:rPr>
                    <w:t>the</w:t>
                  </w:r>
                  <w:r>
                    <w:rPr>
                      <w:color w:val="231F20"/>
                      <w:spacing w:val="-8"/>
                      <w:w w:val="110"/>
                    </w:rPr>
                    <w:t> </w:t>
                  </w:r>
                  <w:r>
                    <w:rPr>
                      <w:color w:val="231F20"/>
                      <w:w w:val="110"/>
                    </w:rPr>
                    <w:t>greatest</w:t>
                  </w:r>
                  <w:r>
                    <w:rPr>
                      <w:color w:val="231F20"/>
                      <w:spacing w:val="-9"/>
                      <w:w w:val="110"/>
                    </w:rPr>
                    <w:t> </w:t>
                  </w:r>
                  <w:r>
                    <w:rPr>
                      <w:color w:val="231F20"/>
                      <w:w w:val="110"/>
                    </w:rPr>
                    <w:t>challenge</w:t>
                  </w:r>
                  <w:r>
                    <w:rPr>
                      <w:color w:val="231F20"/>
                      <w:spacing w:val="-8"/>
                      <w:w w:val="110"/>
                    </w:rPr>
                    <w:t> </w:t>
                  </w:r>
                  <w:r>
                    <w:rPr>
                      <w:color w:val="231F20"/>
                      <w:w w:val="110"/>
                    </w:rPr>
                    <w:t>facing</w:t>
                  </w:r>
                  <w:r>
                    <w:rPr>
                      <w:color w:val="231F20"/>
                      <w:spacing w:val="-8"/>
                      <w:w w:val="110"/>
                    </w:rPr>
                    <w:t> </w:t>
                  </w:r>
                  <w:r>
                    <w:rPr>
                      <w:color w:val="231F20"/>
                      <w:w w:val="110"/>
                    </w:rPr>
                    <w:t>the</w:t>
                  </w:r>
                  <w:r>
                    <w:rPr>
                      <w:color w:val="231F20"/>
                      <w:spacing w:val="-9"/>
                      <w:w w:val="110"/>
                    </w:rPr>
                    <w:t> </w:t>
                  </w:r>
                  <w:r>
                    <w:rPr>
                      <w:color w:val="231F20"/>
                      <w:w w:val="110"/>
                    </w:rPr>
                    <w:t>earth.</w:t>
                  </w:r>
                  <w:r>
                    <w:rPr>
                      <w:color w:val="231F20"/>
                      <w:spacing w:val="-8"/>
                      <w:w w:val="110"/>
                    </w:rPr>
                    <w:t> </w:t>
                  </w:r>
                  <w:r>
                    <w:rPr>
                      <w:color w:val="231F20"/>
                      <w:w w:val="110"/>
                    </w:rPr>
                    <w:t>Climate</w:t>
                  </w:r>
                  <w:r>
                    <w:rPr>
                      <w:color w:val="231F20"/>
                      <w:spacing w:val="-8"/>
                      <w:w w:val="110"/>
                    </w:rPr>
                    <w:t> </w:t>
                  </w:r>
                  <w:r>
                    <w:rPr>
                      <w:color w:val="231F20"/>
                      <w:w w:val="110"/>
                    </w:rPr>
                    <w:t>change</w:t>
                  </w:r>
                  <w:r>
                    <w:rPr>
                      <w:color w:val="231F20"/>
                      <w:spacing w:val="-9"/>
                      <w:w w:val="110"/>
                    </w:rPr>
                    <w:t> </w:t>
                  </w:r>
                  <w:r>
                    <w:rPr>
                      <w:color w:val="231F20"/>
                      <w:w w:val="110"/>
                    </w:rPr>
                    <w:t>is</w:t>
                  </w:r>
                  <w:r>
                    <w:rPr>
                      <w:color w:val="231F20"/>
                      <w:spacing w:val="-8"/>
                      <w:w w:val="110"/>
                    </w:rPr>
                    <w:t> </w:t>
                  </w:r>
                  <w:r>
                    <w:rPr>
                      <w:color w:val="231F20"/>
                      <w:w w:val="110"/>
                    </w:rPr>
                    <w:t>an</w:t>
                  </w:r>
                  <w:r>
                    <w:rPr>
                      <w:color w:val="231F20"/>
                      <w:spacing w:val="-8"/>
                      <w:w w:val="110"/>
                    </w:rPr>
                    <w:t> </w:t>
                  </w:r>
                  <w:r>
                    <w:rPr>
                      <w:color w:val="231F20"/>
                      <w:w w:val="110"/>
                    </w:rPr>
                    <w:t>environmental</w:t>
                  </w:r>
                  <w:r>
                    <w:rPr>
                      <w:color w:val="231F20"/>
                      <w:spacing w:val="-9"/>
                      <w:w w:val="110"/>
                    </w:rPr>
                    <w:t> </w:t>
                  </w:r>
                  <w:r>
                    <w:rPr>
                      <w:color w:val="231F20"/>
                      <w:w w:val="110"/>
                    </w:rPr>
                    <w:t>issue,</w:t>
                  </w:r>
                </w:p>
              </w:txbxContent>
            </v:textbox>
            <w10:wrap type="none"/>
          </v:shape>
        </w:pict>
      </w:r>
      <w:r>
        <w:rPr/>
        <w:pict>
          <v:shape style="position:absolute;margin-left:65.905502pt;margin-top:30.001978pt;width:422.45pt;height:10.95pt;mso-position-horizontal-relative:page;mso-position-vertical-relative:paragraph;z-index:-275250176" type="#_x0000_t202" filled="false" stroked="false">
            <v:textbox inset="0,0,0,0">
              <w:txbxContent>
                <w:p>
                  <w:pPr>
                    <w:pStyle w:val="BodyText"/>
                  </w:pPr>
                  <w:r>
                    <w:rPr>
                      <w:color w:val="231F20"/>
                      <w:w w:val="110"/>
                    </w:rPr>
                    <w:t>with</w:t>
                  </w:r>
                  <w:r>
                    <w:rPr>
                      <w:color w:val="231F20"/>
                      <w:spacing w:val="-9"/>
                      <w:w w:val="110"/>
                    </w:rPr>
                    <w:t> </w:t>
                  </w:r>
                  <w:r>
                    <w:rPr>
                      <w:color w:val="231F20"/>
                      <w:w w:val="110"/>
                    </w:rPr>
                    <w:t>consequences</w:t>
                  </w:r>
                  <w:r>
                    <w:rPr>
                      <w:color w:val="231F20"/>
                      <w:spacing w:val="-8"/>
                      <w:w w:val="110"/>
                    </w:rPr>
                    <w:t> </w:t>
                  </w:r>
                  <w:r>
                    <w:rPr>
                      <w:color w:val="231F20"/>
                      <w:w w:val="110"/>
                    </w:rPr>
                    <w:t>including</w:t>
                  </w:r>
                  <w:r>
                    <w:rPr>
                      <w:color w:val="231F20"/>
                      <w:spacing w:val="-8"/>
                      <w:w w:val="110"/>
                    </w:rPr>
                    <w:t> </w:t>
                  </w:r>
                  <w:r>
                    <w:rPr>
                      <w:color w:val="231F20"/>
                      <w:w w:val="110"/>
                    </w:rPr>
                    <w:t>devastating</w:t>
                  </w:r>
                  <w:r>
                    <w:rPr>
                      <w:color w:val="231F20"/>
                      <w:spacing w:val="-8"/>
                      <w:w w:val="110"/>
                    </w:rPr>
                    <w:t> </w:t>
                  </w:r>
                  <w:r>
                    <w:rPr>
                      <w:color w:val="231F20"/>
                      <w:w w:val="110"/>
                    </w:rPr>
                    <w:t>heat</w:t>
                  </w:r>
                  <w:r>
                    <w:rPr>
                      <w:color w:val="231F20"/>
                      <w:spacing w:val="-8"/>
                      <w:w w:val="110"/>
                    </w:rPr>
                    <w:t> </w:t>
                  </w:r>
                  <w:r>
                    <w:rPr>
                      <w:color w:val="231F20"/>
                      <w:spacing w:val="-3"/>
                      <w:w w:val="110"/>
                    </w:rPr>
                    <w:t>waves,</w:t>
                  </w:r>
                  <w:r>
                    <w:rPr>
                      <w:color w:val="231F20"/>
                      <w:spacing w:val="-8"/>
                      <w:w w:val="110"/>
                    </w:rPr>
                    <w:t> </w:t>
                  </w:r>
                  <w:r>
                    <w:rPr>
                      <w:color w:val="231F20"/>
                      <w:w w:val="110"/>
                    </w:rPr>
                    <w:t>drought,</w:t>
                  </w:r>
                  <w:r>
                    <w:rPr>
                      <w:color w:val="231F20"/>
                      <w:spacing w:val="-9"/>
                      <w:w w:val="110"/>
                    </w:rPr>
                    <w:t> </w:t>
                  </w:r>
                  <w:r>
                    <w:rPr>
                      <w:color w:val="231F20"/>
                      <w:w w:val="110"/>
                    </w:rPr>
                    <w:t>the</w:t>
                  </w:r>
                  <w:r>
                    <w:rPr>
                      <w:color w:val="231F20"/>
                      <w:spacing w:val="-8"/>
                      <w:w w:val="110"/>
                    </w:rPr>
                    <w:t> </w:t>
                  </w:r>
                  <w:r>
                    <w:rPr>
                      <w:color w:val="231F20"/>
                      <w:w w:val="110"/>
                    </w:rPr>
                    <w:t>spread</w:t>
                  </w:r>
                  <w:r>
                    <w:rPr>
                      <w:color w:val="231F20"/>
                      <w:spacing w:val="-8"/>
                      <w:w w:val="110"/>
                    </w:rPr>
                    <w:t> </w:t>
                  </w:r>
                  <w:r>
                    <w:rPr>
                      <w:color w:val="231F20"/>
                      <w:w w:val="110"/>
                    </w:rPr>
                    <w:t>of</w:t>
                  </w:r>
                  <w:r>
                    <w:rPr>
                      <w:color w:val="231F20"/>
                      <w:spacing w:val="-8"/>
                      <w:w w:val="110"/>
                    </w:rPr>
                    <w:t> </w:t>
                  </w:r>
                  <w:r>
                    <w:rPr>
                      <w:color w:val="231F20"/>
                      <w:w w:val="110"/>
                    </w:rPr>
                    <w:t>disease,</w:t>
                  </w:r>
                </w:p>
              </w:txbxContent>
            </v:textbox>
            <w10:wrap type="none"/>
          </v:shape>
        </w:pict>
      </w:r>
      <w:r>
        <w:rPr>
          <w:w w:val="110"/>
        </w:rPr>
        <w:t>Global warming/climate change is widely recognised by scientists and governments as the greatest challenge facing the earth. Climate change is an environmental issue, with consequences including devastating heat waves, drought, the spread of disease,</w:t>
      </w:r>
    </w:p>
    <w:p>
      <w:pPr>
        <w:pStyle w:val="BodyText"/>
        <w:spacing w:line="273" w:lineRule="auto" w:before="2"/>
        <w:ind w:left="698" w:right="1844"/>
      </w:pPr>
      <w:r>
        <w:rPr/>
        <w:pict>
          <v:shape style="position:absolute;margin-left:65.905502pt;margin-top:.099987pt;width:432.5pt;height:10.95pt;mso-position-horizontal-relative:page;mso-position-vertical-relative:paragraph;z-index:-275249152" type="#_x0000_t202" filled="false" stroked="false">
            <v:textbox inset="0,0,0,0">
              <w:txbxContent>
                <w:p>
                  <w:pPr>
                    <w:pStyle w:val="BodyText"/>
                  </w:pPr>
                  <w:r>
                    <w:rPr>
                      <w:color w:val="231F20"/>
                      <w:w w:val="110"/>
                    </w:rPr>
                    <w:t>habitat</w:t>
                  </w:r>
                  <w:r>
                    <w:rPr>
                      <w:color w:val="231F20"/>
                      <w:spacing w:val="-7"/>
                      <w:w w:val="110"/>
                    </w:rPr>
                    <w:t> </w:t>
                  </w:r>
                  <w:r>
                    <w:rPr>
                      <w:color w:val="231F20"/>
                      <w:w w:val="110"/>
                    </w:rPr>
                    <w:t>loss,</w:t>
                  </w:r>
                  <w:r>
                    <w:rPr>
                      <w:color w:val="231F20"/>
                      <w:spacing w:val="-6"/>
                      <w:w w:val="110"/>
                    </w:rPr>
                    <w:t> </w:t>
                  </w:r>
                  <w:r>
                    <w:rPr>
                      <w:color w:val="231F20"/>
                      <w:w w:val="110"/>
                    </w:rPr>
                    <w:t>species</w:t>
                  </w:r>
                  <w:r>
                    <w:rPr>
                      <w:color w:val="231F20"/>
                      <w:spacing w:val="-6"/>
                      <w:w w:val="110"/>
                    </w:rPr>
                    <w:t> </w:t>
                  </w:r>
                  <w:r>
                    <w:rPr>
                      <w:color w:val="231F20"/>
                      <w:w w:val="110"/>
                    </w:rPr>
                    <w:t>extinction</w:t>
                  </w:r>
                  <w:r>
                    <w:rPr>
                      <w:color w:val="231F20"/>
                      <w:spacing w:val="-6"/>
                      <w:w w:val="110"/>
                    </w:rPr>
                    <w:t> </w:t>
                  </w:r>
                  <w:r>
                    <w:rPr>
                      <w:color w:val="231F20"/>
                      <w:w w:val="110"/>
                    </w:rPr>
                    <w:t>and</w:t>
                  </w:r>
                  <w:r>
                    <w:rPr>
                      <w:color w:val="231F20"/>
                      <w:spacing w:val="-6"/>
                      <w:w w:val="110"/>
                    </w:rPr>
                    <w:t> </w:t>
                  </w:r>
                  <w:r>
                    <w:rPr>
                      <w:color w:val="231F20"/>
                      <w:w w:val="110"/>
                    </w:rPr>
                    <w:t>increased</w:t>
                  </w:r>
                  <w:r>
                    <w:rPr>
                      <w:color w:val="231F20"/>
                      <w:spacing w:val="-7"/>
                      <w:w w:val="110"/>
                    </w:rPr>
                    <w:t> </w:t>
                  </w:r>
                  <w:r>
                    <w:rPr>
                      <w:color w:val="231F20"/>
                      <w:w w:val="110"/>
                    </w:rPr>
                    <w:t>storms</w:t>
                  </w:r>
                  <w:r>
                    <w:rPr>
                      <w:color w:val="231F20"/>
                      <w:spacing w:val="-6"/>
                      <w:w w:val="110"/>
                    </w:rPr>
                    <w:t> </w:t>
                  </w:r>
                  <w:r>
                    <w:rPr>
                      <w:color w:val="231F20"/>
                      <w:w w:val="110"/>
                    </w:rPr>
                    <w:t>and</w:t>
                  </w:r>
                  <w:r>
                    <w:rPr>
                      <w:color w:val="231F20"/>
                      <w:spacing w:val="-6"/>
                      <w:w w:val="110"/>
                    </w:rPr>
                    <w:t> </w:t>
                  </w:r>
                  <w:r>
                    <w:rPr>
                      <w:color w:val="231F20"/>
                      <w:w w:val="110"/>
                    </w:rPr>
                    <w:t>rising</w:t>
                  </w:r>
                  <w:r>
                    <w:rPr>
                      <w:color w:val="231F20"/>
                      <w:spacing w:val="-6"/>
                      <w:w w:val="110"/>
                    </w:rPr>
                    <w:t> </w:t>
                  </w:r>
                  <w:r>
                    <w:rPr>
                      <w:color w:val="231F20"/>
                      <w:w w:val="110"/>
                    </w:rPr>
                    <w:t>sea</w:t>
                  </w:r>
                  <w:r>
                    <w:rPr>
                      <w:color w:val="231F20"/>
                      <w:spacing w:val="-6"/>
                      <w:w w:val="110"/>
                    </w:rPr>
                    <w:t> </w:t>
                  </w:r>
                  <w:r>
                    <w:rPr>
                      <w:color w:val="231F20"/>
                      <w:w w:val="110"/>
                    </w:rPr>
                    <w:t>levels</w:t>
                  </w:r>
                  <w:r>
                    <w:rPr>
                      <w:color w:val="231F20"/>
                      <w:spacing w:val="-6"/>
                      <w:w w:val="110"/>
                    </w:rPr>
                    <w:t> </w:t>
                  </w:r>
                  <w:r>
                    <w:rPr>
                      <w:color w:val="231F20"/>
                      <w:w w:val="110"/>
                    </w:rPr>
                    <w:t>causing</w:t>
                  </w:r>
                  <w:r>
                    <w:rPr>
                      <w:color w:val="231F20"/>
                      <w:spacing w:val="-7"/>
                      <w:w w:val="110"/>
                    </w:rPr>
                    <w:t> </w:t>
                  </w:r>
                  <w:r>
                    <w:rPr>
                      <w:color w:val="231F20"/>
                      <w:w w:val="110"/>
                    </w:rPr>
                    <w:t>both</w:t>
                  </w:r>
                </w:p>
              </w:txbxContent>
            </v:textbox>
            <w10:wrap type="none"/>
          </v:shape>
        </w:pict>
      </w:r>
      <w:r>
        <w:rPr/>
        <w:pict>
          <v:shape style="position:absolute;margin-left:65.905502pt;margin-top:12.600987pt;width:432.75pt;height:10.95pt;mso-position-horizontal-relative:page;mso-position-vertical-relative:paragraph;z-index:-275248128" type="#_x0000_t202" filled="false" stroked="false">
            <v:textbox inset="0,0,0,0">
              <w:txbxContent>
                <w:p>
                  <w:pPr>
                    <w:pStyle w:val="BodyText"/>
                  </w:pPr>
                  <w:r>
                    <w:rPr>
                      <w:color w:val="231F20"/>
                      <w:w w:val="110"/>
                    </w:rPr>
                    <w:t>inland</w:t>
                  </w:r>
                  <w:r>
                    <w:rPr>
                      <w:color w:val="231F20"/>
                      <w:spacing w:val="-10"/>
                      <w:w w:val="110"/>
                    </w:rPr>
                    <w:t> </w:t>
                  </w:r>
                  <w:r>
                    <w:rPr>
                      <w:color w:val="231F20"/>
                      <w:w w:val="110"/>
                    </w:rPr>
                    <w:t>flooding</w:t>
                  </w:r>
                  <w:r>
                    <w:rPr>
                      <w:color w:val="231F20"/>
                      <w:spacing w:val="-10"/>
                      <w:w w:val="110"/>
                    </w:rPr>
                    <w:t> </w:t>
                  </w:r>
                  <w:r>
                    <w:rPr>
                      <w:color w:val="231F20"/>
                      <w:w w:val="110"/>
                    </w:rPr>
                    <w:t>and</w:t>
                  </w:r>
                  <w:r>
                    <w:rPr>
                      <w:color w:val="231F20"/>
                      <w:spacing w:val="-10"/>
                      <w:w w:val="110"/>
                    </w:rPr>
                    <w:t> </w:t>
                  </w:r>
                  <w:r>
                    <w:rPr>
                      <w:color w:val="231F20"/>
                      <w:w w:val="110"/>
                    </w:rPr>
                    <w:t>coastal</w:t>
                  </w:r>
                  <w:r>
                    <w:rPr>
                      <w:color w:val="231F20"/>
                      <w:spacing w:val="-10"/>
                      <w:w w:val="110"/>
                    </w:rPr>
                    <w:t> </w:t>
                  </w:r>
                  <w:r>
                    <w:rPr>
                      <w:color w:val="231F20"/>
                      <w:w w:val="110"/>
                    </w:rPr>
                    <w:t>inundation.</w:t>
                  </w:r>
                  <w:r>
                    <w:rPr>
                      <w:color w:val="231F20"/>
                      <w:spacing w:val="-9"/>
                      <w:w w:val="110"/>
                    </w:rPr>
                    <w:t> </w:t>
                  </w:r>
                  <w:r>
                    <w:rPr>
                      <w:color w:val="231F20"/>
                      <w:w w:val="110"/>
                    </w:rPr>
                    <w:t>Climate</w:t>
                  </w:r>
                  <w:r>
                    <w:rPr>
                      <w:color w:val="231F20"/>
                      <w:spacing w:val="-10"/>
                      <w:w w:val="110"/>
                    </w:rPr>
                    <w:t> </w:t>
                  </w:r>
                  <w:r>
                    <w:rPr>
                      <w:color w:val="231F20"/>
                      <w:w w:val="110"/>
                    </w:rPr>
                    <w:t>change</w:t>
                  </w:r>
                  <w:r>
                    <w:rPr>
                      <w:color w:val="231F20"/>
                      <w:spacing w:val="-10"/>
                      <w:w w:val="110"/>
                    </w:rPr>
                    <w:t> </w:t>
                  </w:r>
                  <w:r>
                    <w:rPr>
                      <w:color w:val="231F20"/>
                      <w:w w:val="110"/>
                    </w:rPr>
                    <w:t>is</w:t>
                  </w:r>
                  <w:r>
                    <w:rPr>
                      <w:color w:val="231F20"/>
                      <w:spacing w:val="-10"/>
                      <w:w w:val="110"/>
                    </w:rPr>
                    <w:t> </w:t>
                  </w:r>
                  <w:r>
                    <w:rPr>
                      <w:color w:val="231F20"/>
                      <w:w w:val="110"/>
                    </w:rPr>
                    <w:t>also</w:t>
                  </w:r>
                  <w:r>
                    <w:rPr>
                      <w:color w:val="231F20"/>
                      <w:spacing w:val="-10"/>
                      <w:w w:val="110"/>
                    </w:rPr>
                    <w:t> </w:t>
                  </w:r>
                  <w:r>
                    <w:rPr>
                      <w:color w:val="231F20"/>
                      <w:w w:val="110"/>
                    </w:rPr>
                    <w:t>a</w:t>
                  </w:r>
                  <w:r>
                    <w:rPr>
                      <w:color w:val="231F20"/>
                      <w:spacing w:val="-9"/>
                      <w:w w:val="110"/>
                    </w:rPr>
                    <w:t> </w:t>
                  </w:r>
                  <w:r>
                    <w:rPr>
                      <w:color w:val="231F20"/>
                      <w:w w:val="110"/>
                    </w:rPr>
                    <w:t>justice</w:t>
                  </w:r>
                  <w:r>
                    <w:rPr>
                      <w:color w:val="231F20"/>
                      <w:spacing w:val="-10"/>
                      <w:w w:val="110"/>
                    </w:rPr>
                    <w:t> </w:t>
                  </w:r>
                  <w:r>
                    <w:rPr>
                      <w:color w:val="231F20"/>
                      <w:w w:val="110"/>
                    </w:rPr>
                    <w:t>issue,</w:t>
                  </w:r>
                  <w:r>
                    <w:rPr>
                      <w:color w:val="231F20"/>
                      <w:spacing w:val="-10"/>
                      <w:w w:val="110"/>
                    </w:rPr>
                    <w:t> </w:t>
                  </w:r>
                  <w:r>
                    <w:rPr>
                      <w:color w:val="231F20"/>
                      <w:w w:val="110"/>
                    </w:rPr>
                    <w:t>whilst</w:t>
                  </w:r>
                  <w:r>
                    <w:rPr>
                      <w:color w:val="231F20"/>
                      <w:spacing w:val="-10"/>
                      <w:w w:val="110"/>
                    </w:rPr>
                    <w:t> </w:t>
                  </w:r>
                  <w:r>
                    <w:rPr>
                      <w:color w:val="231F20"/>
                      <w:w w:val="110"/>
                    </w:rPr>
                    <w:t>the</w:t>
                  </w:r>
                </w:p>
              </w:txbxContent>
            </v:textbox>
            <w10:wrap type="none"/>
          </v:shape>
        </w:pict>
      </w:r>
      <w:r>
        <w:rPr/>
        <w:pict>
          <v:shape style="position:absolute;margin-left:65.905502pt;margin-top:25.101988pt;width:413.85pt;height:10.95pt;mso-position-horizontal-relative:page;mso-position-vertical-relative:paragraph;z-index:-275247104" type="#_x0000_t202" filled="false" stroked="false">
            <v:textbox inset="0,0,0,0">
              <w:txbxContent>
                <w:p>
                  <w:pPr>
                    <w:pStyle w:val="BodyText"/>
                  </w:pPr>
                  <w:r>
                    <w:rPr>
                      <w:color w:val="231F20"/>
                      <w:w w:val="110"/>
                    </w:rPr>
                    <w:t>west/north</w:t>
                  </w:r>
                  <w:r>
                    <w:rPr>
                      <w:color w:val="231F20"/>
                      <w:spacing w:val="-7"/>
                      <w:w w:val="110"/>
                    </w:rPr>
                    <w:t> </w:t>
                  </w:r>
                  <w:r>
                    <w:rPr>
                      <w:color w:val="231F20"/>
                      <w:spacing w:val="-3"/>
                      <w:w w:val="110"/>
                    </w:rPr>
                    <w:t>have</w:t>
                  </w:r>
                  <w:r>
                    <w:rPr>
                      <w:color w:val="231F20"/>
                      <w:spacing w:val="-7"/>
                      <w:w w:val="110"/>
                    </w:rPr>
                    <w:t> </w:t>
                  </w:r>
                  <w:r>
                    <w:rPr>
                      <w:color w:val="231F20"/>
                      <w:w w:val="110"/>
                    </w:rPr>
                    <w:t>made</w:t>
                  </w:r>
                  <w:r>
                    <w:rPr>
                      <w:color w:val="231F20"/>
                      <w:spacing w:val="-7"/>
                      <w:w w:val="110"/>
                    </w:rPr>
                    <w:t> </w:t>
                  </w:r>
                  <w:r>
                    <w:rPr>
                      <w:color w:val="231F20"/>
                      <w:w w:val="110"/>
                    </w:rPr>
                    <w:t>the</w:t>
                  </w:r>
                  <w:r>
                    <w:rPr>
                      <w:color w:val="231F20"/>
                      <w:spacing w:val="-7"/>
                      <w:w w:val="110"/>
                    </w:rPr>
                    <w:t> </w:t>
                  </w:r>
                  <w:r>
                    <w:rPr>
                      <w:color w:val="231F20"/>
                      <w:w w:val="110"/>
                    </w:rPr>
                    <w:t>biggest</w:t>
                  </w:r>
                  <w:r>
                    <w:rPr>
                      <w:color w:val="231F20"/>
                      <w:spacing w:val="-7"/>
                      <w:w w:val="110"/>
                    </w:rPr>
                    <w:t> </w:t>
                  </w:r>
                  <w:r>
                    <w:rPr>
                      <w:color w:val="231F20"/>
                      <w:w w:val="110"/>
                    </w:rPr>
                    <w:t>contribution</w:t>
                  </w:r>
                  <w:r>
                    <w:rPr>
                      <w:color w:val="231F20"/>
                      <w:spacing w:val="-6"/>
                      <w:w w:val="110"/>
                    </w:rPr>
                    <w:t> </w:t>
                  </w:r>
                  <w:r>
                    <w:rPr>
                      <w:color w:val="231F20"/>
                      <w:w w:val="110"/>
                    </w:rPr>
                    <w:t>to</w:t>
                  </w:r>
                  <w:r>
                    <w:rPr>
                      <w:color w:val="231F20"/>
                      <w:spacing w:val="-7"/>
                      <w:w w:val="110"/>
                    </w:rPr>
                    <w:t> </w:t>
                  </w:r>
                  <w:r>
                    <w:rPr>
                      <w:color w:val="231F20"/>
                      <w:w w:val="110"/>
                    </w:rPr>
                    <w:t>the</w:t>
                  </w:r>
                  <w:r>
                    <w:rPr>
                      <w:color w:val="231F20"/>
                      <w:spacing w:val="-7"/>
                      <w:w w:val="110"/>
                    </w:rPr>
                    <w:t> </w:t>
                  </w:r>
                  <w:r>
                    <w:rPr>
                      <w:color w:val="231F20"/>
                      <w:w w:val="110"/>
                    </w:rPr>
                    <w:t>causes</w:t>
                  </w:r>
                  <w:r>
                    <w:rPr>
                      <w:color w:val="231F20"/>
                      <w:spacing w:val="-7"/>
                      <w:w w:val="110"/>
                    </w:rPr>
                    <w:t> </w:t>
                  </w:r>
                  <w:r>
                    <w:rPr>
                      <w:color w:val="231F20"/>
                      <w:w w:val="110"/>
                    </w:rPr>
                    <w:t>of</w:t>
                  </w:r>
                  <w:r>
                    <w:rPr>
                      <w:color w:val="231F20"/>
                      <w:spacing w:val="-7"/>
                      <w:w w:val="110"/>
                    </w:rPr>
                    <w:t> </w:t>
                  </w:r>
                  <w:r>
                    <w:rPr>
                      <w:color w:val="231F20"/>
                      <w:w w:val="110"/>
                    </w:rPr>
                    <w:t>global</w:t>
                  </w:r>
                  <w:r>
                    <w:rPr>
                      <w:color w:val="231F20"/>
                      <w:spacing w:val="-6"/>
                      <w:w w:val="110"/>
                    </w:rPr>
                    <w:t> </w:t>
                  </w:r>
                  <w:r>
                    <w:rPr>
                      <w:color w:val="231F20"/>
                      <w:w w:val="110"/>
                    </w:rPr>
                    <w:t>warming</w:t>
                  </w:r>
                  <w:r>
                    <w:rPr>
                      <w:color w:val="231F20"/>
                      <w:spacing w:val="-7"/>
                      <w:w w:val="110"/>
                    </w:rPr>
                    <w:t> </w:t>
                  </w:r>
                  <w:r>
                    <w:rPr>
                      <w:color w:val="231F20"/>
                      <w:w w:val="110"/>
                    </w:rPr>
                    <w:t>the</w:t>
                  </w:r>
                </w:p>
              </w:txbxContent>
            </v:textbox>
            <w10:wrap type="none"/>
          </v:shape>
        </w:pict>
      </w:r>
      <w:r>
        <w:rPr/>
        <w:pict>
          <v:shape style="position:absolute;margin-left:65.905502pt;margin-top:37.602989pt;width:413.95pt;height:10.95pt;mso-position-horizontal-relative:page;mso-position-vertical-relative:paragraph;z-index:-275246080" type="#_x0000_t202" filled="false" stroked="false">
            <v:textbox inset="0,0,0,0">
              <w:txbxContent>
                <w:p>
                  <w:pPr>
                    <w:pStyle w:val="BodyText"/>
                  </w:pPr>
                  <w:r>
                    <w:rPr>
                      <w:color w:val="231F20"/>
                      <w:w w:val="110"/>
                    </w:rPr>
                    <w:t>south</w:t>
                  </w:r>
                  <w:r>
                    <w:rPr>
                      <w:color w:val="231F20"/>
                      <w:spacing w:val="-8"/>
                      <w:w w:val="110"/>
                    </w:rPr>
                    <w:t> </w:t>
                  </w:r>
                  <w:r>
                    <w:rPr>
                      <w:color w:val="231F20"/>
                      <w:w w:val="110"/>
                    </w:rPr>
                    <w:t>is</w:t>
                  </w:r>
                  <w:r>
                    <w:rPr>
                      <w:color w:val="231F20"/>
                      <w:spacing w:val="-7"/>
                      <w:w w:val="110"/>
                    </w:rPr>
                    <w:t> </w:t>
                  </w:r>
                  <w:r>
                    <w:rPr>
                      <w:color w:val="231F20"/>
                      <w:w w:val="110"/>
                    </w:rPr>
                    <w:t>least</w:t>
                  </w:r>
                  <w:r>
                    <w:rPr>
                      <w:color w:val="231F20"/>
                      <w:spacing w:val="-7"/>
                      <w:w w:val="110"/>
                    </w:rPr>
                    <w:t> </w:t>
                  </w:r>
                  <w:r>
                    <w:rPr>
                      <w:color w:val="231F20"/>
                      <w:w w:val="110"/>
                    </w:rPr>
                    <w:t>able</w:t>
                  </w:r>
                  <w:r>
                    <w:rPr>
                      <w:color w:val="231F20"/>
                      <w:spacing w:val="-7"/>
                      <w:w w:val="110"/>
                    </w:rPr>
                    <w:t> </w:t>
                  </w:r>
                  <w:r>
                    <w:rPr>
                      <w:color w:val="231F20"/>
                      <w:w w:val="110"/>
                    </w:rPr>
                    <w:t>to</w:t>
                  </w:r>
                  <w:r>
                    <w:rPr>
                      <w:color w:val="231F20"/>
                      <w:spacing w:val="-7"/>
                      <w:w w:val="110"/>
                    </w:rPr>
                    <w:t> </w:t>
                  </w:r>
                  <w:r>
                    <w:rPr>
                      <w:color w:val="231F20"/>
                      <w:w w:val="110"/>
                    </w:rPr>
                    <w:t>mitigate</w:t>
                  </w:r>
                  <w:r>
                    <w:rPr>
                      <w:color w:val="231F20"/>
                      <w:spacing w:val="-7"/>
                      <w:w w:val="110"/>
                    </w:rPr>
                    <w:t> </w:t>
                  </w:r>
                  <w:r>
                    <w:rPr>
                      <w:color w:val="231F20"/>
                      <w:w w:val="110"/>
                    </w:rPr>
                    <w:t>the</w:t>
                  </w:r>
                  <w:r>
                    <w:rPr>
                      <w:color w:val="231F20"/>
                      <w:spacing w:val="-7"/>
                      <w:w w:val="110"/>
                    </w:rPr>
                    <w:t> </w:t>
                  </w:r>
                  <w:r>
                    <w:rPr>
                      <w:color w:val="231F20"/>
                      <w:w w:val="110"/>
                    </w:rPr>
                    <w:t>situation</w:t>
                  </w:r>
                  <w:r>
                    <w:rPr>
                      <w:color w:val="231F20"/>
                      <w:spacing w:val="-7"/>
                      <w:w w:val="110"/>
                    </w:rPr>
                    <w:t> </w:t>
                  </w:r>
                  <w:r>
                    <w:rPr>
                      <w:color w:val="231F20"/>
                      <w:w w:val="110"/>
                    </w:rPr>
                    <w:t>and</w:t>
                  </w:r>
                  <w:r>
                    <w:rPr>
                      <w:color w:val="231F20"/>
                      <w:spacing w:val="-7"/>
                      <w:w w:val="110"/>
                    </w:rPr>
                    <w:t> </w:t>
                  </w:r>
                  <w:r>
                    <w:rPr>
                      <w:color w:val="231F20"/>
                      <w:w w:val="110"/>
                    </w:rPr>
                    <w:t>most</w:t>
                  </w:r>
                  <w:r>
                    <w:rPr>
                      <w:color w:val="231F20"/>
                      <w:spacing w:val="-7"/>
                      <w:w w:val="110"/>
                    </w:rPr>
                    <w:t> </w:t>
                  </w:r>
                  <w:r>
                    <w:rPr>
                      <w:color w:val="231F20"/>
                      <w:spacing w:val="-2"/>
                      <w:w w:val="110"/>
                    </w:rPr>
                    <w:t>likely</w:t>
                  </w:r>
                  <w:r>
                    <w:rPr>
                      <w:color w:val="231F20"/>
                      <w:spacing w:val="-7"/>
                      <w:w w:val="110"/>
                    </w:rPr>
                    <w:t> </w:t>
                  </w:r>
                  <w:r>
                    <w:rPr>
                      <w:color w:val="231F20"/>
                      <w:w w:val="110"/>
                    </w:rPr>
                    <w:t>to</w:t>
                  </w:r>
                  <w:r>
                    <w:rPr>
                      <w:color w:val="231F20"/>
                      <w:spacing w:val="-7"/>
                      <w:w w:val="110"/>
                    </w:rPr>
                    <w:t> </w:t>
                  </w:r>
                  <w:r>
                    <w:rPr>
                      <w:color w:val="231F20"/>
                      <w:w w:val="110"/>
                    </w:rPr>
                    <w:t>pay</w:t>
                  </w:r>
                  <w:r>
                    <w:rPr>
                      <w:color w:val="231F20"/>
                      <w:spacing w:val="-7"/>
                      <w:w w:val="110"/>
                    </w:rPr>
                    <w:t> </w:t>
                  </w:r>
                  <w:r>
                    <w:rPr>
                      <w:color w:val="231F20"/>
                      <w:w w:val="110"/>
                    </w:rPr>
                    <w:t>the</w:t>
                  </w:r>
                  <w:r>
                    <w:rPr>
                      <w:color w:val="231F20"/>
                      <w:spacing w:val="-7"/>
                      <w:w w:val="110"/>
                    </w:rPr>
                    <w:t> </w:t>
                  </w:r>
                  <w:r>
                    <w:rPr>
                      <w:color w:val="231F20"/>
                      <w:w w:val="110"/>
                    </w:rPr>
                    <w:t>highest</w:t>
                  </w:r>
                  <w:r>
                    <w:rPr>
                      <w:color w:val="231F20"/>
                      <w:spacing w:val="-8"/>
                      <w:w w:val="110"/>
                    </w:rPr>
                    <w:t> </w:t>
                  </w:r>
                  <w:r>
                    <w:rPr>
                      <w:color w:val="231F20"/>
                      <w:w w:val="110"/>
                    </w:rPr>
                    <w:t>price.</w:t>
                  </w:r>
                </w:p>
              </w:txbxContent>
            </v:textbox>
            <w10:wrap type="none"/>
          </v:shape>
        </w:pict>
      </w:r>
      <w:r>
        <w:rPr>
          <w:w w:val="110"/>
        </w:rPr>
        <w:t>habitat</w:t>
      </w:r>
      <w:r>
        <w:rPr>
          <w:spacing w:val="-7"/>
          <w:w w:val="110"/>
        </w:rPr>
        <w:t> </w:t>
      </w:r>
      <w:r>
        <w:rPr>
          <w:w w:val="110"/>
        </w:rPr>
        <w:t>loss,</w:t>
      </w:r>
      <w:r>
        <w:rPr>
          <w:spacing w:val="-6"/>
          <w:w w:val="110"/>
        </w:rPr>
        <w:t> </w:t>
      </w:r>
      <w:r>
        <w:rPr>
          <w:w w:val="110"/>
        </w:rPr>
        <w:t>species</w:t>
      </w:r>
      <w:r>
        <w:rPr>
          <w:spacing w:val="-6"/>
          <w:w w:val="110"/>
        </w:rPr>
        <w:t> </w:t>
      </w:r>
      <w:r>
        <w:rPr>
          <w:w w:val="110"/>
        </w:rPr>
        <w:t>extinction</w:t>
      </w:r>
      <w:r>
        <w:rPr>
          <w:spacing w:val="-6"/>
          <w:w w:val="110"/>
        </w:rPr>
        <w:t> </w:t>
      </w:r>
      <w:r>
        <w:rPr>
          <w:w w:val="110"/>
        </w:rPr>
        <w:t>and</w:t>
      </w:r>
      <w:r>
        <w:rPr>
          <w:spacing w:val="-6"/>
          <w:w w:val="110"/>
        </w:rPr>
        <w:t> </w:t>
      </w:r>
      <w:r>
        <w:rPr>
          <w:w w:val="110"/>
        </w:rPr>
        <w:t>increased</w:t>
      </w:r>
      <w:r>
        <w:rPr>
          <w:spacing w:val="-6"/>
          <w:w w:val="110"/>
        </w:rPr>
        <w:t> </w:t>
      </w:r>
      <w:r>
        <w:rPr>
          <w:w w:val="110"/>
        </w:rPr>
        <w:t>storms</w:t>
      </w:r>
      <w:r>
        <w:rPr>
          <w:spacing w:val="-7"/>
          <w:w w:val="110"/>
        </w:rPr>
        <w:t> </w:t>
      </w:r>
      <w:r>
        <w:rPr>
          <w:w w:val="110"/>
        </w:rPr>
        <w:t>and</w:t>
      </w:r>
      <w:r>
        <w:rPr>
          <w:spacing w:val="-6"/>
          <w:w w:val="110"/>
        </w:rPr>
        <w:t> </w:t>
      </w:r>
      <w:r>
        <w:rPr>
          <w:w w:val="110"/>
        </w:rPr>
        <w:t>rising</w:t>
      </w:r>
      <w:r>
        <w:rPr>
          <w:spacing w:val="-6"/>
          <w:w w:val="110"/>
        </w:rPr>
        <w:t> </w:t>
      </w:r>
      <w:r>
        <w:rPr>
          <w:w w:val="110"/>
        </w:rPr>
        <w:t>sea</w:t>
      </w:r>
      <w:r>
        <w:rPr>
          <w:spacing w:val="-6"/>
          <w:w w:val="110"/>
        </w:rPr>
        <w:t> </w:t>
      </w:r>
      <w:r>
        <w:rPr>
          <w:w w:val="110"/>
        </w:rPr>
        <w:t>levels</w:t>
      </w:r>
      <w:r>
        <w:rPr>
          <w:spacing w:val="-6"/>
          <w:w w:val="110"/>
        </w:rPr>
        <w:t> </w:t>
      </w:r>
      <w:r>
        <w:rPr>
          <w:w w:val="110"/>
        </w:rPr>
        <w:t>causing</w:t>
      </w:r>
      <w:r>
        <w:rPr>
          <w:spacing w:val="-6"/>
          <w:w w:val="110"/>
        </w:rPr>
        <w:t> </w:t>
      </w:r>
      <w:r>
        <w:rPr>
          <w:w w:val="110"/>
        </w:rPr>
        <w:t>both inland</w:t>
      </w:r>
      <w:r>
        <w:rPr>
          <w:spacing w:val="-10"/>
          <w:w w:val="110"/>
        </w:rPr>
        <w:t> </w:t>
      </w:r>
      <w:r>
        <w:rPr>
          <w:w w:val="110"/>
        </w:rPr>
        <w:t>flooding</w:t>
      </w:r>
      <w:r>
        <w:rPr>
          <w:spacing w:val="-10"/>
          <w:w w:val="110"/>
        </w:rPr>
        <w:t> </w:t>
      </w:r>
      <w:r>
        <w:rPr>
          <w:w w:val="110"/>
        </w:rPr>
        <w:t>and</w:t>
      </w:r>
      <w:r>
        <w:rPr>
          <w:spacing w:val="-10"/>
          <w:w w:val="110"/>
        </w:rPr>
        <w:t> </w:t>
      </w:r>
      <w:r>
        <w:rPr>
          <w:w w:val="110"/>
        </w:rPr>
        <w:t>coastal</w:t>
      </w:r>
      <w:r>
        <w:rPr>
          <w:spacing w:val="-9"/>
          <w:w w:val="110"/>
        </w:rPr>
        <w:t> </w:t>
      </w:r>
      <w:r>
        <w:rPr>
          <w:w w:val="110"/>
        </w:rPr>
        <w:t>inundation.</w:t>
      </w:r>
      <w:r>
        <w:rPr>
          <w:spacing w:val="-10"/>
          <w:w w:val="110"/>
        </w:rPr>
        <w:t> </w:t>
      </w:r>
      <w:r>
        <w:rPr>
          <w:w w:val="110"/>
        </w:rPr>
        <w:t>Climate</w:t>
      </w:r>
      <w:r>
        <w:rPr>
          <w:spacing w:val="-10"/>
          <w:w w:val="110"/>
        </w:rPr>
        <w:t> </w:t>
      </w:r>
      <w:r>
        <w:rPr>
          <w:w w:val="110"/>
        </w:rPr>
        <w:t>change</w:t>
      </w:r>
      <w:r>
        <w:rPr>
          <w:spacing w:val="-10"/>
          <w:w w:val="110"/>
        </w:rPr>
        <w:t> </w:t>
      </w:r>
      <w:r>
        <w:rPr>
          <w:w w:val="110"/>
        </w:rPr>
        <w:t>is</w:t>
      </w:r>
      <w:r>
        <w:rPr>
          <w:spacing w:val="-9"/>
          <w:w w:val="110"/>
        </w:rPr>
        <w:t> </w:t>
      </w:r>
      <w:r>
        <w:rPr>
          <w:w w:val="110"/>
        </w:rPr>
        <w:t>also</w:t>
      </w:r>
      <w:r>
        <w:rPr>
          <w:spacing w:val="-10"/>
          <w:w w:val="110"/>
        </w:rPr>
        <w:t> </w:t>
      </w:r>
      <w:r>
        <w:rPr>
          <w:w w:val="110"/>
        </w:rPr>
        <w:t>a</w:t>
      </w:r>
      <w:r>
        <w:rPr>
          <w:spacing w:val="-10"/>
          <w:w w:val="110"/>
        </w:rPr>
        <w:t> </w:t>
      </w:r>
      <w:r>
        <w:rPr>
          <w:w w:val="110"/>
        </w:rPr>
        <w:t>justice</w:t>
      </w:r>
      <w:r>
        <w:rPr>
          <w:spacing w:val="-10"/>
          <w:w w:val="110"/>
        </w:rPr>
        <w:t> </w:t>
      </w:r>
      <w:r>
        <w:rPr>
          <w:w w:val="110"/>
        </w:rPr>
        <w:t>issue,</w:t>
      </w:r>
      <w:r>
        <w:rPr>
          <w:spacing w:val="-9"/>
          <w:w w:val="110"/>
        </w:rPr>
        <w:t> </w:t>
      </w:r>
      <w:r>
        <w:rPr>
          <w:w w:val="110"/>
        </w:rPr>
        <w:t>whilst</w:t>
      </w:r>
      <w:r>
        <w:rPr>
          <w:spacing w:val="-10"/>
          <w:w w:val="110"/>
        </w:rPr>
        <w:t> </w:t>
      </w:r>
      <w:r>
        <w:rPr>
          <w:w w:val="110"/>
        </w:rPr>
        <w:t>the west/north </w:t>
      </w:r>
      <w:r>
        <w:rPr>
          <w:spacing w:val="-3"/>
          <w:w w:val="110"/>
        </w:rPr>
        <w:t>have </w:t>
      </w:r>
      <w:r>
        <w:rPr>
          <w:w w:val="110"/>
        </w:rPr>
        <w:t>made the biggest contribution to the causes of global warming the south</w:t>
      </w:r>
      <w:r>
        <w:rPr>
          <w:spacing w:val="-7"/>
          <w:w w:val="110"/>
        </w:rPr>
        <w:t> </w:t>
      </w:r>
      <w:r>
        <w:rPr>
          <w:w w:val="110"/>
        </w:rPr>
        <w:t>is</w:t>
      </w:r>
      <w:r>
        <w:rPr>
          <w:spacing w:val="-6"/>
          <w:w w:val="110"/>
        </w:rPr>
        <w:t> </w:t>
      </w:r>
      <w:r>
        <w:rPr>
          <w:w w:val="110"/>
        </w:rPr>
        <w:t>least</w:t>
      </w:r>
      <w:r>
        <w:rPr>
          <w:spacing w:val="-6"/>
          <w:w w:val="110"/>
        </w:rPr>
        <w:t> </w:t>
      </w:r>
      <w:r>
        <w:rPr>
          <w:w w:val="110"/>
        </w:rPr>
        <w:t>able</w:t>
      </w:r>
      <w:r>
        <w:rPr>
          <w:spacing w:val="-7"/>
          <w:w w:val="110"/>
        </w:rPr>
        <w:t> </w:t>
      </w:r>
      <w:r>
        <w:rPr>
          <w:w w:val="110"/>
        </w:rPr>
        <w:t>to</w:t>
      </w:r>
      <w:r>
        <w:rPr>
          <w:spacing w:val="-6"/>
          <w:w w:val="110"/>
        </w:rPr>
        <w:t> </w:t>
      </w:r>
      <w:r>
        <w:rPr>
          <w:w w:val="110"/>
        </w:rPr>
        <w:t>mitigate</w:t>
      </w:r>
      <w:r>
        <w:rPr>
          <w:spacing w:val="-6"/>
          <w:w w:val="110"/>
        </w:rPr>
        <w:t> </w:t>
      </w:r>
      <w:r>
        <w:rPr>
          <w:w w:val="110"/>
        </w:rPr>
        <w:t>the</w:t>
      </w:r>
      <w:r>
        <w:rPr>
          <w:spacing w:val="-7"/>
          <w:w w:val="110"/>
        </w:rPr>
        <w:t> </w:t>
      </w:r>
      <w:r>
        <w:rPr>
          <w:w w:val="110"/>
        </w:rPr>
        <w:t>situation</w:t>
      </w:r>
      <w:r>
        <w:rPr>
          <w:spacing w:val="-6"/>
          <w:w w:val="110"/>
        </w:rPr>
        <w:t> </w:t>
      </w:r>
      <w:r>
        <w:rPr>
          <w:w w:val="110"/>
        </w:rPr>
        <w:t>and</w:t>
      </w:r>
      <w:r>
        <w:rPr>
          <w:spacing w:val="-6"/>
          <w:w w:val="110"/>
        </w:rPr>
        <w:t> </w:t>
      </w:r>
      <w:r>
        <w:rPr>
          <w:w w:val="110"/>
        </w:rPr>
        <w:t>most</w:t>
      </w:r>
      <w:r>
        <w:rPr>
          <w:spacing w:val="-7"/>
          <w:w w:val="110"/>
        </w:rPr>
        <w:t> </w:t>
      </w:r>
      <w:r>
        <w:rPr>
          <w:spacing w:val="-2"/>
          <w:w w:val="110"/>
        </w:rPr>
        <w:t>likely</w:t>
      </w:r>
      <w:r>
        <w:rPr>
          <w:spacing w:val="-6"/>
          <w:w w:val="110"/>
        </w:rPr>
        <w:t> </w:t>
      </w:r>
      <w:r>
        <w:rPr>
          <w:w w:val="110"/>
        </w:rPr>
        <w:t>to</w:t>
      </w:r>
      <w:r>
        <w:rPr>
          <w:spacing w:val="-6"/>
          <w:w w:val="110"/>
        </w:rPr>
        <w:t> </w:t>
      </w:r>
      <w:r>
        <w:rPr>
          <w:w w:val="110"/>
        </w:rPr>
        <w:t>pay</w:t>
      </w:r>
      <w:r>
        <w:rPr>
          <w:spacing w:val="-7"/>
          <w:w w:val="110"/>
        </w:rPr>
        <w:t> </w:t>
      </w:r>
      <w:r>
        <w:rPr>
          <w:w w:val="110"/>
        </w:rPr>
        <w:t>the</w:t>
      </w:r>
      <w:r>
        <w:rPr>
          <w:spacing w:val="-6"/>
          <w:w w:val="110"/>
        </w:rPr>
        <w:t> </w:t>
      </w:r>
      <w:r>
        <w:rPr>
          <w:w w:val="110"/>
        </w:rPr>
        <w:t>highest</w:t>
      </w:r>
      <w:r>
        <w:rPr>
          <w:spacing w:val="-6"/>
          <w:w w:val="110"/>
        </w:rPr>
        <w:t> </w:t>
      </w:r>
      <w:r>
        <w:rPr>
          <w:w w:val="110"/>
        </w:rPr>
        <w:t>price.</w:t>
      </w:r>
    </w:p>
    <w:p>
      <w:pPr>
        <w:pStyle w:val="BodyText"/>
        <w:spacing w:line="273" w:lineRule="auto" w:before="3"/>
        <w:ind w:left="698" w:right="2121"/>
      </w:pPr>
      <w:r>
        <w:rPr/>
        <w:pict>
          <v:shape style="position:absolute;margin-left:65.905502pt;margin-top:.150081pt;width:410.35pt;height:10.95pt;mso-position-horizontal-relative:page;mso-position-vertical-relative:paragraph;z-index:-275245056" type="#_x0000_t202" filled="false" stroked="false">
            <v:textbox inset="0,0,0,0">
              <w:txbxContent>
                <w:p>
                  <w:pPr>
                    <w:pStyle w:val="BodyText"/>
                  </w:pPr>
                  <w:r>
                    <w:rPr>
                      <w:color w:val="231F20"/>
                      <w:w w:val="110"/>
                    </w:rPr>
                    <w:t>Scientists</w:t>
                  </w:r>
                  <w:r>
                    <w:rPr>
                      <w:color w:val="231F20"/>
                      <w:spacing w:val="-6"/>
                      <w:w w:val="110"/>
                    </w:rPr>
                    <w:t> </w:t>
                  </w:r>
                  <w:r>
                    <w:rPr>
                      <w:color w:val="231F20"/>
                      <w:w w:val="110"/>
                    </w:rPr>
                    <w:t>warn</w:t>
                  </w:r>
                  <w:r>
                    <w:rPr>
                      <w:color w:val="231F20"/>
                      <w:spacing w:val="-6"/>
                      <w:w w:val="110"/>
                    </w:rPr>
                    <w:t> </w:t>
                  </w:r>
                  <w:r>
                    <w:rPr>
                      <w:color w:val="231F20"/>
                      <w:w w:val="110"/>
                    </w:rPr>
                    <w:t>of</w:t>
                  </w:r>
                  <w:r>
                    <w:rPr>
                      <w:color w:val="231F20"/>
                      <w:spacing w:val="-6"/>
                      <w:w w:val="110"/>
                    </w:rPr>
                    <w:t> </w:t>
                  </w:r>
                  <w:r>
                    <w:rPr>
                      <w:color w:val="231F20"/>
                      <w:w w:val="110"/>
                    </w:rPr>
                    <w:t>an</w:t>
                  </w:r>
                  <w:r>
                    <w:rPr>
                      <w:color w:val="231F20"/>
                      <w:spacing w:val="-5"/>
                      <w:w w:val="110"/>
                    </w:rPr>
                    <w:t> </w:t>
                  </w:r>
                  <w:r>
                    <w:rPr>
                      <w:color w:val="231F20"/>
                      <w:w w:val="110"/>
                    </w:rPr>
                    <w:t>impending</w:t>
                  </w:r>
                  <w:r>
                    <w:rPr>
                      <w:color w:val="231F20"/>
                      <w:spacing w:val="-6"/>
                      <w:w w:val="110"/>
                    </w:rPr>
                    <w:t> </w:t>
                  </w:r>
                  <w:r>
                    <w:rPr>
                      <w:color w:val="231F20"/>
                      <w:w w:val="110"/>
                    </w:rPr>
                    <w:t>‘tipping</w:t>
                  </w:r>
                  <w:r>
                    <w:rPr>
                      <w:color w:val="231F20"/>
                      <w:spacing w:val="-6"/>
                      <w:w w:val="110"/>
                    </w:rPr>
                    <w:t> </w:t>
                  </w:r>
                  <w:r>
                    <w:rPr>
                      <w:color w:val="231F20"/>
                      <w:spacing w:val="-3"/>
                      <w:w w:val="110"/>
                    </w:rPr>
                    <w:t>point’,</w:t>
                  </w:r>
                  <w:r>
                    <w:rPr>
                      <w:color w:val="231F20"/>
                      <w:spacing w:val="-6"/>
                      <w:w w:val="110"/>
                    </w:rPr>
                    <w:t> </w:t>
                  </w:r>
                  <w:r>
                    <w:rPr>
                      <w:color w:val="231F20"/>
                      <w:w w:val="110"/>
                    </w:rPr>
                    <w:t>a</w:t>
                  </w:r>
                  <w:r>
                    <w:rPr>
                      <w:color w:val="231F20"/>
                      <w:spacing w:val="-5"/>
                      <w:w w:val="110"/>
                    </w:rPr>
                    <w:t> </w:t>
                  </w:r>
                  <w:r>
                    <w:rPr>
                      <w:color w:val="231F20"/>
                      <w:w w:val="110"/>
                    </w:rPr>
                    <w:t>point</w:t>
                  </w:r>
                  <w:r>
                    <w:rPr>
                      <w:color w:val="231F20"/>
                      <w:spacing w:val="-6"/>
                      <w:w w:val="110"/>
                    </w:rPr>
                    <w:t> </w:t>
                  </w:r>
                  <w:r>
                    <w:rPr>
                      <w:color w:val="231F20"/>
                      <w:w w:val="110"/>
                    </w:rPr>
                    <w:t>of</w:t>
                  </w:r>
                  <w:r>
                    <w:rPr>
                      <w:color w:val="231F20"/>
                      <w:spacing w:val="-6"/>
                      <w:w w:val="110"/>
                    </w:rPr>
                    <w:t> </w:t>
                  </w:r>
                  <w:r>
                    <w:rPr>
                      <w:color w:val="231F20"/>
                      <w:w w:val="110"/>
                    </w:rPr>
                    <w:t>no</w:t>
                  </w:r>
                  <w:r>
                    <w:rPr>
                      <w:color w:val="231F20"/>
                      <w:spacing w:val="-5"/>
                      <w:w w:val="110"/>
                    </w:rPr>
                    <w:t> </w:t>
                  </w:r>
                  <w:r>
                    <w:rPr>
                      <w:color w:val="231F20"/>
                      <w:w w:val="110"/>
                    </w:rPr>
                    <w:t>return</w:t>
                  </w:r>
                  <w:r>
                    <w:rPr>
                      <w:color w:val="231F20"/>
                      <w:spacing w:val="-6"/>
                      <w:w w:val="110"/>
                    </w:rPr>
                    <w:t> </w:t>
                  </w:r>
                  <w:r>
                    <w:rPr>
                      <w:color w:val="231F20"/>
                      <w:w w:val="110"/>
                    </w:rPr>
                    <w:t>after</w:t>
                  </w:r>
                  <w:r>
                    <w:rPr>
                      <w:color w:val="231F20"/>
                      <w:spacing w:val="-6"/>
                      <w:w w:val="110"/>
                    </w:rPr>
                    <w:t> </w:t>
                  </w:r>
                  <w:r>
                    <w:rPr>
                      <w:color w:val="231F20"/>
                      <w:w w:val="110"/>
                    </w:rPr>
                    <w:t>which</w:t>
                  </w:r>
                  <w:r>
                    <w:rPr>
                      <w:color w:val="231F20"/>
                      <w:spacing w:val="-6"/>
                      <w:w w:val="110"/>
                    </w:rPr>
                    <w:t> </w:t>
                  </w:r>
                  <w:r>
                    <w:rPr>
                      <w:color w:val="231F20"/>
                      <w:w w:val="110"/>
                    </w:rPr>
                    <w:t>the</w:t>
                  </w:r>
                </w:p>
              </w:txbxContent>
            </v:textbox>
            <w10:wrap type="none"/>
          </v:shape>
        </w:pict>
      </w:r>
      <w:r>
        <w:rPr/>
        <w:pict>
          <v:shape style="position:absolute;margin-left:68.588402pt;margin-top:12.651081pt;width:416.35pt;height:10.95pt;mso-position-horizontal-relative:page;mso-position-vertical-relative:paragraph;z-index:-275244032" type="#_x0000_t202" filled="false" stroked="false">
            <v:textbox inset="0,0,0,0">
              <w:txbxContent>
                <w:p>
                  <w:pPr>
                    <w:pStyle w:val="BodyText"/>
                  </w:pPr>
                  <w:r>
                    <w:rPr>
                      <w:color w:val="231F20"/>
                      <w:w w:val="110"/>
                    </w:rPr>
                    <w:t>evel</w:t>
                  </w:r>
                  <w:r>
                    <w:rPr>
                      <w:color w:val="231F20"/>
                      <w:spacing w:val="-8"/>
                      <w:w w:val="110"/>
                    </w:rPr>
                    <w:t> </w:t>
                  </w:r>
                  <w:r>
                    <w:rPr>
                      <w:color w:val="231F20"/>
                      <w:w w:val="110"/>
                    </w:rPr>
                    <w:t>of</w:t>
                  </w:r>
                  <w:r>
                    <w:rPr>
                      <w:color w:val="231F20"/>
                      <w:spacing w:val="-8"/>
                      <w:w w:val="110"/>
                    </w:rPr>
                    <w:t> </w:t>
                  </w:r>
                  <w:r>
                    <w:rPr>
                      <w:color w:val="231F20"/>
                      <w:w w:val="110"/>
                    </w:rPr>
                    <w:t>carbon</w:t>
                  </w:r>
                  <w:r>
                    <w:rPr>
                      <w:color w:val="231F20"/>
                      <w:spacing w:val="-8"/>
                      <w:w w:val="110"/>
                    </w:rPr>
                    <w:t> </w:t>
                  </w:r>
                  <w:r>
                    <w:rPr>
                      <w:color w:val="231F20"/>
                      <w:w w:val="110"/>
                    </w:rPr>
                    <w:t>in</w:t>
                  </w:r>
                  <w:r>
                    <w:rPr>
                      <w:color w:val="231F20"/>
                      <w:spacing w:val="-8"/>
                      <w:w w:val="110"/>
                    </w:rPr>
                    <w:t> </w:t>
                  </w:r>
                  <w:r>
                    <w:rPr>
                      <w:color w:val="231F20"/>
                      <w:w w:val="110"/>
                    </w:rPr>
                    <w:t>the</w:t>
                  </w:r>
                  <w:r>
                    <w:rPr>
                      <w:color w:val="231F20"/>
                      <w:spacing w:val="-8"/>
                      <w:w w:val="110"/>
                    </w:rPr>
                    <w:t> </w:t>
                  </w:r>
                  <w:r>
                    <w:rPr>
                      <w:color w:val="231F20"/>
                      <w:w w:val="110"/>
                    </w:rPr>
                    <w:t>atmosphere</w:t>
                  </w:r>
                  <w:r>
                    <w:rPr>
                      <w:color w:val="231F20"/>
                      <w:spacing w:val="-8"/>
                      <w:w w:val="110"/>
                    </w:rPr>
                    <w:t> </w:t>
                  </w:r>
                  <w:r>
                    <w:rPr>
                      <w:color w:val="231F20"/>
                      <w:w w:val="110"/>
                    </w:rPr>
                    <w:t>will</w:t>
                  </w:r>
                  <w:r>
                    <w:rPr>
                      <w:color w:val="231F20"/>
                      <w:spacing w:val="-8"/>
                      <w:w w:val="110"/>
                    </w:rPr>
                    <w:t> </w:t>
                  </w:r>
                  <w:r>
                    <w:rPr>
                      <w:color w:val="231F20"/>
                      <w:w w:val="110"/>
                    </w:rPr>
                    <w:t>cause</w:t>
                  </w:r>
                  <w:r>
                    <w:rPr>
                      <w:color w:val="231F20"/>
                      <w:spacing w:val="-7"/>
                      <w:w w:val="110"/>
                    </w:rPr>
                    <w:t> </w:t>
                  </w:r>
                  <w:r>
                    <w:rPr>
                      <w:color w:val="231F20"/>
                      <w:w w:val="110"/>
                    </w:rPr>
                    <w:t>an</w:t>
                  </w:r>
                  <w:r>
                    <w:rPr>
                      <w:color w:val="231F20"/>
                      <w:spacing w:val="-8"/>
                      <w:w w:val="110"/>
                    </w:rPr>
                    <w:t> </w:t>
                  </w:r>
                  <w:r>
                    <w:rPr>
                      <w:color w:val="231F20"/>
                      <w:w w:val="110"/>
                    </w:rPr>
                    <w:t>irreversible</w:t>
                  </w:r>
                  <w:r>
                    <w:rPr>
                      <w:color w:val="231F20"/>
                      <w:spacing w:val="-8"/>
                      <w:w w:val="110"/>
                    </w:rPr>
                    <w:t> </w:t>
                  </w:r>
                  <w:r>
                    <w:rPr>
                      <w:color w:val="231F20"/>
                      <w:w w:val="110"/>
                    </w:rPr>
                    <w:t>and</w:t>
                  </w:r>
                  <w:r>
                    <w:rPr>
                      <w:color w:val="231F20"/>
                      <w:spacing w:val="-8"/>
                      <w:w w:val="110"/>
                    </w:rPr>
                    <w:t> </w:t>
                  </w:r>
                  <w:r>
                    <w:rPr>
                      <w:color w:val="231F20"/>
                      <w:w w:val="110"/>
                    </w:rPr>
                    <w:t>accelerating</w:t>
                  </w:r>
                  <w:r>
                    <w:rPr>
                      <w:color w:val="231F20"/>
                      <w:spacing w:val="-8"/>
                      <w:w w:val="110"/>
                    </w:rPr>
                    <w:t> </w:t>
                  </w:r>
                  <w:r>
                    <w:rPr>
                      <w:color w:val="231F20"/>
                      <w:w w:val="110"/>
                    </w:rPr>
                    <w:t>change.</w:t>
                  </w:r>
                </w:p>
              </w:txbxContent>
            </v:textbox>
            <w10:wrap type="none"/>
          </v:shape>
        </w:pict>
      </w:r>
      <w:r>
        <w:rPr/>
        <w:pict>
          <v:shape style="position:absolute;margin-left:65.905502pt;margin-top:25.152081pt;width:320.95pt;height:10.95pt;mso-position-horizontal-relative:page;mso-position-vertical-relative:paragraph;z-index:-275243008" type="#_x0000_t202" filled="false" stroked="false">
            <v:textbox inset="0,0,0,0">
              <w:txbxContent>
                <w:p>
                  <w:pPr>
                    <w:pStyle w:val="BodyText"/>
                  </w:pPr>
                  <w:r>
                    <w:rPr>
                      <w:color w:val="231F20"/>
                      <w:w w:val="110"/>
                    </w:rPr>
                    <w:t>It</w:t>
                  </w:r>
                  <w:r>
                    <w:rPr>
                      <w:color w:val="231F20"/>
                      <w:spacing w:val="-9"/>
                      <w:w w:val="110"/>
                    </w:rPr>
                    <w:t> </w:t>
                  </w:r>
                  <w:r>
                    <w:rPr>
                      <w:color w:val="231F20"/>
                      <w:w w:val="110"/>
                    </w:rPr>
                    <w:t>is</w:t>
                  </w:r>
                  <w:r>
                    <w:rPr>
                      <w:color w:val="231F20"/>
                      <w:spacing w:val="-9"/>
                      <w:w w:val="110"/>
                    </w:rPr>
                    <w:t> </w:t>
                  </w:r>
                  <w:r>
                    <w:rPr>
                      <w:color w:val="231F20"/>
                      <w:w w:val="110"/>
                    </w:rPr>
                    <w:t>imperative</w:t>
                  </w:r>
                  <w:r>
                    <w:rPr>
                      <w:color w:val="231F20"/>
                      <w:spacing w:val="-9"/>
                      <w:w w:val="110"/>
                    </w:rPr>
                    <w:t> </w:t>
                  </w:r>
                  <w:r>
                    <w:rPr>
                      <w:color w:val="231F20"/>
                      <w:w w:val="110"/>
                    </w:rPr>
                    <w:t>that</w:t>
                  </w:r>
                  <w:r>
                    <w:rPr>
                      <w:color w:val="231F20"/>
                      <w:spacing w:val="-9"/>
                      <w:w w:val="110"/>
                    </w:rPr>
                    <w:t> </w:t>
                  </w:r>
                  <w:r>
                    <w:rPr>
                      <w:color w:val="231F20"/>
                      <w:w w:val="110"/>
                    </w:rPr>
                    <w:t>all</w:t>
                  </w:r>
                  <w:r>
                    <w:rPr>
                      <w:color w:val="231F20"/>
                      <w:spacing w:val="-9"/>
                      <w:w w:val="110"/>
                    </w:rPr>
                    <w:t> </w:t>
                  </w:r>
                  <w:r>
                    <w:rPr>
                      <w:color w:val="231F20"/>
                      <w:w w:val="110"/>
                    </w:rPr>
                    <w:t>of</w:t>
                  </w:r>
                  <w:r>
                    <w:rPr>
                      <w:color w:val="231F20"/>
                      <w:spacing w:val="-9"/>
                      <w:w w:val="110"/>
                    </w:rPr>
                    <w:t> </w:t>
                  </w:r>
                  <w:r>
                    <w:rPr>
                      <w:color w:val="231F20"/>
                      <w:w w:val="110"/>
                    </w:rPr>
                    <w:t>civil</w:t>
                  </w:r>
                  <w:r>
                    <w:rPr>
                      <w:color w:val="231F20"/>
                      <w:spacing w:val="-9"/>
                      <w:w w:val="110"/>
                    </w:rPr>
                    <w:t> </w:t>
                  </w:r>
                  <w:r>
                    <w:rPr>
                      <w:color w:val="231F20"/>
                      <w:w w:val="110"/>
                    </w:rPr>
                    <w:t>society,</w:t>
                  </w:r>
                  <w:r>
                    <w:rPr>
                      <w:color w:val="231F20"/>
                      <w:spacing w:val="-9"/>
                      <w:w w:val="110"/>
                    </w:rPr>
                    <w:t> </w:t>
                  </w:r>
                  <w:r>
                    <w:rPr>
                      <w:color w:val="231F20"/>
                      <w:w w:val="110"/>
                    </w:rPr>
                    <w:t>including</w:t>
                  </w:r>
                  <w:r>
                    <w:rPr>
                      <w:color w:val="231F20"/>
                      <w:spacing w:val="-9"/>
                      <w:w w:val="110"/>
                    </w:rPr>
                    <w:t> </w:t>
                  </w:r>
                  <w:r>
                    <w:rPr>
                      <w:color w:val="231F20"/>
                      <w:w w:val="110"/>
                    </w:rPr>
                    <w:t>the</w:t>
                  </w:r>
                  <w:r>
                    <w:rPr>
                      <w:color w:val="231F20"/>
                      <w:spacing w:val="-9"/>
                      <w:w w:val="110"/>
                    </w:rPr>
                    <w:t> </w:t>
                  </w:r>
                  <w:r>
                    <w:rPr>
                      <w:color w:val="231F20"/>
                      <w:w w:val="110"/>
                    </w:rPr>
                    <w:t>Church</w:t>
                  </w:r>
                  <w:r>
                    <w:rPr>
                      <w:color w:val="231F20"/>
                      <w:spacing w:val="-9"/>
                      <w:w w:val="110"/>
                    </w:rPr>
                    <w:t> </w:t>
                  </w:r>
                  <w:r>
                    <w:rPr>
                      <w:color w:val="231F20"/>
                      <w:w w:val="110"/>
                    </w:rPr>
                    <w:t>acts.</w:t>
                  </w:r>
                </w:p>
              </w:txbxContent>
            </v:textbox>
            <w10:wrap type="none"/>
          </v:shape>
        </w:pict>
      </w:r>
      <w:r>
        <w:rPr>
          <w:w w:val="110"/>
        </w:rPr>
        <w:t>Scientists warn of an impending ‘tipping point’, a point of no return after which the </w:t>
      </w:r>
      <w:r>
        <w:rPr>
          <w:shadow/>
          <w:w w:val="110"/>
        </w:rPr>
        <w:t>l</w:t>
      </w:r>
      <w:r>
        <w:rPr>
          <w:shadow w:val="0"/>
          <w:w w:val="110"/>
        </w:rPr>
        <w:t>evel of carbon in the atmosphere will cause an irreversible and accelerating change. It is imperative that all of civil society, including the Church acts.</w:t>
      </w:r>
    </w:p>
    <w:p>
      <w:pPr>
        <w:pStyle w:val="BodyText"/>
        <w:spacing w:before="5"/>
        <w:rPr>
          <w:sz w:val="12"/>
        </w:rPr>
      </w:pPr>
    </w:p>
    <w:p>
      <w:pPr>
        <w:pStyle w:val="BodyText"/>
        <w:spacing w:line="273" w:lineRule="auto" w:before="101"/>
        <w:ind w:left="698" w:right="2580"/>
      </w:pPr>
      <w:r>
        <w:rPr/>
        <w:pict>
          <v:shape style="position:absolute;margin-left:65.905502pt;margin-top:5.050009pt;width:402.6pt;height:10.95pt;mso-position-horizontal-relative:page;mso-position-vertical-relative:paragraph;z-index:-275241984" type="#_x0000_t202" filled="false" stroked="false">
            <v:textbox inset="0,0,0,0">
              <w:txbxContent>
                <w:p>
                  <w:pPr>
                    <w:pStyle w:val="BodyText"/>
                  </w:pPr>
                  <w:r>
                    <w:rPr>
                      <w:color w:val="231F20"/>
                      <w:w w:val="110"/>
                    </w:rPr>
                    <w:t>What has the United Reformed Church in association with sister churches done</w:t>
                  </w:r>
                </w:p>
              </w:txbxContent>
            </v:textbox>
            <w10:wrap type="none"/>
          </v:shape>
        </w:pict>
      </w:r>
      <w:r>
        <w:rPr/>
        <w:pict>
          <v:shape style="position:absolute;margin-left:65.905502pt;margin-top:17.551008pt;width:40.85pt;height:10.95pt;mso-position-horizontal-relative:page;mso-position-vertical-relative:paragraph;z-index:-275240960" type="#_x0000_t202" filled="false" stroked="false">
            <v:textbox inset="0,0,0,0">
              <w:txbxContent>
                <w:p>
                  <w:pPr>
                    <w:pStyle w:val="BodyText"/>
                  </w:pPr>
                  <w:r>
                    <w:rPr>
                      <w:color w:val="231F20"/>
                      <w:w w:val="110"/>
                    </w:rPr>
                    <w:t>to date?</w:t>
                  </w:r>
                </w:p>
              </w:txbxContent>
            </v:textbox>
            <w10:wrap type="none"/>
          </v:shape>
        </w:pict>
      </w:r>
      <w:r>
        <w:rPr>
          <w:w w:val="110"/>
        </w:rPr>
        <w:t>What has the United Reformed Church in association with sister churches done to date?</w:t>
      </w:r>
    </w:p>
    <w:p>
      <w:pPr>
        <w:pStyle w:val="BodyText"/>
        <w:spacing w:before="5"/>
        <w:rPr>
          <w:sz w:val="12"/>
        </w:rPr>
      </w:pPr>
    </w:p>
    <w:p>
      <w:pPr>
        <w:pStyle w:val="BodyText"/>
        <w:tabs>
          <w:tab w:pos="1378" w:val="left" w:leader="none"/>
        </w:tabs>
        <w:spacing w:line="273" w:lineRule="auto" w:before="100"/>
        <w:ind w:left="1378" w:right="2379" w:hanging="559"/>
      </w:pPr>
      <w:r>
        <w:rPr/>
        <w:pict>
          <v:shape style="position:absolute;margin-left:65.905502pt;margin-top:4.999987pt;width:6.4pt;height:10.95pt;mso-position-horizontal-relative:page;mso-position-vertical-relative:paragraph;z-index:-275239936" type="#_x0000_t202" filled="false" stroked="false">
            <v:textbox inset="0,0,0,0">
              <w:txbxContent>
                <w:p>
                  <w:pPr>
                    <w:pStyle w:val="BodyText"/>
                  </w:pPr>
                  <w:r>
                    <w:rPr>
                      <w:color w:val="231F20"/>
                      <w:w w:val="111"/>
                    </w:rPr>
                    <w:t>1</w:t>
                  </w:r>
                </w:p>
              </w:txbxContent>
            </v:textbox>
            <w10:wrap type="none"/>
          </v:shape>
        </w:pict>
      </w:r>
      <w:r>
        <w:rPr/>
        <w:pict>
          <v:shape style="position:absolute;margin-left:99.92421pt;margin-top:4.999987pt;width:218.05pt;height:10.95pt;mso-position-horizontal-relative:page;mso-position-vertical-relative:paragraph;z-index:-275238912" type="#_x0000_t202" filled="false" stroked="false">
            <v:textbox inset="0,0,0,0">
              <w:txbxContent>
                <w:p>
                  <w:pPr>
                    <w:pStyle w:val="BodyText"/>
                  </w:pPr>
                  <w:r>
                    <w:rPr>
                      <w:color w:val="231F20"/>
                      <w:w w:val="110"/>
                    </w:rPr>
                    <w:t>Produced a study and </w:t>
                  </w:r>
                  <w:r>
                    <w:rPr>
                      <w:color w:val="231F20"/>
                      <w:spacing w:val="2"/>
                      <w:w w:val="110"/>
                    </w:rPr>
                    <w:t>action </w:t>
                  </w:r>
                  <w:r>
                    <w:rPr>
                      <w:color w:val="231F20"/>
                      <w:w w:val="110"/>
                    </w:rPr>
                    <w:t>guide</w:t>
                  </w:r>
                  <w:r>
                    <w:rPr>
                      <w:color w:val="231F20"/>
                      <w:spacing w:val="62"/>
                      <w:w w:val="110"/>
                    </w:rPr>
                    <w:t> </w:t>
                  </w:r>
                  <w:r>
                    <w:rPr>
                      <w:color w:val="231F20"/>
                      <w:w w:val="110"/>
                    </w:rPr>
                    <w:t>entitled</w:t>
                  </w:r>
                </w:p>
              </w:txbxContent>
            </v:textbox>
            <w10:wrap type="none"/>
          </v:shape>
        </w:pict>
      </w:r>
      <w:r>
        <w:rPr/>
        <w:pict>
          <v:shape style="position:absolute;margin-left:321.515503pt;margin-top:4.999987pt;width:101.2pt;height:10.95pt;mso-position-horizontal-relative:page;mso-position-vertical-relative:paragraph;z-index:-275237888" type="#_x0000_t202" filled="false" stroked="false">
            <v:textbox inset="0,0,0,0">
              <w:txbxContent>
                <w:p>
                  <w:pPr>
                    <w:spacing w:before="0"/>
                    <w:ind w:left="0" w:right="0" w:firstLine="0"/>
                    <w:jc w:val="left"/>
                    <w:rPr>
                      <w:i/>
                      <w:sz w:val="18"/>
                    </w:rPr>
                  </w:pPr>
                  <w:r>
                    <w:rPr>
                      <w:i/>
                      <w:color w:val="231F20"/>
                      <w:w w:val="110"/>
                      <w:sz w:val="18"/>
                    </w:rPr>
                    <w:t>Roots and Branches</w:t>
                  </w:r>
                </w:p>
              </w:txbxContent>
            </v:textbox>
            <w10:wrap type="none"/>
          </v:shape>
        </w:pict>
      </w:r>
      <w:r>
        <w:rPr/>
        <w:pict>
          <v:shape style="position:absolute;margin-left:426.245514pt;margin-top:4.999987pt;width:52.95pt;height:10.95pt;mso-position-horizontal-relative:page;mso-position-vertical-relative:paragraph;z-index:-275236864" type="#_x0000_t202" filled="false" stroked="false">
            <v:textbox inset="0,0,0,0">
              <w:txbxContent>
                <w:p>
                  <w:pPr>
                    <w:pStyle w:val="BodyText"/>
                  </w:pPr>
                  <w:r>
                    <w:rPr>
                      <w:color w:val="231F20"/>
                      <w:w w:val="110"/>
                    </w:rPr>
                    <w:t>(Assembly</w:t>
                  </w:r>
                </w:p>
              </w:txbxContent>
            </v:textbox>
            <w10:wrap type="none"/>
          </v:shape>
        </w:pict>
      </w:r>
      <w:r>
        <w:rPr/>
        <w:pict>
          <v:shape style="position:absolute;margin-left:99.925499pt;margin-top:17.500988pt;width:126.5pt;height:10.95pt;mso-position-horizontal-relative:page;mso-position-vertical-relative:paragraph;z-index:-275235840" type="#_x0000_t202" filled="false" stroked="false">
            <v:textbox inset="0,0,0,0">
              <w:txbxContent>
                <w:p>
                  <w:pPr>
                    <w:pStyle w:val="BodyText"/>
                  </w:pPr>
                  <w:r>
                    <w:rPr>
                      <w:color w:val="231F20"/>
                      <w:w w:val="110"/>
                    </w:rPr>
                    <w:t>1998) for local churches.</w:t>
                  </w:r>
                </w:p>
              </w:txbxContent>
            </v:textbox>
            <w10:wrap type="none"/>
          </v:shape>
        </w:pict>
      </w:r>
      <w:r>
        <w:rPr>
          <w:color w:val="231F20"/>
          <w:w w:val="110"/>
        </w:rPr>
        <w:t>.</w:t>
        <w:tab/>
      </w:r>
      <w:r>
        <w:rPr>
          <w:w w:val="110"/>
        </w:rPr>
        <w:t>Produced a study and </w:t>
      </w:r>
      <w:r>
        <w:rPr>
          <w:spacing w:val="2"/>
          <w:w w:val="110"/>
        </w:rPr>
        <w:t>action </w:t>
      </w:r>
      <w:r>
        <w:rPr>
          <w:w w:val="110"/>
        </w:rPr>
        <w:t>guide entitled </w:t>
      </w:r>
      <w:r>
        <w:rPr>
          <w:i/>
          <w:w w:val="110"/>
        </w:rPr>
        <w:t>Roots and Branches </w:t>
      </w:r>
      <w:r>
        <w:rPr>
          <w:w w:val="110"/>
        </w:rPr>
        <w:t>(Assembly </w:t>
      </w:r>
      <w:r>
        <w:rPr>
          <w:spacing w:val="-4"/>
          <w:w w:val="110"/>
        </w:rPr>
        <w:t>1998) </w:t>
      </w:r>
      <w:r>
        <w:rPr>
          <w:w w:val="110"/>
        </w:rPr>
        <w:t>for local</w:t>
      </w:r>
      <w:r>
        <w:rPr>
          <w:spacing w:val="8"/>
          <w:w w:val="110"/>
        </w:rPr>
        <w:t> </w:t>
      </w:r>
      <w:r>
        <w:rPr>
          <w:w w:val="110"/>
        </w:rPr>
        <w:t>churches.</w:t>
      </w:r>
    </w:p>
    <w:p>
      <w:pPr>
        <w:pStyle w:val="BodyText"/>
        <w:tabs>
          <w:tab w:pos="1378" w:val="left" w:leader="none"/>
        </w:tabs>
        <w:spacing w:line="273" w:lineRule="auto" w:before="161"/>
        <w:ind w:left="1378" w:right="2083" w:hanging="554"/>
      </w:pPr>
      <w:r>
        <w:rPr/>
        <w:pict>
          <v:shape style="position:absolute;margin-left:65.905502pt;margin-top:8.049996pt;width:6.4pt;height:10.95pt;mso-position-horizontal-relative:page;mso-position-vertical-relative:paragraph;z-index:-275234816" type="#_x0000_t202" filled="false" stroked="false">
            <v:textbox inset="0,0,0,0">
              <w:txbxContent>
                <w:p>
                  <w:pPr>
                    <w:pStyle w:val="BodyText"/>
                  </w:pPr>
                  <w:r>
                    <w:rPr>
                      <w:color w:val="231F20"/>
                      <w:w w:val="111"/>
                    </w:rPr>
                    <w:t>2</w:t>
                  </w:r>
                </w:p>
              </w:txbxContent>
            </v:textbox>
            <w10:wrap type="none"/>
          </v:shape>
        </w:pict>
      </w:r>
      <w:r>
        <w:rPr/>
        <w:pict>
          <v:shape style="position:absolute;margin-left:99.92421pt;margin-top:8.049996pt;width:391.1pt;height:10.95pt;mso-position-horizontal-relative:page;mso-position-vertical-relative:paragraph;z-index:-275233792" type="#_x0000_t202" filled="false" stroked="false">
            <v:textbox inset="0,0,0,0">
              <w:txbxContent>
                <w:p>
                  <w:pPr>
                    <w:pStyle w:val="BodyText"/>
                  </w:pPr>
                  <w:r>
                    <w:rPr>
                      <w:color w:val="231F20"/>
                      <w:w w:val="110"/>
                    </w:rPr>
                    <w:t>Adopted the Five Marks of Mission (Assembly </w:t>
                  </w:r>
                  <w:r>
                    <w:rPr>
                      <w:color w:val="231F20"/>
                      <w:spacing w:val="-6"/>
                      <w:w w:val="110"/>
                    </w:rPr>
                    <w:t>1999) </w:t>
                  </w:r>
                  <w:r>
                    <w:rPr>
                      <w:color w:val="231F20"/>
                      <w:w w:val="110"/>
                    </w:rPr>
                    <w:t>as our core mission driver</w:t>
                  </w:r>
                </w:p>
              </w:txbxContent>
            </v:textbox>
            <w10:wrap type="none"/>
          </v:shape>
        </w:pict>
      </w:r>
      <w:r>
        <w:rPr/>
        <w:pict>
          <v:shape style="position:absolute;margin-left:99.925499pt;margin-top:20.550997pt;width:377pt;height:10.95pt;mso-position-horizontal-relative:page;mso-position-vertical-relative:paragraph;z-index:-275232768" type="#_x0000_t202" filled="false" stroked="false">
            <v:textbox inset="0,0,0,0">
              <w:txbxContent>
                <w:p>
                  <w:pPr>
                    <w:pStyle w:val="BodyText"/>
                  </w:pPr>
                  <w:r>
                    <w:rPr>
                      <w:color w:val="231F20"/>
                      <w:w w:val="110"/>
                    </w:rPr>
                    <w:t>which includes as the fifth (but of equal </w:t>
                  </w:r>
                  <w:r>
                    <w:rPr>
                      <w:color w:val="231F20"/>
                      <w:spacing w:val="-4"/>
                      <w:w w:val="110"/>
                    </w:rPr>
                    <w:t>ranking): </w:t>
                  </w:r>
                  <w:r>
                    <w:rPr>
                      <w:color w:val="231F20"/>
                      <w:w w:val="110"/>
                    </w:rPr>
                    <w:t>to strive to safeguard the</w:t>
                  </w:r>
                </w:p>
              </w:txbxContent>
            </v:textbox>
            <w10:wrap type="none"/>
          </v:shape>
        </w:pict>
      </w:r>
      <w:r>
        <w:rPr/>
        <w:pict>
          <v:shape style="position:absolute;margin-left:102.565498pt;margin-top:33.051998pt;width:311.4pt;height:10.95pt;mso-position-horizontal-relative:page;mso-position-vertical-relative:paragraph;z-index:-275231744" type="#_x0000_t202" filled="false" stroked="false">
            <v:textbox inset="0,0,0,0">
              <w:txbxContent>
                <w:p>
                  <w:pPr>
                    <w:pStyle w:val="BodyText"/>
                  </w:pPr>
                  <w:r>
                    <w:rPr>
                      <w:color w:val="231F20"/>
                      <w:w w:val="110"/>
                    </w:rPr>
                    <w:t>ntegrity of creation, to sustain and renew the life of the earth.</w:t>
                  </w:r>
                </w:p>
              </w:txbxContent>
            </v:textbox>
            <w10:wrap type="none"/>
          </v:shape>
        </w:pict>
      </w:r>
      <w:r>
        <w:rPr>
          <w:color w:val="231F20"/>
          <w:w w:val="110"/>
        </w:rPr>
        <w:t>.</w:t>
        <w:tab/>
      </w:r>
      <w:r>
        <w:rPr>
          <w:w w:val="110"/>
        </w:rPr>
        <w:t>Adopted the Five Marks of Mission (Assembly </w:t>
      </w:r>
      <w:r>
        <w:rPr>
          <w:spacing w:val="-6"/>
          <w:w w:val="110"/>
        </w:rPr>
        <w:t>1999) </w:t>
      </w:r>
      <w:r>
        <w:rPr>
          <w:w w:val="110"/>
        </w:rPr>
        <w:t>as our core mission driver which includes as the fifth (but of equal </w:t>
      </w:r>
      <w:r>
        <w:rPr>
          <w:spacing w:val="-4"/>
          <w:w w:val="110"/>
        </w:rPr>
        <w:t>ranking): </w:t>
      </w:r>
      <w:r>
        <w:rPr>
          <w:w w:val="110"/>
        </w:rPr>
        <w:t>to strive to safeguard the </w:t>
      </w:r>
      <w:r>
        <w:rPr>
          <w:shadow/>
          <w:w w:val="110"/>
        </w:rPr>
        <w:t>i</w:t>
      </w:r>
      <w:r>
        <w:rPr>
          <w:shadow w:val="0"/>
          <w:w w:val="110"/>
        </w:rPr>
        <w:t>ntegrity of creation, to sustain and renew the life of the</w:t>
      </w:r>
      <w:r>
        <w:rPr>
          <w:shadow w:val="0"/>
          <w:spacing w:val="-31"/>
          <w:w w:val="110"/>
        </w:rPr>
        <w:t> </w:t>
      </w:r>
      <w:r>
        <w:rPr>
          <w:shadow w:val="0"/>
          <w:w w:val="110"/>
        </w:rPr>
        <w:t>earth.</w:t>
      </w:r>
    </w:p>
    <w:p>
      <w:pPr>
        <w:pStyle w:val="BodyText"/>
        <w:tabs>
          <w:tab w:pos="1378" w:val="left" w:leader="none"/>
        </w:tabs>
        <w:spacing w:before="162"/>
        <w:ind w:left="820"/>
      </w:pPr>
      <w:r>
        <w:rPr/>
        <w:pict>
          <v:shape style="position:absolute;margin-left:65.905502pt;margin-top:8.099998pt;width:6.4pt;height:10.95pt;mso-position-horizontal-relative:page;mso-position-vertical-relative:paragraph;z-index:-275230720" type="#_x0000_t202" filled="false" stroked="false">
            <v:textbox inset="0,0,0,0">
              <w:txbxContent>
                <w:p>
                  <w:pPr>
                    <w:pStyle w:val="BodyText"/>
                  </w:pPr>
                  <w:r>
                    <w:rPr>
                      <w:color w:val="231F20"/>
                      <w:w w:val="111"/>
                    </w:rPr>
                    <w:t>3</w:t>
                  </w:r>
                </w:p>
              </w:txbxContent>
            </v:textbox>
            <w10:wrap type="none"/>
          </v:shape>
        </w:pict>
      </w:r>
      <w:r>
        <w:rPr/>
        <w:pict>
          <v:shape style="position:absolute;margin-left:99.925499pt;margin-top:8.099998pt;width:324.45pt;height:10.95pt;mso-position-horizontal-relative:page;mso-position-vertical-relative:paragraph;z-index:-275229696" type="#_x0000_t202" filled="false" stroked="false">
            <v:textbox inset="0,0,0,0">
              <w:txbxContent>
                <w:p>
                  <w:pPr>
                    <w:pStyle w:val="BodyText"/>
                  </w:pPr>
                  <w:r>
                    <w:rPr>
                      <w:color w:val="231F20"/>
                      <w:w w:val="110"/>
                    </w:rPr>
                    <w:t>Passed a Denominational Environmental Policy (Assembly </w:t>
                  </w:r>
                  <w:r>
                    <w:rPr>
                      <w:color w:val="231F20"/>
                      <w:spacing w:val="-4"/>
                      <w:w w:val="110"/>
                    </w:rPr>
                    <w:t>2004).</w:t>
                  </w:r>
                </w:p>
              </w:txbxContent>
            </v:textbox>
            <w10:wrap type="none"/>
          </v:shape>
        </w:pict>
      </w:r>
      <w:r>
        <w:rPr>
          <w:color w:val="231F20"/>
          <w:w w:val="110"/>
        </w:rPr>
        <w:t>.</w:t>
        <w:tab/>
      </w:r>
      <w:r>
        <w:rPr>
          <w:w w:val="110"/>
        </w:rPr>
        <w:t>Passed a Denominational Environmental Policy (Assembly</w:t>
      </w:r>
      <w:r>
        <w:rPr>
          <w:spacing w:val="-19"/>
          <w:w w:val="110"/>
        </w:rPr>
        <w:t> </w:t>
      </w:r>
      <w:r>
        <w:rPr>
          <w:spacing w:val="-4"/>
          <w:w w:val="110"/>
        </w:rPr>
        <w:t>2004).</w:t>
      </w:r>
    </w:p>
    <w:p>
      <w:pPr>
        <w:pStyle w:val="BodyText"/>
        <w:tabs>
          <w:tab w:pos="1378" w:val="left" w:leader="none"/>
        </w:tabs>
        <w:spacing w:line="273" w:lineRule="auto" w:before="191"/>
        <w:ind w:left="1378" w:right="2108" w:hanging="681"/>
      </w:pPr>
      <w:r>
        <w:rPr/>
        <w:pict>
          <v:shape style="position:absolute;margin-left:65.905502pt;margin-top:9.558011pt;width:9.550pt;height:10.95pt;mso-position-horizontal-relative:page;mso-position-vertical-relative:paragraph;z-index:-275228672" type="#_x0000_t202" filled="false" stroked="false">
            <v:textbox inset="0,0,0,0">
              <w:txbxContent>
                <w:p>
                  <w:pPr>
                    <w:pStyle w:val="BodyText"/>
                  </w:pPr>
                  <w:r>
                    <w:rPr>
                      <w:color w:val="231F20"/>
                      <w:spacing w:val="-5"/>
                      <w:w w:val="110"/>
                    </w:rPr>
                    <w:t>4.</w:t>
                  </w:r>
                </w:p>
              </w:txbxContent>
            </v:textbox>
            <w10:wrap type="none"/>
          </v:shape>
        </w:pict>
      </w:r>
      <w:r>
        <w:rPr/>
        <w:pict>
          <v:shape style="position:absolute;margin-left:99.921303pt;margin-top:9.546011pt;width:249.45pt;height:10.95pt;mso-position-horizontal-relative:page;mso-position-vertical-relative:paragraph;z-index:-275227648" type="#_x0000_t202" filled="false" stroked="false">
            <v:textbox inset="0,0,0,0">
              <w:txbxContent>
                <w:p>
                  <w:pPr>
                    <w:pStyle w:val="BodyText"/>
                  </w:pPr>
                  <w:r>
                    <w:rPr>
                      <w:color w:val="231F20"/>
                      <w:w w:val="110"/>
                    </w:rPr>
                    <w:t>Promoted</w:t>
                  </w:r>
                  <w:r>
                    <w:rPr>
                      <w:color w:val="231F20"/>
                      <w:spacing w:val="-21"/>
                      <w:w w:val="110"/>
                    </w:rPr>
                    <w:t> </w:t>
                  </w:r>
                  <w:r>
                    <w:rPr>
                      <w:color w:val="231F20"/>
                      <w:w w:val="110"/>
                    </w:rPr>
                    <w:t>the</w:t>
                  </w:r>
                  <w:r>
                    <w:rPr>
                      <w:color w:val="231F20"/>
                      <w:spacing w:val="-21"/>
                      <w:w w:val="110"/>
                    </w:rPr>
                    <w:t> </w:t>
                  </w:r>
                  <w:r>
                    <w:rPr>
                      <w:color w:val="231F20"/>
                      <w:w w:val="110"/>
                    </w:rPr>
                    <w:t>ecumenical</w:t>
                  </w:r>
                  <w:r>
                    <w:rPr>
                      <w:color w:val="231F20"/>
                      <w:spacing w:val="-20"/>
                      <w:w w:val="110"/>
                    </w:rPr>
                    <w:t> </w:t>
                  </w:r>
                  <w:r>
                    <w:rPr>
                      <w:color w:val="231F20"/>
                      <w:w w:val="110"/>
                    </w:rPr>
                    <w:t>Eco-Congregation</w:t>
                  </w:r>
                  <w:r>
                    <w:rPr>
                      <w:color w:val="231F20"/>
                      <w:spacing w:val="-21"/>
                      <w:w w:val="110"/>
                    </w:rPr>
                    <w:t> </w:t>
                  </w:r>
                  <w:r>
                    <w:rPr>
                      <w:color w:val="231F20"/>
                      <w:w w:val="110"/>
                    </w:rPr>
                    <w:t>projec</w:t>
                  </w:r>
                </w:p>
              </w:txbxContent>
            </v:textbox>
            <w10:wrap type="none"/>
          </v:shape>
        </w:pict>
      </w:r>
      <w:r>
        <w:rPr/>
        <w:pict>
          <v:shape style="position:absolute;margin-left:356.700897pt;margin-top:9.546011pt;width:127.5pt;height:10.95pt;mso-position-horizontal-relative:page;mso-position-vertical-relative:paragraph;z-index:-275226624" type="#_x0000_t202" filled="false" stroked="false">
            <v:textbox inset="0,0,0,0">
              <w:txbxContent>
                <w:p>
                  <w:pPr>
                    <w:pStyle w:val="BodyText"/>
                  </w:pPr>
                  <w:hyperlink r:id="rId409">
                    <w:r>
                      <w:rPr>
                        <w:color w:val="231F20"/>
                        <w:w w:val="105"/>
                      </w:rPr>
                      <w:t>www.ecocongregation.org</w:t>
                    </w:r>
                  </w:hyperlink>
                </w:p>
              </w:txbxContent>
            </v:textbox>
            <w10:wrap type="none"/>
          </v:shape>
        </w:pict>
      </w:r>
      <w:r>
        <w:rPr/>
        <w:pict>
          <v:shape style="position:absolute;margin-left:99.919296pt;margin-top:22.04701pt;width:389.85pt;height:10.95pt;mso-position-horizontal-relative:page;mso-position-vertical-relative:paragraph;z-index:-275225600" type="#_x0000_t202" filled="false" stroked="false">
            <v:textbox inset="0,0,0,0">
              <w:txbxContent>
                <w:p>
                  <w:pPr>
                    <w:pStyle w:val="BodyText"/>
                  </w:pPr>
                  <w:r>
                    <w:rPr>
                      <w:color w:val="231F20"/>
                      <w:w w:val="110"/>
                    </w:rPr>
                    <w:t>designed to help churches consider environmental issues within their church</w:t>
                  </w:r>
                </w:p>
              </w:txbxContent>
            </v:textbox>
            <w10:wrap type="none"/>
          </v:shape>
        </w:pict>
      </w:r>
      <w:r>
        <w:rPr/>
        <w:pict>
          <v:shape style="position:absolute;margin-left:99.919296pt;margin-top:34.548012pt;width:368.45pt;height:10.95pt;mso-position-horizontal-relative:page;mso-position-vertical-relative:paragraph;z-index:-275224576" type="#_x0000_t202" filled="false" stroked="false">
            <v:textbox inset="0,0,0,0">
              <w:txbxContent>
                <w:p>
                  <w:pPr>
                    <w:pStyle w:val="BodyText"/>
                  </w:pPr>
                  <w:r>
                    <w:rPr>
                      <w:color w:val="231F20"/>
                      <w:w w:val="110"/>
                    </w:rPr>
                    <w:t>life and take positive action, with excellence being marked with the Eco-</w:t>
                  </w:r>
                </w:p>
              </w:txbxContent>
            </v:textbox>
            <w10:wrap type="none"/>
          </v:shape>
        </w:pict>
      </w:r>
      <w:r>
        <w:rPr/>
        <w:pict>
          <v:shape style="position:absolute;margin-left:99.919296pt;margin-top:47.049011pt;width:106.75pt;height:10.95pt;mso-position-horizontal-relative:page;mso-position-vertical-relative:paragraph;z-index:-275223552" type="#_x0000_t202" filled="false" stroked="false">
            <v:textbox inset="0,0,0,0">
              <w:txbxContent>
                <w:p>
                  <w:pPr>
                    <w:pStyle w:val="BodyText"/>
                  </w:pPr>
                  <w:r>
                    <w:rPr>
                      <w:color w:val="231F20"/>
                      <w:w w:val="110"/>
                    </w:rPr>
                    <w:t>Congregation Award.</w:t>
                  </w:r>
                </w:p>
              </w:txbxContent>
            </v:textbox>
            <w10:wrap type="none"/>
          </v:shape>
        </w:pict>
      </w:r>
      <w:r>
        <w:rPr>
          <w:w w:val="110"/>
        </w:rPr>
        <w:t>4</w:t>
        <w:tab/>
        <w:t>Promoted the ecumenical Eco-Congregation projec</w:t>
      </w:r>
      <w:r>
        <w:rPr>
          <w:shadow/>
          <w:w w:val="110"/>
        </w:rPr>
        <w:t>t</w:t>
      </w:r>
      <w:r>
        <w:rPr>
          <w:shadow w:val="0"/>
          <w:w w:val="110"/>
        </w:rPr>
        <w:t> </w:t>
      </w:r>
      <w:hyperlink r:id="rId409">
        <w:r>
          <w:rPr>
            <w:shadow w:val="0"/>
            <w:w w:val="110"/>
          </w:rPr>
          <w:t>www.ecocongregation.org</w:t>
        </w:r>
      </w:hyperlink>
      <w:r>
        <w:rPr>
          <w:shadow w:val="0"/>
          <w:w w:val="110"/>
        </w:rPr>
        <w:t> designed to help churches consider environmental issues within their church life and take positive action, with excellence being marked with the Eco- Congregation</w:t>
      </w:r>
      <w:r>
        <w:rPr>
          <w:shadow w:val="0"/>
          <w:spacing w:val="1"/>
          <w:w w:val="110"/>
        </w:rPr>
        <w:t> </w:t>
      </w:r>
      <w:r>
        <w:rPr>
          <w:shadow w:val="0"/>
          <w:w w:val="110"/>
        </w:rPr>
        <w:t>Award.</w:t>
      </w:r>
    </w:p>
    <w:p>
      <w:pPr>
        <w:pStyle w:val="BodyText"/>
        <w:tabs>
          <w:tab w:pos="1378" w:val="left" w:leader="none"/>
        </w:tabs>
        <w:spacing w:line="273" w:lineRule="auto" w:before="163"/>
        <w:ind w:left="1378" w:right="2379" w:hanging="557"/>
      </w:pPr>
      <w:r>
        <w:rPr/>
        <w:pict>
          <v:shape style="position:absolute;margin-left:65.8993pt;margin-top:8.150003pt;width:6.4pt;height:10.95pt;mso-position-horizontal-relative:page;mso-position-vertical-relative:paragraph;z-index:-275222528" type="#_x0000_t202" filled="false" stroked="false">
            <v:textbox inset="0,0,0,0">
              <w:txbxContent>
                <w:p>
                  <w:pPr>
                    <w:pStyle w:val="BodyText"/>
                  </w:pPr>
                  <w:r>
                    <w:rPr>
                      <w:color w:val="231F20"/>
                      <w:w w:val="111"/>
                    </w:rPr>
                    <w:t>5</w:t>
                  </w:r>
                </w:p>
              </w:txbxContent>
            </v:textbox>
            <w10:wrap type="none"/>
          </v:shape>
        </w:pict>
      </w:r>
      <w:r>
        <w:rPr/>
        <w:pict>
          <v:shape style="position:absolute;margin-left:99.918015pt;margin-top:8.150003pt;width:343.6pt;height:10.95pt;mso-position-horizontal-relative:page;mso-position-vertical-relative:paragraph;z-index:-275221504" type="#_x0000_t202" filled="false" stroked="false">
            <v:textbox inset="0,0,0,0">
              <w:txbxContent>
                <w:p>
                  <w:pPr>
                    <w:pStyle w:val="BodyText"/>
                  </w:pPr>
                  <w:r>
                    <w:rPr>
                      <w:color w:val="231F20"/>
                      <w:w w:val="110"/>
                    </w:rPr>
                    <w:t>As members of the World Alliance of Reformed Churches, aided the</w:t>
                  </w:r>
                </w:p>
              </w:txbxContent>
            </v:textbox>
            <w10:wrap type="none"/>
          </v:shape>
        </w:pict>
      </w:r>
      <w:r>
        <w:rPr/>
        <w:pict>
          <v:shape style="position:absolute;margin-left:99.919296pt;margin-top:20.651003pt;width:356.2pt;height:10.95pt;mso-position-horizontal-relative:page;mso-position-vertical-relative:paragraph;z-index:-275220480" type="#_x0000_t202" filled="false" stroked="false">
            <v:textbox inset="0,0,0,0">
              <w:txbxContent>
                <w:p>
                  <w:pPr>
                    <w:pStyle w:val="BodyText"/>
                  </w:pPr>
                  <w:r>
                    <w:rPr>
                      <w:color w:val="231F20"/>
                      <w:w w:val="110"/>
                    </w:rPr>
                    <w:t>development of the Accra Confession (2004), which was subsequently</w:t>
                  </w:r>
                </w:p>
              </w:txbxContent>
            </v:textbox>
            <w10:wrap type="none"/>
          </v:shape>
        </w:pict>
      </w:r>
      <w:r>
        <w:rPr/>
        <w:pict>
          <v:shape style="position:absolute;margin-left:99.919296pt;margin-top:33.152004pt;width:357.55pt;height:10.95pt;mso-position-horizontal-relative:page;mso-position-vertical-relative:paragraph;z-index:-275219456" type="#_x0000_t202" filled="false" stroked="false">
            <v:textbox inset="0,0,0,0">
              <w:txbxContent>
                <w:p>
                  <w:pPr>
                    <w:pStyle w:val="BodyText"/>
                  </w:pPr>
                  <w:r>
                    <w:rPr>
                      <w:color w:val="231F20"/>
                      <w:w w:val="110"/>
                    </w:rPr>
                    <w:t>taken up by the Council for World Mission (2006) in the ‘Living out the</w:t>
                  </w:r>
                </w:p>
              </w:txbxContent>
            </v:textbox>
            <w10:wrap type="none"/>
          </v:shape>
        </w:pict>
      </w:r>
      <w:r>
        <w:rPr/>
        <w:pict>
          <v:shape style="position:absolute;margin-left:99.919296pt;margin-top:45.653004pt;width:383pt;height:10.95pt;mso-position-horizontal-relative:page;mso-position-vertical-relative:paragraph;z-index:-275218432" type="#_x0000_t202" filled="false" stroked="false">
            <v:textbox inset="0,0,0,0">
              <w:txbxContent>
                <w:p>
                  <w:pPr>
                    <w:pStyle w:val="BodyText"/>
                  </w:pPr>
                  <w:r>
                    <w:rPr>
                      <w:color w:val="231F20"/>
                      <w:w w:val="110"/>
                    </w:rPr>
                    <w:t>Accra Confession’ statement (appendix </w:t>
                  </w:r>
                  <w:r>
                    <w:rPr>
                      <w:color w:val="231F20"/>
                      <w:spacing w:val="-8"/>
                      <w:w w:val="110"/>
                    </w:rPr>
                    <w:t>1).</w:t>
                  </w:r>
                  <w:r>
                    <w:rPr>
                      <w:color w:val="231F20"/>
                      <w:spacing w:val="53"/>
                      <w:w w:val="110"/>
                    </w:rPr>
                    <w:t> </w:t>
                  </w:r>
                  <w:r>
                    <w:rPr>
                      <w:color w:val="231F20"/>
                      <w:w w:val="110"/>
                    </w:rPr>
                    <w:t>It invites people, congregations</w:t>
                  </w:r>
                </w:p>
              </w:txbxContent>
            </v:textbox>
            <w10:wrap type="none"/>
          </v:shape>
        </w:pict>
      </w:r>
      <w:r>
        <w:rPr/>
        <w:pict>
          <v:shape style="position:absolute;margin-left:99.919296pt;margin-top:58.154003pt;width:378.45pt;height:10.95pt;mso-position-horizontal-relative:page;mso-position-vertical-relative:paragraph;z-index:-275217408" type="#_x0000_t202" filled="false" stroked="false">
            <v:textbox inset="0,0,0,0">
              <w:txbxContent>
                <w:p>
                  <w:pPr>
                    <w:pStyle w:val="BodyText"/>
                  </w:pPr>
                  <w:r>
                    <w:rPr>
                      <w:color w:val="231F20"/>
                      <w:w w:val="110"/>
                    </w:rPr>
                    <w:t>and churches to covenant for justice to transform ourselves and the world</w:t>
                  </w:r>
                </w:p>
              </w:txbxContent>
            </v:textbox>
            <w10:wrap type="none"/>
          </v:shape>
        </w:pict>
      </w:r>
      <w:r>
        <w:rPr/>
        <w:pict>
          <v:shape style="position:absolute;margin-left:99.919296pt;margin-top:70.655006pt;width:378.85pt;height:10.95pt;mso-position-horizontal-relative:page;mso-position-vertical-relative:paragraph;z-index:-275216384" type="#_x0000_t202" filled="false" stroked="false">
            <v:textbox inset="0,0,0,0">
              <w:txbxContent>
                <w:p>
                  <w:pPr>
                    <w:pStyle w:val="BodyText"/>
                  </w:pPr>
                  <w:r>
                    <w:rPr>
                      <w:color w:val="231F20"/>
                      <w:w w:val="110"/>
                    </w:rPr>
                    <w:t>according to God’s purposes and promises, inspired by the vision of a new</w:t>
                  </w:r>
                </w:p>
              </w:txbxContent>
            </v:textbox>
            <w10:wrap type="none"/>
          </v:shape>
        </w:pict>
      </w:r>
      <w:r>
        <w:rPr/>
        <w:pict>
          <v:shape style="position:absolute;margin-left:99.919296pt;margin-top:83.156006pt;width:126.55pt;height:10.95pt;mso-position-horizontal-relative:page;mso-position-vertical-relative:paragraph;z-index:-275215360" type="#_x0000_t202" filled="false" stroked="false">
            <v:textbox inset="0,0,0,0">
              <w:txbxContent>
                <w:p>
                  <w:pPr>
                    <w:pStyle w:val="BodyText"/>
                  </w:pPr>
                  <w:r>
                    <w:rPr>
                      <w:color w:val="231F20"/>
                      <w:w w:val="110"/>
                    </w:rPr>
                    <w:t>heaven and a new earth.</w:t>
                  </w:r>
                </w:p>
              </w:txbxContent>
            </v:textbox>
            <w10:wrap type="none"/>
          </v:shape>
        </w:pict>
      </w:r>
      <w:r>
        <w:rPr/>
        <w:pict>
          <v:shape style="position:absolute;margin-left:507.98999pt;margin-top:51.823563pt;width:18pt;height:83.6pt;mso-position-horizontal-relative:page;mso-position-vertical-relative:paragraph;z-index:-275212288" type="#_x0000_t202" filled="false" stroked="false">
            <v:textbox inset="0,0,0,0">
              <w:txbxContent>
                <w:p>
                  <w:pPr>
                    <w:spacing w:line="90" w:lineRule="exact" w:before="0"/>
                    <w:ind w:left="0" w:right="0" w:firstLine="0"/>
                    <w:jc w:val="left"/>
                    <w:rPr>
                      <w:rFonts w:ascii="Eurostile Bold"/>
                      <w:b/>
                      <w:sz w:val="36"/>
                    </w:rPr>
                  </w:pPr>
                  <w:r>
                    <w:rPr>
                      <w:rFonts w:ascii="Eurostile Bold"/>
                      <w:b/>
                      <w:color w:val="A7A9AC"/>
                      <w:spacing w:val="-1"/>
                      <w:w w:val="86"/>
                      <w:sz w:val="36"/>
                    </w:rPr>
                    <w:t>ocument</w:t>
                  </w:r>
                </w:p>
                <w:p>
                  <w:pPr>
                    <w:spacing w:before="1001"/>
                    <w:ind w:left="0" w:right="0" w:firstLine="0"/>
                    <w:jc w:val="left"/>
                    <w:rPr>
                      <w:rFonts w:ascii="Eurostile Bold"/>
                      <w:b/>
                      <w:sz w:val="36"/>
                    </w:rPr>
                  </w:pPr>
                  <w:r>
                    <w:rPr>
                      <w:rFonts w:ascii="Eurostile Bold"/>
                      <w:b/>
                      <w:color w:val="A7A9AC"/>
                      <w:w w:val="87"/>
                      <w:sz w:val="36"/>
                    </w:rPr>
                    <w:t>3</w:t>
                  </w:r>
                </w:p>
              </w:txbxContent>
            </v:textbox>
            <w10:wrap type="none"/>
          </v:shape>
        </w:pict>
      </w:r>
      <w:r>
        <w:rPr>
          <w:color w:val="231F20"/>
          <w:w w:val="110"/>
        </w:rPr>
        <w:t>.</w:t>
        <w:tab/>
      </w:r>
      <w:r>
        <w:rPr>
          <w:spacing w:val="3"/>
          <w:w w:val="110"/>
        </w:rPr>
        <w:t>As </w:t>
      </w:r>
      <w:r>
        <w:rPr>
          <w:spacing w:val="2"/>
          <w:w w:val="110"/>
        </w:rPr>
        <w:t>members </w:t>
      </w:r>
      <w:r>
        <w:rPr>
          <w:w w:val="110"/>
        </w:rPr>
        <w:t>of the World Alliance of Reformed Churches, aided the development of the Accra Confession </w:t>
      </w:r>
      <w:r>
        <w:rPr>
          <w:spacing w:val="-4"/>
          <w:w w:val="110"/>
        </w:rPr>
        <w:t>(2004),  </w:t>
      </w:r>
      <w:r>
        <w:rPr>
          <w:w w:val="110"/>
        </w:rPr>
        <w:t>which was subsequently  taken up by the Council for World Mission (2006) in the ‘Living out the  Accra Confession’ statement (appendix </w:t>
      </w:r>
      <w:r>
        <w:rPr>
          <w:spacing w:val="-8"/>
          <w:w w:val="110"/>
        </w:rPr>
        <w:t>1).</w:t>
      </w:r>
      <w:r>
        <w:rPr>
          <w:spacing w:val="53"/>
          <w:w w:val="110"/>
        </w:rPr>
        <w:t> </w:t>
      </w:r>
      <w:r>
        <w:rPr>
          <w:w w:val="110"/>
        </w:rPr>
        <w:t>It invites people, congregations and churches to covenant for justice to transform ourselves and the world according to God’s purposes and promises, inspired by the vision of a new heaven and a new</w:t>
      </w:r>
      <w:r>
        <w:rPr>
          <w:spacing w:val="4"/>
          <w:w w:val="110"/>
        </w:rPr>
        <w:t> </w:t>
      </w:r>
      <w:r>
        <w:rPr>
          <w:spacing w:val="2"/>
          <w:w w:val="110"/>
        </w:rPr>
        <w:t>earth</w:t>
      </w:r>
    </w:p>
    <w:p>
      <w:pPr>
        <w:spacing w:after="0" w:line="273" w:lineRule="auto"/>
        <w:sectPr>
          <w:headerReference w:type="default" r:id="rId356"/>
          <w:footerReference w:type="default" r:id="rId357"/>
          <w:pgSz w:w="11910" w:h="16840"/>
          <w:pgMar w:header="0" w:footer="0" w:top="1580" w:bottom="280" w:left="620" w:right="0"/>
        </w:sectPr>
      </w:pPr>
    </w:p>
    <w:p>
      <w:pPr>
        <w:spacing w:before="28"/>
        <w:ind w:left="6191" w:right="0" w:firstLine="0"/>
        <w:jc w:val="left"/>
        <w:rPr>
          <w:rFonts w:ascii="Eurostile Bold"/>
          <w:b/>
          <w:sz w:val="28"/>
        </w:rPr>
      </w:pPr>
      <w:r>
        <w:rPr>
          <w:rFonts w:ascii="Eurostile Bold"/>
          <w:b/>
          <w:color w:val="A7A9AC"/>
          <w:w w:val="95"/>
          <w:sz w:val="28"/>
        </w:rPr>
        <w:t>Global Warming/Climate Change</w:t>
      </w:r>
    </w:p>
    <w:p>
      <w:pPr>
        <w:pStyle w:val="BodyText"/>
        <w:spacing w:before="6"/>
        <w:rPr>
          <w:rFonts w:ascii="Eurostile Bold"/>
          <w:b/>
          <w:sz w:val="24"/>
        </w:rPr>
      </w:pPr>
    </w:p>
    <w:p>
      <w:pPr>
        <w:pStyle w:val="ListParagraph"/>
        <w:numPr>
          <w:ilvl w:val="0"/>
          <w:numId w:val="134"/>
        </w:numPr>
        <w:tabs>
          <w:tab w:pos="1194" w:val="left" w:leader="none"/>
          <w:tab w:pos="1195" w:val="left" w:leader="none"/>
        </w:tabs>
        <w:spacing w:line="273" w:lineRule="auto" w:before="100" w:after="0"/>
        <w:ind w:left="1194" w:right="2256" w:hanging="681"/>
        <w:jc w:val="left"/>
        <w:rPr>
          <w:sz w:val="18"/>
        </w:rPr>
      </w:pPr>
      <w:r>
        <w:rPr>
          <w:color w:val="231F20"/>
          <w:w w:val="110"/>
          <w:sz w:val="18"/>
        </w:rPr>
        <w:t>Promoted </w:t>
      </w:r>
      <w:r>
        <w:rPr>
          <w:i/>
          <w:color w:val="231F20"/>
          <w:w w:val="110"/>
          <w:sz w:val="18"/>
        </w:rPr>
        <w:t>Operation Noah </w:t>
      </w:r>
      <w:hyperlink r:id="rId160">
        <w:r>
          <w:rPr>
            <w:color w:val="231F20"/>
            <w:w w:val="110"/>
            <w:sz w:val="18"/>
          </w:rPr>
          <w:t>www.operationnoah.org </w:t>
        </w:r>
      </w:hyperlink>
      <w:r>
        <w:rPr>
          <w:color w:val="231F20"/>
          <w:w w:val="110"/>
          <w:sz w:val="18"/>
        </w:rPr>
        <w:t>– the churches’ campaign on climate change (Assembly</w:t>
      </w:r>
      <w:r>
        <w:rPr>
          <w:color w:val="231F20"/>
          <w:spacing w:val="6"/>
          <w:w w:val="110"/>
          <w:sz w:val="18"/>
        </w:rPr>
        <w:t> </w:t>
      </w:r>
      <w:r>
        <w:rPr>
          <w:color w:val="231F20"/>
          <w:spacing w:val="-3"/>
          <w:w w:val="110"/>
          <w:sz w:val="18"/>
        </w:rPr>
        <w:t>2004).</w:t>
      </w:r>
    </w:p>
    <w:p>
      <w:pPr>
        <w:pStyle w:val="ListParagraph"/>
        <w:numPr>
          <w:ilvl w:val="0"/>
          <w:numId w:val="134"/>
        </w:numPr>
        <w:tabs>
          <w:tab w:pos="1194" w:val="left" w:leader="none"/>
          <w:tab w:pos="1195" w:val="left" w:leader="none"/>
        </w:tabs>
        <w:spacing w:line="273" w:lineRule="auto" w:before="161" w:after="0"/>
        <w:ind w:left="1194" w:right="1739" w:hanging="681"/>
        <w:jc w:val="left"/>
        <w:rPr>
          <w:sz w:val="18"/>
        </w:rPr>
      </w:pPr>
      <w:r>
        <w:rPr>
          <w:color w:val="231F20"/>
          <w:w w:val="110"/>
          <w:sz w:val="18"/>
        </w:rPr>
        <w:t>In 2005 established with the Methodist Church ‘Creation Challenge’ an environmental network enabling those who are active on environmental </w:t>
      </w:r>
      <w:r>
        <w:rPr>
          <w:color w:val="231F20"/>
          <w:spacing w:val="2"/>
          <w:w w:val="110"/>
          <w:sz w:val="18"/>
        </w:rPr>
        <w:t>matters  </w:t>
      </w:r>
      <w:r>
        <w:rPr>
          <w:color w:val="231F20"/>
          <w:w w:val="110"/>
          <w:sz w:val="18"/>
        </w:rPr>
        <w:t>to pool ideas and </w:t>
      </w:r>
      <w:r>
        <w:rPr>
          <w:color w:val="231F20"/>
          <w:spacing w:val="2"/>
          <w:w w:val="110"/>
          <w:sz w:val="18"/>
        </w:rPr>
        <w:t>expertise </w:t>
      </w:r>
      <w:r>
        <w:rPr>
          <w:color w:val="231F20"/>
          <w:w w:val="110"/>
          <w:sz w:val="18"/>
        </w:rPr>
        <w:t>and to make </w:t>
      </w:r>
      <w:r>
        <w:rPr>
          <w:color w:val="231F20"/>
          <w:spacing w:val="2"/>
          <w:w w:val="110"/>
          <w:sz w:val="18"/>
        </w:rPr>
        <w:t>care </w:t>
      </w:r>
      <w:r>
        <w:rPr>
          <w:color w:val="231F20"/>
          <w:w w:val="110"/>
          <w:sz w:val="18"/>
        </w:rPr>
        <w:t>of God’s creation a central </w:t>
      </w:r>
      <w:r>
        <w:rPr>
          <w:color w:val="231F20"/>
          <w:spacing w:val="2"/>
          <w:w w:val="110"/>
          <w:sz w:val="18"/>
        </w:rPr>
        <w:t>part </w:t>
      </w:r>
      <w:r>
        <w:rPr>
          <w:color w:val="231F20"/>
          <w:w w:val="110"/>
          <w:sz w:val="18"/>
        </w:rPr>
        <w:t>of local church life and witness. The network is working with synod </w:t>
      </w:r>
      <w:r>
        <w:rPr>
          <w:color w:val="231F20"/>
          <w:spacing w:val="3"/>
          <w:w w:val="110"/>
          <w:sz w:val="18"/>
        </w:rPr>
        <w:t>property </w:t>
      </w:r>
      <w:r>
        <w:rPr>
          <w:color w:val="231F20"/>
          <w:spacing w:val="2"/>
          <w:w w:val="110"/>
          <w:sz w:val="18"/>
        </w:rPr>
        <w:t>officers</w:t>
      </w:r>
      <w:r>
        <w:rPr>
          <w:color w:val="231F20"/>
          <w:spacing w:val="73"/>
          <w:w w:val="110"/>
          <w:sz w:val="18"/>
        </w:rPr>
        <w:t> </w:t>
      </w:r>
      <w:r>
        <w:rPr>
          <w:color w:val="231F20"/>
          <w:w w:val="110"/>
          <w:sz w:val="18"/>
        </w:rPr>
        <w:t>to produce an audit regarding environmental friendliness, which could be added   to quinquennial surveys of church</w:t>
      </w:r>
      <w:r>
        <w:rPr>
          <w:color w:val="231F20"/>
          <w:spacing w:val="9"/>
          <w:w w:val="110"/>
          <w:sz w:val="18"/>
        </w:rPr>
        <w:t> </w:t>
      </w:r>
      <w:r>
        <w:rPr>
          <w:color w:val="231F20"/>
          <w:w w:val="110"/>
          <w:sz w:val="18"/>
        </w:rPr>
        <w:t>buildings.</w:t>
      </w:r>
    </w:p>
    <w:p>
      <w:pPr>
        <w:pStyle w:val="ListParagraph"/>
        <w:numPr>
          <w:ilvl w:val="0"/>
          <w:numId w:val="134"/>
        </w:numPr>
        <w:tabs>
          <w:tab w:pos="1194" w:val="left" w:leader="none"/>
          <w:tab w:pos="1195" w:val="left" w:leader="none"/>
        </w:tabs>
        <w:spacing w:line="273" w:lineRule="auto" w:before="164" w:after="0"/>
        <w:ind w:left="1194" w:right="2013" w:hanging="681"/>
        <w:jc w:val="left"/>
        <w:rPr>
          <w:sz w:val="18"/>
        </w:rPr>
      </w:pPr>
      <w:r>
        <w:rPr>
          <w:color w:val="231F20"/>
          <w:w w:val="110"/>
          <w:sz w:val="18"/>
        </w:rPr>
        <w:t>Is developing a </w:t>
      </w:r>
      <w:r>
        <w:rPr>
          <w:color w:val="231F20"/>
          <w:spacing w:val="2"/>
          <w:w w:val="110"/>
          <w:sz w:val="18"/>
        </w:rPr>
        <w:t>partnership </w:t>
      </w:r>
      <w:r>
        <w:rPr>
          <w:color w:val="231F20"/>
          <w:w w:val="110"/>
          <w:sz w:val="18"/>
        </w:rPr>
        <w:t>with the church and government of Kiribati, in the Pacific, to spread understanding of climate change issues and to take action on environmental damage in the</w:t>
      </w:r>
      <w:r>
        <w:rPr>
          <w:color w:val="231F20"/>
          <w:spacing w:val="6"/>
          <w:w w:val="110"/>
          <w:sz w:val="18"/>
        </w:rPr>
        <w:t> </w:t>
      </w:r>
      <w:r>
        <w:rPr>
          <w:color w:val="231F20"/>
          <w:w w:val="110"/>
          <w:sz w:val="18"/>
        </w:rPr>
        <w:t>Pacific.</w:t>
      </w:r>
    </w:p>
    <w:p>
      <w:pPr>
        <w:pStyle w:val="ListParagraph"/>
        <w:numPr>
          <w:ilvl w:val="0"/>
          <w:numId w:val="134"/>
        </w:numPr>
        <w:tabs>
          <w:tab w:pos="1194" w:val="left" w:leader="none"/>
          <w:tab w:pos="1195" w:val="left" w:leader="none"/>
        </w:tabs>
        <w:spacing w:line="273" w:lineRule="auto" w:before="162" w:after="0"/>
        <w:ind w:left="1194" w:right="1752" w:hanging="681"/>
        <w:jc w:val="left"/>
        <w:rPr>
          <w:sz w:val="18"/>
        </w:rPr>
      </w:pPr>
      <w:r>
        <w:rPr>
          <w:color w:val="231F20"/>
          <w:w w:val="110"/>
          <w:sz w:val="18"/>
        </w:rPr>
        <w:t>Is launching at Assembly </w:t>
      </w:r>
      <w:r>
        <w:rPr>
          <w:color w:val="231F20"/>
          <w:spacing w:val="-3"/>
          <w:w w:val="110"/>
          <w:sz w:val="18"/>
        </w:rPr>
        <w:t>2007 </w:t>
      </w:r>
      <w:r>
        <w:rPr>
          <w:color w:val="231F20"/>
          <w:spacing w:val="-7"/>
          <w:w w:val="110"/>
          <w:sz w:val="18"/>
        </w:rPr>
        <w:t>“</w:t>
      </w:r>
      <w:r>
        <w:rPr>
          <w:i/>
          <w:color w:val="231F20"/>
          <w:spacing w:val="-7"/>
          <w:w w:val="110"/>
          <w:sz w:val="18"/>
        </w:rPr>
        <w:t>At </w:t>
      </w:r>
      <w:r>
        <w:rPr>
          <w:i/>
          <w:color w:val="231F20"/>
          <w:w w:val="110"/>
          <w:sz w:val="18"/>
        </w:rPr>
        <w:t>the Water’s </w:t>
      </w:r>
      <w:r>
        <w:rPr>
          <w:i/>
          <w:color w:val="231F20"/>
          <w:spacing w:val="-3"/>
          <w:w w:val="110"/>
          <w:sz w:val="18"/>
        </w:rPr>
        <w:t>Edge</w:t>
      </w:r>
      <w:r>
        <w:rPr>
          <w:color w:val="231F20"/>
          <w:spacing w:val="-3"/>
          <w:w w:val="110"/>
          <w:sz w:val="18"/>
        </w:rPr>
        <w:t>”: </w:t>
      </w:r>
      <w:r>
        <w:rPr>
          <w:color w:val="231F20"/>
          <w:w w:val="110"/>
          <w:sz w:val="18"/>
        </w:rPr>
        <w:t>a Commitment for Life publication with Bible study and worship ideas reflecting the </w:t>
      </w:r>
      <w:r>
        <w:rPr>
          <w:color w:val="231F20"/>
          <w:spacing w:val="-3"/>
          <w:w w:val="110"/>
          <w:sz w:val="18"/>
        </w:rPr>
        <w:t>link </w:t>
      </w:r>
      <w:r>
        <w:rPr>
          <w:color w:val="231F20"/>
          <w:w w:val="110"/>
          <w:sz w:val="18"/>
        </w:rPr>
        <w:t>between climate change and poverty including stories from some of it’s four partner countries, Bangladesh,</w:t>
      </w:r>
      <w:r>
        <w:rPr>
          <w:color w:val="231F20"/>
          <w:spacing w:val="-11"/>
          <w:w w:val="110"/>
          <w:sz w:val="18"/>
        </w:rPr>
        <w:t> </w:t>
      </w:r>
      <w:r>
        <w:rPr>
          <w:color w:val="231F20"/>
          <w:w w:val="110"/>
          <w:sz w:val="18"/>
        </w:rPr>
        <w:t>Jamaica,</w:t>
      </w:r>
      <w:r>
        <w:rPr>
          <w:color w:val="231F20"/>
          <w:spacing w:val="-10"/>
          <w:w w:val="110"/>
          <w:sz w:val="18"/>
        </w:rPr>
        <w:t> </w:t>
      </w:r>
      <w:r>
        <w:rPr>
          <w:color w:val="231F20"/>
          <w:w w:val="110"/>
          <w:sz w:val="18"/>
        </w:rPr>
        <w:t>Israel</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Occupied</w:t>
      </w:r>
      <w:r>
        <w:rPr>
          <w:color w:val="231F20"/>
          <w:spacing w:val="-11"/>
          <w:w w:val="110"/>
          <w:sz w:val="18"/>
        </w:rPr>
        <w:t> </w:t>
      </w:r>
      <w:r>
        <w:rPr>
          <w:color w:val="231F20"/>
          <w:w w:val="110"/>
          <w:sz w:val="18"/>
        </w:rPr>
        <w:t>Palestinian</w:t>
      </w:r>
      <w:r>
        <w:rPr>
          <w:color w:val="231F20"/>
          <w:spacing w:val="-10"/>
          <w:w w:val="110"/>
          <w:sz w:val="18"/>
        </w:rPr>
        <w:t> </w:t>
      </w:r>
      <w:r>
        <w:rPr>
          <w:color w:val="231F20"/>
          <w:w w:val="110"/>
          <w:sz w:val="18"/>
        </w:rPr>
        <w:t>Territories</w:t>
      </w:r>
      <w:r>
        <w:rPr>
          <w:color w:val="231F20"/>
          <w:spacing w:val="-10"/>
          <w:w w:val="110"/>
          <w:sz w:val="18"/>
        </w:rPr>
        <w:t> </w:t>
      </w:r>
      <w:r>
        <w:rPr>
          <w:color w:val="231F20"/>
          <w:w w:val="110"/>
          <w:sz w:val="18"/>
        </w:rPr>
        <w:t>and</w:t>
      </w:r>
      <w:r>
        <w:rPr>
          <w:color w:val="231F20"/>
          <w:spacing w:val="-10"/>
          <w:w w:val="110"/>
          <w:sz w:val="18"/>
        </w:rPr>
        <w:t> </w:t>
      </w:r>
      <w:r>
        <w:rPr>
          <w:color w:val="231F20"/>
          <w:spacing w:val="-3"/>
          <w:w w:val="110"/>
          <w:sz w:val="18"/>
        </w:rPr>
        <w:t>Zimbabwe.</w:t>
      </w:r>
    </w:p>
    <w:p>
      <w:pPr>
        <w:pStyle w:val="BodyText"/>
        <w:spacing w:before="9"/>
        <w:rPr>
          <w:sz w:val="20"/>
        </w:rPr>
      </w:pPr>
    </w:p>
    <w:p>
      <w:pPr>
        <w:pStyle w:val="BodyText"/>
        <w:spacing w:line="273" w:lineRule="auto"/>
        <w:ind w:left="513" w:right="1844"/>
      </w:pPr>
      <w:r>
        <w:rPr>
          <w:color w:val="231F20"/>
          <w:w w:val="110"/>
        </w:rPr>
        <w:t>Climate change requires </w:t>
      </w:r>
      <w:r>
        <w:rPr>
          <w:color w:val="231F20"/>
          <w:spacing w:val="2"/>
          <w:w w:val="110"/>
        </w:rPr>
        <w:t>concerted </w:t>
      </w:r>
      <w:r>
        <w:rPr>
          <w:color w:val="231F20"/>
          <w:w w:val="110"/>
        </w:rPr>
        <w:t>decisive </w:t>
      </w:r>
      <w:r>
        <w:rPr>
          <w:color w:val="231F20"/>
          <w:spacing w:val="2"/>
          <w:w w:val="110"/>
        </w:rPr>
        <w:t>action </w:t>
      </w:r>
      <w:r>
        <w:rPr>
          <w:color w:val="231F20"/>
          <w:w w:val="110"/>
        </w:rPr>
        <w:t>by all civil society, governments, business, the voluntary </w:t>
      </w:r>
      <w:r>
        <w:rPr>
          <w:color w:val="231F20"/>
          <w:spacing w:val="2"/>
          <w:w w:val="110"/>
        </w:rPr>
        <w:t>sector </w:t>
      </w:r>
      <w:r>
        <w:rPr>
          <w:color w:val="231F20"/>
          <w:w w:val="110"/>
        </w:rPr>
        <w:t>including churches and all people. Current government </w:t>
      </w:r>
      <w:r>
        <w:rPr>
          <w:color w:val="231F20"/>
          <w:spacing w:val="2"/>
          <w:w w:val="110"/>
        </w:rPr>
        <w:t>targets </w:t>
      </w:r>
      <w:r>
        <w:rPr>
          <w:color w:val="231F20"/>
          <w:w w:val="110"/>
        </w:rPr>
        <w:t>are to achieve a 60% cut in </w:t>
      </w:r>
      <w:r>
        <w:rPr>
          <w:color w:val="231F20"/>
          <w:spacing w:val="2"/>
          <w:w w:val="110"/>
        </w:rPr>
        <w:t>carbon </w:t>
      </w:r>
      <w:r>
        <w:rPr>
          <w:color w:val="231F20"/>
          <w:w w:val="110"/>
        </w:rPr>
        <w:t>emissions </w:t>
      </w:r>
      <w:r>
        <w:rPr>
          <w:color w:val="231F20"/>
          <w:spacing w:val="2"/>
          <w:w w:val="110"/>
        </w:rPr>
        <w:t>from </w:t>
      </w:r>
      <w:r>
        <w:rPr>
          <w:color w:val="231F20"/>
          <w:w w:val="110"/>
        </w:rPr>
        <w:t>the 1990 level by</w:t>
      </w:r>
      <w:r>
        <w:rPr>
          <w:color w:val="231F20"/>
          <w:spacing w:val="66"/>
          <w:w w:val="110"/>
        </w:rPr>
        <w:t> </w:t>
      </w:r>
      <w:r>
        <w:rPr>
          <w:color w:val="231F20"/>
          <w:w w:val="110"/>
        </w:rPr>
        <w:t>2050.</w:t>
      </w:r>
    </w:p>
    <w:p>
      <w:pPr>
        <w:pStyle w:val="BodyText"/>
        <w:spacing w:line="273" w:lineRule="auto" w:before="2"/>
        <w:ind w:left="513" w:right="2142"/>
      </w:pPr>
      <w:r>
        <w:rPr>
          <w:color w:val="231F20"/>
          <w:spacing w:val="-3"/>
          <w:w w:val="110"/>
        </w:rPr>
        <w:t>However, </w:t>
      </w:r>
      <w:r>
        <w:rPr>
          <w:color w:val="231F20"/>
          <w:w w:val="110"/>
        </w:rPr>
        <w:t>it is increasingly recognised that even this level of cuts is too little too    late, with the poor bearing the highest cost. The church has an honourable </w:t>
      </w:r>
      <w:r>
        <w:rPr>
          <w:color w:val="231F20"/>
          <w:spacing w:val="2"/>
          <w:w w:val="110"/>
        </w:rPr>
        <w:t>record </w:t>
      </w:r>
      <w:r>
        <w:rPr>
          <w:color w:val="231F20"/>
          <w:w w:val="110"/>
        </w:rPr>
        <w:t>of campaigning</w:t>
      </w:r>
      <w:r>
        <w:rPr>
          <w:color w:val="231F20"/>
          <w:spacing w:val="10"/>
          <w:w w:val="110"/>
        </w:rPr>
        <w:t> </w:t>
      </w:r>
      <w:r>
        <w:rPr>
          <w:color w:val="231F20"/>
          <w:w w:val="110"/>
        </w:rPr>
        <w:t>and</w:t>
      </w:r>
      <w:r>
        <w:rPr>
          <w:color w:val="231F20"/>
          <w:spacing w:val="9"/>
          <w:w w:val="110"/>
        </w:rPr>
        <w:t> </w:t>
      </w:r>
      <w:r>
        <w:rPr>
          <w:color w:val="231F20"/>
          <w:w w:val="110"/>
        </w:rPr>
        <w:t>acting,</w:t>
      </w:r>
      <w:r>
        <w:rPr>
          <w:color w:val="231F20"/>
          <w:spacing w:val="10"/>
          <w:w w:val="110"/>
        </w:rPr>
        <w:t> </w:t>
      </w:r>
      <w:r>
        <w:rPr>
          <w:color w:val="231F20"/>
          <w:w w:val="110"/>
        </w:rPr>
        <w:t>most</w:t>
      </w:r>
      <w:r>
        <w:rPr>
          <w:color w:val="231F20"/>
          <w:spacing w:val="10"/>
          <w:w w:val="110"/>
        </w:rPr>
        <w:t> </w:t>
      </w:r>
      <w:r>
        <w:rPr>
          <w:color w:val="231F20"/>
          <w:w w:val="110"/>
        </w:rPr>
        <w:t>recently</w:t>
      </w:r>
      <w:r>
        <w:rPr>
          <w:color w:val="231F20"/>
          <w:spacing w:val="10"/>
          <w:w w:val="110"/>
        </w:rPr>
        <w:t> </w:t>
      </w:r>
      <w:r>
        <w:rPr>
          <w:color w:val="231F20"/>
          <w:w w:val="110"/>
        </w:rPr>
        <w:t>in</w:t>
      </w:r>
      <w:r>
        <w:rPr>
          <w:color w:val="231F20"/>
          <w:spacing w:val="10"/>
          <w:w w:val="110"/>
        </w:rPr>
        <w:t> </w:t>
      </w:r>
      <w:r>
        <w:rPr>
          <w:color w:val="231F20"/>
          <w:w w:val="110"/>
        </w:rPr>
        <w:t>debt</w:t>
      </w:r>
      <w:r>
        <w:rPr>
          <w:color w:val="231F20"/>
          <w:spacing w:val="10"/>
          <w:w w:val="110"/>
        </w:rPr>
        <w:t> </w:t>
      </w:r>
      <w:r>
        <w:rPr>
          <w:color w:val="231F20"/>
          <w:w w:val="110"/>
        </w:rPr>
        <w:t>and</w:t>
      </w:r>
      <w:r>
        <w:rPr>
          <w:color w:val="231F20"/>
          <w:spacing w:val="10"/>
          <w:w w:val="110"/>
        </w:rPr>
        <w:t> </w:t>
      </w:r>
      <w:r>
        <w:rPr>
          <w:color w:val="231F20"/>
          <w:w w:val="110"/>
        </w:rPr>
        <w:t>trade</w:t>
      </w:r>
      <w:r>
        <w:rPr>
          <w:color w:val="231F20"/>
          <w:spacing w:val="10"/>
          <w:w w:val="110"/>
        </w:rPr>
        <w:t> </w:t>
      </w:r>
      <w:r>
        <w:rPr>
          <w:color w:val="231F20"/>
          <w:w w:val="110"/>
        </w:rPr>
        <w:t>issues.</w:t>
      </w:r>
      <w:r>
        <w:rPr>
          <w:color w:val="231F20"/>
          <w:spacing w:val="10"/>
          <w:w w:val="110"/>
        </w:rPr>
        <w:t> </w:t>
      </w:r>
      <w:r>
        <w:rPr>
          <w:color w:val="231F20"/>
          <w:w w:val="110"/>
        </w:rPr>
        <w:t>It</w:t>
      </w:r>
      <w:r>
        <w:rPr>
          <w:color w:val="231F20"/>
          <w:spacing w:val="10"/>
          <w:w w:val="110"/>
        </w:rPr>
        <w:t> </w:t>
      </w:r>
      <w:r>
        <w:rPr>
          <w:color w:val="231F20"/>
          <w:w w:val="110"/>
        </w:rPr>
        <w:t>is</w:t>
      </w:r>
      <w:r>
        <w:rPr>
          <w:color w:val="231F20"/>
          <w:spacing w:val="10"/>
          <w:w w:val="110"/>
        </w:rPr>
        <w:t> </w:t>
      </w:r>
      <w:r>
        <w:rPr>
          <w:color w:val="231F20"/>
          <w:w w:val="110"/>
        </w:rPr>
        <w:t>important</w:t>
      </w:r>
      <w:r>
        <w:rPr>
          <w:color w:val="231F20"/>
          <w:spacing w:val="10"/>
          <w:w w:val="110"/>
        </w:rPr>
        <w:t> </w:t>
      </w:r>
      <w:r>
        <w:rPr>
          <w:color w:val="231F20"/>
          <w:w w:val="110"/>
        </w:rPr>
        <w:t>for</w:t>
      </w:r>
    </w:p>
    <w:p>
      <w:pPr>
        <w:pStyle w:val="BodyText"/>
        <w:spacing w:line="273" w:lineRule="auto" w:before="2"/>
        <w:ind w:left="513" w:right="1844"/>
      </w:pPr>
      <w:r>
        <w:rPr>
          <w:color w:val="231F20"/>
          <w:w w:val="110"/>
        </w:rPr>
        <w:t>the church to take a prophetic lead to act for the well being of the world including the poorest and as Christian witness. Recognising our common purpose, International Relations, Church and Society with Commitment for Life seek to work together with the whole church to reclaim a spirituality of caring for the whole of creation and encourage the whole church to act for the common good.</w:t>
      </w:r>
    </w:p>
    <w:p>
      <w:pPr>
        <w:pStyle w:val="BodyText"/>
        <w:rPr>
          <w:sz w:val="20"/>
        </w:rPr>
      </w:pPr>
    </w:p>
    <w:p>
      <w:pPr>
        <w:pStyle w:val="BodyText"/>
        <w:spacing w:before="11"/>
        <w:rPr>
          <w:sz w:val="21"/>
        </w:rPr>
      </w:pPr>
      <w:r>
        <w:rPr/>
        <w:pict>
          <v:group style="position:absolute;margin-left:42.025169pt;margin-top:15.280635pt;width:496.6pt;height:299.350pt;mso-position-horizontal-relative:page;mso-position-vertical-relative:paragraph;z-index:-251250688;mso-wrap-distance-left:0;mso-wrap-distance-right:0" coordorigin="841,306" coordsize="9932,5987">
            <v:rect style="position:absolute;left:1143;top:747;width:4016;height:288" filled="true" fillcolor="#d8dadc" stroked="false">
              <v:fill type="solid"/>
            </v:rect>
            <v:rect style="position:absolute;left:1143;top:419;width:159;height:328" filled="true" fillcolor="#d8dadc" stroked="false">
              <v:fill type="solid"/>
            </v:rect>
            <v:line style="position:absolute" from="1143,413" to="5159,413" stroked="true" strokeweight=".6pt" strokecolor="#d8dadc">
              <v:stroke dashstyle="solid"/>
            </v:line>
            <v:rect style="position:absolute;left:4743;top:419;width:416;height:327" filled="true" fillcolor="#d8dadc" stroked="false">
              <v:fill type="solid"/>
            </v:rect>
            <v:rect style="position:absolute;left:1301;top:419;width:3443;height:327" filled="true" fillcolor="#d8dadc" stroked="false">
              <v:fill type="solid"/>
            </v:rect>
            <v:shape style="position:absolute;left:840;top:355;width:9932;height:5937" type="#_x0000_t75" stroked="false">
              <v:imagedata r:id="rId412" o:title=""/>
            </v:shape>
            <v:shape style="position:absolute;left:1133;top:305;width:3789;height:1174" type="#_x0000_t202" filled="false" stroked="false">
              <v:textbox inset="0,0,0,0">
                <w:txbxContent>
                  <w:p>
                    <w:pPr>
                      <w:spacing w:before="2"/>
                      <w:ind w:left="122" w:right="0" w:firstLine="0"/>
                      <w:jc w:val="left"/>
                      <w:rPr>
                        <w:b/>
                        <w:sz w:val="50"/>
                      </w:rPr>
                    </w:pPr>
                    <w:r>
                      <w:rPr>
                        <w:b/>
                        <w:color w:val="FFFFFF"/>
                        <w:spacing w:val="2"/>
                        <w:w w:val="111"/>
                        <w:sz w:val="43"/>
                      </w:rPr>
                      <w:t>R</w:t>
                    </w:r>
                    <w:r>
                      <w:rPr>
                        <w:b/>
                        <w:color w:val="FFFFFF"/>
                        <w:spacing w:val="1"/>
                        <w:w w:val="111"/>
                        <w:sz w:val="43"/>
                      </w:rPr>
                      <w:t>E</w:t>
                    </w:r>
                    <w:r>
                      <w:rPr>
                        <w:b/>
                        <w:color w:val="FFFFFF"/>
                        <w:w w:val="111"/>
                        <w:sz w:val="43"/>
                      </w:rPr>
                      <w:t>S</w:t>
                    </w:r>
                    <w:r>
                      <w:rPr>
                        <w:b/>
                        <w:color w:val="FFFFFF"/>
                        <w:spacing w:val="-4"/>
                        <w:w w:val="111"/>
                        <w:sz w:val="43"/>
                      </w:rPr>
                      <w:t>O</w:t>
                    </w:r>
                    <w:r>
                      <w:rPr>
                        <w:b/>
                        <w:color w:val="FFFFFF"/>
                        <w:spacing w:val="-6"/>
                        <w:w w:val="111"/>
                        <w:sz w:val="43"/>
                      </w:rPr>
                      <w:t>L</w:t>
                    </w:r>
                    <w:r>
                      <w:rPr>
                        <w:b/>
                        <w:color w:val="FFFFFF"/>
                        <w:spacing w:val="-2"/>
                        <w:w w:val="111"/>
                        <w:sz w:val="43"/>
                      </w:rPr>
                      <w:t>U</w:t>
                    </w:r>
                    <w:r>
                      <w:rPr>
                        <w:b/>
                        <w:color w:val="FFFFFF"/>
                        <w:spacing w:val="3"/>
                        <w:w w:val="111"/>
                        <w:sz w:val="43"/>
                      </w:rPr>
                      <w:t>T</w:t>
                    </w:r>
                    <w:r>
                      <w:rPr>
                        <w:b/>
                        <w:color w:val="FFFFFF"/>
                        <w:spacing w:val="-15"/>
                        <w:w w:val="111"/>
                        <w:sz w:val="43"/>
                      </w:rPr>
                      <w:t>I</w:t>
                    </w:r>
                    <w:r>
                      <w:rPr>
                        <w:b/>
                        <w:color w:val="FFFFFF"/>
                        <w:spacing w:val="-257"/>
                        <w:w w:val="111"/>
                        <w:sz w:val="43"/>
                      </w:rPr>
                      <w:t>O</w:t>
                    </w:r>
                    <w:r>
                      <w:rPr>
                        <w:b/>
                        <w:color w:val="231F20"/>
                        <w:spacing w:val="-145"/>
                        <w:w w:val="112"/>
                        <w:position w:val="-19"/>
                        <w:sz w:val="50"/>
                      </w:rPr>
                      <w:t>4</w:t>
                    </w:r>
                    <w:r>
                      <w:rPr>
                        <w:b/>
                        <w:color w:val="FFFFFF"/>
                        <w:spacing w:val="-273"/>
                        <w:w w:val="111"/>
                        <w:sz w:val="43"/>
                      </w:rPr>
                      <w:t>N</w:t>
                    </w:r>
                    <w:r>
                      <w:rPr>
                        <w:b/>
                        <w:color w:val="231F20"/>
                        <w:spacing w:val="-12"/>
                        <w:w w:val="112"/>
                        <w:position w:val="-19"/>
                        <w:sz w:val="50"/>
                      </w:rPr>
                      <w:t>9</w:t>
                    </w:r>
                  </w:p>
                  <w:p>
                    <w:pPr>
                      <w:spacing w:before="215"/>
                      <w:ind w:left="0" w:right="0" w:firstLine="0"/>
                      <w:jc w:val="left"/>
                      <w:rPr>
                        <w:sz w:val="18"/>
                      </w:rPr>
                    </w:pPr>
                    <w:r>
                      <w:rPr>
                        <w:color w:val="231F20"/>
                        <w:w w:val="110"/>
                        <w:sz w:val="18"/>
                      </w:rPr>
                      <w:t>General Assembly</w:t>
                    </w:r>
                  </w:p>
                </w:txbxContent>
              </v:textbox>
              <w10:wrap type="none"/>
            </v:shape>
            <v:shape style="position:absolute;left:7751;top:741;width:1963;height:241" type="#_x0000_t202" filled="false" stroked="false">
              <v:textbox inset="0,0,0,0">
                <w:txbxContent>
                  <w:p>
                    <w:pPr>
                      <w:spacing w:line="241" w:lineRule="exact" w:before="0"/>
                      <w:ind w:left="0" w:right="0" w:firstLine="0"/>
                      <w:jc w:val="left"/>
                      <w:rPr>
                        <w:b/>
                        <w:sz w:val="20"/>
                      </w:rPr>
                    </w:pPr>
                    <w:r>
                      <w:rPr>
                        <w:b/>
                        <w:color w:val="231F20"/>
                        <w:w w:val="110"/>
                        <w:sz w:val="20"/>
                      </w:rPr>
                      <w:t>Climate Change</w:t>
                    </w:r>
                  </w:p>
                </w:txbxContent>
              </v:textbox>
              <w10:wrap type="none"/>
            </v:shape>
            <v:shape style="position:absolute;left:1133;top:1760;width:162;height:219" type="#_x0000_t202" filled="false" stroked="false">
              <v:textbox inset="0,0,0,0">
                <w:txbxContent>
                  <w:p>
                    <w:pPr>
                      <w:spacing w:before="0"/>
                      <w:ind w:left="0" w:right="0" w:firstLine="0"/>
                      <w:jc w:val="left"/>
                      <w:rPr>
                        <w:sz w:val="18"/>
                      </w:rPr>
                    </w:pPr>
                    <w:r>
                      <w:rPr>
                        <w:color w:val="231F20"/>
                        <w:w w:val="110"/>
                        <w:sz w:val="18"/>
                      </w:rPr>
                      <w:t>i)</w:t>
                    </w:r>
                  </w:p>
                </w:txbxContent>
              </v:textbox>
              <w10:wrap type="none"/>
            </v:shape>
            <v:shape style="position:absolute;left:1814;top:1760;width:8307;height:469" type="#_x0000_t202" filled="false" stroked="false">
              <v:textbox inset="0,0,0,0">
                <w:txbxContent>
                  <w:p>
                    <w:pPr>
                      <w:spacing w:before="0"/>
                      <w:ind w:left="0" w:right="0" w:firstLine="0"/>
                      <w:jc w:val="left"/>
                      <w:rPr>
                        <w:sz w:val="18"/>
                      </w:rPr>
                    </w:pPr>
                    <w:r>
                      <w:rPr>
                        <w:color w:val="231F20"/>
                        <w:w w:val="110"/>
                        <w:sz w:val="18"/>
                      </w:rPr>
                      <w:t>notes with approval the work already underway on climate change, and reaffirms</w:t>
                    </w:r>
                  </w:p>
                  <w:p>
                    <w:pPr>
                      <w:spacing w:before="31"/>
                      <w:ind w:left="0" w:right="0" w:firstLine="0"/>
                      <w:jc w:val="left"/>
                      <w:rPr>
                        <w:sz w:val="18"/>
                      </w:rPr>
                    </w:pPr>
                    <w:r>
                      <w:rPr>
                        <w:color w:val="231F20"/>
                        <w:w w:val="110"/>
                        <w:sz w:val="18"/>
                      </w:rPr>
                      <w:t>the need to build this into the whole life of the Local Church;</w:t>
                    </w:r>
                  </w:p>
                </w:txbxContent>
              </v:textbox>
              <w10:wrap type="none"/>
            </v:shape>
            <v:shape style="position:absolute;left:1133;top:2510;width:217;height:219" type="#_x0000_t202" filled="false" stroked="false">
              <v:textbox inset="0,0,0,0">
                <w:txbxContent>
                  <w:p>
                    <w:pPr>
                      <w:spacing w:before="0"/>
                      <w:ind w:left="0" w:right="0" w:firstLine="0"/>
                      <w:jc w:val="left"/>
                      <w:rPr>
                        <w:sz w:val="18"/>
                      </w:rPr>
                    </w:pPr>
                    <w:r>
                      <w:rPr>
                        <w:color w:val="231F20"/>
                        <w:w w:val="110"/>
                        <w:sz w:val="18"/>
                      </w:rPr>
                      <w:t>ii)</w:t>
                    </w:r>
                  </w:p>
                </w:txbxContent>
              </v:textbox>
              <w10:wrap type="none"/>
            </v:shape>
            <v:shape style="position:absolute;left:1814;top:2510;width:8025;height:469" type="#_x0000_t202" filled="false" stroked="false">
              <v:textbox inset="0,0,0,0">
                <w:txbxContent>
                  <w:p>
                    <w:pPr>
                      <w:spacing w:line="273" w:lineRule="auto" w:before="0"/>
                      <w:ind w:left="0" w:right="0" w:firstLine="0"/>
                      <w:jc w:val="left"/>
                      <w:rPr>
                        <w:sz w:val="18"/>
                      </w:rPr>
                    </w:pPr>
                    <w:r>
                      <w:rPr>
                        <w:color w:val="231F20"/>
                        <w:w w:val="110"/>
                        <w:sz w:val="18"/>
                      </w:rPr>
                      <w:t>recognises that all society, including the United Reformed Church, must shrink its carbon footprint;</w:t>
                    </w:r>
                  </w:p>
                </w:txbxContent>
              </v:textbox>
              <w10:wrap type="none"/>
            </v:shape>
            <v:shape style="position:absolute;left:1133;top:3260;width:271;height:219" type="#_x0000_t202" filled="false" stroked="false">
              <v:textbox inset="0,0,0,0">
                <w:txbxContent>
                  <w:p>
                    <w:pPr>
                      <w:spacing w:before="0"/>
                      <w:ind w:left="0" w:right="0" w:firstLine="0"/>
                      <w:jc w:val="left"/>
                      <w:rPr>
                        <w:sz w:val="18"/>
                      </w:rPr>
                    </w:pPr>
                    <w:r>
                      <w:rPr>
                        <w:color w:val="231F20"/>
                        <w:w w:val="110"/>
                        <w:sz w:val="18"/>
                      </w:rPr>
                      <w:t>iii)</w:t>
                    </w:r>
                  </w:p>
                </w:txbxContent>
              </v:textbox>
              <w10:wrap type="none"/>
            </v:shape>
            <v:shape style="position:absolute;left:1814;top:3260;width:8312;height:1969" type="#_x0000_t202" filled="false" stroked="false">
              <v:textbox inset="0,0,0,0">
                <w:txbxContent>
                  <w:p>
                    <w:pPr>
                      <w:spacing w:before="0"/>
                      <w:ind w:left="0" w:right="0" w:firstLine="0"/>
                      <w:jc w:val="left"/>
                      <w:rPr>
                        <w:sz w:val="18"/>
                      </w:rPr>
                    </w:pPr>
                    <w:r>
                      <w:rPr>
                        <w:color w:val="231F20"/>
                        <w:w w:val="110"/>
                        <w:sz w:val="18"/>
                      </w:rPr>
                      <w:t>calls upon the Church and Society Committee</w:t>
                    </w:r>
                  </w:p>
                  <w:p>
                    <w:pPr>
                      <w:numPr>
                        <w:ilvl w:val="0"/>
                        <w:numId w:val="135"/>
                      </w:numPr>
                      <w:tabs>
                        <w:tab w:pos="341" w:val="left" w:leader="none"/>
                      </w:tabs>
                      <w:spacing w:before="31"/>
                      <w:ind w:left="340" w:right="0" w:hanging="341"/>
                      <w:jc w:val="left"/>
                      <w:rPr>
                        <w:sz w:val="18"/>
                      </w:rPr>
                    </w:pPr>
                    <w:r>
                      <w:rPr>
                        <w:color w:val="231F20"/>
                        <w:w w:val="110"/>
                        <w:sz w:val="18"/>
                      </w:rPr>
                      <w:t>to</w:t>
                    </w:r>
                    <w:r>
                      <w:rPr>
                        <w:color w:val="231F20"/>
                        <w:spacing w:val="11"/>
                        <w:w w:val="110"/>
                        <w:sz w:val="18"/>
                      </w:rPr>
                      <w:t> </w:t>
                    </w:r>
                    <w:r>
                      <w:rPr>
                        <w:color w:val="231F20"/>
                        <w:w w:val="110"/>
                        <w:sz w:val="18"/>
                      </w:rPr>
                      <w:t>determine</w:t>
                    </w:r>
                    <w:r>
                      <w:rPr>
                        <w:color w:val="231F20"/>
                        <w:spacing w:val="11"/>
                        <w:w w:val="110"/>
                        <w:sz w:val="18"/>
                      </w:rPr>
                      <w:t> </w:t>
                    </w:r>
                    <w:r>
                      <w:rPr>
                        <w:color w:val="231F20"/>
                        <w:w w:val="110"/>
                        <w:sz w:val="18"/>
                      </w:rPr>
                      <w:t>how</w:t>
                    </w:r>
                    <w:r>
                      <w:rPr>
                        <w:color w:val="231F20"/>
                        <w:spacing w:val="11"/>
                        <w:w w:val="110"/>
                        <w:sz w:val="18"/>
                      </w:rPr>
                      <w:t> </w:t>
                    </w:r>
                    <w:r>
                      <w:rPr>
                        <w:color w:val="231F20"/>
                        <w:spacing w:val="2"/>
                        <w:w w:val="110"/>
                        <w:sz w:val="18"/>
                      </w:rPr>
                      <w:t>carbon</w:t>
                    </w:r>
                    <w:r>
                      <w:rPr>
                        <w:color w:val="231F20"/>
                        <w:spacing w:val="12"/>
                        <w:w w:val="110"/>
                        <w:sz w:val="18"/>
                      </w:rPr>
                      <w:t> </w:t>
                    </w:r>
                    <w:r>
                      <w:rPr>
                        <w:color w:val="231F20"/>
                        <w:w w:val="110"/>
                        <w:sz w:val="18"/>
                      </w:rPr>
                      <w:t>emissions</w:t>
                    </w:r>
                    <w:r>
                      <w:rPr>
                        <w:color w:val="231F20"/>
                        <w:spacing w:val="11"/>
                        <w:w w:val="110"/>
                        <w:sz w:val="18"/>
                      </w:rPr>
                      <w:t> </w:t>
                    </w:r>
                    <w:r>
                      <w:rPr>
                        <w:color w:val="231F20"/>
                        <w:w w:val="110"/>
                        <w:sz w:val="18"/>
                      </w:rPr>
                      <w:t>can</w:t>
                    </w:r>
                    <w:r>
                      <w:rPr>
                        <w:color w:val="231F20"/>
                        <w:spacing w:val="11"/>
                        <w:w w:val="110"/>
                        <w:sz w:val="18"/>
                      </w:rPr>
                      <w:t> </w:t>
                    </w:r>
                    <w:r>
                      <w:rPr>
                        <w:color w:val="231F20"/>
                        <w:spacing w:val="2"/>
                        <w:w w:val="110"/>
                        <w:sz w:val="18"/>
                      </w:rPr>
                      <w:t>best</w:t>
                    </w:r>
                    <w:r>
                      <w:rPr>
                        <w:color w:val="231F20"/>
                        <w:spacing w:val="11"/>
                        <w:w w:val="110"/>
                        <w:sz w:val="18"/>
                      </w:rPr>
                      <w:t> </w:t>
                    </w:r>
                    <w:r>
                      <w:rPr>
                        <w:color w:val="231F20"/>
                        <w:w w:val="110"/>
                        <w:sz w:val="18"/>
                      </w:rPr>
                      <w:t>be</w:t>
                    </w:r>
                    <w:r>
                      <w:rPr>
                        <w:color w:val="231F20"/>
                        <w:spacing w:val="12"/>
                        <w:w w:val="110"/>
                        <w:sz w:val="18"/>
                      </w:rPr>
                      <w:t> </w:t>
                    </w:r>
                    <w:r>
                      <w:rPr>
                        <w:color w:val="231F20"/>
                        <w:w w:val="110"/>
                        <w:sz w:val="18"/>
                      </w:rPr>
                      <w:t>monitored</w:t>
                    </w:r>
                    <w:r>
                      <w:rPr>
                        <w:color w:val="231F20"/>
                        <w:spacing w:val="11"/>
                        <w:w w:val="110"/>
                        <w:sz w:val="18"/>
                      </w:rPr>
                      <w:t> </w:t>
                    </w:r>
                    <w:r>
                      <w:rPr>
                        <w:color w:val="231F20"/>
                        <w:spacing w:val="2"/>
                        <w:w w:val="110"/>
                        <w:sz w:val="18"/>
                      </w:rPr>
                      <w:t>across</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church;</w:t>
                    </w:r>
                  </w:p>
                  <w:p>
                    <w:pPr>
                      <w:numPr>
                        <w:ilvl w:val="0"/>
                        <w:numId w:val="135"/>
                      </w:numPr>
                      <w:tabs>
                        <w:tab w:pos="341" w:val="left" w:leader="none"/>
                      </w:tabs>
                      <w:spacing w:line="273" w:lineRule="auto" w:before="31"/>
                      <w:ind w:left="340" w:right="133" w:hanging="341"/>
                      <w:jc w:val="left"/>
                      <w:rPr>
                        <w:sz w:val="18"/>
                      </w:rPr>
                    </w:pPr>
                    <w:r>
                      <w:rPr>
                        <w:color w:val="231F20"/>
                        <w:w w:val="110"/>
                        <w:sz w:val="18"/>
                      </w:rPr>
                      <w:t>to develop plans in consultation with the relevant agents of the church to implement year on year cuts in </w:t>
                    </w:r>
                    <w:r>
                      <w:rPr>
                        <w:color w:val="231F20"/>
                        <w:spacing w:val="2"/>
                        <w:w w:val="110"/>
                        <w:sz w:val="18"/>
                      </w:rPr>
                      <w:t>carbon </w:t>
                    </w:r>
                    <w:r>
                      <w:rPr>
                        <w:color w:val="231F20"/>
                        <w:w w:val="110"/>
                        <w:sz w:val="18"/>
                      </w:rPr>
                      <w:t>emissions using the </w:t>
                    </w:r>
                    <w:r>
                      <w:rPr>
                        <w:color w:val="231F20"/>
                        <w:spacing w:val="2"/>
                        <w:w w:val="110"/>
                        <w:sz w:val="18"/>
                      </w:rPr>
                      <w:t>expertise </w:t>
                    </w:r>
                    <w:r>
                      <w:rPr>
                        <w:color w:val="231F20"/>
                        <w:w w:val="110"/>
                        <w:sz w:val="18"/>
                      </w:rPr>
                      <w:t>of such groups as Eco-Congregations, Operation Noah, Creation Challenge and the Joint Public Issues</w:t>
                    </w:r>
                    <w:r>
                      <w:rPr>
                        <w:color w:val="231F20"/>
                        <w:spacing w:val="3"/>
                        <w:w w:val="110"/>
                        <w:sz w:val="18"/>
                      </w:rPr>
                      <w:t> </w:t>
                    </w:r>
                    <w:r>
                      <w:rPr>
                        <w:color w:val="231F20"/>
                        <w:spacing w:val="-5"/>
                        <w:w w:val="110"/>
                        <w:sz w:val="18"/>
                      </w:rPr>
                      <w:t>Team;</w:t>
                    </w:r>
                  </w:p>
                  <w:p>
                    <w:pPr>
                      <w:numPr>
                        <w:ilvl w:val="0"/>
                        <w:numId w:val="135"/>
                      </w:numPr>
                      <w:tabs>
                        <w:tab w:pos="341" w:val="left" w:leader="none"/>
                      </w:tabs>
                      <w:spacing w:before="3"/>
                      <w:ind w:left="340" w:right="0" w:hanging="341"/>
                      <w:jc w:val="left"/>
                      <w:rPr>
                        <w:sz w:val="18"/>
                      </w:rPr>
                    </w:pPr>
                    <w:r>
                      <w:rPr>
                        <w:color w:val="231F20"/>
                        <w:w w:val="110"/>
                        <w:sz w:val="18"/>
                      </w:rPr>
                      <w:t>to roll this out </w:t>
                    </w:r>
                    <w:r>
                      <w:rPr>
                        <w:color w:val="231F20"/>
                        <w:spacing w:val="2"/>
                        <w:w w:val="110"/>
                        <w:sz w:val="18"/>
                      </w:rPr>
                      <w:t>across </w:t>
                    </w:r>
                    <w:r>
                      <w:rPr>
                        <w:color w:val="231F20"/>
                        <w:w w:val="110"/>
                        <w:sz w:val="18"/>
                      </w:rPr>
                      <w:t>the church,</w:t>
                    </w:r>
                    <w:r>
                      <w:rPr>
                        <w:color w:val="231F20"/>
                        <w:spacing w:val="8"/>
                        <w:w w:val="110"/>
                        <w:sz w:val="18"/>
                      </w:rPr>
                      <w:t> </w:t>
                    </w:r>
                    <w:r>
                      <w:rPr>
                        <w:color w:val="231F20"/>
                        <w:w w:val="110"/>
                        <w:sz w:val="18"/>
                      </w:rPr>
                      <w:t>and</w:t>
                    </w:r>
                  </w:p>
                  <w:p>
                    <w:pPr>
                      <w:numPr>
                        <w:ilvl w:val="0"/>
                        <w:numId w:val="135"/>
                      </w:numPr>
                      <w:tabs>
                        <w:tab w:pos="341" w:val="left" w:leader="none"/>
                      </w:tabs>
                      <w:spacing w:before="31"/>
                      <w:ind w:left="340" w:right="0" w:hanging="341"/>
                      <w:jc w:val="left"/>
                      <w:rPr>
                        <w:sz w:val="18"/>
                      </w:rPr>
                    </w:pPr>
                    <w:r>
                      <w:rPr>
                        <w:color w:val="231F20"/>
                        <w:w w:val="110"/>
                        <w:sz w:val="18"/>
                      </w:rPr>
                      <w:t>to </w:t>
                    </w:r>
                    <w:r>
                      <w:rPr>
                        <w:color w:val="231F20"/>
                        <w:spacing w:val="3"/>
                        <w:w w:val="110"/>
                        <w:sz w:val="18"/>
                      </w:rPr>
                      <w:t>report </w:t>
                    </w:r>
                    <w:r>
                      <w:rPr>
                        <w:color w:val="231F20"/>
                        <w:w w:val="110"/>
                        <w:sz w:val="18"/>
                      </w:rPr>
                      <w:t>annually to the</w:t>
                    </w:r>
                    <w:r>
                      <w:rPr>
                        <w:color w:val="231F20"/>
                        <w:spacing w:val="2"/>
                        <w:w w:val="110"/>
                        <w:sz w:val="18"/>
                      </w:rPr>
                      <w:t> </w:t>
                    </w:r>
                    <w:r>
                      <w:rPr>
                        <w:color w:val="231F20"/>
                        <w:w w:val="110"/>
                        <w:sz w:val="18"/>
                      </w:rPr>
                      <w:t>Trustees;</w:t>
                    </w:r>
                  </w:p>
                </w:txbxContent>
              </v:textbox>
              <w10:wrap type="none"/>
            </v:shape>
            <v:shape style="position:absolute;left:1134;top:5510;width:264;height:219" type="#_x0000_t202" filled="false" stroked="false">
              <v:textbox inset="0,0,0,0">
                <w:txbxContent>
                  <w:p>
                    <w:pPr>
                      <w:spacing w:before="0"/>
                      <w:ind w:left="0" w:right="0" w:firstLine="0"/>
                      <w:jc w:val="left"/>
                      <w:rPr>
                        <w:sz w:val="18"/>
                      </w:rPr>
                    </w:pPr>
                    <w:r>
                      <w:rPr>
                        <w:color w:val="231F20"/>
                        <w:w w:val="110"/>
                        <w:sz w:val="18"/>
                      </w:rPr>
                      <w:t>iv)</w:t>
                    </w:r>
                  </w:p>
                </w:txbxContent>
              </v:textbox>
              <w10:wrap type="none"/>
            </v:shape>
            <v:shape style="position:absolute;left:1814;top:5510;width:7475;height:469" type="#_x0000_t202" filled="false" stroked="false">
              <v:textbox inset="0,0,0,0">
                <w:txbxContent>
                  <w:p>
                    <w:pPr>
                      <w:spacing w:line="273" w:lineRule="auto" w:before="0"/>
                      <w:ind w:left="0" w:right="18" w:firstLine="0"/>
                      <w:jc w:val="left"/>
                      <w:rPr>
                        <w:sz w:val="18"/>
                      </w:rPr>
                    </w:pPr>
                    <w:r>
                      <w:rPr>
                        <w:color w:val="231F20"/>
                        <w:w w:val="110"/>
                        <w:sz w:val="18"/>
                      </w:rPr>
                      <w:t>calls upon Local Churches to strive to safeguard the integrity of creation, to sustain and renew the life of the earth.</w:t>
                    </w:r>
                  </w:p>
                </w:txbxContent>
              </v:textbox>
              <w10:wrap type="none"/>
            </v:shape>
            <w10:wrap type="topAndBottom"/>
          </v:group>
        </w:pict>
      </w:r>
    </w:p>
    <w:p>
      <w:pPr>
        <w:spacing w:after="0"/>
        <w:rPr>
          <w:sz w:val="21"/>
        </w:rPr>
        <w:sectPr>
          <w:headerReference w:type="even" r:id="rId410"/>
          <w:footerReference w:type="even" r:id="rId411"/>
          <w:pgSz w:w="11910" w:h="16840"/>
          <w:pgMar w:header="0" w:footer="564" w:top="460" w:bottom="760" w:left="620" w:right="0"/>
          <w:pgNumType w:start="2"/>
        </w:sectPr>
      </w:pPr>
    </w:p>
    <w:p>
      <w:pPr>
        <w:pStyle w:val="BodyText"/>
        <w:rPr>
          <w:sz w:val="20"/>
        </w:rPr>
      </w:pPr>
      <w:r>
        <w:rPr/>
        <w:pict>
          <v:shape style="position:absolute;margin-left:556.559326pt;margin-top:801.550232pt;width:7.55pt;height:12pt;mso-position-horizontal-relative:page;mso-position-vertical-relative:page;z-index:-275197952" type="#_x0000_t202" filled="false" stroked="false">
            <v:textbox inset="0,0,0,0">
              <w:txbxContent>
                <w:p>
                  <w:pPr>
                    <w:spacing w:line="240" w:lineRule="exact" w:before="0"/>
                    <w:ind w:left="0" w:right="0" w:firstLine="0"/>
                    <w:jc w:val="left"/>
                    <w:rPr>
                      <w:rFonts w:ascii="Eurostile Bold"/>
                      <w:b/>
                      <w:sz w:val="24"/>
                    </w:rPr>
                  </w:pPr>
                  <w:r>
                    <w:rPr>
                      <w:rFonts w:ascii="Eurostile Bold"/>
                      <w:b/>
                      <w:color w:val="231F20"/>
                      <w:w w:val="87"/>
                      <w:sz w:val="24"/>
                    </w:rPr>
                    <w:t>1</w:t>
                  </w:r>
                </w:p>
              </w:txbxContent>
            </v:textbox>
            <w10:wrap type="none"/>
          </v:shape>
        </w:pict>
      </w:r>
      <w:r>
        <w:rPr/>
        <w:pict>
          <v:group style="position:absolute;margin-left:0pt;margin-top:.003015pt;width:595.3pt;height:841.9pt;mso-position-horizontal-relative:page;mso-position-vertical-relative:page;z-index:-275188736" coordorigin="0,0" coordsize="11906,16838">
            <v:shape style="position:absolute;left:3893;top:3061;width:5600;height:3322" coordorigin="3894,3061" coordsize="5600,3322" path="m9494,3061l4718,3061,3894,3061,3894,6383,4718,6383,9494,6383,9494,3061e" filled="true" fillcolor="#a7a9ac" stroked="false">
              <v:path arrowok="t"/>
              <v:fill type="solid"/>
            </v:shape>
            <v:shape style="position:absolute;left:0;top:0;width:4207;height:4212" type="#_x0000_t75" stroked="false">
              <v:imagedata r:id="rId415" o:title=""/>
            </v:shape>
            <v:shape style="position:absolute;left:4197;top:0;width:4911;height:3062" type="#_x0000_t75" stroked="false">
              <v:imagedata r:id="rId416" o:title=""/>
            </v:shape>
            <v:shape style="position:absolute;left:9097;top:0;width:2808;height:6319" type="#_x0000_t75" stroked="false">
              <v:imagedata r:id="rId417" o:title=""/>
            </v:shape>
            <v:shape style="position:absolute;left:4898;top:6383;width:4210;height:4144" type="#_x0000_t75" stroked="false">
              <v:imagedata r:id="rId418" o:title=""/>
            </v:shape>
            <v:shape style="position:absolute;left:9097;top:6308;width:2808;height:6326" type="#_x0000_t75" stroked="false">
              <v:imagedata r:id="rId419" o:title=""/>
            </v:shape>
            <v:shape style="position:absolute;left:4197;top:13731;width:711;height:3107" type="#_x0000_t75" stroked="false">
              <v:imagedata r:id="rId420" o:title=""/>
            </v:shape>
            <v:shape style="position:absolute;left:0;top:4201;width:4207;height:12636" type="#_x0000_t75" stroked="false">
              <v:imagedata r:id="rId421" o:title=""/>
            </v:shape>
            <v:shape style="position:absolute;left:4898;top:10517;width:4210;height:4219" type="#_x0000_t75" stroked="false">
              <v:imagedata r:id="rId422" o:title=""/>
            </v:shape>
            <v:shape style="position:absolute;left:9097;top:12624;width:2808;height:4214" type="#_x0000_t75" stroked="false">
              <v:imagedata r:id="rId423" o:title=""/>
            </v:shape>
            <v:shape style="position:absolute;left:4898;top:14726;width:4210;height:2112" type="#_x0000_t75" stroked="false">
              <v:imagedata r:id="rId424" o:title=""/>
            </v:shape>
            <v:shape style="position:absolute;left:10126;top:1802;width:808;height:7897" type="#_x0000_t75" stroked="false">
              <v:imagedata r:id="rId425" o:title=""/>
            </v:shape>
            <v:shape style="position:absolute;left:11147;top:16062;width:90;height:161" type="#_x0000_t75" stroked="false">
              <v:imagedata r:id="rId426" o:title=""/>
            </v:shape>
            <v:shape style="position:absolute;left:3893;top:3061;width:5600;height:3322" type="#_x0000_t75" stroked="false">
              <v:imagedata r:id="rId427" o:title=""/>
            </v:shape>
            <v:shape style="position:absolute;left:4157;top:3699;width:115;height:190" type="#_x0000_t75" stroked="false">
              <v:imagedata r:id="rId428" o:title=""/>
            </v:shape>
            <v:shape style="position:absolute;left:6520;top:3308;width:2764;height:391" type="#_x0000_t75" stroked="false">
              <v:imagedata r:id="rId429" o:title=""/>
            </v:shape>
            <v:shape style="position:absolute;left:7920;top:3832;width:1380;height:168" type="#_x0000_t75" stroked="false">
              <v:imagedata r:id="rId430" o:title=""/>
            </v:shape>
            <v:shape style="position:absolute;left:5059;top:4081;width:4226;height:210" type="#_x0000_t75" stroked="false">
              <v:imagedata r:id="rId431" o:title=""/>
            </v:shape>
            <v:shape style="position:absolute;left:4157;top:5360;width:241;height:190" type="#_x0000_t75" stroked="false">
              <v:imagedata r:id="rId432" o:title=""/>
            </v:shape>
            <v:shape style="position:absolute;left:6520;top:4950;width:2754;height:391" type="#_x0000_t75" stroked="false">
              <v:imagedata r:id="rId429" o:title=""/>
            </v:shape>
            <v:shape style="position:absolute;left:4942;top:5494;width:4358;height:231" type="#_x0000_t75" stroked="false">
              <v:imagedata r:id="rId433" o:title=""/>
            </v:shape>
            <v:shape style="position:absolute;left:8412;top:5769;width:874;height:161" type="#_x0000_t75" stroked="false">
              <v:imagedata r:id="rId434" o:title=""/>
            </v:shape>
            <v:shape style="position:absolute;left:9859;top:8547;width:317;height:3736" type="#_x0000_t75" stroked="false">
              <v:imagedata r:id="rId435" o:title=""/>
            </v:shape>
            <v:shape style="position:absolute;left:10126;top:8547;width:50;height:1152" type="#_x0000_t75" stroked="false">
              <v:imagedata r:id="rId43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550" w:lineRule="exact" w:before="105"/>
        <w:ind w:left="5861" w:right="0" w:firstLine="0"/>
        <w:jc w:val="left"/>
        <w:rPr>
          <w:b/>
          <w:sz w:val="52"/>
        </w:rPr>
      </w:pPr>
      <w:r>
        <w:rPr/>
        <w:pict>
          <v:shape style="position:absolute;margin-left:207.203995pt;margin-top:28.534229pt;width:7.15pt;height:15.2pt;mso-position-horizontal-relative:page;mso-position-vertical-relative:paragraph;z-index:-275196928" type="#_x0000_t202" filled="false" stroked="false">
            <v:textbox inset="0,0,0,0">
              <w:txbxContent>
                <w:p>
                  <w:pPr>
                    <w:spacing w:before="0"/>
                    <w:ind w:left="0" w:right="0" w:firstLine="0"/>
                    <w:jc w:val="left"/>
                    <w:rPr>
                      <w:b/>
                      <w:sz w:val="25"/>
                    </w:rPr>
                  </w:pPr>
                  <w:r>
                    <w:rPr>
                      <w:b/>
                      <w:color w:val="FFFFFF"/>
                      <w:w w:val="80"/>
                      <w:sz w:val="25"/>
                    </w:rPr>
                    <w:t>3</w:t>
                  </w:r>
                </w:p>
              </w:txbxContent>
            </v:textbox>
            <w10:wrap type="none"/>
          </v:shape>
        </w:pict>
      </w:r>
      <w:r>
        <w:rPr/>
        <w:pict>
          <v:shape style="position:absolute;margin-left:324.056305pt;margin-top:4.998676pt;width:141pt;height:31.95pt;mso-position-horizontal-relative:page;mso-position-vertical-relative:paragraph;z-index:-275195904" type="#_x0000_t202" filled="false" stroked="false">
            <v:textbox inset="0,0,0,0">
              <w:txbxContent>
                <w:p>
                  <w:pPr>
                    <w:spacing w:before="5"/>
                    <w:ind w:left="0" w:right="0" w:firstLine="0"/>
                    <w:jc w:val="left"/>
                    <w:rPr>
                      <w:b/>
                      <w:sz w:val="52"/>
                    </w:rPr>
                  </w:pPr>
                  <w:r>
                    <w:rPr>
                      <w:b/>
                      <w:color w:val="FFFFFF"/>
                      <w:w w:val="80"/>
                      <w:sz w:val="52"/>
                    </w:rPr>
                    <w:t>Document 4</w:t>
                  </w:r>
                </w:p>
              </w:txbxContent>
            </v:textbox>
            <w10:wrap type="none"/>
          </v:shape>
        </w:pict>
      </w:r>
      <w:r>
        <w:rPr/>
        <w:pict>
          <v:shape style="position:absolute;margin-left:492.100189pt;margin-top:-66.233734pt;width:65.9pt;height:529.7pt;mso-position-horizontal-relative:page;mso-position-vertical-relative:paragraph;z-index:252077056" type="#_x0000_t202" filled="false" stroked="false">
            <v:textbox inset="0,0,0,0" style="layout-flow:vertical">
              <w:txbxContent>
                <w:p>
                  <w:pPr>
                    <w:spacing w:line="936" w:lineRule="exact" w:before="20"/>
                    <w:ind w:left="20" w:right="0" w:firstLine="0"/>
                    <w:jc w:val="left"/>
                    <w:rPr>
                      <w:b/>
                      <w:sz w:val="84"/>
                    </w:rPr>
                  </w:pPr>
                  <w:r>
                    <w:rPr>
                      <w:b/>
                      <w:sz w:val="84"/>
                    </w:rPr>
                    <w:t>Section O Papers</w:t>
                  </w:r>
                </w:p>
                <w:p>
                  <w:pPr>
                    <w:spacing w:line="360" w:lineRule="exact" w:before="0"/>
                    <w:ind w:left="6796" w:right="0" w:firstLine="0"/>
                    <w:jc w:val="left"/>
                    <w:rPr>
                      <w:rFonts w:ascii="Eurostile Bold"/>
                      <w:b/>
                      <w:sz w:val="36"/>
                    </w:rPr>
                  </w:pPr>
                  <w:r>
                    <w:rPr>
                      <w:rFonts w:ascii="Eurostile Bold"/>
                      <w:b/>
                      <w:w w:val="85"/>
                      <w:sz w:val="36"/>
                    </w:rPr>
                    <w:t>General Assembly 2007</w:t>
                  </w:r>
                </w:p>
              </w:txbxContent>
            </v:textbox>
            <w10:wrap type="none"/>
          </v:shape>
        </w:pict>
      </w:r>
      <w:r>
        <w:rPr>
          <w:b/>
          <w:spacing w:val="-3"/>
          <w:w w:val="80"/>
          <w:sz w:val="52"/>
        </w:rPr>
        <w:t>Document</w:t>
      </w:r>
      <w:r>
        <w:rPr>
          <w:b/>
          <w:spacing w:val="27"/>
          <w:w w:val="80"/>
          <w:sz w:val="52"/>
        </w:rPr>
        <w:t> </w:t>
      </w:r>
      <w:r>
        <w:rPr>
          <w:b/>
          <w:w w:val="80"/>
          <w:sz w:val="52"/>
        </w:rPr>
        <w:t>4</w:t>
      </w:r>
    </w:p>
    <w:p>
      <w:pPr>
        <w:tabs>
          <w:tab w:pos="7287" w:val="left" w:leader="none"/>
        </w:tabs>
        <w:spacing w:line="321" w:lineRule="exact" w:before="0"/>
        <w:ind w:left="3524" w:right="0" w:firstLine="0"/>
        <w:jc w:val="left"/>
        <w:rPr>
          <w:b/>
          <w:sz w:val="21"/>
        </w:rPr>
      </w:pPr>
      <w:r>
        <w:rPr/>
        <w:pict>
          <v:shape style="position:absolute;margin-left:395.385498pt;margin-top:3.113391pt;width:69.650pt;height:13.15pt;mso-position-horizontal-relative:page;mso-position-vertical-relative:paragraph;z-index:-275194880" type="#_x0000_t202" filled="false" stroked="false">
            <v:textbox inset="0,0,0,0">
              <w:txbxContent>
                <w:p>
                  <w:pPr>
                    <w:spacing w:before="6"/>
                    <w:ind w:left="0" w:right="0" w:firstLine="0"/>
                    <w:jc w:val="left"/>
                    <w:rPr>
                      <w:b/>
                      <w:sz w:val="21"/>
                    </w:rPr>
                  </w:pPr>
                  <w:r>
                    <w:rPr>
                      <w:b/>
                      <w:color w:val="231F20"/>
                      <w:w w:val="115"/>
                      <w:sz w:val="21"/>
                    </w:rPr>
                    <w:t>Section O:</w:t>
                  </w:r>
                </w:p>
              </w:txbxContent>
            </v:textbox>
            <w10:wrap type="none"/>
          </v:shape>
        </w:pict>
      </w:r>
      <w:r>
        <w:rPr/>
        <w:pict>
          <v:shape style="position:absolute;margin-left:251.865494pt;margin-top:15.608991pt;width:213.15pt;height:13.15pt;mso-position-horizontal-relative:page;mso-position-vertical-relative:paragraph;z-index:-275193856" type="#_x0000_t202" filled="false" stroked="false">
            <v:textbox inset="0,0,0,0">
              <w:txbxContent>
                <w:p>
                  <w:pPr>
                    <w:spacing w:before="6"/>
                    <w:ind w:left="0" w:right="0" w:firstLine="0"/>
                    <w:jc w:val="left"/>
                    <w:rPr>
                      <w:b/>
                      <w:sz w:val="21"/>
                    </w:rPr>
                  </w:pPr>
                  <w:r>
                    <w:rPr>
                      <w:b/>
                      <w:color w:val="231F20"/>
                      <w:w w:val="115"/>
                      <w:sz w:val="21"/>
                    </w:rPr>
                    <w:t>Replacement of existing Part</w:t>
                  </w:r>
                  <w:r>
                    <w:rPr>
                      <w:b/>
                      <w:color w:val="231F20"/>
                      <w:spacing w:val="-24"/>
                      <w:w w:val="115"/>
                      <w:sz w:val="21"/>
                    </w:rPr>
                    <w:t> </w:t>
                  </w:r>
                  <w:r>
                    <w:rPr>
                      <w:b/>
                      <w:color w:val="231F20"/>
                      <w:w w:val="115"/>
                      <w:sz w:val="21"/>
                    </w:rPr>
                    <w:t>II</w:t>
                  </w:r>
                </w:p>
              </w:txbxContent>
            </v:textbox>
            <w10:wrap type="none"/>
          </v:shape>
        </w:pict>
      </w:r>
      <w:r>
        <w:rPr>
          <w:b/>
          <w:w w:val="105"/>
          <w:position w:val="11"/>
          <w:sz w:val="25"/>
        </w:rPr>
        <w:t>3</w:t>
        <w:tab/>
      </w:r>
      <w:r>
        <w:rPr>
          <w:b/>
          <w:w w:val="105"/>
          <w:sz w:val="21"/>
        </w:rPr>
        <w:t>Section </w:t>
      </w:r>
      <w:r>
        <w:rPr>
          <w:b/>
          <w:spacing w:val="44"/>
          <w:w w:val="105"/>
          <w:sz w:val="21"/>
        </w:rPr>
        <w:t> </w:t>
      </w:r>
      <w:r>
        <w:rPr>
          <w:b/>
          <w:w w:val="105"/>
          <w:sz w:val="21"/>
        </w:rPr>
        <w:t>O:</w:t>
      </w:r>
    </w:p>
    <w:p>
      <w:pPr>
        <w:spacing w:line="253" w:lineRule="exact" w:before="0"/>
        <w:ind w:left="4417" w:right="0" w:firstLine="0"/>
        <w:jc w:val="left"/>
        <w:rPr>
          <w:b/>
          <w:sz w:val="21"/>
        </w:rPr>
      </w:pPr>
      <w:r>
        <w:rPr>
          <w:b/>
          <w:w w:val="115"/>
          <w:sz w:val="21"/>
        </w:rPr>
        <w:t>Replacement of existing Part</w:t>
      </w:r>
      <w:r>
        <w:rPr>
          <w:b/>
          <w:spacing w:val="-25"/>
          <w:w w:val="115"/>
          <w:sz w:val="21"/>
        </w:rPr>
        <w:t> </w:t>
      </w:r>
      <w:r>
        <w:rPr>
          <w:b/>
          <w:w w:val="115"/>
          <w:sz w:val="21"/>
        </w:rPr>
        <w:t>II</w:t>
      </w:r>
    </w:p>
    <w:p>
      <w:pPr>
        <w:pStyle w:val="BodyText"/>
        <w:rPr>
          <w:b/>
          <w:sz w:val="26"/>
        </w:rPr>
      </w:pPr>
    </w:p>
    <w:p>
      <w:pPr>
        <w:spacing w:line="559" w:lineRule="exact" w:before="203"/>
        <w:ind w:left="5861" w:right="0" w:firstLine="0"/>
        <w:jc w:val="left"/>
        <w:rPr>
          <w:b/>
          <w:sz w:val="52"/>
        </w:rPr>
      </w:pPr>
      <w:r>
        <w:rPr/>
        <w:pict>
          <v:shape style="position:absolute;margin-left:207.203995pt;margin-top:34.384235pt;width:13.15pt;height:15.2pt;mso-position-horizontal-relative:page;mso-position-vertical-relative:paragraph;z-index:-275192832" type="#_x0000_t202" filled="false" stroked="false">
            <v:textbox inset="0,0,0,0">
              <w:txbxContent>
                <w:p>
                  <w:pPr>
                    <w:spacing w:before="0"/>
                    <w:ind w:left="0" w:right="0" w:firstLine="0"/>
                    <w:jc w:val="left"/>
                    <w:rPr>
                      <w:b/>
                      <w:sz w:val="25"/>
                    </w:rPr>
                  </w:pPr>
                  <w:r>
                    <w:rPr>
                      <w:b/>
                      <w:color w:val="FFFFFF"/>
                      <w:spacing w:val="-11"/>
                      <w:w w:val="80"/>
                      <w:sz w:val="25"/>
                    </w:rPr>
                    <w:t>31</w:t>
                  </w:r>
                </w:p>
              </w:txbxContent>
            </v:textbox>
            <w10:wrap type="none"/>
          </v:shape>
        </w:pict>
      </w:r>
      <w:r>
        <w:rPr/>
        <w:pict>
          <v:shape style="position:absolute;margin-left:324.056396pt;margin-top:9.898683pt;width:141pt;height:31.95pt;mso-position-horizontal-relative:page;mso-position-vertical-relative:paragraph;z-index:-275191808" type="#_x0000_t202" filled="false" stroked="false">
            <v:textbox inset="0,0,0,0">
              <w:txbxContent>
                <w:p>
                  <w:pPr>
                    <w:spacing w:before="5"/>
                    <w:ind w:left="0" w:right="0" w:firstLine="0"/>
                    <w:jc w:val="left"/>
                    <w:rPr>
                      <w:b/>
                      <w:sz w:val="52"/>
                    </w:rPr>
                  </w:pPr>
                  <w:r>
                    <w:rPr>
                      <w:b/>
                      <w:color w:val="FFFFFF"/>
                      <w:w w:val="80"/>
                      <w:sz w:val="52"/>
                    </w:rPr>
                    <w:t>Document 5</w:t>
                  </w:r>
                </w:p>
              </w:txbxContent>
            </v:textbox>
            <w10:wrap type="none"/>
          </v:shape>
        </w:pict>
      </w:r>
      <w:r>
        <w:rPr>
          <w:b/>
          <w:spacing w:val="-3"/>
          <w:w w:val="80"/>
          <w:sz w:val="52"/>
        </w:rPr>
        <w:t>Document</w:t>
      </w:r>
      <w:r>
        <w:rPr>
          <w:b/>
          <w:spacing w:val="27"/>
          <w:w w:val="80"/>
          <w:sz w:val="52"/>
        </w:rPr>
        <w:t> </w:t>
      </w:r>
      <w:r>
        <w:rPr>
          <w:b/>
          <w:w w:val="80"/>
          <w:sz w:val="52"/>
        </w:rPr>
        <w:t>5</w:t>
      </w:r>
    </w:p>
    <w:p>
      <w:pPr>
        <w:tabs>
          <w:tab w:pos="4300" w:val="left" w:leader="none"/>
        </w:tabs>
        <w:spacing w:line="353" w:lineRule="exact" w:before="0"/>
        <w:ind w:left="3524" w:right="0" w:firstLine="0"/>
        <w:jc w:val="left"/>
        <w:rPr>
          <w:b/>
          <w:sz w:val="24"/>
        </w:rPr>
      </w:pPr>
      <w:r>
        <w:rPr/>
        <w:pict>
          <v:shape style="position:absolute;margin-left:246.027496pt;margin-top:3.35694pt;width:219.05pt;height:14.6pt;mso-position-horizontal-relative:page;mso-position-vertical-relative:paragraph;z-index:-275190784" type="#_x0000_t202" filled="false" stroked="false">
            <v:textbox inset="0,0,0,0">
              <w:txbxContent>
                <w:p>
                  <w:pPr>
                    <w:spacing w:before="0"/>
                    <w:ind w:left="0" w:right="0" w:firstLine="0"/>
                    <w:jc w:val="left"/>
                    <w:rPr>
                      <w:b/>
                      <w:sz w:val="24"/>
                    </w:rPr>
                  </w:pPr>
                  <w:r>
                    <w:rPr>
                      <w:b/>
                      <w:color w:val="231F20"/>
                      <w:sz w:val="24"/>
                    </w:rPr>
                    <w:t>Ministerial Incapacity Procedure</w:t>
                  </w:r>
                </w:p>
              </w:txbxContent>
            </v:textbox>
            <w10:wrap type="none"/>
          </v:shape>
        </w:pict>
      </w:r>
      <w:r>
        <w:rPr/>
        <w:pict>
          <v:shape style="position:absolute;margin-left:419.496002pt;margin-top:17.063385pt;width:45.5pt;height:13.15pt;mso-position-horizontal-relative:page;mso-position-vertical-relative:paragraph;z-index:-275189760" type="#_x0000_t202" filled="false" stroked="false">
            <v:textbox inset="0,0,0,0">
              <w:txbxContent>
                <w:p>
                  <w:pPr>
                    <w:spacing w:before="6"/>
                    <w:ind w:left="0" w:right="0" w:firstLine="0"/>
                    <w:jc w:val="left"/>
                    <w:rPr>
                      <w:b/>
                      <w:sz w:val="21"/>
                    </w:rPr>
                  </w:pPr>
                  <w:r>
                    <w:rPr>
                      <w:b/>
                      <w:color w:val="231F20"/>
                      <w:w w:val="115"/>
                      <w:sz w:val="21"/>
                    </w:rPr>
                    <w:t>Part </w:t>
                  </w:r>
                  <w:r>
                    <w:rPr>
                      <w:b/>
                      <w:color w:val="231F20"/>
                      <w:spacing w:val="-10"/>
                      <w:w w:val="115"/>
                      <w:sz w:val="21"/>
                    </w:rPr>
                    <w:t>II</w:t>
                  </w:r>
                </w:p>
              </w:txbxContent>
            </v:textbox>
            <w10:wrap type="none"/>
          </v:shape>
        </w:pict>
      </w:r>
      <w:r>
        <w:rPr>
          <w:b/>
          <w:spacing w:val="-6"/>
          <w:position w:val="13"/>
          <w:sz w:val="25"/>
        </w:rPr>
        <w:t>31</w:t>
        <w:tab/>
      </w:r>
      <w:r>
        <w:rPr>
          <w:b/>
          <w:sz w:val="24"/>
        </w:rPr>
        <w:t>Ministerial Incapacity</w:t>
      </w:r>
      <w:r>
        <w:rPr>
          <w:b/>
          <w:spacing w:val="-1"/>
          <w:sz w:val="24"/>
        </w:rPr>
        <w:t> </w:t>
      </w:r>
      <w:r>
        <w:rPr>
          <w:b/>
          <w:sz w:val="24"/>
        </w:rPr>
        <w:t>Procedure</w:t>
      </w:r>
    </w:p>
    <w:p>
      <w:pPr>
        <w:spacing w:line="249" w:lineRule="exact" w:before="0"/>
        <w:ind w:left="0" w:right="2603" w:firstLine="0"/>
        <w:jc w:val="right"/>
        <w:rPr>
          <w:b/>
          <w:sz w:val="21"/>
        </w:rPr>
      </w:pPr>
      <w:r>
        <w:rPr>
          <w:b/>
          <w:w w:val="115"/>
          <w:sz w:val="21"/>
        </w:rPr>
        <w:t>Part</w:t>
      </w:r>
      <w:r>
        <w:rPr>
          <w:b/>
          <w:spacing w:val="-8"/>
          <w:w w:val="115"/>
          <w:sz w:val="21"/>
        </w:rPr>
        <w:t> </w:t>
      </w:r>
      <w:r>
        <w:rPr>
          <w:b/>
          <w:w w:val="115"/>
          <w:sz w:val="21"/>
        </w:rPr>
        <w:t>II</w:t>
      </w:r>
    </w:p>
    <w:p>
      <w:pPr>
        <w:spacing w:after="0" w:line="249" w:lineRule="exact"/>
        <w:jc w:val="right"/>
        <w:rPr>
          <w:sz w:val="21"/>
        </w:rPr>
        <w:sectPr>
          <w:headerReference w:type="default" r:id="rId413"/>
          <w:footerReference w:type="default" r:id="rId414"/>
          <w:pgSz w:w="11910" w:h="16840"/>
          <w:pgMar w:header="0" w:footer="0" w:top="1580" w:bottom="280" w:left="620" w:right="0"/>
        </w:sectPr>
      </w:pPr>
    </w:p>
    <w:p>
      <w:pPr>
        <w:pStyle w:val="BodyText"/>
        <w:spacing w:before="5"/>
        <w:rPr>
          <w:b/>
          <w:sz w:val="16"/>
        </w:rPr>
      </w:pPr>
    </w:p>
    <w:p>
      <w:pPr>
        <w:spacing w:after="0"/>
        <w:rPr>
          <w:sz w:val="16"/>
        </w:rPr>
        <w:sectPr>
          <w:headerReference w:type="even" r:id="rId437"/>
          <w:footerReference w:type="even" r:id="rId438"/>
          <w:pgSz w:w="11910" w:h="16840"/>
          <w:pgMar w:header="0" w:footer="0" w:top="1580" w:bottom="280" w:left="620" w:right="0"/>
        </w:sectPr>
      </w:pPr>
    </w:p>
    <w:p>
      <w:pPr>
        <w:spacing w:before="81"/>
        <w:ind w:left="494" w:right="0" w:firstLine="0"/>
        <w:jc w:val="left"/>
        <w:rPr>
          <w:b/>
          <w:sz w:val="56"/>
        </w:rPr>
      </w:pPr>
      <w:r>
        <w:rPr/>
        <w:pict>
          <v:shape style="position:absolute;margin-left:523.527466pt;margin-top:-9.061889pt;width:50.65pt;height:230.1pt;mso-position-horizontal-relative:page;mso-position-vertical-relative:paragraph;z-index:252078080" type="#_x0000_t202" filled="false" stroked="false">
            <v:textbox inset="0,0,0,0" style="layout-flow:vertical">
              <w:txbxContent>
                <w:p>
                  <w:pPr>
                    <w:spacing w:before="20"/>
                    <w:ind w:left="20" w:right="0" w:firstLine="0"/>
                    <w:jc w:val="left"/>
                    <w:rPr>
                      <w:b/>
                      <w:sz w:val="80"/>
                    </w:rPr>
                  </w:pPr>
                  <w:r>
                    <w:rPr>
                      <w:b/>
                      <w:color w:val="231F20"/>
                      <w:spacing w:val="-4"/>
                      <w:sz w:val="80"/>
                    </w:rPr>
                    <w:t>Section </w:t>
                  </w:r>
                  <w:r>
                    <w:rPr>
                      <w:b/>
                      <w:color w:val="231F20"/>
                      <w:spacing w:val="-10"/>
                      <w:sz w:val="80"/>
                    </w:rPr>
                    <w:t>O:</w:t>
                  </w:r>
                </w:p>
              </w:txbxContent>
            </v:textbox>
            <w10:wrap type="none"/>
          </v:shape>
        </w:pict>
      </w:r>
      <w:r>
        <w:rPr/>
        <w:pict>
          <v:shape style="position:absolute;margin-left:475.527466pt;margin-top:-9.061889pt;width:50.65pt;height:699.75pt;mso-position-horizontal-relative:page;mso-position-vertical-relative:paragraph;z-index:252080128" type="#_x0000_t202" filled="false" stroked="false">
            <v:textbox inset="0,0,0,0" style="layout-flow:vertical">
              <w:txbxContent>
                <w:p>
                  <w:pPr>
                    <w:spacing w:before="20"/>
                    <w:ind w:left="20" w:right="0" w:firstLine="0"/>
                    <w:jc w:val="left"/>
                    <w:rPr>
                      <w:b/>
                      <w:sz w:val="80"/>
                    </w:rPr>
                  </w:pPr>
                  <w:r>
                    <w:rPr>
                      <w:b/>
                      <w:color w:val="231F20"/>
                      <w:spacing w:val="-10"/>
                      <w:sz w:val="80"/>
                    </w:rPr>
                    <w:t>Replacement </w:t>
                  </w:r>
                  <w:r>
                    <w:rPr>
                      <w:b/>
                      <w:color w:val="231F20"/>
                      <w:spacing w:val="-5"/>
                      <w:sz w:val="80"/>
                    </w:rPr>
                    <w:t>of </w:t>
                  </w:r>
                  <w:r>
                    <w:rPr>
                      <w:b/>
                      <w:color w:val="231F20"/>
                      <w:spacing w:val="-7"/>
                      <w:sz w:val="80"/>
                    </w:rPr>
                    <w:t>existing </w:t>
                  </w:r>
                  <w:r>
                    <w:rPr>
                      <w:b/>
                      <w:color w:val="231F20"/>
                      <w:spacing w:val="-8"/>
                      <w:sz w:val="80"/>
                    </w:rPr>
                    <w:t>Part II</w:t>
                  </w:r>
                </w:p>
              </w:txbxContent>
            </v:textbox>
            <w10:wrap type="none"/>
          </v:shape>
        </w:pict>
      </w:r>
      <w:r>
        <w:rPr>
          <w:b/>
          <w:color w:val="231F20"/>
          <w:sz w:val="56"/>
        </w:rPr>
        <w:t>Document 4</w:t>
      </w:r>
    </w:p>
    <w:p>
      <w:pPr>
        <w:spacing w:before="51"/>
        <w:ind w:left="494" w:right="0" w:firstLine="0"/>
        <w:jc w:val="left"/>
        <w:rPr>
          <w:b/>
          <w:sz w:val="29"/>
        </w:rPr>
      </w:pPr>
      <w:r>
        <w:rPr>
          <w:b/>
          <w:color w:val="231F20"/>
          <w:w w:val="110"/>
          <w:sz w:val="29"/>
        </w:rPr>
        <w:t>Text related to Resolution 11</w:t>
      </w:r>
    </w:p>
    <w:p>
      <w:pPr>
        <w:pStyle w:val="BodyText"/>
        <w:rPr>
          <w:b/>
          <w:sz w:val="34"/>
        </w:rPr>
      </w:pPr>
    </w:p>
    <w:p>
      <w:pPr>
        <w:spacing w:before="269"/>
        <w:ind w:left="967" w:right="0" w:firstLine="0"/>
        <w:jc w:val="left"/>
        <w:rPr>
          <w:b/>
          <w:sz w:val="29"/>
        </w:rPr>
      </w:pPr>
      <w:r>
        <w:rPr>
          <w:b/>
          <w:color w:val="231F20"/>
          <w:w w:val="110"/>
          <w:sz w:val="29"/>
        </w:rPr>
        <w:t>Section O Advisory Group</w:t>
      </w:r>
    </w:p>
    <w:p>
      <w:pPr>
        <w:pStyle w:val="BodyText"/>
        <w:spacing w:before="3"/>
        <w:rPr>
          <w:b/>
          <w:sz w:val="30"/>
        </w:rPr>
      </w:pPr>
    </w:p>
    <w:p>
      <w:pPr>
        <w:spacing w:line="273" w:lineRule="auto" w:before="0"/>
        <w:ind w:left="967" w:right="2720" w:firstLine="0"/>
        <w:jc w:val="left"/>
        <w:rPr>
          <w:b/>
          <w:sz w:val="18"/>
        </w:rPr>
      </w:pPr>
      <w:r>
        <w:rPr>
          <w:b/>
          <w:color w:val="231F20"/>
          <w:w w:val="110"/>
          <w:sz w:val="18"/>
        </w:rPr>
        <w:t>PART II – Rules of Procedure (governed by General Assembly Function 2(5)(xii) of the Structure of the United Reformed Church)</w:t>
      </w:r>
    </w:p>
    <w:p>
      <w:pPr>
        <w:pStyle w:val="BodyText"/>
        <w:rPr>
          <w:b/>
          <w:sz w:val="22"/>
        </w:rPr>
      </w:pPr>
    </w:p>
    <w:p>
      <w:pPr>
        <w:pStyle w:val="BodyText"/>
        <w:spacing w:before="7"/>
        <w:rPr>
          <w:b/>
          <w:sz w:val="17"/>
        </w:rPr>
      </w:pPr>
    </w:p>
    <w:p>
      <w:pPr>
        <w:pStyle w:val="ListParagraph"/>
        <w:numPr>
          <w:ilvl w:val="1"/>
          <w:numId w:val="122"/>
        </w:numPr>
        <w:tabs>
          <w:tab w:pos="1687" w:val="left" w:leader="none"/>
          <w:tab w:pos="1688" w:val="left" w:leader="none"/>
        </w:tabs>
        <w:spacing w:line="240" w:lineRule="auto" w:before="0" w:after="0"/>
        <w:ind w:left="1687" w:right="0" w:hanging="721"/>
        <w:jc w:val="left"/>
        <w:rPr>
          <w:b/>
          <w:sz w:val="20"/>
        </w:rPr>
      </w:pPr>
      <w:r>
        <w:rPr>
          <w:b/>
          <w:color w:val="231F20"/>
          <w:spacing w:val="2"/>
          <w:w w:val="110"/>
          <w:sz w:val="20"/>
        </w:rPr>
        <w:t>GENERAL</w:t>
      </w:r>
    </w:p>
    <w:p>
      <w:pPr>
        <w:pStyle w:val="BodyText"/>
        <w:spacing w:before="10"/>
        <w:rPr>
          <w:b/>
          <w:sz w:val="22"/>
        </w:rPr>
      </w:pPr>
    </w:p>
    <w:p>
      <w:pPr>
        <w:pStyle w:val="ListParagraph"/>
        <w:numPr>
          <w:ilvl w:val="2"/>
          <w:numId w:val="122"/>
        </w:numPr>
        <w:tabs>
          <w:tab w:pos="1687" w:val="left" w:leader="none"/>
          <w:tab w:pos="1688" w:val="left" w:leader="none"/>
        </w:tabs>
        <w:spacing w:line="240" w:lineRule="auto" w:before="0" w:after="0"/>
        <w:ind w:left="1687" w:right="0" w:hanging="721"/>
        <w:jc w:val="left"/>
        <w:rPr>
          <w:sz w:val="18"/>
        </w:rPr>
      </w:pPr>
      <w:r>
        <w:rPr>
          <w:color w:val="231F20"/>
          <w:w w:val="110"/>
          <w:sz w:val="18"/>
        </w:rPr>
        <w:t>These are the Rules of Procedure referred to in Paragraph 5 of Part</w:t>
      </w:r>
      <w:r>
        <w:rPr>
          <w:color w:val="231F20"/>
          <w:spacing w:val="-32"/>
          <w:w w:val="110"/>
          <w:sz w:val="18"/>
        </w:rPr>
        <w:t> </w:t>
      </w:r>
      <w:r>
        <w:rPr>
          <w:color w:val="231F20"/>
          <w:w w:val="110"/>
          <w:sz w:val="18"/>
        </w:rPr>
        <w:t>I.</w:t>
      </w:r>
    </w:p>
    <w:p>
      <w:pPr>
        <w:pStyle w:val="BodyText"/>
        <w:spacing w:before="2"/>
        <w:rPr>
          <w:sz w:val="23"/>
        </w:rPr>
      </w:pPr>
    </w:p>
    <w:p>
      <w:pPr>
        <w:pStyle w:val="ListParagraph"/>
        <w:numPr>
          <w:ilvl w:val="2"/>
          <w:numId w:val="122"/>
        </w:numPr>
        <w:tabs>
          <w:tab w:pos="1688" w:val="left" w:leader="none"/>
          <w:tab w:pos="1689" w:val="left" w:leader="none"/>
        </w:tabs>
        <w:spacing w:line="273" w:lineRule="auto" w:before="0" w:after="0"/>
        <w:ind w:left="968" w:right="3035" w:firstLine="0"/>
        <w:jc w:val="left"/>
        <w:rPr>
          <w:sz w:val="18"/>
        </w:rPr>
      </w:pPr>
      <w:r>
        <w:rPr>
          <w:color w:val="231F20"/>
          <w:w w:val="110"/>
          <w:sz w:val="18"/>
        </w:rPr>
        <w:t>In the interests both of the Minister and of the whole church,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once begun should be conducted and concluded as expeditiously as possible, consistent with the proper conduct of the procedures. </w:t>
      </w:r>
      <w:r>
        <w:rPr>
          <w:color w:val="231F20"/>
          <w:spacing w:val="-8"/>
          <w:w w:val="110"/>
          <w:sz w:val="18"/>
        </w:rPr>
        <w:t>To </w:t>
      </w:r>
      <w:r>
        <w:rPr>
          <w:color w:val="231F20"/>
          <w:w w:val="110"/>
          <w:sz w:val="18"/>
        </w:rPr>
        <w:t>this end, these Rules impose time limits for the</w:t>
      </w:r>
      <w:r>
        <w:rPr>
          <w:color w:val="231F20"/>
          <w:spacing w:val="8"/>
          <w:w w:val="110"/>
          <w:sz w:val="18"/>
        </w:rPr>
        <w:t> </w:t>
      </w:r>
      <w:r>
        <w:rPr>
          <w:color w:val="231F20"/>
          <w:w w:val="110"/>
          <w:sz w:val="18"/>
        </w:rPr>
        <w:t>various</w:t>
      </w:r>
    </w:p>
    <w:p>
      <w:pPr>
        <w:pStyle w:val="BodyText"/>
        <w:spacing w:line="273" w:lineRule="auto" w:before="2"/>
        <w:ind w:left="967" w:right="2842"/>
      </w:pPr>
      <w:r>
        <w:rPr>
          <w:color w:val="231F20"/>
          <w:w w:val="110"/>
        </w:rPr>
        <w:t>steps which have to be taken. However it is equally in the interests of all that the </w:t>
      </w:r>
      <w:r>
        <w:rPr>
          <w:color w:val="231F20"/>
          <w:spacing w:val="2"/>
          <w:w w:val="110"/>
        </w:rPr>
        <w:t>Section </w:t>
      </w:r>
      <w:r>
        <w:rPr>
          <w:color w:val="231F20"/>
          <w:w w:val="110"/>
        </w:rPr>
        <w:t>O </w:t>
      </w:r>
      <w:r>
        <w:rPr>
          <w:color w:val="231F20"/>
          <w:spacing w:val="2"/>
          <w:w w:val="110"/>
        </w:rPr>
        <w:t>Process </w:t>
      </w:r>
      <w:r>
        <w:rPr>
          <w:color w:val="231F20"/>
          <w:w w:val="110"/>
        </w:rPr>
        <w:t>once begun should not be aborted, delayed or hindered by an unduly narrow or </w:t>
      </w:r>
      <w:r>
        <w:rPr>
          <w:color w:val="231F20"/>
          <w:spacing w:val="2"/>
          <w:w w:val="110"/>
        </w:rPr>
        <w:t>restrictive </w:t>
      </w:r>
      <w:r>
        <w:rPr>
          <w:color w:val="231F20"/>
          <w:w w:val="110"/>
        </w:rPr>
        <w:t>application of the time limits or indeed of any other </w:t>
      </w:r>
      <w:r>
        <w:rPr>
          <w:color w:val="231F20"/>
          <w:spacing w:val="2"/>
          <w:w w:val="110"/>
        </w:rPr>
        <w:t>aspects </w:t>
      </w:r>
      <w:r>
        <w:rPr>
          <w:color w:val="231F20"/>
          <w:w w:val="110"/>
        </w:rPr>
        <w:t>of these</w:t>
      </w:r>
      <w:r>
        <w:rPr>
          <w:color w:val="231F20"/>
          <w:spacing w:val="14"/>
          <w:w w:val="110"/>
        </w:rPr>
        <w:t> </w:t>
      </w:r>
      <w:r>
        <w:rPr>
          <w:color w:val="231F20"/>
          <w:w w:val="110"/>
        </w:rPr>
        <w:t>Rules.</w:t>
      </w:r>
    </w:p>
    <w:p>
      <w:pPr>
        <w:pStyle w:val="BodyText"/>
        <w:spacing w:before="10"/>
        <w:rPr>
          <w:sz w:val="20"/>
        </w:rPr>
      </w:pPr>
    </w:p>
    <w:p>
      <w:pPr>
        <w:pStyle w:val="ListParagraph"/>
        <w:numPr>
          <w:ilvl w:val="2"/>
          <w:numId w:val="122"/>
        </w:numPr>
        <w:tabs>
          <w:tab w:pos="1687" w:val="left" w:leader="none"/>
          <w:tab w:pos="1688" w:val="left" w:leader="none"/>
        </w:tabs>
        <w:spacing w:line="273" w:lineRule="auto" w:before="0" w:after="0"/>
        <w:ind w:left="967" w:right="3063" w:firstLine="0"/>
        <w:jc w:val="left"/>
        <w:rPr>
          <w:sz w:val="18"/>
        </w:rPr>
      </w:pPr>
      <w:r>
        <w:rPr>
          <w:color w:val="231F20"/>
          <w:w w:val="110"/>
          <w:sz w:val="18"/>
        </w:rPr>
        <w:t>Accordingly if any of the time limits specified in these Rules of Procedure are not complied with, the Assembly Commission </w:t>
      </w:r>
      <w:r>
        <w:rPr>
          <w:color w:val="231F20"/>
          <w:spacing w:val="-6"/>
          <w:w w:val="110"/>
          <w:sz w:val="18"/>
        </w:rPr>
        <w:t>or, </w:t>
      </w:r>
      <w:r>
        <w:rPr>
          <w:color w:val="231F20"/>
          <w:w w:val="110"/>
          <w:sz w:val="18"/>
        </w:rPr>
        <w:t>in the event of an appeal, the Appeals Commission may in its discretion allow a</w:t>
      </w:r>
      <w:r>
        <w:rPr>
          <w:color w:val="231F20"/>
          <w:spacing w:val="13"/>
          <w:w w:val="110"/>
          <w:sz w:val="18"/>
        </w:rPr>
        <w:t> </w:t>
      </w:r>
      <w:r>
        <w:rPr>
          <w:color w:val="231F20"/>
          <w:w w:val="110"/>
          <w:sz w:val="18"/>
        </w:rPr>
        <w:t>reasonable</w:t>
      </w:r>
      <w:r>
        <w:rPr>
          <w:color w:val="231F20"/>
          <w:spacing w:val="13"/>
          <w:w w:val="110"/>
          <w:sz w:val="18"/>
        </w:rPr>
        <w:t> </w:t>
      </w:r>
      <w:r>
        <w:rPr>
          <w:color w:val="231F20"/>
          <w:spacing w:val="2"/>
          <w:w w:val="110"/>
          <w:sz w:val="18"/>
        </w:rPr>
        <w:t>further</w:t>
      </w:r>
      <w:r>
        <w:rPr>
          <w:color w:val="231F20"/>
          <w:spacing w:val="13"/>
          <w:w w:val="110"/>
          <w:sz w:val="18"/>
        </w:rPr>
        <w:t> </w:t>
      </w:r>
      <w:r>
        <w:rPr>
          <w:color w:val="231F20"/>
          <w:w w:val="110"/>
          <w:sz w:val="18"/>
        </w:rPr>
        <w:t>period</w:t>
      </w:r>
      <w:r>
        <w:rPr>
          <w:color w:val="231F20"/>
          <w:spacing w:val="13"/>
          <w:w w:val="110"/>
          <w:sz w:val="18"/>
        </w:rPr>
        <w:t> </w:t>
      </w:r>
      <w:r>
        <w:rPr>
          <w:color w:val="231F20"/>
          <w:w w:val="110"/>
          <w:sz w:val="18"/>
        </w:rPr>
        <w:t>for</w:t>
      </w:r>
      <w:r>
        <w:rPr>
          <w:color w:val="231F20"/>
          <w:spacing w:val="13"/>
          <w:w w:val="110"/>
          <w:sz w:val="18"/>
        </w:rPr>
        <w:t> </w:t>
      </w:r>
      <w:r>
        <w:rPr>
          <w:color w:val="231F20"/>
          <w:w w:val="110"/>
          <w:sz w:val="18"/>
        </w:rPr>
        <w:t>such</w:t>
      </w:r>
      <w:r>
        <w:rPr>
          <w:color w:val="231F20"/>
          <w:spacing w:val="13"/>
          <w:w w:val="110"/>
          <w:sz w:val="18"/>
        </w:rPr>
        <w:t> </w:t>
      </w:r>
      <w:r>
        <w:rPr>
          <w:color w:val="231F20"/>
          <w:w w:val="110"/>
          <w:sz w:val="18"/>
        </w:rPr>
        <w:t>compliance,</w:t>
      </w:r>
      <w:r>
        <w:rPr>
          <w:color w:val="231F20"/>
          <w:spacing w:val="13"/>
          <w:w w:val="110"/>
          <w:sz w:val="18"/>
        </w:rPr>
        <w:t> </w:t>
      </w:r>
      <w:r>
        <w:rPr>
          <w:color w:val="231F20"/>
          <w:w w:val="110"/>
          <w:sz w:val="18"/>
        </w:rPr>
        <w:t>except</w:t>
      </w:r>
      <w:r>
        <w:rPr>
          <w:color w:val="231F20"/>
          <w:spacing w:val="13"/>
          <w:w w:val="110"/>
          <w:sz w:val="18"/>
        </w:rPr>
        <w:t> </w:t>
      </w:r>
      <w:r>
        <w:rPr>
          <w:color w:val="231F20"/>
          <w:w w:val="110"/>
          <w:sz w:val="18"/>
        </w:rPr>
        <w:t>as</w:t>
      </w:r>
      <w:r>
        <w:rPr>
          <w:color w:val="231F20"/>
          <w:spacing w:val="13"/>
          <w:w w:val="110"/>
          <w:sz w:val="18"/>
        </w:rPr>
        <w:t> </w:t>
      </w:r>
      <w:r>
        <w:rPr>
          <w:color w:val="231F20"/>
          <w:w w:val="110"/>
          <w:sz w:val="18"/>
        </w:rPr>
        <w:t>regards</w:t>
      </w:r>
      <w:r>
        <w:rPr>
          <w:color w:val="231F20"/>
          <w:spacing w:val="13"/>
          <w:w w:val="110"/>
          <w:sz w:val="18"/>
        </w:rPr>
        <w:t> </w:t>
      </w:r>
      <w:r>
        <w:rPr>
          <w:color w:val="231F20"/>
          <w:w w:val="110"/>
          <w:sz w:val="18"/>
        </w:rPr>
        <w:t>the</w:t>
      </w:r>
    </w:p>
    <w:p>
      <w:pPr>
        <w:pStyle w:val="BodyText"/>
        <w:spacing w:line="273" w:lineRule="auto" w:before="2"/>
        <w:ind w:left="967" w:right="2720"/>
      </w:pPr>
      <w:r>
        <w:rPr>
          <w:color w:val="231F20"/>
          <w:spacing w:val="2"/>
          <w:w w:val="110"/>
        </w:rPr>
        <w:t>strict </w:t>
      </w:r>
      <w:r>
        <w:rPr>
          <w:color w:val="231F20"/>
          <w:w w:val="110"/>
        </w:rPr>
        <w:t>time limit imposed upon the right of appeal (Paragraph </w:t>
      </w:r>
      <w:r>
        <w:rPr>
          <w:color w:val="231F20"/>
          <w:spacing w:val="-7"/>
          <w:w w:val="110"/>
        </w:rPr>
        <w:t>G.1). </w:t>
      </w:r>
      <w:r>
        <w:rPr>
          <w:color w:val="231F20"/>
          <w:w w:val="110"/>
        </w:rPr>
        <w:t>In other cases, if the Assembly Commission or the Appeals Commission considers that sufficient time has been allowed and the action required has</w:t>
      </w:r>
      <w:r>
        <w:rPr>
          <w:color w:val="231F20"/>
          <w:spacing w:val="3"/>
          <w:w w:val="110"/>
        </w:rPr>
        <w:t> </w:t>
      </w:r>
      <w:r>
        <w:rPr>
          <w:color w:val="231F20"/>
          <w:w w:val="110"/>
        </w:rPr>
        <w:t>still</w:t>
      </w:r>
    </w:p>
    <w:p>
      <w:pPr>
        <w:pStyle w:val="BodyText"/>
        <w:spacing w:line="273" w:lineRule="auto" w:before="2"/>
        <w:ind w:left="967" w:right="2893"/>
      </w:pPr>
      <w:r>
        <w:rPr>
          <w:color w:val="231F20"/>
          <w:w w:val="110"/>
        </w:rPr>
        <w:t>not been </w:t>
      </w:r>
      <w:r>
        <w:rPr>
          <w:color w:val="231F20"/>
          <w:spacing w:val="2"/>
          <w:w w:val="110"/>
        </w:rPr>
        <w:t>carried </w:t>
      </w:r>
      <w:r>
        <w:rPr>
          <w:color w:val="231F20"/>
          <w:w w:val="110"/>
        </w:rPr>
        <w:t>out or that there has been an unreasonable delay in the </w:t>
      </w:r>
      <w:r>
        <w:rPr>
          <w:color w:val="231F20"/>
          <w:spacing w:val="2"/>
          <w:w w:val="110"/>
        </w:rPr>
        <w:t>carrying </w:t>
      </w:r>
      <w:r>
        <w:rPr>
          <w:color w:val="231F20"/>
          <w:w w:val="110"/>
        </w:rPr>
        <w:t>out of the </w:t>
      </w:r>
      <w:r>
        <w:rPr>
          <w:color w:val="231F20"/>
          <w:spacing w:val="2"/>
          <w:w w:val="110"/>
        </w:rPr>
        <w:t>action </w:t>
      </w:r>
      <w:r>
        <w:rPr>
          <w:color w:val="231F20"/>
          <w:w w:val="110"/>
        </w:rPr>
        <w:t>(whether or not these Rules imposed a time limit in such </w:t>
      </w:r>
      <w:r>
        <w:rPr>
          <w:color w:val="231F20"/>
          <w:spacing w:val="-2"/>
          <w:w w:val="110"/>
        </w:rPr>
        <w:t>case), </w:t>
      </w:r>
      <w:r>
        <w:rPr>
          <w:color w:val="231F20"/>
          <w:w w:val="110"/>
        </w:rPr>
        <w:t>it may </w:t>
      </w:r>
      <w:r>
        <w:rPr>
          <w:color w:val="231F20"/>
          <w:spacing w:val="2"/>
          <w:w w:val="110"/>
        </w:rPr>
        <w:t>proceed </w:t>
      </w:r>
      <w:r>
        <w:rPr>
          <w:color w:val="231F20"/>
          <w:w w:val="110"/>
        </w:rPr>
        <w:t>and </w:t>
      </w:r>
      <w:r>
        <w:rPr>
          <w:color w:val="231F20"/>
          <w:spacing w:val="2"/>
          <w:w w:val="110"/>
        </w:rPr>
        <w:t>attach </w:t>
      </w:r>
      <w:r>
        <w:rPr>
          <w:color w:val="231F20"/>
          <w:w w:val="110"/>
        </w:rPr>
        <w:t>whatever weight it believes appropriate in the </w:t>
      </w:r>
      <w:r>
        <w:rPr>
          <w:color w:val="231F20"/>
          <w:spacing w:val="2"/>
          <w:w w:val="110"/>
        </w:rPr>
        <w:t>circumstances </w:t>
      </w:r>
      <w:r>
        <w:rPr>
          <w:color w:val="231F20"/>
          <w:w w:val="110"/>
        </w:rPr>
        <w:t>to such failure to comply, or to any  delay in</w:t>
      </w:r>
      <w:r>
        <w:rPr>
          <w:color w:val="231F20"/>
          <w:spacing w:val="1"/>
          <w:w w:val="110"/>
        </w:rPr>
        <w:t> </w:t>
      </w:r>
      <w:r>
        <w:rPr>
          <w:color w:val="231F20"/>
          <w:w w:val="110"/>
        </w:rPr>
        <w:t>compliance.</w:t>
      </w:r>
    </w:p>
    <w:p>
      <w:pPr>
        <w:pStyle w:val="BodyText"/>
        <w:spacing w:before="10"/>
        <w:rPr>
          <w:sz w:val="20"/>
        </w:rPr>
      </w:pPr>
    </w:p>
    <w:p>
      <w:pPr>
        <w:pStyle w:val="ListParagraph"/>
        <w:numPr>
          <w:ilvl w:val="2"/>
          <w:numId w:val="122"/>
        </w:numPr>
        <w:tabs>
          <w:tab w:pos="1687" w:val="left" w:leader="none"/>
          <w:tab w:pos="1688" w:val="left" w:leader="none"/>
          <w:tab w:pos="1918" w:val="left" w:leader="none"/>
        </w:tabs>
        <w:spacing w:line="273" w:lineRule="auto" w:before="0" w:after="0"/>
        <w:ind w:left="967" w:right="2848" w:hanging="1"/>
        <w:jc w:val="left"/>
        <w:rPr>
          <w:sz w:val="18"/>
        </w:rPr>
      </w:pPr>
      <w:r>
        <w:rPr/>
        <w:pict>
          <v:shape style="position:absolute;margin-left:524.816772pt;margin-top:28.254435pt;width:20pt;height:190.9pt;mso-position-horizontal-relative:page;mso-position-vertical-relative:paragraph;z-index:252079104"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The sole object 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is to enable a decision to be </w:t>
      </w:r>
      <w:r>
        <w:rPr>
          <w:color w:val="231F20"/>
          <w:spacing w:val="2"/>
          <w:w w:val="110"/>
          <w:sz w:val="18"/>
        </w:rPr>
        <w:t>reached </w:t>
      </w:r>
      <w:r>
        <w:rPr>
          <w:color w:val="231F20"/>
          <w:w w:val="110"/>
          <w:sz w:val="18"/>
        </w:rPr>
        <w:t>in accordance with </w:t>
      </w:r>
      <w:r>
        <w:rPr>
          <w:color w:val="231F20"/>
          <w:spacing w:val="2"/>
          <w:w w:val="110"/>
          <w:sz w:val="18"/>
        </w:rPr>
        <w:t>Section </w:t>
      </w:r>
      <w:r>
        <w:rPr>
          <w:color w:val="231F20"/>
          <w:spacing w:val="-12"/>
          <w:w w:val="110"/>
          <w:sz w:val="18"/>
        </w:rPr>
        <w:t>F, </w:t>
      </w:r>
      <w:r>
        <w:rPr>
          <w:color w:val="231F20"/>
          <w:w w:val="110"/>
          <w:sz w:val="18"/>
        </w:rPr>
        <w:t>or </w:t>
      </w:r>
      <w:r>
        <w:rPr>
          <w:color w:val="231F20"/>
          <w:spacing w:val="2"/>
          <w:w w:val="110"/>
          <w:sz w:val="18"/>
        </w:rPr>
        <w:t>Section </w:t>
      </w:r>
      <w:r>
        <w:rPr>
          <w:color w:val="231F20"/>
          <w:w w:val="110"/>
          <w:sz w:val="18"/>
        </w:rPr>
        <w:t>G in the event of an appeal.</w:t>
        <w:tab/>
        <w:t>All statements, whether </w:t>
      </w:r>
      <w:r>
        <w:rPr>
          <w:color w:val="231F20"/>
          <w:spacing w:val="2"/>
          <w:w w:val="110"/>
          <w:sz w:val="18"/>
        </w:rPr>
        <w:t>written </w:t>
      </w:r>
      <w:r>
        <w:rPr>
          <w:color w:val="231F20"/>
          <w:w w:val="110"/>
          <w:sz w:val="18"/>
        </w:rPr>
        <w:t>or oral, made during and in the context of this </w:t>
      </w:r>
      <w:r>
        <w:rPr>
          <w:color w:val="231F20"/>
          <w:spacing w:val="2"/>
          <w:w w:val="110"/>
          <w:sz w:val="18"/>
        </w:rPr>
        <w:t>process </w:t>
      </w:r>
      <w:r>
        <w:rPr>
          <w:color w:val="231F20"/>
          <w:w w:val="110"/>
          <w:sz w:val="18"/>
        </w:rPr>
        <w:t>shall be regarded as being made in pursuance of that object and for no other reason. All such statements shall be treated as confidential within the framework of the </w:t>
      </w:r>
      <w:r>
        <w:rPr>
          <w:color w:val="231F20"/>
          <w:spacing w:val="2"/>
          <w:w w:val="110"/>
          <w:sz w:val="18"/>
        </w:rPr>
        <w:t>Section </w:t>
      </w:r>
      <w:r>
        <w:rPr>
          <w:color w:val="231F20"/>
          <w:w w:val="110"/>
          <w:sz w:val="18"/>
        </w:rPr>
        <w:t>O</w:t>
      </w:r>
      <w:r>
        <w:rPr>
          <w:color w:val="231F20"/>
          <w:spacing w:val="34"/>
          <w:w w:val="110"/>
          <w:sz w:val="18"/>
        </w:rPr>
        <w:t> </w:t>
      </w:r>
      <w:r>
        <w:rPr>
          <w:color w:val="231F20"/>
          <w:spacing w:val="2"/>
          <w:w w:val="110"/>
          <w:sz w:val="18"/>
        </w:rPr>
        <w:t>Process.</w:t>
      </w:r>
    </w:p>
    <w:p>
      <w:pPr>
        <w:pStyle w:val="BodyText"/>
        <w:spacing w:before="10"/>
        <w:rPr>
          <w:sz w:val="20"/>
        </w:rPr>
      </w:pPr>
    </w:p>
    <w:p>
      <w:pPr>
        <w:pStyle w:val="ListParagraph"/>
        <w:numPr>
          <w:ilvl w:val="2"/>
          <w:numId w:val="122"/>
        </w:numPr>
        <w:tabs>
          <w:tab w:pos="1687" w:val="left" w:leader="none"/>
          <w:tab w:pos="1688" w:val="left" w:leader="none"/>
        </w:tabs>
        <w:spacing w:line="273" w:lineRule="auto" w:before="1" w:after="0"/>
        <w:ind w:left="967" w:right="2549" w:firstLine="0"/>
        <w:jc w:val="left"/>
        <w:rPr>
          <w:sz w:val="18"/>
        </w:rPr>
      </w:pPr>
      <w:r>
        <w:rPr>
          <w:color w:val="231F20"/>
          <w:w w:val="110"/>
          <w:sz w:val="18"/>
        </w:rPr>
        <w:t>For the purpose of </w:t>
      </w:r>
      <w:r>
        <w:rPr>
          <w:color w:val="231F20"/>
          <w:spacing w:val="2"/>
          <w:w w:val="110"/>
          <w:sz w:val="18"/>
        </w:rPr>
        <w:t>Parts </w:t>
      </w:r>
      <w:r>
        <w:rPr>
          <w:color w:val="231F20"/>
          <w:w w:val="110"/>
          <w:sz w:val="18"/>
        </w:rPr>
        <w:t>I and II of this </w:t>
      </w:r>
      <w:r>
        <w:rPr>
          <w:color w:val="231F20"/>
          <w:spacing w:val="2"/>
          <w:w w:val="110"/>
          <w:sz w:val="18"/>
        </w:rPr>
        <w:t>Section </w:t>
      </w:r>
      <w:r>
        <w:rPr>
          <w:color w:val="231F20"/>
          <w:spacing w:val="-4"/>
          <w:w w:val="110"/>
          <w:sz w:val="18"/>
        </w:rPr>
        <w:t>O, </w:t>
      </w:r>
      <w:r>
        <w:rPr>
          <w:color w:val="231F20"/>
          <w:w w:val="110"/>
          <w:sz w:val="18"/>
        </w:rPr>
        <w:t>a </w:t>
      </w:r>
      <w:r>
        <w:rPr>
          <w:color w:val="231F20"/>
          <w:spacing w:val="2"/>
          <w:w w:val="110"/>
          <w:sz w:val="18"/>
        </w:rPr>
        <w:t>reference </w:t>
      </w:r>
      <w:r>
        <w:rPr>
          <w:color w:val="231F20"/>
          <w:w w:val="110"/>
          <w:sz w:val="18"/>
        </w:rPr>
        <w:t>to   any of the </w:t>
      </w:r>
      <w:r>
        <w:rPr>
          <w:color w:val="231F20"/>
          <w:spacing w:val="2"/>
          <w:w w:val="110"/>
          <w:sz w:val="18"/>
        </w:rPr>
        <w:t>Sections </w:t>
      </w:r>
      <w:r>
        <w:rPr>
          <w:color w:val="231F20"/>
          <w:w w:val="110"/>
          <w:sz w:val="18"/>
        </w:rPr>
        <w:t>A to J shall mean a </w:t>
      </w:r>
      <w:r>
        <w:rPr>
          <w:color w:val="231F20"/>
          <w:spacing w:val="2"/>
          <w:w w:val="110"/>
          <w:sz w:val="18"/>
        </w:rPr>
        <w:t>reference </w:t>
      </w:r>
      <w:r>
        <w:rPr>
          <w:color w:val="231F20"/>
          <w:w w:val="110"/>
          <w:sz w:val="18"/>
        </w:rPr>
        <w:t>to that </w:t>
      </w:r>
      <w:r>
        <w:rPr>
          <w:color w:val="231F20"/>
          <w:spacing w:val="2"/>
          <w:w w:val="110"/>
          <w:sz w:val="18"/>
        </w:rPr>
        <w:t>Section </w:t>
      </w:r>
      <w:r>
        <w:rPr>
          <w:color w:val="231F20"/>
          <w:w w:val="110"/>
          <w:sz w:val="18"/>
        </w:rPr>
        <w:t>of this </w:t>
      </w:r>
      <w:r>
        <w:rPr>
          <w:color w:val="231F20"/>
          <w:spacing w:val="2"/>
          <w:w w:val="110"/>
          <w:sz w:val="18"/>
        </w:rPr>
        <w:t>Part </w:t>
      </w:r>
      <w:r>
        <w:rPr>
          <w:color w:val="231F20"/>
          <w:w w:val="110"/>
          <w:sz w:val="18"/>
        </w:rPr>
        <w:t>II and the following words and expressions </w:t>
      </w:r>
      <w:r>
        <w:rPr>
          <w:color w:val="231F20"/>
          <w:spacing w:val="3"/>
          <w:w w:val="110"/>
          <w:sz w:val="18"/>
        </w:rPr>
        <w:t>carry </w:t>
      </w:r>
      <w:r>
        <w:rPr>
          <w:color w:val="231F20"/>
          <w:w w:val="110"/>
          <w:sz w:val="18"/>
        </w:rPr>
        <w:t>the following</w:t>
      </w:r>
      <w:r>
        <w:rPr>
          <w:color w:val="231F20"/>
          <w:spacing w:val="10"/>
          <w:w w:val="110"/>
          <w:sz w:val="18"/>
        </w:rPr>
        <w:t> </w:t>
      </w:r>
      <w:r>
        <w:rPr>
          <w:color w:val="231F20"/>
          <w:w w:val="110"/>
          <w:sz w:val="18"/>
        </w:rPr>
        <w:t>meanings:–</w:t>
      </w:r>
    </w:p>
    <w:p>
      <w:pPr>
        <w:pStyle w:val="BodyText"/>
        <w:spacing w:before="8"/>
        <w:rPr>
          <w:sz w:val="20"/>
        </w:rPr>
      </w:pPr>
    </w:p>
    <w:p>
      <w:pPr>
        <w:pStyle w:val="ListParagraph"/>
        <w:numPr>
          <w:ilvl w:val="3"/>
          <w:numId w:val="122"/>
        </w:numPr>
        <w:tabs>
          <w:tab w:pos="1688" w:val="left" w:leader="none"/>
        </w:tabs>
        <w:spacing w:line="273" w:lineRule="auto" w:before="0" w:after="0"/>
        <w:ind w:left="967" w:right="2946" w:hanging="1"/>
        <w:jc w:val="left"/>
        <w:rPr>
          <w:sz w:val="18"/>
        </w:rPr>
      </w:pPr>
      <w:r>
        <w:rPr>
          <w:b/>
          <w:color w:val="231F20"/>
          <w:w w:val="110"/>
          <w:sz w:val="18"/>
        </w:rPr>
        <w:t>“Appeals Commission” </w:t>
      </w:r>
      <w:r>
        <w:rPr>
          <w:color w:val="231F20"/>
          <w:w w:val="110"/>
          <w:sz w:val="18"/>
        </w:rPr>
        <w:t>shall mean the Commission constituted for the hearing of each Appeal in accordance with </w:t>
      </w:r>
      <w:r>
        <w:rPr>
          <w:color w:val="231F20"/>
          <w:spacing w:val="2"/>
          <w:w w:val="110"/>
          <w:sz w:val="18"/>
        </w:rPr>
        <w:t>Section</w:t>
      </w:r>
      <w:r>
        <w:rPr>
          <w:color w:val="231F20"/>
          <w:spacing w:val="45"/>
          <w:w w:val="110"/>
          <w:sz w:val="18"/>
        </w:rPr>
        <w:t> </w:t>
      </w:r>
      <w:r>
        <w:rPr>
          <w:color w:val="231F20"/>
          <w:w w:val="110"/>
          <w:sz w:val="18"/>
        </w:rPr>
        <w:t>G.</w:t>
      </w:r>
    </w:p>
    <w:p>
      <w:pPr>
        <w:pStyle w:val="BodyText"/>
        <w:spacing w:before="8"/>
        <w:rPr>
          <w:sz w:val="20"/>
        </w:rPr>
      </w:pPr>
    </w:p>
    <w:p>
      <w:pPr>
        <w:pStyle w:val="ListParagraph"/>
        <w:numPr>
          <w:ilvl w:val="3"/>
          <w:numId w:val="122"/>
        </w:numPr>
        <w:tabs>
          <w:tab w:pos="1688" w:val="left" w:leader="none"/>
        </w:tabs>
        <w:spacing w:line="273" w:lineRule="auto" w:before="1" w:after="0"/>
        <w:ind w:left="967" w:right="2755" w:hanging="1"/>
        <w:jc w:val="left"/>
        <w:rPr>
          <w:sz w:val="18"/>
        </w:rPr>
      </w:pPr>
      <w:r>
        <w:rPr>
          <w:b/>
          <w:color w:val="231F20"/>
          <w:w w:val="110"/>
          <w:sz w:val="18"/>
        </w:rPr>
        <w:t>“Appointers” </w:t>
      </w:r>
      <w:r>
        <w:rPr>
          <w:color w:val="231F20"/>
          <w:w w:val="110"/>
          <w:sz w:val="18"/>
        </w:rPr>
        <w:t>shall mean the </w:t>
      </w:r>
      <w:r>
        <w:rPr>
          <w:color w:val="231F20"/>
          <w:spacing w:val="2"/>
          <w:w w:val="110"/>
          <w:sz w:val="18"/>
        </w:rPr>
        <w:t>persons </w:t>
      </w:r>
      <w:r>
        <w:rPr>
          <w:color w:val="231F20"/>
          <w:w w:val="110"/>
          <w:sz w:val="18"/>
        </w:rPr>
        <w:t>responsible under </w:t>
      </w:r>
      <w:r>
        <w:rPr>
          <w:color w:val="231F20"/>
          <w:spacing w:val="2"/>
          <w:w w:val="110"/>
          <w:sz w:val="18"/>
        </w:rPr>
        <w:t>Section </w:t>
      </w:r>
      <w:r>
        <w:rPr>
          <w:color w:val="231F20"/>
          <w:w w:val="110"/>
          <w:sz w:val="18"/>
        </w:rPr>
        <w:t>C for the appointment of the Assembly</w:t>
      </w:r>
      <w:r>
        <w:rPr>
          <w:color w:val="231F20"/>
          <w:spacing w:val="17"/>
          <w:w w:val="110"/>
          <w:sz w:val="18"/>
        </w:rPr>
        <w:t> </w:t>
      </w:r>
      <w:r>
        <w:rPr>
          <w:color w:val="231F20"/>
          <w:w w:val="110"/>
          <w:sz w:val="18"/>
        </w:rPr>
        <w:t>Commission.</w:t>
      </w:r>
    </w:p>
    <w:p>
      <w:pPr>
        <w:pStyle w:val="BodyText"/>
        <w:spacing w:before="5"/>
        <w:rPr>
          <w:sz w:val="12"/>
        </w:rPr>
      </w:pPr>
    </w:p>
    <w:p>
      <w:pPr>
        <w:pStyle w:val="ListParagraph"/>
        <w:numPr>
          <w:ilvl w:val="3"/>
          <w:numId w:val="122"/>
        </w:numPr>
        <w:tabs>
          <w:tab w:pos="1688" w:val="left" w:leader="none"/>
        </w:tabs>
        <w:spacing w:line="273" w:lineRule="auto" w:before="100" w:after="0"/>
        <w:ind w:left="967" w:right="2821" w:firstLine="0"/>
        <w:jc w:val="left"/>
        <w:rPr>
          <w:sz w:val="18"/>
        </w:rPr>
      </w:pPr>
      <w:r>
        <w:rPr>
          <w:b/>
          <w:color w:val="231F20"/>
          <w:w w:val="110"/>
          <w:sz w:val="18"/>
        </w:rPr>
        <w:t>“Assembly Commission” </w:t>
      </w:r>
      <w:r>
        <w:rPr>
          <w:color w:val="231F20"/>
          <w:w w:val="110"/>
          <w:sz w:val="18"/>
        </w:rPr>
        <w:t>shall mean a Commission consisting of five </w:t>
      </w:r>
      <w:r>
        <w:rPr>
          <w:color w:val="231F20"/>
          <w:spacing w:val="-4"/>
          <w:w w:val="110"/>
          <w:sz w:val="18"/>
        </w:rPr>
        <w:t>(5) </w:t>
      </w:r>
      <w:r>
        <w:rPr>
          <w:color w:val="231F20"/>
          <w:spacing w:val="2"/>
          <w:w w:val="110"/>
          <w:sz w:val="18"/>
        </w:rPr>
        <w:t>persons selected from </w:t>
      </w:r>
      <w:r>
        <w:rPr>
          <w:color w:val="231F20"/>
          <w:w w:val="110"/>
          <w:sz w:val="18"/>
        </w:rPr>
        <w:t>the Commission Panel for the purpose of hearing and deciding each </w:t>
      </w:r>
      <w:r>
        <w:rPr>
          <w:color w:val="231F20"/>
          <w:spacing w:val="2"/>
          <w:w w:val="110"/>
          <w:sz w:val="18"/>
        </w:rPr>
        <w:t>case </w:t>
      </w:r>
      <w:r>
        <w:rPr>
          <w:color w:val="231F20"/>
          <w:w w:val="110"/>
          <w:sz w:val="18"/>
        </w:rPr>
        <w:t>dealt with under the </w:t>
      </w:r>
      <w:r>
        <w:rPr>
          <w:color w:val="231F20"/>
          <w:spacing w:val="2"/>
          <w:w w:val="110"/>
          <w:sz w:val="18"/>
        </w:rPr>
        <w:t>Section </w:t>
      </w:r>
      <w:r>
        <w:rPr>
          <w:color w:val="231F20"/>
          <w:w w:val="110"/>
          <w:sz w:val="18"/>
        </w:rPr>
        <w:t>O</w:t>
      </w:r>
      <w:r>
        <w:rPr>
          <w:color w:val="231F20"/>
          <w:spacing w:val="15"/>
          <w:w w:val="110"/>
          <w:sz w:val="18"/>
        </w:rPr>
        <w:t> </w:t>
      </w:r>
      <w:r>
        <w:rPr>
          <w:color w:val="231F20"/>
          <w:spacing w:val="2"/>
          <w:w w:val="110"/>
          <w:sz w:val="18"/>
        </w:rPr>
        <w:t>Process.</w:t>
      </w:r>
    </w:p>
    <w:p>
      <w:pPr>
        <w:spacing w:before="45"/>
        <w:ind w:left="0" w:right="1131" w:firstLine="0"/>
        <w:jc w:val="right"/>
        <w:rPr>
          <w:rFonts w:ascii="Eurostile Bold"/>
          <w:b/>
          <w:sz w:val="24"/>
        </w:rPr>
      </w:pPr>
      <w:r>
        <w:rPr>
          <w:rFonts w:ascii="Eurostile Bold"/>
          <w:b/>
          <w:color w:val="231F20"/>
          <w:w w:val="87"/>
          <w:sz w:val="24"/>
        </w:rPr>
        <w:t>3</w:t>
      </w:r>
    </w:p>
    <w:p>
      <w:pPr>
        <w:spacing w:after="0"/>
        <w:jc w:val="right"/>
        <w:rPr>
          <w:rFonts w:ascii="Eurostile Bold"/>
          <w:sz w:val="24"/>
        </w:rPr>
        <w:sectPr>
          <w:headerReference w:type="default" r:id="rId439"/>
          <w:footerReference w:type="default" r:id="rId440"/>
          <w:pgSz w:w="11910" w:h="16840"/>
          <w:pgMar w:header="0" w:footer="0" w:top="900" w:bottom="280" w:left="620" w:right="0"/>
        </w:sectPr>
      </w:pPr>
    </w:p>
    <w:p>
      <w:pPr>
        <w:pStyle w:val="BodyText"/>
        <w:spacing w:before="7"/>
        <w:rPr>
          <w:rFonts w:ascii="Eurostile Bold"/>
          <w:b/>
          <w:sz w:val="13"/>
        </w:rPr>
      </w:pPr>
    </w:p>
    <w:p>
      <w:pPr>
        <w:pStyle w:val="ListParagraph"/>
        <w:numPr>
          <w:ilvl w:val="3"/>
          <w:numId w:val="122"/>
        </w:numPr>
        <w:tabs>
          <w:tab w:pos="1234" w:val="left" w:leader="none"/>
        </w:tabs>
        <w:spacing w:line="240" w:lineRule="auto" w:before="100" w:after="0"/>
        <w:ind w:left="1233" w:right="0" w:hanging="721"/>
        <w:jc w:val="left"/>
        <w:rPr>
          <w:sz w:val="18"/>
        </w:rPr>
      </w:pPr>
      <w:r>
        <w:rPr>
          <w:b/>
          <w:color w:val="231F20"/>
          <w:w w:val="110"/>
          <w:sz w:val="18"/>
        </w:rPr>
        <w:t>“Basis of Union” </w:t>
      </w:r>
      <w:r>
        <w:rPr>
          <w:color w:val="231F20"/>
          <w:w w:val="110"/>
          <w:sz w:val="18"/>
        </w:rPr>
        <w:t>shall mean the Basis of Union of the United Reformed</w:t>
      </w:r>
      <w:r>
        <w:rPr>
          <w:color w:val="231F20"/>
          <w:spacing w:val="49"/>
          <w:w w:val="110"/>
          <w:sz w:val="18"/>
        </w:rPr>
        <w:t> </w:t>
      </w:r>
      <w:r>
        <w:rPr>
          <w:color w:val="231F20"/>
          <w:w w:val="110"/>
          <w:sz w:val="18"/>
        </w:rPr>
        <w:t>Church.</w:t>
      </w:r>
    </w:p>
    <w:p>
      <w:pPr>
        <w:pStyle w:val="BodyText"/>
        <w:spacing w:before="1"/>
        <w:rPr>
          <w:sz w:val="23"/>
        </w:rPr>
      </w:pPr>
    </w:p>
    <w:p>
      <w:pPr>
        <w:pStyle w:val="ListParagraph"/>
        <w:numPr>
          <w:ilvl w:val="3"/>
          <w:numId w:val="122"/>
        </w:numPr>
        <w:tabs>
          <w:tab w:pos="1234" w:val="left" w:leader="none"/>
        </w:tabs>
        <w:spacing w:line="273" w:lineRule="auto" w:before="1" w:after="0"/>
        <w:ind w:left="514" w:right="1748" w:hanging="1"/>
        <w:jc w:val="left"/>
        <w:rPr>
          <w:sz w:val="18"/>
        </w:rPr>
      </w:pPr>
      <w:r>
        <w:rPr>
          <w:b/>
          <w:color w:val="231F20"/>
          <w:w w:val="110"/>
          <w:sz w:val="18"/>
        </w:rPr>
        <w:t>“Commission Panel” </w:t>
      </w:r>
      <w:r>
        <w:rPr>
          <w:color w:val="231F20"/>
          <w:w w:val="110"/>
          <w:sz w:val="18"/>
        </w:rPr>
        <w:t>shall mean a Panel consisting of a maximum of </w:t>
      </w:r>
      <w:r>
        <w:rPr>
          <w:color w:val="231F20"/>
          <w:spacing w:val="2"/>
          <w:w w:val="110"/>
          <w:sz w:val="18"/>
        </w:rPr>
        <w:t>fifty </w:t>
      </w:r>
      <w:r>
        <w:rPr>
          <w:color w:val="231F20"/>
          <w:spacing w:val="-7"/>
          <w:w w:val="110"/>
          <w:sz w:val="18"/>
        </w:rPr>
        <w:t>(50) </w:t>
      </w:r>
      <w:r>
        <w:rPr>
          <w:color w:val="231F20"/>
          <w:w w:val="110"/>
          <w:sz w:val="18"/>
        </w:rPr>
        <w:t>members of the United Reformed Church from whom shall be chosen the persons to form the</w:t>
      </w:r>
      <w:r>
        <w:rPr>
          <w:color w:val="231F20"/>
          <w:spacing w:val="-6"/>
          <w:w w:val="110"/>
          <w:sz w:val="18"/>
        </w:rPr>
        <w:t> </w:t>
      </w:r>
      <w:r>
        <w:rPr>
          <w:color w:val="231F20"/>
          <w:w w:val="110"/>
          <w:sz w:val="18"/>
        </w:rPr>
        <w:t>Assembly</w:t>
      </w:r>
      <w:r>
        <w:rPr>
          <w:color w:val="231F20"/>
          <w:spacing w:val="-5"/>
          <w:w w:val="110"/>
          <w:sz w:val="18"/>
        </w:rPr>
        <w:t> </w:t>
      </w:r>
      <w:r>
        <w:rPr>
          <w:color w:val="231F20"/>
          <w:w w:val="110"/>
          <w:sz w:val="18"/>
        </w:rPr>
        <w:t>Commission</w:t>
      </w:r>
      <w:r>
        <w:rPr>
          <w:color w:val="231F20"/>
          <w:spacing w:val="-6"/>
          <w:w w:val="110"/>
          <w:sz w:val="18"/>
        </w:rPr>
        <w:t> </w:t>
      </w:r>
      <w:r>
        <w:rPr>
          <w:color w:val="231F20"/>
          <w:w w:val="110"/>
          <w:sz w:val="18"/>
        </w:rPr>
        <w:t>to</w:t>
      </w:r>
      <w:r>
        <w:rPr>
          <w:color w:val="231F20"/>
          <w:spacing w:val="-5"/>
          <w:w w:val="110"/>
          <w:sz w:val="18"/>
        </w:rPr>
        <w:t> </w:t>
      </w:r>
      <w:r>
        <w:rPr>
          <w:color w:val="231F20"/>
          <w:w w:val="110"/>
          <w:sz w:val="18"/>
        </w:rPr>
        <w:t>hear</w:t>
      </w:r>
      <w:r>
        <w:rPr>
          <w:color w:val="231F20"/>
          <w:spacing w:val="-5"/>
          <w:w w:val="110"/>
          <w:sz w:val="18"/>
        </w:rPr>
        <w:t> </w:t>
      </w:r>
      <w:r>
        <w:rPr>
          <w:color w:val="231F20"/>
          <w:w w:val="110"/>
          <w:sz w:val="18"/>
        </w:rPr>
        <w:t>each</w:t>
      </w:r>
      <w:r>
        <w:rPr>
          <w:color w:val="231F20"/>
          <w:spacing w:val="-6"/>
          <w:w w:val="110"/>
          <w:sz w:val="18"/>
        </w:rPr>
        <w:t> </w:t>
      </w:r>
      <w:r>
        <w:rPr>
          <w:color w:val="231F20"/>
          <w:w w:val="110"/>
          <w:sz w:val="18"/>
        </w:rPr>
        <w:t>case</w:t>
      </w:r>
      <w:r>
        <w:rPr>
          <w:color w:val="231F20"/>
          <w:spacing w:val="-5"/>
          <w:w w:val="110"/>
          <w:sz w:val="18"/>
        </w:rPr>
        <w:t> </w:t>
      </w:r>
      <w:r>
        <w:rPr>
          <w:color w:val="231F20"/>
          <w:w w:val="110"/>
          <w:sz w:val="18"/>
        </w:rPr>
        <w:t>being</w:t>
      </w:r>
      <w:r>
        <w:rPr>
          <w:color w:val="231F20"/>
          <w:spacing w:val="-5"/>
          <w:w w:val="110"/>
          <w:sz w:val="18"/>
        </w:rPr>
        <w:t> </w:t>
      </w:r>
      <w:r>
        <w:rPr>
          <w:color w:val="231F20"/>
          <w:w w:val="110"/>
          <w:sz w:val="18"/>
        </w:rPr>
        <w:t>dealt</w:t>
      </w:r>
      <w:r>
        <w:rPr>
          <w:color w:val="231F20"/>
          <w:spacing w:val="-6"/>
          <w:w w:val="110"/>
          <w:sz w:val="18"/>
        </w:rPr>
        <w:t> </w:t>
      </w:r>
      <w:r>
        <w:rPr>
          <w:color w:val="231F20"/>
          <w:w w:val="110"/>
          <w:sz w:val="18"/>
        </w:rPr>
        <w:t>with</w:t>
      </w:r>
      <w:r>
        <w:rPr>
          <w:color w:val="231F20"/>
          <w:spacing w:val="-5"/>
          <w:w w:val="110"/>
          <w:sz w:val="18"/>
        </w:rPr>
        <w:t> </w:t>
      </w:r>
      <w:r>
        <w:rPr>
          <w:color w:val="231F20"/>
          <w:w w:val="110"/>
          <w:sz w:val="18"/>
        </w:rPr>
        <w:t>under</w:t>
      </w:r>
      <w:r>
        <w:rPr>
          <w:color w:val="231F20"/>
          <w:spacing w:val="-5"/>
          <w:w w:val="110"/>
          <w:sz w:val="18"/>
        </w:rPr>
        <w:t> </w:t>
      </w:r>
      <w:r>
        <w:rPr>
          <w:color w:val="231F20"/>
          <w:w w:val="110"/>
          <w:sz w:val="18"/>
        </w:rPr>
        <w:t>the</w:t>
      </w:r>
      <w:r>
        <w:rPr>
          <w:color w:val="231F20"/>
          <w:spacing w:val="-6"/>
          <w:w w:val="110"/>
          <w:sz w:val="18"/>
        </w:rPr>
        <w:t> </w:t>
      </w:r>
      <w:r>
        <w:rPr>
          <w:color w:val="231F20"/>
          <w:w w:val="110"/>
          <w:sz w:val="18"/>
        </w:rPr>
        <w:t>Section</w:t>
      </w:r>
      <w:r>
        <w:rPr>
          <w:color w:val="231F20"/>
          <w:spacing w:val="-5"/>
          <w:w w:val="110"/>
          <w:sz w:val="18"/>
        </w:rPr>
        <w:t> </w:t>
      </w:r>
      <w:r>
        <w:rPr>
          <w:color w:val="231F20"/>
          <w:w w:val="110"/>
          <w:sz w:val="18"/>
        </w:rPr>
        <w:t>O</w:t>
      </w:r>
      <w:r>
        <w:rPr>
          <w:color w:val="231F20"/>
          <w:spacing w:val="-5"/>
          <w:w w:val="110"/>
          <w:sz w:val="18"/>
        </w:rPr>
        <w:t> </w:t>
      </w:r>
      <w:r>
        <w:rPr>
          <w:color w:val="231F20"/>
          <w:w w:val="110"/>
          <w:sz w:val="18"/>
        </w:rPr>
        <w:t>Process.</w:t>
      </w:r>
    </w:p>
    <w:p>
      <w:pPr>
        <w:pStyle w:val="BodyText"/>
        <w:spacing w:before="8"/>
        <w:rPr>
          <w:sz w:val="20"/>
        </w:rPr>
      </w:pPr>
    </w:p>
    <w:p>
      <w:pPr>
        <w:pStyle w:val="ListParagraph"/>
        <w:numPr>
          <w:ilvl w:val="3"/>
          <w:numId w:val="122"/>
        </w:numPr>
        <w:tabs>
          <w:tab w:pos="1234" w:val="left" w:leader="none"/>
        </w:tabs>
        <w:spacing w:line="273" w:lineRule="auto" w:before="0" w:after="0"/>
        <w:ind w:left="513" w:right="1869" w:firstLine="0"/>
        <w:jc w:val="left"/>
        <w:rPr>
          <w:sz w:val="18"/>
        </w:rPr>
      </w:pPr>
      <w:r>
        <w:rPr>
          <w:b/>
          <w:color w:val="231F20"/>
          <w:w w:val="110"/>
          <w:sz w:val="18"/>
        </w:rPr>
        <w:t>“Commission Stage” </w:t>
      </w:r>
      <w:r>
        <w:rPr>
          <w:color w:val="231F20"/>
          <w:w w:val="110"/>
          <w:sz w:val="18"/>
        </w:rPr>
        <w:t>shall mean that </w:t>
      </w:r>
      <w:r>
        <w:rPr>
          <w:color w:val="231F20"/>
          <w:spacing w:val="2"/>
          <w:w w:val="110"/>
          <w:sz w:val="18"/>
        </w:rPr>
        <w:t>part </w:t>
      </w:r>
      <w:r>
        <w:rPr>
          <w:color w:val="231F20"/>
          <w:w w:val="110"/>
          <w:sz w:val="18"/>
        </w:rPr>
        <w:t>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initiated in accordance with Paragraph </w:t>
      </w:r>
      <w:r>
        <w:rPr>
          <w:color w:val="231F20"/>
          <w:spacing w:val="-3"/>
          <w:w w:val="110"/>
          <w:sz w:val="18"/>
        </w:rPr>
        <w:t>B.8.1 </w:t>
      </w:r>
      <w:r>
        <w:rPr>
          <w:color w:val="231F20"/>
          <w:w w:val="110"/>
          <w:sz w:val="18"/>
        </w:rPr>
        <w:t>and continuing until the conclusion of the</w:t>
      </w:r>
      <w:r>
        <w:rPr>
          <w:color w:val="231F20"/>
          <w:spacing w:val="14"/>
          <w:w w:val="110"/>
          <w:sz w:val="18"/>
        </w:rPr>
        <w:t> </w:t>
      </w:r>
      <w:r>
        <w:rPr>
          <w:color w:val="231F20"/>
          <w:w w:val="110"/>
          <w:sz w:val="18"/>
        </w:rPr>
        <w:t>case.</w:t>
      </w:r>
    </w:p>
    <w:p>
      <w:pPr>
        <w:pStyle w:val="BodyText"/>
        <w:spacing w:before="8"/>
        <w:rPr>
          <w:sz w:val="20"/>
        </w:rPr>
      </w:pPr>
    </w:p>
    <w:p>
      <w:pPr>
        <w:pStyle w:val="ListParagraph"/>
        <w:numPr>
          <w:ilvl w:val="3"/>
          <w:numId w:val="122"/>
        </w:numPr>
        <w:tabs>
          <w:tab w:pos="1234" w:val="left" w:leader="none"/>
        </w:tabs>
        <w:spacing w:line="273" w:lineRule="auto" w:before="1" w:after="0"/>
        <w:ind w:left="513" w:right="2029" w:firstLine="0"/>
        <w:jc w:val="left"/>
        <w:rPr>
          <w:sz w:val="18"/>
        </w:rPr>
      </w:pPr>
      <w:r>
        <w:rPr>
          <w:b/>
          <w:color w:val="231F20"/>
          <w:w w:val="110"/>
          <w:sz w:val="18"/>
        </w:rPr>
        <w:t>“Council” </w:t>
      </w:r>
      <w:r>
        <w:rPr>
          <w:color w:val="231F20"/>
          <w:w w:val="110"/>
          <w:sz w:val="18"/>
        </w:rPr>
        <w:t>shall mean the council of the Church whose Mandated Group issues the Referral</w:t>
      </w:r>
      <w:r>
        <w:rPr>
          <w:color w:val="231F20"/>
          <w:spacing w:val="2"/>
          <w:w w:val="110"/>
          <w:sz w:val="18"/>
        </w:rPr>
        <w:t> </w:t>
      </w:r>
      <w:r>
        <w:rPr>
          <w:color w:val="231F20"/>
          <w:w w:val="110"/>
          <w:sz w:val="18"/>
        </w:rPr>
        <w:t>Notice.</w:t>
      </w:r>
    </w:p>
    <w:p>
      <w:pPr>
        <w:pStyle w:val="BodyText"/>
        <w:spacing w:before="8"/>
        <w:rPr>
          <w:sz w:val="20"/>
        </w:rPr>
      </w:pPr>
    </w:p>
    <w:p>
      <w:pPr>
        <w:pStyle w:val="ListParagraph"/>
        <w:numPr>
          <w:ilvl w:val="3"/>
          <w:numId w:val="122"/>
        </w:numPr>
        <w:tabs>
          <w:tab w:pos="1234" w:val="left" w:leader="none"/>
        </w:tabs>
        <w:spacing w:line="273" w:lineRule="auto" w:before="0" w:after="0"/>
        <w:ind w:left="513" w:right="1750" w:firstLine="0"/>
        <w:jc w:val="both"/>
        <w:rPr>
          <w:sz w:val="18"/>
        </w:rPr>
      </w:pPr>
      <w:r>
        <w:rPr>
          <w:b/>
          <w:color w:val="231F20"/>
          <w:w w:val="110"/>
          <w:sz w:val="18"/>
        </w:rPr>
        <w:t>“Deletion” </w:t>
      </w:r>
      <w:r>
        <w:rPr>
          <w:color w:val="231F20"/>
          <w:w w:val="110"/>
          <w:sz w:val="18"/>
        </w:rPr>
        <w:t>and </w:t>
      </w:r>
      <w:r>
        <w:rPr>
          <w:b/>
          <w:color w:val="231F20"/>
          <w:spacing w:val="3"/>
          <w:w w:val="110"/>
          <w:sz w:val="18"/>
        </w:rPr>
        <w:t>“to </w:t>
      </w:r>
      <w:r>
        <w:rPr>
          <w:b/>
          <w:color w:val="231F20"/>
          <w:w w:val="110"/>
          <w:sz w:val="18"/>
        </w:rPr>
        <w:t>delete” </w:t>
      </w:r>
      <w:r>
        <w:rPr>
          <w:color w:val="231F20"/>
          <w:w w:val="110"/>
          <w:sz w:val="18"/>
        </w:rPr>
        <w:t>shall mean the removal of/to remove the name of a Minister </w:t>
      </w:r>
      <w:r>
        <w:rPr>
          <w:color w:val="231F20"/>
          <w:spacing w:val="2"/>
          <w:w w:val="110"/>
          <w:sz w:val="18"/>
        </w:rPr>
        <w:t>from </w:t>
      </w:r>
      <w:r>
        <w:rPr>
          <w:color w:val="231F20"/>
          <w:w w:val="110"/>
          <w:sz w:val="18"/>
        </w:rPr>
        <w:t>the Roll of Ministers other than at the request of the Minister concerned or by the acceptance of his/her resignation or by his/her</w:t>
      </w:r>
      <w:r>
        <w:rPr>
          <w:color w:val="231F20"/>
          <w:spacing w:val="24"/>
          <w:w w:val="110"/>
          <w:sz w:val="18"/>
        </w:rPr>
        <w:t> </w:t>
      </w:r>
      <w:r>
        <w:rPr>
          <w:color w:val="231F20"/>
          <w:w w:val="110"/>
          <w:sz w:val="18"/>
        </w:rPr>
        <w:t>death.</w:t>
      </w:r>
    </w:p>
    <w:p>
      <w:pPr>
        <w:pStyle w:val="BodyText"/>
        <w:spacing w:before="8"/>
        <w:rPr>
          <w:sz w:val="20"/>
        </w:rPr>
      </w:pPr>
    </w:p>
    <w:p>
      <w:pPr>
        <w:pStyle w:val="ListParagraph"/>
        <w:numPr>
          <w:ilvl w:val="3"/>
          <w:numId w:val="122"/>
        </w:numPr>
        <w:tabs>
          <w:tab w:pos="1234" w:val="left" w:leader="none"/>
        </w:tabs>
        <w:spacing w:line="273" w:lineRule="auto" w:before="1" w:after="0"/>
        <w:ind w:left="513" w:right="1699" w:firstLine="0"/>
        <w:jc w:val="left"/>
        <w:rPr>
          <w:sz w:val="18"/>
        </w:rPr>
      </w:pPr>
      <w:r>
        <w:rPr>
          <w:b/>
          <w:color w:val="231F20"/>
          <w:spacing w:val="2"/>
          <w:w w:val="110"/>
          <w:sz w:val="18"/>
        </w:rPr>
        <w:t>“District </w:t>
      </w:r>
      <w:r>
        <w:rPr>
          <w:b/>
          <w:color w:val="231F20"/>
          <w:w w:val="110"/>
          <w:sz w:val="18"/>
        </w:rPr>
        <w:t>Council” </w:t>
      </w:r>
      <w:r>
        <w:rPr>
          <w:color w:val="231F20"/>
          <w:w w:val="110"/>
          <w:sz w:val="18"/>
        </w:rPr>
        <w:t>shall mean that </w:t>
      </w:r>
      <w:r>
        <w:rPr>
          <w:color w:val="231F20"/>
          <w:spacing w:val="2"/>
          <w:w w:val="110"/>
          <w:sz w:val="18"/>
        </w:rPr>
        <w:t>District </w:t>
      </w:r>
      <w:r>
        <w:rPr>
          <w:color w:val="231F20"/>
          <w:w w:val="110"/>
          <w:sz w:val="18"/>
        </w:rPr>
        <w:t>Council which in relation to any Minister exercises oversight of that Minister in accordance with its function under Paragraph 2 </w:t>
      </w:r>
      <w:r>
        <w:rPr>
          <w:color w:val="231F20"/>
          <w:spacing w:val="-6"/>
          <w:w w:val="110"/>
          <w:sz w:val="18"/>
        </w:rPr>
        <w:t>(3)(i) </w:t>
      </w:r>
      <w:r>
        <w:rPr>
          <w:color w:val="231F20"/>
          <w:w w:val="110"/>
          <w:sz w:val="18"/>
        </w:rPr>
        <w:t>of the </w:t>
      </w:r>
      <w:r>
        <w:rPr>
          <w:color w:val="231F20"/>
          <w:spacing w:val="2"/>
          <w:w w:val="110"/>
          <w:sz w:val="18"/>
        </w:rPr>
        <w:t>Structure </w:t>
      </w:r>
      <w:r>
        <w:rPr>
          <w:color w:val="231F20"/>
          <w:w w:val="110"/>
          <w:sz w:val="18"/>
        </w:rPr>
        <w:t>and </w:t>
      </w:r>
      <w:r>
        <w:rPr>
          <w:color w:val="231F20"/>
          <w:spacing w:val="2"/>
          <w:w w:val="110"/>
          <w:sz w:val="18"/>
        </w:rPr>
        <w:t>references </w:t>
      </w:r>
      <w:r>
        <w:rPr>
          <w:color w:val="231F20"/>
          <w:w w:val="110"/>
          <w:sz w:val="18"/>
        </w:rPr>
        <w:t>to </w:t>
      </w:r>
      <w:r>
        <w:rPr>
          <w:color w:val="231F20"/>
          <w:spacing w:val="2"/>
          <w:w w:val="110"/>
          <w:sz w:val="18"/>
        </w:rPr>
        <w:t>District </w:t>
      </w:r>
      <w:r>
        <w:rPr>
          <w:color w:val="231F20"/>
          <w:w w:val="110"/>
          <w:sz w:val="18"/>
        </w:rPr>
        <w:t>Council shall be understood to include area councils in Scotland such area councils being in every </w:t>
      </w:r>
      <w:r>
        <w:rPr>
          <w:color w:val="231F20"/>
          <w:spacing w:val="3"/>
          <w:w w:val="110"/>
          <w:sz w:val="18"/>
        </w:rPr>
        <w:t>respect </w:t>
      </w:r>
      <w:r>
        <w:rPr>
          <w:color w:val="231F20"/>
          <w:w w:val="110"/>
          <w:sz w:val="18"/>
        </w:rPr>
        <w:t>identical with </w:t>
      </w:r>
      <w:r>
        <w:rPr>
          <w:color w:val="231F20"/>
          <w:spacing w:val="2"/>
          <w:w w:val="110"/>
          <w:sz w:val="18"/>
        </w:rPr>
        <w:t>district </w:t>
      </w:r>
      <w:r>
        <w:rPr>
          <w:color w:val="231F20"/>
          <w:w w:val="110"/>
          <w:sz w:val="18"/>
        </w:rPr>
        <w:t>councils and wherever the words </w:t>
      </w:r>
      <w:r>
        <w:rPr>
          <w:b/>
          <w:color w:val="231F20"/>
          <w:spacing w:val="2"/>
          <w:w w:val="110"/>
          <w:sz w:val="18"/>
        </w:rPr>
        <w:t>“District </w:t>
      </w:r>
      <w:r>
        <w:rPr>
          <w:b/>
          <w:color w:val="231F20"/>
          <w:w w:val="110"/>
          <w:sz w:val="18"/>
        </w:rPr>
        <w:t>Council” </w:t>
      </w:r>
      <w:r>
        <w:rPr>
          <w:color w:val="231F20"/>
          <w:w w:val="110"/>
          <w:sz w:val="18"/>
        </w:rPr>
        <w:t>or </w:t>
      </w:r>
      <w:r>
        <w:rPr>
          <w:b/>
          <w:color w:val="231F20"/>
          <w:spacing w:val="2"/>
          <w:w w:val="110"/>
          <w:sz w:val="18"/>
        </w:rPr>
        <w:t>“district” </w:t>
      </w:r>
      <w:r>
        <w:rPr>
          <w:color w:val="231F20"/>
          <w:w w:val="110"/>
          <w:sz w:val="18"/>
        </w:rPr>
        <w:t>appear they shall as regards Scotland be read as meaning </w:t>
      </w:r>
      <w:r>
        <w:rPr>
          <w:b/>
          <w:color w:val="231F20"/>
          <w:w w:val="110"/>
          <w:sz w:val="18"/>
        </w:rPr>
        <w:t>“Area Council” </w:t>
      </w:r>
      <w:r>
        <w:rPr>
          <w:color w:val="231F20"/>
          <w:w w:val="110"/>
          <w:sz w:val="18"/>
        </w:rPr>
        <w:t>or</w:t>
      </w:r>
      <w:r>
        <w:rPr>
          <w:color w:val="231F20"/>
          <w:spacing w:val="58"/>
          <w:w w:val="110"/>
          <w:sz w:val="18"/>
        </w:rPr>
        <w:t> </w:t>
      </w:r>
      <w:r>
        <w:rPr>
          <w:b/>
          <w:color w:val="231F20"/>
          <w:w w:val="110"/>
          <w:sz w:val="18"/>
        </w:rPr>
        <w:t>“area”</w:t>
      </w:r>
      <w:r>
        <w:rPr>
          <w:color w:val="231F20"/>
          <w:w w:val="110"/>
          <w:sz w:val="18"/>
        </w:rPr>
        <w:t>.</w:t>
      </w:r>
    </w:p>
    <w:p>
      <w:pPr>
        <w:pStyle w:val="BodyText"/>
        <w:spacing w:before="10"/>
        <w:rPr>
          <w:sz w:val="20"/>
        </w:rPr>
      </w:pPr>
    </w:p>
    <w:p>
      <w:pPr>
        <w:pStyle w:val="ListParagraph"/>
        <w:numPr>
          <w:ilvl w:val="3"/>
          <w:numId w:val="122"/>
        </w:numPr>
        <w:tabs>
          <w:tab w:pos="1234" w:val="left" w:leader="none"/>
        </w:tabs>
        <w:spacing w:line="273" w:lineRule="auto" w:before="0" w:after="0"/>
        <w:ind w:left="513" w:right="2036" w:firstLine="0"/>
        <w:jc w:val="left"/>
        <w:rPr>
          <w:sz w:val="18"/>
        </w:rPr>
      </w:pPr>
      <w:r>
        <w:rPr>
          <w:b/>
          <w:color w:val="231F20"/>
          <w:w w:val="110"/>
          <w:sz w:val="18"/>
        </w:rPr>
        <w:t>“Hearing” </w:t>
      </w:r>
      <w:r>
        <w:rPr>
          <w:color w:val="231F20"/>
          <w:w w:val="110"/>
          <w:sz w:val="18"/>
        </w:rPr>
        <w:t>shall mean the Hearing conducted by the Assembly Commission or the Appeals Commission under </w:t>
      </w:r>
      <w:r>
        <w:rPr>
          <w:color w:val="231F20"/>
          <w:spacing w:val="2"/>
          <w:w w:val="110"/>
          <w:sz w:val="18"/>
        </w:rPr>
        <w:t>Section </w:t>
      </w:r>
      <w:r>
        <w:rPr>
          <w:color w:val="231F20"/>
          <w:w w:val="110"/>
          <w:sz w:val="18"/>
        </w:rPr>
        <w:t>E or </w:t>
      </w:r>
      <w:r>
        <w:rPr>
          <w:color w:val="231F20"/>
          <w:spacing w:val="2"/>
          <w:w w:val="110"/>
          <w:sz w:val="18"/>
        </w:rPr>
        <w:t>Section</w:t>
      </w:r>
      <w:r>
        <w:rPr>
          <w:color w:val="231F20"/>
          <w:spacing w:val="15"/>
          <w:w w:val="110"/>
          <w:sz w:val="18"/>
        </w:rPr>
        <w:t> </w:t>
      </w:r>
      <w:r>
        <w:rPr>
          <w:color w:val="231F20"/>
          <w:w w:val="110"/>
          <w:sz w:val="18"/>
        </w:rPr>
        <w:t>G.</w:t>
      </w:r>
    </w:p>
    <w:p>
      <w:pPr>
        <w:pStyle w:val="BodyText"/>
        <w:spacing w:before="8"/>
        <w:rPr>
          <w:sz w:val="20"/>
        </w:rPr>
      </w:pPr>
    </w:p>
    <w:p>
      <w:pPr>
        <w:pStyle w:val="ListParagraph"/>
        <w:numPr>
          <w:ilvl w:val="3"/>
          <w:numId w:val="122"/>
        </w:numPr>
        <w:tabs>
          <w:tab w:pos="1234" w:val="left" w:leader="none"/>
        </w:tabs>
        <w:spacing w:line="273" w:lineRule="auto" w:before="0" w:after="0"/>
        <w:ind w:left="513" w:right="2030" w:firstLine="0"/>
        <w:jc w:val="left"/>
        <w:rPr>
          <w:sz w:val="18"/>
        </w:rPr>
      </w:pPr>
      <w:r>
        <w:rPr>
          <w:b/>
          <w:color w:val="231F20"/>
          <w:w w:val="110"/>
          <w:sz w:val="18"/>
        </w:rPr>
        <w:t>“Initial Enquiry” </w:t>
      </w:r>
      <w:r>
        <w:rPr>
          <w:color w:val="231F20"/>
          <w:w w:val="110"/>
          <w:sz w:val="18"/>
        </w:rPr>
        <w:t>shall mean the enquiry conducted by the Mandated Group,  in conjunction with the </w:t>
      </w:r>
      <w:r>
        <w:rPr>
          <w:color w:val="231F20"/>
          <w:spacing w:val="2"/>
          <w:w w:val="110"/>
          <w:sz w:val="18"/>
        </w:rPr>
        <w:t>person </w:t>
      </w:r>
      <w:r>
        <w:rPr>
          <w:color w:val="231F20"/>
          <w:w w:val="110"/>
          <w:sz w:val="18"/>
        </w:rPr>
        <w:t>calling in the Mandated Group in accordance with the provisions of </w:t>
      </w:r>
      <w:r>
        <w:rPr>
          <w:color w:val="231F20"/>
          <w:spacing w:val="2"/>
          <w:w w:val="110"/>
          <w:sz w:val="18"/>
        </w:rPr>
        <w:t>Section </w:t>
      </w:r>
      <w:r>
        <w:rPr>
          <w:color w:val="231F20"/>
          <w:w w:val="110"/>
          <w:sz w:val="18"/>
        </w:rPr>
        <w:t>B, during the period beginning when it is so called in and ending when it </w:t>
      </w:r>
      <w:r>
        <w:rPr>
          <w:color w:val="231F20"/>
          <w:spacing w:val="2"/>
          <w:w w:val="110"/>
          <w:sz w:val="18"/>
        </w:rPr>
        <w:t>serves </w:t>
      </w:r>
      <w:r>
        <w:rPr>
          <w:color w:val="231F20"/>
          <w:w w:val="110"/>
          <w:sz w:val="18"/>
        </w:rPr>
        <w:t>either a Notice of Non-Continuance or a Referral Notice in accordance with these Rules of</w:t>
      </w:r>
      <w:r>
        <w:rPr>
          <w:color w:val="231F20"/>
          <w:spacing w:val="5"/>
          <w:w w:val="110"/>
          <w:sz w:val="18"/>
        </w:rPr>
        <w:t> </w:t>
      </w:r>
      <w:r>
        <w:rPr>
          <w:color w:val="231F20"/>
          <w:w w:val="110"/>
          <w:sz w:val="18"/>
        </w:rPr>
        <w:t>Procedure.</w:t>
      </w:r>
    </w:p>
    <w:p>
      <w:pPr>
        <w:pStyle w:val="BodyText"/>
        <w:spacing w:before="10"/>
        <w:rPr>
          <w:sz w:val="20"/>
        </w:rPr>
      </w:pPr>
    </w:p>
    <w:p>
      <w:pPr>
        <w:pStyle w:val="ListParagraph"/>
        <w:numPr>
          <w:ilvl w:val="3"/>
          <w:numId w:val="122"/>
        </w:numPr>
        <w:tabs>
          <w:tab w:pos="1234" w:val="left" w:leader="none"/>
        </w:tabs>
        <w:spacing w:line="273" w:lineRule="auto" w:before="0" w:after="0"/>
        <w:ind w:left="513" w:right="2352" w:firstLine="0"/>
        <w:jc w:val="left"/>
        <w:rPr>
          <w:sz w:val="18"/>
        </w:rPr>
      </w:pPr>
      <w:r>
        <w:rPr>
          <w:b/>
          <w:color w:val="231F20"/>
          <w:w w:val="110"/>
          <w:sz w:val="18"/>
        </w:rPr>
        <w:t>“Investigation” </w:t>
      </w:r>
      <w:r>
        <w:rPr>
          <w:color w:val="231F20"/>
          <w:w w:val="110"/>
          <w:sz w:val="18"/>
        </w:rPr>
        <w:t>shall mean the </w:t>
      </w:r>
      <w:r>
        <w:rPr>
          <w:color w:val="231F20"/>
          <w:spacing w:val="2"/>
          <w:w w:val="110"/>
          <w:sz w:val="18"/>
        </w:rPr>
        <w:t>process </w:t>
      </w:r>
      <w:r>
        <w:rPr>
          <w:color w:val="231F20"/>
          <w:w w:val="110"/>
          <w:sz w:val="18"/>
        </w:rPr>
        <w:t>of investigation </w:t>
      </w:r>
      <w:r>
        <w:rPr>
          <w:color w:val="231F20"/>
          <w:spacing w:val="2"/>
          <w:w w:val="110"/>
          <w:sz w:val="18"/>
        </w:rPr>
        <w:t>carried </w:t>
      </w:r>
      <w:r>
        <w:rPr>
          <w:color w:val="231F20"/>
          <w:w w:val="110"/>
          <w:sz w:val="18"/>
        </w:rPr>
        <w:t>out by the Mandated Group as set out in </w:t>
      </w:r>
      <w:r>
        <w:rPr>
          <w:color w:val="231F20"/>
          <w:spacing w:val="2"/>
          <w:w w:val="110"/>
          <w:sz w:val="18"/>
        </w:rPr>
        <w:t>Section</w:t>
      </w:r>
      <w:r>
        <w:rPr>
          <w:color w:val="231F20"/>
          <w:spacing w:val="10"/>
          <w:w w:val="110"/>
          <w:sz w:val="18"/>
        </w:rPr>
        <w:t> </w:t>
      </w:r>
      <w:r>
        <w:rPr>
          <w:color w:val="231F20"/>
          <w:spacing w:val="-5"/>
          <w:w w:val="110"/>
          <w:sz w:val="18"/>
        </w:rPr>
        <w:t>D.</w:t>
      </w:r>
    </w:p>
    <w:p>
      <w:pPr>
        <w:pStyle w:val="BodyText"/>
        <w:spacing w:before="8"/>
        <w:rPr>
          <w:sz w:val="20"/>
        </w:rPr>
      </w:pPr>
    </w:p>
    <w:p>
      <w:pPr>
        <w:pStyle w:val="ListParagraph"/>
        <w:numPr>
          <w:ilvl w:val="3"/>
          <w:numId w:val="122"/>
        </w:numPr>
        <w:tabs>
          <w:tab w:pos="1234" w:val="left" w:leader="none"/>
        </w:tabs>
        <w:spacing w:line="240" w:lineRule="auto" w:before="0" w:after="0"/>
        <w:ind w:left="1233" w:right="0" w:hanging="721"/>
        <w:jc w:val="left"/>
        <w:rPr>
          <w:sz w:val="18"/>
        </w:rPr>
      </w:pPr>
      <w:r>
        <w:rPr>
          <w:b/>
          <w:color w:val="231F20"/>
          <w:w w:val="110"/>
          <w:sz w:val="18"/>
        </w:rPr>
        <w:t>“Joint Panel” </w:t>
      </w:r>
      <w:r>
        <w:rPr>
          <w:color w:val="231F20"/>
          <w:w w:val="110"/>
          <w:sz w:val="18"/>
        </w:rPr>
        <w:t>shall mean the Panel as defined in Paragraph B.3 </w:t>
      </w:r>
      <w:r>
        <w:rPr>
          <w:color w:val="231F20"/>
          <w:spacing w:val="2"/>
          <w:w w:val="110"/>
          <w:sz w:val="18"/>
        </w:rPr>
        <w:t>from </w:t>
      </w:r>
      <w:r>
        <w:rPr>
          <w:color w:val="231F20"/>
          <w:w w:val="110"/>
          <w:sz w:val="18"/>
        </w:rPr>
        <w:t>which</w:t>
      </w:r>
      <w:r>
        <w:rPr>
          <w:color w:val="231F20"/>
          <w:spacing w:val="40"/>
          <w:w w:val="110"/>
          <w:sz w:val="18"/>
        </w:rPr>
        <w:t> </w:t>
      </w:r>
      <w:r>
        <w:rPr>
          <w:color w:val="231F20"/>
          <w:w w:val="110"/>
          <w:sz w:val="18"/>
        </w:rPr>
        <w:t>one</w:t>
      </w:r>
    </w:p>
    <w:p>
      <w:pPr>
        <w:pStyle w:val="BodyText"/>
        <w:spacing w:before="32"/>
        <w:ind w:left="513"/>
      </w:pPr>
      <w:r>
        <w:rPr>
          <w:color w:val="231F20"/>
          <w:w w:val="110"/>
        </w:rPr>
        <w:t>person shall be appointed to be a member of the Mandated Group.</w:t>
      </w:r>
    </w:p>
    <w:p>
      <w:pPr>
        <w:pStyle w:val="BodyText"/>
        <w:spacing w:before="1"/>
        <w:rPr>
          <w:sz w:val="23"/>
        </w:rPr>
      </w:pPr>
    </w:p>
    <w:p>
      <w:pPr>
        <w:pStyle w:val="ListParagraph"/>
        <w:numPr>
          <w:ilvl w:val="3"/>
          <w:numId w:val="122"/>
        </w:numPr>
        <w:tabs>
          <w:tab w:pos="1234" w:val="left" w:leader="none"/>
        </w:tabs>
        <w:spacing w:line="273" w:lineRule="auto" w:before="0" w:after="0"/>
        <w:ind w:left="513" w:right="1748" w:firstLine="0"/>
        <w:jc w:val="left"/>
        <w:rPr>
          <w:sz w:val="18"/>
        </w:rPr>
      </w:pPr>
      <w:r>
        <w:rPr>
          <w:b/>
          <w:color w:val="231F20"/>
          <w:w w:val="110"/>
          <w:sz w:val="18"/>
        </w:rPr>
        <w:t>“Mandated Group” </w:t>
      </w:r>
      <w:r>
        <w:rPr>
          <w:color w:val="231F20"/>
          <w:w w:val="110"/>
          <w:sz w:val="18"/>
        </w:rPr>
        <w:t>shall mean the group mandated to </w:t>
      </w:r>
      <w:r>
        <w:rPr>
          <w:color w:val="231F20"/>
          <w:spacing w:val="2"/>
          <w:w w:val="110"/>
          <w:sz w:val="18"/>
        </w:rPr>
        <w:t>act </w:t>
      </w:r>
      <w:r>
        <w:rPr>
          <w:color w:val="231F20"/>
          <w:w w:val="110"/>
          <w:sz w:val="18"/>
        </w:rPr>
        <w:t>in the name of a </w:t>
      </w:r>
      <w:r>
        <w:rPr>
          <w:color w:val="231F20"/>
          <w:spacing w:val="2"/>
          <w:w w:val="110"/>
          <w:sz w:val="18"/>
        </w:rPr>
        <w:t>District </w:t>
      </w:r>
      <w:r>
        <w:rPr>
          <w:color w:val="231F20"/>
          <w:w w:val="110"/>
          <w:sz w:val="18"/>
        </w:rPr>
        <w:t>Council under </w:t>
      </w:r>
      <w:r>
        <w:rPr>
          <w:color w:val="231F20"/>
          <w:spacing w:val="2"/>
          <w:w w:val="110"/>
          <w:sz w:val="18"/>
        </w:rPr>
        <w:t>Section </w:t>
      </w:r>
      <w:r>
        <w:rPr>
          <w:color w:val="231F20"/>
          <w:w w:val="110"/>
          <w:sz w:val="18"/>
        </w:rPr>
        <w:t>B and in any </w:t>
      </w:r>
      <w:r>
        <w:rPr>
          <w:color w:val="231F20"/>
          <w:spacing w:val="2"/>
          <w:w w:val="110"/>
          <w:sz w:val="18"/>
        </w:rPr>
        <w:t>case </w:t>
      </w:r>
      <w:r>
        <w:rPr>
          <w:color w:val="231F20"/>
          <w:w w:val="110"/>
          <w:sz w:val="18"/>
        </w:rPr>
        <w:t>where the Referral Notice has been issued in the name of a council other than the </w:t>
      </w:r>
      <w:r>
        <w:rPr>
          <w:color w:val="231F20"/>
          <w:spacing w:val="2"/>
          <w:w w:val="110"/>
          <w:sz w:val="18"/>
        </w:rPr>
        <w:t>District </w:t>
      </w:r>
      <w:r>
        <w:rPr>
          <w:color w:val="231F20"/>
          <w:w w:val="110"/>
          <w:sz w:val="18"/>
        </w:rPr>
        <w:t>Council the expression “Mandated Group” shall where the context so permits be construed as a </w:t>
      </w:r>
      <w:r>
        <w:rPr>
          <w:color w:val="231F20"/>
          <w:spacing w:val="2"/>
          <w:w w:val="110"/>
          <w:sz w:val="18"/>
        </w:rPr>
        <w:t>reference </w:t>
      </w:r>
      <w:r>
        <w:rPr>
          <w:color w:val="231F20"/>
          <w:w w:val="110"/>
          <w:sz w:val="18"/>
        </w:rPr>
        <w:t>to the member   or</w:t>
      </w:r>
      <w:r>
        <w:rPr>
          <w:color w:val="231F20"/>
          <w:spacing w:val="7"/>
          <w:w w:val="110"/>
          <w:sz w:val="18"/>
        </w:rPr>
        <w:t> </w:t>
      </w:r>
      <w:r>
        <w:rPr>
          <w:color w:val="231F20"/>
          <w:spacing w:val="2"/>
          <w:w w:val="110"/>
          <w:sz w:val="18"/>
        </w:rPr>
        <w:t>members</w:t>
      </w:r>
      <w:r>
        <w:rPr>
          <w:color w:val="231F20"/>
          <w:spacing w:val="8"/>
          <w:w w:val="110"/>
          <w:sz w:val="18"/>
        </w:rPr>
        <w:t> </w:t>
      </w:r>
      <w:r>
        <w:rPr>
          <w:color w:val="231F20"/>
          <w:spacing w:val="-4"/>
          <w:w w:val="110"/>
          <w:sz w:val="18"/>
        </w:rPr>
        <w:t>(not</w:t>
      </w:r>
      <w:r>
        <w:rPr>
          <w:color w:val="231F20"/>
          <w:spacing w:val="7"/>
          <w:w w:val="110"/>
          <w:sz w:val="18"/>
        </w:rPr>
        <w:t> </w:t>
      </w:r>
      <w:r>
        <w:rPr>
          <w:color w:val="231F20"/>
          <w:w w:val="110"/>
          <w:sz w:val="18"/>
        </w:rPr>
        <w:t>exceeding</w:t>
      </w:r>
      <w:r>
        <w:rPr>
          <w:color w:val="231F20"/>
          <w:spacing w:val="8"/>
          <w:w w:val="110"/>
          <w:sz w:val="18"/>
        </w:rPr>
        <w:t> </w:t>
      </w:r>
      <w:r>
        <w:rPr>
          <w:color w:val="231F20"/>
          <w:w w:val="110"/>
          <w:sz w:val="18"/>
        </w:rPr>
        <w:t>three)</w:t>
      </w:r>
      <w:r>
        <w:rPr>
          <w:color w:val="231F20"/>
          <w:spacing w:val="7"/>
          <w:w w:val="110"/>
          <w:sz w:val="18"/>
        </w:rPr>
        <w:t> </w:t>
      </w:r>
      <w:r>
        <w:rPr>
          <w:color w:val="231F20"/>
          <w:w w:val="110"/>
          <w:sz w:val="18"/>
        </w:rPr>
        <w:t>of</w:t>
      </w:r>
      <w:r>
        <w:rPr>
          <w:color w:val="231F20"/>
          <w:spacing w:val="8"/>
          <w:w w:val="110"/>
          <w:sz w:val="18"/>
        </w:rPr>
        <w:t> </w:t>
      </w:r>
      <w:r>
        <w:rPr>
          <w:color w:val="231F20"/>
          <w:w w:val="110"/>
          <w:sz w:val="18"/>
        </w:rPr>
        <w:t>any</w:t>
      </w:r>
      <w:r>
        <w:rPr>
          <w:color w:val="231F20"/>
          <w:spacing w:val="7"/>
          <w:w w:val="110"/>
          <w:sz w:val="18"/>
        </w:rPr>
        <w:t> </w:t>
      </w:r>
      <w:r>
        <w:rPr>
          <w:color w:val="231F20"/>
          <w:w w:val="110"/>
          <w:sz w:val="18"/>
        </w:rPr>
        <w:t>corresponding</w:t>
      </w:r>
      <w:r>
        <w:rPr>
          <w:color w:val="231F20"/>
          <w:spacing w:val="15"/>
          <w:w w:val="110"/>
          <w:sz w:val="18"/>
        </w:rPr>
        <w:t> </w:t>
      </w:r>
      <w:r>
        <w:rPr>
          <w:color w:val="231F20"/>
          <w:w w:val="110"/>
          <w:sz w:val="18"/>
        </w:rPr>
        <w:t>group</w:t>
      </w:r>
      <w:r>
        <w:rPr>
          <w:color w:val="231F20"/>
          <w:spacing w:val="8"/>
          <w:w w:val="110"/>
          <w:sz w:val="18"/>
        </w:rPr>
        <w:t> </w:t>
      </w:r>
      <w:r>
        <w:rPr>
          <w:color w:val="231F20"/>
          <w:w w:val="110"/>
          <w:sz w:val="18"/>
        </w:rPr>
        <w:t>of</w:t>
      </w:r>
      <w:r>
        <w:rPr>
          <w:color w:val="231F20"/>
          <w:spacing w:val="7"/>
          <w:w w:val="110"/>
          <w:sz w:val="18"/>
        </w:rPr>
        <w:t> </w:t>
      </w:r>
      <w:r>
        <w:rPr>
          <w:color w:val="231F20"/>
          <w:w w:val="110"/>
          <w:sz w:val="18"/>
        </w:rPr>
        <w:t>such</w:t>
      </w:r>
      <w:r>
        <w:rPr>
          <w:color w:val="231F20"/>
          <w:spacing w:val="8"/>
          <w:w w:val="110"/>
          <w:sz w:val="18"/>
        </w:rPr>
        <w:t> </w:t>
      </w:r>
      <w:r>
        <w:rPr>
          <w:color w:val="231F20"/>
          <w:w w:val="110"/>
          <w:sz w:val="18"/>
        </w:rPr>
        <w:t>other</w:t>
      </w:r>
      <w:r>
        <w:rPr>
          <w:color w:val="231F20"/>
          <w:spacing w:val="8"/>
          <w:w w:val="110"/>
          <w:sz w:val="18"/>
        </w:rPr>
        <w:t> </w:t>
      </w:r>
      <w:r>
        <w:rPr>
          <w:color w:val="231F20"/>
          <w:w w:val="110"/>
          <w:sz w:val="18"/>
        </w:rPr>
        <w:t>council.</w:t>
      </w:r>
    </w:p>
    <w:p>
      <w:pPr>
        <w:pStyle w:val="BodyText"/>
        <w:spacing w:before="10"/>
        <w:rPr>
          <w:sz w:val="20"/>
        </w:rPr>
      </w:pPr>
    </w:p>
    <w:p>
      <w:pPr>
        <w:pStyle w:val="ListParagraph"/>
        <w:numPr>
          <w:ilvl w:val="3"/>
          <w:numId w:val="122"/>
        </w:numPr>
        <w:tabs>
          <w:tab w:pos="1234" w:val="left" w:leader="none"/>
        </w:tabs>
        <w:spacing w:line="273" w:lineRule="auto" w:before="1" w:after="0"/>
        <w:ind w:left="513" w:right="2060" w:hanging="1"/>
        <w:jc w:val="left"/>
        <w:rPr>
          <w:sz w:val="18"/>
        </w:rPr>
      </w:pPr>
      <w:r>
        <w:rPr>
          <w:b/>
          <w:color w:val="231F20"/>
          <w:w w:val="110"/>
          <w:sz w:val="18"/>
        </w:rPr>
        <w:t>“Minister” </w:t>
      </w:r>
      <w:r>
        <w:rPr>
          <w:color w:val="231F20"/>
          <w:w w:val="110"/>
          <w:sz w:val="18"/>
        </w:rPr>
        <w:t>shall mean a </w:t>
      </w:r>
      <w:r>
        <w:rPr>
          <w:color w:val="231F20"/>
          <w:spacing w:val="2"/>
          <w:w w:val="110"/>
          <w:sz w:val="18"/>
        </w:rPr>
        <w:t>person </w:t>
      </w:r>
      <w:r>
        <w:rPr>
          <w:color w:val="231F20"/>
          <w:w w:val="110"/>
          <w:sz w:val="18"/>
        </w:rPr>
        <w:t>whose name is on the Roll of Ministers who is under consideration within the </w:t>
      </w:r>
      <w:r>
        <w:rPr>
          <w:color w:val="231F20"/>
          <w:spacing w:val="2"/>
          <w:w w:val="110"/>
          <w:sz w:val="18"/>
        </w:rPr>
        <w:t>Section </w:t>
      </w:r>
      <w:r>
        <w:rPr>
          <w:color w:val="231F20"/>
          <w:w w:val="110"/>
          <w:sz w:val="18"/>
        </w:rPr>
        <w:t>O</w:t>
      </w:r>
      <w:r>
        <w:rPr>
          <w:color w:val="231F20"/>
          <w:spacing w:val="9"/>
          <w:w w:val="110"/>
          <w:sz w:val="18"/>
        </w:rPr>
        <w:t> </w:t>
      </w:r>
      <w:r>
        <w:rPr>
          <w:color w:val="231F20"/>
          <w:spacing w:val="2"/>
          <w:w w:val="110"/>
          <w:sz w:val="18"/>
        </w:rPr>
        <w:t>Process.</w:t>
      </w:r>
    </w:p>
    <w:p>
      <w:pPr>
        <w:pStyle w:val="BodyText"/>
        <w:spacing w:before="7"/>
        <w:rPr>
          <w:sz w:val="20"/>
        </w:rPr>
      </w:pPr>
    </w:p>
    <w:p>
      <w:pPr>
        <w:pStyle w:val="ListParagraph"/>
        <w:numPr>
          <w:ilvl w:val="3"/>
          <w:numId w:val="122"/>
        </w:numPr>
        <w:tabs>
          <w:tab w:pos="1234" w:val="left" w:leader="none"/>
        </w:tabs>
        <w:spacing w:line="273" w:lineRule="auto" w:before="1" w:after="0"/>
        <w:ind w:left="513" w:right="2192" w:firstLine="0"/>
        <w:jc w:val="left"/>
        <w:rPr>
          <w:sz w:val="18"/>
        </w:rPr>
      </w:pPr>
      <w:r>
        <w:rPr>
          <w:b/>
          <w:color w:val="231F20"/>
          <w:w w:val="110"/>
          <w:sz w:val="18"/>
        </w:rPr>
        <w:t>“Notice of Appeal” </w:t>
      </w:r>
      <w:r>
        <w:rPr>
          <w:color w:val="231F20"/>
          <w:w w:val="110"/>
          <w:sz w:val="18"/>
        </w:rPr>
        <w:t>shall mean a Notice specified in Paragraph </w:t>
      </w:r>
      <w:r>
        <w:rPr>
          <w:color w:val="231F20"/>
          <w:spacing w:val="-3"/>
          <w:w w:val="110"/>
          <w:sz w:val="18"/>
        </w:rPr>
        <w:t>G.1 </w:t>
      </w:r>
      <w:r>
        <w:rPr>
          <w:color w:val="231F20"/>
          <w:w w:val="110"/>
          <w:sz w:val="18"/>
        </w:rPr>
        <w:t>whereby either of the </w:t>
      </w:r>
      <w:r>
        <w:rPr>
          <w:color w:val="231F20"/>
          <w:spacing w:val="2"/>
          <w:w w:val="110"/>
          <w:sz w:val="18"/>
        </w:rPr>
        <w:t>parties </w:t>
      </w:r>
      <w:r>
        <w:rPr>
          <w:color w:val="231F20"/>
          <w:w w:val="110"/>
          <w:sz w:val="18"/>
        </w:rPr>
        <w:t>in any </w:t>
      </w:r>
      <w:r>
        <w:rPr>
          <w:color w:val="231F20"/>
          <w:spacing w:val="2"/>
          <w:w w:val="110"/>
          <w:sz w:val="18"/>
        </w:rPr>
        <w:t>case </w:t>
      </w:r>
      <w:r>
        <w:rPr>
          <w:color w:val="231F20"/>
          <w:w w:val="110"/>
          <w:sz w:val="18"/>
        </w:rPr>
        <w:t>indicates his/her/its intention to appeal against the decision of the Assembly</w:t>
      </w:r>
      <w:r>
        <w:rPr>
          <w:color w:val="231F20"/>
          <w:spacing w:val="6"/>
          <w:w w:val="110"/>
          <w:sz w:val="18"/>
        </w:rPr>
        <w:t> </w:t>
      </w:r>
      <w:r>
        <w:rPr>
          <w:color w:val="231F20"/>
          <w:w w:val="110"/>
          <w:sz w:val="18"/>
        </w:rPr>
        <w:t>Commission.</w:t>
      </w:r>
    </w:p>
    <w:p>
      <w:pPr>
        <w:pStyle w:val="BodyText"/>
        <w:spacing w:before="8"/>
        <w:rPr>
          <w:sz w:val="20"/>
        </w:rPr>
      </w:pPr>
    </w:p>
    <w:p>
      <w:pPr>
        <w:pStyle w:val="ListParagraph"/>
        <w:numPr>
          <w:ilvl w:val="3"/>
          <w:numId w:val="122"/>
        </w:numPr>
        <w:tabs>
          <w:tab w:pos="1234" w:val="left" w:leader="none"/>
        </w:tabs>
        <w:spacing w:line="240" w:lineRule="auto" w:before="0" w:after="0"/>
        <w:ind w:left="1233" w:right="0" w:hanging="721"/>
        <w:jc w:val="left"/>
        <w:rPr>
          <w:sz w:val="18"/>
        </w:rPr>
      </w:pPr>
      <w:r>
        <w:rPr>
          <w:color w:val="231F20"/>
          <w:w w:val="110"/>
          <w:sz w:val="18"/>
        </w:rPr>
        <w:t>“</w:t>
      </w:r>
      <w:r>
        <w:rPr>
          <w:b/>
          <w:color w:val="231F20"/>
          <w:w w:val="110"/>
          <w:sz w:val="18"/>
        </w:rPr>
        <w:t>Notice of Non-Continuance</w:t>
      </w:r>
      <w:r>
        <w:rPr>
          <w:color w:val="231F20"/>
          <w:w w:val="110"/>
          <w:sz w:val="18"/>
        </w:rPr>
        <w:t>” shall mean a Notice </w:t>
      </w:r>
      <w:r>
        <w:rPr>
          <w:color w:val="231F20"/>
          <w:spacing w:val="2"/>
          <w:w w:val="110"/>
          <w:sz w:val="18"/>
        </w:rPr>
        <w:t>served </w:t>
      </w:r>
      <w:r>
        <w:rPr>
          <w:color w:val="231F20"/>
          <w:w w:val="110"/>
          <w:sz w:val="18"/>
        </w:rPr>
        <w:t>under</w:t>
      </w:r>
      <w:r>
        <w:rPr>
          <w:color w:val="231F20"/>
          <w:spacing w:val="32"/>
          <w:w w:val="110"/>
          <w:sz w:val="18"/>
        </w:rPr>
        <w:t> </w:t>
      </w:r>
      <w:r>
        <w:rPr>
          <w:color w:val="231F20"/>
          <w:w w:val="110"/>
          <w:sz w:val="18"/>
        </w:rPr>
        <w:t>Paragraph</w:t>
      </w:r>
    </w:p>
    <w:p>
      <w:pPr>
        <w:pStyle w:val="BodyText"/>
        <w:spacing w:line="273" w:lineRule="auto" w:before="32"/>
        <w:ind w:left="513" w:right="2174"/>
      </w:pPr>
      <w:r>
        <w:rPr>
          <w:color w:val="231F20"/>
          <w:w w:val="110"/>
        </w:rPr>
        <w:t>B.7.2 at the conclusion of the Initial Enquiry by the Mandated Group on the person calling it in to indicate that the Mandated Group does not intend to proceed further with the disciplinary case against the Minister.</w:t>
      </w:r>
    </w:p>
    <w:p>
      <w:pPr>
        <w:pStyle w:val="BodyText"/>
        <w:spacing w:before="8"/>
        <w:rPr>
          <w:sz w:val="20"/>
        </w:rPr>
      </w:pPr>
    </w:p>
    <w:p>
      <w:pPr>
        <w:pStyle w:val="ListParagraph"/>
        <w:numPr>
          <w:ilvl w:val="2"/>
          <w:numId w:val="136"/>
        </w:numPr>
        <w:tabs>
          <w:tab w:pos="1234" w:val="left" w:leader="none"/>
        </w:tabs>
        <w:spacing w:line="273" w:lineRule="auto" w:before="0" w:after="0"/>
        <w:ind w:left="513" w:right="2364" w:firstLine="0"/>
        <w:jc w:val="left"/>
        <w:rPr>
          <w:sz w:val="18"/>
        </w:rPr>
      </w:pPr>
      <w:r>
        <w:rPr>
          <w:b/>
          <w:color w:val="231F20"/>
          <w:spacing w:val="3"/>
          <w:w w:val="110"/>
          <w:sz w:val="18"/>
        </w:rPr>
        <w:t>“Notice </w:t>
      </w:r>
      <w:r>
        <w:rPr>
          <w:b/>
          <w:color w:val="231F20"/>
          <w:w w:val="110"/>
          <w:sz w:val="18"/>
        </w:rPr>
        <w:t>of </w:t>
      </w:r>
      <w:r>
        <w:rPr>
          <w:b/>
          <w:color w:val="231F20"/>
          <w:spacing w:val="4"/>
          <w:w w:val="110"/>
          <w:sz w:val="18"/>
        </w:rPr>
        <w:t>Reference back” </w:t>
      </w:r>
      <w:r>
        <w:rPr>
          <w:color w:val="231F20"/>
          <w:w w:val="110"/>
          <w:sz w:val="18"/>
        </w:rPr>
        <w:t>shall </w:t>
      </w:r>
      <w:r>
        <w:rPr>
          <w:color w:val="231F20"/>
          <w:spacing w:val="2"/>
          <w:w w:val="110"/>
          <w:sz w:val="18"/>
        </w:rPr>
        <w:t>mean </w:t>
      </w:r>
      <w:r>
        <w:rPr>
          <w:color w:val="231F20"/>
          <w:w w:val="110"/>
          <w:sz w:val="18"/>
        </w:rPr>
        <w:t>a </w:t>
      </w:r>
      <w:r>
        <w:rPr>
          <w:color w:val="231F20"/>
          <w:spacing w:val="3"/>
          <w:w w:val="110"/>
          <w:sz w:val="18"/>
        </w:rPr>
        <w:t>Notice from </w:t>
      </w:r>
      <w:r>
        <w:rPr>
          <w:color w:val="231F20"/>
          <w:spacing w:val="2"/>
          <w:w w:val="110"/>
          <w:sz w:val="18"/>
        </w:rPr>
        <w:t>the </w:t>
      </w:r>
      <w:r>
        <w:rPr>
          <w:color w:val="231F20"/>
          <w:spacing w:val="3"/>
          <w:w w:val="110"/>
          <w:sz w:val="18"/>
        </w:rPr>
        <w:t>Appeals Commission </w:t>
      </w:r>
      <w:r>
        <w:rPr>
          <w:color w:val="231F20"/>
          <w:w w:val="110"/>
          <w:sz w:val="18"/>
        </w:rPr>
        <w:t>of any </w:t>
      </w:r>
      <w:r>
        <w:rPr>
          <w:color w:val="231F20"/>
          <w:spacing w:val="4"/>
          <w:w w:val="110"/>
          <w:sz w:val="18"/>
        </w:rPr>
        <w:t>reference </w:t>
      </w:r>
      <w:r>
        <w:rPr>
          <w:color w:val="231F20"/>
          <w:spacing w:val="3"/>
          <w:w w:val="110"/>
          <w:sz w:val="18"/>
        </w:rPr>
        <w:t>back </w:t>
      </w:r>
      <w:r>
        <w:rPr>
          <w:color w:val="231F20"/>
          <w:spacing w:val="2"/>
          <w:w w:val="110"/>
          <w:sz w:val="18"/>
        </w:rPr>
        <w:t>for </w:t>
      </w:r>
      <w:r>
        <w:rPr>
          <w:color w:val="231F20"/>
          <w:w w:val="110"/>
          <w:sz w:val="18"/>
        </w:rPr>
        <w:t>a </w:t>
      </w:r>
      <w:r>
        <w:rPr>
          <w:color w:val="231F20"/>
          <w:spacing w:val="3"/>
          <w:w w:val="110"/>
          <w:sz w:val="18"/>
        </w:rPr>
        <w:t>re-hearing </w:t>
      </w:r>
      <w:r>
        <w:rPr>
          <w:color w:val="231F20"/>
          <w:w w:val="110"/>
          <w:sz w:val="18"/>
        </w:rPr>
        <w:t>by </w:t>
      </w:r>
      <w:r>
        <w:rPr>
          <w:color w:val="231F20"/>
          <w:spacing w:val="2"/>
          <w:w w:val="110"/>
          <w:sz w:val="18"/>
        </w:rPr>
        <w:t>the </w:t>
      </w:r>
      <w:r>
        <w:rPr>
          <w:color w:val="231F20"/>
          <w:spacing w:val="3"/>
          <w:w w:val="110"/>
          <w:sz w:val="18"/>
        </w:rPr>
        <w:t>Assembly Commission </w:t>
      </w:r>
      <w:r>
        <w:rPr>
          <w:color w:val="231F20"/>
          <w:spacing w:val="2"/>
          <w:w w:val="110"/>
          <w:sz w:val="18"/>
        </w:rPr>
        <w:t>under Paragraph</w:t>
      </w:r>
      <w:r>
        <w:rPr>
          <w:color w:val="231F20"/>
          <w:spacing w:val="8"/>
          <w:w w:val="110"/>
          <w:sz w:val="18"/>
        </w:rPr>
        <w:t> </w:t>
      </w:r>
      <w:r>
        <w:rPr>
          <w:color w:val="231F20"/>
          <w:spacing w:val="-7"/>
          <w:w w:val="110"/>
          <w:sz w:val="18"/>
        </w:rPr>
        <w:t>G.11.7.</w:t>
      </w:r>
    </w:p>
    <w:p>
      <w:pPr>
        <w:spacing w:after="0" w:line="273" w:lineRule="auto"/>
        <w:jc w:val="left"/>
        <w:rPr>
          <w:sz w:val="18"/>
        </w:rPr>
        <w:sectPr>
          <w:headerReference w:type="even" r:id="rId441"/>
          <w:headerReference w:type="default" r:id="rId442"/>
          <w:footerReference w:type="even" r:id="rId443"/>
          <w:footerReference w:type="default" r:id="rId444"/>
          <w:pgSz w:w="11910" w:h="16840"/>
          <w:pgMar w:header="558" w:footer="564" w:top="820" w:bottom="760" w:left="620" w:right="0"/>
          <w:pgNumType w:start="4"/>
        </w:sectPr>
      </w:pPr>
    </w:p>
    <w:p>
      <w:pPr>
        <w:pStyle w:val="BodyText"/>
        <w:spacing w:before="9"/>
        <w:rPr>
          <w:sz w:val="13"/>
        </w:rPr>
      </w:pPr>
    </w:p>
    <w:p>
      <w:pPr>
        <w:pStyle w:val="ListParagraph"/>
        <w:numPr>
          <w:ilvl w:val="2"/>
          <w:numId w:val="136"/>
        </w:numPr>
        <w:tabs>
          <w:tab w:pos="1801" w:val="left" w:leader="none"/>
        </w:tabs>
        <w:spacing w:line="273" w:lineRule="auto" w:before="101" w:after="0"/>
        <w:ind w:left="1080" w:right="1134" w:firstLine="0"/>
        <w:jc w:val="left"/>
        <w:rPr>
          <w:sz w:val="18"/>
        </w:rPr>
      </w:pPr>
      <w:r>
        <w:rPr>
          <w:b/>
          <w:color w:val="231F20"/>
          <w:w w:val="110"/>
          <w:sz w:val="18"/>
        </w:rPr>
        <w:t>“Outside organisation” </w:t>
      </w:r>
      <w:r>
        <w:rPr>
          <w:color w:val="231F20"/>
          <w:w w:val="110"/>
          <w:sz w:val="18"/>
        </w:rPr>
        <w:t>shall mean any body or  organisation  outside  the Church by which the Minister is employed or with which the Minister holds any position   or post or has any involvement, paid or unpaid, where such body or organisation would have a reasonable and proper </w:t>
      </w:r>
      <w:r>
        <w:rPr>
          <w:color w:val="231F20"/>
          <w:spacing w:val="2"/>
          <w:w w:val="110"/>
          <w:sz w:val="18"/>
        </w:rPr>
        <w:t>expectation </w:t>
      </w:r>
      <w:r>
        <w:rPr>
          <w:color w:val="231F20"/>
          <w:w w:val="110"/>
          <w:sz w:val="18"/>
        </w:rPr>
        <w:t>of being made aware of the particular </w:t>
      </w:r>
      <w:r>
        <w:rPr>
          <w:color w:val="231F20"/>
          <w:spacing w:val="-3"/>
          <w:w w:val="110"/>
          <w:sz w:val="18"/>
        </w:rPr>
        <w:t>step(s) </w:t>
      </w:r>
      <w:r>
        <w:rPr>
          <w:color w:val="231F20"/>
          <w:w w:val="110"/>
          <w:sz w:val="18"/>
        </w:rPr>
        <w:t>being taken and/or the particular recommendation(s) or guidance being issued under the relevant paragraph of these Rules of Procedure in which the </w:t>
      </w:r>
      <w:r>
        <w:rPr>
          <w:color w:val="231F20"/>
          <w:spacing w:val="2"/>
          <w:w w:val="110"/>
          <w:sz w:val="18"/>
        </w:rPr>
        <w:t>reference </w:t>
      </w:r>
      <w:r>
        <w:rPr>
          <w:color w:val="231F20"/>
          <w:w w:val="110"/>
          <w:sz w:val="18"/>
        </w:rPr>
        <w:t>to the expression ‘Outside Organisation’</w:t>
      </w:r>
      <w:r>
        <w:rPr>
          <w:color w:val="231F20"/>
          <w:spacing w:val="2"/>
          <w:w w:val="110"/>
          <w:sz w:val="18"/>
        </w:rPr>
        <w:t> </w:t>
      </w:r>
      <w:r>
        <w:rPr>
          <w:color w:val="231F20"/>
          <w:w w:val="110"/>
          <w:sz w:val="18"/>
        </w:rPr>
        <w:t>appears.</w:t>
      </w:r>
    </w:p>
    <w:p>
      <w:pPr>
        <w:pStyle w:val="BodyText"/>
        <w:spacing w:before="11"/>
        <w:rPr>
          <w:sz w:val="20"/>
        </w:rPr>
      </w:pPr>
    </w:p>
    <w:p>
      <w:pPr>
        <w:pStyle w:val="ListParagraph"/>
        <w:numPr>
          <w:ilvl w:val="2"/>
          <w:numId w:val="136"/>
        </w:numPr>
        <w:tabs>
          <w:tab w:pos="1801" w:val="left" w:leader="none"/>
        </w:tabs>
        <w:spacing w:line="273" w:lineRule="auto" w:before="0" w:after="0"/>
        <w:ind w:left="1081" w:right="1205" w:hanging="1"/>
        <w:jc w:val="left"/>
        <w:rPr>
          <w:sz w:val="18"/>
        </w:rPr>
      </w:pPr>
      <w:r>
        <w:rPr>
          <w:b/>
          <w:color w:val="231F20"/>
          <w:w w:val="110"/>
          <w:sz w:val="18"/>
        </w:rPr>
        <w:t>“Parties” </w:t>
      </w:r>
      <w:r>
        <w:rPr>
          <w:color w:val="231F20"/>
          <w:w w:val="110"/>
          <w:sz w:val="18"/>
        </w:rPr>
        <w:t>shall mean </w:t>
      </w:r>
      <w:r>
        <w:rPr>
          <w:color w:val="231F20"/>
          <w:spacing w:val="-5"/>
          <w:w w:val="110"/>
          <w:sz w:val="18"/>
        </w:rPr>
        <w:t>(i) </w:t>
      </w:r>
      <w:r>
        <w:rPr>
          <w:color w:val="231F20"/>
          <w:w w:val="110"/>
          <w:sz w:val="18"/>
        </w:rPr>
        <w:t>the Council, which for the purpose of the Section O Process shall act solely and exclusively through the Mandated Group, and </w:t>
      </w:r>
      <w:r>
        <w:rPr>
          <w:color w:val="231F20"/>
          <w:spacing w:val="-4"/>
          <w:w w:val="110"/>
          <w:sz w:val="18"/>
        </w:rPr>
        <w:t>(ii) </w:t>
      </w:r>
      <w:r>
        <w:rPr>
          <w:color w:val="231F20"/>
          <w:w w:val="110"/>
          <w:sz w:val="18"/>
        </w:rPr>
        <w:t>the</w:t>
      </w:r>
      <w:r>
        <w:rPr>
          <w:color w:val="231F20"/>
          <w:spacing w:val="-4"/>
          <w:w w:val="110"/>
          <w:sz w:val="18"/>
        </w:rPr>
        <w:t> </w:t>
      </w:r>
      <w:r>
        <w:rPr>
          <w:color w:val="231F20"/>
          <w:spacing w:val="-3"/>
          <w:w w:val="110"/>
          <w:sz w:val="18"/>
        </w:rPr>
        <w:t>Minister.</w:t>
      </w:r>
    </w:p>
    <w:p>
      <w:pPr>
        <w:pStyle w:val="BodyText"/>
        <w:spacing w:before="8"/>
        <w:rPr>
          <w:sz w:val="20"/>
        </w:rPr>
      </w:pPr>
    </w:p>
    <w:p>
      <w:pPr>
        <w:pStyle w:val="ListParagraph"/>
        <w:numPr>
          <w:ilvl w:val="2"/>
          <w:numId w:val="136"/>
        </w:numPr>
        <w:tabs>
          <w:tab w:pos="1801" w:val="left" w:leader="none"/>
        </w:tabs>
        <w:spacing w:line="273" w:lineRule="auto" w:before="0" w:after="0"/>
        <w:ind w:left="1080" w:right="1499" w:firstLine="0"/>
        <w:jc w:val="left"/>
        <w:rPr>
          <w:sz w:val="18"/>
        </w:rPr>
      </w:pPr>
      <w:r>
        <w:rPr>
          <w:b/>
          <w:color w:val="231F20"/>
          <w:w w:val="110"/>
          <w:sz w:val="18"/>
        </w:rPr>
        <w:t>“Referral Notice” </w:t>
      </w:r>
      <w:r>
        <w:rPr>
          <w:color w:val="231F20"/>
          <w:w w:val="110"/>
          <w:sz w:val="18"/>
        </w:rPr>
        <w:t>shall mean a Notice specified in Paragraph B.8 whereby a </w:t>
      </w:r>
      <w:r>
        <w:rPr>
          <w:color w:val="231F20"/>
          <w:spacing w:val="2"/>
          <w:w w:val="110"/>
          <w:sz w:val="18"/>
        </w:rPr>
        <w:t>case </w:t>
      </w:r>
      <w:r>
        <w:rPr>
          <w:color w:val="231F20"/>
          <w:w w:val="110"/>
          <w:sz w:val="18"/>
        </w:rPr>
        <w:t>concerning Ministerial Discipline is </w:t>
      </w:r>
      <w:r>
        <w:rPr>
          <w:color w:val="231F20"/>
          <w:spacing w:val="2"/>
          <w:w w:val="110"/>
          <w:sz w:val="18"/>
        </w:rPr>
        <w:t>referred </w:t>
      </w:r>
      <w:r>
        <w:rPr>
          <w:color w:val="231F20"/>
          <w:w w:val="110"/>
          <w:sz w:val="18"/>
        </w:rPr>
        <w:t>into the Commission Stage and shall include</w:t>
      </w:r>
      <w:r>
        <w:rPr>
          <w:color w:val="231F20"/>
          <w:spacing w:val="6"/>
          <w:w w:val="110"/>
          <w:sz w:val="18"/>
        </w:rPr>
        <w:t> </w:t>
      </w:r>
      <w:r>
        <w:rPr>
          <w:color w:val="231F20"/>
          <w:w w:val="110"/>
          <w:sz w:val="18"/>
        </w:rPr>
        <w:t>any</w:t>
      </w:r>
      <w:r>
        <w:rPr>
          <w:color w:val="231F20"/>
          <w:spacing w:val="7"/>
          <w:w w:val="110"/>
          <w:sz w:val="18"/>
        </w:rPr>
        <w:t> </w:t>
      </w:r>
      <w:r>
        <w:rPr>
          <w:color w:val="231F20"/>
          <w:w w:val="110"/>
          <w:sz w:val="18"/>
        </w:rPr>
        <w:t>statement</w:t>
      </w:r>
      <w:r>
        <w:rPr>
          <w:color w:val="231F20"/>
          <w:spacing w:val="7"/>
          <w:w w:val="110"/>
          <w:sz w:val="18"/>
        </w:rPr>
        <w:t> </w:t>
      </w:r>
      <w:r>
        <w:rPr>
          <w:color w:val="231F20"/>
          <w:w w:val="110"/>
          <w:sz w:val="18"/>
        </w:rPr>
        <w:t>of</w:t>
      </w:r>
      <w:r>
        <w:rPr>
          <w:color w:val="231F20"/>
          <w:spacing w:val="7"/>
          <w:w w:val="110"/>
          <w:sz w:val="18"/>
        </w:rPr>
        <w:t> </w:t>
      </w:r>
      <w:r>
        <w:rPr>
          <w:color w:val="231F20"/>
          <w:w w:val="110"/>
          <w:sz w:val="18"/>
        </w:rPr>
        <w:t>reasons</w:t>
      </w:r>
      <w:r>
        <w:rPr>
          <w:color w:val="231F20"/>
          <w:spacing w:val="7"/>
          <w:w w:val="110"/>
          <w:sz w:val="18"/>
        </w:rPr>
        <w:t> </w:t>
      </w:r>
      <w:r>
        <w:rPr>
          <w:color w:val="231F20"/>
          <w:w w:val="110"/>
          <w:sz w:val="18"/>
        </w:rPr>
        <w:t>for</w:t>
      </w:r>
      <w:r>
        <w:rPr>
          <w:color w:val="231F20"/>
          <w:spacing w:val="7"/>
          <w:w w:val="110"/>
          <w:sz w:val="18"/>
        </w:rPr>
        <w:t> </w:t>
      </w:r>
      <w:r>
        <w:rPr>
          <w:color w:val="231F20"/>
          <w:w w:val="110"/>
          <w:sz w:val="18"/>
        </w:rPr>
        <w:t>such</w:t>
      </w:r>
      <w:r>
        <w:rPr>
          <w:color w:val="231F20"/>
          <w:spacing w:val="7"/>
          <w:w w:val="110"/>
          <w:sz w:val="18"/>
        </w:rPr>
        <w:t> </w:t>
      </w:r>
      <w:r>
        <w:rPr>
          <w:color w:val="231F20"/>
          <w:spacing w:val="2"/>
          <w:w w:val="110"/>
          <w:sz w:val="18"/>
        </w:rPr>
        <w:t>referral</w:t>
      </w:r>
      <w:r>
        <w:rPr>
          <w:color w:val="231F20"/>
          <w:spacing w:val="7"/>
          <w:w w:val="110"/>
          <w:sz w:val="18"/>
        </w:rPr>
        <w:t> </w:t>
      </w:r>
      <w:r>
        <w:rPr>
          <w:color w:val="231F20"/>
          <w:w w:val="110"/>
          <w:sz w:val="18"/>
        </w:rPr>
        <w:t>which</w:t>
      </w:r>
      <w:r>
        <w:rPr>
          <w:color w:val="231F20"/>
          <w:spacing w:val="7"/>
          <w:w w:val="110"/>
          <w:sz w:val="18"/>
        </w:rPr>
        <w:t> </w:t>
      </w:r>
      <w:r>
        <w:rPr>
          <w:color w:val="231F20"/>
          <w:w w:val="110"/>
          <w:sz w:val="18"/>
        </w:rPr>
        <w:t>may</w:t>
      </w:r>
      <w:r>
        <w:rPr>
          <w:color w:val="231F20"/>
          <w:spacing w:val="7"/>
          <w:w w:val="110"/>
          <w:sz w:val="18"/>
        </w:rPr>
        <w:t> </w:t>
      </w:r>
      <w:r>
        <w:rPr>
          <w:color w:val="231F20"/>
          <w:w w:val="110"/>
          <w:sz w:val="18"/>
        </w:rPr>
        <w:t>be</w:t>
      </w:r>
      <w:r>
        <w:rPr>
          <w:color w:val="231F20"/>
          <w:spacing w:val="7"/>
          <w:w w:val="110"/>
          <w:sz w:val="18"/>
        </w:rPr>
        <w:t> </w:t>
      </w:r>
      <w:r>
        <w:rPr>
          <w:color w:val="231F20"/>
          <w:w w:val="110"/>
          <w:sz w:val="18"/>
        </w:rPr>
        <w:t>appended</w:t>
      </w:r>
      <w:r>
        <w:rPr>
          <w:color w:val="231F20"/>
          <w:spacing w:val="7"/>
          <w:w w:val="110"/>
          <w:sz w:val="18"/>
        </w:rPr>
        <w:t> </w:t>
      </w:r>
      <w:r>
        <w:rPr>
          <w:color w:val="231F20"/>
          <w:w w:val="110"/>
          <w:sz w:val="18"/>
        </w:rPr>
        <w:t>to</w:t>
      </w:r>
      <w:r>
        <w:rPr>
          <w:color w:val="231F20"/>
          <w:spacing w:val="7"/>
          <w:w w:val="110"/>
          <w:sz w:val="18"/>
        </w:rPr>
        <w:t> </w:t>
      </w:r>
      <w:r>
        <w:rPr>
          <w:color w:val="231F20"/>
          <w:w w:val="110"/>
          <w:sz w:val="18"/>
        </w:rPr>
        <w:t>it.</w:t>
      </w:r>
    </w:p>
    <w:p>
      <w:pPr>
        <w:pStyle w:val="BodyText"/>
        <w:spacing w:before="9"/>
        <w:rPr>
          <w:sz w:val="20"/>
        </w:rPr>
      </w:pPr>
    </w:p>
    <w:p>
      <w:pPr>
        <w:pStyle w:val="ListParagraph"/>
        <w:numPr>
          <w:ilvl w:val="2"/>
          <w:numId w:val="136"/>
        </w:numPr>
        <w:tabs>
          <w:tab w:pos="1801" w:val="left" w:leader="none"/>
        </w:tabs>
        <w:spacing w:line="273" w:lineRule="auto" w:before="0" w:after="0"/>
        <w:ind w:left="1080" w:right="2067" w:firstLine="0"/>
        <w:jc w:val="left"/>
        <w:rPr>
          <w:sz w:val="18"/>
        </w:rPr>
      </w:pPr>
      <w:r>
        <w:rPr>
          <w:b/>
          <w:color w:val="231F20"/>
          <w:w w:val="110"/>
          <w:sz w:val="18"/>
        </w:rPr>
        <w:t>“Roll of Ministers” </w:t>
      </w:r>
      <w:r>
        <w:rPr>
          <w:color w:val="231F20"/>
          <w:w w:val="110"/>
          <w:sz w:val="18"/>
        </w:rPr>
        <w:t>shall have the meaning given to it in Paragraph 1 of Schedule E of the Basis of</w:t>
      </w:r>
      <w:r>
        <w:rPr>
          <w:color w:val="231F20"/>
          <w:spacing w:val="8"/>
          <w:w w:val="110"/>
          <w:sz w:val="18"/>
        </w:rPr>
        <w:t> </w:t>
      </w:r>
      <w:r>
        <w:rPr>
          <w:color w:val="231F20"/>
          <w:w w:val="110"/>
          <w:sz w:val="18"/>
        </w:rPr>
        <w:t>Union.</w:t>
      </w:r>
    </w:p>
    <w:p>
      <w:pPr>
        <w:pStyle w:val="BodyText"/>
        <w:spacing w:before="8"/>
        <w:rPr>
          <w:sz w:val="20"/>
        </w:rPr>
      </w:pPr>
    </w:p>
    <w:p>
      <w:pPr>
        <w:pStyle w:val="ListParagraph"/>
        <w:numPr>
          <w:ilvl w:val="2"/>
          <w:numId w:val="136"/>
        </w:numPr>
        <w:tabs>
          <w:tab w:pos="1801" w:val="left" w:leader="none"/>
        </w:tabs>
        <w:spacing w:line="273" w:lineRule="auto" w:before="0" w:after="0"/>
        <w:ind w:left="1080" w:right="1271" w:firstLine="0"/>
        <w:jc w:val="left"/>
        <w:rPr>
          <w:sz w:val="18"/>
        </w:rPr>
      </w:pPr>
      <w:r>
        <w:rPr>
          <w:b/>
          <w:color w:val="231F20"/>
          <w:w w:val="110"/>
          <w:sz w:val="18"/>
        </w:rPr>
        <w:t>“Rules of Procedure” </w:t>
      </w:r>
      <w:r>
        <w:rPr>
          <w:color w:val="231F20"/>
          <w:w w:val="110"/>
          <w:sz w:val="18"/>
        </w:rPr>
        <w:t>shall mean the Rules of Procedure governing the system of ministerial discipline commencing with the exercise by the </w:t>
      </w:r>
      <w:r>
        <w:rPr>
          <w:color w:val="231F20"/>
          <w:spacing w:val="2"/>
          <w:w w:val="110"/>
          <w:sz w:val="18"/>
        </w:rPr>
        <w:t>District </w:t>
      </w:r>
      <w:r>
        <w:rPr>
          <w:color w:val="231F20"/>
          <w:w w:val="110"/>
          <w:sz w:val="18"/>
        </w:rPr>
        <w:t>Council, Synod or General Assembly of its function as set out in Paragraph </w:t>
      </w:r>
      <w:r>
        <w:rPr>
          <w:color w:val="231F20"/>
          <w:spacing w:val="-4"/>
          <w:w w:val="110"/>
          <w:sz w:val="18"/>
        </w:rPr>
        <w:t>2(3)(xviii), </w:t>
      </w:r>
      <w:r>
        <w:rPr>
          <w:color w:val="231F20"/>
          <w:w w:val="110"/>
          <w:sz w:val="18"/>
        </w:rPr>
        <w:t>Paragraph </w:t>
      </w:r>
      <w:r>
        <w:rPr>
          <w:color w:val="231F20"/>
          <w:spacing w:val="-6"/>
          <w:w w:val="110"/>
          <w:sz w:val="18"/>
        </w:rPr>
        <w:t>2(4)(xiv) </w:t>
      </w:r>
      <w:r>
        <w:rPr>
          <w:color w:val="231F20"/>
          <w:w w:val="110"/>
          <w:sz w:val="18"/>
        </w:rPr>
        <w:t>or Paragraph </w:t>
      </w:r>
      <w:r>
        <w:rPr>
          <w:color w:val="231F20"/>
          <w:spacing w:val="-3"/>
          <w:w w:val="110"/>
          <w:sz w:val="18"/>
        </w:rPr>
        <w:t>2(5)(xxiii) </w:t>
      </w:r>
      <w:r>
        <w:rPr>
          <w:color w:val="231F20"/>
          <w:w w:val="110"/>
          <w:sz w:val="18"/>
        </w:rPr>
        <w:t>of the Structure as the </w:t>
      </w:r>
      <w:r>
        <w:rPr>
          <w:color w:val="231F20"/>
          <w:spacing w:val="2"/>
          <w:w w:val="110"/>
          <w:sz w:val="18"/>
        </w:rPr>
        <w:t>case </w:t>
      </w:r>
      <w:r>
        <w:rPr>
          <w:color w:val="231F20"/>
          <w:w w:val="110"/>
          <w:sz w:val="18"/>
        </w:rPr>
        <w:t>may be and continuing throughout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such Rules being contained in this </w:t>
      </w:r>
      <w:r>
        <w:rPr>
          <w:color w:val="231F20"/>
          <w:spacing w:val="2"/>
          <w:w w:val="110"/>
          <w:sz w:val="18"/>
        </w:rPr>
        <w:t>Part </w:t>
      </w:r>
      <w:r>
        <w:rPr>
          <w:color w:val="231F20"/>
          <w:w w:val="110"/>
          <w:sz w:val="18"/>
        </w:rPr>
        <w:t>II of </w:t>
      </w:r>
      <w:r>
        <w:rPr>
          <w:color w:val="231F20"/>
          <w:spacing w:val="2"/>
          <w:w w:val="110"/>
          <w:sz w:val="18"/>
        </w:rPr>
        <w:t>Section</w:t>
      </w:r>
      <w:r>
        <w:rPr>
          <w:color w:val="231F20"/>
          <w:spacing w:val="55"/>
          <w:w w:val="110"/>
          <w:sz w:val="18"/>
        </w:rPr>
        <w:t> </w:t>
      </w:r>
      <w:r>
        <w:rPr>
          <w:color w:val="231F20"/>
          <w:spacing w:val="-4"/>
          <w:w w:val="110"/>
          <w:sz w:val="18"/>
        </w:rPr>
        <w:t>O.</w:t>
      </w:r>
    </w:p>
    <w:p>
      <w:pPr>
        <w:pStyle w:val="BodyText"/>
        <w:spacing w:before="10"/>
        <w:rPr>
          <w:sz w:val="20"/>
        </w:rPr>
      </w:pPr>
    </w:p>
    <w:p>
      <w:pPr>
        <w:pStyle w:val="ListParagraph"/>
        <w:numPr>
          <w:ilvl w:val="2"/>
          <w:numId w:val="136"/>
        </w:numPr>
        <w:tabs>
          <w:tab w:pos="1801" w:val="left" w:leader="none"/>
        </w:tabs>
        <w:spacing w:line="273" w:lineRule="auto" w:before="0" w:after="0"/>
        <w:ind w:left="1080" w:right="1209" w:firstLine="0"/>
        <w:jc w:val="left"/>
        <w:rPr>
          <w:sz w:val="18"/>
        </w:rPr>
      </w:pPr>
      <w:r>
        <w:rPr>
          <w:b/>
          <w:color w:val="231F20"/>
          <w:spacing w:val="3"/>
          <w:w w:val="110"/>
          <w:sz w:val="18"/>
        </w:rPr>
        <w:t>“Secretary </w:t>
      </w:r>
      <w:r>
        <w:rPr>
          <w:b/>
          <w:color w:val="231F20"/>
          <w:w w:val="110"/>
          <w:sz w:val="18"/>
        </w:rPr>
        <w:t>of the </w:t>
      </w:r>
      <w:r>
        <w:rPr>
          <w:b/>
          <w:color w:val="231F20"/>
          <w:spacing w:val="2"/>
          <w:w w:val="110"/>
          <w:sz w:val="18"/>
        </w:rPr>
        <w:t>Assembly </w:t>
      </w:r>
      <w:r>
        <w:rPr>
          <w:b/>
          <w:color w:val="231F20"/>
          <w:w w:val="110"/>
          <w:sz w:val="18"/>
        </w:rPr>
        <w:t>Commission” </w:t>
      </w:r>
      <w:r>
        <w:rPr>
          <w:color w:val="231F20"/>
          <w:w w:val="110"/>
          <w:sz w:val="18"/>
        </w:rPr>
        <w:t>shall mean the </w:t>
      </w:r>
      <w:r>
        <w:rPr>
          <w:color w:val="231F20"/>
          <w:spacing w:val="2"/>
          <w:w w:val="110"/>
          <w:sz w:val="18"/>
        </w:rPr>
        <w:t>person </w:t>
      </w:r>
      <w:r>
        <w:rPr>
          <w:color w:val="231F20"/>
          <w:w w:val="110"/>
          <w:sz w:val="18"/>
        </w:rPr>
        <w:t>appointed  by the General Assembly on the advice of the Nominations Committee to be responsible for all </w:t>
      </w:r>
      <w:r>
        <w:rPr>
          <w:color w:val="231F20"/>
          <w:spacing w:val="2"/>
          <w:w w:val="110"/>
          <w:sz w:val="18"/>
        </w:rPr>
        <w:t>secretarial </w:t>
      </w:r>
      <w:r>
        <w:rPr>
          <w:color w:val="231F20"/>
          <w:w w:val="110"/>
          <w:sz w:val="18"/>
        </w:rPr>
        <w:t>and procedural </w:t>
      </w:r>
      <w:r>
        <w:rPr>
          <w:color w:val="231F20"/>
          <w:spacing w:val="2"/>
          <w:w w:val="110"/>
          <w:sz w:val="18"/>
        </w:rPr>
        <w:t>matters </w:t>
      </w:r>
      <w:r>
        <w:rPr>
          <w:color w:val="231F20"/>
          <w:w w:val="110"/>
          <w:sz w:val="18"/>
        </w:rPr>
        <w:t>laid upon him/her by </w:t>
      </w:r>
      <w:r>
        <w:rPr>
          <w:color w:val="231F20"/>
          <w:spacing w:val="2"/>
          <w:w w:val="110"/>
          <w:sz w:val="18"/>
        </w:rPr>
        <w:t>virtue </w:t>
      </w:r>
      <w:r>
        <w:rPr>
          <w:color w:val="231F20"/>
          <w:w w:val="110"/>
          <w:sz w:val="18"/>
        </w:rPr>
        <w:t>of the </w:t>
      </w:r>
      <w:r>
        <w:rPr>
          <w:color w:val="231F20"/>
          <w:spacing w:val="2"/>
          <w:w w:val="110"/>
          <w:sz w:val="18"/>
        </w:rPr>
        <w:t>Section </w:t>
      </w:r>
      <w:r>
        <w:rPr>
          <w:color w:val="231F20"/>
          <w:w w:val="110"/>
          <w:sz w:val="18"/>
        </w:rPr>
        <w:t>O Process, and the period and terms of </w:t>
      </w:r>
      <w:r>
        <w:rPr>
          <w:color w:val="231F20"/>
          <w:spacing w:val="2"/>
          <w:w w:val="110"/>
          <w:sz w:val="18"/>
        </w:rPr>
        <w:t>office </w:t>
      </w:r>
      <w:r>
        <w:rPr>
          <w:color w:val="231F20"/>
          <w:w w:val="110"/>
          <w:sz w:val="18"/>
        </w:rPr>
        <w:t>of that </w:t>
      </w:r>
      <w:r>
        <w:rPr>
          <w:color w:val="231F20"/>
          <w:spacing w:val="2"/>
          <w:w w:val="110"/>
          <w:sz w:val="18"/>
        </w:rPr>
        <w:t>person </w:t>
      </w:r>
      <w:r>
        <w:rPr>
          <w:color w:val="231F20"/>
          <w:w w:val="110"/>
          <w:sz w:val="18"/>
        </w:rPr>
        <w:t>shall be such as the General Assembly shall</w:t>
      </w:r>
      <w:r>
        <w:rPr>
          <w:color w:val="231F20"/>
          <w:spacing w:val="2"/>
          <w:w w:val="110"/>
          <w:sz w:val="18"/>
        </w:rPr>
        <w:t> </w:t>
      </w:r>
      <w:r>
        <w:rPr>
          <w:color w:val="231F20"/>
          <w:w w:val="110"/>
          <w:sz w:val="18"/>
        </w:rPr>
        <w:t>decide.</w:t>
      </w:r>
    </w:p>
    <w:p>
      <w:pPr>
        <w:pStyle w:val="BodyText"/>
        <w:spacing w:before="10"/>
        <w:rPr>
          <w:sz w:val="20"/>
        </w:rPr>
      </w:pPr>
    </w:p>
    <w:p>
      <w:pPr>
        <w:pStyle w:val="ListParagraph"/>
        <w:numPr>
          <w:ilvl w:val="2"/>
          <w:numId w:val="136"/>
        </w:numPr>
        <w:tabs>
          <w:tab w:pos="1801" w:val="left" w:leader="none"/>
        </w:tabs>
        <w:spacing w:line="273" w:lineRule="auto" w:before="0" w:after="0"/>
        <w:ind w:left="1080" w:right="1391" w:firstLine="0"/>
        <w:jc w:val="left"/>
        <w:rPr>
          <w:sz w:val="18"/>
        </w:rPr>
      </w:pPr>
      <w:r>
        <w:rPr>
          <w:b/>
          <w:color w:val="231F20"/>
          <w:spacing w:val="2"/>
          <w:w w:val="110"/>
          <w:sz w:val="18"/>
        </w:rPr>
        <w:t>“Section </w:t>
      </w:r>
      <w:r>
        <w:rPr>
          <w:b/>
          <w:color w:val="231F20"/>
          <w:w w:val="110"/>
          <w:sz w:val="18"/>
        </w:rPr>
        <w:t>O </w:t>
      </w:r>
      <w:r>
        <w:rPr>
          <w:b/>
          <w:color w:val="231F20"/>
          <w:spacing w:val="2"/>
          <w:w w:val="110"/>
          <w:sz w:val="18"/>
        </w:rPr>
        <w:t>Process” </w:t>
      </w:r>
      <w:r>
        <w:rPr>
          <w:color w:val="231F20"/>
          <w:w w:val="110"/>
          <w:sz w:val="18"/>
        </w:rPr>
        <w:t>shall mean the whole </w:t>
      </w:r>
      <w:r>
        <w:rPr>
          <w:color w:val="231F20"/>
          <w:spacing w:val="2"/>
          <w:w w:val="110"/>
          <w:sz w:val="18"/>
        </w:rPr>
        <w:t>Process </w:t>
      </w:r>
      <w:r>
        <w:rPr>
          <w:color w:val="231F20"/>
          <w:w w:val="110"/>
          <w:sz w:val="18"/>
        </w:rPr>
        <w:t>set out in </w:t>
      </w:r>
      <w:r>
        <w:rPr>
          <w:color w:val="231F20"/>
          <w:spacing w:val="2"/>
          <w:w w:val="110"/>
          <w:sz w:val="18"/>
        </w:rPr>
        <w:t>Parts </w:t>
      </w:r>
      <w:r>
        <w:rPr>
          <w:color w:val="231F20"/>
          <w:w w:val="110"/>
          <w:sz w:val="18"/>
        </w:rPr>
        <w:t>I and II of this </w:t>
      </w:r>
      <w:r>
        <w:rPr>
          <w:color w:val="231F20"/>
          <w:spacing w:val="2"/>
          <w:w w:val="110"/>
          <w:sz w:val="18"/>
        </w:rPr>
        <w:t>Section </w:t>
      </w:r>
      <w:r>
        <w:rPr>
          <w:color w:val="231F20"/>
          <w:w w:val="110"/>
          <w:sz w:val="18"/>
        </w:rPr>
        <w:t>O (subject to such variations as shall </w:t>
      </w:r>
      <w:r>
        <w:rPr>
          <w:color w:val="231F20"/>
          <w:spacing w:val="2"/>
          <w:w w:val="110"/>
          <w:sz w:val="18"/>
        </w:rPr>
        <w:t>from </w:t>
      </w:r>
      <w:r>
        <w:rPr>
          <w:color w:val="231F20"/>
          <w:w w:val="110"/>
          <w:sz w:val="18"/>
        </w:rPr>
        <w:t>time to time be</w:t>
      </w:r>
      <w:r>
        <w:rPr>
          <w:color w:val="231F20"/>
          <w:spacing w:val="58"/>
          <w:w w:val="110"/>
          <w:sz w:val="18"/>
        </w:rPr>
        <w:t> </w:t>
      </w:r>
      <w:r>
        <w:rPr>
          <w:color w:val="231F20"/>
          <w:spacing w:val="-3"/>
          <w:w w:val="110"/>
          <w:sz w:val="18"/>
        </w:rPr>
        <w:t>made).</w:t>
      </w:r>
    </w:p>
    <w:p>
      <w:pPr>
        <w:pStyle w:val="BodyText"/>
        <w:spacing w:before="8"/>
        <w:rPr>
          <w:sz w:val="20"/>
        </w:rPr>
      </w:pPr>
    </w:p>
    <w:p>
      <w:pPr>
        <w:pStyle w:val="ListParagraph"/>
        <w:numPr>
          <w:ilvl w:val="2"/>
          <w:numId w:val="136"/>
        </w:numPr>
        <w:tabs>
          <w:tab w:pos="1801" w:val="left" w:leader="none"/>
        </w:tabs>
        <w:spacing w:line="240" w:lineRule="auto" w:before="0" w:after="0"/>
        <w:ind w:left="1800" w:right="0" w:hanging="721"/>
        <w:jc w:val="left"/>
        <w:rPr>
          <w:sz w:val="18"/>
        </w:rPr>
      </w:pPr>
      <w:r>
        <w:rPr>
          <w:b/>
          <w:color w:val="231F20"/>
          <w:spacing w:val="2"/>
          <w:w w:val="110"/>
          <w:sz w:val="18"/>
        </w:rPr>
        <w:t>“Structure” </w:t>
      </w:r>
      <w:r>
        <w:rPr>
          <w:color w:val="231F20"/>
          <w:w w:val="110"/>
          <w:sz w:val="18"/>
        </w:rPr>
        <w:t>shall mean the Structure of the United Reformed</w:t>
      </w:r>
      <w:r>
        <w:rPr>
          <w:color w:val="231F20"/>
          <w:spacing w:val="29"/>
          <w:w w:val="110"/>
          <w:sz w:val="18"/>
        </w:rPr>
        <w:t> </w:t>
      </w:r>
      <w:r>
        <w:rPr>
          <w:color w:val="231F20"/>
          <w:w w:val="110"/>
          <w:sz w:val="18"/>
        </w:rPr>
        <w:t>Church.</w:t>
      </w:r>
    </w:p>
    <w:p>
      <w:pPr>
        <w:pStyle w:val="BodyText"/>
        <w:spacing w:before="2"/>
        <w:rPr>
          <w:sz w:val="23"/>
        </w:rPr>
      </w:pPr>
    </w:p>
    <w:p>
      <w:pPr>
        <w:pStyle w:val="ListParagraph"/>
        <w:numPr>
          <w:ilvl w:val="2"/>
          <w:numId w:val="136"/>
        </w:numPr>
        <w:tabs>
          <w:tab w:pos="1801" w:val="left" w:leader="none"/>
        </w:tabs>
        <w:spacing w:line="273" w:lineRule="auto" w:before="0" w:after="0"/>
        <w:ind w:left="1080" w:right="1320" w:hanging="1"/>
        <w:jc w:val="left"/>
        <w:rPr>
          <w:sz w:val="18"/>
        </w:rPr>
      </w:pPr>
      <w:r>
        <w:rPr>
          <w:b/>
          <w:color w:val="231F20"/>
          <w:w w:val="110"/>
          <w:sz w:val="18"/>
        </w:rPr>
        <w:t>“Suspension” </w:t>
      </w:r>
      <w:r>
        <w:rPr>
          <w:color w:val="231F20"/>
          <w:w w:val="110"/>
          <w:sz w:val="18"/>
        </w:rPr>
        <w:t>and </w:t>
      </w:r>
      <w:r>
        <w:rPr>
          <w:b/>
          <w:color w:val="231F20"/>
          <w:spacing w:val="3"/>
          <w:w w:val="110"/>
          <w:sz w:val="18"/>
        </w:rPr>
        <w:t>“to </w:t>
      </w:r>
      <w:r>
        <w:rPr>
          <w:b/>
          <w:color w:val="231F20"/>
          <w:w w:val="110"/>
          <w:sz w:val="18"/>
        </w:rPr>
        <w:t>suspend” </w:t>
      </w:r>
      <w:r>
        <w:rPr>
          <w:color w:val="231F20"/>
          <w:w w:val="110"/>
          <w:sz w:val="18"/>
        </w:rPr>
        <w:t>shall have the meanings assigned to them in Paragraphs 3 and 4 of Schedule E to the Basis of</w:t>
      </w:r>
      <w:r>
        <w:rPr>
          <w:color w:val="231F20"/>
          <w:spacing w:val="22"/>
          <w:w w:val="110"/>
          <w:sz w:val="18"/>
        </w:rPr>
        <w:t> </w:t>
      </w:r>
      <w:r>
        <w:rPr>
          <w:color w:val="231F20"/>
          <w:w w:val="110"/>
          <w:sz w:val="18"/>
        </w:rPr>
        <w:t>Union.</w:t>
      </w:r>
    </w:p>
    <w:p>
      <w:pPr>
        <w:pStyle w:val="BodyText"/>
        <w:spacing w:before="8"/>
        <w:rPr>
          <w:sz w:val="20"/>
        </w:rPr>
      </w:pPr>
    </w:p>
    <w:p>
      <w:pPr>
        <w:pStyle w:val="ListParagraph"/>
        <w:numPr>
          <w:ilvl w:val="2"/>
          <w:numId w:val="136"/>
        </w:numPr>
        <w:tabs>
          <w:tab w:pos="1801" w:val="left" w:leader="none"/>
        </w:tabs>
        <w:spacing w:line="273" w:lineRule="auto" w:before="0" w:after="0"/>
        <w:ind w:left="1080" w:right="1321" w:hanging="1"/>
        <w:jc w:val="left"/>
        <w:rPr>
          <w:sz w:val="18"/>
        </w:rPr>
      </w:pPr>
      <w:r>
        <w:rPr>
          <w:b/>
          <w:color w:val="231F20"/>
          <w:w w:val="110"/>
          <w:sz w:val="18"/>
        </w:rPr>
        <w:t>“Synod Panel” </w:t>
      </w:r>
      <w:r>
        <w:rPr>
          <w:color w:val="231F20"/>
          <w:w w:val="110"/>
          <w:sz w:val="18"/>
        </w:rPr>
        <w:t>shall mean the Panel </w:t>
      </w:r>
      <w:r>
        <w:rPr>
          <w:color w:val="231F20"/>
          <w:spacing w:val="2"/>
          <w:w w:val="110"/>
          <w:sz w:val="18"/>
        </w:rPr>
        <w:t>referred </w:t>
      </w:r>
      <w:r>
        <w:rPr>
          <w:color w:val="231F20"/>
          <w:w w:val="110"/>
          <w:sz w:val="18"/>
        </w:rPr>
        <w:t>to in Paragraph B.2.1 </w:t>
      </w:r>
      <w:r>
        <w:rPr>
          <w:color w:val="231F20"/>
          <w:spacing w:val="2"/>
          <w:w w:val="110"/>
          <w:sz w:val="18"/>
        </w:rPr>
        <w:t>from </w:t>
      </w:r>
      <w:r>
        <w:rPr>
          <w:color w:val="231F20"/>
          <w:w w:val="110"/>
          <w:sz w:val="18"/>
        </w:rPr>
        <w:t>which </w:t>
      </w:r>
      <w:r>
        <w:rPr>
          <w:color w:val="231F20"/>
          <w:spacing w:val="2"/>
          <w:w w:val="110"/>
          <w:sz w:val="18"/>
        </w:rPr>
        <w:t>persons </w:t>
      </w:r>
      <w:r>
        <w:rPr>
          <w:color w:val="231F20"/>
          <w:w w:val="110"/>
          <w:sz w:val="18"/>
        </w:rPr>
        <w:t>shall be appointed to be </w:t>
      </w:r>
      <w:r>
        <w:rPr>
          <w:color w:val="231F20"/>
          <w:spacing w:val="2"/>
          <w:w w:val="110"/>
          <w:sz w:val="18"/>
        </w:rPr>
        <w:t>members </w:t>
      </w:r>
      <w:r>
        <w:rPr>
          <w:color w:val="231F20"/>
          <w:w w:val="110"/>
          <w:sz w:val="18"/>
        </w:rPr>
        <w:t>of the Mandated</w:t>
      </w:r>
      <w:r>
        <w:rPr>
          <w:color w:val="231F20"/>
          <w:spacing w:val="25"/>
          <w:w w:val="110"/>
          <w:sz w:val="18"/>
        </w:rPr>
        <w:t> </w:t>
      </w:r>
      <w:r>
        <w:rPr>
          <w:color w:val="231F20"/>
          <w:w w:val="110"/>
          <w:sz w:val="18"/>
        </w:rPr>
        <w:t>Group.</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0" w:after="0"/>
        <w:ind w:left="1080" w:right="1400" w:firstLine="0"/>
        <w:jc w:val="left"/>
        <w:rPr>
          <w:sz w:val="18"/>
        </w:rPr>
      </w:pPr>
      <w:r>
        <w:rPr>
          <w:color w:val="231F20"/>
          <w:w w:val="110"/>
          <w:sz w:val="18"/>
        </w:rPr>
        <w:t>A.6.1  Subject to the age limit imposed by Paragraph </w:t>
      </w:r>
      <w:r>
        <w:rPr>
          <w:color w:val="231F20"/>
          <w:spacing w:val="-3"/>
          <w:w w:val="110"/>
          <w:sz w:val="18"/>
        </w:rPr>
        <w:t>A.6.4, </w:t>
      </w:r>
      <w:r>
        <w:rPr>
          <w:color w:val="231F20"/>
          <w:w w:val="110"/>
          <w:sz w:val="18"/>
        </w:rPr>
        <w:t>appointment to   the Commission Panel shall be by Resolution of the General Assembly on the advice    of the Nominations Committee </w:t>
      </w:r>
      <w:r>
        <w:rPr>
          <w:color w:val="231F20"/>
          <w:spacing w:val="-5"/>
          <w:w w:val="110"/>
          <w:sz w:val="18"/>
        </w:rPr>
        <w:t>(or </w:t>
      </w:r>
      <w:r>
        <w:rPr>
          <w:color w:val="231F20"/>
          <w:w w:val="110"/>
          <w:sz w:val="18"/>
        </w:rPr>
        <w:t>such other committee as may in the future </w:t>
      </w:r>
      <w:r>
        <w:rPr>
          <w:color w:val="231F20"/>
          <w:spacing w:val="3"/>
          <w:w w:val="110"/>
          <w:sz w:val="18"/>
        </w:rPr>
        <w:t>perform </w:t>
      </w:r>
      <w:r>
        <w:rPr>
          <w:color w:val="231F20"/>
          <w:w w:val="110"/>
          <w:sz w:val="18"/>
        </w:rPr>
        <w:t>the functions of the Nominations Committee), who shall in considering </w:t>
      </w:r>
      <w:r>
        <w:rPr>
          <w:color w:val="231F20"/>
          <w:spacing w:val="2"/>
          <w:w w:val="110"/>
          <w:sz w:val="18"/>
        </w:rPr>
        <w:t>persons </w:t>
      </w:r>
      <w:r>
        <w:rPr>
          <w:color w:val="231F20"/>
          <w:w w:val="110"/>
          <w:sz w:val="18"/>
        </w:rPr>
        <w:t>for appointment</w:t>
      </w:r>
      <w:r>
        <w:rPr>
          <w:color w:val="231F20"/>
          <w:spacing w:val="8"/>
          <w:w w:val="110"/>
          <w:sz w:val="18"/>
        </w:rPr>
        <w:t> </w:t>
      </w:r>
      <w:r>
        <w:rPr>
          <w:color w:val="231F20"/>
          <w:w w:val="110"/>
          <w:sz w:val="18"/>
        </w:rPr>
        <w:t>take</w:t>
      </w:r>
      <w:r>
        <w:rPr>
          <w:color w:val="231F20"/>
          <w:spacing w:val="8"/>
          <w:w w:val="110"/>
          <w:sz w:val="18"/>
        </w:rPr>
        <w:t> </w:t>
      </w:r>
      <w:r>
        <w:rPr>
          <w:color w:val="231F20"/>
          <w:w w:val="110"/>
          <w:sz w:val="18"/>
        </w:rPr>
        <w:t>into</w:t>
      </w:r>
      <w:r>
        <w:rPr>
          <w:color w:val="231F20"/>
          <w:spacing w:val="9"/>
          <w:w w:val="110"/>
          <w:sz w:val="18"/>
        </w:rPr>
        <w:t> </w:t>
      </w:r>
      <w:r>
        <w:rPr>
          <w:color w:val="231F20"/>
          <w:w w:val="110"/>
          <w:sz w:val="18"/>
        </w:rPr>
        <w:t>account</w:t>
      </w:r>
      <w:r>
        <w:rPr>
          <w:color w:val="231F20"/>
          <w:spacing w:val="8"/>
          <w:w w:val="110"/>
          <w:sz w:val="18"/>
        </w:rPr>
        <w:t> </w:t>
      </w:r>
      <w:r>
        <w:rPr>
          <w:color w:val="231F20"/>
          <w:spacing w:val="-4"/>
          <w:w w:val="110"/>
          <w:sz w:val="18"/>
        </w:rPr>
        <w:t>(i)</w:t>
      </w:r>
      <w:r>
        <w:rPr>
          <w:color w:val="231F20"/>
          <w:spacing w:val="8"/>
          <w:w w:val="110"/>
          <w:sz w:val="18"/>
        </w:rPr>
        <w:t> </w:t>
      </w:r>
      <w:r>
        <w:rPr>
          <w:color w:val="231F20"/>
          <w:w w:val="110"/>
          <w:sz w:val="18"/>
        </w:rPr>
        <w:t>the</w:t>
      </w:r>
      <w:r>
        <w:rPr>
          <w:color w:val="231F20"/>
          <w:spacing w:val="9"/>
          <w:w w:val="110"/>
          <w:sz w:val="18"/>
        </w:rPr>
        <w:t> </w:t>
      </w:r>
      <w:r>
        <w:rPr>
          <w:color w:val="231F20"/>
          <w:w w:val="110"/>
          <w:sz w:val="18"/>
        </w:rPr>
        <w:t>need</w:t>
      </w:r>
      <w:r>
        <w:rPr>
          <w:color w:val="231F20"/>
          <w:spacing w:val="8"/>
          <w:w w:val="110"/>
          <w:sz w:val="18"/>
        </w:rPr>
        <w:t> </w:t>
      </w:r>
      <w:r>
        <w:rPr>
          <w:color w:val="231F20"/>
          <w:w w:val="110"/>
          <w:sz w:val="18"/>
        </w:rPr>
        <w:t>for</w:t>
      </w:r>
      <w:r>
        <w:rPr>
          <w:color w:val="231F20"/>
          <w:spacing w:val="8"/>
          <w:w w:val="110"/>
          <w:sz w:val="18"/>
        </w:rPr>
        <w:t> </w:t>
      </w:r>
      <w:r>
        <w:rPr>
          <w:color w:val="231F20"/>
          <w:w w:val="110"/>
          <w:sz w:val="18"/>
        </w:rPr>
        <w:t>balance</w:t>
      </w:r>
      <w:r>
        <w:rPr>
          <w:color w:val="231F20"/>
          <w:spacing w:val="9"/>
          <w:w w:val="110"/>
          <w:sz w:val="18"/>
        </w:rPr>
        <w:t> </w:t>
      </w:r>
      <w:r>
        <w:rPr>
          <w:color w:val="231F20"/>
          <w:w w:val="110"/>
          <w:sz w:val="18"/>
        </w:rPr>
        <w:t>and</w:t>
      </w:r>
      <w:r>
        <w:rPr>
          <w:color w:val="231F20"/>
          <w:spacing w:val="8"/>
          <w:w w:val="110"/>
          <w:sz w:val="18"/>
        </w:rPr>
        <w:t> </w:t>
      </w:r>
      <w:r>
        <w:rPr>
          <w:color w:val="231F20"/>
          <w:w w:val="110"/>
          <w:sz w:val="18"/>
        </w:rPr>
        <w:t>for</w:t>
      </w:r>
      <w:r>
        <w:rPr>
          <w:color w:val="231F20"/>
          <w:spacing w:val="8"/>
          <w:w w:val="110"/>
          <w:sz w:val="18"/>
        </w:rPr>
        <w:t> </w:t>
      </w:r>
      <w:r>
        <w:rPr>
          <w:color w:val="231F20"/>
          <w:w w:val="110"/>
          <w:sz w:val="18"/>
        </w:rPr>
        <w:t>a</w:t>
      </w:r>
      <w:r>
        <w:rPr>
          <w:color w:val="231F20"/>
          <w:spacing w:val="9"/>
          <w:w w:val="110"/>
          <w:sz w:val="18"/>
        </w:rPr>
        <w:t> </w:t>
      </w:r>
      <w:r>
        <w:rPr>
          <w:color w:val="231F20"/>
          <w:w w:val="110"/>
          <w:sz w:val="18"/>
        </w:rPr>
        <w:t>variety</w:t>
      </w:r>
      <w:r>
        <w:rPr>
          <w:color w:val="231F20"/>
          <w:spacing w:val="8"/>
          <w:w w:val="110"/>
          <w:sz w:val="18"/>
        </w:rPr>
        <w:t> </w:t>
      </w:r>
      <w:r>
        <w:rPr>
          <w:color w:val="231F20"/>
          <w:w w:val="110"/>
          <w:sz w:val="18"/>
        </w:rPr>
        <w:t>of</w:t>
      </w:r>
      <w:r>
        <w:rPr>
          <w:color w:val="231F20"/>
          <w:spacing w:val="8"/>
          <w:w w:val="110"/>
          <w:sz w:val="18"/>
        </w:rPr>
        <w:t> </w:t>
      </w:r>
      <w:r>
        <w:rPr>
          <w:color w:val="231F20"/>
          <w:w w:val="110"/>
          <w:sz w:val="18"/>
        </w:rPr>
        <w:t>skills</w:t>
      </w:r>
      <w:r>
        <w:rPr>
          <w:color w:val="231F20"/>
          <w:spacing w:val="9"/>
          <w:w w:val="110"/>
          <w:sz w:val="18"/>
        </w:rPr>
        <w:t> </w:t>
      </w:r>
      <w:r>
        <w:rPr>
          <w:color w:val="231F20"/>
          <w:w w:val="110"/>
          <w:sz w:val="18"/>
        </w:rPr>
        <w:t>and</w:t>
      </w:r>
    </w:p>
    <w:p>
      <w:pPr>
        <w:pStyle w:val="BodyText"/>
        <w:spacing w:line="273" w:lineRule="auto" w:before="3"/>
        <w:ind w:left="1080" w:right="1205"/>
      </w:pPr>
      <w:r>
        <w:rPr>
          <w:color w:val="231F20"/>
          <w:w w:val="110"/>
        </w:rPr>
        <w:t>specialisations, particularly in the following areas – experience in ministerial oversight, theology and doctrine, </w:t>
      </w:r>
      <w:r>
        <w:rPr>
          <w:color w:val="231F20"/>
          <w:spacing w:val="-4"/>
          <w:w w:val="110"/>
        </w:rPr>
        <w:t>law, </w:t>
      </w:r>
      <w:r>
        <w:rPr>
          <w:color w:val="231F20"/>
          <w:w w:val="110"/>
        </w:rPr>
        <w:t>counselling, psychology, mental health,</w:t>
      </w:r>
      <w:r>
        <w:rPr>
          <w:color w:val="231F20"/>
          <w:spacing w:val="60"/>
          <w:w w:val="110"/>
        </w:rPr>
        <w:t> </w:t>
      </w:r>
      <w:r>
        <w:rPr>
          <w:color w:val="231F20"/>
          <w:w w:val="110"/>
        </w:rPr>
        <w:t>experience</w:t>
      </w:r>
    </w:p>
    <w:p>
      <w:pPr>
        <w:pStyle w:val="BodyText"/>
        <w:spacing w:line="273" w:lineRule="auto" w:before="2"/>
        <w:ind w:left="1080" w:right="1844"/>
      </w:pPr>
      <w:r>
        <w:rPr>
          <w:color w:val="231F20"/>
          <w:w w:val="110"/>
        </w:rPr>
        <w:t>in conduct of meetings and tribunals, and </w:t>
      </w:r>
      <w:r>
        <w:rPr>
          <w:color w:val="231F20"/>
          <w:spacing w:val="-3"/>
          <w:w w:val="110"/>
        </w:rPr>
        <w:t>(ii) </w:t>
      </w:r>
      <w:r>
        <w:rPr>
          <w:color w:val="231F20"/>
          <w:w w:val="110"/>
        </w:rPr>
        <w:t>the advantages of including on the Commission Panel </w:t>
      </w:r>
      <w:r>
        <w:rPr>
          <w:color w:val="231F20"/>
          <w:spacing w:val="2"/>
          <w:w w:val="110"/>
        </w:rPr>
        <w:t>persons from </w:t>
      </w:r>
      <w:r>
        <w:rPr>
          <w:color w:val="231F20"/>
          <w:w w:val="110"/>
        </w:rPr>
        <w:t>a variety of ethnic minority</w:t>
      </w:r>
      <w:r>
        <w:rPr>
          <w:color w:val="231F20"/>
          <w:spacing w:val="65"/>
          <w:w w:val="110"/>
        </w:rPr>
        <w:t> </w:t>
      </w:r>
      <w:r>
        <w:rPr>
          <w:color w:val="231F20"/>
          <w:w w:val="110"/>
        </w:rPr>
        <w:t>backgrounds.</w:t>
      </w:r>
    </w:p>
    <w:p>
      <w:pPr>
        <w:pStyle w:val="BodyText"/>
        <w:spacing w:before="8"/>
        <w:rPr>
          <w:sz w:val="20"/>
        </w:rPr>
      </w:pPr>
    </w:p>
    <w:p>
      <w:pPr>
        <w:pStyle w:val="ListParagraph"/>
        <w:numPr>
          <w:ilvl w:val="2"/>
          <w:numId w:val="137"/>
        </w:numPr>
        <w:tabs>
          <w:tab w:pos="1801" w:val="left" w:leader="none"/>
        </w:tabs>
        <w:spacing w:line="273" w:lineRule="auto" w:before="0" w:after="0"/>
        <w:ind w:left="1080" w:right="1367" w:firstLine="0"/>
        <w:jc w:val="left"/>
        <w:rPr>
          <w:sz w:val="18"/>
        </w:rPr>
      </w:pPr>
      <w:r>
        <w:rPr>
          <w:color w:val="231F20"/>
          <w:w w:val="110"/>
          <w:sz w:val="18"/>
        </w:rPr>
        <w:t>Subject to the age limit imposed by Paragraph </w:t>
      </w:r>
      <w:r>
        <w:rPr>
          <w:color w:val="231F20"/>
          <w:spacing w:val="-3"/>
          <w:w w:val="110"/>
          <w:sz w:val="18"/>
        </w:rPr>
        <w:t>A.6.4, </w:t>
      </w:r>
      <w:r>
        <w:rPr>
          <w:color w:val="231F20"/>
          <w:spacing w:val="2"/>
          <w:w w:val="110"/>
          <w:sz w:val="18"/>
        </w:rPr>
        <w:t>members </w:t>
      </w:r>
      <w:r>
        <w:rPr>
          <w:color w:val="231F20"/>
          <w:w w:val="110"/>
          <w:sz w:val="18"/>
        </w:rPr>
        <w:t>of the Commission Panel shall be appointed for such term not exceeding five </w:t>
      </w:r>
      <w:r>
        <w:rPr>
          <w:color w:val="231F20"/>
          <w:spacing w:val="-4"/>
          <w:w w:val="110"/>
          <w:sz w:val="18"/>
        </w:rPr>
        <w:t>(5) </w:t>
      </w:r>
      <w:r>
        <w:rPr>
          <w:color w:val="231F20"/>
          <w:w w:val="110"/>
          <w:sz w:val="18"/>
        </w:rPr>
        <w:t>years as the General Assembly shall in each </w:t>
      </w:r>
      <w:r>
        <w:rPr>
          <w:color w:val="231F20"/>
          <w:spacing w:val="2"/>
          <w:w w:val="110"/>
          <w:sz w:val="18"/>
        </w:rPr>
        <w:t>case </w:t>
      </w:r>
      <w:r>
        <w:rPr>
          <w:color w:val="231F20"/>
          <w:w w:val="110"/>
          <w:sz w:val="18"/>
        </w:rPr>
        <w:t>think fit with power for the General Assembly to determine any such appointment during its term or to renew any such appointment    for successive terms of five </w:t>
      </w:r>
      <w:r>
        <w:rPr>
          <w:color w:val="231F20"/>
          <w:spacing w:val="-4"/>
          <w:w w:val="110"/>
          <w:sz w:val="18"/>
        </w:rPr>
        <w:t>(5) </w:t>
      </w:r>
      <w:r>
        <w:rPr>
          <w:color w:val="231F20"/>
          <w:w w:val="110"/>
          <w:sz w:val="18"/>
        </w:rPr>
        <w:t>years each, but any </w:t>
      </w:r>
      <w:r>
        <w:rPr>
          <w:color w:val="231F20"/>
          <w:spacing w:val="2"/>
          <w:w w:val="110"/>
          <w:sz w:val="18"/>
        </w:rPr>
        <w:t>person </w:t>
      </w:r>
      <w:r>
        <w:rPr>
          <w:color w:val="231F20"/>
          <w:w w:val="110"/>
          <w:sz w:val="18"/>
        </w:rPr>
        <w:t>who </w:t>
      </w:r>
      <w:r>
        <w:rPr>
          <w:color w:val="231F20"/>
          <w:spacing w:val="2"/>
          <w:w w:val="110"/>
          <w:sz w:val="18"/>
        </w:rPr>
        <w:t>reaches </w:t>
      </w:r>
      <w:r>
        <w:rPr>
          <w:color w:val="231F20"/>
          <w:w w:val="110"/>
          <w:sz w:val="18"/>
        </w:rPr>
        <w:t>the end of    the term of his/her appointment on the Commission Panel whilst </w:t>
      </w:r>
      <w:r>
        <w:rPr>
          <w:color w:val="231F20"/>
          <w:spacing w:val="2"/>
          <w:w w:val="110"/>
          <w:sz w:val="18"/>
        </w:rPr>
        <w:t>serving </w:t>
      </w:r>
      <w:r>
        <w:rPr>
          <w:color w:val="231F20"/>
          <w:w w:val="110"/>
          <w:sz w:val="18"/>
        </w:rPr>
        <w:t>as a member of an Assembly Commission in a case in </w:t>
      </w:r>
      <w:r>
        <w:rPr>
          <w:color w:val="231F20"/>
          <w:spacing w:val="2"/>
          <w:w w:val="110"/>
          <w:sz w:val="18"/>
        </w:rPr>
        <w:t>progress </w:t>
      </w:r>
      <w:r>
        <w:rPr>
          <w:color w:val="231F20"/>
          <w:w w:val="110"/>
          <w:sz w:val="18"/>
        </w:rPr>
        <w:t>may continue so to </w:t>
      </w:r>
      <w:r>
        <w:rPr>
          <w:color w:val="231F20"/>
          <w:spacing w:val="2"/>
          <w:w w:val="110"/>
          <w:sz w:val="18"/>
        </w:rPr>
        <w:t>serve </w:t>
      </w:r>
      <w:r>
        <w:rPr>
          <w:color w:val="231F20"/>
          <w:w w:val="110"/>
          <w:sz w:val="18"/>
        </w:rPr>
        <w:t>until the conclusion of that</w:t>
      </w:r>
      <w:r>
        <w:rPr>
          <w:color w:val="231F20"/>
          <w:spacing w:val="3"/>
          <w:w w:val="110"/>
          <w:sz w:val="18"/>
        </w:rPr>
        <w:t> </w:t>
      </w:r>
      <w:r>
        <w:rPr>
          <w:color w:val="231F20"/>
          <w:w w:val="110"/>
          <w:sz w:val="18"/>
        </w:rPr>
        <w:t>case.</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37"/>
        </w:numPr>
        <w:tabs>
          <w:tab w:pos="1234" w:val="left" w:leader="none"/>
        </w:tabs>
        <w:spacing w:line="273" w:lineRule="auto" w:before="101" w:after="0"/>
        <w:ind w:left="513" w:right="1885" w:firstLine="0"/>
        <w:jc w:val="left"/>
        <w:rPr>
          <w:sz w:val="18"/>
        </w:rPr>
      </w:pPr>
      <w:r>
        <w:rPr>
          <w:color w:val="231F20"/>
          <w:w w:val="110"/>
          <w:sz w:val="18"/>
        </w:rPr>
        <w:t>The General Assembly shall appoint </w:t>
      </w:r>
      <w:r>
        <w:rPr>
          <w:color w:val="231F20"/>
          <w:spacing w:val="2"/>
          <w:w w:val="110"/>
          <w:sz w:val="18"/>
        </w:rPr>
        <w:t>from </w:t>
      </w:r>
      <w:r>
        <w:rPr>
          <w:color w:val="231F20"/>
          <w:w w:val="110"/>
          <w:sz w:val="18"/>
        </w:rPr>
        <w:t>the Commission Panel one member to be the Convener of the Commission Panel and one member to be the Deputy Convener of the Commission Panel, each (subject to the provisions of Paragraph </w:t>
      </w:r>
      <w:r>
        <w:rPr>
          <w:color w:val="231F20"/>
          <w:spacing w:val="-3"/>
          <w:w w:val="110"/>
          <w:sz w:val="18"/>
        </w:rPr>
        <w:t>A.6.2) </w:t>
      </w:r>
      <w:r>
        <w:rPr>
          <w:color w:val="231F20"/>
          <w:w w:val="110"/>
          <w:sz w:val="18"/>
        </w:rPr>
        <w:t>to </w:t>
      </w:r>
      <w:r>
        <w:rPr>
          <w:color w:val="231F20"/>
          <w:spacing w:val="2"/>
          <w:w w:val="110"/>
          <w:sz w:val="18"/>
        </w:rPr>
        <w:t>serve </w:t>
      </w:r>
      <w:r>
        <w:rPr>
          <w:color w:val="231F20"/>
          <w:w w:val="110"/>
          <w:sz w:val="18"/>
        </w:rPr>
        <w:t>for such period as General Assembly shall</w:t>
      </w:r>
      <w:r>
        <w:rPr>
          <w:color w:val="231F20"/>
          <w:spacing w:val="16"/>
          <w:w w:val="110"/>
          <w:sz w:val="18"/>
        </w:rPr>
        <w:t> </w:t>
      </w:r>
      <w:r>
        <w:rPr>
          <w:color w:val="231F20"/>
          <w:w w:val="110"/>
          <w:sz w:val="18"/>
        </w:rPr>
        <w:t>decide.</w:t>
      </w:r>
    </w:p>
    <w:p>
      <w:pPr>
        <w:pStyle w:val="BodyText"/>
        <w:spacing w:before="9"/>
        <w:rPr>
          <w:sz w:val="20"/>
        </w:rPr>
      </w:pPr>
    </w:p>
    <w:p>
      <w:pPr>
        <w:pStyle w:val="ListParagraph"/>
        <w:numPr>
          <w:ilvl w:val="2"/>
          <w:numId w:val="137"/>
        </w:numPr>
        <w:tabs>
          <w:tab w:pos="1234" w:val="left" w:leader="none"/>
        </w:tabs>
        <w:spacing w:line="273" w:lineRule="auto" w:before="0" w:after="0"/>
        <w:ind w:left="513" w:right="1699" w:firstLine="0"/>
        <w:jc w:val="left"/>
        <w:rPr>
          <w:sz w:val="18"/>
        </w:rPr>
      </w:pPr>
      <w:r>
        <w:rPr>
          <w:color w:val="231F20"/>
          <w:w w:val="110"/>
          <w:sz w:val="18"/>
        </w:rPr>
        <w:t>When any member of the Commission Panel </w:t>
      </w:r>
      <w:r>
        <w:rPr>
          <w:color w:val="231F20"/>
          <w:spacing w:val="2"/>
          <w:w w:val="110"/>
          <w:sz w:val="18"/>
        </w:rPr>
        <w:t>reaches </w:t>
      </w:r>
      <w:r>
        <w:rPr>
          <w:color w:val="231F20"/>
          <w:w w:val="110"/>
          <w:sz w:val="18"/>
        </w:rPr>
        <w:t>the age of seventy, s/he  must forthwith resign </w:t>
      </w:r>
      <w:r>
        <w:rPr>
          <w:color w:val="231F20"/>
          <w:spacing w:val="2"/>
          <w:w w:val="110"/>
          <w:sz w:val="18"/>
        </w:rPr>
        <w:t>from </w:t>
      </w:r>
      <w:r>
        <w:rPr>
          <w:color w:val="231F20"/>
          <w:w w:val="110"/>
          <w:sz w:val="18"/>
        </w:rPr>
        <w:t>the Commission Panel and shall no longer be eligible to    </w:t>
      </w:r>
      <w:r>
        <w:rPr>
          <w:color w:val="231F20"/>
          <w:spacing w:val="2"/>
          <w:w w:val="110"/>
          <w:sz w:val="18"/>
        </w:rPr>
        <w:t>serve </w:t>
      </w:r>
      <w:r>
        <w:rPr>
          <w:color w:val="231F20"/>
          <w:w w:val="110"/>
          <w:sz w:val="18"/>
        </w:rPr>
        <w:t>on any new Assembly Commission, but any </w:t>
      </w:r>
      <w:r>
        <w:rPr>
          <w:color w:val="231F20"/>
          <w:spacing w:val="2"/>
          <w:w w:val="110"/>
          <w:sz w:val="18"/>
        </w:rPr>
        <w:t>person </w:t>
      </w:r>
      <w:r>
        <w:rPr>
          <w:color w:val="231F20"/>
          <w:w w:val="110"/>
          <w:sz w:val="18"/>
        </w:rPr>
        <w:t>who </w:t>
      </w:r>
      <w:r>
        <w:rPr>
          <w:color w:val="231F20"/>
          <w:spacing w:val="2"/>
          <w:w w:val="110"/>
          <w:sz w:val="18"/>
        </w:rPr>
        <w:t>reaches </w:t>
      </w:r>
      <w:r>
        <w:rPr>
          <w:color w:val="231F20"/>
          <w:w w:val="110"/>
          <w:sz w:val="18"/>
        </w:rPr>
        <w:t>his/her seventieth birthday whilst </w:t>
      </w:r>
      <w:r>
        <w:rPr>
          <w:color w:val="231F20"/>
          <w:spacing w:val="2"/>
          <w:w w:val="110"/>
          <w:sz w:val="18"/>
        </w:rPr>
        <w:t>serving </w:t>
      </w:r>
      <w:r>
        <w:rPr>
          <w:color w:val="231F20"/>
          <w:w w:val="110"/>
          <w:sz w:val="18"/>
        </w:rPr>
        <w:t>on an Assembly Commission in a case in </w:t>
      </w:r>
      <w:r>
        <w:rPr>
          <w:color w:val="231F20"/>
          <w:spacing w:val="2"/>
          <w:w w:val="110"/>
          <w:sz w:val="18"/>
        </w:rPr>
        <w:t>progress </w:t>
      </w:r>
      <w:r>
        <w:rPr>
          <w:color w:val="231F20"/>
          <w:w w:val="110"/>
          <w:sz w:val="18"/>
        </w:rPr>
        <w:t>may continue  so to </w:t>
      </w:r>
      <w:r>
        <w:rPr>
          <w:color w:val="231F20"/>
          <w:spacing w:val="2"/>
          <w:w w:val="110"/>
          <w:sz w:val="18"/>
        </w:rPr>
        <w:t>serve </w:t>
      </w:r>
      <w:r>
        <w:rPr>
          <w:color w:val="231F20"/>
          <w:w w:val="110"/>
          <w:sz w:val="18"/>
        </w:rPr>
        <w:t>until the conclusion of that</w:t>
      </w:r>
      <w:r>
        <w:rPr>
          <w:color w:val="231F20"/>
          <w:spacing w:val="11"/>
          <w:w w:val="110"/>
          <w:sz w:val="18"/>
        </w:rPr>
        <w:t> </w:t>
      </w:r>
      <w:r>
        <w:rPr>
          <w:color w:val="231F20"/>
          <w:w w:val="110"/>
          <w:sz w:val="18"/>
        </w:rPr>
        <w:t>case.</w:t>
      </w:r>
    </w:p>
    <w:p>
      <w:pPr>
        <w:pStyle w:val="BodyText"/>
        <w:spacing w:before="10"/>
        <w:rPr>
          <w:sz w:val="20"/>
        </w:rPr>
      </w:pPr>
    </w:p>
    <w:p>
      <w:pPr>
        <w:pStyle w:val="ListParagraph"/>
        <w:numPr>
          <w:ilvl w:val="2"/>
          <w:numId w:val="122"/>
        </w:numPr>
        <w:tabs>
          <w:tab w:pos="1233" w:val="left" w:leader="none"/>
          <w:tab w:pos="1234" w:val="left" w:leader="none"/>
        </w:tabs>
        <w:spacing w:line="273" w:lineRule="auto" w:before="0" w:after="0"/>
        <w:ind w:left="513" w:right="1954" w:firstLine="0"/>
        <w:jc w:val="left"/>
        <w:rPr>
          <w:sz w:val="18"/>
        </w:rPr>
      </w:pPr>
      <w:r>
        <w:rPr>
          <w:color w:val="231F20"/>
          <w:w w:val="110"/>
          <w:sz w:val="18"/>
        </w:rPr>
        <w:t>In any </w:t>
      </w:r>
      <w:r>
        <w:rPr>
          <w:color w:val="231F20"/>
          <w:spacing w:val="2"/>
          <w:w w:val="110"/>
          <w:sz w:val="18"/>
        </w:rPr>
        <w:t>case </w:t>
      </w:r>
      <w:r>
        <w:rPr>
          <w:color w:val="231F20"/>
          <w:w w:val="110"/>
          <w:sz w:val="18"/>
        </w:rPr>
        <w:t>where a </w:t>
      </w:r>
      <w:r>
        <w:rPr>
          <w:color w:val="231F20"/>
          <w:spacing w:val="2"/>
          <w:w w:val="110"/>
          <w:sz w:val="18"/>
        </w:rPr>
        <w:t>person </w:t>
      </w:r>
      <w:r>
        <w:rPr>
          <w:color w:val="231F20"/>
          <w:w w:val="110"/>
          <w:sz w:val="18"/>
        </w:rPr>
        <w:t>authorised or required to take some </w:t>
      </w:r>
      <w:r>
        <w:rPr>
          <w:color w:val="231F20"/>
          <w:spacing w:val="2"/>
          <w:w w:val="110"/>
          <w:sz w:val="18"/>
        </w:rPr>
        <w:t>action </w:t>
      </w:r>
      <w:r>
        <w:rPr>
          <w:color w:val="231F20"/>
          <w:w w:val="110"/>
          <w:sz w:val="18"/>
        </w:rPr>
        <w:t>regarding </w:t>
      </w:r>
      <w:r>
        <w:rPr>
          <w:color w:val="231F20"/>
          <w:spacing w:val="-4"/>
          <w:w w:val="110"/>
          <w:sz w:val="18"/>
        </w:rPr>
        <w:t>(i) </w:t>
      </w:r>
      <w:r>
        <w:rPr>
          <w:color w:val="231F20"/>
          <w:w w:val="110"/>
          <w:sz w:val="18"/>
        </w:rPr>
        <w:t>the appointment of </w:t>
      </w:r>
      <w:r>
        <w:rPr>
          <w:color w:val="231F20"/>
          <w:spacing w:val="2"/>
          <w:w w:val="110"/>
          <w:sz w:val="18"/>
        </w:rPr>
        <w:t>persons </w:t>
      </w:r>
      <w:r>
        <w:rPr>
          <w:color w:val="231F20"/>
          <w:w w:val="110"/>
          <w:sz w:val="18"/>
        </w:rPr>
        <w:t>to any Mandated Group or </w:t>
      </w:r>
      <w:r>
        <w:rPr>
          <w:color w:val="231F20"/>
          <w:spacing w:val="-3"/>
          <w:w w:val="110"/>
          <w:sz w:val="18"/>
        </w:rPr>
        <w:t>(ii) </w:t>
      </w:r>
      <w:r>
        <w:rPr>
          <w:color w:val="231F20"/>
          <w:w w:val="110"/>
          <w:sz w:val="18"/>
        </w:rPr>
        <w:t>the calling in   of</w:t>
      </w:r>
      <w:r>
        <w:rPr>
          <w:color w:val="231F20"/>
          <w:spacing w:val="10"/>
          <w:w w:val="110"/>
          <w:sz w:val="18"/>
        </w:rPr>
        <w:t> </w:t>
      </w:r>
      <w:r>
        <w:rPr>
          <w:color w:val="231F20"/>
          <w:w w:val="110"/>
          <w:sz w:val="18"/>
        </w:rPr>
        <w:t>a</w:t>
      </w:r>
      <w:r>
        <w:rPr>
          <w:color w:val="231F20"/>
          <w:spacing w:val="11"/>
          <w:w w:val="110"/>
          <w:sz w:val="18"/>
        </w:rPr>
        <w:t> </w:t>
      </w:r>
      <w:r>
        <w:rPr>
          <w:color w:val="231F20"/>
          <w:w w:val="110"/>
          <w:sz w:val="18"/>
        </w:rPr>
        <w:t>Mandated</w:t>
      </w:r>
      <w:r>
        <w:rPr>
          <w:color w:val="231F20"/>
          <w:spacing w:val="10"/>
          <w:w w:val="110"/>
          <w:sz w:val="18"/>
        </w:rPr>
        <w:t> </w:t>
      </w:r>
      <w:r>
        <w:rPr>
          <w:color w:val="231F20"/>
          <w:w w:val="110"/>
          <w:sz w:val="18"/>
        </w:rPr>
        <w:t>Group</w:t>
      </w:r>
      <w:r>
        <w:rPr>
          <w:color w:val="231F20"/>
          <w:spacing w:val="11"/>
          <w:w w:val="110"/>
          <w:sz w:val="18"/>
        </w:rPr>
        <w:t> </w:t>
      </w:r>
      <w:r>
        <w:rPr>
          <w:color w:val="231F20"/>
          <w:w w:val="110"/>
          <w:sz w:val="18"/>
        </w:rPr>
        <w:t>or</w:t>
      </w:r>
      <w:r>
        <w:rPr>
          <w:color w:val="231F20"/>
          <w:spacing w:val="10"/>
          <w:w w:val="110"/>
          <w:sz w:val="18"/>
        </w:rPr>
        <w:t> </w:t>
      </w:r>
      <w:r>
        <w:rPr>
          <w:color w:val="231F20"/>
          <w:w w:val="110"/>
          <w:sz w:val="18"/>
        </w:rPr>
        <w:t>(iii)</w:t>
      </w:r>
      <w:r>
        <w:rPr>
          <w:color w:val="231F20"/>
          <w:spacing w:val="11"/>
          <w:w w:val="110"/>
          <w:sz w:val="18"/>
        </w:rPr>
        <w:t> </w:t>
      </w:r>
      <w:r>
        <w:rPr>
          <w:color w:val="231F20"/>
          <w:w w:val="110"/>
          <w:sz w:val="18"/>
        </w:rPr>
        <w:t>some</w:t>
      </w:r>
      <w:r>
        <w:rPr>
          <w:color w:val="231F20"/>
          <w:spacing w:val="11"/>
          <w:w w:val="110"/>
          <w:sz w:val="18"/>
        </w:rPr>
        <w:t> </w:t>
      </w:r>
      <w:r>
        <w:rPr>
          <w:color w:val="231F20"/>
          <w:w w:val="110"/>
          <w:sz w:val="18"/>
        </w:rPr>
        <w:t>other</w:t>
      </w:r>
      <w:r>
        <w:rPr>
          <w:color w:val="231F20"/>
          <w:spacing w:val="10"/>
          <w:w w:val="110"/>
          <w:sz w:val="18"/>
        </w:rPr>
        <w:t> </w:t>
      </w:r>
      <w:r>
        <w:rPr>
          <w:color w:val="231F20"/>
          <w:w w:val="110"/>
          <w:sz w:val="18"/>
        </w:rPr>
        <w:t>administrative</w:t>
      </w:r>
      <w:r>
        <w:rPr>
          <w:color w:val="231F20"/>
          <w:spacing w:val="11"/>
          <w:w w:val="110"/>
          <w:sz w:val="18"/>
        </w:rPr>
        <w:t> </w:t>
      </w:r>
      <w:r>
        <w:rPr>
          <w:color w:val="231F20"/>
          <w:w w:val="110"/>
          <w:sz w:val="18"/>
        </w:rPr>
        <w:t>or</w:t>
      </w:r>
      <w:r>
        <w:rPr>
          <w:color w:val="231F20"/>
          <w:spacing w:val="10"/>
          <w:w w:val="110"/>
          <w:sz w:val="18"/>
        </w:rPr>
        <w:t> </w:t>
      </w:r>
      <w:r>
        <w:rPr>
          <w:color w:val="231F20"/>
          <w:w w:val="110"/>
          <w:sz w:val="18"/>
        </w:rPr>
        <w:t>procedural</w:t>
      </w:r>
      <w:r>
        <w:rPr>
          <w:color w:val="231F20"/>
          <w:spacing w:val="11"/>
          <w:w w:val="110"/>
          <w:sz w:val="18"/>
        </w:rPr>
        <w:t> </w:t>
      </w:r>
      <w:r>
        <w:rPr>
          <w:color w:val="231F20"/>
          <w:w w:val="110"/>
          <w:sz w:val="18"/>
        </w:rPr>
        <w:t>matter</w:t>
      </w:r>
      <w:r>
        <w:rPr>
          <w:color w:val="231F20"/>
          <w:spacing w:val="11"/>
          <w:w w:val="110"/>
          <w:sz w:val="18"/>
        </w:rPr>
        <w:t> </w:t>
      </w:r>
      <w:r>
        <w:rPr>
          <w:color w:val="231F20"/>
          <w:w w:val="110"/>
          <w:sz w:val="18"/>
        </w:rPr>
        <w:t>under</w:t>
      </w:r>
      <w:r>
        <w:rPr>
          <w:color w:val="231F20"/>
          <w:spacing w:val="10"/>
          <w:w w:val="110"/>
          <w:sz w:val="18"/>
        </w:rPr>
        <w:t> </w:t>
      </w:r>
      <w:r>
        <w:rPr>
          <w:color w:val="231F20"/>
          <w:w w:val="110"/>
          <w:sz w:val="18"/>
        </w:rPr>
        <w:t>the</w:t>
      </w:r>
    </w:p>
    <w:p>
      <w:pPr>
        <w:pStyle w:val="BodyText"/>
        <w:spacing w:line="273" w:lineRule="auto" w:before="2"/>
        <w:ind w:left="513" w:right="1928"/>
      </w:pPr>
      <w:r>
        <w:rPr>
          <w:color w:val="231F20"/>
          <w:spacing w:val="2"/>
          <w:w w:val="110"/>
        </w:rPr>
        <w:t>Section </w:t>
      </w:r>
      <w:r>
        <w:rPr>
          <w:color w:val="231F20"/>
          <w:w w:val="110"/>
        </w:rPr>
        <w:t>O </w:t>
      </w:r>
      <w:r>
        <w:rPr>
          <w:color w:val="231F20"/>
          <w:spacing w:val="2"/>
          <w:w w:val="110"/>
        </w:rPr>
        <w:t>Process </w:t>
      </w:r>
      <w:r>
        <w:rPr>
          <w:color w:val="231F20"/>
          <w:w w:val="110"/>
        </w:rPr>
        <w:t>is unable for any reason to do so, then, unless the </w:t>
      </w:r>
      <w:r>
        <w:rPr>
          <w:color w:val="231F20"/>
          <w:spacing w:val="2"/>
          <w:w w:val="110"/>
        </w:rPr>
        <w:t>Section </w:t>
      </w:r>
      <w:r>
        <w:rPr>
          <w:color w:val="231F20"/>
          <w:w w:val="110"/>
        </w:rPr>
        <w:t>O </w:t>
      </w:r>
      <w:r>
        <w:rPr>
          <w:color w:val="231F20"/>
          <w:spacing w:val="2"/>
          <w:w w:val="110"/>
        </w:rPr>
        <w:t>Process </w:t>
      </w:r>
      <w:r>
        <w:rPr>
          <w:color w:val="231F20"/>
          <w:w w:val="110"/>
        </w:rPr>
        <w:t>already makes specific provision for such a situation, that person’s duly appointed deputy shall take such </w:t>
      </w:r>
      <w:r>
        <w:rPr>
          <w:color w:val="231F20"/>
          <w:spacing w:val="2"/>
          <w:w w:val="110"/>
        </w:rPr>
        <w:t>action </w:t>
      </w:r>
      <w:r>
        <w:rPr>
          <w:color w:val="231F20"/>
          <w:w w:val="110"/>
        </w:rPr>
        <w:t>in his/her place. This Paragraph does not permit any member of an Assembly Commission, an Appeals Commission or a Mandated Group to appoint his/her own</w:t>
      </w:r>
      <w:r>
        <w:rPr>
          <w:color w:val="231F20"/>
          <w:spacing w:val="3"/>
          <w:w w:val="110"/>
        </w:rPr>
        <w:t> </w:t>
      </w:r>
      <w:r>
        <w:rPr>
          <w:color w:val="231F20"/>
          <w:w w:val="110"/>
        </w:rPr>
        <w:t>deputy.</w:t>
      </w:r>
    </w:p>
    <w:p>
      <w:pPr>
        <w:pStyle w:val="BodyText"/>
        <w:spacing w:before="10"/>
        <w:rPr>
          <w:sz w:val="20"/>
        </w:rPr>
      </w:pPr>
    </w:p>
    <w:p>
      <w:pPr>
        <w:pStyle w:val="ListParagraph"/>
        <w:numPr>
          <w:ilvl w:val="2"/>
          <w:numId w:val="122"/>
        </w:numPr>
        <w:tabs>
          <w:tab w:pos="1233" w:val="left" w:leader="none"/>
          <w:tab w:pos="1234" w:val="left" w:leader="none"/>
        </w:tabs>
        <w:spacing w:line="273" w:lineRule="auto" w:before="0" w:after="0"/>
        <w:ind w:left="513" w:right="1705" w:firstLine="0"/>
        <w:jc w:val="left"/>
        <w:rPr>
          <w:sz w:val="18"/>
        </w:rPr>
      </w:pPr>
      <w:r>
        <w:rPr>
          <w:color w:val="231F20"/>
          <w:w w:val="110"/>
          <w:sz w:val="18"/>
        </w:rPr>
        <w:t>In any </w:t>
      </w:r>
      <w:r>
        <w:rPr>
          <w:color w:val="231F20"/>
          <w:spacing w:val="2"/>
          <w:w w:val="110"/>
          <w:sz w:val="18"/>
        </w:rPr>
        <w:t>case </w:t>
      </w:r>
      <w:r>
        <w:rPr>
          <w:color w:val="231F20"/>
          <w:w w:val="110"/>
          <w:sz w:val="18"/>
        </w:rPr>
        <w:t>where the </w:t>
      </w:r>
      <w:r>
        <w:rPr>
          <w:color w:val="231F20"/>
          <w:spacing w:val="3"/>
          <w:w w:val="110"/>
          <w:sz w:val="18"/>
        </w:rPr>
        <w:t>Secretary </w:t>
      </w:r>
      <w:r>
        <w:rPr>
          <w:color w:val="231F20"/>
          <w:w w:val="110"/>
          <w:sz w:val="18"/>
        </w:rPr>
        <w:t>of the Assembly Commission </w:t>
      </w:r>
      <w:r>
        <w:rPr>
          <w:color w:val="231F20"/>
          <w:spacing w:val="-5"/>
          <w:w w:val="110"/>
          <w:sz w:val="18"/>
        </w:rPr>
        <w:t>(or </w:t>
      </w:r>
      <w:r>
        <w:rPr>
          <w:color w:val="231F20"/>
          <w:w w:val="110"/>
          <w:sz w:val="18"/>
        </w:rPr>
        <w:t>the General </w:t>
      </w:r>
      <w:r>
        <w:rPr>
          <w:color w:val="231F20"/>
          <w:spacing w:val="3"/>
          <w:w w:val="110"/>
          <w:sz w:val="18"/>
        </w:rPr>
        <w:t>Secretary </w:t>
      </w:r>
      <w:r>
        <w:rPr>
          <w:color w:val="231F20"/>
          <w:w w:val="110"/>
          <w:sz w:val="18"/>
        </w:rPr>
        <w:t>in the </w:t>
      </w:r>
      <w:r>
        <w:rPr>
          <w:color w:val="231F20"/>
          <w:spacing w:val="2"/>
          <w:w w:val="110"/>
          <w:sz w:val="18"/>
        </w:rPr>
        <w:t>case </w:t>
      </w:r>
      <w:r>
        <w:rPr>
          <w:color w:val="231F20"/>
          <w:w w:val="110"/>
          <w:sz w:val="18"/>
        </w:rPr>
        <w:t>of Appeals, save where Paragraph </w:t>
      </w:r>
      <w:r>
        <w:rPr>
          <w:color w:val="231F20"/>
          <w:spacing w:val="-4"/>
          <w:w w:val="110"/>
          <w:sz w:val="18"/>
        </w:rPr>
        <w:t>G.10.5 </w:t>
      </w:r>
      <w:r>
        <w:rPr>
          <w:color w:val="231F20"/>
          <w:w w:val="110"/>
          <w:sz w:val="18"/>
        </w:rPr>
        <w:t>applies) is unable for any reason to </w:t>
      </w:r>
      <w:r>
        <w:rPr>
          <w:color w:val="231F20"/>
          <w:spacing w:val="3"/>
          <w:w w:val="110"/>
          <w:sz w:val="18"/>
        </w:rPr>
        <w:t>carry </w:t>
      </w:r>
      <w:r>
        <w:rPr>
          <w:color w:val="231F20"/>
          <w:w w:val="110"/>
          <w:sz w:val="18"/>
        </w:rPr>
        <w:t>out the duties of that office, his/her place shall be taken by a deputy   duly authorised by or in the name of General</w:t>
      </w:r>
      <w:r>
        <w:rPr>
          <w:color w:val="231F20"/>
          <w:spacing w:val="18"/>
          <w:w w:val="110"/>
          <w:sz w:val="18"/>
        </w:rPr>
        <w:t> </w:t>
      </w:r>
      <w:r>
        <w:rPr>
          <w:color w:val="231F20"/>
          <w:w w:val="110"/>
          <w:sz w:val="18"/>
        </w:rPr>
        <w:t>Assembly.</w:t>
      </w:r>
    </w:p>
    <w:p>
      <w:pPr>
        <w:pStyle w:val="BodyText"/>
        <w:spacing w:before="10"/>
        <w:rPr>
          <w:sz w:val="20"/>
        </w:rPr>
      </w:pPr>
    </w:p>
    <w:p>
      <w:pPr>
        <w:pStyle w:val="ListParagraph"/>
        <w:numPr>
          <w:ilvl w:val="2"/>
          <w:numId w:val="122"/>
        </w:numPr>
        <w:tabs>
          <w:tab w:pos="1233" w:val="left" w:leader="none"/>
          <w:tab w:pos="1234" w:val="left" w:leader="none"/>
        </w:tabs>
        <w:spacing w:line="273" w:lineRule="auto" w:before="0" w:after="0"/>
        <w:ind w:left="513" w:right="1887" w:firstLine="0"/>
        <w:jc w:val="left"/>
        <w:rPr>
          <w:sz w:val="18"/>
        </w:rPr>
      </w:pPr>
      <w:r>
        <w:rPr>
          <w:color w:val="231F20"/>
          <w:w w:val="110"/>
          <w:sz w:val="18"/>
        </w:rPr>
        <w:t>Where any issue or question of procedure arises whilst the matter is under the jurisdiction of the Assembly Commission or the Appeals Commission that Commission shall resolve each such issue or question or give such directions as shall appear to it to be just and appropriate in the</w:t>
      </w:r>
      <w:r>
        <w:rPr>
          <w:color w:val="231F20"/>
          <w:spacing w:val="12"/>
          <w:w w:val="110"/>
          <w:sz w:val="18"/>
        </w:rPr>
        <w:t> </w:t>
      </w:r>
      <w:r>
        <w:rPr>
          <w:color w:val="231F20"/>
          <w:w w:val="110"/>
          <w:sz w:val="18"/>
        </w:rPr>
        <w:t>circumstances.</w:t>
      </w:r>
    </w:p>
    <w:p>
      <w:pPr>
        <w:pStyle w:val="BodyText"/>
        <w:rPr>
          <w:sz w:val="19"/>
        </w:rPr>
      </w:pPr>
    </w:p>
    <w:p>
      <w:pPr>
        <w:numPr>
          <w:ilvl w:val="1"/>
          <w:numId w:val="122"/>
        </w:numPr>
        <w:tabs>
          <w:tab w:pos="1233" w:val="left" w:leader="none"/>
          <w:tab w:pos="1234" w:val="left" w:leader="none"/>
        </w:tabs>
        <w:spacing w:line="247" w:lineRule="auto" w:before="1"/>
        <w:ind w:left="1233" w:right="3266" w:hanging="721"/>
        <w:jc w:val="left"/>
        <w:rPr>
          <w:b/>
          <w:sz w:val="20"/>
        </w:rPr>
      </w:pPr>
      <w:r>
        <w:rPr>
          <w:b/>
          <w:color w:val="231F20"/>
          <w:w w:val="110"/>
          <w:sz w:val="20"/>
        </w:rPr>
        <w:t>APPOINTMENT AND ROLE OF MANDATED GROUPS AND INITIATION OF SECTION</w:t>
      </w:r>
      <w:r>
        <w:rPr>
          <w:b/>
          <w:color w:val="231F20"/>
          <w:spacing w:val="-2"/>
          <w:w w:val="110"/>
          <w:sz w:val="20"/>
        </w:rPr>
        <w:t> </w:t>
      </w:r>
      <w:r>
        <w:rPr>
          <w:b/>
          <w:color w:val="231F20"/>
          <w:w w:val="110"/>
          <w:sz w:val="20"/>
        </w:rPr>
        <w:t>O</w:t>
      </w:r>
    </w:p>
    <w:p>
      <w:pPr>
        <w:pStyle w:val="BodyText"/>
        <w:spacing w:before="1"/>
        <w:rPr>
          <w:b/>
          <w:sz w:val="22"/>
        </w:rPr>
      </w:pPr>
    </w:p>
    <w:p>
      <w:pPr>
        <w:pStyle w:val="ListParagraph"/>
        <w:numPr>
          <w:ilvl w:val="2"/>
          <w:numId w:val="122"/>
        </w:numPr>
        <w:tabs>
          <w:tab w:pos="1233" w:val="left" w:leader="none"/>
          <w:tab w:pos="1234" w:val="left" w:leader="none"/>
          <w:tab w:pos="1953" w:val="left" w:leader="none"/>
        </w:tabs>
        <w:spacing w:line="273" w:lineRule="auto" w:before="1" w:after="0"/>
        <w:ind w:left="515" w:right="1736" w:hanging="2"/>
        <w:jc w:val="left"/>
        <w:rPr>
          <w:sz w:val="18"/>
        </w:rPr>
      </w:pPr>
      <w:r>
        <w:rPr>
          <w:color w:val="231F20"/>
          <w:spacing w:val="-6"/>
          <w:w w:val="110"/>
          <w:sz w:val="18"/>
        </w:rPr>
        <w:t>B.1.1</w:t>
        <w:tab/>
      </w:r>
      <w:r>
        <w:rPr>
          <w:color w:val="231F20"/>
          <w:spacing w:val="-9"/>
          <w:w w:val="110"/>
          <w:sz w:val="18"/>
        </w:rPr>
        <w:t>To </w:t>
      </w:r>
      <w:r>
        <w:rPr>
          <w:color w:val="231F20"/>
          <w:w w:val="110"/>
          <w:sz w:val="18"/>
        </w:rPr>
        <w:t>enable it properly to </w:t>
      </w:r>
      <w:r>
        <w:rPr>
          <w:color w:val="231F20"/>
          <w:spacing w:val="2"/>
          <w:w w:val="110"/>
          <w:sz w:val="18"/>
        </w:rPr>
        <w:t>carry </w:t>
      </w:r>
      <w:r>
        <w:rPr>
          <w:color w:val="231F20"/>
          <w:w w:val="110"/>
          <w:sz w:val="18"/>
        </w:rPr>
        <w:t>out its Function </w:t>
      </w:r>
      <w:r>
        <w:rPr>
          <w:color w:val="231F20"/>
          <w:spacing w:val="-6"/>
          <w:w w:val="110"/>
          <w:sz w:val="18"/>
        </w:rPr>
        <w:t>2(3)(A)(xviii) </w:t>
      </w:r>
      <w:r>
        <w:rPr>
          <w:color w:val="231F20"/>
          <w:w w:val="110"/>
          <w:sz w:val="18"/>
        </w:rPr>
        <w:t>of the Structure, every </w:t>
      </w:r>
      <w:r>
        <w:rPr>
          <w:color w:val="231F20"/>
          <w:spacing w:val="2"/>
          <w:w w:val="110"/>
          <w:sz w:val="18"/>
        </w:rPr>
        <w:t>District </w:t>
      </w:r>
      <w:r>
        <w:rPr>
          <w:color w:val="231F20"/>
          <w:w w:val="110"/>
          <w:sz w:val="18"/>
        </w:rPr>
        <w:t>Council shall </w:t>
      </w:r>
      <w:r>
        <w:rPr>
          <w:color w:val="231F20"/>
          <w:spacing w:val="2"/>
          <w:w w:val="110"/>
          <w:sz w:val="18"/>
        </w:rPr>
        <w:t>act </w:t>
      </w:r>
      <w:r>
        <w:rPr>
          <w:color w:val="231F20"/>
          <w:w w:val="110"/>
          <w:sz w:val="18"/>
        </w:rPr>
        <w:t>solely through a group of three </w:t>
      </w:r>
      <w:r>
        <w:rPr>
          <w:color w:val="231F20"/>
          <w:spacing w:val="2"/>
          <w:w w:val="110"/>
          <w:sz w:val="18"/>
        </w:rPr>
        <w:t>persons </w:t>
      </w:r>
      <w:r>
        <w:rPr>
          <w:color w:val="231F20"/>
          <w:spacing w:val="3"/>
          <w:w w:val="110"/>
          <w:sz w:val="18"/>
        </w:rPr>
        <w:t>(“the </w:t>
      </w:r>
      <w:r>
        <w:rPr>
          <w:color w:val="231F20"/>
          <w:w w:val="110"/>
          <w:sz w:val="18"/>
        </w:rPr>
        <w:t>Mandated Group”) which shall have mandated authority to </w:t>
      </w:r>
      <w:r>
        <w:rPr>
          <w:color w:val="231F20"/>
          <w:spacing w:val="2"/>
          <w:w w:val="110"/>
          <w:sz w:val="18"/>
        </w:rPr>
        <w:t>act </w:t>
      </w:r>
      <w:r>
        <w:rPr>
          <w:color w:val="231F20"/>
          <w:w w:val="110"/>
          <w:sz w:val="18"/>
        </w:rPr>
        <w:t>in the name of the </w:t>
      </w:r>
      <w:r>
        <w:rPr>
          <w:color w:val="231F20"/>
          <w:spacing w:val="2"/>
          <w:w w:val="110"/>
          <w:sz w:val="18"/>
        </w:rPr>
        <w:t>District </w:t>
      </w:r>
      <w:r>
        <w:rPr>
          <w:color w:val="231F20"/>
          <w:w w:val="110"/>
          <w:sz w:val="18"/>
        </w:rPr>
        <w:t>Council   in every matter requiring consideration under that</w:t>
      </w:r>
      <w:r>
        <w:rPr>
          <w:color w:val="231F20"/>
          <w:spacing w:val="21"/>
          <w:w w:val="110"/>
          <w:sz w:val="18"/>
        </w:rPr>
        <w:t> </w:t>
      </w:r>
      <w:r>
        <w:rPr>
          <w:color w:val="231F20"/>
          <w:w w:val="110"/>
          <w:sz w:val="18"/>
        </w:rPr>
        <w:t>Function.</w:t>
      </w:r>
    </w:p>
    <w:p>
      <w:pPr>
        <w:pStyle w:val="BodyText"/>
        <w:spacing w:before="9"/>
        <w:rPr>
          <w:sz w:val="20"/>
        </w:rPr>
      </w:pPr>
    </w:p>
    <w:p>
      <w:pPr>
        <w:pStyle w:val="BodyText"/>
        <w:spacing w:line="273" w:lineRule="auto"/>
        <w:ind w:left="515" w:right="1844"/>
      </w:pPr>
      <w:r>
        <w:rPr>
          <w:color w:val="231F20"/>
          <w:spacing w:val="-3"/>
          <w:w w:val="110"/>
        </w:rPr>
        <w:t>B.1.2</w:t>
      </w:r>
      <w:r>
        <w:rPr>
          <w:color w:val="231F20"/>
          <w:spacing w:val="63"/>
          <w:w w:val="110"/>
        </w:rPr>
        <w:t> </w:t>
      </w:r>
      <w:r>
        <w:rPr>
          <w:color w:val="231F20"/>
          <w:w w:val="110"/>
        </w:rPr>
        <w:t>The Mandated Group called in to deal with any particular </w:t>
      </w:r>
      <w:r>
        <w:rPr>
          <w:color w:val="231F20"/>
          <w:spacing w:val="2"/>
          <w:w w:val="110"/>
        </w:rPr>
        <w:t>case </w:t>
      </w:r>
      <w:r>
        <w:rPr>
          <w:color w:val="231F20"/>
          <w:w w:val="110"/>
        </w:rPr>
        <w:t>under Paragraph </w:t>
      </w:r>
      <w:r>
        <w:rPr>
          <w:color w:val="231F20"/>
          <w:spacing w:val="-4"/>
          <w:w w:val="110"/>
        </w:rPr>
        <w:t>B.6.1, </w:t>
      </w:r>
      <w:r>
        <w:rPr>
          <w:color w:val="231F20"/>
          <w:w w:val="110"/>
        </w:rPr>
        <w:t>Paragraph </w:t>
      </w:r>
      <w:r>
        <w:rPr>
          <w:color w:val="231F20"/>
          <w:spacing w:val="-4"/>
          <w:w w:val="110"/>
        </w:rPr>
        <w:t>B.9.2 </w:t>
      </w:r>
      <w:r>
        <w:rPr>
          <w:color w:val="231F20"/>
          <w:w w:val="110"/>
        </w:rPr>
        <w:t>or Paragraph </w:t>
      </w:r>
      <w:r>
        <w:rPr>
          <w:color w:val="231F20"/>
          <w:spacing w:val="-4"/>
          <w:w w:val="110"/>
        </w:rPr>
        <w:t>B.9.3 </w:t>
      </w:r>
      <w:r>
        <w:rPr>
          <w:color w:val="231F20"/>
          <w:w w:val="110"/>
        </w:rPr>
        <w:t>has no pastoral role to fulfil and its </w:t>
      </w:r>
      <w:r>
        <w:rPr>
          <w:color w:val="231F20"/>
          <w:spacing w:val="2"/>
          <w:w w:val="110"/>
        </w:rPr>
        <w:t>precise </w:t>
      </w:r>
      <w:r>
        <w:rPr>
          <w:color w:val="231F20"/>
          <w:w w:val="110"/>
        </w:rPr>
        <w:t>functions are </w:t>
      </w:r>
      <w:r>
        <w:rPr>
          <w:color w:val="231F20"/>
          <w:spacing w:val="2"/>
          <w:w w:val="110"/>
        </w:rPr>
        <w:t>described </w:t>
      </w:r>
      <w:r>
        <w:rPr>
          <w:color w:val="231F20"/>
          <w:w w:val="110"/>
        </w:rPr>
        <w:t>in Paragraphs </w:t>
      </w:r>
      <w:r>
        <w:rPr>
          <w:color w:val="231F20"/>
          <w:spacing w:val="-4"/>
          <w:w w:val="110"/>
        </w:rPr>
        <w:t>B.7 </w:t>
      </w:r>
      <w:r>
        <w:rPr>
          <w:color w:val="231F20"/>
          <w:w w:val="110"/>
        </w:rPr>
        <w:t>and B.8.</w:t>
      </w:r>
    </w:p>
    <w:p>
      <w:pPr>
        <w:pStyle w:val="BodyText"/>
        <w:spacing w:before="9"/>
        <w:rPr>
          <w:sz w:val="20"/>
        </w:rPr>
      </w:pPr>
    </w:p>
    <w:p>
      <w:pPr>
        <w:pStyle w:val="ListParagraph"/>
        <w:numPr>
          <w:ilvl w:val="2"/>
          <w:numId w:val="122"/>
        </w:numPr>
        <w:tabs>
          <w:tab w:pos="1234" w:val="left" w:leader="none"/>
          <w:tab w:pos="1235" w:val="left" w:leader="none"/>
        </w:tabs>
        <w:spacing w:line="273" w:lineRule="auto" w:before="0" w:after="0"/>
        <w:ind w:left="515" w:right="1874" w:firstLine="0"/>
        <w:jc w:val="left"/>
        <w:rPr>
          <w:sz w:val="18"/>
        </w:rPr>
      </w:pPr>
      <w:r>
        <w:rPr>
          <w:color w:val="231F20"/>
          <w:w w:val="110"/>
          <w:sz w:val="18"/>
        </w:rPr>
        <w:t>In </w:t>
      </w:r>
      <w:r>
        <w:rPr>
          <w:color w:val="231F20"/>
          <w:spacing w:val="2"/>
          <w:w w:val="110"/>
          <w:sz w:val="18"/>
        </w:rPr>
        <w:t>cases </w:t>
      </w:r>
      <w:r>
        <w:rPr>
          <w:color w:val="231F20"/>
          <w:w w:val="110"/>
          <w:sz w:val="18"/>
        </w:rPr>
        <w:t>arising under Paragraph </w:t>
      </w:r>
      <w:r>
        <w:rPr>
          <w:color w:val="231F20"/>
          <w:spacing w:val="-3"/>
          <w:w w:val="110"/>
          <w:sz w:val="18"/>
        </w:rPr>
        <w:t>B.6.1 </w:t>
      </w:r>
      <w:r>
        <w:rPr>
          <w:color w:val="231F20"/>
          <w:w w:val="110"/>
          <w:sz w:val="18"/>
        </w:rPr>
        <w:t>(District Council), the Mandated Groups charged with the responsibilities </w:t>
      </w:r>
      <w:r>
        <w:rPr>
          <w:color w:val="231F20"/>
          <w:spacing w:val="2"/>
          <w:w w:val="110"/>
          <w:sz w:val="18"/>
        </w:rPr>
        <w:t>ascribed </w:t>
      </w:r>
      <w:r>
        <w:rPr>
          <w:color w:val="231F20"/>
          <w:w w:val="110"/>
          <w:sz w:val="18"/>
        </w:rPr>
        <w:t>to them under these Rules of Procedure shall be constituted in the following</w:t>
      </w:r>
      <w:r>
        <w:rPr>
          <w:color w:val="231F20"/>
          <w:spacing w:val="7"/>
          <w:w w:val="110"/>
          <w:sz w:val="18"/>
        </w:rPr>
        <w:t> </w:t>
      </w:r>
      <w:r>
        <w:rPr>
          <w:color w:val="231F20"/>
          <w:w w:val="110"/>
          <w:sz w:val="18"/>
        </w:rPr>
        <w:t>manner:</w:t>
      </w:r>
    </w:p>
    <w:p>
      <w:pPr>
        <w:pStyle w:val="BodyText"/>
        <w:spacing w:before="9"/>
        <w:rPr>
          <w:sz w:val="20"/>
        </w:rPr>
      </w:pPr>
    </w:p>
    <w:p>
      <w:pPr>
        <w:pStyle w:val="ListParagraph"/>
        <w:numPr>
          <w:ilvl w:val="3"/>
          <w:numId w:val="122"/>
        </w:numPr>
        <w:tabs>
          <w:tab w:pos="1235" w:val="left" w:leader="none"/>
          <w:tab w:pos="1826" w:val="left" w:leader="none"/>
        </w:tabs>
        <w:spacing w:line="273" w:lineRule="auto" w:before="0" w:after="0"/>
        <w:ind w:left="515" w:right="1709" w:firstLine="0"/>
        <w:jc w:val="left"/>
        <w:rPr>
          <w:sz w:val="18"/>
        </w:rPr>
      </w:pPr>
      <w:r>
        <w:rPr>
          <w:color w:val="231F20"/>
          <w:spacing w:val="-6"/>
          <w:w w:val="110"/>
          <w:sz w:val="18"/>
        </w:rPr>
        <w:t>Two </w:t>
      </w:r>
      <w:r>
        <w:rPr>
          <w:color w:val="231F20"/>
          <w:spacing w:val="2"/>
          <w:w w:val="110"/>
          <w:sz w:val="18"/>
        </w:rPr>
        <w:t>members </w:t>
      </w:r>
      <w:r>
        <w:rPr>
          <w:color w:val="231F20"/>
          <w:w w:val="110"/>
          <w:sz w:val="18"/>
        </w:rPr>
        <w:t>thereof shall be appointed by each </w:t>
      </w:r>
      <w:r>
        <w:rPr>
          <w:color w:val="231F20"/>
          <w:spacing w:val="2"/>
          <w:w w:val="110"/>
          <w:sz w:val="18"/>
        </w:rPr>
        <w:t>District </w:t>
      </w:r>
      <w:r>
        <w:rPr>
          <w:color w:val="231F20"/>
          <w:w w:val="110"/>
          <w:sz w:val="18"/>
        </w:rPr>
        <w:t>Council on a standing basis </w:t>
      </w:r>
      <w:r>
        <w:rPr>
          <w:color w:val="231F20"/>
          <w:spacing w:val="2"/>
          <w:w w:val="110"/>
          <w:sz w:val="18"/>
        </w:rPr>
        <w:t>from </w:t>
      </w:r>
      <w:r>
        <w:rPr>
          <w:color w:val="231F20"/>
          <w:w w:val="110"/>
          <w:sz w:val="18"/>
        </w:rPr>
        <w:t>a Synod Panel itself appointed and maintained by each Synod, there normally being on such panel at least one, and preferably two, </w:t>
      </w:r>
      <w:r>
        <w:rPr>
          <w:color w:val="231F20"/>
          <w:spacing w:val="2"/>
          <w:w w:val="110"/>
          <w:sz w:val="18"/>
        </w:rPr>
        <w:t>persons from </w:t>
      </w:r>
      <w:r>
        <w:rPr>
          <w:color w:val="231F20"/>
          <w:w w:val="110"/>
          <w:sz w:val="18"/>
        </w:rPr>
        <w:t>each </w:t>
      </w:r>
      <w:r>
        <w:rPr>
          <w:color w:val="231F20"/>
          <w:spacing w:val="2"/>
          <w:w w:val="110"/>
          <w:sz w:val="18"/>
        </w:rPr>
        <w:t>District </w:t>
      </w:r>
      <w:r>
        <w:rPr>
          <w:color w:val="231F20"/>
          <w:w w:val="110"/>
          <w:sz w:val="18"/>
        </w:rPr>
        <w:t>within the</w:t>
      </w:r>
      <w:r>
        <w:rPr>
          <w:color w:val="231F20"/>
          <w:spacing w:val="14"/>
          <w:w w:val="110"/>
          <w:sz w:val="18"/>
        </w:rPr>
        <w:t> </w:t>
      </w:r>
      <w:r>
        <w:rPr>
          <w:color w:val="231F20"/>
          <w:w w:val="110"/>
          <w:sz w:val="18"/>
        </w:rPr>
        <w:t>Synod.</w:t>
        <w:tab/>
        <w:t>One such member shall, wherever possible, be appointed to the Mandated Group </w:t>
      </w:r>
      <w:r>
        <w:rPr>
          <w:color w:val="231F20"/>
          <w:spacing w:val="2"/>
          <w:w w:val="110"/>
          <w:sz w:val="18"/>
        </w:rPr>
        <w:t>from </w:t>
      </w:r>
      <w:r>
        <w:rPr>
          <w:color w:val="231F20"/>
          <w:w w:val="110"/>
          <w:sz w:val="18"/>
        </w:rPr>
        <w:t>the </w:t>
      </w:r>
      <w:r>
        <w:rPr>
          <w:color w:val="231F20"/>
          <w:spacing w:val="2"/>
          <w:w w:val="110"/>
          <w:sz w:val="18"/>
        </w:rPr>
        <w:t>District from </w:t>
      </w:r>
      <w:r>
        <w:rPr>
          <w:color w:val="231F20"/>
          <w:w w:val="110"/>
          <w:sz w:val="18"/>
        </w:rPr>
        <w:t>which the </w:t>
      </w:r>
      <w:r>
        <w:rPr>
          <w:color w:val="231F20"/>
          <w:spacing w:val="2"/>
          <w:w w:val="110"/>
          <w:sz w:val="18"/>
        </w:rPr>
        <w:t>case</w:t>
      </w:r>
      <w:r>
        <w:rPr>
          <w:color w:val="231F20"/>
          <w:spacing w:val="10"/>
          <w:w w:val="110"/>
          <w:sz w:val="18"/>
        </w:rPr>
        <w:t> </w:t>
      </w:r>
      <w:r>
        <w:rPr>
          <w:color w:val="231F20"/>
          <w:w w:val="110"/>
          <w:sz w:val="18"/>
        </w:rPr>
        <w:t>emanates.</w:t>
      </w:r>
    </w:p>
    <w:p>
      <w:pPr>
        <w:pStyle w:val="BodyText"/>
        <w:spacing w:before="10"/>
        <w:rPr>
          <w:sz w:val="20"/>
        </w:rPr>
      </w:pPr>
    </w:p>
    <w:p>
      <w:pPr>
        <w:pStyle w:val="ListParagraph"/>
        <w:numPr>
          <w:ilvl w:val="3"/>
          <w:numId w:val="122"/>
        </w:numPr>
        <w:tabs>
          <w:tab w:pos="1235" w:val="left" w:leader="none"/>
        </w:tabs>
        <w:spacing w:line="273" w:lineRule="auto" w:before="0" w:after="0"/>
        <w:ind w:left="515" w:right="1746" w:firstLine="0"/>
        <w:jc w:val="left"/>
        <w:rPr>
          <w:sz w:val="18"/>
        </w:rPr>
      </w:pPr>
      <w:r>
        <w:rPr>
          <w:color w:val="231F20"/>
          <w:w w:val="110"/>
          <w:sz w:val="18"/>
        </w:rPr>
        <w:t>The Synod Moderator or other </w:t>
      </w:r>
      <w:r>
        <w:rPr>
          <w:color w:val="231F20"/>
          <w:spacing w:val="2"/>
          <w:w w:val="110"/>
          <w:sz w:val="18"/>
        </w:rPr>
        <w:t>person </w:t>
      </w:r>
      <w:r>
        <w:rPr>
          <w:color w:val="231F20"/>
          <w:w w:val="110"/>
          <w:sz w:val="18"/>
        </w:rPr>
        <w:t>responsible for calling in the Mandated Group shall appoint the remaining </w:t>
      </w:r>
      <w:r>
        <w:rPr>
          <w:color w:val="231F20"/>
          <w:spacing w:val="2"/>
          <w:w w:val="110"/>
          <w:sz w:val="18"/>
        </w:rPr>
        <w:t>person </w:t>
      </w:r>
      <w:r>
        <w:rPr>
          <w:color w:val="231F20"/>
          <w:w w:val="110"/>
          <w:sz w:val="18"/>
        </w:rPr>
        <w:t>to the Mandated Group </w:t>
      </w:r>
      <w:r>
        <w:rPr>
          <w:color w:val="231F20"/>
          <w:spacing w:val="2"/>
          <w:w w:val="110"/>
          <w:sz w:val="18"/>
        </w:rPr>
        <w:t>from </w:t>
      </w:r>
      <w:r>
        <w:rPr>
          <w:color w:val="231F20"/>
          <w:w w:val="110"/>
          <w:sz w:val="18"/>
        </w:rPr>
        <w:t>the Joint Panel in accordance with the procedure set out in Paragraph</w:t>
      </w:r>
      <w:r>
        <w:rPr>
          <w:color w:val="231F20"/>
          <w:spacing w:val="19"/>
          <w:w w:val="110"/>
          <w:sz w:val="18"/>
        </w:rPr>
        <w:t> </w:t>
      </w:r>
      <w:r>
        <w:rPr>
          <w:color w:val="231F20"/>
          <w:w w:val="110"/>
          <w:sz w:val="18"/>
        </w:rPr>
        <w:t>B.3.</w:t>
      </w:r>
    </w:p>
    <w:p>
      <w:pPr>
        <w:pStyle w:val="BodyText"/>
        <w:spacing w:before="9"/>
        <w:rPr>
          <w:sz w:val="20"/>
        </w:rPr>
      </w:pPr>
    </w:p>
    <w:p>
      <w:pPr>
        <w:pStyle w:val="ListParagraph"/>
        <w:numPr>
          <w:ilvl w:val="2"/>
          <w:numId w:val="122"/>
        </w:numPr>
        <w:tabs>
          <w:tab w:pos="1234" w:val="left" w:leader="none"/>
          <w:tab w:pos="1235" w:val="left" w:leader="none"/>
        </w:tabs>
        <w:spacing w:line="273" w:lineRule="auto" w:before="0" w:after="0"/>
        <w:ind w:left="515" w:right="2241" w:firstLine="0"/>
        <w:jc w:val="left"/>
        <w:rPr>
          <w:sz w:val="18"/>
        </w:rPr>
      </w:pPr>
      <w:r>
        <w:rPr>
          <w:color w:val="231F20"/>
          <w:spacing w:val="-3"/>
          <w:w w:val="110"/>
          <w:sz w:val="18"/>
        </w:rPr>
        <w:t>B.3.1</w:t>
      </w:r>
      <w:r>
        <w:rPr>
          <w:color w:val="231F20"/>
          <w:spacing w:val="63"/>
          <w:w w:val="110"/>
          <w:sz w:val="18"/>
        </w:rPr>
        <w:t> </w:t>
      </w:r>
      <w:r>
        <w:rPr>
          <w:color w:val="231F20"/>
          <w:spacing w:val="2"/>
          <w:w w:val="110"/>
          <w:sz w:val="18"/>
        </w:rPr>
        <w:t>There </w:t>
      </w:r>
      <w:r>
        <w:rPr>
          <w:color w:val="231F20"/>
          <w:w w:val="110"/>
          <w:sz w:val="18"/>
        </w:rPr>
        <w:t>shall be a standing panel </w:t>
      </w:r>
      <w:r>
        <w:rPr>
          <w:color w:val="231F20"/>
          <w:spacing w:val="3"/>
          <w:w w:val="110"/>
          <w:sz w:val="18"/>
        </w:rPr>
        <w:t>(‘the </w:t>
      </w:r>
      <w:r>
        <w:rPr>
          <w:color w:val="231F20"/>
          <w:w w:val="110"/>
          <w:sz w:val="18"/>
        </w:rPr>
        <w:t>Joint Panel’) consisting of a maximum of thirteen persons, of whom one shall be nominated by each Synod and </w:t>
      </w:r>
      <w:r>
        <w:rPr>
          <w:color w:val="231F20"/>
          <w:spacing w:val="2"/>
          <w:w w:val="110"/>
          <w:sz w:val="18"/>
        </w:rPr>
        <w:t>selected</w:t>
      </w:r>
      <w:r>
        <w:rPr>
          <w:color w:val="231F20"/>
          <w:spacing w:val="14"/>
          <w:w w:val="110"/>
          <w:sz w:val="18"/>
        </w:rPr>
        <w:t> </w:t>
      </w:r>
      <w:r>
        <w:rPr>
          <w:color w:val="231F20"/>
          <w:w w:val="110"/>
          <w:sz w:val="18"/>
        </w:rPr>
        <w:t>preferably</w:t>
      </w:r>
      <w:r>
        <w:rPr>
          <w:color w:val="231F20"/>
          <w:spacing w:val="14"/>
          <w:w w:val="110"/>
          <w:sz w:val="18"/>
        </w:rPr>
        <w:t> </w:t>
      </w:r>
      <w:r>
        <w:rPr>
          <w:color w:val="231F20"/>
          <w:w w:val="110"/>
          <w:sz w:val="18"/>
        </w:rPr>
        <w:t>on</w:t>
      </w:r>
      <w:r>
        <w:rPr>
          <w:color w:val="231F20"/>
          <w:spacing w:val="14"/>
          <w:w w:val="110"/>
          <w:sz w:val="18"/>
        </w:rPr>
        <w:t> </w:t>
      </w:r>
      <w:r>
        <w:rPr>
          <w:color w:val="231F20"/>
          <w:w w:val="110"/>
          <w:sz w:val="18"/>
        </w:rPr>
        <w:t>account</w:t>
      </w:r>
      <w:r>
        <w:rPr>
          <w:color w:val="231F20"/>
          <w:spacing w:val="14"/>
          <w:w w:val="110"/>
          <w:sz w:val="18"/>
        </w:rPr>
        <w:t> </w:t>
      </w:r>
      <w:r>
        <w:rPr>
          <w:color w:val="231F20"/>
          <w:w w:val="110"/>
          <w:sz w:val="18"/>
        </w:rPr>
        <w:t>of</w:t>
      </w:r>
      <w:r>
        <w:rPr>
          <w:color w:val="231F20"/>
          <w:spacing w:val="14"/>
          <w:w w:val="110"/>
          <w:sz w:val="18"/>
        </w:rPr>
        <w:t> </w:t>
      </w:r>
      <w:r>
        <w:rPr>
          <w:color w:val="231F20"/>
          <w:w w:val="110"/>
          <w:sz w:val="18"/>
        </w:rPr>
        <w:t>some</w:t>
      </w:r>
      <w:r>
        <w:rPr>
          <w:color w:val="231F20"/>
          <w:spacing w:val="15"/>
          <w:w w:val="110"/>
          <w:sz w:val="18"/>
        </w:rPr>
        <w:t> </w:t>
      </w:r>
      <w:r>
        <w:rPr>
          <w:color w:val="231F20"/>
          <w:w w:val="110"/>
          <w:sz w:val="18"/>
        </w:rPr>
        <w:t>legal,</w:t>
      </w:r>
      <w:r>
        <w:rPr>
          <w:color w:val="231F20"/>
          <w:spacing w:val="14"/>
          <w:w w:val="110"/>
          <w:sz w:val="18"/>
        </w:rPr>
        <w:t> </w:t>
      </w:r>
      <w:r>
        <w:rPr>
          <w:color w:val="231F20"/>
          <w:w w:val="110"/>
          <w:sz w:val="18"/>
        </w:rPr>
        <w:t>tribunal</w:t>
      </w:r>
      <w:r>
        <w:rPr>
          <w:color w:val="231F20"/>
          <w:spacing w:val="14"/>
          <w:w w:val="110"/>
          <w:sz w:val="18"/>
        </w:rPr>
        <w:t> </w:t>
      </w:r>
      <w:r>
        <w:rPr>
          <w:color w:val="231F20"/>
          <w:w w:val="110"/>
          <w:sz w:val="18"/>
        </w:rPr>
        <w:t>or</w:t>
      </w:r>
      <w:r>
        <w:rPr>
          <w:color w:val="231F20"/>
          <w:spacing w:val="14"/>
          <w:w w:val="110"/>
          <w:sz w:val="18"/>
        </w:rPr>
        <w:t> </w:t>
      </w:r>
      <w:r>
        <w:rPr>
          <w:color w:val="231F20"/>
          <w:w w:val="110"/>
          <w:sz w:val="18"/>
        </w:rPr>
        <w:t>professional</w:t>
      </w:r>
      <w:r>
        <w:rPr>
          <w:color w:val="231F20"/>
          <w:spacing w:val="14"/>
          <w:w w:val="110"/>
          <w:sz w:val="18"/>
        </w:rPr>
        <w:t> </w:t>
      </w:r>
      <w:r>
        <w:rPr>
          <w:color w:val="231F20"/>
          <w:w w:val="110"/>
          <w:sz w:val="18"/>
        </w:rPr>
        <w:t>experience</w:t>
      </w:r>
      <w:r>
        <w:rPr>
          <w:color w:val="231F20"/>
          <w:spacing w:val="14"/>
          <w:w w:val="110"/>
          <w:sz w:val="18"/>
        </w:rPr>
        <w:t> </w:t>
      </w:r>
      <w:r>
        <w:rPr>
          <w:color w:val="231F20"/>
          <w:w w:val="110"/>
          <w:sz w:val="18"/>
        </w:rPr>
        <w:t>or</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BodyText"/>
        <w:spacing w:line="273" w:lineRule="auto" w:before="101"/>
        <w:ind w:left="1080" w:right="1746"/>
        <w:jc w:val="both"/>
      </w:pPr>
      <w:r>
        <w:rPr>
          <w:color w:val="231F20"/>
          <w:w w:val="110"/>
        </w:rPr>
        <w:t>other similar background, which would equip them for assuming a role as part of a Mandated Group. The list of those currently on the Joint Panel shall be held by the Synod Moderators and the Deputy General Secretary.</w:t>
      </w:r>
    </w:p>
    <w:p>
      <w:pPr>
        <w:pStyle w:val="BodyText"/>
        <w:spacing w:before="8"/>
        <w:rPr>
          <w:sz w:val="20"/>
        </w:rPr>
      </w:pPr>
    </w:p>
    <w:p>
      <w:pPr>
        <w:pStyle w:val="BodyText"/>
        <w:ind w:left="1080"/>
      </w:pPr>
      <w:r>
        <w:rPr>
          <w:color w:val="231F20"/>
          <w:w w:val="110"/>
        </w:rPr>
        <w:t>B.3.2 In cases arising either under Paragraph B.6.1 (District Council) or Paragraph</w:t>
      </w:r>
    </w:p>
    <w:p>
      <w:pPr>
        <w:pStyle w:val="BodyText"/>
        <w:spacing w:line="273" w:lineRule="auto" w:before="32"/>
        <w:ind w:left="1080" w:right="1263"/>
      </w:pPr>
      <w:r>
        <w:rPr>
          <w:color w:val="231F20"/>
          <w:spacing w:val="-4"/>
          <w:w w:val="110"/>
        </w:rPr>
        <w:t>B.9.2 </w:t>
      </w:r>
      <w:r>
        <w:rPr>
          <w:color w:val="231F20"/>
          <w:w w:val="110"/>
        </w:rPr>
        <w:t>(Synod) (where one member of the Joint Panel will be required to serve) the Synod Moderator or other </w:t>
      </w:r>
      <w:r>
        <w:rPr>
          <w:color w:val="231F20"/>
          <w:spacing w:val="2"/>
          <w:w w:val="110"/>
        </w:rPr>
        <w:t>person </w:t>
      </w:r>
      <w:r>
        <w:rPr>
          <w:color w:val="231F20"/>
          <w:w w:val="110"/>
        </w:rPr>
        <w:t>responsible for calling in the Mandated Group shall appoint   the remaining member of the Mandated Group for that </w:t>
      </w:r>
      <w:r>
        <w:rPr>
          <w:color w:val="231F20"/>
          <w:spacing w:val="2"/>
          <w:w w:val="110"/>
        </w:rPr>
        <w:t>case from </w:t>
      </w:r>
      <w:r>
        <w:rPr>
          <w:color w:val="231F20"/>
          <w:w w:val="110"/>
        </w:rPr>
        <w:t>the Joint</w:t>
      </w:r>
      <w:r>
        <w:rPr>
          <w:color w:val="231F20"/>
          <w:spacing w:val="68"/>
          <w:w w:val="110"/>
        </w:rPr>
        <w:t> </w:t>
      </w:r>
      <w:r>
        <w:rPr>
          <w:color w:val="231F20"/>
          <w:w w:val="110"/>
        </w:rPr>
        <w:t>Panel.</w:t>
      </w:r>
    </w:p>
    <w:p>
      <w:pPr>
        <w:pStyle w:val="BodyText"/>
        <w:spacing w:before="8"/>
        <w:rPr>
          <w:sz w:val="20"/>
        </w:rPr>
      </w:pPr>
    </w:p>
    <w:p>
      <w:pPr>
        <w:pStyle w:val="ListParagraph"/>
        <w:numPr>
          <w:ilvl w:val="2"/>
          <w:numId w:val="138"/>
        </w:numPr>
        <w:tabs>
          <w:tab w:pos="1756" w:val="left" w:leader="none"/>
        </w:tabs>
        <w:spacing w:line="273" w:lineRule="auto" w:before="1" w:after="0"/>
        <w:ind w:left="1080" w:right="1149" w:firstLine="0"/>
        <w:jc w:val="left"/>
        <w:rPr>
          <w:sz w:val="18"/>
        </w:rPr>
      </w:pPr>
      <w:r>
        <w:rPr>
          <w:color w:val="231F20"/>
          <w:w w:val="110"/>
          <w:sz w:val="18"/>
        </w:rPr>
        <w:t>In </w:t>
      </w:r>
      <w:r>
        <w:rPr>
          <w:color w:val="231F20"/>
          <w:spacing w:val="2"/>
          <w:w w:val="110"/>
          <w:sz w:val="18"/>
        </w:rPr>
        <w:t>cases </w:t>
      </w:r>
      <w:r>
        <w:rPr>
          <w:color w:val="231F20"/>
          <w:w w:val="110"/>
          <w:sz w:val="18"/>
        </w:rPr>
        <w:t>arising under Paragraph </w:t>
      </w:r>
      <w:r>
        <w:rPr>
          <w:color w:val="231F20"/>
          <w:spacing w:val="-4"/>
          <w:w w:val="110"/>
          <w:sz w:val="18"/>
        </w:rPr>
        <w:t>B.9.3 </w:t>
      </w:r>
      <w:r>
        <w:rPr>
          <w:color w:val="231F20"/>
          <w:w w:val="110"/>
          <w:sz w:val="18"/>
        </w:rPr>
        <w:t>(General Assembly or Mission Council on   its </w:t>
      </w:r>
      <w:r>
        <w:rPr>
          <w:color w:val="231F20"/>
          <w:spacing w:val="2"/>
          <w:w w:val="110"/>
          <w:sz w:val="18"/>
        </w:rPr>
        <w:t>behalf) </w:t>
      </w:r>
      <w:r>
        <w:rPr>
          <w:color w:val="231F20"/>
          <w:w w:val="110"/>
          <w:sz w:val="18"/>
        </w:rPr>
        <w:t>the Deputy General Secretary, in consultation with such other </w:t>
      </w:r>
      <w:r>
        <w:rPr>
          <w:color w:val="231F20"/>
          <w:spacing w:val="2"/>
          <w:w w:val="110"/>
          <w:sz w:val="18"/>
        </w:rPr>
        <w:t>officers </w:t>
      </w:r>
      <w:r>
        <w:rPr>
          <w:color w:val="231F20"/>
          <w:w w:val="110"/>
          <w:sz w:val="18"/>
        </w:rPr>
        <w:t>of General Assembly as s/he considers appropriate, shall constitute the Mandated Group    by the appointment of all three persons, each of whom shall be </w:t>
      </w:r>
      <w:r>
        <w:rPr>
          <w:color w:val="231F20"/>
          <w:spacing w:val="2"/>
          <w:w w:val="110"/>
          <w:sz w:val="18"/>
        </w:rPr>
        <w:t>selected from </w:t>
      </w:r>
      <w:r>
        <w:rPr>
          <w:color w:val="231F20"/>
          <w:w w:val="110"/>
          <w:sz w:val="18"/>
        </w:rPr>
        <w:t>either the Joint Panel or any of the Synod Panels </w:t>
      </w:r>
      <w:r>
        <w:rPr>
          <w:color w:val="231F20"/>
          <w:spacing w:val="-6"/>
          <w:w w:val="110"/>
          <w:sz w:val="18"/>
        </w:rPr>
        <w:t>(at </w:t>
      </w:r>
      <w:r>
        <w:rPr>
          <w:color w:val="231F20"/>
          <w:w w:val="110"/>
          <w:sz w:val="18"/>
        </w:rPr>
        <w:t>least one </w:t>
      </w:r>
      <w:r>
        <w:rPr>
          <w:color w:val="231F20"/>
          <w:spacing w:val="2"/>
          <w:w w:val="110"/>
          <w:sz w:val="18"/>
        </w:rPr>
        <w:t>from </w:t>
      </w:r>
      <w:r>
        <w:rPr>
          <w:color w:val="231F20"/>
          <w:w w:val="110"/>
          <w:sz w:val="18"/>
        </w:rPr>
        <w:t>the Joint Panel and at least one </w:t>
      </w:r>
      <w:r>
        <w:rPr>
          <w:color w:val="231F20"/>
          <w:spacing w:val="2"/>
          <w:w w:val="110"/>
          <w:sz w:val="18"/>
        </w:rPr>
        <w:t>from </w:t>
      </w:r>
      <w:r>
        <w:rPr>
          <w:color w:val="231F20"/>
          <w:w w:val="110"/>
          <w:sz w:val="18"/>
        </w:rPr>
        <w:t>the Synod Panels).</w:t>
      </w:r>
    </w:p>
    <w:p>
      <w:pPr>
        <w:pStyle w:val="BodyText"/>
        <w:spacing w:before="10"/>
        <w:rPr>
          <w:sz w:val="20"/>
        </w:rPr>
      </w:pPr>
    </w:p>
    <w:p>
      <w:pPr>
        <w:pStyle w:val="ListParagraph"/>
        <w:numPr>
          <w:ilvl w:val="2"/>
          <w:numId w:val="138"/>
        </w:numPr>
        <w:tabs>
          <w:tab w:pos="1801" w:val="left" w:leader="none"/>
        </w:tabs>
        <w:spacing w:line="273" w:lineRule="auto" w:before="0" w:after="0"/>
        <w:ind w:left="1080" w:right="1765" w:firstLine="0"/>
        <w:jc w:val="left"/>
        <w:rPr>
          <w:sz w:val="18"/>
        </w:rPr>
      </w:pPr>
      <w:r>
        <w:rPr>
          <w:color w:val="231F20"/>
          <w:w w:val="110"/>
          <w:sz w:val="18"/>
        </w:rPr>
        <w:t>Any Mandated Group called in prior to the </w:t>
      </w:r>
      <w:r>
        <w:rPr>
          <w:color w:val="231F20"/>
          <w:spacing w:val="2"/>
          <w:w w:val="110"/>
          <w:sz w:val="18"/>
        </w:rPr>
        <w:t>setting </w:t>
      </w:r>
      <w:r>
        <w:rPr>
          <w:color w:val="231F20"/>
          <w:w w:val="110"/>
          <w:sz w:val="18"/>
        </w:rPr>
        <w:t>up of the Joint Panel shall consist of three </w:t>
      </w:r>
      <w:r>
        <w:rPr>
          <w:color w:val="231F20"/>
          <w:spacing w:val="2"/>
          <w:w w:val="110"/>
          <w:sz w:val="18"/>
        </w:rPr>
        <w:t>persons from </w:t>
      </w:r>
      <w:r>
        <w:rPr>
          <w:color w:val="231F20"/>
          <w:w w:val="110"/>
          <w:sz w:val="18"/>
        </w:rPr>
        <w:t>the appropriate Synod</w:t>
      </w:r>
      <w:r>
        <w:rPr>
          <w:color w:val="231F20"/>
          <w:spacing w:val="19"/>
          <w:w w:val="110"/>
          <w:sz w:val="18"/>
        </w:rPr>
        <w:t> </w:t>
      </w:r>
      <w:r>
        <w:rPr>
          <w:color w:val="231F20"/>
          <w:w w:val="110"/>
          <w:sz w:val="18"/>
        </w:rPr>
        <w:t>Panel.</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1" w:after="0"/>
        <w:ind w:left="1080" w:right="1282" w:firstLine="0"/>
        <w:jc w:val="left"/>
        <w:rPr>
          <w:sz w:val="18"/>
        </w:rPr>
      </w:pPr>
      <w:r>
        <w:rPr>
          <w:color w:val="231F20"/>
          <w:w w:val="110"/>
          <w:sz w:val="18"/>
        </w:rPr>
        <w:t>If any member of a Synod Panel or the Joint Panel is a member of a local church </w:t>
      </w:r>
      <w:r>
        <w:rPr>
          <w:color w:val="231F20"/>
          <w:spacing w:val="2"/>
          <w:w w:val="110"/>
          <w:sz w:val="18"/>
        </w:rPr>
        <w:t>connected </w:t>
      </w:r>
      <w:r>
        <w:rPr>
          <w:color w:val="231F20"/>
          <w:w w:val="110"/>
          <w:sz w:val="18"/>
        </w:rPr>
        <w:t>with a case or has any pastoral or personal involvement in a case or is the subject of a disciplinary complaint, that </w:t>
      </w:r>
      <w:r>
        <w:rPr>
          <w:color w:val="231F20"/>
          <w:spacing w:val="2"/>
          <w:w w:val="110"/>
          <w:sz w:val="18"/>
        </w:rPr>
        <w:t>person </w:t>
      </w:r>
      <w:r>
        <w:rPr>
          <w:color w:val="231F20"/>
          <w:w w:val="110"/>
          <w:sz w:val="18"/>
        </w:rPr>
        <w:t>shall not form </w:t>
      </w:r>
      <w:r>
        <w:rPr>
          <w:color w:val="231F20"/>
          <w:spacing w:val="2"/>
          <w:w w:val="110"/>
          <w:sz w:val="18"/>
        </w:rPr>
        <w:t>part </w:t>
      </w:r>
      <w:r>
        <w:rPr>
          <w:color w:val="231F20"/>
          <w:w w:val="110"/>
          <w:sz w:val="18"/>
        </w:rPr>
        <w:t>of the Mandated Group for that</w:t>
      </w:r>
      <w:r>
        <w:rPr>
          <w:color w:val="231F20"/>
          <w:spacing w:val="3"/>
          <w:w w:val="110"/>
          <w:sz w:val="18"/>
        </w:rPr>
        <w:t> </w:t>
      </w:r>
      <w:r>
        <w:rPr>
          <w:color w:val="231F20"/>
          <w:w w:val="110"/>
          <w:sz w:val="18"/>
        </w:rPr>
        <w:t>case.</w:t>
      </w:r>
    </w:p>
    <w:p>
      <w:pPr>
        <w:pStyle w:val="BodyText"/>
        <w:spacing w:before="9"/>
        <w:rPr>
          <w:sz w:val="20"/>
        </w:rPr>
      </w:pPr>
    </w:p>
    <w:p>
      <w:pPr>
        <w:pStyle w:val="ListParagraph"/>
        <w:numPr>
          <w:ilvl w:val="2"/>
          <w:numId w:val="122"/>
        </w:numPr>
        <w:tabs>
          <w:tab w:pos="1800" w:val="left" w:leader="none"/>
          <w:tab w:pos="1801" w:val="left" w:leader="none"/>
        </w:tabs>
        <w:spacing w:line="273" w:lineRule="auto" w:before="0" w:after="0"/>
        <w:ind w:left="1080" w:right="1448" w:firstLine="0"/>
        <w:jc w:val="left"/>
        <w:rPr>
          <w:sz w:val="18"/>
        </w:rPr>
      </w:pPr>
      <w:r>
        <w:rPr>
          <w:color w:val="231F20"/>
          <w:spacing w:val="-3"/>
          <w:w w:val="110"/>
          <w:sz w:val="18"/>
        </w:rPr>
        <w:t>B.5.1</w:t>
      </w:r>
      <w:r>
        <w:rPr>
          <w:color w:val="231F20"/>
          <w:spacing w:val="63"/>
          <w:w w:val="110"/>
          <w:sz w:val="18"/>
        </w:rPr>
        <w:t> </w:t>
      </w:r>
      <w:r>
        <w:rPr>
          <w:color w:val="231F20"/>
          <w:w w:val="110"/>
          <w:sz w:val="18"/>
        </w:rPr>
        <w:t>If any member of a Synod Panel or the Joint Panel is disqualified under Paragraph </w:t>
      </w:r>
      <w:r>
        <w:rPr>
          <w:color w:val="231F20"/>
          <w:spacing w:val="-3"/>
          <w:w w:val="110"/>
          <w:sz w:val="18"/>
        </w:rPr>
        <w:t>B.4 </w:t>
      </w:r>
      <w:r>
        <w:rPr>
          <w:color w:val="231F20"/>
          <w:w w:val="110"/>
          <w:sz w:val="18"/>
        </w:rPr>
        <w:t>or is for any other reason unable to </w:t>
      </w:r>
      <w:r>
        <w:rPr>
          <w:color w:val="231F20"/>
          <w:spacing w:val="2"/>
          <w:w w:val="110"/>
          <w:sz w:val="18"/>
        </w:rPr>
        <w:t>act </w:t>
      </w:r>
      <w:r>
        <w:rPr>
          <w:color w:val="231F20"/>
          <w:w w:val="110"/>
          <w:sz w:val="18"/>
        </w:rPr>
        <w:t>in a particular case, the </w:t>
      </w:r>
      <w:r>
        <w:rPr>
          <w:color w:val="231F20"/>
          <w:spacing w:val="2"/>
          <w:w w:val="110"/>
          <w:sz w:val="18"/>
        </w:rPr>
        <w:t>person</w:t>
      </w:r>
      <w:r>
        <w:rPr>
          <w:color w:val="231F20"/>
          <w:spacing w:val="73"/>
          <w:w w:val="110"/>
          <w:sz w:val="18"/>
        </w:rPr>
        <w:t> </w:t>
      </w:r>
      <w:r>
        <w:rPr>
          <w:color w:val="231F20"/>
          <w:w w:val="110"/>
          <w:sz w:val="18"/>
        </w:rPr>
        <w:t>calling in the Mandated Group shall appoint another member </w:t>
      </w:r>
      <w:r>
        <w:rPr>
          <w:color w:val="231F20"/>
          <w:spacing w:val="2"/>
          <w:w w:val="110"/>
          <w:sz w:val="18"/>
        </w:rPr>
        <w:t>from </w:t>
      </w:r>
      <w:r>
        <w:rPr>
          <w:color w:val="231F20"/>
          <w:w w:val="110"/>
          <w:sz w:val="18"/>
        </w:rPr>
        <w:t>the same panel to </w:t>
      </w:r>
      <w:r>
        <w:rPr>
          <w:color w:val="231F20"/>
          <w:spacing w:val="2"/>
          <w:w w:val="110"/>
          <w:sz w:val="18"/>
        </w:rPr>
        <w:t>serve</w:t>
      </w:r>
      <w:r>
        <w:rPr>
          <w:color w:val="231F20"/>
          <w:spacing w:val="7"/>
          <w:w w:val="110"/>
          <w:sz w:val="18"/>
        </w:rPr>
        <w:t> </w:t>
      </w:r>
      <w:r>
        <w:rPr>
          <w:color w:val="231F20"/>
          <w:w w:val="110"/>
          <w:sz w:val="18"/>
        </w:rPr>
        <w:t>as</w:t>
      </w:r>
      <w:r>
        <w:rPr>
          <w:color w:val="231F20"/>
          <w:spacing w:val="7"/>
          <w:w w:val="110"/>
          <w:sz w:val="18"/>
        </w:rPr>
        <w:t> </w:t>
      </w:r>
      <w:r>
        <w:rPr>
          <w:color w:val="231F20"/>
          <w:w w:val="110"/>
          <w:sz w:val="18"/>
        </w:rPr>
        <w:t>a</w:t>
      </w:r>
      <w:r>
        <w:rPr>
          <w:color w:val="231F20"/>
          <w:spacing w:val="8"/>
          <w:w w:val="110"/>
          <w:sz w:val="18"/>
        </w:rPr>
        <w:t> </w:t>
      </w:r>
      <w:r>
        <w:rPr>
          <w:color w:val="231F20"/>
          <w:w w:val="110"/>
          <w:sz w:val="18"/>
        </w:rPr>
        <w:t>member</w:t>
      </w:r>
      <w:r>
        <w:rPr>
          <w:color w:val="231F20"/>
          <w:spacing w:val="7"/>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8"/>
          <w:w w:val="110"/>
          <w:sz w:val="18"/>
        </w:rPr>
        <w:t> </w:t>
      </w:r>
      <w:r>
        <w:rPr>
          <w:color w:val="231F20"/>
          <w:w w:val="110"/>
          <w:sz w:val="18"/>
        </w:rPr>
        <w:t>Mandated</w:t>
      </w:r>
      <w:r>
        <w:rPr>
          <w:color w:val="231F20"/>
          <w:spacing w:val="7"/>
          <w:w w:val="110"/>
          <w:sz w:val="18"/>
        </w:rPr>
        <w:t> </w:t>
      </w:r>
      <w:r>
        <w:rPr>
          <w:color w:val="231F20"/>
          <w:w w:val="110"/>
          <w:sz w:val="18"/>
        </w:rPr>
        <w:t>Group</w:t>
      </w:r>
      <w:r>
        <w:rPr>
          <w:color w:val="231F20"/>
          <w:spacing w:val="8"/>
          <w:w w:val="110"/>
          <w:sz w:val="18"/>
        </w:rPr>
        <w:t> </w:t>
      </w:r>
      <w:r>
        <w:rPr>
          <w:color w:val="231F20"/>
          <w:w w:val="110"/>
          <w:sz w:val="18"/>
        </w:rPr>
        <w:t>for</w:t>
      </w:r>
      <w:r>
        <w:rPr>
          <w:color w:val="231F20"/>
          <w:spacing w:val="7"/>
          <w:w w:val="110"/>
          <w:sz w:val="18"/>
        </w:rPr>
        <w:t> </w:t>
      </w:r>
      <w:r>
        <w:rPr>
          <w:color w:val="231F20"/>
          <w:w w:val="110"/>
          <w:sz w:val="18"/>
        </w:rPr>
        <w:t>that</w:t>
      </w:r>
      <w:r>
        <w:rPr>
          <w:color w:val="231F20"/>
          <w:spacing w:val="7"/>
          <w:w w:val="110"/>
          <w:sz w:val="18"/>
        </w:rPr>
        <w:t> </w:t>
      </w:r>
      <w:r>
        <w:rPr>
          <w:color w:val="231F20"/>
          <w:w w:val="110"/>
          <w:sz w:val="18"/>
        </w:rPr>
        <w:t>case.</w:t>
      </w:r>
      <w:r>
        <w:rPr>
          <w:color w:val="231F20"/>
          <w:spacing w:val="15"/>
          <w:w w:val="110"/>
          <w:sz w:val="18"/>
        </w:rPr>
        <w:t> </w:t>
      </w:r>
      <w:r>
        <w:rPr>
          <w:color w:val="231F20"/>
          <w:w w:val="110"/>
          <w:sz w:val="18"/>
        </w:rPr>
        <w:t>The</w:t>
      </w:r>
      <w:r>
        <w:rPr>
          <w:color w:val="231F20"/>
          <w:spacing w:val="8"/>
          <w:w w:val="110"/>
          <w:sz w:val="18"/>
        </w:rPr>
        <w:t> </w:t>
      </w:r>
      <w:r>
        <w:rPr>
          <w:color w:val="231F20"/>
          <w:w w:val="110"/>
          <w:sz w:val="18"/>
        </w:rPr>
        <w:t>Mandated</w:t>
      </w:r>
      <w:r>
        <w:rPr>
          <w:color w:val="231F20"/>
          <w:spacing w:val="7"/>
          <w:w w:val="110"/>
          <w:sz w:val="18"/>
        </w:rPr>
        <w:t> </w:t>
      </w:r>
      <w:r>
        <w:rPr>
          <w:color w:val="231F20"/>
          <w:w w:val="110"/>
          <w:sz w:val="18"/>
        </w:rPr>
        <w:t>Group</w:t>
      </w:r>
      <w:r>
        <w:rPr>
          <w:color w:val="231F20"/>
          <w:spacing w:val="7"/>
          <w:w w:val="110"/>
          <w:sz w:val="18"/>
        </w:rPr>
        <w:t> </w:t>
      </w:r>
      <w:r>
        <w:rPr>
          <w:color w:val="231F20"/>
          <w:w w:val="110"/>
          <w:sz w:val="18"/>
        </w:rPr>
        <w:t>for</w:t>
      </w:r>
    </w:p>
    <w:p>
      <w:pPr>
        <w:pStyle w:val="BodyText"/>
        <w:spacing w:line="273" w:lineRule="auto" w:before="3"/>
        <w:ind w:left="1080" w:right="1205"/>
      </w:pPr>
      <w:r>
        <w:rPr>
          <w:color w:val="231F20"/>
          <w:w w:val="110"/>
        </w:rPr>
        <w:t>all matters relating to that case shall be its remaining member(s) together with the person(s) appointed under this Paragraph. If only one such person is disqualified or otherwise unable to act, then, until any such further appointment is made, the mandate shall continue to be held by the remaining two members of the Mandated Group. If two members of the Mandated Group are disqualified or otherwise unable to act, there is no mandate for the remaining member to act alone.</w:t>
      </w:r>
    </w:p>
    <w:p>
      <w:pPr>
        <w:pStyle w:val="BodyText"/>
        <w:spacing w:before="10"/>
        <w:rPr>
          <w:sz w:val="20"/>
        </w:rPr>
      </w:pPr>
    </w:p>
    <w:p>
      <w:pPr>
        <w:pStyle w:val="BodyText"/>
        <w:spacing w:line="273" w:lineRule="auto"/>
        <w:ind w:left="1080" w:right="1375"/>
      </w:pPr>
      <w:r>
        <w:rPr>
          <w:color w:val="231F20"/>
          <w:w w:val="110"/>
        </w:rPr>
        <w:t>B.5.2 No person shall serve as a member of or as the spokesperson for a Mandated Group in connection with any case where s/he would fall within any of the restrictions contained in Paragraph C.3.1.</w:t>
      </w:r>
    </w:p>
    <w:p>
      <w:pPr>
        <w:pStyle w:val="BodyText"/>
        <w:spacing w:before="9"/>
        <w:rPr>
          <w:sz w:val="20"/>
        </w:rPr>
      </w:pPr>
    </w:p>
    <w:p>
      <w:pPr>
        <w:pStyle w:val="ListParagraph"/>
        <w:numPr>
          <w:ilvl w:val="2"/>
          <w:numId w:val="122"/>
        </w:numPr>
        <w:tabs>
          <w:tab w:pos="1800" w:val="left" w:leader="none"/>
          <w:tab w:pos="1801" w:val="left" w:leader="none"/>
          <w:tab w:pos="3442" w:val="left" w:leader="none"/>
        </w:tabs>
        <w:spacing w:line="273" w:lineRule="auto" w:before="0" w:after="0"/>
        <w:ind w:left="1080" w:right="1272" w:firstLine="0"/>
        <w:jc w:val="left"/>
        <w:rPr>
          <w:sz w:val="18"/>
        </w:rPr>
      </w:pPr>
      <w:r>
        <w:rPr>
          <w:color w:val="231F20"/>
          <w:spacing w:val="-3"/>
          <w:w w:val="110"/>
          <w:sz w:val="18"/>
        </w:rPr>
        <w:t>B.6.1  </w:t>
      </w:r>
      <w:r>
        <w:rPr>
          <w:color w:val="231F20"/>
          <w:spacing w:val="5"/>
          <w:w w:val="110"/>
          <w:sz w:val="18"/>
        </w:rPr>
        <w:t> </w:t>
      </w:r>
      <w:r>
        <w:rPr>
          <w:color w:val="231F20"/>
          <w:spacing w:val="-4"/>
          <w:w w:val="110"/>
          <w:sz w:val="18"/>
        </w:rPr>
        <w:t>B.6.1.1</w:t>
        <w:tab/>
      </w:r>
      <w:r>
        <w:rPr>
          <w:color w:val="231F20"/>
          <w:w w:val="110"/>
          <w:sz w:val="18"/>
        </w:rPr>
        <w:t>If at any time the Moderator of the Synod or (if for any reason s/he should be unavailable or unable to act) the President of the </w:t>
      </w:r>
      <w:r>
        <w:rPr>
          <w:color w:val="231F20"/>
          <w:spacing w:val="2"/>
          <w:w w:val="110"/>
          <w:sz w:val="18"/>
        </w:rPr>
        <w:t>District </w:t>
      </w:r>
      <w:r>
        <w:rPr>
          <w:color w:val="231F20"/>
          <w:w w:val="110"/>
          <w:sz w:val="18"/>
        </w:rPr>
        <w:t>Council in consultation with such </w:t>
      </w:r>
      <w:r>
        <w:rPr>
          <w:color w:val="231F20"/>
          <w:spacing w:val="2"/>
          <w:w w:val="110"/>
          <w:sz w:val="18"/>
        </w:rPr>
        <w:t>officers </w:t>
      </w:r>
      <w:r>
        <w:rPr>
          <w:color w:val="231F20"/>
          <w:w w:val="110"/>
          <w:sz w:val="18"/>
        </w:rPr>
        <w:t>of the </w:t>
      </w:r>
      <w:r>
        <w:rPr>
          <w:color w:val="231F20"/>
          <w:spacing w:val="2"/>
          <w:w w:val="110"/>
          <w:sz w:val="18"/>
        </w:rPr>
        <w:t>District </w:t>
      </w:r>
      <w:r>
        <w:rPr>
          <w:color w:val="231F20"/>
          <w:w w:val="110"/>
          <w:sz w:val="18"/>
        </w:rPr>
        <w:t>Council as s/he considers appropriate believes that there is or may be a disciplinary issue in </w:t>
      </w:r>
      <w:r>
        <w:rPr>
          <w:color w:val="231F20"/>
          <w:spacing w:val="3"/>
          <w:w w:val="110"/>
          <w:sz w:val="18"/>
        </w:rPr>
        <w:t>respect </w:t>
      </w:r>
      <w:r>
        <w:rPr>
          <w:color w:val="231F20"/>
          <w:w w:val="110"/>
          <w:sz w:val="18"/>
        </w:rPr>
        <w:t>of any Minister s/he shall forthwith in the name and on the authority of the </w:t>
      </w:r>
      <w:r>
        <w:rPr>
          <w:color w:val="231F20"/>
          <w:spacing w:val="2"/>
          <w:w w:val="110"/>
          <w:sz w:val="18"/>
        </w:rPr>
        <w:t>District </w:t>
      </w:r>
      <w:r>
        <w:rPr>
          <w:color w:val="231F20"/>
          <w:w w:val="110"/>
          <w:sz w:val="18"/>
        </w:rPr>
        <w:t>Council call in its Mandated Group, at the same time informing the Minister that this step has been taken.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in the </w:t>
      </w:r>
      <w:r>
        <w:rPr>
          <w:color w:val="231F20"/>
          <w:spacing w:val="2"/>
          <w:w w:val="110"/>
          <w:sz w:val="18"/>
        </w:rPr>
        <w:t>case </w:t>
      </w:r>
      <w:r>
        <w:rPr>
          <w:color w:val="231F20"/>
          <w:w w:val="110"/>
          <w:sz w:val="18"/>
        </w:rPr>
        <w:t>of any Minister shall commence with the calling in of the Mandated Group.</w:t>
      </w:r>
    </w:p>
    <w:p>
      <w:pPr>
        <w:pStyle w:val="BodyText"/>
        <w:rPr>
          <w:sz w:val="21"/>
        </w:rPr>
      </w:pPr>
    </w:p>
    <w:p>
      <w:pPr>
        <w:pStyle w:val="ListParagraph"/>
        <w:numPr>
          <w:ilvl w:val="3"/>
          <w:numId w:val="139"/>
        </w:numPr>
        <w:tabs>
          <w:tab w:pos="2010" w:val="left" w:leader="none"/>
          <w:tab w:pos="2011" w:val="left" w:leader="none"/>
        </w:tabs>
        <w:spacing w:line="240" w:lineRule="auto" w:before="0" w:after="0"/>
        <w:ind w:left="2010" w:right="0" w:hanging="931"/>
        <w:jc w:val="left"/>
        <w:rPr>
          <w:sz w:val="18"/>
        </w:rPr>
      </w:pPr>
      <w:r>
        <w:rPr>
          <w:color w:val="231F20"/>
          <w:w w:val="110"/>
          <w:sz w:val="18"/>
        </w:rPr>
        <w:t>In calling in the Mandated Group, the </w:t>
      </w:r>
      <w:r>
        <w:rPr>
          <w:color w:val="231F20"/>
          <w:spacing w:val="2"/>
          <w:w w:val="110"/>
          <w:sz w:val="18"/>
        </w:rPr>
        <w:t>person </w:t>
      </w:r>
      <w:r>
        <w:rPr>
          <w:color w:val="231F20"/>
          <w:w w:val="110"/>
          <w:sz w:val="18"/>
        </w:rPr>
        <w:t>so</w:t>
      </w:r>
      <w:r>
        <w:rPr>
          <w:color w:val="231F20"/>
          <w:spacing w:val="12"/>
          <w:w w:val="110"/>
          <w:sz w:val="18"/>
        </w:rPr>
        <w:t> </w:t>
      </w:r>
      <w:r>
        <w:rPr>
          <w:color w:val="231F20"/>
          <w:w w:val="110"/>
          <w:sz w:val="18"/>
        </w:rPr>
        <w:t>doing:</w:t>
      </w:r>
    </w:p>
    <w:p>
      <w:pPr>
        <w:pStyle w:val="BodyText"/>
        <w:spacing w:before="2"/>
        <w:rPr>
          <w:sz w:val="23"/>
        </w:rPr>
      </w:pPr>
    </w:p>
    <w:p>
      <w:pPr>
        <w:pStyle w:val="ListParagraph"/>
        <w:numPr>
          <w:ilvl w:val="0"/>
          <w:numId w:val="140"/>
        </w:numPr>
        <w:tabs>
          <w:tab w:pos="1760" w:val="left" w:leader="none"/>
          <w:tab w:pos="1761" w:val="left" w:leader="none"/>
        </w:tabs>
        <w:spacing w:line="273" w:lineRule="auto" w:before="0" w:after="0"/>
        <w:ind w:left="1761" w:right="1278" w:hanging="681"/>
        <w:jc w:val="left"/>
        <w:rPr>
          <w:sz w:val="18"/>
        </w:rPr>
      </w:pPr>
      <w:r>
        <w:rPr>
          <w:color w:val="231F20"/>
          <w:w w:val="110"/>
          <w:sz w:val="18"/>
        </w:rPr>
        <w:t>shall </w:t>
      </w:r>
      <w:r>
        <w:rPr>
          <w:color w:val="231F20"/>
          <w:spacing w:val="2"/>
          <w:w w:val="110"/>
          <w:sz w:val="18"/>
        </w:rPr>
        <w:t>notify </w:t>
      </w:r>
      <w:r>
        <w:rPr>
          <w:color w:val="231F20"/>
          <w:w w:val="110"/>
          <w:sz w:val="18"/>
        </w:rPr>
        <w:t>those two </w:t>
      </w:r>
      <w:r>
        <w:rPr>
          <w:color w:val="231F20"/>
          <w:spacing w:val="2"/>
          <w:w w:val="110"/>
          <w:sz w:val="18"/>
        </w:rPr>
        <w:t>persons </w:t>
      </w:r>
      <w:r>
        <w:rPr>
          <w:color w:val="231F20"/>
          <w:w w:val="110"/>
          <w:sz w:val="18"/>
        </w:rPr>
        <w:t>who, as </w:t>
      </w:r>
      <w:r>
        <w:rPr>
          <w:color w:val="231F20"/>
          <w:spacing w:val="2"/>
          <w:w w:val="110"/>
          <w:sz w:val="18"/>
        </w:rPr>
        <w:t>members </w:t>
      </w:r>
      <w:r>
        <w:rPr>
          <w:color w:val="231F20"/>
          <w:w w:val="110"/>
          <w:sz w:val="18"/>
        </w:rPr>
        <w:t>of the Synod Panel, will form </w:t>
      </w:r>
      <w:r>
        <w:rPr>
          <w:color w:val="231F20"/>
          <w:spacing w:val="2"/>
          <w:w w:val="110"/>
          <w:sz w:val="18"/>
        </w:rPr>
        <w:t>part </w:t>
      </w:r>
      <w:r>
        <w:rPr>
          <w:color w:val="231F20"/>
          <w:w w:val="110"/>
          <w:sz w:val="18"/>
        </w:rPr>
        <w:t>of the Mandated Group by </w:t>
      </w:r>
      <w:r>
        <w:rPr>
          <w:color w:val="231F20"/>
          <w:spacing w:val="2"/>
          <w:w w:val="110"/>
          <w:sz w:val="18"/>
        </w:rPr>
        <w:t>virtue </w:t>
      </w:r>
      <w:r>
        <w:rPr>
          <w:color w:val="231F20"/>
          <w:w w:val="110"/>
          <w:sz w:val="18"/>
        </w:rPr>
        <w:t>of Paragraph B.2.1 that they are called upon so to participate, advising them of the identity of the Minister but giving no </w:t>
      </w:r>
      <w:r>
        <w:rPr>
          <w:color w:val="231F20"/>
          <w:spacing w:val="2"/>
          <w:w w:val="110"/>
          <w:sz w:val="18"/>
        </w:rPr>
        <w:t>further </w:t>
      </w:r>
      <w:r>
        <w:rPr>
          <w:color w:val="231F20"/>
          <w:w w:val="110"/>
          <w:sz w:val="18"/>
        </w:rPr>
        <w:t>information at that point</w:t>
      </w:r>
      <w:r>
        <w:rPr>
          <w:color w:val="231F20"/>
          <w:spacing w:val="5"/>
          <w:w w:val="110"/>
          <w:sz w:val="18"/>
        </w:rPr>
        <w:t> </w:t>
      </w:r>
      <w:r>
        <w:rPr>
          <w:color w:val="231F20"/>
          <w:w w:val="110"/>
          <w:sz w:val="18"/>
        </w:rPr>
        <w:t>and</w:t>
      </w:r>
    </w:p>
    <w:p>
      <w:pPr>
        <w:pStyle w:val="BodyText"/>
        <w:spacing w:before="9"/>
        <w:rPr>
          <w:sz w:val="20"/>
        </w:rPr>
      </w:pPr>
    </w:p>
    <w:p>
      <w:pPr>
        <w:pStyle w:val="ListParagraph"/>
        <w:numPr>
          <w:ilvl w:val="0"/>
          <w:numId w:val="140"/>
        </w:numPr>
        <w:tabs>
          <w:tab w:pos="1760" w:val="left" w:leader="none"/>
          <w:tab w:pos="1761" w:val="left" w:leader="none"/>
        </w:tabs>
        <w:spacing w:line="273" w:lineRule="auto" w:before="0" w:after="0"/>
        <w:ind w:left="1761" w:right="1594" w:hanging="681"/>
        <w:jc w:val="left"/>
        <w:rPr>
          <w:sz w:val="18"/>
        </w:rPr>
      </w:pPr>
      <w:r>
        <w:rPr>
          <w:color w:val="231F20"/>
          <w:w w:val="110"/>
          <w:sz w:val="18"/>
        </w:rPr>
        <w:t>shall </w:t>
      </w:r>
      <w:r>
        <w:rPr>
          <w:color w:val="231F20"/>
          <w:spacing w:val="2"/>
          <w:w w:val="110"/>
          <w:sz w:val="18"/>
        </w:rPr>
        <w:t>notify </w:t>
      </w:r>
      <w:r>
        <w:rPr>
          <w:color w:val="231F20"/>
          <w:w w:val="110"/>
          <w:sz w:val="18"/>
        </w:rPr>
        <w:t>one </w:t>
      </w:r>
      <w:r>
        <w:rPr>
          <w:color w:val="231F20"/>
          <w:spacing w:val="2"/>
          <w:w w:val="110"/>
          <w:sz w:val="18"/>
        </w:rPr>
        <w:t>person from </w:t>
      </w:r>
      <w:r>
        <w:rPr>
          <w:color w:val="231F20"/>
          <w:w w:val="110"/>
          <w:sz w:val="18"/>
        </w:rPr>
        <w:t>the Joint Panel of his/her intention to invite that </w:t>
      </w:r>
      <w:r>
        <w:rPr>
          <w:color w:val="231F20"/>
          <w:spacing w:val="2"/>
          <w:w w:val="110"/>
          <w:sz w:val="18"/>
        </w:rPr>
        <w:t>person </w:t>
      </w:r>
      <w:r>
        <w:rPr>
          <w:color w:val="231F20"/>
          <w:w w:val="110"/>
          <w:sz w:val="18"/>
        </w:rPr>
        <w:t>to </w:t>
      </w:r>
      <w:r>
        <w:rPr>
          <w:color w:val="231F20"/>
          <w:spacing w:val="2"/>
          <w:w w:val="110"/>
          <w:sz w:val="18"/>
        </w:rPr>
        <w:t>serve </w:t>
      </w:r>
      <w:r>
        <w:rPr>
          <w:color w:val="231F20"/>
          <w:w w:val="110"/>
          <w:sz w:val="18"/>
        </w:rPr>
        <w:t>as a member of the Mandated Group, advising him/her of the identity of the Minister but giving no </w:t>
      </w:r>
      <w:r>
        <w:rPr>
          <w:color w:val="231F20"/>
          <w:spacing w:val="2"/>
          <w:w w:val="110"/>
          <w:sz w:val="18"/>
        </w:rPr>
        <w:t>further </w:t>
      </w:r>
      <w:r>
        <w:rPr>
          <w:color w:val="231F20"/>
          <w:w w:val="110"/>
          <w:sz w:val="18"/>
        </w:rPr>
        <w:t>information at that</w:t>
      </w:r>
      <w:r>
        <w:rPr>
          <w:color w:val="231F20"/>
          <w:spacing w:val="59"/>
          <w:w w:val="110"/>
          <w:sz w:val="18"/>
        </w:rPr>
        <w:t> </w:t>
      </w:r>
      <w:r>
        <w:rPr>
          <w:color w:val="231F20"/>
          <w:w w:val="110"/>
          <w:sz w:val="18"/>
        </w:rPr>
        <w:t>point.</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3"/>
          <w:numId w:val="139"/>
        </w:numPr>
        <w:tabs>
          <w:tab w:pos="1953" w:val="left" w:leader="none"/>
          <w:tab w:pos="1954" w:val="left" w:leader="none"/>
        </w:tabs>
        <w:spacing w:line="273" w:lineRule="auto" w:before="101" w:after="0"/>
        <w:ind w:left="513" w:right="2040" w:firstLine="0"/>
        <w:jc w:val="left"/>
        <w:rPr>
          <w:sz w:val="18"/>
        </w:rPr>
      </w:pPr>
      <w:r>
        <w:rPr>
          <w:color w:val="231F20"/>
          <w:w w:val="110"/>
          <w:sz w:val="18"/>
        </w:rPr>
        <w:t>In the event that any of the </w:t>
      </w:r>
      <w:r>
        <w:rPr>
          <w:color w:val="231F20"/>
          <w:spacing w:val="2"/>
          <w:w w:val="110"/>
          <w:sz w:val="18"/>
        </w:rPr>
        <w:t>proposed </w:t>
      </w:r>
      <w:r>
        <w:rPr>
          <w:color w:val="231F20"/>
          <w:w w:val="110"/>
          <w:sz w:val="18"/>
        </w:rPr>
        <w:t>appointees on to the Mandated Group is/are unable or unwilling to act, the process(es) of appointment </w:t>
      </w:r>
      <w:r>
        <w:rPr>
          <w:color w:val="231F20"/>
          <w:spacing w:val="2"/>
          <w:w w:val="110"/>
          <w:sz w:val="18"/>
        </w:rPr>
        <w:t>from </w:t>
      </w:r>
      <w:r>
        <w:rPr>
          <w:color w:val="231F20"/>
          <w:w w:val="110"/>
          <w:sz w:val="18"/>
        </w:rPr>
        <w:t>a Synod Panel and/or the Joint Panel shall continue until a Mandated Group consisting of three </w:t>
      </w:r>
      <w:r>
        <w:rPr>
          <w:color w:val="231F20"/>
          <w:spacing w:val="2"/>
          <w:w w:val="110"/>
          <w:sz w:val="18"/>
        </w:rPr>
        <w:t>members </w:t>
      </w:r>
      <w:r>
        <w:rPr>
          <w:color w:val="231F20"/>
          <w:w w:val="110"/>
          <w:sz w:val="18"/>
        </w:rPr>
        <w:t>has been duly</w:t>
      </w:r>
      <w:r>
        <w:rPr>
          <w:color w:val="231F20"/>
          <w:spacing w:val="3"/>
          <w:w w:val="110"/>
          <w:sz w:val="18"/>
        </w:rPr>
        <w:t> </w:t>
      </w:r>
      <w:r>
        <w:rPr>
          <w:color w:val="231F20"/>
          <w:w w:val="110"/>
          <w:sz w:val="18"/>
        </w:rPr>
        <w:t>constituted.</w:t>
      </w:r>
    </w:p>
    <w:p>
      <w:pPr>
        <w:pStyle w:val="BodyText"/>
        <w:spacing w:before="9"/>
        <w:rPr>
          <w:sz w:val="20"/>
        </w:rPr>
      </w:pPr>
    </w:p>
    <w:p>
      <w:pPr>
        <w:pStyle w:val="ListParagraph"/>
        <w:numPr>
          <w:ilvl w:val="3"/>
          <w:numId w:val="139"/>
        </w:numPr>
        <w:tabs>
          <w:tab w:pos="1953" w:val="left" w:leader="none"/>
          <w:tab w:pos="1954" w:val="left" w:leader="none"/>
        </w:tabs>
        <w:spacing w:line="273" w:lineRule="auto" w:before="0" w:after="0"/>
        <w:ind w:left="514" w:right="1747" w:hanging="1"/>
        <w:jc w:val="left"/>
        <w:rPr>
          <w:sz w:val="18"/>
        </w:rPr>
      </w:pPr>
      <w:r>
        <w:rPr>
          <w:color w:val="231F20"/>
          <w:w w:val="110"/>
          <w:sz w:val="18"/>
        </w:rPr>
        <w:t>As soon as the above steps </w:t>
      </w:r>
      <w:r>
        <w:rPr>
          <w:color w:val="231F20"/>
          <w:spacing w:val="-3"/>
          <w:w w:val="110"/>
          <w:sz w:val="18"/>
        </w:rPr>
        <w:t>have </w:t>
      </w:r>
      <w:r>
        <w:rPr>
          <w:color w:val="231F20"/>
          <w:w w:val="110"/>
          <w:sz w:val="18"/>
        </w:rPr>
        <w:t>all been taken, the person calling in the Mandated Group shall issue to each member thereof a written statement setting out the reasons for the calling in of the Mandated Group, the names of possible informants and </w:t>
      </w:r>
      <w:r>
        <w:rPr>
          <w:color w:val="231F20"/>
          <w:spacing w:val="-3"/>
          <w:w w:val="110"/>
          <w:sz w:val="18"/>
        </w:rPr>
        <w:t>any </w:t>
      </w:r>
      <w:r>
        <w:rPr>
          <w:color w:val="231F20"/>
          <w:w w:val="110"/>
          <w:sz w:val="18"/>
        </w:rPr>
        <w:t>other sources of information at that time </w:t>
      </w:r>
      <w:r>
        <w:rPr>
          <w:color w:val="231F20"/>
          <w:spacing w:val="-3"/>
          <w:w w:val="110"/>
          <w:sz w:val="18"/>
        </w:rPr>
        <w:t>available. </w:t>
      </w:r>
      <w:r>
        <w:rPr>
          <w:color w:val="231F20"/>
          <w:spacing w:val="-9"/>
          <w:w w:val="110"/>
          <w:sz w:val="18"/>
        </w:rPr>
        <w:t>To </w:t>
      </w:r>
      <w:r>
        <w:rPr>
          <w:color w:val="231F20"/>
          <w:spacing w:val="-3"/>
          <w:w w:val="110"/>
          <w:sz w:val="18"/>
        </w:rPr>
        <w:t>avoid </w:t>
      </w:r>
      <w:r>
        <w:rPr>
          <w:color w:val="231F20"/>
          <w:w w:val="110"/>
          <w:sz w:val="18"/>
        </w:rPr>
        <w:t>prejudice, that statement must not contain </w:t>
      </w:r>
      <w:r>
        <w:rPr>
          <w:color w:val="231F20"/>
          <w:spacing w:val="-3"/>
          <w:w w:val="110"/>
          <w:sz w:val="18"/>
        </w:rPr>
        <w:t>any </w:t>
      </w:r>
      <w:r>
        <w:rPr>
          <w:color w:val="231F20"/>
          <w:w w:val="110"/>
          <w:sz w:val="18"/>
        </w:rPr>
        <w:t>assumptions or inferences or </w:t>
      </w:r>
      <w:r>
        <w:rPr>
          <w:color w:val="231F20"/>
          <w:spacing w:val="-3"/>
          <w:w w:val="110"/>
          <w:sz w:val="18"/>
        </w:rPr>
        <w:t>any </w:t>
      </w:r>
      <w:r>
        <w:rPr>
          <w:color w:val="231F20"/>
          <w:w w:val="110"/>
          <w:sz w:val="18"/>
        </w:rPr>
        <w:t>personal reflections or</w:t>
      </w:r>
      <w:r>
        <w:rPr>
          <w:color w:val="231F20"/>
          <w:spacing w:val="3"/>
          <w:w w:val="110"/>
          <w:sz w:val="18"/>
        </w:rPr>
        <w:t> </w:t>
      </w:r>
      <w:r>
        <w:rPr>
          <w:color w:val="231F20"/>
          <w:w w:val="110"/>
          <w:sz w:val="18"/>
        </w:rPr>
        <w:t>opinions.</w:t>
      </w:r>
    </w:p>
    <w:p>
      <w:pPr>
        <w:pStyle w:val="BodyText"/>
        <w:spacing w:before="10"/>
        <w:rPr>
          <w:sz w:val="20"/>
        </w:rPr>
      </w:pPr>
    </w:p>
    <w:p>
      <w:pPr>
        <w:pStyle w:val="ListParagraph"/>
        <w:numPr>
          <w:ilvl w:val="3"/>
          <w:numId w:val="141"/>
        </w:numPr>
        <w:tabs>
          <w:tab w:pos="1958" w:val="left" w:leader="none"/>
          <w:tab w:pos="1959" w:val="left" w:leader="none"/>
        </w:tabs>
        <w:spacing w:line="273" w:lineRule="auto" w:before="0" w:after="0"/>
        <w:ind w:left="519" w:right="1798" w:firstLine="0"/>
        <w:jc w:val="left"/>
        <w:rPr>
          <w:sz w:val="18"/>
        </w:rPr>
      </w:pPr>
      <w:r>
        <w:rPr>
          <w:color w:val="231F20"/>
          <w:w w:val="110"/>
          <w:sz w:val="18"/>
        </w:rPr>
        <w:t>In </w:t>
      </w:r>
      <w:r>
        <w:rPr>
          <w:color w:val="231F20"/>
          <w:spacing w:val="2"/>
          <w:w w:val="110"/>
          <w:sz w:val="18"/>
        </w:rPr>
        <w:t>cases </w:t>
      </w:r>
      <w:r>
        <w:rPr>
          <w:color w:val="231F20"/>
          <w:w w:val="110"/>
          <w:sz w:val="18"/>
        </w:rPr>
        <w:t>of </w:t>
      </w:r>
      <w:r>
        <w:rPr>
          <w:color w:val="231F20"/>
          <w:spacing w:val="2"/>
          <w:w w:val="110"/>
          <w:sz w:val="18"/>
        </w:rPr>
        <w:t>extreme </w:t>
      </w:r>
      <w:r>
        <w:rPr>
          <w:color w:val="231F20"/>
          <w:w w:val="110"/>
          <w:sz w:val="18"/>
        </w:rPr>
        <w:t>emergency, the Moderator of the Synod or other </w:t>
      </w:r>
      <w:r>
        <w:rPr>
          <w:color w:val="231F20"/>
          <w:spacing w:val="2"/>
          <w:w w:val="110"/>
          <w:sz w:val="18"/>
        </w:rPr>
        <w:t>person </w:t>
      </w:r>
      <w:r>
        <w:rPr>
          <w:color w:val="231F20"/>
          <w:w w:val="110"/>
          <w:sz w:val="18"/>
        </w:rPr>
        <w:t>entitled to call in the Mandated Group under the Rules of Procedure </w:t>
      </w:r>
      <w:r>
        <w:rPr>
          <w:color w:val="231F20"/>
          <w:spacing w:val="-5"/>
          <w:w w:val="110"/>
          <w:sz w:val="18"/>
        </w:rPr>
        <w:t>may, </w:t>
      </w:r>
      <w:r>
        <w:rPr>
          <w:color w:val="231F20"/>
          <w:w w:val="110"/>
          <w:sz w:val="18"/>
        </w:rPr>
        <w:t>if s/he considers that there are </w:t>
      </w:r>
      <w:r>
        <w:rPr>
          <w:color w:val="231F20"/>
          <w:spacing w:val="2"/>
          <w:w w:val="110"/>
          <w:sz w:val="18"/>
        </w:rPr>
        <w:t>strong </w:t>
      </w:r>
      <w:r>
        <w:rPr>
          <w:color w:val="231F20"/>
          <w:w w:val="110"/>
          <w:sz w:val="18"/>
        </w:rPr>
        <w:t>and urgent reasons for so doing and only so long as   s/he forthwith calls in the Mandated Group under Paragraph </w:t>
      </w:r>
      <w:r>
        <w:rPr>
          <w:color w:val="231F20"/>
          <w:spacing w:val="-4"/>
          <w:w w:val="110"/>
          <w:sz w:val="18"/>
        </w:rPr>
        <w:t>B.6.1, </w:t>
      </w:r>
      <w:r>
        <w:rPr>
          <w:color w:val="231F20"/>
          <w:w w:val="110"/>
          <w:sz w:val="18"/>
        </w:rPr>
        <w:t>suspend the Minister with immediate </w:t>
      </w:r>
      <w:r>
        <w:rPr>
          <w:color w:val="231F20"/>
          <w:spacing w:val="3"/>
          <w:w w:val="110"/>
          <w:sz w:val="18"/>
        </w:rPr>
        <w:t>effect </w:t>
      </w:r>
      <w:r>
        <w:rPr>
          <w:color w:val="231F20"/>
          <w:w w:val="110"/>
          <w:sz w:val="18"/>
        </w:rPr>
        <w:t>either orally or in writing. Suspension imposed orally shall be immediately confirmed in writing to the</w:t>
      </w:r>
      <w:r>
        <w:rPr>
          <w:color w:val="231F20"/>
          <w:spacing w:val="9"/>
          <w:w w:val="110"/>
          <w:sz w:val="18"/>
        </w:rPr>
        <w:t> </w:t>
      </w:r>
      <w:r>
        <w:rPr>
          <w:color w:val="231F20"/>
          <w:w w:val="110"/>
          <w:sz w:val="18"/>
        </w:rPr>
        <w:t>Minister.</w:t>
      </w:r>
    </w:p>
    <w:p>
      <w:pPr>
        <w:pStyle w:val="BodyText"/>
        <w:spacing w:before="11"/>
        <w:rPr>
          <w:sz w:val="20"/>
        </w:rPr>
      </w:pPr>
    </w:p>
    <w:p>
      <w:pPr>
        <w:pStyle w:val="ListParagraph"/>
        <w:numPr>
          <w:ilvl w:val="3"/>
          <w:numId w:val="141"/>
        </w:numPr>
        <w:tabs>
          <w:tab w:pos="1958" w:val="left" w:leader="none"/>
          <w:tab w:pos="1959" w:val="left" w:leader="none"/>
        </w:tabs>
        <w:spacing w:line="273" w:lineRule="auto" w:before="0" w:after="0"/>
        <w:ind w:left="519" w:right="1693" w:hanging="1"/>
        <w:jc w:val="left"/>
        <w:rPr>
          <w:sz w:val="18"/>
        </w:rPr>
      </w:pPr>
      <w:r>
        <w:rPr>
          <w:color w:val="231F20"/>
          <w:w w:val="110"/>
          <w:sz w:val="18"/>
        </w:rPr>
        <w:t>The person imposing the Suspension under Paragraph </w:t>
      </w:r>
      <w:r>
        <w:rPr>
          <w:color w:val="231F20"/>
          <w:spacing w:val="-4"/>
          <w:w w:val="110"/>
          <w:sz w:val="18"/>
        </w:rPr>
        <w:t>B.6.2.1 </w:t>
      </w:r>
      <w:r>
        <w:rPr>
          <w:color w:val="231F20"/>
          <w:w w:val="110"/>
          <w:sz w:val="18"/>
        </w:rPr>
        <w:t>shall forthwith </w:t>
      </w:r>
      <w:r>
        <w:rPr>
          <w:color w:val="231F20"/>
          <w:spacing w:val="-5"/>
          <w:w w:val="110"/>
          <w:sz w:val="18"/>
        </w:rPr>
        <w:t>(i) </w:t>
      </w:r>
      <w:r>
        <w:rPr>
          <w:color w:val="231F20"/>
          <w:w w:val="110"/>
          <w:sz w:val="18"/>
        </w:rPr>
        <w:t>give written notice of the Minister’s Suspension to the Moderator of the Synod </w:t>
      </w:r>
      <w:r>
        <w:rPr>
          <w:color w:val="231F20"/>
          <w:spacing w:val="-3"/>
          <w:w w:val="110"/>
          <w:sz w:val="18"/>
        </w:rPr>
        <w:t>(if </w:t>
      </w:r>
      <w:r>
        <w:rPr>
          <w:color w:val="231F20"/>
          <w:w w:val="110"/>
          <w:sz w:val="18"/>
        </w:rPr>
        <w:t>s/he is not the person calling in the Mandated </w:t>
      </w:r>
      <w:r>
        <w:rPr>
          <w:color w:val="231F20"/>
          <w:spacing w:val="-4"/>
          <w:w w:val="110"/>
          <w:sz w:val="18"/>
        </w:rPr>
        <w:t>Group), </w:t>
      </w:r>
      <w:r>
        <w:rPr>
          <w:color w:val="231F20"/>
          <w:w w:val="110"/>
          <w:sz w:val="18"/>
        </w:rPr>
        <w:t>the Secretary of the District Council, the General Secretary and the Secretary for Ministries, and </w:t>
      </w:r>
      <w:r>
        <w:rPr>
          <w:color w:val="231F20"/>
          <w:spacing w:val="-4"/>
          <w:w w:val="110"/>
          <w:sz w:val="18"/>
        </w:rPr>
        <w:t>(ii) </w:t>
      </w:r>
      <w:r>
        <w:rPr>
          <w:color w:val="231F20"/>
          <w:spacing w:val="-3"/>
          <w:w w:val="110"/>
          <w:sz w:val="18"/>
        </w:rPr>
        <w:t>make </w:t>
      </w:r>
      <w:r>
        <w:rPr>
          <w:color w:val="231F20"/>
          <w:w w:val="110"/>
          <w:sz w:val="18"/>
        </w:rPr>
        <w:t>a written disclosure of the Minister’s Suspension to the responsible officer of </w:t>
      </w:r>
      <w:r>
        <w:rPr>
          <w:color w:val="231F20"/>
          <w:spacing w:val="-3"/>
          <w:w w:val="110"/>
          <w:sz w:val="18"/>
        </w:rPr>
        <w:t>any </w:t>
      </w:r>
      <w:r>
        <w:rPr>
          <w:color w:val="231F20"/>
          <w:w w:val="110"/>
          <w:sz w:val="18"/>
        </w:rPr>
        <w:t>relevant Outside Organisation </w:t>
      </w:r>
      <w:r>
        <w:rPr>
          <w:color w:val="231F20"/>
          <w:spacing w:val="-7"/>
          <w:w w:val="110"/>
          <w:sz w:val="18"/>
        </w:rPr>
        <w:t>(as </w:t>
      </w:r>
      <w:r>
        <w:rPr>
          <w:color w:val="231F20"/>
          <w:w w:val="110"/>
          <w:sz w:val="18"/>
        </w:rPr>
        <w:t>defined in Paragraph </w:t>
      </w:r>
      <w:r>
        <w:rPr>
          <w:color w:val="231F20"/>
          <w:spacing w:val="-7"/>
          <w:w w:val="110"/>
          <w:sz w:val="18"/>
        </w:rPr>
        <w:t>A.5.19). </w:t>
      </w:r>
      <w:r>
        <w:rPr>
          <w:color w:val="231F20"/>
          <w:w w:val="110"/>
          <w:sz w:val="18"/>
        </w:rPr>
        <w:t>In order to preserve confidentiality </w:t>
      </w:r>
      <w:r>
        <w:rPr>
          <w:color w:val="231F20"/>
          <w:spacing w:val="-3"/>
          <w:w w:val="110"/>
          <w:sz w:val="18"/>
        </w:rPr>
        <w:t>any </w:t>
      </w:r>
      <w:r>
        <w:rPr>
          <w:color w:val="231F20"/>
          <w:w w:val="110"/>
          <w:sz w:val="18"/>
        </w:rPr>
        <w:t>notice or disclosure given under this Paragraph shall not disclose </w:t>
      </w:r>
      <w:r>
        <w:rPr>
          <w:color w:val="231F20"/>
          <w:spacing w:val="-3"/>
          <w:w w:val="110"/>
          <w:sz w:val="18"/>
        </w:rPr>
        <w:t>any </w:t>
      </w:r>
      <w:r>
        <w:rPr>
          <w:color w:val="231F20"/>
          <w:w w:val="110"/>
          <w:sz w:val="18"/>
        </w:rPr>
        <w:t>reason for the imposition of the Suspension </w:t>
      </w:r>
      <w:r>
        <w:rPr>
          <w:color w:val="231F20"/>
          <w:spacing w:val="-4"/>
          <w:w w:val="110"/>
          <w:sz w:val="18"/>
        </w:rPr>
        <w:t>(see </w:t>
      </w:r>
      <w:r>
        <w:rPr>
          <w:color w:val="231F20"/>
          <w:w w:val="110"/>
          <w:sz w:val="18"/>
        </w:rPr>
        <w:t>also Paragraphs </w:t>
      </w:r>
      <w:r>
        <w:rPr>
          <w:color w:val="231F20"/>
          <w:spacing w:val="-3"/>
          <w:w w:val="110"/>
          <w:sz w:val="18"/>
        </w:rPr>
        <w:t>B.8.2 </w:t>
      </w:r>
      <w:r>
        <w:rPr>
          <w:color w:val="231F20"/>
          <w:w w:val="110"/>
          <w:sz w:val="18"/>
        </w:rPr>
        <w:t>and </w:t>
      </w:r>
      <w:r>
        <w:rPr>
          <w:color w:val="231F20"/>
          <w:spacing w:val="-9"/>
          <w:w w:val="110"/>
          <w:sz w:val="18"/>
        </w:rPr>
        <w:t>B.11). </w:t>
      </w:r>
      <w:r>
        <w:rPr>
          <w:color w:val="231F20"/>
          <w:spacing w:val="-5"/>
          <w:w w:val="110"/>
          <w:sz w:val="18"/>
        </w:rPr>
        <w:t>However, </w:t>
      </w:r>
      <w:r>
        <w:rPr>
          <w:color w:val="231F20"/>
          <w:spacing w:val="-3"/>
          <w:w w:val="110"/>
          <w:sz w:val="18"/>
        </w:rPr>
        <w:t>any </w:t>
      </w:r>
      <w:r>
        <w:rPr>
          <w:color w:val="231F20"/>
          <w:w w:val="110"/>
          <w:sz w:val="18"/>
        </w:rPr>
        <w:t>such notice or disclosure shall contain a statement explaining the </w:t>
      </w:r>
      <w:r>
        <w:rPr>
          <w:color w:val="231F20"/>
          <w:spacing w:val="2"/>
          <w:w w:val="110"/>
          <w:sz w:val="18"/>
        </w:rPr>
        <w:t>effect </w:t>
      </w:r>
      <w:r>
        <w:rPr>
          <w:color w:val="231F20"/>
          <w:w w:val="110"/>
          <w:sz w:val="18"/>
        </w:rPr>
        <w:t>of Suspension as outlined in Paragraph 4 of Schedule E to the Basis of Union and shall </w:t>
      </w:r>
      <w:r>
        <w:rPr>
          <w:color w:val="231F20"/>
          <w:spacing w:val="-3"/>
          <w:w w:val="110"/>
          <w:sz w:val="18"/>
        </w:rPr>
        <w:t>(if </w:t>
      </w:r>
      <w:r>
        <w:rPr>
          <w:color w:val="231F20"/>
          <w:w w:val="110"/>
          <w:sz w:val="18"/>
        </w:rPr>
        <w:t>such be the </w:t>
      </w:r>
      <w:r>
        <w:rPr>
          <w:color w:val="231F20"/>
          <w:spacing w:val="-3"/>
          <w:w w:val="110"/>
          <w:sz w:val="18"/>
        </w:rPr>
        <w:t>case) </w:t>
      </w:r>
      <w:r>
        <w:rPr>
          <w:color w:val="231F20"/>
          <w:w w:val="110"/>
          <w:sz w:val="18"/>
        </w:rPr>
        <w:t>state that the Police </w:t>
      </w:r>
      <w:r>
        <w:rPr>
          <w:color w:val="231F20"/>
          <w:spacing w:val="-3"/>
          <w:w w:val="110"/>
          <w:sz w:val="18"/>
        </w:rPr>
        <w:t>have </w:t>
      </w:r>
      <w:r>
        <w:rPr>
          <w:color w:val="231F20"/>
          <w:w w:val="110"/>
          <w:sz w:val="18"/>
        </w:rPr>
        <w:t>been apprised of the matter giving rise to the</w:t>
      </w:r>
      <w:r>
        <w:rPr>
          <w:color w:val="231F20"/>
          <w:spacing w:val="-16"/>
          <w:w w:val="110"/>
          <w:sz w:val="18"/>
        </w:rPr>
        <w:t> </w:t>
      </w:r>
      <w:r>
        <w:rPr>
          <w:color w:val="231F20"/>
          <w:w w:val="110"/>
          <w:sz w:val="18"/>
        </w:rPr>
        <w:t>Suspension.</w:t>
      </w:r>
    </w:p>
    <w:p>
      <w:pPr>
        <w:pStyle w:val="BodyText"/>
        <w:spacing w:before="2"/>
        <w:rPr>
          <w:sz w:val="21"/>
        </w:rPr>
      </w:pPr>
    </w:p>
    <w:p>
      <w:pPr>
        <w:pStyle w:val="ListParagraph"/>
        <w:numPr>
          <w:ilvl w:val="2"/>
          <w:numId w:val="142"/>
        </w:numPr>
        <w:tabs>
          <w:tab w:pos="1248" w:val="left" w:leader="none"/>
        </w:tabs>
        <w:spacing w:line="273" w:lineRule="auto" w:before="0" w:after="0"/>
        <w:ind w:left="528" w:right="1809" w:hanging="1"/>
        <w:jc w:val="left"/>
        <w:rPr>
          <w:sz w:val="18"/>
        </w:rPr>
      </w:pPr>
      <w:r>
        <w:rPr>
          <w:color w:val="231F20"/>
          <w:w w:val="110"/>
          <w:sz w:val="18"/>
        </w:rPr>
        <w:t>Suspension imposed under Paragraph </w:t>
      </w:r>
      <w:r>
        <w:rPr>
          <w:color w:val="231F20"/>
          <w:spacing w:val="-4"/>
          <w:w w:val="110"/>
          <w:sz w:val="18"/>
        </w:rPr>
        <w:t>B.6.2.1 </w:t>
      </w:r>
      <w:r>
        <w:rPr>
          <w:color w:val="231F20"/>
          <w:w w:val="110"/>
          <w:sz w:val="18"/>
        </w:rPr>
        <w:t>shall continue during the Mandated Group’s initial enquiry period referred to in Paragraph </w:t>
      </w:r>
      <w:r>
        <w:rPr>
          <w:color w:val="231F20"/>
          <w:spacing w:val="-10"/>
          <w:w w:val="110"/>
          <w:sz w:val="18"/>
        </w:rPr>
        <w:t>B.7.1. </w:t>
      </w:r>
      <w:r>
        <w:rPr>
          <w:color w:val="231F20"/>
          <w:spacing w:val="-3"/>
          <w:w w:val="110"/>
          <w:sz w:val="18"/>
        </w:rPr>
        <w:t>If </w:t>
      </w:r>
      <w:r>
        <w:rPr>
          <w:color w:val="231F20"/>
          <w:w w:val="110"/>
          <w:sz w:val="18"/>
        </w:rPr>
        <w:t>at the end of that period the Mandated Group serves a Referral Notice on the </w:t>
      </w:r>
      <w:r>
        <w:rPr>
          <w:color w:val="231F20"/>
          <w:spacing w:val="-4"/>
          <w:w w:val="110"/>
          <w:sz w:val="18"/>
        </w:rPr>
        <w:t>Minister, </w:t>
      </w:r>
      <w:r>
        <w:rPr>
          <w:color w:val="231F20"/>
          <w:w w:val="110"/>
          <w:sz w:val="18"/>
        </w:rPr>
        <w:t>it must also serve on him/ her a Notice confirming the continuance of the Suspension during the Commission</w:t>
      </w:r>
      <w:r>
        <w:rPr>
          <w:color w:val="231F20"/>
          <w:spacing w:val="-9"/>
          <w:w w:val="110"/>
          <w:sz w:val="18"/>
        </w:rPr>
        <w:t> </w:t>
      </w:r>
      <w:r>
        <w:rPr>
          <w:color w:val="231F20"/>
          <w:w w:val="110"/>
          <w:sz w:val="18"/>
        </w:rPr>
        <w:t>Stage.</w:t>
      </w:r>
    </w:p>
    <w:p>
      <w:pPr>
        <w:pStyle w:val="BodyText"/>
        <w:spacing w:before="9"/>
        <w:rPr>
          <w:sz w:val="20"/>
        </w:rPr>
      </w:pPr>
    </w:p>
    <w:p>
      <w:pPr>
        <w:pStyle w:val="ListParagraph"/>
        <w:numPr>
          <w:ilvl w:val="2"/>
          <w:numId w:val="142"/>
        </w:numPr>
        <w:tabs>
          <w:tab w:pos="1252" w:val="left" w:leader="none"/>
        </w:tabs>
        <w:spacing w:line="273" w:lineRule="auto" w:before="0" w:after="0"/>
        <w:ind w:left="531" w:right="1969" w:firstLine="0"/>
        <w:jc w:val="left"/>
        <w:rPr>
          <w:sz w:val="18"/>
        </w:rPr>
      </w:pPr>
      <w:r>
        <w:rPr>
          <w:color w:val="231F20"/>
          <w:w w:val="110"/>
          <w:sz w:val="18"/>
        </w:rPr>
        <w:t>In the event that the initial enquiry period terminates without the issue of a Referral Notice, the Minister’s Suspension under Paragraph </w:t>
      </w:r>
      <w:r>
        <w:rPr>
          <w:color w:val="231F20"/>
          <w:spacing w:val="-3"/>
          <w:w w:val="110"/>
          <w:sz w:val="18"/>
        </w:rPr>
        <w:t>B.6.2.1 </w:t>
      </w:r>
      <w:r>
        <w:rPr>
          <w:color w:val="231F20"/>
          <w:w w:val="110"/>
          <w:sz w:val="18"/>
        </w:rPr>
        <w:t>shall automatically cease on the issue of a Notice of Non-Continuance under Paragraph </w:t>
      </w:r>
      <w:r>
        <w:rPr>
          <w:color w:val="231F20"/>
          <w:spacing w:val="-7"/>
          <w:w w:val="110"/>
          <w:sz w:val="18"/>
        </w:rPr>
        <w:t>B.7.2, </w:t>
      </w:r>
      <w:r>
        <w:rPr>
          <w:color w:val="231F20"/>
          <w:w w:val="110"/>
          <w:sz w:val="18"/>
        </w:rPr>
        <w:t>whereupon the </w:t>
      </w:r>
      <w:r>
        <w:rPr>
          <w:color w:val="231F20"/>
          <w:spacing w:val="2"/>
          <w:w w:val="110"/>
          <w:sz w:val="18"/>
        </w:rPr>
        <w:t>person </w:t>
      </w:r>
      <w:r>
        <w:rPr>
          <w:color w:val="231F20"/>
          <w:w w:val="110"/>
          <w:sz w:val="18"/>
        </w:rPr>
        <w:t>imposing the Suspension under Paragraph </w:t>
      </w:r>
      <w:r>
        <w:rPr>
          <w:color w:val="231F20"/>
          <w:spacing w:val="-3"/>
          <w:w w:val="110"/>
          <w:sz w:val="18"/>
        </w:rPr>
        <w:t>B.6.2.1 </w:t>
      </w:r>
      <w:r>
        <w:rPr>
          <w:color w:val="231F20"/>
          <w:w w:val="110"/>
          <w:sz w:val="18"/>
        </w:rPr>
        <w:t>shall give </w:t>
      </w:r>
      <w:r>
        <w:rPr>
          <w:color w:val="231F20"/>
          <w:spacing w:val="2"/>
          <w:w w:val="110"/>
          <w:sz w:val="18"/>
        </w:rPr>
        <w:t>written </w:t>
      </w:r>
      <w:r>
        <w:rPr>
          <w:color w:val="231F20"/>
          <w:w w:val="110"/>
          <w:sz w:val="18"/>
        </w:rPr>
        <w:t>notice of the cessation of the Suspension both to the Minister and to the </w:t>
      </w:r>
      <w:r>
        <w:rPr>
          <w:color w:val="231F20"/>
          <w:spacing w:val="2"/>
          <w:w w:val="110"/>
          <w:sz w:val="18"/>
        </w:rPr>
        <w:t>persons </w:t>
      </w:r>
      <w:r>
        <w:rPr>
          <w:color w:val="231F20"/>
          <w:w w:val="110"/>
          <w:sz w:val="18"/>
        </w:rPr>
        <w:t>specified in Paragraph B.6.2.2.</w:t>
      </w:r>
    </w:p>
    <w:p>
      <w:pPr>
        <w:pStyle w:val="BodyText"/>
        <w:spacing w:before="11"/>
        <w:rPr>
          <w:sz w:val="20"/>
        </w:rPr>
      </w:pPr>
    </w:p>
    <w:p>
      <w:pPr>
        <w:pStyle w:val="ListParagraph"/>
        <w:numPr>
          <w:ilvl w:val="2"/>
          <w:numId w:val="122"/>
        </w:numPr>
        <w:tabs>
          <w:tab w:pos="1251" w:val="left" w:leader="none"/>
          <w:tab w:pos="1252" w:val="left" w:leader="none"/>
        </w:tabs>
        <w:spacing w:line="273" w:lineRule="auto" w:before="0" w:after="0"/>
        <w:ind w:left="531" w:right="1873" w:firstLine="0"/>
        <w:jc w:val="left"/>
        <w:rPr>
          <w:sz w:val="18"/>
        </w:rPr>
      </w:pPr>
      <w:r>
        <w:rPr>
          <w:color w:val="231F20"/>
          <w:w w:val="110"/>
          <w:sz w:val="18"/>
        </w:rPr>
        <w:t>The functions of the Mandated Group called in by the </w:t>
      </w:r>
      <w:r>
        <w:rPr>
          <w:color w:val="231F20"/>
          <w:spacing w:val="2"/>
          <w:w w:val="110"/>
          <w:sz w:val="18"/>
        </w:rPr>
        <w:t>person </w:t>
      </w:r>
      <w:r>
        <w:rPr>
          <w:color w:val="231F20"/>
          <w:w w:val="110"/>
          <w:sz w:val="18"/>
        </w:rPr>
        <w:t>authorised for that purpose</w:t>
      </w:r>
      <w:r>
        <w:rPr>
          <w:color w:val="231F20"/>
          <w:spacing w:val="7"/>
          <w:w w:val="110"/>
          <w:sz w:val="18"/>
        </w:rPr>
        <w:t> </w:t>
      </w:r>
      <w:r>
        <w:rPr>
          <w:color w:val="231F20"/>
          <w:w w:val="110"/>
          <w:sz w:val="18"/>
        </w:rPr>
        <w:t>under</w:t>
      </w:r>
      <w:r>
        <w:rPr>
          <w:color w:val="231F20"/>
          <w:spacing w:val="7"/>
          <w:w w:val="110"/>
          <w:sz w:val="18"/>
        </w:rPr>
        <w:t> </w:t>
      </w:r>
      <w:r>
        <w:rPr>
          <w:color w:val="231F20"/>
          <w:w w:val="110"/>
          <w:sz w:val="18"/>
        </w:rPr>
        <w:t>Paragraph</w:t>
      </w:r>
      <w:r>
        <w:rPr>
          <w:color w:val="231F20"/>
          <w:spacing w:val="8"/>
          <w:w w:val="110"/>
          <w:sz w:val="18"/>
        </w:rPr>
        <w:t> </w:t>
      </w:r>
      <w:r>
        <w:rPr>
          <w:color w:val="231F20"/>
          <w:w w:val="110"/>
          <w:sz w:val="18"/>
        </w:rPr>
        <w:t>B.6</w:t>
      </w:r>
      <w:r>
        <w:rPr>
          <w:color w:val="231F20"/>
          <w:spacing w:val="7"/>
          <w:w w:val="110"/>
          <w:sz w:val="18"/>
        </w:rPr>
        <w:t> </w:t>
      </w:r>
      <w:r>
        <w:rPr>
          <w:color w:val="231F20"/>
          <w:w w:val="110"/>
          <w:sz w:val="18"/>
        </w:rPr>
        <w:t>in</w:t>
      </w:r>
      <w:r>
        <w:rPr>
          <w:color w:val="231F20"/>
          <w:spacing w:val="7"/>
          <w:w w:val="110"/>
          <w:sz w:val="18"/>
        </w:rPr>
        <w:t> </w:t>
      </w:r>
      <w:r>
        <w:rPr>
          <w:color w:val="231F20"/>
          <w:w w:val="110"/>
          <w:sz w:val="18"/>
        </w:rPr>
        <w:t>any</w:t>
      </w:r>
      <w:r>
        <w:rPr>
          <w:color w:val="231F20"/>
          <w:spacing w:val="8"/>
          <w:w w:val="110"/>
          <w:sz w:val="18"/>
        </w:rPr>
        <w:t> </w:t>
      </w:r>
      <w:r>
        <w:rPr>
          <w:color w:val="231F20"/>
          <w:w w:val="110"/>
          <w:sz w:val="18"/>
        </w:rPr>
        <w:t>particular</w:t>
      </w:r>
      <w:r>
        <w:rPr>
          <w:color w:val="231F20"/>
          <w:spacing w:val="7"/>
          <w:w w:val="110"/>
          <w:sz w:val="18"/>
        </w:rPr>
        <w:t> </w:t>
      </w:r>
      <w:r>
        <w:rPr>
          <w:color w:val="231F20"/>
          <w:spacing w:val="2"/>
          <w:w w:val="110"/>
          <w:sz w:val="18"/>
        </w:rPr>
        <w:t>case</w:t>
      </w:r>
      <w:r>
        <w:rPr>
          <w:color w:val="231F20"/>
          <w:spacing w:val="8"/>
          <w:w w:val="110"/>
          <w:sz w:val="18"/>
        </w:rPr>
        <w:t> </w:t>
      </w:r>
      <w:r>
        <w:rPr>
          <w:color w:val="231F20"/>
          <w:w w:val="110"/>
          <w:sz w:val="18"/>
        </w:rPr>
        <w:t>are</w:t>
      </w:r>
      <w:r>
        <w:rPr>
          <w:color w:val="231F20"/>
          <w:spacing w:val="7"/>
          <w:w w:val="110"/>
          <w:sz w:val="18"/>
        </w:rPr>
        <w:t> </w:t>
      </w:r>
      <w:r>
        <w:rPr>
          <w:color w:val="231F20"/>
          <w:spacing w:val="2"/>
          <w:w w:val="110"/>
          <w:sz w:val="18"/>
        </w:rPr>
        <w:t>described</w:t>
      </w:r>
      <w:r>
        <w:rPr>
          <w:color w:val="231F20"/>
          <w:spacing w:val="7"/>
          <w:w w:val="110"/>
          <w:sz w:val="18"/>
        </w:rPr>
        <w:t> </w:t>
      </w:r>
      <w:r>
        <w:rPr>
          <w:color w:val="231F20"/>
          <w:w w:val="110"/>
          <w:sz w:val="18"/>
        </w:rPr>
        <w:t>in</w:t>
      </w:r>
      <w:r>
        <w:rPr>
          <w:color w:val="231F20"/>
          <w:spacing w:val="8"/>
          <w:w w:val="110"/>
          <w:sz w:val="18"/>
        </w:rPr>
        <w:t> </w:t>
      </w:r>
      <w:r>
        <w:rPr>
          <w:color w:val="231F20"/>
          <w:w w:val="110"/>
          <w:sz w:val="18"/>
        </w:rPr>
        <w:t>this</w:t>
      </w:r>
      <w:r>
        <w:rPr>
          <w:color w:val="231F20"/>
          <w:spacing w:val="7"/>
          <w:w w:val="110"/>
          <w:sz w:val="18"/>
        </w:rPr>
        <w:t> </w:t>
      </w:r>
      <w:r>
        <w:rPr>
          <w:color w:val="231F20"/>
          <w:w w:val="110"/>
          <w:sz w:val="18"/>
        </w:rPr>
        <w:t>Paragraph</w:t>
      </w:r>
    </w:p>
    <w:p>
      <w:pPr>
        <w:pStyle w:val="ListParagraph"/>
        <w:numPr>
          <w:ilvl w:val="1"/>
          <w:numId w:val="143"/>
        </w:numPr>
        <w:tabs>
          <w:tab w:pos="930" w:val="left" w:leader="none"/>
        </w:tabs>
        <w:spacing w:line="273" w:lineRule="auto" w:before="1" w:after="0"/>
        <w:ind w:left="531" w:right="1948" w:firstLine="0"/>
        <w:jc w:val="left"/>
        <w:rPr>
          <w:sz w:val="18"/>
        </w:rPr>
      </w:pPr>
      <w:r>
        <w:rPr>
          <w:color w:val="231F20"/>
          <w:spacing w:val="-5"/>
          <w:w w:val="110"/>
          <w:sz w:val="18"/>
        </w:rPr>
        <w:t>(as </w:t>
      </w:r>
      <w:r>
        <w:rPr>
          <w:color w:val="231F20"/>
          <w:w w:val="110"/>
          <w:sz w:val="18"/>
        </w:rPr>
        <w:t>regards the initial enquiry) and in Paragraph B.8 </w:t>
      </w:r>
      <w:r>
        <w:rPr>
          <w:color w:val="231F20"/>
          <w:spacing w:val="-5"/>
          <w:w w:val="110"/>
          <w:sz w:val="18"/>
        </w:rPr>
        <w:t>(as </w:t>
      </w:r>
      <w:r>
        <w:rPr>
          <w:color w:val="231F20"/>
          <w:w w:val="110"/>
          <w:sz w:val="18"/>
        </w:rPr>
        <w:t>regards its role during the Commission</w:t>
      </w:r>
      <w:r>
        <w:rPr>
          <w:color w:val="231F20"/>
          <w:spacing w:val="1"/>
          <w:w w:val="110"/>
          <w:sz w:val="18"/>
        </w:rPr>
        <w:t> </w:t>
      </w:r>
      <w:r>
        <w:rPr>
          <w:color w:val="231F20"/>
          <w:spacing w:val="-3"/>
          <w:w w:val="110"/>
          <w:sz w:val="18"/>
        </w:rPr>
        <w:t>Stage):</w:t>
      </w:r>
    </w:p>
    <w:p>
      <w:pPr>
        <w:pStyle w:val="BodyText"/>
        <w:spacing w:before="8"/>
        <w:rPr>
          <w:sz w:val="20"/>
        </w:rPr>
      </w:pPr>
    </w:p>
    <w:p>
      <w:pPr>
        <w:pStyle w:val="ListParagraph"/>
        <w:numPr>
          <w:ilvl w:val="2"/>
          <w:numId w:val="143"/>
        </w:numPr>
        <w:tabs>
          <w:tab w:pos="1251" w:val="left" w:leader="none"/>
          <w:tab w:pos="1252" w:val="left" w:leader="none"/>
        </w:tabs>
        <w:spacing w:line="273" w:lineRule="auto" w:before="0" w:after="0"/>
        <w:ind w:left="531" w:right="1693" w:firstLine="0"/>
        <w:jc w:val="left"/>
        <w:rPr>
          <w:sz w:val="18"/>
        </w:rPr>
      </w:pPr>
      <w:r>
        <w:rPr>
          <w:color w:val="231F20"/>
          <w:w w:val="110"/>
          <w:sz w:val="18"/>
        </w:rPr>
        <w:t>The Mandated Group shall </w:t>
      </w:r>
      <w:r>
        <w:rPr>
          <w:color w:val="231F20"/>
          <w:spacing w:val="3"/>
          <w:w w:val="110"/>
          <w:sz w:val="18"/>
        </w:rPr>
        <w:t>carry </w:t>
      </w:r>
      <w:r>
        <w:rPr>
          <w:color w:val="231F20"/>
          <w:w w:val="110"/>
          <w:sz w:val="18"/>
        </w:rPr>
        <w:t>out its own initial enquiry with all due expedition in consultation (where </w:t>
      </w:r>
      <w:r>
        <w:rPr>
          <w:color w:val="231F20"/>
          <w:spacing w:val="2"/>
          <w:w w:val="110"/>
          <w:sz w:val="18"/>
        </w:rPr>
        <w:t>practical </w:t>
      </w:r>
      <w:r>
        <w:rPr>
          <w:color w:val="231F20"/>
          <w:w w:val="110"/>
          <w:sz w:val="18"/>
        </w:rPr>
        <w:t>and appropriate) with the </w:t>
      </w:r>
      <w:r>
        <w:rPr>
          <w:color w:val="231F20"/>
          <w:spacing w:val="2"/>
          <w:w w:val="110"/>
          <w:sz w:val="18"/>
        </w:rPr>
        <w:t>person </w:t>
      </w:r>
      <w:r>
        <w:rPr>
          <w:color w:val="231F20"/>
          <w:w w:val="110"/>
          <w:sz w:val="18"/>
        </w:rPr>
        <w:t>calling in the Mandated Group for the sole purpose of ascertaining whether the Commission Stage should be initiated. Having done so, it must bring its initial enquiry to a conclusion in accordance with Paragraphs </w:t>
      </w:r>
      <w:r>
        <w:rPr>
          <w:color w:val="231F20"/>
          <w:spacing w:val="-7"/>
          <w:w w:val="110"/>
          <w:sz w:val="18"/>
        </w:rPr>
        <w:t>B.7.2 </w:t>
      </w:r>
      <w:r>
        <w:rPr>
          <w:color w:val="231F20"/>
          <w:w w:val="110"/>
          <w:sz w:val="18"/>
        </w:rPr>
        <w:t>and</w:t>
      </w:r>
      <w:r>
        <w:rPr>
          <w:color w:val="231F20"/>
          <w:spacing w:val="11"/>
          <w:w w:val="110"/>
          <w:sz w:val="18"/>
        </w:rPr>
        <w:t> </w:t>
      </w:r>
      <w:r>
        <w:rPr>
          <w:color w:val="231F20"/>
          <w:spacing w:val="-7"/>
          <w:w w:val="110"/>
          <w:sz w:val="18"/>
        </w:rPr>
        <w:t>B.7.3.</w:t>
      </w:r>
    </w:p>
    <w:p>
      <w:pPr>
        <w:pStyle w:val="BodyText"/>
        <w:spacing w:before="10"/>
        <w:rPr>
          <w:sz w:val="20"/>
        </w:rPr>
      </w:pPr>
    </w:p>
    <w:p>
      <w:pPr>
        <w:pStyle w:val="ListParagraph"/>
        <w:numPr>
          <w:ilvl w:val="2"/>
          <w:numId w:val="143"/>
        </w:numPr>
        <w:tabs>
          <w:tab w:pos="1251" w:val="left" w:leader="none"/>
          <w:tab w:pos="1252" w:val="left" w:leader="none"/>
        </w:tabs>
        <w:spacing w:line="273" w:lineRule="auto" w:before="1" w:after="0"/>
        <w:ind w:left="531" w:right="1727" w:firstLine="0"/>
        <w:jc w:val="left"/>
        <w:rPr>
          <w:sz w:val="18"/>
        </w:rPr>
      </w:pPr>
      <w:r>
        <w:rPr>
          <w:color w:val="231F20"/>
          <w:w w:val="110"/>
          <w:sz w:val="18"/>
        </w:rPr>
        <w:t>If the Mandated Group decides as a result of its initial enquiry not to </w:t>
      </w:r>
      <w:r>
        <w:rPr>
          <w:color w:val="231F20"/>
          <w:spacing w:val="2"/>
          <w:w w:val="110"/>
          <w:sz w:val="18"/>
        </w:rPr>
        <w:t>proceed </w:t>
      </w:r>
      <w:r>
        <w:rPr>
          <w:color w:val="231F20"/>
          <w:w w:val="110"/>
          <w:sz w:val="18"/>
        </w:rPr>
        <w:t>any </w:t>
      </w:r>
      <w:r>
        <w:rPr>
          <w:color w:val="231F20"/>
          <w:spacing w:val="2"/>
          <w:w w:val="110"/>
          <w:sz w:val="18"/>
        </w:rPr>
        <w:t>further </w:t>
      </w:r>
      <w:r>
        <w:rPr>
          <w:color w:val="231F20"/>
          <w:w w:val="110"/>
          <w:sz w:val="18"/>
        </w:rPr>
        <w:t>with the matter, it shall </w:t>
      </w:r>
      <w:r>
        <w:rPr>
          <w:color w:val="231F20"/>
          <w:spacing w:val="2"/>
          <w:w w:val="110"/>
          <w:sz w:val="18"/>
        </w:rPr>
        <w:t>serve </w:t>
      </w:r>
      <w:r>
        <w:rPr>
          <w:color w:val="231F20"/>
          <w:w w:val="110"/>
          <w:sz w:val="18"/>
        </w:rPr>
        <w:t>on the Moderator of the Synod or other </w:t>
      </w:r>
      <w:r>
        <w:rPr>
          <w:color w:val="231F20"/>
          <w:spacing w:val="2"/>
          <w:w w:val="110"/>
          <w:sz w:val="18"/>
        </w:rPr>
        <w:t>person </w:t>
      </w:r>
      <w:r>
        <w:rPr>
          <w:color w:val="231F20"/>
          <w:w w:val="110"/>
          <w:sz w:val="18"/>
        </w:rPr>
        <w:t>calling it in a notice to that </w:t>
      </w:r>
      <w:r>
        <w:rPr>
          <w:color w:val="231F20"/>
          <w:spacing w:val="3"/>
          <w:w w:val="110"/>
          <w:sz w:val="18"/>
        </w:rPr>
        <w:t>effect </w:t>
      </w:r>
      <w:r>
        <w:rPr>
          <w:color w:val="231F20"/>
          <w:spacing w:val="-8"/>
          <w:w w:val="110"/>
          <w:sz w:val="18"/>
        </w:rPr>
        <w:t>(a </w:t>
      </w:r>
      <w:r>
        <w:rPr>
          <w:color w:val="231F20"/>
          <w:w w:val="110"/>
          <w:sz w:val="18"/>
        </w:rPr>
        <w:t>Notice of Non-Continuance), which shall have the </w:t>
      </w:r>
      <w:r>
        <w:rPr>
          <w:color w:val="231F20"/>
          <w:spacing w:val="3"/>
          <w:w w:val="110"/>
          <w:sz w:val="18"/>
        </w:rPr>
        <w:t>effect </w:t>
      </w:r>
      <w:r>
        <w:rPr>
          <w:color w:val="231F20"/>
          <w:w w:val="110"/>
          <w:sz w:val="18"/>
        </w:rPr>
        <w:t>of discharging </w:t>
      </w:r>
      <w:r>
        <w:rPr>
          <w:color w:val="231F20"/>
          <w:spacing w:val="2"/>
          <w:w w:val="110"/>
          <w:sz w:val="18"/>
        </w:rPr>
        <w:t>from further </w:t>
      </w:r>
      <w:r>
        <w:rPr>
          <w:color w:val="231F20"/>
          <w:w w:val="110"/>
          <w:sz w:val="18"/>
        </w:rPr>
        <w:t>involvement in that </w:t>
      </w:r>
      <w:r>
        <w:rPr>
          <w:color w:val="231F20"/>
          <w:spacing w:val="2"/>
          <w:w w:val="110"/>
          <w:sz w:val="18"/>
        </w:rPr>
        <w:t>case </w:t>
      </w:r>
      <w:r>
        <w:rPr>
          <w:color w:val="231F20"/>
          <w:w w:val="110"/>
          <w:sz w:val="18"/>
        </w:rPr>
        <w:t>the Mandated Group itself (subject to due compliance by it of Paragraph </w:t>
      </w:r>
      <w:r>
        <w:rPr>
          <w:color w:val="231F20"/>
          <w:spacing w:val="-5"/>
          <w:w w:val="110"/>
          <w:sz w:val="18"/>
        </w:rPr>
        <w:t>H.4) </w:t>
      </w:r>
      <w:r>
        <w:rPr>
          <w:color w:val="231F20"/>
          <w:w w:val="110"/>
          <w:sz w:val="18"/>
        </w:rPr>
        <w:t>and the Council in whose name it conducted the initial</w:t>
      </w:r>
      <w:r>
        <w:rPr>
          <w:color w:val="231F20"/>
          <w:spacing w:val="3"/>
          <w:w w:val="110"/>
          <w:sz w:val="18"/>
        </w:rPr>
        <w:t> </w:t>
      </w:r>
      <w:r>
        <w:rPr>
          <w:color w:val="231F20"/>
          <w:w w:val="110"/>
          <w:sz w:val="18"/>
        </w:rPr>
        <w:t>enquiry.</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43"/>
        </w:numPr>
        <w:tabs>
          <w:tab w:pos="1800" w:val="left" w:leader="none"/>
          <w:tab w:pos="1801" w:val="left" w:leader="none"/>
        </w:tabs>
        <w:spacing w:line="273" w:lineRule="auto" w:before="101" w:after="0"/>
        <w:ind w:left="1080" w:right="1463" w:firstLine="0"/>
        <w:jc w:val="left"/>
        <w:rPr>
          <w:sz w:val="18"/>
        </w:rPr>
      </w:pPr>
      <w:r>
        <w:rPr>
          <w:color w:val="231F20"/>
          <w:w w:val="110"/>
          <w:sz w:val="18"/>
        </w:rPr>
        <w:t>On receipt of a Notice of Non-Continuance the </w:t>
      </w:r>
      <w:r>
        <w:rPr>
          <w:color w:val="231F20"/>
          <w:spacing w:val="2"/>
          <w:w w:val="110"/>
          <w:sz w:val="18"/>
        </w:rPr>
        <w:t>person </w:t>
      </w:r>
      <w:r>
        <w:rPr>
          <w:color w:val="231F20"/>
          <w:w w:val="110"/>
          <w:sz w:val="18"/>
        </w:rPr>
        <w:t>calling in the Mandated Group shall forthwith </w:t>
      </w:r>
      <w:r>
        <w:rPr>
          <w:color w:val="231F20"/>
          <w:spacing w:val="2"/>
          <w:w w:val="110"/>
          <w:sz w:val="18"/>
        </w:rPr>
        <w:t>notify </w:t>
      </w:r>
      <w:r>
        <w:rPr>
          <w:color w:val="231F20"/>
          <w:w w:val="110"/>
          <w:sz w:val="18"/>
        </w:rPr>
        <w:t>the Minister and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that the Mandated Group is not proceeding any </w:t>
      </w:r>
      <w:r>
        <w:rPr>
          <w:color w:val="231F20"/>
          <w:spacing w:val="2"/>
          <w:w w:val="110"/>
          <w:sz w:val="18"/>
        </w:rPr>
        <w:t>further </w:t>
      </w:r>
      <w:r>
        <w:rPr>
          <w:color w:val="231F20"/>
          <w:w w:val="110"/>
          <w:sz w:val="18"/>
        </w:rPr>
        <w:t>and if the </w:t>
      </w:r>
      <w:r>
        <w:rPr>
          <w:color w:val="231F20"/>
          <w:spacing w:val="2"/>
          <w:w w:val="110"/>
          <w:sz w:val="18"/>
        </w:rPr>
        <w:t>person </w:t>
      </w:r>
      <w:r>
        <w:rPr>
          <w:color w:val="231F20"/>
          <w:w w:val="110"/>
          <w:sz w:val="18"/>
        </w:rPr>
        <w:t>calling in the Mandated Group has already suspended the Minister under Paragraph </w:t>
      </w:r>
      <w:r>
        <w:rPr>
          <w:color w:val="231F20"/>
          <w:spacing w:val="-3"/>
          <w:w w:val="110"/>
          <w:sz w:val="18"/>
        </w:rPr>
        <w:t>B.6.2.1, </w:t>
      </w:r>
      <w:r>
        <w:rPr>
          <w:color w:val="231F20"/>
          <w:w w:val="110"/>
          <w:sz w:val="18"/>
        </w:rPr>
        <w:t>s/he must </w:t>
      </w:r>
      <w:r>
        <w:rPr>
          <w:color w:val="231F20"/>
          <w:spacing w:val="2"/>
          <w:w w:val="110"/>
          <w:sz w:val="18"/>
        </w:rPr>
        <w:t>notify </w:t>
      </w:r>
      <w:r>
        <w:rPr>
          <w:color w:val="231F20"/>
          <w:w w:val="110"/>
          <w:sz w:val="18"/>
        </w:rPr>
        <w:t>all the persons, bodies and organisations specified in Paragraph B.6.2.2 that disciplinary proceedings against the Minister and the Minister’s Suspension are terminated with immediate</w:t>
      </w:r>
      <w:r>
        <w:rPr>
          <w:color w:val="231F20"/>
          <w:spacing w:val="4"/>
          <w:w w:val="110"/>
          <w:sz w:val="18"/>
        </w:rPr>
        <w:t> </w:t>
      </w:r>
      <w:r>
        <w:rPr>
          <w:color w:val="231F20"/>
          <w:spacing w:val="3"/>
          <w:w w:val="110"/>
          <w:sz w:val="18"/>
        </w:rPr>
        <w:t>effect.</w:t>
      </w:r>
    </w:p>
    <w:p>
      <w:pPr>
        <w:pStyle w:val="BodyText"/>
        <w:spacing w:before="11"/>
        <w:rPr>
          <w:sz w:val="20"/>
        </w:rPr>
      </w:pPr>
    </w:p>
    <w:p>
      <w:pPr>
        <w:pStyle w:val="ListParagraph"/>
        <w:numPr>
          <w:ilvl w:val="2"/>
          <w:numId w:val="143"/>
        </w:numPr>
        <w:tabs>
          <w:tab w:pos="1800" w:val="left" w:leader="none"/>
          <w:tab w:pos="1801" w:val="left" w:leader="none"/>
        </w:tabs>
        <w:spacing w:line="273" w:lineRule="auto" w:before="0" w:after="0"/>
        <w:ind w:left="1080" w:right="1274" w:firstLine="0"/>
        <w:jc w:val="left"/>
        <w:rPr>
          <w:sz w:val="18"/>
        </w:rPr>
      </w:pPr>
      <w:r>
        <w:rPr>
          <w:color w:val="231F20"/>
          <w:w w:val="110"/>
          <w:sz w:val="18"/>
        </w:rPr>
        <w:t>If on the other hand the Mandated Group decides as a result of its initial enquiry to</w:t>
      </w:r>
      <w:r>
        <w:rPr>
          <w:color w:val="231F20"/>
          <w:spacing w:val="9"/>
          <w:w w:val="110"/>
          <w:sz w:val="18"/>
        </w:rPr>
        <w:t> </w:t>
      </w:r>
      <w:r>
        <w:rPr>
          <w:color w:val="231F20"/>
          <w:w w:val="110"/>
          <w:sz w:val="18"/>
        </w:rPr>
        <w:t>initiate</w:t>
      </w:r>
      <w:r>
        <w:rPr>
          <w:color w:val="231F20"/>
          <w:spacing w:val="9"/>
          <w:w w:val="110"/>
          <w:sz w:val="18"/>
        </w:rPr>
        <w:t> </w:t>
      </w:r>
      <w:r>
        <w:rPr>
          <w:color w:val="231F20"/>
          <w:w w:val="110"/>
          <w:sz w:val="18"/>
        </w:rPr>
        <w:t>the</w:t>
      </w:r>
      <w:r>
        <w:rPr>
          <w:color w:val="231F20"/>
          <w:spacing w:val="9"/>
          <w:w w:val="110"/>
          <w:sz w:val="18"/>
        </w:rPr>
        <w:t> </w:t>
      </w:r>
      <w:r>
        <w:rPr>
          <w:color w:val="231F20"/>
          <w:w w:val="110"/>
          <w:sz w:val="18"/>
        </w:rPr>
        <w:t>Commission</w:t>
      </w:r>
      <w:r>
        <w:rPr>
          <w:color w:val="231F20"/>
          <w:spacing w:val="9"/>
          <w:w w:val="110"/>
          <w:sz w:val="18"/>
        </w:rPr>
        <w:t> </w:t>
      </w:r>
      <w:r>
        <w:rPr>
          <w:color w:val="231F20"/>
          <w:w w:val="110"/>
          <w:sz w:val="18"/>
        </w:rPr>
        <w:t>Stage,</w:t>
      </w:r>
      <w:r>
        <w:rPr>
          <w:color w:val="231F20"/>
          <w:spacing w:val="9"/>
          <w:w w:val="110"/>
          <w:sz w:val="18"/>
        </w:rPr>
        <w:t> </w:t>
      </w:r>
      <w:r>
        <w:rPr>
          <w:color w:val="231F20"/>
          <w:w w:val="110"/>
          <w:sz w:val="18"/>
        </w:rPr>
        <w:t>it</w:t>
      </w:r>
      <w:r>
        <w:rPr>
          <w:color w:val="231F20"/>
          <w:spacing w:val="9"/>
          <w:w w:val="110"/>
          <w:sz w:val="18"/>
        </w:rPr>
        <w:t> </w:t>
      </w:r>
      <w:r>
        <w:rPr>
          <w:color w:val="231F20"/>
          <w:w w:val="110"/>
          <w:sz w:val="18"/>
        </w:rPr>
        <w:t>shall</w:t>
      </w:r>
      <w:r>
        <w:rPr>
          <w:color w:val="231F20"/>
          <w:spacing w:val="9"/>
          <w:w w:val="110"/>
          <w:sz w:val="18"/>
        </w:rPr>
        <w:t> </w:t>
      </w:r>
      <w:r>
        <w:rPr>
          <w:color w:val="231F20"/>
          <w:w w:val="110"/>
          <w:sz w:val="18"/>
        </w:rPr>
        <w:t>follow</w:t>
      </w:r>
      <w:r>
        <w:rPr>
          <w:color w:val="231F20"/>
          <w:spacing w:val="9"/>
          <w:w w:val="110"/>
          <w:sz w:val="18"/>
        </w:rPr>
        <w:t> </w:t>
      </w:r>
      <w:r>
        <w:rPr>
          <w:color w:val="231F20"/>
          <w:w w:val="110"/>
          <w:sz w:val="18"/>
        </w:rPr>
        <w:t>the</w:t>
      </w:r>
      <w:r>
        <w:rPr>
          <w:color w:val="231F20"/>
          <w:spacing w:val="9"/>
          <w:w w:val="110"/>
          <w:sz w:val="18"/>
        </w:rPr>
        <w:t> </w:t>
      </w:r>
      <w:r>
        <w:rPr>
          <w:color w:val="231F20"/>
          <w:w w:val="110"/>
          <w:sz w:val="18"/>
        </w:rPr>
        <w:t>procedure</w:t>
      </w:r>
      <w:r>
        <w:rPr>
          <w:color w:val="231F20"/>
          <w:spacing w:val="9"/>
          <w:w w:val="110"/>
          <w:sz w:val="18"/>
        </w:rPr>
        <w:t> </w:t>
      </w:r>
      <w:r>
        <w:rPr>
          <w:color w:val="231F20"/>
          <w:w w:val="110"/>
          <w:sz w:val="18"/>
        </w:rPr>
        <w:t>laid</w:t>
      </w:r>
      <w:r>
        <w:rPr>
          <w:color w:val="231F20"/>
          <w:spacing w:val="9"/>
          <w:w w:val="110"/>
          <w:sz w:val="18"/>
        </w:rPr>
        <w:t> </w:t>
      </w:r>
      <w:r>
        <w:rPr>
          <w:color w:val="231F20"/>
          <w:w w:val="110"/>
          <w:sz w:val="18"/>
        </w:rPr>
        <w:t>down</w:t>
      </w:r>
      <w:r>
        <w:rPr>
          <w:color w:val="231F20"/>
          <w:spacing w:val="9"/>
          <w:w w:val="110"/>
          <w:sz w:val="18"/>
        </w:rPr>
        <w:t> </w:t>
      </w:r>
      <w:r>
        <w:rPr>
          <w:color w:val="231F20"/>
          <w:w w:val="110"/>
          <w:sz w:val="18"/>
        </w:rPr>
        <w:t>in</w:t>
      </w:r>
      <w:r>
        <w:rPr>
          <w:color w:val="231F20"/>
          <w:spacing w:val="9"/>
          <w:w w:val="110"/>
          <w:sz w:val="18"/>
        </w:rPr>
        <w:t> </w:t>
      </w:r>
      <w:r>
        <w:rPr>
          <w:color w:val="231F20"/>
          <w:w w:val="110"/>
          <w:sz w:val="18"/>
        </w:rPr>
        <w:t>Paragraphs</w:t>
      </w:r>
    </w:p>
    <w:p>
      <w:pPr>
        <w:pStyle w:val="ListParagraph"/>
        <w:numPr>
          <w:ilvl w:val="2"/>
          <w:numId w:val="144"/>
        </w:numPr>
        <w:tabs>
          <w:tab w:pos="1679" w:val="left" w:leader="none"/>
        </w:tabs>
        <w:spacing w:line="240" w:lineRule="auto" w:before="1" w:after="0"/>
        <w:ind w:left="1678" w:right="0" w:hanging="599"/>
        <w:jc w:val="left"/>
        <w:rPr>
          <w:sz w:val="18"/>
        </w:rPr>
      </w:pPr>
      <w:r>
        <w:rPr>
          <w:color w:val="231F20"/>
          <w:w w:val="110"/>
          <w:sz w:val="18"/>
        </w:rPr>
        <w:t>and</w:t>
      </w:r>
      <w:r>
        <w:rPr>
          <w:color w:val="231F20"/>
          <w:spacing w:val="11"/>
          <w:w w:val="110"/>
          <w:sz w:val="18"/>
        </w:rPr>
        <w:t> </w:t>
      </w:r>
      <w:r>
        <w:rPr>
          <w:color w:val="231F20"/>
          <w:w w:val="110"/>
          <w:sz w:val="18"/>
        </w:rPr>
        <w:t>B.8.3</w:t>
      </w:r>
      <w:r>
        <w:rPr>
          <w:color w:val="231F20"/>
          <w:spacing w:val="12"/>
          <w:w w:val="110"/>
          <w:sz w:val="18"/>
        </w:rPr>
        <w:t> </w:t>
      </w:r>
      <w:r>
        <w:rPr>
          <w:color w:val="231F20"/>
          <w:w w:val="110"/>
          <w:sz w:val="18"/>
        </w:rPr>
        <w:t>whereupon</w:t>
      </w:r>
      <w:r>
        <w:rPr>
          <w:color w:val="231F20"/>
          <w:spacing w:val="12"/>
          <w:w w:val="110"/>
          <w:sz w:val="18"/>
        </w:rPr>
        <w:t> </w:t>
      </w:r>
      <w:r>
        <w:rPr>
          <w:color w:val="231F20"/>
          <w:w w:val="110"/>
          <w:sz w:val="18"/>
        </w:rPr>
        <w:t>the</w:t>
      </w:r>
      <w:r>
        <w:rPr>
          <w:color w:val="231F20"/>
          <w:spacing w:val="11"/>
          <w:w w:val="110"/>
          <w:sz w:val="18"/>
        </w:rPr>
        <w:t> </w:t>
      </w:r>
      <w:r>
        <w:rPr>
          <w:color w:val="231F20"/>
          <w:w w:val="110"/>
          <w:sz w:val="18"/>
        </w:rPr>
        <w:t>Commission</w:t>
      </w:r>
      <w:r>
        <w:rPr>
          <w:color w:val="231F20"/>
          <w:spacing w:val="12"/>
          <w:w w:val="110"/>
          <w:sz w:val="18"/>
        </w:rPr>
        <w:t> </w:t>
      </w:r>
      <w:r>
        <w:rPr>
          <w:color w:val="231F20"/>
          <w:w w:val="110"/>
          <w:sz w:val="18"/>
        </w:rPr>
        <w:t>Stage</w:t>
      </w:r>
      <w:r>
        <w:rPr>
          <w:color w:val="231F20"/>
          <w:spacing w:val="12"/>
          <w:w w:val="110"/>
          <w:sz w:val="18"/>
        </w:rPr>
        <w:t> </w:t>
      </w:r>
      <w:r>
        <w:rPr>
          <w:color w:val="231F20"/>
          <w:w w:val="110"/>
          <w:sz w:val="18"/>
        </w:rPr>
        <w:t>will</w:t>
      </w:r>
      <w:r>
        <w:rPr>
          <w:color w:val="231F20"/>
          <w:spacing w:val="11"/>
          <w:w w:val="110"/>
          <w:sz w:val="18"/>
        </w:rPr>
        <w:t> </w:t>
      </w:r>
      <w:r>
        <w:rPr>
          <w:color w:val="231F20"/>
          <w:w w:val="110"/>
          <w:sz w:val="18"/>
        </w:rPr>
        <w:t>be</w:t>
      </w:r>
      <w:r>
        <w:rPr>
          <w:color w:val="231F20"/>
          <w:spacing w:val="12"/>
          <w:w w:val="110"/>
          <w:sz w:val="18"/>
        </w:rPr>
        <w:t> </w:t>
      </w:r>
      <w:r>
        <w:rPr>
          <w:color w:val="231F20"/>
          <w:w w:val="110"/>
          <w:sz w:val="18"/>
        </w:rPr>
        <w:t>initiated.</w:t>
      </w:r>
    </w:p>
    <w:p>
      <w:pPr>
        <w:pStyle w:val="BodyText"/>
        <w:spacing w:before="2"/>
        <w:rPr>
          <w:sz w:val="23"/>
        </w:rPr>
      </w:pPr>
    </w:p>
    <w:p>
      <w:pPr>
        <w:pStyle w:val="ListParagraph"/>
        <w:numPr>
          <w:ilvl w:val="1"/>
          <w:numId w:val="143"/>
        </w:numPr>
        <w:tabs>
          <w:tab w:pos="1800" w:val="left" w:leader="none"/>
          <w:tab w:pos="1801" w:val="left" w:leader="none"/>
        </w:tabs>
        <w:spacing w:line="273" w:lineRule="auto" w:before="0" w:after="0"/>
        <w:ind w:left="1080" w:right="1179" w:firstLine="0"/>
        <w:jc w:val="left"/>
        <w:rPr>
          <w:sz w:val="18"/>
        </w:rPr>
      </w:pPr>
      <w:r>
        <w:rPr>
          <w:color w:val="231F20"/>
          <w:spacing w:val="-3"/>
          <w:w w:val="110"/>
          <w:sz w:val="18"/>
        </w:rPr>
        <w:t>B.8.1</w:t>
      </w:r>
      <w:r>
        <w:rPr>
          <w:color w:val="231F20"/>
          <w:spacing w:val="63"/>
          <w:w w:val="110"/>
          <w:sz w:val="18"/>
        </w:rPr>
        <w:t> </w:t>
      </w:r>
      <w:r>
        <w:rPr>
          <w:color w:val="231F20"/>
          <w:w w:val="110"/>
          <w:sz w:val="18"/>
        </w:rPr>
        <w:t>Whenever the Mandated Group, having as a result of its Initial Enquiry become aware of any information relating to the Minister concerned which might require disciplinary investigation, concludes unanimously or by a majority that this is indeed so,  it shall forthwith in the name of the </w:t>
      </w:r>
      <w:r>
        <w:rPr>
          <w:color w:val="231F20"/>
          <w:spacing w:val="2"/>
          <w:w w:val="110"/>
          <w:sz w:val="18"/>
        </w:rPr>
        <w:t>District </w:t>
      </w:r>
      <w:r>
        <w:rPr>
          <w:color w:val="231F20"/>
          <w:w w:val="110"/>
          <w:sz w:val="18"/>
        </w:rPr>
        <w:t>Council suspend the Minister (unless s/he  has already been suspended under Paragraph B.6.2, in which </w:t>
      </w:r>
      <w:r>
        <w:rPr>
          <w:color w:val="231F20"/>
          <w:spacing w:val="2"/>
          <w:w w:val="110"/>
          <w:sz w:val="18"/>
        </w:rPr>
        <w:t>case </w:t>
      </w:r>
      <w:r>
        <w:rPr>
          <w:color w:val="231F20"/>
          <w:w w:val="110"/>
          <w:sz w:val="18"/>
        </w:rPr>
        <w:t>the Mandated Group shall </w:t>
      </w:r>
      <w:r>
        <w:rPr>
          <w:color w:val="231F20"/>
          <w:spacing w:val="2"/>
          <w:w w:val="110"/>
          <w:sz w:val="18"/>
        </w:rPr>
        <w:t>serve </w:t>
      </w:r>
      <w:r>
        <w:rPr>
          <w:color w:val="231F20"/>
          <w:w w:val="110"/>
          <w:sz w:val="18"/>
        </w:rPr>
        <w:t>on the Minister a notice that his/her Suspension shall continue during the Commission Stage) and initiate the Commission Stage in accordance with</w:t>
      </w:r>
      <w:r>
        <w:rPr>
          <w:color w:val="231F20"/>
          <w:spacing w:val="17"/>
          <w:w w:val="110"/>
          <w:sz w:val="18"/>
        </w:rPr>
        <w:t> </w:t>
      </w:r>
      <w:r>
        <w:rPr>
          <w:color w:val="231F20"/>
          <w:w w:val="110"/>
          <w:sz w:val="18"/>
        </w:rPr>
        <w:t>Paragraph</w:t>
      </w:r>
    </w:p>
    <w:p>
      <w:pPr>
        <w:pStyle w:val="BodyText"/>
        <w:spacing w:line="273" w:lineRule="auto" w:before="4"/>
        <w:ind w:left="1080" w:right="1375"/>
      </w:pPr>
      <w:r>
        <w:rPr>
          <w:color w:val="231F20"/>
          <w:spacing w:val="-5"/>
          <w:w w:val="110"/>
        </w:rPr>
        <w:t>B.10.   </w:t>
      </w:r>
      <w:r>
        <w:rPr>
          <w:color w:val="231F20"/>
          <w:w w:val="110"/>
        </w:rPr>
        <w:t>Suspension under this Paragraph shall take </w:t>
      </w:r>
      <w:r>
        <w:rPr>
          <w:color w:val="231F20"/>
          <w:spacing w:val="3"/>
          <w:w w:val="110"/>
        </w:rPr>
        <w:t>effect </w:t>
      </w:r>
      <w:r>
        <w:rPr>
          <w:color w:val="231F20"/>
          <w:w w:val="110"/>
        </w:rPr>
        <w:t>when the Minister receives Notice thereof </w:t>
      </w:r>
      <w:r>
        <w:rPr>
          <w:color w:val="231F20"/>
          <w:spacing w:val="2"/>
          <w:w w:val="110"/>
        </w:rPr>
        <w:t>from </w:t>
      </w:r>
      <w:r>
        <w:rPr>
          <w:color w:val="231F20"/>
          <w:w w:val="110"/>
        </w:rPr>
        <w:t>the Mandated Group either orally or in writing. Suspension imposed orally shall be immediately confirmed in writing </w:t>
      </w:r>
      <w:r>
        <w:rPr>
          <w:color w:val="231F20"/>
          <w:spacing w:val="-6"/>
          <w:w w:val="110"/>
        </w:rPr>
        <w:t>(as </w:t>
      </w:r>
      <w:r>
        <w:rPr>
          <w:color w:val="231F20"/>
          <w:w w:val="110"/>
        </w:rPr>
        <w:t>to the contents of the written notice  of Suspension, see also Paragraph</w:t>
      </w:r>
      <w:r>
        <w:rPr>
          <w:color w:val="231F20"/>
          <w:spacing w:val="7"/>
          <w:w w:val="110"/>
        </w:rPr>
        <w:t> </w:t>
      </w:r>
      <w:r>
        <w:rPr>
          <w:color w:val="231F20"/>
          <w:spacing w:val="-7"/>
          <w:w w:val="110"/>
        </w:rPr>
        <w:t>B.11).</w:t>
      </w:r>
    </w:p>
    <w:p>
      <w:pPr>
        <w:pStyle w:val="BodyText"/>
        <w:spacing w:before="10"/>
        <w:rPr>
          <w:sz w:val="20"/>
        </w:rPr>
      </w:pPr>
    </w:p>
    <w:p>
      <w:pPr>
        <w:pStyle w:val="ListParagraph"/>
        <w:numPr>
          <w:ilvl w:val="2"/>
          <w:numId w:val="144"/>
        </w:numPr>
        <w:tabs>
          <w:tab w:pos="1801" w:val="left" w:leader="none"/>
        </w:tabs>
        <w:spacing w:line="273" w:lineRule="auto" w:before="0" w:after="0"/>
        <w:ind w:left="1080" w:right="1375" w:firstLine="0"/>
        <w:jc w:val="left"/>
        <w:rPr>
          <w:sz w:val="18"/>
        </w:rPr>
      </w:pPr>
      <w:r>
        <w:rPr>
          <w:color w:val="231F20"/>
          <w:w w:val="110"/>
          <w:sz w:val="18"/>
        </w:rPr>
        <w:t>Suspension, whether imposed under Paragraph </w:t>
      </w:r>
      <w:r>
        <w:rPr>
          <w:color w:val="231F20"/>
          <w:spacing w:val="-3"/>
          <w:w w:val="110"/>
          <w:sz w:val="18"/>
        </w:rPr>
        <w:t>B.6.2.1 </w:t>
      </w:r>
      <w:r>
        <w:rPr>
          <w:color w:val="231F20"/>
          <w:w w:val="110"/>
          <w:sz w:val="18"/>
        </w:rPr>
        <w:t>or  </w:t>
      </w:r>
      <w:r>
        <w:rPr>
          <w:color w:val="231F20"/>
          <w:spacing w:val="-4"/>
          <w:w w:val="110"/>
          <w:sz w:val="18"/>
        </w:rPr>
        <w:t>B.8.1,  </w:t>
      </w:r>
      <w:r>
        <w:rPr>
          <w:color w:val="231F20"/>
          <w:w w:val="110"/>
          <w:sz w:val="18"/>
        </w:rPr>
        <w:t>does  not imply any view about the </w:t>
      </w:r>
      <w:r>
        <w:rPr>
          <w:color w:val="231F20"/>
          <w:spacing w:val="2"/>
          <w:w w:val="110"/>
          <w:sz w:val="18"/>
        </w:rPr>
        <w:t>correctness </w:t>
      </w:r>
      <w:r>
        <w:rPr>
          <w:color w:val="231F20"/>
          <w:w w:val="110"/>
          <w:sz w:val="18"/>
        </w:rPr>
        <w:t>or otherwise of any allegations made concerning the Minister, nor does it </w:t>
      </w:r>
      <w:r>
        <w:rPr>
          <w:color w:val="231F20"/>
          <w:spacing w:val="3"/>
          <w:w w:val="110"/>
          <w:sz w:val="18"/>
        </w:rPr>
        <w:t>affect </w:t>
      </w:r>
      <w:r>
        <w:rPr>
          <w:color w:val="231F20"/>
          <w:w w:val="110"/>
          <w:sz w:val="18"/>
        </w:rPr>
        <w:t>the Minister’s stipend nor the Minister’s pension arrangements under the United Reformed Church Ministers’ Pension</w:t>
      </w:r>
      <w:r>
        <w:rPr>
          <w:color w:val="231F20"/>
          <w:spacing w:val="62"/>
          <w:w w:val="110"/>
          <w:sz w:val="18"/>
        </w:rPr>
        <w:t> </w:t>
      </w:r>
      <w:r>
        <w:rPr>
          <w:color w:val="231F20"/>
          <w:w w:val="110"/>
          <w:sz w:val="18"/>
        </w:rPr>
        <w:t>Scheme.</w:t>
      </w:r>
    </w:p>
    <w:p>
      <w:pPr>
        <w:pStyle w:val="BodyText"/>
        <w:spacing w:before="9"/>
        <w:rPr>
          <w:sz w:val="20"/>
        </w:rPr>
      </w:pPr>
    </w:p>
    <w:p>
      <w:pPr>
        <w:pStyle w:val="ListParagraph"/>
        <w:numPr>
          <w:ilvl w:val="2"/>
          <w:numId w:val="144"/>
        </w:numPr>
        <w:tabs>
          <w:tab w:pos="1801" w:val="left" w:leader="none"/>
        </w:tabs>
        <w:spacing w:line="273" w:lineRule="auto" w:before="0" w:after="0"/>
        <w:ind w:left="1080" w:right="1187" w:firstLine="0"/>
        <w:jc w:val="left"/>
        <w:rPr>
          <w:sz w:val="18"/>
        </w:rPr>
      </w:pPr>
      <w:r>
        <w:rPr>
          <w:color w:val="231F20"/>
          <w:w w:val="110"/>
          <w:sz w:val="18"/>
        </w:rPr>
        <w:t>The Mandated Group shall forthwith, by </w:t>
      </w:r>
      <w:r>
        <w:rPr>
          <w:color w:val="231F20"/>
          <w:spacing w:val="2"/>
          <w:w w:val="110"/>
          <w:sz w:val="18"/>
        </w:rPr>
        <w:t>written </w:t>
      </w:r>
      <w:r>
        <w:rPr>
          <w:color w:val="231F20"/>
          <w:w w:val="110"/>
          <w:sz w:val="18"/>
        </w:rPr>
        <w:t>notice to the </w:t>
      </w:r>
      <w:r>
        <w:rPr>
          <w:color w:val="231F20"/>
          <w:spacing w:val="2"/>
          <w:w w:val="110"/>
          <w:sz w:val="18"/>
        </w:rPr>
        <w:t>person </w:t>
      </w:r>
      <w:r>
        <w:rPr>
          <w:color w:val="231F20"/>
          <w:w w:val="110"/>
          <w:sz w:val="18"/>
        </w:rPr>
        <w:t>who called    it in, advise him/her of the issue of the Referral Notice and the Notice of Suspension,   and that </w:t>
      </w:r>
      <w:r>
        <w:rPr>
          <w:color w:val="231F20"/>
          <w:spacing w:val="2"/>
          <w:w w:val="110"/>
          <w:sz w:val="18"/>
        </w:rPr>
        <w:t>person </w:t>
      </w:r>
      <w:r>
        <w:rPr>
          <w:color w:val="231F20"/>
          <w:w w:val="110"/>
          <w:sz w:val="18"/>
        </w:rPr>
        <w:t>shall in turn forthwith </w:t>
      </w:r>
      <w:r>
        <w:rPr>
          <w:color w:val="231F20"/>
          <w:spacing w:val="-4"/>
          <w:w w:val="110"/>
          <w:sz w:val="18"/>
        </w:rPr>
        <w:t>(i) </w:t>
      </w:r>
      <w:r>
        <w:rPr>
          <w:color w:val="231F20"/>
          <w:w w:val="110"/>
          <w:sz w:val="18"/>
        </w:rPr>
        <w:t>give </w:t>
      </w:r>
      <w:r>
        <w:rPr>
          <w:color w:val="231F20"/>
          <w:spacing w:val="2"/>
          <w:w w:val="110"/>
          <w:sz w:val="18"/>
        </w:rPr>
        <w:t>written </w:t>
      </w:r>
      <w:r>
        <w:rPr>
          <w:color w:val="231F20"/>
          <w:w w:val="110"/>
          <w:sz w:val="18"/>
        </w:rPr>
        <w:t>notice thereof to the Moderator of the Synod (if s/he is not the </w:t>
      </w:r>
      <w:r>
        <w:rPr>
          <w:color w:val="231F20"/>
          <w:spacing w:val="2"/>
          <w:w w:val="110"/>
          <w:sz w:val="18"/>
        </w:rPr>
        <w:t>person </w:t>
      </w:r>
      <w:r>
        <w:rPr>
          <w:color w:val="231F20"/>
          <w:w w:val="110"/>
          <w:sz w:val="18"/>
        </w:rPr>
        <w:t>calling in the Mandated </w:t>
      </w:r>
      <w:r>
        <w:rPr>
          <w:color w:val="231F20"/>
          <w:spacing w:val="-3"/>
          <w:w w:val="110"/>
          <w:sz w:val="18"/>
        </w:rPr>
        <w:t>Group), </w:t>
      </w:r>
      <w:r>
        <w:rPr>
          <w:color w:val="231F20"/>
          <w:w w:val="110"/>
          <w:sz w:val="18"/>
        </w:rPr>
        <w:t>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the General </w:t>
      </w:r>
      <w:r>
        <w:rPr>
          <w:color w:val="231F20"/>
          <w:spacing w:val="3"/>
          <w:w w:val="110"/>
          <w:sz w:val="18"/>
        </w:rPr>
        <w:t>Secretary </w:t>
      </w:r>
      <w:r>
        <w:rPr>
          <w:color w:val="231F20"/>
          <w:w w:val="110"/>
          <w:sz w:val="18"/>
        </w:rPr>
        <w:t>and the </w:t>
      </w:r>
      <w:r>
        <w:rPr>
          <w:color w:val="231F20"/>
          <w:spacing w:val="3"/>
          <w:w w:val="110"/>
          <w:sz w:val="18"/>
        </w:rPr>
        <w:t>Secretary </w:t>
      </w:r>
      <w:r>
        <w:rPr>
          <w:color w:val="231F20"/>
          <w:w w:val="110"/>
          <w:sz w:val="18"/>
        </w:rPr>
        <w:t>for Ministries, and </w:t>
      </w:r>
      <w:r>
        <w:rPr>
          <w:color w:val="231F20"/>
          <w:spacing w:val="-3"/>
          <w:w w:val="110"/>
          <w:sz w:val="18"/>
        </w:rPr>
        <w:t>(ii) </w:t>
      </w:r>
      <w:r>
        <w:rPr>
          <w:color w:val="231F20"/>
          <w:w w:val="110"/>
          <w:sz w:val="18"/>
        </w:rPr>
        <w:t>make a written disclosure of the Minister’s Suspension to the responsible </w:t>
      </w:r>
      <w:r>
        <w:rPr>
          <w:color w:val="231F20"/>
          <w:spacing w:val="2"/>
          <w:w w:val="110"/>
          <w:sz w:val="18"/>
        </w:rPr>
        <w:t>officer </w:t>
      </w:r>
      <w:r>
        <w:rPr>
          <w:color w:val="231F20"/>
          <w:w w:val="110"/>
          <w:sz w:val="18"/>
        </w:rPr>
        <w:t>of any relevant Outside Organisation, unless notice thereof has already been given to that Outside Organisation under Paragraph B.6.2.2.   In order to </w:t>
      </w:r>
      <w:r>
        <w:rPr>
          <w:color w:val="231F20"/>
          <w:spacing w:val="2"/>
          <w:w w:val="110"/>
          <w:sz w:val="18"/>
        </w:rPr>
        <w:t>preserve </w:t>
      </w:r>
      <w:r>
        <w:rPr>
          <w:color w:val="231F20"/>
          <w:w w:val="110"/>
          <w:sz w:val="18"/>
        </w:rPr>
        <w:t>confidentiality any notice   or disclosure given under this Paragraph shall not disclose any reason for the imposition of the Suspension (see also Paragraphs B.8.2 and </w:t>
      </w:r>
      <w:r>
        <w:rPr>
          <w:color w:val="231F20"/>
          <w:spacing w:val="-7"/>
          <w:w w:val="110"/>
          <w:sz w:val="18"/>
        </w:rPr>
        <w:t>B.11). </w:t>
      </w:r>
      <w:r>
        <w:rPr>
          <w:color w:val="231F20"/>
          <w:spacing w:val="-3"/>
          <w:w w:val="110"/>
          <w:sz w:val="18"/>
        </w:rPr>
        <w:t>However, </w:t>
      </w:r>
      <w:r>
        <w:rPr>
          <w:color w:val="231F20"/>
          <w:w w:val="110"/>
          <w:sz w:val="18"/>
        </w:rPr>
        <w:t>any such notice or disclosure</w:t>
      </w:r>
      <w:r>
        <w:rPr>
          <w:color w:val="231F20"/>
          <w:spacing w:val="9"/>
          <w:w w:val="110"/>
          <w:sz w:val="18"/>
        </w:rPr>
        <w:t> </w:t>
      </w:r>
      <w:r>
        <w:rPr>
          <w:color w:val="231F20"/>
          <w:w w:val="110"/>
          <w:sz w:val="18"/>
        </w:rPr>
        <w:t>shall</w:t>
      </w:r>
      <w:r>
        <w:rPr>
          <w:color w:val="231F20"/>
          <w:spacing w:val="10"/>
          <w:w w:val="110"/>
          <w:sz w:val="18"/>
        </w:rPr>
        <w:t> </w:t>
      </w:r>
      <w:r>
        <w:rPr>
          <w:color w:val="231F20"/>
          <w:w w:val="110"/>
          <w:sz w:val="18"/>
        </w:rPr>
        <w:t>contain</w:t>
      </w:r>
      <w:r>
        <w:rPr>
          <w:color w:val="231F20"/>
          <w:spacing w:val="10"/>
          <w:w w:val="110"/>
          <w:sz w:val="18"/>
        </w:rPr>
        <w:t> </w:t>
      </w:r>
      <w:r>
        <w:rPr>
          <w:color w:val="231F20"/>
          <w:w w:val="110"/>
          <w:sz w:val="18"/>
        </w:rPr>
        <w:t>a</w:t>
      </w:r>
      <w:r>
        <w:rPr>
          <w:color w:val="231F20"/>
          <w:spacing w:val="9"/>
          <w:w w:val="110"/>
          <w:sz w:val="18"/>
        </w:rPr>
        <w:t> </w:t>
      </w:r>
      <w:r>
        <w:rPr>
          <w:color w:val="231F20"/>
          <w:w w:val="110"/>
          <w:sz w:val="18"/>
        </w:rPr>
        <w:t>statement</w:t>
      </w:r>
      <w:r>
        <w:rPr>
          <w:color w:val="231F20"/>
          <w:spacing w:val="10"/>
          <w:w w:val="110"/>
          <w:sz w:val="18"/>
        </w:rPr>
        <w:t> </w:t>
      </w:r>
      <w:r>
        <w:rPr>
          <w:color w:val="231F20"/>
          <w:w w:val="110"/>
          <w:sz w:val="18"/>
        </w:rPr>
        <w:t>explaining</w:t>
      </w:r>
      <w:r>
        <w:rPr>
          <w:color w:val="231F20"/>
          <w:spacing w:val="10"/>
          <w:w w:val="110"/>
          <w:sz w:val="18"/>
        </w:rPr>
        <w:t> </w:t>
      </w:r>
      <w:r>
        <w:rPr>
          <w:color w:val="231F20"/>
          <w:w w:val="110"/>
          <w:sz w:val="18"/>
        </w:rPr>
        <w:t>the</w:t>
      </w:r>
      <w:r>
        <w:rPr>
          <w:color w:val="231F20"/>
          <w:spacing w:val="9"/>
          <w:w w:val="110"/>
          <w:sz w:val="18"/>
        </w:rPr>
        <w:t> </w:t>
      </w:r>
      <w:r>
        <w:rPr>
          <w:color w:val="231F20"/>
          <w:spacing w:val="3"/>
          <w:w w:val="110"/>
          <w:sz w:val="18"/>
        </w:rPr>
        <w:t>effect</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Suspension</w:t>
      </w:r>
      <w:r>
        <w:rPr>
          <w:color w:val="231F20"/>
          <w:spacing w:val="10"/>
          <w:w w:val="110"/>
          <w:sz w:val="18"/>
        </w:rPr>
        <w:t> </w:t>
      </w:r>
      <w:r>
        <w:rPr>
          <w:color w:val="231F20"/>
          <w:w w:val="110"/>
          <w:sz w:val="18"/>
        </w:rPr>
        <w:t>as</w:t>
      </w:r>
      <w:r>
        <w:rPr>
          <w:color w:val="231F20"/>
          <w:spacing w:val="9"/>
          <w:w w:val="110"/>
          <w:sz w:val="18"/>
        </w:rPr>
        <w:t> </w:t>
      </w:r>
      <w:r>
        <w:rPr>
          <w:color w:val="231F20"/>
          <w:w w:val="110"/>
          <w:sz w:val="18"/>
        </w:rPr>
        <w:t>outlined</w:t>
      </w:r>
      <w:r>
        <w:rPr>
          <w:color w:val="231F20"/>
          <w:spacing w:val="10"/>
          <w:w w:val="110"/>
          <w:sz w:val="18"/>
        </w:rPr>
        <w:t> </w:t>
      </w:r>
      <w:r>
        <w:rPr>
          <w:color w:val="231F20"/>
          <w:w w:val="110"/>
          <w:sz w:val="18"/>
        </w:rPr>
        <w:t>in</w:t>
      </w:r>
    </w:p>
    <w:p>
      <w:pPr>
        <w:pStyle w:val="BodyText"/>
        <w:spacing w:line="273" w:lineRule="auto" w:before="7"/>
        <w:ind w:left="1080" w:right="1205"/>
      </w:pPr>
      <w:r>
        <w:rPr>
          <w:color w:val="231F20"/>
          <w:w w:val="110"/>
        </w:rPr>
        <w:t>Paragraph 4 of Schedule E to the Basis of Union and shall (if such be the case) state that the Police have been apprised of the matter giving rise to the</w:t>
      </w:r>
      <w:r>
        <w:rPr>
          <w:color w:val="231F20"/>
          <w:spacing w:val="53"/>
          <w:w w:val="110"/>
        </w:rPr>
        <w:t> </w:t>
      </w:r>
      <w:r>
        <w:rPr>
          <w:color w:val="231F20"/>
          <w:w w:val="110"/>
        </w:rPr>
        <w:t>Suspension.</w:t>
      </w:r>
    </w:p>
    <w:p>
      <w:pPr>
        <w:pStyle w:val="BodyText"/>
        <w:spacing w:before="8"/>
        <w:rPr>
          <w:sz w:val="20"/>
        </w:rPr>
      </w:pPr>
    </w:p>
    <w:p>
      <w:pPr>
        <w:pStyle w:val="ListParagraph"/>
        <w:numPr>
          <w:ilvl w:val="2"/>
          <w:numId w:val="144"/>
        </w:numPr>
        <w:tabs>
          <w:tab w:pos="1801" w:val="left" w:leader="none"/>
        </w:tabs>
        <w:spacing w:line="273" w:lineRule="auto" w:before="1" w:after="0"/>
        <w:ind w:left="1080" w:right="1137" w:firstLine="0"/>
        <w:jc w:val="left"/>
        <w:rPr>
          <w:sz w:val="18"/>
        </w:rPr>
      </w:pPr>
      <w:r>
        <w:rPr>
          <w:color w:val="231F20"/>
          <w:w w:val="110"/>
          <w:sz w:val="18"/>
        </w:rPr>
        <w:t>During the Commission Stage it is the responsibility of the Mandated Group to conduct the Investigation in accordance with </w:t>
      </w:r>
      <w:r>
        <w:rPr>
          <w:color w:val="231F20"/>
          <w:spacing w:val="2"/>
          <w:w w:val="110"/>
          <w:sz w:val="18"/>
        </w:rPr>
        <w:t>Section </w:t>
      </w:r>
      <w:r>
        <w:rPr>
          <w:color w:val="231F20"/>
          <w:spacing w:val="-6"/>
          <w:w w:val="110"/>
          <w:sz w:val="18"/>
        </w:rPr>
        <w:t>D, </w:t>
      </w:r>
      <w:r>
        <w:rPr>
          <w:color w:val="231F20"/>
          <w:w w:val="110"/>
          <w:sz w:val="18"/>
        </w:rPr>
        <w:t>to comply with all procedural </w:t>
      </w:r>
      <w:r>
        <w:rPr>
          <w:color w:val="231F20"/>
          <w:spacing w:val="2"/>
          <w:w w:val="110"/>
          <w:sz w:val="18"/>
        </w:rPr>
        <w:t>matters </w:t>
      </w:r>
      <w:r>
        <w:rPr>
          <w:color w:val="231F20"/>
          <w:w w:val="110"/>
          <w:sz w:val="18"/>
        </w:rPr>
        <w:t>under the Rules of Procedure and to present the </w:t>
      </w:r>
      <w:r>
        <w:rPr>
          <w:color w:val="231F20"/>
          <w:spacing w:val="2"/>
          <w:w w:val="110"/>
          <w:sz w:val="18"/>
        </w:rPr>
        <w:t>case </w:t>
      </w:r>
      <w:r>
        <w:rPr>
          <w:color w:val="231F20"/>
          <w:w w:val="110"/>
          <w:sz w:val="18"/>
        </w:rPr>
        <w:t>against the Minister at the Hearing under </w:t>
      </w:r>
      <w:r>
        <w:rPr>
          <w:color w:val="231F20"/>
          <w:spacing w:val="2"/>
          <w:w w:val="110"/>
          <w:sz w:val="18"/>
        </w:rPr>
        <w:t>Section </w:t>
      </w:r>
      <w:r>
        <w:rPr>
          <w:color w:val="231F20"/>
          <w:w w:val="110"/>
          <w:sz w:val="18"/>
        </w:rPr>
        <w:t>E and at the Hearing of any Appeal under </w:t>
      </w:r>
      <w:r>
        <w:rPr>
          <w:color w:val="231F20"/>
          <w:spacing w:val="2"/>
          <w:w w:val="110"/>
          <w:sz w:val="18"/>
        </w:rPr>
        <w:t>Section</w:t>
      </w:r>
      <w:r>
        <w:rPr>
          <w:color w:val="231F20"/>
          <w:spacing w:val="47"/>
          <w:w w:val="110"/>
          <w:sz w:val="18"/>
        </w:rPr>
        <w:t> </w:t>
      </w:r>
      <w:r>
        <w:rPr>
          <w:color w:val="231F20"/>
          <w:w w:val="110"/>
          <w:sz w:val="18"/>
        </w:rPr>
        <w:t>G.</w:t>
      </w:r>
    </w:p>
    <w:p>
      <w:pPr>
        <w:pStyle w:val="BodyText"/>
        <w:spacing w:before="9"/>
        <w:rPr>
          <w:sz w:val="20"/>
        </w:rPr>
      </w:pPr>
    </w:p>
    <w:p>
      <w:pPr>
        <w:pStyle w:val="ListParagraph"/>
        <w:numPr>
          <w:ilvl w:val="1"/>
          <w:numId w:val="143"/>
        </w:numPr>
        <w:tabs>
          <w:tab w:pos="1800" w:val="left" w:leader="none"/>
          <w:tab w:pos="1801" w:val="left" w:leader="none"/>
          <w:tab w:pos="2520" w:val="left" w:leader="none"/>
        </w:tabs>
        <w:spacing w:line="273" w:lineRule="auto" w:before="0" w:after="0"/>
        <w:ind w:left="1081" w:right="1137" w:hanging="1"/>
        <w:jc w:val="left"/>
        <w:rPr>
          <w:sz w:val="18"/>
        </w:rPr>
      </w:pPr>
      <w:r>
        <w:rPr>
          <w:color w:val="231F20"/>
          <w:spacing w:val="-7"/>
          <w:w w:val="110"/>
          <w:sz w:val="18"/>
        </w:rPr>
        <w:t>B.9.1</w:t>
        <w:tab/>
      </w:r>
      <w:r>
        <w:rPr>
          <w:color w:val="231F20"/>
          <w:spacing w:val="-9"/>
          <w:w w:val="110"/>
          <w:sz w:val="18"/>
        </w:rPr>
        <w:t>To </w:t>
      </w:r>
      <w:r>
        <w:rPr>
          <w:color w:val="231F20"/>
          <w:w w:val="110"/>
          <w:sz w:val="18"/>
        </w:rPr>
        <w:t>enable them to </w:t>
      </w:r>
      <w:r>
        <w:rPr>
          <w:color w:val="231F20"/>
          <w:spacing w:val="2"/>
          <w:w w:val="110"/>
          <w:sz w:val="18"/>
        </w:rPr>
        <w:t>carry </w:t>
      </w:r>
      <w:r>
        <w:rPr>
          <w:color w:val="231F20"/>
          <w:w w:val="110"/>
          <w:sz w:val="18"/>
        </w:rPr>
        <w:t>out their respective functions under Paragraphs </w:t>
      </w:r>
      <w:r>
        <w:rPr>
          <w:color w:val="231F20"/>
          <w:spacing w:val="-8"/>
          <w:w w:val="110"/>
          <w:sz w:val="18"/>
        </w:rPr>
        <w:t>2(4)(A)(xiv) </w:t>
      </w:r>
      <w:r>
        <w:rPr>
          <w:color w:val="231F20"/>
          <w:w w:val="110"/>
          <w:sz w:val="18"/>
        </w:rPr>
        <w:t>and </w:t>
      </w:r>
      <w:r>
        <w:rPr>
          <w:color w:val="231F20"/>
          <w:spacing w:val="-6"/>
          <w:w w:val="110"/>
          <w:sz w:val="18"/>
        </w:rPr>
        <w:t>2(5)(A)(xxiii) </w:t>
      </w:r>
      <w:r>
        <w:rPr>
          <w:color w:val="231F20"/>
          <w:w w:val="110"/>
          <w:sz w:val="18"/>
        </w:rPr>
        <w:t>of the Structure, every Synod and the General Assembly shall act solely through a group of three persons (“the Mandated Group”) which shall </w:t>
      </w:r>
      <w:r>
        <w:rPr>
          <w:color w:val="231F20"/>
          <w:spacing w:val="-3"/>
          <w:w w:val="110"/>
          <w:sz w:val="18"/>
        </w:rPr>
        <w:t>have </w:t>
      </w:r>
      <w:r>
        <w:rPr>
          <w:color w:val="231F20"/>
          <w:w w:val="110"/>
          <w:sz w:val="18"/>
        </w:rPr>
        <w:t>mandated authority to act in the name of the Synod or the General Assembly as the case </w:t>
      </w:r>
      <w:r>
        <w:rPr>
          <w:color w:val="231F20"/>
          <w:spacing w:val="-3"/>
          <w:w w:val="110"/>
          <w:sz w:val="18"/>
        </w:rPr>
        <w:t>may </w:t>
      </w:r>
      <w:r>
        <w:rPr>
          <w:color w:val="231F20"/>
          <w:w w:val="110"/>
          <w:sz w:val="18"/>
        </w:rPr>
        <w:t>be in every matter requiring consideration under those respective</w:t>
      </w:r>
      <w:r>
        <w:rPr>
          <w:color w:val="231F20"/>
          <w:spacing w:val="-7"/>
          <w:w w:val="110"/>
          <w:sz w:val="18"/>
        </w:rPr>
        <w:t> </w:t>
      </w:r>
      <w:r>
        <w:rPr>
          <w:color w:val="231F20"/>
          <w:w w:val="110"/>
          <w:sz w:val="18"/>
        </w:rPr>
        <w:t>functions.</w:t>
      </w:r>
    </w:p>
    <w:p>
      <w:pPr>
        <w:pStyle w:val="BodyText"/>
        <w:spacing w:before="10"/>
        <w:rPr>
          <w:sz w:val="20"/>
        </w:rPr>
      </w:pPr>
    </w:p>
    <w:p>
      <w:pPr>
        <w:pStyle w:val="ListParagraph"/>
        <w:numPr>
          <w:ilvl w:val="2"/>
          <w:numId w:val="145"/>
        </w:numPr>
        <w:tabs>
          <w:tab w:pos="1806" w:val="left" w:leader="none"/>
        </w:tabs>
        <w:spacing w:line="273" w:lineRule="auto" w:before="0" w:after="0"/>
        <w:ind w:left="1085" w:right="1400" w:firstLine="0"/>
        <w:jc w:val="both"/>
        <w:rPr>
          <w:sz w:val="18"/>
        </w:rPr>
      </w:pPr>
      <w:r>
        <w:rPr>
          <w:color w:val="231F20"/>
          <w:w w:val="110"/>
          <w:sz w:val="18"/>
        </w:rPr>
        <w:t>In connection with any such steps under Paragraph </w:t>
      </w:r>
      <w:r>
        <w:rPr>
          <w:color w:val="231F20"/>
          <w:spacing w:val="-6"/>
          <w:w w:val="110"/>
          <w:sz w:val="18"/>
        </w:rPr>
        <w:t>B.9.1 </w:t>
      </w:r>
      <w:r>
        <w:rPr>
          <w:color w:val="231F20"/>
          <w:w w:val="110"/>
          <w:sz w:val="18"/>
        </w:rPr>
        <w:t>as are required to be taken by a Synod, if at any time the Moderator of the Synod, in consultation with such </w:t>
      </w:r>
      <w:r>
        <w:rPr>
          <w:color w:val="231F20"/>
          <w:spacing w:val="2"/>
          <w:w w:val="110"/>
          <w:sz w:val="18"/>
        </w:rPr>
        <w:t>officers</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9"/>
          <w:w w:val="110"/>
          <w:sz w:val="18"/>
        </w:rPr>
        <w:t> </w:t>
      </w:r>
      <w:r>
        <w:rPr>
          <w:color w:val="231F20"/>
          <w:w w:val="110"/>
          <w:sz w:val="18"/>
        </w:rPr>
        <w:t>Synod</w:t>
      </w:r>
      <w:r>
        <w:rPr>
          <w:color w:val="231F20"/>
          <w:spacing w:val="8"/>
          <w:w w:val="110"/>
          <w:sz w:val="18"/>
        </w:rPr>
        <w:t> </w:t>
      </w:r>
      <w:r>
        <w:rPr>
          <w:color w:val="231F20"/>
          <w:w w:val="110"/>
          <w:sz w:val="18"/>
        </w:rPr>
        <w:t>as</w:t>
      </w:r>
      <w:r>
        <w:rPr>
          <w:color w:val="231F20"/>
          <w:spacing w:val="9"/>
          <w:w w:val="110"/>
          <w:sz w:val="18"/>
        </w:rPr>
        <w:t> </w:t>
      </w:r>
      <w:r>
        <w:rPr>
          <w:color w:val="231F20"/>
          <w:w w:val="110"/>
          <w:sz w:val="18"/>
        </w:rPr>
        <w:t>s/he</w:t>
      </w:r>
      <w:r>
        <w:rPr>
          <w:color w:val="231F20"/>
          <w:spacing w:val="9"/>
          <w:w w:val="110"/>
          <w:sz w:val="18"/>
        </w:rPr>
        <w:t> </w:t>
      </w:r>
      <w:r>
        <w:rPr>
          <w:color w:val="231F20"/>
          <w:w w:val="110"/>
          <w:sz w:val="18"/>
        </w:rPr>
        <w:t>considers</w:t>
      </w:r>
      <w:r>
        <w:rPr>
          <w:color w:val="231F20"/>
          <w:spacing w:val="8"/>
          <w:w w:val="110"/>
          <w:sz w:val="18"/>
        </w:rPr>
        <w:t> </w:t>
      </w:r>
      <w:r>
        <w:rPr>
          <w:color w:val="231F20"/>
          <w:w w:val="110"/>
          <w:sz w:val="18"/>
        </w:rPr>
        <w:t>appropriate,</w:t>
      </w:r>
      <w:r>
        <w:rPr>
          <w:color w:val="231F20"/>
          <w:spacing w:val="9"/>
          <w:w w:val="110"/>
          <w:sz w:val="18"/>
        </w:rPr>
        <w:t> </w:t>
      </w:r>
      <w:r>
        <w:rPr>
          <w:color w:val="231F20"/>
          <w:w w:val="110"/>
          <w:sz w:val="18"/>
        </w:rPr>
        <w:t>believes</w:t>
      </w:r>
      <w:r>
        <w:rPr>
          <w:color w:val="231F20"/>
          <w:spacing w:val="9"/>
          <w:w w:val="110"/>
          <w:sz w:val="18"/>
        </w:rPr>
        <w:t> </w:t>
      </w:r>
      <w:r>
        <w:rPr>
          <w:color w:val="231F20"/>
          <w:w w:val="110"/>
          <w:sz w:val="18"/>
        </w:rPr>
        <w:t>that</w:t>
      </w:r>
      <w:r>
        <w:rPr>
          <w:color w:val="231F20"/>
          <w:spacing w:val="8"/>
          <w:w w:val="110"/>
          <w:sz w:val="18"/>
        </w:rPr>
        <w:t> </w:t>
      </w:r>
      <w:r>
        <w:rPr>
          <w:color w:val="231F20"/>
          <w:w w:val="110"/>
          <w:sz w:val="18"/>
        </w:rPr>
        <w:t>there</w:t>
      </w:r>
      <w:r>
        <w:rPr>
          <w:color w:val="231F20"/>
          <w:spacing w:val="9"/>
          <w:w w:val="110"/>
          <w:sz w:val="18"/>
        </w:rPr>
        <w:t> </w:t>
      </w:r>
      <w:r>
        <w:rPr>
          <w:color w:val="231F20"/>
          <w:w w:val="110"/>
          <w:sz w:val="18"/>
        </w:rPr>
        <w:t>is</w:t>
      </w:r>
      <w:r>
        <w:rPr>
          <w:color w:val="231F20"/>
          <w:spacing w:val="9"/>
          <w:w w:val="110"/>
          <w:sz w:val="18"/>
        </w:rPr>
        <w:t> </w:t>
      </w:r>
      <w:r>
        <w:rPr>
          <w:color w:val="231F20"/>
          <w:w w:val="110"/>
          <w:sz w:val="18"/>
        </w:rPr>
        <w:t>or</w:t>
      </w:r>
      <w:r>
        <w:rPr>
          <w:color w:val="231F20"/>
          <w:spacing w:val="8"/>
          <w:w w:val="110"/>
          <w:sz w:val="18"/>
        </w:rPr>
        <w:t> </w:t>
      </w:r>
      <w:r>
        <w:rPr>
          <w:color w:val="231F20"/>
          <w:w w:val="110"/>
          <w:sz w:val="18"/>
        </w:rPr>
        <w:t>may</w:t>
      </w:r>
      <w:r>
        <w:rPr>
          <w:color w:val="231F20"/>
          <w:spacing w:val="9"/>
          <w:w w:val="110"/>
          <w:sz w:val="18"/>
        </w:rPr>
        <w:t> </w:t>
      </w:r>
      <w:r>
        <w:rPr>
          <w:color w:val="231F20"/>
          <w:w w:val="110"/>
          <w:sz w:val="18"/>
        </w:rPr>
        <w:t>be</w:t>
      </w:r>
    </w:p>
    <w:p>
      <w:pPr>
        <w:pStyle w:val="BodyText"/>
        <w:spacing w:before="2"/>
        <w:ind w:left="1085"/>
        <w:jc w:val="both"/>
      </w:pPr>
      <w:r>
        <w:rPr>
          <w:color w:val="231F20"/>
          <w:w w:val="110"/>
        </w:rPr>
        <w:t>a disciplinary issue in </w:t>
      </w:r>
      <w:r>
        <w:rPr>
          <w:color w:val="231F20"/>
          <w:spacing w:val="3"/>
          <w:w w:val="110"/>
        </w:rPr>
        <w:t>respect </w:t>
      </w:r>
      <w:r>
        <w:rPr>
          <w:color w:val="231F20"/>
          <w:w w:val="110"/>
        </w:rPr>
        <w:t>of any Minister in membership or under the authority</w:t>
      </w:r>
      <w:r>
        <w:rPr>
          <w:color w:val="231F20"/>
          <w:spacing w:val="63"/>
          <w:w w:val="110"/>
        </w:rPr>
        <w:t> </w:t>
      </w:r>
      <w:r>
        <w:rPr>
          <w:color w:val="231F20"/>
          <w:w w:val="110"/>
        </w:rPr>
        <w:t>of</w:t>
      </w:r>
    </w:p>
    <w:p>
      <w:pPr>
        <w:spacing w:after="0"/>
        <w:jc w:val="both"/>
        <w:sectPr>
          <w:pgSz w:w="11910" w:h="16840"/>
          <w:pgMar w:header="558" w:footer="564" w:top="820" w:bottom="760" w:left="620" w:right="0"/>
        </w:sectPr>
      </w:pPr>
    </w:p>
    <w:p>
      <w:pPr>
        <w:pStyle w:val="BodyText"/>
        <w:spacing w:before="9"/>
        <w:rPr>
          <w:sz w:val="13"/>
        </w:rPr>
      </w:pPr>
    </w:p>
    <w:p>
      <w:pPr>
        <w:pStyle w:val="BodyText"/>
        <w:spacing w:line="273" w:lineRule="auto" w:before="101"/>
        <w:ind w:left="513" w:right="2174"/>
      </w:pPr>
      <w:r>
        <w:rPr>
          <w:color w:val="231F20"/>
          <w:w w:val="110"/>
        </w:rPr>
        <w:t>that Synod, s/he shall forthwith in the name of the Synod appoint two </w:t>
      </w:r>
      <w:r>
        <w:rPr>
          <w:color w:val="231F20"/>
          <w:spacing w:val="2"/>
          <w:w w:val="110"/>
        </w:rPr>
        <w:t>persons from </w:t>
      </w:r>
      <w:r>
        <w:rPr>
          <w:color w:val="231F20"/>
          <w:w w:val="110"/>
        </w:rPr>
        <w:t>the Synod Panel for that Synod and one </w:t>
      </w:r>
      <w:r>
        <w:rPr>
          <w:color w:val="231F20"/>
          <w:spacing w:val="2"/>
          <w:w w:val="110"/>
        </w:rPr>
        <w:t>person from </w:t>
      </w:r>
      <w:r>
        <w:rPr>
          <w:color w:val="231F20"/>
          <w:w w:val="110"/>
        </w:rPr>
        <w:t>the Joint Panel as provided in Paragraphs B.2 and B.3 to constitute the Mandated Group for the particular </w:t>
      </w:r>
      <w:r>
        <w:rPr>
          <w:color w:val="231F20"/>
          <w:spacing w:val="2"/>
          <w:w w:val="110"/>
        </w:rPr>
        <w:t>case </w:t>
      </w:r>
      <w:r>
        <w:rPr>
          <w:color w:val="231F20"/>
          <w:w w:val="110"/>
        </w:rPr>
        <w:t>and  at the same time inform the Minister that this step has been taken and follow the procedure laid down in Paragraphs </w:t>
      </w:r>
      <w:r>
        <w:rPr>
          <w:color w:val="231F20"/>
          <w:spacing w:val="-4"/>
          <w:w w:val="110"/>
        </w:rPr>
        <w:t>B.6.1.2/4. </w:t>
      </w:r>
      <w:r>
        <w:rPr>
          <w:color w:val="231F20"/>
          <w:w w:val="110"/>
        </w:rPr>
        <w:t>The Mandated Group so appointed shall be deemed to be called in and vested with authority in like manner to the Mandated Group of a </w:t>
      </w:r>
      <w:r>
        <w:rPr>
          <w:color w:val="231F20"/>
          <w:spacing w:val="2"/>
          <w:w w:val="110"/>
        </w:rPr>
        <w:t>District </w:t>
      </w:r>
      <w:r>
        <w:rPr>
          <w:color w:val="231F20"/>
          <w:w w:val="110"/>
        </w:rPr>
        <w:t>Council called in under Paragraph</w:t>
      </w:r>
      <w:r>
        <w:rPr>
          <w:color w:val="231F20"/>
          <w:spacing w:val="20"/>
          <w:w w:val="110"/>
        </w:rPr>
        <w:t> </w:t>
      </w:r>
      <w:r>
        <w:rPr>
          <w:color w:val="231F20"/>
          <w:spacing w:val="-4"/>
          <w:w w:val="110"/>
        </w:rPr>
        <w:t>B.6.1.</w:t>
      </w:r>
    </w:p>
    <w:p>
      <w:pPr>
        <w:pStyle w:val="BodyText"/>
        <w:spacing w:before="11"/>
        <w:rPr>
          <w:sz w:val="20"/>
        </w:rPr>
      </w:pPr>
    </w:p>
    <w:p>
      <w:pPr>
        <w:pStyle w:val="ListParagraph"/>
        <w:numPr>
          <w:ilvl w:val="2"/>
          <w:numId w:val="145"/>
        </w:numPr>
        <w:tabs>
          <w:tab w:pos="1234" w:val="left" w:leader="none"/>
        </w:tabs>
        <w:spacing w:line="273" w:lineRule="auto" w:before="0" w:after="0"/>
        <w:ind w:left="513" w:right="1925" w:firstLine="0"/>
        <w:jc w:val="left"/>
        <w:rPr>
          <w:sz w:val="18"/>
        </w:rPr>
      </w:pPr>
      <w:r>
        <w:rPr>
          <w:color w:val="231F20"/>
          <w:w w:val="110"/>
          <w:sz w:val="18"/>
        </w:rPr>
        <w:t>In connection with any steps under Paragraph </w:t>
      </w:r>
      <w:r>
        <w:rPr>
          <w:color w:val="231F20"/>
          <w:spacing w:val="-6"/>
          <w:w w:val="110"/>
          <w:sz w:val="18"/>
        </w:rPr>
        <w:t>B.9.1 </w:t>
      </w:r>
      <w:r>
        <w:rPr>
          <w:color w:val="231F20"/>
          <w:w w:val="110"/>
          <w:sz w:val="18"/>
        </w:rPr>
        <w:t>as are required to be taken by General Assembly </w:t>
      </w:r>
      <w:r>
        <w:rPr>
          <w:color w:val="231F20"/>
          <w:spacing w:val="-5"/>
          <w:w w:val="110"/>
          <w:sz w:val="18"/>
        </w:rPr>
        <w:t>(or </w:t>
      </w:r>
      <w:r>
        <w:rPr>
          <w:color w:val="231F20"/>
          <w:w w:val="110"/>
          <w:sz w:val="18"/>
        </w:rPr>
        <w:t>Mission Council on its behalf), if at any time the Deputy General</w:t>
      </w:r>
      <w:r>
        <w:rPr>
          <w:color w:val="231F20"/>
          <w:spacing w:val="10"/>
          <w:w w:val="110"/>
          <w:sz w:val="18"/>
        </w:rPr>
        <w:t> </w:t>
      </w:r>
      <w:r>
        <w:rPr>
          <w:color w:val="231F20"/>
          <w:w w:val="110"/>
          <w:sz w:val="18"/>
        </w:rPr>
        <w:t>Secretary,</w:t>
      </w:r>
      <w:r>
        <w:rPr>
          <w:color w:val="231F20"/>
          <w:spacing w:val="11"/>
          <w:w w:val="110"/>
          <w:sz w:val="18"/>
        </w:rPr>
        <w:t> </w:t>
      </w:r>
      <w:r>
        <w:rPr>
          <w:color w:val="231F20"/>
          <w:w w:val="110"/>
          <w:sz w:val="18"/>
        </w:rPr>
        <w:t>in</w:t>
      </w:r>
      <w:r>
        <w:rPr>
          <w:color w:val="231F20"/>
          <w:spacing w:val="11"/>
          <w:w w:val="110"/>
          <w:sz w:val="18"/>
        </w:rPr>
        <w:t> </w:t>
      </w:r>
      <w:r>
        <w:rPr>
          <w:color w:val="231F20"/>
          <w:w w:val="110"/>
          <w:sz w:val="18"/>
        </w:rPr>
        <w:t>consultation</w:t>
      </w:r>
      <w:r>
        <w:rPr>
          <w:color w:val="231F20"/>
          <w:spacing w:val="10"/>
          <w:w w:val="110"/>
          <w:sz w:val="18"/>
        </w:rPr>
        <w:t> </w:t>
      </w:r>
      <w:r>
        <w:rPr>
          <w:color w:val="231F20"/>
          <w:w w:val="110"/>
          <w:sz w:val="18"/>
        </w:rPr>
        <w:t>with</w:t>
      </w:r>
      <w:r>
        <w:rPr>
          <w:color w:val="231F20"/>
          <w:spacing w:val="11"/>
          <w:w w:val="110"/>
          <w:sz w:val="18"/>
        </w:rPr>
        <w:t> </w:t>
      </w:r>
      <w:r>
        <w:rPr>
          <w:color w:val="231F20"/>
          <w:w w:val="110"/>
          <w:sz w:val="18"/>
        </w:rPr>
        <w:t>such</w:t>
      </w:r>
      <w:r>
        <w:rPr>
          <w:color w:val="231F20"/>
          <w:spacing w:val="11"/>
          <w:w w:val="110"/>
          <w:sz w:val="18"/>
        </w:rPr>
        <w:t> </w:t>
      </w:r>
      <w:r>
        <w:rPr>
          <w:color w:val="231F20"/>
          <w:w w:val="110"/>
          <w:sz w:val="18"/>
        </w:rPr>
        <w:t>other</w:t>
      </w:r>
      <w:r>
        <w:rPr>
          <w:color w:val="231F20"/>
          <w:spacing w:val="11"/>
          <w:w w:val="110"/>
          <w:sz w:val="18"/>
        </w:rPr>
        <w:t> </w:t>
      </w:r>
      <w:r>
        <w:rPr>
          <w:color w:val="231F20"/>
          <w:spacing w:val="2"/>
          <w:w w:val="110"/>
          <w:sz w:val="18"/>
        </w:rPr>
        <w:t>officers</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General</w:t>
      </w:r>
      <w:r>
        <w:rPr>
          <w:color w:val="231F20"/>
          <w:spacing w:val="11"/>
          <w:w w:val="110"/>
          <w:sz w:val="18"/>
        </w:rPr>
        <w:t> </w:t>
      </w:r>
      <w:r>
        <w:rPr>
          <w:color w:val="231F20"/>
          <w:w w:val="110"/>
          <w:sz w:val="18"/>
        </w:rPr>
        <w:t>Assembly</w:t>
      </w:r>
    </w:p>
    <w:p>
      <w:pPr>
        <w:pStyle w:val="BodyText"/>
        <w:spacing w:line="273" w:lineRule="auto" w:before="2"/>
        <w:ind w:left="513" w:right="2379"/>
      </w:pPr>
      <w:r>
        <w:rPr>
          <w:color w:val="231F20"/>
          <w:w w:val="110"/>
        </w:rPr>
        <w:t>as s/he considers appropriate, believes that there is or may be a disciplinary issue in</w:t>
      </w:r>
      <w:r>
        <w:rPr>
          <w:color w:val="231F20"/>
          <w:spacing w:val="7"/>
          <w:w w:val="110"/>
        </w:rPr>
        <w:t> </w:t>
      </w:r>
      <w:r>
        <w:rPr>
          <w:color w:val="231F20"/>
          <w:spacing w:val="3"/>
          <w:w w:val="110"/>
        </w:rPr>
        <w:t>respect</w:t>
      </w:r>
      <w:r>
        <w:rPr>
          <w:color w:val="231F20"/>
          <w:spacing w:val="8"/>
          <w:w w:val="110"/>
        </w:rPr>
        <w:t> </w:t>
      </w:r>
      <w:r>
        <w:rPr>
          <w:color w:val="231F20"/>
          <w:w w:val="110"/>
        </w:rPr>
        <w:t>of</w:t>
      </w:r>
      <w:r>
        <w:rPr>
          <w:color w:val="231F20"/>
          <w:spacing w:val="7"/>
          <w:w w:val="110"/>
        </w:rPr>
        <w:t> </w:t>
      </w:r>
      <w:r>
        <w:rPr>
          <w:color w:val="231F20"/>
          <w:w w:val="110"/>
        </w:rPr>
        <w:t>any</w:t>
      </w:r>
      <w:r>
        <w:rPr>
          <w:color w:val="231F20"/>
          <w:spacing w:val="8"/>
          <w:w w:val="110"/>
        </w:rPr>
        <w:t> </w:t>
      </w:r>
      <w:r>
        <w:rPr>
          <w:color w:val="231F20"/>
          <w:w w:val="110"/>
        </w:rPr>
        <w:t>Minister</w:t>
      </w:r>
      <w:r>
        <w:rPr>
          <w:color w:val="231F20"/>
          <w:spacing w:val="8"/>
          <w:w w:val="110"/>
        </w:rPr>
        <w:t> </w:t>
      </w:r>
      <w:r>
        <w:rPr>
          <w:color w:val="231F20"/>
          <w:w w:val="110"/>
        </w:rPr>
        <w:t>s/he</w:t>
      </w:r>
      <w:r>
        <w:rPr>
          <w:color w:val="231F20"/>
          <w:spacing w:val="7"/>
          <w:w w:val="110"/>
        </w:rPr>
        <w:t> </w:t>
      </w:r>
      <w:r>
        <w:rPr>
          <w:color w:val="231F20"/>
          <w:w w:val="110"/>
        </w:rPr>
        <w:t>shall</w:t>
      </w:r>
      <w:r>
        <w:rPr>
          <w:color w:val="231F20"/>
          <w:spacing w:val="8"/>
          <w:w w:val="110"/>
        </w:rPr>
        <w:t> </w:t>
      </w:r>
      <w:r>
        <w:rPr>
          <w:color w:val="231F20"/>
          <w:w w:val="110"/>
        </w:rPr>
        <w:t>forthwith</w:t>
      </w:r>
      <w:r>
        <w:rPr>
          <w:color w:val="231F20"/>
          <w:spacing w:val="7"/>
          <w:w w:val="110"/>
        </w:rPr>
        <w:t> </w:t>
      </w:r>
      <w:r>
        <w:rPr>
          <w:color w:val="231F20"/>
          <w:w w:val="110"/>
        </w:rPr>
        <w:t>in</w:t>
      </w:r>
      <w:r>
        <w:rPr>
          <w:color w:val="231F20"/>
          <w:spacing w:val="8"/>
          <w:w w:val="110"/>
        </w:rPr>
        <w:t> </w:t>
      </w:r>
      <w:r>
        <w:rPr>
          <w:color w:val="231F20"/>
          <w:w w:val="110"/>
        </w:rPr>
        <w:t>the</w:t>
      </w:r>
      <w:r>
        <w:rPr>
          <w:color w:val="231F20"/>
          <w:spacing w:val="8"/>
          <w:w w:val="110"/>
        </w:rPr>
        <w:t> </w:t>
      </w:r>
      <w:r>
        <w:rPr>
          <w:color w:val="231F20"/>
          <w:w w:val="110"/>
        </w:rPr>
        <w:t>name</w:t>
      </w:r>
      <w:r>
        <w:rPr>
          <w:color w:val="231F20"/>
          <w:spacing w:val="7"/>
          <w:w w:val="110"/>
        </w:rPr>
        <w:t> </w:t>
      </w:r>
      <w:r>
        <w:rPr>
          <w:color w:val="231F20"/>
          <w:w w:val="110"/>
        </w:rPr>
        <w:t>of</w:t>
      </w:r>
      <w:r>
        <w:rPr>
          <w:color w:val="231F20"/>
          <w:spacing w:val="8"/>
          <w:w w:val="110"/>
        </w:rPr>
        <w:t> </w:t>
      </w:r>
      <w:r>
        <w:rPr>
          <w:color w:val="231F20"/>
          <w:w w:val="110"/>
        </w:rPr>
        <w:t>General</w:t>
      </w:r>
      <w:r>
        <w:rPr>
          <w:color w:val="231F20"/>
          <w:spacing w:val="7"/>
          <w:w w:val="110"/>
        </w:rPr>
        <w:t> </w:t>
      </w:r>
      <w:r>
        <w:rPr>
          <w:color w:val="231F20"/>
          <w:w w:val="110"/>
        </w:rPr>
        <w:t>Assembly</w:t>
      </w:r>
    </w:p>
    <w:p>
      <w:pPr>
        <w:pStyle w:val="BodyText"/>
        <w:spacing w:line="273" w:lineRule="auto" w:before="1"/>
        <w:ind w:left="513" w:right="2040"/>
      </w:pPr>
      <w:r>
        <w:rPr>
          <w:color w:val="231F20"/>
          <w:w w:val="110"/>
        </w:rPr>
        <w:t>appoint three </w:t>
      </w:r>
      <w:r>
        <w:rPr>
          <w:color w:val="231F20"/>
          <w:spacing w:val="2"/>
          <w:w w:val="110"/>
        </w:rPr>
        <w:t>persons </w:t>
      </w:r>
      <w:r>
        <w:rPr>
          <w:color w:val="231F20"/>
          <w:w w:val="110"/>
        </w:rPr>
        <w:t>drawn </w:t>
      </w:r>
      <w:r>
        <w:rPr>
          <w:color w:val="231F20"/>
          <w:spacing w:val="2"/>
          <w:w w:val="110"/>
        </w:rPr>
        <w:t>from </w:t>
      </w:r>
      <w:r>
        <w:rPr>
          <w:color w:val="231F20"/>
          <w:w w:val="110"/>
        </w:rPr>
        <w:t>the Synod Panels and the Joint Panel as provided in Paragraph B.3.3 to constitute the Mandated Group for the particular </w:t>
      </w:r>
      <w:r>
        <w:rPr>
          <w:color w:val="231F20"/>
          <w:spacing w:val="2"/>
          <w:w w:val="110"/>
        </w:rPr>
        <w:t>case </w:t>
      </w:r>
      <w:r>
        <w:rPr>
          <w:color w:val="231F20"/>
          <w:w w:val="110"/>
        </w:rPr>
        <w:t>and at the same time inform the Minister that this step has been taken and follow the procedure laid down in Paragraphs </w:t>
      </w:r>
      <w:r>
        <w:rPr>
          <w:color w:val="231F20"/>
          <w:spacing w:val="-4"/>
          <w:w w:val="110"/>
        </w:rPr>
        <w:t>B.6.1.2/4. </w:t>
      </w:r>
      <w:r>
        <w:rPr>
          <w:color w:val="231F20"/>
          <w:w w:val="110"/>
        </w:rPr>
        <w:t>The Mandated Group so appointed shall be deemed to be called in and vested with authority in like manner to the Mandated Group of a </w:t>
      </w:r>
      <w:r>
        <w:rPr>
          <w:color w:val="231F20"/>
          <w:spacing w:val="2"/>
          <w:w w:val="110"/>
        </w:rPr>
        <w:t>District </w:t>
      </w:r>
      <w:r>
        <w:rPr>
          <w:color w:val="231F20"/>
          <w:w w:val="110"/>
        </w:rPr>
        <w:t>Council called in under Paragraph</w:t>
      </w:r>
      <w:r>
        <w:rPr>
          <w:color w:val="231F20"/>
          <w:spacing w:val="9"/>
          <w:w w:val="110"/>
        </w:rPr>
        <w:t> </w:t>
      </w:r>
      <w:r>
        <w:rPr>
          <w:color w:val="231F20"/>
          <w:spacing w:val="-4"/>
          <w:w w:val="110"/>
        </w:rPr>
        <w:t>B.6.1.</w:t>
      </w:r>
    </w:p>
    <w:p>
      <w:pPr>
        <w:pStyle w:val="BodyText"/>
        <w:spacing w:before="11"/>
        <w:rPr>
          <w:sz w:val="20"/>
        </w:rPr>
      </w:pPr>
    </w:p>
    <w:p>
      <w:pPr>
        <w:pStyle w:val="ListParagraph"/>
        <w:numPr>
          <w:ilvl w:val="2"/>
          <w:numId w:val="145"/>
        </w:numPr>
        <w:tabs>
          <w:tab w:pos="1233" w:val="left" w:leader="none"/>
          <w:tab w:pos="1234" w:val="left" w:leader="none"/>
        </w:tabs>
        <w:spacing w:line="273" w:lineRule="auto" w:before="0" w:after="0"/>
        <w:ind w:left="513" w:right="1719" w:firstLine="0"/>
        <w:jc w:val="left"/>
        <w:rPr>
          <w:sz w:val="18"/>
        </w:rPr>
      </w:pPr>
      <w:r>
        <w:rPr>
          <w:color w:val="231F20"/>
          <w:w w:val="110"/>
          <w:sz w:val="18"/>
        </w:rPr>
        <w:t>The whole of this </w:t>
      </w:r>
      <w:r>
        <w:rPr>
          <w:color w:val="231F20"/>
          <w:spacing w:val="2"/>
          <w:w w:val="110"/>
          <w:sz w:val="18"/>
        </w:rPr>
        <w:t>Section </w:t>
      </w:r>
      <w:r>
        <w:rPr>
          <w:color w:val="231F20"/>
          <w:w w:val="110"/>
          <w:sz w:val="18"/>
        </w:rPr>
        <w:t>B shall apply to </w:t>
      </w:r>
      <w:r>
        <w:rPr>
          <w:color w:val="231F20"/>
          <w:spacing w:val="2"/>
          <w:w w:val="110"/>
          <w:sz w:val="18"/>
        </w:rPr>
        <w:t>cases </w:t>
      </w:r>
      <w:r>
        <w:rPr>
          <w:color w:val="231F20"/>
          <w:w w:val="110"/>
          <w:sz w:val="18"/>
        </w:rPr>
        <w:t>falling within Paragraph </w:t>
      </w:r>
      <w:r>
        <w:rPr>
          <w:color w:val="231F20"/>
          <w:spacing w:val="-4"/>
          <w:w w:val="110"/>
          <w:sz w:val="18"/>
        </w:rPr>
        <w:t>B.9 </w:t>
      </w:r>
      <w:r>
        <w:rPr>
          <w:color w:val="231F20"/>
          <w:w w:val="110"/>
          <w:sz w:val="18"/>
        </w:rPr>
        <w:t>with the </w:t>
      </w:r>
      <w:r>
        <w:rPr>
          <w:color w:val="231F20"/>
          <w:spacing w:val="2"/>
          <w:w w:val="110"/>
          <w:sz w:val="18"/>
        </w:rPr>
        <w:t>necessary </w:t>
      </w:r>
      <w:r>
        <w:rPr>
          <w:color w:val="231F20"/>
          <w:w w:val="110"/>
          <w:sz w:val="18"/>
        </w:rPr>
        <w:t>changes and in particular in Paragraph </w:t>
      </w:r>
      <w:r>
        <w:rPr>
          <w:color w:val="231F20"/>
          <w:spacing w:val="-3"/>
          <w:w w:val="110"/>
          <w:sz w:val="18"/>
        </w:rPr>
        <w:t>B.8.1 </w:t>
      </w:r>
      <w:r>
        <w:rPr>
          <w:color w:val="231F20"/>
          <w:w w:val="110"/>
          <w:sz w:val="18"/>
        </w:rPr>
        <w:t>the </w:t>
      </w:r>
      <w:r>
        <w:rPr>
          <w:color w:val="231F20"/>
          <w:spacing w:val="2"/>
          <w:w w:val="110"/>
          <w:sz w:val="18"/>
        </w:rPr>
        <w:t>reference </w:t>
      </w:r>
      <w:r>
        <w:rPr>
          <w:color w:val="231F20"/>
          <w:w w:val="110"/>
          <w:sz w:val="18"/>
        </w:rPr>
        <w:t>to </w:t>
      </w:r>
      <w:r>
        <w:rPr>
          <w:color w:val="231F20"/>
          <w:spacing w:val="2"/>
          <w:w w:val="110"/>
          <w:sz w:val="18"/>
        </w:rPr>
        <w:t>“the District </w:t>
      </w:r>
      <w:r>
        <w:rPr>
          <w:color w:val="231F20"/>
          <w:w w:val="110"/>
          <w:sz w:val="18"/>
        </w:rPr>
        <w:t>Council” shall be replaced by a </w:t>
      </w:r>
      <w:r>
        <w:rPr>
          <w:color w:val="231F20"/>
          <w:spacing w:val="2"/>
          <w:w w:val="110"/>
          <w:sz w:val="18"/>
        </w:rPr>
        <w:t>reference </w:t>
      </w:r>
      <w:r>
        <w:rPr>
          <w:color w:val="231F20"/>
          <w:w w:val="110"/>
          <w:sz w:val="18"/>
        </w:rPr>
        <w:t>to </w:t>
      </w:r>
      <w:r>
        <w:rPr>
          <w:color w:val="231F20"/>
          <w:spacing w:val="2"/>
          <w:w w:val="110"/>
          <w:sz w:val="18"/>
        </w:rPr>
        <w:t>“the </w:t>
      </w:r>
      <w:r>
        <w:rPr>
          <w:color w:val="231F20"/>
          <w:w w:val="110"/>
          <w:sz w:val="18"/>
        </w:rPr>
        <w:t>Synod” or “General Assembly” as the </w:t>
      </w:r>
      <w:r>
        <w:rPr>
          <w:color w:val="231F20"/>
          <w:spacing w:val="2"/>
          <w:w w:val="110"/>
          <w:sz w:val="18"/>
        </w:rPr>
        <w:t>case </w:t>
      </w:r>
      <w:r>
        <w:rPr>
          <w:color w:val="231F20"/>
          <w:w w:val="110"/>
          <w:sz w:val="18"/>
        </w:rPr>
        <w:t>may</w:t>
      </w:r>
      <w:r>
        <w:rPr>
          <w:color w:val="231F20"/>
          <w:spacing w:val="-1"/>
          <w:w w:val="110"/>
          <w:sz w:val="18"/>
        </w:rPr>
        <w:t> </w:t>
      </w:r>
      <w:r>
        <w:rPr>
          <w:color w:val="231F20"/>
          <w:w w:val="110"/>
          <w:sz w:val="18"/>
        </w:rPr>
        <w:t>be.</w:t>
      </w:r>
    </w:p>
    <w:p>
      <w:pPr>
        <w:pStyle w:val="BodyText"/>
        <w:spacing w:before="9"/>
        <w:rPr>
          <w:sz w:val="20"/>
        </w:rPr>
      </w:pPr>
    </w:p>
    <w:p>
      <w:pPr>
        <w:pStyle w:val="ListParagraph"/>
        <w:numPr>
          <w:ilvl w:val="2"/>
          <w:numId w:val="145"/>
        </w:numPr>
        <w:tabs>
          <w:tab w:pos="1233" w:val="left" w:leader="none"/>
          <w:tab w:pos="1234" w:val="left" w:leader="none"/>
        </w:tabs>
        <w:spacing w:line="273" w:lineRule="auto" w:before="0" w:after="0"/>
        <w:ind w:left="513" w:right="1854" w:firstLine="0"/>
        <w:jc w:val="left"/>
        <w:rPr>
          <w:sz w:val="18"/>
        </w:rPr>
      </w:pPr>
      <w:r>
        <w:rPr>
          <w:color w:val="231F20"/>
          <w:w w:val="110"/>
          <w:sz w:val="18"/>
        </w:rPr>
        <w:t>On any occasion throughout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where notices and </w:t>
      </w:r>
      <w:r>
        <w:rPr>
          <w:color w:val="231F20"/>
          <w:spacing w:val="2"/>
          <w:w w:val="110"/>
          <w:sz w:val="18"/>
        </w:rPr>
        <w:t>papers </w:t>
      </w:r>
      <w:r>
        <w:rPr>
          <w:color w:val="231F20"/>
          <w:spacing w:val="73"/>
          <w:w w:val="110"/>
          <w:sz w:val="18"/>
        </w:rPr>
        <w:t> </w:t>
      </w:r>
      <w:r>
        <w:rPr>
          <w:color w:val="231F20"/>
          <w:w w:val="110"/>
          <w:sz w:val="18"/>
        </w:rPr>
        <w:t>are required to be sent to the Moderator of the Synod, then in a case proceeding under Paragraph </w:t>
      </w:r>
      <w:r>
        <w:rPr>
          <w:color w:val="231F20"/>
          <w:spacing w:val="-4"/>
          <w:w w:val="110"/>
          <w:sz w:val="18"/>
        </w:rPr>
        <w:t>B.9.3 </w:t>
      </w:r>
      <w:r>
        <w:rPr>
          <w:color w:val="231F20"/>
          <w:w w:val="110"/>
          <w:sz w:val="18"/>
        </w:rPr>
        <w:t>they shall also be sent to the Deputy General</w:t>
      </w:r>
      <w:r>
        <w:rPr>
          <w:color w:val="231F20"/>
          <w:spacing w:val="56"/>
          <w:w w:val="110"/>
          <w:sz w:val="18"/>
        </w:rPr>
        <w:t> </w:t>
      </w:r>
      <w:r>
        <w:rPr>
          <w:color w:val="231F20"/>
          <w:w w:val="110"/>
          <w:sz w:val="18"/>
        </w:rPr>
        <w:t>Secretary.</w:t>
      </w:r>
    </w:p>
    <w:p>
      <w:pPr>
        <w:pStyle w:val="BodyText"/>
        <w:spacing w:before="9"/>
        <w:rPr>
          <w:sz w:val="20"/>
        </w:rPr>
      </w:pPr>
    </w:p>
    <w:p>
      <w:pPr>
        <w:pStyle w:val="ListParagraph"/>
        <w:numPr>
          <w:ilvl w:val="1"/>
          <w:numId w:val="143"/>
        </w:numPr>
        <w:tabs>
          <w:tab w:pos="1234" w:val="left" w:leader="none"/>
          <w:tab w:pos="1235" w:val="left" w:leader="none"/>
        </w:tabs>
        <w:spacing w:line="240" w:lineRule="auto" w:before="0" w:after="0"/>
        <w:ind w:left="1234" w:right="0" w:hanging="722"/>
        <w:jc w:val="left"/>
        <w:rPr>
          <w:sz w:val="18"/>
        </w:rPr>
      </w:pPr>
      <w:r>
        <w:rPr>
          <w:color w:val="231F20"/>
          <w:spacing w:val="-8"/>
          <w:w w:val="110"/>
          <w:sz w:val="18"/>
        </w:rPr>
        <w:t>To </w:t>
      </w:r>
      <w:r>
        <w:rPr>
          <w:color w:val="231F20"/>
          <w:w w:val="110"/>
          <w:sz w:val="18"/>
        </w:rPr>
        <w:t>initiate the Commission Stage pursuant to Paragraph </w:t>
      </w:r>
      <w:r>
        <w:rPr>
          <w:color w:val="231F20"/>
          <w:spacing w:val="-4"/>
          <w:w w:val="110"/>
          <w:sz w:val="18"/>
        </w:rPr>
        <w:t>B.8.1, </w:t>
      </w:r>
      <w:r>
        <w:rPr>
          <w:color w:val="231F20"/>
          <w:w w:val="110"/>
          <w:sz w:val="18"/>
        </w:rPr>
        <w:t>the</w:t>
      </w:r>
      <w:r>
        <w:rPr>
          <w:color w:val="231F20"/>
          <w:spacing w:val="47"/>
          <w:w w:val="110"/>
          <w:sz w:val="18"/>
        </w:rPr>
        <w:t> </w:t>
      </w:r>
      <w:r>
        <w:rPr>
          <w:color w:val="231F20"/>
          <w:w w:val="110"/>
          <w:sz w:val="18"/>
        </w:rPr>
        <w:t>Mandated</w:t>
      </w:r>
    </w:p>
    <w:p>
      <w:pPr>
        <w:pStyle w:val="BodyText"/>
        <w:spacing w:before="31"/>
        <w:ind w:left="513"/>
      </w:pPr>
      <w:r>
        <w:rPr>
          <w:color w:val="231F20"/>
          <w:w w:val="110"/>
        </w:rPr>
        <w:t>Group in the name of the Council shall take the following steps:</w:t>
      </w:r>
    </w:p>
    <w:p>
      <w:pPr>
        <w:pStyle w:val="BodyText"/>
        <w:spacing w:before="2"/>
        <w:rPr>
          <w:sz w:val="23"/>
        </w:rPr>
      </w:pPr>
    </w:p>
    <w:p>
      <w:pPr>
        <w:pStyle w:val="ListParagraph"/>
        <w:numPr>
          <w:ilvl w:val="2"/>
          <w:numId w:val="143"/>
        </w:numPr>
        <w:tabs>
          <w:tab w:pos="1235" w:val="left" w:leader="none"/>
        </w:tabs>
        <w:spacing w:line="273" w:lineRule="auto" w:before="0" w:after="0"/>
        <w:ind w:left="513" w:right="1864" w:firstLine="0"/>
        <w:jc w:val="left"/>
        <w:rPr>
          <w:sz w:val="18"/>
        </w:rPr>
      </w:pPr>
      <w:r>
        <w:rPr>
          <w:color w:val="231F20"/>
          <w:spacing w:val="2"/>
          <w:w w:val="110"/>
          <w:sz w:val="18"/>
        </w:rPr>
        <w:t>Serve </w:t>
      </w:r>
      <w:r>
        <w:rPr>
          <w:color w:val="231F20"/>
          <w:w w:val="110"/>
          <w:sz w:val="18"/>
        </w:rPr>
        <w:t>on the </w:t>
      </w:r>
      <w:r>
        <w:rPr>
          <w:color w:val="231F20"/>
          <w:spacing w:val="3"/>
          <w:w w:val="110"/>
          <w:sz w:val="18"/>
        </w:rPr>
        <w:t>Secretary </w:t>
      </w:r>
      <w:r>
        <w:rPr>
          <w:color w:val="231F20"/>
          <w:w w:val="110"/>
          <w:sz w:val="18"/>
        </w:rPr>
        <w:t>of the Assembly Commission a duly completed Referral Notice which should clearly state the reasons why the Mandated Group believes that a breach of ministerial discipline has or may have </w:t>
      </w:r>
      <w:r>
        <w:rPr>
          <w:color w:val="231F20"/>
          <w:spacing w:val="2"/>
          <w:w w:val="110"/>
          <w:sz w:val="18"/>
        </w:rPr>
        <w:t>occurred </w:t>
      </w:r>
      <w:r>
        <w:rPr>
          <w:color w:val="231F20"/>
          <w:w w:val="110"/>
          <w:sz w:val="18"/>
        </w:rPr>
        <w:t>and which should also include where possible a summary of the supporting information on the basis of which the Mandated Group has issued the Referral Notice and which must disclose the name and address of any Outside Organisation notified of the Minister’s Suspension under either Paragraph B.6.2.2 or Paragraph</w:t>
      </w:r>
      <w:r>
        <w:rPr>
          <w:color w:val="231F20"/>
          <w:spacing w:val="4"/>
          <w:w w:val="110"/>
          <w:sz w:val="18"/>
        </w:rPr>
        <w:t> </w:t>
      </w:r>
      <w:r>
        <w:rPr>
          <w:color w:val="231F20"/>
          <w:w w:val="110"/>
          <w:sz w:val="18"/>
        </w:rPr>
        <w:t>B.8.3.</w:t>
      </w:r>
    </w:p>
    <w:p>
      <w:pPr>
        <w:pStyle w:val="BodyText"/>
        <w:spacing w:before="11"/>
        <w:rPr>
          <w:sz w:val="20"/>
        </w:rPr>
      </w:pPr>
    </w:p>
    <w:p>
      <w:pPr>
        <w:pStyle w:val="ListParagraph"/>
        <w:numPr>
          <w:ilvl w:val="2"/>
          <w:numId w:val="143"/>
        </w:numPr>
        <w:tabs>
          <w:tab w:pos="1234" w:val="left" w:leader="none"/>
        </w:tabs>
        <w:spacing w:line="240" w:lineRule="auto" w:before="1" w:after="0"/>
        <w:ind w:left="1233" w:right="0" w:hanging="721"/>
        <w:jc w:val="left"/>
        <w:rPr>
          <w:sz w:val="18"/>
        </w:rPr>
      </w:pPr>
      <w:r>
        <w:rPr>
          <w:color w:val="231F20"/>
          <w:spacing w:val="2"/>
          <w:w w:val="110"/>
          <w:sz w:val="18"/>
        </w:rPr>
        <w:t>Serve </w:t>
      </w:r>
      <w:r>
        <w:rPr>
          <w:color w:val="231F20"/>
          <w:w w:val="110"/>
          <w:sz w:val="18"/>
        </w:rPr>
        <w:t>on the Minister notice of the issue of the Referral Notice and of</w:t>
      </w:r>
      <w:r>
        <w:rPr>
          <w:color w:val="231F20"/>
          <w:spacing w:val="45"/>
          <w:w w:val="110"/>
          <w:sz w:val="18"/>
        </w:rPr>
        <w:t> </w:t>
      </w:r>
      <w:r>
        <w:rPr>
          <w:color w:val="231F20"/>
          <w:w w:val="110"/>
          <w:sz w:val="18"/>
        </w:rPr>
        <w:t>his/her</w:t>
      </w:r>
    </w:p>
    <w:p>
      <w:pPr>
        <w:pStyle w:val="BodyText"/>
        <w:spacing w:before="31"/>
        <w:ind w:left="513"/>
      </w:pPr>
      <w:r>
        <w:rPr>
          <w:color w:val="231F20"/>
          <w:w w:val="110"/>
        </w:rPr>
        <w:t>Suspension (or of the continuance of his/her Suspension if Paragraph B.6.2 applies).</w:t>
      </w:r>
    </w:p>
    <w:p>
      <w:pPr>
        <w:pStyle w:val="BodyText"/>
        <w:spacing w:before="1"/>
        <w:rPr>
          <w:sz w:val="23"/>
        </w:rPr>
      </w:pPr>
    </w:p>
    <w:p>
      <w:pPr>
        <w:pStyle w:val="ListParagraph"/>
        <w:numPr>
          <w:ilvl w:val="1"/>
          <w:numId w:val="143"/>
        </w:numPr>
        <w:tabs>
          <w:tab w:pos="1233" w:val="left" w:leader="none"/>
          <w:tab w:pos="1234" w:val="left" w:leader="none"/>
        </w:tabs>
        <w:spacing w:line="273" w:lineRule="auto" w:before="1" w:after="0"/>
        <w:ind w:left="513" w:right="2034" w:firstLine="0"/>
        <w:jc w:val="left"/>
        <w:rPr>
          <w:sz w:val="18"/>
        </w:rPr>
      </w:pPr>
      <w:r>
        <w:rPr>
          <w:color w:val="231F20"/>
          <w:w w:val="110"/>
          <w:sz w:val="18"/>
        </w:rPr>
        <w:t>The Notice of Suspension, whether issued under Paragraph B.6.2 or Paragraph </w:t>
      </w:r>
      <w:r>
        <w:rPr>
          <w:color w:val="231F20"/>
          <w:spacing w:val="-4"/>
          <w:w w:val="110"/>
          <w:sz w:val="18"/>
        </w:rPr>
        <w:t>B.8.1,  </w:t>
      </w:r>
      <w:r>
        <w:rPr>
          <w:color w:val="231F20"/>
          <w:w w:val="110"/>
          <w:sz w:val="18"/>
        </w:rPr>
        <w:t>shall inform the Minister that, in accordance with these Rules of Procedure,   any conduct on his/her </w:t>
      </w:r>
      <w:r>
        <w:rPr>
          <w:color w:val="231F20"/>
          <w:spacing w:val="2"/>
          <w:w w:val="110"/>
          <w:sz w:val="18"/>
        </w:rPr>
        <w:t>part </w:t>
      </w:r>
      <w:r>
        <w:rPr>
          <w:color w:val="231F20"/>
          <w:w w:val="110"/>
          <w:sz w:val="18"/>
        </w:rPr>
        <w:t>during such Suspension which breaches or contravenes Paragraph</w:t>
      </w:r>
      <w:r>
        <w:rPr>
          <w:color w:val="231F20"/>
          <w:spacing w:val="5"/>
          <w:w w:val="110"/>
          <w:sz w:val="18"/>
        </w:rPr>
        <w:t> </w:t>
      </w:r>
      <w:r>
        <w:rPr>
          <w:color w:val="231F20"/>
          <w:w w:val="110"/>
          <w:sz w:val="18"/>
        </w:rPr>
        <w:t>4</w:t>
      </w:r>
      <w:r>
        <w:rPr>
          <w:color w:val="231F20"/>
          <w:spacing w:val="6"/>
          <w:w w:val="110"/>
          <w:sz w:val="18"/>
        </w:rPr>
        <w:t> </w:t>
      </w:r>
      <w:r>
        <w:rPr>
          <w:color w:val="231F20"/>
          <w:w w:val="110"/>
          <w:sz w:val="18"/>
        </w:rPr>
        <w:t>of</w:t>
      </w:r>
      <w:r>
        <w:rPr>
          <w:color w:val="231F20"/>
          <w:spacing w:val="6"/>
          <w:w w:val="110"/>
          <w:sz w:val="18"/>
        </w:rPr>
        <w:t> </w:t>
      </w:r>
      <w:r>
        <w:rPr>
          <w:color w:val="231F20"/>
          <w:w w:val="110"/>
          <w:sz w:val="18"/>
        </w:rPr>
        <w:t>Schedule</w:t>
      </w:r>
      <w:r>
        <w:rPr>
          <w:color w:val="231F20"/>
          <w:spacing w:val="6"/>
          <w:w w:val="110"/>
          <w:sz w:val="18"/>
        </w:rPr>
        <w:t> </w:t>
      </w:r>
      <w:r>
        <w:rPr>
          <w:color w:val="231F20"/>
          <w:w w:val="110"/>
          <w:sz w:val="18"/>
        </w:rPr>
        <w:t>E</w:t>
      </w:r>
      <w:r>
        <w:rPr>
          <w:color w:val="231F20"/>
          <w:spacing w:val="6"/>
          <w:w w:val="110"/>
          <w:sz w:val="18"/>
        </w:rPr>
        <w:t> </w:t>
      </w:r>
      <w:r>
        <w:rPr>
          <w:color w:val="231F20"/>
          <w:w w:val="110"/>
          <w:sz w:val="18"/>
        </w:rPr>
        <w:t>to</w:t>
      </w:r>
      <w:r>
        <w:rPr>
          <w:color w:val="231F20"/>
          <w:spacing w:val="5"/>
          <w:w w:val="110"/>
          <w:sz w:val="18"/>
        </w:rPr>
        <w:t> </w:t>
      </w:r>
      <w:r>
        <w:rPr>
          <w:color w:val="231F20"/>
          <w:w w:val="110"/>
          <w:sz w:val="18"/>
        </w:rPr>
        <w:t>the</w:t>
      </w:r>
      <w:r>
        <w:rPr>
          <w:color w:val="231F20"/>
          <w:spacing w:val="6"/>
          <w:w w:val="110"/>
          <w:sz w:val="18"/>
        </w:rPr>
        <w:t> </w:t>
      </w:r>
      <w:r>
        <w:rPr>
          <w:color w:val="231F20"/>
          <w:w w:val="110"/>
          <w:sz w:val="18"/>
        </w:rPr>
        <w:t>Basis</w:t>
      </w:r>
      <w:r>
        <w:rPr>
          <w:color w:val="231F20"/>
          <w:spacing w:val="6"/>
          <w:w w:val="110"/>
          <w:sz w:val="18"/>
        </w:rPr>
        <w:t> </w:t>
      </w:r>
      <w:r>
        <w:rPr>
          <w:color w:val="231F20"/>
          <w:w w:val="110"/>
          <w:sz w:val="18"/>
        </w:rPr>
        <w:t>of</w:t>
      </w:r>
      <w:r>
        <w:rPr>
          <w:color w:val="231F20"/>
          <w:spacing w:val="6"/>
          <w:w w:val="110"/>
          <w:sz w:val="18"/>
        </w:rPr>
        <w:t> </w:t>
      </w:r>
      <w:r>
        <w:rPr>
          <w:color w:val="231F20"/>
          <w:w w:val="110"/>
          <w:sz w:val="18"/>
        </w:rPr>
        <w:t>Union</w:t>
      </w:r>
      <w:r>
        <w:rPr>
          <w:color w:val="231F20"/>
          <w:spacing w:val="6"/>
          <w:w w:val="110"/>
          <w:sz w:val="18"/>
        </w:rPr>
        <w:t> </w:t>
      </w:r>
      <w:r>
        <w:rPr>
          <w:color w:val="231F20"/>
          <w:w w:val="110"/>
          <w:sz w:val="18"/>
        </w:rPr>
        <w:t>may</w:t>
      </w:r>
      <w:r>
        <w:rPr>
          <w:color w:val="231F20"/>
          <w:spacing w:val="5"/>
          <w:w w:val="110"/>
          <w:sz w:val="18"/>
        </w:rPr>
        <w:t> </w:t>
      </w:r>
      <w:r>
        <w:rPr>
          <w:color w:val="231F20"/>
          <w:w w:val="110"/>
          <w:sz w:val="18"/>
        </w:rPr>
        <w:t>be</w:t>
      </w:r>
      <w:r>
        <w:rPr>
          <w:color w:val="231F20"/>
          <w:spacing w:val="6"/>
          <w:w w:val="110"/>
          <w:sz w:val="18"/>
        </w:rPr>
        <w:t> </w:t>
      </w:r>
      <w:r>
        <w:rPr>
          <w:color w:val="231F20"/>
          <w:w w:val="110"/>
          <w:sz w:val="18"/>
        </w:rPr>
        <w:t>taken</w:t>
      </w:r>
      <w:r>
        <w:rPr>
          <w:color w:val="231F20"/>
          <w:spacing w:val="6"/>
          <w:w w:val="110"/>
          <w:sz w:val="18"/>
        </w:rPr>
        <w:t> </w:t>
      </w:r>
      <w:r>
        <w:rPr>
          <w:color w:val="231F20"/>
          <w:w w:val="110"/>
          <w:sz w:val="18"/>
        </w:rPr>
        <w:t>into</w:t>
      </w:r>
      <w:r>
        <w:rPr>
          <w:color w:val="231F20"/>
          <w:spacing w:val="6"/>
          <w:w w:val="110"/>
          <w:sz w:val="18"/>
        </w:rPr>
        <w:t> </w:t>
      </w:r>
      <w:r>
        <w:rPr>
          <w:color w:val="231F20"/>
          <w:w w:val="110"/>
          <w:sz w:val="18"/>
        </w:rPr>
        <w:t>account</w:t>
      </w:r>
      <w:r>
        <w:rPr>
          <w:color w:val="231F20"/>
          <w:spacing w:val="6"/>
          <w:w w:val="110"/>
          <w:sz w:val="18"/>
        </w:rPr>
        <w:t> </w:t>
      </w:r>
      <w:r>
        <w:rPr>
          <w:color w:val="231F20"/>
          <w:w w:val="110"/>
          <w:sz w:val="18"/>
        </w:rPr>
        <w:t>by</w:t>
      </w:r>
      <w:r>
        <w:rPr>
          <w:color w:val="231F20"/>
          <w:spacing w:val="5"/>
          <w:w w:val="110"/>
          <w:sz w:val="18"/>
        </w:rPr>
        <w:t> </w:t>
      </w:r>
      <w:r>
        <w:rPr>
          <w:color w:val="231F20"/>
          <w:w w:val="110"/>
          <w:sz w:val="18"/>
        </w:rPr>
        <w:t>the</w:t>
      </w:r>
    </w:p>
    <w:p>
      <w:pPr>
        <w:pStyle w:val="BodyText"/>
        <w:spacing w:line="273" w:lineRule="auto" w:before="2"/>
        <w:ind w:left="513" w:right="1844"/>
      </w:pPr>
      <w:r>
        <w:rPr>
          <w:color w:val="231F20"/>
          <w:w w:val="110"/>
        </w:rPr>
        <w:t>Assembly Commission or, in the event of an appeal, the Appeals Commission in reaching its decision under Section F or Section G as the case may be.</w:t>
      </w:r>
    </w:p>
    <w:p>
      <w:pPr>
        <w:pStyle w:val="BodyText"/>
        <w:spacing w:before="8"/>
        <w:rPr>
          <w:sz w:val="20"/>
        </w:rPr>
      </w:pPr>
    </w:p>
    <w:p>
      <w:pPr>
        <w:pStyle w:val="ListParagraph"/>
        <w:numPr>
          <w:ilvl w:val="1"/>
          <w:numId w:val="143"/>
        </w:numPr>
        <w:tabs>
          <w:tab w:pos="1233" w:val="left" w:leader="none"/>
          <w:tab w:pos="1234" w:val="left" w:leader="none"/>
        </w:tabs>
        <w:spacing w:line="273" w:lineRule="auto" w:before="0" w:after="0"/>
        <w:ind w:left="513" w:right="1883" w:firstLine="0"/>
        <w:jc w:val="left"/>
        <w:rPr>
          <w:sz w:val="18"/>
        </w:rPr>
      </w:pPr>
      <w:r>
        <w:rPr>
          <w:color w:val="231F20"/>
          <w:w w:val="110"/>
          <w:sz w:val="18"/>
        </w:rPr>
        <w:t>Once a Referral Notice has been issued by a Mandated Group in any case, no </w:t>
      </w:r>
      <w:r>
        <w:rPr>
          <w:color w:val="231F20"/>
          <w:spacing w:val="2"/>
          <w:w w:val="110"/>
          <w:sz w:val="18"/>
        </w:rPr>
        <w:t>further </w:t>
      </w:r>
      <w:r>
        <w:rPr>
          <w:color w:val="231F20"/>
          <w:w w:val="110"/>
          <w:sz w:val="18"/>
        </w:rPr>
        <w:t>Referral Notice shall in any </w:t>
      </w:r>
      <w:r>
        <w:rPr>
          <w:color w:val="231F20"/>
          <w:spacing w:val="2"/>
          <w:w w:val="110"/>
          <w:sz w:val="18"/>
        </w:rPr>
        <w:t>circumstances </w:t>
      </w:r>
      <w:r>
        <w:rPr>
          <w:color w:val="231F20"/>
          <w:w w:val="110"/>
          <w:sz w:val="18"/>
        </w:rPr>
        <w:t>be issued in </w:t>
      </w:r>
      <w:r>
        <w:rPr>
          <w:color w:val="231F20"/>
          <w:spacing w:val="3"/>
          <w:w w:val="110"/>
          <w:sz w:val="18"/>
        </w:rPr>
        <w:t>respect </w:t>
      </w:r>
      <w:r>
        <w:rPr>
          <w:color w:val="231F20"/>
          <w:w w:val="110"/>
          <w:sz w:val="18"/>
        </w:rPr>
        <w:t>of the subject matter of that referral, save only where the Minister has been the subject of an earlier disciplinary </w:t>
      </w:r>
      <w:r>
        <w:rPr>
          <w:color w:val="231F20"/>
          <w:spacing w:val="2"/>
          <w:w w:val="110"/>
          <w:sz w:val="18"/>
        </w:rPr>
        <w:t>case </w:t>
      </w:r>
      <w:r>
        <w:rPr>
          <w:color w:val="231F20"/>
          <w:w w:val="110"/>
          <w:sz w:val="18"/>
        </w:rPr>
        <w:t>in which the Assembly Commission or the Appeals Commission issued  a </w:t>
      </w:r>
      <w:r>
        <w:rPr>
          <w:color w:val="231F20"/>
          <w:spacing w:val="2"/>
          <w:w w:val="110"/>
          <w:sz w:val="18"/>
        </w:rPr>
        <w:t>written </w:t>
      </w:r>
      <w:r>
        <w:rPr>
          <w:color w:val="231F20"/>
          <w:w w:val="110"/>
          <w:sz w:val="18"/>
        </w:rPr>
        <w:t>warning under the provisions of Paragraph </w:t>
      </w:r>
      <w:r>
        <w:rPr>
          <w:color w:val="231F20"/>
          <w:spacing w:val="-5"/>
          <w:w w:val="110"/>
          <w:sz w:val="18"/>
        </w:rPr>
        <w:t>F.2.2 </w:t>
      </w:r>
      <w:r>
        <w:rPr>
          <w:color w:val="231F20"/>
          <w:w w:val="110"/>
          <w:sz w:val="18"/>
        </w:rPr>
        <w:t>or Paragraph</w:t>
      </w:r>
      <w:r>
        <w:rPr>
          <w:color w:val="231F20"/>
          <w:spacing w:val="64"/>
          <w:w w:val="110"/>
          <w:sz w:val="18"/>
        </w:rPr>
        <w:t> </w:t>
      </w:r>
      <w:r>
        <w:rPr>
          <w:color w:val="231F20"/>
          <w:spacing w:val="-4"/>
          <w:w w:val="110"/>
          <w:sz w:val="18"/>
        </w:rPr>
        <w:t>G.11.3.</w:t>
      </w:r>
    </w:p>
    <w:p>
      <w:pPr>
        <w:spacing w:after="0" w:line="273" w:lineRule="auto"/>
        <w:jc w:val="left"/>
        <w:rPr>
          <w:sz w:val="18"/>
        </w:rPr>
        <w:sectPr>
          <w:pgSz w:w="11910" w:h="16840"/>
          <w:pgMar w:header="558" w:footer="564" w:top="820" w:bottom="760" w:left="620" w:right="0"/>
        </w:sectPr>
      </w:pPr>
    </w:p>
    <w:p>
      <w:pPr>
        <w:pStyle w:val="BodyText"/>
        <w:spacing w:before="7"/>
        <w:rPr>
          <w:sz w:val="13"/>
        </w:rPr>
      </w:pPr>
    </w:p>
    <w:p>
      <w:pPr>
        <w:numPr>
          <w:ilvl w:val="1"/>
          <w:numId w:val="122"/>
        </w:numPr>
        <w:tabs>
          <w:tab w:pos="1800" w:val="left" w:leader="none"/>
          <w:tab w:pos="1801" w:val="left" w:leader="none"/>
        </w:tabs>
        <w:spacing w:line="247" w:lineRule="auto" w:before="98"/>
        <w:ind w:left="1800" w:right="3998" w:hanging="721"/>
        <w:jc w:val="left"/>
        <w:rPr>
          <w:b/>
          <w:sz w:val="20"/>
        </w:rPr>
      </w:pPr>
      <w:r>
        <w:rPr>
          <w:b/>
          <w:color w:val="231F20"/>
          <w:spacing w:val="2"/>
          <w:w w:val="110"/>
          <w:sz w:val="20"/>
        </w:rPr>
        <w:t>REFERENCE </w:t>
      </w:r>
      <w:r>
        <w:rPr>
          <w:b/>
          <w:color w:val="231F20"/>
          <w:w w:val="110"/>
          <w:sz w:val="20"/>
        </w:rPr>
        <w:t>TO AND CONSTITUTION OF THE ASSEMBLY</w:t>
      </w:r>
      <w:r>
        <w:rPr>
          <w:b/>
          <w:color w:val="231F20"/>
          <w:spacing w:val="-1"/>
          <w:w w:val="110"/>
          <w:sz w:val="20"/>
        </w:rPr>
        <w:t> </w:t>
      </w:r>
      <w:r>
        <w:rPr>
          <w:b/>
          <w:color w:val="231F20"/>
          <w:w w:val="110"/>
          <w:sz w:val="20"/>
        </w:rPr>
        <w:t>COMMISSION</w:t>
      </w:r>
    </w:p>
    <w:p>
      <w:pPr>
        <w:pStyle w:val="BodyText"/>
        <w:spacing w:before="2"/>
        <w:rPr>
          <w:b/>
          <w:sz w:val="22"/>
        </w:rPr>
      </w:pPr>
    </w:p>
    <w:p>
      <w:pPr>
        <w:pStyle w:val="ListParagraph"/>
        <w:numPr>
          <w:ilvl w:val="2"/>
          <w:numId w:val="122"/>
        </w:numPr>
        <w:tabs>
          <w:tab w:pos="1800" w:val="left" w:leader="none"/>
          <w:tab w:pos="1801" w:val="left" w:leader="none"/>
        </w:tabs>
        <w:spacing w:line="273" w:lineRule="auto" w:before="0" w:after="0"/>
        <w:ind w:left="1080" w:right="2095" w:firstLine="0"/>
        <w:jc w:val="left"/>
        <w:rPr>
          <w:sz w:val="18"/>
        </w:rPr>
      </w:pPr>
      <w:r>
        <w:rPr>
          <w:color w:val="231F20"/>
          <w:w w:val="110"/>
          <w:sz w:val="18"/>
        </w:rPr>
        <w:t>On receipt of either a Referral Notice or a Notice of Reference back, the </w:t>
      </w:r>
      <w:r>
        <w:rPr>
          <w:color w:val="231F20"/>
          <w:spacing w:val="3"/>
          <w:w w:val="110"/>
          <w:sz w:val="18"/>
        </w:rPr>
        <w:t>Secretary</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Assembly</w:t>
      </w:r>
      <w:r>
        <w:rPr>
          <w:color w:val="231F20"/>
          <w:spacing w:val="13"/>
          <w:w w:val="110"/>
          <w:sz w:val="18"/>
        </w:rPr>
        <w:t> </w:t>
      </w:r>
      <w:r>
        <w:rPr>
          <w:color w:val="231F20"/>
          <w:w w:val="110"/>
          <w:sz w:val="18"/>
        </w:rPr>
        <w:t>Commission</w:t>
      </w:r>
      <w:r>
        <w:rPr>
          <w:color w:val="231F20"/>
          <w:spacing w:val="13"/>
          <w:w w:val="110"/>
          <w:sz w:val="18"/>
        </w:rPr>
        <w:t> </w:t>
      </w:r>
      <w:r>
        <w:rPr>
          <w:color w:val="231F20"/>
          <w:w w:val="110"/>
          <w:sz w:val="18"/>
        </w:rPr>
        <w:t>shall</w:t>
      </w:r>
      <w:r>
        <w:rPr>
          <w:color w:val="231F20"/>
          <w:spacing w:val="13"/>
          <w:w w:val="110"/>
          <w:sz w:val="18"/>
        </w:rPr>
        <w:t> </w:t>
      </w:r>
      <w:r>
        <w:rPr>
          <w:color w:val="231F20"/>
          <w:w w:val="110"/>
          <w:sz w:val="18"/>
        </w:rPr>
        <w:t>forthwith</w:t>
      </w:r>
      <w:r>
        <w:rPr>
          <w:color w:val="231F20"/>
          <w:spacing w:val="13"/>
          <w:w w:val="110"/>
          <w:sz w:val="18"/>
        </w:rPr>
        <w:t> </w:t>
      </w:r>
      <w:r>
        <w:rPr>
          <w:color w:val="231F20"/>
          <w:w w:val="110"/>
          <w:sz w:val="18"/>
        </w:rPr>
        <w:t>take</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following</w:t>
      </w:r>
      <w:r>
        <w:rPr>
          <w:color w:val="231F20"/>
          <w:spacing w:val="13"/>
          <w:w w:val="110"/>
          <w:sz w:val="18"/>
        </w:rPr>
        <w:t> </w:t>
      </w:r>
      <w:r>
        <w:rPr>
          <w:color w:val="231F20"/>
          <w:w w:val="110"/>
          <w:sz w:val="18"/>
        </w:rPr>
        <w:t>steps:</w:t>
      </w:r>
    </w:p>
    <w:p>
      <w:pPr>
        <w:pStyle w:val="BodyText"/>
        <w:spacing w:before="8"/>
        <w:rPr>
          <w:sz w:val="20"/>
        </w:rPr>
      </w:pPr>
    </w:p>
    <w:p>
      <w:pPr>
        <w:pStyle w:val="ListParagraph"/>
        <w:numPr>
          <w:ilvl w:val="3"/>
          <w:numId w:val="122"/>
        </w:numPr>
        <w:tabs>
          <w:tab w:pos="1801" w:val="left" w:leader="none"/>
        </w:tabs>
        <w:spacing w:line="240" w:lineRule="auto" w:before="0" w:after="0"/>
        <w:ind w:left="1800" w:right="0" w:hanging="721"/>
        <w:jc w:val="left"/>
        <w:rPr>
          <w:sz w:val="18"/>
        </w:rPr>
      </w:pPr>
      <w:r>
        <w:rPr>
          <w:color w:val="231F20"/>
          <w:w w:val="110"/>
          <w:sz w:val="18"/>
        </w:rPr>
        <w:t>Acknowledge receipt of such</w:t>
      </w:r>
      <w:r>
        <w:rPr>
          <w:color w:val="231F20"/>
          <w:spacing w:val="6"/>
          <w:w w:val="110"/>
          <w:sz w:val="18"/>
        </w:rPr>
        <w:t> </w:t>
      </w:r>
      <w:r>
        <w:rPr>
          <w:color w:val="231F20"/>
          <w:w w:val="110"/>
          <w:sz w:val="18"/>
        </w:rPr>
        <w:t>Notice.</w:t>
      </w:r>
    </w:p>
    <w:p>
      <w:pPr>
        <w:pStyle w:val="BodyText"/>
        <w:spacing w:before="2"/>
        <w:rPr>
          <w:sz w:val="23"/>
        </w:rPr>
      </w:pPr>
    </w:p>
    <w:p>
      <w:pPr>
        <w:pStyle w:val="ListParagraph"/>
        <w:numPr>
          <w:ilvl w:val="3"/>
          <w:numId w:val="122"/>
        </w:numPr>
        <w:tabs>
          <w:tab w:pos="1801" w:val="left" w:leader="none"/>
        </w:tabs>
        <w:spacing w:line="273" w:lineRule="auto" w:before="0" w:after="0"/>
        <w:ind w:left="1080" w:right="1745" w:firstLine="0"/>
        <w:jc w:val="left"/>
        <w:rPr>
          <w:sz w:val="18"/>
        </w:rPr>
      </w:pPr>
      <w:r>
        <w:rPr>
          <w:color w:val="231F20"/>
          <w:w w:val="110"/>
          <w:sz w:val="18"/>
        </w:rPr>
        <w:t>In the </w:t>
      </w:r>
      <w:r>
        <w:rPr>
          <w:color w:val="231F20"/>
          <w:spacing w:val="2"/>
          <w:w w:val="110"/>
          <w:sz w:val="18"/>
        </w:rPr>
        <w:t>case </w:t>
      </w:r>
      <w:r>
        <w:rPr>
          <w:color w:val="231F20"/>
          <w:w w:val="110"/>
          <w:sz w:val="18"/>
        </w:rPr>
        <w:t>of a Referral Notice, </w:t>
      </w:r>
      <w:r>
        <w:rPr>
          <w:color w:val="231F20"/>
          <w:spacing w:val="2"/>
          <w:w w:val="110"/>
          <w:sz w:val="18"/>
        </w:rPr>
        <w:t>serve </w:t>
      </w:r>
      <w:r>
        <w:rPr>
          <w:color w:val="231F20"/>
          <w:w w:val="110"/>
          <w:sz w:val="18"/>
        </w:rPr>
        <w:t>on the Minister a copy of the Referral Notice and a Notice which shall invite the Minister’s preliminary</w:t>
      </w:r>
      <w:r>
        <w:rPr>
          <w:color w:val="231F20"/>
          <w:spacing w:val="62"/>
          <w:w w:val="110"/>
          <w:sz w:val="18"/>
        </w:rPr>
        <w:t> </w:t>
      </w:r>
      <w:r>
        <w:rPr>
          <w:color w:val="231F20"/>
          <w:w w:val="110"/>
          <w:sz w:val="18"/>
        </w:rPr>
        <w:t>response.</w:t>
      </w:r>
    </w:p>
    <w:p>
      <w:pPr>
        <w:pStyle w:val="BodyText"/>
        <w:spacing w:before="8"/>
        <w:rPr>
          <w:sz w:val="20"/>
        </w:rPr>
      </w:pPr>
    </w:p>
    <w:p>
      <w:pPr>
        <w:pStyle w:val="ListParagraph"/>
        <w:numPr>
          <w:ilvl w:val="3"/>
          <w:numId w:val="122"/>
        </w:numPr>
        <w:tabs>
          <w:tab w:pos="1801" w:val="left" w:leader="none"/>
        </w:tabs>
        <w:spacing w:line="273" w:lineRule="auto" w:before="0" w:after="0"/>
        <w:ind w:left="1080" w:right="1306" w:firstLine="0"/>
        <w:jc w:val="left"/>
        <w:rPr>
          <w:sz w:val="18"/>
        </w:rPr>
      </w:pPr>
      <w:r>
        <w:rPr>
          <w:color w:val="231F20"/>
          <w:w w:val="110"/>
          <w:sz w:val="18"/>
        </w:rPr>
        <w:t>In the </w:t>
      </w:r>
      <w:r>
        <w:rPr>
          <w:color w:val="231F20"/>
          <w:spacing w:val="2"/>
          <w:w w:val="110"/>
          <w:sz w:val="18"/>
        </w:rPr>
        <w:t>case </w:t>
      </w:r>
      <w:r>
        <w:rPr>
          <w:color w:val="231F20"/>
          <w:w w:val="110"/>
          <w:sz w:val="18"/>
        </w:rPr>
        <w:t>of a Notice of Reference back, invite any comments </w:t>
      </w:r>
      <w:r>
        <w:rPr>
          <w:color w:val="231F20"/>
          <w:spacing w:val="2"/>
          <w:w w:val="110"/>
          <w:sz w:val="18"/>
        </w:rPr>
        <w:t>from </w:t>
      </w:r>
      <w:r>
        <w:rPr>
          <w:color w:val="231F20"/>
          <w:w w:val="110"/>
          <w:sz w:val="18"/>
        </w:rPr>
        <w:t>the </w:t>
      </w:r>
      <w:r>
        <w:rPr>
          <w:color w:val="231F20"/>
          <w:spacing w:val="2"/>
          <w:w w:val="110"/>
          <w:sz w:val="18"/>
        </w:rPr>
        <w:t>Parties </w:t>
      </w:r>
      <w:r>
        <w:rPr>
          <w:color w:val="231F20"/>
          <w:w w:val="110"/>
          <w:sz w:val="18"/>
        </w:rPr>
        <w:t>regarding the Notice and accompanying statement received by them </w:t>
      </w:r>
      <w:r>
        <w:rPr>
          <w:color w:val="231F20"/>
          <w:spacing w:val="2"/>
          <w:w w:val="110"/>
          <w:sz w:val="18"/>
        </w:rPr>
        <w:t>from </w:t>
      </w:r>
      <w:r>
        <w:rPr>
          <w:color w:val="231F20"/>
          <w:w w:val="110"/>
          <w:sz w:val="18"/>
        </w:rPr>
        <w:t>the General </w:t>
      </w:r>
      <w:r>
        <w:rPr>
          <w:color w:val="231F20"/>
          <w:spacing w:val="3"/>
          <w:w w:val="110"/>
          <w:sz w:val="18"/>
        </w:rPr>
        <w:t>Secretary </w:t>
      </w:r>
      <w:r>
        <w:rPr>
          <w:color w:val="231F20"/>
          <w:w w:val="110"/>
          <w:sz w:val="18"/>
        </w:rPr>
        <w:t>in accordance with Paragraph</w:t>
      </w:r>
      <w:r>
        <w:rPr>
          <w:color w:val="231F20"/>
          <w:spacing w:val="6"/>
          <w:w w:val="110"/>
          <w:sz w:val="18"/>
        </w:rPr>
        <w:t> </w:t>
      </w:r>
      <w:r>
        <w:rPr>
          <w:color w:val="231F20"/>
          <w:spacing w:val="-6"/>
          <w:w w:val="110"/>
          <w:sz w:val="18"/>
        </w:rPr>
        <w:t>G.14.1.</w:t>
      </w:r>
    </w:p>
    <w:p>
      <w:pPr>
        <w:pStyle w:val="BodyText"/>
        <w:spacing w:before="9"/>
        <w:rPr>
          <w:sz w:val="20"/>
        </w:rPr>
      </w:pPr>
    </w:p>
    <w:p>
      <w:pPr>
        <w:pStyle w:val="ListParagraph"/>
        <w:numPr>
          <w:ilvl w:val="3"/>
          <w:numId w:val="122"/>
        </w:numPr>
        <w:tabs>
          <w:tab w:pos="1801" w:val="left" w:leader="none"/>
        </w:tabs>
        <w:spacing w:line="273" w:lineRule="auto" w:before="0" w:after="0"/>
        <w:ind w:left="1080" w:right="1621" w:firstLine="0"/>
        <w:jc w:val="left"/>
        <w:rPr>
          <w:sz w:val="18"/>
        </w:rPr>
      </w:pPr>
      <w:r>
        <w:rPr>
          <w:color w:val="231F20"/>
          <w:w w:val="110"/>
          <w:sz w:val="18"/>
        </w:rPr>
        <w:t>Inform the Convener and the Deputy Convener of the Commission Panel </w:t>
      </w:r>
      <w:r>
        <w:rPr>
          <w:color w:val="231F20"/>
          <w:spacing w:val="-5"/>
          <w:w w:val="110"/>
          <w:sz w:val="18"/>
        </w:rPr>
        <w:t>(or  </w:t>
      </w:r>
      <w:r>
        <w:rPr>
          <w:color w:val="231F20"/>
          <w:w w:val="110"/>
          <w:sz w:val="18"/>
        </w:rPr>
        <w:t>in their absence or the absence of either of them the </w:t>
      </w:r>
      <w:r>
        <w:rPr>
          <w:color w:val="231F20"/>
          <w:spacing w:val="2"/>
          <w:w w:val="110"/>
          <w:sz w:val="18"/>
        </w:rPr>
        <w:t>person </w:t>
      </w:r>
      <w:r>
        <w:rPr>
          <w:color w:val="231F20"/>
          <w:w w:val="110"/>
          <w:sz w:val="18"/>
        </w:rPr>
        <w:t>or </w:t>
      </w:r>
      <w:r>
        <w:rPr>
          <w:color w:val="231F20"/>
          <w:spacing w:val="2"/>
          <w:w w:val="110"/>
          <w:sz w:val="18"/>
        </w:rPr>
        <w:t>persons </w:t>
      </w:r>
      <w:r>
        <w:rPr>
          <w:color w:val="231F20"/>
          <w:w w:val="110"/>
          <w:sz w:val="18"/>
        </w:rPr>
        <w:t>specified in Paragraph C.2.2 or Paragraph C.2.3) </w:t>
      </w:r>
      <w:r>
        <w:rPr>
          <w:color w:val="231F20"/>
          <w:spacing w:val="3"/>
          <w:w w:val="110"/>
          <w:sz w:val="18"/>
        </w:rPr>
        <w:t>(‘the </w:t>
      </w:r>
      <w:r>
        <w:rPr>
          <w:color w:val="231F20"/>
          <w:spacing w:val="2"/>
          <w:w w:val="110"/>
          <w:sz w:val="18"/>
        </w:rPr>
        <w:t>Appointers’) </w:t>
      </w:r>
      <w:r>
        <w:rPr>
          <w:color w:val="231F20"/>
          <w:w w:val="110"/>
          <w:sz w:val="18"/>
        </w:rPr>
        <w:t>of the receipt of the Referral Notice or the Notice of Reference back and pass to such </w:t>
      </w:r>
      <w:r>
        <w:rPr>
          <w:color w:val="231F20"/>
          <w:spacing w:val="2"/>
          <w:w w:val="110"/>
          <w:sz w:val="18"/>
        </w:rPr>
        <w:t>person </w:t>
      </w:r>
      <w:r>
        <w:rPr>
          <w:color w:val="231F20"/>
          <w:w w:val="110"/>
          <w:sz w:val="18"/>
        </w:rPr>
        <w:t>or </w:t>
      </w:r>
      <w:r>
        <w:rPr>
          <w:color w:val="231F20"/>
          <w:spacing w:val="2"/>
          <w:w w:val="110"/>
          <w:sz w:val="18"/>
        </w:rPr>
        <w:t>persons </w:t>
      </w:r>
      <w:r>
        <w:rPr>
          <w:color w:val="231F20"/>
          <w:w w:val="110"/>
          <w:sz w:val="18"/>
        </w:rPr>
        <w:t>copies thereof and of any other papers which accompany such</w:t>
      </w:r>
      <w:r>
        <w:rPr>
          <w:color w:val="231F20"/>
          <w:spacing w:val="32"/>
          <w:w w:val="110"/>
          <w:sz w:val="18"/>
        </w:rPr>
        <w:t> </w:t>
      </w:r>
      <w:r>
        <w:rPr>
          <w:color w:val="231F20"/>
          <w:w w:val="110"/>
          <w:sz w:val="18"/>
        </w:rPr>
        <w:t>Notice.</w:t>
      </w:r>
    </w:p>
    <w:p>
      <w:pPr>
        <w:pStyle w:val="BodyText"/>
        <w:spacing w:before="10"/>
        <w:rPr>
          <w:sz w:val="20"/>
        </w:rPr>
      </w:pPr>
    </w:p>
    <w:p>
      <w:pPr>
        <w:pStyle w:val="ListParagraph"/>
        <w:numPr>
          <w:ilvl w:val="3"/>
          <w:numId w:val="122"/>
        </w:numPr>
        <w:tabs>
          <w:tab w:pos="1801" w:val="left" w:leader="none"/>
        </w:tabs>
        <w:spacing w:line="273" w:lineRule="auto" w:before="0" w:after="0"/>
        <w:ind w:left="1080" w:right="1304" w:firstLine="0"/>
        <w:jc w:val="both"/>
        <w:rPr>
          <w:sz w:val="18"/>
        </w:rPr>
      </w:pPr>
      <w:r>
        <w:rPr>
          <w:color w:val="231F20"/>
          <w:w w:val="110"/>
          <w:sz w:val="18"/>
        </w:rPr>
        <w:t>Inform the General Secretary, the Moderator of the Synod and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of the receipt of the Referral Notice but not of the contents thereof, </w:t>
      </w:r>
      <w:r>
        <w:rPr>
          <w:color w:val="231F20"/>
          <w:spacing w:val="2"/>
          <w:w w:val="110"/>
          <w:sz w:val="18"/>
        </w:rPr>
        <w:t>apart from </w:t>
      </w:r>
      <w:r>
        <w:rPr>
          <w:color w:val="231F20"/>
          <w:w w:val="110"/>
          <w:sz w:val="18"/>
        </w:rPr>
        <w:t>the name of the</w:t>
      </w:r>
      <w:r>
        <w:rPr>
          <w:color w:val="231F20"/>
          <w:spacing w:val="2"/>
          <w:w w:val="110"/>
          <w:sz w:val="18"/>
        </w:rPr>
        <w:t> </w:t>
      </w:r>
      <w:r>
        <w:rPr>
          <w:color w:val="231F20"/>
          <w:w w:val="110"/>
          <w:sz w:val="18"/>
        </w:rPr>
        <w:t>Minister.</w:t>
      </w:r>
    </w:p>
    <w:p>
      <w:pPr>
        <w:pStyle w:val="BodyText"/>
        <w:spacing w:before="9"/>
        <w:rPr>
          <w:sz w:val="20"/>
        </w:rPr>
      </w:pPr>
    </w:p>
    <w:p>
      <w:pPr>
        <w:pStyle w:val="ListParagraph"/>
        <w:numPr>
          <w:ilvl w:val="3"/>
          <w:numId w:val="122"/>
        </w:numPr>
        <w:tabs>
          <w:tab w:pos="1801" w:val="left" w:leader="none"/>
        </w:tabs>
        <w:spacing w:line="273" w:lineRule="auto" w:before="0" w:after="0"/>
        <w:ind w:left="1080" w:right="1301" w:firstLine="0"/>
        <w:jc w:val="both"/>
        <w:rPr>
          <w:sz w:val="18"/>
        </w:rPr>
      </w:pPr>
      <w:r>
        <w:rPr>
          <w:color w:val="231F20"/>
          <w:w w:val="110"/>
          <w:sz w:val="18"/>
        </w:rPr>
        <w:t>On receipt of the Minister’s </w:t>
      </w:r>
      <w:r>
        <w:rPr>
          <w:color w:val="231F20"/>
          <w:spacing w:val="2"/>
          <w:w w:val="110"/>
          <w:sz w:val="18"/>
        </w:rPr>
        <w:t>response </w:t>
      </w:r>
      <w:r>
        <w:rPr>
          <w:color w:val="231F20"/>
          <w:w w:val="110"/>
          <w:sz w:val="18"/>
        </w:rPr>
        <w:t>under Paragraph C.1.2 and any documents which may accompany it, provide the Mandated Group with copies</w:t>
      </w:r>
      <w:r>
        <w:rPr>
          <w:color w:val="231F20"/>
          <w:spacing w:val="46"/>
          <w:w w:val="110"/>
          <w:sz w:val="18"/>
        </w:rPr>
        <w:t> </w:t>
      </w:r>
      <w:r>
        <w:rPr>
          <w:color w:val="231F20"/>
          <w:w w:val="110"/>
          <w:sz w:val="18"/>
        </w:rPr>
        <w:t>thereof.</w:t>
      </w:r>
    </w:p>
    <w:p>
      <w:pPr>
        <w:pStyle w:val="BodyText"/>
        <w:spacing w:before="8"/>
        <w:rPr>
          <w:sz w:val="20"/>
        </w:rPr>
      </w:pPr>
    </w:p>
    <w:p>
      <w:pPr>
        <w:pStyle w:val="ListParagraph"/>
        <w:numPr>
          <w:ilvl w:val="3"/>
          <w:numId w:val="122"/>
        </w:numPr>
        <w:tabs>
          <w:tab w:pos="1801" w:val="left" w:leader="none"/>
        </w:tabs>
        <w:spacing w:line="273" w:lineRule="auto" w:before="0" w:after="0"/>
        <w:ind w:left="1080" w:right="1287" w:firstLine="0"/>
        <w:jc w:val="left"/>
        <w:rPr>
          <w:sz w:val="18"/>
        </w:rPr>
      </w:pPr>
      <w:r>
        <w:rPr>
          <w:color w:val="231F20"/>
          <w:w w:val="110"/>
          <w:sz w:val="18"/>
        </w:rPr>
        <w:t>In any </w:t>
      </w:r>
      <w:r>
        <w:rPr>
          <w:color w:val="231F20"/>
          <w:spacing w:val="2"/>
          <w:w w:val="110"/>
          <w:sz w:val="18"/>
        </w:rPr>
        <w:t>case </w:t>
      </w:r>
      <w:r>
        <w:rPr>
          <w:color w:val="231F20"/>
          <w:w w:val="110"/>
          <w:sz w:val="18"/>
        </w:rPr>
        <w:t>arising as a consequence of a Notice of Reference back, where comments are received </w:t>
      </w:r>
      <w:r>
        <w:rPr>
          <w:color w:val="231F20"/>
          <w:spacing w:val="2"/>
          <w:w w:val="110"/>
          <w:sz w:val="18"/>
        </w:rPr>
        <w:t>from </w:t>
      </w:r>
      <w:r>
        <w:rPr>
          <w:color w:val="231F20"/>
          <w:w w:val="110"/>
          <w:sz w:val="18"/>
        </w:rPr>
        <w:t>either of the </w:t>
      </w:r>
      <w:r>
        <w:rPr>
          <w:color w:val="231F20"/>
          <w:spacing w:val="2"/>
          <w:w w:val="110"/>
          <w:sz w:val="18"/>
        </w:rPr>
        <w:t>parties </w:t>
      </w:r>
      <w:r>
        <w:rPr>
          <w:color w:val="231F20"/>
          <w:w w:val="110"/>
          <w:sz w:val="18"/>
        </w:rPr>
        <w:t>as a result of the invitation contained in Paragraph </w:t>
      </w:r>
      <w:r>
        <w:rPr>
          <w:color w:val="231F20"/>
          <w:spacing w:val="-3"/>
          <w:w w:val="110"/>
          <w:sz w:val="18"/>
        </w:rPr>
        <w:t>C.1.3, </w:t>
      </w:r>
      <w:r>
        <w:rPr>
          <w:color w:val="231F20"/>
          <w:w w:val="110"/>
          <w:sz w:val="18"/>
        </w:rPr>
        <w:t>provide the other </w:t>
      </w:r>
      <w:r>
        <w:rPr>
          <w:color w:val="231F20"/>
          <w:spacing w:val="3"/>
          <w:w w:val="110"/>
          <w:sz w:val="18"/>
        </w:rPr>
        <w:t>party </w:t>
      </w:r>
      <w:r>
        <w:rPr>
          <w:color w:val="231F20"/>
          <w:w w:val="110"/>
          <w:sz w:val="18"/>
        </w:rPr>
        <w:t>with copies</w:t>
      </w:r>
      <w:r>
        <w:rPr>
          <w:color w:val="231F20"/>
          <w:spacing w:val="26"/>
          <w:w w:val="110"/>
          <w:sz w:val="18"/>
        </w:rPr>
        <w:t> </w:t>
      </w:r>
      <w:r>
        <w:rPr>
          <w:color w:val="231F20"/>
          <w:w w:val="110"/>
          <w:sz w:val="18"/>
        </w:rPr>
        <w:t>thereof.</w:t>
      </w:r>
    </w:p>
    <w:p>
      <w:pPr>
        <w:pStyle w:val="BodyText"/>
        <w:spacing w:before="9"/>
        <w:rPr>
          <w:sz w:val="20"/>
        </w:rPr>
      </w:pPr>
    </w:p>
    <w:p>
      <w:pPr>
        <w:pStyle w:val="ListParagraph"/>
        <w:numPr>
          <w:ilvl w:val="2"/>
          <w:numId w:val="122"/>
        </w:numPr>
        <w:tabs>
          <w:tab w:pos="1800" w:val="left" w:leader="none"/>
          <w:tab w:pos="1801" w:val="left" w:leader="none"/>
        </w:tabs>
        <w:spacing w:line="273" w:lineRule="auto" w:before="0" w:after="0"/>
        <w:ind w:left="1080" w:right="1639" w:firstLine="0"/>
        <w:jc w:val="left"/>
        <w:rPr>
          <w:sz w:val="18"/>
        </w:rPr>
      </w:pPr>
      <w:r>
        <w:rPr>
          <w:color w:val="231F20"/>
          <w:w w:val="110"/>
          <w:sz w:val="18"/>
        </w:rPr>
        <w:t>C.2.1 The Appointers shall, within 7 days of compliance by the </w:t>
      </w:r>
      <w:r>
        <w:rPr>
          <w:color w:val="231F20"/>
          <w:spacing w:val="3"/>
          <w:w w:val="110"/>
          <w:sz w:val="18"/>
        </w:rPr>
        <w:t>Secretary </w:t>
      </w:r>
      <w:r>
        <w:rPr>
          <w:color w:val="231F20"/>
          <w:w w:val="110"/>
          <w:sz w:val="18"/>
        </w:rPr>
        <w:t>of the</w:t>
      </w:r>
      <w:r>
        <w:rPr>
          <w:color w:val="231F20"/>
          <w:spacing w:val="11"/>
          <w:w w:val="110"/>
          <w:sz w:val="18"/>
        </w:rPr>
        <w:t> </w:t>
      </w:r>
      <w:r>
        <w:rPr>
          <w:color w:val="231F20"/>
          <w:w w:val="110"/>
          <w:sz w:val="18"/>
        </w:rPr>
        <w:t>Assembly</w:t>
      </w:r>
      <w:r>
        <w:rPr>
          <w:color w:val="231F20"/>
          <w:spacing w:val="12"/>
          <w:w w:val="110"/>
          <w:sz w:val="18"/>
        </w:rPr>
        <w:t> </w:t>
      </w:r>
      <w:r>
        <w:rPr>
          <w:color w:val="231F20"/>
          <w:w w:val="110"/>
          <w:sz w:val="18"/>
        </w:rPr>
        <w:t>Commission</w:t>
      </w:r>
      <w:r>
        <w:rPr>
          <w:color w:val="231F20"/>
          <w:spacing w:val="12"/>
          <w:w w:val="110"/>
          <w:sz w:val="18"/>
        </w:rPr>
        <w:t> </w:t>
      </w:r>
      <w:r>
        <w:rPr>
          <w:color w:val="231F20"/>
          <w:w w:val="110"/>
          <w:sz w:val="18"/>
        </w:rPr>
        <w:t>with</w:t>
      </w:r>
      <w:r>
        <w:rPr>
          <w:color w:val="231F20"/>
          <w:spacing w:val="12"/>
          <w:w w:val="110"/>
          <w:sz w:val="18"/>
        </w:rPr>
        <w:t> </w:t>
      </w:r>
      <w:r>
        <w:rPr>
          <w:color w:val="231F20"/>
          <w:w w:val="110"/>
          <w:sz w:val="18"/>
        </w:rPr>
        <w:t>Paragraph</w:t>
      </w:r>
      <w:r>
        <w:rPr>
          <w:color w:val="231F20"/>
          <w:spacing w:val="11"/>
          <w:w w:val="110"/>
          <w:sz w:val="18"/>
        </w:rPr>
        <w:t> </w:t>
      </w:r>
      <w:r>
        <w:rPr>
          <w:color w:val="231F20"/>
          <w:spacing w:val="-4"/>
          <w:w w:val="110"/>
          <w:sz w:val="18"/>
        </w:rPr>
        <w:t>C.1.4</w:t>
      </w:r>
      <w:r>
        <w:rPr>
          <w:color w:val="231F20"/>
          <w:spacing w:val="12"/>
          <w:w w:val="110"/>
          <w:sz w:val="18"/>
        </w:rPr>
        <w:t> </w:t>
      </w:r>
      <w:r>
        <w:rPr>
          <w:color w:val="231F20"/>
          <w:spacing w:val="-5"/>
          <w:w w:val="110"/>
          <w:sz w:val="18"/>
        </w:rPr>
        <w:t>(or</w:t>
      </w:r>
      <w:r>
        <w:rPr>
          <w:color w:val="231F20"/>
          <w:spacing w:val="12"/>
          <w:w w:val="110"/>
          <w:sz w:val="18"/>
        </w:rPr>
        <w:t> </w:t>
      </w:r>
      <w:r>
        <w:rPr>
          <w:color w:val="231F20"/>
          <w:w w:val="110"/>
          <w:sz w:val="18"/>
        </w:rPr>
        <w:t>within</w:t>
      </w:r>
      <w:r>
        <w:rPr>
          <w:color w:val="231F20"/>
          <w:spacing w:val="12"/>
          <w:w w:val="110"/>
          <w:sz w:val="18"/>
        </w:rPr>
        <w:t> </w:t>
      </w:r>
      <w:r>
        <w:rPr>
          <w:color w:val="231F20"/>
          <w:w w:val="110"/>
          <w:sz w:val="18"/>
        </w:rPr>
        <w:t>such</w:t>
      </w:r>
      <w:r>
        <w:rPr>
          <w:color w:val="231F20"/>
          <w:spacing w:val="11"/>
          <w:w w:val="110"/>
          <w:sz w:val="18"/>
        </w:rPr>
        <w:t> </w:t>
      </w:r>
      <w:r>
        <w:rPr>
          <w:color w:val="231F20"/>
          <w:spacing w:val="2"/>
          <w:w w:val="110"/>
          <w:sz w:val="18"/>
        </w:rPr>
        <w:t>further</w:t>
      </w:r>
      <w:r>
        <w:rPr>
          <w:color w:val="231F20"/>
          <w:spacing w:val="12"/>
          <w:w w:val="110"/>
          <w:sz w:val="18"/>
        </w:rPr>
        <w:t> </w:t>
      </w:r>
      <w:r>
        <w:rPr>
          <w:color w:val="231F20"/>
          <w:w w:val="110"/>
          <w:sz w:val="18"/>
        </w:rPr>
        <w:t>time</w:t>
      </w:r>
      <w:r>
        <w:rPr>
          <w:color w:val="231F20"/>
          <w:spacing w:val="12"/>
          <w:w w:val="110"/>
          <w:sz w:val="18"/>
        </w:rPr>
        <w:t> </w:t>
      </w:r>
      <w:r>
        <w:rPr>
          <w:color w:val="231F20"/>
          <w:w w:val="110"/>
          <w:sz w:val="18"/>
        </w:rPr>
        <w:t>as</w:t>
      </w:r>
      <w:r>
        <w:rPr>
          <w:color w:val="231F20"/>
          <w:spacing w:val="12"/>
          <w:w w:val="110"/>
          <w:sz w:val="18"/>
        </w:rPr>
        <w:t> </w:t>
      </w:r>
      <w:r>
        <w:rPr>
          <w:color w:val="231F20"/>
          <w:w w:val="110"/>
          <w:sz w:val="18"/>
        </w:rPr>
        <w:t>they</w:t>
      </w:r>
    </w:p>
    <w:p>
      <w:pPr>
        <w:pStyle w:val="BodyText"/>
        <w:spacing w:line="273" w:lineRule="auto" w:before="1"/>
        <w:ind w:left="1080" w:right="1205"/>
      </w:pPr>
      <w:r>
        <w:rPr>
          <w:color w:val="231F20"/>
          <w:w w:val="110"/>
        </w:rPr>
        <w:t>shall reasonably require), jointly appoint five (5) persons from the Commission Panel to constitute the Assembly Commission for the hearing of that case, and in making such appointments they shall have regard to the provisions of Paragraphs C.2.4 and C.3.</w:t>
      </w:r>
    </w:p>
    <w:p>
      <w:pPr>
        <w:pStyle w:val="BodyText"/>
        <w:spacing w:before="9"/>
        <w:rPr>
          <w:sz w:val="20"/>
        </w:rPr>
      </w:pPr>
    </w:p>
    <w:p>
      <w:pPr>
        <w:pStyle w:val="ListParagraph"/>
        <w:numPr>
          <w:ilvl w:val="2"/>
          <w:numId w:val="146"/>
        </w:numPr>
        <w:tabs>
          <w:tab w:pos="1801" w:val="left" w:leader="none"/>
        </w:tabs>
        <w:spacing w:line="273" w:lineRule="auto" w:before="0" w:after="0"/>
        <w:ind w:left="1080" w:right="1138" w:firstLine="0"/>
        <w:jc w:val="left"/>
        <w:rPr>
          <w:sz w:val="18"/>
        </w:rPr>
      </w:pPr>
      <w:r>
        <w:rPr>
          <w:color w:val="231F20"/>
          <w:w w:val="110"/>
          <w:sz w:val="18"/>
        </w:rPr>
        <w:t>In the absence of either the Convener or the Deputy Convener of the Commission Panel, the General </w:t>
      </w:r>
      <w:r>
        <w:rPr>
          <w:color w:val="231F20"/>
          <w:spacing w:val="3"/>
          <w:w w:val="110"/>
          <w:sz w:val="18"/>
        </w:rPr>
        <w:t>Secretary </w:t>
      </w:r>
      <w:r>
        <w:rPr>
          <w:color w:val="231F20"/>
          <w:w w:val="110"/>
          <w:sz w:val="18"/>
        </w:rPr>
        <w:t>shall </w:t>
      </w:r>
      <w:r>
        <w:rPr>
          <w:color w:val="231F20"/>
          <w:spacing w:val="2"/>
          <w:w w:val="110"/>
          <w:sz w:val="18"/>
        </w:rPr>
        <w:t>act </w:t>
      </w:r>
      <w:r>
        <w:rPr>
          <w:color w:val="231F20"/>
          <w:w w:val="110"/>
          <w:sz w:val="18"/>
        </w:rPr>
        <w:t>jointly with the other one in the appointment of  the Assembly Commission under Paragraph</w:t>
      </w:r>
      <w:r>
        <w:rPr>
          <w:color w:val="231F20"/>
          <w:spacing w:val="9"/>
          <w:w w:val="110"/>
          <w:sz w:val="18"/>
        </w:rPr>
        <w:t> </w:t>
      </w:r>
      <w:r>
        <w:rPr>
          <w:color w:val="231F20"/>
          <w:w w:val="110"/>
          <w:sz w:val="18"/>
        </w:rPr>
        <w:t>C.2.1.</w:t>
      </w:r>
    </w:p>
    <w:p>
      <w:pPr>
        <w:pStyle w:val="BodyText"/>
        <w:spacing w:before="8"/>
        <w:rPr>
          <w:sz w:val="20"/>
        </w:rPr>
      </w:pPr>
    </w:p>
    <w:p>
      <w:pPr>
        <w:pStyle w:val="ListParagraph"/>
        <w:numPr>
          <w:ilvl w:val="2"/>
          <w:numId w:val="146"/>
        </w:numPr>
        <w:tabs>
          <w:tab w:pos="1801" w:val="left" w:leader="none"/>
        </w:tabs>
        <w:spacing w:line="273" w:lineRule="auto" w:before="0" w:after="0"/>
        <w:ind w:left="1081" w:right="1137" w:hanging="1"/>
        <w:jc w:val="left"/>
        <w:rPr>
          <w:sz w:val="18"/>
        </w:rPr>
      </w:pPr>
      <w:r>
        <w:rPr>
          <w:color w:val="231F20"/>
          <w:w w:val="110"/>
          <w:sz w:val="18"/>
        </w:rPr>
        <w:t>In the absence of both the Convener of the Commission Panel and the Deputy Convener of the Commission Panel, the General Secretary and the Moderator of the General</w:t>
      </w:r>
      <w:r>
        <w:rPr>
          <w:color w:val="231F20"/>
          <w:spacing w:val="-8"/>
          <w:w w:val="110"/>
          <w:sz w:val="18"/>
        </w:rPr>
        <w:t> </w:t>
      </w:r>
      <w:r>
        <w:rPr>
          <w:color w:val="231F20"/>
          <w:w w:val="110"/>
          <w:sz w:val="18"/>
        </w:rPr>
        <w:t>Assembly</w:t>
      </w:r>
      <w:r>
        <w:rPr>
          <w:color w:val="231F20"/>
          <w:spacing w:val="-7"/>
          <w:w w:val="110"/>
          <w:sz w:val="18"/>
        </w:rPr>
        <w:t> </w:t>
      </w:r>
      <w:r>
        <w:rPr>
          <w:color w:val="231F20"/>
          <w:w w:val="110"/>
          <w:sz w:val="18"/>
        </w:rPr>
        <w:t>shall</w:t>
      </w:r>
      <w:r>
        <w:rPr>
          <w:color w:val="231F20"/>
          <w:spacing w:val="-8"/>
          <w:w w:val="110"/>
          <w:sz w:val="18"/>
        </w:rPr>
        <w:t> </w:t>
      </w:r>
      <w:r>
        <w:rPr>
          <w:color w:val="231F20"/>
          <w:w w:val="110"/>
          <w:sz w:val="18"/>
        </w:rPr>
        <w:t>together</w:t>
      </w:r>
      <w:r>
        <w:rPr>
          <w:color w:val="231F20"/>
          <w:spacing w:val="-7"/>
          <w:w w:val="110"/>
          <w:sz w:val="18"/>
        </w:rPr>
        <w:t> </w:t>
      </w:r>
      <w:r>
        <w:rPr>
          <w:color w:val="231F20"/>
          <w:w w:val="110"/>
          <w:sz w:val="18"/>
        </w:rPr>
        <w:t>appoint</w:t>
      </w:r>
      <w:r>
        <w:rPr>
          <w:color w:val="231F20"/>
          <w:spacing w:val="-7"/>
          <w:w w:val="110"/>
          <w:sz w:val="18"/>
        </w:rPr>
        <w:t> </w:t>
      </w:r>
      <w:r>
        <w:rPr>
          <w:color w:val="231F20"/>
          <w:w w:val="110"/>
          <w:sz w:val="18"/>
        </w:rPr>
        <w:t>the</w:t>
      </w:r>
      <w:r>
        <w:rPr>
          <w:color w:val="231F20"/>
          <w:spacing w:val="-8"/>
          <w:w w:val="110"/>
          <w:sz w:val="18"/>
        </w:rPr>
        <w:t> </w:t>
      </w:r>
      <w:r>
        <w:rPr>
          <w:color w:val="231F20"/>
          <w:w w:val="110"/>
          <w:sz w:val="18"/>
        </w:rPr>
        <w:t>Assembly</w:t>
      </w:r>
      <w:r>
        <w:rPr>
          <w:color w:val="231F20"/>
          <w:spacing w:val="-7"/>
          <w:w w:val="110"/>
          <w:sz w:val="18"/>
        </w:rPr>
        <w:t> </w:t>
      </w:r>
      <w:r>
        <w:rPr>
          <w:color w:val="231F20"/>
          <w:w w:val="110"/>
          <w:sz w:val="18"/>
        </w:rPr>
        <w:t>Commission</w:t>
      </w:r>
      <w:r>
        <w:rPr>
          <w:color w:val="231F20"/>
          <w:spacing w:val="-7"/>
          <w:w w:val="110"/>
          <w:sz w:val="18"/>
        </w:rPr>
        <w:t> </w:t>
      </w:r>
      <w:r>
        <w:rPr>
          <w:color w:val="231F20"/>
          <w:w w:val="110"/>
          <w:sz w:val="18"/>
        </w:rPr>
        <w:t>under</w:t>
      </w:r>
      <w:r>
        <w:rPr>
          <w:color w:val="231F20"/>
          <w:spacing w:val="-8"/>
          <w:w w:val="110"/>
          <w:sz w:val="18"/>
        </w:rPr>
        <w:t> </w:t>
      </w:r>
      <w:r>
        <w:rPr>
          <w:color w:val="231F20"/>
          <w:w w:val="110"/>
          <w:sz w:val="18"/>
        </w:rPr>
        <w:t>Paragraph</w:t>
      </w:r>
      <w:r>
        <w:rPr>
          <w:color w:val="231F20"/>
          <w:spacing w:val="-7"/>
          <w:w w:val="110"/>
          <w:sz w:val="18"/>
        </w:rPr>
        <w:t> </w:t>
      </w:r>
      <w:r>
        <w:rPr>
          <w:color w:val="231F20"/>
          <w:spacing w:val="-4"/>
          <w:w w:val="110"/>
          <w:sz w:val="18"/>
        </w:rPr>
        <w:t>C.2.1.</w:t>
      </w:r>
    </w:p>
    <w:p>
      <w:pPr>
        <w:pStyle w:val="BodyText"/>
        <w:spacing w:before="9"/>
        <w:rPr>
          <w:sz w:val="20"/>
        </w:rPr>
      </w:pPr>
    </w:p>
    <w:p>
      <w:pPr>
        <w:pStyle w:val="ListParagraph"/>
        <w:numPr>
          <w:ilvl w:val="2"/>
          <w:numId w:val="146"/>
        </w:numPr>
        <w:tabs>
          <w:tab w:pos="1801" w:val="left" w:leader="none"/>
        </w:tabs>
        <w:spacing w:line="273" w:lineRule="auto" w:before="0" w:after="0"/>
        <w:ind w:left="1081" w:right="1218" w:hanging="1"/>
        <w:jc w:val="left"/>
        <w:rPr>
          <w:sz w:val="18"/>
        </w:rPr>
      </w:pPr>
      <w:r>
        <w:rPr>
          <w:color w:val="231F20"/>
          <w:w w:val="110"/>
          <w:sz w:val="18"/>
        </w:rPr>
        <w:t>The Appointers shall </w:t>
      </w:r>
      <w:r>
        <w:rPr>
          <w:color w:val="231F20"/>
          <w:spacing w:val="-5"/>
          <w:w w:val="110"/>
          <w:sz w:val="18"/>
        </w:rPr>
        <w:t>(so </w:t>
      </w:r>
      <w:r>
        <w:rPr>
          <w:color w:val="231F20"/>
          <w:w w:val="110"/>
          <w:sz w:val="18"/>
        </w:rPr>
        <w:t>far as possible) </w:t>
      </w:r>
      <w:r>
        <w:rPr>
          <w:color w:val="231F20"/>
          <w:spacing w:val="-5"/>
          <w:w w:val="110"/>
          <w:sz w:val="18"/>
        </w:rPr>
        <w:t>(i) </w:t>
      </w:r>
      <w:r>
        <w:rPr>
          <w:color w:val="231F20"/>
          <w:w w:val="110"/>
          <w:sz w:val="18"/>
        </w:rPr>
        <w:t>appoint at least one man and at least one woman and at least one minister and at least one </w:t>
      </w:r>
      <w:r>
        <w:rPr>
          <w:color w:val="231F20"/>
          <w:spacing w:val="-3"/>
          <w:w w:val="110"/>
          <w:sz w:val="18"/>
        </w:rPr>
        <w:t>lay </w:t>
      </w:r>
      <w:r>
        <w:rPr>
          <w:color w:val="231F20"/>
          <w:w w:val="110"/>
          <w:sz w:val="18"/>
        </w:rPr>
        <w:t>person onto the Assembly Commission and </w:t>
      </w:r>
      <w:r>
        <w:rPr>
          <w:color w:val="231F20"/>
          <w:spacing w:val="-4"/>
          <w:w w:val="110"/>
          <w:sz w:val="18"/>
        </w:rPr>
        <w:t>(ii) </w:t>
      </w:r>
      <w:r>
        <w:rPr>
          <w:color w:val="231F20"/>
          <w:spacing w:val="-3"/>
          <w:w w:val="110"/>
          <w:sz w:val="18"/>
        </w:rPr>
        <w:t>have </w:t>
      </w:r>
      <w:r>
        <w:rPr>
          <w:color w:val="231F20"/>
          <w:w w:val="110"/>
          <w:sz w:val="18"/>
        </w:rPr>
        <w:t>regard to the nature of the case, the need for balance and the skills, specialisation and cultural understanding of the members of the Commission</w:t>
      </w:r>
      <w:r>
        <w:rPr>
          <w:color w:val="231F20"/>
          <w:spacing w:val="-7"/>
          <w:w w:val="110"/>
          <w:sz w:val="18"/>
        </w:rPr>
        <w:t> </w:t>
      </w:r>
      <w:r>
        <w:rPr>
          <w:color w:val="231F20"/>
          <w:w w:val="110"/>
          <w:sz w:val="18"/>
        </w:rPr>
        <w:t>Panel.</w:t>
      </w:r>
    </w:p>
    <w:p>
      <w:pPr>
        <w:pStyle w:val="BodyText"/>
        <w:spacing w:before="9"/>
        <w:rPr>
          <w:sz w:val="20"/>
        </w:rPr>
      </w:pPr>
    </w:p>
    <w:p>
      <w:pPr>
        <w:pStyle w:val="ListParagraph"/>
        <w:numPr>
          <w:ilvl w:val="2"/>
          <w:numId w:val="122"/>
        </w:numPr>
        <w:tabs>
          <w:tab w:pos="1804" w:val="left" w:leader="none"/>
          <w:tab w:pos="1805" w:val="left" w:leader="none"/>
        </w:tabs>
        <w:spacing w:line="273" w:lineRule="auto" w:before="0" w:after="0"/>
        <w:ind w:left="1084" w:right="1128" w:firstLine="0"/>
        <w:jc w:val="left"/>
        <w:rPr>
          <w:sz w:val="18"/>
        </w:rPr>
      </w:pPr>
      <w:r>
        <w:rPr>
          <w:color w:val="231F20"/>
          <w:w w:val="110"/>
          <w:sz w:val="18"/>
        </w:rPr>
        <w:t>C.3.1 No </w:t>
      </w:r>
      <w:r>
        <w:rPr>
          <w:color w:val="231F20"/>
          <w:spacing w:val="2"/>
          <w:w w:val="110"/>
          <w:sz w:val="18"/>
        </w:rPr>
        <w:t>person </w:t>
      </w:r>
      <w:r>
        <w:rPr>
          <w:color w:val="231F20"/>
          <w:w w:val="110"/>
          <w:sz w:val="18"/>
        </w:rPr>
        <w:t>shall be appointed to sit as a member of the Assembly Commission or the Appeals Commission in the hearing of any </w:t>
      </w:r>
      <w:r>
        <w:rPr>
          <w:color w:val="231F20"/>
          <w:spacing w:val="2"/>
          <w:w w:val="110"/>
          <w:sz w:val="18"/>
        </w:rPr>
        <w:t>case </w:t>
      </w:r>
      <w:r>
        <w:rPr>
          <w:color w:val="231F20"/>
          <w:w w:val="110"/>
          <w:sz w:val="18"/>
        </w:rPr>
        <w:t>in which he/she has any involvement, whether as a member of any local church, </w:t>
      </w:r>
      <w:r>
        <w:rPr>
          <w:color w:val="231F20"/>
          <w:spacing w:val="2"/>
          <w:w w:val="110"/>
          <w:sz w:val="18"/>
        </w:rPr>
        <w:t>District </w:t>
      </w:r>
      <w:r>
        <w:rPr>
          <w:color w:val="231F20"/>
          <w:w w:val="110"/>
          <w:sz w:val="18"/>
        </w:rPr>
        <w:t>Council or Synod </w:t>
      </w:r>
      <w:r>
        <w:rPr>
          <w:color w:val="231F20"/>
          <w:spacing w:val="2"/>
          <w:w w:val="110"/>
          <w:sz w:val="18"/>
        </w:rPr>
        <w:t>connected </w:t>
      </w:r>
      <w:r>
        <w:rPr>
          <w:color w:val="231F20"/>
          <w:w w:val="110"/>
          <w:sz w:val="18"/>
        </w:rPr>
        <w:t>with the </w:t>
      </w:r>
      <w:r>
        <w:rPr>
          <w:color w:val="231F20"/>
          <w:spacing w:val="2"/>
          <w:w w:val="110"/>
          <w:sz w:val="18"/>
        </w:rPr>
        <w:t>case </w:t>
      </w:r>
      <w:r>
        <w:rPr>
          <w:color w:val="231F20"/>
          <w:w w:val="110"/>
          <w:sz w:val="18"/>
        </w:rPr>
        <w:t>or (in the event of a re-hearing under Paragraph </w:t>
      </w:r>
      <w:r>
        <w:rPr>
          <w:color w:val="231F20"/>
          <w:spacing w:val="-5"/>
          <w:w w:val="110"/>
          <w:sz w:val="18"/>
        </w:rPr>
        <w:t>G.11.7) </w:t>
      </w:r>
      <w:r>
        <w:rPr>
          <w:color w:val="231F20"/>
          <w:w w:val="110"/>
          <w:sz w:val="18"/>
        </w:rPr>
        <w:t>a member of the previous Assembly Commission or the Appeals Commission, or whether  on account of some personal or pastoral involvement as a result of which it is considered by</w:t>
      </w:r>
      <w:r>
        <w:rPr>
          <w:color w:val="231F20"/>
          <w:spacing w:val="14"/>
          <w:w w:val="110"/>
          <w:sz w:val="18"/>
        </w:rPr>
        <w:t> </w:t>
      </w:r>
      <w:r>
        <w:rPr>
          <w:color w:val="231F20"/>
          <w:w w:val="110"/>
          <w:sz w:val="18"/>
        </w:rPr>
        <w:t>those</w:t>
      </w:r>
      <w:r>
        <w:rPr>
          <w:color w:val="231F20"/>
          <w:spacing w:val="14"/>
          <w:w w:val="110"/>
          <w:sz w:val="18"/>
        </w:rPr>
        <w:t> </w:t>
      </w:r>
      <w:r>
        <w:rPr>
          <w:color w:val="231F20"/>
          <w:w w:val="110"/>
          <w:sz w:val="18"/>
        </w:rPr>
        <w:t>responsible</w:t>
      </w:r>
      <w:r>
        <w:rPr>
          <w:color w:val="231F20"/>
          <w:spacing w:val="14"/>
          <w:w w:val="110"/>
          <w:sz w:val="18"/>
        </w:rPr>
        <w:t> </w:t>
      </w:r>
      <w:r>
        <w:rPr>
          <w:color w:val="231F20"/>
          <w:w w:val="110"/>
          <w:sz w:val="18"/>
        </w:rPr>
        <w:t>for</w:t>
      </w:r>
      <w:r>
        <w:rPr>
          <w:color w:val="231F20"/>
          <w:spacing w:val="15"/>
          <w:w w:val="110"/>
          <w:sz w:val="18"/>
        </w:rPr>
        <w:t> </w:t>
      </w:r>
      <w:r>
        <w:rPr>
          <w:color w:val="231F20"/>
          <w:spacing w:val="2"/>
          <w:w w:val="110"/>
          <w:sz w:val="18"/>
        </w:rPr>
        <w:t>selecting</w:t>
      </w:r>
      <w:r>
        <w:rPr>
          <w:color w:val="231F20"/>
          <w:spacing w:val="14"/>
          <w:w w:val="110"/>
          <w:sz w:val="18"/>
        </w:rPr>
        <w:t> </w:t>
      </w:r>
      <w:r>
        <w:rPr>
          <w:color w:val="231F20"/>
          <w:w w:val="110"/>
          <w:sz w:val="18"/>
        </w:rPr>
        <w:t>the</w:t>
      </w:r>
      <w:r>
        <w:rPr>
          <w:color w:val="231F20"/>
          <w:spacing w:val="14"/>
          <w:w w:val="110"/>
          <w:sz w:val="18"/>
        </w:rPr>
        <w:t> </w:t>
      </w:r>
      <w:r>
        <w:rPr>
          <w:color w:val="231F20"/>
          <w:w w:val="110"/>
          <w:sz w:val="18"/>
        </w:rPr>
        <w:t>Assembly</w:t>
      </w:r>
      <w:r>
        <w:rPr>
          <w:color w:val="231F20"/>
          <w:spacing w:val="15"/>
          <w:w w:val="110"/>
          <w:sz w:val="18"/>
        </w:rPr>
        <w:t> </w:t>
      </w:r>
      <w:r>
        <w:rPr>
          <w:color w:val="231F20"/>
          <w:w w:val="110"/>
          <w:sz w:val="18"/>
        </w:rPr>
        <w:t>Commission</w:t>
      </w:r>
      <w:r>
        <w:rPr>
          <w:color w:val="231F20"/>
          <w:spacing w:val="14"/>
          <w:w w:val="110"/>
          <w:sz w:val="18"/>
        </w:rPr>
        <w:t> </w:t>
      </w:r>
      <w:r>
        <w:rPr>
          <w:color w:val="231F20"/>
          <w:w w:val="110"/>
          <w:sz w:val="18"/>
        </w:rPr>
        <w:t>or</w:t>
      </w:r>
      <w:r>
        <w:rPr>
          <w:color w:val="231F20"/>
          <w:spacing w:val="14"/>
          <w:w w:val="110"/>
          <w:sz w:val="18"/>
        </w:rPr>
        <w:t> </w:t>
      </w:r>
      <w:r>
        <w:rPr>
          <w:color w:val="231F20"/>
          <w:w w:val="110"/>
          <w:sz w:val="18"/>
        </w:rPr>
        <w:t>the</w:t>
      </w:r>
      <w:r>
        <w:rPr>
          <w:color w:val="231F20"/>
          <w:spacing w:val="15"/>
          <w:w w:val="110"/>
          <w:sz w:val="18"/>
        </w:rPr>
        <w:t> </w:t>
      </w:r>
      <w:r>
        <w:rPr>
          <w:color w:val="231F20"/>
          <w:w w:val="110"/>
          <w:sz w:val="18"/>
        </w:rPr>
        <w:t>Appeals</w:t>
      </w:r>
      <w:r>
        <w:rPr>
          <w:color w:val="231F20"/>
          <w:spacing w:val="14"/>
          <w:w w:val="110"/>
          <w:sz w:val="18"/>
        </w:rPr>
        <w:t> </w:t>
      </w:r>
      <w:r>
        <w:rPr>
          <w:color w:val="231F20"/>
          <w:w w:val="110"/>
          <w:sz w:val="18"/>
        </w:rPr>
        <w:t>Commission</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BodyText"/>
        <w:spacing w:line="273" w:lineRule="auto" w:before="101"/>
        <w:ind w:left="513" w:right="1844"/>
      </w:pPr>
      <w:r>
        <w:rPr>
          <w:color w:val="231F20"/>
          <w:w w:val="110"/>
        </w:rPr>
        <w:t>for that case or by the proposed appointee him/herself that it would not be appropriate for him/her to hear the case.</w:t>
      </w:r>
    </w:p>
    <w:p>
      <w:pPr>
        <w:pStyle w:val="BodyText"/>
        <w:spacing w:before="8"/>
        <w:rPr>
          <w:sz w:val="20"/>
        </w:rPr>
      </w:pPr>
    </w:p>
    <w:p>
      <w:pPr>
        <w:pStyle w:val="BodyText"/>
        <w:spacing w:line="273" w:lineRule="auto"/>
        <w:ind w:left="513" w:right="2040"/>
      </w:pPr>
      <w:r>
        <w:rPr>
          <w:color w:val="231F20"/>
          <w:w w:val="110"/>
        </w:rPr>
        <w:t>C.3.2 Under the Rules of Procedure, either of the </w:t>
      </w:r>
      <w:r>
        <w:rPr>
          <w:color w:val="231F20"/>
          <w:spacing w:val="2"/>
          <w:w w:val="110"/>
        </w:rPr>
        <w:t>parties </w:t>
      </w:r>
      <w:r>
        <w:rPr>
          <w:color w:val="231F20"/>
          <w:w w:val="110"/>
        </w:rPr>
        <w:t>may object on any of the grounds set out in Paragraph C.3.1 to the </w:t>
      </w:r>
      <w:r>
        <w:rPr>
          <w:color w:val="231F20"/>
          <w:spacing w:val="2"/>
          <w:w w:val="110"/>
        </w:rPr>
        <w:t>proposed </w:t>
      </w:r>
      <w:r>
        <w:rPr>
          <w:color w:val="231F20"/>
          <w:w w:val="110"/>
        </w:rPr>
        <w:t>appointment of any </w:t>
      </w:r>
      <w:r>
        <w:rPr>
          <w:color w:val="231F20"/>
          <w:spacing w:val="2"/>
          <w:w w:val="110"/>
        </w:rPr>
        <w:t>person </w:t>
      </w:r>
      <w:r>
        <w:rPr>
          <w:color w:val="231F20"/>
          <w:w w:val="110"/>
        </w:rPr>
        <w:t>to the Assembly Commission or the Appeals Commission for the hearing of his/her </w:t>
      </w:r>
      <w:r>
        <w:rPr>
          <w:color w:val="231F20"/>
          <w:spacing w:val="2"/>
          <w:w w:val="110"/>
        </w:rPr>
        <w:t>case </w:t>
      </w:r>
      <w:r>
        <w:rPr>
          <w:color w:val="231F20"/>
          <w:w w:val="110"/>
        </w:rPr>
        <w:t>and, in the event of any such objection, the decision of those charged under the </w:t>
      </w:r>
      <w:r>
        <w:rPr>
          <w:color w:val="231F20"/>
          <w:spacing w:val="2"/>
          <w:w w:val="110"/>
        </w:rPr>
        <w:t>Section </w:t>
      </w:r>
      <w:r>
        <w:rPr>
          <w:color w:val="231F20"/>
          <w:w w:val="110"/>
        </w:rPr>
        <w:t>O </w:t>
      </w:r>
      <w:r>
        <w:rPr>
          <w:color w:val="231F20"/>
          <w:spacing w:val="2"/>
          <w:w w:val="110"/>
        </w:rPr>
        <w:t>Process </w:t>
      </w:r>
      <w:r>
        <w:rPr>
          <w:color w:val="231F20"/>
          <w:w w:val="110"/>
        </w:rPr>
        <w:t>with making the appointment shall be final and</w:t>
      </w:r>
      <w:r>
        <w:rPr>
          <w:color w:val="231F20"/>
          <w:spacing w:val="21"/>
          <w:w w:val="110"/>
        </w:rPr>
        <w:t> </w:t>
      </w:r>
      <w:r>
        <w:rPr>
          <w:color w:val="231F20"/>
          <w:w w:val="110"/>
        </w:rPr>
        <w:t>binding.</w:t>
      </w:r>
    </w:p>
    <w:p>
      <w:pPr>
        <w:pStyle w:val="BodyText"/>
        <w:spacing w:before="10"/>
        <w:rPr>
          <w:sz w:val="20"/>
        </w:rPr>
      </w:pPr>
    </w:p>
    <w:p>
      <w:pPr>
        <w:pStyle w:val="ListParagraph"/>
        <w:numPr>
          <w:ilvl w:val="2"/>
          <w:numId w:val="122"/>
        </w:numPr>
        <w:tabs>
          <w:tab w:pos="1233" w:val="left" w:leader="none"/>
          <w:tab w:pos="1234" w:val="left" w:leader="none"/>
        </w:tabs>
        <w:spacing w:line="273" w:lineRule="auto" w:before="0" w:after="0"/>
        <w:ind w:left="513" w:right="1866" w:firstLine="0"/>
        <w:jc w:val="left"/>
        <w:rPr>
          <w:sz w:val="18"/>
        </w:rPr>
      </w:pPr>
      <w:r>
        <w:rPr>
          <w:color w:val="231F20"/>
          <w:spacing w:val="-4"/>
          <w:w w:val="110"/>
          <w:sz w:val="18"/>
        </w:rPr>
        <w:t>C.4.1    </w:t>
      </w:r>
      <w:r>
        <w:rPr>
          <w:color w:val="231F20"/>
          <w:w w:val="110"/>
          <w:sz w:val="18"/>
        </w:rPr>
        <w:t>The </w:t>
      </w:r>
      <w:r>
        <w:rPr>
          <w:color w:val="231F20"/>
          <w:spacing w:val="3"/>
          <w:w w:val="110"/>
          <w:sz w:val="18"/>
        </w:rPr>
        <w:t>Secretary </w:t>
      </w:r>
      <w:r>
        <w:rPr>
          <w:color w:val="231F20"/>
          <w:w w:val="110"/>
          <w:sz w:val="18"/>
        </w:rPr>
        <w:t>of the Assembly Commission shall send to each member  of the Commission Panel whom the Appointers </w:t>
      </w:r>
      <w:r>
        <w:rPr>
          <w:color w:val="231F20"/>
          <w:spacing w:val="2"/>
          <w:w w:val="110"/>
          <w:sz w:val="18"/>
        </w:rPr>
        <w:t>propose </w:t>
      </w:r>
      <w:r>
        <w:rPr>
          <w:color w:val="231F20"/>
          <w:w w:val="110"/>
          <w:sz w:val="18"/>
        </w:rPr>
        <w:t>to appoint to the Assembly Commission notice of his/her </w:t>
      </w:r>
      <w:r>
        <w:rPr>
          <w:color w:val="231F20"/>
          <w:spacing w:val="2"/>
          <w:w w:val="110"/>
          <w:sz w:val="18"/>
        </w:rPr>
        <w:t>proposed </w:t>
      </w:r>
      <w:r>
        <w:rPr>
          <w:color w:val="231F20"/>
          <w:w w:val="110"/>
          <w:sz w:val="18"/>
        </w:rPr>
        <w:t>appointment, stating the name of the Minister but containing no </w:t>
      </w:r>
      <w:r>
        <w:rPr>
          <w:color w:val="231F20"/>
          <w:spacing w:val="2"/>
          <w:w w:val="110"/>
          <w:sz w:val="18"/>
        </w:rPr>
        <w:t>further </w:t>
      </w:r>
      <w:r>
        <w:rPr>
          <w:color w:val="231F20"/>
          <w:w w:val="110"/>
          <w:sz w:val="18"/>
        </w:rPr>
        <w:t>details of the case. The Notice shall draw the invitee’s attention</w:t>
      </w:r>
      <w:r>
        <w:rPr>
          <w:color w:val="231F20"/>
          <w:spacing w:val="9"/>
          <w:w w:val="110"/>
          <w:sz w:val="18"/>
        </w:rPr>
        <w:t> </w:t>
      </w:r>
      <w:r>
        <w:rPr>
          <w:color w:val="231F20"/>
          <w:w w:val="110"/>
          <w:sz w:val="18"/>
        </w:rPr>
        <w:t>to</w:t>
      </w:r>
      <w:r>
        <w:rPr>
          <w:color w:val="231F20"/>
          <w:spacing w:val="10"/>
          <w:w w:val="110"/>
          <w:sz w:val="18"/>
        </w:rPr>
        <w:t> </w:t>
      </w:r>
      <w:r>
        <w:rPr>
          <w:color w:val="231F20"/>
          <w:w w:val="110"/>
          <w:sz w:val="18"/>
        </w:rPr>
        <w:t>Paragraph</w:t>
      </w:r>
      <w:r>
        <w:rPr>
          <w:color w:val="231F20"/>
          <w:spacing w:val="10"/>
          <w:w w:val="110"/>
          <w:sz w:val="18"/>
        </w:rPr>
        <w:t> </w:t>
      </w:r>
      <w:r>
        <w:rPr>
          <w:color w:val="231F20"/>
          <w:w w:val="110"/>
          <w:sz w:val="18"/>
        </w:rPr>
        <w:t>C.3.1</w:t>
      </w:r>
      <w:r>
        <w:rPr>
          <w:color w:val="231F20"/>
          <w:spacing w:val="10"/>
          <w:w w:val="110"/>
          <w:sz w:val="18"/>
        </w:rPr>
        <w:t> </w:t>
      </w:r>
      <w:r>
        <w:rPr>
          <w:color w:val="231F20"/>
          <w:w w:val="110"/>
          <w:sz w:val="18"/>
        </w:rPr>
        <w:t>and</w:t>
      </w:r>
      <w:r>
        <w:rPr>
          <w:color w:val="231F20"/>
          <w:spacing w:val="9"/>
          <w:w w:val="110"/>
          <w:sz w:val="18"/>
        </w:rPr>
        <w:t> </w:t>
      </w:r>
      <w:r>
        <w:rPr>
          <w:color w:val="231F20"/>
          <w:w w:val="110"/>
          <w:sz w:val="18"/>
        </w:rPr>
        <w:t>shall</w:t>
      </w:r>
      <w:r>
        <w:rPr>
          <w:color w:val="231F20"/>
          <w:spacing w:val="10"/>
          <w:w w:val="110"/>
          <w:sz w:val="18"/>
        </w:rPr>
        <w:t> </w:t>
      </w:r>
      <w:r>
        <w:rPr>
          <w:color w:val="231F20"/>
          <w:w w:val="110"/>
          <w:sz w:val="18"/>
        </w:rPr>
        <w:t>request</w:t>
      </w:r>
      <w:r>
        <w:rPr>
          <w:color w:val="231F20"/>
          <w:spacing w:val="10"/>
          <w:w w:val="110"/>
          <w:sz w:val="18"/>
        </w:rPr>
        <w:t> </w:t>
      </w:r>
      <w:r>
        <w:rPr>
          <w:color w:val="231F20"/>
          <w:w w:val="110"/>
          <w:sz w:val="18"/>
        </w:rPr>
        <w:t>confirmation</w:t>
      </w:r>
      <w:r>
        <w:rPr>
          <w:color w:val="231F20"/>
          <w:spacing w:val="9"/>
          <w:w w:val="110"/>
          <w:sz w:val="18"/>
        </w:rPr>
        <w:t> </w:t>
      </w:r>
      <w:r>
        <w:rPr>
          <w:color w:val="231F20"/>
          <w:w w:val="110"/>
          <w:sz w:val="18"/>
        </w:rPr>
        <w:t>that</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invitee</w:t>
      </w:r>
      <w:r>
        <w:rPr>
          <w:color w:val="231F20"/>
          <w:spacing w:val="10"/>
          <w:w w:val="110"/>
          <w:sz w:val="18"/>
        </w:rPr>
        <w:t> </w:t>
      </w:r>
      <w:r>
        <w:rPr>
          <w:color w:val="231F20"/>
          <w:w w:val="110"/>
          <w:sz w:val="18"/>
        </w:rPr>
        <w:t>is</w:t>
      </w:r>
      <w:r>
        <w:rPr>
          <w:color w:val="231F20"/>
          <w:spacing w:val="9"/>
          <w:w w:val="110"/>
          <w:sz w:val="18"/>
        </w:rPr>
        <w:t> </w:t>
      </w:r>
      <w:r>
        <w:rPr>
          <w:color w:val="231F20"/>
          <w:w w:val="110"/>
          <w:sz w:val="18"/>
        </w:rPr>
        <w:t>willing</w:t>
      </w:r>
      <w:r>
        <w:rPr>
          <w:color w:val="231F20"/>
          <w:spacing w:val="10"/>
          <w:w w:val="110"/>
          <w:sz w:val="18"/>
        </w:rPr>
        <w:t> </w:t>
      </w:r>
      <w:r>
        <w:rPr>
          <w:color w:val="231F20"/>
          <w:w w:val="110"/>
          <w:sz w:val="18"/>
        </w:rPr>
        <w:t>to</w:t>
      </w:r>
    </w:p>
    <w:p>
      <w:pPr>
        <w:pStyle w:val="BodyText"/>
        <w:spacing w:line="273" w:lineRule="auto" w:before="3"/>
        <w:ind w:left="513" w:right="1844"/>
      </w:pPr>
      <w:r>
        <w:rPr>
          <w:color w:val="231F20"/>
          <w:w w:val="110"/>
        </w:rPr>
        <w:t>accept appointment and that s/he is unaware of any circumstances which in the present case might prevent him/her from serving on the Assembly Commission.</w:t>
      </w:r>
    </w:p>
    <w:p>
      <w:pPr>
        <w:pStyle w:val="BodyText"/>
        <w:spacing w:before="8"/>
        <w:rPr>
          <w:sz w:val="20"/>
        </w:rPr>
      </w:pPr>
    </w:p>
    <w:p>
      <w:pPr>
        <w:pStyle w:val="BodyText"/>
        <w:spacing w:line="273" w:lineRule="auto"/>
        <w:ind w:left="513" w:right="1844"/>
      </w:pPr>
      <w:r>
        <w:rPr>
          <w:color w:val="231F20"/>
          <w:w w:val="110"/>
        </w:rPr>
        <w:t>C.4.2 The Invitee shall within 7 days of receipt of such Notice serve on the Secretary of the Assembly Commission a Notice indicating whether s/he is able and willing to accept appointment and, if so, confirming compliance with Paragraph C.3.1.</w:t>
      </w:r>
    </w:p>
    <w:p>
      <w:pPr>
        <w:pStyle w:val="BodyText"/>
        <w:spacing w:before="9"/>
        <w:rPr>
          <w:sz w:val="20"/>
        </w:rPr>
      </w:pPr>
    </w:p>
    <w:p>
      <w:pPr>
        <w:pStyle w:val="ListParagraph"/>
        <w:numPr>
          <w:ilvl w:val="2"/>
          <w:numId w:val="122"/>
        </w:numPr>
        <w:tabs>
          <w:tab w:pos="1233" w:val="left" w:leader="none"/>
          <w:tab w:pos="1234" w:val="left" w:leader="none"/>
        </w:tabs>
        <w:spacing w:line="273" w:lineRule="auto" w:before="0" w:after="0"/>
        <w:ind w:left="514" w:right="1698" w:hanging="1"/>
        <w:jc w:val="left"/>
        <w:rPr>
          <w:sz w:val="18"/>
        </w:rPr>
      </w:pPr>
      <w:r>
        <w:rPr>
          <w:color w:val="231F20"/>
          <w:w w:val="110"/>
          <w:sz w:val="18"/>
        </w:rPr>
        <w:t>C.5.1 The </w:t>
      </w:r>
      <w:r>
        <w:rPr>
          <w:color w:val="231F20"/>
          <w:spacing w:val="3"/>
          <w:w w:val="110"/>
          <w:sz w:val="18"/>
        </w:rPr>
        <w:t>Secretary </w:t>
      </w:r>
      <w:r>
        <w:rPr>
          <w:color w:val="231F20"/>
          <w:w w:val="110"/>
          <w:sz w:val="18"/>
        </w:rPr>
        <w:t>of the Assembly Commission shall </w:t>
      </w:r>
      <w:r>
        <w:rPr>
          <w:color w:val="231F20"/>
          <w:spacing w:val="2"/>
          <w:w w:val="110"/>
          <w:sz w:val="18"/>
        </w:rPr>
        <w:t>serve </w:t>
      </w:r>
      <w:r>
        <w:rPr>
          <w:color w:val="231F20"/>
          <w:w w:val="110"/>
          <w:sz w:val="18"/>
        </w:rPr>
        <w:t>notice on the Parties setting out the name and </w:t>
      </w:r>
      <w:r>
        <w:rPr>
          <w:color w:val="231F20"/>
          <w:spacing w:val="2"/>
          <w:w w:val="110"/>
          <w:sz w:val="18"/>
        </w:rPr>
        <w:t>office </w:t>
      </w:r>
      <w:r>
        <w:rPr>
          <w:color w:val="231F20"/>
          <w:w w:val="110"/>
          <w:sz w:val="18"/>
        </w:rPr>
        <w:t>or credentials of each proposed appointee, drawing attention to Paragraphs C.3.1 and requiring notice of objection to any of the proposed appointees under that Paragraph to be </w:t>
      </w:r>
      <w:r>
        <w:rPr>
          <w:color w:val="231F20"/>
          <w:spacing w:val="2"/>
          <w:w w:val="110"/>
          <w:sz w:val="18"/>
        </w:rPr>
        <w:t>served </w:t>
      </w:r>
      <w:r>
        <w:rPr>
          <w:color w:val="231F20"/>
          <w:w w:val="110"/>
          <w:sz w:val="18"/>
        </w:rPr>
        <w:t>upon the </w:t>
      </w:r>
      <w:r>
        <w:rPr>
          <w:color w:val="231F20"/>
          <w:spacing w:val="3"/>
          <w:w w:val="110"/>
          <w:sz w:val="18"/>
        </w:rPr>
        <w:t>Secretary </w:t>
      </w:r>
      <w:r>
        <w:rPr>
          <w:color w:val="231F20"/>
          <w:w w:val="110"/>
          <w:sz w:val="18"/>
        </w:rPr>
        <w:t>of the Assembly Commission within </w:t>
      </w:r>
      <w:r>
        <w:rPr>
          <w:color w:val="231F20"/>
          <w:spacing w:val="-6"/>
          <w:w w:val="110"/>
          <w:sz w:val="18"/>
        </w:rPr>
        <w:t>14 </w:t>
      </w:r>
      <w:r>
        <w:rPr>
          <w:color w:val="231F20"/>
          <w:w w:val="110"/>
          <w:sz w:val="18"/>
        </w:rPr>
        <w:t>days of the </w:t>
      </w:r>
      <w:r>
        <w:rPr>
          <w:color w:val="231F20"/>
          <w:spacing w:val="2"/>
          <w:w w:val="110"/>
          <w:sz w:val="18"/>
        </w:rPr>
        <w:t>service </w:t>
      </w:r>
      <w:r>
        <w:rPr>
          <w:color w:val="231F20"/>
          <w:w w:val="110"/>
          <w:sz w:val="18"/>
        </w:rPr>
        <w:t>of the Notice given under this</w:t>
      </w:r>
      <w:r>
        <w:rPr>
          <w:color w:val="231F20"/>
          <w:spacing w:val="-39"/>
          <w:w w:val="110"/>
          <w:sz w:val="18"/>
        </w:rPr>
        <w:t> </w:t>
      </w:r>
      <w:r>
        <w:rPr>
          <w:color w:val="231F20"/>
          <w:w w:val="110"/>
          <w:sz w:val="18"/>
        </w:rPr>
        <w:t>Paragraph.</w:t>
      </w:r>
    </w:p>
    <w:p>
      <w:pPr>
        <w:pStyle w:val="BodyText"/>
        <w:spacing w:before="10"/>
        <w:rPr>
          <w:sz w:val="20"/>
        </w:rPr>
      </w:pPr>
    </w:p>
    <w:p>
      <w:pPr>
        <w:pStyle w:val="ListParagraph"/>
        <w:numPr>
          <w:ilvl w:val="2"/>
          <w:numId w:val="147"/>
        </w:numPr>
        <w:tabs>
          <w:tab w:pos="1234" w:val="left" w:leader="none"/>
        </w:tabs>
        <w:spacing w:line="240" w:lineRule="auto" w:before="0" w:after="0"/>
        <w:ind w:left="1233" w:right="0" w:hanging="721"/>
        <w:jc w:val="left"/>
        <w:rPr>
          <w:sz w:val="18"/>
        </w:rPr>
      </w:pPr>
      <w:r>
        <w:rPr>
          <w:color w:val="231F20"/>
          <w:w w:val="110"/>
          <w:sz w:val="18"/>
        </w:rPr>
        <w:t>Any such Notice of Objection must state the grounds for such</w:t>
      </w:r>
      <w:r>
        <w:rPr>
          <w:color w:val="231F20"/>
          <w:spacing w:val="38"/>
          <w:w w:val="110"/>
          <w:sz w:val="18"/>
        </w:rPr>
        <w:t> </w:t>
      </w:r>
      <w:r>
        <w:rPr>
          <w:color w:val="231F20"/>
          <w:w w:val="110"/>
          <w:sz w:val="18"/>
        </w:rPr>
        <w:t>objection.</w:t>
      </w:r>
    </w:p>
    <w:p>
      <w:pPr>
        <w:pStyle w:val="BodyText"/>
        <w:spacing w:before="1"/>
        <w:rPr>
          <w:sz w:val="23"/>
        </w:rPr>
      </w:pPr>
    </w:p>
    <w:p>
      <w:pPr>
        <w:pStyle w:val="ListParagraph"/>
        <w:numPr>
          <w:ilvl w:val="2"/>
          <w:numId w:val="147"/>
        </w:numPr>
        <w:tabs>
          <w:tab w:pos="1234" w:val="left" w:leader="none"/>
        </w:tabs>
        <w:spacing w:line="273" w:lineRule="auto" w:before="1" w:after="0"/>
        <w:ind w:left="513" w:right="1891" w:firstLine="0"/>
        <w:jc w:val="left"/>
        <w:rPr>
          <w:sz w:val="18"/>
        </w:rPr>
      </w:pPr>
      <w:r>
        <w:rPr>
          <w:color w:val="231F20"/>
          <w:spacing w:val="-8"/>
          <w:w w:val="110"/>
          <w:sz w:val="18"/>
        </w:rPr>
        <w:t>To </w:t>
      </w:r>
      <w:r>
        <w:rPr>
          <w:color w:val="231F20"/>
          <w:w w:val="110"/>
          <w:sz w:val="18"/>
        </w:rPr>
        <w:t>ensure that the Commission Stage is moved along in a timely </w:t>
      </w:r>
      <w:r>
        <w:rPr>
          <w:color w:val="231F20"/>
          <w:spacing w:val="-3"/>
          <w:w w:val="110"/>
          <w:sz w:val="18"/>
        </w:rPr>
        <w:t>manner, </w:t>
      </w:r>
      <w:r>
        <w:rPr>
          <w:color w:val="231F20"/>
          <w:w w:val="110"/>
          <w:sz w:val="18"/>
        </w:rPr>
        <w:t>any Notice of Objection received outside the period allowed will not normally be considered unless </w:t>
      </w:r>
      <w:r>
        <w:rPr>
          <w:color w:val="231F20"/>
          <w:spacing w:val="2"/>
          <w:w w:val="110"/>
          <w:sz w:val="18"/>
        </w:rPr>
        <w:t>very </w:t>
      </w:r>
      <w:r>
        <w:rPr>
          <w:color w:val="231F20"/>
          <w:w w:val="110"/>
          <w:sz w:val="18"/>
        </w:rPr>
        <w:t>good reason can be shown for its late</w:t>
      </w:r>
      <w:r>
        <w:rPr>
          <w:color w:val="231F20"/>
          <w:spacing w:val="22"/>
          <w:w w:val="110"/>
          <w:sz w:val="18"/>
        </w:rPr>
        <w:t> </w:t>
      </w:r>
      <w:r>
        <w:rPr>
          <w:color w:val="231F20"/>
          <w:w w:val="110"/>
          <w:sz w:val="18"/>
        </w:rPr>
        <w:t>delivery.</w:t>
      </w:r>
    </w:p>
    <w:p>
      <w:pPr>
        <w:pStyle w:val="BodyText"/>
        <w:spacing w:before="8"/>
        <w:rPr>
          <w:sz w:val="20"/>
        </w:rPr>
      </w:pPr>
    </w:p>
    <w:p>
      <w:pPr>
        <w:pStyle w:val="ListParagraph"/>
        <w:numPr>
          <w:ilvl w:val="2"/>
          <w:numId w:val="147"/>
        </w:numPr>
        <w:tabs>
          <w:tab w:pos="1234" w:val="left" w:leader="none"/>
        </w:tabs>
        <w:spacing w:line="273" w:lineRule="auto" w:before="0" w:after="0"/>
        <w:ind w:left="513" w:right="1979" w:firstLine="0"/>
        <w:jc w:val="left"/>
        <w:rPr>
          <w:sz w:val="18"/>
        </w:rPr>
      </w:pPr>
      <w:r>
        <w:rPr>
          <w:color w:val="231F20"/>
          <w:w w:val="110"/>
          <w:sz w:val="18"/>
        </w:rPr>
        <w:t>The Appointers shall consider any objection properly delivered and shall decide whether to uphold or </w:t>
      </w:r>
      <w:r>
        <w:rPr>
          <w:color w:val="231F20"/>
          <w:spacing w:val="2"/>
          <w:w w:val="110"/>
          <w:sz w:val="18"/>
        </w:rPr>
        <w:t>reject </w:t>
      </w:r>
      <w:r>
        <w:rPr>
          <w:color w:val="231F20"/>
          <w:w w:val="110"/>
          <w:sz w:val="18"/>
        </w:rPr>
        <w:t>the</w:t>
      </w:r>
      <w:r>
        <w:rPr>
          <w:color w:val="231F20"/>
          <w:spacing w:val="7"/>
          <w:w w:val="110"/>
          <w:sz w:val="18"/>
        </w:rPr>
        <w:t> </w:t>
      </w:r>
      <w:r>
        <w:rPr>
          <w:color w:val="231F20"/>
          <w:w w:val="110"/>
          <w:sz w:val="18"/>
        </w:rPr>
        <w:t>objection.</w:t>
      </w:r>
    </w:p>
    <w:p>
      <w:pPr>
        <w:pStyle w:val="BodyText"/>
        <w:spacing w:before="8"/>
        <w:rPr>
          <w:sz w:val="20"/>
        </w:rPr>
      </w:pPr>
    </w:p>
    <w:p>
      <w:pPr>
        <w:pStyle w:val="ListParagraph"/>
        <w:numPr>
          <w:ilvl w:val="2"/>
          <w:numId w:val="147"/>
        </w:numPr>
        <w:tabs>
          <w:tab w:pos="1234" w:val="left" w:leader="none"/>
        </w:tabs>
        <w:spacing w:line="273" w:lineRule="auto" w:before="1" w:after="0"/>
        <w:ind w:left="513" w:right="2303" w:firstLine="0"/>
        <w:jc w:val="left"/>
        <w:rPr>
          <w:sz w:val="18"/>
        </w:rPr>
      </w:pPr>
      <w:r>
        <w:rPr>
          <w:color w:val="231F20"/>
          <w:w w:val="110"/>
          <w:sz w:val="18"/>
        </w:rPr>
        <w:t>If they </w:t>
      </w:r>
      <w:r>
        <w:rPr>
          <w:color w:val="231F20"/>
          <w:spacing w:val="2"/>
          <w:w w:val="110"/>
          <w:sz w:val="18"/>
        </w:rPr>
        <w:t>reject </w:t>
      </w:r>
      <w:r>
        <w:rPr>
          <w:color w:val="231F20"/>
          <w:w w:val="110"/>
          <w:sz w:val="18"/>
        </w:rPr>
        <w:t>the objection the </w:t>
      </w:r>
      <w:r>
        <w:rPr>
          <w:color w:val="231F20"/>
          <w:spacing w:val="3"/>
          <w:w w:val="110"/>
          <w:sz w:val="18"/>
        </w:rPr>
        <w:t>Secretary </w:t>
      </w:r>
      <w:r>
        <w:rPr>
          <w:color w:val="231F20"/>
          <w:w w:val="110"/>
          <w:sz w:val="18"/>
        </w:rPr>
        <w:t>of the Assembly Commission shall </w:t>
      </w:r>
      <w:r>
        <w:rPr>
          <w:color w:val="231F20"/>
          <w:spacing w:val="2"/>
          <w:w w:val="110"/>
          <w:sz w:val="18"/>
        </w:rPr>
        <w:t>serve </w:t>
      </w:r>
      <w:r>
        <w:rPr>
          <w:color w:val="231F20"/>
          <w:w w:val="110"/>
          <w:sz w:val="18"/>
        </w:rPr>
        <w:t>notice thereof on the</w:t>
      </w:r>
      <w:r>
        <w:rPr>
          <w:color w:val="231F20"/>
          <w:spacing w:val="5"/>
          <w:w w:val="110"/>
          <w:sz w:val="18"/>
        </w:rPr>
        <w:t> </w:t>
      </w:r>
      <w:r>
        <w:rPr>
          <w:color w:val="231F20"/>
          <w:w w:val="110"/>
          <w:sz w:val="18"/>
        </w:rPr>
        <w:t>objector.</w:t>
      </w:r>
    </w:p>
    <w:p>
      <w:pPr>
        <w:pStyle w:val="BodyText"/>
        <w:spacing w:before="8"/>
        <w:rPr>
          <w:sz w:val="20"/>
        </w:rPr>
      </w:pPr>
    </w:p>
    <w:p>
      <w:pPr>
        <w:pStyle w:val="ListParagraph"/>
        <w:numPr>
          <w:ilvl w:val="2"/>
          <w:numId w:val="147"/>
        </w:numPr>
        <w:tabs>
          <w:tab w:pos="1234" w:val="left" w:leader="none"/>
        </w:tabs>
        <w:spacing w:line="273" w:lineRule="auto" w:before="0" w:after="0"/>
        <w:ind w:left="513" w:right="1719" w:firstLine="0"/>
        <w:jc w:val="left"/>
        <w:rPr>
          <w:sz w:val="18"/>
        </w:rPr>
      </w:pPr>
      <w:r>
        <w:rPr>
          <w:color w:val="231F20"/>
          <w:w w:val="110"/>
          <w:sz w:val="18"/>
        </w:rPr>
        <w:t>If they uphold the objection, the </w:t>
      </w:r>
      <w:r>
        <w:rPr>
          <w:color w:val="231F20"/>
          <w:spacing w:val="3"/>
          <w:w w:val="110"/>
          <w:sz w:val="18"/>
        </w:rPr>
        <w:t>Secretary </w:t>
      </w:r>
      <w:r>
        <w:rPr>
          <w:color w:val="231F20"/>
          <w:w w:val="110"/>
          <w:sz w:val="18"/>
        </w:rPr>
        <w:t>of the Assembly Commission shall </w:t>
      </w:r>
      <w:r>
        <w:rPr>
          <w:color w:val="231F20"/>
          <w:spacing w:val="2"/>
          <w:w w:val="110"/>
          <w:sz w:val="18"/>
        </w:rPr>
        <w:t>serve </w:t>
      </w:r>
      <w:r>
        <w:rPr>
          <w:color w:val="231F20"/>
          <w:w w:val="110"/>
          <w:sz w:val="18"/>
        </w:rPr>
        <w:t>notice thereof upon the objector, the </w:t>
      </w:r>
      <w:r>
        <w:rPr>
          <w:color w:val="231F20"/>
          <w:spacing w:val="2"/>
          <w:w w:val="110"/>
          <w:sz w:val="18"/>
        </w:rPr>
        <w:t>person </w:t>
      </w:r>
      <w:r>
        <w:rPr>
          <w:color w:val="231F20"/>
          <w:w w:val="110"/>
          <w:sz w:val="18"/>
        </w:rPr>
        <w:t>to whom the objection was taken and the other </w:t>
      </w:r>
      <w:r>
        <w:rPr>
          <w:color w:val="231F20"/>
          <w:spacing w:val="3"/>
          <w:w w:val="110"/>
          <w:sz w:val="18"/>
        </w:rPr>
        <w:t>Party </w:t>
      </w:r>
      <w:r>
        <w:rPr>
          <w:color w:val="231F20"/>
          <w:w w:val="110"/>
          <w:sz w:val="18"/>
        </w:rPr>
        <w:t>upon whom the Notice </w:t>
      </w:r>
      <w:r>
        <w:rPr>
          <w:color w:val="231F20"/>
          <w:spacing w:val="2"/>
          <w:w w:val="110"/>
          <w:sz w:val="18"/>
        </w:rPr>
        <w:t>referred </w:t>
      </w:r>
      <w:r>
        <w:rPr>
          <w:color w:val="231F20"/>
          <w:w w:val="110"/>
          <w:sz w:val="18"/>
        </w:rPr>
        <w:t>to in Paragraph </w:t>
      </w:r>
      <w:r>
        <w:rPr>
          <w:color w:val="231F20"/>
          <w:spacing w:val="-4"/>
          <w:w w:val="110"/>
          <w:sz w:val="18"/>
        </w:rPr>
        <w:t>C.4.1 </w:t>
      </w:r>
      <w:r>
        <w:rPr>
          <w:color w:val="231F20"/>
          <w:w w:val="110"/>
          <w:sz w:val="18"/>
        </w:rPr>
        <w:t>was</w:t>
      </w:r>
      <w:r>
        <w:rPr>
          <w:color w:val="231F20"/>
          <w:spacing w:val="6"/>
          <w:w w:val="110"/>
          <w:sz w:val="18"/>
        </w:rPr>
        <w:t> </w:t>
      </w:r>
      <w:r>
        <w:rPr>
          <w:color w:val="231F20"/>
          <w:w w:val="110"/>
          <w:sz w:val="18"/>
        </w:rPr>
        <w:t>served.</w:t>
      </w:r>
    </w:p>
    <w:p>
      <w:pPr>
        <w:pStyle w:val="BodyText"/>
        <w:spacing w:before="8"/>
        <w:rPr>
          <w:sz w:val="20"/>
        </w:rPr>
      </w:pPr>
    </w:p>
    <w:p>
      <w:pPr>
        <w:pStyle w:val="ListParagraph"/>
        <w:numPr>
          <w:ilvl w:val="2"/>
          <w:numId w:val="147"/>
        </w:numPr>
        <w:tabs>
          <w:tab w:pos="1234" w:val="left" w:leader="none"/>
        </w:tabs>
        <w:spacing w:line="240" w:lineRule="auto" w:before="1" w:after="0"/>
        <w:ind w:left="1233" w:right="0" w:hanging="721"/>
        <w:jc w:val="left"/>
        <w:rPr>
          <w:sz w:val="18"/>
        </w:rPr>
      </w:pPr>
      <w:r>
        <w:rPr>
          <w:color w:val="231F20"/>
          <w:w w:val="110"/>
          <w:sz w:val="18"/>
        </w:rPr>
        <w:t>In the event of any objection being upheld, the procedure outlined in</w:t>
      </w:r>
      <w:r>
        <w:rPr>
          <w:color w:val="231F20"/>
          <w:spacing w:val="47"/>
          <w:w w:val="110"/>
          <w:sz w:val="18"/>
        </w:rPr>
        <w:t> </w:t>
      </w:r>
      <w:r>
        <w:rPr>
          <w:color w:val="231F20"/>
          <w:w w:val="110"/>
          <w:sz w:val="18"/>
        </w:rPr>
        <w:t>Paragraphs</w:t>
      </w:r>
    </w:p>
    <w:p>
      <w:pPr>
        <w:pStyle w:val="BodyText"/>
        <w:spacing w:line="273" w:lineRule="auto" w:before="31"/>
        <w:ind w:left="513" w:right="1844"/>
      </w:pPr>
      <w:r>
        <w:rPr>
          <w:color w:val="231F20"/>
          <w:w w:val="110"/>
        </w:rPr>
        <w:t>C.2 to C.5 shall be repeated to complete the appointment of the Assembly Commission and to give notice to the Parties of the person appointed.</w:t>
      </w:r>
    </w:p>
    <w:p>
      <w:pPr>
        <w:pStyle w:val="BodyText"/>
        <w:spacing w:before="8"/>
        <w:rPr>
          <w:sz w:val="20"/>
        </w:rPr>
      </w:pPr>
    </w:p>
    <w:p>
      <w:pPr>
        <w:pStyle w:val="ListParagraph"/>
        <w:numPr>
          <w:ilvl w:val="1"/>
          <w:numId w:val="148"/>
        </w:numPr>
        <w:tabs>
          <w:tab w:pos="1233" w:val="left" w:leader="none"/>
          <w:tab w:pos="1234" w:val="left" w:leader="none"/>
        </w:tabs>
        <w:spacing w:line="273" w:lineRule="auto" w:before="0" w:after="0"/>
        <w:ind w:left="513" w:right="1699" w:firstLine="0"/>
        <w:jc w:val="left"/>
        <w:rPr>
          <w:sz w:val="18"/>
        </w:rPr>
      </w:pPr>
      <w:r>
        <w:rPr>
          <w:color w:val="231F20"/>
          <w:w w:val="110"/>
          <w:sz w:val="18"/>
        </w:rPr>
        <w:t>The Appointers shall appoint one member of the Assembly Commission to be its Convener, but s/he shall not have a casting vote, unless the Assembly Commission shall in </w:t>
      </w:r>
      <w:r>
        <w:rPr>
          <w:color w:val="231F20"/>
          <w:spacing w:val="2"/>
          <w:w w:val="110"/>
          <w:sz w:val="18"/>
        </w:rPr>
        <w:t>circumstances </w:t>
      </w:r>
      <w:r>
        <w:rPr>
          <w:color w:val="231F20"/>
          <w:w w:val="110"/>
          <w:sz w:val="18"/>
        </w:rPr>
        <w:t>arising under Paragraph </w:t>
      </w:r>
      <w:r>
        <w:rPr>
          <w:color w:val="231F20"/>
          <w:spacing w:val="-8"/>
          <w:w w:val="110"/>
          <w:sz w:val="18"/>
        </w:rPr>
        <w:t>C.7.1 </w:t>
      </w:r>
      <w:r>
        <w:rPr>
          <w:color w:val="231F20"/>
          <w:w w:val="110"/>
          <w:sz w:val="18"/>
        </w:rPr>
        <w:t>of these Rules consist of an even number of members.</w:t>
      </w:r>
    </w:p>
    <w:p>
      <w:pPr>
        <w:pStyle w:val="BodyText"/>
        <w:spacing w:before="9"/>
        <w:rPr>
          <w:sz w:val="20"/>
        </w:rPr>
      </w:pPr>
    </w:p>
    <w:p>
      <w:pPr>
        <w:pStyle w:val="ListParagraph"/>
        <w:numPr>
          <w:ilvl w:val="1"/>
          <w:numId w:val="148"/>
        </w:numPr>
        <w:tabs>
          <w:tab w:pos="1233" w:val="left" w:leader="none"/>
          <w:tab w:pos="1234" w:val="left" w:leader="none"/>
          <w:tab w:pos="1953" w:val="left" w:leader="none"/>
        </w:tabs>
        <w:spacing w:line="273" w:lineRule="auto" w:before="1" w:after="0"/>
        <w:ind w:left="513" w:right="1723" w:firstLine="0"/>
        <w:jc w:val="left"/>
        <w:rPr>
          <w:sz w:val="18"/>
        </w:rPr>
      </w:pPr>
      <w:r>
        <w:rPr>
          <w:color w:val="231F20"/>
          <w:spacing w:val="-8"/>
          <w:w w:val="110"/>
          <w:sz w:val="18"/>
        </w:rPr>
        <w:t>C.7.1</w:t>
        <w:tab/>
      </w:r>
      <w:r>
        <w:rPr>
          <w:color w:val="231F20"/>
          <w:w w:val="110"/>
          <w:sz w:val="18"/>
        </w:rPr>
        <w:t>In the event that during the Commission Stage any member of the Assembly Commission shall be unable to </w:t>
      </w:r>
      <w:r>
        <w:rPr>
          <w:color w:val="231F20"/>
          <w:spacing w:val="3"/>
          <w:w w:val="110"/>
          <w:sz w:val="18"/>
        </w:rPr>
        <w:t>carry </w:t>
      </w:r>
      <w:r>
        <w:rPr>
          <w:color w:val="231F20"/>
          <w:w w:val="110"/>
          <w:sz w:val="18"/>
        </w:rPr>
        <w:t>out his/her duties on the Assembly Commission, the remaining </w:t>
      </w:r>
      <w:r>
        <w:rPr>
          <w:color w:val="231F20"/>
          <w:spacing w:val="2"/>
          <w:w w:val="110"/>
          <w:sz w:val="18"/>
        </w:rPr>
        <w:t>members </w:t>
      </w:r>
      <w:r>
        <w:rPr>
          <w:color w:val="231F20"/>
          <w:w w:val="110"/>
          <w:sz w:val="18"/>
        </w:rPr>
        <w:t>shall continue to </w:t>
      </w:r>
      <w:r>
        <w:rPr>
          <w:color w:val="231F20"/>
          <w:spacing w:val="2"/>
          <w:w w:val="110"/>
          <w:sz w:val="18"/>
        </w:rPr>
        <w:t>act </w:t>
      </w:r>
      <w:r>
        <w:rPr>
          <w:color w:val="231F20"/>
          <w:w w:val="110"/>
          <w:sz w:val="18"/>
        </w:rPr>
        <w:t>as the Assembly Commission, subject to there being a minimum of three</w:t>
      </w:r>
      <w:r>
        <w:rPr>
          <w:color w:val="231F20"/>
          <w:spacing w:val="18"/>
          <w:w w:val="110"/>
          <w:sz w:val="18"/>
        </w:rPr>
        <w:t> </w:t>
      </w:r>
      <w:r>
        <w:rPr>
          <w:color w:val="231F20"/>
          <w:w w:val="110"/>
          <w:sz w:val="18"/>
        </w:rPr>
        <w:t>members.</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49"/>
        </w:numPr>
        <w:tabs>
          <w:tab w:pos="1800" w:val="left" w:leader="none"/>
          <w:tab w:pos="1801" w:val="left" w:leader="none"/>
        </w:tabs>
        <w:spacing w:line="273" w:lineRule="auto" w:before="101" w:after="0"/>
        <w:ind w:left="1080" w:right="1231" w:firstLine="0"/>
        <w:jc w:val="left"/>
        <w:rPr>
          <w:sz w:val="18"/>
        </w:rPr>
      </w:pPr>
      <w:r>
        <w:rPr>
          <w:color w:val="231F20"/>
          <w:w w:val="110"/>
          <w:sz w:val="18"/>
        </w:rPr>
        <w:t>In the event that in the terms of Paragraph </w:t>
      </w:r>
      <w:r>
        <w:rPr>
          <w:color w:val="231F20"/>
          <w:spacing w:val="-8"/>
          <w:w w:val="110"/>
          <w:sz w:val="18"/>
        </w:rPr>
        <w:t>C.7.1 </w:t>
      </w:r>
      <w:r>
        <w:rPr>
          <w:color w:val="231F20"/>
          <w:w w:val="110"/>
          <w:sz w:val="18"/>
        </w:rPr>
        <w:t>the Assembly Commission shall be reduced to fewer than three </w:t>
      </w:r>
      <w:r>
        <w:rPr>
          <w:color w:val="231F20"/>
          <w:spacing w:val="2"/>
          <w:w w:val="110"/>
          <w:sz w:val="18"/>
        </w:rPr>
        <w:t>members </w:t>
      </w:r>
      <w:r>
        <w:rPr>
          <w:color w:val="231F20"/>
          <w:w w:val="110"/>
          <w:sz w:val="18"/>
        </w:rPr>
        <w:t>at any time </w:t>
      </w:r>
      <w:r>
        <w:rPr>
          <w:color w:val="231F20"/>
          <w:spacing w:val="2"/>
          <w:w w:val="110"/>
          <w:sz w:val="18"/>
        </w:rPr>
        <w:t>after </w:t>
      </w:r>
      <w:r>
        <w:rPr>
          <w:color w:val="231F20"/>
          <w:w w:val="110"/>
          <w:sz w:val="18"/>
        </w:rPr>
        <w:t>it has taken any steps under </w:t>
      </w:r>
      <w:r>
        <w:rPr>
          <w:color w:val="231F20"/>
          <w:spacing w:val="2"/>
          <w:w w:val="110"/>
          <w:sz w:val="18"/>
        </w:rPr>
        <w:t>Section </w:t>
      </w:r>
      <w:r>
        <w:rPr>
          <w:color w:val="231F20"/>
          <w:w w:val="110"/>
          <w:sz w:val="18"/>
        </w:rPr>
        <w:t>E the Assembly Commission so appointed shall stand down and be discharged and a new Assembly Commission shall be appointed under this </w:t>
      </w:r>
      <w:r>
        <w:rPr>
          <w:color w:val="231F20"/>
          <w:spacing w:val="2"/>
          <w:w w:val="110"/>
          <w:sz w:val="18"/>
        </w:rPr>
        <w:t>Section</w:t>
      </w:r>
      <w:r>
        <w:rPr>
          <w:color w:val="231F20"/>
          <w:spacing w:val="48"/>
          <w:w w:val="110"/>
          <w:sz w:val="18"/>
        </w:rPr>
        <w:t> </w:t>
      </w:r>
      <w:r>
        <w:rPr>
          <w:color w:val="231F20"/>
          <w:w w:val="110"/>
          <w:sz w:val="18"/>
        </w:rPr>
        <w:t>C.</w:t>
      </w:r>
    </w:p>
    <w:p>
      <w:pPr>
        <w:pStyle w:val="BodyText"/>
        <w:spacing w:before="9"/>
        <w:rPr>
          <w:sz w:val="20"/>
        </w:rPr>
      </w:pPr>
    </w:p>
    <w:p>
      <w:pPr>
        <w:pStyle w:val="ListParagraph"/>
        <w:numPr>
          <w:ilvl w:val="2"/>
          <w:numId w:val="149"/>
        </w:numPr>
        <w:tabs>
          <w:tab w:pos="1800" w:val="left" w:leader="none"/>
          <w:tab w:pos="1801" w:val="left" w:leader="none"/>
        </w:tabs>
        <w:spacing w:line="273" w:lineRule="auto" w:before="0" w:after="0"/>
        <w:ind w:left="1080" w:right="1589" w:firstLine="0"/>
        <w:jc w:val="left"/>
        <w:rPr>
          <w:sz w:val="18"/>
        </w:rPr>
      </w:pPr>
      <w:r>
        <w:rPr>
          <w:color w:val="231F20"/>
          <w:w w:val="110"/>
          <w:sz w:val="18"/>
        </w:rPr>
        <w:t>Once the Assembly Commission has been duly constituted and has taken any steps under </w:t>
      </w:r>
      <w:r>
        <w:rPr>
          <w:color w:val="231F20"/>
          <w:spacing w:val="2"/>
          <w:w w:val="110"/>
          <w:sz w:val="18"/>
        </w:rPr>
        <w:t>Section </w:t>
      </w:r>
      <w:r>
        <w:rPr>
          <w:color w:val="231F20"/>
          <w:w w:val="110"/>
          <w:sz w:val="18"/>
        </w:rPr>
        <w:t>E, no </w:t>
      </w:r>
      <w:r>
        <w:rPr>
          <w:color w:val="231F20"/>
          <w:spacing w:val="2"/>
          <w:w w:val="110"/>
          <w:sz w:val="18"/>
        </w:rPr>
        <w:t>person </w:t>
      </w:r>
      <w:r>
        <w:rPr>
          <w:color w:val="231F20"/>
          <w:w w:val="110"/>
          <w:sz w:val="18"/>
        </w:rPr>
        <w:t>shall subsequently be appointed to </w:t>
      </w:r>
      <w:r>
        <w:rPr>
          <w:color w:val="231F20"/>
          <w:spacing w:val="2"/>
          <w:w w:val="110"/>
          <w:sz w:val="18"/>
        </w:rPr>
        <w:t>serve </w:t>
      </w:r>
      <w:r>
        <w:rPr>
          <w:color w:val="231F20"/>
          <w:w w:val="110"/>
          <w:sz w:val="18"/>
        </w:rPr>
        <w:t>on that Assembly</w:t>
      </w:r>
      <w:r>
        <w:rPr>
          <w:color w:val="231F20"/>
          <w:spacing w:val="1"/>
          <w:w w:val="110"/>
          <w:sz w:val="18"/>
        </w:rPr>
        <w:t> </w:t>
      </w:r>
      <w:r>
        <w:rPr>
          <w:color w:val="231F20"/>
          <w:w w:val="110"/>
          <w:sz w:val="18"/>
        </w:rPr>
        <w:t>Commission.</w:t>
      </w:r>
    </w:p>
    <w:p>
      <w:pPr>
        <w:pStyle w:val="BodyText"/>
        <w:spacing w:before="9"/>
        <w:rPr>
          <w:sz w:val="20"/>
        </w:rPr>
      </w:pPr>
    </w:p>
    <w:p>
      <w:pPr>
        <w:pStyle w:val="ListParagraph"/>
        <w:numPr>
          <w:ilvl w:val="2"/>
          <w:numId w:val="149"/>
        </w:numPr>
        <w:tabs>
          <w:tab w:pos="1800" w:val="left" w:leader="none"/>
          <w:tab w:pos="1801" w:val="left" w:leader="none"/>
        </w:tabs>
        <w:spacing w:line="273" w:lineRule="auto" w:before="0" w:after="0"/>
        <w:ind w:left="1080" w:right="1636" w:firstLine="0"/>
        <w:jc w:val="left"/>
        <w:rPr>
          <w:sz w:val="18"/>
        </w:rPr>
      </w:pPr>
      <w:r>
        <w:rPr>
          <w:color w:val="231F20"/>
          <w:w w:val="110"/>
          <w:sz w:val="18"/>
        </w:rPr>
        <w:t>If the Convener of the Assembly Commission is unable to continue to </w:t>
      </w:r>
      <w:r>
        <w:rPr>
          <w:color w:val="231F20"/>
          <w:spacing w:val="2"/>
          <w:w w:val="110"/>
          <w:sz w:val="18"/>
        </w:rPr>
        <w:t>serve </w:t>
      </w:r>
      <w:r>
        <w:rPr>
          <w:color w:val="231F20"/>
          <w:w w:val="110"/>
          <w:sz w:val="18"/>
        </w:rPr>
        <w:t>for the reasons stated in Paragraph </w:t>
      </w:r>
      <w:r>
        <w:rPr>
          <w:color w:val="231F20"/>
          <w:spacing w:val="-8"/>
          <w:w w:val="110"/>
          <w:sz w:val="18"/>
        </w:rPr>
        <w:t>C.7.1, </w:t>
      </w:r>
      <w:r>
        <w:rPr>
          <w:color w:val="231F20"/>
          <w:w w:val="110"/>
          <w:sz w:val="18"/>
        </w:rPr>
        <w:t>the remaining </w:t>
      </w:r>
      <w:r>
        <w:rPr>
          <w:color w:val="231F20"/>
          <w:spacing w:val="2"/>
          <w:w w:val="110"/>
          <w:sz w:val="18"/>
        </w:rPr>
        <w:t>members </w:t>
      </w:r>
      <w:r>
        <w:rPr>
          <w:color w:val="231F20"/>
          <w:w w:val="110"/>
          <w:sz w:val="18"/>
        </w:rPr>
        <w:t>shall, following consultation with the Appointers, appoint one of their number to be the Convener in his/her place.</w:t>
      </w:r>
    </w:p>
    <w:p>
      <w:pPr>
        <w:pStyle w:val="BodyText"/>
        <w:spacing w:before="1"/>
        <w:rPr>
          <w:sz w:val="19"/>
        </w:rPr>
      </w:pPr>
    </w:p>
    <w:p>
      <w:pPr>
        <w:numPr>
          <w:ilvl w:val="1"/>
          <w:numId w:val="122"/>
        </w:numPr>
        <w:tabs>
          <w:tab w:pos="1800" w:val="left" w:leader="none"/>
          <w:tab w:pos="1801" w:val="left" w:leader="none"/>
        </w:tabs>
        <w:spacing w:before="0"/>
        <w:ind w:left="1800" w:right="0" w:hanging="721"/>
        <w:jc w:val="left"/>
        <w:rPr>
          <w:b/>
          <w:sz w:val="20"/>
        </w:rPr>
      </w:pPr>
      <w:r>
        <w:rPr>
          <w:b/>
          <w:color w:val="231F20"/>
          <w:w w:val="110"/>
          <w:sz w:val="20"/>
        </w:rPr>
        <w:t>INVESTIGATION </w:t>
      </w:r>
      <w:r>
        <w:rPr>
          <w:b/>
          <w:color w:val="231F20"/>
          <w:spacing w:val="-3"/>
          <w:w w:val="110"/>
          <w:sz w:val="20"/>
        </w:rPr>
        <w:t>BY </w:t>
      </w:r>
      <w:r>
        <w:rPr>
          <w:b/>
          <w:color w:val="231F20"/>
          <w:w w:val="110"/>
          <w:sz w:val="20"/>
        </w:rPr>
        <w:t>THE MANDATED</w:t>
      </w:r>
      <w:r>
        <w:rPr>
          <w:b/>
          <w:color w:val="231F20"/>
          <w:spacing w:val="-2"/>
          <w:w w:val="110"/>
          <w:sz w:val="20"/>
        </w:rPr>
        <w:t> </w:t>
      </w:r>
      <w:r>
        <w:rPr>
          <w:b/>
          <w:color w:val="231F20"/>
          <w:w w:val="110"/>
          <w:sz w:val="20"/>
        </w:rPr>
        <w:t>GROUP</w:t>
      </w:r>
    </w:p>
    <w:p>
      <w:pPr>
        <w:pStyle w:val="BodyText"/>
        <w:spacing w:before="10"/>
        <w:rPr>
          <w:b/>
          <w:sz w:val="22"/>
        </w:rPr>
      </w:pPr>
    </w:p>
    <w:p>
      <w:pPr>
        <w:pStyle w:val="ListParagraph"/>
        <w:numPr>
          <w:ilvl w:val="2"/>
          <w:numId w:val="122"/>
        </w:numPr>
        <w:tabs>
          <w:tab w:pos="1800" w:val="left" w:leader="none"/>
          <w:tab w:pos="1801" w:val="left" w:leader="none"/>
        </w:tabs>
        <w:spacing w:line="273" w:lineRule="auto" w:before="0" w:after="0"/>
        <w:ind w:left="1080" w:right="1307" w:firstLine="0"/>
        <w:jc w:val="left"/>
        <w:rPr>
          <w:sz w:val="18"/>
        </w:rPr>
      </w:pPr>
      <w:r>
        <w:rPr>
          <w:color w:val="231F20"/>
          <w:w w:val="110"/>
          <w:sz w:val="18"/>
        </w:rPr>
        <w:t>It shall be the role of the Mandated Group to investigate the </w:t>
      </w:r>
      <w:r>
        <w:rPr>
          <w:color w:val="231F20"/>
          <w:spacing w:val="2"/>
          <w:w w:val="110"/>
          <w:sz w:val="18"/>
        </w:rPr>
        <w:t>matters </w:t>
      </w:r>
      <w:r>
        <w:rPr>
          <w:color w:val="231F20"/>
          <w:w w:val="110"/>
          <w:sz w:val="18"/>
        </w:rPr>
        <w:t>which are the subject of the Referral Notice with a view to presenting the </w:t>
      </w:r>
      <w:r>
        <w:rPr>
          <w:color w:val="231F20"/>
          <w:spacing w:val="2"/>
          <w:w w:val="110"/>
          <w:sz w:val="18"/>
        </w:rPr>
        <w:t>case </w:t>
      </w:r>
      <w:r>
        <w:rPr>
          <w:color w:val="231F20"/>
          <w:w w:val="110"/>
          <w:sz w:val="18"/>
        </w:rPr>
        <w:t>in the name of the Council at the</w:t>
      </w:r>
      <w:r>
        <w:rPr>
          <w:color w:val="231F20"/>
          <w:spacing w:val="3"/>
          <w:w w:val="110"/>
          <w:sz w:val="18"/>
        </w:rPr>
        <w:t> </w:t>
      </w:r>
      <w:r>
        <w:rPr>
          <w:color w:val="231F20"/>
          <w:w w:val="110"/>
          <w:sz w:val="18"/>
        </w:rPr>
        <w:t>Hearing.</w:t>
      </w:r>
    </w:p>
    <w:p>
      <w:pPr>
        <w:pStyle w:val="BodyText"/>
        <w:spacing w:before="9"/>
        <w:rPr>
          <w:sz w:val="20"/>
        </w:rPr>
      </w:pPr>
    </w:p>
    <w:p>
      <w:pPr>
        <w:pStyle w:val="ListParagraph"/>
        <w:numPr>
          <w:ilvl w:val="2"/>
          <w:numId w:val="122"/>
        </w:numPr>
        <w:tabs>
          <w:tab w:pos="1800" w:val="left" w:leader="none"/>
          <w:tab w:pos="1801" w:val="left" w:leader="none"/>
        </w:tabs>
        <w:spacing w:line="273" w:lineRule="auto" w:before="0" w:after="0"/>
        <w:ind w:left="1080" w:right="1363" w:firstLine="0"/>
        <w:jc w:val="left"/>
        <w:rPr>
          <w:sz w:val="18"/>
        </w:rPr>
      </w:pPr>
      <w:r>
        <w:rPr>
          <w:color w:val="231F20"/>
          <w:w w:val="110"/>
          <w:sz w:val="18"/>
        </w:rPr>
        <w:t>In the </w:t>
      </w:r>
      <w:r>
        <w:rPr>
          <w:color w:val="231F20"/>
          <w:spacing w:val="2"/>
          <w:w w:val="110"/>
          <w:sz w:val="18"/>
        </w:rPr>
        <w:t>course </w:t>
      </w:r>
      <w:r>
        <w:rPr>
          <w:color w:val="231F20"/>
          <w:w w:val="110"/>
          <w:sz w:val="18"/>
        </w:rPr>
        <w:t>of the Investigation, the Mandated Group shall normally interview the </w:t>
      </w:r>
      <w:r>
        <w:rPr>
          <w:color w:val="231F20"/>
          <w:spacing w:val="2"/>
          <w:w w:val="110"/>
          <w:sz w:val="18"/>
        </w:rPr>
        <w:t>person </w:t>
      </w:r>
      <w:r>
        <w:rPr>
          <w:color w:val="231F20"/>
          <w:w w:val="110"/>
          <w:sz w:val="18"/>
        </w:rPr>
        <w:t>or </w:t>
      </w:r>
      <w:r>
        <w:rPr>
          <w:color w:val="231F20"/>
          <w:spacing w:val="2"/>
          <w:w w:val="110"/>
          <w:sz w:val="18"/>
        </w:rPr>
        <w:t>persons </w:t>
      </w:r>
      <w:r>
        <w:rPr>
          <w:color w:val="231F20"/>
          <w:w w:val="110"/>
          <w:sz w:val="18"/>
        </w:rPr>
        <w:t>lodging the initial complaint (if </w:t>
      </w:r>
      <w:r>
        <w:rPr>
          <w:color w:val="231F20"/>
          <w:spacing w:val="-4"/>
          <w:w w:val="110"/>
          <w:sz w:val="18"/>
        </w:rPr>
        <w:t>any) </w:t>
      </w:r>
      <w:r>
        <w:rPr>
          <w:color w:val="231F20"/>
          <w:w w:val="110"/>
          <w:sz w:val="18"/>
        </w:rPr>
        <w:t>and the Minister concerned and shall make all other investigations which it considers</w:t>
      </w:r>
      <w:r>
        <w:rPr>
          <w:color w:val="231F20"/>
          <w:spacing w:val="31"/>
          <w:w w:val="110"/>
          <w:sz w:val="18"/>
        </w:rPr>
        <w:t> </w:t>
      </w:r>
      <w:r>
        <w:rPr>
          <w:color w:val="231F20"/>
          <w:w w:val="110"/>
          <w:sz w:val="18"/>
        </w:rPr>
        <w:t>necessary.</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1" w:after="0"/>
        <w:ind w:left="1080" w:right="1391" w:firstLine="0"/>
        <w:jc w:val="left"/>
        <w:rPr>
          <w:sz w:val="18"/>
        </w:rPr>
      </w:pPr>
      <w:r>
        <w:rPr>
          <w:color w:val="231F20"/>
          <w:w w:val="110"/>
          <w:sz w:val="18"/>
        </w:rPr>
        <w:t>Any </w:t>
      </w:r>
      <w:r>
        <w:rPr>
          <w:color w:val="231F20"/>
          <w:spacing w:val="2"/>
          <w:w w:val="110"/>
          <w:sz w:val="18"/>
        </w:rPr>
        <w:t>person </w:t>
      </w:r>
      <w:r>
        <w:rPr>
          <w:color w:val="231F20"/>
          <w:w w:val="110"/>
          <w:sz w:val="18"/>
        </w:rPr>
        <w:t>being interviewed in accordance with Paragraph </w:t>
      </w:r>
      <w:r>
        <w:rPr>
          <w:color w:val="231F20"/>
          <w:spacing w:val="-3"/>
          <w:w w:val="110"/>
          <w:sz w:val="18"/>
        </w:rPr>
        <w:t>D.2 </w:t>
      </w:r>
      <w:r>
        <w:rPr>
          <w:color w:val="231F20"/>
          <w:spacing w:val="-5"/>
          <w:w w:val="110"/>
          <w:sz w:val="18"/>
        </w:rPr>
        <w:t>may, </w:t>
      </w:r>
      <w:r>
        <w:rPr>
          <w:color w:val="231F20"/>
          <w:w w:val="110"/>
          <w:sz w:val="18"/>
        </w:rPr>
        <w:t>if s/he so wishes, have a friend present with him/her at such</w:t>
      </w:r>
      <w:r>
        <w:rPr>
          <w:color w:val="231F20"/>
          <w:spacing w:val="24"/>
          <w:w w:val="110"/>
          <w:sz w:val="18"/>
        </w:rPr>
        <w:t> </w:t>
      </w:r>
      <w:r>
        <w:rPr>
          <w:color w:val="231F20"/>
          <w:w w:val="110"/>
          <w:sz w:val="18"/>
        </w:rPr>
        <w:t>interview.</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0" w:after="0"/>
        <w:ind w:left="1080" w:right="1351" w:firstLine="0"/>
        <w:jc w:val="left"/>
        <w:rPr>
          <w:sz w:val="18"/>
        </w:rPr>
      </w:pPr>
      <w:r>
        <w:rPr>
          <w:color w:val="231F20"/>
          <w:w w:val="110"/>
          <w:sz w:val="18"/>
        </w:rPr>
        <w:t>In </w:t>
      </w:r>
      <w:r>
        <w:rPr>
          <w:color w:val="231F20"/>
          <w:spacing w:val="2"/>
          <w:w w:val="110"/>
          <w:sz w:val="18"/>
        </w:rPr>
        <w:t>cases </w:t>
      </w:r>
      <w:r>
        <w:rPr>
          <w:color w:val="231F20"/>
          <w:w w:val="110"/>
          <w:sz w:val="18"/>
        </w:rPr>
        <w:t>where Paragraph </w:t>
      </w:r>
      <w:r>
        <w:rPr>
          <w:color w:val="231F20"/>
          <w:spacing w:val="-9"/>
          <w:w w:val="110"/>
          <w:sz w:val="18"/>
        </w:rPr>
        <w:t>E.7.1 </w:t>
      </w:r>
      <w:r>
        <w:rPr>
          <w:color w:val="231F20"/>
          <w:w w:val="110"/>
          <w:sz w:val="18"/>
        </w:rPr>
        <w:t>applies, the Mandated Group may itself monitor the criminal proceedings, but shall otherwise for the period specified in that Paragraph suspend its own investigation of any matter under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which might also be related to the criminal</w:t>
      </w:r>
      <w:r>
        <w:rPr>
          <w:color w:val="231F20"/>
          <w:spacing w:val="11"/>
          <w:w w:val="110"/>
          <w:sz w:val="18"/>
        </w:rPr>
        <w:t> </w:t>
      </w:r>
      <w:r>
        <w:rPr>
          <w:color w:val="231F20"/>
          <w:w w:val="110"/>
          <w:sz w:val="18"/>
        </w:rPr>
        <w:t>proceedings.</w:t>
      </w:r>
    </w:p>
    <w:p>
      <w:pPr>
        <w:pStyle w:val="BodyText"/>
        <w:spacing w:before="1"/>
        <w:rPr>
          <w:sz w:val="19"/>
        </w:rPr>
      </w:pPr>
    </w:p>
    <w:p>
      <w:pPr>
        <w:numPr>
          <w:ilvl w:val="1"/>
          <w:numId w:val="122"/>
        </w:numPr>
        <w:tabs>
          <w:tab w:pos="1800" w:val="left" w:leader="none"/>
          <w:tab w:pos="1801" w:val="left" w:leader="none"/>
        </w:tabs>
        <w:spacing w:before="0"/>
        <w:ind w:left="1800" w:right="0" w:hanging="721"/>
        <w:jc w:val="left"/>
        <w:rPr>
          <w:b/>
          <w:sz w:val="20"/>
        </w:rPr>
      </w:pPr>
      <w:r>
        <w:rPr>
          <w:b/>
          <w:color w:val="231F20"/>
          <w:w w:val="110"/>
          <w:sz w:val="20"/>
        </w:rPr>
        <w:t>FORMAL PROCEDURES UP TO AND INCLUDING THE</w:t>
      </w:r>
      <w:r>
        <w:rPr>
          <w:b/>
          <w:color w:val="231F20"/>
          <w:spacing w:val="1"/>
          <w:w w:val="110"/>
          <w:sz w:val="20"/>
        </w:rPr>
        <w:t> </w:t>
      </w:r>
      <w:r>
        <w:rPr>
          <w:b/>
          <w:color w:val="231F20"/>
          <w:w w:val="110"/>
          <w:sz w:val="20"/>
        </w:rPr>
        <w:t>HEARING</w:t>
      </w:r>
    </w:p>
    <w:p>
      <w:pPr>
        <w:pStyle w:val="BodyText"/>
        <w:spacing w:before="9"/>
        <w:rPr>
          <w:b/>
          <w:sz w:val="22"/>
        </w:rPr>
      </w:pPr>
    </w:p>
    <w:p>
      <w:pPr>
        <w:pStyle w:val="ListParagraph"/>
        <w:numPr>
          <w:ilvl w:val="2"/>
          <w:numId w:val="122"/>
        </w:numPr>
        <w:tabs>
          <w:tab w:pos="1800" w:val="left" w:leader="none"/>
          <w:tab w:pos="1801" w:val="left" w:leader="none"/>
        </w:tabs>
        <w:spacing w:line="273" w:lineRule="auto" w:before="1" w:after="0"/>
        <w:ind w:left="1080" w:right="1162" w:firstLine="0"/>
        <w:jc w:val="left"/>
        <w:rPr>
          <w:sz w:val="18"/>
        </w:rPr>
      </w:pPr>
      <w:r>
        <w:rPr>
          <w:color w:val="231F20"/>
          <w:w w:val="110"/>
          <w:sz w:val="18"/>
        </w:rPr>
        <w:t>The Assembly Commission’s sole purpose in conducting the Hearing under this </w:t>
      </w:r>
      <w:r>
        <w:rPr>
          <w:color w:val="231F20"/>
          <w:spacing w:val="2"/>
          <w:w w:val="110"/>
          <w:sz w:val="18"/>
        </w:rPr>
        <w:t>Section </w:t>
      </w:r>
      <w:r>
        <w:rPr>
          <w:color w:val="231F20"/>
          <w:w w:val="110"/>
          <w:sz w:val="18"/>
        </w:rPr>
        <w:t>E is to establish whether or not there has been a breach of ministerial discipline, having regard to Paragraph 3 of </w:t>
      </w:r>
      <w:r>
        <w:rPr>
          <w:color w:val="231F20"/>
          <w:spacing w:val="2"/>
          <w:w w:val="110"/>
          <w:sz w:val="18"/>
        </w:rPr>
        <w:t>Part</w:t>
      </w:r>
      <w:r>
        <w:rPr>
          <w:color w:val="231F20"/>
          <w:spacing w:val="9"/>
          <w:w w:val="110"/>
          <w:sz w:val="18"/>
        </w:rPr>
        <w:t> </w:t>
      </w:r>
      <w:r>
        <w:rPr>
          <w:color w:val="231F20"/>
          <w:w w:val="110"/>
          <w:sz w:val="18"/>
        </w:rPr>
        <w:t>I.</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1" w:after="0"/>
        <w:ind w:left="1080" w:right="1241" w:firstLine="0"/>
        <w:jc w:val="left"/>
        <w:rPr>
          <w:sz w:val="18"/>
        </w:rPr>
      </w:pPr>
      <w:r>
        <w:rPr>
          <w:color w:val="231F20"/>
          <w:w w:val="110"/>
          <w:sz w:val="18"/>
        </w:rPr>
        <w:t>The object of Paragraphs E.3, E.4 and E.5 is to ensure that the </w:t>
      </w:r>
      <w:r>
        <w:rPr>
          <w:color w:val="231F20"/>
          <w:spacing w:val="2"/>
          <w:w w:val="110"/>
          <w:sz w:val="18"/>
        </w:rPr>
        <w:t>Parties </w:t>
      </w:r>
      <w:r>
        <w:rPr>
          <w:color w:val="231F20"/>
          <w:w w:val="110"/>
          <w:sz w:val="18"/>
        </w:rPr>
        <w:t>are aware beforehand of the evidence which will be presented at the Hearing and that they have time to consider the</w:t>
      </w:r>
      <w:r>
        <w:rPr>
          <w:color w:val="231F20"/>
          <w:spacing w:val="4"/>
          <w:w w:val="110"/>
          <w:sz w:val="18"/>
        </w:rPr>
        <w:t> </w:t>
      </w:r>
      <w:r>
        <w:rPr>
          <w:color w:val="231F20"/>
          <w:w w:val="110"/>
          <w:sz w:val="18"/>
        </w:rPr>
        <w:t>same.</w:t>
      </w:r>
    </w:p>
    <w:p>
      <w:pPr>
        <w:pStyle w:val="BodyText"/>
        <w:spacing w:before="8"/>
        <w:rPr>
          <w:sz w:val="20"/>
        </w:rPr>
      </w:pPr>
    </w:p>
    <w:p>
      <w:pPr>
        <w:pStyle w:val="ListParagraph"/>
        <w:numPr>
          <w:ilvl w:val="2"/>
          <w:numId w:val="122"/>
        </w:numPr>
        <w:tabs>
          <w:tab w:pos="1800" w:val="left" w:leader="none"/>
          <w:tab w:pos="1801" w:val="left" w:leader="none"/>
          <w:tab w:pos="2520" w:val="left" w:leader="none"/>
        </w:tabs>
        <w:spacing w:line="273" w:lineRule="auto" w:before="0" w:after="0"/>
        <w:ind w:left="1080" w:right="1468" w:firstLine="0"/>
        <w:jc w:val="left"/>
        <w:rPr>
          <w:sz w:val="18"/>
        </w:rPr>
      </w:pPr>
      <w:r>
        <w:rPr>
          <w:color w:val="231F20"/>
          <w:spacing w:val="-3"/>
          <w:w w:val="110"/>
          <w:sz w:val="18"/>
        </w:rPr>
        <w:t>E.3.1</w:t>
        <w:tab/>
      </w:r>
      <w:r>
        <w:rPr>
          <w:color w:val="231F20"/>
          <w:w w:val="110"/>
          <w:sz w:val="18"/>
        </w:rPr>
        <w:t>Unless the </w:t>
      </w:r>
      <w:r>
        <w:rPr>
          <w:color w:val="231F20"/>
          <w:spacing w:val="2"/>
          <w:w w:val="110"/>
          <w:sz w:val="18"/>
        </w:rPr>
        <w:t>case </w:t>
      </w:r>
      <w:r>
        <w:rPr>
          <w:color w:val="231F20"/>
          <w:w w:val="110"/>
          <w:sz w:val="18"/>
        </w:rPr>
        <w:t>is subject to compulsory adjournment under Paragraph </w:t>
      </w:r>
      <w:r>
        <w:rPr>
          <w:color w:val="231F20"/>
          <w:spacing w:val="-9"/>
          <w:w w:val="110"/>
          <w:sz w:val="18"/>
        </w:rPr>
        <w:t>E.7, </w:t>
      </w:r>
      <w:r>
        <w:rPr>
          <w:color w:val="231F20"/>
          <w:w w:val="110"/>
          <w:sz w:val="18"/>
        </w:rPr>
        <w:t>the </w:t>
      </w:r>
      <w:r>
        <w:rPr>
          <w:color w:val="231F20"/>
          <w:spacing w:val="3"/>
          <w:w w:val="110"/>
          <w:sz w:val="18"/>
        </w:rPr>
        <w:t>Secretary </w:t>
      </w:r>
      <w:r>
        <w:rPr>
          <w:color w:val="231F20"/>
          <w:w w:val="110"/>
          <w:sz w:val="18"/>
        </w:rPr>
        <w:t>of the Assembly Commission shall as soon as practicable </w:t>
      </w:r>
      <w:r>
        <w:rPr>
          <w:color w:val="231F20"/>
          <w:spacing w:val="2"/>
          <w:w w:val="110"/>
          <w:sz w:val="18"/>
        </w:rPr>
        <w:t>after </w:t>
      </w:r>
      <w:r>
        <w:rPr>
          <w:color w:val="231F20"/>
          <w:w w:val="110"/>
          <w:sz w:val="18"/>
        </w:rPr>
        <w:t>the appointment of the Assembly</w:t>
      </w:r>
      <w:r>
        <w:rPr>
          <w:color w:val="231F20"/>
          <w:spacing w:val="7"/>
          <w:w w:val="110"/>
          <w:sz w:val="18"/>
        </w:rPr>
        <w:t> </w:t>
      </w:r>
      <w:r>
        <w:rPr>
          <w:color w:val="231F20"/>
          <w:w w:val="110"/>
          <w:sz w:val="18"/>
        </w:rPr>
        <w:t>Commission:</w:t>
      </w:r>
    </w:p>
    <w:p>
      <w:pPr>
        <w:pStyle w:val="BodyText"/>
        <w:spacing w:before="9"/>
        <w:rPr>
          <w:sz w:val="20"/>
        </w:rPr>
      </w:pPr>
    </w:p>
    <w:p>
      <w:pPr>
        <w:pStyle w:val="ListParagraph"/>
        <w:numPr>
          <w:ilvl w:val="3"/>
          <w:numId w:val="150"/>
        </w:numPr>
        <w:tabs>
          <w:tab w:pos="2520" w:val="left" w:leader="none"/>
          <w:tab w:pos="2521" w:val="left" w:leader="none"/>
        </w:tabs>
        <w:spacing w:line="273" w:lineRule="auto" w:before="0" w:after="0"/>
        <w:ind w:left="1080" w:right="2367" w:firstLine="0"/>
        <w:jc w:val="both"/>
        <w:rPr>
          <w:sz w:val="18"/>
        </w:rPr>
      </w:pPr>
      <w:r>
        <w:rPr>
          <w:color w:val="231F20"/>
          <w:w w:val="110"/>
          <w:sz w:val="18"/>
        </w:rPr>
        <w:t>provide the Convener and the other </w:t>
      </w:r>
      <w:r>
        <w:rPr>
          <w:color w:val="231F20"/>
          <w:spacing w:val="2"/>
          <w:w w:val="110"/>
          <w:sz w:val="18"/>
        </w:rPr>
        <w:t>members </w:t>
      </w:r>
      <w:r>
        <w:rPr>
          <w:color w:val="231F20"/>
          <w:w w:val="110"/>
          <w:sz w:val="18"/>
        </w:rPr>
        <w:t>of the Assembly Commission with </w:t>
      </w:r>
      <w:r>
        <w:rPr>
          <w:color w:val="231F20"/>
          <w:spacing w:val="-4"/>
          <w:w w:val="110"/>
          <w:sz w:val="18"/>
        </w:rPr>
        <w:t>(i) </w:t>
      </w:r>
      <w:r>
        <w:rPr>
          <w:color w:val="231F20"/>
          <w:w w:val="110"/>
          <w:sz w:val="18"/>
        </w:rPr>
        <w:t>copies of the Referral Notice, </w:t>
      </w:r>
      <w:r>
        <w:rPr>
          <w:color w:val="231F20"/>
          <w:spacing w:val="-3"/>
          <w:w w:val="110"/>
          <w:sz w:val="18"/>
        </w:rPr>
        <w:t>(ii) </w:t>
      </w:r>
      <w:r>
        <w:rPr>
          <w:color w:val="231F20"/>
          <w:w w:val="110"/>
          <w:sz w:val="18"/>
        </w:rPr>
        <w:t>the Minister’s </w:t>
      </w:r>
      <w:r>
        <w:rPr>
          <w:color w:val="231F20"/>
          <w:spacing w:val="2"/>
          <w:w w:val="110"/>
          <w:sz w:val="18"/>
        </w:rPr>
        <w:t>response </w:t>
      </w:r>
      <w:r>
        <w:rPr>
          <w:color w:val="231F20"/>
          <w:w w:val="110"/>
          <w:sz w:val="18"/>
        </w:rPr>
        <w:t>under Paragraph C.1.2 and (iii) any documents which may accompany it</w:t>
      </w:r>
      <w:r>
        <w:rPr>
          <w:color w:val="231F20"/>
          <w:spacing w:val="10"/>
          <w:w w:val="110"/>
          <w:sz w:val="18"/>
        </w:rPr>
        <w:t> </w:t>
      </w:r>
      <w:r>
        <w:rPr>
          <w:color w:val="231F20"/>
          <w:w w:val="110"/>
          <w:sz w:val="18"/>
        </w:rPr>
        <w:t>and</w:t>
      </w:r>
    </w:p>
    <w:p>
      <w:pPr>
        <w:pStyle w:val="BodyText"/>
        <w:spacing w:before="9"/>
        <w:rPr>
          <w:sz w:val="20"/>
        </w:rPr>
      </w:pPr>
    </w:p>
    <w:p>
      <w:pPr>
        <w:pStyle w:val="ListParagraph"/>
        <w:numPr>
          <w:ilvl w:val="3"/>
          <w:numId w:val="150"/>
        </w:numPr>
        <w:tabs>
          <w:tab w:pos="2520" w:val="left" w:leader="none"/>
          <w:tab w:pos="2521" w:val="left" w:leader="none"/>
        </w:tabs>
        <w:spacing w:line="273" w:lineRule="auto" w:before="0" w:after="0"/>
        <w:ind w:left="1080" w:right="1424" w:firstLine="0"/>
        <w:jc w:val="left"/>
        <w:rPr>
          <w:sz w:val="18"/>
        </w:rPr>
      </w:pPr>
      <w:r>
        <w:rPr>
          <w:color w:val="231F20"/>
          <w:w w:val="110"/>
          <w:sz w:val="18"/>
        </w:rPr>
        <w:t>in the </w:t>
      </w:r>
      <w:r>
        <w:rPr>
          <w:color w:val="231F20"/>
          <w:spacing w:val="2"/>
          <w:w w:val="110"/>
          <w:sz w:val="18"/>
        </w:rPr>
        <w:t>case </w:t>
      </w:r>
      <w:r>
        <w:rPr>
          <w:color w:val="231F20"/>
          <w:w w:val="110"/>
          <w:sz w:val="18"/>
        </w:rPr>
        <w:t>of any Assembly Commission appointed as a consequence   of a Notice of Reference back, provide the Convener and the other </w:t>
      </w:r>
      <w:r>
        <w:rPr>
          <w:color w:val="231F20"/>
          <w:spacing w:val="2"/>
          <w:w w:val="110"/>
          <w:sz w:val="18"/>
        </w:rPr>
        <w:t>members </w:t>
      </w:r>
      <w:r>
        <w:rPr>
          <w:color w:val="231F20"/>
          <w:w w:val="110"/>
          <w:sz w:val="18"/>
        </w:rPr>
        <w:t>thereof with copies of </w:t>
      </w:r>
      <w:r>
        <w:rPr>
          <w:color w:val="231F20"/>
          <w:spacing w:val="-4"/>
          <w:w w:val="110"/>
          <w:sz w:val="18"/>
        </w:rPr>
        <w:t>(i) </w:t>
      </w:r>
      <w:r>
        <w:rPr>
          <w:color w:val="231F20"/>
          <w:w w:val="110"/>
          <w:sz w:val="18"/>
        </w:rPr>
        <w:t>the Notice of Reference back, </w:t>
      </w:r>
      <w:r>
        <w:rPr>
          <w:color w:val="231F20"/>
          <w:spacing w:val="-3"/>
          <w:w w:val="110"/>
          <w:sz w:val="18"/>
        </w:rPr>
        <w:t>(ii) </w:t>
      </w:r>
      <w:r>
        <w:rPr>
          <w:color w:val="231F20"/>
          <w:w w:val="110"/>
          <w:sz w:val="18"/>
        </w:rPr>
        <w:t>the documents, statements and information delivered to the previous Assembly Commission in accordance with these Rules of Procedure and (iii) any comments received </w:t>
      </w:r>
      <w:r>
        <w:rPr>
          <w:color w:val="231F20"/>
          <w:spacing w:val="2"/>
          <w:w w:val="110"/>
          <w:sz w:val="18"/>
        </w:rPr>
        <w:t>from </w:t>
      </w:r>
      <w:r>
        <w:rPr>
          <w:color w:val="231F20"/>
          <w:w w:val="110"/>
          <w:sz w:val="18"/>
        </w:rPr>
        <w:t>the </w:t>
      </w:r>
      <w:r>
        <w:rPr>
          <w:color w:val="231F20"/>
          <w:spacing w:val="2"/>
          <w:w w:val="110"/>
          <w:sz w:val="18"/>
        </w:rPr>
        <w:t>parties </w:t>
      </w:r>
      <w:r>
        <w:rPr>
          <w:color w:val="231F20"/>
          <w:w w:val="110"/>
          <w:sz w:val="18"/>
        </w:rPr>
        <w:t>as a result of the invitation contained in Paragraph C.1.3</w:t>
      </w:r>
      <w:r>
        <w:rPr>
          <w:color w:val="231F20"/>
          <w:spacing w:val="7"/>
          <w:w w:val="110"/>
          <w:sz w:val="18"/>
        </w:rPr>
        <w:t> </w:t>
      </w:r>
      <w:r>
        <w:rPr>
          <w:color w:val="231F20"/>
          <w:w w:val="110"/>
          <w:sz w:val="18"/>
        </w:rPr>
        <w:t>and</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3"/>
          <w:numId w:val="150"/>
        </w:numPr>
        <w:tabs>
          <w:tab w:pos="1953" w:val="left" w:leader="none"/>
          <w:tab w:pos="1954" w:val="left" w:leader="none"/>
        </w:tabs>
        <w:spacing w:line="273" w:lineRule="auto" w:before="101" w:after="0"/>
        <w:ind w:left="513" w:right="1847" w:firstLine="0"/>
        <w:jc w:val="left"/>
        <w:rPr>
          <w:sz w:val="18"/>
        </w:rPr>
      </w:pPr>
      <w:r>
        <w:rPr>
          <w:color w:val="231F20"/>
          <w:w w:val="110"/>
          <w:sz w:val="18"/>
        </w:rPr>
        <w:t>consult with the Convener and the other </w:t>
      </w:r>
      <w:r>
        <w:rPr>
          <w:color w:val="231F20"/>
          <w:spacing w:val="2"/>
          <w:w w:val="110"/>
          <w:sz w:val="18"/>
        </w:rPr>
        <w:t>members </w:t>
      </w:r>
      <w:r>
        <w:rPr>
          <w:color w:val="231F20"/>
          <w:w w:val="110"/>
          <w:sz w:val="18"/>
        </w:rPr>
        <w:t>of the Assembly Commission and, where possible, with the </w:t>
      </w:r>
      <w:r>
        <w:rPr>
          <w:color w:val="231F20"/>
          <w:spacing w:val="2"/>
          <w:w w:val="110"/>
          <w:sz w:val="18"/>
        </w:rPr>
        <w:t>Parties </w:t>
      </w:r>
      <w:r>
        <w:rPr>
          <w:color w:val="231F20"/>
          <w:w w:val="110"/>
          <w:sz w:val="18"/>
        </w:rPr>
        <w:t>as to a suitable venue, date and time for the Hearing and, having so consulted, decide</w:t>
      </w:r>
      <w:r>
        <w:rPr>
          <w:color w:val="231F20"/>
          <w:spacing w:val="21"/>
          <w:w w:val="110"/>
          <w:sz w:val="18"/>
        </w:rPr>
        <w:t> </w:t>
      </w:r>
      <w:r>
        <w:rPr>
          <w:color w:val="231F20"/>
          <w:w w:val="110"/>
          <w:sz w:val="18"/>
        </w:rPr>
        <w:t>thereupon.</w:t>
      </w:r>
    </w:p>
    <w:p>
      <w:pPr>
        <w:pStyle w:val="BodyText"/>
        <w:spacing w:before="8"/>
        <w:rPr>
          <w:sz w:val="20"/>
        </w:rPr>
      </w:pPr>
    </w:p>
    <w:p>
      <w:pPr>
        <w:pStyle w:val="ListParagraph"/>
        <w:numPr>
          <w:ilvl w:val="2"/>
          <w:numId w:val="151"/>
        </w:numPr>
        <w:tabs>
          <w:tab w:pos="1233" w:val="left" w:leader="none"/>
          <w:tab w:pos="1234" w:val="left" w:leader="none"/>
        </w:tabs>
        <w:spacing w:line="273" w:lineRule="auto" w:before="0" w:after="0"/>
        <w:ind w:left="514" w:right="1792" w:hanging="1"/>
        <w:jc w:val="left"/>
        <w:rPr>
          <w:sz w:val="18"/>
        </w:rPr>
      </w:pPr>
      <w:r>
        <w:rPr>
          <w:color w:val="231F20"/>
          <w:w w:val="110"/>
          <w:sz w:val="18"/>
        </w:rPr>
        <w:t>Having complied with Paragraph </w:t>
      </w:r>
      <w:r>
        <w:rPr>
          <w:color w:val="231F20"/>
          <w:spacing w:val="-5"/>
          <w:w w:val="110"/>
          <w:sz w:val="18"/>
        </w:rPr>
        <w:t>E.3.1, </w:t>
      </w:r>
      <w:r>
        <w:rPr>
          <w:color w:val="231F20"/>
          <w:w w:val="110"/>
          <w:sz w:val="18"/>
        </w:rPr>
        <w:t>the Secretary of the Assembly Commission shall forthwith serve on each of the </w:t>
      </w:r>
      <w:r>
        <w:rPr>
          <w:color w:val="231F20"/>
          <w:spacing w:val="2"/>
          <w:w w:val="110"/>
          <w:sz w:val="18"/>
        </w:rPr>
        <w:t>Parties </w:t>
      </w:r>
      <w:r>
        <w:rPr>
          <w:color w:val="231F20"/>
          <w:w w:val="110"/>
          <w:sz w:val="18"/>
        </w:rPr>
        <w:t>a notice which</w:t>
      </w:r>
      <w:r>
        <w:rPr>
          <w:color w:val="231F20"/>
          <w:spacing w:val="14"/>
          <w:w w:val="110"/>
          <w:sz w:val="18"/>
        </w:rPr>
        <w:t> </w:t>
      </w:r>
      <w:r>
        <w:rPr>
          <w:color w:val="231F20"/>
          <w:w w:val="110"/>
          <w:sz w:val="18"/>
        </w:rPr>
        <w:t>shall:</w:t>
      </w:r>
    </w:p>
    <w:p>
      <w:pPr>
        <w:pStyle w:val="BodyText"/>
        <w:spacing w:before="8"/>
        <w:rPr>
          <w:sz w:val="20"/>
        </w:rPr>
      </w:pPr>
    </w:p>
    <w:p>
      <w:pPr>
        <w:pStyle w:val="ListParagraph"/>
        <w:numPr>
          <w:ilvl w:val="3"/>
          <w:numId w:val="151"/>
        </w:numPr>
        <w:tabs>
          <w:tab w:pos="1954" w:val="left" w:leader="none"/>
          <w:tab w:pos="1955" w:val="left" w:leader="none"/>
        </w:tabs>
        <w:spacing w:line="240" w:lineRule="auto" w:before="1" w:after="0"/>
        <w:ind w:left="1954" w:right="0" w:hanging="1441"/>
        <w:jc w:val="left"/>
        <w:rPr>
          <w:sz w:val="18"/>
        </w:rPr>
      </w:pPr>
      <w:r>
        <w:rPr>
          <w:color w:val="231F20"/>
          <w:spacing w:val="2"/>
          <w:w w:val="110"/>
          <w:sz w:val="18"/>
        </w:rPr>
        <w:t>notify </w:t>
      </w:r>
      <w:r>
        <w:rPr>
          <w:color w:val="231F20"/>
          <w:w w:val="110"/>
          <w:sz w:val="18"/>
        </w:rPr>
        <w:t>the date, time and place of the</w:t>
      </w:r>
      <w:r>
        <w:rPr>
          <w:color w:val="231F20"/>
          <w:spacing w:val="9"/>
          <w:w w:val="110"/>
          <w:sz w:val="18"/>
        </w:rPr>
        <w:t> </w:t>
      </w:r>
      <w:r>
        <w:rPr>
          <w:color w:val="231F20"/>
          <w:w w:val="110"/>
          <w:sz w:val="18"/>
        </w:rPr>
        <w:t>Hearing,</w:t>
      </w:r>
    </w:p>
    <w:p>
      <w:pPr>
        <w:pStyle w:val="BodyText"/>
        <w:spacing w:before="1"/>
        <w:rPr>
          <w:sz w:val="23"/>
        </w:rPr>
      </w:pPr>
    </w:p>
    <w:p>
      <w:pPr>
        <w:pStyle w:val="ListParagraph"/>
        <w:numPr>
          <w:ilvl w:val="3"/>
          <w:numId w:val="151"/>
        </w:numPr>
        <w:tabs>
          <w:tab w:pos="1954" w:val="left" w:leader="none"/>
          <w:tab w:pos="1955" w:val="left" w:leader="none"/>
        </w:tabs>
        <w:spacing w:line="273" w:lineRule="auto" w:before="0" w:after="0"/>
        <w:ind w:left="514" w:right="1983" w:firstLine="0"/>
        <w:jc w:val="left"/>
        <w:rPr>
          <w:sz w:val="18"/>
        </w:rPr>
      </w:pPr>
      <w:r>
        <w:rPr>
          <w:color w:val="231F20"/>
          <w:spacing w:val="2"/>
          <w:w w:val="110"/>
          <w:sz w:val="18"/>
        </w:rPr>
        <w:t>notify </w:t>
      </w:r>
      <w:r>
        <w:rPr>
          <w:color w:val="231F20"/>
          <w:w w:val="110"/>
          <w:sz w:val="18"/>
        </w:rPr>
        <w:t>the </w:t>
      </w:r>
      <w:r>
        <w:rPr>
          <w:color w:val="231F20"/>
          <w:spacing w:val="2"/>
          <w:w w:val="110"/>
          <w:sz w:val="18"/>
        </w:rPr>
        <w:t>Parties </w:t>
      </w:r>
      <w:r>
        <w:rPr>
          <w:color w:val="231F20"/>
          <w:w w:val="110"/>
          <w:sz w:val="18"/>
        </w:rPr>
        <w:t>that the Referral Notice and any statement </w:t>
      </w:r>
      <w:r>
        <w:rPr>
          <w:color w:val="231F20"/>
          <w:spacing w:val="2"/>
          <w:w w:val="110"/>
          <w:sz w:val="18"/>
        </w:rPr>
        <w:t>from </w:t>
      </w:r>
      <w:r>
        <w:rPr>
          <w:color w:val="231F20"/>
          <w:w w:val="110"/>
          <w:sz w:val="18"/>
        </w:rPr>
        <w:t>the Minister lodged in </w:t>
      </w:r>
      <w:r>
        <w:rPr>
          <w:color w:val="231F20"/>
          <w:spacing w:val="2"/>
          <w:w w:val="110"/>
          <w:sz w:val="18"/>
        </w:rPr>
        <w:t>response </w:t>
      </w:r>
      <w:r>
        <w:rPr>
          <w:color w:val="231F20"/>
          <w:w w:val="110"/>
          <w:sz w:val="18"/>
        </w:rPr>
        <w:t>to the Notice </w:t>
      </w:r>
      <w:r>
        <w:rPr>
          <w:color w:val="231F20"/>
          <w:spacing w:val="2"/>
          <w:w w:val="110"/>
          <w:sz w:val="18"/>
        </w:rPr>
        <w:t>referred </w:t>
      </w:r>
      <w:r>
        <w:rPr>
          <w:color w:val="231F20"/>
          <w:w w:val="110"/>
          <w:sz w:val="18"/>
        </w:rPr>
        <w:t>to in Paragraph C.1.2 will be </w:t>
      </w:r>
      <w:r>
        <w:rPr>
          <w:color w:val="231F20"/>
          <w:spacing w:val="2"/>
          <w:w w:val="110"/>
          <w:sz w:val="18"/>
        </w:rPr>
        <w:t>part </w:t>
      </w:r>
      <w:r>
        <w:rPr>
          <w:color w:val="231F20"/>
          <w:w w:val="110"/>
          <w:sz w:val="18"/>
        </w:rPr>
        <w:t>of the </w:t>
      </w:r>
      <w:r>
        <w:rPr>
          <w:color w:val="231F20"/>
          <w:spacing w:val="2"/>
          <w:w w:val="110"/>
          <w:sz w:val="18"/>
        </w:rPr>
        <w:t>documentary </w:t>
      </w:r>
      <w:r>
        <w:rPr>
          <w:color w:val="231F20"/>
          <w:w w:val="110"/>
          <w:sz w:val="18"/>
        </w:rPr>
        <w:t>evidence at the</w:t>
      </w:r>
      <w:r>
        <w:rPr>
          <w:color w:val="231F20"/>
          <w:spacing w:val="5"/>
          <w:w w:val="110"/>
          <w:sz w:val="18"/>
        </w:rPr>
        <w:t> </w:t>
      </w:r>
      <w:r>
        <w:rPr>
          <w:color w:val="231F20"/>
          <w:w w:val="110"/>
          <w:sz w:val="18"/>
        </w:rPr>
        <w:t>Hearing,</w:t>
      </w:r>
    </w:p>
    <w:p>
      <w:pPr>
        <w:pStyle w:val="BodyText"/>
        <w:spacing w:before="9"/>
        <w:rPr>
          <w:sz w:val="20"/>
        </w:rPr>
      </w:pPr>
    </w:p>
    <w:p>
      <w:pPr>
        <w:pStyle w:val="ListParagraph"/>
        <w:numPr>
          <w:ilvl w:val="3"/>
          <w:numId w:val="151"/>
        </w:numPr>
        <w:tabs>
          <w:tab w:pos="1954" w:val="left" w:leader="none"/>
          <w:tab w:pos="1955" w:val="left" w:leader="none"/>
        </w:tabs>
        <w:spacing w:line="273" w:lineRule="auto" w:before="0" w:after="0"/>
        <w:ind w:left="514" w:right="1986" w:firstLine="0"/>
        <w:jc w:val="left"/>
        <w:rPr>
          <w:sz w:val="18"/>
        </w:rPr>
      </w:pPr>
      <w:r>
        <w:rPr>
          <w:color w:val="231F20"/>
          <w:w w:val="110"/>
          <w:sz w:val="18"/>
        </w:rPr>
        <w:t>call upon the </w:t>
      </w:r>
      <w:r>
        <w:rPr>
          <w:color w:val="231F20"/>
          <w:spacing w:val="2"/>
          <w:w w:val="110"/>
          <w:sz w:val="18"/>
        </w:rPr>
        <w:t>Parties </w:t>
      </w:r>
      <w:r>
        <w:rPr>
          <w:color w:val="231F20"/>
          <w:w w:val="110"/>
          <w:sz w:val="18"/>
        </w:rPr>
        <w:t>to lodge copies of any documents or of any </w:t>
      </w:r>
      <w:r>
        <w:rPr>
          <w:color w:val="231F20"/>
          <w:spacing w:val="2"/>
          <w:w w:val="110"/>
          <w:sz w:val="18"/>
        </w:rPr>
        <w:t>further </w:t>
      </w:r>
      <w:r>
        <w:rPr>
          <w:color w:val="231F20"/>
          <w:w w:val="110"/>
          <w:sz w:val="18"/>
        </w:rPr>
        <w:t>statements relating to </w:t>
      </w:r>
      <w:r>
        <w:rPr>
          <w:color w:val="231F20"/>
          <w:spacing w:val="2"/>
          <w:w w:val="110"/>
          <w:sz w:val="18"/>
        </w:rPr>
        <w:t>matters </w:t>
      </w:r>
      <w:r>
        <w:rPr>
          <w:color w:val="231F20"/>
          <w:w w:val="110"/>
          <w:sz w:val="18"/>
        </w:rPr>
        <w:t>to which they may wish to refer at the Hearing (the Notice should indicate to the </w:t>
      </w:r>
      <w:r>
        <w:rPr>
          <w:color w:val="231F20"/>
          <w:spacing w:val="2"/>
          <w:w w:val="110"/>
          <w:sz w:val="18"/>
        </w:rPr>
        <w:t>Parties </w:t>
      </w:r>
      <w:r>
        <w:rPr>
          <w:color w:val="231F20"/>
          <w:w w:val="110"/>
          <w:sz w:val="18"/>
        </w:rPr>
        <w:t>that copies of any such documents or statements will be made available to the other</w:t>
      </w:r>
      <w:r>
        <w:rPr>
          <w:color w:val="231F20"/>
          <w:spacing w:val="9"/>
          <w:w w:val="110"/>
          <w:sz w:val="18"/>
        </w:rPr>
        <w:t> </w:t>
      </w:r>
      <w:r>
        <w:rPr>
          <w:color w:val="231F20"/>
          <w:w w:val="110"/>
          <w:sz w:val="18"/>
        </w:rPr>
        <w:t>Party),</w:t>
      </w:r>
    </w:p>
    <w:p>
      <w:pPr>
        <w:pStyle w:val="BodyText"/>
        <w:spacing w:before="10"/>
        <w:rPr>
          <w:sz w:val="20"/>
        </w:rPr>
      </w:pPr>
    </w:p>
    <w:p>
      <w:pPr>
        <w:pStyle w:val="ListParagraph"/>
        <w:numPr>
          <w:ilvl w:val="3"/>
          <w:numId w:val="151"/>
        </w:numPr>
        <w:tabs>
          <w:tab w:pos="1954" w:val="left" w:leader="none"/>
          <w:tab w:pos="1955" w:val="left" w:leader="none"/>
        </w:tabs>
        <w:spacing w:line="273" w:lineRule="auto" w:before="0" w:after="0"/>
        <w:ind w:left="514" w:right="2033" w:firstLine="0"/>
        <w:jc w:val="left"/>
        <w:rPr>
          <w:sz w:val="18"/>
        </w:rPr>
      </w:pPr>
      <w:r>
        <w:rPr>
          <w:color w:val="231F20"/>
          <w:w w:val="110"/>
          <w:sz w:val="18"/>
        </w:rPr>
        <w:t>call upon the </w:t>
      </w:r>
      <w:r>
        <w:rPr>
          <w:color w:val="231F20"/>
          <w:spacing w:val="2"/>
          <w:w w:val="110"/>
          <w:sz w:val="18"/>
        </w:rPr>
        <w:t>Parties </w:t>
      </w:r>
      <w:r>
        <w:rPr>
          <w:color w:val="231F20"/>
          <w:w w:val="110"/>
          <w:sz w:val="18"/>
        </w:rPr>
        <w:t>to state the names of </w:t>
      </w:r>
      <w:r>
        <w:rPr>
          <w:color w:val="231F20"/>
          <w:spacing w:val="2"/>
          <w:w w:val="110"/>
          <w:sz w:val="18"/>
        </w:rPr>
        <w:t>persons </w:t>
      </w:r>
      <w:r>
        <w:rPr>
          <w:color w:val="231F20"/>
          <w:w w:val="110"/>
          <w:sz w:val="18"/>
        </w:rPr>
        <w:t>whom they </w:t>
      </w:r>
      <w:r>
        <w:rPr>
          <w:color w:val="231F20"/>
          <w:spacing w:val="2"/>
          <w:w w:val="110"/>
          <w:sz w:val="18"/>
        </w:rPr>
        <w:t>propose </w:t>
      </w:r>
      <w:r>
        <w:rPr>
          <w:color w:val="231F20"/>
          <w:w w:val="110"/>
          <w:sz w:val="18"/>
        </w:rPr>
        <w:t>to invite to attend the Hearing and, briefly, the purpose of their attendance and the approximate length of time which each of the </w:t>
      </w:r>
      <w:r>
        <w:rPr>
          <w:color w:val="231F20"/>
          <w:spacing w:val="2"/>
          <w:w w:val="110"/>
          <w:sz w:val="18"/>
        </w:rPr>
        <w:t>Parties </w:t>
      </w:r>
      <w:r>
        <w:rPr>
          <w:color w:val="231F20"/>
          <w:w w:val="110"/>
          <w:sz w:val="18"/>
        </w:rPr>
        <w:t>will require at the</w:t>
      </w:r>
      <w:r>
        <w:rPr>
          <w:color w:val="231F20"/>
          <w:spacing w:val="11"/>
          <w:w w:val="110"/>
          <w:sz w:val="18"/>
        </w:rPr>
        <w:t> </w:t>
      </w:r>
      <w:r>
        <w:rPr>
          <w:color w:val="231F20"/>
          <w:w w:val="110"/>
          <w:sz w:val="18"/>
        </w:rPr>
        <w:t>Hearing,</w:t>
      </w:r>
    </w:p>
    <w:p>
      <w:pPr>
        <w:pStyle w:val="BodyText"/>
        <w:spacing w:before="8"/>
        <w:rPr>
          <w:sz w:val="20"/>
        </w:rPr>
      </w:pPr>
    </w:p>
    <w:p>
      <w:pPr>
        <w:pStyle w:val="ListParagraph"/>
        <w:numPr>
          <w:ilvl w:val="3"/>
          <w:numId w:val="151"/>
        </w:numPr>
        <w:tabs>
          <w:tab w:pos="1953" w:val="left" w:leader="none"/>
          <w:tab w:pos="1954" w:val="left" w:leader="none"/>
        </w:tabs>
        <w:spacing w:line="273" w:lineRule="auto" w:before="0" w:after="0"/>
        <w:ind w:left="513" w:right="1763" w:firstLine="0"/>
        <w:jc w:val="left"/>
        <w:rPr>
          <w:sz w:val="18"/>
        </w:rPr>
      </w:pPr>
      <w:r>
        <w:rPr>
          <w:color w:val="231F20"/>
          <w:w w:val="110"/>
          <w:sz w:val="18"/>
        </w:rPr>
        <w:t>call</w:t>
      </w:r>
      <w:r>
        <w:rPr>
          <w:color w:val="231F20"/>
          <w:spacing w:val="-13"/>
          <w:w w:val="110"/>
          <w:sz w:val="18"/>
        </w:rPr>
        <w:t> </w:t>
      </w:r>
      <w:r>
        <w:rPr>
          <w:color w:val="231F20"/>
          <w:w w:val="110"/>
          <w:sz w:val="18"/>
        </w:rPr>
        <w:t>upon</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Mandated</w:t>
      </w:r>
      <w:r>
        <w:rPr>
          <w:color w:val="231F20"/>
          <w:spacing w:val="-12"/>
          <w:w w:val="110"/>
          <w:sz w:val="18"/>
        </w:rPr>
        <w:t> </w:t>
      </w:r>
      <w:r>
        <w:rPr>
          <w:color w:val="231F20"/>
          <w:w w:val="110"/>
          <w:sz w:val="18"/>
        </w:rPr>
        <w:t>Group</w:t>
      </w:r>
      <w:r>
        <w:rPr>
          <w:color w:val="231F20"/>
          <w:spacing w:val="-13"/>
          <w:w w:val="110"/>
          <w:sz w:val="18"/>
        </w:rPr>
        <w:t> </w:t>
      </w:r>
      <w:r>
        <w:rPr>
          <w:color w:val="231F20"/>
          <w:w w:val="110"/>
          <w:sz w:val="18"/>
        </w:rPr>
        <w:t>to</w:t>
      </w:r>
      <w:r>
        <w:rPr>
          <w:color w:val="231F20"/>
          <w:spacing w:val="-13"/>
          <w:w w:val="110"/>
          <w:sz w:val="18"/>
        </w:rPr>
        <w:t> </w:t>
      </w:r>
      <w:r>
        <w:rPr>
          <w:color w:val="231F20"/>
          <w:w w:val="110"/>
          <w:sz w:val="18"/>
        </w:rPr>
        <w:t>nominate</w:t>
      </w:r>
      <w:r>
        <w:rPr>
          <w:color w:val="231F20"/>
          <w:spacing w:val="-13"/>
          <w:w w:val="110"/>
          <w:sz w:val="18"/>
        </w:rPr>
        <w:t> </w:t>
      </w:r>
      <w:r>
        <w:rPr>
          <w:color w:val="231F20"/>
          <w:w w:val="110"/>
          <w:sz w:val="18"/>
        </w:rPr>
        <w:t>a</w:t>
      </w:r>
      <w:r>
        <w:rPr>
          <w:color w:val="231F20"/>
          <w:spacing w:val="-13"/>
          <w:w w:val="110"/>
          <w:sz w:val="18"/>
        </w:rPr>
        <w:t> </w:t>
      </w:r>
      <w:r>
        <w:rPr>
          <w:color w:val="231F20"/>
          <w:w w:val="110"/>
          <w:sz w:val="18"/>
        </w:rPr>
        <w:t>spokesperson</w:t>
      </w:r>
      <w:r>
        <w:rPr>
          <w:color w:val="231F20"/>
          <w:spacing w:val="-13"/>
          <w:w w:val="110"/>
          <w:sz w:val="18"/>
        </w:rPr>
        <w:t> </w:t>
      </w:r>
      <w:r>
        <w:rPr>
          <w:color w:val="231F20"/>
          <w:spacing w:val="-5"/>
          <w:w w:val="110"/>
          <w:sz w:val="18"/>
        </w:rPr>
        <w:t>(who</w:t>
      </w:r>
      <w:r>
        <w:rPr>
          <w:color w:val="231F20"/>
          <w:spacing w:val="-12"/>
          <w:w w:val="110"/>
          <w:sz w:val="18"/>
        </w:rPr>
        <w:t> </w:t>
      </w:r>
      <w:r>
        <w:rPr>
          <w:color w:val="231F20"/>
          <w:w w:val="110"/>
          <w:sz w:val="18"/>
        </w:rPr>
        <w:t>need</w:t>
      </w:r>
      <w:r>
        <w:rPr>
          <w:color w:val="231F20"/>
          <w:spacing w:val="-13"/>
          <w:w w:val="110"/>
          <w:sz w:val="18"/>
        </w:rPr>
        <w:t> </w:t>
      </w:r>
      <w:r>
        <w:rPr>
          <w:color w:val="231F20"/>
          <w:w w:val="110"/>
          <w:sz w:val="18"/>
        </w:rPr>
        <w:t>not</w:t>
      </w:r>
      <w:r>
        <w:rPr>
          <w:color w:val="231F20"/>
          <w:spacing w:val="-13"/>
          <w:w w:val="110"/>
          <w:sz w:val="18"/>
        </w:rPr>
        <w:t> </w:t>
      </w:r>
      <w:r>
        <w:rPr>
          <w:color w:val="231F20"/>
          <w:w w:val="110"/>
          <w:sz w:val="18"/>
        </w:rPr>
        <w:t>be a member of the Mandated </w:t>
      </w:r>
      <w:r>
        <w:rPr>
          <w:color w:val="231F20"/>
          <w:spacing w:val="-3"/>
          <w:w w:val="110"/>
          <w:sz w:val="18"/>
        </w:rPr>
        <w:t>Group) </w:t>
      </w:r>
      <w:r>
        <w:rPr>
          <w:color w:val="231F20"/>
          <w:w w:val="110"/>
          <w:sz w:val="18"/>
        </w:rPr>
        <w:t>to act on its behalf in the questioning of witnesses and in</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general</w:t>
      </w:r>
      <w:r>
        <w:rPr>
          <w:color w:val="231F20"/>
          <w:spacing w:val="-10"/>
          <w:w w:val="110"/>
          <w:sz w:val="18"/>
        </w:rPr>
        <w:t> </w:t>
      </w:r>
      <w:r>
        <w:rPr>
          <w:color w:val="231F20"/>
          <w:w w:val="110"/>
          <w:sz w:val="18"/>
        </w:rPr>
        <w:t>presentation</w:t>
      </w:r>
      <w:r>
        <w:rPr>
          <w:color w:val="231F20"/>
          <w:spacing w:val="-11"/>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1"/>
          <w:w w:val="110"/>
          <w:sz w:val="18"/>
        </w:rPr>
        <w:t> </w:t>
      </w:r>
      <w:r>
        <w:rPr>
          <w:color w:val="231F20"/>
          <w:w w:val="110"/>
          <w:sz w:val="18"/>
        </w:rPr>
        <w:t>case</w:t>
      </w:r>
      <w:r>
        <w:rPr>
          <w:color w:val="231F20"/>
          <w:spacing w:val="-11"/>
          <w:w w:val="110"/>
          <w:sz w:val="18"/>
        </w:rPr>
        <w:t> </w:t>
      </w:r>
      <w:r>
        <w:rPr>
          <w:color w:val="231F20"/>
          <w:w w:val="110"/>
          <w:sz w:val="18"/>
        </w:rPr>
        <w:t>and</w:t>
      </w:r>
      <w:r>
        <w:rPr>
          <w:color w:val="231F20"/>
          <w:spacing w:val="-10"/>
          <w:w w:val="110"/>
          <w:sz w:val="18"/>
        </w:rPr>
        <w:t> </w:t>
      </w:r>
      <w:r>
        <w:rPr>
          <w:color w:val="231F20"/>
          <w:w w:val="110"/>
          <w:sz w:val="18"/>
        </w:rPr>
        <w:t>indicate</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name</w:t>
      </w:r>
      <w:r>
        <w:rPr>
          <w:color w:val="231F20"/>
          <w:spacing w:val="-11"/>
          <w:w w:val="110"/>
          <w:sz w:val="18"/>
        </w:rPr>
        <w:t> </w:t>
      </w:r>
      <w:r>
        <w:rPr>
          <w:color w:val="231F20"/>
          <w:w w:val="110"/>
          <w:sz w:val="18"/>
        </w:rPr>
        <w:t>and</w:t>
      </w:r>
      <w:r>
        <w:rPr>
          <w:color w:val="231F20"/>
          <w:spacing w:val="-11"/>
          <w:w w:val="110"/>
          <w:sz w:val="18"/>
        </w:rPr>
        <w:t> </w:t>
      </w:r>
      <w:r>
        <w:rPr>
          <w:color w:val="231F20"/>
          <w:w w:val="110"/>
          <w:sz w:val="18"/>
        </w:rPr>
        <w:t>status</w:t>
      </w:r>
      <w:r>
        <w:rPr>
          <w:color w:val="231F20"/>
          <w:spacing w:val="-9"/>
          <w:w w:val="110"/>
          <w:sz w:val="18"/>
        </w:rPr>
        <w:t> </w:t>
      </w:r>
      <w:r>
        <w:rPr>
          <w:color w:val="231F20"/>
          <w:w w:val="110"/>
          <w:sz w:val="18"/>
        </w:rPr>
        <w:t>of</w:t>
      </w:r>
      <w:r>
        <w:rPr>
          <w:color w:val="231F20"/>
          <w:spacing w:val="-11"/>
          <w:w w:val="110"/>
          <w:sz w:val="18"/>
        </w:rPr>
        <w:t> </w:t>
      </w:r>
      <w:r>
        <w:rPr>
          <w:color w:val="231F20"/>
          <w:w w:val="110"/>
          <w:sz w:val="18"/>
        </w:rPr>
        <w:t>such</w:t>
      </w:r>
      <w:r>
        <w:rPr>
          <w:color w:val="231F20"/>
          <w:spacing w:val="-11"/>
          <w:w w:val="110"/>
          <w:sz w:val="18"/>
        </w:rPr>
        <w:t> </w:t>
      </w:r>
      <w:r>
        <w:rPr>
          <w:color w:val="231F20"/>
          <w:w w:val="110"/>
          <w:sz w:val="18"/>
        </w:rPr>
        <w:t>person,</w:t>
      </w:r>
    </w:p>
    <w:p>
      <w:pPr>
        <w:pStyle w:val="BodyText"/>
        <w:spacing w:before="9"/>
        <w:rPr>
          <w:sz w:val="20"/>
        </w:rPr>
      </w:pPr>
    </w:p>
    <w:p>
      <w:pPr>
        <w:pStyle w:val="ListParagraph"/>
        <w:numPr>
          <w:ilvl w:val="3"/>
          <w:numId w:val="151"/>
        </w:numPr>
        <w:tabs>
          <w:tab w:pos="1953" w:val="left" w:leader="none"/>
          <w:tab w:pos="1954" w:val="left" w:leader="none"/>
        </w:tabs>
        <w:spacing w:line="273" w:lineRule="auto" w:before="0" w:after="0"/>
        <w:ind w:left="513" w:right="1903" w:firstLine="0"/>
        <w:jc w:val="left"/>
        <w:rPr>
          <w:sz w:val="18"/>
        </w:rPr>
      </w:pPr>
      <w:r>
        <w:rPr>
          <w:color w:val="231F20"/>
          <w:w w:val="110"/>
          <w:sz w:val="18"/>
        </w:rPr>
        <w:t>call upon the Minister to state whether s/he wishes to have a </w:t>
      </w:r>
      <w:r>
        <w:rPr>
          <w:color w:val="231F20"/>
          <w:spacing w:val="2"/>
          <w:w w:val="110"/>
          <w:sz w:val="18"/>
        </w:rPr>
        <w:t>person </w:t>
      </w:r>
      <w:r>
        <w:rPr>
          <w:color w:val="231F20"/>
          <w:w w:val="110"/>
          <w:sz w:val="18"/>
        </w:rPr>
        <w:t>present with him/her at the Hearing pursuant to Paragraph </w:t>
      </w:r>
      <w:r>
        <w:rPr>
          <w:color w:val="231F20"/>
          <w:spacing w:val="-5"/>
          <w:w w:val="110"/>
          <w:sz w:val="18"/>
        </w:rPr>
        <w:t>E.10.1 </w:t>
      </w:r>
      <w:r>
        <w:rPr>
          <w:color w:val="231F20"/>
          <w:w w:val="110"/>
          <w:sz w:val="18"/>
        </w:rPr>
        <w:t>and, if so, call upon the Minister to indicate the name and status of such </w:t>
      </w:r>
      <w:r>
        <w:rPr>
          <w:color w:val="231F20"/>
          <w:spacing w:val="2"/>
          <w:w w:val="110"/>
          <w:sz w:val="18"/>
        </w:rPr>
        <w:t>person </w:t>
      </w:r>
      <w:r>
        <w:rPr>
          <w:color w:val="231F20"/>
          <w:w w:val="110"/>
          <w:sz w:val="18"/>
        </w:rPr>
        <w:t>and whether s/he will be present to give the Minister support and advice under Paragraph </w:t>
      </w:r>
      <w:r>
        <w:rPr>
          <w:color w:val="231F20"/>
          <w:spacing w:val="-6"/>
          <w:w w:val="110"/>
          <w:sz w:val="18"/>
        </w:rPr>
        <w:t>E.10.1.1 </w:t>
      </w:r>
      <w:r>
        <w:rPr>
          <w:color w:val="231F20"/>
          <w:w w:val="110"/>
          <w:sz w:val="18"/>
        </w:rPr>
        <w:t>or to present the Minister’s </w:t>
      </w:r>
      <w:r>
        <w:rPr>
          <w:color w:val="231F20"/>
          <w:spacing w:val="2"/>
          <w:w w:val="110"/>
          <w:sz w:val="18"/>
        </w:rPr>
        <w:t>case </w:t>
      </w:r>
      <w:r>
        <w:rPr>
          <w:color w:val="231F20"/>
          <w:w w:val="110"/>
          <w:sz w:val="18"/>
        </w:rPr>
        <w:t>under Paragraph</w:t>
      </w:r>
      <w:r>
        <w:rPr>
          <w:color w:val="231F20"/>
          <w:spacing w:val="6"/>
          <w:w w:val="110"/>
          <w:sz w:val="18"/>
        </w:rPr>
        <w:t> </w:t>
      </w:r>
      <w:r>
        <w:rPr>
          <w:color w:val="231F20"/>
          <w:spacing w:val="-4"/>
          <w:w w:val="110"/>
          <w:sz w:val="18"/>
        </w:rPr>
        <w:t>E.10.1.2.</w:t>
      </w:r>
    </w:p>
    <w:p>
      <w:pPr>
        <w:pStyle w:val="BodyText"/>
        <w:spacing w:before="10"/>
        <w:rPr>
          <w:sz w:val="20"/>
        </w:rPr>
      </w:pPr>
    </w:p>
    <w:p>
      <w:pPr>
        <w:pStyle w:val="ListParagraph"/>
        <w:numPr>
          <w:ilvl w:val="2"/>
          <w:numId w:val="122"/>
        </w:numPr>
        <w:tabs>
          <w:tab w:pos="1233" w:val="left" w:leader="none"/>
          <w:tab w:pos="1234" w:val="left" w:leader="none"/>
          <w:tab w:pos="1953" w:val="left" w:leader="none"/>
        </w:tabs>
        <w:spacing w:line="273" w:lineRule="auto" w:before="0" w:after="0"/>
        <w:ind w:left="513" w:right="2077" w:firstLine="0"/>
        <w:jc w:val="left"/>
        <w:rPr>
          <w:sz w:val="18"/>
        </w:rPr>
      </w:pPr>
      <w:r>
        <w:rPr>
          <w:color w:val="231F20"/>
          <w:spacing w:val="-4"/>
          <w:w w:val="110"/>
          <w:sz w:val="18"/>
        </w:rPr>
        <w:t>E.4.1</w:t>
        <w:tab/>
      </w:r>
      <w:r>
        <w:rPr>
          <w:color w:val="231F20"/>
          <w:w w:val="110"/>
          <w:sz w:val="18"/>
        </w:rPr>
        <w:t>Within </w:t>
      </w:r>
      <w:r>
        <w:rPr>
          <w:color w:val="231F20"/>
          <w:spacing w:val="-6"/>
          <w:w w:val="110"/>
          <w:sz w:val="18"/>
        </w:rPr>
        <w:t>14 </w:t>
      </w:r>
      <w:r>
        <w:rPr>
          <w:color w:val="231F20"/>
          <w:w w:val="110"/>
          <w:sz w:val="18"/>
        </w:rPr>
        <w:t>days of the </w:t>
      </w:r>
      <w:r>
        <w:rPr>
          <w:color w:val="231F20"/>
          <w:spacing w:val="2"/>
          <w:w w:val="110"/>
          <w:sz w:val="18"/>
        </w:rPr>
        <w:t>service </w:t>
      </w:r>
      <w:r>
        <w:rPr>
          <w:color w:val="231F20"/>
          <w:w w:val="110"/>
          <w:sz w:val="18"/>
        </w:rPr>
        <w:t>of the Notice under Paragraph E.3, the </w:t>
      </w:r>
      <w:r>
        <w:rPr>
          <w:color w:val="231F20"/>
          <w:spacing w:val="2"/>
          <w:w w:val="110"/>
          <w:sz w:val="18"/>
        </w:rPr>
        <w:t>Parties </w:t>
      </w:r>
      <w:r>
        <w:rPr>
          <w:color w:val="231F20"/>
          <w:w w:val="110"/>
          <w:sz w:val="18"/>
        </w:rPr>
        <w:t>shall comply with Paragraphs E.3.2.3 and E.3.2.4 by </w:t>
      </w:r>
      <w:r>
        <w:rPr>
          <w:color w:val="231F20"/>
          <w:spacing w:val="2"/>
          <w:w w:val="110"/>
          <w:sz w:val="18"/>
        </w:rPr>
        <w:t>serving </w:t>
      </w:r>
      <w:r>
        <w:rPr>
          <w:color w:val="231F20"/>
          <w:w w:val="110"/>
          <w:sz w:val="18"/>
        </w:rPr>
        <w:t>on the </w:t>
      </w:r>
      <w:r>
        <w:rPr>
          <w:color w:val="231F20"/>
          <w:spacing w:val="3"/>
          <w:w w:val="110"/>
          <w:sz w:val="18"/>
        </w:rPr>
        <w:t>Secretary </w:t>
      </w:r>
      <w:r>
        <w:rPr>
          <w:color w:val="231F20"/>
          <w:w w:val="110"/>
          <w:sz w:val="18"/>
        </w:rPr>
        <w:t>of the Assembly Commission the documents, statements and information requested, whereupon the </w:t>
      </w:r>
      <w:r>
        <w:rPr>
          <w:color w:val="231F20"/>
          <w:spacing w:val="3"/>
          <w:w w:val="110"/>
          <w:sz w:val="18"/>
        </w:rPr>
        <w:t>Secretary </w:t>
      </w:r>
      <w:r>
        <w:rPr>
          <w:color w:val="231F20"/>
          <w:w w:val="110"/>
          <w:sz w:val="18"/>
        </w:rPr>
        <w:t>shall forthwith provide copies thereof for the Convener and the other </w:t>
      </w:r>
      <w:r>
        <w:rPr>
          <w:color w:val="231F20"/>
          <w:spacing w:val="2"/>
          <w:w w:val="110"/>
          <w:sz w:val="18"/>
        </w:rPr>
        <w:t>members </w:t>
      </w:r>
      <w:r>
        <w:rPr>
          <w:color w:val="231F20"/>
          <w:w w:val="110"/>
          <w:sz w:val="18"/>
        </w:rPr>
        <w:t>of the Assembly</w:t>
      </w:r>
      <w:r>
        <w:rPr>
          <w:color w:val="231F20"/>
          <w:spacing w:val="10"/>
          <w:w w:val="110"/>
          <w:sz w:val="18"/>
        </w:rPr>
        <w:t> </w:t>
      </w:r>
      <w:r>
        <w:rPr>
          <w:color w:val="231F20"/>
          <w:w w:val="110"/>
          <w:sz w:val="18"/>
        </w:rPr>
        <w:t>Commission.</w:t>
      </w:r>
    </w:p>
    <w:p>
      <w:pPr>
        <w:pStyle w:val="BodyText"/>
        <w:spacing w:before="10"/>
        <w:rPr>
          <w:sz w:val="20"/>
        </w:rPr>
      </w:pPr>
    </w:p>
    <w:p>
      <w:pPr>
        <w:pStyle w:val="ListParagraph"/>
        <w:numPr>
          <w:ilvl w:val="2"/>
          <w:numId w:val="152"/>
        </w:numPr>
        <w:tabs>
          <w:tab w:pos="1233" w:val="left" w:leader="none"/>
          <w:tab w:pos="1234" w:val="left" w:leader="none"/>
        </w:tabs>
        <w:spacing w:line="273" w:lineRule="auto" w:before="0" w:after="0"/>
        <w:ind w:left="513" w:right="1880" w:firstLine="0"/>
        <w:jc w:val="left"/>
        <w:rPr>
          <w:sz w:val="18"/>
        </w:rPr>
      </w:pPr>
      <w:r>
        <w:rPr>
          <w:color w:val="231F20"/>
          <w:spacing w:val="3"/>
          <w:w w:val="110"/>
          <w:sz w:val="18"/>
        </w:rPr>
        <w:t>As </w:t>
      </w:r>
      <w:r>
        <w:rPr>
          <w:color w:val="231F20"/>
          <w:w w:val="110"/>
          <w:sz w:val="18"/>
        </w:rPr>
        <w:t>soon as possible </w:t>
      </w:r>
      <w:r>
        <w:rPr>
          <w:color w:val="231F20"/>
          <w:spacing w:val="2"/>
          <w:w w:val="110"/>
          <w:sz w:val="18"/>
        </w:rPr>
        <w:t>after </w:t>
      </w:r>
      <w:r>
        <w:rPr>
          <w:color w:val="231F20"/>
          <w:w w:val="110"/>
          <w:sz w:val="18"/>
        </w:rPr>
        <w:t>the expiration of such period of </w:t>
      </w:r>
      <w:r>
        <w:rPr>
          <w:color w:val="231F20"/>
          <w:spacing w:val="-6"/>
          <w:w w:val="110"/>
          <w:sz w:val="18"/>
        </w:rPr>
        <w:t>14 </w:t>
      </w:r>
      <w:r>
        <w:rPr>
          <w:color w:val="231F20"/>
          <w:w w:val="110"/>
          <w:sz w:val="18"/>
        </w:rPr>
        <w:t>days </w:t>
      </w:r>
      <w:r>
        <w:rPr>
          <w:color w:val="231F20"/>
          <w:spacing w:val="2"/>
          <w:w w:val="110"/>
          <w:sz w:val="18"/>
        </w:rPr>
        <w:t>referred </w:t>
      </w:r>
      <w:r>
        <w:rPr>
          <w:color w:val="231F20"/>
          <w:w w:val="110"/>
          <w:sz w:val="18"/>
        </w:rPr>
        <w:t>to in Paragraph </w:t>
      </w:r>
      <w:r>
        <w:rPr>
          <w:color w:val="231F20"/>
          <w:spacing w:val="-5"/>
          <w:w w:val="110"/>
          <w:sz w:val="18"/>
        </w:rPr>
        <w:t>E.4.1, </w:t>
      </w:r>
      <w:r>
        <w:rPr>
          <w:color w:val="231F20"/>
          <w:w w:val="110"/>
          <w:sz w:val="18"/>
        </w:rPr>
        <w:t>the </w:t>
      </w:r>
      <w:r>
        <w:rPr>
          <w:color w:val="231F20"/>
          <w:spacing w:val="3"/>
          <w:w w:val="110"/>
          <w:sz w:val="18"/>
        </w:rPr>
        <w:t>Secretary </w:t>
      </w:r>
      <w:r>
        <w:rPr>
          <w:color w:val="231F20"/>
          <w:w w:val="110"/>
          <w:sz w:val="18"/>
        </w:rPr>
        <w:t>of the Assembly Commission shall provide each </w:t>
      </w:r>
      <w:r>
        <w:rPr>
          <w:color w:val="231F20"/>
          <w:spacing w:val="3"/>
          <w:w w:val="110"/>
          <w:sz w:val="18"/>
        </w:rPr>
        <w:t>Party </w:t>
      </w:r>
      <w:r>
        <w:rPr>
          <w:color w:val="231F20"/>
          <w:w w:val="110"/>
          <w:sz w:val="18"/>
        </w:rPr>
        <w:t>with copies of the documents, statements and information delivered by the other </w:t>
      </w:r>
      <w:r>
        <w:rPr>
          <w:color w:val="231F20"/>
          <w:spacing w:val="3"/>
          <w:w w:val="110"/>
          <w:sz w:val="18"/>
        </w:rPr>
        <w:t>Party </w:t>
      </w:r>
      <w:r>
        <w:rPr>
          <w:color w:val="231F20"/>
          <w:w w:val="110"/>
          <w:sz w:val="18"/>
        </w:rPr>
        <w:t>under Paragraph</w:t>
      </w:r>
      <w:r>
        <w:rPr>
          <w:color w:val="231F20"/>
          <w:spacing w:val="2"/>
          <w:w w:val="110"/>
          <w:sz w:val="18"/>
        </w:rPr>
        <w:t> </w:t>
      </w:r>
      <w:r>
        <w:rPr>
          <w:color w:val="231F20"/>
          <w:spacing w:val="-4"/>
          <w:w w:val="110"/>
          <w:sz w:val="18"/>
        </w:rPr>
        <w:t>E.4.1.</w:t>
      </w:r>
    </w:p>
    <w:p>
      <w:pPr>
        <w:pStyle w:val="BodyText"/>
        <w:spacing w:before="9"/>
        <w:rPr>
          <w:sz w:val="20"/>
        </w:rPr>
      </w:pPr>
    </w:p>
    <w:p>
      <w:pPr>
        <w:pStyle w:val="ListParagraph"/>
        <w:numPr>
          <w:ilvl w:val="2"/>
          <w:numId w:val="152"/>
        </w:numPr>
        <w:tabs>
          <w:tab w:pos="1233" w:val="left" w:leader="none"/>
          <w:tab w:pos="1234" w:val="left" w:leader="none"/>
        </w:tabs>
        <w:spacing w:line="240" w:lineRule="auto" w:before="1" w:after="0"/>
        <w:ind w:left="1233" w:right="0" w:hanging="721"/>
        <w:jc w:val="left"/>
        <w:rPr>
          <w:sz w:val="18"/>
        </w:rPr>
      </w:pPr>
      <w:r>
        <w:rPr>
          <w:color w:val="231F20"/>
          <w:w w:val="110"/>
          <w:sz w:val="18"/>
        </w:rPr>
        <w:t>The </w:t>
      </w:r>
      <w:r>
        <w:rPr>
          <w:color w:val="231F20"/>
          <w:spacing w:val="2"/>
          <w:w w:val="110"/>
          <w:sz w:val="18"/>
        </w:rPr>
        <w:t>Parties </w:t>
      </w:r>
      <w:r>
        <w:rPr>
          <w:color w:val="231F20"/>
          <w:w w:val="110"/>
          <w:sz w:val="18"/>
        </w:rPr>
        <w:t>shall respond to the </w:t>
      </w:r>
      <w:r>
        <w:rPr>
          <w:color w:val="231F20"/>
          <w:spacing w:val="2"/>
          <w:w w:val="110"/>
          <w:sz w:val="18"/>
        </w:rPr>
        <w:t>respective </w:t>
      </w:r>
      <w:r>
        <w:rPr>
          <w:color w:val="231F20"/>
          <w:w w:val="110"/>
          <w:sz w:val="18"/>
        </w:rPr>
        <w:t>invitations contained in</w:t>
      </w:r>
      <w:r>
        <w:rPr>
          <w:color w:val="231F20"/>
          <w:spacing w:val="35"/>
          <w:w w:val="110"/>
          <w:sz w:val="18"/>
        </w:rPr>
        <w:t> </w:t>
      </w:r>
      <w:r>
        <w:rPr>
          <w:color w:val="231F20"/>
          <w:w w:val="110"/>
          <w:sz w:val="18"/>
        </w:rPr>
        <w:t>Paragraphs</w:t>
      </w:r>
    </w:p>
    <w:p>
      <w:pPr>
        <w:pStyle w:val="BodyText"/>
        <w:spacing w:line="273" w:lineRule="auto" w:before="31"/>
        <w:ind w:left="513" w:right="1791"/>
      </w:pPr>
      <w:r>
        <w:rPr>
          <w:color w:val="231F20"/>
          <w:w w:val="110"/>
        </w:rPr>
        <w:t>E.3.2.5 and E.3.2.6 no later than 14 days prior to the date set for the Hearing and copies of each Party’s response shall thereupon be sent by the Secretary of the Assembly Commission to the other Party.</w:t>
      </w:r>
    </w:p>
    <w:p>
      <w:pPr>
        <w:pStyle w:val="BodyText"/>
        <w:spacing w:before="9"/>
        <w:rPr>
          <w:sz w:val="20"/>
        </w:rPr>
      </w:pPr>
    </w:p>
    <w:p>
      <w:pPr>
        <w:pStyle w:val="ListParagraph"/>
        <w:numPr>
          <w:ilvl w:val="2"/>
          <w:numId w:val="122"/>
        </w:numPr>
        <w:tabs>
          <w:tab w:pos="1233" w:val="left" w:leader="none"/>
          <w:tab w:pos="1234" w:val="left" w:leader="none"/>
          <w:tab w:pos="1953" w:val="left" w:leader="none"/>
        </w:tabs>
        <w:spacing w:line="273" w:lineRule="auto" w:before="0" w:after="0"/>
        <w:ind w:left="513" w:right="1824" w:firstLine="0"/>
        <w:jc w:val="left"/>
        <w:rPr>
          <w:sz w:val="18"/>
        </w:rPr>
      </w:pPr>
      <w:r>
        <w:rPr>
          <w:color w:val="231F20"/>
          <w:spacing w:val="-3"/>
          <w:w w:val="110"/>
          <w:sz w:val="18"/>
        </w:rPr>
        <w:t>E.5.1</w:t>
        <w:tab/>
      </w:r>
      <w:r>
        <w:rPr>
          <w:color w:val="231F20"/>
          <w:w w:val="110"/>
          <w:sz w:val="18"/>
        </w:rPr>
        <w:t>It shall be for the Assembly Commission to decide on all procedural and evidential matters, both </w:t>
      </w:r>
      <w:r>
        <w:rPr>
          <w:color w:val="231F20"/>
          <w:spacing w:val="2"/>
          <w:w w:val="110"/>
          <w:sz w:val="18"/>
        </w:rPr>
        <w:t>before </w:t>
      </w:r>
      <w:r>
        <w:rPr>
          <w:color w:val="231F20"/>
          <w:w w:val="110"/>
          <w:sz w:val="18"/>
        </w:rPr>
        <w:t>and during the Hearing.   It may make such directions  as</w:t>
      </w:r>
      <w:r>
        <w:rPr>
          <w:color w:val="231F20"/>
          <w:spacing w:val="10"/>
          <w:w w:val="110"/>
          <w:sz w:val="18"/>
        </w:rPr>
        <w:t> </w:t>
      </w:r>
      <w:r>
        <w:rPr>
          <w:color w:val="231F20"/>
          <w:w w:val="110"/>
          <w:sz w:val="18"/>
        </w:rPr>
        <w:t>it</w:t>
      </w:r>
      <w:r>
        <w:rPr>
          <w:color w:val="231F20"/>
          <w:spacing w:val="10"/>
          <w:w w:val="110"/>
          <w:sz w:val="18"/>
        </w:rPr>
        <w:t> </w:t>
      </w:r>
      <w:r>
        <w:rPr>
          <w:color w:val="231F20"/>
          <w:w w:val="110"/>
          <w:sz w:val="18"/>
        </w:rPr>
        <w:t>deems</w:t>
      </w:r>
      <w:r>
        <w:rPr>
          <w:color w:val="231F20"/>
          <w:spacing w:val="11"/>
          <w:w w:val="110"/>
          <w:sz w:val="18"/>
        </w:rPr>
        <w:t> </w:t>
      </w:r>
      <w:r>
        <w:rPr>
          <w:color w:val="231F20"/>
          <w:w w:val="110"/>
          <w:sz w:val="18"/>
        </w:rPr>
        <w:t>appropriate</w:t>
      </w:r>
      <w:r>
        <w:rPr>
          <w:color w:val="231F20"/>
          <w:spacing w:val="10"/>
          <w:w w:val="110"/>
          <w:sz w:val="18"/>
        </w:rPr>
        <w:t> </w:t>
      </w:r>
      <w:r>
        <w:rPr>
          <w:color w:val="231F20"/>
          <w:w w:val="110"/>
          <w:sz w:val="18"/>
        </w:rPr>
        <w:t>regarding</w:t>
      </w:r>
      <w:r>
        <w:rPr>
          <w:color w:val="231F20"/>
          <w:spacing w:val="11"/>
          <w:w w:val="110"/>
          <w:sz w:val="18"/>
        </w:rPr>
        <w:t> </w:t>
      </w:r>
      <w:r>
        <w:rPr>
          <w:color w:val="231F20"/>
          <w:w w:val="110"/>
          <w:sz w:val="18"/>
        </w:rPr>
        <w:t>such</w:t>
      </w:r>
      <w:r>
        <w:rPr>
          <w:color w:val="231F20"/>
          <w:spacing w:val="10"/>
          <w:w w:val="110"/>
          <w:sz w:val="18"/>
        </w:rPr>
        <w:t> </w:t>
      </w:r>
      <w:r>
        <w:rPr>
          <w:color w:val="231F20"/>
          <w:spacing w:val="2"/>
          <w:w w:val="110"/>
          <w:sz w:val="18"/>
        </w:rPr>
        <w:t>matters</w:t>
      </w:r>
      <w:r>
        <w:rPr>
          <w:color w:val="231F20"/>
          <w:spacing w:val="11"/>
          <w:w w:val="110"/>
          <w:sz w:val="18"/>
        </w:rPr>
        <w:t> </w:t>
      </w:r>
      <w:r>
        <w:rPr>
          <w:color w:val="231F20"/>
          <w:w w:val="110"/>
          <w:sz w:val="18"/>
        </w:rPr>
        <w:t>and</w:t>
      </w:r>
      <w:r>
        <w:rPr>
          <w:color w:val="231F20"/>
          <w:spacing w:val="10"/>
          <w:w w:val="110"/>
          <w:sz w:val="18"/>
        </w:rPr>
        <w:t> </w:t>
      </w:r>
      <w:r>
        <w:rPr>
          <w:color w:val="231F20"/>
          <w:w w:val="110"/>
          <w:sz w:val="18"/>
        </w:rPr>
        <w:t>fix</w:t>
      </w:r>
      <w:r>
        <w:rPr>
          <w:color w:val="231F20"/>
          <w:spacing w:val="11"/>
          <w:w w:val="110"/>
          <w:sz w:val="18"/>
        </w:rPr>
        <w:t> </w:t>
      </w:r>
      <w:r>
        <w:rPr>
          <w:color w:val="231F20"/>
          <w:w w:val="110"/>
          <w:sz w:val="18"/>
        </w:rPr>
        <w:t>a</w:t>
      </w:r>
      <w:r>
        <w:rPr>
          <w:color w:val="231F20"/>
          <w:spacing w:val="10"/>
          <w:w w:val="110"/>
          <w:sz w:val="18"/>
        </w:rPr>
        <w:t> </w:t>
      </w:r>
      <w:r>
        <w:rPr>
          <w:color w:val="231F20"/>
          <w:w w:val="110"/>
          <w:sz w:val="18"/>
        </w:rPr>
        <w:t>time</w:t>
      </w:r>
      <w:r>
        <w:rPr>
          <w:color w:val="231F20"/>
          <w:spacing w:val="11"/>
          <w:w w:val="110"/>
          <w:sz w:val="18"/>
        </w:rPr>
        <w:t> </w:t>
      </w:r>
      <w:r>
        <w:rPr>
          <w:color w:val="231F20"/>
          <w:w w:val="110"/>
          <w:sz w:val="18"/>
        </w:rPr>
        <w:t>for</w:t>
      </w:r>
      <w:r>
        <w:rPr>
          <w:color w:val="231F20"/>
          <w:spacing w:val="10"/>
          <w:w w:val="110"/>
          <w:sz w:val="18"/>
        </w:rPr>
        <w:t> </w:t>
      </w:r>
      <w:r>
        <w:rPr>
          <w:color w:val="231F20"/>
          <w:w w:val="110"/>
          <w:sz w:val="18"/>
        </w:rPr>
        <w:t>compliance</w:t>
      </w:r>
      <w:r>
        <w:rPr>
          <w:color w:val="231F20"/>
          <w:spacing w:val="11"/>
          <w:w w:val="110"/>
          <w:sz w:val="18"/>
        </w:rPr>
        <w:t> </w:t>
      </w:r>
      <w:r>
        <w:rPr>
          <w:color w:val="231F20"/>
          <w:w w:val="110"/>
          <w:sz w:val="18"/>
        </w:rPr>
        <w:t>with</w:t>
      </w:r>
      <w:r>
        <w:rPr>
          <w:color w:val="231F20"/>
          <w:spacing w:val="10"/>
          <w:w w:val="110"/>
          <w:sz w:val="18"/>
        </w:rPr>
        <w:t> </w:t>
      </w:r>
      <w:r>
        <w:rPr>
          <w:color w:val="231F20"/>
          <w:w w:val="110"/>
          <w:sz w:val="18"/>
        </w:rPr>
        <w:t>such</w:t>
      </w:r>
    </w:p>
    <w:p>
      <w:pPr>
        <w:pStyle w:val="BodyText"/>
        <w:spacing w:line="273" w:lineRule="auto" w:before="2"/>
        <w:ind w:left="513" w:right="1844"/>
      </w:pPr>
      <w:r>
        <w:rPr>
          <w:color w:val="231F20"/>
          <w:w w:val="110"/>
        </w:rPr>
        <w:t>directions, if necessary postponing or adjourning the Hearing to enable such compliance to be made. Such matters shall include the following:</w:t>
      </w:r>
    </w:p>
    <w:p>
      <w:pPr>
        <w:pStyle w:val="BodyText"/>
        <w:spacing w:before="8"/>
        <w:rPr>
          <w:sz w:val="20"/>
        </w:rPr>
      </w:pPr>
    </w:p>
    <w:p>
      <w:pPr>
        <w:pStyle w:val="ListParagraph"/>
        <w:numPr>
          <w:ilvl w:val="3"/>
          <w:numId w:val="153"/>
        </w:numPr>
        <w:tabs>
          <w:tab w:pos="1953" w:val="left" w:leader="none"/>
          <w:tab w:pos="1954" w:val="left" w:leader="none"/>
        </w:tabs>
        <w:spacing w:line="273" w:lineRule="auto" w:before="0" w:after="0"/>
        <w:ind w:left="513" w:right="2320" w:firstLine="0"/>
        <w:jc w:val="left"/>
        <w:rPr>
          <w:sz w:val="18"/>
        </w:rPr>
      </w:pPr>
      <w:r>
        <w:rPr>
          <w:color w:val="231F20"/>
          <w:w w:val="110"/>
          <w:sz w:val="18"/>
        </w:rPr>
        <w:t>All </w:t>
      </w:r>
      <w:r>
        <w:rPr>
          <w:color w:val="231F20"/>
          <w:spacing w:val="2"/>
          <w:w w:val="110"/>
          <w:sz w:val="18"/>
        </w:rPr>
        <w:t>matters </w:t>
      </w:r>
      <w:r>
        <w:rPr>
          <w:color w:val="231F20"/>
          <w:w w:val="110"/>
          <w:sz w:val="18"/>
        </w:rPr>
        <w:t>relating to the form of the </w:t>
      </w:r>
      <w:r>
        <w:rPr>
          <w:color w:val="231F20"/>
          <w:spacing w:val="2"/>
          <w:w w:val="110"/>
          <w:sz w:val="18"/>
        </w:rPr>
        <w:t>written </w:t>
      </w:r>
      <w:r>
        <w:rPr>
          <w:color w:val="231F20"/>
          <w:w w:val="110"/>
          <w:sz w:val="18"/>
        </w:rPr>
        <w:t>material lodged by the </w:t>
      </w:r>
      <w:r>
        <w:rPr>
          <w:color w:val="231F20"/>
          <w:spacing w:val="2"/>
          <w:w w:val="110"/>
          <w:sz w:val="18"/>
        </w:rPr>
        <w:t>Parties </w:t>
      </w:r>
      <w:r>
        <w:rPr>
          <w:color w:val="231F20"/>
          <w:w w:val="110"/>
          <w:sz w:val="18"/>
        </w:rPr>
        <w:t>in accordance with Paragraph </w:t>
      </w:r>
      <w:r>
        <w:rPr>
          <w:color w:val="231F20"/>
          <w:spacing w:val="-4"/>
          <w:w w:val="110"/>
          <w:sz w:val="18"/>
        </w:rPr>
        <w:t>E.4.1 </w:t>
      </w:r>
      <w:r>
        <w:rPr>
          <w:color w:val="231F20"/>
          <w:w w:val="110"/>
          <w:sz w:val="18"/>
        </w:rPr>
        <w:t>and the extent to which the same may be later amended or supplemented, and to which </w:t>
      </w:r>
      <w:r>
        <w:rPr>
          <w:color w:val="231F20"/>
          <w:spacing w:val="2"/>
          <w:w w:val="110"/>
          <w:sz w:val="18"/>
        </w:rPr>
        <w:t>further written </w:t>
      </w:r>
      <w:r>
        <w:rPr>
          <w:color w:val="231F20"/>
          <w:w w:val="110"/>
          <w:sz w:val="18"/>
        </w:rPr>
        <w:t>material may be introduced and disclosed</w:t>
      </w:r>
      <w:r>
        <w:rPr>
          <w:color w:val="231F20"/>
          <w:spacing w:val="4"/>
          <w:w w:val="110"/>
          <w:sz w:val="18"/>
        </w:rPr>
        <w:t> </w:t>
      </w:r>
      <w:r>
        <w:rPr>
          <w:color w:val="231F20"/>
          <w:w w:val="110"/>
          <w:sz w:val="18"/>
        </w:rPr>
        <w:t>and</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3"/>
          <w:numId w:val="153"/>
        </w:numPr>
        <w:tabs>
          <w:tab w:pos="2520" w:val="left" w:leader="none"/>
          <w:tab w:pos="2521" w:val="left" w:leader="none"/>
        </w:tabs>
        <w:spacing w:line="273" w:lineRule="auto" w:before="101" w:after="0"/>
        <w:ind w:left="1080" w:right="1301" w:firstLine="0"/>
        <w:jc w:val="left"/>
        <w:rPr>
          <w:sz w:val="18"/>
        </w:rPr>
      </w:pPr>
      <w:r>
        <w:rPr>
          <w:color w:val="231F20"/>
          <w:w w:val="110"/>
          <w:sz w:val="18"/>
        </w:rPr>
        <w:t>The extent to which </w:t>
      </w:r>
      <w:r>
        <w:rPr>
          <w:color w:val="231F20"/>
          <w:spacing w:val="2"/>
          <w:w w:val="110"/>
          <w:sz w:val="18"/>
        </w:rPr>
        <w:t>written </w:t>
      </w:r>
      <w:r>
        <w:rPr>
          <w:color w:val="231F20"/>
          <w:w w:val="110"/>
          <w:sz w:val="18"/>
        </w:rPr>
        <w:t>statements, videos and other recordings and </w:t>
      </w:r>
      <w:r>
        <w:rPr>
          <w:color w:val="231F20"/>
          <w:spacing w:val="2"/>
          <w:w w:val="110"/>
          <w:sz w:val="18"/>
        </w:rPr>
        <w:t>transcripts</w:t>
      </w:r>
      <w:r>
        <w:rPr>
          <w:color w:val="231F20"/>
          <w:spacing w:val="10"/>
          <w:w w:val="110"/>
          <w:sz w:val="18"/>
        </w:rPr>
        <w:t> </w:t>
      </w:r>
      <w:r>
        <w:rPr>
          <w:color w:val="231F20"/>
          <w:w w:val="110"/>
          <w:sz w:val="18"/>
        </w:rPr>
        <w:t>shall</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exceptional</w:t>
      </w:r>
      <w:r>
        <w:rPr>
          <w:color w:val="231F20"/>
          <w:spacing w:val="10"/>
          <w:w w:val="110"/>
          <w:sz w:val="18"/>
        </w:rPr>
        <w:t> </w:t>
      </w:r>
      <w:r>
        <w:rPr>
          <w:color w:val="231F20"/>
          <w:spacing w:val="2"/>
          <w:w w:val="110"/>
          <w:sz w:val="18"/>
        </w:rPr>
        <w:t>circumstances</w:t>
      </w:r>
      <w:r>
        <w:rPr>
          <w:color w:val="231F20"/>
          <w:spacing w:val="10"/>
          <w:w w:val="110"/>
          <w:sz w:val="18"/>
        </w:rPr>
        <w:t> </w:t>
      </w:r>
      <w:r>
        <w:rPr>
          <w:color w:val="231F20"/>
          <w:w w:val="110"/>
          <w:sz w:val="18"/>
        </w:rPr>
        <w:t>be</w:t>
      </w:r>
      <w:r>
        <w:rPr>
          <w:color w:val="231F20"/>
          <w:spacing w:val="10"/>
          <w:w w:val="110"/>
          <w:sz w:val="18"/>
        </w:rPr>
        <w:t> </w:t>
      </w:r>
      <w:r>
        <w:rPr>
          <w:color w:val="231F20"/>
          <w:w w:val="110"/>
          <w:sz w:val="18"/>
        </w:rPr>
        <w:t>admitted</w:t>
      </w:r>
      <w:r>
        <w:rPr>
          <w:color w:val="231F20"/>
          <w:spacing w:val="10"/>
          <w:w w:val="110"/>
          <w:sz w:val="18"/>
        </w:rPr>
        <w:t> </w:t>
      </w:r>
      <w:r>
        <w:rPr>
          <w:color w:val="231F20"/>
          <w:w w:val="110"/>
          <w:sz w:val="18"/>
        </w:rPr>
        <w:t>as</w:t>
      </w:r>
      <w:r>
        <w:rPr>
          <w:color w:val="231F20"/>
          <w:spacing w:val="10"/>
          <w:w w:val="110"/>
          <w:sz w:val="18"/>
        </w:rPr>
        <w:t> </w:t>
      </w:r>
      <w:r>
        <w:rPr>
          <w:color w:val="231F20"/>
          <w:w w:val="110"/>
          <w:sz w:val="18"/>
        </w:rPr>
        <w:t>evidence</w:t>
      </w:r>
      <w:r>
        <w:rPr>
          <w:color w:val="231F20"/>
          <w:spacing w:val="10"/>
          <w:w w:val="110"/>
          <w:sz w:val="18"/>
        </w:rPr>
        <w:t> </w:t>
      </w:r>
      <w:r>
        <w:rPr>
          <w:color w:val="231F20"/>
          <w:w w:val="110"/>
          <w:sz w:val="18"/>
        </w:rPr>
        <w:t>at</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Hearing.</w:t>
      </w:r>
    </w:p>
    <w:p>
      <w:pPr>
        <w:pStyle w:val="BodyText"/>
        <w:spacing w:before="8"/>
        <w:rPr>
          <w:sz w:val="20"/>
        </w:rPr>
      </w:pPr>
    </w:p>
    <w:p>
      <w:pPr>
        <w:pStyle w:val="ListParagraph"/>
        <w:numPr>
          <w:ilvl w:val="3"/>
          <w:numId w:val="154"/>
        </w:numPr>
        <w:tabs>
          <w:tab w:pos="2520" w:val="left" w:leader="none"/>
          <w:tab w:pos="2521" w:val="left" w:leader="none"/>
        </w:tabs>
        <w:spacing w:line="273" w:lineRule="auto" w:before="0" w:after="0"/>
        <w:ind w:left="1080" w:right="1169" w:firstLine="0"/>
        <w:jc w:val="left"/>
        <w:rPr>
          <w:sz w:val="18"/>
        </w:rPr>
      </w:pPr>
      <w:r>
        <w:rPr>
          <w:color w:val="231F20"/>
          <w:w w:val="110"/>
          <w:sz w:val="18"/>
        </w:rPr>
        <w:t>Having notified the </w:t>
      </w:r>
      <w:r>
        <w:rPr>
          <w:color w:val="231F20"/>
          <w:spacing w:val="2"/>
          <w:w w:val="110"/>
          <w:sz w:val="18"/>
        </w:rPr>
        <w:t>Parties </w:t>
      </w:r>
      <w:r>
        <w:rPr>
          <w:color w:val="231F20"/>
          <w:w w:val="110"/>
          <w:sz w:val="18"/>
        </w:rPr>
        <w:t>prior to the Hearing, the Assembly Commission may invite any </w:t>
      </w:r>
      <w:r>
        <w:rPr>
          <w:color w:val="231F20"/>
          <w:spacing w:val="2"/>
          <w:w w:val="110"/>
          <w:sz w:val="18"/>
        </w:rPr>
        <w:t>person </w:t>
      </w:r>
      <w:r>
        <w:rPr>
          <w:color w:val="231F20"/>
          <w:w w:val="110"/>
          <w:sz w:val="18"/>
        </w:rPr>
        <w:t>with </w:t>
      </w:r>
      <w:r>
        <w:rPr>
          <w:color w:val="231F20"/>
          <w:spacing w:val="2"/>
          <w:w w:val="110"/>
          <w:sz w:val="18"/>
        </w:rPr>
        <w:t>expert </w:t>
      </w:r>
      <w:r>
        <w:rPr>
          <w:color w:val="231F20"/>
          <w:w w:val="110"/>
          <w:sz w:val="18"/>
        </w:rPr>
        <w:t>or specialist knowledge in any particular field to  attend the Hearing with a view to that </w:t>
      </w:r>
      <w:r>
        <w:rPr>
          <w:color w:val="231F20"/>
          <w:spacing w:val="2"/>
          <w:w w:val="110"/>
          <w:sz w:val="18"/>
        </w:rPr>
        <w:t>person </w:t>
      </w:r>
      <w:r>
        <w:rPr>
          <w:color w:val="231F20"/>
          <w:w w:val="110"/>
          <w:sz w:val="18"/>
        </w:rPr>
        <w:t>giving evidence at the Hearing and may issue such </w:t>
      </w:r>
      <w:r>
        <w:rPr>
          <w:color w:val="231F20"/>
          <w:spacing w:val="2"/>
          <w:w w:val="110"/>
          <w:sz w:val="18"/>
        </w:rPr>
        <w:t>requests </w:t>
      </w:r>
      <w:r>
        <w:rPr>
          <w:color w:val="231F20"/>
          <w:w w:val="110"/>
          <w:sz w:val="18"/>
        </w:rPr>
        <w:t>and directions in that connection as it considers</w:t>
      </w:r>
      <w:r>
        <w:rPr>
          <w:color w:val="231F20"/>
          <w:spacing w:val="14"/>
          <w:w w:val="110"/>
          <w:sz w:val="18"/>
        </w:rPr>
        <w:t> </w:t>
      </w:r>
      <w:r>
        <w:rPr>
          <w:color w:val="231F20"/>
          <w:w w:val="110"/>
          <w:sz w:val="18"/>
        </w:rPr>
        <w:t>appropriate.</w:t>
      </w:r>
    </w:p>
    <w:p>
      <w:pPr>
        <w:pStyle w:val="BodyText"/>
        <w:spacing w:before="9"/>
        <w:rPr>
          <w:sz w:val="20"/>
        </w:rPr>
      </w:pPr>
    </w:p>
    <w:p>
      <w:pPr>
        <w:pStyle w:val="ListParagraph"/>
        <w:numPr>
          <w:ilvl w:val="3"/>
          <w:numId w:val="154"/>
        </w:numPr>
        <w:tabs>
          <w:tab w:pos="2520" w:val="left" w:leader="none"/>
          <w:tab w:pos="2521" w:val="left" w:leader="none"/>
        </w:tabs>
        <w:spacing w:line="273" w:lineRule="auto" w:before="0" w:after="0"/>
        <w:ind w:left="1080" w:right="1465" w:firstLine="0"/>
        <w:jc w:val="left"/>
        <w:rPr>
          <w:sz w:val="18"/>
        </w:rPr>
      </w:pPr>
      <w:r>
        <w:rPr>
          <w:color w:val="231F20"/>
          <w:w w:val="110"/>
          <w:sz w:val="18"/>
        </w:rPr>
        <w:t>The legal advisers to The United Reformed Church shall be available for the purpose of advising the Assembly Commission on </w:t>
      </w:r>
      <w:r>
        <w:rPr>
          <w:color w:val="231F20"/>
          <w:spacing w:val="2"/>
          <w:w w:val="110"/>
          <w:sz w:val="18"/>
        </w:rPr>
        <w:t>matters </w:t>
      </w:r>
      <w:r>
        <w:rPr>
          <w:color w:val="231F20"/>
          <w:w w:val="110"/>
          <w:sz w:val="18"/>
        </w:rPr>
        <w:t>relating to procedure, evidence and interpretation at any point in the </w:t>
      </w:r>
      <w:r>
        <w:rPr>
          <w:color w:val="231F20"/>
          <w:spacing w:val="2"/>
          <w:w w:val="110"/>
          <w:sz w:val="18"/>
        </w:rPr>
        <w:t>Section </w:t>
      </w:r>
      <w:r>
        <w:rPr>
          <w:color w:val="231F20"/>
          <w:w w:val="110"/>
          <w:sz w:val="18"/>
        </w:rPr>
        <w:t>O</w:t>
      </w:r>
      <w:r>
        <w:rPr>
          <w:color w:val="231F20"/>
          <w:spacing w:val="29"/>
          <w:w w:val="110"/>
          <w:sz w:val="18"/>
        </w:rPr>
        <w:t> </w:t>
      </w:r>
      <w:r>
        <w:rPr>
          <w:color w:val="231F20"/>
          <w:spacing w:val="2"/>
          <w:w w:val="110"/>
          <w:sz w:val="18"/>
        </w:rPr>
        <w:t>Process.</w:t>
      </w:r>
    </w:p>
    <w:p>
      <w:pPr>
        <w:pStyle w:val="BodyText"/>
        <w:spacing w:before="9"/>
        <w:rPr>
          <w:sz w:val="20"/>
        </w:rPr>
      </w:pPr>
    </w:p>
    <w:p>
      <w:pPr>
        <w:pStyle w:val="ListParagraph"/>
        <w:numPr>
          <w:ilvl w:val="2"/>
          <w:numId w:val="122"/>
        </w:numPr>
        <w:tabs>
          <w:tab w:pos="1800" w:val="left" w:leader="none"/>
          <w:tab w:pos="1801" w:val="left" w:leader="none"/>
          <w:tab w:pos="2520" w:val="left" w:leader="none"/>
        </w:tabs>
        <w:spacing w:line="273" w:lineRule="auto" w:before="0" w:after="0"/>
        <w:ind w:left="1080" w:right="1139" w:firstLine="0"/>
        <w:jc w:val="left"/>
        <w:rPr>
          <w:sz w:val="18"/>
        </w:rPr>
      </w:pPr>
      <w:r>
        <w:rPr>
          <w:color w:val="231F20"/>
          <w:spacing w:val="-3"/>
          <w:w w:val="110"/>
          <w:sz w:val="18"/>
        </w:rPr>
        <w:t>E.6.1</w:t>
        <w:tab/>
      </w:r>
      <w:r>
        <w:rPr>
          <w:color w:val="231F20"/>
          <w:w w:val="110"/>
          <w:sz w:val="18"/>
        </w:rPr>
        <w:t>Either </w:t>
      </w:r>
      <w:r>
        <w:rPr>
          <w:color w:val="231F20"/>
          <w:spacing w:val="3"/>
          <w:w w:val="110"/>
          <w:sz w:val="18"/>
        </w:rPr>
        <w:t>Party </w:t>
      </w:r>
      <w:r>
        <w:rPr>
          <w:color w:val="231F20"/>
          <w:w w:val="110"/>
          <w:sz w:val="18"/>
        </w:rPr>
        <w:t>may at any time request an advancement or postponement or adjournment of the Hearing, </w:t>
      </w:r>
      <w:r>
        <w:rPr>
          <w:color w:val="231F20"/>
          <w:spacing w:val="2"/>
          <w:w w:val="110"/>
          <w:sz w:val="18"/>
        </w:rPr>
        <w:t>setting </w:t>
      </w:r>
      <w:r>
        <w:rPr>
          <w:color w:val="231F20"/>
          <w:w w:val="110"/>
          <w:sz w:val="18"/>
        </w:rPr>
        <w:t>out his/her/its reasons for such</w:t>
      </w:r>
      <w:r>
        <w:rPr>
          <w:color w:val="231F20"/>
          <w:spacing w:val="51"/>
          <w:w w:val="110"/>
          <w:sz w:val="18"/>
        </w:rPr>
        <w:t> </w:t>
      </w:r>
      <w:r>
        <w:rPr>
          <w:color w:val="231F20"/>
          <w:w w:val="110"/>
          <w:sz w:val="18"/>
        </w:rPr>
        <w:t>request.</w:t>
      </w:r>
    </w:p>
    <w:p>
      <w:pPr>
        <w:pStyle w:val="BodyText"/>
        <w:spacing w:before="8"/>
        <w:rPr>
          <w:sz w:val="20"/>
        </w:rPr>
      </w:pPr>
    </w:p>
    <w:p>
      <w:pPr>
        <w:pStyle w:val="ListParagraph"/>
        <w:numPr>
          <w:ilvl w:val="2"/>
          <w:numId w:val="155"/>
        </w:numPr>
        <w:tabs>
          <w:tab w:pos="1801" w:val="left" w:leader="none"/>
        </w:tabs>
        <w:spacing w:line="273" w:lineRule="auto" w:before="0" w:after="0"/>
        <w:ind w:left="1080" w:right="1228" w:firstLine="0"/>
        <w:jc w:val="left"/>
        <w:rPr>
          <w:sz w:val="18"/>
        </w:rPr>
      </w:pPr>
      <w:r>
        <w:rPr>
          <w:color w:val="231F20"/>
          <w:w w:val="110"/>
          <w:sz w:val="18"/>
        </w:rPr>
        <w:t>The Assembly Commission may at any time advance, postpone or adjourn the Hearing as it considers it appropriate, whether of its own accord or at the request of either Party, but always having regard to the need to conclude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as expeditiously as possible. Notice of the amended hearing date, time and place shall be </w:t>
      </w:r>
      <w:r>
        <w:rPr>
          <w:color w:val="231F20"/>
          <w:spacing w:val="2"/>
          <w:w w:val="110"/>
          <w:sz w:val="18"/>
        </w:rPr>
        <w:t>served </w:t>
      </w:r>
      <w:r>
        <w:rPr>
          <w:color w:val="231F20"/>
          <w:w w:val="110"/>
          <w:sz w:val="18"/>
        </w:rPr>
        <w:t>on the </w:t>
      </w:r>
      <w:r>
        <w:rPr>
          <w:color w:val="231F20"/>
          <w:spacing w:val="2"/>
          <w:w w:val="110"/>
          <w:sz w:val="18"/>
        </w:rPr>
        <w:t>Parties </w:t>
      </w:r>
      <w:r>
        <w:rPr>
          <w:color w:val="231F20"/>
          <w:w w:val="110"/>
          <w:sz w:val="18"/>
        </w:rPr>
        <w:t>by the </w:t>
      </w:r>
      <w:r>
        <w:rPr>
          <w:color w:val="231F20"/>
          <w:spacing w:val="3"/>
          <w:w w:val="110"/>
          <w:sz w:val="18"/>
        </w:rPr>
        <w:t>Secretary </w:t>
      </w:r>
      <w:r>
        <w:rPr>
          <w:color w:val="231F20"/>
          <w:w w:val="110"/>
          <w:sz w:val="18"/>
        </w:rPr>
        <w:t>of the Assembly</w:t>
      </w:r>
      <w:r>
        <w:rPr>
          <w:color w:val="231F20"/>
          <w:spacing w:val="26"/>
          <w:w w:val="110"/>
          <w:sz w:val="18"/>
        </w:rPr>
        <w:t> </w:t>
      </w:r>
      <w:r>
        <w:rPr>
          <w:color w:val="231F20"/>
          <w:w w:val="110"/>
          <w:sz w:val="18"/>
        </w:rPr>
        <w:t>Commission.</w:t>
      </w:r>
    </w:p>
    <w:p>
      <w:pPr>
        <w:pStyle w:val="BodyText"/>
        <w:spacing w:before="10"/>
        <w:rPr>
          <w:sz w:val="20"/>
        </w:rPr>
      </w:pPr>
    </w:p>
    <w:p>
      <w:pPr>
        <w:pStyle w:val="ListParagraph"/>
        <w:numPr>
          <w:ilvl w:val="2"/>
          <w:numId w:val="155"/>
        </w:numPr>
        <w:tabs>
          <w:tab w:pos="1801" w:val="left" w:leader="none"/>
        </w:tabs>
        <w:spacing w:line="273" w:lineRule="auto" w:before="0" w:after="0"/>
        <w:ind w:left="1080" w:right="1839" w:firstLine="0"/>
        <w:jc w:val="left"/>
        <w:rPr>
          <w:sz w:val="18"/>
        </w:rPr>
      </w:pPr>
      <w:r>
        <w:rPr>
          <w:color w:val="231F20"/>
          <w:w w:val="110"/>
          <w:sz w:val="18"/>
        </w:rPr>
        <w:t>Any advancement of the hearing date shall normally require the consent of both Parties.</w:t>
      </w:r>
    </w:p>
    <w:p>
      <w:pPr>
        <w:pStyle w:val="BodyText"/>
        <w:spacing w:before="8"/>
        <w:rPr>
          <w:sz w:val="20"/>
        </w:rPr>
      </w:pPr>
    </w:p>
    <w:p>
      <w:pPr>
        <w:pStyle w:val="ListParagraph"/>
        <w:numPr>
          <w:ilvl w:val="2"/>
          <w:numId w:val="122"/>
        </w:numPr>
        <w:tabs>
          <w:tab w:pos="1800" w:val="left" w:leader="none"/>
          <w:tab w:pos="1801" w:val="left" w:leader="none"/>
          <w:tab w:pos="2520" w:val="left" w:leader="none"/>
        </w:tabs>
        <w:spacing w:line="273" w:lineRule="auto" w:before="0" w:after="0"/>
        <w:ind w:left="1081" w:right="1171" w:hanging="2"/>
        <w:jc w:val="left"/>
        <w:rPr>
          <w:sz w:val="18"/>
        </w:rPr>
      </w:pPr>
      <w:r>
        <w:rPr>
          <w:color w:val="231F20"/>
          <w:spacing w:val="-10"/>
          <w:w w:val="110"/>
          <w:sz w:val="18"/>
        </w:rPr>
        <w:t>E.7.1</w:t>
        <w:tab/>
      </w:r>
      <w:r>
        <w:rPr>
          <w:color w:val="231F20"/>
          <w:w w:val="110"/>
          <w:sz w:val="18"/>
        </w:rPr>
        <w:t>Where </w:t>
      </w:r>
      <w:r>
        <w:rPr>
          <w:color w:val="231F20"/>
          <w:spacing w:val="-5"/>
          <w:w w:val="110"/>
          <w:sz w:val="18"/>
        </w:rPr>
        <w:t>(i) </w:t>
      </w:r>
      <w:r>
        <w:rPr>
          <w:color w:val="231F20"/>
          <w:w w:val="110"/>
          <w:sz w:val="18"/>
        </w:rPr>
        <w:t>the Minister is the subject of a criminal charge for an alleged offence falling into </w:t>
      </w:r>
      <w:r>
        <w:rPr>
          <w:color w:val="231F20"/>
          <w:spacing w:val="-3"/>
          <w:w w:val="110"/>
          <w:sz w:val="18"/>
        </w:rPr>
        <w:t>any </w:t>
      </w:r>
      <w:r>
        <w:rPr>
          <w:color w:val="231F20"/>
          <w:w w:val="110"/>
          <w:sz w:val="18"/>
        </w:rPr>
        <w:t>of the categories set out in Paragraph </w:t>
      </w:r>
      <w:r>
        <w:rPr>
          <w:color w:val="231F20"/>
          <w:spacing w:val="-9"/>
          <w:w w:val="110"/>
          <w:sz w:val="18"/>
        </w:rPr>
        <w:t>E.7.2 </w:t>
      </w:r>
      <w:r>
        <w:rPr>
          <w:color w:val="231F20"/>
          <w:w w:val="110"/>
          <w:sz w:val="18"/>
        </w:rPr>
        <w:t>below relevant to the subject matter of the Section O Process or </w:t>
      </w:r>
      <w:r>
        <w:rPr>
          <w:color w:val="231F20"/>
          <w:spacing w:val="-4"/>
          <w:w w:val="110"/>
          <w:sz w:val="18"/>
        </w:rPr>
        <w:t>(ii) </w:t>
      </w:r>
      <w:r>
        <w:rPr>
          <w:color w:val="231F20"/>
          <w:w w:val="110"/>
          <w:sz w:val="18"/>
        </w:rPr>
        <w:t>information has been laid before the Police which </w:t>
      </w:r>
      <w:r>
        <w:rPr>
          <w:color w:val="231F20"/>
          <w:spacing w:val="-3"/>
          <w:w w:val="110"/>
          <w:sz w:val="18"/>
        </w:rPr>
        <w:t>may </w:t>
      </w:r>
      <w:r>
        <w:rPr>
          <w:color w:val="231F20"/>
          <w:w w:val="110"/>
          <w:sz w:val="18"/>
        </w:rPr>
        <w:t>result in such relevant criminal charge being brought against </w:t>
      </w:r>
      <w:r>
        <w:rPr>
          <w:color w:val="231F20"/>
          <w:spacing w:val="-4"/>
          <w:w w:val="110"/>
          <w:sz w:val="18"/>
        </w:rPr>
        <w:t>him/her, </w:t>
      </w:r>
      <w:r>
        <w:rPr>
          <w:color w:val="231F20"/>
          <w:w w:val="110"/>
          <w:sz w:val="18"/>
        </w:rPr>
        <w:t>in either such event the Assembly Commission shall </w:t>
      </w:r>
      <w:r>
        <w:rPr>
          <w:color w:val="231F20"/>
          <w:spacing w:val="-4"/>
          <w:w w:val="110"/>
          <w:sz w:val="18"/>
        </w:rPr>
        <w:t>(unless </w:t>
      </w:r>
      <w:r>
        <w:rPr>
          <w:color w:val="231F20"/>
          <w:w w:val="110"/>
          <w:sz w:val="18"/>
        </w:rPr>
        <w:t>the circumstances of Paragraph </w:t>
      </w:r>
      <w:r>
        <w:rPr>
          <w:color w:val="231F20"/>
          <w:spacing w:val="-7"/>
          <w:w w:val="110"/>
          <w:sz w:val="18"/>
        </w:rPr>
        <w:t>E.9.1 </w:t>
      </w:r>
      <w:r>
        <w:rPr>
          <w:color w:val="231F20"/>
          <w:spacing w:val="-3"/>
          <w:w w:val="110"/>
          <w:sz w:val="18"/>
        </w:rPr>
        <w:t>apply) </w:t>
      </w:r>
      <w:r>
        <w:rPr>
          <w:color w:val="231F20"/>
          <w:w w:val="110"/>
          <w:sz w:val="18"/>
        </w:rPr>
        <w:t>postpone or adjourn its own proceedings pending the verdict of the criminal courts </w:t>
      </w:r>
      <w:r>
        <w:rPr>
          <w:color w:val="231F20"/>
          <w:spacing w:val="-3"/>
          <w:w w:val="110"/>
          <w:sz w:val="18"/>
        </w:rPr>
        <w:t>(whether </w:t>
      </w:r>
      <w:r>
        <w:rPr>
          <w:color w:val="231F20"/>
          <w:w w:val="110"/>
          <w:sz w:val="18"/>
        </w:rPr>
        <w:t>or not on appeal) on the charges brought against the Minister </w:t>
      </w:r>
      <w:r>
        <w:rPr>
          <w:color w:val="231F20"/>
          <w:spacing w:val="-7"/>
          <w:w w:val="110"/>
          <w:sz w:val="18"/>
        </w:rPr>
        <w:t>(as </w:t>
      </w:r>
      <w:r>
        <w:rPr>
          <w:color w:val="231F20"/>
          <w:w w:val="110"/>
          <w:sz w:val="18"/>
        </w:rPr>
        <w:t>to which see Paragraph </w:t>
      </w:r>
      <w:r>
        <w:rPr>
          <w:color w:val="231F20"/>
          <w:spacing w:val="-10"/>
          <w:w w:val="110"/>
          <w:sz w:val="18"/>
        </w:rPr>
        <w:t>E.7.7) </w:t>
      </w:r>
      <w:r>
        <w:rPr>
          <w:color w:val="231F20"/>
          <w:w w:val="110"/>
          <w:sz w:val="18"/>
        </w:rPr>
        <w:t>or the withdrawal of the charge </w:t>
      </w:r>
      <w:r>
        <w:rPr>
          <w:color w:val="231F20"/>
          <w:spacing w:val="-3"/>
          <w:w w:val="110"/>
          <w:sz w:val="18"/>
        </w:rPr>
        <w:t>(in </w:t>
      </w:r>
      <w:r>
        <w:rPr>
          <w:color w:val="231F20"/>
          <w:w w:val="110"/>
          <w:sz w:val="18"/>
        </w:rPr>
        <w:t>relation to alternative </w:t>
      </w:r>
      <w:r>
        <w:rPr>
          <w:color w:val="231F20"/>
          <w:spacing w:val="-5"/>
          <w:w w:val="110"/>
          <w:sz w:val="18"/>
        </w:rPr>
        <w:t>(i) above) </w:t>
      </w:r>
      <w:r>
        <w:rPr>
          <w:color w:val="231F20"/>
          <w:w w:val="110"/>
          <w:sz w:val="18"/>
        </w:rPr>
        <w:t>or the notification that no charge is to be brought </w:t>
      </w:r>
      <w:r>
        <w:rPr>
          <w:color w:val="231F20"/>
          <w:spacing w:val="-4"/>
          <w:w w:val="110"/>
          <w:sz w:val="18"/>
        </w:rPr>
        <w:t>(in </w:t>
      </w:r>
      <w:r>
        <w:rPr>
          <w:color w:val="231F20"/>
          <w:w w:val="110"/>
          <w:sz w:val="18"/>
        </w:rPr>
        <w:t>relation to alternative </w:t>
      </w:r>
      <w:r>
        <w:rPr>
          <w:color w:val="231F20"/>
          <w:spacing w:val="-5"/>
          <w:w w:val="110"/>
          <w:sz w:val="18"/>
        </w:rPr>
        <w:t>(ii)</w:t>
      </w:r>
      <w:r>
        <w:rPr>
          <w:color w:val="231F20"/>
          <w:spacing w:val="-17"/>
          <w:w w:val="110"/>
          <w:sz w:val="18"/>
        </w:rPr>
        <w:t> </w:t>
      </w:r>
      <w:r>
        <w:rPr>
          <w:color w:val="231F20"/>
          <w:spacing w:val="-5"/>
          <w:w w:val="110"/>
          <w:sz w:val="18"/>
        </w:rPr>
        <w:t>above).</w:t>
      </w:r>
    </w:p>
    <w:p>
      <w:pPr>
        <w:pStyle w:val="BodyText"/>
        <w:spacing w:before="1"/>
        <w:rPr>
          <w:sz w:val="21"/>
        </w:rPr>
      </w:pPr>
    </w:p>
    <w:p>
      <w:pPr>
        <w:pStyle w:val="ListParagraph"/>
        <w:numPr>
          <w:ilvl w:val="2"/>
          <w:numId w:val="156"/>
        </w:numPr>
        <w:tabs>
          <w:tab w:pos="1809" w:val="left" w:leader="none"/>
          <w:tab w:pos="1811" w:val="left" w:leader="none"/>
        </w:tabs>
        <w:spacing w:line="240" w:lineRule="auto" w:before="0" w:after="0"/>
        <w:ind w:left="1810" w:right="0" w:hanging="721"/>
        <w:jc w:val="left"/>
        <w:rPr>
          <w:sz w:val="18"/>
        </w:rPr>
      </w:pPr>
      <w:r>
        <w:rPr>
          <w:color w:val="231F20"/>
          <w:w w:val="110"/>
          <w:sz w:val="18"/>
        </w:rPr>
        <w:t>The categories of criminal </w:t>
      </w:r>
      <w:r>
        <w:rPr>
          <w:color w:val="231F20"/>
          <w:spacing w:val="2"/>
          <w:w w:val="110"/>
          <w:sz w:val="18"/>
        </w:rPr>
        <w:t>offence </w:t>
      </w:r>
      <w:r>
        <w:rPr>
          <w:color w:val="231F20"/>
          <w:w w:val="110"/>
          <w:sz w:val="18"/>
        </w:rPr>
        <w:t>relevant to adjournment under</w:t>
      </w:r>
      <w:r>
        <w:rPr>
          <w:color w:val="231F20"/>
          <w:spacing w:val="39"/>
          <w:w w:val="110"/>
          <w:sz w:val="18"/>
        </w:rPr>
        <w:t> </w:t>
      </w:r>
      <w:r>
        <w:rPr>
          <w:color w:val="231F20"/>
          <w:w w:val="110"/>
          <w:sz w:val="18"/>
        </w:rPr>
        <w:t>Paragraph</w:t>
      </w:r>
    </w:p>
    <w:p>
      <w:pPr>
        <w:pStyle w:val="BodyText"/>
        <w:spacing w:before="31"/>
        <w:ind w:left="1080"/>
      </w:pPr>
      <w:r>
        <w:rPr>
          <w:color w:val="231F20"/>
          <w:w w:val="110"/>
        </w:rPr>
        <w:t>E.7.1 are:</w:t>
      </w:r>
    </w:p>
    <w:p>
      <w:pPr>
        <w:pStyle w:val="BodyText"/>
        <w:spacing w:before="1"/>
        <w:rPr>
          <w:sz w:val="23"/>
        </w:rPr>
      </w:pPr>
    </w:p>
    <w:p>
      <w:pPr>
        <w:pStyle w:val="ListParagraph"/>
        <w:numPr>
          <w:ilvl w:val="3"/>
          <w:numId w:val="156"/>
        </w:numPr>
        <w:tabs>
          <w:tab w:pos="2520" w:val="left" w:leader="none"/>
          <w:tab w:pos="2522" w:val="left" w:leader="none"/>
        </w:tabs>
        <w:spacing w:line="240" w:lineRule="auto" w:before="1" w:after="0"/>
        <w:ind w:left="2521" w:right="0" w:hanging="1442"/>
        <w:jc w:val="left"/>
        <w:rPr>
          <w:sz w:val="18"/>
        </w:rPr>
      </w:pPr>
      <w:r>
        <w:rPr>
          <w:color w:val="231F20"/>
          <w:w w:val="110"/>
          <w:sz w:val="18"/>
        </w:rPr>
        <w:t>unlawful killing, or deliberate or reckless, actual or threatened, infliction</w:t>
      </w:r>
      <w:r>
        <w:rPr>
          <w:color w:val="231F20"/>
          <w:spacing w:val="55"/>
          <w:w w:val="110"/>
          <w:sz w:val="18"/>
        </w:rPr>
        <w:t> </w:t>
      </w:r>
      <w:r>
        <w:rPr>
          <w:color w:val="231F20"/>
          <w:w w:val="110"/>
          <w:sz w:val="18"/>
        </w:rPr>
        <w:t>of</w:t>
      </w:r>
    </w:p>
    <w:p>
      <w:pPr>
        <w:pStyle w:val="BodyText"/>
        <w:spacing w:before="31"/>
        <w:ind w:left="1080"/>
      </w:pPr>
      <w:r>
        <w:rPr>
          <w:color w:val="231F20"/>
          <w:w w:val="110"/>
        </w:rPr>
        <w:t>physical injury to the person or damage to the property of another,</w:t>
      </w:r>
    </w:p>
    <w:p>
      <w:pPr>
        <w:pStyle w:val="BodyText"/>
        <w:spacing w:before="1"/>
        <w:rPr>
          <w:sz w:val="23"/>
        </w:rPr>
      </w:pPr>
    </w:p>
    <w:p>
      <w:pPr>
        <w:pStyle w:val="ListParagraph"/>
        <w:numPr>
          <w:ilvl w:val="3"/>
          <w:numId w:val="156"/>
        </w:numPr>
        <w:tabs>
          <w:tab w:pos="2520" w:val="left" w:leader="none"/>
          <w:tab w:pos="2521" w:val="left" w:leader="none"/>
        </w:tabs>
        <w:spacing w:line="240" w:lineRule="auto" w:before="1" w:after="0"/>
        <w:ind w:left="2520" w:right="0" w:hanging="1441"/>
        <w:jc w:val="left"/>
        <w:rPr>
          <w:sz w:val="18"/>
        </w:rPr>
      </w:pPr>
      <w:r>
        <w:rPr>
          <w:color w:val="231F20"/>
          <w:w w:val="110"/>
          <w:sz w:val="18"/>
        </w:rPr>
        <w:t>rape, sexual abuse or any other </w:t>
      </w:r>
      <w:r>
        <w:rPr>
          <w:color w:val="231F20"/>
          <w:spacing w:val="2"/>
          <w:w w:val="110"/>
          <w:sz w:val="18"/>
        </w:rPr>
        <w:t>offence </w:t>
      </w:r>
      <w:r>
        <w:rPr>
          <w:color w:val="231F20"/>
          <w:w w:val="110"/>
          <w:sz w:val="18"/>
        </w:rPr>
        <w:t>of a sexual</w:t>
      </w:r>
      <w:r>
        <w:rPr>
          <w:color w:val="231F20"/>
          <w:spacing w:val="21"/>
          <w:w w:val="110"/>
          <w:sz w:val="18"/>
        </w:rPr>
        <w:t> </w:t>
      </w:r>
      <w:r>
        <w:rPr>
          <w:color w:val="231F20"/>
          <w:w w:val="110"/>
          <w:sz w:val="18"/>
        </w:rPr>
        <w:t>nature,</w:t>
      </w:r>
    </w:p>
    <w:p>
      <w:pPr>
        <w:pStyle w:val="BodyText"/>
        <w:spacing w:before="1"/>
        <w:rPr>
          <w:sz w:val="23"/>
        </w:rPr>
      </w:pPr>
    </w:p>
    <w:p>
      <w:pPr>
        <w:pStyle w:val="ListParagraph"/>
        <w:numPr>
          <w:ilvl w:val="3"/>
          <w:numId w:val="156"/>
        </w:numPr>
        <w:tabs>
          <w:tab w:pos="2520" w:val="left" w:leader="none"/>
          <w:tab w:pos="2521" w:val="left" w:leader="none"/>
        </w:tabs>
        <w:spacing w:line="240" w:lineRule="auto" w:before="0" w:after="0"/>
        <w:ind w:left="2520" w:right="0" w:hanging="1441"/>
        <w:jc w:val="left"/>
        <w:rPr>
          <w:sz w:val="18"/>
        </w:rPr>
      </w:pPr>
      <w:r>
        <w:rPr>
          <w:color w:val="231F20"/>
          <w:w w:val="110"/>
          <w:sz w:val="18"/>
        </w:rPr>
        <w:t>criminal </w:t>
      </w:r>
      <w:r>
        <w:rPr>
          <w:color w:val="231F20"/>
          <w:spacing w:val="2"/>
          <w:w w:val="110"/>
          <w:sz w:val="18"/>
        </w:rPr>
        <w:t>offences </w:t>
      </w:r>
      <w:r>
        <w:rPr>
          <w:color w:val="231F20"/>
          <w:w w:val="110"/>
          <w:sz w:val="18"/>
        </w:rPr>
        <w:t>relating to stalking and/or sexual</w:t>
      </w:r>
      <w:r>
        <w:rPr>
          <w:color w:val="231F20"/>
          <w:spacing w:val="21"/>
          <w:w w:val="110"/>
          <w:sz w:val="18"/>
        </w:rPr>
        <w:t> </w:t>
      </w:r>
      <w:r>
        <w:rPr>
          <w:color w:val="231F20"/>
          <w:w w:val="110"/>
          <w:sz w:val="18"/>
        </w:rPr>
        <w:t>harassment,</w:t>
      </w:r>
    </w:p>
    <w:p>
      <w:pPr>
        <w:pStyle w:val="BodyText"/>
        <w:spacing w:before="2"/>
        <w:rPr>
          <w:sz w:val="23"/>
        </w:rPr>
      </w:pPr>
    </w:p>
    <w:p>
      <w:pPr>
        <w:pStyle w:val="ListParagraph"/>
        <w:numPr>
          <w:ilvl w:val="3"/>
          <w:numId w:val="156"/>
        </w:numPr>
        <w:tabs>
          <w:tab w:pos="2520" w:val="left" w:leader="none"/>
          <w:tab w:pos="2521" w:val="left" w:leader="none"/>
        </w:tabs>
        <w:spacing w:line="240" w:lineRule="auto" w:before="0" w:after="0"/>
        <w:ind w:left="2520" w:right="0" w:hanging="1441"/>
        <w:jc w:val="left"/>
        <w:rPr>
          <w:sz w:val="18"/>
        </w:rPr>
      </w:pPr>
      <w:r>
        <w:rPr>
          <w:color w:val="231F20"/>
          <w:w w:val="110"/>
          <w:sz w:val="18"/>
        </w:rPr>
        <w:t>fraud, blackmail, </w:t>
      </w:r>
      <w:r>
        <w:rPr>
          <w:color w:val="231F20"/>
          <w:spacing w:val="2"/>
          <w:w w:val="110"/>
          <w:sz w:val="18"/>
        </w:rPr>
        <w:t>theft </w:t>
      </w:r>
      <w:r>
        <w:rPr>
          <w:color w:val="231F20"/>
          <w:w w:val="110"/>
          <w:sz w:val="18"/>
        </w:rPr>
        <w:t>or</w:t>
      </w:r>
      <w:r>
        <w:rPr>
          <w:color w:val="231F20"/>
          <w:spacing w:val="2"/>
          <w:w w:val="110"/>
          <w:sz w:val="18"/>
        </w:rPr>
        <w:t> </w:t>
      </w:r>
      <w:r>
        <w:rPr>
          <w:color w:val="231F20"/>
          <w:w w:val="110"/>
          <w:sz w:val="18"/>
        </w:rPr>
        <w:t>burglary.</w:t>
      </w:r>
    </w:p>
    <w:p>
      <w:pPr>
        <w:pStyle w:val="BodyText"/>
        <w:spacing w:before="2"/>
        <w:rPr>
          <w:sz w:val="23"/>
        </w:rPr>
      </w:pPr>
    </w:p>
    <w:p>
      <w:pPr>
        <w:pStyle w:val="ListParagraph"/>
        <w:numPr>
          <w:ilvl w:val="2"/>
          <w:numId w:val="157"/>
        </w:numPr>
        <w:tabs>
          <w:tab w:pos="1800" w:val="left" w:leader="none"/>
          <w:tab w:pos="1801" w:val="left" w:leader="none"/>
        </w:tabs>
        <w:spacing w:line="273" w:lineRule="auto" w:before="0" w:after="0"/>
        <w:ind w:left="1080" w:right="2024" w:firstLine="0"/>
        <w:jc w:val="left"/>
        <w:rPr>
          <w:sz w:val="18"/>
        </w:rPr>
      </w:pPr>
      <w:r>
        <w:rPr>
          <w:color w:val="231F20"/>
          <w:w w:val="110"/>
          <w:sz w:val="18"/>
        </w:rPr>
        <w:t>If the </w:t>
      </w:r>
      <w:r>
        <w:rPr>
          <w:color w:val="231F20"/>
          <w:spacing w:val="2"/>
          <w:w w:val="110"/>
          <w:sz w:val="18"/>
        </w:rPr>
        <w:t>case </w:t>
      </w:r>
      <w:r>
        <w:rPr>
          <w:color w:val="231F20"/>
          <w:w w:val="110"/>
          <w:sz w:val="18"/>
        </w:rPr>
        <w:t>falls within this Paragraph </w:t>
      </w:r>
      <w:r>
        <w:rPr>
          <w:color w:val="231F20"/>
          <w:spacing w:val="-10"/>
          <w:w w:val="110"/>
          <w:sz w:val="18"/>
        </w:rPr>
        <w:t>E.7, </w:t>
      </w:r>
      <w:r>
        <w:rPr>
          <w:color w:val="231F20"/>
          <w:w w:val="110"/>
          <w:sz w:val="18"/>
        </w:rPr>
        <w:t>the </w:t>
      </w:r>
      <w:r>
        <w:rPr>
          <w:color w:val="231F20"/>
          <w:spacing w:val="3"/>
          <w:w w:val="110"/>
          <w:sz w:val="18"/>
        </w:rPr>
        <w:t>Secretary </w:t>
      </w:r>
      <w:r>
        <w:rPr>
          <w:color w:val="231F20"/>
          <w:w w:val="110"/>
          <w:sz w:val="18"/>
        </w:rPr>
        <w:t>of the Assembly Commission shall, as soon as practicable </w:t>
      </w:r>
      <w:r>
        <w:rPr>
          <w:color w:val="231F20"/>
          <w:spacing w:val="2"/>
          <w:w w:val="110"/>
          <w:sz w:val="18"/>
        </w:rPr>
        <w:t>after </w:t>
      </w:r>
      <w:r>
        <w:rPr>
          <w:color w:val="231F20"/>
          <w:w w:val="110"/>
          <w:sz w:val="18"/>
        </w:rPr>
        <w:t>the appointment of the Assembly Commission, </w:t>
      </w:r>
      <w:r>
        <w:rPr>
          <w:color w:val="231F20"/>
          <w:spacing w:val="2"/>
          <w:w w:val="110"/>
          <w:sz w:val="18"/>
        </w:rPr>
        <w:t>notify </w:t>
      </w:r>
      <w:r>
        <w:rPr>
          <w:color w:val="231F20"/>
          <w:w w:val="110"/>
          <w:sz w:val="18"/>
        </w:rPr>
        <w:t>the </w:t>
      </w:r>
      <w:r>
        <w:rPr>
          <w:color w:val="231F20"/>
          <w:spacing w:val="2"/>
          <w:w w:val="110"/>
          <w:sz w:val="18"/>
        </w:rPr>
        <w:t>Parties </w:t>
      </w:r>
      <w:r>
        <w:rPr>
          <w:color w:val="231F20"/>
          <w:w w:val="110"/>
          <w:sz w:val="18"/>
        </w:rPr>
        <w:t>of the compulsory adjournment of the</w:t>
      </w:r>
      <w:r>
        <w:rPr>
          <w:color w:val="231F20"/>
          <w:spacing w:val="3"/>
          <w:w w:val="110"/>
          <w:sz w:val="18"/>
        </w:rPr>
        <w:t> </w:t>
      </w:r>
      <w:r>
        <w:rPr>
          <w:color w:val="231F20"/>
          <w:w w:val="110"/>
          <w:sz w:val="18"/>
        </w:rPr>
        <w:t>case.</w:t>
      </w:r>
    </w:p>
    <w:p>
      <w:pPr>
        <w:pStyle w:val="BodyText"/>
        <w:spacing w:before="8"/>
        <w:rPr>
          <w:sz w:val="20"/>
        </w:rPr>
      </w:pPr>
    </w:p>
    <w:p>
      <w:pPr>
        <w:pStyle w:val="ListParagraph"/>
        <w:numPr>
          <w:ilvl w:val="2"/>
          <w:numId w:val="157"/>
        </w:numPr>
        <w:tabs>
          <w:tab w:pos="1800" w:val="left" w:leader="none"/>
          <w:tab w:pos="1801" w:val="left" w:leader="none"/>
        </w:tabs>
        <w:spacing w:line="273" w:lineRule="auto" w:before="0" w:after="0"/>
        <w:ind w:left="1080" w:right="1132" w:firstLine="0"/>
        <w:jc w:val="left"/>
        <w:rPr>
          <w:sz w:val="18"/>
        </w:rPr>
      </w:pPr>
      <w:r>
        <w:rPr>
          <w:color w:val="231F20"/>
          <w:w w:val="110"/>
          <w:sz w:val="18"/>
        </w:rPr>
        <w:t>It</w:t>
      </w:r>
      <w:r>
        <w:rPr>
          <w:color w:val="231F20"/>
          <w:spacing w:val="-7"/>
          <w:w w:val="110"/>
          <w:sz w:val="18"/>
        </w:rPr>
        <w:t> </w:t>
      </w:r>
      <w:r>
        <w:rPr>
          <w:color w:val="231F20"/>
          <w:w w:val="110"/>
          <w:sz w:val="18"/>
        </w:rPr>
        <w:t>shall</w:t>
      </w:r>
      <w:r>
        <w:rPr>
          <w:color w:val="231F20"/>
          <w:spacing w:val="-6"/>
          <w:w w:val="110"/>
          <w:sz w:val="18"/>
        </w:rPr>
        <w:t> </w:t>
      </w:r>
      <w:r>
        <w:rPr>
          <w:color w:val="231F20"/>
          <w:w w:val="110"/>
          <w:sz w:val="18"/>
        </w:rPr>
        <w:t>be</w:t>
      </w:r>
      <w:r>
        <w:rPr>
          <w:color w:val="231F20"/>
          <w:spacing w:val="-6"/>
          <w:w w:val="110"/>
          <w:sz w:val="18"/>
        </w:rPr>
        <w:t> </w:t>
      </w:r>
      <w:r>
        <w:rPr>
          <w:color w:val="231F20"/>
          <w:w w:val="110"/>
          <w:sz w:val="18"/>
        </w:rPr>
        <w:t>the</w:t>
      </w:r>
      <w:r>
        <w:rPr>
          <w:color w:val="231F20"/>
          <w:spacing w:val="-6"/>
          <w:w w:val="110"/>
          <w:sz w:val="18"/>
        </w:rPr>
        <w:t> </w:t>
      </w:r>
      <w:r>
        <w:rPr>
          <w:color w:val="231F20"/>
          <w:w w:val="110"/>
          <w:sz w:val="18"/>
        </w:rPr>
        <w:t>responsibility</w:t>
      </w:r>
      <w:r>
        <w:rPr>
          <w:color w:val="231F20"/>
          <w:spacing w:val="-5"/>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6"/>
          <w:w w:val="110"/>
          <w:sz w:val="18"/>
        </w:rPr>
        <w:t> </w:t>
      </w:r>
      <w:r>
        <w:rPr>
          <w:color w:val="231F20"/>
          <w:w w:val="110"/>
          <w:sz w:val="18"/>
        </w:rPr>
        <w:t>Mandated</w:t>
      </w:r>
      <w:r>
        <w:rPr>
          <w:color w:val="231F20"/>
          <w:spacing w:val="-6"/>
          <w:w w:val="110"/>
          <w:sz w:val="18"/>
        </w:rPr>
        <w:t> </w:t>
      </w:r>
      <w:r>
        <w:rPr>
          <w:color w:val="231F20"/>
          <w:w w:val="110"/>
          <w:sz w:val="18"/>
        </w:rPr>
        <w:t>Group</w:t>
      </w:r>
      <w:r>
        <w:rPr>
          <w:color w:val="231F20"/>
          <w:spacing w:val="-6"/>
          <w:w w:val="110"/>
          <w:sz w:val="18"/>
        </w:rPr>
        <w:t> </w:t>
      </w:r>
      <w:r>
        <w:rPr>
          <w:color w:val="231F20"/>
          <w:w w:val="110"/>
          <w:sz w:val="18"/>
        </w:rPr>
        <w:t>to</w:t>
      </w:r>
      <w:r>
        <w:rPr>
          <w:color w:val="231F20"/>
          <w:spacing w:val="-5"/>
          <w:w w:val="110"/>
          <w:sz w:val="18"/>
        </w:rPr>
        <w:t> </w:t>
      </w:r>
      <w:r>
        <w:rPr>
          <w:color w:val="231F20"/>
          <w:w w:val="110"/>
          <w:sz w:val="18"/>
        </w:rPr>
        <w:t>procure</w:t>
      </w:r>
      <w:r>
        <w:rPr>
          <w:color w:val="231F20"/>
          <w:spacing w:val="-6"/>
          <w:w w:val="110"/>
          <w:sz w:val="18"/>
        </w:rPr>
        <w:t> </w:t>
      </w:r>
      <w:r>
        <w:rPr>
          <w:color w:val="231F20"/>
          <w:w w:val="110"/>
          <w:sz w:val="18"/>
        </w:rPr>
        <w:t>a</w:t>
      </w:r>
      <w:r>
        <w:rPr>
          <w:color w:val="231F20"/>
          <w:spacing w:val="-6"/>
          <w:w w:val="110"/>
          <w:sz w:val="18"/>
        </w:rPr>
        <w:t> </w:t>
      </w:r>
      <w:r>
        <w:rPr>
          <w:color w:val="231F20"/>
          <w:w w:val="110"/>
          <w:sz w:val="18"/>
        </w:rPr>
        <w:t>duly</w:t>
      </w:r>
      <w:r>
        <w:rPr>
          <w:color w:val="231F20"/>
          <w:spacing w:val="-6"/>
          <w:w w:val="110"/>
          <w:sz w:val="18"/>
        </w:rPr>
        <w:t> </w:t>
      </w:r>
      <w:r>
        <w:rPr>
          <w:color w:val="231F20"/>
          <w:w w:val="110"/>
          <w:sz w:val="18"/>
        </w:rPr>
        <w:t>certified</w:t>
      </w:r>
      <w:r>
        <w:rPr>
          <w:color w:val="231F20"/>
          <w:spacing w:val="-6"/>
          <w:w w:val="110"/>
          <w:sz w:val="18"/>
        </w:rPr>
        <w:t> </w:t>
      </w:r>
      <w:r>
        <w:rPr>
          <w:color w:val="231F20"/>
          <w:w w:val="110"/>
          <w:sz w:val="18"/>
        </w:rPr>
        <w:t>Court record or memorandum of the decision of the criminal or civil court in connection with </w:t>
      </w:r>
      <w:r>
        <w:rPr>
          <w:color w:val="231F20"/>
          <w:spacing w:val="-3"/>
          <w:w w:val="110"/>
          <w:sz w:val="18"/>
        </w:rPr>
        <w:t>any </w:t>
      </w:r>
      <w:r>
        <w:rPr>
          <w:color w:val="231F20"/>
          <w:w w:val="110"/>
          <w:sz w:val="18"/>
        </w:rPr>
        <w:t>such</w:t>
      </w:r>
      <w:r>
        <w:rPr>
          <w:color w:val="231F20"/>
          <w:spacing w:val="-5"/>
          <w:w w:val="110"/>
          <w:sz w:val="18"/>
        </w:rPr>
        <w:t> </w:t>
      </w:r>
      <w:r>
        <w:rPr>
          <w:color w:val="231F20"/>
          <w:w w:val="110"/>
          <w:sz w:val="18"/>
        </w:rPr>
        <w:t>case</w:t>
      </w:r>
      <w:r>
        <w:rPr>
          <w:color w:val="231F20"/>
          <w:spacing w:val="-5"/>
          <w:w w:val="110"/>
          <w:sz w:val="18"/>
        </w:rPr>
        <w:t> </w:t>
      </w:r>
      <w:r>
        <w:rPr>
          <w:color w:val="231F20"/>
          <w:w w:val="110"/>
          <w:sz w:val="18"/>
        </w:rPr>
        <w:t>and</w:t>
      </w:r>
      <w:r>
        <w:rPr>
          <w:color w:val="231F20"/>
          <w:spacing w:val="-5"/>
          <w:w w:val="110"/>
          <w:sz w:val="18"/>
        </w:rPr>
        <w:t> </w:t>
      </w:r>
      <w:r>
        <w:rPr>
          <w:color w:val="231F20"/>
          <w:w w:val="110"/>
          <w:sz w:val="18"/>
        </w:rPr>
        <w:t>to</w:t>
      </w:r>
      <w:r>
        <w:rPr>
          <w:color w:val="231F20"/>
          <w:spacing w:val="-5"/>
          <w:w w:val="110"/>
          <w:sz w:val="18"/>
        </w:rPr>
        <w:t> </w:t>
      </w:r>
      <w:r>
        <w:rPr>
          <w:color w:val="231F20"/>
          <w:w w:val="110"/>
          <w:sz w:val="18"/>
        </w:rPr>
        <w:t>lodge</w:t>
      </w:r>
      <w:r>
        <w:rPr>
          <w:color w:val="231F20"/>
          <w:spacing w:val="-5"/>
          <w:w w:val="110"/>
          <w:sz w:val="18"/>
        </w:rPr>
        <w:t> </w:t>
      </w:r>
      <w:r>
        <w:rPr>
          <w:color w:val="231F20"/>
          <w:w w:val="110"/>
          <w:sz w:val="18"/>
        </w:rPr>
        <w:t>it</w:t>
      </w:r>
      <w:r>
        <w:rPr>
          <w:color w:val="231F20"/>
          <w:spacing w:val="-4"/>
          <w:w w:val="110"/>
          <w:sz w:val="18"/>
        </w:rPr>
        <w:t> </w:t>
      </w:r>
      <w:r>
        <w:rPr>
          <w:color w:val="231F20"/>
          <w:w w:val="110"/>
          <w:sz w:val="18"/>
        </w:rPr>
        <w:t>with</w:t>
      </w:r>
      <w:r>
        <w:rPr>
          <w:color w:val="231F20"/>
          <w:spacing w:val="-5"/>
          <w:w w:val="110"/>
          <w:sz w:val="18"/>
        </w:rPr>
        <w:t> </w:t>
      </w:r>
      <w:r>
        <w:rPr>
          <w:color w:val="231F20"/>
          <w:w w:val="110"/>
          <w:sz w:val="18"/>
        </w:rPr>
        <w:t>the</w:t>
      </w:r>
      <w:r>
        <w:rPr>
          <w:color w:val="231F20"/>
          <w:spacing w:val="-5"/>
          <w:w w:val="110"/>
          <w:sz w:val="18"/>
        </w:rPr>
        <w:t> </w:t>
      </w:r>
      <w:r>
        <w:rPr>
          <w:color w:val="231F20"/>
          <w:w w:val="110"/>
          <w:sz w:val="18"/>
        </w:rPr>
        <w:t>Secretary</w:t>
      </w:r>
      <w:r>
        <w:rPr>
          <w:color w:val="231F20"/>
          <w:spacing w:val="-5"/>
          <w:w w:val="110"/>
          <w:sz w:val="18"/>
        </w:rPr>
        <w:t> </w:t>
      </w:r>
      <w:r>
        <w:rPr>
          <w:color w:val="231F20"/>
          <w:w w:val="110"/>
          <w:sz w:val="18"/>
        </w:rPr>
        <w:t>of</w:t>
      </w:r>
      <w:r>
        <w:rPr>
          <w:color w:val="231F20"/>
          <w:spacing w:val="-5"/>
          <w:w w:val="110"/>
          <w:sz w:val="18"/>
        </w:rPr>
        <w:t> </w:t>
      </w:r>
      <w:r>
        <w:rPr>
          <w:color w:val="231F20"/>
          <w:w w:val="110"/>
          <w:sz w:val="18"/>
        </w:rPr>
        <w:t>the</w:t>
      </w:r>
      <w:r>
        <w:rPr>
          <w:color w:val="231F20"/>
          <w:spacing w:val="-5"/>
          <w:w w:val="110"/>
          <w:sz w:val="18"/>
        </w:rPr>
        <w:t> </w:t>
      </w:r>
      <w:r>
        <w:rPr>
          <w:color w:val="231F20"/>
          <w:w w:val="110"/>
          <w:sz w:val="18"/>
        </w:rPr>
        <w:t>Assembly</w:t>
      </w:r>
      <w:r>
        <w:rPr>
          <w:color w:val="231F20"/>
          <w:spacing w:val="-4"/>
          <w:w w:val="110"/>
          <w:sz w:val="18"/>
        </w:rPr>
        <w:t> </w:t>
      </w:r>
      <w:r>
        <w:rPr>
          <w:color w:val="231F20"/>
          <w:w w:val="110"/>
          <w:sz w:val="18"/>
        </w:rPr>
        <w:t>Commission,</w:t>
      </w:r>
      <w:r>
        <w:rPr>
          <w:color w:val="231F20"/>
          <w:spacing w:val="-4"/>
          <w:w w:val="110"/>
          <w:sz w:val="18"/>
        </w:rPr>
        <w:t> </w:t>
      </w:r>
      <w:r>
        <w:rPr>
          <w:color w:val="231F20"/>
          <w:w w:val="110"/>
          <w:sz w:val="18"/>
        </w:rPr>
        <w:t>whereupon</w:t>
      </w:r>
    </w:p>
    <w:p>
      <w:pPr>
        <w:pStyle w:val="BodyText"/>
        <w:spacing w:line="273" w:lineRule="auto" w:before="2"/>
        <w:ind w:left="1083" w:right="1377" w:hanging="2"/>
      </w:pPr>
      <w:r>
        <w:rPr>
          <w:color w:val="231F20"/>
          <w:w w:val="110"/>
        </w:rPr>
        <w:t>the Section O Process shall be re-activated and the case brought to a Hearing as soon as possible, unless the Minister shall </w:t>
      </w:r>
      <w:r>
        <w:rPr>
          <w:color w:val="231F20"/>
          <w:spacing w:val="-3"/>
          <w:w w:val="110"/>
        </w:rPr>
        <w:t>have </w:t>
      </w:r>
      <w:r>
        <w:rPr>
          <w:color w:val="231F20"/>
          <w:w w:val="110"/>
        </w:rPr>
        <w:t>lodged with the Secretary of the Assembly Commission</w:t>
      </w:r>
      <w:r>
        <w:rPr>
          <w:color w:val="231F20"/>
          <w:spacing w:val="-8"/>
          <w:w w:val="110"/>
        </w:rPr>
        <w:t> </w:t>
      </w:r>
      <w:r>
        <w:rPr>
          <w:color w:val="231F20"/>
          <w:w w:val="110"/>
        </w:rPr>
        <w:t>within</w:t>
      </w:r>
      <w:r>
        <w:rPr>
          <w:color w:val="231F20"/>
          <w:spacing w:val="-7"/>
          <w:w w:val="110"/>
        </w:rPr>
        <w:t> </w:t>
      </w:r>
      <w:r>
        <w:rPr>
          <w:color w:val="231F20"/>
          <w:w w:val="110"/>
        </w:rPr>
        <w:t>twenty-eight</w:t>
      </w:r>
      <w:r>
        <w:rPr>
          <w:color w:val="231F20"/>
          <w:spacing w:val="-8"/>
          <w:w w:val="110"/>
        </w:rPr>
        <w:t> </w:t>
      </w:r>
      <w:r>
        <w:rPr>
          <w:color w:val="231F20"/>
          <w:spacing w:val="-3"/>
          <w:w w:val="110"/>
        </w:rPr>
        <w:t>days</w:t>
      </w:r>
      <w:r>
        <w:rPr>
          <w:color w:val="231F20"/>
          <w:spacing w:val="-7"/>
          <w:w w:val="110"/>
        </w:rPr>
        <w:t> </w:t>
      </w:r>
      <w:r>
        <w:rPr>
          <w:color w:val="231F20"/>
          <w:w w:val="110"/>
        </w:rPr>
        <w:t>of</w:t>
      </w:r>
      <w:r>
        <w:rPr>
          <w:color w:val="231F20"/>
          <w:spacing w:val="-8"/>
          <w:w w:val="110"/>
        </w:rPr>
        <w:t> </w:t>
      </w:r>
      <w:r>
        <w:rPr>
          <w:color w:val="231F20"/>
          <w:w w:val="110"/>
        </w:rPr>
        <w:t>the</w:t>
      </w:r>
      <w:r>
        <w:rPr>
          <w:color w:val="231F20"/>
          <w:spacing w:val="-7"/>
          <w:w w:val="110"/>
        </w:rPr>
        <w:t> </w:t>
      </w:r>
      <w:r>
        <w:rPr>
          <w:color w:val="231F20"/>
          <w:w w:val="110"/>
        </w:rPr>
        <w:t>passing</w:t>
      </w:r>
      <w:r>
        <w:rPr>
          <w:color w:val="231F20"/>
          <w:spacing w:val="-8"/>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sentence</w:t>
      </w:r>
      <w:r>
        <w:rPr>
          <w:color w:val="231F20"/>
          <w:spacing w:val="-8"/>
          <w:w w:val="110"/>
        </w:rPr>
        <w:t> </w:t>
      </w:r>
      <w:r>
        <w:rPr>
          <w:color w:val="231F20"/>
          <w:w w:val="110"/>
        </w:rPr>
        <w:t>in</w:t>
      </w:r>
      <w:r>
        <w:rPr>
          <w:color w:val="231F20"/>
          <w:spacing w:val="-7"/>
          <w:w w:val="110"/>
        </w:rPr>
        <w:t> </w:t>
      </w:r>
      <w:r>
        <w:rPr>
          <w:color w:val="231F20"/>
          <w:w w:val="110"/>
        </w:rPr>
        <w:t>the</w:t>
      </w:r>
      <w:r>
        <w:rPr>
          <w:color w:val="231F20"/>
          <w:spacing w:val="-8"/>
          <w:w w:val="110"/>
        </w:rPr>
        <w:t> </w:t>
      </w:r>
      <w:r>
        <w:rPr>
          <w:color w:val="231F20"/>
          <w:w w:val="110"/>
        </w:rPr>
        <w:t>criminal</w:t>
      </w:r>
      <w:r>
        <w:rPr>
          <w:color w:val="231F20"/>
          <w:spacing w:val="-7"/>
          <w:w w:val="110"/>
        </w:rPr>
        <w:t> </w:t>
      </w:r>
      <w:r>
        <w:rPr>
          <w:color w:val="231F20"/>
          <w:w w:val="110"/>
        </w:rPr>
        <w:t>case,</w:t>
      </w:r>
    </w:p>
    <w:p>
      <w:pPr>
        <w:pStyle w:val="BodyText"/>
        <w:spacing w:line="273" w:lineRule="auto" w:before="2"/>
        <w:ind w:left="1085" w:right="1039"/>
      </w:pPr>
      <w:r>
        <w:rPr>
          <w:color w:val="231F20"/>
          <w:w w:val="110"/>
        </w:rPr>
        <w:t>written evidence that s/he has lodged an appeal against the verdict of the criminal court on the charges brought against the Minister (as to which see Paragraph E.7.7).</w:t>
      </w:r>
    </w:p>
    <w:p>
      <w:pPr>
        <w:spacing w:after="0" w:line="273" w:lineRule="auto"/>
        <w:sectPr>
          <w:pgSz w:w="11910" w:h="16840"/>
          <w:pgMar w:header="558" w:footer="564" w:top="820" w:bottom="760" w:left="620" w:right="0"/>
        </w:sectPr>
      </w:pPr>
    </w:p>
    <w:p>
      <w:pPr>
        <w:pStyle w:val="BodyText"/>
        <w:spacing w:before="9"/>
        <w:rPr>
          <w:sz w:val="13"/>
        </w:rPr>
      </w:pPr>
    </w:p>
    <w:p>
      <w:pPr>
        <w:pStyle w:val="ListParagraph"/>
        <w:numPr>
          <w:ilvl w:val="2"/>
          <w:numId w:val="157"/>
        </w:numPr>
        <w:tabs>
          <w:tab w:pos="1233" w:val="left" w:leader="none"/>
          <w:tab w:pos="1234" w:val="left" w:leader="none"/>
        </w:tabs>
        <w:spacing w:line="273" w:lineRule="auto" w:before="101" w:after="0"/>
        <w:ind w:left="514" w:right="1776" w:hanging="1"/>
        <w:jc w:val="left"/>
        <w:rPr>
          <w:sz w:val="18"/>
        </w:rPr>
      </w:pPr>
      <w:r>
        <w:rPr>
          <w:color w:val="231F20"/>
          <w:w w:val="110"/>
          <w:sz w:val="18"/>
        </w:rPr>
        <w:t>In the event of the Minister being convicted of </w:t>
      </w:r>
      <w:r>
        <w:rPr>
          <w:color w:val="231F20"/>
          <w:spacing w:val="-3"/>
          <w:w w:val="110"/>
          <w:sz w:val="18"/>
        </w:rPr>
        <w:t>any </w:t>
      </w:r>
      <w:r>
        <w:rPr>
          <w:color w:val="231F20"/>
          <w:w w:val="110"/>
          <w:sz w:val="18"/>
        </w:rPr>
        <w:t>criminal offence, whether or not within the categories listed in Paragraph </w:t>
      </w:r>
      <w:r>
        <w:rPr>
          <w:color w:val="231F20"/>
          <w:spacing w:val="-8"/>
          <w:w w:val="110"/>
          <w:sz w:val="18"/>
        </w:rPr>
        <w:t>E.7.2, </w:t>
      </w:r>
      <w:r>
        <w:rPr>
          <w:color w:val="231F20"/>
          <w:w w:val="110"/>
          <w:sz w:val="18"/>
        </w:rPr>
        <w:t>the Assembly Commission shall for the purposes of the Section O Process regard the commission of such </w:t>
      </w:r>
      <w:r>
        <w:rPr>
          <w:color w:val="231F20"/>
          <w:spacing w:val="-3"/>
          <w:w w:val="110"/>
          <w:sz w:val="18"/>
        </w:rPr>
        <w:t>offence(s) </w:t>
      </w:r>
      <w:r>
        <w:rPr>
          <w:color w:val="231F20"/>
          <w:w w:val="110"/>
          <w:sz w:val="18"/>
        </w:rPr>
        <w:t>as</w:t>
      </w:r>
      <w:r>
        <w:rPr>
          <w:color w:val="231F20"/>
          <w:spacing w:val="15"/>
          <w:w w:val="110"/>
          <w:sz w:val="18"/>
        </w:rPr>
        <w:t> </w:t>
      </w:r>
      <w:r>
        <w:rPr>
          <w:color w:val="231F20"/>
          <w:w w:val="110"/>
          <w:sz w:val="18"/>
        </w:rPr>
        <w:t>proved.</w:t>
      </w:r>
    </w:p>
    <w:p>
      <w:pPr>
        <w:pStyle w:val="BodyText"/>
        <w:spacing w:before="8"/>
        <w:rPr>
          <w:sz w:val="20"/>
        </w:rPr>
      </w:pPr>
    </w:p>
    <w:p>
      <w:pPr>
        <w:pStyle w:val="ListParagraph"/>
        <w:numPr>
          <w:ilvl w:val="2"/>
          <w:numId w:val="157"/>
        </w:numPr>
        <w:tabs>
          <w:tab w:pos="1236" w:val="left" w:leader="none"/>
          <w:tab w:pos="1237" w:val="left" w:leader="none"/>
        </w:tabs>
        <w:spacing w:line="273" w:lineRule="auto" w:before="0" w:after="0"/>
        <w:ind w:left="517" w:right="1802" w:hanging="1"/>
        <w:jc w:val="left"/>
        <w:rPr>
          <w:sz w:val="18"/>
        </w:rPr>
      </w:pPr>
      <w:r>
        <w:rPr>
          <w:color w:val="231F20"/>
          <w:spacing w:val="-3"/>
          <w:w w:val="110"/>
          <w:sz w:val="18"/>
        </w:rPr>
        <w:t>If </w:t>
      </w:r>
      <w:r>
        <w:rPr>
          <w:color w:val="231F20"/>
          <w:w w:val="110"/>
          <w:sz w:val="18"/>
        </w:rPr>
        <w:t>the Minister has given to the Secretary of the Assembly Commission the written evidence of appeal in the criminal case referred to in Paragraph </w:t>
      </w:r>
      <w:r>
        <w:rPr>
          <w:color w:val="231F20"/>
          <w:spacing w:val="-10"/>
          <w:w w:val="110"/>
          <w:sz w:val="18"/>
        </w:rPr>
        <w:t>E.7.4, </w:t>
      </w:r>
      <w:r>
        <w:rPr>
          <w:color w:val="231F20"/>
          <w:w w:val="110"/>
          <w:sz w:val="18"/>
        </w:rPr>
        <w:t>it shall be his/her responsibility to notify the Secretary of the Assembly Commission of the outcome of his/her appeal in the criminal case as soon as s/he becomes aware of it and to</w:t>
      </w:r>
      <w:r>
        <w:rPr>
          <w:color w:val="231F20"/>
          <w:spacing w:val="-30"/>
          <w:w w:val="110"/>
          <w:sz w:val="18"/>
        </w:rPr>
        <w:t> </w:t>
      </w:r>
      <w:r>
        <w:rPr>
          <w:color w:val="231F20"/>
          <w:w w:val="110"/>
          <w:sz w:val="18"/>
        </w:rPr>
        <w:t>supply</w:t>
      </w:r>
    </w:p>
    <w:p>
      <w:pPr>
        <w:pStyle w:val="BodyText"/>
        <w:spacing w:line="273" w:lineRule="auto" w:before="3"/>
        <w:ind w:left="521" w:right="1847" w:hanging="2"/>
      </w:pPr>
      <w:r>
        <w:rPr>
          <w:color w:val="231F20"/>
          <w:w w:val="110"/>
        </w:rPr>
        <w:t>to the said Secretary a duly certified court record or memorandum of the decision on  the said appeal, whereupon the Section O Process shall be reactivated and the case brought to a hearing as soon as possible. Meanwhile the Minister shall respond promptly to </w:t>
      </w:r>
      <w:r>
        <w:rPr>
          <w:color w:val="231F20"/>
          <w:spacing w:val="-3"/>
          <w:w w:val="110"/>
        </w:rPr>
        <w:t>any </w:t>
      </w:r>
      <w:r>
        <w:rPr>
          <w:color w:val="231F20"/>
          <w:w w:val="110"/>
        </w:rPr>
        <w:t>requests for information from the Secretary of the Assembly Commission as to the progress of the appeal in the criminal case. </w:t>
      </w:r>
      <w:r>
        <w:rPr>
          <w:color w:val="231F20"/>
          <w:spacing w:val="-3"/>
          <w:w w:val="110"/>
        </w:rPr>
        <w:t>If </w:t>
      </w:r>
      <w:r>
        <w:rPr>
          <w:color w:val="231F20"/>
          <w:w w:val="110"/>
        </w:rPr>
        <w:t>the Minister fails to comply with the provisions of this Paragraph, the said Secretary </w:t>
      </w:r>
      <w:r>
        <w:rPr>
          <w:color w:val="231F20"/>
          <w:spacing w:val="-3"/>
          <w:w w:val="110"/>
        </w:rPr>
        <w:t>may </w:t>
      </w:r>
      <w:r>
        <w:rPr>
          <w:color w:val="231F20"/>
          <w:w w:val="110"/>
        </w:rPr>
        <w:t>him/herself seek and obtain the required information as to the progress and outcome of the appeal in the criminal</w:t>
      </w:r>
      <w:r>
        <w:rPr>
          <w:color w:val="231F20"/>
          <w:spacing w:val="-9"/>
          <w:w w:val="110"/>
        </w:rPr>
        <w:t> </w:t>
      </w:r>
      <w:r>
        <w:rPr>
          <w:color w:val="231F20"/>
          <w:w w:val="110"/>
        </w:rPr>
        <w:t>case.</w:t>
      </w:r>
    </w:p>
    <w:p>
      <w:pPr>
        <w:pStyle w:val="BodyText"/>
        <w:spacing w:before="11"/>
        <w:rPr>
          <w:sz w:val="20"/>
        </w:rPr>
      </w:pPr>
    </w:p>
    <w:p>
      <w:pPr>
        <w:pStyle w:val="ListParagraph"/>
        <w:numPr>
          <w:ilvl w:val="2"/>
          <w:numId w:val="157"/>
        </w:numPr>
        <w:tabs>
          <w:tab w:pos="1247" w:val="left" w:leader="none"/>
          <w:tab w:pos="1248" w:val="left" w:leader="none"/>
        </w:tabs>
        <w:spacing w:line="273" w:lineRule="auto" w:before="0" w:after="0"/>
        <w:ind w:left="527" w:right="1777" w:firstLine="0"/>
        <w:jc w:val="left"/>
        <w:rPr>
          <w:sz w:val="18"/>
        </w:rPr>
      </w:pPr>
      <w:r>
        <w:rPr>
          <w:color w:val="231F20"/>
          <w:w w:val="110"/>
          <w:sz w:val="18"/>
        </w:rPr>
        <w:t>The purpose of this Paragraph is to make clear that the compulsory adjournment of a </w:t>
      </w:r>
      <w:r>
        <w:rPr>
          <w:color w:val="231F20"/>
          <w:spacing w:val="2"/>
          <w:w w:val="110"/>
          <w:sz w:val="18"/>
        </w:rPr>
        <w:t>Section </w:t>
      </w:r>
      <w:r>
        <w:rPr>
          <w:color w:val="231F20"/>
          <w:w w:val="110"/>
          <w:sz w:val="18"/>
        </w:rPr>
        <w:t>O </w:t>
      </w:r>
      <w:r>
        <w:rPr>
          <w:color w:val="231F20"/>
          <w:spacing w:val="2"/>
          <w:w w:val="110"/>
          <w:sz w:val="18"/>
        </w:rPr>
        <w:t>case </w:t>
      </w:r>
      <w:r>
        <w:rPr>
          <w:color w:val="231F20"/>
          <w:w w:val="110"/>
          <w:sz w:val="18"/>
        </w:rPr>
        <w:t>in </w:t>
      </w:r>
      <w:r>
        <w:rPr>
          <w:color w:val="231F20"/>
          <w:spacing w:val="2"/>
          <w:w w:val="110"/>
          <w:sz w:val="18"/>
        </w:rPr>
        <w:t>circumstances </w:t>
      </w:r>
      <w:r>
        <w:rPr>
          <w:color w:val="231F20"/>
          <w:w w:val="110"/>
          <w:sz w:val="18"/>
        </w:rPr>
        <w:t>falling within Paragraph </w:t>
      </w:r>
      <w:r>
        <w:rPr>
          <w:color w:val="231F20"/>
          <w:spacing w:val="-9"/>
          <w:w w:val="110"/>
          <w:sz w:val="18"/>
        </w:rPr>
        <w:t>E.7.1 </w:t>
      </w:r>
      <w:r>
        <w:rPr>
          <w:color w:val="231F20"/>
          <w:w w:val="110"/>
          <w:sz w:val="18"/>
        </w:rPr>
        <w:t>ceases immediately the criminal </w:t>
      </w:r>
      <w:r>
        <w:rPr>
          <w:color w:val="231F20"/>
          <w:spacing w:val="2"/>
          <w:w w:val="110"/>
          <w:sz w:val="18"/>
        </w:rPr>
        <w:t>court </w:t>
      </w:r>
      <w:r>
        <w:rPr>
          <w:color w:val="231F20"/>
          <w:w w:val="110"/>
          <w:sz w:val="18"/>
        </w:rPr>
        <w:t>has </w:t>
      </w:r>
      <w:r>
        <w:rPr>
          <w:color w:val="231F20"/>
          <w:spacing w:val="2"/>
          <w:w w:val="110"/>
          <w:sz w:val="18"/>
        </w:rPr>
        <w:t>reached </w:t>
      </w:r>
      <w:r>
        <w:rPr>
          <w:color w:val="231F20"/>
          <w:w w:val="110"/>
          <w:sz w:val="18"/>
        </w:rPr>
        <w:t>a verdict (whether or not on appeal) as to</w:t>
      </w:r>
      <w:r>
        <w:rPr>
          <w:color w:val="231F20"/>
          <w:spacing w:val="2"/>
          <w:w w:val="110"/>
          <w:sz w:val="18"/>
        </w:rPr>
        <w:t> </w:t>
      </w:r>
      <w:r>
        <w:rPr>
          <w:color w:val="231F20"/>
          <w:w w:val="110"/>
          <w:sz w:val="18"/>
        </w:rPr>
        <w:t>whether</w:t>
      </w:r>
    </w:p>
    <w:p>
      <w:pPr>
        <w:pStyle w:val="BodyText"/>
        <w:spacing w:line="273" w:lineRule="auto" w:before="2"/>
        <w:ind w:left="527" w:right="1844"/>
      </w:pPr>
      <w:r>
        <w:rPr>
          <w:color w:val="231F20"/>
          <w:w w:val="110"/>
        </w:rPr>
        <w:t>the Minister is guilty of the offence(s) with which s/he has been charged and will not continue during any extended period in a criminal case where the court, having reached its verdict, has deferred sentencing to a future date or where the Minister is appealing against the sentence only and not against the guilty verdict itself.</w:t>
      </w:r>
    </w:p>
    <w:p>
      <w:pPr>
        <w:pStyle w:val="BodyText"/>
        <w:spacing w:before="10"/>
        <w:rPr>
          <w:sz w:val="20"/>
        </w:rPr>
      </w:pPr>
    </w:p>
    <w:p>
      <w:pPr>
        <w:pStyle w:val="ListParagraph"/>
        <w:numPr>
          <w:ilvl w:val="2"/>
          <w:numId w:val="122"/>
        </w:numPr>
        <w:tabs>
          <w:tab w:pos="1247" w:val="left" w:leader="none"/>
          <w:tab w:pos="1248" w:val="left" w:leader="none"/>
        </w:tabs>
        <w:spacing w:line="273" w:lineRule="auto" w:before="0" w:after="0"/>
        <w:ind w:left="527" w:right="1943" w:firstLine="0"/>
        <w:jc w:val="left"/>
        <w:rPr>
          <w:sz w:val="18"/>
        </w:rPr>
      </w:pPr>
      <w:r>
        <w:rPr>
          <w:color w:val="231F20"/>
          <w:w w:val="110"/>
          <w:sz w:val="18"/>
        </w:rPr>
        <w:t>Any of the following may be taken into account by the Assembly Commission in reaching its decision under Paragraph </w:t>
      </w:r>
      <w:r>
        <w:rPr>
          <w:color w:val="231F20"/>
          <w:spacing w:val="-8"/>
          <w:w w:val="110"/>
          <w:sz w:val="18"/>
        </w:rPr>
        <w:t>F.2 </w:t>
      </w:r>
      <w:r>
        <w:rPr>
          <w:color w:val="231F20"/>
          <w:w w:val="110"/>
          <w:sz w:val="18"/>
        </w:rPr>
        <w:t>that is to</w:t>
      </w:r>
      <w:r>
        <w:rPr>
          <w:color w:val="231F20"/>
          <w:spacing w:val="28"/>
          <w:w w:val="110"/>
          <w:sz w:val="18"/>
        </w:rPr>
        <w:t> </w:t>
      </w:r>
      <w:r>
        <w:rPr>
          <w:color w:val="231F20"/>
          <w:w w:val="110"/>
          <w:sz w:val="18"/>
        </w:rPr>
        <w:t>say:</w:t>
      </w:r>
    </w:p>
    <w:p>
      <w:pPr>
        <w:pStyle w:val="BodyText"/>
        <w:spacing w:before="8"/>
        <w:rPr>
          <w:sz w:val="20"/>
        </w:rPr>
      </w:pPr>
    </w:p>
    <w:p>
      <w:pPr>
        <w:pStyle w:val="ListParagraph"/>
        <w:numPr>
          <w:ilvl w:val="3"/>
          <w:numId w:val="122"/>
        </w:numPr>
        <w:tabs>
          <w:tab w:pos="1247" w:val="left" w:leader="none"/>
          <w:tab w:pos="1248" w:val="left" w:leader="none"/>
        </w:tabs>
        <w:spacing w:line="273" w:lineRule="auto" w:before="0" w:after="0"/>
        <w:ind w:left="527" w:right="2286" w:firstLine="0"/>
        <w:jc w:val="left"/>
        <w:rPr>
          <w:sz w:val="18"/>
        </w:rPr>
      </w:pPr>
      <w:r>
        <w:rPr>
          <w:color w:val="231F20"/>
          <w:w w:val="110"/>
          <w:sz w:val="18"/>
        </w:rPr>
        <w:t>Any </w:t>
      </w:r>
      <w:r>
        <w:rPr>
          <w:color w:val="231F20"/>
          <w:spacing w:val="2"/>
          <w:w w:val="110"/>
          <w:sz w:val="18"/>
        </w:rPr>
        <w:t>obstruction </w:t>
      </w:r>
      <w:r>
        <w:rPr>
          <w:color w:val="231F20"/>
          <w:w w:val="110"/>
          <w:sz w:val="18"/>
        </w:rPr>
        <w:t>or unreasonable delay on the </w:t>
      </w:r>
      <w:r>
        <w:rPr>
          <w:color w:val="231F20"/>
          <w:spacing w:val="2"/>
          <w:w w:val="110"/>
          <w:sz w:val="18"/>
        </w:rPr>
        <w:t>part </w:t>
      </w:r>
      <w:r>
        <w:rPr>
          <w:color w:val="231F20"/>
          <w:w w:val="110"/>
          <w:sz w:val="18"/>
        </w:rPr>
        <w:t>of either of the </w:t>
      </w:r>
      <w:r>
        <w:rPr>
          <w:color w:val="231F20"/>
          <w:spacing w:val="2"/>
          <w:w w:val="110"/>
          <w:sz w:val="18"/>
        </w:rPr>
        <w:t>Parties </w:t>
      </w:r>
      <w:r>
        <w:rPr>
          <w:color w:val="231F20"/>
          <w:w w:val="110"/>
          <w:sz w:val="18"/>
        </w:rPr>
        <w:t>in complying with the procedural steps prior to the Hearing</w:t>
      </w:r>
      <w:r>
        <w:rPr>
          <w:color w:val="231F20"/>
          <w:spacing w:val="32"/>
          <w:w w:val="110"/>
          <w:sz w:val="18"/>
        </w:rPr>
        <w:t> </w:t>
      </w:r>
      <w:r>
        <w:rPr>
          <w:color w:val="231F20"/>
          <w:w w:val="110"/>
          <w:sz w:val="18"/>
        </w:rPr>
        <w:t>and/or</w:t>
      </w:r>
    </w:p>
    <w:p>
      <w:pPr>
        <w:pStyle w:val="BodyText"/>
        <w:spacing w:before="8"/>
        <w:rPr>
          <w:sz w:val="20"/>
        </w:rPr>
      </w:pPr>
    </w:p>
    <w:p>
      <w:pPr>
        <w:pStyle w:val="ListParagraph"/>
        <w:numPr>
          <w:ilvl w:val="3"/>
          <w:numId w:val="122"/>
        </w:numPr>
        <w:tabs>
          <w:tab w:pos="1248" w:val="left" w:leader="none"/>
        </w:tabs>
        <w:spacing w:line="273" w:lineRule="auto" w:before="0" w:after="0"/>
        <w:ind w:left="527" w:right="2743" w:firstLine="0"/>
        <w:jc w:val="left"/>
        <w:rPr>
          <w:sz w:val="18"/>
        </w:rPr>
      </w:pPr>
      <w:r>
        <w:rPr>
          <w:color w:val="231F20"/>
          <w:w w:val="110"/>
          <w:sz w:val="18"/>
        </w:rPr>
        <w:t>The failure by the Minister to attend at the Hearing without </w:t>
      </w:r>
      <w:r>
        <w:rPr>
          <w:color w:val="231F20"/>
          <w:spacing w:val="2"/>
          <w:w w:val="110"/>
          <w:sz w:val="18"/>
        </w:rPr>
        <w:t>satisfactory </w:t>
      </w:r>
      <w:r>
        <w:rPr>
          <w:color w:val="231F20"/>
          <w:w w:val="110"/>
          <w:sz w:val="18"/>
        </w:rPr>
        <w:t>explanation and/or</w:t>
      </w:r>
    </w:p>
    <w:p>
      <w:pPr>
        <w:pStyle w:val="BodyText"/>
        <w:spacing w:before="8"/>
        <w:rPr>
          <w:sz w:val="20"/>
        </w:rPr>
      </w:pPr>
    </w:p>
    <w:p>
      <w:pPr>
        <w:pStyle w:val="ListParagraph"/>
        <w:numPr>
          <w:ilvl w:val="3"/>
          <w:numId w:val="122"/>
        </w:numPr>
        <w:tabs>
          <w:tab w:pos="1248" w:val="left" w:leader="none"/>
        </w:tabs>
        <w:spacing w:line="273" w:lineRule="auto" w:before="0" w:after="0"/>
        <w:ind w:left="527" w:right="1970" w:firstLine="0"/>
        <w:jc w:val="left"/>
        <w:rPr>
          <w:sz w:val="18"/>
        </w:rPr>
      </w:pPr>
      <w:r>
        <w:rPr>
          <w:color w:val="231F20"/>
          <w:w w:val="110"/>
          <w:sz w:val="18"/>
        </w:rPr>
        <w:t>Any </w:t>
      </w:r>
      <w:r>
        <w:rPr>
          <w:color w:val="231F20"/>
          <w:spacing w:val="2"/>
          <w:w w:val="110"/>
          <w:sz w:val="18"/>
        </w:rPr>
        <w:t>obstruction </w:t>
      </w:r>
      <w:r>
        <w:rPr>
          <w:color w:val="231F20"/>
          <w:w w:val="110"/>
          <w:sz w:val="18"/>
        </w:rPr>
        <w:t>caused by either of the </w:t>
      </w:r>
      <w:r>
        <w:rPr>
          <w:color w:val="231F20"/>
          <w:spacing w:val="2"/>
          <w:w w:val="110"/>
          <w:sz w:val="18"/>
        </w:rPr>
        <w:t>Parties </w:t>
      </w:r>
      <w:r>
        <w:rPr>
          <w:color w:val="231F20"/>
          <w:w w:val="110"/>
          <w:sz w:val="18"/>
        </w:rPr>
        <w:t>to the Assembly Commission in the conduct of the Hearing itself</w:t>
      </w:r>
      <w:r>
        <w:rPr>
          <w:color w:val="231F20"/>
          <w:spacing w:val="9"/>
          <w:w w:val="110"/>
          <w:sz w:val="18"/>
        </w:rPr>
        <w:t> </w:t>
      </w:r>
      <w:r>
        <w:rPr>
          <w:color w:val="231F20"/>
          <w:w w:val="110"/>
          <w:sz w:val="18"/>
        </w:rPr>
        <w:t>and/or</w:t>
      </w:r>
    </w:p>
    <w:p>
      <w:pPr>
        <w:pStyle w:val="BodyText"/>
        <w:spacing w:before="8"/>
        <w:rPr>
          <w:sz w:val="20"/>
        </w:rPr>
      </w:pPr>
    </w:p>
    <w:p>
      <w:pPr>
        <w:pStyle w:val="ListParagraph"/>
        <w:numPr>
          <w:ilvl w:val="3"/>
          <w:numId w:val="122"/>
        </w:numPr>
        <w:tabs>
          <w:tab w:pos="1248" w:val="left" w:leader="none"/>
        </w:tabs>
        <w:spacing w:line="273" w:lineRule="auto" w:before="1" w:after="0"/>
        <w:ind w:left="527" w:right="2249" w:firstLine="0"/>
        <w:jc w:val="both"/>
        <w:rPr>
          <w:sz w:val="18"/>
        </w:rPr>
      </w:pPr>
      <w:r>
        <w:rPr>
          <w:color w:val="231F20"/>
          <w:w w:val="110"/>
          <w:sz w:val="18"/>
        </w:rPr>
        <w:t>Any conduct on the </w:t>
      </w:r>
      <w:r>
        <w:rPr>
          <w:color w:val="231F20"/>
          <w:spacing w:val="2"/>
          <w:w w:val="110"/>
          <w:sz w:val="18"/>
        </w:rPr>
        <w:t>part </w:t>
      </w:r>
      <w:r>
        <w:rPr>
          <w:color w:val="231F20"/>
          <w:w w:val="110"/>
          <w:sz w:val="18"/>
        </w:rPr>
        <w:t>of the Minister during his/her Suspension under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which breaches or contravenes Paragraph 4 of Schedule E to the Basis of Union</w:t>
      </w:r>
      <w:r>
        <w:rPr>
          <w:color w:val="231F20"/>
          <w:spacing w:val="2"/>
          <w:w w:val="110"/>
          <w:sz w:val="18"/>
        </w:rPr>
        <w:t> </w:t>
      </w:r>
      <w:r>
        <w:rPr>
          <w:color w:val="231F20"/>
          <w:w w:val="110"/>
          <w:sz w:val="18"/>
        </w:rPr>
        <w:t>and/or</w:t>
      </w:r>
    </w:p>
    <w:p>
      <w:pPr>
        <w:pStyle w:val="BodyText"/>
        <w:spacing w:before="8"/>
        <w:rPr>
          <w:sz w:val="20"/>
        </w:rPr>
      </w:pPr>
    </w:p>
    <w:p>
      <w:pPr>
        <w:pStyle w:val="ListParagraph"/>
        <w:numPr>
          <w:ilvl w:val="3"/>
          <w:numId w:val="122"/>
        </w:numPr>
        <w:tabs>
          <w:tab w:pos="1248" w:val="left" w:leader="none"/>
        </w:tabs>
        <w:spacing w:line="273" w:lineRule="auto" w:before="0" w:after="0"/>
        <w:ind w:left="527" w:right="2413" w:firstLine="0"/>
        <w:jc w:val="left"/>
        <w:rPr>
          <w:sz w:val="18"/>
        </w:rPr>
      </w:pPr>
      <w:r>
        <w:rPr>
          <w:color w:val="231F20"/>
          <w:w w:val="110"/>
          <w:sz w:val="18"/>
        </w:rPr>
        <w:t>Any failure, </w:t>
      </w:r>
      <w:r>
        <w:rPr>
          <w:color w:val="231F20"/>
          <w:spacing w:val="2"/>
          <w:w w:val="110"/>
          <w:sz w:val="18"/>
        </w:rPr>
        <w:t>unnecessary </w:t>
      </w:r>
      <w:r>
        <w:rPr>
          <w:color w:val="231F20"/>
          <w:w w:val="110"/>
          <w:sz w:val="18"/>
        </w:rPr>
        <w:t>delay or </w:t>
      </w:r>
      <w:r>
        <w:rPr>
          <w:color w:val="231F20"/>
          <w:spacing w:val="2"/>
          <w:w w:val="110"/>
          <w:sz w:val="18"/>
        </w:rPr>
        <w:t>obstruction </w:t>
      </w:r>
      <w:r>
        <w:rPr>
          <w:color w:val="231F20"/>
          <w:w w:val="110"/>
          <w:sz w:val="18"/>
        </w:rPr>
        <w:t>on the </w:t>
      </w:r>
      <w:r>
        <w:rPr>
          <w:color w:val="231F20"/>
          <w:spacing w:val="2"/>
          <w:w w:val="110"/>
          <w:sz w:val="18"/>
        </w:rPr>
        <w:t>part </w:t>
      </w:r>
      <w:r>
        <w:rPr>
          <w:color w:val="231F20"/>
          <w:w w:val="110"/>
          <w:sz w:val="18"/>
        </w:rPr>
        <w:t>of the Minister in complying with the requirements of Paragraph</w:t>
      </w:r>
      <w:r>
        <w:rPr>
          <w:color w:val="231F20"/>
          <w:spacing w:val="15"/>
          <w:w w:val="110"/>
          <w:sz w:val="18"/>
        </w:rPr>
        <w:t> </w:t>
      </w:r>
      <w:r>
        <w:rPr>
          <w:color w:val="231F20"/>
          <w:spacing w:val="-7"/>
          <w:w w:val="110"/>
          <w:sz w:val="18"/>
        </w:rPr>
        <w:t>E.7.6.</w:t>
      </w:r>
    </w:p>
    <w:p>
      <w:pPr>
        <w:pStyle w:val="BodyText"/>
        <w:spacing w:before="9"/>
        <w:rPr>
          <w:sz w:val="20"/>
        </w:rPr>
      </w:pPr>
    </w:p>
    <w:p>
      <w:pPr>
        <w:pStyle w:val="ListParagraph"/>
        <w:numPr>
          <w:ilvl w:val="2"/>
          <w:numId w:val="122"/>
        </w:numPr>
        <w:tabs>
          <w:tab w:pos="1247" w:val="left" w:leader="none"/>
          <w:tab w:pos="1248" w:val="left" w:leader="none"/>
          <w:tab w:pos="1967" w:val="left" w:leader="none"/>
        </w:tabs>
        <w:spacing w:line="273" w:lineRule="auto" w:before="0" w:after="0"/>
        <w:ind w:left="527" w:right="2474" w:firstLine="0"/>
        <w:jc w:val="left"/>
        <w:rPr>
          <w:sz w:val="18"/>
        </w:rPr>
      </w:pPr>
      <w:r>
        <w:rPr>
          <w:color w:val="231F20"/>
          <w:spacing w:val="-5"/>
          <w:w w:val="110"/>
          <w:sz w:val="18"/>
        </w:rPr>
        <w:t>E.9.1</w:t>
        <w:tab/>
      </w:r>
      <w:r>
        <w:rPr>
          <w:color w:val="231F20"/>
          <w:w w:val="110"/>
          <w:sz w:val="18"/>
        </w:rPr>
        <w:t>The Assembly Commission has no power to accept the voluntary resignation of a Minister. A Minister may however at any time during the </w:t>
      </w:r>
      <w:r>
        <w:rPr>
          <w:color w:val="231F20"/>
          <w:spacing w:val="2"/>
          <w:w w:val="110"/>
          <w:sz w:val="18"/>
        </w:rPr>
        <w:t>Section </w:t>
      </w:r>
      <w:r>
        <w:rPr>
          <w:color w:val="231F20"/>
          <w:w w:val="110"/>
          <w:sz w:val="18"/>
        </w:rPr>
        <w:t>O</w:t>
      </w:r>
      <w:r>
        <w:rPr>
          <w:color w:val="231F20"/>
          <w:spacing w:val="9"/>
          <w:w w:val="110"/>
          <w:sz w:val="18"/>
        </w:rPr>
        <w:t> </w:t>
      </w:r>
      <w:r>
        <w:rPr>
          <w:color w:val="231F20"/>
          <w:spacing w:val="2"/>
          <w:w w:val="110"/>
          <w:sz w:val="18"/>
        </w:rPr>
        <w:t>Process</w:t>
      </w:r>
      <w:r>
        <w:rPr>
          <w:color w:val="231F20"/>
          <w:spacing w:val="9"/>
          <w:w w:val="110"/>
          <w:sz w:val="18"/>
        </w:rPr>
        <w:t> </w:t>
      </w:r>
      <w:r>
        <w:rPr>
          <w:color w:val="231F20"/>
          <w:w w:val="110"/>
          <w:sz w:val="18"/>
        </w:rPr>
        <w:t>and</w:t>
      </w:r>
      <w:r>
        <w:rPr>
          <w:color w:val="231F20"/>
          <w:spacing w:val="9"/>
          <w:w w:val="110"/>
          <w:sz w:val="18"/>
        </w:rPr>
        <w:t> </w:t>
      </w:r>
      <w:r>
        <w:rPr>
          <w:color w:val="231F20"/>
          <w:w w:val="110"/>
          <w:sz w:val="18"/>
        </w:rPr>
        <w:t>of</w:t>
      </w:r>
      <w:r>
        <w:rPr>
          <w:color w:val="231F20"/>
          <w:spacing w:val="9"/>
          <w:w w:val="110"/>
          <w:sz w:val="18"/>
        </w:rPr>
        <w:t> </w:t>
      </w:r>
      <w:r>
        <w:rPr>
          <w:color w:val="231F20"/>
          <w:w w:val="110"/>
          <w:sz w:val="18"/>
        </w:rPr>
        <w:t>his/her</w:t>
      </w:r>
      <w:r>
        <w:rPr>
          <w:color w:val="231F20"/>
          <w:spacing w:val="10"/>
          <w:w w:val="110"/>
          <w:sz w:val="18"/>
        </w:rPr>
        <w:t> </w:t>
      </w:r>
      <w:r>
        <w:rPr>
          <w:color w:val="231F20"/>
          <w:w w:val="110"/>
          <w:sz w:val="18"/>
        </w:rPr>
        <w:t>own</w:t>
      </w:r>
      <w:r>
        <w:rPr>
          <w:color w:val="231F20"/>
          <w:spacing w:val="9"/>
          <w:w w:val="110"/>
          <w:sz w:val="18"/>
        </w:rPr>
        <w:t> </w:t>
      </w:r>
      <w:r>
        <w:rPr>
          <w:color w:val="231F20"/>
          <w:spacing w:val="2"/>
          <w:w w:val="110"/>
          <w:sz w:val="18"/>
        </w:rPr>
        <w:t>free</w:t>
      </w:r>
      <w:r>
        <w:rPr>
          <w:color w:val="231F20"/>
          <w:spacing w:val="9"/>
          <w:w w:val="110"/>
          <w:sz w:val="18"/>
        </w:rPr>
        <w:t> </w:t>
      </w:r>
      <w:r>
        <w:rPr>
          <w:color w:val="231F20"/>
          <w:w w:val="110"/>
          <w:sz w:val="18"/>
        </w:rPr>
        <w:t>will</w:t>
      </w:r>
      <w:r>
        <w:rPr>
          <w:color w:val="231F20"/>
          <w:spacing w:val="9"/>
          <w:w w:val="110"/>
          <w:sz w:val="18"/>
        </w:rPr>
        <w:t> </w:t>
      </w:r>
      <w:r>
        <w:rPr>
          <w:color w:val="231F20"/>
          <w:w w:val="110"/>
          <w:sz w:val="18"/>
        </w:rPr>
        <w:t>make</w:t>
      </w:r>
      <w:r>
        <w:rPr>
          <w:color w:val="231F20"/>
          <w:spacing w:val="9"/>
          <w:w w:val="110"/>
          <w:sz w:val="18"/>
        </w:rPr>
        <w:t> </w:t>
      </w:r>
      <w:r>
        <w:rPr>
          <w:color w:val="231F20"/>
          <w:w w:val="110"/>
          <w:sz w:val="18"/>
        </w:rPr>
        <w:t>a</w:t>
      </w:r>
      <w:r>
        <w:rPr>
          <w:color w:val="231F20"/>
          <w:spacing w:val="10"/>
          <w:w w:val="110"/>
          <w:sz w:val="18"/>
        </w:rPr>
        <w:t> </w:t>
      </w:r>
      <w:r>
        <w:rPr>
          <w:color w:val="231F20"/>
          <w:w w:val="110"/>
          <w:sz w:val="18"/>
        </w:rPr>
        <w:t>written</w:t>
      </w:r>
      <w:r>
        <w:rPr>
          <w:color w:val="231F20"/>
          <w:spacing w:val="9"/>
          <w:w w:val="110"/>
          <w:sz w:val="18"/>
        </w:rPr>
        <w:t> </w:t>
      </w:r>
      <w:r>
        <w:rPr>
          <w:color w:val="231F20"/>
          <w:w w:val="110"/>
          <w:sz w:val="18"/>
        </w:rPr>
        <w:t>statement</w:t>
      </w:r>
      <w:r>
        <w:rPr>
          <w:color w:val="231F20"/>
          <w:spacing w:val="9"/>
          <w:w w:val="110"/>
          <w:sz w:val="18"/>
        </w:rPr>
        <w:t> </w:t>
      </w:r>
      <w:r>
        <w:rPr>
          <w:color w:val="231F20"/>
          <w:w w:val="110"/>
          <w:sz w:val="18"/>
        </w:rPr>
        <w:t>to</w:t>
      </w:r>
      <w:r>
        <w:rPr>
          <w:color w:val="231F20"/>
          <w:spacing w:val="9"/>
          <w:w w:val="110"/>
          <w:sz w:val="18"/>
        </w:rPr>
        <w:t> </w:t>
      </w:r>
      <w:r>
        <w:rPr>
          <w:color w:val="231F20"/>
          <w:w w:val="110"/>
          <w:sz w:val="18"/>
        </w:rPr>
        <w:t>the</w:t>
      </w:r>
      <w:r>
        <w:rPr>
          <w:color w:val="231F20"/>
          <w:spacing w:val="9"/>
          <w:w w:val="110"/>
          <w:sz w:val="18"/>
        </w:rPr>
        <w:t> </w:t>
      </w:r>
      <w:r>
        <w:rPr>
          <w:color w:val="231F20"/>
          <w:w w:val="110"/>
          <w:sz w:val="18"/>
        </w:rPr>
        <w:t>Assembly</w:t>
      </w:r>
    </w:p>
    <w:p>
      <w:pPr>
        <w:pStyle w:val="BodyText"/>
        <w:spacing w:line="273" w:lineRule="auto" w:before="2"/>
        <w:ind w:left="527" w:right="2174"/>
      </w:pPr>
      <w:r>
        <w:rPr>
          <w:color w:val="231F20"/>
          <w:w w:val="110"/>
        </w:rPr>
        <w:t>Commission admitting the truth of some or all of the facts or circumstances alleged, on the basis of which the Assembly Commission would consider it correct to make</w:t>
      </w:r>
    </w:p>
    <w:p>
      <w:pPr>
        <w:pStyle w:val="BodyText"/>
        <w:spacing w:line="273" w:lineRule="auto" w:before="1"/>
        <w:ind w:left="527" w:right="1953"/>
      </w:pPr>
      <w:r>
        <w:rPr>
          <w:color w:val="231F20"/>
          <w:w w:val="110"/>
        </w:rPr>
        <w:t>a decision to delete under Paragraph </w:t>
      </w:r>
      <w:r>
        <w:rPr>
          <w:color w:val="231F20"/>
          <w:spacing w:val="-7"/>
          <w:w w:val="110"/>
        </w:rPr>
        <w:t>F.2.1 </w:t>
      </w:r>
      <w:r>
        <w:rPr>
          <w:color w:val="231F20"/>
          <w:w w:val="110"/>
        </w:rPr>
        <w:t>or to issue a written warning under   Paragraph </w:t>
      </w:r>
      <w:r>
        <w:rPr>
          <w:color w:val="231F20"/>
          <w:spacing w:val="-4"/>
          <w:w w:val="110"/>
        </w:rPr>
        <w:t>F.2.2.   </w:t>
      </w:r>
      <w:r>
        <w:rPr>
          <w:color w:val="231F20"/>
          <w:w w:val="110"/>
        </w:rPr>
        <w:t>In such </w:t>
      </w:r>
      <w:r>
        <w:rPr>
          <w:color w:val="231F20"/>
          <w:spacing w:val="2"/>
          <w:w w:val="110"/>
        </w:rPr>
        <w:t>circumstances </w:t>
      </w:r>
      <w:r>
        <w:rPr>
          <w:color w:val="231F20"/>
          <w:w w:val="110"/>
        </w:rPr>
        <w:t>the Assembly Commission can, if it considers   it appropriate so to do and having informed the Minister that the consequences of such admission might be a decision to delete or to issue a written warning, convene, conduct and conclude the Hearing and on the basis of that admission </w:t>
      </w:r>
      <w:r>
        <w:rPr>
          <w:color w:val="231F20"/>
          <w:spacing w:val="2"/>
          <w:w w:val="110"/>
        </w:rPr>
        <w:t>reach </w:t>
      </w:r>
      <w:r>
        <w:rPr>
          <w:color w:val="231F20"/>
          <w:w w:val="110"/>
        </w:rPr>
        <w:t>its decision in accordance with Paragraph</w:t>
      </w:r>
      <w:r>
        <w:rPr>
          <w:color w:val="231F20"/>
          <w:spacing w:val="4"/>
          <w:w w:val="110"/>
        </w:rPr>
        <w:t> </w:t>
      </w:r>
      <w:r>
        <w:rPr>
          <w:color w:val="231F20"/>
          <w:spacing w:val="-6"/>
          <w:w w:val="110"/>
        </w:rPr>
        <w:t>F.2.</w:t>
      </w:r>
    </w:p>
    <w:p>
      <w:pPr>
        <w:pStyle w:val="BodyText"/>
        <w:spacing w:before="9"/>
        <w:rPr>
          <w:sz w:val="20"/>
        </w:rPr>
      </w:pPr>
    </w:p>
    <w:p>
      <w:pPr>
        <w:pStyle w:val="ListParagraph"/>
        <w:numPr>
          <w:ilvl w:val="2"/>
          <w:numId w:val="158"/>
        </w:numPr>
        <w:tabs>
          <w:tab w:pos="1233" w:val="left" w:leader="none"/>
          <w:tab w:pos="1234" w:val="left" w:leader="none"/>
        </w:tabs>
        <w:spacing w:line="273" w:lineRule="auto" w:before="1" w:after="0"/>
        <w:ind w:left="515" w:right="1765" w:hanging="2"/>
        <w:jc w:val="left"/>
        <w:rPr>
          <w:sz w:val="18"/>
        </w:rPr>
      </w:pPr>
      <w:r>
        <w:rPr>
          <w:color w:val="231F20"/>
          <w:spacing w:val="-3"/>
          <w:w w:val="110"/>
          <w:sz w:val="18"/>
        </w:rPr>
        <w:t>If</w:t>
      </w:r>
      <w:r>
        <w:rPr>
          <w:color w:val="231F20"/>
          <w:spacing w:val="-8"/>
          <w:w w:val="110"/>
          <w:sz w:val="18"/>
        </w:rPr>
        <w:t> </w:t>
      </w:r>
      <w:r>
        <w:rPr>
          <w:color w:val="231F20"/>
          <w:w w:val="110"/>
          <w:sz w:val="18"/>
        </w:rPr>
        <w:t>as</w:t>
      </w:r>
      <w:r>
        <w:rPr>
          <w:color w:val="231F20"/>
          <w:spacing w:val="-8"/>
          <w:w w:val="110"/>
          <w:sz w:val="18"/>
        </w:rPr>
        <w:t> </w:t>
      </w:r>
      <w:r>
        <w:rPr>
          <w:color w:val="231F20"/>
          <w:w w:val="110"/>
          <w:sz w:val="18"/>
        </w:rPr>
        <w:t>a</w:t>
      </w:r>
      <w:r>
        <w:rPr>
          <w:color w:val="231F20"/>
          <w:spacing w:val="-8"/>
          <w:w w:val="110"/>
          <w:sz w:val="18"/>
        </w:rPr>
        <w:t> </w:t>
      </w:r>
      <w:r>
        <w:rPr>
          <w:color w:val="231F20"/>
          <w:w w:val="110"/>
          <w:sz w:val="18"/>
        </w:rPr>
        <w:t>result</w:t>
      </w:r>
      <w:r>
        <w:rPr>
          <w:color w:val="231F20"/>
          <w:spacing w:val="-8"/>
          <w:w w:val="110"/>
          <w:sz w:val="18"/>
        </w:rPr>
        <w:t> </w:t>
      </w:r>
      <w:r>
        <w:rPr>
          <w:color w:val="231F20"/>
          <w:w w:val="110"/>
          <w:sz w:val="18"/>
        </w:rPr>
        <w:t>of</w:t>
      </w:r>
      <w:r>
        <w:rPr>
          <w:color w:val="231F20"/>
          <w:spacing w:val="-8"/>
          <w:w w:val="110"/>
          <w:sz w:val="18"/>
        </w:rPr>
        <w:t> </w:t>
      </w:r>
      <w:r>
        <w:rPr>
          <w:color w:val="231F20"/>
          <w:w w:val="110"/>
          <w:sz w:val="18"/>
        </w:rPr>
        <w:t>its</w:t>
      </w:r>
      <w:r>
        <w:rPr>
          <w:color w:val="231F20"/>
          <w:spacing w:val="-8"/>
          <w:w w:val="110"/>
          <w:sz w:val="18"/>
        </w:rPr>
        <w:t> </w:t>
      </w:r>
      <w:r>
        <w:rPr>
          <w:color w:val="231F20"/>
          <w:w w:val="110"/>
          <w:sz w:val="18"/>
        </w:rPr>
        <w:t>investigation</w:t>
      </w:r>
      <w:r>
        <w:rPr>
          <w:color w:val="231F20"/>
          <w:spacing w:val="-7"/>
          <w:w w:val="110"/>
          <w:sz w:val="18"/>
        </w:rPr>
        <w:t> </w:t>
      </w:r>
      <w:r>
        <w:rPr>
          <w:color w:val="231F20"/>
          <w:w w:val="110"/>
          <w:sz w:val="18"/>
        </w:rPr>
        <w:t>during</w:t>
      </w:r>
      <w:r>
        <w:rPr>
          <w:color w:val="231F20"/>
          <w:spacing w:val="-7"/>
          <w:w w:val="110"/>
          <w:sz w:val="18"/>
        </w:rPr>
        <w:t> </w:t>
      </w:r>
      <w:r>
        <w:rPr>
          <w:color w:val="231F20"/>
          <w:w w:val="110"/>
          <w:sz w:val="18"/>
        </w:rPr>
        <w:t>the</w:t>
      </w:r>
      <w:r>
        <w:rPr>
          <w:color w:val="231F20"/>
          <w:spacing w:val="-8"/>
          <w:w w:val="110"/>
          <w:sz w:val="18"/>
        </w:rPr>
        <w:t> </w:t>
      </w:r>
      <w:r>
        <w:rPr>
          <w:color w:val="231F20"/>
          <w:w w:val="110"/>
          <w:sz w:val="18"/>
        </w:rPr>
        <w:t>Commission</w:t>
      </w:r>
      <w:r>
        <w:rPr>
          <w:color w:val="231F20"/>
          <w:spacing w:val="-8"/>
          <w:w w:val="110"/>
          <w:sz w:val="18"/>
        </w:rPr>
        <w:t> </w:t>
      </w:r>
      <w:r>
        <w:rPr>
          <w:color w:val="231F20"/>
          <w:w w:val="110"/>
          <w:sz w:val="18"/>
        </w:rPr>
        <w:t>Stage,</w:t>
      </w:r>
      <w:r>
        <w:rPr>
          <w:color w:val="231F20"/>
          <w:spacing w:val="-8"/>
          <w:w w:val="110"/>
          <w:sz w:val="18"/>
        </w:rPr>
        <w:t> </w:t>
      </w:r>
      <w:r>
        <w:rPr>
          <w:color w:val="231F20"/>
          <w:w w:val="110"/>
          <w:sz w:val="18"/>
        </w:rPr>
        <w:t>the</w:t>
      </w:r>
      <w:r>
        <w:rPr>
          <w:color w:val="231F20"/>
          <w:spacing w:val="-8"/>
          <w:w w:val="110"/>
          <w:sz w:val="18"/>
        </w:rPr>
        <w:t> </w:t>
      </w:r>
      <w:r>
        <w:rPr>
          <w:color w:val="231F20"/>
          <w:w w:val="110"/>
          <w:sz w:val="18"/>
        </w:rPr>
        <w:t>Mandated</w:t>
      </w:r>
      <w:r>
        <w:rPr>
          <w:color w:val="231F20"/>
          <w:spacing w:val="-8"/>
          <w:w w:val="110"/>
          <w:sz w:val="18"/>
        </w:rPr>
        <w:t> </w:t>
      </w:r>
      <w:r>
        <w:rPr>
          <w:color w:val="231F20"/>
          <w:w w:val="110"/>
          <w:sz w:val="18"/>
        </w:rPr>
        <w:t>Group unanimously</w:t>
      </w:r>
      <w:r>
        <w:rPr>
          <w:color w:val="231F20"/>
          <w:spacing w:val="-7"/>
          <w:w w:val="110"/>
          <w:sz w:val="18"/>
        </w:rPr>
        <w:t> </w:t>
      </w:r>
      <w:r>
        <w:rPr>
          <w:color w:val="231F20"/>
          <w:w w:val="110"/>
          <w:sz w:val="18"/>
        </w:rPr>
        <w:t>comes</w:t>
      </w:r>
      <w:r>
        <w:rPr>
          <w:color w:val="231F20"/>
          <w:spacing w:val="-7"/>
          <w:w w:val="110"/>
          <w:sz w:val="18"/>
        </w:rPr>
        <w:t> </w:t>
      </w:r>
      <w:r>
        <w:rPr>
          <w:color w:val="231F20"/>
          <w:w w:val="110"/>
          <w:sz w:val="18"/>
        </w:rPr>
        <w:t>to</w:t>
      </w:r>
      <w:r>
        <w:rPr>
          <w:color w:val="231F20"/>
          <w:spacing w:val="-7"/>
          <w:w w:val="110"/>
          <w:sz w:val="18"/>
        </w:rPr>
        <w:t> </w:t>
      </w:r>
      <w:r>
        <w:rPr>
          <w:color w:val="231F20"/>
          <w:w w:val="110"/>
          <w:sz w:val="18"/>
        </w:rPr>
        <w:t>the</w:t>
      </w:r>
      <w:r>
        <w:rPr>
          <w:color w:val="231F20"/>
          <w:spacing w:val="-7"/>
          <w:w w:val="110"/>
          <w:sz w:val="18"/>
        </w:rPr>
        <w:t> </w:t>
      </w:r>
      <w:r>
        <w:rPr>
          <w:color w:val="231F20"/>
          <w:w w:val="110"/>
          <w:sz w:val="18"/>
        </w:rPr>
        <w:t>view</w:t>
      </w:r>
      <w:r>
        <w:rPr>
          <w:color w:val="231F20"/>
          <w:spacing w:val="-7"/>
          <w:w w:val="110"/>
          <w:sz w:val="18"/>
        </w:rPr>
        <w:t> </w:t>
      </w:r>
      <w:r>
        <w:rPr>
          <w:color w:val="231F20"/>
          <w:w w:val="110"/>
          <w:sz w:val="18"/>
        </w:rPr>
        <w:t>that</w:t>
      </w:r>
      <w:r>
        <w:rPr>
          <w:color w:val="231F20"/>
          <w:spacing w:val="-7"/>
          <w:w w:val="110"/>
          <w:sz w:val="18"/>
        </w:rPr>
        <w:t> </w:t>
      </w:r>
      <w:r>
        <w:rPr>
          <w:color w:val="231F20"/>
          <w:w w:val="110"/>
          <w:sz w:val="18"/>
        </w:rPr>
        <w:t>no</w:t>
      </w:r>
      <w:r>
        <w:rPr>
          <w:color w:val="231F20"/>
          <w:spacing w:val="-7"/>
          <w:w w:val="110"/>
          <w:sz w:val="18"/>
        </w:rPr>
        <w:t> </w:t>
      </w:r>
      <w:r>
        <w:rPr>
          <w:color w:val="231F20"/>
          <w:w w:val="110"/>
          <w:sz w:val="18"/>
        </w:rPr>
        <w:t>breach</w:t>
      </w:r>
      <w:r>
        <w:rPr>
          <w:color w:val="231F20"/>
          <w:spacing w:val="-7"/>
          <w:w w:val="110"/>
          <w:sz w:val="18"/>
        </w:rPr>
        <w:t> </w:t>
      </w:r>
      <w:r>
        <w:rPr>
          <w:color w:val="231F20"/>
          <w:w w:val="110"/>
          <w:sz w:val="18"/>
        </w:rPr>
        <w:t>of</w:t>
      </w:r>
      <w:r>
        <w:rPr>
          <w:color w:val="231F20"/>
          <w:spacing w:val="-6"/>
          <w:w w:val="110"/>
          <w:sz w:val="18"/>
        </w:rPr>
        <w:t> </w:t>
      </w:r>
      <w:r>
        <w:rPr>
          <w:color w:val="231F20"/>
          <w:w w:val="110"/>
          <w:sz w:val="18"/>
        </w:rPr>
        <w:t>discipline</w:t>
      </w:r>
      <w:r>
        <w:rPr>
          <w:color w:val="231F20"/>
          <w:spacing w:val="-7"/>
          <w:w w:val="110"/>
          <w:sz w:val="18"/>
        </w:rPr>
        <w:t> </w:t>
      </w:r>
      <w:r>
        <w:rPr>
          <w:color w:val="231F20"/>
          <w:w w:val="110"/>
          <w:sz w:val="18"/>
        </w:rPr>
        <w:t>on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part</w:t>
      </w:r>
      <w:r>
        <w:rPr>
          <w:color w:val="231F20"/>
          <w:spacing w:val="-7"/>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7"/>
          <w:w w:val="110"/>
          <w:sz w:val="18"/>
        </w:rPr>
        <w:t> </w:t>
      </w:r>
      <w:r>
        <w:rPr>
          <w:color w:val="231F20"/>
          <w:w w:val="110"/>
          <w:sz w:val="18"/>
        </w:rPr>
        <w:t>Minister</w:t>
      </w:r>
      <w:r>
        <w:rPr>
          <w:color w:val="231F20"/>
          <w:spacing w:val="-7"/>
          <w:w w:val="110"/>
          <w:sz w:val="18"/>
        </w:rPr>
        <w:t> </w:t>
      </w:r>
      <w:r>
        <w:rPr>
          <w:color w:val="231F20"/>
          <w:w w:val="110"/>
          <w:sz w:val="18"/>
        </w:rPr>
        <w:t>has occurred</w:t>
      </w:r>
      <w:r>
        <w:rPr>
          <w:color w:val="231F20"/>
          <w:spacing w:val="-5"/>
          <w:w w:val="110"/>
          <w:sz w:val="18"/>
        </w:rPr>
        <w:t> </w:t>
      </w:r>
      <w:r>
        <w:rPr>
          <w:color w:val="231F20"/>
          <w:w w:val="110"/>
          <w:sz w:val="18"/>
        </w:rPr>
        <w:t>or</w:t>
      </w:r>
      <w:r>
        <w:rPr>
          <w:color w:val="231F20"/>
          <w:spacing w:val="-5"/>
          <w:w w:val="110"/>
          <w:sz w:val="18"/>
        </w:rPr>
        <w:t> </w:t>
      </w:r>
      <w:r>
        <w:rPr>
          <w:color w:val="231F20"/>
          <w:w w:val="110"/>
          <w:sz w:val="18"/>
        </w:rPr>
        <w:t>at</w:t>
      </w:r>
      <w:r>
        <w:rPr>
          <w:color w:val="231F20"/>
          <w:spacing w:val="-5"/>
          <w:w w:val="110"/>
          <w:sz w:val="18"/>
        </w:rPr>
        <w:t> </w:t>
      </w:r>
      <w:r>
        <w:rPr>
          <w:color w:val="231F20"/>
          <w:w w:val="110"/>
          <w:sz w:val="18"/>
        </w:rPr>
        <w:t>least</w:t>
      </w:r>
      <w:r>
        <w:rPr>
          <w:color w:val="231F20"/>
          <w:spacing w:val="-5"/>
          <w:w w:val="110"/>
          <w:sz w:val="18"/>
        </w:rPr>
        <w:t> </w:t>
      </w:r>
      <w:r>
        <w:rPr>
          <w:color w:val="231F20"/>
          <w:w w:val="110"/>
          <w:sz w:val="18"/>
        </w:rPr>
        <w:t>that</w:t>
      </w:r>
      <w:r>
        <w:rPr>
          <w:color w:val="231F20"/>
          <w:spacing w:val="-5"/>
          <w:w w:val="110"/>
          <w:sz w:val="18"/>
        </w:rPr>
        <w:t> </w:t>
      </w:r>
      <w:r>
        <w:rPr>
          <w:color w:val="231F20"/>
          <w:w w:val="110"/>
          <w:sz w:val="18"/>
        </w:rPr>
        <w:t>no</w:t>
      </w:r>
      <w:r>
        <w:rPr>
          <w:color w:val="231F20"/>
          <w:spacing w:val="-5"/>
          <w:w w:val="110"/>
          <w:sz w:val="18"/>
        </w:rPr>
        <w:t> </w:t>
      </w:r>
      <w:r>
        <w:rPr>
          <w:color w:val="231F20"/>
          <w:w w:val="110"/>
          <w:sz w:val="18"/>
        </w:rPr>
        <w:t>breach</w:t>
      </w:r>
      <w:r>
        <w:rPr>
          <w:color w:val="231F20"/>
          <w:spacing w:val="-5"/>
          <w:w w:val="110"/>
          <w:sz w:val="18"/>
        </w:rPr>
        <w:t> </w:t>
      </w:r>
      <w:r>
        <w:rPr>
          <w:color w:val="231F20"/>
          <w:w w:val="110"/>
          <w:sz w:val="18"/>
        </w:rPr>
        <w:t>can</w:t>
      </w:r>
      <w:r>
        <w:rPr>
          <w:color w:val="231F20"/>
          <w:spacing w:val="-5"/>
          <w:w w:val="110"/>
          <w:sz w:val="18"/>
        </w:rPr>
        <w:t> </w:t>
      </w:r>
      <w:r>
        <w:rPr>
          <w:color w:val="231F20"/>
          <w:w w:val="110"/>
          <w:sz w:val="18"/>
        </w:rPr>
        <w:t>be</w:t>
      </w:r>
      <w:r>
        <w:rPr>
          <w:color w:val="231F20"/>
          <w:spacing w:val="-5"/>
          <w:w w:val="110"/>
          <w:sz w:val="18"/>
        </w:rPr>
        <w:t> </w:t>
      </w:r>
      <w:r>
        <w:rPr>
          <w:color w:val="231F20"/>
          <w:w w:val="110"/>
          <w:sz w:val="18"/>
        </w:rPr>
        <w:t>established</w:t>
      </w:r>
      <w:r>
        <w:rPr>
          <w:color w:val="231F20"/>
          <w:spacing w:val="-5"/>
          <w:w w:val="110"/>
          <w:sz w:val="18"/>
        </w:rPr>
        <w:t> </w:t>
      </w:r>
      <w:r>
        <w:rPr>
          <w:color w:val="231F20"/>
          <w:w w:val="110"/>
          <w:sz w:val="18"/>
        </w:rPr>
        <w:t>to</w:t>
      </w:r>
      <w:r>
        <w:rPr>
          <w:color w:val="231F20"/>
          <w:spacing w:val="-5"/>
          <w:w w:val="110"/>
          <w:sz w:val="18"/>
        </w:rPr>
        <w:t> </w:t>
      </w:r>
      <w:r>
        <w:rPr>
          <w:color w:val="231F20"/>
          <w:w w:val="110"/>
          <w:sz w:val="18"/>
        </w:rPr>
        <w:t>the</w:t>
      </w:r>
      <w:r>
        <w:rPr>
          <w:color w:val="231F20"/>
          <w:spacing w:val="-5"/>
          <w:w w:val="110"/>
          <w:sz w:val="18"/>
        </w:rPr>
        <w:t> </w:t>
      </w:r>
      <w:r>
        <w:rPr>
          <w:color w:val="231F20"/>
          <w:w w:val="110"/>
          <w:sz w:val="18"/>
        </w:rPr>
        <w:t>standard</w:t>
      </w:r>
      <w:r>
        <w:rPr>
          <w:color w:val="231F20"/>
          <w:spacing w:val="-5"/>
          <w:w w:val="110"/>
          <w:sz w:val="18"/>
        </w:rPr>
        <w:t> </w:t>
      </w:r>
      <w:r>
        <w:rPr>
          <w:color w:val="231F20"/>
          <w:w w:val="110"/>
          <w:sz w:val="18"/>
        </w:rPr>
        <w:t>of</w:t>
      </w:r>
      <w:r>
        <w:rPr>
          <w:color w:val="231F20"/>
          <w:spacing w:val="-5"/>
          <w:w w:val="110"/>
          <w:sz w:val="18"/>
        </w:rPr>
        <w:t> </w:t>
      </w:r>
      <w:r>
        <w:rPr>
          <w:color w:val="231F20"/>
          <w:w w:val="110"/>
          <w:sz w:val="18"/>
        </w:rPr>
        <w:t>proof</w:t>
      </w:r>
      <w:r>
        <w:rPr>
          <w:color w:val="231F20"/>
          <w:spacing w:val="-5"/>
          <w:w w:val="110"/>
          <w:sz w:val="18"/>
        </w:rPr>
        <w:t> </w:t>
      </w:r>
      <w:r>
        <w:rPr>
          <w:color w:val="231F20"/>
          <w:w w:val="110"/>
          <w:sz w:val="18"/>
        </w:rPr>
        <w:t>required,</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BodyText"/>
        <w:spacing w:line="273" w:lineRule="auto" w:before="101"/>
        <w:ind w:left="1082" w:right="1039" w:hanging="2"/>
      </w:pPr>
      <w:r>
        <w:rPr>
          <w:color w:val="231F20"/>
          <w:w w:val="110"/>
        </w:rPr>
        <w:t>it may give written notice to the Secretary of the Assembly Commission before the Hearing date that as a consequence it does not intend to press the case against the Minister.</w:t>
      </w:r>
    </w:p>
    <w:p>
      <w:pPr>
        <w:pStyle w:val="BodyText"/>
        <w:spacing w:line="273" w:lineRule="auto" w:before="1"/>
        <w:ind w:left="1084" w:right="1258" w:hanging="1"/>
      </w:pPr>
      <w:r>
        <w:rPr>
          <w:color w:val="231F20"/>
          <w:w w:val="110"/>
        </w:rPr>
        <w:t>Thereupon the members of the Assembly Commission shall consult together to decide whether they still require the Parties to attend a formal Hearing before them or whether in the circumstances their attendance can be dispensed with. If they elect for the former,</w:t>
      </w:r>
    </w:p>
    <w:p>
      <w:pPr>
        <w:pStyle w:val="BodyText"/>
        <w:spacing w:line="273" w:lineRule="auto" w:before="2"/>
        <w:ind w:left="1087" w:right="1103" w:hanging="1"/>
      </w:pPr>
      <w:r>
        <w:rPr>
          <w:color w:val="231F20"/>
          <w:w w:val="110"/>
        </w:rPr>
        <w:t>the Hearing will take place as planned. If they elect for the latter, they may in consultation together dispense with the formal Hearing and come to the decision to allow the name of the Minister to remain on the Roll of Ministers under Paragraph F.2.1. If this procedure</w:t>
      </w:r>
    </w:p>
    <w:p>
      <w:pPr>
        <w:pStyle w:val="BodyText"/>
        <w:spacing w:line="273" w:lineRule="auto" w:before="2"/>
        <w:ind w:left="1090" w:right="1678" w:hanging="1"/>
      </w:pPr>
      <w:r>
        <w:rPr>
          <w:color w:val="231F20"/>
          <w:w w:val="110"/>
        </w:rPr>
        <w:t>is adopted, the said consultation shall constitute the Hearing and its decision shall be effective for all purposes as though a formal Hearing had taken place.</w:t>
      </w:r>
    </w:p>
    <w:p>
      <w:pPr>
        <w:pStyle w:val="BodyText"/>
        <w:spacing w:before="7"/>
        <w:rPr>
          <w:sz w:val="20"/>
        </w:rPr>
      </w:pPr>
    </w:p>
    <w:p>
      <w:pPr>
        <w:pStyle w:val="ListParagraph"/>
        <w:numPr>
          <w:ilvl w:val="2"/>
          <w:numId w:val="158"/>
        </w:numPr>
        <w:tabs>
          <w:tab w:pos="1800" w:val="left" w:leader="none"/>
          <w:tab w:pos="1801" w:val="left" w:leader="none"/>
        </w:tabs>
        <w:spacing w:line="273" w:lineRule="auto" w:before="1" w:after="0"/>
        <w:ind w:left="1080" w:right="1414" w:firstLine="0"/>
        <w:jc w:val="left"/>
        <w:rPr>
          <w:sz w:val="18"/>
        </w:rPr>
      </w:pPr>
      <w:r>
        <w:rPr>
          <w:color w:val="231F20"/>
          <w:w w:val="110"/>
          <w:sz w:val="18"/>
        </w:rPr>
        <w:t>Paragraph </w:t>
      </w:r>
      <w:r>
        <w:rPr>
          <w:color w:val="231F20"/>
          <w:spacing w:val="-4"/>
          <w:w w:val="110"/>
          <w:sz w:val="18"/>
        </w:rPr>
        <w:t>E.9.2 </w:t>
      </w:r>
      <w:r>
        <w:rPr>
          <w:color w:val="231F20"/>
          <w:w w:val="110"/>
          <w:sz w:val="18"/>
        </w:rPr>
        <w:t>shall not apply where the Mandated Group, whilst not pressing the </w:t>
      </w:r>
      <w:r>
        <w:rPr>
          <w:color w:val="231F20"/>
          <w:spacing w:val="2"/>
          <w:w w:val="110"/>
          <w:sz w:val="18"/>
        </w:rPr>
        <w:t>case </w:t>
      </w:r>
      <w:r>
        <w:rPr>
          <w:color w:val="231F20"/>
          <w:w w:val="110"/>
          <w:sz w:val="18"/>
        </w:rPr>
        <w:t>for Deletion, </w:t>
      </w:r>
      <w:r>
        <w:rPr>
          <w:color w:val="231F20"/>
          <w:spacing w:val="2"/>
          <w:w w:val="110"/>
          <w:sz w:val="18"/>
        </w:rPr>
        <w:t>requests </w:t>
      </w:r>
      <w:r>
        <w:rPr>
          <w:color w:val="231F20"/>
          <w:w w:val="110"/>
          <w:sz w:val="18"/>
        </w:rPr>
        <w:t>the Assembly Commission to issue a written warning under Paragraph </w:t>
      </w:r>
      <w:r>
        <w:rPr>
          <w:color w:val="231F20"/>
          <w:spacing w:val="-4"/>
          <w:w w:val="110"/>
          <w:sz w:val="18"/>
        </w:rPr>
        <w:t>F.2.2. </w:t>
      </w:r>
      <w:r>
        <w:rPr>
          <w:color w:val="231F20"/>
          <w:w w:val="110"/>
          <w:sz w:val="18"/>
        </w:rPr>
        <w:t>In such a case a formal Hearing shall take</w:t>
      </w:r>
      <w:r>
        <w:rPr>
          <w:color w:val="231F20"/>
          <w:spacing w:val="59"/>
          <w:w w:val="110"/>
          <w:sz w:val="18"/>
        </w:rPr>
        <w:t> </w:t>
      </w:r>
      <w:r>
        <w:rPr>
          <w:color w:val="231F20"/>
          <w:w w:val="110"/>
          <w:sz w:val="18"/>
        </w:rPr>
        <w:t>place.</w:t>
      </w:r>
    </w:p>
    <w:p>
      <w:pPr>
        <w:pStyle w:val="BodyText"/>
        <w:spacing w:before="8"/>
        <w:rPr>
          <w:sz w:val="20"/>
        </w:rPr>
      </w:pPr>
    </w:p>
    <w:p>
      <w:pPr>
        <w:pStyle w:val="ListParagraph"/>
        <w:numPr>
          <w:ilvl w:val="2"/>
          <w:numId w:val="122"/>
        </w:numPr>
        <w:tabs>
          <w:tab w:pos="1800" w:val="left" w:leader="none"/>
          <w:tab w:pos="1802" w:val="left" w:leader="none"/>
        </w:tabs>
        <w:spacing w:line="240" w:lineRule="auto" w:before="1" w:after="0"/>
        <w:ind w:left="1801" w:right="0" w:hanging="722"/>
        <w:jc w:val="left"/>
        <w:rPr>
          <w:sz w:val="18"/>
        </w:rPr>
      </w:pPr>
      <w:r>
        <w:rPr>
          <w:color w:val="231F20"/>
          <w:spacing w:val="-5"/>
          <w:w w:val="110"/>
          <w:sz w:val="18"/>
        </w:rPr>
        <w:t>E.10.1 </w:t>
      </w:r>
      <w:r>
        <w:rPr>
          <w:color w:val="231F20"/>
          <w:w w:val="110"/>
          <w:sz w:val="18"/>
        </w:rPr>
        <w:t>The Minister may invite one </w:t>
      </w:r>
      <w:r>
        <w:rPr>
          <w:color w:val="231F20"/>
          <w:spacing w:val="2"/>
          <w:w w:val="110"/>
          <w:sz w:val="18"/>
        </w:rPr>
        <w:t>person </w:t>
      </w:r>
      <w:r>
        <w:rPr>
          <w:color w:val="231F20"/>
          <w:w w:val="110"/>
          <w:sz w:val="18"/>
        </w:rPr>
        <w:t>to accompany him/her at the</w:t>
      </w:r>
      <w:r>
        <w:rPr>
          <w:color w:val="231F20"/>
          <w:spacing w:val="9"/>
          <w:w w:val="110"/>
          <w:sz w:val="18"/>
        </w:rPr>
        <w:t> </w:t>
      </w:r>
      <w:r>
        <w:rPr>
          <w:color w:val="231F20"/>
          <w:w w:val="110"/>
          <w:sz w:val="18"/>
        </w:rPr>
        <w:t>Hearing</w:t>
      </w:r>
    </w:p>
    <w:p>
      <w:pPr>
        <w:pStyle w:val="BodyText"/>
        <w:spacing w:before="31"/>
        <w:ind w:left="1080"/>
      </w:pPr>
      <w:r>
        <w:rPr>
          <w:color w:val="231F20"/>
          <w:w w:val="110"/>
        </w:rPr>
        <w:t>(‘the accompanying person’) in which case either of the following shall apply:</w:t>
      </w:r>
    </w:p>
    <w:p>
      <w:pPr>
        <w:pStyle w:val="BodyText"/>
        <w:spacing w:before="1"/>
        <w:rPr>
          <w:sz w:val="23"/>
        </w:rPr>
      </w:pPr>
    </w:p>
    <w:p>
      <w:pPr>
        <w:pStyle w:val="ListParagraph"/>
        <w:numPr>
          <w:ilvl w:val="3"/>
          <w:numId w:val="159"/>
        </w:numPr>
        <w:tabs>
          <w:tab w:pos="2520" w:val="left" w:leader="none"/>
          <w:tab w:pos="2521" w:val="left" w:leader="none"/>
        </w:tabs>
        <w:spacing w:line="273" w:lineRule="auto" w:before="1" w:after="0"/>
        <w:ind w:left="1080" w:right="1236" w:firstLine="0"/>
        <w:jc w:val="left"/>
        <w:rPr>
          <w:sz w:val="18"/>
        </w:rPr>
      </w:pPr>
      <w:r>
        <w:rPr>
          <w:color w:val="231F20"/>
          <w:w w:val="110"/>
          <w:sz w:val="18"/>
        </w:rPr>
        <w:t>If the Minister </w:t>
      </w:r>
      <w:r>
        <w:rPr>
          <w:color w:val="231F20"/>
          <w:spacing w:val="3"/>
          <w:w w:val="110"/>
          <w:sz w:val="18"/>
        </w:rPr>
        <w:t>elects </w:t>
      </w:r>
      <w:r>
        <w:rPr>
          <w:color w:val="231F20"/>
          <w:w w:val="110"/>
          <w:sz w:val="18"/>
        </w:rPr>
        <w:t>to present his/her response, the accompanying </w:t>
      </w:r>
      <w:r>
        <w:rPr>
          <w:color w:val="231F20"/>
          <w:spacing w:val="2"/>
          <w:w w:val="110"/>
          <w:sz w:val="18"/>
        </w:rPr>
        <w:t>person </w:t>
      </w:r>
      <w:r>
        <w:rPr>
          <w:color w:val="231F20"/>
          <w:w w:val="110"/>
          <w:sz w:val="18"/>
        </w:rPr>
        <w:t>may give him/her support and advice but shall not address the Assembly Commission nor question the Minister or any of the witnesses nor present the Minister’s </w:t>
      </w:r>
      <w:r>
        <w:rPr>
          <w:color w:val="231F20"/>
          <w:spacing w:val="2"/>
          <w:w w:val="110"/>
          <w:sz w:val="18"/>
        </w:rPr>
        <w:t>response </w:t>
      </w:r>
      <w:r>
        <w:rPr>
          <w:color w:val="231F20"/>
          <w:w w:val="110"/>
          <w:sz w:val="18"/>
        </w:rPr>
        <w:t>nor take any active </w:t>
      </w:r>
      <w:r>
        <w:rPr>
          <w:color w:val="231F20"/>
          <w:spacing w:val="2"/>
          <w:w w:val="110"/>
          <w:sz w:val="18"/>
        </w:rPr>
        <w:t>part </w:t>
      </w:r>
      <w:r>
        <w:rPr>
          <w:color w:val="231F20"/>
          <w:w w:val="110"/>
          <w:sz w:val="18"/>
        </w:rPr>
        <w:t>in the</w:t>
      </w:r>
      <w:r>
        <w:rPr>
          <w:color w:val="231F20"/>
          <w:spacing w:val="8"/>
          <w:w w:val="110"/>
          <w:sz w:val="18"/>
        </w:rPr>
        <w:t> </w:t>
      </w:r>
      <w:r>
        <w:rPr>
          <w:color w:val="231F20"/>
          <w:w w:val="110"/>
          <w:sz w:val="18"/>
        </w:rPr>
        <w:t>Hearing.</w:t>
      </w:r>
    </w:p>
    <w:p>
      <w:pPr>
        <w:pStyle w:val="BodyText"/>
        <w:spacing w:before="9"/>
        <w:rPr>
          <w:sz w:val="20"/>
        </w:rPr>
      </w:pPr>
    </w:p>
    <w:p>
      <w:pPr>
        <w:pStyle w:val="ListParagraph"/>
        <w:numPr>
          <w:ilvl w:val="3"/>
          <w:numId w:val="159"/>
        </w:numPr>
        <w:tabs>
          <w:tab w:pos="2520" w:val="left" w:leader="none"/>
          <w:tab w:pos="2521" w:val="left" w:leader="none"/>
        </w:tabs>
        <w:spacing w:line="273" w:lineRule="auto" w:before="0" w:after="0"/>
        <w:ind w:left="1080" w:right="1569" w:firstLine="0"/>
        <w:jc w:val="left"/>
        <w:rPr>
          <w:sz w:val="18"/>
        </w:rPr>
      </w:pPr>
      <w:r>
        <w:rPr>
          <w:color w:val="231F20"/>
          <w:w w:val="110"/>
          <w:sz w:val="18"/>
        </w:rPr>
        <w:t>If the Minister </w:t>
      </w:r>
      <w:r>
        <w:rPr>
          <w:color w:val="231F20"/>
          <w:spacing w:val="3"/>
          <w:w w:val="110"/>
          <w:sz w:val="18"/>
        </w:rPr>
        <w:t>elects </w:t>
      </w:r>
      <w:r>
        <w:rPr>
          <w:color w:val="231F20"/>
          <w:w w:val="110"/>
          <w:sz w:val="18"/>
        </w:rPr>
        <w:t>to invite the accompanying </w:t>
      </w:r>
      <w:r>
        <w:rPr>
          <w:color w:val="231F20"/>
          <w:spacing w:val="2"/>
          <w:w w:val="110"/>
          <w:sz w:val="18"/>
        </w:rPr>
        <w:t>person </w:t>
      </w:r>
      <w:r>
        <w:rPr>
          <w:color w:val="231F20"/>
          <w:w w:val="110"/>
          <w:sz w:val="18"/>
        </w:rPr>
        <w:t>to present the Minister’s response, the Minister will not be </w:t>
      </w:r>
      <w:r>
        <w:rPr>
          <w:color w:val="231F20"/>
          <w:spacing w:val="2"/>
          <w:w w:val="110"/>
          <w:sz w:val="18"/>
        </w:rPr>
        <w:t>permitted </w:t>
      </w:r>
      <w:r>
        <w:rPr>
          <w:color w:val="231F20"/>
          <w:w w:val="110"/>
          <w:sz w:val="18"/>
        </w:rPr>
        <w:t>in the interests of the good ordering of the procedures at the Hearing to question the witnesses nor present the </w:t>
      </w:r>
      <w:r>
        <w:rPr>
          <w:color w:val="231F20"/>
          <w:spacing w:val="2"/>
          <w:w w:val="110"/>
          <w:sz w:val="18"/>
        </w:rPr>
        <w:t>response</w:t>
      </w:r>
      <w:r>
        <w:rPr>
          <w:color w:val="231F20"/>
          <w:spacing w:val="1"/>
          <w:w w:val="110"/>
          <w:sz w:val="18"/>
        </w:rPr>
        <w:t> </w:t>
      </w:r>
      <w:r>
        <w:rPr>
          <w:color w:val="231F20"/>
          <w:w w:val="110"/>
          <w:sz w:val="18"/>
        </w:rPr>
        <w:t>himself/herself.</w:t>
      </w:r>
    </w:p>
    <w:p>
      <w:pPr>
        <w:pStyle w:val="BodyText"/>
        <w:spacing w:before="9"/>
        <w:rPr>
          <w:sz w:val="20"/>
        </w:rPr>
      </w:pPr>
    </w:p>
    <w:p>
      <w:pPr>
        <w:pStyle w:val="BodyText"/>
        <w:spacing w:line="273" w:lineRule="auto"/>
        <w:ind w:left="1080" w:right="1375"/>
      </w:pPr>
      <w:r>
        <w:rPr>
          <w:color w:val="231F20"/>
          <w:spacing w:val="-4"/>
          <w:w w:val="110"/>
        </w:rPr>
        <w:t>E.10.2 </w:t>
      </w:r>
      <w:r>
        <w:rPr>
          <w:color w:val="231F20"/>
          <w:w w:val="110"/>
        </w:rPr>
        <w:t>Neither the spokesperson nominated by the Mandated Group in accordance with Paragraph E.3.2.5 nor the Minister’s accompanying </w:t>
      </w:r>
      <w:r>
        <w:rPr>
          <w:color w:val="231F20"/>
          <w:spacing w:val="2"/>
          <w:w w:val="110"/>
        </w:rPr>
        <w:t>person </w:t>
      </w:r>
      <w:r>
        <w:rPr>
          <w:color w:val="231F20"/>
          <w:w w:val="110"/>
        </w:rPr>
        <w:t>invited to present his/her </w:t>
      </w:r>
      <w:r>
        <w:rPr>
          <w:color w:val="231F20"/>
          <w:spacing w:val="2"/>
          <w:w w:val="110"/>
        </w:rPr>
        <w:t>response </w:t>
      </w:r>
      <w:r>
        <w:rPr>
          <w:color w:val="231F20"/>
          <w:w w:val="110"/>
        </w:rPr>
        <w:t>under Paragraph </w:t>
      </w:r>
      <w:r>
        <w:rPr>
          <w:color w:val="231F20"/>
          <w:spacing w:val="-5"/>
          <w:w w:val="110"/>
        </w:rPr>
        <w:t>E.10.1.2 </w:t>
      </w:r>
      <w:r>
        <w:rPr>
          <w:color w:val="231F20"/>
          <w:w w:val="110"/>
        </w:rPr>
        <w:t>shall be </w:t>
      </w:r>
      <w:r>
        <w:rPr>
          <w:color w:val="231F20"/>
          <w:spacing w:val="2"/>
          <w:w w:val="110"/>
        </w:rPr>
        <w:t>permitted </w:t>
      </w:r>
      <w:r>
        <w:rPr>
          <w:color w:val="231F20"/>
          <w:w w:val="110"/>
        </w:rPr>
        <w:t>to give evidence in the </w:t>
      </w:r>
      <w:r>
        <w:rPr>
          <w:color w:val="231F20"/>
          <w:spacing w:val="2"/>
          <w:w w:val="110"/>
        </w:rPr>
        <w:t>case </w:t>
      </w:r>
      <w:r>
        <w:rPr>
          <w:color w:val="231F20"/>
          <w:w w:val="110"/>
        </w:rPr>
        <w:t>or personal testimony as to the Minister’s character, either by </w:t>
      </w:r>
      <w:r>
        <w:rPr>
          <w:color w:val="231F20"/>
          <w:spacing w:val="2"/>
          <w:w w:val="110"/>
        </w:rPr>
        <w:t>written </w:t>
      </w:r>
      <w:r>
        <w:rPr>
          <w:color w:val="231F20"/>
          <w:w w:val="110"/>
        </w:rPr>
        <w:t>statement or orally  at the Hearing. Where the Minister has invited a </w:t>
      </w:r>
      <w:r>
        <w:rPr>
          <w:color w:val="231F20"/>
          <w:spacing w:val="2"/>
          <w:w w:val="110"/>
        </w:rPr>
        <w:t>person </w:t>
      </w:r>
      <w:r>
        <w:rPr>
          <w:color w:val="231F20"/>
          <w:w w:val="110"/>
        </w:rPr>
        <w:t>to be present at the Hearing to give support and advice only under Paragraph </w:t>
      </w:r>
      <w:r>
        <w:rPr>
          <w:color w:val="231F20"/>
          <w:spacing w:val="-6"/>
          <w:w w:val="110"/>
        </w:rPr>
        <w:t>E.10.1.1, </w:t>
      </w:r>
      <w:r>
        <w:rPr>
          <w:color w:val="231F20"/>
          <w:w w:val="110"/>
        </w:rPr>
        <w:t>the Assembly Commission </w:t>
      </w:r>
      <w:r>
        <w:rPr>
          <w:color w:val="231F20"/>
          <w:spacing w:val="-5"/>
          <w:w w:val="110"/>
        </w:rPr>
        <w:t>may, </w:t>
      </w:r>
      <w:r>
        <w:rPr>
          <w:color w:val="231F20"/>
          <w:w w:val="110"/>
        </w:rPr>
        <w:t>in its absolute discretion if it </w:t>
      </w:r>
      <w:r>
        <w:rPr>
          <w:color w:val="231F20"/>
          <w:spacing w:val="2"/>
          <w:w w:val="110"/>
        </w:rPr>
        <w:t>sees </w:t>
      </w:r>
      <w:r>
        <w:rPr>
          <w:color w:val="231F20"/>
          <w:w w:val="110"/>
        </w:rPr>
        <w:t>fit, consider a written statement received </w:t>
      </w:r>
      <w:r>
        <w:rPr>
          <w:color w:val="231F20"/>
          <w:spacing w:val="2"/>
          <w:w w:val="110"/>
        </w:rPr>
        <w:t>from </w:t>
      </w:r>
      <w:r>
        <w:rPr>
          <w:color w:val="231F20"/>
          <w:w w:val="110"/>
        </w:rPr>
        <w:t>such </w:t>
      </w:r>
      <w:r>
        <w:rPr>
          <w:color w:val="231F20"/>
          <w:spacing w:val="2"/>
          <w:w w:val="110"/>
        </w:rPr>
        <w:t>person </w:t>
      </w:r>
      <w:r>
        <w:rPr>
          <w:color w:val="231F20"/>
          <w:w w:val="110"/>
        </w:rPr>
        <w:t>prior to the Hearing </w:t>
      </w:r>
      <w:r>
        <w:rPr>
          <w:color w:val="231F20"/>
          <w:spacing w:val="2"/>
          <w:w w:val="110"/>
        </w:rPr>
        <w:t>strictly </w:t>
      </w:r>
      <w:r>
        <w:rPr>
          <w:color w:val="231F20"/>
          <w:w w:val="110"/>
        </w:rPr>
        <w:t>limited to personal testimony as to the character of the Minister, but shall not permit him/her to give evidence in the </w:t>
      </w:r>
      <w:r>
        <w:rPr>
          <w:color w:val="231F20"/>
          <w:spacing w:val="2"/>
          <w:w w:val="110"/>
        </w:rPr>
        <w:t>case </w:t>
      </w:r>
      <w:r>
        <w:rPr>
          <w:color w:val="231F20"/>
          <w:w w:val="110"/>
        </w:rPr>
        <w:t>or oral testimony as to character at the</w:t>
      </w:r>
      <w:r>
        <w:rPr>
          <w:color w:val="231F20"/>
          <w:spacing w:val="6"/>
          <w:w w:val="110"/>
        </w:rPr>
        <w:t> </w:t>
      </w:r>
      <w:r>
        <w:rPr>
          <w:color w:val="231F20"/>
          <w:w w:val="110"/>
        </w:rPr>
        <w:t>Hearing.</w:t>
      </w:r>
    </w:p>
    <w:p>
      <w:pPr>
        <w:pStyle w:val="BodyText"/>
        <w:spacing w:before="1"/>
        <w:rPr>
          <w:sz w:val="21"/>
        </w:rPr>
      </w:pPr>
    </w:p>
    <w:p>
      <w:pPr>
        <w:pStyle w:val="ListParagraph"/>
        <w:numPr>
          <w:ilvl w:val="2"/>
          <w:numId w:val="122"/>
        </w:numPr>
        <w:tabs>
          <w:tab w:pos="1800" w:val="left" w:leader="none"/>
          <w:tab w:pos="1801" w:val="left" w:leader="none"/>
        </w:tabs>
        <w:spacing w:line="273" w:lineRule="auto" w:before="1" w:after="0"/>
        <w:ind w:left="1080" w:right="1209" w:firstLine="0"/>
        <w:jc w:val="left"/>
        <w:rPr>
          <w:sz w:val="18"/>
        </w:rPr>
      </w:pPr>
      <w:r>
        <w:rPr>
          <w:color w:val="231F20"/>
          <w:w w:val="110"/>
          <w:sz w:val="18"/>
        </w:rPr>
        <w:t>All </w:t>
      </w:r>
      <w:r>
        <w:rPr>
          <w:color w:val="231F20"/>
          <w:spacing w:val="2"/>
          <w:w w:val="110"/>
          <w:sz w:val="18"/>
        </w:rPr>
        <w:t>members </w:t>
      </w:r>
      <w:r>
        <w:rPr>
          <w:color w:val="231F20"/>
          <w:w w:val="110"/>
          <w:sz w:val="18"/>
        </w:rPr>
        <w:t>of the Assembly Commission </w:t>
      </w:r>
      <w:r>
        <w:rPr>
          <w:color w:val="231F20"/>
          <w:spacing w:val="-6"/>
          <w:w w:val="110"/>
          <w:sz w:val="18"/>
        </w:rPr>
        <w:t>or, </w:t>
      </w:r>
      <w:r>
        <w:rPr>
          <w:color w:val="231F20"/>
          <w:w w:val="110"/>
          <w:sz w:val="18"/>
        </w:rPr>
        <w:t>if Paragraph </w:t>
      </w:r>
      <w:r>
        <w:rPr>
          <w:color w:val="231F20"/>
          <w:spacing w:val="-2"/>
          <w:w w:val="110"/>
          <w:sz w:val="18"/>
        </w:rPr>
        <w:t>C.7 </w:t>
      </w:r>
      <w:r>
        <w:rPr>
          <w:color w:val="231F20"/>
          <w:w w:val="110"/>
          <w:sz w:val="18"/>
        </w:rPr>
        <w:t>shall </w:t>
      </w:r>
      <w:r>
        <w:rPr>
          <w:color w:val="231F20"/>
          <w:spacing w:val="-3"/>
          <w:w w:val="110"/>
          <w:sz w:val="18"/>
        </w:rPr>
        <w:t>apply, </w:t>
      </w:r>
      <w:r>
        <w:rPr>
          <w:color w:val="231F20"/>
          <w:w w:val="110"/>
          <w:sz w:val="18"/>
        </w:rPr>
        <w:t>those persons, not fewer than three, who are acting as the Assembly Commission shall attend the Hearing, which may only </w:t>
      </w:r>
      <w:r>
        <w:rPr>
          <w:color w:val="231F20"/>
          <w:spacing w:val="2"/>
          <w:w w:val="110"/>
          <w:sz w:val="18"/>
        </w:rPr>
        <w:t>proceed </w:t>
      </w:r>
      <w:r>
        <w:rPr>
          <w:color w:val="231F20"/>
          <w:w w:val="110"/>
          <w:sz w:val="18"/>
        </w:rPr>
        <w:t>provided that the Assembly Commission remains quorate throughout the Hearing. No member of the Assembly Commission who does    not attend the whole of the Hearing shall play any </w:t>
      </w:r>
      <w:r>
        <w:rPr>
          <w:color w:val="231F20"/>
          <w:spacing w:val="2"/>
          <w:w w:val="110"/>
          <w:sz w:val="18"/>
        </w:rPr>
        <w:t>part </w:t>
      </w:r>
      <w:r>
        <w:rPr>
          <w:color w:val="231F20"/>
          <w:w w:val="110"/>
          <w:sz w:val="18"/>
        </w:rPr>
        <w:t>in the making of the decision </w:t>
      </w:r>
      <w:r>
        <w:rPr>
          <w:color w:val="231F20"/>
          <w:spacing w:val="2"/>
          <w:w w:val="110"/>
          <w:sz w:val="18"/>
        </w:rPr>
        <w:t>reached </w:t>
      </w:r>
      <w:r>
        <w:rPr>
          <w:color w:val="231F20"/>
          <w:w w:val="110"/>
          <w:sz w:val="18"/>
        </w:rPr>
        <w:t>under Paragraph</w:t>
      </w:r>
      <w:r>
        <w:rPr>
          <w:color w:val="231F20"/>
          <w:spacing w:val="1"/>
          <w:w w:val="110"/>
          <w:sz w:val="18"/>
        </w:rPr>
        <w:t> </w:t>
      </w:r>
      <w:r>
        <w:rPr>
          <w:color w:val="231F20"/>
          <w:spacing w:val="-6"/>
          <w:w w:val="110"/>
          <w:sz w:val="18"/>
        </w:rPr>
        <w:t>F.2.</w:t>
      </w:r>
    </w:p>
    <w:p>
      <w:pPr>
        <w:pStyle w:val="BodyText"/>
        <w:spacing w:before="10"/>
        <w:rPr>
          <w:sz w:val="20"/>
        </w:rPr>
      </w:pPr>
    </w:p>
    <w:p>
      <w:pPr>
        <w:pStyle w:val="ListParagraph"/>
        <w:numPr>
          <w:ilvl w:val="2"/>
          <w:numId w:val="122"/>
        </w:numPr>
        <w:tabs>
          <w:tab w:pos="1800" w:val="left" w:leader="none"/>
          <w:tab w:pos="1801" w:val="left" w:leader="none"/>
        </w:tabs>
        <w:spacing w:line="273" w:lineRule="auto" w:before="0" w:after="0"/>
        <w:ind w:left="1080" w:right="1298" w:firstLine="0"/>
        <w:jc w:val="left"/>
        <w:rPr>
          <w:sz w:val="18"/>
        </w:rPr>
      </w:pPr>
      <w:r>
        <w:rPr>
          <w:color w:val="231F20"/>
          <w:spacing w:val="-4"/>
          <w:w w:val="110"/>
          <w:sz w:val="18"/>
        </w:rPr>
        <w:t>E.12.1 </w:t>
      </w:r>
      <w:r>
        <w:rPr>
          <w:color w:val="231F20"/>
          <w:w w:val="110"/>
          <w:sz w:val="18"/>
        </w:rPr>
        <w:t>The Hearing must be conducted in private and only the following </w:t>
      </w:r>
      <w:r>
        <w:rPr>
          <w:color w:val="231F20"/>
          <w:spacing w:val="2"/>
          <w:w w:val="110"/>
          <w:sz w:val="18"/>
        </w:rPr>
        <w:t>persons </w:t>
      </w:r>
      <w:r>
        <w:rPr>
          <w:color w:val="231F20"/>
          <w:w w:val="110"/>
          <w:sz w:val="18"/>
        </w:rPr>
        <w:t>shall be </w:t>
      </w:r>
      <w:r>
        <w:rPr>
          <w:color w:val="231F20"/>
          <w:spacing w:val="2"/>
          <w:w w:val="110"/>
          <w:sz w:val="18"/>
        </w:rPr>
        <w:t>permitted </w:t>
      </w:r>
      <w:r>
        <w:rPr>
          <w:color w:val="231F20"/>
          <w:w w:val="110"/>
          <w:sz w:val="18"/>
        </w:rPr>
        <w:t>to</w:t>
      </w:r>
      <w:r>
        <w:rPr>
          <w:color w:val="231F20"/>
          <w:spacing w:val="2"/>
          <w:w w:val="110"/>
          <w:sz w:val="18"/>
        </w:rPr>
        <w:t> </w:t>
      </w:r>
      <w:r>
        <w:rPr>
          <w:color w:val="231F20"/>
          <w:w w:val="110"/>
          <w:sz w:val="18"/>
        </w:rPr>
        <w:t>attend:</w:t>
      </w:r>
    </w:p>
    <w:p>
      <w:pPr>
        <w:pStyle w:val="BodyText"/>
        <w:spacing w:before="8"/>
        <w:rPr>
          <w:sz w:val="20"/>
        </w:rPr>
      </w:pPr>
    </w:p>
    <w:p>
      <w:pPr>
        <w:pStyle w:val="BodyText"/>
        <w:spacing w:before="1"/>
        <w:ind w:left="1080"/>
      </w:pPr>
      <w:r>
        <w:rPr>
          <w:color w:val="231F20"/>
          <w:w w:val="110"/>
        </w:rPr>
        <w:t>The Members of the Assembly Commission</w:t>
      </w:r>
    </w:p>
    <w:p>
      <w:pPr>
        <w:pStyle w:val="BodyText"/>
        <w:spacing w:before="31"/>
        <w:ind w:left="1080"/>
      </w:pPr>
      <w:r>
        <w:rPr>
          <w:color w:val="231F20"/>
          <w:w w:val="110"/>
        </w:rPr>
        <w:t>The </w:t>
      </w:r>
      <w:r>
        <w:rPr>
          <w:color w:val="231F20"/>
          <w:spacing w:val="3"/>
          <w:w w:val="110"/>
        </w:rPr>
        <w:t>Secretary </w:t>
      </w:r>
      <w:r>
        <w:rPr>
          <w:color w:val="231F20"/>
          <w:w w:val="110"/>
        </w:rPr>
        <w:t>of the Assembly Commission or a duly appointed Deputy (see</w:t>
      </w:r>
      <w:r>
        <w:rPr>
          <w:color w:val="231F20"/>
          <w:spacing w:val="62"/>
          <w:w w:val="110"/>
        </w:rPr>
        <w:t> </w:t>
      </w:r>
      <w:r>
        <w:rPr>
          <w:color w:val="231F20"/>
          <w:w w:val="110"/>
        </w:rPr>
        <w:t>Paragraphs</w:t>
      </w:r>
    </w:p>
    <w:p>
      <w:pPr>
        <w:pStyle w:val="BodyText"/>
        <w:spacing w:line="273" w:lineRule="auto" w:before="31"/>
        <w:ind w:left="1080" w:right="8613"/>
      </w:pPr>
      <w:r>
        <w:rPr>
          <w:color w:val="231F20"/>
          <w:w w:val="110"/>
        </w:rPr>
        <w:t>A.8 and E.12.3) The Minister</w:t>
      </w:r>
    </w:p>
    <w:p>
      <w:pPr>
        <w:pStyle w:val="BodyText"/>
        <w:spacing w:before="1"/>
        <w:ind w:left="1080"/>
      </w:pPr>
      <w:r>
        <w:rPr>
          <w:color w:val="231F20"/>
          <w:w w:val="110"/>
        </w:rPr>
        <w:t>The accompanying person defined in Paragraph E.10.1</w:t>
      </w:r>
    </w:p>
    <w:p>
      <w:pPr>
        <w:pStyle w:val="BodyText"/>
        <w:spacing w:before="32"/>
        <w:ind w:left="1080"/>
      </w:pPr>
      <w:r>
        <w:rPr>
          <w:color w:val="231F20"/>
          <w:w w:val="110"/>
        </w:rPr>
        <w:t>The members of the Mandated Group</w:t>
      </w:r>
    </w:p>
    <w:p>
      <w:pPr>
        <w:pStyle w:val="BodyText"/>
        <w:spacing w:line="273" w:lineRule="auto" w:before="31"/>
        <w:ind w:left="1080" w:right="1844"/>
      </w:pPr>
      <w:r>
        <w:rPr>
          <w:color w:val="231F20"/>
          <w:w w:val="110"/>
        </w:rPr>
        <w:t>The Spokesperson for the Mandated Group (if not already a member of the Mandated Group)</w:t>
      </w:r>
    </w:p>
    <w:p>
      <w:pPr>
        <w:pStyle w:val="BodyText"/>
        <w:spacing w:line="273" w:lineRule="auto"/>
        <w:ind w:left="1080" w:right="1844"/>
      </w:pPr>
      <w:r>
        <w:rPr>
          <w:color w:val="231F20"/>
          <w:w w:val="110"/>
        </w:rPr>
        <w:t>Any witnesses (but only while giving evidence, unless the Assembly Commission otherwise directs)</w:t>
      </w:r>
    </w:p>
    <w:p>
      <w:pPr>
        <w:spacing w:after="0" w:line="273" w:lineRule="auto"/>
        <w:sectPr>
          <w:pgSz w:w="11910" w:h="16840"/>
          <w:pgMar w:header="558" w:footer="564" w:top="820" w:bottom="760" w:left="620" w:right="0"/>
        </w:sectPr>
      </w:pPr>
    </w:p>
    <w:p>
      <w:pPr>
        <w:pStyle w:val="BodyText"/>
        <w:spacing w:before="9"/>
        <w:rPr>
          <w:sz w:val="13"/>
        </w:rPr>
      </w:pPr>
    </w:p>
    <w:p>
      <w:pPr>
        <w:pStyle w:val="BodyText"/>
        <w:spacing w:before="101"/>
        <w:ind w:left="513"/>
      </w:pPr>
      <w:r>
        <w:rPr>
          <w:color w:val="231F20"/>
          <w:w w:val="110"/>
        </w:rPr>
        <w:t>A representative of the Church’s legal advisers (see Paragraph E.14.3)</w:t>
      </w:r>
    </w:p>
    <w:p>
      <w:pPr>
        <w:pStyle w:val="BodyText"/>
        <w:spacing w:line="273" w:lineRule="auto" w:before="31"/>
        <w:ind w:left="513" w:right="1844"/>
      </w:pPr>
      <w:r>
        <w:rPr>
          <w:color w:val="231F20"/>
          <w:w w:val="110"/>
        </w:rPr>
        <w:t>Any persons responsible for operating the recording equipment or otherwise preparing the verbatim record of the proceedings referred to in Paragraph E.12.4</w:t>
      </w:r>
    </w:p>
    <w:p>
      <w:pPr>
        <w:pStyle w:val="BodyText"/>
        <w:spacing w:before="1"/>
        <w:ind w:left="513"/>
      </w:pPr>
      <w:r>
        <w:rPr>
          <w:color w:val="231F20"/>
          <w:w w:val="110"/>
        </w:rPr>
        <w:t>Any other person by the direction of the Assembly Commission and with prior</w:t>
      </w:r>
    </w:p>
    <w:p>
      <w:pPr>
        <w:pStyle w:val="BodyText"/>
        <w:spacing w:before="31"/>
        <w:ind w:left="513"/>
      </w:pPr>
      <w:r>
        <w:rPr>
          <w:color w:val="231F20"/>
          <w:w w:val="110"/>
        </w:rPr>
        <w:t>notification to the Parties.</w:t>
      </w:r>
    </w:p>
    <w:p>
      <w:pPr>
        <w:pStyle w:val="BodyText"/>
        <w:spacing w:before="2"/>
        <w:rPr>
          <w:sz w:val="23"/>
        </w:rPr>
      </w:pPr>
    </w:p>
    <w:p>
      <w:pPr>
        <w:pStyle w:val="ListParagraph"/>
        <w:numPr>
          <w:ilvl w:val="2"/>
          <w:numId w:val="160"/>
        </w:numPr>
        <w:tabs>
          <w:tab w:pos="1234" w:val="left" w:leader="none"/>
        </w:tabs>
        <w:spacing w:line="273" w:lineRule="auto" w:before="0" w:after="0"/>
        <w:ind w:left="513" w:right="1928" w:firstLine="0"/>
        <w:jc w:val="left"/>
        <w:rPr>
          <w:sz w:val="18"/>
        </w:rPr>
      </w:pPr>
      <w:r>
        <w:rPr>
          <w:color w:val="231F20"/>
          <w:w w:val="110"/>
          <w:sz w:val="18"/>
        </w:rPr>
        <w:t>The </w:t>
      </w:r>
      <w:r>
        <w:rPr>
          <w:color w:val="231F20"/>
          <w:spacing w:val="3"/>
          <w:w w:val="110"/>
          <w:sz w:val="18"/>
        </w:rPr>
        <w:t>Secretary </w:t>
      </w:r>
      <w:r>
        <w:rPr>
          <w:color w:val="231F20"/>
          <w:w w:val="110"/>
          <w:sz w:val="18"/>
        </w:rPr>
        <w:t>of the Assembly Commission shall (unless excluded for reasons specified in Paragraph </w:t>
      </w:r>
      <w:r>
        <w:rPr>
          <w:color w:val="231F20"/>
          <w:spacing w:val="-5"/>
          <w:w w:val="110"/>
          <w:sz w:val="18"/>
        </w:rPr>
        <w:t>C.3.1) </w:t>
      </w:r>
      <w:r>
        <w:rPr>
          <w:color w:val="231F20"/>
          <w:w w:val="110"/>
          <w:sz w:val="18"/>
        </w:rPr>
        <w:t>attend the Hearing for the purpose of giving such procedural advice to the Assembly Commission as may be appropriate and of ensuring compliance with Paragraph </w:t>
      </w:r>
      <w:r>
        <w:rPr>
          <w:color w:val="231F20"/>
          <w:spacing w:val="-4"/>
          <w:w w:val="110"/>
          <w:sz w:val="18"/>
        </w:rPr>
        <w:t>E.12.4. </w:t>
      </w:r>
      <w:r>
        <w:rPr>
          <w:color w:val="231F20"/>
          <w:w w:val="110"/>
          <w:sz w:val="18"/>
        </w:rPr>
        <w:t>S/he shall not be present when the Assembly Commission deliberates and decides on the</w:t>
      </w:r>
      <w:r>
        <w:rPr>
          <w:color w:val="231F20"/>
          <w:spacing w:val="13"/>
          <w:w w:val="110"/>
          <w:sz w:val="18"/>
        </w:rPr>
        <w:t> </w:t>
      </w:r>
      <w:r>
        <w:rPr>
          <w:color w:val="231F20"/>
          <w:w w:val="110"/>
          <w:sz w:val="18"/>
        </w:rPr>
        <w:t>case.</w:t>
      </w:r>
    </w:p>
    <w:p>
      <w:pPr>
        <w:pStyle w:val="BodyText"/>
        <w:spacing w:before="10"/>
        <w:rPr>
          <w:sz w:val="20"/>
        </w:rPr>
      </w:pPr>
    </w:p>
    <w:p>
      <w:pPr>
        <w:pStyle w:val="ListParagraph"/>
        <w:numPr>
          <w:ilvl w:val="2"/>
          <w:numId w:val="160"/>
        </w:numPr>
        <w:tabs>
          <w:tab w:pos="1234" w:val="left" w:leader="none"/>
        </w:tabs>
        <w:spacing w:line="273" w:lineRule="auto" w:before="0" w:after="0"/>
        <w:ind w:left="513" w:right="1746" w:firstLine="0"/>
        <w:jc w:val="left"/>
        <w:rPr>
          <w:sz w:val="18"/>
        </w:rPr>
      </w:pPr>
      <w:r>
        <w:rPr>
          <w:color w:val="231F20"/>
          <w:w w:val="110"/>
          <w:sz w:val="18"/>
        </w:rPr>
        <w:t>In the event that the </w:t>
      </w:r>
      <w:r>
        <w:rPr>
          <w:color w:val="231F20"/>
          <w:spacing w:val="3"/>
          <w:w w:val="110"/>
          <w:sz w:val="18"/>
        </w:rPr>
        <w:t>Secretary </w:t>
      </w:r>
      <w:r>
        <w:rPr>
          <w:color w:val="231F20"/>
          <w:w w:val="110"/>
          <w:sz w:val="18"/>
        </w:rPr>
        <w:t>of the Assembly Commission cannot for any reason be present at the Hearing, the Assembly Commission shall itself appoint such </w:t>
      </w:r>
      <w:r>
        <w:rPr>
          <w:color w:val="231F20"/>
          <w:spacing w:val="2"/>
          <w:w w:val="110"/>
          <w:sz w:val="18"/>
        </w:rPr>
        <w:t>person </w:t>
      </w:r>
      <w:r>
        <w:rPr>
          <w:color w:val="231F20"/>
          <w:w w:val="110"/>
          <w:sz w:val="18"/>
        </w:rPr>
        <w:t>as it considers appropriate to deputise for him/her for that purpose, ascertaining beforehand that such </w:t>
      </w:r>
      <w:r>
        <w:rPr>
          <w:color w:val="231F20"/>
          <w:spacing w:val="2"/>
          <w:w w:val="110"/>
          <w:sz w:val="18"/>
        </w:rPr>
        <w:t>person </w:t>
      </w:r>
      <w:r>
        <w:rPr>
          <w:color w:val="231F20"/>
          <w:w w:val="110"/>
          <w:sz w:val="18"/>
        </w:rPr>
        <w:t>is not excluded for reasons specified in Paragraph </w:t>
      </w:r>
      <w:r>
        <w:rPr>
          <w:color w:val="231F20"/>
          <w:spacing w:val="-3"/>
          <w:w w:val="110"/>
          <w:sz w:val="18"/>
        </w:rPr>
        <w:t>C.3.1. </w:t>
      </w:r>
      <w:r>
        <w:rPr>
          <w:color w:val="231F20"/>
          <w:w w:val="110"/>
          <w:sz w:val="18"/>
        </w:rPr>
        <w:t>Such </w:t>
      </w:r>
      <w:r>
        <w:rPr>
          <w:color w:val="231F20"/>
          <w:spacing w:val="2"/>
          <w:w w:val="110"/>
          <w:sz w:val="18"/>
        </w:rPr>
        <w:t>person </w:t>
      </w:r>
      <w:r>
        <w:rPr>
          <w:color w:val="231F20"/>
          <w:w w:val="110"/>
          <w:sz w:val="18"/>
        </w:rPr>
        <w:t>shall </w:t>
      </w:r>
      <w:r>
        <w:rPr>
          <w:color w:val="231F20"/>
          <w:spacing w:val="3"/>
          <w:w w:val="110"/>
          <w:sz w:val="18"/>
        </w:rPr>
        <w:t>carry </w:t>
      </w:r>
      <w:r>
        <w:rPr>
          <w:color w:val="231F20"/>
          <w:w w:val="110"/>
          <w:sz w:val="18"/>
        </w:rPr>
        <w:t>out the duties set out in Paragraph </w:t>
      </w:r>
      <w:r>
        <w:rPr>
          <w:color w:val="231F20"/>
          <w:spacing w:val="-3"/>
          <w:w w:val="110"/>
          <w:sz w:val="18"/>
        </w:rPr>
        <w:t>E.12.2 </w:t>
      </w:r>
      <w:r>
        <w:rPr>
          <w:color w:val="231F20"/>
          <w:w w:val="110"/>
          <w:sz w:val="18"/>
        </w:rPr>
        <w:t>but shall not be present when the Assembly Commission deliberates and decides on the</w:t>
      </w:r>
      <w:r>
        <w:rPr>
          <w:color w:val="231F20"/>
          <w:spacing w:val="66"/>
          <w:w w:val="110"/>
          <w:sz w:val="18"/>
        </w:rPr>
        <w:t> </w:t>
      </w:r>
      <w:r>
        <w:rPr>
          <w:color w:val="231F20"/>
          <w:w w:val="110"/>
          <w:sz w:val="18"/>
        </w:rPr>
        <w:t>case.</w:t>
      </w:r>
    </w:p>
    <w:p>
      <w:pPr>
        <w:pStyle w:val="BodyText"/>
        <w:spacing w:before="11"/>
        <w:rPr>
          <w:sz w:val="20"/>
        </w:rPr>
      </w:pPr>
    </w:p>
    <w:p>
      <w:pPr>
        <w:pStyle w:val="ListParagraph"/>
        <w:numPr>
          <w:ilvl w:val="2"/>
          <w:numId w:val="160"/>
        </w:numPr>
        <w:tabs>
          <w:tab w:pos="1234" w:val="left" w:leader="none"/>
        </w:tabs>
        <w:spacing w:line="273" w:lineRule="auto" w:before="0" w:after="0"/>
        <w:ind w:left="513" w:right="1812" w:firstLine="0"/>
        <w:jc w:val="left"/>
        <w:rPr>
          <w:sz w:val="18"/>
        </w:rPr>
      </w:pPr>
      <w:r>
        <w:rPr>
          <w:color w:val="231F20"/>
          <w:w w:val="110"/>
          <w:sz w:val="18"/>
        </w:rPr>
        <w:t>The </w:t>
      </w:r>
      <w:r>
        <w:rPr>
          <w:color w:val="231F20"/>
          <w:spacing w:val="3"/>
          <w:w w:val="110"/>
          <w:sz w:val="18"/>
        </w:rPr>
        <w:t>Secretary </w:t>
      </w:r>
      <w:r>
        <w:rPr>
          <w:color w:val="231F20"/>
          <w:w w:val="110"/>
          <w:sz w:val="18"/>
        </w:rPr>
        <w:t>of the Assembly Commission or his/her deputy shall prepare a summary minute of the proceedings at the Hearing (the </w:t>
      </w:r>
      <w:r>
        <w:rPr>
          <w:color w:val="231F20"/>
          <w:spacing w:val="2"/>
          <w:w w:val="110"/>
          <w:sz w:val="18"/>
        </w:rPr>
        <w:t>Secretary’s </w:t>
      </w:r>
      <w:r>
        <w:rPr>
          <w:color w:val="231F20"/>
          <w:spacing w:val="-3"/>
          <w:w w:val="110"/>
          <w:sz w:val="18"/>
        </w:rPr>
        <w:t>minute). </w:t>
      </w:r>
      <w:r>
        <w:rPr>
          <w:color w:val="231F20"/>
          <w:w w:val="110"/>
          <w:sz w:val="18"/>
        </w:rPr>
        <w:t>Where possible, a verbatim </w:t>
      </w:r>
      <w:r>
        <w:rPr>
          <w:color w:val="231F20"/>
          <w:spacing w:val="2"/>
          <w:w w:val="110"/>
          <w:sz w:val="18"/>
        </w:rPr>
        <w:t>record </w:t>
      </w:r>
      <w:r>
        <w:rPr>
          <w:color w:val="231F20"/>
          <w:w w:val="110"/>
          <w:sz w:val="18"/>
        </w:rPr>
        <w:t>of the proceedings shall also be made by </w:t>
      </w:r>
      <w:r>
        <w:rPr>
          <w:color w:val="231F20"/>
          <w:spacing w:val="2"/>
          <w:w w:val="110"/>
          <w:sz w:val="18"/>
        </w:rPr>
        <w:t>electronic  </w:t>
      </w:r>
      <w:r>
        <w:rPr>
          <w:color w:val="231F20"/>
          <w:w w:val="110"/>
          <w:sz w:val="18"/>
        </w:rPr>
        <w:t>recording or by such other means as shall be </w:t>
      </w:r>
      <w:r>
        <w:rPr>
          <w:color w:val="231F20"/>
          <w:spacing w:val="2"/>
          <w:w w:val="110"/>
          <w:sz w:val="18"/>
        </w:rPr>
        <w:t>directed </w:t>
      </w:r>
      <w:r>
        <w:rPr>
          <w:color w:val="231F20"/>
          <w:w w:val="110"/>
          <w:sz w:val="18"/>
        </w:rPr>
        <w:t>by the Convener of the Assembly Commission. The Record of the Hearing shall consist of the </w:t>
      </w:r>
      <w:r>
        <w:rPr>
          <w:color w:val="231F20"/>
          <w:spacing w:val="2"/>
          <w:w w:val="110"/>
          <w:sz w:val="18"/>
        </w:rPr>
        <w:t>Secretary’s </w:t>
      </w:r>
      <w:r>
        <w:rPr>
          <w:color w:val="231F20"/>
          <w:w w:val="110"/>
          <w:sz w:val="18"/>
        </w:rPr>
        <w:t>minute together with</w:t>
      </w:r>
      <w:r>
        <w:rPr>
          <w:color w:val="231F20"/>
          <w:spacing w:val="6"/>
          <w:w w:val="110"/>
          <w:sz w:val="18"/>
        </w:rPr>
        <w:t> </w:t>
      </w:r>
      <w:r>
        <w:rPr>
          <w:color w:val="231F20"/>
          <w:w w:val="110"/>
          <w:sz w:val="18"/>
        </w:rPr>
        <w:t>any</w:t>
      </w:r>
      <w:r>
        <w:rPr>
          <w:color w:val="231F20"/>
          <w:spacing w:val="6"/>
          <w:w w:val="110"/>
          <w:sz w:val="18"/>
        </w:rPr>
        <w:t> </w:t>
      </w:r>
      <w:r>
        <w:rPr>
          <w:color w:val="231F20"/>
          <w:w w:val="110"/>
          <w:sz w:val="18"/>
        </w:rPr>
        <w:t>such</w:t>
      </w:r>
      <w:r>
        <w:rPr>
          <w:color w:val="231F20"/>
          <w:spacing w:val="6"/>
          <w:w w:val="110"/>
          <w:sz w:val="18"/>
        </w:rPr>
        <w:t> </w:t>
      </w:r>
      <w:r>
        <w:rPr>
          <w:color w:val="231F20"/>
          <w:w w:val="110"/>
          <w:sz w:val="18"/>
        </w:rPr>
        <w:t>verbatim</w:t>
      </w:r>
      <w:r>
        <w:rPr>
          <w:color w:val="231F20"/>
          <w:spacing w:val="6"/>
          <w:w w:val="110"/>
          <w:sz w:val="18"/>
        </w:rPr>
        <w:t> </w:t>
      </w:r>
      <w:r>
        <w:rPr>
          <w:color w:val="231F20"/>
          <w:w w:val="110"/>
          <w:sz w:val="18"/>
        </w:rPr>
        <w:t>record,</w:t>
      </w:r>
      <w:r>
        <w:rPr>
          <w:color w:val="231F20"/>
          <w:spacing w:val="7"/>
          <w:w w:val="110"/>
          <w:sz w:val="18"/>
        </w:rPr>
        <w:t> </w:t>
      </w:r>
      <w:r>
        <w:rPr>
          <w:color w:val="231F20"/>
          <w:w w:val="110"/>
          <w:sz w:val="18"/>
        </w:rPr>
        <w:t>which</w:t>
      </w:r>
      <w:r>
        <w:rPr>
          <w:color w:val="231F20"/>
          <w:spacing w:val="6"/>
          <w:w w:val="110"/>
          <w:sz w:val="18"/>
        </w:rPr>
        <w:t> </w:t>
      </w:r>
      <w:r>
        <w:rPr>
          <w:color w:val="231F20"/>
          <w:w w:val="110"/>
          <w:sz w:val="18"/>
        </w:rPr>
        <w:t>shall</w:t>
      </w:r>
      <w:r>
        <w:rPr>
          <w:color w:val="231F20"/>
          <w:spacing w:val="6"/>
          <w:w w:val="110"/>
          <w:sz w:val="18"/>
        </w:rPr>
        <w:t> </w:t>
      </w:r>
      <w:r>
        <w:rPr>
          <w:color w:val="231F20"/>
          <w:w w:val="110"/>
          <w:sz w:val="18"/>
        </w:rPr>
        <w:t>be</w:t>
      </w:r>
      <w:r>
        <w:rPr>
          <w:color w:val="231F20"/>
          <w:spacing w:val="6"/>
          <w:w w:val="110"/>
          <w:sz w:val="18"/>
        </w:rPr>
        <w:t> </w:t>
      </w:r>
      <w:r>
        <w:rPr>
          <w:color w:val="231F20"/>
          <w:spacing w:val="2"/>
          <w:w w:val="110"/>
          <w:sz w:val="18"/>
        </w:rPr>
        <w:t>transcribed</w:t>
      </w:r>
      <w:r>
        <w:rPr>
          <w:color w:val="231F20"/>
          <w:spacing w:val="6"/>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6"/>
          <w:w w:val="110"/>
          <w:sz w:val="18"/>
        </w:rPr>
        <w:t> </w:t>
      </w:r>
      <w:r>
        <w:rPr>
          <w:color w:val="231F20"/>
          <w:w w:val="110"/>
          <w:sz w:val="18"/>
        </w:rPr>
        <w:t>event</w:t>
      </w:r>
      <w:r>
        <w:rPr>
          <w:color w:val="231F20"/>
          <w:spacing w:val="6"/>
          <w:w w:val="110"/>
          <w:sz w:val="18"/>
        </w:rPr>
        <w:t> </w:t>
      </w:r>
      <w:r>
        <w:rPr>
          <w:color w:val="231F20"/>
          <w:w w:val="110"/>
          <w:sz w:val="18"/>
        </w:rPr>
        <w:t>of</w:t>
      </w:r>
      <w:r>
        <w:rPr>
          <w:color w:val="231F20"/>
          <w:spacing w:val="6"/>
          <w:w w:val="110"/>
          <w:sz w:val="18"/>
        </w:rPr>
        <w:t> </w:t>
      </w:r>
      <w:r>
        <w:rPr>
          <w:color w:val="231F20"/>
          <w:w w:val="110"/>
          <w:sz w:val="18"/>
        </w:rPr>
        <w:t>an</w:t>
      </w:r>
      <w:r>
        <w:rPr>
          <w:color w:val="231F20"/>
          <w:spacing w:val="6"/>
          <w:w w:val="110"/>
          <w:sz w:val="18"/>
        </w:rPr>
        <w:t> </w:t>
      </w:r>
      <w:r>
        <w:rPr>
          <w:color w:val="231F20"/>
          <w:w w:val="110"/>
          <w:sz w:val="18"/>
        </w:rPr>
        <w:t>appeal.</w:t>
      </w:r>
    </w:p>
    <w:p>
      <w:pPr>
        <w:pStyle w:val="BodyText"/>
        <w:spacing w:before="11"/>
        <w:rPr>
          <w:sz w:val="20"/>
        </w:rPr>
      </w:pPr>
    </w:p>
    <w:p>
      <w:pPr>
        <w:pStyle w:val="ListParagraph"/>
        <w:numPr>
          <w:ilvl w:val="2"/>
          <w:numId w:val="122"/>
        </w:numPr>
        <w:tabs>
          <w:tab w:pos="1233" w:val="left" w:leader="none"/>
          <w:tab w:pos="1234" w:val="left" w:leader="none"/>
        </w:tabs>
        <w:spacing w:line="273" w:lineRule="auto" w:before="0" w:after="0"/>
        <w:ind w:left="513" w:right="1738" w:firstLine="0"/>
        <w:jc w:val="left"/>
        <w:rPr>
          <w:sz w:val="18"/>
        </w:rPr>
      </w:pPr>
      <w:r>
        <w:rPr>
          <w:color w:val="231F20"/>
          <w:spacing w:val="-5"/>
          <w:w w:val="110"/>
          <w:sz w:val="18"/>
        </w:rPr>
        <w:t>E.13.1 </w:t>
      </w:r>
      <w:r>
        <w:rPr>
          <w:color w:val="231F20"/>
          <w:w w:val="110"/>
          <w:sz w:val="18"/>
        </w:rPr>
        <w:t>The conduct of the Hearing is in the hands of the Assembly Commission and, subject to the Assembly Commission’s overriding discretion, the order of procedure shall be as</w:t>
      </w:r>
      <w:r>
        <w:rPr>
          <w:color w:val="231F20"/>
          <w:spacing w:val="2"/>
          <w:w w:val="110"/>
          <w:sz w:val="18"/>
        </w:rPr>
        <w:t> </w:t>
      </w:r>
      <w:r>
        <w:rPr>
          <w:color w:val="231F20"/>
          <w:w w:val="110"/>
          <w:sz w:val="18"/>
        </w:rPr>
        <w:t>follows:</w:t>
      </w:r>
    </w:p>
    <w:p>
      <w:pPr>
        <w:pStyle w:val="BodyText"/>
        <w:spacing w:before="8"/>
        <w:rPr>
          <w:sz w:val="20"/>
        </w:rPr>
      </w:pPr>
    </w:p>
    <w:p>
      <w:pPr>
        <w:pStyle w:val="ListParagraph"/>
        <w:numPr>
          <w:ilvl w:val="2"/>
          <w:numId w:val="161"/>
        </w:numPr>
        <w:tabs>
          <w:tab w:pos="1234" w:val="left" w:leader="none"/>
        </w:tabs>
        <w:spacing w:line="273" w:lineRule="auto" w:before="1" w:after="0"/>
        <w:ind w:left="513" w:right="2144" w:firstLine="0"/>
        <w:jc w:val="left"/>
        <w:rPr>
          <w:sz w:val="18"/>
        </w:rPr>
      </w:pPr>
      <w:r>
        <w:rPr>
          <w:color w:val="231F20"/>
          <w:w w:val="110"/>
          <w:sz w:val="18"/>
        </w:rPr>
        <w:t>The Mandated Group through its spokesperson shall be given the </w:t>
      </w:r>
      <w:r>
        <w:rPr>
          <w:color w:val="231F20"/>
          <w:spacing w:val="2"/>
          <w:w w:val="110"/>
          <w:sz w:val="18"/>
        </w:rPr>
        <w:t>opportunity </w:t>
      </w:r>
      <w:r>
        <w:rPr>
          <w:color w:val="231F20"/>
          <w:w w:val="110"/>
          <w:sz w:val="18"/>
        </w:rPr>
        <w:t>to make an opening submission and then to present its evidence and question its witnesses. </w:t>
      </w:r>
      <w:r>
        <w:rPr>
          <w:color w:val="231F20"/>
          <w:spacing w:val="2"/>
          <w:w w:val="110"/>
          <w:sz w:val="18"/>
        </w:rPr>
        <w:t>Persons </w:t>
      </w:r>
      <w:r>
        <w:rPr>
          <w:color w:val="231F20"/>
          <w:w w:val="110"/>
          <w:sz w:val="18"/>
        </w:rPr>
        <w:t>called to give evidence by the Mandated Group are open to questioning by the Minister or his/her spokesperson as the </w:t>
      </w:r>
      <w:r>
        <w:rPr>
          <w:color w:val="231F20"/>
          <w:spacing w:val="2"/>
          <w:w w:val="110"/>
          <w:sz w:val="18"/>
        </w:rPr>
        <w:t>case </w:t>
      </w:r>
      <w:r>
        <w:rPr>
          <w:color w:val="231F20"/>
          <w:w w:val="110"/>
          <w:sz w:val="18"/>
        </w:rPr>
        <w:t>may</w:t>
      </w:r>
      <w:r>
        <w:rPr>
          <w:color w:val="231F20"/>
          <w:spacing w:val="49"/>
          <w:w w:val="110"/>
          <w:sz w:val="18"/>
        </w:rPr>
        <w:t> </w:t>
      </w:r>
      <w:r>
        <w:rPr>
          <w:color w:val="231F20"/>
          <w:w w:val="110"/>
          <w:sz w:val="18"/>
        </w:rPr>
        <w:t>be.</w:t>
      </w:r>
    </w:p>
    <w:p>
      <w:pPr>
        <w:pStyle w:val="BodyText"/>
        <w:spacing w:before="9"/>
        <w:rPr>
          <w:sz w:val="20"/>
        </w:rPr>
      </w:pPr>
    </w:p>
    <w:p>
      <w:pPr>
        <w:pStyle w:val="ListParagraph"/>
        <w:numPr>
          <w:ilvl w:val="2"/>
          <w:numId w:val="161"/>
        </w:numPr>
        <w:tabs>
          <w:tab w:pos="1234" w:val="left" w:leader="none"/>
        </w:tabs>
        <w:spacing w:line="273" w:lineRule="auto" w:before="0" w:after="0"/>
        <w:ind w:left="513" w:right="1887" w:firstLine="0"/>
        <w:jc w:val="left"/>
        <w:rPr>
          <w:sz w:val="18"/>
        </w:rPr>
      </w:pPr>
      <w:r>
        <w:rPr>
          <w:color w:val="231F20"/>
          <w:w w:val="110"/>
          <w:sz w:val="18"/>
        </w:rPr>
        <w:t>If the Minister is presenting his/her own case, s/he shall then be given the </w:t>
      </w:r>
      <w:r>
        <w:rPr>
          <w:color w:val="231F20"/>
          <w:spacing w:val="2"/>
          <w:w w:val="110"/>
          <w:sz w:val="18"/>
        </w:rPr>
        <w:t>opportunity </w:t>
      </w:r>
      <w:r>
        <w:rPr>
          <w:color w:val="231F20"/>
          <w:w w:val="110"/>
          <w:sz w:val="18"/>
        </w:rPr>
        <w:t>to present his/her evidence in person, following which s/he is then open to questioning by the spokesperson for the Mandated</w:t>
      </w:r>
      <w:r>
        <w:rPr>
          <w:color w:val="231F20"/>
          <w:spacing w:val="19"/>
          <w:w w:val="110"/>
          <w:sz w:val="18"/>
        </w:rPr>
        <w:t> </w:t>
      </w:r>
      <w:r>
        <w:rPr>
          <w:color w:val="231F20"/>
          <w:w w:val="110"/>
          <w:sz w:val="18"/>
        </w:rPr>
        <w:t>Group.</w:t>
      </w:r>
    </w:p>
    <w:p>
      <w:pPr>
        <w:pStyle w:val="BodyText"/>
        <w:spacing w:before="9"/>
        <w:rPr>
          <w:sz w:val="20"/>
        </w:rPr>
      </w:pPr>
    </w:p>
    <w:p>
      <w:pPr>
        <w:pStyle w:val="ListParagraph"/>
        <w:numPr>
          <w:ilvl w:val="2"/>
          <w:numId w:val="161"/>
        </w:numPr>
        <w:tabs>
          <w:tab w:pos="1234" w:val="left" w:leader="none"/>
        </w:tabs>
        <w:spacing w:line="273" w:lineRule="auto" w:before="0" w:after="0"/>
        <w:ind w:left="513" w:right="1834" w:firstLine="0"/>
        <w:jc w:val="left"/>
        <w:rPr>
          <w:sz w:val="18"/>
        </w:rPr>
      </w:pPr>
      <w:r>
        <w:rPr>
          <w:color w:val="231F20"/>
          <w:w w:val="110"/>
          <w:sz w:val="18"/>
        </w:rPr>
        <w:t>If a spokesperson is appearing for the Minister, that spokesperson shall be given the </w:t>
      </w:r>
      <w:r>
        <w:rPr>
          <w:color w:val="231F20"/>
          <w:spacing w:val="2"/>
          <w:w w:val="110"/>
          <w:sz w:val="18"/>
        </w:rPr>
        <w:t>opportunity </w:t>
      </w:r>
      <w:r>
        <w:rPr>
          <w:color w:val="231F20"/>
          <w:w w:val="110"/>
          <w:sz w:val="18"/>
        </w:rPr>
        <w:t>of questioning the Minister, who shall then be open to questioning by  the spokesperson for the Mandated</w:t>
      </w:r>
      <w:r>
        <w:rPr>
          <w:color w:val="231F20"/>
          <w:spacing w:val="8"/>
          <w:w w:val="110"/>
          <w:sz w:val="18"/>
        </w:rPr>
        <w:t> </w:t>
      </w:r>
      <w:r>
        <w:rPr>
          <w:color w:val="231F20"/>
          <w:w w:val="110"/>
          <w:sz w:val="18"/>
        </w:rPr>
        <w:t>Group.</w:t>
      </w:r>
    </w:p>
    <w:p>
      <w:pPr>
        <w:pStyle w:val="BodyText"/>
        <w:spacing w:before="9"/>
        <w:rPr>
          <w:sz w:val="20"/>
        </w:rPr>
      </w:pPr>
    </w:p>
    <w:p>
      <w:pPr>
        <w:pStyle w:val="ListParagraph"/>
        <w:numPr>
          <w:ilvl w:val="2"/>
          <w:numId w:val="161"/>
        </w:numPr>
        <w:tabs>
          <w:tab w:pos="1234" w:val="left" w:leader="none"/>
        </w:tabs>
        <w:spacing w:line="273" w:lineRule="auto" w:before="0" w:after="0"/>
        <w:ind w:left="513" w:right="1886" w:firstLine="0"/>
        <w:jc w:val="left"/>
        <w:rPr>
          <w:sz w:val="18"/>
        </w:rPr>
      </w:pPr>
      <w:r>
        <w:rPr>
          <w:color w:val="231F20"/>
          <w:w w:val="110"/>
          <w:sz w:val="18"/>
        </w:rPr>
        <w:t>The Minister may if s/he wishes remain silent and </w:t>
      </w:r>
      <w:r>
        <w:rPr>
          <w:color w:val="231F20"/>
          <w:spacing w:val="2"/>
          <w:w w:val="110"/>
          <w:sz w:val="18"/>
        </w:rPr>
        <w:t>furthermore </w:t>
      </w:r>
      <w:r>
        <w:rPr>
          <w:color w:val="231F20"/>
          <w:w w:val="110"/>
          <w:sz w:val="18"/>
        </w:rPr>
        <w:t>cannot be compelled to attend the Hearing of the Assembly Commission and it is a matter for the Assembly Commission in considering its decision as to what weight should be </w:t>
      </w:r>
      <w:r>
        <w:rPr>
          <w:color w:val="231F20"/>
          <w:spacing w:val="2"/>
          <w:w w:val="110"/>
          <w:sz w:val="18"/>
        </w:rPr>
        <w:t>attached</w:t>
      </w:r>
      <w:r>
        <w:rPr>
          <w:color w:val="231F20"/>
          <w:spacing w:val="73"/>
          <w:w w:val="110"/>
          <w:sz w:val="18"/>
        </w:rPr>
        <w:t> </w:t>
      </w:r>
      <w:r>
        <w:rPr>
          <w:color w:val="231F20"/>
          <w:w w:val="110"/>
          <w:sz w:val="18"/>
        </w:rPr>
        <w:t>to the Minister’s silence or</w:t>
      </w:r>
      <w:r>
        <w:rPr>
          <w:color w:val="231F20"/>
          <w:spacing w:val="8"/>
          <w:w w:val="110"/>
          <w:sz w:val="18"/>
        </w:rPr>
        <w:t> </w:t>
      </w:r>
      <w:r>
        <w:rPr>
          <w:color w:val="231F20"/>
          <w:w w:val="110"/>
          <w:sz w:val="18"/>
        </w:rPr>
        <w:t>non-attendance.</w:t>
      </w:r>
    </w:p>
    <w:p>
      <w:pPr>
        <w:pStyle w:val="BodyText"/>
        <w:spacing w:before="9"/>
        <w:rPr>
          <w:sz w:val="20"/>
        </w:rPr>
      </w:pPr>
    </w:p>
    <w:p>
      <w:pPr>
        <w:pStyle w:val="ListParagraph"/>
        <w:numPr>
          <w:ilvl w:val="2"/>
          <w:numId w:val="161"/>
        </w:numPr>
        <w:tabs>
          <w:tab w:pos="1234" w:val="left" w:leader="none"/>
        </w:tabs>
        <w:spacing w:line="273" w:lineRule="auto" w:before="0" w:after="0"/>
        <w:ind w:left="513" w:right="2563" w:firstLine="0"/>
        <w:jc w:val="left"/>
        <w:rPr>
          <w:sz w:val="18"/>
        </w:rPr>
      </w:pPr>
      <w:r>
        <w:rPr>
          <w:color w:val="231F20"/>
          <w:w w:val="110"/>
          <w:sz w:val="18"/>
        </w:rPr>
        <w:t>The Minister or his/her spokesperson shall then have the </w:t>
      </w:r>
      <w:r>
        <w:rPr>
          <w:color w:val="231F20"/>
          <w:spacing w:val="2"/>
          <w:w w:val="110"/>
          <w:sz w:val="18"/>
        </w:rPr>
        <w:t>opportunity </w:t>
      </w:r>
      <w:r>
        <w:rPr>
          <w:color w:val="231F20"/>
          <w:w w:val="110"/>
          <w:sz w:val="18"/>
        </w:rPr>
        <w:t>of questioning any </w:t>
      </w:r>
      <w:r>
        <w:rPr>
          <w:color w:val="231F20"/>
          <w:spacing w:val="2"/>
          <w:w w:val="110"/>
          <w:sz w:val="18"/>
        </w:rPr>
        <w:t>further </w:t>
      </w:r>
      <w:r>
        <w:rPr>
          <w:color w:val="231F20"/>
          <w:w w:val="110"/>
          <w:sz w:val="18"/>
        </w:rPr>
        <w:t>witnesses whom s/he wishes to call and when each one has given his/her evidence that witness shall then be open to questioning by the spokesperson for the Mandated</w:t>
      </w:r>
      <w:r>
        <w:rPr>
          <w:color w:val="231F20"/>
          <w:spacing w:val="7"/>
          <w:w w:val="110"/>
          <w:sz w:val="18"/>
        </w:rPr>
        <w:t> </w:t>
      </w:r>
      <w:r>
        <w:rPr>
          <w:color w:val="231F20"/>
          <w:w w:val="110"/>
          <w:sz w:val="18"/>
        </w:rPr>
        <w:t>Group.</w:t>
      </w:r>
    </w:p>
    <w:p>
      <w:pPr>
        <w:pStyle w:val="BodyText"/>
        <w:spacing w:before="10"/>
        <w:rPr>
          <w:sz w:val="20"/>
        </w:rPr>
      </w:pPr>
    </w:p>
    <w:p>
      <w:pPr>
        <w:pStyle w:val="ListParagraph"/>
        <w:numPr>
          <w:ilvl w:val="2"/>
          <w:numId w:val="122"/>
        </w:numPr>
        <w:tabs>
          <w:tab w:pos="1233" w:val="left" w:leader="none"/>
          <w:tab w:pos="1234" w:val="left" w:leader="none"/>
        </w:tabs>
        <w:spacing w:line="273" w:lineRule="auto" w:before="0" w:after="0"/>
        <w:ind w:left="513" w:right="1888" w:firstLine="0"/>
        <w:jc w:val="left"/>
        <w:rPr>
          <w:sz w:val="18"/>
        </w:rPr>
      </w:pPr>
      <w:r>
        <w:rPr>
          <w:color w:val="231F20"/>
          <w:spacing w:val="-6"/>
          <w:w w:val="110"/>
          <w:sz w:val="18"/>
        </w:rPr>
        <w:t>E.14.1 </w:t>
      </w:r>
      <w:r>
        <w:rPr>
          <w:color w:val="231F20"/>
          <w:w w:val="110"/>
          <w:sz w:val="18"/>
        </w:rPr>
        <w:t>The </w:t>
      </w:r>
      <w:r>
        <w:rPr>
          <w:color w:val="231F20"/>
          <w:spacing w:val="2"/>
          <w:w w:val="110"/>
          <w:sz w:val="18"/>
        </w:rPr>
        <w:t>members </w:t>
      </w:r>
      <w:r>
        <w:rPr>
          <w:color w:val="231F20"/>
          <w:w w:val="110"/>
          <w:sz w:val="18"/>
        </w:rPr>
        <w:t>of the Assembly Commission shall be entitled to ask questions and also to </w:t>
      </w:r>
      <w:r>
        <w:rPr>
          <w:color w:val="231F20"/>
          <w:spacing w:val="2"/>
          <w:w w:val="110"/>
          <w:sz w:val="18"/>
        </w:rPr>
        <w:t>interject </w:t>
      </w:r>
      <w:r>
        <w:rPr>
          <w:color w:val="231F20"/>
          <w:w w:val="110"/>
          <w:sz w:val="18"/>
        </w:rPr>
        <w:t>during the examination of witnesses if they consider    the questioning to be oppressive or immaterial to the matter in hand or if for any other reason they consider it appropriate so to</w:t>
      </w:r>
      <w:r>
        <w:rPr>
          <w:color w:val="231F20"/>
          <w:spacing w:val="12"/>
          <w:w w:val="110"/>
          <w:sz w:val="18"/>
        </w:rPr>
        <w:t> </w:t>
      </w:r>
      <w:r>
        <w:rPr>
          <w:color w:val="231F20"/>
          <w:w w:val="110"/>
          <w:sz w:val="18"/>
        </w:rPr>
        <w:t>do.</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62"/>
        </w:numPr>
        <w:tabs>
          <w:tab w:pos="1801" w:val="left" w:leader="none"/>
        </w:tabs>
        <w:spacing w:line="273" w:lineRule="auto" w:before="101" w:after="0"/>
        <w:ind w:left="1080" w:right="1303" w:firstLine="0"/>
        <w:jc w:val="left"/>
        <w:rPr>
          <w:sz w:val="18"/>
        </w:rPr>
      </w:pPr>
      <w:r>
        <w:rPr>
          <w:color w:val="231F20"/>
          <w:spacing w:val="2"/>
          <w:w w:val="110"/>
          <w:sz w:val="18"/>
        </w:rPr>
        <w:t>Persons </w:t>
      </w:r>
      <w:r>
        <w:rPr>
          <w:color w:val="231F20"/>
          <w:w w:val="110"/>
          <w:sz w:val="18"/>
        </w:rPr>
        <w:t>who have already been questioned may be asked to answer </w:t>
      </w:r>
      <w:r>
        <w:rPr>
          <w:color w:val="231F20"/>
          <w:spacing w:val="2"/>
          <w:w w:val="110"/>
          <w:sz w:val="18"/>
        </w:rPr>
        <w:t>further </w:t>
      </w:r>
      <w:r>
        <w:rPr>
          <w:color w:val="231F20"/>
          <w:w w:val="110"/>
          <w:sz w:val="18"/>
        </w:rPr>
        <w:t>questions later in the Hearing if it appears to the Assembly Commission that this would be helpful and appropriate in the</w:t>
      </w:r>
      <w:r>
        <w:rPr>
          <w:color w:val="231F20"/>
          <w:spacing w:val="13"/>
          <w:w w:val="110"/>
          <w:sz w:val="18"/>
        </w:rPr>
        <w:t> </w:t>
      </w:r>
      <w:r>
        <w:rPr>
          <w:color w:val="231F20"/>
          <w:w w:val="110"/>
          <w:sz w:val="18"/>
        </w:rPr>
        <w:t>circumstances.</w:t>
      </w:r>
    </w:p>
    <w:p>
      <w:pPr>
        <w:pStyle w:val="BodyText"/>
        <w:spacing w:before="8"/>
        <w:rPr>
          <w:sz w:val="20"/>
        </w:rPr>
      </w:pPr>
    </w:p>
    <w:p>
      <w:pPr>
        <w:pStyle w:val="ListParagraph"/>
        <w:numPr>
          <w:ilvl w:val="2"/>
          <w:numId w:val="162"/>
        </w:numPr>
        <w:tabs>
          <w:tab w:pos="1801" w:val="left" w:leader="none"/>
        </w:tabs>
        <w:spacing w:line="273" w:lineRule="auto" w:before="0" w:after="0"/>
        <w:ind w:left="1080" w:right="1256" w:firstLine="0"/>
        <w:jc w:val="left"/>
        <w:rPr>
          <w:sz w:val="18"/>
        </w:rPr>
      </w:pPr>
      <w:r>
        <w:rPr>
          <w:color w:val="231F20"/>
          <w:w w:val="110"/>
          <w:sz w:val="18"/>
        </w:rPr>
        <w:t>A representative of the Church’s legal advisers shall normally be present at the Hearing (unless his/her attendance has been expressly dispensed with by the Assembly Commission) in order to advise and address the Assembly Commission on </w:t>
      </w:r>
      <w:r>
        <w:rPr>
          <w:color w:val="231F20"/>
          <w:spacing w:val="2"/>
          <w:w w:val="110"/>
          <w:sz w:val="18"/>
        </w:rPr>
        <w:t>matters </w:t>
      </w:r>
      <w:r>
        <w:rPr>
          <w:color w:val="231F20"/>
          <w:w w:val="110"/>
          <w:sz w:val="18"/>
        </w:rPr>
        <w:t>of procedure, evidence and interpretation, but s/he shall not take any </w:t>
      </w:r>
      <w:r>
        <w:rPr>
          <w:color w:val="231F20"/>
          <w:spacing w:val="2"/>
          <w:w w:val="110"/>
          <w:sz w:val="18"/>
        </w:rPr>
        <w:t>part </w:t>
      </w:r>
      <w:r>
        <w:rPr>
          <w:color w:val="231F20"/>
          <w:w w:val="110"/>
          <w:sz w:val="18"/>
        </w:rPr>
        <w:t>in the decision </w:t>
      </w:r>
      <w:r>
        <w:rPr>
          <w:color w:val="231F20"/>
          <w:spacing w:val="2"/>
          <w:w w:val="110"/>
          <w:sz w:val="18"/>
        </w:rPr>
        <w:t>reached </w:t>
      </w:r>
      <w:r>
        <w:rPr>
          <w:color w:val="231F20"/>
          <w:w w:val="110"/>
          <w:sz w:val="18"/>
        </w:rPr>
        <w:t>by the Assembly Commission, nor shall s/he be present when the Assembly Commission deliberates and decides upon the</w:t>
      </w:r>
      <w:r>
        <w:rPr>
          <w:color w:val="231F20"/>
          <w:spacing w:val="14"/>
          <w:w w:val="110"/>
          <w:sz w:val="18"/>
        </w:rPr>
        <w:t> </w:t>
      </w:r>
      <w:r>
        <w:rPr>
          <w:color w:val="231F20"/>
          <w:w w:val="110"/>
          <w:sz w:val="18"/>
        </w:rPr>
        <w:t>case.</w:t>
      </w:r>
    </w:p>
    <w:p>
      <w:pPr>
        <w:pStyle w:val="BodyText"/>
        <w:spacing w:before="11"/>
        <w:rPr>
          <w:sz w:val="20"/>
        </w:rPr>
      </w:pPr>
    </w:p>
    <w:p>
      <w:pPr>
        <w:pStyle w:val="ListParagraph"/>
        <w:numPr>
          <w:ilvl w:val="2"/>
          <w:numId w:val="122"/>
        </w:numPr>
        <w:tabs>
          <w:tab w:pos="1800" w:val="left" w:leader="none"/>
          <w:tab w:pos="1801" w:val="left" w:leader="none"/>
        </w:tabs>
        <w:spacing w:line="273" w:lineRule="auto" w:before="0" w:after="0"/>
        <w:ind w:left="1080" w:right="1908" w:firstLine="0"/>
        <w:jc w:val="left"/>
        <w:rPr>
          <w:sz w:val="18"/>
        </w:rPr>
      </w:pPr>
      <w:r>
        <w:rPr>
          <w:color w:val="231F20"/>
          <w:w w:val="110"/>
          <w:sz w:val="18"/>
        </w:rPr>
        <w:t>At the Hearing the </w:t>
      </w:r>
      <w:r>
        <w:rPr>
          <w:color w:val="231F20"/>
          <w:spacing w:val="2"/>
          <w:w w:val="110"/>
          <w:sz w:val="18"/>
        </w:rPr>
        <w:t>Parties </w:t>
      </w:r>
      <w:r>
        <w:rPr>
          <w:color w:val="231F20"/>
          <w:w w:val="110"/>
          <w:sz w:val="18"/>
        </w:rPr>
        <w:t>shall be allowed to question any such </w:t>
      </w:r>
      <w:r>
        <w:rPr>
          <w:color w:val="231F20"/>
          <w:spacing w:val="2"/>
          <w:w w:val="110"/>
          <w:sz w:val="18"/>
        </w:rPr>
        <w:t>person </w:t>
      </w:r>
      <w:r>
        <w:rPr>
          <w:color w:val="231F20"/>
          <w:w w:val="110"/>
          <w:sz w:val="18"/>
        </w:rPr>
        <w:t>as attends the Hearing under Paragraph E.5.2.1 and to comment on any evidence, information, opinion or advice </w:t>
      </w:r>
      <w:r>
        <w:rPr>
          <w:color w:val="231F20"/>
          <w:spacing w:val="3"/>
          <w:w w:val="110"/>
          <w:sz w:val="18"/>
        </w:rPr>
        <w:t>offered </w:t>
      </w:r>
      <w:r>
        <w:rPr>
          <w:color w:val="231F20"/>
          <w:w w:val="110"/>
          <w:sz w:val="18"/>
        </w:rPr>
        <w:t>by</w:t>
      </w:r>
      <w:r>
        <w:rPr>
          <w:color w:val="231F20"/>
          <w:spacing w:val="6"/>
          <w:w w:val="110"/>
          <w:sz w:val="18"/>
        </w:rPr>
        <w:t> </w:t>
      </w:r>
      <w:r>
        <w:rPr>
          <w:color w:val="231F20"/>
          <w:w w:val="110"/>
          <w:sz w:val="18"/>
        </w:rPr>
        <w:t>him/her.</w:t>
      </w:r>
    </w:p>
    <w:p>
      <w:pPr>
        <w:pStyle w:val="BodyText"/>
        <w:spacing w:before="9"/>
        <w:rPr>
          <w:sz w:val="20"/>
        </w:rPr>
      </w:pPr>
    </w:p>
    <w:p>
      <w:pPr>
        <w:pStyle w:val="ListParagraph"/>
        <w:numPr>
          <w:ilvl w:val="2"/>
          <w:numId w:val="122"/>
        </w:numPr>
        <w:tabs>
          <w:tab w:pos="1800" w:val="left" w:leader="none"/>
          <w:tab w:pos="1801" w:val="left" w:leader="none"/>
          <w:tab w:pos="3689" w:val="left" w:leader="none"/>
        </w:tabs>
        <w:spacing w:line="273" w:lineRule="auto" w:before="0" w:after="0"/>
        <w:ind w:left="1080" w:right="1164" w:firstLine="0"/>
        <w:jc w:val="left"/>
        <w:rPr>
          <w:sz w:val="18"/>
        </w:rPr>
      </w:pPr>
      <w:r>
        <w:rPr>
          <w:color w:val="231F20"/>
          <w:spacing w:val="-5"/>
          <w:w w:val="110"/>
          <w:sz w:val="18"/>
        </w:rPr>
        <w:t>E.16.1 </w:t>
      </w:r>
      <w:r>
        <w:rPr>
          <w:color w:val="231F20"/>
          <w:spacing w:val="43"/>
          <w:w w:val="110"/>
          <w:sz w:val="18"/>
        </w:rPr>
        <w:t> </w:t>
      </w:r>
      <w:r>
        <w:rPr>
          <w:color w:val="231F20"/>
          <w:spacing w:val="-5"/>
          <w:w w:val="110"/>
          <w:sz w:val="18"/>
        </w:rPr>
        <w:t>E.16.1.1</w:t>
        <w:tab/>
      </w:r>
      <w:r>
        <w:rPr>
          <w:color w:val="231F20"/>
          <w:w w:val="110"/>
          <w:sz w:val="18"/>
        </w:rPr>
        <w:t>In all </w:t>
      </w:r>
      <w:r>
        <w:rPr>
          <w:color w:val="231F20"/>
          <w:spacing w:val="2"/>
          <w:w w:val="110"/>
          <w:sz w:val="18"/>
        </w:rPr>
        <w:t>cases </w:t>
      </w:r>
      <w:r>
        <w:rPr>
          <w:color w:val="231F20"/>
          <w:w w:val="110"/>
          <w:sz w:val="18"/>
        </w:rPr>
        <w:t>the burden of proving the </w:t>
      </w:r>
      <w:r>
        <w:rPr>
          <w:color w:val="231F20"/>
          <w:spacing w:val="2"/>
          <w:w w:val="110"/>
          <w:sz w:val="18"/>
        </w:rPr>
        <w:t>case </w:t>
      </w:r>
      <w:r>
        <w:rPr>
          <w:color w:val="231F20"/>
          <w:w w:val="110"/>
          <w:sz w:val="18"/>
        </w:rPr>
        <w:t>against the Minister shall fall upon the Mandated</w:t>
      </w:r>
      <w:r>
        <w:rPr>
          <w:color w:val="231F20"/>
          <w:spacing w:val="6"/>
          <w:w w:val="110"/>
          <w:sz w:val="18"/>
        </w:rPr>
        <w:t> </w:t>
      </w:r>
      <w:r>
        <w:rPr>
          <w:color w:val="231F20"/>
          <w:w w:val="110"/>
          <w:sz w:val="18"/>
        </w:rPr>
        <w:t>Group.</w:t>
      </w:r>
    </w:p>
    <w:p>
      <w:pPr>
        <w:pStyle w:val="BodyText"/>
        <w:spacing w:before="8"/>
        <w:rPr>
          <w:sz w:val="20"/>
        </w:rPr>
      </w:pPr>
    </w:p>
    <w:p>
      <w:pPr>
        <w:pStyle w:val="BodyText"/>
        <w:tabs>
          <w:tab w:pos="2520" w:val="left" w:leader="none"/>
        </w:tabs>
        <w:spacing w:line="273" w:lineRule="auto"/>
        <w:ind w:left="1080" w:right="1457"/>
      </w:pPr>
      <w:r>
        <w:rPr>
          <w:color w:val="231F20"/>
          <w:spacing w:val="-4"/>
          <w:w w:val="110"/>
        </w:rPr>
        <w:t>E.16.1.2</w:t>
        <w:tab/>
      </w:r>
      <w:r>
        <w:rPr>
          <w:color w:val="231F20"/>
          <w:w w:val="110"/>
        </w:rPr>
        <w:t>In considering the evidence </w:t>
      </w:r>
      <w:r>
        <w:rPr>
          <w:color w:val="231F20"/>
          <w:spacing w:val="2"/>
          <w:w w:val="110"/>
        </w:rPr>
        <w:t>before </w:t>
      </w:r>
      <w:r>
        <w:rPr>
          <w:color w:val="231F20"/>
          <w:w w:val="110"/>
        </w:rPr>
        <w:t>it, the Assembly Commission shall apply the civil standard of proof, which requires that decisions on disputed allegations shall be </w:t>
      </w:r>
      <w:r>
        <w:rPr>
          <w:color w:val="231F20"/>
          <w:spacing w:val="2"/>
          <w:w w:val="110"/>
        </w:rPr>
        <w:t>reached </w:t>
      </w:r>
      <w:r>
        <w:rPr>
          <w:color w:val="231F20"/>
          <w:w w:val="110"/>
        </w:rPr>
        <w:t>on the balance of</w:t>
      </w:r>
      <w:r>
        <w:rPr>
          <w:color w:val="231F20"/>
          <w:spacing w:val="9"/>
          <w:w w:val="110"/>
        </w:rPr>
        <w:t> </w:t>
      </w:r>
      <w:r>
        <w:rPr>
          <w:color w:val="231F20"/>
          <w:w w:val="110"/>
        </w:rPr>
        <w:t>probability.</w:t>
      </w:r>
    </w:p>
    <w:p>
      <w:pPr>
        <w:pStyle w:val="BodyText"/>
        <w:spacing w:before="9"/>
        <w:rPr>
          <w:sz w:val="20"/>
        </w:rPr>
      </w:pPr>
    </w:p>
    <w:p>
      <w:pPr>
        <w:pStyle w:val="ListParagraph"/>
        <w:numPr>
          <w:ilvl w:val="2"/>
          <w:numId w:val="163"/>
        </w:numPr>
        <w:tabs>
          <w:tab w:pos="1801" w:val="left" w:leader="none"/>
        </w:tabs>
        <w:spacing w:line="273" w:lineRule="auto" w:before="0" w:after="0"/>
        <w:ind w:left="1080" w:right="1586" w:firstLine="0"/>
        <w:jc w:val="left"/>
        <w:rPr>
          <w:sz w:val="18"/>
        </w:rPr>
      </w:pPr>
      <w:r>
        <w:rPr>
          <w:color w:val="231F20"/>
          <w:w w:val="110"/>
          <w:sz w:val="18"/>
        </w:rPr>
        <w:t>During the Commission Stage of any </w:t>
      </w:r>
      <w:r>
        <w:rPr>
          <w:color w:val="231F20"/>
          <w:spacing w:val="2"/>
          <w:w w:val="110"/>
          <w:sz w:val="18"/>
        </w:rPr>
        <w:t>case </w:t>
      </w:r>
      <w:r>
        <w:rPr>
          <w:color w:val="231F20"/>
          <w:w w:val="110"/>
          <w:sz w:val="18"/>
        </w:rPr>
        <w:t>brought against a Minister, the Assembly Commission cannot take cognisance of any matter  which  has  already been </w:t>
      </w:r>
      <w:r>
        <w:rPr>
          <w:color w:val="231F20"/>
          <w:spacing w:val="2"/>
          <w:w w:val="110"/>
          <w:sz w:val="18"/>
        </w:rPr>
        <w:t>part </w:t>
      </w:r>
      <w:r>
        <w:rPr>
          <w:color w:val="231F20"/>
          <w:w w:val="110"/>
          <w:sz w:val="18"/>
        </w:rPr>
        <w:t>of the body of evidence laid </w:t>
      </w:r>
      <w:r>
        <w:rPr>
          <w:color w:val="231F20"/>
          <w:spacing w:val="2"/>
          <w:w w:val="110"/>
          <w:sz w:val="18"/>
        </w:rPr>
        <w:t>before </w:t>
      </w:r>
      <w:r>
        <w:rPr>
          <w:color w:val="231F20"/>
          <w:w w:val="110"/>
          <w:sz w:val="18"/>
        </w:rPr>
        <w:t>any Assembly Commission or Appeals Commission</w:t>
      </w:r>
      <w:r>
        <w:rPr>
          <w:color w:val="231F20"/>
          <w:spacing w:val="12"/>
          <w:w w:val="110"/>
          <w:sz w:val="18"/>
        </w:rPr>
        <w:t> </w:t>
      </w:r>
      <w:r>
        <w:rPr>
          <w:color w:val="231F20"/>
          <w:w w:val="110"/>
          <w:sz w:val="18"/>
        </w:rPr>
        <w:t>during</w:t>
      </w:r>
      <w:r>
        <w:rPr>
          <w:color w:val="231F20"/>
          <w:spacing w:val="12"/>
          <w:w w:val="110"/>
          <w:sz w:val="18"/>
        </w:rPr>
        <w:t> </w:t>
      </w:r>
      <w:r>
        <w:rPr>
          <w:color w:val="231F20"/>
          <w:w w:val="110"/>
          <w:sz w:val="18"/>
        </w:rPr>
        <w:t>the</w:t>
      </w:r>
      <w:r>
        <w:rPr>
          <w:color w:val="231F20"/>
          <w:spacing w:val="13"/>
          <w:w w:val="110"/>
          <w:sz w:val="18"/>
        </w:rPr>
        <w:t> </w:t>
      </w:r>
      <w:r>
        <w:rPr>
          <w:color w:val="231F20"/>
          <w:w w:val="110"/>
          <w:sz w:val="18"/>
        </w:rPr>
        <w:t>Commission</w:t>
      </w:r>
      <w:r>
        <w:rPr>
          <w:color w:val="231F20"/>
          <w:spacing w:val="12"/>
          <w:w w:val="110"/>
          <w:sz w:val="18"/>
        </w:rPr>
        <w:t> </w:t>
      </w:r>
      <w:r>
        <w:rPr>
          <w:color w:val="231F20"/>
          <w:w w:val="110"/>
          <w:sz w:val="18"/>
        </w:rPr>
        <w:t>Stage</w:t>
      </w:r>
      <w:r>
        <w:rPr>
          <w:color w:val="231F20"/>
          <w:spacing w:val="13"/>
          <w:w w:val="110"/>
          <w:sz w:val="18"/>
        </w:rPr>
        <w:t> </w:t>
      </w:r>
      <w:r>
        <w:rPr>
          <w:color w:val="231F20"/>
          <w:w w:val="110"/>
          <w:sz w:val="18"/>
        </w:rPr>
        <w:t>of</w:t>
      </w:r>
      <w:r>
        <w:rPr>
          <w:color w:val="231F20"/>
          <w:spacing w:val="12"/>
          <w:w w:val="110"/>
          <w:sz w:val="18"/>
        </w:rPr>
        <w:t> </w:t>
      </w:r>
      <w:r>
        <w:rPr>
          <w:color w:val="231F20"/>
          <w:w w:val="110"/>
          <w:sz w:val="18"/>
        </w:rPr>
        <w:t>any</w:t>
      </w:r>
      <w:r>
        <w:rPr>
          <w:color w:val="231F20"/>
          <w:spacing w:val="12"/>
          <w:w w:val="110"/>
          <w:sz w:val="18"/>
        </w:rPr>
        <w:t> </w:t>
      </w:r>
      <w:r>
        <w:rPr>
          <w:color w:val="231F20"/>
          <w:w w:val="110"/>
          <w:sz w:val="18"/>
        </w:rPr>
        <w:t>previous</w:t>
      </w:r>
      <w:r>
        <w:rPr>
          <w:color w:val="231F20"/>
          <w:spacing w:val="13"/>
          <w:w w:val="110"/>
          <w:sz w:val="18"/>
        </w:rPr>
        <w:t> </w:t>
      </w:r>
      <w:r>
        <w:rPr>
          <w:color w:val="231F20"/>
          <w:spacing w:val="2"/>
          <w:w w:val="110"/>
          <w:sz w:val="18"/>
        </w:rPr>
        <w:t>case</w:t>
      </w:r>
      <w:r>
        <w:rPr>
          <w:color w:val="231F20"/>
          <w:spacing w:val="12"/>
          <w:w w:val="110"/>
          <w:sz w:val="18"/>
        </w:rPr>
        <w:t> </w:t>
      </w:r>
      <w:r>
        <w:rPr>
          <w:color w:val="231F20"/>
          <w:w w:val="110"/>
          <w:sz w:val="18"/>
        </w:rPr>
        <w:t>brought</w:t>
      </w:r>
      <w:r>
        <w:rPr>
          <w:color w:val="231F20"/>
          <w:spacing w:val="13"/>
          <w:w w:val="110"/>
          <w:sz w:val="18"/>
        </w:rPr>
        <w:t> </w:t>
      </w:r>
      <w:r>
        <w:rPr>
          <w:color w:val="231F20"/>
          <w:w w:val="110"/>
          <w:sz w:val="18"/>
        </w:rPr>
        <w:t>against</w:t>
      </w:r>
      <w:r>
        <w:rPr>
          <w:color w:val="231F20"/>
          <w:spacing w:val="12"/>
          <w:w w:val="110"/>
          <w:sz w:val="18"/>
        </w:rPr>
        <w:t> </w:t>
      </w:r>
      <w:r>
        <w:rPr>
          <w:color w:val="231F20"/>
          <w:w w:val="110"/>
          <w:sz w:val="18"/>
        </w:rPr>
        <w:t>that</w:t>
      </w:r>
    </w:p>
    <w:p>
      <w:pPr>
        <w:pStyle w:val="BodyText"/>
        <w:spacing w:line="273" w:lineRule="auto" w:before="3"/>
        <w:ind w:left="1080" w:right="1330"/>
      </w:pPr>
      <w:r>
        <w:rPr>
          <w:color w:val="231F20"/>
          <w:w w:val="110"/>
        </w:rPr>
        <w:t>Minister unless </w:t>
      </w:r>
      <w:r>
        <w:rPr>
          <w:color w:val="231F20"/>
          <w:spacing w:val="-4"/>
          <w:w w:val="110"/>
        </w:rPr>
        <w:t>(i) </w:t>
      </w:r>
      <w:r>
        <w:rPr>
          <w:color w:val="231F20"/>
          <w:w w:val="110"/>
        </w:rPr>
        <w:t>the decision </w:t>
      </w:r>
      <w:r>
        <w:rPr>
          <w:color w:val="231F20"/>
          <w:spacing w:val="2"/>
          <w:w w:val="110"/>
        </w:rPr>
        <w:t>reached </w:t>
      </w:r>
      <w:r>
        <w:rPr>
          <w:color w:val="231F20"/>
          <w:w w:val="110"/>
        </w:rPr>
        <w:t>in the previous </w:t>
      </w:r>
      <w:r>
        <w:rPr>
          <w:color w:val="231F20"/>
          <w:spacing w:val="2"/>
          <w:w w:val="110"/>
        </w:rPr>
        <w:t>case </w:t>
      </w:r>
      <w:r>
        <w:rPr>
          <w:color w:val="231F20"/>
          <w:w w:val="110"/>
        </w:rPr>
        <w:t>(whether or not on appeal) fell within Paragraph </w:t>
      </w:r>
      <w:r>
        <w:rPr>
          <w:color w:val="231F20"/>
          <w:spacing w:val="-5"/>
          <w:w w:val="110"/>
        </w:rPr>
        <w:t>F.2.2 </w:t>
      </w:r>
      <w:r>
        <w:rPr>
          <w:color w:val="231F20"/>
          <w:w w:val="110"/>
        </w:rPr>
        <w:t>and </w:t>
      </w:r>
      <w:r>
        <w:rPr>
          <w:color w:val="231F20"/>
          <w:spacing w:val="-3"/>
          <w:w w:val="110"/>
        </w:rPr>
        <w:t>(ii) </w:t>
      </w:r>
      <w:r>
        <w:rPr>
          <w:color w:val="231F20"/>
          <w:w w:val="110"/>
        </w:rPr>
        <w:t>such matter in the opinion of the current Assembly Commission falls within the scope of the conduct, statement, </w:t>
      </w:r>
      <w:r>
        <w:rPr>
          <w:color w:val="231F20"/>
          <w:spacing w:val="2"/>
          <w:w w:val="110"/>
        </w:rPr>
        <w:t>act </w:t>
      </w:r>
      <w:r>
        <w:rPr>
          <w:color w:val="231F20"/>
          <w:w w:val="110"/>
        </w:rPr>
        <w:t>or omission in </w:t>
      </w:r>
      <w:r>
        <w:rPr>
          <w:color w:val="231F20"/>
          <w:spacing w:val="3"/>
          <w:w w:val="110"/>
        </w:rPr>
        <w:t>respect  </w:t>
      </w:r>
      <w:r>
        <w:rPr>
          <w:color w:val="231F20"/>
          <w:w w:val="110"/>
        </w:rPr>
        <w:t>of which the </w:t>
      </w:r>
      <w:r>
        <w:rPr>
          <w:color w:val="231F20"/>
          <w:spacing w:val="2"/>
          <w:w w:val="110"/>
        </w:rPr>
        <w:t>written </w:t>
      </w:r>
      <w:r>
        <w:rPr>
          <w:color w:val="231F20"/>
          <w:w w:val="110"/>
        </w:rPr>
        <w:t>warning </w:t>
      </w:r>
      <w:r>
        <w:rPr>
          <w:color w:val="231F20"/>
          <w:spacing w:val="2"/>
          <w:w w:val="110"/>
        </w:rPr>
        <w:t>referred </w:t>
      </w:r>
      <w:r>
        <w:rPr>
          <w:color w:val="231F20"/>
          <w:w w:val="110"/>
        </w:rPr>
        <w:t>to in that Paragraph was issued. The </w:t>
      </w:r>
      <w:r>
        <w:rPr>
          <w:color w:val="231F20"/>
          <w:spacing w:val="3"/>
          <w:w w:val="110"/>
        </w:rPr>
        <w:t>Secretary </w:t>
      </w:r>
      <w:r>
        <w:rPr>
          <w:color w:val="231F20"/>
          <w:w w:val="110"/>
        </w:rPr>
        <w:t>of the Assembly Commission shall have authority to inspect the papers of that earlier </w:t>
      </w:r>
      <w:r>
        <w:rPr>
          <w:color w:val="231F20"/>
          <w:spacing w:val="2"/>
          <w:w w:val="110"/>
        </w:rPr>
        <w:t>case</w:t>
      </w:r>
      <w:r>
        <w:rPr>
          <w:color w:val="231F20"/>
          <w:spacing w:val="73"/>
          <w:w w:val="110"/>
        </w:rPr>
        <w:t> </w:t>
      </w:r>
      <w:r>
        <w:rPr>
          <w:color w:val="231F20"/>
          <w:w w:val="110"/>
        </w:rPr>
        <w:t>for the sole purpose of ensuring compliance with this</w:t>
      </w:r>
      <w:r>
        <w:rPr>
          <w:color w:val="231F20"/>
          <w:spacing w:val="28"/>
          <w:w w:val="110"/>
        </w:rPr>
        <w:t> </w:t>
      </w:r>
      <w:r>
        <w:rPr>
          <w:color w:val="231F20"/>
          <w:w w:val="110"/>
        </w:rPr>
        <w:t>Paragraph.</w:t>
      </w:r>
    </w:p>
    <w:p>
      <w:pPr>
        <w:pStyle w:val="BodyText"/>
        <w:spacing w:before="10"/>
        <w:rPr>
          <w:sz w:val="20"/>
        </w:rPr>
      </w:pPr>
    </w:p>
    <w:p>
      <w:pPr>
        <w:pStyle w:val="ListParagraph"/>
        <w:numPr>
          <w:ilvl w:val="2"/>
          <w:numId w:val="163"/>
        </w:numPr>
        <w:tabs>
          <w:tab w:pos="1801" w:val="left" w:leader="none"/>
        </w:tabs>
        <w:spacing w:line="273" w:lineRule="auto" w:before="0" w:after="0"/>
        <w:ind w:left="1080" w:right="1235" w:firstLine="0"/>
        <w:jc w:val="left"/>
        <w:rPr>
          <w:sz w:val="18"/>
        </w:rPr>
      </w:pPr>
      <w:r>
        <w:rPr>
          <w:color w:val="231F20"/>
          <w:w w:val="110"/>
          <w:sz w:val="18"/>
        </w:rPr>
        <w:t>The Assembly Commission may at its discretion have regard to information concerning any matter which, although not </w:t>
      </w:r>
      <w:r>
        <w:rPr>
          <w:color w:val="231F20"/>
          <w:spacing w:val="2"/>
          <w:w w:val="110"/>
          <w:sz w:val="18"/>
        </w:rPr>
        <w:t>referred </w:t>
      </w:r>
      <w:r>
        <w:rPr>
          <w:color w:val="231F20"/>
          <w:w w:val="110"/>
          <w:sz w:val="18"/>
        </w:rPr>
        <w:t>to specifically in the Referral Notice (including</w:t>
      </w:r>
      <w:r>
        <w:rPr>
          <w:color w:val="231F20"/>
          <w:spacing w:val="7"/>
          <w:w w:val="110"/>
          <w:sz w:val="18"/>
        </w:rPr>
        <w:t> </w:t>
      </w:r>
      <w:r>
        <w:rPr>
          <w:color w:val="231F20"/>
          <w:w w:val="110"/>
          <w:sz w:val="18"/>
        </w:rPr>
        <w:t>any</w:t>
      </w:r>
      <w:r>
        <w:rPr>
          <w:color w:val="231F20"/>
          <w:spacing w:val="7"/>
          <w:w w:val="110"/>
          <w:sz w:val="18"/>
        </w:rPr>
        <w:t> </w:t>
      </w:r>
      <w:r>
        <w:rPr>
          <w:color w:val="231F20"/>
          <w:w w:val="110"/>
          <w:sz w:val="18"/>
        </w:rPr>
        <w:t>such</w:t>
      </w:r>
      <w:r>
        <w:rPr>
          <w:color w:val="231F20"/>
          <w:spacing w:val="8"/>
          <w:w w:val="110"/>
          <w:sz w:val="18"/>
        </w:rPr>
        <w:t> </w:t>
      </w:r>
      <w:r>
        <w:rPr>
          <w:color w:val="231F20"/>
          <w:w w:val="110"/>
          <w:sz w:val="18"/>
        </w:rPr>
        <w:t>arising</w:t>
      </w:r>
      <w:r>
        <w:rPr>
          <w:color w:val="231F20"/>
          <w:spacing w:val="7"/>
          <w:w w:val="110"/>
          <w:sz w:val="18"/>
        </w:rPr>
        <w:t> </w:t>
      </w:r>
      <w:r>
        <w:rPr>
          <w:color w:val="231F20"/>
          <w:w w:val="110"/>
          <w:sz w:val="18"/>
        </w:rPr>
        <w:t>during</w:t>
      </w:r>
      <w:r>
        <w:rPr>
          <w:color w:val="231F20"/>
          <w:spacing w:val="8"/>
          <w:w w:val="110"/>
          <w:sz w:val="18"/>
        </w:rPr>
        <w:t> </w:t>
      </w:r>
      <w:r>
        <w:rPr>
          <w:color w:val="231F20"/>
          <w:w w:val="110"/>
          <w:sz w:val="18"/>
        </w:rPr>
        <w:t>the</w:t>
      </w:r>
      <w:r>
        <w:rPr>
          <w:color w:val="231F20"/>
          <w:spacing w:val="7"/>
          <w:w w:val="110"/>
          <w:sz w:val="18"/>
        </w:rPr>
        <w:t> </w:t>
      </w:r>
      <w:r>
        <w:rPr>
          <w:color w:val="231F20"/>
          <w:w w:val="110"/>
          <w:sz w:val="18"/>
        </w:rPr>
        <w:t>Commission</w:t>
      </w:r>
      <w:r>
        <w:rPr>
          <w:color w:val="231F20"/>
          <w:spacing w:val="8"/>
          <w:w w:val="110"/>
          <w:sz w:val="18"/>
        </w:rPr>
        <w:t> </w:t>
      </w:r>
      <w:r>
        <w:rPr>
          <w:color w:val="231F20"/>
          <w:spacing w:val="-3"/>
          <w:w w:val="110"/>
          <w:sz w:val="18"/>
        </w:rPr>
        <w:t>Stage),</w:t>
      </w:r>
      <w:r>
        <w:rPr>
          <w:color w:val="231F20"/>
          <w:spacing w:val="7"/>
          <w:w w:val="110"/>
          <w:sz w:val="18"/>
        </w:rPr>
        <w:t> </w:t>
      </w:r>
      <w:r>
        <w:rPr>
          <w:color w:val="231F20"/>
          <w:w w:val="110"/>
          <w:sz w:val="18"/>
        </w:rPr>
        <w:t>is</w:t>
      </w:r>
      <w:r>
        <w:rPr>
          <w:color w:val="231F20"/>
          <w:spacing w:val="8"/>
          <w:w w:val="110"/>
          <w:sz w:val="18"/>
        </w:rPr>
        <w:t> </w:t>
      </w:r>
      <w:r>
        <w:rPr>
          <w:color w:val="231F20"/>
          <w:w w:val="110"/>
          <w:sz w:val="18"/>
        </w:rPr>
        <w:t>in</w:t>
      </w:r>
      <w:r>
        <w:rPr>
          <w:color w:val="231F20"/>
          <w:spacing w:val="7"/>
          <w:w w:val="110"/>
          <w:sz w:val="18"/>
        </w:rPr>
        <w:t> </w:t>
      </w:r>
      <w:r>
        <w:rPr>
          <w:color w:val="231F20"/>
          <w:w w:val="110"/>
          <w:sz w:val="18"/>
        </w:rPr>
        <w:t>its</w:t>
      </w:r>
      <w:r>
        <w:rPr>
          <w:color w:val="231F20"/>
          <w:spacing w:val="8"/>
          <w:w w:val="110"/>
          <w:sz w:val="18"/>
        </w:rPr>
        <w:t> </w:t>
      </w:r>
      <w:r>
        <w:rPr>
          <w:color w:val="231F20"/>
          <w:w w:val="110"/>
          <w:sz w:val="18"/>
        </w:rPr>
        <w:t>opinion</w:t>
      </w:r>
      <w:r>
        <w:rPr>
          <w:color w:val="231F20"/>
          <w:spacing w:val="7"/>
          <w:w w:val="110"/>
          <w:sz w:val="18"/>
        </w:rPr>
        <w:t> </w:t>
      </w:r>
      <w:r>
        <w:rPr>
          <w:color w:val="231F20"/>
          <w:w w:val="110"/>
          <w:sz w:val="18"/>
        </w:rPr>
        <w:t>germane</w:t>
      </w:r>
    </w:p>
    <w:p>
      <w:pPr>
        <w:pStyle w:val="BodyText"/>
        <w:spacing w:line="273" w:lineRule="auto" w:before="2"/>
        <w:ind w:left="1080" w:right="1808"/>
      </w:pPr>
      <w:r>
        <w:rPr>
          <w:color w:val="231F20"/>
          <w:w w:val="110"/>
        </w:rPr>
        <w:t>to the </w:t>
      </w:r>
      <w:r>
        <w:rPr>
          <w:color w:val="231F20"/>
          <w:spacing w:val="-3"/>
          <w:w w:val="110"/>
        </w:rPr>
        <w:t>issue(s) </w:t>
      </w:r>
      <w:r>
        <w:rPr>
          <w:color w:val="231F20"/>
          <w:w w:val="110"/>
        </w:rPr>
        <w:t>specified in the Referral Notice provided that </w:t>
      </w:r>
      <w:r>
        <w:rPr>
          <w:color w:val="231F20"/>
          <w:spacing w:val="-4"/>
          <w:w w:val="110"/>
        </w:rPr>
        <w:t>(i) </w:t>
      </w:r>
      <w:r>
        <w:rPr>
          <w:color w:val="231F20"/>
          <w:w w:val="110"/>
        </w:rPr>
        <w:t>it believes it right  and proper to do so and </w:t>
      </w:r>
      <w:r>
        <w:rPr>
          <w:color w:val="231F20"/>
          <w:spacing w:val="-3"/>
          <w:w w:val="110"/>
        </w:rPr>
        <w:t>(ii) </w:t>
      </w:r>
      <w:r>
        <w:rPr>
          <w:color w:val="231F20"/>
          <w:w w:val="110"/>
        </w:rPr>
        <w:t>it </w:t>
      </w:r>
      <w:r>
        <w:rPr>
          <w:color w:val="231F20"/>
          <w:spacing w:val="2"/>
          <w:w w:val="110"/>
        </w:rPr>
        <w:t>affords </w:t>
      </w:r>
      <w:r>
        <w:rPr>
          <w:color w:val="231F20"/>
          <w:w w:val="110"/>
        </w:rPr>
        <w:t>to each of the </w:t>
      </w:r>
      <w:r>
        <w:rPr>
          <w:color w:val="231F20"/>
          <w:spacing w:val="2"/>
          <w:w w:val="110"/>
        </w:rPr>
        <w:t>Parties </w:t>
      </w:r>
      <w:r>
        <w:rPr>
          <w:color w:val="231F20"/>
          <w:w w:val="110"/>
        </w:rPr>
        <w:t>a proper </w:t>
      </w:r>
      <w:r>
        <w:rPr>
          <w:color w:val="231F20"/>
          <w:spacing w:val="2"/>
          <w:w w:val="110"/>
        </w:rPr>
        <w:t>opportunity </w:t>
      </w:r>
      <w:r>
        <w:rPr>
          <w:color w:val="231F20"/>
          <w:w w:val="110"/>
        </w:rPr>
        <w:t>of considering and refuting or challenging any such</w:t>
      </w:r>
      <w:r>
        <w:rPr>
          <w:color w:val="231F20"/>
          <w:spacing w:val="23"/>
          <w:w w:val="110"/>
        </w:rPr>
        <w:t> </w:t>
      </w:r>
      <w:r>
        <w:rPr>
          <w:color w:val="231F20"/>
          <w:w w:val="110"/>
        </w:rPr>
        <w:t>information.</w:t>
      </w:r>
    </w:p>
    <w:p>
      <w:pPr>
        <w:pStyle w:val="BodyText"/>
        <w:spacing w:before="9"/>
        <w:rPr>
          <w:sz w:val="20"/>
        </w:rPr>
      </w:pPr>
    </w:p>
    <w:p>
      <w:pPr>
        <w:pStyle w:val="ListParagraph"/>
        <w:numPr>
          <w:ilvl w:val="2"/>
          <w:numId w:val="122"/>
        </w:numPr>
        <w:tabs>
          <w:tab w:pos="1800" w:val="left" w:leader="none"/>
          <w:tab w:pos="1801" w:val="left" w:leader="none"/>
        </w:tabs>
        <w:spacing w:line="273" w:lineRule="auto" w:before="0" w:after="0"/>
        <w:ind w:left="1080" w:right="1384" w:firstLine="0"/>
        <w:jc w:val="left"/>
        <w:rPr>
          <w:sz w:val="18"/>
        </w:rPr>
      </w:pPr>
      <w:r>
        <w:rPr>
          <w:color w:val="231F20"/>
          <w:w w:val="110"/>
          <w:sz w:val="18"/>
        </w:rPr>
        <w:t>No </w:t>
      </w:r>
      <w:r>
        <w:rPr>
          <w:color w:val="231F20"/>
          <w:spacing w:val="2"/>
          <w:w w:val="110"/>
          <w:sz w:val="18"/>
        </w:rPr>
        <w:t>person </w:t>
      </w:r>
      <w:r>
        <w:rPr>
          <w:color w:val="231F20"/>
          <w:w w:val="110"/>
          <w:sz w:val="18"/>
        </w:rPr>
        <w:t>appearing in any </w:t>
      </w:r>
      <w:r>
        <w:rPr>
          <w:color w:val="231F20"/>
          <w:spacing w:val="2"/>
          <w:w w:val="110"/>
          <w:sz w:val="18"/>
        </w:rPr>
        <w:t>capacity before </w:t>
      </w:r>
      <w:r>
        <w:rPr>
          <w:color w:val="231F20"/>
          <w:w w:val="110"/>
          <w:sz w:val="18"/>
        </w:rPr>
        <w:t>the Assembly Commission at the Hearing </w:t>
      </w:r>
      <w:r>
        <w:rPr>
          <w:color w:val="231F20"/>
          <w:spacing w:val="-5"/>
          <w:w w:val="110"/>
          <w:sz w:val="18"/>
        </w:rPr>
        <w:t>(as </w:t>
      </w:r>
      <w:r>
        <w:rPr>
          <w:color w:val="231F20"/>
          <w:w w:val="110"/>
          <w:sz w:val="18"/>
        </w:rPr>
        <w:t>distinct </w:t>
      </w:r>
      <w:r>
        <w:rPr>
          <w:color w:val="231F20"/>
          <w:spacing w:val="2"/>
          <w:w w:val="110"/>
          <w:sz w:val="18"/>
        </w:rPr>
        <w:t>from </w:t>
      </w:r>
      <w:r>
        <w:rPr>
          <w:color w:val="231F20"/>
          <w:w w:val="110"/>
          <w:sz w:val="18"/>
        </w:rPr>
        <w:t>those </w:t>
      </w:r>
      <w:r>
        <w:rPr>
          <w:color w:val="231F20"/>
          <w:spacing w:val="2"/>
          <w:w w:val="110"/>
          <w:sz w:val="18"/>
        </w:rPr>
        <w:t>serving </w:t>
      </w:r>
      <w:r>
        <w:rPr>
          <w:color w:val="231F20"/>
          <w:w w:val="110"/>
          <w:sz w:val="18"/>
        </w:rPr>
        <w:t>the Assembly Commission in compliance with Paragraph </w:t>
      </w:r>
      <w:r>
        <w:rPr>
          <w:color w:val="231F20"/>
          <w:spacing w:val="-5"/>
          <w:w w:val="110"/>
          <w:sz w:val="18"/>
        </w:rPr>
        <w:t>E.12.4) </w:t>
      </w:r>
      <w:r>
        <w:rPr>
          <w:color w:val="231F20"/>
          <w:w w:val="110"/>
          <w:sz w:val="18"/>
        </w:rPr>
        <w:t>shall make any </w:t>
      </w:r>
      <w:r>
        <w:rPr>
          <w:color w:val="231F20"/>
          <w:spacing w:val="2"/>
          <w:w w:val="110"/>
          <w:sz w:val="18"/>
        </w:rPr>
        <w:t>record </w:t>
      </w:r>
      <w:r>
        <w:rPr>
          <w:color w:val="231F20"/>
          <w:w w:val="110"/>
          <w:sz w:val="18"/>
        </w:rPr>
        <w:t>of any </w:t>
      </w:r>
      <w:r>
        <w:rPr>
          <w:color w:val="231F20"/>
          <w:spacing w:val="2"/>
          <w:w w:val="110"/>
          <w:sz w:val="18"/>
        </w:rPr>
        <w:t>part </w:t>
      </w:r>
      <w:r>
        <w:rPr>
          <w:color w:val="231F20"/>
          <w:w w:val="110"/>
          <w:sz w:val="18"/>
        </w:rPr>
        <w:t>of the proceedings at the Hearing by means of any tape recording system or other mechanical or </w:t>
      </w:r>
      <w:r>
        <w:rPr>
          <w:color w:val="231F20"/>
          <w:spacing w:val="2"/>
          <w:w w:val="110"/>
          <w:sz w:val="18"/>
        </w:rPr>
        <w:t>electronic </w:t>
      </w:r>
      <w:r>
        <w:rPr>
          <w:color w:val="231F20"/>
          <w:w w:val="110"/>
          <w:sz w:val="18"/>
        </w:rPr>
        <w:t>recording device or</w:t>
      </w:r>
      <w:r>
        <w:rPr>
          <w:color w:val="231F20"/>
          <w:spacing w:val="1"/>
          <w:w w:val="110"/>
          <w:sz w:val="18"/>
        </w:rPr>
        <w:t> </w:t>
      </w:r>
      <w:r>
        <w:rPr>
          <w:color w:val="231F20"/>
          <w:w w:val="110"/>
          <w:sz w:val="18"/>
        </w:rPr>
        <w:t>system.</w:t>
      </w:r>
    </w:p>
    <w:p>
      <w:pPr>
        <w:pStyle w:val="BodyText"/>
        <w:spacing w:before="10"/>
        <w:rPr>
          <w:sz w:val="20"/>
        </w:rPr>
      </w:pPr>
    </w:p>
    <w:p>
      <w:pPr>
        <w:pStyle w:val="ListParagraph"/>
        <w:numPr>
          <w:ilvl w:val="2"/>
          <w:numId w:val="122"/>
        </w:numPr>
        <w:tabs>
          <w:tab w:pos="1800" w:val="left" w:leader="none"/>
          <w:tab w:pos="1801" w:val="left" w:leader="none"/>
        </w:tabs>
        <w:spacing w:line="273" w:lineRule="auto" w:before="0" w:after="0"/>
        <w:ind w:left="1080" w:right="1402" w:firstLine="0"/>
        <w:jc w:val="left"/>
        <w:rPr>
          <w:sz w:val="18"/>
        </w:rPr>
      </w:pPr>
      <w:r>
        <w:rPr>
          <w:color w:val="231F20"/>
          <w:w w:val="110"/>
          <w:sz w:val="18"/>
        </w:rPr>
        <w:t>When the </w:t>
      </w:r>
      <w:r>
        <w:rPr>
          <w:color w:val="231F20"/>
          <w:spacing w:val="2"/>
          <w:w w:val="110"/>
          <w:sz w:val="18"/>
        </w:rPr>
        <w:t>process </w:t>
      </w:r>
      <w:r>
        <w:rPr>
          <w:color w:val="231F20"/>
          <w:w w:val="110"/>
          <w:sz w:val="18"/>
        </w:rPr>
        <w:t>of presenting and examining the evidence at the Hearing   has been concluded, the spokesperson for the Mandated Group and the Minister or    the accompanying </w:t>
      </w:r>
      <w:r>
        <w:rPr>
          <w:color w:val="231F20"/>
          <w:spacing w:val="2"/>
          <w:w w:val="110"/>
          <w:sz w:val="18"/>
        </w:rPr>
        <w:t>person </w:t>
      </w:r>
      <w:r>
        <w:rPr>
          <w:color w:val="231F20"/>
          <w:w w:val="110"/>
          <w:sz w:val="18"/>
        </w:rPr>
        <w:t>as appropriate (in that order) shall be given the </w:t>
      </w:r>
      <w:r>
        <w:rPr>
          <w:color w:val="231F20"/>
          <w:spacing w:val="2"/>
          <w:w w:val="110"/>
          <w:sz w:val="18"/>
        </w:rPr>
        <w:t>opportunity </w:t>
      </w:r>
      <w:r>
        <w:rPr>
          <w:color w:val="231F20"/>
          <w:w w:val="110"/>
          <w:sz w:val="18"/>
        </w:rPr>
        <w:t>to address the Assembly Commission, following which the Convener of the Assembly Commission shall announce to the </w:t>
      </w:r>
      <w:r>
        <w:rPr>
          <w:color w:val="231F20"/>
          <w:spacing w:val="2"/>
          <w:w w:val="110"/>
          <w:sz w:val="18"/>
        </w:rPr>
        <w:t>Parties </w:t>
      </w:r>
      <w:r>
        <w:rPr>
          <w:color w:val="231F20"/>
          <w:w w:val="110"/>
          <w:sz w:val="18"/>
        </w:rPr>
        <w:t>that the </w:t>
      </w:r>
      <w:r>
        <w:rPr>
          <w:color w:val="231F20"/>
          <w:spacing w:val="2"/>
          <w:w w:val="110"/>
          <w:sz w:val="18"/>
        </w:rPr>
        <w:t>members </w:t>
      </w:r>
      <w:r>
        <w:rPr>
          <w:color w:val="231F20"/>
          <w:w w:val="110"/>
          <w:sz w:val="18"/>
        </w:rPr>
        <w:t>of the Assembly Commission would at that point </w:t>
      </w:r>
      <w:r>
        <w:rPr>
          <w:color w:val="231F20"/>
          <w:spacing w:val="2"/>
          <w:w w:val="110"/>
          <w:sz w:val="18"/>
        </w:rPr>
        <w:t>retire </w:t>
      </w:r>
      <w:r>
        <w:rPr>
          <w:color w:val="231F20"/>
          <w:w w:val="110"/>
          <w:sz w:val="18"/>
        </w:rPr>
        <w:t>to consider their decision which would</w:t>
      </w:r>
      <w:r>
        <w:rPr>
          <w:color w:val="231F20"/>
          <w:spacing w:val="6"/>
          <w:w w:val="110"/>
          <w:sz w:val="18"/>
        </w:rPr>
        <w:t> </w:t>
      </w:r>
      <w:r>
        <w:rPr>
          <w:color w:val="231F20"/>
          <w:w w:val="110"/>
          <w:sz w:val="18"/>
        </w:rPr>
        <w:t>not</w:t>
      </w:r>
    </w:p>
    <w:p>
      <w:pPr>
        <w:pStyle w:val="BodyText"/>
        <w:spacing w:before="3"/>
        <w:ind w:left="1080"/>
      </w:pPr>
      <w:r>
        <w:rPr>
          <w:color w:val="231F20"/>
          <w:w w:val="110"/>
        </w:rPr>
        <w:t>be announced that day but would be notified to the Parties in accordance with</w:t>
      </w:r>
    </w:p>
    <w:p>
      <w:pPr>
        <w:pStyle w:val="BodyText"/>
        <w:spacing w:before="31"/>
        <w:ind w:left="1080"/>
      </w:pPr>
      <w:r>
        <w:rPr>
          <w:color w:val="231F20"/>
          <w:w w:val="110"/>
        </w:rPr>
        <w:t>Paragraph F.3. The Hearing is thus concluded.</w:t>
      </w:r>
    </w:p>
    <w:p>
      <w:pPr>
        <w:spacing w:after="0"/>
        <w:sectPr>
          <w:pgSz w:w="11910" w:h="16840"/>
          <w:pgMar w:header="558" w:footer="564" w:top="820" w:bottom="760" w:left="620" w:right="0"/>
        </w:sectPr>
      </w:pPr>
    </w:p>
    <w:p>
      <w:pPr>
        <w:pStyle w:val="BodyText"/>
        <w:spacing w:before="7"/>
        <w:rPr>
          <w:sz w:val="13"/>
        </w:rPr>
      </w:pPr>
    </w:p>
    <w:p>
      <w:pPr>
        <w:numPr>
          <w:ilvl w:val="1"/>
          <w:numId w:val="122"/>
        </w:numPr>
        <w:tabs>
          <w:tab w:pos="1233" w:val="left" w:leader="none"/>
          <w:tab w:pos="1234" w:val="left" w:leader="none"/>
        </w:tabs>
        <w:spacing w:before="98"/>
        <w:ind w:left="1233" w:right="0" w:hanging="721"/>
        <w:jc w:val="left"/>
        <w:rPr>
          <w:b/>
          <w:sz w:val="20"/>
        </w:rPr>
      </w:pPr>
      <w:r>
        <w:rPr>
          <w:b/>
          <w:color w:val="231F20"/>
          <w:w w:val="110"/>
          <w:sz w:val="20"/>
        </w:rPr>
        <w:t>THE DECISION of the ASSEMBLY</w:t>
      </w:r>
      <w:r>
        <w:rPr>
          <w:b/>
          <w:color w:val="231F20"/>
          <w:spacing w:val="-5"/>
          <w:w w:val="110"/>
          <w:sz w:val="20"/>
        </w:rPr>
        <w:t> </w:t>
      </w:r>
      <w:r>
        <w:rPr>
          <w:b/>
          <w:color w:val="231F20"/>
          <w:w w:val="110"/>
          <w:sz w:val="20"/>
        </w:rPr>
        <w:t>COMMISSION</w:t>
      </w:r>
    </w:p>
    <w:p>
      <w:pPr>
        <w:pStyle w:val="BodyText"/>
        <w:spacing w:before="9"/>
        <w:rPr>
          <w:b/>
          <w:sz w:val="22"/>
        </w:rPr>
      </w:pPr>
    </w:p>
    <w:p>
      <w:pPr>
        <w:pStyle w:val="ListParagraph"/>
        <w:numPr>
          <w:ilvl w:val="2"/>
          <w:numId w:val="122"/>
        </w:numPr>
        <w:tabs>
          <w:tab w:pos="1233" w:val="left" w:leader="none"/>
          <w:tab w:pos="1234" w:val="left" w:leader="none"/>
          <w:tab w:pos="1953" w:val="left" w:leader="none"/>
        </w:tabs>
        <w:spacing w:line="273" w:lineRule="auto" w:before="0" w:after="0"/>
        <w:ind w:left="513" w:right="1791" w:firstLine="0"/>
        <w:jc w:val="left"/>
        <w:rPr>
          <w:sz w:val="18"/>
        </w:rPr>
      </w:pPr>
      <w:r>
        <w:rPr>
          <w:color w:val="231F20"/>
          <w:spacing w:val="-9"/>
          <w:w w:val="110"/>
          <w:sz w:val="18"/>
        </w:rPr>
        <w:t>F.1.1</w:t>
        <w:tab/>
      </w:r>
      <w:r>
        <w:rPr>
          <w:color w:val="231F20"/>
          <w:w w:val="110"/>
          <w:sz w:val="18"/>
        </w:rPr>
        <w:t>Following the conclusion of the Hearing, the Assembly Commission shall, all meeting together but in the absence of the Parties, consider the evidence presented  to it, in order first to determine whether the allegations </w:t>
      </w:r>
      <w:r>
        <w:rPr>
          <w:color w:val="231F20"/>
          <w:spacing w:val="-5"/>
          <w:w w:val="110"/>
          <w:sz w:val="18"/>
        </w:rPr>
        <w:t>(or </w:t>
      </w:r>
      <w:r>
        <w:rPr>
          <w:color w:val="231F20"/>
          <w:w w:val="110"/>
          <w:sz w:val="18"/>
        </w:rPr>
        <w:t>any of them) made against the Minister have been proved to its satisfaction and, if so, whether they are sufficiently serious as to amount to a breach of discipline by the Minister in the light of Paragraph 3 of </w:t>
      </w:r>
      <w:r>
        <w:rPr>
          <w:color w:val="231F20"/>
          <w:spacing w:val="2"/>
          <w:w w:val="110"/>
          <w:sz w:val="18"/>
        </w:rPr>
        <w:t>Part</w:t>
      </w:r>
      <w:r>
        <w:rPr>
          <w:color w:val="231F20"/>
          <w:spacing w:val="1"/>
          <w:w w:val="110"/>
          <w:sz w:val="18"/>
        </w:rPr>
        <w:t> </w:t>
      </w:r>
      <w:r>
        <w:rPr>
          <w:color w:val="231F20"/>
          <w:w w:val="110"/>
          <w:sz w:val="18"/>
        </w:rPr>
        <w:t>I.</w:t>
      </w:r>
    </w:p>
    <w:p>
      <w:pPr>
        <w:pStyle w:val="BodyText"/>
        <w:spacing w:before="11"/>
        <w:rPr>
          <w:sz w:val="20"/>
        </w:rPr>
      </w:pPr>
    </w:p>
    <w:p>
      <w:pPr>
        <w:pStyle w:val="BodyText"/>
        <w:tabs>
          <w:tab w:pos="1233" w:val="left" w:leader="none"/>
        </w:tabs>
        <w:spacing w:line="273" w:lineRule="auto"/>
        <w:ind w:left="513" w:right="1928"/>
      </w:pPr>
      <w:r>
        <w:rPr>
          <w:color w:val="231F20"/>
          <w:spacing w:val="-7"/>
          <w:w w:val="110"/>
        </w:rPr>
        <w:t>F.1.2</w:t>
        <w:tab/>
      </w:r>
      <w:r>
        <w:rPr>
          <w:color w:val="231F20"/>
          <w:w w:val="110"/>
        </w:rPr>
        <w:t>If the Assembly Commission concludes that a breach of discipline has so arisen,  it must then consider whether it should </w:t>
      </w:r>
      <w:r>
        <w:rPr>
          <w:color w:val="231F20"/>
          <w:spacing w:val="2"/>
          <w:w w:val="110"/>
        </w:rPr>
        <w:t>direct </w:t>
      </w:r>
      <w:r>
        <w:rPr>
          <w:color w:val="231F20"/>
          <w:w w:val="110"/>
        </w:rPr>
        <w:t>the name of the Minister to be deleted </w:t>
      </w:r>
      <w:r>
        <w:rPr>
          <w:color w:val="231F20"/>
          <w:spacing w:val="2"/>
          <w:w w:val="110"/>
        </w:rPr>
        <w:t>from </w:t>
      </w:r>
      <w:r>
        <w:rPr>
          <w:color w:val="231F20"/>
          <w:w w:val="110"/>
        </w:rPr>
        <w:t>the Roll or whether in the </w:t>
      </w:r>
      <w:r>
        <w:rPr>
          <w:color w:val="231F20"/>
          <w:spacing w:val="2"/>
          <w:w w:val="110"/>
        </w:rPr>
        <w:t>circumstances </w:t>
      </w:r>
      <w:r>
        <w:rPr>
          <w:color w:val="231F20"/>
          <w:w w:val="110"/>
        </w:rPr>
        <w:t>the issue of a written warning would be sufficient. In this context the Assembly Commission may take into account, in addition to the seriousness of the allegations, such </w:t>
      </w:r>
      <w:r>
        <w:rPr>
          <w:color w:val="231F20"/>
          <w:spacing w:val="2"/>
          <w:w w:val="110"/>
        </w:rPr>
        <w:t>factors </w:t>
      </w:r>
      <w:r>
        <w:rPr>
          <w:color w:val="231F20"/>
          <w:w w:val="110"/>
        </w:rPr>
        <w:t>as the degree of </w:t>
      </w:r>
      <w:r>
        <w:rPr>
          <w:color w:val="231F20"/>
          <w:spacing w:val="2"/>
          <w:w w:val="110"/>
        </w:rPr>
        <w:t>remorse </w:t>
      </w:r>
      <w:r>
        <w:rPr>
          <w:color w:val="231F20"/>
          <w:w w:val="110"/>
        </w:rPr>
        <w:t>shown by the</w:t>
      </w:r>
      <w:r>
        <w:rPr>
          <w:color w:val="231F20"/>
          <w:spacing w:val="11"/>
          <w:w w:val="110"/>
        </w:rPr>
        <w:t> </w:t>
      </w:r>
      <w:r>
        <w:rPr>
          <w:color w:val="231F20"/>
          <w:w w:val="110"/>
        </w:rPr>
        <w:t>Minister</w:t>
      </w:r>
      <w:r>
        <w:rPr>
          <w:color w:val="231F20"/>
          <w:spacing w:val="11"/>
          <w:w w:val="110"/>
        </w:rPr>
        <w:t> </w:t>
      </w:r>
      <w:r>
        <w:rPr>
          <w:color w:val="231F20"/>
          <w:w w:val="110"/>
        </w:rPr>
        <w:t>and</w:t>
      </w:r>
      <w:r>
        <w:rPr>
          <w:color w:val="231F20"/>
          <w:spacing w:val="11"/>
          <w:w w:val="110"/>
        </w:rPr>
        <w:t> </w:t>
      </w:r>
      <w:r>
        <w:rPr>
          <w:color w:val="231F20"/>
          <w:w w:val="110"/>
        </w:rPr>
        <w:t>his/her</w:t>
      </w:r>
      <w:r>
        <w:rPr>
          <w:color w:val="231F20"/>
          <w:spacing w:val="11"/>
          <w:w w:val="110"/>
        </w:rPr>
        <w:t> </w:t>
      </w:r>
      <w:r>
        <w:rPr>
          <w:color w:val="231F20"/>
          <w:w w:val="110"/>
        </w:rPr>
        <w:t>preparedness</w:t>
      </w:r>
      <w:r>
        <w:rPr>
          <w:color w:val="231F20"/>
          <w:spacing w:val="11"/>
          <w:w w:val="110"/>
        </w:rPr>
        <w:t> </w:t>
      </w:r>
      <w:r>
        <w:rPr>
          <w:color w:val="231F20"/>
          <w:w w:val="110"/>
        </w:rPr>
        <w:t>to</w:t>
      </w:r>
      <w:r>
        <w:rPr>
          <w:color w:val="231F20"/>
          <w:spacing w:val="11"/>
          <w:w w:val="110"/>
        </w:rPr>
        <w:t> </w:t>
      </w:r>
      <w:r>
        <w:rPr>
          <w:color w:val="231F20"/>
          <w:w w:val="110"/>
        </w:rPr>
        <w:t>change</w:t>
      </w:r>
      <w:r>
        <w:rPr>
          <w:color w:val="231F20"/>
          <w:spacing w:val="11"/>
          <w:w w:val="110"/>
        </w:rPr>
        <w:t> </w:t>
      </w:r>
      <w:r>
        <w:rPr>
          <w:color w:val="231F20"/>
          <w:w w:val="110"/>
        </w:rPr>
        <w:t>or</w:t>
      </w:r>
      <w:r>
        <w:rPr>
          <w:color w:val="231F20"/>
          <w:spacing w:val="11"/>
          <w:w w:val="110"/>
        </w:rPr>
        <w:t> </w:t>
      </w:r>
      <w:r>
        <w:rPr>
          <w:color w:val="231F20"/>
          <w:w w:val="110"/>
        </w:rPr>
        <w:t>to</w:t>
      </w:r>
      <w:r>
        <w:rPr>
          <w:color w:val="231F20"/>
          <w:spacing w:val="11"/>
          <w:w w:val="110"/>
        </w:rPr>
        <w:t> </w:t>
      </w:r>
      <w:r>
        <w:rPr>
          <w:color w:val="231F20"/>
          <w:w w:val="110"/>
        </w:rPr>
        <w:t>undergo</w:t>
      </w:r>
      <w:r>
        <w:rPr>
          <w:color w:val="231F20"/>
          <w:spacing w:val="11"/>
          <w:w w:val="110"/>
        </w:rPr>
        <w:t> </w:t>
      </w:r>
      <w:r>
        <w:rPr>
          <w:color w:val="231F20"/>
          <w:w w:val="110"/>
        </w:rPr>
        <w:t>counselling</w:t>
      </w:r>
      <w:r>
        <w:rPr>
          <w:color w:val="231F20"/>
          <w:spacing w:val="11"/>
          <w:w w:val="110"/>
        </w:rPr>
        <w:t> </w:t>
      </w:r>
      <w:r>
        <w:rPr>
          <w:color w:val="231F20"/>
          <w:w w:val="110"/>
        </w:rPr>
        <w:t>or</w:t>
      </w:r>
      <w:r>
        <w:rPr>
          <w:color w:val="231F20"/>
          <w:spacing w:val="12"/>
          <w:w w:val="110"/>
        </w:rPr>
        <w:t> </w:t>
      </w:r>
      <w:r>
        <w:rPr>
          <w:color w:val="231F20"/>
          <w:w w:val="110"/>
        </w:rPr>
        <w:t>training.</w:t>
      </w:r>
    </w:p>
    <w:p>
      <w:pPr>
        <w:pStyle w:val="BodyText"/>
        <w:spacing w:before="11"/>
        <w:rPr>
          <w:sz w:val="20"/>
        </w:rPr>
      </w:pPr>
    </w:p>
    <w:p>
      <w:pPr>
        <w:pStyle w:val="ListParagraph"/>
        <w:numPr>
          <w:ilvl w:val="2"/>
          <w:numId w:val="164"/>
        </w:numPr>
        <w:tabs>
          <w:tab w:pos="1233" w:val="left" w:leader="none"/>
          <w:tab w:pos="1234" w:val="left" w:leader="none"/>
        </w:tabs>
        <w:spacing w:line="273" w:lineRule="auto" w:before="0" w:after="0"/>
        <w:ind w:left="513" w:right="1777" w:firstLine="0"/>
        <w:jc w:val="left"/>
        <w:rPr>
          <w:sz w:val="18"/>
        </w:rPr>
      </w:pPr>
      <w:r>
        <w:rPr>
          <w:color w:val="231F20"/>
          <w:w w:val="110"/>
          <w:sz w:val="18"/>
        </w:rPr>
        <w:t>Having completed the </w:t>
      </w:r>
      <w:r>
        <w:rPr>
          <w:color w:val="231F20"/>
          <w:spacing w:val="2"/>
          <w:w w:val="110"/>
          <w:sz w:val="18"/>
        </w:rPr>
        <w:t>process </w:t>
      </w:r>
      <w:r>
        <w:rPr>
          <w:color w:val="231F20"/>
          <w:w w:val="110"/>
          <w:sz w:val="18"/>
        </w:rPr>
        <w:t>set out in Paragraph </w:t>
      </w:r>
      <w:r>
        <w:rPr>
          <w:color w:val="231F20"/>
          <w:spacing w:val="-10"/>
          <w:w w:val="110"/>
          <w:sz w:val="18"/>
        </w:rPr>
        <w:t>F.1,  </w:t>
      </w:r>
      <w:r>
        <w:rPr>
          <w:color w:val="231F20"/>
          <w:w w:val="110"/>
          <w:sz w:val="18"/>
        </w:rPr>
        <w:t>the Assembly  Commission shall </w:t>
      </w:r>
      <w:r>
        <w:rPr>
          <w:color w:val="231F20"/>
          <w:spacing w:val="2"/>
          <w:w w:val="110"/>
          <w:sz w:val="18"/>
        </w:rPr>
        <w:t>reach </w:t>
      </w:r>
      <w:r>
        <w:rPr>
          <w:color w:val="231F20"/>
          <w:w w:val="110"/>
          <w:sz w:val="18"/>
        </w:rPr>
        <w:t>its decision (either unanimously or by majority </w:t>
      </w:r>
      <w:r>
        <w:rPr>
          <w:color w:val="231F20"/>
          <w:spacing w:val="-3"/>
          <w:w w:val="110"/>
          <w:sz w:val="18"/>
        </w:rPr>
        <w:t>vote) </w:t>
      </w:r>
      <w:r>
        <w:rPr>
          <w:color w:val="231F20"/>
          <w:w w:val="110"/>
          <w:sz w:val="18"/>
        </w:rPr>
        <w:t>which shall be either to delete the name of the Minster </w:t>
      </w:r>
      <w:r>
        <w:rPr>
          <w:color w:val="231F20"/>
          <w:spacing w:val="2"/>
          <w:w w:val="110"/>
          <w:sz w:val="18"/>
        </w:rPr>
        <w:t>from </w:t>
      </w:r>
      <w:r>
        <w:rPr>
          <w:color w:val="231F20"/>
          <w:w w:val="110"/>
          <w:sz w:val="18"/>
        </w:rPr>
        <w:t>the Roll of Ministers or to allow his/her name to remain on the Roll of</w:t>
      </w:r>
      <w:r>
        <w:rPr>
          <w:color w:val="231F20"/>
          <w:spacing w:val="9"/>
          <w:w w:val="110"/>
          <w:sz w:val="18"/>
        </w:rPr>
        <w:t> </w:t>
      </w:r>
      <w:r>
        <w:rPr>
          <w:color w:val="231F20"/>
          <w:w w:val="110"/>
          <w:sz w:val="18"/>
        </w:rPr>
        <w:t>Ministers.</w:t>
      </w:r>
    </w:p>
    <w:p>
      <w:pPr>
        <w:pStyle w:val="BodyText"/>
        <w:spacing w:before="9"/>
        <w:rPr>
          <w:sz w:val="20"/>
        </w:rPr>
      </w:pPr>
    </w:p>
    <w:p>
      <w:pPr>
        <w:pStyle w:val="ListParagraph"/>
        <w:numPr>
          <w:ilvl w:val="2"/>
          <w:numId w:val="164"/>
        </w:numPr>
        <w:tabs>
          <w:tab w:pos="1233" w:val="left" w:leader="none"/>
          <w:tab w:pos="1234" w:val="left" w:leader="none"/>
        </w:tabs>
        <w:spacing w:line="273" w:lineRule="auto" w:before="0" w:after="0"/>
        <w:ind w:left="513" w:right="1719" w:firstLine="0"/>
        <w:jc w:val="left"/>
        <w:rPr>
          <w:sz w:val="18"/>
        </w:rPr>
      </w:pPr>
      <w:r>
        <w:rPr>
          <w:color w:val="231F20"/>
          <w:w w:val="110"/>
          <w:sz w:val="18"/>
        </w:rPr>
        <w:t>If the Assembly Commission considers that there has been some conduct, statement, </w:t>
      </w:r>
      <w:r>
        <w:rPr>
          <w:color w:val="231F20"/>
          <w:spacing w:val="2"/>
          <w:w w:val="110"/>
          <w:sz w:val="18"/>
        </w:rPr>
        <w:t>act </w:t>
      </w:r>
      <w:r>
        <w:rPr>
          <w:color w:val="231F20"/>
          <w:w w:val="110"/>
          <w:sz w:val="18"/>
        </w:rPr>
        <w:t>or omission on the </w:t>
      </w:r>
      <w:r>
        <w:rPr>
          <w:color w:val="231F20"/>
          <w:spacing w:val="2"/>
          <w:w w:val="110"/>
          <w:sz w:val="18"/>
        </w:rPr>
        <w:t>part </w:t>
      </w:r>
      <w:r>
        <w:rPr>
          <w:color w:val="231F20"/>
          <w:w w:val="110"/>
          <w:sz w:val="18"/>
        </w:rPr>
        <w:t>of the Minister which, although not sufficiently serious to justify deletion, is nevertheless of sufficient concern to justify lesser  disciplinary </w:t>
      </w:r>
      <w:r>
        <w:rPr>
          <w:color w:val="231F20"/>
          <w:spacing w:val="2"/>
          <w:w w:val="110"/>
          <w:sz w:val="18"/>
        </w:rPr>
        <w:t>action </w:t>
      </w:r>
      <w:r>
        <w:rPr>
          <w:color w:val="231F20"/>
          <w:w w:val="110"/>
          <w:sz w:val="18"/>
        </w:rPr>
        <w:t>against the Minister it </w:t>
      </w:r>
      <w:r>
        <w:rPr>
          <w:color w:val="231F20"/>
          <w:spacing w:val="-5"/>
          <w:w w:val="110"/>
          <w:sz w:val="18"/>
        </w:rPr>
        <w:t>may,  </w:t>
      </w:r>
      <w:r>
        <w:rPr>
          <w:color w:val="231F20"/>
          <w:w w:val="110"/>
          <w:sz w:val="18"/>
        </w:rPr>
        <w:t>whilst allowing the name of the Minister   to remain on the Roll and as </w:t>
      </w:r>
      <w:r>
        <w:rPr>
          <w:color w:val="231F20"/>
          <w:spacing w:val="2"/>
          <w:w w:val="110"/>
          <w:sz w:val="18"/>
        </w:rPr>
        <w:t>part </w:t>
      </w:r>
      <w:r>
        <w:rPr>
          <w:color w:val="231F20"/>
          <w:w w:val="110"/>
          <w:sz w:val="18"/>
        </w:rPr>
        <w:t>of its decision, issue a written warning to the Minister that any continuance or repetition of any of the disciplinary </w:t>
      </w:r>
      <w:r>
        <w:rPr>
          <w:color w:val="231F20"/>
          <w:spacing w:val="2"/>
          <w:w w:val="110"/>
          <w:sz w:val="18"/>
        </w:rPr>
        <w:t>matters </w:t>
      </w:r>
      <w:r>
        <w:rPr>
          <w:color w:val="231F20"/>
          <w:w w:val="110"/>
          <w:sz w:val="18"/>
        </w:rPr>
        <w:t>complained of might be considered a cause for deletion by a future Assembly</w:t>
      </w:r>
      <w:r>
        <w:rPr>
          <w:color w:val="231F20"/>
          <w:spacing w:val="42"/>
          <w:w w:val="110"/>
          <w:sz w:val="18"/>
        </w:rPr>
        <w:t> </w:t>
      </w:r>
      <w:r>
        <w:rPr>
          <w:color w:val="231F20"/>
          <w:w w:val="110"/>
          <w:sz w:val="18"/>
        </w:rPr>
        <w:t>Commission.</w:t>
      </w:r>
    </w:p>
    <w:p>
      <w:pPr>
        <w:pStyle w:val="BodyText"/>
        <w:spacing w:before="12"/>
        <w:rPr>
          <w:sz w:val="20"/>
        </w:rPr>
      </w:pPr>
    </w:p>
    <w:p>
      <w:pPr>
        <w:pStyle w:val="ListParagraph"/>
        <w:numPr>
          <w:ilvl w:val="2"/>
          <w:numId w:val="164"/>
        </w:numPr>
        <w:tabs>
          <w:tab w:pos="1233" w:val="left" w:leader="none"/>
          <w:tab w:pos="1234" w:val="left" w:leader="none"/>
          <w:tab w:pos="2937" w:val="left" w:leader="none"/>
        </w:tabs>
        <w:spacing w:line="273" w:lineRule="auto" w:before="0" w:after="0"/>
        <w:ind w:left="513" w:right="1825" w:firstLine="0"/>
        <w:jc w:val="left"/>
        <w:rPr>
          <w:sz w:val="18"/>
        </w:rPr>
      </w:pPr>
      <w:r>
        <w:rPr>
          <w:color w:val="231F20"/>
          <w:w w:val="110"/>
          <w:sz w:val="18"/>
        </w:rPr>
        <w:t>If the decision is that the name of the Minister shall remain on the Roll of Ministers, whether or not it also decides to issue a </w:t>
      </w:r>
      <w:r>
        <w:rPr>
          <w:color w:val="231F20"/>
          <w:spacing w:val="2"/>
          <w:w w:val="110"/>
          <w:sz w:val="18"/>
        </w:rPr>
        <w:t>written </w:t>
      </w:r>
      <w:r>
        <w:rPr>
          <w:color w:val="231F20"/>
          <w:w w:val="110"/>
          <w:sz w:val="18"/>
        </w:rPr>
        <w:t>warning, the Assembly Commission may in its </w:t>
      </w:r>
      <w:r>
        <w:rPr>
          <w:color w:val="231F20"/>
          <w:spacing w:val="2"/>
          <w:w w:val="110"/>
          <w:sz w:val="18"/>
        </w:rPr>
        <w:t>written </w:t>
      </w:r>
      <w:r>
        <w:rPr>
          <w:color w:val="231F20"/>
          <w:w w:val="110"/>
          <w:sz w:val="18"/>
        </w:rPr>
        <w:t>statement (see Paragraph </w:t>
      </w:r>
      <w:r>
        <w:rPr>
          <w:color w:val="231F20"/>
          <w:spacing w:val="-7"/>
          <w:w w:val="110"/>
          <w:sz w:val="18"/>
        </w:rPr>
        <w:t>F.3.3) </w:t>
      </w:r>
      <w:r>
        <w:rPr>
          <w:color w:val="231F20"/>
          <w:w w:val="110"/>
          <w:sz w:val="18"/>
        </w:rPr>
        <w:t>append such recommendations to its decision as it considers will be helpful to moderators of synod, </w:t>
      </w:r>
      <w:r>
        <w:rPr>
          <w:color w:val="231F20"/>
          <w:spacing w:val="2"/>
          <w:w w:val="110"/>
          <w:sz w:val="18"/>
        </w:rPr>
        <w:t>district </w:t>
      </w:r>
      <w:r>
        <w:rPr>
          <w:color w:val="231F20"/>
          <w:w w:val="110"/>
          <w:sz w:val="18"/>
        </w:rPr>
        <w:t>councils, local churches, the General Secretary, the Deputy General Secretary, the </w:t>
      </w:r>
      <w:r>
        <w:rPr>
          <w:color w:val="231F20"/>
          <w:spacing w:val="3"/>
          <w:w w:val="110"/>
          <w:sz w:val="18"/>
        </w:rPr>
        <w:t>Secretary </w:t>
      </w:r>
      <w:r>
        <w:rPr>
          <w:color w:val="231F20"/>
          <w:w w:val="110"/>
          <w:sz w:val="18"/>
        </w:rPr>
        <w:t>for Ministries and others within the Church and also to any relevant Outside</w:t>
      </w:r>
      <w:r>
        <w:rPr>
          <w:color w:val="231F20"/>
          <w:spacing w:val="33"/>
          <w:w w:val="110"/>
          <w:sz w:val="18"/>
        </w:rPr>
        <w:t> </w:t>
      </w:r>
      <w:r>
        <w:rPr>
          <w:color w:val="231F20"/>
          <w:w w:val="110"/>
          <w:sz w:val="18"/>
        </w:rPr>
        <w:t>Organisation.</w:t>
        <w:tab/>
        <w:t>It is emphasised that any such recommendations must relate to the future ministry of the Minister only and that they are of an </w:t>
      </w:r>
      <w:r>
        <w:rPr>
          <w:color w:val="231F20"/>
          <w:spacing w:val="2"/>
          <w:w w:val="110"/>
          <w:sz w:val="18"/>
        </w:rPr>
        <w:t>advisory </w:t>
      </w:r>
      <w:r>
        <w:rPr>
          <w:color w:val="231F20"/>
          <w:w w:val="110"/>
          <w:sz w:val="18"/>
        </w:rPr>
        <w:t>nature and do not form </w:t>
      </w:r>
      <w:r>
        <w:rPr>
          <w:color w:val="231F20"/>
          <w:spacing w:val="2"/>
          <w:w w:val="110"/>
          <w:sz w:val="18"/>
        </w:rPr>
        <w:t>part </w:t>
      </w:r>
      <w:r>
        <w:rPr>
          <w:color w:val="231F20"/>
          <w:w w:val="110"/>
          <w:sz w:val="18"/>
        </w:rPr>
        <w:t>of the</w:t>
      </w:r>
      <w:r>
        <w:rPr>
          <w:color w:val="231F20"/>
          <w:spacing w:val="4"/>
          <w:w w:val="110"/>
          <w:sz w:val="18"/>
        </w:rPr>
        <w:t> </w:t>
      </w:r>
      <w:r>
        <w:rPr>
          <w:color w:val="231F20"/>
          <w:w w:val="110"/>
          <w:sz w:val="18"/>
        </w:rPr>
        <w:t>decision.</w:t>
      </w:r>
    </w:p>
    <w:p>
      <w:pPr>
        <w:pStyle w:val="BodyText"/>
        <w:rPr>
          <w:sz w:val="21"/>
        </w:rPr>
      </w:pPr>
    </w:p>
    <w:p>
      <w:pPr>
        <w:pStyle w:val="ListParagraph"/>
        <w:numPr>
          <w:ilvl w:val="2"/>
          <w:numId w:val="164"/>
        </w:numPr>
        <w:tabs>
          <w:tab w:pos="1233" w:val="left" w:leader="none"/>
          <w:tab w:pos="1234" w:val="left" w:leader="none"/>
          <w:tab w:pos="3839" w:val="left" w:leader="none"/>
        </w:tabs>
        <w:spacing w:line="273" w:lineRule="auto" w:before="0" w:after="0"/>
        <w:ind w:left="513" w:right="2061" w:firstLine="0"/>
        <w:jc w:val="left"/>
        <w:rPr>
          <w:sz w:val="18"/>
        </w:rPr>
      </w:pPr>
      <w:r>
        <w:rPr>
          <w:color w:val="231F20"/>
          <w:w w:val="110"/>
          <w:sz w:val="18"/>
        </w:rPr>
        <w:t>If the decision is to delete the name of the Minister </w:t>
      </w:r>
      <w:r>
        <w:rPr>
          <w:color w:val="231F20"/>
          <w:spacing w:val="2"/>
          <w:w w:val="110"/>
          <w:sz w:val="18"/>
        </w:rPr>
        <w:t>from </w:t>
      </w:r>
      <w:r>
        <w:rPr>
          <w:color w:val="231F20"/>
          <w:w w:val="110"/>
          <w:sz w:val="18"/>
        </w:rPr>
        <w:t>the Roll of Ministers, the Assembly Commission is particularly requested to include appropriate guidance concerning any </w:t>
      </w:r>
      <w:r>
        <w:rPr>
          <w:color w:val="231F20"/>
          <w:spacing w:val="2"/>
          <w:w w:val="110"/>
          <w:sz w:val="18"/>
        </w:rPr>
        <w:t>restrictions </w:t>
      </w:r>
      <w:r>
        <w:rPr>
          <w:color w:val="231F20"/>
          <w:w w:val="110"/>
          <w:sz w:val="18"/>
        </w:rPr>
        <w:t>which it considers ought to be placed upon any activities involving the Minister </w:t>
      </w:r>
      <w:r>
        <w:rPr>
          <w:color w:val="231F20"/>
          <w:spacing w:val="2"/>
          <w:w w:val="110"/>
          <w:sz w:val="18"/>
        </w:rPr>
        <w:t>after </w:t>
      </w:r>
      <w:r>
        <w:rPr>
          <w:color w:val="231F20"/>
          <w:w w:val="110"/>
          <w:sz w:val="18"/>
        </w:rPr>
        <w:t>his/her deletion with the object of assisting moderators    of synod, </w:t>
      </w:r>
      <w:r>
        <w:rPr>
          <w:color w:val="231F20"/>
          <w:spacing w:val="2"/>
          <w:w w:val="110"/>
          <w:sz w:val="18"/>
        </w:rPr>
        <w:t>district </w:t>
      </w:r>
      <w:r>
        <w:rPr>
          <w:color w:val="231F20"/>
          <w:w w:val="110"/>
          <w:sz w:val="18"/>
        </w:rPr>
        <w:t>councils, local churches, the General Secretary, the Deputy General Secretary, the </w:t>
      </w:r>
      <w:r>
        <w:rPr>
          <w:color w:val="231F20"/>
          <w:spacing w:val="3"/>
          <w:w w:val="110"/>
          <w:sz w:val="18"/>
        </w:rPr>
        <w:t>Secretary </w:t>
      </w:r>
      <w:r>
        <w:rPr>
          <w:color w:val="231F20"/>
          <w:w w:val="110"/>
          <w:sz w:val="18"/>
        </w:rPr>
        <w:t>for Ministries and others within the Church and also any relevant</w:t>
      </w:r>
      <w:r>
        <w:rPr>
          <w:color w:val="231F20"/>
          <w:spacing w:val="24"/>
          <w:w w:val="110"/>
          <w:sz w:val="18"/>
        </w:rPr>
        <w:t> </w:t>
      </w:r>
      <w:r>
        <w:rPr>
          <w:color w:val="231F20"/>
          <w:w w:val="110"/>
          <w:sz w:val="18"/>
        </w:rPr>
        <w:t>Outside</w:t>
      </w:r>
      <w:r>
        <w:rPr>
          <w:color w:val="231F20"/>
          <w:spacing w:val="24"/>
          <w:w w:val="110"/>
          <w:sz w:val="18"/>
        </w:rPr>
        <w:t> </w:t>
      </w:r>
      <w:r>
        <w:rPr>
          <w:color w:val="231F20"/>
          <w:w w:val="110"/>
          <w:sz w:val="18"/>
        </w:rPr>
        <w:t>Organisation.</w:t>
        <w:tab/>
        <w:t>It is emphasised that any such guidance is of an </w:t>
      </w:r>
      <w:r>
        <w:rPr>
          <w:color w:val="231F20"/>
          <w:spacing w:val="2"/>
          <w:w w:val="110"/>
          <w:sz w:val="18"/>
        </w:rPr>
        <w:t>advisory </w:t>
      </w:r>
      <w:r>
        <w:rPr>
          <w:color w:val="231F20"/>
          <w:w w:val="110"/>
          <w:sz w:val="18"/>
        </w:rPr>
        <w:t>nature and does not form </w:t>
      </w:r>
      <w:r>
        <w:rPr>
          <w:color w:val="231F20"/>
          <w:spacing w:val="2"/>
          <w:w w:val="110"/>
          <w:sz w:val="18"/>
        </w:rPr>
        <w:t>part </w:t>
      </w:r>
      <w:r>
        <w:rPr>
          <w:color w:val="231F20"/>
          <w:w w:val="110"/>
          <w:sz w:val="18"/>
        </w:rPr>
        <w:t>of the</w:t>
      </w:r>
      <w:r>
        <w:rPr>
          <w:color w:val="231F20"/>
          <w:spacing w:val="16"/>
          <w:w w:val="110"/>
          <w:sz w:val="18"/>
        </w:rPr>
        <w:t> </w:t>
      </w:r>
      <w:r>
        <w:rPr>
          <w:color w:val="231F20"/>
          <w:w w:val="110"/>
          <w:sz w:val="18"/>
        </w:rPr>
        <w:t>decision.</w:t>
      </w:r>
    </w:p>
    <w:p>
      <w:pPr>
        <w:pStyle w:val="BodyText"/>
        <w:rPr>
          <w:sz w:val="21"/>
        </w:rPr>
      </w:pPr>
    </w:p>
    <w:p>
      <w:pPr>
        <w:pStyle w:val="ListParagraph"/>
        <w:numPr>
          <w:ilvl w:val="1"/>
          <w:numId w:val="165"/>
        </w:numPr>
        <w:tabs>
          <w:tab w:pos="1233" w:val="left" w:leader="none"/>
          <w:tab w:pos="1234" w:val="left" w:leader="none"/>
        </w:tabs>
        <w:spacing w:line="273" w:lineRule="auto" w:before="0" w:after="0"/>
        <w:ind w:left="513" w:right="2625" w:firstLine="0"/>
        <w:jc w:val="left"/>
        <w:rPr>
          <w:sz w:val="18"/>
        </w:rPr>
      </w:pPr>
      <w:r>
        <w:rPr>
          <w:color w:val="231F20"/>
          <w:w w:val="110"/>
          <w:sz w:val="18"/>
        </w:rPr>
        <w:t>In recording its decision the Assembly Commission shall comply with the following:</w:t>
      </w:r>
    </w:p>
    <w:p>
      <w:pPr>
        <w:pStyle w:val="BodyText"/>
        <w:spacing w:before="7"/>
        <w:rPr>
          <w:sz w:val="20"/>
        </w:rPr>
      </w:pPr>
    </w:p>
    <w:p>
      <w:pPr>
        <w:pStyle w:val="ListParagraph"/>
        <w:numPr>
          <w:ilvl w:val="2"/>
          <w:numId w:val="165"/>
        </w:numPr>
        <w:tabs>
          <w:tab w:pos="1233" w:val="left" w:leader="none"/>
          <w:tab w:pos="1234" w:val="left" w:leader="none"/>
        </w:tabs>
        <w:spacing w:line="240" w:lineRule="auto" w:before="1" w:after="0"/>
        <w:ind w:left="1233" w:right="0" w:hanging="721"/>
        <w:jc w:val="left"/>
        <w:rPr>
          <w:sz w:val="18"/>
        </w:rPr>
      </w:pPr>
      <w:r>
        <w:rPr>
          <w:color w:val="231F20"/>
          <w:w w:val="110"/>
          <w:sz w:val="18"/>
        </w:rPr>
        <w:t>It shall state whether its decision is unanimous or by a</w:t>
      </w:r>
      <w:r>
        <w:rPr>
          <w:color w:val="231F20"/>
          <w:spacing w:val="22"/>
          <w:w w:val="110"/>
          <w:sz w:val="18"/>
        </w:rPr>
        <w:t> </w:t>
      </w:r>
      <w:r>
        <w:rPr>
          <w:color w:val="231F20"/>
          <w:w w:val="110"/>
          <w:sz w:val="18"/>
        </w:rPr>
        <w:t>majority.</w:t>
      </w:r>
    </w:p>
    <w:p>
      <w:pPr>
        <w:pStyle w:val="BodyText"/>
        <w:spacing w:before="1"/>
        <w:rPr>
          <w:sz w:val="23"/>
        </w:rPr>
      </w:pPr>
    </w:p>
    <w:p>
      <w:pPr>
        <w:pStyle w:val="ListParagraph"/>
        <w:numPr>
          <w:ilvl w:val="2"/>
          <w:numId w:val="165"/>
        </w:numPr>
        <w:tabs>
          <w:tab w:pos="1233" w:val="left" w:leader="none"/>
          <w:tab w:pos="1234" w:val="left" w:leader="none"/>
        </w:tabs>
        <w:spacing w:line="240" w:lineRule="auto" w:before="0" w:after="0"/>
        <w:ind w:left="1233" w:right="0" w:hanging="721"/>
        <w:jc w:val="left"/>
        <w:rPr>
          <w:sz w:val="18"/>
        </w:rPr>
      </w:pPr>
      <w:r>
        <w:rPr>
          <w:color w:val="231F20"/>
          <w:w w:val="110"/>
          <w:sz w:val="18"/>
        </w:rPr>
        <w:t>It shall set out any </w:t>
      </w:r>
      <w:r>
        <w:rPr>
          <w:color w:val="231F20"/>
          <w:spacing w:val="2"/>
          <w:w w:val="110"/>
          <w:sz w:val="18"/>
        </w:rPr>
        <w:t>written </w:t>
      </w:r>
      <w:r>
        <w:rPr>
          <w:color w:val="231F20"/>
          <w:w w:val="110"/>
          <w:sz w:val="18"/>
        </w:rPr>
        <w:t>warning issued to the Minister under Paragraph</w:t>
      </w:r>
      <w:r>
        <w:rPr>
          <w:color w:val="231F20"/>
          <w:spacing w:val="42"/>
          <w:w w:val="110"/>
          <w:sz w:val="18"/>
        </w:rPr>
        <w:t> </w:t>
      </w:r>
      <w:r>
        <w:rPr>
          <w:color w:val="231F20"/>
          <w:spacing w:val="-4"/>
          <w:w w:val="110"/>
          <w:sz w:val="18"/>
        </w:rPr>
        <w:t>F.2.2.</w:t>
      </w:r>
    </w:p>
    <w:p>
      <w:pPr>
        <w:pStyle w:val="BodyText"/>
        <w:spacing w:before="2"/>
        <w:rPr>
          <w:sz w:val="23"/>
        </w:rPr>
      </w:pPr>
    </w:p>
    <w:p>
      <w:pPr>
        <w:pStyle w:val="ListParagraph"/>
        <w:numPr>
          <w:ilvl w:val="2"/>
          <w:numId w:val="165"/>
        </w:numPr>
        <w:tabs>
          <w:tab w:pos="1233" w:val="left" w:leader="none"/>
          <w:tab w:pos="1234" w:val="left" w:leader="none"/>
        </w:tabs>
        <w:spacing w:line="273" w:lineRule="auto" w:before="0" w:after="0"/>
        <w:ind w:left="513" w:right="1909" w:firstLine="0"/>
        <w:jc w:val="left"/>
        <w:rPr>
          <w:sz w:val="18"/>
        </w:rPr>
      </w:pPr>
      <w:r>
        <w:rPr>
          <w:color w:val="231F20"/>
          <w:w w:val="110"/>
          <w:sz w:val="18"/>
        </w:rPr>
        <w:t>It shall append a written statement of its reasons for reaching its decision, but shall not be obliged (unless it wishes to do </w:t>
      </w:r>
      <w:r>
        <w:rPr>
          <w:color w:val="231F20"/>
          <w:spacing w:val="-4"/>
          <w:w w:val="110"/>
          <w:sz w:val="18"/>
        </w:rPr>
        <w:t>so) </w:t>
      </w:r>
      <w:r>
        <w:rPr>
          <w:color w:val="231F20"/>
          <w:w w:val="110"/>
          <w:sz w:val="18"/>
        </w:rPr>
        <w:t>to comment in detail on all or any of the </w:t>
      </w:r>
      <w:r>
        <w:rPr>
          <w:color w:val="231F20"/>
          <w:spacing w:val="2"/>
          <w:w w:val="110"/>
          <w:sz w:val="18"/>
        </w:rPr>
        <w:t>matters </w:t>
      </w:r>
      <w:r>
        <w:rPr>
          <w:color w:val="231F20"/>
          <w:w w:val="110"/>
          <w:sz w:val="18"/>
        </w:rPr>
        <w:t>of evidence laid </w:t>
      </w:r>
      <w:r>
        <w:rPr>
          <w:color w:val="231F20"/>
          <w:spacing w:val="2"/>
          <w:w w:val="110"/>
          <w:sz w:val="18"/>
        </w:rPr>
        <w:t>before</w:t>
      </w:r>
      <w:r>
        <w:rPr>
          <w:color w:val="231F20"/>
          <w:spacing w:val="4"/>
          <w:w w:val="110"/>
          <w:sz w:val="18"/>
        </w:rPr>
        <w:t> </w:t>
      </w:r>
      <w:r>
        <w:rPr>
          <w:color w:val="231F20"/>
          <w:w w:val="110"/>
          <w:sz w:val="18"/>
        </w:rPr>
        <w:t>it.</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65"/>
        </w:numPr>
        <w:tabs>
          <w:tab w:pos="1800" w:val="left" w:leader="none"/>
          <w:tab w:pos="1801" w:val="left" w:leader="none"/>
        </w:tabs>
        <w:spacing w:line="273" w:lineRule="auto" w:before="101" w:after="0"/>
        <w:ind w:left="1080" w:right="1422" w:firstLine="0"/>
        <w:jc w:val="left"/>
        <w:rPr>
          <w:sz w:val="18"/>
        </w:rPr>
      </w:pPr>
      <w:r>
        <w:rPr>
          <w:color w:val="231F20"/>
          <w:w w:val="110"/>
          <w:sz w:val="18"/>
        </w:rPr>
        <w:t>The decision so taken shall conclude the involvement of the Assembly Commission in the </w:t>
      </w:r>
      <w:r>
        <w:rPr>
          <w:color w:val="231F20"/>
          <w:spacing w:val="2"/>
          <w:w w:val="110"/>
          <w:sz w:val="18"/>
        </w:rPr>
        <w:t>Section </w:t>
      </w:r>
      <w:r>
        <w:rPr>
          <w:color w:val="231F20"/>
          <w:w w:val="110"/>
          <w:sz w:val="18"/>
        </w:rPr>
        <w:t>O Process, except as to the discharge of its responsibilities under Paragraph J.2, and shall have the </w:t>
      </w:r>
      <w:r>
        <w:rPr>
          <w:color w:val="231F20"/>
          <w:spacing w:val="3"/>
          <w:w w:val="110"/>
          <w:sz w:val="18"/>
        </w:rPr>
        <w:t>effect </w:t>
      </w:r>
      <w:r>
        <w:rPr>
          <w:color w:val="231F20"/>
          <w:w w:val="110"/>
          <w:sz w:val="18"/>
        </w:rPr>
        <w:t>provided for in Paragraph</w:t>
      </w:r>
      <w:r>
        <w:rPr>
          <w:color w:val="231F20"/>
          <w:spacing w:val="47"/>
          <w:w w:val="110"/>
          <w:sz w:val="18"/>
        </w:rPr>
        <w:t> </w:t>
      </w:r>
      <w:r>
        <w:rPr>
          <w:color w:val="231F20"/>
          <w:spacing w:val="-14"/>
          <w:w w:val="110"/>
          <w:sz w:val="18"/>
        </w:rPr>
        <w:t>F.7.</w:t>
      </w:r>
    </w:p>
    <w:p>
      <w:pPr>
        <w:pStyle w:val="BodyText"/>
        <w:spacing w:before="8"/>
        <w:rPr>
          <w:sz w:val="20"/>
        </w:rPr>
      </w:pPr>
    </w:p>
    <w:p>
      <w:pPr>
        <w:pStyle w:val="ListParagraph"/>
        <w:numPr>
          <w:ilvl w:val="1"/>
          <w:numId w:val="165"/>
        </w:numPr>
        <w:tabs>
          <w:tab w:pos="1800" w:val="left" w:leader="none"/>
          <w:tab w:pos="1801" w:val="left" w:leader="none"/>
          <w:tab w:pos="2520" w:val="left" w:leader="none"/>
        </w:tabs>
        <w:spacing w:line="273" w:lineRule="auto" w:before="0" w:after="0"/>
        <w:ind w:left="1080" w:right="1146" w:firstLine="0"/>
        <w:jc w:val="left"/>
        <w:rPr>
          <w:sz w:val="18"/>
        </w:rPr>
      </w:pPr>
      <w:r>
        <w:rPr>
          <w:color w:val="231F20"/>
          <w:spacing w:val="-7"/>
          <w:w w:val="110"/>
          <w:sz w:val="18"/>
        </w:rPr>
        <w:t>F.5.1</w:t>
        <w:tab/>
      </w:r>
      <w:r>
        <w:rPr>
          <w:color w:val="231F20"/>
          <w:w w:val="110"/>
          <w:sz w:val="18"/>
        </w:rPr>
        <w:t>The </w:t>
      </w:r>
      <w:r>
        <w:rPr>
          <w:color w:val="231F20"/>
          <w:spacing w:val="3"/>
          <w:w w:val="110"/>
          <w:sz w:val="18"/>
        </w:rPr>
        <w:t>Secretary </w:t>
      </w:r>
      <w:r>
        <w:rPr>
          <w:color w:val="231F20"/>
          <w:w w:val="110"/>
          <w:sz w:val="18"/>
        </w:rPr>
        <w:t>of the Assembly Commission shall within </w:t>
      </w:r>
      <w:r>
        <w:rPr>
          <w:color w:val="231F20"/>
          <w:spacing w:val="-4"/>
          <w:w w:val="110"/>
          <w:sz w:val="18"/>
        </w:rPr>
        <w:t>10 </w:t>
      </w:r>
      <w:r>
        <w:rPr>
          <w:color w:val="231F20"/>
          <w:w w:val="110"/>
          <w:sz w:val="18"/>
        </w:rPr>
        <w:t>days of the  date of the decision </w:t>
      </w:r>
      <w:r>
        <w:rPr>
          <w:color w:val="231F20"/>
          <w:spacing w:val="2"/>
          <w:w w:val="110"/>
          <w:sz w:val="18"/>
        </w:rPr>
        <w:t>serve </w:t>
      </w:r>
      <w:r>
        <w:rPr>
          <w:color w:val="231F20"/>
          <w:w w:val="110"/>
          <w:sz w:val="18"/>
        </w:rPr>
        <w:t>on the Minister and the Mandated Group notice of the decision and of the </w:t>
      </w:r>
      <w:r>
        <w:rPr>
          <w:color w:val="231F20"/>
          <w:spacing w:val="2"/>
          <w:w w:val="110"/>
          <w:sz w:val="18"/>
        </w:rPr>
        <w:t>written </w:t>
      </w:r>
      <w:r>
        <w:rPr>
          <w:color w:val="231F20"/>
          <w:w w:val="110"/>
          <w:sz w:val="18"/>
        </w:rPr>
        <w:t>Statement of Reasons given under Paragraph </w:t>
      </w:r>
      <w:r>
        <w:rPr>
          <w:color w:val="231F20"/>
          <w:spacing w:val="-5"/>
          <w:w w:val="110"/>
          <w:sz w:val="18"/>
        </w:rPr>
        <w:t>F.3.3. </w:t>
      </w:r>
      <w:r>
        <w:rPr>
          <w:color w:val="231F20"/>
          <w:w w:val="110"/>
          <w:sz w:val="18"/>
        </w:rPr>
        <w:t>Such notice shall draw the attention of the Minister and the Mandated Group to the </w:t>
      </w:r>
      <w:r>
        <w:rPr>
          <w:color w:val="231F20"/>
          <w:spacing w:val="2"/>
          <w:w w:val="110"/>
          <w:sz w:val="18"/>
        </w:rPr>
        <w:t>strict </w:t>
      </w:r>
      <w:r>
        <w:rPr>
          <w:color w:val="231F20"/>
          <w:w w:val="110"/>
          <w:sz w:val="18"/>
        </w:rPr>
        <w:t>time limit for </w:t>
      </w:r>
      <w:r>
        <w:rPr>
          <w:color w:val="231F20"/>
          <w:spacing w:val="2"/>
          <w:w w:val="110"/>
          <w:sz w:val="18"/>
        </w:rPr>
        <w:t>serving </w:t>
      </w:r>
      <w:r>
        <w:rPr>
          <w:color w:val="231F20"/>
          <w:w w:val="110"/>
          <w:sz w:val="18"/>
        </w:rPr>
        <w:t>Notice of Appeal under Paragraph</w:t>
      </w:r>
      <w:r>
        <w:rPr>
          <w:color w:val="231F20"/>
          <w:spacing w:val="9"/>
          <w:w w:val="110"/>
          <w:sz w:val="18"/>
        </w:rPr>
        <w:t> </w:t>
      </w:r>
      <w:r>
        <w:rPr>
          <w:color w:val="231F20"/>
          <w:spacing w:val="-5"/>
          <w:w w:val="110"/>
          <w:sz w:val="18"/>
        </w:rPr>
        <w:t>G.1.1.</w:t>
      </w:r>
    </w:p>
    <w:p>
      <w:pPr>
        <w:pStyle w:val="BodyText"/>
        <w:spacing w:before="10"/>
        <w:rPr>
          <w:sz w:val="20"/>
        </w:rPr>
      </w:pPr>
    </w:p>
    <w:p>
      <w:pPr>
        <w:pStyle w:val="BodyText"/>
        <w:tabs>
          <w:tab w:pos="1800" w:val="left" w:leader="none"/>
        </w:tabs>
        <w:spacing w:line="273" w:lineRule="auto" w:before="1"/>
        <w:ind w:left="1080" w:right="1457"/>
      </w:pPr>
      <w:r>
        <w:rPr>
          <w:color w:val="231F20"/>
          <w:spacing w:val="-6"/>
          <w:w w:val="110"/>
        </w:rPr>
        <w:t>F.5.2</w:t>
        <w:tab/>
      </w:r>
      <w:r>
        <w:rPr>
          <w:color w:val="231F20"/>
          <w:w w:val="110"/>
        </w:rPr>
        <w:t>If Paragraph </w:t>
      </w:r>
      <w:r>
        <w:rPr>
          <w:color w:val="231F20"/>
          <w:spacing w:val="-5"/>
          <w:w w:val="110"/>
        </w:rPr>
        <w:t>F.2.2 </w:t>
      </w:r>
      <w:r>
        <w:rPr>
          <w:color w:val="231F20"/>
          <w:w w:val="110"/>
        </w:rPr>
        <w:t>applies, s/he shall at the same time </w:t>
      </w:r>
      <w:r>
        <w:rPr>
          <w:color w:val="231F20"/>
          <w:spacing w:val="-4"/>
          <w:w w:val="110"/>
        </w:rPr>
        <w:t>(i) </w:t>
      </w:r>
      <w:r>
        <w:rPr>
          <w:color w:val="231F20"/>
          <w:spacing w:val="2"/>
          <w:w w:val="110"/>
        </w:rPr>
        <w:t>serve </w:t>
      </w:r>
      <w:r>
        <w:rPr>
          <w:color w:val="231F20"/>
          <w:w w:val="110"/>
        </w:rPr>
        <w:t>on the Minister any </w:t>
      </w:r>
      <w:r>
        <w:rPr>
          <w:color w:val="231F20"/>
          <w:spacing w:val="2"/>
          <w:w w:val="110"/>
        </w:rPr>
        <w:t>written </w:t>
      </w:r>
      <w:r>
        <w:rPr>
          <w:color w:val="231F20"/>
          <w:w w:val="110"/>
        </w:rPr>
        <w:t>warning </w:t>
      </w:r>
      <w:r>
        <w:rPr>
          <w:color w:val="231F20"/>
          <w:spacing w:val="2"/>
          <w:w w:val="110"/>
        </w:rPr>
        <w:t>referred </w:t>
      </w:r>
      <w:r>
        <w:rPr>
          <w:color w:val="231F20"/>
          <w:w w:val="110"/>
        </w:rPr>
        <w:t>to in that Paragraph, </w:t>
      </w:r>
      <w:r>
        <w:rPr>
          <w:color w:val="231F20"/>
          <w:spacing w:val="-3"/>
          <w:w w:val="110"/>
        </w:rPr>
        <w:t>(ii) </w:t>
      </w:r>
      <w:r>
        <w:rPr>
          <w:color w:val="231F20"/>
          <w:w w:val="110"/>
        </w:rPr>
        <w:t>send a copy thereof to the Mandated Group and (iii) send to the Minister and the Mandated Group copies of any recommendations or guidance appended to the decision of the Assembly Commission under Paragraph </w:t>
      </w:r>
      <w:r>
        <w:rPr>
          <w:color w:val="231F20"/>
          <w:spacing w:val="-5"/>
          <w:w w:val="110"/>
        </w:rPr>
        <w:t>F.2.3 </w:t>
      </w:r>
      <w:r>
        <w:rPr>
          <w:color w:val="231F20"/>
          <w:w w:val="110"/>
        </w:rPr>
        <w:t>or Paragraph</w:t>
      </w:r>
      <w:r>
        <w:rPr>
          <w:color w:val="231F20"/>
          <w:spacing w:val="12"/>
          <w:w w:val="110"/>
        </w:rPr>
        <w:t> </w:t>
      </w:r>
      <w:r>
        <w:rPr>
          <w:color w:val="231F20"/>
          <w:spacing w:val="-6"/>
          <w:w w:val="110"/>
        </w:rPr>
        <w:t>F.2.4.</w:t>
      </w:r>
    </w:p>
    <w:p>
      <w:pPr>
        <w:pStyle w:val="BodyText"/>
        <w:spacing w:before="9"/>
        <w:rPr>
          <w:sz w:val="20"/>
        </w:rPr>
      </w:pPr>
    </w:p>
    <w:p>
      <w:pPr>
        <w:pStyle w:val="ListParagraph"/>
        <w:numPr>
          <w:ilvl w:val="1"/>
          <w:numId w:val="165"/>
        </w:numPr>
        <w:tabs>
          <w:tab w:pos="1800" w:val="left" w:leader="none"/>
          <w:tab w:pos="1801" w:val="left" w:leader="none"/>
          <w:tab w:pos="2520" w:val="left" w:leader="none"/>
        </w:tabs>
        <w:spacing w:line="273" w:lineRule="auto" w:before="1" w:after="0"/>
        <w:ind w:left="1080" w:right="1599" w:firstLine="0"/>
        <w:jc w:val="left"/>
        <w:rPr>
          <w:sz w:val="18"/>
        </w:rPr>
      </w:pPr>
      <w:r>
        <w:rPr>
          <w:color w:val="231F20"/>
          <w:spacing w:val="-7"/>
          <w:w w:val="110"/>
          <w:sz w:val="18"/>
        </w:rPr>
        <w:t>F.6.1</w:t>
        <w:tab/>
      </w:r>
      <w:r>
        <w:rPr>
          <w:color w:val="231F20"/>
          <w:w w:val="110"/>
          <w:sz w:val="18"/>
        </w:rPr>
        <w:t>At the same time as s/he </w:t>
      </w:r>
      <w:r>
        <w:rPr>
          <w:color w:val="231F20"/>
          <w:spacing w:val="2"/>
          <w:w w:val="110"/>
          <w:sz w:val="18"/>
        </w:rPr>
        <w:t>serves </w:t>
      </w:r>
      <w:r>
        <w:rPr>
          <w:color w:val="231F20"/>
          <w:w w:val="110"/>
          <w:sz w:val="18"/>
        </w:rPr>
        <w:t>on the Minister and the Mandated Group</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documents</w:t>
      </w:r>
      <w:r>
        <w:rPr>
          <w:color w:val="231F20"/>
          <w:spacing w:val="10"/>
          <w:w w:val="110"/>
          <w:sz w:val="18"/>
        </w:rPr>
        <w:t> </w:t>
      </w:r>
      <w:r>
        <w:rPr>
          <w:color w:val="231F20"/>
          <w:spacing w:val="2"/>
          <w:w w:val="110"/>
          <w:sz w:val="18"/>
        </w:rPr>
        <w:t>referred</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Paragraphs</w:t>
      </w:r>
      <w:r>
        <w:rPr>
          <w:color w:val="231F20"/>
          <w:spacing w:val="10"/>
          <w:w w:val="110"/>
          <w:sz w:val="18"/>
        </w:rPr>
        <w:t> </w:t>
      </w:r>
      <w:r>
        <w:rPr>
          <w:color w:val="231F20"/>
          <w:spacing w:val="-7"/>
          <w:w w:val="110"/>
          <w:sz w:val="18"/>
        </w:rPr>
        <w:t>F.5.1</w:t>
      </w:r>
      <w:r>
        <w:rPr>
          <w:color w:val="231F20"/>
          <w:spacing w:val="10"/>
          <w:w w:val="110"/>
          <w:sz w:val="18"/>
        </w:rPr>
        <w:t> </w:t>
      </w:r>
      <w:r>
        <w:rPr>
          <w:color w:val="231F20"/>
          <w:w w:val="110"/>
          <w:sz w:val="18"/>
        </w:rPr>
        <w:t>and</w:t>
      </w:r>
      <w:r>
        <w:rPr>
          <w:color w:val="231F20"/>
          <w:spacing w:val="10"/>
          <w:w w:val="110"/>
          <w:sz w:val="18"/>
        </w:rPr>
        <w:t> </w:t>
      </w:r>
      <w:r>
        <w:rPr>
          <w:color w:val="231F20"/>
          <w:spacing w:val="-5"/>
          <w:w w:val="110"/>
          <w:sz w:val="18"/>
        </w:rPr>
        <w:t>F.5.2,</w:t>
      </w:r>
      <w:r>
        <w:rPr>
          <w:color w:val="231F20"/>
          <w:spacing w:val="10"/>
          <w:w w:val="110"/>
          <w:sz w:val="18"/>
        </w:rPr>
        <w:t> </w:t>
      </w:r>
      <w:r>
        <w:rPr>
          <w:color w:val="231F20"/>
          <w:w w:val="110"/>
          <w:sz w:val="18"/>
        </w:rPr>
        <w:t>the</w:t>
      </w:r>
      <w:r>
        <w:rPr>
          <w:color w:val="231F20"/>
          <w:spacing w:val="10"/>
          <w:w w:val="110"/>
          <w:sz w:val="18"/>
        </w:rPr>
        <w:t> </w:t>
      </w:r>
      <w:r>
        <w:rPr>
          <w:color w:val="231F20"/>
          <w:spacing w:val="3"/>
          <w:w w:val="110"/>
          <w:sz w:val="18"/>
        </w:rPr>
        <w:t>Secretary</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p>
    <w:p>
      <w:pPr>
        <w:pStyle w:val="BodyText"/>
        <w:spacing w:line="273" w:lineRule="auto" w:before="1"/>
        <w:ind w:left="1080" w:right="1375"/>
      </w:pPr>
      <w:r>
        <w:rPr>
          <w:color w:val="231F20"/>
          <w:w w:val="110"/>
        </w:rPr>
        <w:t>Assembly Commission shall send to the General Secretary, the Moderator of the Synod, the </w:t>
      </w:r>
      <w:r>
        <w:rPr>
          <w:color w:val="231F20"/>
          <w:spacing w:val="3"/>
          <w:w w:val="110"/>
        </w:rPr>
        <w:t>Secretary </w:t>
      </w:r>
      <w:r>
        <w:rPr>
          <w:color w:val="231F20"/>
          <w:w w:val="110"/>
        </w:rPr>
        <w:t>of the </w:t>
      </w:r>
      <w:r>
        <w:rPr>
          <w:color w:val="231F20"/>
          <w:spacing w:val="2"/>
          <w:w w:val="110"/>
        </w:rPr>
        <w:t>District </w:t>
      </w:r>
      <w:r>
        <w:rPr>
          <w:color w:val="231F20"/>
          <w:w w:val="110"/>
        </w:rPr>
        <w:t>Council, the </w:t>
      </w:r>
      <w:r>
        <w:rPr>
          <w:color w:val="231F20"/>
          <w:spacing w:val="3"/>
          <w:w w:val="110"/>
        </w:rPr>
        <w:t>Secretary </w:t>
      </w:r>
      <w:r>
        <w:rPr>
          <w:color w:val="231F20"/>
          <w:w w:val="110"/>
        </w:rPr>
        <w:t>for Ministries and, in a case arising under Paragraph </w:t>
      </w:r>
      <w:r>
        <w:rPr>
          <w:color w:val="231F20"/>
          <w:spacing w:val="-4"/>
          <w:w w:val="110"/>
        </w:rPr>
        <w:t>B.9.3, </w:t>
      </w:r>
      <w:r>
        <w:rPr>
          <w:color w:val="231F20"/>
          <w:w w:val="110"/>
        </w:rPr>
        <w:t>the Deputy General </w:t>
      </w:r>
      <w:r>
        <w:rPr>
          <w:color w:val="231F20"/>
          <w:spacing w:val="3"/>
          <w:w w:val="110"/>
        </w:rPr>
        <w:t>Secretary </w:t>
      </w:r>
      <w:r>
        <w:rPr>
          <w:color w:val="231F20"/>
          <w:w w:val="110"/>
        </w:rPr>
        <w:t>a Notice to the </w:t>
      </w:r>
      <w:r>
        <w:rPr>
          <w:color w:val="231F20"/>
          <w:spacing w:val="3"/>
          <w:w w:val="110"/>
        </w:rPr>
        <w:t>effect </w:t>
      </w:r>
      <w:r>
        <w:rPr>
          <w:color w:val="231F20"/>
          <w:w w:val="110"/>
        </w:rPr>
        <w:t>that a decision has been </w:t>
      </w:r>
      <w:r>
        <w:rPr>
          <w:color w:val="231F20"/>
          <w:spacing w:val="2"/>
          <w:w w:val="110"/>
        </w:rPr>
        <w:t>reached </w:t>
      </w:r>
      <w:r>
        <w:rPr>
          <w:color w:val="231F20"/>
          <w:w w:val="110"/>
        </w:rPr>
        <w:t>by the Assembly Commission, simply stating whether the decision of the Assembly Commission has been to delete or to retain the name of the Minister on the Roll of Ministers, and, if the latter, whether or not a decision to issue a </w:t>
      </w:r>
      <w:r>
        <w:rPr>
          <w:color w:val="231F20"/>
          <w:spacing w:val="2"/>
          <w:w w:val="110"/>
        </w:rPr>
        <w:t>written </w:t>
      </w:r>
      <w:r>
        <w:rPr>
          <w:color w:val="231F20"/>
          <w:w w:val="110"/>
        </w:rPr>
        <w:t>warning was also made. Such notice shall not contain any </w:t>
      </w:r>
      <w:r>
        <w:rPr>
          <w:color w:val="231F20"/>
          <w:spacing w:val="2"/>
          <w:w w:val="110"/>
        </w:rPr>
        <w:t>further </w:t>
      </w:r>
      <w:r>
        <w:rPr>
          <w:color w:val="231F20"/>
          <w:w w:val="110"/>
        </w:rPr>
        <w:t>information other than that the decision is still subject to the possibility of an appeal being lodged and that a </w:t>
      </w:r>
      <w:r>
        <w:rPr>
          <w:color w:val="231F20"/>
          <w:spacing w:val="2"/>
          <w:w w:val="110"/>
        </w:rPr>
        <w:t>further </w:t>
      </w:r>
      <w:r>
        <w:rPr>
          <w:color w:val="231F20"/>
          <w:w w:val="110"/>
        </w:rPr>
        <w:t>Notice will be sent under Paragraph </w:t>
      </w:r>
      <w:r>
        <w:rPr>
          <w:color w:val="231F20"/>
          <w:spacing w:val="-6"/>
          <w:w w:val="110"/>
        </w:rPr>
        <w:t>F.6.3 </w:t>
      </w:r>
      <w:r>
        <w:rPr>
          <w:color w:val="231F20"/>
          <w:w w:val="110"/>
        </w:rPr>
        <w:t>(if there is no Appeal) or under Paragraph </w:t>
      </w:r>
      <w:r>
        <w:rPr>
          <w:color w:val="231F20"/>
          <w:spacing w:val="-4"/>
          <w:w w:val="110"/>
        </w:rPr>
        <w:t>G.1.2.1 </w:t>
      </w:r>
      <w:r>
        <w:rPr>
          <w:color w:val="231F20"/>
          <w:w w:val="110"/>
        </w:rPr>
        <w:t>or Paragraph G.1.2.2 (if there is an</w:t>
      </w:r>
      <w:r>
        <w:rPr>
          <w:color w:val="231F20"/>
          <w:spacing w:val="31"/>
          <w:w w:val="110"/>
        </w:rPr>
        <w:t> </w:t>
      </w:r>
      <w:r>
        <w:rPr>
          <w:color w:val="231F20"/>
          <w:w w:val="110"/>
        </w:rPr>
        <w:t>Appeal).</w:t>
      </w:r>
    </w:p>
    <w:p>
      <w:pPr>
        <w:pStyle w:val="BodyText"/>
        <w:spacing w:before="1"/>
        <w:rPr>
          <w:sz w:val="21"/>
        </w:rPr>
      </w:pPr>
    </w:p>
    <w:p>
      <w:pPr>
        <w:pStyle w:val="ListParagraph"/>
        <w:numPr>
          <w:ilvl w:val="2"/>
          <w:numId w:val="166"/>
        </w:numPr>
        <w:tabs>
          <w:tab w:pos="1800" w:val="left" w:leader="none"/>
          <w:tab w:pos="1801" w:val="left" w:leader="none"/>
        </w:tabs>
        <w:spacing w:line="273" w:lineRule="auto" w:before="0" w:after="0"/>
        <w:ind w:left="1080" w:right="1780" w:firstLine="0"/>
        <w:jc w:val="left"/>
        <w:rPr>
          <w:sz w:val="18"/>
        </w:rPr>
      </w:pPr>
      <w:r>
        <w:rPr>
          <w:color w:val="231F20"/>
          <w:w w:val="110"/>
          <w:sz w:val="18"/>
        </w:rPr>
        <w:t>If an appeal is lodged by either Party, the procedure contained in </w:t>
      </w:r>
      <w:r>
        <w:rPr>
          <w:color w:val="231F20"/>
          <w:spacing w:val="2"/>
          <w:w w:val="110"/>
          <w:sz w:val="18"/>
        </w:rPr>
        <w:t>Section </w:t>
      </w:r>
      <w:r>
        <w:rPr>
          <w:color w:val="231F20"/>
          <w:w w:val="110"/>
          <w:sz w:val="18"/>
        </w:rPr>
        <w:t>G shall </w:t>
      </w:r>
      <w:r>
        <w:rPr>
          <w:color w:val="231F20"/>
          <w:spacing w:val="-3"/>
          <w:w w:val="110"/>
          <w:sz w:val="18"/>
        </w:rPr>
        <w:t>apply.</w:t>
      </w:r>
    </w:p>
    <w:p>
      <w:pPr>
        <w:pStyle w:val="BodyText"/>
        <w:spacing w:before="8"/>
        <w:rPr>
          <w:sz w:val="20"/>
        </w:rPr>
      </w:pPr>
    </w:p>
    <w:p>
      <w:pPr>
        <w:pStyle w:val="ListParagraph"/>
        <w:numPr>
          <w:ilvl w:val="2"/>
          <w:numId w:val="166"/>
        </w:numPr>
        <w:tabs>
          <w:tab w:pos="1800" w:val="left" w:leader="none"/>
          <w:tab w:pos="1801" w:val="left" w:leader="none"/>
        </w:tabs>
        <w:spacing w:line="273" w:lineRule="auto" w:before="0" w:after="0"/>
        <w:ind w:left="1080" w:right="1314" w:firstLine="0"/>
        <w:jc w:val="left"/>
        <w:rPr>
          <w:sz w:val="18"/>
        </w:rPr>
      </w:pPr>
      <w:r>
        <w:rPr>
          <w:color w:val="231F20"/>
          <w:w w:val="110"/>
          <w:sz w:val="18"/>
        </w:rPr>
        <w:t>If within the time specified in Paragraph </w:t>
      </w:r>
      <w:r>
        <w:rPr>
          <w:color w:val="231F20"/>
          <w:spacing w:val="-5"/>
          <w:w w:val="110"/>
          <w:sz w:val="18"/>
        </w:rPr>
        <w:t>G.1.1 </w:t>
      </w:r>
      <w:r>
        <w:rPr>
          <w:color w:val="231F20"/>
          <w:w w:val="110"/>
          <w:sz w:val="18"/>
        </w:rPr>
        <w:t>no appeal is lodged by either Party, the </w:t>
      </w:r>
      <w:r>
        <w:rPr>
          <w:color w:val="231F20"/>
          <w:spacing w:val="3"/>
          <w:w w:val="110"/>
          <w:sz w:val="18"/>
        </w:rPr>
        <w:t>Secretary </w:t>
      </w:r>
      <w:r>
        <w:rPr>
          <w:color w:val="231F20"/>
          <w:w w:val="110"/>
          <w:sz w:val="18"/>
        </w:rPr>
        <w:t>of the Assembly Commission shall within </w:t>
      </w:r>
      <w:r>
        <w:rPr>
          <w:color w:val="231F20"/>
          <w:spacing w:val="-4"/>
          <w:w w:val="110"/>
          <w:sz w:val="18"/>
        </w:rPr>
        <w:t>10 </w:t>
      </w:r>
      <w:r>
        <w:rPr>
          <w:color w:val="231F20"/>
          <w:w w:val="110"/>
          <w:sz w:val="18"/>
        </w:rPr>
        <w:t>days of the expiration of</w:t>
      </w:r>
      <w:r>
        <w:rPr>
          <w:color w:val="231F20"/>
          <w:spacing w:val="8"/>
          <w:w w:val="110"/>
          <w:sz w:val="18"/>
        </w:rPr>
        <w:t> </w:t>
      </w:r>
      <w:r>
        <w:rPr>
          <w:color w:val="231F20"/>
          <w:w w:val="110"/>
          <w:sz w:val="18"/>
        </w:rPr>
        <w:t>such</w:t>
      </w:r>
      <w:r>
        <w:rPr>
          <w:color w:val="231F20"/>
          <w:spacing w:val="8"/>
          <w:w w:val="110"/>
          <w:sz w:val="18"/>
        </w:rPr>
        <w:t> </w:t>
      </w:r>
      <w:r>
        <w:rPr>
          <w:color w:val="231F20"/>
          <w:w w:val="110"/>
          <w:sz w:val="18"/>
        </w:rPr>
        <w:t>period</w:t>
      </w:r>
      <w:r>
        <w:rPr>
          <w:color w:val="231F20"/>
          <w:spacing w:val="9"/>
          <w:w w:val="110"/>
          <w:sz w:val="18"/>
        </w:rPr>
        <w:t> </w:t>
      </w:r>
      <w:r>
        <w:rPr>
          <w:color w:val="231F20"/>
          <w:spacing w:val="-5"/>
          <w:w w:val="110"/>
          <w:sz w:val="18"/>
        </w:rPr>
        <w:t>(or</w:t>
      </w:r>
      <w:r>
        <w:rPr>
          <w:color w:val="231F20"/>
          <w:spacing w:val="8"/>
          <w:w w:val="110"/>
          <w:sz w:val="18"/>
        </w:rPr>
        <w:t> </w:t>
      </w:r>
      <w:r>
        <w:rPr>
          <w:color w:val="231F20"/>
          <w:w w:val="110"/>
          <w:sz w:val="18"/>
        </w:rPr>
        <w:t>within</w:t>
      </w:r>
      <w:r>
        <w:rPr>
          <w:color w:val="231F20"/>
          <w:spacing w:val="8"/>
          <w:w w:val="110"/>
          <w:sz w:val="18"/>
        </w:rPr>
        <w:t> </w:t>
      </w:r>
      <w:r>
        <w:rPr>
          <w:color w:val="231F20"/>
          <w:spacing w:val="-4"/>
          <w:w w:val="110"/>
          <w:sz w:val="18"/>
        </w:rPr>
        <w:t>10</w:t>
      </w:r>
      <w:r>
        <w:rPr>
          <w:color w:val="231F20"/>
          <w:spacing w:val="9"/>
          <w:w w:val="110"/>
          <w:sz w:val="18"/>
        </w:rPr>
        <w:t> </w:t>
      </w:r>
      <w:r>
        <w:rPr>
          <w:color w:val="231F20"/>
          <w:w w:val="110"/>
          <w:sz w:val="18"/>
        </w:rPr>
        <w:t>days</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8"/>
          <w:w w:val="110"/>
          <w:sz w:val="18"/>
        </w:rPr>
        <w:t> </w:t>
      </w:r>
      <w:r>
        <w:rPr>
          <w:color w:val="231F20"/>
          <w:w w:val="110"/>
          <w:sz w:val="18"/>
        </w:rPr>
        <w:t>decision</w:t>
      </w:r>
      <w:r>
        <w:rPr>
          <w:color w:val="231F20"/>
          <w:spacing w:val="8"/>
          <w:w w:val="110"/>
          <w:sz w:val="18"/>
        </w:rPr>
        <w:t> </w:t>
      </w:r>
      <w:r>
        <w:rPr>
          <w:color w:val="231F20"/>
          <w:w w:val="110"/>
          <w:sz w:val="18"/>
        </w:rPr>
        <w:t>itself</w:t>
      </w:r>
      <w:r>
        <w:rPr>
          <w:color w:val="231F20"/>
          <w:spacing w:val="9"/>
          <w:w w:val="110"/>
          <w:sz w:val="18"/>
        </w:rPr>
        <w:t> </w:t>
      </w:r>
      <w:r>
        <w:rPr>
          <w:color w:val="231F20"/>
          <w:w w:val="110"/>
          <w:sz w:val="18"/>
        </w:rPr>
        <w:t>if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first</w:t>
      </w:r>
      <w:r>
        <w:rPr>
          <w:color w:val="231F20"/>
          <w:spacing w:val="9"/>
          <w:w w:val="110"/>
          <w:sz w:val="18"/>
        </w:rPr>
        <w:t> </w:t>
      </w:r>
      <w:r>
        <w:rPr>
          <w:color w:val="231F20"/>
          <w:w w:val="110"/>
          <w:sz w:val="18"/>
        </w:rPr>
        <w:t>proviso</w:t>
      </w:r>
      <w:r>
        <w:rPr>
          <w:color w:val="231F20"/>
          <w:spacing w:val="8"/>
          <w:w w:val="110"/>
          <w:sz w:val="18"/>
        </w:rPr>
        <w:t> </w:t>
      </w:r>
      <w:r>
        <w:rPr>
          <w:color w:val="231F20"/>
          <w:w w:val="110"/>
          <w:sz w:val="18"/>
        </w:rPr>
        <w:t>to</w:t>
      </w:r>
      <w:r>
        <w:rPr>
          <w:color w:val="231F20"/>
          <w:spacing w:val="9"/>
          <w:w w:val="110"/>
          <w:sz w:val="18"/>
        </w:rPr>
        <w:t> </w:t>
      </w:r>
      <w:r>
        <w:rPr>
          <w:color w:val="231F20"/>
          <w:w w:val="110"/>
          <w:sz w:val="18"/>
        </w:rPr>
        <w:t>Paragraph</w:t>
      </w:r>
    </w:p>
    <w:p>
      <w:pPr>
        <w:pStyle w:val="BodyText"/>
        <w:spacing w:line="273" w:lineRule="auto" w:before="2"/>
        <w:ind w:left="1080" w:right="1327"/>
      </w:pPr>
      <w:r>
        <w:rPr>
          <w:color w:val="231F20"/>
          <w:spacing w:val="-11"/>
          <w:w w:val="110"/>
        </w:rPr>
        <w:t>F.7.2 </w:t>
      </w:r>
      <w:r>
        <w:rPr>
          <w:color w:val="231F20"/>
          <w:w w:val="110"/>
        </w:rPr>
        <w:t>applies or immediately upon receipt by him/her of irrevocable notices </w:t>
      </w:r>
      <w:r>
        <w:rPr>
          <w:color w:val="231F20"/>
          <w:spacing w:val="2"/>
          <w:w w:val="110"/>
        </w:rPr>
        <w:t>from </w:t>
      </w:r>
      <w:r>
        <w:rPr>
          <w:color w:val="231F20"/>
          <w:w w:val="110"/>
        </w:rPr>
        <w:t>both </w:t>
      </w:r>
      <w:r>
        <w:rPr>
          <w:color w:val="231F20"/>
          <w:spacing w:val="2"/>
          <w:w w:val="110"/>
        </w:rPr>
        <w:t>parties </w:t>
      </w:r>
      <w:r>
        <w:rPr>
          <w:color w:val="231F20"/>
          <w:w w:val="110"/>
        </w:rPr>
        <w:t>of the waiver of their rights of appeal if the second proviso to Paragraph </w:t>
      </w:r>
      <w:r>
        <w:rPr>
          <w:color w:val="231F20"/>
          <w:spacing w:val="-12"/>
          <w:w w:val="110"/>
        </w:rPr>
        <w:t>F.7.2 </w:t>
      </w:r>
      <w:r>
        <w:rPr>
          <w:color w:val="231F20"/>
          <w:w w:val="110"/>
        </w:rPr>
        <w:t>applies) send to the Minister and the Mandated Group and the </w:t>
      </w:r>
      <w:r>
        <w:rPr>
          <w:color w:val="231F20"/>
          <w:spacing w:val="2"/>
          <w:w w:val="110"/>
        </w:rPr>
        <w:t>persons referred </w:t>
      </w:r>
      <w:r>
        <w:rPr>
          <w:color w:val="231F20"/>
          <w:w w:val="110"/>
        </w:rPr>
        <w:t>to in Paragraph </w:t>
      </w:r>
      <w:r>
        <w:rPr>
          <w:color w:val="231F20"/>
          <w:spacing w:val="-8"/>
          <w:w w:val="110"/>
        </w:rPr>
        <w:t>F.6.1 </w:t>
      </w:r>
      <w:r>
        <w:rPr>
          <w:color w:val="231F20"/>
          <w:w w:val="110"/>
        </w:rPr>
        <w:t>notice of that </w:t>
      </w:r>
      <w:r>
        <w:rPr>
          <w:color w:val="231F20"/>
          <w:spacing w:val="2"/>
          <w:w w:val="110"/>
        </w:rPr>
        <w:t>fact </w:t>
      </w:r>
      <w:r>
        <w:rPr>
          <w:color w:val="231F20"/>
          <w:w w:val="110"/>
        </w:rPr>
        <w:t>and of the consequent termination of the Minister’s Suspension in accordance with Paragraph </w:t>
      </w:r>
      <w:r>
        <w:rPr>
          <w:color w:val="231F20"/>
          <w:spacing w:val="-13"/>
          <w:w w:val="110"/>
        </w:rPr>
        <w:t>F.7.1  </w:t>
      </w:r>
      <w:r>
        <w:rPr>
          <w:color w:val="231F20"/>
          <w:w w:val="110"/>
        </w:rPr>
        <w:t>or </w:t>
      </w:r>
      <w:r>
        <w:rPr>
          <w:color w:val="231F20"/>
          <w:spacing w:val="-12"/>
          <w:w w:val="110"/>
        </w:rPr>
        <w:t>F.7.2  </w:t>
      </w:r>
      <w:r>
        <w:rPr>
          <w:color w:val="231F20"/>
          <w:w w:val="110"/>
        </w:rPr>
        <w:t>whichever is applicable and at  the same time shall send to those </w:t>
      </w:r>
      <w:r>
        <w:rPr>
          <w:color w:val="231F20"/>
          <w:spacing w:val="2"/>
          <w:w w:val="110"/>
        </w:rPr>
        <w:t>persons </w:t>
      </w:r>
      <w:r>
        <w:rPr>
          <w:color w:val="231F20"/>
          <w:w w:val="110"/>
        </w:rPr>
        <w:t>(with the exception of the </w:t>
      </w:r>
      <w:r>
        <w:rPr>
          <w:color w:val="231F20"/>
          <w:spacing w:val="3"/>
          <w:w w:val="110"/>
        </w:rPr>
        <w:t>Secretary </w:t>
      </w:r>
      <w:r>
        <w:rPr>
          <w:color w:val="231F20"/>
          <w:w w:val="110"/>
        </w:rPr>
        <w:t>of the </w:t>
      </w:r>
      <w:r>
        <w:rPr>
          <w:color w:val="231F20"/>
          <w:spacing w:val="2"/>
          <w:w w:val="110"/>
        </w:rPr>
        <w:t>District </w:t>
      </w:r>
      <w:r>
        <w:rPr>
          <w:color w:val="231F20"/>
          <w:w w:val="110"/>
        </w:rPr>
        <w:t>Council and the </w:t>
      </w:r>
      <w:r>
        <w:rPr>
          <w:color w:val="231F20"/>
          <w:spacing w:val="3"/>
          <w:w w:val="110"/>
        </w:rPr>
        <w:t>Secretary </w:t>
      </w:r>
      <w:r>
        <w:rPr>
          <w:color w:val="231F20"/>
          <w:w w:val="110"/>
        </w:rPr>
        <w:t>for Ministries on the grounds of confidentiality) copies of the Statement of Reasons sent to the Minister and the Mandated Group in accordance with Paragraph </w:t>
      </w:r>
      <w:r>
        <w:rPr>
          <w:color w:val="231F20"/>
          <w:spacing w:val="-7"/>
          <w:w w:val="110"/>
        </w:rPr>
        <w:t>F.5.1.   </w:t>
      </w:r>
      <w:r>
        <w:rPr>
          <w:color w:val="231F20"/>
          <w:w w:val="110"/>
        </w:rPr>
        <w:t>At the same time the </w:t>
      </w:r>
      <w:r>
        <w:rPr>
          <w:color w:val="231F20"/>
          <w:spacing w:val="3"/>
          <w:w w:val="110"/>
        </w:rPr>
        <w:t>Secretary </w:t>
      </w:r>
      <w:r>
        <w:rPr>
          <w:color w:val="231F20"/>
          <w:w w:val="110"/>
        </w:rPr>
        <w:t>of the Assembly Commission   shall send to all those persons, including the </w:t>
      </w:r>
      <w:r>
        <w:rPr>
          <w:color w:val="231F20"/>
          <w:spacing w:val="3"/>
          <w:w w:val="110"/>
        </w:rPr>
        <w:t>Secretary </w:t>
      </w:r>
      <w:r>
        <w:rPr>
          <w:color w:val="231F20"/>
          <w:w w:val="110"/>
        </w:rPr>
        <w:t>of the </w:t>
      </w:r>
      <w:r>
        <w:rPr>
          <w:color w:val="231F20"/>
          <w:spacing w:val="2"/>
          <w:w w:val="110"/>
        </w:rPr>
        <w:t>District </w:t>
      </w:r>
      <w:r>
        <w:rPr>
          <w:color w:val="231F20"/>
          <w:w w:val="110"/>
        </w:rPr>
        <w:t>Council and the </w:t>
      </w:r>
      <w:r>
        <w:rPr>
          <w:color w:val="231F20"/>
          <w:spacing w:val="3"/>
          <w:w w:val="110"/>
        </w:rPr>
        <w:t>Secretary</w:t>
      </w:r>
      <w:r>
        <w:rPr>
          <w:color w:val="231F20"/>
          <w:spacing w:val="9"/>
          <w:w w:val="110"/>
        </w:rPr>
        <w:t> </w:t>
      </w:r>
      <w:r>
        <w:rPr>
          <w:color w:val="231F20"/>
          <w:w w:val="110"/>
        </w:rPr>
        <w:t>for</w:t>
      </w:r>
      <w:r>
        <w:rPr>
          <w:color w:val="231F20"/>
          <w:spacing w:val="9"/>
          <w:w w:val="110"/>
        </w:rPr>
        <w:t> </w:t>
      </w:r>
      <w:r>
        <w:rPr>
          <w:color w:val="231F20"/>
          <w:w w:val="110"/>
        </w:rPr>
        <w:t>Ministries,</w:t>
      </w:r>
      <w:r>
        <w:rPr>
          <w:color w:val="231F20"/>
          <w:spacing w:val="10"/>
          <w:w w:val="110"/>
        </w:rPr>
        <w:t> </w:t>
      </w:r>
      <w:r>
        <w:rPr>
          <w:color w:val="231F20"/>
          <w:w w:val="110"/>
        </w:rPr>
        <w:t>copies</w:t>
      </w:r>
      <w:r>
        <w:rPr>
          <w:color w:val="231F20"/>
          <w:spacing w:val="9"/>
          <w:w w:val="110"/>
        </w:rPr>
        <w:t> </w:t>
      </w:r>
      <w:r>
        <w:rPr>
          <w:color w:val="231F20"/>
          <w:w w:val="110"/>
        </w:rPr>
        <w:t>of</w:t>
      </w:r>
      <w:r>
        <w:rPr>
          <w:color w:val="231F20"/>
          <w:spacing w:val="10"/>
          <w:w w:val="110"/>
        </w:rPr>
        <w:t> </w:t>
      </w:r>
      <w:r>
        <w:rPr>
          <w:color w:val="231F20"/>
          <w:w w:val="110"/>
        </w:rPr>
        <w:t>the</w:t>
      </w:r>
      <w:r>
        <w:rPr>
          <w:color w:val="231F20"/>
          <w:spacing w:val="9"/>
          <w:w w:val="110"/>
        </w:rPr>
        <w:t> </w:t>
      </w:r>
      <w:r>
        <w:rPr>
          <w:color w:val="231F20"/>
          <w:w w:val="110"/>
        </w:rPr>
        <w:t>documents</w:t>
      </w:r>
      <w:r>
        <w:rPr>
          <w:color w:val="231F20"/>
          <w:spacing w:val="10"/>
          <w:w w:val="110"/>
        </w:rPr>
        <w:t> </w:t>
      </w:r>
      <w:r>
        <w:rPr>
          <w:color w:val="231F20"/>
          <w:w w:val="110"/>
        </w:rPr>
        <w:t>sent</w:t>
      </w:r>
      <w:r>
        <w:rPr>
          <w:color w:val="231F20"/>
          <w:spacing w:val="9"/>
          <w:w w:val="110"/>
        </w:rPr>
        <w:t> </w:t>
      </w:r>
      <w:r>
        <w:rPr>
          <w:color w:val="231F20"/>
          <w:w w:val="110"/>
        </w:rPr>
        <w:t>in</w:t>
      </w:r>
      <w:r>
        <w:rPr>
          <w:color w:val="231F20"/>
          <w:spacing w:val="10"/>
          <w:w w:val="110"/>
        </w:rPr>
        <w:t> </w:t>
      </w:r>
      <w:r>
        <w:rPr>
          <w:color w:val="231F20"/>
          <w:w w:val="110"/>
        </w:rPr>
        <w:t>accordance</w:t>
      </w:r>
      <w:r>
        <w:rPr>
          <w:color w:val="231F20"/>
          <w:spacing w:val="9"/>
          <w:w w:val="110"/>
        </w:rPr>
        <w:t> </w:t>
      </w:r>
      <w:r>
        <w:rPr>
          <w:color w:val="231F20"/>
          <w:w w:val="110"/>
        </w:rPr>
        <w:t>with</w:t>
      </w:r>
      <w:r>
        <w:rPr>
          <w:color w:val="231F20"/>
          <w:spacing w:val="10"/>
          <w:w w:val="110"/>
        </w:rPr>
        <w:t> </w:t>
      </w:r>
      <w:r>
        <w:rPr>
          <w:color w:val="231F20"/>
          <w:w w:val="110"/>
        </w:rPr>
        <w:t>Paragraph</w:t>
      </w:r>
    </w:p>
    <w:p>
      <w:pPr>
        <w:pStyle w:val="BodyText"/>
        <w:spacing w:before="7"/>
        <w:ind w:left="1080"/>
      </w:pPr>
      <w:r>
        <w:rPr>
          <w:color w:val="231F20"/>
          <w:w w:val="110"/>
        </w:rPr>
        <w:t>F.5.2. The Mandated Group shall thereupon comply with Paragraph H.4.</w:t>
      </w:r>
    </w:p>
    <w:p>
      <w:pPr>
        <w:pStyle w:val="BodyText"/>
        <w:spacing w:before="1"/>
        <w:rPr>
          <w:sz w:val="23"/>
        </w:rPr>
      </w:pPr>
    </w:p>
    <w:p>
      <w:pPr>
        <w:pStyle w:val="BodyText"/>
        <w:tabs>
          <w:tab w:pos="1800" w:val="left" w:leader="none"/>
        </w:tabs>
        <w:spacing w:line="273" w:lineRule="auto"/>
        <w:ind w:left="1080" w:right="1375"/>
      </w:pPr>
      <w:r>
        <w:rPr>
          <w:color w:val="231F20"/>
          <w:spacing w:val="-7"/>
          <w:w w:val="110"/>
        </w:rPr>
        <w:t>F.6.4</w:t>
        <w:tab/>
      </w:r>
      <w:r>
        <w:rPr>
          <w:color w:val="231F20"/>
          <w:w w:val="110"/>
        </w:rPr>
        <w:t>At the time of compliance with Paragraph </w:t>
      </w:r>
      <w:r>
        <w:rPr>
          <w:color w:val="231F20"/>
          <w:spacing w:val="-6"/>
          <w:w w:val="110"/>
        </w:rPr>
        <w:t>F.6.3, </w:t>
      </w:r>
      <w:r>
        <w:rPr>
          <w:color w:val="231F20"/>
          <w:w w:val="110"/>
        </w:rPr>
        <w:t>the </w:t>
      </w:r>
      <w:r>
        <w:rPr>
          <w:color w:val="231F20"/>
          <w:spacing w:val="3"/>
          <w:w w:val="110"/>
        </w:rPr>
        <w:t>Secretary </w:t>
      </w:r>
      <w:r>
        <w:rPr>
          <w:color w:val="231F20"/>
          <w:w w:val="110"/>
        </w:rPr>
        <w:t>of the Assembly Commission shall also send to the responsible </w:t>
      </w:r>
      <w:r>
        <w:rPr>
          <w:color w:val="231F20"/>
          <w:spacing w:val="2"/>
          <w:w w:val="110"/>
        </w:rPr>
        <w:t>officer </w:t>
      </w:r>
      <w:r>
        <w:rPr>
          <w:color w:val="231F20"/>
          <w:w w:val="110"/>
        </w:rPr>
        <w:t>of any relevant Outside Organisation notice of the decision of the Assembly Commission, including, in the event of a decision not to delete, the date of cessation of the Minister’s Suspension, together with details of any recommendations or guidance issued by the Assembly Commission  as appended to its decision which it expressly states to be its wish to pass on to such Outside</w:t>
      </w:r>
      <w:r>
        <w:rPr>
          <w:color w:val="231F20"/>
          <w:spacing w:val="1"/>
          <w:w w:val="110"/>
        </w:rPr>
        <w:t> </w:t>
      </w:r>
      <w:r>
        <w:rPr>
          <w:color w:val="231F20"/>
          <w:w w:val="110"/>
        </w:rPr>
        <w:t>Organisation.</w:t>
      </w:r>
    </w:p>
    <w:p>
      <w:pPr>
        <w:spacing w:after="0" w:line="273" w:lineRule="auto"/>
        <w:sectPr>
          <w:pgSz w:w="11910" w:h="16840"/>
          <w:pgMar w:header="558" w:footer="564" w:top="820" w:bottom="760" w:left="620" w:right="0"/>
        </w:sectPr>
      </w:pPr>
    </w:p>
    <w:p>
      <w:pPr>
        <w:pStyle w:val="BodyText"/>
        <w:spacing w:before="9"/>
        <w:rPr>
          <w:sz w:val="13"/>
        </w:rPr>
      </w:pPr>
    </w:p>
    <w:p>
      <w:pPr>
        <w:pStyle w:val="ListParagraph"/>
        <w:numPr>
          <w:ilvl w:val="1"/>
          <w:numId w:val="165"/>
        </w:numPr>
        <w:tabs>
          <w:tab w:pos="1233" w:val="left" w:leader="none"/>
          <w:tab w:pos="1234" w:val="left" w:leader="none"/>
          <w:tab w:pos="1953" w:val="left" w:leader="none"/>
        </w:tabs>
        <w:spacing w:line="273" w:lineRule="auto" w:before="101" w:after="0"/>
        <w:ind w:left="513" w:right="1882" w:firstLine="0"/>
        <w:jc w:val="left"/>
        <w:rPr>
          <w:sz w:val="18"/>
        </w:rPr>
      </w:pPr>
      <w:r>
        <w:rPr>
          <w:color w:val="231F20"/>
          <w:spacing w:val="-13"/>
          <w:w w:val="110"/>
          <w:sz w:val="18"/>
        </w:rPr>
        <w:t>F.7.1</w:t>
        <w:tab/>
      </w:r>
      <w:r>
        <w:rPr>
          <w:color w:val="231F20"/>
          <w:w w:val="110"/>
          <w:sz w:val="18"/>
        </w:rPr>
        <w:t>In the event of the Assembly Commission deciding to delete and there being no appeal against that decision under Paragraph </w:t>
      </w:r>
      <w:r>
        <w:rPr>
          <w:color w:val="231F20"/>
          <w:spacing w:val="-5"/>
          <w:w w:val="110"/>
          <w:sz w:val="18"/>
        </w:rPr>
        <w:t>4.1 </w:t>
      </w:r>
      <w:r>
        <w:rPr>
          <w:color w:val="231F20"/>
          <w:w w:val="110"/>
          <w:sz w:val="18"/>
        </w:rPr>
        <w:t>of </w:t>
      </w:r>
      <w:r>
        <w:rPr>
          <w:color w:val="231F20"/>
          <w:spacing w:val="2"/>
          <w:w w:val="110"/>
          <w:sz w:val="18"/>
        </w:rPr>
        <w:t>Part </w:t>
      </w:r>
      <w:r>
        <w:rPr>
          <w:color w:val="231F20"/>
          <w:w w:val="110"/>
          <w:sz w:val="18"/>
        </w:rPr>
        <w:t>I within the period allowed under Paragraph </w:t>
      </w:r>
      <w:r>
        <w:rPr>
          <w:color w:val="231F20"/>
          <w:spacing w:val="-4"/>
          <w:w w:val="110"/>
          <w:sz w:val="18"/>
        </w:rPr>
        <w:t>G.1, </w:t>
      </w:r>
      <w:r>
        <w:rPr>
          <w:color w:val="231F20"/>
          <w:w w:val="110"/>
          <w:sz w:val="18"/>
        </w:rPr>
        <w:t>the Suspension shall continue up to the first day </w:t>
      </w:r>
      <w:r>
        <w:rPr>
          <w:color w:val="231F20"/>
          <w:spacing w:val="2"/>
          <w:w w:val="110"/>
          <w:sz w:val="18"/>
        </w:rPr>
        <w:t>after </w:t>
      </w:r>
      <w:r>
        <w:rPr>
          <w:color w:val="231F20"/>
          <w:spacing w:val="73"/>
          <w:w w:val="110"/>
          <w:sz w:val="18"/>
        </w:rPr>
        <w:t> </w:t>
      </w:r>
      <w:r>
        <w:rPr>
          <w:color w:val="231F20"/>
          <w:w w:val="110"/>
          <w:sz w:val="18"/>
        </w:rPr>
        <w:t>the expiration of such period, on which day the deletion shall automatically take </w:t>
      </w:r>
      <w:r>
        <w:rPr>
          <w:color w:val="231F20"/>
          <w:spacing w:val="3"/>
          <w:w w:val="110"/>
          <w:sz w:val="18"/>
        </w:rPr>
        <w:t>effect. </w:t>
      </w:r>
      <w:r>
        <w:rPr>
          <w:color w:val="231F20"/>
          <w:w w:val="110"/>
          <w:sz w:val="18"/>
        </w:rPr>
        <w:t>The </w:t>
      </w:r>
      <w:r>
        <w:rPr>
          <w:color w:val="231F20"/>
          <w:spacing w:val="2"/>
          <w:w w:val="110"/>
          <w:sz w:val="18"/>
        </w:rPr>
        <w:t>Section </w:t>
      </w:r>
      <w:r>
        <w:rPr>
          <w:color w:val="231F20"/>
          <w:w w:val="110"/>
          <w:sz w:val="18"/>
        </w:rPr>
        <w:t>O </w:t>
      </w:r>
      <w:r>
        <w:rPr>
          <w:color w:val="231F20"/>
          <w:spacing w:val="2"/>
          <w:w w:val="110"/>
          <w:sz w:val="18"/>
        </w:rPr>
        <w:t>case </w:t>
      </w:r>
      <w:r>
        <w:rPr>
          <w:color w:val="231F20"/>
          <w:w w:val="110"/>
          <w:sz w:val="18"/>
        </w:rPr>
        <w:t>shall be regarded as concluded on such</w:t>
      </w:r>
      <w:r>
        <w:rPr>
          <w:color w:val="231F20"/>
          <w:spacing w:val="29"/>
          <w:w w:val="110"/>
          <w:sz w:val="18"/>
        </w:rPr>
        <w:t> </w:t>
      </w:r>
      <w:r>
        <w:rPr>
          <w:color w:val="231F20"/>
          <w:spacing w:val="-5"/>
          <w:w w:val="110"/>
          <w:sz w:val="18"/>
        </w:rPr>
        <w:t>day.</w:t>
      </w:r>
    </w:p>
    <w:p>
      <w:pPr>
        <w:pStyle w:val="BodyText"/>
        <w:spacing w:before="10"/>
        <w:rPr>
          <w:sz w:val="20"/>
        </w:rPr>
      </w:pPr>
    </w:p>
    <w:p>
      <w:pPr>
        <w:pStyle w:val="BodyText"/>
        <w:tabs>
          <w:tab w:pos="1233" w:val="left" w:leader="none"/>
        </w:tabs>
        <w:spacing w:line="273" w:lineRule="auto"/>
        <w:ind w:left="513" w:right="1844"/>
      </w:pPr>
      <w:r>
        <w:rPr>
          <w:color w:val="231F20"/>
          <w:spacing w:val="-11"/>
          <w:w w:val="110"/>
        </w:rPr>
        <w:t>F.7.2</w:t>
        <w:tab/>
      </w:r>
      <w:r>
        <w:rPr>
          <w:color w:val="231F20"/>
          <w:w w:val="110"/>
        </w:rPr>
        <w:t>In the event of the Assembly Commission deciding not to delete and there being no appeal against that decision under Paragraph 4.2 of </w:t>
      </w:r>
      <w:r>
        <w:rPr>
          <w:color w:val="231F20"/>
          <w:spacing w:val="2"/>
          <w:w w:val="110"/>
        </w:rPr>
        <w:t>Part </w:t>
      </w:r>
      <w:r>
        <w:rPr>
          <w:color w:val="231F20"/>
          <w:w w:val="110"/>
        </w:rPr>
        <w:t>I within the period allowed under Paragraph </w:t>
      </w:r>
      <w:r>
        <w:rPr>
          <w:color w:val="231F20"/>
          <w:spacing w:val="-4"/>
          <w:w w:val="110"/>
        </w:rPr>
        <w:t>G.1, </w:t>
      </w:r>
      <w:r>
        <w:rPr>
          <w:color w:val="231F20"/>
          <w:w w:val="110"/>
        </w:rPr>
        <w:t>the Suspension shall automatically cease on the first day </w:t>
      </w:r>
      <w:r>
        <w:rPr>
          <w:color w:val="231F20"/>
          <w:spacing w:val="2"/>
          <w:w w:val="110"/>
        </w:rPr>
        <w:t>after </w:t>
      </w:r>
      <w:r>
        <w:rPr>
          <w:color w:val="231F20"/>
          <w:w w:val="110"/>
        </w:rPr>
        <w:t>the expiration of such period and the </w:t>
      </w:r>
      <w:r>
        <w:rPr>
          <w:color w:val="231F20"/>
          <w:spacing w:val="2"/>
          <w:w w:val="110"/>
        </w:rPr>
        <w:t>Section </w:t>
      </w:r>
      <w:r>
        <w:rPr>
          <w:color w:val="231F20"/>
          <w:w w:val="110"/>
        </w:rPr>
        <w:t>O </w:t>
      </w:r>
      <w:r>
        <w:rPr>
          <w:color w:val="231F20"/>
          <w:spacing w:val="2"/>
          <w:w w:val="110"/>
        </w:rPr>
        <w:t>case </w:t>
      </w:r>
      <w:r>
        <w:rPr>
          <w:color w:val="231F20"/>
          <w:w w:val="110"/>
        </w:rPr>
        <w:t>shall be regarded as concluded on that date, provided that </w:t>
      </w:r>
      <w:r>
        <w:rPr>
          <w:color w:val="231F20"/>
          <w:spacing w:val="-4"/>
          <w:w w:val="110"/>
        </w:rPr>
        <w:t>(i) </w:t>
      </w:r>
      <w:r>
        <w:rPr>
          <w:color w:val="231F20"/>
          <w:w w:val="110"/>
        </w:rPr>
        <w:t>where the Mandated Group has formally signified to the Assembly Commission under Paragraph </w:t>
      </w:r>
      <w:r>
        <w:rPr>
          <w:color w:val="231F20"/>
          <w:spacing w:val="-4"/>
          <w:w w:val="110"/>
        </w:rPr>
        <w:t>E.9.2 </w:t>
      </w:r>
      <w:r>
        <w:rPr>
          <w:color w:val="231F20"/>
          <w:w w:val="110"/>
        </w:rPr>
        <w:t>that it does not intend to </w:t>
      </w:r>
      <w:r>
        <w:rPr>
          <w:color w:val="231F20"/>
          <w:spacing w:val="2"/>
          <w:w w:val="110"/>
        </w:rPr>
        <w:t>press </w:t>
      </w:r>
      <w:r>
        <w:rPr>
          <w:color w:val="231F20"/>
          <w:w w:val="110"/>
        </w:rPr>
        <w:t>the </w:t>
      </w:r>
      <w:r>
        <w:rPr>
          <w:color w:val="231F20"/>
          <w:spacing w:val="2"/>
          <w:w w:val="110"/>
        </w:rPr>
        <w:t>case </w:t>
      </w:r>
      <w:r>
        <w:rPr>
          <w:color w:val="231F20"/>
          <w:w w:val="110"/>
        </w:rPr>
        <w:t>for any disciplinary </w:t>
      </w:r>
      <w:r>
        <w:rPr>
          <w:color w:val="231F20"/>
          <w:spacing w:val="2"/>
          <w:w w:val="110"/>
        </w:rPr>
        <w:t>action </w:t>
      </w:r>
      <w:r>
        <w:rPr>
          <w:color w:val="231F20"/>
          <w:w w:val="110"/>
        </w:rPr>
        <w:t>to be taken against the Minister and the Assembly Commission   decides not to issue a written warning, the Assembly Commission may as an appendage to its decision not to delete state that the Minister’s Suspension shall terminate with immediate </w:t>
      </w:r>
      <w:r>
        <w:rPr>
          <w:color w:val="231F20"/>
          <w:spacing w:val="3"/>
          <w:w w:val="110"/>
        </w:rPr>
        <w:t>effect </w:t>
      </w:r>
      <w:r>
        <w:rPr>
          <w:color w:val="231F20"/>
          <w:w w:val="110"/>
        </w:rPr>
        <w:t>and in that </w:t>
      </w:r>
      <w:r>
        <w:rPr>
          <w:color w:val="231F20"/>
          <w:spacing w:val="2"/>
          <w:w w:val="110"/>
        </w:rPr>
        <w:t>case </w:t>
      </w:r>
      <w:r>
        <w:rPr>
          <w:color w:val="231F20"/>
          <w:w w:val="110"/>
        </w:rPr>
        <w:t>the </w:t>
      </w:r>
      <w:r>
        <w:rPr>
          <w:color w:val="231F20"/>
          <w:spacing w:val="2"/>
          <w:w w:val="110"/>
        </w:rPr>
        <w:t>Section </w:t>
      </w:r>
      <w:r>
        <w:rPr>
          <w:color w:val="231F20"/>
          <w:w w:val="110"/>
        </w:rPr>
        <w:t>O </w:t>
      </w:r>
      <w:r>
        <w:rPr>
          <w:color w:val="231F20"/>
          <w:spacing w:val="2"/>
          <w:w w:val="110"/>
        </w:rPr>
        <w:t>case </w:t>
      </w:r>
      <w:r>
        <w:rPr>
          <w:color w:val="231F20"/>
          <w:w w:val="110"/>
        </w:rPr>
        <w:t>shall be regarded as concluded on the date on which the Assembly Commission formally notifies its decision to the Parties under Paragraph </w:t>
      </w:r>
      <w:r>
        <w:rPr>
          <w:color w:val="231F20"/>
          <w:spacing w:val="-8"/>
          <w:w w:val="110"/>
        </w:rPr>
        <w:t>F.5 </w:t>
      </w:r>
      <w:r>
        <w:rPr>
          <w:color w:val="231F20"/>
          <w:w w:val="110"/>
        </w:rPr>
        <w:t>or </w:t>
      </w:r>
      <w:r>
        <w:rPr>
          <w:color w:val="231F20"/>
          <w:spacing w:val="-3"/>
          <w:w w:val="110"/>
        </w:rPr>
        <w:t>(ii) </w:t>
      </w:r>
      <w:r>
        <w:rPr>
          <w:color w:val="231F20"/>
          <w:w w:val="110"/>
        </w:rPr>
        <w:t>where the decision is to allow the Minister’s name to remain  on the Roll of Ministers and no </w:t>
      </w:r>
      <w:r>
        <w:rPr>
          <w:color w:val="231F20"/>
          <w:spacing w:val="2"/>
          <w:w w:val="110"/>
        </w:rPr>
        <w:t>written </w:t>
      </w:r>
      <w:r>
        <w:rPr>
          <w:color w:val="231F20"/>
          <w:w w:val="110"/>
        </w:rPr>
        <w:t>warning is issued and where both </w:t>
      </w:r>
      <w:r>
        <w:rPr>
          <w:color w:val="231F20"/>
          <w:spacing w:val="2"/>
          <w:w w:val="110"/>
        </w:rPr>
        <w:t>parties </w:t>
      </w:r>
      <w:r>
        <w:rPr>
          <w:color w:val="231F20"/>
          <w:w w:val="110"/>
        </w:rPr>
        <w:t>within the time allowed for an appeal to be lodged state in writing and irrevocably that they waive their rights of appeal, the Minister’s Suspension shall cease and the </w:t>
      </w:r>
      <w:r>
        <w:rPr>
          <w:color w:val="231F20"/>
          <w:spacing w:val="2"/>
          <w:w w:val="110"/>
        </w:rPr>
        <w:t>Section </w:t>
      </w:r>
      <w:r>
        <w:rPr>
          <w:color w:val="231F20"/>
          <w:w w:val="110"/>
        </w:rPr>
        <w:t>O   </w:t>
      </w:r>
      <w:r>
        <w:rPr>
          <w:color w:val="231F20"/>
          <w:spacing w:val="2"/>
          <w:w w:val="110"/>
        </w:rPr>
        <w:t>case </w:t>
      </w:r>
      <w:r>
        <w:rPr>
          <w:color w:val="231F20"/>
          <w:w w:val="110"/>
        </w:rPr>
        <w:t>shall be concluded, both events taking place on the date on which the </w:t>
      </w:r>
      <w:r>
        <w:rPr>
          <w:color w:val="231F20"/>
          <w:spacing w:val="3"/>
          <w:w w:val="110"/>
        </w:rPr>
        <w:t>Secretary </w:t>
      </w:r>
      <w:r>
        <w:rPr>
          <w:color w:val="231F20"/>
          <w:w w:val="110"/>
        </w:rPr>
        <w:t>of the Assembly Commission shall have received such statements </w:t>
      </w:r>
      <w:r>
        <w:rPr>
          <w:color w:val="231F20"/>
          <w:spacing w:val="2"/>
          <w:w w:val="110"/>
        </w:rPr>
        <w:t>from </w:t>
      </w:r>
      <w:r>
        <w:rPr>
          <w:color w:val="231F20"/>
          <w:w w:val="110"/>
        </w:rPr>
        <w:t>both </w:t>
      </w:r>
      <w:r>
        <w:rPr>
          <w:color w:val="231F20"/>
          <w:spacing w:val="2"/>
          <w:w w:val="110"/>
        </w:rPr>
        <w:t>parties </w:t>
      </w:r>
      <w:r>
        <w:rPr>
          <w:color w:val="231F20"/>
          <w:spacing w:val="-5"/>
          <w:w w:val="110"/>
        </w:rPr>
        <w:t>(as </w:t>
      </w:r>
      <w:r>
        <w:rPr>
          <w:color w:val="231F20"/>
          <w:w w:val="110"/>
        </w:rPr>
        <w:t>to the</w:t>
      </w:r>
      <w:r>
        <w:rPr>
          <w:color w:val="231F20"/>
          <w:spacing w:val="8"/>
          <w:w w:val="110"/>
        </w:rPr>
        <w:t> </w:t>
      </w:r>
      <w:r>
        <w:rPr>
          <w:color w:val="231F20"/>
          <w:w w:val="110"/>
        </w:rPr>
        <w:t>notification</w:t>
      </w:r>
      <w:r>
        <w:rPr>
          <w:color w:val="231F20"/>
          <w:spacing w:val="8"/>
          <w:w w:val="110"/>
        </w:rPr>
        <w:t> </w:t>
      </w:r>
      <w:r>
        <w:rPr>
          <w:color w:val="231F20"/>
          <w:w w:val="110"/>
        </w:rPr>
        <w:t>of</w:t>
      </w:r>
      <w:r>
        <w:rPr>
          <w:color w:val="231F20"/>
          <w:spacing w:val="8"/>
          <w:w w:val="110"/>
        </w:rPr>
        <w:t> </w:t>
      </w:r>
      <w:r>
        <w:rPr>
          <w:color w:val="231F20"/>
          <w:w w:val="110"/>
        </w:rPr>
        <w:t>the</w:t>
      </w:r>
      <w:r>
        <w:rPr>
          <w:color w:val="231F20"/>
          <w:spacing w:val="8"/>
          <w:w w:val="110"/>
        </w:rPr>
        <w:t> </w:t>
      </w:r>
      <w:r>
        <w:rPr>
          <w:color w:val="231F20"/>
          <w:w w:val="110"/>
        </w:rPr>
        <w:t>cessation</w:t>
      </w:r>
      <w:r>
        <w:rPr>
          <w:color w:val="231F20"/>
          <w:spacing w:val="8"/>
          <w:w w:val="110"/>
        </w:rPr>
        <w:t> </w:t>
      </w:r>
      <w:r>
        <w:rPr>
          <w:color w:val="231F20"/>
          <w:w w:val="110"/>
        </w:rPr>
        <w:t>of</w:t>
      </w:r>
      <w:r>
        <w:rPr>
          <w:color w:val="231F20"/>
          <w:spacing w:val="8"/>
          <w:w w:val="110"/>
        </w:rPr>
        <w:t> </w:t>
      </w:r>
      <w:r>
        <w:rPr>
          <w:color w:val="231F20"/>
          <w:w w:val="110"/>
        </w:rPr>
        <w:t>the</w:t>
      </w:r>
      <w:r>
        <w:rPr>
          <w:color w:val="231F20"/>
          <w:spacing w:val="8"/>
          <w:w w:val="110"/>
        </w:rPr>
        <w:t> </w:t>
      </w:r>
      <w:r>
        <w:rPr>
          <w:color w:val="231F20"/>
          <w:w w:val="110"/>
        </w:rPr>
        <w:t>Suspension,</w:t>
      </w:r>
      <w:r>
        <w:rPr>
          <w:color w:val="231F20"/>
          <w:spacing w:val="8"/>
          <w:w w:val="110"/>
        </w:rPr>
        <w:t> </w:t>
      </w:r>
      <w:r>
        <w:rPr>
          <w:color w:val="231F20"/>
          <w:w w:val="110"/>
        </w:rPr>
        <w:t>see</w:t>
      </w:r>
      <w:r>
        <w:rPr>
          <w:color w:val="231F20"/>
          <w:spacing w:val="8"/>
          <w:w w:val="110"/>
        </w:rPr>
        <w:t> </w:t>
      </w:r>
      <w:r>
        <w:rPr>
          <w:color w:val="231F20"/>
          <w:w w:val="110"/>
        </w:rPr>
        <w:t>Paragraphs</w:t>
      </w:r>
      <w:r>
        <w:rPr>
          <w:color w:val="231F20"/>
          <w:spacing w:val="8"/>
          <w:w w:val="110"/>
        </w:rPr>
        <w:t> </w:t>
      </w:r>
      <w:r>
        <w:rPr>
          <w:color w:val="231F20"/>
          <w:spacing w:val="-6"/>
          <w:w w:val="110"/>
        </w:rPr>
        <w:t>F.6.3</w:t>
      </w:r>
      <w:r>
        <w:rPr>
          <w:color w:val="231F20"/>
          <w:spacing w:val="8"/>
          <w:w w:val="110"/>
        </w:rPr>
        <w:t> </w:t>
      </w:r>
      <w:r>
        <w:rPr>
          <w:color w:val="231F20"/>
          <w:w w:val="110"/>
        </w:rPr>
        <w:t>and</w:t>
      </w:r>
      <w:r>
        <w:rPr>
          <w:color w:val="231F20"/>
          <w:spacing w:val="8"/>
          <w:w w:val="110"/>
        </w:rPr>
        <w:t> </w:t>
      </w:r>
      <w:r>
        <w:rPr>
          <w:color w:val="231F20"/>
          <w:spacing w:val="-8"/>
          <w:w w:val="110"/>
        </w:rPr>
        <w:t>F.6.4).</w:t>
      </w:r>
    </w:p>
    <w:p>
      <w:pPr>
        <w:pStyle w:val="BodyText"/>
        <w:spacing w:before="9"/>
        <w:rPr>
          <w:sz w:val="19"/>
        </w:rPr>
      </w:pPr>
    </w:p>
    <w:p>
      <w:pPr>
        <w:numPr>
          <w:ilvl w:val="1"/>
          <w:numId w:val="122"/>
        </w:numPr>
        <w:tabs>
          <w:tab w:pos="1233" w:val="left" w:leader="none"/>
          <w:tab w:pos="1234" w:val="left" w:leader="none"/>
        </w:tabs>
        <w:spacing w:before="1"/>
        <w:ind w:left="1233" w:right="0" w:hanging="721"/>
        <w:jc w:val="left"/>
        <w:rPr>
          <w:b/>
          <w:sz w:val="20"/>
        </w:rPr>
      </w:pPr>
      <w:r>
        <w:rPr>
          <w:b/>
          <w:color w:val="231F20"/>
          <w:w w:val="110"/>
          <w:sz w:val="20"/>
        </w:rPr>
        <w:t>APPEALS</w:t>
      </w:r>
      <w:r>
        <w:rPr>
          <w:b/>
          <w:color w:val="231F20"/>
          <w:spacing w:val="-1"/>
          <w:w w:val="110"/>
          <w:sz w:val="20"/>
        </w:rPr>
        <w:t> </w:t>
      </w:r>
      <w:r>
        <w:rPr>
          <w:b/>
          <w:color w:val="231F20"/>
          <w:w w:val="110"/>
          <w:sz w:val="20"/>
        </w:rPr>
        <w:t>PROCEDURE</w:t>
      </w:r>
    </w:p>
    <w:p>
      <w:pPr>
        <w:pStyle w:val="BodyText"/>
        <w:spacing w:before="9"/>
        <w:rPr>
          <w:b/>
          <w:sz w:val="22"/>
        </w:rPr>
      </w:pPr>
    </w:p>
    <w:p>
      <w:pPr>
        <w:pStyle w:val="ListParagraph"/>
        <w:numPr>
          <w:ilvl w:val="2"/>
          <w:numId w:val="122"/>
        </w:numPr>
        <w:tabs>
          <w:tab w:pos="1233" w:val="left" w:leader="none"/>
          <w:tab w:pos="1234" w:val="left" w:leader="none"/>
        </w:tabs>
        <w:spacing w:line="273" w:lineRule="auto" w:before="0" w:after="0"/>
        <w:ind w:left="513" w:right="1952" w:firstLine="0"/>
        <w:jc w:val="left"/>
        <w:rPr>
          <w:sz w:val="18"/>
        </w:rPr>
      </w:pPr>
      <w:r>
        <w:rPr>
          <w:color w:val="231F20"/>
          <w:spacing w:val="-5"/>
          <w:w w:val="110"/>
          <w:sz w:val="18"/>
        </w:rPr>
        <w:t>G.1.1 </w:t>
      </w:r>
      <w:r>
        <w:rPr>
          <w:color w:val="231F20"/>
          <w:w w:val="110"/>
          <w:sz w:val="18"/>
        </w:rPr>
        <w:t>Any Notice of Appeal against the decision of the Assembly Commission given under Paragraph 4 of </w:t>
      </w:r>
      <w:r>
        <w:rPr>
          <w:color w:val="231F20"/>
          <w:spacing w:val="2"/>
          <w:w w:val="110"/>
          <w:sz w:val="18"/>
        </w:rPr>
        <w:t>Part </w:t>
      </w:r>
      <w:r>
        <w:rPr>
          <w:color w:val="231F20"/>
          <w:w w:val="110"/>
          <w:sz w:val="18"/>
        </w:rPr>
        <w:t>I must be </w:t>
      </w:r>
      <w:r>
        <w:rPr>
          <w:color w:val="231F20"/>
          <w:spacing w:val="2"/>
          <w:w w:val="110"/>
          <w:sz w:val="18"/>
        </w:rPr>
        <w:t>served </w:t>
      </w:r>
      <w:r>
        <w:rPr>
          <w:color w:val="231F20"/>
          <w:w w:val="110"/>
          <w:sz w:val="18"/>
        </w:rPr>
        <w:t>on the </w:t>
      </w:r>
      <w:r>
        <w:rPr>
          <w:color w:val="231F20"/>
          <w:spacing w:val="3"/>
          <w:w w:val="110"/>
          <w:sz w:val="18"/>
        </w:rPr>
        <w:t>Secretary </w:t>
      </w:r>
      <w:r>
        <w:rPr>
          <w:color w:val="231F20"/>
          <w:w w:val="110"/>
          <w:sz w:val="18"/>
        </w:rPr>
        <w:t>of the Assembly Commission no later than </w:t>
      </w:r>
      <w:r>
        <w:rPr>
          <w:color w:val="231F20"/>
          <w:spacing w:val="-3"/>
          <w:w w:val="110"/>
          <w:sz w:val="18"/>
        </w:rPr>
        <w:t>21 </w:t>
      </w:r>
      <w:r>
        <w:rPr>
          <w:color w:val="231F20"/>
          <w:w w:val="110"/>
          <w:sz w:val="18"/>
        </w:rPr>
        <w:t>days </w:t>
      </w:r>
      <w:r>
        <w:rPr>
          <w:color w:val="231F20"/>
          <w:spacing w:val="2"/>
          <w:w w:val="110"/>
          <w:sz w:val="18"/>
        </w:rPr>
        <w:t>from </w:t>
      </w:r>
      <w:r>
        <w:rPr>
          <w:color w:val="231F20"/>
          <w:w w:val="110"/>
          <w:sz w:val="18"/>
        </w:rPr>
        <w:t>the date of </w:t>
      </w:r>
      <w:r>
        <w:rPr>
          <w:color w:val="231F20"/>
          <w:spacing w:val="2"/>
          <w:w w:val="110"/>
          <w:sz w:val="18"/>
        </w:rPr>
        <w:t>service </w:t>
      </w:r>
      <w:r>
        <w:rPr>
          <w:color w:val="231F20"/>
          <w:w w:val="110"/>
          <w:sz w:val="18"/>
        </w:rPr>
        <w:t>of the decision of the Assembly Commission on the appellant and for this purpose time shall be of the essence, and such Notice shall state the grounds of the appeal (which may be in detail or in summary form as the appellant</w:t>
      </w:r>
      <w:r>
        <w:rPr>
          <w:color w:val="231F20"/>
          <w:spacing w:val="11"/>
          <w:w w:val="110"/>
          <w:sz w:val="18"/>
        </w:rPr>
        <w:t> </w:t>
      </w:r>
      <w:r>
        <w:rPr>
          <w:color w:val="231F20"/>
          <w:w w:val="110"/>
          <w:sz w:val="18"/>
        </w:rPr>
        <w:t>chooses).</w:t>
      </w:r>
    </w:p>
    <w:p>
      <w:pPr>
        <w:pStyle w:val="BodyText"/>
        <w:spacing w:before="11"/>
        <w:rPr>
          <w:sz w:val="20"/>
        </w:rPr>
      </w:pPr>
    </w:p>
    <w:p>
      <w:pPr>
        <w:pStyle w:val="ListParagraph"/>
        <w:numPr>
          <w:ilvl w:val="2"/>
          <w:numId w:val="167"/>
        </w:numPr>
        <w:tabs>
          <w:tab w:pos="1304" w:val="left" w:leader="none"/>
          <w:tab w:pos="1305" w:val="left" w:leader="none"/>
          <w:tab w:pos="2251" w:val="left" w:leader="none"/>
        </w:tabs>
        <w:spacing w:line="273" w:lineRule="auto" w:before="0" w:after="0"/>
        <w:ind w:left="513" w:right="1825" w:firstLine="0"/>
        <w:jc w:val="left"/>
        <w:rPr>
          <w:sz w:val="18"/>
        </w:rPr>
      </w:pPr>
      <w:r>
        <w:rPr>
          <w:color w:val="231F20"/>
          <w:spacing w:val="-4"/>
          <w:w w:val="110"/>
          <w:sz w:val="18"/>
        </w:rPr>
        <w:t>G.1.2.1</w:t>
        <w:tab/>
      </w:r>
      <w:r>
        <w:rPr>
          <w:color w:val="231F20"/>
          <w:w w:val="110"/>
          <w:sz w:val="18"/>
        </w:rPr>
        <w:t>The </w:t>
      </w:r>
      <w:r>
        <w:rPr>
          <w:color w:val="231F20"/>
          <w:spacing w:val="3"/>
          <w:w w:val="110"/>
          <w:sz w:val="18"/>
        </w:rPr>
        <w:t>Secretary </w:t>
      </w:r>
      <w:r>
        <w:rPr>
          <w:color w:val="231F20"/>
          <w:w w:val="110"/>
          <w:sz w:val="18"/>
        </w:rPr>
        <w:t>of the Assembly Commission shall forthwith </w:t>
      </w:r>
      <w:r>
        <w:rPr>
          <w:color w:val="231F20"/>
          <w:spacing w:val="2"/>
          <w:w w:val="110"/>
          <w:sz w:val="18"/>
        </w:rPr>
        <w:t>notify </w:t>
      </w:r>
      <w:r>
        <w:rPr>
          <w:color w:val="231F20"/>
          <w:w w:val="110"/>
          <w:sz w:val="18"/>
        </w:rPr>
        <w:t>the General </w:t>
      </w:r>
      <w:r>
        <w:rPr>
          <w:color w:val="231F20"/>
          <w:spacing w:val="3"/>
          <w:w w:val="110"/>
          <w:sz w:val="18"/>
        </w:rPr>
        <w:t>Secretary </w:t>
      </w:r>
      <w:r>
        <w:rPr>
          <w:color w:val="231F20"/>
          <w:w w:val="110"/>
          <w:sz w:val="18"/>
        </w:rPr>
        <w:t>that an Appeal has been lodged, at the same time passing on to the General </w:t>
      </w:r>
      <w:r>
        <w:rPr>
          <w:color w:val="231F20"/>
          <w:spacing w:val="3"/>
          <w:w w:val="110"/>
          <w:sz w:val="18"/>
        </w:rPr>
        <w:t>Secretary </w:t>
      </w:r>
      <w:r>
        <w:rPr>
          <w:color w:val="231F20"/>
          <w:w w:val="110"/>
          <w:sz w:val="18"/>
        </w:rPr>
        <w:t>the Notice of Appeal together with the body of papers laid </w:t>
      </w:r>
      <w:r>
        <w:rPr>
          <w:color w:val="231F20"/>
          <w:spacing w:val="2"/>
          <w:w w:val="110"/>
          <w:sz w:val="18"/>
        </w:rPr>
        <w:t>before    </w:t>
      </w:r>
      <w:r>
        <w:rPr>
          <w:color w:val="231F20"/>
          <w:w w:val="110"/>
          <w:sz w:val="18"/>
        </w:rPr>
        <w:t>the Assembly Commission in hearing the </w:t>
      </w:r>
      <w:r>
        <w:rPr>
          <w:color w:val="231F20"/>
          <w:spacing w:val="2"/>
          <w:w w:val="110"/>
          <w:sz w:val="18"/>
        </w:rPr>
        <w:t>case </w:t>
      </w:r>
      <w:r>
        <w:rPr>
          <w:color w:val="231F20"/>
          <w:w w:val="110"/>
          <w:sz w:val="18"/>
        </w:rPr>
        <w:t>and the Record of the Hearing as defined in Paragraph </w:t>
      </w:r>
      <w:r>
        <w:rPr>
          <w:color w:val="231F20"/>
          <w:spacing w:val="-4"/>
          <w:w w:val="110"/>
          <w:sz w:val="18"/>
        </w:rPr>
        <w:t>E.12.4. </w:t>
      </w:r>
      <w:r>
        <w:rPr>
          <w:color w:val="231F20"/>
          <w:w w:val="110"/>
          <w:sz w:val="18"/>
        </w:rPr>
        <w:t>The General </w:t>
      </w:r>
      <w:r>
        <w:rPr>
          <w:color w:val="231F20"/>
          <w:spacing w:val="3"/>
          <w:w w:val="110"/>
          <w:sz w:val="18"/>
        </w:rPr>
        <w:t>Secretary </w:t>
      </w:r>
      <w:r>
        <w:rPr>
          <w:color w:val="231F20"/>
          <w:w w:val="110"/>
          <w:sz w:val="18"/>
        </w:rPr>
        <w:t>shall thereupon </w:t>
      </w:r>
      <w:r>
        <w:rPr>
          <w:color w:val="231F20"/>
          <w:spacing w:val="2"/>
          <w:w w:val="110"/>
          <w:sz w:val="18"/>
        </w:rPr>
        <w:t>act </w:t>
      </w:r>
      <w:r>
        <w:rPr>
          <w:color w:val="231F20"/>
          <w:w w:val="110"/>
          <w:sz w:val="18"/>
        </w:rPr>
        <w:t>in a </w:t>
      </w:r>
      <w:r>
        <w:rPr>
          <w:color w:val="231F20"/>
          <w:spacing w:val="2"/>
          <w:w w:val="110"/>
          <w:sz w:val="18"/>
        </w:rPr>
        <w:t>secretarial </w:t>
      </w:r>
      <w:r>
        <w:rPr>
          <w:color w:val="231F20"/>
          <w:w w:val="110"/>
          <w:sz w:val="18"/>
        </w:rPr>
        <w:t>and administrative </w:t>
      </w:r>
      <w:r>
        <w:rPr>
          <w:color w:val="231F20"/>
          <w:spacing w:val="2"/>
          <w:w w:val="110"/>
          <w:sz w:val="18"/>
        </w:rPr>
        <w:t>capacity </w:t>
      </w:r>
      <w:r>
        <w:rPr>
          <w:color w:val="231F20"/>
          <w:w w:val="110"/>
          <w:sz w:val="18"/>
        </w:rPr>
        <w:t>in all </w:t>
      </w:r>
      <w:r>
        <w:rPr>
          <w:color w:val="231F20"/>
          <w:spacing w:val="2"/>
          <w:w w:val="110"/>
          <w:sz w:val="18"/>
        </w:rPr>
        <w:t>matters </w:t>
      </w:r>
      <w:r>
        <w:rPr>
          <w:color w:val="231F20"/>
          <w:w w:val="110"/>
          <w:sz w:val="18"/>
        </w:rPr>
        <w:t>relating to the</w:t>
      </w:r>
      <w:r>
        <w:rPr>
          <w:color w:val="231F20"/>
          <w:spacing w:val="15"/>
          <w:w w:val="110"/>
          <w:sz w:val="18"/>
        </w:rPr>
        <w:t> </w:t>
      </w:r>
      <w:r>
        <w:rPr>
          <w:color w:val="231F20"/>
          <w:w w:val="110"/>
          <w:sz w:val="18"/>
        </w:rPr>
        <w:t>Appeal.</w:t>
      </w:r>
    </w:p>
    <w:p>
      <w:pPr>
        <w:pStyle w:val="BodyText"/>
        <w:spacing w:before="11"/>
        <w:rPr>
          <w:sz w:val="20"/>
        </w:rPr>
      </w:pPr>
    </w:p>
    <w:p>
      <w:pPr>
        <w:pStyle w:val="BodyText"/>
        <w:tabs>
          <w:tab w:pos="1953" w:val="left" w:leader="none"/>
        </w:tabs>
        <w:spacing w:line="273" w:lineRule="auto"/>
        <w:ind w:left="514" w:right="1721" w:hanging="1"/>
      </w:pPr>
      <w:r>
        <w:rPr>
          <w:color w:val="231F20"/>
          <w:spacing w:val="-4"/>
          <w:w w:val="110"/>
        </w:rPr>
        <w:t>G.1.2.2</w:t>
        <w:tab/>
      </w:r>
      <w:r>
        <w:rPr>
          <w:color w:val="231F20"/>
          <w:w w:val="110"/>
        </w:rPr>
        <w:t>At the same time the Secretary of the Assembly Commission shall also notify the Moderator of the Synod, the Secretary of the District Council, the Secretary for Ministries </w:t>
      </w:r>
      <w:r>
        <w:rPr>
          <w:color w:val="231F20"/>
          <w:spacing w:val="-3"/>
          <w:w w:val="110"/>
        </w:rPr>
        <w:t>and, </w:t>
      </w:r>
      <w:r>
        <w:rPr>
          <w:color w:val="231F20"/>
          <w:w w:val="110"/>
        </w:rPr>
        <w:t>in a case arising under Paragraph </w:t>
      </w:r>
      <w:r>
        <w:rPr>
          <w:color w:val="231F20"/>
          <w:spacing w:val="-6"/>
          <w:w w:val="110"/>
        </w:rPr>
        <w:t>B.9.3, </w:t>
      </w:r>
      <w:r>
        <w:rPr>
          <w:color w:val="231F20"/>
          <w:w w:val="110"/>
        </w:rPr>
        <w:t>the Deputy General Secretary that an Appeal has been lodged against the decision of the Assembly</w:t>
      </w:r>
      <w:r>
        <w:rPr>
          <w:color w:val="231F20"/>
          <w:spacing w:val="-22"/>
          <w:w w:val="110"/>
        </w:rPr>
        <w:t> </w:t>
      </w:r>
      <w:r>
        <w:rPr>
          <w:color w:val="231F20"/>
          <w:w w:val="110"/>
        </w:rPr>
        <w:t>Commission.</w:t>
      </w:r>
    </w:p>
    <w:p>
      <w:pPr>
        <w:pStyle w:val="BodyText"/>
        <w:spacing w:before="9"/>
        <w:rPr>
          <w:sz w:val="20"/>
        </w:rPr>
      </w:pPr>
    </w:p>
    <w:p>
      <w:pPr>
        <w:pStyle w:val="ListParagraph"/>
        <w:numPr>
          <w:ilvl w:val="2"/>
          <w:numId w:val="167"/>
        </w:numPr>
        <w:tabs>
          <w:tab w:pos="1238" w:val="left" w:leader="none"/>
        </w:tabs>
        <w:spacing w:line="273" w:lineRule="auto" w:before="0" w:after="0"/>
        <w:ind w:left="517" w:right="1983" w:firstLine="0"/>
        <w:jc w:val="left"/>
        <w:rPr>
          <w:sz w:val="18"/>
        </w:rPr>
      </w:pPr>
      <w:r>
        <w:rPr>
          <w:color w:val="231F20"/>
          <w:w w:val="110"/>
          <w:sz w:val="18"/>
        </w:rPr>
        <w:t>Except for those Rules which by their context are inappropriate for the Appeals Procedure, the Rules set out in </w:t>
      </w:r>
      <w:r>
        <w:rPr>
          <w:color w:val="231F20"/>
          <w:spacing w:val="2"/>
          <w:w w:val="110"/>
          <w:sz w:val="18"/>
        </w:rPr>
        <w:t>Section </w:t>
      </w:r>
      <w:r>
        <w:rPr>
          <w:color w:val="231F20"/>
          <w:w w:val="110"/>
          <w:sz w:val="18"/>
        </w:rPr>
        <w:t>E shall also apply to </w:t>
      </w:r>
      <w:r>
        <w:rPr>
          <w:color w:val="231F20"/>
          <w:spacing w:val="2"/>
          <w:w w:val="110"/>
          <w:sz w:val="18"/>
        </w:rPr>
        <w:t>Section </w:t>
      </w:r>
      <w:r>
        <w:rPr>
          <w:color w:val="231F20"/>
          <w:w w:val="110"/>
          <w:sz w:val="18"/>
        </w:rPr>
        <w:t>G (with the </w:t>
      </w:r>
      <w:r>
        <w:rPr>
          <w:color w:val="231F20"/>
          <w:spacing w:val="2"/>
          <w:w w:val="110"/>
          <w:sz w:val="18"/>
        </w:rPr>
        <w:t>necessary</w:t>
      </w:r>
      <w:r>
        <w:rPr>
          <w:color w:val="231F20"/>
          <w:w w:val="110"/>
          <w:sz w:val="18"/>
        </w:rPr>
        <w:t> changes).</w:t>
      </w:r>
    </w:p>
    <w:p>
      <w:pPr>
        <w:pStyle w:val="BodyText"/>
        <w:spacing w:before="9"/>
        <w:rPr>
          <w:sz w:val="20"/>
        </w:rPr>
      </w:pPr>
    </w:p>
    <w:p>
      <w:pPr>
        <w:pStyle w:val="ListParagraph"/>
        <w:numPr>
          <w:ilvl w:val="2"/>
          <w:numId w:val="122"/>
        </w:numPr>
        <w:tabs>
          <w:tab w:pos="1237" w:val="left" w:leader="none"/>
          <w:tab w:pos="1238" w:val="left" w:leader="none"/>
        </w:tabs>
        <w:spacing w:line="273" w:lineRule="auto" w:before="0" w:after="0"/>
        <w:ind w:left="517" w:right="2324" w:firstLine="0"/>
        <w:jc w:val="left"/>
        <w:rPr>
          <w:sz w:val="18"/>
        </w:rPr>
      </w:pPr>
      <w:r>
        <w:rPr>
          <w:color w:val="231F20"/>
          <w:w w:val="110"/>
          <w:sz w:val="18"/>
        </w:rPr>
        <w:t>On receipt of the Notice of Appeal </w:t>
      </w:r>
      <w:r>
        <w:rPr>
          <w:color w:val="231F20"/>
          <w:spacing w:val="2"/>
          <w:w w:val="110"/>
          <w:sz w:val="18"/>
        </w:rPr>
        <w:t>served </w:t>
      </w:r>
      <w:r>
        <w:rPr>
          <w:color w:val="231F20"/>
          <w:w w:val="110"/>
          <w:sz w:val="18"/>
        </w:rPr>
        <w:t>under Paragraph </w:t>
      </w:r>
      <w:r>
        <w:rPr>
          <w:color w:val="231F20"/>
          <w:spacing w:val="-4"/>
          <w:w w:val="110"/>
          <w:sz w:val="18"/>
        </w:rPr>
        <w:t>G.1, </w:t>
      </w:r>
      <w:r>
        <w:rPr>
          <w:color w:val="231F20"/>
          <w:w w:val="110"/>
          <w:sz w:val="18"/>
        </w:rPr>
        <w:t>the General </w:t>
      </w:r>
      <w:r>
        <w:rPr>
          <w:color w:val="231F20"/>
          <w:spacing w:val="3"/>
          <w:w w:val="110"/>
          <w:sz w:val="18"/>
        </w:rPr>
        <w:t>Secretary </w:t>
      </w:r>
      <w:r>
        <w:rPr>
          <w:color w:val="231F20"/>
          <w:w w:val="110"/>
          <w:sz w:val="18"/>
        </w:rPr>
        <w:t>shall as soon as possible take the following</w:t>
      </w:r>
      <w:r>
        <w:rPr>
          <w:color w:val="231F20"/>
          <w:spacing w:val="21"/>
          <w:w w:val="110"/>
          <w:sz w:val="18"/>
        </w:rPr>
        <w:t> </w:t>
      </w:r>
      <w:r>
        <w:rPr>
          <w:color w:val="231F20"/>
          <w:w w:val="110"/>
          <w:sz w:val="18"/>
        </w:rPr>
        <w:t>steps:</w:t>
      </w:r>
    </w:p>
    <w:p>
      <w:pPr>
        <w:pStyle w:val="BodyText"/>
        <w:spacing w:before="8"/>
        <w:rPr>
          <w:sz w:val="20"/>
        </w:rPr>
      </w:pPr>
    </w:p>
    <w:p>
      <w:pPr>
        <w:pStyle w:val="ListParagraph"/>
        <w:numPr>
          <w:ilvl w:val="3"/>
          <w:numId w:val="122"/>
        </w:numPr>
        <w:tabs>
          <w:tab w:pos="1238" w:val="left" w:leader="none"/>
        </w:tabs>
        <w:spacing w:line="273" w:lineRule="auto" w:before="0" w:after="0"/>
        <w:ind w:left="517" w:right="1843" w:firstLine="0"/>
        <w:jc w:val="both"/>
        <w:rPr>
          <w:sz w:val="18"/>
        </w:rPr>
      </w:pPr>
      <w:r>
        <w:rPr>
          <w:color w:val="231F20"/>
          <w:w w:val="110"/>
          <w:sz w:val="18"/>
        </w:rPr>
        <w:t>Acknowledge receipt of the Notice of Appeal, send to the Appellant a copy of the Record of the Hearing (see Paragraph </w:t>
      </w:r>
      <w:r>
        <w:rPr>
          <w:color w:val="231F20"/>
          <w:spacing w:val="-5"/>
          <w:w w:val="110"/>
          <w:sz w:val="18"/>
        </w:rPr>
        <w:t>E.12.4) </w:t>
      </w:r>
      <w:r>
        <w:rPr>
          <w:color w:val="231F20"/>
          <w:w w:val="110"/>
          <w:sz w:val="18"/>
        </w:rPr>
        <w:t>and follow the procedure set out in either Paragraph G.2.2 or Paragraph</w:t>
      </w:r>
      <w:r>
        <w:rPr>
          <w:color w:val="231F20"/>
          <w:spacing w:val="4"/>
          <w:w w:val="110"/>
          <w:sz w:val="18"/>
        </w:rPr>
        <w:t> </w:t>
      </w:r>
      <w:r>
        <w:rPr>
          <w:color w:val="231F20"/>
          <w:w w:val="110"/>
          <w:sz w:val="18"/>
        </w:rPr>
        <w:t>G.2.3.</w:t>
      </w:r>
    </w:p>
    <w:p>
      <w:pPr>
        <w:spacing w:after="0" w:line="273" w:lineRule="auto"/>
        <w:jc w:val="both"/>
        <w:rPr>
          <w:sz w:val="18"/>
        </w:rPr>
        <w:sectPr>
          <w:pgSz w:w="11910" w:h="16840"/>
          <w:pgMar w:header="558" w:footer="564" w:top="820" w:bottom="760" w:left="620" w:right="0"/>
        </w:sectPr>
      </w:pPr>
    </w:p>
    <w:p>
      <w:pPr>
        <w:pStyle w:val="BodyText"/>
        <w:spacing w:before="9"/>
        <w:rPr>
          <w:sz w:val="13"/>
        </w:rPr>
      </w:pPr>
    </w:p>
    <w:p>
      <w:pPr>
        <w:pStyle w:val="ListParagraph"/>
        <w:numPr>
          <w:ilvl w:val="3"/>
          <w:numId w:val="122"/>
        </w:numPr>
        <w:tabs>
          <w:tab w:pos="1801" w:val="left" w:leader="none"/>
        </w:tabs>
        <w:spacing w:line="273" w:lineRule="auto" w:before="101" w:after="0"/>
        <w:ind w:left="1080" w:right="1343" w:firstLine="0"/>
        <w:jc w:val="left"/>
        <w:rPr>
          <w:sz w:val="18"/>
        </w:rPr>
      </w:pPr>
      <w:r>
        <w:rPr>
          <w:color w:val="231F20"/>
          <w:w w:val="110"/>
          <w:sz w:val="18"/>
        </w:rPr>
        <w:t>(If the Appeal is brought by the Minister under Paragraph </w:t>
      </w:r>
      <w:r>
        <w:rPr>
          <w:color w:val="231F20"/>
          <w:spacing w:val="-5"/>
          <w:w w:val="110"/>
          <w:sz w:val="18"/>
        </w:rPr>
        <w:t>4.1 </w:t>
      </w:r>
      <w:r>
        <w:rPr>
          <w:color w:val="231F20"/>
          <w:w w:val="110"/>
          <w:sz w:val="18"/>
        </w:rPr>
        <w:t>of </w:t>
      </w:r>
      <w:r>
        <w:rPr>
          <w:color w:val="231F20"/>
          <w:spacing w:val="2"/>
          <w:w w:val="110"/>
          <w:sz w:val="18"/>
        </w:rPr>
        <w:t>Part </w:t>
      </w:r>
      <w:r>
        <w:rPr>
          <w:color w:val="231F20"/>
          <w:w w:val="110"/>
          <w:sz w:val="18"/>
        </w:rPr>
        <w:t>I) </w:t>
      </w:r>
      <w:r>
        <w:rPr>
          <w:color w:val="231F20"/>
          <w:spacing w:val="2"/>
          <w:w w:val="110"/>
          <w:sz w:val="18"/>
        </w:rPr>
        <w:t>serve </w:t>
      </w:r>
      <w:r>
        <w:rPr>
          <w:color w:val="231F20"/>
          <w:w w:val="110"/>
          <w:sz w:val="18"/>
        </w:rPr>
        <w:t>Notice of the receipt of the Appeal on the Mandated Group, attaching to such Notice a copy of the Notice of Appeal </w:t>
      </w:r>
      <w:r>
        <w:rPr>
          <w:color w:val="231F20"/>
          <w:spacing w:val="2"/>
          <w:w w:val="110"/>
          <w:sz w:val="18"/>
        </w:rPr>
        <w:t>served </w:t>
      </w:r>
      <w:r>
        <w:rPr>
          <w:color w:val="231F20"/>
          <w:w w:val="110"/>
          <w:sz w:val="18"/>
        </w:rPr>
        <w:t>under Paragraph </w:t>
      </w:r>
      <w:r>
        <w:rPr>
          <w:color w:val="231F20"/>
          <w:spacing w:val="-5"/>
          <w:w w:val="110"/>
          <w:sz w:val="18"/>
        </w:rPr>
        <w:t>G.1.1 </w:t>
      </w:r>
      <w:r>
        <w:rPr>
          <w:color w:val="231F20"/>
          <w:w w:val="110"/>
          <w:sz w:val="18"/>
        </w:rPr>
        <w:t>and of any accompanying statement of reasons and a copy of the Record of the Hearing (see Paragraph </w:t>
      </w:r>
      <w:r>
        <w:rPr>
          <w:color w:val="231F20"/>
          <w:spacing w:val="-5"/>
          <w:w w:val="110"/>
          <w:sz w:val="18"/>
        </w:rPr>
        <w:t>E.12.4) </w:t>
      </w:r>
      <w:r>
        <w:rPr>
          <w:color w:val="231F20"/>
          <w:w w:val="110"/>
          <w:sz w:val="18"/>
        </w:rPr>
        <w:t>and call upon the Mandated Group to submit within </w:t>
      </w:r>
      <w:r>
        <w:rPr>
          <w:color w:val="231F20"/>
          <w:spacing w:val="-3"/>
          <w:w w:val="110"/>
          <w:sz w:val="18"/>
        </w:rPr>
        <w:t>21 </w:t>
      </w:r>
      <w:r>
        <w:rPr>
          <w:color w:val="231F20"/>
          <w:w w:val="110"/>
          <w:sz w:val="18"/>
        </w:rPr>
        <w:t>days </w:t>
      </w:r>
      <w:r>
        <w:rPr>
          <w:color w:val="231F20"/>
          <w:spacing w:val="2"/>
          <w:w w:val="110"/>
          <w:sz w:val="18"/>
        </w:rPr>
        <w:t>from </w:t>
      </w:r>
      <w:r>
        <w:rPr>
          <w:color w:val="231F20"/>
          <w:w w:val="110"/>
          <w:sz w:val="18"/>
        </w:rPr>
        <w:t>the date of </w:t>
      </w:r>
      <w:r>
        <w:rPr>
          <w:color w:val="231F20"/>
          <w:spacing w:val="2"/>
          <w:w w:val="110"/>
          <w:sz w:val="18"/>
        </w:rPr>
        <w:t>service </w:t>
      </w:r>
      <w:r>
        <w:rPr>
          <w:color w:val="231F20"/>
          <w:w w:val="110"/>
          <w:sz w:val="18"/>
        </w:rPr>
        <w:t>of the Notice under this Paragraph a counter-statement containing any comments which the Mandated Group wishes to make in connection with the Appeal</w:t>
      </w:r>
      <w:r>
        <w:rPr>
          <w:color w:val="231F20"/>
          <w:spacing w:val="41"/>
          <w:w w:val="110"/>
          <w:sz w:val="18"/>
        </w:rPr>
        <w:t> </w:t>
      </w:r>
      <w:r>
        <w:rPr>
          <w:color w:val="231F20"/>
          <w:w w:val="110"/>
          <w:sz w:val="18"/>
        </w:rPr>
        <w:t>or</w:t>
      </w:r>
    </w:p>
    <w:p>
      <w:pPr>
        <w:pStyle w:val="BodyText"/>
        <w:spacing w:before="11"/>
        <w:rPr>
          <w:sz w:val="20"/>
        </w:rPr>
      </w:pPr>
    </w:p>
    <w:p>
      <w:pPr>
        <w:pStyle w:val="ListParagraph"/>
        <w:numPr>
          <w:ilvl w:val="3"/>
          <w:numId w:val="122"/>
        </w:numPr>
        <w:tabs>
          <w:tab w:pos="1801" w:val="left" w:leader="none"/>
        </w:tabs>
        <w:spacing w:line="240" w:lineRule="auto" w:before="0" w:after="0"/>
        <w:ind w:left="1800" w:right="0" w:hanging="721"/>
        <w:jc w:val="left"/>
        <w:rPr>
          <w:sz w:val="18"/>
        </w:rPr>
      </w:pPr>
      <w:r>
        <w:rPr>
          <w:color w:val="231F20"/>
          <w:w w:val="110"/>
          <w:sz w:val="18"/>
        </w:rPr>
        <w:t>(If the Appeal is brought by the Mandated Group under Paragraph 4.2 of</w:t>
      </w:r>
      <w:r>
        <w:rPr>
          <w:color w:val="231F20"/>
          <w:spacing w:val="46"/>
          <w:w w:val="110"/>
          <w:sz w:val="18"/>
        </w:rPr>
        <w:t> </w:t>
      </w:r>
      <w:r>
        <w:rPr>
          <w:color w:val="231F20"/>
          <w:spacing w:val="2"/>
          <w:w w:val="110"/>
          <w:sz w:val="18"/>
        </w:rPr>
        <w:t>Part</w:t>
      </w:r>
    </w:p>
    <w:p>
      <w:pPr>
        <w:pStyle w:val="BodyText"/>
        <w:spacing w:line="273" w:lineRule="auto" w:before="31"/>
        <w:ind w:left="1080" w:right="1457"/>
      </w:pPr>
      <w:r>
        <w:rPr>
          <w:color w:val="231F20"/>
          <w:w w:val="110"/>
        </w:rPr>
        <w:t>I) serve Notice of the receipt of the Appeal on the Minister, attaching to such Notice a copy of the Notice of Appeal served under Paragraph G.1.1 and of any accompanying statement of reasons and a copy of the Record of the Hearing (see Paragraph E.12.4) and call upon the Minister to submit within 21 days from the date of service of the Notice under this Paragraph a counter-statement containing any comments which the Minister wishes to make in connection with the Appeal.</w:t>
      </w:r>
    </w:p>
    <w:p>
      <w:pPr>
        <w:pStyle w:val="BodyText"/>
        <w:spacing w:before="11"/>
        <w:rPr>
          <w:sz w:val="20"/>
        </w:rPr>
      </w:pPr>
    </w:p>
    <w:p>
      <w:pPr>
        <w:pStyle w:val="ListParagraph"/>
        <w:numPr>
          <w:ilvl w:val="2"/>
          <w:numId w:val="122"/>
        </w:numPr>
        <w:tabs>
          <w:tab w:pos="1800" w:val="left" w:leader="none"/>
          <w:tab w:pos="1801" w:val="left" w:leader="none"/>
        </w:tabs>
        <w:spacing w:line="273" w:lineRule="auto" w:before="0" w:after="0"/>
        <w:ind w:left="1080" w:right="1544" w:firstLine="0"/>
        <w:jc w:val="left"/>
        <w:rPr>
          <w:sz w:val="18"/>
        </w:rPr>
      </w:pPr>
      <w:r>
        <w:rPr>
          <w:color w:val="231F20"/>
          <w:spacing w:val="-3"/>
          <w:w w:val="110"/>
          <w:sz w:val="18"/>
        </w:rPr>
        <w:t>G.3.1</w:t>
      </w:r>
      <w:r>
        <w:rPr>
          <w:color w:val="231F20"/>
          <w:spacing w:val="63"/>
          <w:w w:val="110"/>
          <w:sz w:val="18"/>
        </w:rPr>
        <w:t> </w:t>
      </w:r>
      <w:r>
        <w:rPr>
          <w:color w:val="231F20"/>
          <w:w w:val="110"/>
          <w:sz w:val="18"/>
        </w:rPr>
        <w:t>The </w:t>
      </w:r>
      <w:r>
        <w:rPr>
          <w:color w:val="231F20"/>
          <w:spacing w:val="3"/>
          <w:w w:val="110"/>
          <w:sz w:val="18"/>
        </w:rPr>
        <w:t>Officers </w:t>
      </w:r>
      <w:r>
        <w:rPr>
          <w:color w:val="231F20"/>
          <w:w w:val="110"/>
          <w:sz w:val="18"/>
        </w:rPr>
        <w:t>of the General Assembly shall within </w:t>
      </w:r>
      <w:r>
        <w:rPr>
          <w:color w:val="231F20"/>
          <w:spacing w:val="-6"/>
          <w:w w:val="110"/>
          <w:sz w:val="18"/>
        </w:rPr>
        <w:t>14 </w:t>
      </w:r>
      <w:r>
        <w:rPr>
          <w:color w:val="231F20"/>
          <w:w w:val="110"/>
          <w:sz w:val="18"/>
        </w:rPr>
        <w:t>days of receipt by the General </w:t>
      </w:r>
      <w:r>
        <w:rPr>
          <w:color w:val="231F20"/>
          <w:spacing w:val="3"/>
          <w:w w:val="110"/>
          <w:sz w:val="18"/>
        </w:rPr>
        <w:t>Secretary </w:t>
      </w:r>
      <w:r>
        <w:rPr>
          <w:color w:val="231F20"/>
          <w:w w:val="110"/>
          <w:sz w:val="18"/>
        </w:rPr>
        <w:t>of the Notice of Appeal under Paragraph </w:t>
      </w:r>
      <w:r>
        <w:rPr>
          <w:color w:val="231F20"/>
          <w:spacing w:val="-5"/>
          <w:w w:val="110"/>
          <w:sz w:val="18"/>
        </w:rPr>
        <w:t>G.1.1 </w:t>
      </w:r>
      <w:r>
        <w:rPr>
          <w:color w:val="231F20"/>
          <w:w w:val="110"/>
          <w:sz w:val="18"/>
        </w:rPr>
        <w:t>of these Rules </w:t>
      </w:r>
      <w:r>
        <w:rPr>
          <w:color w:val="231F20"/>
          <w:spacing w:val="-5"/>
          <w:w w:val="110"/>
          <w:sz w:val="18"/>
        </w:rPr>
        <w:t>(or </w:t>
      </w:r>
      <w:r>
        <w:rPr>
          <w:color w:val="231F20"/>
          <w:w w:val="110"/>
          <w:sz w:val="18"/>
        </w:rPr>
        <w:t>within such </w:t>
      </w:r>
      <w:r>
        <w:rPr>
          <w:color w:val="231F20"/>
          <w:spacing w:val="2"/>
          <w:w w:val="110"/>
          <w:sz w:val="18"/>
        </w:rPr>
        <w:t>further </w:t>
      </w:r>
      <w:r>
        <w:rPr>
          <w:color w:val="231F20"/>
          <w:w w:val="110"/>
          <w:sz w:val="18"/>
        </w:rPr>
        <w:t>time as they shall reasonably require) appoint the Appeals Commission in accordance with Paragraph G.3.2 and Paragraphs G.4 to</w:t>
      </w:r>
      <w:r>
        <w:rPr>
          <w:color w:val="231F20"/>
          <w:spacing w:val="53"/>
          <w:w w:val="110"/>
          <w:sz w:val="18"/>
        </w:rPr>
        <w:t> </w:t>
      </w:r>
      <w:r>
        <w:rPr>
          <w:color w:val="231F20"/>
          <w:spacing w:val="-9"/>
          <w:w w:val="110"/>
          <w:sz w:val="18"/>
        </w:rPr>
        <w:t>G.7.</w:t>
      </w:r>
    </w:p>
    <w:p>
      <w:pPr>
        <w:pStyle w:val="BodyText"/>
        <w:spacing w:before="9"/>
        <w:rPr>
          <w:sz w:val="20"/>
        </w:rPr>
      </w:pPr>
    </w:p>
    <w:p>
      <w:pPr>
        <w:pStyle w:val="ListParagraph"/>
        <w:numPr>
          <w:ilvl w:val="2"/>
          <w:numId w:val="168"/>
        </w:numPr>
        <w:tabs>
          <w:tab w:pos="1801" w:val="left" w:leader="none"/>
        </w:tabs>
        <w:spacing w:line="240" w:lineRule="auto" w:before="0" w:after="0"/>
        <w:ind w:left="1800" w:right="0" w:hanging="721"/>
        <w:jc w:val="left"/>
        <w:rPr>
          <w:sz w:val="18"/>
        </w:rPr>
      </w:pPr>
      <w:r>
        <w:rPr>
          <w:color w:val="231F20"/>
          <w:w w:val="110"/>
          <w:sz w:val="18"/>
        </w:rPr>
        <w:t>The Appeals Commission for the hearing of each such appeal shall consist of</w:t>
      </w:r>
      <w:r>
        <w:rPr>
          <w:color w:val="231F20"/>
          <w:spacing w:val="69"/>
          <w:w w:val="110"/>
          <w:sz w:val="18"/>
        </w:rPr>
        <w:t> </w:t>
      </w:r>
      <w:r>
        <w:rPr>
          <w:color w:val="231F20"/>
          <w:w w:val="110"/>
          <w:sz w:val="18"/>
        </w:rPr>
        <w:t>the</w:t>
      </w:r>
    </w:p>
    <w:p>
      <w:pPr>
        <w:pStyle w:val="BodyText"/>
        <w:spacing w:before="32"/>
        <w:ind w:left="1080"/>
      </w:pPr>
      <w:r>
        <w:rPr>
          <w:color w:val="231F20"/>
          <w:w w:val="110"/>
        </w:rPr>
        <w:t>following five persons:</w:t>
      </w:r>
    </w:p>
    <w:p>
      <w:pPr>
        <w:pStyle w:val="BodyText"/>
        <w:spacing w:before="1"/>
        <w:rPr>
          <w:sz w:val="23"/>
        </w:rPr>
      </w:pPr>
    </w:p>
    <w:p>
      <w:pPr>
        <w:pStyle w:val="ListParagraph"/>
        <w:numPr>
          <w:ilvl w:val="3"/>
          <w:numId w:val="168"/>
        </w:numPr>
        <w:tabs>
          <w:tab w:pos="2520" w:val="left" w:leader="none"/>
          <w:tab w:pos="2521" w:val="left" w:leader="none"/>
        </w:tabs>
        <w:spacing w:line="273" w:lineRule="auto" w:before="0" w:after="0"/>
        <w:ind w:left="1080" w:right="1787" w:firstLine="0"/>
        <w:jc w:val="left"/>
        <w:rPr>
          <w:sz w:val="18"/>
        </w:rPr>
      </w:pPr>
      <w:r>
        <w:rPr>
          <w:color w:val="231F20"/>
          <w:w w:val="110"/>
          <w:sz w:val="18"/>
        </w:rPr>
        <w:t>A Convener who shall be a member of the United Reformed Church (but not necessarily a member of the General Assembly) with legal and/or tribunal experience to be </w:t>
      </w:r>
      <w:r>
        <w:rPr>
          <w:color w:val="231F20"/>
          <w:spacing w:val="2"/>
          <w:w w:val="110"/>
          <w:sz w:val="18"/>
        </w:rPr>
        <w:t>selected </w:t>
      </w:r>
      <w:r>
        <w:rPr>
          <w:color w:val="231F20"/>
          <w:w w:val="110"/>
          <w:sz w:val="18"/>
        </w:rPr>
        <w:t>by the </w:t>
      </w:r>
      <w:r>
        <w:rPr>
          <w:color w:val="231F20"/>
          <w:spacing w:val="2"/>
          <w:w w:val="110"/>
          <w:sz w:val="18"/>
        </w:rPr>
        <w:t>officers </w:t>
      </w:r>
      <w:r>
        <w:rPr>
          <w:color w:val="231F20"/>
          <w:w w:val="110"/>
          <w:sz w:val="18"/>
        </w:rPr>
        <w:t>of the General Assembly</w:t>
      </w:r>
      <w:r>
        <w:rPr>
          <w:color w:val="231F20"/>
          <w:spacing w:val="51"/>
          <w:w w:val="110"/>
          <w:sz w:val="18"/>
        </w:rPr>
        <w:t> </w:t>
      </w:r>
      <w:r>
        <w:rPr>
          <w:color w:val="231F20"/>
          <w:w w:val="110"/>
          <w:sz w:val="18"/>
        </w:rPr>
        <w:t>and</w:t>
      </w:r>
    </w:p>
    <w:p>
      <w:pPr>
        <w:pStyle w:val="BodyText"/>
        <w:spacing w:before="9"/>
        <w:rPr>
          <w:sz w:val="20"/>
        </w:rPr>
      </w:pPr>
    </w:p>
    <w:p>
      <w:pPr>
        <w:pStyle w:val="ListParagraph"/>
        <w:numPr>
          <w:ilvl w:val="3"/>
          <w:numId w:val="168"/>
        </w:numPr>
        <w:tabs>
          <w:tab w:pos="2520" w:val="left" w:leader="none"/>
          <w:tab w:pos="2521" w:val="left" w:leader="none"/>
        </w:tabs>
        <w:spacing w:line="273" w:lineRule="auto" w:before="0" w:after="0"/>
        <w:ind w:left="1080" w:right="1194" w:firstLine="0"/>
        <w:jc w:val="left"/>
        <w:rPr>
          <w:sz w:val="18"/>
        </w:rPr>
      </w:pPr>
      <w:r>
        <w:rPr>
          <w:color w:val="231F20"/>
          <w:w w:val="110"/>
          <w:sz w:val="18"/>
        </w:rPr>
        <w:t>The Moderator of the General Assembly or if for any reason he/she should be unable to serve, a former Moderator of the General Assembly to be </w:t>
      </w:r>
      <w:r>
        <w:rPr>
          <w:color w:val="231F20"/>
          <w:spacing w:val="2"/>
          <w:w w:val="110"/>
          <w:sz w:val="18"/>
        </w:rPr>
        <w:t>selected </w:t>
      </w:r>
      <w:r>
        <w:rPr>
          <w:color w:val="231F20"/>
          <w:w w:val="110"/>
          <w:sz w:val="18"/>
        </w:rPr>
        <w:t>by the </w:t>
      </w:r>
      <w:r>
        <w:rPr>
          <w:color w:val="231F20"/>
          <w:spacing w:val="2"/>
          <w:w w:val="110"/>
          <w:sz w:val="18"/>
        </w:rPr>
        <w:t>officers </w:t>
      </w:r>
      <w:r>
        <w:rPr>
          <w:color w:val="231F20"/>
          <w:w w:val="110"/>
          <w:sz w:val="18"/>
        </w:rPr>
        <w:t>of the General Assembly</w:t>
      </w:r>
      <w:r>
        <w:rPr>
          <w:color w:val="231F20"/>
          <w:spacing w:val="5"/>
          <w:w w:val="110"/>
          <w:sz w:val="18"/>
        </w:rPr>
        <w:t> </w:t>
      </w:r>
      <w:r>
        <w:rPr>
          <w:color w:val="231F20"/>
          <w:w w:val="110"/>
          <w:sz w:val="18"/>
        </w:rPr>
        <w:t>and</w:t>
      </w:r>
    </w:p>
    <w:p>
      <w:pPr>
        <w:pStyle w:val="BodyText"/>
        <w:spacing w:before="8"/>
        <w:rPr>
          <w:sz w:val="20"/>
        </w:rPr>
      </w:pPr>
    </w:p>
    <w:p>
      <w:pPr>
        <w:pStyle w:val="ListParagraph"/>
        <w:numPr>
          <w:ilvl w:val="3"/>
          <w:numId w:val="168"/>
        </w:numPr>
        <w:tabs>
          <w:tab w:pos="2520" w:val="left" w:leader="none"/>
          <w:tab w:pos="2521" w:val="left" w:leader="none"/>
        </w:tabs>
        <w:spacing w:line="240" w:lineRule="auto" w:before="1" w:after="0"/>
        <w:ind w:left="2520" w:right="0" w:hanging="1441"/>
        <w:jc w:val="left"/>
        <w:rPr>
          <w:sz w:val="18"/>
        </w:rPr>
      </w:pPr>
      <w:r>
        <w:rPr>
          <w:color w:val="231F20"/>
          <w:spacing w:val="2"/>
          <w:w w:val="110"/>
          <w:sz w:val="18"/>
        </w:rPr>
        <w:t>Three </w:t>
      </w:r>
      <w:r>
        <w:rPr>
          <w:color w:val="231F20"/>
          <w:w w:val="110"/>
          <w:sz w:val="18"/>
        </w:rPr>
        <w:t>other </w:t>
      </w:r>
      <w:r>
        <w:rPr>
          <w:color w:val="231F20"/>
          <w:spacing w:val="2"/>
          <w:w w:val="110"/>
          <w:sz w:val="18"/>
        </w:rPr>
        <w:t>members </w:t>
      </w:r>
      <w:r>
        <w:rPr>
          <w:color w:val="231F20"/>
          <w:w w:val="110"/>
          <w:sz w:val="18"/>
        </w:rPr>
        <w:t>of the General Assembly to be </w:t>
      </w:r>
      <w:r>
        <w:rPr>
          <w:color w:val="231F20"/>
          <w:spacing w:val="2"/>
          <w:w w:val="110"/>
          <w:sz w:val="18"/>
        </w:rPr>
        <w:t>selected </w:t>
      </w:r>
      <w:r>
        <w:rPr>
          <w:color w:val="231F20"/>
          <w:w w:val="110"/>
          <w:sz w:val="18"/>
        </w:rPr>
        <w:t>by</w:t>
      </w:r>
      <w:r>
        <w:rPr>
          <w:color w:val="231F20"/>
          <w:spacing w:val="34"/>
          <w:w w:val="110"/>
          <w:sz w:val="18"/>
        </w:rPr>
        <w:t> </w:t>
      </w:r>
      <w:r>
        <w:rPr>
          <w:color w:val="231F20"/>
          <w:w w:val="110"/>
          <w:sz w:val="18"/>
        </w:rPr>
        <w:t>the</w:t>
      </w:r>
    </w:p>
    <w:p>
      <w:pPr>
        <w:pStyle w:val="BodyText"/>
        <w:spacing w:before="31"/>
        <w:ind w:left="1080"/>
      </w:pPr>
      <w:r>
        <w:rPr>
          <w:color w:val="231F20"/>
          <w:w w:val="110"/>
        </w:rPr>
        <w:t>officers of the General Assembly.</w:t>
      </w:r>
    </w:p>
    <w:p>
      <w:pPr>
        <w:pStyle w:val="BodyText"/>
        <w:spacing w:before="1"/>
        <w:rPr>
          <w:sz w:val="23"/>
        </w:rPr>
      </w:pPr>
    </w:p>
    <w:p>
      <w:pPr>
        <w:pStyle w:val="ListParagraph"/>
        <w:numPr>
          <w:ilvl w:val="2"/>
          <w:numId w:val="168"/>
        </w:numPr>
        <w:tabs>
          <w:tab w:pos="1801" w:val="left" w:leader="none"/>
        </w:tabs>
        <w:spacing w:line="273" w:lineRule="auto" w:before="1" w:after="0"/>
        <w:ind w:left="1080" w:right="1137" w:firstLine="0"/>
        <w:jc w:val="left"/>
        <w:rPr>
          <w:sz w:val="18"/>
        </w:rPr>
      </w:pPr>
      <w:r>
        <w:rPr>
          <w:color w:val="231F20"/>
          <w:w w:val="110"/>
          <w:sz w:val="18"/>
        </w:rPr>
        <w:t>The relevant date for ascertaining whether </w:t>
      </w:r>
      <w:r>
        <w:rPr>
          <w:color w:val="231F20"/>
          <w:spacing w:val="2"/>
          <w:w w:val="110"/>
          <w:sz w:val="18"/>
        </w:rPr>
        <w:t>persons </w:t>
      </w:r>
      <w:r>
        <w:rPr>
          <w:color w:val="231F20"/>
          <w:w w:val="110"/>
          <w:sz w:val="18"/>
        </w:rPr>
        <w:t>qualify for appointment under Paragraph G.3.2 is the date on which under the Rules of Procedure the </w:t>
      </w:r>
      <w:r>
        <w:rPr>
          <w:color w:val="231F20"/>
          <w:spacing w:val="3"/>
          <w:w w:val="110"/>
          <w:sz w:val="18"/>
        </w:rPr>
        <w:t>Secretary </w:t>
      </w:r>
      <w:r>
        <w:rPr>
          <w:color w:val="231F20"/>
          <w:w w:val="110"/>
          <w:sz w:val="18"/>
        </w:rPr>
        <w:t>of the Assembly Commission notifies the General </w:t>
      </w:r>
      <w:r>
        <w:rPr>
          <w:color w:val="231F20"/>
          <w:spacing w:val="3"/>
          <w:w w:val="110"/>
          <w:sz w:val="18"/>
        </w:rPr>
        <w:t>Secretary </w:t>
      </w:r>
      <w:r>
        <w:rPr>
          <w:color w:val="231F20"/>
          <w:w w:val="110"/>
          <w:sz w:val="18"/>
        </w:rPr>
        <w:t>that an appeal has been lodged against the decision of the Assembly</w:t>
      </w:r>
      <w:r>
        <w:rPr>
          <w:color w:val="231F20"/>
          <w:spacing w:val="12"/>
          <w:w w:val="110"/>
          <w:sz w:val="18"/>
        </w:rPr>
        <w:t> </w:t>
      </w:r>
      <w:r>
        <w:rPr>
          <w:color w:val="231F20"/>
          <w:w w:val="110"/>
          <w:sz w:val="18"/>
        </w:rPr>
        <w:t>Commission.</w:t>
      </w:r>
    </w:p>
    <w:p>
      <w:pPr>
        <w:pStyle w:val="BodyText"/>
        <w:spacing w:before="9"/>
        <w:rPr>
          <w:sz w:val="20"/>
        </w:rPr>
      </w:pPr>
    </w:p>
    <w:p>
      <w:pPr>
        <w:pStyle w:val="ListParagraph"/>
        <w:numPr>
          <w:ilvl w:val="2"/>
          <w:numId w:val="168"/>
        </w:numPr>
        <w:tabs>
          <w:tab w:pos="1801" w:val="left" w:leader="none"/>
        </w:tabs>
        <w:spacing w:line="273" w:lineRule="auto" w:before="0" w:after="0"/>
        <w:ind w:left="1080" w:right="1406" w:firstLine="0"/>
        <w:jc w:val="left"/>
        <w:rPr>
          <w:sz w:val="18"/>
        </w:rPr>
      </w:pPr>
      <w:r>
        <w:rPr>
          <w:color w:val="231F20"/>
          <w:w w:val="110"/>
          <w:sz w:val="18"/>
        </w:rPr>
        <w:t>In </w:t>
      </w:r>
      <w:r>
        <w:rPr>
          <w:color w:val="231F20"/>
          <w:spacing w:val="2"/>
          <w:w w:val="110"/>
          <w:sz w:val="18"/>
        </w:rPr>
        <w:t>selecting persons </w:t>
      </w:r>
      <w:r>
        <w:rPr>
          <w:color w:val="231F20"/>
          <w:w w:val="110"/>
          <w:sz w:val="18"/>
        </w:rPr>
        <w:t>for appointment to the Appeals Commission in accordance with Paragraph G.3.2 , the </w:t>
      </w:r>
      <w:r>
        <w:rPr>
          <w:color w:val="231F20"/>
          <w:spacing w:val="2"/>
          <w:w w:val="110"/>
          <w:sz w:val="18"/>
        </w:rPr>
        <w:t>officers </w:t>
      </w:r>
      <w:r>
        <w:rPr>
          <w:color w:val="231F20"/>
          <w:w w:val="110"/>
          <w:sz w:val="18"/>
        </w:rPr>
        <w:t>of the General Assembly shall, so far as possible, apply the same criteria as are set out in Paragraphs A.6.1 and C.2.4 in relation to appointments to the Commission Panel and to Assembly</w:t>
      </w:r>
      <w:r>
        <w:rPr>
          <w:color w:val="231F20"/>
          <w:spacing w:val="39"/>
          <w:w w:val="110"/>
          <w:sz w:val="18"/>
        </w:rPr>
        <w:t> </w:t>
      </w:r>
      <w:r>
        <w:rPr>
          <w:color w:val="231F20"/>
          <w:w w:val="110"/>
          <w:sz w:val="18"/>
        </w:rPr>
        <w:t>Commissions.</w:t>
      </w:r>
    </w:p>
    <w:p>
      <w:pPr>
        <w:pStyle w:val="BodyText"/>
        <w:spacing w:before="9"/>
        <w:rPr>
          <w:sz w:val="20"/>
        </w:rPr>
      </w:pPr>
    </w:p>
    <w:p>
      <w:pPr>
        <w:pStyle w:val="ListParagraph"/>
        <w:numPr>
          <w:ilvl w:val="2"/>
          <w:numId w:val="168"/>
        </w:numPr>
        <w:tabs>
          <w:tab w:pos="1801" w:val="left" w:leader="none"/>
        </w:tabs>
        <w:spacing w:line="273" w:lineRule="auto" w:before="1" w:after="0"/>
        <w:ind w:left="1080" w:right="1155" w:firstLine="0"/>
        <w:jc w:val="left"/>
        <w:rPr>
          <w:sz w:val="18"/>
        </w:rPr>
      </w:pPr>
      <w:r>
        <w:rPr>
          <w:color w:val="231F20"/>
          <w:w w:val="110"/>
          <w:sz w:val="18"/>
        </w:rPr>
        <w:t>All </w:t>
      </w:r>
      <w:r>
        <w:rPr>
          <w:color w:val="231F20"/>
          <w:spacing w:val="2"/>
          <w:w w:val="110"/>
          <w:sz w:val="18"/>
        </w:rPr>
        <w:t>persons proposed </w:t>
      </w:r>
      <w:r>
        <w:rPr>
          <w:color w:val="231F20"/>
          <w:w w:val="110"/>
          <w:sz w:val="18"/>
        </w:rPr>
        <w:t>for appointment to an Appeals Commission, in any capacity, are subject to Paragraph</w:t>
      </w:r>
      <w:r>
        <w:rPr>
          <w:color w:val="231F20"/>
          <w:spacing w:val="5"/>
          <w:w w:val="110"/>
          <w:sz w:val="18"/>
        </w:rPr>
        <w:t> </w:t>
      </w:r>
      <w:r>
        <w:rPr>
          <w:color w:val="231F20"/>
          <w:spacing w:val="-3"/>
          <w:w w:val="110"/>
          <w:sz w:val="18"/>
        </w:rPr>
        <w:t>C.3.1.</w:t>
      </w:r>
    </w:p>
    <w:p>
      <w:pPr>
        <w:pStyle w:val="BodyText"/>
        <w:spacing w:before="8"/>
        <w:rPr>
          <w:sz w:val="20"/>
        </w:rPr>
      </w:pPr>
    </w:p>
    <w:p>
      <w:pPr>
        <w:pStyle w:val="ListParagraph"/>
        <w:numPr>
          <w:ilvl w:val="2"/>
          <w:numId w:val="122"/>
        </w:numPr>
        <w:tabs>
          <w:tab w:pos="1800" w:val="left" w:leader="none"/>
          <w:tab w:pos="1801" w:val="left" w:leader="none"/>
        </w:tabs>
        <w:spacing w:line="273" w:lineRule="auto" w:before="0" w:after="0"/>
        <w:ind w:left="1080" w:right="1484" w:firstLine="0"/>
        <w:jc w:val="left"/>
        <w:rPr>
          <w:sz w:val="18"/>
        </w:rPr>
      </w:pPr>
      <w:r>
        <w:rPr>
          <w:color w:val="231F20"/>
          <w:spacing w:val="-4"/>
          <w:w w:val="110"/>
          <w:sz w:val="18"/>
        </w:rPr>
        <w:t>G.4.1</w:t>
      </w:r>
      <w:r>
        <w:rPr>
          <w:color w:val="231F20"/>
          <w:spacing w:val="61"/>
          <w:w w:val="110"/>
          <w:sz w:val="18"/>
        </w:rPr>
        <w:t> </w:t>
      </w:r>
      <w:r>
        <w:rPr>
          <w:color w:val="231F20"/>
          <w:w w:val="110"/>
          <w:sz w:val="18"/>
        </w:rPr>
        <w:t>The General </w:t>
      </w:r>
      <w:r>
        <w:rPr>
          <w:color w:val="231F20"/>
          <w:spacing w:val="3"/>
          <w:w w:val="110"/>
          <w:sz w:val="18"/>
        </w:rPr>
        <w:t>Secretary </w:t>
      </w:r>
      <w:r>
        <w:rPr>
          <w:color w:val="231F20"/>
          <w:w w:val="110"/>
          <w:sz w:val="18"/>
        </w:rPr>
        <w:t>shall send to each of the </w:t>
      </w:r>
      <w:r>
        <w:rPr>
          <w:color w:val="231F20"/>
          <w:spacing w:val="2"/>
          <w:w w:val="110"/>
          <w:sz w:val="18"/>
        </w:rPr>
        <w:t>proposed </w:t>
      </w:r>
      <w:r>
        <w:rPr>
          <w:color w:val="231F20"/>
          <w:w w:val="110"/>
          <w:sz w:val="18"/>
        </w:rPr>
        <w:t>appointees  for the Appeals Commission an invitation to </w:t>
      </w:r>
      <w:r>
        <w:rPr>
          <w:color w:val="231F20"/>
          <w:spacing w:val="2"/>
          <w:w w:val="110"/>
          <w:sz w:val="18"/>
        </w:rPr>
        <w:t>serve </w:t>
      </w:r>
      <w:r>
        <w:rPr>
          <w:color w:val="231F20"/>
          <w:w w:val="110"/>
          <w:sz w:val="18"/>
        </w:rPr>
        <w:t>on the Appeals Commission for the hearing of the Appeal in that case, naming the Minister concerned but supplying no </w:t>
      </w:r>
      <w:r>
        <w:rPr>
          <w:color w:val="231F20"/>
          <w:spacing w:val="2"/>
          <w:w w:val="110"/>
          <w:sz w:val="18"/>
        </w:rPr>
        <w:t>further </w:t>
      </w:r>
      <w:r>
        <w:rPr>
          <w:color w:val="231F20"/>
          <w:w w:val="110"/>
          <w:sz w:val="18"/>
        </w:rPr>
        <w:t>information about the</w:t>
      </w:r>
      <w:r>
        <w:rPr>
          <w:color w:val="231F20"/>
          <w:spacing w:val="3"/>
          <w:w w:val="110"/>
          <w:sz w:val="18"/>
        </w:rPr>
        <w:t> </w:t>
      </w:r>
      <w:r>
        <w:rPr>
          <w:color w:val="231F20"/>
          <w:w w:val="110"/>
          <w:sz w:val="18"/>
        </w:rPr>
        <w:t>case.</w:t>
      </w:r>
    </w:p>
    <w:p>
      <w:pPr>
        <w:pStyle w:val="BodyText"/>
        <w:spacing w:before="9"/>
        <w:rPr>
          <w:sz w:val="20"/>
        </w:rPr>
      </w:pPr>
    </w:p>
    <w:p>
      <w:pPr>
        <w:pStyle w:val="ListParagraph"/>
        <w:numPr>
          <w:ilvl w:val="2"/>
          <w:numId w:val="169"/>
        </w:numPr>
        <w:tabs>
          <w:tab w:pos="1801" w:val="left" w:leader="none"/>
        </w:tabs>
        <w:spacing w:line="273" w:lineRule="auto" w:before="0" w:after="0"/>
        <w:ind w:left="1080" w:right="1216" w:firstLine="0"/>
        <w:jc w:val="left"/>
        <w:rPr>
          <w:sz w:val="18"/>
        </w:rPr>
      </w:pPr>
      <w:r>
        <w:rPr>
          <w:color w:val="231F20"/>
          <w:w w:val="110"/>
          <w:sz w:val="18"/>
        </w:rPr>
        <w:t>The Notice of Invitation to </w:t>
      </w:r>
      <w:r>
        <w:rPr>
          <w:color w:val="231F20"/>
          <w:spacing w:val="2"/>
          <w:w w:val="110"/>
          <w:sz w:val="18"/>
        </w:rPr>
        <w:t>serve </w:t>
      </w:r>
      <w:r>
        <w:rPr>
          <w:color w:val="231F20"/>
          <w:w w:val="110"/>
          <w:sz w:val="18"/>
        </w:rPr>
        <w:t>shall draw the attention of each </w:t>
      </w:r>
      <w:r>
        <w:rPr>
          <w:color w:val="231F20"/>
          <w:spacing w:val="2"/>
          <w:w w:val="110"/>
          <w:sz w:val="18"/>
        </w:rPr>
        <w:t>proposed </w:t>
      </w:r>
      <w:r>
        <w:rPr>
          <w:color w:val="231F20"/>
          <w:w w:val="110"/>
          <w:sz w:val="18"/>
        </w:rPr>
        <w:t>appointee to Paragraph C.3.1 and shall request confirmation that s/he is willing to   accept appointment and that s/he is unaware of any </w:t>
      </w:r>
      <w:r>
        <w:rPr>
          <w:color w:val="231F20"/>
          <w:spacing w:val="2"/>
          <w:w w:val="110"/>
          <w:sz w:val="18"/>
        </w:rPr>
        <w:t>circumstances </w:t>
      </w:r>
      <w:r>
        <w:rPr>
          <w:color w:val="231F20"/>
          <w:w w:val="110"/>
          <w:sz w:val="18"/>
        </w:rPr>
        <w:t>which in the present </w:t>
      </w:r>
      <w:r>
        <w:rPr>
          <w:color w:val="231F20"/>
          <w:spacing w:val="2"/>
          <w:w w:val="110"/>
          <w:sz w:val="18"/>
        </w:rPr>
        <w:t>case </w:t>
      </w:r>
      <w:r>
        <w:rPr>
          <w:color w:val="231F20"/>
          <w:w w:val="110"/>
          <w:sz w:val="18"/>
        </w:rPr>
        <w:t>might prevent him/her </w:t>
      </w:r>
      <w:r>
        <w:rPr>
          <w:color w:val="231F20"/>
          <w:spacing w:val="2"/>
          <w:w w:val="110"/>
          <w:sz w:val="18"/>
        </w:rPr>
        <w:t>from serving </w:t>
      </w:r>
      <w:r>
        <w:rPr>
          <w:color w:val="231F20"/>
          <w:w w:val="110"/>
          <w:sz w:val="18"/>
        </w:rPr>
        <w:t>on the Appeals</w:t>
      </w:r>
      <w:r>
        <w:rPr>
          <w:color w:val="231F20"/>
          <w:spacing w:val="25"/>
          <w:w w:val="110"/>
          <w:sz w:val="18"/>
        </w:rPr>
        <w:t> </w:t>
      </w:r>
      <w:r>
        <w:rPr>
          <w:color w:val="231F20"/>
          <w:w w:val="110"/>
          <w:sz w:val="18"/>
        </w:rPr>
        <w:t>Commission.</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69"/>
        </w:numPr>
        <w:tabs>
          <w:tab w:pos="1234" w:val="left" w:leader="none"/>
        </w:tabs>
        <w:spacing w:line="273" w:lineRule="auto" w:before="101" w:after="0"/>
        <w:ind w:left="513" w:right="2265" w:firstLine="0"/>
        <w:jc w:val="both"/>
        <w:rPr>
          <w:sz w:val="18"/>
        </w:rPr>
      </w:pPr>
      <w:r>
        <w:rPr>
          <w:color w:val="231F20"/>
          <w:w w:val="110"/>
          <w:sz w:val="18"/>
        </w:rPr>
        <w:t>The Invitee shall within 7 days of receipt of the Notice of Invitation </w:t>
      </w:r>
      <w:r>
        <w:rPr>
          <w:color w:val="231F20"/>
          <w:spacing w:val="2"/>
          <w:w w:val="110"/>
          <w:sz w:val="18"/>
        </w:rPr>
        <w:t>serve </w:t>
      </w:r>
      <w:r>
        <w:rPr>
          <w:color w:val="231F20"/>
          <w:w w:val="110"/>
          <w:sz w:val="18"/>
        </w:rPr>
        <w:t>on the General </w:t>
      </w:r>
      <w:r>
        <w:rPr>
          <w:color w:val="231F20"/>
          <w:spacing w:val="3"/>
          <w:w w:val="110"/>
          <w:sz w:val="18"/>
        </w:rPr>
        <w:t>Secretary </w:t>
      </w:r>
      <w:r>
        <w:rPr>
          <w:color w:val="231F20"/>
          <w:w w:val="110"/>
          <w:sz w:val="18"/>
        </w:rPr>
        <w:t>a Notice indicating whether s/he is able and willing to accept appointment and, if so, confirming compliance with Paragraph</w:t>
      </w:r>
      <w:r>
        <w:rPr>
          <w:color w:val="231F20"/>
          <w:spacing w:val="30"/>
          <w:w w:val="110"/>
          <w:sz w:val="18"/>
        </w:rPr>
        <w:t> </w:t>
      </w:r>
      <w:r>
        <w:rPr>
          <w:color w:val="231F20"/>
          <w:spacing w:val="-3"/>
          <w:w w:val="110"/>
          <w:sz w:val="18"/>
        </w:rPr>
        <w:t>C.3.1.</w:t>
      </w:r>
    </w:p>
    <w:p>
      <w:pPr>
        <w:pStyle w:val="BodyText"/>
        <w:spacing w:before="8"/>
        <w:rPr>
          <w:sz w:val="20"/>
        </w:rPr>
      </w:pPr>
    </w:p>
    <w:p>
      <w:pPr>
        <w:pStyle w:val="ListParagraph"/>
        <w:numPr>
          <w:ilvl w:val="2"/>
          <w:numId w:val="122"/>
        </w:numPr>
        <w:tabs>
          <w:tab w:pos="1233" w:val="left" w:leader="none"/>
          <w:tab w:pos="1234" w:val="left" w:leader="none"/>
        </w:tabs>
        <w:spacing w:line="273" w:lineRule="auto" w:before="0" w:after="0"/>
        <w:ind w:left="513" w:right="2172" w:firstLine="0"/>
        <w:jc w:val="left"/>
        <w:rPr>
          <w:sz w:val="18"/>
        </w:rPr>
      </w:pPr>
      <w:r>
        <w:rPr>
          <w:color w:val="231F20"/>
          <w:spacing w:val="-3"/>
          <w:w w:val="110"/>
          <w:sz w:val="18"/>
        </w:rPr>
        <w:t>G.5.1 </w:t>
      </w:r>
      <w:r>
        <w:rPr>
          <w:color w:val="231F20"/>
          <w:spacing w:val="63"/>
          <w:w w:val="110"/>
          <w:sz w:val="18"/>
        </w:rPr>
        <w:t> </w:t>
      </w:r>
      <w:r>
        <w:rPr>
          <w:color w:val="231F20"/>
          <w:w w:val="110"/>
          <w:sz w:val="18"/>
        </w:rPr>
        <w:t>The General </w:t>
      </w:r>
      <w:r>
        <w:rPr>
          <w:color w:val="231F20"/>
          <w:spacing w:val="3"/>
          <w:w w:val="110"/>
          <w:sz w:val="18"/>
        </w:rPr>
        <w:t>Secretary </w:t>
      </w:r>
      <w:r>
        <w:rPr>
          <w:color w:val="231F20"/>
          <w:w w:val="110"/>
          <w:sz w:val="18"/>
        </w:rPr>
        <w:t>shall </w:t>
      </w:r>
      <w:r>
        <w:rPr>
          <w:color w:val="231F20"/>
          <w:spacing w:val="2"/>
          <w:w w:val="110"/>
          <w:sz w:val="18"/>
        </w:rPr>
        <w:t>serve </w:t>
      </w:r>
      <w:r>
        <w:rPr>
          <w:color w:val="231F20"/>
          <w:w w:val="110"/>
          <w:sz w:val="18"/>
        </w:rPr>
        <w:t>notice on the Parties, </w:t>
      </w:r>
      <w:r>
        <w:rPr>
          <w:color w:val="231F20"/>
          <w:spacing w:val="2"/>
          <w:w w:val="110"/>
          <w:sz w:val="18"/>
        </w:rPr>
        <w:t>setting </w:t>
      </w:r>
      <w:r>
        <w:rPr>
          <w:color w:val="231F20"/>
          <w:w w:val="110"/>
          <w:sz w:val="18"/>
        </w:rPr>
        <w:t>out the name and </w:t>
      </w:r>
      <w:r>
        <w:rPr>
          <w:color w:val="231F20"/>
          <w:spacing w:val="2"/>
          <w:w w:val="110"/>
          <w:sz w:val="18"/>
        </w:rPr>
        <w:t>office </w:t>
      </w:r>
      <w:r>
        <w:rPr>
          <w:color w:val="231F20"/>
          <w:w w:val="110"/>
          <w:sz w:val="18"/>
        </w:rPr>
        <w:t>or credentials of each </w:t>
      </w:r>
      <w:r>
        <w:rPr>
          <w:color w:val="231F20"/>
          <w:spacing w:val="2"/>
          <w:w w:val="110"/>
          <w:sz w:val="18"/>
        </w:rPr>
        <w:t>proposed </w:t>
      </w:r>
      <w:r>
        <w:rPr>
          <w:color w:val="231F20"/>
          <w:w w:val="110"/>
          <w:sz w:val="18"/>
        </w:rPr>
        <w:t>appointee, drawing attention to Paragraphs C.3.1 and C.3.2 and requiring notice of objection to any of the </w:t>
      </w:r>
      <w:r>
        <w:rPr>
          <w:color w:val="231F20"/>
          <w:spacing w:val="2"/>
          <w:w w:val="110"/>
          <w:sz w:val="18"/>
        </w:rPr>
        <w:t>proposed </w:t>
      </w:r>
      <w:r>
        <w:rPr>
          <w:color w:val="231F20"/>
          <w:w w:val="110"/>
          <w:sz w:val="18"/>
        </w:rPr>
        <w:t>appointees under Paragraph C.3.2 to be </w:t>
      </w:r>
      <w:r>
        <w:rPr>
          <w:color w:val="231F20"/>
          <w:spacing w:val="2"/>
          <w:w w:val="110"/>
          <w:sz w:val="18"/>
        </w:rPr>
        <w:t>served </w:t>
      </w:r>
      <w:r>
        <w:rPr>
          <w:color w:val="231F20"/>
          <w:w w:val="110"/>
          <w:sz w:val="18"/>
        </w:rPr>
        <w:t>upon the General </w:t>
      </w:r>
      <w:r>
        <w:rPr>
          <w:color w:val="231F20"/>
          <w:spacing w:val="3"/>
          <w:w w:val="110"/>
          <w:sz w:val="18"/>
        </w:rPr>
        <w:t>Secretary </w:t>
      </w:r>
      <w:r>
        <w:rPr>
          <w:color w:val="231F20"/>
          <w:w w:val="110"/>
          <w:sz w:val="18"/>
        </w:rPr>
        <w:t>within  </w:t>
      </w:r>
      <w:r>
        <w:rPr>
          <w:color w:val="231F20"/>
          <w:spacing w:val="-6"/>
          <w:w w:val="110"/>
          <w:sz w:val="18"/>
        </w:rPr>
        <w:t>14 </w:t>
      </w:r>
      <w:r>
        <w:rPr>
          <w:color w:val="231F20"/>
          <w:w w:val="110"/>
          <w:sz w:val="18"/>
        </w:rPr>
        <w:t>days of the </w:t>
      </w:r>
      <w:r>
        <w:rPr>
          <w:color w:val="231F20"/>
          <w:spacing w:val="2"/>
          <w:w w:val="110"/>
          <w:sz w:val="18"/>
        </w:rPr>
        <w:t>service </w:t>
      </w:r>
      <w:r>
        <w:rPr>
          <w:color w:val="231F20"/>
          <w:w w:val="110"/>
          <w:sz w:val="18"/>
        </w:rPr>
        <w:t>of the notice given under this</w:t>
      </w:r>
      <w:r>
        <w:rPr>
          <w:color w:val="231F20"/>
          <w:spacing w:val="33"/>
          <w:w w:val="110"/>
          <w:sz w:val="18"/>
        </w:rPr>
        <w:t> </w:t>
      </w:r>
      <w:r>
        <w:rPr>
          <w:color w:val="231F20"/>
          <w:w w:val="110"/>
          <w:sz w:val="18"/>
        </w:rPr>
        <w:t>Paragraph.</w:t>
      </w:r>
    </w:p>
    <w:p>
      <w:pPr>
        <w:pStyle w:val="BodyText"/>
        <w:spacing w:before="10"/>
        <w:rPr>
          <w:sz w:val="20"/>
        </w:rPr>
      </w:pPr>
    </w:p>
    <w:p>
      <w:pPr>
        <w:pStyle w:val="ListParagraph"/>
        <w:numPr>
          <w:ilvl w:val="2"/>
          <w:numId w:val="170"/>
        </w:numPr>
        <w:tabs>
          <w:tab w:pos="1234" w:val="left" w:leader="none"/>
        </w:tabs>
        <w:spacing w:line="240" w:lineRule="auto" w:before="0" w:after="0"/>
        <w:ind w:left="1233" w:right="0" w:hanging="721"/>
        <w:jc w:val="left"/>
        <w:rPr>
          <w:sz w:val="18"/>
        </w:rPr>
      </w:pPr>
      <w:r>
        <w:rPr>
          <w:color w:val="231F20"/>
          <w:w w:val="110"/>
          <w:sz w:val="18"/>
        </w:rPr>
        <w:t>Any such Notice of Objection must state the grounds of such</w:t>
      </w:r>
      <w:r>
        <w:rPr>
          <w:color w:val="231F20"/>
          <w:spacing w:val="36"/>
          <w:w w:val="110"/>
          <w:sz w:val="18"/>
        </w:rPr>
        <w:t> </w:t>
      </w:r>
      <w:r>
        <w:rPr>
          <w:color w:val="231F20"/>
          <w:w w:val="110"/>
          <w:sz w:val="18"/>
        </w:rPr>
        <w:t>objection.</w:t>
      </w:r>
    </w:p>
    <w:p>
      <w:pPr>
        <w:pStyle w:val="BodyText"/>
        <w:spacing w:before="2"/>
        <w:rPr>
          <w:sz w:val="23"/>
        </w:rPr>
      </w:pPr>
    </w:p>
    <w:p>
      <w:pPr>
        <w:pStyle w:val="ListParagraph"/>
        <w:numPr>
          <w:ilvl w:val="2"/>
          <w:numId w:val="170"/>
        </w:numPr>
        <w:tabs>
          <w:tab w:pos="1234" w:val="left" w:leader="none"/>
        </w:tabs>
        <w:spacing w:line="273" w:lineRule="auto" w:before="0" w:after="0"/>
        <w:ind w:left="513" w:right="1699" w:firstLine="0"/>
        <w:jc w:val="left"/>
        <w:rPr>
          <w:sz w:val="18"/>
        </w:rPr>
      </w:pPr>
      <w:r>
        <w:rPr>
          <w:color w:val="231F20"/>
          <w:spacing w:val="-8"/>
          <w:w w:val="110"/>
          <w:sz w:val="18"/>
        </w:rPr>
        <w:t>To </w:t>
      </w:r>
      <w:r>
        <w:rPr>
          <w:color w:val="231F20"/>
          <w:w w:val="110"/>
          <w:sz w:val="18"/>
        </w:rPr>
        <w:t>ensure that the appeals </w:t>
      </w:r>
      <w:r>
        <w:rPr>
          <w:color w:val="231F20"/>
          <w:spacing w:val="2"/>
          <w:w w:val="110"/>
          <w:sz w:val="18"/>
        </w:rPr>
        <w:t>process </w:t>
      </w:r>
      <w:r>
        <w:rPr>
          <w:color w:val="231F20"/>
          <w:w w:val="110"/>
          <w:sz w:val="18"/>
        </w:rPr>
        <w:t>is moved along in a timely </w:t>
      </w:r>
      <w:r>
        <w:rPr>
          <w:color w:val="231F20"/>
          <w:spacing w:val="-3"/>
          <w:w w:val="110"/>
          <w:sz w:val="18"/>
        </w:rPr>
        <w:t>manner, </w:t>
      </w:r>
      <w:r>
        <w:rPr>
          <w:color w:val="231F20"/>
          <w:w w:val="110"/>
          <w:sz w:val="18"/>
        </w:rPr>
        <w:t>any Notice of Objection received outside the period allowed will not normally be considered unless </w:t>
      </w:r>
      <w:r>
        <w:rPr>
          <w:color w:val="231F20"/>
          <w:spacing w:val="2"/>
          <w:w w:val="110"/>
          <w:sz w:val="18"/>
        </w:rPr>
        <w:t>very </w:t>
      </w:r>
      <w:r>
        <w:rPr>
          <w:color w:val="231F20"/>
          <w:w w:val="110"/>
          <w:sz w:val="18"/>
        </w:rPr>
        <w:t>good reason can be shown for its late</w:t>
      </w:r>
      <w:r>
        <w:rPr>
          <w:color w:val="231F20"/>
          <w:spacing w:val="15"/>
          <w:w w:val="110"/>
          <w:sz w:val="18"/>
        </w:rPr>
        <w:t> </w:t>
      </w:r>
      <w:r>
        <w:rPr>
          <w:color w:val="231F20"/>
          <w:w w:val="110"/>
          <w:sz w:val="18"/>
        </w:rPr>
        <w:t>delivery.</w:t>
      </w:r>
    </w:p>
    <w:p>
      <w:pPr>
        <w:pStyle w:val="BodyText"/>
        <w:spacing w:before="9"/>
        <w:rPr>
          <w:sz w:val="20"/>
        </w:rPr>
      </w:pPr>
    </w:p>
    <w:p>
      <w:pPr>
        <w:pStyle w:val="ListParagraph"/>
        <w:numPr>
          <w:ilvl w:val="2"/>
          <w:numId w:val="170"/>
        </w:numPr>
        <w:tabs>
          <w:tab w:pos="1234" w:val="left" w:leader="none"/>
        </w:tabs>
        <w:spacing w:line="273" w:lineRule="auto" w:before="0" w:after="0"/>
        <w:ind w:left="513" w:right="2210" w:firstLine="0"/>
        <w:jc w:val="left"/>
        <w:rPr>
          <w:sz w:val="18"/>
        </w:rPr>
      </w:pPr>
      <w:r>
        <w:rPr>
          <w:color w:val="231F20"/>
          <w:w w:val="110"/>
          <w:sz w:val="18"/>
        </w:rPr>
        <w:t>The </w:t>
      </w:r>
      <w:r>
        <w:rPr>
          <w:color w:val="231F20"/>
          <w:spacing w:val="3"/>
          <w:w w:val="110"/>
          <w:sz w:val="18"/>
        </w:rPr>
        <w:t>Officers </w:t>
      </w:r>
      <w:r>
        <w:rPr>
          <w:color w:val="231F20"/>
          <w:w w:val="110"/>
          <w:sz w:val="18"/>
        </w:rPr>
        <w:t>of the General Assembly shall consider every objection properly notified and shall decide whether to uphold or to </w:t>
      </w:r>
      <w:r>
        <w:rPr>
          <w:color w:val="231F20"/>
          <w:spacing w:val="2"/>
          <w:w w:val="110"/>
          <w:sz w:val="18"/>
        </w:rPr>
        <w:t>reject </w:t>
      </w:r>
      <w:r>
        <w:rPr>
          <w:color w:val="231F20"/>
          <w:w w:val="110"/>
          <w:sz w:val="18"/>
        </w:rPr>
        <w:t>the</w:t>
      </w:r>
      <w:r>
        <w:rPr>
          <w:color w:val="231F20"/>
          <w:spacing w:val="43"/>
          <w:w w:val="110"/>
          <w:sz w:val="18"/>
        </w:rPr>
        <w:t> </w:t>
      </w:r>
      <w:r>
        <w:rPr>
          <w:color w:val="231F20"/>
          <w:w w:val="110"/>
          <w:sz w:val="18"/>
        </w:rPr>
        <w:t>objection.</w:t>
      </w:r>
    </w:p>
    <w:p>
      <w:pPr>
        <w:pStyle w:val="BodyText"/>
        <w:spacing w:before="8"/>
        <w:rPr>
          <w:sz w:val="20"/>
        </w:rPr>
      </w:pPr>
    </w:p>
    <w:p>
      <w:pPr>
        <w:pStyle w:val="ListParagraph"/>
        <w:numPr>
          <w:ilvl w:val="2"/>
          <w:numId w:val="170"/>
        </w:numPr>
        <w:tabs>
          <w:tab w:pos="1234" w:val="left" w:leader="none"/>
        </w:tabs>
        <w:spacing w:line="273" w:lineRule="auto" w:before="0" w:after="0"/>
        <w:ind w:left="513" w:right="1938" w:firstLine="0"/>
        <w:jc w:val="left"/>
        <w:rPr>
          <w:sz w:val="18"/>
        </w:rPr>
      </w:pPr>
      <w:r>
        <w:rPr>
          <w:color w:val="231F20"/>
          <w:w w:val="110"/>
          <w:sz w:val="18"/>
        </w:rPr>
        <w:t>If they </w:t>
      </w:r>
      <w:r>
        <w:rPr>
          <w:color w:val="231F20"/>
          <w:spacing w:val="2"/>
          <w:w w:val="110"/>
          <w:sz w:val="18"/>
        </w:rPr>
        <w:t>reject </w:t>
      </w:r>
      <w:r>
        <w:rPr>
          <w:color w:val="231F20"/>
          <w:w w:val="110"/>
          <w:sz w:val="18"/>
        </w:rPr>
        <w:t>the objection, the General </w:t>
      </w:r>
      <w:r>
        <w:rPr>
          <w:color w:val="231F20"/>
          <w:spacing w:val="3"/>
          <w:w w:val="110"/>
          <w:sz w:val="18"/>
        </w:rPr>
        <w:t>Secretary </w:t>
      </w:r>
      <w:r>
        <w:rPr>
          <w:color w:val="231F20"/>
          <w:w w:val="110"/>
          <w:sz w:val="18"/>
        </w:rPr>
        <w:t>shall </w:t>
      </w:r>
      <w:r>
        <w:rPr>
          <w:color w:val="231F20"/>
          <w:spacing w:val="2"/>
          <w:w w:val="110"/>
          <w:sz w:val="18"/>
        </w:rPr>
        <w:t>serve </w:t>
      </w:r>
      <w:r>
        <w:rPr>
          <w:color w:val="231F20"/>
          <w:w w:val="110"/>
          <w:sz w:val="18"/>
        </w:rPr>
        <w:t>notice thereof on the objector.</w:t>
      </w:r>
    </w:p>
    <w:p>
      <w:pPr>
        <w:pStyle w:val="BodyText"/>
        <w:spacing w:before="8"/>
        <w:rPr>
          <w:sz w:val="20"/>
        </w:rPr>
      </w:pPr>
    </w:p>
    <w:p>
      <w:pPr>
        <w:pStyle w:val="ListParagraph"/>
        <w:numPr>
          <w:ilvl w:val="2"/>
          <w:numId w:val="170"/>
        </w:numPr>
        <w:tabs>
          <w:tab w:pos="1234" w:val="left" w:leader="none"/>
        </w:tabs>
        <w:spacing w:line="273" w:lineRule="auto" w:before="0" w:after="0"/>
        <w:ind w:left="513" w:right="1796" w:firstLine="0"/>
        <w:jc w:val="both"/>
        <w:rPr>
          <w:sz w:val="18"/>
        </w:rPr>
      </w:pPr>
      <w:r>
        <w:rPr>
          <w:color w:val="231F20"/>
          <w:w w:val="110"/>
          <w:sz w:val="18"/>
        </w:rPr>
        <w:t>If they uphold the objection, the General </w:t>
      </w:r>
      <w:r>
        <w:rPr>
          <w:color w:val="231F20"/>
          <w:spacing w:val="3"/>
          <w:w w:val="110"/>
          <w:sz w:val="18"/>
        </w:rPr>
        <w:t>Secretary </w:t>
      </w:r>
      <w:r>
        <w:rPr>
          <w:color w:val="231F20"/>
          <w:w w:val="110"/>
          <w:sz w:val="18"/>
        </w:rPr>
        <w:t>shall </w:t>
      </w:r>
      <w:r>
        <w:rPr>
          <w:color w:val="231F20"/>
          <w:spacing w:val="2"/>
          <w:w w:val="110"/>
          <w:sz w:val="18"/>
        </w:rPr>
        <w:t>serve </w:t>
      </w:r>
      <w:r>
        <w:rPr>
          <w:color w:val="231F20"/>
          <w:w w:val="110"/>
          <w:sz w:val="18"/>
        </w:rPr>
        <w:t>notice thereof on the objector, the </w:t>
      </w:r>
      <w:r>
        <w:rPr>
          <w:color w:val="231F20"/>
          <w:spacing w:val="2"/>
          <w:w w:val="110"/>
          <w:sz w:val="18"/>
        </w:rPr>
        <w:t>person </w:t>
      </w:r>
      <w:r>
        <w:rPr>
          <w:color w:val="231F20"/>
          <w:w w:val="110"/>
          <w:sz w:val="18"/>
        </w:rPr>
        <w:t>to whom the objection was taken and the other </w:t>
      </w:r>
      <w:r>
        <w:rPr>
          <w:color w:val="231F20"/>
          <w:spacing w:val="3"/>
          <w:w w:val="110"/>
          <w:sz w:val="18"/>
        </w:rPr>
        <w:t>Party </w:t>
      </w:r>
      <w:r>
        <w:rPr>
          <w:color w:val="231F20"/>
          <w:w w:val="110"/>
          <w:sz w:val="18"/>
        </w:rPr>
        <w:t>on whom the Notice specified in Paragraph </w:t>
      </w:r>
      <w:r>
        <w:rPr>
          <w:color w:val="231F20"/>
          <w:spacing w:val="-3"/>
          <w:w w:val="110"/>
          <w:sz w:val="18"/>
        </w:rPr>
        <w:t>G.5.1 </w:t>
      </w:r>
      <w:r>
        <w:rPr>
          <w:color w:val="231F20"/>
          <w:w w:val="110"/>
          <w:sz w:val="18"/>
        </w:rPr>
        <w:t>was</w:t>
      </w:r>
      <w:r>
        <w:rPr>
          <w:color w:val="231F20"/>
          <w:spacing w:val="18"/>
          <w:w w:val="110"/>
          <w:sz w:val="18"/>
        </w:rPr>
        <w:t> </w:t>
      </w:r>
      <w:r>
        <w:rPr>
          <w:color w:val="231F20"/>
          <w:w w:val="110"/>
          <w:sz w:val="18"/>
        </w:rPr>
        <w:t>served.</w:t>
      </w:r>
    </w:p>
    <w:p>
      <w:pPr>
        <w:pStyle w:val="BodyText"/>
        <w:spacing w:before="9"/>
        <w:rPr>
          <w:sz w:val="20"/>
        </w:rPr>
      </w:pPr>
    </w:p>
    <w:p>
      <w:pPr>
        <w:pStyle w:val="ListParagraph"/>
        <w:numPr>
          <w:ilvl w:val="2"/>
          <w:numId w:val="170"/>
        </w:numPr>
        <w:tabs>
          <w:tab w:pos="1234" w:val="left" w:leader="none"/>
        </w:tabs>
        <w:spacing w:line="240" w:lineRule="auto" w:before="0" w:after="0"/>
        <w:ind w:left="1233" w:right="0" w:hanging="721"/>
        <w:jc w:val="left"/>
        <w:rPr>
          <w:sz w:val="18"/>
        </w:rPr>
      </w:pPr>
      <w:r>
        <w:rPr>
          <w:color w:val="231F20"/>
          <w:w w:val="110"/>
          <w:sz w:val="18"/>
        </w:rPr>
        <w:t>In the event of any objection being upheld, the procedure outlined in</w:t>
      </w:r>
      <w:r>
        <w:rPr>
          <w:color w:val="231F20"/>
          <w:spacing w:val="47"/>
          <w:w w:val="110"/>
          <w:sz w:val="18"/>
        </w:rPr>
        <w:t> </w:t>
      </w:r>
      <w:r>
        <w:rPr>
          <w:color w:val="231F20"/>
          <w:w w:val="110"/>
          <w:sz w:val="18"/>
        </w:rPr>
        <w:t>Paragraphs</w:t>
      </w:r>
    </w:p>
    <w:p>
      <w:pPr>
        <w:pStyle w:val="BodyText"/>
        <w:spacing w:line="273" w:lineRule="auto" w:before="32"/>
        <w:ind w:left="513" w:right="2174"/>
      </w:pPr>
      <w:r>
        <w:rPr>
          <w:color w:val="231F20"/>
          <w:w w:val="110"/>
        </w:rPr>
        <w:t>G.4 and G.5 of these Rules shall be repeated to complete the appointment of the Appeals Commission and to give notice to the Parties of the person appointed.</w:t>
      </w:r>
    </w:p>
    <w:p>
      <w:pPr>
        <w:pStyle w:val="BodyText"/>
        <w:spacing w:before="8"/>
        <w:rPr>
          <w:sz w:val="20"/>
        </w:rPr>
      </w:pPr>
    </w:p>
    <w:p>
      <w:pPr>
        <w:pStyle w:val="ListParagraph"/>
        <w:numPr>
          <w:ilvl w:val="1"/>
          <w:numId w:val="171"/>
        </w:numPr>
        <w:tabs>
          <w:tab w:pos="1233" w:val="left" w:leader="none"/>
          <w:tab w:pos="1234" w:val="left" w:leader="none"/>
        </w:tabs>
        <w:spacing w:line="273" w:lineRule="auto" w:before="0" w:after="0"/>
        <w:ind w:left="513" w:right="1945" w:firstLine="0"/>
        <w:jc w:val="left"/>
        <w:rPr>
          <w:sz w:val="18"/>
        </w:rPr>
      </w:pPr>
      <w:r>
        <w:rPr>
          <w:color w:val="231F20"/>
          <w:w w:val="110"/>
          <w:sz w:val="18"/>
        </w:rPr>
        <w:t>The Convener of the Appeals Commission shall not have a casting vote, unless the Appeals Commission shall, in </w:t>
      </w:r>
      <w:r>
        <w:rPr>
          <w:color w:val="231F20"/>
          <w:spacing w:val="2"/>
          <w:w w:val="110"/>
          <w:sz w:val="18"/>
        </w:rPr>
        <w:t>circumstances </w:t>
      </w:r>
      <w:r>
        <w:rPr>
          <w:color w:val="231F20"/>
          <w:w w:val="110"/>
          <w:sz w:val="18"/>
        </w:rPr>
        <w:t>arising under Paragraph </w:t>
      </w:r>
      <w:r>
        <w:rPr>
          <w:color w:val="231F20"/>
          <w:spacing w:val="-9"/>
          <w:w w:val="110"/>
          <w:sz w:val="18"/>
        </w:rPr>
        <w:t>G.7.1, </w:t>
      </w:r>
      <w:r>
        <w:rPr>
          <w:color w:val="231F20"/>
          <w:w w:val="110"/>
          <w:sz w:val="18"/>
        </w:rPr>
        <w:t>consist of an even number of</w:t>
      </w:r>
      <w:r>
        <w:rPr>
          <w:color w:val="231F20"/>
          <w:spacing w:val="6"/>
          <w:w w:val="110"/>
          <w:sz w:val="18"/>
        </w:rPr>
        <w:t> </w:t>
      </w:r>
      <w:r>
        <w:rPr>
          <w:color w:val="231F20"/>
          <w:w w:val="110"/>
          <w:sz w:val="18"/>
        </w:rPr>
        <w:t>members.</w:t>
      </w:r>
    </w:p>
    <w:p>
      <w:pPr>
        <w:pStyle w:val="BodyText"/>
        <w:spacing w:before="8"/>
        <w:rPr>
          <w:sz w:val="20"/>
        </w:rPr>
      </w:pPr>
    </w:p>
    <w:p>
      <w:pPr>
        <w:pStyle w:val="ListParagraph"/>
        <w:numPr>
          <w:ilvl w:val="1"/>
          <w:numId w:val="171"/>
        </w:numPr>
        <w:tabs>
          <w:tab w:pos="1233" w:val="left" w:leader="none"/>
          <w:tab w:pos="1234" w:val="left" w:leader="none"/>
        </w:tabs>
        <w:spacing w:line="273" w:lineRule="auto" w:before="1" w:after="0"/>
        <w:ind w:left="513" w:right="1715" w:hanging="1"/>
        <w:jc w:val="left"/>
        <w:rPr>
          <w:sz w:val="18"/>
        </w:rPr>
      </w:pPr>
      <w:r>
        <w:rPr>
          <w:color w:val="231F20"/>
          <w:spacing w:val="-7"/>
          <w:w w:val="110"/>
          <w:sz w:val="18"/>
        </w:rPr>
        <w:t>G.7.1    </w:t>
      </w:r>
      <w:r>
        <w:rPr>
          <w:color w:val="231F20"/>
          <w:w w:val="110"/>
          <w:sz w:val="18"/>
        </w:rPr>
        <w:t>In </w:t>
      </w:r>
      <w:r>
        <w:rPr>
          <w:color w:val="231F20"/>
          <w:spacing w:val="2"/>
          <w:w w:val="110"/>
          <w:sz w:val="18"/>
        </w:rPr>
        <w:t>the </w:t>
      </w:r>
      <w:r>
        <w:rPr>
          <w:color w:val="231F20"/>
          <w:w w:val="110"/>
          <w:sz w:val="18"/>
        </w:rPr>
        <w:t>event that any </w:t>
      </w:r>
      <w:r>
        <w:rPr>
          <w:color w:val="231F20"/>
          <w:spacing w:val="3"/>
          <w:w w:val="110"/>
          <w:sz w:val="18"/>
        </w:rPr>
        <w:t>member </w:t>
      </w:r>
      <w:r>
        <w:rPr>
          <w:color w:val="231F20"/>
          <w:w w:val="110"/>
          <w:sz w:val="18"/>
        </w:rPr>
        <w:t>of </w:t>
      </w:r>
      <w:r>
        <w:rPr>
          <w:color w:val="231F20"/>
          <w:spacing w:val="2"/>
          <w:w w:val="110"/>
          <w:sz w:val="18"/>
        </w:rPr>
        <w:t>the </w:t>
      </w:r>
      <w:r>
        <w:rPr>
          <w:color w:val="231F20"/>
          <w:spacing w:val="3"/>
          <w:w w:val="110"/>
          <w:sz w:val="18"/>
        </w:rPr>
        <w:t>Appeals Commission </w:t>
      </w:r>
      <w:r>
        <w:rPr>
          <w:color w:val="231F20"/>
          <w:w w:val="110"/>
          <w:sz w:val="18"/>
        </w:rPr>
        <w:t>shall </w:t>
      </w:r>
      <w:r>
        <w:rPr>
          <w:color w:val="231F20"/>
          <w:spacing w:val="2"/>
          <w:w w:val="110"/>
          <w:sz w:val="18"/>
        </w:rPr>
        <w:t>be </w:t>
      </w:r>
      <w:r>
        <w:rPr>
          <w:color w:val="231F20"/>
          <w:spacing w:val="73"/>
          <w:w w:val="110"/>
          <w:sz w:val="18"/>
        </w:rPr>
        <w:t> </w:t>
      </w:r>
      <w:r>
        <w:rPr>
          <w:color w:val="231F20"/>
          <w:w w:val="110"/>
          <w:sz w:val="18"/>
        </w:rPr>
        <w:t>unable to </w:t>
      </w:r>
      <w:r>
        <w:rPr>
          <w:color w:val="231F20"/>
          <w:spacing w:val="5"/>
          <w:w w:val="110"/>
          <w:sz w:val="18"/>
        </w:rPr>
        <w:t>carry </w:t>
      </w:r>
      <w:r>
        <w:rPr>
          <w:color w:val="231F20"/>
          <w:w w:val="110"/>
          <w:sz w:val="18"/>
        </w:rPr>
        <w:t>out </w:t>
      </w:r>
      <w:r>
        <w:rPr>
          <w:color w:val="231F20"/>
          <w:spacing w:val="2"/>
          <w:w w:val="110"/>
          <w:sz w:val="18"/>
        </w:rPr>
        <w:t>his/her duties </w:t>
      </w:r>
      <w:r>
        <w:rPr>
          <w:color w:val="231F20"/>
          <w:w w:val="110"/>
          <w:sz w:val="18"/>
        </w:rPr>
        <w:t>on </w:t>
      </w:r>
      <w:r>
        <w:rPr>
          <w:color w:val="231F20"/>
          <w:spacing w:val="2"/>
          <w:w w:val="110"/>
          <w:sz w:val="18"/>
        </w:rPr>
        <w:t>the </w:t>
      </w:r>
      <w:r>
        <w:rPr>
          <w:color w:val="231F20"/>
          <w:spacing w:val="3"/>
          <w:w w:val="110"/>
          <w:sz w:val="18"/>
        </w:rPr>
        <w:t>Appeals </w:t>
      </w:r>
      <w:r>
        <w:rPr>
          <w:color w:val="231F20"/>
          <w:spacing w:val="2"/>
          <w:w w:val="110"/>
          <w:sz w:val="18"/>
        </w:rPr>
        <w:t>Commission, the remaining </w:t>
      </w:r>
      <w:r>
        <w:rPr>
          <w:color w:val="231F20"/>
          <w:spacing w:val="3"/>
          <w:w w:val="110"/>
          <w:sz w:val="18"/>
        </w:rPr>
        <w:t>members </w:t>
      </w:r>
      <w:r>
        <w:rPr>
          <w:color w:val="231F20"/>
          <w:w w:val="110"/>
          <w:sz w:val="18"/>
        </w:rPr>
        <w:t>shall </w:t>
      </w:r>
      <w:r>
        <w:rPr>
          <w:color w:val="231F20"/>
          <w:spacing w:val="2"/>
          <w:w w:val="110"/>
          <w:sz w:val="18"/>
        </w:rPr>
        <w:t>continue </w:t>
      </w:r>
      <w:r>
        <w:rPr>
          <w:color w:val="231F20"/>
          <w:w w:val="110"/>
          <w:sz w:val="18"/>
        </w:rPr>
        <w:t>to </w:t>
      </w:r>
      <w:r>
        <w:rPr>
          <w:color w:val="231F20"/>
          <w:spacing w:val="4"/>
          <w:w w:val="110"/>
          <w:sz w:val="18"/>
        </w:rPr>
        <w:t>act </w:t>
      </w:r>
      <w:r>
        <w:rPr>
          <w:color w:val="231F20"/>
          <w:w w:val="110"/>
          <w:sz w:val="18"/>
        </w:rPr>
        <w:t>as </w:t>
      </w:r>
      <w:r>
        <w:rPr>
          <w:color w:val="231F20"/>
          <w:spacing w:val="2"/>
          <w:w w:val="110"/>
          <w:sz w:val="18"/>
        </w:rPr>
        <w:t>the </w:t>
      </w:r>
      <w:r>
        <w:rPr>
          <w:color w:val="231F20"/>
          <w:spacing w:val="3"/>
          <w:w w:val="110"/>
          <w:sz w:val="18"/>
        </w:rPr>
        <w:t>Appeals </w:t>
      </w:r>
      <w:r>
        <w:rPr>
          <w:color w:val="231F20"/>
          <w:spacing w:val="2"/>
          <w:w w:val="110"/>
          <w:sz w:val="18"/>
        </w:rPr>
        <w:t>Commission, </w:t>
      </w:r>
      <w:r>
        <w:rPr>
          <w:color w:val="231F20"/>
          <w:spacing w:val="3"/>
          <w:w w:val="110"/>
          <w:sz w:val="18"/>
        </w:rPr>
        <w:t>subject </w:t>
      </w:r>
      <w:r>
        <w:rPr>
          <w:color w:val="231F20"/>
          <w:w w:val="110"/>
          <w:sz w:val="18"/>
        </w:rPr>
        <w:t>to </w:t>
      </w:r>
      <w:r>
        <w:rPr>
          <w:color w:val="231F20"/>
          <w:spacing w:val="3"/>
          <w:w w:val="110"/>
          <w:sz w:val="18"/>
        </w:rPr>
        <w:t>there </w:t>
      </w:r>
      <w:r>
        <w:rPr>
          <w:color w:val="231F20"/>
          <w:spacing w:val="2"/>
          <w:w w:val="110"/>
          <w:sz w:val="18"/>
        </w:rPr>
        <w:t>being </w:t>
      </w:r>
      <w:r>
        <w:rPr>
          <w:color w:val="231F20"/>
          <w:w w:val="110"/>
          <w:sz w:val="18"/>
        </w:rPr>
        <w:t>a minimum of </w:t>
      </w:r>
      <w:r>
        <w:rPr>
          <w:color w:val="231F20"/>
          <w:spacing w:val="3"/>
          <w:w w:val="110"/>
          <w:sz w:val="18"/>
        </w:rPr>
        <w:t>three</w:t>
      </w:r>
      <w:r>
        <w:rPr>
          <w:color w:val="231F20"/>
          <w:spacing w:val="4"/>
          <w:w w:val="110"/>
          <w:sz w:val="18"/>
        </w:rPr>
        <w:t> </w:t>
      </w:r>
      <w:r>
        <w:rPr>
          <w:color w:val="231F20"/>
          <w:spacing w:val="3"/>
          <w:w w:val="110"/>
          <w:sz w:val="18"/>
        </w:rPr>
        <w:t>members.</w:t>
      </w:r>
    </w:p>
    <w:p>
      <w:pPr>
        <w:pStyle w:val="BodyText"/>
        <w:spacing w:before="8"/>
        <w:rPr>
          <w:sz w:val="20"/>
        </w:rPr>
      </w:pPr>
    </w:p>
    <w:p>
      <w:pPr>
        <w:pStyle w:val="ListParagraph"/>
        <w:numPr>
          <w:ilvl w:val="2"/>
          <w:numId w:val="172"/>
        </w:numPr>
        <w:tabs>
          <w:tab w:pos="1236" w:val="left" w:leader="none"/>
        </w:tabs>
        <w:spacing w:line="273" w:lineRule="auto" w:before="1" w:after="0"/>
        <w:ind w:left="516" w:right="1714" w:firstLine="0"/>
        <w:jc w:val="left"/>
        <w:rPr>
          <w:sz w:val="18"/>
        </w:rPr>
      </w:pPr>
      <w:r>
        <w:rPr>
          <w:color w:val="231F20"/>
          <w:w w:val="110"/>
          <w:sz w:val="18"/>
        </w:rPr>
        <w:t>In the event that for the reasons stated in Paragraph </w:t>
      </w:r>
      <w:r>
        <w:rPr>
          <w:color w:val="231F20"/>
          <w:spacing w:val="-9"/>
          <w:w w:val="110"/>
          <w:sz w:val="18"/>
        </w:rPr>
        <w:t>G.7.1 </w:t>
      </w:r>
      <w:r>
        <w:rPr>
          <w:color w:val="231F20"/>
          <w:w w:val="110"/>
          <w:sz w:val="18"/>
        </w:rPr>
        <w:t>the Appeals Commission shall consist of fewer than three </w:t>
      </w:r>
      <w:r>
        <w:rPr>
          <w:color w:val="231F20"/>
          <w:spacing w:val="2"/>
          <w:w w:val="110"/>
          <w:sz w:val="18"/>
        </w:rPr>
        <w:t>members </w:t>
      </w:r>
      <w:r>
        <w:rPr>
          <w:color w:val="231F20"/>
          <w:w w:val="110"/>
          <w:sz w:val="18"/>
        </w:rPr>
        <w:t>at any time </w:t>
      </w:r>
      <w:r>
        <w:rPr>
          <w:color w:val="231F20"/>
          <w:spacing w:val="2"/>
          <w:w w:val="110"/>
          <w:sz w:val="18"/>
        </w:rPr>
        <w:t>after </w:t>
      </w:r>
      <w:r>
        <w:rPr>
          <w:color w:val="231F20"/>
          <w:w w:val="110"/>
          <w:sz w:val="18"/>
        </w:rPr>
        <w:t>the Appeals Commission has taken any steps in connection with the Appeal, the Appeals Commission so appointed shall stand down and be discharged and a new Appeals Commission shall   be appointed in accordance with Paragraphs G.3 to </w:t>
      </w:r>
      <w:r>
        <w:rPr>
          <w:color w:val="231F20"/>
          <w:spacing w:val="-3"/>
          <w:w w:val="110"/>
          <w:sz w:val="18"/>
        </w:rPr>
        <w:t>G.7 </w:t>
      </w:r>
      <w:r>
        <w:rPr>
          <w:color w:val="231F20"/>
          <w:w w:val="110"/>
          <w:sz w:val="18"/>
        </w:rPr>
        <w:t>to hear the</w:t>
      </w:r>
      <w:r>
        <w:rPr>
          <w:color w:val="231F20"/>
          <w:spacing w:val="55"/>
          <w:w w:val="110"/>
          <w:sz w:val="18"/>
        </w:rPr>
        <w:t> </w:t>
      </w:r>
      <w:r>
        <w:rPr>
          <w:color w:val="231F20"/>
          <w:w w:val="110"/>
          <w:sz w:val="18"/>
        </w:rPr>
        <w:t>Appeal.</w:t>
      </w:r>
    </w:p>
    <w:p>
      <w:pPr>
        <w:pStyle w:val="BodyText"/>
        <w:spacing w:before="10"/>
        <w:rPr>
          <w:sz w:val="20"/>
        </w:rPr>
      </w:pPr>
    </w:p>
    <w:p>
      <w:pPr>
        <w:pStyle w:val="ListParagraph"/>
        <w:numPr>
          <w:ilvl w:val="2"/>
          <w:numId w:val="172"/>
        </w:numPr>
        <w:tabs>
          <w:tab w:pos="1237" w:val="left" w:leader="none"/>
        </w:tabs>
        <w:spacing w:line="273" w:lineRule="auto" w:before="0" w:after="0"/>
        <w:ind w:left="516" w:right="1989" w:firstLine="0"/>
        <w:jc w:val="left"/>
        <w:rPr>
          <w:sz w:val="18"/>
        </w:rPr>
      </w:pPr>
      <w:r>
        <w:rPr>
          <w:color w:val="231F20"/>
          <w:w w:val="110"/>
          <w:sz w:val="18"/>
        </w:rPr>
        <w:t>Once the Appeals Commission has been validly constituted and has taken any steps in accordance with this </w:t>
      </w:r>
      <w:r>
        <w:rPr>
          <w:color w:val="231F20"/>
          <w:spacing w:val="2"/>
          <w:w w:val="110"/>
          <w:sz w:val="18"/>
        </w:rPr>
        <w:t>Section </w:t>
      </w:r>
      <w:r>
        <w:rPr>
          <w:color w:val="231F20"/>
          <w:w w:val="110"/>
          <w:sz w:val="18"/>
        </w:rPr>
        <w:t>G, no </w:t>
      </w:r>
      <w:r>
        <w:rPr>
          <w:color w:val="231F20"/>
          <w:spacing w:val="2"/>
          <w:w w:val="110"/>
          <w:sz w:val="18"/>
        </w:rPr>
        <w:t>person </w:t>
      </w:r>
      <w:r>
        <w:rPr>
          <w:color w:val="231F20"/>
          <w:w w:val="110"/>
          <w:sz w:val="18"/>
        </w:rPr>
        <w:t>shall be subsequently appointed to </w:t>
      </w:r>
      <w:r>
        <w:rPr>
          <w:color w:val="231F20"/>
          <w:spacing w:val="2"/>
          <w:w w:val="110"/>
          <w:sz w:val="18"/>
        </w:rPr>
        <w:t>serve </w:t>
      </w:r>
      <w:r>
        <w:rPr>
          <w:color w:val="231F20"/>
          <w:w w:val="110"/>
          <w:sz w:val="18"/>
        </w:rPr>
        <w:t>on that Appeals</w:t>
      </w:r>
      <w:r>
        <w:rPr>
          <w:color w:val="231F20"/>
          <w:spacing w:val="3"/>
          <w:w w:val="110"/>
          <w:sz w:val="18"/>
        </w:rPr>
        <w:t> </w:t>
      </w:r>
      <w:r>
        <w:rPr>
          <w:color w:val="231F20"/>
          <w:w w:val="110"/>
          <w:sz w:val="18"/>
        </w:rPr>
        <w:t>Commission.</w:t>
      </w:r>
    </w:p>
    <w:p>
      <w:pPr>
        <w:pStyle w:val="BodyText"/>
        <w:spacing w:before="8"/>
        <w:rPr>
          <w:sz w:val="20"/>
        </w:rPr>
      </w:pPr>
    </w:p>
    <w:p>
      <w:pPr>
        <w:pStyle w:val="ListParagraph"/>
        <w:numPr>
          <w:ilvl w:val="2"/>
          <w:numId w:val="172"/>
        </w:numPr>
        <w:tabs>
          <w:tab w:pos="1235" w:val="left" w:leader="none"/>
          <w:tab w:pos="1236" w:val="left" w:leader="none"/>
        </w:tabs>
        <w:spacing w:line="273" w:lineRule="auto" w:before="1" w:after="0"/>
        <w:ind w:left="516" w:right="1831" w:firstLine="0"/>
        <w:jc w:val="left"/>
        <w:rPr>
          <w:sz w:val="18"/>
        </w:rPr>
      </w:pPr>
      <w:r>
        <w:rPr>
          <w:color w:val="231F20"/>
          <w:w w:val="110"/>
          <w:sz w:val="18"/>
        </w:rPr>
        <w:t>If the Moderator of the General Assembly is unable to serve, the remaining </w:t>
      </w:r>
      <w:r>
        <w:rPr>
          <w:color w:val="231F20"/>
          <w:spacing w:val="2"/>
          <w:w w:val="110"/>
          <w:sz w:val="18"/>
        </w:rPr>
        <w:t>members </w:t>
      </w:r>
      <w:r>
        <w:rPr>
          <w:color w:val="231F20"/>
          <w:w w:val="110"/>
          <w:sz w:val="18"/>
        </w:rPr>
        <w:t>shall, following consultation with the </w:t>
      </w:r>
      <w:r>
        <w:rPr>
          <w:color w:val="231F20"/>
          <w:spacing w:val="3"/>
          <w:w w:val="110"/>
          <w:sz w:val="18"/>
        </w:rPr>
        <w:t>Officers </w:t>
      </w:r>
      <w:r>
        <w:rPr>
          <w:color w:val="231F20"/>
          <w:w w:val="110"/>
          <w:sz w:val="18"/>
        </w:rPr>
        <w:t>of the General Assembly,  appoint a former Moderator of the General Assembly to be the Convener of the Appeals Commission in his/her</w:t>
      </w:r>
      <w:r>
        <w:rPr>
          <w:color w:val="231F20"/>
          <w:spacing w:val="3"/>
          <w:w w:val="110"/>
          <w:sz w:val="18"/>
        </w:rPr>
        <w:t> </w:t>
      </w:r>
      <w:r>
        <w:rPr>
          <w:color w:val="231F20"/>
          <w:w w:val="110"/>
          <w:sz w:val="18"/>
        </w:rPr>
        <w:t>place.</w:t>
      </w:r>
    </w:p>
    <w:p>
      <w:pPr>
        <w:pStyle w:val="BodyText"/>
        <w:spacing w:before="9"/>
        <w:rPr>
          <w:sz w:val="20"/>
        </w:rPr>
      </w:pPr>
    </w:p>
    <w:p>
      <w:pPr>
        <w:pStyle w:val="ListParagraph"/>
        <w:numPr>
          <w:ilvl w:val="2"/>
          <w:numId w:val="172"/>
        </w:numPr>
        <w:tabs>
          <w:tab w:pos="1236" w:val="left" w:leader="none"/>
        </w:tabs>
        <w:spacing w:line="273" w:lineRule="auto" w:before="0" w:after="0"/>
        <w:ind w:left="516" w:right="1875" w:firstLine="0"/>
        <w:jc w:val="left"/>
        <w:rPr>
          <w:sz w:val="18"/>
        </w:rPr>
      </w:pPr>
      <w:r>
        <w:rPr>
          <w:color w:val="231F20"/>
          <w:w w:val="110"/>
          <w:sz w:val="18"/>
        </w:rPr>
        <w:t>Notwithstanding that, during the conduct of the appeal, a new </w:t>
      </w:r>
      <w:r>
        <w:rPr>
          <w:color w:val="231F20"/>
          <w:spacing w:val="2"/>
          <w:w w:val="110"/>
          <w:sz w:val="18"/>
        </w:rPr>
        <w:t>person </w:t>
      </w:r>
      <w:r>
        <w:rPr>
          <w:color w:val="231F20"/>
          <w:w w:val="110"/>
          <w:sz w:val="18"/>
        </w:rPr>
        <w:t>may assume the </w:t>
      </w:r>
      <w:r>
        <w:rPr>
          <w:color w:val="231F20"/>
          <w:spacing w:val="2"/>
          <w:w w:val="110"/>
          <w:sz w:val="18"/>
        </w:rPr>
        <w:t>office </w:t>
      </w:r>
      <w:r>
        <w:rPr>
          <w:color w:val="231F20"/>
          <w:w w:val="110"/>
          <w:sz w:val="18"/>
        </w:rPr>
        <w:t>of Moderator of the General Assembly, the </w:t>
      </w:r>
      <w:r>
        <w:rPr>
          <w:color w:val="231F20"/>
          <w:spacing w:val="2"/>
          <w:w w:val="110"/>
          <w:sz w:val="18"/>
        </w:rPr>
        <w:t>person </w:t>
      </w:r>
      <w:r>
        <w:rPr>
          <w:color w:val="231F20"/>
          <w:w w:val="110"/>
          <w:sz w:val="18"/>
        </w:rPr>
        <w:t>previously holding such </w:t>
      </w:r>
      <w:r>
        <w:rPr>
          <w:color w:val="231F20"/>
          <w:spacing w:val="2"/>
          <w:w w:val="110"/>
          <w:sz w:val="18"/>
        </w:rPr>
        <w:t>office </w:t>
      </w:r>
      <w:r>
        <w:rPr>
          <w:color w:val="231F20"/>
          <w:w w:val="110"/>
          <w:sz w:val="18"/>
        </w:rPr>
        <w:t>shall continue to </w:t>
      </w:r>
      <w:r>
        <w:rPr>
          <w:color w:val="231F20"/>
          <w:spacing w:val="2"/>
          <w:w w:val="110"/>
          <w:sz w:val="18"/>
        </w:rPr>
        <w:t>serve </w:t>
      </w:r>
      <w:r>
        <w:rPr>
          <w:color w:val="231F20"/>
          <w:w w:val="110"/>
          <w:sz w:val="18"/>
        </w:rPr>
        <w:t>as a member of the Appeals Commission to the exclusion of his/her </w:t>
      </w:r>
      <w:r>
        <w:rPr>
          <w:color w:val="231F20"/>
          <w:spacing w:val="2"/>
          <w:w w:val="110"/>
          <w:sz w:val="18"/>
        </w:rPr>
        <w:t>successor </w:t>
      </w:r>
      <w:r>
        <w:rPr>
          <w:color w:val="231F20"/>
          <w:w w:val="110"/>
          <w:sz w:val="18"/>
        </w:rPr>
        <w:t>in that</w:t>
      </w:r>
      <w:r>
        <w:rPr>
          <w:color w:val="231F20"/>
          <w:spacing w:val="7"/>
          <w:w w:val="110"/>
          <w:sz w:val="18"/>
        </w:rPr>
        <w:t> </w:t>
      </w:r>
      <w:r>
        <w:rPr>
          <w:color w:val="231F20"/>
          <w:w w:val="110"/>
          <w:sz w:val="18"/>
        </w:rPr>
        <w:t>office.</w:t>
      </w:r>
    </w:p>
    <w:p>
      <w:pPr>
        <w:spacing w:after="0" w:line="273" w:lineRule="auto"/>
        <w:jc w:val="left"/>
        <w:rPr>
          <w:sz w:val="18"/>
        </w:rPr>
        <w:sectPr>
          <w:pgSz w:w="11910" w:h="16840"/>
          <w:pgMar w:header="558" w:footer="564" w:top="820" w:bottom="760" w:left="620" w:right="0"/>
        </w:sectPr>
      </w:pPr>
    </w:p>
    <w:p>
      <w:pPr>
        <w:pStyle w:val="BodyText"/>
        <w:spacing w:before="11"/>
        <w:rPr>
          <w:sz w:val="11"/>
        </w:rPr>
      </w:pPr>
    </w:p>
    <w:p>
      <w:pPr>
        <w:pStyle w:val="ListParagraph"/>
        <w:numPr>
          <w:ilvl w:val="1"/>
          <w:numId w:val="171"/>
        </w:numPr>
        <w:tabs>
          <w:tab w:pos="1800" w:val="left" w:leader="none"/>
          <w:tab w:pos="1801" w:val="left" w:leader="none"/>
        </w:tabs>
        <w:spacing w:line="273" w:lineRule="auto" w:before="100" w:after="0"/>
        <w:ind w:left="1080" w:right="1277" w:firstLine="0"/>
        <w:jc w:val="left"/>
        <w:rPr>
          <w:sz w:val="18"/>
        </w:rPr>
      </w:pPr>
      <w:r>
        <w:rPr>
          <w:color w:val="231F20"/>
          <w:w w:val="110"/>
          <w:sz w:val="18"/>
        </w:rPr>
        <w:t>Each member of the Appeals Commission when appointed shall receive </w:t>
      </w:r>
      <w:r>
        <w:rPr>
          <w:color w:val="231F20"/>
          <w:spacing w:val="2"/>
          <w:w w:val="110"/>
          <w:sz w:val="18"/>
        </w:rPr>
        <w:t>from </w:t>
      </w:r>
      <w:r>
        <w:rPr>
          <w:color w:val="231F20"/>
          <w:w w:val="110"/>
          <w:sz w:val="18"/>
        </w:rPr>
        <w:t>the General </w:t>
      </w:r>
      <w:r>
        <w:rPr>
          <w:color w:val="231F20"/>
          <w:spacing w:val="3"/>
          <w:w w:val="110"/>
          <w:sz w:val="18"/>
        </w:rPr>
        <w:t>Secretary </w:t>
      </w:r>
      <w:r>
        <w:rPr>
          <w:color w:val="231F20"/>
          <w:w w:val="110"/>
          <w:sz w:val="18"/>
        </w:rPr>
        <w:t>copies of the</w:t>
      </w:r>
      <w:r>
        <w:rPr>
          <w:color w:val="231F20"/>
          <w:spacing w:val="4"/>
          <w:w w:val="110"/>
          <w:sz w:val="18"/>
        </w:rPr>
        <w:t> </w:t>
      </w:r>
      <w:r>
        <w:rPr>
          <w:color w:val="231F20"/>
          <w:w w:val="110"/>
          <w:sz w:val="18"/>
        </w:rPr>
        <w:t>following:</w:t>
      </w:r>
    </w:p>
    <w:p>
      <w:pPr>
        <w:pStyle w:val="BodyText"/>
        <w:spacing w:before="8"/>
        <w:rPr>
          <w:sz w:val="20"/>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Notice of the Assembly Commission’s</w:t>
      </w:r>
      <w:r>
        <w:rPr>
          <w:color w:val="231F20"/>
          <w:spacing w:val="9"/>
          <w:w w:val="110"/>
          <w:sz w:val="18"/>
        </w:rPr>
        <w:t> </w:t>
      </w:r>
      <w:r>
        <w:rPr>
          <w:color w:val="231F20"/>
          <w:w w:val="110"/>
          <w:sz w:val="18"/>
        </w:rPr>
        <w:t>decision.</w:t>
      </w:r>
    </w:p>
    <w:p>
      <w:pPr>
        <w:pStyle w:val="BodyText"/>
        <w:spacing w:before="2"/>
        <w:rPr>
          <w:sz w:val="23"/>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Any statement of reasons given by the Assembly</w:t>
      </w:r>
      <w:r>
        <w:rPr>
          <w:color w:val="231F20"/>
          <w:spacing w:val="21"/>
          <w:w w:val="110"/>
          <w:sz w:val="18"/>
        </w:rPr>
        <w:t> </w:t>
      </w:r>
      <w:r>
        <w:rPr>
          <w:color w:val="231F20"/>
          <w:w w:val="110"/>
          <w:sz w:val="18"/>
        </w:rPr>
        <w:t>Commission.</w:t>
      </w:r>
    </w:p>
    <w:p>
      <w:pPr>
        <w:pStyle w:val="BodyText"/>
        <w:spacing w:before="2"/>
        <w:rPr>
          <w:sz w:val="23"/>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Any </w:t>
      </w:r>
      <w:r>
        <w:rPr>
          <w:color w:val="231F20"/>
          <w:spacing w:val="2"/>
          <w:w w:val="110"/>
          <w:sz w:val="18"/>
        </w:rPr>
        <w:t>written </w:t>
      </w:r>
      <w:r>
        <w:rPr>
          <w:color w:val="231F20"/>
          <w:w w:val="110"/>
          <w:sz w:val="18"/>
        </w:rPr>
        <w:t>warning</w:t>
      </w:r>
      <w:r>
        <w:rPr>
          <w:color w:val="231F20"/>
          <w:spacing w:val="1"/>
          <w:w w:val="110"/>
          <w:sz w:val="18"/>
        </w:rPr>
        <w:t> </w:t>
      </w:r>
      <w:r>
        <w:rPr>
          <w:color w:val="231F20"/>
          <w:w w:val="110"/>
          <w:sz w:val="18"/>
        </w:rPr>
        <w:t>issued.</w:t>
      </w:r>
    </w:p>
    <w:p>
      <w:pPr>
        <w:pStyle w:val="BodyText"/>
        <w:spacing w:before="1"/>
        <w:rPr>
          <w:sz w:val="23"/>
        </w:rPr>
      </w:pPr>
    </w:p>
    <w:p>
      <w:pPr>
        <w:pStyle w:val="ListParagraph"/>
        <w:numPr>
          <w:ilvl w:val="2"/>
          <w:numId w:val="171"/>
        </w:numPr>
        <w:tabs>
          <w:tab w:pos="1801" w:val="left" w:leader="none"/>
        </w:tabs>
        <w:spacing w:line="273" w:lineRule="auto" w:before="1" w:after="0"/>
        <w:ind w:left="1080" w:right="1351" w:firstLine="0"/>
        <w:jc w:val="left"/>
        <w:rPr>
          <w:sz w:val="18"/>
        </w:rPr>
      </w:pPr>
      <w:r>
        <w:rPr>
          <w:color w:val="231F20"/>
          <w:w w:val="110"/>
          <w:sz w:val="18"/>
        </w:rPr>
        <w:t>Any recommendations or guidance appended to the decision in accordance with Paragraph </w:t>
      </w:r>
      <w:r>
        <w:rPr>
          <w:color w:val="231F20"/>
          <w:spacing w:val="-5"/>
          <w:w w:val="110"/>
          <w:sz w:val="18"/>
        </w:rPr>
        <w:t>F.2.3 </w:t>
      </w:r>
      <w:r>
        <w:rPr>
          <w:color w:val="231F20"/>
          <w:w w:val="110"/>
          <w:sz w:val="18"/>
        </w:rPr>
        <w:t>or Paragraph </w:t>
      </w:r>
      <w:r>
        <w:rPr>
          <w:color w:val="231F20"/>
          <w:spacing w:val="-6"/>
          <w:w w:val="110"/>
          <w:sz w:val="18"/>
        </w:rPr>
        <w:t>F.2.4 </w:t>
      </w:r>
      <w:r>
        <w:rPr>
          <w:color w:val="231F20"/>
          <w:w w:val="110"/>
          <w:sz w:val="18"/>
        </w:rPr>
        <w:t>as the </w:t>
      </w:r>
      <w:r>
        <w:rPr>
          <w:color w:val="231F20"/>
          <w:spacing w:val="2"/>
          <w:w w:val="110"/>
          <w:sz w:val="18"/>
        </w:rPr>
        <w:t>case </w:t>
      </w:r>
      <w:r>
        <w:rPr>
          <w:color w:val="231F20"/>
          <w:w w:val="110"/>
          <w:sz w:val="18"/>
        </w:rPr>
        <w:t>may</w:t>
      </w:r>
      <w:r>
        <w:rPr>
          <w:color w:val="231F20"/>
          <w:spacing w:val="26"/>
          <w:w w:val="110"/>
          <w:sz w:val="18"/>
        </w:rPr>
        <w:t> </w:t>
      </w:r>
      <w:r>
        <w:rPr>
          <w:color w:val="231F20"/>
          <w:w w:val="110"/>
          <w:sz w:val="18"/>
        </w:rPr>
        <w:t>be.</w:t>
      </w:r>
    </w:p>
    <w:p>
      <w:pPr>
        <w:pStyle w:val="BodyText"/>
        <w:spacing w:before="8"/>
        <w:rPr>
          <w:sz w:val="20"/>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The Notice of Appeal, containing the grounds for the</w:t>
      </w:r>
      <w:r>
        <w:rPr>
          <w:color w:val="231F20"/>
          <w:spacing w:val="21"/>
          <w:w w:val="110"/>
          <w:sz w:val="18"/>
        </w:rPr>
        <w:t> </w:t>
      </w:r>
      <w:r>
        <w:rPr>
          <w:color w:val="231F20"/>
          <w:w w:val="110"/>
          <w:sz w:val="18"/>
        </w:rPr>
        <w:t>appeal.</w:t>
      </w:r>
    </w:p>
    <w:p>
      <w:pPr>
        <w:pStyle w:val="BodyText"/>
        <w:spacing w:before="1"/>
        <w:rPr>
          <w:sz w:val="23"/>
        </w:rPr>
      </w:pPr>
    </w:p>
    <w:p>
      <w:pPr>
        <w:pStyle w:val="ListParagraph"/>
        <w:numPr>
          <w:ilvl w:val="2"/>
          <w:numId w:val="171"/>
        </w:numPr>
        <w:tabs>
          <w:tab w:pos="1801" w:val="left" w:leader="none"/>
        </w:tabs>
        <w:spacing w:line="240" w:lineRule="auto" w:before="1" w:after="0"/>
        <w:ind w:left="1800" w:right="0" w:hanging="721"/>
        <w:jc w:val="left"/>
        <w:rPr>
          <w:sz w:val="18"/>
        </w:rPr>
      </w:pPr>
      <w:r>
        <w:rPr>
          <w:color w:val="231F20"/>
          <w:w w:val="110"/>
          <w:sz w:val="18"/>
        </w:rPr>
        <w:t>Any counter-statement received under Paragraph G.2.2 or Paragraph</w:t>
      </w:r>
      <w:r>
        <w:rPr>
          <w:color w:val="231F20"/>
          <w:spacing w:val="30"/>
          <w:w w:val="110"/>
          <w:sz w:val="18"/>
        </w:rPr>
        <w:t> </w:t>
      </w:r>
      <w:r>
        <w:rPr>
          <w:color w:val="231F20"/>
          <w:w w:val="110"/>
          <w:sz w:val="18"/>
        </w:rPr>
        <w:t>G.2.3.</w:t>
      </w:r>
    </w:p>
    <w:p>
      <w:pPr>
        <w:pStyle w:val="BodyText"/>
        <w:spacing w:before="1"/>
        <w:rPr>
          <w:sz w:val="23"/>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The body of papers laid </w:t>
      </w:r>
      <w:r>
        <w:rPr>
          <w:color w:val="231F20"/>
          <w:spacing w:val="2"/>
          <w:w w:val="110"/>
          <w:sz w:val="18"/>
        </w:rPr>
        <w:t>before </w:t>
      </w:r>
      <w:r>
        <w:rPr>
          <w:color w:val="231F20"/>
          <w:w w:val="110"/>
          <w:sz w:val="18"/>
        </w:rPr>
        <w:t>the Assembly Commission in hearing the</w:t>
      </w:r>
      <w:r>
        <w:rPr>
          <w:color w:val="231F20"/>
          <w:spacing w:val="56"/>
          <w:w w:val="110"/>
          <w:sz w:val="18"/>
        </w:rPr>
        <w:t> </w:t>
      </w:r>
      <w:r>
        <w:rPr>
          <w:color w:val="231F20"/>
          <w:w w:val="110"/>
          <w:sz w:val="18"/>
        </w:rPr>
        <w:t>case.</w:t>
      </w:r>
    </w:p>
    <w:p>
      <w:pPr>
        <w:pStyle w:val="BodyText"/>
        <w:spacing w:before="2"/>
        <w:rPr>
          <w:sz w:val="23"/>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The Record of the Hearing. (See Paragraph</w:t>
      </w:r>
      <w:r>
        <w:rPr>
          <w:color w:val="231F20"/>
          <w:spacing w:val="12"/>
          <w:w w:val="110"/>
          <w:sz w:val="18"/>
        </w:rPr>
        <w:t> </w:t>
      </w:r>
      <w:r>
        <w:rPr>
          <w:color w:val="231F20"/>
          <w:spacing w:val="-5"/>
          <w:w w:val="110"/>
          <w:sz w:val="18"/>
        </w:rPr>
        <w:t>E.12.4)</w:t>
      </w:r>
    </w:p>
    <w:p>
      <w:pPr>
        <w:pStyle w:val="BodyText"/>
        <w:spacing w:before="2"/>
        <w:rPr>
          <w:sz w:val="23"/>
        </w:rPr>
      </w:pPr>
    </w:p>
    <w:p>
      <w:pPr>
        <w:pStyle w:val="ListParagraph"/>
        <w:numPr>
          <w:ilvl w:val="1"/>
          <w:numId w:val="171"/>
        </w:numPr>
        <w:tabs>
          <w:tab w:pos="1800" w:val="left" w:leader="none"/>
          <w:tab w:pos="1801" w:val="left" w:leader="none"/>
        </w:tabs>
        <w:spacing w:line="240" w:lineRule="auto" w:before="0" w:after="0"/>
        <w:ind w:left="1800" w:right="0" w:hanging="721"/>
        <w:jc w:val="left"/>
        <w:rPr>
          <w:sz w:val="18"/>
        </w:rPr>
      </w:pPr>
      <w:r>
        <w:rPr>
          <w:color w:val="231F20"/>
          <w:w w:val="110"/>
          <w:sz w:val="18"/>
        </w:rPr>
        <w:t>The Appeals Commission when constituted shall consider the following</w:t>
      </w:r>
      <w:r>
        <w:rPr>
          <w:color w:val="231F20"/>
          <w:spacing w:val="53"/>
          <w:w w:val="110"/>
          <w:sz w:val="18"/>
        </w:rPr>
        <w:t> </w:t>
      </w:r>
      <w:r>
        <w:rPr>
          <w:color w:val="231F20"/>
          <w:w w:val="110"/>
          <w:sz w:val="18"/>
        </w:rPr>
        <w:t>matters:</w:t>
      </w:r>
    </w:p>
    <w:p>
      <w:pPr>
        <w:pStyle w:val="BodyText"/>
        <w:spacing w:before="1"/>
        <w:rPr>
          <w:sz w:val="23"/>
        </w:rPr>
      </w:pPr>
    </w:p>
    <w:p>
      <w:pPr>
        <w:pStyle w:val="ListParagraph"/>
        <w:numPr>
          <w:ilvl w:val="2"/>
          <w:numId w:val="171"/>
        </w:numPr>
        <w:tabs>
          <w:tab w:pos="1801" w:val="left" w:leader="none"/>
        </w:tabs>
        <w:spacing w:line="273" w:lineRule="auto" w:before="1" w:after="0"/>
        <w:ind w:left="1080" w:right="1394" w:firstLine="0"/>
        <w:jc w:val="left"/>
        <w:rPr>
          <w:sz w:val="18"/>
        </w:rPr>
      </w:pPr>
      <w:r>
        <w:rPr>
          <w:color w:val="231F20"/>
          <w:w w:val="110"/>
          <w:sz w:val="18"/>
        </w:rPr>
        <w:t>Whether there is or may be new information which has come to light and which could not reasonably have been available to the Assembly Commission </w:t>
      </w:r>
      <w:r>
        <w:rPr>
          <w:color w:val="231F20"/>
          <w:spacing w:val="2"/>
          <w:w w:val="110"/>
          <w:sz w:val="18"/>
        </w:rPr>
        <w:t>before </w:t>
      </w:r>
      <w:r>
        <w:rPr>
          <w:color w:val="231F20"/>
          <w:w w:val="110"/>
          <w:sz w:val="18"/>
        </w:rPr>
        <w:t>its decision was taken under Paragraph</w:t>
      </w:r>
      <w:r>
        <w:rPr>
          <w:color w:val="231F20"/>
          <w:spacing w:val="7"/>
          <w:w w:val="110"/>
          <w:sz w:val="18"/>
        </w:rPr>
        <w:t> </w:t>
      </w:r>
      <w:r>
        <w:rPr>
          <w:color w:val="231F20"/>
          <w:spacing w:val="-6"/>
          <w:w w:val="110"/>
          <w:sz w:val="18"/>
        </w:rPr>
        <w:t>F.2.</w:t>
      </w:r>
    </w:p>
    <w:p>
      <w:pPr>
        <w:pStyle w:val="BodyText"/>
        <w:spacing w:before="8"/>
        <w:rPr>
          <w:sz w:val="20"/>
        </w:rPr>
      </w:pPr>
    </w:p>
    <w:p>
      <w:pPr>
        <w:pStyle w:val="ListParagraph"/>
        <w:numPr>
          <w:ilvl w:val="2"/>
          <w:numId w:val="171"/>
        </w:numPr>
        <w:tabs>
          <w:tab w:pos="1801" w:val="left" w:leader="none"/>
        </w:tabs>
        <w:spacing w:line="273" w:lineRule="auto" w:before="1" w:after="0"/>
        <w:ind w:left="1080" w:right="1601" w:firstLine="0"/>
        <w:jc w:val="both"/>
        <w:rPr>
          <w:sz w:val="18"/>
        </w:rPr>
      </w:pPr>
      <w:r>
        <w:rPr>
          <w:color w:val="231F20"/>
          <w:w w:val="110"/>
          <w:sz w:val="18"/>
        </w:rPr>
        <w:t>Whether any such new information would in its opinion have been material in that, had it been tested and proved to the satisfaction of the Assembly Commission, it might have caused it to </w:t>
      </w:r>
      <w:r>
        <w:rPr>
          <w:color w:val="231F20"/>
          <w:spacing w:val="2"/>
          <w:w w:val="110"/>
          <w:sz w:val="18"/>
        </w:rPr>
        <w:t>reach </w:t>
      </w:r>
      <w:r>
        <w:rPr>
          <w:color w:val="231F20"/>
          <w:w w:val="110"/>
          <w:sz w:val="18"/>
        </w:rPr>
        <w:t>a different</w:t>
      </w:r>
      <w:r>
        <w:rPr>
          <w:color w:val="231F20"/>
          <w:spacing w:val="17"/>
          <w:w w:val="110"/>
          <w:sz w:val="18"/>
        </w:rPr>
        <w:t> </w:t>
      </w:r>
      <w:r>
        <w:rPr>
          <w:color w:val="231F20"/>
          <w:w w:val="110"/>
          <w:sz w:val="18"/>
        </w:rPr>
        <w:t>decision.</w:t>
      </w:r>
    </w:p>
    <w:p>
      <w:pPr>
        <w:pStyle w:val="BodyText"/>
        <w:spacing w:before="8"/>
        <w:rPr>
          <w:sz w:val="20"/>
        </w:rPr>
      </w:pPr>
    </w:p>
    <w:p>
      <w:pPr>
        <w:pStyle w:val="ListParagraph"/>
        <w:numPr>
          <w:ilvl w:val="2"/>
          <w:numId w:val="171"/>
        </w:numPr>
        <w:tabs>
          <w:tab w:pos="1801" w:val="left" w:leader="none"/>
        </w:tabs>
        <w:spacing w:line="273" w:lineRule="auto" w:before="0" w:after="0"/>
        <w:ind w:left="1080" w:right="1221" w:firstLine="0"/>
        <w:jc w:val="left"/>
        <w:rPr>
          <w:sz w:val="18"/>
        </w:rPr>
      </w:pPr>
      <w:r>
        <w:rPr>
          <w:color w:val="231F20"/>
          <w:w w:val="110"/>
          <w:sz w:val="18"/>
        </w:rPr>
        <w:t>Whether there may have been some procedural irregularity or breach of the   rules of natural justice or serious misunderstanding by the Assembly Commission of the information </w:t>
      </w:r>
      <w:r>
        <w:rPr>
          <w:color w:val="231F20"/>
          <w:spacing w:val="2"/>
          <w:w w:val="110"/>
          <w:sz w:val="18"/>
        </w:rPr>
        <w:t>before </w:t>
      </w:r>
      <w:r>
        <w:rPr>
          <w:color w:val="231F20"/>
          <w:w w:val="110"/>
          <w:sz w:val="18"/>
        </w:rPr>
        <w:t>it or of any </w:t>
      </w:r>
      <w:r>
        <w:rPr>
          <w:color w:val="231F20"/>
          <w:spacing w:val="2"/>
          <w:w w:val="110"/>
          <w:sz w:val="18"/>
        </w:rPr>
        <w:t>aspect </w:t>
      </w:r>
      <w:r>
        <w:rPr>
          <w:color w:val="231F20"/>
          <w:w w:val="110"/>
          <w:sz w:val="18"/>
        </w:rPr>
        <w:t>of the </w:t>
      </w:r>
      <w:r>
        <w:rPr>
          <w:color w:val="231F20"/>
          <w:spacing w:val="2"/>
          <w:w w:val="110"/>
          <w:sz w:val="18"/>
        </w:rPr>
        <w:t>Section </w:t>
      </w:r>
      <w:r>
        <w:rPr>
          <w:color w:val="231F20"/>
          <w:w w:val="110"/>
          <w:sz w:val="18"/>
        </w:rPr>
        <w:t>O </w:t>
      </w:r>
      <w:r>
        <w:rPr>
          <w:color w:val="231F20"/>
          <w:spacing w:val="2"/>
          <w:w w:val="110"/>
          <w:sz w:val="18"/>
        </w:rPr>
        <w:t>Process</w:t>
      </w:r>
      <w:r>
        <w:rPr>
          <w:color w:val="231F20"/>
          <w:spacing w:val="27"/>
          <w:w w:val="110"/>
          <w:sz w:val="18"/>
        </w:rPr>
        <w:t> </w:t>
      </w:r>
      <w:r>
        <w:rPr>
          <w:color w:val="231F20"/>
          <w:w w:val="110"/>
          <w:sz w:val="18"/>
        </w:rPr>
        <w:t>itself.</w:t>
      </w:r>
    </w:p>
    <w:p>
      <w:pPr>
        <w:pStyle w:val="BodyText"/>
        <w:spacing w:before="9"/>
        <w:rPr>
          <w:sz w:val="20"/>
        </w:rPr>
      </w:pPr>
    </w:p>
    <w:p>
      <w:pPr>
        <w:pStyle w:val="ListParagraph"/>
        <w:numPr>
          <w:ilvl w:val="1"/>
          <w:numId w:val="171"/>
        </w:numPr>
        <w:tabs>
          <w:tab w:pos="1801" w:val="left" w:leader="none"/>
          <w:tab w:pos="1802" w:val="left" w:leader="none"/>
        </w:tabs>
        <w:spacing w:line="240" w:lineRule="auto" w:before="0" w:after="0"/>
        <w:ind w:left="1801" w:right="0" w:hanging="722"/>
        <w:jc w:val="left"/>
        <w:rPr>
          <w:sz w:val="18"/>
        </w:rPr>
      </w:pPr>
      <w:r>
        <w:rPr>
          <w:color w:val="231F20"/>
          <w:spacing w:val="-5"/>
          <w:w w:val="110"/>
          <w:sz w:val="18"/>
        </w:rPr>
        <w:t>G.10.1 </w:t>
      </w:r>
      <w:r>
        <w:rPr>
          <w:color w:val="231F20"/>
          <w:spacing w:val="2"/>
          <w:w w:val="110"/>
          <w:sz w:val="18"/>
        </w:rPr>
        <w:t>Before </w:t>
      </w:r>
      <w:r>
        <w:rPr>
          <w:color w:val="231F20"/>
          <w:w w:val="110"/>
          <w:sz w:val="18"/>
        </w:rPr>
        <w:t>reaching its decision on the Appeal, the Appeals Commission</w:t>
      </w:r>
      <w:r>
        <w:rPr>
          <w:color w:val="231F20"/>
          <w:spacing w:val="53"/>
          <w:w w:val="110"/>
          <w:sz w:val="18"/>
        </w:rPr>
        <w:t> </w:t>
      </w:r>
      <w:r>
        <w:rPr>
          <w:color w:val="231F20"/>
          <w:w w:val="110"/>
          <w:sz w:val="18"/>
        </w:rPr>
        <w:t>shall</w:t>
      </w:r>
    </w:p>
    <w:p>
      <w:pPr>
        <w:pStyle w:val="BodyText"/>
        <w:spacing w:before="31"/>
        <w:ind w:left="1080"/>
      </w:pPr>
      <w:r>
        <w:rPr>
          <w:color w:val="231F20"/>
          <w:w w:val="110"/>
        </w:rPr>
        <w:t>constitute</w:t>
      </w:r>
      <w:r>
        <w:rPr>
          <w:color w:val="231F20"/>
          <w:spacing w:val="12"/>
          <w:w w:val="110"/>
        </w:rPr>
        <w:t> </w:t>
      </w:r>
      <w:r>
        <w:rPr>
          <w:color w:val="231F20"/>
          <w:w w:val="110"/>
        </w:rPr>
        <w:t>a</w:t>
      </w:r>
      <w:r>
        <w:rPr>
          <w:color w:val="231F20"/>
          <w:spacing w:val="13"/>
          <w:w w:val="110"/>
        </w:rPr>
        <w:t> </w:t>
      </w:r>
      <w:r>
        <w:rPr>
          <w:color w:val="231F20"/>
          <w:w w:val="110"/>
        </w:rPr>
        <w:t>Hearing</w:t>
      </w:r>
      <w:r>
        <w:rPr>
          <w:color w:val="231F20"/>
          <w:spacing w:val="12"/>
          <w:w w:val="110"/>
        </w:rPr>
        <w:t> </w:t>
      </w:r>
      <w:r>
        <w:rPr>
          <w:color w:val="231F20"/>
          <w:w w:val="110"/>
        </w:rPr>
        <w:t>at</w:t>
      </w:r>
      <w:r>
        <w:rPr>
          <w:color w:val="231F20"/>
          <w:spacing w:val="13"/>
          <w:w w:val="110"/>
        </w:rPr>
        <w:t> </w:t>
      </w:r>
      <w:r>
        <w:rPr>
          <w:color w:val="231F20"/>
          <w:w w:val="110"/>
        </w:rPr>
        <w:t>which</w:t>
      </w:r>
      <w:r>
        <w:rPr>
          <w:color w:val="231F20"/>
          <w:spacing w:val="12"/>
          <w:w w:val="110"/>
        </w:rPr>
        <w:t> </w:t>
      </w:r>
      <w:r>
        <w:rPr>
          <w:color w:val="231F20"/>
          <w:w w:val="110"/>
        </w:rPr>
        <w:t>the</w:t>
      </w:r>
      <w:r>
        <w:rPr>
          <w:color w:val="231F20"/>
          <w:spacing w:val="13"/>
          <w:w w:val="110"/>
        </w:rPr>
        <w:t> </w:t>
      </w:r>
      <w:r>
        <w:rPr>
          <w:color w:val="231F20"/>
          <w:spacing w:val="2"/>
          <w:w w:val="110"/>
        </w:rPr>
        <w:t>Parties</w:t>
      </w:r>
      <w:r>
        <w:rPr>
          <w:color w:val="231F20"/>
          <w:spacing w:val="12"/>
          <w:w w:val="110"/>
        </w:rPr>
        <w:t> </w:t>
      </w:r>
      <w:r>
        <w:rPr>
          <w:color w:val="231F20"/>
          <w:w w:val="110"/>
        </w:rPr>
        <w:t>shall</w:t>
      </w:r>
      <w:r>
        <w:rPr>
          <w:color w:val="231F20"/>
          <w:spacing w:val="13"/>
          <w:w w:val="110"/>
        </w:rPr>
        <w:t> </w:t>
      </w:r>
      <w:r>
        <w:rPr>
          <w:color w:val="231F20"/>
          <w:w w:val="110"/>
        </w:rPr>
        <w:t>attend</w:t>
      </w:r>
      <w:r>
        <w:rPr>
          <w:color w:val="231F20"/>
          <w:spacing w:val="12"/>
          <w:w w:val="110"/>
        </w:rPr>
        <w:t> </w:t>
      </w:r>
      <w:r>
        <w:rPr>
          <w:color w:val="231F20"/>
          <w:spacing w:val="2"/>
          <w:w w:val="110"/>
        </w:rPr>
        <w:t>before</w:t>
      </w:r>
      <w:r>
        <w:rPr>
          <w:color w:val="231F20"/>
          <w:spacing w:val="13"/>
          <w:w w:val="110"/>
        </w:rPr>
        <w:t> </w:t>
      </w:r>
      <w:r>
        <w:rPr>
          <w:color w:val="231F20"/>
          <w:w w:val="110"/>
        </w:rPr>
        <w:t>the</w:t>
      </w:r>
      <w:r>
        <w:rPr>
          <w:color w:val="231F20"/>
          <w:spacing w:val="12"/>
          <w:w w:val="110"/>
        </w:rPr>
        <w:t> </w:t>
      </w:r>
      <w:r>
        <w:rPr>
          <w:color w:val="231F20"/>
          <w:w w:val="110"/>
        </w:rPr>
        <w:t>Appeals</w:t>
      </w:r>
      <w:r>
        <w:rPr>
          <w:color w:val="231F20"/>
          <w:spacing w:val="13"/>
          <w:w w:val="110"/>
        </w:rPr>
        <w:t> </w:t>
      </w:r>
      <w:r>
        <w:rPr>
          <w:color w:val="231F20"/>
          <w:w w:val="110"/>
        </w:rPr>
        <w:t>Commission.</w:t>
      </w:r>
    </w:p>
    <w:p>
      <w:pPr>
        <w:pStyle w:val="BodyText"/>
        <w:spacing w:before="1"/>
        <w:rPr>
          <w:sz w:val="23"/>
        </w:rPr>
      </w:pPr>
    </w:p>
    <w:p>
      <w:pPr>
        <w:pStyle w:val="ListParagraph"/>
        <w:numPr>
          <w:ilvl w:val="2"/>
          <w:numId w:val="173"/>
        </w:numPr>
        <w:tabs>
          <w:tab w:pos="1801" w:val="left" w:leader="none"/>
        </w:tabs>
        <w:spacing w:line="273" w:lineRule="auto" w:before="1" w:after="0"/>
        <w:ind w:left="1081" w:right="1420" w:hanging="1"/>
        <w:jc w:val="left"/>
        <w:rPr>
          <w:sz w:val="18"/>
        </w:rPr>
      </w:pPr>
      <w:r>
        <w:rPr>
          <w:color w:val="231F20"/>
          <w:w w:val="110"/>
          <w:sz w:val="18"/>
        </w:rPr>
        <w:t>The General Secretary shall consult with the Convener and the other members of the Appeals Commission </w:t>
      </w:r>
      <w:r>
        <w:rPr>
          <w:color w:val="231F20"/>
          <w:spacing w:val="-3"/>
          <w:w w:val="110"/>
          <w:sz w:val="18"/>
        </w:rPr>
        <w:t>and, </w:t>
      </w:r>
      <w:r>
        <w:rPr>
          <w:color w:val="231F20"/>
          <w:w w:val="110"/>
          <w:sz w:val="18"/>
        </w:rPr>
        <w:t>where possible, with the Parties as to a suitable venue, date</w:t>
      </w:r>
      <w:r>
        <w:rPr>
          <w:color w:val="231F20"/>
          <w:spacing w:val="-9"/>
          <w:w w:val="110"/>
          <w:sz w:val="18"/>
        </w:rPr>
        <w:t> </w:t>
      </w:r>
      <w:r>
        <w:rPr>
          <w:color w:val="231F20"/>
          <w:w w:val="110"/>
          <w:sz w:val="18"/>
        </w:rPr>
        <w:t>and</w:t>
      </w:r>
      <w:r>
        <w:rPr>
          <w:color w:val="231F20"/>
          <w:spacing w:val="-8"/>
          <w:w w:val="110"/>
          <w:sz w:val="18"/>
        </w:rPr>
        <w:t> </w:t>
      </w:r>
      <w:r>
        <w:rPr>
          <w:color w:val="231F20"/>
          <w:w w:val="110"/>
          <w:sz w:val="18"/>
        </w:rPr>
        <w:t>time</w:t>
      </w:r>
      <w:r>
        <w:rPr>
          <w:color w:val="231F20"/>
          <w:spacing w:val="-8"/>
          <w:w w:val="110"/>
          <w:sz w:val="18"/>
        </w:rPr>
        <w:t> </w:t>
      </w:r>
      <w:r>
        <w:rPr>
          <w:color w:val="231F20"/>
          <w:w w:val="110"/>
          <w:sz w:val="18"/>
        </w:rPr>
        <w:t>for</w:t>
      </w:r>
      <w:r>
        <w:rPr>
          <w:color w:val="231F20"/>
          <w:spacing w:val="-8"/>
          <w:w w:val="110"/>
          <w:sz w:val="18"/>
        </w:rPr>
        <w:t> </w:t>
      </w:r>
      <w:r>
        <w:rPr>
          <w:color w:val="231F20"/>
          <w:w w:val="110"/>
          <w:sz w:val="18"/>
        </w:rPr>
        <w:t>the</w:t>
      </w:r>
      <w:r>
        <w:rPr>
          <w:color w:val="231F20"/>
          <w:spacing w:val="-8"/>
          <w:w w:val="110"/>
          <w:sz w:val="18"/>
        </w:rPr>
        <w:t> </w:t>
      </w:r>
      <w:r>
        <w:rPr>
          <w:color w:val="231F20"/>
          <w:w w:val="110"/>
          <w:sz w:val="18"/>
        </w:rPr>
        <w:t>Hearing</w:t>
      </w:r>
      <w:r>
        <w:rPr>
          <w:color w:val="231F20"/>
          <w:spacing w:val="-9"/>
          <w:w w:val="110"/>
          <w:sz w:val="18"/>
        </w:rPr>
        <w:t> </w:t>
      </w:r>
      <w:r>
        <w:rPr>
          <w:color w:val="231F20"/>
          <w:spacing w:val="-3"/>
          <w:w w:val="110"/>
          <w:sz w:val="18"/>
        </w:rPr>
        <w:t>and,</w:t>
      </w:r>
      <w:r>
        <w:rPr>
          <w:color w:val="231F20"/>
          <w:spacing w:val="-8"/>
          <w:w w:val="110"/>
          <w:sz w:val="18"/>
        </w:rPr>
        <w:t> </w:t>
      </w:r>
      <w:r>
        <w:rPr>
          <w:color w:val="231F20"/>
          <w:w w:val="110"/>
          <w:sz w:val="18"/>
        </w:rPr>
        <w:t>having</w:t>
      </w:r>
      <w:r>
        <w:rPr>
          <w:color w:val="231F20"/>
          <w:spacing w:val="-8"/>
          <w:w w:val="110"/>
          <w:sz w:val="18"/>
        </w:rPr>
        <w:t> </w:t>
      </w:r>
      <w:r>
        <w:rPr>
          <w:color w:val="231F20"/>
          <w:w w:val="110"/>
          <w:sz w:val="18"/>
        </w:rPr>
        <w:t>so</w:t>
      </w:r>
      <w:r>
        <w:rPr>
          <w:color w:val="231F20"/>
          <w:spacing w:val="-8"/>
          <w:w w:val="110"/>
          <w:sz w:val="18"/>
        </w:rPr>
        <w:t> </w:t>
      </w:r>
      <w:r>
        <w:rPr>
          <w:color w:val="231F20"/>
          <w:w w:val="110"/>
          <w:sz w:val="18"/>
        </w:rPr>
        <w:t>consulted,</w:t>
      </w:r>
      <w:r>
        <w:rPr>
          <w:color w:val="231F20"/>
          <w:spacing w:val="-8"/>
          <w:w w:val="110"/>
          <w:sz w:val="18"/>
        </w:rPr>
        <w:t> </w:t>
      </w:r>
      <w:r>
        <w:rPr>
          <w:color w:val="231F20"/>
          <w:w w:val="110"/>
          <w:sz w:val="18"/>
        </w:rPr>
        <w:t>shall</w:t>
      </w:r>
      <w:r>
        <w:rPr>
          <w:color w:val="231F20"/>
          <w:spacing w:val="-8"/>
          <w:w w:val="110"/>
          <w:sz w:val="18"/>
        </w:rPr>
        <w:t> </w:t>
      </w:r>
      <w:r>
        <w:rPr>
          <w:color w:val="231F20"/>
          <w:w w:val="110"/>
          <w:sz w:val="18"/>
        </w:rPr>
        <w:t>decide</w:t>
      </w:r>
      <w:r>
        <w:rPr>
          <w:color w:val="231F20"/>
          <w:spacing w:val="-9"/>
          <w:w w:val="110"/>
          <w:sz w:val="18"/>
        </w:rPr>
        <w:t> </w:t>
      </w:r>
      <w:r>
        <w:rPr>
          <w:color w:val="231F20"/>
          <w:w w:val="110"/>
          <w:sz w:val="18"/>
        </w:rPr>
        <w:t>thereupon</w:t>
      </w:r>
      <w:r>
        <w:rPr>
          <w:color w:val="231F20"/>
          <w:spacing w:val="-7"/>
          <w:w w:val="110"/>
          <w:sz w:val="18"/>
        </w:rPr>
        <w:t> </w:t>
      </w:r>
      <w:r>
        <w:rPr>
          <w:color w:val="231F20"/>
          <w:w w:val="110"/>
          <w:sz w:val="18"/>
        </w:rPr>
        <w:t>and</w:t>
      </w:r>
      <w:r>
        <w:rPr>
          <w:color w:val="231F20"/>
          <w:spacing w:val="-8"/>
          <w:w w:val="110"/>
          <w:sz w:val="18"/>
        </w:rPr>
        <w:t> </w:t>
      </w:r>
      <w:r>
        <w:rPr>
          <w:color w:val="231F20"/>
          <w:w w:val="110"/>
          <w:sz w:val="18"/>
        </w:rPr>
        <w:t>shall</w:t>
      </w:r>
    </w:p>
    <w:p>
      <w:pPr>
        <w:pStyle w:val="BodyText"/>
        <w:spacing w:before="1"/>
        <w:ind w:left="1084"/>
      </w:pPr>
      <w:r>
        <w:rPr>
          <w:color w:val="231F20"/>
          <w:w w:val="110"/>
        </w:rPr>
        <w:t>forthwith send a notice to the Parties informing them of the arrangements for the Hearing.</w:t>
      </w:r>
    </w:p>
    <w:p>
      <w:pPr>
        <w:pStyle w:val="BodyText"/>
        <w:spacing w:before="2"/>
        <w:rPr>
          <w:sz w:val="23"/>
        </w:rPr>
      </w:pPr>
    </w:p>
    <w:p>
      <w:pPr>
        <w:pStyle w:val="ListParagraph"/>
        <w:numPr>
          <w:ilvl w:val="2"/>
          <w:numId w:val="173"/>
        </w:numPr>
        <w:tabs>
          <w:tab w:pos="1802" w:val="left" w:leader="none"/>
        </w:tabs>
        <w:spacing w:line="273" w:lineRule="auto" w:before="0" w:after="0"/>
        <w:ind w:left="1080" w:right="1251" w:firstLine="0"/>
        <w:jc w:val="left"/>
        <w:rPr>
          <w:sz w:val="18"/>
        </w:rPr>
      </w:pPr>
      <w:r>
        <w:rPr>
          <w:color w:val="231F20"/>
          <w:w w:val="110"/>
          <w:sz w:val="18"/>
        </w:rPr>
        <w:t>At the Hearing of the Appeal, there shall be no </w:t>
      </w:r>
      <w:r>
        <w:rPr>
          <w:color w:val="231F20"/>
          <w:spacing w:val="2"/>
          <w:w w:val="110"/>
          <w:sz w:val="18"/>
        </w:rPr>
        <w:t>further </w:t>
      </w:r>
      <w:r>
        <w:rPr>
          <w:color w:val="231F20"/>
          <w:w w:val="110"/>
          <w:sz w:val="18"/>
        </w:rPr>
        <w:t>investigation or </w:t>
      </w:r>
      <w:r>
        <w:rPr>
          <w:color w:val="231F20"/>
          <w:spacing w:val="2"/>
          <w:w w:val="110"/>
          <w:sz w:val="18"/>
        </w:rPr>
        <w:t>re-  </w:t>
      </w:r>
      <w:r>
        <w:rPr>
          <w:color w:val="231F20"/>
          <w:w w:val="110"/>
          <w:sz w:val="18"/>
        </w:rPr>
        <w:t>hearing of the evidence nor any </w:t>
      </w:r>
      <w:r>
        <w:rPr>
          <w:color w:val="231F20"/>
          <w:spacing w:val="2"/>
          <w:w w:val="110"/>
          <w:sz w:val="18"/>
        </w:rPr>
        <w:t>further </w:t>
      </w:r>
      <w:r>
        <w:rPr>
          <w:color w:val="231F20"/>
          <w:w w:val="110"/>
          <w:sz w:val="18"/>
        </w:rPr>
        <w:t>evidence introduced, except for the purpose of considering whether there are sufficient grounds for referring the </w:t>
      </w:r>
      <w:r>
        <w:rPr>
          <w:color w:val="231F20"/>
          <w:spacing w:val="2"/>
          <w:w w:val="110"/>
          <w:sz w:val="18"/>
        </w:rPr>
        <w:t>case </w:t>
      </w:r>
      <w:r>
        <w:rPr>
          <w:color w:val="231F20"/>
          <w:w w:val="110"/>
          <w:sz w:val="18"/>
        </w:rPr>
        <w:t>for re-hearing in accordance with Paragraph</w:t>
      </w:r>
      <w:r>
        <w:rPr>
          <w:color w:val="231F20"/>
          <w:spacing w:val="4"/>
          <w:w w:val="110"/>
          <w:sz w:val="18"/>
        </w:rPr>
        <w:t> </w:t>
      </w:r>
      <w:r>
        <w:rPr>
          <w:color w:val="231F20"/>
          <w:spacing w:val="-9"/>
          <w:w w:val="110"/>
          <w:sz w:val="18"/>
        </w:rPr>
        <w:t>G.11.7.</w:t>
      </w:r>
    </w:p>
    <w:p>
      <w:pPr>
        <w:pStyle w:val="BodyText"/>
        <w:spacing w:before="9"/>
        <w:rPr>
          <w:sz w:val="20"/>
        </w:rPr>
      </w:pPr>
    </w:p>
    <w:p>
      <w:pPr>
        <w:pStyle w:val="ListParagraph"/>
        <w:numPr>
          <w:ilvl w:val="2"/>
          <w:numId w:val="173"/>
        </w:numPr>
        <w:tabs>
          <w:tab w:pos="1801" w:val="left" w:leader="none"/>
        </w:tabs>
        <w:spacing w:line="273" w:lineRule="auto" w:before="1" w:after="0"/>
        <w:ind w:left="1080" w:right="1422" w:firstLine="0"/>
        <w:jc w:val="left"/>
        <w:rPr>
          <w:sz w:val="18"/>
        </w:rPr>
      </w:pPr>
      <w:r>
        <w:rPr>
          <w:color w:val="231F20"/>
          <w:w w:val="110"/>
          <w:sz w:val="18"/>
        </w:rPr>
        <w:t>The General </w:t>
      </w:r>
      <w:r>
        <w:rPr>
          <w:color w:val="231F20"/>
          <w:spacing w:val="3"/>
          <w:w w:val="110"/>
          <w:sz w:val="18"/>
        </w:rPr>
        <w:t>Secretary </w:t>
      </w:r>
      <w:r>
        <w:rPr>
          <w:color w:val="231F20"/>
          <w:w w:val="110"/>
          <w:sz w:val="18"/>
        </w:rPr>
        <w:t>shall (unless excluded for the reasons specified in Paragraph </w:t>
      </w:r>
      <w:r>
        <w:rPr>
          <w:color w:val="231F20"/>
          <w:spacing w:val="-5"/>
          <w:w w:val="110"/>
          <w:sz w:val="18"/>
        </w:rPr>
        <w:t>C.3.1) </w:t>
      </w:r>
      <w:r>
        <w:rPr>
          <w:color w:val="231F20"/>
          <w:w w:val="110"/>
          <w:sz w:val="18"/>
        </w:rPr>
        <w:t>attend the Hearing for the purpose of giving such procedural advice  to the Appeals Commission as may be appropriate and of keeping a formal </w:t>
      </w:r>
      <w:r>
        <w:rPr>
          <w:color w:val="231F20"/>
          <w:spacing w:val="2"/>
          <w:w w:val="110"/>
          <w:sz w:val="18"/>
        </w:rPr>
        <w:t>record </w:t>
      </w:r>
      <w:r>
        <w:rPr>
          <w:color w:val="231F20"/>
          <w:w w:val="110"/>
          <w:sz w:val="18"/>
        </w:rPr>
        <w:t>of the Hearing. S/he shall not be present when the Appeals Commission deliberates and decides on the</w:t>
      </w:r>
      <w:r>
        <w:rPr>
          <w:color w:val="231F20"/>
          <w:spacing w:val="3"/>
          <w:w w:val="110"/>
          <w:sz w:val="18"/>
        </w:rPr>
        <w:t> </w:t>
      </w:r>
      <w:r>
        <w:rPr>
          <w:color w:val="231F20"/>
          <w:w w:val="110"/>
          <w:sz w:val="18"/>
        </w:rPr>
        <w:t>case.</w:t>
      </w:r>
    </w:p>
    <w:p>
      <w:pPr>
        <w:pStyle w:val="BodyText"/>
        <w:spacing w:before="9"/>
        <w:rPr>
          <w:sz w:val="20"/>
        </w:rPr>
      </w:pPr>
    </w:p>
    <w:p>
      <w:pPr>
        <w:pStyle w:val="ListParagraph"/>
        <w:numPr>
          <w:ilvl w:val="2"/>
          <w:numId w:val="173"/>
        </w:numPr>
        <w:tabs>
          <w:tab w:pos="1801" w:val="left" w:leader="none"/>
        </w:tabs>
        <w:spacing w:line="273" w:lineRule="auto" w:before="1" w:after="0"/>
        <w:ind w:left="1080" w:right="1190" w:firstLine="0"/>
        <w:jc w:val="left"/>
        <w:rPr>
          <w:sz w:val="18"/>
        </w:rPr>
      </w:pPr>
      <w:r>
        <w:rPr>
          <w:color w:val="231F20"/>
          <w:w w:val="110"/>
          <w:sz w:val="18"/>
        </w:rPr>
        <w:t>If the General </w:t>
      </w:r>
      <w:r>
        <w:rPr>
          <w:color w:val="231F20"/>
          <w:spacing w:val="3"/>
          <w:w w:val="110"/>
          <w:sz w:val="18"/>
        </w:rPr>
        <w:t>Secretary </w:t>
      </w:r>
      <w:r>
        <w:rPr>
          <w:color w:val="231F20"/>
          <w:w w:val="110"/>
          <w:sz w:val="18"/>
        </w:rPr>
        <w:t>cannot for any reason be present at the Hearing, the Appeals Commission shall itself appoint such </w:t>
      </w:r>
      <w:r>
        <w:rPr>
          <w:color w:val="231F20"/>
          <w:spacing w:val="2"/>
          <w:w w:val="110"/>
          <w:sz w:val="18"/>
        </w:rPr>
        <w:t>person </w:t>
      </w:r>
      <w:r>
        <w:rPr>
          <w:color w:val="231F20"/>
          <w:w w:val="110"/>
          <w:sz w:val="18"/>
        </w:rPr>
        <w:t>as it considers appropriate to deputise for him/her for that purpose, ascertaining beforehand that such </w:t>
      </w:r>
      <w:r>
        <w:rPr>
          <w:color w:val="231F20"/>
          <w:spacing w:val="2"/>
          <w:w w:val="110"/>
          <w:sz w:val="18"/>
        </w:rPr>
        <w:t>person </w:t>
      </w:r>
      <w:r>
        <w:rPr>
          <w:color w:val="231F20"/>
          <w:w w:val="110"/>
          <w:sz w:val="18"/>
        </w:rPr>
        <w:t>is not excluded for reasons specified in Paragraph </w:t>
      </w:r>
      <w:r>
        <w:rPr>
          <w:color w:val="231F20"/>
          <w:spacing w:val="-3"/>
          <w:w w:val="110"/>
          <w:sz w:val="18"/>
        </w:rPr>
        <w:t>C.3.1.</w:t>
      </w:r>
      <w:r>
        <w:rPr>
          <w:color w:val="231F20"/>
          <w:spacing w:val="63"/>
          <w:w w:val="110"/>
          <w:sz w:val="18"/>
        </w:rPr>
        <w:t> </w:t>
      </w:r>
      <w:r>
        <w:rPr>
          <w:color w:val="231F20"/>
          <w:w w:val="110"/>
          <w:sz w:val="18"/>
        </w:rPr>
        <w:t>Such </w:t>
      </w:r>
      <w:r>
        <w:rPr>
          <w:color w:val="231F20"/>
          <w:spacing w:val="2"/>
          <w:w w:val="110"/>
          <w:sz w:val="18"/>
        </w:rPr>
        <w:t>person </w:t>
      </w:r>
      <w:r>
        <w:rPr>
          <w:color w:val="231F20"/>
          <w:w w:val="110"/>
          <w:sz w:val="18"/>
        </w:rPr>
        <w:t>will </w:t>
      </w:r>
      <w:r>
        <w:rPr>
          <w:color w:val="231F20"/>
          <w:spacing w:val="3"/>
          <w:w w:val="110"/>
          <w:sz w:val="18"/>
        </w:rPr>
        <w:t>carry </w:t>
      </w:r>
      <w:r>
        <w:rPr>
          <w:color w:val="231F20"/>
          <w:w w:val="110"/>
          <w:sz w:val="18"/>
        </w:rPr>
        <w:t>out the duties set out in Paragraph </w:t>
      </w:r>
      <w:r>
        <w:rPr>
          <w:color w:val="231F20"/>
          <w:spacing w:val="-5"/>
          <w:w w:val="110"/>
          <w:sz w:val="18"/>
        </w:rPr>
        <w:t>G.10.4 </w:t>
      </w:r>
      <w:r>
        <w:rPr>
          <w:color w:val="231F20"/>
          <w:w w:val="110"/>
          <w:sz w:val="18"/>
        </w:rPr>
        <w:t>but shall not be present when the Appeals Commission deliberates and decides on the</w:t>
      </w:r>
      <w:r>
        <w:rPr>
          <w:color w:val="231F20"/>
          <w:spacing w:val="7"/>
          <w:w w:val="110"/>
          <w:sz w:val="18"/>
        </w:rPr>
        <w:t> </w:t>
      </w:r>
      <w:r>
        <w:rPr>
          <w:color w:val="231F20"/>
          <w:w w:val="110"/>
          <w:sz w:val="18"/>
        </w:rPr>
        <w:t>case.</w:t>
      </w:r>
    </w:p>
    <w:p>
      <w:pPr>
        <w:spacing w:after="0" w:line="273" w:lineRule="auto"/>
        <w:jc w:val="left"/>
        <w:rPr>
          <w:sz w:val="18"/>
        </w:rPr>
        <w:sectPr>
          <w:pgSz w:w="11910" w:h="16840"/>
          <w:pgMar w:header="558" w:footer="564" w:top="820" w:bottom="760" w:left="620" w:right="0"/>
        </w:sectPr>
      </w:pPr>
    </w:p>
    <w:p>
      <w:pPr>
        <w:pStyle w:val="BodyText"/>
        <w:spacing w:before="8"/>
        <w:rPr>
          <w:sz w:val="15"/>
        </w:rPr>
      </w:pPr>
    </w:p>
    <w:p>
      <w:pPr>
        <w:pStyle w:val="ListParagraph"/>
        <w:numPr>
          <w:ilvl w:val="2"/>
          <w:numId w:val="173"/>
        </w:numPr>
        <w:tabs>
          <w:tab w:pos="1235" w:val="left" w:leader="none"/>
        </w:tabs>
        <w:spacing w:line="273" w:lineRule="auto" w:before="100" w:after="0"/>
        <w:ind w:left="513" w:right="1742" w:firstLine="0"/>
        <w:jc w:val="left"/>
        <w:rPr>
          <w:sz w:val="18"/>
        </w:rPr>
      </w:pPr>
      <w:r>
        <w:rPr>
          <w:color w:val="231F20"/>
          <w:w w:val="110"/>
          <w:sz w:val="18"/>
        </w:rPr>
        <w:t>The General </w:t>
      </w:r>
      <w:r>
        <w:rPr>
          <w:color w:val="231F20"/>
          <w:spacing w:val="3"/>
          <w:w w:val="110"/>
          <w:sz w:val="18"/>
        </w:rPr>
        <w:t>Secretary </w:t>
      </w:r>
      <w:r>
        <w:rPr>
          <w:color w:val="231F20"/>
          <w:w w:val="110"/>
          <w:sz w:val="18"/>
        </w:rPr>
        <w:t>or his/her deputy appointed under Paragraph </w:t>
      </w:r>
      <w:r>
        <w:rPr>
          <w:color w:val="231F20"/>
          <w:spacing w:val="-4"/>
          <w:w w:val="110"/>
          <w:sz w:val="18"/>
        </w:rPr>
        <w:t>G.10.5 </w:t>
      </w:r>
      <w:r>
        <w:rPr>
          <w:color w:val="231F20"/>
          <w:w w:val="110"/>
          <w:sz w:val="18"/>
        </w:rPr>
        <w:t>shall prepare a summary minute of the proceedings at the Hearing (the </w:t>
      </w:r>
      <w:r>
        <w:rPr>
          <w:color w:val="231F20"/>
          <w:spacing w:val="2"/>
          <w:w w:val="110"/>
          <w:sz w:val="18"/>
        </w:rPr>
        <w:t>Secretary’s </w:t>
      </w:r>
      <w:r>
        <w:rPr>
          <w:color w:val="231F20"/>
          <w:spacing w:val="-3"/>
          <w:w w:val="110"/>
          <w:sz w:val="18"/>
        </w:rPr>
        <w:t>minute).</w:t>
      </w:r>
      <w:r>
        <w:rPr>
          <w:color w:val="231F20"/>
          <w:spacing w:val="63"/>
          <w:w w:val="110"/>
          <w:sz w:val="18"/>
        </w:rPr>
        <w:t> </w:t>
      </w:r>
      <w:r>
        <w:rPr>
          <w:color w:val="231F20"/>
          <w:w w:val="110"/>
          <w:sz w:val="18"/>
        </w:rPr>
        <w:t>Where possible, a verbatim </w:t>
      </w:r>
      <w:r>
        <w:rPr>
          <w:color w:val="231F20"/>
          <w:spacing w:val="2"/>
          <w:w w:val="110"/>
          <w:sz w:val="18"/>
        </w:rPr>
        <w:t>record </w:t>
      </w:r>
      <w:r>
        <w:rPr>
          <w:color w:val="231F20"/>
          <w:w w:val="110"/>
          <w:sz w:val="18"/>
        </w:rPr>
        <w:t>of the proceedings shall also be made by </w:t>
      </w:r>
      <w:r>
        <w:rPr>
          <w:color w:val="231F20"/>
          <w:spacing w:val="2"/>
          <w:w w:val="110"/>
          <w:sz w:val="18"/>
        </w:rPr>
        <w:t>electronic </w:t>
      </w:r>
      <w:r>
        <w:rPr>
          <w:color w:val="231F20"/>
          <w:w w:val="110"/>
          <w:sz w:val="18"/>
        </w:rPr>
        <w:t>recording or by such other means as shall be </w:t>
      </w:r>
      <w:r>
        <w:rPr>
          <w:color w:val="231F20"/>
          <w:spacing w:val="2"/>
          <w:w w:val="110"/>
          <w:sz w:val="18"/>
        </w:rPr>
        <w:t>directed </w:t>
      </w:r>
      <w:r>
        <w:rPr>
          <w:color w:val="231F20"/>
          <w:w w:val="110"/>
          <w:sz w:val="18"/>
        </w:rPr>
        <w:t>by the Convener of the Appeals Commission. The Record of the Hearing shall consist of the </w:t>
      </w:r>
      <w:r>
        <w:rPr>
          <w:color w:val="231F20"/>
          <w:spacing w:val="2"/>
          <w:w w:val="110"/>
          <w:sz w:val="18"/>
        </w:rPr>
        <w:t>Secretary’s </w:t>
      </w:r>
      <w:r>
        <w:rPr>
          <w:color w:val="231F20"/>
          <w:w w:val="110"/>
          <w:sz w:val="18"/>
        </w:rPr>
        <w:t>minute together with any such verbatim</w:t>
      </w:r>
      <w:r>
        <w:rPr>
          <w:color w:val="231F20"/>
          <w:spacing w:val="5"/>
          <w:w w:val="110"/>
          <w:sz w:val="18"/>
        </w:rPr>
        <w:t> </w:t>
      </w:r>
      <w:r>
        <w:rPr>
          <w:color w:val="231F20"/>
          <w:w w:val="110"/>
          <w:sz w:val="18"/>
        </w:rPr>
        <w:t>record.</w:t>
      </w:r>
    </w:p>
    <w:p>
      <w:pPr>
        <w:pStyle w:val="BodyText"/>
        <w:spacing w:before="11"/>
        <w:rPr>
          <w:sz w:val="20"/>
        </w:rPr>
      </w:pPr>
    </w:p>
    <w:p>
      <w:pPr>
        <w:pStyle w:val="ListParagraph"/>
        <w:numPr>
          <w:ilvl w:val="2"/>
          <w:numId w:val="173"/>
        </w:numPr>
        <w:tabs>
          <w:tab w:pos="1235" w:val="left" w:leader="none"/>
        </w:tabs>
        <w:spacing w:line="273" w:lineRule="auto" w:before="0" w:after="0"/>
        <w:ind w:left="514" w:right="1814" w:hanging="1"/>
        <w:jc w:val="left"/>
        <w:rPr>
          <w:sz w:val="18"/>
        </w:rPr>
      </w:pPr>
      <w:r>
        <w:rPr>
          <w:color w:val="231F20"/>
          <w:w w:val="110"/>
          <w:sz w:val="18"/>
        </w:rPr>
        <w:t>A representative of the Church’s legal advisers shall normally be present at the Hearing in order to advise and address the Appeals Commission on matters relating to procedure, evidence and interpretation and issues arising under Paragraph </w:t>
      </w:r>
      <w:r>
        <w:rPr>
          <w:color w:val="231F20"/>
          <w:spacing w:val="-6"/>
          <w:w w:val="110"/>
          <w:sz w:val="18"/>
        </w:rPr>
        <w:t>G.10.3, </w:t>
      </w:r>
      <w:r>
        <w:rPr>
          <w:color w:val="231F20"/>
          <w:w w:val="110"/>
          <w:sz w:val="18"/>
        </w:rPr>
        <w:t>but s/he shall not take </w:t>
      </w:r>
      <w:r>
        <w:rPr>
          <w:color w:val="231F20"/>
          <w:spacing w:val="-3"/>
          <w:w w:val="110"/>
          <w:sz w:val="18"/>
        </w:rPr>
        <w:t>any </w:t>
      </w:r>
      <w:r>
        <w:rPr>
          <w:color w:val="231F20"/>
          <w:w w:val="110"/>
          <w:sz w:val="18"/>
        </w:rPr>
        <w:t>part in the decision reached by the Appeals Commission, nor shall s/he be present when the Appeals Commission deliberates and decides upon the</w:t>
      </w:r>
      <w:r>
        <w:rPr>
          <w:color w:val="231F20"/>
          <w:spacing w:val="-3"/>
          <w:w w:val="110"/>
          <w:sz w:val="18"/>
        </w:rPr>
        <w:t> </w:t>
      </w:r>
      <w:r>
        <w:rPr>
          <w:color w:val="231F20"/>
          <w:w w:val="110"/>
          <w:sz w:val="18"/>
        </w:rPr>
        <w:t>case.</w:t>
      </w:r>
    </w:p>
    <w:p>
      <w:pPr>
        <w:pStyle w:val="BodyText"/>
        <w:spacing w:before="10"/>
        <w:rPr>
          <w:sz w:val="20"/>
        </w:rPr>
      </w:pPr>
    </w:p>
    <w:p>
      <w:pPr>
        <w:pStyle w:val="ListParagraph"/>
        <w:numPr>
          <w:ilvl w:val="2"/>
          <w:numId w:val="173"/>
        </w:numPr>
        <w:tabs>
          <w:tab w:pos="1239" w:val="left" w:leader="none"/>
        </w:tabs>
        <w:spacing w:line="273" w:lineRule="auto" w:before="0" w:after="0"/>
        <w:ind w:left="518" w:right="2005" w:firstLine="0"/>
        <w:jc w:val="left"/>
        <w:rPr>
          <w:sz w:val="18"/>
        </w:rPr>
      </w:pPr>
      <w:r>
        <w:rPr>
          <w:color w:val="231F20"/>
          <w:w w:val="110"/>
          <w:sz w:val="18"/>
        </w:rPr>
        <w:t>The conduct of the Hearing of the Appeal is in the hands of the Appeals Commission whose Convener will at the outset of the Hearing read out the decision of the Assembly</w:t>
      </w:r>
      <w:r>
        <w:rPr>
          <w:color w:val="231F20"/>
          <w:spacing w:val="2"/>
          <w:w w:val="110"/>
          <w:sz w:val="18"/>
        </w:rPr>
        <w:t> </w:t>
      </w:r>
      <w:r>
        <w:rPr>
          <w:color w:val="231F20"/>
          <w:w w:val="110"/>
          <w:sz w:val="18"/>
        </w:rPr>
        <w:t>Commission.</w:t>
      </w:r>
    </w:p>
    <w:p>
      <w:pPr>
        <w:pStyle w:val="BodyText"/>
        <w:spacing w:before="8"/>
        <w:rPr>
          <w:sz w:val="20"/>
        </w:rPr>
      </w:pPr>
    </w:p>
    <w:p>
      <w:pPr>
        <w:pStyle w:val="ListParagraph"/>
        <w:numPr>
          <w:ilvl w:val="2"/>
          <w:numId w:val="173"/>
        </w:numPr>
        <w:tabs>
          <w:tab w:pos="1239" w:val="left" w:leader="none"/>
        </w:tabs>
        <w:spacing w:line="240" w:lineRule="auto" w:before="1" w:after="0"/>
        <w:ind w:left="1238" w:right="0" w:hanging="721"/>
        <w:jc w:val="left"/>
        <w:rPr>
          <w:sz w:val="18"/>
        </w:rPr>
      </w:pPr>
      <w:r>
        <w:rPr>
          <w:color w:val="231F20"/>
          <w:w w:val="110"/>
          <w:sz w:val="18"/>
        </w:rPr>
        <w:t>The Convener will then </w:t>
      </w:r>
      <w:r>
        <w:rPr>
          <w:color w:val="231F20"/>
          <w:spacing w:val="-2"/>
          <w:w w:val="110"/>
          <w:sz w:val="18"/>
        </w:rPr>
        <w:t>invite </w:t>
      </w:r>
      <w:r>
        <w:rPr>
          <w:color w:val="231F20"/>
          <w:w w:val="110"/>
          <w:sz w:val="18"/>
        </w:rPr>
        <w:t>the Parties </w:t>
      </w:r>
      <w:r>
        <w:rPr>
          <w:color w:val="231F20"/>
          <w:spacing w:val="-3"/>
          <w:w w:val="110"/>
          <w:sz w:val="18"/>
        </w:rPr>
        <w:t>(commencing </w:t>
      </w:r>
      <w:r>
        <w:rPr>
          <w:color w:val="231F20"/>
          <w:w w:val="110"/>
          <w:sz w:val="18"/>
        </w:rPr>
        <w:t>with the </w:t>
      </w:r>
      <w:r>
        <w:rPr>
          <w:color w:val="231F20"/>
          <w:spacing w:val="-3"/>
          <w:w w:val="110"/>
          <w:sz w:val="18"/>
        </w:rPr>
        <w:t>appellant) </w:t>
      </w:r>
      <w:r>
        <w:rPr>
          <w:color w:val="231F20"/>
          <w:w w:val="110"/>
          <w:sz w:val="18"/>
        </w:rPr>
        <w:t>to</w:t>
      </w:r>
      <w:r>
        <w:rPr>
          <w:color w:val="231F20"/>
          <w:spacing w:val="-13"/>
          <w:w w:val="110"/>
          <w:sz w:val="18"/>
        </w:rPr>
        <w:t> </w:t>
      </w:r>
      <w:r>
        <w:rPr>
          <w:color w:val="231F20"/>
          <w:spacing w:val="-3"/>
          <w:w w:val="110"/>
          <w:sz w:val="18"/>
        </w:rPr>
        <w:t>make</w:t>
      </w:r>
    </w:p>
    <w:p>
      <w:pPr>
        <w:pStyle w:val="BodyText"/>
        <w:spacing w:before="31"/>
        <w:ind w:left="519"/>
      </w:pPr>
      <w:r>
        <w:rPr>
          <w:color w:val="231F20"/>
          <w:w w:val="110"/>
        </w:rPr>
        <w:t>oral representations to the Appeals Commission on the subject matter of the Appeal.</w:t>
      </w:r>
    </w:p>
    <w:p>
      <w:pPr>
        <w:pStyle w:val="BodyText"/>
        <w:spacing w:before="1"/>
        <w:rPr>
          <w:sz w:val="23"/>
        </w:rPr>
      </w:pPr>
    </w:p>
    <w:p>
      <w:pPr>
        <w:pStyle w:val="ListParagraph"/>
        <w:numPr>
          <w:ilvl w:val="2"/>
          <w:numId w:val="173"/>
        </w:numPr>
        <w:tabs>
          <w:tab w:pos="1388" w:val="left" w:leader="none"/>
        </w:tabs>
        <w:spacing w:line="240" w:lineRule="auto" w:before="0" w:after="0"/>
        <w:ind w:left="1387" w:right="0" w:hanging="875"/>
        <w:jc w:val="left"/>
        <w:rPr>
          <w:sz w:val="18"/>
        </w:rPr>
      </w:pPr>
      <w:r>
        <w:rPr>
          <w:color w:val="231F20"/>
          <w:w w:val="110"/>
          <w:sz w:val="18"/>
        </w:rPr>
        <w:t>The Hearing will then be</w:t>
      </w:r>
      <w:r>
        <w:rPr>
          <w:color w:val="231F20"/>
          <w:spacing w:val="6"/>
          <w:w w:val="110"/>
          <w:sz w:val="18"/>
        </w:rPr>
        <w:t> </w:t>
      </w:r>
      <w:r>
        <w:rPr>
          <w:color w:val="231F20"/>
          <w:w w:val="110"/>
          <w:sz w:val="18"/>
        </w:rPr>
        <w:t>concluded.</w:t>
      </w:r>
    </w:p>
    <w:p>
      <w:pPr>
        <w:pStyle w:val="BodyText"/>
        <w:spacing w:before="2"/>
        <w:rPr>
          <w:sz w:val="23"/>
        </w:rPr>
      </w:pPr>
    </w:p>
    <w:p>
      <w:pPr>
        <w:pStyle w:val="ListParagraph"/>
        <w:numPr>
          <w:ilvl w:val="1"/>
          <w:numId w:val="171"/>
        </w:numPr>
        <w:tabs>
          <w:tab w:pos="1234" w:val="left" w:leader="none"/>
        </w:tabs>
        <w:spacing w:line="273" w:lineRule="auto" w:before="0" w:after="0"/>
        <w:ind w:left="513" w:right="1939" w:firstLine="0"/>
        <w:jc w:val="both"/>
        <w:rPr>
          <w:sz w:val="18"/>
        </w:rPr>
      </w:pPr>
      <w:r>
        <w:rPr>
          <w:color w:val="231F20"/>
          <w:w w:val="110"/>
          <w:sz w:val="18"/>
        </w:rPr>
        <w:t>The Appeals Commission shall at the conclusion of the Hearing and all together but in the absence of the </w:t>
      </w:r>
      <w:r>
        <w:rPr>
          <w:color w:val="231F20"/>
          <w:spacing w:val="2"/>
          <w:w w:val="110"/>
          <w:sz w:val="18"/>
        </w:rPr>
        <w:t>Parties </w:t>
      </w:r>
      <w:r>
        <w:rPr>
          <w:color w:val="231F20"/>
          <w:w w:val="110"/>
          <w:sz w:val="18"/>
        </w:rPr>
        <w:t>and of the General </w:t>
      </w:r>
      <w:r>
        <w:rPr>
          <w:color w:val="231F20"/>
          <w:spacing w:val="3"/>
          <w:w w:val="110"/>
          <w:sz w:val="18"/>
        </w:rPr>
        <w:t>Secretary </w:t>
      </w:r>
      <w:r>
        <w:rPr>
          <w:color w:val="231F20"/>
          <w:w w:val="110"/>
          <w:sz w:val="18"/>
        </w:rPr>
        <w:t>and of the legal adviser consider and arrive at any of the following decisions (which may be taken unanimously or by a majority </w:t>
      </w:r>
      <w:r>
        <w:rPr>
          <w:color w:val="231F20"/>
          <w:spacing w:val="-3"/>
          <w:w w:val="110"/>
          <w:sz w:val="18"/>
        </w:rPr>
        <w:t>vote) </w:t>
      </w:r>
      <w:r>
        <w:rPr>
          <w:color w:val="231F20"/>
          <w:w w:val="110"/>
          <w:sz w:val="18"/>
        </w:rPr>
        <w:t>always having in mind Paragraph 3 of </w:t>
      </w:r>
      <w:r>
        <w:rPr>
          <w:color w:val="231F20"/>
          <w:spacing w:val="2"/>
          <w:w w:val="110"/>
          <w:sz w:val="18"/>
        </w:rPr>
        <w:t>Part</w:t>
      </w:r>
      <w:r>
        <w:rPr>
          <w:color w:val="231F20"/>
          <w:spacing w:val="35"/>
          <w:w w:val="110"/>
          <w:sz w:val="18"/>
        </w:rPr>
        <w:t> </w:t>
      </w:r>
      <w:r>
        <w:rPr>
          <w:color w:val="231F20"/>
          <w:spacing w:val="-5"/>
          <w:w w:val="110"/>
          <w:sz w:val="18"/>
        </w:rPr>
        <w:t>I:</w:t>
      </w:r>
    </w:p>
    <w:p>
      <w:pPr>
        <w:pStyle w:val="BodyText"/>
        <w:spacing w:before="9"/>
        <w:rPr>
          <w:sz w:val="20"/>
        </w:rPr>
      </w:pPr>
    </w:p>
    <w:p>
      <w:pPr>
        <w:pStyle w:val="ListParagraph"/>
        <w:numPr>
          <w:ilvl w:val="2"/>
          <w:numId w:val="171"/>
        </w:numPr>
        <w:tabs>
          <w:tab w:pos="1234" w:val="left" w:leader="none"/>
        </w:tabs>
        <w:spacing w:line="240" w:lineRule="auto" w:before="1" w:after="0"/>
        <w:ind w:left="1233" w:right="0" w:hanging="721"/>
        <w:jc w:val="left"/>
        <w:rPr>
          <w:sz w:val="18"/>
        </w:rPr>
      </w:pPr>
      <w:r>
        <w:rPr>
          <w:color w:val="231F20"/>
          <w:w w:val="110"/>
          <w:sz w:val="18"/>
        </w:rPr>
        <w:t>It may uphold the decision of the Assembly Commission to delete</w:t>
      </w:r>
      <w:r>
        <w:rPr>
          <w:color w:val="231F20"/>
          <w:spacing w:val="29"/>
          <w:w w:val="110"/>
          <w:sz w:val="18"/>
        </w:rPr>
        <w:t> </w:t>
      </w:r>
      <w:r>
        <w:rPr>
          <w:color w:val="231F20"/>
          <w:w w:val="110"/>
          <w:sz w:val="18"/>
        </w:rPr>
        <w:t>or</w:t>
      </w:r>
    </w:p>
    <w:p>
      <w:pPr>
        <w:pStyle w:val="BodyText"/>
        <w:spacing w:before="1"/>
        <w:rPr>
          <w:sz w:val="23"/>
        </w:rPr>
      </w:pPr>
    </w:p>
    <w:p>
      <w:pPr>
        <w:pStyle w:val="ListParagraph"/>
        <w:numPr>
          <w:ilvl w:val="2"/>
          <w:numId w:val="171"/>
        </w:numPr>
        <w:tabs>
          <w:tab w:pos="1234" w:val="left" w:leader="none"/>
        </w:tabs>
        <w:spacing w:line="273" w:lineRule="auto" w:before="0" w:after="0"/>
        <w:ind w:left="513" w:right="2199" w:firstLine="0"/>
        <w:jc w:val="both"/>
        <w:rPr>
          <w:sz w:val="18"/>
        </w:rPr>
      </w:pPr>
      <w:r>
        <w:rPr>
          <w:color w:val="231F20"/>
          <w:w w:val="110"/>
          <w:sz w:val="18"/>
        </w:rPr>
        <w:t>It may uphold in its </w:t>
      </w:r>
      <w:r>
        <w:rPr>
          <w:color w:val="231F20"/>
          <w:spacing w:val="2"/>
          <w:w w:val="110"/>
          <w:sz w:val="18"/>
        </w:rPr>
        <w:t>entirety </w:t>
      </w:r>
      <w:r>
        <w:rPr>
          <w:color w:val="231F20"/>
          <w:w w:val="110"/>
          <w:sz w:val="18"/>
        </w:rPr>
        <w:t>the decision of the Assembly Commission not to delete (whether or not this also includes a decision to issue a written warning to the Minister under Paragraph </w:t>
      </w:r>
      <w:r>
        <w:rPr>
          <w:color w:val="231F20"/>
          <w:spacing w:val="-6"/>
          <w:w w:val="110"/>
          <w:sz w:val="18"/>
        </w:rPr>
        <w:t>F.2.2)</w:t>
      </w:r>
      <w:r>
        <w:rPr>
          <w:color w:val="231F20"/>
          <w:spacing w:val="5"/>
          <w:w w:val="110"/>
          <w:sz w:val="18"/>
        </w:rPr>
        <w:t> </w:t>
      </w:r>
      <w:r>
        <w:rPr>
          <w:color w:val="231F20"/>
          <w:w w:val="110"/>
          <w:sz w:val="18"/>
        </w:rPr>
        <w:t>or</w:t>
      </w:r>
    </w:p>
    <w:p>
      <w:pPr>
        <w:pStyle w:val="BodyText"/>
        <w:spacing w:before="9"/>
        <w:rPr>
          <w:sz w:val="20"/>
        </w:rPr>
      </w:pPr>
    </w:p>
    <w:p>
      <w:pPr>
        <w:pStyle w:val="ListParagraph"/>
        <w:numPr>
          <w:ilvl w:val="2"/>
          <w:numId w:val="171"/>
        </w:numPr>
        <w:tabs>
          <w:tab w:pos="1234" w:val="left" w:leader="none"/>
        </w:tabs>
        <w:spacing w:line="273" w:lineRule="auto" w:before="0" w:after="0"/>
        <w:ind w:left="513" w:right="2018" w:firstLine="0"/>
        <w:jc w:val="left"/>
        <w:rPr>
          <w:sz w:val="18"/>
        </w:rPr>
      </w:pPr>
      <w:r>
        <w:rPr>
          <w:color w:val="231F20"/>
          <w:w w:val="110"/>
          <w:sz w:val="18"/>
        </w:rPr>
        <w:t>It may uphold the decision of the Assembly Commission not to delete, but in addition may issue a written warning to the Minister in the terms of Paragraph </w:t>
      </w:r>
      <w:r>
        <w:rPr>
          <w:color w:val="231F20"/>
          <w:spacing w:val="-5"/>
          <w:w w:val="110"/>
          <w:sz w:val="18"/>
        </w:rPr>
        <w:t>F.2.2 </w:t>
      </w:r>
      <w:r>
        <w:rPr>
          <w:color w:val="231F20"/>
          <w:w w:val="110"/>
          <w:sz w:val="18"/>
        </w:rPr>
        <w:t>if the Assembly Commission has not itself already done so</w:t>
      </w:r>
      <w:r>
        <w:rPr>
          <w:color w:val="231F20"/>
          <w:spacing w:val="26"/>
          <w:w w:val="110"/>
          <w:sz w:val="18"/>
        </w:rPr>
        <w:t> </w:t>
      </w:r>
      <w:r>
        <w:rPr>
          <w:color w:val="231F20"/>
          <w:w w:val="110"/>
          <w:sz w:val="18"/>
        </w:rPr>
        <w:t>or</w:t>
      </w:r>
    </w:p>
    <w:p>
      <w:pPr>
        <w:pStyle w:val="BodyText"/>
        <w:spacing w:before="9"/>
        <w:rPr>
          <w:sz w:val="20"/>
        </w:rPr>
      </w:pPr>
    </w:p>
    <w:p>
      <w:pPr>
        <w:pStyle w:val="ListParagraph"/>
        <w:numPr>
          <w:ilvl w:val="2"/>
          <w:numId w:val="171"/>
        </w:numPr>
        <w:tabs>
          <w:tab w:pos="1234" w:val="left" w:leader="none"/>
        </w:tabs>
        <w:spacing w:line="273" w:lineRule="auto" w:before="0" w:after="0"/>
        <w:ind w:left="513" w:right="1869" w:firstLine="0"/>
        <w:jc w:val="left"/>
        <w:rPr>
          <w:sz w:val="18"/>
        </w:rPr>
      </w:pPr>
      <w:r>
        <w:rPr>
          <w:color w:val="231F20"/>
          <w:w w:val="110"/>
          <w:sz w:val="18"/>
        </w:rPr>
        <w:t>If the Assembly Commission has decided not to delete but has issued a written warning to the Minister under Paragraph </w:t>
      </w:r>
      <w:r>
        <w:rPr>
          <w:color w:val="231F20"/>
          <w:spacing w:val="-5"/>
          <w:w w:val="110"/>
          <w:sz w:val="18"/>
        </w:rPr>
        <w:t>F.2.2 </w:t>
      </w:r>
      <w:r>
        <w:rPr>
          <w:color w:val="231F20"/>
          <w:w w:val="110"/>
          <w:sz w:val="18"/>
        </w:rPr>
        <w:t>the Appeals Commission may uphold the decision not to delete but may </w:t>
      </w:r>
      <w:r>
        <w:rPr>
          <w:color w:val="231F20"/>
          <w:spacing w:val="2"/>
          <w:w w:val="110"/>
          <w:sz w:val="18"/>
        </w:rPr>
        <w:t>direct </w:t>
      </w:r>
      <w:r>
        <w:rPr>
          <w:color w:val="231F20"/>
          <w:w w:val="110"/>
          <w:sz w:val="18"/>
        </w:rPr>
        <w:t>that the </w:t>
      </w:r>
      <w:r>
        <w:rPr>
          <w:color w:val="231F20"/>
          <w:spacing w:val="2"/>
          <w:w w:val="110"/>
          <w:sz w:val="18"/>
        </w:rPr>
        <w:t>written </w:t>
      </w:r>
      <w:r>
        <w:rPr>
          <w:color w:val="231F20"/>
          <w:w w:val="110"/>
          <w:sz w:val="18"/>
        </w:rPr>
        <w:t>warning be withdrawn</w:t>
      </w:r>
      <w:r>
        <w:rPr>
          <w:color w:val="231F20"/>
          <w:spacing w:val="58"/>
          <w:w w:val="110"/>
          <w:sz w:val="18"/>
        </w:rPr>
        <w:t> </w:t>
      </w:r>
      <w:r>
        <w:rPr>
          <w:color w:val="231F20"/>
          <w:w w:val="110"/>
          <w:sz w:val="18"/>
        </w:rPr>
        <w:t>or</w:t>
      </w:r>
    </w:p>
    <w:p>
      <w:pPr>
        <w:pStyle w:val="BodyText"/>
        <w:spacing w:before="9"/>
        <w:rPr>
          <w:sz w:val="20"/>
        </w:rPr>
      </w:pPr>
    </w:p>
    <w:p>
      <w:pPr>
        <w:pStyle w:val="ListParagraph"/>
        <w:numPr>
          <w:ilvl w:val="2"/>
          <w:numId w:val="171"/>
        </w:numPr>
        <w:tabs>
          <w:tab w:pos="1234" w:val="left" w:leader="none"/>
        </w:tabs>
        <w:spacing w:line="240" w:lineRule="auto" w:before="0" w:after="0"/>
        <w:ind w:left="1233" w:right="0" w:hanging="721"/>
        <w:jc w:val="left"/>
        <w:rPr>
          <w:sz w:val="18"/>
        </w:rPr>
      </w:pPr>
      <w:r>
        <w:rPr>
          <w:color w:val="231F20"/>
          <w:w w:val="110"/>
          <w:sz w:val="18"/>
        </w:rPr>
        <w:t>It may reverse the decision of the Assembly Commission not to delete</w:t>
      </w:r>
      <w:r>
        <w:rPr>
          <w:color w:val="231F20"/>
          <w:spacing w:val="39"/>
          <w:w w:val="110"/>
          <w:sz w:val="18"/>
        </w:rPr>
        <w:t> </w:t>
      </w:r>
      <w:r>
        <w:rPr>
          <w:color w:val="231F20"/>
          <w:w w:val="110"/>
          <w:sz w:val="18"/>
        </w:rPr>
        <w:t>or</w:t>
      </w:r>
    </w:p>
    <w:p>
      <w:pPr>
        <w:pStyle w:val="BodyText"/>
        <w:spacing w:before="1"/>
        <w:rPr>
          <w:sz w:val="23"/>
        </w:rPr>
      </w:pPr>
    </w:p>
    <w:p>
      <w:pPr>
        <w:pStyle w:val="ListParagraph"/>
        <w:numPr>
          <w:ilvl w:val="2"/>
          <w:numId w:val="171"/>
        </w:numPr>
        <w:tabs>
          <w:tab w:pos="1234" w:val="left" w:leader="none"/>
        </w:tabs>
        <w:spacing w:line="273" w:lineRule="auto" w:before="1" w:after="0"/>
        <w:ind w:left="513" w:right="2307" w:firstLine="0"/>
        <w:jc w:val="left"/>
        <w:rPr>
          <w:sz w:val="18"/>
        </w:rPr>
      </w:pPr>
      <w:r>
        <w:rPr>
          <w:color w:val="231F20"/>
          <w:w w:val="110"/>
          <w:sz w:val="18"/>
        </w:rPr>
        <w:t>It may reverse the decision of the Assembly Commission to delete, but may if it considers it appropriate issue a written warning to the Minister in the terms of Paragraph </w:t>
      </w:r>
      <w:r>
        <w:rPr>
          <w:color w:val="231F20"/>
          <w:spacing w:val="-5"/>
          <w:w w:val="110"/>
          <w:sz w:val="18"/>
        </w:rPr>
        <w:t>F.2.2</w:t>
      </w:r>
      <w:r>
        <w:rPr>
          <w:color w:val="231F20"/>
          <w:spacing w:val="1"/>
          <w:w w:val="110"/>
          <w:sz w:val="18"/>
        </w:rPr>
        <w:t> </w:t>
      </w:r>
      <w:r>
        <w:rPr>
          <w:color w:val="231F20"/>
          <w:w w:val="110"/>
          <w:sz w:val="18"/>
        </w:rPr>
        <w:t>or</w:t>
      </w:r>
    </w:p>
    <w:p>
      <w:pPr>
        <w:pStyle w:val="BodyText"/>
        <w:spacing w:before="8"/>
        <w:rPr>
          <w:sz w:val="20"/>
        </w:rPr>
      </w:pPr>
    </w:p>
    <w:p>
      <w:pPr>
        <w:pStyle w:val="ListParagraph"/>
        <w:numPr>
          <w:ilvl w:val="2"/>
          <w:numId w:val="171"/>
        </w:numPr>
        <w:tabs>
          <w:tab w:pos="1234" w:val="left" w:leader="none"/>
        </w:tabs>
        <w:spacing w:line="273" w:lineRule="auto" w:before="0" w:after="0"/>
        <w:ind w:left="514" w:right="1765" w:hanging="1"/>
        <w:jc w:val="left"/>
        <w:rPr>
          <w:sz w:val="18"/>
        </w:rPr>
      </w:pPr>
      <w:r>
        <w:rPr>
          <w:color w:val="231F20"/>
          <w:w w:val="110"/>
          <w:sz w:val="18"/>
        </w:rPr>
        <w:t>It </w:t>
      </w:r>
      <w:r>
        <w:rPr>
          <w:color w:val="231F20"/>
          <w:spacing w:val="-3"/>
          <w:w w:val="110"/>
          <w:sz w:val="18"/>
        </w:rPr>
        <w:t>may </w:t>
      </w:r>
      <w:r>
        <w:rPr>
          <w:color w:val="231F20"/>
          <w:w w:val="110"/>
          <w:sz w:val="18"/>
        </w:rPr>
        <w:t>refer the case for re-hearing by another duly constituted Assembly Commission (but only if it considers that there has been some procedural irregularity or serious misunderstanding by the Assembly Commission of the information before it or of </w:t>
      </w:r>
      <w:r>
        <w:rPr>
          <w:color w:val="231F20"/>
          <w:spacing w:val="-3"/>
          <w:w w:val="110"/>
          <w:sz w:val="18"/>
        </w:rPr>
        <w:t>any</w:t>
      </w:r>
      <w:r>
        <w:rPr>
          <w:color w:val="231F20"/>
          <w:spacing w:val="-7"/>
          <w:w w:val="110"/>
          <w:sz w:val="18"/>
        </w:rPr>
        <w:t> </w:t>
      </w:r>
      <w:r>
        <w:rPr>
          <w:color w:val="231F20"/>
          <w:w w:val="110"/>
          <w:sz w:val="18"/>
        </w:rPr>
        <w:t>aspect</w:t>
      </w:r>
      <w:r>
        <w:rPr>
          <w:color w:val="231F20"/>
          <w:spacing w:val="-6"/>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6"/>
          <w:w w:val="110"/>
          <w:sz w:val="18"/>
        </w:rPr>
        <w:t> </w:t>
      </w:r>
      <w:r>
        <w:rPr>
          <w:color w:val="231F20"/>
          <w:w w:val="110"/>
          <w:sz w:val="18"/>
        </w:rPr>
        <w:t>Section</w:t>
      </w:r>
      <w:r>
        <w:rPr>
          <w:color w:val="231F20"/>
          <w:spacing w:val="-6"/>
          <w:w w:val="110"/>
          <w:sz w:val="18"/>
        </w:rPr>
        <w:t> </w:t>
      </w:r>
      <w:r>
        <w:rPr>
          <w:color w:val="231F20"/>
          <w:w w:val="110"/>
          <w:sz w:val="18"/>
        </w:rPr>
        <w:t>O</w:t>
      </w:r>
      <w:r>
        <w:rPr>
          <w:color w:val="231F20"/>
          <w:spacing w:val="-6"/>
          <w:w w:val="110"/>
          <w:sz w:val="18"/>
        </w:rPr>
        <w:t> </w:t>
      </w:r>
      <w:r>
        <w:rPr>
          <w:color w:val="231F20"/>
          <w:w w:val="110"/>
          <w:sz w:val="18"/>
        </w:rPr>
        <w:t>Process</w:t>
      </w:r>
      <w:r>
        <w:rPr>
          <w:color w:val="231F20"/>
          <w:spacing w:val="-6"/>
          <w:w w:val="110"/>
          <w:sz w:val="18"/>
        </w:rPr>
        <w:t> </w:t>
      </w:r>
      <w:r>
        <w:rPr>
          <w:color w:val="231F20"/>
          <w:w w:val="110"/>
          <w:sz w:val="18"/>
        </w:rPr>
        <w:t>itself</w:t>
      </w:r>
      <w:r>
        <w:rPr>
          <w:color w:val="231F20"/>
          <w:spacing w:val="-6"/>
          <w:w w:val="110"/>
          <w:sz w:val="18"/>
        </w:rPr>
        <w:t> </w:t>
      </w:r>
      <w:r>
        <w:rPr>
          <w:color w:val="231F20"/>
          <w:w w:val="110"/>
          <w:sz w:val="18"/>
        </w:rPr>
        <w:t>or</w:t>
      </w:r>
      <w:r>
        <w:rPr>
          <w:color w:val="231F20"/>
          <w:spacing w:val="-6"/>
          <w:w w:val="110"/>
          <w:sz w:val="18"/>
        </w:rPr>
        <w:t> </w:t>
      </w:r>
      <w:r>
        <w:rPr>
          <w:color w:val="231F20"/>
          <w:w w:val="110"/>
          <w:sz w:val="18"/>
        </w:rPr>
        <w:t>if</w:t>
      </w:r>
      <w:r>
        <w:rPr>
          <w:color w:val="231F20"/>
          <w:spacing w:val="-6"/>
          <w:w w:val="110"/>
          <w:sz w:val="18"/>
        </w:rPr>
        <w:t> </w:t>
      </w:r>
      <w:r>
        <w:rPr>
          <w:color w:val="231F20"/>
          <w:w w:val="110"/>
          <w:sz w:val="18"/>
        </w:rPr>
        <w:t>material</w:t>
      </w:r>
      <w:r>
        <w:rPr>
          <w:color w:val="231F20"/>
          <w:spacing w:val="-5"/>
          <w:w w:val="110"/>
          <w:sz w:val="18"/>
        </w:rPr>
        <w:t> </w:t>
      </w:r>
      <w:r>
        <w:rPr>
          <w:color w:val="231F20"/>
          <w:w w:val="110"/>
          <w:sz w:val="18"/>
        </w:rPr>
        <w:t>new</w:t>
      </w:r>
      <w:r>
        <w:rPr>
          <w:color w:val="231F20"/>
          <w:spacing w:val="-6"/>
          <w:w w:val="110"/>
          <w:sz w:val="18"/>
        </w:rPr>
        <w:t> </w:t>
      </w:r>
      <w:r>
        <w:rPr>
          <w:color w:val="231F20"/>
          <w:w w:val="110"/>
          <w:sz w:val="18"/>
        </w:rPr>
        <w:t>information</w:t>
      </w:r>
      <w:r>
        <w:rPr>
          <w:color w:val="231F20"/>
          <w:spacing w:val="-6"/>
          <w:w w:val="110"/>
          <w:sz w:val="18"/>
        </w:rPr>
        <w:t> </w:t>
      </w:r>
      <w:r>
        <w:rPr>
          <w:color w:val="231F20"/>
          <w:w w:val="110"/>
          <w:sz w:val="18"/>
        </w:rPr>
        <w:t>becomes</w:t>
      </w:r>
      <w:r>
        <w:rPr>
          <w:color w:val="231F20"/>
          <w:spacing w:val="-6"/>
          <w:w w:val="110"/>
          <w:sz w:val="18"/>
        </w:rPr>
        <w:t> </w:t>
      </w:r>
      <w:r>
        <w:rPr>
          <w:color w:val="231F20"/>
          <w:w w:val="110"/>
          <w:sz w:val="18"/>
        </w:rPr>
        <w:t>available which could not reasonably </w:t>
      </w:r>
      <w:r>
        <w:rPr>
          <w:color w:val="231F20"/>
          <w:spacing w:val="-3"/>
          <w:w w:val="110"/>
          <w:sz w:val="18"/>
        </w:rPr>
        <w:t>have </w:t>
      </w:r>
      <w:r>
        <w:rPr>
          <w:color w:val="231F20"/>
          <w:w w:val="110"/>
          <w:sz w:val="18"/>
        </w:rPr>
        <w:t>been produced before the Assembly</w:t>
      </w:r>
      <w:r>
        <w:rPr>
          <w:color w:val="231F20"/>
          <w:spacing w:val="-43"/>
          <w:w w:val="110"/>
          <w:sz w:val="18"/>
        </w:rPr>
        <w:t> </w:t>
      </w:r>
      <w:r>
        <w:rPr>
          <w:color w:val="231F20"/>
          <w:spacing w:val="-3"/>
          <w:w w:val="110"/>
          <w:sz w:val="18"/>
        </w:rPr>
        <w:t>Commission).</w:t>
      </w:r>
    </w:p>
    <w:p>
      <w:pPr>
        <w:pStyle w:val="BodyText"/>
        <w:spacing w:before="10"/>
        <w:rPr>
          <w:sz w:val="20"/>
        </w:rPr>
      </w:pPr>
    </w:p>
    <w:p>
      <w:pPr>
        <w:pStyle w:val="ListParagraph"/>
        <w:numPr>
          <w:ilvl w:val="1"/>
          <w:numId w:val="171"/>
        </w:numPr>
        <w:tabs>
          <w:tab w:pos="1233" w:val="left" w:leader="none"/>
          <w:tab w:pos="1234" w:val="left" w:leader="none"/>
        </w:tabs>
        <w:spacing w:line="273" w:lineRule="auto" w:before="0" w:after="0"/>
        <w:ind w:left="513" w:right="1713" w:firstLine="0"/>
        <w:jc w:val="left"/>
        <w:rPr>
          <w:sz w:val="18"/>
        </w:rPr>
      </w:pPr>
      <w:r>
        <w:rPr>
          <w:color w:val="231F20"/>
          <w:spacing w:val="2"/>
          <w:w w:val="110"/>
          <w:sz w:val="18"/>
        </w:rPr>
        <w:t>There </w:t>
      </w:r>
      <w:r>
        <w:rPr>
          <w:color w:val="231F20"/>
          <w:w w:val="110"/>
          <w:sz w:val="18"/>
        </w:rPr>
        <w:t>shall be no appeal </w:t>
      </w:r>
      <w:r>
        <w:rPr>
          <w:color w:val="231F20"/>
          <w:spacing w:val="2"/>
          <w:w w:val="110"/>
          <w:sz w:val="18"/>
        </w:rPr>
        <w:t>from </w:t>
      </w:r>
      <w:r>
        <w:rPr>
          <w:color w:val="231F20"/>
          <w:w w:val="110"/>
          <w:sz w:val="18"/>
        </w:rPr>
        <w:t>the decision of the Appeals Commission and   (unless Paragraph </w:t>
      </w:r>
      <w:r>
        <w:rPr>
          <w:color w:val="231F20"/>
          <w:spacing w:val="-6"/>
          <w:w w:val="110"/>
          <w:sz w:val="18"/>
        </w:rPr>
        <w:t>G.11.7 </w:t>
      </w:r>
      <w:r>
        <w:rPr>
          <w:color w:val="231F20"/>
          <w:w w:val="110"/>
          <w:sz w:val="18"/>
        </w:rPr>
        <w:t>applies) the decision of the Appeals Commission shall bring the Minister’s Suspension to an</w:t>
      </w:r>
      <w:r>
        <w:rPr>
          <w:color w:val="231F20"/>
          <w:spacing w:val="5"/>
          <w:w w:val="110"/>
          <w:sz w:val="18"/>
        </w:rPr>
        <w:t> </w:t>
      </w:r>
      <w:r>
        <w:rPr>
          <w:color w:val="231F20"/>
          <w:w w:val="110"/>
          <w:sz w:val="18"/>
        </w:rPr>
        <w:t>end.</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71"/>
        </w:numPr>
        <w:tabs>
          <w:tab w:pos="1800" w:val="left" w:leader="none"/>
          <w:tab w:pos="1801" w:val="left" w:leader="none"/>
        </w:tabs>
        <w:spacing w:line="240" w:lineRule="auto" w:before="101" w:after="0"/>
        <w:ind w:left="1800" w:right="0" w:hanging="721"/>
        <w:jc w:val="left"/>
        <w:rPr>
          <w:sz w:val="18"/>
        </w:rPr>
      </w:pPr>
      <w:r>
        <w:rPr>
          <w:color w:val="231F20"/>
          <w:w w:val="110"/>
          <w:sz w:val="18"/>
        </w:rPr>
        <w:t>In recording its decision the Appeals Commission shall comply with the</w:t>
      </w:r>
      <w:r>
        <w:rPr>
          <w:color w:val="231F20"/>
          <w:spacing w:val="61"/>
          <w:w w:val="110"/>
          <w:sz w:val="18"/>
        </w:rPr>
        <w:t> </w:t>
      </w:r>
      <w:r>
        <w:rPr>
          <w:color w:val="231F20"/>
          <w:w w:val="110"/>
          <w:sz w:val="18"/>
        </w:rPr>
        <w:t>following:</w:t>
      </w:r>
    </w:p>
    <w:p>
      <w:pPr>
        <w:pStyle w:val="BodyText"/>
        <w:spacing w:before="1"/>
        <w:rPr>
          <w:sz w:val="23"/>
        </w:rPr>
      </w:pPr>
    </w:p>
    <w:p>
      <w:pPr>
        <w:pStyle w:val="ListParagraph"/>
        <w:numPr>
          <w:ilvl w:val="2"/>
          <w:numId w:val="171"/>
        </w:numPr>
        <w:tabs>
          <w:tab w:pos="1801" w:val="left" w:leader="none"/>
        </w:tabs>
        <w:spacing w:line="240" w:lineRule="auto" w:before="0" w:after="0"/>
        <w:ind w:left="1800" w:right="0" w:hanging="721"/>
        <w:jc w:val="left"/>
        <w:rPr>
          <w:sz w:val="18"/>
        </w:rPr>
      </w:pPr>
      <w:r>
        <w:rPr>
          <w:color w:val="231F20"/>
          <w:w w:val="110"/>
          <w:sz w:val="18"/>
        </w:rPr>
        <w:t>It shall state whether its decision is unanimous or by a</w:t>
      </w:r>
      <w:r>
        <w:rPr>
          <w:color w:val="231F20"/>
          <w:spacing w:val="25"/>
          <w:w w:val="110"/>
          <w:sz w:val="18"/>
        </w:rPr>
        <w:t> </w:t>
      </w:r>
      <w:r>
        <w:rPr>
          <w:color w:val="231F20"/>
          <w:w w:val="110"/>
          <w:sz w:val="18"/>
        </w:rPr>
        <w:t>majority.</w:t>
      </w:r>
    </w:p>
    <w:p>
      <w:pPr>
        <w:pStyle w:val="BodyText"/>
        <w:spacing w:before="2"/>
        <w:rPr>
          <w:sz w:val="23"/>
        </w:rPr>
      </w:pPr>
    </w:p>
    <w:p>
      <w:pPr>
        <w:pStyle w:val="ListParagraph"/>
        <w:numPr>
          <w:ilvl w:val="2"/>
          <w:numId w:val="171"/>
        </w:numPr>
        <w:tabs>
          <w:tab w:pos="1801" w:val="left" w:leader="none"/>
        </w:tabs>
        <w:spacing w:line="273" w:lineRule="auto" w:before="0" w:after="0"/>
        <w:ind w:left="1080" w:right="1883" w:firstLine="0"/>
        <w:jc w:val="left"/>
        <w:rPr>
          <w:sz w:val="18"/>
        </w:rPr>
      </w:pPr>
      <w:r>
        <w:rPr>
          <w:color w:val="231F20"/>
          <w:w w:val="110"/>
          <w:sz w:val="18"/>
        </w:rPr>
        <w:t>It shall set out any </w:t>
      </w:r>
      <w:r>
        <w:rPr>
          <w:color w:val="231F20"/>
          <w:spacing w:val="2"/>
          <w:w w:val="110"/>
          <w:sz w:val="18"/>
        </w:rPr>
        <w:t>written </w:t>
      </w:r>
      <w:r>
        <w:rPr>
          <w:color w:val="231F20"/>
          <w:w w:val="110"/>
          <w:sz w:val="18"/>
        </w:rPr>
        <w:t>warning issued to the Minister under Paragraph </w:t>
      </w:r>
      <w:r>
        <w:rPr>
          <w:color w:val="231F20"/>
          <w:spacing w:val="-4"/>
          <w:w w:val="110"/>
          <w:sz w:val="18"/>
        </w:rPr>
        <w:t>G.11.2, G.11.3 </w:t>
      </w:r>
      <w:r>
        <w:rPr>
          <w:color w:val="231F20"/>
          <w:w w:val="110"/>
          <w:sz w:val="18"/>
        </w:rPr>
        <w:t>or</w:t>
      </w:r>
      <w:r>
        <w:rPr>
          <w:color w:val="231F20"/>
          <w:spacing w:val="11"/>
          <w:w w:val="110"/>
          <w:sz w:val="18"/>
        </w:rPr>
        <w:t> </w:t>
      </w:r>
      <w:r>
        <w:rPr>
          <w:color w:val="231F20"/>
          <w:spacing w:val="-5"/>
          <w:w w:val="110"/>
          <w:sz w:val="18"/>
        </w:rPr>
        <w:t>G.11.6.</w:t>
      </w:r>
    </w:p>
    <w:p>
      <w:pPr>
        <w:pStyle w:val="BodyText"/>
        <w:spacing w:before="8"/>
        <w:rPr>
          <w:sz w:val="20"/>
        </w:rPr>
      </w:pPr>
    </w:p>
    <w:p>
      <w:pPr>
        <w:pStyle w:val="ListParagraph"/>
        <w:numPr>
          <w:ilvl w:val="2"/>
          <w:numId w:val="171"/>
        </w:numPr>
        <w:tabs>
          <w:tab w:pos="1801" w:val="left" w:leader="none"/>
        </w:tabs>
        <w:spacing w:line="273" w:lineRule="auto" w:before="0" w:after="0"/>
        <w:ind w:left="1080" w:right="1342" w:firstLine="0"/>
        <w:jc w:val="left"/>
        <w:rPr>
          <w:sz w:val="18"/>
        </w:rPr>
      </w:pPr>
      <w:r>
        <w:rPr>
          <w:color w:val="231F20"/>
          <w:w w:val="110"/>
          <w:sz w:val="18"/>
        </w:rPr>
        <w:t>It shall append a written statement of its reasons for reaching its decision, but shall not be obliged (unless it wishes to do </w:t>
      </w:r>
      <w:r>
        <w:rPr>
          <w:color w:val="231F20"/>
          <w:spacing w:val="-4"/>
          <w:w w:val="110"/>
          <w:sz w:val="18"/>
        </w:rPr>
        <w:t>so) </w:t>
      </w:r>
      <w:r>
        <w:rPr>
          <w:color w:val="231F20"/>
          <w:w w:val="110"/>
          <w:sz w:val="18"/>
        </w:rPr>
        <w:t>to comment in detail on all or any of the </w:t>
      </w:r>
      <w:r>
        <w:rPr>
          <w:color w:val="231F20"/>
          <w:spacing w:val="2"/>
          <w:w w:val="110"/>
          <w:sz w:val="18"/>
        </w:rPr>
        <w:t>matters </w:t>
      </w:r>
      <w:r>
        <w:rPr>
          <w:color w:val="231F20"/>
          <w:w w:val="110"/>
          <w:sz w:val="18"/>
        </w:rPr>
        <w:t>of evidence laid </w:t>
      </w:r>
      <w:r>
        <w:rPr>
          <w:color w:val="231F20"/>
          <w:spacing w:val="2"/>
          <w:w w:val="110"/>
          <w:sz w:val="18"/>
        </w:rPr>
        <w:t>before</w:t>
      </w:r>
      <w:r>
        <w:rPr>
          <w:color w:val="231F20"/>
          <w:spacing w:val="4"/>
          <w:w w:val="110"/>
          <w:sz w:val="18"/>
        </w:rPr>
        <w:t> </w:t>
      </w:r>
      <w:r>
        <w:rPr>
          <w:color w:val="231F20"/>
          <w:w w:val="110"/>
          <w:sz w:val="18"/>
        </w:rPr>
        <w:t>it.</w:t>
      </w:r>
    </w:p>
    <w:p>
      <w:pPr>
        <w:pStyle w:val="BodyText"/>
        <w:spacing w:before="9"/>
        <w:rPr>
          <w:sz w:val="20"/>
        </w:rPr>
      </w:pPr>
    </w:p>
    <w:p>
      <w:pPr>
        <w:pStyle w:val="ListParagraph"/>
        <w:numPr>
          <w:ilvl w:val="2"/>
          <w:numId w:val="171"/>
        </w:numPr>
        <w:tabs>
          <w:tab w:pos="1801" w:val="left" w:leader="none"/>
        </w:tabs>
        <w:spacing w:line="273" w:lineRule="auto" w:before="0" w:after="0"/>
        <w:ind w:left="1081" w:right="1148" w:hanging="1"/>
        <w:jc w:val="left"/>
        <w:rPr>
          <w:sz w:val="18"/>
        </w:rPr>
      </w:pPr>
      <w:r>
        <w:rPr>
          <w:color w:val="231F20"/>
          <w:spacing w:val="-3"/>
          <w:w w:val="110"/>
          <w:sz w:val="18"/>
        </w:rPr>
        <w:t>If </w:t>
      </w:r>
      <w:r>
        <w:rPr>
          <w:color w:val="231F20"/>
          <w:w w:val="110"/>
          <w:sz w:val="18"/>
        </w:rPr>
        <w:t>the decision is that the name of the Minister shall remain on the Roll of</w:t>
      </w:r>
      <w:r>
        <w:rPr>
          <w:color w:val="231F20"/>
          <w:spacing w:val="-33"/>
          <w:w w:val="110"/>
          <w:sz w:val="18"/>
        </w:rPr>
        <w:t> </w:t>
      </w:r>
      <w:r>
        <w:rPr>
          <w:color w:val="231F20"/>
          <w:w w:val="110"/>
          <w:sz w:val="18"/>
        </w:rPr>
        <w:t>Ministers, whether or not it also decides to issue a written warning, the Appeals Commission</w:t>
      </w:r>
      <w:r>
        <w:rPr>
          <w:color w:val="231F20"/>
          <w:spacing w:val="-13"/>
          <w:w w:val="110"/>
          <w:sz w:val="18"/>
        </w:rPr>
        <w:t> </w:t>
      </w:r>
      <w:r>
        <w:rPr>
          <w:color w:val="231F20"/>
          <w:spacing w:val="-3"/>
          <w:w w:val="110"/>
          <w:sz w:val="18"/>
        </w:rPr>
        <w:t>may</w:t>
      </w:r>
    </w:p>
    <w:p>
      <w:pPr>
        <w:pStyle w:val="BodyText"/>
        <w:spacing w:line="273" w:lineRule="auto" w:before="1"/>
        <w:ind w:left="1080" w:right="1457" w:firstLine="2"/>
      </w:pPr>
      <w:r>
        <w:rPr>
          <w:color w:val="231F20"/>
          <w:w w:val="110"/>
        </w:rPr>
        <w:t>in its written statement (see Paragraph G.13.3) append such recommendations to its decision as it considers will be helpful to moderators of synod, district councils, local churches, the General Secretary, the Deputy General Secretary, the Secretary for Ministries and others within the Church and also to any relevant Outside Organisation. It is emphasised that any such recommendations must relate to the future ministry of the Minister and that they will be advisory only and are not part of the decision.</w:t>
      </w:r>
    </w:p>
    <w:p>
      <w:pPr>
        <w:pStyle w:val="BodyText"/>
        <w:spacing w:before="11"/>
        <w:rPr>
          <w:sz w:val="20"/>
        </w:rPr>
      </w:pPr>
    </w:p>
    <w:p>
      <w:pPr>
        <w:pStyle w:val="ListParagraph"/>
        <w:numPr>
          <w:ilvl w:val="2"/>
          <w:numId w:val="171"/>
        </w:numPr>
        <w:tabs>
          <w:tab w:pos="1802" w:val="left" w:leader="none"/>
        </w:tabs>
        <w:spacing w:line="273" w:lineRule="auto" w:before="0" w:after="0"/>
        <w:ind w:left="1080" w:right="1565" w:firstLine="0"/>
        <w:jc w:val="left"/>
        <w:rPr>
          <w:sz w:val="18"/>
        </w:rPr>
      </w:pPr>
      <w:r>
        <w:rPr>
          <w:color w:val="231F20"/>
          <w:w w:val="110"/>
          <w:sz w:val="18"/>
        </w:rPr>
        <w:t>If the decision is to delete the name of the Minister </w:t>
      </w:r>
      <w:r>
        <w:rPr>
          <w:color w:val="231F20"/>
          <w:spacing w:val="2"/>
          <w:w w:val="110"/>
          <w:sz w:val="18"/>
        </w:rPr>
        <w:t>from </w:t>
      </w:r>
      <w:r>
        <w:rPr>
          <w:color w:val="231F20"/>
          <w:w w:val="110"/>
          <w:sz w:val="18"/>
        </w:rPr>
        <w:t>the Roll of Ministers, the Appeals Commission is particularly requested to include in its </w:t>
      </w:r>
      <w:r>
        <w:rPr>
          <w:color w:val="231F20"/>
          <w:spacing w:val="2"/>
          <w:w w:val="110"/>
          <w:sz w:val="18"/>
        </w:rPr>
        <w:t>written </w:t>
      </w:r>
      <w:r>
        <w:rPr>
          <w:color w:val="231F20"/>
          <w:w w:val="110"/>
          <w:sz w:val="18"/>
        </w:rPr>
        <w:t>statement (see Paragraph </w:t>
      </w:r>
      <w:r>
        <w:rPr>
          <w:color w:val="231F20"/>
          <w:spacing w:val="-7"/>
          <w:w w:val="110"/>
          <w:sz w:val="18"/>
        </w:rPr>
        <w:t>F.3.3) </w:t>
      </w:r>
      <w:r>
        <w:rPr>
          <w:color w:val="231F20"/>
          <w:w w:val="110"/>
          <w:sz w:val="18"/>
        </w:rPr>
        <w:t>appropriate guidance concerning any </w:t>
      </w:r>
      <w:r>
        <w:rPr>
          <w:color w:val="231F20"/>
          <w:spacing w:val="2"/>
          <w:w w:val="110"/>
          <w:sz w:val="18"/>
        </w:rPr>
        <w:t>restrictions </w:t>
      </w:r>
      <w:r>
        <w:rPr>
          <w:color w:val="231F20"/>
          <w:w w:val="110"/>
          <w:sz w:val="18"/>
        </w:rPr>
        <w:t>which it considers ought to be placed upon any activities involving the Minister </w:t>
      </w:r>
      <w:r>
        <w:rPr>
          <w:color w:val="231F20"/>
          <w:spacing w:val="2"/>
          <w:w w:val="110"/>
          <w:sz w:val="18"/>
        </w:rPr>
        <w:t>after </w:t>
      </w:r>
      <w:r>
        <w:rPr>
          <w:color w:val="231F20"/>
          <w:w w:val="110"/>
          <w:sz w:val="18"/>
        </w:rPr>
        <w:t>his/her deletion with the object of assisting moderators of synod, </w:t>
      </w:r>
      <w:r>
        <w:rPr>
          <w:color w:val="231F20"/>
          <w:spacing w:val="2"/>
          <w:w w:val="110"/>
          <w:sz w:val="18"/>
        </w:rPr>
        <w:t>district </w:t>
      </w:r>
      <w:r>
        <w:rPr>
          <w:color w:val="231F20"/>
          <w:w w:val="110"/>
          <w:sz w:val="18"/>
        </w:rPr>
        <w:t>councils, local churches, the General Secretary, the Deputy General Secretary, the </w:t>
      </w:r>
      <w:r>
        <w:rPr>
          <w:color w:val="231F20"/>
          <w:spacing w:val="3"/>
          <w:w w:val="110"/>
          <w:sz w:val="18"/>
        </w:rPr>
        <w:t>Secretary </w:t>
      </w:r>
      <w:r>
        <w:rPr>
          <w:color w:val="231F20"/>
          <w:w w:val="110"/>
          <w:sz w:val="18"/>
        </w:rPr>
        <w:t>for Ministries and others within the Church and also any relevant Outside Organisation.  It is emphasised that any such guidance is of an </w:t>
      </w:r>
      <w:r>
        <w:rPr>
          <w:color w:val="231F20"/>
          <w:spacing w:val="2"/>
          <w:w w:val="110"/>
          <w:sz w:val="18"/>
        </w:rPr>
        <w:t>advisory </w:t>
      </w:r>
      <w:r>
        <w:rPr>
          <w:color w:val="231F20"/>
          <w:w w:val="110"/>
          <w:sz w:val="18"/>
        </w:rPr>
        <w:t>nature and does not form </w:t>
      </w:r>
      <w:r>
        <w:rPr>
          <w:color w:val="231F20"/>
          <w:spacing w:val="2"/>
          <w:w w:val="110"/>
          <w:sz w:val="18"/>
        </w:rPr>
        <w:t>part </w:t>
      </w:r>
      <w:r>
        <w:rPr>
          <w:color w:val="231F20"/>
          <w:w w:val="110"/>
          <w:sz w:val="18"/>
        </w:rPr>
        <w:t>of the</w:t>
      </w:r>
      <w:r>
        <w:rPr>
          <w:color w:val="231F20"/>
          <w:spacing w:val="1"/>
          <w:w w:val="110"/>
          <w:sz w:val="18"/>
        </w:rPr>
        <w:t> </w:t>
      </w:r>
      <w:r>
        <w:rPr>
          <w:color w:val="231F20"/>
          <w:w w:val="110"/>
          <w:sz w:val="18"/>
        </w:rPr>
        <w:t>decision.</w:t>
      </w:r>
    </w:p>
    <w:p>
      <w:pPr>
        <w:pStyle w:val="BodyText"/>
        <w:rPr>
          <w:sz w:val="21"/>
        </w:rPr>
      </w:pPr>
    </w:p>
    <w:p>
      <w:pPr>
        <w:pStyle w:val="ListParagraph"/>
        <w:numPr>
          <w:ilvl w:val="2"/>
          <w:numId w:val="171"/>
        </w:numPr>
        <w:tabs>
          <w:tab w:pos="1801" w:val="left" w:leader="none"/>
        </w:tabs>
        <w:spacing w:line="273" w:lineRule="auto" w:before="0" w:after="0"/>
        <w:ind w:left="1080" w:right="1592" w:firstLine="0"/>
        <w:jc w:val="left"/>
        <w:rPr>
          <w:sz w:val="18"/>
        </w:rPr>
      </w:pPr>
      <w:r>
        <w:rPr>
          <w:color w:val="231F20"/>
          <w:w w:val="110"/>
          <w:sz w:val="18"/>
        </w:rPr>
        <w:t>In addition to its power to make recommendations or to </w:t>
      </w:r>
      <w:r>
        <w:rPr>
          <w:color w:val="231F20"/>
          <w:spacing w:val="2"/>
          <w:w w:val="110"/>
          <w:sz w:val="18"/>
        </w:rPr>
        <w:t>offer </w:t>
      </w:r>
      <w:r>
        <w:rPr>
          <w:color w:val="231F20"/>
          <w:w w:val="110"/>
          <w:sz w:val="18"/>
        </w:rPr>
        <w:t>guidance under Paragraph </w:t>
      </w:r>
      <w:r>
        <w:rPr>
          <w:color w:val="231F20"/>
          <w:spacing w:val="-4"/>
          <w:w w:val="110"/>
          <w:sz w:val="18"/>
        </w:rPr>
        <w:t>G.13.4 </w:t>
      </w:r>
      <w:r>
        <w:rPr>
          <w:color w:val="231F20"/>
          <w:w w:val="110"/>
          <w:sz w:val="18"/>
        </w:rPr>
        <w:t>or Paragraph </w:t>
      </w:r>
      <w:r>
        <w:rPr>
          <w:color w:val="231F20"/>
          <w:spacing w:val="-3"/>
          <w:w w:val="110"/>
          <w:sz w:val="18"/>
        </w:rPr>
        <w:t>G.13.5 </w:t>
      </w:r>
      <w:r>
        <w:rPr>
          <w:color w:val="231F20"/>
          <w:w w:val="110"/>
          <w:sz w:val="18"/>
        </w:rPr>
        <w:t>respectively, the Appeals Commission may if  it </w:t>
      </w:r>
      <w:r>
        <w:rPr>
          <w:color w:val="231F20"/>
          <w:spacing w:val="2"/>
          <w:w w:val="110"/>
          <w:sz w:val="18"/>
        </w:rPr>
        <w:t>sees </w:t>
      </w:r>
      <w:r>
        <w:rPr>
          <w:color w:val="231F20"/>
          <w:w w:val="110"/>
          <w:sz w:val="18"/>
        </w:rPr>
        <w:t>fit endorse, overrule, </w:t>
      </w:r>
      <w:r>
        <w:rPr>
          <w:color w:val="231F20"/>
          <w:spacing w:val="2"/>
          <w:w w:val="110"/>
          <w:sz w:val="18"/>
        </w:rPr>
        <w:t>vary </w:t>
      </w:r>
      <w:r>
        <w:rPr>
          <w:color w:val="231F20"/>
          <w:w w:val="110"/>
          <w:sz w:val="18"/>
        </w:rPr>
        <w:t>or </w:t>
      </w:r>
      <w:r>
        <w:rPr>
          <w:color w:val="231F20"/>
          <w:spacing w:val="2"/>
          <w:w w:val="110"/>
          <w:sz w:val="18"/>
        </w:rPr>
        <w:t>modify </w:t>
      </w:r>
      <w:r>
        <w:rPr>
          <w:color w:val="231F20"/>
          <w:w w:val="110"/>
          <w:sz w:val="18"/>
        </w:rPr>
        <w:t>in any way any recommendation made  or guidance </w:t>
      </w:r>
      <w:r>
        <w:rPr>
          <w:color w:val="231F20"/>
          <w:spacing w:val="3"/>
          <w:w w:val="110"/>
          <w:sz w:val="18"/>
        </w:rPr>
        <w:t>offered </w:t>
      </w:r>
      <w:r>
        <w:rPr>
          <w:color w:val="231F20"/>
          <w:w w:val="110"/>
          <w:sz w:val="18"/>
        </w:rPr>
        <w:t>by the Assembly Commission in the </w:t>
      </w:r>
      <w:r>
        <w:rPr>
          <w:color w:val="231F20"/>
          <w:spacing w:val="2"/>
          <w:w w:val="110"/>
          <w:sz w:val="18"/>
        </w:rPr>
        <w:t>case </w:t>
      </w:r>
      <w:r>
        <w:rPr>
          <w:color w:val="231F20"/>
          <w:w w:val="110"/>
          <w:sz w:val="18"/>
        </w:rPr>
        <w:t>in question. For the avoidance of duplication, the Decision Record shall in every </w:t>
      </w:r>
      <w:r>
        <w:rPr>
          <w:color w:val="231F20"/>
          <w:spacing w:val="2"/>
          <w:w w:val="110"/>
          <w:sz w:val="18"/>
        </w:rPr>
        <w:t>case </w:t>
      </w:r>
      <w:r>
        <w:rPr>
          <w:color w:val="231F20"/>
          <w:w w:val="110"/>
          <w:sz w:val="18"/>
        </w:rPr>
        <w:t>set out in full any recommendations or guidance issued by the Appeals Commission, even where they simply </w:t>
      </w:r>
      <w:r>
        <w:rPr>
          <w:color w:val="231F20"/>
          <w:spacing w:val="2"/>
          <w:w w:val="110"/>
          <w:sz w:val="18"/>
        </w:rPr>
        <w:t>endorse </w:t>
      </w:r>
      <w:r>
        <w:rPr>
          <w:color w:val="231F20"/>
          <w:w w:val="110"/>
          <w:sz w:val="18"/>
        </w:rPr>
        <w:t>those issued by the Assembly Commission in their</w:t>
      </w:r>
      <w:r>
        <w:rPr>
          <w:color w:val="231F20"/>
          <w:spacing w:val="56"/>
          <w:w w:val="110"/>
          <w:sz w:val="18"/>
        </w:rPr>
        <w:t> </w:t>
      </w:r>
      <w:r>
        <w:rPr>
          <w:color w:val="231F20"/>
          <w:w w:val="110"/>
          <w:sz w:val="18"/>
        </w:rPr>
        <w:t>entirety.</w:t>
      </w:r>
    </w:p>
    <w:p>
      <w:pPr>
        <w:pStyle w:val="BodyText"/>
        <w:spacing w:before="11"/>
        <w:rPr>
          <w:sz w:val="20"/>
        </w:rPr>
      </w:pPr>
    </w:p>
    <w:p>
      <w:pPr>
        <w:pStyle w:val="ListParagraph"/>
        <w:numPr>
          <w:ilvl w:val="1"/>
          <w:numId w:val="171"/>
        </w:numPr>
        <w:tabs>
          <w:tab w:pos="1800" w:val="left" w:leader="none"/>
          <w:tab w:pos="1801" w:val="left" w:leader="none"/>
        </w:tabs>
        <w:spacing w:line="240" w:lineRule="auto" w:before="1" w:after="0"/>
        <w:ind w:left="1800" w:right="0" w:hanging="721"/>
        <w:jc w:val="left"/>
        <w:rPr>
          <w:sz w:val="18"/>
        </w:rPr>
      </w:pPr>
      <w:r>
        <w:rPr>
          <w:color w:val="231F20"/>
          <w:spacing w:val="3"/>
          <w:w w:val="110"/>
          <w:sz w:val="18"/>
        </w:rPr>
        <w:t>As </w:t>
      </w:r>
      <w:r>
        <w:rPr>
          <w:color w:val="231F20"/>
          <w:w w:val="110"/>
          <w:sz w:val="18"/>
        </w:rPr>
        <w:t>regards the notification of the decision, the General </w:t>
      </w:r>
      <w:r>
        <w:rPr>
          <w:color w:val="231F20"/>
          <w:spacing w:val="3"/>
          <w:w w:val="110"/>
          <w:sz w:val="18"/>
        </w:rPr>
        <w:t>Secretary </w:t>
      </w:r>
      <w:r>
        <w:rPr>
          <w:color w:val="231F20"/>
          <w:w w:val="110"/>
          <w:sz w:val="18"/>
        </w:rPr>
        <w:t>shall</w:t>
      </w:r>
      <w:r>
        <w:rPr>
          <w:color w:val="231F20"/>
          <w:spacing w:val="46"/>
          <w:w w:val="110"/>
          <w:sz w:val="18"/>
        </w:rPr>
        <w:t> </w:t>
      </w:r>
      <w:r>
        <w:rPr>
          <w:color w:val="231F20"/>
          <w:w w:val="110"/>
          <w:sz w:val="18"/>
        </w:rPr>
        <w:t>comply</w:t>
      </w:r>
    </w:p>
    <w:p>
      <w:pPr>
        <w:pStyle w:val="BodyText"/>
        <w:spacing w:before="31"/>
        <w:ind w:left="1080"/>
      </w:pPr>
      <w:r>
        <w:rPr>
          <w:color w:val="231F20"/>
          <w:w w:val="110"/>
        </w:rPr>
        <w:t>with the following:</w:t>
      </w:r>
    </w:p>
    <w:p>
      <w:pPr>
        <w:pStyle w:val="BodyText"/>
        <w:spacing w:before="1"/>
        <w:rPr>
          <w:sz w:val="23"/>
        </w:rPr>
      </w:pPr>
    </w:p>
    <w:p>
      <w:pPr>
        <w:pStyle w:val="ListParagraph"/>
        <w:numPr>
          <w:ilvl w:val="2"/>
          <w:numId w:val="171"/>
        </w:numPr>
        <w:tabs>
          <w:tab w:pos="1801" w:val="left" w:leader="none"/>
        </w:tabs>
        <w:spacing w:line="273" w:lineRule="auto" w:before="1" w:after="0"/>
        <w:ind w:left="1080" w:right="1149" w:firstLine="0"/>
        <w:jc w:val="left"/>
        <w:rPr>
          <w:sz w:val="18"/>
        </w:rPr>
      </w:pPr>
      <w:r>
        <w:rPr>
          <w:color w:val="231F20"/>
          <w:w w:val="110"/>
          <w:sz w:val="18"/>
        </w:rPr>
        <w:t>S/he shall within </w:t>
      </w:r>
      <w:r>
        <w:rPr>
          <w:color w:val="231F20"/>
          <w:spacing w:val="-4"/>
          <w:w w:val="110"/>
          <w:sz w:val="18"/>
        </w:rPr>
        <w:t>10 </w:t>
      </w:r>
      <w:r>
        <w:rPr>
          <w:color w:val="231F20"/>
          <w:w w:val="110"/>
          <w:sz w:val="18"/>
        </w:rPr>
        <w:t>days of the date of the decision </w:t>
      </w:r>
      <w:r>
        <w:rPr>
          <w:color w:val="231F20"/>
          <w:spacing w:val="2"/>
          <w:w w:val="110"/>
          <w:sz w:val="18"/>
        </w:rPr>
        <w:t>serve </w:t>
      </w:r>
      <w:r>
        <w:rPr>
          <w:color w:val="231F20"/>
          <w:w w:val="110"/>
          <w:sz w:val="18"/>
        </w:rPr>
        <w:t>on the Minister and the Mandated Group notice of the decision and of the </w:t>
      </w:r>
      <w:r>
        <w:rPr>
          <w:color w:val="231F20"/>
          <w:spacing w:val="2"/>
          <w:w w:val="110"/>
          <w:sz w:val="18"/>
        </w:rPr>
        <w:t>written </w:t>
      </w:r>
      <w:r>
        <w:rPr>
          <w:color w:val="231F20"/>
          <w:w w:val="110"/>
          <w:sz w:val="18"/>
        </w:rPr>
        <w:t>Statement of Reasons given under Paragraph </w:t>
      </w:r>
      <w:r>
        <w:rPr>
          <w:color w:val="231F20"/>
          <w:spacing w:val="-4"/>
          <w:w w:val="110"/>
          <w:sz w:val="18"/>
        </w:rPr>
        <w:t>G.13 </w:t>
      </w:r>
      <w:r>
        <w:rPr>
          <w:color w:val="231F20"/>
          <w:w w:val="110"/>
          <w:sz w:val="18"/>
        </w:rPr>
        <w:t>and such Notice shall (unless Paragraph </w:t>
      </w:r>
      <w:r>
        <w:rPr>
          <w:color w:val="231F20"/>
          <w:spacing w:val="-6"/>
          <w:w w:val="110"/>
          <w:sz w:val="18"/>
        </w:rPr>
        <w:t>G.11.7 </w:t>
      </w:r>
      <w:r>
        <w:rPr>
          <w:color w:val="231F20"/>
          <w:w w:val="110"/>
          <w:sz w:val="18"/>
        </w:rPr>
        <w:t>applies) state that the</w:t>
      </w:r>
      <w:r>
        <w:rPr>
          <w:color w:val="231F20"/>
          <w:spacing w:val="8"/>
          <w:w w:val="110"/>
          <w:sz w:val="18"/>
        </w:rPr>
        <w:t> </w:t>
      </w:r>
      <w:r>
        <w:rPr>
          <w:color w:val="231F20"/>
          <w:w w:val="110"/>
          <w:sz w:val="18"/>
        </w:rPr>
        <w:t>Minister’s</w:t>
      </w:r>
      <w:r>
        <w:rPr>
          <w:color w:val="231F20"/>
          <w:spacing w:val="9"/>
          <w:w w:val="110"/>
          <w:sz w:val="18"/>
        </w:rPr>
        <w:t> </w:t>
      </w:r>
      <w:r>
        <w:rPr>
          <w:color w:val="231F20"/>
          <w:w w:val="110"/>
          <w:sz w:val="18"/>
        </w:rPr>
        <w:t>Suspension</w:t>
      </w:r>
      <w:r>
        <w:rPr>
          <w:color w:val="231F20"/>
          <w:spacing w:val="8"/>
          <w:w w:val="110"/>
          <w:sz w:val="18"/>
        </w:rPr>
        <w:t> </w:t>
      </w:r>
      <w:r>
        <w:rPr>
          <w:color w:val="231F20"/>
          <w:w w:val="110"/>
          <w:sz w:val="18"/>
        </w:rPr>
        <w:t>ceased</w:t>
      </w:r>
      <w:r>
        <w:rPr>
          <w:color w:val="231F20"/>
          <w:spacing w:val="9"/>
          <w:w w:val="110"/>
          <w:sz w:val="18"/>
        </w:rPr>
        <w:t> </w:t>
      </w:r>
      <w:r>
        <w:rPr>
          <w:color w:val="231F20"/>
          <w:w w:val="110"/>
          <w:sz w:val="18"/>
        </w:rPr>
        <w:t>on</w:t>
      </w:r>
      <w:r>
        <w:rPr>
          <w:color w:val="231F20"/>
          <w:spacing w:val="8"/>
          <w:w w:val="110"/>
          <w:sz w:val="18"/>
        </w:rPr>
        <w:t> </w:t>
      </w:r>
      <w:r>
        <w:rPr>
          <w:color w:val="231F20"/>
          <w:w w:val="110"/>
          <w:sz w:val="18"/>
        </w:rPr>
        <w:t>the</w:t>
      </w:r>
      <w:r>
        <w:rPr>
          <w:color w:val="231F20"/>
          <w:spacing w:val="9"/>
          <w:w w:val="110"/>
          <w:sz w:val="18"/>
        </w:rPr>
        <w:t> </w:t>
      </w:r>
      <w:r>
        <w:rPr>
          <w:color w:val="231F20"/>
          <w:w w:val="110"/>
          <w:sz w:val="18"/>
        </w:rPr>
        <w:t>date</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8"/>
          <w:w w:val="110"/>
          <w:sz w:val="18"/>
        </w:rPr>
        <w:t> </w:t>
      </w:r>
      <w:r>
        <w:rPr>
          <w:color w:val="231F20"/>
          <w:w w:val="110"/>
          <w:sz w:val="18"/>
        </w:rPr>
        <w:t>Appeals</w:t>
      </w:r>
      <w:r>
        <w:rPr>
          <w:color w:val="231F20"/>
          <w:spacing w:val="9"/>
          <w:w w:val="110"/>
          <w:sz w:val="18"/>
        </w:rPr>
        <w:t> </w:t>
      </w:r>
      <w:r>
        <w:rPr>
          <w:color w:val="231F20"/>
          <w:w w:val="110"/>
          <w:sz w:val="18"/>
        </w:rPr>
        <w:t>Commission’s</w:t>
      </w:r>
      <w:r>
        <w:rPr>
          <w:color w:val="231F20"/>
          <w:spacing w:val="8"/>
          <w:w w:val="110"/>
          <w:sz w:val="18"/>
        </w:rPr>
        <w:t> </w:t>
      </w:r>
      <w:r>
        <w:rPr>
          <w:color w:val="231F20"/>
          <w:w w:val="110"/>
          <w:sz w:val="18"/>
        </w:rPr>
        <w:t>decision.</w:t>
      </w:r>
    </w:p>
    <w:p>
      <w:pPr>
        <w:pStyle w:val="BodyText"/>
        <w:spacing w:before="9"/>
        <w:rPr>
          <w:sz w:val="20"/>
        </w:rPr>
      </w:pPr>
    </w:p>
    <w:p>
      <w:pPr>
        <w:pStyle w:val="ListParagraph"/>
        <w:numPr>
          <w:ilvl w:val="2"/>
          <w:numId w:val="171"/>
        </w:numPr>
        <w:tabs>
          <w:tab w:pos="1801" w:val="left" w:leader="none"/>
        </w:tabs>
        <w:spacing w:line="273" w:lineRule="auto" w:before="0" w:after="0"/>
        <w:ind w:left="1080" w:right="1312" w:hanging="1"/>
        <w:jc w:val="left"/>
        <w:rPr>
          <w:sz w:val="18"/>
        </w:rPr>
      </w:pPr>
      <w:r>
        <w:rPr>
          <w:color w:val="231F20"/>
          <w:w w:val="110"/>
          <w:sz w:val="18"/>
        </w:rPr>
        <w:t>If </w:t>
      </w:r>
      <w:r>
        <w:rPr>
          <w:color w:val="231F20"/>
          <w:spacing w:val="2"/>
          <w:w w:val="110"/>
          <w:sz w:val="18"/>
        </w:rPr>
        <w:t>the </w:t>
      </w:r>
      <w:r>
        <w:rPr>
          <w:color w:val="231F20"/>
          <w:spacing w:val="3"/>
          <w:w w:val="110"/>
          <w:sz w:val="18"/>
        </w:rPr>
        <w:t>decision </w:t>
      </w:r>
      <w:r>
        <w:rPr>
          <w:color w:val="231F20"/>
          <w:w w:val="110"/>
          <w:sz w:val="18"/>
        </w:rPr>
        <w:t>is taken in </w:t>
      </w:r>
      <w:r>
        <w:rPr>
          <w:color w:val="231F20"/>
          <w:spacing w:val="3"/>
          <w:w w:val="110"/>
          <w:sz w:val="18"/>
        </w:rPr>
        <w:t>accordance </w:t>
      </w:r>
      <w:r>
        <w:rPr>
          <w:color w:val="231F20"/>
          <w:spacing w:val="2"/>
          <w:w w:val="110"/>
          <w:sz w:val="18"/>
        </w:rPr>
        <w:t>with </w:t>
      </w:r>
      <w:r>
        <w:rPr>
          <w:color w:val="231F20"/>
          <w:spacing w:val="3"/>
          <w:w w:val="110"/>
          <w:sz w:val="18"/>
        </w:rPr>
        <w:t>either </w:t>
      </w:r>
      <w:r>
        <w:rPr>
          <w:color w:val="231F20"/>
          <w:spacing w:val="2"/>
          <w:w w:val="110"/>
          <w:sz w:val="18"/>
        </w:rPr>
        <w:t>Paragraph </w:t>
      </w:r>
      <w:r>
        <w:rPr>
          <w:color w:val="231F20"/>
          <w:spacing w:val="-3"/>
          <w:w w:val="110"/>
          <w:sz w:val="18"/>
        </w:rPr>
        <w:t>G.11.3 </w:t>
      </w:r>
      <w:r>
        <w:rPr>
          <w:color w:val="231F20"/>
          <w:w w:val="110"/>
          <w:sz w:val="18"/>
        </w:rPr>
        <w:t>or  </w:t>
      </w:r>
      <w:r>
        <w:rPr>
          <w:color w:val="231F20"/>
          <w:spacing w:val="2"/>
          <w:w w:val="110"/>
          <w:sz w:val="18"/>
        </w:rPr>
        <w:t>Paragraph </w:t>
      </w:r>
      <w:r>
        <w:rPr>
          <w:color w:val="231F20"/>
          <w:spacing w:val="-3"/>
          <w:w w:val="110"/>
          <w:sz w:val="18"/>
        </w:rPr>
        <w:t>G.11.6, </w:t>
      </w:r>
      <w:r>
        <w:rPr>
          <w:color w:val="231F20"/>
          <w:spacing w:val="2"/>
          <w:w w:val="110"/>
          <w:sz w:val="18"/>
        </w:rPr>
        <w:t>the </w:t>
      </w:r>
      <w:r>
        <w:rPr>
          <w:color w:val="231F20"/>
          <w:spacing w:val="3"/>
          <w:w w:val="110"/>
          <w:sz w:val="18"/>
        </w:rPr>
        <w:t>General </w:t>
      </w:r>
      <w:r>
        <w:rPr>
          <w:color w:val="231F20"/>
          <w:spacing w:val="5"/>
          <w:w w:val="110"/>
          <w:sz w:val="18"/>
        </w:rPr>
        <w:t>Secretary </w:t>
      </w:r>
      <w:r>
        <w:rPr>
          <w:color w:val="231F20"/>
          <w:w w:val="110"/>
          <w:sz w:val="18"/>
        </w:rPr>
        <w:t>shall at </w:t>
      </w:r>
      <w:r>
        <w:rPr>
          <w:color w:val="231F20"/>
          <w:spacing w:val="2"/>
          <w:w w:val="110"/>
          <w:sz w:val="18"/>
        </w:rPr>
        <w:t>the same time </w:t>
      </w:r>
      <w:r>
        <w:rPr>
          <w:color w:val="231F20"/>
          <w:spacing w:val="4"/>
          <w:w w:val="110"/>
          <w:sz w:val="18"/>
        </w:rPr>
        <w:t>serve </w:t>
      </w:r>
      <w:r>
        <w:rPr>
          <w:color w:val="231F20"/>
          <w:w w:val="110"/>
          <w:sz w:val="18"/>
        </w:rPr>
        <w:t>on </w:t>
      </w:r>
      <w:r>
        <w:rPr>
          <w:color w:val="231F20"/>
          <w:spacing w:val="2"/>
          <w:w w:val="110"/>
          <w:sz w:val="18"/>
        </w:rPr>
        <w:t>the Minister</w:t>
      </w:r>
      <w:r>
        <w:rPr>
          <w:color w:val="231F20"/>
          <w:spacing w:val="73"/>
          <w:w w:val="110"/>
          <w:sz w:val="18"/>
        </w:rPr>
        <w:t> </w:t>
      </w:r>
      <w:r>
        <w:rPr>
          <w:color w:val="231F20"/>
          <w:spacing w:val="2"/>
          <w:w w:val="110"/>
          <w:sz w:val="18"/>
        </w:rPr>
        <w:t>the </w:t>
      </w:r>
      <w:r>
        <w:rPr>
          <w:color w:val="231F20"/>
          <w:spacing w:val="3"/>
          <w:w w:val="110"/>
          <w:sz w:val="18"/>
        </w:rPr>
        <w:t>written </w:t>
      </w:r>
      <w:r>
        <w:rPr>
          <w:color w:val="231F20"/>
          <w:spacing w:val="2"/>
          <w:w w:val="110"/>
          <w:sz w:val="18"/>
        </w:rPr>
        <w:t>warning </w:t>
      </w:r>
      <w:r>
        <w:rPr>
          <w:color w:val="231F20"/>
          <w:spacing w:val="4"/>
          <w:w w:val="110"/>
          <w:sz w:val="18"/>
        </w:rPr>
        <w:t>referred </w:t>
      </w:r>
      <w:r>
        <w:rPr>
          <w:color w:val="231F20"/>
          <w:w w:val="110"/>
          <w:sz w:val="18"/>
        </w:rPr>
        <w:t>to in </w:t>
      </w:r>
      <w:r>
        <w:rPr>
          <w:color w:val="231F20"/>
          <w:spacing w:val="3"/>
          <w:w w:val="110"/>
          <w:sz w:val="18"/>
        </w:rPr>
        <w:t>those </w:t>
      </w:r>
      <w:r>
        <w:rPr>
          <w:color w:val="231F20"/>
          <w:spacing w:val="2"/>
          <w:w w:val="110"/>
          <w:sz w:val="18"/>
        </w:rPr>
        <w:t>Paragraphs </w:t>
      </w:r>
      <w:r>
        <w:rPr>
          <w:color w:val="231F20"/>
          <w:w w:val="110"/>
          <w:sz w:val="18"/>
        </w:rPr>
        <w:t>and shall </w:t>
      </w:r>
      <w:r>
        <w:rPr>
          <w:color w:val="231F20"/>
          <w:spacing w:val="3"/>
          <w:w w:val="110"/>
          <w:sz w:val="18"/>
        </w:rPr>
        <w:t>send </w:t>
      </w:r>
      <w:r>
        <w:rPr>
          <w:color w:val="231F20"/>
          <w:w w:val="110"/>
          <w:sz w:val="18"/>
        </w:rPr>
        <w:t>a copy </w:t>
      </w:r>
      <w:r>
        <w:rPr>
          <w:color w:val="231F20"/>
          <w:spacing w:val="3"/>
          <w:w w:val="110"/>
          <w:sz w:val="18"/>
        </w:rPr>
        <w:t>thereof </w:t>
      </w:r>
      <w:r>
        <w:rPr>
          <w:color w:val="231F20"/>
          <w:w w:val="110"/>
          <w:sz w:val="18"/>
        </w:rPr>
        <w:t>to </w:t>
      </w:r>
      <w:r>
        <w:rPr>
          <w:color w:val="231F20"/>
          <w:spacing w:val="2"/>
          <w:w w:val="110"/>
          <w:sz w:val="18"/>
        </w:rPr>
        <w:t>the Mandated</w:t>
      </w:r>
      <w:r>
        <w:rPr>
          <w:color w:val="231F20"/>
          <w:spacing w:val="7"/>
          <w:w w:val="110"/>
          <w:sz w:val="18"/>
        </w:rPr>
        <w:t> </w:t>
      </w:r>
      <w:r>
        <w:rPr>
          <w:color w:val="231F20"/>
          <w:spacing w:val="2"/>
          <w:w w:val="110"/>
          <w:sz w:val="18"/>
        </w:rPr>
        <w:t>Group.</w:t>
      </w:r>
    </w:p>
    <w:p>
      <w:pPr>
        <w:pStyle w:val="BodyText"/>
        <w:spacing w:before="9"/>
        <w:rPr>
          <w:sz w:val="20"/>
        </w:rPr>
      </w:pPr>
    </w:p>
    <w:p>
      <w:pPr>
        <w:pStyle w:val="ListParagraph"/>
        <w:numPr>
          <w:ilvl w:val="2"/>
          <w:numId w:val="171"/>
        </w:numPr>
        <w:tabs>
          <w:tab w:pos="1803" w:val="left" w:leader="none"/>
        </w:tabs>
        <w:spacing w:line="273" w:lineRule="auto" w:before="0" w:after="0"/>
        <w:ind w:left="1082" w:right="1731" w:firstLine="0"/>
        <w:jc w:val="left"/>
        <w:rPr>
          <w:sz w:val="18"/>
        </w:rPr>
      </w:pPr>
      <w:r>
        <w:rPr>
          <w:color w:val="231F20"/>
          <w:w w:val="110"/>
          <w:sz w:val="18"/>
        </w:rPr>
        <w:t>If the decision is taken in accordance with Paragraph </w:t>
      </w:r>
      <w:r>
        <w:rPr>
          <w:color w:val="231F20"/>
          <w:spacing w:val="-6"/>
          <w:w w:val="110"/>
          <w:sz w:val="18"/>
        </w:rPr>
        <w:t>G.11.4, </w:t>
      </w:r>
      <w:r>
        <w:rPr>
          <w:color w:val="231F20"/>
          <w:w w:val="110"/>
          <w:sz w:val="18"/>
        </w:rPr>
        <w:t>the General </w:t>
      </w:r>
      <w:r>
        <w:rPr>
          <w:color w:val="231F20"/>
          <w:spacing w:val="3"/>
          <w:w w:val="110"/>
          <w:sz w:val="18"/>
        </w:rPr>
        <w:t>Secretary </w:t>
      </w:r>
      <w:r>
        <w:rPr>
          <w:color w:val="231F20"/>
          <w:w w:val="110"/>
          <w:sz w:val="18"/>
        </w:rPr>
        <w:t>shall at the same time </w:t>
      </w:r>
      <w:r>
        <w:rPr>
          <w:color w:val="231F20"/>
          <w:spacing w:val="2"/>
          <w:w w:val="110"/>
          <w:sz w:val="18"/>
        </w:rPr>
        <w:t>serve </w:t>
      </w:r>
      <w:r>
        <w:rPr>
          <w:color w:val="231F20"/>
          <w:w w:val="110"/>
          <w:sz w:val="18"/>
        </w:rPr>
        <w:t>on the Minister and on the Mandated Group notice that the </w:t>
      </w:r>
      <w:r>
        <w:rPr>
          <w:color w:val="231F20"/>
          <w:spacing w:val="2"/>
          <w:w w:val="110"/>
          <w:sz w:val="18"/>
        </w:rPr>
        <w:t>written </w:t>
      </w:r>
      <w:r>
        <w:rPr>
          <w:color w:val="231F20"/>
          <w:w w:val="110"/>
          <w:sz w:val="18"/>
        </w:rPr>
        <w:t>warning issued following the decision of the Assembly Commission is</w:t>
      </w:r>
      <w:r>
        <w:rPr>
          <w:color w:val="231F20"/>
          <w:spacing w:val="2"/>
          <w:w w:val="110"/>
          <w:sz w:val="18"/>
        </w:rPr>
        <w:t> </w:t>
      </w:r>
      <w:r>
        <w:rPr>
          <w:color w:val="231F20"/>
          <w:w w:val="110"/>
          <w:sz w:val="18"/>
        </w:rPr>
        <w:t>withdrawn.</w:t>
      </w:r>
    </w:p>
    <w:p>
      <w:pPr>
        <w:pStyle w:val="BodyText"/>
        <w:spacing w:before="9"/>
        <w:rPr>
          <w:sz w:val="20"/>
        </w:rPr>
      </w:pPr>
    </w:p>
    <w:p>
      <w:pPr>
        <w:pStyle w:val="ListParagraph"/>
        <w:numPr>
          <w:ilvl w:val="2"/>
          <w:numId w:val="171"/>
        </w:numPr>
        <w:tabs>
          <w:tab w:pos="1803" w:val="left" w:leader="none"/>
        </w:tabs>
        <w:spacing w:line="273" w:lineRule="auto" w:before="1" w:after="0"/>
        <w:ind w:left="1082" w:right="1557" w:firstLine="0"/>
        <w:jc w:val="left"/>
        <w:rPr>
          <w:sz w:val="18"/>
        </w:rPr>
      </w:pPr>
      <w:r>
        <w:rPr>
          <w:color w:val="231F20"/>
          <w:w w:val="110"/>
          <w:sz w:val="18"/>
        </w:rPr>
        <w:t>S/he shall at the same time send to the Minister and the Mandated Group copies of any recommendations or guidance appended to the decision of the Appeals Commission under Paragraph </w:t>
      </w:r>
      <w:r>
        <w:rPr>
          <w:color w:val="231F20"/>
          <w:spacing w:val="-4"/>
          <w:w w:val="110"/>
          <w:sz w:val="18"/>
        </w:rPr>
        <w:t>G.13.4 </w:t>
      </w:r>
      <w:r>
        <w:rPr>
          <w:color w:val="231F20"/>
          <w:w w:val="110"/>
          <w:sz w:val="18"/>
        </w:rPr>
        <w:t>or Paragraph </w:t>
      </w:r>
      <w:r>
        <w:rPr>
          <w:color w:val="231F20"/>
          <w:spacing w:val="-3"/>
          <w:w w:val="110"/>
          <w:sz w:val="18"/>
        </w:rPr>
        <w:t>G.13.5 </w:t>
      </w:r>
      <w:r>
        <w:rPr>
          <w:color w:val="231F20"/>
          <w:w w:val="110"/>
          <w:sz w:val="18"/>
        </w:rPr>
        <w:t>as the </w:t>
      </w:r>
      <w:r>
        <w:rPr>
          <w:color w:val="231F20"/>
          <w:spacing w:val="2"/>
          <w:w w:val="110"/>
          <w:sz w:val="18"/>
        </w:rPr>
        <w:t>case </w:t>
      </w:r>
      <w:r>
        <w:rPr>
          <w:color w:val="231F20"/>
          <w:w w:val="110"/>
          <w:sz w:val="18"/>
        </w:rPr>
        <w:t>may</w:t>
      </w:r>
      <w:r>
        <w:rPr>
          <w:color w:val="231F20"/>
          <w:spacing w:val="68"/>
          <w:w w:val="110"/>
          <w:sz w:val="18"/>
        </w:rPr>
        <w:t> </w:t>
      </w:r>
      <w:r>
        <w:rPr>
          <w:color w:val="231F20"/>
          <w:w w:val="110"/>
          <w:sz w:val="18"/>
        </w:rPr>
        <w:t>be.</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71"/>
        </w:numPr>
        <w:tabs>
          <w:tab w:pos="1234" w:val="left" w:leader="none"/>
        </w:tabs>
        <w:spacing w:line="273" w:lineRule="auto" w:before="101" w:after="0"/>
        <w:ind w:left="514" w:right="1816" w:hanging="1"/>
        <w:jc w:val="left"/>
        <w:rPr>
          <w:sz w:val="18"/>
        </w:rPr>
      </w:pPr>
      <w:r>
        <w:rPr>
          <w:color w:val="231F20"/>
          <w:w w:val="110"/>
          <w:sz w:val="18"/>
        </w:rPr>
        <w:t>S/he shall at the same time send to the Secretary of the Assembly Commission, the Moderator of the Synod, the Secretary of the District Council, the Secretary for Ministries and the Deputy General Secretary copies of the documents served on the Minister and the Mandated Group under Paragraphs </w:t>
      </w:r>
      <w:r>
        <w:rPr>
          <w:color w:val="231F20"/>
          <w:spacing w:val="-7"/>
          <w:w w:val="110"/>
          <w:sz w:val="18"/>
        </w:rPr>
        <w:t>G.14.1 </w:t>
      </w:r>
      <w:r>
        <w:rPr>
          <w:color w:val="231F20"/>
          <w:w w:val="110"/>
          <w:sz w:val="18"/>
        </w:rPr>
        <w:t>to </w:t>
      </w:r>
      <w:r>
        <w:rPr>
          <w:color w:val="231F20"/>
          <w:spacing w:val="-7"/>
          <w:w w:val="110"/>
          <w:sz w:val="18"/>
        </w:rPr>
        <w:t>G.14.4 </w:t>
      </w:r>
      <w:r>
        <w:rPr>
          <w:color w:val="231F20"/>
          <w:spacing w:val="-3"/>
          <w:w w:val="110"/>
          <w:sz w:val="18"/>
        </w:rPr>
        <w:t>and, </w:t>
      </w:r>
      <w:r>
        <w:rPr>
          <w:color w:val="231F20"/>
          <w:w w:val="110"/>
          <w:sz w:val="18"/>
        </w:rPr>
        <w:t>unless Paragraph </w:t>
      </w:r>
      <w:r>
        <w:rPr>
          <w:color w:val="231F20"/>
          <w:spacing w:val="-5"/>
          <w:w w:val="110"/>
          <w:sz w:val="18"/>
        </w:rPr>
        <w:t>G.15 </w:t>
      </w:r>
      <w:r>
        <w:rPr>
          <w:color w:val="231F20"/>
          <w:w w:val="110"/>
          <w:sz w:val="18"/>
        </w:rPr>
        <w:t>applies, the Mandated Group shall thereupon comply with Paragraph</w:t>
      </w:r>
      <w:r>
        <w:rPr>
          <w:color w:val="231F20"/>
          <w:spacing w:val="-6"/>
          <w:w w:val="110"/>
          <w:sz w:val="18"/>
        </w:rPr>
        <w:t> </w:t>
      </w:r>
      <w:r>
        <w:rPr>
          <w:color w:val="231F20"/>
          <w:spacing w:val="-5"/>
          <w:w w:val="110"/>
          <w:sz w:val="18"/>
        </w:rPr>
        <w:t>H.4.</w:t>
      </w:r>
    </w:p>
    <w:p>
      <w:pPr>
        <w:pStyle w:val="BodyText"/>
        <w:spacing w:before="10"/>
        <w:rPr>
          <w:sz w:val="20"/>
        </w:rPr>
      </w:pPr>
    </w:p>
    <w:p>
      <w:pPr>
        <w:pStyle w:val="ListParagraph"/>
        <w:numPr>
          <w:ilvl w:val="2"/>
          <w:numId w:val="171"/>
        </w:numPr>
        <w:tabs>
          <w:tab w:pos="1239" w:val="left" w:leader="none"/>
        </w:tabs>
        <w:spacing w:line="273" w:lineRule="auto" w:before="0" w:after="0"/>
        <w:ind w:left="514" w:right="2171" w:firstLine="4"/>
        <w:jc w:val="left"/>
        <w:rPr>
          <w:sz w:val="18"/>
        </w:rPr>
      </w:pPr>
      <w:r>
        <w:rPr>
          <w:color w:val="231F20"/>
          <w:w w:val="110"/>
          <w:sz w:val="18"/>
        </w:rPr>
        <w:t>At the time of compliance with Paragraph </w:t>
      </w:r>
      <w:r>
        <w:rPr>
          <w:color w:val="231F20"/>
          <w:spacing w:val="-5"/>
          <w:w w:val="110"/>
          <w:sz w:val="18"/>
        </w:rPr>
        <w:t>G.14.5, </w:t>
      </w:r>
      <w:r>
        <w:rPr>
          <w:color w:val="231F20"/>
          <w:w w:val="110"/>
          <w:sz w:val="18"/>
        </w:rPr>
        <w:t>the General </w:t>
      </w:r>
      <w:r>
        <w:rPr>
          <w:color w:val="231F20"/>
          <w:spacing w:val="3"/>
          <w:w w:val="110"/>
          <w:sz w:val="18"/>
        </w:rPr>
        <w:t>Secretary </w:t>
      </w:r>
      <w:r>
        <w:rPr>
          <w:color w:val="231F20"/>
          <w:w w:val="110"/>
          <w:sz w:val="18"/>
        </w:rPr>
        <w:t>shall also send to the responsible </w:t>
      </w:r>
      <w:r>
        <w:rPr>
          <w:color w:val="231F20"/>
          <w:spacing w:val="2"/>
          <w:w w:val="110"/>
          <w:sz w:val="18"/>
        </w:rPr>
        <w:t>officer </w:t>
      </w:r>
      <w:r>
        <w:rPr>
          <w:color w:val="231F20"/>
          <w:w w:val="110"/>
          <w:sz w:val="18"/>
        </w:rPr>
        <w:t>of any relevant Outside Organisation notice of  the</w:t>
      </w:r>
      <w:r>
        <w:rPr>
          <w:color w:val="231F20"/>
          <w:spacing w:val="8"/>
          <w:w w:val="110"/>
          <w:sz w:val="18"/>
        </w:rPr>
        <w:t> </w:t>
      </w:r>
      <w:r>
        <w:rPr>
          <w:color w:val="231F20"/>
          <w:w w:val="110"/>
          <w:sz w:val="18"/>
        </w:rPr>
        <w:t>decision</w:t>
      </w:r>
      <w:r>
        <w:rPr>
          <w:color w:val="231F20"/>
          <w:spacing w:val="9"/>
          <w:w w:val="110"/>
          <w:sz w:val="18"/>
        </w:rPr>
        <w:t> </w:t>
      </w:r>
      <w:r>
        <w:rPr>
          <w:color w:val="231F20"/>
          <w:w w:val="110"/>
          <w:sz w:val="18"/>
        </w:rPr>
        <w:t>of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Appeals</w:t>
      </w:r>
      <w:r>
        <w:rPr>
          <w:color w:val="231F20"/>
          <w:spacing w:val="9"/>
          <w:w w:val="110"/>
          <w:sz w:val="18"/>
        </w:rPr>
        <w:t> </w:t>
      </w:r>
      <w:r>
        <w:rPr>
          <w:color w:val="231F20"/>
          <w:w w:val="110"/>
          <w:sz w:val="18"/>
        </w:rPr>
        <w:t>Commission,</w:t>
      </w:r>
      <w:r>
        <w:rPr>
          <w:color w:val="231F20"/>
          <w:spacing w:val="8"/>
          <w:w w:val="110"/>
          <w:sz w:val="18"/>
        </w:rPr>
        <w:t> </w:t>
      </w:r>
      <w:r>
        <w:rPr>
          <w:color w:val="231F20"/>
          <w:w w:val="110"/>
          <w:sz w:val="18"/>
        </w:rPr>
        <w:t>including,</w:t>
      </w:r>
      <w:r>
        <w:rPr>
          <w:color w:val="231F20"/>
          <w:spacing w:val="9"/>
          <w:w w:val="110"/>
          <w:sz w:val="18"/>
        </w:rPr>
        <w:t> </w:t>
      </w:r>
      <w:r>
        <w:rPr>
          <w:color w:val="231F20"/>
          <w:w w:val="110"/>
          <w:sz w:val="18"/>
        </w:rPr>
        <w:t>in</w:t>
      </w:r>
      <w:r>
        <w:rPr>
          <w:color w:val="231F20"/>
          <w:spacing w:val="8"/>
          <w:w w:val="110"/>
          <w:sz w:val="18"/>
        </w:rPr>
        <w:t> </w:t>
      </w:r>
      <w:r>
        <w:rPr>
          <w:color w:val="231F20"/>
          <w:w w:val="110"/>
          <w:sz w:val="18"/>
        </w:rPr>
        <w:t>the</w:t>
      </w:r>
      <w:r>
        <w:rPr>
          <w:color w:val="231F20"/>
          <w:spacing w:val="9"/>
          <w:w w:val="110"/>
          <w:sz w:val="18"/>
        </w:rPr>
        <w:t> </w:t>
      </w:r>
      <w:r>
        <w:rPr>
          <w:color w:val="231F20"/>
          <w:w w:val="110"/>
          <w:sz w:val="18"/>
        </w:rPr>
        <w:t>event</w:t>
      </w:r>
      <w:r>
        <w:rPr>
          <w:color w:val="231F20"/>
          <w:spacing w:val="8"/>
          <w:w w:val="110"/>
          <w:sz w:val="18"/>
        </w:rPr>
        <w:t> </w:t>
      </w:r>
      <w:r>
        <w:rPr>
          <w:color w:val="231F20"/>
          <w:w w:val="110"/>
          <w:sz w:val="18"/>
        </w:rPr>
        <w:t>of</w:t>
      </w:r>
      <w:r>
        <w:rPr>
          <w:color w:val="231F20"/>
          <w:spacing w:val="9"/>
          <w:w w:val="110"/>
          <w:sz w:val="18"/>
        </w:rPr>
        <w:t> </w:t>
      </w:r>
      <w:r>
        <w:rPr>
          <w:color w:val="231F20"/>
          <w:w w:val="110"/>
          <w:sz w:val="18"/>
        </w:rPr>
        <w:t>a</w:t>
      </w:r>
      <w:r>
        <w:rPr>
          <w:color w:val="231F20"/>
          <w:spacing w:val="8"/>
          <w:w w:val="110"/>
          <w:sz w:val="18"/>
        </w:rPr>
        <w:t> </w:t>
      </w:r>
      <w:r>
        <w:rPr>
          <w:color w:val="231F20"/>
          <w:w w:val="110"/>
          <w:sz w:val="18"/>
        </w:rPr>
        <w:t>decision</w:t>
      </w:r>
      <w:r>
        <w:rPr>
          <w:color w:val="231F20"/>
          <w:spacing w:val="9"/>
          <w:w w:val="110"/>
          <w:sz w:val="18"/>
        </w:rPr>
        <w:t> </w:t>
      </w:r>
      <w:r>
        <w:rPr>
          <w:color w:val="231F20"/>
          <w:w w:val="110"/>
          <w:sz w:val="18"/>
        </w:rPr>
        <w:t>not</w:t>
      </w:r>
      <w:r>
        <w:rPr>
          <w:color w:val="231F20"/>
          <w:spacing w:val="8"/>
          <w:w w:val="110"/>
          <w:sz w:val="18"/>
        </w:rPr>
        <w:t> </w:t>
      </w:r>
      <w:r>
        <w:rPr>
          <w:color w:val="231F20"/>
          <w:w w:val="110"/>
          <w:sz w:val="18"/>
        </w:rPr>
        <w:t>to</w:t>
      </w:r>
    </w:p>
    <w:p>
      <w:pPr>
        <w:pStyle w:val="BodyText"/>
        <w:spacing w:line="273" w:lineRule="auto" w:before="1"/>
        <w:ind w:left="513" w:right="1844"/>
      </w:pPr>
      <w:r>
        <w:rPr>
          <w:color w:val="231F20"/>
          <w:w w:val="110"/>
        </w:rPr>
        <w:t>delete, the date of cessation of the Minister’s Suspension, together with details of any recommendations or guidance issued by the Appeals Commission as appended to its decision which it wishes to pass on to such Outside Organisation.</w:t>
      </w:r>
    </w:p>
    <w:p>
      <w:pPr>
        <w:pStyle w:val="BodyText"/>
        <w:spacing w:before="9"/>
        <w:rPr>
          <w:sz w:val="20"/>
        </w:rPr>
      </w:pPr>
    </w:p>
    <w:p>
      <w:pPr>
        <w:pStyle w:val="ListParagraph"/>
        <w:numPr>
          <w:ilvl w:val="1"/>
          <w:numId w:val="171"/>
        </w:numPr>
        <w:tabs>
          <w:tab w:pos="1233" w:val="left" w:leader="none"/>
          <w:tab w:pos="1234" w:val="left" w:leader="none"/>
        </w:tabs>
        <w:spacing w:line="273" w:lineRule="auto" w:before="0" w:after="0"/>
        <w:ind w:left="513" w:right="1840" w:firstLine="0"/>
        <w:jc w:val="left"/>
        <w:rPr>
          <w:sz w:val="18"/>
        </w:rPr>
      </w:pPr>
      <w:r>
        <w:rPr>
          <w:color w:val="231F20"/>
          <w:w w:val="110"/>
          <w:sz w:val="18"/>
        </w:rPr>
        <w:t>If the decision is taken in accordance with Paragraph </w:t>
      </w:r>
      <w:r>
        <w:rPr>
          <w:color w:val="231F20"/>
          <w:spacing w:val="-9"/>
          <w:w w:val="110"/>
          <w:sz w:val="18"/>
        </w:rPr>
        <w:t>G.11.7,  </w:t>
      </w:r>
      <w:r>
        <w:rPr>
          <w:color w:val="231F20"/>
          <w:w w:val="110"/>
          <w:sz w:val="18"/>
        </w:rPr>
        <w:t>the Notice </w:t>
      </w:r>
      <w:r>
        <w:rPr>
          <w:color w:val="231F20"/>
          <w:spacing w:val="2"/>
          <w:w w:val="110"/>
          <w:sz w:val="18"/>
        </w:rPr>
        <w:t>served </w:t>
      </w:r>
      <w:r>
        <w:rPr>
          <w:color w:val="231F20"/>
          <w:w w:val="110"/>
          <w:sz w:val="18"/>
        </w:rPr>
        <w:t>by the General </w:t>
      </w:r>
      <w:r>
        <w:rPr>
          <w:color w:val="231F20"/>
          <w:spacing w:val="3"/>
          <w:w w:val="110"/>
          <w:sz w:val="18"/>
        </w:rPr>
        <w:t>Secretary </w:t>
      </w:r>
      <w:r>
        <w:rPr>
          <w:color w:val="231F20"/>
          <w:w w:val="110"/>
          <w:sz w:val="18"/>
        </w:rPr>
        <w:t>under Paragraph </w:t>
      </w:r>
      <w:r>
        <w:rPr>
          <w:color w:val="231F20"/>
          <w:spacing w:val="-6"/>
          <w:w w:val="110"/>
          <w:sz w:val="18"/>
        </w:rPr>
        <w:t>G.14.1 </w:t>
      </w:r>
      <w:r>
        <w:rPr>
          <w:color w:val="231F20"/>
          <w:w w:val="110"/>
          <w:sz w:val="18"/>
        </w:rPr>
        <w:t>shall constitute a Notice of Reference Back.</w:t>
      </w:r>
      <w:r>
        <w:rPr>
          <w:color w:val="231F20"/>
          <w:spacing w:val="10"/>
          <w:w w:val="110"/>
          <w:sz w:val="18"/>
        </w:rPr>
        <w:t> </w:t>
      </w:r>
      <w:r>
        <w:rPr>
          <w:color w:val="231F20"/>
          <w:w w:val="110"/>
          <w:sz w:val="18"/>
        </w:rPr>
        <w:t>The</w:t>
      </w:r>
      <w:r>
        <w:rPr>
          <w:color w:val="231F20"/>
          <w:spacing w:val="11"/>
          <w:w w:val="110"/>
          <w:sz w:val="18"/>
        </w:rPr>
        <w:t> </w:t>
      </w:r>
      <w:r>
        <w:rPr>
          <w:color w:val="231F20"/>
          <w:w w:val="110"/>
          <w:sz w:val="18"/>
        </w:rPr>
        <w:t>Assembly</w:t>
      </w:r>
      <w:r>
        <w:rPr>
          <w:color w:val="231F20"/>
          <w:spacing w:val="10"/>
          <w:w w:val="110"/>
          <w:sz w:val="18"/>
        </w:rPr>
        <w:t> </w:t>
      </w:r>
      <w:r>
        <w:rPr>
          <w:color w:val="231F20"/>
          <w:w w:val="110"/>
          <w:sz w:val="18"/>
        </w:rPr>
        <w:t>Commission</w:t>
      </w:r>
      <w:r>
        <w:rPr>
          <w:color w:val="231F20"/>
          <w:spacing w:val="11"/>
          <w:w w:val="110"/>
          <w:sz w:val="18"/>
        </w:rPr>
        <w:t> </w:t>
      </w:r>
      <w:r>
        <w:rPr>
          <w:color w:val="231F20"/>
          <w:w w:val="110"/>
          <w:sz w:val="18"/>
        </w:rPr>
        <w:t>appointed</w:t>
      </w:r>
      <w:r>
        <w:rPr>
          <w:color w:val="231F20"/>
          <w:spacing w:val="10"/>
          <w:w w:val="110"/>
          <w:sz w:val="18"/>
        </w:rPr>
        <w:t> </w:t>
      </w:r>
      <w:r>
        <w:rPr>
          <w:color w:val="231F20"/>
          <w:w w:val="110"/>
          <w:sz w:val="18"/>
        </w:rPr>
        <w:t>for</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re-hearing</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the</w:t>
      </w:r>
      <w:r>
        <w:rPr>
          <w:color w:val="231F20"/>
          <w:spacing w:val="10"/>
          <w:w w:val="110"/>
          <w:sz w:val="18"/>
        </w:rPr>
        <w:t> </w:t>
      </w:r>
      <w:r>
        <w:rPr>
          <w:color w:val="231F20"/>
          <w:spacing w:val="2"/>
          <w:w w:val="110"/>
          <w:sz w:val="18"/>
        </w:rPr>
        <w:t>case</w:t>
      </w:r>
      <w:r>
        <w:rPr>
          <w:color w:val="231F20"/>
          <w:spacing w:val="11"/>
          <w:w w:val="110"/>
          <w:sz w:val="18"/>
        </w:rPr>
        <w:t> </w:t>
      </w:r>
      <w:r>
        <w:rPr>
          <w:color w:val="231F20"/>
          <w:w w:val="110"/>
          <w:sz w:val="18"/>
        </w:rPr>
        <w:t>shall</w:t>
      </w:r>
      <w:r>
        <w:rPr>
          <w:color w:val="231F20"/>
          <w:spacing w:val="10"/>
          <w:w w:val="110"/>
          <w:sz w:val="18"/>
        </w:rPr>
        <w:t> </w:t>
      </w:r>
      <w:r>
        <w:rPr>
          <w:color w:val="231F20"/>
          <w:w w:val="110"/>
          <w:sz w:val="18"/>
        </w:rPr>
        <w:t>not</w:t>
      </w:r>
      <w:r>
        <w:rPr>
          <w:color w:val="231F20"/>
          <w:spacing w:val="11"/>
          <w:w w:val="110"/>
          <w:sz w:val="18"/>
        </w:rPr>
        <w:t> </w:t>
      </w:r>
      <w:r>
        <w:rPr>
          <w:color w:val="231F20"/>
          <w:w w:val="110"/>
          <w:sz w:val="18"/>
        </w:rPr>
        <w:t>be</w:t>
      </w:r>
    </w:p>
    <w:p>
      <w:pPr>
        <w:pStyle w:val="BodyText"/>
        <w:spacing w:line="273" w:lineRule="auto" w:before="2"/>
        <w:ind w:left="514" w:right="1791" w:hanging="1"/>
      </w:pPr>
      <w:r>
        <w:rPr>
          <w:color w:val="231F20"/>
          <w:w w:val="110"/>
        </w:rPr>
        <w:t>given any information relating to the conduct of the previous Hearing but may have sight of the documents, statements and information delivered to the Assembly Commission under the provisions contained in Section E.</w:t>
      </w:r>
    </w:p>
    <w:p>
      <w:pPr>
        <w:pStyle w:val="BodyText"/>
        <w:spacing w:before="9"/>
        <w:rPr>
          <w:sz w:val="20"/>
        </w:rPr>
      </w:pPr>
    </w:p>
    <w:p>
      <w:pPr>
        <w:pStyle w:val="ListParagraph"/>
        <w:numPr>
          <w:ilvl w:val="1"/>
          <w:numId w:val="171"/>
        </w:numPr>
        <w:tabs>
          <w:tab w:pos="1234" w:val="left" w:leader="none"/>
          <w:tab w:pos="1235" w:val="left" w:leader="none"/>
        </w:tabs>
        <w:spacing w:line="273" w:lineRule="auto" w:before="0" w:after="0"/>
        <w:ind w:left="514" w:right="1812" w:firstLine="0"/>
        <w:jc w:val="left"/>
        <w:rPr>
          <w:sz w:val="18"/>
        </w:rPr>
      </w:pPr>
      <w:r>
        <w:rPr>
          <w:color w:val="231F20"/>
          <w:w w:val="110"/>
          <w:sz w:val="18"/>
        </w:rPr>
        <w:t>The decision so taken shall conclude the involvement of the Appeals Commission in the </w:t>
      </w:r>
      <w:r>
        <w:rPr>
          <w:color w:val="231F20"/>
          <w:spacing w:val="2"/>
          <w:w w:val="110"/>
          <w:sz w:val="18"/>
        </w:rPr>
        <w:t>Section </w:t>
      </w:r>
      <w:r>
        <w:rPr>
          <w:color w:val="231F20"/>
          <w:w w:val="110"/>
          <w:sz w:val="18"/>
        </w:rPr>
        <w:t>O Process, except as to the discharge of its responsibilities under Paragraph J.2, and shall have the </w:t>
      </w:r>
      <w:r>
        <w:rPr>
          <w:color w:val="231F20"/>
          <w:spacing w:val="3"/>
          <w:w w:val="110"/>
          <w:sz w:val="18"/>
        </w:rPr>
        <w:t>effect </w:t>
      </w:r>
      <w:r>
        <w:rPr>
          <w:color w:val="231F20"/>
          <w:w w:val="110"/>
          <w:sz w:val="18"/>
        </w:rPr>
        <w:t>provided for in Paragraph</w:t>
      </w:r>
      <w:r>
        <w:rPr>
          <w:color w:val="231F20"/>
          <w:spacing w:val="32"/>
          <w:w w:val="110"/>
          <w:sz w:val="18"/>
        </w:rPr>
        <w:t> </w:t>
      </w:r>
      <w:r>
        <w:rPr>
          <w:color w:val="231F20"/>
          <w:spacing w:val="-10"/>
          <w:w w:val="110"/>
          <w:sz w:val="18"/>
        </w:rPr>
        <w:t>F.7.3.</w:t>
      </w:r>
    </w:p>
    <w:p>
      <w:pPr>
        <w:pStyle w:val="BodyText"/>
        <w:spacing w:before="9"/>
        <w:rPr>
          <w:sz w:val="20"/>
        </w:rPr>
      </w:pPr>
    </w:p>
    <w:p>
      <w:pPr>
        <w:pStyle w:val="ListParagraph"/>
        <w:numPr>
          <w:ilvl w:val="1"/>
          <w:numId w:val="171"/>
        </w:numPr>
        <w:tabs>
          <w:tab w:pos="1234" w:val="left" w:leader="none"/>
          <w:tab w:pos="1235" w:val="left" w:leader="none"/>
        </w:tabs>
        <w:spacing w:line="240" w:lineRule="auto" w:before="0" w:after="0"/>
        <w:ind w:left="1234" w:right="0" w:hanging="721"/>
        <w:jc w:val="left"/>
        <w:rPr>
          <w:sz w:val="18"/>
        </w:rPr>
      </w:pPr>
      <w:r>
        <w:rPr>
          <w:color w:val="231F20"/>
          <w:w w:val="110"/>
          <w:sz w:val="18"/>
        </w:rPr>
        <w:t>The attention of the Mandated Group is particularly drawn to Paragraph</w:t>
      </w:r>
      <w:r>
        <w:rPr>
          <w:color w:val="231F20"/>
          <w:spacing w:val="40"/>
          <w:w w:val="110"/>
          <w:sz w:val="18"/>
        </w:rPr>
        <w:t> </w:t>
      </w:r>
      <w:r>
        <w:rPr>
          <w:color w:val="231F20"/>
          <w:spacing w:val="-3"/>
          <w:w w:val="110"/>
          <w:sz w:val="18"/>
        </w:rPr>
        <w:t>H.4</w:t>
      </w:r>
    </w:p>
    <w:p>
      <w:pPr>
        <w:pStyle w:val="BodyText"/>
        <w:spacing w:before="5"/>
        <w:rPr>
          <w:sz w:val="21"/>
        </w:rPr>
      </w:pPr>
    </w:p>
    <w:p>
      <w:pPr>
        <w:numPr>
          <w:ilvl w:val="1"/>
          <w:numId w:val="122"/>
        </w:numPr>
        <w:tabs>
          <w:tab w:pos="1233" w:val="left" w:leader="none"/>
          <w:tab w:pos="1234" w:val="left" w:leader="none"/>
        </w:tabs>
        <w:spacing w:before="0"/>
        <w:ind w:left="1233" w:right="0" w:hanging="721"/>
        <w:jc w:val="left"/>
        <w:rPr>
          <w:b/>
          <w:sz w:val="20"/>
        </w:rPr>
      </w:pPr>
      <w:r>
        <w:rPr>
          <w:b/>
          <w:color w:val="231F20"/>
          <w:w w:val="110"/>
          <w:sz w:val="20"/>
        </w:rPr>
        <w:t>FORMS, SERVICE OF DOCUMENTS and MISCELLANEOUS</w:t>
      </w:r>
      <w:r>
        <w:rPr>
          <w:b/>
          <w:color w:val="231F20"/>
          <w:spacing w:val="5"/>
          <w:w w:val="110"/>
          <w:sz w:val="20"/>
        </w:rPr>
        <w:t> </w:t>
      </w:r>
      <w:r>
        <w:rPr>
          <w:b/>
          <w:color w:val="231F20"/>
          <w:w w:val="110"/>
          <w:sz w:val="20"/>
        </w:rPr>
        <w:t>MATTERS</w:t>
      </w:r>
    </w:p>
    <w:p>
      <w:pPr>
        <w:pStyle w:val="BodyText"/>
        <w:spacing w:before="10"/>
        <w:rPr>
          <w:b/>
          <w:sz w:val="22"/>
        </w:rPr>
      </w:pPr>
    </w:p>
    <w:p>
      <w:pPr>
        <w:pStyle w:val="ListParagraph"/>
        <w:numPr>
          <w:ilvl w:val="2"/>
          <w:numId w:val="122"/>
        </w:numPr>
        <w:tabs>
          <w:tab w:pos="1233" w:val="left" w:leader="none"/>
          <w:tab w:pos="1234" w:val="left" w:leader="none"/>
          <w:tab w:pos="2536" w:val="left" w:leader="none"/>
        </w:tabs>
        <w:spacing w:line="273" w:lineRule="auto" w:before="0" w:after="0"/>
        <w:ind w:left="513" w:right="1779" w:firstLine="0"/>
        <w:jc w:val="left"/>
        <w:rPr>
          <w:sz w:val="18"/>
        </w:rPr>
      </w:pPr>
      <w:r>
        <w:rPr>
          <w:color w:val="231F20"/>
          <w:w w:val="110"/>
          <w:sz w:val="18"/>
        </w:rPr>
        <w:t>Model forms of Notice have been prepared to assist those concerned with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The forms of Notice may be amended </w:t>
      </w:r>
      <w:r>
        <w:rPr>
          <w:color w:val="231F20"/>
          <w:spacing w:val="2"/>
          <w:w w:val="110"/>
          <w:sz w:val="18"/>
        </w:rPr>
        <w:t>from </w:t>
      </w:r>
      <w:r>
        <w:rPr>
          <w:color w:val="231F20"/>
          <w:w w:val="110"/>
          <w:sz w:val="18"/>
        </w:rPr>
        <w:t>time to time and new forms</w:t>
      </w:r>
      <w:r>
        <w:rPr>
          <w:color w:val="231F20"/>
          <w:spacing w:val="39"/>
          <w:w w:val="110"/>
          <w:sz w:val="18"/>
        </w:rPr>
        <w:t> </w:t>
      </w:r>
      <w:r>
        <w:rPr>
          <w:color w:val="231F20"/>
          <w:w w:val="110"/>
          <w:sz w:val="18"/>
        </w:rPr>
        <w:t>introduced.</w:t>
        <w:tab/>
        <w:t>Use of the model forms is not compulsory and minor variations in  the wording will not invalidate the Notice being given, but it is strongly recommended that the model forms be used and followed as closely as possible to avoid confusion and to ensure that all relevant information is supplied at the proper</w:t>
      </w:r>
      <w:r>
        <w:rPr>
          <w:color w:val="231F20"/>
          <w:spacing w:val="38"/>
          <w:w w:val="110"/>
          <w:sz w:val="18"/>
        </w:rPr>
        <w:t> </w:t>
      </w:r>
      <w:r>
        <w:rPr>
          <w:color w:val="231F20"/>
          <w:w w:val="110"/>
          <w:sz w:val="18"/>
        </w:rPr>
        <w:t>time.</w:t>
      </w:r>
    </w:p>
    <w:p>
      <w:pPr>
        <w:pStyle w:val="BodyText"/>
        <w:spacing w:before="11"/>
        <w:rPr>
          <w:sz w:val="20"/>
        </w:rPr>
      </w:pPr>
    </w:p>
    <w:p>
      <w:pPr>
        <w:pStyle w:val="ListParagraph"/>
        <w:numPr>
          <w:ilvl w:val="2"/>
          <w:numId w:val="122"/>
        </w:numPr>
        <w:tabs>
          <w:tab w:pos="1233" w:val="left" w:leader="none"/>
          <w:tab w:pos="1234" w:val="left" w:leader="none"/>
        </w:tabs>
        <w:spacing w:line="273" w:lineRule="auto" w:before="0" w:after="0"/>
        <w:ind w:left="513" w:right="2001" w:firstLine="0"/>
        <w:jc w:val="left"/>
        <w:rPr>
          <w:sz w:val="18"/>
        </w:rPr>
      </w:pPr>
      <w:r>
        <w:rPr>
          <w:color w:val="231F20"/>
          <w:spacing w:val="-3"/>
          <w:w w:val="110"/>
          <w:sz w:val="18"/>
        </w:rPr>
        <w:t>H.2.1</w:t>
      </w:r>
      <w:r>
        <w:rPr>
          <w:color w:val="231F20"/>
          <w:spacing w:val="63"/>
          <w:w w:val="110"/>
          <w:sz w:val="18"/>
        </w:rPr>
        <w:t> </w:t>
      </w:r>
      <w:r>
        <w:rPr>
          <w:color w:val="231F20"/>
          <w:spacing w:val="2"/>
          <w:w w:val="110"/>
          <w:sz w:val="18"/>
        </w:rPr>
        <w:t>Service </w:t>
      </w:r>
      <w:r>
        <w:rPr>
          <w:color w:val="231F20"/>
          <w:w w:val="110"/>
          <w:sz w:val="18"/>
        </w:rPr>
        <w:t>of any document required to be </w:t>
      </w:r>
      <w:r>
        <w:rPr>
          <w:color w:val="231F20"/>
          <w:spacing w:val="2"/>
          <w:w w:val="110"/>
          <w:sz w:val="18"/>
        </w:rPr>
        <w:t>served </w:t>
      </w:r>
      <w:r>
        <w:rPr>
          <w:color w:val="231F20"/>
          <w:w w:val="110"/>
          <w:sz w:val="18"/>
        </w:rPr>
        <w:t>on an individual shall be deemed to have been properly </w:t>
      </w:r>
      <w:r>
        <w:rPr>
          <w:color w:val="231F20"/>
          <w:spacing w:val="3"/>
          <w:w w:val="110"/>
          <w:sz w:val="18"/>
        </w:rPr>
        <w:t>effected </w:t>
      </w:r>
      <w:r>
        <w:rPr>
          <w:color w:val="231F20"/>
          <w:w w:val="110"/>
          <w:sz w:val="18"/>
        </w:rPr>
        <w:t>in any of the following</w:t>
      </w:r>
      <w:r>
        <w:rPr>
          <w:color w:val="231F20"/>
          <w:spacing w:val="34"/>
          <w:w w:val="110"/>
          <w:sz w:val="18"/>
        </w:rPr>
        <w:t> </w:t>
      </w:r>
      <w:r>
        <w:rPr>
          <w:color w:val="231F20"/>
          <w:spacing w:val="-3"/>
          <w:w w:val="110"/>
          <w:sz w:val="18"/>
        </w:rPr>
        <w:t>ways:</w:t>
      </w:r>
    </w:p>
    <w:p>
      <w:pPr>
        <w:pStyle w:val="BodyText"/>
        <w:spacing w:before="8"/>
        <w:rPr>
          <w:sz w:val="20"/>
        </w:rPr>
      </w:pPr>
    </w:p>
    <w:p>
      <w:pPr>
        <w:pStyle w:val="ListParagraph"/>
        <w:numPr>
          <w:ilvl w:val="3"/>
          <w:numId w:val="174"/>
        </w:numPr>
        <w:tabs>
          <w:tab w:pos="1953" w:val="left" w:leader="none"/>
          <w:tab w:pos="1954" w:val="left" w:leader="none"/>
        </w:tabs>
        <w:spacing w:line="240" w:lineRule="auto" w:before="0" w:after="0"/>
        <w:ind w:left="1953" w:right="0" w:hanging="1441"/>
        <w:jc w:val="left"/>
        <w:rPr>
          <w:sz w:val="18"/>
        </w:rPr>
      </w:pPr>
      <w:r>
        <w:rPr>
          <w:color w:val="231F20"/>
          <w:w w:val="110"/>
          <w:sz w:val="18"/>
        </w:rPr>
        <w:t>By delivering the document personally to the individual to be</w:t>
      </w:r>
      <w:r>
        <w:rPr>
          <w:color w:val="231F20"/>
          <w:spacing w:val="34"/>
          <w:w w:val="110"/>
          <w:sz w:val="18"/>
        </w:rPr>
        <w:t> </w:t>
      </w:r>
      <w:r>
        <w:rPr>
          <w:color w:val="231F20"/>
          <w:w w:val="110"/>
          <w:sz w:val="18"/>
        </w:rPr>
        <w:t>served.</w:t>
      </w:r>
    </w:p>
    <w:p>
      <w:pPr>
        <w:pStyle w:val="BodyText"/>
        <w:spacing w:before="2"/>
        <w:rPr>
          <w:sz w:val="23"/>
        </w:rPr>
      </w:pPr>
    </w:p>
    <w:p>
      <w:pPr>
        <w:pStyle w:val="ListParagraph"/>
        <w:numPr>
          <w:ilvl w:val="3"/>
          <w:numId w:val="174"/>
        </w:numPr>
        <w:tabs>
          <w:tab w:pos="1954" w:val="left" w:leader="none"/>
          <w:tab w:pos="1955" w:val="left" w:leader="none"/>
        </w:tabs>
        <w:spacing w:line="273" w:lineRule="auto" w:before="0" w:after="0"/>
        <w:ind w:left="513" w:right="1977" w:firstLine="0"/>
        <w:jc w:val="left"/>
        <w:rPr>
          <w:sz w:val="18"/>
        </w:rPr>
      </w:pPr>
      <w:r>
        <w:rPr>
          <w:color w:val="231F20"/>
          <w:w w:val="110"/>
          <w:sz w:val="18"/>
        </w:rPr>
        <w:t>By delivering the document or sending it by first class pre-paid post or by Recorded Delivery post </w:t>
      </w:r>
      <w:r>
        <w:rPr>
          <w:color w:val="231F20"/>
          <w:spacing w:val="2"/>
          <w:w w:val="110"/>
          <w:sz w:val="18"/>
        </w:rPr>
        <w:t>addressed </w:t>
      </w:r>
      <w:r>
        <w:rPr>
          <w:color w:val="231F20"/>
          <w:w w:val="110"/>
          <w:sz w:val="18"/>
        </w:rPr>
        <w:t>to the last known address of the individual to be </w:t>
      </w:r>
      <w:r>
        <w:rPr>
          <w:color w:val="231F20"/>
          <w:spacing w:val="2"/>
          <w:w w:val="110"/>
          <w:sz w:val="18"/>
        </w:rPr>
        <w:t>served </w:t>
      </w:r>
      <w:r>
        <w:rPr>
          <w:color w:val="231F20"/>
          <w:w w:val="110"/>
          <w:sz w:val="18"/>
        </w:rPr>
        <w:t>in a sealed envelope </w:t>
      </w:r>
      <w:r>
        <w:rPr>
          <w:color w:val="231F20"/>
          <w:spacing w:val="2"/>
          <w:w w:val="110"/>
          <w:sz w:val="18"/>
        </w:rPr>
        <w:t>addressed </w:t>
      </w:r>
      <w:r>
        <w:rPr>
          <w:color w:val="231F20"/>
          <w:w w:val="110"/>
          <w:sz w:val="18"/>
        </w:rPr>
        <w:t>to that</w:t>
      </w:r>
      <w:r>
        <w:rPr>
          <w:color w:val="231F20"/>
          <w:spacing w:val="11"/>
          <w:w w:val="110"/>
          <w:sz w:val="18"/>
        </w:rPr>
        <w:t> </w:t>
      </w:r>
      <w:r>
        <w:rPr>
          <w:color w:val="231F20"/>
          <w:w w:val="110"/>
          <w:sz w:val="18"/>
        </w:rPr>
        <w:t>individual.</w:t>
      </w:r>
    </w:p>
    <w:p>
      <w:pPr>
        <w:pStyle w:val="BodyText"/>
        <w:spacing w:before="9"/>
        <w:rPr>
          <w:sz w:val="20"/>
        </w:rPr>
      </w:pPr>
    </w:p>
    <w:p>
      <w:pPr>
        <w:pStyle w:val="ListParagraph"/>
        <w:numPr>
          <w:ilvl w:val="3"/>
          <w:numId w:val="174"/>
        </w:numPr>
        <w:tabs>
          <w:tab w:pos="1953" w:val="left" w:leader="none"/>
          <w:tab w:pos="1954" w:val="left" w:leader="none"/>
        </w:tabs>
        <w:spacing w:line="273" w:lineRule="auto" w:before="0" w:after="0"/>
        <w:ind w:left="513" w:right="2071" w:firstLine="0"/>
        <w:jc w:val="left"/>
        <w:rPr>
          <w:sz w:val="18"/>
        </w:rPr>
      </w:pPr>
      <w:r>
        <w:rPr>
          <w:color w:val="231F20"/>
          <w:w w:val="110"/>
          <w:sz w:val="18"/>
        </w:rPr>
        <w:t>In such other manner as the Assembly Commission or the Appeals Commission (if </w:t>
      </w:r>
      <w:r>
        <w:rPr>
          <w:color w:val="231F20"/>
          <w:spacing w:val="2"/>
          <w:w w:val="110"/>
          <w:sz w:val="18"/>
        </w:rPr>
        <w:t>service </w:t>
      </w:r>
      <w:r>
        <w:rPr>
          <w:color w:val="231F20"/>
          <w:w w:val="110"/>
          <w:sz w:val="18"/>
        </w:rPr>
        <w:t>relates to the Appeals Procedure) may </w:t>
      </w:r>
      <w:r>
        <w:rPr>
          <w:color w:val="231F20"/>
          <w:spacing w:val="2"/>
          <w:w w:val="110"/>
          <w:sz w:val="18"/>
        </w:rPr>
        <w:t>direct </w:t>
      </w:r>
      <w:r>
        <w:rPr>
          <w:color w:val="231F20"/>
          <w:w w:val="110"/>
          <w:sz w:val="18"/>
        </w:rPr>
        <w:t>having regard to the</w:t>
      </w:r>
      <w:r>
        <w:rPr>
          <w:color w:val="231F20"/>
          <w:spacing w:val="1"/>
          <w:w w:val="110"/>
          <w:sz w:val="18"/>
        </w:rPr>
        <w:t> </w:t>
      </w:r>
      <w:r>
        <w:rPr>
          <w:color w:val="231F20"/>
          <w:w w:val="110"/>
          <w:sz w:val="18"/>
        </w:rPr>
        <w:t>circumstances.</w:t>
      </w:r>
    </w:p>
    <w:p>
      <w:pPr>
        <w:pStyle w:val="BodyText"/>
        <w:spacing w:before="8"/>
        <w:rPr>
          <w:sz w:val="20"/>
        </w:rPr>
      </w:pPr>
    </w:p>
    <w:p>
      <w:pPr>
        <w:pStyle w:val="ListParagraph"/>
        <w:numPr>
          <w:ilvl w:val="2"/>
          <w:numId w:val="175"/>
        </w:numPr>
        <w:tabs>
          <w:tab w:pos="1234" w:val="left" w:leader="none"/>
        </w:tabs>
        <w:spacing w:line="273" w:lineRule="auto" w:before="1" w:after="0"/>
        <w:ind w:left="513" w:right="1888" w:firstLine="0"/>
        <w:jc w:val="left"/>
        <w:rPr>
          <w:sz w:val="18"/>
        </w:rPr>
      </w:pPr>
      <w:r>
        <w:rPr>
          <w:color w:val="231F20"/>
          <w:spacing w:val="2"/>
          <w:w w:val="110"/>
          <w:sz w:val="18"/>
        </w:rPr>
        <w:t>Service </w:t>
      </w:r>
      <w:r>
        <w:rPr>
          <w:color w:val="231F20"/>
          <w:w w:val="110"/>
          <w:sz w:val="18"/>
        </w:rPr>
        <w:t>of any document required to be </w:t>
      </w:r>
      <w:r>
        <w:rPr>
          <w:color w:val="231F20"/>
          <w:spacing w:val="2"/>
          <w:w w:val="110"/>
          <w:sz w:val="18"/>
        </w:rPr>
        <w:t>served </w:t>
      </w:r>
      <w:r>
        <w:rPr>
          <w:color w:val="231F20"/>
          <w:w w:val="110"/>
          <w:sz w:val="18"/>
        </w:rPr>
        <w:t>on any Mandated Group shall be deemed to have been properly </w:t>
      </w:r>
      <w:r>
        <w:rPr>
          <w:color w:val="231F20"/>
          <w:spacing w:val="3"/>
          <w:w w:val="110"/>
          <w:sz w:val="18"/>
        </w:rPr>
        <w:t>effected </w:t>
      </w:r>
      <w:r>
        <w:rPr>
          <w:color w:val="231F20"/>
          <w:w w:val="110"/>
          <w:sz w:val="18"/>
        </w:rPr>
        <w:t>in any of the following</w:t>
      </w:r>
      <w:r>
        <w:rPr>
          <w:color w:val="231F20"/>
          <w:spacing w:val="33"/>
          <w:w w:val="110"/>
          <w:sz w:val="18"/>
        </w:rPr>
        <w:t> </w:t>
      </w:r>
      <w:r>
        <w:rPr>
          <w:color w:val="231F20"/>
          <w:spacing w:val="-3"/>
          <w:w w:val="110"/>
          <w:sz w:val="18"/>
        </w:rPr>
        <w:t>ways:</w:t>
      </w:r>
    </w:p>
    <w:p>
      <w:pPr>
        <w:pStyle w:val="BodyText"/>
        <w:spacing w:before="8"/>
        <w:rPr>
          <w:sz w:val="20"/>
        </w:rPr>
      </w:pPr>
    </w:p>
    <w:p>
      <w:pPr>
        <w:pStyle w:val="ListParagraph"/>
        <w:numPr>
          <w:ilvl w:val="3"/>
          <w:numId w:val="175"/>
        </w:numPr>
        <w:tabs>
          <w:tab w:pos="1953" w:val="left" w:leader="none"/>
          <w:tab w:pos="1954" w:val="left" w:leader="none"/>
        </w:tabs>
        <w:spacing w:line="273" w:lineRule="auto" w:before="0" w:after="0"/>
        <w:ind w:left="513" w:right="1790" w:firstLine="0"/>
        <w:jc w:val="left"/>
        <w:rPr>
          <w:sz w:val="18"/>
        </w:rPr>
      </w:pPr>
      <w:r>
        <w:rPr>
          <w:color w:val="231F20"/>
          <w:w w:val="110"/>
          <w:sz w:val="18"/>
        </w:rPr>
        <w:t>By delivering the document personally to that member of the Mandated Group who has been nominated in the Referral Notice to accept </w:t>
      </w:r>
      <w:r>
        <w:rPr>
          <w:color w:val="231F20"/>
          <w:spacing w:val="2"/>
          <w:w w:val="110"/>
          <w:sz w:val="18"/>
        </w:rPr>
        <w:t>service </w:t>
      </w:r>
      <w:r>
        <w:rPr>
          <w:color w:val="231F20"/>
          <w:w w:val="110"/>
          <w:sz w:val="18"/>
        </w:rPr>
        <w:t>or in the  absence of such nomination to the </w:t>
      </w:r>
      <w:r>
        <w:rPr>
          <w:color w:val="231F20"/>
          <w:spacing w:val="2"/>
          <w:w w:val="110"/>
          <w:sz w:val="18"/>
        </w:rPr>
        <w:t>person </w:t>
      </w:r>
      <w:r>
        <w:rPr>
          <w:color w:val="231F20"/>
          <w:w w:val="110"/>
          <w:sz w:val="18"/>
        </w:rPr>
        <w:t>who signed the Referral Notice, provided that in either </w:t>
      </w:r>
      <w:r>
        <w:rPr>
          <w:color w:val="231F20"/>
          <w:spacing w:val="2"/>
          <w:w w:val="110"/>
          <w:sz w:val="18"/>
        </w:rPr>
        <w:t>case </w:t>
      </w:r>
      <w:r>
        <w:rPr>
          <w:color w:val="231F20"/>
          <w:w w:val="110"/>
          <w:sz w:val="18"/>
        </w:rPr>
        <w:t>such </w:t>
      </w:r>
      <w:r>
        <w:rPr>
          <w:color w:val="231F20"/>
          <w:spacing w:val="2"/>
          <w:w w:val="110"/>
          <w:sz w:val="18"/>
        </w:rPr>
        <w:t>person </w:t>
      </w:r>
      <w:r>
        <w:rPr>
          <w:color w:val="231F20"/>
          <w:w w:val="110"/>
          <w:sz w:val="18"/>
        </w:rPr>
        <w:t>is still a member of the Mandated Group when such </w:t>
      </w:r>
      <w:r>
        <w:rPr>
          <w:color w:val="231F20"/>
          <w:spacing w:val="2"/>
          <w:w w:val="110"/>
          <w:sz w:val="18"/>
        </w:rPr>
        <w:t>service </w:t>
      </w:r>
      <w:r>
        <w:rPr>
          <w:color w:val="231F20"/>
          <w:spacing w:val="73"/>
          <w:w w:val="110"/>
          <w:sz w:val="18"/>
        </w:rPr>
        <w:t> </w:t>
      </w:r>
      <w:r>
        <w:rPr>
          <w:color w:val="231F20"/>
          <w:w w:val="110"/>
          <w:sz w:val="18"/>
        </w:rPr>
        <w:t>is required to be</w:t>
      </w:r>
      <w:r>
        <w:rPr>
          <w:color w:val="231F20"/>
          <w:spacing w:val="4"/>
          <w:w w:val="110"/>
          <w:sz w:val="18"/>
        </w:rPr>
        <w:t> </w:t>
      </w:r>
      <w:r>
        <w:rPr>
          <w:color w:val="231F20"/>
          <w:spacing w:val="2"/>
          <w:w w:val="110"/>
          <w:sz w:val="18"/>
        </w:rPr>
        <w:t>effected.</w:t>
      </w:r>
    </w:p>
    <w:p>
      <w:pPr>
        <w:spacing w:after="0" w:line="273" w:lineRule="auto"/>
        <w:jc w:val="left"/>
        <w:rPr>
          <w:sz w:val="18"/>
        </w:rPr>
        <w:sectPr>
          <w:pgSz w:w="11910" w:h="16840"/>
          <w:pgMar w:header="558" w:footer="564" w:top="820" w:bottom="760" w:left="620" w:right="0"/>
        </w:sectPr>
      </w:pPr>
    </w:p>
    <w:p>
      <w:pPr>
        <w:pStyle w:val="BodyText"/>
        <w:spacing w:before="4"/>
        <w:rPr>
          <w:sz w:val="15"/>
        </w:rPr>
      </w:pPr>
    </w:p>
    <w:p>
      <w:pPr>
        <w:pStyle w:val="ListParagraph"/>
        <w:numPr>
          <w:ilvl w:val="3"/>
          <w:numId w:val="175"/>
        </w:numPr>
        <w:tabs>
          <w:tab w:pos="2520" w:val="left" w:leader="none"/>
          <w:tab w:pos="2522" w:val="left" w:leader="none"/>
        </w:tabs>
        <w:spacing w:line="273" w:lineRule="auto" w:before="100" w:after="0"/>
        <w:ind w:left="1080" w:right="1345" w:firstLine="0"/>
        <w:jc w:val="left"/>
        <w:rPr>
          <w:sz w:val="18"/>
        </w:rPr>
      </w:pPr>
      <w:r>
        <w:rPr>
          <w:color w:val="231F20"/>
          <w:w w:val="110"/>
          <w:sz w:val="18"/>
        </w:rPr>
        <w:t>By delivering the document or sending it by first class pre-paid post or  by Recorded Delivery post </w:t>
      </w:r>
      <w:r>
        <w:rPr>
          <w:color w:val="231F20"/>
          <w:spacing w:val="2"/>
          <w:w w:val="110"/>
          <w:sz w:val="18"/>
        </w:rPr>
        <w:t>addressed </w:t>
      </w:r>
      <w:r>
        <w:rPr>
          <w:color w:val="231F20"/>
          <w:w w:val="110"/>
          <w:sz w:val="18"/>
        </w:rPr>
        <w:t>to the </w:t>
      </w:r>
      <w:r>
        <w:rPr>
          <w:color w:val="231F20"/>
          <w:spacing w:val="2"/>
          <w:w w:val="110"/>
          <w:sz w:val="18"/>
        </w:rPr>
        <w:t>person referred </w:t>
      </w:r>
      <w:r>
        <w:rPr>
          <w:color w:val="231F20"/>
          <w:w w:val="110"/>
          <w:sz w:val="18"/>
        </w:rPr>
        <w:t>to in Paragraph H.2.2.1 at the address specified in such nomination </w:t>
      </w:r>
      <w:r>
        <w:rPr>
          <w:color w:val="231F20"/>
          <w:spacing w:val="-6"/>
          <w:w w:val="110"/>
          <w:sz w:val="18"/>
        </w:rPr>
        <w:t>or, </w:t>
      </w:r>
      <w:r>
        <w:rPr>
          <w:color w:val="231F20"/>
          <w:w w:val="110"/>
          <w:sz w:val="18"/>
        </w:rPr>
        <w:t>in the absence of such nomination, at the address given in the Referral</w:t>
      </w:r>
      <w:r>
        <w:rPr>
          <w:color w:val="231F20"/>
          <w:spacing w:val="7"/>
          <w:w w:val="110"/>
          <w:sz w:val="18"/>
        </w:rPr>
        <w:t> </w:t>
      </w:r>
      <w:r>
        <w:rPr>
          <w:color w:val="231F20"/>
          <w:w w:val="110"/>
          <w:sz w:val="18"/>
        </w:rPr>
        <w:t>Notice.</w:t>
      </w:r>
    </w:p>
    <w:p>
      <w:pPr>
        <w:pStyle w:val="BodyText"/>
        <w:spacing w:before="9"/>
        <w:rPr>
          <w:sz w:val="20"/>
        </w:rPr>
      </w:pPr>
    </w:p>
    <w:p>
      <w:pPr>
        <w:pStyle w:val="ListParagraph"/>
        <w:numPr>
          <w:ilvl w:val="3"/>
          <w:numId w:val="175"/>
        </w:numPr>
        <w:tabs>
          <w:tab w:pos="2520" w:val="left" w:leader="none"/>
          <w:tab w:pos="2521" w:val="left" w:leader="none"/>
        </w:tabs>
        <w:spacing w:line="273" w:lineRule="auto" w:before="1" w:after="0"/>
        <w:ind w:left="1080" w:right="1504" w:firstLine="0"/>
        <w:jc w:val="left"/>
        <w:rPr>
          <w:sz w:val="18"/>
        </w:rPr>
      </w:pPr>
      <w:r>
        <w:rPr>
          <w:color w:val="231F20"/>
          <w:w w:val="110"/>
          <w:sz w:val="18"/>
        </w:rPr>
        <w:t>In such other manner as the Assembly Commission or the Appeals Commission (if </w:t>
      </w:r>
      <w:r>
        <w:rPr>
          <w:color w:val="231F20"/>
          <w:spacing w:val="2"/>
          <w:w w:val="110"/>
          <w:sz w:val="18"/>
        </w:rPr>
        <w:t>service </w:t>
      </w:r>
      <w:r>
        <w:rPr>
          <w:color w:val="231F20"/>
          <w:w w:val="110"/>
          <w:sz w:val="18"/>
        </w:rPr>
        <w:t>relates to the Appeals Procedure) may </w:t>
      </w:r>
      <w:r>
        <w:rPr>
          <w:color w:val="231F20"/>
          <w:spacing w:val="2"/>
          <w:w w:val="110"/>
          <w:sz w:val="18"/>
        </w:rPr>
        <w:t>direct </w:t>
      </w:r>
      <w:r>
        <w:rPr>
          <w:color w:val="231F20"/>
          <w:w w:val="110"/>
          <w:sz w:val="18"/>
        </w:rPr>
        <w:t>having regard to the</w:t>
      </w:r>
      <w:r>
        <w:rPr>
          <w:color w:val="231F20"/>
          <w:spacing w:val="1"/>
          <w:w w:val="110"/>
          <w:sz w:val="18"/>
        </w:rPr>
        <w:t> </w:t>
      </w:r>
      <w:r>
        <w:rPr>
          <w:color w:val="231F20"/>
          <w:w w:val="110"/>
          <w:sz w:val="18"/>
        </w:rPr>
        <w:t>circumstances.</w:t>
      </w:r>
    </w:p>
    <w:p>
      <w:pPr>
        <w:pStyle w:val="BodyText"/>
        <w:spacing w:before="8"/>
        <w:rPr>
          <w:sz w:val="20"/>
        </w:rPr>
      </w:pPr>
    </w:p>
    <w:p>
      <w:pPr>
        <w:pStyle w:val="ListParagraph"/>
        <w:numPr>
          <w:ilvl w:val="2"/>
          <w:numId w:val="175"/>
        </w:numPr>
        <w:tabs>
          <w:tab w:pos="1801" w:val="left" w:leader="none"/>
        </w:tabs>
        <w:spacing w:line="273" w:lineRule="auto" w:before="1" w:after="0"/>
        <w:ind w:left="1081" w:right="1158" w:hanging="1"/>
        <w:jc w:val="left"/>
        <w:rPr>
          <w:sz w:val="18"/>
        </w:rPr>
      </w:pPr>
      <w:r>
        <w:rPr>
          <w:color w:val="231F20"/>
          <w:spacing w:val="4"/>
          <w:w w:val="110"/>
          <w:sz w:val="18"/>
        </w:rPr>
        <w:t>Service </w:t>
      </w:r>
      <w:r>
        <w:rPr>
          <w:color w:val="231F20"/>
          <w:w w:val="110"/>
          <w:sz w:val="18"/>
        </w:rPr>
        <w:t>of any </w:t>
      </w:r>
      <w:r>
        <w:rPr>
          <w:color w:val="231F20"/>
          <w:spacing w:val="2"/>
          <w:w w:val="110"/>
          <w:sz w:val="18"/>
        </w:rPr>
        <w:t>document </w:t>
      </w:r>
      <w:r>
        <w:rPr>
          <w:color w:val="231F20"/>
          <w:spacing w:val="3"/>
          <w:w w:val="110"/>
          <w:sz w:val="18"/>
        </w:rPr>
        <w:t>required </w:t>
      </w:r>
      <w:r>
        <w:rPr>
          <w:color w:val="231F20"/>
          <w:w w:val="110"/>
          <w:sz w:val="18"/>
        </w:rPr>
        <w:t>to </w:t>
      </w:r>
      <w:r>
        <w:rPr>
          <w:color w:val="231F20"/>
          <w:spacing w:val="2"/>
          <w:w w:val="110"/>
          <w:sz w:val="18"/>
        </w:rPr>
        <w:t>be </w:t>
      </w:r>
      <w:r>
        <w:rPr>
          <w:color w:val="231F20"/>
          <w:spacing w:val="4"/>
          <w:w w:val="110"/>
          <w:sz w:val="18"/>
        </w:rPr>
        <w:t>served </w:t>
      </w:r>
      <w:r>
        <w:rPr>
          <w:color w:val="231F20"/>
          <w:w w:val="110"/>
          <w:sz w:val="18"/>
        </w:rPr>
        <w:t>on </w:t>
      </w:r>
      <w:r>
        <w:rPr>
          <w:color w:val="231F20"/>
          <w:spacing w:val="2"/>
          <w:w w:val="110"/>
          <w:sz w:val="18"/>
        </w:rPr>
        <w:t>the </w:t>
      </w:r>
      <w:r>
        <w:rPr>
          <w:color w:val="231F20"/>
          <w:spacing w:val="5"/>
          <w:w w:val="110"/>
          <w:sz w:val="18"/>
        </w:rPr>
        <w:t>Secretary </w:t>
      </w:r>
      <w:r>
        <w:rPr>
          <w:color w:val="231F20"/>
          <w:w w:val="110"/>
          <w:sz w:val="18"/>
        </w:rPr>
        <w:t>of </w:t>
      </w:r>
      <w:r>
        <w:rPr>
          <w:color w:val="231F20"/>
          <w:spacing w:val="2"/>
          <w:w w:val="110"/>
          <w:sz w:val="18"/>
        </w:rPr>
        <w:t>the  </w:t>
      </w:r>
      <w:r>
        <w:rPr>
          <w:color w:val="231F20"/>
          <w:spacing w:val="3"/>
          <w:w w:val="110"/>
          <w:sz w:val="18"/>
        </w:rPr>
        <w:t>Assembly Commission </w:t>
      </w:r>
      <w:r>
        <w:rPr>
          <w:color w:val="231F20"/>
          <w:w w:val="110"/>
          <w:sz w:val="18"/>
        </w:rPr>
        <w:t>or on </w:t>
      </w:r>
      <w:r>
        <w:rPr>
          <w:color w:val="231F20"/>
          <w:spacing w:val="2"/>
          <w:w w:val="110"/>
          <w:sz w:val="18"/>
        </w:rPr>
        <w:t>the </w:t>
      </w:r>
      <w:r>
        <w:rPr>
          <w:color w:val="231F20"/>
          <w:spacing w:val="3"/>
          <w:w w:val="110"/>
          <w:sz w:val="18"/>
        </w:rPr>
        <w:t>General </w:t>
      </w:r>
      <w:r>
        <w:rPr>
          <w:color w:val="231F20"/>
          <w:spacing w:val="5"/>
          <w:w w:val="110"/>
          <w:sz w:val="18"/>
        </w:rPr>
        <w:t>Secretary </w:t>
      </w:r>
      <w:r>
        <w:rPr>
          <w:color w:val="231F20"/>
          <w:w w:val="110"/>
          <w:sz w:val="18"/>
        </w:rPr>
        <w:t>shall </w:t>
      </w:r>
      <w:r>
        <w:rPr>
          <w:color w:val="231F20"/>
          <w:spacing w:val="2"/>
          <w:w w:val="110"/>
          <w:sz w:val="18"/>
        </w:rPr>
        <w:t>be </w:t>
      </w:r>
      <w:r>
        <w:rPr>
          <w:color w:val="231F20"/>
          <w:spacing w:val="3"/>
          <w:w w:val="110"/>
          <w:sz w:val="18"/>
        </w:rPr>
        <w:t>deemed </w:t>
      </w:r>
      <w:r>
        <w:rPr>
          <w:color w:val="231F20"/>
          <w:w w:val="110"/>
          <w:sz w:val="18"/>
        </w:rPr>
        <w:t>to have </w:t>
      </w:r>
      <w:r>
        <w:rPr>
          <w:color w:val="231F20"/>
          <w:spacing w:val="3"/>
          <w:w w:val="110"/>
          <w:sz w:val="18"/>
        </w:rPr>
        <w:t>been properly </w:t>
      </w:r>
      <w:r>
        <w:rPr>
          <w:color w:val="231F20"/>
          <w:spacing w:val="4"/>
          <w:w w:val="110"/>
          <w:sz w:val="18"/>
        </w:rPr>
        <w:t>served </w:t>
      </w:r>
      <w:r>
        <w:rPr>
          <w:color w:val="231F20"/>
          <w:w w:val="110"/>
          <w:sz w:val="18"/>
        </w:rPr>
        <w:t>if </w:t>
      </w:r>
      <w:r>
        <w:rPr>
          <w:color w:val="231F20"/>
          <w:spacing w:val="2"/>
          <w:w w:val="110"/>
          <w:sz w:val="18"/>
        </w:rPr>
        <w:t>delivered </w:t>
      </w:r>
      <w:r>
        <w:rPr>
          <w:color w:val="231F20"/>
          <w:w w:val="110"/>
          <w:sz w:val="18"/>
        </w:rPr>
        <w:t>or </w:t>
      </w:r>
      <w:r>
        <w:rPr>
          <w:color w:val="231F20"/>
          <w:spacing w:val="2"/>
          <w:w w:val="110"/>
          <w:sz w:val="18"/>
        </w:rPr>
        <w:t>sent </w:t>
      </w:r>
      <w:r>
        <w:rPr>
          <w:color w:val="231F20"/>
          <w:w w:val="110"/>
          <w:sz w:val="18"/>
        </w:rPr>
        <w:t>by </w:t>
      </w:r>
      <w:r>
        <w:rPr>
          <w:color w:val="231F20"/>
          <w:spacing w:val="3"/>
          <w:w w:val="110"/>
          <w:sz w:val="18"/>
        </w:rPr>
        <w:t>first class </w:t>
      </w:r>
      <w:r>
        <w:rPr>
          <w:color w:val="231F20"/>
          <w:spacing w:val="2"/>
          <w:w w:val="110"/>
          <w:sz w:val="18"/>
        </w:rPr>
        <w:t>pre-paid </w:t>
      </w:r>
      <w:r>
        <w:rPr>
          <w:color w:val="231F20"/>
          <w:spacing w:val="3"/>
          <w:w w:val="110"/>
          <w:sz w:val="18"/>
        </w:rPr>
        <w:t>post </w:t>
      </w:r>
      <w:r>
        <w:rPr>
          <w:color w:val="231F20"/>
          <w:w w:val="110"/>
          <w:sz w:val="18"/>
        </w:rPr>
        <w:t>or by </w:t>
      </w:r>
      <w:r>
        <w:rPr>
          <w:color w:val="231F20"/>
          <w:spacing w:val="3"/>
          <w:w w:val="110"/>
          <w:sz w:val="18"/>
        </w:rPr>
        <w:t>Recorded    Delivery post addressed </w:t>
      </w:r>
      <w:r>
        <w:rPr>
          <w:color w:val="231F20"/>
          <w:w w:val="110"/>
          <w:sz w:val="18"/>
        </w:rPr>
        <w:t>to </w:t>
      </w:r>
      <w:r>
        <w:rPr>
          <w:color w:val="231F20"/>
          <w:spacing w:val="2"/>
          <w:w w:val="110"/>
          <w:sz w:val="18"/>
        </w:rPr>
        <w:t>the </w:t>
      </w:r>
      <w:r>
        <w:rPr>
          <w:color w:val="231F20"/>
          <w:spacing w:val="5"/>
          <w:w w:val="110"/>
          <w:sz w:val="18"/>
        </w:rPr>
        <w:t>Secretary </w:t>
      </w:r>
      <w:r>
        <w:rPr>
          <w:color w:val="231F20"/>
          <w:w w:val="110"/>
          <w:sz w:val="18"/>
        </w:rPr>
        <w:t>of </w:t>
      </w:r>
      <w:r>
        <w:rPr>
          <w:color w:val="231F20"/>
          <w:spacing w:val="2"/>
          <w:w w:val="110"/>
          <w:sz w:val="18"/>
        </w:rPr>
        <w:t>the </w:t>
      </w:r>
      <w:r>
        <w:rPr>
          <w:color w:val="231F20"/>
          <w:spacing w:val="3"/>
          <w:w w:val="110"/>
          <w:sz w:val="18"/>
        </w:rPr>
        <w:t>Assembly Commission </w:t>
      </w:r>
      <w:r>
        <w:rPr>
          <w:color w:val="231F20"/>
          <w:w w:val="110"/>
          <w:sz w:val="18"/>
        </w:rPr>
        <w:t>or </w:t>
      </w:r>
      <w:r>
        <w:rPr>
          <w:color w:val="231F20"/>
          <w:spacing w:val="2"/>
          <w:w w:val="110"/>
          <w:sz w:val="18"/>
        </w:rPr>
        <w:t>the </w:t>
      </w:r>
      <w:r>
        <w:rPr>
          <w:color w:val="231F20"/>
          <w:spacing w:val="3"/>
          <w:w w:val="110"/>
          <w:sz w:val="18"/>
        </w:rPr>
        <w:t>General </w:t>
      </w:r>
      <w:r>
        <w:rPr>
          <w:color w:val="231F20"/>
          <w:spacing w:val="5"/>
          <w:w w:val="110"/>
          <w:sz w:val="18"/>
        </w:rPr>
        <w:t>Secretary </w:t>
      </w:r>
      <w:r>
        <w:rPr>
          <w:color w:val="231F20"/>
          <w:w w:val="110"/>
          <w:sz w:val="18"/>
        </w:rPr>
        <w:t>as </w:t>
      </w:r>
      <w:r>
        <w:rPr>
          <w:color w:val="231F20"/>
          <w:spacing w:val="2"/>
          <w:w w:val="110"/>
          <w:sz w:val="18"/>
        </w:rPr>
        <w:t>the </w:t>
      </w:r>
      <w:r>
        <w:rPr>
          <w:color w:val="231F20"/>
          <w:spacing w:val="3"/>
          <w:w w:val="110"/>
          <w:sz w:val="18"/>
        </w:rPr>
        <w:t>case </w:t>
      </w:r>
      <w:r>
        <w:rPr>
          <w:color w:val="231F20"/>
          <w:w w:val="110"/>
          <w:sz w:val="18"/>
        </w:rPr>
        <w:t>may </w:t>
      </w:r>
      <w:r>
        <w:rPr>
          <w:color w:val="231F20"/>
          <w:spacing w:val="2"/>
          <w:w w:val="110"/>
          <w:sz w:val="18"/>
        </w:rPr>
        <w:t>be </w:t>
      </w:r>
      <w:r>
        <w:rPr>
          <w:color w:val="231F20"/>
          <w:w w:val="110"/>
          <w:sz w:val="18"/>
        </w:rPr>
        <w:t>at </w:t>
      </w:r>
      <w:r>
        <w:rPr>
          <w:color w:val="231F20"/>
          <w:spacing w:val="2"/>
          <w:w w:val="110"/>
          <w:sz w:val="18"/>
        </w:rPr>
        <w:t>the </w:t>
      </w:r>
      <w:r>
        <w:rPr>
          <w:color w:val="231F20"/>
          <w:spacing w:val="3"/>
          <w:w w:val="110"/>
          <w:sz w:val="18"/>
        </w:rPr>
        <w:t>address </w:t>
      </w:r>
      <w:r>
        <w:rPr>
          <w:color w:val="231F20"/>
          <w:w w:val="110"/>
          <w:sz w:val="18"/>
        </w:rPr>
        <w:t>given in </w:t>
      </w:r>
      <w:r>
        <w:rPr>
          <w:color w:val="231F20"/>
          <w:spacing w:val="2"/>
          <w:w w:val="110"/>
          <w:sz w:val="18"/>
        </w:rPr>
        <w:t>the </w:t>
      </w:r>
      <w:r>
        <w:rPr>
          <w:color w:val="231F20"/>
          <w:spacing w:val="3"/>
          <w:w w:val="110"/>
          <w:sz w:val="18"/>
        </w:rPr>
        <w:t>current issue </w:t>
      </w:r>
      <w:r>
        <w:rPr>
          <w:color w:val="231F20"/>
          <w:w w:val="110"/>
          <w:sz w:val="18"/>
        </w:rPr>
        <w:t>of </w:t>
      </w:r>
      <w:r>
        <w:rPr>
          <w:color w:val="231F20"/>
          <w:spacing w:val="2"/>
          <w:w w:val="110"/>
          <w:sz w:val="18"/>
        </w:rPr>
        <w:t>the </w:t>
      </w:r>
      <w:r>
        <w:rPr>
          <w:color w:val="231F20"/>
          <w:w w:val="110"/>
          <w:sz w:val="18"/>
        </w:rPr>
        <w:t>Year   </w:t>
      </w:r>
      <w:r>
        <w:rPr>
          <w:color w:val="231F20"/>
          <w:spacing w:val="3"/>
          <w:w w:val="110"/>
          <w:sz w:val="18"/>
        </w:rPr>
        <w:t>Book </w:t>
      </w:r>
      <w:r>
        <w:rPr>
          <w:color w:val="231F20"/>
          <w:w w:val="110"/>
          <w:sz w:val="18"/>
        </w:rPr>
        <w:t>or </w:t>
      </w:r>
      <w:r>
        <w:rPr>
          <w:color w:val="231F20"/>
          <w:spacing w:val="3"/>
          <w:w w:val="110"/>
          <w:sz w:val="18"/>
        </w:rPr>
        <w:t>subsequently </w:t>
      </w:r>
      <w:r>
        <w:rPr>
          <w:color w:val="231F20"/>
          <w:spacing w:val="2"/>
          <w:w w:val="110"/>
          <w:sz w:val="18"/>
        </w:rPr>
        <w:t>notified </w:t>
      </w:r>
      <w:r>
        <w:rPr>
          <w:color w:val="231F20"/>
          <w:w w:val="110"/>
          <w:sz w:val="18"/>
        </w:rPr>
        <w:t>or (in </w:t>
      </w:r>
      <w:r>
        <w:rPr>
          <w:color w:val="231F20"/>
          <w:spacing w:val="2"/>
          <w:w w:val="110"/>
          <w:sz w:val="18"/>
        </w:rPr>
        <w:t>the </w:t>
      </w:r>
      <w:r>
        <w:rPr>
          <w:color w:val="231F20"/>
          <w:spacing w:val="3"/>
          <w:w w:val="110"/>
          <w:sz w:val="18"/>
        </w:rPr>
        <w:t>absence </w:t>
      </w:r>
      <w:r>
        <w:rPr>
          <w:color w:val="231F20"/>
          <w:w w:val="110"/>
          <w:sz w:val="18"/>
        </w:rPr>
        <w:t>of any </w:t>
      </w:r>
      <w:r>
        <w:rPr>
          <w:color w:val="231F20"/>
          <w:spacing w:val="3"/>
          <w:w w:val="110"/>
          <w:sz w:val="18"/>
        </w:rPr>
        <w:t>such address </w:t>
      </w:r>
      <w:r>
        <w:rPr>
          <w:color w:val="231F20"/>
          <w:w w:val="110"/>
          <w:sz w:val="18"/>
        </w:rPr>
        <w:t>in </w:t>
      </w:r>
      <w:r>
        <w:rPr>
          <w:color w:val="231F20"/>
          <w:spacing w:val="2"/>
          <w:w w:val="110"/>
          <w:sz w:val="18"/>
        </w:rPr>
        <w:t>the </w:t>
      </w:r>
      <w:r>
        <w:rPr>
          <w:color w:val="231F20"/>
          <w:w w:val="110"/>
          <w:sz w:val="18"/>
        </w:rPr>
        <w:t>Year Book) in an envelope </w:t>
      </w:r>
      <w:r>
        <w:rPr>
          <w:color w:val="231F20"/>
          <w:spacing w:val="3"/>
          <w:w w:val="110"/>
          <w:sz w:val="18"/>
        </w:rPr>
        <w:t>addressed </w:t>
      </w:r>
      <w:r>
        <w:rPr>
          <w:color w:val="231F20"/>
          <w:w w:val="110"/>
          <w:sz w:val="18"/>
        </w:rPr>
        <w:t>to that </w:t>
      </w:r>
      <w:r>
        <w:rPr>
          <w:color w:val="231F20"/>
          <w:spacing w:val="4"/>
          <w:w w:val="110"/>
          <w:sz w:val="18"/>
        </w:rPr>
        <w:t>person </w:t>
      </w:r>
      <w:r>
        <w:rPr>
          <w:color w:val="231F20"/>
          <w:w w:val="110"/>
          <w:sz w:val="18"/>
        </w:rPr>
        <w:t>at </w:t>
      </w:r>
      <w:r>
        <w:rPr>
          <w:color w:val="231F20"/>
          <w:spacing w:val="3"/>
          <w:w w:val="110"/>
          <w:sz w:val="18"/>
        </w:rPr>
        <w:t>Church </w:t>
      </w:r>
      <w:r>
        <w:rPr>
          <w:color w:val="231F20"/>
          <w:spacing w:val="2"/>
          <w:w w:val="110"/>
          <w:sz w:val="18"/>
        </w:rPr>
        <w:t>House, </w:t>
      </w:r>
      <w:r>
        <w:rPr>
          <w:color w:val="231F20"/>
          <w:w w:val="110"/>
          <w:sz w:val="18"/>
        </w:rPr>
        <w:t>86 Tavistock </w:t>
      </w:r>
      <w:r>
        <w:rPr>
          <w:color w:val="231F20"/>
          <w:spacing w:val="2"/>
          <w:w w:val="110"/>
          <w:sz w:val="18"/>
        </w:rPr>
        <w:t>Place, </w:t>
      </w:r>
      <w:r>
        <w:rPr>
          <w:color w:val="231F20"/>
          <w:spacing w:val="3"/>
          <w:w w:val="110"/>
          <w:sz w:val="18"/>
        </w:rPr>
        <w:t>London </w:t>
      </w:r>
      <w:r>
        <w:rPr>
          <w:color w:val="231F20"/>
          <w:w w:val="110"/>
          <w:sz w:val="18"/>
        </w:rPr>
        <w:t>WC1H 9RT and marked </w:t>
      </w:r>
      <w:r>
        <w:rPr>
          <w:color w:val="231F20"/>
          <w:spacing w:val="4"/>
          <w:w w:val="110"/>
          <w:sz w:val="18"/>
        </w:rPr>
        <w:t>“Section </w:t>
      </w:r>
      <w:r>
        <w:rPr>
          <w:color w:val="231F20"/>
          <w:w w:val="110"/>
          <w:sz w:val="18"/>
        </w:rPr>
        <w:t>O</w:t>
      </w:r>
      <w:r>
        <w:rPr>
          <w:color w:val="231F20"/>
          <w:spacing w:val="29"/>
          <w:w w:val="110"/>
          <w:sz w:val="18"/>
        </w:rPr>
        <w:t> </w:t>
      </w:r>
      <w:r>
        <w:rPr>
          <w:color w:val="231F20"/>
          <w:spacing w:val="2"/>
          <w:w w:val="110"/>
          <w:sz w:val="18"/>
        </w:rPr>
        <w:t>Process”.</w:t>
      </w:r>
    </w:p>
    <w:p>
      <w:pPr>
        <w:pStyle w:val="BodyText"/>
        <w:spacing w:before="11"/>
        <w:rPr>
          <w:sz w:val="20"/>
        </w:rPr>
      </w:pPr>
    </w:p>
    <w:p>
      <w:pPr>
        <w:pStyle w:val="ListParagraph"/>
        <w:numPr>
          <w:ilvl w:val="2"/>
          <w:numId w:val="175"/>
        </w:numPr>
        <w:tabs>
          <w:tab w:pos="1808" w:val="left" w:leader="none"/>
        </w:tabs>
        <w:spacing w:line="240" w:lineRule="auto" w:before="1" w:after="0"/>
        <w:ind w:left="1807" w:right="0" w:hanging="721"/>
        <w:jc w:val="left"/>
        <w:rPr>
          <w:sz w:val="18"/>
        </w:rPr>
      </w:pPr>
      <w:r>
        <w:rPr>
          <w:color w:val="231F20"/>
          <w:w w:val="110"/>
          <w:sz w:val="18"/>
        </w:rPr>
        <w:t>All documents required to be </w:t>
      </w:r>
      <w:r>
        <w:rPr>
          <w:color w:val="231F20"/>
          <w:spacing w:val="2"/>
          <w:w w:val="110"/>
          <w:sz w:val="18"/>
        </w:rPr>
        <w:t>served </w:t>
      </w:r>
      <w:r>
        <w:rPr>
          <w:color w:val="231F20"/>
          <w:w w:val="110"/>
          <w:sz w:val="18"/>
        </w:rPr>
        <w:t>shall be placed in a sealed envelope</w:t>
      </w:r>
      <w:r>
        <w:rPr>
          <w:color w:val="231F20"/>
          <w:spacing w:val="63"/>
          <w:w w:val="110"/>
          <w:sz w:val="18"/>
        </w:rPr>
        <w:t> </w:t>
      </w:r>
      <w:r>
        <w:rPr>
          <w:color w:val="231F20"/>
          <w:w w:val="110"/>
          <w:sz w:val="18"/>
        </w:rPr>
        <w:t>clearly</w:t>
      </w:r>
    </w:p>
    <w:p>
      <w:pPr>
        <w:pStyle w:val="BodyText"/>
        <w:spacing w:before="31"/>
        <w:ind w:left="1087"/>
      </w:pPr>
      <w:r>
        <w:rPr>
          <w:color w:val="231F20"/>
          <w:w w:val="110"/>
        </w:rPr>
        <w:t>addressed to the addressee and marked “Private and Confidential”.</w:t>
      </w:r>
    </w:p>
    <w:p>
      <w:pPr>
        <w:pStyle w:val="BodyText"/>
        <w:spacing w:before="1"/>
        <w:rPr>
          <w:sz w:val="23"/>
        </w:rPr>
      </w:pPr>
    </w:p>
    <w:p>
      <w:pPr>
        <w:pStyle w:val="ListParagraph"/>
        <w:numPr>
          <w:ilvl w:val="2"/>
          <w:numId w:val="175"/>
        </w:numPr>
        <w:tabs>
          <w:tab w:pos="1808" w:val="left" w:leader="none"/>
        </w:tabs>
        <w:spacing w:line="240" w:lineRule="auto" w:before="1" w:after="0"/>
        <w:ind w:left="1807" w:right="0" w:hanging="721"/>
        <w:jc w:val="left"/>
        <w:rPr>
          <w:sz w:val="18"/>
        </w:rPr>
      </w:pPr>
      <w:r>
        <w:rPr>
          <w:color w:val="231F20"/>
          <w:w w:val="110"/>
          <w:sz w:val="18"/>
        </w:rPr>
        <w:t>In the </w:t>
      </w:r>
      <w:r>
        <w:rPr>
          <w:color w:val="231F20"/>
          <w:spacing w:val="2"/>
          <w:w w:val="110"/>
          <w:sz w:val="18"/>
        </w:rPr>
        <w:t>case </w:t>
      </w:r>
      <w:r>
        <w:rPr>
          <w:color w:val="231F20"/>
          <w:w w:val="110"/>
          <w:sz w:val="18"/>
        </w:rPr>
        <w:t>of </w:t>
      </w:r>
      <w:r>
        <w:rPr>
          <w:color w:val="231F20"/>
          <w:spacing w:val="2"/>
          <w:w w:val="110"/>
          <w:sz w:val="18"/>
        </w:rPr>
        <w:t>service </w:t>
      </w:r>
      <w:r>
        <w:rPr>
          <w:color w:val="231F20"/>
          <w:w w:val="110"/>
          <w:sz w:val="18"/>
        </w:rPr>
        <w:t>of documents by first class pre-paid post, </w:t>
      </w:r>
      <w:r>
        <w:rPr>
          <w:color w:val="231F20"/>
          <w:spacing w:val="2"/>
          <w:w w:val="110"/>
          <w:sz w:val="18"/>
        </w:rPr>
        <w:t>service </w:t>
      </w:r>
      <w:r>
        <w:rPr>
          <w:color w:val="231F20"/>
          <w:w w:val="110"/>
          <w:sz w:val="18"/>
        </w:rPr>
        <w:t>shall</w:t>
      </w:r>
      <w:r>
        <w:rPr>
          <w:color w:val="231F20"/>
          <w:spacing w:val="60"/>
          <w:w w:val="110"/>
          <w:sz w:val="18"/>
        </w:rPr>
        <w:t> </w:t>
      </w:r>
      <w:r>
        <w:rPr>
          <w:color w:val="231F20"/>
          <w:w w:val="110"/>
          <w:sz w:val="18"/>
        </w:rPr>
        <w:t>be</w:t>
      </w:r>
    </w:p>
    <w:p>
      <w:pPr>
        <w:pStyle w:val="BodyText"/>
        <w:spacing w:before="31"/>
        <w:ind w:left="1087"/>
      </w:pPr>
      <w:r>
        <w:rPr>
          <w:color w:val="231F20"/>
          <w:w w:val="110"/>
        </w:rPr>
        <w:t>deemed to have been effected on the third day after the posting of the Notice.</w:t>
      </w:r>
    </w:p>
    <w:p>
      <w:pPr>
        <w:pStyle w:val="BodyText"/>
        <w:spacing w:before="1"/>
        <w:rPr>
          <w:sz w:val="23"/>
        </w:rPr>
      </w:pPr>
    </w:p>
    <w:p>
      <w:pPr>
        <w:pStyle w:val="ListParagraph"/>
        <w:numPr>
          <w:ilvl w:val="2"/>
          <w:numId w:val="122"/>
        </w:numPr>
        <w:tabs>
          <w:tab w:pos="1807" w:val="left" w:leader="none"/>
          <w:tab w:pos="1808" w:val="left" w:leader="none"/>
        </w:tabs>
        <w:spacing w:line="273" w:lineRule="auto" w:before="1" w:after="0"/>
        <w:ind w:left="1087" w:right="1280" w:firstLine="0"/>
        <w:jc w:val="left"/>
        <w:rPr>
          <w:sz w:val="18"/>
        </w:rPr>
      </w:pPr>
      <w:r>
        <w:rPr>
          <w:color w:val="231F20"/>
          <w:w w:val="110"/>
          <w:sz w:val="18"/>
        </w:rPr>
        <w:t>Deletion as a result of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shall have the </w:t>
      </w:r>
      <w:r>
        <w:rPr>
          <w:color w:val="231F20"/>
          <w:spacing w:val="3"/>
          <w:w w:val="110"/>
          <w:sz w:val="18"/>
        </w:rPr>
        <w:t>effect </w:t>
      </w:r>
      <w:r>
        <w:rPr>
          <w:color w:val="231F20"/>
          <w:w w:val="110"/>
          <w:sz w:val="18"/>
        </w:rPr>
        <w:t>of terminating any contract, </w:t>
      </w:r>
      <w:r>
        <w:rPr>
          <w:color w:val="231F20"/>
          <w:spacing w:val="2"/>
          <w:w w:val="110"/>
          <w:sz w:val="18"/>
        </w:rPr>
        <w:t>written </w:t>
      </w:r>
      <w:r>
        <w:rPr>
          <w:color w:val="231F20"/>
          <w:w w:val="110"/>
          <w:sz w:val="18"/>
        </w:rPr>
        <w:t>or oral, between the Minister and the United Reformed Church or any constituent </w:t>
      </w:r>
      <w:r>
        <w:rPr>
          <w:color w:val="231F20"/>
          <w:spacing w:val="2"/>
          <w:w w:val="110"/>
          <w:sz w:val="18"/>
        </w:rPr>
        <w:t>part </w:t>
      </w:r>
      <w:r>
        <w:rPr>
          <w:color w:val="231F20"/>
          <w:w w:val="110"/>
          <w:sz w:val="18"/>
        </w:rPr>
        <w:t>thereof in relation to his/her</w:t>
      </w:r>
      <w:r>
        <w:rPr>
          <w:color w:val="231F20"/>
          <w:spacing w:val="18"/>
          <w:w w:val="110"/>
          <w:sz w:val="18"/>
        </w:rPr>
        <w:t> </w:t>
      </w:r>
      <w:r>
        <w:rPr>
          <w:color w:val="231F20"/>
          <w:w w:val="110"/>
          <w:sz w:val="18"/>
        </w:rPr>
        <w:t>ministry.</w:t>
      </w:r>
    </w:p>
    <w:p>
      <w:pPr>
        <w:pStyle w:val="BodyText"/>
        <w:spacing w:before="8"/>
        <w:rPr>
          <w:sz w:val="20"/>
        </w:rPr>
      </w:pPr>
    </w:p>
    <w:p>
      <w:pPr>
        <w:pStyle w:val="ListParagraph"/>
        <w:numPr>
          <w:ilvl w:val="2"/>
          <w:numId w:val="122"/>
        </w:numPr>
        <w:tabs>
          <w:tab w:pos="1807" w:val="left" w:leader="none"/>
          <w:tab w:pos="1808" w:val="left" w:leader="none"/>
        </w:tabs>
        <w:spacing w:line="273" w:lineRule="auto" w:before="0" w:after="0"/>
        <w:ind w:left="1087" w:right="1542" w:firstLine="0"/>
        <w:jc w:val="left"/>
        <w:rPr>
          <w:sz w:val="18"/>
        </w:rPr>
      </w:pPr>
      <w:r>
        <w:rPr>
          <w:color w:val="231F20"/>
          <w:w w:val="110"/>
          <w:sz w:val="18"/>
        </w:rPr>
        <w:t>Within one month of the conclusion of each </w:t>
      </w:r>
      <w:r>
        <w:rPr>
          <w:color w:val="231F20"/>
          <w:spacing w:val="2"/>
          <w:w w:val="110"/>
          <w:sz w:val="18"/>
        </w:rPr>
        <w:t>case </w:t>
      </w:r>
      <w:r>
        <w:rPr>
          <w:color w:val="231F20"/>
          <w:w w:val="110"/>
          <w:sz w:val="18"/>
        </w:rPr>
        <w:t>as provided in Paragraph   </w:t>
      </w:r>
      <w:r>
        <w:rPr>
          <w:color w:val="231F20"/>
          <w:spacing w:val="-15"/>
          <w:w w:val="110"/>
          <w:sz w:val="18"/>
        </w:rPr>
        <w:t>F.7,</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Mandated</w:t>
      </w:r>
      <w:r>
        <w:rPr>
          <w:color w:val="231F20"/>
          <w:spacing w:val="10"/>
          <w:w w:val="110"/>
          <w:sz w:val="18"/>
        </w:rPr>
        <w:t> </w:t>
      </w:r>
      <w:r>
        <w:rPr>
          <w:color w:val="231F20"/>
          <w:w w:val="110"/>
          <w:sz w:val="18"/>
        </w:rPr>
        <w:t>Group</w:t>
      </w:r>
      <w:r>
        <w:rPr>
          <w:color w:val="231F20"/>
          <w:spacing w:val="10"/>
          <w:w w:val="110"/>
          <w:sz w:val="18"/>
        </w:rPr>
        <w:t> </w:t>
      </w:r>
      <w:r>
        <w:rPr>
          <w:color w:val="231F20"/>
          <w:w w:val="110"/>
          <w:sz w:val="18"/>
        </w:rPr>
        <w:t>shall</w:t>
      </w:r>
      <w:r>
        <w:rPr>
          <w:color w:val="231F20"/>
          <w:spacing w:val="10"/>
          <w:w w:val="110"/>
          <w:sz w:val="18"/>
        </w:rPr>
        <w:t> </w:t>
      </w:r>
      <w:r>
        <w:rPr>
          <w:color w:val="231F20"/>
          <w:w w:val="110"/>
          <w:sz w:val="18"/>
        </w:rPr>
        <w:t>prepare</w:t>
      </w:r>
      <w:r>
        <w:rPr>
          <w:color w:val="231F20"/>
          <w:spacing w:val="11"/>
          <w:w w:val="110"/>
          <w:sz w:val="18"/>
        </w:rPr>
        <w:t> </w:t>
      </w:r>
      <w:r>
        <w:rPr>
          <w:color w:val="231F20"/>
          <w:w w:val="110"/>
          <w:sz w:val="18"/>
        </w:rPr>
        <w:t>a</w:t>
      </w:r>
      <w:r>
        <w:rPr>
          <w:color w:val="231F20"/>
          <w:spacing w:val="10"/>
          <w:w w:val="110"/>
          <w:sz w:val="18"/>
        </w:rPr>
        <w:t> </w:t>
      </w:r>
      <w:r>
        <w:rPr>
          <w:color w:val="231F20"/>
          <w:w w:val="110"/>
          <w:sz w:val="18"/>
        </w:rPr>
        <w:t>written</w:t>
      </w:r>
      <w:r>
        <w:rPr>
          <w:color w:val="231F20"/>
          <w:spacing w:val="10"/>
          <w:w w:val="110"/>
          <w:sz w:val="18"/>
        </w:rPr>
        <w:t> </w:t>
      </w:r>
      <w:r>
        <w:rPr>
          <w:color w:val="231F20"/>
          <w:spacing w:val="3"/>
          <w:w w:val="110"/>
          <w:sz w:val="18"/>
        </w:rPr>
        <w:t>report</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its</w:t>
      </w:r>
      <w:r>
        <w:rPr>
          <w:color w:val="231F20"/>
          <w:spacing w:val="11"/>
          <w:w w:val="110"/>
          <w:sz w:val="18"/>
        </w:rPr>
        <w:t> </w:t>
      </w:r>
      <w:r>
        <w:rPr>
          <w:color w:val="231F20"/>
          <w:w w:val="110"/>
          <w:sz w:val="18"/>
        </w:rPr>
        <w:t>conduct</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0"/>
          <w:w w:val="110"/>
          <w:sz w:val="18"/>
        </w:rPr>
        <w:t> </w:t>
      </w:r>
      <w:r>
        <w:rPr>
          <w:color w:val="231F20"/>
          <w:spacing w:val="2"/>
          <w:w w:val="110"/>
          <w:sz w:val="18"/>
        </w:rPr>
        <w:t>case</w:t>
      </w:r>
      <w:r>
        <w:rPr>
          <w:color w:val="231F20"/>
          <w:spacing w:val="10"/>
          <w:w w:val="110"/>
          <w:sz w:val="18"/>
        </w:rPr>
        <w:t> </w:t>
      </w:r>
      <w:r>
        <w:rPr>
          <w:color w:val="231F20"/>
          <w:w w:val="110"/>
          <w:sz w:val="18"/>
        </w:rPr>
        <w:t>and</w:t>
      </w:r>
    </w:p>
    <w:p>
      <w:pPr>
        <w:pStyle w:val="BodyText"/>
        <w:spacing w:line="273" w:lineRule="auto" w:before="2"/>
        <w:ind w:left="1087" w:right="1431"/>
      </w:pPr>
      <w:r>
        <w:rPr>
          <w:color w:val="231F20"/>
          <w:w w:val="110"/>
        </w:rPr>
        <w:t>submit it to the </w:t>
      </w:r>
      <w:r>
        <w:rPr>
          <w:color w:val="231F20"/>
          <w:spacing w:val="3"/>
          <w:w w:val="110"/>
        </w:rPr>
        <w:t>Secretary </w:t>
      </w:r>
      <w:r>
        <w:rPr>
          <w:color w:val="231F20"/>
          <w:w w:val="110"/>
        </w:rPr>
        <w:t>of the Assembly Commission, who shall, in order to </w:t>
      </w:r>
      <w:r>
        <w:rPr>
          <w:color w:val="231F20"/>
          <w:spacing w:val="2"/>
          <w:w w:val="110"/>
        </w:rPr>
        <w:t>preserve </w:t>
      </w:r>
      <w:r>
        <w:rPr>
          <w:color w:val="231F20"/>
          <w:w w:val="110"/>
        </w:rPr>
        <w:t>confidentiality, remove </w:t>
      </w:r>
      <w:r>
        <w:rPr>
          <w:color w:val="231F20"/>
          <w:spacing w:val="2"/>
          <w:w w:val="110"/>
        </w:rPr>
        <w:t>from </w:t>
      </w:r>
      <w:r>
        <w:rPr>
          <w:color w:val="231F20"/>
          <w:w w:val="110"/>
        </w:rPr>
        <w:t>the </w:t>
      </w:r>
      <w:r>
        <w:rPr>
          <w:color w:val="231F20"/>
          <w:spacing w:val="3"/>
          <w:w w:val="110"/>
        </w:rPr>
        <w:t>report </w:t>
      </w:r>
      <w:r>
        <w:rPr>
          <w:color w:val="231F20"/>
          <w:w w:val="110"/>
        </w:rPr>
        <w:t>the name and address of the Minister, the   name of the Minister’s church(es) and any other information which might lead to</w:t>
      </w:r>
      <w:r>
        <w:rPr>
          <w:color w:val="231F20"/>
          <w:spacing w:val="11"/>
          <w:w w:val="110"/>
        </w:rPr>
        <w:t> </w:t>
      </w:r>
      <w:r>
        <w:rPr>
          <w:color w:val="231F20"/>
          <w:w w:val="110"/>
        </w:rPr>
        <w:t>the</w:t>
      </w:r>
    </w:p>
    <w:p>
      <w:pPr>
        <w:pStyle w:val="BodyText"/>
        <w:spacing w:line="273" w:lineRule="auto" w:before="2"/>
        <w:ind w:left="1087" w:right="1195"/>
        <w:jc w:val="both"/>
      </w:pPr>
      <w:r>
        <w:rPr>
          <w:color w:val="231F20"/>
          <w:w w:val="110"/>
        </w:rPr>
        <w:t>identification of any individuals involved in the case.  The purpose of the </w:t>
      </w:r>
      <w:r>
        <w:rPr>
          <w:color w:val="231F20"/>
          <w:spacing w:val="3"/>
          <w:w w:val="110"/>
        </w:rPr>
        <w:t>report </w:t>
      </w:r>
      <w:r>
        <w:rPr>
          <w:color w:val="231F20"/>
          <w:w w:val="110"/>
        </w:rPr>
        <w:t>shall be to help those charged with the ongoing review of the operation of the </w:t>
      </w:r>
      <w:r>
        <w:rPr>
          <w:color w:val="231F20"/>
          <w:spacing w:val="2"/>
          <w:w w:val="110"/>
        </w:rPr>
        <w:t>Section </w:t>
      </w:r>
      <w:r>
        <w:rPr>
          <w:color w:val="231F20"/>
          <w:w w:val="110"/>
        </w:rPr>
        <w:t>O </w:t>
      </w:r>
      <w:r>
        <w:rPr>
          <w:color w:val="231F20"/>
          <w:spacing w:val="2"/>
          <w:w w:val="110"/>
        </w:rPr>
        <w:t>Process</w:t>
      </w:r>
      <w:r>
        <w:rPr>
          <w:color w:val="231F20"/>
          <w:spacing w:val="73"/>
          <w:w w:val="110"/>
        </w:rPr>
        <w:t> </w:t>
      </w:r>
      <w:r>
        <w:rPr>
          <w:color w:val="231F20"/>
          <w:w w:val="110"/>
        </w:rPr>
        <w:t>to monitor the </w:t>
      </w:r>
      <w:r>
        <w:rPr>
          <w:color w:val="231F20"/>
          <w:spacing w:val="2"/>
          <w:w w:val="110"/>
        </w:rPr>
        <w:t>performance </w:t>
      </w:r>
      <w:r>
        <w:rPr>
          <w:color w:val="231F20"/>
          <w:w w:val="110"/>
        </w:rPr>
        <w:t>of Mandated Groups and thus to ensure that all appropriate training and assistance is provided and the highest standards are</w:t>
      </w:r>
      <w:r>
        <w:rPr>
          <w:color w:val="231F20"/>
          <w:spacing w:val="61"/>
          <w:w w:val="110"/>
        </w:rPr>
        <w:t> </w:t>
      </w:r>
      <w:r>
        <w:rPr>
          <w:color w:val="231F20"/>
          <w:w w:val="110"/>
        </w:rPr>
        <w:t>maintained.</w:t>
      </w:r>
    </w:p>
    <w:p>
      <w:pPr>
        <w:pStyle w:val="BodyText"/>
        <w:spacing w:before="8"/>
        <w:rPr>
          <w:sz w:val="20"/>
        </w:rPr>
      </w:pPr>
    </w:p>
    <w:p>
      <w:pPr>
        <w:spacing w:line="273" w:lineRule="auto" w:before="0"/>
        <w:ind w:left="1080" w:right="1205" w:firstLine="0"/>
        <w:jc w:val="left"/>
        <w:rPr>
          <w:i/>
          <w:sz w:val="18"/>
        </w:rPr>
      </w:pPr>
      <w:r>
        <w:rPr>
          <w:i/>
          <w:color w:val="231F20"/>
          <w:w w:val="110"/>
          <w:sz w:val="18"/>
        </w:rPr>
        <w:t>For the avoidance of confusion, there is no Section I, the Rules of Procedure moving </w:t>
      </w:r>
      <w:r>
        <w:rPr>
          <w:i/>
          <w:color w:val="231F20"/>
          <w:w w:val="110"/>
          <w:sz w:val="18"/>
        </w:rPr>
        <w:t>directly from Section H to Section J.</w:t>
      </w:r>
    </w:p>
    <w:p>
      <w:pPr>
        <w:pStyle w:val="BodyText"/>
        <w:rPr>
          <w:i/>
          <w:sz w:val="19"/>
        </w:rPr>
      </w:pPr>
    </w:p>
    <w:p>
      <w:pPr>
        <w:numPr>
          <w:ilvl w:val="0"/>
          <w:numId w:val="176"/>
        </w:numPr>
        <w:tabs>
          <w:tab w:pos="1800" w:val="left" w:leader="none"/>
          <w:tab w:pos="1801" w:val="left" w:leader="none"/>
        </w:tabs>
        <w:spacing w:line="247" w:lineRule="auto" w:before="1"/>
        <w:ind w:left="1800" w:right="2266" w:hanging="721"/>
        <w:jc w:val="left"/>
        <w:rPr>
          <w:b/>
          <w:sz w:val="20"/>
        </w:rPr>
      </w:pPr>
      <w:r>
        <w:rPr>
          <w:b/>
          <w:color w:val="231F20"/>
          <w:w w:val="110"/>
          <w:sz w:val="20"/>
        </w:rPr>
        <w:t>REPORT TO </w:t>
      </w:r>
      <w:r>
        <w:rPr>
          <w:b/>
          <w:color w:val="231F20"/>
          <w:spacing w:val="2"/>
          <w:w w:val="110"/>
          <w:sz w:val="20"/>
        </w:rPr>
        <w:t>GENERAL </w:t>
      </w:r>
      <w:r>
        <w:rPr>
          <w:b/>
          <w:color w:val="231F20"/>
          <w:spacing w:val="-3"/>
          <w:w w:val="110"/>
          <w:sz w:val="20"/>
        </w:rPr>
        <w:t>ASSEMBLY, </w:t>
      </w:r>
      <w:r>
        <w:rPr>
          <w:b/>
          <w:color w:val="231F20"/>
          <w:w w:val="110"/>
          <w:sz w:val="20"/>
        </w:rPr>
        <w:t>COSTS &amp; RETENTION OF RECORDS AND</w:t>
      </w:r>
      <w:r>
        <w:rPr>
          <w:b/>
          <w:color w:val="231F20"/>
          <w:spacing w:val="-2"/>
          <w:w w:val="110"/>
          <w:sz w:val="20"/>
        </w:rPr>
        <w:t> </w:t>
      </w:r>
      <w:r>
        <w:rPr>
          <w:b/>
          <w:color w:val="231F20"/>
          <w:w w:val="110"/>
          <w:sz w:val="20"/>
        </w:rPr>
        <w:t>PAPERS</w:t>
      </w:r>
    </w:p>
    <w:p>
      <w:pPr>
        <w:pStyle w:val="BodyText"/>
        <w:spacing w:before="1"/>
        <w:rPr>
          <w:b/>
          <w:sz w:val="22"/>
        </w:rPr>
      </w:pPr>
    </w:p>
    <w:p>
      <w:pPr>
        <w:pStyle w:val="ListParagraph"/>
        <w:numPr>
          <w:ilvl w:val="1"/>
          <w:numId w:val="176"/>
        </w:numPr>
        <w:tabs>
          <w:tab w:pos="1801" w:val="left" w:leader="none"/>
        </w:tabs>
        <w:spacing w:line="273" w:lineRule="auto" w:before="1" w:after="0"/>
        <w:ind w:left="1080" w:right="1167" w:firstLine="0"/>
        <w:jc w:val="both"/>
        <w:rPr>
          <w:sz w:val="18"/>
        </w:rPr>
      </w:pPr>
      <w:r>
        <w:rPr>
          <w:color w:val="231F20"/>
          <w:w w:val="110"/>
          <w:sz w:val="18"/>
        </w:rPr>
        <w:t>The General </w:t>
      </w:r>
      <w:r>
        <w:rPr>
          <w:color w:val="231F20"/>
          <w:spacing w:val="3"/>
          <w:w w:val="110"/>
          <w:sz w:val="18"/>
        </w:rPr>
        <w:t>Secretary </w:t>
      </w:r>
      <w:r>
        <w:rPr>
          <w:color w:val="231F20"/>
          <w:w w:val="110"/>
          <w:sz w:val="18"/>
        </w:rPr>
        <w:t>shall </w:t>
      </w:r>
      <w:r>
        <w:rPr>
          <w:color w:val="231F20"/>
          <w:spacing w:val="3"/>
          <w:w w:val="110"/>
          <w:sz w:val="18"/>
        </w:rPr>
        <w:t>report </w:t>
      </w:r>
      <w:r>
        <w:rPr>
          <w:color w:val="231F20"/>
          <w:w w:val="110"/>
          <w:sz w:val="18"/>
        </w:rPr>
        <w:t>to the General Assembly all decisions </w:t>
      </w:r>
      <w:r>
        <w:rPr>
          <w:color w:val="231F20"/>
          <w:spacing w:val="2"/>
          <w:w w:val="110"/>
          <w:sz w:val="18"/>
        </w:rPr>
        <w:t>reached </w:t>
      </w:r>
      <w:r>
        <w:rPr>
          <w:color w:val="231F20"/>
          <w:w w:val="110"/>
          <w:sz w:val="18"/>
        </w:rPr>
        <w:t>by</w:t>
      </w:r>
      <w:r>
        <w:rPr>
          <w:color w:val="231F20"/>
          <w:spacing w:val="8"/>
          <w:w w:val="110"/>
          <w:sz w:val="18"/>
        </w:rPr>
        <w:t> </w:t>
      </w:r>
      <w:r>
        <w:rPr>
          <w:color w:val="231F20"/>
          <w:w w:val="110"/>
          <w:sz w:val="18"/>
        </w:rPr>
        <w:t>the</w:t>
      </w:r>
      <w:r>
        <w:rPr>
          <w:color w:val="231F20"/>
          <w:spacing w:val="8"/>
          <w:w w:val="110"/>
          <w:sz w:val="18"/>
        </w:rPr>
        <w:t> </w:t>
      </w:r>
      <w:r>
        <w:rPr>
          <w:color w:val="231F20"/>
          <w:w w:val="110"/>
          <w:sz w:val="18"/>
        </w:rPr>
        <w:t>Assembly</w:t>
      </w:r>
      <w:r>
        <w:rPr>
          <w:color w:val="231F20"/>
          <w:spacing w:val="8"/>
          <w:w w:val="110"/>
          <w:sz w:val="18"/>
        </w:rPr>
        <w:t> </w:t>
      </w:r>
      <w:r>
        <w:rPr>
          <w:color w:val="231F20"/>
          <w:w w:val="110"/>
          <w:sz w:val="18"/>
        </w:rPr>
        <w:t>Commission</w:t>
      </w:r>
      <w:r>
        <w:rPr>
          <w:color w:val="231F20"/>
          <w:spacing w:val="8"/>
          <w:w w:val="110"/>
          <w:sz w:val="18"/>
        </w:rPr>
        <w:t> </w:t>
      </w:r>
      <w:r>
        <w:rPr>
          <w:color w:val="231F20"/>
          <w:w w:val="110"/>
          <w:sz w:val="18"/>
        </w:rPr>
        <w:t>and</w:t>
      </w:r>
      <w:r>
        <w:rPr>
          <w:color w:val="231F20"/>
          <w:spacing w:val="8"/>
          <w:w w:val="110"/>
          <w:sz w:val="18"/>
        </w:rPr>
        <w:t> </w:t>
      </w:r>
      <w:r>
        <w:rPr>
          <w:color w:val="231F20"/>
          <w:w w:val="110"/>
          <w:sz w:val="18"/>
        </w:rPr>
        <w:t>the</w:t>
      </w:r>
      <w:r>
        <w:rPr>
          <w:color w:val="231F20"/>
          <w:spacing w:val="8"/>
          <w:w w:val="110"/>
          <w:sz w:val="18"/>
        </w:rPr>
        <w:t> </w:t>
      </w:r>
      <w:r>
        <w:rPr>
          <w:color w:val="231F20"/>
          <w:w w:val="110"/>
          <w:sz w:val="18"/>
        </w:rPr>
        <w:t>Appeals</w:t>
      </w:r>
      <w:r>
        <w:rPr>
          <w:color w:val="231F20"/>
          <w:spacing w:val="8"/>
          <w:w w:val="110"/>
          <w:sz w:val="18"/>
        </w:rPr>
        <w:t> </w:t>
      </w:r>
      <w:r>
        <w:rPr>
          <w:color w:val="231F20"/>
          <w:w w:val="110"/>
          <w:sz w:val="18"/>
        </w:rPr>
        <w:t>Commission</w:t>
      </w:r>
      <w:r>
        <w:rPr>
          <w:color w:val="231F20"/>
          <w:spacing w:val="8"/>
          <w:w w:val="110"/>
          <w:sz w:val="18"/>
        </w:rPr>
        <w:t> </w:t>
      </w:r>
      <w:r>
        <w:rPr>
          <w:color w:val="231F20"/>
          <w:w w:val="110"/>
          <w:sz w:val="18"/>
        </w:rPr>
        <w:t>in</w:t>
      </w:r>
      <w:r>
        <w:rPr>
          <w:color w:val="231F20"/>
          <w:spacing w:val="8"/>
          <w:w w:val="110"/>
          <w:sz w:val="18"/>
        </w:rPr>
        <w:t> </w:t>
      </w:r>
      <w:r>
        <w:rPr>
          <w:color w:val="231F20"/>
          <w:w w:val="110"/>
          <w:sz w:val="18"/>
        </w:rPr>
        <w:t>the</w:t>
      </w:r>
      <w:r>
        <w:rPr>
          <w:color w:val="231F20"/>
          <w:spacing w:val="9"/>
          <w:w w:val="110"/>
          <w:sz w:val="18"/>
        </w:rPr>
        <w:t> </w:t>
      </w:r>
      <w:r>
        <w:rPr>
          <w:color w:val="231F20"/>
          <w:w w:val="110"/>
          <w:sz w:val="18"/>
        </w:rPr>
        <w:t>following</w:t>
      </w:r>
      <w:r>
        <w:rPr>
          <w:color w:val="231F20"/>
          <w:spacing w:val="8"/>
          <w:w w:val="110"/>
          <w:sz w:val="18"/>
        </w:rPr>
        <w:t> </w:t>
      </w:r>
      <w:r>
        <w:rPr>
          <w:color w:val="231F20"/>
          <w:w w:val="110"/>
          <w:sz w:val="18"/>
        </w:rPr>
        <w:t>manner:</w:t>
      </w:r>
    </w:p>
    <w:p>
      <w:pPr>
        <w:pStyle w:val="ListParagraph"/>
        <w:numPr>
          <w:ilvl w:val="2"/>
          <w:numId w:val="176"/>
        </w:numPr>
        <w:tabs>
          <w:tab w:pos="1801" w:val="left" w:leader="none"/>
        </w:tabs>
        <w:spacing w:line="273" w:lineRule="auto" w:before="1" w:after="0"/>
        <w:ind w:left="1080" w:right="1405" w:firstLine="0"/>
        <w:jc w:val="both"/>
        <w:rPr>
          <w:sz w:val="18"/>
        </w:rPr>
      </w:pPr>
      <w:r>
        <w:rPr>
          <w:color w:val="231F20"/>
          <w:w w:val="110"/>
          <w:sz w:val="18"/>
        </w:rPr>
        <w:t>If a decision of the Assembly Commission is subject to appeal, the </w:t>
      </w:r>
      <w:r>
        <w:rPr>
          <w:color w:val="231F20"/>
          <w:spacing w:val="2"/>
          <w:w w:val="110"/>
          <w:sz w:val="18"/>
        </w:rPr>
        <w:t>Report </w:t>
      </w:r>
      <w:r>
        <w:rPr>
          <w:color w:val="231F20"/>
          <w:w w:val="110"/>
          <w:sz w:val="18"/>
        </w:rPr>
        <w:t>shall simply state that a decision has been </w:t>
      </w:r>
      <w:r>
        <w:rPr>
          <w:color w:val="231F20"/>
          <w:spacing w:val="2"/>
          <w:w w:val="110"/>
          <w:sz w:val="18"/>
        </w:rPr>
        <w:t>reached </w:t>
      </w:r>
      <w:r>
        <w:rPr>
          <w:color w:val="231F20"/>
          <w:w w:val="110"/>
          <w:sz w:val="18"/>
        </w:rPr>
        <w:t>in a case which is subject to appeal and shall not name the</w:t>
      </w:r>
      <w:r>
        <w:rPr>
          <w:color w:val="231F20"/>
          <w:spacing w:val="3"/>
          <w:w w:val="110"/>
          <w:sz w:val="18"/>
        </w:rPr>
        <w:t> </w:t>
      </w:r>
      <w:r>
        <w:rPr>
          <w:color w:val="231F20"/>
          <w:w w:val="110"/>
          <w:sz w:val="18"/>
        </w:rPr>
        <w:t>Minister.</w:t>
      </w:r>
    </w:p>
    <w:p>
      <w:pPr>
        <w:pStyle w:val="BodyText"/>
        <w:spacing w:before="8"/>
        <w:rPr>
          <w:sz w:val="20"/>
        </w:rPr>
      </w:pPr>
    </w:p>
    <w:p>
      <w:pPr>
        <w:pStyle w:val="ListParagraph"/>
        <w:numPr>
          <w:ilvl w:val="2"/>
          <w:numId w:val="176"/>
        </w:numPr>
        <w:tabs>
          <w:tab w:pos="1801" w:val="left" w:leader="none"/>
        </w:tabs>
        <w:spacing w:line="273" w:lineRule="auto" w:before="1" w:after="0"/>
        <w:ind w:left="1080" w:right="1142" w:firstLine="0"/>
        <w:jc w:val="both"/>
        <w:rPr>
          <w:sz w:val="18"/>
        </w:rPr>
      </w:pPr>
      <w:r>
        <w:rPr>
          <w:color w:val="231F20"/>
          <w:w w:val="110"/>
          <w:sz w:val="18"/>
        </w:rPr>
        <w:t>If a decision of the Assembly Commission is not subject to appeal and is to delete under Paragraph </w:t>
      </w:r>
      <w:r>
        <w:rPr>
          <w:color w:val="231F20"/>
          <w:spacing w:val="-7"/>
          <w:w w:val="110"/>
          <w:sz w:val="18"/>
        </w:rPr>
        <w:t>F.2.1, </w:t>
      </w:r>
      <w:r>
        <w:rPr>
          <w:color w:val="231F20"/>
          <w:w w:val="110"/>
          <w:sz w:val="18"/>
        </w:rPr>
        <w:t>the </w:t>
      </w:r>
      <w:r>
        <w:rPr>
          <w:color w:val="231F20"/>
          <w:spacing w:val="2"/>
          <w:w w:val="110"/>
          <w:sz w:val="18"/>
        </w:rPr>
        <w:t>Report </w:t>
      </w:r>
      <w:r>
        <w:rPr>
          <w:color w:val="231F20"/>
          <w:w w:val="110"/>
          <w:sz w:val="18"/>
        </w:rPr>
        <w:t>shall so state and name the</w:t>
      </w:r>
      <w:r>
        <w:rPr>
          <w:color w:val="231F20"/>
          <w:spacing w:val="38"/>
          <w:w w:val="110"/>
          <w:sz w:val="18"/>
        </w:rPr>
        <w:t> </w:t>
      </w:r>
      <w:r>
        <w:rPr>
          <w:color w:val="231F20"/>
          <w:w w:val="110"/>
          <w:sz w:val="18"/>
        </w:rPr>
        <w:t>Minister.</w:t>
      </w:r>
    </w:p>
    <w:p>
      <w:pPr>
        <w:pStyle w:val="BodyText"/>
        <w:spacing w:before="8"/>
        <w:rPr>
          <w:sz w:val="20"/>
        </w:rPr>
      </w:pPr>
    </w:p>
    <w:p>
      <w:pPr>
        <w:pStyle w:val="ListParagraph"/>
        <w:numPr>
          <w:ilvl w:val="2"/>
          <w:numId w:val="176"/>
        </w:numPr>
        <w:tabs>
          <w:tab w:pos="1800" w:val="left" w:leader="none"/>
          <w:tab w:pos="1801" w:val="left" w:leader="none"/>
        </w:tabs>
        <w:spacing w:line="273" w:lineRule="auto" w:before="0" w:after="0"/>
        <w:ind w:left="1080" w:right="1155" w:firstLine="0"/>
        <w:jc w:val="left"/>
        <w:rPr>
          <w:sz w:val="18"/>
        </w:rPr>
      </w:pPr>
      <w:r>
        <w:rPr>
          <w:color w:val="231F20"/>
          <w:w w:val="110"/>
          <w:sz w:val="18"/>
        </w:rPr>
        <w:t>If a decision of the Assembly Commission is not subject to appeal and is to allow the name of the Minister to remain on the Roll of Ministers under Paragraph </w:t>
      </w:r>
      <w:r>
        <w:rPr>
          <w:color w:val="231F20"/>
          <w:spacing w:val="-7"/>
          <w:w w:val="110"/>
          <w:sz w:val="18"/>
        </w:rPr>
        <w:t>F.2.1 </w:t>
      </w:r>
      <w:r>
        <w:rPr>
          <w:color w:val="231F20"/>
          <w:w w:val="110"/>
          <w:sz w:val="18"/>
        </w:rPr>
        <w:t>with or without the issue of a written warning under Paragraph </w:t>
      </w:r>
      <w:r>
        <w:rPr>
          <w:color w:val="231F20"/>
          <w:spacing w:val="-5"/>
          <w:w w:val="110"/>
          <w:sz w:val="18"/>
        </w:rPr>
        <w:t>F.2.2, </w:t>
      </w:r>
      <w:r>
        <w:rPr>
          <w:color w:val="231F20"/>
          <w:w w:val="110"/>
          <w:sz w:val="18"/>
        </w:rPr>
        <w:t>the </w:t>
      </w:r>
      <w:r>
        <w:rPr>
          <w:color w:val="231F20"/>
          <w:spacing w:val="2"/>
          <w:w w:val="110"/>
          <w:sz w:val="18"/>
        </w:rPr>
        <w:t>Report </w:t>
      </w:r>
      <w:r>
        <w:rPr>
          <w:color w:val="231F20"/>
          <w:w w:val="110"/>
          <w:sz w:val="18"/>
        </w:rPr>
        <w:t>shall so state without naming the</w:t>
      </w:r>
      <w:r>
        <w:rPr>
          <w:color w:val="231F20"/>
          <w:spacing w:val="2"/>
          <w:w w:val="110"/>
          <w:sz w:val="18"/>
        </w:rPr>
        <w:t> </w:t>
      </w:r>
      <w:r>
        <w:rPr>
          <w:color w:val="231F20"/>
          <w:w w:val="110"/>
          <w:sz w:val="18"/>
        </w:rPr>
        <w:t>Minister.</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76"/>
        </w:numPr>
        <w:tabs>
          <w:tab w:pos="1233" w:val="left" w:leader="none"/>
          <w:tab w:pos="1234" w:val="left" w:leader="none"/>
        </w:tabs>
        <w:spacing w:line="273" w:lineRule="auto" w:before="101" w:after="0"/>
        <w:ind w:left="513" w:right="2071" w:firstLine="0"/>
        <w:jc w:val="left"/>
        <w:rPr>
          <w:sz w:val="18"/>
        </w:rPr>
      </w:pPr>
      <w:r>
        <w:rPr>
          <w:color w:val="231F20"/>
          <w:w w:val="110"/>
          <w:sz w:val="18"/>
        </w:rPr>
        <w:t>In any </w:t>
      </w:r>
      <w:r>
        <w:rPr>
          <w:color w:val="231F20"/>
          <w:spacing w:val="2"/>
          <w:w w:val="110"/>
          <w:sz w:val="18"/>
        </w:rPr>
        <w:t>case </w:t>
      </w:r>
      <w:r>
        <w:rPr>
          <w:color w:val="231F20"/>
          <w:w w:val="110"/>
          <w:sz w:val="18"/>
        </w:rPr>
        <w:t>which goes </w:t>
      </w:r>
      <w:r>
        <w:rPr>
          <w:color w:val="231F20"/>
          <w:spacing w:val="2"/>
          <w:w w:val="110"/>
          <w:sz w:val="18"/>
        </w:rPr>
        <w:t>before </w:t>
      </w:r>
      <w:r>
        <w:rPr>
          <w:color w:val="231F20"/>
          <w:w w:val="110"/>
          <w:sz w:val="18"/>
        </w:rPr>
        <w:t>the Appeals Commission, if the decision is to delete, the </w:t>
      </w:r>
      <w:r>
        <w:rPr>
          <w:color w:val="231F20"/>
          <w:spacing w:val="2"/>
          <w:w w:val="110"/>
          <w:sz w:val="18"/>
        </w:rPr>
        <w:t>Report </w:t>
      </w:r>
      <w:r>
        <w:rPr>
          <w:color w:val="231F20"/>
          <w:w w:val="110"/>
          <w:sz w:val="18"/>
        </w:rPr>
        <w:t>shall accord with Paragraph </w:t>
      </w:r>
      <w:r>
        <w:rPr>
          <w:color w:val="231F20"/>
          <w:spacing w:val="-4"/>
          <w:w w:val="110"/>
          <w:sz w:val="18"/>
        </w:rPr>
        <w:t>J.1.2 </w:t>
      </w:r>
      <w:r>
        <w:rPr>
          <w:color w:val="231F20"/>
          <w:w w:val="110"/>
          <w:sz w:val="18"/>
        </w:rPr>
        <w:t>and if the decision is to allow the name of the Minister to remain on the Roll of Ministers with or without the issue of a </w:t>
      </w:r>
      <w:r>
        <w:rPr>
          <w:color w:val="231F20"/>
          <w:spacing w:val="2"/>
          <w:w w:val="110"/>
          <w:sz w:val="18"/>
        </w:rPr>
        <w:t>written </w:t>
      </w:r>
      <w:r>
        <w:rPr>
          <w:color w:val="231F20"/>
          <w:w w:val="110"/>
          <w:sz w:val="18"/>
        </w:rPr>
        <w:t>warning, the </w:t>
      </w:r>
      <w:r>
        <w:rPr>
          <w:color w:val="231F20"/>
          <w:spacing w:val="2"/>
          <w:w w:val="110"/>
          <w:sz w:val="18"/>
        </w:rPr>
        <w:t>Report </w:t>
      </w:r>
      <w:r>
        <w:rPr>
          <w:color w:val="231F20"/>
          <w:w w:val="110"/>
          <w:sz w:val="18"/>
        </w:rPr>
        <w:t>shall accord with Paragraph</w:t>
      </w:r>
      <w:r>
        <w:rPr>
          <w:color w:val="231F20"/>
          <w:spacing w:val="17"/>
          <w:w w:val="110"/>
          <w:sz w:val="18"/>
        </w:rPr>
        <w:t> </w:t>
      </w:r>
      <w:r>
        <w:rPr>
          <w:color w:val="231F20"/>
          <w:spacing w:val="-4"/>
          <w:w w:val="110"/>
          <w:sz w:val="18"/>
        </w:rPr>
        <w:t>J.1.3.</w:t>
      </w:r>
    </w:p>
    <w:p>
      <w:pPr>
        <w:pStyle w:val="BodyText"/>
        <w:spacing w:before="9"/>
        <w:rPr>
          <w:sz w:val="20"/>
        </w:rPr>
      </w:pPr>
    </w:p>
    <w:p>
      <w:pPr>
        <w:pStyle w:val="ListParagraph"/>
        <w:numPr>
          <w:ilvl w:val="1"/>
          <w:numId w:val="176"/>
        </w:numPr>
        <w:tabs>
          <w:tab w:pos="1233" w:val="left" w:leader="none"/>
          <w:tab w:pos="1234" w:val="left" w:leader="none"/>
        </w:tabs>
        <w:spacing w:line="273" w:lineRule="auto" w:before="0" w:after="0"/>
        <w:ind w:left="513" w:right="1898" w:firstLine="0"/>
        <w:jc w:val="left"/>
        <w:rPr>
          <w:sz w:val="18"/>
        </w:rPr>
      </w:pPr>
      <w:r>
        <w:rPr>
          <w:color w:val="231F20"/>
          <w:w w:val="110"/>
          <w:sz w:val="18"/>
        </w:rPr>
        <w:t>The cost of operating the </w:t>
      </w:r>
      <w:r>
        <w:rPr>
          <w:color w:val="231F20"/>
          <w:spacing w:val="2"/>
          <w:w w:val="110"/>
          <w:sz w:val="18"/>
        </w:rPr>
        <w:t>Section </w:t>
      </w:r>
      <w:r>
        <w:rPr>
          <w:color w:val="231F20"/>
          <w:w w:val="110"/>
          <w:sz w:val="18"/>
        </w:rPr>
        <w:t>O </w:t>
      </w:r>
      <w:r>
        <w:rPr>
          <w:color w:val="231F20"/>
          <w:spacing w:val="2"/>
          <w:w w:val="110"/>
          <w:sz w:val="18"/>
        </w:rPr>
        <w:t>Process </w:t>
      </w:r>
      <w:r>
        <w:rPr>
          <w:color w:val="231F20"/>
          <w:w w:val="110"/>
          <w:sz w:val="18"/>
        </w:rPr>
        <w:t>and the reasonable and proper expenses of </w:t>
      </w:r>
      <w:r>
        <w:rPr>
          <w:color w:val="231F20"/>
          <w:spacing w:val="2"/>
          <w:w w:val="110"/>
          <w:sz w:val="18"/>
        </w:rPr>
        <w:t>persons </w:t>
      </w:r>
      <w:r>
        <w:rPr>
          <w:color w:val="231F20"/>
          <w:w w:val="110"/>
          <w:sz w:val="18"/>
        </w:rPr>
        <w:t>attending a Hearing and the </w:t>
      </w:r>
      <w:r>
        <w:rPr>
          <w:color w:val="231F20"/>
          <w:spacing w:val="2"/>
          <w:w w:val="110"/>
          <w:sz w:val="18"/>
        </w:rPr>
        <w:t>costs </w:t>
      </w:r>
      <w:r>
        <w:rPr>
          <w:color w:val="231F20"/>
          <w:w w:val="110"/>
          <w:sz w:val="18"/>
        </w:rPr>
        <w:t>of any </w:t>
      </w:r>
      <w:r>
        <w:rPr>
          <w:color w:val="231F20"/>
          <w:spacing w:val="3"/>
          <w:w w:val="110"/>
          <w:sz w:val="18"/>
        </w:rPr>
        <w:t>reports </w:t>
      </w:r>
      <w:r>
        <w:rPr>
          <w:color w:val="231F20"/>
          <w:w w:val="110"/>
          <w:sz w:val="18"/>
        </w:rPr>
        <w:t>obtained by or  on the authority of the Assembly Commission or the Appeals Commission or any other </w:t>
      </w:r>
      <w:r>
        <w:rPr>
          <w:color w:val="231F20"/>
          <w:spacing w:val="2"/>
          <w:w w:val="110"/>
          <w:sz w:val="18"/>
        </w:rPr>
        <w:t>costs </w:t>
      </w:r>
      <w:r>
        <w:rPr>
          <w:color w:val="231F20"/>
          <w:w w:val="110"/>
          <w:sz w:val="18"/>
        </w:rPr>
        <w:t>and expenses which the Assembly Commission or the Appeals Commission deem to have been reasonably and properly incurred in the </w:t>
      </w:r>
      <w:r>
        <w:rPr>
          <w:color w:val="231F20"/>
          <w:spacing w:val="2"/>
          <w:w w:val="110"/>
          <w:sz w:val="18"/>
        </w:rPr>
        <w:t>course </w:t>
      </w:r>
      <w:r>
        <w:rPr>
          <w:color w:val="231F20"/>
          <w:w w:val="110"/>
          <w:sz w:val="18"/>
        </w:rPr>
        <w:t>of such </w:t>
      </w:r>
      <w:r>
        <w:rPr>
          <w:color w:val="231F20"/>
          <w:spacing w:val="2"/>
          <w:w w:val="110"/>
          <w:sz w:val="18"/>
        </w:rPr>
        <w:t>process </w:t>
      </w:r>
      <w:r>
        <w:rPr>
          <w:color w:val="231F20"/>
          <w:w w:val="110"/>
          <w:sz w:val="18"/>
        </w:rPr>
        <w:t>(but excluding any </w:t>
      </w:r>
      <w:r>
        <w:rPr>
          <w:color w:val="231F20"/>
          <w:spacing w:val="2"/>
          <w:w w:val="110"/>
          <w:sz w:val="18"/>
        </w:rPr>
        <w:t>costs </w:t>
      </w:r>
      <w:r>
        <w:rPr>
          <w:color w:val="231F20"/>
          <w:w w:val="110"/>
          <w:sz w:val="18"/>
        </w:rPr>
        <w:t>of representation) shall be charged to the general funds of the Church, and the </w:t>
      </w:r>
      <w:r>
        <w:rPr>
          <w:color w:val="231F20"/>
          <w:spacing w:val="2"/>
          <w:w w:val="110"/>
          <w:sz w:val="18"/>
        </w:rPr>
        <w:t>Report </w:t>
      </w:r>
      <w:r>
        <w:rPr>
          <w:color w:val="231F20"/>
          <w:w w:val="110"/>
          <w:sz w:val="18"/>
        </w:rPr>
        <w:t>of each </w:t>
      </w:r>
      <w:r>
        <w:rPr>
          <w:color w:val="231F20"/>
          <w:spacing w:val="2"/>
          <w:w w:val="110"/>
          <w:sz w:val="18"/>
        </w:rPr>
        <w:t>case </w:t>
      </w:r>
      <w:r>
        <w:rPr>
          <w:color w:val="231F20"/>
          <w:w w:val="110"/>
          <w:sz w:val="18"/>
        </w:rPr>
        <w:t>to the General Assembly shall state the total cost incurred in that</w:t>
      </w:r>
      <w:r>
        <w:rPr>
          <w:color w:val="231F20"/>
          <w:spacing w:val="3"/>
          <w:w w:val="110"/>
          <w:sz w:val="18"/>
        </w:rPr>
        <w:t> </w:t>
      </w:r>
      <w:r>
        <w:rPr>
          <w:color w:val="231F20"/>
          <w:w w:val="110"/>
          <w:sz w:val="18"/>
        </w:rPr>
        <w:t>case.</w:t>
      </w:r>
    </w:p>
    <w:p>
      <w:pPr>
        <w:pStyle w:val="BodyText"/>
        <w:rPr>
          <w:sz w:val="21"/>
        </w:rPr>
      </w:pPr>
    </w:p>
    <w:p>
      <w:pPr>
        <w:pStyle w:val="ListParagraph"/>
        <w:numPr>
          <w:ilvl w:val="1"/>
          <w:numId w:val="176"/>
        </w:numPr>
        <w:tabs>
          <w:tab w:pos="1233" w:val="left" w:leader="none"/>
          <w:tab w:pos="1234" w:val="left" w:leader="none"/>
        </w:tabs>
        <w:spacing w:line="273" w:lineRule="auto" w:before="0" w:after="0"/>
        <w:ind w:left="513" w:right="1902" w:firstLine="0"/>
        <w:jc w:val="left"/>
        <w:rPr>
          <w:sz w:val="18"/>
        </w:rPr>
      </w:pPr>
      <w:r>
        <w:rPr>
          <w:color w:val="231F20"/>
          <w:w w:val="110"/>
          <w:sz w:val="18"/>
        </w:rPr>
        <w:t>The </w:t>
      </w:r>
      <w:r>
        <w:rPr>
          <w:color w:val="231F20"/>
          <w:spacing w:val="3"/>
          <w:w w:val="110"/>
          <w:sz w:val="18"/>
        </w:rPr>
        <w:t>Secretary </w:t>
      </w:r>
      <w:r>
        <w:rPr>
          <w:color w:val="231F20"/>
          <w:w w:val="110"/>
          <w:sz w:val="18"/>
        </w:rPr>
        <w:t>of the Assembly Commission shall be responsible for the keeping of the </w:t>
      </w:r>
      <w:r>
        <w:rPr>
          <w:color w:val="231F20"/>
          <w:spacing w:val="2"/>
          <w:w w:val="110"/>
          <w:sz w:val="18"/>
        </w:rPr>
        <w:t>record </w:t>
      </w:r>
      <w:r>
        <w:rPr>
          <w:color w:val="231F20"/>
          <w:w w:val="110"/>
          <w:sz w:val="18"/>
        </w:rPr>
        <w:t>of decisions taken by the Assembly Commission and by the Appeals Commission, and for the custody of all </w:t>
      </w:r>
      <w:r>
        <w:rPr>
          <w:color w:val="231F20"/>
          <w:spacing w:val="2"/>
          <w:w w:val="110"/>
          <w:sz w:val="18"/>
        </w:rPr>
        <w:t>papers </w:t>
      </w:r>
      <w:r>
        <w:rPr>
          <w:color w:val="231F20"/>
          <w:w w:val="110"/>
          <w:sz w:val="18"/>
        </w:rPr>
        <w:t>relating to concluded cases, which shall be kept in a locked cabinet at Church</w:t>
      </w:r>
      <w:r>
        <w:rPr>
          <w:color w:val="231F20"/>
          <w:spacing w:val="13"/>
          <w:w w:val="110"/>
          <w:sz w:val="18"/>
        </w:rPr>
        <w:t> </w:t>
      </w:r>
      <w:r>
        <w:rPr>
          <w:color w:val="231F20"/>
          <w:w w:val="110"/>
          <w:sz w:val="18"/>
        </w:rPr>
        <w:t>House.</w:t>
      </w:r>
    </w:p>
    <w:p>
      <w:pPr>
        <w:pStyle w:val="BodyText"/>
        <w:rPr>
          <w:sz w:val="22"/>
        </w:rPr>
      </w:pPr>
    </w:p>
    <w:p>
      <w:pPr>
        <w:pStyle w:val="BodyText"/>
        <w:rPr>
          <w:sz w:val="22"/>
        </w:rPr>
      </w:pPr>
    </w:p>
    <w:p>
      <w:pPr>
        <w:pStyle w:val="BodyText"/>
        <w:rPr>
          <w:sz w:val="22"/>
        </w:rPr>
      </w:pPr>
    </w:p>
    <w:p>
      <w:pPr>
        <w:pStyle w:val="BodyText"/>
        <w:rPr>
          <w:sz w:val="22"/>
        </w:rPr>
      </w:pPr>
    </w:p>
    <w:p>
      <w:pPr>
        <w:spacing w:before="144"/>
        <w:ind w:left="0" w:right="1222"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64" w:top="820" w:bottom="760" w:left="620" w:right="0"/>
        </w:sectPr>
      </w:pPr>
    </w:p>
    <w:p>
      <w:pPr>
        <w:pStyle w:val="BodyText"/>
        <w:spacing w:before="1"/>
        <w:rPr>
          <w:i/>
          <w:sz w:val="10"/>
        </w:rPr>
      </w:pPr>
    </w:p>
    <w:p>
      <w:pPr>
        <w:spacing w:before="101"/>
        <w:ind w:left="513" w:right="0" w:firstLine="0"/>
        <w:jc w:val="left"/>
        <w:rPr>
          <w:b/>
          <w:sz w:val="56"/>
        </w:rPr>
      </w:pPr>
      <w:r>
        <w:rPr>
          <w:b/>
          <w:color w:val="231F20"/>
          <w:sz w:val="56"/>
        </w:rPr>
        <w:t>Document 5</w:t>
      </w:r>
    </w:p>
    <w:p>
      <w:pPr>
        <w:spacing w:before="200"/>
        <w:ind w:left="513" w:right="0" w:firstLine="0"/>
        <w:jc w:val="left"/>
        <w:rPr>
          <w:b/>
          <w:sz w:val="29"/>
        </w:rPr>
      </w:pPr>
      <w:r>
        <w:rPr>
          <w:b/>
          <w:color w:val="231F20"/>
          <w:w w:val="110"/>
          <w:sz w:val="29"/>
        </w:rPr>
        <w:t>Text related to Resolution 13</w:t>
      </w:r>
    </w:p>
    <w:p>
      <w:pPr>
        <w:pStyle w:val="BodyText"/>
        <w:rPr>
          <w:b/>
          <w:sz w:val="20"/>
        </w:rPr>
      </w:pPr>
    </w:p>
    <w:p>
      <w:pPr>
        <w:pStyle w:val="BodyText"/>
        <w:spacing w:before="8"/>
        <w:rPr>
          <w:b/>
        </w:rPr>
      </w:pPr>
    </w:p>
    <w:p>
      <w:pPr>
        <w:spacing w:before="98"/>
        <w:ind w:left="1014" w:right="0" w:firstLine="0"/>
        <w:jc w:val="left"/>
        <w:rPr>
          <w:b/>
          <w:sz w:val="29"/>
        </w:rPr>
      </w:pPr>
      <w:r>
        <w:rPr>
          <w:b/>
          <w:color w:val="231F20"/>
          <w:w w:val="110"/>
          <w:sz w:val="29"/>
        </w:rPr>
        <w:t>MINISTERIAL INCAPACITY PROCEDURE</w:t>
      </w:r>
    </w:p>
    <w:p>
      <w:pPr>
        <w:spacing w:line="273" w:lineRule="auto" w:before="258"/>
        <w:ind w:left="1014" w:right="2447" w:firstLine="0"/>
        <w:jc w:val="left"/>
        <w:rPr>
          <w:b/>
          <w:sz w:val="18"/>
        </w:rPr>
      </w:pPr>
      <w:r>
        <w:rPr>
          <w:b/>
          <w:color w:val="231F20"/>
          <w:w w:val="110"/>
          <w:sz w:val="18"/>
        </w:rPr>
        <w:t>PART II – not subject to Paragraph </w:t>
      </w:r>
      <w:r>
        <w:rPr>
          <w:b/>
          <w:color w:val="231F20"/>
          <w:spacing w:val="-10"/>
          <w:w w:val="110"/>
          <w:sz w:val="18"/>
        </w:rPr>
        <w:t>3(1)  </w:t>
      </w:r>
      <w:r>
        <w:rPr>
          <w:b/>
          <w:color w:val="231F20"/>
          <w:w w:val="110"/>
          <w:sz w:val="18"/>
        </w:rPr>
        <w:t>of the </w:t>
      </w:r>
      <w:r>
        <w:rPr>
          <w:b/>
          <w:color w:val="231F20"/>
          <w:spacing w:val="2"/>
          <w:w w:val="110"/>
          <w:sz w:val="18"/>
        </w:rPr>
        <w:t>Structure </w:t>
      </w:r>
      <w:r>
        <w:rPr>
          <w:b/>
          <w:color w:val="231F20"/>
          <w:w w:val="110"/>
          <w:sz w:val="18"/>
        </w:rPr>
        <w:t>(governed  by General </w:t>
      </w:r>
      <w:r>
        <w:rPr>
          <w:b/>
          <w:color w:val="231F20"/>
          <w:spacing w:val="2"/>
          <w:w w:val="110"/>
          <w:sz w:val="18"/>
        </w:rPr>
        <w:t>Assembly </w:t>
      </w:r>
      <w:r>
        <w:rPr>
          <w:b/>
          <w:color w:val="231F20"/>
          <w:w w:val="110"/>
          <w:sz w:val="18"/>
        </w:rPr>
        <w:t>Function </w:t>
      </w:r>
      <w:r>
        <w:rPr>
          <w:b/>
          <w:color w:val="231F20"/>
          <w:spacing w:val="-4"/>
          <w:w w:val="110"/>
          <w:sz w:val="18"/>
        </w:rPr>
        <w:t>2(5)(xii) </w:t>
      </w:r>
      <w:r>
        <w:rPr>
          <w:b/>
          <w:color w:val="231F20"/>
          <w:w w:val="110"/>
          <w:sz w:val="18"/>
        </w:rPr>
        <w:t>of the </w:t>
      </w:r>
      <w:r>
        <w:rPr>
          <w:b/>
          <w:color w:val="231F20"/>
          <w:spacing w:val="2"/>
          <w:w w:val="110"/>
          <w:sz w:val="18"/>
        </w:rPr>
        <w:t>Structure </w:t>
      </w:r>
      <w:r>
        <w:rPr>
          <w:b/>
          <w:color w:val="231F20"/>
          <w:w w:val="110"/>
          <w:sz w:val="18"/>
        </w:rPr>
        <w:t>of the United Reformed Church)</w:t>
      </w:r>
    </w:p>
    <w:p>
      <w:pPr>
        <w:pStyle w:val="BodyText"/>
        <w:rPr>
          <w:b/>
          <w:sz w:val="22"/>
        </w:rPr>
      </w:pPr>
    </w:p>
    <w:p>
      <w:pPr>
        <w:pStyle w:val="BodyText"/>
        <w:spacing w:before="8"/>
        <w:rPr>
          <w:b/>
          <w:sz w:val="17"/>
        </w:rPr>
      </w:pPr>
    </w:p>
    <w:p>
      <w:pPr>
        <w:pStyle w:val="ListParagraph"/>
        <w:numPr>
          <w:ilvl w:val="0"/>
          <w:numId w:val="177"/>
        </w:numPr>
        <w:tabs>
          <w:tab w:pos="1734" w:val="left" w:leader="none"/>
          <w:tab w:pos="1735" w:val="left" w:leader="none"/>
        </w:tabs>
        <w:spacing w:line="240" w:lineRule="auto" w:before="0" w:after="0"/>
        <w:ind w:left="1734" w:right="0" w:hanging="721"/>
        <w:jc w:val="left"/>
        <w:rPr>
          <w:b/>
          <w:sz w:val="20"/>
        </w:rPr>
      </w:pPr>
      <w:r>
        <w:rPr>
          <w:b/>
          <w:color w:val="231F20"/>
          <w:spacing w:val="2"/>
          <w:w w:val="110"/>
          <w:sz w:val="20"/>
        </w:rPr>
        <w:t>GENERAL</w:t>
      </w:r>
    </w:p>
    <w:p>
      <w:pPr>
        <w:pStyle w:val="BodyText"/>
        <w:spacing w:before="9"/>
        <w:rPr>
          <w:b/>
          <w:sz w:val="22"/>
        </w:rPr>
      </w:pPr>
    </w:p>
    <w:p>
      <w:pPr>
        <w:pStyle w:val="ListParagraph"/>
        <w:numPr>
          <w:ilvl w:val="1"/>
          <w:numId w:val="177"/>
        </w:numPr>
        <w:tabs>
          <w:tab w:pos="1734" w:val="left" w:leader="none"/>
          <w:tab w:pos="1735" w:val="left" w:leader="none"/>
        </w:tabs>
        <w:spacing w:line="240" w:lineRule="auto" w:before="1" w:after="0"/>
        <w:ind w:left="1734" w:right="0" w:hanging="721"/>
        <w:jc w:val="left"/>
        <w:rPr>
          <w:sz w:val="18"/>
        </w:rPr>
      </w:pPr>
      <w:r>
        <w:rPr>
          <w:color w:val="231F20"/>
          <w:w w:val="110"/>
          <w:sz w:val="18"/>
        </w:rPr>
        <w:t>The following is a list of definitions of terms as used in the</w:t>
      </w:r>
      <w:r>
        <w:rPr>
          <w:color w:val="231F20"/>
          <w:spacing w:val="40"/>
          <w:w w:val="110"/>
          <w:sz w:val="18"/>
        </w:rPr>
        <w:t> </w:t>
      </w:r>
      <w:r>
        <w:rPr>
          <w:color w:val="231F20"/>
          <w:w w:val="110"/>
          <w:sz w:val="18"/>
        </w:rPr>
        <w:t>Incapacity</w:t>
      </w:r>
    </w:p>
    <w:p>
      <w:pPr>
        <w:pStyle w:val="BodyText"/>
        <w:spacing w:before="31"/>
        <w:ind w:left="1014"/>
      </w:pPr>
      <w:r>
        <w:rPr>
          <w:color w:val="231F20"/>
          <w:w w:val="110"/>
        </w:rPr>
        <w:t>Procedure:–</w:t>
      </w:r>
    </w:p>
    <w:p>
      <w:pPr>
        <w:pStyle w:val="BodyText"/>
        <w:rPr>
          <w:sz w:val="22"/>
        </w:rPr>
      </w:pPr>
    </w:p>
    <w:p>
      <w:pPr>
        <w:pStyle w:val="ListParagraph"/>
        <w:numPr>
          <w:ilvl w:val="2"/>
          <w:numId w:val="177"/>
        </w:numPr>
        <w:tabs>
          <w:tab w:pos="1641" w:val="left" w:leader="none"/>
          <w:tab w:pos="1642" w:val="left" w:leader="none"/>
          <w:tab w:pos="4180" w:val="left" w:leader="none"/>
        </w:tabs>
        <w:spacing w:line="189" w:lineRule="auto" w:before="140" w:after="0"/>
        <w:ind w:left="4180" w:right="2453" w:hanging="3053"/>
        <w:jc w:val="left"/>
        <w:rPr>
          <w:sz w:val="18"/>
        </w:rPr>
      </w:pPr>
      <w:r>
        <w:rPr>
          <w:b/>
          <w:color w:val="231F20"/>
          <w:w w:val="110"/>
          <w:sz w:val="18"/>
        </w:rPr>
        <w:t>“APRC”</w:t>
        <w:tab/>
      </w:r>
      <w:r>
        <w:rPr>
          <w:color w:val="231F20"/>
          <w:w w:val="110"/>
          <w:sz w:val="18"/>
        </w:rPr>
        <w:t>means the Assembly Pastoral Reference Committee which operates under the</w:t>
      </w:r>
      <w:r>
        <w:rPr>
          <w:color w:val="231F20"/>
          <w:spacing w:val="19"/>
          <w:w w:val="110"/>
          <w:sz w:val="18"/>
        </w:rPr>
        <w:t> </w:t>
      </w:r>
      <w:r>
        <w:rPr>
          <w:color w:val="231F20"/>
          <w:w w:val="110"/>
          <w:sz w:val="18"/>
        </w:rPr>
        <w:t>General</w:t>
      </w:r>
    </w:p>
    <w:p>
      <w:pPr>
        <w:pStyle w:val="BodyText"/>
        <w:spacing w:before="38"/>
        <w:ind w:right="496"/>
        <w:jc w:val="center"/>
      </w:pPr>
      <w:r>
        <w:rPr>
          <w:color w:val="231F20"/>
          <w:w w:val="110"/>
        </w:rPr>
        <w:t>Assembly of the Church</w:t>
      </w:r>
    </w:p>
    <w:p>
      <w:pPr>
        <w:spacing w:after="0"/>
        <w:jc w:val="center"/>
        <w:sectPr>
          <w:headerReference w:type="default" r:id="rId445"/>
          <w:headerReference w:type="even" r:id="rId446"/>
          <w:footerReference w:type="default" r:id="rId447"/>
          <w:footerReference w:type="even" r:id="rId448"/>
          <w:pgSz w:w="11910" w:h="16840"/>
          <w:pgMar w:header="557" w:footer="564" w:top="740" w:bottom="760" w:left="620" w:right="0"/>
          <w:pgNumType w:start="31"/>
        </w:sectPr>
      </w:pPr>
    </w:p>
    <w:p>
      <w:pPr>
        <w:numPr>
          <w:ilvl w:val="2"/>
          <w:numId w:val="177"/>
        </w:numPr>
        <w:tabs>
          <w:tab w:pos="1641" w:val="left" w:leader="none"/>
          <w:tab w:pos="1642" w:val="left" w:leader="none"/>
        </w:tabs>
        <w:spacing w:line="189" w:lineRule="auto" w:before="191"/>
        <w:ind w:left="1641" w:right="400" w:hanging="514"/>
        <w:jc w:val="left"/>
        <w:rPr>
          <w:b/>
          <w:sz w:val="18"/>
        </w:rPr>
      </w:pPr>
      <w:r>
        <w:rPr>
          <w:b/>
          <w:color w:val="231F20"/>
          <w:w w:val="110"/>
          <w:sz w:val="18"/>
        </w:rPr>
        <w:t>“Appeals Commission”</w:t>
      </w:r>
    </w:p>
    <w:p>
      <w:pPr>
        <w:pStyle w:val="BodyText"/>
        <w:rPr>
          <w:b/>
          <w:sz w:val="22"/>
        </w:rPr>
      </w:pPr>
    </w:p>
    <w:p>
      <w:pPr>
        <w:pStyle w:val="BodyText"/>
        <w:rPr>
          <w:b/>
          <w:sz w:val="22"/>
        </w:rPr>
      </w:pPr>
    </w:p>
    <w:p>
      <w:pPr>
        <w:pStyle w:val="ListParagraph"/>
        <w:numPr>
          <w:ilvl w:val="2"/>
          <w:numId w:val="177"/>
        </w:numPr>
        <w:tabs>
          <w:tab w:pos="1641" w:val="left" w:leader="none"/>
          <w:tab w:pos="1642" w:val="left" w:leader="none"/>
        </w:tabs>
        <w:spacing w:line="189" w:lineRule="auto" w:before="163" w:after="0"/>
        <w:ind w:left="1641" w:right="0" w:hanging="514"/>
        <w:jc w:val="left"/>
        <w:rPr>
          <w:b/>
          <w:sz w:val="18"/>
        </w:rPr>
      </w:pPr>
      <w:r>
        <w:rPr>
          <w:b/>
          <w:color w:val="231F20"/>
          <w:w w:val="110"/>
          <w:sz w:val="18"/>
        </w:rPr>
        <w:t>“Appeals </w:t>
      </w:r>
      <w:r>
        <w:rPr>
          <w:b/>
          <w:color w:val="231F20"/>
          <w:spacing w:val="-3"/>
          <w:w w:val="110"/>
          <w:sz w:val="18"/>
        </w:rPr>
        <w:t>Review </w:t>
      </w:r>
      <w:r>
        <w:rPr>
          <w:b/>
          <w:color w:val="231F20"/>
          <w:w w:val="110"/>
          <w:sz w:val="18"/>
        </w:rPr>
        <w:t>Commission</w:t>
      </w:r>
    </w:p>
    <w:p>
      <w:pPr>
        <w:pStyle w:val="BodyText"/>
        <w:rPr>
          <w:b/>
          <w:sz w:val="22"/>
        </w:rPr>
      </w:pPr>
    </w:p>
    <w:p>
      <w:pPr>
        <w:pStyle w:val="BodyText"/>
        <w:rPr>
          <w:b/>
          <w:sz w:val="22"/>
        </w:rPr>
      </w:pPr>
    </w:p>
    <w:p>
      <w:pPr>
        <w:pStyle w:val="ListParagraph"/>
        <w:numPr>
          <w:ilvl w:val="2"/>
          <w:numId w:val="177"/>
        </w:numPr>
        <w:tabs>
          <w:tab w:pos="1641" w:val="left" w:leader="none"/>
          <w:tab w:pos="1642" w:val="left" w:leader="none"/>
        </w:tabs>
        <w:spacing w:line="189" w:lineRule="auto" w:before="162" w:after="0"/>
        <w:ind w:left="1641" w:right="400" w:hanging="514"/>
        <w:jc w:val="left"/>
        <w:rPr>
          <w:b/>
          <w:sz w:val="18"/>
        </w:rPr>
      </w:pPr>
      <w:r>
        <w:rPr>
          <w:b/>
          <w:color w:val="231F20"/>
          <w:w w:val="110"/>
          <w:sz w:val="18"/>
        </w:rPr>
        <w:t>“Assembly Commission”</w:t>
      </w:r>
    </w:p>
    <w:p>
      <w:pPr>
        <w:pStyle w:val="BodyText"/>
        <w:spacing w:line="273" w:lineRule="auto" w:before="161"/>
        <w:ind w:left="601" w:right="2349"/>
      </w:pPr>
      <w:r>
        <w:rPr/>
        <w:br w:type="column"/>
      </w:r>
      <w:r>
        <w:rPr>
          <w:color w:val="231F20"/>
          <w:w w:val="110"/>
        </w:rPr>
        <w:t>means the Commission constituted under the Disciplinary </w:t>
      </w:r>
      <w:r>
        <w:rPr>
          <w:color w:val="231F20"/>
          <w:spacing w:val="2"/>
          <w:w w:val="110"/>
        </w:rPr>
        <w:t>Process </w:t>
      </w:r>
      <w:r>
        <w:rPr>
          <w:color w:val="231F20"/>
          <w:w w:val="110"/>
        </w:rPr>
        <w:t>for the purpose of hearing and deciding each appeal dealt  with  under that</w:t>
      </w:r>
      <w:r>
        <w:rPr>
          <w:color w:val="231F20"/>
          <w:spacing w:val="1"/>
          <w:w w:val="110"/>
        </w:rPr>
        <w:t> </w:t>
      </w:r>
      <w:r>
        <w:rPr>
          <w:color w:val="231F20"/>
          <w:spacing w:val="2"/>
          <w:w w:val="110"/>
        </w:rPr>
        <w:t>process</w:t>
      </w:r>
    </w:p>
    <w:p>
      <w:pPr>
        <w:pStyle w:val="BodyText"/>
        <w:spacing w:line="273" w:lineRule="auto" w:before="132"/>
        <w:ind w:left="602" w:right="2349"/>
      </w:pPr>
      <w:r>
        <w:rPr>
          <w:color w:val="231F20"/>
          <w:w w:val="110"/>
        </w:rPr>
        <w:t>means the Commission consisting of three </w:t>
      </w:r>
      <w:r>
        <w:rPr>
          <w:color w:val="231F20"/>
          <w:spacing w:val="2"/>
          <w:w w:val="110"/>
        </w:rPr>
        <w:t>person </w:t>
      </w:r>
      <w:r>
        <w:rPr>
          <w:color w:val="231F20"/>
          <w:w w:val="110"/>
        </w:rPr>
        <w:t>constituted for the purpose of hearing and deciding upon each appeal under </w:t>
      </w:r>
      <w:r>
        <w:rPr>
          <w:color w:val="231F20"/>
          <w:spacing w:val="2"/>
          <w:w w:val="110"/>
        </w:rPr>
        <w:t>Part</w:t>
      </w:r>
      <w:r>
        <w:rPr>
          <w:color w:val="231F20"/>
          <w:spacing w:val="62"/>
          <w:w w:val="110"/>
        </w:rPr>
        <w:t> </w:t>
      </w:r>
      <w:r>
        <w:rPr>
          <w:color w:val="231F20"/>
          <w:w w:val="110"/>
        </w:rPr>
        <w:t>II,</w:t>
      </w:r>
    </w:p>
    <w:p>
      <w:pPr>
        <w:pStyle w:val="BodyText"/>
        <w:spacing w:before="2"/>
        <w:ind w:left="602"/>
      </w:pPr>
      <w:r>
        <w:rPr>
          <w:color w:val="231F20"/>
          <w:w w:val="110"/>
        </w:rPr>
        <w:t>Section L of the Incapacity Procedure</w:t>
      </w:r>
    </w:p>
    <w:p>
      <w:pPr>
        <w:pStyle w:val="BodyText"/>
        <w:spacing w:line="273" w:lineRule="auto" w:before="161"/>
        <w:ind w:left="602" w:right="2349"/>
      </w:pPr>
      <w:r>
        <w:rPr>
          <w:color w:val="231F20"/>
          <w:w w:val="110"/>
        </w:rPr>
        <w:t>means the Commission constituted under the Disciplinary Process for the purpose of hearing and deciding upon each case dealt with under that process</w:t>
      </w:r>
    </w:p>
    <w:p>
      <w:pPr>
        <w:spacing w:after="0" w:line="273" w:lineRule="auto"/>
        <w:sectPr>
          <w:type w:val="continuous"/>
          <w:pgSz w:w="11910" w:h="16840"/>
          <w:pgMar w:top="680" w:bottom="280" w:left="620" w:right="0"/>
          <w:cols w:num="2" w:equalWidth="0">
            <w:col w:w="3539" w:space="40"/>
            <w:col w:w="7711"/>
          </w:cols>
        </w:sectPr>
      </w:pPr>
    </w:p>
    <w:p>
      <w:pPr>
        <w:pStyle w:val="ListParagraph"/>
        <w:numPr>
          <w:ilvl w:val="2"/>
          <w:numId w:val="177"/>
        </w:numPr>
        <w:tabs>
          <w:tab w:pos="1641" w:val="left" w:leader="none"/>
          <w:tab w:pos="1642" w:val="left" w:leader="none"/>
          <w:tab w:pos="4180" w:val="left" w:leader="none"/>
        </w:tabs>
        <w:spacing w:line="294" w:lineRule="exact" w:before="122" w:after="0"/>
        <w:ind w:left="1641" w:right="0" w:hanging="515"/>
        <w:jc w:val="left"/>
        <w:rPr>
          <w:sz w:val="18"/>
        </w:rPr>
      </w:pPr>
      <w:r>
        <w:rPr>
          <w:b/>
          <w:color w:val="231F20"/>
          <w:w w:val="110"/>
          <w:sz w:val="18"/>
        </w:rPr>
        <w:t>“Basis</w:t>
      </w:r>
      <w:r>
        <w:rPr>
          <w:b/>
          <w:color w:val="231F20"/>
          <w:spacing w:val="13"/>
          <w:w w:val="110"/>
          <w:sz w:val="18"/>
        </w:rPr>
        <w:t> </w:t>
      </w:r>
      <w:r>
        <w:rPr>
          <w:b/>
          <w:color w:val="231F20"/>
          <w:w w:val="110"/>
          <w:sz w:val="18"/>
        </w:rPr>
        <w:t>of</w:t>
      </w:r>
      <w:r>
        <w:rPr>
          <w:b/>
          <w:color w:val="231F20"/>
          <w:spacing w:val="13"/>
          <w:w w:val="110"/>
          <w:sz w:val="18"/>
        </w:rPr>
        <w:t> </w:t>
      </w:r>
      <w:r>
        <w:rPr>
          <w:b/>
          <w:color w:val="231F20"/>
          <w:w w:val="110"/>
          <w:sz w:val="18"/>
        </w:rPr>
        <w:t>Union”</w:t>
        <w:tab/>
      </w:r>
      <w:r>
        <w:rPr>
          <w:color w:val="231F20"/>
          <w:w w:val="110"/>
          <w:sz w:val="18"/>
        </w:rPr>
        <w:t>means the Basis of Union of the</w:t>
      </w:r>
      <w:r>
        <w:rPr>
          <w:color w:val="231F20"/>
          <w:spacing w:val="13"/>
          <w:w w:val="110"/>
          <w:sz w:val="18"/>
        </w:rPr>
        <w:t> </w:t>
      </w:r>
      <w:r>
        <w:rPr>
          <w:color w:val="231F20"/>
          <w:w w:val="110"/>
          <w:sz w:val="18"/>
        </w:rPr>
        <w:t>United</w:t>
      </w:r>
    </w:p>
    <w:p>
      <w:pPr>
        <w:pStyle w:val="BodyText"/>
        <w:spacing w:line="185" w:lineRule="exact"/>
        <w:ind w:right="1144"/>
        <w:jc w:val="center"/>
      </w:pPr>
      <w:r>
        <w:rPr>
          <w:color w:val="231F20"/>
          <w:w w:val="110"/>
        </w:rPr>
        <w:t>Reformed Church</w:t>
      </w:r>
    </w:p>
    <w:p>
      <w:pPr>
        <w:pStyle w:val="BodyText"/>
        <w:spacing w:before="7"/>
      </w:pPr>
    </w:p>
    <w:p>
      <w:pPr>
        <w:pStyle w:val="ListParagraph"/>
        <w:numPr>
          <w:ilvl w:val="2"/>
          <w:numId w:val="177"/>
        </w:numPr>
        <w:tabs>
          <w:tab w:pos="1641" w:val="left" w:leader="none"/>
          <w:tab w:pos="1642" w:val="left" w:leader="none"/>
          <w:tab w:pos="4180" w:val="left" w:leader="none"/>
        </w:tabs>
        <w:spacing w:line="240" w:lineRule="auto" w:before="1" w:after="0"/>
        <w:ind w:left="1641" w:right="0" w:hanging="515"/>
        <w:jc w:val="left"/>
        <w:rPr>
          <w:sz w:val="18"/>
        </w:rPr>
      </w:pPr>
      <w:r>
        <w:rPr>
          <w:b/>
          <w:color w:val="231F20"/>
          <w:w w:val="110"/>
          <w:sz w:val="18"/>
        </w:rPr>
        <w:t>“Church”</w:t>
        <w:tab/>
      </w:r>
      <w:r>
        <w:rPr>
          <w:color w:val="231F20"/>
          <w:w w:val="110"/>
          <w:sz w:val="18"/>
        </w:rPr>
        <w:t>means the United Reformed</w:t>
      </w:r>
      <w:r>
        <w:rPr>
          <w:color w:val="231F20"/>
          <w:spacing w:val="7"/>
          <w:w w:val="110"/>
          <w:sz w:val="18"/>
        </w:rPr>
        <w:t> </w:t>
      </w:r>
      <w:r>
        <w:rPr>
          <w:color w:val="231F20"/>
          <w:w w:val="110"/>
          <w:sz w:val="18"/>
        </w:rPr>
        <w:t>Church</w:t>
      </w:r>
    </w:p>
    <w:p>
      <w:pPr>
        <w:pStyle w:val="BodyText"/>
        <w:spacing w:before="7"/>
        <w:rPr>
          <w:sz w:val="22"/>
        </w:rPr>
      </w:pPr>
    </w:p>
    <w:p>
      <w:pPr>
        <w:spacing w:after="0"/>
        <w:rPr>
          <w:sz w:val="22"/>
        </w:rPr>
        <w:sectPr>
          <w:type w:val="continuous"/>
          <w:pgSz w:w="11910" w:h="16840"/>
          <w:pgMar w:top="680" w:bottom="280" w:left="620" w:right="0"/>
        </w:sectPr>
      </w:pPr>
    </w:p>
    <w:p>
      <w:pPr>
        <w:numPr>
          <w:ilvl w:val="2"/>
          <w:numId w:val="177"/>
        </w:numPr>
        <w:tabs>
          <w:tab w:pos="1641" w:val="left" w:leader="none"/>
          <w:tab w:pos="1642" w:val="left" w:leader="none"/>
        </w:tabs>
        <w:spacing w:line="189" w:lineRule="auto" w:before="144"/>
        <w:ind w:left="1641" w:right="0" w:hanging="514"/>
        <w:jc w:val="left"/>
        <w:rPr>
          <w:b/>
          <w:sz w:val="18"/>
        </w:rPr>
      </w:pPr>
      <w:r>
        <w:rPr>
          <w:b/>
          <w:color w:val="231F20"/>
          <w:w w:val="110"/>
          <w:sz w:val="18"/>
        </w:rPr>
        <w:t>“Commencement Notice”</w:t>
      </w:r>
    </w:p>
    <w:p>
      <w:pPr>
        <w:pStyle w:val="BodyText"/>
        <w:rPr>
          <w:b/>
          <w:sz w:val="22"/>
        </w:rPr>
      </w:pPr>
    </w:p>
    <w:p>
      <w:pPr>
        <w:pStyle w:val="BodyText"/>
        <w:rPr>
          <w:b/>
          <w:sz w:val="22"/>
        </w:rPr>
      </w:pPr>
    </w:p>
    <w:p>
      <w:pPr>
        <w:pStyle w:val="BodyText"/>
        <w:spacing w:before="11"/>
        <w:rPr>
          <w:b/>
          <w:sz w:val="19"/>
        </w:rPr>
      </w:pPr>
    </w:p>
    <w:p>
      <w:pPr>
        <w:pStyle w:val="ListParagraph"/>
        <w:numPr>
          <w:ilvl w:val="2"/>
          <w:numId w:val="177"/>
        </w:numPr>
        <w:tabs>
          <w:tab w:pos="1629" w:val="left" w:leader="none"/>
          <w:tab w:pos="1630" w:val="left" w:leader="none"/>
        </w:tabs>
        <w:spacing w:line="189" w:lineRule="auto" w:before="1" w:after="0"/>
        <w:ind w:left="1629" w:right="400" w:hanging="502"/>
        <w:jc w:val="left"/>
        <w:rPr>
          <w:b/>
          <w:sz w:val="18"/>
        </w:rPr>
      </w:pPr>
      <w:r>
        <w:rPr>
          <w:b/>
          <w:color w:val="231F20"/>
          <w:w w:val="110"/>
          <w:sz w:val="18"/>
        </w:rPr>
        <w:t>“Consultation Group”</w:t>
      </w:r>
    </w:p>
    <w:p>
      <w:pPr>
        <w:pStyle w:val="BodyText"/>
        <w:spacing w:line="273" w:lineRule="auto" w:before="114"/>
        <w:ind w:left="546" w:right="2908"/>
      </w:pPr>
      <w:r>
        <w:rPr/>
        <w:br w:type="column"/>
      </w:r>
      <w:r>
        <w:rPr>
          <w:color w:val="231F20"/>
          <w:w w:val="110"/>
        </w:rPr>
        <w:t>means the Notice sent or delivered to the Secretary of the Review Commission in accordance with Part II, Paragraph B.3 in order to initiate the Incapacity Procedure</w:t>
      </w:r>
    </w:p>
    <w:p>
      <w:pPr>
        <w:pStyle w:val="BodyText"/>
        <w:spacing w:before="5"/>
        <w:rPr>
          <w:sz w:val="17"/>
        </w:rPr>
      </w:pPr>
    </w:p>
    <w:p>
      <w:pPr>
        <w:pStyle w:val="BodyText"/>
        <w:spacing w:line="273" w:lineRule="auto"/>
        <w:ind w:left="541" w:right="2908" w:hanging="1"/>
      </w:pPr>
      <w:r>
        <w:rPr>
          <w:color w:val="231F20"/>
          <w:w w:val="110"/>
        </w:rPr>
        <w:t>means the group of </w:t>
      </w:r>
      <w:r>
        <w:rPr>
          <w:color w:val="231F20"/>
          <w:spacing w:val="2"/>
          <w:w w:val="110"/>
        </w:rPr>
        <w:t>persons </w:t>
      </w:r>
      <w:r>
        <w:rPr>
          <w:color w:val="231F20"/>
          <w:w w:val="110"/>
        </w:rPr>
        <w:t>required to be consulted in accordance with </w:t>
      </w:r>
      <w:r>
        <w:rPr>
          <w:color w:val="231F20"/>
          <w:spacing w:val="2"/>
          <w:w w:val="110"/>
        </w:rPr>
        <w:t>Part</w:t>
      </w:r>
      <w:r>
        <w:rPr>
          <w:color w:val="231F20"/>
          <w:spacing w:val="63"/>
          <w:w w:val="110"/>
        </w:rPr>
        <w:t> </w:t>
      </w:r>
      <w:r>
        <w:rPr>
          <w:color w:val="231F20"/>
          <w:w w:val="110"/>
        </w:rPr>
        <w:t>II,</w:t>
      </w:r>
    </w:p>
    <w:p>
      <w:pPr>
        <w:pStyle w:val="BodyText"/>
        <w:spacing w:line="273" w:lineRule="auto" w:before="2"/>
        <w:ind w:left="541" w:right="1792"/>
      </w:pPr>
      <w:r>
        <w:rPr>
          <w:color w:val="231F20"/>
          <w:w w:val="110"/>
        </w:rPr>
        <w:t>Paragraph B.1 as to whether the Incapacity Procedure should be initiated</w:t>
      </w:r>
    </w:p>
    <w:p>
      <w:pPr>
        <w:spacing w:after="0" w:line="273" w:lineRule="auto"/>
        <w:sectPr>
          <w:type w:val="continuous"/>
          <w:pgSz w:w="11910" w:h="16840"/>
          <w:pgMar w:top="680" w:bottom="280" w:left="620" w:right="0"/>
          <w:cols w:num="2" w:equalWidth="0">
            <w:col w:w="3594" w:space="40"/>
            <w:col w:w="7656"/>
          </w:cols>
        </w:sectPr>
      </w:pPr>
    </w:p>
    <w:p>
      <w:pPr>
        <w:pStyle w:val="ListParagraph"/>
        <w:numPr>
          <w:ilvl w:val="2"/>
          <w:numId w:val="177"/>
        </w:numPr>
        <w:tabs>
          <w:tab w:pos="1629" w:val="left" w:leader="none"/>
          <w:tab w:pos="1630" w:val="left" w:leader="none"/>
          <w:tab w:pos="4175" w:val="left" w:leader="none"/>
        </w:tabs>
        <w:spacing w:line="294" w:lineRule="exact" w:before="120" w:after="0"/>
        <w:ind w:left="1629" w:right="0" w:hanging="503"/>
        <w:jc w:val="left"/>
        <w:rPr>
          <w:sz w:val="18"/>
        </w:rPr>
      </w:pPr>
      <w:r>
        <w:rPr/>
        <w:pict>
          <v:shape style="position:absolute;margin-left:503.793091pt;margin-top:36.841614pt;width:66.850pt;height:749.3pt;mso-position-horizontal-relative:page;mso-position-vertical-relative:page;z-index:252081152" type="#_x0000_t202" filled="false" stroked="false">
            <v:textbox inset="0,0,0,0" style="layout-flow:vertical">
              <w:txbxContent>
                <w:p>
                  <w:pPr>
                    <w:spacing w:line="921" w:lineRule="exact" w:before="20"/>
                    <w:ind w:left="20" w:right="0" w:firstLine="0"/>
                    <w:jc w:val="left"/>
                    <w:rPr>
                      <w:b/>
                      <w:sz w:val="80"/>
                    </w:rPr>
                  </w:pPr>
                  <w:r>
                    <w:rPr>
                      <w:b/>
                      <w:color w:val="231F20"/>
                      <w:sz w:val="80"/>
                    </w:rPr>
                    <w:t>Ministerial Incapacity Procedure</w:t>
                  </w:r>
                </w:p>
                <w:p>
                  <w:pPr>
                    <w:spacing w:line="393"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pacing w:val="2"/>
          <w:w w:val="110"/>
          <w:sz w:val="18"/>
        </w:rPr>
        <w:t>“Decision</w:t>
      </w:r>
      <w:r>
        <w:rPr>
          <w:b/>
          <w:color w:val="231F20"/>
          <w:spacing w:val="32"/>
          <w:w w:val="110"/>
          <w:sz w:val="18"/>
        </w:rPr>
        <w:t> </w:t>
      </w:r>
      <w:r>
        <w:rPr>
          <w:b/>
          <w:color w:val="231F20"/>
          <w:w w:val="110"/>
          <w:sz w:val="18"/>
        </w:rPr>
        <w:t>Record”</w:t>
        <w:tab/>
      </w:r>
      <w:r>
        <w:rPr>
          <w:color w:val="231F20"/>
          <w:w w:val="110"/>
          <w:sz w:val="18"/>
        </w:rPr>
        <w:t>means the </w:t>
      </w:r>
      <w:r>
        <w:rPr>
          <w:color w:val="231F20"/>
          <w:spacing w:val="2"/>
          <w:w w:val="110"/>
          <w:sz w:val="18"/>
        </w:rPr>
        <w:t>record </w:t>
      </w:r>
      <w:r>
        <w:rPr>
          <w:color w:val="231F20"/>
          <w:w w:val="110"/>
          <w:sz w:val="18"/>
        </w:rPr>
        <w:t>of the Decision made by</w:t>
      </w:r>
      <w:r>
        <w:rPr>
          <w:color w:val="231F20"/>
          <w:spacing w:val="17"/>
          <w:w w:val="110"/>
          <w:sz w:val="18"/>
        </w:rPr>
        <w:t> </w:t>
      </w:r>
      <w:r>
        <w:rPr>
          <w:color w:val="231F20"/>
          <w:w w:val="110"/>
          <w:sz w:val="18"/>
        </w:rPr>
        <w:t>the</w:t>
      </w:r>
    </w:p>
    <w:p>
      <w:pPr>
        <w:pStyle w:val="BodyText"/>
        <w:spacing w:line="185" w:lineRule="exact"/>
        <w:ind w:left="4175"/>
      </w:pPr>
      <w:r>
        <w:rPr>
          <w:color w:val="231F20"/>
          <w:w w:val="110"/>
        </w:rPr>
        <w:t>Review Commission or the Appeals Review</w:t>
      </w:r>
    </w:p>
    <w:p>
      <w:pPr>
        <w:pStyle w:val="BodyText"/>
        <w:spacing w:line="273" w:lineRule="auto" w:before="31"/>
        <w:ind w:left="4175" w:right="2441"/>
      </w:pPr>
      <w:r>
        <w:rPr>
          <w:color w:val="231F20"/>
          <w:w w:val="110"/>
        </w:rPr>
        <w:t>Commission as the </w:t>
      </w:r>
      <w:r>
        <w:rPr>
          <w:color w:val="231F20"/>
          <w:spacing w:val="2"/>
          <w:w w:val="110"/>
        </w:rPr>
        <w:t>case </w:t>
      </w:r>
      <w:r>
        <w:rPr>
          <w:color w:val="231F20"/>
          <w:w w:val="110"/>
        </w:rPr>
        <w:t>may be in the </w:t>
      </w:r>
      <w:r>
        <w:rPr>
          <w:color w:val="231F20"/>
          <w:spacing w:val="2"/>
          <w:w w:val="110"/>
        </w:rPr>
        <w:t>case  </w:t>
      </w:r>
      <w:r>
        <w:rPr>
          <w:color w:val="231F20"/>
          <w:w w:val="110"/>
        </w:rPr>
        <w:t>of any Minister under consideration within the Incapacity</w:t>
      </w:r>
      <w:r>
        <w:rPr>
          <w:color w:val="231F20"/>
          <w:spacing w:val="2"/>
          <w:w w:val="110"/>
        </w:rPr>
        <w:t> </w:t>
      </w:r>
      <w:r>
        <w:rPr>
          <w:color w:val="231F20"/>
          <w:w w:val="110"/>
        </w:rPr>
        <w:t>Procedure</w:t>
      </w:r>
    </w:p>
    <w:p>
      <w:pPr>
        <w:spacing w:after="0" w:line="273" w:lineRule="auto"/>
        <w:sectPr>
          <w:type w:val="continuous"/>
          <w:pgSz w:w="11910" w:h="16840"/>
          <w:pgMar w:top="680" w:bottom="280" w:left="620" w:right="0"/>
        </w:sectPr>
      </w:pPr>
    </w:p>
    <w:p>
      <w:pPr>
        <w:pStyle w:val="BodyText"/>
        <w:spacing w:before="6"/>
        <w:rPr>
          <w:sz w:val="23"/>
        </w:rPr>
      </w:pPr>
    </w:p>
    <w:p>
      <w:pPr>
        <w:spacing w:after="0"/>
        <w:rPr>
          <w:sz w:val="23"/>
        </w:rPr>
        <w:sectPr>
          <w:pgSz w:w="11910" w:h="16840"/>
          <w:pgMar w:header="558" w:footer="564" w:top="820" w:bottom="760" w:left="620" w:right="0"/>
        </w:sectPr>
      </w:pPr>
    </w:p>
    <w:p>
      <w:pPr>
        <w:numPr>
          <w:ilvl w:val="0"/>
          <w:numId w:val="178"/>
        </w:numPr>
        <w:tabs>
          <w:tab w:pos="1128" w:val="left" w:leader="none"/>
          <w:tab w:pos="1129" w:val="left" w:leader="none"/>
        </w:tabs>
        <w:spacing w:line="189" w:lineRule="auto" w:before="144"/>
        <w:ind w:left="1128" w:right="38" w:hanging="502"/>
        <w:jc w:val="left"/>
        <w:rPr>
          <w:b/>
          <w:sz w:val="18"/>
        </w:rPr>
      </w:pPr>
      <w:r>
        <w:rPr>
          <w:b/>
          <w:color w:val="231F20"/>
          <w:w w:val="110"/>
          <w:sz w:val="18"/>
        </w:rPr>
        <w:t>“Disciplinary </w:t>
      </w:r>
      <w:r>
        <w:rPr>
          <w:b/>
          <w:color w:val="231F20"/>
          <w:spacing w:val="2"/>
          <w:w w:val="110"/>
          <w:sz w:val="18"/>
        </w:rPr>
        <w:t>Process”</w:t>
      </w:r>
    </w:p>
    <w:p>
      <w:pPr>
        <w:pStyle w:val="BodyText"/>
        <w:spacing w:line="273" w:lineRule="auto" w:before="114"/>
        <w:ind w:left="626" w:right="2859" w:hanging="1"/>
        <w:jc w:val="both"/>
      </w:pPr>
      <w:r>
        <w:rPr/>
        <w:br w:type="column"/>
      </w:r>
      <w:r>
        <w:rPr>
          <w:color w:val="231F20"/>
          <w:w w:val="110"/>
        </w:rPr>
        <w:t>means the </w:t>
      </w:r>
      <w:r>
        <w:rPr>
          <w:color w:val="231F20"/>
          <w:spacing w:val="2"/>
          <w:w w:val="110"/>
        </w:rPr>
        <w:t>Process </w:t>
      </w:r>
      <w:r>
        <w:rPr>
          <w:color w:val="231F20"/>
          <w:w w:val="110"/>
        </w:rPr>
        <w:t>operated by the Church for the purpose of exercising ministerial discipline contained in </w:t>
      </w:r>
      <w:r>
        <w:rPr>
          <w:color w:val="231F20"/>
          <w:spacing w:val="2"/>
          <w:w w:val="110"/>
        </w:rPr>
        <w:t>Section </w:t>
      </w:r>
      <w:r>
        <w:rPr>
          <w:color w:val="231F20"/>
          <w:w w:val="110"/>
        </w:rPr>
        <w:t>O of the Church’s</w:t>
      </w:r>
      <w:r>
        <w:rPr>
          <w:color w:val="231F20"/>
          <w:spacing w:val="55"/>
          <w:w w:val="110"/>
        </w:rPr>
        <w:t> </w:t>
      </w:r>
      <w:r>
        <w:rPr>
          <w:color w:val="231F20"/>
          <w:w w:val="110"/>
        </w:rPr>
        <w:t>Manual</w:t>
      </w:r>
    </w:p>
    <w:p>
      <w:pPr>
        <w:spacing w:after="0" w:line="273" w:lineRule="auto"/>
        <w:jc w:val="both"/>
        <w:sectPr>
          <w:type w:val="continuous"/>
          <w:pgSz w:w="11910" w:h="16840"/>
          <w:pgMar w:top="680" w:bottom="280" w:left="620" w:right="0"/>
          <w:cols w:num="2" w:equalWidth="0">
            <w:col w:w="2634" w:space="414"/>
            <w:col w:w="8242"/>
          </w:cols>
        </w:sectPr>
      </w:pPr>
    </w:p>
    <w:p>
      <w:pPr>
        <w:pStyle w:val="ListParagraph"/>
        <w:numPr>
          <w:ilvl w:val="0"/>
          <w:numId w:val="178"/>
        </w:numPr>
        <w:tabs>
          <w:tab w:pos="1128" w:val="left" w:leader="none"/>
          <w:tab w:pos="1129" w:val="left" w:leader="none"/>
          <w:tab w:pos="3674" w:val="left" w:leader="none"/>
        </w:tabs>
        <w:spacing w:line="294" w:lineRule="exact" w:before="121" w:after="0"/>
        <w:ind w:left="1128" w:right="0" w:hanging="503"/>
        <w:jc w:val="left"/>
        <w:rPr>
          <w:sz w:val="18"/>
        </w:rPr>
      </w:pPr>
      <w:r>
        <w:rPr>
          <w:b/>
          <w:color w:val="231F20"/>
          <w:spacing w:val="2"/>
          <w:w w:val="110"/>
          <w:sz w:val="18"/>
        </w:rPr>
        <w:t>“District</w:t>
      </w:r>
      <w:r>
        <w:rPr>
          <w:b/>
          <w:color w:val="231F20"/>
          <w:spacing w:val="27"/>
          <w:w w:val="110"/>
          <w:sz w:val="18"/>
        </w:rPr>
        <w:t> </w:t>
      </w:r>
      <w:r>
        <w:rPr>
          <w:b/>
          <w:color w:val="231F20"/>
          <w:w w:val="110"/>
          <w:sz w:val="18"/>
        </w:rPr>
        <w:t>Council”</w:t>
        <w:tab/>
      </w:r>
      <w:r>
        <w:rPr>
          <w:color w:val="231F20"/>
          <w:w w:val="110"/>
          <w:sz w:val="18"/>
        </w:rPr>
        <w:t>means that </w:t>
      </w:r>
      <w:r>
        <w:rPr>
          <w:color w:val="231F20"/>
          <w:spacing w:val="2"/>
          <w:w w:val="110"/>
          <w:sz w:val="18"/>
        </w:rPr>
        <w:t>District </w:t>
      </w:r>
      <w:r>
        <w:rPr>
          <w:color w:val="231F20"/>
          <w:w w:val="110"/>
          <w:sz w:val="18"/>
        </w:rPr>
        <w:t>Council which</w:t>
      </w:r>
      <w:r>
        <w:rPr>
          <w:color w:val="231F20"/>
          <w:spacing w:val="9"/>
          <w:w w:val="110"/>
          <w:sz w:val="18"/>
        </w:rPr>
        <w:t> </w:t>
      </w:r>
      <w:r>
        <w:rPr>
          <w:color w:val="231F20"/>
          <w:w w:val="110"/>
          <w:sz w:val="18"/>
        </w:rPr>
        <w:t>exercises</w:t>
      </w:r>
    </w:p>
    <w:p>
      <w:pPr>
        <w:pStyle w:val="BodyText"/>
        <w:spacing w:line="185" w:lineRule="exact"/>
        <w:ind w:left="3675"/>
      </w:pPr>
      <w:r>
        <w:rPr>
          <w:color w:val="231F20"/>
          <w:w w:val="110"/>
        </w:rPr>
        <w:t>oversight of the Minister in accordance with</w:t>
      </w:r>
    </w:p>
    <w:p>
      <w:pPr>
        <w:pStyle w:val="BodyText"/>
        <w:spacing w:line="273" w:lineRule="auto" w:before="32"/>
        <w:ind w:left="3675" w:right="2927"/>
      </w:pPr>
      <w:r>
        <w:rPr>
          <w:color w:val="231F20"/>
          <w:w w:val="110"/>
        </w:rPr>
        <w:t>its function under Paragraph </w:t>
      </w:r>
      <w:r>
        <w:rPr>
          <w:color w:val="231F20"/>
          <w:spacing w:val="-6"/>
          <w:w w:val="110"/>
        </w:rPr>
        <w:t>2(3)(i) </w:t>
      </w:r>
      <w:r>
        <w:rPr>
          <w:color w:val="231F20"/>
          <w:w w:val="110"/>
        </w:rPr>
        <w:t>of the </w:t>
      </w:r>
      <w:r>
        <w:rPr>
          <w:color w:val="231F20"/>
          <w:spacing w:val="2"/>
          <w:w w:val="110"/>
        </w:rPr>
        <w:t>Structure </w:t>
      </w:r>
      <w:r>
        <w:rPr>
          <w:color w:val="231F20"/>
          <w:w w:val="110"/>
        </w:rPr>
        <w:t>(unless such meaning is  excluded by the context) and </w:t>
      </w:r>
      <w:r>
        <w:rPr>
          <w:color w:val="231F20"/>
          <w:spacing w:val="2"/>
          <w:w w:val="110"/>
        </w:rPr>
        <w:t>references </w:t>
      </w:r>
      <w:r>
        <w:rPr>
          <w:color w:val="231F20"/>
          <w:w w:val="110"/>
        </w:rPr>
        <w:t>to </w:t>
      </w:r>
      <w:r>
        <w:rPr>
          <w:color w:val="231F20"/>
          <w:spacing w:val="2"/>
          <w:w w:val="110"/>
        </w:rPr>
        <w:t>District </w:t>
      </w:r>
      <w:r>
        <w:rPr>
          <w:color w:val="231F20"/>
          <w:w w:val="110"/>
        </w:rPr>
        <w:t>Councils shall be understood to include </w:t>
      </w:r>
      <w:r>
        <w:rPr>
          <w:color w:val="231F20"/>
          <w:spacing w:val="2"/>
          <w:w w:val="110"/>
        </w:rPr>
        <w:t>Area </w:t>
      </w:r>
      <w:r>
        <w:rPr>
          <w:color w:val="231F20"/>
          <w:w w:val="110"/>
        </w:rPr>
        <w:t>Councils in Scotland, such </w:t>
      </w:r>
      <w:r>
        <w:rPr>
          <w:color w:val="231F20"/>
          <w:spacing w:val="2"/>
          <w:w w:val="110"/>
        </w:rPr>
        <w:t>Area </w:t>
      </w:r>
      <w:r>
        <w:rPr>
          <w:color w:val="231F20"/>
          <w:w w:val="110"/>
        </w:rPr>
        <w:t>Councils</w:t>
      </w:r>
      <w:r>
        <w:rPr>
          <w:color w:val="231F20"/>
          <w:spacing w:val="4"/>
          <w:w w:val="110"/>
        </w:rPr>
        <w:t> </w:t>
      </w:r>
      <w:r>
        <w:rPr>
          <w:color w:val="231F20"/>
          <w:w w:val="110"/>
        </w:rPr>
        <w:t>being</w:t>
      </w:r>
    </w:p>
    <w:p>
      <w:pPr>
        <w:pStyle w:val="BodyText"/>
        <w:spacing w:line="273" w:lineRule="auto" w:before="3"/>
        <w:ind w:left="3675" w:right="2720"/>
      </w:pPr>
      <w:r>
        <w:rPr>
          <w:color w:val="231F20"/>
          <w:w w:val="110"/>
        </w:rPr>
        <w:t>in every respect identical with District Councils and wherever the words “District Council”</w:t>
      </w:r>
    </w:p>
    <w:p>
      <w:pPr>
        <w:pStyle w:val="BodyText"/>
        <w:spacing w:line="273" w:lineRule="auto" w:before="1"/>
        <w:ind w:left="3675" w:right="3094"/>
      </w:pPr>
      <w:r>
        <w:rPr>
          <w:color w:val="231F20"/>
          <w:w w:val="110"/>
        </w:rPr>
        <w:t>or “District” appear they shall as regards Scotland be read as meaning “Area Council” or “Area”</w:t>
      </w:r>
    </w:p>
    <w:p>
      <w:pPr>
        <w:pStyle w:val="ListParagraph"/>
        <w:numPr>
          <w:ilvl w:val="0"/>
          <w:numId w:val="178"/>
        </w:numPr>
        <w:tabs>
          <w:tab w:pos="1128" w:val="left" w:leader="none"/>
          <w:tab w:pos="1129" w:val="left" w:leader="none"/>
          <w:tab w:pos="3674" w:val="left" w:leader="none"/>
        </w:tabs>
        <w:spacing w:line="294" w:lineRule="exact" w:before="121" w:after="0"/>
        <w:ind w:left="1128" w:right="0" w:hanging="503"/>
        <w:jc w:val="left"/>
        <w:rPr>
          <w:sz w:val="18"/>
        </w:rPr>
      </w:pPr>
      <w:r>
        <w:rPr>
          <w:b/>
          <w:color w:val="231F20"/>
          <w:w w:val="110"/>
          <w:sz w:val="18"/>
        </w:rPr>
        <w:t>“Enquiry”</w:t>
        <w:tab/>
      </w:r>
      <w:r>
        <w:rPr>
          <w:color w:val="231F20"/>
          <w:spacing w:val="2"/>
          <w:w w:val="110"/>
          <w:sz w:val="18"/>
        </w:rPr>
        <w:t>means the </w:t>
      </w:r>
      <w:r>
        <w:rPr>
          <w:color w:val="231F20"/>
          <w:spacing w:val="3"/>
          <w:w w:val="110"/>
          <w:sz w:val="18"/>
        </w:rPr>
        <w:t>enquiry </w:t>
      </w:r>
      <w:r>
        <w:rPr>
          <w:color w:val="231F20"/>
          <w:spacing w:val="4"/>
          <w:w w:val="110"/>
          <w:sz w:val="18"/>
        </w:rPr>
        <w:t>carried </w:t>
      </w:r>
      <w:r>
        <w:rPr>
          <w:color w:val="231F20"/>
          <w:w w:val="110"/>
          <w:sz w:val="18"/>
        </w:rPr>
        <w:t>out by </w:t>
      </w:r>
      <w:r>
        <w:rPr>
          <w:color w:val="231F20"/>
          <w:spacing w:val="2"/>
          <w:w w:val="110"/>
          <w:sz w:val="18"/>
        </w:rPr>
        <w:t>the</w:t>
      </w:r>
      <w:r>
        <w:rPr>
          <w:color w:val="231F20"/>
          <w:spacing w:val="31"/>
          <w:w w:val="110"/>
          <w:sz w:val="18"/>
        </w:rPr>
        <w:t> </w:t>
      </w:r>
      <w:r>
        <w:rPr>
          <w:color w:val="231F20"/>
          <w:w w:val="110"/>
          <w:sz w:val="18"/>
        </w:rPr>
        <w:t>Review</w:t>
      </w:r>
    </w:p>
    <w:p>
      <w:pPr>
        <w:pStyle w:val="BodyText"/>
        <w:spacing w:line="185" w:lineRule="exact"/>
        <w:ind w:left="3675"/>
      </w:pPr>
      <w:r>
        <w:rPr>
          <w:color w:val="231F20"/>
          <w:w w:val="110"/>
        </w:rPr>
        <w:t>Commission in accordance with Part II,</w:t>
      </w:r>
    </w:p>
    <w:p>
      <w:pPr>
        <w:pStyle w:val="BodyText"/>
        <w:spacing w:before="31"/>
        <w:ind w:left="3676"/>
      </w:pPr>
      <w:r>
        <w:rPr>
          <w:color w:val="231F20"/>
          <w:w w:val="110"/>
        </w:rPr>
        <w:t>Section G</w:t>
      </w:r>
    </w:p>
    <w:p>
      <w:pPr>
        <w:pStyle w:val="ListParagraph"/>
        <w:numPr>
          <w:ilvl w:val="0"/>
          <w:numId w:val="178"/>
        </w:numPr>
        <w:tabs>
          <w:tab w:pos="1128" w:val="left" w:leader="none"/>
          <w:tab w:pos="1129" w:val="left" w:leader="none"/>
          <w:tab w:pos="3674" w:val="left" w:leader="none"/>
        </w:tabs>
        <w:spacing w:line="189" w:lineRule="auto" w:before="191" w:after="0"/>
        <w:ind w:left="3675" w:right="3265" w:hanging="3049"/>
        <w:jc w:val="left"/>
        <w:rPr>
          <w:sz w:val="18"/>
        </w:rPr>
      </w:pPr>
      <w:r>
        <w:rPr>
          <w:b/>
          <w:color w:val="231F20"/>
          <w:w w:val="110"/>
          <w:sz w:val="18"/>
        </w:rPr>
        <w:t>“Hearing”</w:t>
        <w:tab/>
      </w:r>
      <w:r>
        <w:rPr>
          <w:color w:val="231F20"/>
          <w:w w:val="110"/>
          <w:sz w:val="18"/>
        </w:rPr>
        <w:t>means any Hearing conducted by the Review Commission or the Appeals</w:t>
      </w:r>
      <w:r>
        <w:rPr>
          <w:color w:val="231F20"/>
          <w:spacing w:val="63"/>
          <w:w w:val="110"/>
          <w:sz w:val="18"/>
        </w:rPr>
        <w:t> </w:t>
      </w:r>
      <w:r>
        <w:rPr>
          <w:color w:val="231F20"/>
          <w:w w:val="110"/>
          <w:sz w:val="18"/>
        </w:rPr>
        <w:t>Review</w:t>
      </w:r>
    </w:p>
    <w:p>
      <w:pPr>
        <w:pStyle w:val="BodyText"/>
        <w:spacing w:before="38"/>
        <w:ind w:left="3675"/>
      </w:pPr>
      <w:r>
        <w:rPr>
          <w:color w:val="231F20"/>
          <w:w w:val="110"/>
        </w:rPr>
        <w:t>Commission under Part II, Sections J or L</w:t>
      </w:r>
    </w:p>
    <w:p>
      <w:pPr>
        <w:spacing w:after="0"/>
        <w:sectPr>
          <w:type w:val="continuous"/>
          <w:pgSz w:w="11910" w:h="16840"/>
          <w:pgMar w:top="680" w:bottom="280" w:left="620" w:right="0"/>
        </w:sectPr>
      </w:pPr>
    </w:p>
    <w:p>
      <w:pPr>
        <w:numPr>
          <w:ilvl w:val="0"/>
          <w:numId w:val="178"/>
        </w:numPr>
        <w:tabs>
          <w:tab w:pos="1128" w:val="left" w:leader="none"/>
          <w:tab w:pos="1129" w:val="left" w:leader="none"/>
        </w:tabs>
        <w:spacing w:line="189" w:lineRule="auto" w:before="191"/>
        <w:ind w:left="1128" w:right="38" w:hanging="502"/>
        <w:jc w:val="left"/>
        <w:rPr>
          <w:b/>
          <w:sz w:val="18"/>
        </w:rPr>
      </w:pPr>
      <w:r>
        <w:rPr>
          <w:b/>
          <w:color w:val="231F20"/>
          <w:w w:val="110"/>
          <w:sz w:val="18"/>
        </w:rPr>
        <w:t>“Incapacity Procedure”</w:t>
      </w:r>
    </w:p>
    <w:p>
      <w:pPr>
        <w:pStyle w:val="BodyText"/>
        <w:spacing w:line="273" w:lineRule="auto" w:before="161"/>
        <w:ind w:left="627" w:right="2788" w:hanging="1"/>
      </w:pPr>
      <w:r>
        <w:rPr/>
        <w:br w:type="column"/>
      </w:r>
      <w:r>
        <w:rPr>
          <w:color w:val="231F20"/>
          <w:w w:val="110"/>
        </w:rPr>
        <w:t>means the whole Procedure set out in Parts I and II hereof for dealing with cases of ministers falling within Part I, Paragraph 1 hereof</w:t>
      </w:r>
    </w:p>
    <w:p>
      <w:pPr>
        <w:spacing w:after="0" w:line="273" w:lineRule="auto"/>
        <w:sectPr>
          <w:type w:val="continuous"/>
          <w:pgSz w:w="11910" w:h="16840"/>
          <w:pgMar w:top="680" w:bottom="280" w:left="620" w:right="0"/>
          <w:cols w:num="2" w:equalWidth="0">
            <w:col w:w="2493" w:space="555"/>
            <w:col w:w="8242"/>
          </w:cols>
        </w:sectPr>
      </w:pPr>
    </w:p>
    <w:p>
      <w:pPr>
        <w:pStyle w:val="ListParagraph"/>
        <w:numPr>
          <w:ilvl w:val="0"/>
          <w:numId w:val="178"/>
        </w:numPr>
        <w:tabs>
          <w:tab w:pos="1128" w:val="left" w:leader="none"/>
          <w:tab w:pos="1129" w:val="left" w:leader="none"/>
          <w:tab w:pos="3674" w:val="left" w:leader="none"/>
        </w:tabs>
        <w:spacing w:line="294" w:lineRule="exact" w:before="121" w:after="0"/>
        <w:ind w:left="1128" w:right="0" w:hanging="503"/>
        <w:jc w:val="left"/>
        <w:rPr>
          <w:sz w:val="18"/>
        </w:rPr>
      </w:pPr>
      <w:r>
        <w:rPr>
          <w:b/>
          <w:color w:val="231F20"/>
          <w:w w:val="110"/>
          <w:sz w:val="18"/>
        </w:rPr>
        <w:t>“Minister”</w:t>
        <w:tab/>
      </w:r>
      <w:r>
        <w:rPr>
          <w:color w:val="231F20"/>
          <w:w w:val="110"/>
          <w:sz w:val="18"/>
        </w:rPr>
        <w:t>means a </w:t>
      </w:r>
      <w:r>
        <w:rPr>
          <w:color w:val="231F20"/>
          <w:spacing w:val="2"/>
          <w:w w:val="110"/>
          <w:sz w:val="18"/>
        </w:rPr>
        <w:t>person </w:t>
      </w:r>
      <w:r>
        <w:rPr>
          <w:color w:val="231F20"/>
          <w:w w:val="110"/>
          <w:sz w:val="18"/>
        </w:rPr>
        <w:t>whose name is on the</w:t>
      </w:r>
      <w:r>
        <w:rPr>
          <w:color w:val="231F20"/>
          <w:spacing w:val="11"/>
          <w:w w:val="110"/>
          <w:sz w:val="18"/>
        </w:rPr>
        <w:t> </w:t>
      </w:r>
      <w:r>
        <w:rPr>
          <w:color w:val="231F20"/>
          <w:w w:val="110"/>
          <w:sz w:val="18"/>
        </w:rPr>
        <w:t>Roll</w:t>
      </w:r>
    </w:p>
    <w:p>
      <w:pPr>
        <w:pStyle w:val="BodyText"/>
        <w:spacing w:line="185" w:lineRule="exact"/>
        <w:ind w:left="3675"/>
      </w:pPr>
      <w:r>
        <w:rPr>
          <w:color w:val="231F20"/>
          <w:w w:val="110"/>
        </w:rPr>
        <w:t>of Ministers and who is under consideration</w:t>
      </w:r>
    </w:p>
    <w:p>
      <w:pPr>
        <w:pStyle w:val="BodyText"/>
        <w:spacing w:before="31"/>
        <w:ind w:left="3675"/>
      </w:pPr>
      <w:r>
        <w:rPr>
          <w:color w:val="231F20"/>
          <w:w w:val="110"/>
        </w:rPr>
        <w:t>within the Incapacity Procedure</w:t>
      </w:r>
    </w:p>
    <w:p>
      <w:pPr>
        <w:spacing w:after="0"/>
        <w:sectPr>
          <w:type w:val="continuous"/>
          <w:pgSz w:w="11910" w:h="16840"/>
          <w:pgMar w:top="680" w:bottom="280" w:left="620" w:right="0"/>
        </w:sectPr>
      </w:pPr>
    </w:p>
    <w:p>
      <w:pPr>
        <w:numPr>
          <w:ilvl w:val="0"/>
          <w:numId w:val="178"/>
        </w:numPr>
        <w:tabs>
          <w:tab w:pos="1128" w:val="left" w:leader="none"/>
          <w:tab w:pos="1129" w:val="left" w:leader="none"/>
        </w:tabs>
        <w:spacing w:line="189" w:lineRule="auto" w:before="191"/>
        <w:ind w:left="1128" w:right="0" w:hanging="502"/>
        <w:jc w:val="left"/>
        <w:rPr>
          <w:b/>
          <w:sz w:val="18"/>
        </w:rPr>
      </w:pPr>
      <w:r>
        <w:rPr>
          <w:b/>
          <w:color w:val="231F20"/>
          <w:w w:val="110"/>
          <w:sz w:val="18"/>
        </w:rPr>
        <w:t>“Minister’s Representative”</w:t>
      </w:r>
    </w:p>
    <w:p>
      <w:pPr>
        <w:pStyle w:val="BodyText"/>
        <w:spacing w:line="273" w:lineRule="auto" w:before="161"/>
        <w:ind w:left="626" w:right="3333" w:hanging="1"/>
      </w:pPr>
      <w:r>
        <w:rPr/>
        <w:br w:type="column"/>
      </w:r>
      <w:r>
        <w:rPr>
          <w:color w:val="231F20"/>
          <w:w w:val="110"/>
        </w:rPr>
        <w:t>means any person appointed to represent a Minister in accordance with Part II, Paragraph A.7</w:t>
      </w:r>
    </w:p>
    <w:p>
      <w:pPr>
        <w:spacing w:after="0" w:line="273" w:lineRule="auto"/>
        <w:sectPr>
          <w:type w:val="continuous"/>
          <w:pgSz w:w="11910" w:h="16840"/>
          <w:pgMar w:top="680" w:bottom="280" w:left="620" w:right="0"/>
          <w:cols w:num="2" w:equalWidth="0">
            <w:col w:w="2979" w:space="69"/>
            <w:col w:w="8242"/>
          </w:cols>
        </w:sectPr>
      </w:pPr>
    </w:p>
    <w:p>
      <w:pPr>
        <w:pStyle w:val="ListParagraph"/>
        <w:numPr>
          <w:ilvl w:val="0"/>
          <w:numId w:val="178"/>
        </w:numPr>
        <w:tabs>
          <w:tab w:pos="1128" w:val="left" w:leader="none"/>
          <w:tab w:pos="1129" w:val="left" w:leader="none"/>
          <w:tab w:pos="3674" w:val="left" w:leader="none"/>
        </w:tabs>
        <w:spacing w:line="294" w:lineRule="exact" w:before="121" w:after="0"/>
        <w:ind w:left="1128" w:right="0" w:hanging="503"/>
        <w:jc w:val="left"/>
        <w:rPr>
          <w:sz w:val="18"/>
        </w:rPr>
      </w:pPr>
      <w:r>
        <w:rPr>
          <w:b/>
          <w:color w:val="231F20"/>
          <w:w w:val="110"/>
          <w:sz w:val="18"/>
        </w:rPr>
        <w:t>“Notice</w:t>
      </w:r>
      <w:r>
        <w:rPr>
          <w:b/>
          <w:color w:val="231F20"/>
          <w:spacing w:val="21"/>
          <w:w w:val="110"/>
          <w:sz w:val="18"/>
        </w:rPr>
        <w:t> </w:t>
      </w:r>
      <w:r>
        <w:rPr>
          <w:b/>
          <w:color w:val="231F20"/>
          <w:w w:val="110"/>
          <w:sz w:val="18"/>
        </w:rPr>
        <w:t>of</w:t>
      </w:r>
      <w:r>
        <w:rPr>
          <w:b/>
          <w:color w:val="231F20"/>
          <w:spacing w:val="22"/>
          <w:w w:val="110"/>
          <w:sz w:val="18"/>
        </w:rPr>
        <w:t> </w:t>
      </w:r>
      <w:r>
        <w:rPr>
          <w:b/>
          <w:color w:val="231F20"/>
          <w:w w:val="110"/>
          <w:sz w:val="18"/>
        </w:rPr>
        <w:t>Appeal”</w:t>
        <w:tab/>
      </w:r>
      <w:r>
        <w:rPr>
          <w:color w:val="231F20"/>
          <w:w w:val="110"/>
          <w:sz w:val="18"/>
        </w:rPr>
        <w:t>means a Notice of Appeal lodged by or</w:t>
      </w:r>
      <w:r>
        <w:rPr>
          <w:color w:val="231F20"/>
          <w:spacing w:val="15"/>
          <w:w w:val="110"/>
          <w:sz w:val="18"/>
        </w:rPr>
        <w:t> </w:t>
      </w:r>
      <w:r>
        <w:rPr>
          <w:color w:val="231F20"/>
          <w:w w:val="110"/>
          <w:sz w:val="18"/>
        </w:rPr>
        <w:t>on</w:t>
      </w:r>
    </w:p>
    <w:p>
      <w:pPr>
        <w:pStyle w:val="BodyText"/>
        <w:spacing w:line="185" w:lineRule="exact"/>
        <w:ind w:left="3675"/>
      </w:pPr>
      <w:r>
        <w:rPr>
          <w:color w:val="231F20"/>
          <w:w w:val="110"/>
        </w:rPr>
        <w:t>behalf of a Minister in accordance with Part II,</w:t>
      </w:r>
    </w:p>
    <w:p>
      <w:pPr>
        <w:pStyle w:val="BodyText"/>
        <w:spacing w:before="31"/>
        <w:ind w:left="3675"/>
      </w:pPr>
      <w:r>
        <w:rPr>
          <w:color w:val="231F20"/>
          <w:w w:val="110"/>
        </w:rPr>
        <w:t>Paragraph L.1.1</w:t>
      </w:r>
    </w:p>
    <w:p>
      <w:pPr>
        <w:spacing w:after="0"/>
        <w:sectPr>
          <w:type w:val="continuous"/>
          <w:pgSz w:w="11910" w:h="16840"/>
          <w:pgMar w:top="680" w:bottom="280" w:left="620" w:right="0"/>
        </w:sectPr>
      </w:pPr>
    </w:p>
    <w:p>
      <w:pPr>
        <w:numPr>
          <w:ilvl w:val="0"/>
          <w:numId w:val="178"/>
        </w:numPr>
        <w:tabs>
          <w:tab w:pos="1128" w:val="left" w:leader="none"/>
          <w:tab w:pos="1129" w:val="left" w:leader="none"/>
        </w:tabs>
        <w:spacing w:line="189" w:lineRule="auto" w:before="191"/>
        <w:ind w:left="1128" w:right="38" w:hanging="502"/>
        <w:jc w:val="left"/>
        <w:rPr>
          <w:b/>
          <w:sz w:val="18"/>
        </w:rPr>
      </w:pPr>
      <w:r>
        <w:rPr>
          <w:b/>
          <w:color w:val="231F20"/>
          <w:w w:val="110"/>
          <w:sz w:val="18"/>
        </w:rPr>
        <w:t>“Record of </w:t>
      </w:r>
      <w:r>
        <w:rPr>
          <w:b/>
          <w:color w:val="231F20"/>
          <w:spacing w:val="-4"/>
          <w:w w:val="110"/>
          <w:sz w:val="18"/>
        </w:rPr>
        <w:t>the </w:t>
      </w:r>
      <w:r>
        <w:rPr>
          <w:b/>
          <w:color w:val="231F20"/>
          <w:w w:val="110"/>
          <w:sz w:val="18"/>
        </w:rPr>
        <w:t>Hearing”</w:t>
      </w:r>
    </w:p>
    <w:p>
      <w:pPr>
        <w:pStyle w:val="BodyText"/>
        <w:rPr>
          <w:b/>
          <w:sz w:val="22"/>
        </w:rPr>
      </w:pPr>
    </w:p>
    <w:p>
      <w:pPr>
        <w:pStyle w:val="ListParagraph"/>
        <w:numPr>
          <w:ilvl w:val="0"/>
          <w:numId w:val="178"/>
        </w:numPr>
        <w:tabs>
          <w:tab w:pos="1128" w:val="left" w:leader="none"/>
          <w:tab w:pos="1129" w:val="left" w:leader="none"/>
        </w:tabs>
        <w:spacing w:line="189" w:lineRule="auto" w:before="180" w:after="0"/>
        <w:ind w:left="1128" w:right="192" w:hanging="502"/>
        <w:jc w:val="left"/>
        <w:rPr>
          <w:b/>
          <w:sz w:val="18"/>
        </w:rPr>
      </w:pPr>
      <w:r>
        <w:rPr>
          <w:b/>
          <w:color w:val="231F20"/>
          <w:w w:val="110"/>
          <w:sz w:val="18"/>
        </w:rPr>
        <w:t>“Review Commission”</w:t>
      </w:r>
    </w:p>
    <w:p>
      <w:pPr>
        <w:pStyle w:val="BodyText"/>
        <w:spacing w:line="273" w:lineRule="auto" w:before="161"/>
        <w:ind w:left="626" w:right="2901" w:hanging="1"/>
      </w:pPr>
      <w:r>
        <w:rPr/>
        <w:br w:type="column"/>
      </w:r>
      <w:r>
        <w:rPr>
          <w:color w:val="231F20"/>
          <w:w w:val="110"/>
        </w:rPr>
        <w:t>means the Secretary’s Minute together with any verbatim record made and transcribed in accordance with Part II, Paragraph J.9</w:t>
      </w:r>
    </w:p>
    <w:p>
      <w:pPr>
        <w:pStyle w:val="BodyText"/>
        <w:spacing w:line="273" w:lineRule="auto" w:before="132"/>
        <w:ind w:left="626" w:right="2788" w:hanging="1"/>
      </w:pPr>
      <w:r>
        <w:rPr>
          <w:color w:val="231F20"/>
          <w:w w:val="110"/>
        </w:rPr>
        <w:t>means a Commission consisting of five persons selected as described in Part II, Section D for the purpose of hearing and deciding upon each case dealt with under the Incapacity Procedure</w:t>
      </w:r>
    </w:p>
    <w:p>
      <w:pPr>
        <w:spacing w:after="0" w:line="273" w:lineRule="auto"/>
        <w:sectPr>
          <w:type w:val="continuous"/>
          <w:pgSz w:w="11910" w:h="16840"/>
          <w:pgMar w:top="680" w:bottom="280" w:left="620" w:right="0"/>
          <w:cols w:num="2" w:equalWidth="0">
            <w:col w:w="2818" w:space="230"/>
            <w:col w:w="8242"/>
          </w:cols>
        </w:sectPr>
      </w:pPr>
    </w:p>
    <w:p>
      <w:pPr>
        <w:pStyle w:val="ListParagraph"/>
        <w:numPr>
          <w:ilvl w:val="0"/>
          <w:numId w:val="178"/>
        </w:numPr>
        <w:tabs>
          <w:tab w:pos="1128" w:val="left" w:leader="none"/>
          <w:tab w:pos="1129" w:val="left" w:leader="none"/>
          <w:tab w:pos="3674" w:val="left" w:leader="none"/>
        </w:tabs>
        <w:spacing w:line="294" w:lineRule="exact" w:before="121" w:after="0"/>
        <w:ind w:left="1128" w:right="0" w:hanging="503"/>
        <w:jc w:val="left"/>
        <w:rPr>
          <w:sz w:val="18"/>
        </w:rPr>
      </w:pPr>
      <w:r>
        <w:rPr>
          <w:b/>
          <w:color w:val="231F20"/>
          <w:w w:val="110"/>
          <w:sz w:val="18"/>
        </w:rPr>
        <w:t>“Roll</w:t>
      </w:r>
      <w:r>
        <w:rPr>
          <w:b/>
          <w:color w:val="231F20"/>
          <w:spacing w:val="17"/>
          <w:w w:val="110"/>
          <w:sz w:val="18"/>
        </w:rPr>
        <w:t> </w:t>
      </w:r>
      <w:r>
        <w:rPr>
          <w:b/>
          <w:color w:val="231F20"/>
          <w:w w:val="110"/>
          <w:sz w:val="18"/>
        </w:rPr>
        <w:t>of</w:t>
      </w:r>
      <w:r>
        <w:rPr>
          <w:b/>
          <w:color w:val="231F20"/>
          <w:spacing w:val="18"/>
          <w:w w:val="110"/>
          <w:sz w:val="18"/>
        </w:rPr>
        <w:t> </w:t>
      </w:r>
      <w:r>
        <w:rPr>
          <w:b/>
          <w:color w:val="231F20"/>
          <w:w w:val="110"/>
          <w:sz w:val="18"/>
        </w:rPr>
        <w:t>Ministers”</w:t>
        <w:tab/>
      </w:r>
      <w:r>
        <w:rPr>
          <w:color w:val="231F20"/>
          <w:w w:val="110"/>
          <w:sz w:val="18"/>
        </w:rPr>
        <w:t>has the meaning given to it in Paragraph 1</w:t>
      </w:r>
      <w:r>
        <w:rPr>
          <w:color w:val="231F20"/>
          <w:spacing w:val="16"/>
          <w:w w:val="110"/>
          <w:sz w:val="18"/>
        </w:rPr>
        <w:t> </w:t>
      </w:r>
      <w:r>
        <w:rPr>
          <w:color w:val="231F20"/>
          <w:w w:val="110"/>
          <w:sz w:val="18"/>
        </w:rPr>
        <w:t>of</w:t>
      </w:r>
    </w:p>
    <w:p>
      <w:pPr>
        <w:pStyle w:val="BodyText"/>
        <w:spacing w:line="185" w:lineRule="exact"/>
        <w:ind w:left="3675"/>
      </w:pPr>
      <w:r>
        <w:rPr>
          <w:color w:val="231F20"/>
          <w:w w:val="110"/>
        </w:rPr>
        <w:t>Schedule E to the Basis of Union</w:t>
      </w:r>
    </w:p>
    <w:p>
      <w:pPr>
        <w:pStyle w:val="BodyText"/>
        <w:spacing w:before="2"/>
        <w:rPr>
          <w:sz w:val="10"/>
        </w:rPr>
      </w:pPr>
    </w:p>
    <w:p>
      <w:pPr>
        <w:spacing w:after="0"/>
        <w:rPr>
          <w:sz w:val="10"/>
        </w:rPr>
        <w:sectPr>
          <w:type w:val="continuous"/>
          <w:pgSz w:w="11910" w:h="16840"/>
          <w:pgMar w:top="680" w:bottom="280" w:left="620" w:right="0"/>
        </w:sectPr>
      </w:pPr>
    </w:p>
    <w:p>
      <w:pPr>
        <w:numPr>
          <w:ilvl w:val="0"/>
          <w:numId w:val="178"/>
        </w:numPr>
        <w:tabs>
          <w:tab w:pos="1128" w:val="left" w:leader="none"/>
          <w:tab w:pos="1129" w:val="left" w:leader="none"/>
        </w:tabs>
        <w:spacing w:line="189" w:lineRule="auto" w:before="144"/>
        <w:ind w:left="1128" w:right="38" w:hanging="502"/>
        <w:jc w:val="left"/>
        <w:rPr>
          <w:b/>
          <w:sz w:val="18"/>
        </w:rPr>
      </w:pPr>
      <w:r>
        <w:rPr>
          <w:b/>
          <w:color w:val="231F20"/>
          <w:spacing w:val="3"/>
          <w:w w:val="110"/>
          <w:sz w:val="18"/>
        </w:rPr>
        <w:t>“Secretary </w:t>
      </w:r>
      <w:r>
        <w:rPr>
          <w:b/>
          <w:color w:val="231F20"/>
          <w:spacing w:val="-6"/>
          <w:w w:val="110"/>
          <w:sz w:val="18"/>
        </w:rPr>
        <w:t>of </w:t>
      </w:r>
      <w:r>
        <w:rPr>
          <w:b/>
          <w:color w:val="231F20"/>
          <w:w w:val="110"/>
          <w:sz w:val="18"/>
        </w:rPr>
        <w:t>the</w:t>
      </w:r>
      <w:r>
        <w:rPr>
          <w:b/>
          <w:color w:val="231F20"/>
          <w:spacing w:val="3"/>
          <w:w w:val="110"/>
          <w:sz w:val="18"/>
        </w:rPr>
        <w:t> </w:t>
      </w:r>
      <w:r>
        <w:rPr>
          <w:b/>
          <w:color w:val="231F20"/>
          <w:w w:val="110"/>
          <w:sz w:val="18"/>
        </w:rPr>
        <w:t>Review</w:t>
      </w:r>
    </w:p>
    <w:p>
      <w:pPr>
        <w:spacing w:before="38"/>
        <w:ind w:left="1128" w:right="0" w:firstLine="0"/>
        <w:jc w:val="left"/>
        <w:rPr>
          <w:b/>
          <w:sz w:val="18"/>
        </w:rPr>
      </w:pPr>
      <w:r>
        <w:rPr>
          <w:b/>
          <w:color w:val="231F20"/>
          <w:w w:val="110"/>
          <w:sz w:val="18"/>
        </w:rPr>
        <w:t>Commission”</w:t>
      </w:r>
    </w:p>
    <w:p>
      <w:pPr>
        <w:pStyle w:val="ListParagraph"/>
        <w:numPr>
          <w:ilvl w:val="0"/>
          <w:numId w:val="178"/>
        </w:numPr>
        <w:tabs>
          <w:tab w:pos="1128" w:val="left" w:leader="none"/>
          <w:tab w:pos="1129" w:val="left" w:leader="none"/>
        </w:tabs>
        <w:spacing w:line="189" w:lineRule="auto" w:before="191" w:after="0"/>
        <w:ind w:left="1128" w:right="148" w:hanging="502"/>
        <w:jc w:val="left"/>
        <w:rPr>
          <w:b/>
          <w:sz w:val="18"/>
        </w:rPr>
      </w:pPr>
      <w:r>
        <w:rPr>
          <w:b/>
          <w:color w:val="231F20"/>
          <w:spacing w:val="2"/>
          <w:w w:val="110"/>
          <w:sz w:val="18"/>
        </w:rPr>
        <w:t>“Secretary’s </w:t>
      </w:r>
      <w:r>
        <w:rPr>
          <w:b/>
          <w:color w:val="231F20"/>
          <w:w w:val="110"/>
          <w:sz w:val="18"/>
        </w:rPr>
        <w:t>Minute”</w:t>
      </w:r>
    </w:p>
    <w:p>
      <w:pPr>
        <w:pStyle w:val="BodyText"/>
        <w:spacing w:line="273" w:lineRule="auto" w:before="114"/>
        <w:ind w:left="626" w:right="2708" w:hanging="1"/>
      </w:pPr>
      <w:r>
        <w:rPr/>
        <w:br w:type="column"/>
      </w:r>
      <w:r>
        <w:rPr>
          <w:color w:val="231F20"/>
          <w:w w:val="110"/>
        </w:rPr>
        <w:t>means the person appointed to act as the Secretary of the Review Commission in accordance with Part II, Paragraph D.2</w:t>
      </w:r>
    </w:p>
    <w:p>
      <w:pPr>
        <w:pStyle w:val="BodyText"/>
        <w:spacing w:line="273" w:lineRule="auto" w:before="132"/>
        <w:ind w:left="626" w:right="2708" w:hanging="1"/>
      </w:pPr>
      <w:r>
        <w:rPr>
          <w:color w:val="231F20"/>
          <w:w w:val="110"/>
        </w:rPr>
        <w:t>means the summary minute of the Hearing prepared by the Secretary of the Review Commission in accordance with Part II, Paragraph J.9</w:t>
      </w:r>
    </w:p>
    <w:p>
      <w:pPr>
        <w:spacing w:after="0" w:line="273" w:lineRule="auto"/>
        <w:sectPr>
          <w:type w:val="continuous"/>
          <w:pgSz w:w="11910" w:h="16840"/>
          <w:pgMar w:top="680" w:bottom="280" w:left="620" w:right="0"/>
          <w:cols w:num="2" w:equalWidth="0">
            <w:col w:w="2694" w:space="355"/>
            <w:col w:w="8241"/>
          </w:cols>
        </w:sectPr>
      </w:pPr>
    </w:p>
    <w:p>
      <w:pPr>
        <w:pStyle w:val="BodyText"/>
        <w:spacing w:before="12"/>
        <w:rPr>
          <w:sz w:val="21"/>
        </w:rPr>
      </w:pPr>
    </w:p>
    <w:p>
      <w:pPr>
        <w:pStyle w:val="ListParagraph"/>
        <w:numPr>
          <w:ilvl w:val="1"/>
          <w:numId w:val="178"/>
        </w:numPr>
        <w:tabs>
          <w:tab w:pos="1695" w:val="left" w:leader="none"/>
          <w:tab w:pos="1696" w:val="left" w:leader="none"/>
          <w:tab w:pos="4241" w:val="left" w:leader="none"/>
        </w:tabs>
        <w:spacing w:line="294" w:lineRule="exact" w:before="103" w:after="0"/>
        <w:ind w:left="1695" w:right="0" w:hanging="503"/>
        <w:jc w:val="left"/>
        <w:rPr>
          <w:sz w:val="18"/>
        </w:rPr>
      </w:pPr>
      <w:r>
        <w:rPr>
          <w:b/>
          <w:color w:val="231F20"/>
          <w:w w:val="110"/>
          <w:sz w:val="18"/>
        </w:rPr>
        <w:t>“Standing</w:t>
      </w:r>
      <w:r>
        <w:rPr>
          <w:b/>
          <w:color w:val="231F20"/>
          <w:spacing w:val="30"/>
          <w:w w:val="110"/>
          <w:sz w:val="18"/>
        </w:rPr>
        <w:t> </w:t>
      </w:r>
      <w:r>
        <w:rPr>
          <w:b/>
          <w:color w:val="231F20"/>
          <w:w w:val="110"/>
          <w:sz w:val="18"/>
        </w:rPr>
        <w:t>Panel”</w:t>
        <w:tab/>
      </w:r>
      <w:r>
        <w:rPr>
          <w:color w:val="231F20"/>
          <w:w w:val="110"/>
          <w:sz w:val="18"/>
        </w:rPr>
        <w:t>means the panel of </w:t>
      </w:r>
      <w:r>
        <w:rPr>
          <w:color w:val="231F20"/>
          <w:spacing w:val="2"/>
          <w:w w:val="110"/>
          <w:sz w:val="18"/>
        </w:rPr>
        <w:t>persons </w:t>
      </w:r>
      <w:r>
        <w:rPr>
          <w:color w:val="231F20"/>
          <w:w w:val="110"/>
          <w:sz w:val="18"/>
        </w:rPr>
        <w:t>constituted</w:t>
      </w:r>
      <w:r>
        <w:rPr>
          <w:color w:val="231F20"/>
          <w:spacing w:val="11"/>
          <w:w w:val="110"/>
          <w:sz w:val="18"/>
        </w:rPr>
        <w:t> </w:t>
      </w:r>
      <w:r>
        <w:rPr>
          <w:color w:val="231F20"/>
          <w:w w:val="110"/>
          <w:sz w:val="18"/>
        </w:rPr>
        <w:t>in</w:t>
      </w:r>
    </w:p>
    <w:p>
      <w:pPr>
        <w:pStyle w:val="BodyText"/>
        <w:spacing w:line="185" w:lineRule="exact"/>
        <w:ind w:left="4242"/>
      </w:pPr>
      <w:r>
        <w:rPr>
          <w:color w:val="231F20"/>
          <w:w w:val="110"/>
        </w:rPr>
        <w:t>accordance with Part II, Section C who will</w:t>
      </w:r>
    </w:p>
    <w:p>
      <w:pPr>
        <w:pStyle w:val="BodyText"/>
        <w:spacing w:before="31"/>
        <w:ind w:left="4242"/>
      </w:pPr>
      <w:r>
        <w:rPr>
          <w:color w:val="231F20"/>
          <w:w w:val="110"/>
        </w:rPr>
        <w:t>form part of each Review Commission</w:t>
      </w:r>
    </w:p>
    <w:p>
      <w:pPr>
        <w:spacing w:after="0"/>
        <w:sectPr>
          <w:pgSz w:w="11910" w:h="16840"/>
          <w:pgMar w:header="557" w:footer="564" w:top="820" w:bottom="760" w:left="620" w:right="0"/>
        </w:sectPr>
      </w:pPr>
    </w:p>
    <w:p>
      <w:pPr>
        <w:numPr>
          <w:ilvl w:val="1"/>
          <w:numId w:val="178"/>
        </w:numPr>
        <w:tabs>
          <w:tab w:pos="1695" w:val="left" w:leader="none"/>
          <w:tab w:pos="1696" w:val="left" w:leader="none"/>
        </w:tabs>
        <w:spacing w:line="189" w:lineRule="auto" w:before="191"/>
        <w:ind w:left="1695" w:right="0" w:hanging="502"/>
        <w:jc w:val="left"/>
        <w:rPr>
          <w:b/>
          <w:sz w:val="18"/>
        </w:rPr>
      </w:pPr>
      <w:r>
        <w:rPr>
          <w:b/>
          <w:color w:val="231F20"/>
          <w:spacing w:val="2"/>
          <w:w w:val="110"/>
          <w:sz w:val="18"/>
        </w:rPr>
        <w:t>“Statement </w:t>
      </w:r>
      <w:r>
        <w:rPr>
          <w:b/>
          <w:color w:val="231F20"/>
          <w:spacing w:val="-7"/>
          <w:w w:val="110"/>
          <w:sz w:val="18"/>
        </w:rPr>
        <w:t>of </w:t>
      </w:r>
      <w:r>
        <w:rPr>
          <w:b/>
          <w:color w:val="231F20"/>
          <w:w w:val="110"/>
          <w:sz w:val="18"/>
        </w:rPr>
        <w:t>Reasons”</w:t>
      </w:r>
    </w:p>
    <w:p>
      <w:pPr>
        <w:pStyle w:val="BodyText"/>
        <w:spacing w:line="273" w:lineRule="auto" w:before="161"/>
        <w:ind w:left="903" w:right="1853" w:hanging="1"/>
      </w:pPr>
      <w:r>
        <w:rPr/>
        <w:br w:type="column"/>
      </w:r>
      <w:r>
        <w:rPr>
          <w:color w:val="231F20"/>
          <w:w w:val="110"/>
        </w:rPr>
        <w:t>means a statement appended to the Decision Record setting out the reasons for the Decision</w:t>
      </w:r>
    </w:p>
    <w:p>
      <w:pPr>
        <w:spacing w:after="0" w:line="273" w:lineRule="auto"/>
        <w:sectPr>
          <w:type w:val="continuous"/>
          <w:pgSz w:w="11910" w:h="16840"/>
          <w:pgMar w:top="680" w:bottom="280" w:left="620" w:right="0"/>
          <w:cols w:num="2" w:equalWidth="0">
            <w:col w:w="3299" w:space="40"/>
            <w:col w:w="7951"/>
          </w:cols>
        </w:sectPr>
      </w:pPr>
    </w:p>
    <w:p>
      <w:pPr>
        <w:pStyle w:val="ListParagraph"/>
        <w:numPr>
          <w:ilvl w:val="1"/>
          <w:numId w:val="178"/>
        </w:numPr>
        <w:tabs>
          <w:tab w:pos="1695" w:val="left" w:leader="none"/>
          <w:tab w:pos="1696" w:val="left" w:leader="none"/>
          <w:tab w:pos="4241" w:val="left" w:leader="none"/>
        </w:tabs>
        <w:spacing w:line="294" w:lineRule="exact" w:before="197" w:after="0"/>
        <w:ind w:left="1695" w:right="0" w:hanging="503"/>
        <w:jc w:val="left"/>
        <w:rPr>
          <w:sz w:val="18"/>
        </w:rPr>
      </w:pPr>
      <w:r>
        <w:rPr>
          <w:b/>
          <w:color w:val="231F20"/>
          <w:spacing w:val="2"/>
          <w:w w:val="110"/>
          <w:sz w:val="18"/>
        </w:rPr>
        <w:t>“Structure”</w:t>
        <w:tab/>
      </w:r>
      <w:r>
        <w:rPr>
          <w:color w:val="231F20"/>
          <w:w w:val="110"/>
          <w:sz w:val="18"/>
        </w:rPr>
        <w:t>means the Structure of the</w:t>
      </w:r>
      <w:r>
        <w:rPr>
          <w:color w:val="231F20"/>
          <w:spacing w:val="9"/>
          <w:w w:val="110"/>
          <w:sz w:val="18"/>
        </w:rPr>
        <w:t> </w:t>
      </w:r>
      <w:r>
        <w:rPr>
          <w:color w:val="231F20"/>
          <w:w w:val="110"/>
          <w:sz w:val="18"/>
        </w:rPr>
        <w:t>United</w:t>
      </w:r>
    </w:p>
    <w:p>
      <w:pPr>
        <w:pStyle w:val="BodyText"/>
        <w:spacing w:line="185" w:lineRule="exact"/>
        <w:ind w:right="1020"/>
        <w:jc w:val="center"/>
      </w:pPr>
      <w:r>
        <w:rPr>
          <w:color w:val="231F20"/>
          <w:w w:val="110"/>
        </w:rPr>
        <w:t>Reformed Church</w:t>
      </w:r>
    </w:p>
    <w:p>
      <w:pPr>
        <w:pStyle w:val="BodyText"/>
        <w:spacing w:before="2"/>
        <w:rPr>
          <w:sz w:val="10"/>
        </w:rPr>
      </w:pPr>
    </w:p>
    <w:p>
      <w:pPr>
        <w:spacing w:after="0"/>
        <w:rPr>
          <w:sz w:val="10"/>
        </w:rPr>
        <w:sectPr>
          <w:type w:val="continuous"/>
          <w:pgSz w:w="11910" w:h="16840"/>
          <w:pgMar w:top="680" w:bottom="280" w:left="620" w:right="0"/>
        </w:sectPr>
      </w:pPr>
    </w:p>
    <w:p>
      <w:pPr>
        <w:numPr>
          <w:ilvl w:val="1"/>
          <w:numId w:val="178"/>
        </w:numPr>
        <w:tabs>
          <w:tab w:pos="1695" w:val="left" w:leader="none"/>
          <w:tab w:pos="1696" w:val="left" w:leader="none"/>
        </w:tabs>
        <w:spacing w:line="189" w:lineRule="auto" w:before="144"/>
        <w:ind w:left="1695" w:right="0" w:hanging="502"/>
        <w:jc w:val="left"/>
        <w:rPr>
          <w:b/>
          <w:sz w:val="18"/>
        </w:rPr>
      </w:pPr>
      <w:r>
        <w:rPr>
          <w:b/>
          <w:color w:val="231F20"/>
          <w:w w:val="110"/>
          <w:sz w:val="18"/>
        </w:rPr>
        <w:t>“Suspension” </w:t>
      </w:r>
      <w:r>
        <w:rPr>
          <w:b/>
          <w:color w:val="231F20"/>
          <w:spacing w:val="-5"/>
          <w:w w:val="110"/>
          <w:sz w:val="18"/>
        </w:rPr>
        <w:t>and </w:t>
      </w:r>
      <w:r>
        <w:rPr>
          <w:b/>
          <w:color w:val="231F20"/>
          <w:spacing w:val="3"/>
          <w:w w:val="110"/>
          <w:sz w:val="18"/>
        </w:rPr>
        <w:t>“to </w:t>
      </w:r>
      <w:r>
        <w:rPr>
          <w:b/>
          <w:color w:val="231F20"/>
          <w:w w:val="110"/>
          <w:sz w:val="18"/>
        </w:rPr>
        <w:t>Suspend”</w:t>
      </w:r>
    </w:p>
    <w:p>
      <w:pPr>
        <w:pStyle w:val="BodyText"/>
        <w:spacing w:line="273" w:lineRule="auto" w:before="114"/>
        <w:ind w:left="475" w:right="2519" w:hanging="1"/>
      </w:pPr>
      <w:r>
        <w:rPr/>
        <w:br w:type="column"/>
      </w:r>
      <w:r>
        <w:rPr>
          <w:color w:val="231F20"/>
          <w:w w:val="110"/>
        </w:rPr>
        <w:t>shall have the meanings given to them in Paragraphs 3 and 4 of Schedule E to the Basis of Union</w:t>
      </w:r>
    </w:p>
    <w:p>
      <w:pPr>
        <w:spacing w:after="0" w:line="273" w:lineRule="auto"/>
        <w:sectPr>
          <w:type w:val="continuous"/>
          <w:pgSz w:w="11910" w:h="16840"/>
          <w:pgMar w:top="680" w:bottom="280" w:left="620" w:right="0"/>
          <w:cols w:num="2" w:equalWidth="0">
            <w:col w:w="3727" w:space="40"/>
            <w:col w:w="7523"/>
          </w:cols>
        </w:sectPr>
      </w:pPr>
    </w:p>
    <w:p>
      <w:pPr>
        <w:pStyle w:val="ListParagraph"/>
        <w:numPr>
          <w:ilvl w:val="1"/>
          <w:numId w:val="178"/>
        </w:numPr>
        <w:tabs>
          <w:tab w:pos="1695" w:val="left" w:leader="none"/>
          <w:tab w:pos="1696" w:val="left" w:leader="none"/>
          <w:tab w:pos="4241" w:val="left" w:leader="none"/>
        </w:tabs>
        <w:spacing w:line="189" w:lineRule="auto" w:before="161" w:after="0"/>
        <w:ind w:left="4242" w:right="3085" w:hanging="3049"/>
        <w:jc w:val="left"/>
        <w:rPr>
          <w:sz w:val="18"/>
        </w:rPr>
      </w:pPr>
      <w:r>
        <w:rPr>
          <w:b/>
          <w:color w:val="231F20"/>
          <w:w w:val="110"/>
          <w:sz w:val="18"/>
        </w:rPr>
        <w:t>“Synod”</w:t>
        <w:tab/>
      </w:r>
      <w:r>
        <w:rPr>
          <w:color w:val="231F20"/>
          <w:w w:val="110"/>
          <w:sz w:val="18"/>
        </w:rPr>
        <w:t>means the Synod of which the Minister concerned is a member (unless</w:t>
      </w:r>
      <w:r>
        <w:rPr>
          <w:color w:val="231F20"/>
          <w:spacing w:val="36"/>
          <w:w w:val="110"/>
          <w:sz w:val="18"/>
        </w:rPr>
        <w:t> </w:t>
      </w:r>
      <w:r>
        <w:rPr>
          <w:color w:val="231F20"/>
          <w:w w:val="110"/>
          <w:sz w:val="18"/>
        </w:rPr>
        <w:t>such</w:t>
      </w:r>
    </w:p>
    <w:p>
      <w:pPr>
        <w:pStyle w:val="BodyText"/>
        <w:spacing w:before="39"/>
        <w:ind w:left="4242"/>
      </w:pPr>
      <w:r>
        <w:rPr>
          <w:color w:val="231F20"/>
          <w:w w:val="110"/>
        </w:rPr>
        <w:t>meaning is excluded by the context)</w:t>
      </w:r>
    </w:p>
    <w:p>
      <w:pPr>
        <w:pStyle w:val="BodyText"/>
        <w:spacing w:before="10"/>
        <w:rPr>
          <w:sz w:val="25"/>
        </w:rPr>
      </w:pPr>
    </w:p>
    <w:p>
      <w:pPr>
        <w:pStyle w:val="ListParagraph"/>
        <w:numPr>
          <w:ilvl w:val="1"/>
          <w:numId w:val="177"/>
        </w:numPr>
        <w:tabs>
          <w:tab w:pos="1800" w:val="left" w:leader="none"/>
          <w:tab w:pos="1801" w:val="left" w:leader="none"/>
        </w:tabs>
        <w:spacing w:line="273" w:lineRule="auto" w:before="0" w:after="0"/>
        <w:ind w:left="1082" w:right="1231" w:hanging="2"/>
        <w:jc w:val="left"/>
        <w:rPr>
          <w:sz w:val="18"/>
        </w:rPr>
      </w:pPr>
      <w:r>
        <w:rPr>
          <w:color w:val="231F20"/>
          <w:w w:val="110"/>
          <w:sz w:val="18"/>
        </w:rPr>
        <w:t>The Incapacity Procedure needs to </w:t>
      </w:r>
      <w:r>
        <w:rPr>
          <w:color w:val="231F20"/>
          <w:spacing w:val="-3"/>
          <w:w w:val="110"/>
          <w:sz w:val="18"/>
        </w:rPr>
        <w:t>move </w:t>
      </w:r>
      <w:r>
        <w:rPr>
          <w:color w:val="231F20"/>
          <w:w w:val="110"/>
          <w:sz w:val="18"/>
        </w:rPr>
        <w:t>along in a timely manner so that feelings of frustration and unfairness do not arise as a result of unexplained delays and</w:t>
      </w:r>
      <w:r>
        <w:rPr>
          <w:color w:val="231F20"/>
          <w:spacing w:val="-31"/>
          <w:w w:val="110"/>
          <w:sz w:val="18"/>
        </w:rPr>
        <w:t> </w:t>
      </w:r>
      <w:r>
        <w:rPr>
          <w:color w:val="231F20"/>
          <w:w w:val="110"/>
          <w:sz w:val="18"/>
        </w:rPr>
        <w:t>also</w:t>
      </w:r>
    </w:p>
    <w:p>
      <w:pPr>
        <w:pStyle w:val="BodyText"/>
        <w:spacing w:line="273" w:lineRule="auto" w:before="2"/>
        <w:ind w:left="1084" w:right="1600" w:hanging="1"/>
      </w:pPr>
      <w:r>
        <w:rPr>
          <w:color w:val="231F20"/>
          <w:w w:val="110"/>
        </w:rPr>
        <w:t>so as to reduce the period of maximum stress for the Minister and all those </w:t>
      </w:r>
      <w:r>
        <w:rPr>
          <w:color w:val="231F20"/>
          <w:spacing w:val="-3"/>
          <w:w w:val="110"/>
        </w:rPr>
        <w:t>involved. </w:t>
      </w:r>
      <w:r>
        <w:rPr>
          <w:color w:val="231F20"/>
          <w:spacing w:val="-4"/>
          <w:w w:val="110"/>
        </w:rPr>
        <w:t>Yet, </w:t>
      </w:r>
      <w:r>
        <w:rPr>
          <w:color w:val="231F20"/>
          <w:w w:val="110"/>
        </w:rPr>
        <w:t>of equal importance, the issues </w:t>
      </w:r>
      <w:r>
        <w:rPr>
          <w:color w:val="231F20"/>
          <w:spacing w:val="-3"/>
          <w:w w:val="110"/>
        </w:rPr>
        <w:t>have </w:t>
      </w:r>
      <w:r>
        <w:rPr>
          <w:color w:val="231F20"/>
          <w:w w:val="110"/>
        </w:rPr>
        <w:t>to be explored sensitively to enable wise and thoughtful decisions to be taken. Thus the Review Commission must at all times be mindful of the need to balance proper expedition on the one hand with the need</w:t>
      </w:r>
      <w:r>
        <w:rPr>
          <w:color w:val="231F20"/>
          <w:spacing w:val="-9"/>
          <w:w w:val="110"/>
        </w:rPr>
        <w:t> </w:t>
      </w:r>
      <w:r>
        <w:rPr>
          <w:color w:val="231F20"/>
          <w:w w:val="110"/>
        </w:rPr>
        <w:t>to</w:t>
      </w:r>
    </w:p>
    <w:p>
      <w:pPr>
        <w:pStyle w:val="BodyText"/>
        <w:spacing w:line="273" w:lineRule="auto" w:before="2"/>
        <w:ind w:left="1088" w:right="1262" w:hanging="2"/>
      </w:pPr>
      <w:r>
        <w:rPr>
          <w:color w:val="231F20"/>
          <w:w w:val="110"/>
        </w:rPr>
        <w:t>achieve natural justice both for the Minister and the whole Church and an outcome which is fair and properly considered.</w:t>
      </w:r>
    </w:p>
    <w:p>
      <w:pPr>
        <w:pStyle w:val="BodyText"/>
        <w:spacing w:before="8"/>
        <w:rPr>
          <w:sz w:val="20"/>
        </w:rPr>
      </w:pPr>
    </w:p>
    <w:p>
      <w:pPr>
        <w:pStyle w:val="ListParagraph"/>
        <w:numPr>
          <w:ilvl w:val="1"/>
          <w:numId w:val="177"/>
        </w:numPr>
        <w:tabs>
          <w:tab w:pos="1808" w:val="left" w:leader="none"/>
          <w:tab w:pos="1809" w:val="left" w:leader="none"/>
        </w:tabs>
        <w:spacing w:line="273" w:lineRule="auto" w:before="0" w:after="0"/>
        <w:ind w:left="1089" w:right="1443" w:firstLine="0"/>
        <w:jc w:val="left"/>
        <w:rPr>
          <w:sz w:val="18"/>
        </w:rPr>
      </w:pPr>
      <w:r>
        <w:rPr>
          <w:color w:val="231F20"/>
          <w:w w:val="110"/>
          <w:sz w:val="18"/>
        </w:rPr>
        <w:t>Subject to the exception contained in Paragraph A.4 all statements, whether </w:t>
      </w:r>
      <w:r>
        <w:rPr>
          <w:color w:val="231F20"/>
          <w:spacing w:val="2"/>
          <w:w w:val="110"/>
          <w:sz w:val="18"/>
        </w:rPr>
        <w:t>written </w:t>
      </w:r>
      <w:r>
        <w:rPr>
          <w:color w:val="231F20"/>
          <w:w w:val="110"/>
          <w:sz w:val="18"/>
        </w:rPr>
        <w:t>or oral, made during and in the context of the Incapacity Procedure shall be regarded as being made in pursuance of that object and for no other reason and shall be treated as confidential within the framework of the Incapacity</w:t>
      </w:r>
      <w:r>
        <w:rPr>
          <w:color w:val="231F20"/>
          <w:spacing w:val="67"/>
          <w:w w:val="110"/>
          <w:sz w:val="18"/>
        </w:rPr>
        <w:t> </w:t>
      </w:r>
      <w:r>
        <w:rPr>
          <w:color w:val="231F20"/>
          <w:w w:val="110"/>
          <w:sz w:val="18"/>
        </w:rPr>
        <w:t>Procedure.</w:t>
      </w:r>
    </w:p>
    <w:p>
      <w:pPr>
        <w:pStyle w:val="BodyText"/>
        <w:spacing w:before="10"/>
        <w:rPr>
          <w:sz w:val="20"/>
        </w:rPr>
      </w:pPr>
    </w:p>
    <w:p>
      <w:pPr>
        <w:pStyle w:val="ListParagraph"/>
        <w:numPr>
          <w:ilvl w:val="1"/>
          <w:numId w:val="177"/>
        </w:numPr>
        <w:tabs>
          <w:tab w:pos="1808" w:val="left" w:leader="none"/>
          <w:tab w:pos="1809" w:val="left" w:leader="none"/>
        </w:tabs>
        <w:spacing w:line="273" w:lineRule="auto" w:before="0" w:after="0"/>
        <w:ind w:left="1089" w:right="1310" w:firstLine="0"/>
        <w:jc w:val="left"/>
        <w:rPr>
          <w:sz w:val="18"/>
        </w:rPr>
      </w:pPr>
      <w:r>
        <w:rPr>
          <w:color w:val="231F20"/>
          <w:w w:val="110"/>
          <w:sz w:val="18"/>
        </w:rPr>
        <w:t>The Review Commission </w:t>
      </w:r>
      <w:r>
        <w:rPr>
          <w:color w:val="231F20"/>
          <w:spacing w:val="-5"/>
          <w:w w:val="110"/>
          <w:sz w:val="18"/>
        </w:rPr>
        <w:t>may, </w:t>
      </w:r>
      <w:r>
        <w:rPr>
          <w:color w:val="231F20"/>
          <w:w w:val="110"/>
          <w:sz w:val="18"/>
        </w:rPr>
        <w:t>with the consent of the </w:t>
      </w:r>
      <w:r>
        <w:rPr>
          <w:color w:val="231F20"/>
          <w:spacing w:val="2"/>
          <w:w w:val="110"/>
          <w:sz w:val="18"/>
        </w:rPr>
        <w:t>person </w:t>
      </w:r>
      <w:r>
        <w:rPr>
          <w:color w:val="231F20"/>
          <w:w w:val="110"/>
          <w:sz w:val="18"/>
        </w:rPr>
        <w:t>or group making   it, pass on any statement falling within Paragraph A.3 to any </w:t>
      </w:r>
      <w:r>
        <w:rPr>
          <w:color w:val="231F20"/>
          <w:spacing w:val="2"/>
          <w:w w:val="110"/>
          <w:sz w:val="18"/>
        </w:rPr>
        <w:t>person </w:t>
      </w:r>
      <w:r>
        <w:rPr>
          <w:color w:val="231F20"/>
          <w:w w:val="110"/>
          <w:sz w:val="18"/>
        </w:rPr>
        <w:t>or group within   the Church, provided that the Review Commission satisfies itself that any statement so </w:t>
      </w:r>
      <w:r>
        <w:rPr>
          <w:color w:val="231F20"/>
          <w:spacing w:val="2"/>
          <w:w w:val="110"/>
          <w:sz w:val="18"/>
        </w:rPr>
        <w:t>passed </w:t>
      </w:r>
      <w:r>
        <w:rPr>
          <w:color w:val="231F20"/>
          <w:w w:val="110"/>
          <w:sz w:val="18"/>
        </w:rPr>
        <w:t>on will remain within the confidential forum of the</w:t>
      </w:r>
      <w:r>
        <w:rPr>
          <w:color w:val="231F20"/>
          <w:spacing w:val="24"/>
          <w:w w:val="110"/>
          <w:sz w:val="18"/>
        </w:rPr>
        <w:t> </w:t>
      </w:r>
      <w:r>
        <w:rPr>
          <w:color w:val="231F20"/>
          <w:w w:val="110"/>
          <w:sz w:val="18"/>
        </w:rPr>
        <w:t>recipient(s).</w:t>
      </w:r>
    </w:p>
    <w:p>
      <w:pPr>
        <w:pStyle w:val="BodyText"/>
        <w:spacing w:before="9"/>
        <w:rPr>
          <w:sz w:val="20"/>
        </w:rPr>
      </w:pPr>
    </w:p>
    <w:p>
      <w:pPr>
        <w:pStyle w:val="ListParagraph"/>
        <w:numPr>
          <w:ilvl w:val="1"/>
          <w:numId w:val="177"/>
        </w:numPr>
        <w:tabs>
          <w:tab w:pos="1808" w:val="left" w:leader="none"/>
          <w:tab w:pos="1809" w:val="left" w:leader="none"/>
        </w:tabs>
        <w:spacing w:line="273" w:lineRule="auto" w:before="0" w:after="0"/>
        <w:ind w:left="1089" w:right="1162" w:firstLine="0"/>
        <w:jc w:val="left"/>
        <w:rPr>
          <w:sz w:val="18"/>
        </w:rPr>
      </w:pPr>
      <w:r>
        <w:rPr>
          <w:color w:val="231F20"/>
          <w:w w:val="110"/>
          <w:sz w:val="18"/>
        </w:rPr>
        <w:t>In any </w:t>
      </w:r>
      <w:r>
        <w:rPr>
          <w:color w:val="231F20"/>
          <w:spacing w:val="2"/>
          <w:w w:val="110"/>
          <w:sz w:val="18"/>
        </w:rPr>
        <w:t>case </w:t>
      </w:r>
      <w:r>
        <w:rPr>
          <w:color w:val="231F20"/>
          <w:w w:val="110"/>
          <w:sz w:val="18"/>
        </w:rPr>
        <w:t>where a </w:t>
      </w:r>
      <w:r>
        <w:rPr>
          <w:color w:val="231F20"/>
          <w:spacing w:val="2"/>
          <w:w w:val="110"/>
          <w:sz w:val="18"/>
        </w:rPr>
        <w:t>person </w:t>
      </w:r>
      <w:r>
        <w:rPr>
          <w:color w:val="231F20"/>
          <w:w w:val="110"/>
          <w:sz w:val="18"/>
        </w:rPr>
        <w:t>authorised or required to take some </w:t>
      </w:r>
      <w:r>
        <w:rPr>
          <w:color w:val="231F20"/>
          <w:spacing w:val="2"/>
          <w:w w:val="110"/>
          <w:sz w:val="18"/>
        </w:rPr>
        <w:t>action </w:t>
      </w:r>
      <w:r>
        <w:rPr>
          <w:color w:val="231F20"/>
          <w:w w:val="110"/>
          <w:sz w:val="18"/>
        </w:rPr>
        <w:t>regarding the appointment of </w:t>
      </w:r>
      <w:r>
        <w:rPr>
          <w:color w:val="231F20"/>
          <w:spacing w:val="2"/>
          <w:w w:val="110"/>
          <w:sz w:val="18"/>
        </w:rPr>
        <w:t>persons </w:t>
      </w:r>
      <w:r>
        <w:rPr>
          <w:color w:val="231F20"/>
          <w:w w:val="110"/>
          <w:sz w:val="18"/>
        </w:rPr>
        <w:t>to the Standing Panel or to any Review Commission</w:t>
      </w:r>
      <w:r>
        <w:rPr>
          <w:color w:val="231F20"/>
          <w:spacing w:val="4"/>
          <w:w w:val="110"/>
          <w:sz w:val="18"/>
        </w:rPr>
        <w:t> </w:t>
      </w:r>
      <w:r>
        <w:rPr>
          <w:color w:val="231F20"/>
          <w:w w:val="110"/>
          <w:sz w:val="18"/>
        </w:rPr>
        <w:t>or</w:t>
      </w:r>
    </w:p>
    <w:p>
      <w:pPr>
        <w:pStyle w:val="BodyText"/>
        <w:spacing w:line="273" w:lineRule="auto" w:before="2"/>
        <w:ind w:left="1089" w:right="1457"/>
      </w:pPr>
      <w:r>
        <w:rPr>
          <w:color w:val="231F20"/>
          <w:w w:val="110"/>
        </w:rPr>
        <w:t>in the initiation of the consultation specified in Paragraph </w:t>
      </w:r>
      <w:r>
        <w:rPr>
          <w:color w:val="231F20"/>
          <w:spacing w:val="-3"/>
          <w:w w:val="110"/>
        </w:rPr>
        <w:t>B.1 </w:t>
      </w:r>
      <w:r>
        <w:rPr>
          <w:color w:val="231F20"/>
          <w:w w:val="110"/>
        </w:rPr>
        <w:t>or as a member of the Consultation Group or in the subsequent issue of a Commencement Notice or some other administrative or procedural matter under the Incapacity Procedure is unable   for</w:t>
      </w:r>
      <w:r>
        <w:rPr>
          <w:color w:val="231F20"/>
          <w:spacing w:val="11"/>
          <w:w w:val="110"/>
        </w:rPr>
        <w:t> </w:t>
      </w:r>
      <w:r>
        <w:rPr>
          <w:color w:val="231F20"/>
          <w:w w:val="110"/>
        </w:rPr>
        <w:t>any</w:t>
      </w:r>
      <w:r>
        <w:rPr>
          <w:color w:val="231F20"/>
          <w:spacing w:val="12"/>
          <w:w w:val="110"/>
        </w:rPr>
        <w:t> </w:t>
      </w:r>
      <w:r>
        <w:rPr>
          <w:color w:val="231F20"/>
          <w:w w:val="110"/>
        </w:rPr>
        <w:t>reason</w:t>
      </w:r>
      <w:r>
        <w:rPr>
          <w:color w:val="231F20"/>
          <w:spacing w:val="12"/>
          <w:w w:val="110"/>
        </w:rPr>
        <w:t> </w:t>
      </w:r>
      <w:r>
        <w:rPr>
          <w:color w:val="231F20"/>
          <w:w w:val="110"/>
        </w:rPr>
        <w:t>to</w:t>
      </w:r>
      <w:r>
        <w:rPr>
          <w:color w:val="231F20"/>
          <w:spacing w:val="11"/>
          <w:w w:val="110"/>
        </w:rPr>
        <w:t> </w:t>
      </w:r>
      <w:r>
        <w:rPr>
          <w:color w:val="231F20"/>
          <w:w w:val="110"/>
        </w:rPr>
        <w:t>do</w:t>
      </w:r>
      <w:r>
        <w:rPr>
          <w:color w:val="231F20"/>
          <w:spacing w:val="12"/>
          <w:w w:val="110"/>
        </w:rPr>
        <w:t> </w:t>
      </w:r>
      <w:r>
        <w:rPr>
          <w:color w:val="231F20"/>
          <w:w w:val="110"/>
        </w:rPr>
        <w:t>so,</w:t>
      </w:r>
      <w:r>
        <w:rPr>
          <w:color w:val="231F20"/>
          <w:spacing w:val="12"/>
          <w:w w:val="110"/>
        </w:rPr>
        <w:t> </w:t>
      </w:r>
      <w:r>
        <w:rPr>
          <w:color w:val="231F20"/>
          <w:w w:val="110"/>
        </w:rPr>
        <w:t>then,</w:t>
      </w:r>
      <w:r>
        <w:rPr>
          <w:color w:val="231F20"/>
          <w:spacing w:val="12"/>
          <w:w w:val="110"/>
        </w:rPr>
        <w:t> </w:t>
      </w:r>
      <w:r>
        <w:rPr>
          <w:color w:val="231F20"/>
          <w:w w:val="110"/>
        </w:rPr>
        <w:t>unless</w:t>
      </w:r>
      <w:r>
        <w:rPr>
          <w:color w:val="231F20"/>
          <w:spacing w:val="11"/>
          <w:w w:val="110"/>
        </w:rPr>
        <w:t> </w:t>
      </w:r>
      <w:r>
        <w:rPr>
          <w:color w:val="231F20"/>
          <w:w w:val="110"/>
        </w:rPr>
        <w:t>the</w:t>
      </w:r>
      <w:r>
        <w:rPr>
          <w:color w:val="231F20"/>
          <w:spacing w:val="12"/>
          <w:w w:val="110"/>
        </w:rPr>
        <w:t> </w:t>
      </w:r>
      <w:r>
        <w:rPr>
          <w:color w:val="231F20"/>
          <w:w w:val="110"/>
        </w:rPr>
        <w:t>Incapacity</w:t>
      </w:r>
      <w:r>
        <w:rPr>
          <w:color w:val="231F20"/>
          <w:spacing w:val="12"/>
          <w:w w:val="110"/>
        </w:rPr>
        <w:t> </w:t>
      </w:r>
      <w:r>
        <w:rPr>
          <w:color w:val="231F20"/>
          <w:w w:val="110"/>
        </w:rPr>
        <w:t>Procedure</w:t>
      </w:r>
      <w:r>
        <w:rPr>
          <w:color w:val="231F20"/>
          <w:spacing w:val="12"/>
          <w:w w:val="110"/>
        </w:rPr>
        <w:t> </w:t>
      </w:r>
      <w:r>
        <w:rPr>
          <w:color w:val="231F20"/>
          <w:w w:val="110"/>
        </w:rPr>
        <w:t>already</w:t>
      </w:r>
      <w:r>
        <w:rPr>
          <w:color w:val="231F20"/>
          <w:spacing w:val="11"/>
          <w:w w:val="110"/>
        </w:rPr>
        <w:t> </w:t>
      </w:r>
      <w:r>
        <w:rPr>
          <w:color w:val="231F20"/>
          <w:w w:val="110"/>
        </w:rPr>
        <w:t>makes</w:t>
      </w:r>
      <w:r>
        <w:rPr>
          <w:color w:val="231F20"/>
          <w:spacing w:val="12"/>
          <w:w w:val="110"/>
        </w:rPr>
        <w:t> </w:t>
      </w:r>
      <w:r>
        <w:rPr>
          <w:color w:val="231F20"/>
          <w:w w:val="110"/>
        </w:rPr>
        <w:t>specific</w:t>
      </w:r>
    </w:p>
    <w:p>
      <w:pPr>
        <w:pStyle w:val="BodyText"/>
        <w:spacing w:line="273" w:lineRule="auto" w:before="2"/>
        <w:ind w:left="1089" w:right="1276"/>
      </w:pPr>
      <w:r>
        <w:rPr>
          <w:color w:val="231F20"/>
          <w:w w:val="110"/>
        </w:rPr>
        <w:t>provision for such a situation, that person’s duly appointed deputy shall take such </w:t>
      </w:r>
      <w:r>
        <w:rPr>
          <w:color w:val="231F20"/>
          <w:spacing w:val="2"/>
          <w:w w:val="110"/>
        </w:rPr>
        <w:t>action</w:t>
      </w:r>
      <w:r>
        <w:rPr>
          <w:color w:val="231F20"/>
          <w:spacing w:val="73"/>
          <w:w w:val="110"/>
        </w:rPr>
        <w:t> </w:t>
      </w:r>
      <w:r>
        <w:rPr>
          <w:color w:val="231F20"/>
          <w:w w:val="110"/>
        </w:rPr>
        <w:t>in his/her place.  This paragraph does not permit any member of a Review Commission  or an Appeals Review Commission to appoint his/her own</w:t>
      </w:r>
      <w:r>
        <w:rPr>
          <w:color w:val="231F20"/>
          <w:spacing w:val="24"/>
          <w:w w:val="110"/>
        </w:rPr>
        <w:t> </w:t>
      </w:r>
      <w:r>
        <w:rPr>
          <w:color w:val="231F20"/>
          <w:w w:val="110"/>
        </w:rPr>
        <w:t>deputy.</w:t>
      </w:r>
    </w:p>
    <w:p>
      <w:pPr>
        <w:pStyle w:val="BodyText"/>
        <w:spacing w:before="9"/>
        <w:rPr>
          <w:sz w:val="20"/>
        </w:rPr>
      </w:pPr>
    </w:p>
    <w:p>
      <w:pPr>
        <w:pStyle w:val="ListParagraph"/>
        <w:numPr>
          <w:ilvl w:val="1"/>
          <w:numId w:val="177"/>
        </w:numPr>
        <w:tabs>
          <w:tab w:pos="1808" w:val="left" w:leader="none"/>
          <w:tab w:pos="1809" w:val="left" w:leader="none"/>
        </w:tabs>
        <w:spacing w:line="273" w:lineRule="auto" w:before="0" w:after="0"/>
        <w:ind w:left="1089" w:right="1155" w:firstLine="0"/>
        <w:jc w:val="left"/>
        <w:rPr>
          <w:sz w:val="18"/>
        </w:rPr>
      </w:pPr>
      <w:r>
        <w:rPr>
          <w:color w:val="231F20"/>
          <w:w w:val="110"/>
          <w:sz w:val="18"/>
        </w:rPr>
        <w:t>In any </w:t>
      </w:r>
      <w:r>
        <w:rPr>
          <w:color w:val="231F20"/>
          <w:spacing w:val="2"/>
          <w:w w:val="110"/>
          <w:sz w:val="18"/>
        </w:rPr>
        <w:t>case </w:t>
      </w:r>
      <w:r>
        <w:rPr>
          <w:color w:val="231F20"/>
          <w:w w:val="110"/>
          <w:sz w:val="18"/>
        </w:rPr>
        <w:t>where the </w:t>
      </w:r>
      <w:r>
        <w:rPr>
          <w:color w:val="231F20"/>
          <w:spacing w:val="3"/>
          <w:w w:val="110"/>
          <w:sz w:val="18"/>
        </w:rPr>
        <w:t>Secretary </w:t>
      </w:r>
      <w:r>
        <w:rPr>
          <w:color w:val="231F20"/>
          <w:w w:val="110"/>
          <w:sz w:val="18"/>
        </w:rPr>
        <w:t>of the Review Commission or the General </w:t>
      </w:r>
      <w:r>
        <w:rPr>
          <w:color w:val="231F20"/>
          <w:spacing w:val="3"/>
          <w:w w:val="110"/>
          <w:sz w:val="18"/>
        </w:rPr>
        <w:t>Secretary </w:t>
      </w:r>
      <w:r>
        <w:rPr>
          <w:color w:val="231F20"/>
          <w:w w:val="110"/>
          <w:sz w:val="18"/>
        </w:rPr>
        <w:t>(in the </w:t>
      </w:r>
      <w:r>
        <w:rPr>
          <w:color w:val="231F20"/>
          <w:spacing w:val="2"/>
          <w:w w:val="110"/>
          <w:sz w:val="18"/>
        </w:rPr>
        <w:t>case </w:t>
      </w:r>
      <w:r>
        <w:rPr>
          <w:color w:val="231F20"/>
          <w:w w:val="110"/>
          <w:sz w:val="18"/>
        </w:rPr>
        <w:t>of appeals) is unable for any reason to </w:t>
      </w:r>
      <w:r>
        <w:rPr>
          <w:color w:val="231F20"/>
          <w:spacing w:val="3"/>
          <w:w w:val="110"/>
          <w:sz w:val="18"/>
        </w:rPr>
        <w:t>carry </w:t>
      </w:r>
      <w:r>
        <w:rPr>
          <w:color w:val="231F20"/>
          <w:w w:val="110"/>
          <w:sz w:val="18"/>
        </w:rPr>
        <w:t>out the duties of   that office, his/her place shall be taken by a deputy duly authorised by or in the name of the General</w:t>
      </w:r>
      <w:r>
        <w:rPr>
          <w:color w:val="231F20"/>
          <w:spacing w:val="2"/>
          <w:w w:val="110"/>
          <w:sz w:val="18"/>
        </w:rPr>
        <w:t> </w:t>
      </w:r>
      <w:r>
        <w:rPr>
          <w:color w:val="231F20"/>
          <w:w w:val="110"/>
          <w:sz w:val="18"/>
        </w:rPr>
        <w:t>Assembly.</w:t>
      </w:r>
    </w:p>
    <w:p>
      <w:pPr>
        <w:pStyle w:val="BodyText"/>
        <w:spacing w:before="9"/>
        <w:rPr>
          <w:sz w:val="20"/>
        </w:rPr>
      </w:pPr>
    </w:p>
    <w:p>
      <w:pPr>
        <w:pStyle w:val="ListParagraph"/>
        <w:numPr>
          <w:ilvl w:val="2"/>
          <w:numId w:val="179"/>
        </w:numPr>
        <w:tabs>
          <w:tab w:pos="1808" w:val="left" w:leader="none"/>
          <w:tab w:pos="1810" w:val="left" w:leader="none"/>
        </w:tabs>
        <w:spacing w:line="273" w:lineRule="auto" w:before="1" w:after="0"/>
        <w:ind w:left="1089" w:right="1335" w:hanging="1"/>
        <w:jc w:val="left"/>
        <w:rPr>
          <w:sz w:val="18"/>
        </w:rPr>
      </w:pPr>
      <w:r>
        <w:rPr>
          <w:color w:val="231F20"/>
          <w:w w:val="110"/>
          <w:sz w:val="18"/>
        </w:rPr>
        <w:t>Any Minister coming within the Incapacity Procedure shall be entitled to appoint another person to act as the Minister’s Representative* in receiving and responding to </w:t>
      </w:r>
      <w:r>
        <w:rPr>
          <w:color w:val="231F20"/>
          <w:spacing w:val="-3"/>
          <w:w w:val="110"/>
          <w:sz w:val="18"/>
        </w:rPr>
        <w:t>any </w:t>
      </w:r>
      <w:r>
        <w:rPr>
          <w:color w:val="231F20"/>
          <w:w w:val="110"/>
          <w:sz w:val="18"/>
        </w:rPr>
        <w:t>forms, letters or other documents, in dealing with </w:t>
      </w:r>
      <w:r>
        <w:rPr>
          <w:color w:val="231F20"/>
          <w:spacing w:val="-3"/>
          <w:w w:val="110"/>
          <w:sz w:val="18"/>
        </w:rPr>
        <w:t>any </w:t>
      </w:r>
      <w:r>
        <w:rPr>
          <w:color w:val="231F20"/>
          <w:w w:val="110"/>
          <w:sz w:val="18"/>
        </w:rPr>
        <w:t>other procedural matters and in attending </w:t>
      </w:r>
      <w:r>
        <w:rPr>
          <w:color w:val="231F20"/>
          <w:spacing w:val="-3"/>
          <w:w w:val="110"/>
          <w:sz w:val="18"/>
        </w:rPr>
        <w:t>any </w:t>
      </w:r>
      <w:r>
        <w:rPr>
          <w:color w:val="231F20"/>
          <w:w w:val="110"/>
          <w:sz w:val="18"/>
        </w:rPr>
        <w:t>meeting or </w:t>
      </w:r>
      <w:r>
        <w:rPr>
          <w:color w:val="231F20"/>
          <w:spacing w:val="-3"/>
          <w:w w:val="110"/>
          <w:sz w:val="18"/>
        </w:rPr>
        <w:t>Hearing*, </w:t>
      </w:r>
      <w:r>
        <w:rPr>
          <w:color w:val="231F20"/>
          <w:w w:val="110"/>
          <w:sz w:val="18"/>
        </w:rPr>
        <w:t>with or without the</w:t>
      </w:r>
      <w:r>
        <w:rPr>
          <w:color w:val="231F20"/>
          <w:spacing w:val="-19"/>
          <w:w w:val="110"/>
          <w:sz w:val="18"/>
        </w:rPr>
        <w:t> </w:t>
      </w:r>
      <w:r>
        <w:rPr>
          <w:color w:val="231F20"/>
          <w:spacing w:val="-3"/>
          <w:w w:val="110"/>
          <w:sz w:val="18"/>
        </w:rPr>
        <w:t>Minister.</w:t>
      </w:r>
    </w:p>
    <w:p>
      <w:pPr>
        <w:spacing w:after="0" w:line="273" w:lineRule="auto"/>
        <w:jc w:val="left"/>
        <w:rPr>
          <w:sz w:val="18"/>
        </w:rPr>
        <w:sectPr>
          <w:type w:val="continuous"/>
          <w:pgSz w:w="11910" w:h="16840"/>
          <w:pgMar w:top="680" w:bottom="280" w:left="620" w:right="0"/>
        </w:sectPr>
      </w:pPr>
    </w:p>
    <w:p>
      <w:pPr>
        <w:pStyle w:val="BodyText"/>
        <w:spacing w:before="9"/>
        <w:rPr>
          <w:sz w:val="13"/>
        </w:rPr>
      </w:pPr>
    </w:p>
    <w:p>
      <w:pPr>
        <w:pStyle w:val="ListParagraph"/>
        <w:numPr>
          <w:ilvl w:val="2"/>
          <w:numId w:val="179"/>
        </w:numPr>
        <w:tabs>
          <w:tab w:pos="1233" w:val="left" w:leader="none"/>
          <w:tab w:pos="1234" w:val="left" w:leader="none"/>
        </w:tabs>
        <w:spacing w:line="273" w:lineRule="auto" w:before="101" w:after="0"/>
        <w:ind w:left="513" w:right="1931" w:firstLine="0"/>
        <w:jc w:val="left"/>
        <w:rPr>
          <w:sz w:val="18"/>
        </w:rPr>
      </w:pPr>
      <w:r>
        <w:rPr>
          <w:color w:val="231F20"/>
          <w:w w:val="110"/>
          <w:sz w:val="18"/>
        </w:rPr>
        <w:t>In the </w:t>
      </w:r>
      <w:r>
        <w:rPr>
          <w:color w:val="231F20"/>
          <w:spacing w:val="2"/>
          <w:w w:val="110"/>
          <w:sz w:val="18"/>
        </w:rPr>
        <w:t>case </w:t>
      </w:r>
      <w:r>
        <w:rPr>
          <w:color w:val="231F20"/>
          <w:w w:val="110"/>
          <w:sz w:val="18"/>
        </w:rPr>
        <w:t>of any Minister who, by reason of his/her incapacity, may be incapable of understanding the implications of his/her involvement in the Incapacity Procedure or the nature and substance of the Commencement Notice*, or of dealing with any procedural issues or of taking any active </w:t>
      </w:r>
      <w:r>
        <w:rPr>
          <w:color w:val="231F20"/>
          <w:spacing w:val="2"/>
          <w:w w:val="110"/>
          <w:sz w:val="18"/>
        </w:rPr>
        <w:t>part </w:t>
      </w:r>
      <w:r>
        <w:rPr>
          <w:color w:val="231F20"/>
          <w:w w:val="110"/>
          <w:sz w:val="18"/>
        </w:rPr>
        <w:t>in any meetings or at any Hearings, the Review Commission, or the Appeals Review Commission, as the </w:t>
      </w:r>
      <w:r>
        <w:rPr>
          <w:color w:val="231F20"/>
          <w:spacing w:val="2"/>
          <w:w w:val="110"/>
          <w:sz w:val="18"/>
        </w:rPr>
        <w:t>case  </w:t>
      </w:r>
      <w:r>
        <w:rPr>
          <w:color w:val="231F20"/>
          <w:w w:val="110"/>
          <w:sz w:val="18"/>
        </w:rPr>
        <w:t>may be, </w:t>
      </w:r>
      <w:r>
        <w:rPr>
          <w:color w:val="231F20"/>
          <w:spacing w:val="-5"/>
          <w:w w:val="110"/>
          <w:sz w:val="18"/>
        </w:rPr>
        <w:t>may, </w:t>
      </w:r>
      <w:r>
        <w:rPr>
          <w:color w:val="231F20"/>
          <w:w w:val="110"/>
          <w:sz w:val="18"/>
        </w:rPr>
        <w:t>in </w:t>
      </w:r>
      <w:r>
        <w:rPr>
          <w:color w:val="231F20"/>
          <w:spacing w:val="2"/>
          <w:w w:val="110"/>
          <w:sz w:val="18"/>
        </w:rPr>
        <w:t>response </w:t>
      </w:r>
      <w:r>
        <w:rPr>
          <w:color w:val="231F20"/>
          <w:w w:val="110"/>
          <w:sz w:val="18"/>
        </w:rPr>
        <w:t>to an application made on the Minister’s behalf, agree to the appointment of an appropriate </w:t>
      </w:r>
      <w:r>
        <w:rPr>
          <w:color w:val="231F20"/>
          <w:spacing w:val="2"/>
          <w:w w:val="110"/>
          <w:sz w:val="18"/>
        </w:rPr>
        <w:t>person </w:t>
      </w:r>
      <w:r>
        <w:rPr>
          <w:color w:val="231F20"/>
          <w:w w:val="110"/>
          <w:sz w:val="18"/>
        </w:rPr>
        <w:t>to </w:t>
      </w:r>
      <w:r>
        <w:rPr>
          <w:color w:val="231F20"/>
          <w:spacing w:val="2"/>
          <w:w w:val="110"/>
          <w:sz w:val="18"/>
        </w:rPr>
        <w:t>act </w:t>
      </w:r>
      <w:r>
        <w:rPr>
          <w:color w:val="231F20"/>
          <w:w w:val="110"/>
          <w:sz w:val="18"/>
        </w:rPr>
        <w:t>as the Minister’s representative for the purposes set out in Paragraph</w:t>
      </w:r>
      <w:r>
        <w:rPr>
          <w:color w:val="231F20"/>
          <w:spacing w:val="7"/>
          <w:w w:val="110"/>
          <w:sz w:val="18"/>
        </w:rPr>
        <w:t> </w:t>
      </w:r>
      <w:r>
        <w:rPr>
          <w:color w:val="231F20"/>
          <w:spacing w:val="-8"/>
          <w:w w:val="110"/>
          <w:sz w:val="18"/>
        </w:rPr>
        <w:t>A.7.1.</w:t>
      </w:r>
    </w:p>
    <w:p>
      <w:pPr>
        <w:pStyle w:val="BodyText"/>
        <w:spacing w:before="11"/>
        <w:rPr>
          <w:sz w:val="20"/>
        </w:rPr>
      </w:pPr>
    </w:p>
    <w:p>
      <w:pPr>
        <w:pStyle w:val="ListParagraph"/>
        <w:numPr>
          <w:ilvl w:val="2"/>
          <w:numId w:val="179"/>
        </w:numPr>
        <w:tabs>
          <w:tab w:pos="1233" w:val="left" w:leader="none"/>
          <w:tab w:pos="1235" w:val="left" w:leader="none"/>
        </w:tabs>
        <w:spacing w:line="273" w:lineRule="auto" w:before="1" w:after="0"/>
        <w:ind w:left="513" w:right="1880" w:firstLine="0"/>
        <w:jc w:val="left"/>
        <w:rPr>
          <w:sz w:val="18"/>
        </w:rPr>
      </w:pPr>
      <w:r>
        <w:rPr>
          <w:color w:val="231F20"/>
          <w:w w:val="110"/>
          <w:sz w:val="18"/>
        </w:rPr>
        <w:t>In the </w:t>
      </w:r>
      <w:r>
        <w:rPr>
          <w:color w:val="231F20"/>
          <w:spacing w:val="2"/>
          <w:w w:val="110"/>
          <w:sz w:val="18"/>
        </w:rPr>
        <w:t>case </w:t>
      </w:r>
      <w:r>
        <w:rPr>
          <w:color w:val="231F20"/>
          <w:w w:val="110"/>
          <w:sz w:val="18"/>
        </w:rPr>
        <w:t>of a Minister coming within Paragraph </w:t>
      </w:r>
      <w:r>
        <w:rPr>
          <w:color w:val="231F20"/>
          <w:spacing w:val="-6"/>
          <w:w w:val="110"/>
          <w:sz w:val="18"/>
        </w:rPr>
        <w:t>A.7.2  </w:t>
      </w:r>
      <w:r>
        <w:rPr>
          <w:color w:val="231F20"/>
          <w:w w:val="110"/>
          <w:sz w:val="18"/>
        </w:rPr>
        <w:t>on whose behalf no  such application is made under that Paragraph, the Review Commission or the Appeals Review Commission may invite APRC* to advise whether such an appointment would   be appropriate in the Minister’s </w:t>
      </w:r>
      <w:r>
        <w:rPr>
          <w:color w:val="231F20"/>
          <w:spacing w:val="2"/>
          <w:w w:val="110"/>
          <w:sz w:val="18"/>
        </w:rPr>
        <w:t>best </w:t>
      </w:r>
      <w:r>
        <w:rPr>
          <w:color w:val="231F20"/>
          <w:w w:val="110"/>
          <w:sz w:val="18"/>
        </w:rPr>
        <w:t>interests and, if so, to recommend a </w:t>
      </w:r>
      <w:r>
        <w:rPr>
          <w:color w:val="231F20"/>
          <w:spacing w:val="2"/>
          <w:w w:val="110"/>
          <w:sz w:val="18"/>
        </w:rPr>
        <w:t>person </w:t>
      </w:r>
      <w:r>
        <w:rPr>
          <w:color w:val="231F20"/>
          <w:w w:val="110"/>
          <w:sz w:val="18"/>
        </w:rPr>
        <w:t>for appointment and may thereupon appoint the </w:t>
      </w:r>
      <w:r>
        <w:rPr>
          <w:color w:val="231F20"/>
          <w:spacing w:val="2"/>
          <w:w w:val="110"/>
          <w:sz w:val="18"/>
        </w:rPr>
        <w:t>person </w:t>
      </w:r>
      <w:r>
        <w:rPr>
          <w:color w:val="231F20"/>
          <w:w w:val="110"/>
          <w:sz w:val="18"/>
        </w:rPr>
        <w:t>so recommended as the Minister’s representative for the purposes set out in Paragraph</w:t>
      </w:r>
      <w:r>
        <w:rPr>
          <w:color w:val="231F20"/>
          <w:spacing w:val="24"/>
          <w:w w:val="110"/>
          <w:sz w:val="18"/>
        </w:rPr>
        <w:t> </w:t>
      </w:r>
      <w:r>
        <w:rPr>
          <w:color w:val="231F20"/>
          <w:spacing w:val="-8"/>
          <w:w w:val="110"/>
          <w:sz w:val="18"/>
        </w:rPr>
        <w:t>A.7.1.</w:t>
      </w:r>
    </w:p>
    <w:p>
      <w:pPr>
        <w:pStyle w:val="BodyText"/>
        <w:spacing w:before="10"/>
        <w:rPr>
          <w:sz w:val="20"/>
        </w:rPr>
      </w:pPr>
    </w:p>
    <w:p>
      <w:pPr>
        <w:pStyle w:val="ListParagraph"/>
        <w:numPr>
          <w:ilvl w:val="2"/>
          <w:numId w:val="179"/>
        </w:numPr>
        <w:tabs>
          <w:tab w:pos="1233" w:val="left" w:leader="none"/>
          <w:tab w:pos="1234" w:val="left" w:leader="none"/>
        </w:tabs>
        <w:spacing w:line="273" w:lineRule="auto" w:before="0" w:after="0"/>
        <w:ind w:left="513" w:right="1758" w:firstLine="0"/>
        <w:jc w:val="left"/>
        <w:rPr>
          <w:sz w:val="18"/>
        </w:rPr>
      </w:pPr>
      <w:r>
        <w:rPr>
          <w:color w:val="231F20"/>
          <w:w w:val="110"/>
          <w:sz w:val="18"/>
        </w:rPr>
        <w:t>In the event that APRC, for whatever reason does not respond to the invitation contained in Paragraph </w:t>
      </w:r>
      <w:r>
        <w:rPr>
          <w:color w:val="231F20"/>
          <w:spacing w:val="-7"/>
          <w:w w:val="110"/>
          <w:sz w:val="18"/>
        </w:rPr>
        <w:t>A.7.3,  </w:t>
      </w:r>
      <w:r>
        <w:rPr>
          <w:color w:val="231F20"/>
          <w:w w:val="110"/>
          <w:sz w:val="18"/>
        </w:rPr>
        <w:t>the Review Commission or the Appeals Review  Commission </w:t>
      </w:r>
      <w:r>
        <w:rPr>
          <w:color w:val="231F20"/>
          <w:spacing w:val="-5"/>
          <w:w w:val="110"/>
          <w:sz w:val="18"/>
        </w:rPr>
        <w:t>may, </w:t>
      </w:r>
      <w:r>
        <w:rPr>
          <w:color w:val="231F20"/>
          <w:w w:val="110"/>
          <w:sz w:val="18"/>
        </w:rPr>
        <w:t>following consultation with the Moderator of the </w:t>
      </w:r>
      <w:r>
        <w:rPr>
          <w:color w:val="231F20"/>
          <w:spacing w:val="-3"/>
          <w:w w:val="110"/>
          <w:sz w:val="18"/>
        </w:rPr>
        <w:t>Synod*, </w:t>
      </w:r>
      <w:r>
        <w:rPr>
          <w:color w:val="231F20"/>
          <w:w w:val="110"/>
          <w:sz w:val="18"/>
        </w:rPr>
        <w:t>itself appoint  a </w:t>
      </w:r>
      <w:r>
        <w:rPr>
          <w:color w:val="231F20"/>
          <w:spacing w:val="2"/>
          <w:w w:val="110"/>
          <w:sz w:val="18"/>
        </w:rPr>
        <w:t>person </w:t>
      </w:r>
      <w:r>
        <w:rPr>
          <w:color w:val="231F20"/>
          <w:w w:val="110"/>
          <w:sz w:val="18"/>
        </w:rPr>
        <w:t>as the Minister’s representative for the purposes of Paragraph</w:t>
      </w:r>
      <w:r>
        <w:rPr>
          <w:color w:val="231F20"/>
          <w:spacing w:val="65"/>
          <w:w w:val="110"/>
          <w:sz w:val="18"/>
        </w:rPr>
        <w:t> </w:t>
      </w:r>
      <w:r>
        <w:rPr>
          <w:color w:val="231F20"/>
          <w:spacing w:val="-8"/>
          <w:w w:val="110"/>
          <w:sz w:val="18"/>
        </w:rPr>
        <w:t>A.7.1.</w:t>
      </w:r>
    </w:p>
    <w:p>
      <w:pPr>
        <w:pStyle w:val="BodyText"/>
        <w:spacing w:before="1"/>
        <w:rPr>
          <w:sz w:val="19"/>
        </w:rPr>
      </w:pPr>
    </w:p>
    <w:p>
      <w:pPr>
        <w:pStyle w:val="ListParagraph"/>
        <w:numPr>
          <w:ilvl w:val="0"/>
          <w:numId w:val="177"/>
        </w:numPr>
        <w:tabs>
          <w:tab w:pos="1233" w:val="left" w:leader="none"/>
          <w:tab w:pos="1234" w:val="left" w:leader="none"/>
        </w:tabs>
        <w:spacing w:line="240" w:lineRule="auto" w:before="0" w:after="0"/>
        <w:ind w:left="1233" w:right="0" w:hanging="721"/>
        <w:jc w:val="left"/>
        <w:rPr>
          <w:b/>
          <w:sz w:val="20"/>
        </w:rPr>
      </w:pPr>
      <w:r>
        <w:rPr>
          <w:b/>
          <w:color w:val="231F20"/>
          <w:w w:val="110"/>
          <w:sz w:val="20"/>
        </w:rPr>
        <w:t>INITIATION OF THE INCAPACITY</w:t>
      </w:r>
      <w:r>
        <w:rPr>
          <w:b/>
          <w:color w:val="231F20"/>
          <w:spacing w:val="-3"/>
          <w:w w:val="110"/>
          <w:sz w:val="20"/>
        </w:rPr>
        <w:t> </w:t>
      </w:r>
      <w:r>
        <w:rPr>
          <w:b/>
          <w:color w:val="231F20"/>
          <w:w w:val="110"/>
          <w:sz w:val="20"/>
        </w:rPr>
        <w:t>PROCEDURE</w:t>
      </w:r>
    </w:p>
    <w:p>
      <w:pPr>
        <w:pStyle w:val="BodyText"/>
        <w:spacing w:before="10"/>
        <w:rPr>
          <w:b/>
          <w:sz w:val="22"/>
        </w:rPr>
      </w:pPr>
    </w:p>
    <w:p>
      <w:pPr>
        <w:pStyle w:val="ListParagraph"/>
        <w:numPr>
          <w:ilvl w:val="1"/>
          <w:numId w:val="180"/>
        </w:numPr>
        <w:tabs>
          <w:tab w:pos="1233" w:val="left" w:leader="none"/>
          <w:tab w:pos="1234" w:val="left" w:leader="none"/>
        </w:tabs>
        <w:spacing w:line="273" w:lineRule="auto" w:before="0" w:after="0"/>
        <w:ind w:left="513" w:right="1868" w:firstLine="0"/>
        <w:jc w:val="left"/>
        <w:rPr>
          <w:sz w:val="18"/>
        </w:rPr>
      </w:pPr>
      <w:r>
        <w:rPr>
          <w:color w:val="231F20"/>
          <w:w w:val="110"/>
          <w:sz w:val="18"/>
        </w:rPr>
        <w:t>If at any time the Moderator of the Synod or the Deputy General </w:t>
      </w:r>
      <w:r>
        <w:rPr>
          <w:color w:val="231F20"/>
          <w:spacing w:val="3"/>
          <w:w w:val="110"/>
          <w:sz w:val="18"/>
        </w:rPr>
        <w:t>Secretary </w:t>
      </w:r>
      <w:r>
        <w:rPr>
          <w:color w:val="231F20"/>
          <w:w w:val="110"/>
          <w:sz w:val="18"/>
        </w:rPr>
        <w:t>believes that a particular Minister may be incapable of exercising </w:t>
      </w:r>
      <w:r>
        <w:rPr>
          <w:color w:val="231F20"/>
          <w:spacing w:val="-5"/>
          <w:w w:val="110"/>
          <w:sz w:val="18"/>
        </w:rPr>
        <w:t>(or </w:t>
      </w:r>
      <w:r>
        <w:rPr>
          <w:color w:val="231F20"/>
          <w:w w:val="110"/>
          <w:sz w:val="18"/>
        </w:rPr>
        <w:t>of continuing to exercise) his/her Ministry on any of the grounds specified in Paragraph 1 of </w:t>
      </w:r>
      <w:r>
        <w:rPr>
          <w:color w:val="231F20"/>
          <w:spacing w:val="2"/>
          <w:w w:val="110"/>
          <w:sz w:val="18"/>
        </w:rPr>
        <w:t>Part </w:t>
      </w:r>
      <w:r>
        <w:rPr>
          <w:color w:val="231F20"/>
          <w:w w:val="110"/>
          <w:sz w:val="18"/>
        </w:rPr>
        <w:t>I, s/he shall consult with the other of them and with the Convener of APRC and those </w:t>
      </w:r>
      <w:r>
        <w:rPr>
          <w:color w:val="231F20"/>
          <w:spacing w:val="2"/>
          <w:w w:val="110"/>
          <w:sz w:val="18"/>
        </w:rPr>
        <w:t>persons </w:t>
      </w:r>
      <w:r>
        <w:rPr>
          <w:color w:val="231F20"/>
          <w:spacing w:val="3"/>
          <w:w w:val="110"/>
          <w:sz w:val="18"/>
        </w:rPr>
        <w:t>(“the </w:t>
      </w:r>
      <w:r>
        <w:rPr>
          <w:color w:val="231F20"/>
          <w:w w:val="110"/>
          <w:sz w:val="18"/>
        </w:rPr>
        <w:t>Consultation Group*”) shall together consider whether the Incapacity Procedure should be</w:t>
      </w:r>
      <w:r>
        <w:rPr>
          <w:color w:val="231F20"/>
          <w:spacing w:val="1"/>
          <w:w w:val="110"/>
          <w:sz w:val="18"/>
        </w:rPr>
        <w:t> </w:t>
      </w:r>
      <w:r>
        <w:rPr>
          <w:color w:val="231F20"/>
          <w:w w:val="110"/>
          <w:sz w:val="18"/>
        </w:rPr>
        <w:t>initiated.</w:t>
      </w:r>
    </w:p>
    <w:p>
      <w:pPr>
        <w:pStyle w:val="BodyText"/>
        <w:spacing w:before="11"/>
        <w:rPr>
          <w:sz w:val="20"/>
        </w:rPr>
      </w:pPr>
    </w:p>
    <w:p>
      <w:pPr>
        <w:pStyle w:val="ListParagraph"/>
        <w:numPr>
          <w:ilvl w:val="1"/>
          <w:numId w:val="180"/>
        </w:numPr>
        <w:tabs>
          <w:tab w:pos="1233" w:val="left" w:leader="none"/>
          <w:tab w:pos="1234" w:val="left" w:leader="none"/>
        </w:tabs>
        <w:spacing w:line="273" w:lineRule="auto" w:before="0" w:after="0"/>
        <w:ind w:left="513" w:right="2263" w:firstLine="0"/>
        <w:jc w:val="left"/>
        <w:rPr>
          <w:sz w:val="18"/>
        </w:rPr>
      </w:pPr>
      <w:r>
        <w:rPr>
          <w:color w:val="231F20"/>
          <w:spacing w:val="3"/>
          <w:w w:val="110"/>
          <w:sz w:val="18"/>
        </w:rPr>
        <w:t>As </w:t>
      </w:r>
      <w:r>
        <w:rPr>
          <w:color w:val="231F20"/>
          <w:spacing w:val="2"/>
          <w:w w:val="110"/>
          <w:sz w:val="18"/>
        </w:rPr>
        <w:t>part </w:t>
      </w:r>
      <w:r>
        <w:rPr>
          <w:color w:val="231F20"/>
          <w:w w:val="110"/>
          <w:sz w:val="18"/>
        </w:rPr>
        <w:t>of that consultation they must </w:t>
      </w:r>
      <w:r>
        <w:rPr>
          <w:color w:val="231F20"/>
          <w:spacing w:val="2"/>
          <w:w w:val="110"/>
          <w:sz w:val="18"/>
        </w:rPr>
        <w:t>satisfy </w:t>
      </w:r>
      <w:r>
        <w:rPr>
          <w:color w:val="231F20"/>
          <w:w w:val="110"/>
          <w:sz w:val="18"/>
        </w:rPr>
        <w:t>themselves as to the following matters:–</w:t>
      </w:r>
    </w:p>
    <w:p>
      <w:pPr>
        <w:pStyle w:val="BodyText"/>
        <w:spacing w:before="8"/>
        <w:rPr>
          <w:sz w:val="20"/>
        </w:rPr>
      </w:pPr>
    </w:p>
    <w:p>
      <w:pPr>
        <w:pStyle w:val="ListParagraph"/>
        <w:numPr>
          <w:ilvl w:val="2"/>
          <w:numId w:val="180"/>
        </w:numPr>
        <w:tabs>
          <w:tab w:pos="1234" w:val="left" w:leader="none"/>
        </w:tabs>
        <w:spacing w:line="240" w:lineRule="auto" w:before="0" w:after="0"/>
        <w:ind w:left="1233" w:right="0" w:hanging="721"/>
        <w:jc w:val="left"/>
        <w:rPr>
          <w:sz w:val="18"/>
        </w:rPr>
      </w:pPr>
      <w:r>
        <w:rPr>
          <w:color w:val="231F20"/>
          <w:w w:val="110"/>
          <w:sz w:val="18"/>
        </w:rPr>
        <w:t>that all reasonable steps to rehabilitate the Minister have been made;</w:t>
      </w:r>
      <w:r>
        <w:rPr>
          <w:color w:val="231F20"/>
          <w:spacing w:val="32"/>
          <w:w w:val="110"/>
          <w:sz w:val="18"/>
        </w:rPr>
        <w:t> </w:t>
      </w:r>
      <w:r>
        <w:rPr>
          <w:color w:val="231F20"/>
          <w:w w:val="110"/>
          <w:sz w:val="18"/>
        </w:rPr>
        <w:t>and</w:t>
      </w:r>
    </w:p>
    <w:p>
      <w:pPr>
        <w:pStyle w:val="BodyText"/>
        <w:spacing w:before="2"/>
        <w:rPr>
          <w:sz w:val="23"/>
        </w:rPr>
      </w:pPr>
    </w:p>
    <w:p>
      <w:pPr>
        <w:pStyle w:val="ListParagraph"/>
        <w:numPr>
          <w:ilvl w:val="2"/>
          <w:numId w:val="180"/>
        </w:numPr>
        <w:tabs>
          <w:tab w:pos="1234" w:val="left" w:leader="none"/>
        </w:tabs>
        <w:spacing w:line="273" w:lineRule="auto" w:before="0" w:after="0"/>
        <w:ind w:left="513" w:right="2030" w:firstLine="0"/>
        <w:jc w:val="left"/>
        <w:rPr>
          <w:sz w:val="18"/>
        </w:rPr>
      </w:pPr>
      <w:r>
        <w:rPr>
          <w:color w:val="231F20"/>
          <w:w w:val="110"/>
          <w:sz w:val="18"/>
        </w:rPr>
        <w:t>that the procedures for ill health retirement do not apply or that there is no reasonable</w:t>
      </w:r>
      <w:r>
        <w:rPr>
          <w:color w:val="231F20"/>
          <w:spacing w:val="12"/>
          <w:w w:val="110"/>
          <w:sz w:val="18"/>
        </w:rPr>
        <w:t> </w:t>
      </w:r>
      <w:r>
        <w:rPr>
          <w:color w:val="231F20"/>
          <w:spacing w:val="2"/>
          <w:w w:val="110"/>
          <w:sz w:val="18"/>
        </w:rPr>
        <w:t>prospect</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their</w:t>
      </w:r>
      <w:r>
        <w:rPr>
          <w:color w:val="231F20"/>
          <w:spacing w:val="13"/>
          <w:w w:val="110"/>
          <w:sz w:val="18"/>
        </w:rPr>
        <w:t> </w:t>
      </w:r>
      <w:r>
        <w:rPr>
          <w:color w:val="231F20"/>
          <w:w w:val="110"/>
          <w:sz w:val="18"/>
        </w:rPr>
        <w:t>implementation</w:t>
      </w:r>
      <w:r>
        <w:rPr>
          <w:color w:val="231F20"/>
          <w:spacing w:val="12"/>
          <w:w w:val="110"/>
          <w:sz w:val="18"/>
        </w:rPr>
        <w:t> </w:t>
      </w:r>
      <w:r>
        <w:rPr>
          <w:color w:val="231F20"/>
          <w:w w:val="110"/>
          <w:sz w:val="18"/>
        </w:rPr>
        <w:t>or</w:t>
      </w:r>
      <w:r>
        <w:rPr>
          <w:color w:val="231F20"/>
          <w:spacing w:val="12"/>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2"/>
          <w:w w:val="110"/>
          <w:sz w:val="18"/>
        </w:rPr>
        <w:t> </w:t>
      </w:r>
      <w:r>
        <w:rPr>
          <w:color w:val="231F20"/>
          <w:w w:val="110"/>
          <w:sz w:val="18"/>
        </w:rPr>
        <w:t>resignation</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the</w:t>
      </w:r>
      <w:r>
        <w:rPr>
          <w:color w:val="231F20"/>
          <w:spacing w:val="13"/>
          <w:w w:val="110"/>
          <w:sz w:val="18"/>
        </w:rPr>
        <w:t> </w:t>
      </w:r>
      <w:r>
        <w:rPr>
          <w:color w:val="231F20"/>
          <w:w w:val="110"/>
          <w:sz w:val="18"/>
        </w:rPr>
        <w:t>Minister;</w:t>
      </w:r>
      <w:r>
        <w:rPr>
          <w:color w:val="231F20"/>
          <w:spacing w:val="12"/>
          <w:w w:val="110"/>
          <w:sz w:val="18"/>
        </w:rPr>
        <w:t> </w:t>
      </w:r>
      <w:r>
        <w:rPr>
          <w:color w:val="231F20"/>
          <w:w w:val="110"/>
          <w:sz w:val="18"/>
        </w:rPr>
        <w:t>and</w:t>
      </w:r>
    </w:p>
    <w:p>
      <w:pPr>
        <w:pStyle w:val="BodyText"/>
        <w:spacing w:before="8"/>
        <w:rPr>
          <w:sz w:val="20"/>
        </w:rPr>
      </w:pPr>
    </w:p>
    <w:p>
      <w:pPr>
        <w:pStyle w:val="ListParagraph"/>
        <w:numPr>
          <w:ilvl w:val="2"/>
          <w:numId w:val="180"/>
        </w:numPr>
        <w:tabs>
          <w:tab w:pos="1234" w:val="left" w:leader="none"/>
        </w:tabs>
        <w:spacing w:line="273" w:lineRule="auto" w:before="0" w:after="0"/>
        <w:ind w:left="513" w:right="1990" w:firstLine="0"/>
        <w:jc w:val="left"/>
        <w:rPr>
          <w:sz w:val="18"/>
        </w:rPr>
      </w:pPr>
      <w:r>
        <w:rPr>
          <w:color w:val="231F20"/>
          <w:w w:val="110"/>
          <w:sz w:val="18"/>
        </w:rPr>
        <w:t>that, if APRC has already been involved, that Committee believes that it can do no more for the Minister;</w:t>
      </w:r>
      <w:r>
        <w:rPr>
          <w:color w:val="231F20"/>
          <w:spacing w:val="5"/>
          <w:w w:val="110"/>
          <w:sz w:val="18"/>
        </w:rPr>
        <w:t> </w:t>
      </w:r>
      <w:r>
        <w:rPr>
          <w:color w:val="231F20"/>
          <w:w w:val="110"/>
          <w:sz w:val="18"/>
        </w:rPr>
        <w:t>and</w:t>
      </w:r>
    </w:p>
    <w:p>
      <w:pPr>
        <w:pStyle w:val="BodyText"/>
        <w:spacing w:before="8"/>
        <w:rPr>
          <w:sz w:val="20"/>
        </w:rPr>
      </w:pPr>
    </w:p>
    <w:p>
      <w:pPr>
        <w:pStyle w:val="ListParagraph"/>
        <w:numPr>
          <w:ilvl w:val="2"/>
          <w:numId w:val="180"/>
        </w:numPr>
        <w:tabs>
          <w:tab w:pos="1234" w:val="left" w:leader="none"/>
        </w:tabs>
        <w:spacing w:line="273" w:lineRule="auto" w:before="0" w:after="0"/>
        <w:ind w:left="513" w:right="2147" w:firstLine="0"/>
        <w:jc w:val="left"/>
        <w:rPr>
          <w:sz w:val="18"/>
        </w:rPr>
      </w:pPr>
      <w:r>
        <w:rPr>
          <w:color w:val="231F20"/>
          <w:w w:val="110"/>
          <w:sz w:val="18"/>
        </w:rPr>
        <w:t>that no </w:t>
      </w:r>
      <w:r>
        <w:rPr>
          <w:color w:val="231F20"/>
          <w:spacing w:val="2"/>
          <w:w w:val="110"/>
          <w:sz w:val="18"/>
        </w:rPr>
        <w:t>case </w:t>
      </w:r>
      <w:r>
        <w:rPr>
          <w:color w:val="231F20"/>
          <w:w w:val="110"/>
          <w:sz w:val="18"/>
        </w:rPr>
        <w:t>against the Minister is already in </w:t>
      </w:r>
      <w:r>
        <w:rPr>
          <w:color w:val="231F20"/>
          <w:spacing w:val="2"/>
          <w:w w:val="110"/>
          <w:sz w:val="18"/>
        </w:rPr>
        <w:t>progress </w:t>
      </w:r>
      <w:r>
        <w:rPr>
          <w:color w:val="231F20"/>
          <w:w w:val="110"/>
          <w:sz w:val="18"/>
        </w:rPr>
        <w:t>under the Disciplinary </w:t>
      </w:r>
      <w:r>
        <w:rPr>
          <w:color w:val="231F20"/>
          <w:spacing w:val="2"/>
          <w:w w:val="110"/>
          <w:sz w:val="18"/>
        </w:rPr>
        <w:t>Process.</w:t>
      </w:r>
    </w:p>
    <w:p>
      <w:pPr>
        <w:pStyle w:val="BodyText"/>
        <w:spacing w:before="8"/>
        <w:rPr>
          <w:sz w:val="20"/>
        </w:rPr>
      </w:pPr>
    </w:p>
    <w:p>
      <w:pPr>
        <w:pStyle w:val="ListParagraph"/>
        <w:numPr>
          <w:ilvl w:val="1"/>
          <w:numId w:val="180"/>
        </w:numPr>
        <w:tabs>
          <w:tab w:pos="1233" w:val="left" w:leader="none"/>
          <w:tab w:pos="1234" w:val="left" w:leader="none"/>
        </w:tabs>
        <w:spacing w:line="273" w:lineRule="auto" w:before="0" w:after="0"/>
        <w:ind w:left="513" w:right="1871" w:firstLine="0"/>
        <w:jc w:val="left"/>
        <w:rPr>
          <w:sz w:val="18"/>
        </w:rPr>
      </w:pPr>
      <w:r>
        <w:rPr>
          <w:color w:val="231F20"/>
          <w:spacing w:val="-5"/>
          <w:w w:val="110"/>
          <w:sz w:val="18"/>
        </w:rPr>
        <w:t>If, </w:t>
      </w:r>
      <w:r>
        <w:rPr>
          <w:color w:val="231F20"/>
          <w:w w:val="110"/>
          <w:sz w:val="18"/>
        </w:rPr>
        <w:t>having so consulted, the Consultation Group believes, unanimously or by a majority, that the Incapacity Procedure should be initiated, the Moderator of the Synod or</w:t>
      </w:r>
      <w:r>
        <w:rPr>
          <w:color w:val="231F20"/>
          <w:spacing w:val="7"/>
          <w:w w:val="110"/>
          <w:sz w:val="18"/>
        </w:rPr>
        <w:t> </w:t>
      </w:r>
      <w:r>
        <w:rPr>
          <w:color w:val="231F20"/>
          <w:w w:val="110"/>
          <w:sz w:val="18"/>
        </w:rPr>
        <w:t>the</w:t>
      </w:r>
      <w:r>
        <w:rPr>
          <w:color w:val="231F20"/>
          <w:spacing w:val="8"/>
          <w:w w:val="110"/>
          <w:sz w:val="18"/>
        </w:rPr>
        <w:t> </w:t>
      </w:r>
      <w:r>
        <w:rPr>
          <w:color w:val="231F20"/>
          <w:w w:val="110"/>
          <w:sz w:val="18"/>
        </w:rPr>
        <w:t>Deputy</w:t>
      </w:r>
      <w:r>
        <w:rPr>
          <w:color w:val="231F20"/>
          <w:spacing w:val="8"/>
          <w:w w:val="110"/>
          <w:sz w:val="18"/>
        </w:rPr>
        <w:t> </w:t>
      </w:r>
      <w:r>
        <w:rPr>
          <w:color w:val="231F20"/>
          <w:w w:val="110"/>
          <w:sz w:val="18"/>
        </w:rPr>
        <w:t>General</w:t>
      </w:r>
      <w:r>
        <w:rPr>
          <w:color w:val="231F20"/>
          <w:spacing w:val="7"/>
          <w:w w:val="110"/>
          <w:sz w:val="18"/>
        </w:rPr>
        <w:t> </w:t>
      </w:r>
      <w:r>
        <w:rPr>
          <w:color w:val="231F20"/>
          <w:spacing w:val="3"/>
          <w:w w:val="110"/>
          <w:sz w:val="18"/>
        </w:rPr>
        <w:t>Secretary</w:t>
      </w:r>
      <w:r>
        <w:rPr>
          <w:color w:val="231F20"/>
          <w:spacing w:val="8"/>
          <w:w w:val="110"/>
          <w:sz w:val="18"/>
        </w:rPr>
        <w:t> </w:t>
      </w:r>
      <w:r>
        <w:rPr>
          <w:color w:val="231F20"/>
          <w:w w:val="110"/>
          <w:sz w:val="18"/>
        </w:rPr>
        <w:t>shall</w:t>
      </w:r>
      <w:r>
        <w:rPr>
          <w:color w:val="231F20"/>
          <w:spacing w:val="8"/>
          <w:w w:val="110"/>
          <w:sz w:val="18"/>
        </w:rPr>
        <w:t> </w:t>
      </w:r>
      <w:r>
        <w:rPr>
          <w:color w:val="231F20"/>
          <w:w w:val="110"/>
          <w:sz w:val="18"/>
        </w:rPr>
        <w:t>forthwith</w:t>
      </w:r>
      <w:r>
        <w:rPr>
          <w:color w:val="231F20"/>
          <w:spacing w:val="8"/>
          <w:w w:val="110"/>
          <w:sz w:val="18"/>
        </w:rPr>
        <w:t> </w:t>
      </w:r>
      <w:r>
        <w:rPr>
          <w:color w:val="231F20"/>
          <w:w w:val="110"/>
          <w:sz w:val="18"/>
        </w:rPr>
        <w:t>send</w:t>
      </w:r>
      <w:r>
        <w:rPr>
          <w:color w:val="231F20"/>
          <w:spacing w:val="7"/>
          <w:w w:val="110"/>
          <w:sz w:val="18"/>
        </w:rPr>
        <w:t> </w:t>
      </w:r>
      <w:r>
        <w:rPr>
          <w:color w:val="231F20"/>
          <w:w w:val="110"/>
          <w:sz w:val="18"/>
        </w:rPr>
        <w:t>or</w:t>
      </w:r>
      <w:r>
        <w:rPr>
          <w:color w:val="231F20"/>
          <w:spacing w:val="8"/>
          <w:w w:val="110"/>
          <w:sz w:val="18"/>
        </w:rPr>
        <w:t> </w:t>
      </w:r>
      <w:r>
        <w:rPr>
          <w:color w:val="231F20"/>
          <w:w w:val="110"/>
          <w:sz w:val="18"/>
        </w:rPr>
        <w:t>deliver</w:t>
      </w:r>
      <w:r>
        <w:rPr>
          <w:color w:val="231F20"/>
          <w:spacing w:val="8"/>
          <w:w w:val="110"/>
          <w:sz w:val="18"/>
        </w:rPr>
        <w:t> </w:t>
      </w:r>
      <w:r>
        <w:rPr>
          <w:color w:val="231F20"/>
          <w:w w:val="110"/>
          <w:sz w:val="18"/>
        </w:rPr>
        <w:t>to</w:t>
      </w:r>
      <w:r>
        <w:rPr>
          <w:color w:val="231F20"/>
          <w:spacing w:val="7"/>
          <w:w w:val="110"/>
          <w:sz w:val="18"/>
        </w:rPr>
        <w:t> </w:t>
      </w:r>
      <w:r>
        <w:rPr>
          <w:color w:val="231F20"/>
          <w:w w:val="110"/>
          <w:sz w:val="18"/>
        </w:rPr>
        <w:t>the</w:t>
      </w:r>
      <w:r>
        <w:rPr>
          <w:color w:val="231F20"/>
          <w:spacing w:val="8"/>
          <w:w w:val="110"/>
          <w:sz w:val="18"/>
        </w:rPr>
        <w:t> </w:t>
      </w:r>
      <w:r>
        <w:rPr>
          <w:color w:val="231F20"/>
          <w:spacing w:val="3"/>
          <w:w w:val="110"/>
          <w:sz w:val="18"/>
        </w:rPr>
        <w:t>Secretary</w:t>
      </w:r>
      <w:r>
        <w:rPr>
          <w:color w:val="231F20"/>
          <w:spacing w:val="8"/>
          <w:w w:val="110"/>
          <w:sz w:val="18"/>
        </w:rPr>
        <w:t> </w:t>
      </w:r>
      <w:r>
        <w:rPr>
          <w:color w:val="231F20"/>
          <w:w w:val="110"/>
          <w:sz w:val="18"/>
        </w:rPr>
        <w:t>of</w:t>
      </w:r>
    </w:p>
    <w:p>
      <w:pPr>
        <w:pStyle w:val="BodyText"/>
        <w:spacing w:line="273" w:lineRule="auto" w:before="2"/>
        <w:ind w:left="513" w:right="2163"/>
        <w:jc w:val="both"/>
      </w:pPr>
      <w:r>
        <w:rPr>
          <w:color w:val="231F20"/>
          <w:w w:val="110"/>
        </w:rPr>
        <w:t>the Review Commission* a Commencement Notice in order to initiate the Incapacity Procedure, setting out the reasons for the issue of such notice and at the same time inform the Minister that this step has been taken.</w:t>
      </w:r>
    </w:p>
    <w:p>
      <w:pPr>
        <w:pStyle w:val="BodyText"/>
        <w:spacing w:before="9"/>
        <w:rPr>
          <w:sz w:val="20"/>
        </w:rPr>
      </w:pPr>
    </w:p>
    <w:p>
      <w:pPr>
        <w:pStyle w:val="ListParagraph"/>
        <w:numPr>
          <w:ilvl w:val="1"/>
          <w:numId w:val="180"/>
        </w:numPr>
        <w:tabs>
          <w:tab w:pos="1233" w:val="left" w:leader="none"/>
          <w:tab w:pos="1234" w:val="left" w:leader="none"/>
        </w:tabs>
        <w:spacing w:line="273" w:lineRule="auto" w:before="0" w:after="0"/>
        <w:ind w:left="513" w:right="2310" w:firstLine="0"/>
        <w:jc w:val="left"/>
        <w:rPr>
          <w:sz w:val="18"/>
        </w:rPr>
      </w:pPr>
      <w:r>
        <w:rPr>
          <w:color w:val="231F20"/>
          <w:w w:val="110"/>
          <w:sz w:val="18"/>
        </w:rPr>
        <w:t>The Moderator of the Synod or the Deputy General </w:t>
      </w:r>
      <w:r>
        <w:rPr>
          <w:color w:val="231F20"/>
          <w:spacing w:val="3"/>
          <w:w w:val="110"/>
          <w:sz w:val="18"/>
        </w:rPr>
        <w:t>Secretary </w:t>
      </w:r>
      <w:r>
        <w:rPr>
          <w:color w:val="231F20"/>
          <w:spacing w:val="-5"/>
          <w:w w:val="110"/>
          <w:sz w:val="18"/>
        </w:rPr>
        <w:t>may, </w:t>
      </w:r>
      <w:r>
        <w:rPr>
          <w:color w:val="231F20"/>
          <w:w w:val="110"/>
          <w:sz w:val="18"/>
        </w:rPr>
        <w:t>if s/he considers that there are </w:t>
      </w:r>
      <w:r>
        <w:rPr>
          <w:color w:val="231F20"/>
          <w:spacing w:val="2"/>
          <w:w w:val="110"/>
          <w:sz w:val="18"/>
        </w:rPr>
        <w:t>strong </w:t>
      </w:r>
      <w:r>
        <w:rPr>
          <w:color w:val="231F20"/>
          <w:w w:val="110"/>
          <w:sz w:val="18"/>
        </w:rPr>
        <w:t>and urgent reasons for so doing, and only so long  as</w:t>
      </w:r>
      <w:r>
        <w:rPr>
          <w:color w:val="231F20"/>
          <w:spacing w:val="11"/>
          <w:w w:val="110"/>
          <w:sz w:val="18"/>
        </w:rPr>
        <w:t> </w:t>
      </w:r>
      <w:r>
        <w:rPr>
          <w:color w:val="231F20"/>
          <w:w w:val="110"/>
          <w:sz w:val="18"/>
        </w:rPr>
        <w:t>s/he</w:t>
      </w:r>
      <w:r>
        <w:rPr>
          <w:color w:val="231F20"/>
          <w:spacing w:val="12"/>
          <w:w w:val="110"/>
          <w:sz w:val="18"/>
        </w:rPr>
        <w:t> </w:t>
      </w:r>
      <w:r>
        <w:rPr>
          <w:color w:val="231F20"/>
          <w:w w:val="110"/>
          <w:sz w:val="18"/>
        </w:rPr>
        <w:t>forthwith</w:t>
      </w:r>
      <w:r>
        <w:rPr>
          <w:color w:val="231F20"/>
          <w:spacing w:val="12"/>
          <w:w w:val="110"/>
          <w:sz w:val="18"/>
        </w:rPr>
        <w:t> </w:t>
      </w:r>
      <w:r>
        <w:rPr>
          <w:color w:val="231F20"/>
          <w:w w:val="110"/>
          <w:sz w:val="18"/>
        </w:rPr>
        <w:t>invokes</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consultation</w:t>
      </w:r>
      <w:r>
        <w:rPr>
          <w:color w:val="231F20"/>
          <w:spacing w:val="11"/>
          <w:w w:val="110"/>
          <w:sz w:val="18"/>
        </w:rPr>
        <w:t> </w:t>
      </w:r>
      <w:r>
        <w:rPr>
          <w:color w:val="231F20"/>
          <w:w w:val="110"/>
          <w:sz w:val="18"/>
        </w:rPr>
        <w:t>procedure</w:t>
      </w:r>
      <w:r>
        <w:rPr>
          <w:color w:val="231F20"/>
          <w:spacing w:val="12"/>
          <w:w w:val="110"/>
          <w:sz w:val="18"/>
        </w:rPr>
        <w:t> </w:t>
      </w:r>
      <w:r>
        <w:rPr>
          <w:color w:val="231F20"/>
          <w:w w:val="110"/>
          <w:sz w:val="18"/>
        </w:rPr>
        <w:t>set</w:t>
      </w:r>
      <w:r>
        <w:rPr>
          <w:color w:val="231F20"/>
          <w:spacing w:val="12"/>
          <w:w w:val="110"/>
          <w:sz w:val="18"/>
        </w:rPr>
        <w:t> </w:t>
      </w:r>
      <w:r>
        <w:rPr>
          <w:color w:val="231F20"/>
          <w:w w:val="110"/>
          <w:sz w:val="18"/>
        </w:rPr>
        <w:t>out</w:t>
      </w:r>
      <w:r>
        <w:rPr>
          <w:color w:val="231F20"/>
          <w:spacing w:val="12"/>
          <w:w w:val="110"/>
          <w:sz w:val="18"/>
        </w:rPr>
        <w:t> </w:t>
      </w:r>
      <w:r>
        <w:rPr>
          <w:color w:val="231F20"/>
          <w:w w:val="110"/>
          <w:sz w:val="18"/>
        </w:rPr>
        <w:t>in</w:t>
      </w:r>
      <w:r>
        <w:rPr>
          <w:color w:val="231F20"/>
          <w:spacing w:val="12"/>
          <w:w w:val="110"/>
          <w:sz w:val="18"/>
        </w:rPr>
        <w:t> </w:t>
      </w:r>
      <w:r>
        <w:rPr>
          <w:color w:val="231F20"/>
          <w:w w:val="110"/>
          <w:sz w:val="18"/>
        </w:rPr>
        <w:t>Paragraphs</w:t>
      </w:r>
      <w:r>
        <w:rPr>
          <w:color w:val="231F20"/>
          <w:spacing w:val="11"/>
          <w:w w:val="110"/>
          <w:sz w:val="18"/>
        </w:rPr>
        <w:t> </w:t>
      </w:r>
      <w:r>
        <w:rPr>
          <w:color w:val="231F20"/>
          <w:spacing w:val="-3"/>
          <w:w w:val="110"/>
          <w:sz w:val="18"/>
        </w:rPr>
        <w:t>B.1</w:t>
      </w:r>
      <w:r>
        <w:rPr>
          <w:color w:val="231F20"/>
          <w:spacing w:val="12"/>
          <w:w w:val="110"/>
          <w:sz w:val="18"/>
        </w:rPr>
        <w:t> </w:t>
      </w:r>
      <w:r>
        <w:rPr>
          <w:color w:val="231F20"/>
          <w:w w:val="110"/>
          <w:sz w:val="18"/>
        </w:rPr>
        <w:t>and</w:t>
      </w:r>
    </w:p>
    <w:p>
      <w:pPr>
        <w:pStyle w:val="BodyText"/>
        <w:spacing w:line="273" w:lineRule="auto" w:before="2"/>
        <w:ind w:left="513" w:right="1905"/>
      </w:pPr>
      <w:r>
        <w:rPr>
          <w:color w:val="231F20"/>
          <w:w w:val="110"/>
        </w:rPr>
        <w:t>B.2 above, suspend* the Minister with immediate </w:t>
      </w:r>
      <w:r>
        <w:rPr>
          <w:color w:val="231F20"/>
          <w:spacing w:val="3"/>
          <w:w w:val="110"/>
        </w:rPr>
        <w:t>effect, </w:t>
      </w:r>
      <w:r>
        <w:rPr>
          <w:color w:val="231F20"/>
          <w:w w:val="110"/>
        </w:rPr>
        <w:t>either orally or in writing. Suspension* imposed orally shall be immediately confirmed in writing to the Minister and </w:t>
      </w:r>
      <w:r>
        <w:rPr>
          <w:color w:val="231F20"/>
          <w:spacing w:val="2"/>
          <w:w w:val="110"/>
        </w:rPr>
        <w:t>written </w:t>
      </w:r>
      <w:r>
        <w:rPr>
          <w:color w:val="231F20"/>
          <w:w w:val="110"/>
        </w:rPr>
        <w:t>notice shall also be given to the </w:t>
      </w:r>
      <w:r>
        <w:rPr>
          <w:color w:val="231F20"/>
          <w:spacing w:val="3"/>
          <w:w w:val="110"/>
        </w:rPr>
        <w:t>Secretary </w:t>
      </w:r>
      <w:r>
        <w:rPr>
          <w:color w:val="231F20"/>
          <w:w w:val="110"/>
        </w:rPr>
        <w:t>of the </w:t>
      </w:r>
      <w:r>
        <w:rPr>
          <w:color w:val="231F20"/>
          <w:spacing w:val="2"/>
          <w:w w:val="110"/>
        </w:rPr>
        <w:t>District </w:t>
      </w:r>
      <w:r>
        <w:rPr>
          <w:color w:val="231F20"/>
          <w:w w:val="110"/>
        </w:rPr>
        <w:t>Council. In the event</w:t>
      </w:r>
      <w:r>
        <w:rPr>
          <w:color w:val="231F20"/>
          <w:spacing w:val="12"/>
          <w:w w:val="110"/>
        </w:rPr>
        <w:t> </w:t>
      </w:r>
      <w:r>
        <w:rPr>
          <w:color w:val="231F20"/>
          <w:w w:val="110"/>
        </w:rPr>
        <w:t>that</w:t>
      </w:r>
      <w:r>
        <w:rPr>
          <w:color w:val="231F20"/>
          <w:spacing w:val="13"/>
          <w:w w:val="110"/>
        </w:rPr>
        <w:t> </w:t>
      </w:r>
      <w:r>
        <w:rPr>
          <w:color w:val="231F20"/>
          <w:w w:val="110"/>
        </w:rPr>
        <w:t>the</w:t>
      </w:r>
      <w:r>
        <w:rPr>
          <w:color w:val="231F20"/>
          <w:spacing w:val="13"/>
          <w:w w:val="110"/>
        </w:rPr>
        <w:t> </w:t>
      </w:r>
      <w:r>
        <w:rPr>
          <w:color w:val="231F20"/>
          <w:w w:val="110"/>
        </w:rPr>
        <w:t>Consultation</w:t>
      </w:r>
      <w:r>
        <w:rPr>
          <w:color w:val="231F20"/>
          <w:spacing w:val="12"/>
          <w:w w:val="110"/>
        </w:rPr>
        <w:t> </w:t>
      </w:r>
      <w:r>
        <w:rPr>
          <w:color w:val="231F20"/>
          <w:w w:val="110"/>
        </w:rPr>
        <w:t>Group</w:t>
      </w:r>
      <w:r>
        <w:rPr>
          <w:color w:val="231F20"/>
          <w:spacing w:val="13"/>
          <w:w w:val="110"/>
        </w:rPr>
        <w:t> </w:t>
      </w:r>
      <w:r>
        <w:rPr>
          <w:color w:val="231F20"/>
          <w:w w:val="110"/>
        </w:rPr>
        <w:t>decides</w:t>
      </w:r>
      <w:r>
        <w:rPr>
          <w:color w:val="231F20"/>
          <w:spacing w:val="13"/>
          <w:w w:val="110"/>
        </w:rPr>
        <w:t> </w:t>
      </w:r>
      <w:r>
        <w:rPr>
          <w:color w:val="231F20"/>
          <w:w w:val="110"/>
        </w:rPr>
        <w:t>that</w:t>
      </w:r>
      <w:r>
        <w:rPr>
          <w:color w:val="231F20"/>
          <w:spacing w:val="12"/>
          <w:w w:val="110"/>
        </w:rPr>
        <w:t> </w:t>
      </w:r>
      <w:r>
        <w:rPr>
          <w:color w:val="231F20"/>
          <w:w w:val="110"/>
        </w:rPr>
        <w:t>a</w:t>
      </w:r>
      <w:r>
        <w:rPr>
          <w:color w:val="231F20"/>
          <w:spacing w:val="13"/>
          <w:w w:val="110"/>
        </w:rPr>
        <w:t> </w:t>
      </w:r>
      <w:r>
        <w:rPr>
          <w:color w:val="231F20"/>
          <w:w w:val="110"/>
        </w:rPr>
        <w:t>Commencement</w:t>
      </w:r>
      <w:r>
        <w:rPr>
          <w:color w:val="231F20"/>
          <w:spacing w:val="13"/>
          <w:w w:val="110"/>
        </w:rPr>
        <w:t> </w:t>
      </w:r>
      <w:r>
        <w:rPr>
          <w:color w:val="231F20"/>
          <w:w w:val="110"/>
        </w:rPr>
        <w:t>Notice</w:t>
      </w:r>
      <w:r>
        <w:rPr>
          <w:color w:val="231F20"/>
          <w:spacing w:val="12"/>
          <w:w w:val="110"/>
        </w:rPr>
        <w:t> </w:t>
      </w:r>
      <w:r>
        <w:rPr>
          <w:color w:val="231F20"/>
          <w:w w:val="110"/>
        </w:rPr>
        <w:t>should</w:t>
      </w:r>
      <w:r>
        <w:rPr>
          <w:color w:val="231F20"/>
          <w:spacing w:val="13"/>
          <w:w w:val="110"/>
        </w:rPr>
        <w:t> </w:t>
      </w:r>
      <w:r>
        <w:rPr>
          <w:color w:val="231F20"/>
          <w:w w:val="110"/>
        </w:rPr>
        <w:t>not</w:t>
      </w:r>
      <w:r>
        <w:rPr>
          <w:color w:val="231F20"/>
          <w:spacing w:val="13"/>
          <w:w w:val="110"/>
        </w:rPr>
        <w:t> </w:t>
      </w:r>
      <w:r>
        <w:rPr>
          <w:color w:val="231F20"/>
          <w:w w:val="110"/>
        </w:rPr>
        <w:t>be</w:t>
      </w:r>
    </w:p>
    <w:p>
      <w:pPr>
        <w:spacing w:after="0" w:line="273" w:lineRule="auto"/>
        <w:sectPr>
          <w:pgSz w:w="11910" w:h="16840"/>
          <w:pgMar w:header="558" w:footer="564" w:top="820" w:bottom="760" w:left="620" w:right="0"/>
        </w:sectPr>
      </w:pPr>
    </w:p>
    <w:p>
      <w:pPr>
        <w:pStyle w:val="BodyText"/>
        <w:spacing w:before="9"/>
        <w:rPr>
          <w:sz w:val="13"/>
        </w:rPr>
      </w:pPr>
    </w:p>
    <w:p>
      <w:pPr>
        <w:pStyle w:val="BodyText"/>
        <w:spacing w:line="273" w:lineRule="auto" w:before="101"/>
        <w:ind w:left="1080" w:right="1205"/>
      </w:pPr>
      <w:r>
        <w:rPr>
          <w:color w:val="231F20"/>
          <w:w w:val="110"/>
        </w:rPr>
        <w:t>issued, the suspension shall immediately be terminated and written confirmation thereof sent by the Moderator of the Synod or Deputy General Secretary as the case may be to the Minister and the Secretary of the District Council.</w:t>
      </w:r>
    </w:p>
    <w:p>
      <w:pPr>
        <w:pStyle w:val="BodyText"/>
        <w:spacing w:before="8"/>
        <w:rPr>
          <w:sz w:val="20"/>
        </w:rPr>
      </w:pPr>
    </w:p>
    <w:p>
      <w:pPr>
        <w:pStyle w:val="ListParagraph"/>
        <w:numPr>
          <w:ilvl w:val="1"/>
          <w:numId w:val="180"/>
        </w:numPr>
        <w:tabs>
          <w:tab w:pos="1801" w:val="left" w:leader="none"/>
        </w:tabs>
        <w:spacing w:line="273" w:lineRule="auto" w:before="0" w:after="0"/>
        <w:ind w:left="1080" w:right="1412" w:firstLine="0"/>
        <w:jc w:val="both"/>
        <w:rPr>
          <w:sz w:val="18"/>
        </w:rPr>
      </w:pPr>
      <w:r>
        <w:rPr>
          <w:color w:val="231F20"/>
          <w:w w:val="110"/>
          <w:sz w:val="18"/>
        </w:rPr>
        <w:t>On the initiation of the Incapacity Procedure the Moderator of the Synod or the Deputy General </w:t>
      </w:r>
      <w:r>
        <w:rPr>
          <w:color w:val="231F20"/>
          <w:spacing w:val="3"/>
          <w:w w:val="110"/>
          <w:sz w:val="18"/>
        </w:rPr>
        <w:t>Secretary </w:t>
      </w:r>
      <w:r>
        <w:rPr>
          <w:color w:val="231F20"/>
          <w:w w:val="110"/>
          <w:sz w:val="18"/>
        </w:rPr>
        <w:t>shall put in train appropriate procedures to ensure pastoral </w:t>
      </w:r>
      <w:r>
        <w:rPr>
          <w:color w:val="231F20"/>
          <w:spacing w:val="2"/>
          <w:w w:val="110"/>
          <w:sz w:val="18"/>
        </w:rPr>
        <w:t>care </w:t>
      </w:r>
      <w:r>
        <w:rPr>
          <w:color w:val="231F20"/>
          <w:w w:val="110"/>
          <w:sz w:val="18"/>
        </w:rPr>
        <w:t>for the Minister, his/her family and the local church(es)</w:t>
      </w:r>
      <w:r>
        <w:rPr>
          <w:color w:val="231F20"/>
          <w:spacing w:val="20"/>
          <w:w w:val="110"/>
          <w:sz w:val="18"/>
        </w:rPr>
        <w:t> </w:t>
      </w:r>
      <w:r>
        <w:rPr>
          <w:color w:val="231F20"/>
          <w:w w:val="110"/>
          <w:sz w:val="18"/>
        </w:rPr>
        <w:t>involved.</w:t>
      </w:r>
    </w:p>
    <w:p>
      <w:pPr>
        <w:pStyle w:val="BodyText"/>
        <w:spacing w:before="9"/>
        <w:rPr>
          <w:sz w:val="20"/>
        </w:rPr>
      </w:pPr>
    </w:p>
    <w:p>
      <w:pPr>
        <w:pStyle w:val="ListParagraph"/>
        <w:numPr>
          <w:ilvl w:val="1"/>
          <w:numId w:val="180"/>
        </w:numPr>
        <w:tabs>
          <w:tab w:pos="1800" w:val="left" w:leader="none"/>
          <w:tab w:pos="1801" w:val="left" w:leader="none"/>
        </w:tabs>
        <w:spacing w:line="273" w:lineRule="auto" w:before="0" w:after="0"/>
        <w:ind w:left="1080" w:right="1226" w:firstLine="0"/>
        <w:jc w:val="left"/>
        <w:rPr>
          <w:sz w:val="18"/>
        </w:rPr>
      </w:pPr>
      <w:r>
        <w:rPr>
          <w:color w:val="231F20"/>
          <w:w w:val="110"/>
          <w:sz w:val="18"/>
        </w:rPr>
        <w:t>Should the Moderator of the Synod or the Deputy General </w:t>
      </w:r>
      <w:r>
        <w:rPr>
          <w:color w:val="231F20"/>
          <w:spacing w:val="3"/>
          <w:w w:val="110"/>
          <w:sz w:val="18"/>
        </w:rPr>
        <w:t>Secretary </w:t>
      </w:r>
      <w:r>
        <w:rPr>
          <w:color w:val="231F20"/>
          <w:w w:val="110"/>
          <w:sz w:val="18"/>
        </w:rPr>
        <w:t>receive in accordance with the provisions applicable to the Disciplinary </w:t>
      </w:r>
      <w:r>
        <w:rPr>
          <w:color w:val="231F20"/>
          <w:spacing w:val="2"/>
          <w:w w:val="110"/>
          <w:sz w:val="18"/>
        </w:rPr>
        <w:t>Process </w:t>
      </w:r>
      <w:r>
        <w:rPr>
          <w:color w:val="231F20"/>
          <w:w w:val="110"/>
          <w:sz w:val="18"/>
        </w:rPr>
        <w:t>a recommendation falling within Paragraph 4 of </w:t>
      </w:r>
      <w:r>
        <w:rPr>
          <w:color w:val="231F20"/>
          <w:spacing w:val="2"/>
          <w:w w:val="110"/>
          <w:sz w:val="18"/>
        </w:rPr>
        <w:t>Part </w:t>
      </w:r>
      <w:r>
        <w:rPr>
          <w:color w:val="231F20"/>
          <w:w w:val="110"/>
          <w:sz w:val="18"/>
        </w:rPr>
        <w:t>I, s/he shall forthwith invoke the consultation  procedure set out in Paragraph </w:t>
      </w:r>
      <w:r>
        <w:rPr>
          <w:color w:val="231F20"/>
          <w:spacing w:val="-3"/>
          <w:w w:val="110"/>
          <w:sz w:val="18"/>
        </w:rPr>
        <w:t>B.1 </w:t>
      </w:r>
      <w:r>
        <w:rPr>
          <w:color w:val="231F20"/>
          <w:w w:val="110"/>
          <w:sz w:val="18"/>
        </w:rPr>
        <w:t>and B.2 and, unless the Consultation Group   consider, either unanimously or by a majority, that there are compelling</w:t>
      </w:r>
      <w:r>
        <w:rPr>
          <w:color w:val="231F20"/>
          <w:spacing w:val="59"/>
          <w:w w:val="110"/>
          <w:sz w:val="18"/>
        </w:rPr>
        <w:t> </w:t>
      </w:r>
      <w:r>
        <w:rPr>
          <w:color w:val="231F20"/>
          <w:w w:val="110"/>
          <w:sz w:val="18"/>
        </w:rPr>
        <w:t>reasons</w:t>
      </w:r>
    </w:p>
    <w:p>
      <w:pPr>
        <w:pStyle w:val="BodyText"/>
        <w:spacing w:line="273" w:lineRule="auto" w:before="3"/>
        <w:ind w:left="1080" w:right="1246"/>
      </w:pPr>
      <w:r>
        <w:rPr>
          <w:color w:val="231F20"/>
          <w:w w:val="110"/>
        </w:rPr>
        <w:t>to the contrary, the Moderator of the Synod or the Deputy General </w:t>
      </w:r>
      <w:r>
        <w:rPr>
          <w:color w:val="231F20"/>
          <w:spacing w:val="3"/>
          <w:w w:val="110"/>
        </w:rPr>
        <w:t>Secretary </w:t>
      </w:r>
      <w:r>
        <w:rPr>
          <w:color w:val="231F20"/>
          <w:w w:val="110"/>
        </w:rPr>
        <w:t>who received the said recommendation shall forthwith initiate the Incapacity Procedure in accordance with Paragraph B.3 and shall </w:t>
      </w:r>
      <w:r>
        <w:rPr>
          <w:color w:val="231F20"/>
          <w:spacing w:val="2"/>
          <w:w w:val="110"/>
        </w:rPr>
        <w:t>attach </w:t>
      </w:r>
      <w:r>
        <w:rPr>
          <w:color w:val="231F20"/>
          <w:w w:val="110"/>
        </w:rPr>
        <w:t>to the Commencement Notice a copy    of such recommendation. S/he shall send a copy of the Commencement Notice to the </w:t>
      </w:r>
      <w:r>
        <w:rPr>
          <w:color w:val="231F20"/>
          <w:spacing w:val="3"/>
          <w:w w:val="110"/>
        </w:rPr>
        <w:t>Secretary </w:t>
      </w:r>
      <w:r>
        <w:rPr>
          <w:color w:val="231F20"/>
          <w:w w:val="110"/>
        </w:rPr>
        <w:t>of the Assembly Commission* or the Appeals Commission* as the </w:t>
      </w:r>
      <w:r>
        <w:rPr>
          <w:color w:val="231F20"/>
          <w:spacing w:val="2"/>
          <w:w w:val="110"/>
        </w:rPr>
        <w:t>case </w:t>
      </w:r>
      <w:r>
        <w:rPr>
          <w:color w:val="231F20"/>
          <w:w w:val="110"/>
        </w:rPr>
        <w:t>may be to enable that commission to make a final order declaring the proceedings under the Disciplinary </w:t>
      </w:r>
      <w:r>
        <w:rPr>
          <w:color w:val="231F20"/>
          <w:spacing w:val="2"/>
          <w:w w:val="110"/>
        </w:rPr>
        <w:t>Process </w:t>
      </w:r>
      <w:r>
        <w:rPr>
          <w:color w:val="231F20"/>
          <w:w w:val="110"/>
        </w:rPr>
        <w:t>to be</w:t>
      </w:r>
      <w:r>
        <w:rPr>
          <w:color w:val="231F20"/>
          <w:spacing w:val="4"/>
          <w:w w:val="110"/>
        </w:rPr>
        <w:t> </w:t>
      </w:r>
      <w:r>
        <w:rPr>
          <w:color w:val="231F20"/>
          <w:w w:val="110"/>
        </w:rPr>
        <w:t>concluded.</w:t>
      </w:r>
    </w:p>
    <w:p>
      <w:pPr>
        <w:pStyle w:val="BodyText"/>
        <w:spacing w:before="3"/>
        <w:rPr>
          <w:sz w:val="19"/>
        </w:rPr>
      </w:pPr>
    </w:p>
    <w:p>
      <w:pPr>
        <w:numPr>
          <w:ilvl w:val="0"/>
          <w:numId w:val="177"/>
        </w:numPr>
        <w:tabs>
          <w:tab w:pos="1800" w:val="left" w:leader="none"/>
          <w:tab w:pos="1801" w:val="left" w:leader="none"/>
        </w:tabs>
        <w:spacing w:before="0"/>
        <w:ind w:left="1800" w:right="0" w:hanging="721"/>
        <w:jc w:val="left"/>
        <w:rPr>
          <w:b/>
          <w:sz w:val="20"/>
        </w:rPr>
      </w:pPr>
      <w:r>
        <w:rPr>
          <w:b/>
          <w:color w:val="231F20"/>
          <w:w w:val="110"/>
          <w:sz w:val="20"/>
        </w:rPr>
        <w:t>STANDING</w:t>
      </w:r>
      <w:r>
        <w:rPr>
          <w:b/>
          <w:color w:val="231F20"/>
          <w:spacing w:val="-2"/>
          <w:w w:val="110"/>
          <w:sz w:val="20"/>
        </w:rPr>
        <w:t> </w:t>
      </w:r>
      <w:r>
        <w:rPr>
          <w:b/>
          <w:color w:val="231F20"/>
          <w:w w:val="110"/>
          <w:sz w:val="20"/>
        </w:rPr>
        <w:t>PANEL</w:t>
      </w:r>
    </w:p>
    <w:p>
      <w:pPr>
        <w:pStyle w:val="BodyText"/>
        <w:spacing w:before="10"/>
        <w:rPr>
          <w:b/>
          <w:sz w:val="22"/>
        </w:rPr>
      </w:pPr>
    </w:p>
    <w:p>
      <w:pPr>
        <w:pStyle w:val="ListParagraph"/>
        <w:numPr>
          <w:ilvl w:val="1"/>
          <w:numId w:val="177"/>
        </w:numPr>
        <w:tabs>
          <w:tab w:pos="1800" w:val="left" w:leader="none"/>
          <w:tab w:pos="1801" w:val="left" w:leader="none"/>
        </w:tabs>
        <w:spacing w:line="273" w:lineRule="auto" w:before="0" w:after="0"/>
        <w:ind w:left="1081" w:right="1654" w:hanging="1"/>
        <w:jc w:val="left"/>
        <w:rPr>
          <w:sz w:val="18"/>
        </w:rPr>
      </w:pPr>
      <w:r>
        <w:rPr>
          <w:color w:val="231F20"/>
          <w:w w:val="110"/>
          <w:sz w:val="18"/>
        </w:rPr>
        <w:t>Appointment to the Standing Panel shall be by resolution of General Assembly on the advice of the Nominations Committee, who shall in considering persons for </w:t>
      </w:r>
      <w:r>
        <w:rPr>
          <w:color w:val="231F20"/>
          <w:spacing w:val="2"/>
          <w:w w:val="110"/>
          <w:sz w:val="18"/>
        </w:rPr>
        <w:t>appointment </w:t>
      </w:r>
      <w:r>
        <w:rPr>
          <w:color w:val="231F20"/>
          <w:spacing w:val="4"/>
          <w:w w:val="110"/>
          <w:sz w:val="18"/>
        </w:rPr>
        <w:t>select </w:t>
      </w:r>
      <w:r>
        <w:rPr>
          <w:color w:val="231F20"/>
          <w:w w:val="110"/>
          <w:sz w:val="18"/>
        </w:rPr>
        <w:t>one </w:t>
      </w:r>
      <w:r>
        <w:rPr>
          <w:color w:val="231F20"/>
          <w:spacing w:val="4"/>
          <w:w w:val="110"/>
          <w:sz w:val="18"/>
        </w:rPr>
        <w:t>person </w:t>
      </w:r>
      <w:r>
        <w:rPr>
          <w:color w:val="231F20"/>
          <w:spacing w:val="3"/>
          <w:w w:val="110"/>
          <w:sz w:val="18"/>
        </w:rPr>
        <w:t>from each </w:t>
      </w:r>
      <w:r>
        <w:rPr>
          <w:color w:val="231F20"/>
          <w:w w:val="110"/>
          <w:sz w:val="18"/>
        </w:rPr>
        <w:t>of </w:t>
      </w:r>
      <w:r>
        <w:rPr>
          <w:color w:val="231F20"/>
          <w:spacing w:val="2"/>
          <w:w w:val="110"/>
          <w:sz w:val="18"/>
        </w:rPr>
        <w:t>the following </w:t>
      </w:r>
      <w:r>
        <w:rPr>
          <w:color w:val="231F20"/>
          <w:spacing w:val="3"/>
          <w:w w:val="110"/>
          <w:sz w:val="18"/>
        </w:rPr>
        <w:t>categories,</w:t>
      </w:r>
      <w:r>
        <w:rPr>
          <w:color w:val="231F20"/>
          <w:spacing w:val="12"/>
          <w:w w:val="110"/>
          <w:sz w:val="18"/>
        </w:rPr>
        <w:t> </w:t>
      </w:r>
      <w:r>
        <w:rPr>
          <w:color w:val="231F20"/>
          <w:spacing w:val="2"/>
          <w:w w:val="110"/>
          <w:sz w:val="18"/>
        </w:rPr>
        <w:t>namely</w:t>
      </w:r>
    </w:p>
    <w:p>
      <w:pPr>
        <w:pStyle w:val="BodyText"/>
        <w:spacing w:line="273" w:lineRule="auto" w:before="2"/>
        <w:ind w:left="1080" w:right="1205"/>
      </w:pPr>
      <w:r>
        <w:rPr>
          <w:color w:val="231F20"/>
          <w:spacing w:val="-5"/>
          <w:w w:val="110"/>
        </w:rPr>
        <w:t>(i) </w:t>
      </w:r>
      <w:r>
        <w:rPr>
          <w:color w:val="231F20"/>
          <w:w w:val="110"/>
        </w:rPr>
        <w:t>a former moderator of General Assembly </w:t>
      </w:r>
      <w:r>
        <w:rPr>
          <w:color w:val="231F20"/>
          <w:spacing w:val="-5"/>
          <w:w w:val="110"/>
        </w:rPr>
        <w:t>(who </w:t>
      </w:r>
      <w:r>
        <w:rPr>
          <w:color w:val="231F20"/>
          <w:w w:val="110"/>
        </w:rPr>
        <w:t>shall also </w:t>
      </w:r>
      <w:r>
        <w:rPr>
          <w:color w:val="231F20"/>
          <w:spacing w:val="-3"/>
          <w:w w:val="110"/>
        </w:rPr>
        <w:t>have </w:t>
      </w:r>
      <w:r>
        <w:rPr>
          <w:color w:val="231F20"/>
          <w:w w:val="110"/>
        </w:rPr>
        <w:t>the responsibility of consulting</w:t>
      </w:r>
      <w:r>
        <w:rPr>
          <w:color w:val="231F20"/>
          <w:spacing w:val="-13"/>
          <w:w w:val="110"/>
        </w:rPr>
        <w:t> </w:t>
      </w:r>
      <w:r>
        <w:rPr>
          <w:color w:val="231F20"/>
          <w:w w:val="110"/>
        </w:rPr>
        <w:t>with</w:t>
      </w:r>
      <w:r>
        <w:rPr>
          <w:color w:val="231F20"/>
          <w:spacing w:val="-12"/>
          <w:w w:val="110"/>
        </w:rPr>
        <w:t> </w:t>
      </w:r>
      <w:r>
        <w:rPr>
          <w:color w:val="231F20"/>
          <w:w w:val="110"/>
        </w:rPr>
        <w:t>the</w:t>
      </w:r>
      <w:r>
        <w:rPr>
          <w:color w:val="231F20"/>
          <w:spacing w:val="-12"/>
          <w:w w:val="110"/>
        </w:rPr>
        <w:t> </w:t>
      </w:r>
      <w:r>
        <w:rPr>
          <w:color w:val="231F20"/>
          <w:w w:val="110"/>
        </w:rPr>
        <w:t>officers</w:t>
      </w:r>
      <w:r>
        <w:rPr>
          <w:color w:val="231F20"/>
          <w:spacing w:val="-12"/>
          <w:w w:val="110"/>
        </w:rPr>
        <w:t> </w:t>
      </w:r>
      <w:r>
        <w:rPr>
          <w:color w:val="231F20"/>
          <w:w w:val="110"/>
        </w:rPr>
        <w:t>of</w:t>
      </w:r>
      <w:r>
        <w:rPr>
          <w:color w:val="231F20"/>
          <w:spacing w:val="-13"/>
          <w:w w:val="110"/>
        </w:rPr>
        <w:t> </w:t>
      </w:r>
      <w:r>
        <w:rPr>
          <w:color w:val="231F20"/>
          <w:w w:val="110"/>
        </w:rPr>
        <w:t>the</w:t>
      </w:r>
      <w:r>
        <w:rPr>
          <w:color w:val="231F20"/>
          <w:spacing w:val="-12"/>
          <w:w w:val="110"/>
        </w:rPr>
        <w:t> </w:t>
      </w:r>
      <w:r>
        <w:rPr>
          <w:color w:val="231F20"/>
          <w:w w:val="110"/>
        </w:rPr>
        <w:t>General</w:t>
      </w:r>
      <w:r>
        <w:rPr>
          <w:color w:val="231F20"/>
          <w:spacing w:val="-12"/>
          <w:w w:val="110"/>
        </w:rPr>
        <w:t> </w:t>
      </w:r>
      <w:r>
        <w:rPr>
          <w:color w:val="231F20"/>
          <w:w w:val="110"/>
        </w:rPr>
        <w:t>Assembly</w:t>
      </w:r>
      <w:r>
        <w:rPr>
          <w:color w:val="231F20"/>
          <w:spacing w:val="-12"/>
          <w:w w:val="110"/>
        </w:rPr>
        <w:t> </w:t>
      </w:r>
      <w:r>
        <w:rPr>
          <w:color w:val="231F20"/>
          <w:w w:val="110"/>
        </w:rPr>
        <w:t>for</w:t>
      </w:r>
      <w:r>
        <w:rPr>
          <w:color w:val="231F20"/>
          <w:spacing w:val="-11"/>
          <w:w w:val="110"/>
        </w:rPr>
        <w:t> </w:t>
      </w:r>
      <w:r>
        <w:rPr>
          <w:color w:val="231F20"/>
          <w:w w:val="110"/>
        </w:rPr>
        <w:t>the</w:t>
      </w:r>
      <w:r>
        <w:rPr>
          <w:color w:val="231F20"/>
          <w:spacing w:val="-13"/>
          <w:w w:val="110"/>
        </w:rPr>
        <w:t> </w:t>
      </w:r>
      <w:r>
        <w:rPr>
          <w:color w:val="231F20"/>
          <w:w w:val="110"/>
        </w:rPr>
        <w:t>purposes</w:t>
      </w:r>
      <w:r>
        <w:rPr>
          <w:color w:val="231F20"/>
          <w:spacing w:val="-12"/>
          <w:w w:val="110"/>
        </w:rPr>
        <w:t> </w:t>
      </w:r>
      <w:r>
        <w:rPr>
          <w:color w:val="231F20"/>
          <w:w w:val="110"/>
        </w:rPr>
        <w:t>set</w:t>
      </w:r>
      <w:r>
        <w:rPr>
          <w:color w:val="231F20"/>
          <w:spacing w:val="-12"/>
          <w:w w:val="110"/>
        </w:rPr>
        <w:t> </w:t>
      </w:r>
      <w:r>
        <w:rPr>
          <w:color w:val="231F20"/>
          <w:w w:val="110"/>
        </w:rPr>
        <w:t>out</w:t>
      </w:r>
      <w:r>
        <w:rPr>
          <w:color w:val="231F20"/>
          <w:spacing w:val="-12"/>
          <w:w w:val="110"/>
        </w:rPr>
        <w:t> </w:t>
      </w:r>
      <w:r>
        <w:rPr>
          <w:color w:val="231F20"/>
          <w:w w:val="110"/>
        </w:rPr>
        <w:t>in</w:t>
      </w:r>
      <w:r>
        <w:rPr>
          <w:color w:val="231F20"/>
          <w:spacing w:val="-12"/>
          <w:w w:val="110"/>
        </w:rPr>
        <w:t> </w:t>
      </w:r>
      <w:r>
        <w:rPr>
          <w:color w:val="231F20"/>
          <w:w w:val="110"/>
        </w:rPr>
        <w:t>Paragraph </w:t>
      </w:r>
      <w:r>
        <w:rPr>
          <w:color w:val="231F20"/>
          <w:spacing w:val="-9"/>
          <w:w w:val="110"/>
        </w:rPr>
        <w:t>D.4.1), </w:t>
      </w:r>
      <w:r>
        <w:rPr>
          <w:color w:val="231F20"/>
          <w:spacing w:val="-4"/>
          <w:w w:val="110"/>
        </w:rPr>
        <w:t>(ii) </w:t>
      </w:r>
      <w:r>
        <w:rPr>
          <w:color w:val="231F20"/>
          <w:w w:val="110"/>
        </w:rPr>
        <w:t>a Synod Moderator or a minister in local pastoral charge, </w:t>
      </w:r>
      <w:r>
        <w:rPr>
          <w:color w:val="231F20"/>
          <w:spacing w:val="-4"/>
          <w:w w:val="110"/>
        </w:rPr>
        <w:t>(iii) </w:t>
      </w:r>
      <w:r>
        <w:rPr>
          <w:color w:val="231F20"/>
          <w:w w:val="110"/>
        </w:rPr>
        <w:t>a doctor with experience of general medical practice and </w:t>
      </w:r>
      <w:r>
        <w:rPr>
          <w:color w:val="231F20"/>
          <w:spacing w:val="-6"/>
          <w:w w:val="110"/>
        </w:rPr>
        <w:t>(iv) </w:t>
      </w:r>
      <w:r>
        <w:rPr>
          <w:color w:val="231F20"/>
          <w:w w:val="110"/>
        </w:rPr>
        <w:t>a person with some legal, tribunal or professional experience or other similar background </w:t>
      </w:r>
      <w:r>
        <w:rPr>
          <w:color w:val="231F20"/>
          <w:spacing w:val="-4"/>
          <w:w w:val="110"/>
        </w:rPr>
        <w:t>(see </w:t>
      </w:r>
      <w:r>
        <w:rPr>
          <w:color w:val="231F20"/>
          <w:w w:val="110"/>
        </w:rPr>
        <w:t>also Paragraph</w:t>
      </w:r>
      <w:r>
        <w:rPr>
          <w:color w:val="231F20"/>
          <w:spacing w:val="-8"/>
          <w:w w:val="110"/>
        </w:rPr>
        <w:t> </w:t>
      </w:r>
      <w:r>
        <w:rPr>
          <w:color w:val="231F20"/>
          <w:spacing w:val="-9"/>
          <w:w w:val="110"/>
        </w:rPr>
        <w:t>D.6.1).</w:t>
      </w:r>
    </w:p>
    <w:p>
      <w:pPr>
        <w:pStyle w:val="BodyText"/>
        <w:spacing w:before="10"/>
        <w:rPr>
          <w:sz w:val="20"/>
        </w:rPr>
      </w:pPr>
    </w:p>
    <w:p>
      <w:pPr>
        <w:pStyle w:val="ListParagraph"/>
        <w:numPr>
          <w:ilvl w:val="1"/>
          <w:numId w:val="177"/>
        </w:numPr>
        <w:tabs>
          <w:tab w:pos="1800" w:val="left" w:leader="none"/>
          <w:tab w:pos="1801" w:val="left" w:leader="none"/>
        </w:tabs>
        <w:spacing w:line="273" w:lineRule="auto" w:before="0" w:after="0"/>
        <w:ind w:left="1080" w:right="1201" w:firstLine="0"/>
        <w:jc w:val="left"/>
        <w:rPr>
          <w:sz w:val="18"/>
        </w:rPr>
      </w:pPr>
      <w:r>
        <w:rPr>
          <w:color w:val="231F20"/>
          <w:w w:val="110"/>
          <w:sz w:val="18"/>
        </w:rPr>
        <w:t>Subject to the age limit imposed by Paragraph C.3, </w:t>
      </w:r>
      <w:r>
        <w:rPr>
          <w:color w:val="231F20"/>
          <w:spacing w:val="2"/>
          <w:w w:val="110"/>
          <w:sz w:val="18"/>
        </w:rPr>
        <w:t>members </w:t>
      </w:r>
      <w:r>
        <w:rPr>
          <w:color w:val="231F20"/>
          <w:w w:val="110"/>
          <w:sz w:val="18"/>
        </w:rPr>
        <w:t>of the Standing Panel shall be appointed for a term not exceeding five years as the General Assembly shall in each </w:t>
      </w:r>
      <w:r>
        <w:rPr>
          <w:color w:val="231F20"/>
          <w:spacing w:val="2"/>
          <w:w w:val="110"/>
          <w:sz w:val="18"/>
        </w:rPr>
        <w:t>case </w:t>
      </w:r>
      <w:r>
        <w:rPr>
          <w:color w:val="231F20"/>
          <w:w w:val="110"/>
          <w:sz w:val="18"/>
        </w:rPr>
        <w:t>think fit with power to the General Assembly to determine any such appointment during its term or to renew any such appointment for successive terms not exceeding five years</w:t>
      </w:r>
      <w:r>
        <w:rPr>
          <w:color w:val="231F20"/>
          <w:spacing w:val="3"/>
          <w:w w:val="110"/>
          <w:sz w:val="18"/>
        </w:rPr>
        <w:t> </w:t>
      </w:r>
      <w:r>
        <w:rPr>
          <w:color w:val="231F20"/>
          <w:w w:val="110"/>
          <w:sz w:val="18"/>
        </w:rPr>
        <w:t>each.</w:t>
      </w:r>
    </w:p>
    <w:p>
      <w:pPr>
        <w:pStyle w:val="BodyText"/>
        <w:spacing w:before="10"/>
        <w:rPr>
          <w:sz w:val="20"/>
        </w:rPr>
      </w:pPr>
    </w:p>
    <w:p>
      <w:pPr>
        <w:pStyle w:val="ListParagraph"/>
        <w:numPr>
          <w:ilvl w:val="1"/>
          <w:numId w:val="177"/>
        </w:numPr>
        <w:tabs>
          <w:tab w:pos="1800" w:val="left" w:leader="none"/>
          <w:tab w:pos="1801" w:val="left" w:leader="none"/>
        </w:tabs>
        <w:spacing w:line="273" w:lineRule="auto" w:before="0" w:after="0"/>
        <w:ind w:left="1080" w:right="1197" w:firstLine="0"/>
        <w:jc w:val="left"/>
        <w:rPr>
          <w:sz w:val="18"/>
        </w:rPr>
      </w:pPr>
      <w:r>
        <w:rPr>
          <w:color w:val="231F20"/>
          <w:w w:val="110"/>
          <w:sz w:val="18"/>
        </w:rPr>
        <w:t>When any member of the Standing Panel </w:t>
      </w:r>
      <w:r>
        <w:rPr>
          <w:color w:val="231F20"/>
          <w:spacing w:val="2"/>
          <w:w w:val="110"/>
          <w:sz w:val="18"/>
        </w:rPr>
        <w:t>reaches </w:t>
      </w:r>
      <w:r>
        <w:rPr>
          <w:color w:val="231F20"/>
          <w:w w:val="110"/>
          <w:sz w:val="18"/>
        </w:rPr>
        <w:t>the age of seventy, s/he must forthwith resign </w:t>
      </w:r>
      <w:r>
        <w:rPr>
          <w:color w:val="231F20"/>
          <w:spacing w:val="2"/>
          <w:w w:val="110"/>
          <w:sz w:val="18"/>
        </w:rPr>
        <w:t>from </w:t>
      </w:r>
      <w:r>
        <w:rPr>
          <w:color w:val="231F20"/>
          <w:w w:val="110"/>
          <w:sz w:val="18"/>
        </w:rPr>
        <w:t>the Standing Panel and shall no longer be eligible to </w:t>
      </w:r>
      <w:r>
        <w:rPr>
          <w:color w:val="231F20"/>
          <w:spacing w:val="2"/>
          <w:w w:val="110"/>
          <w:sz w:val="18"/>
        </w:rPr>
        <w:t>serve </w:t>
      </w:r>
      <w:r>
        <w:rPr>
          <w:color w:val="231F20"/>
          <w:w w:val="110"/>
          <w:sz w:val="18"/>
        </w:rPr>
        <w:t>on any new Review Commission, but any </w:t>
      </w:r>
      <w:r>
        <w:rPr>
          <w:color w:val="231F20"/>
          <w:spacing w:val="2"/>
          <w:w w:val="110"/>
          <w:sz w:val="18"/>
        </w:rPr>
        <w:t>person </w:t>
      </w:r>
      <w:r>
        <w:rPr>
          <w:color w:val="231F20"/>
          <w:w w:val="110"/>
          <w:sz w:val="18"/>
        </w:rPr>
        <w:t>who </w:t>
      </w:r>
      <w:r>
        <w:rPr>
          <w:color w:val="231F20"/>
          <w:spacing w:val="2"/>
          <w:w w:val="110"/>
          <w:sz w:val="18"/>
        </w:rPr>
        <w:t>reaches </w:t>
      </w:r>
      <w:r>
        <w:rPr>
          <w:color w:val="231F20"/>
          <w:w w:val="110"/>
          <w:sz w:val="18"/>
        </w:rPr>
        <w:t>his/her seventieth birthday whilst </w:t>
      </w:r>
      <w:r>
        <w:rPr>
          <w:color w:val="231F20"/>
          <w:spacing w:val="2"/>
          <w:w w:val="110"/>
          <w:sz w:val="18"/>
        </w:rPr>
        <w:t>serving </w:t>
      </w:r>
      <w:r>
        <w:rPr>
          <w:color w:val="231F20"/>
          <w:w w:val="110"/>
          <w:sz w:val="18"/>
        </w:rPr>
        <w:t>on a Review Commission in a case in </w:t>
      </w:r>
      <w:r>
        <w:rPr>
          <w:color w:val="231F20"/>
          <w:spacing w:val="2"/>
          <w:w w:val="110"/>
          <w:sz w:val="18"/>
        </w:rPr>
        <w:t>progress </w:t>
      </w:r>
      <w:r>
        <w:rPr>
          <w:color w:val="231F20"/>
          <w:w w:val="110"/>
          <w:sz w:val="18"/>
        </w:rPr>
        <w:t>may continue so to </w:t>
      </w:r>
      <w:r>
        <w:rPr>
          <w:color w:val="231F20"/>
          <w:spacing w:val="2"/>
          <w:w w:val="110"/>
          <w:sz w:val="18"/>
        </w:rPr>
        <w:t>serve </w:t>
      </w:r>
      <w:r>
        <w:rPr>
          <w:color w:val="231F20"/>
          <w:w w:val="110"/>
          <w:sz w:val="18"/>
        </w:rPr>
        <w:t>until   the conclusion of that</w:t>
      </w:r>
      <w:r>
        <w:rPr>
          <w:color w:val="231F20"/>
          <w:spacing w:val="4"/>
          <w:w w:val="110"/>
          <w:sz w:val="18"/>
        </w:rPr>
        <w:t> </w:t>
      </w:r>
      <w:r>
        <w:rPr>
          <w:color w:val="231F20"/>
          <w:w w:val="110"/>
          <w:sz w:val="18"/>
        </w:rPr>
        <w:t>case.</w:t>
      </w:r>
    </w:p>
    <w:p>
      <w:pPr>
        <w:pStyle w:val="BodyText"/>
        <w:spacing w:before="2"/>
        <w:rPr>
          <w:sz w:val="19"/>
        </w:rPr>
      </w:pPr>
    </w:p>
    <w:p>
      <w:pPr>
        <w:numPr>
          <w:ilvl w:val="0"/>
          <w:numId w:val="177"/>
        </w:numPr>
        <w:tabs>
          <w:tab w:pos="1800" w:val="left" w:leader="none"/>
          <w:tab w:pos="1801" w:val="left" w:leader="none"/>
        </w:tabs>
        <w:spacing w:before="0"/>
        <w:ind w:left="1800" w:right="0" w:hanging="721"/>
        <w:jc w:val="left"/>
        <w:rPr>
          <w:b/>
          <w:sz w:val="20"/>
        </w:rPr>
      </w:pPr>
      <w:r>
        <w:rPr>
          <w:b/>
          <w:color w:val="231F20"/>
          <w:spacing w:val="2"/>
          <w:w w:val="110"/>
          <w:sz w:val="20"/>
        </w:rPr>
        <w:t>REVIEW</w:t>
      </w:r>
      <w:r>
        <w:rPr>
          <w:b/>
          <w:color w:val="231F20"/>
          <w:spacing w:val="-1"/>
          <w:w w:val="110"/>
          <w:sz w:val="20"/>
        </w:rPr>
        <w:t> </w:t>
      </w:r>
      <w:r>
        <w:rPr>
          <w:b/>
          <w:color w:val="231F20"/>
          <w:w w:val="110"/>
          <w:sz w:val="20"/>
        </w:rPr>
        <w:t>COMMISSION</w:t>
      </w:r>
    </w:p>
    <w:p>
      <w:pPr>
        <w:pStyle w:val="BodyText"/>
        <w:spacing w:before="10"/>
        <w:rPr>
          <w:b/>
          <w:sz w:val="22"/>
        </w:rPr>
      </w:pPr>
    </w:p>
    <w:p>
      <w:pPr>
        <w:pStyle w:val="ListParagraph"/>
        <w:numPr>
          <w:ilvl w:val="1"/>
          <w:numId w:val="177"/>
        </w:numPr>
        <w:tabs>
          <w:tab w:pos="1800" w:val="left" w:leader="none"/>
          <w:tab w:pos="1801" w:val="left" w:leader="none"/>
        </w:tabs>
        <w:spacing w:line="273" w:lineRule="auto" w:before="0" w:after="0"/>
        <w:ind w:left="1081" w:right="1270" w:hanging="1"/>
        <w:jc w:val="left"/>
        <w:rPr>
          <w:sz w:val="18"/>
        </w:rPr>
      </w:pPr>
      <w:r>
        <w:rPr>
          <w:color w:val="231F20"/>
          <w:w w:val="110"/>
          <w:sz w:val="18"/>
        </w:rPr>
        <w:t>No person shall sit as a member of the Review Commission or the Appeals Review Commission in the hearing of </w:t>
      </w:r>
      <w:r>
        <w:rPr>
          <w:color w:val="231F20"/>
          <w:spacing w:val="-3"/>
          <w:w w:val="110"/>
          <w:sz w:val="18"/>
        </w:rPr>
        <w:t>any </w:t>
      </w:r>
      <w:r>
        <w:rPr>
          <w:color w:val="231F20"/>
          <w:w w:val="110"/>
          <w:sz w:val="18"/>
        </w:rPr>
        <w:t>case in which s/he has </w:t>
      </w:r>
      <w:r>
        <w:rPr>
          <w:color w:val="231F20"/>
          <w:spacing w:val="-3"/>
          <w:w w:val="110"/>
          <w:sz w:val="18"/>
        </w:rPr>
        <w:t>any </w:t>
      </w:r>
      <w:r>
        <w:rPr>
          <w:color w:val="231F20"/>
          <w:w w:val="110"/>
          <w:sz w:val="18"/>
        </w:rPr>
        <w:t>involvement whether</w:t>
      </w:r>
      <w:r>
        <w:rPr>
          <w:color w:val="231F20"/>
          <w:spacing w:val="-23"/>
          <w:w w:val="110"/>
          <w:sz w:val="18"/>
        </w:rPr>
        <w:t> </w:t>
      </w:r>
      <w:r>
        <w:rPr>
          <w:color w:val="231F20"/>
          <w:w w:val="110"/>
          <w:sz w:val="18"/>
        </w:rPr>
        <w:t>as</w:t>
      </w:r>
    </w:p>
    <w:p>
      <w:pPr>
        <w:pStyle w:val="BodyText"/>
        <w:spacing w:line="273" w:lineRule="auto" w:before="1"/>
        <w:ind w:left="1083" w:right="1375" w:hanging="1"/>
      </w:pPr>
      <w:r>
        <w:rPr>
          <w:color w:val="231F20"/>
          <w:w w:val="110"/>
        </w:rPr>
        <w:t>a member of any local Church, District Council* or Synod connected with the case or whether on account of some personal or pastoral involvement as a result of which it is considered by the officers of General Assembly or by the proposed person him/herself that it would not be appropriate for him/her to take part in the hearing of the case.</w:t>
      </w:r>
    </w:p>
    <w:p>
      <w:pPr>
        <w:pStyle w:val="BodyText"/>
        <w:spacing w:before="9"/>
        <w:rPr>
          <w:sz w:val="20"/>
        </w:rPr>
      </w:pPr>
    </w:p>
    <w:p>
      <w:pPr>
        <w:pStyle w:val="ListParagraph"/>
        <w:numPr>
          <w:ilvl w:val="1"/>
          <w:numId w:val="177"/>
        </w:numPr>
        <w:tabs>
          <w:tab w:pos="1806" w:val="left" w:leader="none"/>
          <w:tab w:pos="1807" w:val="left" w:leader="none"/>
        </w:tabs>
        <w:spacing w:line="273" w:lineRule="auto" w:before="0" w:after="0"/>
        <w:ind w:left="1086" w:right="1285" w:firstLine="0"/>
        <w:jc w:val="left"/>
        <w:rPr>
          <w:sz w:val="18"/>
        </w:rPr>
      </w:pPr>
      <w:r>
        <w:rPr>
          <w:color w:val="231F20"/>
          <w:w w:val="110"/>
          <w:sz w:val="18"/>
        </w:rPr>
        <w:t>A </w:t>
      </w:r>
      <w:r>
        <w:rPr>
          <w:color w:val="231F20"/>
          <w:spacing w:val="3"/>
          <w:w w:val="110"/>
          <w:sz w:val="18"/>
        </w:rPr>
        <w:t>Secretary </w:t>
      </w:r>
      <w:r>
        <w:rPr>
          <w:color w:val="231F20"/>
          <w:w w:val="110"/>
          <w:sz w:val="18"/>
        </w:rPr>
        <w:t>shall be appointed by resolution of General Assembly, on the advice of the Nominations Committee, to be responsible for all </w:t>
      </w:r>
      <w:r>
        <w:rPr>
          <w:color w:val="231F20"/>
          <w:spacing w:val="2"/>
          <w:w w:val="110"/>
          <w:sz w:val="18"/>
        </w:rPr>
        <w:t>secretarial </w:t>
      </w:r>
      <w:r>
        <w:rPr>
          <w:color w:val="231F20"/>
          <w:w w:val="110"/>
          <w:sz w:val="18"/>
        </w:rPr>
        <w:t>and procedural </w:t>
      </w:r>
      <w:r>
        <w:rPr>
          <w:color w:val="231F20"/>
          <w:spacing w:val="2"/>
          <w:w w:val="110"/>
          <w:sz w:val="18"/>
        </w:rPr>
        <w:t>matters </w:t>
      </w:r>
      <w:r>
        <w:rPr>
          <w:color w:val="231F20"/>
          <w:w w:val="110"/>
          <w:sz w:val="18"/>
        </w:rPr>
        <w:t>laid upon him/her by the Incapacity Procedure, including the </w:t>
      </w:r>
      <w:r>
        <w:rPr>
          <w:color w:val="231F20"/>
          <w:spacing w:val="2"/>
          <w:w w:val="110"/>
          <w:sz w:val="18"/>
        </w:rPr>
        <w:t>servicing</w:t>
      </w:r>
      <w:r>
        <w:rPr>
          <w:color w:val="231F20"/>
          <w:spacing w:val="5"/>
          <w:w w:val="110"/>
          <w:sz w:val="18"/>
        </w:rPr>
        <w:t> </w:t>
      </w:r>
      <w:r>
        <w:rPr>
          <w:color w:val="231F20"/>
          <w:w w:val="110"/>
          <w:sz w:val="18"/>
        </w:rPr>
        <w:t>of</w:t>
      </w:r>
    </w:p>
    <w:p>
      <w:pPr>
        <w:pStyle w:val="BodyText"/>
        <w:spacing w:before="2"/>
        <w:ind w:left="1086"/>
      </w:pPr>
      <w:r>
        <w:rPr>
          <w:color w:val="231F20"/>
          <w:w w:val="110"/>
        </w:rPr>
        <w:t>the Review Commission, and the period and terms of </w:t>
      </w:r>
      <w:r>
        <w:rPr>
          <w:color w:val="231F20"/>
          <w:spacing w:val="2"/>
          <w:w w:val="110"/>
        </w:rPr>
        <w:t>office </w:t>
      </w:r>
      <w:r>
        <w:rPr>
          <w:color w:val="231F20"/>
          <w:w w:val="110"/>
        </w:rPr>
        <w:t>shall be such as</w:t>
      </w:r>
      <w:r>
        <w:rPr>
          <w:color w:val="231F20"/>
          <w:spacing w:val="56"/>
          <w:w w:val="110"/>
        </w:rPr>
        <w:t> </w:t>
      </w:r>
      <w:r>
        <w:rPr>
          <w:color w:val="231F20"/>
          <w:w w:val="110"/>
        </w:rPr>
        <w:t>General</w:t>
      </w:r>
    </w:p>
    <w:p>
      <w:pPr>
        <w:pStyle w:val="BodyText"/>
        <w:spacing w:before="32"/>
        <w:ind w:left="1086"/>
      </w:pPr>
      <w:r>
        <w:rPr>
          <w:color w:val="231F20"/>
          <w:w w:val="110"/>
        </w:rPr>
        <w:t>Assembly shall decide.</w:t>
      </w:r>
    </w:p>
    <w:p>
      <w:pPr>
        <w:spacing w:after="0"/>
        <w:sectPr>
          <w:pgSz w:w="11910" w:h="16840"/>
          <w:pgMar w:header="557" w:footer="564" w:top="820" w:bottom="760" w:left="620" w:right="0"/>
        </w:sectPr>
      </w:pPr>
    </w:p>
    <w:p>
      <w:pPr>
        <w:pStyle w:val="BodyText"/>
        <w:spacing w:before="9"/>
        <w:rPr>
          <w:sz w:val="13"/>
        </w:rPr>
      </w:pPr>
    </w:p>
    <w:p>
      <w:pPr>
        <w:pStyle w:val="ListParagraph"/>
        <w:numPr>
          <w:ilvl w:val="1"/>
          <w:numId w:val="177"/>
        </w:numPr>
        <w:tabs>
          <w:tab w:pos="1234" w:val="left" w:leader="none"/>
        </w:tabs>
        <w:spacing w:line="273" w:lineRule="auto" w:before="101" w:after="0"/>
        <w:ind w:left="513" w:right="2113" w:firstLine="0"/>
        <w:jc w:val="both"/>
        <w:rPr>
          <w:sz w:val="18"/>
        </w:rPr>
      </w:pPr>
      <w:r>
        <w:rPr>
          <w:color w:val="231F20"/>
          <w:w w:val="110"/>
          <w:sz w:val="18"/>
        </w:rPr>
        <w:t>On receipt of a Commencement Notice, the </w:t>
      </w:r>
      <w:r>
        <w:rPr>
          <w:color w:val="231F20"/>
          <w:spacing w:val="3"/>
          <w:w w:val="110"/>
          <w:sz w:val="18"/>
        </w:rPr>
        <w:t>Secretary </w:t>
      </w:r>
      <w:r>
        <w:rPr>
          <w:color w:val="231F20"/>
          <w:w w:val="110"/>
          <w:sz w:val="18"/>
        </w:rPr>
        <w:t>shall forthwith take the following steps (marking every envelope containing </w:t>
      </w:r>
      <w:r>
        <w:rPr>
          <w:color w:val="231F20"/>
          <w:spacing w:val="2"/>
          <w:w w:val="110"/>
          <w:sz w:val="18"/>
        </w:rPr>
        <w:t>papers </w:t>
      </w:r>
      <w:r>
        <w:rPr>
          <w:color w:val="231F20"/>
          <w:w w:val="110"/>
          <w:sz w:val="18"/>
        </w:rPr>
        <w:t>despatched in connection with the Incapacity Procedure with the words ‘Private and</w:t>
      </w:r>
      <w:r>
        <w:rPr>
          <w:color w:val="231F20"/>
          <w:spacing w:val="48"/>
          <w:w w:val="110"/>
          <w:sz w:val="18"/>
        </w:rPr>
        <w:t> </w:t>
      </w:r>
      <w:r>
        <w:rPr>
          <w:color w:val="231F20"/>
          <w:w w:val="110"/>
          <w:sz w:val="18"/>
        </w:rPr>
        <w:t>Confidential’):</w:t>
      </w:r>
    </w:p>
    <w:p>
      <w:pPr>
        <w:pStyle w:val="BodyText"/>
        <w:spacing w:before="8"/>
        <w:rPr>
          <w:sz w:val="20"/>
        </w:rPr>
      </w:pPr>
    </w:p>
    <w:p>
      <w:pPr>
        <w:pStyle w:val="ListParagraph"/>
        <w:numPr>
          <w:ilvl w:val="2"/>
          <w:numId w:val="181"/>
        </w:numPr>
        <w:tabs>
          <w:tab w:pos="1234" w:val="left" w:leader="none"/>
        </w:tabs>
        <w:spacing w:line="240" w:lineRule="auto" w:before="0" w:after="0"/>
        <w:ind w:left="1233" w:right="0" w:hanging="721"/>
        <w:jc w:val="left"/>
        <w:rPr>
          <w:sz w:val="18"/>
        </w:rPr>
      </w:pPr>
      <w:r>
        <w:rPr>
          <w:color w:val="231F20"/>
          <w:w w:val="110"/>
          <w:sz w:val="18"/>
        </w:rPr>
        <w:t>Acknowledge receipt of such Notice</w:t>
      </w:r>
      <w:r>
        <w:rPr>
          <w:color w:val="231F20"/>
          <w:spacing w:val="7"/>
          <w:w w:val="110"/>
          <w:sz w:val="18"/>
        </w:rPr>
        <w:t> </w:t>
      </w:r>
      <w:r>
        <w:rPr>
          <w:color w:val="231F20"/>
          <w:w w:val="110"/>
          <w:sz w:val="18"/>
        </w:rPr>
        <w:t>and</w:t>
      </w:r>
    </w:p>
    <w:p>
      <w:pPr>
        <w:pStyle w:val="BodyText"/>
        <w:spacing w:before="2"/>
        <w:rPr>
          <w:sz w:val="23"/>
        </w:rPr>
      </w:pPr>
    </w:p>
    <w:p>
      <w:pPr>
        <w:pStyle w:val="ListParagraph"/>
        <w:numPr>
          <w:ilvl w:val="2"/>
          <w:numId w:val="181"/>
        </w:numPr>
        <w:tabs>
          <w:tab w:pos="1234" w:val="left" w:leader="none"/>
        </w:tabs>
        <w:spacing w:line="273" w:lineRule="auto" w:before="0" w:after="0"/>
        <w:ind w:left="513" w:right="2021" w:firstLine="0"/>
        <w:jc w:val="left"/>
        <w:rPr>
          <w:sz w:val="18"/>
        </w:rPr>
      </w:pPr>
      <w:r>
        <w:rPr>
          <w:color w:val="231F20"/>
          <w:w w:val="110"/>
          <w:sz w:val="18"/>
        </w:rPr>
        <w:t>Send to the Minister copies of the Commencement Notice and any supporting documentation, together with a Notice giving the Minister the </w:t>
      </w:r>
      <w:r>
        <w:rPr>
          <w:color w:val="231F20"/>
          <w:spacing w:val="2"/>
          <w:w w:val="110"/>
          <w:sz w:val="18"/>
        </w:rPr>
        <w:t>opportunity </w:t>
      </w:r>
      <w:r>
        <w:rPr>
          <w:color w:val="231F20"/>
          <w:w w:val="110"/>
          <w:sz w:val="18"/>
        </w:rPr>
        <w:t>to submit a </w:t>
      </w:r>
      <w:r>
        <w:rPr>
          <w:color w:val="231F20"/>
          <w:spacing w:val="2"/>
          <w:w w:val="110"/>
          <w:sz w:val="18"/>
        </w:rPr>
        <w:t>written response </w:t>
      </w:r>
      <w:r>
        <w:rPr>
          <w:color w:val="231F20"/>
          <w:w w:val="110"/>
          <w:sz w:val="18"/>
        </w:rPr>
        <w:t>within a period of one month </w:t>
      </w:r>
      <w:r>
        <w:rPr>
          <w:color w:val="231F20"/>
          <w:spacing w:val="2"/>
          <w:w w:val="110"/>
          <w:sz w:val="18"/>
        </w:rPr>
        <w:t>from </w:t>
      </w:r>
      <w:r>
        <w:rPr>
          <w:color w:val="231F20"/>
          <w:w w:val="110"/>
          <w:sz w:val="18"/>
        </w:rPr>
        <w:t>the date of the Commencement Notice and</w:t>
      </w:r>
    </w:p>
    <w:p>
      <w:pPr>
        <w:pStyle w:val="BodyText"/>
        <w:spacing w:before="9"/>
        <w:rPr>
          <w:sz w:val="20"/>
        </w:rPr>
      </w:pPr>
    </w:p>
    <w:p>
      <w:pPr>
        <w:pStyle w:val="ListParagraph"/>
        <w:numPr>
          <w:ilvl w:val="2"/>
          <w:numId w:val="181"/>
        </w:numPr>
        <w:tabs>
          <w:tab w:pos="1234" w:val="left" w:leader="none"/>
        </w:tabs>
        <w:spacing w:line="273" w:lineRule="auto" w:before="1" w:after="0"/>
        <w:ind w:left="513" w:right="2172" w:firstLine="0"/>
        <w:jc w:val="left"/>
        <w:rPr>
          <w:sz w:val="18"/>
        </w:rPr>
      </w:pPr>
      <w:r>
        <w:rPr>
          <w:color w:val="231F20"/>
          <w:w w:val="110"/>
          <w:sz w:val="18"/>
        </w:rPr>
        <w:t>Send to each member of the Standing Panel a copy of the Commencement Notice and any supporting documentation, together with a Notice drawing attention to Paragraph </w:t>
      </w:r>
      <w:r>
        <w:rPr>
          <w:color w:val="231F20"/>
          <w:spacing w:val="-5"/>
          <w:w w:val="110"/>
          <w:sz w:val="18"/>
        </w:rPr>
        <w:t>D.4 </w:t>
      </w:r>
      <w:r>
        <w:rPr>
          <w:color w:val="231F20"/>
          <w:w w:val="110"/>
          <w:sz w:val="18"/>
        </w:rPr>
        <w:t>and requesting confirmation that the </w:t>
      </w:r>
      <w:r>
        <w:rPr>
          <w:color w:val="231F20"/>
          <w:spacing w:val="2"/>
          <w:w w:val="110"/>
          <w:sz w:val="18"/>
        </w:rPr>
        <w:t>addressee </w:t>
      </w:r>
      <w:r>
        <w:rPr>
          <w:color w:val="231F20"/>
          <w:w w:val="110"/>
          <w:sz w:val="18"/>
        </w:rPr>
        <w:t>is unaware of any </w:t>
      </w:r>
      <w:r>
        <w:rPr>
          <w:color w:val="231F20"/>
          <w:spacing w:val="2"/>
          <w:w w:val="110"/>
          <w:sz w:val="18"/>
        </w:rPr>
        <w:t>circumstances </w:t>
      </w:r>
      <w:r>
        <w:rPr>
          <w:color w:val="231F20"/>
          <w:w w:val="110"/>
          <w:sz w:val="18"/>
        </w:rPr>
        <w:t>which in the present </w:t>
      </w:r>
      <w:r>
        <w:rPr>
          <w:color w:val="231F20"/>
          <w:spacing w:val="2"/>
          <w:w w:val="110"/>
          <w:sz w:val="18"/>
        </w:rPr>
        <w:t>case </w:t>
      </w:r>
      <w:r>
        <w:rPr>
          <w:color w:val="231F20"/>
          <w:w w:val="110"/>
          <w:sz w:val="18"/>
        </w:rPr>
        <w:t>might prevent him/her </w:t>
      </w:r>
      <w:r>
        <w:rPr>
          <w:color w:val="231F20"/>
          <w:spacing w:val="2"/>
          <w:w w:val="110"/>
          <w:sz w:val="18"/>
        </w:rPr>
        <w:t>from serving </w:t>
      </w:r>
      <w:r>
        <w:rPr>
          <w:color w:val="231F20"/>
          <w:w w:val="110"/>
          <w:sz w:val="18"/>
        </w:rPr>
        <w:t>on the Review Commission.</w:t>
      </w:r>
    </w:p>
    <w:p>
      <w:pPr>
        <w:pStyle w:val="BodyText"/>
        <w:spacing w:before="10"/>
        <w:rPr>
          <w:sz w:val="20"/>
        </w:rPr>
      </w:pPr>
    </w:p>
    <w:p>
      <w:pPr>
        <w:pStyle w:val="ListParagraph"/>
        <w:numPr>
          <w:ilvl w:val="2"/>
          <w:numId w:val="182"/>
        </w:numPr>
        <w:tabs>
          <w:tab w:pos="1234" w:val="left" w:leader="none"/>
        </w:tabs>
        <w:spacing w:line="240" w:lineRule="auto" w:before="0" w:after="0"/>
        <w:ind w:left="1233" w:right="0" w:hanging="721"/>
        <w:jc w:val="left"/>
        <w:rPr>
          <w:sz w:val="18"/>
        </w:rPr>
      </w:pPr>
      <w:r>
        <w:rPr>
          <w:color w:val="231F20"/>
          <w:w w:val="110"/>
          <w:sz w:val="18"/>
        </w:rPr>
        <w:t>The member of the Standing Panel in the first </w:t>
      </w:r>
      <w:r>
        <w:rPr>
          <w:color w:val="231F20"/>
          <w:spacing w:val="2"/>
          <w:w w:val="110"/>
          <w:sz w:val="18"/>
        </w:rPr>
        <w:t>category </w:t>
      </w:r>
      <w:r>
        <w:rPr>
          <w:color w:val="231F20"/>
          <w:w w:val="110"/>
          <w:sz w:val="18"/>
        </w:rPr>
        <w:t>mentioned in</w:t>
      </w:r>
      <w:r>
        <w:rPr>
          <w:color w:val="231F20"/>
          <w:spacing w:val="46"/>
          <w:w w:val="110"/>
          <w:sz w:val="18"/>
        </w:rPr>
        <w:t> </w:t>
      </w:r>
      <w:r>
        <w:rPr>
          <w:color w:val="231F20"/>
          <w:w w:val="110"/>
          <w:sz w:val="18"/>
        </w:rPr>
        <w:t>Paragraph</w:t>
      </w:r>
    </w:p>
    <w:p>
      <w:pPr>
        <w:pStyle w:val="BodyText"/>
        <w:spacing w:line="273" w:lineRule="auto" w:before="31"/>
        <w:ind w:left="513" w:right="1844"/>
      </w:pPr>
      <w:r>
        <w:rPr>
          <w:color w:val="231F20"/>
          <w:w w:val="110"/>
        </w:rPr>
        <w:t>C.1 </w:t>
      </w:r>
      <w:r>
        <w:rPr>
          <w:color w:val="231F20"/>
          <w:spacing w:val="-5"/>
          <w:w w:val="110"/>
        </w:rPr>
        <w:t>(or </w:t>
      </w:r>
      <w:r>
        <w:rPr>
          <w:color w:val="231F20"/>
          <w:w w:val="110"/>
        </w:rPr>
        <w:t>the member in the second, third or </w:t>
      </w:r>
      <w:r>
        <w:rPr>
          <w:color w:val="231F20"/>
          <w:spacing w:val="2"/>
          <w:w w:val="110"/>
        </w:rPr>
        <w:t>fourth </w:t>
      </w:r>
      <w:r>
        <w:rPr>
          <w:color w:val="231F20"/>
          <w:w w:val="110"/>
        </w:rPr>
        <w:t>categories (in that order) if the member(s) in the preceding category(ies) is/are unable to participate in the particular case) shall forthwith consult with the </w:t>
      </w:r>
      <w:r>
        <w:rPr>
          <w:color w:val="231F20"/>
          <w:spacing w:val="2"/>
          <w:w w:val="110"/>
        </w:rPr>
        <w:t>officers </w:t>
      </w:r>
      <w:r>
        <w:rPr>
          <w:color w:val="231F20"/>
          <w:w w:val="110"/>
        </w:rPr>
        <w:t>of General Assembly and jointly with them appoint as the </w:t>
      </w:r>
      <w:r>
        <w:rPr>
          <w:color w:val="231F20"/>
          <w:spacing w:val="2"/>
          <w:w w:val="110"/>
        </w:rPr>
        <w:t>fifth </w:t>
      </w:r>
      <w:r>
        <w:rPr>
          <w:color w:val="231F20"/>
          <w:w w:val="110"/>
        </w:rPr>
        <w:t>member of the Review Commission a </w:t>
      </w:r>
      <w:r>
        <w:rPr>
          <w:color w:val="231F20"/>
          <w:spacing w:val="2"/>
          <w:w w:val="110"/>
        </w:rPr>
        <w:t>person </w:t>
      </w:r>
      <w:r>
        <w:rPr>
          <w:color w:val="231F20"/>
          <w:spacing w:val="-4"/>
          <w:w w:val="110"/>
        </w:rPr>
        <w:t>(not </w:t>
      </w:r>
      <w:r>
        <w:rPr>
          <w:color w:val="231F20"/>
          <w:w w:val="110"/>
        </w:rPr>
        <w:t>already a member of the Standing Panel) chosen on account of particular </w:t>
      </w:r>
      <w:r>
        <w:rPr>
          <w:color w:val="231F20"/>
          <w:spacing w:val="2"/>
          <w:w w:val="110"/>
        </w:rPr>
        <w:t>expertise </w:t>
      </w:r>
      <w:r>
        <w:rPr>
          <w:color w:val="231F20"/>
          <w:w w:val="110"/>
        </w:rPr>
        <w:t>or experience in the subject matter of the case, ascertaining through the procedures set out above that no conflict of interest or other reason would prevent such </w:t>
      </w:r>
      <w:r>
        <w:rPr>
          <w:color w:val="231F20"/>
          <w:spacing w:val="2"/>
          <w:w w:val="110"/>
        </w:rPr>
        <w:t>person from serving </w:t>
      </w:r>
      <w:r>
        <w:rPr>
          <w:color w:val="231F20"/>
          <w:w w:val="110"/>
        </w:rPr>
        <w:t>upon the Review Commission.</w:t>
      </w:r>
    </w:p>
    <w:p>
      <w:pPr>
        <w:pStyle w:val="BodyText"/>
        <w:rPr>
          <w:sz w:val="21"/>
        </w:rPr>
      </w:pPr>
    </w:p>
    <w:p>
      <w:pPr>
        <w:pStyle w:val="ListParagraph"/>
        <w:numPr>
          <w:ilvl w:val="2"/>
          <w:numId w:val="182"/>
        </w:numPr>
        <w:tabs>
          <w:tab w:pos="1234" w:val="left" w:leader="none"/>
        </w:tabs>
        <w:spacing w:line="273" w:lineRule="auto" w:before="0" w:after="0"/>
        <w:ind w:left="513" w:right="1746" w:firstLine="0"/>
        <w:jc w:val="left"/>
        <w:rPr>
          <w:sz w:val="18"/>
        </w:rPr>
      </w:pPr>
      <w:r>
        <w:rPr>
          <w:color w:val="231F20"/>
          <w:w w:val="110"/>
          <w:sz w:val="18"/>
        </w:rPr>
        <w:t>In the event that any member of the Standing Panel shall be unable to take </w:t>
      </w:r>
      <w:r>
        <w:rPr>
          <w:color w:val="231F20"/>
          <w:spacing w:val="2"/>
          <w:w w:val="110"/>
          <w:sz w:val="18"/>
        </w:rPr>
        <w:t>part  </w:t>
      </w:r>
      <w:r>
        <w:rPr>
          <w:color w:val="231F20"/>
          <w:w w:val="110"/>
          <w:sz w:val="18"/>
        </w:rPr>
        <w:t>in the particular case, the </w:t>
      </w:r>
      <w:r>
        <w:rPr>
          <w:color w:val="231F20"/>
          <w:spacing w:val="3"/>
          <w:w w:val="110"/>
          <w:sz w:val="18"/>
        </w:rPr>
        <w:t>Secretary </w:t>
      </w:r>
      <w:r>
        <w:rPr>
          <w:color w:val="231F20"/>
          <w:w w:val="110"/>
          <w:sz w:val="18"/>
        </w:rPr>
        <w:t>shall invite the </w:t>
      </w:r>
      <w:r>
        <w:rPr>
          <w:color w:val="231F20"/>
          <w:spacing w:val="2"/>
          <w:w w:val="110"/>
          <w:sz w:val="18"/>
        </w:rPr>
        <w:t>officers </w:t>
      </w:r>
      <w:r>
        <w:rPr>
          <w:color w:val="231F20"/>
          <w:w w:val="110"/>
          <w:sz w:val="18"/>
        </w:rPr>
        <w:t>of General Assembly to appoint another </w:t>
      </w:r>
      <w:r>
        <w:rPr>
          <w:color w:val="231F20"/>
          <w:spacing w:val="2"/>
          <w:w w:val="110"/>
          <w:sz w:val="18"/>
        </w:rPr>
        <w:t>person from </w:t>
      </w:r>
      <w:r>
        <w:rPr>
          <w:color w:val="231F20"/>
          <w:w w:val="110"/>
          <w:sz w:val="18"/>
        </w:rPr>
        <w:t>the same </w:t>
      </w:r>
      <w:r>
        <w:rPr>
          <w:color w:val="231F20"/>
          <w:spacing w:val="2"/>
          <w:w w:val="110"/>
          <w:sz w:val="18"/>
        </w:rPr>
        <w:t>category </w:t>
      </w:r>
      <w:r>
        <w:rPr>
          <w:color w:val="231F20"/>
          <w:w w:val="110"/>
          <w:sz w:val="18"/>
        </w:rPr>
        <w:t>as specified in Paragraph C.1 as his/her replacement on the Review</w:t>
      </w:r>
      <w:r>
        <w:rPr>
          <w:color w:val="231F20"/>
          <w:spacing w:val="6"/>
          <w:w w:val="110"/>
          <w:sz w:val="18"/>
        </w:rPr>
        <w:t> </w:t>
      </w:r>
      <w:r>
        <w:rPr>
          <w:color w:val="231F20"/>
          <w:w w:val="110"/>
          <w:sz w:val="18"/>
        </w:rPr>
        <w:t>Commission.</w:t>
      </w:r>
    </w:p>
    <w:p>
      <w:pPr>
        <w:pStyle w:val="BodyText"/>
        <w:spacing w:before="9"/>
        <w:rPr>
          <w:sz w:val="20"/>
        </w:rPr>
      </w:pPr>
    </w:p>
    <w:p>
      <w:pPr>
        <w:pStyle w:val="BodyText"/>
        <w:tabs>
          <w:tab w:pos="1233" w:val="left" w:leader="none"/>
        </w:tabs>
        <w:spacing w:line="273" w:lineRule="auto"/>
        <w:ind w:left="513" w:right="2121"/>
      </w:pPr>
      <w:r>
        <w:rPr>
          <w:color w:val="231F20"/>
          <w:spacing w:val="-4"/>
          <w:w w:val="110"/>
        </w:rPr>
        <w:t>D.5</w:t>
        <w:tab/>
      </w:r>
      <w:r>
        <w:rPr>
          <w:color w:val="231F20"/>
          <w:w w:val="110"/>
        </w:rPr>
        <w:t>When the identity of all five </w:t>
      </w:r>
      <w:r>
        <w:rPr>
          <w:color w:val="231F20"/>
          <w:spacing w:val="2"/>
          <w:w w:val="110"/>
        </w:rPr>
        <w:t>members </w:t>
      </w:r>
      <w:r>
        <w:rPr>
          <w:color w:val="231F20"/>
          <w:w w:val="110"/>
        </w:rPr>
        <w:t>of the Review Commission has been provisionally ascertained, the </w:t>
      </w:r>
      <w:r>
        <w:rPr>
          <w:color w:val="231F20"/>
          <w:spacing w:val="3"/>
          <w:w w:val="110"/>
        </w:rPr>
        <w:t>Secretary </w:t>
      </w:r>
      <w:r>
        <w:rPr>
          <w:color w:val="231F20"/>
          <w:w w:val="110"/>
        </w:rPr>
        <w:t>shall </w:t>
      </w:r>
      <w:r>
        <w:rPr>
          <w:color w:val="231F20"/>
          <w:spacing w:val="2"/>
          <w:w w:val="110"/>
        </w:rPr>
        <w:t>notify </w:t>
      </w:r>
      <w:r>
        <w:rPr>
          <w:color w:val="231F20"/>
          <w:w w:val="110"/>
        </w:rPr>
        <w:t>the Minister or the Minister’s representative in writing thereof and invite him/her to state within </w:t>
      </w:r>
      <w:r>
        <w:rPr>
          <w:color w:val="231F20"/>
          <w:spacing w:val="-6"/>
          <w:w w:val="110"/>
        </w:rPr>
        <w:t>14 </w:t>
      </w:r>
      <w:r>
        <w:rPr>
          <w:color w:val="231F20"/>
          <w:w w:val="110"/>
        </w:rPr>
        <w:t>days of receipt of</w:t>
      </w:r>
      <w:r>
        <w:rPr>
          <w:color w:val="231F20"/>
          <w:spacing w:val="8"/>
          <w:w w:val="110"/>
        </w:rPr>
        <w:t> </w:t>
      </w:r>
      <w:r>
        <w:rPr>
          <w:color w:val="231F20"/>
          <w:w w:val="110"/>
        </w:rPr>
        <w:t>the</w:t>
      </w:r>
      <w:r>
        <w:rPr>
          <w:color w:val="231F20"/>
          <w:spacing w:val="8"/>
          <w:w w:val="110"/>
        </w:rPr>
        <w:t> </w:t>
      </w:r>
      <w:r>
        <w:rPr>
          <w:color w:val="231F20"/>
          <w:w w:val="110"/>
        </w:rPr>
        <w:t>Notice</w:t>
      </w:r>
      <w:r>
        <w:rPr>
          <w:color w:val="231F20"/>
          <w:spacing w:val="8"/>
          <w:w w:val="110"/>
        </w:rPr>
        <w:t> </w:t>
      </w:r>
      <w:r>
        <w:rPr>
          <w:color w:val="231F20"/>
          <w:w w:val="110"/>
        </w:rPr>
        <w:t>whether</w:t>
      </w:r>
      <w:r>
        <w:rPr>
          <w:color w:val="231F20"/>
          <w:spacing w:val="9"/>
          <w:w w:val="110"/>
        </w:rPr>
        <w:t> </w:t>
      </w:r>
      <w:r>
        <w:rPr>
          <w:color w:val="231F20"/>
          <w:w w:val="110"/>
        </w:rPr>
        <w:t>s/he</w:t>
      </w:r>
      <w:r>
        <w:rPr>
          <w:color w:val="231F20"/>
          <w:spacing w:val="8"/>
          <w:w w:val="110"/>
        </w:rPr>
        <w:t> </w:t>
      </w:r>
      <w:r>
        <w:rPr>
          <w:color w:val="231F20"/>
          <w:w w:val="110"/>
        </w:rPr>
        <w:t>has</w:t>
      </w:r>
      <w:r>
        <w:rPr>
          <w:color w:val="231F20"/>
          <w:spacing w:val="8"/>
          <w:w w:val="110"/>
        </w:rPr>
        <w:t> </w:t>
      </w:r>
      <w:r>
        <w:rPr>
          <w:color w:val="231F20"/>
          <w:w w:val="110"/>
        </w:rPr>
        <w:t>any</w:t>
      </w:r>
      <w:r>
        <w:rPr>
          <w:color w:val="231F20"/>
          <w:spacing w:val="9"/>
          <w:w w:val="110"/>
        </w:rPr>
        <w:t> </w:t>
      </w:r>
      <w:r>
        <w:rPr>
          <w:color w:val="231F20"/>
          <w:w w:val="110"/>
        </w:rPr>
        <w:t>objection</w:t>
      </w:r>
      <w:r>
        <w:rPr>
          <w:color w:val="231F20"/>
          <w:spacing w:val="8"/>
          <w:w w:val="110"/>
        </w:rPr>
        <w:t> </w:t>
      </w:r>
      <w:r>
        <w:rPr>
          <w:color w:val="231F20"/>
          <w:w w:val="110"/>
        </w:rPr>
        <w:t>to</w:t>
      </w:r>
      <w:r>
        <w:rPr>
          <w:color w:val="231F20"/>
          <w:spacing w:val="8"/>
          <w:w w:val="110"/>
        </w:rPr>
        <w:t> </w:t>
      </w:r>
      <w:r>
        <w:rPr>
          <w:color w:val="231F20"/>
          <w:w w:val="110"/>
        </w:rPr>
        <w:t>any</w:t>
      </w:r>
      <w:r>
        <w:rPr>
          <w:color w:val="231F20"/>
          <w:spacing w:val="9"/>
          <w:w w:val="110"/>
        </w:rPr>
        <w:t> </w:t>
      </w:r>
      <w:r>
        <w:rPr>
          <w:color w:val="231F20"/>
          <w:w w:val="110"/>
        </w:rPr>
        <w:t>of</w:t>
      </w:r>
      <w:r>
        <w:rPr>
          <w:color w:val="231F20"/>
          <w:spacing w:val="8"/>
          <w:w w:val="110"/>
        </w:rPr>
        <w:t> </w:t>
      </w:r>
      <w:r>
        <w:rPr>
          <w:color w:val="231F20"/>
          <w:w w:val="110"/>
        </w:rPr>
        <w:t>the</w:t>
      </w:r>
      <w:r>
        <w:rPr>
          <w:color w:val="231F20"/>
          <w:spacing w:val="8"/>
          <w:w w:val="110"/>
        </w:rPr>
        <w:t> </w:t>
      </w:r>
      <w:r>
        <w:rPr>
          <w:color w:val="231F20"/>
          <w:spacing w:val="2"/>
          <w:w w:val="110"/>
        </w:rPr>
        <w:t>persons</w:t>
      </w:r>
      <w:r>
        <w:rPr>
          <w:color w:val="231F20"/>
          <w:spacing w:val="9"/>
          <w:w w:val="110"/>
        </w:rPr>
        <w:t> </w:t>
      </w:r>
      <w:r>
        <w:rPr>
          <w:color w:val="231F20"/>
          <w:spacing w:val="2"/>
          <w:w w:val="110"/>
        </w:rPr>
        <w:t>serving</w:t>
      </w:r>
      <w:r>
        <w:rPr>
          <w:color w:val="231F20"/>
          <w:spacing w:val="8"/>
          <w:w w:val="110"/>
        </w:rPr>
        <w:t> </w:t>
      </w:r>
      <w:r>
        <w:rPr>
          <w:color w:val="231F20"/>
          <w:w w:val="110"/>
        </w:rPr>
        <w:t>upon</w:t>
      </w:r>
      <w:r>
        <w:rPr>
          <w:color w:val="231F20"/>
          <w:spacing w:val="8"/>
          <w:w w:val="110"/>
        </w:rPr>
        <w:t> </w:t>
      </w:r>
      <w:r>
        <w:rPr>
          <w:color w:val="231F20"/>
          <w:w w:val="110"/>
        </w:rPr>
        <w:t>the</w:t>
      </w:r>
    </w:p>
    <w:p>
      <w:pPr>
        <w:pStyle w:val="BodyText"/>
        <w:spacing w:line="273" w:lineRule="auto" w:before="3"/>
        <w:ind w:left="513" w:right="1844"/>
      </w:pPr>
      <w:r>
        <w:rPr>
          <w:color w:val="231F20"/>
          <w:w w:val="110"/>
        </w:rPr>
        <w:t>Review Commission and, if so, the grounds for such objection. Any such objection shall  be considered by the </w:t>
      </w:r>
      <w:r>
        <w:rPr>
          <w:color w:val="231F20"/>
          <w:spacing w:val="2"/>
          <w:w w:val="110"/>
        </w:rPr>
        <w:t>officers </w:t>
      </w:r>
      <w:r>
        <w:rPr>
          <w:color w:val="231F20"/>
          <w:w w:val="110"/>
        </w:rPr>
        <w:t>of General Assembly, whose decision on whether to uphold or </w:t>
      </w:r>
      <w:r>
        <w:rPr>
          <w:color w:val="231F20"/>
          <w:spacing w:val="2"/>
          <w:w w:val="110"/>
        </w:rPr>
        <w:t>reject </w:t>
      </w:r>
      <w:r>
        <w:rPr>
          <w:color w:val="231F20"/>
          <w:w w:val="110"/>
        </w:rPr>
        <w:t>the objection shall be</w:t>
      </w:r>
      <w:r>
        <w:rPr>
          <w:color w:val="231F20"/>
          <w:spacing w:val="5"/>
          <w:w w:val="110"/>
        </w:rPr>
        <w:t> </w:t>
      </w:r>
      <w:r>
        <w:rPr>
          <w:color w:val="231F20"/>
          <w:w w:val="110"/>
        </w:rPr>
        <w:t>final.</w:t>
      </w:r>
    </w:p>
    <w:p>
      <w:pPr>
        <w:pStyle w:val="BodyText"/>
        <w:spacing w:before="9"/>
        <w:rPr>
          <w:sz w:val="20"/>
        </w:rPr>
      </w:pPr>
    </w:p>
    <w:p>
      <w:pPr>
        <w:pStyle w:val="ListParagraph"/>
        <w:numPr>
          <w:ilvl w:val="2"/>
          <w:numId w:val="183"/>
        </w:numPr>
        <w:tabs>
          <w:tab w:pos="1234" w:val="left" w:leader="none"/>
        </w:tabs>
        <w:spacing w:line="273" w:lineRule="auto" w:before="0" w:after="0"/>
        <w:ind w:left="513" w:right="1843" w:firstLine="0"/>
        <w:jc w:val="left"/>
        <w:rPr>
          <w:sz w:val="18"/>
        </w:rPr>
      </w:pPr>
      <w:r>
        <w:rPr>
          <w:color w:val="231F20"/>
          <w:w w:val="110"/>
          <w:sz w:val="18"/>
        </w:rPr>
        <w:t>The Review Commission shall appoint its own convener who shall be a member  of the Church and who shall normally be the </w:t>
      </w:r>
      <w:r>
        <w:rPr>
          <w:color w:val="231F20"/>
          <w:spacing w:val="2"/>
          <w:w w:val="110"/>
          <w:sz w:val="18"/>
        </w:rPr>
        <w:t>person </w:t>
      </w:r>
      <w:r>
        <w:rPr>
          <w:color w:val="231F20"/>
          <w:w w:val="110"/>
          <w:sz w:val="18"/>
        </w:rPr>
        <w:t>appointed to the Standing Panel by </w:t>
      </w:r>
      <w:r>
        <w:rPr>
          <w:color w:val="231F20"/>
          <w:spacing w:val="2"/>
          <w:w w:val="110"/>
          <w:sz w:val="18"/>
        </w:rPr>
        <w:t>virtue </w:t>
      </w:r>
      <w:r>
        <w:rPr>
          <w:color w:val="231F20"/>
          <w:w w:val="110"/>
          <w:sz w:val="18"/>
        </w:rPr>
        <w:t>of his/her legal, tribunal or professional experience or other similar background under Paragraph</w:t>
      </w:r>
      <w:r>
        <w:rPr>
          <w:color w:val="231F20"/>
          <w:spacing w:val="2"/>
          <w:w w:val="110"/>
          <w:sz w:val="18"/>
        </w:rPr>
        <w:t> </w:t>
      </w:r>
      <w:r>
        <w:rPr>
          <w:color w:val="231F20"/>
          <w:spacing w:val="-5"/>
          <w:w w:val="110"/>
          <w:sz w:val="18"/>
        </w:rPr>
        <w:t>C.1(iv).</w:t>
      </w:r>
    </w:p>
    <w:p>
      <w:pPr>
        <w:pStyle w:val="BodyText"/>
        <w:spacing w:before="9"/>
        <w:rPr>
          <w:sz w:val="20"/>
        </w:rPr>
      </w:pPr>
    </w:p>
    <w:p>
      <w:pPr>
        <w:pStyle w:val="ListParagraph"/>
        <w:numPr>
          <w:ilvl w:val="2"/>
          <w:numId w:val="183"/>
        </w:numPr>
        <w:tabs>
          <w:tab w:pos="1234" w:val="left" w:leader="none"/>
        </w:tabs>
        <w:spacing w:line="273" w:lineRule="auto" w:before="0" w:after="0"/>
        <w:ind w:left="513" w:right="1732" w:firstLine="0"/>
        <w:jc w:val="left"/>
        <w:rPr>
          <w:sz w:val="18"/>
        </w:rPr>
      </w:pPr>
      <w:r>
        <w:rPr>
          <w:color w:val="231F20"/>
          <w:w w:val="110"/>
          <w:sz w:val="18"/>
        </w:rPr>
        <w:t>The Convener of the Review Commission shall not have a casting vote, unless the Review Commission shall in </w:t>
      </w:r>
      <w:r>
        <w:rPr>
          <w:color w:val="231F20"/>
          <w:spacing w:val="2"/>
          <w:w w:val="110"/>
          <w:sz w:val="18"/>
        </w:rPr>
        <w:t>circumstances </w:t>
      </w:r>
      <w:r>
        <w:rPr>
          <w:color w:val="231F20"/>
          <w:w w:val="110"/>
          <w:sz w:val="18"/>
        </w:rPr>
        <w:t>arising under Paragraph </w:t>
      </w:r>
      <w:r>
        <w:rPr>
          <w:color w:val="231F20"/>
          <w:spacing w:val="-11"/>
          <w:w w:val="110"/>
          <w:sz w:val="18"/>
        </w:rPr>
        <w:t>D.7.1 </w:t>
      </w:r>
      <w:r>
        <w:rPr>
          <w:color w:val="231F20"/>
          <w:w w:val="110"/>
          <w:sz w:val="18"/>
        </w:rPr>
        <w:t>consist of an even number of</w:t>
      </w:r>
      <w:r>
        <w:rPr>
          <w:color w:val="231F20"/>
          <w:spacing w:val="3"/>
          <w:w w:val="110"/>
          <w:sz w:val="18"/>
        </w:rPr>
        <w:t> </w:t>
      </w:r>
      <w:r>
        <w:rPr>
          <w:color w:val="231F20"/>
          <w:w w:val="110"/>
          <w:sz w:val="18"/>
        </w:rPr>
        <w:t>members.</w:t>
      </w:r>
    </w:p>
    <w:p>
      <w:pPr>
        <w:pStyle w:val="BodyText"/>
        <w:spacing w:before="8"/>
        <w:rPr>
          <w:sz w:val="20"/>
        </w:rPr>
      </w:pPr>
    </w:p>
    <w:p>
      <w:pPr>
        <w:pStyle w:val="ListParagraph"/>
        <w:numPr>
          <w:ilvl w:val="2"/>
          <w:numId w:val="184"/>
        </w:numPr>
        <w:tabs>
          <w:tab w:pos="1233" w:val="left" w:leader="none"/>
          <w:tab w:pos="1234" w:val="left" w:leader="none"/>
        </w:tabs>
        <w:spacing w:line="273" w:lineRule="auto" w:before="0" w:after="0"/>
        <w:ind w:left="513" w:right="1764" w:firstLine="0"/>
        <w:jc w:val="left"/>
        <w:rPr>
          <w:sz w:val="18"/>
        </w:rPr>
      </w:pPr>
      <w:r>
        <w:rPr>
          <w:color w:val="231F20"/>
          <w:w w:val="110"/>
          <w:sz w:val="18"/>
        </w:rPr>
        <w:t>In the event that any member of the Review Commission shall be unable to </w:t>
      </w:r>
      <w:r>
        <w:rPr>
          <w:color w:val="231F20"/>
          <w:spacing w:val="3"/>
          <w:w w:val="110"/>
          <w:sz w:val="18"/>
        </w:rPr>
        <w:t>carry </w:t>
      </w:r>
      <w:r>
        <w:rPr>
          <w:color w:val="231F20"/>
          <w:w w:val="110"/>
          <w:sz w:val="18"/>
        </w:rPr>
        <w:t>out his/her duties on that Commission, the remaining </w:t>
      </w:r>
      <w:r>
        <w:rPr>
          <w:color w:val="231F20"/>
          <w:spacing w:val="2"/>
          <w:w w:val="110"/>
          <w:sz w:val="18"/>
        </w:rPr>
        <w:t>members </w:t>
      </w:r>
      <w:r>
        <w:rPr>
          <w:color w:val="231F20"/>
          <w:w w:val="110"/>
          <w:sz w:val="18"/>
        </w:rPr>
        <w:t>shall continue to </w:t>
      </w:r>
      <w:r>
        <w:rPr>
          <w:color w:val="231F20"/>
          <w:spacing w:val="2"/>
          <w:w w:val="110"/>
          <w:sz w:val="18"/>
        </w:rPr>
        <w:t>act </w:t>
      </w:r>
      <w:r>
        <w:rPr>
          <w:color w:val="231F20"/>
          <w:w w:val="110"/>
          <w:sz w:val="18"/>
        </w:rPr>
        <w:t>as the Review Commission, subject to there being a minimum of three</w:t>
      </w:r>
      <w:r>
        <w:rPr>
          <w:color w:val="231F20"/>
          <w:spacing w:val="62"/>
          <w:w w:val="110"/>
          <w:sz w:val="18"/>
        </w:rPr>
        <w:t> </w:t>
      </w:r>
      <w:r>
        <w:rPr>
          <w:color w:val="231F20"/>
          <w:w w:val="110"/>
          <w:sz w:val="18"/>
        </w:rPr>
        <w:t>members.</w:t>
      </w:r>
    </w:p>
    <w:p>
      <w:pPr>
        <w:pStyle w:val="BodyText"/>
        <w:spacing w:before="9"/>
        <w:rPr>
          <w:sz w:val="20"/>
        </w:rPr>
      </w:pPr>
    </w:p>
    <w:p>
      <w:pPr>
        <w:pStyle w:val="ListParagraph"/>
        <w:numPr>
          <w:ilvl w:val="2"/>
          <w:numId w:val="184"/>
        </w:numPr>
        <w:tabs>
          <w:tab w:pos="1233" w:val="left" w:leader="none"/>
          <w:tab w:pos="1234" w:val="left" w:leader="none"/>
        </w:tabs>
        <w:spacing w:line="273" w:lineRule="auto" w:before="0" w:after="0"/>
        <w:ind w:left="513" w:right="2013" w:firstLine="0"/>
        <w:jc w:val="left"/>
        <w:rPr>
          <w:sz w:val="18"/>
        </w:rPr>
      </w:pPr>
      <w:r>
        <w:rPr>
          <w:color w:val="231F20"/>
          <w:w w:val="110"/>
          <w:sz w:val="18"/>
        </w:rPr>
        <w:t>Once a Review Commission has been duly constituted and has taken any steps to investigate the case, no </w:t>
      </w:r>
      <w:r>
        <w:rPr>
          <w:color w:val="231F20"/>
          <w:spacing w:val="2"/>
          <w:w w:val="110"/>
          <w:sz w:val="18"/>
        </w:rPr>
        <w:t>person </w:t>
      </w:r>
      <w:r>
        <w:rPr>
          <w:color w:val="231F20"/>
          <w:w w:val="110"/>
          <w:sz w:val="18"/>
        </w:rPr>
        <w:t>shall subsequently be appointed to </w:t>
      </w:r>
      <w:r>
        <w:rPr>
          <w:color w:val="231F20"/>
          <w:spacing w:val="2"/>
          <w:w w:val="110"/>
          <w:sz w:val="18"/>
        </w:rPr>
        <w:t>serve </w:t>
      </w:r>
      <w:r>
        <w:rPr>
          <w:color w:val="231F20"/>
          <w:w w:val="110"/>
          <w:sz w:val="18"/>
        </w:rPr>
        <w:t>on that Review Commission.</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84"/>
        </w:numPr>
        <w:tabs>
          <w:tab w:pos="1800" w:val="left" w:leader="none"/>
          <w:tab w:pos="1801" w:val="left" w:leader="none"/>
        </w:tabs>
        <w:spacing w:line="273" w:lineRule="auto" w:before="101" w:after="0"/>
        <w:ind w:left="1081" w:right="1229" w:hanging="1"/>
        <w:jc w:val="left"/>
        <w:rPr>
          <w:sz w:val="18"/>
        </w:rPr>
      </w:pPr>
      <w:r>
        <w:rPr>
          <w:color w:val="231F20"/>
          <w:w w:val="110"/>
          <w:sz w:val="18"/>
        </w:rPr>
        <w:t>In the event that the Review Commission shall be reduced to fewer than three members at </w:t>
      </w:r>
      <w:r>
        <w:rPr>
          <w:color w:val="231F20"/>
          <w:spacing w:val="-3"/>
          <w:w w:val="110"/>
          <w:sz w:val="18"/>
        </w:rPr>
        <w:t>any </w:t>
      </w:r>
      <w:r>
        <w:rPr>
          <w:color w:val="231F20"/>
          <w:w w:val="110"/>
          <w:sz w:val="18"/>
        </w:rPr>
        <w:t>time after it has taken </w:t>
      </w:r>
      <w:r>
        <w:rPr>
          <w:color w:val="231F20"/>
          <w:spacing w:val="-3"/>
          <w:w w:val="110"/>
          <w:sz w:val="18"/>
        </w:rPr>
        <w:t>any </w:t>
      </w:r>
      <w:r>
        <w:rPr>
          <w:color w:val="231F20"/>
          <w:w w:val="110"/>
          <w:sz w:val="18"/>
        </w:rPr>
        <w:t>steps to investigate the case under the Incapacity Procedure, that Review Commission shall stand down and be discharged and a new Review Commission shall be appointed under this Section D which shall </w:t>
      </w:r>
      <w:r>
        <w:rPr>
          <w:color w:val="231F20"/>
          <w:spacing w:val="-3"/>
          <w:w w:val="110"/>
          <w:sz w:val="18"/>
        </w:rPr>
        <w:t>have </w:t>
      </w:r>
      <w:r>
        <w:rPr>
          <w:color w:val="231F20"/>
          <w:w w:val="110"/>
          <w:sz w:val="18"/>
        </w:rPr>
        <w:t>access to all information (including documentation available to the former Review</w:t>
      </w:r>
      <w:r>
        <w:rPr>
          <w:color w:val="231F20"/>
          <w:spacing w:val="-16"/>
          <w:w w:val="110"/>
          <w:sz w:val="18"/>
        </w:rPr>
        <w:t> </w:t>
      </w:r>
      <w:r>
        <w:rPr>
          <w:color w:val="231F20"/>
          <w:spacing w:val="-3"/>
          <w:w w:val="110"/>
          <w:sz w:val="18"/>
        </w:rPr>
        <w:t>Commission).</w:t>
      </w:r>
    </w:p>
    <w:p>
      <w:pPr>
        <w:pStyle w:val="BodyText"/>
        <w:spacing w:before="10"/>
        <w:rPr>
          <w:sz w:val="20"/>
        </w:rPr>
      </w:pPr>
    </w:p>
    <w:p>
      <w:pPr>
        <w:pStyle w:val="ListParagraph"/>
        <w:numPr>
          <w:ilvl w:val="2"/>
          <w:numId w:val="184"/>
        </w:numPr>
        <w:tabs>
          <w:tab w:pos="1806" w:val="left" w:leader="none"/>
          <w:tab w:pos="1807" w:val="left" w:leader="none"/>
        </w:tabs>
        <w:spacing w:line="273" w:lineRule="auto" w:before="0" w:after="0"/>
        <w:ind w:left="1086" w:right="1448" w:firstLine="0"/>
        <w:jc w:val="left"/>
        <w:rPr>
          <w:sz w:val="18"/>
        </w:rPr>
      </w:pPr>
      <w:r>
        <w:rPr>
          <w:color w:val="231F20"/>
          <w:w w:val="110"/>
          <w:sz w:val="18"/>
        </w:rPr>
        <w:t>If the Convener of the Review Commission is unable to continue to </w:t>
      </w:r>
      <w:r>
        <w:rPr>
          <w:color w:val="231F20"/>
          <w:spacing w:val="2"/>
          <w:w w:val="110"/>
          <w:sz w:val="18"/>
        </w:rPr>
        <w:t>serve </w:t>
      </w:r>
      <w:r>
        <w:rPr>
          <w:color w:val="231F20"/>
          <w:w w:val="110"/>
          <w:sz w:val="18"/>
        </w:rPr>
        <w:t>for  the reason stated in Paragraph </w:t>
      </w:r>
      <w:r>
        <w:rPr>
          <w:color w:val="231F20"/>
          <w:spacing w:val="-7"/>
          <w:w w:val="110"/>
          <w:sz w:val="18"/>
        </w:rPr>
        <w:t>D.1, </w:t>
      </w:r>
      <w:r>
        <w:rPr>
          <w:color w:val="231F20"/>
          <w:w w:val="110"/>
          <w:sz w:val="18"/>
        </w:rPr>
        <w:t>the remaining </w:t>
      </w:r>
      <w:r>
        <w:rPr>
          <w:color w:val="231F20"/>
          <w:spacing w:val="2"/>
          <w:w w:val="110"/>
          <w:sz w:val="18"/>
        </w:rPr>
        <w:t>members </w:t>
      </w:r>
      <w:r>
        <w:rPr>
          <w:color w:val="231F20"/>
          <w:w w:val="110"/>
          <w:sz w:val="18"/>
        </w:rPr>
        <w:t>shall appoint one of their number to be the Convener in his/her</w:t>
      </w:r>
      <w:r>
        <w:rPr>
          <w:color w:val="231F20"/>
          <w:spacing w:val="11"/>
          <w:w w:val="110"/>
          <w:sz w:val="18"/>
        </w:rPr>
        <w:t> </w:t>
      </w:r>
      <w:r>
        <w:rPr>
          <w:color w:val="231F20"/>
          <w:w w:val="110"/>
          <w:sz w:val="18"/>
        </w:rPr>
        <w:t>place.</w:t>
      </w:r>
    </w:p>
    <w:p>
      <w:pPr>
        <w:pStyle w:val="BodyText"/>
        <w:rPr>
          <w:sz w:val="19"/>
        </w:rPr>
      </w:pPr>
    </w:p>
    <w:p>
      <w:pPr>
        <w:numPr>
          <w:ilvl w:val="0"/>
          <w:numId w:val="177"/>
        </w:numPr>
        <w:tabs>
          <w:tab w:pos="1800" w:val="left" w:leader="none"/>
          <w:tab w:pos="1801" w:val="left" w:leader="none"/>
        </w:tabs>
        <w:spacing w:before="0"/>
        <w:ind w:left="1800" w:right="0" w:hanging="721"/>
        <w:jc w:val="left"/>
        <w:rPr>
          <w:b/>
          <w:sz w:val="20"/>
        </w:rPr>
      </w:pPr>
      <w:r>
        <w:rPr>
          <w:b/>
          <w:color w:val="231F20"/>
          <w:w w:val="110"/>
          <w:sz w:val="20"/>
        </w:rPr>
        <w:t>SUSPENSION</w:t>
      </w:r>
    </w:p>
    <w:p>
      <w:pPr>
        <w:pStyle w:val="BodyText"/>
        <w:spacing w:before="10"/>
        <w:rPr>
          <w:b/>
          <w:sz w:val="22"/>
        </w:rPr>
      </w:pPr>
    </w:p>
    <w:p>
      <w:pPr>
        <w:pStyle w:val="ListParagraph"/>
        <w:numPr>
          <w:ilvl w:val="1"/>
          <w:numId w:val="177"/>
        </w:numPr>
        <w:tabs>
          <w:tab w:pos="1800" w:val="left" w:leader="none"/>
          <w:tab w:pos="1801" w:val="left" w:leader="none"/>
        </w:tabs>
        <w:spacing w:line="273" w:lineRule="auto" w:before="0" w:after="0"/>
        <w:ind w:left="1080" w:right="1426" w:firstLine="0"/>
        <w:jc w:val="left"/>
        <w:rPr>
          <w:sz w:val="18"/>
        </w:rPr>
      </w:pPr>
      <w:r>
        <w:rPr>
          <w:color w:val="231F20"/>
          <w:w w:val="110"/>
          <w:sz w:val="18"/>
        </w:rPr>
        <w:t>If the Minister has already been suspended </w:t>
      </w:r>
      <w:r>
        <w:rPr>
          <w:color w:val="231F20"/>
          <w:spacing w:val="2"/>
          <w:w w:val="110"/>
          <w:sz w:val="18"/>
        </w:rPr>
        <w:t>before </w:t>
      </w:r>
      <w:r>
        <w:rPr>
          <w:color w:val="231F20"/>
          <w:w w:val="110"/>
          <w:sz w:val="18"/>
        </w:rPr>
        <w:t>the </w:t>
      </w:r>
      <w:r>
        <w:rPr>
          <w:color w:val="231F20"/>
          <w:spacing w:val="2"/>
          <w:w w:val="110"/>
          <w:sz w:val="18"/>
        </w:rPr>
        <w:t>case </w:t>
      </w:r>
      <w:r>
        <w:rPr>
          <w:color w:val="231F20"/>
          <w:w w:val="110"/>
          <w:sz w:val="18"/>
        </w:rPr>
        <w:t>has come into the Procedure, the Review Commission must, as soon as it has been constituted, decide whether</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suspension</w:t>
      </w:r>
      <w:r>
        <w:rPr>
          <w:color w:val="231F20"/>
          <w:spacing w:val="14"/>
          <w:w w:val="110"/>
          <w:sz w:val="18"/>
        </w:rPr>
        <w:t> </w:t>
      </w:r>
      <w:r>
        <w:rPr>
          <w:color w:val="231F20"/>
          <w:w w:val="110"/>
          <w:sz w:val="18"/>
        </w:rPr>
        <w:t>should</w:t>
      </w:r>
      <w:r>
        <w:rPr>
          <w:color w:val="231F20"/>
          <w:spacing w:val="13"/>
          <w:w w:val="110"/>
          <w:sz w:val="18"/>
        </w:rPr>
        <w:t> </w:t>
      </w:r>
      <w:r>
        <w:rPr>
          <w:color w:val="231F20"/>
          <w:w w:val="110"/>
          <w:sz w:val="18"/>
        </w:rPr>
        <w:t>be</w:t>
      </w:r>
      <w:r>
        <w:rPr>
          <w:color w:val="231F20"/>
          <w:spacing w:val="13"/>
          <w:w w:val="110"/>
          <w:sz w:val="18"/>
        </w:rPr>
        <w:t> </w:t>
      </w:r>
      <w:r>
        <w:rPr>
          <w:color w:val="231F20"/>
          <w:w w:val="110"/>
          <w:sz w:val="18"/>
        </w:rPr>
        <w:t>continued</w:t>
      </w:r>
      <w:r>
        <w:rPr>
          <w:color w:val="231F20"/>
          <w:spacing w:val="14"/>
          <w:w w:val="110"/>
          <w:sz w:val="18"/>
        </w:rPr>
        <w:t> </w:t>
      </w:r>
      <w:r>
        <w:rPr>
          <w:color w:val="231F20"/>
          <w:w w:val="110"/>
          <w:sz w:val="18"/>
        </w:rPr>
        <w:t>or</w:t>
      </w:r>
      <w:r>
        <w:rPr>
          <w:color w:val="231F20"/>
          <w:spacing w:val="13"/>
          <w:w w:val="110"/>
          <w:sz w:val="18"/>
        </w:rPr>
        <w:t> </w:t>
      </w:r>
      <w:r>
        <w:rPr>
          <w:color w:val="231F20"/>
          <w:w w:val="110"/>
          <w:sz w:val="18"/>
        </w:rPr>
        <w:t>lifted,</w:t>
      </w:r>
      <w:r>
        <w:rPr>
          <w:color w:val="231F20"/>
          <w:spacing w:val="13"/>
          <w:w w:val="110"/>
          <w:sz w:val="18"/>
        </w:rPr>
        <w:t> </w:t>
      </w:r>
      <w:r>
        <w:rPr>
          <w:color w:val="231F20"/>
          <w:w w:val="110"/>
          <w:sz w:val="18"/>
        </w:rPr>
        <w:t>and</w:t>
      </w:r>
      <w:r>
        <w:rPr>
          <w:color w:val="231F20"/>
          <w:spacing w:val="14"/>
          <w:w w:val="110"/>
          <w:sz w:val="18"/>
        </w:rPr>
        <w:t> </w:t>
      </w:r>
      <w:r>
        <w:rPr>
          <w:color w:val="231F20"/>
          <w:w w:val="110"/>
          <w:sz w:val="18"/>
        </w:rPr>
        <w:t>inform</w:t>
      </w:r>
      <w:r>
        <w:rPr>
          <w:color w:val="231F20"/>
          <w:spacing w:val="13"/>
          <w:w w:val="110"/>
          <w:sz w:val="18"/>
        </w:rPr>
        <w:t> </w:t>
      </w:r>
      <w:r>
        <w:rPr>
          <w:color w:val="231F20"/>
          <w:w w:val="110"/>
          <w:sz w:val="18"/>
        </w:rPr>
        <w:t>all</w:t>
      </w:r>
      <w:r>
        <w:rPr>
          <w:color w:val="231F20"/>
          <w:spacing w:val="13"/>
          <w:w w:val="110"/>
          <w:sz w:val="18"/>
        </w:rPr>
        <w:t> </w:t>
      </w:r>
      <w:r>
        <w:rPr>
          <w:color w:val="231F20"/>
          <w:w w:val="110"/>
          <w:sz w:val="18"/>
        </w:rPr>
        <w:t>those</w:t>
      </w:r>
      <w:r>
        <w:rPr>
          <w:color w:val="231F20"/>
          <w:spacing w:val="14"/>
          <w:w w:val="110"/>
          <w:sz w:val="18"/>
        </w:rPr>
        <w:t> </w:t>
      </w:r>
      <w:r>
        <w:rPr>
          <w:color w:val="231F20"/>
          <w:w w:val="110"/>
          <w:sz w:val="18"/>
        </w:rPr>
        <w:t>concerned.</w:t>
      </w:r>
    </w:p>
    <w:p>
      <w:pPr>
        <w:pStyle w:val="BodyText"/>
        <w:spacing w:before="9"/>
        <w:rPr>
          <w:sz w:val="20"/>
        </w:rPr>
      </w:pPr>
    </w:p>
    <w:p>
      <w:pPr>
        <w:pStyle w:val="BodyText"/>
        <w:tabs>
          <w:tab w:pos="1800" w:val="left" w:leader="none"/>
        </w:tabs>
        <w:spacing w:line="273" w:lineRule="auto"/>
        <w:ind w:left="1080" w:right="1583"/>
      </w:pPr>
      <w:r>
        <w:rPr>
          <w:color w:val="231F20"/>
          <w:w w:val="110"/>
        </w:rPr>
        <w:t>E.2.</w:t>
        <w:tab/>
        <w:t>If the Minister has not already been suspended, the Review Commission </w:t>
      </w:r>
      <w:r>
        <w:rPr>
          <w:color w:val="231F20"/>
          <w:spacing w:val="-5"/>
          <w:w w:val="110"/>
        </w:rPr>
        <w:t>may, </w:t>
      </w:r>
      <w:r>
        <w:rPr>
          <w:color w:val="231F20"/>
          <w:w w:val="110"/>
        </w:rPr>
        <w:t>either immediately upon its appointment or at any time during the continuance of the case, resolve that the Minister be</w:t>
      </w:r>
      <w:r>
        <w:rPr>
          <w:color w:val="231F20"/>
          <w:spacing w:val="11"/>
          <w:w w:val="110"/>
        </w:rPr>
        <w:t> </w:t>
      </w:r>
      <w:r>
        <w:rPr>
          <w:color w:val="231F20"/>
          <w:w w:val="110"/>
        </w:rPr>
        <w:t>suspended.</w:t>
      </w:r>
    </w:p>
    <w:p>
      <w:pPr>
        <w:pStyle w:val="BodyText"/>
        <w:spacing w:before="9"/>
        <w:rPr>
          <w:sz w:val="20"/>
        </w:rPr>
      </w:pPr>
    </w:p>
    <w:p>
      <w:pPr>
        <w:pStyle w:val="ListParagraph"/>
        <w:numPr>
          <w:ilvl w:val="1"/>
          <w:numId w:val="185"/>
        </w:numPr>
        <w:tabs>
          <w:tab w:pos="1800" w:val="left" w:leader="none"/>
          <w:tab w:pos="1801" w:val="left" w:leader="none"/>
        </w:tabs>
        <w:spacing w:line="273" w:lineRule="auto" w:before="0" w:after="0"/>
        <w:ind w:left="1080" w:right="1312" w:firstLine="0"/>
        <w:jc w:val="left"/>
        <w:rPr>
          <w:sz w:val="18"/>
        </w:rPr>
      </w:pPr>
      <w:r>
        <w:rPr>
          <w:color w:val="231F20"/>
          <w:w w:val="110"/>
          <w:sz w:val="18"/>
        </w:rPr>
        <w:t>Any suspension, whenever imposed, may be lifted by the Review Commission at any time during the continuance of the</w:t>
      </w:r>
      <w:r>
        <w:rPr>
          <w:color w:val="231F20"/>
          <w:spacing w:val="11"/>
          <w:w w:val="110"/>
          <w:sz w:val="18"/>
        </w:rPr>
        <w:t> </w:t>
      </w:r>
      <w:r>
        <w:rPr>
          <w:color w:val="231F20"/>
          <w:w w:val="110"/>
          <w:sz w:val="18"/>
        </w:rPr>
        <w:t>case.</w:t>
      </w:r>
    </w:p>
    <w:p>
      <w:pPr>
        <w:pStyle w:val="BodyText"/>
        <w:spacing w:before="8"/>
        <w:rPr>
          <w:sz w:val="20"/>
        </w:rPr>
      </w:pPr>
    </w:p>
    <w:p>
      <w:pPr>
        <w:pStyle w:val="ListParagraph"/>
        <w:numPr>
          <w:ilvl w:val="1"/>
          <w:numId w:val="185"/>
        </w:numPr>
        <w:tabs>
          <w:tab w:pos="1800" w:val="left" w:leader="none"/>
          <w:tab w:pos="1801" w:val="left" w:leader="none"/>
        </w:tabs>
        <w:spacing w:line="273" w:lineRule="auto" w:before="0" w:after="0"/>
        <w:ind w:left="1080" w:right="1482" w:firstLine="0"/>
        <w:jc w:val="left"/>
        <w:rPr>
          <w:sz w:val="18"/>
        </w:rPr>
      </w:pPr>
      <w:r>
        <w:rPr>
          <w:color w:val="231F20"/>
          <w:w w:val="110"/>
          <w:sz w:val="18"/>
        </w:rPr>
        <w:t>Any decision made by the Review Commission under Paragraph </w:t>
      </w:r>
      <w:r>
        <w:rPr>
          <w:color w:val="231F20"/>
          <w:spacing w:val="-4"/>
          <w:w w:val="110"/>
          <w:sz w:val="18"/>
        </w:rPr>
        <w:t>E.1, </w:t>
      </w:r>
      <w:r>
        <w:rPr>
          <w:color w:val="231F20"/>
          <w:w w:val="110"/>
          <w:sz w:val="18"/>
        </w:rPr>
        <w:t>E.2 or E.3 shall immediately be notified in writing by the </w:t>
      </w:r>
      <w:r>
        <w:rPr>
          <w:color w:val="231F20"/>
          <w:spacing w:val="3"/>
          <w:w w:val="110"/>
          <w:sz w:val="18"/>
        </w:rPr>
        <w:t>Secretary </w:t>
      </w:r>
      <w:r>
        <w:rPr>
          <w:color w:val="231F20"/>
          <w:w w:val="110"/>
          <w:sz w:val="18"/>
        </w:rPr>
        <w:t>of the Review Commission   to</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Minister,</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General</w:t>
      </w:r>
      <w:r>
        <w:rPr>
          <w:color w:val="231F20"/>
          <w:spacing w:val="10"/>
          <w:w w:val="110"/>
          <w:sz w:val="18"/>
        </w:rPr>
        <w:t> </w:t>
      </w:r>
      <w:r>
        <w:rPr>
          <w:color w:val="231F20"/>
          <w:w w:val="110"/>
          <w:sz w:val="18"/>
        </w:rPr>
        <w:t>Secretary,</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Synod</w:t>
      </w:r>
      <w:r>
        <w:rPr>
          <w:color w:val="231F20"/>
          <w:spacing w:val="10"/>
          <w:w w:val="110"/>
          <w:sz w:val="18"/>
        </w:rPr>
        <w:t> </w:t>
      </w:r>
      <w:r>
        <w:rPr>
          <w:color w:val="231F20"/>
          <w:w w:val="110"/>
          <w:sz w:val="18"/>
        </w:rPr>
        <w:t>Moderator</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the</w:t>
      </w:r>
      <w:r>
        <w:rPr>
          <w:color w:val="231F20"/>
          <w:spacing w:val="10"/>
          <w:w w:val="110"/>
          <w:sz w:val="18"/>
        </w:rPr>
        <w:t> </w:t>
      </w:r>
      <w:r>
        <w:rPr>
          <w:color w:val="231F20"/>
          <w:spacing w:val="3"/>
          <w:w w:val="110"/>
          <w:sz w:val="18"/>
        </w:rPr>
        <w:t>Secretary</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p>
    <w:p>
      <w:pPr>
        <w:pStyle w:val="BodyText"/>
        <w:spacing w:line="273" w:lineRule="auto" w:before="2"/>
        <w:ind w:left="1080" w:right="1205"/>
      </w:pPr>
      <w:r>
        <w:rPr>
          <w:color w:val="231F20"/>
          <w:w w:val="110"/>
        </w:rPr>
        <w:t>District Council (and the Deputy General Secretary if s/he issued the Commencement Notice under Paragraph B.3).</w:t>
      </w:r>
    </w:p>
    <w:p>
      <w:pPr>
        <w:pStyle w:val="BodyText"/>
        <w:spacing w:before="8"/>
        <w:rPr>
          <w:sz w:val="20"/>
        </w:rPr>
      </w:pPr>
    </w:p>
    <w:p>
      <w:pPr>
        <w:pStyle w:val="ListParagraph"/>
        <w:numPr>
          <w:ilvl w:val="1"/>
          <w:numId w:val="185"/>
        </w:numPr>
        <w:tabs>
          <w:tab w:pos="1800" w:val="left" w:leader="none"/>
          <w:tab w:pos="1801" w:val="left" w:leader="none"/>
        </w:tabs>
        <w:spacing w:line="273" w:lineRule="auto" w:before="0" w:after="0"/>
        <w:ind w:left="1080" w:right="1781" w:firstLine="0"/>
        <w:jc w:val="left"/>
        <w:rPr>
          <w:sz w:val="18"/>
        </w:rPr>
      </w:pPr>
      <w:r>
        <w:rPr>
          <w:color w:val="231F20"/>
          <w:w w:val="110"/>
          <w:sz w:val="18"/>
        </w:rPr>
        <w:t>An existing suspension continued under Paragraph </w:t>
      </w:r>
      <w:r>
        <w:rPr>
          <w:color w:val="231F20"/>
          <w:spacing w:val="-3"/>
          <w:w w:val="110"/>
          <w:sz w:val="18"/>
        </w:rPr>
        <w:t>E.1 </w:t>
      </w:r>
      <w:r>
        <w:rPr>
          <w:color w:val="231F20"/>
          <w:w w:val="110"/>
          <w:sz w:val="18"/>
        </w:rPr>
        <w:t>or a new suspension under Paragraph E.2 shall remain in </w:t>
      </w:r>
      <w:r>
        <w:rPr>
          <w:color w:val="231F20"/>
          <w:spacing w:val="2"/>
          <w:w w:val="110"/>
          <w:sz w:val="18"/>
        </w:rPr>
        <w:t>force </w:t>
      </w:r>
      <w:r>
        <w:rPr>
          <w:color w:val="231F20"/>
          <w:w w:val="110"/>
          <w:sz w:val="18"/>
        </w:rPr>
        <w:t>until</w:t>
      </w:r>
      <w:r>
        <w:rPr>
          <w:color w:val="231F20"/>
          <w:spacing w:val="13"/>
          <w:w w:val="110"/>
          <w:sz w:val="18"/>
        </w:rPr>
        <w:t> </w:t>
      </w:r>
      <w:r>
        <w:rPr>
          <w:color w:val="231F20"/>
          <w:w w:val="110"/>
          <w:sz w:val="18"/>
        </w:rPr>
        <w:t>either:–</w:t>
      </w:r>
    </w:p>
    <w:p>
      <w:pPr>
        <w:pStyle w:val="BodyText"/>
        <w:spacing w:before="8"/>
        <w:rPr>
          <w:sz w:val="20"/>
        </w:rPr>
      </w:pPr>
    </w:p>
    <w:p>
      <w:pPr>
        <w:pStyle w:val="ListParagraph"/>
        <w:numPr>
          <w:ilvl w:val="2"/>
          <w:numId w:val="185"/>
        </w:numPr>
        <w:tabs>
          <w:tab w:pos="1800" w:val="left" w:leader="none"/>
          <w:tab w:pos="1801" w:val="left" w:leader="none"/>
        </w:tabs>
        <w:spacing w:line="240" w:lineRule="auto" w:before="0" w:after="0"/>
        <w:ind w:left="1800" w:right="0" w:hanging="721"/>
        <w:jc w:val="left"/>
        <w:rPr>
          <w:sz w:val="18"/>
        </w:rPr>
      </w:pPr>
      <w:r>
        <w:rPr>
          <w:color w:val="231F20"/>
          <w:w w:val="110"/>
          <w:sz w:val="18"/>
        </w:rPr>
        <w:t>the</w:t>
      </w:r>
      <w:r>
        <w:rPr>
          <w:color w:val="231F20"/>
          <w:spacing w:val="-7"/>
          <w:w w:val="110"/>
          <w:sz w:val="18"/>
        </w:rPr>
        <w:t> </w:t>
      </w:r>
      <w:r>
        <w:rPr>
          <w:color w:val="231F20"/>
          <w:w w:val="110"/>
          <w:sz w:val="18"/>
        </w:rPr>
        <w:t>Review</w:t>
      </w:r>
      <w:r>
        <w:rPr>
          <w:color w:val="231F20"/>
          <w:spacing w:val="-6"/>
          <w:w w:val="110"/>
          <w:sz w:val="18"/>
        </w:rPr>
        <w:t> </w:t>
      </w:r>
      <w:r>
        <w:rPr>
          <w:color w:val="231F20"/>
          <w:w w:val="110"/>
          <w:sz w:val="18"/>
        </w:rPr>
        <w:t>Commission</w:t>
      </w:r>
      <w:r>
        <w:rPr>
          <w:color w:val="231F20"/>
          <w:spacing w:val="-6"/>
          <w:w w:val="110"/>
          <w:sz w:val="18"/>
        </w:rPr>
        <w:t> </w:t>
      </w:r>
      <w:r>
        <w:rPr>
          <w:color w:val="231F20"/>
          <w:w w:val="110"/>
          <w:sz w:val="18"/>
        </w:rPr>
        <w:t>makes</w:t>
      </w:r>
      <w:r>
        <w:rPr>
          <w:color w:val="231F20"/>
          <w:spacing w:val="-6"/>
          <w:w w:val="110"/>
          <w:sz w:val="18"/>
        </w:rPr>
        <w:t> </w:t>
      </w:r>
      <w:r>
        <w:rPr>
          <w:color w:val="231F20"/>
          <w:w w:val="110"/>
          <w:sz w:val="18"/>
        </w:rPr>
        <w:t>a</w:t>
      </w:r>
      <w:r>
        <w:rPr>
          <w:color w:val="231F20"/>
          <w:spacing w:val="-6"/>
          <w:w w:val="110"/>
          <w:sz w:val="18"/>
        </w:rPr>
        <w:t> </w:t>
      </w:r>
      <w:r>
        <w:rPr>
          <w:color w:val="231F20"/>
          <w:w w:val="110"/>
          <w:sz w:val="18"/>
        </w:rPr>
        <w:t>subsequent</w:t>
      </w:r>
      <w:r>
        <w:rPr>
          <w:color w:val="231F20"/>
          <w:spacing w:val="-6"/>
          <w:w w:val="110"/>
          <w:sz w:val="18"/>
        </w:rPr>
        <w:t> </w:t>
      </w:r>
      <w:r>
        <w:rPr>
          <w:color w:val="231F20"/>
          <w:w w:val="110"/>
          <w:sz w:val="18"/>
        </w:rPr>
        <w:t>decision</w:t>
      </w:r>
      <w:r>
        <w:rPr>
          <w:color w:val="231F20"/>
          <w:spacing w:val="-6"/>
          <w:w w:val="110"/>
          <w:sz w:val="18"/>
        </w:rPr>
        <w:t> </w:t>
      </w:r>
      <w:r>
        <w:rPr>
          <w:color w:val="231F20"/>
          <w:w w:val="110"/>
          <w:sz w:val="18"/>
        </w:rPr>
        <w:t>relative</w:t>
      </w:r>
      <w:r>
        <w:rPr>
          <w:color w:val="231F20"/>
          <w:spacing w:val="-7"/>
          <w:w w:val="110"/>
          <w:sz w:val="18"/>
        </w:rPr>
        <w:t> </w:t>
      </w:r>
      <w:r>
        <w:rPr>
          <w:color w:val="231F20"/>
          <w:w w:val="110"/>
          <w:sz w:val="18"/>
        </w:rPr>
        <w:t>to</w:t>
      </w:r>
      <w:r>
        <w:rPr>
          <w:color w:val="231F20"/>
          <w:spacing w:val="-6"/>
          <w:w w:val="110"/>
          <w:sz w:val="18"/>
        </w:rPr>
        <w:t> </w:t>
      </w:r>
      <w:r>
        <w:rPr>
          <w:color w:val="231F20"/>
          <w:w w:val="110"/>
          <w:sz w:val="18"/>
        </w:rPr>
        <w:t>that</w:t>
      </w:r>
      <w:r>
        <w:rPr>
          <w:color w:val="231F20"/>
          <w:spacing w:val="-6"/>
          <w:w w:val="110"/>
          <w:sz w:val="18"/>
        </w:rPr>
        <w:t> </w:t>
      </w:r>
      <w:r>
        <w:rPr>
          <w:color w:val="231F20"/>
          <w:w w:val="110"/>
          <w:sz w:val="18"/>
        </w:rPr>
        <w:t>suspension</w:t>
      </w:r>
      <w:r>
        <w:rPr>
          <w:color w:val="231F20"/>
          <w:spacing w:val="-6"/>
          <w:w w:val="110"/>
          <w:sz w:val="18"/>
        </w:rPr>
        <w:t> </w:t>
      </w:r>
      <w:r>
        <w:rPr>
          <w:color w:val="231F20"/>
          <w:w w:val="110"/>
          <w:sz w:val="18"/>
        </w:rPr>
        <w:t>or</w:t>
      </w:r>
    </w:p>
    <w:p>
      <w:pPr>
        <w:pStyle w:val="BodyText"/>
        <w:spacing w:before="1"/>
        <w:rPr>
          <w:sz w:val="23"/>
        </w:rPr>
      </w:pPr>
    </w:p>
    <w:p>
      <w:pPr>
        <w:pStyle w:val="ListParagraph"/>
        <w:numPr>
          <w:ilvl w:val="2"/>
          <w:numId w:val="185"/>
        </w:numPr>
        <w:tabs>
          <w:tab w:pos="1801" w:val="left" w:leader="none"/>
        </w:tabs>
        <w:spacing w:line="273" w:lineRule="auto" w:before="1" w:after="0"/>
        <w:ind w:left="1080" w:right="1254" w:firstLine="0"/>
        <w:jc w:val="left"/>
        <w:rPr>
          <w:sz w:val="18"/>
        </w:rPr>
      </w:pPr>
      <w:r>
        <w:rPr>
          <w:color w:val="231F20"/>
          <w:w w:val="110"/>
          <w:sz w:val="18"/>
        </w:rPr>
        <w:t>the Review Commission </w:t>
      </w:r>
      <w:r>
        <w:rPr>
          <w:color w:val="231F20"/>
          <w:spacing w:val="2"/>
          <w:w w:val="110"/>
          <w:sz w:val="18"/>
        </w:rPr>
        <w:t>reaches </w:t>
      </w:r>
      <w:r>
        <w:rPr>
          <w:color w:val="231F20"/>
          <w:w w:val="110"/>
          <w:sz w:val="18"/>
        </w:rPr>
        <w:t>a decision under Paragraph K.4.2 that the   name of the Minister be retained on the Roll of Ministers*, in which </w:t>
      </w:r>
      <w:r>
        <w:rPr>
          <w:color w:val="231F20"/>
          <w:spacing w:val="2"/>
          <w:w w:val="110"/>
          <w:sz w:val="18"/>
        </w:rPr>
        <w:t>case </w:t>
      </w:r>
      <w:r>
        <w:rPr>
          <w:color w:val="231F20"/>
          <w:w w:val="110"/>
          <w:sz w:val="18"/>
        </w:rPr>
        <w:t>the suspension automatically ceases on the date upon which that decision is formally notified to the Minister or</w:t>
      </w:r>
    </w:p>
    <w:p>
      <w:pPr>
        <w:pStyle w:val="BodyText"/>
        <w:spacing w:before="9"/>
        <w:rPr>
          <w:sz w:val="20"/>
        </w:rPr>
      </w:pPr>
    </w:p>
    <w:p>
      <w:pPr>
        <w:pStyle w:val="ListParagraph"/>
        <w:numPr>
          <w:ilvl w:val="2"/>
          <w:numId w:val="185"/>
        </w:numPr>
        <w:tabs>
          <w:tab w:pos="1801" w:val="left" w:leader="none"/>
        </w:tabs>
        <w:spacing w:line="273" w:lineRule="auto" w:before="0" w:after="0"/>
        <w:ind w:left="1080" w:right="1242" w:firstLine="0"/>
        <w:jc w:val="left"/>
        <w:rPr>
          <w:sz w:val="18"/>
        </w:rPr>
      </w:pPr>
      <w:r>
        <w:rPr>
          <w:color w:val="231F20"/>
          <w:w w:val="110"/>
          <w:sz w:val="18"/>
        </w:rPr>
        <w:t>the Review Commission </w:t>
      </w:r>
      <w:r>
        <w:rPr>
          <w:color w:val="231F20"/>
          <w:spacing w:val="2"/>
          <w:w w:val="110"/>
          <w:sz w:val="18"/>
        </w:rPr>
        <w:t>reaches </w:t>
      </w:r>
      <w:r>
        <w:rPr>
          <w:color w:val="231F20"/>
          <w:w w:val="110"/>
          <w:sz w:val="18"/>
        </w:rPr>
        <w:t>a decision under Paragraph K.4.3 that the name of the Minister be deleted </w:t>
      </w:r>
      <w:r>
        <w:rPr>
          <w:color w:val="231F20"/>
          <w:spacing w:val="2"/>
          <w:w w:val="110"/>
          <w:sz w:val="18"/>
        </w:rPr>
        <w:t>from </w:t>
      </w:r>
      <w:r>
        <w:rPr>
          <w:color w:val="231F20"/>
          <w:w w:val="110"/>
          <w:sz w:val="18"/>
        </w:rPr>
        <w:t>the Roll of Ministers, there being no appeal within the period allowed, in which </w:t>
      </w:r>
      <w:r>
        <w:rPr>
          <w:color w:val="231F20"/>
          <w:spacing w:val="2"/>
          <w:w w:val="110"/>
          <w:sz w:val="18"/>
        </w:rPr>
        <w:t>case </w:t>
      </w:r>
      <w:r>
        <w:rPr>
          <w:color w:val="231F20"/>
          <w:w w:val="110"/>
          <w:sz w:val="18"/>
        </w:rPr>
        <w:t>the suspension shall continue up to the date of deletion </w:t>
      </w:r>
      <w:r>
        <w:rPr>
          <w:color w:val="231F20"/>
          <w:spacing w:val="-3"/>
          <w:w w:val="110"/>
          <w:sz w:val="18"/>
        </w:rPr>
        <w:t>(i.e. </w:t>
      </w:r>
      <w:r>
        <w:rPr>
          <w:color w:val="231F20"/>
          <w:w w:val="110"/>
          <w:sz w:val="18"/>
        </w:rPr>
        <w:t>the date of </w:t>
      </w:r>
      <w:r>
        <w:rPr>
          <w:color w:val="231F20"/>
          <w:spacing w:val="2"/>
          <w:w w:val="110"/>
          <w:sz w:val="18"/>
        </w:rPr>
        <w:t>expiry </w:t>
      </w:r>
      <w:r>
        <w:rPr>
          <w:color w:val="231F20"/>
          <w:w w:val="110"/>
          <w:sz w:val="18"/>
        </w:rPr>
        <w:t>of such period under Paragraph </w:t>
      </w:r>
      <w:r>
        <w:rPr>
          <w:color w:val="231F20"/>
          <w:spacing w:val="-4"/>
          <w:w w:val="110"/>
          <w:sz w:val="18"/>
        </w:rPr>
        <w:t>K.4.3)</w:t>
      </w:r>
      <w:r>
        <w:rPr>
          <w:color w:val="231F20"/>
          <w:spacing w:val="32"/>
          <w:w w:val="110"/>
          <w:sz w:val="18"/>
        </w:rPr>
        <w:t> </w:t>
      </w:r>
      <w:r>
        <w:rPr>
          <w:color w:val="231F20"/>
          <w:w w:val="110"/>
          <w:sz w:val="18"/>
        </w:rPr>
        <w:t>or</w:t>
      </w:r>
    </w:p>
    <w:p>
      <w:pPr>
        <w:pStyle w:val="BodyText"/>
        <w:spacing w:before="9"/>
        <w:rPr>
          <w:sz w:val="20"/>
        </w:rPr>
      </w:pPr>
    </w:p>
    <w:p>
      <w:pPr>
        <w:pStyle w:val="ListParagraph"/>
        <w:numPr>
          <w:ilvl w:val="2"/>
          <w:numId w:val="185"/>
        </w:numPr>
        <w:tabs>
          <w:tab w:pos="1800" w:val="left" w:leader="none"/>
          <w:tab w:pos="1801" w:val="left" w:leader="none"/>
        </w:tabs>
        <w:spacing w:line="273" w:lineRule="auto" w:before="0" w:after="0"/>
        <w:ind w:left="1081" w:right="1190" w:hanging="1"/>
        <w:jc w:val="left"/>
        <w:rPr>
          <w:sz w:val="18"/>
        </w:rPr>
      </w:pPr>
      <w:r>
        <w:rPr>
          <w:color w:val="231F20"/>
          <w:w w:val="110"/>
          <w:sz w:val="18"/>
        </w:rPr>
        <w:t>there is an appeal against the decision of the Review Commission, in which case the suspension shall continue throughout the appeal proceedings and automatically cease on the date of the formal notification of the Appeals Review Commission’s decision to the Minister </w:t>
      </w:r>
      <w:r>
        <w:rPr>
          <w:color w:val="231F20"/>
          <w:spacing w:val="-3"/>
          <w:w w:val="110"/>
          <w:sz w:val="18"/>
        </w:rPr>
        <w:t>(whether </w:t>
      </w:r>
      <w:r>
        <w:rPr>
          <w:color w:val="231F20"/>
          <w:w w:val="110"/>
          <w:sz w:val="18"/>
        </w:rPr>
        <w:t>this be that his/her name be retained on or deleted from the Roll of Ministers,</w:t>
      </w:r>
      <w:r>
        <w:rPr>
          <w:color w:val="231F20"/>
          <w:spacing w:val="-8"/>
          <w:w w:val="110"/>
          <w:sz w:val="18"/>
        </w:rPr>
        <w:t> </w:t>
      </w:r>
      <w:r>
        <w:rPr>
          <w:color w:val="231F20"/>
          <w:w w:val="110"/>
          <w:sz w:val="18"/>
        </w:rPr>
        <w:t>in</w:t>
      </w:r>
      <w:r>
        <w:rPr>
          <w:color w:val="231F20"/>
          <w:spacing w:val="-7"/>
          <w:w w:val="110"/>
          <w:sz w:val="18"/>
        </w:rPr>
        <w:t> </w:t>
      </w:r>
      <w:r>
        <w:rPr>
          <w:color w:val="231F20"/>
          <w:w w:val="110"/>
          <w:sz w:val="18"/>
        </w:rPr>
        <w:t>the</w:t>
      </w:r>
      <w:r>
        <w:rPr>
          <w:color w:val="231F20"/>
          <w:spacing w:val="-7"/>
          <w:w w:val="110"/>
          <w:sz w:val="18"/>
        </w:rPr>
        <w:t> </w:t>
      </w:r>
      <w:r>
        <w:rPr>
          <w:color w:val="231F20"/>
          <w:w w:val="110"/>
          <w:sz w:val="18"/>
        </w:rPr>
        <w:t>latter</w:t>
      </w:r>
      <w:r>
        <w:rPr>
          <w:color w:val="231F20"/>
          <w:spacing w:val="-7"/>
          <w:w w:val="110"/>
          <w:sz w:val="18"/>
        </w:rPr>
        <w:t> </w:t>
      </w:r>
      <w:r>
        <w:rPr>
          <w:color w:val="231F20"/>
          <w:w w:val="110"/>
          <w:sz w:val="18"/>
        </w:rPr>
        <w:t>case</w:t>
      </w:r>
      <w:r>
        <w:rPr>
          <w:color w:val="231F20"/>
          <w:spacing w:val="-7"/>
          <w:w w:val="110"/>
          <w:sz w:val="18"/>
        </w:rPr>
        <w:t> </w:t>
      </w:r>
      <w:r>
        <w:rPr>
          <w:color w:val="231F20"/>
          <w:w w:val="110"/>
          <w:sz w:val="18"/>
        </w:rPr>
        <w:t>the</w:t>
      </w:r>
      <w:r>
        <w:rPr>
          <w:color w:val="231F20"/>
          <w:spacing w:val="-7"/>
          <w:w w:val="110"/>
          <w:sz w:val="18"/>
        </w:rPr>
        <w:t> </w:t>
      </w:r>
      <w:r>
        <w:rPr>
          <w:color w:val="231F20"/>
          <w:w w:val="110"/>
          <w:sz w:val="18"/>
        </w:rPr>
        <w:t>termination</w:t>
      </w:r>
      <w:r>
        <w:rPr>
          <w:color w:val="231F20"/>
          <w:spacing w:val="-7"/>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7"/>
          <w:w w:val="110"/>
          <w:sz w:val="18"/>
        </w:rPr>
        <w:t> </w:t>
      </w:r>
      <w:r>
        <w:rPr>
          <w:color w:val="231F20"/>
          <w:w w:val="110"/>
          <w:sz w:val="18"/>
        </w:rPr>
        <w:t>suspension</w:t>
      </w:r>
      <w:r>
        <w:rPr>
          <w:color w:val="231F20"/>
          <w:spacing w:val="-7"/>
          <w:w w:val="110"/>
          <w:sz w:val="18"/>
        </w:rPr>
        <w:t> </w:t>
      </w:r>
      <w:r>
        <w:rPr>
          <w:color w:val="231F20"/>
          <w:w w:val="110"/>
          <w:sz w:val="18"/>
        </w:rPr>
        <w:t>coinciding</w:t>
      </w:r>
      <w:r>
        <w:rPr>
          <w:color w:val="231F20"/>
          <w:spacing w:val="-7"/>
          <w:w w:val="110"/>
          <w:sz w:val="18"/>
        </w:rPr>
        <w:t> </w:t>
      </w:r>
      <w:r>
        <w:rPr>
          <w:color w:val="231F20"/>
          <w:w w:val="110"/>
          <w:sz w:val="18"/>
        </w:rPr>
        <w:t>with</w:t>
      </w:r>
      <w:r>
        <w:rPr>
          <w:color w:val="231F20"/>
          <w:spacing w:val="-7"/>
          <w:w w:val="110"/>
          <w:sz w:val="18"/>
        </w:rPr>
        <w:t> </w:t>
      </w:r>
      <w:r>
        <w:rPr>
          <w:color w:val="231F20"/>
          <w:w w:val="110"/>
          <w:sz w:val="18"/>
        </w:rPr>
        <w:t>the</w:t>
      </w:r>
      <w:r>
        <w:rPr>
          <w:color w:val="231F20"/>
          <w:spacing w:val="-7"/>
          <w:w w:val="110"/>
          <w:sz w:val="18"/>
        </w:rPr>
        <w:t> </w:t>
      </w:r>
      <w:r>
        <w:rPr>
          <w:color w:val="231F20"/>
          <w:spacing w:val="-3"/>
          <w:w w:val="110"/>
          <w:sz w:val="18"/>
        </w:rPr>
        <w:t>deletion).</w:t>
      </w:r>
    </w:p>
    <w:p>
      <w:pPr>
        <w:pStyle w:val="BodyText"/>
        <w:spacing w:before="10"/>
        <w:rPr>
          <w:sz w:val="20"/>
        </w:rPr>
      </w:pPr>
    </w:p>
    <w:p>
      <w:pPr>
        <w:pStyle w:val="ListParagraph"/>
        <w:numPr>
          <w:ilvl w:val="1"/>
          <w:numId w:val="185"/>
        </w:numPr>
        <w:tabs>
          <w:tab w:pos="1800" w:val="left" w:leader="none"/>
          <w:tab w:pos="1801" w:val="left" w:leader="none"/>
        </w:tabs>
        <w:spacing w:line="273" w:lineRule="auto" w:before="0" w:after="0"/>
        <w:ind w:left="1081" w:right="1178" w:hanging="1"/>
        <w:jc w:val="left"/>
        <w:rPr>
          <w:sz w:val="18"/>
        </w:rPr>
      </w:pPr>
      <w:r>
        <w:rPr>
          <w:color w:val="231F20"/>
          <w:w w:val="110"/>
          <w:sz w:val="18"/>
        </w:rPr>
        <w:t>For the avoidance of doubt, in the case of a suspension first imposed under the Disciplinary Process upon a Minister who then enters the Incapacity Procedure through the issue of a Commencement Notice, the provisions of the Incapacity Procedure, and not those of the Disciplinary Process, shall thereafter govern all aspects of that suspension. </w:t>
      </w:r>
      <w:r>
        <w:rPr>
          <w:color w:val="231F20"/>
          <w:spacing w:val="-3"/>
          <w:w w:val="110"/>
          <w:sz w:val="18"/>
        </w:rPr>
        <w:t>Conversely, </w:t>
      </w:r>
      <w:r>
        <w:rPr>
          <w:color w:val="231F20"/>
          <w:w w:val="110"/>
          <w:sz w:val="18"/>
        </w:rPr>
        <w:t>in the case of a suspension first imposed hereunder upon a Minister who then enters the Disciplinary Process as a result of the steps set out in Section </w:t>
      </w:r>
      <w:r>
        <w:rPr>
          <w:color w:val="231F20"/>
          <w:spacing w:val="-3"/>
          <w:w w:val="110"/>
          <w:sz w:val="18"/>
        </w:rPr>
        <w:t>H, </w:t>
      </w:r>
      <w:r>
        <w:rPr>
          <w:color w:val="231F20"/>
          <w:w w:val="110"/>
          <w:sz w:val="18"/>
        </w:rPr>
        <w:t>the provisions of that Process shall thereafter govern all aspects of that</w:t>
      </w:r>
      <w:r>
        <w:rPr>
          <w:color w:val="231F20"/>
          <w:spacing w:val="-24"/>
          <w:w w:val="110"/>
          <w:sz w:val="18"/>
        </w:rPr>
        <w:t> </w:t>
      </w:r>
      <w:r>
        <w:rPr>
          <w:color w:val="231F20"/>
          <w:w w:val="110"/>
          <w:sz w:val="18"/>
        </w:rPr>
        <w:t>suspension.</w:t>
      </w:r>
    </w:p>
    <w:p>
      <w:pPr>
        <w:spacing w:after="0" w:line="273" w:lineRule="auto"/>
        <w:jc w:val="left"/>
        <w:rPr>
          <w:sz w:val="18"/>
        </w:rPr>
        <w:sectPr>
          <w:pgSz w:w="11910" w:h="16840"/>
          <w:pgMar w:header="557" w:footer="564" w:top="820" w:bottom="760" w:left="620" w:right="0"/>
        </w:sectPr>
      </w:pPr>
    </w:p>
    <w:p>
      <w:pPr>
        <w:pStyle w:val="BodyText"/>
        <w:spacing w:before="7"/>
        <w:rPr>
          <w:sz w:val="13"/>
        </w:rPr>
      </w:pPr>
    </w:p>
    <w:p>
      <w:pPr>
        <w:numPr>
          <w:ilvl w:val="0"/>
          <w:numId w:val="177"/>
        </w:numPr>
        <w:tabs>
          <w:tab w:pos="1233" w:val="left" w:leader="none"/>
          <w:tab w:pos="1234" w:val="left" w:leader="none"/>
        </w:tabs>
        <w:spacing w:before="98"/>
        <w:ind w:left="1233" w:right="0" w:hanging="721"/>
        <w:jc w:val="left"/>
        <w:rPr>
          <w:b/>
          <w:sz w:val="20"/>
        </w:rPr>
      </w:pPr>
      <w:r>
        <w:rPr>
          <w:b/>
          <w:color w:val="231F20"/>
          <w:w w:val="110"/>
          <w:sz w:val="20"/>
        </w:rPr>
        <w:t>INITIAL</w:t>
      </w:r>
      <w:r>
        <w:rPr>
          <w:b/>
          <w:color w:val="231F20"/>
          <w:spacing w:val="-1"/>
          <w:w w:val="110"/>
          <w:sz w:val="20"/>
        </w:rPr>
        <w:t> </w:t>
      </w:r>
      <w:r>
        <w:rPr>
          <w:b/>
          <w:color w:val="231F20"/>
          <w:spacing w:val="2"/>
          <w:w w:val="110"/>
          <w:sz w:val="20"/>
        </w:rPr>
        <w:t>REVIEW</w:t>
      </w:r>
    </w:p>
    <w:p>
      <w:pPr>
        <w:pStyle w:val="BodyText"/>
        <w:spacing w:before="9"/>
        <w:rPr>
          <w:b/>
          <w:sz w:val="22"/>
        </w:rPr>
      </w:pPr>
    </w:p>
    <w:p>
      <w:pPr>
        <w:pStyle w:val="ListParagraph"/>
        <w:numPr>
          <w:ilvl w:val="1"/>
          <w:numId w:val="177"/>
        </w:numPr>
        <w:tabs>
          <w:tab w:pos="1233" w:val="left" w:leader="none"/>
          <w:tab w:pos="1234" w:val="left" w:leader="none"/>
        </w:tabs>
        <w:spacing w:line="273" w:lineRule="auto" w:before="0" w:after="0"/>
        <w:ind w:left="513" w:right="2285" w:firstLine="0"/>
        <w:jc w:val="left"/>
        <w:rPr>
          <w:sz w:val="18"/>
        </w:rPr>
      </w:pPr>
      <w:r>
        <w:rPr>
          <w:color w:val="231F20"/>
          <w:w w:val="110"/>
          <w:sz w:val="18"/>
        </w:rPr>
        <w:t>The </w:t>
      </w:r>
      <w:r>
        <w:rPr>
          <w:color w:val="231F20"/>
          <w:spacing w:val="2"/>
          <w:w w:val="110"/>
          <w:sz w:val="18"/>
        </w:rPr>
        <w:t>members </w:t>
      </w:r>
      <w:r>
        <w:rPr>
          <w:color w:val="231F20"/>
          <w:w w:val="110"/>
          <w:sz w:val="18"/>
        </w:rPr>
        <w:t>of the Review Commission shall consult together as soon as possible to consider the information laid </w:t>
      </w:r>
      <w:r>
        <w:rPr>
          <w:color w:val="231F20"/>
          <w:spacing w:val="2"/>
          <w:w w:val="110"/>
          <w:sz w:val="18"/>
        </w:rPr>
        <w:t>before </w:t>
      </w:r>
      <w:r>
        <w:rPr>
          <w:color w:val="231F20"/>
          <w:w w:val="110"/>
          <w:sz w:val="18"/>
        </w:rPr>
        <w:t>them and to agree upon the </w:t>
      </w:r>
      <w:r>
        <w:rPr>
          <w:color w:val="231F20"/>
          <w:spacing w:val="2"/>
          <w:w w:val="110"/>
          <w:sz w:val="18"/>
        </w:rPr>
        <w:t>course </w:t>
      </w:r>
      <w:r>
        <w:rPr>
          <w:color w:val="231F20"/>
          <w:w w:val="110"/>
          <w:sz w:val="18"/>
        </w:rPr>
        <w:t>which their enquiry* should take </w:t>
      </w:r>
      <w:r>
        <w:rPr>
          <w:color w:val="231F20"/>
          <w:spacing w:val="-5"/>
          <w:w w:val="110"/>
          <w:sz w:val="18"/>
        </w:rPr>
        <w:t>(as </w:t>
      </w:r>
      <w:r>
        <w:rPr>
          <w:color w:val="231F20"/>
          <w:w w:val="110"/>
          <w:sz w:val="18"/>
        </w:rPr>
        <w:t>to which, see </w:t>
      </w:r>
      <w:r>
        <w:rPr>
          <w:color w:val="231F20"/>
          <w:spacing w:val="2"/>
          <w:w w:val="110"/>
          <w:sz w:val="18"/>
        </w:rPr>
        <w:t>Section </w:t>
      </w:r>
      <w:r>
        <w:rPr>
          <w:color w:val="231F20"/>
          <w:w w:val="110"/>
          <w:sz w:val="18"/>
        </w:rPr>
        <w:t>G</w:t>
      </w:r>
      <w:r>
        <w:rPr>
          <w:color w:val="231F20"/>
          <w:spacing w:val="37"/>
          <w:w w:val="110"/>
          <w:sz w:val="18"/>
        </w:rPr>
        <w:t> </w:t>
      </w:r>
      <w:r>
        <w:rPr>
          <w:color w:val="231F20"/>
          <w:w w:val="110"/>
          <w:sz w:val="18"/>
        </w:rPr>
        <w:t>below).</w:t>
      </w:r>
    </w:p>
    <w:p>
      <w:pPr>
        <w:pStyle w:val="BodyText"/>
        <w:spacing w:before="9"/>
        <w:rPr>
          <w:sz w:val="20"/>
        </w:rPr>
      </w:pPr>
    </w:p>
    <w:p>
      <w:pPr>
        <w:pStyle w:val="ListParagraph"/>
        <w:numPr>
          <w:ilvl w:val="1"/>
          <w:numId w:val="177"/>
        </w:numPr>
        <w:tabs>
          <w:tab w:pos="1233" w:val="left" w:leader="none"/>
          <w:tab w:pos="1234" w:val="left" w:leader="none"/>
        </w:tabs>
        <w:spacing w:line="273" w:lineRule="auto" w:before="0" w:after="0"/>
        <w:ind w:left="513" w:right="2766" w:firstLine="0"/>
        <w:jc w:val="left"/>
        <w:rPr>
          <w:sz w:val="18"/>
        </w:rPr>
      </w:pPr>
      <w:r>
        <w:rPr>
          <w:color w:val="231F20"/>
          <w:w w:val="110"/>
          <w:sz w:val="18"/>
        </w:rPr>
        <w:t>At the outset the Review Commission will need to address the following questions:</w:t>
      </w:r>
    </w:p>
    <w:p>
      <w:pPr>
        <w:pStyle w:val="BodyText"/>
        <w:spacing w:before="8"/>
        <w:rPr>
          <w:sz w:val="20"/>
        </w:rPr>
      </w:pPr>
    </w:p>
    <w:p>
      <w:pPr>
        <w:pStyle w:val="ListParagraph"/>
        <w:numPr>
          <w:ilvl w:val="2"/>
          <w:numId w:val="186"/>
        </w:numPr>
        <w:tabs>
          <w:tab w:pos="1233" w:val="left" w:leader="none"/>
          <w:tab w:pos="1234" w:val="left" w:leader="none"/>
        </w:tabs>
        <w:spacing w:line="240" w:lineRule="auto" w:before="0" w:after="0"/>
        <w:ind w:left="1233" w:right="0" w:hanging="721"/>
        <w:jc w:val="left"/>
        <w:rPr>
          <w:sz w:val="18"/>
        </w:rPr>
      </w:pPr>
      <w:r>
        <w:rPr>
          <w:color w:val="231F20"/>
          <w:w w:val="110"/>
          <w:sz w:val="18"/>
        </w:rPr>
        <w:t>Have all the steps outlined at Paragraphs </w:t>
      </w:r>
      <w:r>
        <w:rPr>
          <w:color w:val="231F20"/>
          <w:spacing w:val="-3"/>
          <w:w w:val="110"/>
          <w:sz w:val="18"/>
        </w:rPr>
        <w:t>B.1 </w:t>
      </w:r>
      <w:r>
        <w:rPr>
          <w:color w:val="231F20"/>
          <w:w w:val="110"/>
          <w:sz w:val="18"/>
        </w:rPr>
        <w:t>and B.2 been</w:t>
      </w:r>
      <w:r>
        <w:rPr>
          <w:color w:val="231F20"/>
          <w:spacing w:val="24"/>
          <w:w w:val="110"/>
          <w:sz w:val="18"/>
        </w:rPr>
        <w:t> </w:t>
      </w:r>
      <w:r>
        <w:rPr>
          <w:color w:val="231F20"/>
          <w:w w:val="110"/>
          <w:sz w:val="18"/>
        </w:rPr>
        <w:t>taken?</w:t>
      </w:r>
    </w:p>
    <w:p>
      <w:pPr>
        <w:pStyle w:val="BodyText"/>
        <w:spacing w:before="2"/>
        <w:rPr>
          <w:sz w:val="23"/>
        </w:rPr>
      </w:pPr>
    </w:p>
    <w:p>
      <w:pPr>
        <w:pStyle w:val="ListParagraph"/>
        <w:numPr>
          <w:ilvl w:val="2"/>
          <w:numId w:val="186"/>
        </w:numPr>
        <w:tabs>
          <w:tab w:pos="1233" w:val="left" w:leader="none"/>
          <w:tab w:pos="1234" w:val="left" w:leader="none"/>
        </w:tabs>
        <w:spacing w:line="273" w:lineRule="auto" w:before="0" w:after="0"/>
        <w:ind w:left="513" w:right="1897" w:firstLine="0"/>
        <w:jc w:val="left"/>
        <w:rPr>
          <w:sz w:val="18"/>
        </w:rPr>
      </w:pPr>
      <w:r>
        <w:rPr>
          <w:color w:val="231F20"/>
          <w:w w:val="110"/>
          <w:sz w:val="18"/>
        </w:rPr>
        <w:t>How has the Minister responded, if at all, to the issues raised in the Commencement Notice, particularly those relating to his/her conduct and/or behaviour or</w:t>
      </w:r>
      <w:r>
        <w:rPr>
          <w:color w:val="231F20"/>
          <w:spacing w:val="8"/>
          <w:w w:val="110"/>
          <w:sz w:val="18"/>
        </w:rPr>
        <w:t> </w:t>
      </w:r>
      <w:r>
        <w:rPr>
          <w:color w:val="231F20"/>
          <w:w w:val="110"/>
          <w:sz w:val="18"/>
        </w:rPr>
        <w:t>to</w:t>
      </w:r>
      <w:r>
        <w:rPr>
          <w:color w:val="231F20"/>
          <w:spacing w:val="8"/>
          <w:w w:val="110"/>
          <w:sz w:val="18"/>
        </w:rPr>
        <w:t> </w:t>
      </w:r>
      <w:r>
        <w:rPr>
          <w:color w:val="231F20"/>
          <w:w w:val="110"/>
          <w:sz w:val="18"/>
        </w:rPr>
        <w:t>any</w:t>
      </w:r>
      <w:r>
        <w:rPr>
          <w:color w:val="231F20"/>
          <w:spacing w:val="8"/>
          <w:w w:val="110"/>
          <w:sz w:val="18"/>
        </w:rPr>
        <w:t> </w:t>
      </w:r>
      <w:r>
        <w:rPr>
          <w:color w:val="231F20"/>
          <w:w w:val="110"/>
          <w:sz w:val="18"/>
        </w:rPr>
        <w:t>other</w:t>
      </w:r>
      <w:r>
        <w:rPr>
          <w:color w:val="231F20"/>
          <w:spacing w:val="8"/>
          <w:w w:val="110"/>
          <w:sz w:val="18"/>
        </w:rPr>
        <w:t> </w:t>
      </w:r>
      <w:r>
        <w:rPr>
          <w:color w:val="231F20"/>
          <w:w w:val="110"/>
          <w:sz w:val="18"/>
        </w:rPr>
        <w:t>concerns</w:t>
      </w:r>
      <w:r>
        <w:rPr>
          <w:color w:val="231F20"/>
          <w:spacing w:val="8"/>
          <w:w w:val="110"/>
          <w:sz w:val="18"/>
        </w:rPr>
        <w:t> </w:t>
      </w:r>
      <w:r>
        <w:rPr>
          <w:color w:val="231F20"/>
          <w:w w:val="110"/>
          <w:sz w:val="18"/>
        </w:rPr>
        <w:t>and/or</w:t>
      </w:r>
      <w:r>
        <w:rPr>
          <w:color w:val="231F20"/>
          <w:spacing w:val="8"/>
          <w:w w:val="110"/>
          <w:sz w:val="18"/>
        </w:rPr>
        <w:t> </w:t>
      </w:r>
      <w:r>
        <w:rPr>
          <w:color w:val="231F20"/>
          <w:w w:val="110"/>
          <w:sz w:val="18"/>
        </w:rPr>
        <w:t>problems</w:t>
      </w:r>
      <w:r>
        <w:rPr>
          <w:color w:val="231F20"/>
          <w:spacing w:val="8"/>
          <w:w w:val="110"/>
          <w:sz w:val="18"/>
        </w:rPr>
        <w:t> </w:t>
      </w:r>
      <w:r>
        <w:rPr>
          <w:color w:val="231F20"/>
          <w:spacing w:val="2"/>
          <w:w w:val="110"/>
          <w:sz w:val="18"/>
        </w:rPr>
        <w:t>expressed</w:t>
      </w:r>
      <w:r>
        <w:rPr>
          <w:color w:val="231F20"/>
          <w:spacing w:val="8"/>
          <w:w w:val="110"/>
          <w:sz w:val="18"/>
        </w:rPr>
        <w:t> </w:t>
      </w:r>
      <w:r>
        <w:rPr>
          <w:color w:val="231F20"/>
          <w:w w:val="110"/>
          <w:sz w:val="18"/>
        </w:rPr>
        <w:t>about</w:t>
      </w:r>
      <w:r>
        <w:rPr>
          <w:color w:val="231F20"/>
          <w:spacing w:val="8"/>
          <w:w w:val="110"/>
          <w:sz w:val="18"/>
        </w:rPr>
        <w:t> </w:t>
      </w:r>
      <w:r>
        <w:rPr>
          <w:color w:val="231F20"/>
          <w:w w:val="110"/>
          <w:sz w:val="18"/>
        </w:rPr>
        <w:t>his/her</w:t>
      </w:r>
      <w:r>
        <w:rPr>
          <w:color w:val="231F20"/>
          <w:spacing w:val="8"/>
          <w:w w:val="110"/>
          <w:sz w:val="18"/>
        </w:rPr>
        <w:t> </w:t>
      </w:r>
      <w:r>
        <w:rPr>
          <w:color w:val="231F20"/>
          <w:w w:val="110"/>
          <w:sz w:val="18"/>
        </w:rPr>
        <w:t>ministry</w:t>
      </w:r>
      <w:r>
        <w:rPr>
          <w:color w:val="231F20"/>
          <w:spacing w:val="8"/>
          <w:w w:val="110"/>
          <w:sz w:val="18"/>
        </w:rPr>
        <w:t> </w:t>
      </w:r>
      <w:r>
        <w:rPr>
          <w:color w:val="231F20"/>
          <w:w w:val="110"/>
          <w:sz w:val="18"/>
        </w:rPr>
        <w:t>and</w:t>
      </w:r>
      <w:r>
        <w:rPr>
          <w:color w:val="231F20"/>
          <w:spacing w:val="8"/>
          <w:w w:val="110"/>
          <w:sz w:val="18"/>
        </w:rPr>
        <w:t> </w:t>
      </w:r>
      <w:r>
        <w:rPr>
          <w:color w:val="231F20"/>
          <w:w w:val="110"/>
          <w:sz w:val="18"/>
        </w:rPr>
        <w:t>will</w:t>
      </w:r>
    </w:p>
    <w:p>
      <w:pPr>
        <w:pStyle w:val="BodyText"/>
        <w:spacing w:line="273" w:lineRule="auto" w:before="2"/>
        <w:ind w:left="513" w:right="1844"/>
      </w:pPr>
      <w:r>
        <w:rPr>
          <w:color w:val="231F20"/>
          <w:w w:val="110"/>
        </w:rPr>
        <w:t>it be necessary to meet with other persons with knowledge of any relevant events or circumstances to test the accuracy and weight of these matters and their importance to the enquiry?</w:t>
      </w:r>
    </w:p>
    <w:p>
      <w:pPr>
        <w:pStyle w:val="BodyText"/>
        <w:spacing w:before="9"/>
        <w:rPr>
          <w:sz w:val="20"/>
        </w:rPr>
      </w:pPr>
    </w:p>
    <w:p>
      <w:pPr>
        <w:pStyle w:val="ListParagraph"/>
        <w:numPr>
          <w:ilvl w:val="2"/>
          <w:numId w:val="186"/>
        </w:numPr>
        <w:tabs>
          <w:tab w:pos="1233" w:val="left" w:leader="none"/>
          <w:tab w:pos="1234" w:val="left" w:leader="none"/>
        </w:tabs>
        <w:spacing w:line="273" w:lineRule="auto" w:before="0" w:after="0"/>
        <w:ind w:left="513" w:right="2013" w:firstLine="0"/>
        <w:jc w:val="left"/>
        <w:rPr>
          <w:sz w:val="18"/>
        </w:rPr>
      </w:pPr>
      <w:r>
        <w:rPr>
          <w:color w:val="231F20"/>
          <w:w w:val="110"/>
          <w:sz w:val="18"/>
        </w:rPr>
        <w:t>Should an early meeting with the Minister be sought or should this be </w:t>
      </w:r>
      <w:r>
        <w:rPr>
          <w:color w:val="231F20"/>
          <w:spacing w:val="2"/>
          <w:w w:val="110"/>
          <w:sz w:val="18"/>
        </w:rPr>
        <w:t>deferred </w:t>
      </w:r>
      <w:r>
        <w:rPr>
          <w:color w:val="231F20"/>
          <w:w w:val="110"/>
          <w:sz w:val="18"/>
        </w:rPr>
        <w:t>pending </w:t>
      </w:r>
      <w:r>
        <w:rPr>
          <w:color w:val="231F20"/>
          <w:spacing w:val="2"/>
          <w:w w:val="110"/>
          <w:sz w:val="18"/>
        </w:rPr>
        <w:t>further </w:t>
      </w:r>
      <w:r>
        <w:rPr>
          <w:color w:val="231F20"/>
          <w:w w:val="110"/>
          <w:sz w:val="18"/>
        </w:rPr>
        <w:t>enquiry?</w:t>
      </w:r>
    </w:p>
    <w:p>
      <w:pPr>
        <w:pStyle w:val="BodyText"/>
        <w:spacing w:before="8"/>
        <w:rPr>
          <w:sz w:val="20"/>
        </w:rPr>
      </w:pPr>
    </w:p>
    <w:p>
      <w:pPr>
        <w:pStyle w:val="ListParagraph"/>
        <w:numPr>
          <w:ilvl w:val="2"/>
          <w:numId w:val="186"/>
        </w:numPr>
        <w:tabs>
          <w:tab w:pos="1233" w:val="left" w:leader="none"/>
          <w:tab w:pos="1234" w:val="left" w:leader="none"/>
        </w:tabs>
        <w:spacing w:line="273" w:lineRule="auto" w:before="0" w:after="0"/>
        <w:ind w:left="513" w:right="2013" w:firstLine="0"/>
        <w:jc w:val="left"/>
        <w:rPr>
          <w:sz w:val="18"/>
        </w:rPr>
      </w:pPr>
      <w:r>
        <w:rPr>
          <w:color w:val="231F20"/>
          <w:w w:val="110"/>
          <w:sz w:val="18"/>
        </w:rPr>
        <w:t>Is specialist advice and guidance relevant as to the question of whether, based on the criteria set out in </w:t>
      </w:r>
      <w:r>
        <w:rPr>
          <w:color w:val="231F20"/>
          <w:spacing w:val="2"/>
          <w:w w:val="110"/>
          <w:sz w:val="18"/>
        </w:rPr>
        <w:t>Part </w:t>
      </w:r>
      <w:r>
        <w:rPr>
          <w:color w:val="231F20"/>
          <w:w w:val="110"/>
          <w:sz w:val="18"/>
        </w:rPr>
        <w:t>I, Paragraphs 1 and </w:t>
      </w:r>
      <w:r>
        <w:rPr>
          <w:color w:val="231F20"/>
          <w:spacing w:val="-3"/>
          <w:w w:val="110"/>
          <w:sz w:val="18"/>
        </w:rPr>
        <w:t>5, </w:t>
      </w:r>
      <w:r>
        <w:rPr>
          <w:color w:val="231F20"/>
          <w:w w:val="110"/>
          <w:sz w:val="18"/>
        </w:rPr>
        <w:t>the Minister is or is not capable   of exercising, or of continuing to exercise, ministry? If so, what steps should</w:t>
      </w:r>
      <w:r>
        <w:rPr>
          <w:color w:val="231F20"/>
          <w:spacing w:val="10"/>
          <w:w w:val="110"/>
          <w:sz w:val="18"/>
        </w:rPr>
        <w:t> </w:t>
      </w:r>
      <w:r>
        <w:rPr>
          <w:color w:val="231F20"/>
          <w:w w:val="110"/>
          <w:sz w:val="18"/>
        </w:rPr>
        <w:t>be</w:t>
      </w:r>
    </w:p>
    <w:p>
      <w:pPr>
        <w:pStyle w:val="BodyText"/>
        <w:spacing w:line="273" w:lineRule="auto" w:before="2"/>
        <w:ind w:left="513" w:right="1844"/>
      </w:pPr>
      <w:r>
        <w:rPr>
          <w:color w:val="231F20"/>
          <w:w w:val="110"/>
        </w:rPr>
        <w:t>taken to ensure that such advice and guidance are available for consideration by the Review Commission?</w:t>
      </w:r>
    </w:p>
    <w:p>
      <w:pPr>
        <w:pStyle w:val="BodyText"/>
        <w:spacing w:before="8"/>
        <w:rPr>
          <w:sz w:val="20"/>
        </w:rPr>
      </w:pPr>
    </w:p>
    <w:p>
      <w:pPr>
        <w:pStyle w:val="ListParagraph"/>
        <w:numPr>
          <w:ilvl w:val="2"/>
          <w:numId w:val="186"/>
        </w:numPr>
        <w:tabs>
          <w:tab w:pos="1234" w:val="left" w:leader="none"/>
        </w:tabs>
        <w:spacing w:line="273" w:lineRule="auto" w:before="0" w:after="0"/>
        <w:ind w:left="513" w:right="2052" w:firstLine="0"/>
        <w:jc w:val="both"/>
        <w:rPr>
          <w:sz w:val="18"/>
        </w:rPr>
      </w:pPr>
      <w:r>
        <w:rPr>
          <w:color w:val="231F20"/>
          <w:spacing w:val="2"/>
          <w:w w:val="110"/>
          <w:sz w:val="18"/>
        </w:rPr>
        <w:t>Are </w:t>
      </w:r>
      <w:r>
        <w:rPr>
          <w:color w:val="231F20"/>
          <w:w w:val="110"/>
          <w:sz w:val="18"/>
        </w:rPr>
        <w:t>there any special </w:t>
      </w:r>
      <w:r>
        <w:rPr>
          <w:color w:val="231F20"/>
          <w:spacing w:val="2"/>
          <w:w w:val="110"/>
          <w:sz w:val="18"/>
        </w:rPr>
        <w:t>factors </w:t>
      </w:r>
      <w:r>
        <w:rPr>
          <w:color w:val="231F20"/>
          <w:w w:val="110"/>
          <w:sz w:val="18"/>
        </w:rPr>
        <w:t>in the particular </w:t>
      </w:r>
      <w:r>
        <w:rPr>
          <w:color w:val="231F20"/>
          <w:spacing w:val="2"/>
          <w:w w:val="110"/>
          <w:sz w:val="18"/>
        </w:rPr>
        <w:t>case </w:t>
      </w:r>
      <w:r>
        <w:rPr>
          <w:color w:val="231F20"/>
          <w:w w:val="110"/>
          <w:sz w:val="18"/>
        </w:rPr>
        <w:t>which should be taken into account at this stage? This is particularly relevant in </w:t>
      </w:r>
      <w:r>
        <w:rPr>
          <w:color w:val="231F20"/>
          <w:spacing w:val="2"/>
          <w:w w:val="110"/>
          <w:sz w:val="18"/>
        </w:rPr>
        <w:t>cases </w:t>
      </w:r>
      <w:r>
        <w:rPr>
          <w:color w:val="231F20"/>
          <w:w w:val="110"/>
          <w:sz w:val="18"/>
        </w:rPr>
        <w:t>coming into the Procedure following a recommendation </w:t>
      </w:r>
      <w:r>
        <w:rPr>
          <w:color w:val="231F20"/>
          <w:spacing w:val="2"/>
          <w:w w:val="110"/>
          <w:sz w:val="18"/>
        </w:rPr>
        <w:t>from </w:t>
      </w:r>
      <w:r>
        <w:rPr>
          <w:color w:val="231F20"/>
          <w:w w:val="110"/>
          <w:sz w:val="18"/>
        </w:rPr>
        <w:t>the Ministerial Disciplinary</w:t>
      </w:r>
      <w:r>
        <w:rPr>
          <w:color w:val="231F20"/>
          <w:spacing w:val="30"/>
          <w:w w:val="110"/>
          <w:sz w:val="18"/>
        </w:rPr>
        <w:t> </w:t>
      </w:r>
      <w:r>
        <w:rPr>
          <w:color w:val="231F20"/>
          <w:spacing w:val="2"/>
          <w:w w:val="110"/>
          <w:sz w:val="18"/>
        </w:rPr>
        <w:t>Process.</w:t>
      </w:r>
    </w:p>
    <w:p>
      <w:pPr>
        <w:pStyle w:val="BodyText"/>
        <w:spacing w:before="8"/>
        <w:rPr>
          <w:sz w:val="20"/>
        </w:rPr>
      </w:pPr>
    </w:p>
    <w:p>
      <w:pPr>
        <w:pStyle w:val="ListParagraph"/>
        <w:numPr>
          <w:ilvl w:val="1"/>
          <w:numId w:val="177"/>
        </w:numPr>
        <w:tabs>
          <w:tab w:pos="1233" w:val="left" w:leader="none"/>
          <w:tab w:pos="1234" w:val="left" w:leader="none"/>
        </w:tabs>
        <w:spacing w:line="273" w:lineRule="auto" w:before="1" w:after="0"/>
        <w:ind w:left="513" w:right="2476" w:hanging="1"/>
        <w:jc w:val="left"/>
        <w:rPr>
          <w:sz w:val="18"/>
        </w:rPr>
      </w:pPr>
      <w:r>
        <w:rPr>
          <w:color w:val="231F20"/>
          <w:w w:val="110"/>
          <w:sz w:val="18"/>
        </w:rPr>
        <w:t>Having </w:t>
      </w:r>
      <w:r>
        <w:rPr>
          <w:color w:val="231F20"/>
          <w:spacing w:val="2"/>
          <w:w w:val="110"/>
          <w:sz w:val="18"/>
        </w:rPr>
        <w:t>carried </w:t>
      </w:r>
      <w:r>
        <w:rPr>
          <w:color w:val="231F20"/>
          <w:w w:val="110"/>
          <w:sz w:val="18"/>
        </w:rPr>
        <w:t>out its initial review and agreed on its modus operandi, the Review Commission will move into the enquiry stage of its</w:t>
      </w:r>
      <w:r>
        <w:rPr>
          <w:color w:val="231F20"/>
          <w:spacing w:val="57"/>
          <w:w w:val="110"/>
          <w:sz w:val="18"/>
        </w:rPr>
        <w:t> </w:t>
      </w:r>
      <w:r>
        <w:rPr>
          <w:color w:val="231F20"/>
          <w:w w:val="110"/>
          <w:sz w:val="18"/>
        </w:rPr>
        <w:t>proceedings.</w:t>
      </w:r>
    </w:p>
    <w:p>
      <w:pPr>
        <w:pStyle w:val="BodyText"/>
        <w:rPr>
          <w:sz w:val="19"/>
        </w:rPr>
      </w:pPr>
    </w:p>
    <w:p>
      <w:pPr>
        <w:numPr>
          <w:ilvl w:val="0"/>
          <w:numId w:val="177"/>
        </w:numPr>
        <w:tabs>
          <w:tab w:pos="1234" w:val="left" w:leader="none"/>
        </w:tabs>
        <w:spacing w:before="0"/>
        <w:ind w:left="1233" w:right="0" w:hanging="721"/>
        <w:jc w:val="both"/>
        <w:rPr>
          <w:b/>
          <w:sz w:val="20"/>
        </w:rPr>
      </w:pPr>
      <w:r>
        <w:rPr>
          <w:b/>
          <w:color w:val="231F20"/>
          <w:w w:val="110"/>
          <w:sz w:val="20"/>
        </w:rPr>
        <w:t>CONDUCT OF</w:t>
      </w:r>
      <w:r>
        <w:rPr>
          <w:b/>
          <w:color w:val="231F20"/>
          <w:spacing w:val="-2"/>
          <w:w w:val="110"/>
          <w:sz w:val="20"/>
        </w:rPr>
        <w:t> </w:t>
      </w:r>
      <w:r>
        <w:rPr>
          <w:b/>
          <w:color w:val="231F20"/>
          <w:w w:val="110"/>
          <w:sz w:val="20"/>
        </w:rPr>
        <w:t>ENQUIRY</w:t>
      </w:r>
    </w:p>
    <w:p>
      <w:pPr>
        <w:pStyle w:val="BodyText"/>
        <w:spacing w:before="9"/>
        <w:rPr>
          <w:b/>
          <w:sz w:val="22"/>
        </w:rPr>
      </w:pPr>
    </w:p>
    <w:p>
      <w:pPr>
        <w:pStyle w:val="ListParagraph"/>
        <w:numPr>
          <w:ilvl w:val="1"/>
          <w:numId w:val="177"/>
        </w:numPr>
        <w:tabs>
          <w:tab w:pos="1233" w:val="left" w:leader="none"/>
          <w:tab w:pos="1234" w:val="left" w:leader="none"/>
        </w:tabs>
        <w:spacing w:line="273" w:lineRule="auto" w:before="1" w:after="0"/>
        <w:ind w:left="513" w:right="2091" w:firstLine="0"/>
        <w:jc w:val="left"/>
        <w:rPr>
          <w:sz w:val="18"/>
        </w:rPr>
      </w:pPr>
      <w:r>
        <w:rPr>
          <w:color w:val="231F20"/>
          <w:w w:val="110"/>
          <w:sz w:val="18"/>
        </w:rPr>
        <w:t>The Review Commission shall have control of all procedural matters, including the gathering of information and any issues relating to the Minister’s suspension.    The Review Commission shall also have discretion as regards the extent to which </w:t>
      </w:r>
      <w:r>
        <w:rPr>
          <w:color w:val="231F20"/>
          <w:spacing w:val="2"/>
          <w:w w:val="110"/>
          <w:sz w:val="18"/>
        </w:rPr>
        <w:t>written </w:t>
      </w:r>
      <w:r>
        <w:rPr>
          <w:color w:val="231F20"/>
          <w:w w:val="110"/>
          <w:sz w:val="18"/>
        </w:rPr>
        <w:t>statements, </w:t>
      </w:r>
      <w:r>
        <w:rPr>
          <w:color w:val="231F20"/>
          <w:spacing w:val="2"/>
          <w:w w:val="110"/>
          <w:sz w:val="18"/>
        </w:rPr>
        <w:t>reports, </w:t>
      </w:r>
      <w:r>
        <w:rPr>
          <w:color w:val="231F20"/>
          <w:w w:val="110"/>
          <w:sz w:val="18"/>
        </w:rPr>
        <w:t>videos, </w:t>
      </w:r>
      <w:r>
        <w:rPr>
          <w:color w:val="231F20"/>
          <w:spacing w:val="2"/>
          <w:w w:val="110"/>
          <w:sz w:val="18"/>
        </w:rPr>
        <w:t>recorded </w:t>
      </w:r>
      <w:r>
        <w:rPr>
          <w:color w:val="231F20"/>
          <w:w w:val="110"/>
          <w:sz w:val="18"/>
        </w:rPr>
        <w:t>interviews and other recordings and </w:t>
      </w:r>
      <w:r>
        <w:rPr>
          <w:color w:val="231F20"/>
          <w:spacing w:val="2"/>
          <w:w w:val="110"/>
          <w:sz w:val="18"/>
        </w:rPr>
        <w:t>transcripts </w:t>
      </w:r>
      <w:r>
        <w:rPr>
          <w:color w:val="231F20"/>
          <w:w w:val="110"/>
          <w:sz w:val="18"/>
        </w:rPr>
        <w:t>may be taken into</w:t>
      </w:r>
      <w:r>
        <w:rPr>
          <w:color w:val="231F20"/>
          <w:spacing w:val="4"/>
          <w:w w:val="110"/>
          <w:sz w:val="18"/>
        </w:rPr>
        <w:t> </w:t>
      </w:r>
      <w:r>
        <w:rPr>
          <w:color w:val="231F20"/>
          <w:w w:val="110"/>
          <w:sz w:val="18"/>
        </w:rPr>
        <w:t>account.</w:t>
      </w:r>
    </w:p>
    <w:p>
      <w:pPr>
        <w:pStyle w:val="BodyText"/>
        <w:spacing w:before="9"/>
        <w:rPr>
          <w:sz w:val="20"/>
        </w:rPr>
      </w:pPr>
    </w:p>
    <w:p>
      <w:pPr>
        <w:pStyle w:val="ListParagraph"/>
        <w:numPr>
          <w:ilvl w:val="1"/>
          <w:numId w:val="177"/>
        </w:numPr>
        <w:tabs>
          <w:tab w:pos="1234" w:val="left" w:leader="none"/>
        </w:tabs>
        <w:spacing w:line="240" w:lineRule="auto" w:before="1" w:after="0"/>
        <w:ind w:left="1233" w:right="0" w:hanging="721"/>
        <w:jc w:val="both"/>
        <w:rPr>
          <w:sz w:val="18"/>
        </w:rPr>
      </w:pPr>
      <w:r>
        <w:rPr>
          <w:color w:val="231F20"/>
          <w:w w:val="110"/>
          <w:sz w:val="18"/>
        </w:rPr>
        <w:t>The </w:t>
      </w:r>
      <w:r>
        <w:rPr>
          <w:color w:val="231F20"/>
          <w:spacing w:val="2"/>
          <w:w w:val="110"/>
          <w:sz w:val="18"/>
        </w:rPr>
        <w:t>members </w:t>
      </w:r>
      <w:r>
        <w:rPr>
          <w:color w:val="231F20"/>
          <w:w w:val="110"/>
          <w:sz w:val="18"/>
        </w:rPr>
        <w:t>of the Review Commission will need to pay constant</w:t>
      </w:r>
      <w:r>
        <w:rPr>
          <w:color w:val="231F20"/>
          <w:spacing w:val="35"/>
          <w:w w:val="110"/>
          <w:sz w:val="18"/>
        </w:rPr>
        <w:t> </w:t>
      </w:r>
      <w:r>
        <w:rPr>
          <w:color w:val="231F20"/>
          <w:w w:val="110"/>
          <w:sz w:val="18"/>
        </w:rPr>
        <w:t>attention</w:t>
      </w:r>
    </w:p>
    <w:p>
      <w:pPr>
        <w:pStyle w:val="BodyText"/>
        <w:spacing w:line="273" w:lineRule="auto" w:before="31"/>
        <w:ind w:left="513" w:right="2040"/>
      </w:pPr>
      <w:r>
        <w:rPr>
          <w:color w:val="231F20"/>
          <w:w w:val="110"/>
        </w:rPr>
        <w:t>to all the issues referred to in Paragraph F.2 and any other factors present throughout the whole progress of the case.</w:t>
      </w:r>
    </w:p>
    <w:p>
      <w:pPr>
        <w:pStyle w:val="BodyText"/>
        <w:spacing w:before="8"/>
        <w:rPr>
          <w:sz w:val="20"/>
        </w:rPr>
      </w:pPr>
    </w:p>
    <w:p>
      <w:pPr>
        <w:pStyle w:val="ListParagraph"/>
        <w:numPr>
          <w:ilvl w:val="1"/>
          <w:numId w:val="177"/>
        </w:numPr>
        <w:tabs>
          <w:tab w:pos="1233" w:val="left" w:leader="none"/>
          <w:tab w:pos="1234" w:val="left" w:leader="none"/>
        </w:tabs>
        <w:spacing w:line="273" w:lineRule="auto" w:before="0" w:after="0"/>
        <w:ind w:left="513" w:right="1734" w:firstLine="0"/>
        <w:jc w:val="left"/>
        <w:rPr>
          <w:sz w:val="18"/>
        </w:rPr>
      </w:pPr>
      <w:r>
        <w:rPr>
          <w:color w:val="231F20"/>
          <w:w w:val="110"/>
          <w:sz w:val="18"/>
        </w:rPr>
        <w:t>Where </w:t>
      </w:r>
      <w:r>
        <w:rPr>
          <w:color w:val="231F20"/>
          <w:spacing w:val="2"/>
          <w:w w:val="110"/>
          <w:sz w:val="18"/>
        </w:rPr>
        <w:t>cases </w:t>
      </w:r>
      <w:r>
        <w:rPr>
          <w:color w:val="231F20"/>
          <w:w w:val="110"/>
          <w:sz w:val="18"/>
        </w:rPr>
        <w:t>come into the Procedure following a recommendation </w:t>
      </w:r>
      <w:r>
        <w:rPr>
          <w:color w:val="231F20"/>
          <w:spacing w:val="2"/>
          <w:w w:val="110"/>
          <w:sz w:val="18"/>
        </w:rPr>
        <w:t>from </w:t>
      </w:r>
      <w:r>
        <w:rPr>
          <w:color w:val="231F20"/>
          <w:w w:val="110"/>
          <w:sz w:val="18"/>
        </w:rPr>
        <w:t>the Disciplinary Process, information may already have been considered within that </w:t>
      </w:r>
      <w:r>
        <w:rPr>
          <w:color w:val="231F20"/>
          <w:spacing w:val="2"/>
          <w:w w:val="110"/>
          <w:sz w:val="18"/>
        </w:rPr>
        <w:t>Process.</w:t>
      </w:r>
      <w:r>
        <w:rPr>
          <w:color w:val="231F20"/>
          <w:spacing w:val="73"/>
          <w:w w:val="110"/>
          <w:sz w:val="18"/>
        </w:rPr>
        <w:t> </w:t>
      </w:r>
      <w:r>
        <w:rPr>
          <w:color w:val="231F20"/>
          <w:spacing w:val="-3"/>
          <w:w w:val="110"/>
          <w:sz w:val="18"/>
        </w:rPr>
        <w:t>However,  </w:t>
      </w:r>
      <w:r>
        <w:rPr>
          <w:color w:val="231F20"/>
          <w:w w:val="110"/>
          <w:sz w:val="18"/>
        </w:rPr>
        <w:t>the Review Commission must always </w:t>
      </w:r>
      <w:r>
        <w:rPr>
          <w:color w:val="231F20"/>
          <w:spacing w:val="3"/>
          <w:w w:val="110"/>
          <w:sz w:val="18"/>
        </w:rPr>
        <w:t>carry </w:t>
      </w:r>
      <w:r>
        <w:rPr>
          <w:color w:val="231F20"/>
          <w:w w:val="110"/>
          <w:sz w:val="18"/>
        </w:rPr>
        <w:t>out its own enquiry and cannot   rely upon such information simply </w:t>
      </w:r>
      <w:r>
        <w:rPr>
          <w:color w:val="231F20"/>
          <w:spacing w:val="2"/>
          <w:w w:val="110"/>
          <w:sz w:val="18"/>
        </w:rPr>
        <w:t>because </w:t>
      </w:r>
      <w:r>
        <w:rPr>
          <w:color w:val="231F20"/>
          <w:w w:val="110"/>
          <w:sz w:val="18"/>
        </w:rPr>
        <w:t>it was presented and considered within the Disciplinary</w:t>
      </w:r>
      <w:r>
        <w:rPr>
          <w:color w:val="231F20"/>
          <w:spacing w:val="1"/>
          <w:w w:val="110"/>
          <w:sz w:val="18"/>
        </w:rPr>
        <w:t> </w:t>
      </w:r>
      <w:r>
        <w:rPr>
          <w:color w:val="231F20"/>
          <w:spacing w:val="2"/>
          <w:w w:val="110"/>
          <w:sz w:val="18"/>
        </w:rPr>
        <w:t>Process.</w:t>
      </w:r>
    </w:p>
    <w:p>
      <w:pPr>
        <w:pStyle w:val="BodyText"/>
        <w:spacing w:before="10"/>
        <w:rPr>
          <w:sz w:val="20"/>
        </w:rPr>
      </w:pPr>
    </w:p>
    <w:p>
      <w:pPr>
        <w:pStyle w:val="ListParagraph"/>
        <w:numPr>
          <w:ilvl w:val="1"/>
          <w:numId w:val="177"/>
        </w:numPr>
        <w:tabs>
          <w:tab w:pos="1233" w:val="left" w:leader="none"/>
          <w:tab w:pos="1234" w:val="left" w:leader="none"/>
        </w:tabs>
        <w:spacing w:line="273" w:lineRule="auto" w:before="0" w:after="0"/>
        <w:ind w:left="514" w:right="1741" w:hanging="1"/>
        <w:jc w:val="left"/>
        <w:rPr>
          <w:sz w:val="18"/>
        </w:rPr>
      </w:pPr>
      <w:r>
        <w:rPr>
          <w:color w:val="231F20"/>
          <w:w w:val="110"/>
          <w:sz w:val="18"/>
        </w:rPr>
        <w:t>In the light of Paragraph 1 of Part I the Review Commission should, as early as possible in its investigation and wherever possible or practicable, take the following</w:t>
      </w:r>
      <w:r>
        <w:rPr>
          <w:color w:val="231F20"/>
          <w:spacing w:val="-25"/>
          <w:w w:val="110"/>
          <w:sz w:val="18"/>
        </w:rPr>
        <w:t> </w:t>
      </w:r>
      <w:r>
        <w:rPr>
          <w:color w:val="231F20"/>
          <w:w w:val="110"/>
          <w:sz w:val="18"/>
        </w:rPr>
        <w:t>steps:</w:t>
      </w:r>
    </w:p>
    <w:p>
      <w:pPr>
        <w:pStyle w:val="BodyText"/>
        <w:spacing w:before="8"/>
        <w:rPr>
          <w:sz w:val="20"/>
        </w:rPr>
      </w:pPr>
    </w:p>
    <w:p>
      <w:pPr>
        <w:pStyle w:val="ListParagraph"/>
        <w:numPr>
          <w:ilvl w:val="2"/>
          <w:numId w:val="187"/>
        </w:numPr>
        <w:tabs>
          <w:tab w:pos="1236" w:val="left" w:leader="none"/>
        </w:tabs>
        <w:spacing w:line="273" w:lineRule="auto" w:before="0" w:after="0"/>
        <w:ind w:left="515" w:right="2067" w:firstLine="0"/>
        <w:jc w:val="left"/>
        <w:rPr>
          <w:sz w:val="18"/>
        </w:rPr>
      </w:pPr>
      <w:r>
        <w:rPr>
          <w:color w:val="231F20"/>
          <w:w w:val="110"/>
          <w:sz w:val="18"/>
        </w:rPr>
        <w:t>meet with the Minister </w:t>
      </w:r>
      <w:r>
        <w:rPr>
          <w:color w:val="231F20"/>
          <w:spacing w:val="-6"/>
          <w:w w:val="110"/>
          <w:sz w:val="18"/>
        </w:rPr>
        <w:t>or, </w:t>
      </w:r>
      <w:r>
        <w:rPr>
          <w:color w:val="231F20"/>
          <w:w w:val="110"/>
          <w:sz w:val="18"/>
        </w:rPr>
        <w:t>if </w:t>
      </w:r>
      <w:r>
        <w:rPr>
          <w:color w:val="231F20"/>
          <w:spacing w:val="2"/>
          <w:w w:val="110"/>
          <w:sz w:val="18"/>
        </w:rPr>
        <w:t>circumstances </w:t>
      </w:r>
      <w:r>
        <w:rPr>
          <w:color w:val="231F20"/>
          <w:w w:val="110"/>
          <w:sz w:val="18"/>
        </w:rPr>
        <w:t>render this impossible or impracticable, with the Minister’s representative, either or whom </w:t>
      </w:r>
      <w:r>
        <w:rPr>
          <w:color w:val="231F20"/>
          <w:spacing w:val="-5"/>
          <w:w w:val="110"/>
          <w:sz w:val="18"/>
        </w:rPr>
        <w:t>may, </w:t>
      </w:r>
      <w:r>
        <w:rPr>
          <w:color w:val="231F20"/>
          <w:w w:val="110"/>
          <w:sz w:val="18"/>
        </w:rPr>
        <w:t>if s/he wishes, have a friend present with him/her</w:t>
      </w:r>
      <w:r>
        <w:rPr>
          <w:color w:val="231F20"/>
          <w:spacing w:val="9"/>
          <w:w w:val="110"/>
          <w:sz w:val="18"/>
        </w:rPr>
        <w:t> </w:t>
      </w:r>
      <w:r>
        <w:rPr>
          <w:color w:val="231F20"/>
          <w:w w:val="110"/>
          <w:sz w:val="18"/>
        </w:rPr>
        <w:t>and</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187"/>
        </w:numPr>
        <w:tabs>
          <w:tab w:pos="1801" w:val="left" w:leader="none"/>
        </w:tabs>
        <w:spacing w:line="273" w:lineRule="auto" w:before="101" w:after="0"/>
        <w:ind w:left="1080" w:right="1505" w:firstLine="0"/>
        <w:jc w:val="both"/>
        <w:rPr>
          <w:sz w:val="18"/>
        </w:rPr>
      </w:pPr>
      <w:r>
        <w:rPr>
          <w:color w:val="231F20"/>
          <w:w w:val="110"/>
          <w:sz w:val="18"/>
        </w:rPr>
        <w:t>seek the </w:t>
      </w:r>
      <w:r>
        <w:rPr>
          <w:color w:val="231F20"/>
          <w:spacing w:val="2"/>
          <w:w w:val="110"/>
          <w:sz w:val="18"/>
        </w:rPr>
        <w:t>written </w:t>
      </w:r>
      <w:r>
        <w:rPr>
          <w:color w:val="231F20"/>
          <w:w w:val="110"/>
          <w:sz w:val="18"/>
        </w:rPr>
        <w:t>permission of the Minister or his/her representative (but only so</w:t>
      </w:r>
      <w:r>
        <w:rPr>
          <w:color w:val="231F20"/>
          <w:spacing w:val="8"/>
          <w:w w:val="110"/>
          <w:sz w:val="18"/>
        </w:rPr>
        <w:t> </w:t>
      </w:r>
      <w:r>
        <w:rPr>
          <w:color w:val="231F20"/>
          <w:w w:val="110"/>
          <w:sz w:val="18"/>
        </w:rPr>
        <w:t>far</w:t>
      </w:r>
      <w:r>
        <w:rPr>
          <w:color w:val="231F20"/>
          <w:spacing w:val="9"/>
          <w:w w:val="110"/>
          <w:sz w:val="18"/>
        </w:rPr>
        <w:t> </w:t>
      </w:r>
      <w:r>
        <w:rPr>
          <w:color w:val="231F20"/>
          <w:w w:val="110"/>
          <w:sz w:val="18"/>
        </w:rPr>
        <w:t>as</w:t>
      </w:r>
      <w:r>
        <w:rPr>
          <w:color w:val="231F20"/>
          <w:spacing w:val="8"/>
          <w:w w:val="110"/>
          <w:sz w:val="18"/>
        </w:rPr>
        <w:t> </w:t>
      </w:r>
      <w:r>
        <w:rPr>
          <w:color w:val="231F20"/>
          <w:w w:val="110"/>
          <w:sz w:val="18"/>
        </w:rPr>
        <w:t>the</w:t>
      </w:r>
      <w:r>
        <w:rPr>
          <w:color w:val="231F20"/>
          <w:spacing w:val="9"/>
          <w:w w:val="110"/>
          <w:sz w:val="18"/>
        </w:rPr>
        <w:t> </w:t>
      </w:r>
      <w:r>
        <w:rPr>
          <w:color w:val="231F20"/>
          <w:w w:val="110"/>
          <w:sz w:val="18"/>
        </w:rPr>
        <w:t>latter</w:t>
      </w:r>
      <w:r>
        <w:rPr>
          <w:color w:val="231F20"/>
          <w:spacing w:val="9"/>
          <w:w w:val="110"/>
          <w:sz w:val="18"/>
        </w:rPr>
        <w:t> </w:t>
      </w:r>
      <w:r>
        <w:rPr>
          <w:color w:val="231F20"/>
          <w:w w:val="110"/>
          <w:sz w:val="18"/>
        </w:rPr>
        <w:t>has</w:t>
      </w:r>
      <w:r>
        <w:rPr>
          <w:color w:val="231F20"/>
          <w:spacing w:val="8"/>
          <w:w w:val="110"/>
          <w:sz w:val="18"/>
        </w:rPr>
        <w:t> </w:t>
      </w:r>
      <w:r>
        <w:rPr>
          <w:color w:val="231F20"/>
          <w:w w:val="110"/>
          <w:sz w:val="18"/>
        </w:rPr>
        <w:t>the</w:t>
      </w:r>
      <w:r>
        <w:rPr>
          <w:color w:val="231F20"/>
          <w:spacing w:val="9"/>
          <w:w w:val="110"/>
          <w:sz w:val="18"/>
        </w:rPr>
        <w:t> </w:t>
      </w:r>
      <w:r>
        <w:rPr>
          <w:color w:val="231F20"/>
          <w:w w:val="110"/>
          <w:sz w:val="18"/>
        </w:rPr>
        <w:t>authority</w:t>
      </w:r>
      <w:r>
        <w:rPr>
          <w:color w:val="231F20"/>
          <w:spacing w:val="8"/>
          <w:w w:val="110"/>
          <w:sz w:val="18"/>
        </w:rPr>
        <w:t> </w:t>
      </w:r>
      <w:r>
        <w:rPr>
          <w:color w:val="231F20"/>
          <w:w w:val="110"/>
          <w:sz w:val="18"/>
        </w:rPr>
        <w:t>in</w:t>
      </w:r>
      <w:r>
        <w:rPr>
          <w:color w:val="231F20"/>
          <w:spacing w:val="9"/>
          <w:w w:val="110"/>
          <w:sz w:val="18"/>
        </w:rPr>
        <w:t> </w:t>
      </w:r>
      <w:r>
        <w:rPr>
          <w:color w:val="231F20"/>
          <w:w w:val="110"/>
          <w:sz w:val="18"/>
        </w:rPr>
        <w:t>law</w:t>
      </w:r>
      <w:r>
        <w:rPr>
          <w:color w:val="231F20"/>
          <w:spacing w:val="9"/>
          <w:w w:val="110"/>
          <w:sz w:val="18"/>
        </w:rPr>
        <w:t> </w:t>
      </w:r>
      <w:r>
        <w:rPr>
          <w:color w:val="231F20"/>
          <w:w w:val="110"/>
          <w:sz w:val="18"/>
        </w:rPr>
        <w:t>to</w:t>
      </w:r>
      <w:r>
        <w:rPr>
          <w:color w:val="231F20"/>
          <w:spacing w:val="8"/>
          <w:w w:val="110"/>
          <w:sz w:val="18"/>
        </w:rPr>
        <w:t> </w:t>
      </w:r>
      <w:r>
        <w:rPr>
          <w:color w:val="231F20"/>
          <w:w w:val="110"/>
          <w:sz w:val="18"/>
        </w:rPr>
        <w:t>grant</w:t>
      </w:r>
      <w:r>
        <w:rPr>
          <w:color w:val="231F20"/>
          <w:spacing w:val="9"/>
          <w:w w:val="110"/>
          <w:sz w:val="18"/>
        </w:rPr>
        <w:t> </w:t>
      </w:r>
      <w:r>
        <w:rPr>
          <w:color w:val="231F20"/>
          <w:w w:val="110"/>
          <w:sz w:val="18"/>
        </w:rPr>
        <w:t>such</w:t>
      </w:r>
      <w:r>
        <w:rPr>
          <w:color w:val="231F20"/>
          <w:spacing w:val="8"/>
          <w:w w:val="110"/>
          <w:sz w:val="18"/>
        </w:rPr>
        <w:t> </w:t>
      </w:r>
      <w:r>
        <w:rPr>
          <w:color w:val="231F20"/>
          <w:w w:val="110"/>
          <w:sz w:val="18"/>
        </w:rPr>
        <w:t>permission</w:t>
      </w:r>
      <w:r>
        <w:rPr>
          <w:color w:val="231F20"/>
          <w:spacing w:val="9"/>
          <w:w w:val="110"/>
          <w:sz w:val="18"/>
        </w:rPr>
        <w:t> </w:t>
      </w:r>
      <w:r>
        <w:rPr>
          <w:color w:val="231F20"/>
          <w:w w:val="110"/>
          <w:sz w:val="18"/>
        </w:rPr>
        <w:t>on</w:t>
      </w:r>
      <w:r>
        <w:rPr>
          <w:color w:val="231F20"/>
          <w:spacing w:val="9"/>
          <w:w w:val="110"/>
          <w:sz w:val="18"/>
        </w:rPr>
        <w:t> </w:t>
      </w:r>
      <w:r>
        <w:rPr>
          <w:color w:val="231F20"/>
          <w:w w:val="110"/>
          <w:sz w:val="18"/>
        </w:rPr>
        <w:t>behalf</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p>
    <w:p>
      <w:pPr>
        <w:pStyle w:val="BodyText"/>
        <w:spacing w:line="273" w:lineRule="auto" w:before="1"/>
        <w:ind w:left="1080" w:right="1172"/>
        <w:jc w:val="both"/>
      </w:pPr>
      <w:r>
        <w:rPr>
          <w:color w:val="231F20"/>
          <w:w w:val="110"/>
        </w:rPr>
        <w:t>Minister) to apply for copies of all the Minister’s medical notes, records and reports from his/her General Practitioner and copies of the reports from any specialist who may have examined or been consulted by the Minister.</w:t>
      </w:r>
    </w:p>
    <w:p>
      <w:pPr>
        <w:pStyle w:val="BodyText"/>
        <w:spacing w:before="9"/>
        <w:rPr>
          <w:sz w:val="20"/>
        </w:rPr>
      </w:pPr>
    </w:p>
    <w:p>
      <w:pPr>
        <w:pStyle w:val="ListParagraph"/>
        <w:numPr>
          <w:ilvl w:val="1"/>
          <w:numId w:val="177"/>
        </w:numPr>
        <w:tabs>
          <w:tab w:pos="1800" w:val="left" w:leader="none"/>
          <w:tab w:pos="1801" w:val="left" w:leader="none"/>
        </w:tabs>
        <w:spacing w:line="273" w:lineRule="auto" w:before="0" w:after="0"/>
        <w:ind w:left="1080" w:right="1259" w:firstLine="0"/>
        <w:jc w:val="left"/>
        <w:rPr>
          <w:sz w:val="18"/>
        </w:rPr>
      </w:pPr>
      <w:r>
        <w:rPr>
          <w:color w:val="231F20"/>
          <w:w w:val="110"/>
          <w:sz w:val="18"/>
        </w:rPr>
        <w:t>If the Review Commission is unable to follow the steps outlined in Paragraph G.4 in any given case, it will need to consider the underlying reasons </w:t>
      </w:r>
      <w:r>
        <w:rPr>
          <w:color w:val="231F20"/>
          <w:spacing w:val="2"/>
          <w:w w:val="110"/>
          <w:sz w:val="18"/>
        </w:rPr>
        <w:t>very </w:t>
      </w:r>
      <w:r>
        <w:rPr>
          <w:color w:val="231F20"/>
          <w:w w:val="110"/>
          <w:sz w:val="18"/>
        </w:rPr>
        <w:t>carefully and be prepared to </w:t>
      </w:r>
      <w:r>
        <w:rPr>
          <w:color w:val="231F20"/>
          <w:spacing w:val="2"/>
          <w:w w:val="110"/>
          <w:sz w:val="18"/>
        </w:rPr>
        <w:t>proceed </w:t>
      </w:r>
      <w:r>
        <w:rPr>
          <w:color w:val="231F20"/>
          <w:w w:val="110"/>
          <w:sz w:val="18"/>
        </w:rPr>
        <w:t>with its enquiry in the light of the </w:t>
      </w:r>
      <w:r>
        <w:rPr>
          <w:color w:val="231F20"/>
          <w:spacing w:val="2"/>
          <w:w w:val="110"/>
          <w:sz w:val="18"/>
        </w:rPr>
        <w:t>best </w:t>
      </w:r>
      <w:r>
        <w:rPr>
          <w:color w:val="231F20"/>
          <w:w w:val="110"/>
          <w:sz w:val="18"/>
        </w:rPr>
        <w:t>information</w:t>
      </w:r>
      <w:r>
        <w:rPr>
          <w:color w:val="231F20"/>
          <w:spacing w:val="9"/>
          <w:w w:val="110"/>
          <w:sz w:val="18"/>
        </w:rPr>
        <w:t> </w:t>
      </w:r>
      <w:r>
        <w:rPr>
          <w:color w:val="231F20"/>
          <w:w w:val="110"/>
          <w:sz w:val="18"/>
        </w:rPr>
        <w:t>available.</w:t>
      </w:r>
    </w:p>
    <w:p>
      <w:pPr>
        <w:pStyle w:val="BodyText"/>
        <w:spacing w:before="8"/>
        <w:rPr>
          <w:sz w:val="20"/>
        </w:rPr>
      </w:pPr>
    </w:p>
    <w:p>
      <w:pPr>
        <w:pStyle w:val="ListParagraph"/>
        <w:numPr>
          <w:ilvl w:val="1"/>
          <w:numId w:val="177"/>
        </w:numPr>
        <w:tabs>
          <w:tab w:pos="1800" w:val="left" w:leader="none"/>
          <w:tab w:pos="1801" w:val="left" w:leader="none"/>
          <w:tab w:pos="2118" w:val="left" w:leader="none"/>
        </w:tabs>
        <w:spacing w:line="273" w:lineRule="auto" w:before="1" w:after="0"/>
        <w:ind w:left="1081" w:right="1147" w:hanging="1"/>
        <w:jc w:val="left"/>
        <w:rPr>
          <w:sz w:val="18"/>
        </w:rPr>
      </w:pPr>
      <w:r>
        <w:rPr>
          <w:color w:val="231F20"/>
          <w:w w:val="110"/>
          <w:sz w:val="18"/>
        </w:rPr>
        <w:t>As envisaged in Paragraph </w:t>
      </w:r>
      <w:r>
        <w:rPr>
          <w:color w:val="231F20"/>
          <w:spacing w:val="-6"/>
          <w:w w:val="110"/>
          <w:sz w:val="18"/>
        </w:rPr>
        <w:t>F.2.2, </w:t>
      </w:r>
      <w:r>
        <w:rPr>
          <w:color w:val="231F20"/>
          <w:w w:val="110"/>
          <w:sz w:val="18"/>
        </w:rPr>
        <w:t>the Review Commission </w:t>
      </w:r>
      <w:r>
        <w:rPr>
          <w:color w:val="231F20"/>
          <w:spacing w:val="-3"/>
          <w:w w:val="110"/>
          <w:sz w:val="18"/>
        </w:rPr>
        <w:t>may </w:t>
      </w:r>
      <w:r>
        <w:rPr>
          <w:color w:val="231F20"/>
          <w:w w:val="110"/>
          <w:sz w:val="18"/>
        </w:rPr>
        <w:t>also meet with other persons during the course of its enquiry and should inform each such person that s/he </w:t>
      </w:r>
      <w:r>
        <w:rPr>
          <w:color w:val="231F20"/>
          <w:spacing w:val="-3"/>
          <w:w w:val="110"/>
          <w:sz w:val="18"/>
        </w:rPr>
        <w:t>may </w:t>
      </w:r>
      <w:r>
        <w:rPr>
          <w:color w:val="231F20"/>
          <w:w w:val="110"/>
          <w:sz w:val="18"/>
        </w:rPr>
        <w:t>be called later to give evidence and answer questions at a Hearing with the Minister present.</w:t>
        <w:tab/>
      </w:r>
      <w:r>
        <w:rPr>
          <w:color w:val="231F20"/>
          <w:spacing w:val="-3"/>
          <w:w w:val="110"/>
          <w:sz w:val="18"/>
        </w:rPr>
        <w:t>If any </w:t>
      </w:r>
      <w:r>
        <w:rPr>
          <w:color w:val="231F20"/>
          <w:w w:val="110"/>
          <w:sz w:val="18"/>
        </w:rPr>
        <w:t>such person refuses or expresses an unwillingness to attend </w:t>
      </w:r>
      <w:r>
        <w:rPr>
          <w:color w:val="231F20"/>
          <w:spacing w:val="-3"/>
          <w:w w:val="110"/>
          <w:sz w:val="18"/>
        </w:rPr>
        <w:t>any </w:t>
      </w:r>
      <w:r>
        <w:rPr>
          <w:color w:val="231F20"/>
          <w:w w:val="110"/>
          <w:sz w:val="18"/>
        </w:rPr>
        <w:t>Hearing in person, the Review Commission </w:t>
      </w:r>
      <w:r>
        <w:rPr>
          <w:color w:val="231F20"/>
          <w:spacing w:val="-3"/>
          <w:w w:val="110"/>
          <w:sz w:val="18"/>
        </w:rPr>
        <w:t>may invoke </w:t>
      </w:r>
      <w:r>
        <w:rPr>
          <w:color w:val="231F20"/>
          <w:w w:val="110"/>
          <w:sz w:val="18"/>
        </w:rPr>
        <w:t>the provisions of Paragraph</w:t>
      </w:r>
      <w:r>
        <w:rPr>
          <w:color w:val="231F20"/>
          <w:spacing w:val="-18"/>
          <w:w w:val="110"/>
          <w:sz w:val="18"/>
        </w:rPr>
        <w:t> </w:t>
      </w:r>
      <w:r>
        <w:rPr>
          <w:color w:val="231F20"/>
          <w:spacing w:val="-5"/>
          <w:w w:val="110"/>
          <w:sz w:val="18"/>
        </w:rPr>
        <w:t>G.1.</w:t>
      </w:r>
    </w:p>
    <w:p>
      <w:pPr>
        <w:pStyle w:val="BodyText"/>
        <w:spacing w:before="9"/>
        <w:rPr>
          <w:sz w:val="20"/>
        </w:rPr>
      </w:pPr>
    </w:p>
    <w:p>
      <w:pPr>
        <w:pStyle w:val="ListParagraph"/>
        <w:numPr>
          <w:ilvl w:val="1"/>
          <w:numId w:val="177"/>
        </w:numPr>
        <w:tabs>
          <w:tab w:pos="1805" w:val="left" w:leader="none"/>
          <w:tab w:pos="1806" w:val="left" w:leader="none"/>
        </w:tabs>
        <w:spacing w:line="273" w:lineRule="auto" w:before="1" w:after="0"/>
        <w:ind w:left="1086" w:right="1172" w:hanging="1"/>
        <w:jc w:val="left"/>
        <w:rPr>
          <w:sz w:val="18"/>
        </w:rPr>
      </w:pPr>
      <w:r>
        <w:rPr>
          <w:color w:val="231F20"/>
          <w:w w:val="110"/>
          <w:sz w:val="18"/>
        </w:rPr>
        <w:t>The Review Commission shall be entitled to call for and consider all minutes of meetings, correspondence, notes, reports and documents which it considers appropriate to its </w:t>
      </w:r>
      <w:r>
        <w:rPr>
          <w:color w:val="231F20"/>
          <w:spacing w:val="-3"/>
          <w:w w:val="110"/>
          <w:sz w:val="18"/>
        </w:rPr>
        <w:t>enquiry. </w:t>
      </w:r>
      <w:r>
        <w:rPr>
          <w:color w:val="231F20"/>
          <w:w w:val="110"/>
          <w:sz w:val="18"/>
        </w:rPr>
        <w:t>This provision shall not apply where those from whom such documentation is requested can show that it is protected by confidentiality, but instead they would be asked to supply a written report which would also be available to the</w:t>
      </w:r>
      <w:r>
        <w:rPr>
          <w:color w:val="231F20"/>
          <w:spacing w:val="-30"/>
          <w:w w:val="110"/>
          <w:sz w:val="18"/>
        </w:rPr>
        <w:t> </w:t>
      </w:r>
      <w:r>
        <w:rPr>
          <w:color w:val="231F20"/>
          <w:spacing w:val="-3"/>
          <w:w w:val="110"/>
          <w:sz w:val="18"/>
        </w:rPr>
        <w:t>Minister.</w:t>
      </w:r>
    </w:p>
    <w:p>
      <w:pPr>
        <w:pStyle w:val="BodyText"/>
        <w:spacing w:before="1"/>
        <w:rPr>
          <w:sz w:val="19"/>
        </w:rPr>
      </w:pPr>
    </w:p>
    <w:p>
      <w:pPr>
        <w:numPr>
          <w:ilvl w:val="0"/>
          <w:numId w:val="177"/>
        </w:numPr>
        <w:tabs>
          <w:tab w:pos="1800" w:val="left" w:leader="none"/>
          <w:tab w:pos="1801" w:val="left" w:leader="none"/>
        </w:tabs>
        <w:spacing w:before="0"/>
        <w:ind w:left="1800" w:right="0" w:hanging="721"/>
        <w:jc w:val="left"/>
        <w:rPr>
          <w:b/>
          <w:sz w:val="20"/>
        </w:rPr>
      </w:pPr>
      <w:r>
        <w:rPr>
          <w:b/>
          <w:color w:val="231F20"/>
          <w:spacing w:val="-3"/>
          <w:w w:val="110"/>
          <w:sz w:val="20"/>
        </w:rPr>
        <w:t>RECOMMENDATION </w:t>
      </w:r>
      <w:r>
        <w:rPr>
          <w:b/>
          <w:color w:val="231F20"/>
          <w:w w:val="110"/>
          <w:sz w:val="20"/>
        </w:rPr>
        <w:t>FOR REFERRAL TO THE </w:t>
      </w:r>
      <w:r>
        <w:rPr>
          <w:b/>
          <w:color w:val="231F20"/>
          <w:spacing w:val="-2"/>
          <w:w w:val="110"/>
          <w:sz w:val="20"/>
        </w:rPr>
        <w:t>DISCIPLINARY</w:t>
      </w:r>
      <w:r>
        <w:rPr>
          <w:b/>
          <w:color w:val="231F20"/>
          <w:spacing w:val="-53"/>
          <w:w w:val="110"/>
          <w:sz w:val="20"/>
        </w:rPr>
        <w:t> </w:t>
      </w:r>
      <w:r>
        <w:rPr>
          <w:b/>
          <w:color w:val="231F20"/>
          <w:w w:val="110"/>
          <w:sz w:val="20"/>
        </w:rPr>
        <w:t>PROCESS</w:t>
      </w:r>
    </w:p>
    <w:p>
      <w:pPr>
        <w:pStyle w:val="BodyText"/>
        <w:spacing w:before="10"/>
        <w:rPr>
          <w:b/>
          <w:sz w:val="22"/>
        </w:rPr>
      </w:pPr>
    </w:p>
    <w:p>
      <w:pPr>
        <w:pStyle w:val="ListParagraph"/>
        <w:numPr>
          <w:ilvl w:val="2"/>
          <w:numId w:val="188"/>
        </w:numPr>
        <w:tabs>
          <w:tab w:pos="1801" w:val="left" w:leader="none"/>
        </w:tabs>
        <w:spacing w:line="273" w:lineRule="auto" w:before="0" w:after="0"/>
        <w:ind w:left="1081" w:right="1297" w:hanging="1"/>
        <w:jc w:val="left"/>
        <w:rPr>
          <w:sz w:val="18"/>
        </w:rPr>
      </w:pPr>
      <w:r>
        <w:rPr>
          <w:color w:val="231F20"/>
          <w:spacing w:val="-3"/>
          <w:w w:val="110"/>
          <w:sz w:val="18"/>
        </w:rPr>
        <w:t>If </w:t>
      </w:r>
      <w:r>
        <w:rPr>
          <w:color w:val="231F20"/>
          <w:w w:val="110"/>
          <w:sz w:val="18"/>
        </w:rPr>
        <w:t>it considers that, in a case within the Incapacity Procedure, an issue of discipline is or </w:t>
      </w:r>
      <w:r>
        <w:rPr>
          <w:color w:val="231F20"/>
          <w:spacing w:val="-3"/>
          <w:w w:val="110"/>
          <w:sz w:val="18"/>
        </w:rPr>
        <w:t>may </w:t>
      </w:r>
      <w:r>
        <w:rPr>
          <w:color w:val="231F20"/>
          <w:w w:val="110"/>
          <w:sz w:val="18"/>
        </w:rPr>
        <w:t>be </w:t>
      </w:r>
      <w:r>
        <w:rPr>
          <w:color w:val="231F20"/>
          <w:spacing w:val="-3"/>
          <w:w w:val="110"/>
          <w:sz w:val="18"/>
        </w:rPr>
        <w:t>involved, </w:t>
      </w:r>
      <w:r>
        <w:rPr>
          <w:color w:val="231F20"/>
          <w:w w:val="110"/>
          <w:sz w:val="18"/>
        </w:rPr>
        <w:t>the Review Commission </w:t>
      </w:r>
      <w:r>
        <w:rPr>
          <w:color w:val="231F20"/>
          <w:spacing w:val="-8"/>
          <w:w w:val="110"/>
          <w:sz w:val="18"/>
        </w:rPr>
        <w:t>or, </w:t>
      </w:r>
      <w:r>
        <w:rPr>
          <w:color w:val="231F20"/>
          <w:w w:val="110"/>
          <w:sz w:val="18"/>
        </w:rPr>
        <w:t>in the event of an appeal, the Appeals Review Commission, </w:t>
      </w:r>
      <w:r>
        <w:rPr>
          <w:color w:val="231F20"/>
          <w:spacing w:val="-7"/>
          <w:w w:val="110"/>
          <w:sz w:val="18"/>
        </w:rPr>
        <w:t>may, </w:t>
      </w:r>
      <w:r>
        <w:rPr>
          <w:color w:val="231F20"/>
          <w:w w:val="110"/>
          <w:sz w:val="18"/>
        </w:rPr>
        <w:t>at </w:t>
      </w:r>
      <w:r>
        <w:rPr>
          <w:color w:val="231F20"/>
          <w:spacing w:val="-3"/>
          <w:w w:val="110"/>
          <w:sz w:val="18"/>
        </w:rPr>
        <w:t>any </w:t>
      </w:r>
      <w:r>
        <w:rPr>
          <w:color w:val="231F20"/>
          <w:w w:val="110"/>
          <w:sz w:val="18"/>
        </w:rPr>
        <w:t>time during the proceedings and whether or not a Hearing has yet taken place, refer the case back to the person who initiated it in accordance with Paragraph B.3 with the recommendation that the Disciplinary Procedure should be commenced in respect of the </w:t>
      </w:r>
      <w:r>
        <w:rPr>
          <w:color w:val="231F20"/>
          <w:spacing w:val="-4"/>
          <w:w w:val="110"/>
          <w:sz w:val="18"/>
        </w:rPr>
        <w:t>Minister, </w:t>
      </w:r>
      <w:r>
        <w:rPr>
          <w:color w:val="231F20"/>
          <w:w w:val="110"/>
          <w:sz w:val="18"/>
        </w:rPr>
        <w:t>whereupon the proceedings under</w:t>
      </w:r>
      <w:r>
        <w:rPr>
          <w:color w:val="231F20"/>
          <w:spacing w:val="21"/>
          <w:w w:val="110"/>
          <w:sz w:val="18"/>
        </w:rPr>
        <w:t> </w:t>
      </w:r>
      <w:r>
        <w:rPr>
          <w:color w:val="231F20"/>
          <w:w w:val="110"/>
          <w:sz w:val="18"/>
        </w:rPr>
        <w:t>the</w:t>
      </w:r>
    </w:p>
    <w:p>
      <w:pPr>
        <w:pStyle w:val="BodyText"/>
        <w:spacing w:before="4"/>
        <w:ind w:left="1086"/>
      </w:pPr>
      <w:r>
        <w:rPr>
          <w:color w:val="231F20"/>
          <w:w w:val="110"/>
        </w:rPr>
        <w:t>Incapacity Procedure shall stand adjourned pending the outcome of that recommendation.</w:t>
      </w:r>
    </w:p>
    <w:p>
      <w:pPr>
        <w:pStyle w:val="BodyText"/>
        <w:spacing w:before="1"/>
        <w:rPr>
          <w:sz w:val="23"/>
        </w:rPr>
      </w:pPr>
    </w:p>
    <w:p>
      <w:pPr>
        <w:pStyle w:val="ListParagraph"/>
        <w:numPr>
          <w:ilvl w:val="2"/>
          <w:numId w:val="188"/>
        </w:numPr>
        <w:tabs>
          <w:tab w:pos="1875" w:val="left" w:leader="none"/>
          <w:tab w:pos="1876" w:val="left" w:leader="none"/>
        </w:tabs>
        <w:spacing w:line="273" w:lineRule="auto" w:before="1" w:after="0"/>
        <w:ind w:left="1085" w:right="1344" w:firstLine="0"/>
        <w:jc w:val="left"/>
        <w:rPr>
          <w:sz w:val="18"/>
        </w:rPr>
      </w:pPr>
      <w:r>
        <w:rPr>
          <w:color w:val="231F20"/>
          <w:w w:val="110"/>
          <w:sz w:val="18"/>
        </w:rPr>
        <w:t>In such a situation, the </w:t>
      </w:r>
      <w:r>
        <w:rPr>
          <w:color w:val="231F20"/>
          <w:spacing w:val="3"/>
          <w:w w:val="110"/>
          <w:sz w:val="18"/>
        </w:rPr>
        <w:t>Secretary </w:t>
      </w:r>
      <w:r>
        <w:rPr>
          <w:color w:val="231F20"/>
          <w:w w:val="110"/>
          <w:sz w:val="18"/>
        </w:rPr>
        <w:t>of the Review Commission or the Appeals Review Commission as the </w:t>
      </w:r>
      <w:r>
        <w:rPr>
          <w:color w:val="231F20"/>
          <w:spacing w:val="2"/>
          <w:w w:val="110"/>
          <w:sz w:val="18"/>
        </w:rPr>
        <w:t>case </w:t>
      </w:r>
      <w:r>
        <w:rPr>
          <w:color w:val="231F20"/>
          <w:w w:val="110"/>
          <w:sz w:val="18"/>
        </w:rPr>
        <w:t>may be shall forthwith send or deliver to the </w:t>
      </w:r>
      <w:r>
        <w:rPr>
          <w:color w:val="231F20"/>
          <w:spacing w:val="2"/>
          <w:w w:val="110"/>
          <w:sz w:val="18"/>
        </w:rPr>
        <w:t>person </w:t>
      </w:r>
      <w:r>
        <w:rPr>
          <w:color w:val="231F20"/>
          <w:w w:val="110"/>
          <w:sz w:val="18"/>
        </w:rPr>
        <w:t>who initiated the </w:t>
      </w:r>
      <w:r>
        <w:rPr>
          <w:color w:val="231F20"/>
          <w:spacing w:val="2"/>
          <w:w w:val="110"/>
          <w:sz w:val="18"/>
        </w:rPr>
        <w:t>case </w:t>
      </w:r>
      <w:r>
        <w:rPr>
          <w:color w:val="231F20"/>
          <w:w w:val="110"/>
          <w:sz w:val="18"/>
        </w:rPr>
        <w:t>a written notice containing such recommendation, signed by the Convener and incorporating a statement of the reasons on which the recommendation  is based, in summary form if the Commission so decides, together with such other documentation (if </w:t>
      </w:r>
      <w:r>
        <w:rPr>
          <w:color w:val="231F20"/>
          <w:spacing w:val="-4"/>
          <w:w w:val="110"/>
          <w:sz w:val="18"/>
        </w:rPr>
        <w:t>any) </w:t>
      </w:r>
      <w:r>
        <w:rPr>
          <w:color w:val="231F20"/>
          <w:w w:val="110"/>
          <w:sz w:val="18"/>
        </w:rPr>
        <w:t>as the Commission authorises the </w:t>
      </w:r>
      <w:r>
        <w:rPr>
          <w:color w:val="231F20"/>
          <w:spacing w:val="3"/>
          <w:w w:val="110"/>
          <w:sz w:val="18"/>
        </w:rPr>
        <w:t>Secretary </w:t>
      </w:r>
      <w:r>
        <w:rPr>
          <w:color w:val="231F20"/>
          <w:w w:val="110"/>
          <w:sz w:val="18"/>
        </w:rPr>
        <w:t>to release.</w:t>
      </w:r>
    </w:p>
    <w:p>
      <w:pPr>
        <w:pStyle w:val="BodyText"/>
        <w:spacing w:before="10"/>
        <w:rPr>
          <w:sz w:val="20"/>
        </w:rPr>
      </w:pPr>
    </w:p>
    <w:p>
      <w:pPr>
        <w:pStyle w:val="ListParagraph"/>
        <w:numPr>
          <w:ilvl w:val="2"/>
          <w:numId w:val="188"/>
        </w:numPr>
        <w:tabs>
          <w:tab w:pos="1806" w:val="left" w:leader="none"/>
        </w:tabs>
        <w:spacing w:line="273" w:lineRule="auto" w:before="0" w:after="0"/>
        <w:ind w:left="1085" w:right="1413" w:hanging="1"/>
        <w:jc w:val="left"/>
        <w:rPr>
          <w:sz w:val="18"/>
        </w:rPr>
      </w:pPr>
      <w:r>
        <w:rPr>
          <w:color w:val="231F20"/>
          <w:spacing w:val="2"/>
          <w:w w:val="110"/>
          <w:sz w:val="18"/>
        </w:rPr>
        <w:t>That </w:t>
      </w:r>
      <w:r>
        <w:rPr>
          <w:color w:val="231F20"/>
          <w:spacing w:val="3"/>
          <w:w w:val="110"/>
          <w:sz w:val="18"/>
        </w:rPr>
        <w:t>Notice </w:t>
      </w:r>
      <w:r>
        <w:rPr>
          <w:color w:val="231F20"/>
          <w:w w:val="110"/>
          <w:sz w:val="18"/>
        </w:rPr>
        <w:t>shall </w:t>
      </w:r>
      <w:r>
        <w:rPr>
          <w:color w:val="231F20"/>
          <w:spacing w:val="3"/>
          <w:w w:val="110"/>
          <w:sz w:val="18"/>
        </w:rPr>
        <w:t>state </w:t>
      </w:r>
      <w:r>
        <w:rPr>
          <w:color w:val="231F20"/>
          <w:w w:val="110"/>
          <w:sz w:val="18"/>
        </w:rPr>
        <w:t>that </w:t>
      </w:r>
      <w:r>
        <w:rPr>
          <w:color w:val="231F20"/>
          <w:spacing w:val="2"/>
          <w:w w:val="110"/>
          <w:sz w:val="18"/>
        </w:rPr>
        <w:t>the </w:t>
      </w:r>
      <w:r>
        <w:rPr>
          <w:color w:val="231F20"/>
          <w:spacing w:val="3"/>
          <w:w w:val="110"/>
          <w:sz w:val="18"/>
        </w:rPr>
        <w:t>proceedings </w:t>
      </w:r>
      <w:r>
        <w:rPr>
          <w:color w:val="231F20"/>
          <w:spacing w:val="2"/>
          <w:w w:val="110"/>
          <w:sz w:val="18"/>
        </w:rPr>
        <w:t>under the </w:t>
      </w:r>
      <w:r>
        <w:rPr>
          <w:color w:val="231F20"/>
          <w:spacing w:val="3"/>
          <w:w w:val="110"/>
          <w:sz w:val="18"/>
        </w:rPr>
        <w:t>Incapacity Procedure </w:t>
      </w:r>
      <w:r>
        <w:rPr>
          <w:color w:val="231F20"/>
          <w:w w:val="110"/>
          <w:sz w:val="18"/>
        </w:rPr>
        <w:t>shall </w:t>
      </w:r>
      <w:r>
        <w:rPr>
          <w:color w:val="231F20"/>
          <w:spacing w:val="3"/>
          <w:w w:val="110"/>
          <w:sz w:val="18"/>
        </w:rPr>
        <w:t>stand </w:t>
      </w:r>
      <w:r>
        <w:rPr>
          <w:color w:val="231F20"/>
          <w:spacing w:val="2"/>
          <w:w w:val="110"/>
          <w:sz w:val="18"/>
        </w:rPr>
        <w:t>adjourned </w:t>
      </w:r>
      <w:r>
        <w:rPr>
          <w:color w:val="231F20"/>
          <w:w w:val="110"/>
          <w:sz w:val="18"/>
        </w:rPr>
        <w:t>to await </w:t>
      </w:r>
      <w:r>
        <w:rPr>
          <w:color w:val="231F20"/>
          <w:spacing w:val="2"/>
          <w:w w:val="110"/>
          <w:sz w:val="18"/>
        </w:rPr>
        <w:t>the </w:t>
      </w:r>
      <w:r>
        <w:rPr>
          <w:color w:val="231F20"/>
          <w:spacing w:val="3"/>
          <w:w w:val="110"/>
          <w:sz w:val="18"/>
        </w:rPr>
        <w:t>recipient’s response </w:t>
      </w:r>
      <w:r>
        <w:rPr>
          <w:color w:val="231F20"/>
          <w:w w:val="110"/>
          <w:sz w:val="18"/>
        </w:rPr>
        <w:t>and shall </w:t>
      </w:r>
      <w:r>
        <w:rPr>
          <w:color w:val="231F20"/>
          <w:spacing w:val="2"/>
          <w:w w:val="110"/>
          <w:sz w:val="18"/>
        </w:rPr>
        <w:t>also </w:t>
      </w:r>
      <w:r>
        <w:rPr>
          <w:color w:val="231F20"/>
          <w:spacing w:val="3"/>
          <w:w w:val="110"/>
          <w:sz w:val="18"/>
        </w:rPr>
        <w:t>state </w:t>
      </w:r>
      <w:r>
        <w:rPr>
          <w:color w:val="231F20"/>
          <w:spacing w:val="2"/>
          <w:w w:val="110"/>
          <w:sz w:val="18"/>
        </w:rPr>
        <w:t>the </w:t>
      </w:r>
      <w:r>
        <w:rPr>
          <w:color w:val="231F20"/>
          <w:w w:val="110"/>
          <w:sz w:val="18"/>
        </w:rPr>
        <w:t>time, </w:t>
      </w:r>
      <w:r>
        <w:rPr>
          <w:color w:val="231F20"/>
          <w:spacing w:val="2"/>
          <w:w w:val="110"/>
          <w:sz w:val="18"/>
        </w:rPr>
        <w:t>which </w:t>
      </w:r>
      <w:r>
        <w:rPr>
          <w:color w:val="231F20"/>
          <w:w w:val="110"/>
          <w:sz w:val="18"/>
        </w:rPr>
        <w:t>shall </w:t>
      </w:r>
      <w:r>
        <w:rPr>
          <w:color w:val="231F20"/>
          <w:spacing w:val="2"/>
          <w:w w:val="110"/>
          <w:sz w:val="18"/>
        </w:rPr>
        <w:t>be </w:t>
      </w:r>
      <w:r>
        <w:rPr>
          <w:color w:val="231F20"/>
          <w:w w:val="110"/>
          <w:sz w:val="18"/>
        </w:rPr>
        <w:t>not </w:t>
      </w:r>
      <w:r>
        <w:rPr>
          <w:color w:val="231F20"/>
          <w:spacing w:val="2"/>
          <w:w w:val="110"/>
          <w:sz w:val="18"/>
        </w:rPr>
        <w:t>longer </w:t>
      </w:r>
      <w:r>
        <w:rPr>
          <w:color w:val="231F20"/>
          <w:w w:val="110"/>
          <w:sz w:val="18"/>
        </w:rPr>
        <w:t>than one month, within </w:t>
      </w:r>
      <w:r>
        <w:rPr>
          <w:color w:val="231F20"/>
          <w:spacing w:val="2"/>
          <w:w w:val="110"/>
          <w:sz w:val="18"/>
        </w:rPr>
        <w:t>which the </w:t>
      </w:r>
      <w:r>
        <w:rPr>
          <w:color w:val="231F20"/>
          <w:spacing w:val="3"/>
          <w:w w:val="110"/>
          <w:sz w:val="18"/>
        </w:rPr>
        <w:t>recipient </w:t>
      </w:r>
      <w:r>
        <w:rPr>
          <w:color w:val="231F20"/>
          <w:spacing w:val="2"/>
          <w:w w:val="110"/>
          <w:sz w:val="18"/>
        </w:rPr>
        <w:t>must </w:t>
      </w:r>
      <w:r>
        <w:rPr>
          <w:color w:val="231F20"/>
          <w:spacing w:val="3"/>
          <w:w w:val="110"/>
          <w:sz w:val="18"/>
        </w:rPr>
        <w:t>notify </w:t>
      </w:r>
      <w:r>
        <w:rPr>
          <w:color w:val="231F20"/>
          <w:spacing w:val="2"/>
          <w:w w:val="110"/>
          <w:sz w:val="18"/>
        </w:rPr>
        <w:t>the</w:t>
      </w:r>
      <w:r>
        <w:rPr>
          <w:color w:val="231F20"/>
          <w:spacing w:val="73"/>
          <w:w w:val="110"/>
          <w:sz w:val="18"/>
        </w:rPr>
        <w:t> </w:t>
      </w:r>
      <w:r>
        <w:rPr>
          <w:color w:val="231F20"/>
          <w:spacing w:val="5"/>
          <w:w w:val="110"/>
          <w:sz w:val="18"/>
        </w:rPr>
        <w:t>Secretary </w:t>
      </w:r>
      <w:r>
        <w:rPr>
          <w:color w:val="231F20"/>
          <w:w w:val="110"/>
          <w:sz w:val="18"/>
        </w:rPr>
        <w:t>in </w:t>
      </w:r>
      <w:r>
        <w:rPr>
          <w:color w:val="231F20"/>
          <w:spacing w:val="2"/>
          <w:w w:val="110"/>
          <w:sz w:val="18"/>
        </w:rPr>
        <w:t>writing whether the </w:t>
      </w:r>
      <w:r>
        <w:rPr>
          <w:color w:val="231F20"/>
          <w:spacing w:val="3"/>
          <w:w w:val="110"/>
          <w:sz w:val="18"/>
        </w:rPr>
        <w:t>recommendation contained </w:t>
      </w:r>
      <w:r>
        <w:rPr>
          <w:color w:val="231F20"/>
          <w:w w:val="110"/>
          <w:sz w:val="18"/>
        </w:rPr>
        <w:t>in </w:t>
      </w:r>
      <w:r>
        <w:rPr>
          <w:color w:val="231F20"/>
          <w:spacing w:val="2"/>
          <w:w w:val="110"/>
          <w:sz w:val="18"/>
        </w:rPr>
        <w:t>the </w:t>
      </w:r>
      <w:r>
        <w:rPr>
          <w:color w:val="231F20"/>
          <w:spacing w:val="3"/>
          <w:w w:val="110"/>
          <w:sz w:val="18"/>
        </w:rPr>
        <w:t>Notice </w:t>
      </w:r>
      <w:r>
        <w:rPr>
          <w:color w:val="231F20"/>
          <w:w w:val="110"/>
          <w:sz w:val="18"/>
        </w:rPr>
        <w:t>has </w:t>
      </w:r>
      <w:r>
        <w:rPr>
          <w:color w:val="231F20"/>
          <w:spacing w:val="3"/>
          <w:w w:val="110"/>
          <w:sz w:val="18"/>
        </w:rPr>
        <w:t>been accepted </w:t>
      </w:r>
      <w:r>
        <w:rPr>
          <w:color w:val="231F20"/>
          <w:w w:val="110"/>
          <w:sz w:val="18"/>
        </w:rPr>
        <w:t>or</w:t>
      </w:r>
      <w:r>
        <w:rPr>
          <w:color w:val="231F20"/>
          <w:spacing w:val="7"/>
          <w:w w:val="110"/>
          <w:sz w:val="18"/>
        </w:rPr>
        <w:t> </w:t>
      </w:r>
      <w:r>
        <w:rPr>
          <w:color w:val="231F20"/>
          <w:spacing w:val="3"/>
          <w:w w:val="110"/>
          <w:sz w:val="18"/>
        </w:rPr>
        <w:t>rejected.</w:t>
      </w:r>
    </w:p>
    <w:p>
      <w:pPr>
        <w:pStyle w:val="BodyText"/>
        <w:spacing w:before="10"/>
        <w:rPr>
          <w:sz w:val="20"/>
        </w:rPr>
      </w:pPr>
    </w:p>
    <w:p>
      <w:pPr>
        <w:pStyle w:val="ListParagraph"/>
        <w:numPr>
          <w:ilvl w:val="2"/>
          <w:numId w:val="189"/>
        </w:numPr>
        <w:tabs>
          <w:tab w:pos="1810" w:val="left" w:leader="none"/>
        </w:tabs>
        <w:spacing w:line="273" w:lineRule="auto" w:before="1" w:after="0"/>
        <w:ind w:left="1089" w:right="1123" w:firstLine="0"/>
        <w:jc w:val="left"/>
        <w:rPr>
          <w:sz w:val="18"/>
        </w:rPr>
      </w:pPr>
      <w:r>
        <w:rPr>
          <w:color w:val="231F20"/>
          <w:w w:val="110"/>
          <w:sz w:val="18"/>
        </w:rPr>
        <w:t>The </w:t>
      </w:r>
      <w:r>
        <w:rPr>
          <w:color w:val="231F20"/>
          <w:spacing w:val="3"/>
          <w:w w:val="110"/>
          <w:sz w:val="18"/>
        </w:rPr>
        <w:t>Secretary </w:t>
      </w:r>
      <w:r>
        <w:rPr>
          <w:color w:val="231F20"/>
          <w:w w:val="110"/>
          <w:sz w:val="18"/>
        </w:rPr>
        <w:t>shall at the same time send a copy of the said Notice to the Minister. It is assumed that the Minister will already have copies of all the accompanying documents mentioned in Paragraph </w:t>
      </w:r>
      <w:r>
        <w:rPr>
          <w:color w:val="231F20"/>
          <w:spacing w:val="-4"/>
          <w:w w:val="110"/>
          <w:sz w:val="18"/>
        </w:rPr>
        <w:t>H.1.2, </w:t>
      </w:r>
      <w:r>
        <w:rPr>
          <w:color w:val="231F20"/>
          <w:w w:val="110"/>
          <w:sz w:val="18"/>
        </w:rPr>
        <w:t>but, if there are any which s/he has yet not seen, copies of these must also be sent to</w:t>
      </w:r>
      <w:r>
        <w:rPr>
          <w:color w:val="231F20"/>
          <w:spacing w:val="16"/>
          <w:w w:val="110"/>
          <w:sz w:val="18"/>
        </w:rPr>
        <w:t> </w:t>
      </w:r>
      <w:r>
        <w:rPr>
          <w:color w:val="231F20"/>
          <w:w w:val="110"/>
          <w:sz w:val="18"/>
        </w:rPr>
        <w:t>him/her.</w:t>
      </w:r>
    </w:p>
    <w:p>
      <w:pPr>
        <w:pStyle w:val="BodyText"/>
        <w:spacing w:before="9"/>
        <w:rPr>
          <w:sz w:val="20"/>
        </w:rPr>
      </w:pPr>
    </w:p>
    <w:p>
      <w:pPr>
        <w:pStyle w:val="ListParagraph"/>
        <w:numPr>
          <w:ilvl w:val="2"/>
          <w:numId w:val="189"/>
        </w:numPr>
        <w:tabs>
          <w:tab w:pos="1810" w:val="left" w:leader="none"/>
        </w:tabs>
        <w:spacing w:line="273" w:lineRule="auto" w:before="0" w:after="0"/>
        <w:ind w:left="1089" w:right="1294" w:firstLine="0"/>
        <w:jc w:val="left"/>
        <w:rPr>
          <w:sz w:val="18"/>
        </w:rPr>
      </w:pPr>
      <w:r>
        <w:rPr>
          <w:color w:val="231F20"/>
          <w:w w:val="110"/>
          <w:sz w:val="18"/>
        </w:rPr>
        <w:t>The </w:t>
      </w:r>
      <w:r>
        <w:rPr>
          <w:color w:val="231F20"/>
          <w:spacing w:val="3"/>
          <w:w w:val="110"/>
          <w:sz w:val="18"/>
        </w:rPr>
        <w:t>Secretary </w:t>
      </w:r>
      <w:r>
        <w:rPr>
          <w:color w:val="231F20"/>
          <w:w w:val="110"/>
          <w:sz w:val="18"/>
        </w:rPr>
        <w:t>shall at the same time send copies of the said Notice (but not the accompanying documentation) to the General Secretary,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and the Moderator of the Synod (in any </w:t>
      </w:r>
      <w:r>
        <w:rPr>
          <w:color w:val="231F20"/>
          <w:spacing w:val="2"/>
          <w:w w:val="110"/>
          <w:sz w:val="18"/>
        </w:rPr>
        <w:t>case </w:t>
      </w:r>
      <w:r>
        <w:rPr>
          <w:color w:val="231F20"/>
          <w:w w:val="110"/>
          <w:sz w:val="18"/>
        </w:rPr>
        <w:t>where s/he is not already the recipient of the Notice under Paragraph</w:t>
      </w:r>
      <w:r>
        <w:rPr>
          <w:color w:val="231F20"/>
          <w:spacing w:val="11"/>
          <w:w w:val="110"/>
          <w:sz w:val="18"/>
        </w:rPr>
        <w:t> </w:t>
      </w:r>
      <w:r>
        <w:rPr>
          <w:color w:val="231F20"/>
          <w:spacing w:val="-7"/>
          <w:w w:val="110"/>
          <w:sz w:val="18"/>
        </w:rPr>
        <w:t>H.1.1).</w:t>
      </w:r>
    </w:p>
    <w:p>
      <w:pPr>
        <w:pStyle w:val="BodyText"/>
        <w:spacing w:before="9"/>
        <w:rPr>
          <w:sz w:val="20"/>
        </w:rPr>
      </w:pPr>
    </w:p>
    <w:p>
      <w:pPr>
        <w:pStyle w:val="ListParagraph"/>
        <w:numPr>
          <w:ilvl w:val="2"/>
          <w:numId w:val="190"/>
        </w:numPr>
        <w:tabs>
          <w:tab w:pos="1810" w:val="left" w:leader="none"/>
        </w:tabs>
        <w:spacing w:line="240" w:lineRule="auto" w:before="0" w:after="0"/>
        <w:ind w:left="1809" w:right="0" w:hanging="721"/>
        <w:jc w:val="left"/>
        <w:rPr>
          <w:sz w:val="18"/>
        </w:rPr>
      </w:pPr>
      <w:r>
        <w:rPr>
          <w:color w:val="231F20"/>
          <w:w w:val="110"/>
          <w:sz w:val="18"/>
        </w:rPr>
        <w:t>If written confirmation is received </w:t>
      </w:r>
      <w:r>
        <w:rPr>
          <w:color w:val="231F20"/>
          <w:spacing w:val="2"/>
          <w:w w:val="110"/>
          <w:sz w:val="18"/>
        </w:rPr>
        <w:t>from </w:t>
      </w:r>
      <w:r>
        <w:rPr>
          <w:color w:val="231F20"/>
          <w:w w:val="110"/>
          <w:sz w:val="18"/>
        </w:rPr>
        <w:t>the recipient of the Notice,</w:t>
      </w:r>
      <w:r>
        <w:rPr>
          <w:color w:val="231F20"/>
          <w:spacing w:val="65"/>
          <w:w w:val="110"/>
          <w:sz w:val="18"/>
        </w:rPr>
        <w:t> </w:t>
      </w:r>
      <w:r>
        <w:rPr>
          <w:color w:val="231F20"/>
          <w:w w:val="110"/>
          <w:sz w:val="18"/>
        </w:rPr>
        <w:t>countersigned</w:t>
      </w:r>
    </w:p>
    <w:p>
      <w:pPr>
        <w:pStyle w:val="BodyText"/>
        <w:spacing w:line="273" w:lineRule="auto" w:before="32"/>
        <w:ind w:left="1089" w:right="1472"/>
      </w:pPr>
      <w:r>
        <w:rPr>
          <w:color w:val="231F20"/>
          <w:w w:val="110"/>
        </w:rPr>
        <w:t>by the </w:t>
      </w:r>
      <w:r>
        <w:rPr>
          <w:color w:val="231F20"/>
          <w:spacing w:val="3"/>
          <w:w w:val="110"/>
        </w:rPr>
        <w:t>Secretary </w:t>
      </w:r>
      <w:r>
        <w:rPr>
          <w:color w:val="231F20"/>
          <w:w w:val="110"/>
        </w:rPr>
        <w:t>of the Assembly Commission, that the recommendation contained   in</w:t>
      </w:r>
      <w:r>
        <w:rPr>
          <w:color w:val="231F20"/>
          <w:spacing w:val="10"/>
          <w:w w:val="110"/>
        </w:rPr>
        <w:t> </w:t>
      </w:r>
      <w:r>
        <w:rPr>
          <w:color w:val="231F20"/>
          <w:w w:val="110"/>
        </w:rPr>
        <w:t>the</w:t>
      </w:r>
      <w:r>
        <w:rPr>
          <w:color w:val="231F20"/>
          <w:spacing w:val="11"/>
          <w:w w:val="110"/>
        </w:rPr>
        <w:t> </w:t>
      </w:r>
      <w:r>
        <w:rPr>
          <w:color w:val="231F20"/>
          <w:w w:val="110"/>
        </w:rPr>
        <w:t>Notice</w:t>
      </w:r>
      <w:r>
        <w:rPr>
          <w:color w:val="231F20"/>
          <w:spacing w:val="11"/>
          <w:w w:val="110"/>
        </w:rPr>
        <w:t> </w:t>
      </w:r>
      <w:r>
        <w:rPr>
          <w:color w:val="231F20"/>
          <w:w w:val="110"/>
        </w:rPr>
        <w:t>has</w:t>
      </w:r>
      <w:r>
        <w:rPr>
          <w:color w:val="231F20"/>
          <w:spacing w:val="10"/>
          <w:w w:val="110"/>
        </w:rPr>
        <w:t> </w:t>
      </w:r>
      <w:r>
        <w:rPr>
          <w:color w:val="231F20"/>
          <w:w w:val="110"/>
        </w:rPr>
        <w:t>been</w:t>
      </w:r>
      <w:r>
        <w:rPr>
          <w:color w:val="231F20"/>
          <w:spacing w:val="11"/>
          <w:w w:val="110"/>
        </w:rPr>
        <w:t> </w:t>
      </w:r>
      <w:r>
        <w:rPr>
          <w:color w:val="231F20"/>
          <w:w w:val="110"/>
        </w:rPr>
        <w:t>accepted</w:t>
      </w:r>
      <w:r>
        <w:rPr>
          <w:color w:val="231F20"/>
          <w:spacing w:val="11"/>
          <w:w w:val="110"/>
        </w:rPr>
        <w:t> </w:t>
      </w:r>
      <w:r>
        <w:rPr>
          <w:color w:val="231F20"/>
          <w:w w:val="110"/>
        </w:rPr>
        <w:t>and</w:t>
      </w:r>
      <w:r>
        <w:rPr>
          <w:color w:val="231F20"/>
          <w:spacing w:val="11"/>
          <w:w w:val="110"/>
        </w:rPr>
        <w:t> </w:t>
      </w:r>
      <w:r>
        <w:rPr>
          <w:color w:val="231F20"/>
          <w:w w:val="110"/>
        </w:rPr>
        <w:t>that</w:t>
      </w:r>
      <w:r>
        <w:rPr>
          <w:color w:val="231F20"/>
          <w:spacing w:val="10"/>
          <w:w w:val="110"/>
        </w:rPr>
        <w:t> </w:t>
      </w:r>
      <w:r>
        <w:rPr>
          <w:color w:val="231F20"/>
          <w:w w:val="110"/>
        </w:rPr>
        <w:t>a</w:t>
      </w:r>
      <w:r>
        <w:rPr>
          <w:color w:val="231F20"/>
          <w:spacing w:val="11"/>
          <w:w w:val="110"/>
        </w:rPr>
        <w:t> </w:t>
      </w:r>
      <w:r>
        <w:rPr>
          <w:color w:val="231F20"/>
          <w:w w:val="110"/>
        </w:rPr>
        <w:t>Referral</w:t>
      </w:r>
      <w:r>
        <w:rPr>
          <w:color w:val="231F20"/>
          <w:spacing w:val="11"/>
          <w:w w:val="110"/>
        </w:rPr>
        <w:t> </w:t>
      </w:r>
      <w:r>
        <w:rPr>
          <w:color w:val="231F20"/>
          <w:w w:val="110"/>
        </w:rPr>
        <w:t>Notice</w:t>
      </w:r>
      <w:r>
        <w:rPr>
          <w:color w:val="231F20"/>
          <w:spacing w:val="11"/>
          <w:w w:val="110"/>
        </w:rPr>
        <w:t> </w:t>
      </w:r>
      <w:r>
        <w:rPr>
          <w:color w:val="231F20"/>
          <w:w w:val="110"/>
        </w:rPr>
        <w:t>has</w:t>
      </w:r>
      <w:r>
        <w:rPr>
          <w:color w:val="231F20"/>
          <w:spacing w:val="10"/>
          <w:w w:val="110"/>
        </w:rPr>
        <w:t> </w:t>
      </w:r>
      <w:r>
        <w:rPr>
          <w:color w:val="231F20"/>
          <w:w w:val="110"/>
        </w:rPr>
        <w:t>been</w:t>
      </w:r>
      <w:r>
        <w:rPr>
          <w:color w:val="231F20"/>
          <w:spacing w:val="11"/>
          <w:w w:val="110"/>
        </w:rPr>
        <w:t> </w:t>
      </w:r>
      <w:r>
        <w:rPr>
          <w:color w:val="231F20"/>
          <w:w w:val="110"/>
        </w:rPr>
        <w:t>issued</w:t>
      </w:r>
      <w:r>
        <w:rPr>
          <w:color w:val="231F20"/>
          <w:spacing w:val="11"/>
          <w:w w:val="110"/>
        </w:rPr>
        <w:t> </w:t>
      </w:r>
      <w:r>
        <w:rPr>
          <w:color w:val="231F20"/>
          <w:w w:val="110"/>
        </w:rPr>
        <w:t>under</w:t>
      </w:r>
      <w:r>
        <w:rPr>
          <w:color w:val="231F20"/>
          <w:spacing w:val="11"/>
          <w:w w:val="110"/>
        </w:rPr>
        <w:t> </w:t>
      </w:r>
      <w:r>
        <w:rPr>
          <w:color w:val="231F20"/>
          <w:w w:val="110"/>
        </w:rPr>
        <w:t>the</w:t>
      </w:r>
    </w:p>
    <w:p>
      <w:pPr>
        <w:spacing w:after="0" w:line="273" w:lineRule="auto"/>
        <w:sectPr>
          <w:pgSz w:w="11910" w:h="16840"/>
          <w:pgMar w:header="557" w:footer="564" w:top="820" w:bottom="760" w:left="620" w:right="0"/>
        </w:sectPr>
      </w:pPr>
    </w:p>
    <w:p>
      <w:pPr>
        <w:pStyle w:val="BodyText"/>
        <w:spacing w:before="9"/>
        <w:rPr>
          <w:sz w:val="13"/>
        </w:rPr>
      </w:pPr>
    </w:p>
    <w:p>
      <w:pPr>
        <w:pStyle w:val="BodyText"/>
        <w:spacing w:line="273" w:lineRule="auto" w:before="101"/>
        <w:ind w:left="513" w:right="1844"/>
      </w:pPr>
      <w:r>
        <w:rPr>
          <w:color w:val="231F20"/>
          <w:w w:val="110"/>
        </w:rPr>
        <w:t>Disciplinary Process in respect of the Minister, the Review Commission or the Appeals Review Commission as the case may be shall declare the case within the Incapacity Procedure to be concluded and no further action shall be taken in respect thereof.</w:t>
      </w:r>
    </w:p>
    <w:p>
      <w:pPr>
        <w:pStyle w:val="BodyText"/>
        <w:spacing w:before="1"/>
        <w:ind w:left="513"/>
      </w:pPr>
      <w:r>
        <w:rPr>
          <w:color w:val="231F20"/>
          <w:w w:val="110"/>
        </w:rPr>
        <w:t>The Secretary shall give written notice to this effect to the Minister and the persons</w:t>
      </w:r>
    </w:p>
    <w:p>
      <w:pPr>
        <w:pStyle w:val="BodyText"/>
        <w:spacing w:before="32"/>
        <w:ind w:left="513"/>
      </w:pPr>
      <w:r>
        <w:rPr>
          <w:color w:val="231F20"/>
          <w:w w:val="110"/>
        </w:rPr>
        <w:t>specified in Paragraph H.2.2.</w:t>
      </w:r>
    </w:p>
    <w:p>
      <w:pPr>
        <w:pStyle w:val="BodyText"/>
        <w:spacing w:before="1"/>
        <w:rPr>
          <w:sz w:val="23"/>
        </w:rPr>
      </w:pPr>
    </w:p>
    <w:p>
      <w:pPr>
        <w:pStyle w:val="ListParagraph"/>
        <w:numPr>
          <w:ilvl w:val="2"/>
          <w:numId w:val="190"/>
        </w:numPr>
        <w:tabs>
          <w:tab w:pos="1235" w:val="left" w:leader="none"/>
        </w:tabs>
        <w:spacing w:line="273" w:lineRule="auto" w:before="0" w:after="0"/>
        <w:ind w:left="513" w:right="2138" w:firstLine="0"/>
        <w:jc w:val="left"/>
        <w:rPr>
          <w:sz w:val="18"/>
        </w:rPr>
      </w:pPr>
      <w:r>
        <w:rPr>
          <w:color w:val="231F20"/>
          <w:w w:val="110"/>
          <w:sz w:val="18"/>
        </w:rPr>
        <w:t>If written notification is received </w:t>
      </w:r>
      <w:r>
        <w:rPr>
          <w:color w:val="231F20"/>
          <w:spacing w:val="2"/>
          <w:w w:val="110"/>
          <w:sz w:val="18"/>
        </w:rPr>
        <w:t>from </w:t>
      </w:r>
      <w:r>
        <w:rPr>
          <w:color w:val="231F20"/>
          <w:w w:val="110"/>
          <w:sz w:val="18"/>
        </w:rPr>
        <w:t>the recipient of the Notice that the aforesaid recommendation has been rejected, the </w:t>
      </w:r>
      <w:r>
        <w:rPr>
          <w:color w:val="231F20"/>
          <w:spacing w:val="2"/>
          <w:w w:val="110"/>
          <w:sz w:val="18"/>
        </w:rPr>
        <w:t>case </w:t>
      </w:r>
      <w:r>
        <w:rPr>
          <w:color w:val="231F20"/>
          <w:w w:val="110"/>
          <w:sz w:val="18"/>
        </w:rPr>
        <w:t>shall forthwith be resumed within the Incapacity Procedure. The </w:t>
      </w:r>
      <w:r>
        <w:rPr>
          <w:color w:val="231F20"/>
          <w:spacing w:val="3"/>
          <w:w w:val="110"/>
          <w:sz w:val="18"/>
        </w:rPr>
        <w:t>Secretary </w:t>
      </w:r>
      <w:r>
        <w:rPr>
          <w:color w:val="231F20"/>
          <w:w w:val="110"/>
          <w:sz w:val="18"/>
        </w:rPr>
        <w:t>shall give notice to this </w:t>
      </w:r>
      <w:r>
        <w:rPr>
          <w:color w:val="231F20"/>
          <w:spacing w:val="3"/>
          <w:w w:val="110"/>
          <w:sz w:val="18"/>
        </w:rPr>
        <w:t>effect </w:t>
      </w:r>
      <w:r>
        <w:rPr>
          <w:color w:val="231F20"/>
          <w:w w:val="110"/>
          <w:sz w:val="18"/>
        </w:rPr>
        <w:t>to the Minister and the </w:t>
      </w:r>
      <w:r>
        <w:rPr>
          <w:color w:val="231F20"/>
          <w:spacing w:val="2"/>
          <w:w w:val="110"/>
          <w:sz w:val="18"/>
        </w:rPr>
        <w:t>persons </w:t>
      </w:r>
      <w:r>
        <w:rPr>
          <w:color w:val="231F20"/>
          <w:w w:val="110"/>
          <w:sz w:val="18"/>
        </w:rPr>
        <w:t>specified in Paragraph</w:t>
      </w:r>
      <w:r>
        <w:rPr>
          <w:color w:val="231F20"/>
          <w:spacing w:val="13"/>
          <w:w w:val="110"/>
          <w:sz w:val="18"/>
        </w:rPr>
        <w:t> </w:t>
      </w:r>
      <w:r>
        <w:rPr>
          <w:color w:val="231F20"/>
          <w:w w:val="110"/>
          <w:sz w:val="18"/>
        </w:rPr>
        <w:t>H.2.2.</w:t>
      </w:r>
    </w:p>
    <w:p>
      <w:pPr>
        <w:pStyle w:val="BodyText"/>
        <w:spacing w:before="10"/>
        <w:rPr>
          <w:sz w:val="20"/>
        </w:rPr>
      </w:pPr>
    </w:p>
    <w:p>
      <w:pPr>
        <w:pStyle w:val="ListParagraph"/>
        <w:numPr>
          <w:ilvl w:val="1"/>
          <w:numId w:val="191"/>
        </w:numPr>
        <w:tabs>
          <w:tab w:pos="1233" w:val="left" w:leader="none"/>
          <w:tab w:pos="1234" w:val="left" w:leader="none"/>
        </w:tabs>
        <w:spacing w:line="273" w:lineRule="auto" w:before="0" w:after="0"/>
        <w:ind w:left="513" w:right="1706" w:firstLine="0"/>
        <w:jc w:val="left"/>
        <w:rPr>
          <w:sz w:val="18"/>
        </w:rPr>
      </w:pPr>
      <w:r>
        <w:rPr>
          <w:color w:val="231F20"/>
          <w:w w:val="110"/>
          <w:sz w:val="18"/>
        </w:rPr>
        <w:t>No recommendation for </w:t>
      </w:r>
      <w:r>
        <w:rPr>
          <w:color w:val="231F20"/>
          <w:spacing w:val="2"/>
          <w:w w:val="110"/>
          <w:sz w:val="18"/>
        </w:rPr>
        <w:t>referral </w:t>
      </w:r>
      <w:r>
        <w:rPr>
          <w:color w:val="231F20"/>
          <w:w w:val="110"/>
          <w:sz w:val="18"/>
        </w:rPr>
        <w:t>to the Disciplinary </w:t>
      </w:r>
      <w:r>
        <w:rPr>
          <w:color w:val="231F20"/>
          <w:spacing w:val="2"/>
          <w:w w:val="110"/>
          <w:sz w:val="18"/>
        </w:rPr>
        <w:t>Process </w:t>
      </w:r>
      <w:r>
        <w:rPr>
          <w:color w:val="231F20"/>
          <w:w w:val="110"/>
          <w:sz w:val="18"/>
        </w:rPr>
        <w:t>shall be made in any </w:t>
      </w:r>
      <w:r>
        <w:rPr>
          <w:color w:val="231F20"/>
          <w:spacing w:val="2"/>
          <w:w w:val="110"/>
          <w:sz w:val="18"/>
        </w:rPr>
        <w:t>case </w:t>
      </w:r>
      <w:r>
        <w:rPr>
          <w:color w:val="231F20"/>
          <w:w w:val="110"/>
          <w:sz w:val="18"/>
        </w:rPr>
        <w:t>which comes within the Incapacity Procedure as a result of a recommendation </w:t>
      </w:r>
      <w:r>
        <w:rPr>
          <w:color w:val="231F20"/>
          <w:spacing w:val="2"/>
          <w:w w:val="110"/>
          <w:sz w:val="18"/>
        </w:rPr>
        <w:t>from</w:t>
      </w:r>
      <w:r>
        <w:rPr>
          <w:color w:val="231F20"/>
          <w:spacing w:val="73"/>
          <w:w w:val="110"/>
          <w:sz w:val="18"/>
        </w:rPr>
        <w:t> </w:t>
      </w:r>
      <w:r>
        <w:rPr>
          <w:color w:val="231F20"/>
          <w:w w:val="110"/>
          <w:sz w:val="18"/>
        </w:rPr>
        <w:t>the Disciplinary</w:t>
      </w:r>
      <w:r>
        <w:rPr>
          <w:color w:val="231F20"/>
          <w:spacing w:val="3"/>
          <w:w w:val="110"/>
          <w:sz w:val="18"/>
        </w:rPr>
        <w:t> </w:t>
      </w:r>
      <w:r>
        <w:rPr>
          <w:color w:val="231F20"/>
          <w:spacing w:val="2"/>
          <w:w w:val="110"/>
          <w:sz w:val="18"/>
        </w:rPr>
        <w:t>Process.</w:t>
      </w:r>
    </w:p>
    <w:p>
      <w:pPr>
        <w:pStyle w:val="BodyText"/>
        <w:spacing w:before="9"/>
        <w:rPr>
          <w:sz w:val="20"/>
        </w:rPr>
      </w:pPr>
    </w:p>
    <w:p>
      <w:pPr>
        <w:pStyle w:val="ListParagraph"/>
        <w:numPr>
          <w:ilvl w:val="1"/>
          <w:numId w:val="191"/>
        </w:numPr>
        <w:tabs>
          <w:tab w:pos="1233" w:val="left" w:leader="none"/>
          <w:tab w:pos="1234" w:val="left" w:leader="none"/>
        </w:tabs>
        <w:spacing w:line="273" w:lineRule="auto" w:before="0" w:after="0"/>
        <w:ind w:left="513" w:right="1848" w:firstLine="0"/>
        <w:jc w:val="left"/>
        <w:rPr>
          <w:sz w:val="18"/>
        </w:rPr>
      </w:pPr>
      <w:r>
        <w:rPr>
          <w:color w:val="231F20"/>
          <w:spacing w:val="3"/>
          <w:w w:val="110"/>
          <w:sz w:val="18"/>
        </w:rPr>
        <w:t>As </w:t>
      </w:r>
      <w:r>
        <w:rPr>
          <w:color w:val="231F20"/>
          <w:w w:val="110"/>
          <w:sz w:val="18"/>
        </w:rPr>
        <w:t>to the position regarding the suspension of a Minister to whom this </w:t>
      </w:r>
      <w:r>
        <w:rPr>
          <w:color w:val="231F20"/>
          <w:spacing w:val="2"/>
          <w:w w:val="110"/>
          <w:sz w:val="18"/>
        </w:rPr>
        <w:t>Section </w:t>
      </w:r>
      <w:r>
        <w:rPr>
          <w:color w:val="231F20"/>
          <w:w w:val="110"/>
          <w:sz w:val="18"/>
        </w:rPr>
        <w:t>H applies, see Paragraph</w:t>
      </w:r>
      <w:r>
        <w:rPr>
          <w:color w:val="231F20"/>
          <w:spacing w:val="3"/>
          <w:w w:val="110"/>
          <w:sz w:val="18"/>
        </w:rPr>
        <w:t> </w:t>
      </w:r>
      <w:r>
        <w:rPr>
          <w:color w:val="231F20"/>
          <w:w w:val="110"/>
          <w:sz w:val="18"/>
        </w:rPr>
        <w:t>E.5.5.</w:t>
      </w:r>
    </w:p>
    <w:p>
      <w:pPr>
        <w:pStyle w:val="BodyText"/>
        <w:spacing w:before="8"/>
        <w:rPr>
          <w:sz w:val="20"/>
        </w:rPr>
      </w:pPr>
    </w:p>
    <w:p>
      <w:pPr>
        <w:spacing w:before="0"/>
        <w:ind w:left="513" w:right="0" w:firstLine="0"/>
        <w:jc w:val="left"/>
        <w:rPr>
          <w:i/>
          <w:sz w:val="18"/>
        </w:rPr>
      </w:pPr>
      <w:r>
        <w:rPr>
          <w:i/>
          <w:color w:val="231F20"/>
          <w:w w:val="110"/>
          <w:sz w:val="18"/>
        </w:rPr>
        <w:t>For the avoidance of confusion, there is no Section I.</w:t>
      </w:r>
    </w:p>
    <w:p>
      <w:pPr>
        <w:pStyle w:val="BodyText"/>
        <w:spacing w:before="5"/>
        <w:rPr>
          <w:i/>
          <w:sz w:val="21"/>
        </w:rPr>
      </w:pPr>
    </w:p>
    <w:p>
      <w:pPr>
        <w:numPr>
          <w:ilvl w:val="0"/>
          <w:numId w:val="192"/>
        </w:numPr>
        <w:tabs>
          <w:tab w:pos="1233" w:val="left" w:leader="none"/>
          <w:tab w:pos="1234" w:val="left" w:leader="none"/>
        </w:tabs>
        <w:spacing w:before="1"/>
        <w:ind w:left="1233" w:right="0" w:hanging="721"/>
        <w:jc w:val="left"/>
        <w:rPr>
          <w:b/>
          <w:sz w:val="20"/>
        </w:rPr>
      </w:pPr>
      <w:r>
        <w:rPr>
          <w:b/>
          <w:color w:val="231F20"/>
          <w:w w:val="110"/>
          <w:sz w:val="20"/>
        </w:rPr>
        <w:t>HEARINGS</w:t>
      </w:r>
    </w:p>
    <w:p>
      <w:pPr>
        <w:pStyle w:val="BodyText"/>
        <w:spacing w:before="9"/>
        <w:rPr>
          <w:b/>
          <w:sz w:val="22"/>
        </w:rPr>
      </w:pPr>
    </w:p>
    <w:p>
      <w:pPr>
        <w:pStyle w:val="ListParagraph"/>
        <w:numPr>
          <w:ilvl w:val="1"/>
          <w:numId w:val="192"/>
        </w:numPr>
        <w:tabs>
          <w:tab w:pos="1233" w:val="left" w:leader="none"/>
          <w:tab w:pos="1234" w:val="left" w:leader="none"/>
        </w:tabs>
        <w:spacing w:line="273" w:lineRule="auto" w:before="0" w:after="0"/>
        <w:ind w:left="515" w:right="1771" w:hanging="2"/>
        <w:jc w:val="left"/>
        <w:rPr>
          <w:sz w:val="18"/>
        </w:rPr>
      </w:pPr>
      <w:r>
        <w:rPr>
          <w:color w:val="231F20"/>
          <w:w w:val="110"/>
          <w:sz w:val="18"/>
        </w:rPr>
        <w:t>The Review Commission shall decide when it is appropriate for a Hearing to take place and whom it requires to attend, whereupon the Secretary shall consult with the </w:t>
      </w:r>
      <w:r>
        <w:rPr>
          <w:color w:val="231F20"/>
          <w:spacing w:val="-4"/>
          <w:w w:val="110"/>
          <w:sz w:val="18"/>
        </w:rPr>
        <w:t>Convener, </w:t>
      </w:r>
      <w:r>
        <w:rPr>
          <w:color w:val="231F20"/>
          <w:w w:val="110"/>
          <w:sz w:val="18"/>
        </w:rPr>
        <w:t>the other members of the Review Commission, the Minister and </w:t>
      </w:r>
      <w:r>
        <w:rPr>
          <w:color w:val="231F20"/>
          <w:spacing w:val="-3"/>
          <w:w w:val="110"/>
          <w:sz w:val="18"/>
        </w:rPr>
        <w:t>any </w:t>
      </w:r>
      <w:r>
        <w:rPr>
          <w:color w:val="231F20"/>
          <w:w w:val="110"/>
          <w:sz w:val="18"/>
        </w:rPr>
        <w:t>other such persons as might be required to attend as to the venue, date and time for the Hearing </w:t>
      </w:r>
      <w:r>
        <w:rPr>
          <w:color w:val="231F20"/>
          <w:spacing w:val="-3"/>
          <w:w w:val="110"/>
          <w:sz w:val="18"/>
        </w:rPr>
        <w:t>and, </w:t>
      </w:r>
      <w:r>
        <w:rPr>
          <w:color w:val="231F20"/>
          <w:w w:val="110"/>
          <w:sz w:val="18"/>
        </w:rPr>
        <w:t>when these are fixed, shall </w:t>
      </w:r>
      <w:r>
        <w:rPr>
          <w:color w:val="231F20"/>
          <w:spacing w:val="-3"/>
          <w:w w:val="110"/>
          <w:sz w:val="18"/>
        </w:rPr>
        <w:t>give </w:t>
      </w:r>
      <w:r>
        <w:rPr>
          <w:color w:val="231F20"/>
          <w:w w:val="110"/>
          <w:sz w:val="18"/>
        </w:rPr>
        <w:t>written notification thereof to all concerned with the request that they confirm their intention to attend </w:t>
      </w:r>
      <w:r>
        <w:rPr>
          <w:color w:val="231F20"/>
          <w:spacing w:val="-3"/>
          <w:w w:val="110"/>
          <w:sz w:val="18"/>
        </w:rPr>
        <w:t>and, </w:t>
      </w:r>
      <w:r>
        <w:rPr>
          <w:color w:val="231F20"/>
          <w:w w:val="110"/>
          <w:sz w:val="18"/>
        </w:rPr>
        <w:t>in the case of the </w:t>
      </w:r>
      <w:r>
        <w:rPr>
          <w:color w:val="231F20"/>
          <w:spacing w:val="-4"/>
          <w:w w:val="110"/>
          <w:sz w:val="18"/>
        </w:rPr>
        <w:t>Minister, </w:t>
      </w:r>
      <w:r>
        <w:rPr>
          <w:color w:val="231F20"/>
          <w:w w:val="110"/>
          <w:sz w:val="18"/>
        </w:rPr>
        <w:t>state whether it is his/her intention to </w:t>
      </w:r>
      <w:r>
        <w:rPr>
          <w:color w:val="231F20"/>
          <w:spacing w:val="-3"/>
          <w:w w:val="110"/>
          <w:sz w:val="18"/>
        </w:rPr>
        <w:t>have </w:t>
      </w:r>
      <w:r>
        <w:rPr>
          <w:color w:val="231F20"/>
          <w:w w:val="110"/>
          <w:sz w:val="18"/>
        </w:rPr>
        <w:t>a person to accompany</w:t>
      </w:r>
      <w:r>
        <w:rPr>
          <w:color w:val="231F20"/>
          <w:spacing w:val="-23"/>
          <w:w w:val="110"/>
          <w:sz w:val="18"/>
        </w:rPr>
        <w:t> </w:t>
      </w:r>
      <w:r>
        <w:rPr>
          <w:color w:val="231F20"/>
          <w:spacing w:val="-4"/>
          <w:w w:val="110"/>
          <w:sz w:val="18"/>
        </w:rPr>
        <w:t>him/her.</w:t>
      </w:r>
    </w:p>
    <w:p>
      <w:pPr>
        <w:pStyle w:val="BodyText"/>
        <w:spacing w:before="11"/>
        <w:rPr>
          <w:sz w:val="20"/>
        </w:rPr>
      </w:pPr>
    </w:p>
    <w:p>
      <w:pPr>
        <w:pStyle w:val="ListParagraph"/>
        <w:numPr>
          <w:ilvl w:val="1"/>
          <w:numId w:val="192"/>
        </w:numPr>
        <w:tabs>
          <w:tab w:pos="1242" w:val="left" w:leader="none"/>
          <w:tab w:pos="1243" w:val="left" w:leader="none"/>
        </w:tabs>
        <w:spacing w:line="273" w:lineRule="auto" w:before="1" w:after="0"/>
        <w:ind w:left="522" w:right="1773" w:firstLine="0"/>
        <w:jc w:val="left"/>
        <w:rPr>
          <w:sz w:val="18"/>
        </w:rPr>
      </w:pPr>
      <w:r>
        <w:rPr>
          <w:color w:val="231F20"/>
          <w:w w:val="110"/>
          <w:sz w:val="18"/>
        </w:rPr>
        <w:t>The Hearing shall be conducted in private and only the following </w:t>
      </w:r>
      <w:r>
        <w:rPr>
          <w:color w:val="231F20"/>
          <w:spacing w:val="2"/>
          <w:w w:val="110"/>
          <w:sz w:val="18"/>
        </w:rPr>
        <w:t>persons </w:t>
      </w:r>
      <w:r>
        <w:rPr>
          <w:color w:val="231F20"/>
          <w:w w:val="110"/>
          <w:sz w:val="18"/>
        </w:rPr>
        <w:t>shall be </w:t>
      </w:r>
      <w:r>
        <w:rPr>
          <w:color w:val="231F20"/>
          <w:spacing w:val="2"/>
          <w:w w:val="110"/>
          <w:sz w:val="18"/>
        </w:rPr>
        <w:t>permitted </w:t>
      </w:r>
      <w:r>
        <w:rPr>
          <w:color w:val="231F20"/>
          <w:w w:val="110"/>
          <w:sz w:val="18"/>
        </w:rPr>
        <w:t>to</w:t>
      </w:r>
      <w:r>
        <w:rPr>
          <w:color w:val="231F20"/>
          <w:spacing w:val="-1"/>
          <w:w w:val="110"/>
          <w:sz w:val="18"/>
        </w:rPr>
        <w:t> </w:t>
      </w:r>
      <w:r>
        <w:rPr>
          <w:color w:val="231F20"/>
          <w:w w:val="110"/>
          <w:sz w:val="18"/>
        </w:rPr>
        <w:t>attend:</w:t>
      </w:r>
    </w:p>
    <w:p>
      <w:pPr>
        <w:pStyle w:val="BodyText"/>
        <w:spacing w:before="1"/>
      </w:pPr>
    </w:p>
    <w:p>
      <w:pPr>
        <w:pStyle w:val="ListParagraph"/>
        <w:numPr>
          <w:ilvl w:val="0"/>
          <w:numId w:val="132"/>
        </w:numPr>
        <w:tabs>
          <w:tab w:pos="1194" w:val="left" w:leader="none"/>
          <w:tab w:pos="1195" w:val="left" w:leader="none"/>
        </w:tabs>
        <w:spacing w:line="277" w:lineRule="exact" w:before="1" w:after="0"/>
        <w:ind w:left="1194" w:right="0" w:hanging="682"/>
        <w:jc w:val="left"/>
        <w:rPr>
          <w:sz w:val="18"/>
        </w:rPr>
      </w:pPr>
      <w:r>
        <w:rPr>
          <w:color w:val="231F20"/>
          <w:w w:val="110"/>
          <w:sz w:val="18"/>
        </w:rPr>
        <w:t>The </w:t>
      </w:r>
      <w:r>
        <w:rPr>
          <w:color w:val="231F20"/>
          <w:spacing w:val="2"/>
          <w:w w:val="110"/>
          <w:sz w:val="18"/>
        </w:rPr>
        <w:t>members </w:t>
      </w:r>
      <w:r>
        <w:rPr>
          <w:color w:val="231F20"/>
          <w:w w:val="110"/>
          <w:sz w:val="18"/>
        </w:rPr>
        <w:t>of the Review</w:t>
      </w:r>
      <w:r>
        <w:rPr>
          <w:color w:val="231F20"/>
          <w:spacing w:val="4"/>
          <w:w w:val="110"/>
          <w:sz w:val="18"/>
        </w:rPr>
        <w:t> </w:t>
      </w:r>
      <w:r>
        <w:rPr>
          <w:color w:val="231F20"/>
          <w:w w:val="110"/>
          <w:sz w:val="18"/>
        </w:rPr>
        <w:t>Commission</w:t>
      </w:r>
    </w:p>
    <w:p>
      <w:pPr>
        <w:pStyle w:val="ListParagraph"/>
        <w:numPr>
          <w:ilvl w:val="0"/>
          <w:numId w:val="132"/>
        </w:numPr>
        <w:tabs>
          <w:tab w:pos="1194" w:val="left" w:leader="none"/>
          <w:tab w:pos="1195" w:val="left" w:leader="none"/>
        </w:tabs>
        <w:spacing w:line="250" w:lineRule="exact" w:before="0" w:after="0"/>
        <w:ind w:left="1194" w:right="0" w:hanging="682"/>
        <w:jc w:val="left"/>
        <w:rPr>
          <w:sz w:val="18"/>
        </w:rPr>
      </w:pPr>
      <w:r>
        <w:rPr>
          <w:color w:val="231F20"/>
          <w:w w:val="110"/>
          <w:sz w:val="18"/>
        </w:rPr>
        <w:t>The </w:t>
      </w:r>
      <w:r>
        <w:rPr>
          <w:color w:val="231F20"/>
          <w:spacing w:val="3"/>
          <w:w w:val="110"/>
          <w:sz w:val="18"/>
        </w:rPr>
        <w:t>Secretary </w:t>
      </w:r>
      <w:r>
        <w:rPr>
          <w:color w:val="231F20"/>
          <w:w w:val="110"/>
          <w:sz w:val="18"/>
        </w:rPr>
        <w:t>or a duly appointed</w:t>
      </w:r>
      <w:r>
        <w:rPr>
          <w:color w:val="231F20"/>
          <w:spacing w:val="5"/>
          <w:w w:val="110"/>
          <w:sz w:val="18"/>
        </w:rPr>
        <w:t> </w:t>
      </w:r>
      <w:r>
        <w:rPr>
          <w:color w:val="231F20"/>
          <w:w w:val="110"/>
          <w:sz w:val="18"/>
        </w:rPr>
        <w:t>Deputy</w:t>
      </w:r>
    </w:p>
    <w:p>
      <w:pPr>
        <w:pStyle w:val="ListParagraph"/>
        <w:numPr>
          <w:ilvl w:val="0"/>
          <w:numId w:val="132"/>
        </w:numPr>
        <w:tabs>
          <w:tab w:pos="1194" w:val="left" w:leader="none"/>
          <w:tab w:pos="1195" w:val="left" w:leader="none"/>
        </w:tabs>
        <w:spacing w:line="250" w:lineRule="exact" w:before="0" w:after="0"/>
        <w:ind w:left="1194" w:right="0" w:hanging="682"/>
        <w:jc w:val="left"/>
        <w:rPr>
          <w:sz w:val="18"/>
        </w:rPr>
      </w:pPr>
      <w:r>
        <w:rPr>
          <w:color w:val="231F20"/>
          <w:w w:val="110"/>
          <w:sz w:val="18"/>
        </w:rPr>
        <w:t>The Minister</w:t>
      </w:r>
    </w:p>
    <w:p>
      <w:pPr>
        <w:pStyle w:val="ListParagraph"/>
        <w:numPr>
          <w:ilvl w:val="0"/>
          <w:numId w:val="132"/>
        </w:numPr>
        <w:tabs>
          <w:tab w:pos="1194" w:val="left" w:leader="none"/>
          <w:tab w:pos="1195" w:val="left" w:leader="none"/>
        </w:tabs>
        <w:spacing w:line="250" w:lineRule="exact" w:before="0" w:after="0"/>
        <w:ind w:left="1194" w:right="0" w:hanging="682"/>
        <w:jc w:val="left"/>
        <w:rPr>
          <w:sz w:val="18"/>
        </w:rPr>
      </w:pPr>
      <w:r>
        <w:rPr>
          <w:color w:val="231F20"/>
          <w:w w:val="110"/>
          <w:sz w:val="18"/>
        </w:rPr>
        <w:t>A </w:t>
      </w:r>
      <w:r>
        <w:rPr>
          <w:color w:val="231F20"/>
          <w:spacing w:val="2"/>
          <w:w w:val="110"/>
          <w:sz w:val="18"/>
        </w:rPr>
        <w:t>person </w:t>
      </w:r>
      <w:r>
        <w:rPr>
          <w:color w:val="231F20"/>
          <w:w w:val="110"/>
          <w:sz w:val="18"/>
        </w:rPr>
        <w:t>chosen by the Minister to accompany</w:t>
      </w:r>
      <w:r>
        <w:rPr>
          <w:color w:val="231F20"/>
          <w:spacing w:val="12"/>
          <w:w w:val="110"/>
          <w:sz w:val="18"/>
        </w:rPr>
        <w:t> </w:t>
      </w:r>
      <w:r>
        <w:rPr>
          <w:color w:val="231F20"/>
          <w:w w:val="110"/>
          <w:sz w:val="18"/>
        </w:rPr>
        <w:t>him/her</w:t>
      </w:r>
    </w:p>
    <w:p>
      <w:pPr>
        <w:pStyle w:val="ListParagraph"/>
        <w:numPr>
          <w:ilvl w:val="0"/>
          <w:numId w:val="132"/>
        </w:numPr>
        <w:tabs>
          <w:tab w:pos="1194" w:val="left" w:leader="none"/>
          <w:tab w:pos="1195" w:val="left" w:leader="none"/>
        </w:tabs>
        <w:spacing w:line="218" w:lineRule="auto" w:before="0" w:after="0"/>
        <w:ind w:left="1194" w:right="1745" w:hanging="681"/>
        <w:jc w:val="left"/>
        <w:rPr>
          <w:sz w:val="18"/>
        </w:rPr>
      </w:pPr>
      <w:r>
        <w:rPr>
          <w:color w:val="231F20"/>
          <w:w w:val="110"/>
          <w:sz w:val="18"/>
        </w:rPr>
        <w:t>Any medical, specialist, </w:t>
      </w:r>
      <w:r>
        <w:rPr>
          <w:color w:val="231F20"/>
          <w:spacing w:val="2"/>
          <w:w w:val="110"/>
          <w:sz w:val="18"/>
        </w:rPr>
        <w:t>expert </w:t>
      </w:r>
      <w:r>
        <w:rPr>
          <w:color w:val="231F20"/>
          <w:w w:val="110"/>
          <w:sz w:val="18"/>
        </w:rPr>
        <w:t>or other witnesses, but only while giving evidence, unless the Review Commission otherwise</w:t>
      </w:r>
      <w:r>
        <w:rPr>
          <w:color w:val="231F20"/>
          <w:spacing w:val="11"/>
          <w:w w:val="110"/>
          <w:sz w:val="18"/>
        </w:rPr>
        <w:t> </w:t>
      </w:r>
      <w:r>
        <w:rPr>
          <w:color w:val="231F20"/>
          <w:spacing w:val="2"/>
          <w:w w:val="110"/>
          <w:sz w:val="18"/>
        </w:rPr>
        <w:t>directs</w:t>
      </w:r>
    </w:p>
    <w:p>
      <w:pPr>
        <w:pStyle w:val="ListParagraph"/>
        <w:numPr>
          <w:ilvl w:val="0"/>
          <w:numId w:val="132"/>
        </w:numPr>
        <w:tabs>
          <w:tab w:pos="1194" w:val="left" w:leader="none"/>
          <w:tab w:pos="1195" w:val="left" w:leader="none"/>
        </w:tabs>
        <w:spacing w:line="218" w:lineRule="auto" w:before="16" w:after="0"/>
        <w:ind w:left="1194" w:right="2176" w:hanging="681"/>
        <w:jc w:val="left"/>
        <w:rPr>
          <w:sz w:val="18"/>
        </w:rPr>
      </w:pPr>
      <w:r>
        <w:rPr>
          <w:color w:val="231F20"/>
          <w:w w:val="110"/>
          <w:sz w:val="18"/>
        </w:rPr>
        <w:t>A representative of the Church’s Legal Advisers, if requested to attend by the Review</w:t>
      </w:r>
      <w:r>
        <w:rPr>
          <w:color w:val="231F20"/>
          <w:spacing w:val="1"/>
          <w:w w:val="110"/>
          <w:sz w:val="18"/>
        </w:rPr>
        <w:t> </w:t>
      </w:r>
      <w:r>
        <w:rPr>
          <w:color w:val="231F20"/>
          <w:w w:val="110"/>
          <w:sz w:val="18"/>
        </w:rPr>
        <w:t>Commission.</w:t>
      </w:r>
    </w:p>
    <w:p>
      <w:pPr>
        <w:pStyle w:val="ListParagraph"/>
        <w:numPr>
          <w:ilvl w:val="0"/>
          <w:numId w:val="132"/>
        </w:numPr>
        <w:tabs>
          <w:tab w:pos="1194" w:val="left" w:leader="none"/>
          <w:tab w:pos="1195" w:val="left" w:leader="none"/>
        </w:tabs>
        <w:spacing w:line="218" w:lineRule="auto" w:before="25" w:after="0"/>
        <w:ind w:left="1194" w:right="2323" w:hanging="681"/>
        <w:jc w:val="left"/>
        <w:rPr>
          <w:sz w:val="18"/>
        </w:rPr>
      </w:pPr>
      <w:r>
        <w:rPr>
          <w:color w:val="231F20"/>
          <w:w w:val="110"/>
          <w:sz w:val="18"/>
        </w:rPr>
        <w:t>Any </w:t>
      </w:r>
      <w:r>
        <w:rPr>
          <w:color w:val="231F20"/>
          <w:spacing w:val="2"/>
          <w:w w:val="110"/>
          <w:sz w:val="18"/>
        </w:rPr>
        <w:t>person </w:t>
      </w:r>
      <w:r>
        <w:rPr>
          <w:color w:val="231F20"/>
          <w:w w:val="110"/>
          <w:sz w:val="18"/>
        </w:rPr>
        <w:t>responsible for operating the recording equipment or otherwise preparing</w:t>
      </w:r>
      <w:r>
        <w:rPr>
          <w:color w:val="231F20"/>
          <w:spacing w:val="12"/>
          <w:w w:val="110"/>
          <w:sz w:val="18"/>
        </w:rPr>
        <w:t> </w:t>
      </w:r>
      <w:r>
        <w:rPr>
          <w:color w:val="231F20"/>
          <w:w w:val="110"/>
          <w:sz w:val="18"/>
        </w:rPr>
        <w:t>a</w:t>
      </w:r>
      <w:r>
        <w:rPr>
          <w:color w:val="231F20"/>
          <w:spacing w:val="12"/>
          <w:w w:val="110"/>
          <w:sz w:val="18"/>
        </w:rPr>
        <w:t> </w:t>
      </w:r>
      <w:r>
        <w:rPr>
          <w:color w:val="231F20"/>
          <w:w w:val="110"/>
          <w:sz w:val="18"/>
        </w:rPr>
        <w:t>verbatim</w:t>
      </w:r>
      <w:r>
        <w:rPr>
          <w:color w:val="231F20"/>
          <w:spacing w:val="12"/>
          <w:w w:val="110"/>
          <w:sz w:val="18"/>
        </w:rPr>
        <w:t> </w:t>
      </w:r>
      <w:r>
        <w:rPr>
          <w:color w:val="231F20"/>
          <w:spacing w:val="3"/>
          <w:w w:val="110"/>
          <w:sz w:val="18"/>
        </w:rPr>
        <w:t>report</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proceedings</w:t>
      </w:r>
      <w:r>
        <w:rPr>
          <w:color w:val="231F20"/>
          <w:spacing w:val="12"/>
          <w:w w:val="110"/>
          <w:sz w:val="18"/>
        </w:rPr>
        <w:t> </w:t>
      </w:r>
      <w:r>
        <w:rPr>
          <w:color w:val="231F20"/>
          <w:spacing w:val="2"/>
          <w:w w:val="110"/>
          <w:sz w:val="18"/>
        </w:rPr>
        <w:t>referred</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in</w:t>
      </w:r>
      <w:r>
        <w:rPr>
          <w:color w:val="231F20"/>
          <w:spacing w:val="12"/>
          <w:w w:val="110"/>
          <w:sz w:val="18"/>
        </w:rPr>
        <w:t> </w:t>
      </w:r>
      <w:r>
        <w:rPr>
          <w:color w:val="231F20"/>
          <w:w w:val="110"/>
          <w:sz w:val="18"/>
        </w:rPr>
        <w:t>Paragraph</w:t>
      </w:r>
      <w:r>
        <w:rPr>
          <w:color w:val="231F20"/>
          <w:spacing w:val="12"/>
          <w:w w:val="110"/>
          <w:sz w:val="18"/>
        </w:rPr>
        <w:t> </w:t>
      </w:r>
      <w:r>
        <w:rPr>
          <w:color w:val="231F20"/>
          <w:spacing w:val="-6"/>
          <w:w w:val="110"/>
          <w:sz w:val="18"/>
        </w:rPr>
        <w:t>J.9.</w:t>
      </w:r>
    </w:p>
    <w:p>
      <w:pPr>
        <w:pStyle w:val="BodyText"/>
        <w:spacing w:before="6"/>
        <w:rPr>
          <w:sz w:val="23"/>
        </w:rPr>
      </w:pPr>
    </w:p>
    <w:p>
      <w:pPr>
        <w:pStyle w:val="ListParagraph"/>
        <w:numPr>
          <w:ilvl w:val="1"/>
          <w:numId w:val="192"/>
        </w:numPr>
        <w:tabs>
          <w:tab w:pos="1233" w:val="left" w:leader="none"/>
          <w:tab w:pos="1234" w:val="left" w:leader="none"/>
        </w:tabs>
        <w:spacing w:line="273" w:lineRule="auto" w:before="0" w:after="0"/>
        <w:ind w:left="513" w:right="1914" w:firstLine="0"/>
        <w:jc w:val="left"/>
        <w:rPr>
          <w:sz w:val="18"/>
        </w:rPr>
      </w:pPr>
      <w:r>
        <w:rPr>
          <w:color w:val="231F20"/>
          <w:w w:val="110"/>
          <w:sz w:val="18"/>
        </w:rPr>
        <w:t>Subject to ensuring that the rules of natural justice are observed, the Convener should ensure that the proceedings are as relaxed and informal as</w:t>
      </w:r>
      <w:r>
        <w:rPr>
          <w:color w:val="231F20"/>
          <w:spacing w:val="62"/>
          <w:w w:val="110"/>
          <w:sz w:val="18"/>
        </w:rPr>
        <w:t> </w:t>
      </w:r>
      <w:r>
        <w:rPr>
          <w:color w:val="231F20"/>
          <w:w w:val="110"/>
          <w:sz w:val="18"/>
        </w:rPr>
        <w:t>possible.</w:t>
      </w:r>
    </w:p>
    <w:p>
      <w:pPr>
        <w:pStyle w:val="BodyText"/>
        <w:spacing w:before="8"/>
        <w:rPr>
          <w:sz w:val="20"/>
        </w:rPr>
      </w:pPr>
    </w:p>
    <w:p>
      <w:pPr>
        <w:pStyle w:val="ListParagraph"/>
        <w:numPr>
          <w:ilvl w:val="1"/>
          <w:numId w:val="192"/>
        </w:numPr>
        <w:tabs>
          <w:tab w:pos="1233" w:val="left" w:leader="none"/>
          <w:tab w:pos="1234" w:val="left" w:leader="none"/>
        </w:tabs>
        <w:spacing w:line="273" w:lineRule="auto" w:before="0" w:after="0"/>
        <w:ind w:left="514" w:right="1747" w:hanging="2"/>
        <w:jc w:val="left"/>
        <w:rPr>
          <w:sz w:val="18"/>
        </w:rPr>
      </w:pPr>
      <w:r>
        <w:rPr>
          <w:color w:val="231F20"/>
          <w:w w:val="110"/>
          <w:sz w:val="18"/>
        </w:rPr>
        <w:t>All witnesses called by the Review Commission to give evidence shall be subject to questioning by the Convener </w:t>
      </w:r>
      <w:r>
        <w:rPr>
          <w:color w:val="231F20"/>
          <w:spacing w:val="-6"/>
          <w:w w:val="110"/>
          <w:sz w:val="18"/>
        </w:rPr>
        <w:t>(and </w:t>
      </w:r>
      <w:r>
        <w:rPr>
          <w:color w:val="231F20"/>
          <w:w w:val="110"/>
          <w:sz w:val="18"/>
        </w:rPr>
        <w:t>by other members of the Review Commission with the Convener’s </w:t>
      </w:r>
      <w:r>
        <w:rPr>
          <w:color w:val="231F20"/>
          <w:spacing w:val="-3"/>
          <w:w w:val="110"/>
          <w:sz w:val="18"/>
        </w:rPr>
        <w:t>permission). </w:t>
      </w:r>
      <w:r>
        <w:rPr>
          <w:color w:val="231F20"/>
          <w:w w:val="110"/>
          <w:sz w:val="18"/>
        </w:rPr>
        <w:t>The Minister shall be entitled to ask questions of such</w:t>
      </w:r>
      <w:r>
        <w:rPr>
          <w:color w:val="231F20"/>
          <w:spacing w:val="17"/>
          <w:w w:val="110"/>
          <w:sz w:val="18"/>
        </w:rPr>
        <w:t> </w:t>
      </w:r>
      <w:r>
        <w:rPr>
          <w:color w:val="231F20"/>
          <w:w w:val="110"/>
          <w:sz w:val="18"/>
        </w:rPr>
        <w:t>witnesses.</w:t>
      </w:r>
    </w:p>
    <w:p>
      <w:pPr>
        <w:pStyle w:val="BodyText"/>
        <w:spacing w:before="9"/>
        <w:rPr>
          <w:sz w:val="20"/>
        </w:rPr>
      </w:pPr>
    </w:p>
    <w:p>
      <w:pPr>
        <w:pStyle w:val="ListParagraph"/>
        <w:numPr>
          <w:ilvl w:val="1"/>
          <w:numId w:val="192"/>
        </w:numPr>
        <w:tabs>
          <w:tab w:pos="1236" w:val="left" w:leader="none"/>
          <w:tab w:pos="1237" w:val="left" w:leader="none"/>
        </w:tabs>
        <w:spacing w:line="273" w:lineRule="auto" w:before="0" w:after="0"/>
        <w:ind w:left="516" w:right="1716" w:firstLine="0"/>
        <w:jc w:val="left"/>
        <w:rPr>
          <w:sz w:val="18"/>
        </w:rPr>
      </w:pPr>
      <w:r>
        <w:rPr>
          <w:color w:val="231F20"/>
          <w:w w:val="110"/>
          <w:sz w:val="18"/>
        </w:rPr>
        <w:t>When the </w:t>
      </w:r>
      <w:r>
        <w:rPr>
          <w:color w:val="231F20"/>
          <w:spacing w:val="2"/>
          <w:w w:val="110"/>
          <w:sz w:val="18"/>
        </w:rPr>
        <w:t>process described </w:t>
      </w:r>
      <w:r>
        <w:rPr>
          <w:color w:val="231F20"/>
          <w:w w:val="110"/>
          <w:sz w:val="18"/>
        </w:rPr>
        <w:t>in Paragraph </w:t>
      </w:r>
      <w:r>
        <w:rPr>
          <w:color w:val="231F20"/>
          <w:spacing w:val="-4"/>
          <w:w w:val="110"/>
          <w:sz w:val="18"/>
        </w:rPr>
        <w:t>J.4 </w:t>
      </w:r>
      <w:r>
        <w:rPr>
          <w:color w:val="231F20"/>
          <w:w w:val="110"/>
          <w:sz w:val="18"/>
        </w:rPr>
        <w:t>has been completed, the Minister or his/her representative may invite witnesses called by him/her to give evidence and may question them, as may the Convener and other </w:t>
      </w:r>
      <w:r>
        <w:rPr>
          <w:color w:val="231F20"/>
          <w:spacing w:val="2"/>
          <w:w w:val="110"/>
          <w:sz w:val="18"/>
        </w:rPr>
        <w:t>members </w:t>
      </w:r>
      <w:r>
        <w:rPr>
          <w:color w:val="231F20"/>
          <w:w w:val="110"/>
          <w:sz w:val="18"/>
        </w:rPr>
        <w:t>of the Review Commission   with the Convener’s</w:t>
      </w:r>
      <w:r>
        <w:rPr>
          <w:color w:val="231F20"/>
          <w:spacing w:val="3"/>
          <w:w w:val="110"/>
          <w:sz w:val="18"/>
        </w:rPr>
        <w:t> </w:t>
      </w:r>
      <w:r>
        <w:rPr>
          <w:color w:val="231F20"/>
          <w:w w:val="110"/>
          <w:sz w:val="18"/>
        </w:rPr>
        <w:t>permission.</w:t>
      </w:r>
    </w:p>
    <w:p>
      <w:pPr>
        <w:pStyle w:val="BodyText"/>
        <w:spacing w:before="9"/>
        <w:rPr>
          <w:sz w:val="20"/>
        </w:rPr>
      </w:pPr>
    </w:p>
    <w:p>
      <w:pPr>
        <w:pStyle w:val="ListParagraph"/>
        <w:numPr>
          <w:ilvl w:val="1"/>
          <w:numId w:val="192"/>
        </w:numPr>
        <w:tabs>
          <w:tab w:pos="1236" w:val="left" w:leader="none"/>
          <w:tab w:pos="1237" w:val="left" w:leader="none"/>
        </w:tabs>
        <w:spacing w:line="273" w:lineRule="auto" w:before="0" w:after="0"/>
        <w:ind w:left="516" w:right="2526" w:firstLine="0"/>
        <w:jc w:val="left"/>
        <w:rPr>
          <w:sz w:val="18"/>
        </w:rPr>
      </w:pPr>
      <w:r>
        <w:rPr>
          <w:color w:val="231F20"/>
          <w:w w:val="110"/>
          <w:sz w:val="18"/>
        </w:rPr>
        <w:t>When all the witnesses have given evidence, the Minister or the Minister’s representative may if s/he wishes address the Review</w:t>
      </w:r>
      <w:r>
        <w:rPr>
          <w:color w:val="231F20"/>
          <w:spacing w:val="38"/>
          <w:w w:val="110"/>
          <w:sz w:val="18"/>
        </w:rPr>
        <w:t> </w:t>
      </w:r>
      <w:r>
        <w:rPr>
          <w:color w:val="231F20"/>
          <w:w w:val="110"/>
          <w:sz w:val="18"/>
        </w:rPr>
        <w:t>Commission.</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92"/>
        </w:numPr>
        <w:tabs>
          <w:tab w:pos="1800" w:val="left" w:leader="none"/>
          <w:tab w:pos="1801" w:val="left" w:leader="none"/>
        </w:tabs>
        <w:spacing w:line="273" w:lineRule="auto" w:before="101" w:after="0"/>
        <w:ind w:left="1080" w:right="1418" w:firstLine="0"/>
        <w:jc w:val="left"/>
        <w:rPr>
          <w:sz w:val="18"/>
        </w:rPr>
      </w:pPr>
      <w:r>
        <w:rPr>
          <w:color w:val="231F20"/>
          <w:w w:val="110"/>
          <w:sz w:val="18"/>
        </w:rPr>
        <w:t>In the special </w:t>
      </w:r>
      <w:r>
        <w:rPr>
          <w:color w:val="231F20"/>
          <w:spacing w:val="2"/>
          <w:w w:val="110"/>
          <w:sz w:val="18"/>
        </w:rPr>
        <w:t>circumstances </w:t>
      </w:r>
      <w:r>
        <w:rPr>
          <w:color w:val="231F20"/>
          <w:w w:val="110"/>
          <w:sz w:val="18"/>
        </w:rPr>
        <w:t>of any </w:t>
      </w:r>
      <w:r>
        <w:rPr>
          <w:color w:val="231F20"/>
          <w:spacing w:val="2"/>
          <w:w w:val="110"/>
          <w:sz w:val="18"/>
        </w:rPr>
        <w:t>case </w:t>
      </w:r>
      <w:r>
        <w:rPr>
          <w:color w:val="231F20"/>
          <w:w w:val="110"/>
          <w:sz w:val="18"/>
        </w:rPr>
        <w:t>the Convener </w:t>
      </w:r>
      <w:r>
        <w:rPr>
          <w:color w:val="231F20"/>
          <w:spacing w:val="-5"/>
          <w:w w:val="110"/>
          <w:sz w:val="18"/>
        </w:rPr>
        <w:t>may, </w:t>
      </w:r>
      <w:r>
        <w:rPr>
          <w:color w:val="231F20"/>
          <w:w w:val="110"/>
          <w:sz w:val="18"/>
        </w:rPr>
        <w:t>if s/he considers it appropriate and helpful, </w:t>
      </w:r>
      <w:r>
        <w:rPr>
          <w:color w:val="231F20"/>
          <w:spacing w:val="2"/>
          <w:w w:val="110"/>
          <w:sz w:val="18"/>
        </w:rPr>
        <w:t>vary </w:t>
      </w:r>
      <w:r>
        <w:rPr>
          <w:color w:val="231F20"/>
          <w:w w:val="110"/>
          <w:sz w:val="18"/>
        </w:rPr>
        <w:t>any of the above procedures at his/her</w:t>
      </w:r>
      <w:r>
        <w:rPr>
          <w:color w:val="231F20"/>
          <w:spacing w:val="3"/>
          <w:w w:val="110"/>
          <w:sz w:val="18"/>
        </w:rPr>
        <w:t> </w:t>
      </w:r>
      <w:r>
        <w:rPr>
          <w:color w:val="231F20"/>
          <w:w w:val="110"/>
          <w:sz w:val="18"/>
        </w:rPr>
        <w:t>discretion.</w:t>
      </w:r>
    </w:p>
    <w:p>
      <w:pPr>
        <w:pStyle w:val="BodyText"/>
        <w:spacing w:before="8"/>
        <w:rPr>
          <w:sz w:val="20"/>
        </w:rPr>
      </w:pPr>
    </w:p>
    <w:p>
      <w:pPr>
        <w:pStyle w:val="ListParagraph"/>
        <w:numPr>
          <w:ilvl w:val="1"/>
          <w:numId w:val="192"/>
        </w:numPr>
        <w:tabs>
          <w:tab w:pos="1800" w:val="left" w:leader="none"/>
          <w:tab w:pos="1801" w:val="left" w:leader="none"/>
        </w:tabs>
        <w:spacing w:line="273" w:lineRule="auto" w:before="0" w:after="0"/>
        <w:ind w:left="1080" w:right="1503" w:firstLine="0"/>
        <w:jc w:val="left"/>
        <w:rPr>
          <w:sz w:val="18"/>
        </w:rPr>
      </w:pPr>
      <w:r>
        <w:rPr>
          <w:color w:val="231F20"/>
          <w:w w:val="110"/>
          <w:sz w:val="18"/>
        </w:rPr>
        <w:t>In considering the evidence and information </w:t>
      </w:r>
      <w:r>
        <w:rPr>
          <w:color w:val="231F20"/>
          <w:spacing w:val="2"/>
          <w:w w:val="110"/>
          <w:sz w:val="18"/>
        </w:rPr>
        <w:t>before </w:t>
      </w:r>
      <w:r>
        <w:rPr>
          <w:color w:val="231F20"/>
          <w:w w:val="110"/>
          <w:sz w:val="18"/>
        </w:rPr>
        <w:t>it, the Review Commission shall apply a standard of proof on the balance of</w:t>
      </w:r>
      <w:r>
        <w:rPr>
          <w:color w:val="231F20"/>
          <w:spacing w:val="26"/>
          <w:w w:val="110"/>
          <w:sz w:val="18"/>
        </w:rPr>
        <w:t> </w:t>
      </w:r>
      <w:r>
        <w:rPr>
          <w:color w:val="231F20"/>
          <w:w w:val="110"/>
          <w:sz w:val="18"/>
        </w:rPr>
        <w:t>probability.</w:t>
      </w:r>
    </w:p>
    <w:p>
      <w:pPr>
        <w:pStyle w:val="BodyText"/>
        <w:spacing w:before="8"/>
        <w:rPr>
          <w:sz w:val="20"/>
        </w:rPr>
      </w:pPr>
    </w:p>
    <w:p>
      <w:pPr>
        <w:pStyle w:val="ListParagraph"/>
        <w:numPr>
          <w:ilvl w:val="1"/>
          <w:numId w:val="192"/>
        </w:numPr>
        <w:tabs>
          <w:tab w:pos="1800" w:val="left" w:leader="none"/>
          <w:tab w:pos="1801" w:val="left" w:leader="none"/>
        </w:tabs>
        <w:spacing w:line="273" w:lineRule="auto" w:before="0" w:after="0"/>
        <w:ind w:left="1080" w:right="1245" w:firstLine="0"/>
        <w:jc w:val="left"/>
        <w:rPr>
          <w:sz w:val="18"/>
        </w:rPr>
      </w:pPr>
      <w:r>
        <w:rPr>
          <w:color w:val="231F20"/>
          <w:w w:val="110"/>
          <w:sz w:val="18"/>
        </w:rPr>
        <w:t>The </w:t>
      </w:r>
      <w:r>
        <w:rPr>
          <w:color w:val="231F20"/>
          <w:spacing w:val="3"/>
          <w:w w:val="110"/>
          <w:sz w:val="18"/>
        </w:rPr>
        <w:t>Secretary </w:t>
      </w:r>
      <w:r>
        <w:rPr>
          <w:color w:val="231F20"/>
          <w:w w:val="110"/>
          <w:sz w:val="18"/>
        </w:rPr>
        <w:t>of the Review Commission shall prepare a summary minute of    the proceedings at the Hearing </w:t>
      </w:r>
      <w:r>
        <w:rPr>
          <w:color w:val="231F20"/>
          <w:spacing w:val="3"/>
          <w:w w:val="110"/>
          <w:sz w:val="18"/>
        </w:rPr>
        <w:t>(‘the </w:t>
      </w:r>
      <w:r>
        <w:rPr>
          <w:color w:val="231F20"/>
          <w:spacing w:val="2"/>
          <w:w w:val="110"/>
          <w:sz w:val="18"/>
        </w:rPr>
        <w:t>Secretary’s </w:t>
      </w:r>
      <w:r>
        <w:rPr>
          <w:color w:val="231F20"/>
          <w:w w:val="110"/>
          <w:sz w:val="18"/>
        </w:rPr>
        <w:t>Minute*’). Where possible, a verbatim </w:t>
      </w:r>
      <w:r>
        <w:rPr>
          <w:color w:val="231F20"/>
          <w:spacing w:val="2"/>
          <w:w w:val="110"/>
          <w:sz w:val="18"/>
        </w:rPr>
        <w:t>record </w:t>
      </w:r>
      <w:r>
        <w:rPr>
          <w:color w:val="231F20"/>
          <w:w w:val="110"/>
          <w:sz w:val="18"/>
        </w:rPr>
        <w:t>of the proceedings shall also be made by </w:t>
      </w:r>
      <w:r>
        <w:rPr>
          <w:color w:val="231F20"/>
          <w:spacing w:val="2"/>
          <w:w w:val="110"/>
          <w:sz w:val="18"/>
        </w:rPr>
        <w:t>electronic </w:t>
      </w:r>
      <w:r>
        <w:rPr>
          <w:color w:val="231F20"/>
          <w:w w:val="110"/>
          <w:sz w:val="18"/>
        </w:rPr>
        <w:t>recording, or by such other means as shall be </w:t>
      </w:r>
      <w:r>
        <w:rPr>
          <w:color w:val="231F20"/>
          <w:spacing w:val="2"/>
          <w:w w:val="110"/>
          <w:sz w:val="18"/>
        </w:rPr>
        <w:t>directed </w:t>
      </w:r>
      <w:r>
        <w:rPr>
          <w:color w:val="231F20"/>
          <w:w w:val="110"/>
          <w:sz w:val="18"/>
        </w:rPr>
        <w:t>by the Convener.  The Record of the Hearing* shall consist   of the </w:t>
      </w:r>
      <w:r>
        <w:rPr>
          <w:color w:val="231F20"/>
          <w:spacing w:val="2"/>
          <w:w w:val="110"/>
          <w:sz w:val="18"/>
        </w:rPr>
        <w:t>Secretary’s </w:t>
      </w:r>
      <w:r>
        <w:rPr>
          <w:color w:val="231F20"/>
          <w:w w:val="110"/>
          <w:sz w:val="18"/>
        </w:rPr>
        <w:t>Minute together with any such verbatim record, which shall be </w:t>
      </w:r>
      <w:r>
        <w:rPr>
          <w:color w:val="231F20"/>
          <w:spacing w:val="2"/>
          <w:w w:val="110"/>
          <w:sz w:val="18"/>
        </w:rPr>
        <w:t>transcribed </w:t>
      </w:r>
      <w:r>
        <w:rPr>
          <w:color w:val="231F20"/>
          <w:w w:val="110"/>
          <w:sz w:val="18"/>
        </w:rPr>
        <w:t>in the event of an</w:t>
      </w:r>
      <w:r>
        <w:rPr>
          <w:color w:val="231F20"/>
          <w:spacing w:val="4"/>
          <w:w w:val="110"/>
          <w:sz w:val="18"/>
        </w:rPr>
        <w:t> </w:t>
      </w:r>
      <w:r>
        <w:rPr>
          <w:color w:val="231F20"/>
          <w:w w:val="110"/>
          <w:sz w:val="18"/>
        </w:rPr>
        <w:t>appeal.</w:t>
      </w:r>
    </w:p>
    <w:p>
      <w:pPr>
        <w:pStyle w:val="BodyText"/>
        <w:spacing w:before="11"/>
        <w:rPr>
          <w:sz w:val="20"/>
        </w:rPr>
      </w:pPr>
    </w:p>
    <w:p>
      <w:pPr>
        <w:pStyle w:val="ListParagraph"/>
        <w:numPr>
          <w:ilvl w:val="1"/>
          <w:numId w:val="192"/>
        </w:numPr>
        <w:tabs>
          <w:tab w:pos="1800" w:val="left" w:leader="none"/>
          <w:tab w:pos="1802" w:val="left" w:leader="none"/>
        </w:tabs>
        <w:spacing w:line="273" w:lineRule="auto" w:before="0" w:after="0"/>
        <w:ind w:left="1080" w:right="1836" w:firstLine="0"/>
        <w:jc w:val="left"/>
        <w:rPr>
          <w:sz w:val="18"/>
        </w:rPr>
      </w:pPr>
      <w:r>
        <w:rPr>
          <w:color w:val="231F20"/>
          <w:w w:val="110"/>
          <w:sz w:val="18"/>
        </w:rPr>
        <w:t>At the conclusion of the Hearing the </w:t>
      </w:r>
      <w:r>
        <w:rPr>
          <w:color w:val="231F20"/>
          <w:spacing w:val="2"/>
          <w:w w:val="110"/>
          <w:sz w:val="18"/>
        </w:rPr>
        <w:t>members </w:t>
      </w:r>
      <w:r>
        <w:rPr>
          <w:color w:val="231F20"/>
          <w:w w:val="110"/>
          <w:sz w:val="18"/>
        </w:rPr>
        <w:t>of the Review Commission will</w:t>
      </w:r>
      <w:r>
        <w:rPr>
          <w:color w:val="231F20"/>
          <w:spacing w:val="9"/>
          <w:w w:val="110"/>
          <w:sz w:val="18"/>
        </w:rPr>
        <w:t> </w:t>
      </w:r>
      <w:r>
        <w:rPr>
          <w:color w:val="231F20"/>
          <w:w w:val="110"/>
          <w:sz w:val="18"/>
        </w:rPr>
        <w:t>wish</w:t>
      </w:r>
      <w:r>
        <w:rPr>
          <w:color w:val="231F20"/>
          <w:spacing w:val="9"/>
          <w:w w:val="110"/>
          <w:sz w:val="18"/>
        </w:rPr>
        <w:t> </w:t>
      </w:r>
      <w:r>
        <w:rPr>
          <w:color w:val="231F20"/>
          <w:w w:val="110"/>
          <w:sz w:val="18"/>
        </w:rPr>
        <w:t>to</w:t>
      </w:r>
      <w:r>
        <w:rPr>
          <w:color w:val="231F20"/>
          <w:spacing w:val="9"/>
          <w:w w:val="110"/>
          <w:sz w:val="18"/>
        </w:rPr>
        <w:t> </w:t>
      </w:r>
      <w:r>
        <w:rPr>
          <w:color w:val="231F20"/>
          <w:w w:val="110"/>
          <w:sz w:val="18"/>
        </w:rPr>
        <w:t>deliberate</w:t>
      </w:r>
      <w:r>
        <w:rPr>
          <w:color w:val="231F20"/>
          <w:spacing w:val="9"/>
          <w:w w:val="110"/>
          <w:sz w:val="18"/>
        </w:rPr>
        <w:t> </w:t>
      </w:r>
      <w:r>
        <w:rPr>
          <w:color w:val="231F20"/>
          <w:w w:val="110"/>
          <w:sz w:val="18"/>
        </w:rPr>
        <w:t>upon</w:t>
      </w:r>
      <w:r>
        <w:rPr>
          <w:color w:val="231F20"/>
          <w:spacing w:val="9"/>
          <w:w w:val="110"/>
          <w:sz w:val="18"/>
        </w:rPr>
        <w:t> </w:t>
      </w:r>
      <w:r>
        <w:rPr>
          <w:color w:val="231F20"/>
          <w:w w:val="110"/>
          <w:sz w:val="18"/>
        </w:rPr>
        <w:t>their</w:t>
      </w:r>
      <w:r>
        <w:rPr>
          <w:color w:val="231F20"/>
          <w:spacing w:val="10"/>
          <w:w w:val="110"/>
          <w:sz w:val="18"/>
        </w:rPr>
        <w:t> </w:t>
      </w:r>
      <w:r>
        <w:rPr>
          <w:color w:val="231F20"/>
          <w:w w:val="110"/>
          <w:sz w:val="18"/>
        </w:rPr>
        <w:t>final</w:t>
      </w:r>
      <w:r>
        <w:rPr>
          <w:color w:val="231F20"/>
          <w:spacing w:val="9"/>
          <w:w w:val="110"/>
          <w:sz w:val="18"/>
        </w:rPr>
        <w:t> </w:t>
      </w:r>
      <w:r>
        <w:rPr>
          <w:color w:val="231F20"/>
          <w:w w:val="110"/>
          <w:sz w:val="18"/>
        </w:rPr>
        <w:t>decision,</w:t>
      </w:r>
      <w:r>
        <w:rPr>
          <w:color w:val="231F20"/>
          <w:spacing w:val="9"/>
          <w:w w:val="110"/>
          <w:sz w:val="18"/>
        </w:rPr>
        <w:t> </w:t>
      </w:r>
      <w:r>
        <w:rPr>
          <w:color w:val="231F20"/>
          <w:w w:val="110"/>
          <w:sz w:val="18"/>
        </w:rPr>
        <w:t>together</w:t>
      </w:r>
      <w:r>
        <w:rPr>
          <w:color w:val="231F20"/>
          <w:spacing w:val="9"/>
          <w:w w:val="110"/>
          <w:sz w:val="18"/>
        </w:rPr>
        <w:t> </w:t>
      </w:r>
      <w:r>
        <w:rPr>
          <w:color w:val="231F20"/>
          <w:w w:val="110"/>
          <w:sz w:val="18"/>
        </w:rPr>
        <w:t>with</w:t>
      </w:r>
      <w:r>
        <w:rPr>
          <w:color w:val="231F20"/>
          <w:spacing w:val="9"/>
          <w:w w:val="110"/>
          <w:sz w:val="18"/>
        </w:rPr>
        <w:t> </w:t>
      </w:r>
      <w:r>
        <w:rPr>
          <w:color w:val="231F20"/>
          <w:w w:val="110"/>
          <w:sz w:val="18"/>
        </w:rPr>
        <w:t>any</w:t>
      </w:r>
      <w:r>
        <w:rPr>
          <w:color w:val="231F20"/>
          <w:spacing w:val="10"/>
          <w:w w:val="110"/>
          <w:sz w:val="18"/>
        </w:rPr>
        <w:t> </w:t>
      </w:r>
      <w:r>
        <w:rPr>
          <w:color w:val="231F20"/>
          <w:w w:val="110"/>
          <w:sz w:val="18"/>
        </w:rPr>
        <w:t>guidance</w:t>
      </w:r>
      <w:r>
        <w:rPr>
          <w:color w:val="231F20"/>
          <w:spacing w:val="9"/>
          <w:w w:val="110"/>
          <w:sz w:val="18"/>
        </w:rPr>
        <w:t> </w:t>
      </w:r>
      <w:r>
        <w:rPr>
          <w:color w:val="231F20"/>
          <w:w w:val="110"/>
          <w:sz w:val="18"/>
        </w:rPr>
        <w:t>and/or</w:t>
      </w:r>
    </w:p>
    <w:p>
      <w:pPr>
        <w:pStyle w:val="BodyText"/>
        <w:spacing w:line="273" w:lineRule="auto" w:before="1"/>
        <w:ind w:left="1080" w:right="1457"/>
      </w:pPr>
      <w:r>
        <w:rPr>
          <w:color w:val="231F20"/>
          <w:w w:val="110"/>
        </w:rPr>
        <w:t>recommendation(s) which they may wish to append to their decision.  The Convener  will inform those present that the decision will not be made that day but that </w:t>
      </w:r>
      <w:r>
        <w:rPr>
          <w:color w:val="231F20"/>
          <w:spacing w:val="2"/>
          <w:w w:val="110"/>
        </w:rPr>
        <w:t>written </w:t>
      </w:r>
      <w:r>
        <w:rPr>
          <w:color w:val="231F20"/>
          <w:w w:val="110"/>
        </w:rPr>
        <w:t>notification of the decision will be given within ten days to the Minister, the General Secretary, the Synod Moderator and the </w:t>
      </w:r>
      <w:r>
        <w:rPr>
          <w:color w:val="231F20"/>
          <w:spacing w:val="3"/>
          <w:w w:val="110"/>
        </w:rPr>
        <w:t>Secretary </w:t>
      </w:r>
      <w:r>
        <w:rPr>
          <w:color w:val="231F20"/>
          <w:w w:val="110"/>
        </w:rPr>
        <w:t>of the </w:t>
      </w:r>
      <w:r>
        <w:rPr>
          <w:color w:val="231F20"/>
          <w:spacing w:val="2"/>
          <w:w w:val="110"/>
        </w:rPr>
        <w:t>District </w:t>
      </w:r>
      <w:r>
        <w:rPr>
          <w:color w:val="231F20"/>
          <w:w w:val="110"/>
        </w:rPr>
        <w:t>Council </w:t>
      </w:r>
      <w:r>
        <w:rPr>
          <w:color w:val="231F20"/>
          <w:spacing w:val="-4"/>
          <w:w w:val="110"/>
        </w:rPr>
        <w:t>(and </w:t>
      </w:r>
      <w:r>
        <w:rPr>
          <w:color w:val="231F20"/>
          <w:w w:val="110"/>
        </w:rPr>
        <w:t>the Deputy General </w:t>
      </w:r>
      <w:r>
        <w:rPr>
          <w:color w:val="231F20"/>
          <w:spacing w:val="3"/>
          <w:w w:val="110"/>
        </w:rPr>
        <w:t>Secretary </w:t>
      </w:r>
      <w:r>
        <w:rPr>
          <w:color w:val="231F20"/>
          <w:w w:val="110"/>
        </w:rPr>
        <w:t>if s/he issued the Commencement Notice in accordance with Paragraph </w:t>
      </w:r>
      <w:r>
        <w:rPr>
          <w:color w:val="231F20"/>
          <w:spacing w:val="-5"/>
          <w:w w:val="110"/>
        </w:rPr>
        <w:t>B.2.1). </w:t>
      </w:r>
      <w:r>
        <w:rPr>
          <w:color w:val="231F20"/>
          <w:w w:val="110"/>
        </w:rPr>
        <w:t>The Hearing is thus</w:t>
      </w:r>
      <w:r>
        <w:rPr>
          <w:color w:val="231F20"/>
          <w:spacing w:val="24"/>
          <w:w w:val="110"/>
        </w:rPr>
        <w:t> </w:t>
      </w:r>
      <w:r>
        <w:rPr>
          <w:color w:val="231F20"/>
          <w:w w:val="110"/>
        </w:rPr>
        <w:t>concluded.</w:t>
      </w:r>
    </w:p>
    <w:p>
      <w:pPr>
        <w:pStyle w:val="BodyText"/>
        <w:spacing w:before="2"/>
        <w:rPr>
          <w:sz w:val="19"/>
        </w:rPr>
      </w:pPr>
    </w:p>
    <w:p>
      <w:pPr>
        <w:numPr>
          <w:ilvl w:val="0"/>
          <w:numId w:val="192"/>
        </w:numPr>
        <w:tabs>
          <w:tab w:pos="1800" w:val="left" w:leader="none"/>
          <w:tab w:pos="1801" w:val="left" w:leader="none"/>
        </w:tabs>
        <w:spacing w:before="0"/>
        <w:ind w:left="1800" w:right="0" w:hanging="721"/>
        <w:jc w:val="left"/>
        <w:rPr>
          <w:b/>
          <w:sz w:val="20"/>
        </w:rPr>
      </w:pPr>
      <w:r>
        <w:rPr>
          <w:b/>
          <w:color w:val="231F20"/>
          <w:spacing w:val="2"/>
          <w:w w:val="110"/>
          <w:sz w:val="20"/>
        </w:rPr>
        <w:t>REVIEW </w:t>
      </w:r>
      <w:r>
        <w:rPr>
          <w:b/>
          <w:color w:val="231F20"/>
          <w:w w:val="110"/>
          <w:sz w:val="20"/>
        </w:rPr>
        <w:t>COMMISSION’S DECISION AND </w:t>
      </w:r>
      <w:r>
        <w:rPr>
          <w:b/>
          <w:color w:val="231F20"/>
          <w:spacing w:val="2"/>
          <w:w w:val="110"/>
          <w:sz w:val="20"/>
        </w:rPr>
        <w:t>ITS</w:t>
      </w:r>
      <w:r>
        <w:rPr>
          <w:b/>
          <w:color w:val="231F20"/>
          <w:spacing w:val="-6"/>
          <w:w w:val="110"/>
          <w:sz w:val="20"/>
        </w:rPr>
        <w:t> </w:t>
      </w:r>
      <w:r>
        <w:rPr>
          <w:b/>
          <w:color w:val="231F20"/>
          <w:w w:val="110"/>
          <w:sz w:val="20"/>
        </w:rPr>
        <w:t>NOTIFICATION</w:t>
      </w:r>
    </w:p>
    <w:p>
      <w:pPr>
        <w:pStyle w:val="BodyText"/>
        <w:spacing w:before="10"/>
        <w:rPr>
          <w:b/>
          <w:sz w:val="22"/>
        </w:rPr>
      </w:pPr>
    </w:p>
    <w:p>
      <w:pPr>
        <w:pStyle w:val="ListParagraph"/>
        <w:numPr>
          <w:ilvl w:val="1"/>
          <w:numId w:val="192"/>
        </w:numPr>
        <w:tabs>
          <w:tab w:pos="1800" w:val="left" w:leader="none"/>
          <w:tab w:pos="1801" w:val="left" w:leader="none"/>
        </w:tabs>
        <w:spacing w:line="273" w:lineRule="auto" w:before="0" w:after="0"/>
        <w:ind w:left="1080" w:right="1134" w:firstLine="0"/>
        <w:jc w:val="left"/>
        <w:rPr>
          <w:sz w:val="18"/>
        </w:rPr>
      </w:pPr>
      <w:r>
        <w:rPr>
          <w:color w:val="231F20"/>
          <w:w w:val="110"/>
          <w:sz w:val="18"/>
        </w:rPr>
        <w:t>Following the conclusion of the Hearing, the Review Commission shall, all meeting and deliberating together, but in the absence of the Minister and all other persons, consider all the information concerning the Minister which has been </w:t>
      </w:r>
      <w:r>
        <w:rPr>
          <w:color w:val="231F20"/>
          <w:spacing w:val="2"/>
          <w:w w:val="110"/>
          <w:sz w:val="18"/>
        </w:rPr>
        <w:t>before </w:t>
      </w:r>
      <w:r>
        <w:rPr>
          <w:color w:val="231F20"/>
          <w:w w:val="110"/>
          <w:sz w:val="18"/>
        </w:rPr>
        <w:t>them during the</w:t>
      </w:r>
      <w:r>
        <w:rPr>
          <w:color w:val="231F20"/>
          <w:spacing w:val="6"/>
          <w:w w:val="110"/>
          <w:sz w:val="18"/>
        </w:rPr>
        <w:t> </w:t>
      </w:r>
      <w:r>
        <w:rPr>
          <w:color w:val="231F20"/>
          <w:spacing w:val="2"/>
          <w:w w:val="110"/>
          <w:sz w:val="18"/>
        </w:rPr>
        <w:t>case</w:t>
      </w:r>
      <w:r>
        <w:rPr>
          <w:color w:val="231F20"/>
          <w:spacing w:val="7"/>
          <w:w w:val="110"/>
          <w:sz w:val="18"/>
        </w:rPr>
        <w:t> </w:t>
      </w:r>
      <w:r>
        <w:rPr>
          <w:color w:val="231F20"/>
          <w:w w:val="110"/>
          <w:sz w:val="18"/>
        </w:rPr>
        <w:t>for</w:t>
      </w:r>
      <w:r>
        <w:rPr>
          <w:color w:val="231F20"/>
          <w:spacing w:val="7"/>
          <w:w w:val="110"/>
          <w:sz w:val="18"/>
        </w:rPr>
        <w:t> </w:t>
      </w:r>
      <w:r>
        <w:rPr>
          <w:color w:val="231F20"/>
          <w:w w:val="110"/>
          <w:sz w:val="18"/>
        </w:rPr>
        <w:t>the</w:t>
      </w:r>
      <w:r>
        <w:rPr>
          <w:color w:val="231F20"/>
          <w:spacing w:val="7"/>
          <w:w w:val="110"/>
          <w:sz w:val="18"/>
        </w:rPr>
        <w:t> </w:t>
      </w:r>
      <w:r>
        <w:rPr>
          <w:color w:val="231F20"/>
          <w:w w:val="110"/>
          <w:sz w:val="18"/>
        </w:rPr>
        <w:t>purpose</w:t>
      </w:r>
      <w:r>
        <w:rPr>
          <w:color w:val="231F20"/>
          <w:spacing w:val="6"/>
          <w:w w:val="110"/>
          <w:sz w:val="18"/>
        </w:rPr>
        <w:t> </w:t>
      </w:r>
      <w:r>
        <w:rPr>
          <w:color w:val="231F20"/>
          <w:w w:val="110"/>
          <w:sz w:val="18"/>
        </w:rPr>
        <w:t>of</w:t>
      </w:r>
      <w:r>
        <w:rPr>
          <w:color w:val="231F20"/>
          <w:spacing w:val="7"/>
          <w:w w:val="110"/>
          <w:sz w:val="18"/>
        </w:rPr>
        <w:t> </w:t>
      </w:r>
      <w:r>
        <w:rPr>
          <w:color w:val="231F20"/>
          <w:w w:val="110"/>
          <w:sz w:val="18"/>
        </w:rPr>
        <w:t>reaching</w:t>
      </w:r>
      <w:r>
        <w:rPr>
          <w:color w:val="231F20"/>
          <w:spacing w:val="7"/>
          <w:w w:val="110"/>
          <w:sz w:val="18"/>
        </w:rPr>
        <w:t> </w:t>
      </w:r>
      <w:r>
        <w:rPr>
          <w:color w:val="231F20"/>
          <w:w w:val="110"/>
          <w:sz w:val="18"/>
        </w:rPr>
        <w:t>a</w:t>
      </w:r>
      <w:r>
        <w:rPr>
          <w:color w:val="231F20"/>
          <w:spacing w:val="7"/>
          <w:w w:val="110"/>
          <w:sz w:val="18"/>
        </w:rPr>
        <w:t> </w:t>
      </w:r>
      <w:r>
        <w:rPr>
          <w:color w:val="231F20"/>
          <w:w w:val="110"/>
          <w:sz w:val="18"/>
        </w:rPr>
        <w:t>decision</w:t>
      </w:r>
      <w:r>
        <w:rPr>
          <w:color w:val="231F20"/>
          <w:spacing w:val="7"/>
          <w:w w:val="110"/>
          <w:sz w:val="18"/>
        </w:rPr>
        <w:t> </w:t>
      </w:r>
      <w:r>
        <w:rPr>
          <w:color w:val="231F20"/>
          <w:w w:val="110"/>
          <w:sz w:val="18"/>
        </w:rPr>
        <w:t>in</w:t>
      </w:r>
      <w:r>
        <w:rPr>
          <w:color w:val="231F20"/>
          <w:spacing w:val="6"/>
          <w:w w:val="110"/>
          <w:sz w:val="18"/>
        </w:rPr>
        <w:t> </w:t>
      </w:r>
      <w:r>
        <w:rPr>
          <w:color w:val="231F20"/>
          <w:w w:val="110"/>
          <w:sz w:val="18"/>
        </w:rPr>
        <w:t>accordance</w:t>
      </w:r>
      <w:r>
        <w:rPr>
          <w:color w:val="231F20"/>
          <w:spacing w:val="7"/>
          <w:w w:val="110"/>
          <w:sz w:val="18"/>
        </w:rPr>
        <w:t> </w:t>
      </w:r>
      <w:r>
        <w:rPr>
          <w:color w:val="231F20"/>
          <w:w w:val="110"/>
          <w:sz w:val="18"/>
        </w:rPr>
        <w:t>with</w:t>
      </w:r>
      <w:r>
        <w:rPr>
          <w:color w:val="231F20"/>
          <w:spacing w:val="7"/>
          <w:w w:val="110"/>
          <w:sz w:val="18"/>
        </w:rPr>
        <w:t> </w:t>
      </w:r>
      <w:r>
        <w:rPr>
          <w:color w:val="231F20"/>
          <w:w w:val="110"/>
          <w:sz w:val="18"/>
        </w:rPr>
        <w:t>Paragraph</w:t>
      </w:r>
      <w:r>
        <w:rPr>
          <w:color w:val="231F20"/>
          <w:spacing w:val="7"/>
          <w:w w:val="110"/>
          <w:sz w:val="18"/>
        </w:rPr>
        <w:t> </w:t>
      </w:r>
      <w:r>
        <w:rPr>
          <w:color w:val="231F20"/>
          <w:w w:val="110"/>
          <w:sz w:val="18"/>
        </w:rPr>
        <w:t>K.2.</w:t>
      </w:r>
    </w:p>
    <w:p>
      <w:pPr>
        <w:pStyle w:val="BodyText"/>
        <w:spacing w:before="3"/>
        <w:ind w:left="1080"/>
      </w:pPr>
      <w:r>
        <w:rPr>
          <w:color w:val="231F20"/>
          <w:w w:val="110"/>
        </w:rPr>
        <w:t>In particular they must make a careful and detailed appraisal of all of the</w:t>
      </w:r>
      <w:r>
        <w:rPr>
          <w:color w:val="231F20"/>
          <w:spacing w:val="53"/>
          <w:w w:val="110"/>
        </w:rPr>
        <w:t> </w:t>
      </w:r>
      <w:r>
        <w:rPr>
          <w:color w:val="231F20"/>
          <w:w w:val="110"/>
        </w:rPr>
        <w:t>following:</w:t>
      </w:r>
    </w:p>
    <w:p>
      <w:pPr>
        <w:pStyle w:val="BodyText"/>
        <w:spacing w:before="1"/>
        <w:rPr>
          <w:sz w:val="23"/>
        </w:rPr>
      </w:pPr>
    </w:p>
    <w:p>
      <w:pPr>
        <w:pStyle w:val="ListParagraph"/>
        <w:numPr>
          <w:ilvl w:val="2"/>
          <w:numId w:val="192"/>
        </w:numPr>
        <w:tabs>
          <w:tab w:pos="1801" w:val="left" w:leader="none"/>
        </w:tabs>
        <w:spacing w:line="273" w:lineRule="auto" w:before="0" w:after="0"/>
        <w:ind w:left="1080" w:right="1879" w:firstLine="0"/>
        <w:jc w:val="left"/>
        <w:rPr>
          <w:sz w:val="18"/>
        </w:rPr>
      </w:pPr>
      <w:r>
        <w:rPr>
          <w:color w:val="231F20"/>
          <w:w w:val="110"/>
          <w:sz w:val="18"/>
        </w:rPr>
        <w:t>the </w:t>
      </w:r>
      <w:r>
        <w:rPr>
          <w:color w:val="231F20"/>
          <w:spacing w:val="2"/>
          <w:w w:val="110"/>
          <w:sz w:val="18"/>
        </w:rPr>
        <w:t>circumstances </w:t>
      </w:r>
      <w:r>
        <w:rPr>
          <w:color w:val="231F20"/>
          <w:w w:val="110"/>
          <w:sz w:val="18"/>
        </w:rPr>
        <w:t>which have led up to the commencement of the </w:t>
      </w:r>
      <w:r>
        <w:rPr>
          <w:color w:val="231F20"/>
          <w:spacing w:val="2"/>
          <w:w w:val="110"/>
          <w:sz w:val="18"/>
        </w:rPr>
        <w:t>case </w:t>
      </w:r>
      <w:r>
        <w:rPr>
          <w:color w:val="231F20"/>
          <w:w w:val="110"/>
          <w:sz w:val="18"/>
        </w:rPr>
        <w:t>as indicated in the Commencement Notice</w:t>
      </w:r>
      <w:r>
        <w:rPr>
          <w:color w:val="231F20"/>
          <w:spacing w:val="9"/>
          <w:w w:val="110"/>
          <w:sz w:val="18"/>
        </w:rPr>
        <w:t> </w:t>
      </w:r>
      <w:r>
        <w:rPr>
          <w:color w:val="231F20"/>
          <w:w w:val="110"/>
          <w:sz w:val="18"/>
        </w:rPr>
        <w:t>and</w:t>
      </w:r>
    </w:p>
    <w:p>
      <w:pPr>
        <w:pStyle w:val="BodyText"/>
        <w:spacing w:before="8"/>
        <w:rPr>
          <w:sz w:val="20"/>
        </w:rPr>
      </w:pPr>
    </w:p>
    <w:p>
      <w:pPr>
        <w:pStyle w:val="ListParagraph"/>
        <w:numPr>
          <w:ilvl w:val="2"/>
          <w:numId w:val="192"/>
        </w:numPr>
        <w:tabs>
          <w:tab w:pos="1801" w:val="left" w:leader="none"/>
        </w:tabs>
        <w:spacing w:line="273" w:lineRule="auto" w:before="1" w:after="0"/>
        <w:ind w:left="1080" w:right="1358" w:firstLine="0"/>
        <w:jc w:val="left"/>
        <w:rPr>
          <w:sz w:val="18"/>
        </w:rPr>
      </w:pPr>
      <w:r>
        <w:rPr>
          <w:color w:val="231F20"/>
          <w:w w:val="110"/>
          <w:sz w:val="18"/>
        </w:rPr>
        <w:t>any </w:t>
      </w:r>
      <w:r>
        <w:rPr>
          <w:color w:val="231F20"/>
          <w:spacing w:val="2"/>
          <w:w w:val="110"/>
          <w:sz w:val="18"/>
        </w:rPr>
        <w:t>expert </w:t>
      </w:r>
      <w:r>
        <w:rPr>
          <w:color w:val="231F20"/>
          <w:w w:val="110"/>
          <w:sz w:val="18"/>
        </w:rPr>
        <w:t>opinion of a medical, psychological or similar or related nature in </w:t>
      </w:r>
      <w:r>
        <w:rPr>
          <w:color w:val="231F20"/>
          <w:spacing w:val="3"/>
          <w:w w:val="110"/>
          <w:sz w:val="18"/>
        </w:rPr>
        <w:t>respect </w:t>
      </w:r>
      <w:r>
        <w:rPr>
          <w:color w:val="231F20"/>
          <w:w w:val="110"/>
          <w:sz w:val="18"/>
        </w:rPr>
        <w:t>of the Minister which has been sought by the Review Commission or which has in any way been presented to it during the </w:t>
      </w:r>
      <w:r>
        <w:rPr>
          <w:color w:val="231F20"/>
          <w:spacing w:val="2"/>
          <w:w w:val="110"/>
          <w:sz w:val="18"/>
        </w:rPr>
        <w:t>case</w:t>
      </w:r>
      <w:r>
        <w:rPr>
          <w:color w:val="231F20"/>
          <w:spacing w:val="18"/>
          <w:w w:val="110"/>
          <w:sz w:val="18"/>
        </w:rPr>
        <w:t> </w:t>
      </w:r>
      <w:r>
        <w:rPr>
          <w:color w:val="231F20"/>
          <w:w w:val="110"/>
          <w:sz w:val="18"/>
        </w:rPr>
        <w:t>and</w:t>
      </w:r>
    </w:p>
    <w:p>
      <w:pPr>
        <w:pStyle w:val="BodyText"/>
        <w:spacing w:before="8"/>
        <w:rPr>
          <w:sz w:val="20"/>
        </w:rPr>
      </w:pPr>
    </w:p>
    <w:p>
      <w:pPr>
        <w:pStyle w:val="ListParagraph"/>
        <w:numPr>
          <w:ilvl w:val="2"/>
          <w:numId w:val="192"/>
        </w:numPr>
        <w:tabs>
          <w:tab w:pos="1801" w:val="left" w:leader="none"/>
        </w:tabs>
        <w:spacing w:line="273" w:lineRule="auto" w:before="0" w:after="0"/>
        <w:ind w:left="1080" w:right="1510" w:firstLine="0"/>
        <w:jc w:val="left"/>
        <w:rPr>
          <w:sz w:val="18"/>
        </w:rPr>
      </w:pPr>
      <w:r>
        <w:rPr>
          <w:color w:val="231F20"/>
          <w:w w:val="110"/>
          <w:sz w:val="18"/>
        </w:rPr>
        <w:t>information supplied by the Minister and others within the Procedure, whether or not on the Minister’s behalf</w:t>
      </w:r>
      <w:r>
        <w:rPr>
          <w:color w:val="231F20"/>
          <w:spacing w:val="7"/>
          <w:w w:val="110"/>
          <w:sz w:val="18"/>
        </w:rPr>
        <w:t> </w:t>
      </w:r>
      <w:r>
        <w:rPr>
          <w:color w:val="231F20"/>
          <w:w w:val="110"/>
          <w:sz w:val="18"/>
        </w:rPr>
        <w:t>and</w:t>
      </w:r>
    </w:p>
    <w:p>
      <w:pPr>
        <w:pStyle w:val="BodyText"/>
        <w:spacing w:before="8"/>
        <w:rPr>
          <w:sz w:val="20"/>
        </w:rPr>
      </w:pPr>
    </w:p>
    <w:p>
      <w:pPr>
        <w:pStyle w:val="ListParagraph"/>
        <w:numPr>
          <w:ilvl w:val="2"/>
          <w:numId w:val="192"/>
        </w:numPr>
        <w:tabs>
          <w:tab w:pos="1801" w:val="left" w:leader="none"/>
        </w:tabs>
        <w:spacing w:line="273" w:lineRule="auto" w:before="0" w:after="0"/>
        <w:ind w:left="1080" w:right="1452" w:firstLine="0"/>
        <w:jc w:val="left"/>
        <w:rPr>
          <w:sz w:val="18"/>
        </w:rPr>
      </w:pPr>
      <w:r>
        <w:rPr>
          <w:color w:val="231F20"/>
          <w:spacing w:val="3"/>
          <w:w w:val="110"/>
          <w:sz w:val="18"/>
        </w:rPr>
        <w:t>reports </w:t>
      </w:r>
      <w:r>
        <w:rPr>
          <w:color w:val="231F20"/>
          <w:w w:val="110"/>
          <w:sz w:val="18"/>
        </w:rPr>
        <w:t>and other documentation requested by the Review Commission </w:t>
      </w:r>
      <w:r>
        <w:rPr>
          <w:color w:val="231F20"/>
          <w:spacing w:val="2"/>
          <w:w w:val="110"/>
          <w:sz w:val="18"/>
        </w:rPr>
        <w:t>from </w:t>
      </w:r>
      <w:r>
        <w:rPr>
          <w:color w:val="231F20"/>
          <w:w w:val="110"/>
          <w:sz w:val="18"/>
        </w:rPr>
        <w:t>other </w:t>
      </w:r>
      <w:r>
        <w:rPr>
          <w:color w:val="231F20"/>
          <w:spacing w:val="2"/>
          <w:w w:val="110"/>
          <w:sz w:val="18"/>
        </w:rPr>
        <w:t>persons </w:t>
      </w:r>
      <w:r>
        <w:rPr>
          <w:color w:val="231F20"/>
          <w:w w:val="110"/>
          <w:sz w:val="18"/>
        </w:rPr>
        <w:t>or bodies within or outside the Church with whom the Minister, through the exercise of his/her ministry, might have had a particular involvement, such as ecumenical posts, chaplaincies or positions within public bodies</w:t>
      </w:r>
      <w:r>
        <w:rPr>
          <w:color w:val="231F20"/>
          <w:spacing w:val="34"/>
          <w:w w:val="110"/>
          <w:sz w:val="18"/>
        </w:rPr>
        <w:t> </w:t>
      </w:r>
      <w:r>
        <w:rPr>
          <w:color w:val="231F20"/>
          <w:w w:val="110"/>
          <w:sz w:val="18"/>
        </w:rPr>
        <w:t>and</w:t>
      </w:r>
    </w:p>
    <w:p>
      <w:pPr>
        <w:pStyle w:val="BodyText"/>
        <w:spacing w:before="10"/>
        <w:rPr>
          <w:sz w:val="20"/>
        </w:rPr>
      </w:pPr>
    </w:p>
    <w:p>
      <w:pPr>
        <w:pStyle w:val="ListParagraph"/>
        <w:numPr>
          <w:ilvl w:val="2"/>
          <w:numId w:val="192"/>
        </w:numPr>
        <w:tabs>
          <w:tab w:pos="1801" w:val="left" w:leader="none"/>
        </w:tabs>
        <w:spacing w:line="273" w:lineRule="auto" w:before="0" w:after="0"/>
        <w:ind w:left="1080" w:right="1152" w:firstLine="0"/>
        <w:jc w:val="left"/>
        <w:rPr>
          <w:sz w:val="18"/>
        </w:rPr>
      </w:pPr>
      <w:r>
        <w:rPr>
          <w:color w:val="231F20"/>
          <w:w w:val="110"/>
          <w:sz w:val="18"/>
        </w:rPr>
        <w:t>all other </w:t>
      </w:r>
      <w:r>
        <w:rPr>
          <w:color w:val="231F20"/>
          <w:spacing w:val="2"/>
          <w:w w:val="110"/>
          <w:sz w:val="18"/>
        </w:rPr>
        <w:t>factors </w:t>
      </w:r>
      <w:r>
        <w:rPr>
          <w:color w:val="231F20"/>
          <w:w w:val="110"/>
          <w:sz w:val="18"/>
        </w:rPr>
        <w:t>properly coming within the scope of the review being undertaken by the Review Commission</w:t>
      </w:r>
      <w:r>
        <w:rPr>
          <w:color w:val="231F20"/>
          <w:spacing w:val="4"/>
          <w:w w:val="110"/>
          <w:sz w:val="18"/>
        </w:rPr>
        <w:t> </w:t>
      </w:r>
      <w:r>
        <w:rPr>
          <w:color w:val="231F20"/>
          <w:w w:val="110"/>
          <w:sz w:val="18"/>
        </w:rPr>
        <w:t>and</w:t>
      </w:r>
    </w:p>
    <w:p>
      <w:pPr>
        <w:pStyle w:val="BodyText"/>
        <w:spacing w:before="8"/>
        <w:rPr>
          <w:sz w:val="20"/>
        </w:rPr>
      </w:pPr>
    </w:p>
    <w:p>
      <w:pPr>
        <w:pStyle w:val="ListParagraph"/>
        <w:numPr>
          <w:ilvl w:val="2"/>
          <w:numId w:val="192"/>
        </w:numPr>
        <w:tabs>
          <w:tab w:pos="1801" w:val="left" w:leader="none"/>
        </w:tabs>
        <w:spacing w:line="273" w:lineRule="auto" w:before="0" w:after="0"/>
        <w:ind w:left="1080" w:right="1463" w:firstLine="0"/>
        <w:jc w:val="left"/>
        <w:rPr>
          <w:sz w:val="18"/>
        </w:rPr>
      </w:pPr>
      <w:r>
        <w:rPr>
          <w:color w:val="231F20"/>
          <w:w w:val="110"/>
          <w:sz w:val="18"/>
        </w:rPr>
        <w:t>the weight to be </w:t>
      </w:r>
      <w:r>
        <w:rPr>
          <w:color w:val="231F20"/>
          <w:spacing w:val="2"/>
          <w:w w:val="110"/>
          <w:sz w:val="18"/>
        </w:rPr>
        <w:t>attached </w:t>
      </w:r>
      <w:r>
        <w:rPr>
          <w:color w:val="231F20"/>
          <w:w w:val="110"/>
          <w:sz w:val="18"/>
        </w:rPr>
        <w:t>to each of the </w:t>
      </w:r>
      <w:r>
        <w:rPr>
          <w:color w:val="231F20"/>
          <w:spacing w:val="2"/>
          <w:w w:val="110"/>
          <w:sz w:val="18"/>
        </w:rPr>
        <w:t>factors </w:t>
      </w:r>
      <w:r>
        <w:rPr>
          <w:color w:val="231F20"/>
          <w:w w:val="110"/>
          <w:sz w:val="18"/>
        </w:rPr>
        <w:t>in the </w:t>
      </w:r>
      <w:r>
        <w:rPr>
          <w:color w:val="231F20"/>
          <w:spacing w:val="2"/>
          <w:w w:val="110"/>
          <w:sz w:val="18"/>
        </w:rPr>
        <w:t>case </w:t>
      </w:r>
      <w:r>
        <w:rPr>
          <w:color w:val="231F20"/>
          <w:w w:val="110"/>
          <w:sz w:val="18"/>
        </w:rPr>
        <w:t>as indicated  above, bearing in mind the manner in which the information was provided and, where appropriate, whether the Minister or his/her representative had the </w:t>
      </w:r>
      <w:r>
        <w:rPr>
          <w:color w:val="231F20"/>
          <w:spacing w:val="2"/>
          <w:w w:val="110"/>
          <w:sz w:val="18"/>
        </w:rPr>
        <w:t>opportunity </w:t>
      </w:r>
      <w:r>
        <w:rPr>
          <w:color w:val="231F20"/>
          <w:w w:val="110"/>
          <w:sz w:val="18"/>
        </w:rPr>
        <w:t>of challenging or commenting upon</w:t>
      </w:r>
      <w:r>
        <w:rPr>
          <w:color w:val="231F20"/>
          <w:spacing w:val="5"/>
          <w:w w:val="110"/>
          <w:sz w:val="18"/>
        </w:rPr>
        <w:t> </w:t>
      </w:r>
      <w:r>
        <w:rPr>
          <w:color w:val="231F20"/>
          <w:w w:val="110"/>
          <w:sz w:val="18"/>
        </w:rPr>
        <w:t>it.</w:t>
      </w:r>
    </w:p>
    <w:p>
      <w:pPr>
        <w:pStyle w:val="BodyText"/>
        <w:spacing w:before="9"/>
        <w:rPr>
          <w:sz w:val="20"/>
        </w:rPr>
      </w:pPr>
    </w:p>
    <w:p>
      <w:pPr>
        <w:pStyle w:val="ListParagraph"/>
        <w:numPr>
          <w:ilvl w:val="1"/>
          <w:numId w:val="192"/>
        </w:numPr>
        <w:tabs>
          <w:tab w:pos="1800" w:val="left" w:leader="none"/>
          <w:tab w:pos="1801" w:val="left" w:leader="none"/>
        </w:tabs>
        <w:spacing w:line="273" w:lineRule="auto" w:before="1" w:after="0"/>
        <w:ind w:left="1080" w:right="1493" w:firstLine="0"/>
        <w:jc w:val="left"/>
        <w:rPr>
          <w:sz w:val="18"/>
        </w:rPr>
      </w:pPr>
      <w:r>
        <w:rPr>
          <w:color w:val="231F20"/>
          <w:w w:val="110"/>
          <w:sz w:val="18"/>
        </w:rPr>
        <w:t>The purpose of the deliberation </w:t>
      </w:r>
      <w:r>
        <w:rPr>
          <w:color w:val="231F20"/>
          <w:spacing w:val="2"/>
          <w:w w:val="110"/>
          <w:sz w:val="18"/>
        </w:rPr>
        <w:t>referred </w:t>
      </w:r>
      <w:r>
        <w:rPr>
          <w:color w:val="231F20"/>
          <w:w w:val="110"/>
          <w:sz w:val="18"/>
        </w:rPr>
        <w:t>to in Paragraph </w:t>
      </w:r>
      <w:r>
        <w:rPr>
          <w:color w:val="231F20"/>
          <w:spacing w:val="-3"/>
          <w:w w:val="110"/>
          <w:sz w:val="18"/>
        </w:rPr>
        <w:t>K.1 </w:t>
      </w:r>
      <w:r>
        <w:rPr>
          <w:color w:val="231F20"/>
          <w:w w:val="110"/>
          <w:sz w:val="18"/>
        </w:rPr>
        <w:t>is to enable the Review Commission to </w:t>
      </w:r>
      <w:r>
        <w:rPr>
          <w:color w:val="231F20"/>
          <w:spacing w:val="2"/>
          <w:w w:val="110"/>
          <w:sz w:val="18"/>
        </w:rPr>
        <w:t>reach </w:t>
      </w:r>
      <w:r>
        <w:rPr>
          <w:color w:val="231F20"/>
          <w:w w:val="110"/>
          <w:sz w:val="18"/>
        </w:rPr>
        <w:t>(either unanimously or by a majority) a decision in accordance with </w:t>
      </w:r>
      <w:r>
        <w:rPr>
          <w:color w:val="231F20"/>
          <w:spacing w:val="2"/>
          <w:w w:val="110"/>
          <w:sz w:val="18"/>
        </w:rPr>
        <w:t>Part </w:t>
      </w:r>
      <w:r>
        <w:rPr>
          <w:color w:val="231F20"/>
          <w:w w:val="110"/>
          <w:sz w:val="18"/>
        </w:rPr>
        <w:t>1 Paragraph 5 as to whether, having full regard to the Basis of Union and in particular Paragraph 2 of Schedule E thereto the name of the Minister in the</w:t>
      </w:r>
      <w:r>
        <w:rPr>
          <w:color w:val="231F20"/>
          <w:spacing w:val="7"/>
          <w:w w:val="110"/>
          <w:sz w:val="18"/>
        </w:rPr>
        <w:t> </w:t>
      </w:r>
      <w:r>
        <w:rPr>
          <w:color w:val="231F20"/>
          <w:w w:val="110"/>
          <w:sz w:val="18"/>
        </w:rPr>
        <w:t>particular</w:t>
      </w:r>
      <w:r>
        <w:rPr>
          <w:color w:val="231F20"/>
          <w:spacing w:val="7"/>
          <w:w w:val="110"/>
          <w:sz w:val="18"/>
        </w:rPr>
        <w:t> </w:t>
      </w:r>
      <w:r>
        <w:rPr>
          <w:color w:val="231F20"/>
          <w:spacing w:val="2"/>
          <w:w w:val="110"/>
          <w:sz w:val="18"/>
        </w:rPr>
        <w:t>case</w:t>
      </w:r>
      <w:r>
        <w:rPr>
          <w:color w:val="231F20"/>
          <w:spacing w:val="7"/>
          <w:w w:val="110"/>
          <w:sz w:val="18"/>
        </w:rPr>
        <w:t> </w:t>
      </w:r>
      <w:r>
        <w:rPr>
          <w:color w:val="231F20"/>
          <w:w w:val="110"/>
          <w:sz w:val="18"/>
        </w:rPr>
        <w:t>should</w:t>
      </w:r>
      <w:r>
        <w:rPr>
          <w:color w:val="231F20"/>
          <w:spacing w:val="8"/>
          <w:w w:val="110"/>
          <w:sz w:val="18"/>
        </w:rPr>
        <w:t> </w:t>
      </w:r>
      <w:r>
        <w:rPr>
          <w:color w:val="231F20"/>
          <w:w w:val="110"/>
          <w:sz w:val="18"/>
        </w:rPr>
        <w:t>remain</w:t>
      </w:r>
      <w:r>
        <w:rPr>
          <w:color w:val="231F20"/>
          <w:spacing w:val="7"/>
          <w:w w:val="110"/>
          <w:sz w:val="18"/>
        </w:rPr>
        <w:t> </w:t>
      </w:r>
      <w:r>
        <w:rPr>
          <w:color w:val="231F20"/>
          <w:w w:val="110"/>
          <w:sz w:val="18"/>
        </w:rPr>
        <w:t>upon,</w:t>
      </w:r>
      <w:r>
        <w:rPr>
          <w:color w:val="231F20"/>
          <w:spacing w:val="7"/>
          <w:w w:val="110"/>
          <w:sz w:val="18"/>
        </w:rPr>
        <w:t> </w:t>
      </w:r>
      <w:r>
        <w:rPr>
          <w:color w:val="231F20"/>
          <w:w w:val="110"/>
          <w:sz w:val="18"/>
        </w:rPr>
        <w:t>or</w:t>
      </w:r>
      <w:r>
        <w:rPr>
          <w:color w:val="231F20"/>
          <w:spacing w:val="8"/>
          <w:w w:val="110"/>
          <w:sz w:val="18"/>
        </w:rPr>
        <w:t> </w:t>
      </w:r>
      <w:r>
        <w:rPr>
          <w:color w:val="231F20"/>
          <w:w w:val="110"/>
          <w:sz w:val="18"/>
        </w:rPr>
        <w:t>be</w:t>
      </w:r>
      <w:r>
        <w:rPr>
          <w:color w:val="231F20"/>
          <w:spacing w:val="7"/>
          <w:w w:val="110"/>
          <w:sz w:val="18"/>
        </w:rPr>
        <w:t> </w:t>
      </w:r>
      <w:r>
        <w:rPr>
          <w:color w:val="231F20"/>
          <w:w w:val="110"/>
          <w:sz w:val="18"/>
        </w:rPr>
        <w:t>deleted</w:t>
      </w:r>
      <w:r>
        <w:rPr>
          <w:color w:val="231F20"/>
          <w:spacing w:val="7"/>
          <w:w w:val="110"/>
          <w:sz w:val="18"/>
        </w:rPr>
        <w:t> </w:t>
      </w:r>
      <w:r>
        <w:rPr>
          <w:color w:val="231F20"/>
          <w:w w:val="110"/>
          <w:sz w:val="18"/>
        </w:rPr>
        <w:t>from,</w:t>
      </w:r>
      <w:r>
        <w:rPr>
          <w:color w:val="231F20"/>
          <w:spacing w:val="8"/>
          <w:w w:val="110"/>
          <w:sz w:val="18"/>
        </w:rPr>
        <w:t> </w:t>
      </w:r>
      <w:r>
        <w:rPr>
          <w:color w:val="231F20"/>
          <w:w w:val="110"/>
          <w:sz w:val="18"/>
        </w:rPr>
        <w:t>the</w:t>
      </w:r>
      <w:r>
        <w:rPr>
          <w:color w:val="231F20"/>
          <w:spacing w:val="7"/>
          <w:w w:val="110"/>
          <w:sz w:val="18"/>
        </w:rPr>
        <w:t> </w:t>
      </w:r>
      <w:r>
        <w:rPr>
          <w:color w:val="231F20"/>
          <w:w w:val="110"/>
          <w:sz w:val="18"/>
        </w:rPr>
        <w:t>Roll</w:t>
      </w:r>
      <w:r>
        <w:rPr>
          <w:color w:val="231F20"/>
          <w:spacing w:val="7"/>
          <w:w w:val="110"/>
          <w:sz w:val="18"/>
        </w:rPr>
        <w:t> </w:t>
      </w:r>
      <w:r>
        <w:rPr>
          <w:color w:val="231F20"/>
          <w:w w:val="110"/>
          <w:sz w:val="18"/>
        </w:rPr>
        <w:t>of</w:t>
      </w:r>
      <w:r>
        <w:rPr>
          <w:color w:val="231F20"/>
          <w:spacing w:val="8"/>
          <w:w w:val="110"/>
          <w:sz w:val="18"/>
        </w:rPr>
        <w:t> </w:t>
      </w:r>
      <w:r>
        <w:rPr>
          <w:color w:val="231F20"/>
          <w:w w:val="110"/>
          <w:sz w:val="18"/>
        </w:rPr>
        <w:t>Ministers.</w:t>
      </w:r>
    </w:p>
    <w:p>
      <w:pPr>
        <w:spacing w:after="0" w:line="273" w:lineRule="auto"/>
        <w:jc w:val="left"/>
        <w:rPr>
          <w:sz w:val="18"/>
        </w:rPr>
        <w:sectPr>
          <w:pgSz w:w="11910" w:h="16840"/>
          <w:pgMar w:header="557" w:footer="564" w:top="820" w:bottom="760" w:left="620" w:right="0"/>
        </w:sectPr>
      </w:pPr>
    </w:p>
    <w:p>
      <w:pPr>
        <w:pStyle w:val="BodyText"/>
        <w:spacing w:before="9"/>
        <w:rPr>
          <w:sz w:val="13"/>
        </w:rPr>
      </w:pPr>
    </w:p>
    <w:p>
      <w:pPr>
        <w:pStyle w:val="ListParagraph"/>
        <w:numPr>
          <w:ilvl w:val="1"/>
          <w:numId w:val="192"/>
        </w:numPr>
        <w:tabs>
          <w:tab w:pos="1233" w:val="left" w:leader="none"/>
          <w:tab w:pos="1235" w:val="left" w:leader="none"/>
        </w:tabs>
        <w:spacing w:line="273" w:lineRule="auto" w:before="101" w:after="0"/>
        <w:ind w:left="513" w:right="1994" w:firstLine="0"/>
        <w:jc w:val="left"/>
        <w:rPr>
          <w:sz w:val="18"/>
        </w:rPr>
      </w:pPr>
      <w:r>
        <w:rPr>
          <w:color w:val="231F20"/>
          <w:w w:val="110"/>
          <w:sz w:val="18"/>
        </w:rPr>
        <w:t>The Review Commission shall </w:t>
      </w:r>
      <w:r>
        <w:rPr>
          <w:color w:val="231F20"/>
          <w:spacing w:val="2"/>
          <w:w w:val="110"/>
          <w:sz w:val="18"/>
        </w:rPr>
        <w:t>record </w:t>
      </w:r>
      <w:r>
        <w:rPr>
          <w:color w:val="231F20"/>
          <w:w w:val="110"/>
          <w:sz w:val="18"/>
        </w:rPr>
        <w:t>its decision (the Decision Record*) and,   in doing so, shall state whether it was </w:t>
      </w:r>
      <w:r>
        <w:rPr>
          <w:color w:val="231F20"/>
          <w:spacing w:val="2"/>
          <w:w w:val="110"/>
          <w:sz w:val="18"/>
        </w:rPr>
        <w:t>reached </w:t>
      </w:r>
      <w:r>
        <w:rPr>
          <w:color w:val="231F20"/>
          <w:w w:val="110"/>
          <w:sz w:val="18"/>
        </w:rPr>
        <w:t>unanimously or by a majority and shall append a statement of its reasons (the Statement of Reasons*) for the decision, but shall not be obliged, unless it wishes to do so, to comment in detail on any of the </w:t>
      </w:r>
      <w:r>
        <w:rPr>
          <w:color w:val="231F20"/>
          <w:spacing w:val="2"/>
          <w:w w:val="110"/>
          <w:sz w:val="18"/>
        </w:rPr>
        <w:t>matters </w:t>
      </w:r>
      <w:r>
        <w:rPr>
          <w:color w:val="231F20"/>
          <w:w w:val="110"/>
          <w:sz w:val="18"/>
        </w:rPr>
        <w:t>considered by</w:t>
      </w:r>
      <w:r>
        <w:rPr>
          <w:color w:val="231F20"/>
          <w:spacing w:val="1"/>
          <w:w w:val="110"/>
          <w:sz w:val="18"/>
        </w:rPr>
        <w:t> </w:t>
      </w:r>
      <w:r>
        <w:rPr>
          <w:color w:val="231F20"/>
          <w:w w:val="110"/>
          <w:sz w:val="18"/>
        </w:rPr>
        <w:t>it.</w:t>
      </w:r>
    </w:p>
    <w:p>
      <w:pPr>
        <w:pStyle w:val="BodyText"/>
        <w:spacing w:before="10"/>
        <w:rPr>
          <w:sz w:val="20"/>
        </w:rPr>
      </w:pPr>
    </w:p>
    <w:p>
      <w:pPr>
        <w:pStyle w:val="ListParagraph"/>
        <w:numPr>
          <w:ilvl w:val="2"/>
          <w:numId w:val="193"/>
        </w:numPr>
        <w:tabs>
          <w:tab w:pos="1234" w:val="left" w:leader="none"/>
        </w:tabs>
        <w:spacing w:line="273" w:lineRule="auto" w:before="0" w:after="0"/>
        <w:ind w:left="513" w:right="1840" w:firstLine="0"/>
        <w:jc w:val="left"/>
        <w:rPr>
          <w:sz w:val="18"/>
        </w:rPr>
      </w:pPr>
      <w:r>
        <w:rPr>
          <w:color w:val="231F20"/>
          <w:w w:val="110"/>
          <w:sz w:val="18"/>
        </w:rPr>
        <w:t>The decision so taken shall conclude the involvement of the Review Commission in the Procedure except as to the discharge of its responsibilities under Paragraph N.2 and shall have the </w:t>
      </w:r>
      <w:r>
        <w:rPr>
          <w:color w:val="231F20"/>
          <w:spacing w:val="3"/>
          <w:w w:val="110"/>
          <w:sz w:val="18"/>
        </w:rPr>
        <w:t>effect </w:t>
      </w:r>
      <w:r>
        <w:rPr>
          <w:color w:val="231F20"/>
          <w:w w:val="110"/>
          <w:sz w:val="18"/>
        </w:rPr>
        <w:t>provided for in Paragraph K.4.2 or Paragraph </w:t>
      </w:r>
      <w:r>
        <w:rPr>
          <w:color w:val="231F20"/>
          <w:spacing w:val="-3"/>
          <w:w w:val="110"/>
          <w:sz w:val="18"/>
        </w:rPr>
        <w:t>K.4.3, </w:t>
      </w:r>
      <w:r>
        <w:rPr>
          <w:color w:val="231F20"/>
          <w:w w:val="110"/>
          <w:sz w:val="18"/>
        </w:rPr>
        <w:t>whichever is applicable.</w:t>
      </w:r>
    </w:p>
    <w:p>
      <w:pPr>
        <w:pStyle w:val="BodyText"/>
        <w:spacing w:before="9"/>
        <w:rPr>
          <w:sz w:val="20"/>
        </w:rPr>
      </w:pPr>
    </w:p>
    <w:p>
      <w:pPr>
        <w:pStyle w:val="ListParagraph"/>
        <w:numPr>
          <w:ilvl w:val="2"/>
          <w:numId w:val="193"/>
        </w:numPr>
        <w:tabs>
          <w:tab w:pos="1234" w:val="left" w:leader="none"/>
        </w:tabs>
        <w:spacing w:line="273" w:lineRule="auto" w:before="0" w:after="0"/>
        <w:ind w:left="513" w:right="2277" w:firstLine="0"/>
        <w:jc w:val="left"/>
        <w:rPr>
          <w:sz w:val="18"/>
        </w:rPr>
      </w:pPr>
      <w:r>
        <w:rPr>
          <w:color w:val="231F20"/>
          <w:w w:val="110"/>
          <w:sz w:val="18"/>
        </w:rPr>
        <w:t>If the Review Commission/Appeals Review Commission decides to retain the Minister’s name on the Roll of Ministers, his/her status is</w:t>
      </w:r>
      <w:r>
        <w:rPr>
          <w:color w:val="231F20"/>
          <w:spacing w:val="41"/>
          <w:w w:val="110"/>
          <w:sz w:val="18"/>
        </w:rPr>
        <w:t> </w:t>
      </w:r>
      <w:r>
        <w:rPr>
          <w:color w:val="231F20"/>
          <w:w w:val="110"/>
          <w:sz w:val="18"/>
        </w:rPr>
        <w:t>unchanged.</w:t>
      </w:r>
    </w:p>
    <w:p>
      <w:pPr>
        <w:pStyle w:val="BodyText"/>
        <w:spacing w:before="8"/>
        <w:rPr>
          <w:sz w:val="20"/>
        </w:rPr>
      </w:pPr>
    </w:p>
    <w:p>
      <w:pPr>
        <w:pStyle w:val="ListParagraph"/>
        <w:numPr>
          <w:ilvl w:val="2"/>
          <w:numId w:val="193"/>
        </w:numPr>
        <w:tabs>
          <w:tab w:pos="1234" w:val="left" w:leader="none"/>
        </w:tabs>
        <w:spacing w:line="273" w:lineRule="auto" w:before="0" w:after="0"/>
        <w:ind w:left="513" w:right="1787" w:firstLine="0"/>
        <w:jc w:val="left"/>
        <w:rPr>
          <w:sz w:val="18"/>
        </w:rPr>
      </w:pPr>
      <w:r>
        <w:rPr>
          <w:color w:val="231F20"/>
          <w:w w:val="110"/>
          <w:sz w:val="18"/>
        </w:rPr>
        <w:t>If the Review Commission decides to delete the name of the Minister </w:t>
      </w:r>
      <w:r>
        <w:rPr>
          <w:color w:val="231F20"/>
          <w:spacing w:val="2"/>
          <w:w w:val="110"/>
          <w:sz w:val="18"/>
        </w:rPr>
        <w:t>from </w:t>
      </w:r>
      <w:r>
        <w:rPr>
          <w:color w:val="231F20"/>
          <w:w w:val="110"/>
          <w:sz w:val="18"/>
        </w:rPr>
        <w:t>the  Roll of Ministers, no appeal having been lodged by or on behalf of the Minister within   the period specified in the notification </w:t>
      </w:r>
      <w:r>
        <w:rPr>
          <w:color w:val="231F20"/>
          <w:spacing w:val="2"/>
          <w:w w:val="110"/>
          <w:sz w:val="18"/>
        </w:rPr>
        <w:t>referred </w:t>
      </w:r>
      <w:r>
        <w:rPr>
          <w:color w:val="231F20"/>
          <w:w w:val="110"/>
          <w:sz w:val="18"/>
        </w:rPr>
        <w:t>to in Paragraph </w:t>
      </w:r>
      <w:r>
        <w:rPr>
          <w:color w:val="231F20"/>
          <w:spacing w:val="-3"/>
          <w:w w:val="110"/>
          <w:sz w:val="18"/>
        </w:rPr>
        <w:t>K.8.1, </w:t>
      </w:r>
      <w:r>
        <w:rPr>
          <w:color w:val="231F20"/>
          <w:w w:val="110"/>
          <w:sz w:val="18"/>
        </w:rPr>
        <w:t>deletion shall take </w:t>
      </w:r>
      <w:r>
        <w:rPr>
          <w:color w:val="231F20"/>
          <w:spacing w:val="3"/>
          <w:w w:val="110"/>
          <w:sz w:val="18"/>
        </w:rPr>
        <w:t>effect </w:t>
      </w:r>
      <w:r>
        <w:rPr>
          <w:color w:val="231F20"/>
          <w:w w:val="110"/>
          <w:sz w:val="18"/>
        </w:rPr>
        <w:t>on the date of </w:t>
      </w:r>
      <w:r>
        <w:rPr>
          <w:color w:val="231F20"/>
          <w:spacing w:val="2"/>
          <w:w w:val="110"/>
          <w:sz w:val="18"/>
        </w:rPr>
        <w:t>expiry </w:t>
      </w:r>
      <w:r>
        <w:rPr>
          <w:color w:val="231F20"/>
          <w:w w:val="110"/>
          <w:sz w:val="18"/>
        </w:rPr>
        <w:t>of such</w:t>
      </w:r>
      <w:r>
        <w:rPr>
          <w:color w:val="231F20"/>
          <w:spacing w:val="7"/>
          <w:w w:val="110"/>
          <w:sz w:val="18"/>
        </w:rPr>
        <w:t> </w:t>
      </w:r>
      <w:r>
        <w:rPr>
          <w:color w:val="231F20"/>
          <w:w w:val="110"/>
          <w:sz w:val="18"/>
        </w:rPr>
        <w:t>period.</w:t>
      </w:r>
    </w:p>
    <w:p>
      <w:pPr>
        <w:pStyle w:val="BodyText"/>
        <w:spacing w:before="10"/>
        <w:rPr>
          <w:sz w:val="20"/>
        </w:rPr>
      </w:pPr>
    </w:p>
    <w:p>
      <w:pPr>
        <w:pStyle w:val="ListParagraph"/>
        <w:numPr>
          <w:ilvl w:val="1"/>
          <w:numId w:val="194"/>
        </w:numPr>
        <w:tabs>
          <w:tab w:pos="1234" w:val="left" w:leader="none"/>
        </w:tabs>
        <w:spacing w:line="273" w:lineRule="auto" w:before="0" w:after="0"/>
        <w:ind w:left="513" w:right="1867" w:firstLine="0"/>
        <w:jc w:val="both"/>
        <w:rPr>
          <w:sz w:val="18"/>
        </w:rPr>
      </w:pPr>
      <w:r>
        <w:rPr>
          <w:color w:val="231F20"/>
          <w:w w:val="110"/>
          <w:sz w:val="18"/>
        </w:rPr>
        <w:t>Every decision </w:t>
      </w:r>
      <w:r>
        <w:rPr>
          <w:color w:val="231F20"/>
          <w:spacing w:val="2"/>
          <w:w w:val="110"/>
          <w:sz w:val="18"/>
        </w:rPr>
        <w:t>reached </w:t>
      </w:r>
      <w:r>
        <w:rPr>
          <w:color w:val="231F20"/>
          <w:w w:val="110"/>
          <w:sz w:val="18"/>
        </w:rPr>
        <w:t>under the Procedure (whether or not on appeal) is made in the name of the General Assembly and is final and binding on the Minister and on all the Councils of the</w:t>
      </w:r>
      <w:r>
        <w:rPr>
          <w:color w:val="231F20"/>
          <w:spacing w:val="4"/>
          <w:w w:val="110"/>
          <w:sz w:val="18"/>
        </w:rPr>
        <w:t> </w:t>
      </w:r>
      <w:r>
        <w:rPr>
          <w:color w:val="231F20"/>
          <w:w w:val="110"/>
          <w:sz w:val="18"/>
        </w:rPr>
        <w:t>Church.</w:t>
      </w:r>
    </w:p>
    <w:p>
      <w:pPr>
        <w:pStyle w:val="BodyText"/>
        <w:spacing w:before="9"/>
        <w:rPr>
          <w:sz w:val="20"/>
        </w:rPr>
      </w:pPr>
    </w:p>
    <w:p>
      <w:pPr>
        <w:pStyle w:val="ListParagraph"/>
        <w:numPr>
          <w:ilvl w:val="1"/>
          <w:numId w:val="194"/>
        </w:numPr>
        <w:tabs>
          <w:tab w:pos="1233" w:val="left" w:leader="none"/>
          <w:tab w:pos="1235" w:val="left" w:leader="none"/>
        </w:tabs>
        <w:spacing w:line="273" w:lineRule="auto" w:before="0" w:after="0"/>
        <w:ind w:left="513" w:right="2032" w:firstLine="0"/>
        <w:jc w:val="left"/>
        <w:rPr>
          <w:sz w:val="18"/>
        </w:rPr>
      </w:pPr>
      <w:r>
        <w:rPr>
          <w:color w:val="231F20"/>
          <w:w w:val="110"/>
          <w:sz w:val="18"/>
        </w:rPr>
        <w:t>Within ten days of the date of the Review Commission’s decision the </w:t>
      </w:r>
      <w:r>
        <w:rPr>
          <w:color w:val="231F20"/>
          <w:spacing w:val="3"/>
          <w:w w:val="110"/>
          <w:sz w:val="18"/>
        </w:rPr>
        <w:t>Secretary </w:t>
      </w:r>
      <w:r>
        <w:rPr>
          <w:color w:val="231F20"/>
          <w:w w:val="110"/>
          <w:sz w:val="18"/>
        </w:rPr>
        <w:t>shall send or deliver written notification of the decision and copies of the Decision Record and the Statement of Reasons to the Minister or his/her</w:t>
      </w:r>
      <w:r>
        <w:rPr>
          <w:color w:val="231F20"/>
          <w:spacing w:val="12"/>
          <w:w w:val="110"/>
          <w:sz w:val="18"/>
        </w:rPr>
        <w:t> </w:t>
      </w:r>
      <w:r>
        <w:rPr>
          <w:color w:val="231F20"/>
          <w:w w:val="110"/>
          <w:sz w:val="18"/>
        </w:rPr>
        <w:t>representative.</w:t>
      </w:r>
    </w:p>
    <w:p>
      <w:pPr>
        <w:pStyle w:val="BodyText"/>
        <w:spacing w:before="8"/>
        <w:rPr>
          <w:sz w:val="20"/>
        </w:rPr>
      </w:pPr>
    </w:p>
    <w:p>
      <w:pPr>
        <w:pStyle w:val="ListParagraph"/>
        <w:numPr>
          <w:ilvl w:val="1"/>
          <w:numId w:val="194"/>
        </w:numPr>
        <w:tabs>
          <w:tab w:pos="1233" w:val="left" w:leader="none"/>
          <w:tab w:pos="1234" w:val="left" w:leader="none"/>
        </w:tabs>
        <w:spacing w:line="273" w:lineRule="auto" w:before="1" w:after="0"/>
        <w:ind w:left="513" w:right="1822" w:firstLine="0"/>
        <w:jc w:val="left"/>
        <w:rPr>
          <w:sz w:val="18"/>
        </w:rPr>
      </w:pPr>
      <w:r>
        <w:rPr>
          <w:color w:val="231F20"/>
          <w:w w:val="110"/>
          <w:sz w:val="18"/>
        </w:rPr>
        <w:t>Where the decision is that the Minister’s name be retained on the Roll of Ministers, the </w:t>
      </w:r>
      <w:r>
        <w:rPr>
          <w:color w:val="231F20"/>
          <w:spacing w:val="3"/>
          <w:w w:val="110"/>
          <w:sz w:val="18"/>
        </w:rPr>
        <w:t>Secretary </w:t>
      </w:r>
      <w:r>
        <w:rPr>
          <w:color w:val="231F20"/>
          <w:w w:val="110"/>
          <w:sz w:val="18"/>
        </w:rPr>
        <w:t>shall at the same time send or deliver copies of the Decision Record and the Statement of Reasons to the General Secretary, the Moderator of the Synod,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the Deputy General </w:t>
      </w:r>
      <w:r>
        <w:rPr>
          <w:color w:val="231F20"/>
          <w:spacing w:val="3"/>
          <w:w w:val="110"/>
          <w:sz w:val="18"/>
        </w:rPr>
        <w:t>Secretary </w:t>
      </w:r>
      <w:r>
        <w:rPr>
          <w:color w:val="231F20"/>
          <w:w w:val="110"/>
          <w:sz w:val="18"/>
        </w:rPr>
        <w:t>(but only if s/he</w:t>
      </w:r>
      <w:r>
        <w:rPr>
          <w:color w:val="231F20"/>
          <w:spacing w:val="13"/>
          <w:w w:val="110"/>
          <w:sz w:val="18"/>
        </w:rPr>
        <w:t> </w:t>
      </w:r>
      <w:r>
        <w:rPr>
          <w:color w:val="231F20"/>
          <w:w w:val="110"/>
          <w:sz w:val="18"/>
        </w:rPr>
        <w:t>issued</w:t>
      </w:r>
      <w:r>
        <w:rPr>
          <w:color w:val="231F20"/>
          <w:spacing w:val="14"/>
          <w:w w:val="110"/>
          <w:sz w:val="18"/>
        </w:rPr>
        <w:t> </w:t>
      </w:r>
      <w:r>
        <w:rPr>
          <w:color w:val="231F20"/>
          <w:w w:val="110"/>
          <w:sz w:val="18"/>
        </w:rPr>
        <w:t>the</w:t>
      </w:r>
      <w:r>
        <w:rPr>
          <w:color w:val="231F20"/>
          <w:spacing w:val="13"/>
          <w:w w:val="110"/>
          <w:sz w:val="18"/>
        </w:rPr>
        <w:t> </w:t>
      </w:r>
      <w:r>
        <w:rPr>
          <w:color w:val="231F20"/>
          <w:w w:val="110"/>
          <w:sz w:val="18"/>
        </w:rPr>
        <w:t>Commencement</w:t>
      </w:r>
      <w:r>
        <w:rPr>
          <w:color w:val="231F20"/>
          <w:spacing w:val="14"/>
          <w:w w:val="110"/>
          <w:sz w:val="18"/>
        </w:rPr>
        <w:t> </w:t>
      </w:r>
      <w:r>
        <w:rPr>
          <w:color w:val="231F20"/>
          <w:w w:val="110"/>
          <w:sz w:val="18"/>
        </w:rPr>
        <w:t>Notice)</w:t>
      </w:r>
      <w:r>
        <w:rPr>
          <w:color w:val="231F20"/>
          <w:spacing w:val="13"/>
          <w:w w:val="110"/>
          <w:sz w:val="18"/>
        </w:rPr>
        <w:t> </w:t>
      </w:r>
      <w:r>
        <w:rPr>
          <w:color w:val="231F20"/>
          <w:w w:val="110"/>
          <w:sz w:val="18"/>
        </w:rPr>
        <w:t>and</w:t>
      </w:r>
      <w:r>
        <w:rPr>
          <w:color w:val="231F20"/>
          <w:spacing w:val="14"/>
          <w:w w:val="110"/>
          <w:sz w:val="18"/>
        </w:rPr>
        <w:t> </w:t>
      </w:r>
      <w:r>
        <w:rPr>
          <w:color w:val="231F20"/>
          <w:w w:val="110"/>
          <w:sz w:val="18"/>
        </w:rPr>
        <w:t>the</w:t>
      </w:r>
      <w:r>
        <w:rPr>
          <w:color w:val="231F20"/>
          <w:spacing w:val="13"/>
          <w:w w:val="110"/>
          <w:sz w:val="18"/>
        </w:rPr>
        <w:t> </w:t>
      </w:r>
      <w:r>
        <w:rPr>
          <w:color w:val="231F20"/>
          <w:spacing w:val="3"/>
          <w:w w:val="110"/>
          <w:sz w:val="18"/>
        </w:rPr>
        <w:t>Secretary</w:t>
      </w:r>
      <w:r>
        <w:rPr>
          <w:color w:val="231F20"/>
          <w:spacing w:val="14"/>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4"/>
          <w:w w:val="110"/>
          <w:sz w:val="18"/>
        </w:rPr>
        <w:t> </w:t>
      </w:r>
      <w:r>
        <w:rPr>
          <w:color w:val="231F20"/>
          <w:w w:val="110"/>
          <w:sz w:val="18"/>
        </w:rPr>
        <w:t>Ministries</w:t>
      </w:r>
      <w:r>
        <w:rPr>
          <w:color w:val="231F20"/>
          <w:spacing w:val="14"/>
          <w:w w:val="110"/>
          <w:sz w:val="18"/>
        </w:rPr>
        <w:t> </w:t>
      </w:r>
      <w:r>
        <w:rPr>
          <w:color w:val="231F20"/>
          <w:w w:val="110"/>
          <w:sz w:val="18"/>
        </w:rPr>
        <w:t>Committee.</w:t>
      </w:r>
    </w:p>
    <w:p>
      <w:pPr>
        <w:pStyle w:val="BodyText"/>
        <w:spacing w:before="10"/>
        <w:rPr>
          <w:sz w:val="20"/>
        </w:rPr>
      </w:pPr>
    </w:p>
    <w:p>
      <w:pPr>
        <w:pStyle w:val="ListParagraph"/>
        <w:numPr>
          <w:ilvl w:val="1"/>
          <w:numId w:val="194"/>
        </w:numPr>
        <w:tabs>
          <w:tab w:pos="1233" w:val="left" w:leader="none"/>
          <w:tab w:pos="1234" w:val="left" w:leader="none"/>
        </w:tabs>
        <w:spacing w:line="273" w:lineRule="auto" w:before="0" w:after="0"/>
        <w:ind w:left="513" w:right="2533" w:firstLine="0"/>
        <w:jc w:val="left"/>
        <w:rPr>
          <w:sz w:val="18"/>
        </w:rPr>
      </w:pPr>
      <w:r>
        <w:rPr>
          <w:color w:val="231F20"/>
          <w:w w:val="110"/>
          <w:sz w:val="18"/>
        </w:rPr>
        <w:t>Where the decision is that the Minister’s name be deleted </w:t>
      </w:r>
      <w:r>
        <w:rPr>
          <w:color w:val="231F20"/>
          <w:spacing w:val="2"/>
          <w:w w:val="110"/>
          <w:sz w:val="18"/>
        </w:rPr>
        <w:t>from </w:t>
      </w:r>
      <w:r>
        <w:rPr>
          <w:color w:val="231F20"/>
          <w:w w:val="110"/>
          <w:sz w:val="18"/>
        </w:rPr>
        <w:t>the Roll of Ministers, then:</w:t>
      </w:r>
    </w:p>
    <w:p>
      <w:pPr>
        <w:pStyle w:val="BodyText"/>
        <w:spacing w:before="8"/>
        <w:rPr>
          <w:sz w:val="20"/>
        </w:rPr>
      </w:pPr>
    </w:p>
    <w:p>
      <w:pPr>
        <w:pStyle w:val="ListParagraph"/>
        <w:numPr>
          <w:ilvl w:val="2"/>
          <w:numId w:val="194"/>
        </w:numPr>
        <w:tabs>
          <w:tab w:pos="1235" w:val="left" w:leader="none"/>
        </w:tabs>
        <w:spacing w:line="273" w:lineRule="auto" w:before="0" w:after="0"/>
        <w:ind w:left="513" w:right="2145" w:firstLine="0"/>
        <w:jc w:val="left"/>
        <w:rPr>
          <w:sz w:val="18"/>
        </w:rPr>
      </w:pPr>
      <w:r>
        <w:rPr>
          <w:color w:val="231F20"/>
          <w:w w:val="110"/>
          <w:sz w:val="18"/>
        </w:rPr>
        <w:t>The written notification shall draw the Minister’s attention to his/her right of appeal and </w:t>
      </w:r>
      <w:r>
        <w:rPr>
          <w:color w:val="231F20"/>
          <w:spacing w:val="2"/>
          <w:w w:val="110"/>
          <w:sz w:val="18"/>
        </w:rPr>
        <w:t>specify </w:t>
      </w:r>
      <w:r>
        <w:rPr>
          <w:color w:val="231F20"/>
          <w:w w:val="110"/>
          <w:sz w:val="18"/>
        </w:rPr>
        <w:t>the </w:t>
      </w:r>
      <w:r>
        <w:rPr>
          <w:color w:val="231F20"/>
          <w:spacing w:val="2"/>
          <w:w w:val="110"/>
          <w:sz w:val="18"/>
        </w:rPr>
        <w:t>precise </w:t>
      </w:r>
      <w:r>
        <w:rPr>
          <w:color w:val="231F20"/>
          <w:w w:val="110"/>
          <w:sz w:val="18"/>
        </w:rPr>
        <w:t>date by which notice of appeal must be lodged by the Minister with the</w:t>
      </w:r>
      <w:r>
        <w:rPr>
          <w:color w:val="231F20"/>
          <w:spacing w:val="3"/>
          <w:w w:val="110"/>
          <w:sz w:val="18"/>
        </w:rPr>
        <w:t> </w:t>
      </w:r>
      <w:r>
        <w:rPr>
          <w:color w:val="231F20"/>
          <w:w w:val="110"/>
          <w:sz w:val="18"/>
        </w:rPr>
        <w:t>Secretary.</w:t>
      </w:r>
    </w:p>
    <w:p>
      <w:pPr>
        <w:pStyle w:val="BodyText"/>
        <w:spacing w:before="9"/>
        <w:rPr>
          <w:sz w:val="20"/>
        </w:rPr>
      </w:pPr>
    </w:p>
    <w:p>
      <w:pPr>
        <w:pStyle w:val="ListParagraph"/>
        <w:numPr>
          <w:ilvl w:val="2"/>
          <w:numId w:val="194"/>
        </w:numPr>
        <w:tabs>
          <w:tab w:pos="1234" w:val="left" w:leader="none"/>
        </w:tabs>
        <w:spacing w:line="273" w:lineRule="auto" w:before="0" w:after="0"/>
        <w:ind w:left="513" w:right="1873" w:firstLine="0"/>
        <w:jc w:val="left"/>
        <w:rPr>
          <w:sz w:val="18"/>
        </w:rPr>
      </w:pPr>
      <w:r>
        <w:rPr>
          <w:color w:val="231F20"/>
          <w:w w:val="110"/>
          <w:sz w:val="18"/>
        </w:rPr>
        <w:t>The </w:t>
      </w:r>
      <w:r>
        <w:rPr>
          <w:color w:val="231F20"/>
          <w:spacing w:val="3"/>
          <w:w w:val="110"/>
          <w:sz w:val="18"/>
        </w:rPr>
        <w:t>Secretary </w:t>
      </w:r>
      <w:r>
        <w:rPr>
          <w:color w:val="231F20"/>
          <w:w w:val="110"/>
          <w:sz w:val="18"/>
        </w:rPr>
        <w:t>shall, at the same time as taking the </w:t>
      </w:r>
      <w:r>
        <w:rPr>
          <w:color w:val="231F20"/>
          <w:spacing w:val="2"/>
          <w:w w:val="110"/>
          <w:sz w:val="18"/>
        </w:rPr>
        <w:t>action </w:t>
      </w:r>
      <w:r>
        <w:rPr>
          <w:color w:val="231F20"/>
          <w:w w:val="110"/>
          <w:sz w:val="18"/>
        </w:rPr>
        <w:t>required under Paragraph K.6, send to the General Secretary, the Moderator of the Synod,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the Deputy General </w:t>
      </w:r>
      <w:r>
        <w:rPr>
          <w:color w:val="231F20"/>
          <w:spacing w:val="3"/>
          <w:w w:val="110"/>
          <w:sz w:val="18"/>
        </w:rPr>
        <w:t>Secretary </w:t>
      </w:r>
      <w:r>
        <w:rPr>
          <w:color w:val="231F20"/>
          <w:w w:val="110"/>
          <w:sz w:val="18"/>
        </w:rPr>
        <w:t>(but only if s/he issued the Commencement Notice) and the </w:t>
      </w:r>
      <w:r>
        <w:rPr>
          <w:color w:val="231F20"/>
          <w:spacing w:val="3"/>
          <w:w w:val="110"/>
          <w:sz w:val="18"/>
        </w:rPr>
        <w:t>Secretary </w:t>
      </w:r>
      <w:r>
        <w:rPr>
          <w:color w:val="231F20"/>
          <w:w w:val="110"/>
          <w:sz w:val="18"/>
        </w:rPr>
        <w:t>of the Ministries Committee a Notice to the </w:t>
      </w:r>
      <w:r>
        <w:rPr>
          <w:color w:val="231F20"/>
          <w:spacing w:val="3"/>
          <w:w w:val="110"/>
          <w:sz w:val="18"/>
        </w:rPr>
        <w:t>effect </w:t>
      </w:r>
      <w:r>
        <w:rPr>
          <w:color w:val="231F20"/>
          <w:w w:val="110"/>
          <w:sz w:val="18"/>
        </w:rPr>
        <w:t>that a decision has been made by the Review Commission that the Minister’s name be deleted </w:t>
      </w:r>
      <w:r>
        <w:rPr>
          <w:color w:val="231F20"/>
          <w:spacing w:val="2"/>
          <w:w w:val="110"/>
          <w:sz w:val="18"/>
        </w:rPr>
        <w:t>from </w:t>
      </w:r>
      <w:r>
        <w:rPr>
          <w:color w:val="231F20"/>
          <w:w w:val="110"/>
          <w:sz w:val="18"/>
        </w:rPr>
        <w:t>the Roll of Ministers. Such Notice shall not contain any </w:t>
      </w:r>
      <w:r>
        <w:rPr>
          <w:color w:val="231F20"/>
          <w:spacing w:val="2"/>
          <w:w w:val="110"/>
          <w:sz w:val="18"/>
        </w:rPr>
        <w:t>further </w:t>
      </w:r>
      <w:r>
        <w:rPr>
          <w:color w:val="231F20"/>
          <w:w w:val="110"/>
          <w:sz w:val="18"/>
        </w:rPr>
        <w:t>information other than that the decision is still subject to appeal and that a </w:t>
      </w:r>
      <w:r>
        <w:rPr>
          <w:color w:val="231F20"/>
          <w:spacing w:val="2"/>
          <w:w w:val="110"/>
          <w:sz w:val="18"/>
        </w:rPr>
        <w:t>further </w:t>
      </w:r>
      <w:r>
        <w:rPr>
          <w:color w:val="231F20"/>
          <w:w w:val="110"/>
          <w:sz w:val="18"/>
        </w:rPr>
        <w:t>Notice will be sent when it is known whether there is to be an appeal or</w:t>
      </w:r>
      <w:r>
        <w:rPr>
          <w:color w:val="231F20"/>
          <w:spacing w:val="68"/>
          <w:w w:val="110"/>
          <w:sz w:val="18"/>
        </w:rPr>
        <w:t> </w:t>
      </w:r>
      <w:r>
        <w:rPr>
          <w:color w:val="231F20"/>
          <w:w w:val="110"/>
          <w:sz w:val="18"/>
        </w:rPr>
        <w:t>not.</w:t>
      </w:r>
    </w:p>
    <w:p>
      <w:pPr>
        <w:pStyle w:val="BodyText"/>
        <w:spacing w:before="12"/>
        <w:rPr>
          <w:sz w:val="20"/>
        </w:rPr>
      </w:pPr>
    </w:p>
    <w:p>
      <w:pPr>
        <w:pStyle w:val="ListParagraph"/>
        <w:numPr>
          <w:ilvl w:val="2"/>
          <w:numId w:val="194"/>
        </w:numPr>
        <w:tabs>
          <w:tab w:pos="1235" w:val="left" w:leader="none"/>
        </w:tabs>
        <w:spacing w:line="273" w:lineRule="auto" w:before="0" w:after="0"/>
        <w:ind w:left="513" w:right="1934" w:firstLine="0"/>
        <w:jc w:val="left"/>
        <w:rPr>
          <w:sz w:val="18"/>
        </w:rPr>
      </w:pPr>
      <w:r>
        <w:rPr>
          <w:color w:val="231F20"/>
          <w:w w:val="110"/>
          <w:sz w:val="18"/>
        </w:rPr>
        <w:t>If by the date specified in the written notification to the Minister under Paragraph K.6 as the final date for the lodging of an appeal no appeal has been lodged by the Minister, the </w:t>
      </w:r>
      <w:r>
        <w:rPr>
          <w:color w:val="231F20"/>
          <w:spacing w:val="3"/>
          <w:w w:val="110"/>
          <w:sz w:val="18"/>
        </w:rPr>
        <w:t>Secretary </w:t>
      </w:r>
      <w:r>
        <w:rPr>
          <w:color w:val="231F20"/>
          <w:w w:val="110"/>
          <w:sz w:val="18"/>
        </w:rPr>
        <w:t>of the Review Commission shall send copies of the Decision Record to the General Secretary, the Moderator of the Synod,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the Deputy General </w:t>
      </w:r>
      <w:r>
        <w:rPr>
          <w:color w:val="231F20"/>
          <w:spacing w:val="3"/>
          <w:w w:val="110"/>
          <w:sz w:val="18"/>
        </w:rPr>
        <w:t>Secretary </w:t>
      </w:r>
      <w:r>
        <w:rPr>
          <w:color w:val="231F20"/>
          <w:w w:val="110"/>
          <w:sz w:val="18"/>
        </w:rPr>
        <w:t>(but only if s/he issued the Commencement Notice) and the </w:t>
      </w:r>
      <w:r>
        <w:rPr>
          <w:color w:val="231F20"/>
          <w:spacing w:val="3"/>
          <w:w w:val="110"/>
          <w:sz w:val="18"/>
        </w:rPr>
        <w:t>Secretary </w:t>
      </w:r>
      <w:r>
        <w:rPr>
          <w:color w:val="231F20"/>
          <w:w w:val="110"/>
          <w:sz w:val="18"/>
        </w:rPr>
        <w:t>of the Ministries</w:t>
      </w:r>
      <w:r>
        <w:rPr>
          <w:color w:val="231F20"/>
          <w:spacing w:val="33"/>
          <w:w w:val="110"/>
          <w:sz w:val="18"/>
        </w:rPr>
        <w:t> </w:t>
      </w:r>
      <w:r>
        <w:rPr>
          <w:color w:val="231F20"/>
          <w:w w:val="110"/>
          <w:sz w:val="18"/>
        </w:rPr>
        <w:t>Committee.</w:t>
      </w:r>
    </w:p>
    <w:p>
      <w:pPr>
        <w:pStyle w:val="BodyText"/>
        <w:spacing w:before="9"/>
        <w:rPr>
          <w:sz w:val="20"/>
        </w:rPr>
      </w:pPr>
    </w:p>
    <w:p>
      <w:pPr>
        <w:pStyle w:val="ListParagraph"/>
        <w:numPr>
          <w:ilvl w:val="2"/>
          <w:numId w:val="194"/>
        </w:numPr>
        <w:tabs>
          <w:tab w:pos="1233" w:val="left" w:leader="none"/>
          <w:tab w:pos="1234" w:val="left" w:leader="none"/>
        </w:tabs>
        <w:spacing w:line="240" w:lineRule="auto" w:before="0" w:after="0"/>
        <w:ind w:left="1233" w:right="0" w:hanging="721"/>
        <w:jc w:val="left"/>
        <w:rPr>
          <w:sz w:val="18"/>
        </w:rPr>
      </w:pPr>
      <w:r>
        <w:rPr>
          <w:color w:val="231F20"/>
          <w:spacing w:val="-3"/>
          <w:w w:val="110"/>
          <w:sz w:val="18"/>
        </w:rPr>
        <w:t>If</w:t>
      </w:r>
      <w:r>
        <w:rPr>
          <w:color w:val="231F20"/>
          <w:spacing w:val="-8"/>
          <w:w w:val="110"/>
          <w:sz w:val="18"/>
        </w:rPr>
        <w:t> </w:t>
      </w:r>
      <w:r>
        <w:rPr>
          <w:color w:val="231F20"/>
          <w:w w:val="110"/>
          <w:sz w:val="18"/>
        </w:rPr>
        <w:t>the</w:t>
      </w:r>
      <w:r>
        <w:rPr>
          <w:color w:val="231F20"/>
          <w:spacing w:val="-8"/>
          <w:w w:val="110"/>
          <w:sz w:val="18"/>
        </w:rPr>
        <w:t> </w:t>
      </w:r>
      <w:r>
        <w:rPr>
          <w:color w:val="231F20"/>
          <w:w w:val="110"/>
          <w:sz w:val="18"/>
        </w:rPr>
        <w:t>Minister</w:t>
      </w:r>
      <w:r>
        <w:rPr>
          <w:color w:val="231F20"/>
          <w:spacing w:val="-7"/>
          <w:w w:val="110"/>
          <w:sz w:val="18"/>
        </w:rPr>
        <w:t> </w:t>
      </w:r>
      <w:r>
        <w:rPr>
          <w:color w:val="231F20"/>
          <w:w w:val="110"/>
          <w:sz w:val="18"/>
        </w:rPr>
        <w:t>lodges</w:t>
      </w:r>
      <w:r>
        <w:rPr>
          <w:color w:val="231F20"/>
          <w:spacing w:val="-7"/>
          <w:w w:val="110"/>
          <w:sz w:val="18"/>
        </w:rPr>
        <w:t> </w:t>
      </w:r>
      <w:r>
        <w:rPr>
          <w:color w:val="231F20"/>
          <w:w w:val="110"/>
          <w:sz w:val="18"/>
        </w:rPr>
        <w:t>a</w:t>
      </w:r>
      <w:r>
        <w:rPr>
          <w:color w:val="231F20"/>
          <w:spacing w:val="-8"/>
          <w:w w:val="110"/>
          <w:sz w:val="18"/>
        </w:rPr>
        <w:t> </w:t>
      </w:r>
      <w:r>
        <w:rPr>
          <w:color w:val="231F20"/>
          <w:w w:val="110"/>
          <w:sz w:val="18"/>
        </w:rPr>
        <w:t>Notice</w:t>
      </w:r>
      <w:r>
        <w:rPr>
          <w:color w:val="231F20"/>
          <w:spacing w:val="-7"/>
          <w:w w:val="110"/>
          <w:sz w:val="18"/>
        </w:rPr>
        <w:t> </w:t>
      </w:r>
      <w:r>
        <w:rPr>
          <w:color w:val="231F20"/>
          <w:w w:val="110"/>
          <w:sz w:val="18"/>
        </w:rPr>
        <w:t>of</w:t>
      </w:r>
      <w:r>
        <w:rPr>
          <w:color w:val="231F20"/>
          <w:spacing w:val="-8"/>
          <w:w w:val="110"/>
          <w:sz w:val="18"/>
        </w:rPr>
        <w:t> </w:t>
      </w:r>
      <w:r>
        <w:rPr>
          <w:color w:val="231F20"/>
          <w:spacing w:val="-3"/>
          <w:w w:val="110"/>
          <w:sz w:val="18"/>
        </w:rPr>
        <w:t>Appeal*,</w:t>
      </w:r>
      <w:r>
        <w:rPr>
          <w:color w:val="231F20"/>
          <w:spacing w:val="-8"/>
          <w:w w:val="110"/>
          <w:sz w:val="18"/>
        </w:rPr>
        <w:t> </w:t>
      </w:r>
      <w:r>
        <w:rPr>
          <w:color w:val="231F20"/>
          <w:w w:val="110"/>
          <w:sz w:val="18"/>
        </w:rPr>
        <w:t>the</w:t>
      </w:r>
      <w:r>
        <w:rPr>
          <w:color w:val="231F20"/>
          <w:spacing w:val="-7"/>
          <w:w w:val="110"/>
          <w:sz w:val="18"/>
        </w:rPr>
        <w:t> </w:t>
      </w:r>
      <w:r>
        <w:rPr>
          <w:color w:val="231F20"/>
          <w:w w:val="110"/>
          <w:sz w:val="18"/>
        </w:rPr>
        <w:t>procedure</w:t>
      </w:r>
      <w:r>
        <w:rPr>
          <w:color w:val="231F20"/>
          <w:spacing w:val="-8"/>
          <w:w w:val="110"/>
          <w:sz w:val="18"/>
        </w:rPr>
        <w:t> </w:t>
      </w:r>
      <w:r>
        <w:rPr>
          <w:color w:val="231F20"/>
          <w:w w:val="110"/>
          <w:sz w:val="18"/>
        </w:rPr>
        <w:t>set</w:t>
      </w:r>
      <w:r>
        <w:rPr>
          <w:color w:val="231F20"/>
          <w:spacing w:val="-7"/>
          <w:w w:val="110"/>
          <w:sz w:val="18"/>
        </w:rPr>
        <w:t> </w:t>
      </w:r>
      <w:r>
        <w:rPr>
          <w:color w:val="231F20"/>
          <w:w w:val="110"/>
          <w:sz w:val="18"/>
        </w:rPr>
        <w:t>out</w:t>
      </w:r>
      <w:r>
        <w:rPr>
          <w:color w:val="231F20"/>
          <w:spacing w:val="-7"/>
          <w:w w:val="110"/>
          <w:sz w:val="18"/>
        </w:rPr>
        <w:t> </w:t>
      </w:r>
      <w:r>
        <w:rPr>
          <w:color w:val="231F20"/>
          <w:w w:val="110"/>
          <w:sz w:val="18"/>
        </w:rPr>
        <w:t>in</w:t>
      </w:r>
      <w:r>
        <w:rPr>
          <w:color w:val="231F20"/>
          <w:spacing w:val="-8"/>
          <w:w w:val="110"/>
          <w:sz w:val="18"/>
        </w:rPr>
        <w:t> </w:t>
      </w:r>
      <w:r>
        <w:rPr>
          <w:color w:val="231F20"/>
          <w:w w:val="110"/>
          <w:sz w:val="18"/>
        </w:rPr>
        <w:t>Section</w:t>
      </w:r>
      <w:r>
        <w:rPr>
          <w:color w:val="231F20"/>
          <w:spacing w:val="-7"/>
          <w:w w:val="110"/>
          <w:sz w:val="18"/>
        </w:rPr>
        <w:t> </w:t>
      </w:r>
      <w:r>
        <w:rPr>
          <w:color w:val="231F20"/>
          <w:w w:val="110"/>
          <w:sz w:val="18"/>
        </w:rPr>
        <w:t>L</w:t>
      </w:r>
      <w:r>
        <w:rPr>
          <w:color w:val="231F20"/>
          <w:spacing w:val="-8"/>
          <w:w w:val="110"/>
          <w:sz w:val="18"/>
        </w:rPr>
        <w:t> </w:t>
      </w:r>
      <w:r>
        <w:rPr>
          <w:color w:val="231F20"/>
          <w:w w:val="110"/>
          <w:sz w:val="18"/>
        </w:rPr>
        <w:t>applies.</w:t>
      </w:r>
    </w:p>
    <w:p>
      <w:pPr>
        <w:spacing w:after="0" w:line="240" w:lineRule="auto"/>
        <w:jc w:val="left"/>
        <w:rPr>
          <w:sz w:val="18"/>
        </w:rPr>
        <w:sectPr>
          <w:pgSz w:w="11910" w:h="16840"/>
          <w:pgMar w:header="558" w:footer="564" w:top="820" w:bottom="760" w:left="620" w:right="0"/>
        </w:sectPr>
      </w:pPr>
    </w:p>
    <w:p>
      <w:pPr>
        <w:pStyle w:val="BodyText"/>
        <w:spacing w:before="7"/>
        <w:rPr>
          <w:sz w:val="13"/>
        </w:rPr>
      </w:pPr>
    </w:p>
    <w:p>
      <w:pPr>
        <w:numPr>
          <w:ilvl w:val="0"/>
          <w:numId w:val="192"/>
        </w:numPr>
        <w:tabs>
          <w:tab w:pos="1800" w:val="left" w:leader="none"/>
          <w:tab w:pos="1801" w:val="left" w:leader="none"/>
        </w:tabs>
        <w:spacing w:before="98"/>
        <w:ind w:left="1800" w:right="0" w:hanging="721"/>
        <w:jc w:val="left"/>
        <w:rPr>
          <w:b/>
          <w:sz w:val="20"/>
        </w:rPr>
      </w:pPr>
      <w:r>
        <w:rPr>
          <w:b/>
          <w:color w:val="231F20"/>
          <w:w w:val="110"/>
          <w:sz w:val="20"/>
        </w:rPr>
        <w:t>APPEALS</w:t>
      </w:r>
      <w:r>
        <w:rPr>
          <w:b/>
          <w:color w:val="231F20"/>
          <w:spacing w:val="-1"/>
          <w:w w:val="110"/>
          <w:sz w:val="20"/>
        </w:rPr>
        <w:t> </w:t>
      </w:r>
      <w:r>
        <w:rPr>
          <w:b/>
          <w:color w:val="231F20"/>
          <w:w w:val="110"/>
          <w:sz w:val="20"/>
        </w:rPr>
        <w:t>PROCEDURE</w:t>
      </w:r>
    </w:p>
    <w:p>
      <w:pPr>
        <w:pStyle w:val="BodyText"/>
        <w:spacing w:before="9"/>
        <w:rPr>
          <w:b/>
          <w:sz w:val="22"/>
        </w:rPr>
      </w:pPr>
    </w:p>
    <w:p>
      <w:pPr>
        <w:pStyle w:val="ListParagraph"/>
        <w:numPr>
          <w:ilvl w:val="2"/>
          <w:numId w:val="195"/>
        </w:numPr>
        <w:tabs>
          <w:tab w:pos="1800" w:val="left" w:leader="none"/>
          <w:tab w:pos="1801" w:val="left" w:leader="none"/>
        </w:tabs>
        <w:spacing w:line="273" w:lineRule="auto" w:before="0" w:after="0"/>
        <w:ind w:left="1080" w:right="1134" w:firstLine="0"/>
        <w:jc w:val="left"/>
        <w:rPr>
          <w:sz w:val="18"/>
        </w:rPr>
      </w:pPr>
      <w:r>
        <w:rPr>
          <w:color w:val="231F20"/>
          <w:w w:val="110"/>
          <w:sz w:val="18"/>
        </w:rPr>
        <w:t>Should the Minister wish to appeal against the decision of the Review Commission to delete his/her name </w:t>
      </w:r>
      <w:r>
        <w:rPr>
          <w:color w:val="231F20"/>
          <w:spacing w:val="2"/>
          <w:w w:val="110"/>
          <w:sz w:val="18"/>
        </w:rPr>
        <w:t>from </w:t>
      </w:r>
      <w:r>
        <w:rPr>
          <w:color w:val="231F20"/>
          <w:w w:val="110"/>
          <w:sz w:val="18"/>
        </w:rPr>
        <w:t>the Roll of Ministers, s/he or his/her representative must lodge </w:t>
      </w:r>
      <w:r>
        <w:rPr>
          <w:color w:val="231F20"/>
          <w:spacing w:val="2"/>
          <w:w w:val="110"/>
          <w:sz w:val="18"/>
        </w:rPr>
        <w:t>written </w:t>
      </w:r>
      <w:r>
        <w:rPr>
          <w:color w:val="231F20"/>
          <w:w w:val="110"/>
          <w:sz w:val="18"/>
        </w:rPr>
        <w:t>notice of such Appeal with the </w:t>
      </w:r>
      <w:r>
        <w:rPr>
          <w:color w:val="231F20"/>
          <w:spacing w:val="3"/>
          <w:w w:val="110"/>
          <w:sz w:val="18"/>
        </w:rPr>
        <w:t>Secretary </w:t>
      </w:r>
      <w:r>
        <w:rPr>
          <w:color w:val="231F20"/>
          <w:w w:val="110"/>
          <w:sz w:val="18"/>
        </w:rPr>
        <w:t>of the Review</w:t>
      </w:r>
      <w:r>
        <w:rPr>
          <w:color w:val="231F20"/>
          <w:spacing w:val="67"/>
          <w:w w:val="110"/>
          <w:sz w:val="18"/>
        </w:rPr>
        <w:t> </w:t>
      </w:r>
      <w:r>
        <w:rPr>
          <w:color w:val="231F20"/>
          <w:w w:val="110"/>
          <w:sz w:val="18"/>
        </w:rPr>
        <w:t>Commission</w:t>
      </w:r>
    </w:p>
    <w:p>
      <w:pPr>
        <w:pStyle w:val="BodyText"/>
        <w:spacing w:line="273" w:lineRule="auto" w:before="2"/>
        <w:ind w:left="1080" w:right="1583"/>
      </w:pPr>
      <w:r>
        <w:rPr>
          <w:color w:val="231F20"/>
          <w:w w:val="110"/>
        </w:rPr>
        <w:t>within 21 days of receipt by the Minister of the written notification of the decision under Paragraph K.6 (which shall set out the grounds of the appeal either in detail or in summary form as the Minister chooses).</w:t>
      </w:r>
    </w:p>
    <w:p>
      <w:pPr>
        <w:pStyle w:val="BodyText"/>
        <w:spacing w:before="9"/>
        <w:rPr>
          <w:sz w:val="20"/>
        </w:rPr>
      </w:pPr>
    </w:p>
    <w:p>
      <w:pPr>
        <w:pStyle w:val="ListParagraph"/>
        <w:numPr>
          <w:ilvl w:val="2"/>
          <w:numId w:val="195"/>
        </w:numPr>
        <w:tabs>
          <w:tab w:pos="1800" w:val="left" w:leader="none"/>
          <w:tab w:pos="1801" w:val="left" w:leader="none"/>
        </w:tabs>
        <w:spacing w:line="273" w:lineRule="auto" w:before="0" w:after="0"/>
        <w:ind w:left="1081" w:right="1188" w:hanging="1"/>
        <w:jc w:val="left"/>
        <w:rPr>
          <w:sz w:val="18"/>
        </w:rPr>
      </w:pPr>
      <w:r>
        <w:rPr>
          <w:color w:val="231F20"/>
          <w:w w:val="110"/>
          <w:sz w:val="18"/>
        </w:rPr>
        <w:t>The Secretary of the Review Commission shall forthwith notify the General Secretary that an Appeal has been lodged, at the same time passing on to the General Secretary the Notice of Appeal together with the body of papers laid before the Review Commission</w:t>
      </w:r>
      <w:r>
        <w:rPr>
          <w:color w:val="231F20"/>
          <w:spacing w:val="-7"/>
          <w:w w:val="110"/>
          <w:sz w:val="18"/>
        </w:rPr>
        <w:t> </w:t>
      </w:r>
      <w:r>
        <w:rPr>
          <w:color w:val="231F20"/>
          <w:w w:val="110"/>
          <w:sz w:val="18"/>
        </w:rPr>
        <w:t>in</w:t>
      </w:r>
      <w:r>
        <w:rPr>
          <w:color w:val="231F20"/>
          <w:spacing w:val="-7"/>
          <w:w w:val="110"/>
          <w:sz w:val="18"/>
        </w:rPr>
        <w:t> </w:t>
      </w:r>
      <w:r>
        <w:rPr>
          <w:color w:val="231F20"/>
          <w:w w:val="110"/>
          <w:sz w:val="18"/>
        </w:rPr>
        <w:t>hearing</w:t>
      </w:r>
      <w:r>
        <w:rPr>
          <w:color w:val="231F20"/>
          <w:spacing w:val="-7"/>
          <w:w w:val="110"/>
          <w:sz w:val="18"/>
        </w:rPr>
        <w:t> </w:t>
      </w:r>
      <w:r>
        <w:rPr>
          <w:color w:val="231F20"/>
          <w:w w:val="110"/>
          <w:sz w:val="18"/>
        </w:rPr>
        <w:t>the</w:t>
      </w:r>
      <w:r>
        <w:rPr>
          <w:color w:val="231F20"/>
          <w:spacing w:val="-6"/>
          <w:w w:val="110"/>
          <w:sz w:val="18"/>
        </w:rPr>
        <w:t> </w:t>
      </w:r>
      <w:r>
        <w:rPr>
          <w:color w:val="231F20"/>
          <w:w w:val="110"/>
          <w:sz w:val="18"/>
        </w:rPr>
        <w:t>case</w:t>
      </w:r>
      <w:r>
        <w:rPr>
          <w:color w:val="231F20"/>
          <w:spacing w:val="-7"/>
          <w:w w:val="110"/>
          <w:sz w:val="18"/>
        </w:rPr>
        <w:t> </w:t>
      </w:r>
      <w:r>
        <w:rPr>
          <w:color w:val="231F20"/>
          <w:w w:val="110"/>
          <w:sz w:val="18"/>
        </w:rPr>
        <w:t>and</w:t>
      </w:r>
      <w:r>
        <w:rPr>
          <w:color w:val="231F20"/>
          <w:spacing w:val="-7"/>
          <w:w w:val="110"/>
          <w:sz w:val="18"/>
        </w:rPr>
        <w:t> </w:t>
      </w:r>
      <w:r>
        <w:rPr>
          <w:color w:val="231F20"/>
          <w:w w:val="110"/>
          <w:sz w:val="18"/>
        </w:rPr>
        <w:t>the</w:t>
      </w:r>
      <w:r>
        <w:rPr>
          <w:color w:val="231F20"/>
          <w:spacing w:val="-6"/>
          <w:w w:val="110"/>
          <w:sz w:val="18"/>
        </w:rPr>
        <w:t> </w:t>
      </w:r>
      <w:r>
        <w:rPr>
          <w:color w:val="231F20"/>
          <w:w w:val="110"/>
          <w:sz w:val="18"/>
        </w:rPr>
        <w:t>Record</w:t>
      </w:r>
      <w:r>
        <w:rPr>
          <w:color w:val="231F20"/>
          <w:spacing w:val="-7"/>
          <w:w w:val="110"/>
          <w:sz w:val="18"/>
        </w:rPr>
        <w:t> </w:t>
      </w:r>
      <w:r>
        <w:rPr>
          <w:color w:val="231F20"/>
          <w:w w:val="110"/>
          <w:sz w:val="18"/>
        </w:rPr>
        <w:t>of</w:t>
      </w:r>
      <w:r>
        <w:rPr>
          <w:color w:val="231F20"/>
          <w:spacing w:val="-7"/>
          <w:w w:val="110"/>
          <w:sz w:val="18"/>
        </w:rPr>
        <w:t> </w:t>
      </w:r>
      <w:r>
        <w:rPr>
          <w:color w:val="231F20"/>
          <w:w w:val="110"/>
          <w:sz w:val="18"/>
        </w:rPr>
        <w:t>the</w:t>
      </w:r>
      <w:r>
        <w:rPr>
          <w:color w:val="231F20"/>
          <w:spacing w:val="-7"/>
          <w:w w:val="110"/>
          <w:sz w:val="18"/>
        </w:rPr>
        <w:t> </w:t>
      </w:r>
      <w:r>
        <w:rPr>
          <w:color w:val="231F20"/>
          <w:w w:val="110"/>
          <w:sz w:val="18"/>
        </w:rPr>
        <w:t>Hearing</w:t>
      </w:r>
      <w:r>
        <w:rPr>
          <w:color w:val="231F20"/>
          <w:spacing w:val="-6"/>
          <w:w w:val="110"/>
          <w:sz w:val="18"/>
        </w:rPr>
        <w:t> </w:t>
      </w:r>
      <w:r>
        <w:rPr>
          <w:color w:val="231F20"/>
          <w:w w:val="110"/>
          <w:sz w:val="18"/>
        </w:rPr>
        <w:t>as</w:t>
      </w:r>
      <w:r>
        <w:rPr>
          <w:color w:val="231F20"/>
          <w:spacing w:val="-7"/>
          <w:w w:val="110"/>
          <w:sz w:val="18"/>
        </w:rPr>
        <w:t> </w:t>
      </w:r>
      <w:r>
        <w:rPr>
          <w:color w:val="231F20"/>
          <w:w w:val="110"/>
          <w:sz w:val="18"/>
        </w:rPr>
        <w:t>defined</w:t>
      </w:r>
      <w:r>
        <w:rPr>
          <w:color w:val="231F20"/>
          <w:spacing w:val="-7"/>
          <w:w w:val="110"/>
          <w:sz w:val="18"/>
        </w:rPr>
        <w:t> </w:t>
      </w:r>
      <w:r>
        <w:rPr>
          <w:color w:val="231F20"/>
          <w:w w:val="110"/>
          <w:sz w:val="18"/>
        </w:rPr>
        <w:t>in</w:t>
      </w:r>
      <w:r>
        <w:rPr>
          <w:color w:val="231F20"/>
          <w:spacing w:val="-6"/>
          <w:w w:val="110"/>
          <w:sz w:val="18"/>
        </w:rPr>
        <w:t> </w:t>
      </w:r>
      <w:r>
        <w:rPr>
          <w:color w:val="231F20"/>
          <w:w w:val="110"/>
          <w:sz w:val="18"/>
        </w:rPr>
        <w:t>Paragraph</w:t>
      </w:r>
      <w:r>
        <w:rPr>
          <w:color w:val="231F20"/>
          <w:spacing w:val="-7"/>
          <w:w w:val="110"/>
          <w:sz w:val="18"/>
        </w:rPr>
        <w:t> J.9. </w:t>
      </w:r>
      <w:r>
        <w:rPr>
          <w:color w:val="231F20"/>
          <w:w w:val="110"/>
          <w:sz w:val="18"/>
        </w:rPr>
        <w:t>The General Secretary shall thereupon act in a secretarial and administrative capacity in all matters relating to the</w:t>
      </w:r>
      <w:r>
        <w:rPr>
          <w:color w:val="231F20"/>
          <w:spacing w:val="-23"/>
          <w:w w:val="110"/>
          <w:sz w:val="18"/>
        </w:rPr>
        <w:t> </w:t>
      </w:r>
      <w:r>
        <w:rPr>
          <w:color w:val="231F20"/>
          <w:w w:val="110"/>
          <w:sz w:val="18"/>
        </w:rPr>
        <w:t>Appeal.</w:t>
      </w:r>
    </w:p>
    <w:p>
      <w:pPr>
        <w:pStyle w:val="BodyText"/>
        <w:spacing w:before="10"/>
        <w:rPr>
          <w:sz w:val="20"/>
        </w:rPr>
      </w:pPr>
    </w:p>
    <w:p>
      <w:pPr>
        <w:pStyle w:val="ListParagraph"/>
        <w:numPr>
          <w:ilvl w:val="2"/>
          <w:numId w:val="195"/>
        </w:numPr>
        <w:tabs>
          <w:tab w:pos="1800" w:val="left" w:leader="none"/>
          <w:tab w:pos="1801" w:val="left" w:leader="none"/>
        </w:tabs>
        <w:spacing w:line="273" w:lineRule="auto" w:before="1" w:after="0"/>
        <w:ind w:left="1081" w:right="1195" w:hanging="1"/>
        <w:jc w:val="left"/>
        <w:rPr>
          <w:sz w:val="18"/>
        </w:rPr>
      </w:pPr>
      <w:r>
        <w:rPr>
          <w:color w:val="231F20"/>
          <w:w w:val="110"/>
          <w:sz w:val="18"/>
        </w:rPr>
        <w:t>At the same time the Secretary of the Review Commission shall also notify the Moderator of the Synod and the Secretary of the District Council </w:t>
      </w:r>
      <w:r>
        <w:rPr>
          <w:color w:val="231F20"/>
          <w:spacing w:val="-6"/>
          <w:w w:val="110"/>
          <w:sz w:val="18"/>
        </w:rPr>
        <w:t>(and </w:t>
      </w:r>
      <w:r>
        <w:rPr>
          <w:color w:val="231F20"/>
          <w:w w:val="110"/>
          <w:sz w:val="18"/>
        </w:rPr>
        <w:t>the Deputy General Secretary if s/he issued the Commencement Notice in accordance with Paragraph </w:t>
      </w:r>
      <w:r>
        <w:rPr>
          <w:color w:val="231F20"/>
          <w:spacing w:val="-5"/>
          <w:w w:val="110"/>
          <w:sz w:val="18"/>
        </w:rPr>
        <w:t>B.3) </w:t>
      </w:r>
      <w:r>
        <w:rPr>
          <w:color w:val="231F20"/>
          <w:w w:val="110"/>
          <w:sz w:val="18"/>
        </w:rPr>
        <w:t>that the Minister has lodged an Appeal against the decision of the Review</w:t>
      </w:r>
      <w:r>
        <w:rPr>
          <w:color w:val="231F20"/>
          <w:spacing w:val="-29"/>
          <w:w w:val="110"/>
          <w:sz w:val="18"/>
        </w:rPr>
        <w:t> </w:t>
      </w:r>
      <w:r>
        <w:rPr>
          <w:color w:val="231F20"/>
          <w:w w:val="110"/>
          <w:sz w:val="18"/>
        </w:rPr>
        <w:t>Commission.</w:t>
      </w:r>
    </w:p>
    <w:p>
      <w:pPr>
        <w:pStyle w:val="BodyText"/>
        <w:spacing w:before="9"/>
        <w:rPr>
          <w:sz w:val="20"/>
        </w:rPr>
      </w:pPr>
    </w:p>
    <w:p>
      <w:pPr>
        <w:pStyle w:val="ListParagraph"/>
        <w:numPr>
          <w:ilvl w:val="2"/>
          <w:numId w:val="195"/>
        </w:numPr>
        <w:tabs>
          <w:tab w:pos="1804" w:val="left" w:leader="none"/>
          <w:tab w:pos="1805" w:val="left" w:leader="none"/>
        </w:tabs>
        <w:spacing w:line="273" w:lineRule="auto" w:before="0" w:after="0"/>
        <w:ind w:left="1084" w:right="1195" w:firstLine="0"/>
        <w:jc w:val="left"/>
        <w:rPr>
          <w:sz w:val="18"/>
        </w:rPr>
      </w:pPr>
      <w:r>
        <w:rPr>
          <w:color w:val="231F20"/>
          <w:w w:val="110"/>
          <w:sz w:val="18"/>
        </w:rPr>
        <w:t>A Notice of Appeal which is outside the time limit specified in Paragraph </w:t>
      </w:r>
      <w:r>
        <w:rPr>
          <w:color w:val="231F20"/>
          <w:spacing w:val="-4"/>
          <w:w w:val="110"/>
          <w:sz w:val="18"/>
        </w:rPr>
        <w:t>L.1.1 </w:t>
      </w:r>
      <w:r>
        <w:rPr>
          <w:color w:val="231F20"/>
          <w:w w:val="110"/>
          <w:sz w:val="18"/>
        </w:rPr>
        <w:t>will not normally be accepted. The General </w:t>
      </w:r>
      <w:r>
        <w:rPr>
          <w:color w:val="231F20"/>
          <w:spacing w:val="3"/>
          <w:w w:val="110"/>
          <w:sz w:val="18"/>
        </w:rPr>
        <w:t>Secretary </w:t>
      </w:r>
      <w:r>
        <w:rPr>
          <w:color w:val="231F20"/>
          <w:spacing w:val="-5"/>
          <w:w w:val="110"/>
          <w:sz w:val="18"/>
        </w:rPr>
        <w:t>may, </w:t>
      </w:r>
      <w:r>
        <w:rPr>
          <w:color w:val="231F20"/>
          <w:spacing w:val="-3"/>
          <w:w w:val="110"/>
          <w:sz w:val="18"/>
        </w:rPr>
        <w:t>however, </w:t>
      </w:r>
      <w:r>
        <w:rPr>
          <w:color w:val="231F20"/>
          <w:w w:val="110"/>
          <w:sz w:val="18"/>
        </w:rPr>
        <w:t>at his/her discretion accept a Notice of Appeal out of time, but only if s/he is satisfied that there are exceptional </w:t>
      </w:r>
      <w:r>
        <w:rPr>
          <w:color w:val="231F20"/>
          <w:spacing w:val="2"/>
          <w:w w:val="110"/>
          <w:sz w:val="18"/>
        </w:rPr>
        <w:t>circumstances </w:t>
      </w:r>
      <w:r>
        <w:rPr>
          <w:color w:val="231F20"/>
          <w:w w:val="110"/>
          <w:sz w:val="18"/>
        </w:rPr>
        <w:t>which would justify the exercise of discretion by the General </w:t>
      </w:r>
      <w:r>
        <w:rPr>
          <w:color w:val="231F20"/>
          <w:spacing w:val="3"/>
          <w:w w:val="110"/>
          <w:sz w:val="18"/>
        </w:rPr>
        <w:t>Secretary </w:t>
      </w:r>
      <w:r>
        <w:rPr>
          <w:color w:val="231F20"/>
          <w:w w:val="110"/>
          <w:sz w:val="18"/>
        </w:rPr>
        <w:t>to allow the appeal out of</w:t>
      </w:r>
      <w:r>
        <w:rPr>
          <w:color w:val="231F20"/>
          <w:spacing w:val="6"/>
          <w:w w:val="110"/>
          <w:sz w:val="18"/>
        </w:rPr>
        <w:t> </w:t>
      </w:r>
      <w:r>
        <w:rPr>
          <w:color w:val="231F20"/>
          <w:w w:val="110"/>
          <w:sz w:val="18"/>
        </w:rPr>
        <w:t>time.</w:t>
      </w:r>
    </w:p>
    <w:p>
      <w:pPr>
        <w:pStyle w:val="BodyText"/>
        <w:spacing w:before="10"/>
        <w:rPr>
          <w:sz w:val="20"/>
        </w:rPr>
      </w:pPr>
    </w:p>
    <w:p>
      <w:pPr>
        <w:pStyle w:val="ListParagraph"/>
        <w:numPr>
          <w:ilvl w:val="2"/>
          <w:numId w:val="195"/>
        </w:numPr>
        <w:tabs>
          <w:tab w:pos="1805" w:val="left" w:leader="none"/>
        </w:tabs>
        <w:spacing w:line="273" w:lineRule="auto" w:before="0" w:after="0"/>
        <w:ind w:left="1084" w:right="1146" w:firstLine="0"/>
        <w:jc w:val="both"/>
        <w:rPr>
          <w:sz w:val="18"/>
        </w:rPr>
      </w:pPr>
      <w:r>
        <w:rPr>
          <w:color w:val="231F20"/>
          <w:w w:val="110"/>
          <w:sz w:val="18"/>
        </w:rPr>
        <w:t>The Rules set out in this </w:t>
      </w:r>
      <w:r>
        <w:rPr>
          <w:color w:val="231F20"/>
          <w:spacing w:val="2"/>
          <w:w w:val="110"/>
          <w:sz w:val="18"/>
        </w:rPr>
        <w:t>Part </w:t>
      </w:r>
      <w:r>
        <w:rPr>
          <w:color w:val="231F20"/>
          <w:w w:val="110"/>
          <w:sz w:val="18"/>
        </w:rPr>
        <w:t>II as applicable to the Review Commission shall also apply to the Appeals Review Commission (with the </w:t>
      </w:r>
      <w:r>
        <w:rPr>
          <w:color w:val="231F20"/>
          <w:spacing w:val="2"/>
          <w:w w:val="110"/>
          <w:sz w:val="18"/>
        </w:rPr>
        <w:t>necessary </w:t>
      </w:r>
      <w:r>
        <w:rPr>
          <w:color w:val="231F20"/>
          <w:w w:val="110"/>
          <w:sz w:val="18"/>
        </w:rPr>
        <w:t>changes), except for those which by their context are inappropriate for the Appeals</w:t>
      </w:r>
      <w:r>
        <w:rPr>
          <w:color w:val="231F20"/>
          <w:spacing w:val="35"/>
          <w:w w:val="110"/>
          <w:sz w:val="18"/>
        </w:rPr>
        <w:t> </w:t>
      </w:r>
      <w:r>
        <w:rPr>
          <w:color w:val="231F20"/>
          <w:w w:val="110"/>
          <w:sz w:val="18"/>
        </w:rPr>
        <w:t>Procedure.</w:t>
      </w:r>
    </w:p>
    <w:p>
      <w:pPr>
        <w:pStyle w:val="BodyText"/>
        <w:spacing w:before="9"/>
        <w:rPr>
          <w:sz w:val="20"/>
        </w:rPr>
      </w:pPr>
    </w:p>
    <w:p>
      <w:pPr>
        <w:pStyle w:val="ListParagraph"/>
        <w:numPr>
          <w:ilvl w:val="2"/>
          <w:numId w:val="195"/>
        </w:numPr>
        <w:tabs>
          <w:tab w:pos="1804" w:val="left" w:leader="none"/>
          <w:tab w:pos="1805" w:val="left" w:leader="none"/>
        </w:tabs>
        <w:spacing w:line="273" w:lineRule="auto" w:before="0" w:after="0"/>
        <w:ind w:left="1084" w:right="1328" w:firstLine="0"/>
        <w:jc w:val="left"/>
        <w:rPr>
          <w:sz w:val="18"/>
        </w:rPr>
      </w:pPr>
      <w:r>
        <w:rPr>
          <w:color w:val="231F20"/>
          <w:w w:val="110"/>
          <w:sz w:val="18"/>
        </w:rPr>
        <w:t>No-one </w:t>
      </w:r>
      <w:r>
        <w:rPr>
          <w:color w:val="231F20"/>
          <w:spacing w:val="2"/>
          <w:w w:val="110"/>
          <w:sz w:val="18"/>
        </w:rPr>
        <w:t>apart from </w:t>
      </w:r>
      <w:r>
        <w:rPr>
          <w:color w:val="231F20"/>
          <w:w w:val="110"/>
          <w:sz w:val="18"/>
        </w:rPr>
        <w:t>the Minister shall have a right of appeal against a decision of the Review</w:t>
      </w:r>
      <w:r>
        <w:rPr>
          <w:color w:val="231F20"/>
          <w:spacing w:val="2"/>
          <w:w w:val="110"/>
          <w:sz w:val="18"/>
        </w:rPr>
        <w:t> </w:t>
      </w:r>
      <w:r>
        <w:rPr>
          <w:color w:val="231F20"/>
          <w:w w:val="110"/>
          <w:sz w:val="18"/>
        </w:rPr>
        <w:t>Commission.</w:t>
      </w:r>
    </w:p>
    <w:p>
      <w:pPr>
        <w:pStyle w:val="BodyText"/>
        <w:spacing w:before="8"/>
        <w:rPr>
          <w:sz w:val="20"/>
        </w:rPr>
      </w:pPr>
    </w:p>
    <w:p>
      <w:pPr>
        <w:pStyle w:val="BodyText"/>
        <w:tabs>
          <w:tab w:pos="1804" w:val="left" w:leader="none"/>
        </w:tabs>
        <w:spacing w:line="273" w:lineRule="auto"/>
        <w:ind w:left="1084" w:right="1375"/>
      </w:pPr>
      <w:r>
        <w:rPr>
          <w:color w:val="231F20"/>
          <w:w w:val="110"/>
        </w:rPr>
        <w:t>L.2</w:t>
        <w:tab/>
        <w:t>On receipt of the Notice of Appeal lodged under Paragraph </w:t>
      </w:r>
      <w:r>
        <w:rPr>
          <w:color w:val="231F20"/>
          <w:spacing w:val="-3"/>
          <w:w w:val="110"/>
        </w:rPr>
        <w:t>L.1, </w:t>
      </w:r>
      <w:r>
        <w:rPr>
          <w:color w:val="231F20"/>
          <w:w w:val="110"/>
        </w:rPr>
        <w:t>the General </w:t>
      </w:r>
      <w:r>
        <w:rPr>
          <w:color w:val="231F20"/>
          <w:spacing w:val="3"/>
          <w:w w:val="110"/>
        </w:rPr>
        <w:t>Secretary </w:t>
      </w:r>
      <w:r>
        <w:rPr>
          <w:color w:val="231F20"/>
          <w:w w:val="110"/>
        </w:rPr>
        <w:t>shall as soon as possible acknowledge receipt of the Notice of Appeal and  send to the Minister a copy of the Record of the Hearing </w:t>
      </w:r>
      <w:r>
        <w:rPr>
          <w:color w:val="231F20"/>
          <w:spacing w:val="2"/>
          <w:w w:val="110"/>
        </w:rPr>
        <w:t>before </w:t>
      </w:r>
      <w:r>
        <w:rPr>
          <w:color w:val="231F20"/>
          <w:w w:val="110"/>
        </w:rPr>
        <w:t>the Review Commission (see Paragraph</w:t>
      </w:r>
      <w:r>
        <w:rPr>
          <w:color w:val="231F20"/>
          <w:spacing w:val="1"/>
          <w:w w:val="110"/>
        </w:rPr>
        <w:t> </w:t>
      </w:r>
      <w:r>
        <w:rPr>
          <w:color w:val="231F20"/>
          <w:spacing w:val="-7"/>
          <w:w w:val="110"/>
        </w:rPr>
        <w:t>J.9).</w:t>
      </w:r>
    </w:p>
    <w:p>
      <w:pPr>
        <w:pStyle w:val="BodyText"/>
        <w:spacing w:before="10"/>
        <w:rPr>
          <w:sz w:val="20"/>
        </w:rPr>
      </w:pPr>
    </w:p>
    <w:p>
      <w:pPr>
        <w:pStyle w:val="ListParagraph"/>
        <w:numPr>
          <w:ilvl w:val="2"/>
          <w:numId w:val="196"/>
        </w:numPr>
        <w:tabs>
          <w:tab w:pos="1804" w:val="left" w:leader="none"/>
          <w:tab w:pos="1805" w:val="left" w:leader="none"/>
        </w:tabs>
        <w:spacing w:line="273" w:lineRule="auto" w:before="0" w:after="0"/>
        <w:ind w:left="1084" w:right="1247" w:firstLine="0"/>
        <w:jc w:val="left"/>
        <w:rPr>
          <w:sz w:val="18"/>
        </w:rPr>
      </w:pPr>
      <w:r>
        <w:rPr>
          <w:color w:val="231F20"/>
          <w:w w:val="110"/>
          <w:sz w:val="18"/>
        </w:rPr>
        <w:t>The </w:t>
      </w:r>
      <w:r>
        <w:rPr>
          <w:color w:val="231F20"/>
          <w:spacing w:val="3"/>
          <w:w w:val="110"/>
          <w:sz w:val="18"/>
        </w:rPr>
        <w:t>Officers </w:t>
      </w:r>
      <w:r>
        <w:rPr>
          <w:color w:val="231F20"/>
          <w:w w:val="110"/>
          <w:sz w:val="18"/>
        </w:rPr>
        <w:t>of the General Assembly shall within </w:t>
      </w:r>
      <w:r>
        <w:rPr>
          <w:color w:val="231F20"/>
          <w:spacing w:val="-6"/>
          <w:w w:val="110"/>
          <w:sz w:val="18"/>
        </w:rPr>
        <w:t>14 </w:t>
      </w:r>
      <w:r>
        <w:rPr>
          <w:color w:val="231F20"/>
          <w:w w:val="110"/>
          <w:sz w:val="18"/>
        </w:rPr>
        <w:t>days of receipt by the General </w:t>
      </w:r>
      <w:r>
        <w:rPr>
          <w:color w:val="231F20"/>
          <w:spacing w:val="3"/>
          <w:w w:val="110"/>
          <w:sz w:val="18"/>
        </w:rPr>
        <w:t>Secretary </w:t>
      </w:r>
      <w:r>
        <w:rPr>
          <w:color w:val="231F20"/>
          <w:w w:val="110"/>
          <w:sz w:val="18"/>
        </w:rPr>
        <w:t>of the Notice of Appeal under Paragraph L.1.2 </w:t>
      </w:r>
      <w:r>
        <w:rPr>
          <w:color w:val="231F20"/>
          <w:spacing w:val="-5"/>
          <w:w w:val="110"/>
          <w:sz w:val="18"/>
        </w:rPr>
        <w:t>(or </w:t>
      </w:r>
      <w:r>
        <w:rPr>
          <w:color w:val="231F20"/>
          <w:w w:val="110"/>
          <w:sz w:val="18"/>
        </w:rPr>
        <w:t>within such </w:t>
      </w:r>
      <w:r>
        <w:rPr>
          <w:color w:val="231F20"/>
          <w:spacing w:val="2"/>
          <w:w w:val="110"/>
          <w:sz w:val="18"/>
        </w:rPr>
        <w:t>further </w:t>
      </w:r>
      <w:r>
        <w:rPr>
          <w:color w:val="231F20"/>
          <w:w w:val="110"/>
          <w:sz w:val="18"/>
        </w:rPr>
        <w:t>time as they may reasonably require) appoint the Appeals Review Commission, which shall consist of three persons, in accordance with Paragraphs L.3.2 and</w:t>
      </w:r>
      <w:r>
        <w:rPr>
          <w:color w:val="231F20"/>
          <w:spacing w:val="62"/>
          <w:w w:val="110"/>
          <w:sz w:val="18"/>
        </w:rPr>
        <w:t> </w:t>
      </w:r>
      <w:r>
        <w:rPr>
          <w:color w:val="231F20"/>
          <w:w w:val="110"/>
          <w:sz w:val="18"/>
        </w:rPr>
        <w:t>L.3.3.</w:t>
      </w:r>
    </w:p>
    <w:p>
      <w:pPr>
        <w:pStyle w:val="BodyText"/>
        <w:spacing w:before="9"/>
        <w:rPr>
          <w:sz w:val="20"/>
        </w:rPr>
      </w:pPr>
    </w:p>
    <w:p>
      <w:pPr>
        <w:pStyle w:val="ListParagraph"/>
        <w:numPr>
          <w:ilvl w:val="2"/>
          <w:numId w:val="196"/>
        </w:numPr>
        <w:tabs>
          <w:tab w:pos="1804" w:val="left" w:leader="none"/>
          <w:tab w:pos="1805" w:val="left" w:leader="none"/>
        </w:tabs>
        <w:spacing w:line="273" w:lineRule="auto" w:before="0" w:after="0"/>
        <w:ind w:left="1084" w:right="1191" w:firstLine="0"/>
        <w:jc w:val="left"/>
        <w:rPr>
          <w:sz w:val="18"/>
        </w:rPr>
      </w:pPr>
      <w:r>
        <w:rPr>
          <w:color w:val="231F20"/>
          <w:w w:val="110"/>
          <w:sz w:val="18"/>
        </w:rPr>
        <w:t>The three </w:t>
      </w:r>
      <w:r>
        <w:rPr>
          <w:color w:val="231F20"/>
          <w:spacing w:val="2"/>
          <w:w w:val="110"/>
          <w:sz w:val="18"/>
        </w:rPr>
        <w:t>persons </w:t>
      </w:r>
      <w:r>
        <w:rPr>
          <w:color w:val="231F20"/>
          <w:w w:val="110"/>
          <w:sz w:val="18"/>
        </w:rPr>
        <w:t>to be so appointed shall be </w:t>
      </w:r>
      <w:r>
        <w:rPr>
          <w:color w:val="231F20"/>
          <w:spacing w:val="-4"/>
          <w:w w:val="110"/>
          <w:sz w:val="18"/>
        </w:rPr>
        <w:t>(i) </w:t>
      </w:r>
      <w:r>
        <w:rPr>
          <w:color w:val="231F20"/>
          <w:w w:val="110"/>
          <w:sz w:val="18"/>
        </w:rPr>
        <w:t>a </w:t>
      </w:r>
      <w:r>
        <w:rPr>
          <w:color w:val="231F20"/>
          <w:spacing w:val="2"/>
          <w:w w:val="110"/>
          <w:sz w:val="18"/>
        </w:rPr>
        <w:t>person </w:t>
      </w:r>
      <w:r>
        <w:rPr>
          <w:color w:val="231F20"/>
          <w:w w:val="110"/>
          <w:sz w:val="18"/>
        </w:rPr>
        <w:t>with some legal, tribunal or other professional experience or other similar background (being a member   of the United Reformed Church but not necessarily a member of General Assembly),   who shall normally </w:t>
      </w:r>
      <w:r>
        <w:rPr>
          <w:color w:val="231F20"/>
          <w:spacing w:val="2"/>
          <w:w w:val="110"/>
          <w:sz w:val="18"/>
        </w:rPr>
        <w:t>act </w:t>
      </w:r>
      <w:r>
        <w:rPr>
          <w:color w:val="231F20"/>
          <w:w w:val="110"/>
          <w:sz w:val="18"/>
        </w:rPr>
        <w:t>as Convener of the Appeals Review Commission, </w:t>
      </w:r>
      <w:r>
        <w:rPr>
          <w:color w:val="231F20"/>
          <w:spacing w:val="-3"/>
          <w:w w:val="110"/>
          <w:sz w:val="18"/>
        </w:rPr>
        <w:t>(ii) </w:t>
      </w:r>
      <w:r>
        <w:rPr>
          <w:color w:val="231F20"/>
          <w:w w:val="110"/>
          <w:sz w:val="18"/>
        </w:rPr>
        <w:t>a former Moderator of the General Assembly and (iii) either a </w:t>
      </w:r>
      <w:r>
        <w:rPr>
          <w:color w:val="231F20"/>
          <w:spacing w:val="2"/>
          <w:w w:val="110"/>
          <w:sz w:val="18"/>
        </w:rPr>
        <w:t>person </w:t>
      </w:r>
      <w:r>
        <w:rPr>
          <w:color w:val="231F20"/>
          <w:w w:val="110"/>
          <w:sz w:val="18"/>
        </w:rPr>
        <w:t>with general medical experience or one with professional </w:t>
      </w:r>
      <w:r>
        <w:rPr>
          <w:color w:val="231F20"/>
          <w:spacing w:val="2"/>
          <w:w w:val="110"/>
          <w:sz w:val="18"/>
        </w:rPr>
        <w:t>expertise </w:t>
      </w:r>
      <w:r>
        <w:rPr>
          <w:color w:val="231F20"/>
          <w:w w:val="110"/>
          <w:sz w:val="18"/>
        </w:rPr>
        <w:t>in the condition(s) giving rise to the  subject</w:t>
      </w:r>
      <w:r>
        <w:rPr>
          <w:color w:val="231F20"/>
          <w:spacing w:val="9"/>
          <w:w w:val="110"/>
          <w:sz w:val="18"/>
        </w:rPr>
        <w:t> </w:t>
      </w:r>
      <w:r>
        <w:rPr>
          <w:color w:val="231F20"/>
          <w:w w:val="110"/>
          <w:sz w:val="18"/>
        </w:rPr>
        <w:t>matter</w:t>
      </w:r>
      <w:r>
        <w:rPr>
          <w:color w:val="231F20"/>
          <w:spacing w:val="10"/>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10"/>
          <w:w w:val="110"/>
          <w:sz w:val="18"/>
        </w:rPr>
        <w:t> </w:t>
      </w:r>
      <w:r>
        <w:rPr>
          <w:color w:val="231F20"/>
          <w:spacing w:val="2"/>
          <w:w w:val="110"/>
          <w:sz w:val="18"/>
        </w:rPr>
        <w:t>case</w:t>
      </w:r>
      <w:r>
        <w:rPr>
          <w:color w:val="231F20"/>
          <w:spacing w:val="10"/>
          <w:w w:val="110"/>
          <w:sz w:val="18"/>
        </w:rPr>
        <w:t> </w:t>
      </w:r>
      <w:r>
        <w:rPr>
          <w:color w:val="231F20"/>
          <w:w w:val="110"/>
          <w:sz w:val="18"/>
        </w:rPr>
        <w:t>(such</w:t>
      </w:r>
      <w:r>
        <w:rPr>
          <w:color w:val="231F20"/>
          <w:spacing w:val="9"/>
          <w:w w:val="110"/>
          <w:sz w:val="18"/>
        </w:rPr>
        <w:t> </w:t>
      </w:r>
      <w:r>
        <w:rPr>
          <w:color w:val="231F20"/>
          <w:spacing w:val="2"/>
          <w:w w:val="110"/>
          <w:sz w:val="18"/>
        </w:rPr>
        <w:t>person</w:t>
      </w:r>
      <w:r>
        <w:rPr>
          <w:color w:val="231F20"/>
          <w:spacing w:val="10"/>
          <w:w w:val="110"/>
          <w:sz w:val="18"/>
        </w:rPr>
        <w:t> </w:t>
      </w:r>
      <w:r>
        <w:rPr>
          <w:color w:val="231F20"/>
          <w:w w:val="110"/>
          <w:sz w:val="18"/>
        </w:rPr>
        <w:t>not</w:t>
      </w:r>
      <w:r>
        <w:rPr>
          <w:color w:val="231F20"/>
          <w:spacing w:val="10"/>
          <w:w w:val="110"/>
          <w:sz w:val="18"/>
        </w:rPr>
        <w:t> </w:t>
      </w:r>
      <w:r>
        <w:rPr>
          <w:color w:val="231F20"/>
          <w:w w:val="110"/>
          <w:sz w:val="18"/>
        </w:rPr>
        <w:t>necessarily</w:t>
      </w:r>
      <w:r>
        <w:rPr>
          <w:color w:val="231F20"/>
          <w:spacing w:val="9"/>
          <w:w w:val="110"/>
          <w:sz w:val="18"/>
        </w:rPr>
        <w:t> </w:t>
      </w:r>
      <w:r>
        <w:rPr>
          <w:color w:val="231F20"/>
          <w:w w:val="110"/>
          <w:sz w:val="18"/>
        </w:rPr>
        <w:t>being</w:t>
      </w:r>
      <w:r>
        <w:rPr>
          <w:color w:val="231F20"/>
          <w:spacing w:val="10"/>
          <w:w w:val="110"/>
          <w:sz w:val="18"/>
        </w:rPr>
        <w:t> </w:t>
      </w:r>
      <w:r>
        <w:rPr>
          <w:color w:val="231F20"/>
          <w:w w:val="110"/>
          <w:sz w:val="18"/>
        </w:rPr>
        <w:t>a</w:t>
      </w:r>
      <w:r>
        <w:rPr>
          <w:color w:val="231F20"/>
          <w:spacing w:val="9"/>
          <w:w w:val="110"/>
          <w:sz w:val="18"/>
        </w:rPr>
        <w:t> </w:t>
      </w:r>
      <w:r>
        <w:rPr>
          <w:color w:val="231F20"/>
          <w:w w:val="110"/>
          <w:sz w:val="18"/>
        </w:rPr>
        <w:t>member</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Church).</w:t>
      </w:r>
    </w:p>
    <w:p>
      <w:pPr>
        <w:pStyle w:val="BodyText"/>
        <w:spacing w:before="11"/>
        <w:rPr>
          <w:sz w:val="20"/>
        </w:rPr>
      </w:pPr>
    </w:p>
    <w:p>
      <w:pPr>
        <w:pStyle w:val="ListParagraph"/>
        <w:numPr>
          <w:ilvl w:val="2"/>
          <w:numId w:val="196"/>
        </w:numPr>
        <w:tabs>
          <w:tab w:pos="1800" w:val="left" w:leader="none"/>
          <w:tab w:pos="1801" w:val="left" w:leader="none"/>
        </w:tabs>
        <w:spacing w:line="273" w:lineRule="auto" w:before="0" w:after="0"/>
        <w:ind w:left="1080" w:right="1195" w:firstLine="0"/>
        <w:jc w:val="left"/>
        <w:rPr>
          <w:sz w:val="18"/>
        </w:rPr>
      </w:pPr>
      <w:r>
        <w:rPr>
          <w:color w:val="231F20"/>
          <w:w w:val="110"/>
          <w:sz w:val="18"/>
        </w:rPr>
        <w:t>In the event that for </w:t>
      </w:r>
      <w:r>
        <w:rPr>
          <w:color w:val="231F20"/>
          <w:spacing w:val="-3"/>
          <w:w w:val="110"/>
          <w:sz w:val="18"/>
        </w:rPr>
        <w:t>any </w:t>
      </w:r>
      <w:r>
        <w:rPr>
          <w:color w:val="231F20"/>
          <w:w w:val="110"/>
          <w:sz w:val="18"/>
        </w:rPr>
        <w:t>reason it is inappropriate for the person in the first category</w:t>
      </w:r>
      <w:r>
        <w:rPr>
          <w:color w:val="231F20"/>
          <w:spacing w:val="-22"/>
          <w:w w:val="110"/>
          <w:sz w:val="18"/>
        </w:rPr>
        <w:t> </w:t>
      </w:r>
      <w:r>
        <w:rPr>
          <w:color w:val="231F20"/>
          <w:w w:val="110"/>
          <w:sz w:val="18"/>
        </w:rPr>
        <w:t>specified</w:t>
      </w:r>
      <w:r>
        <w:rPr>
          <w:color w:val="231F20"/>
          <w:spacing w:val="-22"/>
          <w:w w:val="110"/>
          <w:sz w:val="18"/>
        </w:rPr>
        <w:t> </w:t>
      </w:r>
      <w:r>
        <w:rPr>
          <w:color w:val="231F20"/>
          <w:w w:val="110"/>
          <w:sz w:val="18"/>
        </w:rPr>
        <w:t>in</w:t>
      </w:r>
      <w:r>
        <w:rPr>
          <w:color w:val="231F20"/>
          <w:spacing w:val="-22"/>
          <w:w w:val="110"/>
          <w:sz w:val="18"/>
        </w:rPr>
        <w:t> </w:t>
      </w:r>
      <w:r>
        <w:rPr>
          <w:color w:val="231F20"/>
          <w:w w:val="110"/>
          <w:sz w:val="18"/>
        </w:rPr>
        <w:t>Paragraph</w:t>
      </w:r>
      <w:r>
        <w:rPr>
          <w:color w:val="231F20"/>
          <w:spacing w:val="-21"/>
          <w:w w:val="110"/>
          <w:sz w:val="18"/>
        </w:rPr>
        <w:t> </w:t>
      </w:r>
      <w:r>
        <w:rPr>
          <w:color w:val="231F20"/>
          <w:w w:val="110"/>
          <w:sz w:val="18"/>
        </w:rPr>
        <w:t>L.3.2</w:t>
      </w:r>
      <w:r>
        <w:rPr>
          <w:color w:val="231F20"/>
          <w:spacing w:val="-21"/>
          <w:w w:val="110"/>
          <w:sz w:val="18"/>
        </w:rPr>
        <w:t> </w:t>
      </w:r>
      <w:r>
        <w:rPr>
          <w:color w:val="231F20"/>
          <w:w w:val="110"/>
          <w:sz w:val="18"/>
        </w:rPr>
        <w:t>to</w:t>
      </w:r>
      <w:r>
        <w:rPr>
          <w:color w:val="231F20"/>
          <w:spacing w:val="-21"/>
          <w:w w:val="110"/>
          <w:sz w:val="18"/>
        </w:rPr>
        <w:t> </w:t>
      </w:r>
      <w:r>
        <w:rPr>
          <w:color w:val="231F20"/>
          <w:w w:val="110"/>
          <w:sz w:val="18"/>
        </w:rPr>
        <w:t>be</w:t>
      </w:r>
      <w:r>
        <w:rPr>
          <w:color w:val="231F20"/>
          <w:spacing w:val="-21"/>
          <w:w w:val="110"/>
          <w:sz w:val="18"/>
        </w:rPr>
        <w:t> </w:t>
      </w:r>
      <w:r>
        <w:rPr>
          <w:color w:val="231F20"/>
          <w:w w:val="110"/>
          <w:sz w:val="18"/>
        </w:rPr>
        <w:t>the</w:t>
      </w:r>
      <w:r>
        <w:rPr>
          <w:color w:val="231F20"/>
          <w:spacing w:val="-21"/>
          <w:w w:val="110"/>
          <w:sz w:val="18"/>
        </w:rPr>
        <w:t> </w:t>
      </w:r>
      <w:r>
        <w:rPr>
          <w:color w:val="231F20"/>
          <w:w w:val="110"/>
          <w:sz w:val="18"/>
        </w:rPr>
        <w:t>Convener</w:t>
      </w:r>
      <w:r>
        <w:rPr>
          <w:color w:val="231F20"/>
          <w:spacing w:val="-22"/>
          <w:w w:val="110"/>
          <w:sz w:val="18"/>
        </w:rPr>
        <w:t> </w:t>
      </w:r>
      <w:r>
        <w:rPr>
          <w:color w:val="231F20"/>
          <w:w w:val="110"/>
          <w:sz w:val="18"/>
        </w:rPr>
        <w:t>of</w:t>
      </w:r>
      <w:r>
        <w:rPr>
          <w:color w:val="231F20"/>
          <w:spacing w:val="-21"/>
          <w:w w:val="110"/>
          <w:sz w:val="18"/>
        </w:rPr>
        <w:t> </w:t>
      </w:r>
      <w:r>
        <w:rPr>
          <w:color w:val="231F20"/>
          <w:w w:val="110"/>
          <w:sz w:val="18"/>
        </w:rPr>
        <w:t>the</w:t>
      </w:r>
      <w:r>
        <w:rPr>
          <w:color w:val="231F20"/>
          <w:spacing w:val="-21"/>
          <w:w w:val="110"/>
          <w:sz w:val="18"/>
        </w:rPr>
        <w:t> </w:t>
      </w:r>
      <w:r>
        <w:rPr>
          <w:color w:val="231F20"/>
          <w:w w:val="110"/>
          <w:sz w:val="18"/>
        </w:rPr>
        <w:t>Appeals</w:t>
      </w:r>
      <w:r>
        <w:rPr>
          <w:color w:val="231F20"/>
          <w:spacing w:val="-21"/>
          <w:w w:val="110"/>
          <w:sz w:val="18"/>
        </w:rPr>
        <w:t> </w:t>
      </w:r>
      <w:r>
        <w:rPr>
          <w:color w:val="231F20"/>
          <w:w w:val="110"/>
          <w:sz w:val="18"/>
        </w:rPr>
        <w:t>review</w:t>
      </w:r>
      <w:r>
        <w:rPr>
          <w:color w:val="231F20"/>
          <w:spacing w:val="-21"/>
          <w:w w:val="110"/>
          <w:sz w:val="18"/>
        </w:rPr>
        <w:t> </w:t>
      </w:r>
      <w:r>
        <w:rPr>
          <w:color w:val="231F20"/>
          <w:w w:val="110"/>
          <w:sz w:val="18"/>
        </w:rPr>
        <w:t>Commission, the convenership shall be assumed by the person in the second category</w:t>
      </w:r>
      <w:r>
        <w:rPr>
          <w:color w:val="231F20"/>
          <w:spacing w:val="-19"/>
          <w:w w:val="110"/>
          <w:sz w:val="18"/>
        </w:rPr>
        <w:t> </w:t>
      </w:r>
      <w:r>
        <w:rPr>
          <w:color w:val="231F20"/>
          <w:w w:val="110"/>
          <w:sz w:val="18"/>
        </w:rPr>
        <w:t>thereof.</w:t>
      </w:r>
    </w:p>
    <w:p>
      <w:pPr>
        <w:pStyle w:val="BodyText"/>
        <w:spacing w:before="9"/>
        <w:rPr>
          <w:sz w:val="20"/>
        </w:rPr>
      </w:pPr>
    </w:p>
    <w:p>
      <w:pPr>
        <w:pStyle w:val="ListParagraph"/>
        <w:numPr>
          <w:ilvl w:val="2"/>
          <w:numId w:val="196"/>
        </w:numPr>
        <w:tabs>
          <w:tab w:pos="1802" w:val="left" w:leader="none"/>
        </w:tabs>
        <w:spacing w:line="240" w:lineRule="auto" w:before="0" w:after="0"/>
        <w:ind w:left="1801" w:right="0" w:hanging="721"/>
        <w:jc w:val="both"/>
        <w:rPr>
          <w:sz w:val="18"/>
        </w:rPr>
      </w:pPr>
      <w:r>
        <w:rPr>
          <w:color w:val="231F20"/>
          <w:w w:val="110"/>
          <w:sz w:val="18"/>
        </w:rPr>
        <w:t>Persons appointed to an Appeals Review Commission are subject to Paragraph</w:t>
      </w:r>
      <w:r>
        <w:rPr>
          <w:color w:val="231F20"/>
          <w:spacing w:val="-22"/>
          <w:w w:val="110"/>
          <w:sz w:val="18"/>
        </w:rPr>
        <w:t> </w:t>
      </w:r>
      <w:r>
        <w:rPr>
          <w:color w:val="231F20"/>
          <w:spacing w:val="-7"/>
          <w:w w:val="110"/>
          <w:sz w:val="18"/>
        </w:rPr>
        <w:t>D.1.</w:t>
      </w:r>
    </w:p>
    <w:p>
      <w:pPr>
        <w:spacing w:after="0" w:line="240" w:lineRule="auto"/>
        <w:jc w:val="both"/>
        <w:rPr>
          <w:sz w:val="18"/>
        </w:rPr>
        <w:sectPr>
          <w:pgSz w:w="11910" w:h="16840"/>
          <w:pgMar w:header="557" w:footer="564" w:top="820" w:bottom="760" w:left="620" w:right="0"/>
        </w:sectPr>
      </w:pPr>
    </w:p>
    <w:p>
      <w:pPr>
        <w:pStyle w:val="BodyText"/>
        <w:spacing w:before="9"/>
        <w:rPr>
          <w:sz w:val="13"/>
        </w:rPr>
      </w:pPr>
    </w:p>
    <w:p>
      <w:pPr>
        <w:pStyle w:val="ListParagraph"/>
        <w:numPr>
          <w:ilvl w:val="2"/>
          <w:numId w:val="197"/>
        </w:numPr>
        <w:tabs>
          <w:tab w:pos="1233" w:val="left" w:leader="none"/>
          <w:tab w:pos="1234" w:val="left" w:leader="none"/>
        </w:tabs>
        <w:spacing w:line="273" w:lineRule="auto" w:before="101" w:after="0"/>
        <w:ind w:left="514" w:right="1794" w:hanging="1"/>
        <w:jc w:val="left"/>
        <w:rPr>
          <w:sz w:val="18"/>
        </w:rPr>
      </w:pPr>
      <w:r>
        <w:rPr>
          <w:color w:val="231F20"/>
          <w:spacing w:val="3"/>
          <w:w w:val="110"/>
          <w:sz w:val="18"/>
        </w:rPr>
        <w:t>The General </w:t>
      </w:r>
      <w:r>
        <w:rPr>
          <w:color w:val="231F20"/>
          <w:spacing w:val="5"/>
          <w:w w:val="110"/>
          <w:sz w:val="18"/>
        </w:rPr>
        <w:t>Secretary </w:t>
      </w:r>
      <w:r>
        <w:rPr>
          <w:color w:val="231F20"/>
          <w:w w:val="110"/>
          <w:sz w:val="18"/>
        </w:rPr>
        <w:t>shall </w:t>
      </w:r>
      <w:r>
        <w:rPr>
          <w:color w:val="231F20"/>
          <w:spacing w:val="3"/>
          <w:w w:val="110"/>
          <w:sz w:val="18"/>
        </w:rPr>
        <w:t>send </w:t>
      </w:r>
      <w:r>
        <w:rPr>
          <w:color w:val="231F20"/>
          <w:w w:val="110"/>
          <w:sz w:val="18"/>
        </w:rPr>
        <w:t>or </w:t>
      </w:r>
      <w:r>
        <w:rPr>
          <w:color w:val="231F20"/>
          <w:spacing w:val="2"/>
          <w:w w:val="110"/>
          <w:sz w:val="18"/>
        </w:rPr>
        <w:t>deliver </w:t>
      </w:r>
      <w:r>
        <w:rPr>
          <w:color w:val="231F20"/>
          <w:w w:val="110"/>
          <w:sz w:val="18"/>
        </w:rPr>
        <w:t>to </w:t>
      </w:r>
      <w:r>
        <w:rPr>
          <w:color w:val="231F20"/>
          <w:spacing w:val="3"/>
          <w:w w:val="110"/>
          <w:sz w:val="18"/>
        </w:rPr>
        <w:t>each </w:t>
      </w:r>
      <w:r>
        <w:rPr>
          <w:color w:val="231F20"/>
          <w:w w:val="110"/>
          <w:sz w:val="18"/>
        </w:rPr>
        <w:t>of </w:t>
      </w:r>
      <w:r>
        <w:rPr>
          <w:color w:val="231F20"/>
          <w:spacing w:val="2"/>
          <w:w w:val="110"/>
          <w:sz w:val="18"/>
        </w:rPr>
        <w:t>the </w:t>
      </w:r>
      <w:r>
        <w:rPr>
          <w:color w:val="231F20"/>
          <w:spacing w:val="4"/>
          <w:w w:val="110"/>
          <w:sz w:val="18"/>
        </w:rPr>
        <w:t>proposed </w:t>
      </w:r>
      <w:r>
        <w:rPr>
          <w:color w:val="231F20"/>
          <w:spacing w:val="3"/>
          <w:w w:val="110"/>
          <w:sz w:val="18"/>
        </w:rPr>
        <w:t>appointees </w:t>
      </w:r>
      <w:r>
        <w:rPr>
          <w:color w:val="231F20"/>
          <w:w w:val="110"/>
          <w:sz w:val="18"/>
        </w:rPr>
        <w:t>a </w:t>
      </w:r>
      <w:r>
        <w:rPr>
          <w:color w:val="231F20"/>
          <w:spacing w:val="3"/>
          <w:w w:val="110"/>
          <w:sz w:val="18"/>
        </w:rPr>
        <w:t>written </w:t>
      </w:r>
      <w:r>
        <w:rPr>
          <w:color w:val="231F20"/>
          <w:spacing w:val="2"/>
          <w:w w:val="110"/>
          <w:sz w:val="18"/>
        </w:rPr>
        <w:t>invitation </w:t>
      </w:r>
      <w:r>
        <w:rPr>
          <w:color w:val="231F20"/>
          <w:w w:val="110"/>
          <w:sz w:val="18"/>
        </w:rPr>
        <w:t>to </w:t>
      </w:r>
      <w:r>
        <w:rPr>
          <w:color w:val="231F20"/>
          <w:spacing w:val="4"/>
          <w:w w:val="110"/>
          <w:sz w:val="18"/>
        </w:rPr>
        <w:t>serve </w:t>
      </w:r>
      <w:r>
        <w:rPr>
          <w:color w:val="231F20"/>
          <w:w w:val="110"/>
          <w:sz w:val="18"/>
        </w:rPr>
        <w:t>on </w:t>
      </w:r>
      <w:r>
        <w:rPr>
          <w:color w:val="231F20"/>
          <w:spacing w:val="2"/>
          <w:w w:val="110"/>
          <w:sz w:val="18"/>
        </w:rPr>
        <w:t>the </w:t>
      </w:r>
      <w:r>
        <w:rPr>
          <w:color w:val="231F20"/>
          <w:spacing w:val="3"/>
          <w:w w:val="110"/>
          <w:sz w:val="18"/>
        </w:rPr>
        <w:t>Appeals </w:t>
      </w:r>
      <w:r>
        <w:rPr>
          <w:color w:val="231F20"/>
          <w:w w:val="110"/>
          <w:sz w:val="18"/>
        </w:rPr>
        <w:t>Review </w:t>
      </w:r>
      <w:r>
        <w:rPr>
          <w:color w:val="231F20"/>
          <w:spacing w:val="3"/>
          <w:w w:val="110"/>
          <w:sz w:val="18"/>
        </w:rPr>
        <w:t>Commission </w:t>
      </w:r>
      <w:r>
        <w:rPr>
          <w:color w:val="231F20"/>
          <w:spacing w:val="2"/>
          <w:w w:val="110"/>
          <w:sz w:val="18"/>
        </w:rPr>
        <w:t>for the hearing </w:t>
      </w:r>
      <w:r>
        <w:rPr>
          <w:color w:val="231F20"/>
          <w:w w:val="110"/>
          <w:sz w:val="18"/>
        </w:rPr>
        <w:t>of </w:t>
      </w:r>
      <w:r>
        <w:rPr>
          <w:color w:val="231F20"/>
          <w:spacing w:val="2"/>
          <w:w w:val="110"/>
          <w:sz w:val="18"/>
        </w:rPr>
        <w:t>the</w:t>
      </w:r>
      <w:r>
        <w:rPr>
          <w:color w:val="231F20"/>
          <w:spacing w:val="73"/>
          <w:w w:val="110"/>
          <w:sz w:val="18"/>
        </w:rPr>
        <w:t> </w:t>
      </w:r>
      <w:r>
        <w:rPr>
          <w:color w:val="231F20"/>
          <w:spacing w:val="2"/>
          <w:w w:val="110"/>
          <w:sz w:val="18"/>
        </w:rPr>
        <w:t>Appeal,</w:t>
      </w:r>
      <w:r>
        <w:rPr>
          <w:color w:val="231F20"/>
          <w:spacing w:val="12"/>
          <w:w w:val="110"/>
          <w:sz w:val="18"/>
        </w:rPr>
        <w:t> </w:t>
      </w:r>
      <w:r>
        <w:rPr>
          <w:color w:val="231F20"/>
          <w:w w:val="110"/>
          <w:sz w:val="18"/>
        </w:rPr>
        <w:t>naming</w:t>
      </w:r>
      <w:r>
        <w:rPr>
          <w:color w:val="231F20"/>
          <w:spacing w:val="13"/>
          <w:w w:val="110"/>
          <w:sz w:val="18"/>
        </w:rPr>
        <w:t> </w:t>
      </w:r>
      <w:r>
        <w:rPr>
          <w:color w:val="231F20"/>
          <w:spacing w:val="2"/>
          <w:w w:val="110"/>
          <w:sz w:val="18"/>
        </w:rPr>
        <w:t>the</w:t>
      </w:r>
      <w:r>
        <w:rPr>
          <w:color w:val="231F20"/>
          <w:spacing w:val="12"/>
          <w:w w:val="110"/>
          <w:sz w:val="18"/>
        </w:rPr>
        <w:t> </w:t>
      </w:r>
      <w:r>
        <w:rPr>
          <w:color w:val="231F20"/>
          <w:spacing w:val="2"/>
          <w:w w:val="110"/>
          <w:sz w:val="18"/>
        </w:rPr>
        <w:t>Minister</w:t>
      </w:r>
      <w:r>
        <w:rPr>
          <w:color w:val="231F20"/>
          <w:spacing w:val="13"/>
          <w:w w:val="110"/>
          <w:sz w:val="18"/>
        </w:rPr>
        <w:t> </w:t>
      </w:r>
      <w:r>
        <w:rPr>
          <w:color w:val="231F20"/>
          <w:spacing w:val="3"/>
          <w:w w:val="110"/>
          <w:sz w:val="18"/>
        </w:rPr>
        <w:t>concerned</w:t>
      </w:r>
      <w:r>
        <w:rPr>
          <w:color w:val="231F20"/>
          <w:spacing w:val="12"/>
          <w:w w:val="110"/>
          <w:sz w:val="18"/>
        </w:rPr>
        <w:t> </w:t>
      </w:r>
      <w:r>
        <w:rPr>
          <w:color w:val="231F20"/>
          <w:w w:val="110"/>
          <w:sz w:val="18"/>
        </w:rPr>
        <w:t>but</w:t>
      </w:r>
      <w:r>
        <w:rPr>
          <w:color w:val="231F20"/>
          <w:spacing w:val="13"/>
          <w:w w:val="110"/>
          <w:sz w:val="18"/>
        </w:rPr>
        <w:t> </w:t>
      </w:r>
      <w:r>
        <w:rPr>
          <w:color w:val="231F20"/>
          <w:spacing w:val="2"/>
          <w:w w:val="110"/>
          <w:sz w:val="18"/>
        </w:rPr>
        <w:t>supplying</w:t>
      </w:r>
      <w:r>
        <w:rPr>
          <w:color w:val="231F20"/>
          <w:spacing w:val="12"/>
          <w:w w:val="110"/>
          <w:sz w:val="18"/>
        </w:rPr>
        <w:t> </w:t>
      </w:r>
      <w:r>
        <w:rPr>
          <w:color w:val="231F20"/>
          <w:w w:val="110"/>
          <w:sz w:val="18"/>
        </w:rPr>
        <w:t>no</w:t>
      </w:r>
      <w:r>
        <w:rPr>
          <w:color w:val="231F20"/>
          <w:spacing w:val="13"/>
          <w:w w:val="110"/>
          <w:sz w:val="18"/>
        </w:rPr>
        <w:t> </w:t>
      </w:r>
      <w:r>
        <w:rPr>
          <w:color w:val="231F20"/>
          <w:spacing w:val="4"/>
          <w:w w:val="110"/>
          <w:sz w:val="18"/>
        </w:rPr>
        <w:t>further</w:t>
      </w:r>
      <w:r>
        <w:rPr>
          <w:color w:val="231F20"/>
          <w:spacing w:val="12"/>
          <w:w w:val="110"/>
          <w:sz w:val="18"/>
        </w:rPr>
        <w:t> </w:t>
      </w:r>
      <w:r>
        <w:rPr>
          <w:color w:val="231F20"/>
          <w:spacing w:val="2"/>
          <w:w w:val="110"/>
          <w:sz w:val="18"/>
        </w:rPr>
        <w:t>information</w:t>
      </w:r>
      <w:r>
        <w:rPr>
          <w:color w:val="231F20"/>
          <w:spacing w:val="13"/>
          <w:w w:val="110"/>
          <w:sz w:val="18"/>
        </w:rPr>
        <w:t> </w:t>
      </w:r>
      <w:r>
        <w:rPr>
          <w:color w:val="231F20"/>
          <w:spacing w:val="2"/>
          <w:w w:val="110"/>
          <w:sz w:val="18"/>
        </w:rPr>
        <w:t>about</w:t>
      </w:r>
    </w:p>
    <w:p>
      <w:pPr>
        <w:pStyle w:val="BodyText"/>
        <w:spacing w:before="1"/>
        <w:ind w:left="513"/>
      </w:pPr>
      <w:r>
        <w:rPr>
          <w:color w:val="231F20"/>
          <w:w w:val="110"/>
        </w:rPr>
        <w:t>the case.</w:t>
      </w:r>
    </w:p>
    <w:p>
      <w:pPr>
        <w:pStyle w:val="BodyText"/>
        <w:spacing w:before="2"/>
        <w:rPr>
          <w:sz w:val="23"/>
        </w:rPr>
      </w:pPr>
    </w:p>
    <w:p>
      <w:pPr>
        <w:pStyle w:val="ListParagraph"/>
        <w:numPr>
          <w:ilvl w:val="2"/>
          <w:numId w:val="197"/>
        </w:numPr>
        <w:tabs>
          <w:tab w:pos="1233" w:val="left" w:leader="none"/>
          <w:tab w:pos="1234" w:val="left" w:leader="none"/>
        </w:tabs>
        <w:spacing w:line="240" w:lineRule="auto" w:before="0" w:after="0"/>
        <w:ind w:left="1233" w:right="0" w:hanging="721"/>
        <w:jc w:val="left"/>
        <w:rPr>
          <w:sz w:val="18"/>
        </w:rPr>
      </w:pPr>
      <w:r>
        <w:rPr>
          <w:color w:val="231F20"/>
          <w:w w:val="110"/>
          <w:sz w:val="18"/>
        </w:rPr>
        <w:t>The invitation shall draw the attention of each </w:t>
      </w:r>
      <w:r>
        <w:rPr>
          <w:color w:val="231F20"/>
          <w:spacing w:val="2"/>
          <w:w w:val="110"/>
          <w:sz w:val="18"/>
        </w:rPr>
        <w:t>proposed </w:t>
      </w:r>
      <w:r>
        <w:rPr>
          <w:color w:val="231F20"/>
          <w:w w:val="110"/>
          <w:sz w:val="18"/>
        </w:rPr>
        <w:t>appointee to</w:t>
      </w:r>
      <w:r>
        <w:rPr>
          <w:color w:val="231F20"/>
          <w:spacing w:val="42"/>
          <w:w w:val="110"/>
          <w:sz w:val="18"/>
        </w:rPr>
        <w:t> </w:t>
      </w:r>
      <w:r>
        <w:rPr>
          <w:color w:val="231F20"/>
          <w:w w:val="110"/>
          <w:sz w:val="18"/>
        </w:rPr>
        <w:t>Paragraph</w:t>
      </w:r>
    </w:p>
    <w:p>
      <w:pPr>
        <w:pStyle w:val="BodyText"/>
        <w:spacing w:line="273" w:lineRule="auto" w:before="31"/>
        <w:ind w:left="513" w:right="1844"/>
      </w:pPr>
      <w:r>
        <w:rPr>
          <w:color w:val="231F20"/>
          <w:w w:val="110"/>
        </w:rPr>
        <w:t>D.1 and shall request confirmation that s/he is willing to accept appointment and that s/he is unaware of any circumstances which in the present case might prevent him/her from serving on the Appeals Review Commission.</w:t>
      </w:r>
    </w:p>
    <w:p>
      <w:pPr>
        <w:pStyle w:val="BodyText"/>
        <w:spacing w:before="9"/>
        <w:rPr>
          <w:sz w:val="20"/>
        </w:rPr>
      </w:pPr>
    </w:p>
    <w:p>
      <w:pPr>
        <w:pStyle w:val="ListParagraph"/>
        <w:numPr>
          <w:ilvl w:val="2"/>
          <w:numId w:val="197"/>
        </w:numPr>
        <w:tabs>
          <w:tab w:pos="1233" w:val="left" w:leader="none"/>
          <w:tab w:pos="1234" w:val="left" w:leader="none"/>
        </w:tabs>
        <w:spacing w:line="273" w:lineRule="auto" w:before="0" w:after="0"/>
        <w:ind w:left="513" w:right="1730" w:firstLine="0"/>
        <w:jc w:val="left"/>
        <w:rPr>
          <w:sz w:val="18"/>
        </w:rPr>
      </w:pPr>
      <w:r>
        <w:rPr>
          <w:color w:val="231F20"/>
          <w:w w:val="110"/>
          <w:sz w:val="18"/>
        </w:rPr>
        <w:t>The Invitee shall within seven days of receipt of the invitation to </w:t>
      </w:r>
      <w:r>
        <w:rPr>
          <w:color w:val="231F20"/>
          <w:spacing w:val="2"/>
          <w:w w:val="110"/>
          <w:sz w:val="18"/>
        </w:rPr>
        <w:t>serve notify </w:t>
      </w:r>
      <w:r>
        <w:rPr>
          <w:color w:val="231F20"/>
          <w:w w:val="110"/>
          <w:sz w:val="18"/>
        </w:rPr>
        <w:t>the General </w:t>
      </w:r>
      <w:r>
        <w:rPr>
          <w:color w:val="231F20"/>
          <w:spacing w:val="3"/>
          <w:w w:val="110"/>
          <w:sz w:val="18"/>
        </w:rPr>
        <w:t>Secretary </w:t>
      </w:r>
      <w:r>
        <w:rPr>
          <w:color w:val="231F20"/>
          <w:w w:val="110"/>
          <w:sz w:val="18"/>
        </w:rPr>
        <w:t>in writing whether s/he is able and willing to accept appointment and, if so confirming compliance with Paragraph</w:t>
      </w:r>
      <w:r>
        <w:rPr>
          <w:color w:val="231F20"/>
          <w:spacing w:val="11"/>
          <w:w w:val="110"/>
          <w:sz w:val="18"/>
        </w:rPr>
        <w:t> </w:t>
      </w:r>
      <w:r>
        <w:rPr>
          <w:color w:val="231F20"/>
          <w:spacing w:val="-4"/>
          <w:w w:val="110"/>
          <w:sz w:val="18"/>
        </w:rPr>
        <w:t>L.4.1.</w:t>
      </w:r>
    </w:p>
    <w:p>
      <w:pPr>
        <w:pStyle w:val="BodyText"/>
        <w:spacing w:before="9"/>
        <w:rPr>
          <w:sz w:val="20"/>
        </w:rPr>
      </w:pPr>
    </w:p>
    <w:p>
      <w:pPr>
        <w:pStyle w:val="ListParagraph"/>
        <w:numPr>
          <w:ilvl w:val="2"/>
          <w:numId w:val="198"/>
        </w:numPr>
        <w:tabs>
          <w:tab w:pos="1233" w:val="left" w:leader="none"/>
          <w:tab w:pos="1234" w:val="left" w:leader="none"/>
        </w:tabs>
        <w:spacing w:line="273" w:lineRule="auto" w:before="0" w:after="0"/>
        <w:ind w:left="513" w:right="1783" w:firstLine="0"/>
        <w:jc w:val="left"/>
        <w:rPr>
          <w:sz w:val="18"/>
        </w:rPr>
      </w:pPr>
      <w:r>
        <w:rPr>
          <w:color w:val="231F20"/>
          <w:w w:val="110"/>
          <w:sz w:val="18"/>
        </w:rPr>
        <w:t>The General </w:t>
      </w:r>
      <w:r>
        <w:rPr>
          <w:color w:val="231F20"/>
          <w:spacing w:val="3"/>
          <w:w w:val="110"/>
          <w:sz w:val="18"/>
        </w:rPr>
        <w:t>Secretary </w:t>
      </w:r>
      <w:r>
        <w:rPr>
          <w:color w:val="231F20"/>
          <w:w w:val="110"/>
          <w:sz w:val="18"/>
        </w:rPr>
        <w:t>shall </w:t>
      </w:r>
      <w:r>
        <w:rPr>
          <w:color w:val="231F20"/>
          <w:spacing w:val="2"/>
          <w:w w:val="110"/>
          <w:sz w:val="18"/>
        </w:rPr>
        <w:t>notify </w:t>
      </w:r>
      <w:r>
        <w:rPr>
          <w:color w:val="231F20"/>
          <w:w w:val="110"/>
          <w:sz w:val="18"/>
        </w:rPr>
        <w:t>the Minister or the Minister’s representative    in writing of the names, </w:t>
      </w:r>
      <w:r>
        <w:rPr>
          <w:color w:val="231F20"/>
          <w:spacing w:val="2"/>
          <w:w w:val="110"/>
          <w:sz w:val="18"/>
        </w:rPr>
        <w:t>addresses </w:t>
      </w:r>
      <w:r>
        <w:rPr>
          <w:color w:val="231F20"/>
          <w:w w:val="110"/>
          <w:sz w:val="18"/>
        </w:rPr>
        <w:t>and credentials of each </w:t>
      </w:r>
      <w:r>
        <w:rPr>
          <w:color w:val="231F20"/>
          <w:spacing w:val="2"/>
          <w:w w:val="110"/>
          <w:sz w:val="18"/>
        </w:rPr>
        <w:t>proposed </w:t>
      </w:r>
      <w:r>
        <w:rPr>
          <w:color w:val="231F20"/>
          <w:w w:val="110"/>
          <w:sz w:val="18"/>
        </w:rPr>
        <w:t>appointee, drawing attention to Paragraph </w:t>
      </w:r>
      <w:r>
        <w:rPr>
          <w:color w:val="231F20"/>
          <w:spacing w:val="-6"/>
          <w:w w:val="110"/>
          <w:sz w:val="18"/>
        </w:rPr>
        <w:t>D.1 </w:t>
      </w:r>
      <w:r>
        <w:rPr>
          <w:color w:val="231F20"/>
          <w:w w:val="110"/>
          <w:sz w:val="18"/>
        </w:rPr>
        <w:t>and pointing out that any objection to any of the </w:t>
      </w:r>
      <w:r>
        <w:rPr>
          <w:color w:val="231F20"/>
          <w:spacing w:val="2"/>
          <w:w w:val="110"/>
          <w:sz w:val="18"/>
        </w:rPr>
        <w:t>proposed </w:t>
      </w:r>
      <w:r>
        <w:rPr>
          <w:color w:val="231F20"/>
          <w:w w:val="110"/>
          <w:sz w:val="18"/>
        </w:rPr>
        <w:t>appointees must be made to the General </w:t>
      </w:r>
      <w:r>
        <w:rPr>
          <w:color w:val="231F20"/>
          <w:spacing w:val="3"/>
          <w:w w:val="110"/>
          <w:sz w:val="18"/>
        </w:rPr>
        <w:t>Secretary </w:t>
      </w:r>
      <w:r>
        <w:rPr>
          <w:color w:val="231F20"/>
          <w:w w:val="110"/>
          <w:sz w:val="18"/>
        </w:rPr>
        <w:t>in writing within </w:t>
      </w:r>
      <w:r>
        <w:rPr>
          <w:color w:val="231F20"/>
          <w:spacing w:val="2"/>
          <w:w w:val="110"/>
          <w:sz w:val="18"/>
        </w:rPr>
        <w:t>fourteen </w:t>
      </w:r>
      <w:r>
        <w:rPr>
          <w:color w:val="231F20"/>
          <w:w w:val="110"/>
          <w:sz w:val="18"/>
        </w:rPr>
        <w:t>days, </w:t>
      </w:r>
      <w:r>
        <w:rPr>
          <w:color w:val="231F20"/>
          <w:spacing w:val="2"/>
          <w:w w:val="110"/>
          <w:sz w:val="18"/>
        </w:rPr>
        <w:t>setting </w:t>
      </w:r>
      <w:r>
        <w:rPr>
          <w:color w:val="231F20"/>
          <w:w w:val="110"/>
          <w:sz w:val="18"/>
        </w:rPr>
        <w:t>out the grounds of such</w:t>
      </w:r>
      <w:r>
        <w:rPr>
          <w:color w:val="231F20"/>
          <w:spacing w:val="7"/>
          <w:w w:val="110"/>
          <w:sz w:val="18"/>
        </w:rPr>
        <w:t> </w:t>
      </w:r>
      <w:r>
        <w:rPr>
          <w:color w:val="231F20"/>
          <w:w w:val="110"/>
          <w:sz w:val="18"/>
        </w:rPr>
        <w:t>objection.</w:t>
      </w:r>
    </w:p>
    <w:p>
      <w:pPr>
        <w:pStyle w:val="BodyText"/>
        <w:spacing w:before="10"/>
        <w:rPr>
          <w:sz w:val="20"/>
        </w:rPr>
      </w:pPr>
    </w:p>
    <w:p>
      <w:pPr>
        <w:pStyle w:val="ListParagraph"/>
        <w:numPr>
          <w:ilvl w:val="2"/>
          <w:numId w:val="198"/>
        </w:numPr>
        <w:tabs>
          <w:tab w:pos="1233" w:val="left" w:leader="none"/>
          <w:tab w:pos="1234" w:val="left" w:leader="none"/>
        </w:tabs>
        <w:spacing w:line="273" w:lineRule="auto" w:before="0" w:after="0"/>
        <w:ind w:left="513" w:right="2117" w:firstLine="0"/>
        <w:jc w:val="left"/>
        <w:rPr>
          <w:sz w:val="18"/>
        </w:rPr>
      </w:pPr>
      <w:r>
        <w:rPr>
          <w:color w:val="231F20"/>
          <w:spacing w:val="-8"/>
          <w:w w:val="110"/>
          <w:sz w:val="18"/>
        </w:rPr>
        <w:t>To </w:t>
      </w:r>
      <w:r>
        <w:rPr>
          <w:color w:val="231F20"/>
          <w:w w:val="110"/>
          <w:sz w:val="18"/>
        </w:rPr>
        <w:t>ensure that the appeals </w:t>
      </w:r>
      <w:r>
        <w:rPr>
          <w:color w:val="231F20"/>
          <w:spacing w:val="2"/>
          <w:w w:val="110"/>
          <w:sz w:val="18"/>
        </w:rPr>
        <w:t>process </w:t>
      </w:r>
      <w:r>
        <w:rPr>
          <w:color w:val="231F20"/>
          <w:w w:val="110"/>
          <w:sz w:val="18"/>
        </w:rPr>
        <w:t>moves along in a timely </w:t>
      </w:r>
      <w:r>
        <w:rPr>
          <w:color w:val="231F20"/>
          <w:spacing w:val="-3"/>
          <w:w w:val="110"/>
          <w:sz w:val="18"/>
        </w:rPr>
        <w:t>manner, </w:t>
      </w:r>
      <w:r>
        <w:rPr>
          <w:color w:val="231F20"/>
          <w:w w:val="110"/>
          <w:sz w:val="18"/>
        </w:rPr>
        <w:t>any such objection received outside the period allowed will not normally be considered unless </w:t>
      </w:r>
      <w:r>
        <w:rPr>
          <w:color w:val="231F20"/>
          <w:spacing w:val="2"/>
          <w:w w:val="110"/>
          <w:sz w:val="18"/>
        </w:rPr>
        <w:t>very </w:t>
      </w:r>
      <w:r>
        <w:rPr>
          <w:color w:val="231F20"/>
          <w:w w:val="110"/>
          <w:sz w:val="18"/>
        </w:rPr>
        <w:t>good reason can be shown for its late</w:t>
      </w:r>
      <w:r>
        <w:rPr>
          <w:color w:val="231F20"/>
          <w:spacing w:val="16"/>
          <w:w w:val="110"/>
          <w:sz w:val="18"/>
        </w:rPr>
        <w:t> </w:t>
      </w:r>
      <w:r>
        <w:rPr>
          <w:color w:val="231F20"/>
          <w:w w:val="110"/>
          <w:sz w:val="18"/>
        </w:rPr>
        <w:t>delivery.</w:t>
      </w:r>
    </w:p>
    <w:p>
      <w:pPr>
        <w:pStyle w:val="BodyText"/>
        <w:spacing w:before="9"/>
        <w:rPr>
          <w:sz w:val="20"/>
        </w:rPr>
      </w:pPr>
    </w:p>
    <w:p>
      <w:pPr>
        <w:pStyle w:val="ListParagraph"/>
        <w:numPr>
          <w:ilvl w:val="2"/>
          <w:numId w:val="198"/>
        </w:numPr>
        <w:tabs>
          <w:tab w:pos="1233" w:val="left" w:leader="none"/>
          <w:tab w:pos="1234" w:val="left" w:leader="none"/>
        </w:tabs>
        <w:spacing w:line="273" w:lineRule="auto" w:before="0" w:after="0"/>
        <w:ind w:left="513" w:right="2249" w:firstLine="0"/>
        <w:jc w:val="left"/>
        <w:rPr>
          <w:sz w:val="18"/>
        </w:rPr>
      </w:pPr>
      <w:r>
        <w:rPr>
          <w:color w:val="231F20"/>
          <w:w w:val="110"/>
          <w:sz w:val="18"/>
        </w:rPr>
        <w:t>The </w:t>
      </w:r>
      <w:r>
        <w:rPr>
          <w:color w:val="231F20"/>
          <w:spacing w:val="2"/>
          <w:w w:val="110"/>
          <w:sz w:val="18"/>
        </w:rPr>
        <w:t>officers </w:t>
      </w:r>
      <w:r>
        <w:rPr>
          <w:color w:val="231F20"/>
          <w:w w:val="110"/>
          <w:sz w:val="18"/>
        </w:rPr>
        <w:t>of the General Assembly shall consider every objection properly notified and shall decide whether to uphold or </w:t>
      </w:r>
      <w:r>
        <w:rPr>
          <w:color w:val="231F20"/>
          <w:spacing w:val="2"/>
          <w:w w:val="110"/>
          <w:sz w:val="18"/>
        </w:rPr>
        <w:t>reject</w:t>
      </w:r>
      <w:r>
        <w:rPr>
          <w:color w:val="231F20"/>
          <w:spacing w:val="20"/>
          <w:w w:val="110"/>
          <w:sz w:val="18"/>
        </w:rPr>
        <w:t> </w:t>
      </w:r>
      <w:r>
        <w:rPr>
          <w:color w:val="231F20"/>
          <w:w w:val="110"/>
          <w:sz w:val="18"/>
        </w:rPr>
        <w:t>it.</w:t>
      </w:r>
    </w:p>
    <w:p>
      <w:pPr>
        <w:pStyle w:val="BodyText"/>
        <w:spacing w:before="8"/>
        <w:rPr>
          <w:sz w:val="20"/>
        </w:rPr>
      </w:pPr>
    </w:p>
    <w:p>
      <w:pPr>
        <w:pStyle w:val="ListParagraph"/>
        <w:numPr>
          <w:ilvl w:val="2"/>
          <w:numId w:val="198"/>
        </w:numPr>
        <w:tabs>
          <w:tab w:pos="1233" w:val="left" w:leader="none"/>
          <w:tab w:pos="1234" w:val="left" w:leader="none"/>
        </w:tabs>
        <w:spacing w:line="273" w:lineRule="auto" w:before="0" w:after="0"/>
        <w:ind w:left="513" w:right="1777" w:firstLine="0"/>
        <w:jc w:val="left"/>
        <w:rPr>
          <w:sz w:val="18"/>
        </w:rPr>
      </w:pPr>
      <w:r>
        <w:rPr>
          <w:color w:val="231F20"/>
          <w:w w:val="110"/>
          <w:sz w:val="18"/>
        </w:rPr>
        <w:t>If they </w:t>
      </w:r>
      <w:r>
        <w:rPr>
          <w:color w:val="231F20"/>
          <w:spacing w:val="2"/>
          <w:w w:val="110"/>
          <w:sz w:val="18"/>
        </w:rPr>
        <w:t>reject </w:t>
      </w:r>
      <w:r>
        <w:rPr>
          <w:color w:val="231F20"/>
          <w:w w:val="110"/>
          <w:sz w:val="18"/>
        </w:rPr>
        <w:t>the objection, the General </w:t>
      </w:r>
      <w:r>
        <w:rPr>
          <w:color w:val="231F20"/>
          <w:spacing w:val="3"/>
          <w:w w:val="110"/>
          <w:sz w:val="18"/>
        </w:rPr>
        <w:t>Secretary </w:t>
      </w:r>
      <w:r>
        <w:rPr>
          <w:color w:val="231F20"/>
          <w:w w:val="110"/>
          <w:sz w:val="18"/>
        </w:rPr>
        <w:t>shall </w:t>
      </w:r>
      <w:r>
        <w:rPr>
          <w:color w:val="231F20"/>
          <w:spacing w:val="2"/>
          <w:w w:val="110"/>
          <w:sz w:val="18"/>
        </w:rPr>
        <w:t>notify </w:t>
      </w:r>
      <w:r>
        <w:rPr>
          <w:color w:val="231F20"/>
          <w:w w:val="110"/>
          <w:sz w:val="18"/>
        </w:rPr>
        <w:t>the Minister or the Minister’s</w:t>
      </w:r>
      <w:r>
        <w:rPr>
          <w:color w:val="231F20"/>
          <w:spacing w:val="1"/>
          <w:w w:val="110"/>
          <w:sz w:val="18"/>
        </w:rPr>
        <w:t> </w:t>
      </w:r>
      <w:r>
        <w:rPr>
          <w:color w:val="231F20"/>
          <w:w w:val="110"/>
          <w:sz w:val="18"/>
        </w:rPr>
        <w:t>representative.</w:t>
      </w:r>
    </w:p>
    <w:p>
      <w:pPr>
        <w:pStyle w:val="BodyText"/>
        <w:spacing w:before="8"/>
        <w:rPr>
          <w:sz w:val="20"/>
        </w:rPr>
      </w:pPr>
    </w:p>
    <w:p>
      <w:pPr>
        <w:pStyle w:val="ListParagraph"/>
        <w:numPr>
          <w:ilvl w:val="2"/>
          <w:numId w:val="198"/>
        </w:numPr>
        <w:tabs>
          <w:tab w:pos="1233" w:val="left" w:leader="none"/>
          <w:tab w:pos="1234" w:val="left" w:leader="none"/>
        </w:tabs>
        <w:spacing w:line="273" w:lineRule="auto" w:before="1" w:after="0"/>
        <w:ind w:left="513" w:right="1804" w:firstLine="0"/>
        <w:jc w:val="left"/>
        <w:rPr>
          <w:sz w:val="18"/>
        </w:rPr>
      </w:pPr>
      <w:r>
        <w:rPr>
          <w:color w:val="231F20"/>
          <w:w w:val="110"/>
          <w:sz w:val="18"/>
        </w:rPr>
        <w:t>If they uphold the objection, the General </w:t>
      </w:r>
      <w:r>
        <w:rPr>
          <w:color w:val="231F20"/>
          <w:spacing w:val="3"/>
          <w:w w:val="110"/>
          <w:sz w:val="18"/>
        </w:rPr>
        <w:t>Secretary </w:t>
      </w:r>
      <w:r>
        <w:rPr>
          <w:color w:val="231F20"/>
          <w:w w:val="110"/>
          <w:sz w:val="18"/>
        </w:rPr>
        <w:t>shall give written notification thereof to the Minister or the Minister’s representative and to the </w:t>
      </w:r>
      <w:r>
        <w:rPr>
          <w:color w:val="231F20"/>
          <w:spacing w:val="2"/>
          <w:w w:val="110"/>
          <w:sz w:val="18"/>
        </w:rPr>
        <w:t>person </w:t>
      </w:r>
      <w:r>
        <w:rPr>
          <w:color w:val="231F20"/>
          <w:w w:val="110"/>
          <w:sz w:val="18"/>
        </w:rPr>
        <w:t>to whom the objection has been taken and the above procedure shall be repeated as </w:t>
      </w:r>
      <w:r>
        <w:rPr>
          <w:color w:val="231F20"/>
          <w:spacing w:val="2"/>
          <w:w w:val="110"/>
          <w:sz w:val="18"/>
        </w:rPr>
        <w:t>often </w:t>
      </w:r>
      <w:r>
        <w:rPr>
          <w:color w:val="231F20"/>
          <w:w w:val="110"/>
          <w:sz w:val="18"/>
        </w:rPr>
        <w:t>as is </w:t>
      </w:r>
      <w:r>
        <w:rPr>
          <w:color w:val="231F20"/>
          <w:spacing w:val="2"/>
          <w:w w:val="110"/>
          <w:sz w:val="18"/>
        </w:rPr>
        <w:t>necessary </w:t>
      </w:r>
      <w:r>
        <w:rPr>
          <w:color w:val="231F20"/>
          <w:w w:val="110"/>
          <w:sz w:val="18"/>
        </w:rPr>
        <w:t>to complete the appointment of the Appeals Review</w:t>
      </w:r>
      <w:r>
        <w:rPr>
          <w:color w:val="231F20"/>
          <w:spacing w:val="45"/>
          <w:w w:val="110"/>
          <w:sz w:val="18"/>
        </w:rPr>
        <w:t> </w:t>
      </w:r>
      <w:r>
        <w:rPr>
          <w:color w:val="231F20"/>
          <w:w w:val="110"/>
          <w:sz w:val="18"/>
        </w:rPr>
        <w:t>Commission.</w:t>
      </w:r>
    </w:p>
    <w:p>
      <w:pPr>
        <w:pStyle w:val="BodyText"/>
        <w:spacing w:before="9"/>
        <w:rPr>
          <w:sz w:val="20"/>
        </w:rPr>
      </w:pPr>
    </w:p>
    <w:p>
      <w:pPr>
        <w:pStyle w:val="ListParagraph"/>
        <w:numPr>
          <w:ilvl w:val="2"/>
          <w:numId w:val="199"/>
        </w:numPr>
        <w:tabs>
          <w:tab w:pos="1233" w:val="left" w:leader="none"/>
          <w:tab w:pos="1234" w:val="left" w:leader="none"/>
        </w:tabs>
        <w:spacing w:line="273" w:lineRule="auto" w:before="0" w:after="0"/>
        <w:ind w:left="513" w:right="1774" w:firstLine="0"/>
        <w:jc w:val="left"/>
        <w:rPr>
          <w:sz w:val="18"/>
        </w:rPr>
      </w:pPr>
      <w:r>
        <w:rPr>
          <w:color w:val="231F20"/>
          <w:w w:val="110"/>
          <w:sz w:val="18"/>
        </w:rPr>
        <w:t>In the event that any member of the Appeals Review Commission shall be unable to </w:t>
      </w:r>
      <w:r>
        <w:rPr>
          <w:color w:val="231F20"/>
          <w:spacing w:val="3"/>
          <w:w w:val="110"/>
          <w:sz w:val="18"/>
        </w:rPr>
        <w:t>carry </w:t>
      </w:r>
      <w:r>
        <w:rPr>
          <w:color w:val="231F20"/>
          <w:w w:val="110"/>
          <w:sz w:val="18"/>
        </w:rPr>
        <w:t>out his/her duties on that Commission, the remaining </w:t>
      </w:r>
      <w:r>
        <w:rPr>
          <w:color w:val="231F20"/>
          <w:spacing w:val="2"/>
          <w:w w:val="110"/>
          <w:sz w:val="18"/>
        </w:rPr>
        <w:t>members </w:t>
      </w:r>
      <w:r>
        <w:rPr>
          <w:color w:val="231F20"/>
          <w:w w:val="110"/>
          <w:sz w:val="18"/>
        </w:rPr>
        <w:t>shall continue  to </w:t>
      </w:r>
      <w:r>
        <w:rPr>
          <w:color w:val="231F20"/>
          <w:spacing w:val="2"/>
          <w:w w:val="110"/>
          <w:sz w:val="18"/>
        </w:rPr>
        <w:t>act </w:t>
      </w:r>
      <w:r>
        <w:rPr>
          <w:color w:val="231F20"/>
          <w:w w:val="110"/>
          <w:sz w:val="18"/>
        </w:rPr>
        <w:t>as the Appeals Review Commission, subject to there being a minimum of two members,</w:t>
      </w:r>
      <w:r>
        <w:rPr>
          <w:color w:val="231F20"/>
          <w:spacing w:val="7"/>
          <w:w w:val="110"/>
          <w:sz w:val="18"/>
        </w:rPr>
        <w:t> </w:t>
      </w:r>
      <w:r>
        <w:rPr>
          <w:color w:val="231F20"/>
          <w:w w:val="110"/>
          <w:sz w:val="18"/>
        </w:rPr>
        <w:t>in</w:t>
      </w:r>
      <w:r>
        <w:rPr>
          <w:color w:val="231F20"/>
          <w:spacing w:val="7"/>
          <w:w w:val="110"/>
          <w:sz w:val="18"/>
        </w:rPr>
        <w:t> </w:t>
      </w:r>
      <w:r>
        <w:rPr>
          <w:color w:val="231F20"/>
          <w:w w:val="110"/>
          <w:sz w:val="18"/>
        </w:rPr>
        <w:t>which</w:t>
      </w:r>
      <w:r>
        <w:rPr>
          <w:color w:val="231F20"/>
          <w:spacing w:val="7"/>
          <w:w w:val="110"/>
          <w:sz w:val="18"/>
        </w:rPr>
        <w:t> </w:t>
      </w:r>
      <w:r>
        <w:rPr>
          <w:color w:val="231F20"/>
          <w:w w:val="110"/>
          <w:sz w:val="18"/>
        </w:rPr>
        <w:t>event,</w:t>
      </w:r>
      <w:r>
        <w:rPr>
          <w:color w:val="231F20"/>
          <w:spacing w:val="7"/>
          <w:w w:val="110"/>
          <w:sz w:val="18"/>
        </w:rPr>
        <w:t> </w:t>
      </w:r>
      <w:r>
        <w:rPr>
          <w:color w:val="231F20"/>
          <w:w w:val="110"/>
          <w:sz w:val="18"/>
        </w:rPr>
        <w:t>but</w:t>
      </w:r>
      <w:r>
        <w:rPr>
          <w:color w:val="231F20"/>
          <w:spacing w:val="7"/>
          <w:w w:val="110"/>
          <w:sz w:val="18"/>
        </w:rPr>
        <w:t> </w:t>
      </w:r>
      <w:r>
        <w:rPr>
          <w:color w:val="231F20"/>
          <w:w w:val="110"/>
          <w:sz w:val="18"/>
        </w:rPr>
        <w:t>not</w:t>
      </w:r>
      <w:r>
        <w:rPr>
          <w:color w:val="231F20"/>
          <w:spacing w:val="7"/>
          <w:w w:val="110"/>
          <w:sz w:val="18"/>
        </w:rPr>
        <w:t> </w:t>
      </w:r>
      <w:r>
        <w:rPr>
          <w:color w:val="231F20"/>
          <w:w w:val="110"/>
          <w:sz w:val="18"/>
        </w:rPr>
        <w:t>otherwise,</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Convener</w:t>
      </w:r>
      <w:r>
        <w:rPr>
          <w:color w:val="231F20"/>
          <w:spacing w:val="7"/>
          <w:w w:val="110"/>
          <w:sz w:val="18"/>
        </w:rPr>
        <w:t> </w:t>
      </w:r>
      <w:r>
        <w:rPr>
          <w:color w:val="231F20"/>
          <w:w w:val="110"/>
          <w:sz w:val="18"/>
        </w:rPr>
        <w:t>shall</w:t>
      </w:r>
      <w:r>
        <w:rPr>
          <w:color w:val="231F20"/>
          <w:spacing w:val="7"/>
          <w:w w:val="110"/>
          <w:sz w:val="18"/>
        </w:rPr>
        <w:t> </w:t>
      </w:r>
      <w:r>
        <w:rPr>
          <w:color w:val="231F20"/>
          <w:w w:val="110"/>
          <w:sz w:val="18"/>
        </w:rPr>
        <w:t>have</w:t>
      </w:r>
      <w:r>
        <w:rPr>
          <w:color w:val="231F20"/>
          <w:spacing w:val="7"/>
          <w:w w:val="110"/>
          <w:sz w:val="18"/>
        </w:rPr>
        <w:t> </w:t>
      </w:r>
      <w:r>
        <w:rPr>
          <w:color w:val="231F20"/>
          <w:w w:val="110"/>
          <w:sz w:val="18"/>
        </w:rPr>
        <w:t>a</w:t>
      </w:r>
      <w:r>
        <w:rPr>
          <w:color w:val="231F20"/>
          <w:spacing w:val="7"/>
          <w:w w:val="110"/>
          <w:sz w:val="18"/>
        </w:rPr>
        <w:t> </w:t>
      </w:r>
      <w:r>
        <w:rPr>
          <w:color w:val="231F20"/>
          <w:w w:val="110"/>
          <w:sz w:val="18"/>
        </w:rPr>
        <w:t>casting</w:t>
      </w:r>
      <w:r>
        <w:rPr>
          <w:color w:val="231F20"/>
          <w:spacing w:val="7"/>
          <w:w w:val="110"/>
          <w:sz w:val="18"/>
        </w:rPr>
        <w:t> </w:t>
      </w:r>
      <w:r>
        <w:rPr>
          <w:color w:val="231F20"/>
          <w:w w:val="110"/>
          <w:sz w:val="18"/>
        </w:rPr>
        <w:t>vote.</w:t>
      </w:r>
    </w:p>
    <w:p>
      <w:pPr>
        <w:pStyle w:val="BodyText"/>
        <w:spacing w:before="9"/>
        <w:rPr>
          <w:sz w:val="20"/>
        </w:rPr>
      </w:pPr>
    </w:p>
    <w:p>
      <w:pPr>
        <w:pStyle w:val="ListParagraph"/>
        <w:numPr>
          <w:ilvl w:val="2"/>
          <w:numId w:val="199"/>
        </w:numPr>
        <w:tabs>
          <w:tab w:pos="1233" w:val="left" w:leader="none"/>
          <w:tab w:pos="1234" w:val="left" w:leader="none"/>
        </w:tabs>
        <w:spacing w:line="273" w:lineRule="auto" w:before="1" w:after="0"/>
        <w:ind w:left="513" w:right="1778" w:firstLine="0"/>
        <w:jc w:val="left"/>
        <w:rPr>
          <w:sz w:val="18"/>
        </w:rPr>
      </w:pPr>
      <w:r>
        <w:rPr>
          <w:color w:val="231F20"/>
          <w:w w:val="110"/>
          <w:sz w:val="18"/>
        </w:rPr>
        <w:t>In the event that, for the reasons stated in Paragraph L.6.1 the Appeals Review Commission shall consist of fewer than two </w:t>
      </w:r>
      <w:r>
        <w:rPr>
          <w:color w:val="231F20"/>
          <w:spacing w:val="2"/>
          <w:w w:val="110"/>
          <w:sz w:val="18"/>
        </w:rPr>
        <w:t>members </w:t>
      </w:r>
      <w:r>
        <w:rPr>
          <w:color w:val="231F20"/>
          <w:w w:val="110"/>
          <w:sz w:val="18"/>
        </w:rPr>
        <w:t>at any time </w:t>
      </w:r>
      <w:r>
        <w:rPr>
          <w:color w:val="231F20"/>
          <w:spacing w:val="2"/>
          <w:w w:val="110"/>
          <w:sz w:val="18"/>
        </w:rPr>
        <w:t>after </w:t>
      </w:r>
      <w:r>
        <w:rPr>
          <w:color w:val="231F20"/>
          <w:w w:val="110"/>
          <w:sz w:val="18"/>
        </w:rPr>
        <w:t>that Commission has taken any steps in connection with the Appeal, the Appeals Review Commission so appointed shall stand down and be discharged and a new Appeals Review Commission shall be appointed in accordance with the procedure laid down in this </w:t>
      </w:r>
      <w:r>
        <w:rPr>
          <w:color w:val="231F20"/>
          <w:spacing w:val="2"/>
          <w:w w:val="110"/>
          <w:sz w:val="18"/>
        </w:rPr>
        <w:t>Section </w:t>
      </w:r>
      <w:r>
        <w:rPr>
          <w:color w:val="231F20"/>
          <w:w w:val="110"/>
          <w:sz w:val="18"/>
        </w:rPr>
        <w:t>L to hear the Appeal.</w:t>
      </w:r>
    </w:p>
    <w:p>
      <w:pPr>
        <w:pStyle w:val="BodyText"/>
        <w:spacing w:before="10"/>
        <w:rPr>
          <w:sz w:val="20"/>
        </w:rPr>
      </w:pPr>
    </w:p>
    <w:p>
      <w:pPr>
        <w:pStyle w:val="ListParagraph"/>
        <w:numPr>
          <w:ilvl w:val="2"/>
          <w:numId w:val="199"/>
        </w:numPr>
        <w:tabs>
          <w:tab w:pos="1233" w:val="left" w:leader="none"/>
          <w:tab w:pos="1234" w:val="left" w:leader="none"/>
        </w:tabs>
        <w:spacing w:line="273" w:lineRule="auto" w:before="0" w:after="0"/>
        <w:ind w:left="513" w:right="1760" w:firstLine="0"/>
        <w:jc w:val="left"/>
        <w:rPr>
          <w:sz w:val="18"/>
        </w:rPr>
      </w:pPr>
      <w:r>
        <w:rPr>
          <w:color w:val="231F20"/>
          <w:w w:val="110"/>
          <w:sz w:val="18"/>
        </w:rPr>
        <w:t>Once the Appeals Review Commission has been validly constituted and has taken any steps in accordance with this </w:t>
      </w:r>
      <w:r>
        <w:rPr>
          <w:color w:val="231F20"/>
          <w:spacing w:val="2"/>
          <w:w w:val="110"/>
          <w:sz w:val="18"/>
        </w:rPr>
        <w:t>Section </w:t>
      </w:r>
      <w:r>
        <w:rPr>
          <w:color w:val="231F20"/>
          <w:w w:val="110"/>
          <w:sz w:val="18"/>
        </w:rPr>
        <w:t>L, no </w:t>
      </w:r>
      <w:r>
        <w:rPr>
          <w:color w:val="231F20"/>
          <w:spacing w:val="2"/>
          <w:w w:val="110"/>
          <w:sz w:val="18"/>
        </w:rPr>
        <w:t>person </w:t>
      </w:r>
      <w:r>
        <w:rPr>
          <w:color w:val="231F20"/>
          <w:w w:val="110"/>
          <w:sz w:val="18"/>
        </w:rPr>
        <w:t>shall be subsequently appointed  to </w:t>
      </w:r>
      <w:r>
        <w:rPr>
          <w:color w:val="231F20"/>
          <w:spacing w:val="2"/>
          <w:w w:val="110"/>
          <w:sz w:val="18"/>
        </w:rPr>
        <w:t>serve </w:t>
      </w:r>
      <w:r>
        <w:rPr>
          <w:color w:val="231F20"/>
          <w:w w:val="110"/>
          <w:sz w:val="18"/>
        </w:rPr>
        <w:t>on that Appeals Review</w:t>
      </w:r>
      <w:r>
        <w:rPr>
          <w:color w:val="231F20"/>
          <w:spacing w:val="7"/>
          <w:w w:val="110"/>
          <w:sz w:val="18"/>
        </w:rPr>
        <w:t> </w:t>
      </w:r>
      <w:r>
        <w:rPr>
          <w:color w:val="231F20"/>
          <w:w w:val="110"/>
          <w:sz w:val="18"/>
        </w:rPr>
        <w:t>Commission.</w:t>
      </w:r>
    </w:p>
    <w:p>
      <w:pPr>
        <w:pStyle w:val="BodyText"/>
        <w:spacing w:before="9"/>
        <w:rPr>
          <w:sz w:val="20"/>
        </w:rPr>
      </w:pPr>
    </w:p>
    <w:p>
      <w:pPr>
        <w:pStyle w:val="ListParagraph"/>
        <w:numPr>
          <w:ilvl w:val="1"/>
          <w:numId w:val="200"/>
        </w:numPr>
        <w:tabs>
          <w:tab w:pos="1233" w:val="left" w:leader="none"/>
          <w:tab w:pos="1234" w:val="left" w:leader="none"/>
        </w:tabs>
        <w:spacing w:line="273" w:lineRule="auto" w:before="0" w:after="0"/>
        <w:ind w:left="513" w:right="2010" w:firstLine="0"/>
        <w:jc w:val="left"/>
        <w:rPr>
          <w:sz w:val="18"/>
        </w:rPr>
      </w:pPr>
      <w:r>
        <w:rPr>
          <w:color w:val="231F20"/>
          <w:w w:val="110"/>
          <w:sz w:val="18"/>
        </w:rPr>
        <w:t>Each member of the Appeals Review Commission when appointed shall receive </w:t>
      </w:r>
      <w:r>
        <w:rPr>
          <w:color w:val="231F20"/>
          <w:spacing w:val="2"/>
          <w:w w:val="110"/>
          <w:sz w:val="18"/>
        </w:rPr>
        <w:t>from </w:t>
      </w:r>
      <w:r>
        <w:rPr>
          <w:color w:val="231F20"/>
          <w:w w:val="110"/>
          <w:sz w:val="18"/>
        </w:rPr>
        <w:t>the General </w:t>
      </w:r>
      <w:r>
        <w:rPr>
          <w:color w:val="231F20"/>
          <w:spacing w:val="3"/>
          <w:w w:val="110"/>
          <w:sz w:val="18"/>
        </w:rPr>
        <w:t>Secretary </w:t>
      </w:r>
      <w:r>
        <w:rPr>
          <w:color w:val="231F20"/>
          <w:w w:val="110"/>
          <w:sz w:val="18"/>
        </w:rPr>
        <w:t>copies of the</w:t>
      </w:r>
      <w:r>
        <w:rPr>
          <w:color w:val="231F20"/>
          <w:spacing w:val="8"/>
          <w:w w:val="110"/>
          <w:sz w:val="18"/>
        </w:rPr>
        <w:t> </w:t>
      </w:r>
      <w:r>
        <w:rPr>
          <w:color w:val="231F20"/>
          <w:w w:val="110"/>
          <w:sz w:val="18"/>
        </w:rPr>
        <w:t>following:</w:t>
      </w:r>
    </w:p>
    <w:p>
      <w:pPr>
        <w:pStyle w:val="BodyText"/>
        <w:spacing w:before="8"/>
        <w:rPr>
          <w:sz w:val="20"/>
        </w:rPr>
      </w:pPr>
    </w:p>
    <w:p>
      <w:pPr>
        <w:pStyle w:val="ListParagraph"/>
        <w:numPr>
          <w:ilvl w:val="2"/>
          <w:numId w:val="200"/>
        </w:numPr>
        <w:tabs>
          <w:tab w:pos="1233" w:val="left" w:leader="none"/>
          <w:tab w:pos="1234" w:val="left" w:leader="none"/>
        </w:tabs>
        <w:spacing w:line="240" w:lineRule="auto" w:before="0" w:after="0"/>
        <w:ind w:left="1233" w:right="0" w:hanging="721"/>
        <w:jc w:val="left"/>
        <w:rPr>
          <w:sz w:val="18"/>
        </w:rPr>
      </w:pPr>
      <w:r>
        <w:rPr>
          <w:color w:val="231F20"/>
          <w:w w:val="110"/>
          <w:sz w:val="18"/>
        </w:rPr>
        <w:t>The Decision Record</w:t>
      </w:r>
      <w:r>
        <w:rPr>
          <w:color w:val="231F20"/>
          <w:spacing w:val="3"/>
          <w:w w:val="110"/>
          <w:sz w:val="18"/>
        </w:rPr>
        <w:t> </w:t>
      </w:r>
      <w:r>
        <w:rPr>
          <w:color w:val="231F20"/>
          <w:w w:val="110"/>
          <w:sz w:val="18"/>
        </w:rPr>
        <w:t>and</w:t>
      </w:r>
    </w:p>
    <w:p>
      <w:pPr>
        <w:pStyle w:val="BodyText"/>
        <w:spacing w:before="2"/>
        <w:rPr>
          <w:sz w:val="23"/>
        </w:rPr>
      </w:pPr>
    </w:p>
    <w:p>
      <w:pPr>
        <w:pStyle w:val="ListParagraph"/>
        <w:numPr>
          <w:ilvl w:val="2"/>
          <w:numId w:val="200"/>
        </w:numPr>
        <w:tabs>
          <w:tab w:pos="1233" w:val="left" w:leader="none"/>
          <w:tab w:pos="1234" w:val="left" w:leader="none"/>
        </w:tabs>
        <w:spacing w:line="240" w:lineRule="auto" w:before="0" w:after="0"/>
        <w:ind w:left="1233" w:right="0" w:hanging="721"/>
        <w:jc w:val="left"/>
        <w:rPr>
          <w:sz w:val="18"/>
        </w:rPr>
      </w:pPr>
      <w:r>
        <w:rPr>
          <w:color w:val="231F20"/>
          <w:w w:val="110"/>
          <w:sz w:val="18"/>
        </w:rPr>
        <w:t>The Statement of Reasons</w:t>
      </w:r>
      <w:r>
        <w:rPr>
          <w:color w:val="231F20"/>
          <w:spacing w:val="4"/>
          <w:w w:val="110"/>
          <w:sz w:val="18"/>
        </w:rPr>
        <w:t> </w:t>
      </w:r>
      <w:r>
        <w:rPr>
          <w:color w:val="231F20"/>
          <w:w w:val="110"/>
          <w:sz w:val="18"/>
        </w:rPr>
        <w:t>and</w:t>
      </w:r>
    </w:p>
    <w:p>
      <w:pPr>
        <w:pStyle w:val="BodyText"/>
        <w:spacing w:before="2"/>
        <w:rPr>
          <w:sz w:val="23"/>
        </w:rPr>
      </w:pPr>
    </w:p>
    <w:p>
      <w:pPr>
        <w:pStyle w:val="ListParagraph"/>
        <w:numPr>
          <w:ilvl w:val="2"/>
          <w:numId w:val="200"/>
        </w:numPr>
        <w:tabs>
          <w:tab w:pos="1233" w:val="left" w:leader="none"/>
          <w:tab w:pos="1234" w:val="left" w:leader="none"/>
        </w:tabs>
        <w:spacing w:line="240" w:lineRule="auto" w:before="0" w:after="0"/>
        <w:ind w:left="1233" w:right="0" w:hanging="721"/>
        <w:jc w:val="left"/>
        <w:rPr>
          <w:sz w:val="18"/>
        </w:rPr>
      </w:pPr>
      <w:r>
        <w:rPr>
          <w:color w:val="231F20"/>
          <w:w w:val="110"/>
          <w:sz w:val="18"/>
        </w:rPr>
        <w:t>The Notice of Appeal, </w:t>
      </w:r>
      <w:r>
        <w:rPr>
          <w:color w:val="231F20"/>
          <w:spacing w:val="2"/>
          <w:w w:val="110"/>
          <w:sz w:val="18"/>
        </w:rPr>
        <w:t>setting </w:t>
      </w:r>
      <w:r>
        <w:rPr>
          <w:color w:val="231F20"/>
          <w:w w:val="110"/>
          <w:sz w:val="18"/>
        </w:rPr>
        <w:t>out the grounds of the appeal</w:t>
      </w:r>
      <w:r>
        <w:rPr>
          <w:color w:val="231F20"/>
          <w:spacing w:val="22"/>
          <w:w w:val="110"/>
          <w:sz w:val="18"/>
        </w:rPr>
        <w:t> </w:t>
      </w:r>
      <w:r>
        <w:rPr>
          <w:color w:val="231F20"/>
          <w:w w:val="110"/>
          <w:sz w:val="18"/>
        </w:rPr>
        <w:t>and</w:t>
      </w:r>
    </w:p>
    <w:p>
      <w:pPr>
        <w:spacing w:after="0" w:line="240"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2"/>
          <w:numId w:val="200"/>
        </w:numPr>
        <w:tabs>
          <w:tab w:pos="1800" w:val="left" w:leader="none"/>
          <w:tab w:pos="1801" w:val="left" w:leader="none"/>
        </w:tabs>
        <w:spacing w:line="240" w:lineRule="auto" w:before="101" w:after="0"/>
        <w:ind w:left="1800" w:right="0" w:hanging="721"/>
        <w:jc w:val="left"/>
        <w:rPr>
          <w:sz w:val="18"/>
        </w:rPr>
      </w:pPr>
      <w:r>
        <w:rPr>
          <w:color w:val="231F20"/>
          <w:w w:val="110"/>
          <w:sz w:val="18"/>
        </w:rPr>
        <w:t>The body of papers considered by the Review</w:t>
      </w:r>
      <w:r>
        <w:rPr>
          <w:color w:val="231F20"/>
          <w:spacing w:val="20"/>
          <w:w w:val="110"/>
          <w:sz w:val="18"/>
        </w:rPr>
        <w:t> </w:t>
      </w:r>
      <w:r>
        <w:rPr>
          <w:color w:val="231F20"/>
          <w:w w:val="110"/>
          <w:sz w:val="18"/>
        </w:rPr>
        <w:t>Commission</w:t>
      </w:r>
    </w:p>
    <w:p>
      <w:pPr>
        <w:pStyle w:val="BodyText"/>
        <w:spacing w:before="1"/>
        <w:rPr>
          <w:sz w:val="23"/>
        </w:rPr>
      </w:pPr>
    </w:p>
    <w:p>
      <w:pPr>
        <w:pStyle w:val="ListParagraph"/>
        <w:numPr>
          <w:ilvl w:val="2"/>
          <w:numId w:val="200"/>
        </w:numPr>
        <w:tabs>
          <w:tab w:pos="1800" w:val="left" w:leader="none"/>
          <w:tab w:pos="1801" w:val="left" w:leader="none"/>
        </w:tabs>
        <w:spacing w:line="240" w:lineRule="auto" w:before="0" w:after="0"/>
        <w:ind w:left="1800" w:right="0" w:hanging="721"/>
        <w:jc w:val="left"/>
        <w:rPr>
          <w:sz w:val="18"/>
        </w:rPr>
      </w:pPr>
      <w:r>
        <w:rPr>
          <w:color w:val="231F20"/>
          <w:w w:val="110"/>
          <w:sz w:val="18"/>
        </w:rPr>
        <w:t>The Record of the</w:t>
      </w:r>
      <w:r>
        <w:rPr>
          <w:color w:val="231F20"/>
          <w:spacing w:val="4"/>
          <w:w w:val="110"/>
          <w:sz w:val="18"/>
        </w:rPr>
        <w:t> </w:t>
      </w:r>
      <w:r>
        <w:rPr>
          <w:color w:val="231F20"/>
          <w:w w:val="110"/>
          <w:sz w:val="18"/>
        </w:rPr>
        <w:t>Hearing</w:t>
      </w:r>
    </w:p>
    <w:p>
      <w:pPr>
        <w:pStyle w:val="BodyText"/>
        <w:spacing w:before="2"/>
        <w:rPr>
          <w:sz w:val="23"/>
        </w:rPr>
      </w:pPr>
    </w:p>
    <w:p>
      <w:pPr>
        <w:pStyle w:val="ListParagraph"/>
        <w:numPr>
          <w:ilvl w:val="1"/>
          <w:numId w:val="200"/>
        </w:numPr>
        <w:tabs>
          <w:tab w:pos="1800" w:val="left" w:leader="none"/>
          <w:tab w:pos="1801" w:val="left" w:leader="none"/>
        </w:tabs>
        <w:spacing w:line="273" w:lineRule="auto" w:before="0" w:after="0"/>
        <w:ind w:left="1080" w:right="1178" w:firstLine="0"/>
        <w:jc w:val="left"/>
        <w:rPr>
          <w:sz w:val="18"/>
        </w:rPr>
      </w:pPr>
      <w:r>
        <w:rPr>
          <w:color w:val="231F20"/>
          <w:w w:val="110"/>
          <w:sz w:val="18"/>
        </w:rPr>
        <w:t>The </w:t>
      </w:r>
      <w:r>
        <w:rPr>
          <w:color w:val="231F20"/>
          <w:spacing w:val="2"/>
          <w:w w:val="110"/>
          <w:sz w:val="18"/>
        </w:rPr>
        <w:t>members </w:t>
      </w:r>
      <w:r>
        <w:rPr>
          <w:color w:val="231F20"/>
          <w:w w:val="110"/>
          <w:sz w:val="18"/>
        </w:rPr>
        <w:t>of the Appeals Review Commission, when constituted, shall consult together as soon as possible to review the information laid </w:t>
      </w:r>
      <w:r>
        <w:rPr>
          <w:color w:val="231F20"/>
          <w:spacing w:val="2"/>
          <w:w w:val="110"/>
          <w:sz w:val="18"/>
        </w:rPr>
        <w:t>before </w:t>
      </w:r>
      <w:r>
        <w:rPr>
          <w:color w:val="231F20"/>
          <w:w w:val="110"/>
          <w:sz w:val="18"/>
        </w:rPr>
        <w:t>them and to agree upon the </w:t>
      </w:r>
      <w:r>
        <w:rPr>
          <w:color w:val="231F20"/>
          <w:spacing w:val="2"/>
          <w:w w:val="110"/>
          <w:sz w:val="18"/>
        </w:rPr>
        <w:t>course </w:t>
      </w:r>
      <w:r>
        <w:rPr>
          <w:color w:val="231F20"/>
          <w:w w:val="110"/>
          <w:sz w:val="18"/>
        </w:rPr>
        <w:t>which their conduct of the appeal shall take, following the procedures  set out in </w:t>
      </w:r>
      <w:r>
        <w:rPr>
          <w:color w:val="231F20"/>
          <w:spacing w:val="2"/>
          <w:w w:val="110"/>
          <w:sz w:val="18"/>
        </w:rPr>
        <w:t>Sections </w:t>
      </w:r>
      <w:r>
        <w:rPr>
          <w:color w:val="231F20"/>
          <w:spacing w:val="-12"/>
          <w:w w:val="110"/>
          <w:sz w:val="18"/>
        </w:rPr>
        <w:t>F, </w:t>
      </w:r>
      <w:r>
        <w:rPr>
          <w:color w:val="231F20"/>
          <w:w w:val="110"/>
          <w:sz w:val="18"/>
        </w:rPr>
        <w:t>G and H (if they deem the latter appropriate). In addition, they  </w:t>
      </w:r>
      <w:r>
        <w:rPr>
          <w:color w:val="231F20"/>
          <w:spacing w:val="-5"/>
          <w:w w:val="110"/>
          <w:sz w:val="18"/>
        </w:rPr>
        <w:t>may, </w:t>
      </w:r>
      <w:r>
        <w:rPr>
          <w:color w:val="231F20"/>
          <w:w w:val="110"/>
          <w:sz w:val="18"/>
        </w:rPr>
        <w:t>if the </w:t>
      </w:r>
      <w:r>
        <w:rPr>
          <w:color w:val="231F20"/>
          <w:spacing w:val="2"/>
          <w:w w:val="110"/>
          <w:sz w:val="18"/>
        </w:rPr>
        <w:t>circumstances </w:t>
      </w:r>
      <w:r>
        <w:rPr>
          <w:color w:val="231F20"/>
          <w:w w:val="110"/>
          <w:sz w:val="18"/>
        </w:rPr>
        <w:t>so require, consider any of the following, particularly if any such issues are raised in the Notice of</w:t>
      </w:r>
      <w:r>
        <w:rPr>
          <w:color w:val="231F20"/>
          <w:spacing w:val="14"/>
          <w:w w:val="110"/>
          <w:sz w:val="18"/>
        </w:rPr>
        <w:t> </w:t>
      </w:r>
      <w:r>
        <w:rPr>
          <w:color w:val="231F20"/>
          <w:w w:val="110"/>
          <w:sz w:val="18"/>
        </w:rPr>
        <w:t>Appeal:</w:t>
      </w:r>
    </w:p>
    <w:p>
      <w:pPr>
        <w:pStyle w:val="BodyText"/>
        <w:spacing w:before="11"/>
        <w:rPr>
          <w:sz w:val="20"/>
        </w:rPr>
      </w:pPr>
    </w:p>
    <w:p>
      <w:pPr>
        <w:pStyle w:val="ListParagraph"/>
        <w:numPr>
          <w:ilvl w:val="2"/>
          <w:numId w:val="200"/>
        </w:numPr>
        <w:tabs>
          <w:tab w:pos="1801" w:val="left" w:leader="none"/>
        </w:tabs>
        <w:spacing w:line="273" w:lineRule="auto" w:before="0" w:after="0"/>
        <w:ind w:left="1080" w:right="1373" w:firstLine="0"/>
        <w:jc w:val="both"/>
        <w:rPr>
          <w:sz w:val="18"/>
        </w:rPr>
      </w:pPr>
      <w:r>
        <w:rPr>
          <w:color w:val="231F20"/>
          <w:w w:val="110"/>
          <w:sz w:val="18"/>
        </w:rPr>
        <w:t>Whether there is or may be new information which has come to light and which could not have reasonably been available to the Review Commission </w:t>
      </w:r>
      <w:r>
        <w:rPr>
          <w:color w:val="231F20"/>
          <w:spacing w:val="2"/>
          <w:w w:val="110"/>
          <w:sz w:val="18"/>
        </w:rPr>
        <w:t>before </w:t>
      </w:r>
      <w:r>
        <w:rPr>
          <w:color w:val="231F20"/>
          <w:w w:val="110"/>
          <w:sz w:val="18"/>
        </w:rPr>
        <w:t>it made its decision under </w:t>
      </w:r>
      <w:r>
        <w:rPr>
          <w:color w:val="231F20"/>
          <w:spacing w:val="2"/>
          <w:w w:val="110"/>
          <w:sz w:val="18"/>
        </w:rPr>
        <w:t>Section</w:t>
      </w:r>
      <w:r>
        <w:rPr>
          <w:color w:val="231F20"/>
          <w:spacing w:val="3"/>
          <w:w w:val="110"/>
          <w:sz w:val="18"/>
        </w:rPr>
        <w:t> </w:t>
      </w:r>
      <w:r>
        <w:rPr>
          <w:color w:val="231F20"/>
          <w:w w:val="110"/>
          <w:sz w:val="18"/>
        </w:rPr>
        <w:t>K.</w:t>
      </w:r>
    </w:p>
    <w:p>
      <w:pPr>
        <w:pStyle w:val="BodyText"/>
        <w:spacing w:before="9"/>
        <w:rPr>
          <w:sz w:val="20"/>
        </w:rPr>
      </w:pPr>
    </w:p>
    <w:p>
      <w:pPr>
        <w:pStyle w:val="ListParagraph"/>
        <w:numPr>
          <w:ilvl w:val="2"/>
          <w:numId w:val="200"/>
        </w:numPr>
        <w:tabs>
          <w:tab w:pos="1800" w:val="left" w:leader="none"/>
          <w:tab w:pos="1801" w:val="left" w:leader="none"/>
        </w:tabs>
        <w:spacing w:line="240" w:lineRule="auto" w:before="0" w:after="0"/>
        <w:ind w:left="1800" w:right="0" w:hanging="721"/>
        <w:jc w:val="left"/>
        <w:rPr>
          <w:sz w:val="18"/>
        </w:rPr>
      </w:pPr>
      <w:r>
        <w:rPr>
          <w:color w:val="231F20"/>
          <w:w w:val="110"/>
          <w:sz w:val="18"/>
        </w:rPr>
        <w:t>Whether any such new information would in its opinion have been</w:t>
      </w:r>
      <w:r>
        <w:rPr>
          <w:color w:val="231F20"/>
          <w:spacing w:val="38"/>
          <w:w w:val="110"/>
          <w:sz w:val="18"/>
        </w:rPr>
        <w:t> </w:t>
      </w:r>
      <w:r>
        <w:rPr>
          <w:color w:val="231F20"/>
          <w:w w:val="110"/>
          <w:sz w:val="18"/>
        </w:rPr>
        <w:t>material</w:t>
      </w:r>
    </w:p>
    <w:p>
      <w:pPr>
        <w:pStyle w:val="BodyText"/>
        <w:spacing w:line="273" w:lineRule="auto" w:before="31"/>
        <w:ind w:left="1080" w:right="1721" w:hanging="1"/>
      </w:pPr>
      <w:r>
        <w:rPr>
          <w:color w:val="231F20"/>
          <w:w w:val="110"/>
        </w:rPr>
        <w:t>in that, had it been tested and proved to the satisfaction of the Review Commission, it might have caused it to </w:t>
      </w:r>
      <w:r>
        <w:rPr>
          <w:color w:val="231F20"/>
          <w:spacing w:val="2"/>
          <w:w w:val="110"/>
        </w:rPr>
        <w:t>reach </w:t>
      </w:r>
      <w:r>
        <w:rPr>
          <w:color w:val="231F20"/>
          <w:w w:val="110"/>
        </w:rPr>
        <w:t>a different</w:t>
      </w:r>
      <w:r>
        <w:rPr>
          <w:color w:val="231F20"/>
          <w:spacing w:val="17"/>
          <w:w w:val="110"/>
        </w:rPr>
        <w:t> </w:t>
      </w:r>
      <w:r>
        <w:rPr>
          <w:color w:val="231F20"/>
          <w:w w:val="110"/>
        </w:rPr>
        <w:t>decision.</w:t>
      </w:r>
    </w:p>
    <w:p>
      <w:pPr>
        <w:pStyle w:val="BodyText"/>
        <w:spacing w:before="8"/>
        <w:rPr>
          <w:sz w:val="20"/>
        </w:rPr>
      </w:pPr>
    </w:p>
    <w:p>
      <w:pPr>
        <w:pStyle w:val="ListParagraph"/>
        <w:numPr>
          <w:ilvl w:val="2"/>
          <w:numId w:val="200"/>
        </w:numPr>
        <w:tabs>
          <w:tab w:pos="1800" w:val="left" w:leader="none"/>
          <w:tab w:pos="1801" w:val="left" w:leader="none"/>
        </w:tabs>
        <w:spacing w:line="273" w:lineRule="auto" w:before="0" w:after="0"/>
        <w:ind w:left="1080" w:right="1482" w:firstLine="0"/>
        <w:jc w:val="left"/>
        <w:rPr>
          <w:sz w:val="18"/>
        </w:rPr>
      </w:pPr>
      <w:r>
        <w:rPr>
          <w:color w:val="231F20"/>
          <w:w w:val="110"/>
          <w:sz w:val="18"/>
        </w:rPr>
        <w:t>Whether there may have been some procedural irregularity or breach of the rules of natural justice or serious misunderstanding by the Review Commission of the information </w:t>
      </w:r>
      <w:r>
        <w:rPr>
          <w:color w:val="231F20"/>
          <w:spacing w:val="2"/>
          <w:w w:val="110"/>
          <w:sz w:val="18"/>
        </w:rPr>
        <w:t>before </w:t>
      </w:r>
      <w:r>
        <w:rPr>
          <w:color w:val="231F20"/>
          <w:w w:val="110"/>
          <w:sz w:val="18"/>
        </w:rPr>
        <w:t>it or of any </w:t>
      </w:r>
      <w:r>
        <w:rPr>
          <w:color w:val="231F20"/>
          <w:spacing w:val="2"/>
          <w:w w:val="110"/>
          <w:sz w:val="18"/>
        </w:rPr>
        <w:t>aspect </w:t>
      </w:r>
      <w:r>
        <w:rPr>
          <w:color w:val="231F20"/>
          <w:w w:val="110"/>
          <w:sz w:val="18"/>
        </w:rPr>
        <w:t>of the Procedure</w:t>
      </w:r>
      <w:r>
        <w:rPr>
          <w:color w:val="231F20"/>
          <w:spacing w:val="22"/>
          <w:w w:val="110"/>
          <w:sz w:val="18"/>
        </w:rPr>
        <w:t> </w:t>
      </w:r>
      <w:r>
        <w:rPr>
          <w:color w:val="231F20"/>
          <w:w w:val="110"/>
          <w:sz w:val="18"/>
        </w:rPr>
        <w:t>itself.</w:t>
      </w:r>
    </w:p>
    <w:p>
      <w:pPr>
        <w:pStyle w:val="BodyText"/>
        <w:spacing w:before="9"/>
        <w:rPr>
          <w:sz w:val="20"/>
        </w:rPr>
      </w:pPr>
    </w:p>
    <w:p>
      <w:pPr>
        <w:pStyle w:val="ListParagraph"/>
        <w:numPr>
          <w:ilvl w:val="2"/>
          <w:numId w:val="201"/>
        </w:numPr>
        <w:tabs>
          <w:tab w:pos="1801" w:val="left" w:leader="none"/>
        </w:tabs>
        <w:spacing w:line="273" w:lineRule="auto" w:before="0" w:after="0"/>
        <w:ind w:left="1080" w:right="1477" w:firstLine="0"/>
        <w:jc w:val="both"/>
        <w:rPr>
          <w:sz w:val="18"/>
        </w:rPr>
      </w:pPr>
      <w:r>
        <w:rPr>
          <w:color w:val="231F20"/>
          <w:spacing w:val="2"/>
          <w:w w:val="110"/>
          <w:sz w:val="18"/>
        </w:rPr>
        <w:t>Before </w:t>
      </w:r>
      <w:r>
        <w:rPr>
          <w:color w:val="231F20"/>
          <w:w w:val="110"/>
          <w:sz w:val="18"/>
        </w:rPr>
        <w:t>reaching its decision on the Appeal, there shall be a Hearing </w:t>
      </w:r>
      <w:r>
        <w:rPr>
          <w:color w:val="231F20"/>
          <w:spacing w:val="2"/>
          <w:w w:val="110"/>
          <w:sz w:val="18"/>
        </w:rPr>
        <w:t>before </w:t>
      </w:r>
      <w:r>
        <w:rPr>
          <w:color w:val="231F20"/>
          <w:w w:val="110"/>
          <w:sz w:val="18"/>
        </w:rPr>
        <w:t>the Appeals</w:t>
      </w:r>
      <w:r>
        <w:rPr>
          <w:color w:val="231F20"/>
          <w:spacing w:val="11"/>
          <w:w w:val="110"/>
          <w:sz w:val="18"/>
        </w:rPr>
        <w:t> </w:t>
      </w:r>
      <w:r>
        <w:rPr>
          <w:color w:val="231F20"/>
          <w:w w:val="110"/>
          <w:sz w:val="18"/>
        </w:rPr>
        <w:t>Review</w:t>
      </w:r>
      <w:r>
        <w:rPr>
          <w:color w:val="231F20"/>
          <w:spacing w:val="12"/>
          <w:w w:val="110"/>
          <w:sz w:val="18"/>
        </w:rPr>
        <w:t> </w:t>
      </w:r>
      <w:r>
        <w:rPr>
          <w:color w:val="231F20"/>
          <w:w w:val="110"/>
          <w:sz w:val="18"/>
        </w:rPr>
        <w:t>Commission</w:t>
      </w:r>
      <w:r>
        <w:rPr>
          <w:color w:val="231F20"/>
          <w:spacing w:val="12"/>
          <w:w w:val="110"/>
          <w:sz w:val="18"/>
        </w:rPr>
        <w:t> </w:t>
      </w:r>
      <w:r>
        <w:rPr>
          <w:color w:val="231F20"/>
          <w:w w:val="110"/>
          <w:sz w:val="18"/>
        </w:rPr>
        <w:t>which</w:t>
      </w:r>
      <w:r>
        <w:rPr>
          <w:color w:val="231F20"/>
          <w:spacing w:val="11"/>
          <w:w w:val="110"/>
          <w:sz w:val="18"/>
        </w:rPr>
        <w:t> </w:t>
      </w:r>
      <w:r>
        <w:rPr>
          <w:color w:val="231F20"/>
          <w:w w:val="110"/>
          <w:sz w:val="18"/>
        </w:rPr>
        <w:t>the</w:t>
      </w:r>
      <w:r>
        <w:rPr>
          <w:color w:val="231F20"/>
          <w:spacing w:val="12"/>
          <w:w w:val="110"/>
          <w:sz w:val="18"/>
        </w:rPr>
        <w:t> </w:t>
      </w:r>
      <w:r>
        <w:rPr>
          <w:color w:val="231F20"/>
          <w:w w:val="110"/>
          <w:sz w:val="18"/>
        </w:rPr>
        <w:t>Minister</w:t>
      </w:r>
      <w:r>
        <w:rPr>
          <w:color w:val="231F20"/>
          <w:spacing w:val="12"/>
          <w:w w:val="110"/>
          <w:sz w:val="18"/>
        </w:rPr>
        <w:t> </w:t>
      </w:r>
      <w:r>
        <w:rPr>
          <w:color w:val="231F20"/>
          <w:w w:val="110"/>
          <w:sz w:val="18"/>
        </w:rPr>
        <w:t>shall</w:t>
      </w:r>
      <w:r>
        <w:rPr>
          <w:color w:val="231F20"/>
          <w:spacing w:val="12"/>
          <w:w w:val="110"/>
          <w:sz w:val="18"/>
        </w:rPr>
        <w:t> </w:t>
      </w:r>
      <w:r>
        <w:rPr>
          <w:color w:val="231F20"/>
          <w:w w:val="110"/>
          <w:sz w:val="18"/>
        </w:rPr>
        <w:t>normally</w:t>
      </w:r>
      <w:r>
        <w:rPr>
          <w:color w:val="231F20"/>
          <w:spacing w:val="11"/>
          <w:w w:val="110"/>
          <w:sz w:val="18"/>
        </w:rPr>
        <w:t> </w:t>
      </w:r>
      <w:r>
        <w:rPr>
          <w:color w:val="231F20"/>
          <w:w w:val="110"/>
          <w:sz w:val="18"/>
        </w:rPr>
        <w:t>be</w:t>
      </w:r>
      <w:r>
        <w:rPr>
          <w:color w:val="231F20"/>
          <w:spacing w:val="12"/>
          <w:w w:val="110"/>
          <w:sz w:val="18"/>
        </w:rPr>
        <w:t> </w:t>
      </w:r>
      <w:r>
        <w:rPr>
          <w:color w:val="231F20"/>
          <w:spacing w:val="2"/>
          <w:w w:val="110"/>
          <w:sz w:val="18"/>
        </w:rPr>
        <w:t>expected</w:t>
      </w:r>
      <w:r>
        <w:rPr>
          <w:color w:val="231F20"/>
          <w:spacing w:val="12"/>
          <w:w w:val="110"/>
          <w:sz w:val="18"/>
        </w:rPr>
        <w:t> </w:t>
      </w:r>
      <w:r>
        <w:rPr>
          <w:color w:val="231F20"/>
          <w:w w:val="110"/>
          <w:sz w:val="18"/>
        </w:rPr>
        <w:t>to</w:t>
      </w:r>
      <w:r>
        <w:rPr>
          <w:color w:val="231F20"/>
          <w:spacing w:val="11"/>
          <w:w w:val="110"/>
          <w:sz w:val="18"/>
        </w:rPr>
        <w:t> </w:t>
      </w:r>
      <w:r>
        <w:rPr>
          <w:color w:val="231F20"/>
          <w:w w:val="110"/>
          <w:sz w:val="18"/>
        </w:rPr>
        <w:t>attend.</w:t>
      </w:r>
    </w:p>
    <w:p>
      <w:pPr>
        <w:pStyle w:val="BodyText"/>
        <w:spacing w:before="8"/>
        <w:rPr>
          <w:sz w:val="20"/>
        </w:rPr>
      </w:pPr>
    </w:p>
    <w:p>
      <w:pPr>
        <w:pStyle w:val="ListParagraph"/>
        <w:numPr>
          <w:ilvl w:val="2"/>
          <w:numId w:val="201"/>
        </w:numPr>
        <w:tabs>
          <w:tab w:pos="1800" w:val="left" w:leader="none"/>
          <w:tab w:pos="1801" w:val="left" w:leader="none"/>
        </w:tabs>
        <w:spacing w:line="273" w:lineRule="auto" w:before="0" w:after="0"/>
        <w:ind w:left="1080" w:right="1438" w:firstLine="0"/>
        <w:jc w:val="left"/>
        <w:rPr>
          <w:sz w:val="18"/>
        </w:rPr>
      </w:pPr>
      <w:r>
        <w:rPr>
          <w:color w:val="231F20"/>
          <w:w w:val="110"/>
          <w:sz w:val="18"/>
        </w:rPr>
        <w:t>The General </w:t>
      </w:r>
      <w:r>
        <w:rPr>
          <w:color w:val="231F20"/>
          <w:spacing w:val="3"/>
          <w:w w:val="110"/>
          <w:sz w:val="18"/>
        </w:rPr>
        <w:t>Secretary </w:t>
      </w:r>
      <w:r>
        <w:rPr>
          <w:color w:val="231F20"/>
          <w:w w:val="110"/>
          <w:sz w:val="18"/>
        </w:rPr>
        <w:t>shall consult with the Convener and the other </w:t>
      </w:r>
      <w:r>
        <w:rPr>
          <w:color w:val="231F20"/>
          <w:spacing w:val="2"/>
          <w:w w:val="110"/>
          <w:sz w:val="18"/>
        </w:rPr>
        <w:t>members </w:t>
      </w:r>
      <w:r>
        <w:rPr>
          <w:color w:val="231F20"/>
          <w:w w:val="110"/>
          <w:sz w:val="18"/>
        </w:rPr>
        <w:t>of the Appeals Review Commission and, where possible, with the Minister or his/her representative</w:t>
      </w:r>
      <w:r>
        <w:rPr>
          <w:color w:val="231F20"/>
          <w:spacing w:val="6"/>
          <w:w w:val="110"/>
          <w:sz w:val="18"/>
        </w:rPr>
        <w:t> </w:t>
      </w:r>
      <w:r>
        <w:rPr>
          <w:color w:val="231F20"/>
          <w:w w:val="110"/>
          <w:sz w:val="18"/>
        </w:rPr>
        <w:t>as</w:t>
      </w:r>
      <w:r>
        <w:rPr>
          <w:color w:val="231F20"/>
          <w:spacing w:val="6"/>
          <w:w w:val="110"/>
          <w:sz w:val="18"/>
        </w:rPr>
        <w:t> </w:t>
      </w:r>
      <w:r>
        <w:rPr>
          <w:color w:val="231F20"/>
          <w:w w:val="110"/>
          <w:sz w:val="18"/>
        </w:rPr>
        <w:t>to</w:t>
      </w:r>
      <w:r>
        <w:rPr>
          <w:color w:val="231F20"/>
          <w:spacing w:val="7"/>
          <w:w w:val="110"/>
          <w:sz w:val="18"/>
        </w:rPr>
        <w:t> </w:t>
      </w:r>
      <w:r>
        <w:rPr>
          <w:color w:val="231F20"/>
          <w:w w:val="110"/>
          <w:sz w:val="18"/>
        </w:rPr>
        <w:t>a</w:t>
      </w:r>
      <w:r>
        <w:rPr>
          <w:color w:val="231F20"/>
          <w:spacing w:val="6"/>
          <w:w w:val="110"/>
          <w:sz w:val="18"/>
        </w:rPr>
        <w:t> </w:t>
      </w:r>
      <w:r>
        <w:rPr>
          <w:color w:val="231F20"/>
          <w:w w:val="110"/>
          <w:sz w:val="18"/>
        </w:rPr>
        <w:t>suitable</w:t>
      </w:r>
      <w:r>
        <w:rPr>
          <w:color w:val="231F20"/>
          <w:spacing w:val="6"/>
          <w:w w:val="110"/>
          <w:sz w:val="18"/>
        </w:rPr>
        <w:t> </w:t>
      </w:r>
      <w:r>
        <w:rPr>
          <w:color w:val="231F20"/>
          <w:w w:val="110"/>
          <w:sz w:val="18"/>
        </w:rPr>
        <w:t>venue,</w:t>
      </w:r>
      <w:r>
        <w:rPr>
          <w:color w:val="231F20"/>
          <w:spacing w:val="7"/>
          <w:w w:val="110"/>
          <w:sz w:val="18"/>
        </w:rPr>
        <w:t> </w:t>
      </w:r>
      <w:r>
        <w:rPr>
          <w:color w:val="231F20"/>
          <w:w w:val="110"/>
          <w:sz w:val="18"/>
        </w:rPr>
        <w:t>date</w:t>
      </w:r>
      <w:r>
        <w:rPr>
          <w:color w:val="231F20"/>
          <w:spacing w:val="6"/>
          <w:w w:val="110"/>
          <w:sz w:val="18"/>
        </w:rPr>
        <w:t> </w:t>
      </w:r>
      <w:r>
        <w:rPr>
          <w:color w:val="231F20"/>
          <w:w w:val="110"/>
          <w:sz w:val="18"/>
        </w:rPr>
        <w:t>and</w:t>
      </w:r>
      <w:r>
        <w:rPr>
          <w:color w:val="231F20"/>
          <w:spacing w:val="6"/>
          <w:w w:val="110"/>
          <w:sz w:val="18"/>
        </w:rPr>
        <w:t> </w:t>
      </w:r>
      <w:r>
        <w:rPr>
          <w:color w:val="231F20"/>
          <w:w w:val="110"/>
          <w:sz w:val="18"/>
        </w:rPr>
        <w:t>time</w:t>
      </w:r>
      <w:r>
        <w:rPr>
          <w:color w:val="231F20"/>
          <w:spacing w:val="7"/>
          <w:w w:val="110"/>
          <w:sz w:val="18"/>
        </w:rPr>
        <w:t> </w:t>
      </w:r>
      <w:r>
        <w:rPr>
          <w:color w:val="231F20"/>
          <w:w w:val="110"/>
          <w:sz w:val="18"/>
        </w:rPr>
        <w:t>for</w:t>
      </w:r>
      <w:r>
        <w:rPr>
          <w:color w:val="231F20"/>
          <w:spacing w:val="6"/>
          <w:w w:val="110"/>
          <w:sz w:val="18"/>
        </w:rPr>
        <w:t> </w:t>
      </w:r>
      <w:r>
        <w:rPr>
          <w:color w:val="231F20"/>
          <w:w w:val="110"/>
          <w:sz w:val="18"/>
        </w:rPr>
        <w:t>the</w:t>
      </w:r>
      <w:r>
        <w:rPr>
          <w:color w:val="231F20"/>
          <w:spacing w:val="7"/>
          <w:w w:val="110"/>
          <w:sz w:val="18"/>
        </w:rPr>
        <w:t> </w:t>
      </w:r>
      <w:r>
        <w:rPr>
          <w:color w:val="231F20"/>
          <w:w w:val="110"/>
          <w:sz w:val="18"/>
        </w:rPr>
        <w:t>Hearing</w:t>
      </w:r>
      <w:r>
        <w:rPr>
          <w:color w:val="231F20"/>
          <w:spacing w:val="6"/>
          <w:w w:val="110"/>
          <w:sz w:val="18"/>
        </w:rPr>
        <w:t> </w:t>
      </w:r>
      <w:r>
        <w:rPr>
          <w:color w:val="231F20"/>
          <w:w w:val="110"/>
          <w:sz w:val="18"/>
        </w:rPr>
        <w:t>and,</w:t>
      </w:r>
      <w:r>
        <w:rPr>
          <w:color w:val="231F20"/>
          <w:spacing w:val="6"/>
          <w:w w:val="110"/>
          <w:sz w:val="18"/>
        </w:rPr>
        <w:t> </w:t>
      </w:r>
      <w:r>
        <w:rPr>
          <w:color w:val="231F20"/>
          <w:w w:val="110"/>
          <w:sz w:val="18"/>
        </w:rPr>
        <w:t>having</w:t>
      </w:r>
    </w:p>
    <w:p>
      <w:pPr>
        <w:pStyle w:val="BodyText"/>
        <w:spacing w:line="273" w:lineRule="auto" w:before="2"/>
        <w:ind w:left="1080" w:right="1844"/>
      </w:pPr>
      <w:r>
        <w:rPr>
          <w:color w:val="231F20"/>
          <w:w w:val="110"/>
        </w:rPr>
        <w:t>so consulted, shall decide thereupon and shall notify all concerned in writing of the arrangements for the Hearing.</w:t>
      </w:r>
    </w:p>
    <w:p>
      <w:pPr>
        <w:pStyle w:val="BodyText"/>
        <w:spacing w:before="8"/>
        <w:rPr>
          <w:sz w:val="20"/>
        </w:rPr>
      </w:pPr>
    </w:p>
    <w:p>
      <w:pPr>
        <w:pStyle w:val="ListParagraph"/>
        <w:numPr>
          <w:ilvl w:val="2"/>
          <w:numId w:val="201"/>
        </w:numPr>
        <w:tabs>
          <w:tab w:pos="1800" w:val="left" w:leader="none"/>
          <w:tab w:pos="1801" w:val="left" w:leader="none"/>
        </w:tabs>
        <w:spacing w:line="273" w:lineRule="auto" w:before="0" w:after="0"/>
        <w:ind w:left="1080" w:right="1693" w:firstLine="0"/>
        <w:jc w:val="left"/>
        <w:rPr>
          <w:sz w:val="18"/>
        </w:rPr>
      </w:pPr>
      <w:r>
        <w:rPr>
          <w:color w:val="231F20"/>
          <w:w w:val="110"/>
          <w:sz w:val="18"/>
        </w:rPr>
        <w:t>The General </w:t>
      </w:r>
      <w:r>
        <w:rPr>
          <w:color w:val="231F20"/>
          <w:spacing w:val="3"/>
          <w:w w:val="110"/>
          <w:sz w:val="18"/>
        </w:rPr>
        <w:t>Secretary </w:t>
      </w:r>
      <w:r>
        <w:rPr>
          <w:color w:val="231F20"/>
          <w:w w:val="110"/>
          <w:sz w:val="18"/>
        </w:rPr>
        <w:t>shall (unless excluded for the reasons specified in Paragraph </w:t>
      </w:r>
      <w:r>
        <w:rPr>
          <w:color w:val="231F20"/>
          <w:spacing w:val="-9"/>
          <w:w w:val="110"/>
          <w:sz w:val="18"/>
        </w:rPr>
        <w:t>D.1) </w:t>
      </w:r>
      <w:r>
        <w:rPr>
          <w:color w:val="231F20"/>
          <w:w w:val="110"/>
          <w:sz w:val="18"/>
        </w:rPr>
        <w:t>attend the Hearing for the purpose of giving such procedural advice to</w:t>
      </w:r>
      <w:r>
        <w:rPr>
          <w:color w:val="231F20"/>
          <w:spacing w:val="9"/>
          <w:w w:val="110"/>
          <w:sz w:val="18"/>
        </w:rPr>
        <w:t> </w:t>
      </w:r>
      <w:r>
        <w:rPr>
          <w:color w:val="231F20"/>
          <w:w w:val="110"/>
          <w:sz w:val="18"/>
        </w:rPr>
        <w:t>the</w:t>
      </w:r>
      <w:r>
        <w:rPr>
          <w:color w:val="231F20"/>
          <w:spacing w:val="9"/>
          <w:w w:val="110"/>
          <w:sz w:val="18"/>
        </w:rPr>
        <w:t> </w:t>
      </w:r>
      <w:r>
        <w:rPr>
          <w:color w:val="231F20"/>
          <w:w w:val="110"/>
          <w:sz w:val="18"/>
        </w:rPr>
        <w:t>Appeals</w:t>
      </w:r>
      <w:r>
        <w:rPr>
          <w:color w:val="231F20"/>
          <w:spacing w:val="9"/>
          <w:w w:val="110"/>
          <w:sz w:val="18"/>
        </w:rPr>
        <w:t> </w:t>
      </w:r>
      <w:r>
        <w:rPr>
          <w:color w:val="231F20"/>
          <w:w w:val="110"/>
          <w:sz w:val="18"/>
        </w:rPr>
        <w:t>Review</w:t>
      </w:r>
      <w:r>
        <w:rPr>
          <w:color w:val="231F20"/>
          <w:spacing w:val="9"/>
          <w:w w:val="110"/>
          <w:sz w:val="18"/>
        </w:rPr>
        <w:t> </w:t>
      </w:r>
      <w:r>
        <w:rPr>
          <w:color w:val="231F20"/>
          <w:w w:val="110"/>
          <w:sz w:val="18"/>
        </w:rPr>
        <w:t>Commission</w:t>
      </w:r>
      <w:r>
        <w:rPr>
          <w:color w:val="231F20"/>
          <w:spacing w:val="9"/>
          <w:w w:val="110"/>
          <w:sz w:val="18"/>
        </w:rPr>
        <w:t> </w:t>
      </w:r>
      <w:r>
        <w:rPr>
          <w:color w:val="231F20"/>
          <w:w w:val="110"/>
          <w:sz w:val="18"/>
        </w:rPr>
        <w:t>as</w:t>
      </w:r>
      <w:r>
        <w:rPr>
          <w:color w:val="231F20"/>
          <w:spacing w:val="9"/>
          <w:w w:val="110"/>
          <w:sz w:val="18"/>
        </w:rPr>
        <w:t> </w:t>
      </w:r>
      <w:r>
        <w:rPr>
          <w:color w:val="231F20"/>
          <w:w w:val="110"/>
          <w:sz w:val="18"/>
        </w:rPr>
        <w:t>may</w:t>
      </w:r>
      <w:r>
        <w:rPr>
          <w:color w:val="231F20"/>
          <w:spacing w:val="9"/>
          <w:w w:val="110"/>
          <w:sz w:val="18"/>
        </w:rPr>
        <w:t> </w:t>
      </w:r>
      <w:r>
        <w:rPr>
          <w:color w:val="231F20"/>
          <w:w w:val="110"/>
          <w:sz w:val="18"/>
        </w:rPr>
        <w:t>be</w:t>
      </w:r>
      <w:r>
        <w:rPr>
          <w:color w:val="231F20"/>
          <w:spacing w:val="10"/>
          <w:w w:val="110"/>
          <w:sz w:val="18"/>
        </w:rPr>
        <w:t> </w:t>
      </w:r>
      <w:r>
        <w:rPr>
          <w:color w:val="231F20"/>
          <w:w w:val="110"/>
          <w:sz w:val="18"/>
        </w:rPr>
        <w:t>appropriate</w:t>
      </w:r>
      <w:r>
        <w:rPr>
          <w:color w:val="231F20"/>
          <w:spacing w:val="9"/>
          <w:w w:val="110"/>
          <w:sz w:val="18"/>
        </w:rPr>
        <w:t> </w:t>
      </w:r>
      <w:r>
        <w:rPr>
          <w:color w:val="231F20"/>
          <w:w w:val="110"/>
          <w:sz w:val="18"/>
        </w:rPr>
        <w:t>and</w:t>
      </w:r>
      <w:r>
        <w:rPr>
          <w:color w:val="231F20"/>
          <w:spacing w:val="9"/>
          <w:w w:val="110"/>
          <w:sz w:val="18"/>
        </w:rPr>
        <w:t> </w:t>
      </w:r>
      <w:r>
        <w:rPr>
          <w:color w:val="231F20"/>
          <w:w w:val="110"/>
          <w:sz w:val="18"/>
        </w:rPr>
        <w:t>of</w:t>
      </w:r>
      <w:r>
        <w:rPr>
          <w:color w:val="231F20"/>
          <w:spacing w:val="9"/>
          <w:w w:val="110"/>
          <w:sz w:val="18"/>
        </w:rPr>
        <w:t> </w:t>
      </w:r>
      <w:r>
        <w:rPr>
          <w:color w:val="231F20"/>
          <w:w w:val="110"/>
          <w:sz w:val="18"/>
        </w:rPr>
        <w:t>keeping</w:t>
      </w:r>
      <w:r>
        <w:rPr>
          <w:color w:val="231F20"/>
          <w:spacing w:val="9"/>
          <w:w w:val="110"/>
          <w:sz w:val="18"/>
        </w:rPr>
        <w:t> </w:t>
      </w:r>
      <w:r>
        <w:rPr>
          <w:color w:val="231F20"/>
          <w:w w:val="110"/>
          <w:sz w:val="18"/>
        </w:rPr>
        <w:t>a</w:t>
      </w:r>
      <w:r>
        <w:rPr>
          <w:color w:val="231F20"/>
          <w:spacing w:val="9"/>
          <w:w w:val="110"/>
          <w:sz w:val="18"/>
        </w:rPr>
        <w:t> </w:t>
      </w:r>
      <w:r>
        <w:rPr>
          <w:color w:val="231F20"/>
          <w:w w:val="110"/>
          <w:sz w:val="18"/>
        </w:rPr>
        <w:t>formal</w:t>
      </w:r>
    </w:p>
    <w:p>
      <w:pPr>
        <w:pStyle w:val="BodyText"/>
        <w:spacing w:line="273" w:lineRule="auto" w:before="2"/>
        <w:ind w:left="1080" w:right="1205"/>
      </w:pPr>
      <w:r>
        <w:rPr>
          <w:color w:val="231F20"/>
          <w:w w:val="110"/>
        </w:rPr>
        <w:t>record of the Hearing. S/he shall not be present when the Appeals Review Commission deliberates and decides on the case.</w:t>
      </w:r>
    </w:p>
    <w:p>
      <w:pPr>
        <w:pStyle w:val="BodyText"/>
        <w:spacing w:before="8"/>
        <w:rPr>
          <w:sz w:val="20"/>
        </w:rPr>
      </w:pPr>
    </w:p>
    <w:p>
      <w:pPr>
        <w:pStyle w:val="ListParagraph"/>
        <w:numPr>
          <w:ilvl w:val="2"/>
          <w:numId w:val="201"/>
        </w:numPr>
        <w:tabs>
          <w:tab w:pos="1800" w:val="left" w:leader="none"/>
          <w:tab w:pos="1801" w:val="left" w:leader="none"/>
        </w:tabs>
        <w:spacing w:line="273" w:lineRule="auto" w:before="0" w:after="0"/>
        <w:ind w:left="1080" w:right="1302" w:firstLine="0"/>
        <w:jc w:val="left"/>
        <w:rPr>
          <w:sz w:val="18"/>
        </w:rPr>
      </w:pPr>
      <w:r>
        <w:rPr>
          <w:color w:val="231F20"/>
          <w:w w:val="110"/>
          <w:sz w:val="18"/>
        </w:rPr>
        <w:t>If the General </w:t>
      </w:r>
      <w:r>
        <w:rPr>
          <w:color w:val="231F20"/>
          <w:spacing w:val="3"/>
          <w:w w:val="110"/>
          <w:sz w:val="18"/>
        </w:rPr>
        <w:t>Secretary </w:t>
      </w:r>
      <w:r>
        <w:rPr>
          <w:color w:val="231F20"/>
          <w:w w:val="110"/>
          <w:sz w:val="18"/>
        </w:rPr>
        <w:t>cannot for any reason be present at the Hearing, the Appeals Review Commission shall itself appoint such </w:t>
      </w:r>
      <w:r>
        <w:rPr>
          <w:color w:val="231F20"/>
          <w:spacing w:val="2"/>
          <w:w w:val="110"/>
          <w:sz w:val="18"/>
        </w:rPr>
        <w:t>person </w:t>
      </w:r>
      <w:r>
        <w:rPr>
          <w:color w:val="231F20"/>
          <w:w w:val="110"/>
          <w:sz w:val="18"/>
        </w:rPr>
        <w:t>as it considers appropriate to deputise for him/her for that purpose, ascertaining beforehand that such </w:t>
      </w:r>
      <w:r>
        <w:rPr>
          <w:color w:val="231F20"/>
          <w:spacing w:val="2"/>
          <w:w w:val="110"/>
          <w:sz w:val="18"/>
        </w:rPr>
        <w:t>person </w:t>
      </w:r>
      <w:r>
        <w:rPr>
          <w:color w:val="231F20"/>
          <w:w w:val="110"/>
          <w:sz w:val="18"/>
        </w:rPr>
        <w:t>is not excluded for reasons specified in Paragraph </w:t>
      </w:r>
      <w:r>
        <w:rPr>
          <w:color w:val="231F20"/>
          <w:spacing w:val="-6"/>
          <w:w w:val="110"/>
          <w:sz w:val="18"/>
        </w:rPr>
        <w:t>D.1. </w:t>
      </w:r>
      <w:r>
        <w:rPr>
          <w:color w:val="231F20"/>
          <w:w w:val="110"/>
          <w:sz w:val="18"/>
        </w:rPr>
        <w:t>Such </w:t>
      </w:r>
      <w:r>
        <w:rPr>
          <w:color w:val="231F20"/>
          <w:spacing w:val="2"/>
          <w:w w:val="110"/>
          <w:sz w:val="18"/>
        </w:rPr>
        <w:t>person </w:t>
      </w:r>
      <w:r>
        <w:rPr>
          <w:color w:val="231F20"/>
          <w:w w:val="110"/>
          <w:sz w:val="18"/>
        </w:rPr>
        <w:t>will </w:t>
      </w:r>
      <w:r>
        <w:rPr>
          <w:color w:val="231F20"/>
          <w:spacing w:val="3"/>
          <w:w w:val="110"/>
          <w:sz w:val="18"/>
        </w:rPr>
        <w:t>carry </w:t>
      </w:r>
      <w:r>
        <w:rPr>
          <w:color w:val="231F20"/>
          <w:w w:val="110"/>
          <w:sz w:val="18"/>
        </w:rPr>
        <w:t>out the duties set out in Paragraph </w:t>
      </w:r>
      <w:r>
        <w:rPr>
          <w:color w:val="231F20"/>
          <w:spacing w:val="-3"/>
          <w:w w:val="110"/>
          <w:sz w:val="18"/>
        </w:rPr>
        <w:t>L.9.3 </w:t>
      </w:r>
      <w:r>
        <w:rPr>
          <w:color w:val="231F20"/>
          <w:w w:val="110"/>
          <w:sz w:val="18"/>
        </w:rPr>
        <w:t>but shall not be present when the Appeals Review Commission deliberates and decides on the</w:t>
      </w:r>
      <w:r>
        <w:rPr>
          <w:color w:val="231F20"/>
          <w:spacing w:val="13"/>
          <w:w w:val="110"/>
          <w:sz w:val="18"/>
        </w:rPr>
        <w:t> </w:t>
      </w:r>
      <w:r>
        <w:rPr>
          <w:color w:val="231F20"/>
          <w:w w:val="110"/>
          <w:sz w:val="18"/>
        </w:rPr>
        <w:t>case.</w:t>
      </w:r>
    </w:p>
    <w:p>
      <w:pPr>
        <w:pStyle w:val="BodyText"/>
        <w:spacing w:before="11"/>
        <w:rPr>
          <w:sz w:val="20"/>
        </w:rPr>
      </w:pPr>
    </w:p>
    <w:p>
      <w:pPr>
        <w:pStyle w:val="ListParagraph"/>
        <w:numPr>
          <w:ilvl w:val="2"/>
          <w:numId w:val="201"/>
        </w:numPr>
        <w:tabs>
          <w:tab w:pos="1800" w:val="left" w:leader="none"/>
          <w:tab w:pos="1801" w:val="left" w:leader="none"/>
          <w:tab w:pos="3378" w:val="left" w:leader="none"/>
        </w:tabs>
        <w:spacing w:line="273" w:lineRule="auto" w:before="0" w:after="0"/>
        <w:ind w:left="1080" w:right="1259" w:firstLine="0"/>
        <w:jc w:val="left"/>
        <w:rPr>
          <w:sz w:val="18"/>
        </w:rPr>
      </w:pPr>
      <w:r>
        <w:rPr>
          <w:color w:val="231F20"/>
          <w:w w:val="110"/>
          <w:sz w:val="18"/>
        </w:rPr>
        <w:t>The General </w:t>
      </w:r>
      <w:r>
        <w:rPr>
          <w:color w:val="231F20"/>
          <w:spacing w:val="3"/>
          <w:w w:val="110"/>
          <w:sz w:val="18"/>
        </w:rPr>
        <w:t>Secretary </w:t>
      </w:r>
      <w:r>
        <w:rPr>
          <w:color w:val="231F20"/>
          <w:w w:val="110"/>
          <w:sz w:val="18"/>
        </w:rPr>
        <w:t>or his/her deputy appointed under Paragraph </w:t>
      </w:r>
      <w:r>
        <w:rPr>
          <w:color w:val="231F20"/>
          <w:spacing w:val="-4"/>
          <w:w w:val="110"/>
          <w:sz w:val="18"/>
        </w:rPr>
        <w:t>L.9.4 </w:t>
      </w:r>
      <w:r>
        <w:rPr>
          <w:color w:val="231F20"/>
          <w:w w:val="110"/>
          <w:sz w:val="18"/>
        </w:rPr>
        <w:t>shall prepare a summary minute of the proceedings at the Hearing (the </w:t>
      </w:r>
      <w:r>
        <w:rPr>
          <w:color w:val="231F20"/>
          <w:spacing w:val="2"/>
          <w:w w:val="110"/>
          <w:sz w:val="18"/>
        </w:rPr>
        <w:t>Secretary’s </w:t>
      </w:r>
      <w:r>
        <w:rPr>
          <w:color w:val="231F20"/>
          <w:spacing w:val="-3"/>
          <w:w w:val="110"/>
          <w:sz w:val="18"/>
        </w:rPr>
        <w:t>minute).</w:t>
      </w:r>
      <w:r>
        <w:rPr>
          <w:color w:val="231F20"/>
          <w:spacing w:val="63"/>
          <w:w w:val="110"/>
          <w:sz w:val="18"/>
        </w:rPr>
        <w:t> </w:t>
      </w:r>
      <w:r>
        <w:rPr>
          <w:color w:val="231F20"/>
          <w:w w:val="110"/>
          <w:sz w:val="18"/>
        </w:rPr>
        <w:t>Where possible, a verbatim </w:t>
      </w:r>
      <w:r>
        <w:rPr>
          <w:color w:val="231F20"/>
          <w:spacing w:val="2"/>
          <w:w w:val="110"/>
          <w:sz w:val="18"/>
        </w:rPr>
        <w:t>record </w:t>
      </w:r>
      <w:r>
        <w:rPr>
          <w:color w:val="231F20"/>
          <w:w w:val="110"/>
          <w:sz w:val="18"/>
        </w:rPr>
        <w:t>of the proceedings shall also be made by </w:t>
      </w:r>
      <w:r>
        <w:rPr>
          <w:color w:val="231F20"/>
          <w:spacing w:val="2"/>
          <w:w w:val="110"/>
          <w:sz w:val="18"/>
        </w:rPr>
        <w:t>electronic </w:t>
      </w:r>
      <w:r>
        <w:rPr>
          <w:color w:val="231F20"/>
          <w:w w:val="110"/>
          <w:sz w:val="18"/>
        </w:rPr>
        <w:t>recording or by such other means as shall be </w:t>
      </w:r>
      <w:r>
        <w:rPr>
          <w:color w:val="231F20"/>
          <w:spacing w:val="2"/>
          <w:w w:val="110"/>
          <w:sz w:val="18"/>
        </w:rPr>
        <w:t>directed </w:t>
      </w:r>
      <w:r>
        <w:rPr>
          <w:color w:val="231F20"/>
          <w:w w:val="110"/>
          <w:sz w:val="18"/>
        </w:rPr>
        <w:t>by the Convener of the Appeals Review</w:t>
      </w:r>
      <w:r>
        <w:rPr>
          <w:color w:val="231F20"/>
          <w:spacing w:val="19"/>
          <w:w w:val="110"/>
          <w:sz w:val="18"/>
        </w:rPr>
        <w:t> </w:t>
      </w:r>
      <w:r>
        <w:rPr>
          <w:color w:val="231F20"/>
          <w:w w:val="110"/>
          <w:sz w:val="18"/>
        </w:rPr>
        <w:t>Commission.</w:t>
        <w:tab/>
        <w:t>The Record of the Hearing shall consist of the </w:t>
      </w:r>
      <w:r>
        <w:rPr>
          <w:color w:val="231F20"/>
          <w:spacing w:val="2"/>
          <w:w w:val="110"/>
          <w:sz w:val="18"/>
        </w:rPr>
        <w:t>Secretary’s </w:t>
      </w:r>
      <w:r>
        <w:rPr>
          <w:color w:val="231F20"/>
          <w:w w:val="110"/>
          <w:sz w:val="18"/>
        </w:rPr>
        <w:t>minute together with any such verbatim</w:t>
      </w:r>
      <w:r>
        <w:rPr>
          <w:color w:val="231F20"/>
          <w:spacing w:val="8"/>
          <w:w w:val="110"/>
          <w:sz w:val="18"/>
        </w:rPr>
        <w:t> </w:t>
      </w:r>
      <w:r>
        <w:rPr>
          <w:color w:val="231F20"/>
          <w:w w:val="110"/>
          <w:sz w:val="18"/>
        </w:rPr>
        <w:t>record.</w:t>
      </w:r>
    </w:p>
    <w:p>
      <w:pPr>
        <w:pStyle w:val="BodyText"/>
        <w:spacing w:before="11"/>
        <w:rPr>
          <w:sz w:val="20"/>
        </w:rPr>
      </w:pPr>
    </w:p>
    <w:p>
      <w:pPr>
        <w:pStyle w:val="ListParagraph"/>
        <w:numPr>
          <w:ilvl w:val="2"/>
          <w:numId w:val="201"/>
        </w:numPr>
        <w:tabs>
          <w:tab w:pos="1800" w:val="left" w:leader="none"/>
          <w:tab w:pos="1801" w:val="left" w:leader="none"/>
        </w:tabs>
        <w:spacing w:line="273" w:lineRule="auto" w:before="0" w:after="0"/>
        <w:ind w:left="1080" w:right="1160" w:firstLine="0"/>
        <w:jc w:val="left"/>
        <w:rPr>
          <w:sz w:val="18"/>
        </w:rPr>
      </w:pPr>
      <w:r>
        <w:rPr>
          <w:color w:val="231F20"/>
          <w:w w:val="110"/>
          <w:sz w:val="18"/>
        </w:rPr>
        <w:t>A representative of the Church’s legal advisers </w:t>
      </w:r>
      <w:r>
        <w:rPr>
          <w:color w:val="231F20"/>
          <w:spacing w:val="-5"/>
          <w:w w:val="110"/>
          <w:sz w:val="18"/>
        </w:rPr>
        <w:t>may, </w:t>
      </w:r>
      <w:r>
        <w:rPr>
          <w:color w:val="231F20"/>
          <w:w w:val="110"/>
          <w:sz w:val="18"/>
        </w:rPr>
        <w:t>at the invitation of the Appeals Review Commission, attend the Hearing in order to advise it on </w:t>
      </w:r>
      <w:r>
        <w:rPr>
          <w:color w:val="231F20"/>
          <w:spacing w:val="2"/>
          <w:w w:val="110"/>
          <w:sz w:val="18"/>
        </w:rPr>
        <w:t>matters </w:t>
      </w:r>
      <w:r>
        <w:rPr>
          <w:color w:val="231F20"/>
          <w:w w:val="110"/>
          <w:sz w:val="18"/>
        </w:rPr>
        <w:t>relating to procedure, evidence and interpretation, but s/he shall not take any </w:t>
      </w:r>
      <w:r>
        <w:rPr>
          <w:color w:val="231F20"/>
          <w:spacing w:val="2"/>
          <w:w w:val="110"/>
          <w:sz w:val="18"/>
        </w:rPr>
        <w:t>part </w:t>
      </w:r>
      <w:r>
        <w:rPr>
          <w:color w:val="231F20"/>
          <w:w w:val="110"/>
          <w:sz w:val="18"/>
        </w:rPr>
        <w:t>in the   decision</w:t>
      </w:r>
      <w:r>
        <w:rPr>
          <w:color w:val="231F20"/>
          <w:spacing w:val="8"/>
          <w:w w:val="110"/>
          <w:sz w:val="18"/>
        </w:rPr>
        <w:t> </w:t>
      </w:r>
      <w:r>
        <w:rPr>
          <w:color w:val="231F20"/>
          <w:spacing w:val="2"/>
          <w:w w:val="110"/>
          <w:sz w:val="18"/>
        </w:rPr>
        <w:t>reached</w:t>
      </w:r>
      <w:r>
        <w:rPr>
          <w:color w:val="231F20"/>
          <w:spacing w:val="8"/>
          <w:w w:val="110"/>
          <w:sz w:val="18"/>
        </w:rPr>
        <w:t> </w:t>
      </w:r>
      <w:r>
        <w:rPr>
          <w:color w:val="231F20"/>
          <w:w w:val="110"/>
          <w:sz w:val="18"/>
        </w:rPr>
        <w:t>by</w:t>
      </w:r>
      <w:r>
        <w:rPr>
          <w:color w:val="231F20"/>
          <w:spacing w:val="8"/>
          <w:w w:val="110"/>
          <w:sz w:val="18"/>
        </w:rPr>
        <w:t> </w:t>
      </w:r>
      <w:r>
        <w:rPr>
          <w:color w:val="231F20"/>
          <w:w w:val="110"/>
          <w:sz w:val="18"/>
        </w:rPr>
        <w:t>the</w:t>
      </w:r>
      <w:r>
        <w:rPr>
          <w:color w:val="231F20"/>
          <w:spacing w:val="8"/>
          <w:w w:val="110"/>
          <w:sz w:val="18"/>
        </w:rPr>
        <w:t> </w:t>
      </w:r>
      <w:r>
        <w:rPr>
          <w:color w:val="231F20"/>
          <w:w w:val="110"/>
          <w:sz w:val="18"/>
        </w:rPr>
        <w:t>Appeals</w:t>
      </w:r>
      <w:r>
        <w:rPr>
          <w:color w:val="231F20"/>
          <w:spacing w:val="8"/>
          <w:w w:val="110"/>
          <w:sz w:val="18"/>
        </w:rPr>
        <w:t> </w:t>
      </w:r>
      <w:r>
        <w:rPr>
          <w:color w:val="231F20"/>
          <w:w w:val="110"/>
          <w:sz w:val="18"/>
        </w:rPr>
        <w:t>Review</w:t>
      </w:r>
      <w:r>
        <w:rPr>
          <w:color w:val="231F20"/>
          <w:spacing w:val="8"/>
          <w:w w:val="110"/>
          <w:sz w:val="18"/>
        </w:rPr>
        <w:t> </w:t>
      </w:r>
      <w:r>
        <w:rPr>
          <w:color w:val="231F20"/>
          <w:w w:val="110"/>
          <w:sz w:val="18"/>
        </w:rPr>
        <w:t>Commission,</w:t>
      </w:r>
      <w:r>
        <w:rPr>
          <w:color w:val="231F20"/>
          <w:spacing w:val="9"/>
          <w:w w:val="110"/>
          <w:sz w:val="18"/>
        </w:rPr>
        <w:t> </w:t>
      </w:r>
      <w:r>
        <w:rPr>
          <w:color w:val="231F20"/>
          <w:w w:val="110"/>
          <w:sz w:val="18"/>
        </w:rPr>
        <w:t>nor</w:t>
      </w:r>
      <w:r>
        <w:rPr>
          <w:color w:val="231F20"/>
          <w:spacing w:val="8"/>
          <w:w w:val="110"/>
          <w:sz w:val="18"/>
        </w:rPr>
        <w:t> </w:t>
      </w:r>
      <w:r>
        <w:rPr>
          <w:color w:val="231F20"/>
          <w:w w:val="110"/>
          <w:sz w:val="18"/>
        </w:rPr>
        <w:t>shall</w:t>
      </w:r>
      <w:r>
        <w:rPr>
          <w:color w:val="231F20"/>
          <w:spacing w:val="8"/>
          <w:w w:val="110"/>
          <w:sz w:val="18"/>
        </w:rPr>
        <w:t> </w:t>
      </w:r>
      <w:r>
        <w:rPr>
          <w:color w:val="231F20"/>
          <w:w w:val="110"/>
          <w:sz w:val="18"/>
        </w:rPr>
        <w:t>s/he</w:t>
      </w:r>
      <w:r>
        <w:rPr>
          <w:color w:val="231F20"/>
          <w:spacing w:val="8"/>
          <w:w w:val="110"/>
          <w:sz w:val="18"/>
        </w:rPr>
        <w:t> </w:t>
      </w:r>
      <w:r>
        <w:rPr>
          <w:color w:val="231F20"/>
          <w:w w:val="110"/>
          <w:sz w:val="18"/>
        </w:rPr>
        <w:t>be</w:t>
      </w:r>
      <w:r>
        <w:rPr>
          <w:color w:val="231F20"/>
          <w:spacing w:val="8"/>
          <w:w w:val="110"/>
          <w:sz w:val="18"/>
        </w:rPr>
        <w:t> </w:t>
      </w:r>
      <w:r>
        <w:rPr>
          <w:color w:val="231F20"/>
          <w:w w:val="110"/>
          <w:sz w:val="18"/>
        </w:rPr>
        <w:t>present</w:t>
      </w:r>
      <w:r>
        <w:rPr>
          <w:color w:val="231F20"/>
          <w:spacing w:val="8"/>
          <w:w w:val="110"/>
          <w:sz w:val="18"/>
        </w:rPr>
        <w:t> </w:t>
      </w:r>
      <w:r>
        <w:rPr>
          <w:color w:val="231F20"/>
          <w:w w:val="110"/>
          <w:sz w:val="18"/>
        </w:rPr>
        <w:t>when</w:t>
      </w:r>
    </w:p>
    <w:p>
      <w:pPr>
        <w:pStyle w:val="BodyText"/>
        <w:spacing w:before="2"/>
        <w:ind w:left="1080"/>
      </w:pPr>
      <w:r>
        <w:rPr>
          <w:color w:val="231F20"/>
          <w:w w:val="110"/>
        </w:rPr>
        <w:t>it deliberates and decides upon the case.</w:t>
      </w:r>
    </w:p>
    <w:p>
      <w:pPr>
        <w:spacing w:after="0"/>
        <w:sectPr>
          <w:pgSz w:w="11910" w:h="16840"/>
          <w:pgMar w:header="557" w:footer="564" w:top="820" w:bottom="760" w:left="620" w:right="0"/>
        </w:sectPr>
      </w:pPr>
    </w:p>
    <w:p>
      <w:pPr>
        <w:pStyle w:val="BodyText"/>
        <w:spacing w:before="9"/>
        <w:rPr>
          <w:sz w:val="13"/>
        </w:rPr>
      </w:pPr>
    </w:p>
    <w:p>
      <w:pPr>
        <w:pStyle w:val="ListParagraph"/>
        <w:numPr>
          <w:ilvl w:val="2"/>
          <w:numId w:val="201"/>
        </w:numPr>
        <w:tabs>
          <w:tab w:pos="1234" w:val="left" w:leader="none"/>
        </w:tabs>
        <w:spacing w:line="273" w:lineRule="auto" w:before="101" w:after="0"/>
        <w:ind w:left="513" w:right="1991" w:firstLine="0"/>
        <w:jc w:val="both"/>
        <w:rPr>
          <w:sz w:val="18"/>
        </w:rPr>
      </w:pPr>
      <w:r>
        <w:rPr>
          <w:color w:val="231F20"/>
          <w:w w:val="110"/>
          <w:sz w:val="18"/>
        </w:rPr>
        <w:t>The conduct of the Hearing of the Appeal is in the hands of the Appeals Review Commission whose Convener will at the outset of the Hearing read out the decision of the Review</w:t>
      </w:r>
      <w:r>
        <w:rPr>
          <w:color w:val="231F20"/>
          <w:spacing w:val="2"/>
          <w:w w:val="110"/>
          <w:sz w:val="18"/>
        </w:rPr>
        <w:t> </w:t>
      </w:r>
      <w:r>
        <w:rPr>
          <w:color w:val="231F20"/>
          <w:w w:val="110"/>
          <w:sz w:val="18"/>
        </w:rPr>
        <w:t>Commission.</w:t>
      </w:r>
    </w:p>
    <w:p>
      <w:pPr>
        <w:pStyle w:val="BodyText"/>
        <w:spacing w:before="8"/>
        <w:rPr>
          <w:sz w:val="20"/>
        </w:rPr>
      </w:pPr>
    </w:p>
    <w:p>
      <w:pPr>
        <w:pStyle w:val="ListParagraph"/>
        <w:numPr>
          <w:ilvl w:val="2"/>
          <w:numId w:val="201"/>
        </w:numPr>
        <w:tabs>
          <w:tab w:pos="1233" w:val="left" w:leader="none"/>
          <w:tab w:pos="1234" w:val="left" w:leader="none"/>
        </w:tabs>
        <w:spacing w:line="273" w:lineRule="auto" w:before="0" w:after="0"/>
        <w:ind w:left="514" w:right="1711" w:hanging="1"/>
        <w:jc w:val="left"/>
        <w:rPr>
          <w:sz w:val="18"/>
        </w:rPr>
      </w:pPr>
      <w:r>
        <w:rPr>
          <w:color w:val="231F20"/>
          <w:w w:val="110"/>
          <w:sz w:val="18"/>
        </w:rPr>
        <w:t>At </w:t>
      </w:r>
      <w:r>
        <w:rPr>
          <w:color w:val="231F20"/>
          <w:spacing w:val="2"/>
          <w:w w:val="110"/>
          <w:sz w:val="18"/>
        </w:rPr>
        <w:t>some point during the </w:t>
      </w:r>
      <w:r>
        <w:rPr>
          <w:color w:val="231F20"/>
          <w:spacing w:val="3"/>
          <w:w w:val="110"/>
          <w:sz w:val="18"/>
        </w:rPr>
        <w:t>Hearing </w:t>
      </w:r>
      <w:r>
        <w:rPr>
          <w:color w:val="231F20"/>
          <w:spacing w:val="2"/>
          <w:w w:val="110"/>
          <w:sz w:val="18"/>
        </w:rPr>
        <w:t>the Convener </w:t>
      </w:r>
      <w:r>
        <w:rPr>
          <w:color w:val="231F20"/>
          <w:w w:val="110"/>
          <w:sz w:val="18"/>
        </w:rPr>
        <w:t>will invite </w:t>
      </w:r>
      <w:r>
        <w:rPr>
          <w:color w:val="231F20"/>
          <w:spacing w:val="2"/>
          <w:w w:val="110"/>
          <w:sz w:val="18"/>
        </w:rPr>
        <w:t>the Minister </w:t>
      </w:r>
      <w:r>
        <w:rPr>
          <w:color w:val="231F20"/>
          <w:w w:val="110"/>
          <w:sz w:val="18"/>
        </w:rPr>
        <w:t>or </w:t>
      </w:r>
      <w:r>
        <w:rPr>
          <w:color w:val="231F20"/>
          <w:spacing w:val="2"/>
          <w:w w:val="110"/>
          <w:sz w:val="18"/>
        </w:rPr>
        <w:t>his/her</w:t>
      </w:r>
      <w:r>
        <w:rPr>
          <w:color w:val="231F20"/>
          <w:spacing w:val="73"/>
          <w:w w:val="110"/>
          <w:sz w:val="18"/>
        </w:rPr>
        <w:t> </w:t>
      </w:r>
      <w:r>
        <w:rPr>
          <w:color w:val="231F20"/>
          <w:spacing w:val="3"/>
          <w:w w:val="110"/>
          <w:sz w:val="18"/>
        </w:rPr>
        <w:t>representative </w:t>
      </w:r>
      <w:r>
        <w:rPr>
          <w:color w:val="231F20"/>
          <w:w w:val="110"/>
          <w:sz w:val="18"/>
        </w:rPr>
        <w:t>to  </w:t>
      </w:r>
      <w:r>
        <w:rPr>
          <w:color w:val="231F20"/>
          <w:spacing w:val="3"/>
          <w:w w:val="110"/>
          <w:sz w:val="18"/>
        </w:rPr>
        <w:t>address </w:t>
      </w:r>
      <w:r>
        <w:rPr>
          <w:color w:val="231F20"/>
          <w:spacing w:val="2"/>
          <w:w w:val="110"/>
          <w:sz w:val="18"/>
        </w:rPr>
        <w:t>the </w:t>
      </w:r>
      <w:r>
        <w:rPr>
          <w:color w:val="231F20"/>
          <w:spacing w:val="3"/>
          <w:w w:val="110"/>
          <w:sz w:val="18"/>
        </w:rPr>
        <w:t>Appeals </w:t>
      </w:r>
      <w:r>
        <w:rPr>
          <w:color w:val="231F20"/>
          <w:w w:val="110"/>
          <w:sz w:val="18"/>
        </w:rPr>
        <w:t>Review  </w:t>
      </w:r>
      <w:r>
        <w:rPr>
          <w:color w:val="231F20"/>
          <w:spacing w:val="3"/>
          <w:w w:val="110"/>
          <w:sz w:val="18"/>
        </w:rPr>
        <w:t>Commission </w:t>
      </w:r>
      <w:r>
        <w:rPr>
          <w:color w:val="231F20"/>
          <w:w w:val="110"/>
          <w:sz w:val="18"/>
        </w:rPr>
        <w:t>on  </w:t>
      </w:r>
      <w:r>
        <w:rPr>
          <w:color w:val="231F20"/>
          <w:spacing w:val="2"/>
          <w:w w:val="110"/>
          <w:sz w:val="18"/>
        </w:rPr>
        <w:t>the </w:t>
      </w:r>
      <w:r>
        <w:rPr>
          <w:color w:val="231F20"/>
          <w:spacing w:val="3"/>
          <w:w w:val="110"/>
          <w:sz w:val="18"/>
        </w:rPr>
        <w:t>subject matter </w:t>
      </w:r>
      <w:r>
        <w:rPr>
          <w:color w:val="231F20"/>
          <w:w w:val="110"/>
          <w:sz w:val="18"/>
        </w:rPr>
        <w:t>of </w:t>
      </w:r>
      <w:r>
        <w:rPr>
          <w:color w:val="231F20"/>
          <w:spacing w:val="2"/>
          <w:w w:val="110"/>
          <w:sz w:val="18"/>
        </w:rPr>
        <w:t>the</w:t>
      </w:r>
      <w:r>
        <w:rPr>
          <w:color w:val="231F20"/>
          <w:spacing w:val="4"/>
          <w:w w:val="110"/>
          <w:sz w:val="18"/>
        </w:rPr>
        <w:t> </w:t>
      </w:r>
      <w:r>
        <w:rPr>
          <w:color w:val="231F20"/>
          <w:spacing w:val="2"/>
          <w:w w:val="110"/>
          <w:sz w:val="18"/>
        </w:rPr>
        <w:t>Appeal.</w:t>
      </w:r>
    </w:p>
    <w:p>
      <w:pPr>
        <w:pStyle w:val="BodyText"/>
        <w:spacing w:before="9"/>
        <w:rPr>
          <w:sz w:val="20"/>
        </w:rPr>
      </w:pPr>
    </w:p>
    <w:p>
      <w:pPr>
        <w:pStyle w:val="ListParagraph"/>
        <w:numPr>
          <w:ilvl w:val="2"/>
          <w:numId w:val="202"/>
        </w:numPr>
        <w:tabs>
          <w:tab w:pos="1236" w:val="left" w:leader="none"/>
        </w:tabs>
        <w:spacing w:line="273" w:lineRule="auto" w:before="0" w:after="0"/>
        <w:ind w:left="515" w:right="1776" w:firstLine="0"/>
        <w:jc w:val="left"/>
        <w:rPr>
          <w:sz w:val="18"/>
        </w:rPr>
      </w:pPr>
      <w:r>
        <w:rPr>
          <w:color w:val="231F20"/>
          <w:w w:val="110"/>
          <w:sz w:val="18"/>
        </w:rPr>
        <w:t>The </w:t>
      </w:r>
      <w:r>
        <w:rPr>
          <w:color w:val="231F20"/>
          <w:spacing w:val="2"/>
          <w:w w:val="110"/>
          <w:sz w:val="18"/>
        </w:rPr>
        <w:t>members </w:t>
      </w:r>
      <w:r>
        <w:rPr>
          <w:color w:val="231F20"/>
          <w:w w:val="110"/>
          <w:sz w:val="18"/>
        </w:rPr>
        <w:t>of the Appeals Review Commission shall at the conclusion of the Hearing, all meeting and deliberating together but in the absence of the Minister and all other </w:t>
      </w:r>
      <w:r>
        <w:rPr>
          <w:color w:val="231F20"/>
          <w:spacing w:val="2"/>
          <w:w w:val="110"/>
          <w:sz w:val="18"/>
        </w:rPr>
        <w:t>persons </w:t>
      </w:r>
      <w:r>
        <w:rPr>
          <w:color w:val="231F20"/>
          <w:w w:val="110"/>
          <w:sz w:val="18"/>
        </w:rPr>
        <w:t>consider and arrive at their decision in accordance with Paragraph </w:t>
      </w:r>
      <w:r>
        <w:rPr>
          <w:color w:val="231F20"/>
          <w:spacing w:val="-3"/>
          <w:w w:val="110"/>
          <w:sz w:val="18"/>
        </w:rPr>
        <w:t>L.10.2.</w:t>
      </w:r>
      <w:r>
        <w:rPr>
          <w:color w:val="231F20"/>
          <w:spacing w:val="63"/>
          <w:w w:val="110"/>
          <w:sz w:val="18"/>
        </w:rPr>
        <w:t> </w:t>
      </w:r>
      <w:r>
        <w:rPr>
          <w:color w:val="231F20"/>
          <w:w w:val="110"/>
          <w:sz w:val="18"/>
        </w:rPr>
        <w:t>In so doing they are required to make a careful and detailed appraisal of all the </w:t>
      </w:r>
      <w:r>
        <w:rPr>
          <w:color w:val="231F20"/>
          <w:spacing w:val="2"/>
          <w:w w:val="110"/>
          <w:sz w:val="18"/>
        </w:rPr>
        <w:t>factors </w:t>
      </w:r>
      <w:r>
        <w:rPr>
          <w:color w:val="231F20"/>
          <w:w w:val="110"/>
          <w:sz w:val="18"/>
        </w:rPr>
        <w:t>set out at Paragraphs </w:t>
      </w:r>
      <w:r>
        <w:rPr>
          <w:color w:val="231F20"/>
          <w:spacing w:val="-4"/>
          <w:w w:val="110"/>
          <w:sz w:val="18"/>
        </w:rPr>
        <w:t>K.1.1 </w:t>
      </w:r>
      <w:r>
        <w:rPr>
          <w:color w:val="231F20"/>
          <w:w w:val="110"/>
          <w:sz w:val="18"/>
        </w:rPr>
        <w:t>to </w:t>
      </w:r>
      <w:r>
        <w:rPr>
          <w:color w:val="231F20"/>
          <w:spacing w:val="-4"/>
          <w:w w:val="110"/>
          <w:sz w:val="18"/>
        </w:rPr>
        <w:t>K.1.6 </w:t>
      </w:r>
      <w:r>
        <w:rPr>
          <w:color w:val="231F20"/>
          <w:w w:val="110"/>
          <w:sz w:val="18"/>
        </w:rPr>
        <w:t>and of all the information, </w:t>
      </w:r>
      <w:r>
        <w:rPr>
          <w:color w:val="231F20"/>
          <w:spacing w:val="2"/>
          <w:w w:val="110"/>
          <w:sz w:val="18"/>
        </w:rPr>
        <w:t>reports, </w:t>
      </w:r>
      <w:r>
        <w:rPr>
          <w:color w:val="231F20"/>
          <w:w w:val="110"/>
          <w:sz w:val="18"/>
        </w:rPr>
        <w:t>representations and other </w:t>
      </w:r>
      <w:r>
        <w:rPr>
          <w:color w:val="231F20"/>
          <w:spacing w:val="2"/>
          <w:w w:val="110"/>
          <w:sz w:val="18"/>
        </w:rPr>
        <w:t>factors </w:t>
      </w:r>
      <w:r>
        <w:rPr>
          <w:color w:val="231F20"/>
          <w:w w:val="110"/>
          <w:sz w:val="18"/>
        </w:rPr>
        <w:t>forming the subject matter of the</w:t>
      </w:r>
      <w:r>
        <w:rPr>
          <w:color w:val="231F20"/>
          <w:spacing w:val="22"/>
          <w:w w:val="110"/>
          <w:sz w:val="18"/>
        </w:rPr>
        <w:t> </w:t>
      </w:r>
      <w:r>
        <w:rPr>
          <w:color w:val="231F20"/>
          <w:w w:val="110"/>
          <w:sz w:val="18"/>
        </w:rPr>
        <w:t>appeal</w:t>
      </w:r>
    </w:p>
    <w:p>
      <w:pPr>
        <w:pStyle w:val="BodyText"/>
        <w:spacing w:before="11"/>
        <w:rPr>
          <w:sz w:val="20"/>
        </w:rPr>
      </w:pPr>
    </w:p>
    <w:p>
      <w:pPr>
        <w:pStyle w:val="ListParagraph"/>
        <w:numPr>
          <w:ilvl w:val="2"/>
          <w:numId w:val="202"/>
        </w:numPr>
        <w:tabs>
          <w:tab w:pos="1236" w:val="left" w:leader="none"/>
        </w:tabs>
        <w:spacing w:line="273" w:lineRule="auto" w:before="0" w:after="0"/>
        <w:ind w:left="515" w:right="1865" w:firstLine="0"/>
        <w:jc w:val="left"/>
        <w:rPr>
          <w:sz w:val="18"/>
        </w:rPr>
      </w:pPr>
      <w:r>
        <w:rPr>
          <w:color w:val="231F20"/>
          <w:w w:val="110"/>
          <w:sz w:val="18"/>
        </w:rPr>
        <w:t>The purpose of their deliberation is to enable them to </w:t>
      </w:r>
      <w:r>
        <w:rPr>
          <w:color w:val="231F20"/>
          <w:spacing w:val="2"/>
          <w:w w:val="110"/>
          <w:sz w:val="18"/>
        </w:rPr>
        <w:t>reach </w:t>
      </w:r>
      <w:r>
        <w:rPr>
          <w:color w:val="231F20"/>
          <w:w w:val="110"/>
          <w:sz w:val="18"/>
        </w:rPr>
        <w:t>(either unanimously or by a majority </w:t>
      </w:r>
      <w:r>
        <w:rPr>
          <w:color w:val="231F20"/>
          <w:spacing w:val="-3"/>
          <w:w w:val="110"/>
          <w:sz w:val="18"/>
        </w:rPr>
        <w:t>vote) </w:t>
      </w:r>
      <w:r>
        <w:rPr>
          <w:color w:val="231F20"/>
          <w:w w:val="110"/>
          <w:sz w:val="18"/>
        </w:rPr>
        <w:t>a decision in accordance with Paragraph 5 of </w:t>
      </w:r>
      <w:r>
        <w:rPr>
          <w:color w:val="231F20"/>
          <w:spacing w:val="2"/>
          <w:w w:val="110"/>
          <w:sz w:val="18"/>
        </w:rPr>
        <w:t>Part </w:t>
      </w:r>
      <w:r>
        <w:rPr>
          <w:color w:val="231F20"/>
          <w:w w:val="110"/>
          <w:sz w:val="18"/>
        </w:rPr>
        <w:t>I of the Procedure as to whether, having full regard to the Basis of Union and in particular Paragraph 2 of Schedule E thereto, the name of the Minister in the particular </w:t>
      </w:r>
      <w:r>
        <w:rPr>
          <w:color w:val="231F20"/>
          <w:spacing w:val="2"/>
          <w:w w:val="110"/>
          <w:sz w:val="18"/>
        </w:rPr>
        <w:t>case </w:t>
      </w:r>
      <w:r>
        <w:rPr>
          <w:color w:val="231F20"/>
          <w:w w:val="110"/>
          <w:sz w:val="18"/>
        </w:rPr>
        <w:t>should remain upon, or be deleted from, the Roll of</w:t>
      </w:r>
      <w:r>
        <w:rPr>
          <w:color w:val="231F20"/>
          <w:spacing w:val="26"/>
          <w:w w:val="110"/>
          <w:sz w:val="18"/>
        </w:rPr>
        <w:t> </w:t>
      </w:r>
      <w:r>
        <w:rPr>
          <w:color w:val="231F20"/>
          <w:w w:val="110"/>
          <w:sz w:val="18"/>
        </w:rPr>
        <w:t>Ministers.</w:t>
      </w:r>
    </w:p>
    <w:p>
      <w:pPr>
        <w:pStyle w:val="BodyText"/>
        <w:spacing w:before="10"/>
        <w:rPr>
          <w:sz w:val="20"/>
        </w:rPr>
      </w:pPr>
    </w:p>
    <w:p>
      <w:pPr>
        <w:pStyle w:val="ListParagraph"/>
        <w:numPr>
          <w:ilvl w:val="2"/>
          <w:numId w:val="202"/>
        </w:numPr>
        <w:tabs>
          <w:tab w:pos="1236" w:val="left" w:leader="none"/>
        </w:tabs>
        <w:spacing w:line="273" w:lineRule="auto" w:before="0" w:after="0"/>
        <w:ind w:left="515" w:right="2090" w:firstLine="0"/>
        <w:jc w:val="left"/>
        <w:rPr>
          <w:sz w:val="18"/>
        </w:rPr>
      </w:pPr>
      <w:r>
        <w:rPr>
          <w:color w:val="231F20"/>
          <w:spacing w:val="2"/>
          <w:w w:val="110"/>
          <w:sz w:val="18"/>
        </w:rPr>
        <w:t>There </w:t>
      </w:r>
      <w:r>
        <w:rPr>
          <w:color w:val="231F20"/>
          <w:w w:val="110"/>
          <w:sz w:val="18"/>
        </w:rPr>
        <w:t>shall be no appeal </w:t>
      </w:r>
      <w:r>
        <w:rPr>
          <w:color w:val="231F20"/>
          <w:spacing w:val="2"/>
          <w:w w:val="110"/>
          <w:sz w:val="18"/>
        </w:rPr>
        <w:t>from </w:t>
      </w:r>
      <w:r>
        <w:rPr>
          <w:color w:val="231F20"/>
          <w:w w:val="110"/>
          <w:sz w:val="18"/>
        </w:rPr>
        <w:t>the decision of the Appeals Review Commission which is final and binding on the Minister and on all the Councils of the</w:t>
      </w:r>
      <w:r>
        <w:rPr>
          <w:color w:val="231F20"/>
          <w:spacing w:val="5"/>
          <w:w w:val="110"/>
          <w:sz w:val="18"/>
        </w:rPr>
        <w:t> </w:t>
      </w:r>
      <w:r>
        <w:rPr>
          <w:color w:val="231F20"/>
          <w:w w:val="110"/>
          <w:sz w:val="18"/>
        </w:rPr>
        <w:t>Church.</w:t>
      </w:r>
    </w:p>
    <w:p>
      <w:pPr>
        <w:pStyle w:val="BodyText"/>
        <w:spacing w:before="8"/>
        <w:rPr>
          <w:sz w:val="20"/>
        </w:rPr>
      </w:pPr>
    </w:p>
    <w:p>
      <w:pPr>
        <w:pStyle w:val="ListParagraph"/>
        <w:numPr>
          <w:ilvl w:val="2"/>
          <w:numId w:val="203"/>
        </w:numPr>
        <w:tabs>
          <w:tab w:pos="1236" w:val="left" w:leader="none"/>
        </w:tabs>
        <w:spacing w:line="273" w:lineRule="auto" w:before="0" w:after="0"/>
        <w:ind w:left="515" w:right="1979" w:firstLine="0"/>
        <w:jc w:val="left"/>
        <w:rPr>
          <w:sz w:val="18"/>
        </w:rPr>
      </w:pPr>
      <w:r>
        <w:rPr>
          <w:color w:val="231F20"/>
          <w:w w:val="110"/>
          <w:sz w:val="18"/>
        </w:rPr>
        <w:t>The Appeals Review Commission shall </w:t>
      </w:r>
      <w:r>
        <w:rPr>
          <w:color w:val="231F20"/>
          <w:spacing w:val="2"/>
          <w:w w:val="110"/>
          <w:sz w:val="18"/>
        </w:rPr>
        <w:t>record </w:t>
      </w:r>
      <w:r>
        <w:rPr>
          <w:color w:val="231F20"/>
          <w:w w:val="110"/>
          <w:sz w:val="18"/>
        </w:rPr>
        <w:t>its decision (the Decision Record) and, in doing so, shall state whether it was </w:t>
      </w:r>
      <w:r>
        <w:rPr>
          <w:color w:val="231F20"/>
          <w:spacing w:val="2"/>
          <w:w w:val="110"/>
          <w:sz w:val="18"/>
        </w:rPr>
        <w:t>reached </w:t>
      </w:r>
      <w:r>
        <w:rPr>
          <w:color w:val="231F20"/>
          <w:w w:val="110"/>
          <w:sz w:val="18"/>
        </w:rPr>
        <w:t>unanimously or by a majority and whether its decision upholds or reverses the decision of the Review Commission and shall append a statement of its reasons for the decision (the Statement of Reasons), but shall not be obliged, unless it wishes to do so, to comment in detail on any of the </w:t>
      </w:r>
      <w:r>
        <w:rPr>
          <w:color w:val="231F20"/>
          <w:spacing w:val="2"/>
          <w:w w:val="110"/>
          <w:sz w:val="18"/>
        </w:rPr>
        <w:t>matters </w:t>
      </w:r>
      <w:r>
        <w:rPr>
          <w:color w:val="231F20"/>
          <w:w w:val="110"/>
          <w:sz w:val="18"/>
        </w:rPr>
        <w:t>considered by</w:t>
      </w:r>
      <w:r>
        <w:rPr>
          <w:color w:val="231F20"/>
          <w:spacing w:val="1"/>
          <w:w w:val="110"/>
          <w:sz w:val="18"/>
        </w:rPr>
        <w:t> </w:t>
      </w:r>
      <w:r>
        <w:rPr>
          <w:color w:val="231F20"/>
          <w:w w:val="110"/>
          <w:sz w:val="18"/>
        </w:rPr>
        <w:t>it.</w:t>
      </w:r>
    </w:p>
    <w:p>
      <w:pPr>
        <w:pStyle w:val="BodyText"/>
        <w:spacing w:before="11"/>
        <w:rPr>
          <w:sz w:val="20"/>
        </w:rPr>
      </w:pPr>
    </w:p>
    <w:p>
      <w:pPr>
        <w:pStyle w:val="ListParagraph"/>
        <w:numPr>
          <w:ilvl w:val="2"/>
          <w:numId w:val="203"/>
        </w:numPr>
        <w:tabs>
          <w:tab w:pos="1235" w:val="left" w:leader="none"/>
        </w:tabs>
        <w:spacing w:line="273" w:lineRule="auto" w:before="0" w:after="0"/>
        <w:ind w:left="515" w:right="2210" w:firstLine="0"/>
        <w:jc w:val="left"/>
        <w:rPr>
          <w:i/>
          <w:sz w:val="18"/>
        </w:rPr>
      </w:pPr>
      <w:r>
        <w:rPr>
          <w:color w:val="231F20"/>
          <w:w w:val="110"/>
          <w:sz w:val="18"/>
        </w:rPr>
        <w:t>The decision so taken shall conclude the involvement of the Appeals Review Commission in the Procedure except as to the discharge of its responsibilities under Paragraph N.2</w:t>
      </w:r>
      <w:r>
        <w:rPr>
          <w:i/>
          <w:color w:val="231F20"/>
          <w:w w:val="110"/>
          <w:sz w:val="18"/>
        </w:rPr>
        <w:t>.</w:t>
      </w:r>
    </w:p>
    <w:p>
      <w:pPr>
        <w:pStyle w:val="BodyText"/>
        <w:spacing w:before="8"/>
        <w:rPr>
          <w:i/>
          <w:sz w:val="20"/>
        </w:rPr>
      </w:pPr>
    </w:p>
    <w:p>
      <w:pPr>
        <w:pStyle w:val="ListParagraph"/>
        <w:numPr>
          <w:ilvl w:val="2"/>
          <w:numId w:val="203"/>
        </w:numPr>
        <w:tabs>
          <w:tab w:pos="1234" w:val="left" w:leader="none"/>
        </w:tabs>
        <w:spacing w:line="273" w:lineRule="auto" w:before="0" w:after="0"/>
        <w:ind w:left="513" w:right="2004" w:hanging="1"/>
        <w:jc w:val="left"/>
        <w:rPr>
          <w:sz w:val="18"/>
        </w:rPr>
      </w:pPr>
      <w:r>
        <w:rPr>
          <w:color w:val="231F20"/>
          <w:w w:val="110"/>
          <w:sz w:val="18"/>
        </w:rPr>
        <w:t>If the decision is that the name of the Minister shall be deleted </w:t>
      </w:r>
      <w:r>
        <w:rPr>
          <w:color w:val="231F20"/>
          <w:spacing w:val="2"/>
          <w:w w:val="110"/>
          <w:sz w:val="18"/>
        </w:rPr>
        <w:t>from </w:t>
      </w:r>
      <w:r>
        <w:rPr>
          <w:color w:val="231F20"/>
          <w:w w:val="110"/>
          <w:sz w:val="18"/>
        </w:rPr>
        <w:t>the Roll of Ministers, such deletion takes </w:t>
      </w:r>
      <w:r>
        <w:rPr>
          <w:color w:val="231F20"/>
          <w:spacing w:val="3"/>
          <w:w w:val="110"/>
          <w:sz w:val="18"/>
        </w:rPr>
        <w:t>effect </w:t>
      </w:r>
      <w:r>
        <w:rPr>
          <w:color w:val="231F20"/>
          <w:w w:val="110"/>
          <w:sz w:val="18"/>
        </w:rPr>
        <w:t>with immediate</w:t>
      </w:r>
      <w:r>
        <w:rPr>
          <w:color w:val="231F20"/>
          <w:spacing w:val="16"/>
          <w:w w:val="110"/>
          <w:sz w:val="18"/>
        </w:rPr>
        <w:t> </w:t>
      </w:r>
      <w:r>
        <w:rPr>
          <w:color w:val="231F20"/>
          <w:spacing w:val="3"/>
          <w:w w:val="110"/>
          <w:sz w:val="18"/>
        </w:rPr>
        <w:t>effect.</w:t>
      </w:r>
    </w:p>
    <w:p>
      <w:pPr>
        <w:pStyle w:val="BodyText"/>
        <w:spacing w:before="8"/>
        <w:rPr>
          <w:sz w:val="20"/>
        </w:rPr>
      </w:pPr>
    </w:p>
    <w:p>
      <w:pPr>
        <w:pStyle w:val="ListParagraph"/>
        <w:numPr>
          <w:ilvl w:val="1"/>
          <w:numId w:val="204"/>
        </w:numPr>
        <w:tabs>
          <w:tab w:pos="1233" w:val="left" w:leader="none"/>
          <w:tab w:pos="1234" w:val="left" w:leader="none"/>
        </w:tabs>
        <w:spacing w:line="273" w:lineRule="auto" w:before="1" w:after="0"/>
        <w:ind w:left="513" w:right="2235" w:firstLine="0"/>
        <w:jc w:val="left"/>
        <w:rPr>
          <w:sz w:val="18"/>
        </w:rPr>
      </w:pPr>
      <w:r>
        <w:rPr>
          <w:color w:val="231F20"/>
          <w:w w:val="110"/>
          <w:sz w:val="18"/>
        </w:rPr>
        <w:t>Within ten days of the date of the Appeals Review Commission’s decision the General </w:t>
      </w:r>
      <w:r>
        <w:rPr>
          <w:color w:val="231F20"/>
          <w:spacing w:val="3"/>
          <w:w w:val="110"/>
          <w:sz w:val="18"/>
        </w:rPr>
        <w:t>Secretary</w:t>
      </w:r>
      <w:r>
        <w:rPr>
          <w:color w:val="231F20"/>
          <w:spacing w:val="2"/>
          <w:w w:val="110"/>
          <w:sz w:val="18"/>
        </w:rPr>
        <w:t> </w:t>
      </w:r>
      <w:r>
        <w:rPr>
          <w:color w:val="231F20"/>
          <w:w w:val="110"/>
          <w:sz w:val="18"/>
        </w:rPr>
        <w:t>shall:</w:t>
      </w:r>
    </w:p>
    <w:p>
      <w:pPr>
        <w:pStyle w:val="BodyText"/>
        <w:spacing w:before="8"/>
        <w:rPr>
          <w:sz w:val="20"/>
        </w:rPr>
      </w:pPr>
    </w:p>
    <w:p>
      <w:pPr>
        <w:pStyle w:val="ListParagraph"/>
        <w:numPr>
          <w:ilvl w:val="2"/>
          <w:numId w:val="204"/>
        </w:numPr>
        <w:tabs>
          <w:tab w:pos="1235" w:val="left" w:leader="none"/>
        </w:tabs>
        <w:spacing w:line="240" w:lineRule="auto" w:before="0" w:after="0"/>
        <w:ind w:left="1234" w:right="0" w:hanging="722"/>
        <w:jc w:val="left"/>
        <w:rPr>
          <w:sz w:val="18"/>
        </w:rPr>
      </w:pPr>
      <w:r>
        <w:rPr>
          <w:color w:val="231F20"/>
          <w:w w:val="110"/>
          <w:sz w:val="18"/>
        </w:rPr>
        <w:t>Send or deliver written notification of the decision and copies of the</w:t>
      </w:r>
      <w:r>
        <w:rPr>
          <w:color w:val="231F20"/>
          <w:spacing w:val="46"/>
          <w:w w:val="110"/>
          <w:sz w:val="18"/>
        </w:rPr>
        <w:t> </w:t>
      </w:r>
      <w:r>
        <w:rPr>
          <w:color w:val="231F20"/>
          <w:w w:val="110"/>
          <w:sz w:val="18"/>
        </w:rPr>
        <w:t>Decision</w:t>
      </w:r>
    </w:p>
    <w:p>
      <w:pPr>
        <w:pStyle w:val="BodyText"/>
        <w:spacing w:before="31"/>
        <w:ind w:left="513"/>
      </w:pPr>
      <w:r>
        <w:rPr>
          <w:color w:val="231F20"/>
          <w:w w:val="110"/>
        </w:rPr>
        <w:t>Record and the Statement of Reasons to the Minister or his/her representative and</w:t>
      </w:r>
    </w:p>
    <w:p>
      <w:pPr>
        <w:pStyle w:val="BodyText"/>
        <w:spacing w:before="2"/>
        <w:rPr>
          <w:sz w:val="23"/>
        </w:rPr>
      </w:pPr>
    </w:p>
    <w:p>
      <w:pPr>
        <w:pStyle w:val="ListParagraph"/>
        <w:numPr>
          <w:ilvl w:val="2"/>
          <w:numId w:val="204"/>
        </w:numPr>
        <w:tabs>
          <w:tab w:pos="1234" w:val="left" w:leader="none"/>
        </w:tabs>
        <w:spacing w:line="273" w:lineRule="auto" w:before="0" w:after="0"/>
        <w:ind w:left="513" w:right="1872" w:firstLine="0"/>
        <w:jc w:val="left"/>
        <w:rPr>
          <w:sz w:val="18"/>
        </w:rPr>
      </w:pPr>
      <w:r>
        <w:rPr>
          <w:color w:val="231F20"/>
          <w:w w:val="110"/>
          <w:sz w:val="18"/>
        </w:rPr>
        <w:t>Send or deliver copies of the Decision Record and the Statement of Reasons to the Moderator of the Synod, the </w:t>
      </w:r>
      <w:r>
        <w:rPr>
          <w:color w:val="231F20"/>
          <w:spacing w:val="3"/>
          <w:w w:val="110"/>
          <w:sz w:val="18"/>
        </w:rPr>
        <w:t>Secretary </w:t>
      </w:r>
      <w:r>
        <w:rPr>
          <w:color w:val="231F20"/>
          <w:w w:val="110"/>
          <w:sz w:val="18"/>
        </w:rPr>
        <w:t>of the </w:t>
      </w:r>
      <w:r>
        <w:rPr>
          <w:color w:val="231F20"/>
          <w:spacing w:val="2"/>
          <w:w w:val="110"/>
          <w:sz w:val="18"/>
        </w:rPr>
        <w:t>District </w:t>
      </w:r>
      <w:r>
        <w:rPr>
          <w:color w:val="231F20"/>
          <w:w w:val="110"/>
          <w:sz w:val="18"/>
        </w:rPr>
        <w:t>Council, the Deputy General </w:t>
      </w:r>
      <w:r>
        <w:rPr>
          <w:color w:val="231F20"/>
          <w:spacing w:val="3"/>
          <w:w w:val="110"/>
          <w:sz w:val="18"/>
        </w:rPr>
        <w:t>Secretary </w:t>
      </w:r>
      <w:r>
        <w:rPr>
          <w:color w:val="231F20"/>
          <w:w w:val="110"/>
          <w:sz w:val="18"/>
        </w:rPr>
        <w:t>(but only if s/he issued the Commencement Notice) and the </w:t>
      </w:r>
      <w:r>
        <w:rPr>
          <w:color w:val="231F20"/>
          <w:spacing w:val="3"/>
          <w:w w:val="110"/>
          <w:sz w:val="18"/>
        </w:rPr>
        <w:t>Secretary </w:t>
      </w:r>
      <w:r>
        <w:rPr>
          <w:color w:val="231F20"/>
          <w:w w:val="110"/>
          <w:sz w:val="18"/>
        </w:rPr>
        <w:t>of the Ministries</w:t>
      </w:r>
      <w:r>
        <w:rPr>
          <w:color w:val="231F20"/>
          <w:spacing w:val="1"/>
          <w:w w:val="110"/>
          <w:sz w:val="18"/>
        </w:rPr>
        <w:t> </w:t>
      </w:r>
      <w:r>
        <w:rPr>
          <w:color w:val="231F20"/>
          <w:w w:val="110"/>
          <w:sz w:val="18"/>
        </w:rPr>
        <w:t>Committee.</w:t>
      </w:r>
    </w:p>
    <w:p>
      <w:pPr>
        <w:pStyle w:val="BodyText"/>
        <w:spacing w:before="1"/>
        <w:rPr>
          <w:sz w:val="19"/>
        </w:rPr>
      </w:pPr>
    </w:p>
    <w:p>
      <w:pPr>
        <w:numPr>
          <w:ilvl w:val="0"/>
          <w:numId w:val="192"/>
        </w:numPr>
        <w:tabs>
          <w:tab w:pos="1233" w:val="left" w:leader="none"/>
          <w:tab w:pos="1234" w:val="left" w:leader="none"/>
        </w:tabs>
        <w:spacing w:line="247" w:lineRule="auto" w:before="0"/>
        <w:ind w:left="1233" w:right="3872" w:hanging="721"/>
        <w:jc w:val="left"/>
        <w:rPr>
          <w:b/>
          <w:sz w:val="20"/>
        </w:rPr>
      </w:pPr>
      <w:r>
        <w:rPr>
          <w:b/>
          <w:color w:val="231F20"/>
          <w:w w:val="110"/>
          <w:sz w:val="20"/>
        </w:rPr>
        <w:t>FORMS, SENDING/DELIVERY OF DOCUMENTS and MISCELLANEOUS</w:t>
      </w:r>
    </w:p>
    <w:p>
      <w:pPr>
        <w:pStyle w:val="BodyText"/>
        <w:spacing w:before="2"/>
        <w:rPr>
          <w:b/>
          <w:sz w:val="22"/>
        </w:rPr>
      </w:pPr>
    </w:p>
    <w:p>
      <w:pPr>
        <w:pStyle w:val="ListParagraph"/>
        <w:numPr>
          <w:ilvl w:val="1"/>
          <w:numId w:val="192"/>
        </w:numPr>
        <w:tabs>
          <w:tab w:pos="1233" w:val="left" w:leader="none"/>
          <w:tab w:pos="1234" w:val="left" w:leader="none"/>
          <w:tab w:pos="8256" w:val="left" w:leader="none"/>
        </w:tabs>
        <w:spacing w:line="273" w:lineRule="auto" w:before="0" w:after="0"/>
        <w:ind w:left="513" w:right="1943" w:firstLine="0"/>
        <w:jc w:val="left"/>
        <w:rPr>
          <w:sz w:val="18"/>
        </w:rPr>
      </w:pPr>
      <w:r>
        <w:rPr>
          <w:color w:val="231F20"/>
          <w:w w:val="110"/>
          <w:sz w:val="18"/>
        </w:rPr>
        <w:t>Model forms have been prepared to assist those concerned with the Procedure. The</w:t>
      </w:r>
      <w:r>
        <w:rPr>
          <w:color w:val="231F20"/>
          <w:spacing w:val="10"/>
          <w:w w:val="110"/>
          <w:sz w:val="18"/>
        </w:rPr>
        <w:t> </w:t>
      </w:r>
      <w:r>
        <w:rPr>
          <w:color w:val="231F20"/>
          <w:w w:val="110"/>
          <w:sz w:val="18"/>
        </w:rPr>
        <w:t>forms</w:t>
      </w:r>
      <w:r>
        <w:rPr>
          <w:color w:val="231F20"/>
          <w:spacing w:val="11"/>
          <w:w w:val="110"/>
          <w:sz w:val="18"/>
        </w:rPr>
        <w:t> </w:t>
      </w:r>
      <w:r>
        <w:rPr>
          <w:color w:val="231F20"/>
          <w:w w:val="110"/>
          <w:sz w:val="18"/>
        </w:rPr>
        <w:t>may</w:t>
      </w:r>
      <w:r>
        <w:rPr>
          <w:color w:val="231F20"/>
          <w:spacing w:val="10"/>
          <w:w w:val="110"/>
          <w:sz w:val="18"/>
        </w:rPr>
        <w:t> </w:t>
      </w:r>
      <w:r>
        <w:rPr>
          <w:color w:val="231F20"/>
          <w:w w:val="110"/>
          <w:sz w:val="18"/>
        </w:rPr>
        <w:t>be</w:t>
      </w:r>
      <w:r>
        <w:rPr>
          <w:color w:val="231F20"/>
          <w:spacing w:val="11"/>
          <w:w w:val="110"/>
          <w:sz w:val="18"/>
        </w:rPr>
        <w:t> </w:t>
      </w:r>
      <w:r>
        <w:rPr>
          <w:color w:val="231F20"/>
          <w:w w:val="110"/>
          <w:sz w:val="18"/>
        </w:rPr>
        <w:t>amended</w:t>
      </w:r>
      <w:r>
        <w:rPr>
          <w:color w:val="231F20"/>
          <w:spacing w:val="11"/>
          <w:w w:val="110"/>
          <w:sz w:val="18"/>
        </w:rPr>
        <w:t> </w:t>
      </w:r>
      <w:r>
        <w:rPr>
          <w:color w:val="231F20"/>
          <w:spacing w:val="2"/>
          <w:w w:val="110"/>
          <w:sz w:val="18"/>
        </w:rPr>
        <w:t>from</w:t>
      </w:r>
      <w:r>
        <w:rPr>
          <w:color w:val="231F20"/>
          <w:spacing w:val="10"/>
          <w:w w:val="110"/>
          <w:sz w:val="18"/>
        </w:rPr>
        <w:t> </w:t>
      </w:r>
      <w:r>
        <w:rPr>
          <w:color w:val="231F20"/>
          <w:w w:val="110"/>
          <w:sz w:val="18"/>
        </w:rPr>
        <w:t>time</w:t>
      </w:r>
      <w:r>
        <w:rPr>
          <w:color w:val="231F20"/>
          <w:spacing w:val="11"/>
          <w:w w:val="110"/>
          <w:sz w:val="18"/>
        </w:rPr>
        <w:t> </w:t>
      </w:r>
      <w:r>
        <w:rPr>
          <w:color w:val="231F20"/>
          <w:w w:val="110"/>
          <w:sz w:val="18"/>
        </w:rPr>
        <w:t>to</w:t>
      </w:r>
      <w:r>
        <w:rPr>
          <w:color w:val="231F20"/>
          <w:spacing w:val="11"/>
          <w:w w:val="110"/>
          <w:sz w:val="18"/>
        </w:rPr>
        <w:t> </w:t>
      </w:r>
      <w:r>
        <w:rPr>
          <w:color w:val="231F20"/>
          <w:w w:val="110"/>
          <w:sz w:val="18"/>
        </w:rPr>
        <w:t>time</w:t>
      </w:r>
      <w:r>
        <w:rPr>
          <w:color w:val="231F20"/>
          <w:spacing w:val="10"/>
          <w:w w:val="110"/>
          <w:sz w:val="18"/>
        </w:rPr>
        <w:t> </w:t>
      </w:r>
      <w:r>
        <w:rPr>
          <w:color w:val="231F20"/>
          <w:w w:val="110"/>
          <w:sz w:val="18"/>
        </w:rPr>
        <w:t>and</w:t>
      </w:r>
      <w:r>
        <w:rPr>
          <w:color w:val="231F20"/>
          <w:spacing w:val="11"/>
          <w:w w:val="110"/>
          <w:sz w:val="18"/>
        </w:rPr>
        <w:t> </w:t>
      </w:r>
      <w:r>
        <w:rPr>
          <w:color w:val="231F20"/>
          <w:w w:val="110"/>
          <w:sz w:val="18"/>
        </w:rPr>
        <w:t>new</w:t>
      </w:r>
      <w:r>
        <w:rPr>
          <w:color w:val="231F20"/>
          <w:spacing w:val="11"/>
          <w:w w:val="110"/>
          <w:sz w:val="18"/>
        </w:rPr>
        <w:t> </w:t>
      </w:r>
      <w:r>
        <w:rPr>
          <w:color w:val="231F20"/>
          <w:w w:val="110"/>
          <w:sz w:val="18"/>
        </w:rPr>
        <w:t>forms</w:t>
      </w:r>
      <w:r>
        <w:rPr>
          <w:color w:val="231F20"/>
          <w:spacing w:val="10"/>
          <w:w w:val="110"/>
          <w:sz w:val="18"/>
        </w:rPr>
        <w:t> </w:t>
      </w:r>
      <w:r>
        <w:rPr>
          <w:color w:val="231F20"/>
          <w:w w:val="110"/>
          <w:sz w:val="18"/>
        </w:rPr>
        <w:t>introduced.</w:t>
        <w:tab/>
        <w:t>Use of the model forms is not compulsory and minor variations in the wording will not invalidate them, but it is strongly recommended that the model forms be used and followed as closely as possible to avoid confusion and to ensure that all relevant information is supplied at the proper</w:t>
      </w:r>
      <w:r>
        <w:rPr>
          <w:color w:val="231F20"/>
          <w:spacing w:val="4"/>
          <w:w w:val="110"/>
          <w:sz w:val="18"/>
        </w:rPr>
        <w:t> </w:t>
      </w:r>
      <w:r>
        <w:rPr>
          <w:color w:val="231F20"/>
          <w:w w:val="110"/>
          <w:sz w:val="18"/>
        </w:rPr>
        <w:t>time.</w:t>
      </w:r>
    </w:p>
    <w:p>
      <w:pPr>
        <w:spacing w:after="0" w:line="273" w:lineRule="auto"/>
        <w:jc w:val="left"/>
        <w:rPr>
          <w:sz w:val="18"/>
        </w:rPr>
        <w:sectPr>
          <w:pgSz w:w="11910" w:h="16840"/>
          <w:pgMar w:header="558" w:footer="564" w:top="820" w:bottom="760" w:left="620" w:right="0"/>
        </w:sectPr>
      </w:pPr>
    </w:p>
    <w:p>
      <w:pPr>
        <w:pStyle w:val="BodyText"/>
        <w:spacing w:before="9"/>
        <w:rPr>
          <w:sz w:val="13"/>
        </w:rPr>
      </w:pPr>
    </w:p>
    <w:p>
      <w:pPr>
        <w:pStyle w:val="ListParagraph"/>
        <w:numPr>
          <w:ilvl w:val="1"/>
          <w:numId w:val="192"/>
        </w:numPr>
        <w:tabs>
          <w:tab w:pos="1800" w:val="left" w:leader="none"/>
          <w:tab w:pos="1801" w:val="left" w:leader="none"/>
        </w:tabs>
        <w:spacing w:line="273" w:lineRule="auto" w:before="101" w:after="0"/>
        <w:ind w:left="1080" w:right="1360" w:firstLine="0"/>
        <w:jc w:val="left"/>
        <w:rPr>
          <w:sz w:val="18"/>
        </w:rPr>
      </w:pPr>
      <w:r>
        <w:rPr>
          <w:color w:val="231F20"/>
          <w:w w:val="110"/>
          <w:sz w:val="18"/>
        </w:rPr>
        <w:t>Any form, </w:t>
      </w:r>
      <w:r>
        <w:rPr>
          <w:color w:val="231F20"/>
          <w:spacing w:val="2"/>
          <w:w w:val="110"/>
          <w:sz w:val="18"/>
        </w:rPr>
        <w:t>letter </w:t>
      </w:r>
      <w:r>
        <w:rPr>
          <w:color w:val="231F20"/>
          <w:w w:val="110"/>
          <w:sz w:val="18"/>
        </w:rPr>
        <w:t>or other document required to be sent or delivered to a </w:t>
      </w:r>
      <w:r>
        <w:rPr>
          <w:color w:val="231F20"/>
          <w:spacing w:val="2"/>
          <w:w w:val="110"/>
          <w:sz w:val="18"/>
        </w:rPr>
        <w:t>person </w:t>
      </w:r>
      <w:r>
        <w:rPr>
          <w:color w:val="231F20"/>
          <w:w w:val="110"/>
          <w:sz w:val="18"/>
        </w:rPr>
        <w:t>under the Procedure shall be assumed to have been received by that </w:t>
      </w:r>
      <w:r>
        <w:rPr>
          <w:color w:val="231F20"/>
          <w:spacing w:val="2"/>
          <w:w w:val="110"/>
          <w:sz w:val="18"/>
        </w:rPr>
        <w:t>person </w:t>
      </w:r>
      <w:r>
        <w:rPr>
          <w:color w:val="231F20"/>
          <w:w w:val="110"/>
          <w:sz w:val="18"/>
        </w:rPr>
        <w:t>if sent or delivered in any of the following</w:t>
      </w:r>
      <w:r>
        <w:rPr>
          <w:color w:val="231F20"/>
          <w:spacing w:val="8"/>
          <w:w w:val="110"/>
          <w:sz w:val="18"/>
        </w:rPr>
        <w:t> </w:t>
      </w:r>
      <w:r>
        <w:rPr>
          <w:color w:val="231F20"/>
          <w:spacing w:val="-3"/>
          <w:w w:val="110"/>
          <w:sz w:val="18"/>
        </w:rPr>
        <w:t>ways:</w:t>
      </w:r>
    </w:p>
    <w:p>
      <w:pPr>
        <w:pStyle w:val="BodyText"/>
        <w:spacing w:before="8"/>
        <w:rPr>
          <w:sz w:val="20"/>
        </w:rPr>
      </w:pPr>
    </w:p>
    <w:p>
      <w:pPr>
        <w:pStyle w:val="ListParagraph"/>
        <w:numPr>
          <w:ilvl w:val="2"/>
          <w:numId w:val="192"/>
        </w:numPr>
        <w:tabs>
          <w:tab w:pos="1801" w:val="left" w:leader="none"/>
        </w:tabs>
        <w:spacing w:line="240" w:lineRule="auto" w:before="0" w:after="0"/>
        <w:ind w:left="1800" w:right="0" w:hanging="721"/>
        <w:jc w:val="left"/>
        <w:rPr>
          <w:sz w:val="18"/>
        </w:rPr>
      </w:pPr>
      <w:r>
        <w:rPr>
          <w:color w:val="231F20"/>
          <w:w w:val="110"/>
          <w:sz w:val="18"/>
        </w:rPr>
        <w:t>By delivering the same personally to the </w:t>
      </w:r>
      <w:r>
        <w:rPr>
          <w:color w:val="231F20"/>
          <w:spacing w:val="2"/>
          <w:w w:val="110"/>
          <w:sz w:val="18"/>
        </w:rPr>
        <w:t>person </w:t>
      </w:r>
      <w:r>
        <w:rPr>
          <w:color w:val="231F20"/>
          <w:w w:val="110"/>
          <w:sz w:val="18"/>
        </w:rPr>
        <w:t>concerned</w:t>
      </w:r>
      <w:r>
        <w:rPr>
          <w:color w:val="231F20"/>
          <w:spacing w:val="22"/>
          <w:w w:val="110"/>
          <w:sz w:val="18"/>
        </w:rPr>
        <w:t> </w:t>
      </w:r>
      <w:r>
        <w:rPr>
          <w:color w:val="231F20"/>
          <w:w w:val="110"/>
          <w:sz w:val="18"/>
        </w:rPr>
        <w:t>or</w:t>
      </w:r>
    </w:p>
    <w:p>
      <w:pPr>
        <w:pStyle w:val="BodyText"/>
        <w:spacing w:before="2"/>
        <w:rPr>
          <w:sz w:val="23"/>
        </w:rPr>
      </w:pPr>
    </w:p>
    <w:p>
      <w:pPr>
        <w:pStyle w:val="ListParagraph"/>
        <w:numPr>
          <w:ilvl w:val="2"/>
          <w:numId w:val="192"/>
        </w:numPr>
        <w:tabs>
          <w:tab w:pos="1801" w:val="left" w:leader="none"/>
        </w:tabs>
        <w:spacing w:line="273" w:lineRule="auto" w:before="0" w:after="0"/>
        <w:ind w:left="1080" w:right="1315" w:firstLine="0"/>
        <w:jc w:val="left"/>
        <w:rPr>
          <w:sz w:val="18"/>
        </w:rPr>
      </w:pPr>
      <w:r>
        <w:rPr>
          <w:color w:val="231F20"/>
          <w:w w:val="110"/>
          <w:sz w:val="18"/>
        </w:rPr>
        <w:t>By delivering the same or sending it by first class pre-paid post or by Recorded Delivery post </w:t>
      </w:r>
      <w:r>
        <w:rPr>
          <w:color w:val="231F20"/>
          <w:spacing w:val="2"/>
          <w:w w:val="110"/>
          <w:sz w:val="18"/>
        </w:rPr>
        <w:t>addressed </w:t>
      </w:r>
      <w:r>
        <w:rPr>
          <w:color w:val="231F20"/>
          <w:w w:val="110"/>
          <w:sz w:val="18"/>
        </w:rPr>
        <w:t>to the last known address of the </w:t>
      </w:r>
      <w:r>
        <w:rPr>
          <w:color w:val="231F20"/>
          <w:spacing w:val="2"/>
          <w:w w:val="110"/>
          <w:sz w:val="18"/>
        </w:rPr>
        <w:t>person </w:t>
      </w:r>
      <w:r>
        <w:rPr>
          <w:color w:val="231F20"/>
          <w:w w:val="110"/>
          <w:sz w:val="18"/>
        </w:rPr>
        <w:t>concerned in a sealed envelope </w:t>
      </w:r>
      <w:r>
        <w:rPr>
          <w:color w:val="231F20"/>
          <w:spacing w:val="2"/>
          <w:w w:val="110"/>
          <w:sz w:val="18"/>
        </w:rPr>
        <w:t>addressed </w:t>
      </w:r>
      <w:r>
        <w:rPr>
          <w:color w:val="231F20"/>
          <w:w w:val="110"/>
          <w:sz w:val="18"/>
        </w:rPr>
        <w:t>to that </w:t>
      </w:r>
      <w:r>
        <w:rPr>
          <w:color w:val="231F20"/>
          <w:spacing w:val="2"/>
          <w:w w:val="110"/>
          <w:sz w:val="18"/>
        </w:rPr>
        <w:t>person</w:t>
      </w:r>
      <w:r>
        <w:rPr>
          <w:color w:val="231F20"/>
          <w:spacing w:val="4"/>
          <w:w w:val="110"/>
          <w:sz w:val="18"/>
        </w:rPr>
        <w:t> </w:t>
      </w:r>
      <w:r>
        <w:rPr>
          <w:color w:val="231F20"/>
          <w:w w:val="110"/>
          <w:sz w:val="18"/>
        </w:rPr>
        <w:t>or</w:t>
      </w:r>
    </w:p>
    <w:p>
      <w:pPr>
        <w:pStyle w:val="BodyText"/>
        <w:spacing w:before="9"/>
        <w:rPr>
          <w:sz w:val="20"/>
        </w:rPr>
      </w:pPr>
    </w:p>
    <w:p>
      <w:pPr>
        <w:pStyle w:val="ListParagraph"/>
        <w:numPr>
          <w:ilvl w:val="2"/>
          <w:numId w:val="192"/>
        </w:numPr>
        <w:tabs>
          <w:tab w:pos="1801" w:val="left" w:leader="none"/>
        </w:tabs>
        <w:spacing w:line="273" w:lineRule="auto" w:before="0" w:after="0"/>
        <w:ind w:left="1080" w:right="2171" w:firstLine="0"/>
        <w:jc w:val="both"/>
        <w:rPr>
          <w:sz w:val="18"/>
        </w:rPr>
      </w:pPr>
      <w:r>
        <w:rPr>
          <w:color w:val="231F20"/>
          <w:w w:val="110"/>
          <w:sz w:val="18"/>
        </w:rPr>
        <w:t>In such other manner as the Review Commission or the Appeals Review Commission (in the latter </w:t>
      </w:r>
      <w:r>
        <w:rPr>
          <w:color w:val="231F20"/>
          <w:spacing w:val="2"/>
          <w:w w:val="110"/>
          <w:sz w:val="18"/>
        </w:rPr>
        <w:t>case </w:t>
      </w:r>
      <w:r>
        <w:rPr>
          <w:color w:val="231F20"/>
          <w:w w:val="110"/>
          <w:sz w:val="18"/>
        </w:rPr>
        <w:t>if the sending or delivery relates to the Appeals Procedure) may </w:t>
      </w:r>
      <w:r>
        <w:rPr>
          <w:color w:val="231F20"/>
          <w:spacing w:val="2"/>
          <w:w w:val="110"/>
          <w:sz w:val="18"/>
        </w:rPr>
        <w:t>direct </w:t>
      </w:r>
      <w:r>
        <w:rPr>
          <w:color w:val="231F20"/>
          <w:w w:val="110"/>
          <w:sz w:val="18"/>
        </w:rPr>
        <w:t>having regard to the</w:t>
      </w:r>
      <w:r>
        <w:rPr>
          <w:color w:val="231F20"/>
          <w:spacing w:val="21"/>
          <w:w w:val="110"/>
          <w:sz w:val="18"/>
        </w:rPr>
        <w:t> </w:t>
      </w:r>
      <w:r>
        <w:rPr>
          <w:color w:val="231F20"/>
          <w:w w:val="110"/>
          <w:sz w:val="18"/>
        </w:rPr>
        <w:t>circumstances.</w:t>
      </w:r>
    </w:p>
    <w:p>
      <w:pPr>
        <w:pStyle w:val="BodyText"/>
        <w:spacing w:before="9"/>
        <w:rPr>
          <w:sz w:val="20"/>
        </w:rPr>
      </w:pPr>
    </w:p>
    <w:p>
      <w:pPr>
        <w:pStyle w:val="ListParagraph"/>
        <w:numPr>
          <w:ilvl w:val="1"/>
          <w:numId w:val="192"/>
        </w:numPr>
        <w:tabs>
          <w:tab w:pos="1871" w:val="left" w:leader="none"/>
          <w:tab w:pos="1872" w:val="left" w:leader="none"/>
        </w:tabs>
        <w:spacing w:line="273" w:lineRule="auto" w:before="0" w:after="0"/>
        <w:ind w:left="1080" w:right="1204" w:firstLine="0"/>
        <w:jc w:val="left"/>
        <w:rPr>
          <w:sz w:val="18"/>
        </w:rPr>
      </w:pPr>
      <w:r>
        <w:rPr>
          <w:color w:val="231F20"/>
          <w:w w:val="110"/>
          <w:sz w:val="18"/>
        </w:rPr>
        <w:t>Any form, </w:t>
      </w:r>
      <w:r>
        <w:rPr>
          <w:color w:val="231F20"/>
          <w:spacing w:val="2"/>
          <w:w w:val="110"/>
          <w:sz w:val="18"/>
        </w:rPr>
        <w:t>letter </w:t>
      </w:r>
      <w:r>
        <w:rPr>
          <w:color w:val="231F20"/>
          <w:w w:val="110"/>
          <w:sz w:val="18"/>
        </w:rPr>
        <w:t>or document required to be sent or delivered to the </w:t>
      </w:r>
      <w:r>
        <w:rPr>
          <w:color w:val="231F20"/>
          <w:spacing w:val="3"/>
          <w:w w:val="110"/>
          <w:sz w:val="18"/>
        </w:rPr>
        <w:t>Secretary   </w:t>
      </w:r>
      <w:r>
        <w:rPr>
          <w:color w:val="231F20"/>
          <w:w w:val="110"/>
          <w:sz w:val="18"/>
        </w:rPr>
        <w:t>of the Review Commission or on the General </w:t>
      </w:r>
      <w:r>
        <w:rPr>
          <w:color w:val="231F20"/>
          <w:spacing w:val="3"/>
          <w:w w:val="110"/>
          <w:sz w:val="18"/>
        </w:rPr>
        <w:t>Secretary </w:t>
      </w:r>
      <w:r>
        <w:rPr>
          <w:color w:val="231F20"/>
          <w:w w:val="110"/>
          <w:sz w:val="18"/>
        </w:rPr>
        <w:t>(in the </w:t>
      </w:r>
      <w:r>
        <w:rPr>
          <w:color w:val="231F20"/>
          <w:spacing w:val="2"/>
          <w:w w:val="110"/>
          <w:sz w:val="18"/>
        </w:rPr>
        <w:t>case </w:t>
      </w:r>
      <w:r>
        <w:rPr>
          <w:color w:val="231F20"/>
          <w:w w:val="110"/>
          <w:sz w:val="18"/>
        </w:rPr>
        <w:t>of an appeal) shall  be delivered or sent by first class pre-paid post or by Recorded Delivery post </w:t>
      </w:r>
      <w:r>
        <w:rPr>
          <w:color w:val="231F20"/>
          <w:spacing w:val="2"/>
          <w:w w:val="110"/>
          <w:sz w:val="18"/>
        </w:rPr>
        <w:t>addressed</w:t>
      </w:r>
      <w:r>
        <w:rPr>
          <w:color w:val="231F20"/>
          <w:spacing w:val="73"/>
          <w:w w:val="110"/>
          <w:sz w:val="18"/>
        </w:rPr>
        <w:t> </w:t>
      </w:r>
      <w:r>
        <w:rPr>
          <w:color w:val="231F20"/>
          <w:w w:val="110"/>
          <w:sz w:val="18"/>
        </w:rPr>
        <w:t>to the </w:t>
      </w:r>
      <w:r>
        <w:rPr>
          <w:color w:val="231F20"/>
          <w:spacing w:val="3"/>
          <w:w w:val="110"/>
          <w:sz w:val="18"/>
        </w:rPr>
        <w:t>Secretary </w:t>
      </w:r>
      <w:r>
        <w:rPr>
          <w:color w:val="231F20"/>
          <w:w w:val="110"/>
          <w:sz w:val="18"/>
        </w:rPr>
        <w:t>of the Review Commission or the General </w:t>
      </w:r>
      <w:r>
        <w:rPr>
          <w:color w:val="231F20"/>
          <w:spacing w:val="3"/>
          <w:w w:val="110"/>
          <w:sz w:val="18"/>
        </w:rPr>
        <w:t>Secretary </w:t>
      </w:r>
      <w:r>
        <w:rPr>
          <w:color w:val="231F20"/>
          <w:w w:val="110"/>
          <w:sz w:val="18"/>
        </w:rPr>
        <w:t>as the </w:t>
      </w:r>
      <w:r>
        <w:rPr>
          <w:color w:val="231F20"/>
          <w:spacing w:val="2"/>
          <w:w w:val="110"/>
          <w:sz w:val="18"/>
        </w:rPr>
        <w:t>case </w:t>
      </w:r>
      <w:r>
        <w:rPr>
          <w:color w:val="231F20"/>
          <w:w w:val="110"/>
          <w:sz w:val="18"/>
        </w:rPr>
        <w:t>may   be at the address given in the current issue of the </w:t>
      </w:r>
      <w:r>
        <w:rPr>
          <w:color w:val="231F20"/>
          <w:spacing w:val="-3"/>
          <w:w w:val="110"/>
          <w:sz w:val="18"/>
        </w:rPr>
        <w:t>Year </w:t>
      </w:r>
      <w:r>
        <w:rPr>
          <w:color w:val="231F20"/>
          <w:w w:val="110"/>
          <w:sz w:val="18"/>
        </w:rPr>
        <w:t>Book or subsequently notified or (in the absence of any such address in the </w:t>
      </w:r>
      <w:r>
        <w:rPr>
          <w:color w:val="231F20"/>
          <w:spacing w:val="-3"/>
          <w:w w:val="110"/>
          <w:sz w:val="18"/>
        </w:rPr>
        <w:t>Year </w:t>
      </w:r>
      <w:r>
        <w:rPr>
          <w:color w:val="231F20"/>
          <w:w w:val="110"/>
          <w:sz w:val="18"/>
        </w:rPr>
        <w:t>Book) in an envelope </w:t>
      </w:r>
      <w:r>
        <w:rPr>
          <w:color w:val="231F20"/>
          <w:spacing w:val="2"/>
          <w:w w:val="110"/>
          <w:sz w:val="18"/>
        </w:rPr>
        <w:t>addressed </w:t>
      </w:r>
      <w:r>
        <w:rPr>
          <w:color w:val="231F20"/>
          <w:w w:val="110"/>
          <w:sz w:val="18"/>
        </w:rPr>
        <w:t>to that </w:t>
      </w:r>
      <w:r>
        <w:rPr>
          <w:color w:val="231F20"/>
          <w:spacing w:val="2"/>
          <w:w w:val="110"/>
          <w:sz w:val="18"/>
        </w:rPr>
        <w:t>person </w:t>
      </w:r>
      <w:r>
        <w:rPr>
          <w:color w:val="231F20"/>
          <w:w w:val="110"/>
          <w:sz w:val="18"/>
        </w:rPr>
        <w:t>at Church House, 86 Tavistock Place, London </w:t>
      </w:r>
      <w:r>
        <w:rPr>
          <w:color w:val="231F20"/>
          <w:spacing w:val="-3"/>
          <w:w w:val="110"/>
          <w:sz w:val="18"/>
        </w:rPr>
        <w:t>WC1H </w:t>
      </w:r>
      <w:r>
        <w:rPr>
          <w:color w:val="231F20"/>
          <w:w w:val="110"/>
          <w:sz w:val="18"/>
        </w:rPr>
        <w:t>9RT and marked “Ministerial Incapacity</w:t>
      </w:r>
      <w:r>
        <w:rPr>
          <w:color w:val="231F20"/>
          <w:spacing w:val="1"/>
          <w:w w:val="110"/>
          <w:sz w:val="18"/>
        </w:rPr>
        <w:t> </w:t>
      </w:r>
      <w:r>
        <w:rPr>
          <w:color w:val="231F20"/>
          <w:w w:val="110"/>
          <w:sz w:val="18"/>
        </w:rPr>
        <w:t>Process”.</w:t>
      </w:r>
    </w:p>
    <w:p>
      <w:pPr>
        <w:pStyle w:val="BodyText"/>
        <w:rPr>
          <w:sz w:val="21"/>
        </w:rPr>
      </w:pPr>
    </w:p>
    <w:p>
      <w:pPr>
        <w:pStyle w:val="ListParagraph"/>
        <w:numPr>
          <w:ilvl w:val="1"/>
          <w:numId w:val="192"/>
        </w:numPr>
        <w:tabs>
          <w:tab w:pos="1800" w:val="left" w:leader="none"/>
          <w:tab w:pos="1801" w:val="left" w:leader="none"/>
        </w:tabs>
        <w:spacing w:line="240" w:lineRule="auto" w:before="0" w:after="0"/>
        <w:ind w:left="1800" w:right="0" w:hanging="721"/>
        <w:jc w:val="left"/>
        <w:rPr>
          <w:sz w:val="18"/>
        </w:rPr>
      </w:pPr>
      <w:r>
        <w:rPr>
          <w:color w:val="231F20"/>
          <w:w w:val="110"/>
          <w:sz w:val="18"/>
        </w:rPr>
        <w:t>All documents required to be </w:t>
      </w:r>
      <w:r>
        <w:rPr>
          <w:color w:val="231F20"/>
          <w:spacing w:val="2"/>
          <w:w w:val="110"/>
          <w:sz w:val="18"/>
        </w:rPr>
        <w:t>served </w:t>
      </w:r>
      <w:r>
        <w:rPr>
          <w:color w:val="231F20"/>
          <w:w w:val="110"/>
          <w:sz w:val="18"/>
        </w:rPr>
        <w:t>shall be placed in a sealed envelope</w:t>
      </w:r>
      <w:r>
        <w:rPr>
          <w:color w:val="231F20"/>
          <w:spacing w:val="63"/>
          <w:w w:val="110"/>
          <w:sz w:val="18"/>
        </w:rPr>
        <w:t> </w:t>
      </w:r>
      <w:r>
        <w:rPr>
          <w:color w:val="231F20"/>
          <w:w w:val="110"/>
          <w:sz w:val="18"/>
        </w:rPr>
        <w:t>clearly</w:t>
      </w:r>
    </w:p>
    <w:p>
      <w:pPr>
        <w:pStyle w:val="BodyText"/>
        <w:spacing w:before="31"/>
        <w:ind w:left="1080"/>
      </w:pPr>
      <w:r>
        <w:rPr>
          <w:color w:val="231F20"/>
          <w:w w:val="110"/>
        </w:rPr>
        <w:t>addressed to the addressee and marked “Private and Confidential”.</w:t>
      </w:r>
    </w:p>
    <w:p>
      <w:pPr>
        <w:pStyle w:val="BodyText"/>
        <w:spacing w:before="2"/>
        <w:rPr>
          <w:sz w:val="23"/>
        </w:rPr>
      </w:pPr>
    </w:p>
    <w:p>
      <w:pPr>
        <w:pStyle w:val="ListParagraph"/>
        <w:numPr>
          <w:ilvl w:val="1"/>
          <w:numId w:val="192"/>
        </w:numPr>
        <w:tabs>
          <w:tab w:pos="1801" w:val="left" w:leader="none"/>
        </w:tabs>
        <w:spacing w:line="273" w:lineRule="auto" w:before="0" w:after="0"/>
        <w:ind w:left="1080" w:right="1589" w:firstLine="0"/>
        <w:jc w:val="both"/>
        <w:rPr>
          <w:sz w:val="18"/>
        </w:rPr>
      </w:pPr>
      <w:r>
        <w:rPr>
          <w:color w:val="231F20"/>
          <w:w w:val="110"/>
          <w:sz w:val="18"/>
        </w:rPr>
        <w:t>Where any form, </w:t>
      </w:r>
      <w:r>
        <w:rPr>
          <w:color w:val="231F20"/>
          <w:spacing w:val="2"/>
          <w:w w:val="110"/>
          <w:sz w:val="18"/>
        </w:rPr>
        <w:t>letter </w:t>
      </w:r>
      <w:r>
        <w:rPr>
          <w:color w:val="231F20"/>
          <w:w w:val="110"/>
          <w:sz w:val="18"/>
        </w:rPr>
        <w:t>or other document is sent by first class pre-paid post, it shall be assumed to have been received by the recipient on the third day </w:t>
      </w:r>
      <w:r>
        <w:rPr>
          <w:color w:val="231F20"/>
          <w:spacing w:val="2"/>
          <w:w w:val="110"/>
          <w:sz w:val="18"/>
        </w:rPr>
        <w:t>after </w:t>
      </w:r>
      <w:r>
        <w:rPr>
          <w:color w:val="231F20"/>
          <w:w w:val="110"/>
          <w:sz w:val="18"/>
        </w:rPr>
        <w:t>the posting of the</w:t>
      </w:r>
      <w:r>
        <w:rPr>
          <w:color w:val="231F20"/>
          <w:spacing w:val="3"/>
          <w:w w:val="110"/>
          <w:sz w:val="18"/>
        </w:rPr>
        <w:t> </w:t>
      </w:r>
      <w:r>
        <w:rPr>
          <w:color w:val="231F20"/>
          <w:w w:val="110"/>
          <w:sz w:val="18"/>
        </w:rPr>
        <w:t>same.</w:t>
      </w:r>
    </w:p>
    <w:p>
      <w:pPr>
        <w:pStyle w:val="BodyText"/>
        <w:spacing w:before="8"/>
        <w:rPr>
          <w:sz w:val="20"/>
        </w:rPr>
      </w:pPr>
    </w:p>
    <w:p>
      <w:pPr>
        <w:pStyle w:val="ListParagraph"/>
        <w:numPr>
          <w:ilvl w:val="1"/>
          <w:numId w:val="192"/>
        </w:numPr>
        <w:tabs>
          <w:tab w:pos="1800" w:val="left" w:leader="none"/>
          <w:tab w:pos="1801" w:val="left" w:leader="none"/>
        </w:tabs>
        <w:spacing w:line="273" w:lineRule="auto" w:before="1" w:after="0"/>
        <w:ind w:left="1080" w:right="1540" w:firstLine="0"/>
        <w:jc w:val="left"/>
        <w:rPr>
          <w:sz w:val="18"/>
        </w:rPr>
      </w:pPr>
      <w:r>
        <w:rPr>
          <w:color w:val="231F20"/>
          <w:w w:val="110"/>
          <w:sz w:val="18"/>
        </w:rPr>
        <w:t>Where any issue or question of procedure arises whilst the matter is under   the jurisdiction of the Review Commission or the Appeals Review Commission, that Commission shall resolve each such issue or question or give such directions as shall appear to it to be just and appropriate in the</w:t>
      </w:r>
      <w:r>
        <w:rPr>
          <w:color w:val="231F20"/>
          <w:spacing w:val="30"/>
          <w:w w:val="110"/>
          <w:sz w:val="18"/>
        </w:rPr>
        <w:t> </w:t>
      </w:r>
      <w:r>
        <w:rPr>
          <w:color w:val="231F20"/>
          <w:w w:val="110"/>
          <w:sz w:val="18"/>
        </w:rPr>
        <w:t>circumstances.</w:t>
      </w:r>
    </w:p>
    <w:p>
      <w:pPr>
        <w:pStyle w:val="BodyText"/>
        <w:spacing w:before="9"/>
        <w:rPr>
          <w:sz w:val="20"/>
        </w:rPr>
      </w:pPr>
    </w:p>
    <w:p>
      <w:pPr>
        <w:pStyle w:val="ListParagraph"/>
        <w:numPr>
          <w:ilvl w:val="1"/>
          <w:numId w:val="192"/>
        </w:numPr>
        <w:tabs>
          <w:tab w:pos="1800" w:val="left" w:leader="none"/>
          <w:tab w:pos="1801" w:val="left" w:leader="none"/>
        </w:tabs>
        <w:spacing w:line="273" w:lineRule="auto" w:before="0" w:after="0"/>
        <w:ind w:left="1080" w:right="1373" w:firstLine="0"/>
        <w:jc w:val="left"/>
        <w:rPr>
          <w:sz w:val="18"/>
        </w:rPr>
      </w:pPr>
      <w:r>
        <w:rPr>
          <w:color w:val="231F20"/>
          <w:w w:val="110"/>
          <w:sz w:val="18"/>
        </w:rPr>
        <w:t>Deletion as a result of the Ministerial Incapacity Procedure shall have the </w:t>
      </w:r>
      <w:r>
        <w:rPr>
          <w:color w:val="231F20"/>
          <w:spacing w:val="3"/>
          <w:w w:val="110"/>
          <w:sz w:val="18"/>
        </w:rPr>
        <w:t>effect </w:t>
      </w:r>
      <w:r>
        <w:rPr>
          <w:color w:val="231F20"/>
          <w:w w:val="110"/>
          <w:sz w:val="18"/>
        </w:rPr>
        <w:t>of terminating any contract, </w:t>
      </w:r>
      <w:r>
        <w:rPr>
          <w:color w:val="231F20"/>
          <w:spacing w:val="2"/>
          <w:w w:val="110"/>
          <w:sz w:val="18"/>
        </w:rPr>
        <w:t>written </w:t>
      </w:r>
      <w:r>
        <w:rPr>
          <w:color w:val="231F20"/>
          <w:w w:val="110"/>
          <w:sz w:val="18"/>
        </w:rPr>
        <w:t>or oral, between the Minister and the United Reformed Church or any constituent </w:t>
      </w:r>
      <w:r>
        <w:rPr>
          <w:color w:val="231F20"/>
          <w:spacing w:val="2"/>
          <w:w w:val="110"/>
          <w:sz w:val="18"/>
        </w:rPr>
        <w:t>part </w:t>
      </w:r>
      <w:r>
        <w:rPr>
          <w:color w:val="231F20"/>
          <w:w w:val="110"/>
          <w:sz w:val="18"/>
        </w:rPr>
        <w:t>thereof in relation to his/her</w:t>
      </w:r>
      <w:r>
        <w:rPr>
          <w:color w:val="231F20"/>
          <w:spacing w:val="5"/>
          <w:w w:val="110"/>
          <w:sz w:val="18"/>
        </w:rPr>
        <w:t> </w:t>
      </w:r>
      <w:r>
        <w:rPr>
          <w:color w:val="231F20"/>
          <w:w w:val="110"/>
          <w:sz w:val="18"/>
        </w:rPr>
        <w:t>ministry.</w:t>
      </w:r>
    </w:p>
    <w:p>
      <w:pPr>
        <w:pStyle w:val="BodyText"/>
        <w:rPr>
          <w:sz w:val="19"/>
        </w:rPr>
      </w:pPr>
    </w:p>
    <w:p>
      <w:pPr>
        <w:numPr>
          <w:ilvl w:val="0"/>
          <w:numId w:val="192"/>
        </w:numPr>
        <w:tabs>
          <w:tab w:pos="1800" w:val="left" w:leader="none"/>
          <w:tab w:pos="1801" w:val="left" w:leader="none"/>
        </w:tabs>
        <w:spacing w:line="247" w:lineRule="auto" w:before="0"/>
        <w:ind w:left="1800" w:right="1914" w:hanging="721"/>
        <w:jc w:val="left"/>
        <w:rPr>
          <w:b/>
          <w:sz w:val="20"/>
        </w:rPr>
      </w:pPr>
      <w:r>
        <w:rPr>
          <w:b/>
          <w:color w:val="231F20"/>
          <w:w w:val="110"/>
          <w:sz w:val="20"/>
        </w:rPr>
        <w:t>REPORT TO </w:t>
      </w:r>
      <w:r>
        <w:rPr>
          <w:b/>
          <w:color w:val="231F20"/>
          <w:spacing w:val="2"/>
          <w:w w:val="110"/>
          <w:sz w:val="20"/>
        </w:rPr>
        <w:t>GENERAL </w:t>
      </w:r>
      <w:r>
        <w:rPr>
          <w:b/>
          <w:color w:val="231F20"/>
          <w:spacing w:val="-3"/>
          <w:w w:val="110"/>
          <w:sz w:val="20"/>
        </w:rPr>
        <w:t>ASSEMBLY, </w:t>
      </w:r>
      <w:r>
        <w:rPr>
          <w:b/>
          <w:color w:val="231F20"/>
          <w:w w:val="110"/>
          <w:sz w:val="20"/>
        </w:rPr>
        <w:t>COSTS AND RETENTION OF RECORDS AND</w:t>
      </w:r>
      <w:r>
        <w:rPr>
          <w:b/>
          <w:color w:val="231F20"/>
          <w:spacing w:val="-2"/>
          <w:w w:val="110"/>
          <w:sz w:val="20"/>
        </w:rPr>
        <w:t> </w:t>
      </w:r>
      <w:r>
        <w:rPr>
          <w:b/>
          <w:color w:val="231F20"/>
          <w:w w:val="110"/>
          <w:sz w:val="20"/>
        </w:rPr>
        <w:t>PAPERS</w:t>
      </w:r>
    </w:p>
    <w:p>
      <w:pPr>
        <w:pStyle w:val="BodyText"/>
        <w:spacing w:before="2"/>
        <w:rPr>
          <w:b/>
          <w:sz w:val="22"/>
        </w:rPr>
      </w:pPr>
    </w:p>
    <w:p>
      <w:pPr>
        <w:pStyle w:val="ListParagraph"/>
        <w:numPr>
          <w:ilvl w:val="1"/>
          <w:numId w:val="192"/>
        </w:numPr>
        <w:tabs>
          <w:tab w:pos="1800" w:val="left" w:leader="none"/>
          <w:tab w:pos="1801" w:val="left" w:leader="none"/>
        </w:tabs>
        <w:spacing w:line="273" w:lineRule="auto" w:before="0" w:after="0"/>
        <w:ind w:left="1080" w:right="1132" w:firstLine="0"/>
        <w:jc w:val="left"/>
        <w:rPr>
          <w:sz w:val="18"/>
        </w:rPr>
      </w:pPr>
      <w:r>
        <w:rPr>
          <w:color w:val="231F20"/>
          <w:w w:val="110"/>
          <w:sz w:val="18"/>
        </w:rPr>
        <w:t>The General </w:t>
      </w:r>
      <w:r>
        <w:rPr>
          <w:color w:val="231F20"/>
          <w:spacing w:val="3"/>
          <w:w w:val="110"/>
          <w:sz w:val="18"/>
        </w:rPr>
        <w:t>Secretary </w:t>
      </w:r>
      <w:r>
        <w:rPr>
          <w:color w:val="231F20"/>
          <w:w w:val="110"/>
          <w:sz w:val="18"/>
        </w:rPr>
        <w:t>shall </w:t>
      </w:r>
      <w:r>
        <w:rPr>
          <w:color w:val="231F20"/>
          <w:spacing w:val="3"/>
          <w:w w:val="110"/>
          <w:sz w:val="18"/>
        </w:rPr>
        <w:t>report </w:t>
      </w:r>
      <w:r>
        <w:rPr>
          <w:color w:val="231F20"/>
          <w:w w:val="110"/>
          <w:sz w:val="18"/>
        </w:rPr>
        <w:t>to the General Assembly all decisions </w:t>
      </w:r>
      <w:r>
        <w:rPr>
          <w:color w:val="231F20"/>
          <w:spacing w:val="2"/>
          <w:w w:val="110"/>
          <w:sz w:val="18"/>
        </w:rPr>
        <w:t>reached </w:t>
      </w:r>
      <w:r>
        <w:rPr>
          <w:color w:val="231F20"/>
          <w:w w:val="110"/>
          <w:sz w:val="18"/>
        </w:rPr>
        <w:t>by</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Review</w:t>
      </w:r>
      <w:r>
        <w:rPr>
          <w:color w:val="231F20"/>
          <w:spacing w:val="10"/>
          <w:w w:val="110"/>
          <w:sz w:val="18"/>
        </w:rPr>
        <w:t> </w:t>
      </w:r>
      <w:r>
        <w:rPr>
          <w:color w:val="231F20"/>
          <w:w w:val="110"/>
          <w:sz w:val="18"/>
        </w:rPr>
        <w:t>Commission</w:t>
      </w:r>
      <w:r>
        <w:rPr>
          <w:color w:val="231F20"/>
          <w:spacing w:val="11"/>
          <w:w w:val="110"/>
          <w:sz w:val="18"/>
        </w:rPr>
        <w:t> </w:t>
      </w:r>
      <w:r>
        <w:rPr>
          <w:color w:val="231F20"/>
          <w:w w:val="110"/>
          <w:sz w:val="18"/>
        </w:rPr>
        <w:t>and</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Appeals</w:t>
      </w:r>
      <w:r>
        <w:rPr>
          <w:color w:val="231F20"/>
          <w:spacing w:val="10"/>
          <w:w w:val="110"/>
          <w:sz w:val="18"/>
        </w:rPr>
        <w:t> </w:t>
      </w:r>
      <w:r>
        <w:rPr>
          <w:color w:val="231F20"/>
          <w:w w:val="110"/>
          <w:sz w:val="18"/>
        </w:rPr>
        <w:t>Review</w:t>
      </w:r>
      <w:r>
        <w:rPr>
          <w:color w:val="231F20"/>
          <w:spacing w:val="10"/>
          <w:w w:val="110"/>
          <w:sz w:val="18"/>
        </w:rPr>
        <w:t> </w:t>
      </w:r>
      <w:r>
        <w:rPr>
          <w:color w:val="231F20"/>
          <w:w w:val="110"/>
          <w:sz w:val="18"/>
        </w:rPr>
        <w:t>Commission</w:t>
      </w:r>
      <w:r>
        <w:rPr>
          <w:color w:val="231F20"/>
          <w:spacing w:val="11"/>
          <w:w w:val="110"/>
          <w:sz w:val="18"/>
        </w:rPr>
        <w:t> </w:t>
      </w:r>
      <w:r>
        <w:rPr>
          <w:color w:val="231F20"/>
          <w:w w:val="110"/>
          <w:sz w:val="18"/>
        </w:rPr>
        <w:t>in</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following</w:t>
      </w:r>
      <w:r>
        <w:rPr>
          <w:color w:val="231F20"/>
          <w:spacing w:val="10"/>
          <w:w w:val="110"/>
          <w:sz w:val="18"/>
        </w:rPr>
        <w:t> </w:t>
      </w:r>
      <w:r>
        <w:rPr>
          <w:color w:val="231F20"/>
          <w:w w:val="110"/>
          <w:sz w:val="18"/>
        </w:rPr>
        <w:t>manner:</w:t>
      </w:r>
    </w:p>
    <w:p>
      <w:pPr>
        <w:pStyle w:val="BodyText"/>
        <w:spacing w:before="8"/>
        <w:rPr>
          <w:sz w:val="20"/>
        </w:rPr>
      </w:pPr>
    </w:p>
    <w:p>
      <w:pPr>
        <w:pStyle w:val="ListParagraph"/>
        <w:numPr>
          <w:ilvl w:val="2"/>
          <w:numId w:val="192"/>
        </w:numPr>
        <w:tabs>
          <w:tab w:pos="1801" w:val="left" w:leader="none"/>
        </w:tabs>
        <w:spacing w:line="273" w:lineRule="auto" w:before="0" w:after="0"/>
        <w:ind w:left="1080" w:right="1223" w:firstLine="0"/>
        <w:jc w:val="left"/>
        <w:rPr>
          <w:sz w:val="18"/>
        </w:rPr>
      </w:pPr>
      <w:r>
        <w:rPr>
          <w:color w:val="231F20"/>
          <w:w w:val="110"/>
          <w:sz w:val="18"/>
        </w:rPr>
        <w:t>If a decision of the Review Commission to delete the name of a Minister </w:t>
      </w:r>
      <w:r>
        <w:rPr>
          <w:color w:val="231F20"/>
          <w:spacing w:val="2"/>
          <w:w w:val="110"/>
          <w:sz w:val="18"/>
        </w:rPr>
        <w:t>from </w:t>
      </w:r>
      <w:r>
        <w:rPr>
          <w:color w:val="231F20"/>
          <w:w w:val="110"/>
          <w:sz w:val="18"/>
        </w:rPr>
        <w:t>the Roll of Ministers is subject to appeal, the </w:t>
      </w:r>
      <w:r>
        <w:rPr>
          <w:color w:val="231F20"/>
          <w:spacing w:val="2"/>
          <w:w w:val="110"/>
          <w:sz w:val="18"/>
        </w:rPr>
        <w:t>Report </w:t>
      </w:r>
      <w:r>
        <w:rPr>
          <w:color w:val="231F20"/>
          <w:w w:val="110"/>
          <w:sz w:val="18"/>
        </w:rPr>
        <w:t>shall simply state that a decision has been </w:t>
      </w:r>
      <w:r>
        <w:rPr>
          <w:color w:val="231F20"/>
          <w:spacing w:val="2"/>
          <w:w w:val="110"/>
          <w:sz w:val="18"/>
        </w:rPr>
        <w:t>reached </w:t>
      </w:r>
      <w:r>
        <w:rPr>
          <w:color w:val="231F20"/>
          <w:w w:val="110"/>
          <w:sz w:val="18"/>
        </w:rPr>
        <w:t>in a case which is subject to appeal and shall not name the</w:t>
      </w:r>
      <w:r>
        <w:rPr>
          <w:color w:val="231F20"/>
          <w:spacing w:val="4"/>
          <w:w w:val="110"/>
          <w:sz w:val="18"/>
        </w:rPr>
        <w:t> </w:t>
      </w:r>
      <w:r>
        <w:rPr>
          <w:color w:val="231F20"/>
          <w:w w:val="110"/>
          <w:sz w:val="18"/>
        </w:rPr>
        <w:t>Minister.</w:t>
      </w:r>
    </w:p>
    <w:p>
      <w:pPr>
        <w:pStyle w:val="BodyText"/>
        <w:spacing w:before="9"/>
        <w:rPr>
          <w:sz w:val="20"/>
        </w:rPr>
      </w:pPr>
    </w:p>
    <w:p>
      <w:pPr>
        <w:pStyle w:val="ListParagraph"/>
        <w:numPr>
          <w:ilvl w:val="2"/>
          <w:numId w:val="192"/>
        </w:numPr>
        <w:tabs>
          <w:tab w:pos="1801" w:val="left" w:leader="none"/>
        </w:tabs>
        <w:spacing w:line="273" w:lineRule="auto" w:before="0" w:after="0"/>
        <w:ind w:left="1080" w:right="1610" w:firstLine="0"/>
        <w:jc w:val="both"/>
        <w:rPr>
          <w:sz w:val="18"/>
        </w:rPr>
      </w:pPr>
      <w:r>
        <w:rPr>
          <w:color w:val="231F20"/>
          <w:w w:val="110"/>
          <w:sz w:val="18"/>
        </w:rPr>
        <w:t>If a decision of the Review Commission to delete is not subject to appeal, the </w:t>
      </w:r>
      <w:r>
        <w:rPr>
          <w:color w:val="231F20"/>
          <w:spacing w:val="2"/>
          <w:w w:val="110"/>
          <w:sz w:val="18"/>
        </w:rPr>
        <w:t>Report </w:t>
      </w:r>
      <w:r>
        <w:rPr>
          <w:color w:val="231F20"/>
          <w:w w:val="110"/>
          <w:sz w:val="18"/>
        </w:rPr>
        <w:t>shall so</w:t>
      </w:r>
      <w:r>
        <w:rPr>
          <w:color w:val="231F20"/>
          <w:spacing w:val="1"/>
          <w:w w:val="110"/>
          <w:sz w:val="18"/>
        </w:rPr>
        <w:t> </w:t>
      </w:r>
      <w:r>
        <w:rPr>
          <w:color w:val="231F20"/>
          <w:w w:val="110"/>
          <w:sz w:val="18"/>
        </w:rPr>
        <w:t>state.</w:t>
      </w:r>
    </w:p>
    <w:p>
      <w:pPr>
        <w:pStyle w:val="BodyText"/>
        <w:spacing w:before="8"/>
        <w:rPr>
          <w:sz w:val="20"/>
        </w:rPr>
      </w:pPr>
    </w:p>
    <w:p>
      <w:pPr>
        <w:pStyle w:val="ListParagraph"/>
        <w:numPr>
          <w:ilvl w:val="2"/>
          <w:numId w:val="192"/>
        </w:numPr>
        <w:tabs>
          <w:tab w:pos="1801" w:val="left" w:leader="none"/>
        </w:tabs>
        <w:spacing w:line="240" w:lineRule="auto" w:before="1" w:after="0"/>
        <w:ind w:left="1800" w:right="0" w:hanging="721"/>
        <w:jc w:val="left"/>
        <w:rPr>
          <w:sz w:val="18"/>
        </w:rPr>
      </w:pPr>
      <w:r>
        <w:rPr>
          <w:color w:val="231F20"/>
          <w:w w:val="110"/>
          <w:sz w:val="18"/>
        </w:rPr>
        <w:t>If a </w:t>
      </w:r>
      <w:r>
        <w:rPr>
          <w:color w:val="231F20"/>
          <w:spacing w:val="3"/>
          <w:w w:val="110"/>
          <w:sz w:val="18"/>
        </w:rPr>
        <w:t>report </w:t>
      </w:r>
      <w:r>
        <w:rPr>
          <w:color w:val="231F20"/>
          <w:w w:val="110"/>
          <w:sz w:val="18"/>
        </w:rPr>
        <w:t>has already been made to the General Assembly under</w:t>
      </w:r>
      <w:r>
        <w:rPr>
          <w:color w:val="231F20"/>
          <w:spacing w:val="47"/>
          <w:w w:val="110"/>
          <w:sz w:val="18"/>
        </w:rPr>
        <w:t> </w:t>
      </w:r>
      <w:r>
        <w:rPr>
          <w:color w:val="231F20"/>
          <w:w w:val="110"/>
          <w:sz w:val="18"/>
        </w:rPr>
        <w:t>Paragraph</w:t>
      </w:r>
    </w:p>
    <w:p>
      <w:pPr>
        <w:pStyle w:val="BodyText"/>
        <w:spacing w:line="273" w:lineRule="auto" w:before="31"/>
        <w:ind w:left="1080" w:right="1583"/>
        <w:rPr>
          <w:i/>
        </w:rPr>
      </w:pPr>
      <w:r>
        <w:rPr>
          <w:color w:val="231F20"/>
          <w:spacing w:val="-5"/>
          <w:w w:val="110"/>
        </w:rPr>
        <w:t>N.1.1 </w:t>
      </w:r>
      <w:r>
        <w:rPr>
          <w:color w:val="231F20"/>
          <w:w w:val="110"/>
        </w:rPr>
        <w:t>and the Appeals Review Commission reverses the decision of the Review Commission and allows the name of the Minister to remain on the Roll of Ministers, the General </w:t>
      </w:r>
      <w:r>
        <w:rPr>
          <w:color w:val="231F20"/>
          <w:spacing w:val="3"/>
          <w:w w:val="110"/>
        </w:rPr>
        <w:t>Secretary </w:t>
      </w:r>
      <w:r>
        <w:rPr>
          <w:color w:val="231F20"/>
          <w:w w:val="110"/>
        </w:rPr>
        <w:t>shall </w:t>
      </w:r>
      <w:r>
        <w:rPr>
          <w:color w:val="231F20"/>
          <w:spacing w:val="3"/>
          <w:w w:val="110"/>
        </w:rPr>
        <w:t>report </w:t>
      </w:r>
      <w:r>
        <w:rPr>
          <w:color w:val="231F20"/>
          <w:w w:val="110"/>
        </w:rPr>
        <w:t>the decision of the Appeals Review Commission to the </w:t>
      </w:r>
      <w:r>
        <w:rPr>
          <w:color w:val="231F20"/>
          <w:spacing w:val="2"/>
          <w:w w:val="110"/>
        </w:rPr>
        <w:t>next </w:t>
      </w:r>
      <w:r>
        <w:rPr>
          <w:color w:val="231F20"/>
          <w:w w:val="110"/>
        </w:rPr>
        <w:t>meeting of the General Assembly without naming the</w:t>
      </w:r>
      <w:r>
        <w:rPr>
          <w:color w:val="231F20"/>
          <w:spacing w:val="41"/>
          <w:w w:val="110"/>
        </w:rPr>
        <w:t> </w:t>
      </w:r>
      <w:r>
        <w:rPr>
          <w:color w:val="231F20"/>
          <w:w w:val="110"/>
        </w:rPr>
        <w:t>Minister</w:t>
      </w:r>
      <w:r>
        <w:rPr>
          <w:i/>
          <w:color w:val="231F20"/>
          <w:w w:val="110"/>
        </w:rPr>
        <w:t>.</w:t>
      </w:r>
    </w:p>
    <w:p>
      <w:pPr>
        <w:spacing w:after="0" w:line="273" w:lineRule="auto"/>
        <w:sectPr>
          <w:pgSz w:w="11910" w:h="16840"/>
          <w:pgMar w:header="557" w:footer="564" w:top="820" w:bottom="760" w:left="620" w:right="0"/>
        </w:sectPr>
      </w:pPr>
    </w:p>
    <w:p>
      <w:pPr>
        <w:pStyle w:val="BodyText"/>
        <w:spacing w:before="9"/>
        <w:rPr>
          <w:i/>
          <w:sz w:val="13"/>
        </w:rPr>
      </w:pPr>
    </w:p>
    <w:p>
      <w:pPr>
        <w:pStyle w:val="ListParagraph"/>
        <w:numPr>
          <w:ilvl w:val="1"/>
          <w:numId w:val="192"/>
        </w:numPr>
        <w:tabs>
          <w:tab w:pos="1233" w:val="left" w:leader="none"/>
          <w:tab w:pos="1234" w:val="left" w:leader="none"/>
        </w:tabs>
        <w:spacing w:line="273" w:lineRule="auto" w:before="101" w:after="0"/>
        <w:ind w:left="513" w:right="2011" w:firstLine="0"/>
        <w:jc w:val="left"/>
        <w:rPr>
          <w:sz w:val="18"/>
        </w:rPr>
      </w:pPr>
      <w:r>
        <w:rPr>
          <w:color w:val="231F20"/>
          <w:w w:val="110"/>
          <w:sz w:val="18"/>
        </w:rPr>
        <w:t>The cost of operating the Procedure and the reasonable and proper expenses   of </w:t>
      </w:r>
      <w:r>
        <w:rPr>
          <w:color w:val="231F20"/>
          <w:spacing w:val="2"/>
          <w:w w:val="110"/>
          <w:sz w:val="18"/>
        </w:rPr>
        <w:t>persons </w:t>
      </w:r>
      <w:r>
        <w:rPr>
          <w:color w:val="231F20"/>
          <w:w w:val="110"/>
          <w:sz w:val="18"/>
        </w:rPr>
        <w:t>attending a Hearing and the </w:t>
      </w:r>
      <w:r>
        <w:rPr>
          <w:color w:val="231F20"/>
          <w:spacing w:val="2"/>
          <w:w w:val="110"/>
          <w:sz w:val="18"/>
        </w:rPr>
        <w:t>costs </w:t>
      </w:r>
      <w:r>
        <w:rPr>
          <w:color w:val="231F20"/>
          <w:w w:val="110"/>
          <w:sz w:val="18"/>
        </w:rPr>
        <w:t>of any </w:t>
      </w:r>
      <w:r>
        <w:rPr>
          <w:color w:val="231F20"/>
          <w:spacing w:val="3"/>
          <w:w w:val="110"/>
          <w:sz w:val="18"/>
        </w:rPr>
        <w:t>reports </w:t>
      </w:r>
      <w:r>
        <w:rPr>
          <w:color w:val="231F20"/>
          <w:w w:val="110"/>
          <w:sz w:val="18"/>
        </w:rPr>
        <w:t>obtained by or on the authority of the Review Commission or the Appeals Review Commission or any other </w:t>
      </w:r>
      <w:r>
        <w:rPr>
          <w:color w:val="231F20"/>
          <w:spacing w:val="2"/>
          <w:w w:val="110"/>
          <w:sz w:val="18"/>
        </w:rPr>
        <w:t>costs </w:t>
      </w:r>
      <w:r>
        <w:rPr>
          <w:color w:val="231F20"/>
          <w:w w:val="110"/>
          <w:sz w:val="18"/>
        </w:rPr>
        <w:t>and expenses which the Review Commission or the Appeals Review Commission deem</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have</w:t>
      </w:r>
      <w:r>
        <w:rPr>
          <w:color w:val="231F20"/>
          <w:spacing w:val="10"/>
          <w:w w:val="110"/>
          <w:sz w:val="18"/>
        </w:rPr>
        <w:t> </w:t>
      </w:r>
      <w:r>
        <w:rPr>
          <w:color w:val="231F20"/>
          <w:w w:val="110"/>
          <w:sz w:val="18"/>
        </w:rPr>
        <w:t>been</w:t>
      </w:r>
      <w:r>
        <w:rPr>
          <w:color w:val="231F20"/>
          <w:spacing w:val="10"/>
          <w:w w:val="110"/>
          <w:sz w:val="18"/>
        </w:rPr>
        <w:t> </w:t>
      </w:r>
      <w:r>
        <w:rPr>
          <w:color w:val="231F20"/>
          <w:w w:val="110"/>
          <w:sz w:val="18"/>
        </w:rPr>
        <w:t>reasonably</w:t>
      </w:r>
      <w:r>
        <w:rPr>
          <w:color w:val="231F20"/>
          <w:spacing w:val="10"/>
          <w:w w:val="110"/>
          <w:sz w:val="18"/>
        </w:rPr>
        <w:t> </w:t>
      </w:r>
      <w:r>
        <w:rPr>
          <w:color w:val="231F20"/>
          <w:w w:val="110"/>
          <w:sz w:val="18"/>
        </w:rPr>
        <w:t>and</w:t>
      </w:r>
      <w:r>
        <w:rPr>
          <w:color w:val="231F20"/>
          <w:spacing w:val="10"/>
          <w:w w:val="110"/>
          <w:sz w:val="18"/>
        </w:rPr>
        <w:t> </w:t>
      </w:r>
      <w:r>
        <w:rPr>
          <w:color w:val="231F20"/>
          <w:w w:val="110"/>
          <w:sz w:val="18"/>
        </w:rPr>
        <w:t>properly</w:t>
      </w:r>
      <w:r>
        <w:rPr>
          <w:color w:val="231F20"/>
          <w:spacing w:val="10"/>
          <w:w w:val="110"/>
          <w:sz w:val="18"/>
        </w:rPr>
        <w:t> </w:t>
      </w:r>
      <w:r>
        <w:rPr>
          <w:color w:val="231F20"/>
          <w:w w:val="110"/>
          <w:sz w:val="18"/>
        </w:rPr>
        <w:t>incurred</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the</w:t>
      </w:r>
      <w:r>
        <w:rPr>
          <w:color w:val="231F20"/>
          <w:spacing w:val="10"/>
          <w:w w:val="110"/>
          <w:sz w:val="18"/>
        </w:rPr>
        <w:t> </w:t>
      </w:r>
      <w:r>
        <w:rPr>
          <w:color w:val="231F20"/>
          <w:spacing w:val="2"/>
          <w:w w:val="110"/>
          <w:sz w:val="18"/>
        </w:rPr>
        <w:t>course</w:t>
      </w:r>
      <w:r>
        <w:rPr>
          <w:color w:val="231F20"/>
          <w:spacing w:val="10"/>
          <w:w w:val="110"/>
          <w:sz w:val="18"/>
        </w:rPr>
        <w:t> </w:t>
      </w:r>
      <w:r>
        <w:rPr>
          <w:color w:val="231F20"/>
          <w:w w:val="110"/>
          <w:sz w:val="18"/>
        </w:rPr>
        <w:t>of</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Procedure</w:t>
      </w:r>
    </w:p>
    <w:p>
      <w:pPr>
        <w:pStyle w:val="BodyText"/>
        <w:spacing w:line="273" w:lineRule="auto" w:before="3"/>
        <w:ind w:left="513" w:right="1844"/>
      </w:pPr>
      <w:r>
        <w:rPr>
          <w:color w:val="231F20"/>
          <w:w w:val="110"/>
        </w:rPr>
        <w:t>(but excluding any costs of representation) shall be charged to the general funds of the Church, and the Report of each case to the General Assembly shall state the total cost incurred in that case.</w:t>
      </w:r>
    </w:p>
    <w:p>
      <w:pPr>
        <w:pStyle w:val="BodyText"/>
        <w:spacing w:before="8"/>
        <w:rPr>
          <w:sz w:val="20"/>
        </w:rPr>
      </w:pPr>
    </w:p>
    <w:p>
      <w:pPr>
        <w:pStyle w:val="ListParagraph"/>
        <w:numPr>
          <w:ilvl w:val="1"/>
          <w:numId w:val="192"/>
        </w:numPr>
        <w:tabs>
          <w:tab w:pos="1233" w:val="left" w:leader="none"/>
          <w:tab w:pos="1234" w:val="left" w:leader="none"/>
        </w:tabs>
        <w:spacing w:line="273" w:lineRule="auto" w:before="1" w:after="0"/>
        <w:ind w:left="513" w:right="1950" w:firstLine="0"/>
        <w:jc w:val="left"/>
        <w:rPr>
          <w:sz w:val="18"/>
        </w:rPr>
      </w:pPr>
      <w:r>
        <w:rPr>
          <w:color w:val="231F20"/>
          <w:w w:val="110"/>
          <w:sz w:val="18"/>
        </w:rPr>
        <w:t>The </w:t>
      </w:r>
      <w:r>
        <w:rPr>
          <w:color w:val="231F20"/>
          <w:spacing w:val="3"/>
          <w:w w:val="110"/>
          <w:sz w:val="18"/>
        </w:rPr>
        <w:t>Secretary </w:t>
      </w:r>
      <w:r>
        <w:rPr>
          <w:color w:val="231F20"/>
          <w:w w:val="110"/>
          <w:sz w:val="18"/>
        </w:rPr>
        <w:t>of the Review Commission shall be responsible for the keeping   of the </w:t>
      </w:r>
      <w:r>
        <w:rPr>
          <w:color w:val="231F20"/>
          <w:spacing w:val="2"/>
          <w:w w:val="110"/>
          <w:sz w:val="18"/>
        </w:rPr>
        <w:t>record </w:t>
      </w:r>
      <w:r>
        <w:rPr>
          <w:color w:val="231F20"/>
          <w:w w:val="110"/>
          <w:sz w:val="18"/>
        </w:rPr>
        <w:t>of decisions taken by the Review Commission and by the Appeals Review Commission, and for the custody of all </w:t>
      </w:r>
      <w:r>
        <w:rPr>
          <w:color w:val="231F20"/>
          <w:spacing w:val="2"/>
          <w:w w:val="110"/>
          <w:sz w:val="18"/>
        </w:rPr>
        <w:t>papers </w:t>
      </w:r>
      <w:r>
        <w:rPr>
          <w:color w:val="231F20"/>
          <w:w w:val="110"/>
          <w:sz w:val="18"/>
        </w:rPr>
        <w:t>relating to concluded cases, which shall be kept in a locked cabinet at Church</w:t>
      </w:r>
      <w:r>
        <w:rPr>
          <w:color w:val="231F20"/>
          <w:spacing w:val="13"/>
          <w:w w:val="110"/>
          <w:sz w:val="18"/>
        </w:rPr>
        <w:t> </w:t>
      </w:r>
      <w:r>
        <w:rPr>
          <w:color w:val="231F20"/>
          <w:w w:val="110"/>
          <w:sz w:val="18"/>
        </w:rPr>
        <w:t>House.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9"/>
        </w:rPr>
      </w:pPr>
    </w:p>
    <w:p>
      <w:pPr>
        <w:spacing w:before="1"/>
        <w:ind w:left="0" w:right="1071"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64" w:top="820" w:bottom="760" w:left="620" w:right="0"/>
        </w:sectPr>
      </w:pPr>
    </w:p>
    <w:p>
      <w:pPr>
        <w:pStyle w:val="BodyText"/>
        <w:rPr>
          <w:i/>
          <w:sz w:val="20"/>
        </w:rPr>
      </w:pPr>
      <w:r>
        <w:rPr/>
        <w:pict>
          <v:group style="position:absolute;margin-left:0pt;margin-top:.003015pt;width:595.3pt;height:841.9pt;mso-position-horizontal-relative:page;mso-position-vertical-relative:page;z-index:-275182592" coordorigin="0,0" coordsize="11906,16838">
            <v:shape style="position:absolute;left:0;top:0;width:8412;height:4212" type="#_x0000_t75" stroked="false">
              <v:imagedata r:id="rId451" o:title=""/>
            </v:shape>
            <v:shape style="position:absolute;left:8401;top:0;width:3504;height:4913" type="#_x0000_t75" stroked="false">
              <v:imagedata r:id="rId452" o:title=""/>
            </v:shape>
            <v:shape style="position:absolute;left:0;top:4201;width:8412;height:4224" type="#_x0000_t75" stroked="false">
              <v:imagedata r:id="rId453" o:title=""/>
            </v:shape>
            <v:shape style="position:absolute;left:8401;top:4902;width:3504;height:4924" type="#_x0000_t75" stroked="false">
              <v:imagedata r:id="rId454" o:title=""/>
            </v:shape>
            <v:shape style="position:absolute;left:0;top:8415;width:8412;height:4219" type="#_x0000_t75" stroked="false">
              <v:imagedata r:id="rId455" o:title=""/>
            </v:shape>
            <v:shape style="position:absolute;left:8401;top:9816;width:3504;height:4919" type="#_x0000_t75" stroked="false">
              <v:imagedata r:id="rId456" o:title=""/>
            </v:shape>
            <v:shape style="position:absolute;left:0;top:12624;width:8412;height:4214" type="#_x0000_t75" stroked="false">
              <v:imagedata r:id="rId372" o:title=""/>
            </v:shape>
            <v:shape style="position:absolute;left:8401;top:14726;width:3504;height:2112" type="#_x0000_t75" stroked="false">
              <v:imagedata r:id="rId457" o:title=""/>
            </v:shape>
            <v:shape style="position:absolute;left:1304;top:6175;width:4016;height:643" type="#_x0000_t75" stroked="false">
              <v:imagedata r:id="rId458" o:title=""/>
            </v:shape>
            <v:shape style="position:absolute;left:1462;top:6187;width:3443;height:328" type="#_x0000_t75" stroked="false">
              <v:imagedata r:id="rId459" o:title=""/>
            </v:shape>
            <v:shape style="position:absolute;left:1001;top:6122;width:8160;height:6993" type="#_x0000_t75" stroked="false">
              <v:imagedata r:id="rId460" o:title=""/>
            </v:shape>
            <w10:wrap type="none"/>
          </v:group>
        </w:pict>
      </w:r>
      <w:r>
        <w:rPr/>
        <w:pict>
          <v:shape style="position:absolute;margin-left:458.438782pt;margin-top:59.613716pt;width:106.85pt;height:693.2pt;mso-position-horizontal-relative:page;mso-position-vertical-relative:page;z-index:252083200" type="#_x0000_t202" filled="false" stroked="false">
            <v:textbox inset="0,0,0,0" style="layout-flow:vertical">
              <w:txbxContent>
                <w:p>
                  <w:pPr>
                    <w:spacing w:line="920" w:lineRule="exact" w:before="8"/>
                    <w:ind w:left="1454" w:right="1218" w:hanging="1435"/>
                    <w:jc w:val="left"/>
                    <w:rPr>
                      <w:b/>
                      <w:sz w:val="72"/>
                    </w:rPr>
                  </w:pPr>
                  <w:r>
                    <w:rPr>
                      <w:b/>
                      <w:color w:val="231F20"/>
                      <w:spacing w:val="-12"/>
                      <w:sz w:val="72"/>
                    </w:rPr>
                    <w:t>Consensus Decision </w:t>
                  </w:r>
                  <w:r>
                    <w:rPr>
                      <w:b/>
                      <w:color w:val="231F20"/>
                      <w:spacing w:val="-16"/>
                      <w:sz w:val="72"/>
                    </w:rPr>
                    <w:t>Making </w:t>
                  </w:r>
                  <w:r>
                    <w:rPr>
                      <w:b/>
                      <w:color w:val="231F20"/>
                      <w:spacing w:val="-11"/>
                      <w:sz w:val="72"/>
                    </w:rPr>
                    <w:t>for </w:t>
                  </w:r>
                  <w:r>
                    <w:rPr>
                      <w:b/>
                      <w:color w:val="231F20"/>
                      <w:spacing w:val="-8"/>
                      <w:sz w:val="72"/>
                    </w:rPr>
                    <w:t>the </w:t>
                  </w:r>
                  <w:r>
                    <w:rPr>
                      <w:b/>
                      <w:color w:val="231F20"/>
                      <w:spacing w:val="-13"/>
                      <w:sz w:val="72"/>
                    </w:rPr>
                    <w:t>United </w:t>
                  </w:r>
                  <w:r>
                    <w:rPr>
                      <w:b/>
                      <w:color w:val="231F20"/>
                      <w:spacing w:val="-14"/>
                      <w:sz w:val="72"/>
                    </w:rPr>
                    <w:t>Reformed </w:t>
                  </w:r>
                  <w:r>
                    <w:rPr>
                      <w:b/>
                      <w:color w:val="231F20"/>
                      <w:spacing w:val="-12"/>
                      <w:sz w:val="72"/>
                    </w:rPr>
                    <w:t>Church</w:t>
                  </w:r>
                </w:p>
                <w:p>
                  <w:pPr>
                    <w:spacing w:line="286"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1"/>
        </w:rPr>
      </w:pPr>
    </w:p>
    <w:p>
      <w:pPr>
        <w:spacing w:line="273" w:lineRule="auto" w:before="100"/>
        <w:ind w:left="1279" w:right="2720" w:firstLine="0"/>
        <w:jc w:val="left"/>
        <w:rPr>
          <w:i/>
          <w:sz w:val="18"/>
        </w:rPr>
      </w:pPr>
      <w:r>
        <w:rPr>
          <w:i/>
          <w:color w:val="231F20"/>
          <w:w w:val="110"/>
          <w:sz w:val="18"/>
        </w:rPr>
        <w:t>This paper has been prepared on behalf of Mission Council by Martin </w:t>
      </w:r>
      <w:r>
        <w:rPr>
          <w:i/>
          <w:color w:val="231F20"/>
          <w:w w:val="110"/>
          <w:sz w:val="18"/>
        </w:rPr>
        <w:t>Hazell, Andrew Littlejohns, Lindsey Sanderson and Elizabeth Nash.</w:t>
      </w:r>
    </w:p>
    <w:p>
      <w:pPr>
        <w:spacing w:line="273" w:lineRule="auto" w:before="1"/>
        <w:ind w:left="1279" w:right="2580" w:firstLine="0"/>
        <w:jc w:val="left"/>
        <w:rPr>
          <w:i/>
          <w:sz w:val="18"/>
        </w:rPr>
      </w:pPr>
      <w:r>
        <w:rPr>
          <w:i/>
          <w:color w:val="231F20"/>
          <w:w w:val="110"/>
          <w:sz w:val="18"/>
        </w:rPr>
        <w:t>It was extremely valuable that we were guided, supported, trained and </w:t>
      </w:r>
      <w:r>
        <w:rPr>
          <w:i/>
          <w:color w:val="231F20"/>
          <w:w w:val="110"/>
          <w:sz w:val="18"/>
        </w:rPr>
        <w:t>encouraged by Jill Tabart from the Uniting Church in Australia who came to England at the invitation of Thames North Synod in November 2006.</w:t>
      </w:r>
    </w:p>
    <w:p>
      <w:pPr>
        <w:pStyle w:val="BodyText"/>
        <w:rPr>
          <w:i/>
          <w:sz w:val="20"/>
        </w:rPr>
      </w:pPr>
    </w:p>
    <w:p>
      <w:pPr>
        <w:pStyle w:val="BodyText"/>
        <w:spacing w:before="8"/>
        <w:rPr>
          <w:i/>
          <w:sz w:val="28"/>
        </w:rPr>
      </w:pPr>
    </w:p>
    <w:p>
      <w:pPr>
        <w:spacing w:before="98"/>
        <w:ind w:left="0" w:right="2055" w:firstLine="0"/>
        <w:jc w:val="center"/>
        <w:rPr>
          <w:b/>
          <w:sz w:val="29"/>
        </w:rPr>
      </w:pPr>
      <w:r>
        <w:rPr>
          <w:b/>
          <w:color w:val="231F20"/>
          <w:w w:val="110"/>
          <w:sz w:val="29"/>
        </w:rPr>
        <w:t>Resolution to Assembly</w:t>
      </w:r>
    </w:p>
    <w:p>
      <w:pPr>
        <w:tabs>
          <w:tab w:pos="4185" w:val="left" w:leader="none"/>
        </w:tabs>
        <w:spacing w:before="127"/>
        <w:ind w:left="0" w:right="2064" w:firstLine="0"/>
        <w:jc w:val="center"/>
        <w:rPr>
          <w:b/>
          <w:sz w:val="20"/>
        </w:rPr>
      </w:pPr>
      <w:r>
        <w:rPr>
          <w:b/>
          <w:spacing w:val="2"/>
          <w:w w:val="111"/>
          <w:position w:val="20"/>
          <w:sz w:val="43"/>
        </w:rPr>
        <w:t>R</w:t>
      </w:r>
      <w:r>
        <w:rPr>
          <w:b/>
          <w:spacing w:val="1"/>
          <w:w w:val="111"/>
          <w:position w:val="20"/>
          <w:sz w:val="43"/>
        </w:rPr>
        <w:t>E</w:t>
      </w:r>
      <w:r>
        <w:rPr>
          <w:b/>
          <w:w w:val="111"/>
          <w:position w:val="20"/>
          <w:sz w:val="43"/>
        </w:rPr>
        <w:t>S</w:t>
      </w:r>
      <w:r>
        <w:rPr>
          <w:b/>
          <w:spacing w:val="-4"/>
          <w:w w:val="111"/>
          <w:position w:val="20"/>
          <w:sz w:val="43"/>
        </w:rPr>
        <w:t>O</w:t>
      </w:r>
      <w:r>
        <w:rPr>
          <w:b/>
          <w:spacing w:val="-6"/>
          <w:w w:val="111"/>
          <w:position w:val="20"/>
          <w:sz w:val="43"/>
        </w:rPr>
        <w:t>L</w:t>
      </w:r>
      <w:r>
        <w:rPr>
          <w:b/>
          <w:spacing w:val="-2"/>
          <w:w w:val="111"/>
          <w:position w:val="20"/>
          <w:sz w:val="43"/>
        </w:rPr>
        <w:t>U</w:t>
      </w:r>
      <w:r>
        <w:rPr>
          <w:b/>
          <w:spacing w:val="3"/>
          <w:w w:val="111"/>
          <w:position w:val="20"/>
          <w:sz w:val="43"/>
        </w:rPr>
        <w:t>T</w:t>
      </w:r>
      <w:r>
        <w:rPr>
          <w:b/>
          <w:spacing w:val="-15"/>
          <w:w w:val="111"/>
          <w:position w:val="20"/>
          <w:sz w:val="43"/>
        </w:rPr>
        <w:t>I</w:t>
      </w:r>
      <w:r>
        <w:rPr>
          <w:b/>
          <w:spacing w:val="-306"/>
          <w:w w:val="111"/>
          <w:position w:val="20"/>
          <w:sz w:val="43"/>
        </w:rPr>
        <w:t>O</w:t>
      </w:r>
      <w:r>
        <w:rPr>
          <w:b/>
          <w:color w:val="231F20"/>
          <w:spacing w:val="-96"/>
          <w:w w:val="112"/>
          <w:sz w:val="50"/>
        </w:rPr>
        <w:t>5</w:t>
      </w:r>
      <w:r>
        <w:rPr>
          <w:b/>
          <w:spacing w:val="-320"/>
          <w:w w:val="111"/>
          <w:position w:val="20"/>
          <w:sz w:val="43"/>
        </w:rPr>
        <w:t>N</w:t>
      </w:r>
      <w:r>
        <w:rPr>
          <w:b/>
          <w:color w:val="231F20"/>
          <w:w w:val="112"/>
          <w:sz w:val="50"/>
        </w:rPr>
        <w:t>0</w:t>
      </w:r>
      <w:r>
        <w:rPr>
          <w:b/>
          <w:color w:val="231F20"/>
          <w:sz w:val="50"/>
        </w:rPr>
        <w:tab/>
      </w:r>
      <w:r>
        <w:rPr>
          <w:b/>
          <w:color w:val="231F20"/>
          <w:spacing w:val="2"/>
          <w:w w:val="110"/>
          <w:sz w:val="20"/>
        </w:rPr>
        <w:t>C</w:t>
      </w:r>
      <w:r>
        <w:rPr>
          <w:b/>
          <w:color w:val="231F20"/>
          <w:w w:val="110"/>
          <w:sz w:val="20"/>
        </w:rPr>
        <w:t>o</w:t>
      </w:r>
      <w:r>
        <w:rPr>
          <w:b/>
          <w:color w:val="231F20"/>
          <w:spacing w:val="2"/>
          <w:w w:val="109"/>
          <w:sz w:val="20"/>
        </w:rPr>
        <w:t>n</w:t>
      </w:r>
      <w:r>
        <w:rPr>
          <w:b/>
          <w:color w:val="231F20"/>
          <w:spacing w:val="2"/>
          <w:w w:val="109"/>
          <w:sz w:val="20"/>
        </w:rPr>
        <w:t>s</w:t>
      </w:r>
      <w:r>
        <w:rPr>
          <w:b/>
          <w:color w:val="231F20"/>
          <w:spacing w:val="2"/>
          <w:w w:val="109"/>
          <w:sz w:val="20"/>
        </w:rPr>
        <w:t>e</w:t>
      </w:r>
      <w:r>
        <w:rPr>
          <w:b/>
          <w:color w:val="231F20"/>
          <w:spacing w:val="2"/>
          <w:w w:val="109"/>
          <w:sz w:val="20"/>
        </w:rPr>
        <w:t>n</w:t>
      </w:r>
      <w:r>
        <w:rPr>
          <w:b/>
          <w:color w:val="231F20"/>
          <w:spacing w:val="1"/>
          <w:w w:val="109"/>
          <w:sz w:val="20"/>
        </w:rPr>
        <w:t>s</w:t>
      </w:r>
      <w:r>
        <w:rPr>
          <w:b/>
          <w:color w:val="231F20"/>
          <w:spacing w:val="2"/>
          <w:w w:val="109"/>
          <w:sz w:val="20"/>
        </w:rPr>
        <w:t>u</w:t>
      </w:r>
      <w:r>
        <w:rPr>
          <w:b/>
          <w:color w:val="231F20"/>
          <w:w w:val="109"/>
          <w:sz w:val="20"/>
        </w:rPr>
        <w:t>s</w:t>
      </w:r>
      <w:r>
        <w:rPr>
          <w:b/>
          <w:color w:val="231F20"/>
          <w:spacing w:val="6"/>
          <w:sz w:val="20"/>
        </w:rPr>
        <w:t> </w:t>
      </w:r>
      <w:r>
        <w:rPr>
          <w:b/>
          <w:color w:val="231F20"/>
          <w:spacing w:val="1"/>
          <w:w w:val="109"/>
          <w:sz w:val="20"/>
        </w:rPr>
        <w:t>D</w:t>
      </w:r>
      <w:r>
        <w:rPr>
          <w:b/>
          <w:color w:val="231F20"/>
          <w:spacing w:val="3"/>
          <w:w w:val="109"/>
          <w:sz w:val="20"/>
        </w:rPr>
        <w:t>e</w:t>
      </w:r>
      <w:r>
        <w:rPr>
          <w:b/>
          <w:color w:val="231F20"/>
          <w:spacing w:val="3"/>
          <w:w w:val="109"/>
          <w:sz w:val="20"/>
        </w:rPr>
        <w:t>c</w:t>
      </w:r>
      <w:r>
        <w:rPr>
          <w:b/>
          <w:color w:val="231F20"/>
          <w:spacing w:val="2"/>
          <w:w w:val="110"/>
          <w:sz w:val="20"/>
        </w:rPr>
        <w:t>i</w:t>
      </w:r>
      <w:r>
        <w:rPr>
          <w:b/>
          <w:color w:val="231F20"/>
          <w:spacing w:val="2"/>
          <w:w w:val="109"/>
          <w:sz w:val="20"/>
        </w:rPr>
        <w:t>s</w:t>
      </w:r>
      <w:r>
        <w:rPr>
          <w:b/>
          <w:color w:val="231F20"/>
          <w:w w:val="110"/>
          <w:sz w:val="20"/>
        </w:rPr>
        <w:t>io</w:t>
      </w:r>
      <w:r>
        <w:rPr>
          <w:b/>
          <w:color w:val="231F20"/>
          <w:w w:val="109"/>
          <w:sz w:val="20"/>
        </w:rPr>
        <w:t>n</w:t>
      </w:r>
      <w:r>
        <w:rPr>
          <w:b/>
          <w:color w:val="231F20"/>
          <w:spacing w:val="6"/>
          <w:sz w:val="20"/>
        </w:rPr>
        <w:t> </w:t>
      </w:r>
      <w:r>
        <w:rPr>
          <w:b/>
          <w:color w:val="231F20"/>
          <w:spacing w:val="1"/>
          <w:w w:val="110"/>
          <w:sz w:val="20"/>
        </w:rPr>
        <w:t>M</w:t>
      </w:r>
      <w:r>
        <w:rPr>
          <w:b/>
          <w:color w:val="231F20"/>
          <w:spacing w:val="-1"/>
          <w:w w:val="110"/>
          <w:sz w:val="20"/>
        </w:rPr>
        <w:t>a</w:t>
      </w:r>
      <w:r>
        <w:rPr>
          <w:b/>
          <w:color w:val="231F20"/>
          <w:spacing w:val="1"/>
          <w:w w:val="110"/>
          <w:sz w:val="20"/>
        </w:rPr>
        <w:t>k</w:t>
      </w:r>
      <w:r>
        <w:rPr>
          <w:b/>
          <w:color w:val="231F20"/>
          <w:spacing w:val="-1"/>
          <w:w w:val="110"/>
          <w:sz w:val="20"/>
        </w:rPr>
        <w:t>i</w:t>
      </w:r>
      <w:r>
        <w:rPr>
          <w:b/>
          <w:color w:val="231F20"/>
          <w:spacing w:val="1"/>
          <w:w w:val="109"/>
          <w:sz w:val="20"/>
        </w:rPr>
        <w:t>n</w:t>
      </w:r>
      <w:r>
        <w:rPr>
          <w:b/>
          <w:color w:val="231F20"/>
          <w:w w:val="109"/>
          <w:sz w:val="20"/>
        </w:rPr>
        <w:t>g</w:t>
      </w:r>
    </w:p>
    <w:p>
      <w:pPr>
        <w:pStyle w:val="ListParagraph"/>
        <w:numPr>
          <w:ilvl w:val="0"/>
          <w:numId w:val="205"/>
        </w:numPr>
        <w:tabs>
          <w:tab w:pos="1392" w:val="left" w:leader="none"/>
          <w:tab w:pos="1393" w:val="left" w:leader="none"/>
        </w:tabs>
        <w:spacing w:line="240" w:lineRule="auto" w:before="464" w:after="0"/>
        <w:ind w:left="1392" w:right="0" w:hanging="454"/>
        <w:jc w:val="left"/>
        <w:rPr>
          <w:sz w:val="18"/>
        </w:rPr>
      </w:pPr>
      <w:r>
        <w:rPr>
          <w:color w:val="231F20"/>
          <w:w w:val="110"/>
          <w:sz w:val="18"/>
        </w:rPr>
        <w:t>General Assembly resolves</w:t>
      </w:r>
      <w:r>
        <w:rPr>
          <w:color w:val="231F20"/>
          <w:spacing w:val="4"/>
          <w:w w:val="110"/>
          <w:sz w:val="18"/>
        </w:rPr>
        <w:t> </w:t>
      </w:r>
      <w:r>
        <w:rPr>
          <w:color w:val="231F20"/>
          <w:w w:val="110"/>
          <w:sz w:val="18"/>
        </w:rPr>
        <w:t>that:</w:t>
      </w:r>
    </w:p>
    <w:p>
      <w:pPr>
        <w:pStyle w:val="BodyText"/>
        <w:spacing w:before="1"/>
        <w:rPr>
          <w:sz w:val="23"/>
        </w:rPr>
      </w:pPr>
    </w:p>
    <w:p>
      <w:pPr>
        <w:pStyle w:val="ListParagraph"/>
        <w:numPr>
          <w:ilvl w:val="1"/>
          <w:numId w:val="205"/>
        </w:numPr>
        <w:tabs>
          <w:tab w:pos="1847" w:val="left" w:leader="none"/>
        </w:tabs>
        <w:spacing w:line="273" w:lineRule="auto" w:before="1" w:after="0"/>
        <w:ind w:left="1846" w:right="3435" w:hanging="454"/>
        <w:jc w:val="both"/>
        <w:rPr>
          <w:sz w:val="18"/>
        </w:rPr>
      </w:pPr>
      <w:r>
        <w:rPr>
          <w:color w:val="231F20"/>
          <w:spacing w:val="2"/>
          <w:w w:val="110"/>
          <w:sz w:val="18"/>
        </w:rPr>
        <w:t>from </w:t>
      </w:r>
      <w:r>
        <w:rPr>
          <w:color w:val="231F20"/>
          <w:w w:val="110"/>
          <w:sz w:val="18"/>
        </w:rPr>
        <w:t>the close of Assembly 2007 it shall adopt a system of decision making by consensus in addition to the </w:t>
      </w:r>
      <w:r>
        <w:rPr>
          <w:color w:val="231F20"/>
          <w:spacing w:val="2"/>
          <w:w w:val="110"/>
          <w:sz w:val="18"/>
        </w:rPr>
        <w:t>process </w:t>
      </w:r>
      <w:r>
        <w:rPr>
          <w:color w:val="231F20"/>
          <w:w w:val="110"/>
          <w:sz w:val="18"/>
        </w:rPr>
        <w:t>of making decisions by majority</w:t>
      </w:r>
      <w:r>
        <w:rPr>
          <w:color w:val="231F20"/>
          <w:spacing w:val="8"/>
          <w:w w:val="110"/>
          <w:sz w:val="18"/>
        </w:rPr>
        <w:t> </w:t>
      </w:r>
      <w:r>
        <w:rPr>
          <w:color w:val="231F20"/>
          <w:w w:val="110"/>
          <w:sz w:val="18"/>
        </w:rPr>
        <w:t>voting.</w:t>
      </w:r>
    </w:p>
    <w:p>
      <w:pPr>
        <w:pStyle w:val="BodyText"/>
        <w:spacing w:before="8"/>
        <w:rPr>
          <w:sz w:val="20"/>
        </w:rPr>
      </w:pPr>
    </w:p>
    <w:p>
      <w:pPr>
        <w:pStyle w:val="ListParagraph"/>
        <w:numPr>
          <w:ilvl w:val="1"/>
          <w:numId w:val="205"/>
        </w:numPr>
        <w:tabs>
          <w:tab w:pos="1845" w:val="left" w:leader="none"/>
          <w:tab w:pos="1847" w:val="left" w:leader="none"/>
        </w:tabs>
        <w:spacing w:line="273" w:lineRule="auto" w:before="0" w:after="0"/>
        <w:ind w:left="1846" w:right="3113" w:hanging="455"/>
        <w:jc w:val="left"/>
        <w:rPr>
          <w:sz w:val="18"/>
        </w:rPr>
      </w:pPr>
      <w:r>
        <w:rPr>
          <w:color w:val="231F20"/>
          <w:w w:val="110"/>
          <w:sz w:val="18"/>
        </w:rPr>
        <w:t>all discussions and decisions will begin by using consensus procedures except the election of the Moderator of the General Assembly and matters covered by section </w:t>
      </w:r>
      <w:r>
        <w:rPr>
          <w:color w:val="231F20"/>
          <w:spacing w:val="-10"/>
          <w:w w:val="110"/>
          <w:sz w:val="18"/>
        </w:rPr>
        <w:t>3(1) </w:t>
      </w:r>
      <w:r>
        <w:rPr>
          <w:color w:val="231F20"/>
          <w:w w:val="110"/>
          <w:sz w:val="18"/>
        </w:rPr>
        <w:t>&amp; </w:t>
      </w:r>
      <w:r>
        <w:rPr>
          <w:color w:val="231F20"/>
          <w:spacing w:val="-8"/>
          <w:w w:val="110"/>
          <w:sz w:val="18"/>
        </w:rPr>
        <w:t>(2) </w:t>
      </w:r>
      <w:r>
        <w:rPr>
          <w:color w:val="231F20"/>
          <w:w w:val="110"/>
          <w:sz w:val="18"/>
        </w:rPr>
        <w:t>of the Structure of the United Reformed Church which will be dealt with by majority</w:t>
      </w:r>
      <w:r>
        <w:rPr>
          <w:color w:val="231F20"/>
          <w:spacing w:val="-10"/>
          <w:w w:val="110"/>
          <w:sz w:val="18"/>
        </w:rPr>
        <w:t> </w:t>
      </w:r>
      <w:r>
        <w:rPr>
          <w:color w:val="231F20"/>
          <w:spacing w:val="-3"/>
          <w:w w:val="110"/>
          <w:sz w:val="18"/>
        </w:rPr>
        <w:t>voting.</w:t>
      </w:r>
    </w:p>
    <w:p>
      <w:pPr>
        <w:pStyle w:val="BodyText"/>
        <w:spacing w:before="10"/>
        <w:rPr>
          <w:sz w:val="20"/>
        </w:rPr>
      </w:pPr>
    </w:p>
    <w:p>
      <w:pPr>
        <w:pStyle w:val="ListParagraph"/>
        <w:numPr>
          <w:ilvl w:val="0"/>
          <w:numId w:val="205"/>
        </w:numPr>
        <w:tabs>
          <w:tab w:pos="1395" w:val="left" w:leader="none"/>
          <w:tab w:pos="1396" w:val="left" w:leader="none"/>
        </w:tabs>
        <w:spacing w:line="273" w:lineRule="auto" w:before="1" w:after="0"/>
        <w:ind w:left="1395" w:right="3306" w:hanging="454"/>
        <w:jc w:val="left"/>
        <w:rPr>
          <w:sz w:val="18"/>
        </w:rPr>
      </w:pPr>
      <w:r>
        <w:rPr>
          <w:color w:val="231F20"/>
          <w:w w:val="110"/>
          <w:sz w:val="18"/>
        </w:rPr>
        <w:t>General Assembly resolves to amend the Standing </w:t>
      </w:r>
      <w:r>
        <w:rPr>
          <w:color w:val="231F20"/>
          <w:spacing w:val="2"/>
          <w:w w:val="110"/>
          <w:sz w:val="18"/>
        </w:rPr>
        <w:t>Orders </w:t>
      </w:r>
      <w:r>
        <w:rPr>
          <w:color w:val="231F20"/>
          <w:w w:val="110"/>
          <w:sz w:val="18"/>
        </w:rPr>
        <w:t>of the General Assembly by adding a new </w:t>
      </w:r>
      <w:r>
        <w:rPr>
          <w:color w:val="231F20"/>
          <w:spacing w:val="2"/>
          <w:w w:val="110"/>
          <w:sz w:val="18"/>
        </w:rPr>
        <w:t>section </w:t>
      </w:r>
      <w:r>
        <w:rPr>
          <w:color w:val="231F20"/>
          <w:w w:val="110"/>
          <w:sz w:val="18"/>
        </w:rPr>
        <w:t>2 (pages 5-8 </w:t>
      </w:r>
      <w:r>
        <w:rPr>
          <w:color w:val="231F20"/>
          <w:spacing w:val="-4"/>
          <w:w w:val="110"/>
          <w:sz w:val="18"/>
        </w:rPr>
        <w:t>below) </w:t>
      </w:r>
      <w:r>
        <w:rPr>
          <w:color w:val="231F20"/>
          <w:w w:val="110"/>
          <w:sz w:val="18"/>
        </w:rPr>
        <w:t>and renumbering the current </w:t>
      </w:r>
      <w:r>
        <w:rPr>
          <w:color w:val="231F20"/>
          <w:spacing w:val="2"/>
          <w:w w:val="110"/>
          <w:sz w:val="18"/>
        </w:rPr>
        <w:t>sections </w:t>
      </w:r>
      <w:r>
        <w:rPr>
          <w:color w:val="231F20"/>
          <w:w w:val="110"/>
          <w:sz w:val="18"/>
        </w:rPr>
        <w:t>2 to </w:t>
      </w:r>
      <w:r>
        <w:rPr>
          <w:color w:val="231F20"/>
          <w:spacing w:val="-3"/>
          <w:w w:val="110"/>
          <w:sz w:val="18"/>
        </w:rPr>
        <w:t>12 </w:t>
      </w:r>
      <w:r>
        <w:rPr>
          <w:color w:val="231F20"/>
          <w:w w:val="110"/>
          <w:sz w:val="18"/>
        </w:rPr>
        <w:t>as 3 to</w:t>
      </w:r>
      <w:r>
        <w:rPr>
          <w:color w:val="231F20"/>
          <w:spacing w:val="51"/>
          <w:w w:val="110"/>
          <w:sz w:val="18"/>
        </w:rPr>
        <w:t> </w:t>
      </w:r>
      <w:r>
        <w:rPr>
          <w:color w:val="231F20"/>
          <w:spacing w:val="-3"/>
          <w:w w:val="110"/>
          <w:sz w:val="18"/>
        </w:rPr>
        <w:t>13.</w:t>
      </w:r>
    </w:p>
    <w:p>
      <w:pPr>
        <w:pStyle w:val="BodyText"/>
        <w:spacing w:before="8"/>
        <w:rPr>
          <w:sz w:val="20"/>
        </w:rPr>
      </w:pPr>
    </w:p>
    <w:p>
      <w:pPr>
        <w:pStyle w:val="ListParagraph"/>
        <w:numPr>
          <w:ilvl w:val="0"/>
          <w:numId w:val="205"/>
        </w:numPr>
        <w:tabs>
          <w:tab w:pos="1392" w:val="left" w:leader="none"/>
          <w:tab w:pos="1393" w:val="left" w:leader="none"/>
        </w:tabs>
        <w:spacing w:line="273" w:lineRule="auto" w:before="0" w:after="0"/>
        <w:ind w:left="1392" w:right="3498" w:hanging="454"/>
        <w:jc w:val="left"/>
        <w:rPr>
          <w:sz w:val="18"/>
        </w:rPr>
      </w:pPr>
      <w:r>
        <w:rPr>
          <w:color w:val="231F20"/>
          <w:w w:val="110"/>
          <w:sz w:val="18"/>
        </w:rPr>
        <w:t>Since the rules of procedure </w:t>
      </w:r>
      <w:r>
        <w:rPr>
          <w:color w:val="231F20"/>
          <w:spacing w:val="-3"/>
          <w:w w:val="110"/>
          <w:sz w:val="18"/>
        </w:rPr>
        <w:t>1.3 </w:t>
      </w:r>
      <w:r>
        <w:rPr>
          <w:color w:val="231F20"/>
          <w:w w:val="110"/>
          <w:sz w:val="18"/>
        </w:rPr>
        <w:t>state that “standing orders </w:t>
      </w:r>
      <w:r>
        <w:rPr>
          <w:color w:val="231F20"/>
          <w:spacing w:val="-8"/>
          <w:w w:val="110"/>
          <w:sz w:val="18"/>
        </w:rPr>
        <w:t>... </w:t>
      </w:r>
      <w:r>
        <w:rPr>
          <w:color w:val="231F20"/>
          <w:w w:val="110"/>
          <w:sz w:val="18"/>
        </w:rPr>
        <w:t>shall</w:t>
      </w:r>
      <w:r>
        <w:rPr>
          <w:color w:val="231F20"/>
          <w:spacing w:val="-7"/>
          <w:w w:val="110"/>
          <w:sz w:val="18"/>
        </w:rPr>
        <w:t> </w:t>
      </w:r>
      <w:r>
        <w:rPr>
          <w:color w:val="231F20"/>
          <w:w w:val="110"/>
          <w:sz w:val="18"/>
        </w:rPr>
        <w:t>apply</w:t>
      </w:r>
      <w:r>
        <w:rPr>
          <w:color w:val="231F20"/>
          <w:spacing w:val="-6"/>
          <w:w w:val="110"/>
          <w:sz w:val="18"/>
        </w:rPr>
        <w:t> </w:t>
      </w:r>
      <w:r>
        <w:rPr>
          <w:color w:val="231F20"/>
          <w:w w:val="110"/>
          <w:sz w:val="18"/>
        </w:rPr>
        <w:t>to</w:t>
      </w:r>
      <w:r>
        <w:rPr>
          <w:color w:val="231F20"/>
          <w:spacing w:val="-7"/>
          <w:w w:val="110"/>
          <w:sz w:val="18"/>
        </w:rPr>
        <w:t> </w:t>
      </w:r>
      <w:r>
        <w:rPr>
          <w:color w:val="231F20"/>
          <w:w w:val="110"/>
          <w:sz w:val="18"/>
        </w:rPr>
        <w:t>all</w:t>
      </w:r>
      <w:r>
        <w:rPr>
          <w:color w:val="231F20"/>
          <w:spacing w:val="-6"/>
          <w:w w:val="110"/>
          <w:sz w:val="18"/>
        </w:rPr>
        <w:t> </w:t>
      </w:r>
      <w:r>
        <w:rPr>
          <w:color w:val="231F20"/>
          <w:w w:val="110"/>
          <w:sz w:val="18"/>
        </w:rPr>
        <w:t>meetings</w:t>
      </w:r>
      <w:r>
        <w:rPr>
          <w:color w:val="231F20"/>
          <w:spacing w:val="-7"/>
          <w:w w:val="110"/>
          <w:sz w:val="18"/>
        </w:rPr>
        <w:t> </w:t>
      </w:r>
      <w:r>
        <w:rPr>
          <w:color w:val="231F20"/>
          <w:w w:val="110"/>
          <w:sz w:val="18"/>
        </w:rPr>
        <w:t>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Assembly</w:t>
      </w:r>
      <w:r>
        <w:rPr>
          <w:color w:val="231F20"/>
          <w:spacing w:val="-6"/>
          <w:w w:val="110"/>
          <w:sz w:val="18"/>
        </w:rPr>
        <w:t> </w:t>
      </w:r>
      <w:r>
        <w:rPr>
          <w:color w:val="231F20"/>
          <w:spacing w:val="-3"/>
          <w:w w:val="110"/>
          <w:sz w:val="18"/>
        </w:rPr>
        <w:t>and,</w:t>
      </w:r>
      <w:r>
        <w:rPr>
          <w:color w:val="231F20"/>
          <w:spacing w:val="-7"/>
          <w:w w:val="110"/>
          <w:sz w:val="18"/>
        </w:rPr>
        <w:t> </w:t>
      </w:r>
      <w:r>
        <w:rPr>
          <w:color w:val="231F20"/>
          <w:w w:val="110"/>
          <w:sz w:val="18"/>
        </w:rPr>
        <w:t>in</w:t>
      </w:r>
      <w:r>
        <w:rPr>
          <w:color w:val="231F20"/>
          <w:spacing w:val="-6"/>
          <w:w w:val="110"/>
          <w:sz w:val="18"/>
        </w:rPr>
        <w:t> </w:t>
      </w:r>
      <w:r>
        <w:rPr>
          <w:color w:val="231F20"/>
          <w:w w:val="110"/>
          <w:sz w:val="18"/>
        </w:rPr>
        <w:t>so</w:t>
      </w:r>
      <w:r>
        <w:rPr>
          <w:color w:val="231F20"/>
          <w:spacing w:val="-7"/>
          <w:w w:val="110"/>
          <w:sz w:val="18"/>
        </w:rPr>
        <w:t> </w:t>
      </w:r>
      <w:r>
        <w:rPr>
          <w:color w:val="231F20"/>
          <w:w w:val="110"/>
          <w:sz w:val="18"/>
        </w:rPr>
        <w:t>far</w:t>
      </w:r>
      <w:r>
        <w:rPr>
          <w:color w:val="231F20"/>
          <w:spacing w:val="-6"/>
          <w:w w:val="110"/>
          <w:sz w:val="18"/>
        </w:rPr>
        <w:t> </w:t>
      </w:r>
      <w:r>
        <w:rPr>
          <w:color w:val="231F20"/>
          <w:w w:val="110"/>
          <w:sz w:val="18"/>
        </w:rPr>
        <w:t>as</w:t>
      </w:r>
      <w:r>
        <w:rPr>
          <w:color w:val="231F20"/>
          <w:spacing w:val="-7"/>
          <w:w w:val="110"/>
          <w:sz w:val="18"/>
        </w:rPr>
        <w:t> </w:t>
      </w:r>
      <w:r>
        <w:rPr>
          <w:color w:val="231F20"/>
          <w:w w:val="110"/>
          <w:sz w:val="18"/>
        </w:rPr>
        <w:t>they are applicable, to meetings of synods </w:t>
      </w:r>
      <w:r>
        <w:rPr>
          <w:color w:val="231F20"/>
          <w:spacing w:val="-6"/>
          <w:w w:val="110"/>
          <w:sz w:val="18"/>
        </w:rPr>
        <w:t>... </w:t>
      </w:r>
      <w:r>
        <w:rPr>
          <w:color w:val="231F20"/>
          <w:w w:val="110"/>
          <w:sz w:val="18"/>
        </w:rPr>
        <w:t>and their committees”, General Assembly encourages Mission Council, Assembly Committees, Synods and their committees to use the concensus</w:t>
      </w:r>
      <w:r>
        <w:rPr>
          <w:color w:val="231F20"/>
          <w:spacing w:val="-5"/>
          <w:w w:val="110"/>
          <w:sz w:val="18"/>
        </w:rPr>
        <w:t> </w:t>
      </w:r>
      <w:r>
        <w:rPr>
          <w:color w:val="231F20"/>
          <w:w w:val="110"/>
          <w:sz w:val="18"/>
        </w:rPr>
        <w:t>procedures.</w:t>
      </w:r>
    </w:p>
    <w:p>
      <w:pPr>
        <w:spacing w:after="0" w:line="273" w:lineRule="auto"/>
        <w:jc w:val="left"/>
        <w:rPr>
          <w:sz w:val="18"/>
        </w:rPr>
        <w:sectPr>
          <w:headerReference w:type="default" r:id="rId449"/>
          <w:footerReference w:type="default" r:id="rId450"/>
          <w:pgSz w:w="11910" w:h="16840"/>
          <w:pgMar w:header="0" w:footer="0" w:top="1580" w:bottom="280" w:left="620" w:right="0"/>
        </w:sectPr>
      </w:pPr>
    </w:p>
    <w:p>
      <w:pPr>
        <w:pStyle w:val="BodyText"/>
        <w:rPr>
          <w:sz w:val="20"/>
        </w:rPr>
      </w:pPr>
    </w:p>
    <w:p>
      <w:pPr>
        <w:pStyle w:val="BodyText"/>
        <w:spacing w:before="8"/>
        <w:rPr>
          <w:sz w:val="23"/>
        </w:rPr>
      </w:pPr>
    </w:p>
    <w:p>
      <w:pPr>
        <w:spacing w:before="100"/>
        <w:ind w:left="885" w:right="0" w:firstLine="0"/>
        <w:jc w:val="left"/>
        <w:rPr>
          <w:b/>
          <w:sz w:val="18"/>
        </w:rPr>
      </w:pPr>
      <w:r>
        <w:rPr/>
        <w:pict>
          <v:group style="position:absolute;margin-left:52.698002pt;margin-top:-15.782592pt;width:461.55pt;height:411.3pt;mso-position-horizontal-relative:page;mso-position-vertical-relative:paragraph;z-index:-275180544" coordorigin="1054,-316" coordsize="9231,8226">
            <v:shape style="position:absolute;left:1133;top:-236;width:9071;height:8065" coordorigin="1134,-235" coordsize="9071,8065" path="m9965,-235l1374,-235,1235,-232,1164,-205,1138,-134,1134,5,1134,7589,1138,7728,1164,7799,1235,7826,1374,7829,9965,7829,10103,7826,10175,7799,10201,7728,10205,7589,10205,5,10201,-134,10175,-205,10103,-232,9965,-235xe" filled="true" fillcolor="#939598" stroked="false">
              <v:path arrowok="t"/>
              <v:fill type="solid"/>
            </v:shape>
            <v:shape style="position:absolute;left:1080;top:-290;width:9178;height:8172" coordorigin="1081,-289" coordsize="9178,8172" path="m1374,-289l1271,-271,1216,-247,1164,-208,1121,-155,1092,-85,1081,4,1081,7589,1098,7692,1123,7747,1161,7799,1214,7842,1285,7872,1374,7883,9965,7883,10067,7865,10123,7840,10174,7802,10218,7749,10247,7679,10258,7589,10258,4,10240,-98,10216,-154,10177,-205,10124,-249,10054,-278,9965,-289,1374,-289xe" filled="false" stroked="true" strokeweight="2.664pt" strokecolor="#ffffff">
              <v:path arrowok="t"/>
              <v:stroke dashstyle="solid"/>
            </v:shape>
            <v:shape style="position:absolute;left:1187;top:-183;width:8964;height:7959" coordorigin="1187,-182" coordsize="8964,7959" path="m1374,-182l1300,-168,1248,-139,1205,-84,1187,4,1187,7589,1201,7663,1231,7716,1286,7758,1374,7776,9965,7776,10038,7762,10091,7733,10134,7678,10151,7589,10151,4,10137,-69,10108,-122,10053,-165,9965,-182,1374,-182xe" filled="false" stroked="true" strokeweight="2.664pt" strokecolor="#ffffff">
              <v:path arrowok="t"/>
              <v:stroke dashstyle="solid"/>
            </v:shape>
            <w10:wrap type="none"/>
          </v:group>
        </w:pict>
      </w:r>
      <w:r>
        <w:rPr>
          <w:b/>
          <w:color w:val="FFFFFF"/>
          <w:w w:val="110"/>
          <w:sz w:val="18"/>
        </w:rPr>
        <w:t>Gathering God,</w:t>
      </w:r>
    </w:p>
    <w:p>
      <w:pPr>
        <w:spacing w:line="252" w:lineRule="auto" w:before="12"/>
        <w:ind w:left="885" w:right="3342" w:firstLine="0"/>
        <w:jc w:val="left"/>
        <w:rPr>
          <w:b/>
          <w:sz w:val="18"/>
        </w:rPr>
      </w:pPr>
      <w:r>
        <w:rPr>
          <w:b/>
          <w:color w:val="FFFFFF"/>
          <w:w w:val="110"/>
          <w:sz w:val="18"/>
        </w:rPr>
        <w:t>you </w:t>
      </w:r>
      <w:r>
        <w:rPr>
          <w:b/>
          <w:color w:val="FFFFFF"/>
          <w:spacing w:val="2"/>
          <w:w w:val="110"/>
          <w:sz w:val="18"/>
        </w:rPr>
        <w:t>shelter </w:t>
      </w:r>
      <w:r>
        <w:rPr>
          <w:b/>
          <w:color w:val="FFFFFF"/>
          <w:w w:val="110"/>
          <w:sz w:val="18"/>
        </w:rPr>
        <w:t>us under your wing like a hen with her chicks;   and then encourage us to </w:t>
      </w:r>
      <w:r>
        <w:rPr>
          <w:b/>
          <w:color w:val="FFFFFF"/>
          <w:spacing w:val="2"/>
          <w:w w:val="110"/>
          <w:sz w:val="18"/>
        </w:rPr>
        <w:t>reach </w:t>
      </w:r>
      <w:r>
        <w:rPr>
          <w:b/>
          <w:color w:val="FFFFFF"/>
          <w:w w:val="110"/>
          <w:sz w:val="18"/>
        </w:rPr>
        <w:t>out in new and exciting ways. But we long for what we</w:t>
      </w:r>
      <w:r>
        <w:rPr>
          <w:b/>
          <w:color w:val="FFFFFF"/>
          <w:spacing w:val="2"/>
          <w:w w:val="110"/>
          <w:sz w:val="18"/>
        </w:rPr>
        <w:t> </w:t>
      </w:r>
      <w:r>
        <w:rPr>
          <w:b/>
          <w:color w:val="FFFFFF"/>
          <w:w w:val="110"/>
          <w:sz w:val="18"/>
        </w:rPr>
        <w:t>know,</w:t>
      </w:r>
    </w:p>
    <w:p>
      <w:pPr>
        <w:spacing w:before="1"/>
        <w:ind w:left="885" w:right="0" w:firstLine="0"/>
        <w:jc w:val="left"/>
        <w:rPr>
          <w:b/>
          <w:sz w:val="18"/>
        </w:rPr>
      </w:pPr>
      <w:r>
        <w:rPr>
          <w:b/>
          <w:color w:val="FFFFFF"/>
          <w:w w:val="110"/>
          <w:sz w:val="18"/>
        </w:rPr>
        <w:t>for what we have always</w:t>
      </w:r>
      <w:r>
        <w:rPr>
          <w:b/>
          <w:color w:val="FFFFFF"/>
          <w:spacing w:val="34"/>
          <w:w w:val="110"/>
          <w:sz w:val="18"/>
        </w:rPr>
        <w:t> </w:t>
      </w:r>
      <w:r>
        <w:rPr>
          <w:b/>
          <w:color w:val="FFFFFF"/>
          <w:w w:val="110"/>
          <w:sz w:val="18"/>
        </w:rPr>
        <w:t>done.</w:t>
      </w:r>
    </w:p>
    <w:p>
      <w:pPr>
        <w:spacing w:line="252" w:lineRule="auto" w:before="11"/>
        <w:ind w:left="885" w:right="3094" w:firstLine="0"/>
        <w:jc w:val="left"/>
        <w:rPr>
          <w:b/>
          <w:sz w:val="18"/>
        </w:rPr>
      </w:pPr>
      <w:r>
        <w:rPr>
          <w:b/>
          <w:color w:val="FFFFFF"/>
          <w:w w:val="110"/>
          <w:sz w:val="18"/>
        </w:rPr>
        <w:t>Be with us as we listen for your voice through others’ insights and discern where you want us to go,</w:t>
      </w:r>
    </w:p>
    <w:p>
      <w:pPr>
        <w:spacing w:before="1"/>
        <w:ind w:left="885" w:right="0" w:firstLine="0"/>
        <w:jc w:val="left"/>
        <w:rPr>
          <w:b/>
          <w:sz w:val="18"/>
        </w:rPr>
      </w:pPr>
      <w:r>
        <w:rPr>
          <w:b/>
          <w:color w:val="FFFFFF"/>
          <w:w w:val="110"/>
          <w:sz w:val="18"/>
        </w:rPr>
        <w:t>what you want us to do</w:t>
      </w:r>
    </w:p>
    <w:p>
      <w:pPr>
        <w:spacing w:before="11"/>
        <w:ind w:left="885" w:right="0" w:firstLine="0"/>
        <w:jc w:val="left"/>
        <w:rPr>
          <w:b/>
          <w:sz w:val="18"/>
        </w:rPr>
      </w:pPr>
      <w:r>
        <w:rPr>
          <w:b/>
          <w:color w:val="FFFFFF"/>
          <w:w w:val="110"/>
          <w:sz w:val="18"/>
        </w:rPr>
        <w:t>and what you want us to be.</w:t>
      </w:r>
    </w:p>
    <w:p>
      <w:pPr>
        <w:pStyle w:val="BodyText"/>
        <w:spacing w:before="10"/>
        <w:rPr>
          <w:b/>
          <w:sz w:val="19"/>
        </w:rPr>
      </w:pPr>
    </w:p>
    <w:p>
      <w:pPr>
        <w:spacing w:line="252" w:lineRule="auto" w:before="0"/>
        <w:ind w:left="885" w:right="1844" w:firstLine="0"/>
        <w:jc w:val="left"/>
        <w:rPr>
          <w:b/>
          <w:sz w:val="18"/>
        </w:rPr>
      </w:pPr>
      <w:r>
        <w:rPr>
          <w:b/>
          <w:color w:val="FFFFFF"/>
          <w:w w:val="110"/>
          <w:sz w:val="18"/>
        </w:rPr>
        <w:t>Sometimes we fail to hear what others with less confidence have to say; sometimes we are so used to making decisions that we ignore and unknowingly trample on other people’s feelings and views.</w:t>
      </w:r>
    </w:p>
    <w:p>
      <w:pPr>
        <w:pStyle w:val="BodyText"/>
        <w:rPr>
          <w:b/>
          <w:sz w:val="19"/>
        </w:rPr>
      </w:pPr>
    </w:p>
    <w:p>
      <w:pPr>
        <w:spacing w:line="252" w:lineRule="auto" w:before="1"/>
        <w:ind w:left="885" w:right="8184" w:firstLine="0"/>
        <w:jc w:val="left"/>
        <w:rPr>
          <w:b/>
          <w:sz w:val="18"/>
        </w:rPr>
      </w:pPr>
      <w:r>
        <w:rPr>
          <w:b/>
          <w:color w:val="FFFFFF"/>
          <w:w w:val="110"/>
          <w:sz w:val="18"/>
        </w:rPr>
        <w:t>Help us to listen… to others…</w:t>
      </w:r>
    </w:p>
    <w:p>
      <w:pPr>
        <w:spacing w:before="0"/>
        <w:ind w:left="885" w:right="0" w:firstLine="0"/>
        <w:jc w:val="left"/>
        <w:rPr>
          <w:b/>
          <w:sz w:val="18"/>
        </w:rPr>
      </w:pPr>
      <w:r>
        <w:rPr>
          <w:b/>
          <w:color w:val="FFFFFF"/>
          <w:w w:val="110"/>
          <w:sz w:val="18"/>
        </w:rPr>
        <w:t>to you…</w:t>
      </w:r>
    </w:p>
    <w:p>
      <w:pPr>
        <w:spacing w:before="12"/>
        <w:ind w:left="885" w:right="0" w:firstLine="0"/>
        <w:jc w:val="left"/>
        <w:rPr>
          <w:b/>
          <w:sz w:val="18"/>
        </w:rPr>
      </w:pPr>
      <w:r>
        <w:rPr>
          <w:b/>
          <w:color w:val="FFFFFF"/>
          <w:w w:val="110"/>
          <w:sz w:val="18"/>
        </w:rPr>
        <w:t>and to our heart’s desires…</w:t>
      </w:r>
    </w:p>
    <w:p>
      <w:pPr>
        <w:pStyle w:val="BodyText"/>
        <w:spacing w:before="10"/>
        <w:rPr>
          <w:b/>
          <w:sz w:val="19"/>
        </w:rPr>
      </w:pPr>
    </w:p>
    <w:p>
      <w:pPr>
        <w:spacing w:line="252" w:lineRule="auto" w:before="0"/>
        <w:ind w:left="885" w:right="3755" w:firstLine="0"/>
        <w:jc w:val="left"/>
        <w:rPr>
          <w:b/>
          <w:sz w:val="18"/>
        </w:rPr>
      </w:pPr>
      <w:r>
        <w:rPr>
          <w:b/>
          <w:color w:val="FFFFFF"/>
          <w:w w:val="110"/>
          <w:sz w:val="18"/>
        </w:rPr>
        <w:t>Help us to understand that majorities are not always right, one </w:t>
      </w:r>
      <w:r>
        <w:rPr>
          <w:b/>
          <w:color w:val="FFFFFF"/>
          <w:spacing w:val="2"/>
          <w:w w:val="110"/>
          <w:sz w:val="18"/>
        </w:rPr>
        <w:t>person </w:t>
      </w:r>
      <w:r>
        <w:rPr>
          <w:b/>
          <w:color w:val="FFFFFF"/>
          <w:w w:val="110"/>
          <w:sz w:val="18"/>
        </w:rPr>
        <w:t>alone can throw new light on  old  problems, the most eloquent </w:t>
      </w:r>
      <w:r>
        <w:rPr>
          <w:b/>
          <w:color w:val="FFFFFF"/>
          <w:spacing w:val="2"/>
          <w:w w:val="110"/>
          <w:sz w:val="18"/>
        </w:rPr>
        <w:t>speeches sometimes </w:t>
      </w:r>
      <w:r>
        <w:rPr>
          <w:b/>
          <w:color w:val="FFFFFF"/>
          <w:w w:val="110"/>
          <w:sz w:val="18"/>
        </w:rPr>
        <w:t>hide your</w:t>
      </w:r>
      <w:r>
        <w:rPr>
          <w:b/>
          <w:color w:val="FFFFFF"/>
          <w:spacing w:val="45"/>
          <w:w w:val="110"/>
          <w:sz w:val="18"/>
        </w:rPr>
        <w:t> </w:t>
      </w:r>
      <w:r>
        <w:rPr>
          <w:b/>
          <w:color w:val="FFFFFF"/>
          <w:spacing w:val="2"/>
          <w:w w:val="110"/>
          <w:sz w:val="18"/>
        </w:rPr>
        <w:t>truth,</w:t>
      </w:r>
    </w:p>
    <w:p>
      <w:pPr>
        <w:spacing w:before="0"/>
        <w:ind w:left="885" w:right="0" w:firstLine="0"/>
        <w:jc w:val="left"/>
        <w:rPr>
          <w:b/>
          <w:sz w:val="18"/>
        </w:rPr>
      </w:pPr>
      <w:r>
        <w:rPr>
          <w:b/>
          <w:color w:val="FFFFFF"/>
          <w:w w:val="110"/>
          <w:sz w:val="18"/>
        </w:rPr>
        <w:t>committees can close down discussion rather than open it up to your Spirit.</w:t>
      </w:r>
    </w:p>
    <w:p>
      <w:pPr>
        <w:pStyle w:val="BodyText"/>
        <w:spacing w:before="10"/>
        <w:rPr>
          <w:b/>
          <w:sz w:val="19"/>
        </w:rPr>
      </w:pPr>
    </w:p>
    <w:p>
      <w:pPr>
        <w:spacing w:line="252" w:lineRule="auto" w:before="0"/>
        <w:ind w:left="885" w:right="2174" w:firstLine="0"/>
        <w:jc w:val="left"/>
        <w:rPr>
          <w:b/>
          <w:sz w:val="18"/>
        </w:rPr>
      </w:pPr>
      <w:r>
        <w:rPr>
          <w:b/>
          <w:color w:val="FFFFFF"/>
          <w:w w:val="110"/>
          <w:sz w:val="18"/>
        </w:rPr>
        <w:t>Forgive us those times when we have pushed our own personal views, have failed to listen to others and have perhaps influenced a meeting to achieve earthquake or fire for our own ends.</w:t>
      </w:r>
    </w:p>
    <w:p>
      <w:pPr>
        <w:pStyle w:val="BodyText"/>
        <w:rPr>
          <w:b/>
          <w:sz w:val="19"/>
        </w:rPr>
      </w:pPr>
    </w:p>
    <w:p>
      <w:pPr>
        <w:spacing w:line="252" w:lineRule="auto" w:before="1"/>
        <w:ind w:left="885" w:right="7129" w:firstLine="0"/>
        <w:jc w:val="left"/>
        <w:rPr>
          <w:b/>
          <w:sz w:val="18"/>
        </w:rPr>
      </w:pPr>
      <w:r>
        <w:rPr>
          <w:b/>
          <w:color w:val="FFFFFF"/>
          <w:w w:val="110"/>
          <w:sz w:val="18"/>
        </w:rPr>
        <w:t>Help us to appreciate that you may not be in the</w:t>
      </w:r>
      <w:r>
        <w:rPr>
          <w:b/>
          <w:color w:val="FFFFFF"/>
          <w:spacing w:val="36"/>
          <w:w w:val="110"/>
          <w:sz w:val="18"/>
        </w:rPr>
        <w:t> </w:t>
      </w:r>
      <w:r>
        <w:rPr>
          <w:b/>
          <w:color w:val="FFFFFF"/>
          <w:w w:val="110"/>
          <w:sz w:val="18"/>
        </w:rPr>
        <w:t>wind,</w:t>
      </w:r>
    </w:p>
    <w:p>
      <w:pPr>
        <w:spacing w:line="252" w:lineRule="auto" w:before="0"/>
        <w:ind w:left="885" w:right="5131" w:firstLine="0"/>
        <w:jc w:val="left"/>
        <w:rPr>
          <w:b/>
          <w:sz w:val="18"/>
        </w:rPr>
      </w:pPr>
      <w:r>
        <w:rPr>
          <w:b/>
          <w:color w:val="FFFFFF"/>
          <w:w w:val="110"/>
          <w:sz w:val="18"/>
        </w:rPr>
        <w:t>but in that small voice whispering in our ear the way you wish us to</w:t>
      </w:r>
      <w:r>
        <w:rPr>
          <w:b/>
          <w:color w:val="FFFFFF"/>
          <w:spacing w:val="5"/>
          <w:w w:val="110"/>
          <w:sz w:val="18"/>
        </w:rPr>
        <w:t> </w:t>
      </w:r>
      <w:r>
        <w:rPr>
          <w:b/>
          <w:color w:val="FFFFFF"/>
          <w:w w:val="110"/>
          <w:sz w:val="18"/>
        </w:rPr>
        <w:t>go…</w:t>
      </w:r>
    </w:p>
    <w:p>
      <w:pPr>
        <w:pStyle w:val="BodyText"/>
        <w:rPr>
          <w:b/>
          <w:sz w:val="20"/>
        </w:rPr>
      </w:pPr>
    </w:p>
    <w:p>
      <w:pPr>
        <w:pStyle w:val="BodyText"/>
        <w:spacing w:before="10"/>
        <w:rPr>
          <w:b/>
          <w:sz w:val="28"/>
        </w:rPr>
      </w:pPr>
    </w:p>
    <w:p>
      <w:pPr>
        <w:pStyle w:val="ListParagraph"/>
        <w:numPr>
          <w:ilvl w:val="0"/>
          <w:numId w:val="206"/>
        </w:numPr>
        <w:tabs>
          <w:tab w:pos="1233" w:val="left" w:leader="none"/>
          <w:tab w:pos="1234" w:val="left" w:leader="none"/>
        </w:tabs>
        <w:spacing w:line="240" w:lineRule="auto" w:before="98" w:after="0"/>
        <w:ind w:left="1233" w:right="0" w:hanging="721"/>
        <w:jc w:val="left"/>
        <w:rPr>
          <w:b/>
          <w:sz w:val="29"/>
        </w:rPr>
      </w:pPr>
      <w:r>
        <w:rPr/>
        <w:pict>
          <v:shape style="position:absolute;margin-left:314.10199pt;margin-top:10.140776pt;width:193.15pt;height:85.95pt;mso-position-horizontal-relative:page;mso-position-vertical-relative:paragraph;z-index:252085248" type="#_x0000_t202" filled="true" fillcolor="#d1d3d4" stroked="false">
            <v:textbox inset="0,0,0,0">
              <w:txbxContent>
                <w:p>
                  <w:pPr>
                    <w:spacing w:line="288" w:lineRule="auto" w:before="189"/>
                    <w:ind w:left="96" w:right="92" w:firstLine="58"/>
                    <w:jc w:val="both"/>
                    <w:rPr>
                      <w:sz w:val="22"/>
                    </w:rPr>
                  </w:pPr>
                  <w:r>
                    <w:rPr>
                      <w:color w:val="231F20"/>
                      <w:w w:val="95"/>
                      <w:sz w:val="22"/>
                    </w:rPr>
                    <w:t>‘Let</w:t>
                  </w:r>
                  <w:r>
                    <w:rPr>
                      <w:color w:val="231F20"/>
                      <w:spacing w:val="-37"/>
                      <w:w w:val="95"/>
                      <w:sz w:val="22"/>
                    </w:rPr>
                    <w:t> </w:t>
                  </w:r>
                  <w:r>
                    <w:rPr>
                      <w:color w:val="231F20"/>
                      <w:w w:val="95"/>
                      <w:sz w:val="22"/>
                    </w:rPr>
                    <w:t>Christ’s</w:t>
                  </w:r>
                  <w:r>
                    <w:rPr>
                      <w:color w:val="231F20"/>
                      <w:spacing w:val="-37"/>
                      <w:w w:val="95"/>
                      <w:sz w:val="22"/>
                    </w:rPr>
                    <w:t> </w:t>
                  </w:r>
                  <w:r>
                    <w:rPr>
                      <w:color w:val="231F20"/>
                      <w:w w:val="95"/>
                      <w:sz w:val="22"/>
                    </w:rPr>
                    <w:t>peace</w:t>
                  </w:r>
                  <w:r>
                    <w:rPr>
                      <w:color w:val="231F20"/>
                      <w:spacing w:val="-36"/>
                      <w:w w:val="95"/>
                      <w:sz w:val="22"/>
                    </w:rPr>
                    <w:t> </w:t>
                  </w:r>
                  <w:r>
                    <w:rPr>
                      <w:color w:val="231F20"/>
                      <w:w w:val="95"/>
                      <w:sz w:val="22"/>
                    </w:rPr>
                    <w:t>be</w:t>
                  </w:r>
                  <w:r>
                    <w:rPr>
                      <w:color w:val="231F20"/>
                      <w:spacing w:val="-37"/>
                      <w:w w:val="95"/>
                      <w:sz w:val="22"/>
                    </w:rPr>
                    <w:t> </w:t>
                  </w:r>
                  <w:r>
                    <w:rPr>
                      <w:color w:val="231F20"/>
                      <w:spacing w:val="-3"/>
                      <w:w w:val="95"/>
                      <w:sz w:val="22"/>
                    </w:rPr>
                    <w:t>arbiter</w:t>
                  </w:r>
                  <w:r>
                    <w:rPr>
                      <w:color w:val="231F20"/>
                      <w:spacing w:val="-36"/>
                      <w:w w:val="95"/>
                      <w:sz w:val="22"/>
                    </w:rPr>
                    <w:t> </w:t>
                  </w:r>
                  <w:r>
                    <w:rPr>
                      <w:color w:val="231F20"/>
                      <w:w w:val="95"/>
                      <w:sz w:val="22"/>
                    </w:rPr>
                    <w:t>in</w:t>
                  </w:r>
                  <w:r>
                    <w:rPr>
                      <w:color w:val="231F20"/>
                      <w:spacing w:val="-37"/>
                      <w:w w:val="95"/>
                      <w:sz w:val="22"/>
                    </w:rPr>
                    <w:t> </w:t>
                  </w:r>
                  <w:r>
                    <w:rPr>
                      <w:color w:val="231F20"/>
                      <w:spacing w:val="-4"/>
                      <w:w w:val="95"/>
                      <w:sz w:val="22"/>
                    </w:rPr>
                    <w:t>your </w:t>
                  </w:r>
                  <w:r>
                    <w:rPr>
                      <w:color w:val="231F20"/>
                      <w:spacing w:val="-3"/>
                      <w:w w:val="95"/>
                      <w:sz w:val="22"/>
                    </w:rPr>
                    <w:t>decisions,</w:t>
                  </w:r>
                  <w:r>
                    <w:rPr>
                      <w:color w:val="231F20"/>
                      <w:spacing w:val="-40"/>
                      <w:w w:val="95"/>
                      <w:sz w:val="22"/>
                    </w:rPr>
                    <w:t> </w:t>
                  </w:r>
                  <w:r>
                    <w:rPr>
                      <w:color w:val="231F20"/>
                      <w:w w:val="95"/>
                      <w:sz w:val="22"/>
                    </w:rPr>
                    <w:t>the</w:t>
                  </w:r>
                  <w:r>
                    <w:rPr>
                      <w:color w:val="231F20"/>
                      <w:spacing w:val="-39"/>
                      <w:w w:val="95"/>
                      <w:sz w:val="22"/>
                    </w:rPr>
                    <w:t> </w:t>
                  </w:r>
                  <w:r>
                    <w:rPr>
                      <w:color w:val="231F20"/>
                      <w:w w:val="95"/>
                      <w:sz w:val="22"/>
                    </w:rPr>
                    <w:t>peace</w:t>
                  </w:r>
                  <w:r>
                    <w:rPr>
                      <w:color w:val="231F20"/>
                      <w:spacing w:val="-39"/>
                      <w:w w:val="95"/>
                      <w:sz w:val="22"/>
                    </w:rPr>
                    <w:t> </w:t>
                  </w:r>
                  <w:r>
                    <w:rPr>
                      <w:color w:val="231F20"/>
                      <w:w w:val="95"/>
                      <w:sz w:val="22"/>
                    </w:rPr>
                    <w:t>to</w:t>
                  </w:r>
                  <w:r>
                    <w:rPr>
                      <w:color w:val="231F20"/>
                      <w:spacing w:val="-39"/>
                      <w:w w:val="95"/>
                      <w:sz w:val="22"/>
                    </w:rPr>
                    <w:t> </w:t>
                  </w:r>
                  <w:r>
                    <w:rPr>
                      <w:color w:val="231F20"/>
                      <w:spacing w:val="-3"/>
                      <w:w w:val="95"/>
                      <w:sz w:val="22"/>
                    </w:rPr>
                    <w:t>which</w:t>
                  </w:r>
                  <w:r>
                    <w:rPr>
                      <w:color w:val="231F20"/>
                      <w:spacing w:val="-39"/>
                      <w:w w:val="95"/>
                      <w:sz w:val="22"/>
                    </w:rPr>
                    <w:t> </w:t>
                  </w:r>
                  <w:r>
                    <w:rPr>
                      <w:color w:val="231F20"/>
                      <w:spacing w:val="-4"/>
                      <w:w w:val="95"/>
                      <w:sz w:val="22"/>
                    </w:rPr>
                    <w:t>you</w:t>
                  </w:r>
                  <w:r>
                    <w:rPr>
                      <w:color w:val="231F20"/>
                      <w:spacing w:val="-39"/>
                      <w:w w:val="95"/>
                      <w:sz w:val="22"/>
                    </w:rPr>
                    <w:t> </w:t>
                  </w:r>
                  <w:r>
                    <w:rPr>
                      <w:color w:val="231F20"/>
                      <w:w w:val="95"/>
                      <w:sz w:val="22"/>
                    </w:rPr>
                    <w:t>are </w:t>
                  </w:r>
                  <w:r>
                    <w:rPr>
                      <w:color w:val="231F20"/>
                      <w:spacing w:val="-2"/>
                      <w:sz w:val="22"/>
                    </w:rPr>
                    <w:t>called</w:t>
                  </w:r>
                  <w:r>
                    <w:rPr>
                      <w:color w:val="231F20"/>
                      <w:spacing w:val="-55"/>
                      <w:sz w:val="22"/>
                    </w:rPr>
                    <w:t> </w:t>
                  </w:r>
                  <w:r>
                    <w:rPr>
                      <w:color w:val="231F20"/>
                      <w:sz w:val="22"/>
                    </w:rPr>
                    <w:t>as</w:t>
                  </w:r>
                  <w:r>
                    <w:rPr>
                      <w:color w:val="231F20"/>
                      <w:spacing w:val="-54"/>
                      <w:sz w:val="22"/>
                    </w:rPr>
                    <w:t> </w:t>
                  </w:r>
                  <w:r>
                    <w:rPr>
                      <w:color w:val="231F20"/>
                      <w:sz w:val="22"/>
                    </w:rPr>
                    <w:t>members</w:t>
                  </w:r>
                  <w:r>
                    <w:rPr>
                      <w:color w:val="231F20"/>
                      <w:spacing w:val="-54"/>
                      <w:sz w:val="22"/>
                    </w:rPr>
                    <w:t> </w:t>
                  </w:r>
                  <w:r>
                    <w:rPr>
                      <w:color w:val="231F20"/>
                      <w:sz w:val="22"/>
                    </w:rPr>
                    <w:t>of</w:t>
                  </w:r>
                  <w:r>
                    <w:rPr>
                      <w:color w:val="231F20"/>
                      <w:spacing w:val="-54"/>
                      <w:sz w:val="22"/>
                    </w:rPr>
                    <w:t> </w:t>
                  </w:r>
                  <w:r>
                    <w:rPr>
                      <w:color w:val="231F20"/>
                      <w:sz w:val="22"/>
                    </w:rPr>
                    <w:t>a</w:t>
                  </w:r>
                  <w:r>
                    <w:rPr>
                      <w:color w:val="231F20"/>
                      <w:spacing w:val="-54"/>
                      <w:sz w:val="22"/>
                    </w:rPr>
                    <w:t> </w:t>
                  </w:r>
                  <w:r>
                    <w:rPr>
                      <w:color w:val="231F20"/>
                      <w:spacing w:val="-3"/>
                      <w:sz w:val="22"/>
                    </w:rPr>
                    <w:t>single</w:t>
                  </w:r>
                  <w:r>
                    <w:rPr>
                      <w:color w:val="231F20"/>
                      <w:spacing w:val="-54"/>
                      <w:sz w:val="22"/>
                    </w:rPr>
                    <w:t> </w:t>
                  </w:r>
                  <w:r>
                    <w:rPr>
                      <w:color w:val="231F20"/>
                      <w:sz w:val="22"/>
                    </w:rPr>
                    <w:t>body’</w:t>
                  </w:r>
                </w:p>
                <w:p>
                  <w:pPr>
                    <w:spacing w:before="57"/>
                    <w:ind w:left="1176" w:right="0" w:firstLine="0"/>
                    <w:jc w:val="both"/>
                    <w:rPr>
                      <w:sz w:val="22"/>
                    </w:rPr>
                  </w:pPr>
                  <w:r>
                    <w:rPr>
                      <w:color w:val="231F20"/>
                      <w:sz w:val="22"/>
                    </w:rPr>
                    <w:t>Colossians 3:15</w:t>
                  </w:r>
                </w:p>
              </w:txbxContent>
            </v:textbox>
            <v:fill type="solid"/>
            <w10:wrap type="none"/>
          </v:shape>
        </w:pict>
      </w:r>
      <w:r>
        <w:rPr>
          <w:b/>
          <w:color w:val="231F20"/>
          <w:w w:val="110"/>
          <w:sz w:val="29"/>
        </w:rPr>
        <w:t>Introduction</w:t>
      </w:r>
    </w:p>
    <w:p>
      <w:pPr>
        <w:pStyle w:val="ListParagraph"/>
        <w:numPr>
          <w:ilvl w:val="1"/>
          <w:numId w:val="206"/>
        </w:numPr>
        <w:tabs>
          <w:tab w:pos="1233" w:val="left" w:leader="none"/>
          <w:tab w:pos="1234" w:val="left" w:leader="none"/>
        </w:tabs>
        <w:spacing w:line="273" w:lineRule="auto" w:before="168" w:after="0"/>
        <w:ind w:left="514" w:right="5900" w:hanging="1"/>
        <w:jc w:val="left"/>
        <w:rPr>
          <w:sz w:val="18"/>
        </w:rPr>
      </w:pPr>
      <w:r>
        <w:rPr>
          <w:color w:val="231F20"/>
          <w:spacing w:val="3"/>
          <w:w w:val="110"/>
          <w:sz w:val="18"/>
        </w:rPr>
        <w:t>Consensus decision </w:t>
      </w:r>
      <w:r>
        <w:rPr>
          <w:color w:val="231F20"/>
          <w:spacing w:val="2"/>
          <w:w w:val="110"/>
          <w:sz w:val="18"/>
        </w:rPr>
        <w:t>making </w:t>
      </w:r>
      <w:r>
        <w:rPr>
          <w:color w:val="231F20"/>
          <w:w w:val="110"/>
          <w:sz w:val="18"/>
        </w:rPr>
        <w:t>is a </w:t>
      </w:r>
      <w:r>
        <w:rPr>
          <w:color w:val="231F20"/>
          <w:spacing w:val="4"/>
          <w:w w:val="110"/>
          <w:sz w:val="18"/>
        </w:rPr>
        <w:t>process </w:t>
      </w:r>
      <w:r>
        <w:rPr>
          <w:color w:val="231F20"/>
          <w:w w:val="110"/>
          <w:sz w:val="18"/>
        </w:rPr>
        <w:t>of </w:t>
      </w:r>
      <w:r>
        <w:rPr>
          <w:color w:val="231F20"/>
          <w:spacing w:val="2"/>
          <w:w w:val="110"/>
          <w:sz w:val="18"/>
        </w:rPr>
        <w:t>listening for God’s word </w:t>
      </w:r>
      <w:r>
        <w:rPr>
          <w:color w:val="231F20"/>
          <w:w w:val="110"/>
          <w:sz w:val="18"/>
        </w:rPr>
        <w:t>to us </w:t>
      </w:r>
      <w:r>
        <w:rPr>
          <w:color w:val="231F20"/>
          <w:spacing w:val="2"/>
          <w:w w:val="110"/>
          <w:sz w:val="18"/>
        </w:rPr>
        <w:t>through the </w:t>
      </w:r>
      <w:r>
        <w:rPr>
          <w:color w:val="231F20"/>
          <w:spacing w:val="3"/>
          <w:w w:val="110"/>
          <w:sz w:val="18"/>
        </w:rPr>
        <w:t>prayerful </w:t>
      </w:r>
      <w:r>
        <w:rPr>
          <w:color w:val="231F20"/>
          <w:spacing w:val="2"/>
          <w:w w:val="110"/>
          <w:sz w:val="18"/>
        </w:rPr>
        <w:t>engagement </w:t>
      </w:r>
      <w:r>
        <w:rPr>
          <w:color w:val="231F20"/>
          <w:w w:val="110"/>
          <w:sz w:val="18"/>
        </w:rPr>
        <w:t>of all who </w:t>
      </w:r>
      <w:r>
        <w:rPr>
          <w:color w:val="231F20"/>
          <w:spacing w:val="2"/>
          <w:w w:val="110"/>
          <w:sz w:val="18"/>
        </w:rPr>
        <w:t>are making the decision. </w:t>
      </w:r>
      <w:r>
        <w:rPr>
          <w:color w:val="231F20"/>
          <w:w w:val="110"/>
          <w:sz w:val="18"/>
        </w:rPr>
        <w:t>It </w:t>
      </w:r>
      <w:r>
        <w:rPr>
          <w:color w:val="231F20"/>
          <w:spacing w:val="3"/>
          <w:w w:val="110"/>
          <w:sz w:val="18"/>
        </w:rPr>
        <w:t>requires careful </w:t>
      </w:r>
      <w:r>
        <w:rPr>
          <w:color w:val="231F20"/>
          <w:w w:val="110"/>
          <w:sz w:val="18"/>
        </w:rPr>
        <w:t>and </w:t>
      </w:r>
      <w:r>
        <w:rPr>
          <w:color w:val="231F20"/>
          <w:spacing w:val="3"/>
          <w:w w:val="110"/>
          <w:sz w:val="18"/>
        </w:rPr>
        <w:t>skilful moderating </w:t>
      </w:r>
      <w:r>
        <w:rPr>
          <w:color w:val="231F20"/>
          <w:w w:val="110"/>
          <w:sz w:val="18"/>
        </w:rPr>
        <w:t>as </w:t>
      </w:r>
      <w:r>
        <w:rPr>
          <w:color w:val="231F20"/>
          <w:spacing w:val="2"/>
          <w:w w:val="110"/>
          <w:sz w:val="18"/>
        </w:rPr>
        <w:t>the council </w:t>
      </w:r>
      <w:r>
        <w:rPr>
          <w:color w:val="231F20"/>
          <w:spacing w:val="4"/>
          <w:w w:val="110"/>
          <w:sz w:val="18"/>
        </w:rPr>
        <w:t>seeks </w:t>
      </w:r>
      <w:r>
        <w:rPr>
          <w:color w:val="231F20"/>
          <w:w w:val="110"/>
          <w:sz w:val="18"/>
        </w:rPr>
        <w:t>to</w:t>
      </w:r>
      <w:r>
        <w:rPr>
          <w:color w:val="231F20"/>
          <w:spacing w:val="45"/>
          <w:w w:val="110"/>
          <w:sz w:val="18"/>
        </w:rPr>
        <w:t> </w:t>
      </w:r>
      <w:r>
        <w:rPr>
          <w:color w:val="231F20"/>
          <w:spacing w:val="3"/>
          <w:w w:val="110"/>
          <w:sz w:val="18"/>
        </w:rPr>
        <w:t>discern</w:t>
      </w:r>
    </w:p>
    <w:p>
      <w:pPr>
        <w:pStyle w:val="BodyText"/>
        <w:spacing w:before="3"/>
        <w:ind w:left="513"/>
      </w:pPr>
      <w:r>
        <w:rPr>
          <w:color w:val="231F20"/>
          <w:w w:val="110"/>
        </w:rPr>
        <w:t>the will of God through everyone involved</w:t>
      </w:r>
    </w:p>
    <w:p>
      <w:pPr>
        <w:pStyle w:val="BodyText"/>
        <w:spacing w:line="273" w:lineRule="auto" w:before="32"/>
        <w:ind w:left="514" w:right="2040" w:hanging="1"/>
      </w:pPr>
      <w:r>
        <w:rPr>
          <w:color w:val="231F20"/>
          <w:spacing w:val="2"/>
          <w:w w:val="110"/>
        </w:rPr>
        <w:t>being </w:t>
      </w:r>
      <w:r>
        <w:rPr>
          <w:color w:val="231F20"/>
          <w:spacing w:val="3"/>
          <w:w w:val="110"/>
        </w:rPr>
        <w:t>heard </w:t>
      </w:r>
      <w:r>
        <w:rPr>
          <w:color w:val="231F20"/>
          <w:w w:val="110"/>
        </w:rPr>
        <w:t>and </w:t>
      </w:r>
      <w:r>
        <w:rPr>
          <w:color w:val="231F20"/>
          <w:spacing w:val="2"/>
          <w:w w:val="110"/>
        </w:rPr>
        <w:t>discovering </w:t>
      </w:r>
      <w:r>
        <w:rPr>
          <w:color w:val="231F20"/>
          <w:w w:val="110"/>
        </w:rPr>
        <w:t>an </w:t>
      </w:r>
      <w:r>
        <w:rPr>
          <w:color w:val="231F20"/>
          <w:spacing w:val="3"/>
          <w:w w:val="110"/>
        </w:rPr>
        <w:t>agreed </w:t>
      </w:r>
      <w:r>
        <w:rPr>
          <w:color w:val="231F20"/>
          <w:spacing w:val="2"/>
          <w:w w:val="110"/>
        </w:rPr>
        <w:t>outcome. Although </w:t>
      </w:r>
      <w:r>
        <w:rPr>
          <w:color w:val="231F20"/>
          <w:spacing w:val="3"/>
          <w:w w:val="110"/>
        </w:rPr>
        <w:t>there </w:t>
      </w:r>
      <w:r>
        <w:rPr>
          <w:color w:val="231F20"/>
          <w:w w:val="110"/>
        </w:rPr>
        <w:t>is </w:t>
      </w:r>
      <w:r>
        <w:rPr>
          <w:color w:val="231F20"/>
          <w:spacing w:val="3"/>
          <w:w w:val="110"/>
        </w:rPr>
        <w:t>room </w:t>
      </w:r>
      <w:r>
        <w:rPr>
          <w:color w:val="231F20"/>
          <w:spacing w:val="2"/>
          <w:w w:val="110"/>
        </w:rPr>
        <w:t>for </w:t>
      </w:r>
      <w:r>
        <w:rPr>
          <w:color w:val="231F20"/>
          <w:spacing w:val="3"/>
          <w:w w:val="110"/>
        </w:rPr>
        <w:t>disagreement, </w:t>
      </w:r>
      <w:r>
        <w:rPr>
          <w:color w:val="231F20"/>
          <w:spacing w:val="2"/>
          <w:w w:val="110"/>
        </w:rPr>
        <w:t>the </w:t>
      </w:r>
      <w:r>
        <w:rPr>
          <w:color w:val="231F20"/>
          <w:spacing w:val="4"/>
          <w:w w:val="110"/>
        </w:rPr>
        <w:t>process </w:t>
      </w:r>
      <w:r>
        <w:rPr>
          <w:color w:val="231F20"/>
          <w:spacing w:val="3"/>
          <w:w w:val="110"/>
        </w:rPr>
        <w:t>encourages </w:t>
      </w:r>
      <w:r>
        <w:rPr>
          <w:color w:val="231F20"/>
          <w:spacing w:val="2"/>
          <w:w w:val="110"/>
        </w:rPr>
        <w:t>the whole </w:t>
      </w:r>
      <w:r>
        <w:rPr>
          <w:color w:val="231F20"/>
          <w:spacing w:val="3"/>
          <w:w w:val="110"/>
        </w:rPr>
        <w:t>meeting </w:t>
      </w:r>
      <w:r>
        <w:rPr>
          <w:color w:val="231F20"/>
          <w:w w:val="110"/>
        </w:rPr>
        <w:t>to </w:t>
      </w:r>
      <w:r>
        <w:rPr>
          <w:color w:val="231F20"/>
          <w:spacing w:val="2"/>
          <w:w w:val="110"/>
        </w:rPr>
        <w:t>‘come </w:t>
      </w:r>
      <w:r>
        <w:rPr>
          <w:color w:val="231F20"/>
          <w:w w:val="110"/>
        </w:rPr>
        <w:t>to a mind’. While </w:t>
      </w:r>
      <w:r>
        <w:rPr>
          <w:color w:val="231F20"/>
          <w:spacing w:val="3"/>
          <w:w w:val="110"/>
        </w:rPr>
        <w:t>vigorous </w:t>
      </w:r>
      <w:r>
        <w:rPr>
          <w:color w:val="231F20"/>
          <w:spacing w:val="2"/>
          <w:w w:val="110"/>
        </w:rPr>
        <w:t>debate </w:t>
      </w:r>
      <w:r>
        <w:rPr>
          <w:color w:val="231F20"/>
          <w:w w:val="110"/>
        </w:rPr>
        <w:t>is </w:t>
      </w:r>
      <w:r>
        <w:rPr>
          <w:color w:val="231F20"/>
          <w:spacing w:val="3"/>
          <w:w w:val="110"/>
        </w:rPr>
        <w:t>expected, </w:t>
      </w:r>
      <w:r>
        <w:rPr>
          <w:color w:val="231F20"/>
          <w:spacing w:val="2"/>
          <w:w w:val="110"/>
        </w:rPr>
        <w:t>the </w:t>
      </w:r>
      <w:r>
        <w:rPr>
          <w:color w:val="231F20"/>
          <w:spacing w:val="4"/>
          <w:w w:val="110"/>
        </w:rPr>
        <w:t>process seeks </w:t>
      </w:r>
      <w:r>
        <w:rPr>
          <w:color w:val="231F20"/>
          <w:w w:val="110"/>
        </w:rPr>
        <w:t>not to </w:t>
      </w:r>
      <w:r>
        <w:rPr>
          <w:color w:val="231F20"/>
          <w:spacing w:val="2"/>
          <w:w w:val="110"/>
        </w:rPr>
        <w:t>be </w:t>
      </w:r>
      <w:r>
        <w:rPr>
          <w:color w:val="231F20"/>
          <w:spacing w:val="3"/>
          <w:w w:val="110"/>
        </w:rPr>
        <w:t>confrontational </w:t>
      </w:r>
      <w:r>
        <w:rPr>
          <w:color w:val="231F20"/>
          <w:w w:val="110"/>
        </w:rPr>
        <w:t>but rather, in love, to </w:t>
      </w:r>
      <w:r>
        <w:rPr>
          <w:color w:val="231F20"/>
          <w:spacing w:val="3"/>
          <w:w w:val="110"/>
        </w:rPr>
        <w:t>cherish </w:t>
      </w:r>
      <w:r>
        <w:rPr>
          <w:color w:val="231F20"/>
          <w:w w:val="110"/>
        </w:rPr>
        <w:t>views </w:t>
      </w:r>
      <w:r>
        <w:rPr>
          <w:color w:val="231F20"/>
          <w:spacing w:val="3"/>
          <w:w w:val="110"/>
        </w:rPr>
        <w:t>from </w:t>
      </w:r>
      <w:r>
        <w:rPr>
          <w:color w:val="231F20"/>
          <w:spacing w:val="4"/>
          <w:w w:val="110"/>
        </w:rPr>
        <w:t>across </w:t>
      </w:r>
      <w:r>
        <w:rPr>
          <w:color w:val="231F20"/>
          <w:spacing w:val="2"/>
          <w:w w:val="110"/>
        </w:rPr>
        <w:t>the range </w:t>
      </w:r>
      <w:r>
        <w:rPr>
          <w:color w:val="231F20"/>
          <w:w w:val="110"/>
        </w:rPr>
        <w:t>of </w:t>
      </w:r>
      <w:r>
        <w:rPr>
          <w:color w:val="231F20"/>
          <w:spacing w:val="3"/>
          <w:w w:val="110"/>
        </w:rPr>
        <w:t>possibilities </w:t>
      </w:r>
      <w:r>
        <w:rPr>
          <w:color w:val="231F20"/>
          <w:w w:val="110"/>
        </w:rPr>
        <w:t>and </w:t>
      </w:r>
      <w:r>
        <w:rPr>
          <w:color w:val="231F20"/>
          <w:spacing w:val="2"/>
          <w:w w:val="110"/>
        </w:rPr>
        <w:t>patiently </w:t>
      </w:r>
      <w:r>
        <w:rPr>
          <w:color w:val="231F20"/>
          <w:w w:val="110"/>
        </w:rPr>
        <w:t>to </w:t>
      </w:r>
      <w:r>
        <w:rPr>
          <w:color w:val="231F20"/>
          <w:spacing w:val="2"/>
          <w:w w:val="110"/>
        </w:rPr>
        <w:t>work</w:t>
      </w:r>
      <w:r>
        <w:rPr>
          <w:color w:val="231F20"/>
          <w:spacing w:val="73"/>
          <w:w w:val="110"/>
        </w:rPr>
        <w:t> </w:t>
      </w:r>
      <w:r>
        <w:rPr>
          <w:color w:val="231F20"/>
          <w:spacing w:val="2"/>
          <w:w w:val="110"/>
        </w:rPr>
        <w:t>through the </w:t>
      </w:r>
      <w:r>
        <w:rPr>
          <w:color w:val="231F20"/>
          <w:spacing w:val="3"/>
          <w:w w:val="110"/>
        </w:rPr>
        <w:t>issues </w:t>
      </w:r>
      <w:r>
        <w:rPr>
          <w:color w:val="231F20"/>
          <w:w w:val="110"/>
        </w:rPr>
        <w:t>until a </w:t>
      </w:r>
      <w:r>
        <w:rPr>
          <w:color w:val="231F20"/>
          <w:spacing w:val="2"/>
          <w:w w:val="110"/>
        </w:rPr>
        <w:t>solution </w:t>
      </w:r>
      <w:r>
        <w:rPr>
          <w:color w:val="231F20"/>
          <w:w w:val="110"/>
        </w:rPr>
        <w:t>is</w:t>
      </w:r>
      <w:r>
        <w:rPr>
          <w:color w:val="231F20"/>
          <w:spacing w:val="31"/>
          <w:w w:val="110"/>
        </w:rPr>
        <w:t> </w:t>
      </w:r>
      <w:r>
        <w:rPr>
          <w:color w:val="231F20"/>
          <w:w w:val="110"/>
        </w:rPr>
        <w:t>found.</w:t>
      </w:r>
    </w:p>
    <w:p>
      <w:pPr>
        <w:pStyle w:val="BodyText"/>
        <w:spacing w:before="9"/>
        <w:rPr>
          <w:sz w:val="20"/>
        </w:rPr>
      </w:pPr>
    </w:p>
    <w:p>
      <w:pPr>
        <w:pStyle w:val="Heading9"/>
        <w:numPr>
          <w:ilvl w:val="0"/>
          <w:numId w:val="206"/>
        </w:numPr>
        <w:tabs>
          <w:tab w:pos="1233" w:val="left" w:leader="none"/>
          <w:tab w:pos="1234" w:val="left" w:leader="none"/>
        </w:tabs>
        <w:spacing w:line="240" w:lineRule="auto" w:before="0" w:after="0"/>
        <w:ind w:left="1233" w:right="0" w:hanging="721"/>
        <w:jc w:val="left"/>
      </w:pPr>
      <w:r>
        <w:rPr>
          <w:color w:val="231F20"/>
          <w:w w:val="110"/>
        </w:rPr>
        <w:t>The Roots of Consensus</w:t>
      </w:r>
    </w:p>
    <w:p>
      <w:pPr>
        <w:pStyle w:val="ListParagraph"/>
        <w:numPr>
          <w:ilvl w:val="1"/>
          <w:numId w:val="206"/>
        </w:numPr>
        <w:tabs>
          <w:tab w:pos="1233" w:val="left" w:leader="none"/>
          <w:tab w:pos="1234" w:val="left" w:leader="none"/>
        </w:tabs>
        <w:spacing w:line="273" w:lineRule="auto" w:before="168" w:after="0"/>
        <w:ind w:left="513" w:right="1869" w:firstLine="0"/>
        <w:jc w:val="left"/>
        <w:rPr>
          <w:sz w:val="18"/>
        </w:rPr>
      </w:pPr>
      <w:r>
        <w:rPr>
          <w:color w:val="231F20"/>
          <w:w w:val="110"/>
          <w:sz w:val="18"/>
        </w:rPr>
        <w:t>The responsibility that each Council of the United Reformed Church exercises is ‘under the Word of God and the promised guidance of the Holy </w:t>
      </w:r>
      <w:r>
        <w:rPr>
          <w:color w:val="231F20"/>
          <w:spacing w:val="-3"/>
          <w:w w:val="110"/>
          <w:sz w:val="18"/>
        </w:rPr>
        <w:t>Spirit.’ </w:t>
      </w:r>
      <w:r>
        <w:rPr>
          <w:i/>
          <w:color w:val="231F20"/>
          <w:w w:val="110"/>
          <w:sz w:val="18"/>
        </w:rPr>
        <w:t>(The </w:t>
      </w:r>
      <w:r>
        <w:rPr>
          <w:i/>
          <w:color w:val="231F20"/>
          <w:spacing w:val="-3"/>
          <w:w w:val="110"/>
          <w:sz w:val="18"/>
        </w:rPr>
        <w:t>Manual, </w:t>
      </w:r>
      <w:r>
        <w:rPr>
          <w:i/>
          <w:color w:val="231F20"/>
          <w:w w:val="110"/>
          <w:sz w:val="18"/>
        </w:rPr>
        <w:t>The </w:t>
      </w:r>
      <w:r>
        <w:rPr>
          <w:i/>
          <w:color w:val="231F20"/>
          <w:w w:val="110"/>
          <w:sz w:val="18"/>
        </w:rPr>
        <w:t>Structure of the United Reformed Church </w:t>
      </w:r>
      <w:r>
        <w:rPr>
          <w:i/>
          <w:color w:val="231F20"/>
          <w:spacing w:val="-9"/>
          <w:w w:val="110"/>
          <w:sz w:val="18"/>
        </w:rPr>
        <w:t>1.(3) </w:t>
      </w:r>
      <w:r>
        <w:rPr>
          <w:i/>
          <w:color w:val="231F20"/>
          <w:w w:val="110"/>
          <w:sz w:val="18"/>
        </w:rPr>
        <w:t>) </w:t>
      </w:r>
      <w:r>
        <w:rPr>
          <w:color w:val="231F20"/>
          <w:w w:val="110"/>
          <w:sz w:val="18"/>
        </w:rPr>
        <w:t>Both this Conciliar model and a process of making decisions by consensus find their origins in the practice of the early church as recorded in the Acts of the Apostles and the letters to the first Christian</w:t>
      </w:r>
      <w:r>
        <w:rPr>
          <w:color w:val="231F20"/>
          <w:spacing w:val="5"/>
          <w:w w:val="110"/>
          <w:sz w:val="18"/>
        </w:rPr>
        <w:t> </w:t>
      </w:r>
      <w:r>
        <w:rPr>
          <w:color w:val="231F20"/>
          <w:w w:val="110"/>
          <w:sz w:val="18"/>
        </w:rPr>
        <w:t>communities.</w:t>
      </w:r>
    </w:p>
    <w:p>
      <w:pPr>
        <w:pStyle w:val="BodyText"/>
        <w:spacing w:before="10"/>
        <w:rPr>
          <w:sz w:val="20"/>
        </w:rPr>
      </w:pPr>
    </w:p>
    <w:p>
      <w:pPr>
        <w:pStyle w:val="ListParagraph"/>
        <w:numPr>
          <w:ilvl w:val="1"/>
          <w:numId w:val="206"/>
        </w:numPr>
        <w:tabs>
          <w:tab w:pos="1233" w:val="left" w:leader="none"/>
          <w:tab w:pos="1234" w:val="left" w:leader="none"/>
        </w:tabs>
        <w:spacing w:line="273" w:lineRule="auto" w:before="0" w:after="0"/>
        <w:ind w:left="515" w:right="1951" w:hanging="2"/>
        <w:jc w:val="left"/>
        <w:rPr>
          <w:sz w:val="18"/>
        </w:rPr>
      </w:pPr>
      <w:r>
        <w:rPr>
          <w:color w:val="231F20"/>
          <w:w w:val="110"/>
          <w:sz w:val="18"/>
        </w:rPr>
        <w:t>In </w:t>
      </w:r>
      <w:r>
        <w:rPr>
          <w:color w:val="231F20"/>
          <w:spacing w:val="4"/>
          <w:w w:val="110"/>
          <w:sz w:val="18"/>
        </w:rPr>
        <w:t>Acts </w:t>
      </w:r>
      <w:r>
        <w:rPr>
          <w:color w:val="231F20"/>
          <w:w w:val="110"/>
          <w:sz w:val="18"/>
        </w:rPr>
        <w:t>2 </w:t>
      </w:r>
      <w:r>
        <w:rPr>
          <w:color w:val="231F20"/>
          <w:spacing w:val="2"/>
          <w:w w:val="110"/>
          <w:sz w:val="18"/>
        </w:rPr>
        <w:t>the </w:t>
      </w:r>
      <w:r>
        <w:rPr>
          <w:color w:val="231F20"/>
          <w:spacing w:val="3"/>
          <w:w w:val="110"/>
          <w:sz w:val="18"/>
        </w:rPr>
        <w:t>early Christian </w:t>
      </w:r>
      <w:r>
        <w:rPr>
          <w:color w:val="231F20"/>
          <w:spacing w:val="2"/>
          <w:w w:val="110"/>
          <w:sz w:val="18"/>
        </w:rPr>
        <w:t>community </w:t>
      </w:r>
      <w:r>
        <w:rPr>
          <w:color w:val="231F20"/>
          <w:w w:val="110"/>
          <w:sz w:val="18"/>
        </w:rPr>
        <w:t>is </w:t>
      </w:r>
      <w:r>
        <w:rPr>
          <w:color w:val="231F20"/>
          <w:spacing w:val="3"/>
          <w:w w:val="110"/>
          <w:sz w:val="18"/>
        </w:rPr>
        <w:t>epitomised </w:t>
      </w:r>
      <w:r>
        <w:rPr>
          <w:color w:val="231F20"/>
          <w:w w:val="110"/>
          <w:sz w:val="18"/>
        </w:rPr>
        <w:t>by </w:t>
      </w:r>
      <w:r>
        <w:rPr>
          <w:color w:val="231F20"/>
          <w:spacing w:val="2"/>
          <w:w w:val="110"/>
          <w:sz w:val="18"/>
        </w:rPr>
        <w:t>the sharing </w:t>
      </w:r>
      <w:r>
        <w:rPr>
          <w:color w:val="231F20"/>
          <w:w w:val="110"/>
          <w:sz w:val="18"/>
        </w:rPr>
        <w:t>of </w:t>
      </w:r>
      <w:r>
        <w:rPr>
          <w:color w:val="231F20"/>
          <w:spacing w:val="2"/>
          <w:w w:val="110"/>
          <w:sz w:val="18"/>
        </w:rPr>
        <w:t>meals </w:t>
      </w:r>
      <w:r>
        <w:rPr>
          <w:color w:val="231F20"/>
          <w:w w:val="110"/>
          <w:sz w:val="18"/>
        </w:rPr>
        <w:t>and </w:t>
      </w:r>
      <w:r>
        <w:rPr>
          <w:color w:val="231F20"/>
          <w:spacing w:val="3"/>
          <w:w w:val="110"/>
          <w:sz w:val="18"/>
        </w:rPr>
        <w:t>possessions, </w:t>
      </w:r>
      <w:r>
        <w:rPr>
          <w:color w:val="231F20"/>
          <w:w w:val="110"/>
          <w:sz w:val="18"/>
        </w:rPr>
        <w:t>in </w:t>
      </w:r>
      <w:r>
        <w:rPr>
          <w:color w:val="231F20"/>
          <w:spacing w:val="3"/>
          <w:w w:val="110"/>
          <w:sz w:val="18"/>
        </w:rPr>
        <w:t>caring </w:t>
      </w:r>
      <w:r>
        <w:rPr>
          <w:color w:val="231F20"/>
          <w:spacing w:val="2"/>
          <w:w w:val="110"/>
          <w:sz w:val="18"/>
        </w:rPr>
        <w:t>for </w:t>
      </w:r>
      <w:r>
        <w:rPr>
          <w:color w:val="231F20"/>
          <w:w w:val="110"/>
          <w:sz w:val="18"/>
        </w:rPr>
        <w:t>one </w:t>
      </w:r>
      <w:r>
        <w:rPr>
          <w:color w:val="231F20"/>
          <w:spacing w:val="2"/>
          <w:w w:val="110"/>
          <w:sz w:val="18"/>
        </w:rPr>
        <w:t>another </w:t>
      </w:r>
      <w:r>
        <w:rPr>
          <w:color w:val="231F20"/>
          <w:w w:val="110"/>
          <w:sz w:val="18"/>
        </w:rPr>
        <w:t>and </w:t>
      </w:r>
      <w:r>
        <w:rPr>
          <w:color w:val="231F20"/>
          <w:spacing w:val="3"/>
          <w:w w:val="110"/>
          <w:sz w:val="18"/>
        </w:rPr>
        <w:t>expressing </w:t>
      </w:r>
      <w:r>
        <w:rPr>
          <w:color w:val="231F20"/>
          <w:w w:val="110"/>
          <w:sz w:val="18"/>
        </w:rPr>
        <w:t>joy as they </w:t>
      </w:r>
      <w:r>
        <w:rPr>
          <w:color w:val="231F20"/>
          <w:spacing w:val="3"/>
          <w:w w:val="110"/>
          <w:sz w:val="18"/>
        </w:rPr>
        <w:t>worshipped together</w:t>
      </w:r>
      <w:r>
        <w:rPr>
          <w:color w:val="231F20"/>
          <w:spacing w:val="12"/>
          <w:w w:val="110"/>
          <w:sz w:val="18"/>
        </w:rPr>
        <w:t> </w:t>
      </w:r>
      <w:r>
        <w:rPr>
          <w:color w:val="231F20"/>
          <w:w w:val="110"/>
          <w:sz w:val="18"/>
        </w:rPr>
        <w:t>and</w:t>
      </w:r>
      <w:r>
        <w:rPr>
          <w:color w:val="231F20"/>
          <w:spacing w:val="13"/>
          <w:w w:val="110"/>
          <w:sz w:val="18"/>
        </w:rPr>
        <w:t> </w:t>
      </w:r>
      <w:r>
        <w:rPr>
          <w:color w:val="231F20"/>
          <w:spacing w:val="2"/>
          <w:w w:val="110"/>
          <w:sz w:val="18"/>
        </w:rPr>
        <w:t>welcomed</w:t>
      </w:r>
      <w:r>
        <w:rPr>
          <w:color w:val="231F20"/>
          <w:spacing w:val="13"/>
          <w:w w:val="110"/>
          <w:sz w:val="18"/>
        </w:rPr>
        <w:t> </w:t>
      </w:r>
      <w:r>
        <w:rPr>
          <w:color w:val="231F20"/>
          <w:spacing w:val="3"/>
          <w:w w:val="110"/>
          <w:sz w:val="18"/>
        </w:rPr>
        <w:t>newcomers.</w:t>
      </w:r>
      <w:r>
        <w:rPr>
          <w:color w:val="231F20"/>
          <w:spacing w:val="13"/>
          <w:w w:val="110"/>
          <w:sz w:val="18"/>
        </w:rPr>
        <w:t> </w:t>
      </w:r>
      <w:r>
        <w:rPr>
          <w:color w:val="231F20"/>
          <w:w w:val="110"/>
          <w:sz w:val="18"/>
        </w:rPr>
        <w:t>For</w:t>
      </w:r>
      <w:r>
        <w:rPr>
          <w:color w:val="231F20"/>
          <w:spacing w:val="12"/>
          <w:w w:val="110"/>
          <w:sz w:val="18"/>
        </w:rPr>
        <w:t> </w:t>
      </w:r>
      <w:r>
        <w:rPr>
          <w:color w:val="231F20"/>
          <w:w w:val="110"/>
          <w:sz w:val="18"/>
        </w:rPr>
        <w:t>that</w:t>
      </w:r>
      <w:r>
        <w:rPr>
          <w:color w:val="231F20"/>
          <w:spacing w:val="13"/>
          <w:w w:val="110"/>
          <w:sz w:val="18"/>
        </w:rPr>
        <w:t> </w:t>
      </w:r>
      <w:r>
        <w:rPr>
          <w:color w:val="231F20"/>
          <w:spacing w:val="2"/>
          <w:w w:val="110"/>
          <w:sz w:val="18"/>
        </w:rPr>
        <w:t>community</w:t>
      </w:r>
      <w:r>
        <w:rPr>
          <w:color w:val="231F20"/>
          <w:spacing w:val="13"/>
          <w:w w:val="110"/>
          <w:sz w:val="18"/>
        </w:rPr>
        <w:t> </w:t>
      </w:r>
      <w:r>
        <w:rPr>
          <w:color w:val="231F20"/>
          <w:w w:val="110"/>
          <w:sz w:val="18"/>
        </w:rPr>
        <w:t>and</w:t>
      </w:r>
      <w:r>
        <w:rPr>
          <w:color w:val="231F20"/>
          <w:spacing w:val="12"/>
          <w:w w:val="110"/>
          <w:sz w:val="18"/>
        </w:rPr>
        <w:t> </w:t>
      </w:r>
      <w:r>
        <w:rPr>
          <w:color w:val="231F20"/>
          <w:spacing w:val="2"/>
          <w:w w:val="110"/>
          <w:sz w:val="18"/>
        </w:rPr>
        <w:t>for</w:t>
      </w:r>
      <w:r>
        <w:rPr>
          <w:color w:val="231F20"/>
          <w:spacing w:val="13"/>
          <w:w w:val="110"/>
          <w:sz w:val="18"/>
        </w:rPr>
        <w:t> </w:t>
      </w:r>
      <w:r>
        <w:rPr>
          <w:color w:val="231F20"/>
          <w:spacing w:val="2"/>
          <w:w w:val="110"/>
          <w:sz w:val="18"/>
        </w:rPr>
        <w:t>the</w:t>
      </w:r>
      <w:r>
        <w:rPr>
          <w:color w:val="231F20"/>
          <w:spacing w:val="13"/>
          <w:w w:val="110"/>
          <w:sz w:val="18"/>
        </w:rPr>
        <w:t> </w:t>
      </w:r>
      <w:r>
        <w:rPr>
          <w:color w:val="231F20"/>
          <w:spacing w:val="3"/>
          <w:w w:val="110"/>
          <w:sz w:val="18"/>
        </w:rPr>
        <w:t>church</w:t>
      </w:r>
      <w:r>
        <w:rPr>
          <w:color w:val="231F20"/>
          <w:spacing w:val="13"/>
          <w:w w:val="110"/>
          <w:sz w:val="18"/>
        </w:rPr>
        <w:t> </w:t>
      </w:r>
      <w:r>
        <w:rPr>
          <w:color w:val="231F20"/>
          <w:w w:val="110"/>
          <w:sz w:val="18"/>
        </w:rPr>
        <w:t>today,</w:t>
      </w:r>
    </w:p>
    <w:p>
      <w:pPr>
        <w:pStyle w:val="BodyText"/>
        <w:spacing w:before="7"/>
        <w:rPr>
          <w:sz w:val="13"/>
        </w:rPr>
      </w:pPr>
    </w:p>
    <w:p>
      <w:pPr>
        <w:tabs>
          <w:tab w:pos="1364" w:val="left" w:leader="none"/>
        </w:tabs>
        <w:spacing w:before="55"/>
        <w:ind w:left="513" w:right="0" w:firstLine="0"/>
        <w:jc w:val="left"/>
        <w:rPr>
          <w:rFonts w:ascii="Eurostile Bold"/>
          <w:b/>
          <w:sz w:val="24"/>
        </w:rPr>
      </w:pPr>
      <w:r>
        <w:rPr>
          <w:rFonts w:ascii="Eurostile Bold"/>
          <w:b/>
          <w:color w:val="231F20"/>
          <w:w w:val="95"/>
          <w:sz w:val="24"/>
        </w:rPr>
        <w:t>2</w:t>
        <w:tab/>
      </w:r>
      <w:r>
        <w:rPr>
          <w:rFonts w:ascii="Eurostile Bold"/>
          <w:b/>
          <w:color w:val="A7A9AC"/>
          <w:w w:val="95"/>
          <w:sz w:val="24"/>
        </w:rPr>
        <w:t>General Assembly</w:t>
      </w:r>
      <w:r>
        <w:rPr>
          <w:rFonts w:ascii="Eurostile Bold"/>
          <w:b/>
          <w:color w:val="A7A9AC"/>
          <w:spacing w:val="-50"/>
          <w:w w:val="95"/>
          <w:sz w:val="24"/>
        </w:rPr>
        <w:t> </w:t>
      </w:r>
      <w:r>
        <w:rPr>
          <w:rFonts w:ascii="Eurostile Bold"/>
          <w:b/>
          <w:color w:val="A7A9AC"/>
          <w:w w:val="95"/>
          <w:sz w:val="24"/>
        </w:rPr>
        <w:t>2007</w:t>
      </w:r>
    </w:p>
    <w:p>
      <w:pPr>
        <w:spacing w:after="0"/>
        <w:jc w:val="left"/>
        <w:rPr>
          <w:rFonts w:ascii="Eurostile Bold"/>
          <w:sz w:val="24"/>
        </w:rPr>
        <w:sectPr>
          <w:headerReference w:type="even" r:id="rId461"/>
          <w:headerReference w:type="default" r:id="rId462"/>
          <w:footerReference w:type="even" r:id="rId463"/>
          <w:pgSz w:w="11910" w:h="16840"/>
          <w:pgMar w:header="558" w:footer="0" w:top="820" w:bottom="280" w:left="620" w:right="0"/>
        </w:sectPr>
      </w:pPr>
    </w:p>
    <w:p>
      <w:pPr>
        <w:pStyle w:val="BodyText"/>
        <w:spacing w:before="1"/>
        <w:rPr>
          <w:rFonts w:ascii="Eurostile Bold"/>
          <w:b/>
          <w:sz w:val="20"/>
        </w:rPr>
      </w:pPr>
    </w:p>
    <w:p>
      <w:pPr>
        <w:pStyle w:val="BodyText"/>
        <w:tabs>
          <w:tab w:pos="4182" w:val="left" w:leader="none"/>
        </w:tabs>
        <w:spacing w:line="273" w:lineRule="auto" w:before="101"/>
        <w:ind w:left="1080" w:right="1309"/>
      </w:pPr>
      <w:r>
        <w:rPr>
          <w:color w:val="231F20"/>
          <w:spacing w:val="2"/>
          <w:w w:val="110"/>
        </w:rPr>
        <w:t>the </w:t>
      </w:r>
      <w:r>
        <w:rPr>
          <w:color w:val="231F20"/>
          <w:w w:val="110"/>
        </w:rPr>
        <w:t>image of </w:t>
      </w:r>
      <w:r>
        <w:rPr>
          <w:color w:val="231F20"/>
          <w:spacing w:val="2"/>
          <w:w w:val="110"/>
        </w:rPr>
        <w:t>the </w:t>
      </w:r>
      <w:r>
        <w:rPr>
          <w:color w:val="231F20"/>
          <w:spacing w:val="3"/>
          <w:w w:val="110"/>
        </w:rPr>
        <w:t>body </w:t>
      </w:r>
      <w:r>
        <w:rPr>
          <w:color w:val="231F20"/>
          <w:w w:val="110"/>
        </w:rPr>
        <w:t>is </w:t>
      </w:r>
      <w:r>
        <w:rPr>
          <w:color w:val="231F20"/>
          <w:spacing w:val="3"/>
          <w:w w:val="110"/>
        </w:rPr>
        <w:t>important. </w:t>
      </w:r>
      <w:r>
        <w:rPr>
          <w:color w:val="231F20"/>
          <w:w w:val="110"/>
        </w:rPr>
        <w:t>1 </w:t>
      </w:r>
      <w:r>
        <w:rPr>
          <w:color w:val="231F20"/>
          <w:spacing w:val="2"/>
          <w:w w:val="110"/>
        </w:rPr>
        <w:t>Corinthians </w:t>
      </w:r>
      <w:r>
        <w:rPr>
          <w:color w:val="231F20"/>
          <w:spacing w:val="-8"/>
          <w:w w:val="110"/>
        </w:rPr>
        <w:t>12:1-27 </w:t>
      </w:r>
      <w:r>
        <w:rPr>
          <w:color w:val="231F20"/>
          <w:spacing w:val="3"/>
          <w:w w:val="110"/>
        </w:rPr>
        <w:t>reminds </w:t>
      </w:r>
      <w:r>
        <w:rPr>
          <w:color w:val="231F20"/>
          <w:w w:val="110"/>
        </w:rPr>
        <w:t>us that </w:t>
      </w:r>
      <w:r>
        <w:rPr>
          <w:color w:val="231F20"/>
          <w:spacing w:val="3"/>
          <w:w w:val="110"/>
        </w:rPr>
        <w:t>each </w:t>
      </w:r>
      <w:r>
        <w:rPr>
          <w:color w:val="231F20"/>
          <w:spacing w:val="2"/>
          <w:w w:val="110"/>
        </w:rPr>
        <w:t>person’s </w:t>
      </w:r>
      <w:r>
        <w:rPr>
          <w:color w:val="231F20"/>
          <w:spacing w:val="4"/>
          <w:w w:val="110"/>
        </w:rPr>
        <w:t>gifts </w:t>
      </w:r>
      <w:r>
        <w:rPr>
          <w:color w:val="231F20"/>
          <w:spacing w:val="3"/>
          <w:w w:val="110"/>
        </w:rPr>
        <w:t>need </w:t>
      </w:r>
      <w:r>
        <w:rPr>
          <w:color w:val="231F20"/>
          <w:w w:val="110"/>
        </w:rPr>
        <w:t>to </w:t>
      </w:r>
      <w:r>
        <w:rPr>
          <w:color w:val="231F20"/>
          <w:spacing w:val="2"/>
          <w:w w:val="110"/>
        </w:rPr>
        <w:t>be valued </w:t>
      </w:r>
      <w:r>
        <w:rPr>
          <w:color w:val="231F20"/>
          <w:w w:val="110"/>
        </w:rPr>
        <w:t>and that </w:t>
      </w:r>
      <w:r>
        <w:rPr>
          <w:color w:val="231F20"/>
          <w:spacing w:val="3"/>
          <w:w w:val="110"/>
        </w:rPr>
        <w:t>each </w:t>
      </w:r>
      <w:r>
        <w:rPr>
          <w:color w:val="231F20"/>
          <w:spacing w:val="2"/>
          <w:w w:val="110"/>
        </w:rPr>
        <w:t>person’s </w:t>
      </w:r>
      <w:r>
        <w:rPr>
          <w:color w:val="231F20"/>
          <w:spacing w:val="3"/>
          <w:w w:val="110"/>
        </w:rPr>
        <w:t>contribution </w:t>
      </w:r>
      <w:r>
        <w:rPr>
          <w:color w:val="231F20"/>
          <w:w w:val="110"/>
        </w:rPr>
        <w:t>is </w:t>
      </w:r>
      <w:r>
        <w:rPr>
          <w:color w:val="231F20"/>
          <w:spacing w:val="4"/>
          <w:w w:val="110"/>
        </w:rPr>
        <w:t>necessary </w:t>
      </w:r>
      <w:r>
        <w:rPr>
          <w:color w:val="231F20"/>
          <w:w w:val="110"/>
        </w:rPr>
        <w:t>if  </w:t>
      </w:r>
      <w:r>
        <w:rPr>
          <w:color w:val="231F20"/>
          <w:spacing w:val="2"/>
          <w:w w:val="110"/>
        </w:rPr>
        <w:t>the whole </w:t>
      </w:r>
      <w:r>
        <w:rPr>
          <w:color w:val="231F20"/>
          <w:w w:val="110"/>
        </w:rPr>
        <w:t>body, </w:t>
      </w:r>
      <w:r>
        <w:rPr>
          <w:color w:val="231F20"/>
          <w:spacing w:val="2"/>
          <w:w w:val="110"/>
        </w:rPr>
        <w:t>with </w:t>
      </w:r>
      <w:r>
        <w:rPr>
          <w:color w:val="231F20"/>
          <w:spacing w:val="3"/>
          <w:w w:val="110"/>
        </w:rPr>
        <w:t>Christ </w:t>
      </w:r>
      <w:r>
        <w:rPr>
          <w:color w:val="231F20"/>
          <w:w w:val="110"/>
        </w:rPr>
        <w:t>as </w:t>
      </w:r>
      <w:r>
        <w:rPr>
          <w:color w:val="231F20"/>
          <w:spacing w:val="3"/>
          <w:w w:val="110"/>
        </w:rPr>
        <w:t>its </w:t>
      </w:r>
      <w:r>
        <w:rPr>
          <w:color w:val="231F20"/>
          <w:w w:val="110"/>
        </w:rPr>
        <w:t>head, is to live </w:t>
      </w:r>
      <w:r>
        <w:rPr>
          <w:color w:val="231F20"/>
          <w:spacing w:val="2"/>
          <w:w w:val="110"/>
        </w:rPr>
        <w:t>the fullness </w:t>
      </w:r>
      <w:r>
        <w:rPr>
          <w:color w:val="231F20"/>
          <w:w w:val="110"/>
        </w:rPr>
        <w:t>of life; </w:t>
      </w:r>
      <w:r>
        <w:rPr>
          <w:color w:val="231F20"/>
          <w:spacing w:val="2"/>
          <w:w w:val="110"/>
        </w:rPr>
        <w:t>whilst </w:t>
      </w:r>
      <w:r>
        <w:rPr>
          <w:color w:val="231F20"/>
          <w:w w:val="110"/>
        </w:rPr>
        <w:t>Philippians 2:5-8 </w:t>
      </w:r>
      <w:r>
        <w:rPr>
          <w:color w:val="231F20"/>
          <w:spacing w:val="3"/>
          <w:w w:val="110"/>
        </w:rPr>
        <w:t>reminds </w:t>
      </w:r>
      <w:r>
        <w:rPr>
          <w:color w:val="231F20"/>
          <w:w w:val="110"/>
        </w:rPr>
        <w:t>us to </w:t>
      </w:r>
      <w:r>
        <w:rPr>
          <w:color w:val="231F20"/>
          <w:spacing w:val="4"/>
          <w:w w:val="110"/>
        </w:rPr>
        <w:t>act </w:t>
      </w:r>
      <w:r>
        <w:rPr>
          <w:color w:val="231F20"/>
          <w:w w:val="110"/>
        </w:rPr>
        <w:t>in humility, as is </w:t>
      </w:r>
      <w:r>
        <w:rPr>
          <w:color w:val="231F20"/>
          <w:spacing w:val="3"/>
          <w:w w:val="110"/>
        </w:rPr>
        <w:t>Christ’s </w:t>
      </w:r>
      <w:r>
        <w:rPr>
          <w:color w:val="231F20"/>
          <w:spacing w:val="2"/>
          <w:w w:val="110"/>
        </w:rPr>
        <w:t>nature, </w:t>
      </w:r>
      <w:r>
        <w:rPr>
          <w:color w:val="231F20"/>
          <w:w w:val="110"/>
        </w:rPr>
        <w:t>and </w:t>
      </w:r>
      <w:r>
        <w:rPr>
          <w:color w:val="231F20"/>
          <w:spacing w:val="3"/>
          <w:w w:val="110"/>
        </w:rPr>
        <w:t>acknowledge </w:t>
      </w:r>
      <w:r>
        <w:rPr>
          <w:color w:val="231F20"/>
          <w:w w:val="110"/>
        </w:rPr>
        <w:t>our own </w:t>
      </w:r>
      <w:r>
        <w:rPr>
          <w:color w:val="231F20"/>
          <w:spacing w:val="2"/>
          <w:w w:val="110"/>
        </w:rPr>
        <w:t>vulnerability</w:t>
      </w:r>
      <w:r>
        <w:rPr>
          <w:color w:val="231F20"/>
          <w:spacing w:val="18"/>
          <w:w w:val="110"/>
        </w:rPr>
        <w:t> </w:t>
      </w:r>
      <w:r>
        <w:rPr>
          <w:color w:val="231F20"/>
          <w:w w:val="110"/>
        </w:rPr>
        <w:t>and</w:t>
      </w:r>
      <w:r>
        <w:rPr>
          <w:color w:val="231F20"/>
          <w:spacing w:val="18"/>
          <w:w w:val="110"/>
        </w:rPr>
        <w:t> </w:t>
      </w:r>
      <w:r>
        <w:rPr>
          <w:color w:val="231F20"/>
          <w:spacing w:val="2"/>
          <w:w w:val="110"/>
        </w:rPr>
        <w:t>weakness.</w:t>
        <w:tab/>
      </w:r>
      <w:r>
        <w:rPr>
          <w:color w:val="231F20"/>
          <w:w w:val="110"/>
        </w:rPr>
        <w:t>On </w:t>
      </w:r>
      <w:r>
        <w:rPr>
          <w:color w:val="231F20"/>
          <w:spacing w:val="2"/>
          <w:w w:val="110"/>
        </w:rPr>
        <w:t>four </w:t>
      </w:r>
      <w:r>
        <w:rPr>
          <w:color w:val="231F20"/>
          <w:spacing w:val="3"/>
          <w:w w:val="110"/>
        </w:rPr>
        <w:t>occasions </w:t>
      </w:r>
      <w:r>
        <w:rPr>
          <w:color w:val="231F20"/>
          <w:w w:val="110"/>
        </w:rPr>
        <w:t>in </w:t>
      </w:r>
      <w:r>
        <w:rPr>
          <w:color w:val="231F20"/>
          <w:spacing w:val="2"/>
          <w:w w:val="110"/>
        </w:rPr>
        <w:t>the </w:t>
      </w:r>
      <w:r>
        <w:rPr>
          <w:color w:val="231F20"/>
          <w:spacing w:val="4"/>
          <w:w w:val="110"/>
        </w:rPr>
        <w:t>Acts </w:t>
      </w:r>
      <w:r>
        <w:rPr>
          <w:color w:val="231F20"/>
          <w:w w:val="110"/>
        </w:rPr>
        <w:t>of </w:t>
      </w:r>
      <w:r>
        <w:rPr>
          <w:color w:val="231F20"/>
          <w:spacing w:val="2"/>
          <w:w w:val="110"/>
        </w:rPr>
        <w:t>the </w:t>
      </w:r>
      <w:r>
        <w:rPr>
          <w:color w:val="231F20"/>
          <w:spacing w:val="3"/>
          <w:w w:val="110"/>
        </w:rPr>
        <w:t>Apostles </w:t>
      </w:r>
      <w:r>
        <w:rPr>
          <w:color w:val="231F20"/>
          <w:w w:val="110"/>
        </w:rPr>
        <w:t>we find a </w:t>
      </w:r>
      <w:r>
        <w:rPr>
          <w:color w:val="231F20"/>
          <w:spacing w:val="4"/>
          <w:w w:val="110"/>
        </w:rPr>
        <w:t>record </w:t>
      </w:r>
      <w:r>
        <w:rPr>
          <w:color w:val="231F20"/>
          <w:w w:val="110"/>
        </w:rPr>
        <w:t>of a </w:t>
      </w:r>
      <w:r>
        <w:rPr>
          <w:color w:val="231F20"/>
          <w:spacing w:val="2"/>
          <w:w w:val="110"/>
        </w:rPr>
        <w:t>communal </w:t>
      </w:r>
      <w:r>
        <w:rPr>
          <w:color w:val="231F20"/>
          <w:spacing w:val="3"/>
          <w:w w:val="110"/>
        </w:rPr>
        <w:t>decision </w:t>
      </w:r>
      <w:r>
        <w:rPr>
          <w:color w:val="231F20"/>
          <w:spacing w:val="2"/>
          <w:w w:val="110"/>
        </w:rPr>
        <w:t>making </w:t>
      </w:r>
      <w:r>
        <w:rPr>
          <w:color w:val="231F20"/>
          <w:spacing w:val="3"/>
          <w:w w:val="110"/>
        </w:rPr>
        <w:t>process. </w:t>
      </w:r>
      <w:r>
        <w:rPr>
          <w:color w:val="231F20"/>
          <w:w w:val="110"/>
        </w:rPr>
        <w:t>By </w:t>
      </w:r>
      <w:r>
        <w:rPr>
          <w:color w:val="231F20"/>
          <w:spacing w:val="2"/>
          <w:w w:val="110"/>
        </w:rPr>
        <w:t>looking </w:t>
      </w:r>
      <w:r>
        <w:rPr>
          <w:color w:val="231F20"/>
          <w:w w:val="110"/>
        </w:rPr>
        <w:t>at </w:t>
      </w:r>
      <w:r>
        <w:rPr>
          <w:color w:val="231F20"/>
          <w:spacing w:val="2"/>
          <w:w w:val="110"/>
        </w:rPr>
        <w:t>the </w:t>
      </w:r>
      <w:r>
        <w:rPr>
          <w:color w:val="231F20"/>
          <w:spacing w:val="3"/>
          <w:w w:val="110"/>
        </w:rPr>
        <w:t>issues addressed </w:t>
      </w:r>
      <w:r>
        <w:rPr>
          <w:color w:val="231F20"/>
          <w:w w:val="110"/>
        </w:rPr>
        <w:t>(appointing a </w:t>
      </w:r>
      <w:r>
        <w:rPr>
          <w:color w:val="231F20"/>
          <w:spacing w:val="3"/>
          <w:w w:val="110"/>
        </w:rPr>
        <w:t>replacement </w:t>
      </w:r>
      <w:r>
        <w:rPr>
          <w:color w:val="231F20"/>
          <w:spacing w:val="2"/>
          <w:w w:val="110"/>
        </w:rPr>
        <w:t>for Judas </w:t>
      </w:r>
      <w:r>
        <w:rPr>
          <w:color w:val="231F20"/>
          <w:spacing w:val="-7"/>
          <w:w w:val="110"/>
        </w:rPr>
        <w:t>1:14-26; </w:t>
      </w:r>
      <w:r>
        <w:rPr>
          <w:color w:val="231F20"/>
          <w:spacing w:val="2"/>
          <w:w w:val="110"/>
        </w:rPr>
        <w:t>the </w:t>
      </w:r>
      <w:r>
        <w:rPr>
          <w:color w:val="231F20"/>
          <w:spacing w:val="3"/>
          <w:w w:val="110"/>
        </w:rPr>
        <w:t>distribution </w:t>
      </w:r>
      <w:r>
        <w:rPr>
          <w:color w:val="231F20"/>
          <w:w w:val="110"/>
        </w:rPr>
        <w:t>to </w:t>
      </w:r>
      <w:r>
        <w:rPr>
          <w:color w:val="231F20"/>
          <w:spacing w:val="2"/>
          <w:w w:val="110"/>
        </w:rPr>
        <w:t>the </w:t>
      </w:r>
      <w:r>
        <w:rPr>
          <w:color w:val="231F20"/>
          <w:spacing w:val="3"/>
          <w:w w:val="110"/>
        </w:rPr>
        <w:t>Greek </w:t>
      </w:r>
      <w:r>
        <w:rPr>
          <w:color w:val="231F20"/>
          <w:spacing w:val="2"/>
          <w:w w:val="110"/>
        </w:rPr>
        <w:t>speaking </w:t>
      </w:r>
      <w:r>
        <w:rPr>
          <w:color w:val="231F20"/>
          <w:w w:val="110"/>
        </w:rPr>
        <w:t>widows </w:t>
      </w:r>
      <w:r>
        <w:rPr>
          <w:color w:val="231F20"/>
          <w:spacing w:val="-11"/>
          <w:w w:val="110"/>
        </w:rPr>
        <w:t>6:1-7; </w:t>
      </w:r>
      <w:r>
        <w:rPr>
          <w:color w:val="231F20"/>
          <w:spacing w:val="2"/>
          <w:w w:val="110"/>
        </w:rPr>
        <w:t>gentile </w:t>
      </w:r>
      <w:r>
        <w:rPr>
          <w:color w:val="231F20"/>
          <w:spacing w:val="3"/>
          <w:w w:val="110"/>
        </w:rPr>
        <w:t>acceptance </w:t>
      </w:r>
      <w:r>
        <w:rPr>
          <w:color w:val="231F20"/>
          <w:spacing w:val="-10"/>
          <w:w w:val="110"/>
        </w:rPr>
        <w:t>11:1-18; </w:t>
      </w:r>
      <w:r>
        <w:rPr>
          <w:color w:val="231F20"/>
          <w:spacing w:val="3"/>
          <w:w w:val="110"/>
        </w:rPr>
        <w:t>circumcision </w:t>
      </w:r>
      <w:r>
        <w:rPr>
          <w:color w:val="231F20"/>
          <w:spacing w:val="-8"/>
          <w:w w:val="110"/>
        </w:rPr>
        <w:t>15:1-33) </w:t>
      </w:r>
      <w:r>
        <w:rPr>
          <w:color w:val="231F20"/>
          <w:w w:val="110"/>
        </w:rPr>
        <w:t>we </w:t>
      </w:r>
      <w:r>
        <w:rPr>
          <w:color w:val="231F20"/>
          <w:spacing w:val="2"/>
          <w:w w:val="110"/>
        </w:rPr>
        <w:t>begin </w:t>
      </w:r>
      <w:r>
        <w:rPr>
          <w:color w:val="231F20"/>
          <w:w w:val="110"/>
        </w:rPr>
        <w:t>to </w:t>
      </w:r>
      <w:r>
        <w:rPr>
          <w:color w:val="231F20"/>
          <w:spacing w:val="3"/>
          <w:w w:val="110"/>
        </w:rPr>
        <w:t>see </w:t>
      </w:r>
      <w:r>
        <w:rPr>
          <w:color w:val="231F20"/>
          <w:w w:val="110"/>
        </w:rPr>
        <w:t>a </w:t>
      </w:r>
      <w:r>
        <w:rPr>
          <w:color w:val="231F20"/>
          <w:spacing w:val="4"/>
          <w:w w:val="110"/>
        </w:rPr>
        <w:t>pattern </w:t>
      </w:r>
      <w:r>
        <w:rPr>
          <w:color w:val="231F20"/>
          <w:spacing w:val="3"/>
          <w:w w:val="110"/>
        </w:rPr>
        <w:t>emerging </w:t>
      </w:r>
      <w:r>
        <w:rPr>
          <w:color w:val="231F20"/>
          <w:w w:val="110"/>
        </w:rPr>
        <w:t>of how </w:t>
      </w:r>
      <w:r>
        <w:rPr>
          <w:color w:val="231F20"/>
          <w:spacing w:val="2"/>
          <w:w w:val="110"/>
        </w:rPr>
        <w:t>the </w:t>
      </w:r>
      <w:r>
        <w:rPr>
          <w:color w:val="231F20"/>
          <w:spacing w:val="4"/>
          <w:w w:val="110"/>
        </w:rPr>
        <w:t>process </w:t>
      </w:r>
      <w:r>
        <w:rPr>
          <w:color w:val="231F20"/>
          <w:w w:val="110"/>
        </w:rPr>
        <w:t>was </w:t>
      </w:r>
      <w:r>
        <w:rPr>
          <w:color w:val="231F20"/>
          <w:spacing w:val="4"/>
          <w:w w:val="110"/>
        </w:rPr>
        <w:t>carried</w:t>
      </w:r>
      <w:r>
        <w:rPr>
          <w:color w:val="231F20"/>
          <w:spacing w:val="35"/>
          <w:w w:val="110"/>
        </w:rPr>
        <w:t> </w:t>
      </w:r>
      <w:r>
        <w:rPr>
          <w:color w:val="231F20"/>
          <w:w w:val="110"/>
        </w:rPr>
        <w:t>out.</w:t>
      </w:r>
    </w:p>
    <w:p>
      <w:pPr>
        <w:pStyle w:val="BodyText"/>
        <w:rPr>
          <w:sz w:val="20"/>
        </w:rPr>
      </w:pPr>
    </w:p>
    <w:p>
      <w:pPr>
        <w:pStyle w:val="ListParagraph"/>
        <w:numPr>
          <w:ilvl w:val="0"/>
          <w:numId w:val="207"/>
        </w:numPr>
        <w:tabs>
          <w:tab w:pos="1761" w:val="left" w:leader="none"/>
          <w:tab w:pos="1762" w:val="left" w:leader="none"/>
        </w:tabs>
        <w:spacing w:line="218" w:lineRule="auto" w:before="1" w:after="0"/>
        <w:ind w:left="1761" w:right="1453" w:hanging="682"/>
        <w:jc w:val="left"/>
        <w:rPr>
          <w:sz w:val="18"/>
        </w:rPr>
      </w:pPr>
      <w:r>
        <w:rPr>
          <w:color w:val="231F20"/>
          <w:w w:val="110"/>
          <w:sz w:val="18"/>
        </w:rPr>
        <w:t>There was reliance on prayer and scripture and the memory of being with Jesus. (Acts</w:t>
      </w:r>
      <w:r>
        <w:rPr>
          <w:color w:val="231F20"/>
          <w:spacing w:val="-4"/>
          <w:w w:val="110"/>
          <w:sz w:val="18"/>
        </w:rPr>
        <w:t> </w:t>
      </w:r>
      <w:r>
        <w:rPr>
          <w:color w:val="231F20"/>
          <w:spacing w:val="-9"/>
          <w:w w:val="110"/>
          <w:sz w:val="18"/>
        </w:rPr>
        <w:t>1:23-26)</w:t>
      </w:r>
    </w:p>
    <w:p>
      <w:pPr>
        <w:pStyle w:val="ListParagraph"/>
        <w:numPr>
          <w:ilvl w:val="0"/>
          <w:numId w:val="207"/>
        </w:numPr>
        <w:tabs>
          <w:tab w:pos="1761" w:val="left" w:leader="none"/>
          <w:tab w:pos="1762" w:val="left" w:leader="none"/>
        </w:tabs>
        <w:spacing w:line="277" w:lineRule="exact" w:before="5" w:after="0"/>
        <w:ind w:left="1761" w:right="0" w:hanging="682"/>
        <w:jc w:val="left"/>
        <w:rPr>
          <w:sz w:val="18"/>
        </w:rPr>
      </w:pPr>
      <w:r>
        <w:rPr>
          <w:color w:val="231F20"/>
          <w:w w:val="110"/>
          <w:sz w:val="18"/>
        </w:rPr>
        <w:t>There was an </w:t>
      </w:r>
      <w:r>
        <w:rPr>
          <w:color w:val="231F20"/>
          <w:spacing w:val="-3"/>
          <w:w w:val="110"/>
          <w:sz w:val="18"/>
        </w:rPr>
        <w:t>over-riding </w:t>
      </w:r>
      <w:r>
        <w:rPr>
          <w:color w:val="231F20"/>
          <w:w w:val="110"/>
          <w:sz w:val="18"/>
        </w:rPr>
        <w:t>sense of purpose in being followers of Jesus. (Acts</w:t>
      </w:r>
      <w:r>
        <w:rPr>
          <w:color w:val="231F20"/>
          <w:spacing w:val="-18"/>
          <w:w w:val="110"/>
          <w:sz w:val="18"/>
        </w:rPr>
        <w:t> </w:t>
      </w:r>
      <w:r>
        <w:rPr>
          <w:color w:val="231F20"/>
          <w:spacing w:val="-13"/>
          <w:w w:val="110"/>
          <w:sz w:val="18"/>
        </w:rPr>
        <w:t>6:1-7)</w:t>
      </w:r>
    </w:p>
    <w:p>
      <w:pPr>
        <w:pStyle w:val="ListParagraph"/>
        <w:numPr>
          <w:ilvl w:val="0"/>
          <w:numId w:val="207"/>
        </w:numPr>
        <w:tabs>
          <w:tab w:pos="1761" w:val="left" w:leader="none"/>
          <w:tab w:pos="1762" w:val="left" w:leader="none"/>
        </w:tabs>
        <w:spacing w:line="250" w:lineRule="exact" w:before="0" w:after="0"/>
        <w:ind w:left="1761" w:right="0" w:hanging="682"/>
        <w:jc w:val="left"/>
        <w:rPr>
          <w:sz w:val="18"/>
        </w:rPr>
      </w:pPr>
      <w:r>
        <w:rPr>
          <w:color w:val="231F20"/>
          <w:w w:val="110"/>
          <w:sz w:val="18"/>
        </w:rPr>
        <w:t>There was an openness to the guiding of the Holy Spirit (Acts </w:t>
      </w:r>
      <w:r>
        <w:rPr>
          <w:color w:val="231F20"/>
          <w:spacing w:val="-11"/>
          <w:w w:val="110"/>
          <w:sz w:val="18"/>
        </w:rPr>
        <w:t>11:15-18)</w:t>
      </w:r>
      <w:r>
        <w:rPr>
          <w:color w:val="231F20"/>
          <w:spacing w:val="-32"/>
          <w:w w:val="110"/>
          <w:sz w:val="18"/>
        </w:rPr>
        <w:t> </w:t>
      </w:r>
      <w:r>
        <w:rPr>
          <w:color w:val="231F20"/>
          <w:w w:val="110"/>
          <w:sz w:val="18"/>
        </w:rPr>
        <w:t>and</w:t>
      </w:r>
    </w:p>
    <w:p>
      <w:pPr>
        <w:pStyle w:val="ListParagraph"/>
        <w:numPr>
          <w:ilvl w:val="0"/>
          <w:numId w:val="207"/>
        </w:numPr>
        <w:tabs>
          <w:tab w:pos="1761" w:val="left" w:leader="none"/>
          <w:tab w:pos="1762" w:val="left" w:leader="none"/>
        </w:tabs>
        <w:spacing w:line="277" w:lineRule="exact" w:before="0" w:after="0"/>
        <w:ind w:left="1761" w:right="0" w:hanging="682"/>
        <w:jc w:val="left"/>
        <w:rPr>
          <w:sz w:val="18"/>
        </w:rPr>
      </w:pPr>
      <w:r>
        <w:rPr>
          <w:color w:val="231F20"/>
          <w:w w:val="110"/>
          <w:sz w:val="18"/>
        </w:rPr>
        <w:t>throughout</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whole</w:t>
      </w:r>
      <w:r>
        <w:rPr>
          <w:color w:val="231F20"/>
          <w:spacing w:val="-11"/>
          <w:w w:val="110"/>
          <w:sz w:val="18"/>
        </w:rPr>
        <w:t> </w:t>
      </w:r>
      <w:r>
        <w:rPr>
          <w:color w:val="231F20"/>
          <w:w w:val="110"/>
          <w:sz w:val="18"/>
        </w:rPr>
        <w:t>process</w:t>
      </w:r>
      <w:r>
        <w:rPr>
          <w:color w:val="231F20"/>
          <w:spacing w:val="-11"/>
          <w:w w:val="110"/>
          <w:sz w:val="18"/>
        </w:rPr>
        <w:t> </w:t>
      </w:r>
      <w:r>
        <w:rPr>
          <w:color w:val="231F20"/>
          <w:w w:val="110"/>
          <w:sz w:val="18"/>
        </w:rPr>
        <w:t>there</w:t>
      </w:r>
      <w:r>
        <w:rPr>
          <w:color w:val="231F20"/>
          <w:spacing w:val="-11"/>
          <w:w w:val="110"/>
          <w:sz w:val="18"/>
        </w:rPr>
        <w:t> </w:t>
      </w:r>
      <w:r>
        <w:rPr>
          <w:color w:val="231F20"/>
          <w:w w:val="110"/>
          <w:sz w:val="18"/>
        </w:rPr>
        <w:t>was</w:t>
      </w:r>
      <w:r>
        <w:rPr>
          <w:color w:val="231F20"/>
          <w:spacing w:val="-11"/>
          <w:w w:val="110"/>
          <w:sz w:val="18"/>
        </w:rPr>
        <w:t> </w:t>
      </w:r>
      <w:r>
        <w:rPr>
          <w:color w:val="231F20"/>
          <w:w w:val="110"/>
          <w:sz w:val="18"/>
        </w:rPr>
        <w:t>the</w:t>
      </w:r>
      <w:r>
        <w:rPr>
          <w:color w:val="231F20"/>
          <w:spacing w:val="-11"/>
          <w:w w:val="110"/>
          <w:sz w:val="18"/>
        </w:rPr>
        <w:t> </w:t>
      </w:r>
      <w:r>
        <w:rPr>
          <w:color w:val="231F20"/>
          <w:w w:val="110"/>
          <w:sz w:val="18"/>
        </w:rPr>
        <w:t>desire</w:t>
      </w:r>
      <w:r>
        <w:rPr>
          <w:color w:val="231F20"/>
          <w:spacing w:val="-11"/>
          <w:w w:val="110"/>
          <w:sz w:val="18"/>
        </w:rPr>
        <w:t> </w:t>
      </w:r>
      <w:r>
        <w:rPr>
          <w:color w:val="231F20"/>
          <w:w w:val="110"/>
          <w:sz w:val="18"/>
        </w:rPr>
        <w:t>to</w:t>
      </w:r>
      <w:r>
        <w:rPr>
          <w:color w:val="231F20"/>
          <w:spacing w:val="-10"/>
          <w:w w:val="110"/>
          <w:sz w:val="18"/>
        </w:rPr>
        <w:t> </w:t>
      </w:r>
      <w:r>
        <w:rPr>
          <w:color w:val="231F20"/>
          <w:w w:val="110"/>
          <w:sz w:val="18"/>
        </w:rPr>
        <w:t>discern</w:t>
      </w:r>
      <w:r>
        <w:rPr>
          <w:color w:val="231F20"/>
          <w:spacing w:val="-11"/>
          <w:w w:val="110"/>
          <w:sz w:val="18"/>
        </w:rPr>
        <w:t> </w:t>
      </w:r>
      <w:r>
        <w:rPr>
          <w:color w:val="231F20"/>
          <w:w w:val="110"/>
          <w:sz w:val="18"/>
        </w:rPr>
        <w:t>God’s</w:t>
      </w:r>
      <w:r>
        <w:rPr>
          <w:color w:val="231F20"/>
          <w:spacing w:val="-11"/>
          <w:w w:val="110"/>
          <w:sz w:val="18"/>
        </w:rPr>
        <w:t> </w:t>
      </w:r>
      <w:r>
        <w:rPr>
          <w:color w:val="231F20"/>
          <w:w w:val="110"/>
          <w:sz w:val="18"/>
        </w:rPr>
        <w:t>will</w:t>
      </w:r>
      <w:r>
        <w:rPr>
          <w:color w:val="231F20"/>
          <w:spacing w:val="-11"/>
          <w:w w:val="110"/>
          <w:sz w:val="18"/>
        </w:rPr>
        <w:t> </w:t>
      </w:r>
      <w:r>
        <w:rPr>
          <w:color w:val="231F20"/>
          <w:w w:val="110"/>
          <w:sz w:val="18"/>
        </w:rPr>
        <w:t>(Acts</w:t>
      </w:r>
      <w:r>
        <w:rPr>
          <w:color w:val="231F20"/>
          <w:spacing w:val="-11"/>
          <w:w w:val="110"/>
          <w:sz w:val="18"/>
        </w:rPr>
        <w:t> </w:t>
      </w:r>
      <w:r>
        <w:rPr>
          <w:color w:val="231F20"/>
          <w:spacing w:val="-8"/>
          <w:w w:val="110"/>
          <w:sz w:val="18"/>
        </w:rPr>
        <w:t>15:28).</w:t>
      </w:r>
    </w:p>
    <w:p>
      <w:pPr>
        <w:pStyle w:val="ListParagraph"/>
        <w:numPr>
          <w:ilvl w:val="1"/>
          <w:numId w:val="206"/>
        </w:numPr>
        <w:tabs>
          <w:tab w:pos="1800" w:val="left" w:leader="none"/>
          <w:tab w:pos="1801" w:val="left" w:leader="none"/>
        </w:tabs>
        <w:spacing w:line="273" w:lineRule="auto" w:before="227" w:after="0"/>
        <w:ind w:left="1080" w:right="1293" w:firstLine="0"/>
        <w:jc w:val="left"/>
        <w:rPr>
          <w:sz w:val="18"/>
        </w:rPr>
      </w:pPr>
      <w:r>
        <w:rPr>
          <w:color w:val="231F20"/>
          <w:spacing w:val="4"/>
          <w:w w:val="110"/>
          <w:sz w:val="18"/>
        </w:rPr>
        <w:t>As </w:t>
      </w:r>
      <w:r>
        <w:rPr>
          <w:color w:val="231F20"/>
          <w:spacing w:val="2"/>
          <w:w w:val="110"/>
          <w:sz w:val="18"/>
        </w:rPr>
        <w:t>the </w:t>
      </w:r>
      <w:r>
        <w:rPr>
          <w:color w:val="231F20"/>
          <w:spacing w:val="3"/>
          <w:w w:val="110"/>
          <w:sz w:val="18"/>
        </w:rPr>
        <w:t>church </w:t>
      </w:r>
      <w:r>
        <w:rPr>
          <w:color w:val="231F20"/>
          <w:spacing w:val="2"/>
          <w:w w:val="110"/>
          <w:sz w:val="18"/>
        </w:rPr>
        <w:t>grew </w:t>
      </w:r>
      <w:r>
        <w:rPr>
          <w:color w:val="231F20"/>
          <w:w w:val="110"/>
          <w:sz w:val="18"/>
        </w:rPr>
        <w:t>in </w:t>
      </w:r>
      <w:r>
        <w:rPr>
          <w:color w:val="231F20"/>
          <w:spacing w:val="2"/>
          <w:w w:val="110"/>
          <w:sz w:val="18"/>
        </w:rPr>
        <w:t>number </w:t>
      </w:r>
      <w:r>
        <w:rPr>
          <w:color w:val="231F20"/>
          <w:w w:val="110"/>
          <w:sz w:val="18"/>
        </w:rPr>
        <w:t>and </w:t>
      </w:r>
      <w:r>
        <w:rPr>
          <w:color w:val="231F20"/>
          <w:spacing w:val="3"/>
          <w:w w:val="110"/>
          <w:sz w:val="18"/>
        </w:rPr>
        <w:t>maturity </w:t>
      </w:r>
      <w:r>
        <w:rPr>
          <w:color w:val="231F20"/>
          <w:spacing w:val="2"/>
          <w:w w:val="110"/>
          <w:sz w:val="18"/>
        </w:rPr>
        <w:t>throughout the </w:t>
      </w:r>
      <w:r>
        <w:rPr>
          <w:color w:val="231F20"/>
          <w:spacing w:val="3"/>
          <w:w w:val="110"/>
          <w:sz w:val="18"/>
        </w:rPr>
        <w:t>first </w:t>
      </w:r>
      <w:r>
        <w:rPr>
          <w:color w:val="231F20"/>
          <w:w w:val="110"/>
          <w:sz w:val="18"/>
        </w:rPr>
        <w:t>century, </w:t>
      </w:r>
      <w:r>
        <w:rPr>
          <w:color w:val="231F20"/>
          <w:spacing w:val="4"/>
          <w:w w:val="110"/>
          <w:sz w:val="18"/>
        </w:rPr>
        <w:t>often </w:t>
      </w:r>
      <w:r>
        <w:rPr>
          <w:color w:val="231F20"/>
          <w:w w:val="110"/>
          <w:sz w:val="18"/>
        </w:rPr>
        <w:t>having to </w:t>
      </w:r>
      <w:r>
        <w:rPr>
          <w:color w:val="231F20"/>
          <w:spacing w:val="3"/>
          <w:w w:val="110"/>
          <w:sz w:val="18"/>
        </w:rPr>
        <w:t>embrace </w:t>
      </w:r>
      <w:r>
        <w:rPr>
          <w:color w:val="231F20"/>
          <w:spacing w:val="2"/>
          <w:w w:val="110"/>
          <w:sz w:val="18"/>
        </w:rPr>
        <w:t>situations </w:t>
      </w:r>
      <w:r>
        <w:rPr>
          <w:color w:val="231F20"/>
          <w:w w:val="110"/>
          <w:sz w:val="18"/>
        </w:rPr>
        <w:t>as </w:t>
      </w:r>
      <w:r>
        <w:rPr>
          <w:color w:val="231F20"/>
          <w:spacing w:val="2"/>
          <w:w w:val="110"/>
          <w:sz w:val="18"/>
        </w:rPr>
        <w:t>complex </w:t>
      </w:r>
      <w:r>
        <w:rPr>
          <w:color w:val="231F20"/>
          <w:w w:val="110"/>
          <w:sz w:val="18"/>
        </w:rPr>
        <w:t>as any </w:t>
      </w:r>
      <w:r>
        <w:rPr>
          <w:color w:val="231F20"/>
          <w:spacing w:val="2"/>
          <w:w w:val="110"/>
          <w:sz w:val="18"/>
        </w:rPr>
        <w:t>the </w:t>
      </w:r>
      <w:r>
        <w:rPr>
          <w:color w:val="231F20"/>
          <w:spacing w:val="3"/>
          <w:w w:val="110"/>
          <w:sz w:val="18"/>
        </w:rPr>
        <w:t>church struggles </w:t>
      </w:r>
      <w:r>
        <w:rPr>
          <w:color w:val="231F20"/>
          <w:spacing w:val="2"/>
          <w:w w:val="110"/>
          <w:sz w:val="18"/>
        </w:rPr>
        <w:t>with </w:t>
      </w:r>
      <w:r>
        <w:rPr>
          <w:color w:val="231F20"/>
          <w:w w:val="110"/>
          <w:sz w:val="18"/>
        </w:rPr>
        <w:t>today, it </w:t>
      </w:r>
      <w:r>
        <w:rPr>
          <w:color w:val="231F20"/>
          <w:spacing w:val="2"/>
          <w:w w:val="110"/>
          <w:sz w:val="18"/>
        </w:rPr>
        <w:t>sought </w:t>
      </w:r>
      <w:r>
        <w:rPr>
          <w:color w:val="231F20"/>
          <w:w w:val="110"/>
          <w:sz w:val="18"/>
        </w:rPr>
        <w:t>to </w:t>
      </w:r>
      <w:r>
        <w:rPr>
          <w:color w:val="231F20"/>
          <w:spacing w:val="3"/>
          <w:w w:val="110"/>
          <w:sz w:val="18"/>
        </w:rPr>
        <w:t>model itself </w:t>
      </w:r>
      <w:r>
        <w:rPr>
          <w:color w:val="231F20"/>
          <w:spacing w:val="2"/>
          <w:w w:val="110"/>
          <w:sz w:val="18"/>
        </w:rPr>
        <w:t>around </w:t>
      </w:r>
      <w:r>
        <w:rPr>
          <w:color w:val="231F20"/>
          <w:w w:val="110"/>
          <w:sz w:val="18"/>
        </w:rPr>
        <w:t>Paul’s </w:t>
      </w:r>
      <w:r>
        <w:rPr>
          <w:color w:val="231F20"/>
          <w:spacing w:val="2"/>
          <w:w w:val="110"/>
          <w:sz w:val="18"/>
        </w:rPr>
        <w:t>injunction </w:t>
      </w:r>
      <w:r>
        <w:rPr>
          <w:color w:val="231F20"/>
          <w:w w:val="110"/>
          <w:sz w:val="18"/>
        </w:rPr>
        <w:t>to </w:t>
      </w:r>
      <w:r>
        <w:rPr>
          <w:color w:val="231F20"/>
          <w:spacing w:val="2"/>
          <w:w w:val="110"/>
          <w:sz w:val="18"/>
        </w:rPr>
        <w:t>the </w:t>
      </w:r>
      <w:r>
        <w:rPr>
          <w:color w:val="231F20"/>
          <w:spacing w:val="3"/>
          <w:w w:val="110"/>
          <w:sz w:val="18"/>
        </w:rPr>
        <w:t>church </w:t>
      </w:r>
      <w:r>
        <w:rPr>
          <w:color w:val="231F20"/>
          <w:w w:val="110"/>
          <w:sz w:val="18"/>
        </w:rPr>
        <w:t>at</w:t>
      </w:r>
      <w:r>
        <w:rPr>
          <w:color w:val="231F20"/>
          <w:spacing w:val="4"/>
          <w:w w:val="110"/>
          <w:sz w:val="18"/>
        </w:rPr>
        <w:t> </w:t>
      </w:r>
      <w:r>
        <w:rPr>
          <w:color w:val="231F20"/>
          <w:w w:val="110"/>
          <w:sz w:val="18"/>
        </w:rPr>
        <w:t>Philippi</w:t>
      </w:r>
    </w:p>
    <w:p>
      <w:pPr>
        <w:pStyle w:val="BodyText"/>
        <w:spacing w:before="8"/>
        <w:rPr>
          <w:sz w:val="20"/>
        </w:rPr>
      </w:pPr>
    </w:p>
    <w:p>
      <w:pPr>
        <w:pStyle w:val="BodyText"/>
        <w:tabs>
          <w:tab w:pos="8648" w:val="left" w:leader="none"/>
        </w:tabs>
        <w:spacing w:line="273" w:lineRule="auto"/>
        <w:ind w:left="1761" w:right="1132" w:firstLine="2"/>
      </w:pPr>
      <w:r>
        <w:rPr>
          <w:color w:val="231F20"/>
          <w:spacing w:val="-3"/>
          <w:w w:val="110"/>
        </w:rPr>
        <w:t>‘If  </w:t>
      </w:r>
      <w:r>
        <w:rPr>
          <w:color w:val="231F20"/>
          <w:w w:val="110"/>
        </w:rPr>
        <w:t>then our common life in Christ yields anything to stir the </w:t>
      </w:r>
      <w:r>
        <w:rPr>
          <w:color w:val="231F20"/>
          <w:spacing w:val="2"/>
          <w:w w:val="110"/>
        </w:rPr>
        <w:t>heart, </w:t>
      </w:r>
      <w:r>
        <w:rPr>
          <w:color w:val="231F20"/>
          <w:w w:val="110"/>
        </w:rPr>
        <w:t>any   consolation of love, any participation in the Spirit, any warmth of </w:t>
      </w:r>
      <w:r>
        <w:rPr>
          <w:color w:val="231F20"/>
          <w:spacing w:val="2"/>
          <w:w w:val="110"/>
        </w:rPr>
        <w:t>affection </w:t>
      </w:r>
      <w:r>
        <w:rPr>
          <w:color w:val="231F20"/>
          <w:w w:val="110"/>
        </w:rPr>
        <w:t>or compassion, fill my cup of happiness by thinking and feeling alike, with the same love for one another and a common attitude of mind. Leave no room for selfish ambition and vanity, but humbly reckon others </w:t>
      </w:r>
      <w:r>
        <w:rPr>
          <w:color w:val="231F20"/>
          <w:spacing w:val="2"/>
          <w:w w:val="110"/>
        </w:rPr>
        <w:t>better </w:t>
      </w:r>
      <w:r>
        <w:rPr>
          <w:color w:val="231F20"/>
          <w:w w:val="110"/>
        </w:rPr>
        <w:t>than yourselves. Look to each other’s interests and not merely to</w:t>
      </w:r>
      <w:r>
        <w:rPr>
          <w:color w:val="231F20"/>
          <w:spacing w:val="63"/>
          <w:w w:val="110"/>
        </w:rPr>
        <w:t> </w:t>
      </w:r>
      <w:r>
        <w:rPr>
          <w:color w:val="231F20"/>
          <w:w w:val="110"/>
        </w:rPr>
        <w:t>your</w:t>
      </w:r>
      <w:r>
        <w:rPr>
          <w:color w:val="231F20"/>
          <w:spacing w:val="9"/>
          <w:w w:val="110"/>
        </w:rPr>
        <w:t> </w:t>
      </w:r>
      <w:r>
        <w:rPr>
          <w:color w:val="231F20"/>
          <w:spacing w:val="-3"/>
          <w:w w:val="110"/>
        </w:rPr>
        <w:t>own.’</w:t>
        <w:tab/>
      </w:r>
      <w:r>
        <w:rPr>
          <w:color w:val="231F20"/>
          <w:position w:val="-11"/>
        </w:rPr>
        <w:t>Philippians</w:t>
      </w:r>
      <w:r>
        <w:rPr>
          <w:color w:val="231F20"/>
          <w:spacing w:val="4"/>
          <w:position w:val="-11"/>
        </w:rPr>
        <w:t> </w:t>
      </w:r>
      <w:r>
        <w:rPr>
          <w:color w:val="231F20"/>
          <w:spacing w:val="-10"/>
          <w:position w:val="-11"/>
        </w:rPr>
        <w:t>2:1-4</w:t>
      </w:r>
    </w:p>
    <w:p>
      <w:pPr>
        <w:pStyle w:val="ListParagraph"/>
        <w:numPr>
          <w:ilvl w:val="1"/>
          <w:numId w:val="206"/>
        </w:numPr>
        <w:tabs>
          <w:tab w:pos="1800" w:val="left" w:leader="none"/>
          <w:tab w:pos="1801" w:val="left" w:leader="none"/>
        </w:tabs>
        <w:spacing w:line="273" w:lineRule="auto" w:before="254" w:after="0"/>
        <w:ind w:left="1081" w:right="1376" w:hanging="1"/>
        <w:jc w:val="left"/>
        <w:rPr>
          <w:sz w:val="18"/>
        </w:rPr>
      </w:pPr>
      <w:r>
        <w:rPr>
          <w:color w:val="231F20"/>
          <w:spacing w:val="3"/>
          <w:w w:val="110"/>
          <w:sz w:val="18"/>
        </w:rPr>
        <w:t>The </w:t>
      </w:r>
      <w:r>
        <w:rPr>
          <w:color w:val="231F20"/>
          <w:spacing w:val="2"/>
          <w:w w:val="110"/>
          <w:sz w:val="18"/>
        </w:rPr>
        <w:t>United </w:t>
      </w:r>
      <w:r>
        <w:rPr>
          <w:color w:val="231F20"/>
          <w:spacing w:val="3"/>
          <w:w w:val="110"/>
          <w:sz w:val="18"/>
        </w:rPr>
        <w:t>Reformed Church </w:t>
      </w:r>
      <w:r>
        <w:rPr>
          <w:color w:val="231F20"/>
          <w:spacing w:val="2"/>
          <w:w w:val="110"/>
          <w:sz w:val="18"/>
        </w:rPr>
        <w:t>believes </w:t>
      </w:r>
      <w:r>
        <w:rPr>
          <w:color w:val="231F20"/>
          <w:w w:val="110"/>
          <w:sz w:val="18"/>
        </w:rPr>
        <w:t>that in </w:t>
      </w:r>
      <w:r>
        <w:rPr>
          <w:color w:val="231F20"/>
          <w:spacing w:val="2"/>
          <w:w w:val="110"/>
          <w:sz w:val="18"/>
        </w:rPr>
        <w:t>the Councils </w:t>
      </w:r>
      <w:r>
        <w:rPr>
          <w:color w:val="231F20"/>
          <w:w w:val="110"/>
          <w:sz w:val="18"/>
        </w:rPr>
        <w:t>of </w:t>
      </w:r>
      <w:r>
        <w:rPr>
          <w:color w:val="231F20"/>
          <w:spacing w:val="2"/>
          <w:w w:val="110"/>
          <w:sz w:val="18"/>
        </w:rPr>
        <w:t>the </w:t>
      </w:r>
      <w:r>
        <w:rPr>
          <w:color w:val="231F20"/>
          <w:spacing w:val="3"/>
          <w:w w:val="110"/>
          <w:sz w:val="18"/>
        </w:rPr>
        <w:t>Church </w:t>
      </w:r>
      <w:r>
        <w:rPr>
          <w:color w:val="231F20"/>
          <w:w w:val="110"/>
          <w:sz w:val="18"/>
        </w:rPr>
        <w:t>we </w:t>
      </w:r>
      <w:r>
        <w:rPr>
          <w:color w:val="231F20"/>
          <w:spacing w:val="2"/>
          <w:w w:val="110"/>
          <w:sz w:val="18"/>
        </w:rPr>
        <w:t>hear the voice </w:t>
      </w:r>
      <w:r>
        <w:rPr>
          <w:color w:val="231F20"/>
          <w:w w:val="110"/>
          <w:sz w:val="18"/>
        </w:rPr>
        <w:t>of </w:t>
      </w:r>
      <w:r>
        <w:rPr>
          <w:color w:val="231F20"/>
          <w:spacing w:val="3"/>
          <w:w w:val="110"/>
          <w:sz w:val="18"/>
        </w:rPr>
        <w:t>God </w:t>
      </w:r>
      <w:r>
        <w:rPr>
          <w:color w:val="231F20"/>
          <w:spacing w:val="2"/>
          <w:w w:val="110"/>
          <w:sz w:val="18"/>
        </w:rPr>
        <w:t>mediated through </w:t>
      </w:r>
      <w:r>
        <w:rPr>
          <w:color w:val="231F20"/>
          <w:w w:val="110"/>
          <w:sz w:val="18"/>
        </w:rPr>
        <w:t>human </w:t>
      </w:r>
      <w:r>
        <w:rPr>
          <w:color w:val="231F20"/>
          <w:spacing w:val="2"/>
          <w:w w:val="110"/>
          <w:sz w:val="18"/>
        </w:rPr>
        <w:t>voices. </w:t>
      </w:r>
      <w:r>
        <w:rPr>
          <w:color w:val="231F20"/>
          <w:w w:val="110"/>
          <w:sz w:val="18"/>
        </w:rPr>
        <w:t>By </w:t>
      </w:r>
      <w:r>
        <w:rPr>
          <w:color w:val="231F20"/>
          <w:spacing w:val="2"/>
          <w:w w:val="110"/>
          <w:sz w:val="18"/>
        </w:rPr>
        <w:t>encouraging </w:t>
      </w:r>
      <w:r>
        <w:rPr>
          <w:color w:val="231F20"/>
          <w:w w:val="110"/>
          <w:sz w:val="18"/>
        </w:rPr>
        <w:t>community, </w:t>
      </w:r>
      <w:r>
        <w:rPr>
          <w:color w:val="231F20"/>
          <w:spacing w:val="2"/>
          <w:w w:val="110"/>
          <w:sz w:val="18"/>
        </w:rPr>
        <w:t>praying </w:t>
      </w:r>
      <w:r>
        <w:rPr>
          <w:color w:val="231F20"/>
          <w:w w:val="110"/>
          <w:sz w:val="18"/>
        </w:rPr>
        <w:t>together, </w:t>
      </w:r>
      <w:r>
        <w:rPr>
          <w:color w:val="231F20"/>
          <w:spacing w:val="2"/>
          <w:w w:val="110"/>
          <w:sz w:val="18"/>
        </w:rPr>
        <w:t>listening </w:t>
      </w:r>
      <w:r>
        <w:rPr>
          <w:color w:val="231F20"/>
          <w:w w:val="110"/>
          <w:sz w:val="18"/>
        </w:rPr>
        <w:t>to one </w:t>
      </w:r>
      <w:r>
        <w:rPr>
          <w:color w:val="231F20"/>
          <w:spacing w:val="2"/>
          <w:w w:val="110"/>
          <w:sz w:val="18"/>
        </w:rPr>
        <w:t>another </w:t>
      </w:r>
      <w:r>
        <w:rPr>
          <w:color w:val="231F20"/>
          <w:w w:val="110"/>
          <w:sz w:val="18"/>
        </w:rPr>
        <w:t>in a </w:t>
      </w:r>
      <w:r>
        <w:rPr>
          <w:color w:val="231F20"/>
          <w:spacing w:val="3"/>
          <w:w w:val="110"/>
          <w:sz w:val="18"/>
        </w:rPr>
        <w:t>spirit </w:t>
      </w:r>
      <w:r>
        <w:rPr>
          <w:color w:val="231F20"/>
          <w:w w:val="110"/>
          <w:sz w:val="18"/>
        </w:rPr>
        <w:t>of </w:t>
      </w:r>
      <w:r>
        <w:rPr>
          <w:color w:val="231F20"/>
          <w:spacing w:val="3"/>
          <w:w w:val="110"/>
          <w:sz w:val="18"/>
        </w:rPr>
        <w:t>openness </w:t>
      </w:r>
      <w:r>
        <w:rPr>
          <w:color w:val="231F20"/>
          <w:w w:val="110"/>
          <w:sz w:val="18"/>
        </w:rPr>
        <w:t>and </w:t>
      </w:r>
      <w:r>
        <w:rPr>
          <w:color w:val="231F20"/>
          <w:spacing w:val="2"/>
          <w:w w:val="110"/>
          <w:sz w:val="18"/>
        </w:rPr>
        <w:t>humility </w:t>
      </w:r>
      <w:r>
        <w:rPr>
          <w:color w:val="231F20"/>
          <w:w w:val="110"/>
          <w:sz w:val="18"/>
        </w:rPr>
        <w:t>and </w:t>
      </w:r>
      <w:r>
        <w:rPr>
          <w:color w:val="231F20"/>
          <w:spacing w:val="2"/>
          <w:w w:val="110"/>
          <w:sz w:val="18"/>
        </w:rPr>
        <w:t>sharing</w:t>
      </w:r>
      <w:r>
        <w:rPr>
          <w:color w:val="231F20"/>
          <w:spacing w:val="12"/>
          <w:w w:val="110"/>
          <w:sz w:val="18"/>
        </w:rPr>
        <w:t> </w:t>
      </w:r>
      <w:r>
        <w:rPr>
          <w:color w:val="231F20"/>
          <w:w w:val="110"/>
          <w:sz w:val="18"/>
        </w:rPr>
        <w:t>what</w:t>
      </w:r>
      <w:r>
        <w:rPr>
          <w:color w:val="231F20"/>
          <w:spacing w:val="13"/>
          <w:w w:val="110"/>
          <w:sz w:val="18"/>
        </w:rPr>
        <w:t> </w:t>
      </w:r>
      <w:r>
        <w:rPr>
          <w:color w:val="231F20"/>
          <w:w w:val="110"/>
          <w:sz w:val="18"/>
        </w:rPr>
        <w:t>is</w:t>
      </w:r>
      <w:r>
        <w:rPr>
          <w:color w:val="231F20"/>
          <w:spacing w:val="12"/>
          <w:w w:val="110"/>
          <w:sz w:val="18"/>
        </w:rPr>
        <w:t> </w:t>
      </w:r>
      <w:r>
        <w:rPr>
          <w:color w:val="231F20"/>
          <w:w w:val="110"/>
          <w:sz w:val="18"/>
        </w:rPr>
        <w:t>on</w:t>
      </w:r>
      <w:r>
        <w:rPr>
          <w:color w:val="231F20"/>
          <w:spacing w:val="13"/>
          <w:w w:val="110"/>
          <w:sz w:val="18"/>
        </w:rPr>
        <w:t> </w:t>
      </w:r>
      <w:r>
        <w:rPr>
          <w:color w:val="231F20"/>
          <w:w w:val="110"/>
          <w:sz w:val="18"/>
        </w:rPr>
        <w:t>our</w:t>
      </w:r>
      <w:r>
        <w:rPr>
          <w:color w:val="231F20"/>
          <w:spacing w:val="13"/>
          <w:w w:val="110"/>
          <w:sz w:val="18"/>
        </w:rPr>
        <w:t> </w:t>
      </w:r>
      <w:r>
        <w:rPr>
          <w:color w:val="231F20"/>
          <w:spacing w:val="4"/>
          <w:w w:val="110"/>
          <w:sz w:val="18"/>
        </w:rPr>
        <w:t>hearts</w:t>
      </w:r>
      <w:r>
        <w:rPr>
          <w:color w:val="231F20"/>
          <w:spacing w:val="12"/>
          <w:w w:val="110"/>
          <w:sz w:val="18"/>
        </w:rPr>
        <w:t> </w:t>
      </w:r>
      <w:r>
        <w:rPr>
          <w:color w:val="231F20"/>
          <w:w w:val="110"/>
          <w:sz w:val="18"/>
        </w:rPr>
        <w:t>and</w:t>
      </w:r>
      <w:r>
        <w:rPr>
          <w:color w:val="231F20"/>
          <w:spacing w:val="13"/>
          <w:w w:val="110"/>
          <w:sz w:val="18"/>
        </w:rPr>
        <w:t> </w:t>
      </w:r>
      <w:r>
        <w:rPr>
          <w:color w:val="231F20"/>
          <w:spacing w:val="2"/>
          <w:w w:val="110"/>
          <w:sz w:val="18"/>
        </w:rPr>
        <w:t>minds</w:t>
      </w:r>
      <w:r>
        <w:rPr>
          <w:color w:val="231F20"/>
          <w:spacing w:val="12"/>
          <w:w w:val="110"/>
          <w:sz w:val="18"/>
        </w:rPr>
        <w:t> </w:t>
      </w:r>
      <w:r>
        <w:rPr>
          <w:color w:val="231F20"/>
          <w:w w:val="110"/>
          <w:sz w:val="18"/>
        </w:rPr>
        <w:t>we</w:t>
      </w:r>
      <w:r>
        <w:rPr>
          <w:color w:val="231F20"/>
          <w:spacing w:val="13"/>
          <w:w w:val="110"/>
          <w:sz w:val="18"/>
        </w:rPr>
        <w:t> </w:t>
      </w:r>
      <w:r>
        <w:rPr>
          <w:color w:val="231F20"/>
          <w:spacing w:val="3"/>
          <w:w w:val="110"/>
          <w:sz w:val="18"/>
        </w:rPr>
        <w:t>discern</w:t>
      </w:r>
      <w:r>
        <w:rPr>
          <w:color w:val="231F20"/>
          <w:spacing w:val="13"/>
          <w:w w:val="110"/>
          <w:sz w:val="18"/>
        </w:rPr>
        <w:t> </w:t>
      </w:r>
      <w:r>
        <w:rPr>
          <w:color w:val="231F20"/>
          <w:spacing w:val="3"/>
          <w:w w:val="110"/>
          <w:sz w:val="18"/>
        </w:rPr>
        <w:t>most</w:t>
      </w:r>
      <w:r>
        <w:rPr>
          <w:color w:val="231F20"/>
          <w:spacing w:val="12"/>
          <w:w w:val="110"/>
          <w:sz w:val="18"/>
        </w:rPr>
        <w:t> </w:t>
      </w:r>
      <w:r>
        <w:rPr>
          <w:color w:val="231F20"/>
          <w:spacing w:val="2"/>
          <w:w w:val="110"/>
          <w:sz w:val="18"/>
        </w:rPr>
        <w:t>acutely</w:t>
      </w:r>
      <w:r>
        <w:rPr>
          <w:color w:val="231F20"/>
          <w:spacing w:val="13"/>
          <w:w w:val="110"/>
          <w:sz w:val="18"/>
        </w:rPr>
        <w:t> </w:t>
      </w:r>
      <w:r>
        <w:rPr>
          <w:color w:val="231F20"/>
          <w:spacing w:val="2"/>
          <w:w w:val="110"/>
          <w:sz w:val="18"/>
        </w:rPr>
        <w:t>the</w:t>
      </w:r>
      <w:r>
        <w:rPr>
          <w:color w:val="231F20"/>
          <w:spacing w:val="13"/>
          <w:w w:val="110"/>
          <w:sz w:val="18"/>
        </w:rPr>
        <w:t> </w:t>
      </w:r>
      <w:r>
        <w:rPr>
          <w:color w:val="231F20"/>
          <w:spacing w:val="2"/>
          <w:w w:val="110"/>
          <w:sz w:val="18"/>
        </w:rPr>
        <w:t>leading</w:t>
      </w:r>
      <w:r>
        <w:rPr>
          <w:color w:val="231F20"/>
          <w:spacing w:val="12"/>
          <w:w w:val="110"/>
          <w:sz w:val="18"/>
        </w:rPr>
        <w:t> </w:t>
      </w:r>
      <w:r>
        <w:rPr>
          <w:color w:val="231F20"/>
          <w:w w:val="110"/>
          <w:sz w:val="18"/>
        </w:rPr>
        <w:t>of</w:t>
      </w:r>
      <w:r>
        <w:rPr>
          <w:color w:val="231F20"/>
          <w:spacing w:val="13"/>
          <w:w w:val="110"/>
          <w:sz w:val="18"/>
        </w:rPr>
        <w:t> </w:t>
      </w:r>
      <w:r>
        <w:rPr>
          <w:color w:val="231F20"/>
          <w:spacing w:val="2"/>
          <w:w w:val="110"/>
          <w:sz w:val="18"/>
        </w:rPr>
        <w:t>God.</w:t>
      </w:r>
    </w:p>
    <w:p>
      <w:pPr>
        <w:pStyle w:val="BodyText"/>
        <w:spacing w:before="9"/>
        <w:rPr>
          <w:sz w:val="20"/>
        </w:rPr>
      </w:pPr>
    </w:p>
    <w:p>
      <w:pPr>
        <w:pStyle w:val="Heading9"/>
        <w:numPr>
          <w:ilvl w:val="0"/>
          <w:numId w:val="206"/>
        </w:numPr>
        <w:tabs>
          <w:tab w:pos="1800" w:val="left" w:leader="none"/>
          <w:tab w:pos="1801" w:val="left" w:leader="none"/>
        </w:tabs>
        <w:spacing w:line="240" w:lineRule="auto" w:before="0" w:after="0"/>
        <w:ind w:left="1800" w:right="0" w:hanging="721"/>
        <w:jc w:val="left"/>
      </w:pPr>
      <w:r>
        <w:rPr>
          <w:color w:val="231F20"/>
          <w:spacing w:val="-5"/>
          <w:w w:val="110"/>
        </w:rPr>
        <w:t>Why </w:t>
      </w:r>
      <w:r>
        <w:rPr>
          <w:color w:val="231F20"/>
          <w:w w:val="110"/>
        </w:rPr>
        <w:t>change the </w:t>
      </w:r>
      <w:r>
        <w:rPr>
          <w:color w:val="231F20"/>
          <w:spacing w:val="-5"/>
          <w:w w:val="110"/>
        </w:rPr>
        <w:t>way </w:t>
      </w:r>
      <w:r>
        <w:rPr>
          <w:color w:val="231F20"/>
          <w:spacing w:val="-4"/>
          <w:w w:val="110"/>
        </w:rPr>
        <w:t>we make</w:t>
      </w:r>
      <w:r>
        <w:rPr>
          <w:color w:val="231F20"/>
          <w:spacing w:val="14"/>
          <w:w w:val="110"/>
        </w:rPr>
        <w:t> </w:t>
      </w:r>
      <w:r>
        <w:rPr>
          <w:color w:val="231F20"/>
          <w:w w:val="110"/>
        </w:rPr>
        <w:t>decisions?</w:t>
      </w:r>
    </w:p>
    <w:p>
      <w:pPr>
        <w:pStyle w:val="ListParagraph"/>
        <w:numPr>
          <w:ilvl w:val="1"/>
          <w:numId w:val="206"/>
        </w:numPr>
        <w:tabs>
          <w:tab w:pos="1800" w:val="left" w:leader="none"/>
          <w:tab w:pos="1801" w:val="left" w:leader="none"/>
        </w:tabs>
        <w:spacing w:line="273" w:lineRule="auto" w:before="168" w:after="0"/>
        <w:ind w:left="1080" w:right="3424" w:firstLine="0"/>
        <w:jc w:val="left"/>
        <w:rPr>
          <w:sz w:val="18"/>
        </w:rPr>
      </w:pPr>
      <w:r>
        <w:rPr/>
        <w:pict>
          <v:group style="position:absolute;margin-left:432.755981pt;margin-top:7.250632pt;width:124.3pt;height:80.8pt;mso-position-horizontal-relative:page;mso-position-vertical-relative:paragraph;z-index:252087296" coordorigin="8655,145" coordsize="2486,1616">
            <v:shape style="position:absolute;left:8735;top:225;width:2326;height:1456" coordorigin="8735,225" coordsize="2326,1456" path="m8975,225l8836,229,8765,255,8739,326,8735,465,8735,1441,8739,1580,8765,1651,8836,1677,8975,1681,10820,1681,10959,1677,11030,1651,11056,1580,11060,1441,11060,465,11056,326,11030,255,10959,229,10820,225,8975,225xe" filled="false" stroked="true" strokeweight="8pt" strokecolor="#a7a9ac">
              <v:path arrowok="t"/>
              <v:stroke dashstyle="solid"/>
            </v:shape>
            <v:shape style="position:absolute;left:8655;top:145;width:2486;height:1616" type="#_x0000_t202" filled="false" stroked="false">
              <v:textbox inset="0,0,0,0">
                <w:txbxContent>
                  <w:p>
                    <w:pPr>
                      <w:spacing w:line="240" w:lineRule="auto" w:before="3"/>
                      <w:rPr>
                        <w:sz w:val="26"/>
                      </w:rPr>
                    </w:pPr>
                  </w:p>
                  <w:p>
                    <w:pPr>
                      <w:spacing w:line="264" w:lineRule="auto" w:before="0"/>
                      <w:ind w:left="361" w:right="361" w:hanging="1"/>
                      <w:jc w:val="center"/>
                      <w:rPr>
                        <w:sz w:val="24"/>
                      </w:rPr>
                    </w:pPr>
                    <w:r>
                      <w:rPr>
                        <w:color w:val="231F20"/>
                        <w:spacing w:val="-3"/>
                        <w:w w:val="95"/>
                        <w:sz w:val="24"/>
                      </w:rPr>
                      <w:t>By</w:t>
                    </w:r>
                    <w:r>
                      <w:rPr>
                        <w:color w:val="231F20"/>
                        <w:spacing w:val="-54"/>
                        <w:w w:val="95"/>
                        <w:sz w:val="24"/>
                      </w:rPr>
                      <w:t> </w:t>
                    </w:r>
                    <w:r>
                      <w:rPr>
                        <w:color w:val="231F20"/>
                        <w:spacing w:val="-4"/>
                        <w:w w:val="95"/>
                        <w:sz w:val="24"/>
                      </w:rPr>
                      <w:t>encouraging </w:t>
                    </w:r>
                    <w:r>
                      <w:rPr>
                        <w:color w:val="231F20"/>
                        <w:spacing w:val="-6"/>
                        <w:sz w:val="24"/>
                      </w:rPr>
                      <w:t>community, </w:t>
                    </w:r>
                    <w:r>
                      <w:rPr>
                        <w:color w:val="231F20"/>
                        <w:spacing w:val="-5"/>
                        <w:w w:val="90"/>
                        <w:sz w:val="24"/>
                      </w:rPr>
                      <w:t>praying </w:t>
                    </w:r>
                    <w:r>
                      <w:rPr>
                        <w:color w:val="231F20"/>
                        <w:spacing w:val="-6"/>
                        <w:w w:val="90"/>
                        <w:sz w:val="24"/>
                      </w:rPr>
                      <w:t>together</w:t>
                    </w:r>
                  </w:p>
                </w:txbxContent>
              </v:textbox>
              <w10:wrap type="none"/>
            </v:shape>
            <w10:wrap type="none"/>
          </v:group>
        </w:pict>
      </w:r>
      <w:r>
        <w:rPr>
          <w:color w:val="231F20"/>
          <w:spacing w:val="3"/>
          <w:w w:val="110"/>
          <w:sz w:val="18"/>
        </w:rPr>
        <w:t>As </w:t>
      </w:r>
      <w:r>
        <w:rPr>
          <w:color w:val="231F20"/>
          <w:w w:val="110"/>
          <w:sz w:val="18"/>
        </w:rPr>
        <w:t>a church we have always sought to work towards God’s will</w:t>
      </w:r>
      <w:r>
        <w:rPr>
          <w:color w:val="231F20"/>
          <w:spacing w:val="-18"/>
          <w:w w:val="110"/>
          <w:sz w:val="18"/>
        </w:rPr>
        <w:t> </w:t>
      </w:r>
      <w:r>
        <w:rPr>
          <w:color w:val="231F20"/>
          <w:w w:val="110"/>
          <w:sz w:val="18"/>
        </w:rPr>
        <w:t>and</w:t>
      </w:r>
      <w:r>
        <w:rPr>
          <w:color w:val="231F20"/>
          <w:spacing w:val="-17"/>
          <w:w w:val="110"/>
          <w:sz w:val="18"/>
        </w:rPr>
        <w:t> </w:t>
      </w:r>
      <w:r>
        <w:rPr>
          <w:color w:val="231F20"/>
          <w:w w:val="110"/>
          <w:sz w:val="18"/>
        </w:rPr>
        <w:t>plan</w:t>
      </w:r>
      <w:r>
        <w:rPr>
          <w:color w:val="231F20"/>
          <w:spacing w:val="-17"/>
          <w:w w:val="110"/>
          <w:sz w:val="18"/>
        </w:rPr>
        <w:t> </w:t>
      </w:r>
      <w:r>
        <w:rPr>
          <w:color w:val="231F20"/>
          <w:w w:val="110"/>
          <w:sz w:val="18"/>
        </w:rPr>
        <w:t>for</w:t>
      </w:r>
      <w:r>
        <w:rPr>
          <w:color w:val="231F20"/>
          <w:spacing w:val="-18"/>
          <w:w w:val="110"/>
          <w:sz w:val="18"/>
        </w:rPr>
        <w:t> </w:t>
      </w:r>
      <w:r>
        <w:rPr>
          <w:color w:val="231F20"/>
          <w:w w:val="110"/>
          <w:sz w:val="18"/>
        </w:rPr>
        <w:t>us.</w:t>
      </w:r>
      <w:r>
        <w:rPr>
          <w:color w:val="231F20"/>
          <w:spacing w:val="-17"/>
          <w:w w:val="110"/>
          <w:sz w:val="18"/>
        </w:rPr>
        <w:t> </w:t>
      </w:r>
      <w:r>
        <w:rPr>
          <w:color w:val="231F20"/>
          <w:w w:val="110"/>
          <w:sz w:val="18"/>
        </w:rPr>
        <w:t>It</w:t>
      </w:r>
      <w:r>
        <w:rPr>
          <w:color w:val="231F20"/>
          <w:spacing w:val="-17"/>
          <w:w w:val="110"/>
          <w:sz w:val="18"/>
        </w:rPr>
        <w:t> </w:t>
      </w:r>
      <w:r>
        <w:rPr>
          <w:color w:val="231F20"/>
          <w:w w:val="110"/>
          <w:sz w:val="18"/>
        </w:rPr>
        <w:t>has</w:t>
      </w:r>
      <w:r>
        <w:rPr>
          <w:color w:val="231F20"/>
          <w:spacing w:val="-17"/>
          <w:w w:val="110"/>
          <w:sz w:val="18"/>
        </w:rPr>
        <w:t> </w:t>
      </w:r>
      <w:r>
        <w:rPr>
          <w:color w:val="231F20"/>
          <w:w w:val="110"/>
          <w:sz w:val="18"/>
        </w:rPr>
        <w:t>been</w:t>
      </w:r>
      <w:r>
        <w:rPr>
          <w:color w:val="231F20"/>
          <w:spacing w:val="-18"/>
          <w:w w:val="110"/>
          <w:sz w:val="18"/>
        </w:rPr>
        <w:t> </w:t>
      </w:r>
      <w:r>
        <w:rPr>
          <w:color w:val="231F20"/>
          <w:w w:val="110"/>
          <w:sz w:val="18"/>
        </w:rPr>
        <w:t>our</w:t>
      </w:r>
      <w:r>
        <w:rPr>
          <w:color w:val="231F20"/>
          <w:spacing w:val="-17"/>
          <w:w w:val="110"/>
          <w:sz w:val="18"/>
        </w:rPr>
        <w:t> </w:t>
      </w:r>
      <w:r>
        <w:rPr>
          <w:color w:val="231F20"/>
          <w:w w:val="110"/>
          <w:sz w:val="18"/>
        </w:rPr>
        <w:t>tradition</w:t>
      </w:r>
      <w:r>
        <w:rPr>
          <w:color w:val="231F20"/>
          <w:spacing w:val="-17"/>
          <w:w w:val="110"/>
          <w:sz w:val="18"/>
        </w:rPr>
        <w:t> </w:t>
      </w:r>
      <w:r>
        <w:rPr>
          <w:color w:val="231F20"/>
          <w:w w:val="110"/>
          <w:sz w:val="18"/>
        </w:rPr>
        <w:t>and</w:t>
      </w:r>
      <w:r>
        <w:rPr>
          <w:color w:val="231F20"/>
          <w:spacing w:val="-17"/>
          <w:w w:val="110"/>
          <w:sz w:val="18"/>
        </w:rPr>
        <w:t> </w:t>
      </w:r>
      <w:r>
        <w:rPr>
          <w:color w:val="231F20"/>
          <w:w w:val="110"/>
          <w:sz w:val="18"/>
        </w:rPr>
        <w:t>understanding</w:t>
      </w:r>
      <w:r>
        <w:rPr>
          <w:color w:val="231F20"/>
          <w:spacing w:val="-18"/>
          <w:w w:val="110"/>
          <w:sz w:val="18"/>
        </w:rPr>
        <w:t> </w:t>
      </w:r>
      <w:r>
        <w:rPr>
          <w:color w:val="231F20"/>
          <w:w w:val="110"/>
          <w:sz w:val="18"/>
        </w:rPr>
        <w:t>that each council of the Church ‘comes to a mind’ </w:t>
      </w:r>
      <w:r>
        <w:rPr>
          <w:color w:val="231F20"/>
          <w:spacing w:val="-3"/>
          <w:w w:val="110"/>
          <w:sz w:val="18"/>
        </w:rPr>
        <w:t>over </w:t>
      </w:r>
      <w:r>
        <w:rPr>
          <w:color w:val="231F20"/>
          <w:w w:val="110"/>
          <w:sz w:val="18"/>
        </w:rPr>
        <w:t>a </w:t>
      </w:r>
      <w:r>
        <w:rPr>
          <w:color w:val="231F20"/>
          <w:spacing w:val="-3"/>
          <w:w w:val="110"/>
          <w:sz w:val="18"/>
        </w:rPr>
        <w:t>matter.</w:t>
      </w:r>
      <w:r>
        <w:rPr>
          <w:color w:val="231F20"/>
          <w:spacing w:val="63"/>
          <w:w w:val="110"/>
          <w:sz w:val="18"/>
        </w:rPr>
        <w:t> </w:t>
      </w:r>
      <w:r>
        <w:rPr>
          <w:color w:val="231F20"/>
          <w:w w:val="110"/>
          <w:sz w:val="18"/>
        </w:rPr>
        <w:t>The ideal is that the council reaches a unanimous agreement even if in the end we </w:t>
      </w:r>
      <w:r>
        <w:rPr>
          <w:color w:val="231F20"/>
          <w:spacing w:val="-3"/>
          <w:w w:val="110"/>
          <w:sz w:val="18"/>
        </w:rPr>
        <w:t>have </w:t>
      </w:r>
      <w:r>
        <w:rPr>
          <w:color w:val="231F20"/>
          <w:w w:val="110"/>
          <w:sz w:val="18"/>
        </w:rPr>
        <w:t>to do this by taking a vote. </w:t>
      </w:r>
      <w:r>
        <w:rPr>
          <w:color w:val="231F20"/>
          <w:spacing w:val="-3"/>
          <w:w w:val="110"/>
          <w:sz w:val="18"/>
        </w:rPr>
        <w:t>However </w:t>
      </w:r>
      <w:r>
        <w:rPr>
          <w:color w:val="231F20"/>
          <w:w w:val="110"/>
          <w:sz w:val="18"/>
        </w:rPr>
        <w:t>this ideal has not</w:t>
      </w:r>
      <w:r>
        <w:rPr>
          <w:color w:val="231F20"/>
          <w:spacing w:val="-20"/>
          <w:w w:val="110"/>
          <w:sz w:val="18"/>
        </w:rPr>
        <w:t> </w:t>
      </w:r>
      <w:r>
        <w:rPr>
          <w:color w:val="231F20"/>
          <w:spacing w:val="-3"/>
          <w:w w:val="110"/>
          <w:sz w:val="18"/>
        </w:rPr>
        <w:t>always</w:t>
      </w:r>
      <w:r>
        <w:rPr>
          <w:color w:val="231F20"/>
          <w:spacing w:val="-19"/>
          <w:w w:val="110"/>
          <w:sz w:val="18"/>
        </w:rPr>
        <w:t> </w:t>
      </w:r>
      <w:r>
        <w:rPr>
          <w:color w:val="231F20"/>
          <w:w w:val="110"/>
          <w:sz w:val="18"/>
        </w:rPr>
        <w:t>been</w:t>
      </w:r>
      <w:r>
        <w:rPr>
          <w:color w:val="231F20"/>
          <w:spacing w:val="-20"/>
          <w:w w:val="110"/>
          <w:sz w:val="18"/>
        </w:rPr>
        <w:t> </w:t>
      </w:r>
      <w:r>
        <w:rPr>
          <w:color w:val="231F20"/>
          <w:w w:val="110"/>
          <w:sz w:val="18"/>
        </w:rPr>
        <w:t>achieved</w:t>
      </w:r>
      <w:r>
        <w:rPr>
          <w:color w:val="231F20"/>
          <w:spacing w:val="-19"/>
          <w:w w:val="110"/>
          <w:sz w:val="18"/>
        </w:rPr>
        <w:t> </w:t>
      </w:r>
      <w:r>
        <w:rPr>
          <w:color w:val="231F20"/>
          <w:w w:val="110"/>
          <w:sz w:val="18"/>
        </w:rPr>
        <w:t>in</w:t>
      </w:r>
      <w:r>
        <w:rPr>
          <w:color w:val="231F20"/>
          <w:spacing w:val="-21"/>
          <w:w w:val="110"/>
          <w:sz w:val="18"/>
        </w:rPr>
        <w:t> </w:t>
      </w:r>
      <w:r>
        <w:rPr>
          <w:color w:val="231F20"/>
          <w:w w:val="110"/>
          <w:sz w:val="18"/>
        </w:rPr>
        <w:t>our</w:t>
      </w:r>
      <w:r>
        <w:rPr>
          <w:color w:val="231F20"/>
          <w:spacing w:val="-19"/>
          <w:w w:val="110"/>
          <w:sz w:val="18"/>
        </w:rPr>
        <w:t> </w:t>
      </w:r>
      <w:r>
        <w:rPr>
          <w:color w:val="231F20"/>
          <w:w w:val="110"/>
          <w:sz w:val="18"/>
        </w:rPr>
        <w:t>present</w:t>
      </w:r>
      <w:r>
        <w:rPr>
          <w:color w:val="231F20"/>
          <w:spacing w:val="-20"/>
          <w:w w:val="110"/>
          <w:sz w:val="18"/>
        </w:rPr>
        <w:t> </w:t>
      </w:r>
      <w:r>
        <w:rPr>
          <w:color w:val="231F20"/>
          <w:w w:val="110"/>
          <w:sz w:val="18"/>
        </w:rPr>
        <w:t>process</w:t>
      </w:r>
      <w:r>
        <w:rPr>
          <w:color w:val="231F20"/>
          <w:spacing w:val="-19"/>
          <w:w w:val="110"/>
          <w:sz w:val="18"/>
        </w:rPr>
        <w:t> </w:t>
      </w:r>
      <w:r>
        <w:rPr>
          <w:color w:val="231F20"/>
          <w:w w:val="110"/>
          <w:sz w:val="18"/>
        </w:rPr>
        <w:t>of</w:t>
      </w:r>
      <w:r>
        <w:rPr>
          <w:color w:val="231F20"/>
          <w:spacing w:val="-20"/>
          <w:w w:val="110"/>
          <w:sz w:val="18"/>
        </w:rPr>
        <w:t> </w:t>
      </w:r>
      <w:r>
        <w:rPr>
          <w:color w:val="231F20"/>
          <w:w w:val="110"/>
          <w:sz w:val="18"/>
        </w:rPr>
        <w:t>making</w:t>
      </w:r>
      <w:r>
        <w:rPr>
          <w:color w:val="231F20"/>
          <w:spacing w:val="-19"/>
          <w:w w:val="110"/>
          <w:sz w:val="18"/>
        </w:rPr>
        <w:t> </w:t>
      </w:r>
      <w:r>
        <w:rPr>
          <w:color w:val="231F20"/>
          <w:w w:val="110"/>
          <w:sz w:val="18"/>
        </w:rPr>
        <w:t>decisions.</w:t>
      </w:r>
    </w:p>
    <w:p>
      <w:pPr>
        <w:pStyle w:val="BodyText"/>
        <w:spacing w:before="10"/>
        <w:rPr>
          <w:sz w:val="20"/>
        </w:rPr>
      </w:pPr>
    </w:p>
    <w:p>
      <w:pPr>
        <w:pStyle w:val="ListParagraph"/>
        <w:numPr>
          <w:ilvl w:val="1"/>
          <w:numId w:val="206"/>
        </w:numPr>
        <w:tabs>
          <w:tab w:pos="1800" w:val="left" w:leader="none"/>
          <w:tab w:pos="1801" w:val="left" w:leader="none"/>
        </w:tabs>
        <w:spacing w:line="273" w:lineRule="auto" w:before="1" w:after="0"/>
        <w:ind w:left="1081" w:right="1415" w:hanging="1"/>
        <w:jc w:val="left"/>
        <w:rPr>
          <w:sz w:val="18"/>
        </w:rPr>
      </w:pPr>
      <w:r>
        <w:rPr>
          <w:color w:val="231F20"/>
          <w:w w:val="110"/>
          <w:sz w:val="18"/>
        </w:rPr>
        <w:t>Being a community of individuals means that there will </w:t>
      </w:r>
      <w:r>
        <w:rPr>
          <w:color w:val="231F20"/>
          <w:spacing w:val="-3"/>
          <w:w w:val="110"/>
          <w:sz w:val="18"/>
        </w:rPr>
        <w:t>always </w:t>
      </w:r>
      <w:r>
        <w:rPr>
          <w:color w:val="231F20"/>
          <w:w w:val="110"/>
          <w:sz w:val="18"/>
        </w:rPr>
        <w:t>be differences in our interpretation of God’s plan. In the traditional approach this is resolved by pitting opposing viewpoints against each </w:t>
      </w:r>
      <w:r>
        <w:rPr>
          <w:color w:val="231F20"/>
          <w:spacing w:val="-4"/>
          <w:w w:val="110"/>
          <w:sz w:val="18"/>
        </w:rPr>
        <w:t>other. </w:t>
      </w:r>
      <w:r>
        <w:rPr>
          <w:color w:val="231F20"/>
          <w:w w:val="110"/>
          <w:sz w:val="18"/>
        </w:rPr>
        <w:t>It is an adversarial setting. It encourages the taking</w:t>
      </w:r>
      <w:r>
        <w:rPr>
          <w:color w:val="231F20"/>
          <w:spacing w:val="-8"/>
          <w:w w:val="110"/>
          <w:sz w:val="18"/>
        </w:rPr>
        <w:t> </w:t>
      </w:r>
      <w:r>
        <w:rPr>
          <w:color w:val="231F20"/>
          <w:w w:val="110"/>
          <w:sz w:val="18"/>
        </w:rPr>
        <w:t>of</w:t>
      </w:r>
      <w:r>
        <w:rPr>
          <w:color w:val="231F20"/>
          <w:spacing w:val="-7"/>
          <w:w w:val="110"/>
          <w:sz w:val="18"/>
        </w:rPr>
        <w:t> </w:t>
      </w:r>
      <w:r>
        <w:rPr>
          <w:color w:val="231F20"/>
          <w:w w:val="110"/>
          <w:sz w:val="18"/>
        </w:rPr>
        <w:t>one</w:t>
      </w:r>
      <w:r>
        <w:rPr>
          <w:color w:val="231F20"/>
          <w:spacing w:val="-7"/>
          <w:w w:val="110"/>
          <w:sz w:val="18"/>
        </w:rPr>
        <w:t> </w:t>
      </w:r>
      <w:r>
        <w:rPr>
          <w:color w:val="231F20"/>
          <w:w w:val="110"/>
          <w:sz w:val="18"/>
        </w:rPr>
        <w:t>viewpoint</w:t>
      </w:r>
      <w:r>
        <w:rPr>
          <w:color w:val="231F20"/>
          <w:spacing w:val="-7"/>
          <w:w w:val="110"/>
          <w:sz w:val="18"/>
        </w:rPr>
        <w:t> </w:t>
      </w:r>
      <w:r>
        <w:rPr>
          <w:color w:val="231F20"/>
          <w:w w:val="110"/>
          <w:sz w:val="18"/>
        </w:rPr>
        <w:t>or</w:t>
      </w:r>
      <w:r>
        <w:rPr>
          <w:color w:val="231F20"/>
          <w:spacing w:val="-7"/>
          <w:w w:val="110"/>
          <w:sz w:val="18"/>
        </w:rPr>
        <w:t> </w:t>
      </w:r>
      <w:r>
        <w:rPr>
          <w:color w:val="231F20"/>
          <w:w w:val="110"/>
          <w:sz w:val="18"/>
        </w:rPr>
        <w:t>the</w:t>
      </w:r>
      <w:r>
        <w:rPr>
          <w:color w:val="231F20"/>
          <w:spacing w:val="-7"/>
          <w:w w:val="110"/>
          <w:sz w:val="18"/>
        </w:rPr>
        <w:t> </w:t>
      </w:r>
      <w:r>
        <w:rPr>
          <w:color w:val="231F20"/>
          <w:w w:val="110"/>
          <w:sz w:val="18"/>
        </w:rPr>
        <w:t>other</w:t>
      </w:r>
      <w:r>
        <w:rPr>
          <w:color w:val="231F20"/>
          <w:spacing w:val="-8"/>
          <w:w w:val="110"/>
          <w:sz w:val="18"/>
        </w:rPr>
        <w:t> </w:t>
      </w:r>
      <w:r>
        <w:rPr>
          <w:color w:val="231F20"/>
          <w:w w:val="110"/>
          <w:sz w:val="18"/>
        </w:rPr>
        <w:t>when</w:t>
      </w:r>
      <w:r>
        <w:rPr>
          <w:color w:val="231F20"/>
          <w:spacing w:val="-7"/>
          <w:w w:val="110"/>
          <w:sz w:val="18"/>
        </w:rPr>
        <w:t> </w:t>
      </w:r>
      <w:r>
        <w:rPr>
          <w:color w:val="231F20"/>
          <w:w w:val="110"/>
          <w:sz w:val="18"/>
        </w:rPr>
        <w:t>speaking.</w:t>
      </w:r>
      <w:r>
        <w:rPr>
          <w:color w:val="231F20"/>
          <w:spacing w:val="-7"/>
          <w:w w:val="110"/>
          <w:sz w:val="18"/>
        </w:rPr>
        <w:t> </w:t>
      </w:r>
      <w:r>
        <w:rPr>
          <w:color w:val="231F20"/>
          <w:w w:val="110"/>
          <w:sz w:val="18"/>
        </w:rPr>
        <w:t>Often</w:t>
      </w:r>
      <w:r>
        <w:rPr>
          <w:color w:val="231F20"/>
          <w:spacing w:val="-7"/>
          <w:w w:val="110"/>
          <w:sz w:val="18"/>
        </w:rPr>
        <w:t> </w:t>
      </w:r>
      <w:r>
        <w:rPr>
          <w:color w:val="231F20"/>
          <w:w w:val="110"/>
          <w:sz w:val="18"/>
        </w:rPr>
        <w:t>people</w:t>
      </w:r>
      <w:r>
        <w:rPr>
          <w:color w:val="231F20"/>
          <w:spacing w:val="-7"/>
          <w:w w:val="110"/>
          <w:sz w:val="18"/>
        </w:rPr>
        <w:t> </w:t>
      </w:r>
      <w:r>
        <w:rPr>
          <w:color w:val="231F20"/>
          <w:w w:val="110"/>
          <w:sz w:val="18"/>
        </w:rPr>
        <w:t>stick</w:t>
      </w:r>
      <w:r>
        <w:rPr>
          <w:color w:val="231F20"/>
          <w:spacing w:val="-7"/>
          <w:w w:val="110"/>
          <w:sz w:val="18"/>
        </w:rPr>
        <w:t> </w:t>
      </w:r>
      <w:r>
        <w:rPr>
          <w:color w:val="231F20"/>
          <w:w w:val="110"/>
          <w:sz w:val="18"/>
        </w:rPr>
        <w:t>ever</w:t>
      </w:r>
      <w:r>
        <w:rPr>
          <w:color w:val="231F20"/>
          <w:spacing w:val="-7"/>
          <w:w w:val="110"/>
          <w:sz w:val="18"/>
        </w:rPr>
        <w:t> </w:t>
      </w:r>
      <w:r>
        <w:rPr>
          <w:color w:val="231F20"/>
          <w:w w:val="110"/>
          <w:sz w:val="18"/>
        </w:rPr>
        <w:t>more</w:t>
      </w:r>
      <w:r>
        <w:rPr>
          <w:color w:val="231F20"/>
          <w:spacing w:val="-8"/>
          <w:w w:val="110"/>
          <w:sz w:val="18"/>
        </w:rPr>
        <w:t> </w:t>
      </w:r>
      <w:r>
        <w:rPr>
          <w:color w:val="231F20"/>
          <w:w w:val="110"/>
          <w:sz w:val="18"/>
        </w:rPr>
        <w:t>rigidly to the viewpoint they originally took. Changing one’s viewpoint implies that someone has</w:t>
      </w:r>
      <w:r>
        <w:rPr>
          <w:color w:val="231F20"/>
          <w:spacing w:val="-6"/>
          <w:w w:val="110"/>
          <w:sz w:val="18"/>
        </w:rPr>
        <w:t> </w:t>
      </w:r>
      <w:r>
        <w:rPr>
          <w:color w:val="231F20"/>
          <w:w w:val="110"/>
          <w:sz w:val="18"/>
        </w:rPr>
        <w:t>‘lost’</w:t>
      </w:r>
      <w:r>
        <w:rPr>
          <w:color w:val="231F20"/>
          <w:spacing w:val="-5"/>
          <w:w w:val="110"/>
          <w:sz w:val="18"/>
        </w:rPr>
        <w:t> </w:t>
      </w:r>
      <w:r>
        <w:rPr>
          <w:color w:val="231F20"/>
          <w:w w:val="110"/>
          <w:sz w:val="18"/>
        </w:rPr>
        <w:t>and</w:t>
      </w:r>
      <w:r>
        <w:rPr>
          <w:color w:val="231F20"/>
          <w:spacing w:val="-5"/>
          <w:w w:val="110"/>
          <w:sz w:val="18"/>
        </w:rPr>
        <w:t> </w:t>
      </w:r>
      <w:r>
        <w:rPr>
          <w:color w:val="231F20"/>
          <w:w w:val="110"/>
          <w:sz w:val="18"/>
        </w:rPr>
        <w:t>another</w:t>
      </w:r>
      <w:r>
        <w:rPr>
          <w:color w:val="231F20"/>
          <w:spacing w:val="-6"/>
          <w:w w:val="110"/>
          <w:sz w:val="18"/>
        </w:rPr>
        <w:t> </w:t>
      </w:r>
      <w:r>
        <w:rPr>
          <w:color w:val="231F20"/>
          <w:spacing w:val="-4"/>
          <w:w w:val="110"/>
          <w:sz w:val="18"/>
        </w:rPr>
        <w:t>‘won’.</w:t>
      </w:r>
      <w:r>
        <w:rPr>
          <w:color w:val="231F20"/>
          <w:spacing w:val="-5"/>
          <w:w w:val="110"/>
          <w:sz w:val="18"/>
        </w:rPr>
        <w:t> </w:t>
      </w:r>
      <w:r>
        <w:rPr>
          <w:color w:val="231F20"/>
          <w:w w:val="110"/>
          <w:sz w:val="18"/>
        </w:rPr>
        <w:t>Pride</w:t>
      </w:r>
      <w:r>
        <w:rPr>
          <w:color w:val="231F20"/>
          <w:spacing w:val="-5"/>
          <w:w w:val="110"/>
          <w:sz w:val="18"/>
        </w:rPr>
        <w:t> </w:t>
      </w:r>
      <w:r>
        <w:rPr>
          <w:color w:val="231F20"/>
          <w:w w:val="110"/>
          <w:sz w:val="18"/>
        </w:rPr>
        <w:t>can</w:t>
      </w:r>
      <w:r>
        <w:rPr>
          <w:color w:val="231F20"/>
          <w:spacing w:val="-5"/>
          <w:w w:val="110"/>
          <w:sz w:val="18"/>
        </w:rPr>
        <w:t> </w:t>
      </w:r>
      <w:r>
        <w:rPr>
          <w:color w:val="231F20"/>
          <w:w w:val="110"/>
          <w:sz w:val="18"/>
        </w:rPr>
        <w:t>get</w:t>
      </w:r>
      <w:r>
        <w:rPr>
          <w:color w:val="231F20"/>
          <w:spacing w:val="-6"/>
          <w:w w:val="110"/>
          <w:sz w:val="18"/>
        </w:rPr>
        <w:t> </w:t>
      </w:r>
      <w:r>
        <w:rPr>
          <w:color w:val="231F20"/>
          <w:w w:val="110"/>
          <w:sz w:val="18"/>
        </w:rPr>
        <w:t>in</w:t>
      </w:r>
      <w:r>
        <w:rPr>
          <w:color w:val="231F20"/>
          <w:spacing w:val="-5"/>
          <w:w w:val="110"/>
          <w:sz w:val="18"/>
        </w:rPr>
        <w:t> </w:t>
      </w:r>
      <w:r>
        <w:rPr>
          <w:color w:val="231F20"/>
          <w:w w:val="110"/>
          <w:sz w:val="18"/>
        </w:rPr>
        <w:t>the</w:t>
      </w:r>
      <w:r>
        <w:rPr>
          <w:color w:val="231F20"/>
          <w:spacing w:val="-5"/>
          <w:w w:val="110"/>
          <w:sz w:val="18"/>
        </w:rPr>
        <w:t> </w:t>
      </w:r>
      <w:r>
        <w:rPr>
          <w:color w:val="231F20"/>
          <w:spacing w:val="-3"/>
          <w:w w:val="110"/>
          <w:sz w:val="18"/>
        </w:rPr>
        <w:t>way</w:t>
      </w:r>
      <w:r>
        <w:rPr>
          <w:color w:val="231F20"/>
          <w:spacing w:val="-6"/>
          <w:w w:val="110"/>
          <w:sz w:val="18"/>
        </w:rPr>
        <w:t> </w:t>
      </w:r>
      <w:r>
        <w:rPr>
          <w:color w:val="231F20"/>
          <w:w w:val="110"/>
          <w:sz w:val="18"/>
        </w:rPr>
        <w:t>of</w:t>
      </w:r>
      <w:r>
        <w:rPr>
          <w:color w:val="231F20"/>
          <w:spacing w:val="-5"/>
          <w:w w:val="110"/>
          <w:sz w:val="18"/>
        </w:rPr>
        <w:t> </w:t>
      </w:r>
      <w:r>
        <w:rPr>
          <w:color w:val="231F20"/>
          <w:w w:val="110"/>
          <w:sz w:val="18"/>
        </w:rPr>
        <w:t>the</w:t>
      </w:r>
      <w:r>
        <w:rPr>
          <w:color w:val="231F20"/>
          <w:spacing w:val="-5"/>
          <w:w w:val="110"/>
          <w:sz w:val="18"/>
        </w:rPr>
        <w:t> </w:t>
      </w:r>
      <w:r>
        <w:rPr>
          <w:color w:val="231F20"/>
          <w:w w:val="110"/>
          <w:sz w:val="18"/>
        </w:rPr>
        <w:t>process</w:t>
      </w:r>
      <w:r>
        <w:rPr>
          <w:color w:val="231F20"/>
          <w:spacing w:val="-5"/>
          <w:w w:val="110"/>
          <w:sz w:val="18"/>
        </w:rPr>
        <w:t> </w:t>
      </w:r>
      <w:r>
        <w:rPr>
          <w:color w:val="231F20"/>
          <w:w w:val="110"/>
          <w:sz w:val="18"/>
        </w:rPr>
        <w:t>of</w:t>
      </w:r>
      <w:r>
        <w:rPr>
          <w:color w:val="231F20"/>
          <w:spacing w:val="-6"/>
          <w:w w:val="110"/>
          <w:sz w:val="18"/>
        </w:rPr>
        <w:t> </w:t>
      </w:r>
      <w:r>
        <w:rPr>
          <w:color w:val="231F20"/>
          <w:w w:val="110"/>
          <w:sz w:val="18"/>
        </w:rPr>
        <w:t>discerning</w:t>
      </w:r>
      <w:r>
        <w:rPr>
          <w:color w:val="231F20"/>
          <w:spacing w:val="-5"/>
          <w:w w:val="110"/>
          <w:sz w:val="18"/>
        </w:rPr>
        <w:t> </w:t>
      </w:r>
      <w:r>
        <w:rPr>
          <w:color w:val="231F20"/>
          <w:w w:val="110"/>
          <w:sz w:val="18"/>
        </w:rPr>
        <w:t>God’s</w:t>
      </w:r>
    </w:p>
    <w:p>
      <w:pPr>
        <w:pStyle w:val="BodyText"/>
        <w:tabs>
          <w:tab w:pos="1667" w:val="left" w:leader="none"/>
        </w:tabs>
        <w:spacing w:before="3"/>
        <w:ind w:left="1080"/>
      </w:pPr>
      <w:r>
        <w:rPr>
          <w:color w:val="231F20"/>
          <w:spacing w:val="-3"/>
          <w:w w:val="110"/>
        </w:rPr>
        <w:t>will.</w:t>
        <w:tab/>
      </w:r>
      <w:r>
        <w:rPr>
          <w:color w:val="231F20"/>
          <w:w w:val="110"/>
        </w:rPr>
        <w:t>Recently</w:t>
      </w:r>
      <w:r>
        <w:rPr>
          <w:color w:val="231F20"/>
          <w:spacing w:val="-6"/>
          <w:w w:val="110"/>
        </w:rPr>
        <w:t> </w:t>
      </w:r>
      <w:r>
        <w:rPr>
          <w:color w:val="231F20"/>
          <w:w w:val="110"/>
        </w:rPr>
        <w:t>the</w:t>
      </w:r>
      <w:r>
        <w:rPr>
          <w:color w:val="231F20"/>
          <w:spacing w:val="-5"/>
          <w:w w:val="110"/>
        </w:rPr>
        <w:t> </w:t>
      </w:r>
      <w:r>
        <w:rPr>
          <w:color w:val="231F20"/>
          <w:w w:val="110"/>
        </w:rPr>
        <w:t>United</w:t>
      </w:r>
      <w:r>
        <w:rPr>
          <w:color w:val="231F20"/>
          <w:spacing w:val="-5"/>
          <w:w w:val="110"/>
        </w:rPr>
        <w:t> </w:t>
      </w:r>
      <w:r>
        <w:rPr>
          <w:color w:val="231F20"/>
          <w:w w:val="110"/>
        </w:rPr>
        <w:t>Reformed</w:t>
      </w:r>
      <w:r>
        <w:rPr>
          <w:color w:val="231F20"/>
          <w:spacing w:val="-5"/>
          <w:w w:val="110"/>
        </w:rPr>
        <w:t> </w:t>
      </w:r>
      <w:r>
        <w:rPr>
          <w:color w:val="231F20"/>
          <w:w w:val="110"/>
        </w:rPr>
        <w:t>Church</w:t>
      </w:r>
      <w:r>
        <w:rPr>
          <w:color w:val="231F20"/>
          <w:spacing w:val="-5"/>
          <w:w w:val="110"/>
        </w:rPr>
        <w:t> </w:t>
      </w:r>
      <w:r>
        <w:rPr>
          <w:color w:val="231F20"/>
          <w:w w:val="110"/>
        </w:rPr>
        <w:t>has</w:t>
      </w:r>
      <w:r>
        <w:rPr>
          <w:color w:val="231F20"/>
          <w:spacing w:val="-5"/>
          <w:w w:val="110"/>
        </w:rPr>
        <w:t> </w:t>
      </w:r>
      <w:r>
        <w:rPr>
          <w:color w:val="231F20"/>
          <w:w w:val="110"/>
        </w:rPr>
        <w:t>recognised</w:t>
      </w:r>
      <w:r>
        <w:rPr>
          <w:color w:val="231F20"/>
          <w:spacing w:val="-5"/>
          <w:w w:val="110"/>
        </w:rPr>
        <w:t> </w:t>
      </w:r>
      <w:r>
        <w:rPr>
          <w:color w:val="231F20"/>
          <w:w w:val="110"/>
        </w:rPr>
        <w:t>some</w:t>
      </w:r>
      <w:r>
        <w:rPr>
          <w:color w:val="231F20"/>
          <w:spacing w:val="-6"/>
          <w:w w:val="110"/>
        </w:rPr>
        <w:t> </w:t>
      </w:r>
      <w:r>
        <w:rPr>
          <w:color w:val="231F20"/>
          <w:w w:val="110"/>
        </w:rPr>
        <w:t>of</w:t>
      </w:r>
      <w:r>
        <w:rPr>
          <w:color w:val="231F20"/>
          <w:spacing w:val="-5"/>
          <w:w w:val="110"/>
        </w:rPr>
        <w:t> </w:t>
      </w:r>
      <w:r>
        <w:rPr>
          <w:color w:val="231F20"/>
          <w:w w:val="110"/>
        </w:rPr>
        <w:t>these</w:t>
      </w:r>
      <w:r>
        <w:rPr>
          <w:color w:val="231F20"/>
          <w:spacing w:val="-5"/>
          <w:w w:val="110"/>
        </w:rPr>
        <w:t> </w:t>
      </w:r>
      <w:r>
        <w:rPr>
          <w:color w:val="231F20"/>
          <w:w w:val="110"/>
        </w:rPr>
        <w:t>difficulties</w:t>
      </w:r>
      <w:r>
        <w:rPr>
          <w:color w:val="231F20"/>
          <w:spacing w:val="-5"/>
          <w:w w:val="110"/>
        </w:rPr>
        <w:t> </w:t>
      </w:r>
      <w:r>
        <w:rPr>
          <w:color w:val="231F20"/>
          <w:w w:val="110"/>
        </w:rPr>
        <w:t>and</w:t>
      </w:r>
    </w:p>
    <w:p>
      <w:pPr>
        <w:pStyle w:val="BodyText"/>
        <w:spacing w:before="32"/>
        <w:ind w:left="1080"/>
      </w:pPr>
      <w:r>
        <w:rPr>
          <w:color w:val="231F20"/>
          <w:w w:val="110"/>
        </w:rPr>
        <w:t>introduced an ‘alternative motions’ procedure.</w:t>
      </w:r>
    </w:p>
    <w:p>
      <w:pPr>
        <w:pStyle w:val="BodyText"/>
        <w:spacing w:before="1"/>
        <w:rPr>
          <w:sz w:val="23"/>
        </w:rPr>
      </w:pPr>
    </w:p>
    <w:p>
      <w:pPr>
        <w:pStyle w:val="ListParagraph"/>
        <w:numPr>
          <w:ilvl w:val="1"/>
          <w:numId w:val="206"/>
        </w:numPr>
        <w:tabs>
          <w:tab w:pos="1800" w:val="left" w:leader="none"/>
          <w:tab w:pos="1801" w:val="left" w:leader="none"/>
        </w:tabs>
        <w:spacing w:line="240" w:lineRule="auto" w:before="0" w:after="0"/>
        <w:ind w:left="1800" w:right="0" w:hanging="721"/>
        <w:jc w:val="left"/>
        <w:rPr>
          <w:sz w:val="18"/>
        </w:rPr>
      </w:pPr>
      <w:r>
        <w:rPr>
          <w:color w:val="231F20"/>
          <w:w w:val="110"/>
          <w:sz w:val="18"/>
        </w:rPr>
        <w:t>Consensus decision making is significantly different and places the</w:t>
      </w:r>
      <w:r>
        <w:rPr>
          <w:color w:val="231F20"/>
          <w:spacing w:val="15"/>
          <w:w w:val="110"/>
          <w:sz w:val="18"/>
        </w:rPr>
        <w:t> </w:t>
      </w:r>
      <w:r>
        <w:rPr>
          <w:color w:val="231F20"/>
          <w:w w:val="110"/>
          <w:sz w:val="18"/>
        </w:rPr>
        <w:t>emphasis</w:t>
      </w:r>
    </w:p>
    <w:p>
      <w:pPr>
        <w:pStyle w:val="BodyText"/>
        <w:tabs>
          <w:tab w:pos="2311" w:val="left" w:leader="none"/>
        </w:tabs>
        <w:spacing w:line="273" w:lineRule="auto" w:before="32"/>
        <w:ind w:left="1081" w:right="1375" w:hanging="1"/>
      </w:pPr>
      <w:r>
        <w:rPr>
          <w:color w:val="231F20"/>
          <w:w w:val="110"/>
        </w:rPr>
        <w:t>on listening to one another as we seek God’s will. It places equal validity on all insights and input.</w:t>
        <w:tab/>
        <w:t>People still share their insights but without the confrontational atmosphere. This means that those who are not as adept at debating in the traditional sense, can contribute without fear of being outspoken by those more experienced in meeting procedure. Changing one’s mind </w:t>
      </w:r>
      <w:r>
        <w:rPr>
          <w:color w:val="231F20"/>
          <w:spacing w:val="2"/>
          <w:w w:val="110"/>
        </w:rPr>
        <w:t>after </w:t>
      </w:r>
      <w:r>
        <w:rPr>
          <w:color w:val="231F20"/>
          <w:w w:val="110"/>
        </w:rPr>
        <w:t>listening to various opinions and insights is</w:t>
      </w:r>
      <w:r>
        <w:rPr>
          <w:color w:val="231F20"/>
          <w:spacing w:val="29"/>
          <w:w w:val="110"/>
        </w:rPr>
        <w:t> </w:t>
      </w:r>
      <w:r>
        <w:rPr>
          <w:color w:val="231F20"/>
          <w:w w:val="110"/>
        </w:rPr>
        <w:t>not</w:t>
      </w:r>
    </w:p>
    <w:p>
      <w:pPr>
        <w:pStyle w:val="BodyText"/>
        <w:spacing w:line="273" w:lineRule="auto" w:before="3"/>
        <w:ind w:left="1081" w:right="1375"/>
      </w:pPr>
      <w:r>
        <w:rPr>
          <w:color w:val="231F20"/>
          <w:w w:val="110"/>
        </w:rPr>
        <w:t>a source of embarrassment it is more a mutual eagerness to discover an appropriate way forward for the church. Participation through small groups and through the use of</w:t>
      </w:r>
    </w:p>
    <w:p>
      <w:pPr>
        <w:spacing w:after="0" w:line="273" w:lineRule="auto"/>
        <w:sectPr>
          <w:headerReference w:type="default" r:id="rId464"/>
          <w:headerReference w:type="even" r:id="rId465"/>
          <w:footerReference w:type="default" r:id="rId466"/>
          <w:pgSz w:w="11910" w:h="16840"/>
          <w:pgMar w:header="558" w:footer="564" w:top="740" w:bottom="760" w:left="620" w:right="0"/>
          <w:pgNumType w:start="3"/>
        </w:sectPr>
      </w:pPr>
    </w:p>
    <w:p>
      <w:pPr>
        <w:pStyle w:val="BodyText"/>
        <w:spacing w:before="9"/>
        <w:rPr>
          <w:sz w:val="13"/>
        </w:rPr>
      </w:pPr>
    </w:p>
    <w:p>
      <w:pPr>
        <w:pStyle w:val="BodyText"/>
        <w:spacing w:line="273" w:lineRule="auto" w:before="101"/>
        <w:ind w:left="513" w:right="1791"/>
      </w:pPr>
      <w:r>
        <w:rPr/>
        <w:pict>
          <v:group style="position:absolute;margin-left:439.605988pt;margin-top:38.105633pt;width:103.95pt;height:132.8pt;mso-position-horizontal-relative:page;mso-position-vertical-relative:paragraph;z-index:-275175424" coordorigin="8792,762" coordsize="2079,2656">
            <v:shape style="position:absolute;left:8872;top:842;width:1919;height:2496" coordorigin="8872,842" coordsize="1919,2496" path="m9112,842l8973,846,8902,872,8876,943,8872,1082,8872,3097,8876,3236,8902,3307,8973,3333,9112,3337,10551,3337,10690,3333,10761,3307,10787,3236,10791,3097,10791,1082,10787,943,10761,872,10690,846,10551,842,9112,842xe" filled="false" stroked="true" strokeweight="8pt" strokecolor="#a7a9ac">
              <v:path arrowok="t"/>
              <v:stroke dashstyle="solid"/>
            </v:shape>
            <v:shape style="position:absolute;left:8792;top:762;width:2079;height:2656" type="#_x0000_t202" filled="false" stroked="false">
              <v:textbox inset="0,0,0,0">
                <w:txbxContent>
                  <w:p>
                    <w:pPr>
                      <w:spacing w:line="240" w:lineRule="auto" w:before="5"/>
                      <w:rPr>
                        <w:sz w:val="30"/>
                      </w:rPr>
                    </w:pPr>
                  </w:p>
                  <w:p>
                    <w:pPr>
                      <w:spacing w:before="0"/>
                      <w:ind w:left="353" w:right="349" w:firstLine="0"/>
                      <w:jc w:val="center"/>
                      <w:rPr>
                        <w:sz w:val="24"/>
                      </w:rPr>
                    </w:pPr>
                    <w:r>
                      <w:rPr>
                        <w:color w:val="231F20"/>
                        <w:sz w:val="24"/>
                      </w:rPr>
                      <w:t>By...</w:t>
                    </w:r>
                  </w:p>
                  <w:p>
                    <w:pPr>
                      <w:spacing w:line="264" w:lineRule="auto" w:before="28"/>
                      <w:ind w:left="271" w:right="264" w:hanging="1"/>
                      <w:jc w:val="center"/>
                      <w:rPr>
                        <w:sz w:val="24"/>
                      </w:rPr>
                    </w:pPr>
                    <w:r>
                      <w:rPr>
                        <w:color w:val="231F20"/>
                        <w:spacing w:val="-4"/>
                        <w:sz w:val="24"/>
                      </w:rPr>
                      <w:t>listening </w:t>
                    </w:r>
                    <w:r>
                      <w:rPr>
                        <w:color w:val="231F20"/>
                        <w:sz w:val="24"/>
                      </w:rPr>
                      <w:t>to </w:t>
                    </w:r>
                    <w:r>
                      <w:rPr>
                        <w:color w:val="231F20"/>
                        <w:spacing w:val="-3"/>
                        <w:w w:val="95"/>
                        <w:sz w:val="24"/>
                      </w:rPr>
                      <w:t>one</w:t>
                    </w:r>
                    <w:r>
                      <w:rPr>
                        <w:color w:val="231F20"/>
                        <w:spacing w:val="-45"/>
                        <w:w w:val="95"/>
                        <w:sz w:val="24"/>
                      </w:rPr>
                      <w:t> </w:t>
                    </w:r>
                    <w:r>
                      <w:rPr>
                        <w:color w:val="231F20"/>
                        <w:spacing w:val="-4"/>
                        <w:w w:val="95"/>
                        <w:sz w:val="24"/>
                      </w:rPr>
                      <w:t>another</w:t>
                    </w:r>
                    <w:r>
                      <w:rPr>
                        <w:color w:val="231F20"/>
                        <w:spacing w:val="-44"/>
                        <w:w w:val="95"/>
                        <w:sz w:val="24"/>
                      </w:rPr>
                      <w:t> </w:t>
                    </w:r>
                    <w:r>
                      <w:rPr>
                        <w:color w:val="231F20"/>
                        <w:spacing w:val="-9"/>
                        <w:w w:val="95"/>
                        <w:sz w:val="24"/>
                      </w:rPr>
                      <w:t>in </w:t>
                    </w:r>
                    <w:r>
                      <w:rPr>
                        <w:color w:val="231F20"/>
                        <w:sz w:val="24"/>
                      </w:rPr>
                      <w:t>a</w:t>
                    </w:r>
                    <w:r>
                      <w:rPr>
                        <w:color w:val="231F20"/>
                        <w:spacing w:val="-24"/>
                        <w:sz w:val="24"/>
                      </w:rPr>
                      <w:t> </w:t>
                    </w:r>
                    <w:r>
                      <w:rPr>
                        <w:color w:val="231F20"/>
                        <w:spacing w:val="-4"/>
                        <w:sz w:val="24"/>
                      </w:rPr>
                      <w:t>spirit</w:t>
                    </w:r>
                  </w:p>
                  <w:p>
                    <w:pPr>
                      <w:spacing w:line="264" w:lineRule="auto" w:before="0"/>
                      <w:ind w:left="356" w:right="349" w:firstLine="0"/>
                      <w:jc w:val="center"/>
                      <w:rPr>
                        <w:sz w:val="24"/>
                      </w:rPr>
                    </w:pPr>
                    <w:r>
                      <w:rPr>
                        <w:color w:val="231F20"/>
                        <w:w w:val="90"/>
                        <w:sz w:val="24"/>
                      </w:rPr>
                      <w:t>of openness and humility</w:t>
                    </w:r>
                  </w:p>
                </w:txbxContent>
              </v:textbox>
              <w10:wrap type="none"/>
            </v:shape>
            <w10:wrap type="none"/>
          </v:group>
        </w:pict>
      </w:r>
      <w:r>
        <w:rPr>
          <w:color w:val="231F20"/>
          <w:w w:val="110"/>
        </w:rPr>
        <w:t>indicator cards can be quite liberating for some people, particularly those who in the past may have found it difficult to feel they have been included or have their voice heard or respected. Above all, listening to one another is the heart of consensus.</w:t>
      </w:r>
    </w:p>
    <w:p>
      <w:pPr>
        <w:pStyle w:val="BodyText"/>
        <w:spacing w:before="8"/>
        <w:rPr>
          <w:sz w:val="20"/>
        </w:rPr>
      </w:pPr>
    </w:p>
    <w:p>
      <w:pPr>
        <w:pStyle w:val="Heading9"/>
        <w:numPr>
          <w:ilvl w:val="0"/>
          <w:numId w:val="206"/>
        </w:numPr>
        <w:tabs>
          <w:tab w:pos="1233" w:val="left" w:leader="none"/>
          <w:tab w:pos="1234" w:val="left" w:leader="none"/>
        </w:tabs>
        <w:spacing w:line="240" w:lineRule="auto" w:before="0" w:after="0"/>
        <w:ind w:left="1233" w:right="0" w:hanging="721"/>
        <w:jc w:val="left"/>
      </w:pPr>
      <w:r>
        <w:rPr>
          <w:color w:val="231F20"/>
          <w:spacing w:val="-3"/>
          <w:w w:val="110"/>
        </w:rPr>
        <w:t>How </w:t>
      </w:r>
      <w:r>
        <w:rPr>
          <w:color w:val="231F20"/>
          <w:w w:val="110"/>
        </w:rPr>
        <w:t>to </w:t>
      </w:r>
      <w:r>
        <w:rPr>
          <w:color w:val="231F20"/>
          <w:spacing w:val="-5"/>
          <w:w w:val="110"/>
        </w:rPr>
        <w:t>move </w:t>
      </w:r>
      <w:r>
        <w:rPr>
          <w:color w:val="231F20"/>
          <w:w w:val="110"/>
        </w:rPr>
        <w:t>to a consensus</w:t>
      </w:r>
      <w:r>
        <w:rPr>
          <w:color w:val="231F20"/>
          <w:spacing w:val="12"/>
          <w:w w:val="110"/>
        </w:rPr>
        <w:t> </w:t>
      </w:r>
      <w:r>
        <w:rPr>
          <w:color w:val="231F20"/>
          <w:w w:val="110"/>
        </w:rPr>
        <w:t>process</w:t>
      </w:r>
    </w:p>
    <w:p>
      <w:pPr>
        <w:pStyle w:val="ListParagraph"/>
        <w:numPr>
          <w:ilvl w:val="1"/>
          <w:numId w:val="206"/>
        </w:numPr>
        <w:tabs>
          <w:tab w:pos="1233" w:val="left" w:leader="none"/>
          <w:tab w:pos="1234" w:val="left" w:leader="none"/>
        </w:tabs>
        <w:spacing w:line="273" w:lineRule="auto" w:before="168" w:after="0"/>
        <w:ind w:left="513" w:right="3418" w:firstLine="0"/>
        <w:jc w:val="left"/>
        <w:rPr>
          <w:sz w:val="18"/>
        </w:rPr>
      </w:pPr>
      <w:r>
        <w:rPr>
          <w:color w:val="231F20"/>
          <w:w w:val="110"/>
          <w:sz w:val="18"/>
        </w:rPr>
        <w:t>The</w:t>
      </w:r>
      <w:r>
        <w:rPr>
          <w:color w:val="231F20"/>
          <w:spacing w:val="-17"/>
          <w:w w:val="110"/>
          <w:sz w:val="18"/>
        </w:rPr>
        <w:t> </w:t>
      </w:r>
      <w:r>
        <w:rPr>
          <w:color w:val="231F20"/>
          <w:w w:val="110"/>
          <w:sz w:val="18"/>
        </w:rPr>
        <w:t>first</w:t>
      </w:r>
      <w:r>
        <w:rPr>
          <w:color w:val="231F20"/>
          <w:spacing w:val="-17"/>
          <w:w w:val="110"/>
          <w:sz w:val="18"/>
        </w:rPr>
        <w:t> </w:t>
      </w:r>
      <w:r>
        <w:rPr>
          <w:color w:val="231F20"/>
          <w:w w:val="110"/>
          <w:sz w:val="18"/>
        </w:rPr>
        <w:t>step</w:t>
      </w:r>
      <w:r>
        <w:rPr>
          <w:color w:val="231F20"/>
          <w:spacing w:val="-17"/>
          <w:w w:val="110"/>
          <w:sz w:val="18"/>
        </w:rPr>
        <w:t> </w:t>
      </w:r>
      <w:r>
        <w:rPr>
          <w:color w:val="231F20"/>
          <w:w w:val="110"/>
          <w:sz w:val="18"/>
        </w:rPr>
        <w:t>in</w:t>
      </w:r>
      <w:r>
        <w:rPr>
          <w:color w:val="231F20"/>
          <w:spacing w:val="-17"/>
          <w:w w:val="110"/>
          <w:sz w:val="18"/>
        </w:rPr>
        <w:t> </w:t>
      </w:r>
      <w:r>
        <w:rPr>
          <w:color w:val="231F20"/>
          <w:w w:val="110"/>
          <w:sz w:val="18"/>
        </w:rPr>
        <w:t>developing</w:t>
      </w:r>
      <w:r>
        <w:rPr>
          <w:color w:val="231F20"/>
          <w:spacing w:val="-17"/>
          <w:w w:val="110"/>
          <w:sz w:val="18"/>
        </w:rPr>
        <w:t> </w:t>
      </w:r>
      <w:r>
        <w:rPr>
          <w:color w:val="231F20"/>
          <w:w w:val="110"/>
          <w:sz w:val="18"/>
        </w:rPr>
        <w:t>consensus</w:t>
      </w:r>
      <w:r>
        <w:rPr>
          <w:color w:val="231F20"/>
          <w:spacing w:val="-17"/>
          <w:w w:val="110"/>
          <w:sz w:val="18"/>
        </w:rPr>
        <w:t> </w:t>
      </w:r>
      <w:r>
        <w:rPr>
          <w:color w:val="231F20"/>
          <w:w w:val="110"/>
          <w:sz w:val="18"/>
        </w:rPr>
        <w:t>is</w:t>
      </w:r>
      <w:r>
        <w:rPr>
          <w:color w:val="231F20"/>
          <w:spacing w:val="-17"/>
          <w:w w:val="110"/>
          <w:sz w:val="18"/>
        </w:rPr>
        <w:t> </w:t>
      </w:r>
      <w:r>
        <w:rPr>
          <w:color w:val="231F20"/>
          <w:w w:val="110"/>
          <w:sz w:val="18"/>
        </w:rPr>
        <w:t>to</w:t>
      </w:r>
      <w:r>
        <w:rPr>
          <w:color w:val="231F20"/>
          <w:spacing w:val="-17"/>
          <w:w w:val="110"/>
          <w:sz w:val="18"/>
        </w:rPr>
        <w:t> </w:t>
      </w:r>
      <w:r>
        <w:rPr>
          <w:color w:val="231F20"/>
          <w:w w:val="110"/>
          <w:sz w:val="18"/>
        </w:rPr>
        <w:t>build</w:t>
      </w:r>
      <w:r>
        <w:rPr>
          <w:color w:val="231F20"/>
          <w:spacing w:val="-17"/>
          <w:w w:val="110"/>
          <w:sz w:val="18"/>
        </w:rPr>
        <w:t> </w:t>
      </w:r>
      <w:r>
        <w:rPr>
          <w:color w:val="231F20"/>
          <w:w w:val="110"/>
          <w:sz w:val="18"/>
        </w:rPr>
        <w:t>the</w:t>
      </w:r>
      <w:r>
        <w:rPr>
          <w:color w:val="231F20"/>
          <w:spacing w:val="-17"/>
          <w:w w:val="110"/>
          <w:sz w:val="18"/>
        </w:rPr>
        <w:t> </w:t>
      </w:r>
      <w:r>
        <w:rPr>
          <w:color w:val="231F20"/>
          <w:w w:val="110"/>
          <w:sz w:val="18"/>
        </w:rPr>
        <w:t>community</w:t>
      </w:r>
      <w:r>
        <w:rPr>
          <w:color w:val="231F20"/>
          <w:spacing w:val="-16"/>
          <w:w w:val="110"/>
          <w:sz w:val="18"/>
        </w:rPr>
        <w:t> </w:t>
      </w:r>
      <w:r>
        <w:rPr>
          <w:color w:val="231F20"/>
          <w:w w:val="110"/>
          <w:sz w:val="18"/>
        </w:rPr>
        <w:t>in each council or meeting. Christian communities develop when members of</w:t>
      </w:r>
      <w:r>
        <w:rPr>
          <w:color w:val="231F20"/>
          <w:spacing w:val="-17"/>
          <w:w w:val="110"/>
          <w:sz w:val="18"/>
        </w:rPr>
        <w:t> </w:t>
      </w:r>
      <w:r>
        <w:rPr>
          <w:color w:val="231F20"/>
          <w:w w:val="110"/>
          <w:sz w:val="18"/>
        </w:rPr>
        <w:t>a</w:t>
      </w:r>
      <w:r>
        <w:rPr>
          <w:color w:val="231F20"/>
          <w:spacing w:val="-16"/>
          <w:w w:val="110"/>
          <w:sz w:val="18"/>
        </w:rPr>
        <w:t> </w:t>
      </w:r>
      <w:r>
        <w:rPr>
          <w:color w:val="231F20"/>
          <w:w w:val="110"/>
          <w:sz w:val="18"/>
        </w:rPr>
        <w:t>group</w:t>
      </w:r>
      <w:r>
        <w:rPr>
          <w:color w:val="231F20"/>
          <w:spacing w:val="-16"/>
          <w:w w:val="110"/>
          <w:sz w:val="18"/>
        </w:rPr>
        <w:t> </w:t>
      </w:r>
      <w:r>
        <w:rPr>
          <w:color w:val="231F20"/>
          <w:w w:val="110"/>
          <w:sz w:val="18"/>
        </w:rPr>
        <w:t>share</w:t>
      </w:r>
      <w:r>
        <w:rPr>
          <w:color w:val="231F20"/>
          <w:spacing w:val="-16"/>
          <w:w w:val="110"/>
          <w:sz w:val="18"/>
        </w:rPr>
        <w:t> </w:t>
      </w:r>
      <w:r>
        <w:rPr>
          <w:color w:val="231F20"/>
          <w:w w:val="110"/>
          <w:sz w:val="18"/>
        </w:rPr>
        <w:t>the</w:t>
      </w:r>
      <w:r>
        <w:rPr>
          <w:color w:val="231F20"/>
          <w:spacing w:val="-17"/>
          <w:w w:val="110"/>
          <w:sz w:val="18"/>
        </w:rPr>
        <w:t> </w:t>
      </w:r>
      <w:r>
        <w:rPr>
          <w:color w:val="231F20"/>
          <w:w w:val="110"/>
          <w:sz w:val="18"/>
        </w:rPr>
        <w:t>life</w:t>
      </w:r>
      <w:r>
        <w:rPr>
          <w:color w:val="231F20"/>
          <w:spacing w:val="-16"/>
          <w:w w:val="110"/>
          <w:sz w:val="18"/>
        </w:rPr>
        <w:t> </w:t>
      </w:r>
      <w:r>
        <w:rPr>
          <w:color w:val="231F20"/>
          <w:w w:val="110"/>
          <w:sz w:val="18"/>
        </w:rPr>
        <w:t>they</w:t>
      </w:r>
      <w:r>
        <w:rPr>
          <w:color w:val="231F20"/>
          <w:spacing w:val="-16"/>
          <w:w w:val="110"/>
          <w:sz w:val="18"/>
        </w:rPr>
        <w:t> </w:t>
      </w:r>
      <w:r>
        <w:rPr>
          <w:color w:val="231F20"/>
          <w:spacing w:val="-3"/>
          <w:w w:val="110"/>
          <w:sz w:val="18"/>
        </w:rPr>
        <w:t>have</w:t>
      </w:r>
      <w:r>
        <w:rPr>
          <w:color w:val="231F20"/>
          <w:spacing w:val="-16"/>
          <w:w w:val="110"/>
          <w:sz w:val="18"/>
        </w:rPr>
        <w:t> </w:t>
      </w:r>
      <w:r>
        <w:rPr>
          <w:color w:val="231F20"/>
          <w:w w:val="110"/>
          <w:sz w:val="18"/>
        </w:rPr>
        <w:t>in</w:t>
      </w:r>
      <w:r>
        <w:rPr>
          <w:color w:val="231F20"/>
          <w:spacing w:val="-17"/>
          <w:w w:val="110"/>
          <w:sz w:val="18"/>
        </w:rPr>
        <w:t> </w:t>
      </w:r>
      <w:r>
        <w:rPr>
          <w:color w:val="231F20"/>
          <w:w w:val="110"/>
          <w:sz w:val="18"/>
        </w:rPr>
        <w:t>Christ.</w:t>
      </w:r>
      <w:r>
        <w:rPr>
          <w:color w:val="231F20"/>
          <w:spacing w:val="-17"/>
          <w:w w:val="110"/>
          <w:sz w:val="18"/>
        </w:rPr>
        <w:t> </w:t>
      </w:r>
      <w:r>
        <w:rPr>
          <w:color w:val="231F20"/>
          <w:w w:val="110"/>
          <w:sz w:val="18"/>
        </w:rPr>
        <w:t>It</w:t>
      </w:r>
      <w:r>
        <w:rPr>
          <w:color w:val="231F20"/>
          <w:spacing w:val="-16"/>
          <w:w w:val="110"/>
          <w:sz w:val="18"/>
        </w:rPr>
        <w:t> </w:t>
      </w:r>
      <w:r>
        <w:rPr>
          <w:color w:val="231F20"/>
          <w:w w:val="110"/>
          <w:sz w:val="18"/>
        </w:rPr>
        <w:t>is</w:t>
      </w:r>
      <w:r>
        <w:rPr>
          <w:color w:val="231F20"/>
          <w:spacing w:val="-16"/>
          <w:w w:val="110"/>
          <w:sz w:val="18"/>
        </w:rPr>
        <w:t> </w:t>
      </w:r>
      <w:r>
        <w:rPr>
          <w:color w:val="231F20"/>
          <w:w w:val="110"/>
          <w:sz w:val="18"/>
        </w:rPr>
        <w:t>strengthened</w:t>
      </w:r>
      <w:r>
        <w:rPr>
          <w:color w:val="231F20"/>
          <w:spacing w:val="-16"/>
          <w:w w:val="110"/>
          <w:sz w:val="18"/>
        </w:rPr>
        <w:t> </w:t>
      </w:r>
      <w:r>
        <w:rPr>
          <w:color w:val="231F20"/>
          <w:w w:val="110"/>
          <w:sz w:val="18"/>
        </w:rPr>
        <w:t>as</w:t>
      </w:r>
      <w:r>
        <w:rPr>
          <w:color w:val="231F20"/>
          <w:spacing w:val="-17"/>
          <w:w w:val="110"/>
          <w:sz w:val="18"/>
        </w:rPr>
        <w:t> </w:t>
      </w:r>
      <w:r>
        <w:rPr>
          <w:color w:val="231F20"/>
          <w:w w:val="110"/>
          <w:sz w:val="18"/>
        </w:rPr>
        <w:t>members are open to each other’s insights and feelings in pursuit of the ideals and practices around which the community is formed. The ideal of community we</w:t>
      </w:r>
      <w:r>
        <w:rPr>
          <w:color w:val="231F20"/>
          <w:spacing w:val="-15"/>
          <w:w w:val="110"/>
          <w:sz w:val="18"/>
        </w:rPr>
        <w:t> </w:t>
      </w:r>
      <w:r>
        <w:rPr>
          <w:color w:val="231F20"/>
          <w:w w:val="110"/>
          <w:sz w:val="18"/>
        </w:rPr>
        <w:t>seek</w:t>
      </w:r>
      <w:r>
        <w:rPr>
          <w:color w:val="231F20"/>
          <w:spacing w:val="-15"/>
          <w:w w:val="110"/>
          <w:sz w:val="18"/>
        </w:rPr>
        <w:t> </w:t>
      </w:r>
      <w:r>
        <w:rPr>
          <w:color w:val="231F20"/>
          <w:w w:val="110"/>
          <w:sz w:val="18"/>
        </w:rPr>
        <w:t>to</w:t>
      </w:r>
      <w:r>
        <w:rPr>
          <w:color w:val="231F20"/>
          <w:spacing w:val="-15"/>
          <w:w w:val="110"/>
          <w:sz w:val="18"/>
        </w:rPr>
        <w:t> </w:t>
      </w:r>
      <w:r>
        <w:rPr>
          <w:color w:val="231F20"/>
          <w:w w:val="110"/>
          <w:sz w:val="18"/>
        </w:rPr>
        <w:t>achieve</w:t>
      </w:r>
      <w:r>
        <w:rPr>
          <w:color w:val="231F20"/>
          <w:spacing w:val="-15"/>
          <w:w w:val="110"/>
          <w:sz w:val="18"/>
        </w:rPr>
        <w:t> </w:t>
      </w:r>
      <w:r>
        <w:rPr>
          <w:color w:val="231F20"/>
          <w:w w:val="110"/>
          <w:sz w:val="18"/>
        </w:rPr>
        <w:t>in</w:t>
      </w:r>
      <w:r>
        <w:rPr>
          <w:color w:val="231F20"/>
          <w:spacing w:val="-14"/>
          <w:w w:val="110"/>
          <w:sz w:val="18"/>
        </w:rPr>
        <w:t> </w:t>
      </w:r>
      <w:r>
        <w:rPr>
          <w:color w:val="231F20"/>
          <w:w w:val="110"/>
          <w:sz w:val="18"/>
        </w:rPr>
        <w:t>the</w:t>
      </w:r>
      <w:r>
        <w:rPr>
          <w:color w:val="231F20"/>
          <w:spacing w:val="-15"/>
          <w:w w:val="110"/>
          <w:sz w:val="18"/>
        </w:rPr>
        <w:t> </w:t>
      </w:r>
      <w:r>
        <w:rPr>
          <w:color w:val="231F20"/>
          <w:w w:val="110"/>
          <w:sz w:val="18"/>
        </w:rPr>
        <w:t>Church</w:t>
      </w:r>
      <w:r>
        <w:rPr>
          <w:color w:val="231F20"/>
          <w:spacing w:val="-14"/>
          <w:w w:val="110"/>
          <w:sz w:val="18"/>
        </w:rPr>
        <w:t> </w:t>
      </w:r>
      <w:r>
        <w:rPr>
          <w:color w:val="231F20"/>
          <w:w w:val="110"/>
          <w:sz w:val="18"/>
        </w:rPr>
        <w:t>finds</w:t>
      </w:r>
      <w:r>
        <w:rPr>
          <w:color w:val="231F20"/>
          <w:spacing w:val="-15"/>
          <w:w w:val="110"/>
          <w:sz w:val="18"/>
        </w:rPr>
        <w:t> </w:t>
      </w:r>
      <w:r>
        <w:rPr>
          <w:color w:val="231F20"/>
          <w:w w:val="110"/>
          <w:sz w:val="18"/>
        </w:rPr>
        <w:t>its</w:t>
      </w:r>
      <w:r>
        <w:rPr>
          <w:color w:val="231F20"/>
          <w:spacing w:val="-14"/>
          <w:w w:val="110"/>
          <w:sz w:val="18"/>
        </w:rPr>
        <w:t> </w:t>
      </w:r>
      <w:r>
        <w:rPr>
          <w:color w:val="231F20"/>
          <w:w w:val="110"/>
          <w:sz w:val="18"/>
        </w:rPr>
        <w:t>fulfilment</w:t>
      </w:r>
      <w:r>
        <w:rPr>
          <w:color w:val="231F20"/>
          <w:spacing w:val="-15"/>
          <w:w w:val="110"/>
          <w:sz w:val="18"/>
        </w:rPr>
        <w:t> </w:t>
      </w:r>
      <w:r>
        <w:rPr>
          <w:color w:val="231F20"/>
          <w:w w:val="110"/>
          <w:sz w:val="18"/>
        </w:rPr>
        <w:t>in</w:t>
      </w:r>
      <w:r>
        <w:rPr>
          <w:color w:val="231F20"/>
          <w:spacing w:val="-14"/>
          <w:w w:val="110"/>
          <w:sz w:val="18"/>
        </w:rPr>
        <w:t> </w:t>
      </w:r>
      <w:r>
        <w:rPr>
          <w:color w:val="231F20"/>
          <w:w w:val="110"/>
          <w:sz w:val="18"/>
        </w:rPr>
        <w:t>the</w:t>
      </w:r>
      <w:r>
        <w:rPr>
          <w:color w:val="231F20"/>
          <w:spacing w:val="-15"/>
          <w:w w:val="110"/>
          <w:sz w:val="18"/>
        </w:rPr>
        <w:t> </w:t>
      </w:r>
      <w:r>
        <w:rPr>
          <w:color w:val="231F20"/>
          <w:w w:val="110"/>
          <w:sz w:val="18"/>
        </w:rPr>
        <w:t>relationships</w:t>
      </w:r>
    </w:p>
    <w:p>
      <w:pPr>
        <w:pStyle w:val="BodyText"/>
        <w:spacing w:before="4"/>
        <w:ind w:left="513"/>
      </w:pPr>
      <w:r>
        <w:rPr>
          <w:color w:val="231F20"/>
          <w:w w:val="110"/>
        </w:rPr>
        <w:t>expressed in the Trinity where love binds Father, Son and Holy Spirit together.</w:t>
      </w:r>
    </w:p>
    <w:p>
      <w:pPr>
        <w:pStyle w:val="BodyText"/>
        <w:spacing w:before="1"/>
        <w:rPr>
          <w:sz w:val="23"/>
        </w:rPr>
      </w:pPr>
    </w:p>
    <w:p>
      <w:pPr>
        <w:pStyle w:val="ListParagraph"/>
        <w:numPr>
          <w:ilvl w:val="1"/>
          <w:numId w:val="206"/>
        </w:numPr>
        <w:tabs>
          <w:tab w:pos="1233" w:val="left" w:leader="none"/>
          <w:tab w:pos="1234" w:val="left" w:leader="none"/>
        </w:tabs>
        <w:spacing w:line="273" w:lineRule="auto" w:before="0" w:after="0"/>
        <w:ind w:left="513" w:right="1628" w:firstLine="0"/>
        <w:jc w:val="left"/>
        <w:rPr>
          <w:sz w:val="18"/>
        </w:rPr>
      </w:pPr>
      <w:r>
        <w:rPr>
          <w:color w:val="231F20"/>
          <w:w w:val="110"/>
          <w:sz w:val="18"/>
        </w:rPr>
        <w:t>Then the United Reformed Church will be required to be much more open than we are </w:t>
      </w:r>
      <w:r>
        <w:rPr>
          <w:color w:val="231F20"/>
          <w:spacing w:val="-3"/>
          <w:w w:val="110"/>
          <w:sz w:val="18"/>
        </w:rPr>
        <w:t>now, </w:t>
      </w:r>
      <w:r>
        <w:rPr>
          <w:color w:val="231F20"/>
          <w:w w:val="110"/>
          <w:sz w:val="18"/>
        </w:rPr>
        <w:t>to accept leadership and to be prepared to venture along a pilgrimage without knowing or prejudging the outcome. </w:t>
      </w:r>
      <w:r>
        <w:rPr>
          <w:color w:val="231F20"/>
          <w:spacing w:val="3"/>
          <w:w w:val="110"/>
          <w:sz w:val="18"/>
        </w:rPr>
        <w:t>Often </w:t>
      </w:r>
      <w:r>
        <w:rPr>
          <w:color w:val="231F20"/>
          <w:w w:val="110"/>
          <w:sz w:val="18"/>
        </w:rPr>
        <w:t>the way </w:t>
      </w:r>
      <w:r>
        <w:rPr>
          <w:color w:val="231F20"/>
          <w:spacing w:val="2"/>
          <w:w w:val="110"/>
          <w:sz w:val="18"/>
        </w:rPr>
        <w:t>forward </w:t>
      </w:r>
      <w:r>
        <w:rPr>
          <w:color w:val="231F20"/>
          <w:w w:val="110"/>
          <w:sz w:val="18"/>
        </w:rPr>
        <w:t>on an issue develops as the </w:t>
      </w:r>
      <w:r>
        <w:rPr>
          <w:color w:val="231F20"/>
          <w:spacing w:val="2"/>
          <w:w w:val="110"/>
          <w:sz w:val="18"/>
        </w:rPr>
        <w:t>process </w:t>
      </w:r>
      <w:r>
        <w:rPr>
          <w:color w:val="231F20"/>
          <w:w w:val="110"/>
          <w:sz w:val="18"/>
        </w:rPr>
        <w:t>unfolds, such that the outcome is quite different </w:t>
      </w:r>
      <w:r>
        <w:rPr>
          <w:color w:val="231F20"/>
          <w:spacing w:val="2"/>
          <w:w w:val="110"/>
          <w:sz w:val="18"/>
        </w:rPr>
        <w:t>from </w:t>
      </w:r>
      <w:r>
        <w:rPr>
          <w:color w:val="231F20"/>
          <w:w w:val="110"/>
          <w:sz w:val="18"/>
        </w:rPr>
        <w:t>any of the possibilities first envisaged. Openness to the Spirit’s guidance is an exciting journey of</w:t>
      </w:r>
      <w:r>
        <w:rPr>
          <w:color w:val="231F20"/>
          <w:spacing w:val="4"/>
          <w:w w:val="110"/>
          <w:sz w:val="18"/>
        </w:rPr>
        <w:t> </w:t>
      </w:r>
      <w:r>
        <w:rPr>
          <w:color w:val="231F20"/>
          <w:w w:val="110"/>
          <w:sz w:val="18"/>
        </w:rPr>
        <w:t>anticipation!</w:t>
      </w:r>
    </w:p>
    <w:p>
      <w:pPr>
        <w:pStyle w:val="BodyText"/>
        <w:spacing w:before="10"/>
        <w:rPr>
          <w:sz w:val="20"/>
        </w:rPr>
      </w:pPr>
    </w:p>
    <w:p>
      <w:pPr>
        <w:pStyle w:val="ListParagraph"/>
        <w:numPr>
          <w:ilvl w:val="1"/>
          <w:numId w:val="206"/>
        </w:numPr>
        <w:tabs>
          <w:tab w:pos="1233" w:val="left" w:leader="none"/>
          <w:tab w:pos="1234" w:val="left" w:leader="none"/>
          <w:tab w:pos="5823" w:val="left" w:leader="none"/>
        </w:tabs>
        <w:spacing w:line="273" w:lineRule="auto" w:before="0" w:after="0"/>
        <w:ind w:left="513" w:right="1541" w:firstLine="0"/>
        <w:jc w:val="left"/>
        <w:rPr>
          <w:sz w:val="18"/>
        </w:rPr>
      </w:pPr>
      <w:r>
        <w:rPr>
          <w:color w:val="231F20"/>
          <w:w w:val="110"/>
          <w:sz w:val="18"/>
        </w:rPr>
        <w:t>Being ‘open’ means all members are expected to contribute to the process, hearing dissenting voices without ill feeling or a need to </w:t>
      </w:r>
      <w:r>
        <w:rPr>
          <w:color w:val="231F20"/>
          <w:spacing w:val="2"/>
          <w:w w:val="110"/>
          <w:sz w:val="18"/>
        </w:rPr>
        <w:t>attack </w:t>
      </w:r>
      <w:r>
        <w:rPr>
          <w:color w:val="231F20"/>
          <w:w w:val="110"/>
          <w:sz w:val="18"/>
        </w:rPr>
        <w:t>the other person, building on   earlier insights as discussion proceeds, always searching for the way </w:t>
      </w:r>
      <w:r>
        <w:rPr>
          <w:color w:val="231F20"/>
          <w:spacing w:val="2"/>
          <w:w w:val="110"/>
          <w:sz w:val="18"/>
        </w:rPr>
        <w:t>forward </w:t>
      </w:r>
      <w:r>
        <w:rPr>
          <w:color w:val="231F20"/>
          <w:w w:val="110"/>
          <w:sz w:val="18"/>
        </w:rPr>
        <w:t>that heeds  the insights being shared. All views  are</w:t>
      </w:r>
      <w:r>
        <w:rPr>
          <w:color w:val="231F20"/>
          <w:spacing w:val="12"/>
          <w:w w:val="110"/>
          <w:sz w:val="18"/>
        </w:rPr>
        <w:t> </w:t>
      </w:r>
      <w:r>
        <w:rPr>
          <w:color w:val="231F20"/>
          <w:w w:val="110"/>
          <w:sz w:val="18"/>
        </w:rPr>
        <w:t>honoured.</w:t>
        <w:tab/>
        <w:t>It enables new and different ideas and solutions to be found, which had not been previously thought</w:t>
      </w:r>
      <w:r>
        <w:rPr>
          <w:color w:val="231F20"/>
          <w:spacing w:val="27"/>
          <w:w w:val="110"/>
          <w:sz w:val="18"/>
        </w:rPr>
        <w:t> </w:t>
      </w:r>
      <w:r>
        <w:rPr>
          <w:color w:val="231F20"/>
          <w:spacing w:val="-3"/>
          <w:w w:val="110"/>
          <w:sz w:val="18"/>
        </w:rPr>
        <w:t>of.</w:t>
      </w:r>
    </w:p>
    <w:p>
      <w:pPr>
        <w:pStyle w:val="BodyText"/>
        <w:spacing w:before="10"/>
        <w:rPr>
          <w:sz w:val="20"/>
        </w:rPr>
      </w:pPr>
    </w:p>
    <w:p>
      <w:pPr>
        <w:pStyle w:val="ListParagraph"/>
        <w:numPr>
          <w:ilvl w:val="1"/>
          <w:numId w:val="206"/>
        </w:numPr>
        <w:tabs>
          <w:tab w:pos="1233" w:val="left" w:leader="none"/>
          <w:tab w:pos="1234" w:val="left" w:leader="none"/>
        </w:tabs>
        <w:spacing w:line="273" w:lineRule="auto" w:before="0" w:after="0"/>
        <w:ind w:left="515" w:right="1568" w:hanging="2"/>
        <w:jc w:val="left"/>
        <w:rPr>
          <w:sz w:val="18"/>
        </w:rPr>
      </w:pPr>
      <w:r>
        <w:rPr>
          <w:color w:val="231F20"/>
          <w:w w:val="110"/>
          <w:sz w:val="18"/>
        </w:rPr>
        <w:t>There will need to be neutral </w:t>
      </w:r>
      <w:r>
        <w:rPr>
          <w:color w:val="231F20"/>
          <w:spacing w:val="-4"/>
          <w:w w:val="110"/>
          <w:sz w:val="18"/>
        </w:rPr>
        <w:t>(unbiased) </w:t>
      </w:r>
      <w:r>
        <w:rPr>
          <w:color w:val="231F20"/>
          <w:w w:val="110"/>
          <w:sz w:val="18"/>
        </w:rPr>
        <w:t>leadership from the </w:t>
      </w:r>
      <w:r>
        <w:rPr>
          <w:color w:val="231F20"/>
          <w:spacing w:val="-3"/>
          <w:w w:val="110"/>
          <w:sz w:val="18"/>
        </w:rPr>
        <w:t>Moderator. </w:t>
      </w:r>
      <w:r>
        <w:rPr>
          <w:color w:val="231F20"/>
          <w:w w:val="110"/>
          <w:sz w:val="18"/>
        </w:rPr>
        <w:t>It will be important for the Moderator to be trained properly, as well as being given regular and appropriate</w:t>
      </w:r>
      <w:r>
        <w:rPr>
          <w:color w:val="231F20"/>
          <w:spacing w:val="-19"/>
          <w:w w:val="110"/>
          <w:sz w:val="18"/>
        </w:rPr>
        <w:t> </w:t>
      </w:r>
      <w:r>
        <w:rPr>
          <w:color w:val="231F20"/>
          <w:w w:val="110"/>
          <w:sz w:val="18"/>
        </w:rPr>
        <w:t>feedback.</w:t>
      </w:r>
      <w:r>
        <w:rPr>
          <w:color w:val="231F20"/>
          <w:spacing w:val="-19"/>
          <w:w w:val="110"/>
          <w:sz w:val="18"/>
        </w:rPr>
        <w:t> </w:t>
      </w:r>
      <w:r>
        <w:rPr>
          <w:color w:val="231F20"/>
          <w:w w:val="110"/>
          <w:sz w:val="18"/>
        </w:rPr>
        <w:t>In</w:t>
      </w:r>
      <w:r>
        <w:rPr>
          <w:color w:val="231F20"/>
          <w:spacing w:val="-18"/>
          <w:w w:val="110"/>
          <w:sz w:val="18"/>
        </w:rPr>
        <w:t> </w:t>
      </w:r>
      <w:r>
        <w:rPr>
          <w:color w:val="231F20"/>
          <w:w w:val="110"/>
          <w:sz w:val="18"/>
        </w:rPr>
        <w:t>meetings</w:t>
      </w:r>
      <w:r>
        <w:rPr>
          <w:color w:val="231F20"/>
          <w:spacing w:val="-18"/>
          <w:w w:val="110"/>
          <w:sz w:val="18"/>
        </w:rPr>
        <w:t> </w:t>
      </w:r>
      <w:r>
        <w:rPr>
          <w:color w:val="231F20"/>
          <w:w w:val="110"/>
          <w:sz w:val="18"/>
        </w:rPr>
        <w:t>the</w:t>
      </w:r>
      <w:r>
        <w:rPr>
          <w:color w:val="231F20"/>
          <w:spacing w:val="-18"/>
          <w:w w:val="110"/>
          <w:sz w:val="18"/>
        </w:rPr>
        <w:t> </w:t>
      </w:r>
      <w:r>
        <w:rPr>
          <w:color w:val="231F20"/>
          <w:w w:val="110"/>
          <w:sz w:val="18"/>
        </w:rPr>
        <w:t>Moderator</w:t>
      </w:r>
      <w:r>
        <w:rPr>
          <w:color w:val="231F20"/>
          <w:spacing w:val="-18"/>
          <w:w w:val="110"/>
          <w:sz w:val="18"/>
        </w:rPr>
        <w:t> </w:t>
      </w:r>
      <w:r>
        <w:rPr>
          <w:color w:val="231F20"/>
          <w:w w:val="110"/>
          <w:sz w:val="18"/>
        </w:rPr>
        <w:t>can</w:t>
      </w:r>
      <w:r>
        <w:rPr>
          <w:color w:val="231F20"/>
          <w:spacing w:val="-19"/>
          <w:w w:val="110"/>
          <w:sz w:val="18"/>
        </w:rPr>
        <w:t> </w:t>
      </w:r>
      <w:r>
        <w:rPr>
          <w:color w:val="231F20"/>
          <w:w w:val="110"/>
          <w:sz w:val="18"/>
        </w:rPr>
        <w:t>be</w:t>
      </w:r>
      <w:r>
        <w:rPr>
          <w:color w:val="231F20"/>
          <w:spacing w:val="-18"/>
          <w:w w:val="110"/>
          <w:sz w:val="18"/>
        </w:rPr>
        <w:t> </w:t>
      </w:r>
      <w:r>
        <w:rPr>
          <w:color w:val="231F20"/>
          <w:w w:val="110"/>
          <w:sz w:val="18"/>
        </w:rPr>
        <w:t>given</w:t>
      </w:r>
      <w:r>
        <w:rPr>
          <w:color w:val="231F20"/>
          <w:spacing w:val="-18"/>
          <w:w w:val="110"/>
          <w:sz w:val="18"/>
        </w:rPr>
        <w:t> </w:t>
      </w:r>
      <w:r>
        <w:rPr>
          <w:color w:val="231F20"/>
          <w:w w:val="110"/>
          <w:sz w:val="18"/>
        </w:rPr>
        <w:t>support</w:t>
      </w:r>
      <w:r>
        <w:rPr>
          <w:color w:val="231F20"/>
          <w:spacing w:val="-18"/>
          <w:w w:val="110"/>
          <w:sz w:val="18"/>
        </w:rPr>
        <w:t> </w:t>
      </w:r>
      <w:r>
        <w:rPr>
          <w:color w:val="231F20"/>
          <w:w w:val="110"/>
          <w:sz w:val="18"/>
        </w:rPr>
        <w:t>through</w:t>
      </w:r>
      <w:r>
        <w:rPr>
          <w:color w:val="231F20"/>
          <w:spacing w:val="-18"/>
          <w:w w:val="110"/>
          <w:sz w:val="18"/>
        </w:rPr>
        <w:t> </w:t>
      </w:r>
      <w:r>
        <w:rPr>
          <w:color w:val="231F20"/>
          <w:w w:val="110"/>
          <w:sz w:val="18"/>
        </w:rPr>
        <w:t>a</w:t>
      </w:r>
      <w:r>
        <w:rPr>
          <w:color w:val="231F20"/>
          <w:spacing w:val="-18"/>
          <w:w w:val="110"/>
          <w:sz w:val="18"/>
        </w:rPr>
        <w:t> </w:t>
      </w:r>
      <w:r>
        <w:rPr>
          <w:color w:val="231F20"/>
          <w:w w:val="110"/>
          <w:sz w:val="18"/>
        </w:rPr>
        <w:t>facilitation </w:t>
      </w:r>
      <w:r>
        <w:rPr>
          <w:color w:val="231F20"/>
          <w:spacing w:val="-3"/>
          <w:w w:val="110"/>
          <w:sz w:val="18"/>
        </w:rPr>
        <w:t>group,</w:t>
      </w:r>
      <w:r>
        <w:rPr>
          <w:color w:val="231F20"/>
          <w:spacing w:val="-20"/>
          <w:w w:val="110"/>
          <w:sz w:val="18"/>
        </w:rPr>
        <w:t> </w:t>
      </w:r>
      <w:r>
        <w:rPr>
          <w:color w:val="231F20"/>
          <w:w w:val="110"/>
          <w:sz w:val="18"/>
        </w:rPr>
        <w:t>which</w:t>
      </w:r>
      <w:r>
        <w:rPr>
          <w:color w:val="231F20"/>
          <w:spacing w:val="-20"/>
          <w:w w:val="110"/>
          <w:sz w:val="18"/>
        </w:rPr>
        <w:t> </w:t>
      </w:r>
      <w:r>
        <w:rPr>
          <w:color w:val="231F20"/>
          <w:w w:val="110"/>
          <w:sz w:val="18"/>
        </w:rPr>
        <w:t>will</w:t>
      </w:r>
      <w:r>
        <w:rPr>
          <w:color w:val="231F20"/>
          <w:spacing w:val="-19"/>
          <w:w w:val="110"/>
          <w:sz w:val="18"/>
        </w:rPr>
        <w:t> </w:t>
      </w:r>
      <w:r>
        <w:rPr>
          <w:color w:val="231F20"/>
          <w:w w:val="110"/>
          <w:sz w:val="18"/>
        </w:rPr>
        <w:t>offer</w:t>
      </w:r>
      <w:r>
        <w:rPr>
          <w:color w:val="231F20"/>
          <w:spacing w:val="-19"/>
          <w:w w:val="110"/>
          <w:sz w:val="18"/>
        </w:rPr>
        <w:t> </w:t>
      </w:r>
      <w:r>
        <w:rPr>
          <w:color w:val="231F20"/>
          <w:w w:val="110"/>
          <w:sz w:val="18"/>
        </w:rPr>
        <w:t>guidance</w:t>
      </w:r>
      <w:r>
        <w:rPr>
          <w:color w:val="231F20"/>
          <w:spacing w:val="-19"/>
          <w:w w:val="110"/>
          <w:sz w:val="18"/>
        </w:rPr>
        <w:t> </w:t>
      </w:r>
      <w:r>
        <w:rPr>
          <w:color w:val="231F20"/>
          <w:w w:val="110"/>
          <w:sz w:val="18"/>
        </w:rPr>
        <w:t>and</w:t>
      </w:r>
      <w:r>
        <w:rPr>
          <w:color w:val="231F20"/>
          <w:spacing w:val="-19"/>
          <w:w w:val="110"/>
          <w:sz w:val="18"/>
        </w:rPr>
        <w:t> </w:t>
      </w:r>
      <w:r>
        <w:rPr>
          <w:color w:val="231F20"/>
          <w:w w:val="110"/>
          <w:sz w:val="18"/>
        </w:rPr>
        <w:t>suggestions</w:t>
      </w:r>
      <w:r>
        <w:rPr>
          <w:color w:val="231F20"/>
          <w:spacing w:val="-19"/>
          <w:w w:val="110"/>
          <w:sz w:val="18"/>
        </w:rPr>
        <w:t> </w:t>
      </w:r>
      <w:r>
        <w:rPr>
          <w:color w:val="231F20"/>
          <w:w w:val="110"/>
          <w:sz w:val="18"/>
        </w:rPr>
        <w:t>for</w:t>
      </w:r>
      <w:r>
        <w:rPr>
          <w:color w:val="231F20"/>
          <w:spacing w:val="-19"/>
          <w:w w:val="110"/>
          <w:sz w:val="18"/>
        </w:rPr>
        <w:t> </w:t>
      </w:r>
      <w:r>
        <w:rPr>
          <w:color w:val="231F20"/>
          <w:w w:val="110"/>
          <w:sz w:val="18"/>
        </w:rPr>
        <w:t>different</w:t>
      </w:r>
      <w:r>
        <w:rPr>
          <w:color w:val="231F20"/>
          <w:spacing w:val="-19"/>
          <w:w w:val="110"/>
          <w:sz w:val="18"/>
        </w:rPr>
        <w:t> </w:t>
      </w:r>
      <w:r>
        <w:rPr>
          <w:color w:val="231F20"/>
          <w:spacing w:val="-3"/>
          <w:w w:val="110"/>
          <w:sz w:val="18"/>
        </w:rPr>
        <w:t>ways</w:t>
      </w:r>
      <w:r>
        <w:rPr>
          <w:color w:val="231F20"/>
          <w:spacing w:val="-19"/>
          <w:w w:val="110"/>
          <w:sz w:val="18"/>
        </w:rPr>
        <w:t> </w:t>
      </w:r>
      <w:r>
        <w:rPr>
          <w:color w:val="231F20"/>
          <w:w w:val="110"/>
          <w:sz w:val="18"/>
        </w:rPr>
        <w:t>forward</w:t>
      </w:r>
      <w:r>
        <w:rPr>
          <w:color w:val="231F20"/>
          <w:spacing w:val="-20"/>
          <w:w w:val="110"/>
          <w:sz w:val="18"/>
        </w:rPr>
        <w:t> </w:t>
      </w:r>
      <w:r>
        <w:rPr>
          <w:color w:val="231F20"/>
          <w:w w:val="110"/>
          <w:sz w:val="18"/>
        </w:rPr>
        <w:t>as</w:t>
      </w:r>
      <w:r>
        <w:rPr>
          <w:color w:val="231F20"/>
          <w:spacing w:val="-19"/>
          <w:w w:val="110"/>
          <w:sz w:val="18"/>
        </w:rPr>
        <w:t> </w:t>
      </w:r>
      <w:r>
        <w:rPr>
          <w:color w:val="231F20"/>
          <w:w w:val="110"/>
          <w:sz w:val="18"/>
        </w:rPr>
        <w:t>well</w:t>
      </w:r>
      <w:r>
        <w:rPr>
          <w:color w:val="231F20"/>
          <w:spacing w:val="-19"/>
          <w:w w:val="110"/>
          <w:sz w:val="18"/>
        </w:rPr>
        <w:t> </w:t>
      </w:r>
      <w:r>
        <w:rPr>
          <w:color w:val="231F20"/>
          <w:w w:val="110"/>
          <w:sz w:val="18"/>
        </w:rPr>
        <w:t>as</w:t>
      </w:r>
      <w:r>
        <w:rPr>
          <w:color w:val="231F20"/>
          <w:spacing w:val="-19"/>
          <w:w w:val="110"/>
          <w:sz w:val="18"/>
        </w:rPr>
        <w:t> </w:t>
      </w:r>
      <w:r>
        <w:rPr>
          <w:color w:val="231F20"/>
          <w:w w:val="110"/>
          <w:sz w:val="18"/>
        </w:rPr>
        <w:t>enabling and reporting on group discussions. </w:t>
      </w:r>
      <w:r>
        <w:rPr>
          <w:color w:val="231F20"/>
          <w:spacing w:val="-3"/>
          <w:w w:val="110"/>
          <w:sz w:val="18"/>
        </w:rPr>
        <w:t>If </w:t>
      </w:r>
      <w:r>
        <w:rPr>
          <w:color w:val="231F20"/>
          <w:w w:val="110"/>
          <w:sz w:val="18"/>
        </w:rPr>
        <w:t>possible meetings </w:t>
      </w:r>
      <w:r>
        <w:rPr>
          <w:color w:val="231F20"/>
          <w:spacing w:val="-3"/>
          <w:w w:val="110"/>
          <w:sz w:val="18"/>
        </w:rPr>
        <w:t>may </w:t>
      </w:r>
      <w:r>
        <w:rPr>
          <w:color w:val="231F20"/>
          <w:w w:val="110"/>
          <w:sz w:val="18"/>
        </w:rPr>
        <w:t>take place in a context where people</w:t>
      </w:r>
      <w:r>
        <w:rPr>
          <w:color w:val="231F20"/>
          <w:spacing w:val="-11"/>
          <w:w w:val="110"/>
          <w:sz w:val="18"/>
        </w:rPr>
        <w:t> </w:t>
      </w:r>
      <w:r>
        <w:rPr>
          <w:color w:val="231F20"/>
          <w:w w:val="110"/>
          <w:sz w:val="18"/>
        </w:rPr>
        <w:t>can</w:t>
      </w:r>
      <w:r>
        <w:rPr>
          <w:color w:val="231F20"/>
          <w:spacing w:val="-11"/>
          <w:w w:val="110"/>
          <w:sz w:val="18"/>
        </w:rPr>
        <w:t> </w:t>
      </w:r>
      <w:r>
        <w:rPr>
          <w:color w:val="231F20"/>
          <w:w w:val="110"/>
          <w:sz w:val="18"/>
        </w:rPr>
        <w:t>sit</w:t>
      </w:r>
      <w:r>
        <w:rPr>
          <w:color w:val="231F20"/>
          <w:spacing w:val="-10"/>
          <w:w w:val="110"/>
          <w:sz w:val="18"/>
        </w:rPr>
        <w:t> </w:t>
      </w:r>
      <w:r>
        <w:rPr>
          <w:color w:val="231F20"/>
          <w:w w:val="110"/>
          <w:sz w:val="18"/>
        </w:rPr>
        <w:t>around</w:t>
      </w:r>
      <w:r>
        <w:rPr>
          <w:color w:val="231F20"/>
          <w:spacing w:val="-11"/>
          <w:w w:val="110"/>
          <w:sz w:val="18"/>
        </w:rPr>
        <w:t> </w:t>
      </w:r>
      <w:r>
        <w:rPr>
          <w:color w:val="231F20"/>
          <w:w w:val="110"/>
          <w:sz w:val="18"/>
        </w:rPr>
        <w:t>tables</w:t>
      </w:r>
      <w:r>
        <w:rPr>
          <w:color w:val="231F20"/>
          <w:spacing w:val="-10"/>
          <w:w w:val="110"/>
          <w:sz w:val="18"/>
        </w:rPr>
        <w:t> </w:t>
      </w:r>
      <w:r>
        <w:rPr>
          <w:color w:val="231F20"/>
          <w:w w:val="110"/>
          <w:sz w:val="18"/>
        </w:rPr>
        <w:t>so</w:t>
      </w:r>
      <w:r>
        <w:rPr>
          <w:color w:val="231F20"/>
          <w:spacing w:val="-11"/>
          <w:w w:val="110"/>
          <w:sz w:val="18"/>
        </w:rPr>
        <w:t> </w:t>
      </w:r>
      <w:r>
        <w:rPr>
          <w:color w:val="231F20"/>
          <w:w w:val="110"/>
          <w:sz w:val="18"/>
        </w:rPr>
        <w:t>that</w:t>
      </w:r>
      <w:r>
        <w:rPr>
          <w:color w:val="231F20"/>
          <w:spacing w:val="-11"/>
          <w:w w:val="110"/>
          <w:sz w:val="18"/>
        </w:rPr>
        <w:t> </w:t>
      </w:r>
      <w:r>
        <w:rPr>
          <w:color w:val="231F20"/>
          <w:w w:val="110"/>
          <w:sz w:val="18"/>
        </w:rPr>
        <w:t>a</w:t>
      </w:r>
      <w:r>
        <w:rPr>
          <w:color w:val="231F20"/>
          <w:spacing w:val="-10"/>
          <w:w w:val="110"/>
          <w:sz w:val="18"/>
        </w:rPr>
        <w:t> </w:t>
      </w:r>
      <w:r>
        <w:rPr>
          <w:color w:val="231F20"/>
          <w:spacing w:val="-3"/>
          <w:w w:val="110"/>
          <w:sz w:val="18"/>
        </w:rPr>
        <w:t>move</w:t>
      </w:r>
      <w:r>
        <w:rPr>
          <w:color w:val="231F20"/>
          <w:spacing w:val="-11"/>
          <w:w w:val="110"/>
          <w:sz w:val="18"/>
        </w:rPr>
        <w:t> </w:t>
      </w:r>
      <w:r>
        <w:rPr>
          <w:color w:val="231F20"/>
          <w:w w:val="110"/>
          <w:sz w:val="18"/>
        </w:rPr>
        <w:t>to</w:t>
      </w:r>
      <w:r>
        <w:rPr>
          <w:color w:val="231F20"/>
          <w:spacing w:val="-10"/>
          <w:w w:val="110"/>
          <w:sz w:val="18"/>
        </w:rPr>
        <w:t> </w:t>
      </w:r>
      <w:r>
        <w:rPr>
          <w:color w:val="231F20"/>
          <w:w w:val="110"/>
          <w:sz w:val="18"/>
        </w:rPr>
        <w:t>group</w:t>
      </w:r>
      <w:r>
        <w:rPr>
          <w:color w:val="231F20"/>
          <w:spacing w:val="-11"/>
          <w:w w:val="110"/>
          <w:sz w:val="18"/>
        </w:rPr>
        <w:t> </w:t>
      </w:r>
      <w:r>
        <w:rPr>
          <w:color w:val="231F20"/>
          <w:w w:val="110"/>
          <w:sz w:val="18"/>
        </w:rPr>
        <w:t>discussion</w:t>
      </w:r>
      <w:r>
        <w:rPr>
          <w:color w:val="231F20"/>
          <w:spacing w:val="-11"/>
          <w:w w:val="110"/>
          <w:sz w:val="18"/>
        </w:rPr>
        <w:t> </w:t>
      </w:r>
      <w:r>
        <w:rPr>
          <w:color w:val="231F20"/>
          <w:w w:val="110"/>
          <w:sz w:val="18"/>
        </w:rPr>
        <w:t>is</w:t>
      </w:r>
      <w:r>
        <w:rPr>
          <w:color w:val="231F20"/>
          <w:spacing w:val="-10"/>
          <w:w w:val="110"/>
          <w:sz w:val="18"/>
        </w:rPr>
        <w:t> </w:t>
      </w:r>
      <w:r>
        <w:rPr>
          <w:color w:val="231F20"/>
          <w:w w:val="110"/>
          <w:sz w:val="18"/>
        </w:rPr>
        <w:t>simple</w:t>
      </w:r>
      <w:r>
        <w:rPr>
          <w:color w:val="231F20"/>
          <w:spacing w:val="-11"/>
          <w:w w:val="110"/>
          <w:sz w:val="18"/>
        </w:rPr>
        <w:t> </w:t>
      </w:r>
      <w:r>
        <w:rPr>
          <w:color w:val="231F20"/>
          <w:w w:val="110"/>
          <w:sz w:val="18"/>
        </w:rPr>
        <w:t>and</w:t>
      </w:r>
      <w:r>
        <w:rPr>
          <w:color w:val="231F20"/>
          <w:spacing w:val="-10"/>
          <w:w w:val="110"/>
          <w:sz w:val="18"/>
        </w:rPr>
        <w:t> </w:t>
      </w:r>
      <w:r>
        <w:rPr>
          <w:color w:val="231F20"/>
          <w:spacing w:val="-4"/>
          <w:w w:val="110"/>
          <w:sz w:val="18"/>
        </w:rPr>
        <w:t>easy.</w:t>
      </w:r>
    </w:p>
    <w:p>
      <w:pPr>
        <w:pStyle w:val="BodyText"/>
        <w:spacing w:before="11"/>
        <w:rPr>
          <w:sz w:val="20"/>
        </w:rPr>
      </w:pPr>
    </w:p>
    <w:p>
      <w:pPr>
        <w:pStyle w:val="ListParagraph"/>
        <w:numPr>
          <w:ilvl w:val="1"/>
          <w:numId w:val="206"/>
        </w:numPr>
        <w:tabs>
          <w:tab w:pos="1233" w:val="left" w:leader="none"/>
          <w:tab w:pos="1234" w:val="left" w:leader="none"/>
        </w:tabs>
        <w:spacing w:line="273" w:lineRule="auto" w:before="0" w:after="0"/>
        <w:ind w:left="513" w:right="1975" w:firstLine="0"/>
        <w:jc w:val="left"/>
        <w:rPr>
          <w:sz w:val="18"/>
        </w:rPr>
      </w:pPr>
      <w:r>
        <w:rPr>
          <w:color w:val="231F20"/>
          <w:w w:val="110"/>
          <w:sz w:val="18"/>
        </w:rPr>
        <w:t>Assembly Committees will be encouraged to use consensus </w:t>
      </w:r>
      <w:r>
        <w:rPr>
          <w:color w:val="231F20"/>
          <w:spacing w:val="2"/>
          <w:w w:val="110"/>
          <w:sz w:val="18"/>
        </w:rPr>
        <w:t>procedures </w:t>
      </w:r>
      <w:r>
        <w:rPr>
          <w:color w:val="231F20"/>
          <w:w w:val="110"/>
          <w:sz w:val="18"/>
        </w:rPr>
        <w:t>in their own</w:t>
      </w:r>
      <w:r>
        <w:rPr>
          <w:color w:val="231F20"/>
          <w:spacing w:val="7"/>
          <w:w w:val="110"/>
          <w:sz w:val="18"/>
        </w:rPr>
        <w:t> </w:t>
      </w:r>
      <w:r>
        <w:rPr>
          <w:color w:val="231F20"/>
          <w:w w:val="110"/>
          <w:sz w:val="18"/>
        </w:rPr>
        <w:t>meetings</w:t>
      </w:r>
      <w:r>
        <w:rPr>
          <w:color w:val="231F20"/>
          <w:spacing w:val="7"/>
          <w:w w:val="110"/>
          <w:sz w:val="18"/>
        </w:rPr>
        <w:t> </w:t>
      </w:r>
      <w:r>
        <w:rPr>
          <w:color w:val="231F20"/>
          <w:w w:val="110"/>
          <w:sz w:val="18"/>
        </w:rPr>
        <w:t>so</w:t>
      </w:r>
      <w:r>
        <w:rPr>
          <w:color w:val="231F20"/>
          <w:spacing w:val="8"/>
          <w:w w:val="110"/>
          <w:sz w:val="18"/>
        </w:rPr>
        <w:t> </w:t>
      </w:r>
      <w:r>
        <w:rPr>
          <w:color w:val="231F20"/>
          <w:w w:val="110"/>
          <w:sz w:val="18"/>
        </w:rPr>
        <w:t>that</w:t>
      </w:r>
      <w:r>
        <w:rPr>
          <w:color w:val="231F20"/>
          <w:spacing w:val="7"/>
          <w:w w:val="110"/>
          <w:sz w:val="18"/>
        </w:rPr>
        <w:t> </w:t>
      </w:r>
      <w:r>
        <w:rPr>
          <w:color w:val="231F20"/>
          <w:w w:val="110"/>
          <w:sz w:val="18"/>
        </w:rPr>
        <w:t>what</w:t>
      </w:r>
      <w:r>
        <w:rPr>
          <w:color w:val="231F20"/>
          <w:spacing w:val="8"/>
          <w:w w:val="110"/>
          <w:sz w:val="18"/>
        </w:rPr>
        <w:t> </w:t>
      </w:r>
      <w:r>
        <w:rPr>
          <w:color w:val="231F20"/>
          <w:w w:val="110"/>
          <w:sz w:val="18"/>
        </w:rPr>
        <w:t>they</w:t>
      </w:r>
      <w:r>
        <w:rPr>
          <w:color w:val="231F20"/>
          <w:spacing w:val="7"/>
          <w:w w:val="110"/>
          <w:sz w:val="18"/>
        </w:rPr>
        <w:t> </w:t>
      </w:r>
      <w:r>
        <w:rPr>
          <w:color w:val="231F20"/>
          <w:w w:val="110"/>
          <w:sz w:val="18"/>
        </w:rPr>
        <w:t>bring</w:t>
      </w:r>
      <w:r>
        <w:rPr>
          <w:color w:val="231F20"/>
          <w:spacing w:val="8"/>
          <w:w w:val="110"/>
          <w:sz w:val="18"/>
        </w:rPr>
        <w:t> </w:t>
      </w:r>
      <w:r>
        <w:rPr>
          <w:color w:val="231F20"/>
          <w:w w:val="110"/>
          <w:sz w:val="18"/>
        </w:rPr>
        <w:t>to</w:t>
      </w:r>
      <w:r>
        <w:rPr>
          <w:color w:val="231F20"/>
          <w:spacing w:val="7"/>
          <w:w w:val="110"/>
          <w:sz w:val="18"/>
        </w:rPr>
        <w:t> </w:t>
      </w:r>
      <w:r>
        <w:rPr>
          <w:color w:val="231F20"/>
          <w:w w:val="110"/>
          <w:sz w:val="18"/>
        </w:rPr>
        <w:t>Assembly</w:t>
      </w:r>
      <w:r>
        <w:rPr>
          <w:color w:val="231F20"/>
          <w:spacing w:val="8"/>
          <w:w w:val="110"/>
          <w:sz w:val="18"/>
        </w:rPr>
        <w:t> </w:t>
      </w:r>
      <w:r>
        <w:rPr>
          <w:color w:val="231F20"/>
          <w:w w:val="110"/>
          <w:sz w:val="18"/>
        </w:rPr>
        <w:t>will</w:t>
      </w:r>
      <w:r>
        <w:rPr>
          <w:color w:val="231F20"/>
          <w:spacing w:val="7"/>
          <w:w w:val="110"/>
          <w:sz w:val="18"/>
        </w:rPr>
        <w:t> </w:t>
      </w:r>
      <w:r>
        <w:rPr>
          <w:color w:val="231F20"/>
          <w:w w:val="110"/>
          <w:sz w:val="18"/>
        </w:rPr>
        <w:t>already</w:t>
      </w:r>
      <w:r>
        <w:rPr>
          <w:color w:val="231F20"/>
          <w:spacing w:val="8"/>
          <w:w w:val="110"/>
          <w:sz w:val="18"/>
        </w:rPr>
        <w:t> </w:t>
      </w:r>
      <w:r>
        <w:rPr>
          <w:color w:val="231F20"/>
          <w:w w:val="110"/>
          <w:sz w:val="18"/>
        </w:rPr>
        <w:t>have</w:t>
      </w:r>
      <w:r>
        <w:rPr>
          <w:color w:val="231F20"/>
          <w:spacing w:val="7"/>
          <w:w w:val="110"/>
          <w:sz w:val="18"/>
        </w:rPr>
        <w:t> </w:t>
      </w:r>
      <w:r>
        <w:rPr>
          <w:color w:val="231F20"/>
          <w:w w:val="110"/>
          <w:sz w:val="18"/>
        </w:rPr>
        <w:t>been</w:t>
      </w:r>
      <w:r>
        <w:rPr>
          <w:color w:val="231F20"/>
          <w:spacing w:val="8"/>
          <w:w w:val="110"/>
          <w:sz w:val="18"/>
        </w:rPr>
        <w:t> </w:t>
      </w:r>
      <w:r>
        <w:rPr>
          <w:color w:val="231F20"/>
          <w:w w:val="110"/>
          <w:sz w:val="18"/>
        </w:rPr>
        <w:t>through</w:t>
      </w:r>
    </w:p>
    <w:p>
      <w:pPr>
        <w:pStyle w:val="BodyText"/>
        <w:spacing w:line="273" w:lineRule="auto" w:before="1"/>
        <w:ind w:left="513" w:right="1844"/>
      </w:pPr>
      <w:r>
        <w:rPr>
          <w:color w:val="231F20"/>
          <w:w w:val="110"/>
        </w:rPr>
        <w:t>a careful and prayerful listening process. What is offered to the Assembly from a committee will be designed to ensure the Assembly is well-resourced to engage in discerning the way forward on any matter.</w:t>
      </w:r>
    </w:p>
    <w:p>
      <w:pPr>
        <w:pStyle w:val="BodyText"/>
        <w:spacing w:before="9"/>
        <w:rPr>
          <w:sz w:val="20"/>
        </w:rPr>
      </w:pPr>
    </w:p>
    <w:p>
      <w:pPr>
        <w:pStyle w:val="ListParagraph"/>
        <w:numPr>
          <w:ilvl w:val="1"/>
          <w:numId w:val="206"/>
        </w:numPr>
        <w:tabs>
          <w:tab w:pos="1233" w:val="left" w:leader="none"/>
          <w:tab w:pos="1234" w:val="left" w:leader="none"/>
        </w:tabs>
        <w:spacing w:line="273" w:lineRule="auto" w:before="0" w:after="0"/>
        <w:ind w:left="513" w:right="1606" w:firstLine="0"/>
        <w:jc w:val="left"/>
        <w:rPr>
          <w:sz w:val="18"/>
        </w:rPr>
      </w:pPr>
      <w:r>
        <w:rPr>
          <w:color w:val="231F20"/>
          <w:w w:val="110"/>
          <w:sz w:val="18"/>
        </w:rPr>
        <w:t>It’s important to realise that a consensus outcome may be agreement on the </w:t>
      </w:r>
      <w:r>
        <w:rPr>
          <w:color w:val="231F20"/>
          <w:spacing w:val="2"/>
          <w:w w:val="110"/>
          <w:sz w:val="18"/>
        </w:rPr>
        <w:t>process </w:t>
      </w:r>
      <w:r>
        <w:rPr>
          <w:color w:val="231F20"/>
          <w:w w:val="110"/>
          <w:sz w:val="18"/>
        </w:rPr>
        <w:t>for handling an issue, rather than a definitive decision to support or </w:t>
      </w:r>
      <w:r>
        <w:rPr>
          <w:color w:val="231F20"/>
          <w:spacing w:val="2"/>
          <w:w w:val="110"/>
          <w:sz w:val="18"/>
        </w:rPr>
        <w:t>reject </w:t>
      </w:r>
      <w:r>
        <w:rPr>
          <w:color w:val="231F20"/>
          <w:w w:val="110"/>
          <w:sz w:val="18"/>
        </w:rPr>
        <w:t>particular words. It may </w:t>
      </w:r>
      <w:r>
        <w:rPr>
          <w:color w:val="231F20"/>
          <w:spacing w:val="2"/>
          <w:w w:val="110"/>
          <w:sz w:val="18"/>
        </w:rPr>
        <w:t>offer </w:t>
      </w:r>
      <w:r>
        <w:rPr>
          <w:color w:val="231F20"/>
          <w:w w:val="110"/>
          <w:sz w:val="18"/>
        </w:rPr>
        <w:t>the opportunity to explore the principles behind what we believe by allowing us to open them up to discussion. It may be that more work or </w:t>
      </w:r>
      <w:r>
        <w:rPr>
          <w:color w:val="231F20"/>
          <w:spacing w:val="2"/>
          <w:w w:val="110"/>
          <w:sz w:val="18"/>
        </w:rPr>
        <w:t>further </w:t>
      </w:r>
      <w:r>
        <w:rPr>
          <w:color w:val="231F20"/>
          <w:w w:val="110"/>
          <w:sz w:val="18"/>
        </w:rPr>
        <w:t>consultation is required, before it is clear what the church needs to be saying on an</w:t>
      </w:r>
      <w:r>
        <w:rPr>
          <w:color w:val="231F20"/>
          <w:spacing w:val="63"/>
          <w:w w:val="110"/>
          <w:sz w:val="18"/>
        </w:rPr>
        <w:t> </w:t>
      </w:r>
      <w:r>
        <w:rPr>
          <w:color w:val="231F20"/>
          <w:w w:val="110"/>
          <w:sz w:val="18"/>
        </w:rPr>
        <w:t>issue.</w:t>
      </w:r>
    </w:p>
    <w:p>
      <w:pPr>
        <w:pStyle w:val="BodyText"/>
        <w:spacing w:before="7"/>
        <w:rPr>
          <w:sz w:val="12"/>
        </w:rPr>
      </w:pPr>
    </w:p>
    <w:p>
      <w:pPr>
        <w:spacing w:after="0"/>
        <w:rPr>
          <w:sz w:val="12"/>
        </w:rPr>
        <w:sectPr>
          <w:footerReference w:type="even" r:id="rId467"/>
          <w:pgSz w:w="11910" w:h="16840"/>
          <w:pgMar w:footer="0" w:header="558" w:top="820" w:bottom="0" w:left="620" w:right="0"/>
        </w:sectPr>
      </w:pPr>
    </w:p>
    <w:p>
      <w:pPr>
        <w:pStyle w:val="ListParagraph"/>
        <w:numPr>
          <w:ilvl w:val="1"/>
          <w:numId w:val="206"/>
        </w:numPr>
        <w:tabs>
          <w:tab w:pos="1233" w:val="left" w:leader="none"/>
          <w:tab w:pos="1234" w:val="left" w:leader="none"/>
        </w:tabs>
        <w:spacing w:line="273" w:lineRule="auto" w:before="100" w:after="0"/>
        <w:ind w:left="514" w:right="0" w:hanging="1"/>
        <w:jc w:val="left"/>
        <w:rPr>
          <w:sz w:val="18"/>
        </w:rPr>
      </w:pPr>
      <w:r>
        <w:rPr/>
        <w:pict>
          <v:group style="position:absolute;margin-left:230.550995pt;margin-top:4.633636pt;width:341.15pt;height:218.05pt;mso-position-horizontal-relative:page;mso-position-vertical-relative:paragraph;z-index:-275174400" coordorigin="4611,93" coordsize="6823,4361">
            <v:shape style="position:absolute;left:4753;top:2630;width:6462;height:1766" coordorigin="4753,2630" coordsize="6462,1766" path="m4993,2630l4855,2634,4783,2660,4757,2731,4753,2870,4753,4156,4757,4295,4783,4366,4855,4392,4993,4396,10975,4396,11114,4392,11185,4366,11211,4295,11215,4156,11215,2870,11211,2731,11185,2660,11114,2634,10975,2630,4993,2630xe" filled="false" stroked="true" strokeweight="1pt" strokecolor="#231f20">
              <v:path arrowok="t"/>
              <v:stroke dashstyle="solid"/>
            </v:shape>
            <v:rect style="position:absolute;left:10648;top:2261;width:681;height:1800" filled="true" fillcolor="#ffffff" stroked="false">
              <v:fill type="solid"/>
            </v:rect>
            <v:rect style="position:absolute;left:10648;top:2261;width:681;height:2121" filled="false" stroked="true" strokeweight="1pt" strokecolor="#ffffff">
              <v:stroke dashstyle="solid"/>
            </v:rect>
            <v:rect style="position:absolute;left:4621;top:4061;width:6803;height:382" filled="true" fillcolor="#ffffff" stroked="false">
              <v:fill type="solid"/>
            </v:rect>
            <v:rect style="position:absolute;left:4621;top:4061;width:6803;height:382" filled="false" stroked="true" strokeweight="1pt" strokecolor="#ffffff">
              <v:stroke dashstyle="solid"/>
            </v:rect>
            <v:shape style="position:absolute;left:8895;top:172;width:1478;height:1985" coordorigin="8896,173" coordsize="1478,1985" path="m9136,173l8997,176,8926,203,8899,274,8896,413,8896,1918,8899,2056,8926,2128,8997,2154,9136,2158,10133,2158,10272,2154,10343,2128,10370,2056,10373,1918,10373,413,10370,274,10343,203,10272,176,10133,173,9136,173xe" filled="false" stroked="true" strokeweight="8pt" strokecolor="#a7a9ac">
              <v:path arrowok="t"/>
              <v:stroke dashstyle="solid"/>
            </v:shape>
            <w10:wrap type="none"/>
          </v:group>
        </w:pict>
      </w:r>
      <w:r>
        <w:rPr>
          <w:color w:val="231F20"/>
          <w:w w:val="110"/>
          <w:sz w:val="18"/>
        </w:rPr>
        <w:t>Consensus is a process of pilgrimage. It is not </w:t>
      </w:r>
      <w:r>
        <w:rPr>
          <w:color w:val="231F20"/>
          <w:spacing w:val="-3"/>
          <w:w w:val="110"/>
          <w:sz w:val="18"/>
        </w:rPr>
        <w:t>always </w:t>
      </w:r>
      <w:r>
        <w:rPr>
          <w:color w:val="231F20"/>
          <w:w w:val="110"/>
          <w:sz w:val="18"/>
        </w:rPr>
        <w:t>possible to come to a mind at a particular time. The Church </w:t>
      </w:r>
      <w:r>
        <w:rPr>
          <w:color w:val="231F20"/>
          <w:spacing w:val="-3"/>
          <w:w w:val="110"/>
          <w:sz w:val="18"/>
        </w:rPr>
        <w:t>may have </w:t>
      </w:r>
      <w:r>
        <w:rPr>
          <w:color w:val="231F20"/>
          <w:w w:val="110"/>
          <w:sz w:val="18"/>
        </w:rPr>
        <w:t>to be willing to accept</w:t>
      </w:r>
      <w:r>
        <w:rPr>
          <w:color w:val="231F20"/>
          <w:spacing w:val="-19"/>
          <w:w w:val="110"/>
          <w:sz w:val="18"/>
        </w:rPr>
        <w:t> </w:t>
      </w:r>
      <w:r>
        <w:rPr>
          <w:color w:val="231F20"/>
          <w:w w:val="110"/>
          <w:sz w:val="18"/>
        </w:rPr>
        <w:t>that</w:t>
      </w:r>
      <w:r>
        <w:rPr>
          <w:color w:val="231F20"/>
          <w:spacing w:val="-18"/>
          <w:w w:val="110"/>
          <w:sz w:val="18"/>
        </w:rPr>
        <w:t> </w:t>
      </w:r>
      <w:r>
        <w:rPr>
          <w:color w:val="231F20"/>
          <w:w w:val="110"/>
          <w:sz w:val="18"/>
        </w:rPr>
        <w:t>some</w:t>
      </w:r>
      <w:r>
        <w:rPr>
          <w:color w:val="231F20"/>
          <w:spacing w:val="-18"/>
          <w:w w:val="110"/>
          <w:sz w:val="18"/>
        </w:rPr>
        <w:t> </w:t>
      </w:r>
      <w:r>
        <w:rPr>
          <w:color w:val="231F20"/>
          <w:w w:val="110"/>
          <w:sz w:val="18"/>
        </w:rPr>
        <w:t>decisions</w:t>
      </w:r>
      <w:r>
        <w:rPr>
          <w:color w:val="231F20"/>
          <w:spacing w:val="-19"/>
          <w:w w:val="110"/>
          <w:sz w:val="18"/>
        </w:rPr>
        <w:t> </w:t>
      </w:r>
      <w:r>
        <w:rPr>
          <w:color w:val="231F20"/>
          <w:w w:val="110"/>
          <w:sz w:val="18"/>
        </w:rPr>
        <w:t>take</w:t>
      </w:r>
      <w:r>
        <w:rPr>
          <w:color w:val="231F20"/>
          <w:spacing w:val="-18"/>
          <w:w w:val="110"/>
          <w:sz w:val="18"/>
        </w:rPr>
        <w:t> </w:t>
      </w:r>
      <w:r>
        <w:rPr>
          <w:color w:val="231F20"/>
          <w:w w:val="110"/>
          <w:sz w:val="18"/>
        </w:rPr>
        <w:t>more</w:t>
      </w:r>
      <w:r>
        <w:rPr>
          <w:color w:val="231F20"/>
          <w:spacing w:val="-18"/>
          <w:w w:val="110"/>
          <w:sz w:val="18"/>
        </w:rPr>
        <w:t> </w:t>
      </w:r>
      <w:r>
        <w:rPr>
          <w:color w:val="231F20"/>
          <w:w w:val="110"/>
          <w:sz w:val="18"/>
        </w:rPr>
        <w:t>time</w:t>
      </w:r>
      <w:r>
        <w:rPr>
          <w:color w:val="231F20"/>
          <w:spacing w:val="-18"/>
          <w:w w:val="110"/>
          <w:sz w:val="18"/>
        </w:rPr>
        <w:t> </w:t>
      </w:r>
      <w:r>
        <w:rPr>
          <w:color w:val="231F20"/>
          <w:w w:val="110"/>
          <w:sz w:val="18"/>
        </w:rPr>
        <w:t>and</w:t>
      </w:r>
      <w:r>
        <w:rPr>
          <w:color w:val="231F20"/>
          <w:spacing w:val="-19"/>
          <w:w w:val="110"/>
          <w:sz w:val="18"/>
        </w:rPr>
        <w:t> </w:t>
      </w:r>
      <w:r>
        <w:rPr>
          <w:color w:val="231F20"/>
          <w:w w:val="110"/>
          <w:sz w:val="18"/>
        </w:rPr>
        <w:t>we</w:t>
      </w:r>
      <w:r>
        <w:rPr>
          <w:color w:val="231F20"/>
          <w:spacing w:val="-18"/>
          <w:w w:val="110"/>
          <w:sz w:val="18"/>
        </w:rPr>
        <w:t> </w:t>
      </w:r>
      <w:r>
        <w:rPr>
          <w:color w:val="231F20"/>
          <w:w w:val="110"/>
          <w:sz w:val="18"/>
        </w:rPr>
        <w:t>must</w:t>
      </w:r>
      <w:r>
        <w:rPr>
          <w:color w:val="231F20"/>
          <w:spacing w:val="-18"/>
          <w:w w:val="110"/>
          <w:sz w:val="18"/>
        </w:rPr>
        <w:t> </w:t>
      </w:r>
      <w:r>
        <w:rPr>
          <w:color w:val="231F20"/>
          <w:w w:val="110"/>
          <w:sz w:val="18"/>
        </w:rPr>
        <w:t>be</w:t>
      </w:r>
      <w:r>
        <w:rPr>
          <w:color w:val="231F20"/>
          <w:spacing w:val="-18"/>
          <w:w w:val="110"/>
          <w:sz w:val="18"/>
        </w:rPr>
        <w:t> </w:t>
      </w:r>
      <w:r>
        <w:rPr>
          <w:color w:val="231F20"/>
          <w:w w:val="110"/>
          <w:sz w:val="18"/>
        </w:rPr>
        <w:t>prepared</w:t>
      </w:r>
      <w:r>
        <w:rPr>
          <w:color w:val="231F20"/>
          <w:spacing w:val="-19"/>
          <w:w w:val="110"/>
          <w:sz w:val="18"/>
        </w:rPr>
        <w:t> </w:t>
      </w:r>
      <w:r>
        <w:rPr>
          <w:color w:val="231F20"/>
          <w:w w:val="110"/>
          <w:sz w:val="18"/>
        </w:rPr>
        <w:t>to</w:t>
      </w:r>
      <w:r>
        <w:rPr>
          <w:color w:val="231F20"/>
          <w:spacing w:val="-18"/>
          <w:w w:val="110"/>
          <w:sz w:val="18"/>
        </w:rPr>
        <w:t> </w:t>
      </w:r>
      <w:r>
        <w:rPr>
          <w:color w:val="231F20"/>
          <w:w w:val="110"/>
          <w:sz w:val="18"/>
        </w:rPr>
        <w:t>allow that to happen – the item </w:t>
      </w:r>
      <w:r>
        <w:rPr>
          <w:color w:val="231F20"/>
          <w:spacing w:val="-3"/>
          <w:w w:val="110"/>
          <w:sz w:val="18"/>
        </w:rPr>
        <w:t>may </w:t>
      </w:r>
      <w:r>
        <w:rPr>
          <w:color w:val="231F20"/>
          <w:w w:val="110"/>
          <w:sz w:val="18"/>
        </w:rPr>
        <w:t>need to be re-visited at a later meeting. It should also be accepted that some decisions need constant review because contexts,</w:t>
      </w:r>
      <w:r>
        <w:rPr>
          <w:color w:val="231F20"/>
          <w:spacing w:val="-10"/>
          <w:w w:val="110"/>
          <w:sz w:val="18"/>
        </w:rPr>
        <w:t> </w:t>
      </w:r>
      <w:r>
        <w:rPr>
          <w:color w:val="231F20"/>
          <w:w w:val="110"/>
          <w:sz w:val="18"/>
        </w:rPr>
        <w:t>in</w:t>
      </w:r>
      <w:r>
        <w:rPr>
          <w:color w:val="231F20"/>
          <w:spacing w:val="-10"/>
          <w:w w:val="110"/>
          <w:sz w:val="18"/>
        </w:rPr>
        <w:t> </w:t>
      </w:r>
      <w:r>
        <w:rPr>
          <w:color w:val="231F20"/>
          <w:w w:val="110"/>
          <w:sz w:val="18"/>
        </w:rPr>
        <w:t>which</w:t>
      </w:r>
      <w:r>
        <w:rPr>
          <w:color w:val="231F20"/>
          <w:spacing w:val="-10"/>
          <w:w w:val="110"/>
          <w:sz w:val="18"/>
        </w:rPr>
        <w:t> </w:t>
      </w:r>
      <w:r>
        <w:rPr>
          <w:color w:val="231F20"/>
          <w:w w:val="110"/>
          <w:sz w:val="18"/>
        </w:rPr>
        <w:t>those</w:t>
      </w:r>
      <w:r>
        <w:rPr>
          <w:color w:val="231F20"/>
          <w:spacing w:val="-9"/>
          <w:w w:val="110"/>
          <w:sz w:val="18"/>
        </w:rPr>
        <w:t> </w:t>
      </w:r>
      <w:r>
        <w:rPr>
          <w:color w:val="231F20"/>
          <w:w w:val="110"/>
          <w:sz w:val="18"/>
        </w:rPr>
        <w:t>decisions</w:t>
      </w:r>
      <w:r>
        <w:rPr>
          <w:color w:val="231F20"/>
          <w:spacing w:val="-10"/>
          <w:w w:val="110"/>
          <w:sz w:val="18"/>
        </w:rPr>
        <w:t> </w:t>
      </w:r>
      <w:r>
        <w:rPr>
          <w:color w:val="231F20"/>
          <w:spacing w:val="-3"/>
          <w:w w:val="110"/>
          <w:sz w:val="18"/>
        </w:rPr>
        <w:t>have</w:t>
      </w:r>
      <w:r>
        <w:rPr>
          <w:color w:val="231F20"/>
          <w:spacing w:val="-9"/>
          <w:w w:val="110"/>
          <w:sz w:val="18"/>
        </w:rPr>
        <w:t> </w:t>
      </w:r>
      <w:r>
        <w:rPr>
          <w:color w:val="231F20"/>
          <w:w w:val="110"/>
          <w:sz w:val="18"/>
        </w:rPr>
        <w:t>been</w:t>
      </w:r>
      <w:r>
        <w:rPr>
          <w:color w:val="231F20"/>
          <w:spacing w:val="-9"/>
          <w:w w:val="110"/>
          <w:sz w:val="18"/>
        </w:rPr>
        <w:t> </w:t>
      </w:r>
      <w:r>
        <w:rPr>
          <w:color w:val="231F20"/>
          <w:w w:val="110"/>
          <w:sz w:val="18"/>
        </w:rPr>
        <w:t>made,</w:t>
      </w:r>
      <w:r>
        <w:rPr>
          <w:color w:val="231F20"/>
          <w:spacing w:val="-9"/>
          <w:w w:val="110"/>
          <w:sz w:val="18"/>
        </w:rPr>
        <w:t> </w:t>
      </w:r>
      <w:r>
        <w:rPr>
          <w:color w:val="231F20"/>
          <w:w w:val="110"/>
          <w:sz w:val="18"/>
        </w:rPr>
        <w:t>change.</w:t>
      </w:r>
    </w:p>
    <w:p>
      <w:pPr>
        <w:pStyle w:val="BodyText"/>
        <w:spacing w:before="11"/>
        <w:rPr>
          <w:sz w:val="20"/>
        </w:rPr>
      </w:pPr>
    </w:p>
    <w:p>
      <w:pPr>
        <w:pStyle w:val="ListParagraph"/>
        <w:numPr>
          <w:ilvl w:val="1"/>
          <w:numId w:val="206"/>
        </w:numPr>
        <w:tabs>
          <w:tab w:pos="1233" w:val="left" w:leader="none"/>
          <w:tab w:pos="1234" w:val="left" w:leader="none"/>
          <w:tab w:pos="4553" w:val="left" w:leader="none"/>
        </w:tabs>
        <w:spacing w:line="273" w:lineRule="auto" w:before="0" w:after="0"/>
        <w:ind w:left="513" w:right="296" w:firstLine="0"/>
        <w:jc w:val="left"/>
        <w:rPr>
          <w:sz w:val="18"/>
        </w:rPr>
      </w:pPr>
      <w:r>
        <w:rPr>
          <w:color w:val="231F20"/>
          <w:spacing w:val="2"/>
          <w:w w:val="110"/>
          <w:sz w:val="18"/>
        </w:rPr>
        <w:t>This document </w:t>
      </w:r>
      <w:r>
        <w:rPr>
          <w:color w:val="231F20"/>
          <w:w w:val="110"/>
          <w:sz w:val="18"/>
        </w:rPr>
        <w:t>is</w:t>
      </w:r>
      <w:r>
        <w:rPr>
          <w:color w:val="231F20"/>
          <w:spacing w:val="37"/>
          <w:w w:val="110"/>
          <w:sz w:val="18"/>
        </w:rPr>
        <w:t> </w:t>
      </w:r>
      <w:r>
        <w:rPr>
          <w:color w:val="231F20"/>
          <w:w w:val="110"/>
          <w:sz w:val="18"/>
        </w:rPr>
        <w:t>a</w:t>
      </w:r>
      <w:r>
        <w:rPr>
          <w:color w:val="231F20"/>
          <w:spacing w:val="14"/>
          <w:w w:val="110"/>
          <w:sz w:val="18"/>
        </w:rPr>
        <w:t> </w:t>
      </w:r>
      <w:r>
        <w:rPr>
          <w:color w:val="231F20"/>
          <w:spacing w:val="2"/>
          <w:w w:val="110"/>
          <w:sz w:val="18"/>
        </w:rPr>
        <w:t>beginning.</w:t>
        <w:tab/>
      </w:r>
      <w:r>
        <w:rPr>
          <w:color w:val="231F20"/>
          <w:spacing w:val="3"/>
          <w:w w:val="110"/>
          <w:sz w:val="18"/>
        </w:rPr>
        <w:t>There </w:t>
      </w:r>
      <w:r>
        <w:rPr>
          <w:color w:val="231F20"/>
          <w:w w:val="110"/>
          <w:sz w:val="18"/>
        </w:rPr>
        <w:t>will, no doubt, </w:t>
      </w:r>
      <w:r>
        <w:rPr>
          <w:color w:val="231F20"/>
          <w:spacing w:val="2"/>
          <w:w w:val="110"/>
          <w:sz w:val="18"/>
        </w:rPr>
        <w:t>be </w:t>
      </w:r>
      <w:r>
        <w:rPr>
          <w:color w:val="231F20"/>
          <w:w w:val="110"/>
          <w:sz w:val="18"/>
        </w:rPr>
        <w:t>many </w:t>
      </w:r>
      <w:r>
        <w:rPr>
          <w:color w:val="231F20"/>
          <w:spacing w:val="3"/>
          <w:w w:val="110"/>
          <w:sz w:val="18"/>
        </w:rPr>
        <w:t>changes </w:t>
      </w:r>
      <w:r>
        <w:rPr>
          <w:color w:val="231F20"/>
          <w:w w:val="110"/>
          <w:sz w:val="18"/>
        </w:rPr>
        <w:t>and </w:t>
      </w:r>
      <w:r>
        <w:rPr>
          <w:color w:val="231F20"/>
          <w:spacing w:val="3"/>
          <w:w w:val="110"/>
          <w:sz w:val="18"/>
        </w:rPr>
        <w:t>refinements </w:t>
      </w:r>
      <w:r>
        <w:rPr>
          <w:color w:val="231F20"/>
          <w:spacing w:val="2"/>
          <w:w w:val="110"/>
          <w:sz w:val="18"/>
        </w:rPr>
        <w:t>ahead for </w:t>
      </w:r>
      <w:r>
        <w:rPr>
          <w:color w:val="231F20"/>
          <w:w w:val="110"/>
          <w:sz w:val="18"/>
        </w:rPr>
        <w:t>us as we </w:t>
      </w:r>
      <w:r>
        <w:rPr>
          <w:color w:val="231F20"/>
          <w:spacing w:val="2"/>
          <w:w w:val="110"/>
          <w:sz w:val="18"/>
        </w:rPr>
        <w:t>work </w:t>
      </w:r>
      <w:r>
        <w:rPr>
          <w:color w:val="231F20"/>
          <w:w w:val="110"/>
          <w:sz w:val="18"/>
        </w:rPr>
        <w:t>and </w:t>
      </w:r>
      <w:r>
        <w:rPr>
          <w:color w:val="231F20"/>
          <w:spacing w:val="2"/>
          <w:w w:val="110"/>
          <w:sz w:val="18"/>
        </w:rPr>
        <w:t>listen </w:t>
      </w:r>
      <w:r>
        <w:rPr>
          <w:color w:val="231F20"/>
          <w:spacing w:val="3"/>
          <w:w w:val="110"/>
          <w:sz w:val="18"/>
        </w:rPr>
        <w:t>together </w:t>
      </w:r>
      <w:r>
        <w:rPr>
          <w:color w:val="231F20"/>
          <w:w w:val="110"/>
          <w:sz w:val="18"/>
        </w:rPr>
        <w:t>in</w:t>
      </w:r>
      <w:r>
        <w:rPr>
          <w:color w:val="231F20"/>
          <w:spacing w:val="3"/>
          <w:w w:val="110"/>
          <w:sz w:val="18"/>
        </w:rPr>
        <w:t> consensus.</w:t>
      </w:r>
    </w:p>
    <w:p>
      <w:pPr>
        <w:pStyle w:val="BodyText"/>
        <w:spacing w:before="4"/>
        <w:rPr>
          <w:sz w:val="41"/>
        </w:rPr>
      </w:pPr>
      <w:r>
        <w:rPr/>
        <w:br w:type="column"/>
      </w:r>
      <w:r>
        <w:rPr>
          <w:sz w:val="41"/>
        </w:rPr>
      </w:r>
    </w:p>
    <w:p>
      <w:pPr>
        <w:spacing w:line="264" w:lineRule="auto" w:before="0"/>
        <w:ind w:left="317" w:right="1676" w:firstLine="0"/>
        <w:jc w:val="center"/>
        <w:rPr>
          <w:sz w:val="24"/>
        </w:rPr>
      </w:pPr>
      <w:r>
        <w:rPr>
          <w:color w:val="231F20"/>
          <w:w w:val="90"/>
          <w:sz w:val="24"/>
        </w:rPr>
        <w:t>Consensus </w:t>
      </w:r>
      <w:r>
        <w:rPr>
          <w:color w:val="231F20"/>
          <w:sz w:val="24"/>
        </w:rPr>
        <w:t>is a </w:t>
      </w:r>
      <w:r>
        <w:rPr>
          <w:color w:val="231F20"/>
          <w:w w:val="90"/>
          <w:sz w:val="24"/>
        </w:rPr>
        <w:t>process of pilgrimage</w:t>
      </w:r>
    </w:p>
    <w:p>
      <w:pPr>
        <w:spacing w:after="0" w:line="264" w:lineRule="auto"/>
        <w:jc w:val="center"/>
        <w:rPr>
          <w:sz w:val="24"/>
        </w:rPr>
        <w:sectPr>
          <w:type w:val="continuous"/>
          <w:pgSz w:w="11910" w:h="16840"/>
          <w:pgMar w:top="680" w:bottom="280" w:left="620" w:right="0"/>
          <w:cols w:num="2" w:equalWidth="0">
            <w:col w:w="8066" w:space="40"/>
            <w:col w:w="3184"/>
          </w:cols>
        </w:sectPr>
      </w:pPr>
    </w:p>
    <w:p>
      <w:pPr>
        <w:pStyle w:val="BodyText"/>
        <w:rPr>
          <w:sz w:val="24"/>
        </w:rPr>
      </w:pPr>
    </w:p>
    <w:p>
      <w:pPr>
        <w:pStyle w:val="BodyText"/>
        <w:rPr>
          <w:sz w:val="24"/>
        </w:rPr>
      </w:pPr>
    </w:p>
    <w:p>
      <w:pPr>
        <w:pStyle w:val="BodyText"/>
        <w:rPr>
          <w:sz w:val="24"/>
        </w:rPr>
      </w:pPr>
    </w:p>
    <w:p>
      <w:pPr>
        <w:pStyle w:val="BodyText"/>
        <w:rPr>
          <w:sz w:val="23"/>
        </w:rPr>
      </w:pPr>
    </w:p>
    <w:p>
      <w:pPr>
        <w:tabs>
          <w:tab w:pos="1364" w:val="left" w:leader="none"/>
        </w:tabs>
        <w:spacing w:before="0"/>
        <w:ind w:left="513" w:right="0" w:firstLine="0"/>
        <w:jc w:val="left"/>
        <w:rPr>
          <w:rFonts w:ascii="Eurostile Bold"/>
          <w:b/>
          <w:sz w:val="24"/>
        </w:rPr>
      </w:pPr>
      <w:r>
        <w:rPr>
          <w:rFonts w:ascii="Eurostile Bold"/>
          <w:b/>
          <w:color w:val="231F20"/>
          <w:w w:val="95"/>
          <w:sz w:val="24"/>
        </w:rPr>
        <w:t>4</w:t>
        <w:tab/>
      </w:r>
      <w:r>
        <w:rPr>
          <w:rFonts w:ascii="Eurostile Bold"/>
          <w:b/>
          <w:color w:val="A7A9AC"/>
          <w:w w:val="85"/>
          <w:sz w:val="24"/>
        </w:rPr>
        <w:t>General Assembly</w:t>
      </w:r>
      <w:r>
        <w:rPr>
          <w:rFonts w:ascii="Eurostile Bold"/>
          <w:b/>
          <w:color w:val="A7A9AC"/>
          <w:spacing w:val="-14"/>
          <w:w w:val="85"/>
          <w:sz w:val="24"/>
        </w:rPr>
        <w:t> </w:t>
      </w:r>
      <w:r>
        <w:rPr>
          <w:rFonts w:ascii="Eurostile Bold"/>
          <w:b/>
          <w:color w:val="A7A9AC"/>
          <w:w w:val="85"/>
          <w:sz w:val="24"/>
        </w:rPr>
        <w:t>2007</w:t>
      </w:r>
    </w:p>
    <w:p>
      <w:pPr>
        <w:spacing w:before="141"/>
        <w:ind w:left="405" w:right="0" w:firstLine="0"/>
        <w:jc w:val="left"/>
        <w:rPr>
          <w:b/>
          <w:sz w:val="23"/>
        </w:rPr>
      </w:pPr>
      <w:r>
        <w:rPr/>
        <w:br w:type="column"/>
      </w:r>
      <w:r>
        <w:rPr>
          <w:b/>
          <w:color w:val="231F20"/>
          <w:w w:val="115"/>
          <w:sz w:val="23"/>
        </w:rPr>
        <w:t>Resources</w:t>
      </w:r>
    </w:p>
    <w:p>
      <w:pPr>
        <w:pStyle w:val="ListParagraph"/>
        <w:numPr>
          <w:ilvl w:val="0"/>
          <w:numId w:val="208"/>
        </w:numPr>
        <w:tabs>
          <w:tab w:pos="1125" w:val="left" w:leader="none"/>
          <w:tab w:pos="1126" w:val="left" w:leader="none"/>
          <w:tab w:pos="2480" w:val="left" w:leader="none"/>
        </w:tabs>
        <w:spacing w:line="273" w:lineRule="auto" w:before="20" w:after="0"/>
        <w:ind w:left="1125" w:right="1376" w:hanging="720"/>
        <w:jc w:val="left"/>
        <w:rPr>
          <w:sz w:val="18"/>
        </w:rPr>
      </w:pPr>
      <w:r>
        <w:rPr>
          <w:i/>
          <w:color w:val="231F20"/>
          <w:w w:val="110"/>
          <w:sz w:val="18"/>
        </w:rPr>
        <w:t>A Manual for Meetings </w:t>
      </w:r>
      <w:r>
        <w:rPr>
          <w:color w:val="231F20"/>
          <w:w w:val="110"/>
          <w:sz w:val="18"/>
        </w:rPr>
        <w:t>2000 The Uniting Church in</w:t>
      </w:r>
      <w:r>
        <w:rPr>
          <w:color w:val="231F20"/>
          <w:spacing w:val="13"/>
          <w:w w:val="110"/>
          <w:sz w:val="18"/>
        </w:rPr>
        <w:t> </w:t>
      </w:r>
      <w:r>
        <w:rPr>
          <w:color w:val="231F20"/>
          <w:w w:val="110"/>
          <w:sz w:val="18"/>
        </w:rPr>
        <w:t>Australia</w:t>
        <w:tab/>
        <w:t>ISBN 1 86407 223</w:t>
      </w:r>
      <w:r>
        <w:rPr>
          <w:color w:val="231F20"/>
          <w:spacing w:val="6"/>
          <w:w w:val="110"/>
          <w:sz w:val="18"/>
        </w:rPr>
        <w:t> </w:t>
      </w:r>
      <w:r>
        <w:rPr>
          <w:color w:val="231F20"/>
          <w:w w:val="110"/>
          <w:sz w:val="18"/>
        </w:rPr>
        <w:t>7</w:t>
      </w:r>
    </w:p>
    <w:p>
      <w:pPr>
        <w:pStyle w:val="ListParagraph"/>
        <w:numPr>
          <w:ilvl w:val="0"/>
          <w:numId w:val="208"/>
        </w:numPr>
        <w:tabs>
          <w:tab w:pos="1125" w:val="left" w:leader="none"/>
          <w:tab w:pos="1126" w:val="left" w:leader="none"/>
        </w:tabs>
        <w:spacing w:line="273" w:lineRule="auto" w:before="2" w:after="0"/>
        <w:ind w:left="1125" w:right="1559" w:hanging="720"/>
        <w:jc w:val="left"/>
        <w:rPr>
          <w:sz w:val="18"/>
        </w:rPr>
      </w:pPr>
      <w:r>
        <w:rPr>
          <w:i/>
          <w:color w:val="231F20"/>
          <w:w w:val="110"/>
          <w:sz w:val="18"/>
        </w:rPr>
        <w:t>Coming to Consensus </w:t>
      </w:r>
      <w:r>
        <w:rPr>
          <w:color w:val="231F20"/>
          <w:w w:val="110"/>
          <w:sz w:val="18"/>
        </w:rPr>
        <w:t>by Jill Tabart WCC 2003 ISBN</w:t>
      </w:r>
      <w:r>
        <w:rPr>
          <w:color w:val="231F20"/>
          <w:spacing w:val="1"/>
          <w:w w:val="110"/>
          <w:sz w:val="18"/>
        </w:rPr>
        <w:t> </w:t>
      </w:r>
      <w:r>
        <w:rPr>
          <w:color w:val="231F20"/>
          <w:spacing w:val="-5"/>
          <w:w w:val="110"/>
          <w:sz w:val="18"/>
        </w:rPr>
        <w:t>2-8254-1392-5</w:t>
      </w:r>
    </w:p>
    <w:p>
      <w:pPr>
        <w:spacing w:after="0" w:line="273" w:lineRule="auto"/>
        <w:jc w:val="left"/>
        <w:rPr>
          <w:sz w:val="18"/>
        </w:rPr>
        <w:sectPr>
          <w:type w:val="continuous"/>
          <w:pgSz w:w="11910" w:h="16840"/>
          <w:pgMar w:top="680" w:bottom="280" w:left="620" w:right="0"/>
          <w:cols w:num="2" w:equalWidth="0">
            <w:col w:w="3883" w:space="40"/>
            <w:col w:w="7367"/>
          </w:cols>
        </w:sectPr>
      </w:pPr>
    </w:p>
    <w:p>
      <w:pPr>
        <w:pStyle w:val="BodyText"/>
        <w:spacing w:before="10"/>
        <w:rPr>
          <w:sz w:val="14"/>
        </w:rPr>
      </w:pPr>
      <w:r>
        <w:rPr/>
        <w:pict>
          <v:shape style="position:absolute;margin-left:535.222778pt;margin-top:36.841114pt;width:36.050pt;height:700.7pt;mso-position-horizontal-relative:page;mso-position-vertical-relative:page;z-index:252092416" type="#_x0000_t202" filled="false" stroked="false">
            <v:textbox inset="0,0,0,0" style="layout-flow:vertical">
              <w:txbxContent>
                <w:p>
                  <w:pPr>
                    <w:spacing w:before="20"/>
                    <w:ind w:left="20" w:right="0" w:firstLine="0"/>
                    <w:jc w:val="left"/>
                    <w:rPr>
                      <w:b/>
                      <w:sz w:val="56"/>
                    </w:rPr>
                  </w:pPr>
                  <w:r>
                    <w:rPr>
                      <w:b/>
                      <w:color w:val="231F20"/>
                      <w:spacing w:val="-5"/>
                      <w:sz w:val="56"/>
                    </w:rPr>
                    <w:t>General </w:t>
                  </w:r>
                  <w:r>
                    <w:rPr>
                      <w:b/>
                      <w:color w:val="231F20"/>
                      <w:spacing w:val="-3"/>
                      <w:sz w:val="56"/>
                    </w:rPr>
                    <w:t>Assembly </w:t>
                  </w:r>
                  <w:r>
                    <w:rPr>
                      <w:b/>
                      <w:color w:val="231F20"/>
                      <w:spacing w:val="-6"/>
                      <w:sz w:val="56"/>
                    </w:rPr>
                    <w:t>Standing </w:t>
                  </w:r>
                  <w:r>
                    <w:rPr>
                      <w:b/>
                      <w:color w:val="231F20"/>
                      <w:sz w:val="56"/>
                    </w:rPr>
                    <w:t>Orders Section 9</w:t>
                  </w:r>
                </w:p>
              </w:txbxContent>
            </v:textbox>
            <w10:wrap type="none"/>
          </v:shape>
        </w:pict>
      </w:r>
    </w:p>
    <w:p>
      <w:pPr>
        <w:spacing w:line="237" w:lineRule="auto" w:before="104"/>
        <w:ind w:left="1080" w:right="1646" w:firstLine="0"/>
        <w:jc w:val="left"/>
        <w:rPr>
          <w:b/>
          <w:sz w:val="40"/>
        </w:rPr>
      </w:pPr>
      <w:r>
        <w:rPr/>
        <w:pict>
          <v:shape style="position:absolute;margin-left:85.039001pt;margin-top:57.357155pt;width:440.1pt;height:.1pt;mso-position-horizontal-relative:page;mso-position-vertical-relative:paragraph;z-index:-251225088;mso-wrap-distance-left:0;mso-wrap-distance-right:0" coordorigin="1701,1147" coordsize="8802,0" path="m1701,1147l10502,1147e" filled="false" stroked="true" strokeweight=".5pt" strokecolor="#231f20">
            <v:path arrowok="t"/>
            <v:stroke dashstyle="solid"/>
            <w10:wrap type="topAndBottom"/>
          </v:shape>
        </w:pict>
      </w:r>
      <w:r>
        <w:rPr>
          <w:b/>
          <w:color w:val="231F20"/>
          <w:spacing w:val="-5"/>
          <w:sz w:val="40"/>
        </w:rPr>
        <w:t>Consensus Procedures for </w:t>
      </w:r>
      <w:r>
        <w:rPr>
          <w:b/>
          <w:color w:val="231F20"/>
          <w:spacing w:val="-4"/>
          <w:sz w:val="40"/>
        </w:rPr>
        <w:t>the </w:t>
      </w:r>
      <w:r>
        <w:rPr>
          <w:b/>
          <w:color w:val="231F20"/>
          <w:spacing w:val="-6"/>
          <w:sz w:val="40"/>
        </w:rPr>
        <w:t>Councils </w:t>
      </w:r>
      <w:r>
        <w:rPr>
          <w:b/>
          <w:color w:val="231F20"/>
          <w:spacing w:val="-3"/>
          <w:sz w:val="40"/>
        </w:rPr>
        <w:t>of </w:t>
      </w:r>
      <w:r>
        <w:rPr>
          <w:b/>
          <w:color w:val="231F20"/>
          <w:spacing w:val="-4"/>
          <w:sz w:val="40"/>
        </w:rPr>
        <w:t>the </w:t>
      </w:r>
      <w:r>
        <w:rPr>
          <w:b/>
          <w:color w:val="231F20"/>
          <w:spacing w:val="-6"/>
          <w:sz w:val="40"/>
        </w:rPr>
        <w:t>United Reformed </w:t>
      </w:r>
      <w:r>
        <w:rPr>
          <w:b/>
          <w:color w:val="231F20"/>
          <w:spacing w:val="-5"/>
          <w:sz w:val="40"/>
        </w:rPr>
        <w:t>Church</w:t>
      </w:r>
    </w:p>
    <w:p>
      <w:pPr>
        <w:pStyle w:val="BodyText"/>
        <w:spacing w:before="5"/>
        <w:rPr>
          <w:b/>
          <w:sz w:val="39"/>
        </w:rPr>
      </w:pPr>
    </w:p>
    <w:p>
      <w:pPr>
        <w:pStyle w:val="Heading9"/>
        <w:spacing w:line="244" w:lineRule="auto"/>
        <w:ind w:left="1080" w:right="1928"/>
      </w:pPr>
      <w:r>
        <w:rPr>
          <w:color w:val="231F20"/>
          <w:w w:val="110"/>
        </w:rPr>
        <w:t>The purpose of council meetings of the United Reformed Church include:</w:t>
      </w:r>
    </w:p>
    <w:p>
      <w:pPr>
        <w:pStyle w:val="BodyText"/>
        <w:tabs>
          <w:tab w:pos="1897" w:val="left" w:leader="none"/>
        </w:tabs>
        <w:spacing w:before="162"/>
        <w:ind w:left="1080"/>
      </w:pPr>
      <w:r>
        <w:rPr>
          <w:rFonts w:ascii="Wingdings" w:hAnsi="Wingdings"/>
          <w:color w:val="231F20"/>
          <w:w w:val="150"/>
          <w:sz w:val="15"/>
        </w:rPr>
        <w:t></w:t>
      </w:r>
      <w:r>
        <w:rPr>
          <w:rFonts w:ascii="Times New Roman" w:hAnsi="Times New Roman"/>
          <w:color w:val="231F20"/>
          <w:w w:val="150"/>
          <w:sz w:val="15"/>
        </w:rPr>
        <w:tab/>
      </w:r>
      <w:r>
        <w:rPr>
          <w:color w:val="231F20"/>
          <w:w w:val="120"/>
        </w:rPr>
        <w:t>worshipping,</w:t>
      </w:r>
      <w:r>
        <w:rPr>
          <w:color w:val="231F20"/>
          <w:spacing w:val="-16"/>
          <w:w w:val="120"/>
        </w:rPr>
        <w:t> </w:t>
      </w:r>
      <w:r>
        <w:rPr>
          <w:color w:val="231F20"/>
          <w:w w:val="120"/>
        </w:rPr>
        <w:t>sharing,</w:t>
      </w:r>
      <w:r>
        <w:rPr>
          <w:color w:val="231F20"/>
          <w:spacing w:val="-16"/>
          <w:w w:val="120"/>
        </w:rPr>
        <w:t> </w:t>
      </w:r>
      <w:r>
        <w:rPr>
          <w:color w:val="231F20"/>
          <w:w w:val="120"/>
        </w:rPr>
        <w:t>learning</w:t>
      </w:r>
      <w:r>
        <w:rPr>
          <w:color w:val="231F20"/>
          <w:spacing w:val="-16"/>
          <w:w w:val="120"/>
        </w:rPr>
        <w:t> </w:t>
      </w:r>
      <w:r>
        <w:rPr>
          <w:color w:val="231F20"/>
          <w:w w:val="120"/>
        </w:rPr>
        <w:t>and</w:t>
      </w:r>
      <w:r>
        <w:rPr>
          <w:color w:val="231F20"/>
          <w:spacing w:val="-15"/>
          <w:w w:val="120"/>
        </w:rPr>
        <w:t> </w:t>
      </w:r>
      <w:r>
        <w:rPr>
          <w:color w:val="231F20"/>
          <w:w w:val="120"/>
        </w:rPr>
        <w:t>building</w:t>
      </w:r>
      <w:r>
        <w:rPr>
          <w:color w:val="231F20"/>
          <w:spacing w:val="-16"/>
          <w:w w:val="120"/>
        </w:rPr>
        <w:t> </w:t>
      </w:r>
      <w:r>
        <w:rPr>
          <w:color w:val="231F20"/>
          <w:w w:val="120"/>
        </w:rPr>
        <w:t>community</w:t>
      </w:r>
      <w:r>
        <w:rPr>
          <w:color w:val="231F20"/>
          <w:spacing w:val="-16"/>
          <w:w w:val="120"/>
        </w:rPr>
        <w:t> </w:t>
      </w:r>
      <w:r>
        <w:rPr>
          <w:color w:val="231F20"/>
          <w:w w:val="120"/>
        </w:rPr>
        <w:t>together.</w:t>
      </w:r>
    </w:p>
    <w:p>
      <w:pPr>
        <w:pStyle w:val="BodyText"/>
        <w:tabs>
          <w:tab w:pos="1897" w:val="left" w:leader="none"/>
        </w:tabs>
        <w:spacing w:before="31"/>
        <w:ind w:left="1080"/>
      </w:pPr>
      <w:r>
        <w:rPr>
          <w:rFonts w:ascii="Wingdings" w:hAnsi="Wingdings"/>
          <w:color w:val="231F20"/>
          <w:w w:val="150"/>
          <w:sz w:val="15"/>
        </w:rPr>
        <w:t></w:t>
      </w:r>
      <w:r>
        <w:rPr>
          <w:rFonts w:ascii="Times New Roman" w:hAnsi="Times New Roman"/>
          <w:color w:val="231F20"/>
          <w:w w:val="150"/>
          <w:sz w:val="15"/>
        </w:rPr>
        <w:tab/>
      </w:r>
      <w:r>
        <w:rPr>
          <w:color w:val="231F20"/>
          <w:w w:val="120"/>
        </w:rPr>
        <w:t>sharing</w:t>
      </w:r>
      <w:r>
        <w:rPr>
          <w:color w:val="231F20"/>
          <w:spacing w:val="-11"/>
          <w:w w:val="120"/>
        </w:rPr>
        <w:t> </w:t>
      </w:r>
      <w:r>
        <w:rPr>
          <w:color w:val="231F20"/>
          <w:w w:val="120"/>
        </w:rPr>
        <w:t>in</w:t>
      </w:r>
      <w:r>
        <w:rPr>
          <w:color w:val="231F20"/>
          <w:spacing w:val="-11"/>
          <w:w w:val="120"/>
        </w:rPr>
        <w:t> </w:t>
      </w:r>
      <w:r>
        <w:rPr>
          <w:color w:val="231F20"/>
          <w:w w:val="120"/>
        </w:rPr>
        <w:t>formal</w:t>
      </w:r>
      <w:r>
        <w:rPr>
          <w:color w:val="231F20"/>
          <w:spacing w:val="-11"/>
          <w:w w:val="120"/>
        </w:rPr>
        <w:t> </w:t>
      </w:r>
      <w:r>
        <w:rPr>
          <w:color w:val="231F20"/>
          <w:w w:val="120"/>
        </w:rPr>
        <w:t>occasions</w:t>
      </w:r>
      <w:r>
        <w:rPr>
          <w:color w:val="231F20"/>
          <w:spacing w:val="-10"/>
          <w:w w:val="120"/>
        </w:rPr>
        <w:t> </w:t>
      </w:r>
      <w:r>
        <w:rPr>
          <w:color w:val="231F20"/>
          <w:w w:val="120"/>
        </w:rPr>
        <w:t>and</w:t>
      </w:r>
      <w:r>
        <w:rPr>
          <w:color w:val="231F20"/>
          <w:spacing w:val="-11"/>
          <w:w w:val="120"/>
        </w:rPr>
        <w:t> </w:t>
      </w:r>
      <w:r>
        <w:rPr>
          <w:color w:val="231F20"/>
          <w:w w:val="120"/>
        </w:rPr>
        <w:t>welcoming</w:t>
      </w:r>
      <w:r>
        <w:rPr>
          <w:color w:val="231F20"/>
          <w:spacing w:val="-11"/>
          <w:w w:val="120"/>
        </w:rPr>
        <w:t> </w:t>
      </w:r>
      <w:r>
        <w:rPr>
          <w:color w:val="231F20"/>
          <w:w w:val="120"/>
        </w:rPr>
        <w:t>visitors.</w:t>
      </w:r>
    </w:p>
    <w:p>
      <w:pPr>
        <w:pStyle w:val="BodyText"/>
        <w:tabs>
          <w:tab w:pos="1897" w:val="left" w:leader="none"/>
        </w:tabs>
        <w:spacing w:before="31"/>
        <w:ind w:left="1080"/>
      </w:pPr>
      <w:r>
        <w:rPr>
          <w:rFonts w:ascii="Wingdings" w:hAnsi="Wingdings"/>
          <w:color w:val="231F20"/>
          <w:w w:val="150"/>
          <w:sz w:val="15"/>
        </w:rPr>
        <w:t></w:t>
      </w:r>
      <w:r>
        <w:rPr>
          <w:rFonts w:ascii="Times New Roman" w:hAnsi="Times New Roman"/>
          <w:color w:val="231F20"/>
          <w:w w:val="150"/>
          <w:sz w:val="15"/>
        </w:rPr>
        <w:tab/>
      </w:r>
      <w:r>
        <w:rPr>
          <w:color w:val="231F20"/>
          <w:w w:val="115"/>
        </w:rPr>
        <w:t>overseeing the life and work of the church</w:t>
      </w:r>
      <w:r>
        <w:rPr>
          <w:color w:val="231F20"/>
          <w:spacing w:val="-32"/>
          <w:w w:val="115"/>
        </w:rPr>
        <w:t> </w:t>
      </w:r>
      <w:r>
        <w:rPr>
          <w:color w:val="231F20"/>
          <w:w w:val="115"/>
        </w:rPr>
        <w:t>by</w:t>
      </w:r>
    </w:p>
    <w:p>
      <w:pPr>
        <w:pStyle w:val="ListParagraph"/>
        <w:numPr>
          <w:ilvl w:val="1"/>
          <w:numId w:val="208"/>
        </w:numPr>
        <w:tabs>
          <w:tab w:pos="2520" w:val="left" w:leader="none"/>
          <w:tab w:pos="2521" w:val="left" w:leader="none"/>
        </w:tabs>
        <w:spacing w:line="228" w:lineRule="auto" w:before="14" w:after="0"/>
        <w:ind w:left="2520" w:right="3026" w:hanging="760"/>
        <w:jc w:val="left"/>
        <w:rPr>
          <w:sz w:val="18"/>
        </w:rPr>
      </w:pPr>
      <w:r>
        <w:rPr>
          <w:color w:val="231F20"/>
          <w:w w:val="110"/>
          <w:sz w:val="18"/>
        </w:rPr>
        <w:t>receiving the </w:t>
      </w:r>
      <w:r>
        <w:rPr>
          <w:color w:val="231F20"/>
          <w:spacing w:val="3"/>
          <w:w w:val="110"/>
          <w:sz w:val="18"/>
        </w:rPr>
        <w:t>reports </w:t>
      </w:r>
      <w:r>
        <w:rPr>
          <w:color w:val="231F20"/>
          <w:w w:val="110"/>
          <w:sz w:val="18"/>
        </w:rPr>
        <w:t>of committees and people who are accountable to the</w:t>
      </w:r>
      <w:r>
        <w:rPr>
          <w:color w:val="231F20"/>
          <w:spacing w:val="5"/>
          <w:w w:val="110"/>
          <w:sz w:val="18"/>
        </w:rPr>
        <w:t> </w:t>
      </w:r>
      <w:r>
        <w:rPr>
          <w:color w:val="231F20"/>
          <w:w w:val="110"/>
          <w:sz w:val="18"/>
        </w:rPr>
        <w:t>council.</w:t>
      </w:r>
    </w:p>
    <w:p>
      <w:pPr>
        <w:pStyle w:val="ListParagraph"/>
        <w:numPr>
          <w:ilvl w:val="1"/>
          <w:numId w:val="208"/>
        </w:numPr>
        <w:tabs>
          <w:tab w:pos="2520" w:val="left" w:leader="none"/>
          <w:tab w:pos="2521" w:val="left" w:leader="none"/>
        </w:tabs>
        <w:spacing w:line="228" w:lineRule="auto" w:before="16" w:after="0"/>
        <w:ind w:left="2520" w:right="2780" w:hanging="760"/>
        <w:jc w:val="left"/>
        <w:rPr>
          <w:sz w:val="18"/>
        </w:rPr>
      </w:pPr>
      <w:r>
        <w:rPr>
          <w:color w:val="231F20"/>
          <w:w w:val="110"/>
          <w:sz w:val="18"/>
        </w:rPr>
        <w:t>taking decisions concerning the life and work of the United Reformed Church such</w:t>
      </w:r>
      <w:r>
        <w:rPr>
          <w:color w:val="231F20"/>
          <w:spacing w:val="5"/>
          <w:w w:val="110"/>
          <w:sz w:val="18"/>
        </w:rPr>
        <w:t> </w:t>
      </w:r>
      <w:r>
        <w:rPr>
          <w:color w:val="231F20"/>
          <w:w w:val="110"/>
          <w:sz w:val="18"/>
        </w:rPr>
        <w:t>as</w:t>
      </w:r>
    </w:p>
    <w:p>
      <w:pPr>
        <w:pStyle w:val="ListParagraph"/>
        <w:numPr>
          <w:ilvl w:val="2"/>
          <w:numId w:val="208"/>
        </w:numPr>
        <w:tabs>
          <w:tab w:pos="3240" w:val="left" w:leader="none"/>
          <w:tab w:pos="3241" w:val="left" w:leader="none"/>
        </w:tabs>
        <w:spacing w:line="301" w:lineRule="exact" w:before="5" w:after="0"/>
        <w:ind w:left="3240" w:right="0" w:hanging="721"/>
        <w:jc w:val="left"/>
        <w:rPr>
          <w:sz w:val="18"/>
        </w:rPr>
      </w:pPr>
      <w:r>
        <w:rPr>
          <w:color w:val="231F20"/>
          <w:w w:val="110"/>
          <w:sz w:val="18"/>
        </w:rPr>
        <w:t>deciding</w:t>
      </w:r>
      <w:r>
        <w:rPr>
          <w:color w:val="231F20"/>
          <w:spacing w:val="1"/>
          <w:w w:val="110"/>
          <w:sz w:val="18"/>
        </w:rPr>
        <w:t> </w:t>
      </w:r>
      <w:r>
        <w:rPr>
          <w:color w:val="231F20"/>
          <w:w w:val="110"/>
          <w:sz w:val="18"/>
        </w:rPr>
        <w:t>priorities</w:t>
      </w:r>
    </w:p>
    <w:p>
      <w:pPr>
        <w:pStyle w:val="ListParagraph"/>
        <w:numPr>
          <w:ilvl w:val="2"/>
          <w:numId w:val="208"/>
        </w:numPr>
        <w:tabs>
          <w:tab w:pos="3240" w:val="left" w:leader="none"/>
          <w:tab w:pos="3241" w:val="left" w:leader="none"/>
        </w:tabs>
        <w:spacing w:line="280" w:lineRule="exact" w:before="0" w:after="0"/>
        <w:ind w:left="3240" w:right="0" w:hanging="721"/>
        <w:jc w:val="left"/>
        <w:rPr>
          <w:sz w:val="18"/>
        </w:rPr>
      </w:pPr>
      <w:r>
        <w:rPr>
          <w:color w:val="231F20"/>
          <w:w w:val="110"/>
          <w:sz w:val="18"/>
        </w:rPr>
        <w:t>planning work to be done, changed or not</w:t>
      </w:r>
      <w:r>
        <w:rPr>
          <w:color w:val="231F20"/>
          <w:spacing w:val="14"/>
          <w:w w:val="110"/>
          <w:sz w:val="18"/>
        </w:rPr>
        <w:t> </w:t>
      </w:r>
      <w:r>
        <w:rPr>
          <w:color w:val="231F20"/>
          <w:w w:val="110"/>
          <w:sz w:val="18"/>
        </w:rPr>
        <w:t>done,</w:t>
      </w:r>
    </w:p>
    <w:p>
      <w:pPr>
        <w:pStyle w:val="ListParagraph"/>
        <w:numPr>
          <w:ilvl w:val="2"/>
          <w:numId w:val="208"/>
        </w:numPr>
        <w:tabs>
          <w:tab w:pos="3240" w:val="left" w:leader="none"/>
          <w:tab w:pos="3241" w:val="left" w:leader="none"/>
        </w:tabs>
        <w:spacing w:line="228" w:lineRule="auto" w:before="0" w:after="0"/>
        <w:ind w:left="3240" w:right="1766" w:hanging="720"/>
        <w:jc w:val="left"/>
        <w:rPr>
          <w:sz w:val="18"/>
        </w:rPr>
      </w:pPr>
      <w:r>
        <w:rPr>
          <w:color w:val="231F20"/>
          <w:w w:val="110"/>
          <w:sz w:val="18"/>
        </w:rPr>
        <w:t>considering issues and channelling them to the other councils of the</w:t>
      </w:r>
      <w:r>
        <w:rPr>
          <w:color w:val="231F20"/>
          <w:spacing w:val="2"/>
          <w:w w:val="110"/>
          <w:sz w:val="18"/>
        </w:rPr>
        <w:t> </w:t>
      </w:r>
      <w:r>
        <w:rPr>
          <w:color w:val="231F20"/>
          <w:w w:val="110"/>
          <w:sz w:val="18"/>
        </w:rPr>
        <w:t>church,</w:t>
      </w:r>
    </w:p>
    <w:p>
      <w:pPr>
        <w:pStyle w:val="ListParagraph"/>
        <w:numPr>
          <w:ilvl w:val="1"/>
          <w:numId w:val="208"/>
        </w:numPr>
        <w:tabs>
          <w:tab w:pos="2520" w:val="left" w:leader="none"/>
          <w:tab w:pos="2521" w:val="left" w:leader="none"/>
        </w:tabs>
        <w:spacing w:line="316" w:lineRule="exact" w:before="0" w:after="0"/>
        <w:ind w:left="2520" w:right="0" w:hanging="760"/>
        <w:jc w:val="left"/>
        <w:rPr>
          <w:sz w:val="18"/>
        </w:rPr>
      </w:pPr>
      <w:r>
        <w:rPr>
          <w:color w:val="231F20"/>
          <w:w w:val="110"/>
          <w:sz w:val="18"/>
        </w:rPr>
        <w:t>being responsible for the financial and trust life of the</w:t>
      </w:r>
      <w:r>
        <w:rPr>
          <w:color w:val="231F20"/>
          <w:spacing w:val="31"/>
          <w:w w:val="110"/>
          <w:sz w:val="18"/>
        </w:rPr>
        <w:t> </w:t>
      </w:r>
      <w:r>
        <w:rPr>
          <w:color w:val="231F20"/>
          <w:w w:val="110"/>
          <w:sz w:val="18"/>
        </w:rPr>
        <w:t>church.</w:t>
      </w:r>
    </w:p>
    <w:p>
      <w:pPr>
        <w:pStyle w:val="BodyText"/>
        <w:spacing w:line="213" w:lineRule="exact"/>
        <w:ind w:left="1080"/>
      </w:pPr>
      <w:r>
        <w:rPr>
          <w:color w:val="231F20"/>
          <w:w w:val="110"/>
        </w:rPr>
        <w:t>Further details of the functions of the councils of the church are found in the Manual.</w:t>
      </w:r>
    </w:p>
    <w:p>
      <w:pPr>
        <w:pStyle w:val="BodyText"/>
        <w:spacing w:before="8"/>
        <w:rPr>
          <w:sz w:val="22"/>
        </w:rPr>
      </w:pPr>
    </w:p>
    <w:p>
      <w:pPr>
        <w:pStyle w:val="Heading9"/>
        <w:ind w:left="1080"/>
      </w:pPr>
      <w:r>
        <w:rPr>
          <w:color w:val="231F20"/>
          <w:w w:val="110"/>
        </w:rPr>
        <w:t>The process of consensus:</w:t>
      </w:r>
    </w:p>
    <w:p>
      <w:pPr>
        <w:pStyle w:val="BodyText"/>
        <w:spacing w:line="273" w:lineRule="auto" w:before="168"/>
        <w:ind w:left="1080" w:right="2078"/>
        <w:jc w:val="both"/>
      </w:pPr>
      <w:r>
        <w:rPr>
          <w:b/>
          <w:color w:val="231F20"/>
          <w:w w:val="110"/>
        </w:rPr>
        <w:t>Consensus </w:t>
      </w:r>
      <w:r>
        <w:rPr>
          <w:color w:val="231F20"/>
          <w:w w:val="110"/>
        </w:rPr>
        <w:t>means a decision of the council reached unanimously, or where a small minority of members of the council is willing to accept a proposal that is not their first preference.</w:t>
      </w:r>
    </w:p>
    <w:p>
      <w:pPr>
        <w:pStyle w:val="BodyText"/>
        <w:spacing w:before="9"/>
        <w:rPr>
          <w:sz w:val="20"/>
        </w:rPr>
      </w:pPr>
    </w:p>
    <w:p>
      <w:pPr>
        <w:pStyle w:val="BodyText"/>
        <w:spacing w:line="273" w:lineRule="auto"/>
        <w:ind w:left="1080" w:right="1758"/>
      </w:pPr>
      <w:r>
        <w:rPr>
          <w:b/>
          <w:color w:val="231F20"/>
          <w:spacing w:val="3"/>
          <w:w w:val="110"/>
        </w:rPr>
        <w:t>Agreement </w:t>
      </w:r>
      <w:r>
        <w:rPr>
          <w:color w:val="231F20"/>
          <w:spacing w:val="2"/>
          <w:w w:val="110"/>
        </w:rPr>
        <w:t>means </w:t>
      </w:r>
      <w:r>
        <w:rPr>
          <w:color w:val="231F20"/>
          <w:w w:val="110"/>
        </w:rPr>
        <w:t>a </w:t>
      </w:r>
      <w:r>
        <w:rPr>
          <w:color w:val="231F20"/>
          <w:spacing w:val="3"/>
          <w:w w:val="110"/>
        </w:rPr>
        <w:t>decision </w:t>
      </w:r>
      <w:r>
        <w:rPr>
          <w:color w:val="231F20"/>
          <w:w w:val="110"/>
        </w:rPr>
        <w:t>of </w:t>
      </w:r>
      <w:r>
        <w:rPr>
          <w:color w:val="231F20"/>
          <w:spacing w:val="2"/>
          <w:w w:val="110"/>
        </w:rPr>
        <w:t>the council where, </w:t>
      </w:r>
      <w:r>
        <w:rPr>
          <w:color w:val="231F20"/>
          <w:spacing w:val="4"/>
          <w:w w:val="110"/>
        </w:rPr>
        <w:t>after </w:t>
      </w:r>
      <w:r>
        <w:rPr>
          <w:color w:val="231F20"/>
          <w:spacing w:val="3"/>
          <w:w w:val="110"/>
        </w:rPr>
        <w:t>careful consideration    </w:t>
      </w:r>
      <w:r>
        <w:rPr>
          <w:color w:val="231F20"/>
          <w:w w:val="110"/>
        </w:rPr>
        <w:t>of </w:t>
      </w:r>
      <w:r>
        <w:rPr>
          <w:color w:val="231F20"/>
          <w:spacing w:val="2"/>
          <w:w w:val="110"/>
        </w:rPr>
        <w:t>the options, </w:t>
      </w:r>
      <w:r>
        <w:rPr>
          <w:color w:val="231F20"/>
          <w:w w:val="110"/>
        </w:rPr>
        <w:t>a small </w:t>
      </w:r>
      <w:r>
        <w:rPr>
          <w:color w:val="231F20"/>
          <w:spacing w:val="2"/>
          <w:w w:val="110"/>
        </w:rPr>
        <w:t>number </w:t>
      </w:r>
      <w:r>
        <w:rPr>
          <w:color w:val="231F20"/>
          <w:w w:val="110"/>
        </w:rPr>
        <w:t>is unable to </w:t>
      </w:r>
      <w:r>
        <w:rPr>
          <w:color w:val="231F20"/>
          <w:spacing w:val="3"/>
          <w:w w:val="110"/>
        </w:rPr>
        <w:t>accept </w:t>
      </w:r>
      <w:r>
        <w:rPr>
          <w:color w:val="231F20"/>
          <w:spacing w:val="2"/>
          <w:w w:val="110"/>
        </w:rPr>
        <w:t>the </w:t>
      </w:r>
      <w:r>
        <w:rPr>
          <w:color w:val="231F20"/>
          <w:spacing w:val="3"/>
          <w:w w:val="110"/>
        </w:rPr>
        <w:t>majority </w:t>
      </w:r>
      <w:r>
        <w:rPr>
          <w:color w:val="231F20"/>
          <w:spacing w:val="2"/>
          <w:w w:val="110"/>
        </w:rPr>
        <w:t>opinion </w:t>
      </w:r>
      <w:r>
        <w:rPr>
          <w:color w:val="231F20"/>
          <w:w w:val="110"/>
        </w:rPr>
        <w:t>but </w:t>
      </w:r>
      <w:r>
        <w:rPr>
          <w:color w:val="231F20"/>
          <w:spacing w:val="3"/>
          <w:w w:val="110"/>
        </w:rPr>
        <w:t>agree </w:t>
      </w:r>
      <w:r>
        <w:rPr>
          <w:color w:val="231F20"/>
          <w:w w:val="110"/>
        </w:rPr>
        <w:t>to </w:t>
      </w:r>
      <w:r>
        <w:rPr>
          <w:color w:val="231F20"/>
          <w:spacing w:val="3"/>
          <w:w w:val="110"/>
        </w:rPr>
        <w:t>stand </w:t>
      </w:r>
      <w:r>
        <w:rPr>
          <w:color w:val="231F20"/>
          <w:spacing w:val="2"/>
          <w:w w:val="110"/>
        </w:rPr>
        <w:t>aside so </w:t>
      </w:r>
      <w:r>
        <w:rPr>
          <w:color w:val="231F20"/>
          <w:w w:val="110"/>
        </w:rPr>
        <w:t>that </w:t>
      </w:r>
      <w:r>
        <w:rPr>
          <w:color w:val="231F20"/>
          <w:spacing w:val="2"/>
          <w:w w:val="110"/>
        </w:rPr>
        <w:t>the </w:t>
      </w:r>
      <w:r>
        <w:rPr>
          <w:color w:val="231F20"/>
          <w:spacing w:val="3"/>
          <w:w w:val="110"/>
        </w:rPr>
        <w:t>matter </w:t>
      </w:r>
      <w:r>
        <w:rPr>
          <w:color w:val="231F20"/>
          <w:w w:val="110"/>
        </w:rPr>
        <w:t>may </w:t>
      </w:r>
      <w:r>
        <w:rPr>
          <w:color w:val="231F20"/>
          <w:spacing w:val="2"/>
          <w:w w:val="110"/>
        </w:rPr>
        <w:t>be</w:t>
      </w:r>
      <w:r>
        <w:rPr>
          <w:color w:val="231F20"/>
          <w:spacing w:val="43"/>
          <w:w w:val="110"/>
        </w:rPr>
        <w:t> </w:t>
      </w:r>
      <w:r>
        <w:rPr>
          <w:color w:val="231F20"/>
          <w:spacing w:val="2"/>
          <w:w w:val="110"/>
        </w:rPr>
        <w:t>resolved.</w:t>
      </w:r>
    </w:p>
    <w:p>
      <w:pPr>
        <w:pStyle w:val="ListParagraph"/>
        <w:numPr>
          <w:ilvl w:val="0"/>
          <w:numId w:val="209"/>
        </w:numPr>
        <w:tabs>
          <w:tab w:pos="1762" w:val="left" w:leader="none"/>
          <w:tab w:pos="1763" w:val="left" w:leader="none"/>
        </w:tabs>
        <w:spacing w:line="273" w:lineRule="auto" w:before="162" w:after="0"/>
        <w:ind w:left="1761" w:right="1723" w:hanging="679"/>
        <w:jc w:val="left"/>
        <w:rPr>
          <w:sz w:val="18"/>
        </w:rPr>
      </w:pPr>
      <w:r>
        <w:rPr>
          <w:color w:val="231F20"/>
          <w:w w:val="110"/>
          <w:sz w:val="18"/>
        </w:rPr>
        <w:t>At each stage of the </w:t>
      </w:r>
      <w:r>
        <w:rPr>
          <w:color w:val="231F20"/>
          <w:spacing w:val="2"/>
          <w:w w:val="110"/>
          <w:sz w:val="18"/>
        </w:rPr>
        <w:t>process </w:t>
      </w:r>
      <w:r>
        <w:rPr>
          <w:color w:val="231F20"/>
          <w:w w:val="110"/>
          <w:sz w:val="18"/>
        </w:rPr>
        <w:t>the moderator will </w:t>
      </w:r>
      <w:r>
        <w:rPr>
          <w:b/>
          <w:color w:val="231F20"/>
          <w:spacing w:val="2"/>
          <w:w w:val="110"/>
          <w:sz w:val="18"/>
        </w:rPr>
        <w:t>clarify </w:t>
      </w:r>
      <w:r>
        <w:rPr>
          <w:b/>
          <w:color w:val="231F20"/>
          <w:w w:val="110"/>
          <w:sz w:val="18"/>
        </w:rPr>
        <w:t>the nature of the session</w:t>
      </w:r>
      <w:r>
        <w:rPr>
          <w:color w:val="231F20"/>
          <w:w w:val="110"/>
          <w:sz w:val="18"/>
        </w:rPr>
        <w:t>,</w:t>
      </w:r>
      <w:r>
        <w:rPr>
          <w:color w:val="231F20"/>
          <w:spacing w:val="10"/>
          <w:w w:val="110"/>
          <w:sz w:val="18"/>
        </w:rPr>
        <w:t> </w:t>
      </w:r>
      <w:r>
        <w:rPr>
          <w:color w:val="231F20"/>
          <w:w w:val="110"/>
          <w:sz w:val="18"/>
        </w:rPr>
        <w:t>that</w:t>
      </w:r>
      <w:r>
        <w:rPr>
          <w:color w:val="231F20"/>
          <w:spacing w:val="13"/>
          <w:w w:val="110"/>
          <w:sz w:val="18"/>
        </w:rPr>
        <w:t> </w:t>
      </w:r>
      <w:r>
        <w:rPr>
          <w:color w:val="231F20"/>
          <w:w w:val="110"/>
          <w:sz w:val="18"/>
        </w:rPr>
        <w:t>is</w:t>
      </w:r>
      <w:r>
        <w:rPr>
          <w:color w:val="231F20"/>
          <w:spacing w:val="12"/>
          <w:w w:val="110"/>
          <w:sz w:val="18"/>
        </w:rPr>
        <w:t> </w:t>
      </w:r>
      <w:r>
        <w:rPr>
          <w:color w:val="231F20"/>
          <w:w w:val="110"/>
          <w:sz w:val="18"/>
        </w:rPr>
        <w:t>whether</w:t>
      </w:r>
      <w:r>
        <w:rPr>
          <w:color w:val="231F20"/>
          <w:spacing w:val="12"/>
          <w:w w:val="110"/>
          <w:sz w:val="18"/>
        </w:rPr>
        <w:t> </w:t>
      </w:r>
      <w:r>
        <w:rPr>
          <w:color w:val="231F20"/>
          <w:w w:val="110"/>
          <w:sz w:val="18"/>
        </w:rPr>
        <w:t>it</w:t>
      </w:r>
      <w:r>
        <w:rPr>
          <w:color w:val="231F20"/>
          <w:spacing w:val="12"/>
          <w:w w:val="110"/>
          <w:sz w:val="18"/>
        </w:rPr>
        <w:t> </w:t>
      </w:r>
      <w:r>
        <w:rPr>
          <w:color w:val="231F20"/>
          <w:w w:val="110"/>
          <w:sz w:val="18"/>
        </w:rPr>
        <w:t>is</w:t>
      </w:r>
      <w:r>
        <w:rPr>
          <w:color w:val="231F20"/>
          <w:spacing w:val="12"/>
          <w:w w:val="110"/>
          <w:sz w:val="18"/>
        </w:rPr>
        <w:t> </w:t>
      </w:r>
      <w:r>
        <w:rPr>
          <w:color w:val="231F20"/>
          <w:w w:val="110"/>
          <w:sz w:val="18"/>
        </w:rPr>
        <w:t>for</w:t>
      </w:r>
      <w:r>
        <w:rPr>
          <w:color w:val="231F20"/>
          <w:spacing w:val="12"/>
          <w:w w:val="110"/>
          <w:sz w:val="18"/>
        </w:rPr>
        <w:t> </w:t>
      </w:r>
      <w:r>
        <w:rPr>
          <w:color w:val="231F20"/>
          <w:w w:val="110"/>
          <w:sz w:val="18"/>
        </w:rPr>
        <w:t>information,</w:t>
      </w:r>
      <w:r>
        <w:rPr>
          <w:color w:val="231F20"/>
          <w:spacing w:val="12"/>
          <w:w w:val="110"/>
          <w:sz w:val="18"/>
        </w:rPr>
        <w:t> </w:t>
      </w:r>
      <w:r>
        <w:rPr>
          <w:color w:val="231F20"/>
          <w:w w:val="110"/>
          <w:sz w:val="18"/>
        </w:rPr>
        <w:t>discussion</w:t>
      </w:r>
      <w:r>
        <w:rPr>
          <w:color w:val="231F20"/>
          <w:spacing w:val="12"/>
          <w:w w:val="110"/>
          <w:sz w:val="18"/>
        </w:rPr>
        <w:t> </w:t>
      </w:r>
      <w:r>
        <w:rPr>
          <w:color w:val="231F20"/>
          <w:w w:val="110"/>
          <w:sz w:val="18"/>
        </w:rPr>
        <w:t>or</w:t>
      </w:r>
      <w:r>
        <w:rPr>
          <w:color w:val="231F20"/>
          <w:spacing w:val="12"/>
          <w:w w:val="110"/>
          <w:sz w:val="18"/>
        </w:rPr>
        <w:t> </w:t>
      </w:r>
      <w:r>
        <w:rPr>
          <w:color w:val="231F20"/>
          <w:w w:val="110"/>
          <w:sz w:val="18"/>
        </w:rPr>
        <w:t>decision</w:t>
      </w:r>
      <w:r>
        <w:rPr>
          <w:color w:val="231F20"/>
          <w:spacing w:val="12"/>
          <w:w w:val="110"/>
          <w:sz w:val="18"/>
        </w:rPr>
        <w:t> </w:t>
      </w:r>
      <w:r>
        <w:rPr>
          <w:color w:val="231F20"/>
          <w:w w:val="110"/>
          <w:sz w:val="18"/>
        </w:rPr>
        <w:t>making.</w:t>
      </w:r>
    </w:p>
    <w:p>
      <w:pPr>
        <w:pStyle w:val="ListParagraph"/>
        <w:numPr>
          <w:ilvl w:val="0"/>
          <w:numId w:val="209"/>
        </w:numPr>
        <w:tabs>
          <w:tab w:pos="1760" w:val="left" w:leader="none"/>
          <w:tab w:pos="1761" w:val="left" w:leader="none"/>
        </w:tabs>
        <w:spacing w:line="240" w:lineRule="auto" w:before="115" w:after="0"/>
        <w:ind w:left="1760" w:right="0" w:hanging="681"/>
        <w:jc w:val="left"/>
        <w:rPr>
          <w:sz w:val="18"/>
        </w:rPr>
      </w:pPr>
      <w:r>
        <w:rPr>
          <w:b/>
          <w:color w:val="231F20"/>
          <w:w w:val="110"/>
          <w:sz w:val="18"/>
        </w:rPr>
        <w:t>Worship </w:t>
      </w:r>
      <w:r>
        <w:rPr>
          <w:color w:val="231F20"/>
          <w:w w:val="110"/>
          <w:sz w:val="18"/>
        </w:rPr>
        <w:t>is a vital element in the meeting of every council of the</w:t>
      </w:r>
      <w:r>
        <w:rPr>
          <w:color w:val="231F20"/>
          <w:spacing w:val="47"/>
          <w:w w:val="110"/>
          <w:sz w:val="18"/>
        </w:rPr>
        <w:t> </w:t>
      </w:r>
      <w:r>
        <w:rPr>
          <w:color w:val="231F20"/>
          <w:w w:val="110"/>
          <w:sz w:val="18"/>
        </w:rPr>
        <w:t>church.</w:t>
      </w:r>
    </w:p>
    <w:p>
      <w:pPr>
        <w:pStyle w:val="ListParagraph"/>
        <w:numPr>
          <w:ilvl w:val="0"/>
          <w:numId w:val="209"/>
        </w:numPr>
        <w:tabs>
          <w:tab w:pos="1761" w:val="left" w:leader="none"/>
          <w:tab w:pos="1762" w:val="left" w:leader="none"/>
        </w:tabs>
        <w:spacing w:line="240" w:lineRule="auto" w:before="144" w:after="0"/>
        <w:ind w:left="1761" w:right="0" w:hanging="682"/>
        <w:jc w:val="left"/>
        <w:rPr>
          <w:sz w:val="18"/>
        </w:rPr>
      </w:pPr>
      <w:r>
        <w:rPr>
          <w:b/>
          <w:color w:val="231F20"/>
          <w:w w:val="110"/>
          <w:sz w:val="18"/>
        </w:rPr>
        <w:t>Community building </w:t>
      </w:r>
      <w:r>
        <w:rPr>
          <w:color w:val="231F20"/>
          <w:w w:val="110"/>
          <w:sz w:val="18"/>
        </w:rPr>
        <w:t>is important to help the </w:t>
      </w:r>
      <w:r>
        <w:rPr>
          <w:color w:val="231F20"/>
          <w:spacing w:val="2"/>
          <w:w w:val="110"/>
          <w:sz w:val="18"/>
        </w:rPr>
        <w:t>process </w:t>
      </w:r>
      <w:r>
        <w:rPr>
          <w:color w:val="231F20"/>
          <w:w w:val="110"/>
          <w:sz w:val="18"/>
        </w:rPr>
        <w:t>of consensus to</w:t>
      </w:r>
      <w:r>
        <w:rPr>
          <w:color w:val="231F20"/>
          <w:spacing w:val="49"/>
          <w:w w:val="110"/>
          <w:sz w:val="18"/>
        </w:rPr>
        <w:t> </w:t>
      </w:r>
      <w:r>
        <w:rPr>
          <w:color w:val="231F20"/>
          <w:w w:val="110"/>
          <w:sz w:val="18"/>
        </w:rPr>
        <w:t>work.</w:t>
      </w:r>
    </w:p>
    <w:p>
      <w:pPr>
        <w:pStyle w:val="ListParagraph"/>
        <w:numPr>
          <w:ilvl w:val="0"/>
          <w:numId w:val="209"/>
        </w:numPr>
        <w:tabs>
          <w:tab w:pos="1761" w:val="left" w:leader="none"/>
          <w:tab w:pos="1762" w:val="left" w:leader="none"/>
        </w:tabs>
        <w:spacing w:line="273" w:lineRule="auto" w:before="145" w:after="0"/>
        <w:ind w:left="1761" w:right="2202" w:hanging="681"/>
        <w:jc w:val="left"/>
        <w:rPr>
          <w:sz w:val="18"/>
        </w:rPr>
      </w:pPr>
      <w:r>
        <w:rPr>
          <w:b/>
          <w:color w:val="231F20"/>
          <w:w w:val="110"/>
          <w:sz w:val="18"/>
        </w:rPr>
        <w:t>General </w:t>
      </w:r>
      <w:r>
        <w:rPr>
          <w:b/>
          <w:color w:val="231F20"/>
          <w:spacing w:val="2"/>
          <w:w w:val="110"/>
          <w:sz w:val="18"/>
        </w:rPr>
        <w:t>Sessions </w:t>
      </w:r>
      <w:r>
        <w:rPr>
          <w:color w:val="231F20"/>
          <w:w w:val="110"/>
          <w:sz w:val="18"/>
        </w:rPr>
        <w:t>include ceremonial occasions, formal </w:t>
      </w:r>
      <w:r>
        <w:rPr>
          <w:color w:val="231F20"/>
          <w:spacing w:val="2"/>
          <w:w w:val="110"/>
          <w:sz w:val="18"/>
        </w:rPr>
        <w:t>addresses </w:t>
      </w:r>
      <w:r>
        <w:rPr>
          <w:color w:val="231F20"/>
          <w:w w:val="110"/>
          <w:sz w:val="18"/>
        </w:rPr>
        <w:t>and opening and closing ceremonies</w:t>
      </w:r>
      <w:r>
        <w:rPr>
          <w:color w:val="231F20"/>
          <w:spacing w:val="7"/>
          <w:w w:val="110"/>
          <w:sz w:val="18"/>
        </w:rPr>
        <w:t> </w:t>
      </w:r>
      <w:r>
        <w:rPr>
          <w:color w:val="231F20"/>
          <w:w w:val="110"/>
          <w:sz w:val="18"/>
        </w:rPr>
        <w:t>etc.</w:t>
      </w:r>
    </w:p>
    <w:p>
      <w:pPr>
        <w:numPr>
          <w:ilvl w:val="0"/>
          <w:numId w:val="209"/>
        </w:numPr>
        <w:tabs>
          <w:tab w:pos="1761" w:val="left" w:leader="none"/>
          <w:tab w:pos="1762" w:val="left" w:leader="none"/>
        </w:tabs>
        <w:spacing w:before="115"/>
        <w:ind w:left="1761" w:right="0" w:hanging="682"/>
        <w:jc w:val="left"/>
        <w:rPr>
          <w:sz w:val="18"/>
        </w:rPr>
      </w:pPr>
      <w:r>
        <w:rPr>
          <w:b/>
          <w:color w:val="231F20"/>
          <w:w w:val="110"/>
          <w:sz w:val="18"/>
        </w:rPr>
        <w:t>The Information Session</w:t>
      </w:r>
      <w:r>
        <w:rPr>
          <w:color w:val="231F20"/>
          <w:w w:val="110"/>
          <w:sz w:val="18"/>
        </w:rPr>
        <w:t>:</w:t>
      </w:r>
    </w:p>
    <w:p>
      <w:pPr>
        <w:pStyle w:val="BodyText"/>
        <w:spacing w:before="31"/>
        <w:ind w:left="1761"/>
      </w:pPr>
      <w:r>
        <w:rPr>
          <w:color w:val="231F20"/>
          <w:w w:val="110"/>
        </w:rPr>
        <w:t>This session aims to inform the council on the issue to be considered.</w:t>
      </w:r>
    </w:p>
    <w:p>
      <w:pPr>
        <w:pStyle w:val="BodyText"/>
        <w:spacing w:line="273" w:lineRule="auto" w:before="31"/>
        <w:ind w:left="1760" w:right="2042"/>
      </w:pPr>
      <w:r>
        <w:rPr>
          <w:color w:val="231F20"/>
          <w:w w:val="110"/>
        </w:rPr>
        <w:t>A range of options may be presented to the council by different people who can speak in favour of their option. Those presenting issues, </w:t>
      </w:r>
      <w:r>
        <w:rPr>
          <w:color w:val="231F20"/>
          <w:spacing w:val="3"/>
          <w:w w:val="110"/>
        </w:rPr>
        <w:t>reports </w:t>
      </w:r>
      <w:r>
        <w:rPr>
          <w:color w:val="231F20"/>
          <w:w w:val="110"/>
        </w:rPr>
        <w:t>or proposals may speak for no more than five minutes unless the council agrees to an extention of time. </w:t>
      </w:r>
      <w:r>
        <w:rPr>
          <w:color w:val="231F20"/>
          <w:spacing w:val="2"/>
          <w:w w:val="110"/>
        </w:rPr>
        <w:t>Members </w:t>
      </w:r>
      <w:r>
        <w:rPr>
          <w:color w:val="231F20"/>
          <w:w w:val="110"/>
        </w:rPr>
        <w:t>of the council are then </w:t>
      </w:r>
      <w:r>
        <w:rPr>
          <w:color w:val="231F20"/>
          <w:spacing w:val="2"/>
          <w:w w:val="110"/>
        </w:rPr>
        <w:t>free </w:t>
      </w:r>
      <w:r>
        <w:rPr>
          <w:color w:val="231F20"/>
          <w:w w:val="110"/>
        </w:rPr>
        <w:t>to ask</w:t>
      </w:r>
      <w:r>
        <w:rPr>
          <w:color w:val="231F20"/>
          <w:spacing w:val="11"/>
          <w:w w:val="110"/>
        </w:rPr>
        <w:t> </w:t>
      </w:r>
      <w:r>
        <w:rPr>
          <w:color w:val="231F20"/>
          <w:w w:val="110"/>
        </w:rPr>
        <w:t>questions</w:t>
      </w:r>
      <w:r>
        <w:rPr>
          <w:color w:val="231F20"/>
          <w:spacing w:val="12"/>
          <w:w w:val="110"/>
        </w:rPr>
        <w:t> </w:t>
      </w:r>
      <w:r>
        <w:rPr>
          <w:color w:val="231F20"/>
          <w:w w:val="110"/>
        </w:rPr>
        <w:t>on</w:t>
      </w:r>
      <w:r>
        <w:rPr>
          <w:color w:val="231F20"/>
          <w:spacing w:val="12"/>
          <w:w w:val="110"/>
        </w:rPr>
        <w:t> </w:t>
      </w:r>
      <w:r>
        <w:rPr>
          <w:color w:val="231F20"/>
          <w:w w:val="110"/>
        </w:rPr>
        <w:t>the</w:t>
      </w:r>
      <w:r>
        <w:rPr>
          <w:color w:val="231F20"/>
          <w:spacing w:val="11"/>
          <w:w w:val="110"/>
        </w:rPr>
        <w:t> </w:t>
      </w:r>
      <w:r>
        <w:rPr>
          <w:color w:val="231F20"/>
          <w:w w:val="110"/>
        </w:rPr>
        <w:t>issue</w:t>
      </w:r>
      <w:r>
        <w:rPr>
          <w:color w:val="231F20"/>
          <w:spacing w:val="12"/>
          <w:w w:val="110"/>
        </w:rPr>
        <w:t> </w:t>
      </w:r>
      <w:r>
        <w:rPr>
          <w:color w:val="231F20"/>
          <w:w w:val="110"/>
        </w:rPr>
        <w:t>or</w:t>
      </w:r>
      <w:r>
        <w:rPr>
          <w:color w:val="231F20"/>
          <w:spacing w:val="12"/>
          <w:w w:val="110"/>
        </w:rPr>
        <w:t> </w:t>
      </w:r>
      <w:r>
        <w:rPr>
          <w:color w:val="231F20"/>
          <w:w w:val="110"/>
        </w:rPr>
        <w:t>seek</w:t>
      </w:r>
      <w:r>
        <w:rPr>
          <w:color w:val="231F20"/>
          <w:spacing w:val="11"/>
          <w:w w:val="110"/>
        </w:rPr>
        <w:t> </w:t>
      </w:r>
      <w:r>
        <w:rPr>
          <w:color w:val="231F20"/>
          <w:w w:val="110"/>
        </w:rPr>
        <w:t>for</w:t>
      </w:r>
      <w:r>
        <w:rPr>
          <w:color w:val="231F20"/>
          <w:spacing w:val="12"/>
          <w:w w:val="110"/>
        </w:rPr>
        <w:t> </w:t>
      </w:r>
      <w:r>
        <w:rPr>
          <w:color w:val="231F20"/>
          <w:w w:val="110"/>
        </w:rPr>
        <w:t>clarification</w:t>
      </w:r>
      <w:r>
        <w:rPr>
          <w:color w:val="231F20"/>
          <w:spacing w:val="12"/>
          <w:w w:val="110"/>
        </w:rPr>
        <w:t> </w:t>
      </w:r>
      <w:r>
        <w:rPr>
          <w:color w:val="231F20"/>
          <w:w w:val="110"/>
        </w:rPr>
        <w:t>or</w:t>
      </w:r>
      <w:r>
        <w:rPr>
          <w:color w:val="231F20"/>
          <w:spacing w:val="11"/>
          <w:w w:val="110"/>
        </w:rPr>
        <w:t> </w:t>
      </w:r>
      <w:r>
        <w:rPr>
          <w:color w:val="231F20"/>
          <w:spacing w:val="2"/>
          <w:w w:val="110"/>
        </w:rPr>
        <w:t>further</w:t>
      </w:r>
      <w:r>
        <w:rPr>
          <w:color w:val="231F20"/>
          <w:spacing w:val="12"/>
          <w:w w:val="110"/>
        </w:rPr>
        <w:t> </w:t>
      </w:r>
      <w:r>
        <w:rPr>
          <w:color w:val="231F20"/>
          <w:w w:val="110"/>
        </w:rPr>
        <w:t>information.</w:t>
      </w:r>
    </w:p>
    <w:p>
      <w:pPr>
        <w:numPr>
          <w:ilvl w:val="0"/>
          <w:numId w:val="209"/>
        </w:numPr>
        <w:tabs>
          <w:tab w:pos="1760" w:val="left" w:leader="none"/>
          <w:tab w:pos="1761" w:val="left" w:leader="none"/>
        </w:tabs>
        <w:spacing w:before="117"/>
        <w:ind w:left="1760" w:right="0" w:hanging="681"/>
        <w:jc w:val="left"/>
        <w:rPr>
          <w:sz w:val="18"/>
        </w:rPr>
      </w:pPr>
      <w:r>
        <w:rPr>
          <w:b/>
          <w:color w:val="231F20"/>
          <w:w w:val="110"/>
          <w:sz w:val="18"/>
        </w:rPr>
        <w:t>The Discussion Session</w:t>
      </w:r>
      <w:r>
        <w:rPr>
          <w:color w:val="231F20"/>
          <w:w w:val="110"/>
          <w:sz w:val="18"/>
        </w:rPr>
        <w:t>:</w:t>
      </w:r>
    </w:p>
    <w:p>
      <w:pPr>
        <w:pStyle w:val="BodyText"/>
        <w:spacing w:line="273" w:lineRule="auto" w:before="31"/>
        <w:ind w:left="1761" w:right="1844" w:hanging="1"/>
      </w:pPr>
      <w:r>
        <w:rPr>
          <w:color w:val="231F20"/>
          <w:w w:val="110"/>
        </w:rPr>
        <w:t>This is the opportunity for discussion of various viewpoints and vigorous debate on different opinions. Speakers may speak for no more than three minutes. All those present may contribute.</w:t>
      </w:r>
    </w:p>
    <w:p>
      <w:pPr>
        <w:pStyle w:val="ListParagraph"/>
        <w:numPr>
          <w:ilvl w:val="0"/>
          <w:numId w:val="209"/>
        </w:numPr>
        <w:tabs>
          <w:tab w:pos="1761" w:val="left" w:leader="none"/>
          <w:tab w:pos="1762" w:val="left" w:leader="none"/>
          <w:tab w:pos="8856" w:val="left" w:leader="none"/>
        </w:tabs>
        <w:spacing w:line="273" w:lineRule="auto" w:before="115" w:after="0"/>
        <w:ind w:left="1761" w:right="1627" w:hanging="681"/>
        <w:jc w:val="left"/>
        <w:rPr>
          <w:sz w:val="18"/>
        </w:rPr>
      </w:pPr>
      <w:r>
        <w:rPr>
          <w:color w:val="231F20"/>
          <w:w w:val="110"/>
          <w:sz w:val="18"/>
        </w:rPr>
        <w:t>The methods used may include </w:t>
      </w:r>
      <w:r>
        <w:rPr>
          <w:color w:val="231F20"/>
          <w:spacing w:val="-3"/>
          <w:w w:val="110"/>
          <w:sz w:val="18"/>
        </w:rPr>
        <w:t>prayer, </w:t>
      </w:r>
      <w:r>
        <w:rPr>
          <w:color w:val="231F20"/>
          <w:w w:val="110"/>
          <w:sz w:val="18"/>
        </w:rPr>
        <w:t>buzz groups, group discussions, </w:t>
      </w:r>
      <w:r>
        <w:rPr>
          <w:color w:val="231F20"/>
          <w:spacing w:val="2"/>
          <w:w w:val="110"/>
          <w:sz w:val="18"/>
        </w:rPr>
        <w:t>speeches</w:t>
      </w:r>
      <w:r>
        <w:rPr>
          <w:color w:val="231F20"/>
          <w:spacing w:val="9"/>
          <w:w w:val="110"/>
          <w:sz w:val="18"/>
        </w:rPr>
        <w:t> </w:t>
      </w:r>
      <w:r>
        <w:rPr>
          <w:color w:val="231F20"/>
          <w:w w:val="110"/>
          <w:sz w:val="18"/>
        </w:rPr>
        <w:t>to</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whole</w:t>
      </w:r>
      <w:r>
        <w:rPr>
          <w:color w:val="231F20"/>
          <w:spacing w:val="9"/>
          <w:w w:val="110"/>
          <w:sz w:val="18"/>
        </w:rPr>
        <w:t> </w:t>
      </w:r>
      <w:r>
        <w:rPr>
          <w:color w:val="231F20"/>
          <w:w w:val="110"/>
          <w:sz w:val="18"/>
        </w:rPr>
        <w:t>council,</w:t>
      </w:r>
      <w:r>
        <w:rPr>
          <w:color w:val="231F20"/>
          <w:spacing w:val="9"/>
          <w:w w:val="110"/>
          <w:sz w:val="18"/>
        </w:rPr>
        <w:t> </w:t>
      </w:r>
      <w:r>
        <w:rPr>
          <w:color w:val="231F20"/>
          <w:w w:val="110"/>
          <w:sz w:val="18"/>
        </w:rPr>
        <w:t>time</w:t>
      </w:r>
      <w:r>
        <w:rPr>
          <w:color w:val="231F20"/>
          <w:spacing w:val="10"/>
          <w:w w:val="110"/>
          <w:sz w:val="18"/>
        </w:rPr>
        <w:t> </w:t>
      </w:r>
      <w:r>
        <w:rPr>
          <w:color w:val="231F20"/>
          <w:w w:val="110"/>
          <w:sz w:val="18"/>
        </w:rPr>
        <w:t>for</w:t>
      </w:r>
      <w:r>
        <w:rPr>
          <w:color w:val="231F20"/>
          <w:spacing w:val="9"/>
          <w:w w:val="110"/>
          <w:sz w:val="18"/>
        </w:rPr>
        <w:t> </w:t>
      </w:r>
      <w:r>
        <w:rPr>
          <w:color w:val="231F20"/>
          <w:w w:val="110"/>
          <w:sz w:val="18"/>
        </w:rPr>
        <w:t>thinking</w:t>
      </w:r>
      <w:r>
        <w:rPr>
          <w:color w:val="231F20"/>
          <w:spacing w:val="9"/>
          <w:w w:val="110"/>
          <w:sz w:val="18"/>
        </w:rPr>
        <w:t> </w:t>
      </w:r>
      <w:r>
        <w:rPr>
          <w:color w:val="231F20"/>
          <w:w w:val="110"/>
          <w:sz w:val="18"/>
        </w:rPr>
        <w:t>during</w:t>
      </w:r>
      <w:r>
        <w:rPr>
          <w:color w:val="231F20"/>
          <w:spacing w:val="10"/>
          <w:w w:val="110"/>
          <w:sz w:val="18"/>
        </w:rPr>
        <w:t> </w:t>
      </w:r>
      <w:r>
        <w:rPr>
          <w:color w:val="231F20"/>
          <w:w w:val="110"/>
          <w:sz w:val="18"/>
        </w:rPr>
        <w:t>a</w:t>
      </w:r>
      <w:r>
        <w:rPr>
          <w:color w:val="231F20"/>
          <w:spacing w:val="9"/>
          <w:w w:val="110"/>
          <w:sz w:val="18"/>
        </w:rPr>
        <w:t> </w:t>
      </w:r>
      <w:r>
        <w:rPr>
          <w:color w:val="231F20"/>
          <w:w w:val="110"/>
          <w:sz w:val="18"/>
        </w:rPr>
        <w:t>break</w:t>
      </w:r>
      <w:r>
        <w:rPr>
          <w:color w:val="231F20"/>
          <w:spacing w:val="9"/>
          <w:w w:val="110"/>
          <w:sz w:val="18"/>
        </w:rPr>
        <w:t> </w:t>
      </w:r>
      <w:r>
        <w:rPr>
          <w:color w:val="231F20"/>
          <w:w w:val="110"/>
          <w:sz w:val="18"/>
        </w:rPr>
        <w:t>etc.</w:t>
        <w:tab/>
        <w:t>The </w:t>
      </w:r>
      <w:r>
        <w:rPr>
          <w:color w:val="231F20"/>
          <w:spacing w:val="-5"/>
          <w:w w:val="110"/>
          <w:sz w:val="18"/>
        </w:rPr>
        <w:t>use </w:t>
      </w:r>
      <w:r>
        <w:rPr>
          <w:color w:val="231F20"/>
          <w:w w:val="110"/>
          <w:sz w:val="18"/>
        </w:rPr>
        <w:t>of coloured </w:t>
      </w:r>
      <w:r>
        <w:rPr>
          <w:color w:val="231F20"/>
          <w:spacing w:val="2"/>
          <w:w w:val="110"/>
          <w:sz w:val="18"/>
        </w:rPr>
        <w:t>cards </w:t>
      </w:r>
      <w:r>
        <w:rPr>
          <w:color w:val="231F20"/>
          <w:w w:val="110"/>
          <w:sz w:val="18"/>
        </w:rPr>
        <w:t>is </w:t>
      </w:r>
      <w:r>
        <w:rPr>
          <w:color w:val="231F20"/>
          <w:spacing w:val="2"/>
          <w:w w:val="110"/>
          <w:sz w:val="18"/>
        </w:rPr>
        <w:t>very </w:t>
      </w:r>
      <w:r>
        <w:rPr>
          <w:color w:val="231F20"/>
          <w:w w:val="110"/>
          <w:sz w:val="18"/>
        </w:rPr>
        <w:t>helpful at this stage. In particular the moderator should ensure that those who have different backgrounds or who disagree or who are unsure are given space to contribute to the debate, as well as those who are</w:t>
      </w:r>
      <w:r>
        <w:rPr>
          <w:color w:val="231F20"/>
          <w:spacing w:val="2"/>
          <w:w w:val="110"/>
          <w:sz w:val="18"/>
        </w:rPr>
        <w:t> </w:t>
      </w:r>
      <w:r>
        <w:rPr>
          <w:color w:val="231F20"/>
          <w:w w:val="110"/>
          <w:sz w:val="18"/>
        </w:rPr>
        <w:t>enthusiastic.</w:t>
      </w:r>
    </w:p>
    <w:p>
      <w:pPr>
        <w:spacing w:after="0" w:line="273" w:lineRule="auto"/>
        <w:jc w:val="left"/>
        <w:rPr>
          <w:sz w:val="18"/>
        </w:rPr>
        <w:sectPr>
          <w:headerReference w:type="default" r:id="rId468"/>
          <w:headerReference w:type="even" r:id="rId469"/>
          <w:footerReference w:type="default" r:id="rId470"/>
          <w:footerReference w:type="even" r:id="rId471"/>
          <w:pgSz w:w="11910" w:h="16840"/>
          <w:pgMar w:header="557" w:footer="564" w:top="740" w:bottom="760" w:left="620" w:right="0"/>
          <w:pgNumType w:start="5"/>
        </w:sectPr>
      </w:pPr>
    </w:p>
    <w:p>
      <w:pPr>
        <w:pStyle w:val="BodyText"/>
        <w:spacing w:before="9"/>
        <w:rPr>
          <w:sz w:val="13"/>
        </w:rPr>
      </w:pPr>
    </w:p>
    <w:p>
      <w:pPr>
        <w:pStyle w:val="ListParagraph"/>
        <w:numPr>
          <w:ilvl w:val="0"/>
          <w:numId w:val="209"/>
        </w:numPr>
        <w:tabs>
          <w:tab w:pos="1194" w:val="left" w:leader="none"/>
          <w:tab w:pos="1195" w:val="left" w:leader="none"/>
        </w:tabs>
        <w:spacing w:line="240" w:lineRule="auto" w:before="101" w:after="0"/>
        <w:ind w:left="1194" w:right="0" w:hanging="682"/>
        <w:jc w:val="left"/>
        <w:rPr>
          <w:sz w:val="18"/>
        </w:rPr>
      </w:pPr>
      <w:r>
        <w:rPr>
          <w:color w:val="231F20"/>
          <w:w w:val="110"/>
          <w:sz w:val="18"/>
        </w:rPr>
        <w:t>The quality of discussion is significantly improved if the council </w:t>
      </w:r>
      <w:r>
        <w:rPr>
          <w:color w:val="231F20"/>
          <w:spacing w:val="2"/>
          <w:w w:val="110"/>
          <w:sz w:val="18"/>
        </w:rPr>
        <w:t>meets </w:t>
      </w:r>
      <w:r>
        <w:rPr>
          <w:color w:val="231F20"/>
          <w:w w:val="110"/>
          <w:sz w:val="18"/>
        </w:rPr>
        <w:t>around</w:t>
      </w:r>
      <w:r>
        <w:rPr>
          <w:color w:val="231F20"/>
          <w:spacing w:val="54"/>
          <w:w w:val="110"/>
          <w:sz w:val="18"/>
        </w:rPr>
        <w:t> </w:t>
      </w:r>
      <w:r>
        <w:rPr>
          <w:color w:val="231F20"/>
          <w:w w:val="110"/>
          <w:sz w:val="18"/>
        </w:rPr>
        <w:t>tables</w:t>
      </w:r>
    </w:p>
    <w:p>
      <w:pPr>
        <w:pStyle w:val="BodyText"/>
        <w:spacing w:before="31"/>
        <w:ind w:left="1194"/>
      </w:pPr>
      <w:r>
        <w:rPr>
          <w:color w:val="231F20"/>
          <w:w w:val="110"/>
        </w:rPr>
        <w:t>so that small group discussion can happen quickly and easily.</w:t>
      </w:r>
    </w:p>
    <w:p>
      <w:pPr>
        <w:pStyle w:val="BodyText"/>
        <w:spacing w:before="7"/>
        <w:rPr>
          <w:sz w:val="16"/>
        </w:rPr>
      </w:pPr>
    </w:p>
    <w:p>
      <w:pPr>
        <w:pStyle w:val="ListParagraph"/>
        <w:numPr>
          <w:ilvl w:val="0"/>
          <w:numId w:val="209"/>
        </w:numPr>
        <w:tabs>
          <w:tab w:pos="1194" w:val="left" w:leader="none"/>
          <w:tab w:pos="1195" w:val="left" w:leader="none"/>
        </w:tabs>
        <w:spacing w:line="240" w:lineRule="auto" w:before="0" w:after="0"/>
        <w:ind w:left="1194" w:right="0" w:hanging="681"/>
        <w:jc w:val="left"/>
        <w:rPr>
          <w:sz w:val="18"/>
        </w:rPr>
      </w:pPr>
      <w:r>
        <w:rPr>
          <w:color w:val="231F20"/>
          <w:spacing w:val="3"/>
          <w:w w:val="110"/>
          <w:sz w:val="18"/>
        </w:rPr>
        <w:t>As </w:t>
      </w:r>
      <w:r>
        <w:rPr>
          <w:color w:val="231F20"/>
          <w:w w:val="110"/>
          <w:sz w:val="18"/>
        </w:rPr>
        <w:t>the discussion session </w:t>
      </w:r>
      <w:r>
        <w:rPr>
          <w:color w:val="231F20"/>
          <w:spacing w:val="2"/>
          <w:w w:val="110"/>
          <w:sz w:val="18"/>
        </w:rPr>
        <w:t>proceeds </w:t>
      </w:r>
      <w:r>
        <w:rPr>
          <w:color w:val="231F20"/>
          <w:w w:val="110"/>
          <w:sz w:val="18"/>
        </w:rPr>
        <w:t>possible ways </w:t>
      </w:r>
      <w:r>
        <w:rPr>
          <w:color w:val="231F20"/>
          <w:spacing w:val="2"/>
          <w:w w:val="110"/>
          <w:sz w:val="18"/>
        </w:rPr>
        <w:t>forward </w:t>
      </w:r>
      <w:r>
        <w:rPr>
          <w:color w:val="231F20"/>
          <w:w w:val="110"/>
          <w:sz w:val="18"/>
        </w:rPr>
        <w:t>for the</w:t>
      </w:r>
      <w:r>
        <w:rPr>
          <w:color w:val="231F20"/>
          <w:spacing w:val="25"/>
          <w:w w:val="110"/>
          <w:sz w:val="18"/>
        </w:rPr>
        <w:t> </w:t>
      </w:r>
      <w:r>
        <w:rPr>
          <w:color w:val="231F20"/>
          <w:w w:val="110"/>
          <w:sz w:val="18"/>
        </w:rPr>
        <w:t>church</w:t>
      </w:r>
    </w:p>
    <w:p>
      <w:pPr>
        <w:pStyle w:val="BodyText"/>
        <w:spacing w:before="31"/>
        <w:ind w:left="1194"/>
      </w:pPr>
      <w:r>
        <w:rPr>
          <w:color w:val="231F20"/>
          <w:w w:val="110"/>
        </w:rPr>
        <w:t>are developed until a specific proposal is reached.</w:t>
      </w:r>
    </w:p>
    <w:p>
      <w:pPr>
        <w:pStyle w:val="BodyText"/>
        <w:spacing w:before="7"/>
        <w:rPr>
          <w:sz w:val="16"/>
        </w:rPr>
      </w:pPr>
    </w:p>
    <w:p>
      <w:pPr>
        <w:numPr>
          <w:ilvl w:val="0"/>
          <w:numId w:val="209"/>
        </w:numPr>
        <w:tabs>
          <w:tab w:pos="1193" w:val="left" w:leader="none"/>
          <w:tab w:pos="1195" w:val="left" w:leader="none"/>
        </w:tabs>
        <w:spacing w:before="0"/>
        <w:ind w:left="1194" w:right="0" w:hanging="682"/>
        <w:jc w:val="left"/>
        <w:rPr>
          <w:b/>
          <w:sz w:val="18"/>
        </w:rPr>
      </w:pPr>
      <w:r>
        <w:rPr>
          <w:b/>
          <w:color w:val="231F20"/>
          <w:w w:val="110"/>
          <w:sz w:val="18"/>
        </w:rPr>
        <w:t>The Decision Session:</w:t>
      </w:r>
    </w:p>
    <w:p>
      <w:pPr>
        <w:pStyle w:val="BodyText"/>
        <w:spacing w:line="273" w:lineRule="auto" w:before="31"/>
        <w:ind w:left="1194" w:right="1844" w:hanging="1"/>
      </w:pPr>
      <w:r>
        <w:rPr>
          <w:color w:val="231F20"/>
          <w:w w:val="110"/>
        </w:rPr>
        <w:t>Only those council members present may contribute to this session, they may speak for no more than three minutes.</w:t>
      </w:r>
    </w:p>
    <w:p>
      <w:pPr>
        <w:pStyle w:val="ListParagraph"/>
        <w:numPr>
          <w:ilvl w:val="0"/>
          <w:numId w:val="209"/>
        </w:numPr>
        <w:tabs>
          <w:tab w:pos="1193" w:val="left" w:leader="none"/>
          <w:tab w:pos="1194" w:val="left" w:leader="none"/>
        </w:tabs>
        <w:spacing w:line="273" w:lineRule="auto" w:before="171" w:after="0"/>
        <w:ind w:left="1194" w:right="1662" w:hanging="681"/>
        <w:jc w:val="left"/>
        <w:rPr>
          <w:sz w:val="18"/>
        </w:rPr>
      </w:pPr>
      <w:r>
        <w:rPr>
          <w:color w:val="231F20"/>
          <w:spacing w:val="3"/>
          <w:w w:val="110"/>
          <w:sz w:val="18"/>
        </w:rPr>
        <w:t>Discussion </w:t>
      </w:r>
      <w:r>
        <w:rPr>
          <w:color w:val="231F20"/>
          <w:spacing w:val="2"/>
          <w:w w:val="110"/>
          <w:sz w:val="18"/>
        </w:rPr>
        <w:t>continues with </w:t>
      </w:r>
      <w:r>
        <w:rPr>
          <w:color w:val="231F20"/>
          <w:spacing w:val="3"/>
          <w:w w:val="110"/>
          <w:sz w:val="18"/>
        </w:rPr>
        <w:t>speakers contributing </w:t>
      </w:r>
      <w:r>
        <w:rPr>
          <w:color w:val="231F20"/>
          <w:w w:val="110"/>
          <w:sz w:val="18"/>
        </w:rPr>
        <w:t>to </w:t>
      </w:r>
      <w:r>
        <w:rPr>
          <w:color w:val="231F20"/>
          <w:spacing w:val="2"/>
          <w:w w:val="110"/>
          <w:sz w:val="18"/>
        </w:rPr>
        <w:t>the </w:t>
      </w:r>
      <w:r>
        <w:rPr>
          <w:color w:val="231F20"/>
          <w:spacing w:val="3"/>
          <w:w w:val="110"/>
          <w:sz w:val="18"/>
        </w:rPr>
        <w:t>advantages </w:t>
      </w:r>
      <w:r>
        <w:rPr>
          <w:color w:val="231F20"/>
          <w:w w:val="110"/>
          <w:sz w:val="18"/>
        </w:rPr>
        <w:t>and </w:t>
      </w:r>
      <w:r>
        <w:rPr>
          <w:color w:val="231F20"/>
          <w:spacing w:val="3"/>
          <w:w w:val="110"/>
          <w:sz w:val="18"/>
        </w:rPr>
        <w:t>disadvantages </w:t>
      </w:r>
      <w:r>
        <w:rPr>
          <w:color w:val="231F20"/>
          <w:w w:val="110"/>
          <w:sz w:val="18"/>
        </w:rPr>
        <w:t>of </w:t>
      </w:r>
      <w:r>
        <w:rPr>
          <w:color w:val="231F20"/>
          <w:spacing w:val="2"/>
          <w:w w:val="110"/>
          <w:sz w:val="18"/>
        </w:rPr>
        <w:t>the </w:t>
      </w:r>
      <w:r>
        <w:rPr>
          <w:color w:val="231F20"/>
          <w:spacing w:val="3"/>
          <w:w w:val="110"/>
          <w:sz w:val="18"/>
        </w:rPr>
        <w:t>proposal. </w:t>
      </w:r>
      <w:r>
        <w:rPr>
          <w:color w:val="231F20"/>
          <w:w w:val="110"/>
          <w:sz w:val="18"/>
        </w:rPr>
        <w:t>At all </w:t>
      </w:r>
      <w:r>
        <w:rPr>
          <w:color w:val="231F20"/>
          <w:spacing w:val="2"/>
          <w:w w:val="110"/>
          <w:sz w:val="18"/>
        </w:rPr>
        <w:t>times, </w:t>
      </w:r>
      <w:r>
        <w:rPr>
          <w:color w:val="231F20"/>
          <w:spacing w:val="3"/>
          <w:w w:val="110"/>
          <w:sz w:val="18"/>
        </w:rPr>
        <w:t>speakers </w:t>
      </w:r>
      <w:r>
        <w:rPr>
          <w:color w:val="231F20"/>
          <w:spacing w:val="2"/>
          <w:w w:val="110"/>
          <w:sz w:val="18"/>
        </w:rPr>
        <w:t>are </w:t>
      </w:r>
      <w:r>
        <w:rPr>
          <w:color w:val="231F20"/>
          <w:spacing w:val="3"/>
          <w:w w:val="110"/>
          <w:sz w:val="18"/>
        </w:rPr>
        <w:t>encouraged </w:t>
      </w:r>
      <w:r>
        <w:rPr>
          <w:color w:val="231F20"/>
          <w:w w:val="110"/>
          <w:sz w:val="18"/>
        </w:rPr>
        <w:t>to </w:t>
      </w:r>
      <w:r>
        <w:rPr>
          <w:color w:val="231F20"/>
          <w:spacing w:val="3"/>
          <w:w w:val="110"/>
          <w:sz w:val="18"/>
        </w:rPr>
        <w:t>suggest  </w:t>
      </w:r>
      <w:r>
        <w:rPr>
          <w:color w:val="231F20"/>
          <w:w w:val="110"/>
          <w:sz w:val="18"/>
        </w:rPr>
        <w:t>a way </w:t>
      </w:r>
      <w:r>
        <w:rPr>
          <w:color w:val="231F20"/>
          <w:spacing w:val="4"/>
          <w:w w:val="110"/>
          <w:sz w:val="18"/>
        </w:rPr>
        <w:t>forward </w:t>
      </w:r>
      <w:r>
        <w:rPr>
          <w:color w:val="231F20"/>
          <w:spacing w:val="2"/>
          <w:w w:val="110"/>
          <w:sz w:val="18"/>
        </w:rPr>
        <w:t>for the council, </w:t>
      </w:r>
      <w:r>
        <w:rPr>
          <w:color w:val="231F20"/>
          <w:spacing w:val="3"/>
          <w:w w:val="110"/>
          <w:sz w:val="18"/>
        </w:rPr>
        <w:t>rather </w:t>
      </w:r>
      <w:r>
        <w:rPr>
          <w:color w:val="231F20"/>
          <w:w w:val="110"/>
          <w:sz w:val="18"/>
        </w:rPr>
        <w:t>than </w:t>
      </w:r>
      <w:r>
        <w:rPr>
          <w:color w:val="231F20"/>
          <w:spacing w:val="3"/>
          <w:w w:val="110"/>
          <w:sz w:val="18"/>
        </w:rPr>
        <w:t>merely </w:t>
      </w:r>
      <w:r>
        <w:rPr>
          <w:color w:val="231F20"/>
          <w:spacing w:val="2"/>
          <w:w w:val="110"/>
          <w:sz w:val="18"/>
        </w:rPr>
        <w:t>speaking with </w:t>
      </w:r>
      <w:r>
        <w:rPr>
          <w:color w:val="231F20"/>
          <w:spacing w:val="3"/>
          <w:w w:val="110"/>
          <w:sz w:val="18"/>
        </w:rPr>
        <w:t>passion </w:t>
      </w:r>
      <w:r>
        <w:rPr>
          <w:color w:val="231F20"/>
          <w:spacing w:val="2"/>
          <w:w w:val="110"/>
          <w:sz w:val="18"/>
        </w:rPr>
        <w:t>for </w:t>
      </w:r>
      <w:r>
        <w:rPr>
          <w:color w:val="231F20"/>
          <w:w w:val="110"/>
          <w:sz w:val="18"/>
        </w:rPr>
        <w:t>a </w:t>
      </w:r>
      <w:r>
        <w:rPr>
          <w:color w:val="231F20"/>
          <w:spacing w:val="3"/>
          <w:w w:val="110"/>
          <w:sz w:val="18"/>
        </w:rPr>
        <w:t>pre-determined </w:t>
      </w:r>
      <w:r>
        <w:rPr>
          <w:color w:val="231F20"/>
          <w:w w:val="110"/>
          <w:sz w:val="18"/>
        </w:rPr>
        <w:t>view. Minor </w:t>
      </w:r>
      <w:r>
        <w:rPr>
          <w:color w:val="231F20"/>
          <w:spacing w:val="3"/>
          <w:w w:val="110"/>
          <w:sz w:val="18"/>
        </w:rPr>
        <w:t>changes </w:t>
      </w:r>
      <w:r>
        <w:rPr>
          <w:color w:val="231F20"/>
          <w:w w:val="110"/>
          <w:sz w:val="18"/>
        </w:rPr>
        <w:t>of </w:t>
      </w:r>
      <w:r>
        <w:rPr>
          <w:color w:val="231F20"/>
          <w:spacing w:val="2"/>
          <w:w w:val="110"/>
          <w:sz w:val="18"/>
        </w:rPr>
        <w:t>wording </w:t>
      </w:r>
      <w:r>
        <w:rPr>
          <w:color w:val="231F20"/>
          <w:spacing w:val="3"/>
          <w:w w:val="110"/>
          <w:sz w:val="18"/>
        </w:rPr>
        <w:t>can </w:t>
      </w:r>
      <w:r>
        <w:rPr>
          <w:color w:val="231F20"/>
          <w:spacing w:val="2"/>
          <w:w w:val="110"/>
          <w:sz w:val="18"/>
        </w:rPr>
        <w:t>be </w:t>
      </w:r>
      <w:r>
        <w:rPr>
          <w:color w:val="231F20"/>
          <w:spacing w:val="3"/>
          <w:w w:val="110"/>
          <w:sz w:val="18"/>
        </w:rPr>
        <w:t>agreed </w:t>
      </w:r>
      <w:r>
        <w:rPr>
          <w:color w:val="231F20"/>
          <w:w w:val="110"/>
          <w:sz w:val="18"/>
        </w:rPr>
        <w:t>as </w:t>
      </w:r>
      <w:r>
        <w:rPr>
          <w:color w:val="231F20"/>
          <w:spacing w:val="2"/>
          <w:w w:val="110"/>
          <w:sz w:val="18"/>
        </w:rPr>
        <w:t>the</w:t>
      </w:r>
      <w:r>
        <w:rPr>
          <w:color w:val="231F20"/>
          <w:spacing w:val="70"/>
          <w:w w:val="110"/>
          <w:sz w:val="18"/>
        </w:rPr>
        <w:t> </w:t>
      </w:r>
      <w:r>
        <w:rPr>
          <w:color w:val="231F20"/>
          <w:spacing w:val="3"/>
          <w:w w:val="110"/>
          <w:sz w:val="18"/>
        </w:rPr>
        <w:t>discussion</w:t>
      </w:r>
    </w:p>
    <w:p>
      <w:pPr>
        <w:pStyle w:val="BodyText"/>
        <w:spacing w:line="273" w:lineRule="auto" w:before="3"/>
        <w:ind w:left="1198" w:right="1844" w:hanging="1"/>
      </w:pPr>
      <w:r>
        <w:rPr>
          <w:color w:val="231F20"/>
          <w:w w:val="110"/>
        </w:rPr>
        <w:t>proceeds. It is important to hear from those indicating disquiet or disapproval as well as those who are enthusiastic.</w:t>
      </w:r>
    </w:p>
    <w:p>
      <w:pPr>
        <w:pStyle w:val="ListParagraph"/>
        <w:numPr>
          <w:ilvl w:val="0"/>
          <w:numId w:val="209"/>
        </w:numPr>
        <w:tabs>
          <w:tab w:pos="1198" w:val="left" w:leader="none"/>
          <w:tab w:pos="1199" w:val="left" w:leader="none"/>
        </w:tabs>
        <w:spacing w:line="273" w:lineRule="auto" w:before="171" w:after="0"/>
        <w:ind w:left="1198" w:right="1754" w:hanging="681"/>
        <w:jc w:val="left"/>
        <w:rPr>
          <w:sz w:val="18"/>
        </w:rPr>
      </w:pPr>
      <w:r>
        <w:rPr>
          <w:color w:val="231F20"/>
          <w:w w:val="110"/>
          <w:sz w:val="18"/>
        </w:rPr>
        <w:t>The proposal should be displayed throughout the discussion in such a way that all can see the </w:t>
      </w:r>
      <w:r>
        <w:rPr>
          <w:color w:val="231F20"/>
          <w:spacing w:val="2"/>
          <w:w w:val="110"/>
          <w:sz w:val="18"/>
        </w:rPr>
        <w:t>text </w:t>
      </w:r>
      <w:r>
        <w:rPr>
          <w:color w:val="231F20"/>
          <w:w w:val="110"/>
          <w:sz w:val="18"/>
        </w:rPr>
        <w:t>and any progressively agreed changes to</w:t>
      </w:r>
      <w:r>
        <w:rPr>
          <w:color w:val="231F20"/>
          <w:spacing w:val="31"/>
          <w:w w:val="110"/>
          <w:sz w:val="18"/>
        </w:rPr>
        <w:t> </w:t>
      </w:r>
      <w:r>
        <w:rPr>
          <w:color w:val="231F20"/>
          <w:w w:val="110"/>
          <w:sz w:val="18"/>
        </w:rPr>
        <w:t>it.</w:t>
      </w:r>
    </w:p>
    <w:p>
      <w:pPr>
        <w:pStyle w:val="ListParagraph"/>
        <w:numPr>
          <w:ilvl w:val="0"/>
          <w:numId w:val="209"/>
        </w:numPr>
        <w:tabs>
          <w:tab w:pos="1198" w:val="left" w:leader="none"/>
          <w:tab w:pos="1199" w:val="left" w:leader="none"/>
        </w:tabs>
        <w:spacing w:line="273" w:lineRule="auto" w:before="172" w:after="0"/>
        <w:ind w:left="1198" w:right="1596" w:hanging="681"/>
        <w:jc w:val="left"/>
        <w:rPr>
          <w:sz w:val="18"/>
        </w:rPr>
      </w:pPr>
      <w:r>
        <w:rPr>
          <w:color w:val="231F20"/>
          <w:w w:val="110"/>
          <w:sz w:val="18"/>
        </w:rPr>
        <w:t>If there is a major new insight expressed, then it may be appropriate to move back into a discussion</w:t>
      </w:r>
      <w:r>
        <w:rPr>
          <w:color w:val="231F20"/>
          <w:spacing w:val="3"/>
          <w:w w:val="110"/>
          <w:sz w:val="18"/>
        </w:rPr>
        <w:t> </w:t>
      </w:r>
      <w:r>
        <w:rPr>
          <w:color w:val="231F20"/>
          <w:w w:val="110"/>
          <w:sz w:val="18"/>
        </w:rPr>
        <w:t>session.</w:t>
      </w:r>
    </w:p>
    <w:p>
      <w:pPr>
        <w:pStyle w:val="ListParagraph"/>
        <w:numPr>
          <w:ilvl w:val="0"/>
          <w:numId w:val="209"/>
        </w:numPr>
        <w:tabs>
          <w:tab w:pos="1198" w:val="left" w:leader="none"/>
          <w:tab w:pos="1199" w:val="left" w:leader="none"/>
        </w:tabs>
        <w:spacing w:line="273" w:lineRule="auto" w:before="171" w:after="0"/>
        <w:ind w:left="1198" w:right="1587" w:hanging="681"/>
        <w:jc w:val="left"/>
        <w:rPr>
          <w:sz w:val="18"/>
        </w:rPr>
      </w:pPr>
      <w:r>
        <w:rPr>
          <w:color w:val="231F20"/>
          <w:spacing w:val="2"/>
          <w:w w:val="110"/>
          <w:sz w:val="18"/>
        </w:rPr>
        <w:t>After </w:t>
      </w:r>
      <w:r>
        <w:rPr>
          <w:color w:val="231F20"/>
          <w:w w:val="110"/>
          <w:sz w:val="18"/>
        </w:rPr>
        <w:t>summing up where the assembly seems to be heading, the moderator </w:t>
      </w:r>
      <w:r>
        <w:rPr>
          <w:color w:val="231F20"/>
          <w:spacing w:val="2"/>
          <w:w w:val="110"/>
          <w:sz w:val="18"/>
        </w:rPr>
        <w:t>checks </w:t>
      </w:r>
      <w:r>
        <w:rPr>
          <w:color w:val="231F20"/>
          <w:w w:val="110"/>
          <w:sz w:val="18"/>
        </w:rPr>
        <w:t>whether the assembly is nearing consensus using one or more questions such as  the following:</w:t>
      </w:r>
    </w:p>
    <w:p>
      <w:pPr>
        <w:pStyle w:val="BodyText"/>
        <w:spacing w:before="172"/>
        <w:ind w:left="1198"/>
      </w:pPr>
      <w:r>
        <w:rPr>
          <w:color w:val="231F20"/>
          <w:w w:val="110"/>
        </w:rPr>
        <w:t>What is your response to this proposal? (inviting a show of indicator cards)</w:t>
      </w:r>
    </w:p>
    <w:p>
      <w:pPr>
        <w:pStyle w:val="BodyText"/>
        <w:spacing w:before="7"/>
        <w:rPr>
          <w:sz w:val="16"/>
        </w:rPr>
      </w:pPr>
    </w:p>
    <w:p>
      <w:pPr>
        <w:pStyle w:val="ListParagraph"/>
        <w:numPr>
          <w:ilvl w:val="1"/>
          <w:numId w:val="209"/>
        </w:numPr>
        <w:tabs>
          <w:tab w:pos="1958" w:val="left" w:leader="none"/>
          <w:tab w:pos="1959" w:val="left" w:leader="none"/>
        </w:tabs>
        <w:spacing w:line="240" w:lineRule="auto" w:before="0" w:after="0"/>
        <w:ind w:left="1958" w:right="0" w:hanging="761"/>
        <w:jc w:val="left"/>
        <w:rPr>
          <w:sz w:val="18"/>
        </w:rPr>
      </w:pPr>
      <w:r>
        <w:rPr>
          <w:color w:val="231F20"/>
          <w:w w:val="110"/>
          <w:sz w:val="18"/>
        </w:rPr>
        <w:t>Do you believe we have </w:t>
      </w:r>
      <w:r>
        <w:rPr>
          <w:b/>
          <w:color w:val="231F20"/>
          <w:spacing w:val="2"/>
          <w:w w:val="110"/>
          <w:sz w:val="18"/>
        </w:rPr>
        <w:t>consensus </w:t>
      </w:r>
      <w:r>
        <w:rPr>
          <w:color w:val="231F20"/>
          <w:w w:val="110"/>
          <w:sz w:val="18"/>
        </w:rPr>
        <w:t>in support of this</w:t>
      </w:r>
      <w:r>
        <w:rPr>
          <w:color w:val="231F20"/>
          <w:spacing w:val="17"/>
          <w:w w:val="110"/>
          <w:sz w:val="18"/>
        </w:rPr>
        <w:t> </w:t>
      </w:r>
      <w:r>
        <w:rPr>
          <w:color w:val="231F20"/>
          <w:w w:val="110"/>
          <w:sz w:val="18"/>
        </w:rPr>
        <w:t>proposal?</w:t>
      </w:r>
    </w:p>
    <w:p>
      <w:pPr>
        <w:pStyle w:val="BodyText"/>
        <w:spacing w:before="6"/>
        <w:rPr>
          <w:sz w:val="16"/>
        </w:rPr>
      </w:pPr>
    </w:p>
    <w:p>
      <w:pPr>
        <w:pStyle w:val="ListParagraph"/>
        <w:numPr>
          <w:ilvl w:val="1"/>
          <w:numId w:val="209"/>
        </w:numPr>
        <w:tabs>
          <w:tab w:pos="1954" w:val="left" w:leader="none"/>
          <w:tab w:pos="1955" w:val="left" w:leader="none"/>
        </w:tabs>
        <w:spacing w:line="240" w:lineRule="auto" w:before="0" w:after="0"/>
        <w:ind w:left="1954" w:right="0" w:hanging="761"/>
        <w:jc w:val="left"/>
        <w:rPr>
          <w:sz w:val="18"/>
        </w:rPr>
      </w:pPr>
      <w:r>
        <w:rPr>
          <w:color w:val="231F20"/>
          <w:w w:val="110"/>
          <w:sz w:val="18"/>
        </w:rPr>
        <w:t>Do you believe we have </w:t>
      </w:r>
      <w:r>
        <w:rPr>
          <w:b/>
          <w:color w:val="231F20"/>
          <w:spacing w:val="2"/>
          <w:w w:val="110"/>
          <w:sz w:val="18"/>
        </w:rPr>
        <w:t>consensus </w:t>
      </w:r>
      <w:r>
        <w:rPr>
          <w:color w:val="231F20"/>
          <w:w w:val="110"/>
          <w:sz w:val="18"/>
        </w:rPr>
        <w:t>not to support this</w:t>
      </w:r>
      <w:r>
        <w:rPr>
          <w:color w:val="231F20"/>
          <w:spacing w:val="23"/>
          <w:w w:val="110"/>
          <w:sz w:val="18"/>
        </w:rPr>
        <w:t> </w:t>
      </w:r>
      <w:r>
        <w:rPr>
          <w:color w:val="231F20"/>
          <w:w w:val="110"/>
          <w:sz w:val="18"/>
        </w:rPr>
        <w:t>proposal?</w:t>
      </w:r>
    </w:p>
    <w:p>
      <w:pPr>
        <w:pStyle w:val="BodyText"/>
        <w:spacing w:before="7"/>
        <w:rPr>
          <w:sz w:val="16"/>
        </w:rPr>
      </w:pPr>
    </w:p>
    <w:p>
      <w:pPr>
        <w:pStyle w:val="ListParagraph"/>
        <w:numPr>
          <w:ilvl w:val="1"/>
          <w:numId w:val="209"/>
        </w:numPr>
        <w:tabs>
          <w:tab w:pos="1954" w:val="left" w:leader="none"/>
          <w:tab w:pos="1955" w:val="left" w:leader="none"/>
        </w:tabs>
        <w:spacing w:line="240" w:lineRule="auto" w:before="0" w:after="0"/>
        <w:ind w:left="1954" w:right="0" w:hanging="761"/>
        <w:jc w:val="left"/>
        <w:rPr>
          <w:sz w:val="18"/>
        </w:rPr>
      </w:pPr>
      <w:r>
        <w:rPr>
          <w:color w:val="231F20"/>
          <w:w w:val="110"/>
          <w:sz w:val="18"/>
        </w:rPr>
        <w:t>If there is </w:t>
      </w:r>
      <w:r>
        <w:rPr>
          <w:color w:val="231F20"/>
          <w:spacing w:val="2"/>
          <w:w w:val="110"/>
          <w:sz w:val="18"/>
        </w:rPr>
        <w:t>strong </w:t>
      </w:r>
      <w:r>
        <w:rPr>
          <w:color w:val="231F20"/>
          <w:w w:val="110"/>
          <w:sz w:val="18"/>
        </w:rPr>
        <w:t>but not unanimous</w:t>
      </w:r>
      <w:r>
        <w:rPr>
          <w:color w:val="231F20"/>
          <w:spacing w:val="8"/>
          <w:w w:val="110"/>
          <w:sz w:val="18"/>
        </w:rPr>
        <w:t> </w:t>
      </w:r>
      <w:r>
        <w:rPr>
          <w:color w:val="231F20"/>
          <w:w w:val="110"/>
          <w:sz w:val="18"/>
        </w:rPr>
        <w:t>support:</w:t>
      </w:r>
    </w:p>
    <w:p>
      <w:pPr>
        <w:pStyle w:val="BodyText"/>
        <w:spacing w:before="7"/>
        <w:rPr>
          <w:sz w:val="16"/>
        </w:rPr>
      </w:pPr>
    </w:p>
    <w:p>
      <w:pPr>
        <w:pStyle w:val="ListParagraph"/>
        <w:numPr>
          <w:ilvl w:val="2"/>
          <w:numId w:val="209"/>
        </w:numPr>
        <w:tabs>
          <w:tab w:pos="2673" w:val="left" w:leader="none"/>
          <w:tab w:pos="2674" w:val="left" w:leader="none"/>
        </w:tabs>
        <w:spacing w:line="240" w:lineRule="auto" w:before="0" w:after="0"/>
        <w:ind w:left="2673" w:right="0" w:hanging="721"/>
        <w:jc w:val="left"/>
        <w:rPr>
          <w:sz w:val="18"/>
        </w:rPr>
      </w:pPr>
      <w:r>
        <w:rPr>
          <w:color w:val="231F20"/>
          <w:w w:val="110"/>
          <w:sz w:val="18"/>
        </w:rPr>
        <w:t>Who </w:t>
      </w:r>
      <w:r>
        <w:rPr>
          <w:color w:val="231F20"/>
          <w:spacing w:val="2"/>
          <w:w w:val="110"/>
          <w:sz w:val="18"/>
        </w:rPr>
        <w:t>supports </w:t>
      </w:r>
      <w:r>
        <w:rPr>
          <w:color w:val="231F20"/>
          <w:w w:val="110"/>
          <w:sz w:val="18"/>
        </w:rPr>
        <w:t>the</w:t>
      </w:r>
      <w:r>
        <w:rPr>
          <w:color w:val="231F20"/>
          <w:spacing w:val="1"/>
          <w:w w:val="110"/>
          <w:sz w:val="18"/>
        </w:rPr>
        <w:t> </w:t>
      </w:r>
      <w:r>
        <w:rPr>
          <w:color w:val="231F20"/>
          <w:w w:val="110"/>
          <w:sz w:val="18"/>
        </w:rPr>
        <w:t>proposal?</w:t>
      </w:r>
    </w:p>
    <w:p>
      <w:pPr>
        <w:pStyle w:val="BodyText"/>
        <w:spacing w:before="7"/>
        <w:rPr>
          <w:sz w:val="16"/>
        </w:rPr>
      </w:pPr>
    </w:p>
    <w:p>
      <w:pPr>
        <w:pStyle w:val="ListParagraph"/>
        <w:numPr>
          <w:ilvl w:val="2"/>
          <w:numId w:val="209"/>
        </w:numPr>
        <w:tabs>
          <w:tab w:pos="2673" w:val="left" w:leader="none"/>
          <w:tab w:pos="2674" w:val="left" w:leader="none"/>
          <w:tab w:pos="5101" w:val="left" w:leader="none"/>
        </w:tabs>
        <w:spacing w:line="273" w:lineRule="auto" w:before="0" w:after="0"/>
        <w:ind w:left="2673" w:right="1656" w:hanging="720"/>
        <w:jc w:val="left"/>
        <w:rPr>
          <w:sz w:val="18"/>
        </w:rPr>
      </w:pPr>
      <w:r>
        <w:rPr>
          <w:color w:val="231F20"/>
          <w:w w:val="110"/>
          <w:sz w:val="18"/>
        </w:rPr>
        <w:t>Who does not support the proposal as your first option, but is prepared to</w:t>
      </w:r>
      <w:r>
        <w:rPr>
          <w:color w:val="231F20"/>
          <w:spacing w:val="9"/>
          <w:w w:val="110"/>
          <w:sz w:val="18"/>
        </w:rPr>
        <w:t> </w:t>
      </w:r>
      <w:r>
        <w:rPr>
          <w:color w:val="231F20"/>
          <w:w w:val="110"/>
          <w:sz w:val="18"/>
        </w:rPr>
        <w:t>accept</w:t>
      </w:r>
      <w:r>
        <w:rPr>
          <w:color w:val="231F20"/>
          <w:spacing w:val="6"/>
          <w:w w:val="110"/>
          <w:sz w:val="18"/>
        </w:rPr>
        <w:t> </w:t>
      </w:r>
      <w:r>
        <w:rPr>
          <w:color w:val="231F20"/>
          <w:w w:val="110"/>
          <w:sz w:val="18"/>
        </w:rPr>
        <w:t>it?</w:t>
        <w:tab/>
      </w:r>
      <w:r>
        <w:rPr>
          <w:color w:val="231F20"/>
          <w:spacing w:val="2"/>
          <w:w w:val="110"/>
          <w:sz w:val="18"/>
        </w:rPr>
        <w:t>Are </w:t>
      </w:r>
      <w:r>
        <w:rPr>
          <w:color w:val="231F20"/>
          <w:w w:val="110"/>
          <w:sz w:val="18"/>
        </w:rPr>
        <w:t>you prepared to have the issue declared resolved by</w:t>
      </w:r>
      <w:r>
        <w:rPr>
          <w:color w:val="231F20"/>
          <w:spacing w:val="2"/>
          <w:w w:val="110"/>
          <w:sz w:val="18"/>
        </w:rPr>
        <w:t> </w:t>
      </w:r>
      <w:r>
        <w:rPr>
          <w:b/>
          <w:color w:val="231F20"/>
          <w:w w:val="110"/>
          <w:sz w:val="18"/>
        </w:rPr>
        <w:t>consensus</w:t>
      </w:r>
      <w:r>
        <w:rPr>
          <w:color w:val="231F20"/>
          <w:w w:val="110"/>
          <w:sz w:val="18"/>
        </w:rPr>
        <w:t>?</w:t>
      </w:r>
    </w:p>
    <w:p>
      <w:pPr>
        <w:pStyle w:val="ListParagraph"/>
        <w:numPr>
          <w:ilvl w:val="2"/>
          <w:numId w:val="209"/>
        </w:numPr>
        <w:tabs>
          <w:tab w:pos="2673" w:val="left" w:leader="none"/>
          <w:tab w:pos="2674" w:val="left" w:leader="none"/>
        </w:tabs>
        <w:spacing w:line="240" w:lineRule="auto" w:before="172" w:after="0"/>
        <w:ind w:left="2673" w:right="0" w:hanging="721"/>
        <w:jc w:val="left"/>
        <w:rPr>
          <w:sz w:val="18"/>
        </w:rPr>
      </w:pPr>
      <w:r>
        <w:rPr>
          <w:color w:val="231F20"/>
          <w:w w:val="110"/>
          <w:sz w:val="18"/>
        </w:rPr>
        <w:t>Who is not prepared to accept the</w:t>
      </w:r>
      <w:r>
        <w:rPr>
          <w:color w:val="231F20"/>
          <w:spacing w:val="13"/>
          <w:w w:val="110"/>
          <w:sz w:val="18"/>
        </w:rPr>
        <w:t> </w:t>
      </w:r>
      <w:r>
        <w:rPr>
          <w:color w:val="231F20"/>
          <w:w w:val="110"/>
          <w:sz w:val="18"/>
        </w:rPr>
        <w:t>proposal?</w:t>
      </w:r>
    </w:p>
    <w:p>
      <w:pPr>
        <w:pStyle w:val="BodyText"/>
        <w:spacing w:before="7"/>
        <w:rPr>
          <w:sz w:val="16"/>
        </w:rPr>
      </w:pPr>
    </w:p>
    <w:p>
      <w:pPr>
        <w:pStyle w:val="ListParagraph"/>
        <w:numPr>
          <w:ilvl w:val="3"/>
          <w:numId w:val="209"/>
        </w:numPr>
        <w:tabs>
          <w:tab w:pos="3393" w:val="left" w:leader="none"/>
          <w:tab w:pos="3395" w:val="left" w:leader="none"/>
        </w:tabs>
        <w:spacing w:line="273" w:lineRule="auto" w:before="0" w:after="0"/>
        <w:ind w:left="3393" w:right="1500" w:hanging="720"/>
        <w:jc w:val="left"/>
        <w:rPr>
          <w:sz w:val="18"/>
        </w:rPr>
      </w:pPr>
      <w:r>
        <w:rPr>
          <w:color w:val="231F20"/>
          <w:w w:val="110"/>
          <w:sz w:val="18"/>
        </w:rPr>
        <w:t>After further discussion accept that they </w:t>
      </w:r>
      <w:r>
        <w:rPr>
          <w:color w:val="231F20"/>
          <w:spacing w:val="-3"/>
          <w:w w:val="110"/>
          <w:sz w:val="18"/>
        </w:rPr>
        <w:t>have </w:t>
      </w:r>
      <w:r>
        <w:rPr>
          <w:color w:val="231F20"/>
          <w:w w:val="110"/>
          <w:sz w:val="18"/>
        </w:rPr>
        <w:t>been heard and agree to live with the outcome. Are you prepared to </w:t>
      </w:r>
      <w:r>
        <w:rPr>
          <w:color w:val="231F20"/>
          <w:spacing w:val="-3"/>
          <w:w w:val="110"/>
          <w:sz w:val="18"/>
        </w:rPr>
        <w:t>have </w:t>
      </w:r>
      <w:r>
        <w:rPr>
          <w:color w:val="231F20"/>
          <w:w w:val="110"/>
          <w:sz w:val="18"/>
        </w:rPr>
        <w:t>the issue declared resolved by </w:t>
      </w:r>
      <w:r>
        <w:rPr>
          <w:b/>
          <w:color w:val="231F20"/>
          <w:w w:val="110"/>
          <w:sz w:val="18"/>
        </w:rPr>
        <w:t>agreement</w:t>
      </w:r>
      <w:r>
        <w:rPr>
          <w:color w:val="231F20"/>
          <w:w w:val="110"/>
          <w:sz w:val="18"/>
        </w:rPr>
        <w:t>? </w:t>
      </w:r>
      <w:r>
        <w:rPr>
          <w:color w:val="231F20"/>
          <w:spacing w:val="-3"/>
          <w:w w:val="110"/>
          <w:sz w:val="18"/>
        </w:rPr>
        <w:t>If </w:t>
      </w:r>
      <w:r>
        <w:rPr>
          <w:color w:val="231F20"/>
          <w:w w:val="110"/>
          <w:sz w:val="18"/>
        </w:rPr>
        <w:t>so they </w:t>
      </w:r>
      <w:r>
        <w:rPr>
          <w:color w:val="231F20"/>
          <w:spacing w:val="-3"/>
          <w:w w:val="110"/>
          <w:sz w:val="18"/>
        </w:rPr>
        <w:t>may </w:t>
      </w:r>
      <w:r>
        <w:rPr>
          <w:color w:val="231F20"/>
          <w:w w:val="110"/>
          <w:sz w:val="18"/>
        </w:rPr>
        <w:t>choose to record their</w:t>
      </w:r>
      <w:r>
        <w:rPr>
          <w:color w:val="231F20"/>
          <w:spacing w:val="-12"/>
          <w:w w:val="110"/>
          <w:sz w:val="18"/>
        </w:rPr>
        <w:t> </w:t>
      </w:r>
      <w:r>
        <w:rPr>
          <w:color w:val="231F20"/>
          <w:w w:val="110"/>
          <w:sz w:val="18"/>
        </w:rPr>
        <w:t>dissent.</w:t>
      </w:r>
    </w:p>
    <w:p>
      <w:pPr>
        <w:pStyle w:val="ListParagraph"/>
        <w:numPr>
          <w:ilvl w:val="2"/>
          <w:numId w:val="209"/>
        </w:numPr>
        <w:tabs>
          <w:tab w:pos="2673" w:val="left" w:leader="none"/>
          <w:tab w:pos="2674" w:val="left" w:leader="none"/>
        </w:tabs>
        <w:spacing w:line="273" w:lineRule="auto" w:before="172" w:after="0"/>
        <w:ind w:left="2673" w:right="2413" w:hanging="720"/>
        <w:jc w:val="left"/>
        <w:rPr>
          <w:sz w:val="18"/>
        </w:rPr>
      </w:pPr>
      <w:r>
        <w:rPr>
          <w:color w:val="231F20"/>
          <w:w w:val="110"/>
          <w:sz w:val="18"/>
        </w:rPr>
        <w:t>Who is not prepared to accept the proposal? Look for </w:t>
      </w:r>
      <w:r>
        <w:rPr>
          <w:b/>
          <w:color w:val="231F20"/>
          <w:w w:val="110"/>
          <w:sz w:val="18"/>
        </w:rPr>
        <w:t>further possibilities</w:t>
      </w:r>
      <w:r>
        <w:rPr>
          <w:b/>
          <w:color w:val="231F20"/>
          <w:spacing w:val="-3"/>
          <w:w w:val="110"/>
          <w:sz w:val="18"/>
        </w:rPr>
        <w:t> </w:t>
      </w:r>
      <w:r>
        <w:rPr>
          <w:color w:val="231F20"/>
          <w:w w:val="110"/>
          <w:sz w:val="18"/>
        </w:rPr>
        <w:t>including:</w:t>
      </w:r>
    </w:p>
    <w:p>
      <w:pPr>
        <w:pStyle w:val="ListParagraph"/>
        <w:numPr>
          <w:ilvl w:val="0"/>
          <w:numId w:val="210"/>
        </w:numPr>
        <w:tabs>
          <w:tab w:pos="3393" w:val="left" w:leader="none"/>
          <w:tab w:pos="3394" w:val="left" w:leader="none"/>
        </w:tabs>
        <w:spacing w:line="273" w:lineRule="auto" w:before="172" w:after="0"/>
        <w:ind w:left="3393" w:right="1873" w:hanging="720"/>
        <w:jc w:val="left"/>
        <w:rPr>
          <w:sz w:val="18"/>
        </w:rPr>
      </w:pPr>
      <w:r>
        <w:rPr>
          <w:color w:val="231F20"/>
          <w:w w:val="110"/>
          <w:sz w:val="18"/>
        </w:rPr>
        <w:t>adjourning the discussion to another time or place perhaps with more work </w:t>
      </w:r>
      <w:r>
        <w:rPr>
          <w:color w:val="231F20"/>
          <w:spacing w:val="2"/>
          <w:w w:val="110"/>
          <w:sz w:val="18"/>
        </w:rPr>
        <w:t>before</w:t>
      </w:r>
      <w:r>
        <w:rPr>
          <w:color w:val="231F20"/>
          <w:spacing w:val="11"/>
          <w:w w:val="110"/>
          <w:sz w:val="18"/>
        </w:rPr>
        <w:t> </w:t>
      </w:r>
      <w:r>
        <w:rPr>
          <w:color w:val="231F20"/>
          <w:w w:val="110"/>
          <w:sz w:val="18"/>
        </w:rPr>
        <w:t>reconsideration</w:t>
      </w:r>
    </w:p>
    <w:p>
      <w:pPr>
        <w:pStyle w:val="ListParagraph"/>
        <w:numPr>
          <w:ilvl w:val="0"/>
          <w:numId w:val="210"/>
        </w:numPr>
        <w:tabs>
          <w:tab w:pos="3393" w:val="left" w:leader="none"/>
          <w:tab w:pos="3395" w:val="left" w:leader="none"/>
        </w:tabs>
        <w:spacing w:line="273" w:lineRule="auto" w:before="114" w:after="0"/>
        <w:ind w:left="3394" w:right="2185" w:hanging="720"/>
        <w:jc w:val="left"/>
        <w:rPr>
          <w:sz w:val="18"/>
        </w:rPr>
      </w:pPr>
      <w:r>
        <w:rPr>
          <w:color w:val="231F20"/>
          <w:w w:val="110"/>
          <w:sz w:val="18"/>
        </w:rPr>
        <w:t>ask the Moderator to continue to work on the issue with relevant people until the </w:t>
      </w:r>
      <w:r>
        <w:rPr>
          <w:color w:val="231F20"/>
          <w:spacing w:val="2"/>
          <w:w w:val="110"/>
          <w:sz w:val="18"/>
        </w:rPr>
        <w:t>next</w:t>
      </w:r>
      <w:r>
        <w:rPr>
          <w:color w:val="231F20"/>
          <w:spacing w:val="15"/>
          <w:w w:val="110"/>
          <w:sz w:val="18"/>
        </w:rPr>
        <w:t> </w:t>
      </w:r>
      <w:r>
        <w:rPr>
          <w:color w:val="231F20"/>
          <w:w w:val="110"/>
          <w:sz w:val="18"/>
        </w:rPr>
        <w:t>Assembly</w:t>
      </w:r>
    </w:p>
    <w:p>
      <w:pPr>
        <w:pStyle w:val="ListParagraph"/>
        <w:numPr>
          <w:ilvl w:val="0"/>
          <w:numId w:val="210"/>
        </w:numPr>
        <w:tabs>
          <w:tab w:pos="3393" w:val="left" w:leader="none"/>
          <w:tab w:pos="3394" w:val="left" w:leader="none"/>
        </w:tabs>
        <w:spacing w:line="240" w:lineRule="auto" w:before="115" w:after="0"/>
        <w:ind w:left="3393" w:right="0" w:hanging="721"/>
        <w:jc w:val="left"/>
        <w:rPr>
          <w:sz w:val="18"/>
        </w:rPr>
      </w:pPr>
      <w:r>
        <w:rPr>
          <w:color w:val="231F20"/>
          <w:w w:val="110"/>
          <w:sz w:val="18"/>
        </w:rPr>
        <w:t>refer the issue to another council or group to deal</w:t>
      </w:r>
      <w:r>
        <w:rPr>
          <w:color w:val="231F20"/>
          <w:spacing w:val="28"/>
          <w:w w:val="110"/>
          <w:sz w:val="18"/>
        </w:rPr>
        <w:t> </w:t>
      </w:r>
      <w:r>
        <w:rPr>
          <w:color w:val="231F20"/>
          <w:w w:val="110"/>
          <w:sz w:val="18"/>
        </w:rPr>
        <w:t>with</w:t>
      </w:r>
    </w:p>
    <w:p>
      <w:pPr>
        <w:pStyle w:val="ListParagraph"/>
        <w:numPr>
          <w:ilvl w:val="0"/>
          <w:numId w:val="210"/>
        </w:numPr>
        <w:tabs>
          <w:tab w:pos="3393" w:val="left" w:leader="none"/>
          <w:tab w:pos="3394" w:val="left" w:leader="none"/>
        </w:tabs>
        <w:spacing w:line="273" w:lineRule="auto" w:before="145" w:after="0"/>
        <w:ind w:left="3393" w:right="2122" w:hanging="720"/>
        <w:jc w:val="left"/>
        <w:rPr>
          <w:sz w:val="18"/>
        </w:rPr>
      </w:pPr>
      <w:r>
        <w:rPr>
          <w:color w:val="231F20"/>
          <w:w w:val="110"/>
          <w:sz w:val="18"/>
        </w:rPr>
        <w:t>decide the issue is unnecessary/inappropriate to continue dealing</w:t>
      </w:r>
      <w:r>
        <w:rPr>
          <w:color w:val="231F20"/>
          <w:spacing w:val="-5"/>
          <w:w w:val="110"/>
          <w:sz w:val="18"/>
        </w:rPr>
        <w:t> </w:t>
      </w:r>
      <w:r>
        <w:rPr>
          <w:color w:val="231F20"/>
          <w:w w:val="110"/>
          <w:sz w:val="18"/>
        </w:rPr>
        <w:t>with</w:t>
      </w:r>
    </w:p>
    <w:p>
      <w:pPr>
        <w:pStyle w:val="ListParagraph"/>
        <w:numPr>
          <w:ilvl w:val="0"/>
          <w:numId w:val="210"/>
        </w:numPr>
        <w:tabs>
          <w:tab w:pos="3393" w:val="left" w:leader="none"/>
          <w:tab w:pos="3394" w:val="left" w:leader="none"/>
        </w:tabs>
        <w:spacing w:line="273" w:lineRule="auto" w:before="114" w:after="0"/>
        <w:ind w:left="3393" w:right="1987" w:hanging="720"/>
        <w:jc w:val="left"/>
        <w:rPr>
          <w:sz w:val="18"/>
        </w:rPr>
      </w:pPr>
      <w:r>
        <w:rPr>
          <w:color w:val="231F20"/>
          <w:w w:val="110"/>
          <w:sz w:val="18"/>
        </w:rPr>
        <w:t>declare that there are diverse views which Christians may hold with equal</w:t>
      </w:r>
      <w:r>
        <w:rPr>
          <w:color w:val="231F20"/>
          <w:spacing w:val="3"/>
          <w:w w:val="110"/>
          <w:sz w:val="18"/>
        </w:rPr>
        <w:t> </w:t>
      </w:r>
      <w:r>
        <w:rPr>
          <w:color w:val="231F20"/>
          <w:w w:val="110"/>
          <w:sz w:val="18"/>
        </w:rPr>
        <w:t>integrity.</w:t>
      </w:r>
    </w:p>
    <w:p>
      <w:pPr>
        <w:pStyle w:val="ListParagraph"/>
        <w:numPr>
          <w:ilvl w:val="2"/>
          <w:numId w:val="209"/>
        </w:numPr>
        <w:tabs>
          <w:tab w:pos="2673" w:val="left" w:leader="none"/>
          <w:tab w:pos="2674" w:val="left" w:leader="none"/>
        </w:tabs>
        <w:spacing w:line="240" w:lineRule="auto" w:before="115" w:after="0"/>
        <w:ind w:left="2673" w:right="0" w:hanging="721"/>
        <w:jc w:val="left"/>
        <w:rPr>
          <w:sz w:val="18"/>
        </w:rPr>
      </w:pPr>
      <w:r>
        <w:rPr>
          <w:color w:val="231F20"/>
          <w:w w:val="110"/>
          <w:sz w:val="18"/>
        </w:rPr>
        <w:t>Only if the issue is urgent move to </w:t>
      </w:r>
      <w:r>
        <w:rPr>
          <w:b/>
          <w:color w:val="231F20"/>
          <w:w w:val="110"/>
          <w:sz w:val="18"/>
        </w:rPr>
        <w:t>majority</w:t>
      </w:r>
      <w:r>
        <w:rPr>
          <w:b/>
          <w:color w:val="231F20"/>
          <w:spacing w:val="20"/>
          <w:w w:val="110"/>
          <w:sz w:val="18"/>
        </w:rPr>
        <w:t> </w:t>
      </w:r>
      <w:r>
        <w:rPr>
          <w:b/>
          <w:color w:val="231F20"/>
          <w:w w:val="110"/>
          <w:sz w:val="18"/>
        </w:rPr>
        <w:t>decision</w:t>
      </w:r>
      <w:r>
        <w:rPr>
          <w:color w:val="231F20"/>
          <w:w w:val="110"/>
          <w:sz w:val="18"/>
        </w:rPr>
        <w:t>.</w:t>
      </w:r>
    </w:p>
    <w:p>
      <w:pPr>
        <w:spacing w:after="0" w:line="240" w:lineRule="auto"/>
        <w:jc w:val="left"/>
        <w:rPr>
          <w:sz w:val="18"/>
        </w:rPr>
        <w:sectPr>
          <w:pgSz w:w="11910" w:h="16840"/>
          <w:pgMar w:header="558" w:footer="564" w:top="820" w:bottom="760" w:left="620" w:right="0"/>
        </w:sectPr>
      </w:pPr>
    </w:p>
    <w:p>
      <w:pPr>
        <w:pStyle w:val="BodyText"/>
        <w:spacing w:before="5"/>
        <w:rPr>
          <w:sz w:val="12"/>
        </w:rPr>
      </w:pPr>
    </w:p>
    <w:p>
      <w:pPr>
        <w:pStyle w:val="Heading9"/>
        <w:spacing w:before="98"/>
        <w:ind w:left="1080"/>
      </w:pPr>
      <w:r>
        <w:rPr>
          <w:color w:val="231F20"/>
          <w:w w:val="110"/>
        </w:rPr>
        <w:t>The Moderator</w:t>
      </w:r>
    </w:p>
    <w:p>
      <w:pPr>
        <w:pStyle w:val="BodyText"/>
        <w:spacing w:line="273" w:lineRule="auto" w:before="168"/>
        <w:ind w:left="1080" w:right="5442"/>
      </w:pPr>
      <w:r>
        <w:rPr>
          <w:color w:val="231F20"/>
          <w:w w:val="110"/>
        </w:rPr>
        <w:t>The role of the moderator is very important. The Moderator:</w:t>
      </w:r>
    </w:p>
    <w:p>
      <w:pPr>
        <w:pStyle w:val="ListParagraph"/>
        <w:numPr>
          <w:ilvl w:val="0"/>
          <w:numId w:val="211"/>
        </w:numPr>
        <w:tabs>
          <w:tab w:pos="1761" w:val="left" w:leader="none"/>
          <w:tab w:pos="1762" w:val="left" w:leader="none"/>
        </w:tabs>
        <w:spacing w:line="248" w:lineRule="exact" w:before="0" w:after="0"/>
        <w:ind w:left="1761" w:right="0" w:hanging="682"/>
        <w:jc w:val="left"/>
        <w:rPr>
          <w:sz w:val="18"/>
        </w:rPr>
      </w:pPr>
      <w:r>
        <w:rPr>
          <w:color w:val="231F20"/>
          <w:spacing w:val="2"/>
          <w:w w:val="110"/>
          <w:sz w:val="18"/>
        </w:rPr>
        <w:t>assists</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assembly</w:t>
      </w:r>
      <w:r>
        <w:rPr>
          <w:color w:val="231F20"/>
          <w:spacing w:val="10"/>
          <w:w w:val="110"/>
          <w:sz w:val="18"/>
        </w:rPr>
        <w:t> </w:t>
      </w:r>
      <w:r>
        <w:rPr>
          <w:color w:val="231F20"/>
          <w:w w:val="110"/>
          <w:sz w:val="18"/>
        </w:rPr>
        <w:t>to</w:t>
      </w:r>
      <w:r>
        <w:rPr>
          <w:color w:val="231F20"/>
          <w:spacing w:val="9"/>
          <w:w w:val="110"/>
          <w:sz w:val="18"/>
        </w:rPr>
        <w:t> </w:t>
      </w:r>
      <w:r>
        <w:rPr>
          <w:color w:val="231F20"/>
          <w:w w:val="110"/>
          <w:sz w:val="18"/>
        </w:rPr>
        <w:t>discern</w:t>
      </w:r>
      <w:r>
        <w:rPr>
          <w:color w:val="231F20"/>
          <w:spacing w:val="10"/>
          <w:w w:val="110"/>
          <w:sz w:val="18"/>
        </w:rPr>
        <w:t> </w:t>
      </w:r>
      <w:r>
        <w:rPr>
          <w:color w:val="231F20"/>
          <w:w w:val="110"/>
          <w:sz w:val="18"/>
        </w:rPr>
        <w:t>the</w:t>
      </w:r>
      <w:r>
        <w:rPr>
          <w:color w:val="231F20"/>
          <w:spacing w:val="10"/>
          <w:w w:val="110"/>
          <w:sz w:val="18"/>
        </w:rPr>
        <w:t> </w:t>
      </w:r>
      <w:r>
        <w:rPr>
          <w:color w:val="231F20"/>
          <w:w w:val="110"/>
          <w:sz w:val="18"/>
        </w:rPr>
        <w:t>will</w:t>
      </w:r>
      <w:r>
        <w:rPr>
          <w:color w:val="231F20"/>
          <w:spacing w:val="9"/>
          <w:w w:val="110"/>
          <w:sz w:val="18"/>
        </w:rPr>
        <w:t> </w:t>
      </w:r>
      <w:r>
        <w:rPr>
          <w:color w:val="231F20"/>
          <w:w w:val="110"/>
          <w:sz w:val="18"/>
        </w:rPr>
        <w:t>of</w:t>
      </w:r>
      <w:r>
        <w:rPr>
          <w:color w:val="231F20"/>
          <w:spacing w:val="10"/>
          <w:w w:val="110"/>
          <w:sz w:val="18"/>
        </w:rPr>
        <w:t> </w:t>
      </w:r>
      <w:r>
        <w:rPr>
          <w:color w:val="231F20"/>
          <w:w w:val="110"/>
          <w:sz w:val="18"/>
        </w:rPr>
        <w:t>God</w:t>
      </w:r>
      <w:r>
        <w:rPr>
          <w:color w:val="231F20"/>
          <w:spacing w:val="10"/>
          <w:w w:val="110"/>
          <w:sz w:val="18"/>
        </w:rPr>
        <w:t> </w:t>
      </w:r>
      <w:r>
        <w:rPr>
          <w:color w:val="231F20"/>
          <w:w w:val="110"/>
          <w:sz w:val="18"/>
        </w:rPr>
        <w:t>as</w:t>
      </w:r>
      <w:r>
        <w:rPr>
          <w:color w:val="231F20"/>
          <w:spacing w:val="10"/>
          <w:w w:val="110"/>
          <w:sz w:val="18"/>
        </w:rPr>
        <w:t> </w:t>
      </w:r>
      <w:r>
        <w:rPr>
          <w:color w:val="231F20"/>
          <w:w w:val="110"/>
          <w:sz w:val="18"/>
        </w:rPr>
        <w:t>far</w:t>
      </w:r>
      <w:r>
        <w:rPr>
          <w:color w:val="231F20"/>
          <w:spacing w:val="9"/>
          <w:w w:val="110"/>
          <w:sz w:val="18"/>
        </w:rPr>
        <w:t> </w:t>
      </w:r>
      <w:r>
        <w:rPr>
          <w:color w:val="231F20"/>
          <w:w w:val="110"/>
          <w:sz w:val="18"/>
        </w:rPr>
        <w:t>as</w:t>
      </w:r>
      <w:r>
        <w:rPr>
          <w:color w:val="231F20"/>
          <w:spacing w:val="10"/>
          <w:w w:val="110"/>
          <w:sz w:val="18"/>
        </w:rPr>
        <w:t> </w:t>
      </w:r>
      <w:r>
        <w:rPr>
          <w:color w:val="231F20"/>
          <w:w w:val="110"/>
          <w:sz w:val="18"/>
        </w:rPr>
        <w:t>possible</w:t>
      </w:r>
    </w:p>
    <w:p>
      <w:pPr>
        <w:pStyle w:val="ListParagraph"/>
        <w:numPr>
          <w:ilvl w:val="0"/>
          <w:numId w:val="211"/>
        </w:numPr>
        <w:tabs>
          <w:tab w:pos="1761" w:val="left" w:leader="none"/>
          <w:tab w:pos="1762" w:val="left" w:leader="none"/>
        </w:tabs>
        <w:spacing w:line="250" w:lineRule="exact" w:before="0" w:after="0"/>
        <w:ind w:left="1761" w:right="0" w:hanging="682"/>
        <w:jc w:val="left"/>
        <w:rPr>
          <w:sz w:val="18"/>
        </w:rPr>
      </w:pPr>
      <w:r>
        <w:rPr>
          <w:color w:val="231F20"/>
          <w:w w:val="110"/>
          <w:sz w:val="18"/>
        </w:rPr>
        <w:t>is</w:t>
      </w:r>
      <w:r>
        <w:rPr>
          <w:color w:val="231F20"/>
          <w:spacing w:val="9"/>
          <w:w w:val="110"/>
          <w:sz w:val="18"/>
        </w:rPr>
        <w:t> </w:t>
      </w:r>
      <w:r>
        <w:rPr>
          <w:color w:val="231F20"/>
          <w:spacing w:val="2"/>
          <w:w w:val="110"/>
          <w:sz w:val="18"/>
        </w:rPr>
        <w:t>alert</w:t>
      </w:r>
      <w:r>
        <w:rPr>
          <w:color w:val="231F20"/>
          <w:spacing w:val="9"/>
          <w:w w:val="110"/>
          <w:sz w:val="18"/>
        </w:rPr>
        <w:t> </w:t>
      </w:r>
      <w:r>
        <w:rPr>
          <w:color w:val="231F20"/>
          <w:w w:val="110"/>
          <w:sz w:val="18"/>
        </w:rPr>
        <w:t>to</w:t>
      </w:r>
      <w:r>
        <w:rPr>
          <w:color w:val="231F20"/>
          <w:spacing w:val="10"/>
          <w:w w:val="110"/>
          <w:sz w:val="18"/>
        </w:rPr>
        <w:t> </w:t>
      </w:r>
      <w:r>
        <w:rPr>
          <w:color w:val="231F20"/>
          <w:w w:val="110"/>
          <w:sz w:val="18"/>
        </w:rPr>
        <w:t>the</w:t>
      </w:r>
      <w:r>
        <w:rPr>
          <w:color w:val="231F20"/>
          <w:spacing w:val="9"/>
          <w:w w:val="110"/>
          <w:sz w:val="18"/>
        </w:rPr>
        <w:t> </w:t>
      </w:r>
      <w:r>
        <w:rPr>
          <w:color w:val="231F20"/>
          <w:w w:val="110"/>
          <w:sz w:val="18"/>
        </w:rPr>
        <w:t>guidance</w:t>
      </w:r>
      <w:r>
        <w:rPr>
          <w:color w:val="231F20"/>
          <w:spacing w:val="10"/>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Holy</w:t>
      </w:r>
      <w:r>
        <w:rPr>
          <w:color w:val="231F20"/>
          <w:spacing w:val="9"/>
          <w:w w:val="110"/>
          <w:sz w:val="18"/>
        </w:rPr>
        <w:t> </w:t>
      </w:r>
      <w:r>
        <w:rPr>
          <w:color w:val="231F20"/>
          <w:w w:val="110"/>
          <w:sz w:val="18"/>
        </w:rPr>
        <w:t>Spirit</w:t>
      </w:r>
      <w:r>
        <w:rPr>
          <w:color w:val="231F20"/>
          <w:spacing w:val="9"/>
          <w:w w:val="110"/>
          <w:sz w:val="18"/>
        </w:rPr>
        <w:t> </w:t>
      </w:r>
      <w:r>
        <w:rPr>
          <w:color w:val="231F20"/>
          <w:w w:val="110"/>
          <w:sz w:val="18"/>
        </w:rPr>
        <w:t>as</w:t>
      </w:r>
      <w:r>
        <w:rPr>
          <w:color w:val="231F20"/>
          <w:spacing w:val="10"/>
          <w:w w:val="110"/>
          <w:sz w:val="18"/>
        </w:rPr>
        <w:t> </w:t>
      </w:r>
      <w:r>
        <w:rPr>
          <w:color w:val="231F20"/>
          <w:spacing w:val="2"/>
          <w:w w:val="110"/>
          <w:sz w:val="18"/>
        </w:rPr>
        <w:t>members</w:t>
      </w:r>
      <w:r>
        <w:rPr>
          <w:color w:val="231F20"/>
          <w:spacing w:val="9"/>
          <w:w w:val="110"/>
          <w:sz w:val="18"/>
        </w:rPr>
        <w:t> </w:t>
      </w:r>
      <w:r>
        <w:rPr>
          <w:color w:val="231F20"/>
          <w:w w:val="110"/>
          <w:sz w:val="18"/>
        </w:rPr>
        <w:t>contribute</w:t>
      </w:r>
    </w:p>
    <w:p>
      <w:pPr>
        <w:pStyle w:val="ListParagraph"/>
        <w:numPr>
          <w:ilvl w:val="0"/>
          <w:numId w:val="211"/>
        </w:numPr>
        <w:tabs>
          <w:tab w:pos="1761" w:val="left" w:leader="none"/>
          <w:tab w:pos="1762" w:val="left" w:leader="none"/>
        </w:tabs>
        <w:spacing w:line="250" w:lineRule="exact" w:before="0" w:after="0"/>
        <w:ind w:left="1761" w:right="0" w:hanging="682"/>
        <w:jc w:val="left"/>
        <w:rPr>
          <w:sz w:val="18"/>
        </w:rPr>
      </w:pPr>
      <w:r>
        <w:rPr>
          <w:color w:val="231F20"/>
          <w:w w:val="110"/>
          <w:sz w:val="18"/>
        </w:rPr>
        <w:t>pauses for prayer or buzz group </w:t>
      </w:r>
      <w:r>
        <w:rPr>
          <w:color w:val="231F20"/>
          <w:spacing w:val="2"/>
          <w:w w:val="110"/>
          <w:sz w:val="18"/>
        </w:rPr>
        <w:t>reflection </w:t>
      </w:r>
      <w:r>
        <w:rPr>
          <w:color w:val="231F20"/>
          <w:w w:val="110"/>
          <w:sz w:val="18"/>
        </w:rPr>
        <w:t>as</w:t>
      </w:r>
      <w:r>
        <w:rPr>
          <w:color w:val="231F20"/>
          <w:spacing w:val="14"/>
          <w:w w:val="110"/>
          <w:sz w:val="18"/>
        </w:rPr>
        <w:t> </w:t>
      </w:r>
      <w:r>
        <w:rPr>
          <w:color w:val="231F20"/>
          <w:w w:val="110"/>
          <w:sz w:val="18"/>
        </w:rPr>
        <w:t>appropriate</w:t>
      </w:r>
    </w:p>
    <w:p>
      <w:pPr>
        <w:pStyle w:val="ListParagraph"/>
        <w:numPr>
          <w:ilvl w:val="0"/>
          <w:numId w:val="211"/>
        </w:numPr>
        <w:tabs>
          <w:tab w:pos="1761" w:val="left" w:leader="none"/>
          <w:tab w:pos="1762" w:val="left" w:leader="none"/>
        </w:tabs>
        <w:spacing w:line="250" w:lineRule="exact" w:before="0" w:after="0"/>
        <w:ind w:left="1761" w:right="0" w:hanging="682"/>
        <w:jc w:val="left"/>
        <w:rPr>
          <w:sz w:val="18"/>
        </w:rPr>
      </w:pPr>
      <w:r>
        <w:rPr>
          <w:color w:val="231F20"/>
          <w:w w:val="110"/>
          <w:sz w:val="18"/>
        </w:rPr>
        <w:t>encourages trust and integrity in</w:t>
      </w:r>
      <w:r>
        <w:rPr>
          <w:color w:val="231F20"/>
          <w:spacing w:val="10"/>
          <w:w w:val="110"/>
          <w:sz w:val="18"/>
        </w:rPr>
        <w:t> </w:t>
      </w:r>
      <w:r>
        <w:rPr>
          <w:color w:val="231F20"/>
          <w:w w:val="110"/>
          <w:sz w:val="18"/>
        </w:rPr>
        <w:t>contributions</w:t>
      </w:r>
    </w:p>
    <w:p>
      <w:pPr>
        <w:pStyle w:val="ListParagraph"/>
        <w:numPr>
          <w:ilvl w:val="0"/>
          <w:numId w:val="211"/>
        </w:numPr>
        <w:tabs>
          <w:tab w:pos="1761" w:val="left" w:leader="none"/>
          <w:tab w:pos="1762" w:val="left" w:leader="none"/>
        </w:tabs>
        <w:spacing w:line="218" w:lineRule="auto" w:before="0" w:after="0"/>
        <w:ind w:left="1761" w:right="1820" w:hanging="681"/>
        <w:jc w:val="left"/>
        <w:rPr>
          <w:sz w:val="18"/>
        </w:rPr>
      </w:pPr>
      <w:r>
        <w:rPr>
          <w:color w:val="231F20"/>
          <w:w w:val="110"/>
          <w:sz w:val="18"/>
        </w:rPr>
        <w:t>ensures </w:t>
      </w:r>
      <w:r>
        <w:rPr>
          <w:color w:val="231F20"/>
          <w:spacing w:val="2"/>
          <w:w w:val="110"/>
          <w:sz w:val="18"/>
        </w:rPr>
        <w:t>care </w:t>
      </w:r>
      <w:r>
        <w:rPr>
          <w:color w:val="231F20"/>
          <w:w w:val="110"/>
          <w:sz w:val="18"/>
        </w:rPr>
        <w:t>and support for those whose </w:t>
      </w:r>
      <w:r>
        <w:rPr>
          <w:color w:val="231F20"/>
          <w:spacing w:val="2"/>
          <w:w w:val="110"/>
          <w:sz w:val="18"/>
        </w:rPr>
        <w:t>honesty </w:t>
      </w:r>
      <w:r>
        <w:rPr>
          <w:color w:val="231F20"/>
          <w:w w:val="110"/>
          <w:sz w:val="18"/>
        </w:rPr>
        <w:t>or minority voice makes them vulnerable</w:t>
      </w:r>
    </w:p>
    <w:p>
      <w:pPr>
        <w:pStyle w:val="ListParagraph"/>
        <w:numPr>
          <w:ilvl w:val="0"/>
          <w:numId w:val="211"/>
        </w:numPr>
        <w:tabs>
          <w:tab w:pos="1761" w:val="left" w:leader="none"/>
          <w:tab w:pos="1762" w:val="left" w:leader="none"/>
        </w:tabs>
        <w:spacing w:line="292" w:lineRule="exact" w:before="0" w:after="0"/>
        <w:ind w:left="1761" w:right="0" w:hanging="682"/>
        <w:jc w:val="left"/>
        <w:rPr>
          <w:sz w:val="18"/>
        </w:rPr>
      </w:pPr>
      <w:r>
        <w:rPr>
          <w:color w:val="231F20"/>
          <w:w w:val="110"/>
          <w:sz w:val="18"/>
        </w:rPr>
        <w:t>invites </w:t>
      </w:r>
      <w:r>
        <w:rPr>
          <w:color w:val="231F20"/>
          <w:spacing w:val="2"/>
          <w:w w:val="110"/>
          <w:sz w:val="18"/>
        </w:rPr>
        <w:t>members </w:t>
      </w:r>
      <w:r>
        <w:rPr>
          <w:color w:val="231F20"/>
          <w:w w:val="110"/>
          <w:sz w:val="18"/>
        </w:rPr>
        <w:t>to respond to </w:t>
      </w:r>
      <w:r>
        <w:rPr>
          <w:color w:val="231F20"/>
          <w:spacing w:val="2"/>
          <w:w w:val="110"/>
          <w:sz w:val="18"/>
        </w:rPr>
        <w:t>speeches </w:t>
      </w:r>
      <w:r>
        <w:rPr>
          <w:color w:val="231F20"/>
          <w:w w:val="110"/>
          <w:sz w:val="18"/>
        </w:rPr>
        <w:t>showing indicator</w:t>
      </w:r>
      <w:r>
        <w:rPr>
          <w:color w:val="231F20"/>
          <w:spacing w:val="18"/>
          <w:w w:val="110"/>
          <w:sz w:val="18"/>
        </w:rPr>
        <w:t> </w:t>
      </w:r>
      <w:r>
        <w:rPr>
          <w:color w:val="231F20"/>
          <w:w w:val="110"/>
          <w:sz w:val="18"/>
        </w:rPr>
        <w:t>cards,</w:t>
      </w:r>
    </w:p>
    <w:p>
      <w:pPr>
        <w:pStyle w:val="BodyText"/>
        <w:spacing w:line="207" w:lineRule="exact"/>
        <w:ind w:left="1761"/>
      </w:pPr>
      <w:r>
        <w:rPr>
          <w:color w:val="231F20"/>
          <w:w w:val="110"/>
        </w:rPr>
        <w:t>and reflects the mood of the meeting as it becomes apparent</w:t>
      </w:r>
    </w:p>
    <w:p>
      <w:pPr>
        <w:pStyle w:val="ListParagraph"/>
        <w:numPr>
          <w:ilvl w:val="0"/>
          <w:numId w:val="211"/>
        </w:numPr>
        <w:tabs>
          <w:tab w:pos="1761" w:val="left" w:leader="none"/>
          <w:tab w:pos="1762" w:val="left" w:leader="none"/>
        </w:tabs>
        <w:spacing w:line="292" w:lineRule="exact" w:before="0" w:after="0"/>
        <w:ind w:left="1761" w:right="0" w:hanging="682"/>
        <w:jc w:val="left"/>
        <w:rPr>
          <w:sz w:val="18"/>
        </w:rPr>
      </w:pPr>
      <w:r>
        <w:rPr>
          <w:color w:val="231F20"/>
          <w:w w:val="110"/>
          <w:sz w:val="18"/>
        </w:rPr>
        <w:t>suggests or encourages creative modifications of a proposal,</w:t>
      </w:r>
      <w:r>
        <w:rPr>
          <w:color w:val="231F20"/>
          <w:spacing w:val="30"/>
          <w:w w:val="110"/>
          <w:sz w:val="18"/>
        </w:rPr>
        <w:t> </w:t>
      </w:r>
      <w:r>
        <w:rPr>
          <w:color w:val="231F20"/>
          <w:w w:val="110"/>
          <w:sz w:val="18"/>
        </w:rPr>
        <w:t>picking</w:t>
      </w:r>
    </w:p>
    <w:p>
      <w:pPr>
        <w:pStyle w:val="BodyText"/>
        <w:spacing w:line="207" w:lineRule="exact"/>
        <w:ind w:left="1761"/>
      </w:pPr>
      <w:r>
        <w:rPr>
          <w:color w:val="231F20"/>
          <w:w w:val="110"/>
        </w:rPr>
        <w:t>up insights expressed</w:t>
      </w:r>
    </w:p>
    <w:p>
      <w:pPr>
        <w:pStyle w:val="ListParagraph"/>
        <w:numPr>
          <w:ilvl w:val="0"/>
          <w:numId w:val="211"/>
        </w:numPr>
        <w:tabs>
          <w:tab w:pos="1761" w:val="left" w:leader="none"/>
          <w:tab w:pos="1762" w:val="left" w:leader="none"/>
        </w:tabs>
        <w:spacing w:line="240" w:lineRule="auto" w:before="0" w:after="0"/>
        <w:ind w:left="1761" w:right="0" w:hanging="682"/>
        <w:jc w:val="left"/>
        <w:rPr>
          <w:sz w:val="18"/>
        </w:rPr>
      </w:pPr>
      <w:r>
        <w:rPr>
          <w:color w:val="231F20"/>
          <w:w w:val="110"/>
          <w:sz w:val="18"/>
        </w:rPr>
        <w:t>summarises discussion </w:t>
      </w:r>
      <w:r>
        <w:rPr>
          <w:color w:val="231F20"/>
          <w:spacing w:val="2"/>
          <w:w w:val="110"/>
          <w:sz w:val="18"/>
        </w:rPr>
        <w:t>from </w:t>
      </w:r>
      <w:r>
        <w:rPr>
          <w:color w:val="231F20"/>
          <w:w w:val="110"/>
          <w:sz w:val="18"/>
        </w:rPr>
        <w:t>time to time to assist in focusing the</w:t>
      </w:r>
      <w:r>
        <w:rPr>
          <w:color w:val="231F20"/>
          <w:spacing w:val="49"/>
          <w:w w:val="110"/>
          <w:sz w:val="18"/>
        </w:rPr>
        <w:t> </w:t>
      </w:r>
      <w:r>
        <w:rPr>
          <w:color w:val="231F20"/>
          <w:w w:val="110"/>
          <w:sz w:val="18"/>
        </w:rPr>
        <w:t>discussion.</w:t>
      </w:r>
    </w:p>
    <w:p>
      <w:pPr>
        <w:pStyle w:val="BodyText"/>
        <w:tabs>
          <w:tab w:pos="8344" w:val="left" w:leader="none"/>
        </w:tabs>
        <w:spacing w:line="273" w:lineRule="auto" w:before="226"/>
        <w:ind w:left="1080" w:right="1808"/>
      </w:pPr>
      <w:r>
        <w:rPr>
          <w:color w:val="231F20"/>
          <w:w w:val="110"/>
        </w:rPr>
        <w:t>The</w:t>
      </w:r>
      <w:r>
        <w:rPr>
          <w:color w:val="231F20"/>
          <w:spacing w:val="11"/>
          <w:w w:val="110"/>
        </w:rPr>
        <w:t> </w:t>
      </w:r>
      <w:r>
        <w:rPr>
          <w:color w:val="231F20"/>
          <w:w w:val="110"/>
        </w:rPr>
        <w:t>Council</w:t>
      </w:r>
      <w:r>
        <w:rPr>
          <w:color w:val="231F20"/>
          <w:spacing w:val="11"/>
          <w:w w:val="110"/>
        </w:rPr>
        <w:t> </w:t>
      </w:r>
      <w:r>
        <w:rPr>
          <w:color w:val="231F20"/>
          <w:w w:val="110"/>
        </w:rPr>
        <w:t>and</w:t>
      </w:r>
      <w:r>
        <w:rPr>
          <w:color w:val="231F20"/>
          <w:spacing w:val="11"/>
          <w:w w:val="110"/>
        </w:rPr>
        <w:t> </w:t>
      </w:r>
      <w:r>
        <w:rPr>
          <w:color w:val="231F20"/>
          <w:w w:val="110"/>
        </w:rPr>
        <w:t>Moderator</w:t>
      </w:r>
      <w:r>
        <w:rPr>
          <w:color w:val="231F20"/>
          <w:spacing w:val="11"/>
          <w:w w:val="110"/>
        </w:rPr>
        <w:t> </w:t>
      </w:r>
      <w:r>
        <w:rPr>
          <w:color w:val="231F20"/>
          <w:w w:val="110"/>
        </w:rPr>
        <w:t>may</w:t>
      </w:r>
      <w:r>
        <w:rPr>
          <w:color w:val="231F20"/>
          <w:spacing w:val="11"/>
          <w:w w:val="110"/>
        </w:rPr>
        <w:t> </w:t>
      </w:r>
      <w:r>
        <w:rPr>
          <w:color w:val="231F20"/>
          <w:w w:val="110"/>
        </w:rPr>
        <w:t>be</w:t>
      </w:r>
      <w:r>
        <w:rPr>
          <w:color w:val="231F20"/>
          <w:spacing w:val="12"/>
          <w:w w:val="110"/>
        </w:rPr>
        <w:t> </w:t>
      </w:r>
      <w:r>
        <w:rPr>
          <w:color w:val="231F20"/>
          <w:w w:val="110"/>
        </w:rPr>
        <w:t>assisted</w:t>
      </w:r>
      <w:r>
        <w:rPr>
          <w:color w:val="231F20"/>
          <w:spacing w:val="11"/>
          <w:w w:val="110"/>
        </w:rPr>
        <w:t> </w:t>
      </w:r>
      <w:r>
        <w:rPr>
          <w:color w:val="231F20"/>
          <w:w w:val="110"/>
        </w:rPr>
        <w:t>by</w:t>
      </w:r>
      <w:r>
        <w:rPr>
          <w:color w:val="231F20"/>
          <w:spacing w:val="11"/>
          <w:w w:val="110"/>
        </w:rPr>
        <w:t> </w:t>
      </w:r>
      <w:r>
        <w:rPr>
          <w:color w:val="231F20"/>
          <w:w w:val="110"/>
        </w:rPr>
        <w:t>a</w:t>
      </w:r>
      <w:r>
        <w:rPr>
          <w:color w:val="231F20"/>
          <w:spacing w:val="11"/>
          <w:w w:val="110"/>
        </w:rPr>
        <w:t> </w:t>
      </w:r>
      <w:r>
        <w:rPr>
          <w:b/>
          <w:color w:val="231F20"/>
          <w:w w:val="110"/>
        </w:rPr>
        <w:t>facilitation</w:t>
      </w:r>
      <w:r>
        <w:rPr>
          <w:b/>
          <w:color w:val="231F20"/>
          <w:spacing w:val="10"/>
          <w:w w:val="110"/>
        </w:rPr>
        <w:t> </w:t>
      </w:r>
      <w:r>
        <w:rPr>
          <w:b/>
          <w:color w:val="231F20"/>
          <w:w w:val="110"/>
        </w:rPr>
        <w:t>group.</w:t>
        <w:tab/>
      </w:r>
      <w:r>
        <w:rPr>
          <w:color w:val="231F20"/>
          <w:w w:val="110"/>
        </w:rPr>
        <w:t>This will </w:t>
      </w:r>
      <w:r>
        <w:rPr>
          <w:color w:val="231F20"/>
          <w:spacing w:val="-6"/>
          <w:w w:val="110"/>
        </w:rPr>
        <w:t>be </w:t>
      </w:r>
      <w:r>
        <w:rPr>
          <w:color w:val="231F20"/>
          <w:w w:val="110"/>
        </w:rPr>
        <w:t>appointed at the beginning of each Assembly by the Assembly. It</w:t>
      </w:r>
      <w:r>
        <w:rPr>
          <w:color w:val="231F20"/>
          <w:spacing w:val="45"/>
          <w:w w:val="110"/>
        </w:rPr>
        <w:t> </w:t>
      </w:r>
      <w:r>
        <w:rPr>
          <w:color w:val="231F20"/>
          <w:w w:val="110"/>
        </w:rPr>
        <w:t>will:</w:t>
      </w:r>
    </w:p>
    <w:p>
      <w:pPr>
        <w:pStyle w:val="ListParagraph"/>
        <w:numPr>
          <w:ilvl w:val="0"/>
          <w:numId w:val="211"/>
        </w:numPr>
        <w:tabs>
          <w:tab w:pos="1761" w:val="left" w:leader="none"/>
          <w:tab w:pos="1762" w:val="left" w:leader="none"/>
        </w:tabs>
        <w:spacing w:line="248" w:lineRule="exact" w:before="0" w:after="0"/>
        <w:ind w:left="1761" w:right="0" w:hanging="682"/>
        <w:jc w:val="left"/>
        <w:rPr>
          <w:sz w:val="18"/>
        </w:rPr>
      </w:pPr>
      <w:r>
        <w:rPr>
          <w:color w:val="231F20"/>
          <w:w w:val="110"/>
          <w:sz w:val="18"/>
        </w:rPr>
        <w:t>enable group work, collate </w:t>
      </w:r>
      <w:r>
        <w:rPr>
          <w:color w:val="231F20"/>
          <w:spacing w:val="2"/>
          <w:w w:val="110"/>
          <w:sz w:val="18"/>
        </w:rPr>
        <w:t>responses from </w:t>
      </w:r>
      <w:r>
        <w:rPr>
          <w:color w:val="231F20"/>
          <w:w w:val="110"/>
          <w:sz w:val="18"/>
        </w:rPr>
        <w:t>groups and </w:t>
      </w:r>
      <w:r>
        <w:rPr>
          <w:color w:val="231F20"/>
          <w:spacing w:val="3"/>
          <w:w w:val="110"/>
          <w:sz w:val="18"/>
        </w:rPr>
        <w:t>report </w:t>
      </w:r>
      <w:r>
        <w:rPr>
          <w:color w:val="231F20"/>
          <w:w w:val="110"/>
          <w:sz w:val="18"/>
        </w:rPr>
        <w:t>back to the</w:t>
      </w:r>
      <w:r>
        <w:rPr>
          <w:color w:val="231F20"/>
          <w:spacing w:val="47"/>
          <w:w w:val="110"/>
          <w:sz w:val="18"/>
        </w:rPr>
        <w:t> </w:t>
      </w:r>
      <w:r>
        <w:rPr>
          <w:color w:val="231F20"/>
          <w:w w:val="110"/>
          <w:sz w:val="18"/>
        </w:rPr>
        <w:t>council</w:t>
      </w:r>
    </w:p>
    <w:p>
      <w:pPr>
        <w:pStyle w:val="ListParagraph"/>
        <w:numPr>
          <w:ilvl w:val="0"/>
          <w:numId w:val="211"/>
        </w:numPr>
        <w:tabs>
          <w:tab w:pos="1761" w:val="left" w:leader="none"/>
          <w:tab w:pos="1762" w:val="left" w:leader="none"/>
        </w:tabs>
        <w:spacing w:line="250" w:lineRule="exact" w:before="0" w:after="0"/>
        <w:ind w:left="1761" w:right="0" w:hanging="682"/>
        <w:jc w:val="left"/>
        <w:rPr>
          <w:sz w:val="18"/>
        </w:rPr>
      </w:pPr>
      <w:r>
        <w:rPr>
          <w:color w:val="231F20"/>
          <w:w w:val="110"/>
          <w:sz w:val="18"/>
        </w:rPr>
        <w:t>help and support the</w:t>
      </w:r>
      <w:r>
        <w:rPr>
          <w:color w:val="231F20"/>
          <w:spacing w:val="5"/>
          <w:w w:val="110"/>
          <w:sz w:val="18"/>
        </w:rPr>
        <w:t> </w:t>
      </w:r>
      <w:r>
        <w:rPr>
          <w:color w:val="231F20"/>
          <w:w w:val="110"/>
          <w:sz w:val="18"/>
        </w:rPr>
        <w:t>Moderator</w:t>
      </w:r>
    </w:p>
    <w:p>
      <w:pPr>
        <w:pStyle w:val="ListParagraph"/>
        <w:numPr>
          <w:ilvl w:val="0"/>
          <w:numId w:val="211"/>
        </w:numPr>
        <w:tabs>
          <w:tab w:pos="1761" w:val="left" w:leader="none"/>
          <w:tab w:pos="1762" w:val="left" w:leader="none"/>
        </w:tabs>
        <w:spacing w:line="277" w:lineRule="exact" w:before="0" w:after="0"/>
        <w:ind w:left="1761" w:right="0" w:hanging="682"/>
        <w:jc w:val="left"/>
        <w:rPr>
          <w:sz w:val="18"/>
        </w:rPr>
      </w:pPr>
      <w:r>
        <w:rPr>
          <w:color w:val="231F20"/>
          <w:w w:val="110"/>
          <w:sz w:val="18"/>
        </w:rPr>
        <w:t>be responsible for the display of the </w:t>
      </w:r>
      <w:r>
        <w:rPr>
          <w:color w:val="231F20"/>
          <w:spacing w:val="2"/>
          <w:w w:val="110"/>
          <w:sz w:val="18"/>
        </w:rPr>
        <w:t>text </w:t>
      </w:r>
      <w:r>
        <w:rPr>
          <w:color w:val="231F20"/>
          <w:w w:val="110"/>
          <w:sz w:val="18"/>
        </w:rPr>
        <w:t>under</w:t>
      </w:r>
      <w:r>
        <w:rPr>
          <w:color w:val="231F20"/>
          <w:spacing w:val="19"/>
          <w:w w:val="110"/>
          <w:sz w:val="18"/>
        </w:rPr>
        <w:t> </w:t>
      </w:r>
      <w:r>
        <w:rPr>
          <w:color w:val="231F20"/>
          <w:w w:val="110"/>
          <w:sz w:val="18"/>
        </w:rPr>
        <w:t>discussion.</w:t>
      </w:r>
    </w:p>
    <w:p>
      <w:pPr>
        <w:pStyle w:val="Heading9"/>
        <w:spacing w:before="226"/>
        <w:ind w:left="1080"/>
      </w:pPr>
      <w:r>
        <w:rPr>
          <w:color w:val="231F20"/>
          <w:w w:val="110"/>
        </w:rPr>
        <w:t>Coloured Cards</w:t>
      </w:r>
    </w:p>
    <w:p>
      <w:pPr>
        <w:pStyle w:val="BodyText"/>
        <w:spacing w:before="168"/>
        <w:ind w:left="1080"/>
      </w:pPr>
      <w:r>
        <w:rPr>
          <w:color w:val="231F20"/>
          <w:w w:val="110"/>
        </w:rPr>
        <w:t>Coloured </w:t>
      </w:r>
      <w:r>
        <w:rPr>
          <w:color w:val="231F20"/>
          <w:spacing w:val="2"/>
          <w:w w:val="110"/>
        </w:rPr>
        <w:t>cards </w:t>
      </w:r>
      <w:r>
        <w:rPr>
          <w:color w:val="231F20"/>
          <w:w w:val="110"/>
        </w:rPr>
        <w:t>are not essential in consensus decision making – but they are</w:t>
      </w:r>
      <w:r>
        <w:rPr>
          <w:color w:val="231F20"/>
          <w:spacing w:val="61"/>
          <w:w w:val="110"/>
        </w:rPr>
        <w:t> </w:t>
      </w:r>
      <w:r>
        <w:rPr>
          <w:color w:val="231F20"/>
          <w:w w:val="110"/>
        </w:rPr>
        <w:t>helpful.</w:t>
      </w:r>
    </w:p>
    <w:p>
      <w:pPr>
        <w:pStyle w:val="BodyText"/>
        <w:spacing w:before="1"/>
        <w:rPr>
          <w:sz w:val="23"/>
        </w:rPr>
      </w:pPr>
    </w:p>
    <w:p>
      <w:pPr>
        <w:pStyle w:val="BodyText"/>
        <w:spacing w:before="1"/>
        <w:ind w:left="1080"/>
      </w:pPr>
      <w:r>
        <w:rPr>
          <w:color w:val="231F20"/>
          <w:w w:val="110"/>
        </w:rPr>
        <w:t>Each member is given two cards:</w:t>
      </w:r>
    </w:p>
    <w:p>
      <w:pPr>
        <w:pStyle w:val="ListParagraph"/>
        <w:numPr>
          <w:ilvl w:val="0"/>
          <w:numId w:val="212"/>
        </w:numPr>
        <w:tabs>
          <w:tab w:pos="1760" w:val="left" w:leader="none"/>
          <w:tab w:pos="1761" w:val="left" w:leader="none"/>
        </w:tabs>
        <w:spacing w:line="273" w:lineRule="auto" w:before="31" w:after="0"/>
        <w:ind w:left="1761" w:right="2086" w:hanging="681"/>
        <w:jc w:val="left"/>
        <w:rPr>
          <w:sz w:val="18"/>
        </w:rPr>
      </w:pPr>
      <w:r>
        <w:rPr>
          <w:color w:val="231F20"/>
          <w:w w:val="110"/>
          <w:sz w:val="18"/>
        </w:rPr>
        <w:t>Orange – held at the end of a </w:t>
      </w:r>
      <w:r>
        <w:rPr>
          <w:color w:val="231F20"/>
          <w:spacing w:val="2"/>
          <w:w w:val="110"/>
          <w:sz w:val="18"/>
        </w:rPr>
        <w:t>speech </w:t>
      </w:r>
      <w:r>
        <w:rPr>
          <w:color w:val="231F20"/>
          <w:w w:val="110"/>
          <w:sz w:val="18"/>
        </w:rPr>
        <w:t>and so that the Moderator can see, indicates warmth towards a point of view, or approval of a</w:t>
      </w:r>
      <w:r>
        <w:rPr>
          <w:color w:val="231F20"/>
          <w:spacing w:val="63"/>
          <w:w w:val="110"/>
          <w:sz w:val="18"/>
        </w:rPr>
        <w:t> </w:t>
      </w:r>
      <w:r>
        <w:rPr>
          <w:color w:val="231F20"/>
          <w:w w:val="110"/>
          <w:sz w:val="18"/>
        </w:rPr>
        <w:t>proposal.</w:t>
      </w:r>
    </w:p>
    <w:p>
      <w:pPr>
        <w:pStyle w:val="ListParagraph"/>
        <w:numPr>
          <w:ilvl w:val="0"/>
          <w:numId w:val="212"/>
        </w:numPr>
        <w:tabs>
          <w:tab w:pos="1761" w:val="left" w:leader="none"/>
          <w:tab w:pos="1762" w:val="left" w:leader="none"/>
        </w:tabs>
        <w:spacing w:line="273" w:lineRule="auto" w:before="1" w:after="0"/>
        <w:ind w:left="1761" w:right="1415" w:hanging="681"/>
        <w:jc w:val="left"/>
        <w:rPr>
          <w:sz w:val="18"/>
        </w:rPr>
      </w:pPr>
      <w:r>
        <w:rPr>
          <w:color w:val="231F20"/>
          <w:w w:val="110"/>
          <w:sz w:val="18"/>
        </w:rPr>
        <w:t>Blue – held at the end of a </w:t>
      </w:r>
      <w:r>
        <w:rPr>
          <w:color w:val="231F20"/>
          <w:spacing w:val="2"/>
          <w:w w:val="110"/>
          <w:sz w:val="18"/>
        </w:rPr>
        <w:t>speech </w:t>
      </w:r>
      <w:r>
        <w:rPr>
          <w:color w:val="231F20"/>
          <w:w w:val="110"/>
          <w:sz w:val="18"/>
        </w:rPr>
        <w:t>and so that the Moderator can see, indicates coolness about what has been heard or disapproval of a</w:t>
      </w:r>
      <w:r>
        <w:rPr>
          <w:color w:val="231F20"/>
          <w:spacing w:val="44"/>
          <w:w w:val="110"/>
          <w:sz w:val="18"/>
        </w:rPr>
        <w:t> </w:t>
      </w:r>
      <w:r>
        <w:rPr>
          <w:color w:val="231F20"/>
          <w:w w:val="110"/>
          <w:sz w:val="18"/>
        </w:rPr>
        <w:t>proposal.</w:t>
      </w:r>
    </w:p>
    <w:p>
      <w:pPr>
        <w:pStyle w:val="ListParagraph"/>
        <w:numPr>
          <w:ilvl w:val="0"/>
          <w:numId w:val="212"/>
        </w:numPr>
        <w:tabs>
          <w:tab w:pos="1761" w:val="left" w:leader="none"/>
          <w:tab w:pos="1762" w:val="left" w:leader="none"/>
        </w:tabs>
        <w:spacing w:line="273" w:lineRule="auto" w:before="1" w:after="0"/>
        <w:ind w:left="1761" w:right="1639" w:hanging="681"/>
        <w:jc w:val="left"/>
        <w:rPr>
          <w:sz w:val="18"/>
        </w:rPr>
      </w:pPr>
      <w:r>
        <w:rPr>
          <w:color w:val="231F20"/>
          <w:w w:val="110"/>
          <w:sz w:val="18"/>
        </w:rPr>
        <w:t>Cards held </w:t>
      </w:r>
      <w:r>
        <w:rPr>
          <w:color w:val="231F20"/>
          <w:spacing w:val="2"/>
          <w:w w:val="110"/>
          <w:sz w:val="18"/>
        </w:rPr>
        <w:t>crossed </w:t>
      </w:r>
      <w:r>
        <w:rPr>
          <w:color w:val="231F20"/>
          <w:w w:val="110"/>
          <w:sz w:val="18"/>
        </w:rPr>
        <w:t>indicate to the Moderator it’s time to move on to the </w:t>
      </w:r>
      <w:r>
        <w:rPr>
          <w:color w:val="231F20"/>
          <w:spacing w:val="2"/>
          <w:w w:val="110"/>
          <w:sz w:val="18"/>
        </w:rPr>
        <w:t>next </w:t>
      </w:r>
      <w:r>
        <w:rPr>
          <w:color w:val="231F20"/>
          <w:w w:val="110"/>
          <w:sz w:val="18"/>
        </w:rPr>
        <w:t>subject.</w:t>
      </w:r>
    </w:p>
    <w:p>
      <w:pPr>
        <w:pStyle w:val="BodyText"/>
        <w:spacing w:before="8"/>
        <w:rPr>
          <w:sz w:val="20"/>
        </w:rPr>
      </w:pPr>
    </w:p>
    <w:p>
      <w:pPr>
        <w:pStyle w:val="BodyText"/>
        <w:tabs>
          <w:tab w:pos="8050" w:val="left" w:leader="none"/>
        </w:tabs>
        <w:spacing w:line="273" w:lineRule="auto" w:before="1"/>
        <w:ind w:left="1080" w:right="1583"/>
      </w:pPr>
      <w:r>
        <w:rPr>
          <w:color w:val="231F20"/>
          <w:w w:val="110"/>
        </w:rPr>
        <w:t>Cards should be shown when the Moderator asks for them and so that the Moderator can see them.  They indicate </w:t>
      </w:r>
      <w:r>
        <w:rPr>
          <w:color w:val="231F20"/>
          <w:spacing w:val="2"/>
          <w:w w:val="110"/>
        </w:rPr>
        <w:t>response </w:t>
      </w:r>
      <w:r>
        <w:rPr>
          <w:color w:val="231F20"/>
          <w:w w:val="110"/>
        </w:rPr>
        <w:t>to what has just </w:t>
      </w:r>
      <w:r>
        <w:rPr>
          <w:color w:val="231F20"/>
          <w:spacing w:val="13"/>
          <w:w w:val="110"/>
        </w:rPr>
        <w:t> </w:t>
      </w:r>
      <w:r>
        <w:rPr>
          <w:color w:val="231F20"/>
          <w:w w:val="110"/>
        </w:rPr>
        <w:t>been</w:t>
      </w:r>
      <w:r>
        <w:rPr>
          <w:color w:val="231F20"/>
          <w:spacing w:val="8"/>
          <w:w w:val="110"/>
        </w:rPr>
        <w:t> </w:t>
      </w:r>
      <w:r>
        <w:rPr>
          <w:color w:val="231F20"/>
          <w:w w:val="110"/>
        </w:rPr>
        <w:t>said.</w:t>
        <w:tab/>
        <w:t>They help the Moderator to gauge the strength of feeling for various ideas, and to invite </w:t>
      </w:r>
      <w:r>
        <w:rPr>
          <w:color w:val="231F20"/>
          <w:spacing w:val="2"/>
          <w:w w:val="110"/>
        </w:rPr>
        <w:t>speeches from </w:t>
      </w:r>
      <w:r>
        <w:rPr>
          <w:color w:val="231F20"/>
          <w:w w:val="110"/>
        </w:rPr>
        <w:t>those who are unsure or cool towards the</w:t>
      </w:r>
      <w:r>
        <w:rPr>
          <w:color w:val="231F20"/>
          <w:spacing w:val="21"/>
          <w:w w:val="110"/>
        </w:rPr>
        <w:t> </w:t>
      </w:r>
      <w:r>
        <w:rPr>
          <w:color w:val="231F20"/>
          <w:w w:val="110"/>
        </w:rPr>
        <w:t>proposal.</w:t>
      </w:r>
    </w:p>
    <w:p>
      <w:pPr>
        <w:pStyle w:val="BodyText"/>
        <w:spacing w:before="8"/>
        <w:rPr>
          <w:sz w:val="20"/>
        </w:rPr>
      </w:pPr>
    </w:p>
    <w:p>
      <w:pPr>
        <w:pStyle w:val="Heading9"/>
        <w:ind w:left="1080"/>
      </w:pPr>
      <w:r>
        <w:rPr>
          <w:color w:val="231F20"/>
          <w:w w:val="110"/>
        </w:rPr>
        <w:t>Changes of Order</w:t>
      </w:r>
    </w:p>
    <w:p>
      <w:pPr>
        <w:pStyle w:val="BodyText"/>
        <w:tabs>
          <w:tab w:pos="5268" w:val="left" w:leader="none"/>
        </w:tabs>
        <w:spacing w:line="273" w:lineRule="auto" w:before="168"/>
        <w:ind w:left="1080" w:right="1262"/>
      </w:pPr>
      <w:r>
        <w:rPr>
          <w:color w:val="231F20"/>
          <w:w w:val="110"/>
        </w:rPr>
        <w:t>Changes of order may be raised by any member of Assembly at any time during the meeting and must refer to the proceedings of the council. The Moderator asks the member to state their change</w:t>
      </w:r>
      <w:r>
        <w:rPr>
          <w:color w:val="231F20"/>
          <w:spacing w:val="40"/>
          <w:w w:val="110"/>
        </w:rPr>
        <w:t> </w:t>
      </w:r>
      <w:r>
        <w:rPr>
          <w:color w:val="231F20"/>
          <w:w w:val="110"/>
        </w:rPr>
        <w:t>of</w:t>
      </w:r>
      <w:r>
        <w:rPr>
          <w:color w:val="231F20"/>
          <w:spacing w:val="8"/>
          <w:w w:val="110"/>
        </w:rPr>
        <w:t> </w:t>
      </w:r>
      <w:r>
        <w:rPr>
          <w:color w:val="231F20"/>
          <w:w w:val="110"/>
        </w:rPr>
        <w:t>order.</w:t>
        <w:tab/>
        <w:t>The Moderator rules on it immediately, or asks for a decision by the Assembly via a simple majority</w:t>
      </w:r>
      <w:r>
        <w:rPr>
          <w:color w:val="231F20"/>
          <w:spacing w:val="24"/>
          <w:w w:val="110"/>
        </w:rPr>
        <w:t> </w:t>
      </w:r>
      <w:r>
        <w:rPr>
          <w:color w:val="231F20"/>
          <w:w w:val="110"/>
        </w:rPr>
        <w:t>vote.</w:t>
      </w:r>
    </w:p>
    <w:p>
      <w:pPr>
        <w:pStyle w:val="BodyText"/>
        <w:spacing w:before="10"/>
        <w:rPr>
          <w:sz w:val="20"/>
        </w:rPr>
      </w:pPr>
    </w:p>
    <w:p>
      <w:pPr>
        <w:pStyle w:val="BodyText"/>
        <w:ind w:left="1080"/>
      </w:pPr>
      <w:r>
        <w:rPr>
          <w:color w:val="231F20"/>
          <w:w w:val="110"/>
        </w:rPr>
        <w:t>Changes of order include:</w:t>
      </w:r>
    </w:p>
    <w:p>
      <w:pPr>
        <w:pStyle w:val="ListParagraph"/>
        <w:numPr>
          <w:ilvl w:val="0"/>
          <w:numId w:val="213"/>
        </w:numPr>
        <w:tabs>
          <w:tab w:pos="1760" w:val="left" w:leader="none"/>
          <w:tab w:pos="1761" w:val="left" w:leader="none"/>
        </w:tabs>
        <w:spacing w:line="240" w:lineRule="auto" w:before="31" w:after="0"/>
        <w:ind w:left="1760" w:right="0" w:hanging="681"/>
        <w:jc w:val="left"/>
        <w:rPr>
          <w:sz w:val="18"/>
        </w:rPr>
      </w:pPr>
      <w:r>
        <w:rPr>
          <w:color w:val="231F20"/>
          <w:w w:val="110"/>
          <w:sz w:val="18"/>
        </w:rPr>
        <w:t>Out of order – the speaker is digressing </w:t>
      </w:r>
      <w:r>
        <w:rPr>
          <w:color w:val="231F20"/>
          <w:spacing w:val="2"/>
          <w:w w:val="110"/>
          <w:sz w:val="18"/>
        </w:rPr>
        <w:t>from </w:t>
      </w:r>
      <w:r>
        <w:rPr>
          <w:color w:val="231F20"/>
          <w:w w:val="110"/>
          <w:sz w:val="18"/>
        </w:rPr>
        <w:t>the matter being</w:t>
      </w:r>
      <w:r>
        <w:rPr>
          <w:color w:val="231F20"/>
          <w:spacing w:val="43"/>
          <w:w w:val="110"/>
          <w:sz w:val="18"/>
        </w:rPr>
        <w:t> </w:t>
      </w:r>
      <w:r>
        <w:rPr>
          <w:color w:val="231F20"/>
          <w:w w:val="110"/>
          <w:sz w:val="18"/>
        </w:rPr>
        <w:t>discussed.</w:t>
      </w:r>
    </w:p>
    <w:p>
      <w:pPr>
        <w:pStyle w:val="ListParagraph"/>
        <w:numPr>
          <w:ilvl w:val="0"/>
          <w:numId w:val="213"/>
        </w:numPr>
        <w:tabs>
          <w:tab w:pos="1761" w:val="left" w:leader="none"/>
          <w:tab w:pos="1762" w:val="left" w:leader="none"/>
          <w:tab w:pos="2754" w:val="left" w:leader="none"/>
          <w:tab w:pos="4325" w:val="left" w:leader="none"/>
          <w:tab w:pos="5068" w:val="left" w:leader="none"/>
          <w:tab w:pos="7894" w:val="left" w:leader="none"/>
        </w:tabs>
        <w:spacing w:line="273" w:lineRule="auto" w:before="31" w:after="0"/>
        <w:ind w:left="1761" w:right="1184" w:hanging="681"/>
        <w:jc w:val="left"/>
        <w:rPr>
          <w:sz w:val="18"/>
        </w:rPr>
      </w:pPr>
      <w:r>
        <w:rPr>
          <w:color w:val="231F20"/>
          <w:w w:val="110"/>
          <w:sz w:val="18"/>
        </w:rPr>
        <w:t>Closed session – that the matter in hand is sensitive and should be conducted in private.</w:t>
        <w:tab/>
        <w:t>This is voted on immediately</w:t>
      </w:r>
      <w:r>
        <w:rPr>
          <w:color w:val="231F20"/>
          <w:spacing w:val="62"/>
          <w:w w:val="110"/>
          <w:sz w:val="18"/>
        </w:rPr>
        <w:t> </w:t>
      </w:r>
      <w:r>
        <w:rPr>
          <w:color w:val="231F20"/>
          <w:w w:val="110"/>
          <w:sz w:val="18"/>
        </w:rPr>
        <w:t>without</w:t>
      </w:r>
      <w:r>
        <w:rPr>
          <w:color w:val="231F20"/>
          <w:spacing w:val="13"/>
          <w:w w:val="110"/>
          <w:sz w:val="18"/>
        </w:rPr>
        <w:t> </w:t>
      </w:r>
      <w:r>
        <w:rPr>
          <w:color w:val="231F20"/>
          <w:w w:val="110"/>
          <w:sz w:val="18"/>
        </w:rPr>
        <w:t>discussion.</w:t>
        <w:tab/>
        <w:t>It can be raised more than once during</w:t>
      </w:r>
      <w:r>
        <w:rPr>
          <w:color w:val="231F20"/>
          <w:spacing w:val="37"/>
          <w:w w:val="110"/>
          <w:sz w:val="18"/>
        </w:rPr>
        <w:t> </w:t>
      </w:r>
      <w:r>
        <w:rPr>
          <w:color w:val="231F20"/>
          <w:w w:val="110"/>
          <w:sz w:val="18"/>
        </w:rPr>
        <w:t>a</w:t>
      </w:r>
      <w:r>
        <w:rPr>
          <w:color w:val="231F20"/>
          <w:spacing w:val="13"/>
          <w:w w:val="110"/>
          <w:sz w:val="18"/>
        </w:rPr>
        <w:t> </w:t>
      </w:r>
      <w:r>
        <w:rPr>
          <w:color w:val="231F20"/>
          <w:w w:val="110"/>
          <w:sz w:val="18"/>
        </w:rPr>
        <w:t>discussion.</w:t>
        <w:tab/>
        <w:t>If it is agreed, all those who are not </w:t>
      </w:r>
      <w:r>
        <w:rPr>
          <w:color w:val="231F20"/>
          <w:spacing w:val="2"/>
          <w:w w:val="110"/>
          <w:sz w:val="18"/>
        </w:rPr>
        <w:t>members </w:t>
      </w:r>
      <w:r>
        <w:rPr>
          <w:color w:val="231F20"/>
          <w:w w:val="110"/>
          <w:sz w:val="18"/>
        </w:rPr>
        <w:t>of the council</w:t>
      </w:r>
      <w:r>
        <w:rPr>
          <w:color w:val="231F20"/>
          <w:spacing w:val="21"/>
          <w:w w:val="110"/>
          <w:sz w:val="18"/>
        </w:rPr>
        <w:t> </w:t>
      </w:r>
      <w:r>
        <w:rPr>
          <w:color w:val="231F20"/>
          <w:w w:val="110"/>
          <w:sz w:val="18"/>
        </w:rPr>
        <w:t>must</w:t>
      </w:r>
      <w:r>
        <w:rPr>
          <w:color w:val="231F20"/>
          <w:spacing w:val="11"/>
          <w:w w:val="110"/>
          <w:sz w:val="18"/>
        </w:rPr>
        <w:t> </w:t>
      </w:r>
      <w:r>
        <w:rPr>
          <w:color w:val="231F20"/>
          <w:w w:val="110"/>
          <w:sz w:val="18"/>
        </w:rPr>
        <w:t>leave.</w:t>
        <w:tab/>
      </w:r>
      <w:r>
        <w:rPr>
          <w:color w:val="231F20"/>
          <w:spacing w:val="2"/>
          <w:w w:val="110"/>
          <w:sz w:val="18"/>
        </w:rPr>
        <w:t>Members </w:t>
      </w:r>
      <w:r>
        <w:rPr>
          <w:color w:val="231F20"/>
          <w:w w:val="110"/>
          <w:sz w:val="18"/>
        </w:rPr>
        <w:t>must treat the subsequent discussion in the </w:t>
      </w:r>
      <w:r>
        <w:rPr>
          <w:color w:val="231F20"/>
          <w:spacing w:val="2"/>
          <w:w w:val="110"/>
          <w:sz w:val="18"/>
        </w:rPr>
        <w:t>strictest</w:t>
      </w:r>
      <w:r>
        <w:rPr>
          <w:color w:val="231F20"/>
          <w:spacing w:val="12"/>
          <w:w w:val="110"/>
          <w:sz w:val="18"/>
        </w:rPr>
        <w:t> </w:t>
      </w:r>
      <w:r>
        <w:rPr>
          <w:color w:val="231F20"/>
          <w:w w:val="110"/>
          <w:sz w:val="18"/>
        </w:rPr>
        <w:t>confidence</w:t>
      </w:r>
      <w:r>
        <w:rPr>
          <w:color w:val="231F20"/>
          <w:spacing w:val="12"/>
          <w:w w:val="110"/>
          <w:sz w:val="18"/>
        </w:rPr>
        <w:t> </w:t>
      </w:r>
      <w:r>
        <w:rPr>
          <w:color w:val="231F20"/>
          <w:w w:val="110"/>
          <w:sz w:val="18"/>
        </w:rPr>
        <w:t>and</w:t>
      </w:r>
      <w:r>
        <w:rPr>
          <w:color w:val="231F20"/>
          <w:spacing w:val="13"/>
          <w:w w:val="110"/>
          <w:sz w:val="18"/>
        </w:rPr>
        <w:t> </w:t>
      </w:r>
      <w:r>
        <w:rPr>
          <w:color w:val="231F20"/>
          <w:w w:val="110"/>
          <w:sz w:val="18"/>
        </w:rPr>
        <w:t>must</w:t>
      </w:r>
      <w:r>
        <w:rPr>
          <w:color w:val="231F20"/>
          <w:spacing w:val="12"/>
          <w:w w:val="110"/>
          <w:sz w:val="18"/>
        </w:rPr>
        <w:t> </w:t>
      </w:r>
      <w:r>
        <w:rPr>
          <w:color w:val="231F20"/>
          <w:w w:val="110"/>
          <w:sz w:val="18"/>
        </w:rPr>
        <w:t>not</w:t>
      </w:r>
      <w:r>
        <w:rPr>
          <w:color w:val="231F20"/>
          <w:spacing w:val="12"/>
          <w:w w:val="110"/>
          <w:sz w:val="18"/>
        </w:rPr>
        <w:t> </w:t>
      </w:r>
      <w:r>
        <w:rPr>
          <w:color w:val="231F20"/>
          <w:w w:val="110"/>
          <w:sz w:val="18"/>
        </w:rPr>
        <w:t>divulge</w:t>
      </w:r>
      <w:r>
        <w:rPr>
          <w:color w:val="231F20"/>
          <w:spacing w:val="13"/>
          <w:w w:val="110"/>
          <w:sz w:val="18"/>
        </w:rPr>
        <w:t> </w:t>
      </w:r>
      <w:r>
        <w:rPr>
          <w:color w:val="231F20"/>
          <w:w w:val="110"/>
          <w:sz w:val="18"/>
        </w:rPr>
        <w:t>its</w:t>
      </w:r>
      <w:r>
        <w:rPr>
          <w:color w:val="231F20"/>
          <w:spacing w:val="12"/>
          <w:w w:val="110"/>
          <w:sz w:val="18"/>
        </w:rPr>
        <w:t> </w:t>
      </w:r>
      <w:r>
        <w:rPr>
          <w:color w:val="231F20"/>
          <w:w w:val="110"/>
          <w:sz w:val="18"/>
        </w:rPr>
        <w:t>content</w:t>
      </w:r>
      <w:r>
        <w:rPr>
          <w:color w:val="231F20"/>
          <w:spacing w:val="13"/>
          <w:w w:val="110"/>
          <w:sz w:val="18"/>
        </w:rPr>
        <w:t> </w:t>
      </w:r>
      <w:r>
        <w:rPr>
          <w:color w:val="231F20"/>
          <w:w w:val="110"/>
          <w:sz w:val="18"/>
        </w:rPr>
        <w:t>or</w:t>
      </w:r>
      <w:r>
        <w:rPr>
          <w:color w:val="231F20"/>
          <w:spacing w:val="12"/>
          <w:w w:val="110"/>
          <w:sz w:val="18"/>
        </w:rPr>
        <w:t> </w:t>
      </w:r>
      <w:r>
        <w:rPr>
          <w:color w:val="231F20"/>
          <w:spacing w:val="2"/>
          <w:w w:val="110"/>
          <w:sz w:val="18"/>
        </w:rPr>
        <w:t>process</w:t>
      </w:r>
      <w:r>
        <w:rPr>
          <w:color w:val="231F20"/>
          <w:spacing w:val="12"/>
          <w:w w:val="110"/>
          <w:sz w:val="18"/>
        </w:rPr>
        <w:t> </w:t>
      </w:r>
      <w:r>
        <w:rPr>
          <w:color w:val="231F20"/>
          <w:w w:val="110"/>
          <w:sz w:val="18"/>
        </w:rPr>
        <w:t>to</w:t>
      </w:r>
      <w:r>
        <w:rPr>
          <w:color w:val="231F20"/>
          <w:spacing w:val="13"/>
          <w:w w:val="110"/>
          <w:sz w:val="18"/>
        </w:rPr>
        <w:t> </w:t>
      </w:r>
      <w:r>
        <w:rPr>
          <w:color w:val="231F20"/>
          <w:w w:val="110"/>
          <w:sz w:val="18"/>
        </w:rPr>
        <w:t>non-members.</w:t>
      </w:r>
    </w:p>
    <w:p>
      <w:pPr>
        <w:pStyle w:val="ListParagraph"/>
        <w:numPr>
          <w:ilvl w:val="0"/>
          <w:numId w:val="213"/>
        </w:numPr>
        <w:tabs>
          <w:tab w:pos="1761" w:val="left" w:leader="none"/>
          <w:tab w:pos="1762" w:val="left" w:leader="none"/>
          <w:tab w:pos="8445" w:val="left" w:leader="none"/>
        </w:tabs>
        <w:spacing w:line="273" w:lineRule="auto" w:before="3" w:after="0"/>
        <w:ind w:left="1761" w:right="1449" w:hanging="681"/>
        <w:jc w:val="left"/>
        <w:rPr>
          <w:sz w:val="18"/>
        </w:rPr>
      </w:pPr>
      <w:r>
        <w:rPr>
          <w:color w:val="231F20"/>
          <w:w w:val="110"/>
          <w:sz w:val="18"/>
        </w:rPr>
        <w:t>Adjournment of the discussion – this is voted on immediately without </w:t>
      </w:r>
      <w:r>
        <w:rPr>
          <w:color w:val="231F20"/>
          <w:spacing w:val="2"/>
          <w:w w:val="110"/>
          <w:sz w:val="18"/>
        </w:rPr>
        <w:t>further </w:t>
      </w:r>
      <w:r>
        <w:rPr>
          <w:color w:val="231F20"/>
          <w:w w:val="110"/>
          <w:sz w:val="18"/>
        </w:rPr>
        <w:t>discussion.  </w:t>
      </w:r>
      <w:r>
        <w:rPr>
          <w:color w:val="231F20"/>
          <w:spacing w:val="22"/>
          <w:w w:val="110"/>
          <w:sz w:val="18"/>
        </w:rPr>
        <w:t> </w:t>
      </w:r>
      <w:r>
        <w:rPr>
          <w:color w:val="231F20"/>
          <w:w w:val="110"/>
          <w:sz w:val="18"/>
        </w:rPr>
        <w:t>It can be </w:t>
      </w:r>
      <w:r>
        <w:rPr>
          <w:color w:val="231F20"/>
          <w:spacing w:val="2"/>
          <w:w w:val="110"/>
          <w:sz w:val="18"/>
        </w:rPr>
        <w:t>proposed </w:t>
      </w:r>
      <w:r>
        <w:rPr>
          <w:color w:val="231F20"/>
          <w:w w:val="110"/>
          <w:sz w:val="18"/>
        </w:rPr>
        <w:t>more than once in a</w:t>
      </w:r>
      <w:r>
        <w:rPr>
          <w:color w:val="231F20"/>
          <w:spacing w:val="9"/>
          <w:w w:val="110"/>
          <w:sz w:val="18"/>
        </w:rPr>
        <w:t> </w:t>
      </w:r>
      <w:r>
        <w:rPr>
          <w:color w:val="231F20"/>
          <w:w w:val="110"/>
          <w:sz w:val="18"/>
        </w:rPr>
        <w:t>discussion.</w:t>
        <w:tab/>
        <w:t>It cannot be brought by a </w:t>
      </w:r>
      <w:r>
        <w:rPr>
          <w:color w:val="231F20"/>
          <w:spacing w:val="2"/>
          <w:w w:val="110"/>
          <w:sz w:val="18"/>
        </w:rPr>
        <w:t>person </w:t>
      </w:r>
      <w:r>
        <w:rPr>
          <w:color w:val="231F20"/>
          <w:w w:val="110"/>
          <w:sz w:val="18"/>
        </w:rPr>
        <w:t>who has already spoken. When the discussion is resumed the </w:t>
      </w:r>
      <w:r>
        <w:rPr>
          <w:color w:val="231F20"/>
          <w:spacing w:val="2"/>
          <w:w w:val="110"/>
          <w:sz w:val="18"/>
        </w:rPr>
        <w:t>person </w:t>
      </w:r>
      <w:r>
        <w:rPr>
          <w:color w:val="231F20"/>
          <w:w w:val="110"/>
          <w:sz w:val="18"/>
        </w:rPr>
        <w:t>whose </w:t>
      </w:r>
      <w:r>
        <w:rPr>
          <w:color w:val="231F20"/>
          <w:spacing w:val="2"/>
          <w:w w:val="110"/>
          <w:sz w:val="18"/>
        </w:rPr>
        <w:t>speech </w:t>
      </w:r>
      <w:r>
        <w:rPr>
          <w:color w:val="231F20"/>
          <w:w w:val="110"/>
          <w:sz w:val="18"/>
        </w:rPr>
        <w:t>was interrupted has the right to speak</w:t>
      </w:r>
      <w:r>
        <w:rPr>
          <w:color w:val="231F20"/>
          <w:spacing w:val="53"/>
          <w:w w:val="110"/>
          <w:sz w:val="18"/>
        </w:rPr>
        <w:t> </w:t>
      </w:r>
      <w:r>
        <w:rPr>
          <w:color w:val="231F20"/>
          <w:w w:val="110"/>
          <w:sz w:val="18"/>
        </w:rPr>
        <w:t>first.</w:t>
      </w:r>
    </w:p>
    <w:p>
      <w:pPr>
        <w:spacing w:after="0" w:line="273" w:lineRule="auto"/>
        <w:jc w:val="left"/>
        <w:rPr>
          <w:sz w:val="18"/>
        </w:rPr>
        <w:sectPr>
          <w:pgSz w:w="11910" w:h="16840"/>
          <w:pgMar w:header="557" w:footer="564" w:top="820" w:bottom="760" w:left="620" w:right="0"/>
        </w:sectPr>
      </w:pPr>
    </w:p>
    <w:p>
      <w:pPr>
        <w:pStyle w:val="BodyText"/>
        <w:spacing w:before="9"/>
        <w:rPr>
          <w:sz w:val="13"/>
        </w:rPr>
      </w:pPr>
    </w:p>
    <w:p>
      <w:pPr>
        <w:pStyle w:val="ListParagraph"/>
        <w:numPr>
          <w:ilvl w:val="0"/>
          <w:numId w:val="213"/>
        </w:numPr>
        <w:tabs>
          <w:tab w:pos="1194" w:val="left" w:leader="none"/>
          <w:tab w:pos="1195" w:val="left" w:leader="none"/>
        </w:tabs>
        <w:spacing w:line="273" w:lineRule="auto" w:before="101" w:after="0"/>
        <w:ind w:left="1194" w:right="1850" w:hanging="681"/>
        <w:jc w:val="left"/>
        <w:rPr>
          <w:sz w:val="18"/>
        </w:rPr>
      </w:pPr>
      <w:r>
        <w:rPr>
          <w:color w:val="231F20"/>
          <w:w w:val="110"/>
          <w:sz w:val="18"/>
        </w:rPr>
        <w:t>Personal explanation – A member feeling that some material </w:t>
      </w:r>
      <w:r>
        <w:rPr>
          <w:color w:val="231F20"/>
          <w:spacing w:val="2"/>
          <w:w w:val="110"/>
          <w:sz w:val="18"/>
        </w:rPr>
        <w:t>part </w:t>
      </w:r>
      <w:r>
        <w:rPr>
          <w:color w:val="231F20"/>
          <w:w w:val="110"/>
          <w:sz w:val="18"/>
        </w:rPr>
        <w:t>of their former </w:t>
      </w:r>
      <w:r>
        <w:rPr>
          <w:color w:val="231F20"/>
          <w:spacing w:val="2"/>
          <w:w w:val="110"/>
          <w:sz w:val="18"/>
        </w:rPr>
        <w:t>speech </w:t>
      </w:r>
      <w:r>
        <w:rPr>
          <w:color w:val="231F20"/>
          <w:w w:val="110"/>
          <w:sz w:val="18"/>
        </w:rPr>
        <w:t>has been misunderstood or is being grossly misinterpreted by a later speaker may ask to make a personal</w:t>
      </w:r>
      <w:r>
        <w:rPr>
          <w:color w:val="231F20"/>
          <w:spacing w:val="13"/>
          <w:w w:val="110"/>
          <w:sz w:val="18"/>
        </w:rPr>
        <w:t> </w:t>
      </w:r>
      <w:r>
        <w:rPr>
          <w:color w:val="231F20"/>
          <w:w w:val="110"/>
          <w:sz w:val="18"/>
        </w:rPr>
        <w:t>explanation.</w:t>
      </w:r>
    </w:p>
    <w:p>
      <w:pPr>
        <w:pStyle w:val="ListParagraph"/>
        <w:numPr>
          <w:ilvl w:val="0"/>
          <w:numId w:val="213"/>
        </w:numPr>
        <w:tabs>
          <w:tab w:pos="1193" w:val="left" w:leader="none"/>
          <w:tab w:pos="1195" w:val="left" w:leader="none"/>
        </w:tabs>
        <w:spacing w:line="273" w:lineRule="auto" w:before="1" w:after="0"/>
        <w:ind w:left="1194" w:right="2494" w:hanging="681"/>
        <w:jc w:val="left"/>
        <w:rPr>
          <w:sz w:val="18"/>
        </w:rPr>
      </w:pPr>
      <w:r>
        <w:rPr>
          <w:color w:val="231F20"/>
          <w:w w:val="110"/>
          <w:sz w:val="18"/>
        </w:rPr>
        <w:t>Objection – A member may raise objection if the remarks of a speaker are deemed offensive or</w:t>
      </w:r>
      <w:r>
        <w:rPr>
          <w:color w:val="231F20"/>
          <w:spacing w:val="5"/>
          <w:w w:val="110"/>
          <w:sz w:val="18"/>
        </w:rPr>
        <w:t> </w:t>
      </w:r>
      <w:r>
        <w:rPr>
          <w:color w:val="231F20"/>
          <w:w w:val="110"/>
          <w:sz w:val="18"/>
        </w:rPr>
        <w:t>derogatory.</w:t>
      </w:r>
    </w:p>
    <w:p>
      <w:pPr>
        <w:spacing w:after="0" w:line="273" w:lineRule="auto"/>
        <w:jc w:val="left"/>
        <w:rPr>
          <w:sz w:val="18"/>
        </w:rPr>
        <w:sectPr>
          <w:pgSz w:w="11910" w:h="16840"/>
          <w:pgMar w:header="558" w:footer="564" w:top="820" w:bottom="760" w:left="620" w:right="0"/>
        </w:sectPr>
      </w:pPr>
    </w:p>
    <w:p>
      <w:pPr>
        <w:pStyle w:val="BodyText"/>
        <w:spacing w:before="6"/>
        <w:rPr>
          <w:sz w:val="25"/>
        </w:rPr>
      </w:pPr>
      <w:r>
        <w:rPr/>
        <w:pict>
          <v:group style="position:absolute;margin-left:0pt;margin-top:0pt;width:345.95pt;height:593.5pt;mso-position-horizontal-relative:page;mso-position-vertical-relative:page;z-index:-275171328" coordorigin="0,0" coordsize="6919,11870">
            <v:shape style="position:absolute;left:0;top:0;width:6650;height:11858" type="#_x0000_t75" stroked="false">
              <v:imagedata r:id="rId474" o:title=""/>
            </v:shape>
            <v:line style="position:absolute" from="6227,11838" to="6919,11838" stroked="true" strokeweight="3.126661pt" strokecolor="#000000">
              <v:stroke dashstyle="solid"/>
            </v:line>
            <w10:wrap type="none"/>
          </v:group>
        </w:pict>
      </w:r>
      <w:r>
        <w:rPr/>
        <w:drawing>
          <wp:anchor distT="0" distB="0" distL="0" distR="0" allowOverlap="1" layoutInCell="1" locked="0" behindDoc="1" simplePos="0" relativeHeight="228146176">
            <wp:simplePos x="0" y="0"/>
            <wp:positionH relativeFrom="page">
              <wp:posOffset>8237635</wp:posOffset>
            </wp:positionH>
            <wp:positionV relativeFrom="page">
              <wp:posOffset>0</wp:posOffset>
            </wp:positionV>
            <wp:extent cx="2440780" cy="7529394"/>
            <wp:effectExtent l="0" t="0" r="0" b="0"/>
            <wp:wrapNone/>
            <wp:docPr id="1" name="image173.jpeg"/>
            <wp:cNvGraphicFramePr>
              <a:graphicFrameLocks noChangeAspect="1"/>
            </wp:cNvGraphicFramePr>
            <a:graphic>
              <a:graphicData uri="http://schemas.openxmlformats.org/drawingml/2006/picture">
                <pic:pic>
                  <pic:nvPicPr>
                    <pic:cNvPr id="2" name="image173.jpeg"/>
                    <pic:cNvPicPr/>
                  </pic:nvPicPr>
                  <pic:blipFill>
                    <a:blip r:embed="rId475" cstate="print"/>
                    <a:stretch>
                      <a:fillRect/>
                    </a:stretch>
                  </pic:blipFill>
                  <pic:spPr>
                    <a:xfrm>
                      <a:off x="0" y="0"/>
                      <a:ext cx="2440780" cy="7529394"/>
                    </a:xfrm>
                    <a:prstGeom prst="rect">
                      <a:avLst/>
                    </a:prstGeom>
                  </pic:spPr>
                </pic:pic>
              </a:graphicData>
            </a:graphic>
          </wp:anchor>
        </w:drawing>
      </w:r>
    </w:p>
    <w:p>
      <w:pPr>
        <w:tabs>
          <w:tab w:pos="9025" w:val="left" w:leader="none"/>
        </w:tabs>
        <w:spacing w:line="230" w:lineRule="auto" w:before="106"/>
        <w:ind w:left="1436" w:right="1848" w:hanging="1335"/>
        <w:jc w:val="left"/>
        <w:rPr>
          <w:rFonts w:ascii="Times New Roman"/>
          <w:b/>
          <w:sz w:val="87"/>
        </w:rPr>
      </w:pPr>
      <w:r>
        <w:rPr>
          <w:rFonts w:ascii="Arial"/>
          <w:b/>
          <w:color w:val="2D2D31"/>
          <w:w w:val="110"/>
          <w:sz w:val="84"/>
          <w:u w:val="thick" w:color="2D2D31"/>
        </w:rPr>
        <w:t>Trustee's Report</w:t>
      </w:r>
      <w:r>
        <w:rPr>
          <w:rFonts w:ascii="Arial"/>
          <w:b/>
          <w:color w:val="2D2D31"/>
          <w:w w:val="110"/>
          <w:sz w:val="84"/>
        </w:rPr>
        <w:t> and Annual</w:t>
      </w:r>
      <w:r>
        <w:rPr>
          <w:rFonts w:ascii="Arial"/>
          <w:b/>
          <w:color w:val="2D2D31"/>
          <w:spacing w:val="-147"/>
          <w:w w:val="110"/>
          <w:sz w:val="84"/>
        </w:rPr>
        <w:t> </w:t>
      </w:r>
      <w:r>
        <w:rPr>
          <w:rFonts w:ascii="Arial"/>
          <w:b/>
          <w:color w:val="2D2D31"/>
          <w:w w:val="110"/>
          <w:sz w:val="84"/>
        </w:rPr>
        <w:t>Accounts</w:t>
        <w:tab/>
      </w:r>
      <w:r>
        <w:rPr>
          <w:rFonts w:ascii="Times New Roman"/>
          <w:b/>
          <w:color w:val="2D2D31"/>
          <w:spacing w:val="-5"/>
          <w:w w:val="110"/>
          <w:sz w:val="87"/>
        </w:rPr>
        <w:t>2006</w:t>
      </w:r>
    </w:p>
    <w:p>
      <w:pPr>
        <w:spacing w:line="327" w:lineRule="exact" w:before="0"/>
        <w:ind w:left="0" w:right="932" w:firstLine="0"/>
        <w:jc w:val="right"/>
        <w:rPr>
          <w:rFonts w:ascii="Arial"/>
          <w:sz w:val="32"/>
        </w:rPr>
      </w:pPr>
      <w:r>
        <w:rPr>
          <w:rFonts w:ascii="Arial"/>
          <w:color w:val="9E9EA3"/>
          <w:w w:val="110"/>
          <w:sz w:val="29"/>
        </w:rPr>
        <w:t>General </w:t>
      </w:r>
      <w:r>
        <w:rPr>
          <w:rFonts w:ascii="Arial"/>
          <w:color w:val="9E9EA3"/>
          <w:w w:val="110"/>
          <w:sz w:val="32"/>
        </w:rPr>
        <w:t>Assembry</w:t>
      </w:r>
    </w:p>
    <w:p>
      <w:pPr>
        <w:spacing w:after="0" w:line="327" w:lineRule="exact"/>
        <w:jc w:val="right"/>
        <w:rPr>
          <w:rFonts w:ascii="Arial"/>
          <w:sz w:val="32"/>
        </w:rPr>
        <w:sectPr>
          <w:headerReference w:type="default" r:id="rId472"/>
          <w:footerReference w:type="default" r:id="rId473"/>
          <w:pgSz w:w="16820" w:h="11900" w:orient="landscape"/>
          <w:pgMar w:header="0" w:footer="0" w:top="0" w:bottom="0" w:left="1360" w:right="242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9"/>
        </w:rPr>
      </w:pPr>
    </w:p>
    <w:p>
      <w:pPr>
        <w:pStyle w:val="Heading6"/>
        <w:ind w:right="71"/>
      </w:pPr>
      <w:r>
        <w:rPr>
          <w:color w:val="FBFBFB"/>
          <w:w w:val="102"/>
        </w:rPr>
        <w:t>.</w:t>
      </w:r>
    </w:p>
    <w:p>
      <w:pPr>
        <w:spacing w:after="0"/>
        <w:sectPr>
          <w:headerReference w:type="even" r:id="rId476"/>
          <w:footerReference w:type="even" r:id="rId477"/>
          <w:pgSz w:w="10950" w:h="15880"/>
          <w:pgMar w:header="0" w:footer="0" w:top="1500" w:bottom="0" w:left="500" w:right="0"/>
        </w:sectPr>
      </w:pPr>
    </w:p>
    <w:p>
      <w:pPr>
        <w:spacing w:before="73"/>
        <w:ind w:left="1360" w:right="1233" w:firstLine="0"/>
        <w:jc w:val="center"/>
        <w:rPr>
          <w:rFonts w:ascii="Times New Roman"/>
          <w:b/>
          <w:sz w:val="22"/>
        </w:rPr>
      </w:pPr>
      <w:r>
        <w:rPr>
          <w:rFonts w:ascii="Times New Roman"/>
          <w:b/>
          <w:color w:val="262626"/>
          <w:w w:val="105"/>
          <w:sz w:val="22"/>
        </w:rPr>
        <w:t>THE UNIT</w:t>
      </w:r>
      <w:r>
        <w:rPr>
          <w:rFonts w:ascii="Times New Roman"/>
          <w:b/>
          <w:color w:val="3F3F3F"/>
          <w:w w:val="105"/>
          <w:sz w:val="22"/>
        </w:rPr>
        <w:t>E</w:t>
      </w:r>
      <w:r>
        <w:rPr>
          <w:rFonts w:ascii="Times New Roman"/>
          <w:b/>
          <w:color w:val="151515"/>
          <w:w w:val="105"/>
          <w:sz w:val="22"/>
        </w:rPr>
        <w:t>D </w:t>
      </w:r>
      <w:r>
        <w:rPr>
          <w:rFonts w:ascii="Times New Roman"/>
          <w:b/>
          <w:color w:val="262626"/>
          <w:w w:val="105"/>
          <w:sz w:val="22"/>
        </w:rPr>
        <w:t>RE</w:t>
      </w:r>
      <w:r>
        <w:rPr>
          <w:rFonts w:ascii="Times New Roman"/>
          <w:b/>
          <w:color w:val="3F3F3F"/>
          <w:w w:val="105"/>
          <w:sz w:val="22"/>
        </w:rPr>
        <w:t>F</w:t>
      </w:r>
      <w:r>
        <w:rPr>
          <w:rFonts w:ascii="Times New Roman"/>
          <w:b/>
          <w:color w:val="151515"/>
          <w:w w:val="105"/>
          <w:sz w:val="22"/>
        </w:rPr>
        <w:t>ORMED</w:t>
      </w:r>
      <w:r>
        <w:rPr>
          <w:rFonts w:ascii="Times New Roman"/>
          <w:b/>
          <w:color w:val="262626"/>
          <w:w w:val="105"/>
          <w:sz w:val="22"/>
        </w:rPr>
        <w:t>CHURCH</w:t>
      </w:r>
    </w:p>
    <w:p>
      <w:pPr>
        <w:pStyle w:val="BodyText"/>
        <w:rPr>
          <w:rFonts w:ascii="Times New Roman"/>
          <w:b/>
          <w:sz w:val="24"/>
        </w:rPr>
      </w:pPr>
    </w:p>
    <w:p>
      <w:pPr>
        <w:spacing w:line="254" w:lineRule="auto" w:before="0"/>
        <w:ind w:left="1398" w:right="1233" w:firstLine="0"/>
        <w:jc w:val="center"/>
        <w:rPr>
          <w:rFonts w:ascii="Times New Roman"/>
          <w:b/>
          <w:sz w:val="22"/>
        </w:rPr>
      </w:pPr>
      <w:r>
        <w:rPr>
          <w:rFonts w:ascii="Times New Roman"/>
          <w:b/>
          <w:color w:val="151515"/>
          <w:w w:val="105"/>
          <w:sz w:val="22"/>
        </w:rPr>
        <w:t>TRUSTEE'S</w:t>
      </w:r>
      <w:r>
        <w:rPr>
          <w:rFonts w:ascii="Times New Roman"/>
          <w:b/>
          <w:color w:val="151515"/>
          <w:spacing w:val="-13"/>
          <w:w w:val="105"/>
          <w:sz w:val="22"/>
        </w:rPr>
        <w:t> </w:t>
      </w:r>
      <w:r>
        <w:rPr>
          <w:rFonts w:ascii="Times New Roman"/>
          <w:b/>
          <w:color w:val="151515"/>
          <w:w w:val="105"/>
          <w:sz w:val="22"/>
        </w:rPr>
        <w:t>REPORT</w:t>
      </w:r>
      <w:r>
        <w:rPr>
          <w:rFonts w:ascii="Times New Roman"/>
          <w:b/>
          <w:color w:val="151515"/>
          <w:spacing w:val="-16"/>
          <w:w w:val="105"/>
          <w:sz w:val="22"/>
        </w:rPr>
        <w:t> </w:t>
      </w:r>
      <w:r>
        <w:rPr>
          <w:rFonts w:ascii="Times New Roman"/>
          <w:b/>
          <w:color w:val="151515"/>
          <w:w w:val="105"/>
          <w:sz w:val="22"/>
        </w:rPr>
        <w:t>AND</w:t>
      </w:r>
      <w:r>
        <w:rPr>
          <w:rFonts w:ascii="Times New Roman"/>
          <w:b/>
          <w:color w:val="151515"/>
          <w:spacing w:val="-24"/>
          <w:w w:val="105"/>
          <w:sz w:val="22"/>
        </w:rPr>
        <w:t> </w:t>
      </w:r>
      <w:r>
        <w:rPr>
          <w:rFonts w:ascii="Times New Roman"/>
          <w:b/>
          <w:color w:val="151515"/>
          <w:w w:val="105"/>
          <w:sz w:val="22"/>
        </w:rPr>
        <w:t>ANNUAL</w:t>
      </w:r>
      <w:r>
        <w:rPr>
          <w:rFonts w:ascii="Times New Roman"/>
          <w:b/>
          <w:color w:val="151515"/>
          <w:spacing w:val="-15"/>
          <w:w w:val="105"/>
          <w:sz w:val="22"/>
        </w:rPr>
        <w:t> </w:t>
      </w:r>
      <w:r>
        <w:rPr>
          <w:rFonts w:ascii="Times New Roman"/>
          <w:b/>
          <w:color w:val="151515"/>
          <w:w w:val="105"/>
          <w:sz w:val="22"/>
        </w:rPr>
        <w:t>ACCOUNTS</w:t>
      </w:r>
      <w:r>
        <w:rPr>
          <w:rFonts w:ascii="Times New Roman"/>
          <w:b/>
          <w:color w:val="151515"/>
          <w:spacing w:val="-12"/>
          <w:w w:val="105"/>
          <w:sz w:val="22"/>
        </w:rPr>
        <w:t> </w:t>
      </w:r>
      <w:r>
        <w:rPr>
          <w:rFonts w:ascii="Times New Roman"/>
          <w:b/>
          <w:color w:val="262626"/>
          <w:w w:val="105"/>
          <w:sz w:val="22"/>
        </w:rPr>
        <w:t>FOR</w:t>
      </w:r>
      <w:r>
        <w:rPr>
          <w:rFonts w:ascii="Times New Roman"/>
          <w:b/>
          <w:color w:val="262626"/>
          <w:spacing w:val="-27"/>
          <w:w w:val="105"/>
          <w:sz w:val="22"/>
        </w:rPr>
        <w:t> </w:t>
      </w:r>
      <w:r>
        <w:rPr>
          <w:rFonts w:ascii="Times New Roman"/>
          <w:b/>
          <w:color w:val="151515"/>
          <w:w w:val="105"/>
          <w:sz w:val="22"/>
        </w:rPr>
        <w:t>THE</w:t>
      </w:r>
      <w:r>
        <w:rPr>
          <w:rFonts w:ascii="Times New Roman"/>
          <w:b/>
          <w:color w:val="151515"/>
          <w:spacing w:val="-27"/>
          <w:w w:val="105"/>
          <w:sz w:val="22"/>
        </w:rPr>
        <w:t> </w:t>
      </w:r>
      <w:r>
        <w:rPr>
          <w:rFonts w:ascii="Times New Roman"/>
          <w:b/>
          <w:color w:val="262626"/>
          <w:w w:val="105"/>
          <w:sz w:val="22"/>
        </w:rPr>
        <w:t>YEAR</w:t>
      </w:r>
      <w:r>
        <w:rPr>
          <w:rFonts w:ascii="Times New Roman"/>
          <w:b/>
          <w:color w:val="262626"/>
          <w:spacing w:val="-24"/>
          <w:w w:val="105"/>
          <w:sz w:val="22"/>
        </w:rPr>
        <w:t> </w:t>
      </w:r>
      <w:r>
        <w:rPr>
          <w:rFonts w:ascii="Times New Roman"/>
          <w:b/>
          <w:color w:val="262626"/>
          <w:w w:val="105"/>
          <w:sz w:val="22"/>
        </w:rPr>
        <w:t>ENDED 31 </w:t>
      </w:r>
      <w:r>
        <w:rPr>
          <w:rFonts w:ascii="Times New Roman"/>
          <w:b/>
          <w:color w:val="151515"/>
          <w:w w:val="105"/>
          <w:sz w:val="22"/>
        </w:rPr>
        <w:t>DECEMBER</w:t>
      </w:r>
      <w:r>
        <w:rPr>
          <w:rFonts w:ascii="Times New Roman"/>
          <w:b/>
          <w:color w:val="151515"/>
          <w:spacing w:val="-6"/>
          <w:w w:val="105"/>
          <w:sz w:val="22"/>
        </w:rPr>
        <w:t> </w:t>
      </w:r>
      <w:r>
        <w:rPr>
          <w:rFonts w:ascii="Times New Roman"/>
          <w:b/>
          <w:color w:val="151515"/>
          <w:w w:val="105"/>
          <w:sz w:val="22"/>
        </w:rPr>
        <w:t>2006</w:t>
      </w:r>
    </w:p>
    <w:p>
      <w:pPr>
        <w:pStyle w:val="BodyText"/>
        <w:rPr>
          <w:rFonts w:ascii="Times New Roman"/>
          <w:b/>
          <w:sz w:val="20"/>
        </w:rPr>
      </w:pPr>
    </w:p>
    <w:p>
      <w:pPr>
        <w:pStyle w:val="BodyText"/>
        <w:rPr>
          <w:rFonts w:ascii="Times New Roman"/>
          <w:b/>
          <w:sz w:val="20"/>
        </w:rPr>
      </w:pPr>
    </w:p>
    <w:p>
      <w:pPr>
        <w:pStyle w:val="BodyText"/>
        <w:spacing w:before="1"/>
        <w:rPr>
          <w:rFonts w:ascii="Times New Roman"/>
          <w:b/>
          <w:sz w:val="22"/>
        </w:rPr>
      </w:pPr>
    </w:p>
    <w:p>
      <w:pPr>
        <w:spacing w:after="0"/>
        <w:rPr>
          <w:rFonts w:ascii="Times New Roman"/>
          <w:sz w:val="22"/>
        </w:rPr>
        <w:sectPr>
          <w:headerReference w:type="default" r:id="rId478"/>
          <w:footerReference w:type="default" r:id="rId479"/>
          <w:pgSz w:w="10950" w:h="15880"/>
          <w:pgMar w:header="0" w:footer="0" w:top="1220" w:bottom="280" w:left="500" w:right="0"/>
        </w:sectPr>
      </w:pPr>
    </w:p>
    <w:p>
      <w:pPr>
        <w:spacing w:before="95"/>
        <w:ind w:left="0" w:right="0" w:firstLine="0"/>
        <w:jc w:val="right"/>
        <w:rPr>
          <w:rFonts w:ascii="Arial"/>
          <w:b/>
          <w:sz w:val="17"/>
        </w:rPr>
      </w:pPr>
      <w:r>
        <w:rPr>
          <w:rFonts w:ascii="Arial"/>
          <w:b/>
          <w:color w:val="3F3F3F"/>
          <w:w w:val="105"/>
          <w:sz w:val="17"/>
        </w:rPr>
        <w:t>C</w:t>
      </w:r>
      <w:r>
        <w:rPr>
          <w:rFonts w:ascii="Arial"/>
          <w:b/>
          <w:color w:val="262626"/>
          <w:w w:val="105"/>
          <w:sz w:val="17"/>
        </w:rPr>
        <w:t>ONTENT </w:t>
      </w:r>
      <w:r>
        <w:rPr>
          <w:rFonts w:ascii="Arial"/>
          <w:b/>
          <w:color w:val="3F3F3F"/>
          <w:w w:val="105"/>
          <w:sz w:val="17"/>
        </w:rPr>
        <w:t>S</w:t>
      </w:r>
    </w:p>
    <w:p>
      <w:pPr>
        <w:pStyle w:val="BodyText"/>
        <w:spacing w:before="11"/>
        <w:rPr>
          <w:rFonts w:ascii="Arial"/>
          <w:b/>
          <w:sz w:val="25"/>
        </w:rPr>
      </w:pPr>
      <w:r>
        <w:rPr/>
        <w:br w:type="column"/>
      </w:r>
      <w:r>
        <w:rPr>
          <w:rFonts w:ascii="Arial"/>
          <w:b/>
          <w:sz w:val="25"/>
        </w:rPr>
      </w:r>
    </w:p>
    <w:p>
      <w:pPr>
        <w:spacing w:before="0"/>
        <w:ind w:left="2258" w:right="1657" w:firstLine="0"/>
        <w:jc w:val="center"/>
        <w:rPr>
          <w:rFonts w:ascii="Times New Roman"/>
          <w:sz w:val="19"/>
        </w:rPr>
      </w:pPr>
      <w:r>
        <w:rPr>
          <w:rFonts w:ascii="Times New Roman"/>
          <w:color w:val="3F3F3F"/>
          <w:w w:val="105"/>
          <w:sz w:val="19"/>
        </w:rPr>
        <w:t>Page</w:t>
      </w:r>
    </w:p>
    <w:p>
      <w:pPr>
        <w:spacing w:after="0"/>
        <w:jc w:val="center"/>
        <w:rPr>
          <w:rFonts w:ascii="Times New Roman"/>
          <w:sz w:val="19"/>
        </w:rPr>
        <w:sectPr>
          <w:type w:val="continuous"/>
          <w:pgSz w:w="10950" w:h="15880"/>
          <w:pgMar w:top="680" w:bottom="280" w:left="500" w:right="0"/>
          <w:cols w:num="2" w:equalWidth="0">
            <w:col w:w="6066" w:space="40"/>
            <w:col w:w="4344"/>
          </w:cols>
        </w:sectPr>
      </w:pPr>
    </w:p>
    <w:sdt>
      <w:sdtPr>
        <w:docPartObj>
          <w:docPartGallery w:val="Table of Contents"/>
          <w:docPartUnique/>
        </w:docPartObj>
      </w:sdtPr>
      <w:sdtEndPr/>
      <w:sdtContent>
        <w:p>
          <w:pPr>
            <w:pStyle w:val="TOC1"/>
            <w:tabs>
              <w:tab w:pos="8736" w:val="right" w:leader="dot"/>
            </w:tabs>
            <w:spacing w:line="215" w:lineRule="exact"/>
            <w:ind w:left="1699"/>
          </w:pPr>
          <w:r>
            <w:rPr>
              <w:color w:val="262626"/>
              <w:w w:val="105"/>
            </w:rPr>
            <w:t>T</w:t>
          </w:r>
          <w:r>
            <w:rPr>
              <w:color w:val="3F3F3F"/>
              <w:w w:val="105"/>
            </w:rPr>
            <w:t>rustee's</w:t>
          </w:r>
          <w:r>
            <w:rPr>
              <w:color w:val="3F3F3F"/>
              <w:spacing w:val="-3"/>
              <w:w w:val="105"/>
            </w:rPr>
            <w:t> </w:t>
          </w:r>
          <w:r>
            <w:rPr>
              <w:color w:val="3F3F3F"/>
              <w:w w:val="105"/>
            </w:rPr>
            <w:t>Report</w:t>
            <w:tab/>
          </w:r>
          <w:r>
            <w:rPr>
              <w:color w:val="575757"/>
              <w:w w:val="105"/>
            </w:rPr>
            <w:t>I</w:t>
          </w:r>
        </w:p>
        <w:p>
          <w:pPr>
            <w:pStyle w:val="TOC2"/>
            <w:tabs>
              <w:tab w:pos="8751" w:val="right" w:leader="dot"/>
            </w:tabs>
            <w:spacing w:line="215" w:lineRule="exact" w:before="0"/>
            <w:ind w:left="1952"/>
          </w:pPr>
          <w:hyperlink w:history="true" w:anchor="_TOC_250019">
            <w:r>
              <w:rPr>
                <w:color w:val="3F3F3F"/>
              </w:rPr>
              <w:t>Reference and</w:t>
            </w:r>
            <w:r>
              <w:rPr>
                <w:color w:val="3F3F3F"/>
                <w:spacing w:val="-15"/>
              </w:rPr>
              <w:t> </w:t>
            </w:r>
            <w:r>
              <w:rPr>
                <w:color w:val="3F3F3F"/>
              </w:rPr>
              <w:t>adm</w:t>
            </w:r>
            <w:r>
              <w:rPr>
                <w:color w:val="575757"/>
              </w:rPr>
              <w:t>i</w:t>
            </w:r>
            <w:r>
              <w:rPr>
                <w:color w:val="3F3F3F"/>
              </w:rPr>
              <w:t>nistrat</w:t>
            </w:r>
            <w:r>
              <w:rPr>
                <w:color w:val="151515"/>
              </w:rPr>
              <w:t>i</w:t>
            </w:r>
            <w:r>
              <w:rPr>
                <w:color w:val="3F3F3F"/>
              </w:rPr>
              <w:t>ve</w:t>
            </w:r>
            <w:r>
              <w:rPr>
                <w:color w:val="3F3F3F"/>
                <w:spacing w:val="1"/>
              </w:rPr>
              <w:t> </w:t>
            </w:r>
            <w:r>
              <w:rPr>
                <w:color w:val="3F3F3F"/>
                <w:spacing w:val="-3"/>
              </w:rPr>
              <w:t>informa</w:t>
            </w:r>
            <w:r>
              <w:rPr>
                <w:color w:val="262626"/>
                <w:spacing w:val="-3"/>
              </w:rPr>
              <w:t>t</w:t>
            </w:r>
            <w:r>
              <w:rPr>
                <w:color w:val="3F3F3F"/>
                <w:spacing w:val="-3"/>
              </w:rPr>
              <w:t>ion</w:t>
              <w:tab/>
            </w:r>
            <w:r>
              <w:rPr>
                <w:color w:val="3F3F3F"/>
              </w:rPr>
              <w:t>1</w:t>
            </w:r>
          </w:hyperlink>
        </w:p>
        <w:p>
          <w:pPr>
            <w:pStyle w:val="TOC2"/>
            <w:tabs>
              <w:tab w:pos="8748" w:val="right" w:leader="dot"/>
            </w:tabs>
            <w:spacing w:before="12"/>
            <w:ind w:left="1953"/>
          </w:pPr>
          <w:hyperlink w:history="true" w:anchor="_TOC_250018">
            <w:r>
              <w:rPr>
                <w:color w:val="3F3F3F"/>
              </w:rPr>
              <w:t>Structure, governance</w:t>
            </w:r>
            <w:r>
              <w:rPr>
                <w:color w:val="3F3F3F"/>
                <w:spacing w:val="-13"/>
              </w:rPr>
              <w:t> </w:t>
            </w:r>
            <w:r>
              <w:rPr>
                <w:color w:val="3F3F3F"/>
              </w:rPr>
              <w:t>and</w:t>
            </w:r>
            <w:r>
              <w:rPr>
                <w:color w:val="3F3F3F"/>
                <w:spacing w:val="-6"/>
              </w:rPr>
              <w:t> </w:t>
            </w:r>
            <w:r>
              <w:rPr>
                <w:color w:val="3F3F3F"/>
              </w:rPr>
              <w:t>management.</w:t>
              <w:tab/>
              <w:t>2</w:t>
            </w:r>
          </w:hyperlink>
        </w:p>
        <w:p>
          <w:pPr>
            <w:pStyle w:val="TOC2"/>
            <w:tabs>
              <w:tab w:pos="8761" w:val="right" w:leader="dot"/>
            </w:tabs>
            <w:ind w:left="1958"/>
          </w:pPr>
          <w:hyperlink w:history="true" w:anchor="_TOC_250017">
            <w:r>
              <w:rPr>
                <w:color w:val="3F3F3F"/>
              </w:rPr>
              <w:t>Objectives</w:t>
            </w:r>
            <w:r>
              <w:rPr>
                <w:color w:val="3F3F3F"/>
                <w:spacing w:val="-6"/>
              </w:rPr>
              <w:t> </w:t>
            </w:r>
            <w:r>
              <w:rPr>
                <w:color w:val="3F3F3F"/>
              </w:rPr>
              <w:t>and</w:t>
            </w:r>
            <w:r>
              <w:rPr>
                <w:color w:val="3F3F3F"/>
                <w:spacing w:val="-11"/>
              </w:rPr>
              <w:t> </w:t>
            </w:r>
            <w:r>
              <w:rPr>
                <w:color w:val="3F3F3F"/>
                <w:spacing w:val="-3"/>
              </w:rPr>
              <w:t>activ</w:t>
            </w:r>
            <w:r>
              <w:rPr>
                <w:color w:val="262626"/>
                <w:spacing w:val="-3"/>
              </w:rPr>
              <w:t>i</w:t>
            </w:r>
            <w:r>
              <w:rPr>
                <w:color w:val="3F3F3F"/>
                <w:spacing w:val="-3"/>
              </w:rPr>
              <w:t>ties</w:t>
              <w:tab/>
            </w:r>
            <w:r>
              <w:rPr>
                <w:color w:val="3F3F3F"/>
              </w:rPr>
              <w:t>2</w:t>
            </w:r>
          </w:hyperlink>
        </w:p>
        <w:p>
          <w:pPr>
            <w:pStyle w:val="TOC2"/>
            <w:tabs>
              <w:tab w:pos="8757" w:val="right" w:leader="dot"/>
            </w:tabs>
            <w:ind w:left="1963"/>
          </w:pPr>
          <w:r>
            <w:rPr>
              <w:color w:val="3F3F3F"/>
            </w:rPr>
            <w:t>Achievements</w:t>
          </w:r>
          <w:r>
            <w:rPr>
              <w:color w:val="3F3F3F"/>
              <w:spacing w:val="-5"/>
            </w:rPr>
            <w:t> </w:t>
          </w:r>
          <w:r>
            <w:rPr>
              <w:color w:val="3F3F3F"/>
            </w:rPr>
            <w:t>and</w:t>
          </w:r>
          <w:r>
            <w:rPr>
              <w:color w:val="3F3F3F"/>
              <w:spacing w:val="-3"/>
            </w:rPr>
            <w:t> </w:t>
          </w:r>
          <w:r>
            <w:rPr>
              <w:color w:val="3F3F3F"/>
            </w:rPr>
            <w:t>performance</w:t>
            <w:tab/>
            <w:t>2</w:t>
          </w:r>
        </w:p>
        <w:p>
          <w:pPr>
            <w:pStyle w:val="TOC2"/>
            <w:tabs>
              <w:tab w:pos="8743" w:val="right" w:leader="dot"/>
            </w:tabs>
            <w:ind w:left="1952"/>
          </w:pPr>
          <w:hyperlink w:history="true" w:anchor="_TOC_250016">
            <w:r>
              <w:rPr>
                <w:color w:val="575757"/>
              </w:rPr>
              <w:t>F</w:t>
            </w:r>
            <w:r>
              <w:rPr>
                <w:color w:val="3F3F3F"/>
              </w:rPr>
              <w:t>uturedevelopments</w:t>
              <w:tab/>
              <w:t>3</w:t>
            </w:r>
          </w:hyperlink>
        </w:p>
        <w:p>
          <w:pPr>
            <w:pStyle w:val="TOC2"/>
            <w:tabs>
              <w:tab w:pos="8750" w:val="right" w:leader="dot"/>
            </w:tabs>
            <w:spacing w:before="2"/>
            <w:ind w:left="1962"/>
          </w:pPr>
          <w:hyperlink w:history="true" w:anchor="_TOC_250015">
            <w:r>
              <w:rPr>
                <w:color w:val="575757"/>
                <w:spacing w:val="-6"/>
                <w:w w:val="105"/>
              </w:rPr>
              <w:t>F</w:t>
            </w:r>
            <w:r>
              <w:rPr>
                <w:color w:val="3F3F3F"/>
                <w:spacing w:val="-6"/>
                <w:w w:val="105"/>
              </w:rPr>
              <w:t>inancialrev</w:t>
            </w:r>
            <w:r>
              <w:rPr>
                <w:color w:val="262626"/>
                <w:spacing w:val="-6"/>
                <w:w w:val="105"/>
              </w:rPr>
              <w:t>i</w:t>
            </w:r>
            <w:r>
              <w:rPr>
                <w:color w:val="3F3F3F"/>
                <w:spacing w:val="-6"/>
                <w:w w:val="105"/>
              </w:rPr>
              <w:t>ew</w:t>
              <w:tab/>
            </w:r>
            <w:r>
              <w:rPr>
                <w:color w:val="3F3F3F"/>
                <w:w w:val="105"/>
              </w:rPr>
              <w:t>3</w:t>
            </w:r>
          </w:hyperlink>
        </w:p>
        <w:p>
          <w:pPr>
            <w:pStyle w:val="TOC2"/>
            <w:tabs>
              <w:tab w:pos="8756" w:val="right" w:leader="dot"/>
            </w:tabs>
            <w:ind w:left="1952"/>
          </w:pPr>
          <w:hyperlink w:history="true" w:anchor="_TOC_250014">
            <w:r>
              <w:rPr>
                <w:color w:val="262626"/>
                <w:w w:val="105"/>
              </w:rPr>
              <w:t>D</w:t>
            </w:r>
            <w:r>
              <w:rPr>
                <w:color w:val="3F3F3F"/>
                <w:w w:val="105"/>
              </w:rPr>
              <w:t>escriptionof</w:t>
            </w:r>
            <w:r>
              <w:rPr>
                <w:color w:val="3F3F3F"/>
                <w:spacing w:val="-16"/>
                <w:w w:val="105"/>
              </w:rPr>
              <w:t> </w:t>
            </w:r>
            <w:r>
              <w:rPr>
                <w:color w:val="3F3F3F"/>
                <w:spacing w:val="-4"/>
                <w:w w:val="105"/>
              </w:rPr>
              <w:t>fu</w:t>
            </w:r>
            <w:r>
              <w:rPr>
                <w:color w:val="262626"/>
                <w:spacing w:val="-4"/>
                <w:w w:val="105"/>
              </w:rPr>
              <w:t>n</w:t>
            </w:r>
            <w:r>
              <w:rPr>
                <w:color w:val="3F3F3F"/>
                <w:spacing w:val="-4"/>
                <w:w w:val="105"/>
              </w:rPr>
              <w:t>ds</w:t>
              <w:tab/>
            </w:r>
            <w:r>
              <w:rPr>
                <w:color w:val="3F3F3F"/>
                <w:w w:val="105"/>
              </w:rPr>
              <w:t>8</w:t>
            </w:r>
          </w:hyperlink>
        </w:p>
        <w:p>
          <w:pPr>
            <w:pStyle w:val="TOC1"/>
            <w:tabs>
              <w:tab w:pos="8760" w:val="right" w:leader="dot"/>
            </w:tabs>
          </w:pPr>
          <w:r>
            <w:rPr>
              <w:color w:val="3F3F3F"/>
              <w:w w:val="105"/>
            </w:rPr>
            <w:t>Statement of</w:t>
          </w:r>
          <w:r>
            <w:rPr>
              <w:color w:val="3F3F3F"/>
              <w:spacing w:val="-31"/>
              <w:w w:val="105"/>
            </w:rPr>
            <w:t> </w:t>
          </w:r>
          <w:r>
            <w:rPr>
              <w:color w:val="3F3F3F"/>
              <w:w w:val="105"/>
            </w:rPr>
            <w:t>Financial</w:t>
          </w:r>
          <w:r>
            <w:rPr>
              <w:color w:val="3F3F3F"/>
              <w:spacing w:val="6"/>
              <w:w w:val="105"/>
            </w:rPr>
            <w:t> </w:t>
          </w:r>
          <w:r>
            <w:rPr>
              <w:color w:val="3F3F3F"/>
              <w:spacing w:val="-4"/>
              <w:w w:val="105"/>
            </w:rPr>
            <w:t>Act</w:t>
          </w:r>
          <w:r>
            <w:rPr>
              <w:color w:val="262626"/>
              <w:spacing w:val="-4"/>
              <w:w w:val="105"/>
            </w:rPr>
            <w:t>i</w:t>
          </w:r>
          <w:r>
            <w:rPr>
              <w:color w:val="3F3F3F"/>
              <w:spacing w:val="-4"/>
              <w:w w:val="105"/>
            </w:rPr>
            <w:t>vities</w:t>
            <w:tab/>
          </w:r>
          <w:r>
            <w:rPr>
              <w:color w:val="3F3F3F"/>
              <w:w w:val="105"/>
            </w:rPr>
            <w:t>10</w:t>
          </w:r>
        </w:p>
        <w:p>
          <w:pPr>
            <w:pStyle w:val="TOC1"/>
            <w:tabs>
              <w:tab w:pos="8766" w:val="right" w:leader="dot"/>
            </w:tabs>
            <w:ind w:left="1702"/>
          </w:pPr>
          <w:r>
            <w:rPr>
              <w:color w:val="262626"/>
              <w:spacing w:val="-3"/>
              <w:w w:val="105"/>
            </w:rPr>
            <w:t>B</w:t>
          </w:r>
          <w:r>
            <w:rPr>
              <w:color w:val="3F3F3F"/>
              <w:spacing w:val="-3"/>
              <w:w w:val="105"/>
            </w:rPr>
            <w:t>a</w:t>
          </w:r>
          <w:r>
            <w:rPr>
              <w:color w:val="262626"/>
              <w:spacing w:val="-3"/>
              <w:w w:val="105"/>
            </w:rPr>
            <w:t>l</w:t>
          </w:r>
          <w:r>
            <w:rPr>
              <w:color w:val="3F3F3F"/>
              <w:spacing w:val="-3"/>
              <w:w w:val="105"/>
            </w:rPr>
            <w:t>anceSheet</w:t>
            <w:tab/>
          </w:r>
          <w:r>
            <w:rPr>
              <w:color w:val="3F3F3F"/>
              <w:w w:val="105"/>
            </w:rPr>
            <w:t>11</w:t>
          </w:r>
        </w:p>
        <w:p>
          <w:pPr>
            <w:pStyle w:val="TOC1"/>
            <w:tabs>
              <w:tab w:pos="8747" w:val="right" w:leader="dot"/>
            </w:tabs>
          </w:pPr>
          <w:r>
            <w:rPr>
              <w:color w:val="3F3F3F"/>
              <w:spacing w:val="-3"/>
            </w:rPr>
            <w:t>S</w:t>
          </w:r>
          <w:r>
            <w:rPr>
              <w:color w:val="262626"/>
              <w:spacing w:val="-3"/>
            </w:rPr>
            <w:t>u</w:t>
          </w:r>
          <w:r>
            <w:rPr>
              <w:color w:val="3F3F3F"/>
              <w:spacing w:val="-3"/>
            </w:rPr>
            <w:t>mmary </w:t>
          </w:r>
          <w:r>
            <w:rPr>
              <w:color w:val="3F3F3F"/>
            </w:rPr>
            <w:t>of</w:t>
          </w:r>
          <w:r>
            <w:rPr>
              <w:color w:val="3F3F3F"/>
              <w:spacing w:val="-25"/>
            </w:rPr>
            <w:t> </w:t>
          </w:r>
          <w:r>
            <w:rPr>
              <w:color w:val="3F3F3F"/>
            </w:rPr>
            <w:t>Fund</w:t>
          </w:r>
          <w:r>
            <w:rPr>
              <w:color w:val="3F3F3F"/>
              <w:spacing w:val="-4"/>
            </w:rPr>
            <w:t> </w:t>
          </w:r>
          <w:r>
            <w:rPr>
              <w:color w:val="3F3F3F"/>
            </w:rPr>
            <w:t>Movements</w:t>
            <w:tab/>
            <w:t>12</w:t>
          </w:r>
        </w:p>
        <w:p>
          <w:pPr>
            <w:pStyle w:val="TOC1"/>
            <w:tabs>
              <w:tab w:pos="8751" w:val="right" w:leader="dot"/>
            </w:tabs>
            <w:ind w:left="1698"/>
          </w:pPr>
          <w:r>
            <w:rPr>
              <w:color w:val="3F3F3F"/>
            </w:rPr>
            <w:t>Cash</w:t>
          </w:r>
          <w:r>
            <w:rPr>
              <w:color w:val="3F3F3F"/>
              <w:spacing w:val="-7"/>
            </w:rPr>
            <w:t> </w:t>
          </w:r>
          <w:r>
            <w:rPr>
              <w:color w:val="3F3F3F"/>
            </w:rPr>
            <w:t>Flow</w:t>
          </w:r>
          <w:r>
            <w:rPr>
              <w:color w:val="3F3F3F"/>
              <w:spacing w:val="-17"/>
            </w:rPr>
            <w:t> </w:t>
          </w:r>
          <w:r>
            <w:rPr>
              <w:color w:val="3F3F3F"/>
            </w:rPr>
            <w:t>Statement.</w:t>
            <w:tab/>
            <w:t>13</w:t>
          </w:r>
        </w:p>
        <w:p>
          <w:pPr>
            <w:pStyle w:val="TOC1"/>
            <w:tabs>
              <w:tab w:pos="8747" w:val="right" w:leader="dot"/>
            </w:tabs>
            <w:spacing w:before="2"/>
            <w:ind w:left="1698"/>
          </w:pPr>
          <w:hyperlink w:history="true" w:anchor="_TOC_250013">
            <w:r>
              <w:rPr>
                <w:color w:val="3F3F3F"/>
                <w:w w:val="105"/>
              </w:rPr>
              <w:t>Notes </w:t>
            </w:r>
            <w:r>
              <w:rPr>
                <w:color w:val="262626"/>
                <w:w w:val="105"/>
              </w:rPr>
              <w:t>t</w:t>
            </w:r>
            <w:r>
              <w:rPr>
                <w:color w:val="3F3F3F"/>
                <w:w w:val="105"/>
              </w:rPr>
              <w:t>o</w:t>
            </w:r>
            <w:r>
              <w:rPr>
                <w:color w:val="3F3F3F"/>
                <w:spacing w:val="-22"/>
                <w:w w:val="105"/>
              </w:rPr>
              <w:t> </w:t>
            </w:r>
            <w:r>
              <w:rPr>
                <w:color w:val="3F3F3F"/>
                <w:w w:val="105"/>
              </w:rPr>
              <w:t>the</w:t>
            </w:r>
            <w:r>
              <w:rPr>
                <w:color w:val="3F3F3F"/>
                <w:spacing w:val="-29"/>
                <w:w w:val="105"/>
              </w:rPr>
              <w:t> </w:t>
            </w:r>
            <w:r>
              <w:rPr>
                <w:color w:val="3F3F3F"/>
                <w:spacing w:val="-3"/>
                <w:w w:val="105"/>
              </w:rPr>
              <w:t>acco</w:t>
            </w:r>
            <w:r>
              <w:rPr>
                <w:color w:val="262626"/>
                <w:spacing w:val="-3"/>
                <w:w w:val="105"/>
              </w:rPr>
              <w:t>u</w:t>
            </w:r>
            <w:r>
              <w:rPr>
                <w:color w:val="3F3F3F"/>
                <w:spacing w:val="-3"/>
                <w:w w:val="105"/>
              </w:rPr>
              <w:t>nts</w:t>
              <w:tab/>
            </w:r>
            <w:r>
              <w:rPr>
                <w:color w:val="262626"/>
                <w:w w:val="105"/>
              </w:rPr>
              <w:t>14</w:t>
            </w:r>
          </w:hyperlink>
        </w:p>
        <w:p>
          <w:pPr>
            <w:pStyle w:val="TOC2"/>
            <w:tabs>
              <w:tab w:pos="2714" w:val="left" w:leader="none"/>
              <w:tab w:pos="8750" w:val="right" w:leader="dot"/>
            </w:tabs>
            <w:spacing w:before="13"/>
            <w:ind w:left="1929"/>
          </w:pPr>
          <w:r>
            <w:rPr>
              <w:color w:val="3F3F3F"/>
            </w:rPr>
            <w:t>Note</w:t>
          </w:r>
          <w:r>
            <w:rPr>
              <w:color w:val="3F3F3F"/>
              <w:spacing w:val="-19"/>
            </w:rPr>
            <w:t> </w:t>
          </w:r>
          <w:r>
            <w:rPr>
              <w:color w:val="262626"/>
            </w:rPr>
            <w:t>1</w:t>
            <w:tab/>
          </w:r>
          <w:r>
            <w:rPr>
              <w:color w:val="3F3F3F"/>
            </w:rPr>
            <w:t>Accounting</w:t>
          </w:r>
          <w:r>
            <w:rPr>
              <w:color w:val="3F3F3F"/>
              <w:spacing w:val="-1"/>
            </w:rPr>
            <w:t> </w:t>
          </w:r>
          <w:r>
            <w:rPr>
              <w:color w:val="3F3F3F"/>
            </w:rPr>
            <w:t>policies</w:t>
            <w:tab/>
            <w:t>1</w:t>
          </w:r>
          <w:r>
            <w:rPr>
              <w:color w:val="262626"/>
            </w:rPr>
            <w:t>4</w:t>
          </w:r>
        </w:p>
        <w:p>
          <w:pPr>
            <w:pStyle w:val="TOC2"/>
            <w:tabs>
              <w:tab w:pos="2724" w:val="left" w:leader="none"/>
              <w:tab w:pos="8749" w:val="right" w:leader="dot"/>
            </w:tabs>
            <w:ind w:left="1929"/>
          </w:pPr>
          <w:hyperlink w:history="true" w:anchor="_TOC_250012">
            <w:r>
              <w:rPr>
                <w:color w:val="3F3F3F"/>
              </w:rPr>
              <w:t>Note</w:t>
            </w:r>
            <w:r>
              <w:rPr>
                <w:color w:val="3F3F3F"/>
                <w:spacing w:val="-9"/>
              </w:rPr>
              <w:t> </w:t>
            </w:r>
            <w:r>
              <w:rPr>
                <w:color w:val="3F3F3F"/>
              </w:rPr>
              <w:t>2</w:t>
              <w:tab/>
              <w:t>Voluntary</w:t>
            </w:r>
            <w:r>
              <w:rPr>
                <w:color w:val="3F3F3F"/>
                <w:spacing w:val="7"/>
              </w:rPr>
              <w:t> </w:t>
            </w:r>
            <w:r>
              <w:rPr>
                <w:color w:val="3F3F3F"/>
              </w:rPr>
              <w:t>income</w:t>
              <w:tab/>
              <w:t>16</w:t>
            </w:r>
          </w:hyperlink>
        </w:p>
        <w:p>
          <w:pPr>
            <w:pStyle w:val="TOC2"/>
            <w:tabs>
              <w:tab w:pos="2721" w:val="left" w:leader="none"/>
              <w:tab w:pos="8749" w:val="right" w:leader="dot"/>
            </w:tabs>
            <w:ind w:left="1929"/>
          </w:pPr>
          <w:hyperlink w:history="true" w:anchor="_TOC_250011">
            <w:r>
              <w:rPr>
                <w:color w:val="3F3F3F"/>
              </w:rPr>
              <w:t>Note</w:t>
            </w:r>
            <w:r>
              <w:rPr>
                <w:color w:val="3F3F3F"/>
                <w:spacing w:val="-14"/>
              </w:rPr>
              <w:t> </w:t>
            </w:r>
            <w:r>
              <w:rPr>
                <w:color w:val="3F3F3F"/>
              </w:rPr>
              <w:t>3</w:t>
              <w:tab/>
              <w:t>Investment</w:t>
            </w:r>
            <w:r>
              <w:rPr>
                <w:color w:val="3F3F3F"/>
                <w:spacing w:val="-3"/>
              </w:rPr>
              <w:t> </w:t>
            </w:r>
            <w:r>
              <w:rPr>
                <w:color w:val="3F3F3F"/>
              </w:rPr>
              <w:t>income</w:t>
              <w:tab/>
              <w:t>16</w:t>
            </w:r>
          </w:hyperlink>
        </w:p>
        <w:p>
          <w:pPr>
            <w:pStyle w:val="TOC2"/>
            <w:tabs>
              <w:tab w:pos="2721" w:val="left" w:leader="none"/>
              <w:tab w:pos="8749" w:val="right" w:leader="dot"/>
            </w:tabs>
            <w:spacing w:before="2"/>
          </w:pPr>
          <w:hyperlink w:history="true" w:anchor="_TOC_250010">
            <w:r>
              <w:rPr>
                <w:color w:val="3F3F3F"/>
              </w:rPr>
              <w:t>Note</w:t>
            </w:r>
            <w:r>
              <w:rPr>
                <w:color w:val="3F3F3F"/>
                <w:spacing w:val="-15"/>
              </w:rPr>
              <w:t> </w:t>
            </w:r>
            <w:r>
              <w:rPr>
                <w:color w:val="3F3F3F"/>
              </w:rPr>
              <w:t>4</w:t>
              <w:tab/>
              <w:t>Incoming resources from</w:t>
            </w:r>
            <w:r>
              <w:rPr>
                <w:color w:val="3F3F3F"/>
                <w:spacing w:val="-33"/>
              </w:rPr>
              <w:t> </w:t>
            </w:r>
            <w:r>
              <w:rPr>
                <w:color w:val="3F3F3F"/>
              </w:rPr>
              <w:t>char</w:t>
            </w:r>
            <w:r>
              <w:rPr>
                <w:color w:val="262626"/>
              </w:rPr>
              <w:t>i</w:t>
            </w:r>
            <w:r>
              <w:rPr>
                <w:color w:val="3F3F3F"/>
              </w:rPr>
              <w:t>table</w:t>
            </w:r>
            <w:r>
              <w:rPr>
                <w:color w:val="3F3F3F"/>
                <w:spacing w:val="-6"/>
              </w:rPr>
              <w:t> </w:t>
            </w:r>
            <w:r>
              <w:rPr>
                <w:color w:val="3F3F3F"/>
              </w:rPr>
              <w:t>activities</w:t>
              <w:tab/>
              <w:t>16</w:t>
            </w:r>
          </w:hyperlink>
        </w:p>
        <w:p>
          <w:pPr>
            <w:pStyle w:val="TOC2"/>
            <w:tabs>
              <w:tab w:pos="2714" w:val="left" w:leader="none"/>
              <w:tab w:pos="8760" w:val="right" w:leader="dot"/>
            </w:tabs>
          </w:pPr>
          <w:r>
            <w:rPr>
              <w:color w:val="3F3F3F"/>
              <w:w w:val="105"/>
            </w:rPr>
            <w:t>Note</w:t>
          </w:r>
          <w:r>
            <w:rPr>
              <w:color w:val="3F3F3F"/>
              <w:spacing w:val="-28"/>
              <w:w w:val="105"/>
            </w:rPr>
            <w:t> </w:t>
          </w:r>
          <w:r>
            <w:rPr>
              <w:color w:val="3F3F3F"/>
              <w:w w:val="105"/>
            </w:rPr>
            <w:t>5</w:t>
            <w:tab/>
          </w:r>
          <w:r>
            <w:rPr>
              <w:color w:val="3F3F3F"/>
              <w:spacing w:val="-6"/>
              <w:w w:val="105"/>
            </w:rPr>
            <w:t>Analys</w:t>
          </w:r>
          <w:r>
            <w:rPr>
              <w:color w:val="262626"/>
              <w:spacing w:val="-6"/>
              <w:w w:val="105"/>
            </w:rPr>
            <w:t>i</w:t>
          </w:r>
          <w:r>
            <w:rPr>
              <w:color w:val="3F3F3F"/>
              <w:spacing w:val="-6"/>
              <w:w w:val="105"/>
            </w:rPr>
            <w:t>s</w:t>
          </w:r>
          <w:r>
            <w:rPr>
              <w:color w:val="3F3F3F"/>
              <w:spacing w:val="1"/>
              <w:w w:val="105"/>
            </w:rPr>
            <w:t> </w:t>
          </w:r>
          <w:r>
            <w:rPr>
              <w:color w:val="3F3F3F"/>
              <w:spacing w:val="-6"/>
              <w:w w:val="105"/>
            </w:rPr>
            <w:t>o</w:t>
          </w:r>
          <w:r>
            <w:rPr>
              <w:color w:val="575757"/>
              <w:spacing w:val="-6"/>
              <w:w w:val="105"/>
            </w:rPr>
            <w:t>f</w:t>
          </w:r>
          <w:r>
            <w:rPr>
              <w:color w:val="575757"/>
              <w:spacing w:val="-1"/>
              <w:w w:val="105"/>
            </w:rPr>
            <w:t> </w:t>
          </w:r>
          <w:r>
            <w:rPr>
              <w:color w:val="3F3F3F"/>
              <w:w w:val="105"/>
            </w:rPr>
            <w:t>expenditure</w:t>
            <w:tab/>
            <w:t>17</w:t>
          </w:r>
        </w:p>
        <w:p>
          <w:pPr>
            <w:pStyle w:val="TOC2"/>
            <w:tabs>
              <w:tab w:pos="2714" w:val="left" w:leader="none"/>
              <w:tab w:pos="8743" w:val="right" w:leader="dot"/>
            </w:tabs>
            <w:rPr>
              <w:b/>
              <w:sz w:val="18"/>
            </w:rPr>
          </w:pPr>
          <w:hyperlink w:history="true" w:anchor="_TOC_250009">
            <w:r>
              <w:rPr>
                <w:color w:val="3F3F3F"/>
              </w:rPr>
              <w:t>Note</w:t>
            </w:r>
            <w:r>
              <w:rPr>
                <w:color w:val="3F3F3F"/>
                <w:spacing w:val="-21"/>
              </w:rPr>
              <w:t> </w:t>
            </w:r>
            <w:r>
              <w:rPr>
                <w:color w:val="3F3F3F"/>
              </w:rPr>
              <w:t>6</w:t>
              <w:tab/>
              <w:t>Analysis</w:t>
            </w:r>
            <w:r>
              <w:rPr>
                <w:color w:val="3F3F3F"/>
                <w:spacing w:val="-20"/>
              </w:rPr>
              <w:t> </w:t>
            </w:r>
            <w:r>
              <w:rPr>
                <w:color w:val="3F3F3F"/>
              </w:rPr>
              <w:t>of</w:t>
            </w:r>
            <w:r>
              <w:rPr>
                <w:color w:val="3F3F3F"/>
                <w:spacing w:val="8"/>
              </w:rPr>
              <w:t> </w:t>
            </w:r>
            <w:r>
              <w:rPr>
                <w:color w:val="3F3F3F"/>
              </w:rPr>
              <w:t>grants</w:t>
              <w:tab/>
            </w:r>
            <w:r>
              <w:rPr>
                <w:b/>
                <w:color w:val="3F3F3F"/>
                <w:sz w:val="18"/>
              </w:rPr>
              <w:t>18</w:t>
            </w:r>
          </w:hyperlink>
        </w:p>
        <w:p>
          <w:pPr>
            <w:pStyle w:val="TOC2"/>
            <w:tabs>
              <w:tab w:pos="2709" w:val="left" w:leader="none"/>
              <w:tab w:pos="8764" w:val="right" w:leader="dot"/>
            </w:tabs>
            <w:ind w:left="1929"/>
          </w:pPr>
          <w:r>
            <w:rPr>
              <w:color w:val="575757"/>
              <w:spacing w:val="-7"/>
              <w:w w:val="105"/>
            </w:rPr>
            <w:t>N</w:t>
          </w:r>
          <w:r>
            <w:rPr>
              <w:color w:val="3F3F3F"/>
              <w:spacing w:val="-7"/>
              <w:w w:val="105"/>
            </w:rPr>
            <w:t>ote</w:t>
          </w:r>
          <w:r>
            <w:rPr>
              <w:color w:val="3F3F3F"/>
              <w:spacing w:val="-23"/>
              <w:w w:val="105"/>
            </w:rPr>
            <w:t> </w:t>
          </w:r>
          <w:r>
            <w:rPr>
              <w:color w:val="3F3F3F"/>
              <w:w w:val="105"/>
            </w:rPr>
            <w:t>7</w:t>
            <w:tab/>
            <w:t>Governance</w:t>
          </w:r>
          <w:r>
            <w:rPr>
              <w:color w:val="3F3F3F"/>
              <w:spacing w:val="-18"/>
              <w:w w:val="105"/>
            </w:rPr>
            <w:t> </w:t>
          </w:r>
          <w:r>
            <w:rPr>
              <w:color w:val="3F3F3F"/>
              <w:w w:val="105"/>
            </w:rPr>
            <w:t>c</w:t>
          </w:r>
          <w:r>
            <w:rPr>
              <w:color w:val="262626"/>
              <w:w w:val="105"/>
            </w:rPr>
            <w:t>o</w:t>
          </w:r>
          <w:r>
            <w:rPr>
              <w:color w:val="3F3F3F"/>
              <w:w w:val="105"/>
            </w:rPr>
            <w:t>sts</w:t>
            <w:tab/>
            <w:t>18</w:t>
          </w:r>
        </w:p>
        <w:p>
          <w:pPr>
            <w:pStyle w:val="TOC2"/>
            <w:tabs>
              <w:tab w:pos="2714" w:val="left" w:leader="none"/>
              <w:tab w:pos="8764" w:val="right" w:leader="dot"/>
            </w:tabs>
          </w:pPr>
          <w:r>
            <w:rPr>
              <w:color w:val="3F3F3F"/>
              <w:w w:val="105"/>
            </w:rPr>
            <w:t>Note</w:t>
          </w:r>
          <w:r>
            <w:rPr>
              <w:color w:val="3F3F3F"/>
              <w:spacing w:val="-21"/>
              <w:w w:val="105"/>
            </w:rPr>
            <w:t> </w:t>
          </w:r>
          <w:r>
            <w:rPr>
              <w:color w:val="3F3F3F"/>
              <w:w w:val="105"/>
            </w:rPr>
            <w:t>8</w:t>
            <w:tab/>
            <w:t>Support</w:t>
          </w:r>
          <w:r>
            <w:rPr>
              <w:color w:val="3F3F3F"/>
              <w:spacing w:val="-14"/>
              <w:w w:val="105"/>
            </w:rPr>
            <w:t> </w:t>
          </w:r>
          <w:r>
            <w:rPr>
              <w:color w:val="3F3F3F"/>
              <w:w w:val="105"/>
            </w:rPr>
            <w:t>costs</w:t>
            <w:tab/>
            <w:t>18</w:t>
          </w:r>
        </w:p>
        <w:p>
          <w:pPr>
            <w:pStyle w:val="TOC2"/>
            <w:tabs>
              <w:tab w:pos="2709" w:val="left" w:leader="none"/>
              <w:tab w:pos="8764" w:val="right" w:leader="dot"/>
            </w:tabs>
            <w:spacing w:before="2"/>
          </w:pPr>
          <w:hyperlink w:history="true" w:anchor="_TOC_250008">
            <w:r>
              <w:rPr>
                <w:color w:val="3F3F3F"/>
                <w:w w:val="105"/>
              </w:rPr>
              <w:t>Note</w:t>
            </w:r>
            <w:r>
              <w:rPr>
                <w:color w:val="3F3F3F"/>
                <w:spacing w:val="-26"/>
                <w:w w:val="105"/>
              </w:rPr>
              <w:t> </w:t>
            </w:r>
            <w:r>
              <w:rPr>
                <w:color w:val="3F3F3F"/>
                <w:w w:val="105"/>
              </w:rPr>
              <w:t>9</w:t>
              <w:tab/>
            </w:r>
            <w:r>
              <w:rPr>
                <w:color w:val="3F3F3F"/>
                <w:spacing w:val="-5"/>
                <w:w w:val="105"/>
              </w:rPr>
              <w:t>Not</w:t>
            </w:r>
            <w:r>
              <w:rPr>
                <w:color w:val="262626"/>
                <w:spacing w:val="-5"/>
                <w:w w:val="105"/>
              </w:rPr>
              <w:t>i</w:t>
            </w:r>
            <w:r>
              <w:rPr>
                <w:color w:val="3F3F3F"/>
                <w:spacing w:val="-5"/>
                <w:w w:val="105"/>
              </w:rPr>
              <w:t>fied</w:t>
            </w:r>
            <w:r>
              <w:rPr>
                <w:color w:val="3F3F3F"/>
                <w:spacing w:val="-28"/>
                <w:w w:val="105"/>
              </w:rPr>
              <w:t> </w:t>
            </w:r>
            <w:r>
              <w:rPr>
                <w:color w:val="3F3F3F"/>
                <w:w w:val="105"/>
              </w:rPr>
              <w:t>legacies</w:t>
              <w:tab/>
              <w:t>18</w:t>
            </w:r>
          </w:hyperlink>
        </w:p>
        <w:p>
          <w:pPr>
            <w:pStyle w:val="TOC2"/>
            <w:tabs>
              <w:tab w:pos="8745" w:val="right" w:leader="dot"/>
            </w:tabs>
            <w:ind w:left="1929"/>
          </w:pPr>
          <w:hyperlink w:history="true" w:anchor="_TOC_250007">
            <w:r>
              <w:rPr>
                <w:color w:val="3F3F3F"/>
              </w:rPr>
              <w:t>Note 10   Stipend and salary</w:t>
            </w:r>
            <w:r>
              <w:rPr>
                <w:color w:val="3F3F3F"/>
                <w:spacing w:val="2"/>
              </w:rPr>
              <w:t> </w:t>
            </w:r>
            <w:r>
              <w:rPr>
                <w:color w:val="3F3F3F"/>
              </w:rPr>
              <w:t>costs</w:t>
              <w:tab/>
              <w:t>19</w:t>
            </w:r>
          </w:hyperlink>
        </w:p>
        <w:p>
          <w:pPr>
            <w:pStyle w:val="TOC2"/>
            <w:tabs>
              <w:tab w:pos="8751" w:val="right" w:leader="dot"/>
            </w:tabs>
          </w:pPr>
          <w:hyperlink w:history="true" w:anchor="_TOC_250006">
            <w:r>
              <w:rPr>
                <w:color w:val="575757"/>
                <w:spacing w:val="-5"/>
                <w:w w:val="110"/>
              </w:rPr>
              <w:t>N</w:t>
            </w:r>
            <w:r>
              <w:rPr>
                <w:color w:val="3F3F3F"/>
                <w:spacing w:val="-5"/>
                <w:w w:val="110"/>
              </w:rPr>
              <w:t>ote </w:t>
            </w:r>
            <w:r>
              <w:rPr>
                <w:rFonts w:ascii="Arial"/>
                <w:b/>
                <w:color w:val="3F3F3F"/>
                <w:w w:val="110"/>
                <w:sz w:val="17"/>
              </w:rPr>
              <w:t>11   </w:t>
            </w:r>
            <w:r>
              <w:rPr>
                <w:color w:val="3F3F3F"/>
                <w:spacing w:val="-6"/>
                <w:w w:val="110"/>
              </w:rPr>
              <w:t>Tangib</w:t>
            </w:r>
            <w:r>
              <w:rPr>
                <w:color w:val="262626"/>
                <w:spacing w:val="-6"/>
                <w:w w:val="110"/>
              </w:rPr>
              <w:t>l</w:t>
            </w:r>
            <w:r>
              <w:rPr>
                <w:color w:val="3F3F3F"/>
                <w:spacing w:val="-6"/>
                <w:w w:val="110"/>
              </w:rPr>
              <w:t>e</w:t>
            </w:r>
            <w:r>
              <w:rPr>
                <w:color w:val="3F3F3F"/>
                <w:spacing w:val="-22"/>
                <w:w w:val="110"/>
              </w:rPr>
              <w:t> </w:t>
            </w:r>
            <w:r>
              <w:rPr>
                <w:color w:val="3F3F3F"/>
                <w:spacing w:val="-6"/>
                <w:w w:val="110"/>
              </w:rPr>
              <w:t>fix</w:t>
            </w:r>
            <w:r>
              <w:rPr>
                <w:color w:val="262626"/>
                <w:spacing w:val="-6"/>
                <w:w w:val="110"/>
              </w:rPr>
              <w:t>ed</w:t>
            </w:r>
            <w:r>
              <w:rPr>
                <w:color w:val="262626"/>
                <w:spacing w:val="-16"/>
                <w:w w:val="110"/>
              </w:rPr>
              <w:t> </w:t>
            </w:r>
            <w:r>
              <w:rPr>
                <w:color w:val="3F3F3F"/>
                <w:spacing w:val="-6"/>
                <w:w w:val="110"/>
              </w:rPr>
              <w:t>asse</w:t>
            </w:r>
            <w:r>
              <w:rPr>
                <w:color w:val="262626"/>
                <w:spacing w:val="-6"/>
                <w:w w:val="110"/>
              </w:rPr>
              <w:t>t</w:t>
            </w:r>
            <w:r>
              <w:rPr>
                <w:color w:val="3F3F3F"/>
                <w:spacing w:val="-6"/>
                <w:w w:val="110"/>
              </w:rPr>
              <w:t>s</w:t>
              <w:tab/>
            </w:r>
            <w:r>
              <w:rPr>
                <w:color w:val="3F3F3F"/>
                <w:w w:val="110"/>
              </w:rPr>
              <w:t>19</w:t>
            </w:r>
          </w:hyperlink>
        </w:p>
        <w:p>
          <w:pPr>
            <w:pStyle w:val="TOC2"/>
            <w:tabs>
              <w:tab w:pos="8740" w:val="right" w:leader="dot"/>
            </w:tabs>
          </w:pPr>
          <w:r>
            <w:rPr>
              <w:color w:val="3F3F3F"/>
              <w:w w:val="105"/>
            </w:rPr>
            <w:t>Note</w:t>
          </w:r>
          <w:r>
            <w:rPr>
              <w:color w:val="3F3F3F"/>
              <w:spacing w:val="-22"/>
              <w:w w:val="105"/>
            </w:rPr>
            <w:t> </w:t>
          </w:r>
          <w:r>
            <w:rPr>
              <w:color w:val="3F3F3F"/>
              <w:w w:val="105"/>
            </w:rPr>
            <w:t>12  </w:t>
          </w:r>
          <w:r>
            <w:rPr>
              <w:color w:val="3F3F3F"/>
              <w:spacing w:val="23"/>
              <w:w w:val="105"/>
            </w:rPr>
            <w:t> </w:t>
          </w:r>
          <w:r>
            <w:rPr>
              <w:color w:val="3F3F3F"/>
              <w:spacing w:val="-6"/>
              <w:w w:val="105"/>
            </w:rPr>
            <w:t>Investme</w:t>
          </w:r>
          <w:r>
            <w:rPr>
              <w:color w:val="262626"/>
              <w:spacing w:val="-6"/>
              <w:w w:val="105"/>
            </w:rPr>
            <w:t>n</w:t>
          </w:r>
          <w:r>
            <w:rPr>
              <w:color w:val="3F3F3F"/>
              <w:spacing w:val="-6"/>
              <w:w w:val="105"/>
            </w:rPr>
            <w:t>ts</w:t>
            <w:tab/>
          </w:r>
          <w:r>
            <w:rPr>
              <w:color w:val="3F3F3F"/>
              <w:w w:val="105"/>
            </w:rPr>
            <w:t>20</w:t>
          </w:r>
        </w:p>
        <w:p>
          <w:pPr>
            <w:pStyle w:val="TOC2"/>
            <w:tabs>
              <w:tab w:pos="8757" w:val="right" w:leader="dot"/>
            </w:tabs>
          </w:pPr>
          <w:hyperlink w:history="true" w:anchor="_TOC_250005">
            <w:r>
              <w:rPr>
                <w:color w:val="575757"/>
                <w:spacing w:val="-5"/>
                <w:w w:val="105"/>
              </w:rPr>
              <w:t>N</w:t>
            </w:r>
            <w:r>
              <w:rPr>
                <w:color w:val="3F3F3F"/>
                <w:spacing w:val="-5"/>
                <w:w w:val="105"/>
              </w:rPr>
              <w:t>ote </w:t>
            </w:r>
            <w:r>
              <w:rPr>
                <w:color w:val="3F3F3F"/>
                <w:w w:val="105"/>
              </w:rPr>
              <w:t>13   </w:t>
            </w:r>
            <w:r>
              <w:rPr>
                <w:color w:val="3F3F3F"/>
                <w:spacing w:val="-6"/>
                <w:w w:val="105"/>
              </w:rPr>
              <w:t>Programme</w:t>
            </w:r>
            <w:r>
              <w:rPr>
                <w:color w:val="262626"/>
                <w:spacing w:val="-6"/>
                <w:w w:val="105"/>
              </w:rPr>
              <w:t>-</w:t>
            </w:r>
            <w:r>
              <w:rPr>
                <w:color w:val="3F3F3F"/>
                <w:spacing w:val="-6"/>
                <w:w w:val="105"/>
              </w:rPr>
              <w:t>relate</w:t>
            </w:r>
            <w:r>
              <w:rPr>
                <w:color w:val="262626"/>
                <w:spacing w:val="-6"/>
                <w:w w:val="105"/>
              </w:rPr>
              <w:t>d</w:t>
            </w:r>
            <w:r>
              <w:rPr>
                <w:color w:val="262626"/>
                <w:spacing w:val="-24"/>
                <w:w w:val="105"/>
              </w:rPr>
              <w:t> </w:t>
            </w:r>
            <w:r>
              <w:rPr>
                <w:color w:val="3F3F3F"/>
                <w:w w:val="105"/>
              </w:rPr>
              <w:t>in</w:t>
            </w:r>
            <w:r>
              <w:rPr>
                <w:color w:val="575757"/>
                <w:w w:val="105"/>
              </w:rPr>
              <w:t>v</w:t>
            </w:r>
            <w:r>
              <w:rPr>
                <w:color w:val="3F3F3F"/>
                <w:w w:val="105"/>
              </w:rPr>
              <w:t>estmen</w:t>
            </w:r>
            <w:r>
              <w:rPr>
                <w:color w:val="3F3F3F"/>
                <w:spacing w:val="3"/>
                <w:w w:val="105"/>
              </w:rPr>
              <w:t> </w:t>
            </w:r>
            <w:r>
              <w:rPr>
                <w:color w:val="262626"/>
                <w:spacing w:val="-9"/>
                <w:w w:val="105"/>
              </w:rPr>
              <w:t>t</w:t>
            </w:r>
            <w:r>
              <w:rPr>
                <w:color w:val="3F3F3F"/>
                <w:spacing w:val="-9"/>
                <w:w w:val="105"/>
              </w:rPr>
              <w:t>s</w:t>
              <w:tab/>
            </w:r>
            <w:r>
              <w:rPr>
                <w:color w:val="3F3F3F"/>
                <w:w w:val="105"/>
              </w:rPr>
              <w:t>20</w:t>
            </w:r>
          </w:hyperlink>
        </w:p>
        <w:p>
          <w:pPr>
            <w:pStyle w:val="TOC2"/>
            <w:tabs>
              <w:tab w:pos="8757" w:val="right" w:leader="dot"/>
            </w:tabs>
            <w:spacing w:line="215" w:lineRule="exact" w:before="12"/>
          </w:pPr>
          <w:hyperlink w:history="true" w:anchor="_TOC_250004">
            <w:r>
              <w:rPr>
                <w:color w:val="3F3F3F"/>
                <w:w w:val="105"/>
              </w:rPr>
              <w:t>Note</w:t>
            </w:r>
            <w:r>
              <w:rPr>
                <w:color w:val="3F3F3F"/>
                <w:spacing w:val="-24"/>
                <w:w w:val="105"/>
              </w:rPr>
              <w:t> </w:t>
            </w:r>
            <w:r>
              <w:rPr>
                <w:color w:val="3F3F3F"/>
                <w:w w:val="105"/>
              </w:rPr>
              <w:t>14  </w:t>
            </w:r>
            <w:r>
              <w:rPr>
                <w:color w:val="3F3F3F"/>
                <w:spacing w:val="36"/>
                <w:w w:val="105"/>
              </w:rPr>
              <w:t> </w:t>
            </w:r>
            <w:r>
              <w:rPr>
                <w:color w:val="3F3F3F"/>
                <w:w w:val="105"/>
              </w:rPr>
              <w:t>Loans</w:t>
              <w:tab/>
              <w:t>20</w:t>
            </w:r>
          </w:hyperlink>
        </w:p>
        <w:p>
          <w:pPr>
            <w:pStyle w:val="TOC2"/>
            <w:tabs>
              <w:tab w:pos="8755" w:val="right" w:leader="dot"/>
            </w:tabs>
            <w:spacing w:line="215" w:lineRule="exact" w:before="0"/>
          </w:pPr>
          <w:hyperlink w:history="true" w:anchor="_TOC_250003">
            <w:r>
              <w:rPr>
                <w:color w:val="3F3F3F"/>
                <w:w w:val="110"/>
              </w:rPr>
              <w:t>Note</w:t>
            </w:r>
            <w:r>
              <w:rPr>
                <w:color w:val="3F3F3F"/>
                <w:spacing w:val="-16"/>
                <w:w w:val="110"/>
              </w:rPr>
              <w:t> </w:t>
            </w:r>
            <w:r>
              <w:rPr>
                <w:color w:val="3F3F3F"/>
                <w:w w:val="110"/>
              </w:rPr>
              <w:t>15  </w:t>
            </w:r>
            <w:r>
              <w:rPr>
                <w:color w:val="3F3F3F"/>
                <w:spacing w:val="9"/>
                <w:w w:val="110"/>
              </w:rPr>
              <w:t> </w:t>
            </w:r>
            <w:r>
              <w:rPr>
                <w:color w:val="262626"/>
                <w:spacing w:val="-4"/>
                <w:w w:val="110"/>
              </w:rPr>
              <w:t>D</w:t>
            </w:r>
            <w:r>
              <w:rPr>
                <w:color w:val="3F3F3F"/>
                <w:spacing w:val="-4"/>
                <w:w w:val="110"/>
              </w:rPr>
              <w:t>ebtors</w:t>
              <w:tab/>
            </w:r>
            <w:r>
              <w:rPr>
                <w:color w:val="3F3F3F"/>
                <w:w w:val="110"/>
              </w:rPr>
              <w:t>20</w:t>
            </w:r>
          </w:hyperlink>
        </w:p>
        <w:p>
          <w:pPr>
            <w:pStyle w:val="TOC2"/>
            <w:tabs>
              <w:tab w:pos="8740" w:val="right" w:leader="dot"/>
            </w:tabs>
            <w:spacing w:line="215" w:lineRule="exact" w:before="13"/>
          </w:pPr>
          <w:r>
            <w:rPr>
              <w:color w:val="3F3F3F"/>
            </w:rPr>
            <w:t>Note 16 </w:t>
          </w:r>
          <w:r>
            <w:rPr>
              <w:color w:val="3F3F3F"/>
              <w:spacing w:val="6"/>
            </w:rPr>
            <w:t> </w:t>
          </w:r>
          <w:r>
            <w:rPr>
              <w:color w:val="3F3F3F"/>
            </w:rPr>
            <w:t>Current </w:t>
          </w:r>
          <w:r>
            <w:rPr>
              <w:color w:val="3F3F3F"/>
              <w:spacing w:val="-7"/>
            </w:rPr>
            <w:t>liab</w:t>
          </w:r>
          <w:r>
            <w:rPr>
              <w:color w:val="151515"/>
              <w:spacing w:val="-7"/>
            </w:rPr>
            <w:t>i</w:t>
          </w:r>
          <w:r>
            <w:rPr>
              <w:color w:val="3F3F3F"/>
              <w:spacing w:val="-7"/>
            </w:rPr>
            <w:t>lit</w:t>
          </w:r>
          <w:r>
            <w:rPr>
              <w:color w:val="262626"/>
              <w:spacing w:val="-7"/>
            </w:rPr>
            <w:t>i</w:t>
          </w:r>
          <w:r>
            <w:rPr>
              <w:color w:val="3F3F3F"/>
              <w:spacing w:val="-7"/>
            </w:rPr>
            <w:t>es </w:t>
          </w:r>
          <w:r>
            <w:rPr>
              <w:color w:val="575757"/>
            </w:rPr>
            <w:t>(</w:t>
          </w:r>
          <w:r>
            <w:rPr>
              <w:color w:val="3F3F3F"/>
            </w:rPr>
            <w:t>amounts falJing due with.in one</w:t>
          </w:r>
          <w:r>
            <w:rPr>
              <w:color w:val="3F3F3F"/>
              <w:spacing w:val="-21"/>
            </w:rPr>
            <w:t> </w:t>
          </w:r>
          <w:r>
            <w:rPr>
              <w:color w:val="3F3F3F"/>
              <w:spacing w:val="-5"/>
            </w:rPr>
            <w:t>year</w:t>
          </w:r>
          <w:r>
            <w:rPr>
              <w:color w:val="262626"/>
              <w:spacing w:val="-5"/>
            </w:rPr>
            <w:t>)</w:t>
            <w:tab/>
          </w:r>
          <w:r>
            <w:rPr>
              <w:color w:val="3F3F3F"/>
            </w:rPr>
            <w:t>21</w:t>
          </w:r>
        </w:p>
        <w:p>
          <w:pPr>
            <w:pStyle w:val="TOC2"/>
            <w:tabs>
              <w:tab w:pos="8736" w:val="right" w:leader="dot"/>
            </w:tabs>
            <w:spacing w:line="215" w:lineRule="exact" w:before="0"/>
          </w:pPr>
          <w:hyperlink w:history="true" w:anchor="_TOC_250002">
            <w:r>
              <w:rPr>
                <w:color w:val="575757"/>
                <w:w w:val="105"/>
              </w:rPr>
              <w:t>N</w:t>
            </w:r>
            <w:r>
              <w:rPr>
                <w:color w:val="3F3F3F"/>
                <w:w w:val="105"/>
              </w:rPr>
              <w:t>ote</w:t>
            </w:r>
            <w:r>
              <w:rPr>
                <w:color w:val="262626"/>
                <w:w w:val="105"/>
              </w:rPr>
              <w:t>17 </w:t>
            </w:r>
            <w:r>
              <w:rPr>
                <w:color w:val="262626"/>
                <w:spacing w:val="4"/>
                <w:w w:val="105"/>
              </w:rPr>
              <w:t> </w:t>
            </w:r>
            <w:r>
              <w:rPr>
                <w:color w:val="3F3F3F"/>
                <w:w w:val="105"/>
              </w:rPr>
              <w:t>The United Reformed Church M</w:t>
            </w:r>
            <w:r>
              <w:rPr>
                <w:color w:val="262626"/>
                <w:w w:val="105"/>
              </w:rPr>
              <w:t>i</w:t>
            </w:r>
            <w:r>
              <w:rPr>
                <w:color w:val="3F3F3F"/>
                <w:w w:val="105"/>
              </w:rPr>
              <w:t>nisters'Pension</w:t>
            </w:r>
            <w:r>
              <w:rPr>
                <w:color w:val="3F3F3F"/>
                <w:spacing w:val="-16"/>
                <w:w w:val="105"/>
              </w:rPr>
              <w:t> </w:t>
            </w:r>
            <w:r>
              <w:rPr>
                <w:color w:val="3F3F3F"/>
                <w:w w:val="105"/>
              </w:rPr>
              <w:t>Fund</w:t>
              <w:tab/>
              <w:t>21</w:t>
            </w:r>
          </w:hyperlink>
        </w:p>
        <w:p>
          <w:pPr>
            <w:pStyle w:val="TOC2"/>
            <w:tabs>
              <w:tab w:pos="8748" w:val="right" w:leader="dot"/>
            </w:tabs>
            <w:spacing w:line="215" w:lineRule="exact" w:before="12"/>
          </w:pPr>
          <w:r>
            <w:rPr>
              <w:color w:val="3F3F3F"/>
            </w:rPr>
            <w:t>Note </w:t>
          </w:r>
          <w:r>
            <w:rPr>
              <w:color w:val="3F3F3F"/>
              <w:spacing w:val="6"/>
            </w:rPr>
            <w:t>I8 </w:t>
          </w:r>
          <w:r>
            <w:rPr>
              <w:color w:val="3F3F3F"/>
              <w:spacing w:val="59"/>
            </w:rPr>
            <w:t> </w:t>
          </w:r>
          <w:r>
            <w:rPr>
              <w:color w:val="3F3F3F"/>
            </w:rPr>
            <w:t>The United Reformed Church </w:t>
          </w:r>
          <w:r>
            <w:rPr>
              <w:color w:val="575757"/>
            </w:rPr>
            <w:t>F</w:t>
          </w:r>
          <w:r>
            <w:rPr>
              <w:color w:val="3F3F3F"/>
            </w:rPr>
            <w:t>in</w:t>
          </w:r>
          <w:r>
            <w:rPr>
              <w:color w:val="262626"/>
            </w:rPr>
            <w:t>al</w:t>
          </w:r>
          <w:r>
            <w:rPr>
              <w:color w:val="262626"/>
              <w:spacing w:val="-14"/>
            </w:rPr>
            <w:t> </w:t>
          </w:r>
          <w:r>
            <w:rPr>
              <w:color w:val="3F3F3F"/>
            </w:rPr>
            <w:t>Salary</w:t>
          </w:r>
          <w:r>
            <w:rPr>
              <w:color w:val="3F3F3F"/>
              <w:spacing w:val="-5"/>
            </w:rPr>
            <w:t> </w:t>
          </w:r>
          <w:r>
            <w:rPr>
              <w:color w:val="3F3F3F"/>
            </w:rPr>
            <w:t>Scheme</w:t>
            <w:tab/>
            <w:t>23</w:t>
          </w:r>
        </w:p>
        <w:p>
          <w:pPr>
            <w:pStyle w:val="TOC2"/>
            <w:tabs>
              <w:tab w:pos="8734" w:val="right" w:leader="dot"/>
            </w:tabs>
            <w:spacing w:line="215" w:lineRule="exact" w:before="0"/>
          </w:pPr>
          <w:hyperlink w:history="true" w:anchor="_TOC_250001">
            <w:r>
              <w:rPr>
                <w:color w:val="3F3F3F"/>
              </w:rPr>
              <w:t>Note</w:t>
            </w:r>
            <w:r>
              <w:rPr>
                <w:color w:val="3F3F3F"/>
                <w:spacing w:val="-20"/>
              </w:rPr>
              <w:t> </w:t>
            </w:r>
            <w:r>
              <w:rPr>
                <w:color w:val="3F3F3F"/>
              </w:rPr>
              <w:t>19  </w:t>
            </w:r>
            <w:r>
              <w:rPr>
                <w:color w:val="3F3F3F"/>
                <w:spacing w:val="29"/>
              </w:rPr>
              <w:t> </w:t>
            </w:r>
            <w:r>
              <w:rPr>
                <w:color w:val="3F3F3F"/>
              </w:rPr>
              <w:t>Commitments</w:t>
              <w:tab/>
              <w:t>23</w:t>
            </w:r>
          </w:hyperlink>
        </w:p>
        <w:p>
          <w:pPr>
            <w:pStyle w:val="TOC2"/>
            <w:tabs>
              <w:tab w:pos="8734" w:val="right" w:leader="dot"/>
            </w:tabs>
            <w:spacing w:line="215" w:lineRule="exact" w:before="13"/>
          </w:pPr>
          <w:r>
            <w:rPr>
              <w:color w:val="575757"/>
              <w:spacing w:val="-5"/>
            </w:rPr>
            <w:t>N</w:t>
          </w:r>
          <w:r>
            <w:rPr>
              <w:color w:val="3F3F3F"/>
              <w:spacing w:val="-5"/>
            </w:rPr>
            <w:t>ote </w:t>
          </w:r>
          <w:r>
            <w:rPr>
              <w:color w:val="3F3F3F"/>
            </w:rPr>
            <w:t>20   Cash</w:t>
          </w:r>
          <w:r>
            <w:rPr>
              <w:color w:val="3F3F3F"/>
              <w:spacing w:val="-21"/>
            </w:rPr>
            <w:t> </w:t>
          </w:r>
          <w:r>
            <w:rPr>
              <w:color w:val="3F3F3F"/>
            </w:rPr>
            <w:t>Flow</w:t>
          </w:r>
          <w:r>
            <w:rPr>
              <w:color w:val="3F3F3F"/>
              <w:spacing w:val="-10"/>
            </w:rPr>
            <w:t> </w:t>
          </w:r>
          <w:r>
            <w:rPr>
              <w:color w:val="3F3F3F"/>
            </w:rPr>
            <w:t>information</w:t>
            <w:tab/>
            <w:t>23</w:t>
          </w:r>
        </w:p>
        <w:p>
          <w:pPr>
            <w:pStyle w:val="TOC1"/>
            <w:tabs>
              <w:tab w:pos="8757" w:val="right" w:leader="dot"/>
            </w:tabs>
            <w:spacing w:line="215" w:lineRule="exact" w:before="0"/>
            <w:ind w:left="1683"/>
          </w:pPr>
          <w:hyperlink w:history="true" w:anchor="_TOC_250000">
            <w:r>
              <w:rPr>
                <w:color w:val="3F3F3F"/>
                <w:w w:val="105"/>
              </w:rPr>
              <w:t>Statement</w:t>
            </w:r>
            <w:r>
              <w:rPr>
                <w:color w:val="3F3F3F"/>
                <w:spacing w:val="-13"/>
                <w:w w:val="105"/>
              </w:rPr>
              <w:t> </w:t>
            </w:r>
            <w:r>
              <w:rPr>
                <w:color w:val="3F3F3F"/>
                <w:w w:val="105"/>
              </w:rPr>
              <w:t>ofr</w:t>
            </w:r>
            <w:r>
              <w:rPr>
                <w:color w:val="3F3F3F"/>
                <w:spacing w:val="-4"/>
                <w:w w:val="105"/>
              </w:rPr>
              <w:t> </w:t>
            </w:r>
            <w:r>
              <w:rPr>
                <w:color w:val="3F3F3F"/>
                <w:spacing w:val="-5"/>
                <w:w w:val="105"/>
              </w:rPr>
              <w:t>esponsib</w:t>
            </w:r>
            <w:r>
              <w:rPr>
                <w:color w:val="262626"/>
                <w:spacing w:val="-5"/>
                <w:w w:val="105"/>
              </w:rPr>
              <w:t>i</w:t>
            </w:r>
            <w:r>
              <w:rPr>
                <w:color w:val="3F3F3F"/>
                <w:spacing w:val="-5"/>
                <w:w w:val="105"/>
              </w:rPr>
              <w:t>lit</w:t>
            </w:r>
            <w:r>
              <w:rPr>
                <w:color w:val="151515"/>
                <w:spacing w:val="-5"/>
                <w:w w:val="105"/>
              </w:rPr>
              <w:t>i</w:t>
            </w:r>
            <w:r>
              <w:rPr>
                <w:color w:val="3F3F3F"/>
                <w:spacing w:val="-5"/>
                <w:w w:val="105"/>
              </w:rPr>
              <w:t>es</w:t>
            </w:r>
            <w:r>
              <w:rPr>
                <w:color w:val="3F3F3F"/>
                <w:spacing w:val="-21"/>
                <w:w w:val="105"/>
              </w:rPr>
              <w:t> </w:t>
            </w:r>
            <w:r>
              <w:rPr>
                <w:color w:val="3F3F3F"/>
                <w:w w:val="105"/>
              </w:rPr>
              <w:t>for</w:t>
            </w:r>
            <w:r>
              <w:rPr>
                <w:color w:val="3F3F3F"/>
                <w:spacing w:val="-19"/>
                <w:w w:val="105"/>
              </w:rPr>
              <w:t> </w:t>
            </w:r>
            <w:r>
              <w:rPr>
                <w:color w:val="3F3F3F"/>
                <w:w w:val="105"/>
              </w:rPr>
              <w:t>the</w:t>
            </w:r>
            <w:r>
              <w:rPr>
                <w:color w:val="3F3F3F"/>
                <w:spacing w:val="-30"/>
                <w:w w:val="105"/>
              </w:rPr>
              <w:t> </w:t>
            </w:r>
            <w:r>
              <w:rPr>
                <w:color w:val="3F3F3F"/>
                <w:w w:val="105"/>
              </w:rPr>
              <w:t>Trustee's</w:t>
            </w:r>
            <w:r>
              <w:rPr>
                <w:color w:val="3F3F3F"/>
                <w:spacing w:val="-11"/>
                <w:w w:val="105"/>
              </w:rPr>
              <w:t> </w:t>
            </w:r>
            <w:r>
              <w:rPr>
                <w:color w:val="3F3F3F"/>
                <w:w w:val="105"/>
              </w:rPr>
              <w:t>report</w:t>
            </w:r>
            <w:r>
              <w:rPr>
                <w:color w:val="3F3F3F"/>
                <w:spacing w:val="-21"/>
                <w:w w:val="105"/>
              </w:rPr>
              <w:t> </w:t>
            </w:r>
            <w:r>
              <w:rPr>
                <w:color w:val="3F3F3F"/>
                <w:w w:val="105"/>
              </w:rPr>
              <w:t>and</w:t>
            </w:r>
            <w:r>
              <w:rPr>
                <w:color w:val="3F3F3F"/>
                <w:spacing w:val="-23"/>
                <w:w w:val="105"/>
              </w:rPr>
              <w:t> </w:t>
            </w:r>
            <w:r>
              <w:rPr>
                <w:color w:val="3F3F3F"/>
                <w:spacing w:val="-5"/>
                <w:w w:val="105"/>
              </w:rPr>
              <w:t>annua</w:t>
            </w:r>
            <w:r>
              <w:rPr>
                <w:color w:val="262626"/>
                <w:spacing w:val="-5"/>
                <w:w w:val="105"/>
              </w:rPr>
              <w:t>l</w:t>
            </w:r>
            <w:r>
              <w:rPr>
                <w:color w:val="262626"/>
                <w:spacing w:val="-10"/>
                <w:w w:val="105"/>
              </w:rPr>
              <w:t> </w:t>
            </w:r>
            <w:r>
              <w:rPr>
                <w:color w:val="3F3F3F"/>
                <w:w w:val="105"/>
              </w:rPr>
              <w:t>accounts</w:t>
              <w:tab/>
              <w:t>24</w:t>
            </w:r>
          </w:hyperlink>
        </w:p>
        <w:p>
          <w:pPr>
            <w:pStyle w:val="TOC1"/>
            <w:tabs>
              <w:tab w:pos="8755" w:val="right" w:leader="dot"/>
            </w:tabs>
            <w:spacing w:before="12"/>
            <w:ind w:left="1681"/>
          </w:pPr>
          <w:r>
            <w:rPr>
              <w:color w:val="3F3F3F"/>
              <w:w w:val="105"/>
            </w:rPr>
            <w:t>Independent</w:t>
          </w:r>
          <w:r>
            <w:rPr>
              <w:color w:val="3F3F3F"/>
              <w:spacing w:val="-3"/>
              <w:w w:val="105"/>
            </w:rPr>
            <w:t> </w:t>
          </w:r>
          <w:r>
            <w:rPr>
              <w:color w:val="3F3F3F"/>
              <w:w w:val="105"/>
            </w:rPr>
            <w:t>aud</w:t>
          </w:r>
          <w:r>
            <w:rPr>
              <w:color w:val="262626"/>
              <w:w w:val="105"/>
            </w:rPr>
            <w:t>i</w:t>
          </w:r>
          <w:r>
            <w:rPr>
              <w:color w:val="3F3F3F"/>
              <w:w w:val="105"/>
            </w:rPr>
            <w:t>tors'report</w:t>
            <w:tab/>
            <w:t>25</w:t>
          </w:r>
        </w:p>
        <w:p>
          <w:pPr>
            <w:pStyle w:val="TOC1"/>
            <w:tabs>
              <w:tab w:pos="8727" w:val="right" w:leader="dot"/>
            </w:tabs>
            <w:ind w:left="1678"/>
          </w:pPr>
          <w:r>
            <w:rPr>
              <w:color w:val="3F3F3F"/>
              <w:w w:val="105"/>
            </w:rPr>
            <w:t>five</w:t>
          </w:r>
          <w:r>
            <w:rPr>
              <w:color w:val="3F3F3F"/>
              <w:spacing w:val="-25"/>
              <w:w w:val="105"/>
            </w:rPr>
            <w:t> </w:t>
          </w:r>
          <w:r>
            <w:rPr>
              <w:color w:val="3F3F3F"/>
              <w:w w:val="105"/>
            </w:rPr>
            <w:t>year</w:t>
          </w:r>
          <w:r>
            <w:rPr>
              <w:color w:val="3F3F3F"/>
              <w:spacing w:val="-15"/>
              <w:w w:val="105"/>
            </w:rPr>
            <w:t> </w:t>
          </w:r>
          <w:r>
            <w:rPr>
              <w:color w:val="3F3F3F"/>
              <w:w w:val="105"/>
            </w:rPr>
            <w:t>surrunary</w:t>
            <w:tab/>
            <w:t>27</w:t>
          </w:r>
        </w:p>
      </w:sdtContent>
    </w:sdt>
    <w:p>
      <w:pPr>
        <w:spacing w:before="705"/>
        <w:ind w:left="1132" w:right="0" w:firstLine="0"/>
        <w:jc w:val="left"/>
        <w:rPr>
          <w:rFonts w:ascii="Times New Roman"/>
          <w:i/>
          <w:sz w:val="20"/>
        </w:rPr>
      </w:pPr>
      <w:r>
        <w:rPr/>
        <w:pict>
          <v:line style="position:absolute;mso-position-horizontal-relative:page;mso-position-vertical-relative:paragraph;z-index:252095488" from="69.816589pt,33.039341pt" to="540.717467pt,33.039341pt" stroked="true" strokeweight=".481115pt" strokecolor="#000000">
            <v:stroke dashstyle="solid"/>
            <w10:wrap type="none"/>
          </v:line>
        </w:pict>
      </w:r>
      <w:r>
        <w:rPr>
          <w:rFonts w:ascii="Times New Roman"/>
          <w:i/>
          <w:color w:val="3F3F3F"/>
          <w:w w:val="105"/>
          <w:sz w:val="20"/>
        </w:rPr>
        <w:t>For readers unfamiliar with financial statements there is an explanatory note at the foot of most pages</w:t>
      </w:r>
    </w:p>
    <w:p>
      <w:pPr>
        <w:tabs>
          <w:tab w:pos="3800" w:val="left" w:leader="none"/>
          <w:tab w:pos="10574" w:val="left" w:leader="none"/>
        </w:tabs>
        <w:spacing w:before="21"/>
        <w:ind w:left="896" w:right="-130" w:firstLine="0"/>
        <w:jc w:val="left"/>
        <w:rPr>
          <w:rFonts w:ascii="Times New Roman"/>
          <w:i/>
          <w:sz w:val="20"/>
        </w:rPr>
      </w:pPr>
      <w:r>
        <w:rPr>
          <w:rFonts w:ascii="Times New Roman"/>
          <w:i/>
          <w:color w:val="3F3F3F"/>
          <w:w w:val="100"/>
          <w:sz w:val="20"/>
          <w:u w:val="single" w:color="000000"/>
        </w:rPr>
        <w:t> </w:t>
      </w:r>
      <w:r>
        <w:rPr>
          <w:rFonts w:ascii="Times New Roman"/>
          <w:i/>
          <w:color w:val="3F3F3F"/>
          <w:sz w:val="20"/>
          <w:u w:val="single" w:color="000000"/>
        </w:rPr>
        <w:tab/>
      </w:r>
      <w:r>
        <w:rPr>
          <w:rFonts w:ascii="Times New Roman"/>
          <w:i/>
          <w:color w:val="3F3F3F"/>
          <w:w w:val="110"/>
          <w:sz w:val="20"/>
          <w:u w:val="single" w:color="000000"/>
        </w:rPr>
        <w:t>describing</w:t>
      </w:r>
      <w:r>
        <w:rPr>
          <w:rFonts w:ascii="Times New Roman"/>
          <w:i/>
          <w:color w:val="3F3F3F"/>
          <w:spacing w:val="-27"/>
          <w:w w:val="110"/>
          <w:sz w:val="20"/>
          <w:u w:val="single" w:color="000000"/>
        </w:rPr>
        <w:t> </w:t>
      </w:r>
      <w:r>
        <w:rPr>
          <w:rFonts w:ascii="Times New Roman"/>
          <w:i/>
          <w:color w:val="3F3F3F"/>
          <w:w w:val="110"/>
          <w:sz w:val="20"/>
          <w:u w:val="single" w:color="000000"/>
        </w:rPr>
        <w:t>the</w:t>
      </w:r>
      <w:r>
        <w:rPr>
          <w:rFonts w:ascii="Times New Roman"/>
          <w:i/>
          <w:color w:val="3F3F3F"/>
          <w:spacing w:val="-34"/>
          <w:w w:val="110"/>
          <w:sz w:val="20"/>
          <w:u w:val="single" w:color="000000"/>
        </w:rPr>
        <w:t> </w:t>
      </w:r>
      <w:r>
        <w:rPr>
          <w:rFonts w:ascii="Times New Roman"/>
          <w:i/>
          <w:color w:val="3F3F3F"/>
          <w:w w:val="110"/>
          <w:sz w:val="20"/>
          <w:u w:val="single" w:color="000000"/>
        </w:rPr>
        <w:t>content</w:t>
      </w:r>
      <w:r>
        <w:rPr>
          <w:rFonts w:ascii="Times New Roman"/>
          <w:i/>
          <w:color w:val="3F3F3F"/>
          <w:spacing w:val="-36"/>
          <w:w w:val="110"/>
          <w:sz w:val="20"/>
          <w:u w:val="single" w:color="000000"/>
        </w:rPr>
        <w:t> </w:t>
      </w:r>
      <w:r>
        <w:rPr>
          <w:rFonts w:ascii="Times New Roman"/>
          <w:i/>
          <w:color w:val="3F3F3F"/>
          <w:w w:val="110"/>
          <w:sz w:val="20"/>
          <w:u w:val="single" w:color="000000"/>
        </w:rPr>
        <w:t>in</w:t>
      </w:r>
      <w:r>
        <w:rPr>
          <w:rFonts w:ascii="Times New Roman"/>
          <w:i/>
          <w:color w:val="3F3F3F"/>
          <w:spacing w:val="-28"/>
          <w:w w:val="110"/>
          <w:sz w:val="20"/>
          <w:u w:val="single" w:color="000000"/>
        </w:rPr>
        <w:t> </w:t>
      </w:r>
      <w:r>
        <w:rPr>
          <w:rFonts w:ascii="Times New Roman"/>
          <w:i/>
          <w:color w:val="3F3F3F"/>
          <w:w w:val="110"/>
          <w:sz w:val="20"/>
          <w:u w:val="single" w:color="000000"/>
        </w:rPr>
        <w:t>simple</w:t>
      </w:r>
      <w:r>
        <w:rPr>
          <w:rFonts w:ascii="Times New Roman"/>
          <w:i/>
          <w:color w:val="3F3F3F"/>
          <w:spacing w:val="-33"/>
          <w:w w:val="110"/>
          <w:sz w:val="20"/>
          <w:u w:val="single" w:color="000000"/>
        </w:rPr>
        <w:t> </w:t>
      </w:r>
      <w:r>
        <w:rPr>
          <w:rFonts w:ascii="Times New Roman"/>
          <w:i/>
          <w:color w:val="3F3F3F"/>
          <w:w w:val="110"/>
          <w:sz w:val="20"/>
          <w:u w:val="single" w:color="000000"/>
        </w:rPr>
        <w:t>terms.</w:t>
      </w:r>
      <w:r>
        <w:rPr>
          <w:rFonts w:ascii="Times New Roman"/>
          <w:i/>
          <w:color w:val="3F3F3F"/>
          <w:sz w:val="20"/>
          <w:u w:val="single" w:color="000000"/>
        </w:rPr>
        <w:tab/>
      </w:r>
    </w:p>
    <w:p>
      <w:pPr>
        <w:spacing w:after="0"/>
        <w:jc w:val="left"/>
        <w:rPr>
          <w:rFonts w:ascii="Times New Roman"/>
          <w:sz w:val="20"/>
        </w:rPr>
        <w:sectPr>
          <w:type w:val="continuous"/>
          <w:pgSz w:w="10950" w:h="15880"/>
          <w:pgMar w:top="680" w:bottom="280" w:left="500" w:right="0"/>
        </w:sectPr>
      </w:pPr>
    </w:p>
    <w:p>
      <w:pPr>
        <w:pStyle w:val="BodyText"/>
        <w:spacing w:before="63"/>
        <w:ind w:left="981"/>
        <w:rPr>
          <w:rFonts w:ascii="Arial"/>
          <w:sz w:val="22"/>
        </w:rPr>
      </w:pPr>
      <w:r>
        <w:rPr>
          <w:rFonts w:ascii="Times New Roman"/>
          <w:color w:val="3B3B3B"/>
          <w:w w:val="105"/>
        </w:rPr>
        <w:t>ACCOUNTS page </w:t>
      </w:r>
      <w:r>
        <w:rPr>
          <w:rFonts w:ascii="Arial"/>
          <w:color w:val="161616"/>
          <w:w w:val="105"/>
          <w:sz w:val="22"/>
        </w:rPr>
        <w:t>1</w:t>
      </w:r>
    </w:p>
    <w:p>
      <w:pPr>
        <w:pStyle w:val="BodyText"/>
        <w:rPr>
          <w:rFonts w:ascii="Arial"/>
          <w:sz w:val="22"/>
        </w:rPr>
      </w:pPr>
    </w:p>
    <w:p>
      <w:pPr>
        <w:pStyle w:val="BodyText"/>
        <w:spacing w:before="6"/>
        <w:rPr>
          <w:rFonts w:ascii="Arial"/>
          <w:sz w:val="25"/>
        </w:rPr>
      </w:pPr>
    </w:p>
    <w:p>
      <w:pPr>
        <w:spacing w:line="535" w:lineRule="auto" w:before="0"/>
        <w:ind w:left="3270" w:right="3236" w:firstLine="0"/>
        <w:jc w:val="center"/>
        <w:rPr>
          <w:rFonts w:ascii="Times New Roman"/>
          <w:b/>
          <w:sz w:val="21"/>
        </w:rPr>
      </w:pPr>
      <w:r>
        <w:rPr>
          <w:rFonts w:ascii="Times New Roman"/>
          <w:b/>
          <w:color w:val="161616"/>
          <w:w w:val="110"/>
          <w:sz w:val="21"/>
        </w:rPr>
        <w:t>THE UNITED REFORMED </w:t>
      </w:r>
      <w:r>
        <w:rPr>
          <w:rFonts w:ascii="Times New Roman"/>
          <w:b/>
          <w:color w:val="242424"/>
          <w:w w:val="110"/>
          <w:sz w:val="21"/>
        </w:rPr>
        <w:t>CHURCH </w:t>
      </w:r>
      <w:r>
        <w:rPr>
          <w:rFonts w:ascii="Times New Roman"/>
          <w:b/>
          <w:color w:val="161616"/>
          <w:w w:val="110"/>
          <w:sz w:val="21"/>
        </w:rPr>
        <w:t>TRUST</w:t>
      </w:r>
      <w:r>
        <w:rPr>
          <w:rFonts w:ascii="Times New Roman"/>
          <w:b/>
          <w:color w:val="3B3B3B"/>
          <w:w w:val="110"/>
          <w:sz w:val="21"/>
        </w:rPr>
        <w:t>EE</w:t>
      </w:r>
      <w:r>
        <w:rPr>
          <w:rFonts w:ascii="Times New Roman"/>
          <w:b/>
          <w:color w:val="161616"/>
          <w:w w:val="110"/>
          <w:sz w:val="21"/>
        </w:rPr>
        <w:t>'S REPORT</w:t>
      </w:r>
    </w:p>
    <w:p>
      <w:pPr>
        <w:spacing w:line="221" w:lineRule="exact" w:before="0"/>
        <w:ind w:left="979" w:right="0" w:firstLine="0"/>
        <w:jc w:val="both"/>
        <w:rPr>
          <w:rFonts w:ascii="Times New Roman"/>
          <w:b/>
          <w:sz w:val="20"/>
        </w:rPr>
      </w:pPr>
      <w:bookmarkStart w:name="_TOC_250019" w:id="2"/>
      <w:r>
        <w:rPr>
          <w:rFonts w:ascii="Times New Roman"/>
          <w:b/>
          <w:color w:val="242424"/>
          <w:w w:val="105"/>
          <w:sz w:val="20"/>
        </w:rPr>
        <w:t>REFERENCE AND </w:t>
      </w:r>
      <w:r>
        <w:rPr>
          <w:rFonts w:ascii="Times New Roman"/>
          <w:b/>
          <w:color w:val="161616"/>
          <w:w w:val="105"/>
          <w:sz w:val="20"/>
        </w:rPr>
        <w:t>ADMINI</w:t>
      </w:r>
      <w:r>
        <w:rPr>
          <w:rFonts w:ascii="Times New Roman"/>
          <w:b/>
          <w:color w:val="3B3B3B"/>
          <w:w w:val="105"/>
          <w:sz w:val="20"/>
        </w:rPr>
        <w:t>STRATIVE </w:t>
      </w:r>
      <w:bookmarkEnd w:id="2"/>
      <w:r>
        <w:rPr>
          <w:rFonts w:ascii="Times New Roman"/>
          <w:b/>
          <w:color w:val="242424"/>
          <w:w w:val="105"/>
          <w:sz w:val="20"/>
        </w:rPr>
        <w:t>INFORMATION</w:t>
      </w:r>
    </w:p>
    <w:p>
      <w:pPr>
        <w:spacing w:before="145"/>
        <w:ind w:left="975" w:right="0" w:firstLine="0"/>
        <w:jc w:val="both"/>
        <w:rPr>
          <w:rFonts w:ascii="Times New Roman"/>
          <w:sz w:val="18"/>
        </w:rPr>
      </w:pPr>
      <w:r>
        <w:rPr>
          <w:rFonts w:ascii="Times New Roman"/>
          <w:b/>
          <w:color w:val="3B3B3B"/>
          <w:w w:val="110"/>
          <w:sz w:val="18"/>
        </w:rPr>
        <w:t>Ge</w:t>
      </w:r>
      <w:r>
        <w:rPr>
          <w:rFonts w:ascii="Times New Roman"/>
          <w:b/>
          <w:color w:val="161616"/>
          <w:w w:val="110"/>
          <w:sz w:val="18"/>
        </w:rPr>
        <w:t>neral </w:t>
      </w:r>
      <w:r>
        <w:rPr>
          <w:rFonts w:ascii="Times New Roman"/>
          <w:b/>
          <w:color w:val="242424"/>
          <w:w w:val="110"/>
          <w:sz w:val="18"/>
        </w:rPr>
        <w:t>Assembly and </w:t>
      </w:r>
      <w:r>
        <w:rPr>
          <w:rFonts w:ascii="Times New Roman"/>
          <w:b/>
          <w:color w:val="3B3B3B"/>
          <w:w w:val="110"/>
          <w:sz w:val="18"/>
        </w:rPr>
        <w:t>Co</w:t>
      </w:r>
      <w:r>
        <w:rPr>
          <w:rFonts w:ascii="Times New Roman"/>
          <w:b/>
          <w:color w:val="161616"/>
          <w:w w:val="110"/>
          <w:sz w:val="18"/>
        </w:rPr>
        <w:t>rporate</w:t>
      </w:r>
      <w:r>
        <w:rPr>
          <w:rFonts w:ascii="Times New Roman"/>
          <w:b/>
          <w:color w:val="242424"/>
          <w:w w:val="110"/>
          <w:sz w:val="18"/>
        </w:rPr>
        <w:t>Trustee Registered Office </w:t>
      </w:r>
      <w:r>
        <w:rPr>
          <w:rFonts w:ascii="Times New Roman"/>
          <w:color w:val="3B3B3B"/>
          <w:w w:val="110"/>
          <w:sz w:val="18"/>
        </w:rPr>
        <w:t>: 86 Tavistock </w:t>
      </w:r>
      <w:r>
        <w:rPr>
          <w:rFonts w:ascii="Times New Roman"/>
          <w:color w:val="242424"/>
          <w:w w:val="110"/>
          <w:sz w:val="18"/>
        </w:rPr>
        <w:t>Place </w:t>
      </w:r>
      <w:r>
        <w:rPr>
          <w:rFonts w:ascii="Times New Roman"/>
          <w:color w:val="3B3B3B"/>
          <w:w w:val="110"/>
          <w:sz w:val="18"/>
        </w:rPr>
        <w:t>London WClH 9RT</w:t>
      </w:r>
    </w:p>
    <w:p>
      <w:pPr>
        <w:pStyle w:val="BodyText"/>
        <w:spacing w:before="5"/>
        <w:rPr>
          <w:rFonts w:ascii="Times New Roman"/>
          <w:sz w:val="20"/>
        </w:rPr>
      </w:pPr>
    </w:p>
    <w:p>
      <w:pPr>
        <w:spacing w:before="0"/>
        <w:ind w:left="1266" w:right="1233" w:firstLine="0"/>
        <w:jc w:val="center"/>
        <w:rPr>
          <w:rFonts w:ascii="Times New Roman"/>
          <w:b/>
          <w:sz w:val="18"/>
        </w:rPr>
      </w:pPr>
      <w:r>
        <w:rPr>
          <w:rFonts w:ascii="Times New Roman"/>
          <w:b/>
          <w:color w:val="242424"/>
          <w:w w:val="105"/>
          <w:sz w:val="18"/>
        </w:rPr>
        <w:t>Assembly </w:t>
      </w:r>
      <w:r>
        <w:rPr>
          <w:rFonts w:ascii="Times New Roman"/>
          <w:b/>
          <w:color w:val="161616"/>
          <w:w w:val="105"/>
          <w:sz w:val="18"/>
        </w:rPr>
        <w:t>Officers</w:t>
      </w:r>
    </w:p>
    <w:p>
      <w:pPr>
        <w:pStyle w:val="BodyText"/>
        <w:spacing w:line="256" w:lineRule="auto" w:before="15"/>
        <w:ind w:left="2377" w:right="2358"/>
        <w:jc w:val="center"/>
        <w:rPr>
          <w:rFonts w:ascii="Times New Roman"/>
        </w:rPr>
      </w:pPr>
      <w:r>
        <w:rPr>
          <w:rFonts w:ascii="Times New Roman"/>
          <w:color w:val="3B3B3B"/>
          <w:w w:val="105"/>
        </w:rPr>
        <w:t>Moderator of the General Assembly (2006</w:t>
      </w:r>
      <w:r>
        <w:rPr>
          <w:rFonts w:ascii="Times New Roman"/>
          <w:color w:val="666666"/>
          <w:w w:val="105"/>
        </w:rPr>
        <w:t>/</w:t>
      </w:r>
      <w:r>
        <w:rPr>
          <w:rFonts w:ascii="Times New Roman"/>
          <w:color w:val="3B3B3B"/>
          <w:w w:val="105"/>
        </w:rPr>
        <w:t>2007) - Revd Elizabeth Caswell General </w:t>
      </w:r>
      <w:r>
        <w:rPr>
          <w:rFonts w:ascii="Times New Roman"/>
          <w:color w:val="4D4D4D"/>
          <w:w w:val="105"/>
        </w:rPr>
        <w:t>Secretary </w:t>
      </w:r>
      <w:r>
        <w:rPr>
          <w:rFonts w:ascii="Times New Roman"/>
          <w:color w:val="3B3B3B"/>
          <w:w w:val="105"/>
        </w:rPr>
        <w:t>- </w:t>
      </w:r>
      <w:r>
        <w:rPr>
          <w:rFonts w:ascii="Times New Roman"/>
          <w:color w:val="242424"/>
          <w:w w:val="105"/>
        </w:rPr>
        <w:t>Revd Dr </w:t>
      </w:r>
      <w:r>
        <w:rPr>
          <w:rFonts w:ascii="Times New Roman"/>
          <w:color w:val="3B3B3B"/>
          <w:w w:val="105"/>
        </w:rPr>
        <w:t>David Cornick</w:t>
      </w:r>
    </w:p>
    <w:p>
      <w:pPr>
        <w:pStyle w:val="BodyText"/>
        <w:spacing w:line="207" w:lineRule="exact"/>
        <w:ind w:left="1245" w:right="1233"/>
        <w:jc w:val="center"/>
        <w:rPr>
          <w:rFonts w:ascii="Times New Roman"/>
        </w:rPr>
      </w:pPr>
      <w:r>
        <w:rPr>
          <w:rFonts w:ascii="Times New Roman"/>
          <w:color w:val="3B3B3B"/>
          <w:w w:val="105"/>
        </w:rPr>
        <w:t>Clerk of the General Assembly - Revd James Breslin</w:t>
      </w:r>
    </w:p>
    <w:p>
      <w:pPr>
        <w:pStyle w:val="BodyText"/>
        <w:spacing w:line="256" w:lineRule="auto" w:before="14"/>
        <w:ind w:left="2378" w:right="2357"/>
        <w:jc w:val="center"/>
        <w:rPr>
          <w:rFonts w:ascii="Times New Roman"/>
        </w:rPr>
      </w:pPr>
      <w:r>
        <w:rPr>
          <w:rFonts w:ascii="Times New Roman"/>
          <w:color w:val="3B3B3B"/>
          <w:w w:val="105"/>
        </w:rPr>
        <w:t>Convener of the Assembly Arrangements Committee - Mr William McVey Deputy General Secretary - </w:t>
      </w:r>
      <w:r>
        <w:rPr>
          <w:rFonts w:ascii="Times New Roman"/>
          <w:color w:val="242424"/>
          <w:w w:val="105"/>
        </w:rPr>
        <w:t>Re</w:t>
      </w:r>
      <w:r>
        <w:rPr>
          <w:rFonts w:ascii="Times New Roman"/>
          <w:color w:val="4D4D4D"/>
          <w:w w:val="105"/>
        </w:rPr>
        <w:t>vd </w:t>
      </w:r>
      <w:r>
        <w:rPr>
          <w:rFonts w:ascii="Times New Roman"/>
          <w:color w:val="242424"/>
          <w:w w:val="105"/>
        </w:rPr>
        <w:t>Ray </w:t>
      </w:r>
      <w:r>
        <w:rPr>
          <w:rFonts w:ascii="Times New Roman"/>
          <w:color w:val="3B3B3B"/>
          <w:w w:val="105"/>
        </w:rPr>
        <w:t>Adams</w:t>
      </w:r>
    </w:p>
    <w:p>
      <w:pPr>
        <w:pStyle w:val="BodyText"/>
        <w:spacing w:line="207" w:lineRule="exact"/>
        <w:ind w:left="1256" w:right="1233"/>
        <w:jc w:val="center"/>
        <w:rPr>
          <w:rFonts w:ascii="Times New Roman"/>
        </w:rPr>
      </w:pPr>
      <w:r>
        <w:rPr>
          <w:rFonts w:ascii="Times New Roman"/>
          <w:color w:val="3B3B3B"/>
          <w:w w:val="105"/>
        </w:rPr>
        <w:t>Honorary </w:t>
      </w:r>
      <w:r>
        <w:rPr>
          <w:rFonts w:ascii="Times New Roman"/>
          <w:color w:val="242424"/>
          <w:w w:val="105"/>
        </w:rPr>
        <w:t>Tr</w:t>
      </w:r>
      <w:r>
        <w:rPr>
          <w:rFonts w:ascii="Times New Roman"/>
          <w:color w:val="4D4D4D"/>
          <w:w w:val="105"/>
        </w:rPr>
        <w:t>easure</w:t>
      </w:r>
      <w:r>
        <w:rPr>
          <w:rFonts w:ascii="Times New Roman"/>
          <w:color w:val="242424"/>
          <w:w w:val="105"/>
        </w:rPr>
        <w:t>r - </w:t>
      </w:r>
      <w:r>
        <w:rPr>
          <w:rFonts w:ascii="Times New Roman"/>
          <w:color w:val="3B3B3B"/>
          <w:w w:val="105"/>
        </w:rPr>
        <w:t>Mr Eric Chilton</w:t>
      </w:r>
    </w:p>
    <w:p>
      <w:pPr>
        <w:pStyle w:val="BodyText"/>
        <w:spacing w:before="4"/>
        <w:rPr>
          <w:rFonts w:ascii="Times New Roman"/>
          <w:sz w:val="21"/>
        </w:rPr>
      </w:pPr>
    </w:p>
    <w:p>
      <w:pPr>
        <w:spacing w:before="0"/>
        <w:ind w:left="1248" w:right="1233" w:firstLine="0"/>
        <w:jc w:val="center"/>
        <w:rPr>
          <w:rFonts w:ascii="Times New Roman"/>
          <w:b/>
          <w:sz w:val="18"/>
        </w:rPr>
      </w:pPr>
      <w:r>
        <w:rPr>
          <w:rFonts w:ascii="Times New Roman"/>
          <w:b/>
          <w:color w:val="242424"/>
          <w:w w:val="110"/>
          <w:sz w:val="18"/>
        </w:rPr>
        <w:t>Other Officers</w:t>
      </w:r>
    </w:p>
    <w:p>
      <w:pPr>
        <w:pStyle w:val="BodyText"/>
        <w:spacing w:line="256" w:lineRule="auto" w:before="5"/>
        <w:ind w:left="3376" w:right="3369" w:firstLine="12"/>
        <w:jc w:val="center"/>
        <w:rPr>
          <w:rFonts w:ascii="Times New Roman"/>
        </w:rPr>
      </w:pPr>
      <w:r>
        <w:rPr>
          <w:rFonts w:ascii="Times New Roman"/>
          <w:color w:val="3B3B3B"/>
          <w:w w:val="105"/>
        </w:rPr>
        <w:t>Moderator Elect - Revd Dr Stephen Orchard Immediate </w:t>
      </w:r>
      <w:r>
        <w:rPr>
          <w:rFonts w:ascii="Times New Roman"/>
          <w:color w:val="161616"/>
          <w:w w:val="105"/>
        </w:rPr>
        <w:t>P</w:t>
      </w:r>
      <w:r>
        <w:rPr>
          <w:rFonts w:ascii="Times New Roman"/>
          <w:color w:val="3B3B3B"/>
          <w:w w:val="105"/>
        </w:rPr>
        <w:t>ast Moderator - Revd </w:t>
      </w:r>
      <w:r>
        <w:rPr>
          <w:rFonts w:ascii="Times New Roman"/>
          <w:color w:val="242424"/>
          <w:w w:val="105"/>
        </w:rPr>
        <w:t>Dr </w:t>
      </w:r>
      <w:r>
        <w:rPr>
          <w:rFonts w:ascii="Times New Roman"/>
          <w:color w:val="3B3B3B"/>
          <w:w w:val="105"/>
        </w:rPr>
        <w:t>David Peel</w:t>
      </w:r>
    </w:p>
    <w:p>
      <w:pPr>
        <w:pStyle w:val="BodyText"/>
        <w:rPr>
          <w:rFonts w:ascii="Times New Roman"/>
          <w:sz w:val="20"/>
        </w:rPr>
      </w:pPr>
    </w:p>
    <w:p>
      <w:pPr>
        <w:spacing w:line="256" w:lineRule="auto" w:before="0"/>
        <w:ind w:left="1351" w:right="2385" w:hanging="385"/>
        <w:jc w:val="both"/>
        <w:rPr>
          <w:rFonts w:ascii="Times New Roman"/>
          <w:sz w:val="18"/>
        </w:rPr>
      </w:pPr>
      <w:r>
        <w:rPr>
          <w:rFonts w:ascii="Times New Roman"/>
          <w:b/>
          <w:color w:val="3B3B3B"/>
          <w:w w:val="105"/>
          <w:sz w:val="18"/>
        </w:rPr>
        <w:t>T</w:t>
      </w:r>
      <w:r>
        <w:rPr>
          <w:rFonts w:ascii="Times New Roman"/>
          <w:b/>
          <w:color w:val="161616"/>
          <w:w w:val="105"/>
          <w:sz w:val="18"/>
        </w:rPr>
        <w:t>ru</w:t>
      </w:r>
      <w:r>
        <w:rPr>
          <w:rFonts w:ascii="Times New Roman"/>
          <w:b/>
          <w:color w:val="3B3B3B"/>
          <w:w w:val="105"/>
          <w:sz w:val="18"/>
        </w:rPr>
        <w:t>stee </w:t>
      </w:r>
      <w:r>
        <w:rPr>
          <w:rFonts w:ascii="Times New Roman"/>
          <w:b/>
          <w:color w:val="161616"/>
          <w:w w:val="105"/>
          <w:sz w:val="18"/>
        </w:rPr>
        <w:t>for the </w:t>
      </w:r>
      <w:r>
        <w:rPr>
          <w:rFonts w:ascii="Times New Roman"/>
          <w:b/>
          <w:color w:val="242424"/>
          <w:w w:val="105"/>
          <w:sz w:val="18"/>
        </w:rPr>
        <w:t>General </w:t>
      </w:r>
      <w:r>
        <w:rPr>
          <w:rFonts w:ascii="Times New Roman"/>
          <w:b/>
          <w:color w:val="3B3B3B"/>
          <w:w w:val="105"/>
          <w:sz w:val="18"/>
        </w:rPr>
        <w:t>Ass</w:t>
      </w:r>
      <w:r>
        <w:rPr>
          <w:rFonts w:ascii="Times New Roman"/>
          <w:b/>
          <w:color w:val="161616"/>
          <w:w w:val="105"/>
          <w:sz w:val="18"/>
        </w:rPr>
        <w:t>embl</w:t>
      </w:r>
      <w:r>
        <w:rPr>
          <w:rFonts w:ascii="Times New Roman"/>
          <w:b/>
          <w:color w:val="3B3B3B"/>
          <w:w w:val="105"/>
          <w:sz w:val="18"/>
        </w:rPr>
        <w:t>y </w:t>
      </w:r>
      <w:r>
        <w:rPr>
          <w:rFonts w:ascii="Times New Roman"/>
          <w:b/>
          <w:color w:val="242424"/>
          <w:w w:val="105"/>
          <w:sz w:val="18"/>
        </w:rPr>
        <w:t>and </w:t>
      </w:r>
      <w:r>
        <w:rPr>
          <w:rFonts w:ascii="Times New Roman"/>
          <w:b/>
          <w:color w:val="3B3B3B"/>
          <w:w w:val="105"/>
          <w:sz w:val="18"/>
        </w:rPr>
        <w:t>Co</w:t>
      </w:r>
      <w:r>
        <w:rPr>
          <w:rFonts w:ascii="Times New Roman"/>
          <w:b/>
          <w:color w:val="161616"/>
          <w:w w:val="105"/>
          <w:sz w:val="18"/>
        </w:rPr>
        <w:t>rporate</w:t>
      </w:r>
      <w:r>
        <w:rPr>
          <w:rFonts w:ascii="Times New Roman"/>
          <w:b/>
          <w:color w:val="242424"/>
          <w:w w:val="105"/>
          <w:sz w:val="18"/>
        </w:rPr>
        <w:t>Trustee: </w:t>
      </w:r>
      <w:r>
        <w:rPr>
          <w:rFonts w:ascii="Times New Roman"/>
          <w:color w:val="4D4D4D"/>
          <w:w w:val="105"/>
          <w:sz w:val="18"/>
        </w:rPr>
        <w:t>United </w:t>
      </w:r>
      <w:r>
        <w:rPr>
          <w:rFonts w:ascii="Times New Roman"/>
          <w:color w:val="3B3B3B"/>
          <w:w w:val="105"/>
          <w:sz w:val="18"/>
        </w:rPr>
        <w:t>Reformed </w:t>
      </w:r>
      <w:r>
        <w:rPr>
          <w:rFonts w:ascii="Times New Roman"/>
          <w:color w:val="4D4D4D"/>
          <w:w w:val="105"/>
          <w:sz w:val="18"/>
        </w:rPr>
        <w:t>Church </w:t>
      </w:r>
      <w:r>
        <w:rPr>
          <w:rFonts w:ascii="Times New Roman"/>
          <w:color w:val="3B3B3B"/>
          <w:w w:val="105"/>
          <w:sz w:val="18"/>
        </w:rPr>
        <w:t>Trust </w:t>
      </w:r>
      <w:r>
        <w:rPr>
          <w:rFonts w:ascii="Times New Roman"/>
          <w:color w:val="4D4D4D"/>
          <w:w w:val="105"/>
          <w:sz w:val="18"/>
        </w:rPr>
        <w:t>(Excepted </w:t>
      </w:r>
      <w:r>
        <w:rPr>
          <w:rFonts w:ascii="Times New Roman"/>
          <w:color w:val="3B3B3B"/>
          <w:w w:val="105"/>
          <w:sz w:val="18"/>
        </w:rPr>
        <w:t>charitable company limited by guarantee, number 135934)</w:t>
      </w:r>
    </w:p>
    <w:p>
      <w:pPr>
        <w:pStyle w:val="BodyText"/>
        <w:tabs>
          <w:tab w:pos="7163" w:val="left" w:leader="none"/>
        </w:tabs>
        <w:spacing w:line="256" w:lineRule="auto"/>
        <w:ind w:left="967" w:right="1222" w:hanging="1"/>
        <w:jc w:val="both"/>
        <w:rPr>
          <w:rFonts w:ascii="Times New Roman"/>
        </w:rPr>
      </w:pPr>
      <w:r>
        <w:rPr>
          <w:rFonts w:ascii="Times New Roman"/>
          <w:color w:val="3B3B3B"/>
          <w:w w:val="105"/>
        </w:rPr>
        <w:t>Chairman</w:t>
      </w:r>
      <w:r>
        <w:rPr>
          <w:rFonts w:ascii="Times New Roman"/>
          <w:color w:val="161616"/>
          <w:w w:val="105"/>
        </w:rPr>
        <w:t>: </w:t>
      </w:r>
      <w:r>
        <w:rPr>
          <w:rFonts w:ascii="Times New Roman"/>
          <w:color w:val="3B3B3B"/>
          <w:w w:val="105"/>
        </w:rPr>
        <w:t>Revd John</w:t>
      </w:r>
      <w:r>
        <w:rPr>
          <w:rFonts w:ascii="Times New Roman"/>
          <w:color w:val="3B3B3B"/>
          <w:spacing w:val="-26"/>
          <w:w w:val="105"/>
        </w:rPr>
        <w:t> </w:t>
      </w:r>
      <w:r>
        <w:rPr>
          <w:rFonts w:ascii="Times New Roman"/>
          <w:color w:val="3B3B3B"/>
          <w:w w:val="105"/>
        </w:rPr>
        <w:t>D</w:t>
      </w:r>
      <w:r>
        <w:rPr>
          <w:rFonts w:ascii="Times New Roman"/>
          <w:color w:val="3B3B3B"/>
          <w:spacing w:val="5"/>
          <w:w w:val="105"/>
        </w:rPr>
        <w:t> </w:t>
      </w:r>
      <w:r>
        <w:rPr>
          <w:rFonts w:ascii="Times New Roman"/>
          <w:color w:val="3B3B3B"/>
          <w:w w:val="105"/>
        </w:rPr>
        <w:t>Waller</w:t>
        <w:tab/>
        <w:t>Secretary: Mr Tony</w:t>
      </w:r>
      <w:r>
        <w:rPr>
          <w:rFonts w:ascii="Times New Roman"/>
          <w:color w:val="3B3B3B"/>
          <w:spacing w:val="-30"/>
          <w:w w:val="105"/>
        </w:rPr>
        <w:t> </w:t>
      </w:r>
      <w:r>
        <w:rPr>
          <w:rFonts w:ascii="Times New Roman"/>
          <w:color w:val="3B3B3B"/>
          <w:w w:val="105"/>
        </w:rPr>
        <w:t>Bayley </w:t>
      </w:r>
      <w:r>
        <w:rPr>
          <w:rFonts w:ascii="Times New Roman"/>
          <w:color w:val="242424"/>
          <w:w w:val="105"/>
        </w:rPr>
        <w:t>Other</w:t>
      </w:r>
      <w:r>
        <w:rPr>
          <w:rFonts w:ascii="Times New Roman"/>
          <w:color w:val="242424"/>
          <w:spacing w:val="-13"/>
          <w:w w:val="105"/>
        </w:rPr>
        <w:t> </w:t>
      </w:r>
      <w:r>
        <w:rPr>
          <w:rFonts w:ascii="Times New Roman"/>
          <w:color w:val="3B3B3B"/>
          <w:w w:val="105"/>
        </w:rPr>
        <w:t>Di.rectors:</w:t>
      </w:r>
      <w:r>
        <w:rPr>
          <w:rFonts w:ascii="Times New Roman"/>
          <w:color w:val="3B3B3B"/>
          <w:spacing w:val="-11"/>
          <w:w w:val="105"/>
        </w:rPr>
        <w:t> </w:t>
      </w:r>
      <w:r>
        <w:rPr>
          <w:rFonts w:ascii="Times New Roman"/>
          <w:color w:val="3B3B3B"/>
          <w:w w:val="105"/>
        </w:rPr>
        <w:t>(appointed</w:t>
      </w:r>
      <w:r>
        <w:rPr>
          <w:rFonts w:ascii="Times New Roman"/>
          <w:color w:val="3B3B3B"/>
          <w:spacing w:val="14"/>
          <w:w w:val="105"/>
        </w:rPr>
        <w:t> </w:t>
      </w:r>
      <w:r>
        <w:rPr>
          <w:rFonts w:ascii="Times New Roman"/>
          <w:color w:val="3B3B3B"/>
          <w:w w:val="105"/>
        </w:rPr>
        <w:t>by</w:t>
      </w:r>
      <w:r>
        <w:rPr>
          <w:rFonts w:ascii="Times New Roman"/>
          <w:color w:val="3B3B3B"/>
          <w:spacing w:val="-8"/>
          <w:w w:val="105"/>
        </w:rPr>
        <w:t> </w:t>
      </w:r>
      <w:r>
        <w:rPr>
          <w:rFonts w:ascii="Times New Roman"/>
          <w:color w:val="4D4D4D"/>
          <w:w w:val="105"/>
        </w:rPr>
        <w:t>the</w:t>
      </w:r>
      <w:r>
        <w:rPr>
          <w:rFonts w:ascii="Times New Roman"/>
          <w:color w:val="4D4D4D"/>
          <w:spacing w:val="-15"/>
          <w:w w:val="105"/>
        </w:rPr>
        <w:t> </w:t>
      </w:r>
      <w:r>
        <w:rPr>
          <w:rFonts w:ascii="Times New Roman"/>
          <w:color w:val="3B3B3B"/>
          <w:w w:val="105"/>
        </w:rPr>
        <w:t>General</w:t>
      </w:r>
      <w:r>
        <w:rPr>
          <w:rFonts w:ascii="Times New Roman"/>
          <w:color w:val="3B3B3B"/>
          <w:spacing w:val="-4"/>
          <w:w w:val="105"/>
        </w:rPr>
        <w:t> </w:t>
      </w:r>
      <w:r>
        <w:rPr>
          <w:rFonts w:ascii="Times New Roman"/>
          <w:color w:val="3B3B3B"/>
          <w:w w:val="105"/>
        </w:rPr>
        <w:t>Assembly</w:t>
      </w:r>
      <w:r>
        <w:rPr>
          <w:rFonts w:ascii="Times New Roman"/>
          <w:color w:val="3B3B3B"/>
          <w:spacing w:val="4"/>
          <w:w w:val="105"/>
        </w:rPr>
        <w:t> </w:t>
      </w:r>
      <w:r>
        <w:rPr>
          <w:rFonts w:ascii="Times New Roman"/>
          <w:color w:val="242424"/>
          <w:w w:val="105"/>
        </w:rPr>
        <w:t>to</w:t>
      </w:r>
      <w:r>
        <w:rPr>
          <w:rFonts w:ascii="Times New Roman"/>
          <w:color w:val="242424"/>
          <w:spacing w:val="3"/>
          <w:w w:val="105"/>
        </w:rPr>
        <w:t> </w:t>
      </w:r>
      <w:r>
        <w:rPr>
          <w:rFonts w:ascii="Times New Roman"/>
          <w:color w:val="3B3B3B"/>
          <w:w w:val="105"/>
        </w:rPr>
        <w:t>serve</w:t>
      </w:r>
      <w:r>
        <w:rPr>
          <w:rFonts w:ascii="Times New Roman"/>
          <w:color w:val="3B3B3B"/>
          <w:spacing w:val="-23"/>
          <w:w w:val="105"/>
        </w:rPr>
        <w:t> </w:t>
      </w:r>
      <w:r>
        <w:rPr>
          <w:rFonts w:ascii="Times New Roman"/>
          <w:color w:val="3B3B3B"/>
          <w:w w:val="105"/>
        </w:rPr>
        <w:t>for</w:t>
      </w:r>
      <w:r>
        <w:rPr>
          <w:rFonts w:ascii="Times New Roman"/>
          <w:color w:val="3B3B3B"/>
          <w:spacing w:val="-8"/>
          <w:w w:val="105"/>
        </w:rPr>
        <w:t> </w:t>
      </w:r>
      <w:r>
        <w:rPr>
          <w:rFonts w:ascii="Times New Roman"/>
          <w:color w:val="3B3B3B"/>
          <w:w w:val="105"/>
        </w:rPr>
        <w:t>six</w:t>
      </w:r>
      <w:r>
        <w:rPr>
          <w:rFonts w:ascii="Times New Roman"/>
          <w:color w:val="3B3B3B"/>
          <w:spacing w:val="-8"/>
          <w:w w:val="105"/>
        </w:rPr>
        <w:t> </w:t>
      </w:r>
      <w:r>
        <w:rPr>
          <w:rFonts w:ascii="Times New Roman"/>
          <w:color w:val="3B3B3B"/>
          <w:w w:val="105"/>
        </w:rPr>
        <w:t>years)</w:t>
      </w:r>
    </w:p>
    <w:p>
      <w:pPr>
        <w:pStyle w:val="BodyText"/>
        <w:spacing w:line="256" w:lineRule="auto"/>
        <w:ind w:left="965" w:right="951" w:firstLine="4"/>
        <w:jc w:val="both"/>
        <w:rPr>
          <w:rFonts w:ascii="Times New Roman"/>
        </w:rPr>
      </w:pPr>
      <w:r>
        <w:rPr>
          <w:rFonts w:ascii="Times New Roman"/>
          <w:color w:val="3B3B3B"/>
          <w:w w:val="105"/>
        </w:rPr>
        <w:t>Ms Linda Austin (appointed </w:t>
      </w:r>
      <w:r>
        <w:rPr>
          <w:rFonts w:ascii="Times New Roman"/>
          <w:color w:val="242424"/>
          <w:w w:val="105"/>
        </w:rPr>
        <w:t>12 December </w:t>
      </w:r>
      <w:r>
        <w:rPr>
          <w:rFonts w:ascii="Times New Roman"/>
          <w:color w:val="3B3B3B"/>
          <w:w w:val="105"/>
        </w:rPr>
        <w:t>2006), Mr Eric Chilton, Revd Dr David Cornick, Mr John Ellis (appointed 12 December 2006), </w:t>
      </w:r>
      <w:r>
        <w:rPr>
          <w:rFonts w:ascii="Arial"/>
          <w:color w:val="3B3B3B"/>
          <w:w w:val="105"/>
          <w:sz w:val="17"/>
        </w:rPr>
        <w:t>Mr </w:t>
      </w:r>
      <w:r>
        <w:rPr>
          <w:rFonts w:ascii="Times New Roman"/>
          <w:color w:val="3B3B3B"/>
          <w:w w:val="105"/>
        </w:rPr>
        <w:t>Ernest Gudgeon, </w:t>
      </w:r>
      <w:r>
        <w:rPr>
          <w:rFonts w:ascii="Times New Roman"/>
          <w:color w:val="242424"/>
          <w:w w:val="105"/>
        </w:rPr>
        <w:t>Dr </w:t>
      </w:r>
      <w:r>
        <w:rPr>
          <w:rFonts w:ascii="Times New Roman"/>
          <w:color w:val="3B3B3B"/>
          <w:w w:val="105"/>
        </w:rPr>
        <w:t>Geoffrey Sides, Mr Alan Small (appointed </w:t>
      </w:r>
      <w:r>
        <w:rPr>
          <w:rFonts w:ascii="Times New Roman"/>
          <w:color w:val="161616"/>
          <w:w w:val="105"/>
        </w:rPr>
        <w:t>1</w:t>
      </w:r>
      <w:r>
        <w:rPr>
          <w:rFonts w:ascii="Times New Roman"/>
          <w:color w:val="3B3B3B"/>
          <w:w w:val="105"/>
        </w:rPr>
        <w:t>9 September 2006), Mrs Fiona Smith, Mrs Margaret Stidson</w:t>
      </w:r>
      <w:r>
        <w:rPr>
          <w:rFonts w:ascii="Times New Roman"/>
          <w:color w:val="666666"/>
          <w:w w:val="105"/>
        </w:rPr>
        <w:t>, </w:t>
      </w:r>
      <w:r>
        <w:rPr>
          <w:rFonts w:ascii="Times New Roman"/>
          <w:color w:val="3B3B3B"/>
          <w:w w:val="105"/>
        </w:rPr>
        <w:t>Mr Donald Swift, </w:t>
      </w:r>
      <w:r>
        <w:rPr>
          <w:rFonts w:ascii="Times New Roman"/>
          <w:color w:val="242424"/>
          <w:w w:val="105"/>
        </w:rPr>
        <w:t>Revd </w:t>
      </w:r>
      <w:r>
        <w:rPr>
          <w:rFonts w:ascii="Times New Roman"/>
          <w:color w:val="3B3B3B"/>
          <w:w w:val="105"/>
        </w:rPr>
        <w:t>Dr David Thompson (appointed 12 December 2006)</w:t>
      </w:r>
      <w:r>
        <w:rPr>
          <w:rFonts w:ascii="Times New Roman"/>
          <w:color w:val="161616"/>
          <w:w w:val="105"/>
        </w:rPr>
        <w:t>.</w:t>
      </w:r>
    </w:p>
    <w:p>
      <w:pPr>
        <w:pStyle w:val="BodyText"/>
        <w:spacing w:before="5"/>
        <w:rPr>
          <w:rFonts w:ascii="Times New Roman"/>
          <w:sz w:val="9"/>
        </w:rPr>
      </w:pPr>
    </w:p>
    <w:p>
      <w:pPr>
        <w:spacing w:after="0"/>
        <w:rPr>
          <w:rFonts w:ascii="Times New Roman"/>
          <w:sz w:val="9"/>
        </w:rPr>
        <w:sectPr>
          <w:headerReference w:type="even" r:id="rId480"/>
          <w:footerReference w:type="even" r:id="rId481"/>
          <w:pgSz w:w="10950" w:h="15880"/>
          <w:pgMar w:header="0" w:footer="0" w:top="180" w:bottom="280" w:left="500" w:right="0"/>
        </w:sectPr>
      </w:pPr>
    </w:p>
    <w:p>
      <w:pPr>
        <w:spacing w:line="256" w:lineRule="auto" w:before="93"/>
        <w:ind w:left="965" w:right="0" w:firstLine="3"/>
        <w:jc w:val="left"/>
        <w:rPr>
          <w:rFonts w:ascii="Times New Roman"/>
          <w:sz w:val="18"/>
        </w:rPr>
      </w:pPr>
      <w:r>
        <w:rPr>
          <w:rFonts w:ascii="Times New Roman"/>
          <w:b/>
          <w:color w:val="3B3B3B"/>
          <w:w w:val="105"/>
          <w:sz w:val="18"/>
        </w:rPr>
        <w:t>U</w:t>
      </w:r>
      <w:r>
        <w:rPr>
          <w:rFonts w:ascii="Times New Roman"/>
          <w:b/>
          <w:color w:val="161616"/>
          <w:w w:val="105"/>
          <w:sz w:val="18"/>
        </w:rPr>
        <w:t>nited</w:t>
      </w:r>
      <w:r>
        <w:rPr>
          <w:rFonts w:ascii="Times New Roman"/>
          <w:b/>
          <w:color w:val="161616"/>
          <w:spacing w:val="-9"/>
          <w:w w:val="105"/>
          <w:sz w:val="18"/>
        </w:rPr>
        <w:t> </w:t>
      </w:r>
      <w:r>
        <w:rPr>
          <w:rFonts w:ascii="Times New Roman"/>
          <w:b/>
          <w:color w:val="242424"/>
          <w:w w:val="105"/>
          <w:sz w:val="18"/>
        </w:rPr>
        <w:t>Reformed</w:t>
      </w:r>
      <w:r>
        <w:rPr>
          <w:rFonts w:ascii="Times New Roman"/>
          <w:b/>
          <w:color w:val="242424"/>
          <w:spacing w:val="-4"/>
          <w:w w:val="105"/>
          <w:sz w:val="18"/>
        </w:rPr>
        <w:t> </w:t>
      </w:r>
      <w:r>
        <w:rPr>
          <w:rFonts w:ascii="Times New Roman"/>
          <w:b/>
          <w:color w:val="242424"/>
          <w:w w:val="105"/>
          <w:sz w:val="18"/>
        </w:rPr>
        <w:t>Church</w:t>
      </w:r>
      <w:r>
        <w:rPr>
          <w:rFonts w:ascii="Times New Roman"/>
          <w:b/>
          <w:color w:val="242424"/>
          <w:spacing w:val="-12"/>
          <w:w w:val="105"/>
          <w:sz w:val="18"/>
        </w:rPr>
        <w:t> </w:t>
      </w:r>
      <w:r>
        <w:rPr>
          <w:rFonts w:ascii="Times New Roman"/>
          <w:b/>
          <w:color w:val="242424"/>
          <w:w w:val="105"/>
          <w:sz w:val="18"/>
        </w:rPr>
        <w:t>Retired</w:t>
      </w:r>
      <w:r>
        <w:rPr>
          <w:rFonts w:ascii="Times New Roman"/>
          <w:b/>
          <w:color w:val="242424"/>
          <w:spacing w:val="-3"/>
          <w:w w:val="105"/>
          <w:sz w:val="18"/>
        </w:rPr>
        <w:t> </w:t>
      </w:r>
      <w:r>
        <w:rPr>
          <w:rFonts w:ascii="Times New Roman"/>
          <w:b/>
          <w:color w:val="242424"/>
          <w:w w:val="105"/>
          <w:sz w:val="18"/>
        </w:rPr>
        <w:t>Ministers'</w:t>
      </w:r>
      <w:r>
        <w:rPr>
          <w:rFonts w:ascii="Times New Roman"/>
          <w:b/>
          <w:color w:val="242424"/>
          <w:spacing w:val="-4"/>
          <w:w w:val="105"/>
          <w:sz w:val="18"/>
        </w:rPr>
        <w:t> </w:t>
      </w:r>
      <w:r>
        <w:rPr>
          <w:rFonts w:ascii="Times New Roman"/>
          <w:b/>
          <w:color w:val="161616"/>
          <w:w w:val="105"/>
          <w:sz w:val="18"/>
        </w:rPr>
        <w:t>Housing</w:t>
      </w:r>
      <w:r>
        <w:rPr>
          <w:rFonts w:ascii="Times New Roman"/>
          <w:b/>
          <w:color w:val="161616"/>
          <w:spacing w:val="-15"/>
          <w:w w:val="105"/>
          <w:sz w:val="18"/>
        </w:rPr>
        <w:t> </w:t>
      </w:r>
      <w:r>
        <w:rPr>
          <w:rFonts w:ascii="Times New Roman"/>
          <w:b/>
          <w:color w:val="242424"/>
          <w:w w:val="105"/>
          <w:sz w:val="18"/>
        </w:rPr>
        <w:t>Society</w:t>
      </w:r>
      <w:r>
        <w:rPr>
          <w:rFonts w:ascii="Times New Roman"/>
          <w:b/>
          <w:color w:val="242424"/>
          <w:spacing w:val="-9"/>
          <w:w w:val="105"/>
          <w:sz w:val="18"/>
        </w:rPr>
        <w:t> </w:t>
      </w:r>
      <w:r>
        <w:rPr>
          <w:rFonts w:ascii="Times New Roman"/>
          <w:b/>
          <w:color w:val="161616"/>
          <w:w w:val="105"/>
          <w:sz w:val="18"/>
        </w:rPr>
        <w:t>Limited </w:t>
      </w:r>
      <w:r>
        <w:rPr>
          <w:rFonts w:ascii="Times New Roman"/>
          <w:color w:val="4D4D4D"/>
          <w:w w:val="105"/>
          <w:sz w:val="18"/>
        </w:rPr>
        <w:t>(Exempt </w:t>
      </w:r>
      <w:r>
        <w:rPr>
          <w:rFonts w:ascii="Times New Roman"/>
          <w:color w:val="3B3B3B"/>
          <w:w w:val="105"/>
          <w:sz w:val="18"/>
        </w:rPr>
        <w:t>charity, </w:t>
      </w:r>
      <w:r>
        <w:rPr>
          <w:rFonts w:ascii="Times New Roman"/>
          <w:color w:val="4D4D4D"/>
          <w:w w:val="105"/>
          <w:sz w:val="18"/>
        </w:rPr>
        <w:t>registered </w:t>
      </w:r>
      <w:r>
        <w:rPr>
          <w:rFonts w:ascii="Times New Roman"/>
          <w:color w:val="3B3B3B"/>
          <w:w w:val="105"/>
          <w:sz w:val="18"/>
        </w:rPr>
        <w:t>under IPSAct 1965, number 15986R) </w:t>
      </w:r>
      <w:r>
        <w:rPr>
          <w:rFonts w:ascii="Times New Roman"/>
          <w:color w:val="4D4D4D"/>
          <w:w w:val="105"/>
          <w:sz w:val="18"/>
        </w:rPr>
        <w:t>Chairman: </w:t>
      </w:r>
      <w:r>
        <w:rPr>
          <w:rFonts w:ascii="Times New Roman"/>
          <w:color w:val="3B3B3B"/>
          <w:w w:val="105"/>
          <w:sz w:val="18"/>
        </w:rPr>
        <w:t>Revd </w:t>
      </w:r>
      <w:r>
        <w:rPr>
          <w:rFonts w:ascii="Times New Roman"/>
          <w:color w:val="242424"/>
          <w:w w:val="105"/>
          <w:sz w:val="18"/>
        </w:rPr>
        <w:t>David</w:t>
      </w:r>
      <w:r>
        <w:rPr>
          <w:rFonts w:ascii="Times New Roman"/>
          <w:color w:val="242424"/>
          <w:spacing w:val="-12"/>
          <w:w w:val="105"/>
          <w:sz w:val="18"/>
        </w:rPr>
        <w:t> </w:t>
      </w:r>
      <w:r>
        <w:rPr>
          <w:rFonts w:ascii="Times New Roman"/>
          <w:color w:val="3B3B3B"/>
          <w:w w:val="105"/>
          <w:sz w:val="18"/>
        </w:rPr>
        <w:t>Bedford</w:t>
      </w:r>
    </w:p>
    <w:p>
      <w:pPr>
        <w:spacing w:line="256" w:lineRule="auto" w:before="93"/>
        <w:ind w:left="518" w:right="1206" w:firstLine="0"/>
        <w:jc w:val="center"/>
        <w:rPr>
          <w:rFonts w:ascii="Times New Roman"/>
          <w:sz w:val="18"/>
        </w:rPr>
      </w:pPr>
      <w:r>
        <w:rPr/>
        <w:br w:type="column"/>
      </w:r>
      <w:r>
        <w:rPr>
          <w:rFonts w:ascii="Times New Roman"/>
          <w:b/>
          <w:color w:val="3B3B3B"/>
          <w:w w:val="105"/>
          <w:sz w:val="18"/>
        </w:rPr>
        <w:t>Un</w:t>
      </w:r>
      <w:r>
        <w:rPr>
          <w:rFonts w:ascii="Times New Roman"/>
          <w:b/>
          <w:color w:val="161616"/>
          <w:w w:val="105"/>
          <w:sz w:val="18"/>
        </w:rPr>
        <w:t>it</w:t>
      </w:r>
      <w:r>
        <w:rPr>
          <w:rFonts w:ascii="Times New Roman"/>
          <w:b/>
          <w:color w:val="3B3B3B"/>
          <w:w w:val="105"/>
          <w:sz w:val="18"/>
        </w:rPr>
        <w:t>e</w:t>
      </w:r>
      <w:r>
        <w:rPr>
          <w:rFonts w:ascii="Times New Roman"/>
          <w:b/>
          <w:color w:val="161616"/>
          <w:w w:val="105"/>
          <w:sz w:val="18"/>
        </w:rPr>
        <w:t>d </w:t>
      </w:r>
      <w:r>
        <w:rPr>
          <w:rFonts w:ascii="Times New Roman"/>
          <w:b/>
          <w:color w:val="242424"/>
          <w:w w:val="105"/>
          <w:sz w:val="18"/>
        </w:rPr>
        <w:t>Reformed </w:t>
      </w:r>
      <w:r>
        <w:rPr>
          <w:rFonts w:ascii="Times New Roman"/>
          <w:b/>
          <w:color w:val="3B3B3B"/>
          <w:w w:val="105"/>
          <w:sz w:val="18"/>
        </w:rPr>
        <w:t>C</w:t>
      </w:r>
      <w:r>
        <w:rPr>
          <w:rFonts w:ascii="Times New Roman"/>
          <w:b/>
          <w:color w:val="161616"/>
          <w:w w:val="105"/>
          <w:sz w:val="18"/>
        </w:rPr>
        <w:t>hurch </w:t>
      </w:r>
      <w:r>
        <w:rPr>
          <w:rFonts w:ascii="Times New Roman"/>
          <w:b/>
          <w:color w:val="242424"/>
          <w:w w:val="105"/>
          <w:sz w:val="18"/>
        </w:rPr>
        <w:t>Finance Committee </w:t>
      </w:r>
      <w:r>
        <w:rPr>
          <w:rFonts w:ascii="Times New Roman"/>
          <w:color w:val="3B3B3B"/>
          <w:w w:val="105"/>
          <w:sz w:val="18"/>
        </w:rPr>
        <w:t>Convener: Mr Eric Chilton</w:t>
      </w:r>
    </w:p>
    <w:p>
      <w:pPr>
        <w:spacing w:after="0" w:line="256" w:lineRule="auto"/>
        <w:jc w:val="center"/>
        <w:rPr>
          <w:rFonts w:ascii="Times New Roman"/>
          <w:sz w:val="18"/>
        </w:rPr>
        <w:sectPr>
          <w:type w:val="continuous"/>
          <w:pgSz w:w="10950" w:h="15880"/>
          <w:pgMar w:top="680" w:bottom="280" w:left="500" w:right="0"/>
          <w:cols w:num="2" w:equalWidth="0">
            <w:col w:w="6580" w:space="40"/>
            <w:col w:w="3830"/>
          </w:cols>
        </w:sectPr>
      </w:pPr>
    </w:p>
    <w:p>
      <w:pPr>
        <w:pStyle w:val="BodyText"/>
        <w:spacing w:line="206" w:lineRule="exact"/>
        <w:ind w:left="962"/>
        <w:jc w:val="both"/>
        <w:rPr>
          <w:rFonts w:ascii="Times New Roman"/>
        </w:rPr>
      </w:pPr>
      <w:r>
        <w:rPr>
          <w:rFonts w:ascii="Times New Roman"/>
          <w:color w:val="4D4D4D"/>
          <w:w w:val="105"/>
        </w:rPr>
        <w:t>Secretary: </w:t>
      </w:r>
      <w:r>
        <w:rPr>
          <w:rFonts w:ascii="Arial"/>
          <w:color w:val="3B3B3B"/>
          <w:w w:val="105"/>
          <w:sz w:val="17"/>
        </w:rPr>
        <w:t>Mr </w:t>
      </w:r>
      <w:r>
        <w:rPr>
          <w:rFonts w:ascii="Times New Roman"/>
          <w:color w:val="4D4D4D"/>
          <w:w w:val="105"/>
        </w:rPr>
        <w:t>Tony </w:t>
      </w:r>
      <w:r>
        <w:rPr>
          <w:rFonts w:ascii="Times New Roman"/>
          <w:color w:val="3B3B3B"/>
          <w:w w:val="105"/>
        </w:rPr>
        <w:t>Bayley</w:t>
      </w:r>
    </w:p>
    <w:p>
      <w:pPr>
        <w:pStyle w:val="BodyText"/>
        <w:spacing w:line="256" w:lineRule="auto" w:before="14"/>
        <w:ind w:left="957" w:right="38"/>
        <w:jc w:val="both"/>
        <w:rPr>
          <w:rFonts w:ascii="Times New Roman"/>
        </w:rPr>
      </w:pPr>
      <w:r>
        <w:rPr>
          <w:rFonts w:ascii="Times New Roman"/>
          <w:color w:val="3B3B3B"/>
          <w:w w:val="105"/>
        </w:rPr>
        <w:t>The</w:t>
      </w:r>
      <w:r>
        <w:rPr>
          <w:rFonts w:ascii="Times New Roman"/>
          <w:color w:val="3B3B3B"/>
          <w:spacing w:val="13"/>
          <w:w w:val="105"/>
        </w:rPr>
        <w:t> </w:t>
      </w:r>
      <w:r>
        <w:rPr>
          <w:rFonts w:ascii="Times New Roman"/>
          <w:color w:val="3B3B3B"/>
          <w:w w:val="105"/>
        </w:rPr>
        <w:t>names</w:t>
      </w:r>
      <w:r>
        <w:rPr>
          <w:rFonts w:ascii="Times New Roman"/>
          <w:color w:val="3B3B3B"/>
          <w:spacing w:val="-12"/>
          <w:w w:val="105"/>
        </w:rPr>
        <w:t> </w:t>
      </w:r>
      <w:r>
        <w:rPr>
          <w:rFonts w:ascii="Times New Roman"/>
          <w:color w:val="3B3B3B"/>
          <w:w w:val="105"/>
        </w:rPr>
        <w:t>of</w:t>
      </w:r>
      <w:r>
        <w:rPr>
          <w:rFonts w:ascii="Times New Roman"/>
          <w:color w:val="3B3B3B"/>
          <w:spacing w:val="13"/>
          <w:w w:val="105"/>
        </w:rPr>
        <w:t> </w:t>
      </w:r>
      <w:r>
        <w:rPr>
          <w:rFonts w:ascii="Times New Roman"/>
          <w:color w:val="3B3B3B"/>
          <w:w w:val="105"/>
        </w:rPr>
        <w:t>the</w:t>
      </w:r>
      <w:r>
        <w:rPr>
          <w:rFonts w:ascii="Times New Roman"/>
          <w:color w:val="3B3B3B"/>
          <w:spacing w:val="-15"/>
          <w:w w:val="105"/>
        </w:rPr>
        <w:t> </w:t>
      </w:r>
      <w:r>
        <w:rPr>
          <w:rFonts w:ascii="Times New Roman"/>
          <w:color w:val="3B3B3B"/>
          <w:w w:val="105"/>
        </w:rPr>
        <w:t>other</w:t>
      </w:r>
      <w:r>
        <w:rPr>
          <w:rFonts w:ascii="Times New Roman"/>
          <w:color w:val="3B3B3B"/>
          <w:spacing w:val="-14"/>
          <w:w w:val="105"/>
        </w:rPr>
        <w:t> </w:t>
      </w:r>
      <w:r>
        <w:rPr>
          <w:rFonts w:ascii="Times New Roman"/>
          <w:color w:val="3B3B3B"/>
          <w:w w:val="105"/>
        </w:rPr>
        <w:t>members</w:t>
      </w:r>
      <w:r>
        <w:rPr>
          <w:rFonts w:ascii="Times New Roman"/>
          <w:color w:val="3B3B3B"/>
          <w:spacing w:val="-20"/>
          <w:w w:val="105"/>
        </w:rPr>
        <w:t> </w:t>
      </w:r>
      <w:r>
        <w:rPr>
          <w:rFonts w:ascii="Times New Roman"/>
          <w:color w:val="3B3B3B"/>
          <w:w w:val="105"/>
        </w:rPr>
        <w:t>of the</w:t>
      </w:r>
      <w:r>
        <w:rPr>
          <w:rFonts w:ascii="Times New Roman"/>
          <w:color w:val="3B3B3B"/>
          <w:spacing w:val="-5"/>
          <w:w w:val="105"/>
        </w:rPr>
        <w:t> </w:t>
      </w:r>
      <w:r>
        <w:rPr>
          <w:rFonts w:ascii="Times New Roman"/>
          <w:color w:val="3B3B3B"/>
          <w:w w:val="105"/>
        </w:rPr>
        <w:t>committee of management, appointed for a term of six years, can be obtained from the</w:t>
      </w:r>
      <w:r>
        <w:rPr>
          <w:rFonts w:ascii="Times New Roman"/>
          <w:color w:val="3B3B3B"/>
          <w:spacing w:val="-28"/>
          <w:w w:val="105"/>
        </w:rPr>
        <w:t> </w:t>
      </w:r>
      <w:r>
        <w:rPr>
          <w:rFonts w:ascii="Times New Roman"/>
          <w:color w:val="3B3B3B"/>
          <w:w w:val="105"/>
        </w:rPr>
        <w:t>Secretary.</w:t>
      </w:r>
    </w:p>
    <w:p>
      <w:pPr>
        <w:pStyle w:val="BodyText"/>
        <w:spacing w:line="256" w:lineRule="auto"/>
        <w:ind w:left="907" w:right="957" w:firstLine="92"/>
        <w:jc w:val="right"/>
        <w:rPr>
          <w:rFonts w:ascii="Times New Roman"/>
        </w:rPr>
      </w:pPr>
      <w:r>
        <w:rPr/>
        <w:br w:type="column"/>
      </w:r>
      <w:r>
        <w:rPr>
          <w:rFonts w:ascii="Times New Roman"/>
          <w:color w:val="3B3B3B"/>
          <w:w w:val="105"/>
        </w:rPr>
        <w:t>Chief Finance Officer: </w:t>
      </w:r>
      <w:r>
        <w:rPr>
          <w:rFonts w:ascii="Times New Roman"/>
          <w:color w:val="4D4D4D"/>
          <w:w w:val="105"/>
        </w:rPr>
        <w:t>Mr </w:t>
      </w:r>
      <w:r>
        <w:rPr>
          <w:rFonts w:ascii="Times New Roman"/>
          <w:color w:val="3B3B3B"/>
          <w:w w:val="105"/>
        </w:rPr>
        <w:t>Andrew Grimwade</w:t>
      </w:r>
      <w:r>
        <w:rPr>
          <w:rFonts w:ascii="Times New Roman"/>
          <w:color w:val="3B3B3B"/>
          <w:w w:val="105"/>
        </w:rPr>
        <w:t> </w:t>
      </w:r>
      <w:r>
        <w:rPr>
          <w:rFonts w:ascii="Times New Roman"/>
          <w:color w:val="3B3B3B"/>
          <w:w w:val="105"/>
        </w:rPr>
        <w:t>Members, appointed by the General Assembly,</w:t>
      </w:r>
      <w:r>
        <w:rPr>
          <w:rFonts w:ascii="Times New Roman"/>
          <w:color w:val="3B3B3B"/>
          <w:w w:val="104"/>
        </w:rPr>
        <w:t> </w:t>
      </w:r>
      <w:r>
        <w:rPr>
          <w:rFonts w:ascii="Times New Roman"/>
          <w:color w:val="3B3B3B"/>
          <w:w w:val="105"/>
        </w:rPr>
        <w:t>serve for a term of </w:t>
      </w:r>
      <w:r>
        <w:rPr>
          <w:rFonts w:ascii="Times New Roman"/>
          <w:color w:val="4D4D4D"/>
          <w:w w:val="105"/>
        </w:rPr>
        <w:t>four years </w:t>
      </w:r>
      <w:r>
        <w:rPr>
          <w:rFonts w:ascii="Times New Roman"/>
          <w:color w:val="3B3B3B"/>
          <w:w w:val="105"/>
        </w:rPr>
        <w:t>as detai</w:t>
      </w:r>
      <w:r>
        <w:rPr>
          <w:rFonts w:ascii="Times New Roman"/>
          <w:color w:val="161616"/>
          <w:w w:val="105"/>
        </w:rPr>
        <w:t>l</w:t>
      </w:r>
      <w:r>
        <w:rPr>
          <w:rFonts w:ascii="Times New Roman"/>
          <w:color w:val="3B3B3B"/>
          <w:w w:val="105"/>
        </w:rPr>
        <w:t>ed in </w:t>
      </w:r>
      <w:r>
        <w:rPr>
          <w:rFonts w:ascii="Times New Roman"/>
          <w:color w:val="4D4D4D"/>
          <w:w w:val="105"/>
        </w:rPr>
        <w:t>the</w:t>
      </w:r>
      <w:r>
        <w:rPr>
          <w:rFonts w:ascii="Times New Roman"/>
          <w:color w:val="4D4D4D"/>
          <w:w w:val="106"/>
        </w:rPr>
        <w:t> </w:t>
      </w:r>
      <w:r>
        <w:rPr>
          <w:rFonts w:ascii="Times New Roman"/>
          <w:color w:val="3B3B3B"/>
          <w:w w:val="105"/>
        </w:rPr>
        <w:t>Annual Reports </w:t>
      </w:r>
      <w:r>
        <w:rPr>
          <w:rFonts w:ascii="Times New Roman"/>
          <w:color w:val="242424"/>
          <w:w w:val="105"/>
        </w:rPr>
        <w:t>to </w:t>
      </w:r>
      <w:r>
        <w:rPr>
          <w:rFonts w:ascii="Times New Roman"/>
          <w:color w:val="3B3B3B"/>
          <w:w w:val="105"/>
        </w:rPr>
        <w:t>the General Assembly</w:t>
      </w:r>
    </w:p>
    <w:p>
      <w:pPr>
        <w:spacing w:after="0" w:line="256" w:lineRule="auto"/>
        <w:jc w:val="right"/>
        <w:rPr>
          <w:rFonts w:ascii="Times New Roman"/>
        </w:rPr>
        <w:sectPr>
          <w:type w:val="continuous"/>
          <w:pgSz w:w="10950" w:h="15880"/>
          <w:pgMar w:top="680" w:bottom="280" w:left="500" w:right="0"/>
          <w:cols w:num="2" w:equalWidth="0">
            <w:col w:w="4792" w:space="181"/>
            <w:col w:w="5477"/>
          </w:cols>
        </w:sectPr>
      </w:pPr>
    </w:p>
    <w:p>
      <w:pPr>
        <w:pStyle w:val="BodyText"/>
        <w:spacing w:before="7"/>
        <w:rPr>
          <w:rFonts w:ascii="Times New Roman"/>
          <w:sz w:val="28"/>
        </w:rPr>
      </w:pPr>
    </w:p>
    <w:p>
      <w:pPr>
        <w:spacing w:after="0"/>
        <w:rPr>
          <w:rFonts w:ascii="Times New Roman"/>
          <w:sz w:val="28"/>
        </w:rPr>
        <w:sectPr>
          <w:type w:val="continuous"/>
          <w:pgSz w:w="10950" w:h="15880"/>
          <w:pgMar w:top="680" w:bottom="280" w:left="500" w:right="0"/>
        </w:sectPr>
      </w:pPr>
    </w:p>
    <w:p>
      <w:pPr>
        <w:spacing w:before="93"/>
        <w:ind w:left="1186" w:right="51" w:firstLine="0"/>
        <w:jc w:val="center"/>
        <w:rPr>
          <w:rFonts w:ascii="Times New Roman"/>
          <w:b/>
          <w:sz w:val="18"/>
        </w:rPr>
      </w:pPr>
      <w:r>
        <w:rPr>
          <w:rFonts w:ascii="Times New Roman"/>
          <w:b/>
          <w:color w:val="242424"/>
          <w:w w:val="105"/>
          <w:sz w:val="18"/>
        </w:rPr>
        <w:t>Actuaries</w:t>
      </w:r>
    </w:p>
    <w:p>
      <w:pPr>
        <w:pStyle w:val="BodyText"/>
        <w:spacing w:before="14"/>
        <w:ind w:left="1191" w:right="47"/>
        <w:jc w:val="center"/>
        <w:rPr>
          <w:rFonts w:ascii="Times New Roman"/>
        </w:rPr>
      </w:pPr>
      <w:r>
        <w:rPr>
          <w:rFonts w:ascii="Times New Roman"/>
          <w:color w:val="3B3B3B"/>
          <w:w w:val="105"/>
        </w:rPr>
        <w:t>Aon Limited</w:t>
      </w:r>
    </w:p>
    <w:p>
      <w:pPr>
        <w:pStyle w:val="BodyText"/>
        <w:spacing w:line="256" w:lineRule="auto" w:before="14"/>
        <w:ind w:left="1191" w:right="51"/>
        <w:jc w:val="center"/>
        <w:rPr>
          <w:rFonts w:ascii="Times New Roman"/>
        </w:rPr>
      </w:pPr>
      <w:r>
        <w:rPr>
          <w:rFonts w:ascii="Times New Roman"/>
          <w:color w:val="4D4D4D"/>
          <w:w w:val="105"/>
        </w:rPr>
        <w:t>Carnegie </w:t>
      </w:r>
      <w:r>
        <w:rPr>
          <w:rFonts w:ascii="Times New Roman"/>
          <w:color w:val="3B3B3B"/>
          <w:w w:val="105"/>
        </w:rPr>
        <w:t>House Peterborough Road Harrow Middlesex </w:t>
      </w:r>
      <w:r>
        <w:rPr>
          <w:rFonts w:ascii="Times New Roman"/>
          <w:color w:val="3B3B3B"/>
          <w:spacing w:val="4"/>
          <w:w w:val="105"/>
        </w:rPr>
        <w:t>HA</w:t>
      </w:r>
      <w:r>
        <w:rPr>
          <w:rFonts w:ascii="Times New Roman"/>
          <w:color w:val="161616"/>
          <w:spacing w:val="4"/>
          <w:w w:val="105"/>
        </w:rPr>
        <w:t>I </w:t>
      </w:r>
      <w:r>
        <w:rPr>
          <w:rFonts w:ascii="Times New Roman"/>
          <w:color w:val="3B3B3B"/>
          <w:w w:val="105"/>
        </w:rPr>
        <w:t>2AJ</w:t>
      </w:r>
    </w:p>
    <w:p>
      <w:pPr>
        <w:spacing w:line="256" w:lineRule="auto" w:before="93"/>
        <w:ind w:left="602" w:right="0" w:hanging="6"/>
        <w:jc w:val="center"/>
        <w:rPr>
          <w:rFonts w:ascii="Times New Roman"/>
          <w:sz w:val="18"/>
        </w:rPr>
      </w:pPr>
      <w:r>
        <w:rPr/>
        <w:br w:type="column"/>
      </w:r>
      <w:r>
        <w:rPr>
          <w:rFonts w:ascii="Times New Roman"/>
          <w:b/>
          <w:color w:val="242424"/>
          <w:w w:val="105"/>
          <w:sz w:val="18"/>
        </w:rPr>
        <w:t>Auditors  </w:t>
      </w:r>
      <w:r>
        <w:rPr>
          <w:rFonts w:ascii="Times New Roman"/>
          <w:color w:val="3B3B3B"/>
          <w:spacing w:val="-1"/>
          <w:w w:val="105"/>
          <w:sz w:val="18"/>
        </w:rPr>
        <w:t>PricewaterhouseCoopers </w:t>
      </w:r>
      <w:r>
        <w:rPr>
          <w:rFonts w:ascii="Times New Roman"/>
          <w:color w:val="3B3B3B"/>
          <w:w w:val="105"/>
          <w:sz w:val="18"/>
        </w:rPr>
        <w:t>LLP </w:t>
      </w:r>
      <w:r>
        <w:rPr>
          <w:rFonts w:ascii="Times New Roman"/>
          <w:color w:val="4D4D4D"/>
          <w:w w:val="105"/>
          <w:sz w:val="18"/>
        </w:rPr>
        <w:t>Southwark</w:t>
      </w:r>
      <w:r>
        <w:rPr>
          <w:rFonts w:ascii="Times New Roman"/>
          <w:color w:val="4D4D4D"/>
          <w:spacing w:val="-9"/>
          <w:w w:val="105"/>
          <w:sz w:val="18"/>
        </w:rPr>
        <w:t> </w:t>
      </w:r>
      <w:r>
        <w:rPr>
          <w:rFonts w:ascii="Times New Roman"/>
          <w:color w:val="3B3B3B"/>
          <w:w w:val="105"/>
          <w:sz w:val="18"/>
        </w:rPr>
        <w:t>Towers</w:t>
      </w:r>
    </w:p>
    <w:p>
      <w:pPr>
        <w:pStyle w:val="BodyText"/>
        <w:spacing w:line="256" w:lineRule="auto"/>
        <w:ind w:left="791" w:right="189"/>
        <w:jc w:val="center"/>
        <w:rPr>
          <w:rFonts w:ascii="Times New Roman"/>
        </w:rPr>
      </w:pPr>
      <w:r>
        <w:rPr>
          <w:rFonts w:ascii="Times New Roman"/>
          <w:color w:val="3B3B3B"/>
          <w:w w:val="105"/>
        </w:rPr>
        <w:t>32 </w:t>
      </w:r>
      <w:r>
        <w:rPr>
          <w:rFonts w:ascii="Times New Roman"/>
          <w:color w:val="242424"/>
          <w:spacing w:val="-3"/>
          <w:w w:val="105"/>
        </w:rPr>
        <w:t>L</w:t>
      </w:r>
      <w:r>
        <w:rPr>
          <w:rFonts w:ascii="Times New Roman"/>
          <w:color w:val="4D4D4D"/>
          <w:spacing w:val="-3"/>
          <w:w w:val="105"/>
        </w:rPr>
        <w:t>ondon </w:t>
      </w:r>
      <w:r>
        <w:rPr>
          <w:rFonts w:ascii="Times New Roman"/>
          <w:color w:val="3B3B3B"/>
          <w:w w:val="105"/>
        </w:rPr>
        <w:t>Bridge Street London SEI</w:t>
      </w:r>
      <w:r>
        <w:rPr>
          <w:rFonts w:ascii="Times New Roman"/>
          <w:color w:val="3B3B3B"/>
          <w:spacing w:val="34"/>
          <w:w w:val="105"/>
        </w:rPr>
        <w:t> </w:t>
      </w:r>
      <w:r>
        <w:rPr>
          <w:rFonts w:ascii="Times New Roman"/>
          <w:color w:val="3B3B3B"/>
          <w:w w:val="105"/>
        </w:rPr>
        <w:t>9SY</w:t>
      </w:r>
    </w:p>
    <w:p>
      <w:pPr>
        <w:spacing w:line="256" w:lineRule="auto" w:before="93"/>
        <w:ind w:left="1305" w:right="952" w:firstLine="394"/>
        <w:jc w:val="left"/>
        <w:rPr>
          <w:rFonts w:ascii="Times New Roman"/>
          <w:sz w:val="18"/>
        </w:rPr>
      </w:pPr>
      <w:r>
        <w:rPr/>
        <w:br w:type="column"/>
      </w:r>
      <w:r>
        <w:rPr>
          <w:rFonts w:ascii="Times New Roman"/>
          <w:b/>
          <w:color w:val="161616"/>
          <w:spacing w:val="-5"/>
          <w:w w:val="105"/>
          <w:sz w:val="18"/>
        </w:rPr>
        <w:t>Banker</w:t>
      </w:r>
      <w:r>
        <w:rPr>
          <w:rFonts w:ascii="Times New Roman"/>
          <w:b/>
          <w:color w:val="3B3B3B"/>
          <w:spacing w:val="-5"/>
          <w:w w:val="105"/>
          <w:sz w:val="18"/>
        </w:rPr>
        <w:t>s </w:t>
      </w:r>
      <w:r>
        <w:rPr>
          <w:rFonts w:ascii="Times New Roman"/>
          <w:color w:val="3B3B3B"/>
          <w:w w:val="105"/>
          <w:sz w:val="18"/>
        </w:rPr>
        <w:t>HSBC Bank pie </w:t>
      </w:r>
      <w:r>
        <w:rPr>
          <w:rFonts w:ascii="Times New Roman"/>
          <w:color w:val="242424"/>
          <w:w w:val="105"/>
          <w:sz w:val="18"/>
        </w:rPr>
        <w:t>Holborn</w:t>
      </w:r>
      <w:r>
        <w:rPr>
          <w:rFonts w:ascii="Times New Roman"/>
          <w:color w:val="242424"/>
          <w:spacing w:val="-9"/>
          <w:w w:val="105"/>
          <w:sz w:val="18"/>
        </w:rPr>
        <w:t> </w:t>
      </w:r>
      <w:r>
        <w:rPr>
          <w:rFonts w:ascii="Times New Roman"/>
          <w:color w:val="3B3B3B"/>
          <w:w w:val="105"/>
          <w:sz w:val="18"/>
        </w:rPr>
        <w:t>Branch</w:t>
      </w:r>
    </w:p>
    <w:p>
      <w:pPr>
        <w:pStyle w:val="BodyText"/>
        <w:spacing w:line="256" w:lineRule="auto"/>
        <w:ind w:left="910" w:right="950" w:firstLine="680"/>
        <w:rPr>
          <w:rFonts w:ascii="Times New Roman"/>
        </w:rPr>
      </w:pPr>
      <w:r>
        <w:rPr>
          <w:rFonts w:ascii="Times New Roman"/>
          <w:color w:val="3B3B3B"/>
          <w:spacing w:val="3"/>
          <w:w w:val="105"/>
        </w:rPr>
        <w:t>3</w:t>
      </w:r>
      <w:r>
        <w:rPr>
          <w:rFonts w:ascii="Times New Roman"/>
          <w:color w:val="161616"/>
          <w:spacing w:val="3"/>
          <w:w w:val="105"/>
        </w:rPr>
        <w:t>1 </w:t>
      </w:r>
      <w:r>
        <w:rPr>
          <w:rFonts w:ascii="Times New Roman"/>
          <w:color w:val="3B3B3B"/>
          <w:w w:val="105"/>
        </w:rPr>
        <w:t>Holborn London   </w:t>
      </w:r>
      <w:r>
        <w:rPr>
          <w:rFonts w:ascii="Times New Roman"/>
          <w:color w:val="4D4D4D"/>
          <w:w w:val="105"/>
        </w:rPr>
        <w:t>EClN </w:t>
      </w:r>
      <w:r>
        <w:rPr>
          <w:rFonts w:ascii="Times New Roman"/>
          <w:color w:val="4D4D4D"/>
          <w:spacing w:val="4"/>
          <w:w w:val="105"/>
        </w:rPr>
        <w:t> </w:t>
      </w:r>
      <w:r>
        <w:rPr>
          <w:rFonts w:ascii="Times New Roman"/>
          <w:color w:val="3B3B3B"/>
          <w:w w:val="105"/>
        </w:rPr>
        <w:t>2HR</w:t>
      </w:r>
    </w:p>
    <w:p>
      <w:pPr>
        <w:spacing w:after="0" w:line="256" w:lineRule="auto"/>
        <w:rPr>
          <w:rFonts w:ascii="Times New Roman"/>
        </w:rPr>
        <w:sectPr>
          <w:type w:val="continuous"/>
          <w:pgSz w:w="10950" w:h="15880"/>
          <w:pgMar w:top="680" w:bottom="280" w:left="500" w:right="0"/>
          <w:cols w:num="3" w:equalWidth="0">
            <w:col w:w="4007" w:space="40"/>
            <w:col w:w="2868" w:space="39"/>
            <w:col w:w="3496"/>
          </w:cols>
        </w:sectPr>
      </w:pPr>
    </w:p>
    <w:p>
      <w:pPr>
        <w:pStyle w:val="BodyText"/>
        <w:spacing w:before="11"/>
        <w:rPr>
          <w:rFonts w:ascii="Times New Roman"/>
          <w:sz w:val="11"/>
        </w:rPr>
      </w:pPr>
    </w:p>
    <w:p>
      <w:pPr>
        <w:spacing w:after="0"/>
        <w:rPr>
          <w:rFonts w:ascii="Times New Roman"/>
          <w:sz w:val="11"/>
        </w:rPr>
        <w:sectPr>
          <w:type w:val="continuous"/>
          <w:pgSz w:w="10950" w:h="15880"/>
          <w:pgMar w:top="680" w:bottom="280" w:left="500" w:right="0"/>
        </w:sectPr>
      </w:pPr>
    </w:p>
    <w:p>
      <w:pPr>
        <w:pStyle w:val="BodyText"/>
        <w:spacing w:before="5"/>
        <w:rPr>
          <w:rFonts w:ascii="Times New Roman"/>
          <w:sz w:val="26"/>
        </w:rPr>
      </w:pPr>
    </w:p>
    <w:p>
      <w:pPr>
        <w:pStyle w:val="BodyText"/>
        <w:ind w:left="1018"/>
        <w:rPr>
          <w:rFonts w:ascii="Times New Roman"/>
        </w:rPr>
      </w:pPr>
      <w:r>
        <w:rPr>
          <w:rFonts w:ascii="Times New Roman"/>
          <w:color w:val="3B3B3B"/>
          <w:w w:val="105"/>
        </w:rPr>
        <w:t>Dawsons</w:t>
      </w:r>
    </w:p>
    <w:p>
      <w:pPr>
        <w:pStyle w:val="BodyText"/>
        <w:spacing w:line="242" w:lineRule="auto" w:before="15"/>
        <w:ind w:left="960" w:right="41" w:hanging="1"/>
        <w:rPr>
          <w:rFonts w:ascii="Times New Roman"/>
        </w:rPr>
      </w:pPr>
      <w:r>
        <w:rPr>
          <w:rFonts w:ascii="Times New Roman"/>
          <w:color w:val="3B3B3B"/>
          <w:w w:val="105"/>
        </w:rPr>
        <w:t>2 </w:t>
      </w:r>
      <w:r>
        <w:rPr>
          <w:rFonts w:ascii="Times New Roman"/>
          <w:color w:val="4D4D4D"/>
          <w:w w:val="105"/>
        </w:rPr>
        <w:t>New </w:t>
      </w:r>
      <w:r>
        <w:rPr>
          <w:rFonts w:ascii="Times New Roman"/>
          <w:color w:val="3B3B3B"/>
          <w:w w:val="105"/>
        </w:rPr>
        <w:t>Square</w:t>
      </w:r>
      <w:r>
        <w:rPr>
          <w:rFonts w:ascii="Times New Roman"/>
          <w:color w:val="242424"/>
          <w:w w:val="105"/>
        </w:rPr>
        <w:t> Lincoln's </w:t>
      </w:r>
      <w:r>
        <w:rPr>
          <w:rFonts w:ascii="Times New Roman"/>
          <w:color w:val="3B3B3B"/>
          <w:w w:val="105"/>
          <w:sz w:val="20"/>
        </w:rPr>
        <w:t>Inn </w:t>
      </w:r>
      <w:r>
        <w:rPr>
          <w:rFonts w:ascii="Times New Roman"/>
          <w:color w:val="3B3B3B"/>
          <w:w w:val="105"/>
        </w:rPr>
        <w:t>London WC2A </w:t>
      </w:r>
      <w:r>
        <w:rPr>
          <w:rFonts w:ascii="Times New Roman"/>
          <w:color w:val="4D4D4D"/>
          <w:w w:val="105"/>
        </w:rPr>
        <w:t>3RZ</w:t>
      </w:r>
    </w:p>
    <w:p>
      <w:pPr>
        <w:spacing w:before="92"/>
        <w:ind w:left="1144" w:right="0" w:firstLine="0"/>
        <w:jc w:val="left"/>
        <w:rPr>
          <w:rFonts w:ascii="Times New Roman"/>
          <w:b/>
          <w:sz w:val="18"/>
        </w:rPr>
      </w:pPr>
      <w:r>
        <w:rPr/>
        <w:br w:type="column"/>
      </w:r>
      <w:r>
        <w:rPr>
          <w:rFonts w:ascii="Times New Roman"/>
          <w:b/>
          <w:color w:val="3B3B3B"/>
          <w:spacing w:val="-6"/>
          <w:w w:val="110"/>
          <w:sz w:val="18"/>
        </w:rPr>
        <w:t>Lega</w:t>
      </w:r>
      <w:r>
        <w:rPr>
          <w:rFonts w:ascii="Times New Roman"/>
          <w:b/>
          <w:color w:val="161616"/>
          <w:spacing w:val="-6"/>
          <w:w w:val="110"/>
          <w:sz w:val="18"/>
        </w:rPr>
        <w:t>l </w:t>
      </w:r>
      <w:r>
        <w:rPr>
          <w:rFonts w:ascii="Times New Roman"/>
          <w:b/>
          <w:color w:val="242424"/>
          <w:w w:val="110"/>
          <w:sz w:val="18"/>
        </w:rPr>
        <w:t>Advisers</w:t>
      </w:r>
    </w:p>
    <w:p>
      <w:pPr>
        <w:pStyle w:val="BodyText"/>
        <w:spacing w:before="5"/>
        <w:ind w:left="1103"/>
        <w:rPr>
          <w:rFonts w:ascii="Times New Roman"/>
        </w:rPr>
      </w:pPr>
      <w:r>
        <w:rPr>
          <w:rFonts w:ascii="Times New Roman"/>
          <w:color w:val="3B3B3B"/>
          <w:w w:val="110"/>
        </w:rPr>
        <w:t>Cobbetts LLP</w:t>
      </w:r>
    </w:p>
    <w:p>
      <w:pPr>
        <w:pStyle w:val="BodyText"/>
        <w:spacing w:line="256" w:lineRule="auto" w:before="15"/>
        <w:ind w:left="932" w:right="31"/>
        <w:jc w:val="center"/>
        <w:rPr>
          <w:rFonts w:ascii="Times New Roman"/>
        </w:rPr>
      </w:pPr>
      <w:r>
        <w:rPr>
          <w:rFonts w:ascii="Times New Roman"/>
          <w:color w:val="3B3B3B"/>
          <w:w w:val="110"/>
        </w:rPr>
        <w:t>l Colmore Square Birmingham 846AJ</w:t>
      </w:r>
    </w:p>
    <w:p>
      <w:pPr>
        <w:pStyle w:val="BodyText"/>
        <w:spacing w:before="5"/>
        <w:rPr>
          <w:rFonts w:ascii="Times New Roman"/>
          <w:sz w:val="26"/>
        </w:rPr>
      </w:pPr>
      <w:r>
        <w:rPr/>
        <w:br w:type="column"/>
      </w:r>
      <w:r>
        <w:rPr>
          <w:rFonts w:ascii="Times New Roman"/>
          <w:sz w:val="26"/>
        </w:rPr>
      </w:r>
    </w:p>
    <w:p>
      <w:pPr>
        <w:pStyle w:val="BodyText"/>
        <w:spacing w:line="256" w:lineRule="auto"/>
        <w:ind w:left="1081" w:right="1462" w:hanging="13"/>
        <w:jc w:val="center"/>
        <w:rPr>
          <w:rFonts w:ascii="Times New Roman"/>
        </w:rPr>
      </w:pPr>
      <w:r>
        <w:rPr>
          <w:rFonts w:ascii="Times New Roman"/>
          <w:color w:val="3B3B3B"/>
          <w:w w:val="105"/>
        </w:rPr>
        <w:t>Towns </w:t>
      </w:r>
      <w:r>
        <w:rPr>
          <w:rFonts w:ascii="Times New Roman"/>
          <w:color w:val="4D4D4D"/>
          <w:w w:val="105"/>
        </w:rPr>
        <w:t>Needham K.ingsgate 2nd</w:t>
      </w:r>
      <w:r>
        <w:rPr>
          <w:rFonts w:ascii="Times New Roman"/>
          <w:color w:val="4D4D4D"/>
          <w:spacing w:val="-15"/>
          <w:w w:val="105"/>
        </w:rPr>
        <w:t> </w:t>
      </w:r>
      <w:r>
        <w:rPr>
          <w:rFonts w:ascii="Times New Roman"/>
          <w:color w:val="4D4D4D"/>
          <w:w w:val="105"/>
        </w:rPr>
        <w:t>Floor</w:t>
      </w:r>
    </w:p>
    <w:p>
      <w:pPr>
        <w:pStyle w:val="BodyText"/>
        <w:spacing w:line="244" w:lineRule="auto" w:before="9"/>
        <w:ind w:left="959" w:right="1336"/>
        <w:jc w:val="center"/>
        <w:rPr>
          <w:rFonts w:ascii="Times New Roman"/>
        </w:rPr>
      </w:pPr>
      <w:r>
        <w:rPr>
          <w:rFonts w:ascii="Times New Roman"/>
          <w:color w:val="3B3B3B"/>
          <w:w w:val="110"/>
        </w:rPr>
        <w:t>51-53</w:t>
      </w:r>
      <w:r>
        <w:rPr>
          <w:rFonts w:ascii="Times New Roman"/>
          <w:color w:val="3B3B3B"/>
          <w:spacing w:val="-29"/>
          <w:w w:val="110"/>
        </w:rPr>
        <w:t> </w:t>
      </w:r>
      <w:r>
        <w:rPr>
          <w:rFonts w:ascii="Times New Roman"/>
          <w:color w:val="3B3B3B"/>
          <w:w w:val="110"/>
        </w:rPr>
        <w:t>South</w:t>
      </w:r>
      <w:r>
        <w:rPr>
          <w:rFonts w:ascii="Times New Roman"/>
          <w:color w:val="3B3B3B"/>
          <w:spacing w:val="-32"/>
          <w:w w:val="110"/>
        </w:rPr>
        <w:t> </w:t>
      </w:r>
      <w:r>
        <w:rPr>
          <w:rFonts w:ascii="Times New Roman"/>
          <w:color w:val="3B3B3B"/>
          <w:w w:val="110"/>
        </w:rPr>
        <w:t>King</w:t>
      </w:r>
      <w:r>
        <w:rPr>
          <w:rFonts w:ascii="Times New Roman"/>
          <w:color w:val="3B3B3B"/>
          <w:spacing w:val="-32"/>
          <w:w w:val="110"/>
        </w:rPr>
        <w:t> </w:t>
      </w:r>
      <w:r>
        <w:rPr>
          <w:rFonts w:ascii="Times New Roman"/>
          <w:color w:val="3B3B3B"/>
          <w:w w:val="110"/>
        </w:rPr>
        <w:t>Street Manchester M2</w:t>
      </w:r>
      <w:r>
        <w:rPr>
          <w:rFonts w:ascii="Times New Roman"/>
          <w:color w:val="3B3B3B"/>
          <w:spacing w:val="-8"/>
          <w:w w:val="110"/>
        </w:rPr>
        <w:t> </w:t>
      </w:r>
      <w:r>
        <w:rPr>
          <w:rFonts w:ascii="Times New Roman"/>
          <w:color w:val="3B3B3B"/>
          <w:w w:val="110"/>
        </w:rPr>
        <w:t>6DE</w:t>
      </w:r>
    </w:p>
    <w:p>
      <w:pPr>
        <w:spacing w:after="0" w:line="244" w:lineRule="auto"/>
        <w:jc w:val="center"/>
        <w:rPr>
          <w:rFonts w:ascii="Times New Roman"/>
        </w:rPr>
        <w:sectPr>
          <w:type w:val="continuous"/>
          <w:pgSz w:w="10950" w:h="15880"/>
          <w:pgMar w:top="680" w:bottom="280" w:left="500" w:right="0"/>
          <w:cols w:num="3" w:equalWidth="0">
            <w:col w:w="2612" w:space="998"/>
            <w:col w:w="2388" w:space="305"/>
            <w:col w:w="4147"/>
          </w:cols>
        </w:sectPr>
      </w:pPr>
    </w:p>
    <w:p>
      <w:pPr>
        <w:pStyle w:val="BodyText"/>
        <w:spacing w:before="4"/>
        <w:rPr>
          <w:rFonts w:ascii="Times New Roman"/>
          <w:sz w:val="21"/>
        </w:rPr>
      </w:pPr>
    </w:p>
    <w:p>
      <w:pPr>
        <w:spacing w:before="91"/>
        <w:ind w:left="509" w:right="0" w:firstLine="0"/>
        <w:jc w:val="left"/>
        <w:rPr>
          <w:rFonts w:ascii="Times New Roman"/>
          <w:b/>
          <w:sz w:val="22"/>
        </w:rPr>
      </w:pPr>
      <w:bookmarkStart w:name="_TOC_250018" w:id="3"/>
      <w:r>
        <w:rPr>
          <w:rFonts w:ascii="Times New Roman"/>
          <w:b/>
          <w:color w:val="1D1D1D"/>
          <w:sz w:val="22"/>
        </w:rPr>
        <w:t>STRUCTURE, GOVERNANCE </w:t>
      </w:r>
      <w:bookmarkEnd w:id="3"/>
      <w:r>
        <w:rPr>
          <w:rFonts w:ascii="Times New Roman"/>
          <w:b/>
          <w:color w:val="363636"/>
          <w:sz w:val="22"/>
        </w:rPr>
        <w:t>AND MANAGEMENT</w:t>
      </w:r>
    </w:p>
    <w:p>
      <w:pPr>
        <w:spacing w:before="122"/>
        <w:ind w:left="513" w:right="0" w:firstLine="0"/>
        <w:jc w:val="left"/>
        <w:rPr>
          <w:rFonts w:ascii="Times New Roman"/>
          <w:b/>
          <w:sz w:val="19"/>
        </w:rPr>
      </w:pPr>
      <w:r>
        <w:rPr>
          <w:rFonts w:ascii="Times New Roman"/>
          <w:b/>
          <w:color w:val="363636"/>
          <w:w w:val="105"/>
          <w:sz w:val="19"/>
        </w:rPr>
        <w:t>Constitution</w:t>
      </w:r>
    </w:p>
    <w:p>
      <w:pPr>
        <w:spacing w:line="259" w:lineRule="auto" w:before="12"/>
        <w:ind w:left="499" w:right="791" w:firstLine="6"/>
        <w:jc w:val="both"/>
        <w:rPr>
          <w:rFonts w:ascii="Times New Roman"/>
          <w:sz w:val="19"/>
        </w:rPr>
      </w:pPr>
      <w:r>
        <w:rPr>
          <w:rFonts w:ascii="Times New Roman"/>
          <w:color w:val="363636"/>
          <w:w w:val="110"/>
          <w:sz w:val="19"/>
        </w:rPr>
        <w:t>The governing body of the United Reformed Church is the General </w:t>
      </w:r>
      <w:r>
        <w:rPr>
          <w:rFonts w:ascii="Times New Roman"/>
          <w:color w:val="363636"/>
          <w:spacing w:val="-7"/>
          <w:w w:val="110"/>
          <w:sz w:val="19"/>
        </w:rPr>
        <w:t>Assembly</w:t>
      </w:r>
      <w:r>
        <w:rPr>
          <w:rFonts w:ascii="Times New Roman"/>
          <w:color w:val="575757"/>
          <w:spacing w:val="-7"/>
          <w:w w:val="110"/>
          <w:sz w:val="19"/>
        </w:rPr>
        <w:t>. </w:t>
      </w:r>
      <w:r>
        <w:rPr>
          <w:rFonts w:ascii="Times New Roman"/>
          <w:color w:val="363636"/>
          <w:w w:val="110"/>
          <w:sz w:val="19"/>
        </w:rPr>
        <w:t>The </w:t>
      </w:r>
      <w:r>
        <w:rPr>
          <w:rFonts w:ascii="Times New Roman"/>
          <w:color w:val="575757"/>
          <w:w w:val="110"/>
          <w:sz w:val="19"/>
        </w:rPr>
        <w:t>a</w:t>
      </w:r>
      <w:r>
        <w:rPr>
          <w:rFonts w:ascii="Times New Roman"/>
          <w:color w:val="363636"/>
          <w:w w:val="110"/>
          <w:sz w:val="19"/>
        </w:rPr>
        <w:t>uthority </w:t>
      </w:r>
      <w:r>
        <w:rPr>
          <w:rFonts w:ascii="Times New Roman"/>
          <w:color w:val="1D1D1D"/>
          <w:w w:val="110"/>
          <w:sz w:val="19"/>
        </w:rPr>
        <w:t>under which </w:t>
      </w:r>
      <w:r>
        <w:rPr>
          <w:rFonts w:ascii="Times New Roman"/>
          <w:color w:val="363636"/>
          <w:w w:val="110"/>
          <w:sz w:val="19"/>
        </w:rPr>
        <w:t>the General</w:t>
      </w:r>
      <w:r>
        <w:rPr>
          <w:rFonts w:ascii="Times New Roman"/>
          <w:color w:val="363636"/>
          <w:spacing w:val="-9"/>
          <w:w w:val="110"/>
          <w:sz w:val="19"/>
        </w:rPr>
        <w:t> </w:t>
      </w:r>
      <w:r>
        <w:rPr>
          <w:rFonts w:ascii="Times New Roman"/>
          <w:color w:val="363636"/>
          <w:w w:val="110"/>
          <w:sz w:val="19"/>
        </w:rPr>
        <w:t>Assembly</w:t>
      </w:r>
      <w:r>
        <w:rPr>
          <w:rFonts w:ascii="Times New Roman"/>
          <w:color w:val="363636"/>
          <w:spacing w:val="-4"/>
          <w:w w:val="110"/>
          <w:sz w:val="19"/>
        </w:rPr>
        <w:t> </w:t>
      </w:r>
      <w:r>
        <w:rPr>
          <w:rFonts w:ascii="Times New Roman"/>
          <w:color w:val="363636"/>
          <w:w w:val="110"/>
          <w:sz w:val="19"/>
        </w:rPr>
        <w:t>acts</w:t>
      </w:r>
      <w:r>
        <w:rPr>
          <w:rFonts w:ascii="Times New Roman"/>
          <w:color w:val="363636"/>
          <w:spacing w:val="-11"/>
          <w:w w:val="110"/>
          <w:sz w:val="19"/>
        </w:rPr>
        <w:t> </w:t>
      </w:r>
      <w:r>
        <w:rPr>
          <w:rFonts w:ascii="Times New Roman"/>
          <w:color w:val="363636"/>
          <w:w w:val="110"/>
          <w:sz w:val="19"/>
        </w:rPr>
        <w:t>was</w:t>
      </w:r>
      <w:r>
        <w:rPr>
          <w:rFonts w:ascii="Times New Roman"/>
          <w:color w:val="363636"/>
          <w:spacing w:val="-13"/>
          <w:w w:val="110"/>
          <w:sz w:val="19"/>
        </w:rPr>
        <w:t> </w:t>
      </w:r>
      <w:r>
        <w:rPr>
          <w:rFonts w:ascii="Times New Roman"/>
          <w:color w:val="363636"/>
          <w:w w:val="110"/>
          <w:sz w:val="19"/>
        </w:rPr>
        <w:t>given</w:t>
      </w:r>
      <w:r>
        <w:rPr>
          <w:rFonts w:ascii="Times New Roman"/>
          <w:color w:val="363636"/>
          <w:spacing w:val="-16"/>
          <w:w w:val="110"/>
          <w:sz w:val="19"/>
        </w:rPr>
        <w:t> </w:t>
      </w:r>
      <w:r>
        <w:rPr>
          <w:rFonts w:ascii="Times New Roman"/>
          <w:color w:val="363636"/>
          <w:w w:val="110"/>
          <w:sz w:val="19"/>
        </w:rPr>
        <w:t>by</w:t>
      </w:r>
      <w:r>
        <w:rPr>
          <w:rFonts w:ascii="Times New Roman"/>
          <w:color w:val="363636"/>
          <w:spacing w:val="2"/>
          <w:w w:val="110"/>
          <w:sz w:val="19"/>
        </w:rPr>
        <w:t> </w:t>
      </w:r>
      <w:r>
        <w:rPr>
          <w:rFonts w:ascii="Times New Roman"/>
          <w:color w:val="363636"/>
          <w:w w:val="110"/>
          <w:sz w:val="19"/>
        </w:rPr>
        <w:t>the</w:t>
      </w:r>
      <w:r>
        <w:rPr>
          <w:rFonts w:ascii="Times New Roman"/>
          <w:color w:val="363636"/>
          <w:spacing w:val="-17"/>
          <w:w w:val="110"/>
          <w:sz w:val="19"/>
        </w:rPr>
        <w:t> </w:t>
      </w:r>
      <w:r>
        <w:rPr>
          <w:rFonts w:ascii="Times New Roman"/>
          <w:color w:val="363636"/>
          <w:w w:val="110"/>
          <w:sz w:val="19"/>
        </w:rPr>
        <w:t>resolutions</w:t>
      </w:r>
      <w:r>
        <w:rPr>
          <w:rFonts w:ascii="Times New Roman"/>
          <w:color w:val="363636"/>
          <w:spacing w:val="-6"/>
          <w:w w:val="110"/>
          <w:sz w:val="19"/>
        </w:rPr>
        <w:t> </w:t>
      </w:r>
      <w:r>
        <w:rPr>
          <w:rFonts w:ascii="Times New Roman"/>
          <w:color w:val="363636"/>
          <w:w w:val="110"/>
          <w:sz w:val="19"/>
        </w:rPr>
        <w:t>passed</w:t>
      </w:r>
      <w:r>
        <w:rPr>
          <w:rFonts w:ascii="Times New Roman"/>
          <w:color w:val="363636"/>
          <w:spacing w:val="-13"/>
          <w:w w:val="110"/>
          <w:sz w:val="19"/>
        </w:rPr>
        <w:t> </w:t>
      </w:r>
      <w:r>
        <w:rPr>
          <w:rFonts w:ascii="Times New Roman"/>
          <w:color w:val="363636"/>
          <w:w w:val="110"/>
          <w:sz w:val="19"/>
        </w:rPr>
        <w:t>at</w:t>
      </w:r>
      <w:r>
        <w:rPr>
          <w:rFonts w:ascii="Times New Roman"/>
          <w:color w:val="363636"/>
          <w:spacing w:val="-9"/>
          <w:w w:val="110"/>
          <w:sz w:val="19"/>
        </w:rPr>
        <w:t> </w:t>
      </w:r>
      <w:r>
        <w:rPr>
          <w:rFonts w:ascii="Times New Roman"/>
          <w:color w:val="363636"/>
          <w:w w:val="110"/>
          <w:sz w:val="19"/>
        </w:rPr>
        <w:t>the</w:t>
      </w:r>
      <w:r>
        <w:rPr>
          <w:rFonts w:ascii="Times New Roman"/>
          <w:color w:val="363636"/>
          <w:spacing w:val="-11"/>
          <w:w w:val="110"/>
          <w:sz w:val="19"/>
        </w:rPr>
        <w:t> </w:t>
      </w:r>
      <w:r>
        <w:rPr>
          <w:rFonts w:ascii="Times New Roman"/>
          <w:color w:val="363636"/>
          <w:w w:val="110"/>
          <w:sz w:val="19"/>
        </w:rPr>
        <w:t>Uniting</w:t>
      </w:r>
      <w:r>
        <w:rPr>
          <w:rFonts w:ascii="Times New Roman"/>
          <w:color w:val="363636"/>
          <w:spacing w:val="-9"/>
          <w:w w:val="110"/>
          <w:sz w:val="19"/>
        </w:rPr>
        <w:t> </w:t>
      </w:r>
      <w:r>
        <w:rPr>
          <w:rFonts w:ascii="Times New Roman"/>
          <w:color w:val="363636"/>
          <w:w w:val="110"/>
          <w:sz w:val="19"/>
        </w:rPr>
        <w:t>Assemblies</w:t>
      </w:r>
      <w:r>
        <w:rPr>
          <w:rFonts w:ascii="Times New Roman"/>
          <w:color w:val="363636"/>
          <w:spacing w:val="-3"/>
          <w:w w:val="110"/>
          <w:sz w:val="19"/>
        </w:rPr>
        <w:t> </w:t>
      </w:r>
      <w:r>
        <w:rPr>
          <w:rFonts w:ascii="Times New Roman"/>
          <w:color w:val="363636"/>
          <w:w w:val="110"/>
          <w:sz w:val="19"/>
        </w:rPr>
        <w:t>of</w:t>
      </w:r>
      <w:r>
        <w:rPr>
          <w:rFonts w:ascii="Times New Roman"/>
          <w:color w:val="363636"/>
          <w:spacing w:val="-13"/>
          <w:w w:val="110"/>
          <w:sz w:val="19"/>
        </w:rPr>
        <w:t> </w:t>
      </w:r>
      <w:r>
        <w:rPr>
          <w:rFonts w:ascii="Times New Roman"/>
          <w:color w:val="363636"/>
          <w:w w:val="110"/>
          <w:sz w:val="19"/>
        </w:rPr>
        <w:t>1972,</w:t>
      </w:r>
      <w:r>
        <w:rPr>
          <w:rFonts w:ascii="Times New Roman"/>
          <w:color w:val="363636"/>
          <w:spacing w:val="-7"/>
          <w:w w:val="110"/>
          <w:sz w:val="19"/>
        </w:rPr>
        <w:t> </w:t>
      </w:r>
      <w:r>
        <w:rPr>
          <w:rFonts w:ascii="Times New Roman"/>
          <w:color w:val="363636"/>
          <w:w w:val="110"/>
          <w:sz w:val="19"/>
        </w:rPr>
        <w:t>1981</w:t>
      </w:r>
      <w:r>
        <w:rPr>
          <w:rFonts w:ascii="Times New Roman"/>
          <w:color w:val="363636"/>
          <w:spacing w:val="-16"/>
          <w:w w:val="110"/>
          <w:sz w:val="19"/>
        </w:rPr>
        <w:t> </w:t>
      </w:r>
      <w:r>
        <w:rPr>
          <w:rFonts w:ascii="Times New Roman"/>
          <w:color w:val="363636"/>
          <w:w w:val="110"/>
          <w:sz w:val="19"/>
        </w:rPr>
        <w:t>and</w:t>
      </w:r>
      <w:r>
        <w:rPr>
          <w:rFonts w:ascii="Times New Roman"/>
          <w:color w:val="363636"/>
          <w:spacing w:val="-15"/>
          <w:w w:val="110"/>
          <w:sz w:val="19"/>
        </w:rPr>
        <w:t> </w:t>
      </w:r>
      <w:r>
        <w:rPr>
          <w:rFonts w:ascii="Times New Roman"/>
          <w:color w:val="363636"/>
          <w:w w:val="110"/>
          <w:sz w:val="19"/>
        </w:rPr>
        <w:t>2000; and</w:t>
      </w:r>
      <w:r>
        <w:rPr>
          <w:rFonts w:ascii="Times New Roman"/>
          <w:color w:val="363636"/>
          <w:spacing w:val="-18"/>
          <w:w w:val="110"/>
          <w:sz w:val="19"/>
        </w:rPr>
        <w:t> </w:t>
      </w:r>
      <w:r>
        <w:rPr>
          <w:rFonts w:ascii="Times New Roman"/>
          <w:color w:val="363636"/>
          <w:w w:val="110"/>
          <w:sz w:val="19"/>
        </w:rPr>
        <w:t>the</w:t>
      </w:r>
      <w:r>
        <w:rPr>
          <w:rFonts w:ascii="Times New Roman"/>
          <w:color w:val="363636"/>
          <w:spacing w:val="-14"/>
          <w:w w:val="110"/>
          <w:sz w:val="19"/>
        </w:rPr>
        <w:t> </w:t>
      </w:r>
      <w:r>
        <w:rPr>
          <w:rFonts w:ascii="Times New Roman"/>
          <w:color w:val="363636"/>
          <w:w w:val="110"/>
          <w:sz w:val="19"/>
        </w:rPr>
        <w:t>United</w:t>
      </w:r>
      <w:r>
        <w:rPr>
          <w:rFonts w:ascii="Times New Roman"/>
          <w:color w:val="363636"/>
          <w:spacing w:val="-12"/>
          <w:w w:val="110"/>
          <w:sz w:val="19"/>
        </w:rPr>
        <w:t> </w:t>
      </w:r>
      <w:r>
        <w:rPr>
          <w:rFonts w:ascii="Times New Roman"/>
          <w:color w:val="363636"/>
          <w:w w:val="110"/>
          <w:sz w:val="19"/>
        </w:rPr>
        <w:t>Reformed</w:t>
      </w:r>
      <w:r>
        <w:rPr>
          <w:rFonts w:ascii="Times New Roman"/>
          <w:color w:val="363636"/>
          <w:spacing w:val="-11"/>
          <w:w w:val="110"/>
          <w:sz w:val="19"/>
        </w:rPr>
        <w:t> </w:t>
      </w:r>
      <w:r>
        <w:rPr>
          <w:rFonts w:ascii="Times New Roman"/>
          <w:color w:val="363636"/>
          <w:w w:val="110"/>
          <w:sz w:val="19"/>
        </w:rPr>
        <w:t>Church</w:t>
      </w:r>
      <w:r>
        <w:rPr>
          <w:rFonts w:ascii="Times New Roman"/>
          <w:color w:val="363636"/>
          <w:spacing w:val="-21"/>
          <w:w w:val="110"/>
          <w:sz w:val="19"/>
        </w:rPr>
        <w:t> </w:t>
      </w:r>
      <w:r>
        <w:rPr>
          <w:rFonts w:ascii="Times New Roman"/>
          <w:color w:val="363636"/>
          <w:w w:val="110"/>
          <w:sz w:val="19"/>
        </w:rPr>
        <w:t>Acts</w:t>
      </w:r>
      <w:r>
        <w:rPr>
          <w:rFonts w:ascii="Times New Roman"/>
          <w:color w:val="363636"/>
          <w:spacing w:val="-15"/>
          <w:w w:val="110"/>
          <w:sz w:val="19"/>
        </w:rPr>
        <w:t> </w:t>
      </w:r>
      <w:r>
        <w:rPr>
          <w:rFonts w:ascii="Times New Roman"/>
          <w:color w:val="363636"/>
          <w:w w:val="110"/>
          <w:sz w:val="19"/>
        </w:rPr>
        <w:t>1972,</w:t>
      </w:r>
      <w:r>
        <w:rPr>
          <w:rFonts w:ascii="Times New Roman"/>
          <w:color w:val="363636"/>
          <w:spacing w:val="-17"/>
          <w:w w:val="110"/>
          <w:sz w:val="19"/>
        </w:rPr>
        <w:t> </w:t>
      </w:r>
      <w:r>
        <w:rPr>
          <w:rFonts w:ascii="Times New Roman"/>
          <w:color w:val="1D1D1D"/>
          <w:w w:val="110"/>
          <w:sz w:val="19"/>
        </w:rPr>
        <w:t>1981</w:t>
      </w:r>
      <w:r>
        <w:rPr>
          <w:rFonts w:ascii="Times New Roman"/>
          <w:color w:val="1D1D1D"/>
          <w:spacing w:val="-29"/>
          <w:w w:val="110"/>
          <w:sz w:val="19"/>
        </w:rPr>
        <w:t> </w:t>
      </w:r>
      <w:r>
        <w:rPr>
          <w:rFonts w:ascii="Times New Roman"/>
          <w:color w:val="363636"/>
          <w:w w:val="110"/>
          <w:sz w:val="19"/>
        </w:rPr>
        <w:t>and</w:t>
      </w:r>
      <w:r>
        <w:rPr>
          <w:rFonts w:ascii="Times New Roman"/>
          <w:color w:val="363636"/>
          <w:spacing w:val="-4"/>
          <w:w w:val="110"/>
          <w:sz w:val="19"/>
        </w:rPr>
        <w:t> </w:t>
      </w:r>
      <w:r>
        <w:rPr>
          <w:rFonts w:ascii="Times New Roman"/>
          <w:color w:val="363636"/>
          <w:w w:val="110"/>
          <w:sz w:val="19"/>
        </w:rPr>
        <w:t>2000</w:t>
      </w:r>
      <w:r>
        <w:rPr>
          <w:rFonts w:ascii="Times New Roman"/>
          <w:color w:val="363636"/>
          <w:spacing w:val="-17"/>
          <w:w w:val="110"/>
          <w:sz w:val="19"/>
        </w:rPr>
        <w:t> </w:t>
      </w:r>
      <w:r>
        <w:rPr>
          <w:rFonts w:ascii="Times New Roman"/>
          <w:color w:val="363636"/>
          <w:w w:val="110"/>
          <w:sz w:val="19"/>
        </w:rPr>
        <w:t>enabled</w:t>
      </w:r>
      <w:r>
        <w:rPr>
          <w:rFonts w:ascii="Times New Roman"/>
          <w:color w:val="363636"/>
          <w:spacing w:val="-14"/>
          <w:w w:val="110"/>
          <w:sz w:val="19"/>
        </w:rPr>
        <w:t> </w:t>
      </w:r>
      <w:r>
        <w:rPr>
          <w:rFonts w:ascii="Times New Roman"/>
          <w:color w:val="363636"/>
          <w:w w:val="110"/>
          <w:sz w:val="19"/>
        </w:rPr>
        <w:t>those</w:t>
      </w:r>
      <w:r>
        <w:rPr>
          <w:rFonts w:ascii="Times New Roman"/>
          <w:color w:val="363636"/>
          <w:spacing w:val="-19"/>
          <w:w w:val="110"/>
          <w:sz w:val="19"/>
        </w:rPr>
        <w:t> </w:t>
      </w:r>
      <w:r>
        <w:rPr>
          <w:rFonts w:ascii="Times New Roman"/>
          <w:color w:val="363636"/>
          <w:w w:val="110"/>
          <w:sz w:val="19"/>
        </w:rPr>
        <w:t>resolutions</w:t>
      </w:r>
      <w:r>
        <w:rPr>
          <w:rFonts w:ascii="Times New Roman"/>
          <w:color w:val="363636"/>
          <w:spacing w:val="-14"/>
          <w:w w:val="110"/>
          <w:sz w:val="19"/>
        </w:rPr>
        <w:t> </w:t>
      </w:r>
      <w:r>
        <w:rPr>
          <w:rFonts w:ascii="Times New Roman"/>
          <w:color w:val="363636"/>
          <w:w w:val="110"/>
          <w:sz w:val="19"/>
        </w:rPr>
        <w:t>to</w:t>
      </w:r>
      <w:r>
        <w:rPr>
          <w:rFonts w:ascii="Times New Roman"/>
          <w:color w:val="363636"/>
          <w:spacing w:val="-11"/>
          <w:w w:val="110"/>
          <w:sz w:val="19"/>
        </w:rPr>
        <w:t> </w:t>
      </w:r>
      <w:r>
        <w:rPr>
          <w:rFonts w:ascii="Times New Roman"/>
          <w:color w:val="363636"/>
          <w:w w:val="110"/>
          <w:sz w:val="19"/>
        </w:rPr>
        <w:t>be</w:t>
      </w:r>
      <w:r>
        <w:rPr>
          <w:rFonts w:ascii="Times New Roman"/>
          <w:color w:val="363636"/>
          <w:spacing w:val="-6"/>
          <w:w w:val="110"/>
          <w:sz w:val="19"/>
        </w:rPr>
        <w:t> </w:t>
      </w:r>
      <w:r>
        <w:rPr>
          <w:rFonts w:ascii="Times New Roman"/>
          <w:color w:val="363636"/>
          <w:w w:val="110"/>
          <w:sz w:val="19"/>
        </w:rPr>
        <w:t>given</w:t>
      </w:r>
      <w:r>
        <w:rPr>
          <w:rFonts w:ascii="Times New Roman"/>
          <w:color w:val="363636"/>
          <w:spacing w:val="-19"/>
          <w:w w:val="110"/>
          <w:sz w:val="19"/>
        </w:rPr>
        <w:t> </w:t>
      </w:r>
      <w:r>
        <w:rPr>
          <w:rFonts w:ascii="Times New Roman"/>
          <w:color w:val="363636"/>
          <w:w w:val="110"/>
          <w:sz w:val="19"/>
        </w:rPr>
        <w:t>legal</w:t>
      </w:r>
      <w:r>
        <w:rPr>
          <w:rFonts w:ascii="Times New Roman"/>
          <w:color w:val="363636"/>
          <w:spacing w:val="-24"/>
          <w:w w:val="110"/>
          <w:sz w:val="19"/>
        </w:rPr>
        <w:t> </w:t>
      </w:r>
      <w:r>
        <w:rPr>
          <w:rFonts w:ascii="Times New Roman"/>
          <w:color w:val="363636"/>
          <w:w w:val="110"/>
          <w:sz w:val="19"/>
        </w:rPr>
        <w:t>effect</w:t>
      </w:r>
      <w:r>
        <w:rPr>
          <w:rFonts w:ascii="Times New Roman"/>
          <w:color w:val="363636"/>
          <w:spacing w:val="-19"/>
          <w:w w:val="110"/>
          <w:sz w:val="19"/>
        </w:rPr>
        <w:t> </w:t>
      </w:r>
      <w:r>
        <w:rPr>
          <w:rFonts w:ascii="Times New Roman"/>
          <w:color w:val="363636"/>
          <w:w w:val="110"/>
          <w:sz w:val="19"/>
        </w:rPr>
        <w:t>in relation</w:t>
      </w:r>
      <w:r>
        <w:rPr>
          <w:rFonts w:ascii="Times New Roman"/>
          <w:color w:val="363636"/>
          <w:spacing w:val="-9"/>
          <w:w w:val="110"/>
          <w:sz w:val="19"/>
        </w:rPr>
        <w:t> </w:t>
      </w:r>
      <w:r>
        <w:rPr>
          <w:rFonts w:ascii="Times New Roman"/>
          <w:color w:val="363636"/>
          <w:w w:val="110"/>
          <w:sz w:val="19"/>
        </w:rPr>
        <w:t>to</w:t>
      </w:r>
      <w:r>
        <w:rPr>
          <w:rFonts w:ascii="Times New Roman"/>
          <w:color w:val="363636"/>
          <w:spacing w:val="6"/>
          <w:w w:val="110"/>
          <w:sz w:val="19"/>
        </w:rPr>
        <w:t> </w:t>
      </w:r>
      <w:r>
        <w:rPr>
          <w:rFonts w:ascii="Times New Roman"/>
          <w:color w:val="1D1D1D"/>
          <w:w w:val="110"/>
          <w:sz w:val="19"/>
        </w:rPr>
        <w:t>the</w:t>
      </w:r>
      <w:r>
        <w:rPr>
          <w:rFonts w:ascii="Times New Roman"/>
          <w:color w:val="1D1D1D"/>
          <w:spacing w:val="8"/>
          <w:w w:val="110"/>
          <w:sz w:val="19"/>
        </w:rPr>
        <w:t> </w:t>
      </w:r>
      <w:r>
        <w:rPr>
          <w:rFonts w:ascii="Times New Roman"/>
          <w:color w:val="363636"/>
          <w:w w:val="110"/>
          <w:sz w:val="19"/>
        </w:rPr>
        <w:t>finance</w:t>
      </w:r>
      <w:r>
        <w:rPr>
          <w:rFonts w:ascii="Times New Roman"/>
          <w:color w:val="363636"/>
          <w:spacing w:val="-12"/>
          <w:w w:val="110"/>
          <w:sz w:val="19"/>
        </w:rPr>
        <w:t> </w:t>
      </w:r>
      <w:r>
        <w:rPr>
          <w:rFonts w:ascii="Times New Roman"/>
          <w:color w:val="363636"/>
          <w:w w:val="110"/>
          <w:sz w:val="19"/>
        </w:rPr>
        <w:t>and</w:t>
      </w:r>
      <w:r>
        <w:rPr>
          <w:rFonts w:ascii="Times New Roman"/>
          <w:color w:val="363636"/>
          <w:spacing w:val="-10"/>
          <w:w w:val="110"/>
          <w:sz w:val="19"/>
        </w:rPr>
        <w:t> </w:t>
      </w:r>
      <w:r>
        <w:rPr>
          <w:rFonts w:ascii="Times New Roman"/>
          <w:color w:val="363636"/>
          <w:w w:val="110"/>
          <w:sz w:val="19"/>
        </w:rPr>
        <w:t>property</w:t>
      </w:r>
      <w:r>
        <w:rPr>
          <w:rFonts w:ascii="Times New Roman"/>
          <w:color w:val="363636"/>
          <w:spacing w:val="-15"/>
          <w:w w:val="110"/>
          <w:sz w:val="19"/>
        </w:rPr>
        <w:t> </w:t>
      </w:r>
      <w:r>
        <w:rPr>
          <w:rFonts w:ascii="Times New Roman"/>
          <w:color w:val="363636"/>
          <w:w w:val="110"/>
          <w:sz w:val="19"/>
        </w:rPr>
        <w:t>of</w:t>
      </w:r>
      <w:r>
        <w:rPr>
          <w:rFonts w:ascii="Times New Roman"/>
          <w:color w:val="363636"/>
          <w:spacing w:val="-14"/>
          <w:w w:val="110"/>
          <w:sz w:val="19"/>
        </w:rPr>
        <w:t> </w:t>
      </w:r>
      <w:r>
        <w:rPr>
          <w:rFonts w:ascii="Times New Roman"/>
          <w:color w:val="363636"/>
          <w:w w:val="110"/>
          <w:sz w:val="19"/>
        </w:rPr>
        <w:t>the</w:t>
      </w:r>
      <w:r>
        <w:rPr>
          <w:rFonts w:ascii="Times New Roman"/>
          <w:color w:val="363636"/>
          <w:spacing w:val="-22"/>
          <w:w w:val="110"/>
          <w:sz w:val="19"/>
        </w:rPr>
        <w:t> </w:t>
      </w:r>
      <w:r>
        <w:rPr>
          <w:rFonts w:ascii="Times New Roman"/>
          <w:color w:val="363636"/>
          <w:w w:val="110"/>
          <w:sz w:val="19"/>
        </w:rPr>
        <w:t>Church.</w:t>
      </w:r>
      <w:r>
        <w:rPr>
          <w:rFonts w:ascii="Times New Roman"/>
          <w:color w:val="363636"/>
          <w:spacing w:val="-14"/>
          <w:w w:val="110"/>
          <w:sz w:val="19"/>
        </w:rPr>
        <w:t> </w:t>
      </w:r>
      <w:r>
        <w:rPr>
          <w:rFonts w:ascii="Times New Roman"/>
          <w:color w:val="363636"/>
          <w:w w:val="110"/>
          <w:sz w:val="19"/>
        </w:rPr>
        <w:t>These</w:t>
      </w:r>
      <w:r>
        <w:rPr>
          <w:rFonts w:ascii="Times New Roman"/>
          <w:color w:val="363636"/>
          <w:spacing w:val="-16"/>
          <w:w w:val="110"/>
          <w:sz w:val="19"/>
        </w:rPr>
        <w:t> </w:t>
      </w:r>
      <w:r>
        <w:rPr>
          <w:rFonts w:ascii="Times New Roman"/>
          <w:color w:val="363636"/>
          <w:w w:val="110"/>
          <w:sz w:val="19"/>
        </w:rPr>
        <w:t>Acts</w:t>
      </w:r>
      <w:r>
        <w:rPr>
          <w:rFonts w:ascii="Times New Roman"/>
          <w:color w:val="363636"/>
          <w:spacing w:val="-22"/>
          <w:w w:val="110"/>
          <w:sz w:val="19"/>
        </w:rPr>
        <w:t> </w:t>
      </w:r>
      <w:r>
        <w:rPr>
          <w:rFonts w:ascii="Times New Roman"/>
          <w:color w:val="363636"/>
          <w:w w:val="110"/>
          <w:sz w:val="19"/>
        </w:rPr>
        <w:t>of</w:t>
      </w:r>
      <w:r>
        <w:rPr>
          <w:rFonts w:ascii="Times New Roman"/>
          <w:color w:val="363636"/>
          <w:spacing w:val="-16"/>
          <w:w w:val="110"/>
          <w:sz w:val="19"/>
        </w:rPr>
        <w:t> </w:t>
      </w:r>
      <w:r>
        <w:rPr>
          <w:rFonts w:ascii="Times New Roman"/>
          <w:color w:val="363636"/>
          <w:w w:val="110"/>
          <w:sz w:val="19"/>
        </w:rPr>
        <w:t>Parliament</w:t>
      </w:r>
      <w:r>
        <w:rPr>
          <w:rFonts w:ascii="Times New Roman"/>
          <w:color w:val="363636"/>
          <w:spacing w:val="-15"/>
          <w:w w:val="110"/>
          <w:sz w:val="19"/>
        </w:rPr>
        <w:t> </w:t>
      </w:r>
      <w:r>
        <w:rPr>
          <w:rFonts w:ascii="Times New Roman"/>
          <w:color w:val="363636"/>
          <w:w w:val="110"/>
          <w:sz w:val="19"/>
        </w:rPr>
        <w:t>together</w:t>
      </w:r>
      <w:r>
        <w:rPr>
          <w:rFonts w:ascii="Times New Roman"/>
          <w:color w:val="363636"/>
          <w:spacing w:val="-13"/>
          <w:w w:val="110"/>
          <w:sz w:val="19"/>
        </w:rPr>
        <w:t> </w:t>
      </w:r>
      <w:r>
        <w:rPr>
          <w:rFonts w:ascii="Times New Roman"/>
          <w:color w:val="363636"/>
          <w:w w:val="110"/>
          <w:sz w:val="19"/>
        </w:rPr>
        <w:t>with</w:t>
      </w:r>
      <w:r>
        <w:rPr>
          <w:rFonts w:ascii="Times New Roman"/>
          <w:color w:val="363636"/>
          <w:spacing w:val="-14"/>
          <w:w w:val="110"/>
          <w:sz w:val="19"/>
        </w:rPr>
        <w:t> </w:t>
      </w:r>
      <w:r>
        <w:rPr>
          <w:rFonts w:ascii="Times New Roman"/>
          <w:color w:val="363636"/>
          <w:w w:val="110"/>
          <w:sz w:val="19"/>
        </w:rPr>
        <w:t>the</w:t>
      </w:r>
      <w:r>
        <w:rPr>
          <w:rFonts w:ascii="Times New Roman"/>
          <w:color w:val="363636"/>
          <w:spacing w:val="-4"/>
          <w:w w:val="110"/>
          <w:sz w:val="19"/>
        </w:rPr>
        <w:t> </w:t>
      </w:r>
      <w:r>
        <w:rPr>
          <w:rFonts w:ascii="Times New Roman"/>
          <w:color w:val="363636"/>
          <w:w w:val="110"/>
          <w:sz w:val="19"/>
        </w:rPr>
        <w:t>Basis,</w:t>
      </w:r>
      <w:r>
        <w:rPr>
          <w:rFonts w:ascii="Times New Roman"/>
          <w:color w:val="363636"/>
          <w:spacing w:val="-12"/>
          <w:w w:val="110"/>
          <w:sz w:val="19"/>
        </w:rPr>
        <w:t> </w:t>
      </w:r>
      <w:r>
        <w:rPr>
          <w:rFonts w:ascii="Times New Roman"/>
          <w:color w:val="363636"/>
          <w:w w:val="110"/>
          <w:sz w:val="19"/>
        </w:rPr>
        <w:t>Structures and Rules </w:t>
      </w:r>
      <w:r>
        <w:rPr>
          <w:rFonts w:ascii="Times New Roman"/>
          <w:color w:val="1D1D1D"/>
          <w:w w:val="110"/>
          <w:sz w:val="19"/>
        </w:rPr>
        <w:t>of </w:t>
      </w:r>
      <w:r>
        <w:rPr>
          <w:rFonts w:ascii="Times New Roman"/>
          <w:color w:val="363636"/>
          <w:w w:val="110"/>
          <w:sz w:val="19"/>
        </w:rPr>
        <w:t>Procedure of the United Reformed Church (as contained in sections A - C of </w:t>
      </w:r>
      <w:r>
        <w:rPr>
          <w:rFonts w:ascii="Times New Roman"/>
          <w:color w:val="1D1D1D"/>
          <w:w w:val="110"/>
          <w:sz w:val="19"/>
        </w:rPr>
        <w:t>the </w:t>
      </w:r>
      <w:r>
        <w:rPr>
          <w:rFonts w:ascii="Times New Roman"/>
          <w:color w:val="363636"/>
          <w:w w:val="110"/>
          <w:sz w:val="19"/>
        </w:rPr>
        <w:t>Manual of the United </w:t>
      </w:r>
      <w:r>
        <w:rPr>
          <w:rFonts w:ascii="Times New Roman"/>
          <w:color w:val="1D1D1D"/>
          <w:w w:val="110"/>
          <w:sz w:val="19"/>
        </w:rPr>
        <w:t>Reformed </w:t>
      </w:r>
      <w:r>
        <w:rPr>
          <w:rFonts w:ascii="Times New Roman"/>
          <w:color w:val="363636"/>
          <w:w w:val="110"/>
          <w:sz w:val="19"/>
        </w:rPr>
        <w:t>Church) contain the foundation </w:t>
      </w:r>
      <w:r>
        <w:rPr>
          <w:rFonts w:ascii="Times New Roman"/>
          <w:color w:val="1D1D1D"/>
          <w:w w:val="110"/>
          <w:sz w:val="19"/>
        </w:rPr>
        <w:t>documents </w:t>
      </w:r>
      <w:r>
        <w:rPr>
          <w:rFonts w:ascii="Times New Roman"/>
          <w:color w:val="363636"/>
          <w:w w:val="110"/>
          <w:sz w:val="19"/>
        </w:rPr>
        <w:t>of the Church. Each year General Assembly appoints members to Mission Council, although </w:t>
      </w:r>
      <w:r>
        <w:rPr>
          <w:rFonts w:ascii="Times New Roman"/>
          <w:color w:val="1D1D1D"/>
          <w:w w:val="110"/>
          <w:sz w:val="19"/>
        </w:rPr>
        <w:t>those </w:t>
      </w:r>
      <w:r>
        <w:rPr>
          <w:rFonts w:ascii="Times New Roman"/>
          <w:color w:val="363636"/>
          <w:w w:val="110"/>
          <w:sz w:val="19"/>
        </w:rPr>
        <w:t>appointed to represent Synods are </w:t>
      </w:r>
      <w:r>
        <w:rPr>
          <w:rFonts w:ascii="Times New Roman"/>
          <w:color w:val="1D1D1D"/>
          <w:w w:val="110"/>
          <w:sz w:val="19"/>
        </w:rPr>
        <w:t>nominated </w:t>
      </w:r>
      <w:r>
        <w:rPr>
          <w:rFonts w:ascii="Times New Roman"/>
          <w:color w:val="363636"/>
          <w:w w:val="110"/>
          <w:sz w:val="19"/>
        </w:rPr>
        <w:t>by the Synods concerned. The names of members of Mission Council are listed in the Book of Annual </w:t>
      </w:r>
      <w:r>
        <w:rPr>
          <w:rFonts w:ascii="Times New Roman"/>
          <w:color w:val="1D1D1D"/>
          <w:w w:val="110"/>
          <w:sz w:val="19"/>
        </w:rPr>
        <w:t>Reports </w:t>
      </w:r>
      <w:r>
        <w:rPr>
          <w:rFonts w:ascii="Times New Roman"/>
          <w:color w:val="363636"/>
          <w:w w:val="110"/>
          <w:sz w:val="19"/>
        </w:rPr>
        <w:t>to General</w:t>
      </w:r>
      <w:r>
        <w:rPr>
          <w:rFonts w:ascii="Times New Roman"/>
          <w:color w:val="363636"/>
          <w:spacing w:val="-16"/>
          <w:w w:val="110"/>
          <w:sz w:val="19"/>
        </w:rPr>
        <w:t> </w:t>
      </w:r>
      <w:r>
        <w:rPr>
          <w:rFonts w:ascii="Times New Roman"/>
          <w:color w:val="363636"/>
          <w:w w:val="110"/>
          <w:sz w:val="19"/>
        </w:rPr>
        <w:t>Assembly.</w:t>
      </w:r>
      <w:r>
        <w:rPr>
          <w:rFonts w:ascii="Times New Roman"/>
          <w:color w:val="363636"/>
          <w:spacing w:val="-7"/>
          <w:w w:val="110"/>
          <w:sz w:val="19"/>
        </w:rPr>
        <w:t> </w:t>
      </w:r>
      <w:r>
        <w:rPr>
          <w:rFonts w:ascii="Times New Roman"/>
          <w:color w:val="363636"/>
          <w:w w:val="110"/>
          <w:sz w:val="19"/>
        </w:rPr>
        <w:t>The</w:t>
      </w:r>
      <w:r>
        <w:rPr>
          <w:rFonts w:ascii="Times New Roman"/>
          <w:color w:val="363636"/>
          <w:spacing w:val="-15"/>
          <w:w w:val="110"/>
          <w:sz w:val="19"/>
        </w:rPr>
        <w:t> </w:t>
      </w:r>
      <w:r>
        <w:rPr>
          <w:rFonts w:ascii="Times New Roman"/>
          <w:color w:val="1D1D1D"/>
          <w:w w:val="110"/>
          <w:sz w:val="19"/>
        </w:rPr>
        <w:t>purpose</w:t>
      </w:r>
      <w:r>
        <w:rPr>
          <w:rFonts w:ascii="Times New Roman"/>
          <w:color w:val="1D1D1D"/>
          <w:spacing w:val="-13"/>
          <w:w w:val="110"/>
          <w:sz w:val="19"/>
        </w:rPr>
        <w:t> </w:t>
      </w:r>
      <w:r>
        <w:rPr>
          <w:rFonts w:ascii="Times New Roman"/>
          <w:color w:val="363636"/>
          <w:w w:val="110"/>
          <w:sz w:val="19"/>
        </w:rPr>
        <w:t>of</w:t>
      </w:r>
      <w:r>
        <w:rPr>
          <w:rFonts w:ascii="Times New Roman"/>
          <w:color w:val="363636"/>
          <w:spacing w:val="-8"/>
          <w:w w:val="110"/>
          <w:sz w:val="19"/>
        </w:rPr>
        <w:t> </w:t>
      </w:r>
      <w:r>
        <w:rPr>
          <w:rFonts w:ascii="Times New Roman"/>
          <w:color w:val="363636"/>
          <w:w w:val="110"/>
          <w:sz w:val="19"/>
        </w:rPr>
        <w:t>Mission</w:t>
      </w:r>
      <w:r>
        <w:rPr>
          <w:rFonts w:ascii="Times New Roman"/>
          <w:color w:val="363636"/>
          <w:spacing w:val="-10"/>
          <w:w w:val="110"/>
          <w:sz w:val="19"/>
        </w:rPr>
        <w:t> </w:t>
      </w:r>
      <w:r>
        <w:rPr>
          <w:rFonts w:ascii="Times New Roman"/>
          <w:color w:val="363636"/>
          <w:w w:val="110"/>
          <w:sz w:val="19"/>
        </w:rPr>
        <w:t>Council</w:t>
      </w:r>
      <w:r>
        <w:rPr>
          <w:rFonts w:ascii="Times New Roman"/>
          <w:color w:val="363636"/>
          <w:spacing w:val="-14"/>
          <w:w w:val="110"/>
          <w:sz w:val="19"/>
        </w:rPr>
        <w:t> </w:t>
      </w:r>
      <w:r>
        <w:rPr>
          <w:rFonts w:ascii="Times New Roman"/>
          <w:color w:val="363636"/>
          <w:w w:val="110"/>
          <w:sz w:val="19"/>
        </w:rPr>
        <w:t>is</w:t>
      </w:r>
      <w:r>
        <w:rPr>
          <w:rFonts w:ascii="Times New Roman"/>
          <w:color w:val="363636"/>
          <w:spacing w:val="1"/>
          <w:w w:val="110"/>
          <w:sz w:val="19"/>
        </w:rPr>
        <w:t> </w:t>
      </w:r>
      <w:r>
        <w:rPr>
          <w:rFonts w:ascii="Times New Roman"/>
          <w:color w:val="363636"/>
          <w:w w:val="110"/>
          <w:sz w:val="19"/>
        </w:rPr>
        <w:t>to</w:t>
      </w:r>
      <w:r>
        <w:rPr>
          <w:rFonts w:ascii="Times New Roman"/>
          <w:color w:val="363636"/>
          <w:spacing w:val="-8"/>
          <w:w w:val="110"/>
          <w:sz w:val="19"/>
        </w:rPr>
        <w:t> </w:t>
      </w:r>
      <w:r>
        <w:rPr>
          <w:rFonts w:ascii="Times New Roman"/>
          <w:color w:val="363636"/>
          <w:w w:val="110"/>
          <w:sz w:val="19"/>
        </w:rPr>
        <w:t>enable</w:t>
      </w:r>
      <w:r>
        <w:rPr>
          <w:rFonts w:ascii="Times New Roman"/>
          <w:color w:val="363636"/>
          <w:spacing w:val="-12"/>
          <w:w w:val="110"/>
          <w:sz w:val="19"/>
        </w:rPr>
        <w:t> </w:t>
      </w:r>
      <w:r>
        <w:rPr>
          <w:rFonts w:ascii="Times New Roman"/>
          <w:color w:val="363636"/>
          <w:w w:val="110"/>
          <w:sz w:val="19"/>
        </w:rPr>
        <w:t>the</w:t>
      </w:r>
      <w:r>
        <w:rPr>
          <w:rFonts w:ascii="Times New Roman"/>
          <w:color w:val="363636"/>
          <w:spacing w:val="-13"/>
          <w:w w:val="110"/>
          <w:sz w:val="19"/>
        </w:rPr>
        <w:t> </w:t>
      </w:r>
      <w:r>
        <w:rPr>
          <w:rFonts w:ascii="Times New Roman"/>
          <w:color w:val="363636"/>
          <w:w w:val="110"/>
          <w:sz w:val="19"/>
        </w:rPr>
        <w:t>Church,</w:t>
      </w:r>
      <w:r>
        <w:rPr>
          <w:rFonts w:ascii="Times New Roman"/>
          <w:color w:val="363636"/>
          <w:spacing w:val="-7"/>
          <w:w w:val="110"/>
          <w:sz w:val="19"/>
        </w:rPr>
        <w:t> </w:t>
      </w:r>
      <w:r>
        <w:rPr>
          <w:rFonts w:ascii="Times New Roman"/>
          <w:color w:val="363636"/>
          <w:w w:val="110"/>
          <w:sz w:val="19"/>
        </w:rPr>
        <w:t>in</w:t>
      </w:r>
      <w:r>
        <w:rPr>
          <w:rFonts w:ascii="Times New Roman"/>
          <w:color w:val="363636"/>
          <w:spacing w:val="-8"/>
          <w:w w:val="110"/>
          <w:sz w:val="19"/>
        </w:rPr>
        <w:t> </w:t>
      </w:r>
      <w:r>
        <w:rPr>
          <w:rFonts w:ascii="Times New Roman"/>
          <w:color w:val="363636"/>
          <w:w w:val="110"/>
          <w:sz w:val="19"/>
        </w:rPr>
        <w:t>its</w:t>
      </w:r>
      <w:r>
        <w:rPr>
          <w:rFonts w:ascii="Times New Roman"/>
          <w:color w:val="363636"/>
          <w:spacing w:val="-12"/>
          <w:w w:val="110"/>
          <w:sz w:val="19"/>
        </w:rPr>
        <w:t> </w:t>
      </w:r>
      <w:r>
        <w:rPr>
          <w:rFonts w:ascii="Times New Roman"/>
          <w:color w:val="363636"/>
          <w:w w:val="110"/>
          <w:sz w:val="19"/>
        </w:rPr>
        <w:t>General</w:t>
      </w:r>
      <w:r>
        <w:rPr>
          <w:rFonts w:ascii="Times New Roman"/>
          <w:color w:val="363636"/>
          <w:spacing w:val="-18"/>
          <w:w w:val="110"/>
          <w:sz w:val="19"/>
        </w:rPr>
        <w:t> </w:t>
      </w:r>
      <w:r>
        <w:rPr>
          <w:rFonts w:ascii="Times New Roman"/>
          <w:color w:val="363636"/>
          <w:w w:val="110"/>
          <w:sz w:val="19"/>
        </w:rPr>
        <w:t>Assembly,</w:t>
      </w:r>
      <w:r>
        <w:rPr>
          <w:rFonts w:ascii="Times New Roman"/>
          <w:color w:val="363636"/>
          <w:spacing w:val="-5"/>
          <w:w w:val="110"/>
          <w:sz w:val="19"/>
        </w:rPr>
        <w:t> </w:t>
      </w:r>
      <w:r>
        <w:rPr>
          <w:rFonts w:ascii="Times New Roman"/>
          <w:color w:val="363636"/>
          <w:w w:val="110"/>
          <w:sz w:val="19"/>
        </w:rPr>
        <w:t>to</w:t>
      </w:r>
      <w:r>
        <w:rPr>
          <w:rFonts w:ascii="Times New Roman"/>
          <w:color w:val="363636"/>
          <w:spacing w:val="-3"/>
          <w:w w:val="110"/>
          <w:sz w:val="19"/>
        </w:rPr>
        <w:t> </w:t>
      </w:r>
      <w:r>
        <w:rPr>
          <w:rFonts w:ascii="Times New Roman"/>
          <w:color w:val="1D1D1D"/>
          <w:w w:val="110"/>
          <w:sz w:val="19"/>
        </w:rPr>
        <w:t>take</w:t>
      </w:r>
      <w:r>
        <w:rPr>
          <w:rFonts w:ascii="Times New Roman"/>
          <w:color w:val="1D1D1D"/>
          <w:spacing w:val="-19"/>
          <w:w w:val="110"/>
          <w:sz w:val="19"/>
        </w:rPr>
        <w:t> </w:t>
      </w:r>
      <w:r>
        <w:rPr>
          <w:rFonts w:ascii="Times New Roman"/>
          <w:color w:val="363636"/>
          <w:w w:val="110"/>
          <w:sz w:val="19"/>
        </w:rPr>
        <w:t>a more</w:t>
      </w:r>
      <w:r>
        <w:rPr>
          <w:rFonts w:ascii="Times New Roman"/>
          <w:color w:val="363636"/>
          <w:spacing w:val="-19"/>
          <w:w w:val="110"/>
          <w:sz w:val="19"/>
        </w:rPr>
        <w:t> </w:t>
      </w:r>
      <w:r>
        <w:rPr>
          <w:rFonts w:ascii="Times New Roman"/>
          <w:color w:val="363636"/>
          <w:w w:val="110"/>
          <w:sz w:val="19"/>
        </w:rPr>
        <w:t>comprehensive</w:t>
      </w:r>
      <w:r>
        <w:rPr>
          <w:rFonts w:ascii="Times New Roman"/>
          <w:color w:val="363636"/>
          <w:spacing w:val="-5"/>
          <w:w w:val="110"/>
          <w:sz w:val="19"/>
        </w:rPr>
        <w:t> </w:t>
      </w:r>
      <w:r>
        <w:rPr>
          <w:rFonts w:ascii="Times New Roman"/>
          <w:color w:val="363636"/>
          <w:w w:val="110"/>
          <w:sz w:val="19"/>
        </w:rPr>
        <w:t>view</w:t>
      </w:r>
      <w:r>
        <w:rPr>
          <w:rFonts w:ascii="Times New Roman"/>
          <w:color w:val="363636"/>
          <w:spacing w:val="-16"/>
          <w:w w:val="110"/>
          <w:sz w:val="19"/>
        </w:rPr>
        <w:t> </w:t>
      </w:r>
      <w:r>
        <w:rPr>
          <w:rFonts w:ascii="Times New Roman"/>
          <w:color w:val="1D1D1D"/>
          <w:w w:val="110"/>
          <w:sz w:val="19"/>
        </w:rPr>
        <w:t>of</w:t>
      </w:r>
      <w:r>
        <w:rPr>
          <w:rFonts w:ascii="Times New Roman"/>
          <w:color w:val="1D1D1D"/>
          <w:spacing w:val="-15"/>
          <w:w w:val="110"/>
          <w:sz w:val="19"/>
        </w:rPr>
        <w:t> </w:t>
      </w:r>
      <w:r>
        <w:rPr>
          <w:rFonts w:ascii="Times New Roman"/>
          <w:color w:val="363636"/>
          <w:w w:val="110"/>
          <w:sz w:val="19"/>
        </w:rPr>
        <w:t>the</w:t>
      </w:r>
      <w:r>
        <w:rPr>
          <w:rFonts w:ascii="Times New Roman"/>
          <w:color w:val="363636"/>
          <w:spacing w:val="-20"/>
          <w:w w:val="110"/>
          <w:sz w:val="19"/>
        </w:rPr>
        <w:t> </w:t>
      </w:r>
      <w:r>
        <w:rPr>
          <w:rFonts w:ascii="Times New Roman"/>
          <w:color w:val="363636"/>
          <w:w w:val="110"/>
          <w:sz w:val="19"/>
        </w:rPr>
        <w:t>activity</w:t>
      </w:r>
      <w:r>
        <w:rPr>
          <w:rFonts w:ascii="Times New Roman"/>
          <w:color w:val="363636"/>
          <w:spacing w:val="-13"/>
          <w:w w:val="110"/>
          <w:sz w:val="19"/>
        </w:rPr>
        <w:t> </w:t>
      </w:r>
      <w:r>
        <w:rPr>
          <w:rFonts w:ascii="Times New Roman"/>
          <w:color w:val="363636"/>
          <w:w w:val="110"/>
          <w:sz w:val="19"/>
        </w:rPr>
        <w:t>and</w:t>
      </w:r>
      <w:r>
        <w:rPr>
          <w:rFonts w:ascii="Times New Roman"/>
          <w:color w:val="363636"/>
          <w:spacing w:val="-24"/>
          <w:w w:val="110"/>
          <w:sz w:val="19"/>
        </w:rPr>
        <w:t> </w:t>
      </w:r>
      <w:r>
        <w:rPr>
          <w:rFonts w:ascii="Times New Roman"/>
          <w:color w:val="363636"/>
          <w:w w:val="110"/>
          <w:sz w:val="19"/>
        </w:rPr>
        <w:t>policy</w:t>
      </w:r>
      <w:r>
        <w:rPr>
          <w:rFonts w:ascii="Times New Roman"/>
          <w:color w:val="363636"/>
          <w:spacing w:val="-12"/>
          <w:w w:val="110"/>
          <w:sz w:val="19"/>
        </w:rPr>
        <w:t> </w:t>
      </w:r>
      <w:r>
        <w:rPr>
          <w:rFonts w:ascii="Times New Roman"/>
          <w:color w:val="1D1D1D"/>
          <w:w w:val="110"/>
          <w:sz w:val="19"/>
        </w:rPr>
        <w:t>of</w:t>
      </w:r>
      <w:r>
        <w:rPr>
          <w:rFonts w:ascii="Times New Roman"/>
          <w:color w:val="1D1D1D"/>
          <w:spacing w:val="-2"/>
          <w:w w:val="110"/>
          <w:sz w:val="19"/>
        </w:rPr>
        <w:t> </w:t>
      </w:r>
      <w:r>
        <w:rPr>
          <w:rFonts w:ascii="Times New Roman"/>
          <w:color w:val="363636"/>
          <w:w w:val="110"/>
          <w:sz w:val="19"/>
        </w:rPr>
        <w:t>the</w:t>
      </w:r>
      <w:r>
        <w:rPr>
          <w:rFonts w:ascii="Times New Roman"/>
          <w:color w:val="363636"/>
          <w:spacing w:val="-13"/>
          <w:w w:val="110"/>
          <w:sz w:val="19"/>
        </w:rPr>
        <w:t> </w:t>
      </w:r>
      <w:r>
        <w:rPr>
          <w:rFonts w:ascii="Times New Roman"/>
          <w:color w:val="363636"/>
          <w:spacing w:val="-5"/>
          <w:w w:val="110"/>
          <w:sz w:val="19"/>
        </w:rPr>
        <w:t>Church</w:t>
      </w:r>
      <w:r>
        <w:rPr>
          <w:rFonts w:ascii="Times New Roman"/>
          <w:color w:val="575757"/>
          <w:spacing w:val="-5"/>
          <w:w w:val="110"/>
          <w:sz w:val="19"/>
        </w:rPr>
        <w:t>,</w:t>
      </w:r>
      <w:r>
        <w:rPr>
          <w:rFonts w:ascii="Times New Roman"/>
          <w:color w:val="575757"/>
          <w:spacing w:val="-2"/>
          <w:w w:val="110"/>
          <w:sz w:val="19"/>
        </w:rPr>
        <w:t> </w:t>
      </w:r>
      <w:r>
        <w:rPr>
          <w:rFonts w:ascii="Times New Roman"/>
          <w:color w:val="363636"/>
          <w:w w:val="110"/>
          <w:sz w:val="19"/>
        </w:rPr>
        <w:t>to</w:t>
      </w:r>
      <w:r>
        <w:rPr>
          <w:rFonts w:ascii="Times New Roman"/>
          <w:color w:val="363636"/>
          <w:spacing w:val="-16"/>
          <w:w w:val="110"/>
          <w:sz w:val="19"/>
        </w:rPr>
        <w:t> </w:t>
      </w:r>
      <w:r>
        <w:rPr>
          <w:rFonts w:ascii="Times New Roman"/>
          <w:color w:val="363636"/>
          <w:w w:val="110"/>
          <w:sz w:val="19"/>
        </w:rPr>
        <w:t>decide</w:t>
      </w:r>
      <w:r>
        <w:rPr>
          <w:rFonts w:ascii="Times New Roman"/>
          <w:color w:val="363636"/>
          <w:spacing w:val="-20"/>
          <w:w w:val="110"/>
          <w:sz w:val="19"/>
        </w:rPr>
        <w:t> </w:t>
      </w:r>
      <w:r>
        <w:rPr>
          <w:rFonts w:ascii="Times New Roman"/>
          <w:color w:val="363636"/>
          <w:w w:val="110"/>
          <w:sz w:val="19"/>
        </w:rPr>
        <w:t>more</w:t>
      </w:r>
      <w:r>
        <w:rPr>
          <w:rFonts w:ascii="Times New Roman"/>
          <w:color w:val="363636"/>
          <w:spacing w:val="-17"/>
          <w:w w:val="110"/>
          <w:sz w:val="19"/>
        </w:rPr>
        <w:t> </w:t>
      </w:r>
      <w:r>
        <w:rPr>
          <w:rFonts w:ascii="Times New Roman"/>
          <w:color w:val="363636"/>
          <w:w w:val="110"/>
          <w:sz w:val="19"/>
        </w:rPr>
        <w:t>carefully</w:t>
      </w:r>
      <w:r>
        <w:rPr>
          <w:rFonts w:ascii="Times New Roman"/>
          <w:color w:val="363636"/>
          <w:spacing w:val="-9"/>
          <w:w w:val="110"/>
          <w:sz w:val="19"/>
        </w:rPr>
        <w:t> </w:t>
      </w:r>
      <w:r>
        <w:rPr>
          <w:rFonts w:ascii="Times New Roman"/>
          <w:color w:val="363636"/>
          <w:w w:val="110"/>
          <w:sz w:val="19"/>
        </w:rPr>
        <w:t>about</w:t>
      </w:r>
      <w:r>
        <w:rPr>
          <w:rFonts w:ascii="Times New Roman"/>
          <w:color w:val="363636"/>
          <w:spacing w:val="-13"/>
          <w:w w:val="110"/>
          <w:sz w:val="19"/>
        </w:rPr>
        <w:t> </w:t>
      </w:r>
      <w:r>
        <w:rPr>
          <w:rFonts w:ascii="Times New Roman"/>
          <w:color w:val="363636"/>
          <w:w w:val="110"/>
          <w:sz w:val="19"/>
        </w:rPr>
        <w:t>priorities</w:t>
      </w:r>
      <w:r>
        <w:rPr>
          <w:rFonts w:ascii="Times New Roman"/>
          <w:color w:val="363636"/>
          <w:spacing w:val="-17"/>
          <w:w w:val="110"/>
          <w:sz w:val="19"/>
        </w:rPr>
        <w:t> </w:t>
      </w:r>
      <w:r>
        <w:rPr>
          <w:rFonts w:ascii="Times New Roman"/>
          <w:color w:val="363636"/>
          <w:w w:val="110"/>
          <w:sz w:val="19"/>
        </w:rPr>
        <w:t>and to</w:t>
      </w:r>
      <w:r>
        <w:rPr>
          <w:rFonts w:ascii="Times New Roman"/>
          <w:color w:val="363636"/>
          <w:spacing w:val="-20"/>
          <w:w w:val="110"/>
          <w:sz w:val="19"/>
        </w:rPr>
        <w:t> </w:t>
      </w:r>
      <w:r>
        <w:rPr>
          <w:rFonts w:ascii="Times New Roman"/>
          <w:color w:val="363636"/>
          <w:w w:val="110"/>
          <w:sz w:val="19"/>
        </w:rPr>
        <w:t>encourage</w:t>
      </w:r>
      <w:r>
        <w:rPr>
          <w:rFonts w:ascii="Times New Roman"/>
          <w:color w:val="363636"/>
          <w:spacing w:val="2"/>
          <w:w w:val="110"/>
          <w:sz w:val="19"/>
        </w:rPr>
        <w:t> </w:t>
      </w:r>
      <w:r>
        <w:rPr>
          <w:rFonts w:ascii="Times New Roman"/>
          <w:color w:val="363636"/>
          <w:w w:val="110"/>
          <w:sz w:val="19"/>
        </w:rPr>
        <w:t>the</w:t>
      </w:r>
      <w:r>
        <w:rPr>
          <w:rFonts w:ascii="Times New Roman"/>
          <w:color w:val="363636"/>
          <w:spacing w:val="-2"/>
          <w:w w:val="110"/>
          <w:sz w:val="19"/>
        </w:rPr>
        <w:t> </w:t>
      </w:r>
      <w:r>
        <w:rPr>
          <w:rFonts w:ascii="Times New Roman"/>
          <w:color w:val="363636"/>
          <w:w w:val="110"/>
          <w:sz w:val="19"/>
        </w:rPr>
        <w:t>outreach</w:t>
      </w:r>
      <w:r>
        <w:rPr>
          <w:rFonts w:ascii="Times New Roman"/>
          <w:color w:val="363636"/>
          <w:spacing w:val="-21"/>
          <w:w w:val="110"/>
          <w:sz w:val="19"/>
        </w:rPr>
        <w:t> </w:t>
      </w:r>
      <w:r>
        <w:rPr>
          <w:rFonts w:ascii="Times New Roman"/>
          <w:color w:val="363636"/>
          <w:w w:val="110"/>
          <w:sz w:val="19"/>
        </w:rPr>
        <w:t>of</w:t>
      </w:r>
      <w:r>
        <w:rPr>
          <w:rFonts w:ascii="Times New Roman"/>
          <w:color w:val="363636"/>
          <w:spacing w:val="1"/>
          <w:w w:val="110"/>
          <w:sz w:val="19"/>
        </w:rPr>
        <w:t> </w:t>
      </w:r>
      <w:r>
        <w:rPr>
          <w:rFonts w:ascii="Times New Roman"/>
          <w:color w:val="363636"/>
          <w:w w:val="110"/>
          <w:sz w:val="19"/>
        </w:rPr>
        <w:t>the</w:t>
      </w:r>
      <w:r>
        <w:rPr>
          <w:rFonts w:ascii="Times New Roman"/>
          <w:color w:val="363636"/>
          <w:spacing w:val="-24"/>
          <w:w w:val="110"/>
          <w:sz w:val="19"/>
        </w:rPr>
        <w:t> </w:t>
      </w:r>
      <w:r>
        <w:rPr>
          <w:rFonts w:ascii="Times New Roman"/>
          <w:color w:val="363636"/>
          <w:w w:val="110"/>
          <w:sz w:val="19"/>
        </w:rPr>
        <w:t>Church</w:t>
      </w:r>
      <w:r>
        <w:rPr>
          <w:rFonts w:ascii="Times New Roman"/>
          <w:color w:val="363636"/>
          <w:spacing w:val="-7"/>
          <w:w w:val="110"/>
          <w:sz w:val="19"/>
        </w:rPr>
        <w:t> </w:t>
      </w:r>
      <w:r>
        <w:rPr>
          <w:rFonts w:ascii="Times New Roman"/>
          <w:color w:val="363636"/>
          <w:w w:val="110"/>
          <w:sz w:val="19"/>
        </w:rPr>
        <w:t>to</w:t>
      </w:r>
      <w:r>
        <w:rPr>
          <w:rFonts w:ascii="Times New Roman"/>
          <w:color w:val="363636"/>
          <w:spacing w:val="-8"/>
          <w:w w:val="110"/>
          <w:sz w:val="19"/>
        </w:rPr>
        <w:t> </w:t>
      </w:r>
      <w:r>
        <w:rPr>
          <w:rFonts w:ascii="Times New Roman"/>
          <w:color w:val="363636"/>
          <w:w w:val="110"/>
          <w:sz w:val="19"/>
        </w:rPr>
        <w:t>the</w:t>
      </w:r>
      <w:r>
        <w:rPr>
          <w:rFonts w:ascii="Times New Roman"/>
          <w:color w:val="363636"/>
          <w:spacing w:val="-23"/>
          <w:w w:val="110"/>
          <w:sz w:val="19"/>
        </w:rPr>
        <w:t> </w:t>
      </w:r>
      <w:r>
        <w:rPr>
          <w:rFonts w:ascii="Times New Roman"/>
          <w:color w:val="363636"/>
          <w:w w:val="110"/>
          <w:sz w:val="19"/>
        </w:rPr>
        <w:t>community.</w:t>
      </w:r>
    </w:p>
    <w:p>
      <w:pPr>
        <w:spacing w:before="118"/>
        <w:ind w:left="491" w:right="0" w:firstLine="0"/>
        <w:jc w:val="left"/>
        <w:rPr>
          <w:rFonts w:ascii="Times New Roman"/>
          <w:b/>
          <w:sz w:val="19"/>
        </w:rPr>
      </w:pPr>
      <w:r>
        <w:rPr>
          <w:rFonts w:ascii="Times New Roman"/>
          <w:b/>
          <w:color w:val="363636"/>
          <w:w w:val="110"/>
          <w:sz w:val="19"/>
        </w:rPr>
        <w:t>Status</w:t>
      </w:r>
    </w:p>
    <w:p>
      <w:pPr>
        <w:spacing w:line="254" w:lineRule="auto" w:before="22"/>
        <w:ind w:left="488" w:right="804" w:hanging="3"/>
        <w:jc w:val="both"/>
        <w:rPr>
          <w:rFonts w:ascii="Times New Roman"/>
          <w:sz w:val="19"/>
        </w:rPr>
      </w:pPr>
      <w:r>
        <w:rPr>
          <w:rFonts w:ascii="Times New Roman"/>
          <w:color w:val="363636"/>
          <w:w w:val="110"/>
          <w:sz w:val="19"/>
        </w:rPr>
        <w:t>The</w:t>
      </w:r>
      <w:r>
        <w:rPr>
          <w:rFonts w:ascii="Times New Roman"/>
          <w:color w:val="363636"/>
          <w:spacing w:val="-3"/>
          <w:w w:val="110"/>
          <w:sz w:val="19"/>
        </w:rPr>
        <w:t> </w:t>
      </w:r>
      <w:r>
        <w:rPr>
          <w:rFonts w:ascii="Times New Roman"/>
          <w:color w:val="363636"/>
          <w:w w:val="110"/>
          <w:sz w:val="19"/>
        </w:rPr>
        <w:t>United</w:t>
      </w:r>
      <w:r>
        <w:rPr>
          <w:rFonts w:ascii="Times New Roman"/>
          <w:color w:val="363636"/>
          <w:spacing w:val="-8"/>
          <w:w w:val="110"/>
          <w:sz w:val="19"/>
        </w:rPr>
        <w:t> </w:t>
      </w:r>
      <w:r>
        <w:rPr>
          <w:rFonts w:ascii="Times New Roman"/>
          <w:color w:val="1D1D1D"/>
          <w:w w:val="110"/>
          <w:sz w:val="19"/>
        </w:rPr>
        <w:t>Reformed</w:t>
      </w:r>
      <w:r>
        <w:rPr>
          <w:rFonts w:ascii="Times New Roman"/>
          <w:color w:val="1D1D1D"/>
          <w:spacing w:val="-15"/>
          <w:w w:val="110"/>
          <w:sz w:val="19"/>
        </w:rPr>
        <w:t> </w:t>
      </w:r>
      <w:r>
        <w:rPr>
          <w:rFonts w:ascii="Times New Roman"/>
          <w:color w:val="363636"/>
          <w:w w:val="110"/>
          <w:sz w:val="19"/>
        </w:rPr>
        <w:t>Church</w:t>
      </w:r>
      <w:r>
        <w:rPr>
          <w:rFonts w:ascii="Times New Roman"/>
          <w:color w:val="363636"/>
          <w:spacing w:val="-9"/>
          <w:w w:val="110"/>
          <w:sz w:val="19"/>
        </w:rPr>
        <w:t> </w:t>
      </w:r>
      <w:r>
        <w:rPr>
          <w:rFonts w:ascii="Times New Roman"/>
          <w:color w:val="363636"/>
          <w:w w:val="110"/>
          <w:sz w:val="19"/>
        </w:rPr>
        <w:t>is</w:t>
      </w:r>
      <w:r>
        <w:rPr>
          <w:rFonts w:ascii="Times New Roman"/>
          <w:color w:val="363636"/>
          <w:spacing w:val="-13"/>
          <w:w w:val="110"/>
          <w:sz w:val="19"/>
        </w:rPr>
        <w:t> </w:t>
      </w:r>
      <w:r>
        <w:rPr>
          <w:rFonts w:ascii="Times New Roman"/>
          <w:color w:val="363636"/>
          <w:w w:val="110"/>
          <w:sz w:val="19"/>
        </w:rPr>
        <w:t>a</w:t>
      </w:r>
      <w:r>
        <w:rPr>
          <w:rFonts w:ascii="Times New Roman"/>
          <w:color w:val="363636"/>
          <w:spacing w:val="1"/>
          <w:w w:val="110"/>
          <w:sz w:val="19"/>
        </w:rPr>
        <w:t> </w:t>
      </w:r>
      <w:r>
        <w:rPr>
          <w:rFonts w:ascii="Times New Roman"/>
          <w:color w:val="363636"/>
          <w:w w:val="110"/>
          <w:sz w:val="19"/>
        </w:rPr>
        <w:t>charity</w:t>
      </w:r>
      <w:r>
        <w:rPr>
          <w:rFonts w:ascii="Times New Roman"/>
          <w:color w:val="363636"/>
          <w:spacing w:val="-10"/>
          <w:w w:val="110"/>
          <w:sz w:val="19"/>
        </w:rPr>
        <w:t> </w:t>
      </w:r>
      <w:r>
        <w:rPr>
          <w:rFonts w:ascii="Times New Roman"/>
          <w:color w:val="363636"/>
          <w:w w:val="110"/>
          <w:sz w:val="19"/>
        </w:rPr>
        <w:t>excepted</w:t>
      </w:r>
      <w:r>
        <w:rPr>
          <w:rFonts w:ascii="Times New Roman"/>
          <w:color w:val="363636"/>
          <w:spacing w:val="-7"/>
          <w:w w:val="110"/>
          <w:sz w:val="19"/>
        </w:rPr>
        <w:t> </w:t>
      </w:r>
      <w:r>
        <w:rPr>
          <w:rFonts w:ascii="Times New Roman"/>
          <w:color w:val="1D1D1D"/>
          <w:w w:val="110"/>
          <w:sz w:val="19"/>
        </w:rPr>
        <w:t>from</w:t>
      </w:r>
      <w:r>
        <w:rPr>
          <w:rFonts w:ascii="Times New Roman"/>
          <w:color w:val="1D1D1D"/>
          <w:spacing w:val="-18"/>
          <w:w w:val="110"/>
          <w:sz w:val="19"/>
        </w:rPr>
        <w:t> </w:t>
      </w:r>
      <w:r>
        <w:rPr>
          <w:rFonts w:ascii="Times New Roman"/>
          <w:color w:val="363636"/>
          <w:w w:val="110"/>
          <w:sz w:val="19"/>
        </w:rPr>
        <w:t>the</w:t>
      </w:r>
      <w:r>
        <w:rPr>
          <w:rFonts w:ascii="Times New Roman"/>
          <w:color w:val="363636"/>
          <w:spacing w:val="-18"/>
          <w:w w:val="110"/>
          <w:sz w:val="19"/>
        </w:rPr>
        <w:t> </w:t>
      </w:r>
      <w:r>
        <w:rPr>
          <w:rFonts w:ascii="Times New Roman"/>
          <w:color w:val="363636"/>
          <w:w w:val="110"/>
          <w:sz w:val="19"/>
        </w:rPr>
        <w:t>need</w:t>
      </w:r>
      <w:r>
        <w:rPr>
          <w:rFonts w:ascii="Times New Roman"/>
          <w:color w:val="363636"/>
          <w:spacing w:val="-7"/>
          <w:w w:val="110"/>
          <w:sz w:val="19"/>
        </w:rPr>
        <w:t> </w:t>
      </w:r>
      <w:r>
        <w:rPr>
          <w:rFonts w:ascii="Times New Roman"/>
          <w:color w:val="363636"/>
          <w:w w:val="110"/>
          <w:sz w:val="19"/>
        </w:rPr>
        <w:t>to</w:t>
      </w:r>
      <w:r>
        <w:rPr>
          <w:rFonts w:ascii="Times New Roman"/>
          <w:color w:val="363636"/>
          <w:spacing w:val="-9"/>
          <w:w w:val="110"/>
          <w:sz w:val="19"/>
        </w:rPr>
        <w:t> </w:t>
      </w:r>
      <w:r>
        <w:rPr>
          <w:rFonts w:ascii="Times New Roman"/>
          <w:color w:val="363636"/>
          <w:w w:val="110"/>
          <w:sz w:val="19"/>
        </w:rPr>
        <w:t>register</w:t>
      </w:r>
      <w:r>
        <w:rPr>
          <w:rFonts w:ascii="Times New Roman"/>
          <w:color w:val="363636"/>
          <w:spacing w:val="-10"/>
          <w:w w:val="110"/>
          <w:sz w:val="19"/>
        </w:rPr>
        <w:t> </w:t>
      </w:r>
      <w:r>
        <w:rPr>
          <w:rFonts w:ascii="Times New Roman"/>
          <w:color w:val="363636"/>
          <w:w w:val="110"/>
          <w:sz w:val="19"/>
        </w:rPr>
        <w:t>by</w:t>
      </w:r>
      <w:r>
        <w:rPr>
          <w:rFonts w:ascii="Times New Roman"/>
          <w:color w:val="363636"/>
          <w:spacing w:val="-21"/>
          <w:w w:val="110"/>
          <w:sz w:val="19"/>
        </w:rPr>
        <w:t> </w:t>
      </w:r>
      <w:r>
        <w:rPr>
          <w:rFonts w:ascii="Times New Roman"/>
          <w:color w:val="363636"/>
          <w:w w:val="110"/>
          <w:sz w:val="19"/>
        </w:rPr>
        <w:t>the</w:t>
      </w:r>
      <w:r>
        <w:rPr>
          <w:rFonts w:ascii="Times New Roman"/>
          <w:color w:val="363636"/>
          <w:spacing w:val="-13"/>
          <w:w w:val="110"/>
          <w:sz w:val="19"/>
        </w:rPr>
        <w:t> </w:t>
      </w:r>
      <w:r>
        <w:rPr>
          <w:rFonts w:ascii="Times New Roman"/>
          <w:color w:val="363636"/>
          <w:w w:val="110"/>
          <w:sz w:val="19"/>
        </w:rPr>
        <w:t>combined</w:t>
      </w:r>
      <w:r>
        <w:rPr>
          <w:rFonts w:ascii="Times New Roman"/>
          <w:color w:val="363636"/>
          <w:spacing w:val="-3"/>
          <w:w w:val="110"/>
          <w:sz w:val="19"/>
        </w:rPr>
        <w:t> </w:t>
      </w:r>
      <w:r>
        <w:rPr>
          <w:rFonts w:ascii="Times New Roman"/>
          <w:color w:val="363636"/>
          <w:w w:val="110"/>
          <w:sz w:val="19"/>
        </w:rPr>
        <w:t>effects</w:t>
      </w:r>
      <w:r>
        <w:rPr>
          <w:rFonts w:ascii="Times New Roman"/>
          <w:color w:val="363636"/>
          <w:spacing w:val="-16"/>
          <w:w w:val="110"/>
          <w:sz w:val="19"/>
        </w:rPr>
        <w:t> </w:t>
      </w:r>
      <w:r>
        <w:rPr>
          <w:rFonts w:ascii="Times New Roman"/>
          <w:color w:val="363636"/>
          <w:w w:val="110"/>
          <w:sz w:val="19"/>
        </w:rPr>
        <w:t>of</w:t>
      </w:r>
      <w:r>
        <w:rPr>
          <w:rFonts w:ascii="Times New Roman"/>
          <w:color w:val="363636"/>
          <w:spacing w:val="-10"/>
          <w:w w:val="110"/>
          <w:sz w:val="19"/>
        </w:rPr>
        <w:t> </w:t>
      </w:r>
      <w:r>
        <w:rPr>
          <w:rFonts w:ascii="Times New Roman"/>
          <w:color w:val="363636"/>
          <w:w w:val="110"/>
          <w:sz w:val="19"/>
        </w:rPr>
        <w:t>section </w:t>
      </w:r>
      <w:r>
        <w:rPr>
          <w:rFonts w:ascii="Times New Roman"/>
          <w:color w:val="1D1D1D"/>
          <w:w w:val="110"/>
          <w:sz w:val="19"/>
        </w:rPr>
        <w:t>46(4)(a)</w:t>
      </w:r>
      <w:r>
        <w:rPr>
          <w:rFonts w:ascii="Times New Roman"/>
          <w:color w:val="1D1D1D"/>
          <w:spacing w:val="-15"/>
          <w:w w:val="110"/>
          <w:sz w:val="19"/>
        </w:rPr>
        <w:t> </w:t>
      </w:r>
      <w:r>
        <w:rPr>
          <w:rFonts w:ascii="Times New Roman"/>
          <w:color w:val="363636"/>
          <w:w w:val="110"/>
          <w:sz w:val="19"/>
        </w:rPr>
        <w:t>of</w:t>
      </w:r>
      <w:r>
        <w:rPr>
          <w:rFonts w:ascii="Times New Roman"/>
          <w:color w:val="363636"/>
          <w:spacing w:val="-1"/>
          <w:w w:val="110"/>
          <w:sz w:val="19"/>
        </w:rPr>
        <w:t> </w:t>
      </w:r>
      <w:r>
        <w:rPr>
          <w:rFonts w:ascii="Times New Roman"/>
          <w:color w:val="1D1D1D"/>
          <w:w w:val="110"/>
          <w:sz w:val="19"/>
        </w:rPr>
        <w:t>the</w:t>
      </w:r>
      <w:r>
        <w:rPr>
          <w:rFonts w:ascii="Times New Roman"/>
          <w:color w:val="1D1D1D"/>
          <w:spacing w:val="-3"/>
          <w:w w:val="110"/>
          <w:sz w:val="19"/>
        </w:rPr>
        <w:t> </w:t>
      </w:r>
      <w:r>
        <w:rPr>
          <w:rFonts w:ascii="Times New Roman"/>
          <w:color w:val="363636"/>
          <w:w w:val="110"/>
          <w:sz w:val="19"/>
        </w:rPr>
        <w:t>Charities</w:t>
      </w:r>
      <w:r>
        <w:rPr>
          <w:rFonts w:ascii="Times New Roman"/>
          <w:color w:val="363636"/>
          <w:spacing w:val="-15"/>
          <w:w w:val="110"/>
          <w:sz w:val="19"/>
        </w:rPr>
        <w:t> </w:t>
      </w:r>
      <w:r>
        <w:rPr>
          <w:rFonts w:ascii="Times New Roman"/>
          <w:color w:val="363636"/>
          <w:w w:val="110"/>
          <w:sz w:val="19"/>
        </w:rPr>
        <w:t>Act</w:t>
      </w:r>
      <w:r>
        <w:rPr>
          <w:rFonts w:ascii="Times New Roman"/>
          <w:color w:val="363636"/>
          <w:spacing w:val="-12"/>
          <w:w w:val="110"/>
          <w:sz w:val="19"/>
        </w:rPr>
        <w:t> </w:t>
      </w:r>
      <w:r>
        <w:rPr>
          <w:rFonts w:ascii="Times New Roman"/>
          <w:color w:val="1D1D1D"/>
          <w:w w:val="110"/>
          <w:sz w:val="19"/>
        </w:rPr>
        <w:t>1993</w:t>
      </w:r>
      <w:r>
        <w:rPr>
          <w:rFonts w:ascii="Times New Roman"/>
          <w:color w:val="1D1D1D"/>
          <w:spacing w:val="-17"/>
          <w:w w:val="110"/>
          <w:sz w:val="19"/>
        </w:rPr>
        <w:t> </w:t>
      </w:r>
      <w:r>
        <w:rPr>
          <w:rFonts w:ascii="Times New Roman"/>
          <w:color w:val="363636"/>
          <w:w w:val="110"/>
          <w:sz w:val="19"/>
        </w:rPr>
        <w:t>and</w:t>
      </w:r>
      <w:r>
        <w:rPr>
          <w:rFonts w:ascii="Times New Roman"/>
          <w:color w:val="363636"/>
          <w:spacing w:val="-20"/>
          <w:w w:val="110"/>
          <w:sz w:val="19"/>
        </w:rPr>
        <w:t> </w:t>
      </w:r>
      <w:r>
        <w:rPr>
          <w:rFonts w:ascii="Times New Roman"/>
          <w:color w:val="363636"/>
          <w:w w:val="110"/>
          <w:sz w:val="19"/>
        </w:rPr>
        <w:t>The</w:t>
      </w:r>
      <w:r>
        <w:rPr>
          <w:rFonts w:ascii="Times New Roman"/>
          <w:color w:val="363636"/>
          <w:spacing w:val="-18"/>
          <w:w w:val="110"/>
          <w:sz w:val="19"/>
        </w:rPr>
        <w:t> </w:t>
      </w:r>
      <w:r>
        <w:rPr>
          <w:rFonts w:ascii="Times New Roman"/>
          <w:color w:val="363636"/>
          <w:w w:val="110"/>
          <w:sz w:val="19"/>
        </w:rPr>
        <w:t>Charities</w:t>
      </w:r>
      <w:r>
        <w:rPr>
          <w:rFonts w:ascii="Times New Roman"/>
          <w:color w:val="363636"/>
          <w:spacing w:val="-13"/>
          <w:w w:val="110"/>
          <w:sz w:val="19"/>
        </w:rPr>
        <w:t> </w:t>
      </w:r>
      <w:r>
        <w:rPr>
          <w:rFonts w:ascii="Times New Roman"/>
          <w:color w:val="363636"/>
          <w:w w:val="110"/>
          <w:sz w:val="19"/>
        </w:rPr>
        <w:t>(Exception</w:t>
      </w:r>
      <w:r>
        <w:rPr>
          <w:rFonts w:ascii="Times New Roman"/>
          <w:color w:val="363636"/>
          <w:spacing w:val="-19"/>
          <w:w w:val="110"/>
          <w:sz w:val="19"/>
        </w:rPr>
        <w:t> </w:t>
      </w:r>
      <w:r>
        <w:rPr>
          <w:rFonts w:ascii="Times New Roman"/>
          <w:color w:val="363636"/>
          <w:w w:val="110"/>
          <w:sz w:val="19"/>
        </w:rPr>
        <w:t>From</w:t>
      </w:r>
      <w:r>
        <w:rPr>
          <w:rFonts w:ascii="Times New Roman"/>
          <w:color w:val="363636"/>
          <w:spacing w:val="-24"/>
          <w:w w:val="110"/>
          <w:sz w:val="19"/>
        </w:rPr>
        <w:t> </w:t>
      </w:r>
      <w:r>
        <w:rPr>
          <w:rFonts w:ascii="Times New Roman"/>
          <w:color w:val="363636"/>
          <w:w w:val="110"/>
          <w:sz w:val="19"/>
        </w:rPr>
        <w:t>Registration)</w:t>
      </w:r>
      <w:r>
        <w:rPr>
          <w:rFonts w:ascii="Times New Roman"/>
          <w:color w:val="363636"/>
          <w:spacing w:val="-10"/>
          <w:w w:val="110"/>
          <w:sz w:val="19"/>
        </w:rPr>
        <w:t> </w:t>
      </w:r>
      <w:r>
        <w:rPr>
          <w:rFonts w:ascii="Times New Roman"/>
          <w:color w:val="363636"/>
          <w:w w:val="110"/>
          <w:sz w:val="19"/>
        </w:rPr>
        <w:t>(Amendment)</w:t>
      </w:r>
      <w:r>
        <w:rPr>
          <w:rFonts w:ascii="Times New Roman"/>
          <w:color w:val="363636"/>
          <w:spacing w:val="-14"/>
          <w:w w:val="110"/>
          <w:sz w:val="19"/>
        </w:rPr>
        <w:t> </w:t>
      </w:r>
      <w:r>
        <w:rPr>
          <w:rFonts w:ascii="Times New Roman"/>
          <w:color w:val="363636"/>
          <w:w w:val="110"/>
          <w:sz w:val="19"/>
        </w:rPr>
        <w:t>Regulations 2002.</w:t>
      </w:r>
      <w:r>
        <w:rPr>
          <w:rFonts w:ascii="Times New Roman"/>
          <w:color w:val="363636"/>
          <w:spacing w:val="-30"/>
          <w:w w:val="110"/>
          <w:sz w:val="19"/>
        </w:rPr>
        <w:t> </w:t>
      </w:r>
      <w:r>
        <w:rPr>
          <w:rFonts w:ascii="Times New Roman"/>
          <w:color w:val="363636"/>
          <w:w w:val="110"/>
          <w:sz w:val="19"/>
        </w:rPr>
        <w:t>This</w:t>
      </w:r>
      <w:r>
        <w:rPr>
          <w:rFonts w:ascii="Times New Roman"/>
          <w:color w:val="363636"/>
          <w:spacing w:val="-17"/>
          <w:w w:val="110"/>
          <w:sz w:val="19"/>
        </w:rPr>
        <w:t> </w:t>
      </w:r>
      <w:r>
        <w:rPr>
          <w:rFonts w:ascii="Times New Roman"/>
          <w:color w:val="363636"/>
          <w:w w:val="110"/>
          <w:sz w:val="19"/>
        </w:rPr>
        <w:t>exception</w:t>
      </w:r>
      <w:r>
        <w:rPr>
          <w:rFonts w:ascii="Times New Roman"/>
          <w:color w:val="363636"/>
          <w:spacing w:val="-4"/>
          <w:w w:val="110"/>
          <w:sz w:val="19"/>
        </w:rPr>
        <w:t> </w:t>
      </w:r>
      <w:r>
        <w:rPr>
          <w:rFonts w:ascii="Times New Roman"/>
          <w:color w:val="1D1D1D"/>
          <w:w w:val="110"/>
          <w:sz w:val="19"/>
        </w:rPr>
        <w:t>is</w:t>
      </w:r>
      <w:r>
        <w:rPr>
          <w:rFonts w:ascii="Times New Roman"/>
          <w:color w:val="1D1D1D"/>
          <w:spacing w:val="-24"/>
          <w:w w:val="110"/>
          <w:sz w:val="19"/>
        </w:rPr>
        <w:t> </w:t>
      </w:r>
      <w:r>
        <w:rPr>
          <w:rFonts w:ascii="Times New Roman"/>
          <w:color w:val="363636"/>
          <w:w w:val="110"/>
          <w:sz w:val="19"/>
        </w:rPr>
        <w:t>expected</w:t>
      </w:r>
      <w:r>
        <w:rPr>
          <w:rFonts w:ascii="Times New Roman"/>
          <w:color w:val="363636"/>
          <w:spacing w:val="-8"/>
          <w:w w:val="110"/>
          <w:sz w:val="19"/>
        </w:rPr>
        <w:t> </w:t>
      </w:r>
      <w:r>
        <w:rPr>
          <w:rFonts w:ascii="Times New Roman"/>
          <w:color w:val="363636"/>
          <w:w w:val="110"/>
          <w:sz w:val="19"/>
        </w:rPr>
        <w:t>to</w:t>
      </w:r>
      <w:r>
        <w:rPr>
          <w:rFonts w:ascii="Times New Roman"/>
          <w:color w:val="363636"/>
          <w:spacing w:val="-17"/>
          <w:w w:val="110"/>
          <w:sz w:val="19"/>
        </w:rPr>
        <w:t> </w:t>
      </w:r>
      <w:r>
        <w:rPr>
          <w:rFonts w:ascii="Times New Roman"/>
          <w:color w:val="363636"/>
          <w:w w:val="110"/>
          <w:sz w:val="19"/>
        </w:rPr>
        <w:t>end</w:t>
      </w:r>
      <w:r>
        <w:rPr>
          <w:rFonts w:ascii="Times New Roman"/>
          <w:color w:val="363636"/>
          <w:spacing w:val="-6"/>
          <w:w w:val="110"/>
          <w:sz w:val="19"/>
        </w:rPr>
        <w:t> </w:t>
      </w:r>
      <w:r>
        <w:rPr>
          <w:rFonts w:ascii="Times New Roman"/>
          <w:color w:val="363636"/>
          <w:w w:val="110"/>
          <w:sz w:val="19"/>
        </w:rPr>
        <w:t>when</w:t>
      </w:r>
      <w:r>
        <w:rPr>
          <w:rFonts w:ascii="Times New Roman"/>
          <w:color w:val="363636"/>
          <w:spacing w:val="-15"/>
          <w:w w:val="110"/>
          <w:sz w:val="19"/>
        </w:rPr>
        <w:t> </w:t>
      </w:r>
      <w:r>
        <w:rPr>
          <w:rFonts w:ascii="Times New Roman"/>
          <w:color w:val="363636"/>
          <w:w w:val="110"/>
          <w:sz w:val="19"/>
        </w:rPr>
        <w:t>the</w:t>
      </w:r>
      <w:r>
        <w:rPr>
          <w:rFonts w:ascii="Times New Roman"/>
          <w:color w:val="363636"/>
          <w:spacing w:val="-25"/>
          <w:w w:val="110"/>
          <w:sz w:val="19"/>
        </w:rPr>
        <w:t> </w:t>
      </w:r>
      <w:r>
        <w:rPr>
          <w:rFonts w:ascii="Times New Roman"/>
          <w:color w:val="363636"/>
          <w:w w:val="110"/>
          <w:sz w:val="19"/>
        </w:rPr>
        <w:t>Charities</w:t>
      </w:r>
      <w:r>
        <w:rPr>
          <w:rFonts w:ascii="Times New Roman"/>
          <w:color w:val="363636"/>
          <w:spacing w:val="-17"/>
          <w:w w:val="110"/>
          <w:sz w:val="19"/>
        </w:rPr>
        <w:t> </w:t>
      </w:r>
      <w:r>
        <w:rPr>
          <w:rFonts w:ascii="Times New Roman"/>
          <w:color w:val="363636"/>
          <w:w w:val="110"/>
          <w:sz w:val="19"/>
        </w:rPr>
        <w:t>Act</w:t>
      </w:r>
      <w:r>
        <w:rPr>
          <w:rFonts w:ascii="Times New Roman"/>
          <w:color w:val="363636"/>
          <w:spacing w:val="-15"/>
          <w:w w:val="110"/>
          <w:sz w:val="19"/>
        </w:rPr>
        <w:t> </w:t>
      </w:r>
      <w:r>
        <w:rPr>
          <w:rFonts w:ascii="Times New Roman"/>
          <w:color w:val="363636"/>
          <w:w w:val="110"/>
          <w:sz w:val="19"/>
        </w:rPr>
        <w:t>2006</w:t>
      </w:r>
      <w:r>
        <w:rPr>
          <w:rFonts w:ascii="Times New Roman"/>
          <w:color w:val="363636"/>
          <w:spacing w:val="-16"/>
          <w:w w:val="110"/>
          <w:sz w:val="19"/>
        </w:rPr>
        <w:t> </w:t>
      </w:r>
      <w:r>
        <w:rPr>
          <w:rFonts w:ascii="Times New Roman"/>
          <w:color w:val="363636"/>
          <w:w w:val="110"/>
          <w:sz w:val="19"/>
        </w:rPr>
        <w:t>is</w:t>
      </w:r>
      <w:r>
        <w:rPr>
          <w:rFonts w:ascii="Times New Roman"/>
          <w:color w:val="363636"/>
          <w:spacing w:val="-15"/>
          <w:w w:val="110"/>
          <w:sz w:val="19"/>
        </w:rPr>
        <w:t> </w:t>
      </w:r>
      <w:r>
        <w:rPr>
          <w:rFonts w:ascii="Times New Roman"/>
          <w:color w:val="363636"/>
          <w:w w:val="110"/>
          <w:sz w:val="19"/>
        </w:rPr>
        <w:t>fully</w:t>
      </w:r>
      <w:r>
        <w:rPr>
          <w:rFonts w:ascii="Times New Roman"/>
          <w:color w:val="363636"/>
          <w:spacing w:val="-18"/>
          <w:w w:val="110"/>
          <w:sz w:val="19"/>
        </w:rPr>
        <w:t> </w:t>
      </w:r>
      <w:r>
        <w:rPr>
          <w:rFonts w:ascii="Times New Roman"/>
          <w:color w:val="363636"/>
          <w:w w:val="110"/>
          <w:sz w:val="19"/>
        </w:rPr>
        <w:t>implemented</w:t>
      </w:r>
      <w:r>
        <w:rPr>
          <w:rFonts w:ascii="Times New Roman"/>
          <w:color w:val="363636"/>
          <w:spacing w:val="-3"/>
          <w:w w:val="110"/>
          <w:sz w:val="19"/>
        </w:rPr>
        <w:t> </w:t>
      </w:r>
      <w:r>
        <w:rPr>
          <w:rFonts w:ascii="Times New Roman"/>
          <w:color w:val="363636"/>
          <w:w w:val="110"/>
          <w:sz w:val="19"/>
        </w:rPr>
        <w:t>in</w:t>
      </w:r>
      <w:r>
        <w:rPr>
          <w:rFonts w:ascii="Times New Roman"/>
          <w:color w:val="363636"/>
          <w:spacing w:val="-5"/>
          <w:w w:val="110"/>
          <w:sz w:val="19"/>
        </w:rPr>
        <w:t> </w:t>
      </w:r>
      <w:r>
        <w:rPr>
          <w:rFonts w:ascii="Times New Roman"/>
          <w:color w:val="363636"/>
          <w:w w:val="110"/>
          <w:sz w:val="19"/>
        </w:rPr>
        <w:t>2008.</w:t>
      </w:r>
    </w:p>
    <w:p>
      <w:pPr>
        <w:spacing w:before="133"/>
        <w:ind w:left="485" w:right="0" w:firstLine="0"/>
        <w:jc w:val="left"/>
        <w:rPr>
          <w:rFonts w:ascii="Times New Roman"/>
          <w:b/>
          <w:sz w:val="19"/>
        </w:rPr>
      </w:pPr>
      <w:r>
        <w:rPr>
          <w:rFonts w:ascii="Times New Roman"/>
          <w:b/>
          <w:color w:val="1D1D1D"/>
          <w:w w:val="105"/>
          <w:sz w:val="19"/>
        </w:rPr>
        <w:t>Trustees</w:t>
      </w:r>
    </w:p>
    <w:p>
      <w:pPr>
        <w:spacing w:line="256" w:lineRule="auto" w:before="12"/>
        <w:ind w:left="482" w:right="815" w:firstLine="3"/>
        <w:jc w:val="both"/>
        <w:rPr>
          <w:rFonts w:ascii="Times New Roman"/>
          <w:sz w:val="19"/>
        </w:rPr>
      </w:pPr>
      <w:r>
        <w:rPr>
          <w:rFonts w:ascii="Times New Roman"/>
          <w:color w:val="363636"/>
          <w:w w:val="110"/>
          <w:sz w:val="19"/>
        </w:rPr>
        <w:t>The</w:t>
      </w:r>
      <w:r>
        <w:rPr>
          <w:rFonts w:ascii="Times New Roman"/>
          <w:color w:val="363636"/>
          <w:spacing w:val="-9"/>
          <w:w w:val="110"/>
          <w:sz w:val="19"/>
        </w:rPr>
        <w:t> </w:t>
      </w:r>
      <w:r>
        <w:rPr>
          <w:rFonts w:ascii="Times New Roman"/>
          <w:color w:val="363636"/>
          <w:w w:val="110"/>
          <w:sz w:val="19"/>
        </w:rPr>
        <w:t>Mission</w:t>
      </w:r>
      <w:r>
        <w:rPr>
          <w:rFonts w:ascii="Times New Roman"/>
          <w:color w:val="363636"/>
          <w:spacing w:val="-10"/>
          <w:w w:val="110"/>
          <w:sz w:val="19"/>
        </w:rPr>
        <w:t> </w:t>
      </w:r>
      <w:r>
        <w:rPr>
          <w:rFonts w:ascii="Times New Roman"/>
          <w:color w:val="363636"/>
          <w:w w:val="110"/>
          <w:sz w:val="19"/>
        </w:rPr>
        <w:t>Council</w:t>
      </w:r>
      <w:r>
        <w:rPr>
          <w:rFonts w:ascii="Times New Roman"/>
          <w:color w:val="363636"/>
          <w:spacing w:val="-7"/>
          <w:w w:val="110"/>
          <w:sz w:val="19"/>
        </w:rPr>
        <w:t> </w:t>
      </w:r>
      <w:r>
        <w:rPr>
          <w:rFonts w:ascii="Times New Roman"/>
          <w:color w:val="363636"/>
          <w:w w:val="110"/>
          <w:sz w:val="19"/>
        </w:rPr>
        <w:t>Advisory</w:t>
      </w:r>
      <w:r>
        <w:rPr>
          <w:rFonts w:ascii="Times New Roman"/>
          <w:color w:val="363636"/>
          <w:spacing w:val="-5"/>
          <w:w w:val="110"/>
          <w:sz w:val="19"/>
        </w:rPr>
        <w:t> </w:t>
      </w:r>
      <w:r>
        <w:rPr>
          <w:rFonts w:ascii="Times New Roman"/>
          <w:color w:val="363636"/>
          <w:w w:val="110"/>
          <w:sz w:val="19"/>
        </w:rPr>
        <w:t>Group</w:t>
      </w:r>
      <w:r>
        <w:rPr>
          <w:rFonts w:ascii="Times New Roman"/>
          <w:color w:val="363636"/>
          <w:spacing w:val="-10"/>
          <w:w w:val="110"/>
          <w:sz w:val="19"/>
        </w:rPr>
        <w:t> </w:t>
      </w:r>
      <w:r>
        <w:rPr>
          <w:rFonts w:ascii="Times New Roman"/>
          <w:color w:val="363636"/>
          <w:w w:val="110"/>
          <w:sz w:val="19"/>
        </w:rPr>
        <w:t>acted</w:t>
      </w:r>
      <w:r>
        <w:rPr>
          <w:rFonts w:ascii="Times New Roman"/>
          <w:color w:val="363636"/>
          <w:spacing w:val="-13"/>
          <w:w w:val="110"/>
          <w:sz w:val="19"/>
        </w:rPr>
        <w:t> </w:t>
      </w:r>
      <w:r>
        <w:rPr>
          <w:rFonts w:ascii="Times New Roman"/>
          <w:color w:val="363636"/>
          <w:w w:val="110"/>
          <w:sz w:val="19"/>
        </w:rPr>
        <w:t>as</w:t>
      </w:r>
      <w:r>
        <w:rPr>
          <w:rFonts w:ascii="Times New Roman"/>
          <w:color w:val="363636"/>
          <w:spacing w:val="-11"/>
          <w:w w:val="110"/>
          <w:sz w:val="19"/>
        </w:rPr>
        <w:t> </w:t>
      </w:r>
      <w:r>
        <w:rPr>
          <w:rFonts w:ascii="Times New Roman"/>
          <w:color w:val="363636"/>
          <w:w w:val="110"/>
          <w:sz w:val="19"/>
        </w:rPr>
        <w:t>Trustees</w:t>
      </w:r>
      <w:r>
        <w:rPr>
          <w:rFonts w:ascii="Times New Roman"/>
          <w:color w:val="363636"/>
          <w:spacing w:val="-8"/>
          <w:w w:val="110"/>
          <w:sz w:val="19"/>
        </w:rPr>
        <w:t> </w:t>
      </w:r>
      <w:r>
        <w:rPr>
          <w:rFonts w:ascii="Times New Roman"/>
          <w:color w:val="363636"/>
          <w:w w:val="110"/>
          <w:sz w:val="19"/>
        </w:rPr>
        <w:t>for</w:t>
      </w:r>
      <w:r>
        <w:rPr>
          <w:rFonts w:ascii="Times New Roman"/>
          <w:color w:val="363636"/>
          <w:spacing w:val="-6"/>
          <w:w w:val="110"/>
          <w:sz w:val="19"/>
        </w:rPr>
        <w:t> </w:t>
      </w:r>
      <w:r>
        <w:rPr>
          <w:rFonts w:ascii="Times New Roman"/>
          <w:color w:val="363636"/>
          <w:w w:val="110"/>
          <w:sz w:val="19"/>
        </w:rPr>
        <w:t>the</w:t>
      </w:r>
      <w:r>
        <w:rPr>
          <w:rFonts w:ascii="Times New Roman"/>
          <w:color w:val="363636"/>
          <w:spacing w:val="-11"/>
          <w:w w:val="110"/>
          <w:sz w:val="19"/>
        </w:rPr>
        <w:t> </w:t>
      </w:r>
      <w:r>
        <w:rPr>
          <w:rFonts w:ascii="Times New Roman"/>
          <w:color w:val="363636"/>
          <w:w w:val="110"/>
          <w:sz w:val="19"/>
        </w:rPr>
        <w:t>General</w:t>
      </w:r>
      <w:r>
        <w:rPr>
          <w:rFonts w:ascii="Times New Roman"/>
          <w:color w:val="363636"/>
          <w:spacing w:val="-17"/>
          <w:w w:val="110"/>
          <w:sz w:val="19"/>
        </w:rPr>
        <w:t> </w:t>
      </w:r>
      <w:r>
        <w:rPr>
          <w:rFonts w:ascii="Times New Roman"/>
          <w:color w:val="363636"/>
          <w:w w:val="110"/>
          <w:sz w:val="19"/>
        </w:rPr>
        <w:t>Assembly</w:t>
      </w:r>
      <w:r>
        <w:rPr>
          <w:rFonts w:ascii="Times New Roman"/>
          <w:color w:val="363636"/>
          <w:spacing w:val="-10"/>
          <w:w w:val="110"/>
          <w:sz w:val="19"/>
        </w:rPr>
        <w:t> </w:t>
      </w:r>
      <w:r>
        <w:rPr>
          <w:rFonts w:ascii="Times New Roman"/>
          <w:color w:val="363636"/>
          <w:w w:val="110"/>
          <w:sz w:val="19"/>
        </w:rPr>
        <w:t>from</w:t>
      </w:r>
      <w:r>
        <w:rPr>
          <w:rFonts w:ascii="Times New Roman"/>
          <w:color w:val="363636"/>
          <w:spacing w:val="-20"/>
          <w:w w:val="110"/>
          <w:sz w:val="19"/>
        </w:rPr>
        <w:t> </w:t>
      </w:r>
      <w:r>
        <w:rPr>
          <w:rFonts w:ascii="Times New Roman"/>
          <w:color w:val="363636"/>
          <w:w w:val="110"/>
          <w:sz w:val="19"/>
        </w:rPr>
        <w:t>2002</w:t>
      </w:r>
      <w:r>
        <w:rPr>
          <w:rFonts w:ascii="Times New Roman"/>
          <w:color w:val="363636"/>
          <w:spacing w:val="-6"/>
          <w:w w:val="110"/>
          <w:sz w:val="19"/>
        </w:rPr>
        <w:t> </w:t>
      </w:r>
      <w:r>
        <w:rPr>
          <w:rFonts w:ascii="Times New Roman"/>
          <w:color w:val="363636"/>
          <w:w w:val="110"/>
          <w:sz w:val="19"/>
        </w:rPr>
        <w:t>until</w:t>
      </w:r>
      <w:r>
        <w:rPr>
          <w:rFonts w:ascii="Times New Roman"/>
          <w:color w:val="363636"/>
          <w:spacing w:val="-8"/>
          <w:w w:val="110"/>
          <w:sz w:val="19"/>
        </w:rPr>
        <w:t> </w:t>
      </w:r>
      <w:r>
        <w:rPr>
          <w:rFonts w:ascii="Times New Roman"/>
          <w:color w:val="363636"/>
          <w:w w:val="110"/>
          <w:sz w:val="19"/>
        </w:rPr>
        <w:t>2006,</w:t>
      </w:r>
      <w:r>
        <w:rPr>
          <w:rFonts w:ascii="Times New Roman"/>
          <w:color w:val="363636"/>
          <w:spacing w:val="-9"/>
          <w:w w:val="110"/>
          <w:sz w:val="19"/>
        </w:rPr>
        <w:t> </w:t>
      </w:r>
      <w:r>
        <w:rPr>
          <w:rFonts w:ascii="Times New Roman"/>
          <w:color w:val="363636"/>
          <w:w w:val="110"/>
          <w:sz w:val="19"/>
        </w:rPr>
        <w:t>when General Assembly appointed the </w:t>
      </w:r>
      <w:r>
        <w:rPr>
          <w:rFonts w:ascii="Times New Roman"/>
          <w:color w:val="1D1D1D"/>
          <w:w w:val="110"/>
          <w:sz w:val="19"/>
        </w:rPr>
        <w:t>United Reformed </w:t>
      </w:r>
      <w:r>
        <w:rPr>
          <w:rFonts w:ascii="Times New Roman"/>
          <w:color w:val="363636"/>
          <w:w w:val="110"/>
          <w:sz w:val="19"/>
        </w:rPr>
        <w:t>Church </w:t>
      </w:r>
      <w:r>
        <w:rPr>
          <w:rFonts w:ascii="Times New Roman"/>
          <w:color w:val="1D1D1D"/>
          <w:w w:val="110"/>
          <w:sz w:val="19"/>
        </w:rPr>
        <w:t>Trust </w:t>
      </w:r>
      <w:r>
        <w:rPr>
          <w:rFonts w:ascii="Times New Roman"/>
          <w:color w:val="363636"/>
          <w:w w:val="110"/>
          <w:sz w:val="19"/>
        </w:rPr>
        <w:t>as the </w:t>
      </w:r>
      <w:r>
        <w:rPr>
          <w:rFonts w:ascii="Times New Roman"/>
          <w:color w:val="363636"/>
          <w:spacing w:val="-4"/>
          <w:w w:val="110"/>
          <w:sz w:val="19"/>
        </w:rPr>
        <w:t>Trustee</w:t>
      </w:r>
      <w:r>
        <w:rPr>
          <w:rFonts w:ascii="Times New Roman"/>
          <w:color w:val="575757"/>
          <w:spacing w:val="-4"/>
          <w:w w:val="110"/>
          <w:sz w:val="19"/>
        </w:rPr>
        <w:t>, </w:t>
      </w:r>
      <w:r>
        <w:rPr>
          <w:rFonts w:ascii="Times New Roman"/>
          <w:color w:val="363636"/>
          <w:w w:val="110"/>
          <w:sz w:val="19"/>
        </w:rPr>
        <w:t>pending the appointment of a new</w:t>
      </w:r>
      <w:r>
        <w:rPr>
          <w:rFonts w:ascii="Times New Roman"/>
          <w:color w:val="363636"/>
          <w:spacing w:val="-32"/>
          <w:w w:val="110"/>
          <w:sz w:val="19"/>
        </w:rPr>
        <w:t> </w:t>
      </w:r>
      <w:r>
        <w:rPr>
          <w:rFonts w:ascii="Times New Roman"/>
          <w:color w:val="363636"/>
          <w:w w:val="110"/>
          <w:sz w:val="19"/>
        </w:rPr>
        <w:t>Trustee</w:t>
      </w:r>
      <w:r>
        <w:rPr>
          <w:rFonts w:ascii="Times New Roman"/>
          <w:color w:val="363636"/>
          <w:spacing w:val="-12"/>
          <w:w w:val="110"/>
          <w:sz w:val="19"/>
        </w:rPr>
        <w:t> </w:t>
      </w:r>
      <w:r>
        <w:rPr>
          <w:rFonts w:ascii="Times New Roman"/>
          <w:color w:val="363636"/>
          <w:w w:val="110"/>
          <w:sz w:val="19"/>
        </w:rPr>
        <w:t>body</w:t>
      </w:r>
      <w:r>
        <w:rPr>
          <w:rFonts w:ascii="Times New Roman"/>
          <w:color w:val="363636"/>
          <w:spacing w:val="-22"/>
          <w:w w:val="110"/>
          <w:sz w:val="19"/>
        </w:rPr>
        <w:t> </w:t>
      </w:r>
      <w:r>
        <w:rPr>
          <w:rFonts w:ascii="Times New Roman"/>
          <w:color w:val="363636"/>
          <w:w w:val="110"/>
          <w:sz w:val="19"/>
        </w:rPr>
        <w:t>in</w:t>
      </w:r>
      <w:r>
        <w:rPr>
          <w:rFonts w:ascii="Times New Roman"/>
          <w:color w:val="363636"/>
          <w:spacing w:val="-18"/>
          <w:w w:val="110"/>
          <w:sz w:val="19"/>
        </w:rPr>
        <w:t> </w:t>
      </w:r>
      <w:r>
        <w:rPr>
          <w:rFonts w:ascii="Times New Roman"/>
          <w:color w:val="363636"/>
          <w:w w:val="110"/>
          <w:sz w:val="19"/>
        </w:rPr>
        <w:t>2007.</w:t>
      </w:r>
      <w:r>
        <w:rPr>
          <w:rFonts w:ascii="Times New Roman"/>
          <w:color w:val="363636"/>
          <w:spacing w:val="18"/>
          <w:w w:val="110"/>
          <w:sz w:val="19"/>
        </w:rPr>
        <w:t> </w:t>
      </w:r>
      <w:r>
        <w:rPr>
          <w:rFonts w:ascii="Times New Roman"/>
          <w:color w:val="363636"/>
          <w:w w:val="110"/>
          <w:sz w:val="19"/>
        </w:rPr>
        <w:t>The</w:t>
      </w:r>
      <w:r>
        <w:rPr>
          <w:rFonts w:ascii="Times New Roman"/>
          <w:color w:val="363636"/>
          <w:spacing w:val="-16"/>
          <w:w w:val="110"/>
          <w:sz w:val="19"/>
        </w:rPr>
        <w:t> </w:t>
      </w:r>
      <w:r>
        <w:rPr>
          <w:rFonts w:ascii="Times New Roman"/>
          <w:color w:val="363636"/>
          <w:w w:val="110"/>
          <w:sz w:val="19"/>
        </w:rPr>
        <w:t>Moderator</w:t>
      </w:r>
      <w:r>
        <w:rPr>
          <w:rFonts w:ascii="Times New Roman"/>
          <w:color w:val="363636"/>
          <w:spacing w:val="-15"/>
          <w:w w:val="110"/>
          <w:sz w:val="19"/>
        </w:rPr>
        <w:t> </w:t>
      </w:r>
      <w:r>
        <w:rPr>
          <w:rFonts w:ascii="Times New Roman"/>
          <w:color w:val="363636"/>
          <w:w w:val="110"/>
          <w:sz w:val="19"/>
        </w:rPr>
        <w:t>of</w:t>
      </w:r>
      <w:r>
        <w:rPr>
          <w:rFonts w:ascii="Times New Roman"/>
          <w:color w:val="363636"/>
          <w:spacing w:val="-13"/>
          <w:w w:val="110"/>
          <w:sz w:val="19"/>
        </w:rPr>
        <w:t> </w:t>
      </w:r>
      <w:r>
        <w:rPr>
          <w:rFonts w:ascii="Times New Roman"/>
          <w:color w:val="363636"/>
          <w:w w:val="110"/>
          <w:sz w:val="19"/>
        </w:rPr>
        <w:t>General</w:t>
      </w:r>
      <w:r>
        <w:rPr>
          <w:rFonts w:ascii="Times New Roman"/>
          <w:color w:val="363636"/>
          <w:spacing w:val="-12"/>
          <w:w w:val="110"/>
          <w:sz w:val="19"/>
        </w:rPr>
        <w:t> </w:t>
      </w:r>
      <w:r>
        <w:rPr>
          <w:rFonts w:ascii="Times New Roman"/>
          <w:color w:val="363636"/>
          <w:w w:val="110"/>
          <w:sz w:val="19"/>
        </w:rPr>
        <w:t>Assembly,</w:t>
      </w:r>
      <w:r>
        <w:rPr>
          <w:rFonts w:ascii="Times New Roman"/>
          <w:color w:val="363636"/>
          <w:spacing w:val="-16"/>
          <w:w w:val="110"/>
          <w:sz w:val="19"/>
        </w:rPr>
        <w:t> </w:t>
      </w:r>
      <w:r>
        <w:rPr>
          <w:rFonts w:ascii="Times New Roman"/>
          <w:color w:val="1D1D1D"/>
          <w:w w:val="110"/>
          <w:sz w:val="19"/>
        </w:rPr>
        <w:t>the</w:t>
      </w:r>
      <w:r>
        <w:rPr>
          <w:rFonts w:ascii="Times New Roman"/>
          <w:color w:val="1D1D1D"/>
          <w:spacing w:val="-23"/>
          <w:w w:val="110"/>
          <w:sz w:val="19"/>
        </w:rPr>
        <w:t> </w:t>
      </w:r>
      <w:r>
        <w:rPr>
          <w:rFonts w:ascii="Times New Roman"/>
          <w:color w:val="363636"/>
          <w:w w:val="110"/>
          <w:sz w:val="19"/>
        </w:rPr>
        <w:t>General</w:t>
      </w:r>
      <w:r>
        <w:rPr>
          <w:rFonts w:ascii="Times New Roman"/>
          <w:color w:val="363636"/>
          <w:spacing w:val="-18"/>
          <w:w w:val="110"/>
          <w:sz w:val="19"/>
        </w:rPr>
        <w:t> </w:t>
      </w:r>
      <w:r>
        <w:rPr>
          <w:rFonts w:ascii="Times New Roman"/>
          <w:color w:val="363636"/>
          <w:w w:val="110"/>
          <w:sz w:val="19"/>
        </w:rPr>
        <w:t>Secretary</w:t>
      </w:r>
      <w:r>
        <w:rPr>
          <w:rFonts w:ascii="Times New Roman"/>
          <w:color w:val="363636"/>
          <w:spacing w:val="-17"/>
          <w:w w:val="110"/>
          <w:sz w:val="19"/>
        </w:rPr>
        <w:t> </w:t>
      </w:r>
      <w:r>
        <w:rPr>
          <w:rFonts w:ascii="Times New Roman"/>
          <w:color w:val="363636"/>
          <w:w w:val="110"/>
          <w:sz w:val="19"/>
        </w:rPr>
        <w:t>and</w:t>
      </w:r>
      <w:r>
        <w:rPr>
          <w:rFonts w:ascii="Times New Roman"/>
          <w:color w:val="363636"/>
          <w:spacing w:val="-13"/>
          <w:w w:val="110"/>
          <w:sz w:val="19"/>
        </w:rPr>
        <w:t> </w:t>
      </w:r>
      <w:r>
        <w:rPr>
          <w:rFonts w:ascii="Times New Roman"/>
          <w:color w:val="1D1D1D"/>
          <w:w w:val="110"/>
          <w:sz w:val="19"/>
        </w:rPr>
        <w:t>the</w:t>
      </w:r>
      <w:r>
        <w:rPr>
          <w:rFonts w:ascii="Times New Roman"/>
          <w:color w:val="1D1D1D"/>
          <w:spacing w:val="-13"/>
          <w:w w:val="110"/>
          <w:sz w:val="19"/>
        </w:rPr>
        <w:t> </w:t>
      </w:r>
      <w:r>
        <w:rPr>
          <w:rFonts w:ascii="Times New Roman"/>
          <w:color w:val="363636"/>
          <w:w w:val="110"/>
          <w:sz w:val="19"/>
        </w:rPr>
        <w:t>Deputy</w:t>
      </w:r>
      <w:r>
        <w:rPr>
          <w:rFonts w:ascii="Times New Roman"/>
          <w:color w:val="363636"/>
          <w:spacing w:val="-22"/>
          <w:w w:val="110"/>
          <w:sz w:val="19"/>
        </w:rPr>
        <w:t> </w:t>
      </w:r>
      <w:r>
        <w:rPr>
          <w:rFonts w:ascii="Times New Roman"/>
          <w:color w:val="363636"/>
          <w:w w:val="110"/>
          <w:sz w:val="19"/>
        </w:rPr>
        <w:t>General Secretary </w:t>
      </w:r>
      <w:r>
        <w:rPr>
          <w:rFonts w:ascii="Times New Roman"/>
          <w:color w:val="1D1D1D"/>
          <w:w w:val="110"/>
          <w:sz w:val="19"/>
        </w:rPr>
        <w:t>are </w:t>
      </w:r>
      <w:r>
        <w:rPr>
          <w:rFonts w:ascii="Times New Roman"/>
          <w:color w:val="363636"/>
          <w:w w:val="110"/>
          <w:sz w:val="19"/>
        </w:rPr>
        <w:t>expected to be ex-officio members of the </w:t>
      </w:r>
      <w:r>
        <w:rPr>
          <w:rFonts w:ascii="Times New Roman"/>
          <w:color w:val="1D1D1D"/>
          <w:w w:val="110"/>
          <w:sz w:val="19"/>
        </w:rPr>
        <w:t>new </w:t>
      </w:r>
      <w:r>
        <w:rPr>
          <w:rFonts w:ascii="Times New Roman"/>
          <w:color w:val="363636"/>
          <w:w w:val="110"/>
          <w:sz w:val="19"/>
        </w:rPr>
        <w:t>Trustee </w:t>
      </w:r>
      <w:r>
        <w:rPr>
          <w:rFonts w:ascii="Times New Roman"/>
          <w:color w:val="1D1D1D"/>
          <w:w w:val="110"/>
          <w:sz w:val="19"/>
        </w:rPr>
        <w:t>body, </w:t>
      </w:r>
      <w:r>
        <w:rPr>
          <w:rFonts w:ascii="Times New Roman"/>
          <w:color w:val="363636"/>
          <w:w w:val="110"/>
          <w:sz w:val="19"/>
        </w:rPr>
        <w:t>and these </w:t>
      </w:r>
      <w:r>
        <w:rPr>
          <w:rFonts w:ascii="Times New Roman"/>
          <w:color w:val="1D1D1D"/>
          <w:w w:val="110"/>
          <w:sz w:val="19"/>
        </w:rPr>
        <w:t>three persons </w:t>
      </w:r>
      <w:r>
        <w:rPr>
          <w:rFonts w:ascii="Times New Roman"/>
          <w:color w:val="363636"/>
          <w:w w:val="110"/>
          <w:sz w:val="19"/>
        </w:rPr>
        <w:t>are responsible </w:t>
      </w:r>
      <w:r>
        <w:rPr>
          <w:rFonts w:ascii="Times New Roman"/>
          <w:color w:val="1D1D1D"/>
          <w:w w:val="110"/>
          <w:sz w:val="19"/>
        </w:rPr>
        <w:t>for </w:t>
      </w:r>
      <w:r>
        <w:rPr>
          <w:rFonts w:ascii="Times New Roman"/>
          <w:color w:val="363636"/>
          <w:w w:val="110"/>
          <w:sz w:val="19"/>
        </w:rPr>
        <w:t>day to day management of the Church's affairs. The directors of </w:t>
      </w:r>
      <w:r>
        <w:rPr>
          <w:rFonts w:ascii="Times New Roman"/>
          <w:color w:val="1D1D1D"/>
          <w:w w:val="110"/>
          <w:sz w:val="19"/>
        </w:rPr>
        <w:t>the </w:t>
      </w:r>
      <w:r>
        <w:rPr>
          <w:rFonts w:ascii="Times New Roman"/>
          <w:color w:val="363636"/>
          <w:w w:val="110"/>
          <w:sz w:val="19"/>
        </w:rPr>
        <w:t>Trustee have received specific</w:t>
      </w:r>
      <w:r>
        <w:rPr>
          <w:rFonts w:ascii="Times New Roman"/>
          <w:color w:val="363636"/>
          <w:spacing w:val="-16"/>
          <w:w w:val="110"/>
          <w:sz w:val="19"/>
        </w:rPr>
        <w:t> </w:t>
      </w:r>
      <w:r>
        <w:rPr>
          <w:rFonts w:ascii="Times New Roman"/>
          <w:color w:val="363636"/>
          <w:w w:val="110"/>
          <w:sz w:val="19"/>
        </w:rPr>
        <w:t>training</w:t>
      </w:r>
      <w:r>
        <w:rPr>
          <w:rFonts w:ascii="Times New Roman"/>
          <w:color w:val="363636"/>
          <w:spacing w:val="-8"/>
          <w:w w:val="110"/>
          <w:sz w:val="19"/>
        </w:rPr>
        <w:t> </w:t>
      </w:r>
      <w:r>
        <w:rPr>
          <w:rFonts w:ascii="Times New Roman"/>
          <w:color w:val="363636"/>
          <w:w w:val="110"/>
          <w:sz w:val="19"/>
        </w:rPr>
        <w:t>to</w:t>
      </w:r>
      <w:r>
        <w:rPr>
          <w:rFonts w:ascii="Times New Roman"/>
          <w:color w:val="363636"/>
          <w:spacing w:val="-10"/>
          <w:w w:val="110"/>
          <w:sz w:val="19"/>
        </w:rPr>
        <w:t> </w:t>
      </w:r>
      <w:r>
        <w:rPr>
          <w:rFonts w:ascii="Times New Roman"/>
          <w:color w:val="363636"/>
          <w:w w:val="110"/>
          <w:sz w:val="19"/>
        </w:rPr>
        <w:t>assist</w:t>
      </w:r>
      <w:r>
        <w:rPr>
          <w:rFonts w:ascii="Times New Roman"/>
          <w:color w:val="363636"/>
          <w:spacing w:val="-11"/>
          <w:w w:val="110"/>
          <w:sz w:val="19"/>
        </w:rPr>
        <w:t> </w:t>
      </w:r>
      <w:r>
        <w:rPr>
          <w:rFonts w:ascii="Times New Roman"/>
          <w:color w:val="363636"/>
          <w:w w:val="110"/>
          <w:sz w:val="19"/>
        </w:rPr>
        <w:t>in</w:t>
      </w:r>
      <w:r>
        <w:rPr>
          <w:rFonts w:ascii="Times New Roman"/>
          <w:color w:val="363636"/>
          <w:spacing w:val="-8"/>
          <w:w w:val="110"/>
          <w:sz w:val="19"/>
        </w:rPr>
        <w:t> </w:t>
      </w:r>
      <w:r>
        <w:rPr>
          <w:rFonts w:ascii="Times New Roman"/>
          <w:color w:val="363636"/>
          <w:w w:val="110"/>
          <w:sz w:val="19"/>
        </w:rPr>
        <w:t>the</w:t>
      </w:r>
      <w:r>
        <w:rPr>
          <w:rFonts w:ascii="Times New Roman"/>
          <w:color w:val="363636"/>
          <w:spacing w:val="-26"/>
          <w:w w:val="110"/>
          <w:sz w:val="19"/>
        </w:rPr>
        <w:t> </w:t>
      </w:r>
      <w:r>
        <w:rPr>
          <w:rFonts w:ascii="Times New Roman"/>
          <w:color w:val="363636"/>
          <w:w w:val="110"/>
          <w:sz w:val="19"/>
        </w:rPr>
        <w:t>performance</w:t>
      </w:r>
      <w:r>
        <w:rPr>
          <w:rFonts w:ascii="Times New Roman"/>
          <w:color w:val="363636"/>
          <w:spacing w:val="-12"/>
          <w:w w:val="110"/>
          <w:sz w:val="19"/>
        </w:rPr>
        <w:t> </w:t>
      </w:r>
      <w:r>
        <w:rPr>
          <w:rFonts w:ascii="Times New Roman"/>
          <w:color w:val="363636"/>
          <w:w w:val="110"/>
          <w:sz w:val="19"/>
        </w:rPr>
        <w:t>of</w:t>
      </w:r>
      <w:r>
        <w:rPr>
          <w:rFonts w:ascii="Times New Roman"/>
          <w:color w:val="363636"/>
          <w:spacing w:val="-4"/>
          <w:w w:val="110"/>
          <w:sz w:val="19"/>
        </w:rPr>
        <w:t> </w:t>
      </w:r>
      <w:r>
        <w:rPr>
          <w:rFonts w:ascii="Times New Roman"/>
          <w:color w:val="363636"/>
          <w:w w:val="110"/>
          <w:sz w:val="19"/>
        </w:rPr>
        <w:t>their</w:t>
      </w:r>
      <w:r>
        <w:rPr>
          <w:rFonts w:ascii="Times New Roman"/>
          <w:color w:val="363636"/>
          <w:spacing w:val="-14"/>
          <w:w w:val="110"/>
          <w:sz w:val="19"/>
        </w:rPr>
        <w:t> </w:t>
      </w:r>
      <w:r>
        <w:rPr>
          <w:rFonts w:ascii="Times New Roman"/>
          <w:color w:val="363636"/>
          <w:w w:val="110"/>
          <w:sz w:val="19"/>
        </w:rPr>
        <w:t>duties.</w:t>
      </w:r>
    </w:p>
    <w:p>
      <w:pPr>
        <w:spacing w:before="128"/>
        <w:ind w:left="488" w:right="0" w:firstLine="0"/>
        <w:jc w:val="both"/>
        <w:rPr>
          <w:rFonts w:ascii="Times New Roman"/>
          <w:b/>
          <w:sz w:val="19"/>
        </w:rPr>
      </w:pPr>
      <w:r>
        <w:rPr>
          <w:rFonts w:ascii="Times New Roman"/>
          <w:b/>
          <w:color w:val="1D1D1D"/>
          <w:w w:val="105"/>
          <w:sz w:val="19"/>
        </w:rPr>
        <w:t>Risk Management</w:t>
      </w:r>
    </w:p>
    <w:p>
      <w:pPr>
        <w:spacing w:line="252" w:lineRule="auto" w:before="12"/>
        <w:ind w:left="484" w:right="825" w:hanging="9"/>
        <w:jc w:val="both"/>
        <w:rPr>
          <w:rFonts w:ascii="Times New Roman"/>
          <w:sz w:val="19"/>
        </w:rPr>
      </w:pPr>
      <w:r>
        <w:rPr>
          <w:rFonts w:ascii="Times New Roman"/>
          <w:color w:val="1D1D1D"/>
          <w:w w:val="110"/>
          <w:sz w:val="19"/>
        </w:rPr>
        <w:t>The </w:t>
      </w:r>
      <w:r>
        <w:rPr>
          <w:rFonts w:ascii="Times New Roman"/>
          <w:color w:val="363636"/>
          <w:w w:val="110"/>
          <w:sz w:val="19"/>
        </w:rPr>
        <w:t>Trustee </w:t>
      </w:r>
      <w:r>
        <w:rPr>
          <w:rFonts w:ascii="Times New Roman"/>
          <w:color w:val="1D1D1D"/>
          <w:w w:val="110"/>
          <w:sz w:val="19"/>
        </w:rPr>
        <w:t>has undertaken </w:t>
      </w:r>
      <w:r>
        <w:rPr>
          <w:rFonts w:ascii="Times New Roman"/>
          <w:color w:val="363636"/>
          <w:w w:val="110"/>
          <w:sz w:val="19"/>
        </w:rPr>
        <w:t>the annual review of </w:t>
      </w:r>
      <w:r>
        <w:rPr>
          <w:rFonts w:ascii="Times New Roman"/>
          <w:color w:val="1D1D1D"/>
          <w:w w:val="110"/>
          <w:sz w:val="19"/>
        </w:rPr>
        <w:t>risks </w:t>
      </w:r>
      <w:r>
        <w:rPr>
          <w:rFonts w:ascii="Times New Roman"/>
          <w:color w:val="363636"/>
          <w:w w:val="110"/>
          <w:sz w:val="19"/>
        </w:rPr>
        <w:t>with the full co-operation of all areas of the Church affected.</w:t>
      </w:r>
      <w:r>
        <w:rPr>
          <w:rFonts w:ascii="Times New Roman"/>
          <w:color w:val="363636"/>
          <w:spacing w:val="-4"/>
          <w:w w:val="110"/>
          <w:sz w:val="19"/>
        </w:rPr>
        <w:t> </w:t>
      </w:r>
      <w:r>
        <w:rPr>
          <w:rFonts w:ascii="Times New Roman"/>
          <w:color w:val="1D1D1D"/>
          <w:w w:val="110"/>
          <w:sz w:val="19"/>
        </w:rPr>
        <w:t>Those</w:t>
      </w:r>
      <w:r>
        <w:rPr>
          <w:rFonts w:ascii="Times New Roman"/>
          <w:color w:val="1D1D1D"/>
          <w:spacing w:val="-9"/>
          <w:w w:val="110"/>
          <w:sz w:val="19"/>
        </w:rPr>
        <w:t> </w:t>
      </w:r>
      <w:r>
        <w:rPr>
          <w:rFonts w:ascii="Times New Roman"/>
          <w:color w:val="363636"/>
          <w:w w:val="110"/>
          <w:sz w:val="19"/>
        </w:rPr>
        <w:t>areas</w:t>
      </w:r>
      <w:r>
        <w:rPr>
          <w:rFonts w:ascii="Times New Roman"/>
          <w:color w:val="363636"/>
          <w:spacing w:val="-7"/>
          <w:w w:val="110"/>
          <w:sz w:val="19"/>
        </w:rPr>
        <w:t> </w:t>
      </w:r>
      <w:r>
        <w:rPr>
          <w:rFonts w:ascii="Times New Roman"/>
          <w:color w:val="363636"/>
          <w:w w:val="110"/>
          <w:sz w:val="19"/>
        </w:rPr>
        <w:t>with</w:t>
      </w:r>
      <w:r>
        <w:rPr>
          <w:rFonts w:ascii="Times New Roman"/>
          <w:color w:val="363636"/>
          <w:spacing w:val="-10"/>
          <w:w w:val="110"/>
          <w:sz w:val="19"/>
        </w:rPr>
        <w:t> </w:t>
      </w:r>
      <w:r>
        <w:rPr>
          <w:rFonts w:ascii="Times New Roman"/>
          <w:color w:val="363636"/>
          <w:w w:val="110"/>
          <w:sz w:val="19"/>
        </w:rPr>
        <w:t>the</w:t>
      </w:r>
      <w:r>
        <w:rPr>
          <w:rFonts w:ascii="Times New Roman"/>
          <w:color w:val="363636"/>
          <w:spacing w:val="3"/>
          <w:w w:val="110"/>
          <w:sz w:val="19"/>
        </w:rPr>
        <w:t> </w:t>
      </w:r>
      <w:r>
        <w:rPr>
          <w:rFonts w:ascii="Times New Roman"/>
          <w:color w:val="363636"/>
          <w:w w:val="110"/>
          <w:sz w:val="19"/>
        </w:rPr>
        <w:t>highest</w:t>
      </w:r>
      <w:r>
        <w:rPr>
          <w:rFonts w:ascii="Times New Roman"/>
          <w:color w:val="363636"/>
          <w:spacing w:val="-12"/>
          <w:w w:val="110"/>
          <w:sz w:val="19"/>
        </w:rPr>
        <w:t> </w:t>
      </w:r>
      <w:r>
        <w:rPr>
          <w:rFonts w:ascii="Times New Roman"/>
          <w:color w:val="363636"/>
          <w:w w:val="110"/>
          <w:sz w:val="19"/>
        </w:rPr>
        <w:t>risk</w:t>
      </w:r>
      <w:r>
        <w:rPr>
          <w:rFonts w:ascii="Times New Roman"/>
          <w:color w:val="363636"/>
          <w:spacing w:val="-8"/>
          <w:w w:val="110"/>
          <w:sz w:val="19"/>
        </w:rPr>
        <w:t> </w:t>
      </w:r>
      <w:r>
        <w:rPr>
          <w:rFonts w:ascii="Times New Roman"/>
          <w:color w:val="1D1D1D"/>
          <w:w w:val="110"/>
          <w:sz w:val="19"/>
        </w:rPr>
        <w:t>have</w:t>
      </w:r>
      <w:r>
        <w:rPr>
          <w:rFonts w:ascii="Times New Roman"/>
          <w:color w:val="1D1D1D"/>
          <w:spacing w:val="-12"/>
          <w:w w:val="110"/>
          <w:sz w:val="19"/>
        </w:rPr>
        <w:t> </w:t>
      </w:r>
      <w:r>
        <w:rPr>
          <w:rFonts w:ascii="Times New Roman"/>
          <w:color w:val="363636"/>
          <w:w w:val="110"/>
          <w:sz w:val="19"/>
        </w:rPr>
        <w:t>received</w:t>
      </w:r>
      <w:r>
        <w:rPr>
          <w:rFonts w:ascii="Times New Roman"/>
          <w:color w:val="363636"/>
          <w:spacing w:val="-3"/>
          <w:w w:val="110"/>
          <w:sz w:val="19"/>
        </w:rPr>
        <w:t> </w:t>
      </w:r>
      <w:r>
        <w:rPr>
          <w:rFonts w:ascii="Times New Roman"/>
          <w:color w:val="1D1D1D"/>
          <w:w w:val="110"/>
          <w:sz w:val="19"/>
        </w:rPr>
        <w:t>most</w:t>
      </w:r>
      <w:r>
        <w:rPr>
          <w:rFonts w:ascii="Times New Roman"/>
          <w:color w:val="1D1D1D"/>
          <w:spacing w:val="-12"/>
          <w:w w:val="110"/>
          <w:sz w:val="19"/>
        </w:rPr>
        <w:t> </w:t>
      </w:r>
      <w:r>
        <w:rPr>
          <w:rFonts w:ascii="Times New Roman"/>
          <w:color w:val="363636"/>
          <w:w w:val="110"/>
          <w:sz w:val="19"/>
        </w:rPr>
        <w:t>attention</w:t>
      </w:r>
      <w:r>
        <w:rPr>
          <w:rFonts w:ascii="Times New Roman"/>
          <w:color w:val="363636"/>
          <w:spacing w:val="-10"/>
          <w:w w:val="110"/>
          <w:sz w:val="19"/>
        </w:rPr>
        <w:t> </w:t>
      </w:r>
      <w:r>
        <w:rPr>
          <w:rFonts w:ascii="Times New Roman"/>
          <w:color w:val="363636"/>
          <w:w w:val="110"/>
          <w:sz w:val="19"/>
        </w:rPr>
        <w:t>and</w:t>
      </w:r>
      <w:r>
        <w:rPr>
          <w:rFonts w:ascii="Times New Roman"/>
          <w:color w:val="363636"/>
          <w:spacing w:val="-16"/>
          <w:w w:val="110"/>
          <w:sz w:val="19"/>
        </w:rPr>
        <w:t> </w:t>
      </w:r>
      <w:r>
        <w:rPr>
          <w:rFonts w:ascii="Times New Roman"/>
          <w:color w:val="363636"/>
          <w:w w:val="110"/>
          <w:sz w:val="19"/>
        </w:rPr>
        <w:t>steps</w:t>
      </w:r>
      <w:r>
        <w:rPr>
          <w:rFonts w:ascii="Times New Roman"/>
          <w:color w:val="363636"/>
          <w:spacing w:val="-15"/>
          <w:w w:val="110"/>
          <w:sz w:val="19"/>
        </w:rPr>
        <w:t> </w:t>
      </w:r>
      <w:r>
        <w:rPr>
          <w:rFonts w:ascii="Times New Roman"/>
          <w:color w:val="363636"/>
          <w:w w:val="110"/>
          <w:sz w:val="19"/>
        </w:rPr>
        <w:t>have</w:t>
      </w:r>
      <w:r>
        <w:rPr>
          <w:rFonts w:ascii="Times New Roman"/>
          <w:color w:val="363636"/>
          <w:spacing w:val="-18"/>
          <w:w w:val="110"/>
          <w:sz w:val="19"/>
        </w:rPr>
        <w:t> </w:t>
      </w:r>
      <w:r>
        <w:rPr>
          <w:rFonts w:ascii="Times New Roman"/>
          <w:color w:val="363636"/>
          <w:w w:val="110"/>
          <w:sz w:val="19"/>
        </w:rPr>
        <w:t>been</w:t>
      </w:r>
      <w:r>
        <w:rPr>
          <w:rFonts w:ascii="Times New Roman"/>
          <w:color w:val="363636"/>
          <w:spacing w:val="-10"/>
          <w:w w:val="110"/>
          <w:sz w:val="19"/>
        </w:rPr>
        <w:t> </w:t>
      </w:r>
      <w:r>
        <w:rPr>
          <w:rFonts w:ascii="Times New Roman"/>
          <w:color w:val="363636"/>
          <w:w w:val="110"/>
          <w:sz w:val="19"/>
        </w:rPr>
        <w:t>taken</w:t>
      </w:r>
      <w:r>
        <w:rPr>
          <w:rFonts w:ascii="Times New Roman"/>
          <w:color w:val="363636"/>
          <w:spacing w:val="-9"/>
          <w:w w:val="110"/>
          <w:sz w:val="19"/>
        </w:rPr>
        <w:t> </w:t>
      </w:r>
      <w:r>
        <w:rPr>
          <w:rFonts w:ascii="Times New Roman"/>
          <w:color w:val="363636"/>
          <w:w w:val="110"/>
          <w:sz w:val="19"/>
        </w:rPr>
        <w:t>to</w:t>
      </w:r>
      <w:r>
        <w:rPr>
          <w:rFonts w:ascii="Times New Roman"/>
          <w:color w:val="363636"/>
          <w:spacing w:val="-5"/>
          <w:w w:val="110"/>
          <w:sz w:val="19"/>
        </w:rPr>
        <w:t> </w:t>
      </w:r>
      <w:r>
        <w:rPr>
          <w:rFonts w:ascii="Times New Roman"/>
          <w:color w:val="363636"/>
          <w:w w:val="110"/>
          <w:sz w:val="19"/>
        </w:rPr>
        <w:t>minimise </w:t>
      </w:r>
      <w:r>
        <w:rPr>
          <w:rFonts w:ascii="Times New Roman"/>
          <w:color w:val="1D1D1D"/>
          <w:w w:val="110"/>
          <w:sz w:val="19"/>
        </w:rPr>
        <w:t>our</w:t>
      </w:r>
      <w:r>
        <w:rPr>
          <w:rFonts w:ascii="Times New Roman"/>
          <w:color w:val="1D1D1D"/>
          <w:spacing w:val="-23"/>
          <w:w w:val="110"/>
          <w:sz w:val="19"/>
        </w:rPr>
        <w:t> </w:t>
      </w:r>
      <w:r>
        <w:rPr>
          <w:rFonts w:ascii="Times New Roman"/>
          <w:color w:val="363636"/>
          <w:w w:val="110"/>
          <w:sz w:val="19"/>
        </w:rPr>
        <w:t>exposure</w:t>
      </w:r>
      <w:r>
        <w:rPr>
          <w:rFonts w:ascii="Times New Roman"/>
          <w:color w:val="363636"/>
          <w:spacing w:val="-12"/>
          <w:w w:val="110"/>
          <w:sz w:val="19"/>
        </w:rPr>
        <w:t> </w:t>
      </w:r>
      <w:r>
        <w:rPr>
          <w:rFonts w:ascii="Times New Roman"/>
          <w:color w:val="363636"/>
          <w:w w:val="110"/>
          <w:sz w:val="19"/>
        </w:rPr>
        <w:t>and</w:t>
      </w:r>
      <w:r>
        <w:rPr>
          <w:rFonts w:ascii="Times New Roman"/>
          <w:color w:val="363636"/>
          <w:spacing w:val="-4"/>
          <w:w w:val="110"/>
          <w:sz w:val="19"/>
        </w:rPr>
        <w:t> </w:t>
      </w:r>
      <w:r>
        <w:rPr>
          <w:rFonts w:ascii="Times New Roman"/>
          <w:color w:val="1D1D1D"/>
          <w:w w:val="110"/>
          <w:sz w:val="19"/>
        </w:rPr>
        <w:t>to</w:t>
      </w:r>
      <w:r>
        <w:rPr>
          <w:rFonts w:ascii="Times New Roman"/>
          <w:color w:val="1D1D1D"/>
          <w:spacing w:val="-12"/>
          <w:w w:val="110"/>
          <w:sz w:val="19"/>
        </w:rPr>
        <w:t> </w:t>
      </w:r>
      <w:r>
        <w:rPr>
          <w:rFonts w:ascii="Times New Roman"/>
          <w:color w:val="363636"/>
          <w:w w:val="110"/>
          <w:sz w:val="19"/>
        </w:rPr>
        <w:t>have</w:t>
      </w:r>
      <w:r>
        <w:rPr>
          <w:rFonts w:ascii="Times New Roman"/>
          <w:color w:val="363636"/>
          <w:spacing w:val="-27"/>
          <w:w w:val="110"/>
          <w:sz w:val="19"/>
        </w:rPr>
        <w:t> </w:t>
      </w:r>
      <w:r>
        <w:rPr>
          <w:rFonts w:ascii="Times New Roman"/>
          <w:color w:val="363636"/>
          <w:w w:val="110"/>
          <w:sz w:val="19"/>
        </w:rPr>
        <w:t>effective</w:t>
      </w:r>
      <w:r>
        <w:rPr>
          <w:rFonts w:ascii="Times New Roman"/>
          <w:color w:val="363636"/>
          <w:spacing w:val="-26"/>
          <w:w w:val="110"/>
          <w:sz w:val="19"/>
        </w:rPr>
        <w:t> </w:t>
      </w:r>
      <w:r>
        <w:rPr>
          <w:rFonts w:ascii="Times New Roman"/>
          <w:color w:val="363636"/>
          <w:w w:val="110"/>
          <w:sz w:val="19"/>
        </w:rPr>
        <w:t>systems</w:t>
      </w:r>
      <w:r>
        <w:rPr>
          <w:rFonts w:ascii="Times New Roman"/>
          <w:color w:val="363636"/>
          <w:spacing w:val="-22"/>
          <w:w w:val="110"/>
          <w:sz w:val="19"/>
        </w:rPr>
        <w:t> </w:t>
      </w:r>
      <w:r>
        <w:rPr>
          <w:rFonts w:ascii="Times New Roman"/>
          <w:color w:val="363636"/>
          <w:w w:val="110"/>
          <w:sz w:val="19"/>
        </w:rPr>
        <w:t>in</w:t>
      </w:r>
      <w:r>
        <w:rPr>
          <w:rFonts w:ascii="Times New Roman"/>
          <w:color w:val="363636"/>
          <w:spacing w:val="-12"/>
          <w:w w:val="110"/>
          <w:sz w:val="19"/>
        </w:rPr>
        <w:t> </w:t>
      </w:r>
      <w:r>
        <w:rPr>
          <w:rFonts w:ascii="Times New Roman"/>
          <w:color w:val="363636"/>
          <w:w w:val="110"/>
          <w:sz w:val="19"/>
        </w:rPr>
        <w:t>place</w:t>
      </w:r>
      <w:r>
        <w:rPr>
          <w:rFonts w:ascii="Times New Roman"/>
          <w:color w:val="363636"/>
          <w:spacing w:val="-15"/>
          <w:w w:val="110"/>
          <w:sz w:val="19"/>
        </w:rPr>
        <w:t> </w:t>
      </w:r>
      <w:r>
        <w:rPr>
          <w:rFonts w:ascii="Times New Roman"/>
          <w:color w:val="363636"/>
          <w:w w:val="110"/>
          <w:sz w:val="19"/>
        </w:rPr>
        <w:t>where</w:t>
      </w:r>
      <w:r>
        <w:rPr>
          <w:rFonts w:ascii="Times New Roman"/>
          <w:color w:val="363636"/>
          <w:spacing w:val="-12"/>
          <w:w w:val="110"/>
          <w:sz w:val="19"/>
        </w:rPr>
        <w:t> </w:t>
      </w:r>
      <w:r>
        <w:rPr>
          <w:rFonts w:ascii="Times New Roman"/>
          <w:color w:val="363636"/>
          <w:w w:val="110"/>
          <w:sz w:val="19"/>
        </w:rPr>
        <w:t>needed.</w:t>
      </w:r>
      <w:r>
        <w:rPr>
          <w:rFonts w:ascii="Times New Roman"/>
          <w:color w:val="363636"/>
          <w:spacing w:val="-12"/>
          <w:w w:val="110"/>
          <w:sz w:val="19"/>
        </w:rPr>
        <w:t> </w:t>
      </w:r>
      <w:r>
        <w:rPr>
          <w:rFonts w:ascii="Times New Roman"/>
          <w:color w:val="363636"/>
          <w:w w:val="110"/>
          <w:sz w:val="20"/>
        </w:rPr>
        <w:t>It</w:t>
      </w:r>
      <w:r>
        <w:rPr>
          <w:rFonts w:ascii="Times New Roman"/>
          <w:color w:val="363636"/>
          <w:spacing w:val="-22"/>
          <w:w w:val="110"/>
          <w:sz w:val="20"/>
        </w:rPr>
        <w:t> </w:t>
      </w:r>
      <w:r>
        <w:rPr>
          <w:rFonts w:ascii="Times New Roman"/>
          <w:color w:val="363636"/>
          <w:w w:val="110"/>
          <w:sz w:val="19"/>
        </w:rPr>
        <w:t>is</w:t>
      </w:r>
      <w:r>
        <w:rPr>
          <w:rFonts w:ascii="Times New Roman"/>
          <w:color w:val="363636"/>
          <w:spacing w:val="-18"/>
          <w:w w:val="110"/>
          <w:sz w:val="19"/>
        </w:rPr>
        <w:t> </w:t>
      </w:r>
      <w:r>
        <w:rPr>
          <w:rFonts w:ascii="Times New Roman"/>
          <w:color w:val="363636"/>
          <w:w w:val="110"/>
          <w:sz w:val="19"/>
        </w:rPr>
        <w:t>satisfied</w:t>
      </w:r>
      <w:r>
        <w:rPr>
          <w:rFonts w:ascii="Times New Roman"/>
          <w:color w:val="363636"/>
          <w:spacing w:val="-5"/>
          <w:w w:val="110"/>
          <w:sz w:val="19"/>
        </w:rPr>
        <w:t> </w:t>
      </w:r>
      <w:r>
        <w:rPr>
          <w:rFonts w:ascii="Times New Roman"/>
          <w:color w:val="363636"/>
          <w:w w:val="110"/>
          <w:sz w:val="19"/>
        </w:rPr>
        <w:t>that</w:t>
      </w:r>
      <w:r>
        <w:rPr>
          <w:rFonts w:ascii="Times New Roman"/>
          <w:color w:val="363636"/>
          <w:spacing w:val="-25"/>
          <w:w w:val="110"/>
          <w:sz w:val="19"/>
        </w:rPr>
        <w:t> </w:t>
      </w:r>
      <w:r>
        <w:rPr>
          <w:rFonts w:ascii="Times New Roman"/>
          <w:color w:val="363636"/>
          <w:w w:val="110"/>
          <w:sz w:val="19"/>
        </w:rPr>
        <w:t>proper</w:t>
      </w:r>
      <w:r>
        <w:rPr>
          <w:rFonts w:ascii="Times New Roman"/>
          <w:color w:val="363636"/>
          <w:spacing w:val="-19"/>
          <w:w w:val="110"/>
          <w:sz w:val="19"/>
        </w:rPr>
        <w:t> </w:t>
      </w:r>
      <w:r>
        <w:rPr>
          <w:rFonts w:ascii="Times New Roman"/>
          <w:color w:val="363636"/>
          <w:w w:val="110"/>
          <w:sz w:val="19"/>
        </w:rPr>
        <w:t>controls</w:t>
      </w:r>
      <w:r>
        <w:rPr>
          <w:rFonts w:ascii="Times New Roman"/>
          <w:color w:val="363636"/>
          <w:spacing w:val="-14"/>
          <w:w w:val="110"/>
          <w:sz w:val="19"/>
        </w:rPr>
        <w:t> </w:t>
      </w:r>
      <w:r>
        <w:rPr>
          <w:rFonts w:ascii="Times New Roman"/>
          <w:color w:val="363636"/>
          <w:w w:val="110"/>
          <w:sz w:val="19"/>
        </w:rPr>
        <w:t>are</w:t>
      </w:r>
      <w:r>
        <w:rPr>
          <w:rFonts w:ascii="Times New Roman"/>
          <w:color w:val="363636"/>
          <w:spacing w:val="-10"/>
          <w:w w:val="110"/>
          <w:sz w:val="19"/>
        </w:rPr>
        <w:t> </w:t>
      </w:r>
      <w:r>
        <w:rPr>
          <w:rFonts w:ascii="Times New Roman"/>
          <w:color w:val="363636"/>
          <w:w w:val="110"/>
          <w:sz w:val="19"/>
        </w:rPr>
        <w:t>in</w:t>
      </w:r>
      <w:r>
        <w:rPr>
          <w:rFonts w:ascii="Times New Roman"/>
          <w:color w:val="363636"/>
          <w:spacing w:val="-16"/>
          <w:w w:val="110"/>
          <w:sz w:val="19"/>
        </w:rPr>
        <w:t> </w:t>
      </w:r>
      <w:r>
        <w:rPr>
          <w:rFonts w:ascii="Times New Roman"/>
          <w:color w:val="363636"/>
          <w:w w:val="110"/>
          <w:sz w:val="19"/>
        </w:rPr>
        <w:t>place for</w:t>
      </w:r>
      <w:r>
        <w:rPr>
          <w:rFonts w:ascii="Times New Roman"/>
          <w:color w:val="363636"/>
          <w:spacing w:val="-24"/>
          <w:w w:val="110"/>
          <w:sz w:val="19"/>
        </w:rPr>
        <w:t> </w:t>
      </w:r>
      <w:r>
        <w:rPr>
          <w:rFonts w:ascii="Times New Roman"/>
          <w:color w:val="363636"/>
          <w:w w:val="110"/>
          <w:sz w:val="19"/>
        </w:rPr>
        <w:t>monitoring</w:t>
      </w:r>
      <w:r>
        <w:rPr>
          <w:rFonts w:ascii="Times New Roman"/>
          <w:color w:val="363636"/>
          <w:spacing w:val="-12"/>
          <w:w w:val="110"/>
          <w:sz w:val="19"/>
        </w:rPr>
        <w:t> </w:t>
      </w:r>
      <w:r>
        <w:rPr>
          <w:rFonts w:ascii="Times New Roman"/>
          <w:color w:val="363636"/>
          <w:w w:val="110"/>
          <w:sz w:val="19"/>
        </w:rPr>
        <w:t>and</w:t>
      </w:r>
      <w:r>
        <w:rPr>
          <w:rFonts w:ascii="Times New Roman"/>
          <w:color w:val="363636"/>
          <w:spacing w:val="-3"/>
          <w:w w:val="110"/>
          <w:sz w:val="19"/>
        </w:rPr>
        <w:t> </w:t>
      </w:r>
      <w:r>
        <w:rPr>
          <w:rFonts w:ascii="Times New Roman"/>
          <w:color w:val="363636"/>
          <w:w w:val="110"/>
          <w:sz w:val="19"/>
        </w:rPr>
        <w:t>mitigating</w:t>
      </w:r>
      <w:r>
        <w:rPr>
          <w:rFonts w:ascii="Times New Roman"/>
          <w:color w:val="363636"/>
          <w:spacing w:val="-11"/>
          <w:w w:val="110"/>
          <w:sz w:val="19"/>
        </w:rPr>
        <w:t> </w:t>
      </w:r>
      <w:r>
        <w:rPr>
          <w:rFonts w:ascii="Times New Roman"/>
          <w:color w:val="363636"/>
          <w:w w:val="110"/>
          <w:sz w:val="19"/>
        </w:rPr>
        <w:t>these</w:t>
      </w:r>
      <w:r>
        <w:rPr>
          <w:rFonts w:ascii="Times New Roman"/>
          <w:color w:val="363636"/>
          <w:spacing w:val="-16"/>
          <w:w w:val="110"/>
          <w:sz w:val="19"/>
        </w:rPr>
        <w:t> </w:t>
      </w:r>
      <w:r>
        <w:rPr>
          <w:rFonts w:ascii="Times New Roman"/>
          <w:color w:val="363636"/>
          <w:w w:val="110"/>
          <w:sz w:val="19"/>
        </w:rPr>
        <w:t>risks.</w:t>
      </w:r>
      <w:r>
        <w:rPr>
          <w:rFonts w:ascii="Times New Roman"/>
          <w:color w:val="363636"/>
          <w:spacing w:val="24"/>
          <w:w w:val="110"/>
          <w:sz w:val="19"/>
        </w:rPr>
        <w:t> </w:t>
      </w:r>
      <w:r>
        <w:rPr>
          <w:rFonts w:ascii="Times New Roman"/>
          <w:color w:val="1D1D1D"/>
          <w:w w:val="110"/>
          <w:sz w:val="19"/>
        </w:rPr>
        <w:t>The</w:t>
      </w:r>
      <w:r>
        <w:rPr>
          <w:rFonts w:ascii="Times New Roman"/>
          <w:color w:val="1D1D1D"/>
          <w:spacing w:val="-22"/>
          <w:w w:val="110"/>
          <w:sz w:val="19"/>
        </w:rPr>
        <w:t> </w:t>
      </w:r>
      <w:r>
        <w:rPr>
          <w:rFonts w:ascii="Times New Roman"/>
          <w:color w:val="363636"/>
          <w:w w:val="110"/>
          <w:sz w:val="19"/>
        </w:rPr>
        <w:t>main</w:t>
      </w:r>
      <w:r>
        <w:rPr>
          <w:rFonts w:ascii="Times New Roman"/>
          <w:color w:val="363636"/>
          <w:spacing w:val="-15"/>
          <w:w w:val="110"/>
          <w:sz w:val="19"/>
        </w:rPr>
        <w:t> </w:t>
      </w:r>
      <w:r>
        <w:rPr>
          <w:rFonts w:ascii="Times New Roman"/>
          <w:color w:val="363636"/>
          <w:w w:val="110"/>
          <w:sz w:val="19"/>
        </w:rPr>
        <w:t>risks</w:t>
      </w:r>
      <w:r>
        <w:rPr>
          <w:rFonts w:ascii="Times New Roman"/>
          <w:color w:val="363636"/>
          <w:spacing w:val="-20"/>
          <w:w w:val="110"/>
          <w:sz w:val="19"/>
        </w:rPr>
        <w:t> </w:t>
      </w:r>
      <w:r>
        <w:rPr>
          <w:rFonts w:ascii="Times New Roman"/>
          <w:color w:val="363636"/>
          <w:w w:val="110"/>
          <w:sz w:val="19"/>
        </w:rPr>
        <w:t>the</w:t>
      </w:r>
      <w:r>
        <w:rPr>
          <w:rFonts w:ascii="Times New Roman"/>
          <w:color w:val="363636"/>
          <w:spacing w:val="-25"/>
          <w:w w:val="110"/>
          <w:sz w:val="19"/>
        </w:rPr>
        <w:t> </w:t>
      </w:r>
      <w:r>
        <w:rPr>
          <w:rFonts w:ascii="Times New Roman"/>
          <w:color w:val="363636"/>
          <w:w w:val="110"/>
          <w:sz w:val="19"/>
        </w:rPr>
        <w:t>Church</w:t>
      </w:r>
      <w:r>
        <w:rPr>
          <w:rFonts w:ascii="Times New Roman"/>
          <w:color w:val="363636"/>
          <w:spacing w:val="-17"/>
          <w:w w:val="110"/>
          <w:sz w:val="19"/>
        </w:rPr>
        <w:t> </w:t>
      </w:r>
      <w:r>
        <w:rPr>
          <w:rFonts w:ascii="Times New Roman"/>
          <w:color w:val="363636"/>
          <w:w w:val="110"/>
          <w:sz w:val="19"/>
        </w:rPr>
        <w:t>faces</w:t>
      </w:r>
      <w:r>
        <w:rPr>
          <w:rFonts w:ascii="Times New Roman"/>
          <w:color w:val="363636"/>
          <w:spacing w:val="-25"/>
          <w:w w:val="110"/>
          <w:sz w:val="19"/>
        </w:rPr>
        <w:t> </w:t>
      </w:r>
      <w:r>
        <w:rPr>
          <w:rFonts w:ascii="Times New Roman"/>
          <w:color w:val="363636"/>
          <w:w w:val="110"/>
          <w:sz w:val="19"/>
        </w:rPr>
        <w:t>can</w:t>
      </w:r>
      <w:r>
        <w:rPr>
          <w:rFonts w:ascii="Times New Roman"/>
          <w:color w:val="363636"/>
          <w:spacing w:val="-23"/>
          <w:w w:val="110"/>
          <w:sz w:val="19"/>
        </w:rPr>
        <w:t> </w:t>
      </w:r>
      <w:r>
        <w:rPr>
          <w:rFonts w:ascii="Times New Roman"/>
          <w:color w:val="363636"/>
          <w:w w:val="110"/>
          <w:sz w:val="19"/>
        </w:rPr>
        <w:t>be</w:t>
      </w:r>
      <w:r>
        <w:rPr>
          <w:rFonts w:ascii="Times New Roman"/>
          <w:color w:val="363636"/>
          <w:spacing w:val="-7"/>
          <w:w w:val="110"/>
          <w:sz w:val="19"/>
        </w:rPr>
        <w:t> </w:t>
      </w:r>
      <w:r>
        <w:rPr>
          <w:rFonts w:ascii="Times New Roman"/>
          <w:color w:val="363636"/>
          <w:w w:val="110"/>
          <w:sz w:val="19"/>
        </w:rPr>
        <w:t>categorised</w:t>
      </w:r>
      <w:r>
        <w:rPr>
          <w:rFonts w:ascii="Times New Roman"/>
          <w:color w:val="363636"/>
          <w:spacing w:val="-5"/>
          <w:w w:val="110"/>
          <w:sz w:val="19"/>
        </w:rPr>
        <w:t> </w:t>
      </w:r>
      <w:r>
        <w:rPr>
          <w:rFonts w:ascii="Times New Roman"/>
          <w:color w:val="1D1D1D"/>
          <w:w w:val="110"/>
          <w:sz w:val="19"/>
        </w:rPr>
        <w:t>as:</w:t>
      </w:r>
    </w:p>
    <w:p>
      <w:pPr>
        <w:pStyle w:val="ListParagraph"/>
        <w:numPr>
          <w:ilvl w:val="0"/>
          <w:numId w:val="214"/>
        </w:numPr>
        <w:tabs>
          <w:tab w:pos="831" w:val="left" w:leader="none"/>
          <w:tab w:pos="832" w:val="left" w:leader="none"/>
        </w:tabs>
        <w:spacing w:line="240" w:lineRule="auto" w:before="138" w:after="0"/>
        <w:ind w:left="831" w:right="0" w:hanging="351"/>
        <w:jc w:val="left"/>
        <w:rPr>
          <w:rFonts w:ascii="Times New Roman" w:hAnsi="Times New Roman"/>
          <w:sz w:val="19"/>
        </w:rPr>
      </w:pPr>
      <w:r>
        <w:rPr>
          <w:rFonts w:ascii="Times New Roman" w:hAnsi="Times New Roman"/>
          <w:color w:val="363636"/>
          <w:w w:val="110"/>
          <w:sz w:val="19"/>
        </w:rPr>
        <w:t>Governance</w:t>
      </w:r>
      <w:r>
        <w:rPr>
          <w:rFonts w:ascii="Times New Roman" w:hAnsi="Times New Roman"/>
          <w:color w:val="363636"/>
          <w:spacing w:val="-1"/>
          <w:w w:val="110"/>
          <w:sz w:val="19"/>
        </w:rPr>
        <w:t> </w:t>
      </w:r>
      <w:r>
        <w:rPr>
          <w:rFonts w:ascii="Times New Roman" w:hAnsi="Times New Roman"/>
          <w:color w:val="363636"/>
          <w:w w:val="110"/>
          <w:sz w:val="19"/>
        </w:rPr>
        <w:t>risks</w:t>
      </w:r>
    </w:p>
    <w:p>
      <w:pPr>
        <w:pStyle w:val="ListParagraph"/>
        <w:numPr>
          <w:ilvl w:val="0"/>
          <w:numId w:val="214"/>
        </w:numPr>
        <w:tabs>
          <w:tab w:pos="834" w:val="left" w:leader="none"/>
          <w:tab w:pos="835" w:val="left" w:leader="none"/>
        </w:tabs>
        <w:spacing w:line="240" w:lineRule="auto" w:before="32" w:after="0"/>
        <w:ind w:left="834" w:right="0" w:hanging="354"/>
        <w:jc w:val="left"/>
        <w:rPr>
          <w:rFonts w:ascii="Times New Roman" w:hAnsi="Times New Roman"/>
          <w:sz w:val="19"/>
        </w:rPr>
      </w:pPr>
      <w:r>
        <w:rPr>
          <w:rFonts w:ascii="Times New Roman" w:hAnsi="Times New Roman"/>
          <w:color w:val="363636"/>
          <w:w w:val="110"/>
          <w:sz w:val="19"/>
        </w:rPr>
        <w:t>External</w:t>
      </w:r>
      <w:r>
        <w:rPr>
          <w:rFonts w:ascii="Times New Roman" w:hAnsi="Times New Roman"/>
          <w:color w:val="363636"/>
          <w:spacing w:val="-8"/>
          <w:w w:val="110"/>
          <w:sz w:val="19"/>
        </w:rPr>
        <w:t> </w:t>
      </w:r>
      <w:r>
        <w:rPr>
          <w:rFonts w:ascii="Times New Roman" w:hAnsi="Times New Roman"/>
          <w:color w:val="1D1D1D"/>
          <w:w w:val="110"/>
          <w:sz w:val="19"/>
        </w:rPr>
        <w:t>risks</w:t>
      </w:r>
    </w:p>
    <w:p>
      <w:pPr>
        <w:pStyle w:val="ListParagraph"/>
        <w:numPr>
          <w:ilvl w:val="0"/>
          <w:numId w:val="214"/>
        </w:numPr>
        <w:tabs>
          <w:tab w:pos="835" w:val="left" w:leader="none"/>
          <w:tab w:pos="836" w:val="left" w:leader="none"/>
        </w:tabs>
        <w:spacing w:line="240" w:lineRule="auto" w:before="32" w:after="0"/>
        <w:ind w:left="835" w:right="0" w:hanging="355"/>
        <w:jc w:val="left"/>
        <w:rPr>
          <w:rFonts w:ascii="Times New Roman" w:hAnsi="Times New Roman"/>
          <w:sz w:val="19"/>
        </w:rPr>
      </w:pPr>
      <w:r>
        <w:rPr>
          <w:rFonts w:ascii="Times New Roman" w:hAnsi="Times New Roman"/>
          <w:color w:val="363636"/>
          <w:w w:val="110"/>
          <w:sz w:val="19"/>
        </w:rPr>
        <w:t>Financial</w:t>
      </w:r>
      <w:r>
        <w:rPr>
          <w:rFonts w:ascii="Times New Roman" w:hAnsi="Times New Roman"/>
          <w:color w:val="363636"/>
          <w:spacing w:val="-6"/>
          <w:w w:val="110"/>
          <w:sz w:val="19"/>
        </w:rPr>
        <w:t> </w:t>
      </w:r>
      <w:r>
        <w:rPr>
          <w:rFonts w:ascii="Times New Roman" w:hAnsi="Times New Roman"/>
          <w:color w:val="363636"/>
          <w:w w:val="110"/>
          <w:sz w:val="19"/>
        </w:rPr>
        <w:t>risks</w:t>
      </w:r>
    </w:p>
    <w:p>
      <w:pPr>
        <w:pStyle w:val="ListParagraph"/>
        <w:numPr>
          <w:ilvl w:val="0"/>
          <w:numId w:val="214"/>
        </w:numPr>
        <w:tabs>
          <w:tab w:pos="831" w:val="left" w:leader="none"/>
          <w:tab w:pos="832" w:val="left" w:leader="none"/>
        </w:tabs>
        <w:spacing w:line="240" w:lineRule="auto" w:before="22" w:after="0"/>
        <w:ind w:left="831" w:right="0" w:hanging="361"/>
        <w:jc w:val="left"/>
        <w:rPr>
          <w:rFonts w:ascii="Times New Roman" w:hAnsi="Times New Roman"/>
          <w:sz w:val="19"/>
        </w:rPr>
      </w:pPr>
      <w:r>
        <w:rPr>
          <w:rFonts w:ascii="Times New Roman" w:hAnsi="Times New Roman"/>
          <w:color w:val="363636"/>
          <w:w w:val="110"/>
          <w:sz w:val="19"/>
        </w:rPr>
        <w:t>Operational</w:t>
      </w:r>
      <w:r>
        <w:rPr>
          <w:rFonts w:ascii="Times New Roman" w:hAnsi="Times New Roman"/>
          <w:color w:val="363636"/>
          <w:spacing w:val="-6"/>
          <w:w w:val="110"/>
          <w:sz w:val="19"/>
        </w:rPr>
        <w:t> </w:t>
      </w:r>
      <w:r>
        <w:rPr>
          <w:rFonts w:ascii="Times New Roman" w:hAnsi="Times New Roman"/>
          <w:color w:val="1D1D1D"/>
          <w:w w:val="110"/>
          <w:sz w:val="19"/>
        </w:rPr>
        <w:t>risks</w:t>
      </w:r>
    </w:p>
    <w:p>
      <w:pPr>
        <w:pStyle w:val="ListParagraph"/>
        <w:numPr>
          <w:ilvl w:val="0"/>
          <w:numId w:val="214"/>
        </w:numPr>
        <w:tabs>
          <w:tab w:pos="831" w:val="left" w:leader="none"/>
          <w:tab w:pos="832" w:val="left" w:leader="none"/>
        </w:tabs>
        <w:spacing w:line="240" w:lineRule="auto" w:before="32" w:after="0"/>
        <w:ind w:left="831" w:right="0" w:hanging="361"/>
        <w:jc w:val="left"/>
        <w:rPr>
          <w:rFonts w:ascii="Times New Roman" w:hAnsi="Times New Roman"/>
          <w:sz w:val="19"/>
        </w:rPr>
      </w:pPr>
      <w:r>
        <w:rPr>
          <w:rFonts w:ascii="Times New Roman" w:hAnsi="Times New Roman"/>
          <w:color w:val="363636"/>
          <w:w w:val="110"/>
          <w:sz w:val="19"/>
        </w:rPr>
        <w:t>Compliance</w:t>
      </w:r>
      <w:r>
        <w:rPr>
          <w:rFonts w:ascii="Times New Roman" w:hAnsi="Times New Roman"/>
          <w:color w:val="363636"/>
          <w:spacing w:val="9"/>
          <w:w w:val="110"/>
          <w:sz w:val="19"/>
        </w:rPr>
        <w:t> </w:t>
      </w:r>
      <w:r>
        <w:rPr>
          <w:rFonts w:ascii="Times New Roman" w:hAnsi="Times New Roman"/>
          <w:color w:val="363636"/>
          <w:w w:val="110"/>
          <w:sz w:val="19"/>
        </w:rPr>
        <w:t>with</w:t>
      </w:r>
      <w:r>
        <w:rPr>
          <w:rFonts w:ascii="Times New Roman" w:hAnsi="Times New Roman"/>
          <w:color w:val="363636"/>
          <w:spacing w:val="-26"/>
          <w:w w:val="110"/>
          <w:sz w:val="19"/>
        </w:rPr>
        <w:t> </w:t>
      </w:r>
      <w:r>
        <w:rPr>
          <w:rFonts w:ascii="Times New Roman" w:hAnsi="Times New Roman"/>
          <w:color w:val="1D1D1D"/>
          <w:w w:val="110"/>
          <w:sz w:val="19"/>
        </w:rPr>
        <w:t>laws</w:t>
      </w:r>
      <w:r>
        <w:rPr>
          <w:rFonts w:ascii="Times New Roman" w:hAnsi="Times New Roman"/>
          <w:color w:val="1D1D1D"/>
          <w:spacing w:val="-23"/>
          <w:w w:val="110"/>
          <w:sz w:val="19"/>
        </w:rPr>
        <w:t> </w:t>
      </w:r>
      <w:r>
        <w:rPr>
          <w:rFonts w:ascii="Times New Roman" w:hAnsi="Times New Roman"/>
          <w:color w:val="363636"/>
          <w:w w:val="110"/>
          <w:sz w:val="19"/>
        </w:rPr>
        <w:t>and</w:t>
      </w:r>
      <w:r>
        <w:rPr>
          <w:rFonts w:ascii="Times New Roman" w:hAnsi="Times New Roman"/>
          <w:color w:val="363636"/>
          <w:spacing w:val="-20"/>
          <w:w w:val="110"/>
          <w:sz w:val="19"/>
        </w:rPr>
        <w:t> </w:t>
      </w:r>
      <w:r>
        <w:rPr>
          <w:rFonts w:ascii="Times New Roman" w:hAnsi="Times New Roman"/>
          <w:color w:val="363636"/>
          <w:w w:val="110"/>
          <w:sz w:val="19"/>
        </w:rPr>
        <w:t>regulations.</w:t>
      </w:r>
    </w:p>
    <w:p>
      <w:pPr>
        <w:pStyle w:val="BodyText"/>
        <w:rPr>
          <w:rFonts w:ascii="Times New Roman"/>
          <w:sz w:val="22"/>
        </w:rPr>
      </w:pPr>
    </w:p>
    <w:p>
      <w:pPr>
        <w:spacing w:before="0"/>
        <w:ind w:left="473" w:right="0" w:firstLine="0"/>
        <w:jc w:val="left"/>
        <w:rPr>
          <w:rFonts w:ascii="Times New Roman"/>
          <w:b/>
          <w:sz w:val="22"/>
        </w:rPr>
      </w:pPr>
      <w:bookmarkStart w:name="_TOC_250017" w:id="4"/>
      <w:bookmarkEnd w:id="4"/>
      <w:r>
        <w:rPr>
          <w:rFonts w:ascii="Times New Roman"/>
          <w:b/>
          <w:color w:val="1D1D1D"/>
          <w:sz w:val="22"/>
        </w:rPr>
        <w:t>OBJECTIVES AND ACTIVITIES</w:t>
      </w:r>
    </w:p>
    <w:p>
      <w:pPr>
        <w:spacing w:line="256" w:lineRule="auto" w:before="132"/>
        <w:ind w:left="471" w:right="940" w:hanging="5"/>
        <w:jc w:val="left"/>
        <w:rPr>
          <w:rFonts w:ascii="Times New Roman"/>
          <w:sz w:val="19"/>
        </w:rPr>
      </w:pPr>
      <w:r>
        <w:rPr>
          <w:rFonts w:ascii="Times New Roman"/>
          <w:color w:val="363636"/>
          <w:w w:val="105"/>
          <w:sz w:val="19"/>
        </w:rPr>
        <w:t>The United </w:t>
      </w:r>
      <w:r>
        <w:rPr>
          <w:rFonts w:ascii="Times New Roman"/>
          <w:color w:val="1D1D1D"/>
          <w:w w:val="105"/>
          <w:sz w:val="19"/>
        </w:rPr>
        <w:t>Reformed </w:t>
      </w:r>
      <w:r>
        <w:rPr>
          <w:rFonts w:ascii="Times New Roman"/>
          <w:color w:val="363636"/>
          <w:w w:val="105"/>
          <w:sz w:val="19"/>
        </w:rPr>
        <w:t>Church is part of the church </w:t>
      </w:r>
      <w:r>
        <w:rPr>
          <w:rFonts w:ascii="Times New Roman"/>
          <w:color w:val="1D1D1D"/>
          <w:w w:val="105"/>
          <w:sz w:val="19"/>
        </w:rPr>
        <w:t>universal. </w:t>
      </w:r>
      <w:r>
        <w:rPr>
          <w:rFonts w:ascii="Times New Roman"/>
          <w:color w:val="363636"/>
          <w:w w:val="105"/>
          <w:sz w:val="19"/>
        </w:rPr>
        <w:t>As such its aim is to proclaim the </w:t>
      </w:r>
      <w:r>
        <w:rPr>
          <w:rFonts w:ascii="Times New Roman"/>
          <w:color w:val="1D1D1D"/>
          <w:w w:val="105"/>
          <w:sz w:val="19"/>
        </w:rPr>
        <w:t>love </w:t>
      </w:r>
      <w:r>
        <w:rPr>
          <w:rFonts w:ascii="Times New Roman"/>
          <w:color w:val="363636"/>
          <w:w w:val="105"/>
          <w:sz w:val="19"/>
        </w:rPr>
        <w:t>of God </w:t>
      </w:r>
      <w:r>
        <w:rPr>
          <w:rFonts w:ascii="Times New Roman"/>
          <w:color w:val="1D1D1D"/>
          <w:w w:val="105"/>
          <w:sz w:val="19"/>
        </w:rPr>
        <w:t>in Jesus </w:t>
      </w:r>
      <w:r>
        <w:rPr>
          <w:rFonts w:ascii="Times New Roman"/>
          <w:color w:val="363636"/>
          <w:w w:val="105"/>
          <w:sz w:val="19"/>
        </w:rPr>
        <w:t>Christ </w:t>
      </w:r>
      <w:r>
        <w:rPr>
          <w:rFonts w:ascii="Times New Roman"/>
          <w:color w:val="1D1D1D"/>
          <w:w w:val="105"/>
          <w:sz w:val="19"/>
        </w:rPr>
        <w:t>in </w:t>
      </w:r>
      <w:r>
        <w:rPr>
          <w:rFonts w:ascii="Times New Roman"/>
          <w:color w:val="363636"/>
          <w:w w:val="105"/>
          <w:sz w:val="19"/>
        </w:rPr>
        <w:t>word and deed. A main strategy to achieve that aim is </w:t>
      </w:r>
      <w:r>
        <w:rPr>
          <w:rFonts w:ascii="Times New Roman"/>
          <w:color w:val="1D1D1D"/>
          <w:w w:val="105"/>
          <w:sz w:val="19"/>
        </w:rPr>
        <w:t>the </w:t>
      </w:r>
      <w:r>
        <w:rPr>
          <w:rFonts w:ascii="Times New Roman"/>
          <w:color w:val="363636"/>
          <w:w w:val="105"/>
          <w:sz w:val="19"/>
        </w:rPr>
        <w:t>provision of </w:t>
      </w:r>
      <w:r>
        <w:rPr>
          <w:rFonts w:ascii="Times New Roman"/>
          <w:color w:val="1D1D1D"/>
          <w:w w:val="105"/>
          <w:sz w:val="19"/>
        </w:rPr>
        <w:t>public </w:t>
      </w:r>
      <w:r>
        <w:rPr>
          <w:rFonts w:ascii="Times New Roman"/>
          <w:color w:val="363636"/>
          <w:w w:val="105"/>
          <w:sz w:val="19"/>
        </w:rPr>
        <w:t>worship in viable congregations across </w:t>
      </w:r>
      <w:r>
        <w:rPr>
          <w:rFonts w:ascii="Times New Roman"/>
          <w:color w:val="1D1D1D"/>
          <w:w w:val="105"/>
          <w:sz w:val="19"/>
        </w:rPr>
        <w:t>the </w:t>
      </w:r>
      <w:r>
        <w:rPr>
          <w:rFonts w:ascii="Times New Roman"/>
          <w:color w:val="363636"/>
          <w:w w:val="105"/>
          <w:sz w:val="19"/>
        </w:rPr>
        <w:t>three nations of England, Scotland and Wales. This is increasingly carried out in partnership with ecumenical colleagues, particularly the </w:t>
      </w:r>
      <w:r>
        <w:rPr>
          <w:rFonts w:ascii="Times New Roman"/>
          <w:color w:val="1D1D1D"/>
          <w:w w:val="105"/>
          <w:sz w:val="19"/>
        </w:rPr>
        <w:t>Methodist </w:t>
      </w:r>
      <w:r>
        <w:rPr>
          <w:rFonts w:ascii="Times New Roman"/>
          <w:color w:val="363636"/>
          <w:w w:val="105"/>
          <w:sz w:val="19"/>
        </w:rPr>
        <w:t>Church with whom we have over four hundred shared congregation</w:t>
      </w:r>
      <w:r>
        <w:rPr>
          <w:rFonts w:ascii="Times New Roman"/>
          <w:color w:val="575757"/>
          <w:w w:val="105"/>
          <w:sz w:val="19"/>
        </w:rPr>
        <w:t>.</w:t>
      </w:r>
      <w:r>
        <w:rPr>
          <w:rFonts w:ascii="Times New Roman"/>
          <w:color w:val="363636"/>
          <w:w w:val="105"/>
          <w:sz w:val="19"/>
        </w:rPr>
        <w:t>s</w:t>
      </w:r>
    </w:p>
    <w:p>
      <w:pPr>
        <w:spacing w:line="259" w:lineRule="auto" w:before="130"/>
        <w:ind w:left="470" w:right="865" w:firstLine="0"/>
        <w:jc w:val="left"/>
        <w:rPr>
          <w:rFonts w:ascii="Times New Roman"/>
          <w:sz w:val="19"/>
        </w:rPr>
      </w:pPr>
      <w:r>
        <w:rPr>
          <w:rFonts w:ascii="Times New Roman"/>
          <w:color w:val="363636"/>
          <w:w w:val="110"/>
          <w:sz w:val="19"/>
        </w:rPr>
        <w:t>As the 'Catch the Vision' prayer states, we are 'God's people', being 'transformed by </w:t>
      </w:r>
      <w:r>
        <w:rPr>
          <w:rFonts w:ascii="Times New Roman"/>
          <w:color w:val="1D1D1D"/>
          <w:w w:val="110"/>
          <w:sz w:val="19"/>
        </w:rPr>
        <w:t>the </w:t>
      </w:r>
      <w:r>
        <w:rPr>
          <w:rFonts w:ascii="Times New Roman"/>
          <w:color w:val="363636"/>
          <w:w w:val="110"/>
          <w:sz w:val="19"/>
        </w:rPr>
        <w:t>gospel' </w:t>
      </w:r>
      <w:r>
        <w:rPr>
          <w:rFonts w:ascii="Times New Roman"/>
          <w:color w:val="1D1D1D"/>
          <w:w w:val="110"/>
          <w:sz w:val="19"/>
        </w:rPr>
        <w:t>in </w:t>
      </w:r>
      <w:r>
        <w:rPr>
          <w:rFonts w:ascii="Times New Roman"/>
          <w:color w:val="363636"/>
          <w:w w:val="110"/>
          <w:sz w:val="19"/>
        </w:rPr>
        <w:t>order to 'make</w:t>
      </w:r>
      <w:r>
        <w:rPr>
          <w:rFonts w:ascii="Times New Roman"/>
          <w:color w:val="363636"/>
          <w:spacing w:val="-24"/>
          <w:w w:val="110"/>
          <w:sz w:val="19"/>
        </w:rPr>
        <w:t> </w:t>
      </w:r>
      <w:r>
        <w:rPr>
          <w:rFonts w:ascii="Times New Roman"/>
          <w:color w:val="363636"/>
          <w:w w:val="110"/>
          <w:sz w:val="19"/>
        </w:rPr>
        <w:t>a</w:t>
      </w:r>
      <w:r>
        <w:rPr>
          <w:rFonts w:ascii="Times New Roman"/>
          <w:color w:val="363636"/>
          <w:spacing w:val="-16"/>
          <w:w w:val="110"/>
          <w:sz w:val="19"/>
        </w:rPr>
        <w:t> </w:t>
      </w:r>
      <w:r>
        <w:rPr>
          <w:rFonts w:ascii="Times New Roman"/>
          <w:color w:val="363636"/>
          <w:w w:val="110"/>
          <w:sz w:val="19"/>
        </w:rPr>
        <w:t>difference'.</w:t>
      </w:r>
      <w:r>
        <w:rPr>
          <w:rFonts w:ascii="Times New Roman"/>
          <w:color w:val="363636"/>
          <w:spacing w:val="-19"/>
          <w:w w:val="110"/>
          <w:sz w:val="19"/>
        </w:rPr>
        <w:t> </w:t>
      </w:r>
      <w:r>
        <w:rPr>
          <w:rFonts w:ascii="Times New Roman"/>
          <w:color w:val="363636"/>
          <w:w w:val="110"/>
          <w:sz w:val="19"/>
        </w:rPr>
        <w:t>That</w:t>
      </w:r>
      <w:r>
        <w:rPr>
          <w:rFonts w:ascii="Times New Roman"/>
          <w:color w:val="363636"/>
          <w:spacing w:val="-21"/>
          <w:w w:val="110"/>
          <w:sz w:val="19"/>
        </w:rPr>
        <w:t> </w:t>
      </w:r>
      <w:r>
        <w:rPr>
          <w:rFonts w:ascii="Times New Roman"/>
          <w:color w:val="363636"/>
          <w:w w:val="110"/>
          <w:sz w:val="19"/>
        </w:rPr>
        <w:t>'difference'</w:t>
      </w:r>
      <w:r>
        <w:rPr>
          <w:rFonts w:ascii="Times New Roman"/>
          <w:color w:val="363636"/>
          <w:spacing w:val="-3"/>
          <w:w w:val="110"/>
          <w:sz w:val="19"/>
        </w:rPr>
        <w:t> </w:t>
      </w:r>
      <w:r>
        <w:rPr>
          <w:rFonts w:ascii="Times New Roman"/>
          <w:color w:val="363636"/>
          <w:w w:val="110"/>
          <w:sz w:val="19"/>
        </w:rPr>
        <w:t>is</w:t>
      </w:r>
      <w:r>
        <w:rPr>
          <w:rFonts w:ascii="Times New Roman"/>
          <w:color w:val="363636"/>
          <w:spacing w:val="-18"/>
          <w:w w:val="110"/>
          <w:sz w:val="19"/>
        </w:rPr>
        <w:t> </w:t>
      </w:r>
      <w:r>
        <w:rPr>
          <w:rFonts w:ascii="Times New Roman"/>
          <w:color w:val="363636"/>
          <w:w w:val="110"/>
          <w:sz w:val="19"/>
        </w:rPr>
        <w:t>being</w:t>
      </w:r>
      <w:r>
        <w:rPr>
          <w:rFonts w:ascii="Times New Roman"/>
          <w:color w:val="363636"/>
          <w:spacing w:val="-18"/>
          <w:w w:val="110"/>
          <w:sz w:val="19"/>
        </w:rPr>
        <w:t> </w:t>
      </w:r>
      <w:r>
        <w:rPr>
          <w:rFonts w:ascii="Times New Roman"/>
          <w:color w:val="363636"/>
          <w:w w:val="110"/>
          <w:sz w:val="19"/>
        </w:rPr>
        <w:t>made</w:t>
      </w:r>
      <w:r>
        <w:rPr>
          <w:rFonts w:ascii="Times New Roman"/>
          <w:color w:val="363636"/>
          <w:spacing w:val="-14"/>
          <w:w w:val="110"/>
          <w:sz w:val="19"/>
        </w:rPr>
        <w:t> </w:t>
      </w:r>
      <w:r>
        <w:rPr>
          <w:rFonts w:ascii="Times New Roman"/>
          <w:color w:val="363636"/>
          <w:w w:val="110"/>
          <w:sz w:val="19"/>
        </w:rPr>
        <w:t>in</w:t>
      </w:r>
      <w:r>
        <w:rPr>
          <w:rFonts w:ascii="Times New Roman"/>
          <w:color w:val="363636"/>
          <w:spacing w:val="-4"/>
          <w:w w:val="110"/>
          <w:sz w:val="19"/>
        </w:rPr>
        <w:t> </w:t>
      </w:r>
      <w:r>
        <w:rPr>
          <w:rFonts w:ascii="Times New Roman"/>
          <w:color w:val="363636"/>
          <w:w w:val="110"/>
          <w:sz w:val="19"/>
        </w:rPr>
        <w:t>many</w:t>
      </w:r>
      <w:r>
        <w:rPr>
          <w:rFonts w:ascii="Times New Roman"/>
          <w:color w:val="363636"/>
          <w:spacing w:val="-22"/>
          <w:w w:val="110"/>
          <w:sz w:val="19"/>
        </w:rPr>
        <w:t> </w:t>
      </w:r>
      <w:r>
        <w:rPr>
          <w:rFonts w:ascii="Times New Roman"/>
          <w:color w:val="363636"/>
          <w:w w:val="110"/>
          <w:sz w:val="19"/>
        </w:rPr>
        <w:t>ways,</w:t>
      </w:r>
      <w:r>
        <w:rPr>
          <w:rFonts w:ascii="Times New Roman"/>
          <w:color w:val="363636"/>
          <w:spacing w:val="-20"/>
          <w:w w:val="110"/>
          <w:sz w:val="19"/>
        </w:rPr>
        <w:t> </w:t>
      </w:r>
      <w:r>
        <w:rPr>
          <w:rFonts w:ascii="Times New Roman"/>
          <w:color w:val="363636"/>
          <w:w w:val="110"/>
          <w:sz w:val="19"/>
        </w:rPr>
        <w:t>from</w:t>
      </w:r>
      <w:r>
        <w:rPr>
          <w:rFonts w:ascii="Times New Roman"/>
          <w:color w:val="363636"/>
          <w:spacing w:val="-26"/>
          <w:w w:val="110"/>
          <w:sz w:val="19"/>
        </w:rPr>
        <w:t> </w:t>
      </w:r>
      <w:r>
        <w:rPr>
          <w:rFonts w:ascii="Times New Roman"/>
          <w:color w:val="363636"/>
          <w:w w:val="110"/>
          <w:sz w:val="19"/>
        </w:rPr>
        <w:t>the</w:t>
      </w:r>
      <w:r>
        <w:rPr>
          <w:rFonts w:ascii="Times New Roman"/>
          <w:color w:val="363636"/>
          <w:spacing w:val="-20"/>
          <w:w w:val="110"/>
          <w:sz w:val="19"/>
        </w:rPr>
        <w:t> </w:t>
      </w:r>
      <w:r>
        <w:rPr>
          <w:rFonts w:ascii="Times New Roman"/>
          <w:color w:val="363636"/>
          <w:w w:val="110"/>
          <w:sz w:val="19"/>
        </w:rPr>
        <w:t>preaching</w:t>
      </w:r>
      <w:r>
        <w:rPr>
          <w:rFonts w:ascii="Times New Roman"/>
          <w:color w:val="363636"/>
          <w:spacing w:val="-19"/>
          <w:w w:val="110"/>
          <w:sz w:val="19"/>
        </w:rPr>
        <w:t> </w:t>
      </w:r>
      <w:r>
        <w:rPr>
          <w:rFonts w:ascii="Times New Roman"/>
          <w:color w:val="363636"/>
          <w:w w:val="110"/>
          <w:sz w:val="19"/>
        </w:rPr>
        <w:t>of</w:t>
      </w:r>
      <w:r>
        <w:rPr>
          <w:rFonts w:ascii="Times New Roman"/>
          <w:color w:val="363636"/>
          <w:spacing w:val="-8"/>
          <w:w w:val="110"/>
          <w:sz w:val="19"/>
        </w:rPr>
        <w:t> </w:t>
      </w:r>
      <w:r>
        <w:rPr>
          <w:rFonts w:ascii="Times New Roman"/>
          <w:color w:val="363636"/>
          <w:w w:val="110"/>
          <w:sz w:val="19"/>
        </w:rPr>
        <w:t>the</w:t>
      </w:r>
      <w:r>
        <w:rPr>
          <w:rFonts w:ascii="Times New Roman"/>
          <w:color w:val="363636"/>
          <w:spacing w:val="-26"/>
          <w:w w:val="110"/>
          <w:sz w:val="19"/>
        </w:rPr>
        <w:t> </w:t>
      </w:r>
      <w:r>
        <w:rPr>
          <w:rFonts w:ascii="Times New Roman"/>
          <w:color w:val="363636"/>
          <w:w w:val="110"/>
          <w:sz w:val="19"/>
        </w:rPr>
        <w:t>gospel,</w:t>
      </w:r>
      <w:r>
        <w:rPr>
          <w:rFonts w:ascii="Times New Roman"/>
          <w:color w:val="363636"/>
          <w:spacing w:val="-15"/>
          <w:w w:val="110"/>
          <w:sz w:val="19"/>
        </w:rPr>
        <w:t> </w:t>
      </w:r>
      <w:r>
        <w:rPr>
          <w:rFonts w:ascii="Times New Roman"/>
          <w:color w:val="363636"/>
          <w:w w:val="110"/>
          <w:sz w:val="19"/>
        </w:rPr>
        <w:t>through</w:t>
      </w:r>
      <w:r>
        <w:rPr>
          <w:rFonts w:ascii="Times New Roman"/>
          <w:color w:val="363636"/>
          <w:spacing w:val="-10"/>
          <w:w w:val="110"/>
          <w:sz w:val="19"/>
        </w:rPr>
        <w:t> </w:t>
      </w:r>
      <w:r>
        <w:rPr>
          <w:rFonts w:ascii="Times New Roman"/>
          <w:color w:val="363636"/>
          <w:w w:val="110"/>
          <w:sz w:val="19"/>
        </w:rPr>
        <w:t>the pastoral care which helps individuals manage the </w:t>
      </w:r>
      <w:r>
        <w:rPr>
          <w:rFonts w:ascii="Times New Roman"/>
          <w:color w:val="1D1D1D"/>
          <w:w w:val="110"/>
          <w:sz w:val="19"/>
        </w:rPr>
        <w:t>traumas </w:t>
      </w:r>
      <w:r>
        <w:rPr>
          <w:rFonts w:ascii="Times New Roman"/>
          <w:color w:val="363636"/>
          <w:w w:val="110"/>
          <w:sz w:val="19"/>
        </w:rPr>
        <w:t>and transitions ofl ife</w:t>
      </w:r>
      <w:r>
        <w:rPr>
          <w:rFonts w:ascii="Times New Roman"/>
          <w:color w:val="575757"/>
          <w:w w:val="110"/>
          <w:sz w:val="19"/>
        </w:rPr>
        <w:t>, </w:t>
      </w:r>
      <w:r>
        <w:rPr>
          <w:rFonts w:ascii="Times New Roman"/>
          <w:color w:val="363636"/>
          <w:w w:val="110"/>
          <w:sz w:val="19"/>
        </w:rPr>
        <w:t>to the community building undertaken </w:t>
      </w:r>
      <w:r>
        <w:rPr>
          <w:rFonts w:ascii="Times New Roman"/>
          <w:color w:val="1D1D1D"/>
          <w:w w:val="110"/>
          <w:sz w:val="19"/>
        </w:rPr>
        <w:t>by </w:t>
      </w:r>
      <w:r>
        <w:rPr>
          <w:rFonts w:ascii="Times New Roman"/>
          <w:color w:val="363636"/>
          <w:w w:val="110"/>
          <w:sz w:val="19"/>
        </w:rPr>
        <w:t>our Church Related Community Workers, and the funds that we raise to reduce world poverty through</w:t>
      </w:r>
      <w:r>
        <w:rPr>
          <w:rFonts w:ascii="Times New Roman"/>
          <w:color w:val="363636"/>
          <w:spacing w:val="-12"/>
          <w:w w:val="110"/>
          <w:sz w:val="19"/>
        </w:rPr>
        <w:t> </w:t>
      </w:r>
      <w:r>
        <w:rPr>
          <w:rFonts w:ascii="Times New Roman"/>
          <w:color w:val="363636"/>
          <w:w w:val="110"/>
          <w:sz w:val="19"/>
        </w:rPr>
        <w:t>'Commitment</w:t>
      </w:r>
      <w:r>
        <w:rPr>
          <w:rFonts w:ascii="Times New Roman"/>
          <w:color w:val="363636"/>
          <w:spacing w:val="-13"/>
          <w:w w:val="110"/>
          <w:sz w:val="19"/>
        </w:rPr>
        <w:t> </w:t>
      </w:r>
      <w:r>
        <w:rPr>
          <w:rFonts w:ascii="Times New Roman"/>
          <w:color w:val="363636"/>
          <w:w w:val="110"/>
          <w:sz w:val="19"/>
        </w:rPr>
        <w:t>for</w:t>
      </w:r>
      <w:r>
        <w:rPr>
          <w:rFonts w:ascii="Times New Roman"/>
          <w:color w:val="363636"/>
          <w:spacing w:val="-24"/>
          <w:w w:val="110"/>
          <w:sz w:val="19"/>
        </w:rPr>
        <w:t> </w:t>
      </w:r>
      <w:r>
        <w:rPr>
          <w:rFonts w:ascii="Times New Roman"/>
          <w:color w:val="1D1D1D"/>
          <w:w w:val="110"/>
          <w:sz w:val="19"/>
        </w:rPr>
        <w:t>Life'.</w:t>
      </w:r>
      <w:r>
        <w:rPr>
          <w:rFonts w:ascii="Times New Roman"/>
          <w:color w:val="1D1D1D"/>
          <w:spacing w:val="-23"/>
          <w:w w:val="110"/>
          <w:sz w:val="19"/>
        </w:rPr>
        <w:t> </w:t>
      </w:r>
      <w:r>
        <w:rPr>
          <w:rFonts w:ascii="Times New Roman"/>
          <w:color w:val="363636"/>
          <w:w w:val="110"/>
          <w:sz w:val="19"/>
        </w:rPr>
        <w:t>We</w:t>
      </w:r>
      <w:r>
        <w:rPr>
          <w:rFonts w:ascii="Times New Roman"/>
          <w:color w:val="363636"/>
          <w:spacing w:val="-31"/>
          <w:w w:val="110"/>
          <w:sz w:val="19"/>
        </w:rPr>
        <w:t> </w:t>
      </w:r>
      <w:r>
        <w:rPr>
          <w:rFonts w:ascii="Times New Roman"/>
          <w:color w:val="363636"/>
          <w:w w:val="110"/>
          <w:sz w:val="19"/>
        </w:rPr>
        <w:t>would</w:t>
      </w:r>
      <w:r>
        <w:rPr>
          <w:rFonts w:ascii="Times New Roman"/>
          <w:color w:val="363636"/>
          <w:spacing w:val="-19"/>
          <w:w w:val="110"/>
          <w:sz w:val="19"/>
        </w:rPr>
        <w:t> </w:t>
      </w:r>
      <w:r>
        <w:rPr>
          <w:rFonts w:ascii="Times New Roman"/>
          <w:color w:val="1D1D1D"/>
          <w:w w:val="110"/>
          <w:sz w:val="19"/>
        </w:rPr>
        <w:t>draw</w:t>
      </w:r>
      <w:r>
        <w:rPr>
          <w:rFonts w:ascii="Times New Roman"/>
          <w:color w:val="1D1D1D"/>
          <w:spacing w:val="-24"/>
          <w:w w:val="110"/>
          <w:sz w:val="19"/>
        </w:rPr>
        <w:t> </w:t>
      </w:r>
      <w:r>
        <w:rPr>
          <w:rFonts w:ascii="Times New Roman"/>
          <w:color w:val="363636"/>
          <w:w w:val="110"/>
          <w:sz w:val="19"/>
        </w:rPr>
        <w:t>particular</w:t>
      </w:r>
      <w:r>
        <w:rPr>
          <w:rFonts w:ascii="Times New Roman"/>
          <w:color w:val="363636"/>
          <w:spacing w:val="-18"/>
          <w:w w:val="110"/>
          <w:sz w:val="19"/>
        </w:rPr>
        <w:t> </w:t>
      </w:r>
      <w:r>
        <w:rPr>
          <w:rFonts w:ascii="Times New Roman"/>
          <w:color w:val="363636"/>
          <w:w w:val="110"/>
          <w:sz w:val="19"/>
        </w:rPr>
        <w:t>attention</w:t>
      </w:r>
      <w:r>
        <w:rPr>
          <w:rFonts w:ascii="Times New Roman"/>
          <w:color w:val="363636"/>
          <w:spacing w:val="-24"/>
          <w:w w:val="110"/>
          <w:sz w:val="19"/>
        </w:rPr>
        <w:t> </w:t>
      </w:r>
      <w:r>
        <w:rPr>
          <w:rFonts w:ascii="Times New Roman"/>
          <w:color w:val="363636"/>
          <w:w w:val="110"/>
          <w:sz w:val="19"/>
        </w:rPr>
        <w:t>to</w:t>
      </w:r>
      <w:r>
        <w:rPr>
          <w:rFonts w:ascii="Times New Roman"/>
          <w:color w:val="363636"/>
          <w:spacing w:val="-13"/>
          <w:w w:val="110"/>
          <w:sz w:val="19"/>
        </w:rPr>
        <w:t> </w:t>
      </w:r>
      <w:r>
        <w:rPr>
          <w:rFonts w:ascii="Times New Roman"/>
          <w:color w:val="1D1D1D"/>
          <w:w w:val="110"/>
          <w:sz w:val="19"/>
        </w:rPr>
        <w:t>the</w:t>
      </w:r>
      <w:r>
        <w:rPr>
          <w:rFonts w:ascii="Times New Roman"/>
          <w:color w:val="1D1D1D"/>
          <w:spacing w:val="-31"/>
          <w:w w:val="110"/>
          <w:sz w:val="19"/>
        </w:rPr>
        <w:t> </w:t>
      </w:r>
      <w:r>
        <w:rPr>
          <w:rFonts w:ascii="Times New Roman"/>
          <w:color w:val="363636"/>
          <w:w w:val="110"/>
          <w:sz w:val="19"/>
        </w:rPr>
        <w:t>success</w:t>
      </w:r>
      <w:r>
        <w:rPr>
          <w:rFonts w:ascii="Times New Roman"/>
          <w:color w:val="363636"/>
          <w:spacing w:val="-20"/>
          <w:w w:val="110"/>
          <w:sz w:val="19"/>
        </w:rPr>
        <w:t> </w:t>
      </w:r>
      <w:r>
        <w:rPr>
          <w:rFonts w:ascii="Times New Roman"/>
          <w:color w:val="1D1D1D"/>
          <w:w w:val="110"/>
          <w:sz w:val="19"/>
        </w:rPr>
        <w:t>of</w:t>
      </w:r>
      <w:r>
        <w:rPr>
          <w:rFonts w:ascii="Times New Roman"/>
          <w:color w:val="1D1D1D"/>
          <w:spacing w:val="-20"/>
          <w:w w:val="110"/>
          <w:sz w:val="19"/>
        </w:rPr>
        <w:t> </w:t>
      </w:r>
      <w:r>
        <w:rPr>
          <w:rFonts w:ascii="Times New Roman"/>
          <w:color w:val="363636"/>
          <w:w w:val="110"/>
          <w:sz w:val="19"/>
        </w:rPr>
        <w:t>the</w:t>
      </w:r>
      <w:r>
        <w:rPr>
          <w:rFonts w:ascii="Times New Roman"/>
          <w:color w:val="363636"/>
          <w:spacing w:val="-21"/>
          <w:w w:val="110"/>
          <w:sz w:val="19"/>
        </w:rPr>
        <w:t> </w:t>
      </w:r>
      <w:r>
        <w:rPr>
          <w:rFonts w:ascii="Times New Roman"/>
          <w:color w:val="363636"/>
          <w:w w:val="110"/>
          <w:sz w:val="19"/>
        </w:rPr>
        <w:t>latter,</w:t>
      </w:r>
      <w:r>
        <w:rPr>
          <w:rFonts w:ascii="Times New Roman"/>
          <w:color w:val="363636"/>
          <w:spacing w:val="-17"/>
          <w:w w:val="110"/>
          <w:sz w:val="19"/>
        </w:rPr>
        <w:t> </w:t>
      </w:r>
      <w:r>
        <w:rPr>
          <w:rFonts w:ascii="Times New Roman"/>
          <w:color w:val="363636"/>
          <w:w w:val="110"/>
          <w:sz w:val="19"/>
        </w:rPr>
        <w:t>which</w:t>
      </w:r>
      <w:r>
        <w:rPr>
          <w:rFonts w:ascii="Times New Roman"/>
          <w:color w:val="363636"/>
          <w:spacing w:val="-25"/>
          <w:w w:val="110"/>
          <w:sz w:val="19"/>
        </w:rPr>
        <w:t> </w:t>
      </w:r>
      <w:r>
        <w:rPr>
          <w:rFonts w:ascii="Times New Roman"/>
          <w:color w:val="1D1D1D"/>
          <w:w w:val="110"/>
          <w:sz w:val="19"/>
        </w:rPr>
        <w:t>has</w:t>
      </w:r>
      <w:r>
        <w:rPr>
          <w:rFonts w:ascii="Times New Roman"/>
          <w:color w:val="1D1D1D"/>
          <w:spacing w:val="-11"/>
          <w:w w:val="110"/>
          <w:sz w:val="19"/>
        </w:rPr>
        <w:t> </w:t>
      </w:r>
      <w:r>
        <w:rPr>
          <w:rFonts w:ascii="Times New Roman"/>
          <w:color w:val="363636"/>
          <w:w w:val="110"/>
          <w:sz w:val="19"/>
        </w:rPr>
        <w:t>raised</w:t>
      </w:r>
    </w:p>
    <w:p>
      <w:pPr>
        <w:spacing w:before="3"/>
        <w:ind w:left="466" w:right="0" w:firstLine="0"/>
        <w:jc w:val="left"/>
        <w:rPr>
          <w:rFonts w:ascii="Times New Roman" w:hAnsi="Times New Roman"/>
          <w:sz w:val="19"/>
        </w:rPr>
      </w:pPr>
      <w:r>
        <w:rPr>
          <w:rFonts w:ascii="Times New Roman" w:hAnsi="Times New Roman"/>
          <w:color w:val="363636"/>
          <w:w w:val="110"/>
          <w:sz w:val="19"/>
        </w:rPr>
        <w:t>£560,000 </w:t>
      </w:r>
      <w:r>
        <w:rPr>
          <w:rFonts w:ascii="Times New Roman" w:hAnsi="Times New Roman"/>
          <w:color w:val="1D1D1D"/>
          <w:w w:val="110"/>
          <w:sz w:val="19"/>
        </w:rPr>
        <w:t>this </w:t>
      </w:r>
      <w:r>
        <w:rPr>
          <w:rFonts w:ascii="Times New Roman" w:hAnsi="Times New Roman"/>
          <w:color w:val="363636"/>
          <w:w w:val="110"/>
          <w:sz w:val="19"/>
        </w:rPr>
        <w:t>year.</w:t>
      </w:r>
    </w:p>
    <w:p>
      <w:pPr>
        <w:pStyle w:val="BodyText"/>
        <w:spacing w:before="11"/>
        <w:rPr>
          <w:rFonts w:ascii="Times New Roman"/>
          <w:sz w:val="22"/>
        </w:rPr>
      </w:pPr>
    </w:p>
    <w:p>
      <w:pPr>
        <w:spacing w:before="0"/>
        <w:ind w:left="470" w:right="0" w:firstLine="0"/>
        <w:jc w:val="left"/>
        <w:rPr>
          <w:rFonts w:ascii="Times New Roman"/>
          <w:b/>
          <w:sz w:val="22"/>
        </w:rPr>
      </w:pPr>
      <w:r>
        <w:rPr>
          <w:rFonts w:ascii="Times New Roman"/>
          <w:b/>
          <w:color w:val="1D1D1D"/>
          <w:w w:val="105"/>
          <w:sz w:val="22"/>
        </w:rPr>
        <w:t>ACIDEVEMENTSANDPERFORMANCE</w:t>
      </w:r>
    </w:p>
    <w:p>
      <w:pPr>
        <w:spacing w:line="254" w:lineRule="auto" w:before="131"/>
        <w:ind w:left="457" w:right="940" w:firstLine="4"/>
        <w:jc w:val="left"/>
        <w:rPr>
          <w:rFonts w:ascii="Times New Roman"/>
          <w:sz w:val="19"/>
        </w:rPr>
      </w:pPr>
      <w:r>
        <w:rPr>
          <w:rFonts w:ascii="Times New Roman"/>
          <w:color w:val="363636"/>
          <w:w w:val="105"/>
          <w:sz w:val="19"/>
        </w:rPr>
        <w:t>A detailed </w:t>
      </w:r>
      <w:r>
        <w:rPr>
          <w:rFonts w:ascii="Times New Roman"/>
          <w:b/>
          <w:color w:val="1D1D1D"/>
          <w:w w:val="105"/>
          <w:sz w:val="19"/>
        </w:rPr>
        <w:t>review </w:t>
      </w:r>
      <w:r>
        <w:rPr>
          <w:rFonts w:ascii="Times New Roman"/>
          <w:color w:val="363636"/>
          <w:w w:val="105"/>
          <w:sz w:val="19"/>
        </w:rPr>
        <w:t>of </w:t>
      </w:r>
      <w:r>
        <w:rPr>
          <w:rFonts w:ascii="Times New Roman"/>
          <w:color w:val="1D1D1D"/>
          <w:w w:val="105"/>
          <w:sz w:val="19"/>
        </w:rPr>
        <w:t>the </w:t>
      </w:r>
      <w:r>
        <w:rPr>
          <w:rFonts w:ascii="Times New Roman"/>
          <w:color w:val="363636"/>
          <w:w w:val="105"/>
          <w:sz w:val="19"/>
        </w:rPr>
        <w:t>work and activities of Mission Council and the General Assembly Standing committees is incorporated </w:t>
      </w:r>
      <w:r>
        <w:rPr>
          <w:rFonts w:ascii="Times New Roman"/>
          <w:color w:val="1D1D1D"/>
          <w:w w:val="105"/>
          <w:sz w:val="19"/>
        </w:rPr>
        <w:t>in the </w:t>
      </w:r>
      <w:r>
        <w:rPr>
          <w:rFonts w:ascii="Times New Roman"/>
          <w:color w:val="363636"/>
          <w:w w:val="105"/>
          <w:sz w:val="19"/>
        </w:rPr>
        <w:t>Book of Annual </w:t>
      </w:r>
      <w:r>
        <w:rPr>
          <w:rFonts w:ascii="Times New Roman"/>
          <w:color w:val="1D1D1D"/>
          <w:w w:val="105"/>
          <w:sz w:val="19"/>
        </w:rPr>
        <w:t>Reports</w:t>
      </w:r>
      <w:r>
        <w:rPr>
          <w:rFonts w:ascii="Times New Roman"/>
          <w:color w:val="575757"/>
          <w:w w:val="105"/>
          <w:sz w:val="19"/>
        </w:rPr>
        <w:t>, </w:t>
      </w:r>
      <w:r>
        <w:rPr>
          <w:rFonts w:ascii="Times New Roman"/>
          <w:color w:val="1D1D1D"/>
          <w:w w:val="105"/>
          <w:sz w:val="19"/>
        </w:rPr>
        <w:t>Resolutions </w:t>
      </w:r>
      <w:r>
        <w:rPr>
          <w:rFonts w:ascii="Times New Roman"/>
          <w:color w:val="363636"/>
          <w:w w:val="105"/>
          <w:sz w:val="19"/>
        </w:rPr>
        <w:t>and Papers to Gene</w:t>
      </w:r>
      <w:r>
        <w:rPr>
          <w:rFonts w:ascii="Times New Roman"/>
          <w:color w:val="575757"/>
          <w:w w:val="105"/>
          <w:sz w:val="19"/>
        </w:rPr>
        <w:t>r</w:t>
      </w:r>
      <w:r>
        <w:rPr>
          <w:rFonts w:ascii="Times New Roman"/>
          <w:color w:val="363636"/>
          <w:w w:val="105"/>
          <w:sz w:val="19"/>
        </w:rPr>
        <w:t>al Assembly.</w:t>
      </w:r>
    </w:p>
    <w:p>
      <w:pPr>
        <w:spacing w:line="252" w:lineRule="auto" w:before="124"/>
        <w:ind w:left="461" w:right="943" w:firstLine="8"/>
        <w:jc w:val="left"/>
        <w:rPr>
          <w:rFonts w:ascii="Times New Roman"/>
          <w:sz w:val="19"/>
        </w:rPr>
      </w:pPr>
      <w:r>
        <w:rPr>
          <w:rFonts w:ascii="Times New Roman"/>
          <w:color w:val="363636"/>
          <w:w w:val="105"/>
          <w:sz w:val="19"/>
        </w:rPr>
        <w:t>We remain conscious of the pressures that operate on all </w:t>
      </w:r>
      <w:r>
        <w:rPr>
          <w:rFonts w:ascii="Times New Roman"/>
          <w:color w:val="363636"/>
          <w:spacing w:val="-4"/>
          <w:w w:val="105"/>
          <w:sz w:val="19"/>
        </w:rPr>
        <w:t>th</w:t>
      </w:r>
      <w:r>
        <w:rPr>
          <w:rFonts w:ascii="Times New Roman"/>
          <w:color w:val="575757"/>
          <w:spacing w:val="-4"/>
          <w:w w:val="105"/>
          <w:sz w:val="19"/>
        </w:rPr>
        <w:t>e  </w:t>
      </w:r>
      <w:r>
        <w:rPr>
          <w:rFonts w:ascii="Times New Roman"/>
          <w:color w:val="363636"/>
          <w:w w:val="105"/>
          <w:sz w:val="19"/>
        </w:rPr>
        <w:t>churches of Western Europe. Through the 'Catch the Vision' </w:t>
      </w:r>
      <w:r>
        <w:rPr>
          <w:rFonts w:ascii="Times New Roman"/>
          <w:color w:val="1D1D1D"/>
          <w:w w:val="105"/>
          <w:sz w:val="19"/>
        </w:rPr>
        <w:t>process </w:t>
      </w:r>
      <w:r>
        <w:rPr>
          <w:rFonts w:ascii="Times New Roman"/>
          <w:color w:val="363636"/>
          <w:w w:val="105"/>
          <w:sz w:val="19"/>
        </w:rPr>
        <w:t>we are seeking to re</w:t>
      </w:r>
      <w:r>
        <w:rPr>
          <w:rFonts w:ascii="Times New Roman"/>
          <w:color w:val="575757"/>
          <w:w w:val="105"/>
          <w:sz w:val="19"/>
        </w:rPr>
        <w:t>-</w:t>
      </w:r>
      <w:r>
        <w:rPr>
          <w:rFonts w:ascii="Times New Roman"/>
          <w:color w:val="363636"/>
          <w:w w:val="105"/>
          <w:sz w:val="19"/>
        </w:rPr>
        <w:t>affirm the core values of the gospel, beginning a process of spiritual growth and </w:t>
      </w:r>
      <w:r>
        <w:rPr>
          <w:rFonts w:ascii="Times New Roman"/>
          <w:color w:val="1D1D1D"/>
          <w:w w:val="105"/>
          <w:sz w:val="19"/>
        </w:rPr>
        <w:t>regeneration </w:t>
      </w:r>
      <w:r>
        <w:rPr>
          <w:rFonts w:ascii="Times New Roman"/>
          <w:color w:val="363636"/>
          <w:w w:val="105"/>
          <w:sz w:val="19"/>
        </w:rPr>
        <w:t>whilst at the same time responding </w:t>
      </w:r>
      <w:r>
        <w:rPr>
          <w:rFonts w:ascii="Times New Roman"/>
          <w:color w:val="1D1D1D"/>
          <w:w w:val="105"/>
          <w:sz w:val="19"/>
        </w:rPr>
        <w:t>to </w:t>
      </w:r>
      <w:r>
        <w:rPr>
          <w:rFonts w:ascii="Times New Roman"/>
          <w:color w:val="363636"/>
          <w:w w:val="105"/>
          <w:sz w:val="19"/>
        </w:rPr>
        <w:t>the spiralling cost of governance (both financially </w:t>
      </w:r>
      <w:r>
        <w:rPr>
          <w:rFonts w:ascii="Times New Roman"/>
          <w:color w:val="1D1D1D"/>
          <w:w w:val="105"/>
          <w:sz w:val="19"/>
        </w:rPr>
        <w:t>and </w:t>
      </w:r>
      <w:r>
        <w:rPr>
          <w:rFonts w:ascii="Times New Roman"/>
          <w:color w:val="363636"/>
          <w:w w:val="105"/>
          <w:sz w:val="19"/>
        </w:rPr>
        <w:t>in time commitment) by re-structuring our conciliar and committee structures, and </w:t>
      </w:r>
      <w:r>
        <w:rPr>
          <w:rFonts w:ascii="Times New Roman"/>
          <w:color w:val="1D1D1D"/>
          <w:w w:val="105"/>
          <w:sz w:val="19"/>
        </w:rPr>
        <w:t>reducing </w:t>
      </w:r>
      <w:r>
        <w:rPr>
          <w:rFonts w:ascii="Times New Roman"/>
          <w:color w:val="363636"/>
          <w:w w:val="105"/>
          <w:sz w:val="19"/>
        </w:rPr>
        <w:t>the size and frequency of the General </w:t>
      </w:r>
      <w:r>
        <w:rPr>
          <w:rFonts w:ascii="Times New Roman"/>
          <w:color w:val="363636"/>
          <w:spacing w:val="-7"/>
          <w:w w:val="105"/>
          <w:sz w:val="19"/>
        </w:rPr>
        <w:t>Assembly</w:t>
      </w:r>
      <w:r>
        <w:rPr>
          <w:rFonts w:ascii="Times New Roman"/>
          <w:color w:val="575757"/>
          <w:spacing w:val="-7"/>
          <w:w w:val="105"/>
          <w:sz w:val="19"/>
        </w:rPr>
        <w:t>. </w:t>
      </w:r>
      <w:r>
        <w:rPr>
          <w:rFonts w:ascii="Times New Roman"/>
          <w:color w:val="363636"/>
          <w:w w:val="105"/>
          <w:sz w:val="21"/>
        </w:rPr>
        <w:t>In </w:t>
      </w:r>
      <w:r>
        <w:rPr>
          <w:rFonts w:ascii="Times New Roman"/>
          <w:color w:val="363636"/>
          <w:w w:val="105"/>
          <w:sz w:val="19"/>
        </w:rPr>
        <w:t>the past two years we have laid the foundations for  re-shaping the Church. We </w:t>
      </w:r>
      <w:r>
        <w:rPr>
          <w:rFonts w:ascii="Times New Roman"/>
          <w:color w:val="1D1D1D"/>
          <w:w w:val="105"/>
          <w:sz w:val="19"/>
        </w:rPr>
        <w:t>have provided </w:t>
      </w:r>
      <w:r>
        <w:rPr>
          <w:rFonts w:ascii="Times New Roman"/>
          <w:color w:val="363636"/>
          <w:w w:val="105"/>
          <w:sz w:val="19"/>
        </w:rPr>
        <w:t>mechanisms for exploring </w:t>
      </w:r>
      <w:r>
        <w:rPr>
          <w:rFonts w:ascii="Times New Roman"/>
          <w:color w:val="1D1D1D"/>
          <w:w w:val="105"/>
          <w:sz w:val="19"/>
        </w:rPr>
        <w:t>new </w:t>
      </w:r>
      <w:r>
        <w:rPr>
          <w:rFonts w:ascii="Times New Roman"/>
          <w:color w:val="363636"/>
          <w:w w:val="105"/>
          <w:sz w:val="19"/>
        </w:rPr>
        <w:t>ways of being church by expanding Special</w:t>
      </w:r>
      <w:r>
        <w:rPr>
          <w:rFonts w:ascii="Times New Roman"/>
          <w:color w:val="363636"/>
          <w:spacing w:val="-3"/>
          <w:w w:val="105"/>
          <w:sz w:val="19"/>
        </w:rPr>
        <w:t> </w:t>
      </w:r>
      <w:r>
        <w:rPr>
          <w:rFonts w:ascii="Times New Roman"/>
          <w:color w:val="363636"/>
          <w:w w:val="105"/>
          <w:sz w:val="19"/>
        </w:rPr>
        <w:t>Category</w:t>
      </w:r>
    </w:p>
    <w:p>
      <w:pPr>
        <w:spacing w:after="0" w:line="252" w:lineRule="auto"/>
        <w:jc w:val="left"/>
        <w:rPr>
          <w:rFonts w:ascii="Times New Roman"/>
          <w:sz w:val="19"/>
        </w:rPr>
        <w:sectPr>
          <w:headerReference w:type="even" r:id="rId482"/>
          <w:footerReference w:type="even" r:id="rId483"/>
          <w:pgSz w:w="10950" w:h="15880"/>
          <w:pgMar w:header="280" w:footer="0" w:top="460" w:bottom="280" w:left="500" w:right="0"/>
          <w:pgNumType w:start="2"/>
        </w:sectPr>
      </w:pPr>
    </w:p>
    <w:p>
      <w:pPr>
        <w:spacing w:before="82"/>
        <w:ind w:left="480" w:right="0" w:firstLine="0"/>
        <w:jc w:val="left"/>
        <w:rPr>
          <w:rFonts w:ascii="Arial"/>
          <w:sz w:val="22"/>
        </w:rPr>
      </w:pPr>
      <w:r>
        <w:rPr>
          <w:rFonts w:ascii="Times New Roman"/>
          <w:color w:val="363636"/>
          <w:w w:val="110"/>
          <w:sz w:val="19"/>
        </w:rPr>
        <w:t>ACCOUNTS page </w:t>
      </w:r>
      <w:r>
        <w:rPr>
          <w:rFonts w:ascii="Arial"/>
          <w:color w:val="363636"/>
          <w:w w:val="110"/>
          <w:sz w:val="22"/>
        </w:rPr>
        <w:t>3</w:t>
      </w:r>
    </w:p>
    <w:p>
      <w:pPr>
        <w:pStyle w:val="BodyText"/>
        <w:spacing w:before="9"/>
        <w:rPr>
          <w:rFonts w:ascii="Arial"/>
        </w:rPr>
      </w:pPr>
    </w:p>
    <w:p>
      <w:pPr>
        <w:spacing w:before="91"/>
        <w:ind w:left="812" w:right="1233" w:firstLine="0"/>
        <w:jc w:val="center"/>
        <w:rPr>
          <w:rFonts w:ascii="Times New Roman"/>
          <w:b/>
          <w:sz w:val="23"/>
        </w:rPr>
      </w:pPr>
      <w:r>
        <w:rPr>
          <w:rFonts w:ascii="Times New Roman"/>
          <w:b/>
          <w:color w:val="1D1D1D"/>
          <w:w w:val="105"/>
          <w:sz w:val="23"/>
        </w:rPr>
        <w:t>TR</w:t>
      </w:r>
      <w:r>
        <w:rPr>
          <w:rFonts w:ascii="Times New Roman"/>
          <w:b/>
          <w:color w:val="363636"/>
          <w:w w:val="105"/>
          <w:sz w:val="23"/>
        </w:rPr>
        <w:t>U</w:t>
      </w:r>
      <w:r>
        <w:rPr>
          <w:rFonts w:ascii="Times New Roman"/>
          <w:b/>
          <w:color w:val="1D1D1D"/>
          <w:w w:val="105"/>
          <w:sz w:val="23"/>
        </w:rPr>
        <w:t>ST</w:t>
      </w:r>
      <w:r>
        <w:rPr>
          <w:rFonts w:ascii="Times New Roman"/>
          <w:b/>
          <w:color w:val="363636"/>
          <w:w w:val="105"/>
          <w:sz w:val="23"/>
        </w:rPr>
        <w:t>E</w:t>
      </w:r>
      <w:r>
        <w:rPr>
          <w:rFonts w:ascii="Times New Roman"/>
          <w:b/>
          <w:color w:val="1D1D1D"/>
          <w:w w:val="105"/>
          <w:sz w:val="23"/>
        </w:rPr>
        <w:t>E</w:t>
      </w:r>
      <w:r>
        <w:rPr>
          <w:rFonts w:ascii="Times New Roman"/>
          <w:b/>
          <w:color w:val="363636"/>
          <w:w w:val="105"/>
          <w:sz w:val="23"/>
        </w:rPr>
        <w:t>'</w:t>
      </w:r>
      <w:r>
        <w:rPr>
          <w:rFonts w:ascii="Times New Roman"/>
          <w:b/>
          <w:color w:val="1D1D1D"/>
          <w:w w:val="105"/>
          <w:sz w:val="23"/>
        </w:rPr>
        <w:t>S REPORT CO</w:t>
      </w:r>
      <w:r>
        <w:rPr>
          <w:rFonts w:ascii="Times New Roman"/>
          <w:b/>
          <w:color w:val="363636"/>
          <w:w w:val="105"/>
          <w:sz w:val="23"/>
        </w:rPr>
        <w:t>N</w:t>
      </w:r>
      <w:r>
        <w:rPr>
          <w:rFonts w:ascii="Times New Roman"/>
          <w:b/>
          <w:color w:val="1D1D1D"/>
          <w:w w:val="105"/>
          <w:sz w:val="23"/>
        </w:rPr>
        <w:t>TI</w:t>
      </w:r>
      <w:r>
        <w:rPr>
          <w:rFonts w:ascii="Times New Roman"/>
          <w:b/>
          <w:color w:val="363636"/>
          <w:w w:val="105"/>
          <w:sz w:val="23"/>
        </w:rPr>
        <w:t>NUE</w:t>
      </w:r>
      <w:r>
        <w:rPr>
          <w:rFonts w:ascii="Times New Roman"/>
          <w:b/>
          <w:color w:val="1D1D1D"/>
          <w:w w:val="105"/>
          <w:sz w:val="23"/>
        </w:rPr>
        <w:t>D</w:t>
      </w:r>
    </w:p>
    <w:p>
      <w:pPr>
        <w:pStyle w:val="BodyText"/>
        <w:spacing w:before="1"/>
        <w:rPr>
          <w:rFonts w:ascii="Times New Roman"/>
          <w:b/>
          <w:sz w:val="22"/>
        </w:rPr>
      </w:pPr>
    </w:p>
    <w:p>
      <w:pPr>
        <w:spacing w:line="259" w:lineRule="auto" w:before="0"/>
        <w:ind w:left="473" w:right="865" w:firstLine="6"/>
        <w:jc w:val="left"/>
        <w:rPr>
          <w:rFonts w:ascii="Times New Roman"/>
          <w:sz w:val="19"/>
        </w:rPr>
      </w:pPr>
      <w:r>
        <w:rPr>
          <w:rFonts w:ascii="Times New Roman"/>
          <w:color w:val="363636"/>
          <w:w w:val="110"/>
          <w:sz w:val="19"/>
        </w:rPr>
        <w:t>Ministry opportunities, created slimmer and more appropriate forms of church governance, and enhanced ecumenical</w:t>
      </w:r>
      <w:r>
        <w:rPr>
          <w:rFonts w:ascii="Times New Roman"/>
          <w:color w:val="363636"/>
          <w:spacing w:val="-21"/>
          <w:w w:val="110"/>
          <w:sz w:val="19"/>
        </w:rPr>
        <w:t> </w:t>
      </w:r>
      <w:r>
        <w:rPr>
          <w:rFonts w:ascii="Times New Roman"/>
          <w:color w:val="363636"/>
          <w:w w:val="110"/>
          <w:sz w:val="19"/>
        </w:rPr>
        <w:t>opportunities.</w:t>
      </w:r>
      <w:r>
        <w:rPr>
          <w:rFonts w:ascii="Times New Roman"/>
          <w:color w:val="363636"/>
          <w:spacing w:val="3"/>
          <w:w w:val="110"/>
          <w:sz w:val="19"/>
        </w:rPr>
        <w:t> </w:t>
      </w:r>
      <w:r>
        <w:rPr>
          <w:rFonts w:ascii="Times New Roman"/>
          <w:color w:val="363636"/>
          <w:w w:val="110"/>
          <w:sz w:val="19"/>
        </w:rPr>
        <w:t>This</w:t>
      </w:r>
      <w:r>
        <w:rPr>
          <w:rFonts w:ascii="Times New Roman"/>
          <w:color w:val="363636"/>
          <w:spacing w:val="-26"/>
          <w:w w:val="110"/>
          <w:sz w:val="19"/>
        </w:rPr>
        <w:t> </w:t>
      </w:r>
      <w:r>
        <w:rPr>
          <w:rFonts w:ascii="Times New Roman"/>
          <w:color w:val="363636"/>
          <w:w w:val="110"/>
          <w:sz w:val="19"/>
        </w:rPr>
        <w:t>year</w:t>
      </w:r>
      <w:r>
        <w:rPr>
          <w:rFonts w:ascii="Times New Roman"/>
          <w:color w:val="363636"/>
          <w:spacing w:val="-22"/>
          <w:w w:val="110"/>
          <w:sz w:val="19"/>
        </w:rPr>
        <w:t> </w:t>
      </w:r>
      <w:r>
        <w:rPr>
          <w:rFonts w:ascii="Times New Roman"/>
          <w:color w:val="363636"/>
          <w:w w:val="110"/>
          <w:sz w:val="19"/>
        </w:rPr>
        <w:t>we</w:t>
      </w:r>
      <w:r>
        <w:rPr>
          <w:rFonts w:ascii="Times New Roman"/>
          <w:color w:val="363636"/>
          <w:spacing w:val="-26"/>
          <w:w w:val="110"/>
          <w:sz w:val="19"/>
        </w:rPr>
        <w:t> </w:t>
      </w:r>
      <w:r>
        <w:rPr>
          <w:rFonts w:ascii="Times New Roman"/>
          <w:color w:val="363636"/>
          <w:w w:val="110"/>
          <w:sz w:val="19"/>
        </w:rPr>
        <w:t>particularly</w:t>
      </w:r>
      <w:r>
        <w:rPr>
          <w:rFonts w:ascii="Times New Roman"/>
          <w:color w:val="363636"/>
          <w:spacing w:val="-23"/>
          <w:w w:val="110"/>
          <w:sz w:val="19"/>
        </w:rPr>
        <w:t> </w:t>
      </w:r>
      <w:r>
        <w:rPr>
          <w:rFonts w:ascii="Times New Roman"/>
          <w:color w:val="363636"/>
          <w:w w:val="110"/>
          <w:sz w:val="19"/>
        </w:rPr>
        <w:t>welcome</w:t>
      </w:r>
      <w:r>
        <w:rPr>
          <w:rFonts w:ascii="Times New Roman"/>
          <w:color w:val="363636"/>
          <w:spacing w:val="-21"/>
          <w:w w:val="110"/>
          <w:sz w:val="19"/>
        </w:rPr>
        <w:t> </w:t>
      </w:r>
      <w:r>
        <w:rPr>
          <w:rFonts w:ascii="Times New Roman"/>
          <w:color w:val="363636"/>
          <w:w w:val="110"/>
          <w:sz w:val="19"/>
        </w:rPr>
        <w:t>the</w:t>
      </w:r>
      <w:r>
        <w:rPr>
          <w:rFonts w:ascii="Times New Roman"/>
          <w:color w:val="363636"/>
          <w:spacing w:val="-31"/>
          <w:w w:val="110"/>
          <w:sz w:val="19"/>
        </w:rPr>
        <w:t> </w:t>
      </w:r>
      <w:r>
        <w:rPr>
          <w:rFonts w:ascii="Times New Roman"/>
          <w:color w:val="363636"/>
          <w:w w:val="110"/>
          <w:sz w:val="19"/>
        </w:rPr>
        <w:t>creation</w:t>
      </w:r>
      <w:r>
        <w:rPr>
          <w:rFonts w:ascii="Times New Roman"/>
          <w:color w:val="363636"/>
          <w:spacing w:val="-21"/>
          <w:w w:val="110"/>
          <w:sz w:val="19"/>
        </w:rPr>
        <w:t> </w:t>
      </w:r>
      <w:r>
        <w:rPr>
          <w:rFonts w:ascii="Times New Roman"/>
          <w:color w:val="363636"/>
          <w:w w:val="110"/>
          <w:sz w:val="19"/>
        </w:rPr>
        <w:t>of</w:t>
      </w:r>
      <w:r>
        <w:rPr>
          <w:rFonts w:ascii="Times New Roman"/>
          <w:color w:val="363636"/>
          <w:spacing w:val="-23"/>
          <w:w w:val="110"/>
          <w:sz w:val="19"/>
        </w:rPr>
        <w:t> </w:t>
      </w:r>
      <w:r>
        <w:rPr>
          <w:rFonts w:ascii="Times New Roman"/>
          <w:color w:val="363636"/>
          <w:w w:val="110"/>
          <w:sz w:val="19"/>
        </w:rPr>
        <w:t>the</w:t>
      </w:r>
      <w:r>
        <w:rPr>
          <w:rFonts w:ascii="Times New Roman"/>
          <w:color w:val="363636"/>
          <w:spacing w:val="-22"/>
          <w:w w:val="110"/>
          <w:sz w:val="19"/>
        </w:rPr>
        <w:t> </w:t>
      </w:r>
      <w:r>
        <w:rPr>
          <w:rFonts w:ascii="Times New Roman"/>
          <w:color w:val="1D1D1D"/>
          <w:w w:val="110"/>
          <w:sz w:val="19"/>
        </w:rPr>
        <w:t>Jo</w:t>
      </w:r>
      <w:r>
        <w:rPr>
          <w:rFonts w:ascii="Times New Roman"/>
          <w:color w:val="363636"/>
          <w:w w:val="110"/>
          <w:sz w:val="19"/>
        </w:rPr>
        <w:t>int</w:t>
      </w:r>
      <w:r>
        <w:rPr>
          <w:rFonts w:ascii="Times New Roman"/>
          <w:color w:val="363636"/>
          <w:spacing w:val="-22"/>
          <w:w w:val="110"/>
          <w:sz w:val="19"/>
        </w:rPr>
        <w:t> </w:t>
      </w:r>
      <w:r>
        <w:rPr>
          <w:rFonts w:ascii="Times New Roman"/>
          <w:color w:val="363636"/>
          <w:spacing w:val="-4"/>
          <w:w w:val="110"/>
          <w:sz w:val="19"/>
        </w:rPr>
        <w:t>Pub</w:t>
      </w:r>
      <w:r>
        <w:rPr>
          <w:rFonts w:ascii="Times New Roman"/>
          <w:color w:val="1D1D1D"/>
          <w:spacing w:val="-4"/>
          <w:w w:val="110"/>
          <w:sz w:val="19"/>
        </w:rPr>
        <w:t>l</w:t>
      </w:r>
      <w:r>
        <w:rPr>
          <w:rFonts w:ascii="Times New Roman"/>
          <w:color w:val="363636"/>
          <w:spacing w:val="-4"/>
          <w:w w:val="110"/>
          <w:sz w:val="19"/>
        </w:rPr>
        <w:t>ic</w:t>
      </w:r>
      <w:r>
        <w:rPr>
          <w:rFonts w:ascii="Times New Roman"/>
          <w:color w:val="363636"/>
          <w:spacing w:val="-15"/>
          <w:w w:val="110"/>
          <w:sz w:val="19"/>
        </w:rPr>
        <w:t> </w:t>
      </w:r>
      <w:r>
        <w:rPr>
          <w:rFonts w:ascii="Times New Roman"/>
          <w:color w:val="363636"/>
          <w:w w:val="110"/>
          <w:sz w:val="19"/>
        </w:rPr>
        <w:t>Issues</w:t>
      </w:r>
      <w:r>
        <w:rPr>
          <w:rFonts w:ascii="Times New Roman"/>
          <w:color w:val="363636"/>
          <w:spacing w:val="-28"/>
          <w:w w:val="110"/>
          <w:sz w:val="19"/>
        </w:rPr>
        <w:t> </w:t>
      </w:r>
      <w:r>
        <w:rPr>
          <w:rFonts w:ascii="Times New Roman"/>
          <w:color w:val="363636"/>
          <w:w w:val="110"/>
          <w:sz w:val="19"/>
        </w:rPr>
        <w:t>Team</w:t>
      </w:r>
      <w:r>
        <w:rPr>
          <w:rFonts w:ascii="Times New Roman"/>
          <w:color w:val="363636"/>
          <w:spacing w:val="-25"/>
          <w:w w:val="110"/>
          <w:sz w:val="19"/>
        </w:rPr>
        <w:t> </w:t>
      </w:r>
      <w:r>
        <w:rPr>
          <w:rFonts w:ascii="Times New Roman"/>
          <w:color w:val="363636"/>
          <w:w w:val="110"/>
          <w:sz w:val="19"/>
        </w:rPr>
        <w:t>(JPIT) </w:t>
      </w:r>
      <w:r>
        <w:rPr>
          <w:rFonts w:ascii="Times New Roman"/>
          <w:color w:val="363636"/>
          <w:spacing w:val="-4"/>
          <w:w w:val="110"/>
          <w:sz w:val="19"/>
        </w:rPr>
        <w:t>w</w:t>
      </w:r>
      <w:r>
        <w:rPr>
          <w:rFonts w:ascii="Times New Roman"/>
          <w:color w:val="1D1D1D"/>
          <w:spacing w:val="-4"/>
          <w:w w:val="110"/>
          <w:sz w:val="19"/>
        </w:rPr>
        <w:t>hi</w:t>
      </w:r>
      <w:r>
        <w:rPr>
          <w:rFonts w:ascii="Times New Roman"/>
          <w:color w:val="363636"/>
          <w:spacing w:val="-4"/>
          <w:w w:val="110"/>
          <w:sz w:val="19"/>
        </w:rPr>
        <w:t>ch </w:t>
      </w:r>
      <w:r>
        <w:rPr>
          <w:rFonts w:ascii="Times New Roman"/>
          <w:color w:val="363636"/>
          <w:w w:val="110"/>
          <w:sz w:val="19"/>
        </w:rPr>
        <w:t>brings </w:t>
      </w:r>
      <w:r>
        <w:rPr>
          <w:rFonts w:ascii="Times New Roman"/>
          <w:color w:val="1D1D1D"/>
          <w:w w:val="110"/>
          <w:sz w:val="19"/>
        </w:rPr>
        <w:t>t</w:t>
      </w:r>
      <w:r>
        <w:rPr>
          <w:rFonts w:ascii="Times New Roman"/>
          <w:color w:val="363636"/>
          <w:w w:val="110"/>
          <w:sz w:val="19"/>
        </w:rPr>
        <w:t>ogether </w:t>
      </w:r>
      <w:r>
        <w:rPr>
          <w:rFonts w:ascii="Times New Roman"/>
          <w:color w:val="1D1D1D"/>
          <w:spacing w:val="-4"/>
          <w:w w:val="110"/>
          <w:sz w:val="19"/>
        </w:rPr>
        <w:t>th</w:t>
      </w:r>
      <w:r>
        <w:rPr>
          <w:rFonts w:ascii="Times New Roman"/>
          <w:color w:val="363636"/>
          <w:spacing w:val="-4"/>
          <w:w w:val="110"/>
          <w:sz w:val="19"/>
        </w:rPr>
        <w:t>e </w:t>
      </w:r>
      <w:r>
        <w:rPr>
          <w:rFonts w:ascii="Times New Roman"/>
          <w:color w:val="363636"/>
          <w:w w:val="110"/>
          <w:sz w:val="19"/>
        </w:rPr>
        <w:t>social respons</w:t>
      </w:r>
      <w:r>
        <w:rPr>
          <w:rFonts w:ascii="Times New Roman"/>
          <w:color w:val="1D1D1D"/>
          <w:w w:val="110"/>
          <w:sz w:val="19"/>
        </w:rPr>
        <w:t>i</w:t>
      </w:r>
      <w:r>
        <w:rPr>
          <w:rFonts w:ascii="Times New Roman"/>
          <w:color w:val="363636"/>
          <w:w w:val="110"/>
          <w:sz w:val="19"/>
        </w:rPr>
        <w:t>b</w:t>
      </w:r>
      <w:r>
        <w:rPr>
          <w:rFonts w:ascii="Times New Roman"/>
          <w:color w:val="1D1D1D"/>
          <w:w w:val="110"/>
          <w:sz w:val="19"/>
        </w:rPr>
        <w:t>ili</w:t>
      </w:r>
      <w:r>
        <w:rPr>
          <w:rFonts w:ascii="Times New Roman"/>
          <w:color w:val="363636"/>
          <w:w w:val="110"/>
          <w:sz w:val="19"/>
        </w:rPr>
        <w:t>ty resources of the Baptist Union of </w:t>
      </w:r>
      <w:r>
        <w:rPr>
          <w:rFonts w:ascii="Times New Roman"/>
          <w:color w:val="1D1D1D"/>
          <w:w w:val="110"/>
          <w:sz w:val="19"/>
        </w:rPr>
        <w:t>Gr</w:t>
      </w:r>
      <w:r>
        <w:rPr>
          <w:rFonts w:ascii="Times New Roman"/>
          <w:color w:val="363636"/>
          <w:w w:val="110"/>
          <w:sz w:val="19"/>
        </w:rPr>
        <w:t>eat Britain, the Methodist Church</w:t>
      </w:r>
      <w:r>
        <w:rPr>
          <w:rFonts w:ascii="Times New Roman"/>
          <w:color w:val="363636"/>
          <w:spacing w:val="-26"/>
          <w:w w:val="110"/>
          <w:sz w:val="19"/>
        </w:rPr>
        <w:t> </w:t>
      </w:r>
      <w:r>
        <w:rPr>
          <w:rFonts w:ascii="Times New Roman"/>
          <w:color w:val="363636"/>
          <w:w w:val="110"/>
          <w:sz w:val="19"/>
        </w:rPr>
        <w:t>and</w:t>
      </w:r>
      <w:r>
        <w:rPr>
          <w:rFonts w:ascii="Times New Roman"/>
          <w:color w:val="363636"/>
          <w:spacing w:val="-27"/>
          <w:w w:val="110"/>
          <w:sz w:val="19"/>
        </w:rPr>
        <w:t> </w:t>
      </w:r>
      <w:r>
        <w:rPr>
          <w:rFonts w:ascii="Times New Roman"/>
          <w:color w:val="363636"/>
          <w:w w:val="110"/>
          <w:sz w:val="19"/>
        </w:rPr>
        <w:t>ourselves.</w:t>
      </w:r>
      <w:r>
        <w:rPr>
          <w:rFonts w:ascii="Times New Roman"/>
          <w:color w:val="363636"/>
          <w:spacing w:val="-21"/>
          <w:w w:val="110"/>
          <w:sz w:val="19"/>
        </w:rPr>
        <w:t> </w:t>
      </w:r>
      <w:r>
        <w:rPr>
          <w:rFonts w:ascii="Times New Roman"/>
          <w:color w:val="363636"/>
          <w:w w:val="110"/>
          <w:sz w:val="19"/>
        </w:rPr>
        <w:t>We</w:t>
      </w:r>
      <w:r>
        <w:rPr>
          <w:rFonts w:ascii="Times New Roman"/>
          <w:color w:val="363636"/>
          <w:spacing w:val="-27"/>
          <w:w w:val="110"/>
          <w:sz w:val="19"/>
        </w:rPr>
        <w:t> </w:t>
      </w:r>
      <w:r>
        <w:rPr>
          <w:rFonts w:ascii="Times New Roman"/>
          <w:color w:val="363636"/>
          <w:w w:val="110"/>
          <w:sz w:val="19"/>
        </w:rPr>
        <w:t>will</w:t>
      </w:r>
      <w:r>
        <w:rPr>
          <w:rFonts w:ascii="Times New Roman"/>
          <w:color w:val="363636"/>
          <w:spacing w:val="-29"/>
          <w:w w:val="110"/>
          <w:sz w:val="19"/>
        </w:rPr>
        <w:t> </w:t>
      </w:r>
      <w:r>
        <w:rPr>
          <w:rFonts w:ascii="Times New Roman"/>
          <w:color w:val="363636"/>
          <w:w w:val="110"/>
          <w:sz w:val="19"/>
        </w:rPr>
        <w:t>contin</w:t>
      </w:r>
      <w:r>
        <w:rPr>
          <w:rFonts w:ascii="Times New Roman"/>
          <w:color w:val="1D1D1D"/>
          <w:w w:val="110"/>
          <w:sz w:val="19"/>
        </w:rPr>
        <w:t>u</w:t>
      </w:r>
      <w:r>
        <w:rPr>
          <w:rFonts w:ascii="Times New Roman"/>
          <w:color w:val="363636"/>
          <w:w w:val="110"/>
          <w:sz w:val="19"/>
        </w:rPr>
        <w:t>e</w:t>
      </w:r>
      <w:r>
        <w:rPr>
          <w:rFonts w:ascii="Times New Roman"/>
          <w:color w:val="363636"/>
          <w:spacing w:val="-19"/>
          <w:w w:val="110"/>
          <w:sz w:val="19"/>
        </w:rPr>
        <w:t> </w:t>
      </w:r>
      <w:r>
        <w:rPr>
          <w:rFonts w:ascii="Times New Roman"/>
          <w:color w:val="363636"/>
          <w:w w:val="110"/>
          <w:sz w:val="19"/>
        </w:rPr>
        <w:t>to</w:t>
      </w:r>
      <w:r>
        <w:rPr>
          <w:rFonts w:ascii="Times New Roman"/>
          <w:color w:val="363636"/>
          <w:spacing w:val="-13"/>
          <w:w w:val="110"/>
          <w:sz w:val="19"/>
        </w:rPr>
        <w:t> </w:t>
      </w:r>
      <w:r>
        <w:rPr>
          <w:rFonts w:ascii="Times New Roman"/>
          <w:color w:val="363636"/>
          <w:w w:val="110"/>
          <w:sz w:val="19"/>
        </w:rPr>
        <w:t>explore</w:t>
      </w:r>
      <w:r>
        <w:rPr>
          <w:rFonts w:ascii="Times New Roman"/>
          <w:color w:val="363636"/>
          <w:spacing w:val="-22"/>
          <w:w w:val="110"/>
          <w:sz w:val="19"/>
        </w:rPr>
        <w:t> </w:t>
      </w:r>
      <w:r>
        <w:rPr>
          <w:rFonts w:ascii="Times New Roman"/>
          <w:color w:val="363636"/>
          <w:w w:val="110"/>
          <w:sz w:val="19"/>
        </w:rPr>
        <w:t>with</w:t>
      </w:r>
      <w:r>
        <w:rPr>
          <w:rFonts w:ascii="Times New Roman"/>
          <w:color w:val="363636"/>
          <w:spacing w:val="-28"/>
          <w:w w:val="110"/>
          <w:sz w:val="19"/>
        </w:rPr>
        <w:t> </w:t>
      </w:r>
      <w:r>
        <w:rPr>
          <w:rFonts w:ascii="Times New Roman"/>
          <w:color w:val="363636"/>
          <w:w w:val="110"/>
          <w:sz w:val="19"/>
        </w:rPr>
        <w:t>ecumenical</w:t>
      </w:r>
      <w:r>
        <w:rPr>
          <w:rFonts w:ascii="Times New Roman"/>
          <w:color w:val="363636"/>
          <w:spacing w:val="-24"/>
          <w:w w:val="110"/>
          <w:sz w:val="19"/>
        </w:rPr>
        <w:t> </w:t>
      </w:r>
      <w:r>
        <w:rPr>
          <w:rFonts w:ascii="Times New Roman"/>
          <w:color w:val="363636"/>
          <w:w w:val="110"/>
          <w:sz w:val="19"/>
        </w:rPr>
        <w:t>partners</w:t>
      </w:r>
      <w:r>
        <w:rPr>
          <w:rFonts w:ascii="Times New Roman"/>
          <w:color w:val="363636"/>
          <w:spacing w:val="-24"/>
          <w:w w:val="110"/>
          <w:sz w:val="19"/>
        </w:rPr>
        <w:t> </w:t>
      </w:r>
      <w:r>
        <w:rPr>
          <w:rFonts w:ascii="Times New Roman"/>
          <w:color w:val="363636"/>
          <w:w w:val="110"/>
          <w:sz w:val="19"/>
        </w:rPr>
        <w:t>ways</w:t>
      </w:r>
      <w:r>
        <w:rPr>
          <w:rFonts w:ascii="Times New Roman"/>
          <w:color w:val="363636"/>
          <w:spacing w:val="-23"/>
          <w:w w:val="110"/>
          <w:sz w:val="19"/>
        </w:rPr>
        <w:t> </w:t>
      </w:r>
      <w:r>
        <w:rPr>
          <w:rFonts w:ascii="Times New Roman"/>
          <w:color w:val="363636"/>
          <w:w w:val="110"/>
          <w:sz w:val="19"/>
        </w:rPr>
        <w:t>in</w:t>
      </w:r>
      <w:r>
        <w:rPr>
          <w:rFonts w:ascii="Times New Roman"/>
          <w:color w:val="363636"/>
          <w:spacing w:val="-13"/>
          <w:w w:val="110"/>
          <w:sz w:val="19"/>
        </w:rPr>
        <w:t> </w:t>
      </w:r>
      <w:r>
        <w:rPr>
          <w:rFonts w:ascii="Times New Roman"/>
          <w:color w:val="363636"/>
          <w:w w:val="110"/>
          <w:sz w:val="19"/>
        </w:rPr>
        <w:t>which</w:t>
      </w:r>
      <w:r>
        <w:rPr>
          <w:rFonts w:ascii="Times New Roman"/>
          <w:color w:val="363636"/>
          <w:spacing w:val="-25"/>
          <w:w w:val="110"/>
          <w:sz w:val="19"/>
        </w:rPr>
        <w:t> </w:t>
      </w:r>
      <w:r>
        <w:rPr>
          <w:rFonts w:ascii="Times New Roman"/>
          <w:color w:val="363636"/>
          <w:w w:val="110"/>
          <w:sz w:val="19"/>
        </w:rPr>
        <w:t>co</w:t>
      </w:r>
      <w:r>
        <w:rPr>
          <w:rFonts w:ascii="Times New Roman"/>
          <w:color w:val="050505"/>
          <w:w w:val="110"/>
          <w:sz w:val="19"/>
        </w:rPr>
        <w:t>-</w:t>
      </w:r>
      <w:r>
        <w:rPr>
          <w:rFonts w:ascii="Times New Roman"/>
          <w:color w:val="363636"/>
          <w:w w:val="110"/>
          <w:sz w:val="19"/>
        </w:rPr>
        <w:t>operation</w:t>
      </w:r>
      <w:r>
        <w:rPr>
          <w:rFonts w:ascii="Times New Roman"/>
          <w:color w:val="363636"/>
          <w:spacing w:val="-27"/>
          <w:w w:val="110"/>
          <w:sz w:val="19"/>
        </w:rPr>
        <w:t> </w:t>
      </w:r>
      <w:r>
        <w:rPr>
          <w:rFonts w:ascii="Times New Roman"/>
          <w:color w:val="363636"/>
          <w:w w:val="110"/>
          <w:sz w:val="19"/>
        </w:rPr>
        <w:t>in</w:t>
      </w:r>
      <w:r>
        <w:rPr>
          <w:rFonts w:ascii="Times New Roman"/>
          <w:color w:val="363636"/>
          <w:spacing w:val="-19"/>
          <w:w w:val="110"/>
          <w:sz w:val="19"/>
        </w:rPr>
        <w:t> </w:t>
      </w:r>
      <w:r>
        <w:rPr>
          <w:rFonts w:ascii="Times New Roman"/>
          <w:color w:val="363636"/>
          <w:w w:val="110"/>
          <w:sz w:val="19"/>
        </w:rPr>
        <w:t>the provision</w:t>
      </w:r>
      <w:r>
        <w:rPr>
          <w:rFonts w:ascii="Times New Roman"/>
          <w:color w:val="363636"/>
          <w:spacing w:val="-30"/>
          <w:w w:val="110"/>
          <w:sz w:val="19"/>
        </w:rPr>
        <w:t> </w:t>
      </w:r>
      <w:r>
        <w:rPr>
          <w:rFonts w:ascii="Times New Roman"/>
          <w:color w:val="363636"/>
          <w:w w:val="110"/>
          <w:sz w:val="19"/>
        </w:rPr>
        <w:t>of</w:t>
      </w:r>
      <w:r>
        <w:rPr>
          <w:rFonts w:ascii="Times New Roman"/>
          <w:color w:val="363636"/>
          <w:spacing w:val="-23"/>
          <w:w w:val="110"/>
          <w:sz w:val="19"/>
        </w:rPr>
        <w:t> </w:t>
      </w:r>
      <w:r>
        <w:rPr>
          <w:rFonts w:ascii="Times New Roman"/>
          <w:color w:val="363636"/>
          <w:w w:val="110"/>
          <w:sz w:val="19"/>
        </w:rPr>
        <w:t>central</w:t>
      </w:r>
      <w:r>
        <w:rPr>
          <w:rFonts w:ascii="Times New Roman"/>
          <w:color w:val="363636"/>
          <w:spacing w:val="-22"/>
          <w:w w:val="110"/>
          <w:sz w:val="19"/>
        </w:rPr>
        <w:t> </w:t>
      </w:r>
      <w:r>
        <w:rPr>
          <w:rFonts w:ascii="Times New Roman"/>
          <w:color w:val="363636"/>
          <w:w w:val="110"/>
          <w:sz w:val="19"/>
        </w:rPr>
        <w:t>services</w:t>
      </w:r>
      <w:r>
        <w:rPr>
          <w:rFonts w:ascii="Times New Roman"/>
          <w:color w:val="363636"/>
          <w:spacing w:val="-30"/>
          <w:w w:val="110"/>
          <w:sz w:val="19"/>
        </w:rPr>
        <w:t> </w:t>
      </w:r>
      <w:r>
        <w:rPr>
          <w:rFonts w:ascii="Times New Roman"/>
          <w:color w:val="363636"/>
          <w:w w:val="110"/>
          <w:sz w:val="19"/>
        </w:rPr>
        <w:t>can</w:t>
      </w:r>
      <w:r>
        <w:rPr>
          <w:rFonts w:ascii="Times New Roman"/>
          <w:color w:val="363636"/>
          <w:spacing w:val="-26"/>
          <w:w w:val="110"/>
          <w:sz w:val="19"/>
        </w:rPr>
        <w:t> </w:t>
      </w:r>
      <w:r>
        <w:rPr>
          <w:rFonts w:ascii="Times New Roman"/>
          <w:color w:val="363636"/>
          <w:w w:val="110"/>
          <w:sz w:val="19"/>
        </w:rPr>
        <w:t>maximise</w:t>
      </w:r>
      <w:r>
        <w:rPr>
          <w:rFonts w:ascii="Times New Roman"/>
          <w:color w:val="363636"/>
          <w:spacing w:val="-23"/>
          <w:w w:val="110"/>
          <w:sz w:val="19"/>
        </w:rPr>
        <w:t> </w:t>
      </w:r>
      <w:r>
        <w:rPr>
          <w:rFonts w:ascii="Times New Roman"/>
          <w:color w:val="1D1D1D"/>
          <w:spacing w:val="2"/>
          <w:w w:val="110"/>
          <w:sz w:val="19"/>
        </w:rPr>
        <w:t>th</w:t>
      </w:r>
      <w:r>
        <w:rPr>
          <w:rFonts w:ascii="Times New Roman"/>
          <w:color w:val="363636"/>
          <w:spacing w:val="2"/>
          <w:w w:val="110"/>
          <w:sz w:val="19"/>
        </w:rPr>
        <w:t>e</w:t>
      </w:r>
      <w:r>
        <w:rPr>
          <w:rFonts w:ascii="Times New Roman"/>
          <w:color w:val="363636"/>
          <w:spacing w:val="-25"/>
          <w:w w:val="110"/>
          <w:sz w:val="19"/>
        </w:rPr>
        <w:t> </w:t>
      </w:r>
      <w:r>
        <w:rPr>
          <w:rFonts w:ascii="Times New Roman"/>
          <w:color w:val="363636"/>
          <w:w w:val="110"/>
          <w:sz w:val="19"/>
        </w:rPr>
        <w:t>effectiveness</w:t>
      </w:r>
      <w:r>
        <w:rPr>
          <w:rFonts w:ascii="Times New Roman"/>
          <w:color w:val="363636"/>
          <w:spacing w:val="-23"/>
          <w:w w:val="110"/>
          <w:sz w:val="19"/>
        </w:rPr>
        <w:t> </w:t>
      </w:r>
      <w:r>
        <w:rPr>
          <w:rFonts w:ascii="Times New Roman"/>
          <w:color w:val="363636"/>
          <w:w w:val="110"/>
          <w:sz w:val="19"/>
        </w:rPr>
        <w:t>of</w:t>
      </w:r>
      <w:r>
        <w:rPr>
          <w:rFonts w:ascii="Times New Roman"/>
          <w:color w:val="363636"/>
          <w:spacing w:val="-15"/>
          <w:w w:val="110"/>
          <w:sz w:val="19"/>
        </w:rPr>
        <w:t> </w:t>
      </w:r>
      <w:r>
        <w:rPr>
          <w:rFonts w:ascii="Times New Roman"/>
          <w:color w:val="363636"/>
          <w:w w:val="110"/>
          <w:sz w:val="19"/>
        </w:rPr>
        <w:t>the</w:t>
      </w:r>
      <w:r>
        <w:rPr>
          <w:rFonts w:ascii="Times New Roman"/>
          <w:color w:val="363636"/>
          <w:spacing w:val="-29"/>
          <w:w w:val="110"/>
          <w:sz w:val="19"/>
        </w:rPr>
        <w:t> </w:t>
      </w:r>
      <w:r>
        <w:rPr>
          <w:rFonts w:ascii="Times New Roman"/>
          <w:color w:val="363636"/>
          <w:w w:val="110"/>
          <w:sz w:val="19"/>
        </w:rPr>
        <w:t>serv</w:t>
      </w:r>
      <w:r>
        <w:rPr>
          <w:rFonts w:ascii="Times New Roman"/>
          <w:color w:val="1D1D1D"/>
          <w:w w:val="110"/>
          <w:sz w:val="19"/>
        </w:rPr>
        <w:t>i</w:t>
      </w:r>
      <w:r>
        <w:rPr>
          <w:rFonts w:ascii="Times New Roman"/>
          <w:color w:val="363636"/>
          <w:w w:val="110"/>
          <w:sz w:val="19"/>
        </w:rPr>
        <w:t>ce</w:t>
      </w:r>
      <w:r>
        <w:rPr>
          <w:rFonts w:ascii="Times New Roman"/>
          <w:color w:val="363636"/>
          <w:spacing w:val="-30"/>
          <w:w w:val="110"/>
          <w:sz w:val="19"/>
        </w:rPr>
        <w:t> </w:t>
      </w:r>
      <w:r>
        <w:rPr>
          <w:rFonts w:ascii="Times New Roman"/>
          <w:color w:val="363636"/>
          <w:w w:val="110"/>
          <w:sz w:val="19"/>
        </w:rPr>
        <w:t>offere</w:t>
      </w:r>
      <w:r>
        <w:rPr>
          <w:rFonts w:ascii="Times New Roman"/>
          <w:color w:val="1D1D1D"/>
          <w:w w:val="110"/>
          <w:sz w:val="19"/>
        </w:rPr>
        <w:t>d</w:t>
      </w:r>
      <w:r>
        <w:rPr>
          <w:rFonts w:ascii="Times New Roman"/>
          <w:color w:val="1D1D1D"/>
          <w:spacing w:val="-17"/>
          <w:w w:val="110"/>
          <w:sz w:val="19"/>
        </w:rPr>
        <w:t> </w:t>
      </w:r>
      <w:r>
        <w:rPr>
          <w:rFonts w:ascii="Times New Roman"/>
          <w:color w:val="363636"/>
          <w:w w:val="110"/>
          <w:sz w:val="19"/>
        </w:rPr>
        <w:t>to</w:t>
      </w:r>
      <w:r>
        <w:rPr>
          <w:rFonts w:ascii="Times New Roman"/>
          <w:color w:val="363636"/>
          <w:spacing w:val="-18"/>
          <w:w w:val="110"/>
          <w:sz w:val="19"/>
        </w:rPr>
        <w:t> </w:t>
      </w:r>
      <w:r>
        <w:rPr>
          <w:rFonts w:ascii="Times New Roman"/>
          <w:color w:val="1D1D1D"/>
          <w:spacing w:val="-3"/>
          <w:w w:val="110"/>
          <w:sz w:val="19"/>
        </w:rPr>
        <w:t>l</w:t>
      </w:r>
      <w:r>
        <w:rPr>
          <w:rFonts w:ascii="Times New Roman"/>
          <w:color w:val="363636"/>
          <w:spacing w:val="-3"/>
          <w:w w:val="110"/>
          <w:sz w:val="19"/>
        </w:rPr>
        <w:t>ocal</w:t>
      </w:r>
      <w:r>
        <w:rPr>
          <w:rFonts w:ascii="Times New Roman"/>
          <w:color w:val="363636"/>
          <w:spacing w:val="-21"/>
          <w:w w:val="110"/>
          <w:sz w:val="19"/>
        </w:rPr>
        <w:t> </w:t>
      </w:r>
      <w:r>
        <w:rPr>
          <w:rFonts w:ascii="Times New Roman"/>
          <w:color w:val="363636"/>
          <w:w w:val="110"/>
          <w:sz w:val="19"/>
        </w:rPr>
        <w:t>churches,</w:t>
      </w:r>
      <w:r>
        <w:rPr>
          <w:rFonts w:ascii="Times New Roman"/>
          <w:color w:val="363636"/>
          <w:spacing w:val="-25"/>
          <w:w w:val="110"/>
          <w:sz w:val="19"/>
        </w:rPr>
        <w:t> </w:t>
      </w:r>
      <w:r>
        <w:rPr>
          <w:rFonts w:ascii="Times New Roman"/>
          <w:color w:val="363636"/>
          <w:w w:val="110"/>
          <w:sz w:val="19"/>
        </w:rPr>
        <w:t>Synods</w:t>
      </w:r>
      <w:r>
        <w:rPr>
          <w:rFonts w:ascii="Times New Roman"/>
          <w:color w:val="363636"/>
          <w:spacing w:val="-23"/>
          <w:w w:val="110"/>
          <w:sz w:val="19"/>
        </w:rPr>
        <w:t> </w:t>
      </w:r>
      <w:r>
        <w:rPr>
          <w:rFonts w:ascii="Times New Roman"/>
          <w:color w:val="363636"/>
          <w:w w:val="110"/>
          <w:sz w:val="19"/>
        </w:rPr>
        <w:t>and </w:t>
      </w:r>
      <w:r>
        <w:rPr>
          <w:rFonts w:ascii="Times New Roman"/>
          <w:color w:val="363636"/>
          <w:spacing w:val="-3"/>
          <w:w w:val="110"/>
          <w:sz w:val="19"/>
        </w:rPr>
        <w:t>commi</w:t>
      </w:r>
      <w:r>
        <w:rPr>
          <w:rFonts w:ascii="Times New Roman"/>
          <w:color w:val="1D1D1D"/>
          <w:spacing w:val="-3"/>
          <w:w w:val="110"/>
          <w:sz w:val="19"/>
        </w:rPr>
        <w:t>tt</w:t>
      </w:r>
      <w:r>
        <w:rPr>
          <w:rFonts w:ascii="Times New Roman"/>
          <w:color w:val="363636"/>
          <w:spacing w:val="-3"/>
          <w:w w:val="110"/>
          <w:sz w:val="19"/>
        </w:rPr>
        <w:t>ees</w:t>
      </w:r>
      <w:r>
        <w:rPr>
          <w:rFonts w:ascii="Times New Roman"/>
          <w:color w:val="5D5D5D"/>
          <w:spacing w:val="-3"/>
          <w:w w:val="110"/>
          <w:sz w:val="19"/>
        </w:rPr>
        <w:t>.</w:t>
      </w:r>
    </w:p>
    <w:p>
      <w:pPr>
        <w:spacing w:line="259" w:lineRule="auto" w:before="124"/>
        <w:ind w:left="471" w:right="1046" w:hanging="6"/>
        <w:jc w:val="left"/>
        <w:rPr>
          <w:rFonts w:ascii="Times New Roman"/>
          <w:sz w:val="19"/>
        </w:rPr>
      </w:pPr>
      <w:r>
        <w:rPr>
          <w:rFonts w:ascii="Times New Roman"/>
          <w:color w:val="363636"/>
          <w:w w:val="105"/>
          <w:sz w:val="19"/>
        </w:rPr>
        <w:t>Our princ</w:t>
      </w:r>
      <w:r>
        <w:rPr>
          <w:rFonts w:ascii="Times New Roman"/>
          <w:color w:val="1D1D1D"/>
          <w:w w:val="105"/>
          <w:sz w:val="19"/>
        </w:rPr>
        <w:t>i</w:t>
      </w:r>
      <w:r>
        <w:rPr>
          <w:rFonts w:ascii="Times New Roman"/>
          <w:color w:val="363636"/>
          <w:w w:val="105"/>
          <w:sz w:val="19"/>
        </w:rPr>
        <w:t>pal strategy o</w:t>
      </w:r>
      <w:r>
        <w:rPr>
          <w:rFonts w:ascii="Times New Roman"/>
          <w:color w:val="1D1D1D"/>
          <w:w w:val="105"/>
          <w:sz w:val="19"/>
        </w:rPr>
        <w:t>f </w:t>
      </w:r>
      <w:r>
        <w:rPr>
          <w:rFonts w:ascii="Times New Roman"/>
          <w:color w:val="363636"/>
          <w:w w:val="105"/>
          <w:sz w:val="19"/>
        </w:rPr>
        <w:t>the p</w:t>
      </w:r>
      <w:r>
        <w:rPr>
          <w:rFonts w:ascii="Times New Roman"/>
          <w:color w:val="1D1D1D"/>
          <w:w w:val="105"/>
          <w:sz w:val="19"/>
        </w:rPr>
        <w:t>r</w:t>
      </w:r>
      <w:r>
        <w:rPr>
          <w:rFonts w:ascii="Times New Roman"/>
          <w:color w:val="363636"/>
          <w:w w:val="105"/>
          <w:sz w:val="19"/>
        </w:rPr>
        <w:t>ovisio</w:t>
      </w:r>
      <w:r>
        <w:rPr>
          <w:rFonts w:ascii="Times New Roman"/>
          <w:color w:val="1D1D1D"/>
          <w:w w:val="105"/>
          <w:sz w:val="19"/>
        </w:rPr>
        <w:t>n of </w:t>
      </w:r>
      <w:r>
        <w:rPr>
          <w:rFonts w:ascii="Times New Roman"/>
          <w:color w:val="363636"/>
          <w:w w:val="105"/>
          <w:sz w:val="19"/>
        </w:rPr>
        <w:t>public worship continues </w:t>
      </w:r>
      <w:r>
        <w:rPr>
          <w:rFonts w:ascii="Times New Roman"/>
          <w:color w:val="1D1D1D"/>
          <w:w w:val="105"/>
          <w:sz w:val="19"/>
        </w:rPr>
        <w:t>t</w:t>
      </w:r>
      <w:r>
        <w:rPr>
          <w:rFonts w:ascii="Times New Roman"/>
          <w:color w:val="363636"/>
          <w:w w:val="105"/>
          <w:sz w:val="19"/>
        </w:rPr>
        <w:t>o be carrie</w:t>
      </w:r>
      <w:r>
        <w:rPr>
          <w:rFonts w:ascii="Times New Roman"/>
          <w:color w:val="1D1D1D"/>
          <w:w w:val="105"/>
          <w:sz w:val="19"/>
        </w:rPr>
        <w:t>d </w:t>
      </w:r>
      <w:r>
        <w:rPr>
          <w:rFonts w:ascii="Times New Roman"/>
          <w:color w:val="363636"/>
          <w:w w:val="105"/>
          <w:sz w:val="19"/>
        </w:rPr>
        <w:t>o</w:t>
      </w:r>
      <w:r>
        <w:rPr>
          <w:rFonts w:ascii="Times New Roman"/>
          <w:color w:val="1D1D1D"/>
          <w:w w:val="105"/>
          <w:sz w:val="19"/>
        </w:rPr>
        <w:t>u</w:t>
      </w:r>
      <w:r>
        <w:rPr>
          <w:rFonts w:ascii="Times New Roman"/>
          <w:color w:val="363636"/>
          <w:w w:val="105"/>
          <w:sz w:val="19"/>
        </w:rPr>
        <w:t>t through faithful ordained and lay ministry in our churches. Our two main charitable activ</w:t>
      </w:r>
      <w:r>
        <w:rPr>
          <w:rFonts w:ascii="Times New Roman"/>
          <w:color w:val="1D1D1D"/>
          <w:w w:val="105"/>
          <w:sz w:val="19"/>
        </w:rPr>
        <w:t>i</w:t>
      </w:r>
      <w:r>
        <w:rPr>
          <w:rFonts w:ascii="Times New Roman"/>
          <w:color w:val="363636"/>
          <w:w w:val="105"/>
          <w:sz w:val="19"/>
        </w:rPr>
        <w:t>ties set out in the Statement of Fina</w:t>
      </w:r>
      <w:r>
        <w:rPr>
          <w:rFonts w:ascii="Times New Roman"/>
          <w:color w:val="1D1D1D"/>
          <w:w w:val="105"/>
          <w:sz w:val="19"/>
        </w:rPr>
        <w:t>n</w:t>
      </w:r>
      <w:r>
        <w:rPr>
          <w:rFonts w:ascii="Times New Roman"/>
          <w:color w:val="363636"/>
          <w:w w:val="105"/>
          <w:sz w:val="19"/>
        </w:rPr>
        <w:t>cia</w:t>
      </w:r>
      <w:r>
        <w:rPr>
          <w:rFonts w:ascii="Times New Roman"/>
          <w:color w:val="1D1D1D"/>
          <w:w w:val="105"/>
          <w:sz w:val="19"/>
        </w:rPr>
        <w:t>l </w:t>
      </w:r>
      <w:r>
        <w:rPr>
          <w:rFonts w:ascii="Times New Roman"/>
          <w:color w:val="363636"/>
          <w:w w:val="105"/>
          <w:sz w:val="19"/>
        </w:rPr>
        <w:t>Activities are:</w:t>
      </w:r>
    </w:p>
    <w:p>
      <w:pPr>
        <w:pStyle w:val="ListParagraph"/>
        <w:numPr>
          <w:ilvl w:val="1"/>
          <w:numId w:val="214"/>
        </w:numPr>
        <w:tabs>
          <w:tab w:pos="1201" w:val="left" w:leader="none"/>
          <w:tab w:pos="1202" w:val="left" w:leader="none"/>
        </w:tabs>
        <w:spacing w:line="254" w:lineRule="auto" w:before="13" w:after="0"/>
        <w:ind w:left="1205" w:right="1553" w:hanging="368"/>
        <w:jc w:val="left"/>
        <w:rPr>
          <w:rFonts w:ascii="Times New Roman" w:hAnsi="Times New Roman"/>
          <w:color w:val="050505"/>
          <w:sz w:val="19"/>
        </w:rPr>
      </w:pPr>
      <w:r>
        <w:rPr>
          <w:rFonts w:ascii="Times New Roman" w:hAnsi="Times New Roman"/>
          <w:color w:val="363636"/>
          <w:w w:val="110"/>
          <w:sz w:val="19"/>
        </w:rPr>
        <w:t>Ministry</w:t>
      </w:r>
      <w:r>
        <w:rPr>
          <w:rFonts w:ascii="Times New Roman" w:hAnsi="Times New Roman"/>
          <w:color w:val="363636"/>
          <w:spacing w:val="-18"/>
          <w:w w:val="110"/>
          <w:sz w:val="19"/>
        </w:rPr>
        <w:t> </w:t>
      </w:r>
      <w:r>
        <w:rPr>
          <w:rFonts w:ascii="Times New Roman" w:hAnsi="Times New Roman"/>
          <w:color w:val="5D5D5D"/>
          <w:w w:val="110"/>
          <w:sz w:val="19"/>
        </w:rPr>
        <w:t>-</w:t>
      </w:r>
      <w:r>
        <w:rPr>
          <w:rFonts w:ascii="Times New Roman" w:hAnsi="Times New Roman"/>
          <w:color w:val="5D5D5D"/>
          <w:spacing w:val="34"/>
          <w:w w:val="110"/>
          <w:sz w:val="19"/>
        </w:rPr>
        <w:t> </w:t>
      </w:r>
      <w:r>
        <w:rPr>
          <w:rFonts w:ascii="Times New Roman" w:hAnsi="Times New Roman"/>
          <w:color w:val="363636"/>
          <w:w w:val="110"/>
          <w:sz w:val="19"/>
        </w:rPr>
        <w:t>the</w:t>
      </w:r>
      <w:r>
        <w:rPr>
          <w:rFonts w:ascii="Times New Roman" w:hAnsi="Times New Roman"/>
          <w:color w:val="363636"/>
          <w:spacing w:val="-21"/>
          <w:w w:val="110"/>
          <w:sz w:val="19"/>
        </w:rPr>
        <w:t> </w:t>
      </w:r>
      <w:r>
        <w:rPr>
          <w:rFonts w:ascii="Times New Roman" w:hAnsi="Times New Roman"/>
          <w:color w:val="363636"/>
          <w:spacing w:val="-5"/>
          <w:w w:val="110"/>
          <w:sz w:val="19"/>
        </w:rPr>
        <w:t>provis</w:t>
      </w:r>
      <w:r>
        <w:rPr>
          <w:rFonts w:ascii="Times New Roman" w:hAnsi="Times New Roman"/>
          <w:color w:val="1D1D1D"/>
          <w:spacing w:val="-5"/>
          <w:w w:val="110"/>
          <w:sz w:val="19"/>
        </w:rPr>
        <w:t>i</w:t>
      </w:r>
      <w:r>
        <w:rPr>
          <w:rFonts w:ascii="Times New Roman" w:hAnsi="Times New Roman"/>
          <w:color w:val="363636"/>
          <w:spacing w:val="-5"/>
          <w:w w:val="110"/>
          <w:sz w:val="19"/>
        </w:rPr>
        <w:t>on</w:t>
      </w:r>
      <w:r>
        <w:rPr>
          <w:rFonts w:ascii="Times New Roman" w:hAnsi="Times New Roman"/>
          <w:color w:val="363636"/>
          <w:spacing w:val="-16"/>
          <w:w w:val="110"/>
          <w:sz w:val="19"/>
        </w:rPr>
        <w:t> </w:t>
      </w:r>
      <w:r>
        <w:rPr>
          <w:rFonts w:ascii="Times New Roman" w:hAnsi="Times New Roman"/>
          <w:color w:val="363636"/>
          <w:w w:val="110"/>
          <w:sz w:val="19"/>
        </w:rPr>
        <w:t>of</w:t>
      </w:r>
      <w:r>
        <w:rPr>
          <w:rFonts w:ascii="Times New Roman" w:hAnsi="Times New Roman"/>
          <w:color w:val="363636"/>
          <w:spacing w:val="-14"/>
          <w:w w:val="110"/>
          <w:sz w:val="19"/>
        </w:rPr>
        <w:t> </w:t>
      </w:r>
      <w:r>
        <w:rPr>
          <w:rFonts w:ascii="Times New Roman" w:hAnsi="Times New Roman"/>
          <w:color w:val="363636"/>
          <w:w w:val="110"/>
          <w:sz w:val="19"/>
        </w:rPr>
        <w:t>stipe</w:t>
      </w:r>
      <w:r>
        <w:rPr>
          <w:rFonts w:ascii="Times New Roman" w:hAnsi="Times New Roman"/>
          <w:color w:val="1D1D1D"/>
          <w:w w:val="110"/>
          <w:sz w:val="19"/>
        </w:rPr>
        <w:t>n</w:t>
      </w:r>
      <w:r>
        <w:rPr>
          <w:rFonts w:ascii="Times New Roman" w:hAnsi="Times New Roman"/>
          <w:color w:val="363636"/>
          <w:w w:val="110"/>
          <w:sz w:val="19"/>
        </w:rPr>
        <w:t>diary</w:t>
      </w:r>
      <w:r>
        <w:rPr>
          <w:rFonts w:ascii="Times New Roman" w:hAnsi="Times New Roman"/>
          <w:color w:val="363636"/>
          <w:spacing w:val="-10"/>
          <w:w w:val="110"/>
          <w:sz w:val="19"/>
        </w:rPr>
        <w:t> </w:t>
      </w:r>
      <w:r>
        <w:rPr>
          <w:rFonts w:ascii="Times New Roman" w:hAnsi="Times New Roman"/>
          <w:color w:val="363636"/>
          <w:w w:val="110"/>
          <w:sz w:val="19"/>
        </w:rPr>
        <w:t>ministry</w:t>
      </w:r>
      <w:r>
        <w:rPr>
          <w:rFonts w:ascii="Times New Roman" w:hAnsi="Times New Roman"/>
          <w:color w:val="363636"/>
          <w:spacing w:val="-22"/>
          <w:w w:val="110"/>
          <w:sz w:val="19"/>
        </w:rPr>
        <w:t> </w:t>
      </w:r>
      <w:r>
        <w:rPr>
          <w:rFonts w:ascii="Times New Roman" w:hAnsi="Times New Roman"/>
          <w:color w:val="363636"/>
          <w:w w:val="110"/>
          <w:sz w:val="19"/>
        </w:rPr>
        <w:t>through</w:t>
      </w:r>
      <w:r>
        <w:rPr>
          <w:rFonts w:ascii="Times New Roman" w:hAnsi="Times New Roman"/>
          <w:color w:val="363636"/>
          <w:spacing w:val="-24"/>
          <w:w w:val="110"/>
          <w:sz w:val="19"/>
        </w:rPr>
        <w:t> </w:t>
      </w:r>
      <w:r>
        <w:rPr>
          <w:rFonts w:ascii="Times New Roman" w:hAnsi="Times New Roman"/>
          <w:color w:val="363636"/>
          <w:w w:val="110"/>
          <w:sz w:val="19"/>
        </w:rPr>
        <w:t>The</w:t>
      </w:r>
      <w:r>
        <w:rPr>
          <w:rFonts w:ascii="Times New Roman" w:hAnsi="Times New Roman"/>
          <w:color w:val="363636"/>
          <w:spacing w:val="-15"/>
          <w:w w:val="110"/>
          <w:sz w:val="19"/>
        </w:rPr>
        <w:t> </w:t>
      </w:r>
      <w:r>
        <w:rPr>
          <w:rFonts w:ascii="Times New Roman" w:hAnsi="Times New Roman"/>
          <w:color w:val="363636"/>
          <w:w w:val="110"/>
          <w:sz w:val="19"/>
        </w:rPr>
        <w:t>P</w:t>
      </w:r>
      <w:r>
        <w:rPr>
          <w:rFonts w:ascii="Times New Roman" w:hAnsi="Times New Roman"/>
          <w:color w:val="1D1D1D"/>
          <w:w w:val="110"/>
          <w:sz w:val="19"/>
        </w:rPr>
        <w:t>l</w:t>
      </w:r>
      <w:r>
        <w:rPr>
          <w:rFonts w:ascii="Times New Roman" w:hAnsi="Times New Roman"/>
          <w:color w:val="363636"/>
          <w:w w:val="110"/>
          <w:sz w:val="19"/>
        </w:rPr>
        <w:t>an</w:t>
      </w:r>
      <w:r>
        <w:rPr>
          <w:rFonts w:ascii="Times New Roman" w:hAnsi="Times New Roman"/>
          <w:color w:val="363636"/>
          <w:spacing w:val="-19"/>
          <w:w w:val="110"/>
          <w:sz w:val="19"/>
        </w:rPr>
        <w:t> </w:t>
      </w:r>
      <w:r>
        <w:rPr>
          <w:rFonts w:ascii="Times New Roman" w:hAnsi="Times New Roman"/>
          <w:color w:val="363636"/>
          <w:w w:val="110"/>
          <w:sz w:val="19"/>
        </w:rPr>
        <w:t>for</w:t>
      </w:r>
      <w:r>
        <w:rPr>
          <w:rFonts w:ascii="Times New Roman" w:hAnsi="Times New Roman"/>
          <w:color w:val="363636"/>
          <w:spacing w:val="-12"/>
          <w:w w:val="110"/>
          <w:sz w:val="19"/>
        </w:rPr>
        <w:t> </w:t>
      </w:r>
      <w:r>
        <w:rPr>
          <w:rFonts w:ascii="Times New Roman" w:hAnsi="Times New Roman"/>
          <w:color w:val="363636"/>
          <w:spacing w:val="-5"/>
          <w:w w:val="110"/>
          <w:sz w:val="19"/>
        </w:rPr>
        <w:t>Partnershi</w:t>
      </w:r>
      <w:r>
        <w:rPr>
          <w:rFonts w:ascii="Times New Roman" w:hAnsi="Times New Roman"/>
          <w:color w:val="1D1D1D"/>
          <w:spacing w:val="-5"/>
          <w:w w:val="110"/>
          <w:sz w:val="19"/>
        </w:rPr>
        <w:t>p</w:t>
      </w:r>
      <w:r>
        <w:rPr>
          <w:rFonts w:ascii="Times New Roman" w:hAnsi="Times New Roman"/>
          <w:color w:val="363636"/>
          <w:spacing w:val="-5"/>
          <w:w w:val="110"/>
          <w:sz w:val="19"/>
        </w:rPr>
        <w:t>,</w:t>
      </w:r>
      <w:r>
        <w:rPr>
          <w:rFonts w:ascii="Times New Roman" w:hAnsi="Times New Roman"/>
          <w:color w:val="363636"/>
          <w:spacing w:val="-18"/>
          <w:w w:val="110"/>
          <w:sz w:val="19"/>
        </w:rPr>
        <w:t> </w:t>
      </w:r>
      <w:r>
        <w:rPr>
          <w:rFonts w:ascii="Times New Roman" w:hAnsi="Times New Roman"/>
          <w:color w:val="1D1D1D"/>
          <w:w w:val="110"/>
          <w:sz w:val="19"/>
        </w:rPr>
        <w:t>t</w:t>
      </w:r>
      <w:r>
        <w:rPr>
          <w:rFonts w:ascii="Times New Roman" w:hAnsi="Times New Roman"/>
          <w:color w:val="363636"/>
          <w:w w:val="110"/>
          <w:sz w:val="19"/>
        </w:rPr>
        <w:t>ogetherwith pensions and retired </w:t>
      </w:r>
      <w:r>
        <w:rPr>
          <w:rFonts w:ascii="Times New Roman" w:hAnsi="Times New Roman"/>
          <w:color w:val="363636"/>
          <w:spacing w:val="-4"/>
          <w:w w:val="110"/>
          <w:sz w:val="19"/>
        </w:rPr>
        <w:t>minis</w:t>
      </w:r>
      <w:r>
        <w:rPr>
          <w:rFonts w:ascii="Times New Roman" w:hAnsi="Times New Roman"/>
          <w:color w:val="1D1D1D"/>
          <w:spacing w:val="-4"/>
          <w:w w:val="110"/>
          <w:sz w:val="19"/>
        </w:rPr>
        <w:t>t</w:t>
      </w:r>
      <w:r>
        <w:rPr>
          <w:rFonts w:ascii="Times New Roman" w:hAnsi="Times New Roman"/>
          <w:color w:val="363636"/>
          <w:spacing w:val="-4"/>
          <w:w w:val="110"/>
          <w:sz w:val="19"/>
        </w:rPr>
        <w:t>e</w:t>
      </w:r>
      <w:r>
        <w:rPr>
          <w:rFonts w:ascii="Times New Roman" w:hAnsi="Times New Roman"/>
          <w:color w:val="1D1D1D"/>
          <w:spacing w:val="-4"/>
          <w:w w:val="110"/>
          <w:sz w:val="19"/>
        </w:rPr>
        <w:t>r</w:t>
      </w:r>
      <w:r>
        <w:rPr>
          <w:rFonts w:ascii="Times New Roman" w:hAnsi="Times New Roman"/>
          <w:color w:val="363636"/>
          <w:spacing w:val="-4"/>
          <w:w w:val="110"/>
          <w:sz w:val="19"/>
        </w:rPr>
        <w:t>s' </w:t>
      </w:r>
      <w:r>
        <w:rPr>
          <w:rFonts w:ascii="Times New Roman" w:hAnsi="Times New Roman"/>
          <w:color w:val="363636"/>
          <w:w w:val="110"/>
          <w:sz w:val="19"/>
        </w:rPr>
        <w:t>ho</w:t>
      </w:r>
      <w:r>
        <w:rPr>
          <w:rFonts w:ascii="Times New Roman" w:hAnsi="Times New Roman"/>
          <w:color w:val="1D1D1D"/>
          <w:w w:val="110"/>
          <w:sz w:val="19"/>
        </w:rPr>
        <w:t>u</w:t>
      </w:r>
      <w:r>
        <w:rPr>
          <w:rFonts w:ascii="Times New Roman" w:hAnsi="Times New Roman"/>
          <w:color w:val="363636"/>
          <w:w w:val="110"/>
          <w:sz w:val="19"/>
        </w:rPr>
        <w:t>sing,</w:t>
      </w:r>
      <w:r>
        <w:rPr>
          <w:rFonts w:ascii="Times New Roman" w:hAnsi="Times New Roman"/>
          <w:color w:val="363636"/>
          <w:spacing w:val="-4"/>
          <w:w w:val="110"/>
          <w:sz w:val="19"/>
        </w:rPr>
        <w:t> </w:t>
      </w:r>
      <w:r>
        <w:rPr>
          <w:rFonts w:ascii="Times New Roman" w:hAnsi="Times New Roman"/>
          <w:color w:val="363636"/>
          <w:w w:val="110"/>
          <w:sz w:val="19"/>
        </w:rPr>
        <w:t>and</w:t>
      </w:r>
    </w:p>
    <w:p>
      <w:pPr>
        <w:pStyle w:val="ListParagraph"/>
        <w:numPr>
          <w:ilvl w:val="1"/>
          <w:numId w:val="214"/>
        </w:numPr>
        <w:tabs>
          <w:tab w:pos="1198" w:val="left" w:leader="none"/>
          <w:tab w:pos="1199" w:val="left" w:leader="none"/>
        </w:tabs>
        <w:spacing w:line="254" w:lineRule="auto" w:before="18" w:after="0"/>
        <w:ind w:left="1198" w:right="911" w:hanging="361"/>
        <w:jc w:val="left"/>
        <w:rPr>
          <w:rFonts w:ascii="Times New Roman" w:hAnsi="Times New Roman"/>
          <w:color w:val="1D1D1D"/>
          <w:sz w:val="19"/>
        </w:rPr>
      </w:pPr>
      <w:r>
        <w:rPr>
          <w:rFonts w:ascii="Times New Roman" w:hAnsi="Times New Roman"/>
          <w:color w:val="363636"/>
          <w:w w:val="110"/>
          <w:sz w:val="19"/>
        </w:rPr>
        <w:t>Training</w:t>
      </w:r>
      <w:r>
        <w:rPr>
          <w:rFonts w:ascii="Times New Roman" w:hAnsi="Times New Roman"/>
          <w:color w:val="363636"/>
          <w:spacing w:val="-31"/>
          <w:w w:val="110"/>
          <w:sz w:val="19"/>
        </w:rPr>
        <w:t> </w:t>
      </w:r>
      <w:r>
        <w:rPr>
          <w:rFonts w:ascii="Times New Roman" w:hAnsi="Times New Roman"/>
          <w:color w:val="4F4F4F"/>
          <w:w w:val="110"/>
          <w:sz w:val="19"/>
        </w:rPr>
        <w:t>-</w:t>
      </w:r>
      <w:r>
        <w:rPr>
          <w:rFonts w:ascii="Times New Roman" w:hAnsi="Times New Roman"/>
          <w:color w:val="4F4F4F"/>
          <w:spacing w:val="-20"/>
          <w:w w:val="110"/>
          <w:sz w:val="19"/>
        </w:rPr>
        <w:t> </w:t>
      </w:r>
      <w:r>
        <w:rPr>
          <w:rFonts w:ascii="Times New Roman" w:hAnsi="Times New Roman"/>
          <w:color w:val="363636"/>
          <w:w w:val="110"/>
          <w:sz w:val="19"/>
        </w:rPr>
        <w:t>the</w:t>
      </w:r>
      <w:r>
        <w:rPr>
          <w:rFonts w:ascii="Times New Roman" w:hAnsi="Times New Roman"/>
          <w:color w:val="363636"/>
          <w:spacing w:val="-30"/>
          <w:w w:val="110"/>
          <w:sz w:val="19"/>
        </w:rPr>
        <w:t> </w:t>
      </w:r>
      <w:r>
        <w:rPr>
          <w:rFonts w:ascii="Times New Roman" w:hAnsi="Times New Roman"/>
          <w:color w:val="363636"/>
          <w:w w:val="110"/>
          <w:sz w:val="19"/>
        </w:rPr>
        <w:t>preparation</w:t>
      </w:r>
      <w:r>
        <w:rPr>
          <w:rFonts w:ascii="Times New Roman" w:hAnsi="Times New Roman"/>
          <w:color w:val="363636"/>
          <w:spacing w:val="-27"/>
          <w:w w:val="110"/>
          <w:sz w:val="19"/>
        </w:rPr>
        <w:t> </w:t>
      </w:r>
      <w:r>
        <w:rPr>
          <w:rFonts w:ascii="Times New Roman" w:hAnsi="Times New Roman"/>
          <w:color w:val="1D1D1D"/>
          <w:spacing w:val="-3"/>
          <w:w w:val="110"/>
          <w:sz w:val="19"/>
        </w:rPr>
        <w:t>o</w:t>
      </w:r>
      <w:r>
        <w:rPr>
          <w:rFonts w:ascii="Times New Roman" w:hAnsi="Times New Roman"/>
          <w:color w:val="363636"/>
          <w:spacing w:val="-3"/>
          <w:w w:val="110"/>
          <w:sz w:val="19"/>
        </w:rPr>
        <w:t>f</w:t>
      </w:r>
      <w:r>
        <w:rPr>
          <w:rFonts w:ascii="Times New Roman" w:hAnsi="Times New Roman"/>
          <w:color w:val="363636"/>
          <w:spacing w:val="-24"/>
          <w:w w:val="110"/>
          <w:sz w:val="19"/>
        </w:rPr>
        <w:t> </w:t>
      </w:r>
      <w:r>
        <w:rPr>
          <w:rFonts w:ascii="Times New Roman" w:hAnsi="Times New Roman"/>
          <w:color w:val="363636"/>
          <w:spacing w:val="2"/>
          <w:w w:val="110"/>
          <w:sz w:val="19"/>
        </w:rPr>
        <w:t>ca</w:t>
      </w:r>
      <w:r>
        <w:rPr>
          <w:rFonts w:ascii="Times New Roman" w:hAnsi="Times New Roman"/>
          <w:color w:val="1D1D1D"/>
          <w:spacing w:val="2"/>
          <w:w w:val="110"/>
          <w:sz w:val="19"/>
        </w:rPr>
        <w:t>n</w:t>
      </w:r>
      <w:r>
        <w:rPr>
          <w:rFonts w:ascii="Times New Roman" w:hAnsi="Times New Roman"/>
          <w:color w:val="363636"/>
          <w:spacing w:val="2"/>
          <w:w w:val="110"/>
          <w:sz w:val="19"/>
        </w:rPr>
        <w:t>di</w:t>
      </w:r>
      <w:r>
        <w:rPr>
          <w:rFonts w:ascii="Times New Roman" w:hAnsi="Times New Roman"/>
          <w:color w:val="1D1D1D"/>
          <w:spacing w:val="2"/>
          <w:w w:val="110"/>
          <w:sz w:val="19"/>
        </w:rPr>
        <w:t>d</w:t>
      </w:r>
      <w:r>
        <w:rPr>
          <w:rFonts w:ascii="Times New Roman" w:hAnsi="Times New Roman"/>
          <w:color w:val="363636"/>
          <w:spacing w:val="2"/>
          <w:w w:val="110"/>
          <w:sz w:val="19"/>
        </w:rPr>
        <w:t>a</w:t>
      </w:r>
      <w:r>
        <w:rPr>
          <w:rFonts w:ascii="Times New Roman" w:hAnsi="Times New Roman"/>
          <w:color w:val="1D1D1D"/>
          <w:spacing w:val="2"/>
          <w:w w:val="110"/>
          <w:sz w:val="19"/>
        </w:rPr>
        <w:t>t</w:t>
      </w:r>
      <w:r>
        <w:rPr>
          <w:rFonts w:ascii="Times New Roman" w:hAnsi="Times New Roman"/>
          <w:color w:val="363636"/>
          <w:spacing w:val="2"/>
          <w:w w:val="110"/>
          <w:sz w:val="19"/>
        </w:rPr>
        <w:t>es</w:t>
      </w:r>
      <w:r>
        <w:rPr>
          <w:rFonts w:ascii="Times New Roman" w:hAnsi="Times New Roman"/>
          <w:color w:val="363636"/>
          <w:spacing w:val="-14"/>
          <w:w w:val="110"/>
          <w:sz w:val="19"/>
        </w:rPr>
        <w:t> </w:t>
      </w:r>
      <w:r>
        <w:rPr>
          <w:rFonts w:ascii="Times New Roman" w:hAnsi="Times New Roman"/>
          <w:color w:val="363636"/>
          <w:w w:val="110"/>
          <w:sz w:val="19"/>
        </w:rPr>
        <w:t>for</w:t>
      </w:r>
      <w:r>
        <w:rPr>
          <w:rFonts w:ascii="Times New Roman" w:hAnsi="Times New Roman"/>
          <w:color w:val="363636"/>
          <w:spacing w:val="-32"/>
          <w:w w:val="110"/>
          <w:sz w:val="19"/>
        </w:rPr>
        <w:t> </w:t>
      </w:r>
      <w:r>
        <w:rPr>
          <w:rFonts w:ascii="Times New Roman" w:hAnsi="Times New Roman"/>
          <w:color w:val="363636"/>
          <w:w w:val="110"/>
          <w:sz w:val="19"/>
        </w:rPr>
        <w:t>stipendiary</w:t>
      </w:r>
      <w:r>
        <w:rPr>
          <w:rFonts w:ascii="Times New Roman" w:hAnsi="Times New Roman"/>
          <w:color w:val="363636"/>
          <w:spacing w:val="-24"/>
          <w:w w:val="110"/>
          <w:sz w:val="19"/>
        </w:rPr>
        <w:t> </w:t>
      </w:r>
      <w:r>
        <w:rPr>
          <w:rFonts w:ascii="Times New Roman" w:hAnsi="Times New Roman"/>
          <w:color w:val="363636"/>
          <w:w w:val="110"/>
          <w:sz w:val="19"/>
        </w:rPr>
        <w:t>and</w:t>
      </w:r>
      <w:r>
        <w:rPr>
          <w:rFonts w:ascii="Times New Roman" w:hAnsi="Times New Roman"/>
          <w:color w:val="363636"/>
          <w:spacing w:val="-33"/>
          <w:w w:val="110"/>
          <w:sz w:val="19"/>
        </w:rPr>
        <w:t> </w:t>
      </w:r>
      <w:r>
        <w:rPr>
          <w:rFonts w:ascii="Times New Roman" w:hAnsi="Times New Roman"/>
          <w:color w:val="363636"/>
          <w:spacing w:val="-4"/>
          <w:w w:val="110"/>
          <w:sz w:val="19"/>
        </w:rPr>
        <w:t>non-stipen</w:t>
      </w:r>
      <w:r>
        <w:rPr>
          <w:rFonts w:ascii="Times New Roman" w:hAnsi="Times New Roman"/>
          <w:color w:val="1D1D1D"/>
          <w:spacing w:val="-4"/>
          <w:w w:val="110"/>
          <w:sz w:val="19"/>
        </w:rPr>
        <w:t>di</w:t>
      </w:r>
      <w:r>
        <w:rPr>
          <w:rFonts w:ascii="Times New Roman" w:hAnsi="Times New Roman"/>
          <w:color w:val="363636"/>
          <w:spacing w:val="-4"/>
          <w:w w:val="110"/>
          <w:sz w:val="19"/>
        </w:rPr>
        <w:t>ary</w:t>
      </w:r>
      <w:r>
        <w:rPr>
          <w:rFonts w:ascii="Times New Roman" w:hAnsi="Times New Roman"/>
          <w:color w:val="363636"/>
          <w:spacing w:val="-25"/>
          <w:w w:val="110"/>
          <w:sz w:val="19"/>
        </w:rPr>
        <w:t> </w:t>
      </w:r>
      <w:r>
        <w:rPr>
          <w:rFonts w:ascii="Times New Roman" w:hAnsi="Times New Roman"/>
          <w:color w:val="363636"/>
          <w:w w:val="110"/>
          <w:sz w:val="19"/>
        </w:rPr>
        <w:t>ministry,</w:t>
      </w:r>
      <w:r>
        <w:rPr>
          <w:rFonts w:ascii="Times New Roman" w:hAnsi="Times New Roman"/>
          <w:color w:val="363636"/>
          <w:spacing w:val="-24"/>
          <w:w w:val="110"/>
          <w:sz w:val="19"/>
        </w:rPr>
        <w:t> </w:t>
      </w:r>
      <w:r>
        <w:rPr>
          <w:rFonts w:ascii="Times New Roman" w:hAnsi="Times New Roman"/>
          <w:color w:val="1D1D1D"/>
          <w:w w:val="110"/>
          <w:sz w:val="19"/>
        </w:rPr>
        <w:t>t</w:t>
      </w:r>
      <w:r>
        <w:rPr>
          <w:rFonts w:ascii="Times New Roman" w:hAnsi="Times New Roman"/>
          <w:color w:val="363636"/>
          <w:w w:val="110"/>
          <w:sz w:val="19"/>
        </w:rPr>
        <w:t>hrough</w:t>
      </w:r>
      <w:r>
        <w:rPr>
          <w:rFonts w:ascii="Times New Roman" w:hAnsi="Times New Roman"/>
          <w:color w:val="363636"/>
          <w:spacing w:val="-29"/>
          <w:w w:val="110"/>
          <w:sz w:val="19"/>
        </w:rPr>
        <w:t> </w:t>
      </w:r>
      <w:r>
        <w:rPr>
          <w:rFonts w:ascii="Times New Roman" w:hAnsi="Times New Roman"/>
          <w:color w:val="363636"/>
          <w:w w:val="110"/>
          <w:sz w:val="19"/>
        </w:rPr>
        <w:t>our</w:t>
      </w:r>
      <w:r>
        <w:rPr>
          <w:rFonts w:ascii="Times New Roman" w:hAnsi="Times New Roman"/>
          <w:color w:val="363636"/>
          <w:spacing w:val="-33"/>
          <w:w w:val="110"/>
          <w:sz w:val="19"/>
        </w:rPr>
        <w:t> </w:t>
      </w:r>
      <w:r>
        <w:rPr>
          <w:rFonts w:ascii="Times New Roman" w:hAnsi="Times New Roman"/>
          <w:color w:val="363636"/>
          <w:w w:val="110"/>
          <w:sz w:val="19"/>
        </w:rPr>
        <w:t>newly designa</w:t>
      </w:r>
      <w:r>
        <w:rPr>
          <w:rFonts w:ascii="Times New Roman" w:hAnsi="Times New Roman"/>
          <w:color w:val="1D1D1D"/>
          <w:w w:val="110"/>
          <w:sz w:val="19"/>
        </w:rPr>
        <w:t>t</w:t>
      </w:r>
      <w:r>
        <w:rPr>
          <w:rFonts w:ascii="Times New Roman" w:hAnsi="Times New Roman"/>
          <w:color w:val="4F4F4F"/>
          <w:w w:val="110"/>
          <w:sz w:val="19"/>
        </w:rPr>
        <w:t>ed</w:t>
      </w:r>
      <w:r>
        <w:rPr>
          <w:rFonts w:ascii="Times New Roman" w:hAnsi="Times New Roman"/>
          <w:color w:val="4F4F4F"/>
          <w:spacing w:val="-17"/>
          <w:w w:val="110"/>
          <w:sz w:val="19"/>
        </w:rPr>
        <w:t> </w:t>
      </w:r>
      <w:r>
        <w:rPr>
          <w:rFonts w:ascii="Times New Roman" w:hAnsi="Times New Roman"/>
          <w:color w:val="363636"/>
          <w:w w:val="110"/>
          <w:sz w:val="19"/>
        </w:rPr>
        <w:t>Resource</w:t>
      </w:r>
      <w:r>
        <w:rPr>
          <w:rFonts w:ascii="Times New Roman" w:hAnsi="Times New Roman"/>
          <w:color w:val="363636"/>
          <w:spacing w:val="-27"/>
          <w:w w:val="110"/>
          <w:sz w:val="19"/>
        </w:rPr>
        <w:t> </w:t>
      </w:r>
      <w:r>
        <w:rPr>
          <w:rFonts w:ascii="Times New Roman" w:hAnsi="Times New Roman"/>
          <w:color w:val="363636"/>
          <w:w w:val="110"/>
          <w:sz w:val="19"/>
        </w:rPr>
        <w:t>Centres</w:t>
      </w:r>
      <w:r>
        <w:rPr>
          <w:rFonts w:ascii="Times New Roman" w:hAnsi="Times New Roman"/>
          <w:color w:val="363636"/>
          <w:spacing w:val="-26"/>
          <w:w w:val="110"/>
          <w:sz w:val="19"/>
        </w:rPr>
        <w:t> </w:t>
      </w:r>
      <w:r>
        <w:rPr>
          <w:rFonts w:ascii="Times New Roman" w:hAnsi="Times New Roman"/>
          <w:color w:val="363636"/>
          <w:spacing w:val="3"/>
          <w:w w:val="110"/>
          <w:sz w:val="19"/>
        </w:rPr>
        <w:t>fo</w:t>
      </w:r>
      <w:r>
        <w:rPr>
          <w:rFonts w:ascii="Times New Roman" w:hAnsi="Times New Roman"/>
          <w:color w:val="1D1D1D"/>
          <w:spacing w:val="3"/>
          <w:w w:val="110"/>
          <w:sz w:val="19"/>
        </w:rPr>
        <w:t>r</w:t>
      </w:r>
      <w:r>
        <w:rPr>
          <w:rFonts w:ascii="Times New Roman" w:hAnsi="Times New Roman"/>
          <w:color w:val="1D1D1D"/>
          <w:spacing w:val="-25"/>
          <w:w w:val="110"/>
          <w:sz w:val="19"/>
        </w:rPr>
        <w:t> </w:t>
      </w:r>
      <w:r>
        <w:rPr>
          <w:rFonts w:ascii="Times New Roman" w:hAnsi="Times New Roman"/>
          <w:color w:val="363636"/>
          <w:w w:val="110"/>
          <w:sz w:val="19"/>
        </w:rPr>
        <w:t>Learning</w:t>
      </w:r>
      <w:r>
        <w:rPr>
          <w:rFonts w:ascii="Times New Roman" w:hAnsi="Times New Roman"/>
          <w:color w:val="363636"/>
          <w:spacing w:val="-24"/>
          <w:w w:val="110"/>
          <w:sz w:val="19"/>
        </w:rPr>
        <w:t> </w:t>
      </w:r>
      <w:r>
        <w:rPr>
          <w:rFonts w:ascii="Times New Roman" w:hAnsi="Times New Roman"/>
          <w:color w:val="363636"/>
          <w:w w:val="110"/>
          <w:sz w:val="19"/>
        </w:rPr>
        <w:t>and</w:t>
      </w:r>
      <w:r>
        <w:rPr>
          <w:rFonts w:ascii="Times New Roman" w:hAnsi="Times New Roman"/>
          <w:color w:val="363636"/>
          <w:spacing w:val="-21"/>
          <w:w w:val="110"/>
          <w:sz w:val="19"/>
        </w:rPr>
        <w:t> </w:t>
      </w:r>
      <w:r>
        <w:rPr>
          <w:rFonts w:ascii="Times New Roman" w:hAnsi="Times New Roman"/>
          <w:color w:val="363636"/>
          <w:w w:val="110"/>
          <w:sz w:val="19"/>
        </w:rPr>
        <w:t>other</w:t>
      </w:r>
      <w:r>
        <w:rPr>
          <w:rFonts w:ascii="Times New Roman" w:hAnsi="Times New Roman"/>
          <w:color w:val="363636"/>
          <w:spacing w:val="-24"/>
          <w:w w:val="110"/>
          <w:sz w:val="19"/>
        </w:rPr>
        <w:t> </w:t>
      </w:r>
      <w:r>
        <w:rPr>
          <w:rFonts w:ascii="Times New Roman" w:hAnsi="Times New Roman"/>
          <w:color w:val="363636"/>
          <w:w w:val="110"/>
          <w:sz w:val="19"/>
        </w:rPr>
        <w:t>training</w:t>
      </w:r>
      <w:r>
        <w:rPr>
          <w:rFonts w:ascii="Times New Roman" w:hAnsi="Times New Roman"/>
          <w:color w:val="363636"/>
          <w:spacing w:val="-28"/>
          <w:w w:val="110"/>
          <w:sz w:val="19"/>
        </w:rPr>
        <w:t> </w:t>
      </w:r>
      <w:r>
        <w:rPr>
          <w:rFonts w:ascii="Times New Roman" w:hAnsi="Times New Roman"/>
          <w:color w:val="363636"/>
          <w:w w:val="110"/>
          <w:sz w:val="19"/>
        </w:rPr>
        <w:t>institutions,</w:t>
      </w:r>
      <w:r>
        <w:rPr>
          <w:rFonts w:ascii="Times New Roman" w:hAnsi="Times New Roman"/>
          <w:color w:val="363636"/>
          <w:spacing w:val="-14"/>
          <w:w w:val="110"/>
          <w:sz w:val="19"/>
        </w:rPr>
        <w:t> </w:t>
      </w:r>
      <w:r>
        <w:rPr>
          <w:rFonts w:ascii="Times New Roman" w:hAnsi="Times New Roman"/>
          <w:color w:val="363636"/>
          <w:w w:val="110"/>
          <w:sz w:val="19"/>
        </w:rPr>
        <w:t>and</w:t>
      </w:r>
      <w:r>
        <w:rPr>
          <w:rFonts w:ascii="Times New Roman" w:hAnsi="Times New Roman"/>
          <w:color w:val="363636"/>
          <w:spacing w:val="-14"/>
          <w:w w:val="110"/>
          <w:sz w:val="19"/>
        </w:rPr>
        <w:t> </w:t>
      </w:r>
      <w:r>
        <w:rPr>
          <w:rFonts w:ascii="Times New Roman" w:hAnsi="Times New Roman"/>
          <w:color w:val="363636"/>
          <w:w w:val="110"/>
          <w:sz w:val="19"/>
        </w:rPr>
        <w:t>lay</w:t>
      </w:r>
      <w:r>
        <w:rPr>
          <w:rFonts w:ascii="Times New Roman" w:hAnsi="Times New Roman"/>
          <w:color w:val="363636"/>
          <w:spacing w:val="-21"/>
          <w:w w:val="110"/>
          <w:sz w:val="19"/>
        </w:rPr>
        <w:t> </w:t>
      </w:r>
      <w:r>
        <w:rPr>
          <w:rFonts w:ascii="Times New Roman" w:hAnsi="Times New Roman"/>
          <w:color w:val="363636"/>
          <w:w w:val="110"/>
          <w:sz w:val="19"/>
        </w:rPr>
        <w:t>training</w:t>
      </w:r>
      <w:r>
        <w:rPr>
          <w:rFonts w:ascii="Times New Roman" w:hAnsi="Times New Roman"/>
          <w:color w:val="363636"/>
          <w:spacing w:val="-23"/>
          <w:w w:val="110"/>
          <w:sz w:val="19"/>
        </w:rPr>
        <w:t> </w:t>
      </w:r>
      <w:r>
        <w:rPr>
          <w:rFonts w:ascii="Times New Roman" w:hAnsi="Times New Roman"/>
          <w:color w:val="363636"/>
          <w:spacing w:val="-5"/>
          <w:w w:val="110"/>
          <w:sz w:val="19"/>
        </w:rPr>
        <w:t>thro</w:t>
      </w:r>
      <w:r>
        <w:rPr>
          <w:rFonts w:ascii="Times New Roman" w:hAnsi="Times New Roman"/>
          <w:color w:val="1D1D1D"/>
          <w:spacing w:val="-5"/>
          <w:w w:val="110"/>
          <w:sz w:val="19"/>
        </w:rPr>
        <w:t>u</w:t>
      </w:r>
      <w:r>
        <w:rPr>
          <w:rFonts w:ascii="Times New Roman" w:hAnsi="Times New Roman"/>
          <w:color w:val="363636"/>
          <w:spacing w:val="-5"/>
          <w:w w:val="110"/>
          <w:sz w:val="19"/>
        </w:rPr>
        <w:t>g</w:t>
      </w:r>
      <w:r>
        <w:rPr>
          <w:rFonts w:ascii="Times New Roman" w:hAnsi="Times New Roman"/>
          <w:color w:val="1D1D1D"/>
          <w:spacing w:val="-5"/>
          <w:w w:val="110"/>
          <w:sz w:val="19"/>
        </w:rPr>
        <w:t>h</w:t>
      </w:r>
      <w:r>
        <w:rPr>
          <w:rFonts w:ascii="Times New Roman" w:hAnsi="Times New Roman"/>
          <w:color w:val="1D1D1D"/>
          <w:spacing w:val="-24"/>
          <w:w w:val="110"/>
          <w:sz w:val="19"/>
        </w:rPr>
        <w:t> </w:t>
      </w:r>
      <w:r>
        <w:rPr>
          <w:rFonts w:ascii="Times New Roman" w:hAnsi="Times New Roman"/>
          <w:color w:val="363636"/>
          <w:w w:val="110"/>
          <w:sz w:val="19"/>
        </w:rPr>
        <w:t>our Training</w:t>
      </w:r>
      <w:r>
        <w:rPr>
          <w:rFonts w:ascii="Times New Roman" w:hAnsi="Times New Roman"/>
          <w:color w:val="363636"/>
          <w:spacing w:val="-16"/>
          <w:w w:val="110"/>
          <w:sz w:val="19"/>
        </w:rPr>
        <w:t> </w:t>
      </w:r>
      <w:r>
        <w:rPr>
          <w:rFonts w:ascii="Times New Roman" w:hAnsi="Times New Roman"/>
          <w:color w:val="363636"/>
          <w:w w:val="110"/>
          <w:sz w:val="19"/>
        </w:rPr>
        <w:t>for</w:t>
      </w:r>
      <w:r>
        <w:rPr>
          <w:rFonts w:ascii="Times New Roman" w:hAnsi="Times New Roman"/>
          <w:color w:val="363636"/>
          <w:spacing w:val="-23"/>
          <w:w w:val="110"/>
          <w:sz w:val="19"/>
        </w:rPr>
        <w:t> </w:t>
      </w:r>
      <w:r>
        <w:rPr>
          <w:rFonts w:ascii="Times New Roman" w:hAnsi="Times New Roman"/>
          <w:color w:val="1D1D1D"/>
          <w:w w:val="110"/>
          <w:sz w:val="19"/>
        </w:rPr>
        <w:t>L</w:t>
      </w:r>
      <w:r>
        <w:rPr>
          <w:rFonts w:ascii="Times New Roman" w:hAnsi="Times New Roman"/>
          <w:color w:val="363636"/>
          <w:w w:val="110"/>
          <w:sz w:val="19"/>
        </w:rPr>
        <w:t>earning</w:t>
      </w:r>
      <w:r>
        <w:rPr>
          <w:rFonts w:ascii="Times New Roman" w:hAnsi="Times New Roman"/>
          <w:color w:val="363636"/>
          <w:spacing w:val="-29"/>
          <w:w w:val="110"/>
          <w:sz w:val="19"/>
        </w:rPr>
        <w:t> </w:t>
      </w:r>
      <w:r>
        <w:rPr>
          <w:rFonts w:ascii="Times New Roman" w:hAnsi="Times New Roman"/>
          <w:color w:val="363636"/>
          <w:w w:val="110"/>
          <w:sz w:val="19"/>
        </w:rPr>
        <w:t>and</w:t>
      </w:r>
      <w:r>
        <w:rPr>
          <w:rFonts w:ascii="Times New Roman" w:hAnsi="Times New Roman"/>
          <w:color w:val="363636"/>
          <w:spacing w:val="-22"/>
          <w:w w:val="110"/>
          <w:sz w:val="19"/>
        </w:rPr>
        <w:t> </w:t>
      </w:r>
      <w:r>
        <w:rPr>
          <w:rFonts w:ascii="Times New Roman" w:hAnsi="Times New Roman"/>
          <w:color w:val="363636"/>
          <w:w w:val="110"/>
          <w:sz w:val="19"/>
        </w:rPr>
        <w:t>Servi</w:t>
      </w:r>
      <w:r>
        <w:rPr>
          <w:rFonts w:ascii="Times New Roman" w:hAnsi="Times New Roman"/>
          <w:color w:val="1D1D1D"/>
          <w:w w:val="110"/>
          <w:sz w:val="19"/>
        </w:rPr>
        <w:t>n</w:t>
      </w:r>
      <w:r>
        <w:rPr>
          <w:rFonts w:ascii="Times New Roman" w:hAnsi="Times New Roman"/>
          <w:color w:val="363636"/>
          <w:w w:val="110"/>
          <w:sz w:val="19"/>
        </w:rPr>
        <w:t>g</w:t>
      </w:r>
      <w:r>
        <w:rPr>
          <w:rFonts w:ascii="Times New Roman" w:hAnsi="Times New Roman"/>
          <w:color w:val="363636"/>
          <w:spacing w:val="2"/>
          <w:w w:val="110"/>
          <w:sz w:val="19"/>
        </w:rPr>
        <w:t> </w:t>
      </w:r>
      <w:r>
        <w:rPr>
          <w:rFonts w:ascii="Times New Roman" w:hAnsi="Times New Roman"/>
          <w:color w:val="1D1D1D"/>
          <w:spacing w:val="-2"/>
          <w:w w:val="110"/>
          <w:sz w:val="19"/>
        </w:rPr>
        <w:t>p</w:t>
      </w:r>
      <w:r>
        <w:rPr>
          <w:rFonts w:ascii="Times New Roman" w:hAnsi="Times New Roman"/>
          <w:color w:val="363636"/>
          <w:spacing w:val="-2"/>
          <w:w w:val="110"/>
          <w:sz w:val="19"/>
        </w:rPr>
        <w:t>rograDUlle.</w:t>
      </w:r>
    </w:p>
    <w:p>
      <w:pPr>
        <w:spacing w:line="259" w:lineRule="auto" w:before="133"/>
        <w:ind w:left="461" w:right="890" w:firstLine="4"/>
        <w:jc w:val="both"/>
        <w:rPr>
          <w:rFonts w:ascii="Times New Roman"/>
          <w:sz w:val="19"/>
        </w:rPr>
      </w:pPr>
      <w:r>
        <w:rPr>
          <w:rFonts w:ascii="Times New Roman"/>
          <w:color w:val="363636"/>
          <w:w w:val="105"/>
          <w:sz w:val="19"/>
        </w:rPr>
        <w:t>Our other </w:t>
      </w:r>
      <w:r>
        <w:rPr>
          <w:rFonts w:ascii="Times New Roman"/>
          <w:color w:val="363636"/>
          <w:spacing w:val="-5"/>
          <w:w w:val="105"/>
          <w:sz w:val="19"/>
        </w:rPr>
        <w:t>ma</w:t>
      </w:r>
      <w:r>
        <w:rPr>
          <w:rFonts w:ascii="Times New Roman"/>
          <w:color w:val="1D1D1D"/>
          <w:spacing w:val="-5"/>
          <w:w w:val="105"/>
          <w:sz w:val="19"/>
        </w:rPr>
        <w:t>in </w:t>
      </w:r>
      <w:r>
        <w:rPr>
          <w:rFonts w:ascii="Times New Roman"/>
          <w:color w:val="363636"/>
          <w:w w:val="105"/>
          <w:sz w:val="19"/>
        </w:rPr>
        <w:t>ac</w:t>
      </w:r>
      <w:r>
        <w:rPr>
          <w:rFonts w:ascii="Times New Roman"/>
          <w:color w:val="1D1D1D"/>
          <w:w w:val="105"/>
          <w:sz w:val="19"/>
        </w:rPr>
        <w:t>t</w:t>
      </w:r>
      <w:r>
        <w:rPr>
          <w:rFonts w:ascii="Times New Roman"/>
          <w:color w:val="363636"/>
          <w:w w:val="105"/>
          <w:sz w:val="19"/>
        </w:rPr>
        <w:t>ivities- youth </w:t>
      </w:r>
      <w:r>
        <w:rPr>
          <w:rFonts w:ascii="Times New Roman"/>
          <w:color w:val="1D1D1D"/>
          <w:w w:val="105"/>
          <w:sz w:val="19"/>
        </w:rPr>
        <w:t>l</w:t>
      </w:r>
      <w:r>
        <w:rPr>
          <w:rFonts w:ascii="Times New Roman"/>
          <w:color w:val="363636"/>
          <w:w w:val="105"/>
          <w:sz w:val="19"/>
        </w:rPr>
        <w:t>ea</w:t>
      </w:r>
      <w:r>
        <w:rPr>
          <w:rFonts w:ascii="Times New Roman"/>
          <w:color w:val="1D1D1D"/>
          <w:w w:val="105"/>
          <w:sz w:val="19"/>
        </w:rPr>
        <w:t>der</w:t>
      </w:r>
      <w:r>
        <w:rPr>
          <w:rFonts w:ascii="Times New Roman"/>
          <w:color w:val="363636"/>
          <w:w w:val="105"/>
          <w:sz w:val="19"/>
        </w:rPr>
        <w:t>shi</w:t>
      </w:r>
      <w:r>
        <w:rPr>
          <w:rFonts w:ascii="Times New Roman"/>
          <w:color w:val="1D1D1D"/>
          <w:w w:val="105"/>
          <w:sz w:val="19"/>
        </w:rPr>
        <w:t>p tr</w:t>
      </w:r>
      <w:r>
        <w:rPr>
          <w:rFonts w:ascii="Times New Roman"/>
          <w:color w:val="363636"/>
          <w:w w:val="105"/>
          <w:sz w:val="19"/>
        </w:rPr>
        <w:t>aining and the Fellowship of Uni</w:t>
      </w:r>
      <w:r>
        <w:rPr>
          <w:rFonts w:ascii="Times New Roman"/>
          <w:color w:val="1D1D1D"/>
          <w:w w:val="105"/>
          <w:sz w:val="19"/>
        </w:rPr>
        <w:t>t</w:t>
      </w:r>
      <w:r>
        <w:rPr>
          <w:rFonts w:ascii="Times New Roman"/>
          <w:color w:val="363636"/>
          <w:w w:val="105"/>
          <w:sz w:val="19"/>
        </w:rPr>
        <w:t>ed R</w:t>
      </w:r>
      <w:r>
        <w:rPr>
          <w:rFonts w:ascii="Times New Roman"/>
          <w:color w:val="1D1D1D"/>
          <w:w w:val="105"/>
          <w:sz w:val="19"/>
        </w:rPr>
        <w:t>e</w:t>
      </w:r>
      <w:r>
        <w:rPr>
          <w:rFonts w:ascii="Times New Roman"/>
          <w:color w:val="363636"/>
          <w:w w:val="105"/>
          <w:sz w:val="19"/>
        </w:rPr>
        <w:t>formed Youth, ecumenical involvement at all levels, the Joint </w:t>
      </w:r>
      <w:r>
        <w:rPr>
          <w:rFonts w:ascii="Times New Roman"/>
          <w:color w:val="1D1D1D"/>
          <w:w w:val="105"/>
          <w:sz w:val="19"/>
        </w:rPr>
        <w:t>Publi</w:t>
      </w:r>
      <w:r>
        <w:rPr>
          <w:rFonts w:ascii="Times New Roman"/>
          <w:color w:val="363636"/>
          <w:w w:val="105"/>
          <w:sz w:val="19"/>
        </w:rPr>
        <w:t>c </w:t>
      </w:r>
      <w:r>
        <w:rPr>
          <w:rFonts w:ascii="Times New Roman"/>
          <w:color w:val="1D1D1D"/>
          <w:w w:val="105"/>
          <w:sz w:val="19"/>
        </w:rPr>
        <w:t>I</w:t>
      </w:r>
      <w:r>
        <w:rPr>
          <w:rFonts w:ascii="Times New Roman"/>
          <w:color w:val="363636"/>
          <w:w w:val="105"/>
          <w:sz w:val="19"/>
        </w:rPr>
        <w:t>ssues Team, the Belonging to the W</w:t>
      </w:r>
      <w:r>
        <w:rPr>
          <w:rFonts w:ascii="Times New Roman"/>
          <w:color w:val="1D1D1D"/>
          <w:w w:val="105"/>
          <w:sz w:val="19"/>
        </w:rPr>
        <w:t>orl</w:t>
      </w:r>
      <w:r>
        <w:rPr>
          <w:rFonts w:ascii="Times New Roman"/>
          <w:color w:val="363636"/>
          <w:w w:val="105"/>
          <w:sz w:val="19"/>
        </w:rPr>
        <w:t>d Church programme and our work encouraging multicultura</w:t>
      </w:r>
      <w:r>
        <w:rPr>
          <w:rFonts w:ascii="Times New Roman"/>
          <w:color w:val="1D1D1D"/>
          <w:w w:val="105"/>
          <w:sz w:val="19"/>
        </w:rPr>
        <w:t>l </w:t>
      </w:r>
      <w:r>
        <w:rPr>
          <w:rFonts w:ascii="Times New Roman"/>
          <w:color w:val="363636"/>
          <w:spacing w:val="-3"/>
          <w:w w:val="105"/>
          <w:sz w:val="19"/>
        </w:rPr>
        <w:t>minis</w:t>
      </w:r>
      <w:r>
        <w:rPr>
          <w:rFonts w:ascii="Times New Roman"/>
          <w:color w:val="1D1D1D"/>
          <w:spacing w:val="-3"/>
          <w:w w:val="105"/>
          <w:sz w:val="19"/>
        </w:rPr>
        <w:t>tri</w:t>
      </w:r>
      <w:r>
        <w:rPr>
          <w:rFonts w:ascii="Times New Roman"/>
          <w:color w:val="363636"/>
          <w:spacing w:val="-3"/>
          <w:w w:val="105"/>
          <w:sz w:val="19"/>
        </w:rPr>
        <w:t>es </w:t>
      </w:r>
      <w:r>
        <w:rPr>
          <w:rFonts w:ascii="Times New Roman"/>
          <w:color w:val="1D1D1D"/>
          <w:w w:val="105"/>
          <w:sz w:val="19"/>
        </w:rPr>
        <w:t>a</w:t>
      </w:r>
      <w:r>
        <w:rPr>
          <w:rFonts w:ascii="Times New Roman"/>
          <w:color w:val="363636"/>
          <w:w w:val="105"/>
          <w:sz w:val="19"/>
        </w:rPr>
        <w:t>n</w:t>
      </w:r>
      <w:r>
        <w:rPr>
          <w:rFonts w:ascii="Times New Roman"/>
          <w:color w:val="1D1D1D"/>
          <w:w w:val="105"/>
          <w:sz w:val="19"/>
        </w:rPr>
        <w:t>d </w:t>
      </w:r>
      <w:r>
        <w:rPr>
          <w:rFonts w:ascii="Times New Roman"/>
          <w:color w:val="363636"/>
          <w:w w:val="105"/>
          <w:sz w:val="19"/>
        </w:rPr>
        <w:t>racial justice - are </w:t>
      </w:r>
      <w:r>
        <w:rPr>
          <w:rFonts w:ascii="Times New Roman"/>
          <w:color w:val="363636"/>
          <w:spacing w:val="-5"/>
          <w:w w:val="105"/>
          <w:sz w:val="19"/>
        </w:rPr>
        <w:t>gr</w:t>
      </w:r>
      <w:r>
        <w:rPr>
          <w:rFonts w:ascii="Times New Roman"/>
          <w:color w:val="1D1D1D"/>
          <w:spacing w:val="-5"/>
          <w:w w:val="105"/>
          <w:sz w:val="19"/>
        </w:rPr>
        <w:t>o</w:t>
      </w:r>
      <w:r>
        <w:rPr>
          <w:rFonts w:ascii="Times New Roman"/>
          <w:color w:val="363636"/>
          <w:spacing w:val="-5"/>
          <w:w w:val="105"/>
          <w:sz w:val="19"/>
        </w:rPr>
        <w:t>upe</w:t>
      </w:r>
      <w:r>
        <w:rPr>
          <w:rFonts w:ascii="Times New Roman"/>
          <w:color w:val="1D1D1D"/>
          <w:spacing w:val="-5"/>
          <w:w w:val="105"/>
          <w:sz w:val="19"/>
        </w:rPr>
        <w:t>d </w:t>
      </w:r>
      <w:r>
        <w:rPr>
          <w:rFonts w:ascii="Times New Roman"/>
          <w:color w:val="363636"/>
          <w:w w:val="105"/>
          <w:sz w:val="19"/>
        </w:rPr>
        <w:t>toge</w:t>
      </w:r>
      <w:r>
        <w:rPr>
          <w:rFonts w:ascii="Times New Roman"/>
          <w:color w:val="1D1D1D"/>
          <w:w w:val="105"/>
          <w:sz w:val="19"/>
        </w:rPr>
        <w:t>t</w:t>
      </w:r>
      <w:r>
        <w:rPr>
          <w:rFonts w:ascii="Times New Roman"/>
          <w:color w:val="363636"/>
          <w:w w:val="105"/>
          <w:sz w:val="19"/>
        </w:rPr>
        <w:t>her as Mission activities. Alongside all these </w:t>
      </w:r>
      <w:r>
        <w:rPr>
          <w:rFonts w:ascii="Times New Roman"/>
          <w:color w:val="1D1D1D"/>
          <w:spacing w:val="-6"/>
          <w:w w:val="105"/>
          <w:sz w:val="19"/>
        </w:rPr>
        <w:t>i</w:t>
      </w:r>
      <w:r>
        <w:rPr>
          <w:rFonts w:ascii="Times New Roman"/>
          <w:color w:val="363636"/>
          <w:spacing w:val="-6"/>
          <w:w w:val="105"/>
          <w:sz w:val="19"/>
        </w:rPr>
        <w:t>s </w:t>
      </w:r>
      <w:r>
        <w:rPr>
          <w:rFonts w:ascii="Times New Roman"/>
          <w:color w:val="1D1D1D"/>
          <w:spacing w:val="-4"/>
          <w:w w:val="105"/>
          <w:sz w:val="19"/>
        </w:rPr>
        <w:t>th</w:t>
      </w:r>
      <w:r>
        <w:rPr>
          <w:rFonts w:ascii="Times New Roman"/>
          <w:color w:val="363636"/>
          <w:spacing w:val="-4"/>
          <w:w w:val="105"/>
          <w:sz w:val="19"/>
        </w:rPr>
        <w:t>e </w:t>
      </w:r>
      <w:r>
        <w:rPr>
          <w:rFonts w:ascii="Times New Roman"/>
          <w:color w:val="363636"/>
          <w:w w:val="105"/>
          <w:sz w:val="19"/>
        </w:rPr>
        <w:t>wo</w:t>
      </w:r>
      <w:r>
        <w:rPr>
          <w:rFonts w:ascii="Times New Roman"/>
          <w:color w:val="1D1D1D"/>
          <w:w w:val="105"/>
          <w:sz w:val="19"/>
        </w:rPr>
        <w:t>rk </w:t>
      </w:r>
      <w:r>
        <w:rPr>
          <w:rFonts w:ascii="Times New Roman"/>
          <w:color w:val="363636"/>
          <w:w w:val="105"/>
          <w:sz w:val="19"/>
        </w:rPr>
        <w:t>o</w:t>
      </w:r>
      <w:r>
        <w:rPr>
          <w:rFonts w:ascii="Times New Roman"/>
          <w:color w:val="1D1D1D"/>
          <w:w w:val="105"/>
          <w:sz w:val="19"/>
        </w:rPr>
        <w:t>f pu</w:t>
      </w:r>
      <w:r>
        <w:rPr>
          <w:rFonts w:ascii="Times New Roman"/>
          <w:color w:val="363636"/>
          <w:w w:val="105"/>
          <w:sz w:val="19"/>
        </w:rPr>
        <w:t>b</w:t>
      </w:r>
      <w:r>
        <w:rPr>
          <w:rFonts w:ascii="Times New Roman"/>
          <w:color w:val="1D1D1D"/>
          <w:w w:val="105"/>
          <w:sz w:val="19"/>
        </w:rPr>
        <w:t>l</w:t>
      </w:r>
      <w:r>
        <w:rPr>
          <w:rFonts w:ascii="Times New Roman"/>
          <w:color w:val="363636"/>
          <w:w w:val="105"/>
          <w:sz w:val="19"/>
        </w:rPr>
        <w:t>ishing </w:t>
      </w:r>
      <w:r>
        <w:rPr>
          <w:rFonts w:ascii="Times New Roman"/>
          <w:color w:val="1D1D1D"/>
          <w:w w:val="105"/>
          <w:sz w:val="19"/>
        </w:rPr>
        <w:t>R</w:t>
      </w:r>
      <w:r>
        <w:rPr>
          <w:rFonts w:ascii="Times New Roman"/>
          <w:color w:val="363636"/>
          <w:w w:val="105"/>
          <w:sz w:val="19"/>
        </w:rPr>
        <w:t>eform magazine </w:t>
      </w:r>
      <w:r>
        <w:rPr>
          <w:rFonts w:ascii="Times New Roman"/>
          <w:color w:val="363636"/>
          <w:spacing w:val="-2"/>
          <w:w w:val="105"/>
          <w:sz w:val="19"/>
        </w:rPr>
        <w:t>a</w:t>
      </w:r>
      <w:r>
        <w:rPr>
          <w:rFonts w:ascii="Times New Roman"/>
          <w:color w:val="1D1D1D"/>
          <w:spacing w:val="-2"/>
          <w:w w:val="105"/>
          <w:sz w:val="19"/>
        </w:rPr>
        <w:t>n</w:t>
      </w:r>
      <w:r>
        <w:rPr>
          <w:rFonts w:ascii="Times New Roman"/>
          <w:color w:val="363636"/>
          <w:spacing w:val="-2"/>
          <w:w w:val="105"/>
          <w:sz w:val="19"/>
        </w:rPr>
        <w:t>d </w:t>
      </w:r>
      <w:r>
        <w:rPr>
          <w:rFonts w:ascii="Times New Roman"/>
          <w:color w:val="363636"/>
          <w:w w:val="105"/>
          <w:sz w:val="19"/>
        </w:rPr>
        <w:t>o</w:t>
      </w:r>
      <w:r>
        <w:rPr>
          <w:rFonts w:ascii="Times New Roman"/>
          <w:color w:val="1D1D1D"/>
          <w:w w:val="105"/>
          <w:sz w:val="19"/>
        </w:rPr>
        <w:t>th</w:t>
      </w:r>
      <w:r>
        <w:rPr>
          <w:rFonts w:ascii="Times New Roman"/>
          <w:color w:val="363636"/>
          <w:w w:val="105"/>
          <w:sz w:val="19"/>
        </w:rPr>
        <w:t>er URC pub</w:t>
      </w:r>
      <w:r>
        <w:rPr>
          <w:rFonts w:ascii="Times New Roman"/>
          <w:color w:val="1D1D1D"/>
          <w:w w:val="105"/>
          <w:sz w:val="19"/>
        </w:rPr>
        <w:t>l</w:t>
      </w:r>
      <w:r>
        <w:rPr>
          <w:rFonts w:ascii="Times New Roman"/>
          <w:color w:val="363636"/>
          <w:w w:val="105"/>
          <w:sz w:val="19"/>
        </w:rPr>
        <w:t>ications </w:t>
      </w:r>
      <w:r>
        <w:rPr>
          <w:rFonts w:ascii="Times New Roman"/>
          <w:color w:val="1D1D1D"/>
          <w:spacing w:val="-3"/>
          <w:w w:val="105"/>
          <w:sz w:val="19"/>
        </w:rPr>
        <w:t>b</w:t>
      </w:r>
      <w:r>
        <w:rPr>
          <w:rFonts w:ascii="Times New Roman"/>
          <w:color w:val="363636"/>
          <w:spacing w:val="-3"/>
          <w:w w:val="105"/>
          <w:sz w:val="19"/>
        </w:rPr>
        <w:t>y </w:t>
      </w:r>
      <w:r>
        <w:rPr>
          <w:rFonts w:ascii="Times New Roman"/>
          <w:color w:val="363636"/>
          <w:w w:val="105"/>
          <w:sz w:val="19"/>
        </w:rPr>
        <w:t>o</w:t>
      </w:r>
      <w:r>
        <w:rPr>
          <w:rFonts w:ascii="Times New Roman"/>
          <w:color w:val="1D1D1D"/>
          <w:w w:val="105"/>
          <w:sz w:val="19"/>
        </w:rPr>
        <w:t>ur </w:t>
      </w:r>
      <w:r>
        <w:rPr>
          <w:rFonts w:ascii="Times New Roman"/>
          <w:color w:val="363636"/>
          <w:w w:val="105"/>
          <w:sz w:val="19"/>
        </w:rPr>
        <w:t>Communica</w:t>
      </w:r>
      <w:r>
        <w:rPr>
          <w:rFonts w:ascii="Times New Roman"/>
          <w:color w:val="1D1D1D"/>
          <w:w w:val="105"/>
          <w:sz w:val="19"/>
        </w:rPr>
        <w:t>t</w:t>
      </w:r>
      <w:r>
        <w:rPr>
          <w:rFonts w:ascii="Times New Roman"/>
          <w:color w:val="363636"/>
          <w:w w:val="105"/>
          <w:sz w:val="19"/>
        </w:rPr>
        <w:t>i</w:t>
      </w:r>
      <w:r>
        <w:rPr>
          <w:rFonts w:ascii="Times New Roman"/>
          <w:color w:val="1D1D1D"/>
          <w:w w:val="105"/>
          <w:sz w:val="19"/>
        </w:rPr>
        <w:t>o</w:t>
      </w:r>
      <w:r>
        <w:rPr>
          <w:rFonts w:ascii="Times New Roman"/>
          <w:color w:val="363636"/>
          <w:w w:val="105"/>
          <w:sz w:val="19"/>
        </w:rPr>
        <w:t>ns</w:t>
      </w:r>
      <w:r>
        <w:rPr>
          <w:rFonts w:ascii="Times New Roman"/>
          <w:color w:val="363636"/>
          <w:spacing w:val="-8"/>
          <w:w w:val="105"/>
          <w:sz w:val="19"/>
        </w:rPr>
        <w:t> </w:t>
      </w:r>
      <w:r>
        <w:rPr>
          <w:rFonts w:ascii="Times New Roman"/>
          <w:color w:val="363636"/>
          <w:w w:val="105"/>
          <w:sz w:val="19"/>
        </w:rPr>
        <w:t>team</w:t>
      </w:r>
      <w:r>
        <w:rPr>
          <w:rFonts w:ascii="Times New Roman"/>
          <w:color w:val="363636"/>
          <w:spacing w:val="-21"/>
          <w:w w:val="105"/>
          <w:sz w:val="19"/>
        </w:rPr>
        <w:t> </w:t>
      </w:r>
      <w:r>
        <w:rPr>
          <w:rFonts w:ascii="Times New Roman"/>
          <w:color w:val="363636"/>
          <w:w w:val="105"/>
          <w:sz w:val="19"/>
        </w:rPr>
        <w:t>a</w:t>
      </w:r>
      <w:r>
        <w:rPr>
          <w:rFonts w:ascii="Times New Roman"/>
          <w:color w:val="1D1D1D"/>
          <w:w w:val="105"/>
          <w:sz w:val="19"/>
        </w:rPr>
        <w:t>t</w:t>
      </w:r>
      <w:r>
        <w:rPr>
          <w:rFonts w:ascii="Times New Roman"/>
          <w:color w:val="1D1D1D"/>
          <w:spacing w:val="-6"/>
          <w:w w:val="105"/>
          <w:sz w:val="19"/>
        </w:rPr>
        <w:t> </w:t>
      </w:r>
      <w:r>
        <w:rPr>
          <w:rFonts w:ascii="Times New Roman"/>
          <w:color w:val="363636"/>
          <w:w w:val="105"/>
          <w:sz w:val="19"/>
        </w:rPr>
        <w:t>Church</w:t>
      </w:r>
      <w:r>
        <w:rPr>
          <w:rFonts w:ascii="Times New Roman"/>
          <w:color w:val="363636"/>
          <w:spacing w:val="-14"/>
          <w:w w:val="105"/>
          <w:sz w:val="19"/>
        </w:rPr>
        <w:t> </w:t>
      </w:r>
      <w:r>
        <w:rPr>
          <w:rFonts w:ascii="Times New Roman"/>
          <w:color w:val="363636"/>
          <w:spacing w:val="-3"/>
          <w:w w:val="105"/>
          <w:sz w:val="19"/>
        </w:rPr>
        <w:t>Ho</w:t>
      </w:r>
      <w:r>
        <w:rPr>
          <w:rFonts w:ascii="Times New Roman"/>
          <w:color w:val="1D1D1D"/>
          <w:spacing w:val="-3"/>
          <w:w w:val="105"/>
          <w:sz w:val="19"/>
        </w:rPr>
        <w:t>u</w:t>
      </w:r>
      <w:r>
        <w:rPr>
          <w:rFonts w:ascii="Times New Roman"/>
          <w:color w:val="363636"/>
          <w:spacing w:val="-3"/>
          <w:w w:val="105"/>
          <w:sz w:val="19"/>
        </w:rPr>
        <w:t>se.</w:t>
      </w:r>
    </w:p>
    <w:p>
      <w:pPr>
        <w:pStyle w:val="BodyText"/>
        <w:spacing w:before="11"/>
        <w:rPr>
          <w:rFonts w:ascii="Times New Roman"/>
          <w:sz w:val="17"/>
        </w:rPr>
      </w:pPr>
    </w:p>
    <w:p>
      <w:pPr>
        <w:spacing w:before="0"/>
        <w:ind w:left="458" w:right="0" w:firstLine="0"/>
        <w:jc w:val="both"/>
        <w:rPr>
          <w:rFonts w:ascii="Times New Roman"/>
          <w:b/>
          <w:sz w:val="21"/>
        </w:rPr>
      </w:pPr>
      <w:bookmarkStart w:name="_TOC_250016" w:id="5"/>
      <w:r>
        <w:rPr>
          <w:rFonts w:ascii="Times New Roman"/>
          <w:b/>
          <w:color w:val="1D1D1D"/>
          <w:w w:val="110"/>
          <w:sz w:val="21"/>
        </w:rPr>
        <w:t>FUTURE D</w:t>
      </w:r>
      <w:r>
        <w:rPr>
          <w:rFonts w:ascii="Times New Roman"/>
          <w:b/>
          <w:color w:val="363636"/>
          <w:w w:val="110"/>
          <w:sz w:val="21"/>
        </w:rPr>
        <w:t>E</w:t>
      </w:r>
      <w:r>
        <w:rPr>
          <w:rFonts w:ascii="Times New Roman"/>
          <w:b/>
          <w:color w:val="1D1D1D"/>
          <w:w w:val="110"/>
          <w:sz w:val="21"/>
        </w:rPr>
        <w:t>VELOPME</w:t>
      </w:r>
      <w:r>
        <w:rPr>
          <w:rFonts w:ascii="Times New Roman"/>
          <w:b/>
          <w:color w:val="363636"/>
          <w:w w:val="110"/>
          <w:sz w:val="21"/>
        </w:rPr>
        <w:t>N</w:t>
      </w:r>
      <w:r>
        <w:rPr>
          <w:rFonts w:ascii="Times New Roman"/>
          <w:b/>
          <w:color w:val="1D1D1D"/>
          <w:w w:val="110"/>
          <w:sz w:val="21"/>
        </w:rPr>
        <w:t>T</w:t>
      </w:r>
      <w:bookmarkEnd w:id="5"/>
      <w:r>
        <w:rPr>
          <w:rFonts w:ascii="Times New Roman"/>
          <w:b/>
          <w:color w:val="363636"/>
          <w:w w:val="110"/>
          <w:sz w:val="21"/>
        </w:rPr>
        <w:t>S</w:t>
      </w:r>
    </w:p>
    <w:p>
      <w:pPr>
        <w:spacing w:line="264" w:lineRule="auto" w:before="124"/>
        <w:ind w:left="456" w:right="902" w:firstLine="4"/>
        <w:jc w:val="both"/>
        <w:rPr>
          <w:rFonts w:ascii="Times New Roman"/>
          <w:sz w:val="19"/>
        </w:rPr>
      </w:pPr>
      <w:r>
        <w:rPr>
          <w:rFonts w:ascii="Times New Roman"/>
          <w:color w:val="363636"/>
          <w:w w:val="105"/>
          <w:sz w:val="19"/>
        </w:rPr>
        <w:t>We move </w:t>
      </w:r>
      <w:r>
        <w:rPr>
          <w:rFonts w:ascii="Times New Roman"/>
          <w:color w:val="1D1D1D"/>
          <w:w w:val="105"/>
          <w:sz w:val="19"/>
        </w:rPr>
        <w:t>n</w:t>
      </w:r>
      <w:r>
        <w:rPr>
          <w:rFonts w:ascii="Times New Roman"/>
          <w:color w:val="363636"/>
          <w:w w:val="105"/>
          <w:sz w:val="19"/>
        </w:rPr>
        <w:t>ow into the second phase </w:t>
      </w:r>
      <w:r>
        <w:rPr>
          <w:rFonts w:ascii="Times New Roman"/>
          <w:color w:val="1D1D1D"/>
          <w:w w:val="105"/>
          <w:sz w:val="19"/>
        </w:rPr>
        <w:t>o</w:t>
      </w:r>
      <w:r>
        <w:rPr>
          <w:rFonts w:ascii="Times New Roman"/>
          <w:color w:val="363636"/>
          <w:w w:val="105"/>
          <w:sz w:val="19"/>
        </w:rPr>
        <w:t>f the </w:t>
      </w:r>
      <w:r>
        <w:rPr>
          <w:rFonts w:ascii="Times New Roman"/>
          <w:color w:val="4F4F4F"/>
          <w:w w:val="105"/>
          <w:sz w:val="19"/>
        </w:rPr>
        <w:t>' </w:t>
      </w:r>
      <w:r>
        <w:rPr>
          <w:rFonts w:ascii="Times New Roman"/>
          <w:color w:val="1D1D1D"/>
          <w:w w:val="105"/>
          <w:sz w:val="19"/>
        </w:rPr>
        <w:t>C</w:t>
      </w:r>
      <w:r>
        <w:rPr>
          <w:rFonts w:ascii="Times New Roman"/>
          <w:color w:val="363636"/>
          <w:w w:val="105"/>
          <w:sz w:val="19"/>
        </w:rPr>
        <w:t>atch </w:t>
      </w:r>
      <w:r>
        <w:rPr>
          <w:rFonts w:ascii="Times New Roman"/>
          <w:color w:val="1D1D1D"/>
          <w:w w:val="105"/>
          <w:sz w:val="19"/>
        </w:rPr>
        <w:t>th</w:t>
      </w:r>
      <w:r>
        <w:rPr>
          <w:rFonts w:ascii="Times New Roman"/>
          <w:color w:val="363636"/>
          <w:w w:val="105"/>
          <w:sz w:val="19"/>
        </w:rPr>
        <w:t>e Vision</w:t>
      </w:r>
      <w:r>
        <w:rPr>
          <w:rFonts w:ascii="Times New Roman"/>
          <w:color w:val="5D5D5D"/>
          <w:w w:val="105"/>
          <w:sz w:val="19"/>
        </w:rPr>
        <w:t>' </w:t>
      </w:r>
      <w:r>
        <w:rPr>
          <w:rFonts w:ascii="Times New Roman"/>
          <w:color w:val="363636"/>
          <w:w w:val="105"/>
          <w:sz w:val="19"/>
        </w:rPr>
        <w:t>process. As we seek to help the Church main</w:t>
      </w:r>
      <w:r>
        <w:rPr>
          <w:rFonts w:ascii="Times New Roman"/>
          <w:color w:val="1D1D1D"/>
          <w:w w:val="105"/>
          <w:sz w:val="19"/>
        </w:rPr>
        <w:t>t</w:t>
      </w:r>
      <w:r>
        <w:rPr>
          <w:rFonts w:ascii="Times New Roman"/>
          <w:color w:val="363636"/>
          <w:w w:val="105"/>
          <w:sz w:val="19"/>
        </w:rPr>
        <w:t>ain and develop </w:t>
      </w:r>
      <w:r>
        <w:rPr>
          <w:rFonts w:ascii="Times New Roman"/>
          <w:color w:val="4F4F4F"/>
          <w:w w:val="105"/>
          <w:sz w:val="19"/>
        </w:rPr>
        <w:t>its </w:t>
      </w:r>
      <w:r>
        <w:rPr>
          <w:rFonts w:ascii="Times New Roman"/>
          <w:color w:val="363636"/>
          <w:w w:val="105"/>
          <w:sz w:val="19"/>
        </w:rPr>
        <w:t>witness and its engage</w:t>
      </w:r>
      <w:r>
        <w:rPr>
          <w:rFonts w:ascii="Times New Roman"/>
          <w:color w:val="1D1D1D"/>
          <w:w w:val="105"/>
          <w:sz w:val="19"/>
        </w:rPr>
        <w:t>m</w:t>
      </w:r>
      <w:r>
        <w:rPr>
          <w:rFonts w:ascii="Times New Roman"/>
          <w:color w:val="363636"/>
          <w:w w:val="105"/>
          <w:sz w:val="19"/>
        </w:rPr>
        <w:t>e</w:t>
      </w:r>
      <w:r>
        <w:rPr>
          <w:rFonts w:ascii="Times New Roman"/>
          <w:color w:val="1D1D1D"/>
          <w:w w:val="105"/>
          <w:sz w:val="19"/>
        </w:rPr>
        <w:t>n</w:t>
      </w:r>
      <w:r>
        <w:rPr>
          <w:rFonts w:ascii="Times New Roman"/>
          <w:color w:val="363636"/>
          <w:w w:val="105"/>
          <w:sz w:val="19"/>
        </w:rPr>
        <w:t>t with contemporary society, we have:</w:t>
      </w:r>
    </w:p>
    <w:p>
      <w:pPr>
        <w:pStyle w:val="ListParagraph"/>
        <w:numPr>
          <w:ilvl w:val="1"/>
          <w:numId w:val="214"/>
        </w:numPr>
        <w:tabs>
          <w:tab w:pos="1197" w:val="left" w:leader="none"/>
          <w:tab w:pos="1198" w:val="left" w:leader="none"/>
        </w:tabs>
        <w:spacing w:line="254" w:lineRule="auto" w:before="125" w:after="0"/>
        <w:ind w:left="1195" w:right="888" w:hanging="368"/>
        <w:jc w:val="left"/>
        <w:rPr>
          <w:rFonts w:ascii="Times New Roman" w:hAnsi="Times New Roman"/>
          <w:color w:val="1D1D1D"/>
          <w:sz w:val="19"/>
        </w:rPr>
      </w:pPr>
      <w:r>
        <w:rPr>
          <w:rFonts w:ascii="Times New Roman" w:hAnsi="Times New Roman"/>
          <w:color w:val="363636"/>
          <w:w w:val="110"/>
          <w:sz w:val="19"/>
        </w:rPr>
        <w:t>Created</w:t>
      </w:r>
      <w:r>
        <w:rPr>
          <w:rFonts w:ascii="Times New Roman" w:hAnsi="Times New Roman"/>
          <w:color w:val="363636"/>
          <w:spacing w:val="-5"/>
          <w:w w:val="110"/>
          <w:sz w:val="19"/>
        </w:rPr>
        <w:t> </w:t>
      </w:r>
      <w:r>
        <w:rPr>
          <w:rFonts w:ascii="Times New Roman" w:hAnsi="Times New Roman"/>
          <w:color w:val="363636"/>
          <w:w w:val="110"/>
          <w:sz w:val="19"/>
        </w:rPr>
        <w:t>a</w:t>
      </w:r>
      <w:r>
        <w:rPr>
          <w:rFonts w:ascii="Times New Roman" w:hAnsi="Times New Roman"/>
          <w:color w:val="363636"/>
          <w:spacing w:val="-7"/>
          <w:w w:val="110"/>
          <w:sz w:val="19"/>
        </w:rPr>
        <w:t> </w:t>
      </w:r>
      <w:r>
        <w:rPr>
          <w:rFonts w:ascii="Times New Roman" w:hAnsi="Times New Roman"/>
          <w:color w:val="363636"/>
          <w:w w:val="110"/>
          <w:sz w:val="19"/>
        </w:rPr>
        <w:t>new</w:t>
      </w:r>
      <w:r>
        <w:rPr>
          <w:rFonts w:ascii="Times New Roman" w:hAnsi="Times New Roman"/>
          <w:color w:val="363636"/>
          <w:spacing w:val="-17"/>
          <w:w w:val="110"/>
          <w:sz w:val="19"/>
        </w:rPr>
        <w:t> </w:t>
      </w:r>
      <w:r>
        <w:rPr>
          <w:rFonts w:ascii="Times New Roman" w:hAnsi="Times New Roman"/>
          <w:color w:val="363636"/>
          <w:w w:val="110"/>
          <w:sz w:val="19"/>
        </w:rPr>
        <w:t>focus</w:t>
      </w:r>
      <w:r>
        <w:rPr>
          <w:rFonts w:ascii="Times New Roman" w:hAnsi="Times New Roman"/>
          <w:color w:val="363636"/>
          <w:spacing w:val="-19"/>
          <w:w w:val="110"/>
          <w:sz w:val="19"/>
        </w:rPr>
        <w:t> </w:t>
      </w:r>
      <w:r>
        <w:rPr>
          <w:rFonts w:ascii="Times New Roman" w:hAnsi="Times New Roman"/>
          <w:color w:val="363636"/>
          <w:w w:val="110"/>
          <w:sz w:val="19"/>
        </w:rPr>
        <w:t>on</w:t>
      </w:r>
      <w:r>
        <w:rPr>
          <w:rFonts w:ascii="Times New Roman" w:hAnsi="Times New Roman"/>
          <w:color w:val="363636"/>
          <w:spacing w:val="-9"/>
          <w:w w:val="110"/>
          <w:sz w:val="19"/>
        </w:rPr>
        <w:t> </w:t>
      </w:r>
      <w:r>
        <w:rPr>
          <w:rFonts w:ascii="Times New Roman" w:hAnsi="Times New Roman"/>
          <w:color w:val="363636"/>
          <w:spacing w:val="-4"/>
          <w:w w:val="110"/>
          <w:sz w:val="19"/>
        </w:rPr>
        <w:t>mis</w:t>
      </w:r>
      <w:r>
        <w:rPr>
          <w:rFonts w:ascii="Times New Roman" w:hAnsi="Times New Roman"/>
          <w:color w:val="1D1D1D"/>
          <w:spacing w:val="-4"/>
          <w:w w:val="110"/>
          <w:sz w:val="19"/>
        </w:rPr>
        <w:t>si</w:t>
      </w:r>
      <w:r>
        <w:rPr>
          <w:rFonts w:ascii="Times New Roman" w:hAnsi="Times New Roman"/>
          <w:color w:val="363636"/>
          <w:spacing w:val="-4"/>
          <w:w w:val="110"/>
          <w:sz w:val="19"/>
        </w:rPr>
        <w:t>on</w:t>
      </w:r>
      <w:r>
        <w:rPr>
          <w:rFonts w:ascii="Times New Roman" w:hAnsi="Times New Roman"/>
          <w:color w:val="363636"/>
          <w:spacing w:val="2"/>
          <w:w w:val="110"/>
          <w:sz w:val="19"/>
        </w:rPr>
        <w:t> </w:t>
      </w:r>
      <w:r>
        <w:rPr>
          <w:rFonts w:ascii="Times New Roman" w:hAnsi="Times New Roman"/>
          <w:color w:val="363636"/>
          <w:w w:val="110"/>
          <w:sz w:val="19"/>
        </w:rPr>
        <w:t>by</w:t>
      </w:r>
      <w:r>
        <w:rPr>
          <w:rFonts w:ascii="Times New Roman" w:hAnsi="Times New Roman"/>
          <w:color w:val="363636"/>
          <w:spacing w:val="-6"/>
          <w:w w:val="110"/>
          <w:sz w:val="19"/>
        </w:rPr>
        <w:t> </w:t>
      </w:r>
      <w:r>
        <w:rPr>
          <w:rFonts w:ascii="Times New Roman" w:hAnsi="Times New Roman"/>
          <w:color w:val="363636"/>
          <w:w w:val="110"/>
          <w:sz w:val="19"/>
        </w:rPr>
        <w:t>re-s</w:t>
      </w:r>
      <w:r>
        <w:rPr>
          <w:rFonts w:ascii="Times New Roman" w:hAnsi="Times New Roman"/>
          <w:color w:val="1D1D1D"/>
          <w:w w:val="110"/>
          <w:sz w:val="19"/>
        </w:rPr>
        <w:t>tru</w:t>
      </w:r>
      <w:r>
        <w:rPr>
          <w:rFonts w:ascii="Times New Roman" w:hAnsi="Times New Roman"/>
          <w:color w:val="363636"/>
          <w:w w:val="110"/>
          <w:sz w:val="19"/>
        </w:rPr>
        <w:t>cturing</w:t>
      </w:r>
      <w:r>
        <w:rPr>
          <w:rFonts w:ascii="Times New Roman" w:hAnsi="Times New Roman"/>
          <w:color w:val="363636"/>
          <w:spacing w:val="-36"/>
          <w:w w:val="110"/>
          <w:sz w:val="19"/>
        </w:rPr>
        <w:t> </w:t>
      </w:r>
      <w:r>
        <w:rPr>
          <w:rFonts w:ascii="Times New Roman" w:hAnsi="Times New Roman"/>
          <w:color w:val="1D1D1D"/>
          <w:spacing w:val="-4"/>
          <w:w w:val="110"/>
          <w:sz w:val="19"/>
        </w:rPr>
        <w:t>t</w:t>
      </w:r>
      <w:r>
        <w:rPr>
          <w:rFonts w:ascii="Times New Roman" w:hAnsi="Times New Roman"/>
          <w:color w:val="363636"/>
          <w:spacing w:val="-4"/>
          <w:w w:val="110"/>
          <w:sz w:val="19"/>
        </w:rPr>
        <w:t>he</w:t>
      </w:r>
      <w:r>
        <w:rPr>
          <w:rFonts w:ascii="Times New Roman" w:hAnsi="Times New Roman"/>
          <w:color w:val="363636"/>
          <w:spacing w:val="-18"/>
          <w:w w:val="110"/>
          <w:sz w:val="19"/>
        </w:rPr>
        <w:t> </w:t>
      </w:r>
      <w:r>
        <w:rPr>
          <w:rFonts w:ascii="Times New Roman" w:hAnsi="Times New Roman"/>
          <w:color w:val="363636"/>
          <w:w w:val="110"/>
          <w:sz w:val="19"/>
        </w:rPr>
        <w:t>Assembly's</w:t>
      </w:r>
      <w:r>
        <w:rPr>
          <w:rFonts w:ascii="Times New Roman" w:hAnsi="Times New Roman"/>
          <w:color w:val="363636"/>
          <w:spacing w:val="-10"/>
          <w:w w:val="110"/>
          <w:sz w:val="19"/>
        </w:rPr>
        <w:t> </w:t>
      </w:r>
      <w:r>
        <w:rPr>
          <w:rFonts w:ascii="Times New Roman" w:hAnsi="Times New Roman"/>
          <w:color w:val="363636"/>
          <w:w w:val="110"/>
          <w:sz w:val="19"/>
        </w:rPr>
        <w:t>committee</w:t>
      </w:r>
      <w:r>
        <w:rPr>
          <w:rFonts w:ascii="Times New Roman" w:hAnsi="Times New Roman"/>
          <w:color w:val="363636"/>
          <w:spacing w:val="-3"/>
          <w:w w:val="110"/>
          <w:sz w:val="19"/>
        </w:rPr>
        <w:t> </w:t>
      </w:r>
      <w:r>
        <w:rPr>
          <w:rFonts w:ascii="Times New Roman" w:hAnsi="Times New Roman"/>
          <w:color w:val="363636"/>
          <w:w w:val="110"/>
          <w:sz w:val="19"/>
        </w:rPr>
        <w:t>work,</w:t>
      </w:r>
      <w:r>
        <w:rPr>
          <w:rFonts w:ascii="Times New Roman" w:hAnsi="Times New Roman"/>
          <w:color w:val="363636"/>
          <w:spacing w:val="-7"/>
          <w:w w:val="110"/>
          <w:sz w:val="19"/>
        </w:rPr>
        <w:t> </w:t>
      </w:r>
      <w:r>
        <w:rPr>
          <w:rFonts w:ascii="Times New Roman" w:hAnsi="Times New Roman"/>
          <w:color w:val="363636"/>
          <w:w w:val="110"/>
          <w:sz w:val="19"/>
        </w:rPr>
        <w:t>and</w:t>
      </w:r>
      <w:r>
        <w:rPr>
          <w:rFonts w:ascii="Times New Roman" w:hAnsi="Times New Roman"/>
          <w:color w:val="363636"/>
          <w:spacing w:val="-7"/>
          <w:w w:val="110"/>
          <w:sz w:val="19"/>
        </w:rPr>
        <w:t> </w:t>
      </w:r>
      <w:r>
        <w:rPr>
          <w:rFonts w:ascii="Times New Roman" w:hAnsi="Times New Roman"/>
          <w:color w:val="363636"/>
          <w:w w:val="110"/>
          <w:sz w:val="19"/>
        </w:rPr>
        <w:t>creating</w:t>
      </w:r>
      <w:r>
        <w:rPr>
          <w:rFonts w:ascii="Times New Roman" w:hAnsi="Times New Roman"/>
          <w:color w:val="363636"/>
          <w:spacing w:val="-14"/>
          <w:w w:val="110"/>
          <w:sz w:val="19"/>
        </w:rPr>
        <w:t> </w:t>
      </w:r>
      <w:r>
        <w:rPr>
          <w:rFonts w:ascii="Times New Roman" w:hAnsi="Times New Roman"/>
          <w:color w:val="363636"/>
          <w:w w:val="110"/>
          <w:sz w:val="19"/>
        </w:rPr>
        <w:t>a</w:t>
      </w:r>
      <w:r>
        <w:rPr>
          <w:rFonts w:ascii="Times New Roman" w:hAnsi="Times New Roman"/>
          <w:color w:val="363636"/>
          <w:spacing w:val="-5"/>
          <w:w w:val="110"/>
          <w:sz w:val="19"/>
        </w:rPr>
        <w:t> </w:t>
      </w:r>
      <w:r>
        <w:rPr>
          <w:rFonts w:ascii="Times New Roman" w:hAnsi="Times New Roman"/>
          <w:color w:val="363636"/>
          <w:w w:val="110"/>
          <w:sz w:val="19"/>
        </w:rPr>
        <w:t>new post</w:t>
      </w:r>
      <w:r>
        <w:rPr>
          <w:rFonts w:ascii="Times New Roman" w:hAnsi="Times New Roman"/>
          <w:color w:val="363636"/>
          <w:spacing w:val="-18"/>
          <w:w w:val="110"/>
          <w:sz w:val="19"/>
        </w:rPr>
        <w:t> </w:t>
      </w:r>
      <w:r>
        <w:rPr>
          <w:rFonts w:ascii="Times New Roman" w:hAnsi="Times New Roman"/>
          <w:color w:val="363636"/>
          <w:w w:val="110"/>
          <w:sz w:val="19"/>
        </w:rPr>
        <w:t>of</w:t>
      </w:r>
      <w:r>
        <w:rPr>
          <w:rFonts w:ascii="Times New Roman" w:hAnsi="Times New Roman"/>
          <w:color w:val="363636"/>
          <w:spacing w:val="-23"/>
          <w:w w:val="110"/>
          <w:sz w:val="19"/>
        </w:rPr>
        <w:t> </w:t>
      </w:r>
      <w:r>
        <w:rPr>
          <w:rFonts w:ascii="Times New Roman" w:hAnsi="Times New Roman"/>
          <w:color w:val="363636"/>
          <w:w w:val="110"/>
          <w:sz w:val="19"/>
        </w:rPr>
        <w:t>Secretary</w:t>
      </w:r>
      <w:r>
        <w:rPr>
          <w:rFonts w:ascii="Times New Roman" w:hAnsi="Times New Roman"/>
          <w:color w:val="363636"/>
          <w:spacing w:val="-23"/>
          <w:w w:val="110"/>
          <w:sz w:val="19"/>
        </w:rPr>
        <w:t> </w:t>
      </w:r>
      <w:r>
        <w:rPr>
          <w:rFonts w:ascii="Times New Roman" w:hAnsi="Times New Roman"/>
          <w:color w:val="363636"/>
          <w:w w:val="110"/>
          <w:sz w:val="19"/>
        </w:rPr>
        <w:t>for</w:t>
      </w:r>
      <w:r>
        <w:rPr>
          <w:rFonts w:ascii="Times New Roman" w:hAnsi="Times New Roman"/>
          <w:color w:val="363636"/>
          <w:spacing w:val="-8"/>
          <w:w w:val="110"/>
          <w:sz w:val="19"/>
        </w:rPr>
        <w:t> </w:t>
      </w:r>
      <w:r>
        <w:rPr>
          <w:rFonts w:ascii="Times New Roman" w:hAnsi="Times New Roman"/>
          <w:color w:val="1D1D1D"/>
          <w:w w:val="110"/>
          <w:sz w:val="19"/>
        </w:rPr>
        <w:t>M</w:t>
      </w:r>
      <w:r>
        <w:rPr>
          <w:rFonts w:ascii="Times New Roman" w:hAnsi="Times New Roman"/>
          <w:color w:val="363636"/>
          <w:w w:val="110"/>
          <w:sz w:val="19"/>
        </w:rPr>
        <w:t>iss</w:t>
      </w:r>
      <w:r>
        <w:rPr>
          <w:rFonts w:ascii="Times New Roman" w:hAnsi="Times New Roman"/>
          <w:color w:val="1D1D1D"/>
          <w:w w:val="110"/>
          <w:sz w:val="19"/>
        </w:rPr>
        <w:t>i</w:t>
      </w:r>
      <w:r>
        <w:rPr>
          <w:rFonts w:ascii="Times New Roman" w:hAnsi="Times New Roman"/>
          <w:color w:val="363636"/>
          <w:w w:val="110"/>
          <w:sz w:val="19"/>
        </w:rPr>
        <w:t>on.</w:t>
      </w:r>
      <w:r>
        <w:rPr>
          <w:rFonts w:ascii="Times New Roman" w:hAnsi="Times New Roman"/>
          <w:color w:val="363636"/>
          <w:spacing w:val="-3"/>
          <w:w w:val="110"/>
          <w:sz w:val="19"/>
        </w:rPr>
        <w:t> </w:t>
      </w:r>
      <w:r>
        <w:rPr>
          <w:rFonts w:ascii="Times New Roman" w:hAnsi="Times New Roman"/>
          <w:color w:val="363636"/>
          <w:w w:val="110"/>
          <w:sz w:val="19"/>
        </w:rPr>
        <w:t>(</w:t>
      </w:r>
      <w:r>
        <w:rPr>
          <w:rFonts w:ascii="Times New Roman" w:hAnsi="Times New Roman"/>
          <w:color w:val="1D1D1D"/>
          <w:w w:val="110"/>
          <w:sz w:val="19"/>
        </w:rPr>
        <w:t>th</w:t>
      </w:r>
      <w:r>
        <w:rPr>
          <w:rFonts w:ascii="Times New Roman" w:hAnsi="Times New Roman"/>
          <w:color w:val="363636"/>
          <w:w w:val="110"/>
          <w:sz w:val="19"/>
        </w:rPr>
        <w:t>ese</w:t>
      </w:r>
      <w:r>
        <w:rPr>
          <w:rFonts w:ascii="Times New Roman" w:hAnsi="Times New Roman"/>
          <w:color w:val="363636"/>
          <w:spacing w:val="1"/>
          <w:w w:val="110"/>
          <w:sz w:val="19"/>
        </w:rPr>
        <w:t> </w:t>
      </w:r>
      <w:r>
        <w:rPr>
          <w:rFonts w:ascii="Times New Roman" w:hAnsi="Times New Roman"/>
          <w:color w:val="1D1D1D"/>
          <w:w w:val="110"/>
          <w:sz w:val="19"/>
        </w:rPr>
        <w:t>p</w:t>
      </w:r>
      <w:r>
        <w:rPr>
          <w:rFonts w:ascii="Times New Roman" w:hAnsi="Times New Roman"/>
          <w:color w:val="363636"/>
          <w:w w:val="110"/>
          <w:sz w:val="19"/>
        </w:rPr>
        <w:t>roposals</w:t>
      </w:r>
      <w:r>
        <w:rPr>
          <w:rFonts w:ascii="Times New Roman" w:hAnsi="Times New Roman"/>
          <w:color w:val="363636"/>
          <w:spacing w:val="-3"/>
          <w:w w:val="110"/>
          <w:sz w:val="19"/>
        </w:rPr>
        <w:t> </w:t>
      </w:r>
      <w:r>
        <w:rPr>
          <w:rFonts w:ascii="Times New Roman" w:hAnsi="Times New Roman"/>
          <w:color w:val="363636"/>
          <w:w w:val="110"/>
          <w:sz w:val="19"/>
        </w:rPr>
        <w:t>are</w:t>
      </w:r>
      <w:r>
        <w:rPr>
          <w:rFonts w:ascii="Times New Roman" w:hAnsi="Times New Roman"/>
          <w:color w:val="363636"/>
          <w:spacing w:val="-6"/>
          <w:w w:val="110"/>
          <w:sz w:val="19"/>
        </w:rPr>
        <w:t> </w:t>
      </w:r>
      <w:r>
        <w:rPr>
          <w:rFonts w:ascii="Times New Roman" w:hAnsi="Times New Roman"/>
          <w:color w:val="363636"/>
          <w:w w:val="110"/>
          <w:sz w:val="19"/>
        </w:rPr>
        <w:t>before</w:t>
      </w:r>
      <w:r>
        <w:rPr>
          <w:rFonts w:ascii="Times New Roman" w:hAnsi="Times New Roman"/>
          <w:color w:val="363636"/>
          <w:spacing w:val="-16"/>
          <w:w w:val="110"/>
          <w:sz w:val="19"/>
        </w:rPr>
        <w:t> </w:t>
      </w:r>
      <w:r>
        <w:rPr>
          <w:rFonts w:ascii="Times New Roman" w:hAnsi="Times New Roman"/>
          <w:color w:val="363636"/>
          <w:w w:val="110"/>
          <w:sz w:val="19"/>
        </w:rPr>
        <w:t>this</w:t>
      </w:r>
      <w:r>
        <w:rPr>
          <w:rFonts w:ascii="Times New Roman" w:hAnsi="Times New Roman"/>
          <w:color w:val="363636"/>
          <w:spacing w:val="-9"/>
          <w:w w:val="110"/>
          <w:sz w:val="19"/>
        </w:rPr>
        <w:t> </w:t>
      </w:r>
      <w:r>
        <w:rPr>
          <w:rFonts w:ascii="Times New Roman" w:hAnsi="Times New Roman"/>
          <w:color w:val="363636"/>
          <w:w w:val="110"/>
          <w:sz w:val="19"/>
        </w:rPr>
        <w:t>year's</w:t>
      </w:r>
      <w:r>
        <w:rPr>
          <w:rFonts w:ascii="Times New Roman" w:hAnsi="Times New Roman"/>
          <w:color w:val="363636"/>
          <w:spacing w:val="-16"/>
          <w:w w:val="110"/>
          <w:sz w:val="19"/>
        </w:rPr>
        <w:t> </w:t>
      </w:r>
      <w:r>
        <w:rPr>
          <w:rFonts w:ascii="Times New Roman" w:hAnsi="Times New Roman"/>
          <w:color w:val="363636"/>
          <w:w w:val="110"/>
          <w:sz w:val="19"/>
        </w:rPr>
        <w:t>Assembly)</w:t>
      </w:r>
    </w:p>
    <w:p>
      <w:pPr>
        <w:pStyle w:val="ListParagraph"/>
        <w:numPr>
          <w:ilvl w:val="1"/>
          <w:numId w:val="214"/>
        </w:numPr>
        <w:tabs>
          <w:tab w:pos="1197" w:val="left" w:leader="none"/>
          <w:tab w:pos="1198" w:val="left" w:leader="none"/>
        </w:tabs>
        <w:spacing w:line="254" w:lineRule="auto" w:before="18" w:after="0"/>
        <w:ind w:left="1202" w:right="897" w:hanging="375"/>
        <w:jc w:val="left"/>
        <w:rPr>
          <w:rFonts w:ascii="Times New Roman" w:hAnsi="Times New Roman"/>
          <w:color w:val="1D1D1D"/>
          <w:sz w:val="19"/>
        </w:rPr>
      </w:pPr>
      <w:r>
        <w:rPr>
          <w:rFonts w:ascii="Times New Roman" w:hAnsi="Times New Roman"/>
          <w:color w:val="363636"/>
          <w:w w:val="105"/>
          <w:sz w:val="19"/>
        </w:rPr>
        <w:t>Commissioned a programme on the Bib</w:t>
      </w:r>
      <w:r>
        <w:rPr>
          <w:rFonts w:ascii="Times New Roman" w:hAnsi="Times New Roman"/>
          <w:color w:val="1D1D1D"/>
          <w:w w:val="105"/>
          <w:sz w:val="19"/>
        </w:rPr>
        <w:t>l</w:t>
      </w:r>
      <w:r>
        <w:rPr>
          <w:rFonts w:ascii="Times New Roman" w:hAnsi="Times New Roman"/>
          <w:color w:val="363636"/>
          <w:w w:val="105"/>
          <w:sz w:val="19"/>
        </w:rPr>
        <w:t>e</w:t>
      </w:r>
      <w:r>
        <w:rPr>
          <w:rFonts w:ascii="Times New Roman" w:hAnsi="Times New Roman"/>
          <w:color w:val="5D5D5D"/>
          <w:w w:val="105"/>
          <w:sz w:val="19"/>
        </w:rPr>
        <w:t>, </w:t>
      </w:r>
      <w:r>
        <w:rPr>
          <w:rFonts w:ascii="Times New Roman" w:hAnsi="Times New Roman"/>
          <w:color w:val="363636"/>
          <w:w w:val="105"/>
          <w:sz w:val="19"/>
        </w:rPr>
        <w:t>evangelism and </w:t>
      </w:r>
      <w:r>
        <w:rPr>
          <w:rFonts w:ascii="Times New Roman" w:hAnsi="Times New Roman"/>
          <w:color w:val="363636"/>
          <w:spacing w:val="-4"/>
          <w:w w:val="105"/>
          <w:sz w:val="19"/>
        </w:rPr>
        <w:t>spiritua</w:t>
      </w:r>
      <w:r>
        <w:rPr>
          <w:rFonts w:ascii="Times New Roman" w:hAnsi="Times New Roman"/>
          <w:color w:val="1D1D1D"/>
          <w:spacing w:val="-4"/>
          <w:w w:val="105"/>
          <w:sz w:val="19"/>
        </w:rPr>
        <w:t>l</w:t>
      </w:r>
      <w:r>
        <w:rPr>
          <w:rFonts w:ascii="Times New Roman" w:hAnsi="Times New Roman"/>
          <w:color w:val="363636"/>
          <w:spacing w:val="-4"/>
          <w:w w:val="105"/>
          <w:sz w:val="19"/>
        </w:rPr>
        <w:t>ity, </w:t>
      </w:r>
      <w:r>
        <w:rPr>
          <w:rFonts w:ascii="Times New Roman" w:hAnsi="Times New Roman"/>
          <w:color w:val="363636"/>
          <w:spacing w:val="-3"/>
          <w:w w:val="105"/>
          <w:sz w:val="19"/>
        </w:rPr>
        <w:t>w</w:t>
      </w:r>
      <w:r>
        <w:rPr>
          <w:rFonts w:ascii="Times New Roman" w:hAnsi="Times New Roman"/>
          <w:color w:val="1D1D1D"/>
          <w:spacing w:val="-3"/>
          <w:w w:val="105"/>
          <w:sz w:val="19"/>
        </w:rPr>
        <w:t>hi</w:t>
      </w:r>
      <w:r>
        <w:rPr>
          <w:rFonts w:ascii="Times New Roman" w:hAnsi="Times New Roman"/>
          <w:color w:val="363636"/>
          <w:spacing w:val="-3"/>
          <w:w w:val="105"/>
          <w:sz w:val="19"/>
        </w:rPr>
        <w:t>ch  </w:t>
      </w:r>
      <w:r>
        <w:rPr>
          <w:rFonts w:ascii="Times New Roman" w:hAnsi="Times New Roman"/>
          <w:color w:val="363636"/>
          <w:w w:val="105"/>
          <w:sz w:val="19"/>
        </w:rPr>
        <w:t>will be launched across the</w:t>
      </w:r>
      <w:r>
        <w:rPr>
          <w:rFonts w:ascii="Times New Roman" w:hAnsi="Times New Roman"/>
          <w:color w:val="363636"/>
          <w:spacing w:val="-11"/>
          <w:w w:val="105"/>
          <w:sz w:val="19"/>
        </w:rPr>
        <w:t> </w:t>
      </w:r>
      <w:r>
        <w:rPr>
          <w:rFonts w:ascii="Times New Roman" w:hAnsi="Times New Roman"/>
          <w:color w:val="363636"/>
          <w:w w:val="105"/>
          <w:sz w:val="19"/>
        </w:rPr>
        <w:t>Church</w:t>
      </w:r>
      <w:r>
        <w:rPr>
          <w:rFonts w:ascii="Times New Roman" w:hAnsi="Times New Roman"/>
          <w:color w:val="363636"/>
          <w:spacing w:val="-5"/>
          <w:w w:val="105"/>
          <w:sz w:val="19"/>
        </w:rPr>
        <w:t> </w:t>
      </w:r>
      <w:r>
        <w:rPr>
          <w:rFonts w:ascii="Times New Roman" w:hAnsi="Times New Roman"/>
          <w:color w:val="363636"/>
          <w:w w:val="105"/>
          <w:sz w:val="19"/>
        </w:rPr>
        <w:t>in</w:t>
      </w:r>
      <w:r>
        <w:rPr>
          <w:rFonts w:ascii="Times New Roman" w:hAnsi="Times New Roman"/>
          <w:color w:val="363636"/>
          <w:spacing w:val="2"/>
          <w:w w:val="105"/>
          <w:sz w:val="19"/>
        </w:rPr>
        <w:t> </w:t>
      </w:r>
      <w:r>
        <w:rPr>
          <w:rFonts w:ascii="Times New Roman" w:hAnsi="Times New Roman"/>
          <w:color w:val="363636"/>
          <w:w w:val="105"/>
          <w:sz w:val="19"/>
        </w:rPr>
        <w:t>the</w:t>
      </w:r>
      <w:r>
        <w:rPr>
          <w:rFonts w:ascii="Times New Roman" w:hAnsi="Times New Roman"/>
          <w:color w:val="363636"/>
          <w:spacing w:val="-24"/>
          <w:w w:val="105"/>
          <w:sz w:val="19"/>
        </w:rPr>
        <w:t> </w:t>
      </w:r>
      <w:r>
        <w:rPr>
          <w:rFonts w:ascii="Times New Roman" w:hAnsi="Times New Roman"/>
          <w:color w:val="363636"/>
          <w:w w:val="105"/>
          <w:sz w:val="19"/>
        </w:rPr>
        <w:t>Spring</w:t>
      </w:r>
      <w:r>
        <w:rPr>
          <w:rFonts w:ascii="Times New Roman" w:hAnsi="Times New Roman"/>
          <w:color w:val="363636"/>
          <w:spacing w:val="-11"/>
          <w:w w:val="105"/>
          <w:sz w:val="19"/>
        </w:rPr>
        <w:t> </w:t>
      </w:r>
      <w:r>
        <w:rPr>
          <w:rFonts w:ascii="Times New Roman" w:hAnsi="Times New Roman"/>
          <w:color w:val="363636"/>
          <w:w w:val="105"/>
          <w:sz w:val="19"/>
        </w:rPr>
        <w:t>o</w:t>
      </w:r>
      <w:r>
        <w:rPr>
          <w:rFonts w:ascii="Times New Roman" w:hAnsi="Times New Roman"/>
          <w:color w:val="1D1D1D"/>
          <w:w w:val="105"/>
          <w:sz w:val="19"/>
        </w:rPr>
        <w:t>f</w:t>
      </w:r>
      <w:r>
        <w:rPr>
          <w:rFonts w:ascii="Times New Roman" w:hAnsi="Times New Roman"/>
          <w:color w:val="1D1D1D"/>
          <w:spacing w:val="-10"/>
          <w:w w:val="105"/>
          <w:sz w:val="19"/>
        </w:rPr>
        <w:t> </w:t>
      </w:r>
      <w:r>
        <w:rPr>
          <w:rFonts w:ascii="Times New Roman" w:hAnsi="Times New Roman"/>
          <w:color w:val="363636"/>
          <w:spacing w:val="3"/>
          <w:w w:val="105"/>
          <w:sz w:val="19"/>
        </w:rPr>
        <w:t>2</w:t>
      </w:r>
      <w:r>
        <w:rPr>
          <w:rFonts w:ascii="Times New Roman" w:hAnsi="Times New Roman"/>
          <w:color w:val="1D1D1D"/>
          <w:spacing w:val="3"/>
          <w:w w:val="105"/>
          <w:sz w:val="19"/>
        </w:rPr>
        <w:t>00</w:t>
      </w:r>
      <w:r>
        <w:rPr>
          <w:rFonts w:ascii="Times New Roman" w:hAnsi="Times New Roman"/>
          <w:color w:val="363636"/>
          <w:spacing w:val="3"/>
          <w:w w:val="105"/>
          <w:sz w:val="19"/>
        </w:rPr>
        <w:t>8</w:t>
      </w:r>
    </w:p>
    <w:p>
      <w:pPr>
        <w:spacing w:before="124"/>
        <w:ind w:left="456" w:right="0" w:firstLine="0"/>
        <w:jc w:val="both"/>
        <w:rPr>
          <w:rFonts w:ascii="Times New Roman"/>
          <w:sz w:val="19"/>
        </w:rPr>
      </w:pPr>
      <w:r>
        <w:rPr>
          <w:rFonts w:ascii="Times New Roman"/>
          <w:color w:val="363636"/>
          <w:w w:val="110"/>
          <w:sz w:val="19"/>
        </w:rPr>
        <w:t>O</w:t>
      </w:r>
      <w:r>
        <w:rPr>
          <w:rFonts w:ascii="Times New Roman"/>
          <w:color w:val="1D1D1D"/>
          <w:w w:val="110"/>
          <w:sz w:val="19"/>
        </w:rPr>
        <w:t>ur h</w:t>
      </w:r>
      <w:r>
        <w:rPr>
          <w:rFonts w:ascii="Times New Roman"/>
          <w:color w:val="363636"/>
          <w:w w:val="110"/>
          <w:sz w:val="19"/>
        </w:rPr>
        <w:t>o</w:t>
      </w:r>
      <w:r>
        <w:rPr>
          <w:rFonts w:ascii="Times New Roman"/>
          <w:color w:val="1D1D1D"/>
          <w:w w:val="110"/>
          <w:sz w:val="19"/>
        </w:rPr>
        <w:t>p</w:t>
      </w:r>
      <w:r>
        <w:rPr>
          <w:rFonts w:ascii="Times New Roman"/>
          <w:color w:val="363636"/>
          <w:w w:val="110"/>
          <w:sz w:val="19"/>
        </w:rPr>
        <w:t>e is that this will enable our c</w:t>
      </w:r>
      <w:r>
        <w:rPr>
          <w:rFonts w:ascii="Times New Roman"/>
          <w:color w:val="1D1D1D"/>
          <w:w w:val="110"/>
          <w:sz w:val="19"/>
        </w:rPr>
        <w:t>hur</w:t>
      </w:r>
      <w:r>
        <w:rPr>
          <w:rFonts w:ascii="Times New Roman"/>
          <w:color w:val="363636"/>
          <w:w w:val="110"/>
          <w:sz w:val="19"/>
        </w:rPr>
        <w:t>ches to </w:t>
      </w:r>
      <w:r>
        <w:rPr>
          <w:rFonts w:ascii="Times New Roman"/>
          <w:color w:val="1D1D1D"/>
          <w:w w:val="110"/>
          <w:sz w:val="19"/>
        </w:rPr>
        <w:t>h</w:t>
      </w:r>
      <w:r>
        <w:rPr>
          <w:rFonts w:ascii="Times New Roman"/>
          <w:color w:val="363636"/>
          <w:w w:val="110"/>
          <w:sz w:val="19"/>
        </w:rPr>
        <w:t>o</w:t>
      </w:r>
      <w:r>
        <w:rPr>
          <w:rFonts w:ascii="Times New Roman"/>
          <w:color w:val="1D1D1D"/>
          <w:w w:val="110"/>
          <w:sz w:val="19"/>
        </w:rPr>
        <w:t>l</w:t>
      </w:r>
      <w:r>
        <w:rPr>
          <w:rFonts w:ascii="Times New Roman"/>
          <w:color w:val="363636"/>
          <w:w w:val="110"/>
          <w:sz w:val="19"/>
        </w:rPr>
        <w:t>d the fai</w:t>
      </w:r>
      <w:r>
        <w:rPr>
          <w:rFonts w:ascii="Times New Roman"/>
          <w:color w:val="1D1D1D"/>
          <w:w w:val="110"/>
          <w:sz w:val="19"/>
        </w:rPr>
        <w:t>t</w:t>
      </w:r>
      <w:r>
        <w:rPr>
          <w:rFonts w:ascii="Times New Roman"/>
          <w:color w:val="363636"/>
          <w:w w:val="110"/>
          <w:sz w:val="19"/>
        </w:rPr>
        <w:t>h with </w:t>
      </w:r>
      <w:r>
        <w:rPr>
          <w:rFonts w:ascii="Times New Roman"/>
          <w:color w:val="1D1D1D"/>
          <w:w w:val="110"/>
          <w:sz w:val="19"/>
        </w:rPr>
        <w:t>r</w:t>
      </w:r>
      <w:r>
        <w:rPr>
          <w:rFonts w:ascii="Times New Roman"/>
          <w:color w:val="363636"/>
          <w:w w:val="110"/>
          <w:sz w:val="19"/>
        </w:rPr>
        <w:t>enewed c</w:t>
      </w:r>
      <w:r>
        <w:rPr>
          <w:rFonts w:ascii="Times New Roman"/>
          <w:color w:val="1D1D1D"/>
          <w:w w:val="110"/>
          <w:sz w:val="19"/>
        </w:rPr>
        <w:t>onfid</w:t>
      </w:r>
      <w:r>
        <w:rPr>
          <w:rFonts w:ascii="Times New Roman"/>
          <w:color w:val="363636"/>
          <w:w w:val="110"/>
          <w:sz w:val="19"/>
        </w:rPr>
        <w:t>e</w:t>
      </w:r>
      <w:r>
        <w:rPr>
          <w:rFonts w:ascii="Times New Roman"/>
          <w:color w:val="1D1D1D"/>
          <w:w w:val="110"/>
          <w:sz w:val="19"/>
        </w:rPr>
        <w:t>n</w:t>
      </w:r>
      <w:r>
        <w:rPr>
          <w:rFonts w:ascii="Times New Roman"/>
          <w:color w:val="363636"/>
          <w:w w:val="110"/>
          <w:sz w:val="19"/>
        </w:rPr>
        <w:t>ce a</w:t>
      </w:r>
      <w:r>
        <w:rPr>
          <w:rFonts w:ascii="Times New Roman"/>
          <w:color w:val="1D1D1D"/>
          <w:w w:val="110"/>
          <w:sz w:val="19"/>
        </w:rPr>
        <w:t>n</w:t>
      </w:r>
      <w:r>
        <w:rPr>
          <w:rFonts w:ascii="Times New Roman"/>
          <w:color w:val="363636"/>
          <w:w w:val="110"/>
          <w:sz w:val="19"/>
        </w:rPr>
        <w:t>d commitment.</w:t>
      </w:r>
    </w:p>
    <w:p>
      <w:pPr>
        <w:pStyle w:val="BodyText"/>
        <w:rPr>
          <w:rFonts w:ascii="Times New Roman"/>
          <w:sz w:val="22"/>
        </w:rPr>
      </w:pPr>
    </w:p>
    <w:p>
      <w:pPr>
        <w:spacing w:before="0"/>
        <w:ind w:left="455" w:right="882" w:firstLine="0"/>
        <w:jc w:val="both"/>
        <w:rPr>
          <w:rFonts w:ascii="Times New Roman"/>
          <w:b/>
          <w:sz w:val="20"/>
        </w:rPr>
      </w:pPr>
      <w:r>
        <w:rPr>
          <w:rFonts w:ascii="Times New Roman"/>
          <w:b/>
          <w:color w:val="1D1D1D"/>
          <w:w w:val="105"/>
          <w:sz w:val="20"/>
        </w:rPr>
        <w:t>The </w:t>
      </w:r>
      <w:r>
        <w:rPr>
          <w:rFonts w:ascii="Times New Roman"/>
          <w:b/>
          <w:color w:val="1D1D1D"/>
          <w:spacing w:val="-6"/>
          <w:w w:val="105"/>
          <w:sz w:val="20"/>
        </w:rPr>
        <w:t>remaind</w:t>
      </w:r>
      <w:r>
        <w:rPr>
          <w:rFonts w:ascii="Times New Roman"/>
          <w:b/>
          <w:color w:val="363636"/>
          <w:spacing w:val="-6"/>
          <w:w w:val="105"/>
          <w:sz w:val="20"/>
        </w:rPr>
        <w:t>e</w:t>
      </w:r>
      <w:r>
        <w:rPr>
          <w:rFonts w:ascii="Times New Roman"/>
          <w:b/>
          <w:color w:val="1D1D1D"/>
          <w:spacing w:val="-6"/>
          <w:w w:val="105"/>
          <w:sz w:val="20"/>
        </w:rPr>
        <w:t>r </w:t>
      </w:r>
      <w:r>
        <w:rPr>
          <w:rFonts w:ascii="Times New Roman"/>
          <w:b/>
          <w:color w:val="1D1D1D"/>
          <w:w w:val="105"/>
          <w:sz w:val="20"/>
        </w:rPr>
        <w:t>o</w:t>
      </w:r>
      <w:r>
        <w:rPr>
          <w:rFonts w:ascii="Times New Roman"/>
          <w:b/>
          <w:color w:val="363636"/>
          <w:w w:val="105"/>
          <w:sz w:val="20"/>
        </w:rPr>
        <w:t>f </w:t>
      </w:r>
      <w:r>
        <w:rPr>
          <w:rFonts w:ascii="Times New Roman"/>
          <w:b/>
          <w:color w:val="1D1D1D"/>
          <w:spacing w:val="-9"/>
          <w:w w:val="105"/>
          <w:sz w:val="20"/>
        </w:rPr>
        <w:t>t</w:t>
      </w:r>
      <w:r>
        <w:rPr>
          <w:rFonts w:ascii="Times New Roman"/>
          <w:b/>
          <w:color w:val="363636"/>
          <w:spacing w:val="-9"/>
          <w:w w:val="105"/>
          <w:sz w:val="20"/>
        </w:rPr>
        <w:t>hi</w:t>
      </w:r>
      <w:r>
        <w:rPr>
          <w:rFonts w:ascii="Times New Roman"/>
          <w:b/>
          <w:color w:val="1D1D1D"/>
          <w:spacing w:val="-9"/>
          <w:w w:val="105"/>
          <w:sz w:val="20"/>
        </w:rPr>
        <w:t>s </w:t>
      </w:r>
      <w:r>
        <w:rPr>
          <w:rFonts w:ascii="Times New Roman"/>
          <w:b/>
          <w:color w:val="1D1D1D"/>
          <w:spacing w:val="-5"/>
          <w:w w:val="105"/>
          <w:sz w:val="20"/>
        </w:rPr>
        <w:t>r</w:t>
      </w:r>
      <w:r>
        <w:rPr>
          <w:rFonts w:ascii="Times New Roman"/>
          <w:b/>
          <w:color w:val="363636"/>
          <w:spacing w:val="-5"/>
          <w:w w:val="105"/>
          <w:sz w:val="20"/>
        </w:rPr>
        <w:t>e</w:t>
      </w:r>
      <w:r>
        <w:rPr>
          <w:rFonts w:ascii="Times New Roman"/>
          <w:b/>
          <w:color w:val="1D1D1D"/>
          <w:spacing w:val="-5"/>
          <w:w w:val="105"/>
          <w:sz w:val="20"/>
        </w:rPr>
        <w:t>port do</w:t>
      </w:r>
      <w:r>
        <w:rPr>
          <w:rFonts w:ascii="Times New Roman"/>
          <w:b/>
          <w:color w:val="363636"/>
          <w:spacing w:val="-5"/>
          <w:w w:val="105"/>
          <w:sz w:val="20"/>
        </w:rPr>
        <w:t>es </w:t>
      </w:r>
      <w:r>
        <w:rPr>
          <w:rFonts w:ascii="Times New Roman"/>
          <w:b/>
          <w:color w:val="1D1D1D"/>
          <w:w w:val="105"/>
          <w:sz w:val="20"/>
        </w:rPr>
        <w:t>not deal with </w:t>
      </w:r>
      <w:r>
        <w:rPr>
          <w:rFonts w:ascii="Times New Roman"/>
          <w:b/>
          <w:color w:val="1D1D1D"/>
          <w:spacing w:val="-11"/>
          <w:w w:val="105"/>
          <w:sz w:val="20"/>
        </w:rPr>
        <w:t>m</w:t>
      </w:r>
      <w:r>
        <w:rPr>
          <w:rFonts w:ascii="Times New Roman"/>
          <w:b/>
          <w:color w:val="363636"/>
          <w:spacing w:val="-11"/>
          <w:w w:val="105"/>
          <w:sz w:val="20"/>
        </w:rPr>
        <w:t>a</w:t>
      </w:r>
      <w:r>
        <w:rPr>
          <w:rFonts w:ascii="Times New Roman"/>
          <w:b/>
          <w:color w:val="1D1D1D"/>
          <w:spacing w:val="-11"/>
          <w:w w:val="105"/>
          <w:sz w:val="20"/>
        </w:rPr>
        <w:t>tt</w:t>
      </w:r>
      <w:r>
        <w:rPr>
          <w:rFonts w:ascii="Times New Roman"/>
          <w:b/>
          <w:color w:val="363636"/>
          <w:spacing w:val="-11"/>
          <w:w w:val="105"/>
          <w:sz w:val="20"/>
        </w:rPr>
        <w:t>e</w:t>
      </w:r>
      <w:r>
        <w:rPr>
          <w:rFonts w:ascii="Times New Roman"/>
          <w:b/>
          <w:color w:val="1D1D1D"/>
          <w:spacing w:val="-11"/>
          <w:w w:val="105"/>
          <w:sz w:val="20"/>
        </w:rPr>
        <w:t>r</w:t>
      </w:r>
      <w:r>
        <w:rPr>
          <w:rFonts w:ascii="Times New Roman"/>
          <w:b/>
          <w:color w:val="363636"/>
          <w:spacing w:val="-11"/>
          <w:w w:val="105"/>
          <w:sz w:val="20"/>
        </w:rPr>
        <w:t>s </w:t>
      </w:r>
      <w:r>
        <w:rPr>
          <w:rFonts w:ascii="Times New Roman"/>
          <w:b/>
          <w:color w:val="363636"/>
          <w:spacing w:val="-9"/>
          <w:w w:val="105"/>
          <w:sz w:val="20"/>
        </w:rPr>
        <w:t>i</w:t>
      </w:r>
      <w:r>
        <w:rPr>
          <w:rFonts w:ascii="Times New Roman"/>
          <w:b/>
          <w:color w:val="1D1D1D"/>
          <w:spacing w:val="-9"/>
          <w:w w:val="105"/>
          <w:sz w:val="20"/>
        </w:rPr>
        <w:t>n</w:t>
      </w:r>
      <w:r>
        <w:rPr>
          <w:rFonts w:ascii="Times New Roman"/>
          <w:b/>
          <w:color w:val="363636"/>
          <w:spacing w:val="-9"/>
          <w:w w:val="105"/>
          <w:sz w:val="20"/>
        </w:rPr>
        <w:t>clu</w:t>
      </w:r>
      <w:r>
        <w:rPr>
          <w:rFonts w:ascii="Times New Roman"/>
          <w:b/>
          <w:color w:val="1D1D1D"/>
          <w:spacing w:val="-9"/>
          <w:w w:val="105"/>
          <w:sz w:val="20"/>
        </w:rPr>
        <w:t>d</w:t>
      </w:r>
      <w:r>
        <w:rPr>
          <w:rFonts w:ascii="Times New Roman"/>
          <w:b/>
          <w:color w:val="363636"/>
          <w:spacing w:val="-9"/>
          <w:w w:val="105"/>
          <w:sz w:val="20"/>
        </w:rPr>
        <w:t>e</w:t>
      </w:r>
      <w:r>
        <w:rPr>
          <w:rFonts w:ascii="Times New Roman"/>
          <w:b/>
          <w:color w:val="1D1D1D"/>
          <w:spacing w:val="-9"/>
          <w:w w:val="105"/>
          <w:sz w:val="20"/>
        </w:rPr>
        <w:t>d </w:t>
      </w:r>
      <w:r>
        <w:rPr>
          <w:rFonts w:ascii="Times New Roman"/>
          <w:b/>
          <w:color w:val="1D1D1D"/>
          <w:w w:val="105"/>
          <w:sz w:val="20"/>
        </w:rPr>
        <w:t>in </w:t>
      </w:r>
      <w:r>
        <w:rPr>
          <w:rFonts w:ascii="Times New Roman"/>
          <w:b/>
          <w:color w:val="363636"/>
          <w:spacing w:val="-8"/>
          <w:w w:val="105"/>
          <w:sz w:val="20"/>
        </w:rPr>
        <w:t>t</w:t>
      </w:r>
      <w:r>
        <w:rPr>
          <w:rFonts w:ascii="Times New Roman"/>
          <w:b/>
          <w:color w:val="1D1D1D"/>
          <w:spacing w:val="-8"/>
          <w:w w:val="105"/>
          <w:sz w:val="20"/>
        </w:rPr>
        <w:t>h</w:t>
      </w:r>
      <w:r>
        <w:rPr>
          <w:rFonts w:ascii="Times New Roman"/>
          <w:b/>
          <w:color w:val="363636"/>
          <w:spacing w:val="-8"/>
          <w:w w:val="105"/>
          <w:sz w:val="20"/>
        </w:rPr>
        <w:t>e </w:t>
      </w:r>
      <w:r>
        <w:rPr>
          <w:rFonts w:ascii="Times New Roman"/>
          <w:b/>
          <w:color w:val="1D1D1D"/>
          <w:w w:val="105"/>
          <w:sz w:val="20"/>
        </w:rPr>
        <w:t>Book of </w:t>
      </w:r>
      <w:r>
        <w:rPr>
          <w:rFonts w:ascii="Times New Roman"/>
          <w:b/>
          <w:color w:val="1D1D1D"/>
          <w:spacing w:val="-6"/>
          <w:w w:val="105"/>
          <w:sz w:val="20"/>
        </w:rPr>
        <w:t>Annua</w:t>
      </w:r>
      <w:r>
        <w:rPr>
          <w:rFonts w:ascii="Times New Roman"/>
          <w:b/>
          <w:color w:val="050505"/>
          <w:spacing w:val="-6"/>
          <w:w w:val="105"/>
          <w:sz w:val="20"/>
        </w:rPr>
        <w:t>l </w:t>
      </w:r>
      <w:r>
        <w:rPr>
          <w:rFonts w:ascii="Times New Roman"/>
          <w:b/>
          <w:color w:val="363636"/>
          <w:spacing w:val="-6"/>
          <w:w w:val="105"/>
          <w:sz w:val="20"/>
        </w:rPr>
        <w:t>Re</w:t>
      </w:r>
      <w:r>
        <w:rPr>
          <w:rFonts w:ascii="Times New Roman"/>
          <w:b/>
          <w:color w:val="1D1D1D"/>
          <w:spacing w:val="-6"/>
          <w:w w:val="105"/>
          <w:sz w:val="20"/>
        </w:rPr>
        <w:t>port</w:t>
      </w:r>
      <w:r>
        <w:rPr>
          <w:rFonts w:ascii="Times New Roman"/>
          <w:b/>
          <w:color w:val="363636"/>
          <w:spacing w:val="-6"/>
          <w:w w:val="105"/>
          <w:sz w:val="20"/>
        </w:rPr>
        <w:t>s, </w:t>
      </w:r>
      <w:r>
        <w:rPr>
          <w:rFonts w:ascii="Times New Roman"/>
          <w:b/>
          <w:color w:val="1D1D1D"/>
          <w:w w:val="105"/>
          <w:sz w:val="20"/>
        </w:rPr>
        <w:t>but with financia</w:t>
      </w:r>
      <w:r>
        <w:rPr>
          <w:rFonts w:ascii="Times New Roman"/>
          <w:b/>
          <w:color w:val="050505"/>
          <w:w w:val="105"/>
          <w:sz w:val="20"/>
        </w:rPr>
        <w:t>l </w:t>
      </w:r>
      <w:r>
        <w:rPr>
          <w:rFonts w:ascii="Times New Roman"/>
          <w:b/>
          <w:color w:val="1D1D1D"/>
          <w:w w:val="105"/>
          <w:sz w:val="20"/>
        </w:rPr>
        <w:t>and </w:t>
      </w:r>
      <w:r>
        <w:rPr>
          <w:rFonts w:ascii="Times New Roman"/>
          <w:b/>
          <w:color w:val="1D1D1D"/>
          <w:spacing w:val="-4"/>
          <w:w w:val="105"/>
          <w:sz w:val="20"/>
        </w:rPr>
        <w:t>othe</w:t>
      </w:r>
      <w:r>
        <w:rPr>
          <w:rFonts w:ascii="Times New Roman"/>
          <w:b/>
          <w:color w:val="363636"/>
          <w:spacing w:val="-4"/>
          <w:w w:val="105"/>
          <w:sz w:val="20"/>
        </w:rPr>
        <w:t>r </w:t>
      </w:r>
      <w:r>
        <w:rPr>
          <w:rFonts w:ascii="Times New Roman"/>
          <w:b/>
          <w:color w:val="363636"/>
          <w:spacing w:val="-6"/>
          <w:w w:val="105"/>
          <w:sz w:val="20"/>
        </w:rPr>
        <w:t>c</w:t>
      </w:r>
      <w:r>
        <w:rPr>
          <w:rFonts w:ascii="Times New Roman"/>
          <w:b/>
          <w:color w:val="1D1D1D"/>
          <w:spacing w:val="-6"/>
          <w:w w:val="105"/>
          <w:sz w:val="20"/>
        </w:rPr>
        <w:t>entra</w:t>
      </w:r>
      <w:r>
        <w:rPr>
          <w:rFonts w:ascii="Times New Roman"/>
          <w:b/>
          <w:color w:val="050505"/>
          <w:spacing w:val="-6"/>
          <w:w w:val="105"/>
          <w:sz w:val="20"/>
        </w:rPr>
        <w:t>l </w:t>
      </w:r>
      <w:r>
        <w:rPr>
          <w:rFonts w:ascii="Times New Roman"/>
          <w:b/>
          <w:color w:val="1D1D1D"/>
          <w:spacing w:val="-4"/>
          <w:w w:val="105"/>
          <w:sz w:val="20"/>
        </w:rPr>
        <w:t>ac</w:t>
      </w:r>
      <w:r>
        <w:rPr>
          <w:rFonts w:ascii="Times New Roman"/>
          <w:b/>
          <w:color w:val="363636"/>
          <w:spacing w:val="-4"/>
          <w:w w:val="105"/>
          <w:sz w:val="20"/>
        </w:rPr>
        <w:t>ti</w:t>
      </w:r>
      <w:r>
        <w:rPr>
          <w:rFonts w:ascii="Times New Roman"/>
          <w:b/>
          <w:color w:val="1D1D1D"/>
          <w:spacing w:val="-4"/>
          <w:w w:val="105"/>
          <w:sz w:val="20"/>
        </w:rPr>
        <w:t>viti</w:t>
      </w:r>
      <w:r>
        <w:rPr>
          <w:rFonts w:ascii="Times New Roman"/>
          <w:b/>
          <w:color w:val="363636"/>
          <w:spacing w:val="-4"/>
          <w:w w:val="105"/>
          <w:sz w:val="20"/>
        </w:rPr>
        <w:t>es</w:t>
      </w:r>
      <w:r>
        <w:rPr>
          <w:rFonts w:ascii="Times New Roman"/>
          <w:b/>
          <w:color w:val="1D1D1D"/>
          <w:spacing w:val="-4"/>
          <w:w w:val="105"/>
          <w:sz w:val="20"/>
        </w:rPr>
        <w:t>. </w:t>
      </w:r>
      <w:r>
        <w:rPr>
          <w:rFonts w:ascii="Times New Roman"/>
          <w:b/>
          <w:color w:val="363636"/>
          <w:spacing w:val="-3"/>
          <w:w w:val="105"/>
          <w:sz w:val="20"/>
        </w:rPr>
        <w:t>T</w:t>
      </w:r>
      <w:r>
        <w:rPr>
          <w:rFonts w:ascii="Times New Roman"/>
          <w:b/>
          <w:color w:val="1D1D1D"/>
          <w:spacing w:val="-3"/>
          <w:w w:val="105"/>
          <w:sz w:val="20"/>
        </w:rPr>
        <w:t>h</w:t>
      </w:r>
      <w:r>
        <w:rPr>
          <w:rFonts w:ascii="Times New Roman"/>
          <w:b/>
          <w:color w:val="363636"/>
          <w:spacing w:val="-3"/>
          <w:w w:val="105"/>
          <w:sz w:val="20"/>
        </w:rPr>
        <w:t>e </w:t>
      </w:r>
      <w:r>
        <w:rPr>
          <w:rFonts w:ascii="Times New Roman"/>
          <w:b/>
          <w:color w:val="1D1D1D"/>
          <w:spacing w:val="-4"/>
          <w:w w:val="105"/>
          <w:sz w:val="20"/>
        </w:rPr>
        <w:t>Tru</w:t>
      </w:r>
      <w:r>
        <w:rPr>
          <w:rFonts w:ascii="Times New Roman"/>
          <w:b/>
          <w:color w:val="363636"/>
          <w:spacing w:val="-4"/>
          <w:w w:val="105"/>
          <w:sz w:val="20"/>
        </w:rPr>
        <w:t>s</w:t>
      </w:r>
      <w:r>
        <w:rPr>
          <w:rFonts w:ascii="Times New Roman"/>
          <w:b/>
          <w:color w:val="1D1D1D"/>
          <w:spacing w:val="-4"/>
          <w:w w:val="105"/>
          <w:sz w:val="20"/>
        </w:rPr>
        <w:t>t</w:t>
      </w:r>
      <w:r>
        <w:rPr>
          <w:rFonts w:ascii="Times New Roman"/>
          <w:b/>
          <w:color w:val="363636"/>
          <w:spacing w:val="-4"/>
          <w:w w:val="105"/>
          <w:sz w:val="20"/>
        </w:rPr>
        <w:t>e</w:t>
      </w:r>
      <w:r>
        <w:rPr>
          <w:rFonts w:ascii="Times New Roman"/>
          <w:b/>
          <w:color w:val="1D1D1D"/>
          <w:spacing w:val="-4"/>
          <w:w w:val="105"/>
          <w:sz w:val="20"/>
        </w:rPr>
        <w:t>e </w:t>
      </w:r>
      <w:r>
        <w:rPr>
          <w:rFonts w:ascii="Times New Roman"/>
          <w:b/>
          <w:color w:val="1D1D1D"/>
          <w:w w:val="105"/>
          <w:sz w:val="20"/>
        </w:rPr>
        <w:t>h</w:t>
      </w:r>
      <w:r>
        <w:rPr>
          <w:rFonts w:ascii="Times New Roman"/>
          <w:b/>
          <w:color w:val="363636"/>
          <w:w w:val="105"/>
          <w:sz w:val="20"/>
        </w:rPr>
        <w:t>as </w:t>
      </w:r>
      <w:r>
        <w:rPr>
          <w:rFonts w:ascii="Times New Roman"/>
          <w:b/>
          <w:color w:val="363636"/>
          <w:spacing w:val="-4"/>
          <w:w w:val="105"/>
          <w:sz w:val="20"/>
        </w:rPr>
        <w:t>de</w:t>
      </w:r>
      <w:r>
        <w:rPr>
          <w:rFonts w:ascii="Times New Roman"/>
          <w:b/>
          <w:color w:val="1D1D1D"/>
          <w:spacing w:val="-4"/>
          <w:w w:val="105"/>
          <w:sz w:val="20"/>
        </w:rPr>
        <w:t>l</w:t>
      </w:r>
      <w:r>
        <w:rPr>
          <w:rFonts w:ascii="Times New Roman"/>
          <w:b/>
          <w:color w:val="363636"/>
          <w:spacing w:val="-4"/>
          <w:w w:val="105"/>
          <w:sz w:val="20"/>
        </w:rPr>
        <w:t>eg</w:t>
      </w:r>
      <w:r>
        <w:rPr>
          <w:rFonts w:ascii="Times New Roman"/>
          <w:b/>
          <w:color w:val="1D1D1D"/>
          <w:spacing w:val="-4"/>
          <w:w w:val="105"/>
          <w:sz w:val="20"/>
        </w:rPr>
        <w:t>ated </w:t>
      </w:r>
      <w:r>
        <w:rPr>
          <w:rFonts w:ascii="Times New Roman"/>
          <w:b/>
          <w:color w:val="1D1D1D"/>
          <w:w w:val="105"/>
          <w:sz w:val="20"/>
        </w:rPr>
        <w:t>to </w:t>
      </w:r>
      <w:r>
        <w:rPr>
          <w:rFonts w:ascii="Times New Roman"/>
          <w:b/>
          <w:color w:val="1D1D1D"/>
          <w:spacing w:val="-6"/>
          <w:w w:val="105"/>
          <w:sz w:val="20"/>
        </w:rPr>
        <w:t>t</w:t>
      </w:r>
      <w:r>
        <w:rPr>
          <w:rFonts w:ascii="Times New Roman"/>
          <w:b/>
          <w:color w:val="363636"/>
          <w:spacing w:val="-6"/>
          <w:w w:val="105"/>
          <w:sz w:val="20"/>
        </w:rPr>
        <w:t>h</w:t>
      </w:r>
      <w:r>
        <w:rPr>
          <w:rFonts w:ascii="Times New Roman"/>
          <w:b/>
          <w:color w:val="1D1D1D"/>
          <w:spacing w:val="-6"/>
          <w:w w:val="105"/>
          <w:sz w:val="20"/>
        </w:rPr>
        <w:t>e </w:t>
      </w:r>
      <w:r>
        <w:rPr>
          <w:rFonts w:ascii="Times New Roman"/>
          <w:b/>
          <w:color w:val="1D1D1D"/>
          <w:w w:val="105"/>
          <w:sz w:val="20"/>
        </w:rPr>
        <w:t>Finance Committe</w:t>
      </w:r>
      <w:r>
        <w:rPr>
          <w:rFonts w:ascii="Times New Roman"/>
          <w:b/>
          <w:color w:val="363636"/>
          <w:w w:val="105"/>
          <w:sz w:val="20"/>
        </w:rPr>
        <w:t>e </w:t>
      </w:r>
      <w:r>
        <w:rPr>
          <w:rFonts w:ascii="Times New Roman"/>
          <w:b/>
          <w:color w:val="1D1D1D"/>
          <w:w w:val="105"/>
          <w:sz w:val="20"/>
        </w:rPr>
        <w:t>the det</w:t>
      </w:r>
      <w:r>
        <w:rPr>
          <w:rFonts w:ascii="Times New Roman"/>
          <w:b/>
          <w:color w:val="363636"/>
          <w:w w:val="105"/>
          <w:sz w:val="20"/>
        </w:rPr>
        <w:t>a</w:t>
      </w:r>
      <w:r>
        <w:rPr>
          <w:rFonts w:ascii="Times New Roman"/>
          <w:b/>
          <w:color w:val="1D1D1D"/>
          <w:w w:val="105"/>
          <w:sz w:val="20"/>
        </w:rPr>
        <w:t>iled review of these </w:t>
      </w:r>
      <w:r>
        <w:rPr>
          <w:rFonts w:ascii="Times New Roman"/>
          <w:b/>
          <w:color w:val="1D1D1D"/>
          <w:spacing w:val="-10"/>
          <w:w w:val="105"/>
          <w:sz w:val="20"/>
        </w:rPr>
        <w:t>ma</w:t>
      </w:r>
      <w:r>
        <w:rPr>
          <w:rFonts w:ascii="Times New Roman"/>
          <w:b/>
          <w:color w:val="363636"/>
          <w:spacing w:val="-10"/>
          <w:w w:val="105"/>
          <w:sz w:val="20"/>
        </w:rPr>
        <w:t>t</w:t>
      </w:r>
      <w:r>
        <w:rPr>
          <w:rFonts w:ascii="Times New Roman"/>
          <w:b/>
          <w:color w:val="1D1D1D"/>
          <w:spacing w:val="-10"/>
          <w:w w:val="105"/>
          <w:sz w:val="20"/>
        </w:rPr>
        <w:t>ters</w:t>
      </w:r>
      <w:r>
        <w:rPr>
          <w:rFonts w:ascii="Times New Roman"/>
          <w:b/>
          <w:color w:val="363636"/>
          <w:spacing w:val="-10"/>
          <w:w w:val="105"/>
          <w:sz w:val="20"/>
        </w:rPr>
        <w:t>, </w:t>
      </w:r>
      <w:r>
        <w:rPr>
          <w:rFonts w:ascii="Times New Roman"/>
          <w:b/>
          <w:color w:val="1D1D1D"/>
          <w:spacing w:val="-11"/>
          <w:w w:val="105"/>
          <w:sz w:val="20"/>
        </w:rPr>
        <w:t>a</w:t>
      </w:r>
      <w:r>
        <w:rPr>
          <w:rFonts w:ascii="Times New Roman"/>
          <w:b/>
          <w:color w:val="363636"/>
          <w:spacing w:val="-11"/>
          <w:w w:val="105"/>
          <w:sz w:val="20"/>
        </w:rPr>
        <w:t>n</w:t>
      </w:r>
      <w:r>
        <w:rPr>
          <w:rFonts w:ascii="Times New Roman"/>
          <w:b/>
          <w:color w:val="1D1D1D"/>
          <w:spacing w:val="-11"/>
          <w:w w:val="105"/>
          <w:sz w:val="20"/>
        </w:rPr>
        <w:t>d </w:t>
      </w:r>
      <w:r>
        <w:rPr>
          <w:rFonts w:ascii="Times New Roman"/>
          <w:b/>
          <w:color w:val="1D1D1D"/>
          <w:w w:val="105"/>
          <w:sz w:val="20"/>
        </w:rPr>
        <w:t>the r</w:t>
      </w:r>
      <w:r>
        <w:rPr>
          <w:rFonts w:ascii="Times New Roman"/>
          <w:b/>
          <w:color w:val="363636"/>
          <w:w w:val="105"/>
          <w:sz w:val="20"/>
        </w:rPr>
        <w:t>e</w:t>
      </w:r>
      <w:r>
        <w:rPr>
          <w:rFonts w:ascii="Times New Roman"/>
          <w:b/>
          <w:color w:val="1D1D1D"/>
          <w:w w:val="105"/>
          <w:sz w:val="20"/>
        </w:rPr>
        <w:t>view below</w:t>
      </w:r>
      <w:r>
        <w:rPr>
          <w:rFonts w:ascii="Times New Roman"/>
          <w:b/>
          <w:color w:val="1D1D1D"/>
          <w:spacing w:val="-3"/>
          <w:w w:val="105"/>
          <w:sz w:val="20"/>
        </w:rPr>
        <w:t> repr</w:t>
      </w:r>
      <w:r>
        <w:rPr>
          <w:rFonts w:ascii="Times New Roman"/>
          <w:b/>
          <w:color w:val="363636"/>
          <w:spacing w:val="-3"/>
          <w:w w:val="105"/>
          <w:sz w:val="20"/>
        </w:rPr>
        <w:t>ese</w:t>
      </w:r>
      <w:r>
        <w:rPr>
          <w:rFonts w:ascii="Times New Roman"/>
          <w:b/>
          <w:color w:val="1D1D1D"/>
          <w:spacing w:val="-3"/>
          <w:w w:val="105"/>
          <w:sz w:val="20"/>
        </w:rPr>
        <w:t>n</w:t>
      </w:r>
      <w:r>
        <w:rPr>
          <w:rFonts w:ascii="Times New Roman"/>
          <w:b/>
          <w:color w:val="363636"/>
          <w:spacing w:val="-3"/>
          <w:w w:val="105"/>
          <w:sz w:val="20"/>
        </w:rPr>
        <w:t>ts </w:t>
      </w:r>
      <w:r>
        <w:rPr>
          <w:rFonts w:ascii="Times New Roman"/>
          <w:b/>
          <w:color w:val="1D1D1D"/>
          <w:w w:val="105"/>
          <w:sz w:val="20"/>
        </w:rPr>
        <w:t>its </w:t>
      </w:r>
      <w:r>
        <w:rPr>
          <w:rFonts w:ascii="Times New Roman"/>
          <w:b/>
          <w:color w:val="363636"/>
          <w:w w:val="105"/>
          <w:sz w:val="20"/>
        </w:rPr>
        <w:t>r</w:t>
      </w:r>
      <w:r>
        <w:rPr>
          <w:rFonts w:ascii="Times New Roman"/>
          <w:b/>
          <w:color w:val="1D1D1D"/>
          <w:w w:val="105"/>
          <w:sz w:val="20"/>
        </w:rPr>
        <w:t>eportt</w:t>
      </w:r>
      <w:r>
        <w:rPr>
          <w:rFonts w:ascii="Times New Roman"/>
          <w:b/>
          <w:color w:val="363636"/>
          <w:w w:val="105"/>
          <w:sz w:val="20"/>
        </w:rPr>
        <w:t>o </w:t>
      </w:r>
      <w:r>
        <w:rPr>
          <w:rFonts w:ascii="Times New Roman"/>
          <w:b/>
          <w:color w:val="1D1D1D"/>
          <w:spacing w:val="-10"/>
          <w:w w:val="105"/>
          <w:sz w:val="20"/>
        </w:rPr>
        <w:t>th</w:t>
      </w:r>
      <w:r>
        <w:rPr>
          <w:rFonts w:ascii="Times New Roman"/>
          <w:b/>
          <w:color w:val="363636"/>
          <w:spacing w:val="-10"/>
          <w:w w:val="105"/>
          <w:sz w:val="20"/>
        </w:rPr>
        <w:t>e </w:t>
      </w:r>
      <w:r>
        <w:rPr>
          <w:rFonts w:ascii="Times New Roman"/>
          <w:b/>
          <w:color w:val="1D1D1D"/>
          <w:spacing w:val="-7"/>
          <w:w w:val="105"/>
          <w:sz w:val="20"/>
        </w:rPr>
        <w:t>Trustee</w:t>
      </w:r>
      <w:r>
        <w:rPr>
          <w:rFonts w:ascii="Times New Roman"/>
          <w:b/>
          <w:color w:val="363636"/>
          <w:spacing w:val="-7"/>
          <w:w w:val="105"/>
          <w:sz w:val="20"/>
        </w:rPr>
        <w:t>.</w:t>
      </w:r>
    </w:p>
    <w:p>
      <w:pPr>
        <w:pStyle w:val="BodyText"/>
        <w:spacing w:before="10"/>
        <w:rPr>
          <w:rFonts w:ascii="Times New Roman"/>
          <w:b/>
          <w:sz w:val="22"/>
        </w:rPr>
      </w:pPr>
    </w:p>
    <w:p>
      <w:pPr>
        <w:spacing w:before="0"/>
        <w:ind w:left="448" w:right="0" w:firstLine="0"/>
        <w:jc w:val="both"/>
        <w:rPr>
          <w:rFonts w:ascii="Times New Roman"/>
          <w:b/>
          <w:sz w:val="21"/>
        </w:rPr>
      </w:pPr>
      <w:bookmarkStart w:name="_TOC_250015" w:id="6"/>
      <w:r>
        <w:rPr>
          <w:rFonts w:ascii="Times New Roman"/>
          <w:b/>
          <w:color w:val="1D1D1D"/>
          <w:w w:val="110"/>
          <w:sz w:val="21"/>
        </w:rPr>
        <w:t>F</w:t>
      </w:r>
      <w:r>
        <w:rPr>
          <w:rFonts w:ascii="Times New Roman"/>
          <w:b/>
          <w:color w:val="363636"/>
          <w:w w:val="110"/>
          <w:sz w:val="21"/>
        </w:rPr>
        <w:t>IN</w:t>
      </w:r>
      <w:bookmarkEnd w:id="6"/>
      <w:r>
        <w:rPr>
          <w:rFonts w:ascii="Times New Roman"/>
          <w:b/>
          <w:color w:val="1D1D1D"/>
          <w:w w:val="110"/>
          <w:sz w:val="21"/>
        </w:rPr>
        <w:t>ANCIALREVIEW</w:t>
      </w:r>
    </w:p>
    <w:p>
      <w:pPr>
        <w:spacing w:line="261" w:lineRule="auto" w:before="124"/>
        <w:ind w:left="442" w:right="895" w:firstLine="5"/>
        <w:jc w:val="both"/>
        <w:rPr>
          <w:rFonts w:ascii="Arial"/>
          <w:b/>
          <w:sz w:val="19"/>
        </w:rPr>
      </w:pPr>
      <w:r>
        <w:rPr>
          <w:rFonts w:ascii="Times New Roman"/>
          <w:color w:val="363636"/>
          <w:w w:val="110"/>
          <w:sz w:val="19"/>
        </w:rPr>
        <w:t>These accounts show the </w:t>
      </w:r>
      <w:r>
        <w:rPr>
          <w:rFonts w:ascii="Times New Roman"/>
          <w:color w:val="363636"/>
          <w:spacing w:val="-5"/>
          <w:w w:val="110"/>
          <w:sz w:val="19"/>
        </w:rPr>
        <w:t>com</w:t>
      </w:r>
      <w:r>
        <w:rPr>
          <w:rFonts w:ascii="Times New Roman"/>
          <w:color w:val="1D1D1D"/>
          <w:spacing w:val="-5"/>
          <w:w w:val="110"/>
          <w:sz w:val="19"/>
        </w:rPr>
        <w:t>b</w:t>
      </w:r>
      <w:r>
        <w:rPr>
          <w:rFonts w:ascii="Times New Roman"/>
          <w:color w:val="363636"/>
          <w:spacing w:val="-5"/>
          <w:w w:val="110"/>
          <w:sz w:val="19"/>
        </w:rPr>
        <w:t>ine</w:t>
      </w:r>
      <w:r>
        <w:rPr>
          <w:rFonts w:ascii="Times New Roman"/>
          <w:color w:val="1D1D1D"/>
          <w:spacing w:val="-5"/>
          <w:w w:val="110"/>
          <w:sz w:val="19"/>
        </w:rPr>
        <w:t>d </w:t>
      </w:r>
      <w:r>
        <w:rPr>
          <w:rFonts w:ascii="Times New Roman"/>
          <w:color w:val="1D1D1D"/>
          <w:w w:val="110"/>
          <w:sz w:val="19"/>
        </w:rPr>
        <w:t>in</w:t>
      </w:r>
      <w:r>
        <w:rPr>
          <w:rFonts w:ascii="Times New Roman"/>
          <w:color w:val="363636"/>
          <w:w w:val="110"/>
          <w:sz w:val="19"/>
        </w:rPr>
        <w:t>co</w:t>
      </w:r>
      <w:r>
        <w:rPr>
          <w:rFonts w:ascii="Times New Roman"/>
          <w:color w:val="1D1D1D"/>
          <w:w w:val="110"/>
          <w:sz w:val="19"/>
        </w:rPr>
        <w:t>m</w:t>
      </w:r>
      <w:r>
        <w:rPr>
          <w:rFonts w:ascii="Times New Roman"/>
          <w:color w:val="363636"/>
          <w:w w:val="110"/>
          <w:sz w:val="19"/>
        </w:rPr>
        <w:t>e, </w:t>
      </w:r>
      <w:r>
        <w:rPr>
          <w:rFonts w:ascii="Times New Roman"/>
          <w:color w:val="363636"/>
          <w:spacing w:val="-3"/>
          <w:w w:val="110"/>
          <w:sz w:val="19"/>
        </w:rPr>
        <w:t>expen</w:t>
      </w:r>
      <w:r>
        <w:rPr>
          <w:rFonts w:ascii="Times New Roman"/>
          <w:color w:val="1D1D1D"/>
          <w:spacing w:val="-3"/>
          <w:w w:val="110"/>
          <w:sz w:val="19"/>
        </w:rPr>
        <w:t>di</w:t>
      </w:r>
      <w:r>
        <w:rPr>
          <w:rFonts w:ascii="Times New Roman"/>
          <w:color w:val="363636"/>
          <w:spacing w:val="-3"/>
          <w:w w:val="110"/>
          <w:sz w:val="19"/>
        </w:rPr>
        <w:t>ture, </w:t>
      </w:r>
      <w:r>
        <w:rPr>
          <w:rFonts w:ascii="Times New Roman"/>
          <w:color w:val="363636"/>
          <w:w w:val="110"/>
          <w:sz w:val="19"/>
        </w:rPr>
        <w:t>assets and </w:t>
      </w:r>
      <w:r>
        <w:rPr>
          <w:rFonts w:ascii="Times New Roman"/>
          <w:color w:val="1D1D1D"/>
          <w:w w:val="110"/>
          <w:sz w:val="19"/>
        </w:rPr>
        <w:t>li</w:t>
      </w:r>
      <w:r>
        <w:rPr>
          <w:rFonts w:ascii="Times New Roman"/>
          <w:color w:val="363636"/>
          <w:w w:val="110"/>
          <w:sz w:val="19"/>
        </w:rPr>
        <w:t>a</w:t>
      </w:r>
      <w:r>
        <w:rPr>
          <w:rFonts w:ascii="Times New Roman"/>
          <w:color w:val="1D1D1D"/>
          <w:w w:val="110"/>
          <w:sz w:val="19"/>
        </w:rPr>
        <w:t>bi</w:t>
      </w:r>
      <w:r>
        <w:rPr>
          <w:rFonts w:ascii="Times New Roman"/>
          <w:color w:val="363636"/>
          <w:w w:val="110"/>
          <w:sz w:val="19"/>
        </w:rPr>
        <w:t>lities </w:t>
      </w:r>
      <w:r>
        <w:rPr>
          <w:rFonts w:ascii="Times New Roman"/>
          <w:color w:val="1D1D1D"/>
          <w:w w:val="110"/>
          <w:sz w:val="19"/>
        </w:rPr>
        <w:t>of th</w:t>
      </w:r>
      <w:r>
        <w:rPr>
          <w:rFonts w:ascii="Times New Roman"/>
          <w:color w:val="363636"/>
          <w:w w:val="110"/>
          <w:sz w:val="19"/>
        </w:rPr>
        <w:t>ose trusts and </w:t>
      </w:r>
      <w:r>
        <w:rPr>
          <w:rFonts w:ascii="Times New Roman"/>
          <w:color w:val="363636"/>
          <w:spacing w:val="-5"/>
          <w:w w:val="110"/>
          <w:sz w:val="19"/>
        </w:rPr>
        <w:t>othe</w:t>
      </w:r>
      <w:r>
        <w:rPr>
          <w:rFonts w:ascii="Times New Roman"/>
          <w:color w:val="1D1D1D"/>
          <w:spacing w:val="-5"/>
          <w:w w:val="110"/>
          <w:sz w:val="19"/>
        </w:rPr>
        <w:t>r </w:t>
      </w:r>
      <w:r>
        <w:rPr>
          <w:rFonts w:ascii="Times New Roman"/>
          <w:color w:val="363636"/>
          <w:w w:val="110"/>
          <w:sz w:val="19"/>
        </w:rPr>
        <w:t>funds adminis</w:t>
      </w:r>
      <w:r>
        <w:rPr>
          <w:rFonts w:ascii="Times New Roman"/>
          <w:color w:val="1D1D1D"/>
          <w:w w:val="110"/>
          <w:sz w:val="19"/>
        </w:rPr>
        <w:t>t</w:t>
      </w:r>
      <w:r>
        <w:rPr>
          <w:rFonts w:ascii="Times New Roman"/>
          <w:color w:val="363636"/>
          <w:w w:val="110"/>
          <w:sz w:val="19"/>
        </w:rPr>
        <w:t>ered for</w:t>
      </w:r>
      <w:r>
        <w:rPr>
          <w:rFonts w:ascii="Times New Roman"/>
          <w:color w:val="363636"/>
          <w:spacing w:val="-4"/>
          <w:w w:val="110"/>
          <w:sz w:val="19"/>
        </w:rPr>
        <w:t> </w:t>
      </w:r>
      <w:r>
        <w:rPr>
          <w:rFonts w:ascii="Times New Roman"/>
          <w:color w:val="363636"/>
          <w:w w:val="110"/>
          <w:sz w:val="19"/>
        </w:rPr>
        <w:t>the</w:t>
      </w:r>
      <w:r>
        <w:rPr>
          <w:rFonts w:ascii="Times New Roman"/>
          <w:color w:val="363636"/>
          <w:spacing w:val="-7"/>
          <w:w w:val="110"/>
          <w:sz w:val="19"/>
        </w:rPr>
        <w:t> </w:t>
      </w:r>
      <w:r>
        <w:rPr>
          <w:rFonts w:ascii="Times New Roman"/>
          <w:color w:val="363636"/>
          <w:w w:val="110"/>
          <w:sz w:val="19"/>
        </w:rPr>
        <w:t>benefit</w:t>
      </w:r>
      <w:r>
        <w:rPr>
          <w:rFonts w:ascii="Times New Roman"/>
          <w:color w:val="363636"/>
          <w:spacing w:val="-11"/>
          <w:w w:val="110"/>
          <w:sz w:val="19"/>
        </w:rPr>
        <w:t> </w:t>
      </w:r>
      <w:r>
        <w:rPr>
          <w:rFonts w:ascii="Times New Roman"/>
          <w:color w:val="363636"/>
          <w:w w:val="110"/>
          <w:sz w:val="19"/>
        </w:rPr>
        <w:t>of</w:t>
      </w:r>
      <w:r>
        <w:rPr>
          <w:rFonts w:ascii="Times New Roman"/>
          <w:color w:val="363636"/>
          <w:spacing w:val="2"/>
          <w:w w:val="110"/>
          <w:sz w:val="19"/>
        </w:rPr>
        <w:t> </w:t>
      </w:r>
      <w:r>
        <w:rPr>
          <w:rFonts w:ascii="Times New Roman"/>
          <w:color w:val="363636"/>
          <w:w w:val="110"/>
          <w:sz w:val="19"/>
        </w:rPr>
        <w:t>the</w:t>
      </w:r>
      <w:r>
        <w:rPr>
          <w:rFonts w:ascii="Times New Roman"/>
          <w:color w:val="363636"/>
          <w:spacing w:val="-1"/>
          <w:w w:val="110"/>
          <w:sz w:val="19"/>
        </w:rPr>
        <w:t> </w:t>
      </w:r>
      <w:r>
        <w:rPr>
          <w:rFonts w:ascii="Times New Roman"/>
          <w:color w:val="363636"/>
          <w:spacing w:val="3"/>
          <w:w w:val="110"/>
          <w:sz w:val="19"/>
        </w:rPr>
        <w:t>U</w:t>
      </w:r>
      <w:r>
        <w:rPr>
          <w:rFonts w:ascii="Times New Roman"/>
          <w:color w:val="1D1D1D"/>
          <w:spacing w:val="3"/>
          <w:w w:val="110"/>
          <w:sz w:val="19"/>
        </w:rPr>
        <w:t>nit</w:t>
      </w:r>
      <w:r>
        <w:rPr>
          <w:rFonts w:ascii="Times New Roman"/>
          <w:color w:val="363636"/>
          <w:spacing w:val="3"/>
          <w:w w:val="110"/>
          <w:sz w:val="19"/>
        </w:rPr>
        <w:t>e</w:t>
      </w:r>
      <w:r>
        <w:rPr>
          <w:rFonts w:ascii="Times New Roman"/>
          <w:color w:val="1D1D1D"/>
          <w:spacing w:val="3"/>
          <w:w w:val="110"/>
          <w:sz w:val="19"/>
        </w:rPr>
        <w:t>d</w:t>
      </w:r>
      <w:r>
        <w:rPr>
          <w:rFonts w:ascii="Times New Roman"/>
          <w:color w:val="1D1D1D"/>
          <w:spacing w:val="8"/>
          <w:w w:val="110"/>
          <w:sz w:val="19"/>
        </w:rPr>
        <w:t> </w:t>
      </w:r>
      <w:r>
        <w:rPr>
          <w:rFonts w:ascii="Times New Roman"/>
          <w:color w:val="363636"/>
          <w:w w:val="110"/>
          <w:sz w:val="19"/>
        </w:rPr>
        <w:t>Reformed Church</w:t>
      </w:r>
      <w:r>
        <w:rPr>
          <w:rFonts w:ascii="Times New Roman"/>
          <w:color w:val="363636"/>
          <w:spacing w:val="-7"/>
          <w:w w:val="110"/>
          <w:sz w:val="19"/>
        </w:rPr>
        <w:t> </w:t>
      </w:r>
      <w:r>
        <w:rPr>
          <w:rFonts w:ascii="Times New Roman"/>
          <w:color w:val="363636"/>
          <w:spacing w:val="-5"/>
          <w:w w:val="110"/>
          <w:sz w:val="19"/>
        </w:rPr>
        <w:t>un</w:t>
      </w:r>
      <w:r>
        <w:rPr>
          <w:rFonts w:ascii="Times New Roman"/>
          <w:color w:val="1D1D1D"/>
          <w:spacing w:val="-5"/>
          <w:w w:val="110"/>
          <w:sz w:val="19"/>
        </w:rPr>
        <w:t>d</w:t>
      </w:r>
      <w:r>
        <w:rPr>
          <w:rFonts w:ascii="Times New Roman"/>
          <w:color w:val="363636"/>
          <w:spacing w:val="-5"/>
          <w:w w:val="110"/>
          <w:sz w:val="19"/>
        </w:rPr>
        <w:t>er</w:t>
      </w:r>
      <w:r>
        <w:rPr>
          <w:rFonts w:ascii="Times New Roman"/>
          <w:color w:val="363636"/>
          <w:spacing w:val="-2"/>
          <w:w w:val="110"/>
          <w:sz w:val="19"/>
        </w:rPr>
        <w:t> </w:t>
      </w:r>
      <w:r>
        <w:rPr>
          <w:rFonts w:ascii="Times New Roman"/>
          <w:color w:val="363636"/>
          <w:w w:val="110"/>
          <w:sz w:val="19"/>
        </w:rPr>
        <w:t>the</w:t>
      </w:r>
      <w:r>
        <w:rPr>
          <w:rFonts w:ascii="Times New Roman"/>
          <w:color w:val="363636"/>
          <w:spacing w:val="-13"/>
          <w:w w:val="110"/>
          <w:sz w:val="19"/>
        </w:rPr>
        <w:t> </w:t>
      </w:r>
      <w:r>
        <w:rPr>
          <w:rFonts w:ascii="Times New Roman"/>
          <w:color w:val="363636"/>
          <w:spacing w:val="-3"/>
          <w:w w:val="110"/>
          <w:sz w:val="19"/>
        </w:rPr>
        <w:t>overa</w:t>
      </w:r>
      <w:r>
        <w:rPr>
          <w:rFonts w:ascii="Times New Roman"/>
          <w:color w:val="1D1D1D"/>
          <w:spacing w:val="-3"/>
          <w:w w:val="110"/>
          <w:sz w:val="19"/>
        </w:rPr>
        <w:t>ll</w:t>
      </w:r>
      <w:r>
        <w:rPr>
          <w:rFonts w:ascii="Times New Roman"/>
          <w:color w:val="1D1D1D"/>
          <w:spacing w:val="1"/>
          <w:w w:val="110"/>
          <w:sz w:val="19"/>
        </w:rPr>
        <w:t> </w:t>
      </w:r>
      <w:r>
        <w:rPr>
          <w:rFonts w:ascii="Times New Roman"/>
          <w:color w:val="1D1D1D"/>
          <w:w w:val="110"/>
          <w:sz w:val="19"/>
        </w:rPr>
        <w:t>au</w:t>
      </w:r>
      <w:r>
        <w:rPr>
          <w:rFonts w:ascii="Times New Roman"/>
          <w:color w:val="363636"/>
          <w:w w:val="110"/>
          <w:sz w:val="19"/>
        </w:rPr>
        <w:t>thority</w:t>
      </w:r>
      <w:r>
        <w:rPr>
          <w:rFonts w:ascii="Times New Roman"/>
          <w:color w:val="363636"/>
          <w:spacing w:val="-14"/>
          <w:w w:val="110"/>
          <w:sz w:val="19"/>
        </w:rPr>
        <w:t> </w:t>
      </w:r>
      <w:r>
        <w:rPr>
          <w:rFonts w:ascii="Times New Roman"/>
          <w:color w:val="363636"/>
          <w:w w:val="110"/>
          <w:sz w:val="19"/>
        </w:rPr>
        <w:t>of</w:t>
      </w:r>
      <w:r>
        <w:rPr>
          <w:rFonts w:ascii="Times New Roman"/>
          <w:color w:val="363636"/>
          <w:spacing w:val="1"/>
          <w:w w:val="110"/>
          <w:sz w:val="19"/>
        </w:rPr>
        <w:t> </w:t>
      </w:r>
      <w:r>
        <w:rPr>
          <w:rFonts w:ascii="Times New Roman"/>
          <w:color w:val="363636"/>
          <w:w w:val="110"/>
          <w:sz w:val="19"/>
        </w:rPr>
        <w:t>General</w:t>
      </w:r>
      <w:r>
        <w:rPr>
          <w:rFonts w:ascii="Times New Roman"/>
          <w:color w:val="363636"/>
          <w:spacing w:val="-11"/>
          <w:w w:val="110"/>
          <w:sz w:val="19"/>
        </w:rPr>
        <w:t> </w:t>
      </w:r>
      <w:r>
        <w:rPr>
          <w:rFonts w:ascii="Times New Roman"/>
          <w:color w:val="363636"/>
          <w:spacing w:val="-4"/>
          <w:w w:val="110"/>
          <w:sz w:val="19"/>
        </w:rPr>
        <w:t>Assemb</w:t>
      </w:r>
      <w:r>
        <w:rPr>
          <w:rFonts w:ascii="Times New Roman"/>
          <w:color w:val="1D1D1D"/>
          <w:spacing w:val="-4"/>
          <w:w w:val="110"/>
          <w:sz w:val="19"/>
        </w:rPr>
        <w:t>l</w:t>
      </w:r>
      <w:r>
        <w:rPr>
          <w:rFonts w:ascii="Times New Roman"/>
          <w:color w:val="363636"/>
          <w:spacing w:val="-4"/>
          <w:w w:val="110"/>
          <w:sz w:val="19"/>
        </w:rPr>
        <w:t>y. </w:t>
      </w:r>
      <w:r>
        <w:rPr>
          <w:rFonts w:ascii="Times New Roman"/>
          <w:color w:val="363636"/>
          <w:w w:val="110"/>
          <w:sz w:val="19"/>
        </w:rPr>
        <w:t>They also include the </w:t>
      </w:r>
      <w:r>
        <w:rPr>
          <w:rFonts w:ascii="Times New Roman"/>
          <w:color w:val="363636"/>
          <w:spacing w:val="-3"/>
          <w:w w:val="110"/>
          <w:sz w:val="19"/>
        </w:rPr>
        <w:t>opera</w:t>
      </w:r>
      <w:r>
        <w:rPr>
          <w:rFonts w:ascii="Times New Roman"/>
          <w:color w:val="1D1D1D"/>
          <w:spacing w:val="-3"/>
          <w:w w:val="110"/>
          <w:sz w:val="19"/>
        </w:rPr>
        <w:t>ti</w:t>
      </w:r>
      <w:r>
        <w:rPr>
          <w:rFonts w:ascii="Times New Roman"/>
          <w:color w:val="363636"/>
          <w:spacing w:val="-3"/>
          <w:w w:val="110"/>
          <w:sz w:val="19"/>
        </w:rPr>
        <w:t>ons </w:t>
      </w:r>
      <w:r>
        <w:rPr>
          <w:rFonts w:ascii="Times New Roman"/>
          <w:color w:val="363636"/>
          <w:w w:val="110"/>
          <w:sz w:val="19"/>
        </w:rPr>
        <w:t>of </w:t>
      </w:r>
      <w:r>
        <w:rPr>
          <w:rFonts w:ascii="Times New Roman"/>
          <w:color w:val="1D1D1D"/>
          <w:w w:val="110"/>
          <w:sz w:val="19"/>
        </w:rPr>
        <w:t>the U</w:t>
      </w:r>
      <w:r>
        <w:rPr>
          <w:rFonts w:ascii="Times New Roman"/>
          <w:color w:val="363636"/>
          <w:w w:val="110"/>
          <w:sz w:val="19"/>
        </w:rPr>
        <w:t>nited </w:t>
      </w:r>
      <w:r>
        <w:rPr>
          <w:rFonts w:ascii="Times New Roman"/>
          <w:color w:val="1D1D1D"/>
          <w:w w:val="110"/>
          <w:sz w:val="19"/>
        </w:rPr>
        <w:t>R</w:t>
      </w:r>
      <w:r>
        <w:rPr>
          <w:rFonts w:ascii="Times New Roman"/>
          <w:color w:val="363636"/>
          <w:w w:val="110"/>
          <w:sz w:val="19"/>
        </w:rPr>
        <w:t>eformed </w:t>
      </w:r>
      <w:r>
        <w:rPr>
          <w:rFonts w:ascii="Times New Roman"/>
          <w:color w:val="363636"/>
          <w:spacing w:val="-6"/>
          <w:w w:val="110"/>
          <w:sz w:val="19"/>
        </w:rPr>
        <w:t>Churc</w:t>
      </w:r>
      <w:r>
        <w:rPr>
          <w:rFonts w:ascii="Times New Roman"/>
          <w:color w:val="1D1D1D"/>
          <w:spacing w:val="-6"/>
          <w:w w:val="110"/>
          <w:sz w:val="19"/>
        </w:rPr>
        <w:t>h </w:t>
      </w:r>
      <w:r>
        <w:rPr>
          <w:rFonts w:ascii="Times New Roman"/>
          <w:color w:val="1D1D1D"/>
          <w:w w:val="110"/>
          <w:sz w:val="19"/>
        </w:rPr>
        <w:t>R</w:t>
      </w:r>
      <w:r>
        <w:rPr>
          <w:rFonts w:ascii="Times New Roman"/>
          <w:color w:val="363636"/>
          <w:w w:val="110"/>
          <w:sz w:val="19"/>
        </w:rPr>
        <w:t>etired </w:t>
      </w:r>
      <w:r>
        <w:rPr>
          <w:rFonts w:ascii="Times New Roman"/>
          <w:color w:val="363636"/>
          <w:spacing w:val="-3"/>
          <w:w w:val="110"/>
          <w:sz w:val="19"/>
        </w:rPr>
        <w:t>M</w:t>
      </w:r>
      <w:r>
        <w:rPr>
          <w:rFonts w:ascii="Times New Roman"/>
          <w:color w:val="1D1D1D"/>
          <w:spacing w:val="-3"/>
          <w:w w:val="110"/>
          <w:sz w:val="19"/>
        </w:rPr>
        <w:t>ini</w:t>
      </w:r>
      <w:r>
        <w:rPr>
          <w:rFonts w:ascii="Times New Roman"/>
          <w:color w:val="363636"/>
          <w:spacing w:val="-3"/>
          <w:w w:val="110"/>
          <w:sz w:val="19"/>
        </w:rPr>
        <w:t>s</w:t>
      </w:r>
      <w:r>
        <w:rPr>
          <w:rFonts w:ascii="Times New Roman"/>
          <w:color w:val="1D1D1D"/>
          <w:spacing w:val="-3"/>
          <w:w w:val="110"/>
          <w:sz w:val="19"/>
        </w:rPr>
        <w:t>t</w:t>
      </w:r>
      <w:r>
        <w:rPr>
          <w:rFonts w:ascii="Times New Roman"/>
          <w:color w:val="363636"/>
          <w:spacing w:val="-3"/>
          <w:w w:val="110"/>
          <w:sz w:val="19"/>
        </w:rPr>
        <w:t>ers' </w:t>
      </w:r>
      <w:r>
        <w:rPr>
          <w:rFonts w:ascii="Times New Roman"/>
          <w:color w:val="1D1D1D"/>
          <w:w w:val="110"/>
          <w:sz w:val="19"/>
        </w:rPr>
        <w:t>H</w:t>
      </w:r>
      <w:r>
        <w:rPr>
          <w:rFonts w:ascii="Times New Roman"/>
          <w:color w:val="363636"/>
          <w:w w:val="110"/>
          <w:sz w:val="19"/>
        </w:rPr>
        <w:t>ousing </w:t>
      </w:r>
      <w:r>
        <w:rPr>
          <w:rFonts w:ascii="Times New Roman"/>
          <w:color w:val="363636"/>
          <w:spacing w:val="-4"/>
          <w:w w:val="110"/>
          <w:sz w:val="19"/>
        </w:rPr>
        <w:t>Soc</w:t>
      </w:r>
      <w:r>
        <w:rPr>
          <w:rFonts w:ascii="Times New Roman"/>
          <w:color w:val="1D1D1D"/>
          <w:spacing w:val="-4"/>
          <w:w w:val="110"/>
          <w:sz w:val="19"/>
        </w:rPr>
        <w:t>i</w:t>
      </w:r>
      <w:r>
        <w:rPr>
          <w:rFonts w:ascii="Times New Roman"/>
          <w:color w:val="363636"/>
          <w:spacing w:val="-4"/>
          <w:w w:val="110"/>
          <w:sz w:val="19"/>
        </w:rPr>
        <w:t>ety </w:t>
      </w:r>
      <w:r>
        <w:rPr>
          <w:rFonts w:ascii="Times New Roman"/>
          <w:color w:val="363636"/>
          <w:w w:val="110"/>
          <w:sz w:val="19"/>
        </w:rPr>
        <w:t>Limited, which</w:t>
      </w:r>
      <w:r>
        <w:rPr>
          <w:rFonts w:ascii="Times New Roman"/>
          <w:color w:val="363636"/>
          <w:spacing w:val="-26"/>
          <w:w w:val="110"/>
          <w:sz w:val="19"/>
        </w:rPr>
        <w:t> </w:t>
      </w:r>
      <w:r>
        <w:rPr>
          <w:rFonts w:ascii="Times New Roman"/>
          <w:color w:val="363636"/>
          <w:w w:val="110"/>
          <w:sz w:val="19"/>
        </w:rPr>
        <w:t>is</w:t>
      </w:r>
      <w:r>
        <w:rPr>
          <w:rFonts w:ascii="Times New Roman"/>
          <w:color w:val="363636"/>
          <w:spacing w:val="-25"/>
          <w:w w:val="110"/>
          <w:sz w:val="19"/>
        </w:rPr>
        <w:t> </w:t>
      </w:r>
      <w:r>
        <w:rPr>
          <w:rFonts w:ascii="Times New Roman"/>
          <w:color w:val="363636"/>
          <w:w w:val="110"/>
          <w:sz w:val="19"/>
        </w:rPr>
        <w:t>an</w:t>
      </w:r>
      <w:r>
        <w:rPr>
          <w:rFonts w:ascii="Times New Roman"/>
          <w:color w:val="363636"/>
          <w:spacing w:val="-18"/>
          <w:w w:val="110"/>
          <w:sz w:val="19"/>
        </w:rPr>
        <w:t> </w:t>
      </w:r>
      <w:r>
        <w:rPr>
          <w:rFonts w:ascii="Times New Roman"/>
          <w:color w:val="363636"/>
          <w:w w:val="110"/>
          <w:sz w:val="19"/>
        </w:rPr>
        <w:t>exempt</w:t>
      </w:r>
      <w:r>
        <w:rPr>
          <w:rFonts w:ascii="Times New Roman"/>
          <w:color w:val="363636"/>
          <w:spacing w:val="-25"/>
          <w:w w:val="110"/>
          <w:sz w:val="19"/>
        </w:rPr>
        <w:t> </w:t>
      </w:r>
      <w:r>
        <w:rPr>
          <w:rFonts w:ascii="Times New Roman"/>
          <w:color w:val="363636"/>
          <w:w w:val="110"/>
          <w:sz w:val="19"/>
        </w:rPr>
        <w:t>charity</w:t>
      </w:r>
      <w:r>
        <w:rPr>
          <w:rFonts w:ascii="Times New Roman"/>
          <w:color w:val="363636"/>
          <w:spacing w:val="-20"/>
          <w:w w:val="110"/>
          <w:sz w:val="19"/>
        </w:rPr>
        <w:t> </w:t>
      </w:r>
      <w:r>
        <w:rPr>
          <w:rFonts w:ascii="Times New Roman"/>
          <w:color w:val="363636"/>
          <w:w w:val="110"/>
          <w:sz w:val="19"/>
        </w:rPr>
        <w:t>prov</w:t>
      </w:r>
      <w:r>
        <w:rPr>
          <w:rFonts w:ascii="Times New Roman"/>
          <w:color w:val="1D1D1D"/>
          <w:w w:val="110"/>
          <w:sz w:val="19"/>
        </w:rPr>
        <w:t>i</w:t>
      </w:r>
      <w:r>
        <w:rPr>
          <w:rFonts w:ascii="Times New Roman"/>
          <w:color w:val="363636"/>
          <w:w w:val="110"/>
          <w:sz w:val="19"/>
        </w:rPr>
        <w:t>ding</w:t>
      </w:r>
      <w:r>
        <w:rPr>
          <w:rFonts w:ascii="Times New Roman"/>
          <w:color w:val="363636"/>
          <w:spacing w:val="-17"/>
          <w:w w:val="110"/>
          <w:sz w:val="19"/>
        </w:rPr>
        <w:t> </w:t>
      </w:r>
      <w:r>
        <w:rPr>
          <w:rFonts w:ascii="Times New Roman"/>
          <w:color w:val="1D1D1D"/>
          <w:w w:val="110"/>
          <w:sz w:val="19"/>
        </w:rPr>
        <w:t>h</w:t>
      </w:r>
      <w:r>
        <w:rPr>
          <w:rFonts w:ascii="Times New Roman"/>
          <w:color w:val="363636"/>
          <w:w w:val="110"/>
          <w:sz w:val="19"/>
        </w:rPr>
        <w:t>o</w:t>
      </w:r>
      <w:r>
        <w:rPr>
          <w:rFonts w:ascii="Times New Roman"/>
          <w:color w:val="1D1D1D"/>
          <w:w w:val="110"/>
          <w:sz w:val="19"/>
        </w:rPr>
        <w:t>u</w:t>
      </w:r>
      <w:r>
        <w:rPr>
          <w:rFonts w:ascii="Times New Roman"/>
          <w:color w:val="363636"/>
          <w:w w:val="110"/>
          <w:sz w:val="19"/>
        </w:rPr>
        <w:t>sing</w:t>
      </w:r>
      <w:r>
        <w:rPr>
          <w:rFonts w:ascii="Times New Roman"/>
          <w:color w:val="363636"/>
          <w:spacing w:val="-11"/>
          <w:w w:val="110"/>
          <w:sz w:val="19"/>
        </w:rPr>
        <w:t> </w:t>
      </w:r>
      <w:r>
        <w:rPr>
          <w:rFonts w:ascii="Times New Roman"/>
          <w:color w:val="363636"/>
          <w:w w:val="110"/>
          <w:sz w:val="19"/>
        </w:rPr>
        <w:t>and</w:t>
      </w:r>
      <w:r>
        <w:rPr>
          <w:rFonts w:ascii="Times New Roman"/>
          <w:color w:val="363636"/>
          <w:spacing w:val="-22"/>
          <w:w w:val="110"/>
          <w:sz w:val="19"/>
        </w:rPr>
        <w:t> </w:t>
      </w:r>
      <w:r>
        <w:rPr>
          <w:rFonts w:ascii="Times New Roman"/>
          <w:color w:val="363636"/>
          <w:w w:val="110"/>
          <w:sz w:val="19"/>
        </w:rPr>
        <w:t>any</w:t>
      </w:r>
      <w:r>
        <w:rPr>
          <w:rFonts w:ascii="Times New Roman"/>
          <w:color w:val="363636"/>
          <w:spacing w:val="-30"/>
          <w:w w:val="110"/>
          <w:sz w:val="19"/>
        </w:rPr>
        <w:t> </w:t>
      </w:r>
      <w:r>
        <w:rPr>
          <w:rFonts w:ascii="Times New Roman"/>
          <w:color w:val="363636"/>
          <w:spacing w:val="-5"/>
          <w:w w:val="110"/>
          <w:sz w:val="19"/>
        </w:rPr>
        <w:t>associate</w:t>
      </w:r>
      <w:r>
        <w:rPr>
          <w:rFonts w:ascii="Times New Roman"/>
          <w:color w:val="1D1D1D"/>
          <w:spacing w:val="-5"/>
          <w:w w:val="110"/>
          <w:sz w:val="19"/>
        </w:rPr>
        <w:t>d</w:t>
      </w:r>
      <w:r>
        <w:rPr>
          <w:rFonts w:ascii="Times New Roman"/>
          <w:color w:val="1D1D1D"/>
          <w:spacing w:val="-20"/>
          <w:w w:val="110"/>
          <w:sz w:val="19"/>
        </w:rPr>
        <w:t> </w:t>
      </w:r>
      <w:r>
        <w:rPr>
          <w:rFonts w:ascii="Times New Roman"/>
          <w:color w:val="363636"/>
          <w:w w:val="110"/>
          <w:sz w:val="19"/>
        </w:rPr>
        <w:t>amenities</w:t>
      </w:r>
      <w:r>
        <w:rPr>
          <w:rFonts w:ascii="Times New Roman"/>
          <w:color w:val="363636"/>
          <w:spacing w:val="-21"/>
          <w:w w:val="110"/>
          <w:sz w:val="19"/>
        </w:rPr>
        <w:t> </w:t>
      </w:r>
      <w:r>
        <w:rPr>
          <w:rFonts w:ascii="Times New Roman"/>
          <w:color w:val="363636"/>
          <w:w w:val="110"/>
          <w:sz w:val="19"/>
        </w:rPr>
        <w:t>for</w:t>
      </w:r>
      <w:r>
        <w:rPr>
          <w:rFonts w:ascii="Times New Roman"/>
          <w:color w:val="363636"/>
          <w:spacing w:val="-8"/>
          <w:w w:val="110"/>
          <w:sz w:val="19"/>
        </w:rPr>
        <w:t> </w:t>
      </w:r>
      <w:r>
        <w:rPr>
          <w:rFonts w:ascii="Times New Roman"/>
          <w:color w:val="1D1D1D"/>
          <w:w w:val="110"/>
          <w:sz w:val="19"/>
        </w:rPr>
        <w:t>p</w:t>
      </w:r>
      <w:r>
        <w:rPr>
          <w:rFonts w:ascii="Times New Roman"/>
          <w:color w:val="363636"/>
          <w:w w:val="110"/>
          <w:sz w:val="19"/>
        </w:rPr>
        <w:t>ersons</w:t>
      </w:r>
      <w:r>
        <w:rPr>
          <w:rFonts w:ascii="Times New Roman"/>
          <w:color w:val="363636"/>
          <w:spacing w:val="1"/>
          <w:w w:val="110"/>
          <w:sz w:val="19"/>
        </w:rPr>
        <w:t> </w:t>
      </w:r>
      <w:r>
        <w:rPr>
          <w:rFonts w:ascii="Times New Roman"/>
          <w:color w:val="363636"/>
          <w:w w:val="110"/>
          <w:sz w:val="19"/>
        </w:rPr>
        <w:t>who</w:t>
      </w:r>
      <w:r>
        <w:rPr>
          <w:rFonts w:ascii="Times New Roman"/>
          <w:color w:val="363636"/>
          <w:spacing w:val="-32"/>
          <w:w w:val="110"/>
          <w:sz w:val="19"/>
        </w:rPr>
        <w:t> </w:t>
      </w:r>
      <w:r>
        <w:rPr>
          <w:rFonts w:ascii="Times New Roman"/>
          <w:color w:val="363636"/>
          <w:w w:val="110"/>
          <w:sz w:val="19"/>
        </w:rPr>
        <w:t>are</w:t>
      </w:r>
      <w:r>
        <w:rPr>
          <w:rFonts w:ascii="Times New Roman"/>
          <w:color w:val="363636"/>
          <w:spacing w:val="-19"/>
          <w:w w:val="110"/>
          <w:sz w:val="19"/>
        </w:rPr>
        <w:t> </w:t>
      </w:r>
      <w:r>
        <w:rPr>
          <w:rFonts w:ascii="Times New Roman"/>
          <w:color w:val="363636"/>
          <w:w w:val="110"/>
          <w:sz w:val="19"/>
        </w:rPr>
        <w:t>retired</w:t>
      </w:r>
      <w:r>
        <w:rPr>
          <w:rFonts w:ascii="Times New Roman"/>
          <w:color w:val="363636"/>
          <w:spacing w:val="-29"/>
          <w:w w:val="110"/>
          <w:sz w:val="19"/>
        </w:rPr>
        <w:t> </w:t>
      </w:r>
      <w:r>
        <w:rPr>
          <w:rFonts w:ascii="Times New Roman"/>
          <w:color w:val="363636"/>
          <w:w w:val="110"/>
          <w:sz w:val="19"/>
        </w:rPr>
        <w:t>ministers or</w:t>
      </w:r>
      <w:r>
        <w:rPr>
          <w:rFonts w:ascii="Times New Roman"/>
          <w:color w:val="363636"/>
          <w:spacing w:val="-11"/>
          <w:w w:val="110"/>
          <w:sz w:val="19"/>
        </w:rPr>
        <w:t> </w:t>
      </w:r>
      <w:r>
        <w:rPr>
          <w:rFonts w:ascii="Times New Roman"/>
          <w:color w:val="363636"/>
          <w:w w:val="110"/>
          <w:sz w:val="19"/>
        </w:rPr>
        <w:t>widow</w:t>
      </w:r>
      <w:r>
        <w:rPr>
          <w:rFonts w:ascii="Times New Roman"/>
          <w:color w:val="5D5D5D"/>
          <w:w w:val="110"/>
          <w:sz w:val="19"/>
        </w:rPr>
        <w:t>/</w:t>
      </w:r>
      <w:r>
        <w:rPr>
          <w:rFonts w:ascii="Times New Roman"/>
          <w:color w:val="363636"/>
          <w:w w:val="110"/>
          <w:sz w:val="19"/>
        </w:rPr>
        <w:t>ers</w:t>
      </w:r>
      <w:r>
        <w:rPr>
          <w:rFonts w:ascii="Times New Roman"/>
          <w:color w:val="363636"/>
          <w:spacing w:val="-18"/>
          <w:w w:val="110"/>
          <w:sz w:val="19"/>
        </w:rPr>
        <w:t> </w:t>
      </w:r>
      <w:r>
        <w:rPr>
          <w:rFonts w:ascii="Times New Roman"/>
          <w:color w:val="363636"/>
          <w:w w:val="110"/>
          <w:sz w:val="19"/>
        </w:rPr>
        <w:t>of</w:t>
      </w:r>
      <w:r>
        <w:rPr>
          <w:rFonts w:ascii="Times New Roman"/>
          <w:color w:val="363636"/>
          <w:spacing w:val="-22"/>
          <w:w w:val="110"/>
          <w:sz w:val="19"/>
        </w:rPr>
        <w:t> </w:t>
      </w:r>
      <w:r>
        <w:rPr>
          <w:rFonts w:ascii="Times New Roman"/>
          <w:color w:val="363636"/>
          <w:w w:val="110"/>
          <w:sz w:val="19"/>
        </w:rPr>
        <w:t>ministers</w:t>
      </w:r>
      <w:r>
        <w:rPr>
          <w:rFonts w:ascii="Times New Roman"/>
          <w:color w:val="363636"/>
          <w:spacing w:val="-29"/>
          <w:w w:val="110"/>
          <w:sz w:val="19"/>
        </w:rPr>
        <w:t> </w:t>
      </w:r>
      <w:r>
        <w:rPr>
          <w:rFonts w:ascii="Times New Roman"/>
          <w:color w:val="363636"/>
          <w:spacing w:val="3"/>
          <w:w w:val="110"/>
          <w:sz w:val="19"/>
        </w:rPr>
        <w:t>o</w:t>
      </w:r>
      <w:r>
        <w:rPr>
          <w:rFonts w:ascii="Times New Roman"/>
          <w:color w:val="1D1D1D"/>
          <w:spacing w:val="3"/>
          <w:w w:val="110"/>
          <w:sz w:val="19"/>
        </w:rPr>
        <w:t>f</w:t>
      </w:r>
      <w:r>
        <w:rPr>
          <w:rFonts w:ascii="Times New Roman"/>
          <w:color w:val="1D1D1D"/>
          <w:spacing w:val="-26"/>
          <w:w w:val="110"/>
          <w:sz w:val="19"/>
        </w:rPr>
        <w:t> </w:t>
      </w:r>
      <w:r>
        <w:rPr>
          <w:rFonts w:ascii="Times New Roman"/>
          <w:color w:val="363636"/>
          <w:w w:val="110"/>
          <w:sz w:val="19"/>
        </w:rPr>
        <w:t>the</w:t>
      </w:r>
      <w:r>
        <w:rPr>
          <w:rFonts w:ascii="Times New Roman"/>
          <w:color w:val="363636"/>
          <w:spacing w:val="-20"/>
          <w:w w:val="110"/>
          <w:sz w:val="19"/>
        </w:rPr>
        <w:t> </w:t>
      </w:r>
      <w:r>
        <w:rPr>
          <w:rFonts w:ascii="Times New Roman"/>
          <w:color w:val="363636"/>
          <w:w w:val="110"/>
          <w:sz w:val="19"/>
        </w:rPr>
        <w:t>Uni</w:t>
      </w:r>
      <w:r>
        <w:rPr>
          <w:rFonts w:ascii="Times New Roman"/>
          <w:color w:val="1D1D1D"/>
          <w:w w:val="110"/>
          <w:sz w:val="19"/>
        </w:rPr>
        <w:t>t</w:t>
      </w:r>
      <w:r>
        <w:rPr>
          <w:rFonts w:ascii="Times New Roman"/>
          <w:color w:val="363636"/>
          <w:w w:val="110"/>
          <w:sz w:val="19"/>
        </w:rPr>
        <w:t>e</w:t>
      </w:r>
      <w:r>
        <w:rPr>
          <w:rFonts w:ascii="Times New Roman"/>
          <w:color w:val="1D1D1D"/>
          <w:w w:val="110"/>
          <w:sz w:val="19"/>
        </w:rPr>
        <w:t>d</w:t>
      </w:r>
      <w:r>
        <w:rPr>
          <w:rFonts w:ascii="Times New Roman"/>
          <w:color w:val="1D1D1D"/>
          <w:spacing w:val="-12"/>
          <w:w w:val="110"/>
          <w:sz w:val="19"/>
        </w:rPr>
        <w:t> </w:t>
      </w:r>
      <w:r>
        <w:rPr>
          <w:rFonts w:ascii="Times New Roman"/>
          <w:color w:val="1D1D1D"/>
          <w:w w:val="110"/>
          <w:sz w:val="19"/>
        </w:rPr>
        <w:t>R</w:t>
      </w:r>
      <w:r>
        <w:rPr>
          <w:rFonts w:ascii="Times New Roman"/>
          <w:color w:val="363636"/>
          <w:w w:val="110"/>
          <w:sz w:val="19"/>
        </w:rPr>
        <w:t>eformed</w:t>
      </w:r>
      <w:r>
        <w:rPr>
          <w:rFonts w:ascii="Times New Roman"/>
          <w:color w:val="363636"/>
          <w:spacing w:val="-10"/>
          <w:w w:val="110"/>
          <w:sz w:val="19"/>
        </w:rPr>
        <w:t> </w:t>
      </w:r>
      <w:r>
        <w:rPr>
          <w:rFonts w:ascii="Times New Roman"/>
          <w:color w:val="363636"/>
          <w:w w:val="110"/>
          <w:sz w:val="19"/>
        </w:rPr>
        <w:t>Churc</w:t>
      </w:r>
      <w:r>
        <w:rPr>
          <w:rFonts w:ascii="Times New Roman"/>
          <w:color w:val="1D1D1D"/>
          <w:w w:val="110"/>
          <w:sz w:val="19"/>
        </w:rPr>
        <w:t>h</w:t>
      </w:r>
      <w:r>
        <w:rPr>
          <w:rFonts w:ascii="Times New Roman"/>
          <w:color w:val="363636"/>
          <w:w w:val="110"/>
          <w:sz w:val="19"/>
        </w:rPr>
        <w:t>.</w:t>
      </w:r>
      <w:r>
        <w:rPr>
          <w:rFonts w:ascii="Times New Roman"/>
          <w:color w:val="363636"/>
          <w:spacing w:val="7"/>
          <w:w w:val="110"/>
          <w:sz w:val="19"/>
        </w:rPr>
        <w:t> </w:t>
      </w:r>
      <w:r>
        <w:rPr>
          <w:rFonts w:ascii="Times New Roman"/>
          <w:color w:val="363636"/>
          <w:w w:val="110"/>
          <w:sz w:val="19"/>
        </w:rPr>
        <w:t>These</w:t>
      </w:r>
      <w:r>
        <w:rPr>
          <w:rFonts w:ascii="Times New Roman"/>
          <w:color w:val="363636"/>
          <w:spacing w:val="-28"/>
          <w:w w:val="110"/>
          <w:sz w:val="19"/>
        </w:rPr>
        <w:t> </w:t>
      </w:r>
      <w:r>
        <w:rPr>
          <w:rFonts w:ascii="Times New Roman"/>
          <w:color w:val="363636"/>
          <w:spacing w:val="-4"/>
          <w:w w:val="110"/>
          <w:sz w:val="19"/>
        </w:rPr>
        <w:t>accoun</w:t>
      </w:r>
      <w:r>
        <w:rPr>
          <w:rFonts w:ascii="Times New Roman"/>
          <w:color w:val="1D1D1D"/>
          <w:spacing w:val="-4"/>
          <w:w w:val="110"/>
          <w:sz w:val="19"/>
        </w:rPr>
        <w:t>t</w:t>
      </w:r>
      <w:r>
        <w:rPr>
          <w:rFonts w:ascii="Times New Roman"/>
          <w:color w:val="363636"/>
          <w:spacing w:val="-4"/>
          <w:w w:val="110"/>
          <w:sz w:val="19"/>
        </w:rPr>
        <w:t>s</w:t>
      </w:r>
      <w:r>
        <w:rPr>
          <w:rFonts w:ascii="Times New Roman"/>
          <w:color w:val="363636"/>
          <w:spacing w:val="-23"/>
          <w:w w:val="110"/>
          <w:sz w:val="19"/>
        </w:rPr>
        <w:t> </w:t>
      </w:r>
      <w:r>
        <w:rPr>
          <w:rFonts w:ascii="Times New Roman"/>
          <w:color w:val="363636"/>
          <w:w w:val="110"/>
          <w:sz w:val="19"/>
        </w:rPr>
        <w:t>do</w:t>
      </w:r>
      <w:r>
        <w:rPr>
          <w:rFonts w:ascii="Times New Roman"/>
          <w:color w:val="363636"/>
          <w:spacing w:val="-20"/>
          <w:w w:val="110"/>
          <w:sz w:val="19"/>
        </w:rPr>
        <w:t> </w:t>
      </w:r>
      <w:r>
        <w:rPr>
          <w:rFonts w:ascii="Times New Roman"/>
          <w:color w:val="1D1D1D"/>
          <w:spacing w:val="3"/>
          <w:w w:val="110"/>
          <w:sz w:val="19"/>
        </w:rPr>
        <w:t>n</w:t>
      </w:r>
      <w:r>
        <w:rPr>
          <w:rFonts w:ascii="Times New Roman"/>
          <w:color w:val="363636"/>
          <w:spacing w:val="3"/>
          <w:w w:val="110"/>
          <w:sz w:val="19"/>
        </w:rPr>
        <w:t>o</w:t>
      </w:r>
      <w:r>
        <w:rPr>
          <w:rFonts w:ascii="Times New Roman"/>
          <w:color w:val="1D1D1D"/>
          <w:spacing w:val="3"/>
          <w:w w:val="110"/>
          <w:sz w:val="19"/>
        </w:rPr>
        <w:t>t</w:t>
      </w:r>
      <w:r>
        <w:rPr>
          <w:rFonts w:ascii="Times New Roman"/>
          <w:color w:val="1D1D1D"/>
          <w:spacing w:val="-25"/>
          <w:w w:val="110"/>
          <w:sz w:val="19"/>
        </w:rPr>
        <w:t> </w:t>
      </w:r>
      <w:r>
        <w:rPr>
          <w:rFonts w:ascii="Times New Roman"/>
          <w:color w:val="1D1D1D"/>
          <w:w w:val="110"/>
          <w:sz w:val="19"/>
        </w:rPr>
        <w:t>incl</w:t>
      </w:r>
      <w:r>
        <w:rPr>
          <w:rFonts w:ascii="Times New Roman"/>
          <w:color w:val="363636"/>
          <w:w w:val="110"/>
          <w:sz w:val="19"/>
        </w:rPr>
        <w:t>u</w:t>
      </w:r>
      <w:r>
        <w:rPr>
          <w:rFonts w:ascii="Times New Roman"/>
          <w:color w:val="1D1D1D"/>
          <w:w w:val="110"/>
          <w:sz w:val="19"/>
        </w:rPr>
        <w:t>d</w:t>
      </w:r>
      <w:r>
        <w:rPr>
          <w:rFonts w:ascii="Times New Roman"/>
          <w:color w:val="363636"/>
          <w:w w:val="110"/>
          <w:sz w:val="19"/>
        </w:rPr>
        <w:t>e</w:t>
      </w:r>
      <w:r>
        <w:rPr>
          <w:rFonts w:ascii="Times New Roman"/>
          <w:color w:val="363636"/>
          <w:spacing w:val="-21"/>
          <w:w w:val="110"/>
          <w:sz w:val="19"/>
        </w:rPr>
        <w:t> </w:t>
      </w:r>
      <w:r>
        <w:rPr>
          <w:rFonts w:ascii="Times New Roman"/>
          <w:color w:val="363636"/>
          <w:w w:val="110"/>
          <w:sz w:val="19"/>
        </w:rPr>
        <w:t>funds</w:t>
      </w:r>
      <w:r>
        <w:rPr>
          <w:rFonts w:ascii="Times New Roman"/>
          <w:color w:val="363636"/>
          <w:spacing w:val="-35"/>
          <w:w w:val="110"/>
          <w:sz w:val="19"/>
        </w:rPr>
        <w:t> </w:t>
      </w:r>
      <w:r>
        <w:rPr>
          <w:rFonts w:ascii="Times New Roman"/>
          <w:color w:val="363636"/>
          <w:w w:val="110"/>
          <w:sz w:val="19"/>
        </w:rPr>
        <w:t>administered</w:t>
      </w:r>
      <w:r>
        <w:rPr>
          <w:rFonts w:ascii="Times New Roman"/>
          <w:color w:val="363636"/>
          <w:spacing w:val="-15"/>
          <w:w w:val="110"/>
          <w:sz w:val="19"/>
        </w:rPr>
        <w:t> </w:t>
      </w:r>
      <w:r>
        <w:rPr>
          <w:rFonts w:ascii="Times New Roman"/>
          <w:color w:val="363636"/>
          <w:w w:val="110"/>
          <w:sz w:val="19"/>
        </w:rPr>
        <w:t>by </w:t>
      </w:r>
      <w:r>
        <w:rPr>
          <w:rFonts w:ascii="Times New Roman"/>
          <w:color w:val="363636"/>
          <w:spacing w:val="3"/>
          <w:w w:val="110"/>
          <w:sz w:val="19"/>
        </w:rPr>
        <w:t>o</w:t>
      </w:r>
      <w:r>
        <w:rPr>
          <w:rFonts w:ascii="Times New Roman"/>
          <w:color w:val="1D1D1D"/>
          <w:spacing w:val="3"/>
          <w:w w:val="110"/>
          <w:sz w:val="19"/>
        </w:rPr>
        <w:t>r </w:t>
      </w:r>
      <w:r>
        <w:rPr>
          <w:rFonts w:ascii="Times New Roman"/>
          <w:color w:val="363636"/>
          <w:w w:val="110"/>
          <w:sz w:val="19"/>
        </w:rPr>
        <w:t>on behalf of </w:t>
      </w:r>
      <w:r>
        <w:rPr>
          <w:rFonts w:ascii="Times New Roman"/>
          <w:color w:val="363636"/>
          <w:spacing w:val="-5"/>
          <w:w w:val="110"/>
          <w:sz w:val="19"/>
        </w:rPr>
        <w:t>Natio</w:t>
      </w:r>
      <w:r>
        <w:rPr>
          <w:rFonts w:ascii="Times New Roman"/>
          <w:color w:val="1D1D1D"/>
          <w:spacing w:val="-5"/>
          <w:w w:val="110"/>
          <w:sz w:val="19"/>
        </w:rPr>
        <w:t>n</w:t>
      </w:r>
      <w:r>
        <w:rPr>
          <w:rFonts w:ascii="Times New Roman"/>
          <w:color w:val="363636"/>
          <w:spacing w:val="-5"/>
          <w:w w:val="110"/>
          <w:sz w:val="19"/>
        </w:rPr>
        <w:t>a</w:t>
      </w:r>
      <w:r>
        <w:rPr>
          <w:rFonts w:ascii="Times New Roman"/>
          <w:color w:val="1D1D1D"/>
          <w:spacing w:val="-5"/>
          <w:w w:val="110"/>
          <w:sz w:val="19"/>
        </w:rPr>
        <w:t>l </w:t>
      </w:r>
      <w:r>
        <w:rPr>
          <w:rFonts w:ascii="Times New Roman"/>
          <w:color w:val="363636"/>
          <w:w w:val="110"/>
          <w:sz w:val="19"/>
        </w:rPr>
        <w:t>and </w:t>
      </w:r>
      <w:r>
        <w:rPr>
          <w:rFonts w:ascii="Times New Roman"/>
          <w:color w:val="1D1D1D"/>
          <w:spacing w:val="-3"/>
          <w:w w:val="110"/>
          <w:sz w:val="19"/>
        </w:rPr>
        <w:t>P</w:t>
      </w:r>
      <w:r>
        <w:rPr>
          <w:rFonts w:ascii="Times New Roman"/>
          <w:color w:val="363636"/>
          <w:spacing w:val="-3"/>
          <w:w w:val="110"/>
          <w:sz w:val="19"/>
        </w:rPr>
        <w:t>rovinci</w:t>
      </w:r>
      <w:r>
        <w:rPr>
          <w:rFonts w:ascii="Times New Roman"/>
          <w:color w:val="1D1D1D"/>
          <w:spacing w:val="-3"/>
          <w:w w:val="110"/>
          <w:sz w:val="19"/>
        </w:rPr>
        <w:t>al </w:t>
      </w:r>
      <w:r>
        <w:rPr>
          <w:rFonts w:ascii="Times New Roman"/>
          <w:color w:val="363636"/>
          <w:w w:val="110"/>
          <w:sz w:val="19"/>
        </w:rPr>
        <w:t>Synods, distric</w:t>
      </w:r>
      <w:r>
        <w:rPr>
          <w:rFonts w:ascii="Times New Roman"/>
          <w:color w:val="1D1D1D"/>
          <w:w w:val="110"/>
          <w:sz w:val="19"/>
        </w:rPr>
        <w:t>t</w:t>
      </w:r>
      <w:r>
        <w:rPr>
          <w:rFonts w:ascii="Times New Roman"/>
          <w:color w:val="363636"/>
          <w:w w:val="110"/>
          <w:sz w:val="19"/>
        </w:rPr>
        <w:t>s o</w:t>
      </w:r>
      <w:r>
        <w:rPr>
          <w:rFonts w:ascii="Times New Roman"/>
          <w:color w:val="1D1D1D"/>
          <w:w w:val="110"/>
          <w:sz w:val="19"/>
        </w:rPr>
        <w:t>r </w:t>
      </w:r>
      <w:r>
        <w:rPr>
          <w:rFonts w:ascii="Times New Roman"/>
          <w:color w:val="363636"/>
          <w:w w:val="110"/>
          <w:sz w:val="19"/>
        </w:rPr>
        <w:t>local </w:t>
      </w:r>
      <w:r>
        <w:rPr>
          <w:rFonts w:ascii="Times New Roman"/>
          <w:color w:val="363636"/>
          <w:spacing w:val="-5"/>
          <w:w w:val="110"/>
          <w:sz w:val="19"/>
        </w:rPr>
        <w:t>churches</w:t>
      </w:r>
      <w:r>
        <w:rPr>
          <w:rFonts w:ascii="Times New Roman"/>
          <w:color w:val="5D5D5D"/>
          <w:spacing w:val="-5"/>
          <w:w w:val="110"/>
          <w:sz w:val="19"/>
        </w:rPr>
        <w:t>. </w:t>
      </w:r>
      <w:r>
        <w:rPr>
          <w:rFonts w:ascii="Times New Roman"/>
          <w:color w:val="1D1D1D"/>
          <w:w w:val="110"/>
          <w:sz w:val="19"/>
        </w:rPr>
        <w:t>T</w:t>
      </w:r>
      <w:r>
        <w:rPr>
          <w:rFonts w:ascii="Times New Roman"/>
          <w:color w:val="363636"/>
          <w:w w:val="110"/>
          <w:sz w:val="19"/>
        </w:rPr>
        <w:t>he basis on which these accounts have</w:t>
      </w:r>
      <w:r>
        <w:rPr>
          <w:rFonts w:ascii="Times New Roman"/>
          <w:color w:val="363636"/>
          <w:spacing w:val="-16"/>
          <w:w w:val="110"/>
          <w:sz w:val="19"/>
        </w:rPr>
        <w:t> </w:t>
      </w:r>
      <w:r>
        <w:rPr>
          <w:rFonts w:ascii="Times New Roman"/>
          <w:color w:val="363636"/>
          <w:w w:val="110"/>
          <w:sz w:val="19"/>
        </w:rPr>
        <w:t>been</w:t>
      </w:r>
      <w:r>
        <w:rPr>
          <w:rFonts w:ascii="Times New Roman"/>
          <w:color w:val="363636"/>
          <w:spacing w:val="-19"/>
          <w:w w:val="110"/>
          <w:sz w:val="19"/>
        </w:rPr>
        <w:t> </w:t>
      </w:r>
      <w:r>
        <w:rPr>
          <w:rFonts w:ascii="Times New Roman"/>
          <w:color w:val="363636"/>
          <w:w w:val="110"/>
          <w:sz w:val="19"/>
        </w:rPr>
        <w:t>prepared</w:t>
      </w:r>
      <w:r>
        <w:rPr>
          <w:rFonts w:ascii="Times New Roman"/>
          <w:color w:val="363636"/>
          <w:spacing w:val="-5"/>
          <w:w w:val="110"/>
          <w:sz w:val="19"/>
        </w:rPr>
        <w:t> </w:t>
      </w:r>
      <w:r>
        <w:rPr>
          <w:rFonts w:ascii="Times New Roman"/>
          <w:color w:val="363636"/>
          <w:w w:val="110"/>
          <w:sz w:val="19"/>
        </w:rPr>
        <w:t>is</w:t>
      </w:r>
      <w:r>
        <w:rPr>
          <w:rFonts w:ascii="Times New Roman"/>
          <w:color w:val="363636"/>
          <w:spacing w:val="-8"/>
          <w:w w:val="110"/>
          <w:sz w:val="19"/>
        </w:rPr>
        <w:t> </w:t>
      </w:r>
      <w:r>
        <w:rPr>
          <w:rFonts w:ascii="Times New Roman"/>
          <w:color w:val="363636"/>
          <w:w w:val="110"/>
          <w:sz w:val="19"/>
        </w:rPr>
        <w:t>set</w:t>
      </w:r>
      <w:r>
        <w:rPr>
          <w:rFonts w:ascii="Times New Roman"/>
          <w:color w:val="363636"/>
          <w:spacing w:val="-5"/>
          <w:w w:val="110"/>
          <w:sz w:val="19"/>
        </w:rPr>
        <w:t> </w:t>
      </w:r>
      <w:r>
        <w:rPr>
          <w:rFonts w:ascii="Times New Roman"/>
          <w:color w:val="363636"/>
          <w:w w:val="110"/>
          <w:sz w:val="19"/>
        </w:rPr>
        <w:t>out</w:t>
      </w:r>
      <w:r>
        <w:rPr>
          <w:rFonts w:ascii="Times New Roman"/>
          <w:color w:val="363636"/>
          <w:spacing w:val="-12"/>
          <w:w w:val="110"/>
          <w:sz w:val="19"/>
        </w:rPr>
        <w:t> </w:t>
      </w:r>
      <w:r>
        <w:rPr>
          <w:rFonts w:ascii="Times New Roman"/>
          <w:color w:val="363636"/>
          <w:w w:val="110"/>
          <w:sz w:val="19"/>
        </w:rPr>
        <w:t>in</w:t>
      </w:r>
      <w:r>
        <w:rPr>
          <w:rFonts w:ascii="Times New Roman"/>
          <w:color w:val="363636"/>
          <w:spacing w:val="-3"/>
          <w:w w:val="110"/>
          <w:sz w:val="19"/>
        </w:rPr>
        <w:t> </w:t>
      </w:r>
      <w:r>
        <w:rPr>
          <w:rFonts w:ascii="Times New Roman"/>
          <w:color w:val="363636"/>
          <w:w w:val="110"/>
          <w:sz w:val="19"/>
        </w:rPr>
        <w:t>note</w:t>
      </w:r>
      <w:r>
        <w:rPr>
          <w:rFonts w:ascii="Times New Roman"/>
          <w:color w:val="363636"/>
          <w:spacing w:val="-2"/>
          <w:w w:val="110"/>
          <w:sz w:val="19"/>
        </w:rPr>
        <w:t> </w:t>
      </w:r>
      <w:r>
        <w:rPr>
          <w:rFonts w:ascii="Arial"/>
          <w:b/>
          <w:color w:val="1D1D1D"/>
          <w:spacing w:val="-8"/>
          <w:w w:val="110"/>
          <w:sz w:val="19"/>
        </w:rPr>
        <w:t>1</w:t>
      </w:r>
      <w:r>
        <w:rPr>
          <w:rFonts w:ascii="Arial"/>
          <w:b/>
          <w:color w:val="363636"/>
          <w:spacing w:val="-8"/>
          <w:w w:val="110"/>
          <w:sz w:val="19"/>
        </w:rPr>
        <w:t>.</w:t>
      </w:r>
    </w:p>
    <w:p>
      <w:pPr>
        <w:spacing w:line="261" w:lineRule="auto" w:before="102"/>
        <w:ind w:left="444" w:right="897" w:hanging="7"/>
        <w:jc w:val="both"/>
        <w:rPr>
          <w:rFonts w:ascii="Times New Roman"/>
          <w:sz w:val="19"/>
        </w:rPr>
      </w:pPr>
      <w:r>
        <w:rPr>
          <w:rFonts w:ascii="Times New Roman"/>
          <w:color w:val="1D1D1D"/>
          <w:spacing w:val="4"/>
          <w:w w:val="105"/>
          <w:sz w:val="19"/>
        </w:rPr>
        <w:t>Th</w:t>
      </w:r>
      <w:r>
        <w:rPr>
          <w:rFonts w:ascii="Times New Roman"/>
          <w:color w:val="363636"/>
          <w:spacing w:val="4"/>
          <w:w w:val="105"/>
          <w:sz w:val="19"/>
        </w:rPr>
        <w:t>e </w:t>
      </w:r>
      <w:r>
        <w:rPr>
          <w:rFonts w:ascii="Times New Roman"/>
          <w:color w:val="363636"/>
          <w:w w:val="105"/>
          <w:sz w:val="19"/>
        </w:rPr>
        <w:t>Finance Committee is resp</w:t>
      </w:r>
      <w:r>
        <w:rPr>
          <w:rFonts w:ascii="Times New Roman"/>
          <w:color w:val="1D1D1D"/>
          <w:w w:val="105"/>
          <w:sz w:val="19"/>
        </w:rPr>
        <w:t>o</w:t>
      </w:r>
      <w:r>
        <w:rPr>
          <w:rFonts w:ascii="Times New Roman"/>
          <w:color w:val="363636"/>
          <w:w w:val="105"/>
          <w:sz w:val="19"/>
        </w:rPr>
        <w:t>nsi</w:t>
      </w:r>
      <w:r>
        <w:rPr>
          <w:rFonts w:ascii="Times New Roman"/>
          <w:color w:val="1D1D1D"/>
          <w:w w:val="105"/>
          <w:sz w:val="19"/>
        </w:rPr>
        <w:t>b</w:t>
      </w:r>
      <w:r>
        <w:rPr>
          <w:rFonts w:ascii="Times New Roman"/>
          <w:color w:val="363636"/>
          <w:w w:val="105"/>
          <w:sz w:val="19"/>
        </w:rPr>
        <w:t>le for the </w:t>
      </w:r>
      <w:r>
        <w:rPr>
          <w:rFonts w:ascii="Times New Roman"/>
          <w:color w:val="363636"/>
          <w:spacing w:val="2"/>
          <w:w w:val="105"/>
          <w:sz w:val="19"/>
        </w:rPr>
        <w:t>genera</w:t>
      </w:r>
      <w:r>
        <w:rPr>
          <w:rFonts w:ascii="Times New Roman"/>
          <w:color w:val="1D1D1D"/>
          <w:spacing w:val="2"/>
          <w:w w:val="105"/>
          <w:sz w:val="19"/>
        </w:rPr>
        <w:t>l </w:t>
      </w:r>
      <w:r>
        <w:rPr>
          <w:rFonts w:ascii="Times New Roman"/>
          <w:color w:val="363636"/>
          <w:w w:val="105"/>
          <w:sz w:val="19"/>
        </w:rPr>
        <w:t>financial oversight of </w:t>
      </w:r>
      <w:r>
        <w:rPr>
          <w:rFonts w:ascii="Times New Roman"/>
          <w:color w:val="363636"/>
          <w:spacing w:val="-3"/>
          <w:w w:val="105"/>
          <w:sz w:val="19"/>
        </w:rPr>
        <w:t>fun</w:t>
      </w:r>
      <w:r>
        <w:rPr>
          <w:rFonts w:ascii="Times New Roman"/>
          <w:color w:val="1D1D1D"/>
          <w:spacing w:val="-3"/>
          <w:w w:val="105"/>
          <w:sz w:val="19"/>
        </w:rPr>
        <w:t>d</w:t>
      </w:r>
      <w:r>
        <w:rPr>
          <w:rFonts w:ascii="Times New Roman"/>
          <w:color w:val="363636"/>
          <w:spacing w:val="-3"/>
          <w:w w:val="105"/>
          <w:sz w:val="19"/>
        </w:rPr>
        <w:t>s </w:t>
      </w:r>
      <w:r>
        <w:rPr>
          <w:rFonts w:ascii="Times New Roman"/>
          <w:color w:val="363636"/>
          <w:w w:val="105"/>
          <w:sz w:val="19"/>
        </w:rPr>
        <w:t>administered for the benefit of the United Reformed Ch</w:t>
      </w:r>
      <w:r>
        <w:rPr>
          <w:rFonts w:ascii="Times New Roman"/>
          <w:color w:val="1D1D1D"/>
          <w:w w:val="105"/>
          <w:sz w:val="19"/>
        </w:rPr>
        <w:t>ur</w:t>
      </w:r>
      <w:r>
        <w:rPr>
          <w:rFonts w:ascii="Times New Roman"/>
          <w:color w:val="363636"/>
          <w:w w:val="105"/>
          <w:sz w:val="19"/>
        </w:rPr>
        <w:t>ch unde</w:t>
      </w:r>
      <w:r>
        <w:rPr>
          <w:rFonts w:ascii="Times New Roman"/>
          <w:color w:val="1D1D1D"/>
          <w:w w:val="105"/>
          <w:sz w:val="19"/>
        </w:rPr>
        <w:t>r </w:t>
      </w:r>
      <w:r>
        <w:rPr>
          <w:rFonts w:ascii="Times New Roman"/>
          <w:color w:val="363636"/>
          <w:w w:val="105"/>
          <w:sz w:val="19"/>
        </w:rPr>
        <w:t>the overa</w:t>
      </w:r>
      <w:r>
        <w:rPr>
          <w:rFonts w:ascii="Times New Roman"/>
          <w:color w:val="1D1D1D"/>
          <w:w w:val="105"/>
          <w:sz w:val="19"/>
        </w:rPr>
        <w:t>ll </w:t>
      </w:r>
      <w:r>
        <w:rPr>
          <w:rFonts w:ascii="Times New Roman"/>
          <w:color w:val="363636"/>
          <w:w w:val="105"/>
          <w:sz w:val="19"/>
        </w:rPr>
        <w:t>authority of </w:t>
      </w:r>
      <w:r>
        <w:rPr>
          <w:rFonts w:ascii="Times New Roman"/>
          <w:color w:val="363636"/>
          <w:spacing w:val="-4"/>
          <w:w w:val="105"/>
          <w:sz w:val="19"/>
        </w:rPr>
        <w:t>Genera</w:t>
      </w:r>
      <w:r>
        <w:rPr>
          <w:rFonts w:ascii="Times New Roman"/>
          <w:color w:val="1D1D1D"/>
          <w:spacing w:val="-4"/>
          <w:w w:val="105"/>
          <w:sz w:val="19"/>
        </w:rPr>
        <w:t>l </w:t>
      </w:r>
      <w:r>
        <w:rPr>
          <w:rFonts w:ascii="Times New Roman"/>
          <w:color w:val="363636"/>
          <w:spacing w:val="-4"/>
          <w:w w:val="105"/>
          <w:sz w:val="19"/>
        </w:rPr>
        <w:t>Asse</w:t>
      </w:r>
      <w:r>
        <w:rPr>
          <w:rFonts w:ascii="Times New Roman"/>
          <w:color w:val="1D1D1D"/>
          <w:spacing w:val="-4"/>
          <w:w w:val="105"/>
          <w:sz w:val="19"/>
        </w:rPr>
        <w:t>m</w:t>
      </w:r>
      <w:r>
        <w:rPr>
          <w:rFonts w:ascii="Times New Roman"/>
          <w:color w:val="363636"/>
          <w:spacing w:val="-4"/>
          <w:w w:val="105"/>
          <w:sz w:val="19"/>
        </w:rPr>
        <w:t>b</w:t>
      </w:r>
      <w:r>
        <w:rPr>
          <w:rFonts w:ascii="Times New Roman"/>
          <w:color w:val="1D1D1D"/>
          <w:spacing w:val="-4"/>
          <w:w w:val="105"/>
          <w:sz w:val="19"/>
        </w:rPr>
        <w:t>l</w:t>
      </w:r>
      <w:r>
        <w:rPr>
          <w:rFonts w:ascii="Times New Roman"/>
          <w:color w:val="363636"/>
          <w:spacing w:val="-4"/>
          <w:w w:val="105"/>
          <w:sz w:val="19"/>
        </w:rPr>
        <w:t>y, </w:t>
      </w:r>
      <w:r>
        <w:rPr>
          <w:rFonts w:ascii="Times New Roman"/>
          <w:color w:val="363636"/>
          <w:w w:val="105"/>
          <w:sz w:val="19"/>
        </w:rPr>
        <w:t>fo</w:t>
      </w:r>
      <w:r>
        <w:rPr>
          <w:rFonts w:ascii="Times New Roman"/>
          <w:color w:val="1D1D1D"/>
          <w:w w:val="105"/>
          <w:sz w:val="19"/>
        </w:rPr>
        <w:t>r </w:t>
      </w:r>
      <w:r>
        <w:rPr>
          <w:rFonts w:ascii="Times New Roman"/>
          <w:color w:val="363636"/>
          <w:w w:val="105"/>
          <w:sz w:val="19"/>
        </w:rPr>
        <w:t>ensuring that</w:t>
      </w:r>
      <w:r>
        <w:rPr>
          <w:rFonts w:ascii="Times New Roman"/>
          <w:color w:val="363636"/>
          <w:spacing w:val="49"/>
          <w:w w:val="105"/>
          <w:sz w:val="19"/>
        </w:rPr>
        <w:t> </w:t>
      </w:r>
      <w:r>
        <w:rPr>
          <w:rFonts w:ascii="Times New Roman"/>
          <w:color w:val="363636"/>
          <w:w w:val="105"/>
          <w:sz w:val="19"/>
        </w:rPr>
        <w:t>proper proce</w:t>
      </w:r>
      <w:r>
        <w:rPr>
          <w:rFonts w:ascii="Times New Roman"/>
          <w:color w:val="1D1D1D"/>
          <w:w w:val="105"/>
          <w:sz w:val="19"/>
        </w:rPr>
        <w:t>d</w:t>
      </w:r>
      <w:r>
        <w:rPr>
          <w:rFonts w:ascii="Times New Roman"/>
          <w:color w:val="363636"/>
          <w:w w:val="105"/>
          <w:sz w:val="19"/>
        </w:rPr>
        <w:t>ures are in p</w:t>
      </w:r>
      <w:r>
        <w:rPr>
          <w:rFonts w:ascii="Times New Roman"/>
          <w:color w:val="1D1D1D"/>
          <w:w w:val="105"/>
          <w:sz w:val="19"/>
        </w:rPr>
        <w:t>l</w:t>
      </w:r>
      <w:r>
        <w:rPr>
          <w:rFonts w:ascii="Times New Roman"/>
          <w:color w:val="363636"/>
          <w:w w:val="105"/>
          <w:sz w:val="19"/>
        </w:rPr>
        <w:t>ace for the mainte</w:t>
      </w:r>
      <w:r>
        <w:rPr>
          <w:rFonts w:ascii="Times New Roman"/>
          <w:color w:val="1D1D1D"/>
          <w:w w:val="105"/>
          <w:sz w:val="19"/>
        </w:rPr>
        <w:t>n</w:t>
      </w:r>
      <w:r>
        <w:rPr>
          <w:rFonts w:ascii="Times New Roman"/>
          <w:color w:val="363636"/>
          <w:w w:val="105"/>
          <w:sz w:val="19"/>
        </w:rPr>
        <w:t>ance of </w:t>
      </w:r>
      <w:r>
        <w:rPr>
          <w:rFonts w:ascii="Times New Roman"/>
          <w:color w:val="1D1D1D"/>
          <w:w w:val="105"/>
          <w:sz w:val="19"/>
        </w:rPr>
        <w:t>a</w:t>
      </w:r>
      <w:r>
        <w:rPr>
          <w:rFonts w:ascii="Times New Roman"/>
          <w:color w:val="363636"/>
          <w:w w:val="105"/>
          <w:sz w:val="19"/>
        </w:rPr>
        <w:t>cco</w:t>
      </w:r>
      <w:r>
        <w:rPr>
          <w:rFonts w:ascii="Times New Roman"/>
          <w:color w:val="1D1D1D"/>
          <w:w w:val="105"/>
          <w:sz w:val="19"/>
        </w:rPr>
        <w:t>un</w:t>
      </w:r>
      <w:r>
        <w:rPr>
          <w:rFonts w:ascii="Times New Roman"/>
          <w:color w:val="363636"/>
          <w:w w:val="105"/>
          <w:sz w:val="19"/>
        </w:rPr>
        <w:t>ting records, the safe c</w:t>
      </w:r>
      <w:r>
        <w:rPr>
          <w:rFonts w:ascii="Times New Roman"/>
          <w:color w:val="1D1D1D"/>
          <w:w w:val="105"/>
          <w:sz w:val="19"/>
        </w:rPr>
        <w:t>u</w:t>
      </w:r>
      <w:r>
        <w:rPr>
          <w:rFonts w:ascii="Times New Roman"/>
          <w:color w:val="363636"/>
          <w:w w:val="105"/>
          <w:sz w:val="19"/>
        </w:rPr>
        <w:t>st</w:t>
      </w:r>
      <w:r>
        <w:rPr>
          <w:rFonts w:ascii="Times New Roman"/>
          <w:color w:val="1D1D1D"/>
          <w:w w:val="105"/>
          <w:sz w:val="19"/>
        </w:rPr>
        <w:t>od</w:t>
      </w:r>
      <w:r>
        <w:rPr>
          <w:rFonts w:ascii="Times New Roman"/>
          <w:color w:val="363636"/>
          <w:w w:val="105"/>
          <w:sz w:val="19"/>
        </w:rPr>
        <w:t>y of </w:t>
      </w:r>
      <w:r>
        <w:rPr>
          <w:rFonts w:ascii="Times New Roman"/>
          <w:color w:val="363636"/>
          <w:spacing w:val="-3"/>
          <w:w w:val="105"/>
          <w:sz w:val="19"/>
        </w:rPr>
        <w:t>asse</w:t>
      </w:r>
      <w:r>
        <w:rPr>
          <w:rFonts w:ascii="Times New Roman"/>
          <w:color w:val="1D1D1D"/>
          <w:spacing w:val="-3"/>
          <w:w w:val="105"/>
          <w:sz w:val="19"/>
        </w:rPr>
        <w:t>t</w:t>
      </w:r>
      <w:r>
        <w:rPr>
          <w:rFonts w:ascii="Times New Roman"/>
          <w:color w:val="363636"/>
          <w:spacing w:val="-3"/>
          <w:w w:val="105"/>
          <w:sz w:val="19"/>
        </w:rPr>
        <w:t>s </w:t>
      </w:r>
      <w:r>
        <w:rPr>
          <w:rFonts w:ascii="Times New Roman"/>
          <w:color w:val="363636"/>
          <w:w w:val="105"/>
          <w:sz w:val="19"/>
        </w:rPr>
        <w:t>and </w:t>
      </w:r>
      <w:r>
        <w:rPr>
          <w:rFonts w:ascii="Times New Roman"/>
          <w:color w:val="1D1D1D"/>
          <w:spacing w:val="-3"/>
          <w:w w:val="105"/>
          <w:sz w:val="19"/>
        </w:rPr>
        <w:t>t</w:t>
      </w:r>
      <w:r>
        <w:rPr>
          <w:rFonts w:ascii="Times New Roman"/>
          <w:color w:val="363636"/>
          <w:spacing w:val="-3"/>
          <w:w w:val="105"/>
          <w:sz w:val="19"/>
        </w:rPr>
        <w:t>he </w:t>
      </w:r>
      <w:r>
        <w:rPr>
          <w:rFonts w:ascii="Times New Roman"/>
          <w:color w:val="363636"/>
          <w:w w:val="105"/>
          <w:sz w:val="19"/>
        </w:rPr>
        <w:t>preparation </w:t>
      </w:r>
      <w:r>
        <w:rPr>
          <w:rFonts w:ascii="Times New Roman"/>
          <w:color w:val="363636"/>
          <w:spacing w:val="2"/>
          <w:w w:val="105"/>
          <w:sz w:val="19"/>
        </w:rPr>
        <w:t>o</w:t>
      </w:r>
      <w:r>
        <w:rPr>
          <w:rFonts w:ascii="Times New Roman"/>
          <w:color w:val="1D1D1D"/>
          <w:spacing w:val="2"/>
          <w:w w:val="105"/>
          <w:sz w:val="19"/>
        </w:rPr>
        <w:t>f </w:t>
      </w:r>
      <w:r>
        <w:rPr>
          <w:rFonts w:ascii="Times New Roman"/>
          <w:color w:val="363636"/>
          <w:w w:val="105"/>
          <w:sz w:val="19"/>
        </w:rPr>
        <w:t>financial statements, for giving a</w:t>
      </w:r>
      <w:r>
        <w:rPr>
          <w:rFonts w:ascii="Times New Roman"/>
          <w:color w:val="1D1D1D"/>
          <w:w w:val="105"/>
          <w:sz w:val="19"/>
        </w:rPr>
        <w:t>dvi</w:t>
      </w:r>
      <w:r>
        <w:rPr>
          <w:rFonts w:ascii="Times New Roman"/>
          <w:color w:val="363636"/>
          <w:w w:val="105"/>
          <w:sz w:val="19"/>
        </w:rPr>
        <w:t>ce to other councils of the Church as a</w:t>
      </w:r>
      <w:r>
        <w:rPr>
          <w:rFonts w:ascii="Times New Roman"/>
          <w:color w:val="1D1D1D"/>
          <w:w w:val="105"/>
          <w:sz w:val="19"/>
        </w:rPr>
        <w:t>pp</w:t>
      </w:r>
      <w:r>
        <w:rPr>
          <w:rFonts w:ascii="Times New Roman"/>
          <w:color w:val="363636"/>
          <w:w w:val="105"/>
          <w:sz w:val="19"/>
        </w:rPr>
        <w:t>ropriate, and for taking such </w:t>
      </w:r>
      <w:r>
        <w:rPr>
          <w:rFonts w:ascii="Times New Roman"/>
          <w:color w:val="1D1D1D"/>
          <w:w w:val="105"/>
          <w:sz w:val="19"/>
        </w:rPr>
        <w:t>d</w:t>
      </w:r>
      <w:r>
        <w:rPr>
          <w:rFonts w:ascii="Times New Roman"/>
          <w:color w:val="363636"/>
          <w:w w:val="105"/>
          <w:sz w:val="19"/>
        </w:rPr>
        <w:t>ecisions with regard to the finances </w:t>
      </w:r>
      <w:r>
        <w:rPr>
          <w:rFonts w:ascii="Times New Roman"/>
          <w:color w:val="1D1D1D"/>
          <w:w w:val="105"/>
          <w:sz w:val="19"/>
        </w:rPr>
        <w:t>of </w:t>
      </w:r>
      <w:r>
        <w:rPr>
          <w:rFonts w:ascii="Times New Roman"/>
          <w:color w:val="363636"/>
          <w:w w:val="105"/>
          <w:sz w:val="19"/>
        </w:rPr>
        <w:t>the Church as are necessary wi</w:t>
      </w:r>
      <w:r>
        <w:rPr>
          <w:rFonts w:ascii="Times New Roman"/>
          <w:color w:val="1D1D1D"/>
          <w:w w:val="105"/>
          <w:sz w:val="19"/>
        </w:rPr>
        <w:t>t</w:t>
      </w:r>
      <w:r>
        <w:rPr>
          <w:rFonts w:ascii="Times New Roman"/>
          <w:color w:val="363636"/>
          <w:w w:val="105"/>
          <w:sz w:val="19"/>
        </w:rPr>
        <w:t>hin the </w:t>
      </w:r>
      <w:r>
        <w:rPr>
          <w:rFonts w:ascii="Times New Roman"/>
          <w:color w:val="1D1D1D"/>
          <w:w w:val="105"/>
          <w:sz w:val="19"/>
        </w:rPr>
        <w:t>poli</w:t>
      </w:r>
      <w:r>
        <w:rPr>
          <w:rFonts w:ascii="Times New Roman"/>
          <w:color w:val="363636"/>
          <w:w w:val="105"/>
          <w:sz w:val="19"/>
        </w:rPr>
        <w:t>c</w:t>
      </w:r>
      <w:r>
        <w:rPr>
          <w:rFonts w:ascii="Times New Roman"/>
          <w:color w:val="1D1D1D"/>
          <w:w w:val="105"/>
          <w:sz w:val="19"/>
        </w:rPr>
        <w:t>i</w:t>
      </w:r>
      <w:r>
        <w:rPr>
          <w:rFonts w:ascii="Times New Roman"/>
          <w:color w:val="363636"/>
          <w:w w:val="105"/>
          <w:sz w:val="19"/>
        </w:rPr>
        <w:t>es se</w:t>
      </w:r>
      <w:r>
        <w:rPr>
          <w:rFonts w:ascii="Times New Roman"/>
          <w:color w:val="1D1D1D"/>
          <w:w w:val="105"/>
          <w:sz w:val="19"/>
        </w:rPr>
        <w:t>t </w:t>
      </w:r>
      <w:r>
        <w:rPr>
          <w:rFonts w:ascii="Times New Roman"/>
          <w:color w:val="363636"/>
          <w:w w:val="105"/>
          <w:sz w:val="19"/>
        </w:rPr>
        <w:t>by General</w:t>
      </w:r>
      <w:r>
        <w:rPr>
          <w:rFonts w:ascii="Times New Roman"/>
          <w:color w:val="363636"/>
          <w:spacing w:val="5"/>
          <w:w w:val="105"/>
          <w:sz w:val="19"/>
        </w:rPr>
        <w:t> </w:t>
      </w:r>
      <w:r>
        <w:rPr>
          <w:rFonts w:ascii="Times New Roman"/>
          <w:color w:val="363636"/>
          <w:spacing w:val="-4"/>
          <w:w w:val="105"/>
          <w:sz w:val="19"/>
        </w:rPr>
        <w:t>Assemb</w:t>
      </w:r>
      <w:r>
        <w:rPr>
          <w:rFonts w:ascii="Times New Roman"/>
          <w:color w:val="1D1D1D"/>
          <w:spacing w:val="-4"/>
          <w:w w:val="105"/>
          <w:sz w:val="19"/>
        </w:rPr>
        <w:t>l</w:t>
      </w:r>
      <w:r>
        <w:rPr>
          <w:rFonts w:ascii="Times New Roman"/>
          <w:color w:val="363636"/>
          <w:spacing w:val="-4"/>
          <w:w w:val="105"/>
          <w:sz w:val="19"/>
        </w:rPr>
        <w:t>y.</w:t>
      </w:r>
    </w:p>
    <w:p>
      <w:pPr>
        <w:pStyle w:val="BodyText"/>
        <w:rPr>
          <w:rFonts w:ascii="Times New Roman"/>
          <w:sz w:val="17"/>
        </w:rPr>
      </w:pPr>
    </w:p>
    <w:p>
      <w:pPr>
        <w:spacing w:before="0"/>
        <w:ind w:left="439" w:right="0" w:firstLine="0"/>
        <w:jc w:val="left"/>
        <w:rPr>
          <w:rFonts w:ascii="Times New Roman"/>
          <w:b/>
          <w:sz w:val="20"/>
        </w:rPr>
      </w:pPr>
      <w:r>
        <w:rPr>
          <w:rFonts w:ascii="Times New Roman"/>
          <w:b/>
          <w:color w:val="1D1D1D"/>
          <w:w w:val="105"/>
          <w:sz w:val="20"/>
        </w:rPr>
        <w:t>Reserves Polic</w:t>
      </w:r>
      <w:r>
        <w:rPr>
          <w:rFonts w:ascii="Times New Roman"/>
          <w:b/>
          <w:color w:val="363636"/>
          <w:w w:val="105"/>
          <w:sz w:val="20"/>
        </w:rPr>
        <w:t>y</w:t>
      </w:r>
    </w:p>
    <w:p>
      <w:pPr>
        <w:spacing w:before="10"/>
        <w:ind w:left="438" w:right="0" w:firstLine="0"/>
        <w:jc w:val="left"/>
        <w:rPr>
          <w:rFonts w:ascii="Times New Roman"/>
          <w:sz w:val="19"/>
        </w:rPr>
      </w:pPr>
      <w:r>
        <w:rPr>
          <w:rFonts w:ascii="Times New Roman"/>
          <w:color w:val="363636"/>
          <w:w w:val="105"/>
          <w:sz w:val="19"/>
        </w:rPr>
        <w:t>T</w:t>
      </w:r>
      <w:r>
        <w:rPr>
          <w:rFonts w:ascii="Times New Roman"/>
          <w:color w:val="1D1D1D"/>
          <w:w w:val="105"/>
          <w:sz w:val="19"/>
        </w:rPr>
        <w:t>h</w:t>
      </w:r>
      <w:r>
        <w:rPr>
          <w:rFonts w:ascii="Times New Roman"/>
          <w:color w:val="363636"/>
          <w:w w:val="105"/>
          <w:sz w:val="19"/>
        </w:rPr>
        <w:t>e </w:t>
      </w:r>
      <w:r>
        <w:rPr>
          <w:rFonts w:ascii="Times New Roman"/>
          <w:color w:val="1D1D1D"/>
          <w:w w:val="105"/>
          <w:sz w:val="19"/>
        </w:rPr>
        <w:t>B</w:t>
      </w:r>
      <w:r>
        <w:rPr>
          <w:rFonts w:ascii="Times New Roman"/>
          <w:color w:val="363636"/>
          <w:w w:val="105"/>
          <w:sz w:val="19"/>
        </w:rPr>
        <w:t>alance Shee</w:t>
      </w:r>
      <w:r>
        <w:rPr>
          <w:rFonts w:ascii="Times New Roman"/>
          <w:color w:val="1D1D1D"/>
          <w:w w:val="105"/>
          <w:sz w:val="19"/>
        </w:rPr>
        <w:t>t </w:t>
      </w:r>
      <w:r>
        <w:rPr>
          <w:rFonts w:ascii="Times New Roman"/>
          <w:color w:val="363636"/>
          <w:w w:val="105"/>
          <w:sz w:val="19"/>
        </w:rPr>
        <w:t>on page 11 shows </w:t>
      </w:r>
      <w:r>
        <w:rPr>
          <w:rFonts w:ascii="Times New Roman"/>
          <w:color w:val="1D1D1D"/>
          <w:w w:val="105"/>
          <w:sz w:val="19"/>
        </w:rPr>
        <w:t>th</w:t>
      </w:r>
      <w:r>
        <w:rPr>
          <w:rFonts w:ascii="Times New Roman"/>
          <w:color w:val="363636"/>
          <w:w w:val="105"/>
          <w:sz w:val="19"/>
        </w:rPr>
        <w:t>e disposition of the various United </w:t>
      </w:r>
      <w:r>
        <w:rPr>
          <w:rFonts w:ascii="Times New Roman"/>
          <w:color w:val="1D1D1D"/>
          <w:w w:val="105"/>
          <w:sz w:val="19"/>
        </w:rPr>
        <w:t>R</w:t>
      </w:r>
      <w:r>
        <w:rPr>
          <w:rFonts w:ascii="Times New Roman"/>
          <w:color w:val="363636"/>
          <w:w w:val="105"/>
          <w:sz w:val="19"/>
        </w:rPr>
        <w:t>eformed Church funds totalling</w:t>
      </w:r>
    </w:p>
    <w:p>
      <w:pPr>
        <w:spacing w:line="254" w:lineRule="auto" w:before="22"/>
        <w:ind w:left="446" w:right="940" w:hanging="9"/>
        <w:jc w:val="left"/>
        <w:rPr>
          <w:rFonts w:ascii="Times New Roman" w:hAnsi="Times New Roman"/>
          <w:sz w:val="19"/>
        </w:rPr>
      </w:pPr>
      <w:r>
        <w:rPr>
          <w:rFonts w:ascii="Times New Roman" w:hAnsi="Times New Roman"/>
          <w:color w:val="363636"/>
          <w:w w:val="105"/>
          <w:sz w:val="19"/>
        </w:rPr>
        <w:t>£38,842k as at 3</w:t>
      </w:r>
      <w:r>
        <w:rPr>
          <w:rFonts w:ascii="Times New Roman" w:hAnsi="Times New Roman"/>
          <w:color w:val="1D1D1D"/>
          <w:w w:val="105"/>
          <w:sz w:val="19"/>
        </w:rPr>
        <w:t>1 </w:t>
      </w:r>
      <w:r>
        <w:rPr>
          <w:rFonts w:ascii="Times New Roman" w:hAnsi="Times New Roman"/>
          <w:color w:val="363636"/>
          <w:w w:val="105"/>
          <w:sz w:val="19"/>
        </w:rPr>
        <w:t>December 2006</w:t>
      </w:r>
      <w:r>
        <w:rPr>
          <w:rFonts w:ascii="Times New Roman" w:hAnsi="Times New Roman"/>
          <w:color w:val="1D1D1D"/>
          <w:w w:val="105"/>
          <w:sz w:val="19"/>
        </w:rPr>
        <w:t>. Th</w:t>
      </w:r>
      <w:r>
        <w:rPr>
          <w:rFonts w:ascii="Times New Roman" w:hAnsi="Times New Roman"/>
          <w:color w:val="363636"/>
          <w:w w:val="105"/>
          <w:sz w:val="19"/>
        </w:rPr>
        <w:t>e </w:t>
      </w:r>
      <w:r>
        <w:rPr>
          <w:rFonts w:ascii="Times New Roman" w:hAnsi="Times New Roman"/>
          <w:color w:val="1D1D1D"/>
          <w:w w:val="105"/>
          <w:sz w:val="19"/>
        </w:rPr>
        <w:t>t</w:t>
      </w:r>
      <w:r>
        <w:rPr>
          <w:rFonts w:ascii="Times New Roman" w:hAnsi="Times New Roman"/>
          <w:color w:val="363636"/>
          <w:w w:val="105"/>
          <w:sz w:val="19"/>
        </w:rPr>
        <w:t>erm "reserves" describes </w:t>
      </w:r>
      <w:r>
        <w:rPr>
          <w:rFonts w:ascii="Times New Roman" w:hAnsi="Times New Roman"/>
          <w:color w:val="1D1D1D"/>
          <w:w w:val="105"/>
          <w:sz w:val="19"/>
        </w:rPr>
        <w:t>th</w:t>
      </w:r>
      <w:r>
        <w:rPr>
          <w:rFonts w:ascii="Times New Roman" w:hAnsi="Times New Roman"/>
          <w:color w:val="363636"/>
          <w:w w:val="105"/>
          <w:sz w:val="19"/>
        </w:rPr>
        <w:t>a</w:t>
      </w:r>
      <w:r>
        <w:rPr>
          <w:rFonts w:ascii="Times New Roman" w:hAnsi="Times New Roman"/>
          <w:color w:val="1D1D1D"/>
          <w:w w:val="105"/>
          <w:sz w:val="19"/>
        </w:rPr>
        <w:t>t </w:t>
      </w:r>
      <w:r>
        <w:rPr>
          <w:rFonts w:ascii="Times New Roman" w:hAnsi="Times New Roman"/>
          <w:color w:val="363636"/>
          <w:w w:val="105"/>
          <w:sz w:val="19"/>
        </w:rPr>
        <w:t>part of </w:t>
      </w:r>
      <w:r>
        <w:rPr>
          <w:rFonts w:ascii="Times New Roman" w:hAnsi="Times New Roman"/>
          <w:color w:val="1D1D1D"/>
          <w:w w:val="105"/>
          <w:sz w:val="19"/>
        </w:rPr>
        <w:t>a </w:t>
      </w:r>
      <w:r>
        <w:rPr>
          <w:rFonts w:ascii="Times New Roman" w:hAnsi="Times New Roman"/>
          <w:color w:val="363636"/>
          <w:w w:val="105"/>
          <w:sz w:val="19"/>
        </w:rPr>
        <w:t>charity's income funds that is freely available.</w:t>
      </w:r>
    </w:p>
    <w:p>
      <w:pPr>
        <w:spacing w:line="217" w:lineRule="exact" w:before="0"/>
        <w:ind w:left="438" w:right="0" w:firstLine="0"/>
        <w:jc w:val="left"/>
        <w:rPr>
          <w:rFonts w:ascii="Times New Roman"/>
          <w:sz w:val="19"/>
        </w:rPr>
      </w:pPr>
      <w:r>
        <w:rPr>
          <w:rFonts w:ascii="Times New Roman"/>
          <w:color w:val="1D1D1D"/>
          <w:w w:val="110"/>
          <w:sz w:val="19"/>
        </w:rPr>
        <w:t>Thi</w:t>
      </w:r>
      <w:r>
        <w:rPr>
          <w:rFonts w:ascii="Times New Roman"/>
          <w:color w:val="363636"/>
          <w:w w:val="110"/>
          <w:sz w:val="19"/>
        </w:rPr>
        <w:t>s definition ofreserves therefore n</w:t>
      </w:r>
      <w:r>
        <w:rPr>
          <w:rFonts w:ascii="Times New Roman"/>
          <w:color w:val="1D1D1D"/>
          <w:w w:val="110"/>
          <w:sz w:val="19"/>
        </w:rPr>
        <w:t>o</w:t>
      </w:r>
      <w:r>
        <w:rPr>
          <w:rFonts w:ascii="Times New Roman"/>
          <w:color w:val="363636"/>
          <w:w w:val="110"/>
          <w:sz w:val="19"/>
        </w:rPr>
        <w:t>rmally excludes</w:t>
      </w:r>
      <w:r>
        <w:rPr>
          <w:rFonts w:ascii="Times New Roman"/>
          <w:color w:val="5D5D5D"/>
          <w:w w:val="110"/>
          <w:sz w:val="19"/>
        </w:rPr>
        <w:t>:</w:t>
      </w:r>
    </w:p>
    <w:p>
      <w:pPr>
        <w:pStyle w:val="ListParagraph"/>
        <w:numPr>
          <w:ilvl w:val="0"/>
          <w:numId w:val="215"/>
        </w:numPr>
        <w:tabs>
          <w:tab w:pos="724" w:val="left" w:leader="none"/>
        </w:tabs>
        <w:spacing w:line="240" w:lineRule="auto" w:before="22" w:after="0"/>
        <w:ind w:left="723" w:right="0" w:hanging="289"/>
        <w:jc w:val="left"/>
        <w:rPr>
          <w:rFonts w:ascii="Times New Roman"/>
          <w:sz w:val="19"/>
        </w:rPr>
      </w:pPr>
      <w:r>
        <w:rPr>
          <w:rFonts w:ascii="Times New Roman"/>
          <w:color w:val="363636"/>
          <w:w w:val="105"/>
          <w:sz w:val="19"/>
        </w:rPr>
        <w:t>p</w:t>
      </w:r>
      <w:r>
        <w:rPr>
          <w:rFonts w:ascii="Times New Roman"/>
          <w:color w:val="1D1D1D"/>
          <w:w w:val="105"/>
          <w:sz w:val="19"/>
        </w:rPr>
        <w:t>e</w:t>
      </w:r>
      <w:r>
        <w:rPr>
          <w:rFonts w:ascii="Times New Roman"/>
          <w:color w:val="363636"/>
          <w:w w:val="105"/>
          <w:sz w:val="19"/>
        </w:rPr>
        <w:t>rmanen</w:t>
      </w:r>
      <w:r>
        <w:rPr>
          <w:rFonts w:ascii="Times New Roman"/>
          <w:color w:val="1D1D1D"/>
          <w:w w:val="105"/>
          <w:sz w:val="19"/>
        </w:rPr>
        <w:t>t </w:t>
      </w:r>
      <w:r>
        <w:rPr>
          <w:rFonts w:ascii="Times New Roman"/>
          <w:color w:val="363636"/>
          <w:spacing w:val="-3"/>
          <w:w w:val="105"/>
          <w:sz w:val="19"/>
        </w:rPr>
        <w:t>endowme</w:t>
      </w:r>
      <w:r>
        <w:rPr>
          <w:rFonts w:ascii="Times New Roman"/>
          <w:color w:val="1D1D1D"/>
          <w:spacing w:val="-3"/>
          <w:w w:val="105"/>
          <w:sz w:val="19"/>
        </w:rPr>
        <w:t>nt</w:t>
      </w:r>
      <w:r>
        <w:rPr>
          <w:rFonts w:ascii="Times New Roman"/>
          <w:color w:val="1D1D1D"/>
          <w:spacing w:val="-18"/>
          <w:w w:val="105"/>
          <w:sz w:val="19"/>
        </w:rPr>
        <w:t> </w:t>
      </w:r>
      <w:r>
        <w:rPr>
          <w:rFonts w:ascii="Times New Roman"/>
          <w:color w:val="363636"/>
          <w:w w:val="105"/>
          <w:sz w:val="19"/>
        </w:rPr>
        <w:t>funds;</w:t>
      </w:r>
    </w:p>
    <w:p>
      <w:pPr>
        <w:pStyle w:val="ListParagraph"/>
        <w:numPr>
          <w:ilvl w:val="0"/>
          <w:numId w:val="215"/>
        </w:numPr>
        <w:tabs>
          <w:tab w:pos="736" w:val="left" w:leader="none"/>
        </w:tabs>
        <w:spacing w:line="240" w:lineRule="auto" w:before="23" w:after="0"/>
        <w:ind w:left="735" w:right="0" w:hanging="301"/>
        <w:jc w:val="left"/>
        <w:rPr>
          <w:rFonts w:ascii="Times New Roman"/>
          <w:sz w:val="19"/>
        </w:rPr>
      </w:pPr>
      <w:r>
        <w:rPr>
          <w:rFonts w:ascii="Times New Roman"/>
          <w:color w:val="363636"/>
          <w:w w:val="105"/>
          <w:sz w:val="19"/>
        </w:rPr>
        <w:t>expendab</w:t>
      </w:r>
      <w:r>
        <w:rPr>
          <w:rFonts w:ascii="Times New Roman"/>
          <w:color w:val="1D1D1D"/>
          <w:w w:val="105"/>
          <w:sz w:val="19"/>
        </w:rPr>
        <w:t>l</w:t>
      </w:r>
      <w:r>
        <w:rPr>
          <w:rFonts w:ascii="Times New Roman"/>
          <w:color w:val="363636"/>
          <w:w w:val="105"/>
          <w:sz w:val="19"/>
        </w:rPr>
        <w:t>e endowment funds;</w:t>
      </w:r>
    </w:p>
    <w:p>
      <w:pPr>
        <w:pStyle w:val="ListParagraph"/>
        <w:numPr>
          <w:ilvl w:val="0"/>
          <w:numId w:val="215"/>
        </w:numPr>
        <w:tabs>
          <w:tab w:pos="732" w:val="left" w:leader="none"/>
        </w:tabs>
        <w:spacing w:line="240" w:lineRule="auto" w:before="12" w:after="0"/>
        <w:ind w:left="731" w:right="0" w:hanging="297"/>
        <w:jc w:val="left"/>
        <w:rPr>
          <w:rFonts w:ascii="Times New Roman"/>
          <w:sz w:val="19"/>
        </w:rPr>
      </w:pPr>
      <w:r>
        <w:rPr>
          <w:rFonts w:ascii="Times New Roman"/>
          <w:color w:val="1D1D1D"/>
          <w:w w:val="110"/>
          <w:sz w:val="19"/>
        </w:rPr>
        <w:t>r</w:t>
      </w:r>
      <w:r>
        <w:rPr>
          <w:rFonts w:ascii="Times New Roman"/>
          <w:color w:val="363636"/>
          <w:w w:val="110"/>
          <w:sz w:val="19"/>
        </w:rPr>
        <w:t>es</w:t>
      </w:r>
      <w:r>
        <w:rPr>
          <w:rFonts w:ascii="Times New Roman"/>
          <w:color w:val="1D1D1D"/>
          <w:w w:val="110"/>
          <w:sz w:val="19"/>
        </w:rPr>
        <w:t>tri</w:t>
      </w:r>
      <w:r>
        <w:rPr>
          <w:rFonts w:ascii="Times New Roman"/>
          <w:color w:val="363636"/>
          <w:w w:val="110"/>
          <w:sz w:val="19"/>
        </w:rPr>
        <w:t>cted</w:t>
      </w:r>
      <w:r>
        <w:rPr>
          <w:rFonts w:ascii="Times New Roman"/>
          <w:color w:val="363636"/>
          <w:spacing w:val="-4"/>
          <w:w w:val="110"/>
          <w:sz w:val="19"/>
        </w:rPr>
        <w:t> </w:t>
      </w:r>
      <w:r>
        <w:rPr>
          <w:rFonts w:ascii="Times New Roman"/>
          <w:color w:val="363636"/>
          <w:w w:val="110"/>
          <w:sz w:val="19"/>
        </w:rPr>
        <w:t>funds;</w:t>
      </w:r>
      <w:r>
        <w:rPr>
          <w:rFonts w:ascii="Times New Roman"/>
          <w:color w:val="363636"/>
          <w:spacing w:val="-29"/>
          <w:w w:val="110"/>
          <w:sz w:val="19"/>
        </w:rPr>
        <w:t> </w:t>
      </w:r>
      <w:r>
        <w:rPr>
          <w:rFonts w:ascii="Times New Roman"/>
          <w:color w:val="363636"/>
          <w:w w:val="110"/>
          <w:sz w:val="19"/>
        </w:rPr>
        <w:t>and</w:t>
      </w:r>
      <w:r>
        <w:rPr>
          <w:rFonts w:ascii="Times New Roman"/>
          <w:color w:val="363636"/>
          <w:spacing w:val="-18"/>
          <w:w w:val="110"/>
          <w:sz w:val="19"/>
        </w:rPr>
        <w:t> </w:t>
      </w:r>
      <w:r>
        <w:rPr>
          <w:rFonts w:ascii="Times New Roman"/>
          <w:color w:val="363636"/>
          <w:w w:val="110"/>
          <w:sz w:val="19"/>
        </w:rPr>
        <w:t>any</w:t>
      </w:r>
      <w:r>
        <w:rPr>
          <w:rFonts w:ascii="Times New Roman"/>
          <w:color w:val="363636"/>
          <w:spacing w:val="-22"/>
          <w:w w:val="110"/>
          <w:sz w:val="19"/>
        </w:rPr>
        <w:t> </w:t>
      </w:r>
      <w:r>
        <w:rPr>
          <w:rFonts w:ascii="Times New Roman"/>
          <w:color w:val="363636"/>
          <w:w w:val="110"/>
          <w:sz w:val="19"/>
        </w:rPr>
        <w:t>part</w:t>
      </w:r>
      <w:r>
        <w:rPr>
          <w:rFonts w:ascii="Times New Roman"/>
          <w:color w:val="363636"/>
          <w:spacing w:val="-25"/>
          <w:w w:val="110"/>
          <w:sz w:val="19"/>
        </w:rPr>
        <w:t> </w:t>
      </w:r>
      <w:r>
        <w:rPr>
          <w:rFonts w:ascii="Times New Roman"/>
          <w:color w:val="363636"/>
          <w:w w:val="110"/>
          <w:sz w:val="19"/>
        </w:rPr>
        <w:t>of</w:t>
      </w:r>
      <w:r>
        <w:rPr>
          <w:rFonts w:ascii="Times New Roman"/>
          <w:color w:val="363636"/>
          <w:spacing w:val="-22"/>
          <w:w w:val="110"/>
          <w:sz w:val="19"/>
        </w:rPr>
        <w:t> </w:t>
      </w:r>
      <w:r>
        <w:rPr>
          <w:rFonts w:ascii="Times New Roman"/>
          <w:color w:val="1D1D1D"/>
          <w:w w:val="110"/>
          <w:sz w:val="19"/>
        </w:rPr>
        <w:t>unr</w:t>
      </w:r>
      <w:r>
        <w:rPr>
          <w:rFonts w:ascii="Times New Roman"/>
          <w:color w:val="363636"/>
          <w:w w:val="110"/>
          <w:sz w:val="19"/>
        </w:rPr>
        <w:t>estric</w:t>
      </w:r>
      <w:r>
        <w:rPr>
          <w:rFonts w:ascii="Times New Roman"/>
          <w:color w:val="1D1D1D"/>
          <w:w w:val="110"/>
          <w:sz w:val="19"/>
        </w:rPr>
        <w:t>t</w:t>
      </w:r>
      <w:r>
        <w:rPr>
          <w:rFonts w:ascii="Times New Roman"/>
          <w:color w:val="363636"/>
          <w:w w:val="110"/>
          <w:sz w:val="19"/>
        </w:rPr>
        <w:t>ed</w:t>
      </w:r>
      <w:r>
        <w:rPr>
          <w:rFonts w:ascii="Times New Roman"/>
          <w:color w:val="363636"/>
          <w:spacing w:val="-14"/>
          <w:w w:val="110"/>
          <w:sz w:val="19"/>
        </w:rPr>
        <w:t> </w:t>
      </w:r>
      <w:r>
        <w:rPr>
          <w:rFonts w:ascii="Times New Roman"/>
          <w:color w:val="363636"/>
          <w:w w:val="110"/>
          <w:sz w:val="19"/>
        </w:rPr>
        <w:t>funds</w:t>
      </w:r>
      <w:r>
        <w:rPr>
          <w:rFonts w:ascii="Times New Roman"/>
          <w:color w:val="363636"/>
          <w:spacing w:val="-19"/>
          <w:w w:val="110"/>
          <w:sz w:val="19"/>
        </w:rPr>
        <w:t> </w:t>
      </w:r>
      <w:r>
        <w:rPr>
          <w:rFonts w:ascii="Times New Roman"/>
          <w:color w:val="363636"/>
          <w:w w:val="110"/>
          <w:sz w:val="19"/>
        </w:rPr>
        <w:t>not</w:t>
      </w:r>
      <w:r>
        <w:rPr>
          <w:rFonts w:ascii="Times New Roman"/>
          <w:color w:val="363636"/>
          <w:spacing w:val="-12"/>
          <w:w w:val="110"/>
          <w:sz w:val="19"/>
        </w:rPr>
        <w:t> </w:t>
      </w:r>
      <w:r>
        <w:rPr>
          <w:rFonts w:ascii="Times New Roman"/>
          <w:color w:val="1D1D1D"/>
          <w:w w:val="110"/>
          <w:sz w:val="19"/>
        </w:rPr>
        <w:t>r</w:t>
      </w:r>
      <w:r>
        <w:rPr>
          <w:rFonts w:ascii="Times New Roman"/>
          <w:color w:val="363636"/>
          <w:w w:val="110"/>
          <w:sz w:val="19"/>
        </w:rPr>
        <w:t>eadily</w:t>
      </w:r>
      <w:r>
        <w:rPr>
          <w:rFonts w:ascii="Times New Roman"/>
          <w:color w:val="363636"/>
          <w:spacing w:val="-31"/>
          <w:w w:val="110"/>
          <w:sz w:val="19"/>
        </w:rPr>
        <w:t> </w:t>
      </w:r>
      <w:r>
        <w:rPr>
          <w:rFonts w:ascii="Times New Roman"/>
          <w:color w:val="363636"/>
          <w:spacing w:val="-3"/>
          <w:w w:val="110"/>
          <w:sz w:val="19"/>
        </w:rPr>
        <w:t>ava</w:t>
      </w:r>
      <w:r>
        <w:rPr>
          <w:rFonts w:ascii="Times New Roman"/>
          <w:color w:val="1D1D1D"/>
          <w:spacing w:val="-3"/>
          <w:w w:val="110"/>
          <w:sz w:val="19"/>
        </w:rPr>
        <w:t>il</w:t>
      </w:r>
      <w:r>
        <w:rPr>
          <w:rFonts w:ascii="Times New Roman"/>
          <w:color w:val="363636"/>
          <w:spacing w:val="-3"/>
          <w:w w:val="110"/>
          <w:sz w:val="19"/>
        </w:rPr>
        <w:t>able</w:t>
      </w:r>
      <w:r>
        <w:rPr>
          <w:rFonts w:ascii="Times New Roman"/>
          <w:color w:val="363636"/>
          <w:spacing w:val="-29"/>
          <w:w w:val="110"/>
          <w:sz w:val="19"/>
        </w:rPr>
        <w:t> </w:t>
      </w:r>
      <w:r>
        <w:rPr>
          <w:rFonts w:ascii="Times New Roman"/>
          <w:color w:val="363636"/>
          <w:w w:val="110"/>
          <w:sz w:val="19"/>
        </w:rPr>
        <w:t>for</w:t>
      </w:r>
      <w:r>
        <w:rPr>
          <w:rFonts w:ascii="Times New Roman"/>
          <w:color w:val="363636"/>
          <w:spacing w:val="-20"/>
          <w:w w:val="110"/>
          <w:sz w:val="19"/>
        </w:rPr>
        <w:t> </w:t>
      </w:r>
      <w:r>
        <w:rPr>
          <w:rFonts w:ascii="Times New Roman"/>
          <w:color w:val="363636"/>
          <w:w w:val="110"/>
          <w:sz w:val="19"/>
        </w:rPr>
        <w:t>s</w:t>
      </w:r>
      <w:r>
        <w:rPr>
          <w:rFonts w:ascii="Times New Roman"/>
          <w:color w:val="1D1D1D"/>
          <w:w w:val="110"/>
          <w:sz w:val="19"/>
        </w:rPr>
        <w:t>p</w:t>
      </w:r>
      <w:r>
        <w:rPr>
          <w:rFonts w:ascii="Times New Roman"/>
          <w:color w:val="363636"/>
          <w:w w:val="110"/>
          <w:sz w:val="19"/>
        </w:rPr>
        <w:t>ending,</w:t>
      </w:r>
      <w:r>
        <w:rPr>
          <w:rFonts w:ascii="Times New Roman"/>
          <w:color w:val="363636"/>
          <w:spacing w:val="-9"/>
          <w:w w:val="110"/>
          <w:sz w:val="19"/>
        </w:rPr>
        <w:t> </w:t>
      </w:r>
      <w:r>
        <w:rPr>
          <w:rFonts w:ascii="Times New Roman"/>
          <w:color w:val="363636"/>
          <w:w w:val="110"/>
          <w:sz w:val="19"/>
        </w:rPr>
        <w:t>specifically:</w:t>
      </w:r>
    </w:p>
    <w:p>
      <w:pPr>
        <w:pStyle w:val="ListParagraph"/>
        <w:numPr>
          <w:ilvl w:val="0"/>
          <w:numId w:val="215"/>
        </w:numPr>
        <w:tabs>
          <w:tab w:pos="737" w:val="left" w:leader="none"/>
        </w:tabs>
        <w:spacing w:line="254" w:lineRule="auto" w:before="12" w:after="0"/>
        <w:ind w:left="442" w:right="1105" w:hanging="7"/>
        <w:jc w:val="left"/>
        <w:rPr>
          <w:rFonts w:ascii="Times New Roman"/>
          <w:sz w:val="19"/>
        </w:rPr>
      </w:pPr>
      <w:r>
        <w:rPr>
          <w:rFonts w:ascii="Times New Roman"/>
          <w:color w:val="363636"/>
          <w:w w:val="105"/>
          <w:sz w:val="19"/>
        </w:rPr>
        <w:t>income funds which could only </w:t>
      </w:r>
      <w:r>
        <w:rPr>
          <w:rFonts w:ascii="Times New Roman"/>
          <w:color w:val="1D1D1D"/>
          <w:spacing w:val="-3"/>
          <w:w w:val="105"/>
          <w:sz w:val="19"/>
        </w:rPr>
        <w:t>b</w:t>
      </w:r>
      <w:r>
        <w:rPr>
          <w:rFonts w:ascii="Times New Roman"/>
          <w:color w:val="363636"/>
          <w:spacing w:val="-3"/>
          <w:w w:val="105"/>
          <w:sz w:val="19"/>
        </w:rPr>
        <w:t>e </w:t>
      </w:r>
      <w:r>
        <w:rPr>
          <w:rFonts w:ascii="Times New Roman"/>
          <w:color w:val="1D1D1D"/>
          <w:w w:val="105"/>
          <w:sz w:val="19"/>
        </w:rPr>
        <w:t>r</w:t>
      </w:r>
      <w:r>
        <w:rPr>
          <w:rFonts w:ascii="Times New Roman"/>
          <w:color w:val="363636"/>
          <w:w w:val="105"/>
          <w:sz w:val="19"/>
        </w:rPr>
        <w:t>ealised by disposing of fixed </w:t>
      </w:r>
      <w:r>
        <w:rPr>
          <w:rFonts w:ascii="Times New Roman"/>
          <w:color w:val="4F4F4F"/>
          <w:w w:val="105"/>
          <w:sz w:val="19"/>
        </w:rPr>
        <w:t>assets </w:t>
      </w:r>
      <w:r>
        <w:rPr>
          <w:rFonts w:ascii="Times New Roman"/>
          <w:color w:val="363636"/>
          <w:spacing w:val="-4"/>
          <w:w w:val="105"/>
          <w:sz w:val="19"/>
        </w:rPr>
        <w:t>hel</w:t>
      </w:r>
      <w:r>
        <w:rPr>
          <w:rFonts w:ascii="Times New Roman"/>
          <w:color w:val="1D1D1D"/>
          <w:spacing w:val="-4"/>
          <w:w w:val="105"/>
          <w:sz w:val="19"/>
        </w:rPr>
        <w:t>d </w:t>
      </w:r>
      <w:r>
        <w:rPr>
          <w:rFonts w:ascii="Times New Roman"/>
          <w:color w:val="363636"/>
          <w:w w:val="105"/>
          <w:sz w:val="19"/>
        </w:rPr>
        <w:t>fo</w:t>
      </w:r>
      <w:r>
        <w:rPr>
          <w:rFonts w:ascii="Times New Roman"/>
          <w:color w:val="1D1D1D"/>
          <w:w w:val="105"/>
          <w:sz w:val="19"/>
        </w:rPr>
        <w:t>r </w:t>
      </w:r>
      <w:r>
        <w:rPr>
          <w:rFonts w:ascii="Times New Roman"/>
          <w:color w:val="363636"/>
          <w:w w:val="105"/>
          <w:sz w:val="19"/>
        </w:rPr>
        <w:t>charity </w:t>
      </w:r>
      <w:r>
        <w:rPr>
          <w:rFonts w:ascii="Times New Roman"/>
          <w:color w:val="1D1D1D"/>
          <w:spacing w:val="-3"/>
          <w:w w:val="105"/>
          <w:sz w:val="19"/>
        </w:rPr>
        <w:t>u</w:t>
      </w:r>
      <w:r>
        <w:rPr>
          <w:rFonts w:ascii="Times New Roman"/>
          <w:color w:val="363636"/>
          <w:spacing w:val="-3"/>
          <w:w w:val="105"/>
          <w:sz w:val="19"/>
        </w:rPr>
        <w:t>se </w:t>
      </w:r>
      <w:r>
        <w:rPr>
          <w:rFonts w:ascii="Times New Roman"/>
          <w:color w:val="363636"/>
          <w:w w:val="105"/>
          <w:sz w:val="19"/>
        </w:rPr>
        <w:t>and programme rela</w:t>
      </w:r>
      <w:r>
        <w:rPr>
          <w:rFonts w:ascii="Times New Roman"/>
          <w:color w:val="363636"/>
          <w:spacing w:val="-28"/>
          <w:w w:val="105"/>
          <w:sz w:val="19"/>
        </w:rPr>
        <w:t> </w:t>
      </w:r>
      <w:r>
        <w:rPr>
          <w:rFonts w:ascii="Times New Roman"/>
          <w:color w:val="1D1D1D"/>
          <w:w w:val="105"/>
          <w:sz w:val="19"/>
        </w:rPr>
        <w:t>t</w:t>
      </w:r>
      <w:r>
        <w:rPr>
          <w:rFonts w:ascii="Times New Roman"/>
          <w:color w:val="363636"/>
          <w:w w:val="105"/>
          <w:sz w:val="19"/>
        </w:rPr>
        <w:t>ed</w:t>
      </w:r>
      <w:r>
        <w:rPr>
          <w:rFonts w:ascii="Times New Roman"/>
          <w:color w:val="363636"/>
          <w:spacing w:val="6"/>
          <w:w w:val="105"/>
          <w:sz w:val="19"/>
        </w:rPr>
        <w:t> </w:t>
      </w:r>
      <w:r>
        <w:rPr>
          <w:rFonts w:ascii="Times New Roman"/>
          <w:color w:val="363636"/>
          <w:w w:val="105"/>
          <w:sz w:val="19"/>
        </w:rPr>
        <w:t>investments</w:t>
      </w:r>
      <w:r>
        <w:rPr>
          <w:rFonts w:ascii="Times New Roman"/>
          <w:color w:val="363636"/>
          <w:spacing w:val="-31"/>
          <w:w w:val="105"/>
          <w:sz w:val="19"/>
        </w:rPr>
        <w:t> </w:t>
      </w:r>
      <w:r>
        <w:rPr>
          <w:rFonts w:ascii="Times New Roman"/>
          <w:color w:val="1D1D1D"/>
          <w:w w:val="105"/>
          <w:sz w:val="19"/>
        </w:rPr>
        <w:t>.</w:t>
      </w:r>
    </w:p>
    <w:p>
      <w:pPr>
        <w:spacing w:after="0" w:line="254" w:lineRule="auto"/>
        <w:jc w:val="left"/>
        <w:rPr>
          <w:rFonts w:ascii="Times New Roman"/>
          <w:sz w:val="19"/>
        </w:rPr>
        <w:sectPr>
          <w:headerReference w:type="even" r:id="rId484"/>
          <w:footerReference w:type="even" r:id="rId485"/>
          <w:pgSz w:w="10950" w:h="15880"/>
          <w:pgMar w:header="0" w:footer="0" w:top="180" w:bottom="0" w:left="500" w:right="0"/>
        </w:sectPr>
      </w:pPr>
    </w:p>
    <w:p>
      <w:pPr>
        <w:pStyle w:val="BodyText"/>
        <w:spacing w:before="11"/>
        <w:rPr>
          <w:rFonts w:ascii="Times New Roman"/>
          <w:sz w:val="16"/>
        </w:rPr>
      </w:pPr>
    </w:p>
    <w:p>
      <w:pPr>
        <w:pStyle w:val="BodyText"/>
        <w:spacing w:line="259" w:lineRule="auto" w:before="92"/>
        <w:ind w:left="996" w:right="953" w:firstLine="13"/>
        <w:rPr>
          <w:rFonts w:ascii="Times New Roman" w:hAnsi="Times New Roman"/>
        </w:rPr>
      </w:pPr>
      <w:r>
        <w:rPr>
          <w:rFonts w:ascii="Times New Roman" w:hAnsi="Times New Roman"/>
          <w:color w:val="424242"/>
          <w:w w:val="105"/>
        </w:rPr>
        <w:t>A </w:t>
      </w:r>
      <w:r>
        <w:rPr>
          <w:rFonts w:ascii="Times New Roman" w:hAnsi="Times New Roman"/>
          <w:color w:val="333333"/>
          <w:w w:val="105"/>
        </w:rPr>
        <w:t>description </w:t>
      </w:r>
      <w:r>
        <w:rPr>
          <w:rFonts w:ascii="Times New Roman" w:hAnsi="Times New Roman"/>
          <w:color w:val="424242"/>
          <w:w w:val="105"/>
        </w:rPr>
        <w:t>ofrestricted </w:t>
      </w:r>
      <w:r>
        <w:rPr>
          <w:rFonts w:ascii="Times New Roman" w:hAnsi="Times New Roman"/>
          <w:color w:val="333333"/>
          <w:w w:val="105"/>
        </w:rPr>
        <w:t>and capital </w:t>
      </w:r>
      <w:r>
        <w:rPr>
          <w:rFonts w:ascii="Times New Roman" w:hAnsi="Times New Roman"/>
          <w:color w:val="424242"/>
          <w:w w:val="105"/>
        </w:rPr>
        <w:t>funds is set out on pages </w:t>
      </w:r>
      <w:r>
        <w:rPr>
          <w:rFonts w:ascii="Times New Roman" w:hAnsi="Times New Roman"/>
          <w:color w:val="333333"/>
          <w:w w:val="105"/>
        </w:rPr>
        <w:t>8 </w:t>
      </w:r>
      <w:r>
        <w:rPr>
          <w:rFonts w:ascii="Times New Roman" w:hAnsi="Times New Roman"/>
          <w:color w:val="424242"/>
          <w:w w:val="105"/>
        </w:rPr>
        <w:t>and 9</w:t>
      </w:r>
      <w:r>
        <w:rPr>
          <w:rFonts w:ascii="Times New Roman" w:hAnsi="Times New Roman"/>
          <w:color w:val="1C1C1C"/>
          <w:w w:val="105"/>
        </w:rPr>
        <w:t>. </w:t>
      </w:r>
      <w:r>
        <w:rPr>
          <w:rFonts w:ascii="Times New Roman" w:hAnsi="Times New Roman"/>
          <w:color w:val="424242"/>
          <w:w w:val="105"/>
        </w:rPr>
        <w:t>The </w:t>
      </w:r>
      <w:r>
        <w:rPr>
          <w:rFonts w:ascii="Times New Roman" w:hAnsi="Times New Roman"/>
          <w:color w:val="333333"/>
          <w:w w:val="105"/>
        </w:rPr>
        <w:t>unrestricted </w:t>
      </w:r>
      <w:r>
        <w:rPr>
          <w:rFonts w:ascii="Times New Roman" w:hAnsi="Times New Roman"/>
          <w:color w:val="424242"/>
          <w:w w:val="105"/>
        </w:rPr>
        <w:t>fund </w:t>
      </w:r>
      <w:r>
        <w:rPr>
          <w:rFonts w:ascii="Times New Roman" w:hAnsi="Times New Roman"/>
          <w:color w:val="333333"/>
          <w:w w:val="105"/>
        </w:rPr>
        <w:t>net </w:t>
      </w:r>
      <w:r>
        <w:rPr>
          <w:rFonts w:ascii="Times New Roman" w:hAnsi="Times New Roman"/>
          <w:color w:val="424242"/>
          <w:w w:val="105"/>
        </w:rPr>
        <w:t>assets shown in the </w:t>
      </w:r>
      <w:r>
        <w:rPr>
          <w:rFonts w:ascii="Times New Roman" w:hAnsi="Times New Roman"/>
          <w:color w:val="333333"/>
          <w:w w:val="105"/>
        </w:rPr>
        <w:t>Balance Sheet, </w:t>
      </w:r>
      <w:r>
        <w:rPr>
          <w:rFonts w:ascii="Times New Roman" w:hAnsi="Times New Roman"/>
          <w:color w:val="424242"/>
          <w:w w:val="105"/>
        </w:rPr>
        <w:t>before </w:t>
      </w:r>
      <w:r>
        <w:rPr>
          <w:rFonts w:ascii="Times New Roman" w:hAnsi="Times New Roman"/>
          <w:color w:val="1C1C1C"/>
          <w:w w:val="105"/>
        </w:rPr>
        <w:t>d</w:t>
      </w:r>
      <w:r>
        <w:rPr>
          <w:rFonts w:ascii="Times New Roman" w:hAnsi="Times New Roman"/>
          <w:color w:val="424242"/>
          <w:w w:val="105"/>
        </w:rPr>
        <w:t>educting a </w:t>
      </w:r>
      <w:r>
        <w:rPr>
          <w:rFonts w:ascii="Times New Roman" w:hAnsi="Times New Roman"/>
          <w:color w:val="333333"/>
          <w:w w:val="105"/>
        </w:rPr>
        <w:t>pension </w:t>
      </w:r>
      <w:r>
        <w:rPr>
          <w:rFonts w:ascii="Times New Roman" w:hAnsi="Times New Roman"/>
          <w:color w:val="1C1C1C"/>
          <w:spacing w:val="-3"/>
          <w:w w:val="105"/>
        </w:rPr>
        <w:t>r</w:t>
      </w:r>
      <w:r>
        <w:rPr>
          <w:rFonts w:ascii="Times New Roman" w:hAnsi="Times New Roman"/>
          <w:color w:val="424242"/>
          <w:spacing w:val="-3"/>
          <w:w w:val="105"/>
        </w:rPr>
        <w:t>eserve </w:t>
      </w:r>
      <w:r>
        <w:rPr>
          <w:rFonts w:ascii="Times New Roman" w:hAnsi="Times New Roman"/>
          <w:color w:val="424242"/>
          <w:w w:val="105"/>
        </w:rPr>
        <w:t>equal </w:t>
      </w:r>
      <w:r>
        <w:rPr>
          <w:rFonts w:ascii="Times New Roman" w:hAnsi="Times New Roman"/>
          <w:color w:val="333333"/>
          <w:w w:val="105"/>
        </w:rPr>
        <w:t>to </w:t>
      </w:r>
      <w:r>
        <w:rPr>
          <w:rFonts w:ascii="Times New Roman" w:hAnsi="Times New Roman"/>
          <w:color w:val="424242"/>
          <w:w w:val="105"/>
        </w:rPr>
        <w:t>the actuarially calculated </w:t>
      </w:r>
      <w:r>
        <w:rPr>
          <w:rFonts w:ascii="Times New Roman" w:hAnsi="Times New Roman"/>
          <w:color w:val="333333"/>
          <w:w w:val="105"/>
        </w:rPr>
        <w:t>long-term </w:t>
      </w:r>
      <w:r>
        <w:rPr>
          <w:rFonts w:ascii="Times New Roman" w:hAnsi="Times New Roman"/>
          <w:color w:val="424242"/>
          <w:w w:val="105"/>
        </w:rPr>
        <w:t>pension liability, </w:t>
      </w:r>
      <w:r>
        <w:rPr>
          <w:rFonts w:ascii="Times New Roman" w:hAnsi="Times New Roman"/>
          <w:color w:val="333333"/>
          <w:w w:val="105"/>
        </w:rPr>
        <w:t>amount </w:t>
      </w:r>
      <w:r>
        <w:rPr>
          <w:rFonts w:ascii="Times New Roman" w:hAnsi="Times New Roman"/>
          <w:color w:val="424242"/>
          <w:w w:val="105"/>
        </w:rPr>
        <w:t>to </w:t>
      </w:r>
      <w:r>
        <w:rPr>
          <w:rFonts w:ascii="Times New Roman" w:hAnsi="Times New Roman"/>
          <w:color w:val="333333"/>
          <w:w w:val="105"/>
        </w:rPr>
        <w:t>£17,936k. They include </w:t>
      </w:r>
      <w:r>
        <w:rPr>
          <w:rFonts w:ascii="Times New Roman" w:hAnsi="Times New Roman"/>
          <w:color w:val="424242"/>
          <w:w w:val="105"/>
        </w:rPr>
        <w:t>fixed assets held for char</w:t>
      </w:r>
      <w:r>
        <w:rPr>
          <w:rFonts w:ascii="Times New Roman" w:hAnsi="Times New Roman"/>
          <w:color w:val="1C1C1C"/>
          <w:w w:val="105"/>
        </w:rPr>
        <w:t>i</w:t>
      </w:r>
      <w:r>
        <w:rPr>
          <w:rFonts w:ascii="Times New Roman" w:hAnsi="Times New Roman"/>
          <w:color w:val="424242"/>
          <w:w w:val="105"/>
        </w:rPr>
        <w:t>ty use of £5,</w:t>
      </w:r>
      <w:r>
        <w:rPr>
          <w:rFonts w:ascii="Times New Roman" w:hAnsi="Times New Roman"/>
          <w:color w:val="1C1C1C"/>
          <w:w w:val="105"/>
        </w:rPr>
        <w:t>14</w:t>
      </w:r>
      <w:r>
        <w:rPr>
          <w:rFonts w:ascii="Times New Roman" w:hAnsi="Times New Roman"/>
          <w:color w:val="424242"/>
          <w:w w:val="105"/>
        </w:rPr>
        <w:t>9k and </w:t>
      </w:r>
      <w:r>
        <w:rPr>
          <w:rFonts w:ascii="Times New Roman" w:hAnsi="Times New Roman"/>
          <w:color w:val="333333"/>
          <w:w w:val="105"/>
        </w:rPr>
        <w:t>programme </w:t>
      </w:r>
      <w:r>
        <w:rPr>
          <w:rFonts w:ascii="Times New Roman" w:hAnsi="Times New Roman"/>
          <w:color w:val="424242"/>
          <w:w w:val="105"/>
        </w:rPr>
        <w:t>related investments </w:t>
      </w:r>
      <w:r>
        <w:rPr>
          <w:rFonts w:ascii="Times New Roman" w:hAnsi="Times New Roman"/>
          <w:color w:val="333333"/>
          <w:w w:val="105"/>
        </w:rPr>
        <w:t>of £224k. </w:t>
      </w:r>
      <w:r>
        <w:rPr>
          <w:rFonts w:ascii="Times New Roman" w:hAnsi="Times New Roman"/>
          <w:color w:val="424242"/>
          <w:w w:val="105"/>
        </w:rPr>
        <w:t>They </w:t>
      </w:r>
      <w:r>
        <w:rPr>
          <w:rFonts w:ascii="Times New Roman" w:hAnsi="Times New Roman"/>
          <w:color w:val="333333"/>
          <w:w w:val="105"/>
        </w:rPr>
        <w:t>also include amounts lent to restricted fund activities </w:t>
      </w:r>
      <w:r>
        <w:rPr>
          <w:rFonts w:ascii="Times New Roman" w:hAnsi="Times New Roman"/>
          <w:color w:val="424242"/>
          <w:w w:val="105"/>
        </w:rPr>
        <w:t>of £7</w:t>
      </w:r>
      <w:r>
        <w:rPr>
          <w:rFonts w:ascii="Times New Roman" w:hAnsi="Times New Roman"/>
          <w:color w:val="5D5D5D"/>
          <w:w w:val="105"/>
        </w:rPr>
        <w:t>,</w:t>
      </w:r>
      <w:r>
        <w:rPr>
          <w:rFonts w:ascii="Times New Roman" w:hAnsi="Times New Roman"/>
          <w:color w:val="424242"/>
          <w:w w:val="105"/>
        </w:rPr>
        <w:t>122k, </w:t>
      </w:r>
      <w:r>
        <w:rPr>
          <w:rFonts w:ascii="Times New Roman" w:hAnsi="Times New Roman"/>
          <w:color w:val="333333"/>
          <w:w w:val="105"/>
        </w:rPr>
        <w:t>principally </w:t>
      </w:r>
      <w:r>
        <w:rPr>
          <w:rFonts w:ascii="Times New Roman" w:hAnsi="Times New Roman"/>
          <w:color w:val="5D5D5D"/>
          <w:w w:val="105"/>
        </w:rPr>
        <w:t>t</w:t>
      </w:r>
      <w:r>
        <w:rPr>
          <w:rFonts w:ascii="Times New Roman" w:hAnsi="Times New Roman"/>
          <w:color w:val="424242"/>
          <w:w w:val="105"/>
        </w:rPr>
        <w:t>o </w:t>
      </w:r>
      <w:r>
        <w:rPr>
          <w:rFonts w:ascii="Times New Roman" w:hAnsi="Times New Roman"/>
          <w:color w:val="333333"/>
          <w:w w:val="105"/>
        </w:rPr>
        <w:t>the Retired</w:t>
      </w:r>
      <w:r>
        <w:rPr>
          <w:rFonts w:ascii="Times New Roman" w:hAnsi="Times New Roman"/>
          <w:color w:val="333333"/>
          <w:spacing w:val="-15"/>
          <w:w w:val="105"/>
        </w:rPr>
        <w:t> </w:t>
      </w:r>
      <w:r>
        <w:rPr>
          <w:rFonts w:ascii="Times New Roman" w:hAnsi="Times New Roman"/>
          <w:color w:val="333333"/>
          <w:w w:val="105"/>
        </w:rPr>
        <w:t>Ministers'</w:t>
      </w:r>
      <w:r>
        <w:rPr>
          <w:rFonts w:ascii="Times New Roman" w:hAnsi="Times New Roman"/>
          <w:color w:val="333333"/>
          <w:spacing w:val="8"/>
          <w:w w:val="105"/>
        </w:rPr>
        <w:t> </w:t>
      </w:r>
      <w:r>
        <w:rPr>
          <w:rFonts w:ascii="Times New Roman" w:hAnsi="Times New Roman"/>
          <w:color w:val="424242"/>
          <w:w w:val="105"/>
        </w:rPr>
        <w:t>Housing</w:t>
      </w:r>
      <w:r>
        <w:rPr>
          <w:rFonts w:ascii="Times New Roman" w:hAnsi="Times New Roman"/>
          <w:color w:val="424242"/>
          <w:spacing w:val="-6"/>
          <w:w w:val="105"/>
        </w:rPr>
        <w:t> </w:t>
      </w:r>
      <w:r>
        <w:rPr>
          <w:rFonts w:ascii="Times New Roman" w:hAnsi="Times New Roman"/>
          <w:color w:val="424242"/>
          <w:w w:val="105"/>
        </w:rPr>
        <w:t>Society</w:t>
      </w:r>
      <w:r>
        <w:rPr>
          <w:rFonts w:ascii="Times New Roman" w:hAnsi="Times New Roman"/>
          <w:color w:val="424242"/>
          <w:spacing w:val="6"/>
          <w:w w:val="105"/>
        </w:rPr>
        <w:t> </w:t>
      </w:r>
      <w:r>
        <w:rPr>
          <w:rFonts w:ascii="Times New Roman" w:hAnsi="Times New Roman"/>
          <w:color w:val="424242"/>
          <w:w w:val="105"/>
        </w:rPr>
        <w:t>for</w:t>
      </w:r>
      <w:r>
        <w:rPr>
          <w:rFonts w:ascii="Times New Roman" w:hAnsi="Times New Roman"/>
          <w:color w:val="424242"/>
          <w:spacing w:val="4"/>
          <w:w w:val="105"/>
        </w:rPr>
        <w:t> </w:t>
      </w:r>
      <w:r>
        <w:rPr>
          <w:rFonts w:ascii="Times New Roman" w:hAnsi="Times New Roman"/>
          <w:color w:val="424242"/>
          <w:w w:val="105"/>
        </w:rPr>
        <w:t>the</w:t>
      </w:r>
      <w:r>
        <w:rPr>
          <w:rFonts w:ascii="Times New Roman" w:hAnsi="Times New Roman"/>
          <w:color w:val="424242"/>
          <w:spacing w:val="12"/>
          <w:w w:val="105"/>
        </w:rPr>
        <w:t> </w:t>
      </w:r>
      <w:r>
        <w:rPr>
          <w:rFonts w:ascii="Times New Roman" w:hAnsi="Times New Roman"/>
          <w:color w:val="333333"/>
          <w:w w:val="105"/>
        </w:rPr>
        <w:t>purchase</w:t>
      </w:r>
      <w:r>
        <w:rPr>
          <w:rFonts w:ascii="Times New Roman" w:hAnsi="Times New Roman"/>
          <w:color w:val="333333"/>
          <w:spacing w:val="-12"/>
          <w:w w:val="105"/>
        </w:rPr>
        <w:t> </w:t>
      </w:r>
      <w:r>
        <w:rPr>
          <w:rFonts w:ascii="Times New Roman" w:hAnsi="Times New Roman"/>
          <w:color w:val="424242"/>
          <w:w w:val="105"/>
        </w:rPr>
        <w:t>of</w:t>
      </w:r>
      <w:r>
        <w:rPr>
          <w:rFonts w:ascii="Times New Roman" w:hAnsi="Times New Roman"/>
          <w:color w:val="424242"/>
          <w:spacing w:val="13"/>
          <w:w w:val="105"/>
        </w:rPr>
        <w:t> </w:t>
      </w:r>
      <w:r>
        <w:rPr>
          <w:rFonts w:ascii="Times New Roman" w:hAnsi="Times New Roman"/>
          <w:color w:val="424242"/>
          <w:w w:val="105"/>
        </w:rPr>
        <w:t>fixed</w:t>
      </w:r>
      <w:r>
        <w:rPr>
          <w:rFonts w:ascii="Times New Roman" w:hAnsi="Times New Roman"/>
          <w:color w:val="424242"/>
          <w:spacing w:val="-2"/>
          <w:w w:val="105"/>
        </w:rPr>
        <w:t> </w:t>
      </w:r>
      <w:r>
        <w:rPr>
          <w:rFonts w:ascii="Times New Roman" w:hAnsi="Times New Roman"/>
          <w:color w:val="424242"/>
          <w:w w:val="105"/>
        </w:rPr>
        <w:t>assets</w:t>
      </w:r>
      <w:r>
        <w:rPr>
          <w:rFonts w:ascii="Times New Roman" w:hAnsi="Times New Roman"/>
          <w:color w:val="424242"/>
          <w:spacing w:val="-23"/>
          <w:w w:val="105"/>
        </w:rPr>
        <w:t> </w:t>
      </w:r>
      <w:r>
        <w:rPr>
          <w:rFonts w:ascii="Times New Roman" w:hAnsi="Times New Roman"/>
          <w:color w:val="424242"/>
          <w:w w:val="105"/>
        </w:rPr>
        <w:t>for</w:t>
      </w:r>
      <w:r>
        <w:rPr>
          <w:rFonts w:ascii="Times New Roman" w:hAnsi="Times New Roman"/>
          <w:color w:val="424242"/>
          <w:spacing w:val="-2"/>
          <w:w w:val="105"/>
        </w:rPr>
        <w:t> </w:t>
      </w:r>
      <w:r>
        <w:rPr>
          <w:rFonts w:ascii="Times New Roman" w:hAnsi="Times New Roman"/>
          <w:color w:val="333333"/>
          <w:w w:val="105"/>
        </w:rPr>
        <w:t>charity</w:t>
      </w:r>
      <w:r>
        <w:rPr>
          <w:rFonts w:ascii="Times New Roman" w:hAnsi="Times New Roman"/>
          <w:color w:val="333333"/>
          <w:spacing w:val="7"/>
          <w:w w:val="105"/>
        </w:rPr>
        <w:t> </w:t>
      </w:r>
      <w:r>
        <w:rPr>
          <w:rFonts w:ascii="Times New Roman" w:hAnsi="Times New Roman"/>
          <w:color w:val="333333"/>
          <w:w w:val="105"/>
        </w:rPr>
        <w:t>use;</w:t>
      </w:r>
      <w:r>
        <w:rPr>
          <w:rFonts w:ascii="Times New Roman" w:hAnsi="Times New Roman"/>
          <w:color w:val="333333"/>
          <w:spacing w:val="-13"/>
          <w:w w:val="105"/>
        </w:rPr>
        <w:t> </w:t>
      </w:r>
      <w:r>
        <w:rPr>
          <w:rFonts w:ascii="Times New Roman" w:hAnsi="Times New Roman"/>
          <w:color w:val="424242"/>
          <w:w w:val="105"/>
        </w:rPr>
        <w:t>these</w:t>
      </w:r>
      <w:r>
        <w:rPr>
          <w:rFonts w:ascii="Times New Roman" w:hAnsi="Times New Roman"/>
          <w:color w:val="424242"/>
          <w:spacing w:val="-22"/>
          <w:w w:val="105"/>
        </w:rPr>
        <w:t> </w:t>
      </w:r>
      <w:r>
        <w:rPr>
          <w:rFonts w:ascii="Times New Roman" w:hAnsi="Times New Roman"/>
          <w:color w:val="424242"/>
          <w:w w:val="105"/>
        </w:rPr>
        <w:t>sums</w:t>
      </w:r>
      <w:r>
        <w:rPr>
          <w:rFonts w:ascii="Times New Roman" w:hAnsi="Times New Roman"/>
          <w:color w:val="424242"/>
          <w:spacing w:val="-18"/>
          <w:w w:val="105"/>
        </w:rPr>
        <w:t> </w:t>
      </w:r>
      <w:r>
        <w:rPr>
          <w:rFonts w:ascii="Times New Roman" w:hAnsi="Times New Roman"/>
          <w:color w:val="424242"/>
          <w:w w:val="105"/>
        </w:rPr>
        <w:t>too</w:t>
      </w:r>
      <w:r>
        <w:rPr>
          <w:rFonts w:ascii="Times New Roman" w:hAnsi="Times New Roman"/>
          <w:color w:val="424242"/>
          <w:spacing w:val="-10"/>
          <w:w w:val="105"/>
        </w:rPr>
        <w:t> </w:t>
      </w:r>
      <w:r>
        <w:rPr>
          <w:rFonts w:ascii="Times New Roman" w:hAnsi="Times New Roman"/>
          <w:color w:val="424242"/>
          <w:w w:val="105"/>
        </w:rPr>
        <w:t>are</w:t>
      </w:r>
      <w:r>
        <w:rPr>
          <w:rFonts w:ascii="Times New Roman" w:hAnsi="Times New Roman"/>
          <w:color w:val="424242"/>
          <w:spacing w:val="2"/>
          <w:w w:val="105"/>
        </w:rPr>
        <w:t> </w:t>
      </w:r>
      <w:r>
        <w:rPr>
          <w:rFonts w:ascii="Times New Roman" w:hAnsi="Times New Roman"/>
          <w:color w:val="424242"/>
          <w:w w:val="105"/>
        </w:rPr>
        <w:t>not</w:t>
      </w:r>
      <w:r>
        <w:rPr>
          <w:rFonts w:ascii="Times New Roman" w:hAnsi="Times New Roman"/>
          <w:color w:val="424242"/>
          <w:spacing w:val="-5"/>
          <w:w w:val="105"/>
        </w:rPr>
        <w:t> </w:t>
      </w:r>
      <w:r>
        <w:rPr>
          <w:rFonts w:ascii="Times New Roman" w:hAnsi="Times New Roman"/>
          <w:color w:val="424242"/>
          <w:w w:val="105"/>
        </w:rPr>
        <w:t>readily available</w:t>
      </w:r>
      <w:r>
        <w:rPr>
          <w:rFonts w:ascii="Times New Roman" w:hAnsi="Times New Roman"/>
          <w:color w:val="424242"/>
          <w:spacing w:val="-13"/>
          <w:w w:val="105"/>
        </w:rPr>
        <w:t> </w:t>
      </w:r>
      <w:r>
        <w:rPr>
          <w:rFonts w:ascii="Times New Roman" w:hAnsi="Times New Roman"/>
          <w:color w:val="424242"/>
          <w:w w:val="105"/>
        </w:rPr>
        <w:t>for</w:t>
      </w:r>
      <w:r>
        <w:rPr>
          <w:rFonts w:ascii="Times New Roman" w:hAnsi="Times New Roman"/>
          <w:color w:val="424242"/>
          <w:spacing w:val="1"/>
          <w:w w:val="105"/>
        </w:rPr>
        <w:t> </w:t>
      </w:r>
      <w:r>
        <w:rPr>
          <w:rFonts w:ascii="Times New Roman" w:hAnsi="Times New Roman"/>
          <w:color w:val="424242"/>
          <w:w w:val="105"/>
        </w:rPr>
        <w:t>spending.</w:t>
      </w:r>
      <w:r>
        <w:rPr>
          <w:rFonts w:ascii="Times New Roman" w:hAnsi="Times New Roman"/>
          <w:color w:val="424242"/>
          <w:spacing w:val="-5"/>
          <w:w w:val="105"/>
        </w:rPr>
        <w:t> </w:t>
      </w:r>
      <w:r>
        <w:rPr>
          <w:rFonts w:ascii="Times New Roman" w:hAnsi="Times New Roman"/>
          <w:color w:val="333333"/>
          <w:w w:val="105"/>
        </w:rPr>
        <w:t>After</w:t>
      </w:r>
      <w:r>
        <w:rPr>
          <w:rFonts w:ascii="Times New Roman" w:hAnsi="Times New Roman"/>
          <w:color w:val="333333"/>
          <w:spacing w:val="-15"/>
          <w:w w:val="105"/>
        </w:rPr>
        <w:t> </w:t>
      </w:r>
      <w:r>
        <w:rPr>
          <w:rFonts w:ascii="Times New Roman" w:hAnsi="Times New Roman"/>
          <w:color w:val="333333"/>
          <w:w w:val="105"/>
        </w:rPr>
        <w:t>deducting</w:t>
      </w:r>
      <w:r>
        <w:rPr>
          <w:rFonts w:ascii="Times New Roman" w:hAnsi="Times New Roman"/>
          <w:color w:val="333333"/>
          <w:spacing w:val="-5"/>
          <w:w w:val="105"/>
        </w:rPr>
        <w:t> </w:t>
      </w:r>
      <w:r>
        <w:rPr>
          <w:rFonts w:ascii="Times New Roman" w:hAnsi="Times New Roman"/>
          <w:color w:val="424242"/>
          <w:w w:val="105"/>
        </w:rPr>
        <w:t>these</w:t>
      </w:r>
      <w:r>
        <w:rPr>
          <w:rFonts w:ascii="Times New Roman" w:hAnsi="Times New Roman"/>
          <w:color w:val="424242"/>
          <w:spacing w:val="-20"/>
          <w:w w:val="105"/>
        </w:rPr>
        <w:t> </w:t>
      </w:r>
      <w:r>
        <w:rPr>
          <w:rFonts w:ascii="Times New Roman" w:hAnsi="Times New Roman"/>
          <w:color w:val="424242"/>
          <w:spacing w:val="-5"/>
          <w:w w:val="105"/>
        </w:rPr>
        <w:t>amounts</w:t>
      </w:r>
      <w:r>
        <w:rPr>
          <w:rFonts w:ascii="Times New Roman" w:hAnsi="Times New Roman"/>
          <w:color w:val="5D5D5D"/>
          <w:spacing w:val="-5"/>
          <w:w w:val="105"/>
        </w:rPr>
        <w:t>,</w:t>
      </w:r>
      <w:r>
        <w:rPr>
          <w:rFonts w:ascii="Times New Roman" w:hAnsi="Times New Roman"/>
          <w:color w:val="5D5D5D"/>
          <w:spacing w:val="12"/>
          <w:w w:val="105"/>
        </w:rPr>
        <w:t> </w:t>
      </w:r>
      <w:r>
        <w:rPr>
          <w:rFonts w:ascii="Times New Roman" w:hAnsi="Times New Roman"/>
          <w:color w:val="333333"/>
          <w:w w:val="105"/>
        </w:rPr>
        <w:t>the</w:t>
      </w:r>
      <w:r>
        <w:rPr>
          <w:rFonts w:ascii="Times New Roman" w:hAnsi="Times New Roman"/>
          <w:color w:val="333333"/>
          <w:spacing w:val="-5"/>
          <w:w w:val="105"/>
        </w:rPr>
        <w:t> </w:t>
      </w:r>
      <w:r>
        <w:rPr>
          <w:rFonts w:ascii="Times New Roman" w:hAnsi="Times New Roman"/>
          <w:color w:val="424242"/>
          <w:w w:val="105"/>
        </w:rPr>
        <w:t>balance</w:t>
      </w:r>
      <w:r>
        <w:rPr>
          <w:rFonts w:ascii="Times New Roman" w:hAnsi="Times New Roman"/>
          <w:color w:val="424242"/>
          <w:spacing w:val="-20"/>
          <w:w w:val="105"/>
        </w:rPr>
        <w:t> </w:t>
      </w:r>
      <w:r>
        <w:rPr>
          <w:rFonts w:ascii="Times New Roman" w:hAnsi="Times New Roman"/>
          <w:color w:val="424242"/>
          <w:w w:val="105"/>
        </w:rPr>
        <w:t>of</w:t>
      </w:r>
      <w:r>
        <w:rPr>
          <w:rFonts w:ascii="Times New Roman" w:hAnsi="Times New Roman"/>
          <w:color w:val="424242"/>
          <w:spacing w:val="16"/>
          <w:w w:val="105"/>
        </w:rPr>
        <w:t> </w:t>
      </w:r>
      <w:r>
        <w:rPr>
          <w:rFonts w:ascii="Times New Roman" w:hAnsi="Times New Roman"/>
          <w:color w:val="424242"/>
          <w:w w:val="105"/>
        </w:rPr>
        <w:t>unrestricted</w:t>
      </w:r>
      <w:r>
        <w:rPr>
          <w:rFonts w:ascii="Times New Roman" w:hAnsi="Times New Roman"/>
          <w:color w:val="424242"/>
          <w:spacing w:val="6"/>
          <w:w w:val="105"/>
        </w:rPr>
        <w:t> </w:t>
      </w:r>
      <w:r>
        <w:rPr>
          <w:rFonts w:ascii="Times New Roman" w:hAnsi="Times New Roman"/>
          <w:color w:val="424242"/>
          <w:w w:val="105"/>
        </w:rPr>
        <w:t>fund</w:t>
      </w:r>
      <w:r>
        <w:rPr>
          <w:rFonts w:ascii="Times New Roman" w:hAnsi="Times New Roman"/>
          <w:color w:val="424242"/>
          <w:spacing w:val="4"/>
          <w:w w:val="105"/>
        </w:rPr>
        <w:t> </w:t>
      </w:r>
      <w:r>
        <w:rPr>
          <w:rFonts w:ascii="Times New Roman" w:hAnsi="Times New Roman"/>
          <w:color w:val="424242"/>
          <w:w w:val="105"/>
        </w:rPr>
        <w:t>assets</w:t>
      </w:r>
      <w:r>
        <w:rPr>
          <w:rFonts w:ascii="Times New Roman" w:hAnsi="Times New Roman"/>
          <w:color w:val="424242"/>
          <w:spacing w:val="-9"/>
          <w:w w:val="105"/>
        </w:rPr>
        <w:t> </w:t>
      </w:r>
      <w:r>
        <w:rPr>
          <w:rFonts w:ascii="Times New Roman" w:hAnsi="Times New Roman"/>
          <w:color w:val="333333"/>
          <w:w w:val="105"/>
        </w:rPr>
        <w:t>readily</w:t>
      </w:r>
      <w:r>
        <w:rPr>
          <w:rFonts w:ascii="Times New Roman" w:hAnsi="Times New Roman"/>
          <w:color w:val="333333"/>
          <w:spacing w:val="9"/>
          <w:w w:val="105"/>
        </w:rPr>
        <w:t> </w:t>
      </w:r>
      <w:r>
        <w:rPr>
          <w:rFonts w:ascii="Times New Roman" w:hAnsi="Times New Roman"/>
          <w:color w:val="424242"/>
          <w:w w:val="105"/>
        </w:rPr>
        <w:t>available</w:t>
      </w:r>
      <w:r>
        <w:rPr>
          <w:rFonts w:ascii="Times New Roman" w:hAnsi="Times New Roman"/>
          <w:color w:val="424242"/>
          <w:spacing w:val="-1"/>
          <w:w w:val="105"/>
        </w:rPr>
        <w:t> </w:t>
      </w:r>
      <w:r>
        <w:rPr>
          <w:rFonts w:ascii="Times New Roman" w:hAnsi="Times New Roman"/>
          <w:color w:val="424242"/>
          <w:spacing w:val="-5"/>
          <w:w w:val="105"/>
        </w:rPr>
        <w:t>i</w:t>
      </w:r>
      <w:r>
        <w:rPr>
          <w:rFonts w:ascii="Times New Roman" w:hAnsi="Times New Roman"/>
          <w:color w:val="5D5D5D"/>
          <w:spacing w:val="-5"/>
          <w:w w:val="105"/>
        </w:rPr>
        <w:t>s</w:t>
      </w:r>
    </w:p>
    <w:p>
      <w:pPr>
        <w:pStyle w:val="BodyText"/>
        <w:spacing w:line="203" w:lineRule="exact"/>
        <w:ind w:left="996"/>
        <w:rPr>
          <w:rFonts w:ascii="Times New Roman" w:hAnsi="Times New Roman"/>
        </w:rPr>
      </w:pPr>
      <w:r>
        <w:rPr>
          <w:rFonts w:ascii="Times New Roman" w:hAnsi="Times New Roman"/>
          <w:color w:val="424242"/>
          <w:w w:val="110"/>
        </w:rPr>
        <w:t>£5,44l k</w:t>
      </w:r>
      <w:r>
        <w:rPr>
          <w:rFonts w:ascii="Times New Roman" w:hAnsi="Times New Roman"/>
          <w:color w:val="1C1C1C"/>
          <w:w w:val="110"/>
        </w:rPr>
        <w:t>. </w:t>
      </w:r>
      <w:r>
        <w:rPr>
          <w:rFonts w:ascii="Times New Roman" w:hAnsi="Times New Roman"/>
          <w:color w:val="424242"/>
          <w:w w:val="110"/>
        </w:rPr>
        <w:t>This </w:t>
      </w:r>
      <w:r>
        <w:rPr>
          <w:rFonts w:ascii="Times New Roman" w:hAnsi="Times New Roman"/>
          <w:color w:val="1C1C1C"/>
          <w:w w:val="110"/>
        </w:rPr>
        <w:t>re</w:t>
      </w:r>
      <w:r>
        <w:rPr>
          <w:rFonts w:ascii="Times New Roman" w:hAnsi="Times New Roman"/>
          <w:color w:val="424242"/>
          <w:w w:val="110"/>
        </w:rPr>
        <w:t>presents </w:t>
      </w:r>
      <w:r>
        <w:rPr>
          <w:rFonts w:ascii="Times New Roman" w:hAnsi="Times New Roman"/>
          <w:color w:val="333333"/>
          <w:w w:val="110"/>
        </w:rPr>
        <w:t>almost three months </w:t>
      </w:r>
      <w:r>
        <w:rPr>
          <w:rFonts w:ascii="Times New Roman" w:hAnsi="Times New Roman"/>
          <w:color w:val="424242"/>
          <w:w w:val="110"/>
        </w:rPr>
        <w:t>of unrestricted fund </w:t>
      </w:r>
      <w:r>
        <w:rPr>
          <w:rFonts w:ascii="Times New Roman" w:hAnsi="Times New Roman"/>
          <w:color w:val="333333"/>
          <w:w w:val="110"/>
        </w:rPr>
        <w:t>expenditure.</w:t>
      </w:r>
    </w:p>
    <w:p>
      <w:pPr>
        <w:pStyle w:val="BodyText"/>
        <w:spacing w:line="256" w:lineRule="auto" w:before="15"/>
        <w:ind w:left="1000" w:right="940" w:hanging="4"/>
        <w:rPr>
          <w:rFonts w:ascii="Times New Roman"/>
        </w:rPr>
      </w:pPr>
      <w:r>
        <w:rPr>
          <w:rFonts w:ascii="Times New Roman"/>
          <w:color w:val="424242"/>
          <w:w w:val="105"/>
        </w:rPr>
        <w:t>The Finance Committee, which </w:t>
      </w:r>
      <w:r>
        <w:rPr>
          <w:rFonts w:ascii="Times New Roman"/>
          <w:color w:val="333333"/>
          <w:w w:val="105"/>
        </w:rPr>
        <w:t>reviews the policy </w:t>
      </w:r>
      <w:r>
        <w:rPr>
          <w:rFonts w:ascii="Times New Roman"/>
          <w:color w:val="424242"/>
          <w:w w:val="105"/>
        </w:rPr>
        <w:t>annually, </w:t>
      </w:r>
      <w:r>
        <w:rPr>
          <w:rFonts w:ascii="Times New Roman"/>
          <w:color w:val="333333"/>
          <w:w w:val="105"/>
        </w:rPr>
        <w:t>considers </w:t>
      </w:r>
      <w:r>
        <w:rPr>
          <w:rFonts w:ascii="Times New Roman"/>
          <w:color w:val="424242"/>
          <w:w w:val="105"/>
        </w:rPr>
        <w:t>that </w:t>
      </w:r>
      <w:r>
        <w:rPr>
          <w:rFonts w:ascii="Times New Roman"/>
          <w:color w:val="333333"/>
          <w:w w:val="105"/>
        </w:rPr>
        <w:t>readily </w:t>
      </w:r>
      <w:r>
        <w:rPr>
          <w:rFonts w:ascii="Times New Roman"/>
          <w:color w:val="424242"/>
          <w:w w:val="105"/>
        </w:rPr>
        <w:t>available reserves of </w:t>
      </w:r>
      <w:r>
        <w:rPr>
          <w:rFonts w:ascii="Times New Roman"/>
          <w:color w:val="333333"/>
          <w:w w:val="105"/>
        </w:rPr>
        <w:t>about three </w:t>
      </w:r>
      <w:r>
        <w:rPr>
          <w:rFonts w:ascii="Times New Roman"/>
          <w:color w:val="424242"/>
          <w:w w:val="105"/>
        </w:rPr>
        <w:t>months of </w:t>
      </w:r>
      <w:r>
        <w:rPr>
          <w:rFonts w:ascii="Times New Roman"/>
          <w:color w:val="333333"/>
          <w:w w:val="105"/>
        </w:rPr>
        <w:t>unrestricted </w:t>
      </w:r>
      <w:r>
        <w:rPr>
          <w:rFonts w:ascii="Times New Roman"/>
          <w:color w:val="424242"/>
          <w:w w:val="105"/>
        </w:rPr>
        <w:t>fund expenditure are adequate to support the Church's ongoing act</w:t>
      </w:r>
      <w:r>
        <w:rPr>
          <w:rFonts w:ascii="Times New Roman"/>
          <w:color w:val="1C1C1C"/>
          <w:w w:val="105"/>
        </w:rPr>
        <w:t>i</w:t>
      </w:r>
      <w:r>
        <w:rPr>
          <w:rFonts w:ascii="Times New Roman"/>
          <w:color w:val="424242"/>
          <w:w w:val="105"/>
        </w:rPr>
        <w:t>vities</w:t>
      </w:r>
      <w:r>
        <w:rPr>
          <w:rFonts w:ascii="Times New Roman"/>
          <w:color w:val="1C1C1C"/>
          <w:w w:val="105"/>
        </w:rPr>
        <w:t>.</w:t>
      </w:r>
    </w:p>
    <w:p>
      <w:pPr>
        <w:pStyle w:val="BodyText"/>
        <w:spacing w:before="2"/>
        <w:rPr>
          <w:rFonts w:ascii="Times New Roman"/>
          <w:sz w:val="19"/>
        </w:rPr>
      </w:pPr>
    </w:p>
    <w:p>
      <w:pPr>
        <w:spacing w:before="0"/>
        <w:ind w:left="1008" w:right="0" w:firstLine="0"/>
        <w:jc w:val="both"/>
        <w:rPr>
          <w:rFonts w:ascii="Times New Roman"/>
          <w:b/>
          <w:sz w:val="18"/>
        </w:rPr>
      </w:pPr>
      <w:r>
        <w:rPr>
          <w:rFonts w:ascii="Times New Roman"/>
          <w:b/>
          <w:color w:val="1C1C1C"/>
          <w:w w:val="105"/>
          <w:sz w:val="18"/>
        </w:rPr>
        <w:t>Investment Policy</w:t>
      </w:r>
    </w:p>
    <w:p>
      <w:pPr>
        <w:pStyle w:val="BodyText"/>
        <w:spacing w:line="254" w:lineRule="auto" w:before="24"/>
        <w:ind w:left="993" w:right="905" w:firstLine="3"/>
        <w:jc w:val="both"/>
        <w:rPr>
          <w:rFonts w:ascii="Times New Roman"/>
        </w:rPr>
      </w:pPr>
      <w:r>
        <w:rPr>
          <w:rFonts w:ascii="Times New Roman"/>
          <w:color w:val="424242"/>
          <w:w w:val="105"/>
        </w:rPr>
        <w:t>The </w:t>
      </w:r>
      <w:r>
        <w:rPr>
          <w:rFonts w:ascii="Times New Roman"/>
          <w:color w:val="333333"/>
          <w:w w:val="105"/>
        </w:rPr>
        <w:t>United </w:t>
      </w:r>
      <w:r>
        <w:rPr>
          <w:rFonts w:ascii="Times New Roman"/>
          <w:color w:val="424242"/>
          <w:w w:val="105"/>
        </w:rPr>
        <w:t>Reformed Church </w:t>
      </w:r>
      <w:r>
        <w:rPr>
          <w:rFonts w:ascii="Times New Roman"/>
          <w:color w:val="333333"/>
          <w:w w:val="105"/>
        </w:rPr>
        <w:t>Trust </w:t>
      </w:r>
      <w:r>
        <w:rPr>
          <w:rFonts w:ascii="Times New Roman"/>
          <w:color w:val="424242"/>
          <w:w w:val="105"/>
        </w:rPr>
        <w:t>acts as </w:t>
      </w:r>
      <w:r>
        <w:rPr>
          <w:rFonts w:ascii="Times New Roman"/>
          <w:color w:val="333333"/>
          <w:w w:val="105"/>
        </w:rPr>
        <w:t>corporate </w:t>
      </w:r>
      <w:r>
        <w:rPr>
          <w:rFonts w:ascii="Times New Roman"/>
          <w:color w:val="424242"/>
          <w:w w:val="105"/>
        </w:rPr>
        <w:t>trustee and agent for </w:t>
      </w:r>
      <w:r>
        <w:rPr>
          <w:rFonts w:ascii="Times New Roman"/>
          <w:color w:val="333333"/>
          <w:w w:val="105"/>
        </w:rPr>
        <w:t>the </w:t>
      </w:r>
      <w:r>
        <w:rPr>
          <w:rFonts w:ascii="Times New Roman"/>
          <w:color w:val="5D5D5D"/>
          <w:w w:val="105"/>
        </w:rPr>
        <w:t>U</w:t>
      </w:r>
      <w:r>
        <w:rPr>
          <w:rFonts w:ascii="Times New Roman"/>
          <w:color w:val="424242"/>
          <w:w w:val="105"/>
        </w:rPr>
        <w:t>nited Reformed </w:t>
      </w:r>
      <w:r>
        <w:rPr>
          <w:rFonts w:ascii="Times New Roman"/>
          <w:color w:val="333333"/>
          <w:w w:val="105"/>
        </w:rPr>
        <w:t>Church </w:t>
      </w:r>
      <w:r>
        <w:rPr>
          <w:rFonts w:ascii="Times New Roman"/>
          <w:color w:val="424242"/>
          <w:w w:val="105"/>
        </w:rPr>
        <w:t>by holding </w:t>
      </w:r>
      <w:r>
        <w:rPr>
          <w:rFonts w:ascii="Times New Roman"/>
          <w:color w:val="333333"/>
          <w:w w:val="105"/>
        </w:rPr>
        <w:t>certain </w:t>
      </w:r>
      <w:r>
        <w:rPr>
          <w:rFonts w:ascii="Times New Roman"/>
          <w:color w:val="424242"/>
          <w:w w:val="105"/>
        </w:rPr>
        <w:t>properties and assets as </w:t>
      </w:r>
      <w:r>
        <w:rPr>
          <w:rFonts w:ascii="Times New Roman"/>
          <w:color w:val="1C1C1C"/>
          <w:w w:val="105"/>
        </w:rPr>
        <w:t>it</w:t>
      </w:r>
      <w:r>
        <w:rPr>
          <w:rFonts w:ascii="Times New Roman"/>
          <w:color w:val="424242"/>
          <w:w w:val="105"/>
        </w:rPr>
        <w:t>s nominee and handling </w:t>
      </w:r>
      <w:r>
        <w:rPr>
          <w:rFonts w:ascii="Times New Roman"/>
          <w:color w:val="333333"/>
          <w:w w:val="105"/>
        </w:rPr>
        <w:t>its </w:t>
      </w:r>
      <w:r>
        <w:rPr>
          <w:rFonts w:ascii="Times New Roman"/>
          <w:color w:val="424242"/>
          <w:w w:val="105"/>
        </w:rPr>
        <w:t>income and expenditure. The powers o</w:t>
      </w:r>
      <w:r>
        <w:rPr>
          <w:rFonts w:ascii="Times New Roman"/>
          <w:color w:val="5D5D5D"/>
          <w:w w:val="105"/>
        </w:rPr>
        <w:t>f </w:t>
      </w:r>
      <w:r>
        <w:rPr>
          <w:rFonts w:ascii="Times New Roman"/>
          <w:color w:val="333333"/>
          <w:w w:val="105"/>
        </w:rPr>
        <w:t>investment are </w:t>
      </w:r>
      <w:r>
        <w:rPr>
          <w:rFonts w:ascii="Times New Roman"/>
          <w:color w:val="424242"/>
          <w:w w:val="105"/>
        </w:rPr>
        <w:t>given under </w:t>
      </w:r>
      <w:r>
        <w:rPr>
          <w:rFonts w:ascii="Times New Roman"/>
          <w:color w:val="333333"/>
          <w:w w:val="105"/>
        </w:rPr>
        <w:t>the memorandum </w:t>
      </w:r>
      <w:r>
        <w:rPr>
          <w:rFonts w:ascii="Times New Roman"/>
          <w:color w:val="424242"/>
          <w:w w:val="105"/>
        </w:rPr>
        <w:t>and articles o</w:t>
      </w:r>
      <w:r>
        <w:rPr>
          <w:rFonts w:ascii="Times New Roman"/>
          <w:color w:val="5D5D5D"/>
          <w:w w:val="105"/>
        </w:rPr>
        <w:t>f </w:t>
      </w:r>
      <w:r>
        <w:rPr>
          <w:rFonts w:ascii="Times New Roman"/>
          <w:color w:val="424242"/>
          <w:w w:val="105"/>
        </w:rPr>
        <w:t>association of </w:t>
      </w:r>
      <w:r>
        <w:rPr>
          <w:rFonts w:ascii="Times New Roman"/>
          <w:color w:val="333333"/>
          <w:w w:val="105"/>
        </w:rPr>
        <w:t>the </w:t>
      </w:r>
      <w:r>
        <w:rPr>
          <w:rFonts w:ascii="Times New Roman"/>
          <w:color w:val="424242"/>
          <w:w w:val="105"/>
        </w:rPr>
        <w:t>trustee </w:t>
      </w:r>
      <w:r>
        <w:rPr>
          <w:rFonts w:ascii="Times New Roman"/>
          <w:color w:val="333333"/>
          <w:w w:val="105"/>
        </w:rPr>
        <w:t>company</w:t>
      </w:r>
      <w:r>
        <w:rPr>
          <w:rFonts w:ascii="Times New Roman"/>
          <w:color w:val="5D5D5D"/>
          <w:w w:val="105"/>
        </w:rPr>
        <w:t>. </w:t>
      </w:r>
      <w:r>
        <w:rPr>
          <w:rFonts w:ascii="Times New Roman"/>
          <w:color w:val="333333"/>
          <w:w w:val="105"/>
        </w:rPr>
        <w:t>The </w:t>
      </w:r>
      <w:r>
        <w:rPr>
          <w:rFonts w:ascii="Times New Roman"/>
          <w:color w:val="424242"/>
          <w:w w:val="105"/>
        </w:rPr>
        <w:t>Investment </w:t>
      </w:r>
      <w:r>
        <w:rPr>
          <w:rFonts w:ascii="Times New Roman"/>
          <w:color w:val="333333"/>
          <w:w w:val="105"/>
        </w:rPr>
        <w:t>Sub-committee </w:t>
      </w:r>
      <w:r>
        <w:rPr>
          <w:rFonts w:ascii="Times New Roman"/>
          <w:color w:val="424242"/>
          <w:w w:val="105"/>
        </w:rPr>
        <w:t>of </w:t>
      </w:r>
      <w:r>
        <w:rPr>
          <w:rFonts w:ascii="Times New Roman"/>
          <w:color w:val="333333"/>
          <w:w w:val="105"/>
        </w:rPr>
        <w:t>the Trustee keeps </w:t>
      </w:r>
      <w:r>
        <w:rPr>
          <w:rFonts w:ascii="Times New Roman"/>
          <w:color w:val="424242"/>
          <w:w w:val="105"/>
        </w:rPr>
        <w:t>under </w:t>
      </w:r>
      <w:r>
        <w:rPr>
          <w:rFonts w:ascii="Times New Roman"/>
          <w:color w:val="333333"/>
          <w:w w:val="105"/>
        </w:rPr>
        <w:t>review </w:t>
      </w:r>
      <w:r>
        <w:rPr>
          <w:rFonts w:ascii="Times New Roman"/>
          <w:color w:val="424242"/>
          <w:w w:val="105"/>
        </w:rPr>
        <w:t>our investment </w:t>
      </w:r>
      <w:r>
        <w:rPr>
          <w:rFonts w:ascii="Times New Roman"/>
          <w:color w:val="333333"/>
          <w:w w:val="105"/>
        </w:rPr>
        <w:t>policy </w:t>
      </w:r>
      <w:r>
        <w:rPr>
          <w:rFonts w:ascii="Times New Roman"/>
          <w:color w:val="424242"/>
          <w:w w:val="105"/>
        </w:rPr>
        <w:t>and monitors the performance of our fund managers. </w:t>
      </w:r>
      <w:r>
        <w:rPr>
          <w:rFonts w:ascii="Times New Roman"/>
          <w:color w:val="333333"/>
          <w:w w:val="105"/>
        </w:rPr>
        <w:t>As </w:t>
      </w:r>
      <w:r>
        <w:rPr>
          <w:rFonts w:ascii="Times New Roman"/>
          <w:color w:val="424242"/>
          <w:w w:val="105"/>
        </w:rPr>
        <w:t>a </w:t>
      </w:r>
      <w:r>
        <w:rPr>
          <w:rFonts w:ascii="Times New Roman"/>
          <w:color w:val="333333"/>
          <w:w w:val="105"/>
        </w:rPr>
        <w:t>result </w:t>
      </w:r>
      <w:r>
        <w:rPr>
          <w:rFonts w:ascii="Times New Roman"/>
          <w:color w:val="424242"/>
          <w:w w:val="105"/>
        </w:rPr>
        <w:t>it was </w:t>
      </w:r>
      <w:r>
        <w:rPr>
          <w:rFonts w:ascii="Times New Roman"/>
          <w:color w:val="333333"/>
          <w:w w:val="105"/>
        </w:rPr>
        <w:t>decided </w:t>
      </w:r>
      <w:r>
        <w:rPr>
          <w:rFonts w:ascii="Times New Roman"/>
          <w:color w:val="424242"/>
          <w:w w:val="105"/>
        </w:rPr>
        <w:t>to share our </w:t>
      </w:r>
      <w:r>
        <w:rPr>
          <w:rFonts w:ascii="Times New Roman"/>
          <w:color w:val="333333"/>
          <w:w w:val="105"/>
        </w:rPr>
        <w:t>investments </w:t>
      </w:r>
      <w:r>
        <w:rPr>
          <w:rFonts w:ascii="Times New Roman"/>
          <w:color w:val="424242"/>
          <w:w w:val="105"/>
        </w:rPr>
        <w:t>between COIF </w:t>
      </w:r>
      <w:r>
        <w:rPr>
          <w:rFonts w:ascii="Times New Roman"/>
          <w:color w:val="333333"/>
          <w:w w:val="105"/>
        </w:rPr>
        <w:t>Charity </w:t>
      </w:r>
      <w:r>
        <w:rPr>
          <w:rFonts w:ascii="Times New Roman"/>
          <w:color w:val="424242"/>
          <w:w w:val="105"/>
        </w:rPr>
        <w:t>Funds and M </w:t>
      </w:r>
      <w:r>
        <w:rPr>
          <w:rFonts w:ascii="Times New Roman"/>
          <w:color w:val="333333"/>
          <w:w w:val="105"/>
          <w:sz w:val="19"/>
        </w:rPr>
        <w:t>&amp; </w:t>
      </w:r>
      <w:r>
        <w:rPr>
          <w:rFonts w:ascii="Times New Roman"/>
          <w:color w:val="424242"/>
          <w:w w:val="105"/>
        </w:rPr>
        <w:t>G's </w:t>
      </w:r>
      <w:r>
        <w:rPr>
          <w:rFonts w:ascii="Times New Roman"/>
          <w:color w:val="333333"/>
          <w:w w:val="105"/>
        </w:rPr>
        <w:t>Charifund, </w:t>
      </w:r>
      <w:r>
        <w:rPr>
          <w:rFonts w:ascii="Times New Roman"/>
          <w:color w:val="424242"/>
          <w:w w:val="105"/>
        </w:rPr>
        <w:t>and </w:t>
      </w:r>
      <w:r>
        <w:rPr>
          <w:rFonts w:ascii="Times New Roman"/>
          <w:color w:val="333333"/>
          <w:w w:val="105"/>
        </w:rPr>
        <w:t>adjustments </w:t>
      </w:r>
      <w:r>
        <w:rPr>
          <w:rFonts w:ascii="Times New Roman"/>
          <w:color w:val="424242"/>
          <w:w w:val="105"/>
        </w:rPr>
        <w:t>were made at </w:t>
      </w:r>
      <w:r>
        <w:rPr>
          <w:rFonts w:ascii="Times New Roman"/>
          <w:color w:val="333333"/>
          <w:w w:val="105"/>
        </w:rPr>
        <w:t>the </w:t>
      </w:r>
      <w:r>
        <w:rPr>
          <w:rFonts w:ascii="Times New Roman"/>
          <w:color w:val="424242"/>
          <w:w w:val="105"/>
        </w:rPr>
        <w:t>start of 2006. The first year since the change has </w:t>
      </w:r>
      <w:r>
        <w:rPr>
          <w:rFonts w:ascii="Times New Roman"/>
          <w:color w:val="333333"/>
          <w:w w:val="105"/>
        </w:rPr>
        <w:t>produced </w:t>
      </w:r>
      <w:r>
        <w:rPr>
          <w:rFonts w:ascii="Times New Roman"/>
          <w:color w:val="424242"/>
          <w:w w:val="105"/>
        </w:rPr>
        <w:t>a very satisfactory result, both in cap</w:t>
      </w:r>
      <w:r>
        <w:rPr>
          <w:rFonts w:ascii="Times New Roman"/>
          <w:color w:val="1C1C1C"/>
          <w:w w:val="105"/>
        </w:rPr>
        <w:t>it</w:t>
      </w:r>
      <w:r>
        <w:rPr>
          <w:rFonts w:ascii="Times New Roman"/>
          <w:color w:val="424242"/>
          <w:w w:val="105"/>
        </w:rPr>
        <w:t>a</w:t>
      </w:r>
      <w:r>
        <w:rPr>
          <w:rFonts w:ascii="Times New Roman"/>
          <w:color w:val="1C1C1C"/>
          <w:w w:val="105"/>
        </w:rPr>
        <w:t>l </w:t>
      </w:r>
      <w:r>
        <w:rPr>
          <w:rFonts w:ascii="Times New Roman"/>
          <w:color w:val="424242"/>
          <w:w w:val="105"/>
        </w:rPr>
        <w:t>growth and an increased income for those of our funds whose expenditure commitments are greatest.</w:t>
      </w:r>
    </w:p>
    <w:p>
      <w:pPr>
        <w:pStyle w:val="BodyText"/>
        <w:spacing w:before="4"/>
        <w:rPr>
          <w:rFonts w:ascii="Times New Roman"/>
          <w:sz w:val="20"/>
        </w:rPr>
      </w:pPr>
    </w:p>
    <w:p>
      <w:pPr>
        <w:spacing w:before="0"/>
        <w:ind w:left="997" w:right="0" w:firstLine="0"/>
        <w:jc w:val="both"/>
        <w:rPr>
          <w:rFonts w:ascii="Times New Roman"/>
          <w:b/>
          <w:sz w:val="18"/>
        </w:rPr>
      </w:pPr>
      <w:r>
        <w:rPr>
          <w:rFonts w:ascii="Times New Roman"/>
          <w:b/>
          <w:color w:val="1C1C1C"/>
          <w:w w:val="105"/>
          <w:sz w:val="18"/>
        </w:rPr>
        <w:t>2006 </w:t>
      </w:r>
      <w:r>
        <w:rPr>
          <w:rFonts w:ascii="Times New Roman"/>
          <w:b/>
          <w:color w:val="333333"/>
          <w:w w:val="105"/>
          <w:sz w:val="18"/>
        </w:rPr>
        <w:t>Financia</w:t>
      </w:r>
      <w:r>
        <w:rPr>
          <w:rFonts w:ascii="Times New Roman"/>
          <w:b/>
          <w:color w:val="030303"/>
          <w:w w:val="105"/>
          <w:sz w:val="18"/>
        </w:rPr>
        <w:t>l </w:t>
      </w:r>
      <w:r>
        <w:rPr>
          <w:rFonts w:ascii="Times New Roman"/>
          <w:b/>
          <w:color w:val="1C1C1C"/>
          <w:w w:val="105"/>
          <w:sz w:val="18"/>
        </w:rPr>
        <w:t>Re</w:t>
      </w:r>
      <w:r>
        <w:rPr>
          <w:rFonts w:ascii="Times New Roman"/>
          <w:b/>
          <w:color w:val="424242"/>
          <w:w w:val="105"/>
          <w:sz w:val="18"/>
        </w:rPr>
        <w:t>s</w:t>
      </w:r>
      <w:r>
        <w:rPr>
          <w:rFonts w:ascii="Times New Roman"/>
          <w:b/>
          <w:color w:val="1C1C1C"/>
          <w:w w:val="105"/>
          <w:sz w:val="18"/>
        </w:rPr>
        <w:t>ults</w:t>
      </w:r>
    </w:p>
    <w:p>
      <w:pPr>
        <w:pStyle w:val="BodyText"/>
        <w:spacing w:line="249" w:lineRule="auto" w:before="5"/>
        <w:ind w:left="990" w:right="905" w:hanging="4"/>
        <w:jc w:val="both"/>
        <w:rPr>
          <w:rFonts w:ascii="Times New Roman" w:hAnsi="Times New Roman"/>
        </w:rPr>
      </w:pPr>
      <w:r>
        <w:rPr>
          <w:rFonts w:ascii="Times New Roman" w:hAnsi="Times New Roman"/>
          <w:color w:val="424242"/>
          <w:w w:val="105"/>
        </w:rPr>
        <w:t>The results for </w:t>
      </w:r>
      <w:r>
        <w:rPr>
          <w:rFonts w:ascii="Times New Roman" w:hAnsi="Times New Roman"/>
          <w:color w:val="333333"/>
          <w:w w:val="105"/>
        </w:rPr>
        <w:t>2006 </w:t>
      </w:r>
      <w:r>
        <w:rPr>
          <w:rFonts w:ascii="Times New Roman" w:hAnsi="Times New Roman"/>
          <w:color w:val="424242"/>
          <w:w w:val="105"/>
        </w:rPr>
        <w:t>are set out in </w:t>
      </w:r>
      <w:r>
        <w:rPr>
          <w:rFonts w:ascii="Times New Roman" w:hAnsi="Times New Roman"/>
          <w:color w:val="333333"/>
          <w:w w:val="105"/>
        </w:rPr>
        <w:t>more </w:t>
      </w:r>
      <w:r>
        <w:rPr>
          <w:rFonts w:ascii="Times New Roman" w:hAnsi="Times New Roman"/>
          <w:color w:val="424242"/>
          <w:w w:val="105"/>
        </w:rPr>
        <w:t>detail in the Statement of Financ</w:t>
      </w:r>
      <w:r>
        <w:rPr>
          <w:rFonts w:ascii="Times New Roman" w:hAnsi="Times New Roman"/>
          <w:color w:val="1C1C1C"/>
          <w:w w:val="105"/>
        </w:rPr>
        <w:t>ial </w:t>
      </w:r>
      <w:r>
        <w:rPr>
          <w:rFonts w:ascii="Times New Roman" w:hAnsi="Times New Roman"/>
          <w:color w:val="424242"/>
          <w:w w:val="105"/>
        </w:rPr>
        <w:t>Activit</w:t>
      </w:r>
      <w:r>
        <w:rPr>
          <w:rFonts w:ascii="Times New Roman" w:hAnsi="Times New Roman"/>
          <w:color w:val="5D5D5D"/>
          <w:w w:val="105"/>
        </w:rPr>
        <w:t>i</w:t>
      </w:r>
      <w:r>
        <w:rPr>
          <w:rFonts w:ascii="Times New Roman" w:hAnsi="Times New Roman"/>
          <w:color w:val="424242"/>
          <w:w w:val="105"/>
        </w:rPr>
        <w:t>es on </w:t>
      </w:r>
      <w:r>
        <w:rPr>
          <w:rFonts w:ascii="Times New Roman" w:hAnsi="Times New Roman"/>
          <w:color w:val="333333"/>
          <w:w w:val="105"/>
        </w:rPr>
        <w:t>page </w:t>
      </w:r>
      <w:r>
        <w:rPr>
          <w:rFonts w:ascii="Times New Roman" w:hAnsi="Times New Roman"/>
          <w:color w:val="1C1C1C"/>
          <w:w w:val="105"/>
        </w:rPr>
        <w:t>1</w:t>
      </w:r>
      <w:r>
        <w:rPr>
          <w:rFonts w:ascii="Times New Roman" w:hAnsi="Times New Roman"/>
          <w:color w:val="424242"/>
          <w:w w:val="105"/>
        </w:rPr>
        <w:t>0. This shows </w:t>
      </w:r>
      <w:r>
        <w:rPr>
          <w:rFonts w:ascii="Times New Roman" w:hAnsi="Times New Roman"/>
          <w:color w:val="333333"/>
          <w:w w:val="105"/>
        </w:rPr>
        <w:t>that there </w:t>
      </w:r>
      <w:r>
        <w:rPr>
          <w:rFonts w:ascii="Times New Roman" w:hAnsi="Times New Roman"/>
          <w:color w:val="424242"/>
          <w:w w:val="105"/>
        </w:rPr>
        <w:t>was, overall, an increase </w:t>
      </w:r>
      <w:r>
        <w:rPr>
          <w:rFonts w:ascii="Times New Roman" w:hAnsi="Times New Roman"/>
          <w:color w:val="424242"/>
          <w:w w:val="105"/>
          <w:sz w:val="19"/>
        </w:rPr>
        <w:t>in </w:t>
      </w:r>
      <w:r>
        <w:rPr>
          <w:rFonts w:ascii="Times New Roman" w:hAnsi="Times New Roman"/>
          <w:color w:val="424242"/>
          <w:w w:val="105"/>
        </w:rPr>
        <w:t>funds </w:t>
      </w:r>
      <w:r>
        <w:rPr>
          <w:rFonts w:ascii="Times New Roman" w:hAnsi="Times New Roman"/>
          <w:color w:val="424242"/>
          <w:w w:val="105"/>
          <w:sz w:val="17"/>
        </w:rPr>
        <w:t>in </w:t>
      </w:r>
      <w:r>
        <w:rPr>
          <w:rFonts w:ascii="Times New Roman" w:hAnsi="Times New Roman"/>
          <w:color w:val="424242"/>
          <w:w w:val="105"/>
        </w:rPr>
        <w:t>the year of </w:t>
      </w:r>
      <w:r>
        <w:rPr>
          <w:rFonts w:ascii="Times New Roman" w:hAnsi="Times New Roman"/>
          <w:color w:val="333333"/>
          <w:w w:val="105"/>
        </w:rPr>
        <w:t>£3</w:t>
      </w:r>
      <w:r>
        <w:rPr>
          <w:rFonts w:ascii="Times New Roman" w:hAnsi="Times New Roman"/>
          <w:color w:val="5D5D5D"/>
          <w:w w:val="105"/>
        </w:rPr>
        <w:t>,</w:t>
      </w:r>
      <w:r>
        <w:rPr>
          <w:rFonts w:ascii="Times New Roman" w:hAnsi="Times New Roman"/>
          <w:color w:val="424242"/>
          <w:w w:val="105"/>
        </w:rPr>
        <w:t>432k. The following table s</w:t>
      </w:r>
      <w:r>
        <w:rPr>
          <w:rFonts w:ascii="Times New Roman" w:hAnsi="Times New Roman"/>
          <w:color w:val="5D5D5D"/>
          <w:w w:val="105"/>
        </w:rPr>
        <w:t>h</w:t>
      </w:r>
      <w:r>
        <w:rPr>
          <w:rFonts w:ascii="Times New Roman" w:hAnsi="Times New Roman"/>
          <w:color w:val="424242"/>
          <w:w w:val="105"/>
        </w:rPr>
        <w:t>ows the breakdown of this increase compared w</w:t>
      </w:r>
      <w:r>
        <w:rPr>
          <w:rFonts w:ascii="Times New Roman" w:hAnsi="Times New Roman"/>
          <w:color w:val="1C1C1C"/>
          <w:w w:val="105"/>
        </w:rPr>
        <w:t>ith </w:t>
      </w:r>
      <w:r>
        <w:rPr>
          <w:rFonts w:ascii="Times New Roman" w:hAnsi="Times New Roman"/>
          <w:color w:val="333333"/>
          <w:w w:val="105"/>
        </w:rPr>
        <w:t>the increase </w:t>
      </w:r>
      <w:r>
        <w:rPr>
          <w:rFonts w:ascii="Times New Roman" w:hAnsi="Times New Roman"/>
          <w:color w:val="424242"/>
          <w:w w:val="105"/>
        </w:rPr>
        <w:t>for the previous year:</w:t>
      </w:r>
    </w:p>
    <w:p>
      <w:pPr>
        <w:spacing w:after="0" w:line="249" w:lineRule="auto"/>
        <w:jc w:val="both"/>
        <w:rPr>
          <w:rFonts w:ascii="Times New Roman" w:hAnsi="Times New Roman"/>
        </w:rPr>
        <w:sectPr>
          <w:headerReference w:type="even" r:id="rId486"/>
          <w:footerReference w:type="even" r:id="rId487"/>
          <w:pgSz w:w="10950" w:h="15880"/>
          <w:pgMar w:header="242" w:footer="0" w:top="460" w:bottom="280" w:left="500" w:right="0"/>
          <w:pgNumType w:start="4"/>
        </w:sectPr>
      </w:pPr>
    </w:p>
    <w:p>
      <w:pPr>
        <w:pStyle w:val="BodyText"/>
        <w:spacing w:before="9"/>
        <w:rPr>
          <w:rFonts w:ascii="Times New Roman"/>
          <w:sz w:val="29"/>
        </w:rPr>
      </w:pPr>
    </w:p>
    <w:p>
      <w:pPr>
        <w:pStyle w:val="BodyText"/>
        <w:ind w:left="1626"/>
        <w:rPr>
          <w:rFonts w:ascii="Times New Roman"/>
        </w:rPr>
      </w:pPr>
      <w:r>
        <w:rPr>
          <w:rFonts w:ascii="Times New Roman"/>
          <w:color w:val="333333"/>
          <w:w w:val="105"/>
        </w:rPr>
        <w:t>Voluntary </w:t>
      </w:r>
      <w:r>
        <w:rPr>
          <w:rFonts w:ascii="Times New Roman"/>
          <w:color w:val="424242"/>
          <w:w w:val="105"/>
        </w:rPr>
        <w:t>income</w:t>
      </w:r>
      <w:r>
        <w:rPr>
          <w:rFonts w:ascii="Times New Roman"/>
          <w:color w:val="1C1C1C"/>
          <w:w w:val="105"/>
        </w:rPr>
        <w:t>:</w:t>
      </w:r>
    </w:p>
    <w:p>
      <w:pPr>
        <w:spacing w:before="131"/>
        <w:ind w:left="0" w:right="0" w:firstLine="0"/>
        <w:jc w:val="right"/>
        <w:rPr>
          <w:rFonts w:ascii="Times New Roman"/>
          <w:b/>
          <w:sz w:val="18"/>
        </w:rPr>
      </w:pPr>
      <w:r>
        <w:rPr/>
        <w:br w:type="column"/>
      </w:r>
      <w:r>
        <w:rPr>
          <w:rFonts w:ascii="Times New Roman"/>
          <w:b/>
          <w:color w:val="1C1C1C"/>
          <w:w w:val="110"/>
          <w:sz w:val="18"/>
        </w:rPr>
        <w:t>2006</w:t>
      </w:r>
    </w:p>
    <w:p>
      <w:pPr>
        <w:spacing w:before="15"/>
        <w:ind w:left="0" w:right="6" w:firstLine="0"/>
        <w:jc w:val="right"/>
        <w:rPr>
          <w:rFonts w:ascii="Times New Roman" w:hAnsi="Times New Roman"/>
          <w:b/>
          <w:sz w:val="18"/>
        </w:rPr>
      </w:pPr>
      <w:r>
        <w:rPr>
          <w:rFonts w:ascii="Times New Roman" w:hAnsi="Times New Roman"/>
          <w:b/>
          <w:color w:val="333333"/>
          <w:w w:val="110"/>
          <w:sz w:val="18"/>
        </w:rPr>
        <w:t>£000</w:t>
      </w:r>
    </w:p>
    <w:p>
      <w:pPr>
        <w:pStyle w:val="BodyText"/>
        <w:spacing w:before="131"/>
        <w:ind w:left="1146" w:right="1045"/>
        <w:jc w:val="center"/>
        <w:rPr>
          <w:rFonts w:ascii="Times New Roman"/>
        </w:rPr>
      </w:pPr>
      <w:r>
        <w:rPr/>
        <w:br w:type="column"/>
      </w:r>
      <w:r>
        <w:rPr>
          <w:rFonts w:ascii="Times New Roman"/>
          <w:color w:val="424242"/>
          <w:w w:val="110"/>
        </w:rPr>
        <w:t>2005</w:t>
      </w:r>
    </w:p>
    <w:p>
      <w:pPr>
        <w:pStyle w:val="BodyText"/>
        <w:spacing w:before="15"/>
        <w:ind w:left="1141" w:right="1051"/>
        <w:jc w:val="center"/>
        <w:rPr>
          <w:rFonts w:ascii="Times New Roman" w:hAnsi="Times New Roman"/>
        </w:rPr>
      </w:pPr>
      <w:r>
        <w:rPr>
          <w:rFonts w:ascii="Times New Roman" w:hAnsi="Times New Roman"/>
          <w:color w:val="424242"/>
          <w:w w:val="110"/>
        </w:rPr>
        <w:t>£000</w:t>
      </w:r>
    </w:p>
    <w:p>
      <w:pPr>
        <w:spacing w:after="0"/>
        <w:jc w:val="center"/>
        <w:rPr>
          <w:rFonts w:ascii="Times New Roman" w:hAnsi="Times New Roman"/>
        </w:rPr>
        <w:sectPr>
          <w:type w:val="continuous"/>
          <w:pgSz w:w="10950" w:h="15880"/>
          <w:pgMar w:top="680" w:bottom="280" w:left="500" w:right="0"/>
          <w:cols w:num="3" w:equalWidth="0">
            <w:col w:w="3085" w:space="2653"/>
            <w:col w:w="2033" w:space="40"/>
            <w:col w:w="2639"/>
          </w:cols>
        </w:sectPr>
      </w:pPr>
    </w:p>
    <w:tbl>
      <w:tblPr>
        <w:tblW w:w="0" w:type="auto"/>
        <w:jc w:val="left"/>
        <w:tblInd w:w="1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8"/>
        <w:gridCol w:w="1838"/>
        <w:gridCol w:w="1496"/>
      </w:tblGrid>
      <w:tr>
        <w:trPr>
          <w:trHeight w:val="205" w:hRule="atLeast"/>
        </w:trPr>
        <w:tc>
          <w:tcPr>
            <w:tcW w:w="5018" w:type="dxa"/>
          </w:tcPr>
          <w:p>
            <w:pPr>
              <w:pStyle w:val="TableParagraph"/>
              <w:spacing w:line="186" w:lineRule="exact"/>
              <w:ind w:left="198"/>
              <w:rPr>
                <w:sz w:val="18"/>
              </w:rPr>
            </w:pPr>
            <w:r>
              <w:rPr>
                <w:color w:val="333333"/>
                <w:w w:val="105"/>
                <w:sz w:val="18"/>
              </w:rPr>
              <w:t>Ministry and </w:t>
            </w:r>
            <w:r>
              <w:rPr>
                <w:color w:val="424242"/>
                <w:w w:val="105"/>
                <w:sz w:val="18"/>
              </w:rPr>
              <w:t>Mission </w:t>
            </w:r>
            <w:r>
              <w:rPr>
                <w:color w:val="333333"/>
                <w:w w:val="105"/>
                <w:sz w:val="18"/>
              </w:rPr>
              <w:t>Fund </w:t>
            </w:r>
            <w:r>
              <w:rPr>
                <w:color w:val="424242"/>
                <w:w w:val="105"/>
                <w:sz w:val="18"/>
              </w:rPr>
              <w:t>contributions</w:t>
            </w:r>
          </w:p>
        </w:tc>
        <w:tc>
          <w:tcPr>
            <w:tcW w:w="1838" w:type="dxa"/>
          </w:tcPr>
          <w:p>
            <w:pPr>
              <w:pStyle w:val="TableParagraph"/>
              <w:spacing w:line="186" w:lineRule="exact"/>
              <w:ind w:left="646" w:right="575"/>
              <w:jc w:val="center"/>
              <w:rPr>
                <w:b/>
                <w:sz w:val="18"/>
              </w:rPr>
            </w:pPr>
            <w:r>
              <w:rPr>
                <w:b/>
                <w:color w:val="1C1C1C"/>
                <w:w w:val="110"/>
                <w:sz w:val="18"/>
              </w:rPr>
              <w:t>20</w:t>
            </w:r>
            <w:r>
              <w:rPr>
                <w:b/>
                <w:color w:val="424242"/>
                <w:w w:val="110"/>
                <w:sz w:val="18"/>
              </w:rPr>
              <w:t>,1</w:t>
            </w:r>
            <w:r>
              <w:rPr>
                <w:b/>
                <w:color w:val="1C1C1C"/>
                <w:w w:val="110"/>
                <w:sz w:val="18"/>
              </w:rPr>
              <w:t>99</w:t>
            </w:r>
          </w:p>
        </w:tc>
        <w:tc>
          <w:tcPr>
            <w:tcW w:w="1496" w:type="dxa"/>
          </w:tcPr>
          <w:p>
            <w:pPr>
              <w:pStyle w:val="TableParagraph"/>
              <w:spacing w:line="186" w:lineRule="exact"/>
              <w:ind w:left="527"/>
              <w:rPr>
                <w:sz w:val="18"/>
              </w:rPr>
            </w:pPr>
            <w:r>
              <w:rPr>
                <w:color w:val="424242"/>
                <w:w w:val="105"/>
                <w:sz w:val="18"/>
              </w:rPr>
              <w:t>19,932</w:t>
            </w:r>
          </w:p>
        </w:tc>
      </w:tr>
      <w:tr>
        <w:trPr>
          <w:trHeight w:val="221" w:hRule="atLeast"/>
        </w:trPr>
        <w:tc>
          <w:tcPr>
            <w:tcW w:w="5018" w:type="dxa"/>
          </w:tcPr>
          <w:p>
            <w:pPr>
              <w:pStyle w:val="TableParagraph"/>
              <w:spacing w:line="201" w:lineRule="exact"/>
              <w:ind w:left="198"/>
              <w:rPr>
                <w:sz w:val="18"/>
              </w:rPr>
            </w:pPr>
            <w:r>
              <w:rPr>
                <w:color w:val="333333"/>
                <w:w w:val="105"/>
                <w:sz w:val="18"/>
              </w:rPr>
              <w:t>Donations, </w:t>
            </w:r>
            <w:r>
              <w:rPr>
                <w:color w:val="424242"/>
                <w:w w:val="105"/>
                <w:sz w:val="18"/>
              </w:rPr>
              <w:t>grants and </w:t>
            </w:r>
            <w:r>
              <w:rPr>
                <w:color w:val="333333"/>
                <w:w w:val="105"/>
                <w:sz w:val="18"/>
              </w:rPr>
              <w:t>legacies</w:t>
            </w:r>
          </w:p>
        </w:tc>
        <w:tc>
          <w:tcPr>
            <w:tcW w:w="1838" w:type="dxa"/>
          </w:tcPr>
          <w:p>
            <w:pPr>
              <w:pStyle w:val="TableParagraph"/>
              <w:spacing w:line="193" w:lineRule="exact" w:before="8"/>
              <w:ind w:left="785"/>
              <w:rPr>
                <w:b/>
                <w:sz w:val="18"/>
              </w:rPr>
            </w:pPr>
            <w:r>
              <w:rPr>
                <w:b/>
                <w:color w:val="1C1C1C"/>
                <w:w w:val="110"/>
                <w:sz w:val="18"/>
              </w:rPr>
              <w:t>1,978</w:t>
            </w:r>
          </w:p>
        </w:tc>
        <w:tc>
          <w:tcPr>
            <w:tcW w:w="1496" w:type="dxa"/>
          </w:tcPr>
          <w:p>
            <w:pPr>
              <w:pStyle w:val="TableParagraph"/>
              <w:spacing w:line="201" w:lineRule="exact"/>
              <w:ind w:left="599"/>
              <w:rPr>
                <w:sz w:val="18"/>
              </w:rPr>
            </w:pPr>
            <w:r>
              <w:rPr>
                <w:color w:val="424242"/>
                <w:w w:val="105"/>
                <w:sz w:val="18"/>
              </w:rPr>
              <w:t>3</w:t>
            </w:r>
            <w:r>
              <w:rPr>
                <w:color w:val="5D5D5D"/>
                <w:w w:val="105"/>
                <w:sz w:val="18"/>
              </w:rPr>
              <w:t>,</w:t>
            </w:r>
            <w:r>
              <w:rPr>
                <w:color w:val="424242"/>
                <w:w w:val="105"/>
                <w:sz w:val="18"/>
              </w:rPr>
              <w:t>039</w:t>
            </w:r>
          </w:p>
        </w:tc>
      </w:tr>
      <w:tr>
        <w:trPr>
          <w:trHeight w:val="221" w:hRule="atLeast"/>
        </w:trPr>
        <w:tc>
          <w:tcPr>
            <w:tcW w:w="5018" w:type="dxa"/>
          </w:tcPr>
          <w:p>
            <w:pPr>
              <w:pStyle w:val="TableParagraph"/>
              <w:spacing w:line="201" w:lineRule="exact"/>
              <w:ind w:left="52"/>
              <w:rPr>
                <w:sz w:val="18"/>
              </w:rPr>
            </w:pPr>
            <w:r>
              <w:rPr>
                <w:color w:val="333333"/>
                <w:w w:val="105"/>
                <w:sz w:val="18"/>
              </w:rPr>
              <w:t>Investment income</w:t>
            </w:r>
          </w:p>
        </w:tc>
        <w:tc>
          <w:tcPr>
            <w:tcW w:w="1838" w:type="dxa"/>
          </w:tcPr>
          <w:p>
            <w:pPr>
              <w:pStyle w:val="TableParagraph"/>
              <w:spacing w:line="193" w:lineRule="exact" w:before="8"/>
              <w:ind w:left="936"/>
              <w:rPr>
                <w:b/>
                <w:sz w:val="18"/>
              </w:rPr>
            </w:pPr>
            <w:r>
              <w:rPr>
                <w:b/>
                <w:color w:val="333333"/>
                <w:w w:val="110"/>
                <w:sz w:val="18"/>
              </w:rPr>
              <w:t>780</w:t>
            </w:r>
          </w:p>
        </w:tc>
        <w:tc>
          <w:tcPr>
            <w:tcW w:w="1496" w:type="dxa"/>
          </w:tcPr>
          <w:p>
            <w:pPr>
              <w:pStyle w:val="TableParagraph"/>
              <w:spacing w:line="193" w:lineRule="exact" w:before="8"/>
              <w:ind w:left="743"/>
              <w:rPr>
                <w:sz w:val="18"/>
              </w:rPr>
            </w:pPr>
            <w:r>
              <w:rPr>
                <w:color w:val="424242"/>
                <w:w w:val="105"/>
                <w:sz w:val="18"/>
              </w:rPr>
              <w:t>636</w:t>
            </w:r>
          </w:p>
        </w:tc>
      </w:tr>
      <w:tr>
        <w:trPr>
          <w:trHeight w:val="226" w:hRule="atLeast"/>
        </w:trPr>
        <w:tc>
          <w:tcPr>
            <w:tcW w:w="5018" w:type="dxa"/>
          </w:tcPr>
          <w:p>
            <w:pPr>
              <w:pStyle w:val="TableParagraph"/>
              <w:spacing w:line="206" w:lineRule="exact"/>
              <w:ind w:left="52"/>
              <w:rPr>
                <w:sz w:val="18"/>
              </w:rPr>
            </w:pPr>
            <w:r>
              <w:rPr>
                <w:color w:val="424242"/>
                <w:w w:val="105"/>
                <w:sz w:val="18"/>
              </w:rPr>
              <w:t>Income from charitable activities</w:t>
            </w:r>
          </w:p>
        </w:tc>
        <w:tc>
          <w:tcPr>
            <w:tcW w:w="1838" w:type="dxa"/>
          </w:tcPr>
          <w:p>
            <w:pPr>
              <w:pStyle w:val="TableParagraph"/>
              <w:spacing w:line="198" w:lineRule="exact" w:before="8"/>
              <w:ind w:left="646" w:right="474"/>
              <w:jc w:val="center"/>
              <w:rPr>
                <w:b/>
                <w:sz w:val="18"/>
              </w:rPr>
            </w:pPr>
            <w:r>
              <w:rPr>
                <w:b/>
                <w:color w:val="1C1C1C"/>
                <w:w w:val="110"/>
                <w:sz w:val="18"/>
              </w:rPr>
              <w:t>1</w:t>
            </w:r>
            <w:r>
              <w:rPr>
                <w:b/>
                <w:color w:val="424242"/>
                <w:w w:val="110"/>
                <w:sz w:val="18"/>
              </w:rPr>
              <w:t>,3</w:t>
            </w:r>
            <w:r>
              <w:rPr>
                <w:b/>
                <w:color w:val="1C1C1C"/>
                <w:w w:val="110"/>
                <w:sz w:val="18"/>
              </w:rPr>
              <w:t>32</w:t>
            </w:r>
          </w:p>
        </w:tc>
        <w:tc>
          <w:tcPr>
            <w:tcW w:w="1496" w:type="dxa"/>
          </w:tcPr>
          <w:p>
            <w:pPr>
              <w:pStyle w:val="TableParagraph"/>
              <w:spacing w:line="198" w:lineRule="exact" w:before="8"/>
              <w:ind w:left="604"/>
              <w:rPr>
                <w:sz w:val="18"/>
              </w:rPr>
            </w:pPr>
            <w:r>
              <w:rPr>
                <w:color w:val="424242"/>
                <w:w w:val="105"/>
                <w:sz w:val="18"/>
              </w:rPr>
              <w:t>1</w:t>
            </w:r>
            <w:r>
              <w:rPr>
                <w:color w:val="5D5D5D"/>
                <w:w w:val="105"/>
                <w:sz w:val="18"/>
              </w:rPr>
              <w:t>,</w:t>
            </w:r>
            <w:r>
              <w:rPr>
                <w:color w:val="424242"/>
                <w:w w:val="105"/>
                <w:sz w:val="18"/>
              </w:rPr>
              <w:t>280</w:t>
            </w:r>
          </w:p>
        </w:tc>
      </w:tr>
      <w:tr>
        <w:trPr>
          <w:trHeight w:val="226" w:hRule="atLeast"/>
        </w:trPr>
        <w:tc>
          <w:tcPr>
            <w:tcW w:w="5018" w:type="dxa"/>
          </w:tcPr>
          <w:p>
            <w:pPr>
              <w:pStyle w:val="TableParagraph"/>
              <w:spacing w:line="203" w:lineRule="exact" w:before="3"/>
              <w:ind w:left="50"/>
              <w:rPr>
                <w:sz w:val="18"/>
              </w:rPr>
            </w:pPr>
            <w:r>
              <w:rPr>
                <w:color w:val="333333"/>
                <w:w w:val="105"/>
                <w:sz w:val="18"/>
              </w:rPr>
              <w:t>Other </w:t>
            </w:r>
            <w:r>
              <w:rPr>
                <w:color w:val="424242"/>
                <w:w w:val="105"/>
                <w:sz w:val="18"/>
              </w:rPr>
              <w:t>incoming resources (mostly profit on sale of properties)</w:t>
            </w:r>
          </w:p>
        </w:tc>
        <w:tc>
          <w:tcPr>
            <w:tcW w:w="1838" w:type="dxa"/>
          </w:tcPr>
          <w:p>
            <w:pPr>
              <w:pStyle w:val="TableParagraph"/>
              <w:tabs>
                <w:tab w:pos="505" w:val="left" w:leader="none"/>
                <w:tab w:pos="1387" w:val="left" w:leader="none"/>
              </w:tabs>
              <w:spacing w:line="203" w:lineRule="exact" w:before="3"/>
              <w:ind w:right="170"/>
              <w:jc w:val="right"/>
              <w:rPr>
                <w:b/>
                <w:sz w:val="18"/>
              </w:rPr>
            </w:pPr>
            <w:r>
              <w:rPr>
                <w:b/>
                <w:color w:val="1C1C1C"/>
                <w:w w:val="100"/>
                <w:sz w:val="18"/>
                <w:u w:val="single" w:color="000000"/>
              </w:rPr>
              <w:t> </w:t>
            </w:r>
            <w:r>
              <w:rPr>
                <w:b/>
                <w:color w:val="1C1C1C"/>
                <w:sz w:val="18"/>
                <w:u w:val="single" w:color="000000"/>
              </w:rPr>
              <w:tab/>
            </w:r>
            <w:r>
              <w:rPr>
                <w:b/>
                <w:color w:val="1C1C1C"/>
                <w:w w:val="110"/>
                <w:sz w:val="18"/>
                <w:u w:val="single" w:color="000000"/>
              </w:rPr>
              <w:t>2</w:t>
            </w:r>
            <w:r>
              <w:rPr>
                <w:b/>
                <w:color w:val="424242"/>
                <w:w w:val="110"/>
                <w:sz w:val="18"/>
                <w:u w:val="single" w:color="000000"/>
              </w:rPr>
              <w:t>,</w:t>
            </w:r>
            <w:r>
              <w:rPr>
                <w:b/>
                <w:color w:val="1C1C1C"/>
                <w:w w:val="110"/>
                <w:sz w:val="18"/>
                <w:u w:val="single" w:color="000000"/>
              </w:rPr>
              <w:t>798</w:t>
            </w:r>
            <w:r>
              <w:rPr>
                <w:b/>
                <w:color w:val="1C1C1C"/>
                <w:sz w:val="18"/>
                <w:u w:val="single" w:color="000000"/>
              </w:rPr>
              <w:tab/>
            </w:r>
          </w:p>
        </w:tc>
        <w:tc>
          <w:tcPr>
            <w:tcW w:w="1496" w:type="dxa"/>
          </w:tcPr>
          <w:p>
            <w:pPr>
              <w:pStyle w:val="TableParagraph"/>
              <w:tabs>
                <w:tab w:pos="431" w:val="left" w:leader="none"/>
                <w:tab w:pos="1258" w:val="left" w:leader="none"/>
              </w:tabs>
              <w:spacing w:line="203" w:lineRule="exact" w:before="3"/>
              <w:ind w:right="62"/>
              <w:jc w:val="right"/>
              <w:rPr>
                <w:sz w:val="18"/>
              </w:rPr>
            </w:pPr>
            <w:r>
              <w:rPr>
                <w:color w:val="424242"/>
                <w:w w:val="100"/>
                <w:sz w:val="18"/>
                <w:u w:val="single" w:color="000000"/>
              </w:rPr>
              <w:t> </w:t>
            </w:r>
            <w:r>
              <w:rPr>
                <w:color w:val="424242"/>
                <w:sz w:val="18"/>
                <w:u w:val="single" w:color="000000"/>
              </w:rPr>
              <w:tab/>
            </w:r>
            <w:r>
              <w:rPr>
                <w:color w:val="424242"/>
                <w:w w:val="105"/>
                <w:sz w:val="18"/>
                <w:u w:val="single" w:color="000000"/>
              </w:rPr>
              <w:t>1,214</w:t>
            </w:r>
            <w:r>
              <w:rPr>
                <w:color w:val="424242"/>
                <w:sz w:val="18"/>
                <w:u w:val="single" w:color="000000"/>
              </w:rPr>
              <w:tab/>
            </w:r>
          </w:p>
        </w:tc>
      </w:tr>
      <w:tr>
        <w:trPr>
          <w:trHeight w:val="226" w:hRule="atLeast"/>
        </w:trPr>
        <w:tc>
          <w:tcPr>
            <w:tcW w:w="5018" w:type="dxa"/>
          </w:tcPr>
          <w:p>
            <w:pPr>
              <w:pStyle w:val="TableParagraph"/>
              <w:spacing w:line="198" w:lineRule="exact" w:before="8"/>
              <w:ind w:left="51"/>
              <w:rPr>
                <w:sz w:val="18"/>
              </w:rPr>
            </w:pPr>
            <w:r>
              <w:rPr>
                <w:color w:val="424242"/>
                <w:w w:val="105"/>
                <w:sz w:val="18"/>
              </w:rPr>
              <w:t>Total incoming resources</w:t>
            </w:r>
          </w:p>
        </w:tc>
        <w:tc>
          <w:tcPr>
            <w:tcW w:w="1838" w:type="dxa"/>
          </w:tcPr>
          <w:p>
            <w:pPr>
              <w:pStyle w:val="TableParagraph"/>
              <w:spacing w:line="198" w:lineRule="exact" w:before="8"/>
              <w:ind w:left="607" w:right="590"/>
              <w:jc w:val="center"/>
              <w:rPr>
                <w:b/>
                <w:sz w:val="18"/>
              </w:rPr>
            </w:pPr>
            <w:r>
              <w:rPr>
                <w:b/>
                <w:color w:val="1C1C1C"/>
                <w:w w:val="105"/>
                <w:sz w:val="18"/>
              </w:rPr>
              <w:t>2</w:t>
            </w:r>
            <w:r>
              <w:rPr>
                <w:b/>
                <w:color w:val="424242"/>
                <w:w w:val="105"/>
                <w:sz w:val="18"/>
              </w:rPr>
              <w:t>7,</w:t>
            </w:r>
            <w:r>
              <w:rPr>
                <w:b/>
                <w:color w:val="1C1C1C"/>
                <w:w w:val="105"/>
                <w:sz w:val="18"/>
              </w:rPr>
              <w:t>087</w:t>
            </w:r>
          </w:p>
        </w:tc>
        <w:tc>
          <w:tcPr>
            <w:tcW w:w="1496" w:type="dxa"/>
          </w:tcPr>
          <w:p>
            <w:pPr>
              <w:pStyle w:val="TableParagraph"/>
              <w:spacing w:line="198" w:lineRule="exact" w:before="8"/>
              <w:ind w:left="506"/>
              <w:rPr>
                <w:sz w:val="18"/>
              </w:rPr>
            </w:pPr>
            <w:r>
              <w:rPr>
                <w:color w:val="424242"/>
                <w:w w:val="110"/>
                <w:sz w:val="18"/>
              </w:rPr>
              <w:t>26,10</w:t>
            </w:r>
            <w:r>
              <w:rPr>
                <w:color w:val="1C1C1C"/>
                <w:w w:val="110"/>
                <w:sz w:val="18"/>
              </w:rPr>
              <w:t>1</w:t>
            </w:r>
          </w:p>
        </w:tc>
      </w:tr>
      <w:tr>
        <w:trPr>
          <w:trHeight w:val="442" w:hRule="atLeast"/>
        </w:trPr>
        <w:tc>
          <w:tcPr>
            <w:tcW w:w="5018" w:type="dxa"/>
          </w:tcPr>
          <w:p>
            <w:pPr>
              <w:pStyle w:val="TableParagraph"/>
              <w:spacing w:before="3"/>
              <w:ind w:right="3313"/>
              <w:jc w:val="right"/>
              <w:rPr>
                <w:sz w:val="18"/>
              </w:rPr>
            </w:pPr>
            <w:r>
              <w:rPr>
                <w:color w:val="333333"/>
                <w:w w:val="105"/>
                <w:sz w:val="18"/>
              </w:rPr>
              <w:t>Resources </w:t>
            </w:r>
            <w:r>
              <w:rPr>
                <w:color w:val="424242"/>
                <w:w w:val="105"/>
                <w:sz w:val="18"/>
              </w:rPr>
              <w:t>expended:</w:t>
            </w:r>
          </w:p>
          <w:p>
            <w:pPr>
              <w:pStyle w:val="TableParagraph"/>
              <w:spacing w:line="198" w:lineRule="exact" w:before="15"/>
              <w:ind w:right="3251"/>
              <w:jc w:val="right"/>
              <w:rPr>
                <w:sz w:val="18"/>
              </w:rPr>
            </w:pPr>
            <w:r>
              <w:rPr>
                <w:color w:val="333333"/>
                <w:w w:val="105"/>
                <w:sz w:val="18"/>
              </w:rPr>
              <w:t>Charitable </w:t>
            </w:r>
            <w:r>
              <w:rPr>
                <w:color w:val="424242"/>
                <w:w w:val="105"/>
                <w:sz w:val="18"/>
              </w:rPr>
              <w:t>activities</w:t>
            </w:r>
          </w:p>
        </w:tc>
        <w:tc>
          <w:tcPr>
            <w:tcW w:w="1838" w:type="dxa"/>
          </w:tcPr>
          <w:p>
            <w:pPr>
              <w:pStyle w:val="TableParagraph"/>
              <w:spacing w:before="6"/>
              <w:rPr>
                <w:sz w:val="19"/>
              </w:rPr>
            </w:pPr>
          </w:p>
          <w:p>
            <w:pPr>
              <w:pStyle w:val="TableParagraph"/>
              <w:spacing w:line="198" w:lineRule="exact"/>
              <w:ind w:left="629" w:right="590"/>
              <w:jc w:val="center"/>
              <w:rPr>
                <w:b/>
                <w:sz w:val="18"/>
              </w:rPr>
            </w:pPr>
            <w:r>
              <w:rPr>
                <w:b/>
                <w:color w:val="1C1C1C"/>
                <w:w w:val="110"/>
                <w:sz w:val="18"/>
              </w:rPr>
              <w:t>24,584</w:t>
            </w:r>
          </w:p>
        </w:tc>
        <w:tc>
          <w:tcPr>
            <w:tcW w:w="1496" w:type="dxa"/>
          </w:tcPr>
          <w:p>
            <w:pPr>
              <w:pStyle w:val="TableParagraph"/>
              <w:spacing w:before="6"/>
              <w:rPr>
                <w:sz w:val="19"/>
              </w:rPr>
            </w:pPr>
          </w:p>
          <w:p>
            <w:pPr>
              <w:pStyle w:val="TableParagraph"/>
              <w:spacing w:line="198" w:lineRule="exact"/>
              <w:ind w:left="506"/>
              <w:rPr>
                <w:sz w:val="18"/>
              </w:rPr>
            </w:pPr>
            <w:r>
              <w:rPr>
                <w:color w:val="333333"/>
                <w:w w:val="105"/>
                <w:sz w:val="18"/>
              </w:rPr>
              <w:t>23,566</w:t>
            </w:r>
          </w:p>
        </w:tc>
      </w:tr>
      <w:tr>
        <w:trPr>
          <w:trHeight w:val="221" w:hRule="atLeast"/>
        </w:trPr>
        <w:tc>
          <w:tcPr>
            <w:tcW w:w="5018" w:type="dxa"/>
          </w:tcPr>
          <w:p>
            <w:pPr>
              <w:pStyle w:val="TableParagraph"/>
              <w:spacing w:line="198" w:lineRule="exact" w:before="3"/>
              <w:ind w:left="243"/>
              <w:rPr>
                <w:sz w:val="18"/>
              </w:rPr>
            </w:pPr>
            <w:r>
              <w:rPr>
                <w:color w:val="333333"/>
                <w:w w:val="105"/>
                <w:sz w:val="18"/>
              </w:rPr>
              <w:t>Governance </w:t>
            </w:r>
            <w:r>
              <w:rPr>
                <w:color w:val="424242"/>
                <w:w w:val="105"/>
                <w:sz w:val="18"/>
              </w:rPr>
              <w:t>costs</w:t>
            </w:r>
          </w:p>
        </w:tc>
        <w:tc>
          <w:tcPr>
            <w:tcW w:w="1838" w:type="dxa"/>
          </w:tcPr>
          <w:p>
            <w:pPr>
              <w:pStyle w:val="TableParagraph"/>
              <w:spacing w:line="198" w:lineRule="exact" w:before="3"/>
              <w:ind w:left="646" w:right="368"/>
              <w:jc w:val="center"/>
              <w:rPr>
                <w:b/>
                <w:sz w:val="18"/>
              </w:rPr>
            </w:pPr>
            <w:r>
              <w:rPr>
                <w:b/>
                <w:color w:val="1C1C1C"/>
                <w:w w:val="110"/>
                <w:sz w:val="18"/>
              </w:rPr>
              <w:t>369</w:t>
            </w:r>
          </w:p>
        </w:tc>
        <w:tc>
          <w:tcPr>
            <w:tcW w:w="1496" w:type="dxa"/>
          </w:tcPr>
          <w:p>
            <w:pPr>
              <w:pStyle w:val="TableParagraph"/>
              <w:spacing w:line="198" w:lineRule="exact" w:before="3"/>
              <w:ind w:left="748"/>
              <w:rPr>
                <w:sz w:val="18"/>
              </w:rPr>
            </w:pPr>
            <w:r>
              <w:rPr>
                <w:color w:val="333333"/>
                <w:w w:val="110"/>
                <w:sz w:val="18"/>
              </w:rPr>
              <w:t>400</w:t>
            </w:r>
          </w:p>
        </w:tc>
      </w:tr>
      <w:tr>
        <w:trPr>
          <w:trHeight w:val="226" w:hRule="atLeast"/>
        </w:trPr>
        <w:tc>
          <w:tcPr>
            <w:tcW w:w="5018" w:type="dxa"/>
          </w:tcPr>
          <w:p>
            <w:pPr>
              <w:pStyle w:val="TableParagraph"/>
              <w:spacing w:line="203" w:lineRule="exact" w:before="3"/>
              <w:ind w:left="243"/>
              <w:rPr>
                <w:sz w:val="18"/>
              </w:rPr>
            </w:pPr>
            <w:r>
              <w:rPr>
                <w:color w:val="1C1C1C"/>
                <w:w w:val="110"/>
                <w:sz w:val="18"/>
              </w:rPr>
              <w:t>O</w:t>
            </w:r>
            <w:r>
              <w:rPr>
                <w:color w:val="424242"/>
                <w:w w:val="110"/>
                <w:sz w:val="18"/>
              </w:rPr>
              <w:t>ther</w:t>
            </w:r>
          </w:p>
        </w:tc>
        <w:tc>
          <w:tcPr>
            <w:tcW w:w="1838" w:type="dxa"/>
          </w:tcPr>
          <w:p>
            <w:pPr>
              <w:pStyle w:val="TableParagraph"/>
              <w:tabs>
                <w:tab w:pos="725" w:val="left" w:leader="none"/>
                <w:tab w:pos="1386" w:val="left" w:leader="none"/>
              </w:tabs>
              <w:spacing w:line="203" w:lineRule="exact" w:before="3"/>
              <w:ind w:right="171"/>
              <w:jc w:val="right"/>
              <w:rPr>
                <w:b/>
                <w:sz w:val="18"/>
              </w:rPr>
            </w:pPr>
            <w:r>
              <w:rPr>
                <w:b/>
                <w:color w:val="1C1C1C"/>
                <w:w w:val="100"/>
                <w:sz w:val="18"/>
                <w:u w:val="single" w:color="000000"/>
              </w:rPr>
              <w:t> </w:t>
            </w:r>
            <w:r>
              <w:rPr>
                <w:b/>
                <w:color w:val="1C1C1C"/>
                <w:sz w:val="18"/>
                <w:u w:val="single" w:color="000000"/>
              </w:rPr>
              <w:tab/>
            </w:r>
            <w:r>
              <w:rPr>
                <w:b/>
                <w:color w:val="1C1C1C"/>
                <w:w w:val="110"/>
                <w:sz w:val="18"/>
                <w:u w:val="single" w:color="000000"/>
              </w:rPr>
              <w:t>51</w:t>
            </w:r>
            <w:r>
              <w:rPr>
                <w:b/>
                <w:color w:val="1C1C1C"/>
                <w:sz w:val="18"/>
                <w:u w:val="single" w:color="000000"/>
              </w:rPr>
              <w:tab/>
            </w:r>
          </w:p>
        </w:tc>
        <w:tc>
          <w:tcPr>
            <w:tcW w:w="1496" w:type="dxa"/>
          </w:tcPr>
          <w:p>
            <w:pPr>
              <w:pStyle w:val="TableParagraph"/>
              <w:tabs>
                <w:tab w:pos="1272" w:val="left" w:leader="none"/>
              </w:tabs>
              <w:spacing w:line="203" w:lineRule="exact" w:before="3"/>
              <w:ind w:right="48"/>
              <w:jc w:val="right"/>
              <w:rPr>
                <w:b/>
                <w:sz w:val="18"/>
              </w:rPr>
            </w:pPr>
            <w:r>
              <w:rPr>
                <w:b/>
                <w:color w:val="1C1C1C"/>
                <w:w w:val="100"/>
                <w:sz w:val="18"/>
                <w:u w:val="single" w:color="000000"/>
              </w:rPr>
              <w:t> </w:t>
            </w:r>
            <w:r>
              <w:rPr>
                <w:b/>
                <w:color w:val="1C1C1C"/>
                <w:sz w:val="18"/>
                <w:u w:val="single" w:color="000000"/>
              </w:rPr>
              <w:tab/>
            </w:r>
          </w:p>
        </w:tc>
      </w:tr>
      <w:tr>
        <w:trPr>
          <w:trHeight w:val="226" w:hRule="atLeast"/>
        </w:trPr>
        <w:tc>
          <w:tcPr>
            <w:tcW w:w="5018" w:type="dxa"/>
          </w:tcPr>
          <w:p>
            <w:pPr>
              <w:pStyle w:val="TableParagraph"/>
              <w:spacing w:line="198" w:lineRule="exact" w:before="8"/>
              <w:ind w:left="50"/>
              <w:rPr>
                <w:sz w:val="18"/>
              </w:rPr>
            </w:pPr>
            <w:r>
              <w:rPr>
                <w:color w:val="424242"/>
                <w:w w:val="105"/>
                <w:sz w:val="18"/>
              </w:rPr>
              <w:t>Net incoming resources</w:t>
            </w:r>
          </w:p>
        </w:tc>
        <w:tc>
          <w:tcPr>
            <w:tcW w:w="1838" w:type="dxa"/>
          </w:tcPr>
          <w:p>
            <w:pPr>
              <w:pStyle w:val="TableParagraph"/>
              <w:spacing w:line="198" w:lineRule="exact" w:before="8"/>
              <w:ind w:left="646" w:right="520"/>
              <w:jc w:val="center"/>
              <w:rPr>
                <w:b/>
                <w:sz w:val="18"/>
              </w:rPr>
            </w:pPr>
            <w:r>
              <w:rPr>
                <w:b/>
                <w:color w:val="1C1C1C"/>
                <w:w w:val="110"/>
                <w:sz w:val="18"/>
              </w:rPr>
              <w:t>2</w:t>
            </w:r>
            <w:r>
              <w:rPr>
                <w:b/>
                <w:color w:val="424242"/>
                <w:w w:val="110"/>
                <w:sz w:val="18"/>
              </w:rPr>
              <w:t>,</w:t>
            </w:r>
            <w:r>
              <w:rPr>
                <w:b/>
                <w:color w:val="1C1C1C"/>
                <w:w w:val="110"/>
                <w:sz w:val="18"/>
              </w:rPr>
              <w:t>083</w:t>
            </w:r>
          </w:p>
        </w:tc>
        <w:tc>
          <w:tcPr>
            <w:tcW w:w="1496" w:type="dxa"/>
          </w:tcPr>
          <w:p>
            <w:pPr>
              <w:pStyle w:val="TableParagraph"/>
              <w:spacing w:line="198" w:lineRule="exact" w:before="8"/>
              <w:ind w:left="602"/>
              <w:rPr>
                <w:sz w:val="18"/>
              </w:rPr>
            </w:pPr>
            <w:r>
              <w:rPr>
                <w:color w:val="424242"/>
                <w:w w:val="110"/>
                <w:sz w:val="18"/>
              </w:rPr>
              <w:t>2</w:t>
            </w:r>
            <w:r>
              <w:rPr>
                <w:color w:val="5D5D5D"/>
                <w:w w:val="110"/>
                <w:sz w:val="18"/>
              </w:rPr>
              <w:t>,</w:t>
            </w:r>
            <w:r>
              <w:rPr>
                <w:color w:val="1C1C1C"/>
                <w:w w:val="110"/>
                <w:sz w:val="18"/>
              </w:rPr>
              <w:t>135</w:t>
            </w:r>
          </w:p>
        </w:tc>
      </w:tr>
      <w:tr>
        <w:trPr>
          <w:trHeight w:val="221" w:hRule="atLeast"/>
        </w:trPr>
        <w:tc>
          <w:tcPr>
            <w:tcW w:w="5018" w:type="dxa"/>
          </w:tcPr>
          <w:p>
            <w:pPr>
              <w:pStyle w:val="TableParagraph"/>
              <w:spacing w:line="198" w:lineRule="exact" w:before="3"/>
              <w:ind w:left="50"/>
              <w:rPr>
                <w:sz w:val="18"/>
              </w:rPr>
            </w:pPr>
            <w:r>
              <w:rPr>
                <w:color w:val="333333"/>
                <w:w w:val="110"/>
                <w:sz w:val="18"/>
              </w:rPr>
              <w:t>Gains </w:t>
            </w:r>
            <w:r>
              <w:rPr>
                <w:color w:val="424242"/>
                <w:w w:val="110"/>
                <w:sz w:val="18"/>
              </w:rPr>
              <w:t>on investment assets</w:t>
            </w:r>
          </w:p>
        </w:tc>
        <w:tc>
          <w:tcPr>
            <w:tcW w:w="1838" w:type="dxa"/>
          </w:tcPr>
          <w:p>
            <w:pPr>
              <w:pStyle w:val="TableParagraph"/>
              <w:spacing w:line="198" w:lineRule="exact" w:before="3"/>
              <w:ind w:left="646" w:right="520"/>
              <w:jc w:val="center"/>
              <w:rPr>
                <w:b/>
                <w:sz w:val="18"/>
              </w:rPr>
            </w:pPr>
            <w:r>
              <w:rPr>
                <w:b/>
                <w:color w:val="1C1C1C"/>
                <w:w w:val="105"/>
                <w:sz w:val="18"/>
              </w:rPr>
              <w:t>2,731</w:t>
            </w:r>
          </w:p>
        </w:tc>
        <w:tc>
          <w:tcPr>
            <w:tcW w:w="1496" w:type="dxa"/>
          </w:tcPr>
          <w:p>
            <w:pPr>
              <w:pStyle w:val="TableParagraph"/>
              <w:spacing w:line="198" w:lineRule="exact" w:before="3"/>
              <w:ind w:left="602"/>
              <w:rPr>
                <w:sz w:val="18"/>
              </w:rPr>
            </w:pPr>
            <w:r>
              <w:rPr>
                <w:color w:val="424242"/>
                <w:w w:val="110"/>
                <w:sz w:val="18"/>
              </w:rPr>
              <w:t>2,588</w:t>
            </w:r>
          </w:p>
        </w:tc>
      </w:tr>
      <w:tr>
        <w:trPr>
          <w:trHeight w:val="230" w:hRule="atLeast"/>
        </w:trPr>
        <w:tc>
          <w:tcPr>
            <w:tcW w:w="5018" w:type="dxa"/>
          </w:tcPr>
          <w:p>
            <w:pPr>
              <w:pStyle w:val="TableParagraph"/>
              <w:spacing w:before="3"/>
              <w:ind w:left="55"/>
              <w:rPr>
                <w:sz w:val="18"/>
              </w:rPr>
            </w:pPr>
            <w:r>
              <w:rPr>
                <w:color w:val="424242"/>
                <w:w w:val="105"/>
                <w:sz w:val="18"/>
              </w:rPr>
              <w:t>Actuarial (loss) on pension scheme</w:t>
            </w:r>
          </w:p>
        </w:tc>
        <w:tc>
          <w:tcPr>
            <w:tcW w:w="1838" w:type="dxa"/>
          </w:tcPr>
          <w:p>
            <w:pPr>
              <w:pStyle w:val="TableParagraph"/>
              <w:spacing w:line="198" w:lineRule="exact" w:before="13"/>
              <w:ind w:left="665"/>
              <w:rPr>
                <w:b/>
                <w:sz w:val="18"/>
              </w:rPr>
            </w:pPr>
            <w:r>
              <w:rPr>
                <w:b/>
                <w:color w:val="333333"/>
                <w:w w:val="110"/>
                <w:sz w:val="18"/>
                <w:u w:val="double" w:color="333333"/>
              </w:rPr>
              <w:t>(1,382)</w:t>
            </w:r>
          </w:p>
        </w:tc>
        <w:tc>
          <w:tcPr>
            <w:tcW w:w="1496" w:type="dxa"/>
          </w:tcPr>
          <w:p>
            <w:pPr>
              <w:pStyle w:val="TableParagraph"/>
              <w:spacing w:before="3"/>
              <w:ind w:left="531"/>
              <w:rPr>
                <w:sz w:val="18"/>
              </w:rPr>
            </w:pPr>
            <w:r>
              <w:rPr>
                <w:color w:val="424242"/>
                <w:w w:val="105"/>
                <w:sz w:val="18"/>
                <w:u w:val="double" w:color="424242"/>
              </w:rPr>
              <w:t>(2,256)</w:t>
            </w:r>
          </w:p>
        </w:tc>
      </w:tr>
      <w:tr>
        <w:trPr>
          <w:trHeight w:val="220" w:hRule="atLeast"/>
        </w:trPr>
        <w:tc>
          <w:tcPr>
            <w:tcW w:w="5018" w:type="dxa"/>
          </w:tcPr>
          <w:p>
            <w:pPr>
              <w:pStyle w:val="TableParagraph"/>
              <w:rPr>
                <w:sz w:val="14"/>
              </w:rPr>
            </w:pPr>
          </w:p>
        </w:tc>
        <w:tc>
          <w:tcPr>
            <w:tcW w:w="1838" w:type="dxa"/>
          </w:tcPr>
          <w:p>
            <w:pPr>
              <w:pStyle w:val="TableParagraph"/>
              <w:spacing w:line="187" w:lineRule="exact" w:before="13"/>
              <w:ind w:left="646" w:right="571"/>
              <w:jc w:val="center"/>
              <w:rPr>
                <w:b/>
                <w:sz w:val="18"/>
              </w:rPr>
            </w:pPr>
            <w:r>
              <w:rPr>
                <w:b/>
                <w:color w:val="333333"/>
                <w:w w:val="110"/>
                <w:sz w:val="18"/>
                <w:u w:val="double" w:color="333333"/>
              </w:rPr>
              <w:t>3,432</w:t>
            </w:r>
          </w:p>
        </w:tc>
        <w:tc>
          <w:tcPr>
            <w:tcW w:w="1496" w:type="dxa"/>
          </w:tcPr>
          <w:p>
            <w:pPr>
              <w:pStyle w:val="TableParagraph"/>
              <w:tabs>
                <w:tab w:pos="410" w:val="left" w:leader="none"/>
                <w:tab w:pos="1263" w:val="left" w:leader="none"/>
              </w:tabs>
              <w:spacing w:line="197" w:lineRule="exact" w:before="3"/>
              <w:ind w:right="57"/>
              <w:jc w:val="right"/>
              <w:rPr>
                <w:sz w:val="18"/>
              </w:rPr>
            </w:pPr>
            <w:r>
              <w:rPr>
                <w:color w:val="424242"/>
                <w:w w:val="100"/>
                <w:sz w:val="18"/>
                <w:u w:val="single" w:color="000000"/>
              </w:rPr>
              <w:t> </w:t>
            </w:r>
            <w:r>
              <w:rPr>
                <w:color w:val="424242"/>
                <w:sz w:val="18"/>
                <w:u w:val="single" w:color="000000"/>
              </w:rPr>
              <w:tab/>
            </w:r>
            <w:r>
              <w:rPr>
                <w:color w:val="424242"/>
                <w:w w:val="110"/>
                <w:sz w:val="18"/>
                <w:u w:val="single" w:color="000000"/>
              </w:rPr>
              <w:t>2,467</w:t>
            </w:r>
            <w:r>
              <w:rPr>
                <w:color w:val="424242"/>
                <w:sz w:val="18"/>
                <w:u w:val="single" w:color="000000"/>
              </w:rPr>
              <w:tab/>
            </w:r>
          </w:p>
        </w:tc>
      </w:tr>
    </w:tbl>
    <w:p>
      <w:pPr>
        <w:pStyle w:val="BodyText"/>
        <w:spacing w:before="3"/>
        <w:rPr>
          <w:rFonts w:ascii="Times New Roman"/>
          <w:sz w:val="24"/>
        </w:rPr>
      </w:pPr>
    </w:p>
    <w:p>
      <w:pPr>
        <w:spacing w:before="93"/>
        <w:ind w:left="989" w:right="0" w:firstLine="0"/>
        <w:jc w:val="both"/>
        <w:rPr>
          <w:rFonts w:ascii="Times New Roman"/>
          <w:b/>
          <w:sz w:val="18"/>
        </w:rPr>
      </w:pPr>
      <w:r>
        <w:rPr>
          <w:rFonts w:ascii="Times New Roman"/>
          <w:b/>
          <w:color w:val="333333"/>
          <w:w w:val="105"/>
          <w:sz w:val="18"/>
        </w:rPr>
        <w:t>Ministry and Mission Fund contributions</w:t>
      </w:r>
    </w:p>
    <w:p>
      <w:pPr>
        <w:pStyle w:val="BodyText"/>
        <w:spacing w:line="259" w:lineRule="auto" w:before="120"/>
        <w:ind w:left="986" w:right="919"/>
        <w:jc w:val="both"/>
        <w:rPr>
          <w:rFonts w:ascii="Times New Roman" w:hAnsi="Times New Roman"/>
        </w:rPr>
      </w:pPr>
      <w:r>
        <w:rPr>
          <w:rFonts w:ascii="Times New Roman" w:hAnsi="Times New Roman"/>
          <w:color w:val="424242"/>
          <w:w w:val="110"/>
        </w:rPr>
        <w:t>The</w:t>
      </w:r>
      <w:r>
        <w:rPr>
          <w:rFonts w:ascii="Times New Roman" w:hAnsi="Times New Roman"/>
          <w:color w:val="424242"/>
          <w:spacing w:val="-6"/>
          <w:w w:val="110"/>
        </w:rPr>
        <w:t> </w:t>
      </w:r>
      <w:r>
        <w:rPr>
          <w:rFonts w:ascii="Times New Roman" w:hAnsi="Times New Roman"/>
          <w:color w:val="424242"/>
          <w:w w:val="110"/>
        </w:rPr>
        <w:t>pie</w:t>
      </w:r>
      <w:r>
        <w:rPr>
          <w:rFonts w:ascii="Times New Roman" w:hAnsi="Times New Roman"/>
          <w:color w:val="424242"/>
          <w:spacing w:val="-11"/>
          <w:w w:val="110"/>
        </w:rPr>
        <w:t> </w:t>
      </w:r>
      <w:r>
        <w:rPr>
          <w:rFonts w:ascii="Times New Roman" w:hAnsi="Times New Roman"/>
          <w:color w:val="424242"/>
          <w:w w:val="110"/>
        </w:rPr>
        <w:t>charts</w:t>
      </w:r>
      <w:r>
        <w:rPr>
          <w:rFonts w:ascii="Times New Roman" w:hAnsi="Times New Roman"/>
          <w:color w:val="424242"/>
          <w:spacing w:val="-18"/>
          <w:w w:val="110"/>
        </w:rPr>
        <w:t> </w:t>
      </w:r>
      <w:r>
        <w:rPr>
          <w:rFonts w:ascii="Times New Roman" w:hAnsi="Times New Roman"/>
          <w:color w:val="424242"/>
          <w:w w:val="110"/>
        </w:rPr>
        <w:t>on</w:t>
      </w:r>
      <w:r>
        <w:rPr>
          <w:rFonts w:ascii="Times New Roman" w:hAnsi="Times New Roman"/>
          <w:color w:val="424242"/>
          <w:spacing w:val="-3"/>
          <w:w w:val="110"/>
        </w:rPr>
        <w:t> </w:t>
      </w:r>
      <w:r>
        <w:rPr>
          <w:rFonts w:ascii="Times New Roman" w:hAnsi="Times New Roman"/>
          <w:color w:val="424242"/>
          <w:w w:val="110"/>
        </w:rPr>
        <w:t>pages</w:t>
      </w:r>
      <w:r>
        <w:rPr>
          <w:rFonts w:ascii="Times New Roman" w:hAnsi="Times New Roman"/>
          <w:color w:val="424242"/>
          <w:spacing w:val="-18"/>
          <w:w w:val="110"/>
        </w:rPr>
        <w:t> </w:t>
      </w:r>
      <w:r>
        <w:rPr>
          <w:rFonts w:ascii="Times New Roman" w:hAnsi="Times New Roman"/>
          <w:color w:val="424242"/>
          <w:w w:val="110"/>
        </w:rPr>
        <w:t>6</w:t>
      </w:r>
      <w:r>
        <w:rPr>
          <w:rFonts w:ascii="Times New Roman" w:hAnsi="Times New Roman"/>
          <w:color w:val="424242"/>
          <w:spacing w:val="-4"/>
          <w:w w:val="110"/>
        </w:rPr>
        <w:t> </w:t>
      </w:r>
      <w:r>
        <w:rPr>
          <w:rFonts w:ascii="Times New Roman" w:hAnsi="Times New Roman"/>
          <w:color w:val="333333"/>
          <w:w w:val="110"/>
        </w:rPr>
        <w:t>and</w:t>
      </w:r>
      <w:r>
        <w:rPr>
          <w:rFonts w:ascii="Times New Roman" w:hAnsi="Times New Roman"/>
          <w:color w:val="333333"/>
          <w:spacing w:val="-15"/>
          <w:w w:val="110"/>
        </w:rPr>
        <w:t> </w:t>
      </w:r>
      <w:r>
        <w:rPr>
          <w:rFonts w:ascii="Times New Roman" w:hAnsi="Times New Roman"/>
          <w:color w:val="424242"/>
          <w:w w:val="110"/>
        </w:rPr>
        <w:t>7</w:t>
      </w:r>
      <w:r>
        <w:rPr>
          <w:rFonts w:ascii="Times New Roman" w:hAnsi="Times New Roman"/>
          <w:color w:val="424242"/>
          <w:spacing w:val="-13"/>
          <w:w w:val="110"/>
        </w:rPr>
        <w:t> </w:t>
      </w:r>
      <w:r>
        <w:rPr>
          <w:rFonts w:ascii="Times New Roman" w:hAnsi="Times New Roman"/>
          <w:color w:val="424242"/>
          <w:w w:val="110"/>
        </w:rPr>
        <w:t>give</w:t>
      </w:r>
      <w:r>
        <w:rPr>
          <w:rFonts w:ascii="Times New Roman" w:hAnsi="Times New Roman"/>
          <w:color w:val="424242"/>
          <w:spacing w:val="-25"/>
          <w:w w:val="110"/>
        </w:rPr>
        <w:t> </w:t>
      </w:r>
      <w:r>
        <w:rPr>
          <w:rFonts w:ascii="Times New Roman" w:hAnsi="Times New Roman"/>
          <w:color w:val="424242"/>
          <w:w w:val="110"/>
        </w:rPr>
        <w:t>a</w:t>
      </w:r>
      <w:r>
        <w:rPr>
          <w:rFonts w:ascii="Times New Roman" w:hAnsi="Times New Roman"/>
          <w:color w:val="424242"/>
          <w:spacing w:val="-10"/>
          <w:w w:val="110"/>
        </w:rPr>
        <w:t> </w:t>
      </w:r>
      <w:r>
        <w:rPr>
          <w:rFonts w:ascii="Times New Roman" w:hAnsi="Times New Roman"/>
          <w:color w:val="424242"/>
          <w:w w:val="110"/>
        </w:rPr>
        <w:t>visual picture,</w:t>
      </w:r>
      <w:r>
        <w:rPr>
          <w:rFonts w:ascii="Times New Roman" w:hAnsi="Times New Roman"/>
          <w:color w:val="424242"/>
          <w:spacing w:val="-18"/>
          <w:w w:val="110"/>
        </w:rPr>
        <w:t> </w:t>
      </w:r>
      <w:r>
        <w:rPr>
          <w:rFonts w:ascii="Times New Roman" w:hAnsi="Times New Roman"/>
          <w:color w:val="424242"/>
          <w:spacing w:val="-4"/>
          <w:w w:val="110"/>
        </w:rPr>
        <w:t>s</w:t>
      </w:r>
      <w:r>
        <w:rPr>
          <w:rFonts w:ascii="Times New Roman" w:hAnsi="Times New Roman"/>
          <w:color w:val="1C1C1C"/>
          <w:spacing w:val="-4"/>
          <w:w w:val="110"/>
        </w:rPr>
        <w:t>h</w:t>
      </w:r>
      <w:r>
        <w:rPr>
          <w:rFonts w:ascii="Times New Roman" w:hAnsi="Times New Roman"/>
          <w:color w:val="424242"/>
          <w:spacing w:val="-4"/>
          <w:w w:val="110"/>
        </w:rPr>
        <w:t>ow</w:t>
      </w:r>
      <w:r>
        <w:rPr>
          <w:rFonts w:ascii="Times New Roman" w:hAnsi="Times New Roman"/>
          <w:color w:val="1C1C1C"/>
          <w:spacing w:val="-4"/>
          <w:w w:val="110"/>
        </w:rPr>
        <w:t>i</w:t>
      </w:r>
      <w:r>
        <w:rPr>
          <w:rFonts w:ascii="Times New Roman" w:hAnsi="Times New Roman"/>
          <w:color w:val="424242"/>
          <w:spacing w:val="-4"/>
          <w:w w:val="110"/>
        </w:rPr>
        <w:t>ng</w:t>
      </w:r>
      <w:r>
        <w:rPr>
          <w:rFonts w:ascii="Times New Roman" w:hAnsi="Times New Roman"/>
          <w:color w:val="424242"/>
          <w:spacing w:val="-15"/>
          <w:w w:val="110"/>
        </w:rPr>
        <w:t> </w:t>
      </w:r>
      <w:r>
        <w:rPr>
          <w:rFonts w:ascii="Times New Roman" w:hAnsi="Times New Roman"/>
          <w:color w:val="424242"/>
          <w:w w:val="110"/>
        </w:rPr>
        <w:t>that</w:t>
      </w:r>
      <w:r>
        <w:rPr>
          <w:rFonts w:ascii="Times New Roman" w:hAnsi="Times New Roman"/>
          <w:color w:val="424242"/>
          <w:spacing w:val="-18"/>
          <w:w w:val="110"/>
        </w:rPr>
        <w:t> </w:t>
      </w:r>
      <w:r>
        <w:rPr>
          <w:rFonts w:ascii="Times New Roman" w:hAnsi="Times New Roman"/>
          <w:color w:val="333333"/>
          <w:w w:val="110"/>
        </w:rPr>
        <w:t>86%</w:t>
      </w:r>
      <w:r>
        <w:rPr>
          <w:rFonts w:ascii="Times New Roman" w:hAnsi="Times New Roman"/>
          <w:color w:val="333333"/>
          <w:spacing w:val="-25"/>
          <w:w w:val="110"/>
        </w:rPr>
        <w:t> </w:t>
      </w:r>
      <w:r>
        <w:rPr>
          <w:rFonts w:ascii="Times New Roman" w:hAnsi="Times New Roman"/>
          <w:color w:val="424242"/>
          <w:w w:val="110"/>
        </w:rPr>
        <w:t>of</w:t>
      </w:r>
      <w:r>
        <w:rPr>
          <w:rFonts w:ascii="Times New Roman" w:hAnsi="Times New Roman"/>
          <w:color w:val="424242"/>
          <w:spacing w:val="-12"/>
          <w:w w:val="110"/>
        </w:rPr>
        <w:t> </w:t>
      </w:r>
      <w:r>
        <w:rPr>
          <w:rFonts w:ascii="Times New Roman" w:hAnsi="Times New Roman"/>
          <w:color w:val="424242"/>
          <w:w w:val="110"/>
        </w:rPr>
        <w:t>our</w:t>
      </w:r>
      <w:r>
        <w:rPr>
          <w:rFonts w:ascii="Times New Roman" w:hAnsi="Times New Roman"/>
          <w:color w:val="424242"/>
          <w:spacing w:val="-8"/>
          <w:w w:val="110"/>
        </w:rPr>
        <w:t> </w:t>
      </w:r>
      <w:r>
        <w:rPr>
          <w:rFonts w:ascii="Times New Roman" w:hAnsi="Times New Roman"/>
          <w:color w:val="333333"/>
          <w:w w:val="110"/>
        </w:rPr>
        <w:t>unrestricted</w:t>
      </w:r>
      <w:r>
        <w:rPr>
          <w:rFonts w:ascii="Times New Roman" w:hAnsi="Times New Roman"/>
          <w:color w:val="333333"/>
          <w:spacing w:val="-3"/>
          <w:w w:val="110"/>
        </w:rPr>
        <w:t> </w:t>
      </w:r>
      <w:r>
        <w:rPr>
          <w:rFonts w:ascii="Times New Roman" w:hAnsi="Times New Roman"/>
          <w:color w:val="424242"/>
          <w:w w:val="110"/>
        </w:rPr>
        <w:t>income</w:t>
      </w:r>
      <w:r>
        <w:rPr>
          <w:rFonts w:ascii="Times New Roman" w:hAnsi="Times New Roman"/>
          <w:color w:val="424242"/>
          <w:spacing w:val="-20"/>
          <w:w w:val="110"/>
        </w:rPr>
        <w:t> </w:t>
      </w:r>
      <w:r>
        <w:rPr>
          <w:rFonts w:ascii="Times New Roman" w:hAnsi="Times New Roman"/>
          <w:color w:val="424242"/>
          <w:w w:val="110"/>
        </w:rPr>
        <w:t>comes</w:t>
      </w:r>
      <w:r>
        <w:rPr>
          <w:rFonts w:ascii="Times New Roman" w:hAnsi="Times New Roman"/>
          <w:color w:val="424242"/>
          <w:spacing w:val="-26"/>
          <w:w w:val="110"/>
        </w:rPr>
        <w:t> </w:t>
      </w:r>
      <w:r>
        <w:rPr>
          <w:rFonts w:ascii="Times New Roman" w:hAnsi="Times New Roman"/>
          <w:color w:val="424242"/>
          <w:w w:val="110"/>
        </w:rPr>
        <w:t>from ministry</w:t>
      </w:r>
      <w:r>
        <w:rPr>
          <w:rFonts w:ascii="Times New Roman" w:hAnsi="Times New Roman"/>
          <w:color w:val="424242"/>
          <w:spacing w:val="-10"/>
          <w:w w:val="110"/>
        </w:rPr>
        <w:t> </w:t>
      </w:r>
      <w:r>
        <w:rPr>
          <w:rFonts w:ascii="Times New Roman" w:hAnsi="Times New Roman"/>
          <w:color w:val="424242"/>
          <w:w w:val="110"/>
        </w:rPr>
        <w:t>and</w:t>
      </w:r>
      <w:r>
        <w:rPr>
          <w:rFonts w:ascii="Times New Roman" w:hAnsi="Times New Roman"/>
          <w:color w:val="424242"/>
          <w:spacing w:val="-16"/>
          <w:w w:val="110"/>
        </w:rPr>
        <w:t> </w:t>
      </w:r>
      <w:r>
        <w:rPr>
          <w:rFonts w:ascii="Times New Roman" w:hAnsi="Times New Roman"/>
          <w:color w:val="424242"/>
          <w:w w:val="110"/>
        </w:rPr>
        <w:t>mission</w:t>
      </w:r>
      <w:r>
        <w:rPr>
          <w:rFonts w:ascii="Times New Roman" w:hAnsi="Times New Roman"/>
          <w:color w:val="424242"/>
          <w:spacing w:val="-16"/>
          <w:w w:val="110"/>
        </w:rPr>
        <w:t> </w:t>
      </w:r>
      <w:r>
        <w:rPr>
          <w:rFonts w:ascii="Times New Roman" w:hAnsi="Times New Roman"/>
          <w:color w:val="424242"/>
          <w:w w:val="110"/>
        </w:rPr>
        <w:t>fund</w:t>
      </w:r>
      <w:r>
        <w:rPr>
          <w:rFonts w:ascii="Times New Roman" w:hAnsi="Times New Roman"/>
          <w:color w:val="424242"/>
          <w:spacing w:val="-12"/>
          <w:w w:val="110"/>
        </w:rPr>
        <w:t> </w:t>
      </w:r>
      <w:r>
        <w:rPr>
          <w:rFonts w:ascii="Times New Roman" w:hAnsi="Times New Roman"/>
          <w:color w:val="424242"/>
          <w:spacing w:val="-4"/>
          <w:w w:val="110"/>
        </w:rPr>
        <w:t>contributions</w:t>
      </w:r>
      <w:r>
        <w:rPr>
          <w:rFonts w:ascii="Times New Roman" w:hAnsi="Times New Roman"/>
          <w:color w:val="5D5D5D"/>
          <w:spacing w:val="-4"/>
          <w:w w:val="110"/>
        </w:rPr>
        <w:t>,</w:t>
      </w:r>
      <w:r>
        <w:rPr>
          <w:rFonts w:ascii="Times New Roman" w:hAnsi="Times New Roman"/>
          <w:color w:val="5D5D5D"/>
          <w:spacing w:val="-5"/>
          <w:w w:val="110"/>
        </w:rPr>
        <w:t> </w:t>
      </w:r>
      <w:r>
        <w:rPr>
          <w:rFonts w:ascii="Times New Roman" w:hAnsi="Times New Roman"/>
          <w:color w:val="424242"/>
          <w:w w:val="110"/>
        </w:rPr>
        <w:t>which</w:t>
      </w:r>
      <w:r>
        <w:rPr>
          <w:rFonts w:ascii="Times New Roman" w:hAnsi="Times New Roman"/>
          <w:color w:val="424242"/>
          <w:spacing w:val="-13"/>
          <w:w w:val="110"/>
        </w:rPr>
        <w:t> </w:t>
      </w:r>
      <w:r>
        <w:rPr>
          <w:rFonts w:ascii="Times New Roman" w:hAnsi="Times New Roman"/>
          <w:color w:val="424242"/>
          <w:w w:val="110"/>
        </w:rPr>
        <w:t>tota</w:t>
      </w:r>
      <w:r>
        <w:rPr>
          <w:rFonts w:ascii="Times New Roman" w:hAnsi="Times New Roman"/>
          <w:color w:val="1C1C1C"/>
          <w:w w:val="110"/>
        </w:rPr>
        <w:t>l</w:t>
      </w:r>
      <w:r>
        <w:rPr>
          <w:rFonts w:ascii="Times New Roman" w:hAnsi="Times New Roman"/>
          <w:color w:val="1C1C1C"/>
          <w:spacing w:val="-8"/>
          <w:w w:val="110"/>
        </w:rPr>
        <w:t> </w:t>
      </w:r>
      <w:r>
        <w:rPr>
          <w:rFonts w:ascii="Times New Roman" w:hAnsi="Times New Roman"/>
          <w:color w:val="424242"/>
          <w:w w:val="110"/>
        </w:rPr>
        <w:t>over</w:t>
      </w:r>
      <w:r>
        <w:rPr>
          <w:rFonts w:ascii="Times New Roman" w:hAnsi="Times New Roman"/>
          <w:color w:val="424242"/>
          <w:spacing w:val="-16"/>
          <w:w w:val="110"/>
        </w:rPr>
        <w:t> </w:t>
      </w:r>
      <w:r>
        <w:rPr>
          <w:rFonts w:ascii="Times New Roman" w:hAnsi="Times New Roman"/>
          <w:color w:val="333333"/>
          <w:w w:val="110"/>
        </w:rPr>
        <w:t>£20million</w:t>
      </w:r>
      <w:r>
        <w:rPr>
          <w:rFonts w:ascii="Times New Roman" w:hAnsi="Times New Roman"/>
          <w:color w:val="333333"/>
          <w:spacing w:val="-4"/>
          <w:w w:val="110"/>
        </w:rPr>
        <w:t> </w:t>
      </w:r>
      <w:r>
        <w:rPr>
          <w:rFonts w:ascii="Times New Roman" w:hAnsi="Times New Roman"/>
          <w:color w:val="424242"/>
          <w:w w:val="110"/>
        </w:rPr>
        <w:t>for</w:t>
      </w:r>
      <w:r>
        <w:rPr>
          <w:rFonts w:ascii="Times New Roman" w:hAnsi="Times New Roman"/>
          <w:color w:val="424242"/>
          <w:spacing w:val="-12"/>
          <w:w w:val="110"/>
        </w:rPr>
        <w:t> </w:t>
      </w:r>
      <w:r>
        <w:rPr>
          <w:rFonts w:ascii="Times New Roman" w:hAnsi="Times New Roman"/>
          <w:color w:val="333333"/>
          <w:w w:val="110"/>
        </w:rPr>
        <w:t>the</w:t>
      </w:r>
      <w:r>
        <w:rPr>
          <w:rFonts w:ascii="Times New Roman" w:hAnsi="Times New Roman"/>
          <w:color w:val="333333"/>
          <w:spacing w:val="-5"/>
          <w:w w:val="110"/>
        </w:rPr>
        <w:t> </w:t>
      </w:r>
      <w:r>
        <w:rPr>
          <w:rFonts w:ascii="Times New Roman" w:hAnsi="Times New Roman"/>
          <w:color w:val="424242"/>
          <w:w w:val="110"/>
        </w:rPr>
        <w:t>first</w:t>
      </w:r>
      <w:r>
        <w:rPr>
          <w:rFonts w:ascii="Times New Roman" w:hAnsi="Times New Roman"/>
          <w:color w:val="424242"/>
          <w:spacing w:val="-23"/>
          <w:w w:val="110"/>
        </w:rPr>
        <w:t> </w:t>
      </w:r>
      <w:r>
        <w:rPr>
          <w:rFonts w:ascii="Times New Roman" w:hAnsi="Times New Roman"/>
          <w:color w:val="424242"/>
          <w:w w:val="110"/>
        </w:rPr>
        <w:t>time</w:t>
      </w:r>
      <w:r>
        <w:rPr>
          <w:rFonts w:ascii="Times New Roman" w:hAnsi="Times New Roman"/>
          <w:color w:val="424242"/>
          <w:spacing w:val="-22"/>
          <w:w w:val="110"/>
        </w:rPr>
        <w:t> </w:t>
      </w:r>
      <w:r>
        <w:rPr>
          <w:rFonts w:ascii="Times New Roman" w:hAnsi="Times New Roman"/>
          <w:color w:val="424242"/>
          <w:w w:val="110"/>
        </w:rPr>
        <w:t>and</w:t>
      </w:r>
      <w:r>
        <w:rPr>
          <w:rFonts w:ascii="Times New Roman" w:hAnsi="Times New Roman"/>
          <w:color w:val="424242"/>
          <w:spacing w:val="-15"/>
          <w:w w:val="110"/>
        </w:rPr>
        <w:t> </w:t>
      </w:r>
      <w:r>
        <w:rPr>
          <w:rFonts w:ascii="Times New Roman" w:hAnsi="Times New Roman"/>
          <w:color w:val="424242"/>
          <w:w w:val="110"/>
        </w:rPr>
        <w:t>which</w:t>
      </w:r>
      <w:r>
        <w:rPr>
          <w:rFonts w:ascii="Times New Roman" w:hAnsi="Times New Roman"/>
          <w:color w:val="424242"/>
          <w:spacing w:val="-19"/>
          <w:w w:val="110"/>
        </w:rPr>
        <w:t> </w:t>
      </w:r>
      <w:r>
        <w:rPr>
          <w:rFonts w:ascii="Times New Roman" w:hAnsi="Times New Roman"/>
          <w:color w:val="333333"/>
          <w:w w:val="110"/>
        </w:rPr>
        <w:t>exceeded</w:t>
      </w:r>
      <w:r>
        <w:rPr>
          <w:rFonts w:ascii="Times New Roman" w:hAnsi="Times New Roman"/>
          <w:color w:val="333333"/>
          <w:spacing w:val="-9"/>
          <w:w w:val="110"/>
        </w:rPr>
        <w:t> </w:t>
      </w:r>
      <w:r>
        <w:rPr>
          <w:rFonts w:ascii="Times New Roman" w:hAnsi="Times New Roman"/>
          <w:color w:val="333333"/>
          <w:w w:val="110"/>
        </w:rPr>
        <w:t>the </w:t>
      </w:r>
      <w:r>
        <w:rPr>
          <w:rFonts w:ascii="Times New Roman" w:hAnsi="Times New Roman"/>
          <w:color w:val="424242"/>
          <w:w w:val="110"/>
        </w:rPr>
        <w:t>amount</w:t>
      </w:r>
      <w:r>
        <w:rPr>
          <w:rFonts w:ascii="Times New Roman" w:hAnsi="Times New Roman"/>
          <w:color w:val="424242"/>
          <w:spacing w:val="-25"/>
          <w:w w:val="110"/>
        </w:rPr>
        <w:t> </w:t>
      </w:r>
      <w:r>
        <w:rPr>
          <w:rFonts w:ascii="Times New Roman" w:hAnsi="Times New Roman"/>
          <w:color w:val="424242"/>
          <w:w w:val="110"/>
        </w:rPr>
        <w:t>pledged</w:t>
      </w:r>
      <w:r>
        <w:rPr>
          <w:rFonts w:ascii="Times New Roman" w:hAnsi="Times New Roman"/>
          <w:color w:val="1C1C1C"/>
          <w:w w:val="110"/>
        </w:rPr>
        <w:t>.</w:t>
      </w:r>
      <w:r>
        <w:rPr>
          <w:rFonts w:ascii="Times New Roman" w:hAnsi="Times New Roman"/>
          <w:color w:val="1C1C1C"/>
          <w:spacing w:val="10"/>
          <w:w w:val="110"/>
        </w:rPr>
        <w:t> </w:t>
      </w:r>
      <w:r>
        <w:rPr>
          <w:rFonts w:ascii="Times New Roman" w:hAnsi="Times New Roman"/>
          <w:color w:val="333333"/>
          <w:w w:val="110"/>
        </w:rPr>
        <w:t>This</w:t>
      </w:r>
      <w:r>
        <w:rPr>
          <w:rFonts w:ascii="Times New Roman" w:hAnsi="Times New Roman"/>
          <w:color w:val="333333"/>
          <w:spacing w:val="-30"/>
          <w:w w:val="110"/>
        </w:rPr>
        <w:t> </w:t>
      </w:r>
      <w:r>
        <w:rPr>
          <w:rFonts w:ascii="Times New Roman" w:hAnsi="Times New Roman"/>
          <w:color w:val="333333"/>
          <w:w w:val="110"/>
        </w:rPr>
        <w:t>is</w:t>
      </w:r>
      <w:r>
        <w:rPr>
          <w:rFonts w:ascii="Times New Roman" w:hAnsi="Times New Roman"/>
          <w:color w:val="333333"/>
          <w:spacing w:val="-27"/>
          <w:w w:val="110"/>
        </w:rPr>
        <w:t> </w:t>
      </w:r>
      <w:r>
        <w:rPr>
          <w:rFonts w:ascii="Times New Roman" w:hAnsi="Times New Roman"/>
          <w:color w:val="424242"/>
          <w:w w:val="110"/>
        </w:rPr>
        <w:t>once</w:t>
      </w:r>
      <w:r>
        <w:rPr>
          <w:rFonts w:ascii="Times New Roman" w:hAnsi="Times New Roman"/>
          <w:color w:val="424242"/>
          <w:spacing w:val="-29"/>
          <w:w w:val="110"/>
        </w:rPr>
        <w:t> </w:t>
      </w:r>
      <w:r>
        <w:rPr>
          <w:rFonts w:ascii="Times New Roman" w:hAnsi="Times New Roman"/>
          <w:color w:val="424242"/>
          <w:w w:val="110"/>
        </w:rPr>
        <w:t>again</w:t>
      </w:r>
      <w:r>
        <w:rPr>
          <w:rFonts w:ascii="Times New Roman" w:hAnsi="Times New Roman"/>
          <w:color w:val="424242"/>
          <w:spacing w:val="-26"/>
          <w:w w:val="110"/>
        </w:rPr>
        <w:t> </w:t>
      </w:r>
      <w:r>
        <w:rPr>
          <w:rFonts w:ascii="Times New Roman" w:hAnsi="Times New Roman"/>
          <w:color w:val="424242"/>
          <w:w w:val="110"/>
        </w:rPr>
        <w:t>a</w:t>
      </w:r>
      <w:r>
        <w:rPr>
          <w:rFonts w:ascii="Times New Roman" w:hAnsi="Times New Roman"/>
          <w:color w:val="424242"/>
          <w:spacing w:val="-9"/>
          <w:w w:val="110"/>
        </w:rPr>
        <w:t> </w:t>
      </w:r>
      <w:r>
        <w:rPr>
          <w:rFonts w:ascii="Times New Roman" w:hAnsi="Times New Roman"/>
          <w:color w:val="424242"/>
          <w:w w:val="110"/>
        </w:rPr>
        <w:t>magnificent</w:t>
      </w:r>
      <w:r>
        <w:rPr>
          <w:rFonts w:ascii="Times New Roman" w:hAnsi="Times New Roman"/>
          <w:color w:val="424242"/>
          <w:spacing w:val="-23"/>
          <w:w w:val="110"/>
        </w:rPr>
        <w:t> </w:t>
      </w:r>
      <w:r>
        <w:rPr>
          <w:rFonts w:ascii="Times New Roman" w:hAnsi="Times New Roman"/>
          <w:color w:val="333333"/>
          <w:w w:val="110"/>
        </w:rPr>
        <w:t>effort</w:t>
      </w:r>
      <w:r>
        <w:rPr>
          <w:rFonts w:ascii="Times New Roman" w:hAnsi="Times New Roman"/>
          <w:color w:val="5D5D5D"/>
          <w:w w:val="110"/>
        </w:rPr>
        <w:t>,</w:t>
      </w:r>
      <w:r>
        <w:rPr>
          <w:rFonts w:ascii="Times New Roman" w:hAnsi="Times New Roman"/>
          <w:color w:val="5D5D5D"/>
          <w:spacing w:val="-17"/>
          <w:w w:val="110"/>
        </w:rPr>
        <w:t> </w:t>
      </w:r>
      <w:r>
        <w:rPr>
          <w:rFonts w:ascii="Times New Roman" w:hAnsi="Times New Roman"/>
          <w:color w:val="424242"/>
          <w:w w:val="110"/>
        </w:rPr>
        <w:t>enabling</w:t>
      </w:r>
      <w:r>
        <w:rPr>
          <w:rFonts w:ascii="Times New Roman" w:hAnsi="Times New Roman"/>
          <w:color w:val="424242"/>
          <w:spacing w:val="-21"/>
          <w:w w:val="110"/>
        </w:rPr>
        <w:t> </w:t>
      </w:r>
      <w:r>
        <w:rPr>
          <w:rFonts w:ascii="Times New Roman" w:hAnsi="Times New Roman"/>
          <w:color w:val="333333"/>
          <w:w w:val="110"/>
        </w:rPr>
        <w:t>us</w:t>
      </w:r>
      <w:r>
        <w:rPr>
          <w:rFonts w:ascii="Times New Roman" w:hAnsi="Times New Roman"/>
          <w:color w:val="333333"/>
          <w:spacing w:val="-26"/>
          <w:w w:val="110"/>
        </w:rPr>
        <w:t> </w:t>
      </w:r>
      <w:r>
        <w:rPr>
          <w:rFonts w:ascii="Times New Roman" w:hAnsi="Times New Roman"/>
          <w:color w:val="424242"/>
          <w:w w:val="110"/>
        </w:rPr>
        <w:t>to</w:t>
      </w:r>
      <w:r>
        <w:rPr>
          <w:rFonts w:ascii="Times New Roman" w:hAnsi="Times New Roman"/>
          <w:color w:val="424242"/>
          <w:spacing w:val="-21"/>
          <w:w w:val="110"/>
        </w:rPr>
        <w:t> </w:t>
      </w:r>
      <w:r>
        <w:rPr>
          <w:rFonts w:ascii="Times New Roman" w:hAnsi="Times New Roman"/>
          <w:color w:val="424242"/>
          <w:w w:val="110"/>
        </w:rPr>
        <w:t>support</w:t>
      </w:r>
      <w:r>
        <w:rPr>
          <w:rFonts w:ascii="Times New Roman" w:hAnsi="Times New Roman"/>
          <w:color w:val="424242"/>
          <w:spacing w:val="-26"/>
          <w:w w:val="110"/>
        </w:rPr>
        <w:t> </w:t>
      </w:r>
      <w:r>
        <w:rPr>
          <w:rFonts w:ascii="Times New Roman" w:hAnsi="Times New Roman"/>
          <w:color w:val="424242"/>
          <w:w w:val="110"/>
        </w:rPr>
        <w:t>ministry</w:t>
      </w:r>
      <w:r>
        <w:rPr>
          <w:rFonts w:ascii="Times New Roman" w:hAnsi="Times New Roman"/>
          <w:color w:val="424242"/>
          <w:spacing w:val="-18"/>
          <w:w w:val="110"/>
        </w:rPr>
        <w:t> </w:t>
      </w:r>
      <w:r>
        <w:rPr>
          <w:rFonts w:ascii="Times New Roman" w:hAnsi="Times New Roman"/>
          <w:color w:val="424242"/>
          <w:w w:val="110"/>
        </w:rPr>
        <w:t>and</w:t>
      </w:r>
      <w:r>
        <w:rPr>
          <w:rFonts w:ascii="Times New Roman" w:hAnsi="Times New Roman"/>
          <w:color w:val="424242"/>
          <w:spacing w:val="-18"/>
          <w:w w:val="110"/>
        </w:rPr>
        <w:t> </w:t>
      </w:r>
      <w:r>
        <w:rPr>
          <w:rFonts w:ascii="Times New Roman" w:hAnsi="Times New Roman"/>
          <w:color w:val="424242"/>
          <w:w w:val="110"/>
        </w:rPr>
        <w:t>mission</w:t>
      </w:r>
      <w:r>
        <w:rPr>
          <w:rFonts w:ascii="Times New Roman" w:hAnsi="Times New Roman"/>
          <w:color w:val="424242"/>
          <w:spacing w:val="-10"/>
          <w:w w:val="110"/>
        </w:rPr>
        <w:t> </w:t>
      </w:r>
      <w:r>
        <w:rPr>
          <w:rFonts w:ascii="Times New Roman" w:hAnsi="Times New Roman"/>
          <w:color w:val="424242"/>
          <w:w w:val="110"/>
        </w:rPr>
        <w:t>across</w:t>
      </w:r>
      <w:r>
        <w:rPr>
          <w:rFonts w:ascii="Times New Roman" w:hAnsi="Times New Roman"/>
          <w:color w:val="424242"/>
          <w:spacing w:val="-28"/>
          <w:w w:val="110"/>
        </w:rPr>
        <w:t> </w:t>
      </w:r>
      <w:r>
        <w:rPr>
          <w:rFonts w:ascii="Times New Roman" w:hAnsi="Times New Roman"/>
          <w:color w:val="333333"/>
          <w:w w:val="110"/>
        </w:rPr>
        <w:t>our three</w:t>
      </w:r>
      <w:r>
        <w:rPr>
          <w:rFonts w:ascii="Times New Roman" w:hAnsi="Times New Roman"/>
          <w:color w:val="333333"/>
          <w:spacing w:val="-21"/>
          <w:w w:val="110"/>
        </w:rPr>
        <w:t> </w:t>
      </w:r>
      <w:r>
        <w:rPr>
          <w:rFonts w:ascii="Times New Roman" w:hAnsi="Times New Roman"/>
          <w:color w:val="333333"/>
          <w:w w:val="110"/>
        </w:rPr>
        <w:t>nations,</w:t>
      </w:r>
      <w:r>
        <w:rPr>
          <w:rFonts w:ascii="Times New Roman" w:hAnsi="Times New Roman"/>
          <w:color w:val="333333"/>
          <w:spacing w:val="-25"/>
          <w:w w:val="110"/>
        </w:rPr>
        <w:t> </w:t>
      </w:r>
      <w:r>
        <w:rPr>
          <w:rFonts w:ascii="Times New Roman" w:hAnsi="Times New Roman"/>
          <w:color w:val="333333"/>
          <w:w w:val="110"/>
        </w:rPr>
        <w:t>and</w:t>
      </w:r>
      <w:r>
        <w:rPr>
          <w:rFonts w:ascii="Times New Roman" w:hAnsi="Times New Roman"/>
          <w:color w:val="333333"/>
          <w:spacing w:val="-5"/>
          <w:w w:val="110"/>
        </w:rPr>
        <w:t> </w:t>
      </w:r>
      <w:r>
        <w:rPr>
          <w:rFonts w:ascii="Times New Roman" w:hAnsi="Times New Roman"/>
          <w:color w:val="333333"/>
          <w:w w:val="110"/>
        </w:rPr>
        <w:t>is</w:t>
      </w:r>
      <w:r>
        <w:rPr>
          <w:rFonts w:ascii="Times New Roman" w:hAnsi="Times New Roman"/>
          <w:color w:val="333333"/>
          <w:spacing w:val="-14"/>
          <w:w w:val="110"/>
        </w:rPr>
        <w:t> </w:t>
      </w:r>
      <w:r>
        <w:rPr>
          <w:rFonts w:ascii="Times New Roman" w:hAnsi="Times New Roman"/>
          <w:color w:val="424242"/>
          <w:w w:val="110"/>
        </w:rPr>
        <w:t>the</w:t>
      </w:r>
      <w:r>
        <w:rPr>
          <w:rFonts w:ascii="Times New Roman" w:hAnsi="Times New Roman"/>
          <w:color w:val="424242"/>
          <w:spacing w:val="-17"/>
          <w:w w:val="110"/>
        </w:rPr>
        <w:t> </w:t>
      </w:r>
      <w:r>
        <w:rPr>
          <w:rFonts w:ascii="Times New Roman" w:hAnsi="Times New Roman"/>
          <w:color w:val="424242"/>
          <w:w w:val="110"/>
        </w:rPr>
        <w:t>major</w:t>
      </w:r>
      <w:r>
        <w:rPr>
          <w:rFonts w:ascii="Times New Roman" w:hAnsi="Times New Roman"/>
          <w:color w:val="424242"/>
          <w:spacing w:val="-22"/>
          <w:w w:val="110"/>
        </w:rPr>
        <w:t> </w:t>
      </w:r>
      <w:r>
        <w:rPr>
          <w:rFonts w:ascii="Times New Roman" w:hAnsi="Times New Roman"/>
          <w:color w:val="424242"/>
          <w:w w:val="110"/>
        </w:rPr>
        <w:t>way</w:t>
      </w:r>
      <w:r>
        <w:rPr>
          <w:rFonts w:ascii="Times New Roman" w:hAnsi="Times New Roman"/>
          <w:color w:val="424242"/>
          <w:spacing w:val="-8"/>
          <w:w w:val="110"/>
        </w:rPr>
        <w:t> </w:t>
      </w:r>
      <w:r>
        <w:rPr>
          <w:rFonts w:ascii="Times New Roman" w:hAnsi="Times New Roman"/>
          <w:color w:val="424242"/>
          <w:w w:val="110"/>
        </w:rPr>
        <w:t>in</w:t>
      </w:r>
      <w:r>
        <w:rPr>
          <w:rFonts w:ascii="Times New Roman" w:hAnsi="Times New Roman"/>
          <w:color w:val="424242"/>
          <w:spacing w:val="-20"/>
          <w:w w:val="110"/>
        </w:rPr>
        <w:t> </w:t>
      </w:r>
      <w:r>
        <w:rPr>
          <w:rFonts w:ascii="Times New Roman" w:hAnsi="Times New Roman"/>
          <w:color w:val="424242"/>
          <w:w w:val="110"/>
        </w:rPr>
        <w:t>which</w:t>
      </w:r>
      <w:r>
        <w:rPr>
          <w:rFonts w:ascii="Times New Roman" w:hAnsi="Times New Roman"/>
          <w:color w:val="424242"/>
          <w:spacing w:val="-18"/>
          <w:w w:val="110"/>
        </w:rPr>
        <w:t> </w:t>
      </w:r>
      <w:r>
        <w:rPr>
          <w:rFonts w:ascii="Times New Roman" w:hAnsi="Times New Roman"/>
          <w:color w:val="424242"/>
          <w:w w:val="110"/>
        </w:rPr>
        <w:t>we</w:t>
      </w:r>
      <w:r>
        <w:rPr>
          <w:rFonts w:ascii="Times New Roman" w:hAnsi="Times New Roman"/>
          <w:color w:val="424242"/>
          <w:spacing w:val="-20"/>
          <w:w w:val="110"/>
        </w:rPr>
        <w:t> </w:t>
      </w:r>
      <w:r>
        <w:rPr>
          <w:rFonts w:ascii="Times New Roman" w:hAnsi="Times New Roman"/>
          <w:color w:val="424242"/>
          <w:w w:val="110"/>
        </w:rPr>
        <w:t>fund,</w:t>
      </w:r>
      <w:r>
        <w:rPr>
          <w:rFonts w:ascii="Times New Roman" w:hAnsi="Times New Roman"/>
          <w:color w:val="424242"/>
          <w:spacing w:val="-19"/>
          <w:w w:val="110"/>
        </w:rPr>
        <w:t> </w:t>
      </w:r>
      <w:r>
        <w:rPr>
          <w:rFonts w:ascii="Times New Roman" w:hAnsi="Times New Roman"/>
          <w:color w:val="333333"/>
          <w:w w:val="110"/>
        </w:rPr>
        <w:t>in</w:t>
      </w:r>
      <w:r>
        <w:rPr>
          <w:rFonts w:ascii="Times New Roman" w:hAnsi="Times New Roman"/>
          <w:color w:val="333333"/>
          <w:spacing w:val="-9"/>
          <w:w w:val="110"/>
        </w:rPr>
        <w:t> </w:t>
      </w:r>
      <w:r>
        <w:rPr>
          <w:rFonts w:ascii="Times New Roman" w:hAnsi="Times New Roman"/>
          <w:color w:val="424242"/>
          <w:w w:val="110"/>
        </w:rPr>
        <w:t>partnership,</w:t>
      </w:r>
      <w:r>
        <w:rPr>
          <w:rFonts w:ascii="Times New Roman" w:hAnsi="Times New Roman"/>
          <w:color w:val="424242"/>
          <w:spacing w:val="-15"/>
          <w:w w:val="110"/>
        </w:rPr>
        <w:t> </w:t>
      </w:r>
      <w:r>
        <w:rPr>
          <w:rFonts w:ascii="Times New Roman" w:hAnsi="Times New Roman"/>
          <w:color w:val="424242"/>
          <w:w w:val="110"/>
        </w:rPr>
        <w:t>all</w:t>
      </w:r>
      <w:r>
        <w:rPr>
          <w:rFonts w:ascii="Times New Roman" w:hAnsi="Times New Roman"/>
          <w:color w:val="424242"/>
          <w:spacing w:val="-19"/>
          <w:w w:val="110"/>
        </w:rPr>
        <w:t> </w:t>
      </w:r>
      <w:r>
        <w:rPr>
          <w:rFonts w:ascii="Times New Roman" w:hAnsi="Times New Roman"/>
          <w:color w:val="424242"/>
          <w:w w:val="110"/>
        </w:rPr>
        <w:t>our</w:t>
      </w:r>
      <w:r>
        <w:rPr>
          <w:rFonts w:ascii="Times New Roman" w:hAnsi="Times New Roman"/>
          <w:color w:val="424242"/>
          <w:spacing w:val="-4"/>
          <w:w w:val="110"/>
        </w:rPr>
        <w:t> </w:t>
      </w:r>
      <w:r>
        <w:rPr>
          <w:rFonts w:ascii="Times New Roman" w:hAnsi="Times New Roman"/>
          <w:color w:val="424242"/>
          <w:w w:val="110"/>
        </w:rPr>
        <w:t>work</w:t>
      </w:r>
      <w:r>
        <w:rPr>
          <w:rFonts w:ascii="Times New Roman" w:hAnsi="Times New Roman"/>
          <w:color w:val="424242"/>
          <w:spacing w:val="-20"/>
          <w:w w:val="110"/>
        </w:rPr>
        <w:t> </w:t>
      </w:r>
      <w:r>
        <w:rPr>
          <w:rFonts w:ascii="Times New Roman" w:hAnsi="Times New Roman"/>
          <w:color w:val="424242"/>
          <w:w w:val="110"/>
        </w:rPr>
        <w:t>for</w:t>
      </w:r>
      <w:r>
        <w:rPr>
          <w:rFonts w:ascii="Times New Roman" w:hAnsi="Times New Roman"/>
          <w:color w:val="424242"/>
          <w:spacing w:val="-13"/>
          <w:w w:val="110"/>
        </w:rPr>
        <w:t> </w:t>
      </w:r>
      <w:r>
        <w:rPr>
          <w:rFonts w:ascii="Times New Roman" w:hAnsi="Times New Roman"/>
          <w:color w:val="424242"/>
          <w:w w:val="110"/>
        </w:rPr>
        <w:t>the</w:t>
      </w:r>
      <w:r>
        <w:rPr>
          <w:rFonts w:ascii="Times New Roman" w:hAnsi="Times New Roman"/>
          <w:color w:val="424242"/>
          <w:spacing w:val="-17"/>
          <w:w w:val="110"/>
        </w:rPr>
        <w:t> </w:t>
      </w:r>
      <w:r>
        <w:rPr>
          <w:rFonts w:ascii="Times New Roman" w:hAnsi="Times New Roman"/>
          <w:color w:val="424242"/>
          <w:w w:val="110"/>
        </w:rPr>
        <w:t>kingdom</w:t>
      </w:r>
      <w:r>
        <w:rPr>
          <w:rFonts w:ascii="Times New Roman" w:hAnsi="Times New Roman"/>
          <w:color w:val="424242"/>
          <w:spacing w:val="-7"/>
          <w:w w:val="110"/>
        </w:rPr>
        <w:t> </w:t>
      </w:r>
      <w:r>
        <w:rPr>
          <w:rFonts w:ascii="Times New Roman" w:hAnsi="Times New Roman"/>
          <w:color w:val="424242"/>
          <w:w w:val="110"/>
        </w:rPr>
        <w:t>of</w:t>
      </w:r>
      <w:r>
        <w:rPr>
          <w:rFonts w:ascii="Times New Roman" w:hAnsi="Times New Roman"/>
          <w:color w:val="424242"/>
          <w:spacing w:val="-8"/>
          <w:w w:val="110"/>
        </w:rPr>
        <w:t> </w:t>
      </w:r>
      <w:r>
        <w:rPr>
          <w:rFonts w:ascii="Times New Roman" w:hAnsi="Times New Roman"/>
          <w:color w:val="424242"/>
          <w:w w:val="110"/>
        </w:rPr>
        <w:t>God.</w:t>
      </w:r>
      <w:r>
        <w:rPr>
          <w:rFonts w:ascii="Times New Roman" w:hAnsi="Times New Roman"/>
          <w:color w:val="424242"/>
          <w:spacing w:val="14"/>
          <w:w w:val="110"/>
        </w:rPr>
        <w:t> </w:t>
      </w:r>
      <w:r>
        <w:rPr>
          <w:rFonts w:ascii="Times New Roman" w:hAnsi="Times New Roman"/>
          <w:color w:val="424242"/>
          <w:w w:val="110"/>
        </w:rPr>
        <w:t>The pie chart on page </w:t>
      </w:r>
      <w:r>
        <w:rPr>
          <w:rFonts w:ascii="Times New Roman" w:hAnsi="Times New Roman"/>
          <w:color w:val="333333"/>
          <w:w w:val="110"/>
        </w:rPr>
        <w:t>7 </w:t>
      </w:r>
      <w:r>
        <w:rPr>
          <w:rFonts w:ascii="Times New Roman" w:hAnsi="Times New Roman"/>
          <w:color w:val="424242"/>
          <w:w w:val="110"/>
        </w:rPr>
        <w:t>shows visually </w:t>
      </w:r>
      <w:r>
        <w:rPr>
          <w:rFonts w:ascii="Times New Roman" w:hAnsi="Times New Roman"/>
          <w:color w:val="333333"/>
          <w:w w:val="110"/>
        </w:rPr>
        <w:t>that </w:t>
      </w:r>
      <w:r>
        <w:rPr>
          <w:rFonts w:ascii="Times New Roman" w:hAnsi="Times New Roman"/>
          <w:color w:val="424242"/>
          <w:w w:val="110"/>
        </w:rPr>
        <w:t>87% of our unrestricted expenditure</w:t>
      </w:r>
      <w:r>
        <w:rPr>
          <w:rFonts w:ascii="Times New Roman" w:hAnsi="Times New Roman"/>
          <w:color w:val="5D5D5D"/>
          <w:w w:val="110"/>
        </w:rPr>
        <w:t>, </w:t>
      </w:r>
      <w:r>
        <w:rPr>
          <w:rFonts w:ascii="Times New Roman" w:hAnsi="Times New Roman"/>
          <w:color w:val="333333"/>
          <w:w w:val="110"/>
        </w:rPr>
        <w:t>totalling </w:t>
      </w:r>
      <w:r>
        <w:rPr>
          <w:rFonts w:ascii="Times New Roman" w:hAnsi="Times New Roman"/>
          <w:color w:val="424242"/>
          <w:w w:val="110"/>
        </w:rPr>
        <w:t>£19,432k</w:t>
      </w:r>
      <w:r>
        <w:rPr>
          <w:rFonts w:ascii="Times New Roman" w:hAnsi="Times New Roman"/>
          <w:color w:val="5D5D5D"/>
          <w:w w:val="110"/>
        </w:rPr>
        <w:t>, </w:t>
      </w:r>
      <w:r>
        <w:rPr>
          <w:rFonts w:ascii="Times New Roman" w:hAnsi="Times New Roman"/>
          <w:color w:val="424242"/>
          <w:w w:val="110"/>
        </w:rPr>
        <w:t>is used </w:t>
      </w:r>
      <w:r>
        <w:rPr>
          <w:rFonts w:ascii="Times New Roman" w:hAnsi="Times New Roman"/>
          <w:color w:val="333333"/>
          <w:w w:val="110"/>
        </w:rPr>
        <w:t>to </w:t>
      </w:r>
      <w:r>
        <w:rPr>
          <w:rFonts w:ascii="Times New Roman" w:hAnsi="Times New Roman"/>
          <w:color w:val="424242"/>
          <w:w w:val="110"/>
        </w:rPr>
        <w:t>provide</w:t>
      </w:r>
      <w:r>
        <w:rPr>
          <w:rFonts w:ascii="Times New Roman" w:hAnsi="Times New Roman"/>
          <w:color w:val="424242"/>
          <w:spacing w:val="-8"/>
          <w:w w:val="110"/>
        </w:rPr>
        <w:t> </w:t>
      </w:r>
      <w:r>
        <w:rPr>
          <w:rFonts w:ascii="Times New Roman" w:hAnsi="Times New Roman"/>
          <w:color w:val="424242"/>
          <w:w w:val="110"/>
        </w:rPr>
        <w:t>the</w:t>
      </w:r>
      <w:r>
        <w:rPr>
          <w:rFonts w:ascii="Times New Roman" w:hAnsi="Times New Roman"/>
          <w:color w:val="424242"/>
          <w:spacing w:val="-18"/>
          <w:w w:val="110"/>
        </w:rPr>
        <w:t> </w:t>
      </w:r>
      <w:r>
        <w:rPr>
          <w:rFonts w:ascii="Times New Roman" w:hAnsi="Times New Roman"/>
          <w:color w:val="424242"/>
          <w:w w:val="110"/>
        </w:rPr>
        <w:t>financial</w:t>
      </w:r>
      <w:r>
        <w:rPr>
          <w:rFonts w:ascii="Times New Roman" w:hAnsi="Times New Roman"/>
          <w:color w:val="424242"/>
          <w:spacing w:val="-9"/>
          <w:w w:val="110"/>
        </w:rPr>
        <w:t> </w:t>
      </w:r>
      <w:r>
        <w:rPr>
          <w:rFonts w:ascii="Times New Roman" w:hAnsi="Times New Roman"/>
          <w:color w:val="333333"/>
          <w:w w:val="110"/>
        </w:rPr>
        <w:t>resources</w:t>
      </w:r>
      <w:r>
        <w:rPr>
          <w:rFonts w:ascii="Times New Roman" w:hAnsi="Times New Roman"/>
          <w:color w:val="333333"/>
          <w:spacing w:val="-17"/>
          <w:w w:val="110"/>
        </w:rPr>
        <w:t> </w:t>
      </w:r>
      <w:r>
        <w:rPr>
          <w:rFonts w:ascii="Times New Roman" w:hAnsi="Times New Roman"/>
          <w:color w:val="424242"/>
          <w:w w:val="110"/>
        </w:rPr>
        <w:t>to</w:t>
      </w:r>
      <w:r>
        <w:rPr>
          <w:rFonts w:ascii="Times New Roman" w:hAnsi="Times New Roman"/>
          <w:color w:val="424242"/>
          <w:spacing w:val="-7"/>
          <w:w w:val="110"/>
        </w:rPr>
        <w:t> </w:t>
      </w:r>
      <w:r>
        <w:rPr>
          <w:rFonts w:ascii="Times New Roman" w:hAnsi="Times New Roman"/>
          <w:color w:val="424242"/>
          <w:spacing w:val="-3"/>
          <w:w w:val="110"/>
        </w:rPr>
        <w:t>train</w:t>
      </w:r>
      <w:r>
        <w:rPr>
          <w:rFonts w:ascii="Times New Roman" w:hAnsi="Times New Roman"/>
          <w:color w:val="5D5D5D"/>
          <w:spacing w:val="-3"/>
          <w:w w:val="110"/>
        </w:rPr>
        <w:t>,</w:t>
      </w:r>
      <w:r>
        <w:rPr>
          <w:rFonts w:ascii="Times New Roman" w:hAnsi="Times New Roman"/>
          <w:color w:val="5D5D5D"/>
          <w:w w:val="110"/>
        </w:rPr>
        <w:t> </w:t>
      </w:r>
      <w:r>
        <w:rPr>
          <w:rFonts w:ascii="Times New Roman" w:hAnsi="Times New Roman"/>
          <w:color w:val="424242"/>
          <w:w w:val="110"/>
        </w:rPr>
        <w:t>equip</w:t>
      </w:r>
      <w:r>
        <w:rPr>
          <w:rFonts w:ascii="Times New Roman" w:hAnsi="Times New Roman"/>
          <w:color w:val="424242"/>
          <w:spacing w:val="-20"/>
          <w:w w:val="110"/>
        </w:rPr>
        <w:t> </w:t>
      </w:r>
      <w:r>
        <w:rPr>
          <w:rFonts w:ascii="Times New Roman" w:hAnsi="Times New Roman"/>
          <w:color w:val="424242"/>
          <w:w w:val="110"/>
        </w:rPr>
        <w:t>and</w:t>
      </w:r>
      <w:r>
        <w:rPr>
          <w:rFonts w:ascii="Times New Roman" w:hAnsi="Times New Roman"/>
          <w:color w:val="424242"/>
          <w:spacing w:val="-13"/>
          <w:w w:val="110"/>
        </w:rPr>
        <w:t> </w:t>
      </w:r>
      <w:r>
        <w:rPr>
          <w:rFonts w:ascii="Times New Roman" w:hAnsi="Times New Roman"/>
          <w:color w:val="424242"/>
          <w:w w:val="110"/>
        </w:rPr>
        <w:t>provide</w:t>
      </w:r>
      <w:r>
        <w:rPr>
          <w:rFonts w:ascii="Times New Roman" w:hAnsi="Times New Roman"/>
          <w:color w:val="424242"/>
          <w:spacing w:val="-17"/>
          <w:w w:val="110"/>
        </w:rPr>
        <w:t> </w:t>
      </w:r>
      <w:r>
        <w:rPr>
          <w:rFonts w:ascii="Times New Roman" w:hAnsi="Times New Roman"/>
          <w:color w:val="333333"/>
          <w:w w:val="110"/>
        </w:rPr>
        <w:t>ministry.</w:t>
      </w:r>
    </w:p>
    <w:p>
      <w:pPr>
        <w:spacing w:before="103"/>
        <w:ind w:left="990" w:right="0" w:firstLine="0"/>
        <w:jc w:val="both"/>
        <w:rPr>
          <w:rFonts w:ascii="Times New Roman"/>
          <w:b/>
          <w:sz w:val="18"/>
        </w:rPr>
      </w:pPr>
      <w:r>
        <w:rPr>
          <w:rFonts w:ascii="Times New Roman"/>
          <w:b/>
          <w:color w:val="1C1C1C"/>
          <w:w w:val="110"/>
          <w:sz w:val="18"/>
        </w:rPr>
        <w:t>Donations</w:t>
      </w:r>
      <w:r>
        <w:rPr>
          <w:rFonts w:ascii="Times New Roman"/>
          <w:b/>
          <w:color w:val="424242"/>
          <w:w w:val="110"/>
          <w:sz w:val="18"/>
        </w:rPr>
        <w:t>, </w:t>
      </w:r>
      <w:r>
        <w:rPr>
          <w:rFonts w:ascii="Times New Roman"/>
          <w:b/>
          <w:color w:val="333333"/>
          <w:w w:val="110"/>
          <w:sz w:val="18"/>
        </w:rPr>
        <w:t>grants and </w:t>
      </w:r>
      <w:r>
        <w:rPr>
          <w:rFonts w:ascii="Times New Roman"/>
          <w:b/>
          <w:color w:val="1C1C1C"/>
          <w:w w:val="110"/>
          <w:sz w:val="18"/>
        </w:rPr>
        <w:t>legacie</w:t>
      </w:r>
      <w:r>
        <w:rPr>
          <w:rFonts w:ascii="Times New Roman"/>
          <w:b/>
          <w:color w:val="424242"/>
          <w:w w:val="110"/>
          <w:sz w:val="18"/>
        </w:rPr>
        <w:t>s</w:t>
      </w:r>
    </w:p>
    <w:p>
      <w:pPr>
        <w:pStyle w:val="BodyText"/>
        <w:spacing w:line="256" w:lineRule="auto" w:before="14"/>
        <w:ind w:left="981" w:right="912" w:firstLine="8"/>
        <w:jc w:val="both"/>
        <w:rPr>
          <w:rFonts w:ascii="Times New Roman"/>
        </w:rPr>
      </w:pPr>
      <w:r>
        <w:rPr>
          <w:rFonts w:ascii="Times New Roman"/>
          <w:color w:val="424242"/>
          <w:w w:val="110"/>
        </w:rPr>
        <w:t>We</w:t>
      </w:r>
      <w:r>
        <w:rPr>
          <w:rFonts w:ascii="Times New Roman"/>
          <w:color w:val="424242"/>
          <w:spacing w:val="-28"/>
          <w:w w:val="110"/>
        </w:rPr>
        <w:t> </w:t>
      </w:r>
      <w:r>
        <w:rPr>
          <w:rFonts w:ascii="Times New Roman"/>
          <w:color w:val="424242"/>
          <w:w w:val="110"/>
        </w:rPr>
        <w:t>are</w:t>
      </w:r>
      <w:r>
        <w:rPr>
          <w:rFonts w:ascii="Times New Roman"/>
          <w:color w:val="424242"/>
          <w:spacing w:val="-11"/>
          <w:w w:val="110"/>
        </w:rPr>
        <w:t> </w:t>
      </w:r>
      <w:r>
        <w:rPr>
          <w:rFonts w:ascii="Times New Roman"/>
          <w:color w:val="424242"/>
          <w:w w:val="110"/>
        </w:rPr>
        <w:t>very</w:t>
      </w:r>
      <w:r>
        <w:rPr>
          <w:rFonts w:ascii="Times New Roman"/>
          <w:color w:val="424242"/>
          <w:spacing w:val="-22"/>
          <w:w w:val="110"/>
        </w:rPr>
        <w:t> </w:t>
      </w:r>
      <w:r>
        <w:rPr>
          <w:rFonts w:ascii="Times New Roman"/>
          <w:color w:val="424242"/>
          <w:w w:val="110"/>
        </w:rPr>
        <w:t>grateful</w:t>
      </w:r>
      <w:r>
        <w:rPr>
          <w:rFonts w:ascii="Times New Roman"/>
          <w:color w:val="424242"/>
          <w:spacing w:val="-13"/>
          <w:w w:val="110"/>
        </w:rPr>
        <w:t> </w:t>
      </w:r>
      <w:r>
        <w:rPr>
          <w:rFonts w:ascii="Times New Roman"/>
          <w:color w:val="424242"/>
          <w:w w:val="110"/>
        </w:rPr>
        <w:t>for</w:t>
      </w:r>
      <w:r>
        <w:rPr>
          <w:rFonts w:ascii="Times New Roman"/>
          <w:color w:val="424242"/>
          <w:spacing w:val="-3"/>
          <w:w w:val="110"/>
        </w:rPr>
        <w:t> </w:t>
      </w:r>
      <w:r>
        <w:rPr>
          <w:rFonts w:ascii="Times New Roman"/>
          <w:color w:val="424242"/>
          <w:w w:val="110"/>
        </w:rPr>
        <w:t>regular</w:t>
      </w:r>
      <w:r>
        <w:rPr>
          <w:rFonts w:ascii="Times New Roman"/>
          <w:color w:val="424242"/>
          <w:spacing w:val="-19"/>
          <w:w w:val="110"/>
        </w:rPr>
        <w:t> </w:t>
      </w:r>
      <w:r>
        <w:rPr>
          <w:rFonts w:ascii="Times New Roman"/>
          <w:color w:val="424242"/>
          <w:w w:val="110"/>
        </w:rPr>
        <w:t>substantia</w:t>
      </w:r>
      <w:r>
        <w:rPr>
          <w:rFonts w:ascii="Times New Roman"/>
          <w:color w:val="1C1C1C"/>
          <w:w w:val="110"/>
        </w:rPr>
        <w:t>l</w:t>
      </w:r>
      <w:r>
        <w:rPr>
          <w:rFonts w:ascii="Times New Roman"/>
          <w:color w:val="1C1C1C"/>
          <w:spacing w:val="-12"/>
          <w:w w:val="110"/>
        </w:rPr>
        <w:t> </w:t>
      </w:r>
      <w:r>
        <w:rPr>
          <w:rFonts w:ascii="Times New Roman"/>
          <w:color w:val="424242"/>
          <w:w w:val="110"/>
        </w:rPr>
        <w:t>grants</w:t>
      </w:r>
      <w:r>
        <w:rPr>
          <w:rFonts w:ascii="Times New Roman"/>
          <w:color w:val="424242"/>
          <w:spacing w:val="-26"/>
          <w:w w:val="110"/>
        </w:rPr>
        <w:t> </w:t>
      </w:r>
      <w:r>
        <w:rPr>
          <w:rFonts w:ascii="Times New Roman"/>
          <w:color w:val="424242"/>
          <w:w w:val="110"/>
        </w:rPr>
        <w:t>from</w:t>
      </w:r>
      <w:r>
        <w:rPr>
          <w:rFonts w:ascii="Times New Roman"/>
          <w:color w:val="424242"/>
          <w:spacing w:val="-15"/>
          <w:w w:val="110"/>
        </w:rPr>
        <w:t> </w:t>
      </w:r>
      <w:r>
        <w:rPr>
          <w:rFonts w:ascii="Times New Roman"/>
          <w:color w:val="424242"/>
          <w:w w:val="110"/>
        </w:rPr>
        <w:t>a</w:t>
      </w:r>
      <w:r>
        <w:rPr>
          <w:rFonts w:ascii="Times New Roman"/>
          <w:color w:val="424242"/>
          <w:spacing w:val="-11"/>
          <w:w w:val="110"/>
        </w:rPr>
        <w:t> </w:t>
      </w:r>
      <w:r>
        <w:rPr>
          <w:rFonts w:ascii="Times New Roman"/>
          <w:color w:val="333333"/>
          <w:w w:val="110"/>
        </w:rPr>
        <w:t>number</w:t>
      </w:r>
      <w:r>
        <w:rPr>
          <w:rFonts w:ascii="Times New Roman"/>
          <w:color w:val="333333"/>
          <w:spacing w:val="-19"/>
          <w:w w:val="110"/>
        </w:rPr>
        <w:t> </w:t>
      </w:r>
      <w:r>
        <w:rPr>
          <w:rFonts w:ascii="Times New Roman"/>
          <w:color w:val="424242"/>
          <w:w w:val="110"/>
        </w:rPr>
        <w:t>of</w:t>
      </w:r>
      <w:r>
        <w:rPr>
          <w:rFonts w:ascii="Times New Roman"/>
          <w:color w:val="424242"/>
          <w:spacing w:val="-15"/>
          <w:w w:val="110"/>
        </w:rPr>
        <w:t> </w:t>
      </w:r>
      <w:r>
        <w:rPr>
          <w:rFonts w:ascii="Times New Roman"/>
          <w:color w:val="424242"/>
          <w:w w:val="110"/>
        </w:rPr>
        <w:t>trusts,</w:t>
      </w:r>
      <w:r>
        <w:rPr>
          <w:rFonts w:ascii="Times New Roman"/>
          <w:color w:val="424242"/>
          <w:spacing w:val="-21"/>
          <w:w w:val="110"/>
        </w:rPr>
        <w:t> </w:t>
      </w:r>
      <w:r>
        <w:rPr>
          <w:rFonts w:ascii="Times New Roman"/>
          <w:color w:val="333333"/>
          <w:w w:val="110"/>
        </w:rPr>
        <w:t>detailed</w:t>
      </w:r>
      <w:r>
        <w:rPr>
          <w:rFonts w:ascii="Times New Roman"/>
          <w:color w:val="333333"/>
          <w:spacing w:val="-19"/>
          <w:w w:val="110"/>
        </w:rPr>
        <w:t> </w:t>
      </w:r>
      <w:r>
        <w:rPr>
          <w:rFonts w:ascii="Times New Roman"/>
          <w:color w:val="333333"/>
          <w:w w:val="110"/>
        </w:rPr>
        <w:t>in</w:t>
      </w:r>
      <w:r>
        <w:rPr>
          <w:rFonts w:ascii="Times New Roman"/>
          <w:color w:val="333333"/>
          <w:spacing w:val="-14"/>
          <w:w w:val="110"/>
        </w:rPr>
        <w:t> </w:t>
      </w:r>
      <w:r>
        <w:rPr>
          <w:rFonts w:ascii="Times New Roman"/>
          <w:color w:val="424242"/>
          <w:spacing w:val="-3"/>
          <w:w w:val="110"/>
        </w:rPr>
        <w:t>no</w:t>
      </w:r>
      <w:r>
        <w:rPr>
          <w:rFonts w:ascii="Times New Roman"/>
          <w:color w:val="1C1C1C"/>
          <w:spacing w:val="-3"/>
          <w:w w:val="110"/>
        </w:rPr>
        <w:t>te</w:t>
      </w:r>
      <w:r>
        <w:rPr>
          <w:rFonts w:ascii="Times New Roman"/>
          <w:color w:val="1C1C1C"/>
          <w:spacing w:val="-13"/>
          <w:w w:val="110"/>
        </w:rPr>
        <w:t> </w:t>
      </w:r>
      <w:r>
        <w:rPr>
          <w:rFonts w:ascii="Times New Roman"/>
          <w:color w:val="333333"/>
          <w:w w:val="110"/>
        </w:rPr>
        <w:t>2(b)</w:t>
      </w:r>
      <w:r>
        <w:rPr>
          <w:rFonts w:ascii="Times New Roman"/>
          <w:color w:val="333333"/>
          <w:spacing w:val="-25"/>
          <w:w w:val="110"/>
        </w:rPr>
        <w:t> </w:t>
      </w:r>
      <w:r>
        <w:rPr>
          <w:rFonts w:ascii="Times New Roman"/>
          <w:color w:val="1C1C1C"/>
          <w:spacing w:val="-7"/>
          <w:w w:val="110"/>
        </w:rPr>
        <w:t>t</w:t>
      </w:r>
      <w:r>
        <w:rPr>
          <w:rFonts w:ascii="Times New Roman"/>
          <w:color w:val="424242"/>
          <w:spacing w:val="-7"/>
          <w:w w:val="110"/>
        </w:rPr>
        <w:t>o</w:t>
      </w:r>
      <w:r>
        <w:rPr>
          <w:rFonts w:ascii="Times New Roman"/>
          <w:color w:val="424242"/>
          <w:spacing w:val="-15"/>
          <w:w w:val="110"/>
        </w:rPr>
        <w:t> </w:t>
      </w:r>
      <w:r>
        <w:rPr>
          <w:rFonts w:ascii="Times New Roman"/>
          <w:color w:val="424242"/>
          <w:w w:val="110"/>
        </w:rPr>
        <w:t>the</w:t>
      </w:r>
      <w:r>
        <w:rPr>
          <w:rFonts w:ascii="Times New Roman"/>
          <w:color w:val="424242"/>
          <w:spacing w:val="-21"/>
          <w:w w:val="110"/>
        </w:rPr>
        <w:t> </w:t>
      </w:r>
      <w:r>
        <w:rPr>
          <w:rFonts w:ascii="Times New Roman"/>
          <w:color w:val="424242"/>
          <w:w w:val="110"/>
        </w:rPr>
        <w:t>accounts, as</w:t>
      </w:r>
      <w:r>
        <w:rPr>
          <w:rFonts w:ascii="Times New Roman"/>
          <w:color w:val="424242"/>
          <w:spacing w:val="-6"/>
          <w:w w:val="110"/>
        </w:rPr>
        <w:t> </w:t>
      </w:r>
      <w:r>
        <w:rPr>
          <w:rFonts w:ascii="Times New Roman"/>
          <w:color w:val="424242"/>
          <w:w w:val="110"/>
        </w:rPr>
        <w:t>well</w:t>
      </w:r>
      <w:r>
        <w:rPr>
          <w:rFonts w:ascii="Times New Roman"/>
          <w:color w:val="424242"/>
          <w:spacing w:val="-8"/>
          <w:w w:val="110"/>
        </w:rPr>
        <w:t> </w:t>
      </w:r>
      <w:r>
        <w:rPr>
          <w:rFonts w:ascii="Times New Roman"/>
          <w:color w:val="424242"/>
          <w:w w:val="110"/>
        </w:rPr>
        <w:t>as</w:t>
      </w:r>
      <w:r>
        <w:rPr>
          <w:rFonts w:ascii="Times New Roman"/>
          <w:color w:val="424242"/>
          <w:spacing w:val="-4"/>
          <w:w w:val="110"/>
        </w:rPr>
        <w:t> </w:t>
      </w:r>
      <w:r>
        <w:rPr>
          <w:rFonts w:ascii="Times New Roman"/>
          <w:color w:val="424242"/>
          <w:w w:val="110"/>
        </w:rPr>
        <w:t>for</w:t>
      </w:r>
      <w:r>
        <w:rPr>
          <w:rFonts w:ascii="Times New Roman"/>
          <w:color w:val="424242"/>
          <w:spacing w:val="-5"/>
          <w:w w:val="110"/>
        </w:rPr>
        <w:t> </w:t>
      </w:r>
      <w:r>
        <w:rPr>
          <w:rFonts w:ascii="Times New Roman"/>
          <w:color w:val="424242"/>
          <w:w w:val="110"/>
        </w:rPr>
        <w:t>many</w:t>
      </w:r>
      <w:r>
        <w:rPr>
          <w:rFonts w:ascii="Times New Roman"/>
          <w:color w:val="424242"/>
          <w:spacing w:val="-11"/>
          <w:w w:val="110"/>
        </w:rPr>
        <w:t> </w:t>
      </w:r>
      <w:r>
        <w:rPr>
          <w:rFonts w:ascii="Times New Roman"/>
          <w:color w:val="424242"/>
          <w:w w:val="110"/>
        </w:rPr>
        <w:t>other</w:t>
      </w:r>
      <w:r>
        <w:rPr>
          <w:rFonts w:ascii="Times New Roman"/>
          <w:color w:val="424242"/>
          <w:spacing w:val="-4"/>
          <w:w w:val="110"/>
        </w:rPr>
        <w:t> </w:t>
      </w:r>
      <w:r>
        <w:rPr>
          <w:rFonts w:ascii="Times New Roman"/>
          <w:color w:val="333333"/>
          <w:w w:val="110"/>
        </w:rPr>
        <w:t>donations.</w:t>
      </w:r>
      <w:r>
        <w:rPr>
          <w:rFonts w:ascii="Times New Roman"/>
          <w:color w:val="333333"/>
          <w:spacing w:val="2"/>
          <w:w w:val="110"/>
        </w:rPr>
        <w:t> </w:t>
      </w:r>
      <w:r>
        <w:rPr>
          <w:rFonts w:ascii="Times New Roman"/>
          <w:color w:val="333333"/>
          <w:w w:val="110"/>
        </w:rPr>
        <w:t>We</w:t>
      </w:r>
      <w:r>
        <w:rPr>
          <w:rFonts w:ascii="Times New Roman"/>
          <w:color w:val="333333"/>
          <w:spacing w:val="-10"/>
          <w:w w:val="110"/>
        </w:rPr>
        <w:t> </w:t>
      </w:r>
      <w:r>
        <w:rPr>
          <w:rFonts w:ascii="Times New Roman"/>
          <w:color w:val="333333"/>
          <w:w w:val="110"/>
        </w:rPr>
        <w:t>do</w:t>
      </w:r>
      <w:r>
        <w:rPr>
          <w:rFonts w:ascii="Times New Roman"/>
          <w:color w:val="333333"/>
          <w:spacing w:val="3"/>
          <w:w w:val="110"/>
        </w:rPr>
        <w:t> </w:t>
      </w:r>
      <w:r>
        <w:rPr>
          <w:rFonts w:ascii="Times New Roman"/>
          <w:color w:val="424242"/>
          <w:w w:val="110"/>
        </w:rPr>
        <w:t>not</w:t>
      </w:r>
      <w:r>
        <w:rPr>
          <w:rFonts w:ascii="Times New Roman"/>
          <w:color w:val="424242"/>
          <w:spacing w:val="-6"/>
          <w:w w:val="110"/>
        </w:rPr>
        <w:t> </w:t>
      </w:r>
      <w:r>
        <w:rPr>
          <w:rFonts w:ascii="Times New Roman"/>
          <w:color w:val="424242"/>
          <w:w w:val="110"/>
        </w:rPr>
        <w:t>include</w:t>
      </w:r>
      <w:r>
        <w:rPr>
          <w:rFonts w:ascii="Times New Roman"/>
          <w:color w:val="424242"/>
          <w:spacing w:val="-4"/>
          <w:w w:val="110"/>
        </w:rPr>
        <w:t> </w:t>
      </w:r>
      <w:r>
        <w:rPr>
          <w:rFonts w:ascii="Times New Roman"/>
          <w:color w:val="333333"/>
          <w:w w:val="110"/>
        </w:rPr>
        <w:t>anything</w:t>
      </w:r>
      <w:r>
        <w:rPr>
          <w:rFonts w:ascii="Times New Roman"/>
          <w:color w:val="333333"/>
          <w:spacing w:val="-12"/>
          <w:w w:val="110"/>
        </w:rPr>
        <w:t> </w:t>
      </w:r>
      <w:r>
        <w:rPr>
          <w:rFonts w:ascii="Times New Roman"/>
          <w:color w:val="424242"/>
          <w:w w:val="110"/>
        </w:rPr>
        <w:t>for</w:t>
      </w:r>
      <w:r>
        <w:rPr>
          <w:rFonts w:ascii="Times New Roman"/>
          <w:color w:val="424242"/>
          <w:spacing w:val="5"/>
          <w:w w:val="110"/>
        </w:rPr>
        <w:t> </w:t>
      </w:r>
      <w:r>
        <w:rPr>
          <w:rFonts w:ascii="Times New Roman"/>
          <w:color w:val="333333"/>
          <w:w w:val="110"/>
        </w:rPr>
        <w:t>legacies</w:t>
      </w:r>
      <w:r>
        <w:rPr>
          <w:rFonts w:ascii="Times New Roman"/>
          <w:color w:val="333333"/>
          <w:spacing w:val="-4"/>
          <w:w w:val="110"/>
        </w:rPr>
        <w:t> </w:t>
      </w:r>
      <w:r>
        <w:rPr>
          <w:rFonts w:ascii="Times New Roman"/>
          <w:color w:val="424242"/>
          <w:w w:val="110"/>
        </w:rPr>
        <w:t>in</w:t>
      </w:r>
      <w:r>
        <w:rPr>
          <w:rFonts w:ascii="Times New Roman"/>
          <w:color w:val="424242"/>
          <w:spacing w:val="-9"/>
          <w:w w:val="110"/>
        </w:rPr>
        <w:t> </w:t>
      </w:r>
      <w:r>
        <w:rPr>
          <w:rFonts w:ascii="Times New Roman"/>
          <w:color w:val="424242"/>
          <w:w w:val="110"/>
        </w:rPr>
        <w:t>our</w:t>
      </w:r>
      <w:r>
        <w:rPr>
          <w:rFonts w:ascii="Times New Roman"/>
          <w:color w:val="424242"/>
          <w:spacing w:val="4"/>
          <w:w w:val="110"/>
        </w:rPr>
        <w:t> </w:t>
      </w:r>
      <w:r>
        <w:rPr>
          <w:rFonts w:ascii="Times New Roman"/>
          <w:color w:val="424242"/>
          <w:w w:val="110"/>
        </w:rPr>
        <w:t>budget</w:t>
      </w:r>
      <w:r>
        <w:rPr>
          <w:rFonts w:ascii="Times New Roman"/>
          <w:color w:val="424242"/>
          <w:spacing w:val="-3"/>
          <w:w w:val="110"/>
        </w:rPr>
        <w:t> </w:t>
      </w:r>
      <w:r>
        <w:rPr>
          <w:rFonts w:ascii="Times New Roman"/>
          <w:color w:val="424242"/>
          <w:w w:val="110"/>
        </w:rPr>
        <w:t>as</w:t>
      </w:r>
      <w:r>
        <w:rPr>
          <w:rFonts w:ascii="Times New Roman"/>
          <w:color w:val="424242"/>
          <w:spacing w:val="-1"/>
          <w:w w:val="110"/>
        </w:rPr>
        <w:t> </w:t>
      </w:r>
      <w:r>
        <w:rPr>
          <w:rFonts w:ascii="Times New Roman"/>
          <w:color w:val="424242"/>
          <w:w w:val="110"/>
        </w:rPr>
        <w:t>in</w:t>
      </w:r>
      <w:r>
        <w:rPr>
          <w:rFonts w:ascii="Times New Roman"/>
          <w:color w:val="424242"/>
          <w:spacing w:val="-5"/>
          <w:w w:val="110"/>
        </w:rPr>
        <w:t> </w:t>
      </w:r>
      <w:r>
        <w:rPr>
          <w:rFonts w:ascii="Times New Roman"/>
          <w:color w:val="333333"/>
          <w:w w:val="110"/>
        </w:rPr>
        <w:t>recent</w:t>
      </w:r>
      <w:r>
        <w:rPr>
          <w:rFonts w:ascii="Times New Roman"/>
          <w:color w:val="333333"/>
          <w:spacing w:val="-5"/>
          <w:w w:val="110"/>
        </w:rPr>
        <w:t> </w:t>
      </w:r>
      <w:r>
        <w:rPr>
          <w:rFonts w:ascii="Times New Roman"/>
          <w:color w:val="424242"/>
          <w:w w:val="110"/>
        </w:rPr>
        <w:t>years they</w:t>
      </w:r>
      <w:r>
        <w:rPr>
          <w:rFonts w:ascii="Times New Roman"/>
          <w:color w:val="424242"/>
          <w:spacing w:val="-9"/>
          <w:w w:val="110"/>
        </w:rPr>
        <w:t> </w:t>
      </w:r>
      <w:r>
        <w:rPr>
          <w:rFonts w:ascii="Times New Roman"/>
          <w:color w:val="424242"/>
          <w:w w:val="110"/>
        </w:rPr>
        <w:t>have</w:t>
      </w:r>
      <w:r>
        <w:rPr>
          <w:rFonts w:ascii="Times New Roman"/>
          <w:color w:val="424242"/>
          <w:spacing w:val="-23"/>
          <w:w w:val="110"/>
        </w:rPr>
        <w:t> </w:t>
      </w:r>
      <w:r>
        <w:rPr>
          <w:rFonts w:ascii="Times New Roman"/>
          <w:color w:val="333333"/>
          <w:w w:val="110"/>
        </w:rPr>
        <w:t>fluctuated</w:t>
      </w:r>
      <w:r>
        <w:rPr>
          <w:rFonts w:ascii="Times New Roman"/>
          <w:color w:val="333333"/>
          <w:spacing w:val="-12"/>
          <w:w w:val="110"/>
        </w:rPr>
        <w:t> </w:t>
      </w:r>
      <w:r>
        <w:rPr>
          <w:rFonts w:ascii="Times New Roman"/>
          <w:color w:val="424242"/>
          <w:spacing w:val="-4"/>
          <w:w w:val="110"/>
        </w:rPr>
        <w:t>widely</w:t>
      </w:r>
      <w:r>
        <w:rPr>
          <w:rFonts w:ascii="Times New Roman"/>
          <w:color w:val="1C1C1C"/>
          <w:spacing w:val="-4"/>
          <w:w w:val="110"/>
        </w:rPr>
        <w:t>.</w:t>
      </w:r>
      <w:r>
        <w:rPr>
          <w:rFonts w:ascii="Times New Roman"/>
          <w:color w:val="1C1C1C"/>
          <w:spacing w:val="-13"/>
          <w:w w:val="110"/>
        </w:rPr>
        <w:t> </w:t>
      </w:r>
      <w:r>
        <w:rPr>
          <w:rFonts w:ascii="Times New Roman"/>
          <w:color w:val="424242"/>
          <w:w w:val="110"/>
        </w:rPr>
        <w:t>However,</w:t>
      </w:r>
      <w:r>
        <w:rPr>
          <w:rFonts w:ascii="Times New Roman"/>
          <w:color w:val="424242"/>
          <w:spacing w:val="-12"/>
          <w:w w:val="110"/>
        </w:rPr>
        <w:t> </w:t>
      </w:r>
      <w:r>
        <w:rPr>
          <w:rFonts w:ascii="Times New Roman"/>
          <w:color w:val="424242"/>
          <w:w w:val="110"/>
        </w:rPr>
        <w:t>we</w:t>
      </w:r>
      <w:r>
        <w:rPr>
          <w:rFonts w:ascii="Times New Roman"/>
          <w:color w:val="424242"/>
          <w:spacing w:val="-13"/>
          <w:w w:val="110"/>
        </w:rPr>
        <w:t> </w:t>
      </w:r>
      <w:r>
        <w:rPr>
          <w:rFonts w:ascii="Times New Roman"/>
          <w:color w:val="333333"/>
          <w:w w:val="110"/>
        </w:rPr>
        <w:t>rely</w:t>
      </w:r>
      <w:r>
        <w:rPr>
          <w:rFonts w:ascii="Times New Roman"/>
          <w:color w:val="333333"/>
          <w:spacing w:val="-14"/>
          <w:w w:val="110"/>
        </w:rPr>
        <w:t> </w:t>
      </w:r>
      <w:r>
        <w:rPr>
          <w:rFonts w:ascii="Times New Roman"/>
          <w:color w:val="424242"/>
          <w:w w:val="110"/>
        </w:rPr>
        <w:t>on</w:t>
      </w:r>
      <w:r>
        <w:rPr>
          <w:rFonts w:ascii="Times New Roman"/>
          <w:color w:val="424242"/>
          <w:spacing w:val="-2"/>
          <w:w w:val="110"/>
        </w:rPr>
        <w:t> </w:t>
      </w:r>
      <w:r>
        <w:rPr>
          <w:rFonts w:ascii="Times New Roman"/>
          <w:color w:val="424242"/>
          <w:w w:val="110"/>
        </w:rPr>
        <w:t>income</w:t>
      </w:r>
      <w:r>
        <w:rPr>
          <w:rFonts w:ascii="Times New Roman"/>
          <w:color w:val="424242"/>
          <w:spacing w:val="-20"/>
          <w:w w:val="110"/>
        </w:rPr>
        <w:t> </w:t>
      </w:r>
      <w:r>
        <w:rPr>
          <w:rFonts w:ascii="Times New Roman"/>
          <w:color w:val="424242"/>
          <w:w w:val="110"/>
        </w:rPr>
        <w:t>from</w:t>
      </w:r>
      <w:r>
        <w:rPr>
          <w:rFonts w:ascii="Times New Roman"/>
          <w:color w:val="424242"/>
          <w:spacing w:val="-17"/>
          <w:w w:val="110"/>
        </w:rPr>
        <w:t> </w:t>
      </w:r>
      <w:r>
        <w:rPr>
          <w:rFonts w:ascii="Times New Roman"/>
          <w:color w:val="424242"/>
          <w:w w:val="110"/>
        </w:rPr>
        <w:t>this</w:t>
      </w:r>
      <w:r>
        <w:rPr>
          <w:rFonts w:ascii="Times New Roman"/>
          <w:color w:val="424242"/>
          <w:spacing w:val="-28"/>
          <w:w w:val="110"/>
        </w:rPr>
        <w:t> </w:t>
      </w:r>
      <w:r>
        <w:rPr>
          <w:rFonts w:ascii="Times New Roman"/>
          <w:color w:val="424242"/>
          <w:w w:val="110"/>
        </w:rPr>
        <w:t>source</w:t>
      </w:r>
      <w:r>
        <w:rPr>
          <w:rFonts w:ascii="Times New Roman"/>
          <w:color w:val="424242"/>
          <w:spacing w:val="-21"/>
          <w:w w:val="110"/>
        </w:rPr>
        <w:t> </w:t>
      </w:r>
      <w:r>
        <w:rPr>
          <w:rFonts w:ascii="Times New Roman"/>
          <w:color w:val="424242"/>
          <w:w w:val="110"/>
        </w:rPr>
        <w:t>to</w:t>
      </w:r>
      <w:r>
        <w:rPr>
          <w:rFonts w:ascii="Times New Roman"/>
          <w:color w:val="424242"/>
          <w:spacing w:val="-20"/>
          <w:w w:val="110"/>
        </w:rPr>
        <w:t> </w:t>
      </w:r>
      <w:r>
        <w:rPr>
          <w:rFonts w:ascii="Times New Roman"/>
          <w:color w:val="333333"/>
          <w:w w:val="110"/>
        </w:rPr>
        <w:t>help</w:t>
      </w:r>
      <w:r>
        <w:rPr>
          <w:rFonts w:ascii="Times New Roman"/>
          <w:color w:val="333333"/>
          <w:spacing w:val="-22"/>
          <w:w w:val="110"/>
        </w:rPr>
        <w:t> </w:t>
      </w:r>
      <w:r>
        <w:rPr>
          <w:rFonts w:ascii="Times New Roman"/>
          <w:color w:val="333333"/>
          <w:w w:val="110"/>
        </w:rPr>
        <w:t>to</w:t>
      </w:r>
      <w:r>
        <w:rPr>
          <w:rFonts w:ascii="Times New Roman"/>
          <w:color w:val="333333"/>
          <w:spacing w:val="-15"/>
          <w:w w:val="110"/>
        </w:rPr>
        <w:t> </w:t>
      </w:r>
      <w:r>
        <w:rPr>
          <w:rFonts w:ascii="Times New Roman"/>
          <w:color w:val="424242"/>
          <w:spacing w:val="-5"/>
          <w:w w:val="110"/>
        </w:rPr>
        <w:t>compensate</w:t>
      </w:r>
      <w:r>
        <w:rPr>
          <w:rFonts w:ascii="Times New Roman"/>
          <w:color w:val="5D5D5D"/>
          <w:spacing w:val="-5"/>
          <w:w w:val="110"/>
        </w:rPr>
        <w:t>,</w:t>
      </w:r>
      <w:r>
        <w:rPr>
          <w:rFonts w:ascii="Times New Roman"/>
          <w:color w:val="5D5D5D"/>
          <w:spacing w:val="-9"/>
          <w:w w:val="110"/>
        </w:rPr>
        <w:t> </w:t>
      </w:r>
      <w:r>
        <w:rPr>
          <w:rFonts w:ascii="Times New Roman"/>
          <w:color w:val="424242"/>
          <w:w w:val="110"/>
        </w:rPr>
        <w:t>over</w:t>
      </w:r>
      <w:r>
        <w:rPr>
          <w:rFonts w:ascii="Times New Roman"/>
          <w:color w:val="424242"/>
          <w:spacing w:val="-24"/>
          <w:w w:val="110"/>
        </w:rPr>
        <w:t> </w:t>
      </w:r>
      <w:r>
        <w:rPr>
          <w:rFonts w:ascii="Times New Roman"/>
          <w:color w:val="424242"/>
          <w:w w:val="110"/>
        </w:rPr>
        <w:t>time,</w:t>
      </w:r>
      <w:r>
        <w:rPr>
          <w:rFonts w:ascii="Times New Roman"/>
          <w:color w:val="424242"/>
          <w:spacing w:val="-27"/>
          <w:w w:val="110"/>
        </w:rPr>
        <w:t> </w:t>
      </w:r>
      <w:r>
        <w:rPr>
          <w:rFonts w:ascii="Times New Roman"/>
          <w:color w:val="424242"/>
          <w:w w:val="110"/>
        </w:rPr>
        <w:t>for budget</w:t>
      </w:r>
      <w:r>
        <w:rPr>
          <w:rFonts w:ascii="Times New Roman"/>
          <w:color w:val="424242"/>
          <w:spacing w:val="-19"/>
          <w:w w:val="110"/>
        </w:rPr>
        <w:t> </w:t>
      </w:r>
      <w:r>
        <w:rPr>
          <w:rFonts w:ascii="Times New Roman"/>
          <w:color w:val="333333"/>
          <w:w w:val="110"/>
        </w:rPr>
        <w:t>deficits</w:t>
      </w:r>
      <w:r>
        <w:rPr>
          <w:rFonts w:ascii="Times New Roman"/>
          <w:color w:val="333333"/>
          <w:spacing w:val="-18"/>
          <w:w w:val="110"/>
        </w:rPr>
        <w:t> </w:t>
      </w:r>
      <w:r>
        <w:rPr>
          <w:rFonts w:ascii="Times New Roman"/>
          <w:color w:val="333333"/>
          <w:w w:val="110"/>
        </w:rPr>
        <w:t>and</w:t>
      </w:r>
      <w:r>
        <w:rPr>
          <w:rFonts w:ascii="Times New Roman"/>
          <w:color w:val="333333"/>
          <w:spacing w:val="-14"/>
          <w:w w:val="110"/>
        </w:rPr>
        <w:t> </w:t>
      </w:r>
      <w:r>
        <w:rPr>
          <w:rFonts w:ascii="Times New Roman"/>
          <w:color w:val="424242"/>
          <w:w w:val="110"/>
        </w:rPr>
        <w:t>other</w:t>
      </w:r>
      <w:r>
        <w:rPr>
          <w:rFonts w:ascii="Times New Roman"/>
          <w:color w:val="424242"/>
          <w:spacing w:val="-22"/>
          <w:w w:val="110"/>
        </w:rPr>
        <w:t> </w:t>
      </w:r>
      <w:r>
        <w:rPr>
          <w:rFonts w:ascii="Times New Roman"/>
          <w:color w:val="333333"/>
          <w:w w:val="110"/>
        </w:rPr>
        <w:t>adverse</w:t>
      </w:r>
      <w:r>
        <w:rPr>
          <w:rFonts w:ascii="Times New Roman"/>
          <w:color w:val="333333"/>
          <w:spacing w:val="-25"/>
          <w:w w:val="110"/>
        </w:rPr>
        <w:t> </w:t>
      </w:r>
      <w:r>
        <w:rPr>
          <w:rFonts w:ascii="Times New Roman"/>
          <w:color w:val="333333"/>
          <w:w w:val="110"/>
        </w:rPr>
        <w:t>events.</w:t>
      </w:r>
    </w:p>
    <w:p>
      <w:pPr>
        <w:spacing w:before="115"/>
        <w:ind w:left="979" w:right="0" w:firstLine="0"/>
        <w:jc w:val="both"/>
        <w:rPr>
          <w:rFonts w:ascii="Times New Roman"/>
          <w:b/>
          <w:sz w:val="18"/>
        </w:rPr>
      </w:pPr>
      <w:r>
        <w:rPr>
          <w:rFonts w:ascii="Times New Roman"/>
          <w:b/>
          <w:color w:val="1C1C1C"/>
          <w:w w:val="105"/>
          <w:sz w:val="18"/>
        </w:rPr>
        <w:t>Investment income</w:t>
      </w:r>
    </w:p>
    <w:p>
      <w:pPr>
        <w:pStyle w:val="BodyText"/>
        <w:spacing w:before="14"/>
        <w:ind w:left="977"/>
        <w:jc w:val="both"/>
        <w:rPr>
          <w:rFonts w:ascii="Times New Roman"/>
        </w:rPr>
      </w:pPr>
      <w:r>
        <w:rPr>
          <w:rFonts w:ascii="Times New Roman"/>
          <w:color w:val="424242"/>
          <w:w w:val="105"/>
        </w:rPr>
        <w:t>The change </w:t>
      </w:r>
      <w:r>
        <w:rPr>
          <w:rFonts w:ascii="Times New Roman"/>
          <w:color w:val="333333"/>
          <w:w w:val="105"/>
          <w:sz w:val="17"/>
        </w:rPr>
        <w:t>in </w:t>
      </w:r>
      <w:r>
        <w:rPr>
          <w:rFonts w:ascii="Times New Roman"/>
          <w:color w:val="333333"/>
          <w:w w:val="105"/>
        </w:rPr>
        <w:t>investment </w:t>
      </w:r>
      <w:r>
        <w:rPr>
          <w:rFonts w:ascii="Times New Roman"/>
          <w:color w:val="424242"/>
          <w:w w:val="105"/>
        </w:rPr>
        <w:t>policy </w:t>
      </w:r>
      <w:r>
        <w:rPr>
          <w:rFonts w:ascii="Times New Roman"/>
          <w:color w:val="333333"/>
          <w:w w:val="105"/>
        </w:rPr>
        <w:t>referred </w:t>
      </w:r>
      <w:r>
        <w:rPr>
          <w:rFonts w:ascii="Times New Roman"/>
          <w:color w:val="424242"/>
          <w:w w:val="105"/>
        </w:rPr>
        <w:t>to above accounts for part of this </w:t>
      </w:r>
      <w:r>
        <w:rPr>
          <w:rFonts w:ascii="Times New Roman"/>
          <w:color w:val="333333"/>
          <w:w w:val="105"/>
        </w:rPr>
        <w:t>increase.</w:t>
      </w:r>
    </w:p>
    <w:p>
      <w:pPr>
        <w:spacing w:after="0"/>
        <w:jc w:val="both"/>
        <w:rPr>
          <w:rFonts w:ascii="Times New Roman"/>
        </w:rPr>
        <w:sectPr>
          <w:type w:val="continuous"/>
          <w:pgSz w:w="10950" w:h="15880"/>
          <w:pgMar w:top="680" w:bottom="280" w:left="500" w:right="0"/>
        </w:sectPr>
      </w:pPr>
    </w:p>
    <w:p>
      <w:pPr>
        <w:pStyle w:val="BodyText"/>
        <w:spacing w:before="75"/>
        <w:ind w:left="1010"/>
        <w:rPr>
          <w:rFonts w:ascii="Times New Roman"/>
          <w:sz w:val="22"/>
        </w:rPr>
      </w:pPr>
      <w:r>
        <w:rPr>
          <w:rFonts w:ascii="Times New Roman"/>
          <w:color w:val="444444"/>
          <w:w w:val="105"/>
        </w:rPr>
        <w:t>ACCOUNTS page </w:t>
      </w:r>
      <w:r>
        <w:rPr>
          <w:rFonts w:ascii="Times New Roman"/>
          <w:color w:val="343434"/>
          <w:w w:val="105"/>
          <w:sz w:val="22"/>
        </w:rPr>
        <w:t>5</w:t>
      </w:r>
    </w:p>
    <w:p>
      <w:pPr>
        <w:pStyle w:val="BodyText"/>
        <w:spacing w:before="9"/>
        <w:rPr>
          <w:rFonts w:ascii="Times New Roman"/>
          <w:sz w:val="17"/>
        </w:rPr>
      </w:pPr>
    </w:p>
    <w:p>
      <w:pPr>
        <w:spacing w:before="91"/>
        <w:ind w:left="1292" w:right="1233" w:firstLine="0"/>
        <w:jc w:val="center"/>
        <w:rPr>
          <w:rFonts w:ascii="Times New Roman"/>
          <w:b/>
          <w:sz w:val="22"/>
        </w:rPr>
      </w:pPr>
      <w:r>
        <w:rPr>
          <w:rFonts w:ascii="Times New Roman"/>
          <w:b/>
          <w:color w:val="1C1C1C"/>
          <w:w w:val="105"/>
          <w:sz w:val="22"/>
        </w:rPr>
        <w:t>TRUSTEE</w:t>
      </w:r>
      <w:r>
        <w:rPr>
          <w:rFonts w:ascii="Times New Roman"/>
          <w:b/>
          <w:color w:val="444444"/>
          <w:w w:val="105"/>
          <w:sz w:val="22"/>
        </w:rPr>
        <w:t>'S </w:t>
      </w:r>
      <w:r>
        <w:rPr>
          <w:rFonts w:ascii="Times New Roman"/>
          <w:b/>
          <w:color w:val="343434"/>
          <w:w w:val="105"/>
          <w:sz w:val="22"/>
        </w:rPr>
        <w:t>REPORT CONTINUED</w:t>
      </w:r>
    </w:p>
    <w:p>
      <w:pPr>
        <w:pStyle w:val="BodyText"/>
        <w:spacing w:before="7"/>
        <w:rPr>
          <w:rFonts w:ascii="Times New Roman"/>
          <w:b/>
          <w:sz w:val="20"/>
        </w:rPr>
      </w:pPr>
    </w:p>
    <w:p>
      <w:pPr>
        <w:spacing w:before="0"/>
        <w:ind w:left="1008" w:right="0" w:firstLine="0"/>
        <w:jc w:val="left"/>
        <w:rPr>
          <w:rFonts w:ascii="Times New Roman"/>
          <w:b/>
          <w:sz w:val="18"/>
        </w:rPr>
      </w:pPr>
      <w:r>
        <w:rPr>
          <w:rFonts w:ascii="Times New Roman"/>
          <w:b/>
          <w:color w:val="1C1C1C"/>
          <w:w w:val="105"/>
          <w:sz w:val="18"/>
        </w:rPr>
        <w:t>Income from </w:t>
      </w:r>
      <w:r>
        <w:rPr>
          <w:rFonts w:ascii="Times New Roman"/>
          <w:b/>
          <w:color w:val="343434"/>
          <w:w w:val="105"/>
          <w:sz w:val="18"/>
        </w:rPr>
        <w:t>charitable </w:t>
      </w:r>
      <w:r>
        <w:rPr>
          <w:rFonts w:ascii="Times New Roman"/>
          <w:b/>
          <w:color w:val="1C1C1C"/>
          <w:w w:val="105"/>
          <w:sz w:val="18"/>
        </w:rPr>
        <w:t>activities</w:t>
      </w:r>
    </w:p>
    <w:p>
      <w:pPr>
        <w:pStyle w:val="BodyText"/>
        <w:spacing w:line="252" w:lineRule="auto" w:before="14"/>
        <w:ind w:left="1005" w:right="1046" w:hanging="9"/>
        <w:rPr>
          <w:rFonts w:ascii="Times New Roman"/>
        </w:rPr>
      </w:pPr>
      <w:r>
        <w:rPr>
          <w:rFonts w:ascii="Times New Roman"/>
          <w:color w:val="444444"/>
          <w:w w:val="105"/>
        </w:rPr>
        <w:t>This income, which </w:t>
      </w:r>
      <w:r>
        <w:rPr>
          <w:rFonts w:ascii="Times New Roman"/>
          <w:color w:val="343434"/>
          <w:w w:val="105"/>
        </w:rPr>
        <w:t>has largely </w:t>
      </w:r>
      <w:r>
        <w:rPr>
          <w:rFonts w:ascii="Times New Roman"/>
          <w:color w:val="444444"/>
          <w:w w:val="105"/>
        </w:rPr>
        <w:t>in the </w:t>
      </w:r>
      <w:r>
        <w:rPr>
          <w:rFonts w:ascii="Times New Roman"/>
          <w:color w:val="343434"/>
          <w:w w:val="105"/>
        </w:rPr>
        <w:t>past </w:t>
      </w:r>
      <w:r>
        <w:rPr>
          <w:rFonts w:ascii="Times New Roman"/>
          <w:color w:val="444444"/>
          <w:w w:val="105"/>
        </w:rPr>
        <w:t>been deducted from the associated </w:t>
      </w:r>
      <w:r>
        <w:rPr>
          <w:rFonts w:ascii="Times New Roman"/>
          <w:color w:val="343434"/>
          <w:w w:val="105"/>
        </w:rPr>
        <w:t>expenditure, </w:t>
      </w:r>
      <w:r>
        <w:rPr>
          <w:rFonts w:ascii="Times New Roman"/>
          <w:color w:val="444444"/>
          <w:w w:val="105"/>
        </w:rPr>
        <w:t>includes rental </w:t>
      </w:r>
      <w:r>
        <w:rPr>
          <w:rFonts w:ascii="Times New Roman"/>
          <w:color w:val="343434"/>
          <w:w w:val="105"/>
        </w:rPr>
        <w:t>income </w:t>
      </w:r>
      <w:r>
        <w:rPr>
          <w:rFonts w:ascii="Times New Roman"/>
          <w:color w:val="444444"/>
          <w:w w:val="105"/>
        </w:rPr>
        <w:t>from </w:t>
      </w:r>
      <w:r>
        <w:rPr>
          <w:rFonts w:ascii="Times New Roman"/>
          <w:color w:val="343434"/>
          <w:w w:val="105"/>
        </w:rPr>
        <w:t>retired ministers' housing </w:t>
      </w:r>
      <w:r>
        <w:rPr>
          <w:rFonts w:ascii="Times New Roman"/>
          <w:color w:val="444444"/>
          <w:w w:val="105"/>
        </w:rPr>
        <w:t>properties, the </w:t>
      </w:r>
      <w:r>
        <w:rPr>
          <w:rFonts w:ascii="Times New Roman"/>
          <w:color w:val="343434"/>
          <w:w w:val="105"/>
        </w:rPr>
        <w:t>accommodation,</w:t>
      </w:r>
      <w:r>
        <w:rPr>
          <w:rFonts w:ascii="Times New Roman"/>
          <w:color w:val="444444"/>
          <w:w w:val="105"/>
        </w:rPr>
        <w:t>catering </w:t>
      </w:r>
      <w:r>
        <w:rPr>
          <w:rFonts w:ascii="Times New Roman"/>
          <w:color w:val="343434"/>
          <w:w w:val="105"/>
        </w:rPr>
        <w:t>and </w:t>
      </w:r>
      <w:r>
        <w:rPr>
          <w:rFonts w:ascii="Times New Roman"/>
          <w:color w:val="444444"/>
          <w:w w:val="105"/>
        </w:rPr>
        <w:t>fee </w:t>
      </w:r>
      <w:r>
        <w:rPr>
          <w:rFonts w:ascii="Times New Roman"/>
          <w:color w:val="343434"/>
          <w:w w:val="105"/>
        </w:rPr>
        <w:t>income </w:t>
      </w:r>
      <w:r>
        <w:rPr>
          <w:rFonts w:ascii="Times New Roman"/>
          <w:color w:val="444444"/>
          <w:w w:val="105"/>
        </w:rPr>
        <w:t>of Westminster College and the </w:t>
      </w:r>
      <w:r>
        <w:rPr>
          <w:rFonts w:ascii="Times New Roman"/>
          <w:color w:val="343434"/>
          <w:w w:val="105"/>
        </w:rPr>
        <w:t>Windermere </w:t>
      </w:r>
      <w:r>
        <w:rPr>
          <w:rFonts w:ascii="Times New Roman"/>
          <w:color w:val="444444"/>
          <w:w w:val="105"/>
        </w:rPr>
        <w:t>Centre, as we</w:t>
      </w:r>
      <w:r>
        <w:rPr>
          <w:rFonts w:ascii="Times New Roman"/>
          <w:color w:val="1C1C1C"/>
          <w:w w:val="105"/>
        </w:rPr>
        <w:t>ll </w:t>
      </w:r>
      <w:r>
        <w:rPr>
          <w:rFonts w:ascii="Times New Roman"/>
          <w:color w:val="444444"/>
          <w:w w:val="105"/>
        </w:rPr>
        <w:t>as </w:t>
      </w:r>
      <w:r>
        <w:rPr>
          <w:rFonts w:ascii="Times New Roman"/>
          <w:color w:val="343434"/>
          <w:w w:val="105"/>
        </w:rPr>
        <w:t>book </w:t>
      </w:r>
      <w:r>
        <w:rPr>
          <w:rFonts w:ascii="Times New Roman"/>
          <w:color w:val="444444"/>
          <w:w w:val="105"/>
        </w:rPr>
        <w:t>sales and subscriptions </w:t>
      </w:r>
      <w:r>
        <w:rPr>
          <w:rFonts w:ascii="Times New Roman"/>
          <w:color w:val="444444"/>
          <w:w w:val="105"/>
          <w:sz w:val="19"/>
        </w:rPr>
        <w:t>to </w:t>
      </w:r>
      <w:r>
        <w:rPr>
          <w:rFonts w:ascii="Times New Roman"/>
          <w:color w:val="444444"/>
          <w:w w:val="105"/>
        </w:rPr>
        <w:t>Reform.</w:t>
      </w:r>
    </w:p>
    <w:p>
      <w:pPr>
        <w:spacing w:before="116"/>
        <w:ind w:left="1005" w:right="0" w:firstLine="0"/>
        <w:jc w:val="left"/>
        <w:rPr>
          <w:rFonts w:ascii="Times New Roman"/>
          <w:b/>
          <w:sz w:val="18"/>
        </w:rPr>
      </w:pPr>
      <w:r>
        <w:rPr>
          <w:rFonts w:ascii="Times New Roman"/>
          <w:b/>
          <w:color w:val="343434"/>
          <w:w w:val="105"/>
          <w:sz w:val="18"/>
        </w:rPr>
        <w:t>Other incoming </w:t>
      </w:r>
      <w:r>
        <w:rPr>
          <w:rFonts w:ascii="Times New Roman"/>
          <w:b/>
          <w:color w:val="1C1C1C"/>
          <w:w w:val="105"/>
          <w:sz w:val="18"/>
        </w:rPr>
        <w:t>resources</w:t>
      </w:r>
    </w:p>
    <w:p>
      <w:pPr>
        <w:pStyle w:val="BodyText"/>
        <w:spacing w:line="259" w:lineRule="auto" w:before="4"/>
        <w:ind w:left="995" w:right="940"/>
        <w:rPr>
          <w:rFonts w:ascii="Times New Roman" w:hAnsi="Times New Roman"/>
        </w:rPr>
      </w:pPr>
      <w:r>
        <w:rPr>
          <w:rFonts w:ascii="Times New Roman" w:hAnsi="Times New Roman"/>
          <w:color w:val="444444"/>
          <w:w w:val="105"/>
        </w:rPr>
        <w:t>This </w:t>
      </w:r>
      <w:r>
        <w:rPr>
          <w:rFonts w:ascii="Times New Roman" w:hAnsi="Times New Roman"/>
          <w:color w:val="343434"/>
          <w:w w:val="105"/>
        </w:rPr>
        <w:t>largely </w:t>
      </w:r>
      <w:r>
        <w:rPr>
          <w:rFonts w:ascii="Times New Roman" w:hAnsi="Times New Roman"/>
          <w:color w:val="1C1C1C"/>
          <w:w w:val="105"/>
        </w:rPr>
        <w:t>r</w:t>
      </w:r>
      <w:r>
        <w:rPr>
          <w:rFonts w:ascii="Times New Roman" w:hAnsi="Times New Roman"/>
          <w:color w:val="444444"/>
          <w:w w:val="105"/>
        </w:rPr>
        <w:t>e</w:t>
      </w:r>
      <w:r>
        <w:rPr>
          <w:rFonts w:ascii="Times New Roman" w:hAnsi="Times New Roman"/>
          <w:color w:val="1C1C1C"/>
          <w:w w:val="105"/>
        </w:rPr>
        <w:t>pr</w:t>
      </w:r>
      <w:r>
        <w:rPr>
          <w:rFonts w:ascii="Times New Roman" w:hAnsi="Times New Roman"/>
          <w:color w:val="444444"/>
          <w:w w:val="105"/>
        </w:rPr>
        <w:t>esents profits from selling retired ministers' housing </w:t>
      </w:r>
      <w:r>
        <w:rPr>
          <w:rFonts w:ascii="Times New Roman" w:hAnsi="Times New Roman"/>
          <w:color w:val="343434"/>
          <w:w w:val="105"/>
        </w:rPr>
        <w:t>properties </w:t>
      </w:r>
      <w:r>
        <w:rPr>
          <w:rFonts w:ascii="Times New Roman" w:hAnsi="Times New Roman"/>
          <w:color w:val="444444"/>
          <w:w w:val="105"/>
        </w:rPr>
        <w:t>when they fall vacant, which are </w:t>
      </w:r>
      <w:r>
        <w:rPr>
          <w:rFonts w:ascii="Times New Roman" w:hAnsi="Times New Roman"/>
          <w:color w:val="343434"/>
          <w:w w:val="105"/>
        </w:rPr>
        <w:t>retained in </w:t>
      </w:r>
      <w:r>
        <w:rPr>
          <w:rFonts w:ascii="Times New Roman" w:hAnsi="Times New Roman"/>
          <w:color w:val="444444"/>
          <w:w w:val="105"/>
        </w:rPr>
        <w:t>order </w:t>
      </w:r>
      <w:r>
        <w:rPr>
          <w:rFonts w:ascii="Times New Roman" w:hAnsi="Times New Roman"/>
          <w:color w:val="343434"/>
          <w:w w:val="105"/>
        </w:rPr>
        <w:t>to </w:t>
      </w:r>
      <w:r>
        <w:rPr>
          <w:rFonts w:ascii="Times New Roman" w:hAnsi="Times New Roman"/>
          <w:color w:val="444444"/>
          <w:w w:val="105"/>
        </w:rPr>
        <w:t>acquire </w:t>
      </w:r>
      <w:r>
        <w:rPr>
          <w:rFonts w:ascii="Times New Roman" w:hAnsi="Times New Roman"/>
          <w:color w:val="343434"/>
          <w:w w:val="105"/>
        </w:rPr>
        <w:t>replacement property. </w:t>
      </w:r>
      <w:r>
        <w:rPr>
          <w:rFonts w:ascii="Times New Roman" w:hAnsi="Times New Roman"/>
          <w:color w:val="444444"/>
          <w:w w:val="105"/>
        </w:rPr>
        <w:t>A </w:t>
      </w:r>
      <w:r>
        <w:rPr>
          <w:rFonts w:ascii="Times New Roman" w:hAnsi="Times New Roman"/>
          <w:color w:val="343434"/>
          <w:w w:val="105"/>
        </w:rPr>
        <w:t>more </w:t>
      </w:r>
      <w:r>
        <w:rPr>
          <w:rFonts w:ascii="Times New Roman" w:hAnsi="Times New Roman"/>
          <w:color w:val="444444"/>
          <w:w w:val="105"/>
        </w:rPr>
        <w:t>buoyant </w:t>
      </w:r>
      <w:r>
        <w:rPr>
          <w:rFonts w:ascii="Times New Roman" w:hAnsi="Times New Roman"/>
          <w:color w:val="343434"/>
          <w:w w:val="105"/>
        </w:rPr>
        <w:t>housing </w:t>
      </w:r>
      <w:r>
        <w:rPr>
          <w:rFonts w:ascii="Times New Roman" w:hAnsi="Times New Roman"/>
          <w:color w:val="444444"/>
          <w:w w:val="105"/>
        </w:rPr>
        <w:t>market </w:t>
      </w:r>
      <w:r>
        <w:rPr>
          <w:rFonts w:ascii="Times New Roman" w:hAnsi="Times New Roman"/>
          <w:color w:val="343434"/>
          <w:w w:val="105"/>
        </w:rPr>
        <w:t>in 2006 helped </w:t>
      </w:r>
      <w:r>
        <w:rPr>
          <w:rFonts w:ascii="Times New Roman" w:hAnsi="Times New Roman"/>
          <w:color w:val="444444"/>
          <w:w w:val="105"/>
        </w:rPr>
        <w:t>us </w:t>
      </w:r>
      <w:r>
        <w:rPr>
          <w:rFonts w:ascii="Times New Roman" w:hAnsi="Times New Roman"/>
          <w:color w:val="1C1C1C"/>
          <w:w w:val="105"/>
        </w:rPr>
        <w:t>t</w:t>
      </w:r>
      <w:r>
        <w:rPr>
          <w:rFonts w:ascii="Times New Roman" w:hAnsi="Times New Roman"/>
          <w:color w:val="444444"/>
          <w:w w:val="105"/>
        </w:rPr>
        <w:t>o dispose of some 'hard to sell' properties, and as </w:t>
      </w:r>
      <w:r>
        <w:rPr>
          <w:rFonts w:ascii="Times New Roman" w:hAnsi="Times New Roman"/>
          <w:color w:val="343434"/>
          <w:w w:val="105"/>
        </w:rPr>
        <w:t>a result the cost </w:t>
      </w:r>
      <w:r>
        <w:rPr>
          <w:rFonts w:ascii="Times New Roman" w:hAnsi="Times New Roman"/>
          <w:color w:val="444444"/>
          <w:w w:val="105"/>
        </w:rPr>
        <w:t>of </w:t>
      </w:r>
      <w:r>
        <w:rPr>
          <w:rFonts w:ascii="Times New Roman" w:hAnsi="Times New Roman"/>
          <w:color w:val="343434"/>
          <w:w w:val="105"/>
        </w:rPr>
        <w:t>acquiring replacement </w:t>
      </w:r>
      <w:r>
        <w:rPr>
          <w:rFonts w:ascii="Times New Roman" w:hAnsi="Times New Roman"/>
          <w:color w:val="444444"/>
          <w:w w:val="105"/>
        </w:rPr>
        <w:t>property was matched during the year by </w:t>
      </w:r>
      <w:r>
        <w:rPr>
          <w:rFonts w:ascii="Times New Roman" w:hAnsi="Times New Roman"/>
          <w:color w:val="343434"/>
          <w:w w:val="105"/>
        </w:rPr>
        <w:t>receipts </w:t>
      </w:r>
      <w:r>
        <w:rPr>
          <w:rFonts w:ascii="Times New Roman" w:hAnsi="Times New Roman"/>
          <w:color w:val="444444"/>
          <w:w w:val="105"/>
        </w:rPr>
        <w:t>from disposals</w:t>
      </w:r>
      <w:r>
        <w:rPr>
          <w:rFonts w:ascii="Times New Roman" w:hAnsi="Times New Roman"/>
          <w:color w:val="1C1C1C"/>
          <w:w w:val="105"/>
        </w:rPr>
        <w:t>. </w:t>
      </w:r>
      <w:r>
        <w:rPr>
          <w:rFonts w:ascii="Times New Roman" w:hAnsi="Times New Roman"/>
          <w:color w:val="444444"/>
          <w:w w:val="105"/>
        </w:rPr>
        <w:t>In addition, proceeds of over £I </w:t>
      </w:r>
      <w:r>
        <w:rPr>
          <w:rFonts w:ascii="Times New Roman" w:hAnsi="Times New Roman"/>
          <w:color w:val="343434"/>
          <w:w w:val="105"/>
        </w:rPr>
        <w:t>million </w:t>
      </w:r>
      <w:r>
        <w:rPr>
          <w:rFonts w:ascii="Times New Roman" w:hAnsi="Times New Roman"/>
          <w:color w:val="444444"/>
          <w:w w:val="105"/>
        </w:rPr>
        <w:t>were </w:t>
      </w:r>
      <w:r>
        <w:rPr>
          <w:rFonts w:ascii="Times New Roman" w:hAnsi="Times New Roman"/>
          <w:color w:val="343434"/>
          <w:w w:val="105"/>
        </w:rPr>
        <w:t>received </w:t>
      </w:r>
      <w:r>
        <w:rPr>
          <w:rFonts w:ascii="Times New Roman" w:hAnsi="Times New Roman"/>
          <w:color w:val="444444"/>
          <w:w w:val="105"/>
        </w:rPr>
        <w:t>from the sale </w:t>
      </w:r>
      <w:r>
        <w:rPr>
          <w:rFonts w:ascii="Times New Roman" w:hAnsi="Times New Roman"/>
          <w:color w:val="343434"/>
          <w:w w:val="105"/>
        </w:rPr>
        <w:t>of </w:t>
      </w:r>
      <w:r>
        <w:rPr>
          <w:rFonts w:ascii="Times New Roman" w:hAnsi="Times New Roman"/>
          <w:color w:val="444444"/>
          <w:w w:val="105"/>
        </w:rPr>
        <w:t>two manses that were no </w:t>
      </w:r>
      <w:r>
        <w:rPr>
          <w:rFonts w:ascii="Times New Roman" w:hAnsi="Times New Roman"/>
          <w:color w:val="343434"/>
          <w:w w:val="105"/>
        </w:rPr>
        <w:t>longer </w:t>
      </w:r>
      <w:r>
        <w:rPr>
          <w:rFonts w:ascii="Times New Roman" w:hAnsi="Times New Roman"/>
          <w:color w:val="444444"/>
          <w:w w:val="105"/>
        </w:rPr>
        <w:t>required.</w:t>
      </w:r>
    </w:p>
    <w:p>
      <w:pPr>
        <w:spacing w:before="105"/>
        <w:ind w:left="998" w:right="0" w:firstLine="0"/>
        <w:jc w:val="left"/>
        <w:rPr>
          <w:rFonts w:ascii="Times New Roman"/>
          <w:b/>
          <w:sz w:val="18"/>
        </w:rPr>
      </w:pPr>
      <w:r>
        <w:rPr>
          <w:rFonts w:ascii="Times New Roman"/>
          <w:b/>
          <w:color w:val="1C1C1C"/>
          <w:w w:val="105"/>
          <w:sz w:val="18"/>
        </w:rPr>
        <w:t>Resources expended </w:t>
      </w:r>
      <w:r>
        <w:rPr>
          <w:rFonts w:ascii="Times New Roman"/>
          <w:color w:val="1C1C1C"/>
          <w:w w:val="105"/>
          <w:sz w:val="18"/>
        </w:rPr>
        <w:t>- </w:t>
      </w:r>
      <w:r>
        <w:rPr>
          <w:rFonts w:ascii="Times New Roman"/>
          <w:b/>
          <w:color w:val="343434"/>
          <w:w w:val="105"/>
          <w:sz w:val="18"/>
        </w:rPr>
        <w:t>Charitable activities</w:t>
      </w:r>
    </w:p>
    <w:p>
      <w:pPr>
        <w:pStyle w:val="BodyText"/>
        <w:spacing w:before="5"/>
        <w:ind w:left="996"/>
        <w:rPr>
          <w:rFonts w:ascii="Times New Roman"/>
        </w:rPr>
      </w:pPr>
      <w:r>
        <w:rPr>
          <w:rFonts w:ascii="Times New Roman"/>
          <w:color w:val="444444"/>
          <w:w w:val="105"/>
        </w:rPr>
        <w:t>These costs are analysed in note </w:t>
      </w:r>
      <w:r>
        <w:rPr>
          <w:rFonts w:ascii="Times New Roman"/>
          <w:i/>
          <w:color w:val="444444"/>
          <w:w w:val="105"/>
          <w:sz w:val="19"/>
        </w:rPr>
        <w:t>5 </w:t>
      </w:r>
      <w:r>
        <w:rPr>
          <w:rFonts w:ascii="Times New Roman"/>
          <w:color w:val="444444"/>
          <w:w w:val="105"/>
        </w:rPr>
        <w:t>on </w:t>
      </w:r>
      <w:r>
        <w:rPr>
          <w:rFonts w:ascii="Times New Roman"/>
          <w:color w:val="343434"/>
          <w:w w:val="105"/>
        </w:rPr>
        <w:t>page 17, </w:t>
      </w:r>
      <w:r>
        <w:rPr>
          <w:rFonts w:ascii="Times New Roman"/>
          <w:color w:val="444444"/>
          <w:w w:val="105"/>
        </w:rPr>
        <w:t>and now </w:t>
      </w:r>
      <w:r>
        <w:rPr>
          <w:rFonts w:ascii="Times New Roman"/>
          <w:color w:val="343434"/>
          <w:w w:val="105"/>
        </w:rPr>
        <w:t>include </w:t>
      </w:r>
      <w:r>
        <w:rPr>
          <w:rFonts w:ascii="Times New Roman"/>
          <w:color w:val="444444"/>
          <w:w w:val="105"/>
        </w:rPr>
        <w:t>a share of support costs.</w:t>
      </w:r>
    </w:p>
    <w:p>
      <w:pPr>
        <w:pStyle w:val="BodyText"/>
        <w:spacing w:line="256" w:lineRule="auto" w:before="12"/>
        <w:ind w:left="1002" w:right="940" w:hanging="4"/>
        <w:rPr>
          <w:rFonts w:ascii="Times New Roman" w:hAnsi="Times New Roman"/>
        </w:rPr>
      </w:pPr>
      <w:r>
        <w:rPr>
          <w:rFonts w:ascii="Times New Roman" w:hAnsi="Times New Roman"/>
          <w:color w:val="444444"/>
          <w:w w:val="105"/>
        </w:rPr>
        <w:t>Ministry: increase £919k. While most costs were similar to the previous year</w:t>
      </w:r>
      <w:r>
        <w:rPr>
          <w:rFonts w:ascii="Times New Roman" w:hAnsi="Times New Roman"/>
          <w:color w:val="646464"/>
          <w:w w:val="105"/>
        </w:rPr>
        <w:t>, </w:t>
      </w:r>
      <w:r>
        <w:rPr>
          <w:rFonts w:ascii="Times New Roman" w:hAnsi="Times New Roman"/>
          <w:color w:val="444444"/>
          <w:w w:val="105"/>
        </w:rPr>
        <w:t>£770k of the increase in </w:t>
      </w:r>
      <w:r>
        <w:rPr>
          <w:rFonts w:ascii="Times New Roman" w:hAnsi="Times New Roman"/>
          <w:color w:val="343434"/>
          <w:w w:val="105"/>
        </w:rPr>
        <w:t>the </w:t>
      </w:r>
      <w:r>
        <w:rPr>
          <w:rFonts w:ascii="Times New Roman" w:hAnsi="Times New Roman"/>
          <w:color w:val="444444"/>
          <w:w w:val="105"/>
        </w:rPr>
        <w:t>pension </w:t>
      </w:r>
      <w:r>
        <w:rPr>
          <w:rFonts w:ascii="Times New Roman" w:hAnsi="Times New Roman"/>
          <w:color w:val="343434"/>
          <w:w w:val="105"/>
        </w:rPr>
        <w:t>reserve </w:t>
      </w:r>
      <w:r>
        <w:rPr>
          <w:rFonts w:ascii="Times New Roman" w:hAnsi="Times New Roman"/>
          <w:color w:val="444444"/>
          <w:w w:val="105"/>
        </w:rPr>
        <w:t>has </w:t>
      </w:r>
      <w:r>
        <w:rPr>
          <w:rFonts w:ascii="Times New Roman" w:hAnsi="Times New Roman"/>
          <w:color w:val="343434"/>
          <w:w w:val="105"/>
        </w:rPr>
        <w:t>been </w:t>
      </w:r>
      <w:r>
        <w:rPr>
          <w:rFonts w:ascii="Times New Roman" w:hAnsi="Times New Roman"/>
          <w:color w:val="444444"/>
          <w:w w:val="105"/>
        </w:rPr>
        <w:t>charged </w:t>
      </w:r>
      <w:r>
        <w:rPr>
          <w:rFonts w:ascii="Times New Roman" w:hAnsi="Times New Roman"/>
          <w:color w:val="343434"/>
          <w:w w:val="105"/>
        </w:rPr>
        <w:t>here </w:t>
      </w:r>
      <w:r>
        <w:rPr>
          <w:rFonts w:ascii="Times New Roman" w:hAnsi="Times New Roman"/>
          <w:color w:val="444444"/>
          <w:w w:val="105"/>
        </w:rPr>
        <w:t>as it relates </w:t>
      </w:r>
      <w:r>
        <w:rPr>
          <w:rFonts w:ascii="Times New Roman" w:hAnsi="Times New Roman"/>
          <w:color w:val="343434"/>
          <w:w w:val="105"/>
        </w:rPr>
        <w:t>to </w:t>
      </w:r>
      <w:r>
        <w:rPr>
          <w:rFonts w:ascii="Times New Roman" w:hAnsi="Times New Roman"/>
          <w:color w:val="444444"/>
          <w:w w:val="105"/>
        </w:rPr>
        <w:t>current or </w:t>
      </w:r>
      <w:r>
        <w:rPr>
          <w:rFonts w:ascii="Times New Roman" w:hAnsi="Times New Roman"/>
          <w:color w:val="343434"/>
          <w:w w:val="105"/>
        </w:rPr>
        <w:t>past </w:t>
      </w:r>
      <w:r>
        <w:rPr>
          <w:rFonts w:ascii="Times New Roman" w:hAnsi="Times New Roman"/>
          <w:color w:val="444444"/>
          <w:w w:val="105"/>
        </w:rPr>
        <w:t>service costs. Increase </w:t>
      </w:r>
      <w:r>
        <w:rPr>
          <w:rFonts w:ascii="Times New Roman" w:hAnsi="Times New Roman"/>
          <w:color w:val="343434"/>
          <w:w w:val="105"/>
        </w:rPr>
        <w:t>in </w:t>
      </w:r>
      <w:r>
        <w:rPr>
          <w:rFonts w:ascii="Times New Roman" w:hAnsi="Times New Roman"/>
          <w:color w:val="444444"/>
          <w:w w:val="105"/>
        </w:rPr>
        <w:t>stipends was </w:t>
      </w:r>
      <w:r>
        <w:rPr>
          <w:rFonts w:ascii="Times New Roman" w:hAnsi="Times New Roman"/>
          <w:color w:val="343434"/>
          <w:w w:val="105"/>
        </w:rPr>
        <w:t>balanced by </w:t>
      </w:r>
      <w:r>
        <w:rPr>
          <w:rFonts w:ascii="Times New Roman" w:hAnsi="Times New Roman"/>
          <w:color w:val="444444"/>
          <w:w w:val="105"/>
        </w:rPr>
        <w:t>a fall in </w:t>
      </w:r>
      <w:r>
        <w:rPr>
          <w:rFonts w:ascii="Times New Roman" w:hAnsi="Times New Roman"/>
          <w:color w:val="343434"/>
          <w:w w:val="105"/>
        </w:rPr>
        <w:t>the number </w:t>
      </w:r>
      <w:r>
        <w:rPr>
          <w:rFonts w:ascii="Times New Roman" w:hAnsi="Times New Roman"/>
          <w:color w:val="444444"/>
          <w:w w:val="105"/>
        </w:rPr>
        <w:t>of stipendiary </w:t>
      </w:r>
      <w:r>
        <w:rPr>
          <w:rFonts w:ascii="Times New Roman" w:hAnsi="Times New Roman"/>
          <w:color w:val="343434"/>
          <w:w w:val="105"/>
        </w:rPr>
        <w:t>ministers.</w:t>
      </w:r>
    </w:p>
    <w:p>
      <w:pPr>
        <w:pStyle w:val="BodyText"/>
        <w:spacing w:line="207" w:lineRule="exact"/>
        <w:ind w:left="996"/>
        <w:rPr>
          <w:rFonts w:ascii="Times New Roman" w:hAnsi="Times New Roman"/>
        </w:rPr>
      </w:pPr>
      <w:r>
        <w:rPr>
          <w:rFonts w:ascii="Times New Roman" w:hAnsi="Times New Roman"/>
          <w:color w:val="444444"/>
          <w:w w:val="105"/>
        </w:rPr>
        <w:t>Training: decrease £64k</w:t>
      </w:r>
      <w:r>
        <w:rPr>
          <w:rFonts w:ascii="Times New Roman" w:hAnsi="Times New Roman"/>
          <w:color w:val="1C1C1C"/>
          <w:w w:val="105"/>
        </w:rPr>
        <w:t>. </w:t>
      </w:r>
      <w:r>
        <w:rPr>
          <w:rFonts w:ascii="Times New Roman" w:hAnsi="Times New Roman"/>
          <w:color w:val="444444"/>
          <w:w w:val="105"/>
        </w:rPr>
        <w:t>Cost </w:t>
      </w:r>
      <w:r>
        <w:rPr>
          <w:rFonts w:ascii="Times New Roman" w:hAnsi="Times New Roman"/>
          <w:color w:val="343434"/>
          <w:w w:val="105"/>
        </w:rPr>
        <w:t>increases </w:t>
      </w:r>
      <w:r>
        <w:rPr>
          <w:rFonts w:ascii="Times New Roman" w:hAnsi="Times New Roman"/>
          <w:color w:val="444444"/>
          <w:w w:val="105"/>
        </w:rPr>
        <w:t>were offset by </w:t>
      </w:r>
      <w:r>
        <w:rPr>
          <w:rFonts w:ascii="Times New Roman" w:hAnsi="Times New Roman"/>
          <w:color w:val="343434"/>
          <w:w w:val="105"/>
        </w:rPr>
        <w:t>lower </w:t>
      </w:r>
      <w:r>
        <w:rPr>
          <w:rFonts w:ascii="Times New Roman" w:hAnsi="Times New Roman"/>
          <w:color w:val="444444"/>
          <w:w w:val="105"/>
        </w:rPr>
        <w:t>student numbers</w:t>
      </w:r>
      <w:r>
        <w:rPr>
          <w:rFonts w:ascii="Times New Roman" w:hAnsi="Times New Roman"/>
          <w:color w:val="1C1C1C"/>
          <w:w w:val="105"/>
        </w:rPr>
        <w:t>.</w:t>
      </w:r>
    </w:p>
    <w:p>
      <w:pPr>
        <w:pStyle w:val="BodyText"/>
        <w:spacing w:line="256" w:lineRule="auto" w:before="14"/>
        <w:ind w:left="995" w:right="940"/>
        <w:rPr>
          <w:rFonts w:ascii="Times New Roman" w:hAnsi="Times New Roman"/>
        </w:rPr>
      </w:pPr>
      <w:r>
        <w:rPr>
          <w:rFonts w:ascii="Times New Roman" w:hAnsi="Times New Roman"/>
          <w:color w:val="343434"/>
          <w:w w:val="105"/>
        </w:rPr>
        <w:t>Other </w:t>
      </w:r>
      <w:r>
        <w:rPr>
          <w:rFonts w:ascii="Times New Roman" w:hAnsi="Times New Roman"/>
          <w:color w:val="444444"/>
          <w:w w:val="105"/>
        </w:rPr>
        <w:t>Mission activities</w:t>
      </w:r>
      <w:r>
        <w:rPr>
          <w:rFonts w:ascii="Times New Roman" w:hAnsi="Times New Roman"/>
          <w:color w:val="1C1C1C"/>
          <w:w w:val="105"/>
        </w:rPr>
        <w:t>: </w:t>
      </w:r>
      <w:r>
        <w:rPr>
          <w:rFonts w:ascii="Times New Roman" w:hAnsi="Times New Roman"/>
          <w:color w:val="343434"/>
          <w:w w:val="105"/>
        </w:rPr>
        <w:t>increase </w:t>
      </w:r>
      <w:r>
        <w:rPr>
          <w:rFonts w:ascii="Times New Roman" w:hAnsi="Times New Roman"/>
          <w:color w:val="444444"/>
          <w:w w:val="105"/>
        </w:rPr>
        <w:t>£1</w:t>
      </w:r>
      <w:r>
        <w:rPr>
          <w:rFonts w:ascii="Times New Roman" w:hAnsi="Times New Roman"/>
          <w:color w:val="1C1C1C"/>
          <w:w w:val="105"/>
        </w:rPr>
        <w:t>1l</w:t>
      </w:r>
      <w:r>
        <w:rPr>
          <w:rFonts w:ascii="Times New Roman" w:hAnsi="Times New Roman"/>
          <w:color w:val="444444"/>
          <w:w w:val="105"/>
        </w:rPr>
        <w:t>k</w:t>
      </w:r>
      <w:r>
        <w:rPr>
          <w:rFonts w:ascii="Times New Roman" w:hAnsi="Times New Roman"/>
          <w:color w:val="1C1C1C"/>
          <w:w w:val="105"/>
        </w:rPr>
        <w:t>. </w:t>
      </w:r>
      <w:r>
        <w:rPr>
          <w:rFonts w:ascii="Times New Roman" w:hAnsi="Times New Roman"/>
          <w:color w:val="343434"/>
          <w:w w:val="105"/>
        </w:rPr>
        <w:t>The main increases </w:t>
      </w:r>
      <w:r>
        <w:rPr>
          <w:rFonts w:ascii="Times New Roman" w:hAnsi="Times New Roman"/>
          <w:color w:val="444444"/>
          <w:w w:val="105"/>
        </w:rPr>
        <w:t>were </w:t>
      </w:r>
      <w:r>
        <w:rPr>
          <w:rFonts w:ascii="Times New Roman" w:hAnsi="Times New Roman"/>
          <w:color w:val="343434"/>
          <w:w w:val="105"/>
        </w:rPr>
        <w:t>in </w:t>
      </w:r>
      <w:r>
        <w:rPr>
          <w:rFonts w:ascii="Times New Roman" w:hAnsi="Times New Roman"/>
          <w:color w:val="444444"/>
          <w:w w:val="105"/>
        </w:rPr>
        <w:t>staff pension costs and in grants </w:t>
      </w:r>
      <w:r>
        <w:rPr>
          <w:rFonts w:ascii="Times New Roman" w:hAnsi="Times New Roman"/>
          <w:color w:val="343434"/>
          <w:w w:val="105"/>
        </w:rPr>
        <w:t>from </w:t>
      </w:r>
      <w:r>
        <w:rPr>
          <w:rFonts w:ascii="Times New Roman" w:hAnsi="Times New Roman"/>
          <w:color w:val="444444"/>
          <w:w w:val="105"/>
        </w:rPr>
        <w:t>certain </w:t>
      </w:r>
      <w:r>
        <w:rPr>
          <w:rFonts w:ascii="Times New Roman" w:hAnsi="Times New Roman"/>
          <w:color w:val="343434"/>
          <w:w w:val="105"/>
        </w:rPr>
        <w:t>restricted </w:t>
      </w:r>
      <w:r>
        <w:rPr>
          <w:rFonts w:ascii="Times New Roman" w:hAnsi="Times New Roman"/>
          <w:color w:val="444444"/>
          <w:w w:val="105"/>
        </w:rPr>
        <w:t>funds</w:t>
      </w:r>
      <w:r>
        <w:rPr>
          <w:rFonts w:ascii="Times New Roman" w:hAnsi="Times New Roman"/>
          <w:color w:val="1C1C1C"/>
          <w:w w:val="105"/>
        </w:rPr>
        <w:t>.</w:t>
      </w:r>
    </w:p>
    <w:p>
      <w:pPr>
        <w:pStyle w:val="BodyText"/>
        <w:spacing w:line="256" w:lineRule="auto"/>
        <w:ind w:left="1012" w:right="1155" w:hanging="14"/>
        <w:rPr>
          <w:rFonts w:ascii="Times New Roman" w:hAnsi="Times New Roman"/>
        </w:rPr>
      </w:pPr>
      <w:r>
        <w:rPr>
          <w:rFonts w:ascii="Times New Roman" w:hAnsi="Times New Roman"/>
          <w:color w:val="444444"/>
          <w:w w:val="105"/>
        </w:rPr>
        <w:t>Editorial and bookshop</w:t>
      </w:r>
      <w:r>
        <w:rPr>
          <w:rFonts w:ascii="Times New Roman" w:hAnsi="Times New Roman"/>
          <w:color w:val="1C1C1C"/>
          <w:w w:val="105"/>
        </w:rPr>
        <w:t>: </w:t>
      </w:r>
      <w:r>
        <w:rPr>
          <w:rFonts w:ascii="Times New Roman" w:hAnsi="Times New Roman"/>
          <w:color w:val="343434"/>
          <w:w w:val="105"/>
        </w:rPr>
        <w:t>increase </w:t>
      </w:r>
      <w:r>
        <w:rPr>
          <w:rFonts w:ascii="Times New Roman" w:hAnsi="Times New Roman"/>
          <w:color w:val="444444"/>
          <w:w w:val="105"/>
        </w:rPr>
        <w:t>£52k. Staff pension </w:t>
      </w:r>
      <w:r>
        <w:rPr>
          <w:rFonts w:ascii="Times New Roman" w:hAnsi="Times New Roman"/>
          <w:color w:val="343434"/>
          <w:w w:val="105"/>
        </w:rPr>
        <w:t>costs </w:t>
      </w:r>
      <w:r>
        <w:rPr>
          <w:rFonts w:ascii="Times New Roman" w:hAnsi="Times New Roman"/>
          <w:color w:val="444444"/>
          <w:w w:val="105"/>
        </w:rPr>
        <w:t>increased, and </w:t>
      </w:r>
      <w:r>
        <w:rPr>
          <w:rFonts w:ascii="Times New Roman" w:hAnsi="Times New Roman"/>
          <w:color w:val="343434"/>
          <w:w w:val="105"/>
        </w:rPr>
        <w:t>there </w:t>
      </w:r>
      <w:r>
        <w:rPr>
          <w:rFonts w:ascii="Times New Roman" w:hAnsi="Times New Roman"/>
          <w:color w:val="444444"/>
          <w:w w:val="105"/>
        </w:rPr>
        <w:t>were some write-offs of older publications stock ahead </w:t>
      </w:r>
      <w:r>
        <w:rPr>
          <w:rFonts w:ascii="Times New Roman" w:hAnsi="Times New Roman"/>
          <w:color w:val="343434"/>
          <w:w w:val="105"/>
        </w:rPr>
        <w:t>of </w:t>
      </w:r>
      <w:r>
        <w:rPr>
          <w:rFonts w:ascii="Times New Roman" w:hAnsi="Times New Roman"/>
          <w:color w:val="444444"/>
          <w:w w:val="105"/>
        </w:rPr>
        <w:t>changes </w:t>
      </w:r>
      <w:r>
        <w:rPr>
          <w:rFonts w:ascii="Times New Roman" w:hAnsi="Times New Roman"/>
          <w:color w:val="343434"/>
          <w:w w:val="105"/>
        </w:rPr>
        <w:t>in this department.</w:t>
      </w:r>
    </w:p>
    <w:p>
      <w:pPr>
        <w:spacing w:before="115"/>
        <w:ind w:left="998" w:right="0" w:firstLine="0"/>
        <w:jc w:val="left"/>
        <w:rPr>
          <w:rFonts w:ascii="Times New Roman"/>
          <w:b/>
          <w:sz w:val="18"/>
        </w:rPr>
      </w:pPr>
      <w:r>
        <w:rPr>
          <w:rFonts w:ascii="Times New Roman"/>
          <w:b/>
          <w:color w:val="1C1C1C"/>
          <w:w w:val="105"/>
          <w:sz w:val="18"/>
        </w:rPr>
        <w:t>Resources </w:t>
      </w:r>
      <w:r>
        <w:rPr>
          <w:rFonts w:ascii="Times New Roman"/>
          <w:b/>
          <w:color w:val="343434"/>
          <w:w w:val="105"/>
          <w:sz w:val="18"/>
        </w:rPr>
        <w:t>expended </w:t>
      </w:r>
      <w:r>
        <w:rPr>
          <w:rFonts w:ascii="Times New Roman"/>
          <w:color w:val="1C1C1C"/>
          <w:w w:val="105"/>
          <w:sz w:val="18"/>
        </w:rPr>
        <w:t>- </w:t>
      </w:r>
      <w:r>
        <w:rPr>
          <w:rFonts w:ascii="Times New Roman"/>
          <w:b/>
          <w:color w:val="343434"/>
          <w:w w:val="105"/>
          <w:sz w:val="18"/>
        </w:rPr>
        <w:t>Governance</w:t>
      </w:r>
    </w:p>
    <w:p>
      <w:pPr>
        <w:pStyle w:val="BodyText"/>
        <w:spacing w:line="256" w:lineRule="auto" w:before="14"/>
        <w:ind w:left="995" w:right="1105"/>
        <w:rPr>
          <w:rFonts w:ascii="Times New Roman"/>
        </w:rPr>
      </w:pPr>
      <w:r>
        <w:rPr>
          <w:rFonts w:ascii="Times New Roman"/>
          <w:color w:val="444444"/>
          <w:w w:val="105"/>
        </w:rPr>
        <w:t>Governance costs are analysed </w:t>
      </w:r>
      <w:r>
        <w:rPr>
          <w:rFonts w:ascii="Times New Roman"/>
          <w:color w:val="343434"/>
          <w:w w:val="105"/>
        </w:rPr>
        <w:t>in </w:t>
      </w:r>
      <w:r>
        <w:rPr>
          <w:rFonts w:ascii="Times New Roman"/>
          <w:color w:val="444444"/>
          <w:w w:val="105"/>
        </w:rPr>
        <w:t>note 7 on </w:t>
      </w:r>
      <w:r>
        <w:rPr>
          <w:rFonts w:ascii="Times New Roman"/>
          <w:color w:val="343434"/>
          <w:w w:val="105"/>
        </w:rPr>
        <w:t>page 18. </w:t>
      </w:r>
      <w:r>
        <w:rPr>
          <w:rFonts w:ascii="Times New Roman"/>
          <w:color w:val="444444"/>
          <w:w w:val="105"/>
        </w:rPr>
        <w:t>They </w:t>
      </w:r>
      <w:r>
        <w:rPr>
          <w:rFonts w:ascii="Times New Roman"/>
          <w:color w:val="343434"/>
          <w:w w:val="105"/>
        </w:rPr>
        <w:t>include </w:t>
      </w:r>
      <w:r>
        <w:rPr>
          <w:rFonts w:ascii="Times New Roman"/>
          <w:color w:val="444444"/>
          <w:w w:val="105"/>
        </w:rPr>
        <w:t>the </w:t>
      </w:r>
      <w:r>
        <w:rPr>
          <w:rFonts w:ascii="Times New Roman"/>
          <w:color w:val="343434"/>
          <w:w w:val="105"/>
        </w:rPr>
        <w:t>costs </w:t>
      </w:r>
      <w:r>
        <w:rPr>
          <w:rFonts w:ascii="Times New Roman"/>
          <w:color w:val="444444"/>
          <w:w w:val="105"/>
        </w:rPr>
        <w:t>of General Assembly and Mission Council, their advisory and task groups and certain committees, together with the charges of our professional advisers.</w:t>
      </w:r>
    </w:p>
    <w:p>
      <w:pPr>
        <w:spacing w:before="115"/>
        <w:ind w:left="994" w:right="0" w:firstLine="0"/>
        <w:jc w:val="both"/>
        <w:rPr>
          <w:rFonts w:ascii="Times New Roman"/>
          <w:b/>
          <w:sz w:val="18"/>
        </w:rPr>
      </w:pPr>
      <w:r>
        <w:rPr>
          <w:rFonts w:ascii="Times New Roman"/>
          <w:b/>
          <w:color w:val="343434"/>
          <w:w w:val="105"/>
          <w:sz w:val="18"/>
        </w:rPr>
        <w:t>Gains </w:t>
      </w:r>
      <w:r>
        <w:rPr>
          <w:rFonts w:ascii="Times New Roman"/>
          <w:b/>
          <w:color w:val="1C1C1C"/>
          <w:w w:val="105"/>
          <w:sz w:val="18"/>
        </w:rPr>
        <w:t>on investment assets</w:t>
      </w:r>
    </w:p>
    <w:p>
      <w:pPr>
        <w:pStyle w:val="BodyText"/>
        <w:spacing w:line="259" w:lineRule="auto" w:before="5"/>
        <w:ind w:left="991" w:right="941" w:hanging="4"/>
        <w:jc w:val="both"/>
        <w:rPr>
          <w:rFonts w:ascii="Times New Roman" w:hAnsi="Times New Roman"/>
        </w:rPr>
      </w:pPr>
      <w:r>
        <w:rPr>
          <w:rFonts w:ascii="Times New Roman" w:hAnsi="Times New Roman"/>
          <w:color w:val="444444"/>
          <w:w w:val="105"/>
        </w:rPr>
        <w:t>The </w:t>
      </w:r>
      <w:r>
        <w:rPr>
          <w:rFonts w:ascii="Times New Roman" w:hAnsi="Times New Roman"/>
          <w:color w:val="343434"/>
          <w:w w:val="105"/>
        </w:rPr>
        <w:t>change </w:t>
      </w:r>
      <w:r>
        <w:rPr>
          <w:rFonts w:ascii="Times New Roman" w:hAnsi="Times New Roman"/>
          <w:color w:val="444444"/>
          <w:w w:val="105"/>
        </w:rPr>
        <w:t>in </w:t>
      </w:r>
      <w:r>
        <w:rPr>
          <w:rFonts w:ascii="Times New Roman" w:hAnsi="Times New Roman"/>
          <w:color w:val="343434"/>
          <w:w w:val="105"/>
        </w:rPr>
        <w:t>investment </w:t>
      </w:r>
      <w:r>
        <w:rPr>
          <w:rFonts w:ascii="Times New Roman" w:hAnsi="Times New Roman"/>
          <w:color w:val="444444"/>
          <w:w w:val="105"/>
        </w:rPr>
        <w:t>values from the beginning </w:t>
      </w:r>
      <w:r>
        <w:rPr>
          <w:rFonts w:ascii="Times New Roman" w:hAnsi="Times New Roman"/>
          <w:color w:val="1C1C1C"/>
          <w:w w:val="105"/>
        </w:rPr>
        <w:t>t</w:t>
      </w:r>
      <w:r>
        <w:rPr>
          <w:rFonts w:ascii="Times New Roman" w:hAnsi="Times New Roman"/>
          <w:color w:val="444444"/>
          <w:w w:val="105"/>
        </w:rPr>
        <w:t>o end of </w:t>
      </w:r>
      <w:r>
        <w:rPr>
          <w:rFonts w:ascii="Times New Roman" w:hAnsi="Times New Roman"/>
          <w:color w:val="343434"/>
          <w:w w:val="105"/>
        </w:rPr>
        <w:t>the year, </w:t>
      </w:r>
      <w:r>
        <w:rPr>
          <w:rFonts w:ascii="Times New Roman" w:hAnsi="Times New Roman"/>
          <w:color w:val="444444"/>
          <w:w w:val="105"/>
        </w:rPr>
        <w:t>broken </w:t>
      </w:r>
      <w:r>
        <w:rPr>
          <w:rFonts w:ascii="Times New Roman" w:hAnsi="Times New Roman"/>
          <w:color w:val="343434"/>
          <w:w w:val="105"/>
        </w:rPr>
        <w:t>down by </w:t>
      </w:r>
      <w:r>
        <w:rPr>
          <w:rFonts w:ascii="Times New Roman" w:hAnsi="Times New Roman"/>
          <w:color w:val="444444"/>
          <w:w w:val="105"/>
        </w:rPr>
        <w:t>fund </w:t>
      </w:r>
      <w:r>
        <w:rPr>
          <w:rFonts w:ascii="Times New Roman" w:hAnsi="Times New Roman"/>
          <w:color w:val="343434"/>
          <w:w w:val="105"/>
        </w:rPr>
        <w:t>is </w:t>
      </w:r>
      <w:r>
        <w:rPr>
          <w:rFonts w:ascii="Times New Roman" w:hAnsi="Times New Roman"/>
          <w:color w:val="444444"/>
          <w:w w:val="105"/>
        </w:rPr>
        <w:t>shown in the Summary of Fund Movements on </w:t>
      </w:r>
      <w:r>
        <w:rPr>
          <w:rFonts w:ascii="Times New Roman" w:hAnsi="Times New Roman"/>
          <w:color w:val="343434"/>
          <w:w w:val="105"/>
        </w:rPr>
        <w:t>page </w:t>
      </w:r>
      <w:r>
        <w:rPr>
          <w:rFonts w:ascii="Times New Roman" w:hAnsi="Times New Roman"/>
          <w:color w:val="444444"/>
          <w:w w:val="105"/>
        </w:rPr>
        <w:t>12. There has been an increase in the value of our investments for </w:t>
      </w:r>
      <w:r>
        <w:rPr>
          <w:rFonts w:ascii="Times New Roman" w:hAnsi="Times New Roman"/>
          <w:color w:val="343434"/>
          <w:w w:val="105"/>
        </w:rPr>
        <w:t>the </w:t>
      </w:r>
      <w:r>
        <w:rPr>
          <w:rFonts w:ascii="Times New Roman" w:hAnsi="Times New Roman"/>
          <w:color w:val="444444"/>
          <w:w w:val="105"/>
        </w:rPr>
        <w:t>fourth year </w:t>
      </w:r>
      <w:r>
        <w:rPr>
          <w:rFonts w:ascii="Times New Roman" w:hAnsi="Times New Roman"/>
          <w:color w:val="343434"/>
          <w:w w:val="105"/>
        </w:rPr>
        <w:t>running. Of the </w:t>
      </w:r>
      <w:r>
        <w:rPr>
          <w:rFonts w:ascii="Times New Roman" w:hAnsi="Times New Roman"/>
          <w:color w:val="444444"/>
          <w:w w:val="105"/>
        </w:rPr>
        <w:t>£2,73</w:t>
      </w:r>
      <w:r>
        <w:rPr>
          <w:rFonts w:ascii="Times New Roman" w:hAnsi="Times New Roman"/>
          <w:b/>
          <w:color w:val="444444"/>
          <w:w w:val="105"/>
        </w:rPr>
        <w:t>lk </w:t>
      </w:r>
      <w:r>
        <w:rPr>
          <w:rFonts w:ascii="Times New Roman" w:hAnsi="Times New Roman"/>
          <w:color w:val="444444"/>
          <w:w w:val="105"/>
        </w:rPr>
        <w:t>increase £1</w:t>
      </w:r>
      <w:r>
        <w:rPr>
          <w:rFonts w:ascii="Times New Roman" w:hAnsi="Times New Roman"/>
          <w:color w:val="646464"/>
          <w:w w:val="105"/>
        </w:rPr>
        <w:t>,</w:t>
      </w:r>
      <w:r>
        <w:rPr>
          <w:rFonts w:ascii="Times New Roman" w:hAnsi="Times New Roman"/>
          <w:color w:val="343434"/>
          <w:w w:val="105"/>
        </w:rPr>
        <w:t>052k </w:t>
      </w:r>
      <w:r>
        <w:rPr>
          <w:rFonts w:ascii="Times New Roman" w:hAnsi="Times New Roman"/>
          <w:color w:val="444444"/>
          <w:w w:val="105"/>
        </w:rPr>
        <w:t>arose </w:t>
      </w:r>
      <w:r>
        <w:rPr>
          <w:rFonts w:ascii="Times New Roman" w:hAnsi="Times New Roman"/>
          <w:color w:val="343434"/>
          <w:w w:val="105"/>
        </w:rPr>
        <w:t>on </w:t>
      </w:r>
      <w:r>
        <w:rPr>
          <w:rFonts w:ascii="Times New Roman" w:hAnsi="Times New Roman"/>
          <w:color w:val="444444"/>
          <w:w w:val="105"/>
        </w:rPr>
        <w:t>investments held for capital funds </w:t>
      </w:r>
      <w:r>
        <w:rPr>
          <w:rFonts w:ascii="Times New Roman" w:hAnsi="Times New Roman"/>
          <w:color w:val="444444"/>
          <w:spacing w:val="-4"/>
          <w:w w:val="105"/>
        </w:rPr>
        <w:t>wh</w:t>
      </w:r>
      <w:r>
        <w:rPr>
          <w:rFonts w:ascii="Times New Roman" w:hAnsi="Times New Roman"/>
          <w:color w:val="1C1C1C"/>
          <w:spacing w:val="-4"/>
          <w:w w:val="105"/>
        </w:rPr>
        <w:t>i</w:t>
      </w:r>
      <w:r>
        <w:rPr>
          <w:rFonts w:ascii="Times New Roman" w:hAnsi="Times New Roman"/>
          <w:color w:val="444444"/>
          <w:spacing w:val="-4"/>
          <w:w w:val="105"/>
        </w:rPr>
        <w:t>ch </w:t>
      </w:r>
      <w:r>
        <w:rPr>
          <w:rFonts w:ascii="Times New Roman" w:hAnsi="Times New Roman"/>
          <w:color w:val="343434"/>
          <w:w w:val="105"/>
        </w:rPr>
        <w:t>are not </w:t>
      </w:r>
      <w:r>
        <w:rPr>
          <w:rFonts w:ascii="Times New Roman" w:hAnsi="Times New Roman"/>
          <w:color w:val="444444"/>
          <w:w w:val="105"/>
        </w:rPr>
        <w:t>available </w:t>
      </w:r>
      <w:r>
        <w:rPr>
          <w:rFonts w:ascii="Times New Roman" w:hAnsi="Times New Roman"/>
          <w:color w:val="343434"/>
          <w:w w:val="105"/>
        </w:rPr>
        <w:t>to </w:t>
      </w:r>
      <w:r>
        <w:rPr>
          <w:rFonts w:ascii="Times New Roman" w:hAnsi="Times New Roman"/>
          <w:color w:val="444444"/>
          <w:w w:val="105"/>
        </w:rPr>
        <w:t>be spent but provide continuing income. A further £ </w:t>
      </w:r>
      <w:r>
        <w:rPr>
          <w:rFonts w:ascii="Times New Roman" w:hAnsi="Times New Roman"/>
          <w:color w:val="1C1C1C"/>
          <w:spacing w:val="3"/>
          <w:w w:val="105"/>
        </w:rPr>
        <w:t>l</w:t>
      </w:r>
      <w:r>
        <w:rPr>
          <w:rFonts w:ascii="Times New Roman" w:hAnsi="Times New Roman"/>
          <w:color w:val="444444"/>
          <w:spacing w:val="3"/>
          <w:w w:val="105"/>
        </w:rPr>
        <w:t>,033k </w:t>
      </w:r>
      <w:r>
        <w:rPr>
          <w:rFonts w:ascii="Times New Roman" w:hAnsi="Times New Roman"/>
          <w:color w:val="444444"/>
          <w:w w:val="105"/>
        </w:rPr>
        <w:t>arose on </w:t>
      </w:r>
      <w:r>
        <w:rPr>
          <w:rFonts w:ascii="Times New Roman" w:hAnsi="Times New Roman"/>
          <w:color w:val="343434"/>
          <w:w w:val="105"/>
        </w:rPr>
        <w:t>investments </w:t>
      </w:r>
      <w:r>
        <w:rPr>
          <w:rFonts w:ascii="Times New Roman" w:hAnsi="Times New Roman"/>
          <w:color w:val="444444"/>
          <w:w w:val="105"/>
        </w:rPr>
        <w:t>belonging </w:t>
      </w:r>
      <w:r>
        <w:rPr>
          <w:rFonts w:ascii="Times New Roman" w:hAnsi="Times New Roman"/>
          <w:color w:val="343434"/>
          <w:w w:val="105"/>
        </w:rPr>
        <w:t>to </w:t>
      </w:r>
      <w:r>
        <w:rPr>
          <w:rFonts w:ascii="Times New Roman" w:hAnsi="Times New Roman"/>
          <w:color w:val="444444"/>
          <w:w w:val="105"/>
        </w:rPr>
        <w:t>restricted funds </w:t>
      </w:r>
      <w:r>
        <w:rPr>
          <w:rFonts w:ascii="Times New Roman" w:hAnsi="Times New Roman"/>
          <w:color w:val="444444"/>
          <w:spacing w:val="-4"/>
          <w:w w:val="105"/>
        </w:rPr>
        <w:t>where</w:t>
      </w:r>
      <w:r>
        <w:rPr>
          <w:rFonts w:ascii="Times New Roman" w:hAnsi="Times New Roman"/>
          <w:color w:val="646464"/>
          <w:spacing w:val="-4"/>
          <w:w w:val="105"/>
        </w:rPr>
        <w:t>, </w:t>
      </w:r>
      <w:r>
        <w:rPr>
          <w:rFonts w:ascii="Times New Roman" w:hAnsi="Times New Roman"/>
          <w:color w:val="444444"/>
          <w:w w:val="105"/>
        </w:rPr>
        <w:t>in several cases, expenditure in 2005 exceeded income so that a part of </w:t>
      </w:r>
      <w:r>
        <w:rPr>
          <w:rFonts w:ascii="Times New Roman" w:hAnsi="Times New Roman"/>
          <w:color w:val="343434"/>
          <w:w w:val="105"/>
        </w:rPr>
        <w:t>the investment </w:t>
      </w:r>
      <w:r>
        <w:rPr>
          <w:rFonts w:ascii="Times New Roman" w:hAnsi="Times New Roman"/>
          <w:color w:val="444444"/>
          <w:w w:val="105"/>
        </w:rPr>
        <w:t>value </w:t>
      </w:r>
      <w:r>
        <w:rPr>
          <w:rFonts w:ascii="Times New Roman" w:hAnsi="Times New Roman"/>
          <w:color w:val="343434"/>
          <w:w w:val="105"/>
        </w:rPr>
        <w:t>increase </w:t>
      </w:r>
      <w:r>
        <w:rPr>
          <w:rFonts w:ascii="Times New Roman" w:hAnsi="Times New Roman"/>
          <w:color w:val="444444"/>
          <w:w w:val="105"/>
        </w:rPr>
        <w:t>has </w:t>
      </w:r>
      <w:r>
        <w:rPr>
          <w:rFonts w:ascii="Times New Roman" w:hAnsi="Times New Roman"/>
          <w:color w:val="343434"/>
          <w:w w:val="105"/>
        </w:rPr>
        <w:t>been </w:t>
      </w:r>
      <w:r>
        <w:rPr>
          <w:rFonts w:ascii="Times New Roman" w:hAnsi="Times New Roman"/>
          <w:color w:val="444444"/>
          <w:w w:val="105"/>
        </w:rPr>
        <w:t>used to finance current activities. Investment gains and </w:t>
      </w:r>
      <w:r>
        <w:rPr>
          <w:rFonts w:ascii="Times New Roman" w:hAnsi="Times New Roman"/>
          <w:color w:val="343434"/>
          <w:w w:val="105"/>
        </w:rPr>
        <w:t>losses </w:t>
      </w:r>
      <w:r>
        <w:rPr>
          <w:rFonts w:ascii="Times New Roman" w:hAnsi="Times New Roman"/>
          <w:color w:val="444444"/>
          <w:w w:val="105"/>
        </w:rPr>
        <w:t>over time are shown in the five-year summary </w:t>
      </w:r>
      <w:r>
        <w:rPr>
          <w:rFonts w:ascii="Times New Roman" w:hAnsi="Times New Roman"/>
          <w:color w:val="343434"/>
          <w:w w:val="105"/>
        </w:rPr>
        <w:t>on </w:t>
      </w:r>
      <w:r>
        <w:rPr>
          <w:rFonts w:ascii="Times New Roman" w:hAnsi="Times New Roman"/>
          <w:color w:val="444444"/>
          <w:w w:val="105"/>
        </w:rPr>
        <w:t>page</w:t>
      </w:r>
      <w:r>
        <w:rPr>
          <w:rFonts w:ascii="Times New Roman" w:hAnsi="Times New Roman"/>
          <w:color w:val="444444"/>
          <w:spacing w:val="-32"/>
          <w:w w:val="105"/>
        </w:rPr>
        <w:t> </w:t>
      </w:r>
      <w:r>
        <w:rPr>
          <w:rFonts w:ascii="Times New Roman" w:hAnsi="Times New Roman"/>
          <w:color w:val="444444"/>
          <w:w w:val="105"/>
        </w:rPr>
        <w:t>27.</w:t>
      </w:r>
    </w:p>
    <w:p>
      <w:pPr>
        <w:spacing w:before="100"/>
        <w:ind w:left="1000" w:right="0" w:firstLine="0"/>
        <w:jc w:val="both"/>
        <w:rPr>
          <w:rFonts w:ascii="Times New Roman"/>
          <w:b/>
          <w:sz w:val="18"/>
        </w:rPr>
      </w:pPr>
      <w:r>
        <w:rPr>
          <w:rFonts w:ascii="Times New Roman"/>
          <w:b/>
          <w:color w:val="343434"/>
          <w:w w:val="105"/>
          <w:sz w:val="18"/>
        </w:rPr>
        <w:t>Actuarial </w:t>
      </w:r>
      <w:r>
        <w:rPr>
          <w:rFonts w:ascii="Times New Roman"/>
          <w:b/>
          <w:color w:val="1C1C1C"/>
          <w:w w:val="105"/>
          <w:sz w:val="18"/>
        </w:rPr>
        <w:t>lo</w:t>
      </w:r>
      <w:r>
        <w:rPr>
          <w:rFonts w:ascii="Times New Roman"/>
          <w:b/>
          <w:color w:val="444444"/>
          <w:w w:val="105"/>
          <w:sz w:val="18"/>
        </w:rPr>
        <w:t>sses </w:t>
      </w:r>
      <w:r>
        <w:rPr>
          <w:rFonts w:ascii="Times New Roman"/>
          <w:b/>
          <w:color w:val="343434"/>
          <w:w w:val="105"/>
          <w:sz w:val="18"/>
        </w:rPr>
        <w:t>on </w:t>
      </w:r>
      <w:r>
        <w:rPr>
          <w:rFonts w:ascii="Times New Roman"/>
          <w:b/>
          <w:color w:val="1C1C1C"/>
          <w:w w:val="105"/>
          <w:sz w:val="18"/>
        </w:rPr>
        <w:t>pen</w:t>
      </w:r>
      <w:r>
        <w:rPr>
          <w:rFonts w:ascii="Times New Roman"/>
          <w:b/>
          <w:color w:val="444444"/>
          <w:w w:val="105"/>
          <w:sz w:val="18"/>
        </w:rPr>
        <w:t>s</w:t>
      </w:r>
      <w:r>
        <w:rPr>
          <w:rFonts w:ascii="Times New Roman"/>
          <w:b/>
          <w:color w:val="1C1C1C"/>
          <w:w w:val="105"/>
          <w:sz w:val="18"/>
        </w:rPr>
        <w:t>ion </w:t>
      </w:r>
      <w:r>
        <w:rPr>
          <w:rFonts w:ascii="Times New Roman"/>
          <w:b/>
          <w:color w:val="343434"/>
          <w:w w:val="105"/>
          <w:sz w:val="18"/>
        </w:rPr>
        <w:t>scheme</w:t>
      </w:r>
    </w:p>
    <w:p>
      <w:pPr>
        <w:pStyle w:val="BodyText"/>
        <w:spacing w:line="256" w:lineRule="auto" w:before="14"/>
        <w:ind w:left="995" w:right="941" w:firstLine="13"/>
        <w:jc w:val="both"/>
        <w:rPr>
          <w:rFonts w:ascii="Times New Roman"/>
        </w:rPr>
      </w:pPr>
      <w:r>
        <w:rPr>
          <w:rFonts w:ascii="Times New Roman"/>
          <w:color w:val="343434"/>
          <w:w w:val="105"/>
        </w:rPr>
        <w:t>We </w:t>
      </w:r>
      <w:r>
        <w:rPr>
          <w:rFonts w:ascii="Times New Roman"/>
          <w:color w:val="444444"/>
          <w:w w:val="105"/>
        </w:rPr>
        <w:t>are </w:t>
      </w:r>
      <w:r>
        <w:rPr>
          <w:rFonts w:ascii="Times New Roman"/>
          <w:color w:val="343434"/>
          <w:w w:val="105"/>
        </w:rPr>
        <w:t>required </w:t>
      </w:r>
      <w:r>
        <w:rPr>
          <w:rFonts w:ascii="Times New Roman"/>
          <w:color w:val="444444"/>
          <w:w w:val="105"/>
        </w:rPr>
        <w:t>to </w:t>
      </w:r>
      <w:r>
        <w:rPr>
          <w:rFonts w:ascii="Times New Roman"/>
          <w:color w:val="343434"/>
          <w:w w:val="105"/>
        </w:rPr>
        <w:t>take </w:t>
      </w:r>
      <w:r>
        <w:rPr>
          <w:rFonts w:ascii="Times New Roman"/>
          <w:color w:val="444444"/>
          <w:w w:val="105"/>
        </w:rPr>
        <w:t>fu</w:t>
      </w:r>
      <w:r>
        <w:rPr>
          <w:rFonts w:ascii="Times New Roman"/>
          <w:color w:val="1C1C1C"/>
          <w:w w:val="105"/>
        </w:rPr>
        <w:t>ll </w:t>
      </w:r>
      <w:r>
        <w:rPr>
          <w:rFonts w:ascii="Times New Roman"/>
          <w:color w:val="444444"/>
          <w:w w:val="105"/>
        </w:rPr>
        <w:t>account of </w:t>
      </w:r>
      <w:r>
        <w:rPr>
          <w:rFonts w:ascii="Times New Roman"/>
          <w:color w:val="343434"/>
          <w:w w:val="105"/>
        </w:rPr>
        <w:t>actuarial </w:t>
      </w:r>
      <w:r>
        <w:rPr>
          <w:rFonts w:ascii="Times New Roman"/>
          <w:color w:val="444444"/>
          <w:w w:val="105"/>
        </w:rPr>
        <w:t>gains and </w:t>
      </w:r>
      <w:r>
        <w:rPr>
          <w:rFonts w:ascii="Times New Roman"/>
          <w:color w:val="343434"/>
          <w:w w:val="105"/>
        </w:rPr>
        <w:t>losses </w:t>
      </w:r>
      <w:r>
        <w:rPr>
          <w:rFonts w:ascii="Times New Roman"/>
          <w:color w:val="444444"/>
          <w:w w:val="105"/>
        </w:rPr>
        <w:t>arising each year </w:t>
      </w:r>
      <w:r>
        <w:rPr>
          <w:rFonts w:ascii="Times New Roman"/>
          <w:color w:val="343434"/>
          <w:w w:val="105"/>
        </w:rPr>
        <w:t>in </w:t>
      </w:r>
      <w:r>
        <w:rPr>
          <w:rFonts w:ascii="Times New Roman"/>
          <w:color w:val="444444"/>
          <w:w w:val="105"/>
        </w:rPr>
        <w:t>the United Reformed Church </w:t>
      </w:r>
      <w:r>
        <w:rPr>
          <w:rFonts w:ascii="Times New Roman"/>
          <w:color w:val="343434"/>
          <w:w w:val="105"/>
        </w:rPr>
        <w:t>Ministers' Pension Fund. In </w:t>
      </w:r>
      <w:r>
        <w:rPr>
          <w:rFonts w:ascii="Times New Roman"/>
          <w:color w:val="444444"/>
          <w:w w:val="105"/>
        </w:rPr>
        <w:t>2006 </w:t>
      </w:r>
      <w:r>
        <w:rPr>
          <w:rFonts w:ascii="Times New Roman"/>
          <w:color w:val="343434"/>
          <w:w w:val="105"/>
        </w:rPr>
        <w:t>investment </w:t>
      </w:r>
      <w:r>
        <w:rPr>
          <w:rFonts w:ascii="Times New Roman"/>
          <w:color w:val="444444"/>
          <w:w w:val="105"/>
        </w:rPr>
        <w:t>growth was </w:t>
      </w:r>
      <w:r>
        <w:rPr>
          <w:rFonts w:ascii="Times New Roman"/>
          <w:color w:val="343434"/>
          <w:w w:val="105"/>
        </w:rPr>
        <w:t>more than </w:t>
      </w:r>
      <w:r>
        <w:rPr>
          <w:rFonts w:ascii="Times New Roman"/>
          <w:color w:val="444444"/>
          <w:w w:val="105"/>
        </w:rPr>
        <w:t>offset </w:t>
      </w:r>
      <w:r>
        <w:rPr>
          <w:rFonts w:ascii="Times New Roman"/>
          <w:color w:val="343434"/>
          <w:w w:val="105"/>
        </w:rPr>
        <w:t>by </w:t>
      </w:r>
      <w:r>
        <w:rPr>
          <w:rFonts w:ascii="Times New Roman"/>
          <w:color w:val="444444"/>
          <w:w w:val="105"/>
        </w:rPr>
        <w:t>the cost of taking account of increased </w:t>
      </w:r>
      <w:r>
        <w:rPr>
          <w:rFonts w:ascii="Times New Roman"/>
          <w:color w:val="343434"/>
          <w:w w:val="105"/>
        </w:rPr>
        <w:t>life </w:t>
      </w:r>
      <w:r>
        <w:rPr>
          <w:rFonts w:ascii="Times New Roman"/>
          <w:color w:val="444444"/>
          <w:w w:val="105"/>
        </w:rPr>
        <w:t>expectancy </w:t>
      </w:r>
      <w:r>
        <w:rPr>
          <w:rFonts w:ascii="Times New Roman"/>
          <w:color w:val="343434"/>
          <w:w w:val="105"/>
        </w:rPr>
        <w:t>of </w:t>
      </w:r>
      <w:r>
        <w:rPr>
          <w:rFonts w:ascii="Times New Roman"/>
          <w:color w:val="444444"/>
          <w:w w:val="105"/>
        </w:rPr>
        <w:t>pensioners</w:t>
      </w:r>
      <w:r>
        <w:rPr>
          <w:rFonts w:ascii="Times New Roman"/>
          <w:color w:val="1C1C1C"/>
          <w:w w:val="105"/>
        </w:rPr>
        <w:t>. </w:t>
      </w:r>
      <w:r>
        <w:rPr>
          <w:rFonts w:ascii="Times New Roman"/>
          <w:color w:val="343434"/>
          <w:w w:val="105"/>
        </w:rPr>
        <w:t>More details </w:t>
      </w:r>
      <w:r>
        <w:rPr>
          <w:rFonts w:ascii="Times New Roman"/>
          <w:color w:val="444444"/>
          <w:w w:val="105"/>
        </w:rPr>
        <w:t>are given </w:t>
      </w:r>
      <w:r>
        <w:rPr>
          <w:rFonts w:ascii="Times New Roman"/>
          <w:color w:val="343434"/>
          <w:w w:val="105"/>
        </w:rPr>
        <w:t>in note 17 </w:t>
      </w:r>
      <w:r>
        <w:rPr>
          <w:rFonts w:ascii="Times New Roman"/>
          <w:color w:val="444444"/>
          <w:w w:val="105"/>
        </w:rPr>
        <w:t>to </w:t>
      </w:r>
      <w:r>
        <w:rPr>
          <w:rFonts w:ascii="Times New Roman"/>
          <w:color w:val="343434"/>
          <w:w w:val="105"/>
        </w:rPr>
        <w:t>the </w:t>
      </w:r>
      <w:r>
        <w:rPr>
          <w:rFonts w:ascii="Times New Roman"/>
          <w:color w:val="444444"/>
          <w:w w:val="105"/>
        </w:rPr>
        <w:t>accounts on page 21.</w:t>
      </w:r>
    </w:p>
    <w:p>
      <w:pPr>
        <w:pStyle w:val="BodyText"/>
        <w:spacing w:before="3"/>
        <w:rPr>
          <w:rFonts w:ascii="Times New Roman"/>
          <w:sz w:val="29"/>
        </w:rPr>
      </w:pPr>
    </w:p>
    <w:p>
      <w:pPr>
        <w:spacing w:before="0"/>
        <w:ind w:left="995" w:right="0" w:firstLine="0"/>
        <w:jc w:val="left"/>
        <w:rPr>
          <w:rFonts w:ascii="Times New Roman"/>
          <w:b/>
          <w:sz w:val="18"/>
        </w:rPr>
      </w:pPr>
      <w:r>
        <w:rPr>
          <w:rFonts w:ascii="Times New Roman"/>
          <w:b/>
          <w:color w:val="343434"/>
          <w:w w:val="105"/>
          <w:sz w:val="18"/>
        </w:rPr>
        <w:t>CONCLUSION</w:t>
      </w:r>
    </w:p>
    <w:p>
      <w:pPr>
        <w:pStyle w:val="BodyText"/>
        <w:spacing w:line="268" w:lineRule="auto" w:before="120"/>
        <w:ind w:left="986" w:right="953"/>
        <w:jc w:val="both"/>
        <w:rPr>
          <w:rFonts w:ascii="Times New Roman"/>
        </w:rPr>
      </w:pPr>
      <w:r>
        <w:rPr>
          <w:rFonts w:ascii="Times New Roman"/>
          <w:color w:val="444444"/>
          <w:w w:val="105"/>
        </w:rPr>
        <w:t>Those wanting </w:t>
      </w:r>
      <w:r>
        <w:rPr>
          <w:rFonts w:ascii="Times New Roman"/>
          <w:color w:val="343434"/>
          <w:w w:val="105"/>
        </w:rPr>
        <w:t>more information </w:t>
      </w:r>
      <w:r>
        <w:rPr>
          <w:rFonts w:ascii="Times New Roman"/>
          <w:color w:val="444444"/>
          <w:w w:val="105"/>
        </w:rPr>
        <w:t>or explanations about any aspect of the Church</w:t>
      </w:r>
      <w:r>
        <w:rPr>
          <w:rFonts w:ascii="Times New Roman"/>
          <w:color w:val="646464"/>
          <w:w w:val="105"/>
        </w:rPr>
        <w:t>' </w:t>
      </w:r>
      <w:r>
        <w:rPr>
          <w:rFonts w:ascii="Times New Roman"/>
          <w:color w:val="444444"/>
          <w:w w:val="105"/>
        </w:rPr>
        <w:t>s finances are encouraged to address their enquiries to the Treasurer at General Assembly or any other time.</w:t>
      </w:r>
    </w:p>
    <w:p>
      <w:pPr>
        <w:pStyle w:val="BodyText"/>
        <w:rPr>
          <w:rFonts w:ascii="Times New Roman"/>
          <w:sz w:val="20"/>
        </w:rPr>
      </w:pPr>
    </w:p>
    <w:p>
      <w:pPr>
        <w:pStyle w:val="BodyText"/>
        <w:spacing w:before="6"/>
        <w:rPr>
          <w:rFonts w:ascii="Times New Roman"/>
          <w:sz w:val="17"/>
        </w:rPr>
      </w:pPr>
    </w:p>
    <w:p>
      <w:pPr>
        <w:pStyle w:val="BodyText"/>
        <w:ind w:left="991"/>
        <w:jc w:val="both"/>
        <w:rPr>
          <w:rFonts w:ascii="Times New Roman"/>
        </w:rPr>
      </w:pPr>
      <w:r>
        <w:rPr>
          <w:rFonts w:ascii="Times New Roman"/>
          <w:color w:val="444444"/>
          <w:w w:val="105"/>
        </w:rPr>
        <w:t>Signed on behalf of the Trustee</w:t>
      </w: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spacing w:line="244" w:lineRule="auto" w:before="0"/>
        <w:ind w:left="995" w:right="6957" w:firstLine="3"/>
        <w:jc w:val="left"/>
        <w:rPr>
          <w:rFonts w:ascii="Times New Roman"/>
          <w:b/>
          <w:sz w:val="18"/>
        </w:rPr>
      </w:pPr>
      <w:r>
        <w:rPr>
          <w:rFonts w:ascii="Times New Roman"/>
          <w:b/>
          <w:color w:val="1C1C1C"/>
          <w:w w:val="105"/>
          <w:sz w:val="18"/>
        </w:rPr>
        <w:t>Revd John D </w:t>
      </w:r>
      <w:r>
        <w:rPr>
          <w:rFonts w:ascii="Times New Roman"/>
          <w:b/>
          <w:color w:val="343434"/>
          <w:w w:val="105"/>
          <w:sz w:val="18"/>
        </w:rPr>
        <w:t>WaUer Chairman</w:t>
      </w:r>
    </w:p>
    <w:p>
      <w:pPr>
        <w:pStyle w:val="BodyText"/>
        <w:spacing w:before="11"/>
        <w:ind w:left="990"/>
        <w:jc w:val="both"/>
        <w:rPr>
          <w:rFonts w:ascii="Times New Roman"/>
        </w:rPr>
      </w:pPr>
      <w:r>
        <w:rPr>
          <w:rFonts w:ascii="Times New Roman"/>
          <w:color w:val="343434"/>
          <w:w w:val="105"/>
        </w:rPr>
        <w:t>17 </w:t>
      </w:r>
      <w:r>
        <w:rPr>
          <w:rFonts w:ascii="Times New Roman"/>
          <w:color w:val="444444"/>
          <w:w w:val="105"/>
        </w:rPr>
        <w:t>May 2007</w:t>
      </w:r>
    </w:p>
    <w:p>
      <w:pPr>
        <w:spacing w:after="0"/>
        <w:jc w:val="both"/>
        <w:rPr>
          <w:rFonts w:ascii="Times New Roman"/>
        </w:rPr>
        <w:sectPr>
          <w:headerReference w:type="even" r:id="rId488"/>
          <w:footerReference w:type="even" r:id="rId489"/>
          <w:pgSz w:w="10950" w:h="15880"/>
          <w:pgMar w:header="0" w:footer="0" w:top="140" w:bottom="280" w:left="50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7"/>
        </w:rPr>
      </w:pPr>
    </w:p>
    <w:p>
      <w:pPr>
        <w:spacing w:before="88"/>
        <w:ind w:left="840" w:right="1233" w:firstLine="0"/>
        <w:jc w:val="center"/>
        <w:rPr>
          <w:rFonts w:ascii="Times New Roman" w:hAnsi="Times New Roman"/>
          <w:b/>
          <w:sz w:val="30"/>
        </w:rPr>
      </w:pPr>
      <w:r>
        <w:rPr>
          <w:rFonts w:ascii="Times New Roman" w:hAnsi="Times New Roman"/>
          <w:b/>
          <w:color w:val="383838"/>
          <w:w w:val="105"/>
          <w:sz w:val="30"/>
        </w:rPr>
        <w:t>U</w:t>
      </w:r>
      <w:r>
        <w:rPr>
          <w:rFonts w:ascii="Times New Roman" w:hAnsi="Times New Roman"/>
          <w:b/>
          <w:color w:val="1C1C1C"/>
          <w:w w:val="105"/>
          <w:sz w:val="30"/>
        </w:rPr>
        <w:t>nrestrictedIncome </w:t>
      </w:r>
      <w:r>
        <w:rPr>
          <w:rFonts w:ascii="Times New Roman" w:hAnsi="Times New Roman"/>
          <w:b/>
          <w:color w:val="0E0E0E"/>
          <w:w w:val="105"/>
          <w:sz w:val="30"/>
        </w:rPr>
        <w:t>- </w:t>
      </w:r>
      <w:r>
        <w:rPr>
          <w:rFonts w:ascii="Times New Roman" w:hAnsi="Times New Roman"/>
          <w:b/>
          <w:color w:val="1C1C1C"/>
          <w:w w:val="105"/>
          <w:sz w:val="30"/>
        </w:rPr>
        <w:t>£23.4m</w:t>
      </w:r>
    </w:p>
    <w:p>
      <w:pPr>
        <w:spacing w:before="128"/>
        <w:ind w:left="857" w:right="1233" w:firstLine="0"/>
        <w:jc w:val="center"/>
        <w:rPr>
          <w:rFonts w:ascii="Times New Roman"/>
          <w:b/>
          <w:sz w:val="34"/>
        </w:rPr>
      </w:pPr>
      <w:r>
        <w:rPr>
          <w:rFonts w:ascii="Times New Roman"/>
          <w:b/>
          <w:color w:val="1C1C1C"/>
          <w:w w:val="105"/>
          <w:sz w:val="34"/>
        </w:rPr>
        <w:t>Year ended 31</w:t>
      </w:r>
      <w:r>
        <w:rPr>
          <w:rFonts w:ascii="Times New Roman"/>
          <w:b/>
          <w:color w:val="1C1C1C"/>
          <w:w w:val="105"/>
          <w:sz w:val="34"/>
          <w:vertAlign w:val="superscript"/>
        </w:rPr>
        <w:t>st</w:t>
      </w:r>
      <w:r>
        <w:rPr>
          <w:rFonts w:ascii="Times New Roman"/>
          <w:b/>
          <w:color w:val="1C1C1C"/>
          <w:w w:val="105"/>
          <w:sz w:val="34"/>
          <w:vertAlign w:val="baseline"/>
        </w:rPr>
        <w:t> December </w:t>
      </w:r>
      <w:r>
        <w:rPr>
          <w:rFonts w:ascii="Times New Roman"/>
          <w:b/>
          <w:color w:val="0E0E0E"/>
          <w:w w:val="105"/>
          <w:sz w:val="34"/>
          <w:vertAlign w:val="baseline"/>
        </w:rPr>
        <w:t>2006</w:t>
      </w:r>
    </w:p>
    <w:p>
      <w:pPr>
        <w:spacing w:before="389"/>
        <w:ind w:left="159" w:right="1233" w:firstLine="0"/>
        <w:jc w:val="center"/>
        <w:rPr>
          <w:rFonts w:ascii="Times New Roman"/>
          <w:sz w:val="36"/>
        </w:rPr>
      </w:pPr>
      <w:r>
        <w:rPr>
          <w:rFonts w:ascii="Times New Roman"/>
          <w:color w:val="1C1C1C"/>
          <w:w w:val="110"/>
          <w:sz w:val="36"/>
        </w:rPr>
        <w:t>86%</w:t>
      </w:r>
    </w:p>
    <w:p>
      <w:pPr>
        <w:pStyle w:val="BodyText"/>
        <w:spacing w:before="10"/>
        <w:rPr>
          <w:rFonts w:ascii="Times New Roman"/>
          <w:sz w:val="9"/>
        </w:rPr>
      </w:pPr>
      <w:r>
        <w:rPr/>
        <w:pict>
          <v:group style="position:absolute;margin-left:104.002701pt;margin-top:7.669772pt;width:351.5pt;height:299.350pt;mso-position-horizontal-relative:page;mso-position-vertical-relative:paragraph;z-index:-251216896;mso-wrap-distance-left:0;mso-wrap-distance-right:0" coordorigin="2080,153" coordsize="7030,5987">
            <v:shape style="position:absolute;left:2080;top:153;width:7030;height:5562" type="#_x0000_t75" stroked="false">
              <v:imagedata r:id="rId492" o:title=""/>
            </v:shape>
            <v:shape style="position:absolute;left:4142;top:5739;width:550;height:400" type="#_x0000_t202" filled="false" stroked="false">
              <v:textbox inset="0,0,0,0">
                <w:txbxContent>
                  <w:p>
                    <w:pPr>
                      <w:spacing w:line="399" w:lineRule="exact" w:before="0"/>
                      <w:ind w:left="0" w:right="0" w:firstLine="0"/>
                      <w:jc w:val="left"/>
                      <w:rPr>
                        <w:rFonts w:ascii="Times New Roman"/>
                        <w:sz w:val="36"/>
                      </w:rPr>
                    </w:pPr>
                    <w:r>
                      <w:rPr>
                        <w:rFonts w:ascii="Times New Roman"/>
                        <w:color w:val="1C1C1C"/>
                        <w:w w:val="110"/>
                        <w:sz w:val="36"/>
                      </w:rPr>
                      <w:t>5%</w:t>
                    </w:r>
                  </w:p>
                </w:txbxContent>
              </v:textbox>
              <w10:wrap type="none"/>
            </v:shape>
            <v:shape style="position:absolute;left:5657;top:5624;width:550;height:400" type="#_x0000_t202" filled="false" stroked="false">
              <v:textbox inset="0,0,0,0">
                <w:txbxContent>
                  <w:p>
                    <w:pPr>
                      <w:spacing w:line="399" w:lineRule="exact" w:before="0"/>
                      <w:ind w:left="0" w:right="0" w:firstLine="0"/>
                      <w:jc w:val="left"/>
                      <w:rPr>
                        <w:rFonts w:ascii="Times New Roman"/>
                        <w:sz w:val="36"/>
                      </w:rPr>
                    </w:pPr>
                    <w:r>
                      <w:rPr>
                        <w:rFonts w:ascii="Times New Roman"/>
                        <w:color w:val="1C1C1C"/>
                        <w:w w:val="110"/>
                        <w:sz w:val="36"/>
                      </w:rPr>
                      <w:t>3%</w:t>
                    </w:r>
                  </w:p>
                </w:txbxContent>
              </v:textbox>
              <w10:wrap type="none"/>
            </v:shape>
            <v:shape style="position:absolute;left:7572;top:5576;width:550;height:400" type="#_x0000_t202" filled="false" stroked="false">
              <v:textbox inset="0,0,0,0">
                <w:txbxContent>
                  <w:p>
                    <w:pPr>
                      <w:spacing w:line="399" w:lineRule="exact" w:before="0"/>
                      <w:ind w:left="0" w:right="0" w:firstLine="0"/>
                      <w:jc w:val="left"/>
                      <w:rPr>
                        <w:rFonts w:ascii="Times New Roman"/>
                        <w:sz w:val="36"/>
                      </w:rPr>
                    </w:pPr>
                    <w:r>
                      <w:rPr>
                        <w:rFonts w:ascii="Times New Roman"/>
                        <w:color w:val="1C1C1C"/>
                        <w:w w:val="110"/>
                        <w:sz w:val="36"/>
                      </w:rPr>
                      <w:t>4%</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22"/>
        <w:ind w:left="1835" w:right="0" w:firstLine="0"/>
        <w:jc w:val="left"/>
        <w:rPr>
          <w:rFonts w:ascii="Times New Roman"/>
          <w:sz w:val="30"/>
        </w:rPr>
      </w:pPr>
      <w:r>
        <w:rPr>
          <w:rFonts w:ascii="Times New Roman"/>
          <w:color w:val="1C1C1C"/>
          <w:w w:val="105"/>
          <w:sz w:val="30"/>
        </w:rPr>
        <w:t>M&amp;M Fund</w:t>
      </w:r>
      <w:r>
        <w:rPr>
          <w:rFonts w:ascii="Times New Roman"/>
          <w:color w:val="1C1C1C"/>
          <w:spacing w:val="-20"/>
          <w:w w:val="105"/>
          <w:sz w:val="30"/>
        </w:rPr>
        <w:t> </w:t>
      </w:r>
      <w:r>
        <w:rPr>
          <w:rFonts w:ascii="Times New Roman"/>
          <w:color w:val="1C1C1C"/>
          <w:w w:val="105"/>
          <w:sz w:val="30"/>
        </w:rPr>
        <w:t>Contributions</w:t>
      </w:r>
    </w:p>
    <w:p>
      <w:pPr>
        <w:spacing w:before="158"/>
        <w:ind w:left="1507" w:right="0" w:firstLine="0"/>
        <w:jc w:val="left"/>
        <w:rPr>
          <w:rFonts w:ascii="Times New Roman" w:hAnsi="Times New Roman"/>
          <w:sz w:val="30"/>
        </w:rPr>
      </w:pPr>
      <w:r>
        <w:rPr>
          <w:rFonts w:ascii="Arial" w:hAnsi="Arial"/>
          <w:color w:val="1C1C1C"/>
          <w:w w:val="105"/>
          <w:sz w:val="48"/>
        </w:rPr>
        <w:t>□</w:t>
      </w:r>
      <w:r>
        <w:rPr>
          <w:rFonts w:ascii="Times New Roman" w:hAnsi="Times New Roman"/>
          <w:color w:val="1C1C1C"/>
          <w:w w:val="105"/>
          <w:sz w:val="30"/>
        </w:rPr>
        <w:t>Donations</w:t>
      </w:r>
      <w:r>
        <w:rPr>
          <w:rFonts w:ascii="Times New Roman" w:hAnsi="Times New Roman"/>
          <w:color w:val="383838"/>
          <w:w w:val="105"/>
          <w:sz w:val="30"/>
        </w:rPr>
        <w:t>, </w:t>
      </w:r>
      <w:r>
        <w:rPr>
          <w:rFonts w:ascii="Times New Roman" w:hAnsi="Times New Roman"/>
          <w:color w:val="1C1C1C"/>
          <w:w w:val="105"/>
          <w:sz w:val="30"/>
        </w:rPr>
        <w:t>Grants and Legacies</w:t>
      </w:r>
    </w:p>
    <w:p>
      <w:pPr>
        <w:pStyle w:val="ListParagraph"/>
        <w:numPr>
          <w:ilvl w:val="1"/>
          <w:numId w:val="215"/>
        </w:numPr>
        <w:tabs>
          <w:tab w:pos="1823" w:val="left" w:leader="none"/>
        </w:tabs>
        <w:spacing w:line="240" w:lineRule="auto" w:before="122" w:after="0"/>
        <w:ind w:left="1822" w:right="0" w:hanging="316"/>
        <w:jc w:val="left"/>
        <w:rPr>
          <w:rFonts w:ascii="Arial" w:hAnsi="Arial"/>
          <w:color w:val="0E0E0E"/>
          <w:sz w:val="46"/>
        </w:rPr>
      </w:pPr>
      <w:r>
        <w:rPr>
          <w:rFonts w:ascii="Times New Roman" w:hAnsi="Times New Roman"/>
          <w:color w:val="1C1C1C"/>
          <w:w w:val="105"/>
          <w:sz w:val="30"/>
        </w:rPr>
        <w:t>Investment</w:t>
      </w:r>
      <w:r>
        <w:rPr>
          <w:rFonts w:ascii="Times New Roman" w:hAnsi="Times New Roman"/>
          <w:color w:val="1C1C1C"/>
          <w:spacing w:val="21"/>
          <w:w w:val="105"/>
          <w:sz w:val="30"/>
        </w:rPr>
        <w:t> </w:t>
      </w:r>
      <w:r>
        <w:rPr>
          <w:rFonts w:ascii="Times New Roman" w:hAnsi="Times New Roman"/>
          <w:color w:val="1C1C1C"/>
          <w:w w:val="105"/>
          <w:sz w:val="30"/>
        </w:rPr>
        <w:t>income</w:t>
      </w:r>
    </w:p>
    <w:p>
      <w:pPr>
        <w:spacing w:before="301"/>
        <w:ind w:left="1822" w:right="0" w:firstLine="0"/>
        <w:jc w:val="left"/>
        <w:rPr>
          <w:rFonts w:ascii="Times New Roman"/>
          <w:sz w:val="30"/>
        </w:rPr>
      </w:pPr>
      <w:r>
        <w:rPr>
          <w:rFonts w:ascii="Times New Roman"/>
          <w:color w:val="1C1C1C"/>
          <w:w w:val="105"/>
          <w:sz w:val="30"/>
        </w:rPr>
        <w:t>Income from Charitable Activities</w:t>
      </w:r>
    </w:p>
    <w:p>
      <w:pPr>
        <w:spacing w:before="233"/>
        <w:ind w:left="1515" w:right="0" w:firstLine="0"/>
        <w:jc w:val="left"/>
        <w:rPr>
          <w:rFonts w:ascii="Times New Roman"/>
          <w:sz w:val="30"/>
        </w:rPr>
      </w:pPr>
      <w:r>
        <w:rPr>
          <w:rFonts w:ascii="Arial"/>
          <w:color w:val="1C1C1C"/>
          <w:w w:val="105"/>
          <w:sz w:val="39"/>
        </w:rPr>
        <w:t>m</w:t>
      </w:r>
      <w:r>
        <w:rPr>
          <w:rFonts w:ascii="Times New Roman"/>
          <w:color w:val="1C1C1C"/>
          <w:w w:val="105"/>
          <w:sz w:val="30"/>
        </w:rPr>
        <w:t>Other incoming resources</w:t>
      </w:r>
    </w:p>
    <w:p>
      <w:pPr>
        <w:spacing w:after="0"/>
        <w:jc w:val="left"/>
        <w:rPr>
          <w:rFonts w:ascii="Times New Roman"/>
          <w:sz w:val="30"/>
        </w:rPr>
        <w:sectPr>
          <w:headerReference w:type="default" r:id="rId490"/>
          <w:footerReference w:type="default" r:id="rId491"/>
          <w:pgSz w:w="10950" w:h="15880"/>
          <w:pgMar w:header="283" w:footer="0" w:top="480" w:bottom="280" w:left="500" w:right="0"/>
        </w:sectPr>
      </w:pPr>
    </w:p>
    <w:p>
      <w:pPr>
        <w:spacing w:before="81"/>
        <w:ind w:left="191" w:right="0" w:firstLine="0"/>
        <w:jc w:val="left"/>
        <w:rPr>
          <w:rFonts w:ascii="Times New Roman"/>
          <w:sz w:val="19"/>
        </w:rPr>
      </w:pPr>
      <w:r>
        <w:rPr>
          <w:rFonts w:ascii="Times New Roman"/>
          <w:color w:val="212121"/>
          <w:w w:val="105"/>
          <w:sz w:val="19"/>
        </w:rPr>
        <w:t>A</w:t>
      </w:r>
      <w:r>
        <w:rPr>
          <w:rFonts w:ascii="Times New Roman"/>
          <w:color w:val="3F3F3F"/>
          <w:w w:val="105"/>
          <w:sz w:val="19"/>
        </w:rPr>
        <w:t>CC</w:t>
      </w:r>
      <w:r>
        <w:rPr>
          <w:rFonts w:ascii="Times New Roman"/>
          <w:color w:val="212121"/>
          <w:w w:val="105"/>
          <w:sz w:val="19"/>
        </w:rPr>
        <w:t>O</w:t>
      </w:r>
      <w:r>
        <w:rPr>
          <w:rFonts w:ascii="Times New Roman"/>
          <w:color w:val="3F3F3F"/>
          <w:w w:val="105"/>
          <w:sz w:val="19"/>
        </w:rPr>
        <w:t>UN</w:t>
      </w:r>
      <w:r>
        <w:rPr>
          <w:rFonts w:ascii="Times New Roman"/>
          <w:color w:val="212121"/>
          <w:w w:val="105"/>
          <w:sz w:val="19"/>
        </w:rPr>
        <w:t>T</w:t>
      </w:r>
      <w:r>
        <w:rPr>
          <w:rFonts w:ascii="Times New Roman"/>
          <w:color w:val="3F3F3F"/>
          <w:w w:val="105"/>
          <w:sz w:val="19"/>
        </w:rPr>
        <w:t>S </w:t>
      </w:r>
      <w:r>
        <w:rPr>
          <w:rFonts w:ascii="Times New Roman"/>
          <w:color w:val="212121"/>
          <w:w w:val="105"/>
          <w:sz w:val="19"/>
        </w:rPr>
        <w:t>page </w:t>
      </w:r>
      <w:r>
        <w:rPr>
          <w:rFonts w:ascii="Times New Roman"/>
          <w:color w:val="3F3F3F"/>
          <w:w w:val="105"/>
          <w:sz w:val="19"/>
        </w:rPr>
        <w:t>7</w:t>
      </w:r>
    </w:p>
    <w:p>
      <w:pPr>
        <w:pStyle w:val="BodyText"/>
        <w:rPr>
          <w:rFonts w:ascii="Times New Roman"/>
          <w:sz w:val="20"/>
        </w:rPr>
      </w:pPr>
    </w:p>
    <w:p>
      <w:pPr>
        <w:pStyle w:val="BodyText"/>
        <w:spacing w:before="6"/>
        <w:rPr>
          <w:rFonts w:ascii="Times New Roman"/>
          <w:sz w:val="20"/>
        </w:rPr>
      </w:pPr>
    </w:p>
    <w:p>
      <w:pPr>
        <w:spacing w:before="0"/>
        <w:ind w:left="841" w:right="1233" w:firstLine="0"/>
        <w:jc w:val="center"/>
        <w:rPr>
          <w:rFonts w:ascii="Times New Roman"/>
          <w:b/>
          <w:sz w:val="23"/>
        </w:rPr>
      </w:pPr>
      <w:r>
        <w:rPr>
          <w:rFonts w:ascii="Times New Roman"/>
          <w:b/>
          <w:color w:val="212121"/>
          <w:w w:val="105"/>
          <w:sz w:val="23"/>
        </w:rPr>
        <w:t>TRUSTEE'S </w:t>
      </w:r>
      <w:r>
        <w:rPr>
          <w:rFonts w:ascii="Times New Roman"/>
          <w:b/>
          <w:color w:val="0F0F0F"/>
          <w:w w:val="105"/>
          <w:sz w:val="23"/>
        </w:rPr>
        <w:t>REPORT </w:t>
      </w:r>
      <w:r>
        <w:rPr>
          <w:rFonts w:ascii="Times New Roman"/>
          <w:b/>
          <w:color w:val="212121"/>
          <w:w w:val="105"/>
          <w:sz w:val="23"/>
        </w:rPr>
        <w:t>CONTINUED</w:t>
      </w:r>
    </w:p>
    <w:p>
      <w:pPr>
        <w:pStyle w:val="BodyText"/>
        <w:rPr>
          <w:rFonts w:ascii="Times New Roman"/>
          <w:b/>
          <w:sz w:val="26"/>
        </w:rPr>
      </w:pPr>
    </w:p>
    <w:p>
      <w:pPr>
        <w:pStyle w:val="BodyText"/>
        <w:rPr>
          <w:rFonts w:ascii="Times New Roman"/>
          <w:b/>
          <w:sz w:val="26"/>
        </w:rPr>
      </w:pPr>
    </w:p>
    <w:p>
      <w:pPr>
        <w:pStyle w:val="BodyText"/>
        <w:rPr>
          <w:rFonts w:ascii="Times New Roman"/>
          <w:b/>
          <w:sz w:val="26"/>
        </w:rPr>
      </w:pPr>
    </w:p>
    <w:p>
      <w:pPr>
        <w:spacing w:before="226"/>
        <w:ind w:left="856" w:right="1233" w:firstLine="0"/>
        <w:jc w:val="center"/>
        <w:rPr>
          <w:rFonts w:ascii="Times New Roman" w:hAnsi="Times New Roman"/>
          <w:b/>
          <w:sz w:val="29"/>
        </w:rPr>
      </w:pPr>
      <w:r>
        <w:rPr>
          <w:rFonts w:ascii="Times New Roman" w:hAnsi="Times New Roman"/>
          <w:b/>
          <w:color w:val="212121"/>
          <w:w w:val="105"/>
          <w:sz w:val="29"/>
        </w:rPr>
        <w:t>Unrestricted Expenditure </w:t>
      </w:r>
      <w:r>
        <w:rPr>
          <w:rFonts w:ascii="Times New Roman" w:hAnsi="Times New Roman"/>
          <w:b/>
          <w:color w:val="0F0F0F"/>
          <w:w w:val="105"/>
          <w:sz w:val="29"/>
        </w:rPr>
        <w:t>-</w:t>
      </w:r>
      <w:r>
        <w:rPr>
          <w:rFonts w:ascii="Times New Roman" w:hAnsi="Times New Roman"/>
          <w:b/>
          <w:color w:val="0F0F0F"/>
          <w:spacing w:val="-36"/>
          <w:w w:val="105"/>
          <w:sz w:val="29"/>
        </w:rPr>
        <w:t> </w:t>
      </w:r>
      <w:r>
        <w:rPr>
          <w:rFonts w:ascii="Times New Roman" w:hAnsi="Times New Roman"/>
          <w:b/>
          <w:color w:val="0F0F0F"/>
          <w:w w:val="105"/>
          <w:sz w:val="29"/>
        </w:rPr>
        <w:t>£22.4m</w:t>
      </w:r>
    </w:p>
    <w:p>
      <w:pPr>
        <w:spacing w:before="119"/>
        <w:ind w:left="866" w:right="1233" w:firstLine="0"/>
        <w:jc w:val="center"/>
        <w:rPr>
          <w:rFonts w:ascii="Times New Roman"/>
          <w:b/>
          <w:sz w:val="32"/>
        </w:rPr>
      </w:pPr>
      <w:r>
        <w:rPr>
          <w:rFonts w:ascii="Times New Roman"/>
          <w:b/>
          <w:color w:val="212121"/>
          <w:w w:val="105"/>
          <w:sz w:val="32"/>
        </w:rPr>
        <w:t>Year </w:t>
      </w:r>
      <w:r>
        <w:rPr>
          <w:rFonts w:ascii="Times New Roman"/>
          <w:b/>
          <w:color w:val="0F0F0F"/>
          <w:w w:val="105"/>
          <w:sz w:val="32"/>
        </w:rPr>
        <w:t>ended 31</w:t>
      </w:r>
      <w:r>
        <w:rPr>
          <w:rFonts w:ascii="Times New Roman"/>
          <w:b/>
          <w:color w:val="0F0F0F"/>
          <w:w w:val="105"/>
          <w:sz w:val="32"/>
          <w:vertAlign w:val="superscript"/>
        </w:rPr>
        <w:t>st</w:t>
      </w:r>
      <w:r>
        <w:rPr>
          <w:rFonts w:ascii="Times New Roman"/>
          <w:b/>
          <w:color w:val="0F0F0F"/>
          <w:w w:val="105"/>
          <w:sz w:val="32"/>
          <w:vertAlign w:val="baseline"/>
        </w:rPr>
        <w:t> December</w:t>
      </w:r>
      <w:r>
        <w:rPr>
          <w:rFonts w:ascii="Times New Roman"/>
          <w:b/>
          <w:color w:val="0F0F0F"/>
          <w:spacing w:val="-22"/>
          <w:w w:val="105"/>
          <w:sz w:val="32"/>
          <w:vertAlign w:val="baseline"/>
        </w:rPr>
        <w:t> </w:t>
      </w:r>
      <w:r>
        <w:rPr>
          <w:rFonts w:ascii="Times New Roman"/>
          <w:b/>
          <w:color w:val="0F0F0F"/>
          <w:w w:val="105"/>
          <w:sz w:val="32"/>
          <w:vertAlign w:val="baseline"/>
        </w:rPr>
        <w:t>2006</w:t>
      </w:r>
    </w:p>
    <w:p>
      <w:pPr>
        <w:pStyle w:val="BodyText"/>
        <w:spacing w:before="1"/>
        <w:rPr>
          <w:rFonts w:ascii="Times New Roman"/>
          <w:b/>
          <w:sz w:val="49"/>
        </w:rPr>
      </w:pPr>
    </w:p>
    <w:p>
      <w:pPr>
        <w:spacing w:before="1"/>
        <w:ind w:left="1408" w:right="934" w:firstLine="0"/>
        <w:jc w:val="center"/>
        <w:rPr>
          <w:rFonts w:ascii="Times New Roman"/>
          <w:sz w:val="29"/>
        </w:rPr>
      </w:pPr>
      <w:r>
        <w:rPr>
          <w:rFonts w:ascii="Times New Roman"/>
          <w:color w:val="212121"/>
          <w:w w:val="110"/>
          <w:sz w:val="29"/>
        </w:rPr>
        <w:t>81%</w:t>
      </w:r>
    </w:p>
    <w:p>
      <w:pPr>
        <w:pStyle w:val="BodyText"/>
        <w:spacing w:before="2"/>
        <w:rPr>
          <w:rFonts w:ascii="Times New Roman"/>
          <w:sz w:val="11"/>
        </w:rPr>
      </w:pPr>
      <w:r>
        <w:rPr/>
        <w:pict>
          <v:group style="position:absolute;margin-left:95.817299pt;margin-top:8.400314pt;width:360.65pt;height:269.8pt;mso-position-horizontal-relative:page;mso-position-vertical-relative:paragraph;z-index:-251214848;mso-wrap-distance-left:0;mso-wrap-distance-right:0" coordorigin="1916,168" coordsize="7213,5396">
            <v:shape style="position:absolute;left:1916;top:168;width:7213;height:5168" type="#_x0000_t75" stroked="false">
              <v:imagedata r:id="rId495" o:title=""/>
            </v:shape>
            <v:shape style="position:absolute;left:4639;top:5230;width:450;height:333" type="#_x0000_t202" filled="false" stroked="false">
              <v:textbox inset="0,0,0,0">
                <w:txbxContent>
                  <w:p>
                    <w:pPr>
                      <w:spacing w:line="333" w:lineRule="exact" w:before="0"/>
                      <w:ind w:left="0" w:right="0" w:firstLine="0"/>
                      <w:jc w:val="left"/>
                      <w:rPr>
                        <w:rFonts w:ascii="Times New Roman"/>
                        <w:sz w:val="30"/>
                      </w:rPr>
                    </w:pPr>
                    <w:r>
                      <w:rPr>
                        <w:rFonts w:ascii="Times New Roman"/>
                        <w:color w:val="212121"/>
                        <w:w w:val="105"/>
                        <w:sz w:val="30"/>
                      </w:rPr>
                      <w:t>9%</w:t>
                    </w:r>
                  </w:p>
                </w:txbxContent>
              </v:textbox>
              <w10:wrap type="none"/>
            </v:shape>
            <w10:wrap type="topAndBottom"/>
          </v:group>
        </w:pict>
      </w:r>
    </w:p>
    <w:p>
      <w:pPr>
        <w:pStyle w:val="BodyText"/>
        <w:spacing w:before="5"/>
        <w:rPr>
          <w:rFonts w:ascii="Times New Roman"/>
        </w:rPr>
      </w:pPr>
    </w:p>
    <w:p>
      <w:pPr>
        <w:spacing w:before="87"/>
        <w:ind w:left="1626" w:right="0" w:firstLine="0"/>
        <w:jc w:val="left"/>
        <w:rPr>
          <w:rFonts w:ascii="Times New Roman"/>
          <w:sz w:val="31"/>
        </w:rPr>
      </w:pPr>
      <w:r>
        <w:rPr>
          <w:rFonts w:ascii="Times New Roman"/>
          <w:color w:val="212121"/>
          <w:w w:val="120"/>
          <w:sz w:val="31"/>
        </w:rPr>
        <w:t>Ministry</w:t>
      </w:r>
    </w:p>
    <w:p>
      <w:pPr>
        <w:spacing w:before="224"/>
        <w:ind w:left="1497" w:right="0" w:firstLine="0"/>
        <w:jc w:val="left"/>
        <w:rPr>
          <w:rFonts w:ascii="Times New Roman" w:hAnsi="Times New Roman"/>
          <w:sz w:val="31"/>
        </w:rPr>
      </w:pPr>
      <w:r>
        <w:rPr>
          <w:rFonts w:ascii="Arial" w:hAnsi="Arial"/>
          <w:color w:val="0F0F0F"/>
          <w:sz w:val="48"/>
        </w:rPr>
        <w:t>□</w:t>
      </w:r>
      <w:r>
        <w:rPr>
          <w:rFonts w:ascii="Times New Roman" w:hAnsi="Times New Roman"/>
          <w:color w:val="0F0F0F"/>
          <w:sz w:val="31"/>
        </w:rPr>
        <w:t>Training</w:t>
      </w:r>
    </w:p>
    <w:p>
      <w:pPr>
        <w:pStyle w:val="ListParagraph"/>
        <w:numPr>
          <w:ilvl w:val="1"/>
          <w:numId w:val="215"/>
        </w:numPr>
        <w:tabs>
          <w:tab w:pos="1810" w:val="left" w:leader="none"/>
        </w:tabs>
        <w:spacing w:line="722" w:lineRule="exact" w:before="42" w:after="0"/>
        <w:ind w:left="1516" w:right="5458" w:hanging="29"/>
        <w:jc w:val="left"/>
        <w:rPr>
          <w:rFonts w:ascii="Arial" w:hAnsi="Arial"/>
          <w:color w:val="0F0F0F"/>
          <w:sz w:val="46"/>
        </w:rPr>
      </w:pPr>
      <w:r>
        <w:rPr>
          <w:rFonts w:ascii="Times New Roman" w:hAnsi="Times New Roman"/>
          <w:color w:val="212121"/>
          <w:w w:val="105"/>
          <w:sz w:val="31"/>
        </w:rPr>
        <w:t>Other Mission</w:t>
      </w:r>
      <w:r>
        <w:rPr>
          <w:rFonts w:ascii="Times New Roman" w:hAnsi="Times New Roman"/>
          <w:color w:val="212121"/>
          <w:spacing w:val="-52"/>
          <w:w w:val="105"/>
          <w:sz w:val="31"/>
        </w:rPr>
        <w:t> </w:t>
      </w:r>
      <w:r>
        <w:rPr>
          <w:rFonts w:ascii="Times New Roman" w:hAnsi="Times New Roman"/>
          <w:color w:val="212121"/>
          <w:w w:val="105"/>
          <w:sz w:val="31"/>
        </w:rPr>
        <w:t>Activities E3</w:t>
      </w:r>
      <w:r>
        <w:rPr>
          <w:rFonts w:ascii="Times New Roman" w:hAnsi="Times New Roman"/>
          <w:color w:val="212121"/>
          <w:spacing w:val="-59"/>
          <w:w w:val="105"/>
          <w:sz w:val="31"/>
        </w:rPr>
        <w:t> </w:t>
      </w:r>
      <w:r>
        <w:rPr>
          <w:rFonts w:ascii="Times New Roman" w:hAnsi="Times New Roman"/>
          <w:color w:val="212121"/>
          <w:w w:val="105"/>
          <w:sz w:val="31"/>
        </w:rPr>
        <w:t>Editorial</w:t>
      </w:r>
      <w:r>
        <w:rPr>
          <w:rFonts w:ascii="Times New Roman" w:hAnsi="Times New Roman"/>
          <w:color w:val="212121"/>
          <w:spacing w:val="-35"/>
          <w:w w:val="105"/>
          <w:sz w:val="31"/>
        </w:rPr>
        <w:t> </w:t>
      </w:r>
      <w:r>
        <w:rPr>
          <w:rFonts w:ascii="Times New Roman" w:hAnsi="Times New Roman"/>
          <w:color w:val="0F0F0F"/>
          <w:w w:val="105"/>
          <w:sz w:val="31"/>
        </w:rPr>
        <w:t>and</w:t>
      </w:r>
      <w:r>
        <w:rPr>
          <w:rFonts w:ascii="Times New Roman" w:hAnsi="Times New Roman"/>
          <w:color w:val="0F0F0F"/>
          <w:spacing w:val="-41"/>
          <w:w w:val="105"/>
          <w:sz w:val="31"/>
        </w:rPr>
        <w:t> </w:t>
      </w:r>
      <w:r>
        <w:rPr>
          <w:rFonts w:ascii="Times New Roman" w:hAnsi="Times New Roman"/>
          <w:color w:val="212121"/>
          <w:w w:val="105"/>
          <w:sz w:val="31"/>
        </w:rPr>
        <w:t>Bookshop</w:t>
      </w:r>
      <w:r>
        <w:rPr>
          <w:rFonts w:ascii="Times New Roman" w:hAnsi="Times New Roman"/>
          <w:color w:val="3F3F3F"/>
          <w:w w:val="105"/>
          <w:sz w:val="31"/>
        </w:rPr>
        <w:t> </w:t>
      </w:r>
      <w:r>
        <w:rPr>
          <w:rFonts w:ascii="Times New Roman" w:hAnsi="Times New Roman"/>
          <w:color w:val="3F3F3F"/>
          <w:w w:val="105"/>
          <w:sz w:val="30"/>
        </w:rPr>
        <w:t>tll</w:t>
      </w:r>
      <w:r>
        <w:rPr>
          <w:rFonts w:ascii="Times New Roman" w:hAnsi="Times New Roman"/>
          <w:color w:val="3F3F3F"/>
          <w:spacing w:val="-36"/>
          <w:w w:val="105"/>
          <w:sz w:val="30"/>
        </w:rPr>
        <w:t> </w:t>
      </w:r>
      <w:r>
        <w:rPr>
          <w:rFonts w:ascii="Times New Roman" w:hAnsi="Times New Roman"/>
          <w:color w:val="212121"/>
          <w:w w:val="105"/>
          <w:sz w:val="31"/>
        </w:rPr>
        <w:t>Governance</w:t>
      </w:r>
    </w:p>
    <w:p>
      <w:pPr>
        <w:spacing w:after="0" w:line="722" w:lineRule="exact"/>
        <w:jc w:val="left"/>
        <w:rPr>
          <w:rFonts w:ascii="Arial" w:hAnsi="Arial"/>
          <w:sz w:val="46"/>
        </w:rPr>
        <w:sectPr>
          <w:headerReference w:type="even" r:id="rId493"/>
          <w:footerReference w:type="even" r:id="rId494"/>
          <w:pgSz w:w="10950" w:h="15880"/>
          <w:pgMar w:header="0" w:footer="0" w:top="220" w:bottom="280" w:left="500" w:right="0"/>
        </w:sectPr>
      </w:pPr>
    </w:p>
    <w:p>
      <w:pPr>
        <w:pStyle w:val="BodyText"/>
        <w:rPr>
          <w:rFonts w:ascii="Times New Roman"/>
          <w:sz w:val="20"/>
        </w:rPr>
      </w:pPr>
    </w:p>
    <w:p>
      <w:pPr>
        <w:pStyle w:val="BodyText"/>
        <w:spacing w:before="9"/>
        <w:rPr>
          <w:rFonts w:ascii="Times New Roman"/>
          <w:sz w:val="17"/>
        </w:rPr>
      </w:pPr>
    </w:p>
    <w:p>
      <w:pPr>
        <w:spacing w:before="92"/>
        <w:ind w:left="1260" w:right="1233" w:firstLine="0"/>
        <w:jc w:val="center"/>
        <w:rPr>
          <w:rFonts w:ascii="Times New Roman"/>
          <w:b/>
          <w:sz w:val="22"/>
        </w:rPr>
      </w:pPr>
      <w:bookmarkStart w:name="_TOC_250014" w:id="7"/>
      <w:bookmarkEnd w:id="7"/>
      <w:r>
        <w:rPr>
          <w:rFonts w:ascii="Times New Roman"/>
          <w:b/>
          <w:color w:val="161616"/>
          <w:w w:val="105"/>
          <w:sz w:val="22"/>
        </w:rPr>
        <w:t>DESCRIPTION OF FUNDS</w:t>
      </w:r>
    </w:p>
    <w:p>
      <w:pPr>
        <w:pStyle w:val="BodyText"/>
        <w:spacing w:before="10"/>
        <w:rPr>
          <w:rFonts w:ascii="Times New Roman"/>
          <w:b/>
        </w:rPr>
      </w:pPr>
    </w:p>
    <w:p>
      <w:pPr>
        <w:spacing w:line="242" w:lineRule="auto" w:before="0"/>
        <w:ind w:left="966" w:right="934" w:firstLine="0"/>
        <w:jc w:val="both"/>
        <w:rPr>
          <w:rFonts w:ascii="Times New Roman"/>
          <w:sz w:val="19"/>
        </w:rPr>
      </w:pPr>
      <w:r>
        <w:rPr>
          <w:rFonts w:ascii="Times New Roman"/>
          <w:color w:val="414141"/>
          <w:sz w:val="19"/>
        </w:rPr>
        <w:t>The movements on our major funds or groups of funds, which are included in the United </w:t>
      </w:r>
      <w:r>
        <w:rPr>
          <w:rFonts w:ascii="Times New Roman"/>
          <w:color w:val="2A2A2A"/>
          <w:sz w:val="19"/>
        </w:rPr>
        <w:t>Reformed </w:t>
      </w:r>
      <w:r>
        <w:rPr>
          <w:rFonts w:ascii="Times New Roman"/>
          <w:color w:val="414141"/>
          <w:sz w:val="19"/>
        </w:rPr>
        <w:t>Church annual accounts</w:t>
      </w:r>
      <w:r>
        <w:rPr>
          <w:rFonts w:ascii="Times New Roman"/>
          <w:color w:val="676767"/>
          <w:sz w:val="19"/>
        </w:rPr>
        <w:t>, </w:t>
      </w:r>
      <w:r>
        <w:rPr>
          <w:rFonts w:ascii="Times New Roman"/>
          <w:color w:val="414141"/>
          <w:sz w:val="19"/>
        </w:rPr>
        <w:t>are shown in summary on </w:t>
      </w:r>
      <w:r>
        <w:rPr>
          <w:rFonts w:ascii="Times New Roman"/>
          <w:color w:val="2A2A2A"/>
          <w:sz w:val="19"/>
        </w:rPr>
        <w:t>page 12. Descriptions </w:t>
      </w:r>
      <w:r>
        <w:rPr>
          <w:rFonts w:ascii="Times New Roman"/>
          <w:color w:val="414141"/>
          <w:sz w:val="19"/>
        </w:rPr>
        <w:t>of these funds are set out below, with the </w:t>
      </w:r>
      <w:r>
        <w:rPr>
          <w:rFonts w:ascii="Times New Roman"/>
          <w:color w:val="414141"/>
          <w:sz w:val="18"/>
        </w:rPr>
        <w:t>total </w:t>
      </w:r>
      <w:r>
        <w:rPr>
          <w:rFonts w:ascii="Times New Roman"/>
          <w:color w:val="414141"/>
          <w:sz w:val="19"/>
        </w:rPr>
        <w:t>amount of each fund as at 31 </w:t>
      </w:r>
      <w:r>
        <w:rPr>
          <w:rFonts w:ascii="Times New Roman"/>
          <w:color w:val="2A2A2A"/>
          <w:sz w:val="19"/>
        </w:rPr>
        <w:t>December </w:t>
      </w:r>
      <w:r>
        <w:rPr>
          <w:rFonts w:ascii="Times New Roman"/>
          <w:color w:val="414141"/>
          <w:sz w:val="19"/>
        </w:rPr>
        <w:t>2006 and the </w:t>
      </w:r>
      <w:r>
        <w:rPr>
          <w:rFonts w:ascii="Times New Roman"/>
          <w:color w:val="2A2A2A"/>
          <w:sz w:val="19"/>
        </w:rPr>
        <w:t>major movements </w:t>
      </w:r>
      <w:r>
        <w:rPr>
          <w:rFonts w:ascii="Times New Roman"/>
          <w:color w:val="414141"/>
          <w:sz w:val="19"/>
        </w:rPr>
        <w:t>in 2006 shown in each </w:t>
      </w:r>
      <w:r>
        <w:rPr>
          <w:rFonts w:ascii="Times New Roman"/>
          <w:color w:val="2A2A2A"/>
          <w:sz w:val="19"/>
        </w:rPr>
        <w:t>heading.</w:t>
      </w:r>
    </w:p>
    <w:p>
      <w:pPr>
        <w:pStyle w:val="BodyText"/>
        <w:rPr>
          <w:rFonts w:ascii="Times New Roman"/>
          <w:sz w:val="20"/>
        </w:rPr>
      </w:pPr>
    </w:p>
    <w:p>
      <w:pPr>
        <w:spacing w:after="0"/>
        <w:rPr>
          <w:rFonts w:ascii="Times New Roman"/>
          <w:sz w:val="20"/>
        </w:rPr>
        <w:sectPr>
          <w:headerReference w:type="default" r:id="rId496"/>
          <w:footerReference w:type="default" r:id="rId497"/>
          <w:pgSz w:w="10950" w:h="15880"/>
          <w:pgMar w:header="208" w:footer="0" w:top="440" w:bottom="280" w:left="500" w:right="0"/>
        </w:sectPr>
      </w:pPr>
    </w:p>
    <w:p>
      <w:pPr>
        <w:pStyle w:val="BodyText"/>
        <w:spacing w:before="4"/>
        <w:rPr>
          <w:rFonts w:ascii="Times New Roman"/>
          <w:sz w:val="20"/>
        </w:rPr>
      </w:pPr>
    </w:p>
    <w:p>
      <w:pPr>
        <w:tabs>
          <w:tab w:pos="6699" w:val="left" w:leader="none"/>
        </w:tabs>
        <w:spacing w:line="256" w:lineRule="auto" w:before="0"/>
        <w:ind w:left="6699" w:right="38" w:hanging="5759"/>
        <w:jc w:val="left"/>
        <w:rPr>
          <w:rFonts w:ascii="Times New Roman" w:hAnsi="Times New Roman"/>
          <w:b/>
          <w:sz w:val="18"/>
        </w:rPr>
      </w:pPr>
      <w:r>
        <w:rPr>
          <w:rFonts w:ascii="Times New Roman" w:hAnsi="Times New Roman"/>
          <w:b/>
          <w:color w:val="2A2A2A"/>
          <w:w w:val="105"/>
          <w:sz w:val="18"/>
        </w:rPr>
        <w:t>Ministry </w:t>
      </w:r>
      <w:r>
        <w:rPr>
          <w:rFonts w:ascii="Times New Roman" w:hAnsi="Times New Roman"/>
          <w:b/>
          <w:color w:val="161616"/>
          <w:w w:val="105"/>
          <w:sz w:val="18"/>
        </w:rPr>
        <w:t>and </w:t>
      </w:r>
      <w:r>
        <w:rPr>
          <w:rFonts w:ascii="Times New Roman" w:hAnsi="Times New Roman"/>
          <w:b/>
          <w:color w:val="2A2A2A"/>
          <w:w w:val="105"/>
          <w:sz w:val="18"/>
        </w:rPr>
        <w:t>Mission</w:t>
      </w:r>
      <w:r>
        <w:rPr>
          <w:rFonts w:ascii="Times New Roman" w:hAnsi="Times New Roman"/>
          <w:b/>
          <w:color w:val="2A2A2A"/>
          <w:spacing w:val="-7"/>
          <w:w w:val="105"/>
          <w:sz w:val="18"/>
        </w:rPr>
        <w:t> </w:t>
      </w:r>
      <w:r>
        <w:rPr>
          <w:rFonts w:ascii="Times New Roman" w:hAnsi="Times New Roman"/>
          <w:b/>
          <w:color w:val="2A2A2A"/>
          <w:w w:val="105"/>
          <w:sz w:val="18"/>
        </w:rPr>
        <w:t>Fund:</w:t>
      </w:r>
      <w:r>
        <w:rPr>
          <w:rFonts w:ascii="Times New Roman" w:hAnsi="Times New Roman"/>
          <w:b/>
          <w:color w:val="2A2A2A"/>
          <w:spacing w:val="-9"/>
          <w:w w:val="105"/>
          <w:sz w:val="18"/>
        </w:rPr>
        <w:t> </w:t>
      </w:r>
      <w:r>
        <w:rPr>
          <w:rFonts w:ascii="Times New Roman" w:hAnsi="Times New Roman"/>
          <w:b/>
          <w:color w:val="2A2A2A"/>
          <w:w w:val="105"/>
          <w:sz w:val="18"/>
        </w:rPr>
        <w:t>£3,278k</w:t>
        <w:tab/>
        <w:t>Income </w:t>
      </w:r>
      <w:r>
        <w:rPr>
          <w:rFonts w:ascii="Times New Roman" w:hAnsi="Times New Roman"/>
          <w:b/>
          <w:color w:val="414141"/>
          <w:spacing w:val="-1"/>
          <w:w w:val="105"/>
          <w:sz w:val="18"/>
        </w:rPr>
        <w:t>Expen</w:t>
      </w:r>
      <w:r>
        <w:rPr>
          <w:rFonts w:ascii="Times New Roman" w:hAnsi="Times New Roman"/>
          <w:b/>
          <w:color w:val="161616"/>
          <w:spacing w:val="-1"/>
          <w:w w:val="105"/>
          <w:sz w:val="18"/>
        </w:rPr>
        <w:t>diture</w:t>
      </w:r>
    </w:p>
    <w:p>
      <w:pPr>
        <w:pStyle w:val="BodyText"/>
        <w:spacing w:before="4"/>
        <w:rPr>
          <w:rFonts w:ascii="Times New Roman"/>
          <w:b/>
          <w:sz w:val="20"/>
        </w:rPr>
      </w:pPr>
      <w:r>
        <w:rPr/>
        <w:br w:type="column"/>
      </w:r>
      <w:r>
        <w:rPr>
          <w:rFonts w:ascii="Times New Roman"/>
          <w:b/>
          <w:sz w:val="20"/>
        </w:rPr>
      </w:r>
    </w:p>
    <w:p>
      <w:pPr>
        <w:spacing w:before="0"/>
        <w:ind w:left="940" w:right="0" w:firstLine="0"/>
        <w:jc w:val="left"/>
        <w:rPr>
          <w:rFonts w:ascii="Times New Roman" w:hAnsi="Times New Roman"/>
          <w:b/>
          <w:sz w:val="18"/>
        </w:rPr>
      </w:pPr>
      <w:r>
        <w:rPr>
          <w:rFonts w:ascii="Times New Roman" w:hAnsi="Times New Roman"/>
          <w:b/>
          <w:color w:val="161616"/>
          <w:w w:val="105"/>
          <w:sz w:val="18"/>
        </w:rPr>
        <w:t>£23</w:t>
      </w:r>
      <w:r>
        <w:rPr>
          <w:rFonts w:ascii="Times New Roman" w:hAnsi="Times New Roman"/>
          <w:b/>
          <w:color w:val="414141"/>
          <w:w w:val="105"/>
          <w:sz w:val="18"/>
        </w:rPr>
        <w:t>,</w:t>
      </w:r>
      <w:r>
        <w:rPr>
          <w:rFonts w:ascii="Times New Roman" w:hAnsi="Times New Roman"/>
          <w:b/>
          <w:color w:val="161616"/>
          <w:w w:val="105"/>
          <w:sz w:val="18"/>
        </w:rPr>
        <w:t>008k</w:t>
      </w:r>
    </w:p>
    <w:p>
      <w:pPr>
        <w:spacing w:before="14"/>
        <w:ind w:left="940" w:right="0" w:firstLine="0"/>
        <w:jc w:val="left"/>
        <w:rPr>
          <w:rFonts w:ascii="Times New Roman" w:hAnsi="Times New Roman"/>
          <w:b/>
          <w:sz w:val="18"/>
        </w:rPr>
      </w:pPr>
      <w:r>
        <w:rPr>
          <w:rFonts w:ascii="Times New Roman" w:hAnsi="Times New Roman"/>
          <w:b/>
          <w:color w:val="2A2A2A"/>
          <w:w w:val="105"/>
          <w:sz w:val="18"/>
        </w:rPr>
        <w:t>£22,435k</w:t>
      </w:r>
    </w:p>
    <w:p>
      <w:pPr>
        <w:spacing w:after="0"/>
        <w:jc w:val="left"/>
        <w:rPr>
          <w:rFonts w:ascii="Times New Roman" w:hAnsi="Times New Roman"/>
          <w:sz w:val="18"/>
        </w:rPr>
        <w:sectPr>
          <w:type w:val="continuous"/>
          <w:pgSz w:w="10950" w:h="15880"/>
          <w:pgMar w:top="680" w:bottom="280" w:left="500" w:right="0"/>
          <w:cols w:num="2" w:equalWidth="0">
            <w:col w:w="7754" w:space="258"/>
            <w:col w:w="2438"/>
          </w:cols>
        </w:sectPr>
      </w:pPr>
    </w:p>
    <w:p>
      <w:pPr>
        <w:spacing w:line="242" w:lineRule="auto" w:before="96"/>
        <w:ind w:left="966" w:right="940" w:firstLine="0"/>
        <w:jc w:val="left"/>
        <w:rPr>
          <w:rFonts w:ascii="Times New Roman"/>
          <w:sz w:val="19"/>
        </w:rPr>
      </w:pPr>
      <w:r>
        <w:rPr>
          <w:rFonts w:ascii="Times New Roman"/>
          <w:color w:val="414141"/>
          <w:sz w:val="19"/>
        </w:rPr>
        <w:t>This is </w:t>
      </w:r>
      <w:r>
        <w:rPr>
          <w:rFonts w:ascii="Times New Roman"/>
          <w:color w:val="2A2A2A"/>
          <w:sz w:val="19"/>
        </w:rPr>
        <w:t>the </w:t>
      </w:r>
      <w:r>
        <w:rPr>
          <w:rFonts w:ascii="Times New Roman"/>
          <w:color w:val="414141"/>
          <w:sz w:val="19"/>
        </w:rPr>
        <w:t>general fund of the Church through which the bulk of our income and expenditure, covered </w:t>
      </w:r>
      <w:r>
        <w:rPr>
          <w:rFonts w:ascii="Times New Roman"/>
          <w:color w:val="2A2A2A"/>
          <w:sz w:val="19"/>
        </w:rPr>
        <w:t>by </w:t>
      </w:r>
      <w:r>
        <w:rPr>
          <w:rFonts w:ascii="Times New Roman"/>
          <w:color w:val="414141"/>
          <w:sz w:val="19"/>
        </w:rPr>
        <w:t>the annual budget presented to General Assembly, is </w:t>
      </w:r>
      <w:r>
        <w:rPr>
          <w:rFonts w:ascii="Times New Roman"/>
          <w:color w:val="2A2A2A"/>
          <w:sz w:val="19"/>
        </w:rPr>
        <w:t>passed.</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5"/>
        <w:rPr>
          <w:rFonts w:ascii="Times New Roman"/>
          <w:sz w:val="19"/>
        </w:rPr>
      </w:pPr>
    </w:p>
    <w:p>
      <w:pPr>
        <w:spacing w:line="256" w:lineRule="auto" w:before="0"/>
        <w:ind w:left="940" w:right="0" w:firstLine="0"/>
        <w:jc w:val="left"/>
        <w:rPr>
          <w:rFonts w:ascii="Times New Roman" w:hAnsi="Times New Roman"/>
          <w:b/>
          <w:sz w:val="18"/>
        </w:rPr>
      </w:pPr>
      <w:r>
        <w:rPr>
          <w:rFonts w:ascii="Times New Roman" w:hAnsi="Times New Roman"/>
          <w:b/>
          <w:color w:val="2A2A2A"/>
          <w:w w:val="105"/>
          <w:sz w:val="18"/>
        </w:rPr>
        <w:t>Maintenance of </w:t>
      </w:r>
      <w:r>
        <w:rPr>
          <w:rFonts w:ascii="Times New Roman" w:hAnsi="Times New Roman"/>
          <w:b/>
          <w:color w:val="161616"/>
          <w:w w:val="105"/>
          <w:sz w:val="18"/>
        </w:rPr>
        <w:t>the </w:t>
      </w:r>
      <w:r>
        <w:rPr>
          <w:rFonts w:ascii="Times New Roman" w:hAnsi="Times New Roman"/>
          <w:b/>
          <w:color w:val="2A2A2A"/>
          <w:w w:val="105"/>
          <w:sz w:val="18"/>
        </w:rPr>
        <w:t>Ministry Fund: £810k Ministerial Training Fund: £187k</w:t>
      </w:r>
    </w:p>
    <w:p>
      <w:pPr>
        <w:pStyle w:val="BodyText"/>
        <w:spacing w:before="3"/>
        <w:rPr>
          <w:rFonts w:ascii="Times New Roman"/>
          <w:b/>
          <w:sz w:val="20"/>
        </w:rPr>
      </w:pPr>
      <w:r>
        <w:rPr/>
        <w:br w:type="column"/>
      </w:r>
      <w:r>
        <w:rPr>
          <w:rFonts w:ascii="Times New Roman"/>
          <w:b/>
          <w:sz w:val="20"/>
        </w:rPr>
      </w:r>
    </w:p>
    <w:p>
      <w:pPr>
        <w:spacing w:line="244" w:lineRule="auto" w:before="0"/>
        <w:ind w:left="940" w:right="28" w:firstLine="0"/>
        <w:jc w:val="left"/>
        <w:rPr>
          <w:rFonts w:ascii="Times New Roman"/>
          <w:b/>
          <w:sz w:val="18"/>
        </w:rPr>
      </w:pPr>
      <w:r>
        <w:rPr>
          <w:rFonts w:ascii="Times New Roman"/>
          <w:b/>
          <w:color w:val="2A2A2A"/>
          <w:w w:val="105"/>
          <w:sz w:val="18"/>
        </w:rPr>
        <w:t>Income </w:t>
      </w:r>
      <w:r>
        <w:rPr>
          <w:rFonts w:ascii="Times New Roman"/>
          <w:b/>
          <w:color w:val="161616"/>
          <w:w w:val="105"/>
          <w:sz w:val="18"/>
        </w:rPr>
        <w:t>Incom</w:t>
      </w:r>
      <w:r>
        <w:rPr>
          <w:rFonts w:ascii="Times New Roman"/>
          <w:b/>
          <w:color w:val="414141"/>
          <w:w w:val="105"/>
          <w:sz w:val="18"/>
        </w:rPr>
        <w:t>e</w:t>
      </w:r>
    </w:p>
    <w:p>
      <w:pPr>
        <w:pStyle w:val="BodyText"/>
        <w:spacing w:before="3"/>
        <w:rPr>
          <w:rFonts w:ascii="Times New Roman"/>
          <w:b/>
          <w:sz w:val="20"/>
        </w:rPr>
      </w:pPr>
      <w:r>
        <w:rPr/>
        <w:br w:type="column"/>
      </w:r>
      <w:r>
        <w:rPr>
          <w:rFonts w:ascii="Times New Roman"/>
          <w:b/>
          <w:sz w:val="20"/>
        </w:rPr>
      </w:r>
    </w:p>
    <w:p>
      <w:pPr>
        <w:spacing w:before="0"/>
        <w:ind w:left="826" w:right="1066" w:firstLine="0"/>
        <w:jc w:val="center"/>
        <w:rPr>
          <w:rFonts w:ascii="Times New Roman" w:hAnsi="Times New Roman"/>
          <w:b/>
          <w:sz w:val="18"/>
        </w:rPr>
      </w:pPr>
      <w:r>
        <w:rPr>
          <w:rFonts w:ascii="Times New Roman" w:hAnsi="Times New Roman"/>
          <w:b/>
          <w:color w:val="2A2A2A"/>
          <w:w w:val="110"/>
          <w:sz w:val="18"/>
        </w:rPr>
        <w:t>£56k</w:t>
      </w:r>
    </w:p>
    <w:p>
      <w:pPr>
        <w:spacing w:before="5"/>
        <w:ind w:left="920" w:right="1066" w:firstLine="0"/>
        <w:jc w:val="center"/>
        <w:rPr>
          <w:rFonts w:ascii="Times New Roman" w:hAnsi="Times New Roman"/>
          <w:b/>
          <w:sz w:val="18"/>
        </w:rPr>
      </w:pPr>
      <w:r>
        <w:rPr>
          <w:rFonts w:ascii="Times New Roman" w:hAnsi="Times New Roman"/>
          <w:b/>
          <w:color w:val="2A2A2A"/>
          <w:w w:val="110"/>
          <w:sz w:val="18"/>
        </w:rPr>
        <w:t>£294k</w:t>
      </w:r>
    </w:p>
    <w:p>
      <w:pPr>
        <w:spacing w:after="0"/>
        <w:jc w:val="center"/>
        <w:rPr>
          <w:rFonts w:ascii="Times New Roman" w:hAnsi="Times New Roman"/>
          <w:sz w:val="18"/>
        </w:rPr>
        <w:sectPr>
          <w:type w:val="continuous"/>
          <w:pgSz w:w="10950" w:h="15880"/>
          <w:pgMar w:top="680" w:bottom="280" w:left="500" w:right="0"/>
          <w:cols w:num="3" w:equalWidth="0">
            <w:col w:w="4374" w:space="1385"/>
            <w:col w:w="1587" w:space="570"/>
            <w:col w:w="2534"/>
          </w:cols>
        </w:sectPr>
      </w:pPr>
    </w:p>
    <w:p>
      <w:pPr>
        <w:spacing w:line="242" w:lineRule="auto" w:before="96"/>
        <w:ind w:left="970" w:right="930" w:hanging="11"/>
        <w:jc w:val="both"/>
        <w:rPr>
          <w:rFonts w:ascii="Times New Roman"/>
          <w:sz w:val="19"/>
        </w:rPr>
      </w:pPr>
      <w:r>
        <w:rPr>
          <w:rFonts w:ascii="Times New Roman"/>
          <w:color w:val="414141"/>
          <w:sz w:val="19"/>
        </w:rPr>
        <w:t>Both of these are capital </w:t>
      </w:r>
      <w:r>
        <w:rPr>
          <w:rFonts w:ascii="Times New Roman"/>
          <w:color w:val="2A2A2A"/>
          <w:sz w:val="19"/>
        </w:rPr>
        <w:t>funds, </w:t>
      </w:r>
      <w:r>
        <w:rPr>
          <w:rFonts w:ascii="Times New Roman"/>
          <w:color w:val="414141"/>
          <w:sz w:val="19"/>
        </w:rPr>
        <w:t>which </w:t>
      </w:r>
      <w:r>
        <w:rPr>
          <w:rFonts w:ascii="Times New Roman"/>
          <w:color w:val="2A2A2A"/>
          <w:sz w:val="19"/>
        </w:rPr>
        <w:t>are invested </w:t>
      </w:r>
      <w:r>
        <w:rPr>
          <w:rFonts w:ascii="Times New Roman"/>
          <w:color w:val="414141"/>
          <w:sz w:val="19"/>
        </w:rPr>
        <w:t>to </w:t>
      </w:r>
      <w:r>
        <w:rPr>
          <w:rFonts w:ascii="Times New Roman"/>
          <w:color w:val="2A2A2A"/>
          <w:sz w:val="19"/>
        </w:rPr>
        <w:t>provide income towards </w:t>
      </w:r>
      <w:r>
        <w:rPr>
          <w:rFonts w:ascii="Times New Roman"/>
          <w:color w:val="414141"/>
          <w:sz w:val="19"/>
        </w:rPr>
        <w:t>the costs </w:t>
      </w:r>
      <w:r>
        <w:rPr>
          <w:rFonts w:ascii="Times New Roman"/>
          <w:color w:val="2A2A2A"/>
          <w:sz w:val="19"/>
        </w:rPr>
        <w:t>of </w:t>
      </w:r>
      <w:r>
        <w:rPr>
          <w:rFonts w:ascii="Times New Roman"/>
          <w:color w:val="414141"/>
          <w:sz w:val="19"/>
        </w:rPr>
        <w:t>Maintenance of </w:t>
      </w:r>
      <w:r>
        <w:rPr>
          <w:rFonts w:ascii="Times New Roman"/>
          <w:color w:val="2A2A2A"/>
          <w:sz w:val="19"/>
        </w:rPr>
        <w:t>the </w:t>
      </w:r>
      <w:r>
        <w:rPr>
          <w:rFonts w:ascii="Times New Roman"/>
          <w:color w:val="414141"/>
          <w:sz w:val="19"/>
        </w:rPr>
        <w:t>Ministry and Ministeria</w:t>
      </w:r>
      <w:r>
        <w:rPr>
          <w:rFonts w:ascii="Times New Roman"/>
          <w:color w:val="161616"/>
          <w:sz w:val="19"/>
        </w:rPr>
        <w:t>l </w:t>
      </w:r>
      <w:r>
        <w:rPr>
          <w:rFonts w:ascii="Times New Roman"/>
          <w:color w:val="414141"/>
          <w:sz w:val="19"/>
        </w:rPr>
        <w:t>Training. Each year's </w:t>
      </w:r>
      <w:r>
        <w:rPr>
          <w:rFonts w:ascii="Times New Roman"/>
          <w:color w:val="2A2A2A"/>
          <w:sz w:val="19"/>
        </w:rPr>
        <w:t>income </w:t>
      </w:r>
      <w:r>
        <w:rPr>
          <w:rFonts w:ascii="Times New Roman"/>
          <w:color w:val="414141"/>
          <w:sz w:val="19"/>
        </w:rPr>
        <w:t>is transferred to the Ministry and Mission Fund</w:t>
      </w:r>
      <w:r>
        <w:rPr>
          <w:rFonts w:ascii="Times New Roman"/>
          <w:color w:val="676767"/>
          <w:sz w:val="19"/>
        </w:rPr>
        <w:t>, </w:t>
      </w:r>
      <w:r>
        <w:rPr>
          <w:rFonts w:ascii="Times New Roman"/>
          <w:color w:val="414141"/>
          <w:sz w:val="19"/>
        </w:rPr>
        <w:t>which is responsible for meeting these costs.</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5"/>
        <w:rPr>
          <w:rFonts w:ascii="Times New Roman"/>
          <w:sz w:val="19"/>
        </w:rPr>
      </w:pPr>
    </w:p>
    <w:p>
      <w:pPr>
        <w:tabs>
          <w:tab w:pos="6699" w:val="left" w:leader="none"/>
        </w:tabs>
        <w:spacing w:line="256" w:lineRule="auto" w:before="0"/>
        <w:ind w:left="6689" w:right="0" w:hanging="5748"/>
        <w:jc w:val="left"/>
        <w:rPr>
          <w:rFonts w:ascii="Times New Roman" w:hAnsi="Times New Roman"/>
          <w:b/>
          <w:sz w:val="18"/>
        </w:rPr>
      </w:pPr>
      <w:r>
        <w:rPr>
          <w:rFonts w:ascii="Times New Roman" w:hAnsi="Times New Roman"/>
          <w:b/>
          <w:color w:val="161616"/>
          <w:w w:val="105"/>
          <w:position w:val="1"/>
          <w:sz w:val="18"/>
        </w:rPr>
        <w:t>Westminster </w:t>
      </w:r>
      <w:r>
        <w:rPr>
          <w:rFonts w:ascii="Times New Roman" w:hAnsi="Times New Roman"/>
          <w:b/>
          <w:color w:val="2A2A2A"/>
          <w:w w:val="105"/>
          <w:position w:val="1"/>
          <w:sz w:val="18"/>
        </w:rPr>
        <w:t>College</w:t>
      </w:r>
      <w:r>
        <w:rPr>
          <w:rFonts w:ascii="Times New Roman" w:hAnsi="Times New Roman"/>
          <w:b/>
          <w:color w:val="2A2A2A"/>
          <w:spacing w:val="-15"/>
          <w:w w:val="105"/>
          <w:position w:val="1"/>
          <w:sz w:val="18"/>
        </w:rPr>
        <w:t> </w:t>
      </w:r>
      <w:r>
        <w:rPr>
          <w:rFonts w:ascii="Times New Roman" w:hAnsi="Times New Roman"/>
          <w:b/>
          <w:color w:val="414141"/>
          <w:w w:val="105"/>
          <w:position w:val="1"/>
          <w:sz w:val="18"/>
        </w:rPr>
        <w:t>F</w:t>
      </w:r>
      <w:r>
        <w:rPr>
          <w:rFonts w:ascii="Times New Roman" w:hAnsi="Times New Roman"/>
          <w:b/>
          <w:color w:val="161616"/>
          <w:w w:val="105"/>
          <w:position w:val="1"/>
          <w:sz w:val="18"/>
        </w:rPr>
        <w:t>unds:</w:t>
      </w:r>
      <w:r>
        <w:rPr>
          <w:rFonts w:ascii="Times New Roman" w:hAnsi="Times New Roman"/>
          <w:b/>
          <w:color w:val="161616"/>
          <w:spacing w:val="-18"/>
          <w:w w:val="105"/>
          <w:position w:val="1"/>
          <w:sz w:val="18"/>
        </w:rPr>
        <w:t> </w:t>
      </w:r>
      <w:r>
        <w:rPr>
          <w:rFonts w:ascii="Times New Roman" w:hAnsi="Times New Roman"/>
          <w:b/>
          <w:color w:val="2A2A2A"/>
          <w:w w:val="105"/>
          <w:position w:val="1"/>
          <w:sz w:val="18"/>
        </w:rPr>
        <w:t>£2,730k</w:t>
        <w:tab/>
        <w:tab/>
      </w:r>
      <w:r>
        <w:rPr>
          <w:rFonts w:ascii="Times New Roman" w:hAnsi="Times New Roman"/>
          <w:b/>
          <w:color w:val="2A2A2A"/>
          <w:w w:val="105"/>
          <w:sz w:val="18"/>
        </w:rPr>
        <w:t>lncome inc. transfer Expenditure</w:t>
      </w:r>
    </w:p>
    <w:p>
      <w:pPr>
        <w:pStyle w:val="BodyText"/>
        <w:spacing w:before="3"/>
        <w:rPr>
          <w:rFonts w:ascii="Times New Roman"/>
          <w:b/>
          <w:sz w:val="20"/>
        </w:rPr>
      </w:pPr>
      <w:r>
        <w:rPr/>
        <w:br w:type="column"/>
      </w:r>
      <w:r>
        <w:rPr>
          <w:rFonts w:ascii="Times New Roman"/>
          <w:b/>
          <w:sz w:val="20"/>
        </w:rPr>
      </w:r>
    </w:p>
    <w:p>
      <w:pPr>
        <w:spacing w:before="1"/>
        <w:ind w:left="514" w:right="0" w:firstLine="0"/>
        <w:jc w:val="left"/>
        <w:rPr>
          <w:rFonts w:ascii="Times New Roman" w:hAnsi="Times New Roman"/>
          <w:b/>
          <w:sz w:val="18"/>
        </w:rPr>
      </w:pPr>
      <w:r>
        <w:rPr>
          <w:rFonts w:ascii="Times New Roman" w:hAnsi="Times New Roman"/>
          <w:b/>
          <w:color w:val="2A2A2A"/>
          <w:w w:val="110"/>
          <w:sz w:val="18"/>
        </w:rPr>
        <w:t>£678k</w:t>
      </w:r>
    </w:p>
    <w:p>
      <w:pPr>
        <w:spacing w:before="14"/>
        <w:ind w:left="514" w:right="0" w:firstLine="0"/>
        <w:jc w:val="left"/>
        <w:rPr>
          <w:rFonts w:ascii="Times New Roman" w:hAnsi="Times New Roman"/>
          <w:b/>
          <w:sz w:val="18"/>
        </w:rPr>
      </w:pPr>
      <w:r>
        <w:rPr>
          <w:rFonts w:ascii="Times New Roman" w:hAnsi="Times New Roman"/>
          <w:b/>
          <w:color w:val="2A2A2A"/>
          <w:w w:val="105"/>
          <w:sz w:val="18"/>
        </w:rPr>
        <w:t>£619k</w:t>
      </w:r>
    </w:p>
    <w:p>
      <w:pPr>
        <w:spacing w:after="0"/>
        <w:jc w:val="left"/>
        <w:rPr>
          <w:rFonts w:ascii="Times New Roman" w:hAnsi="Times New Roman"/>
          <w:sz w:val="18"/>
        </w:rPr>
        <w:sectPr>
          <w:type w:val="continuous"/>
          <w:pgSz w:w="10950" w:h="15880"/>
          <w:pgMar w:top="680" w:bottom="280" w:left="500" w:right="0"/>
          <w:cols w:num="2" w:equalWidth="0">
            <w:col w:w="8332" w:space="40"/>
            <w:col w:w="2078"/>
          </w:cols>
        </w:sectPr>
      </w:pPr>
    </w:p>
    <w:p>
      <w:pPr>
        <w:spacing w:line="242" w:lineRule="auto" w:before="87"/>
        <w:ind w:left="958" w:right="938" w:firstLine="0"/>
        <w:jc w:val="both"/>
        <w:rPr>
          <w:rFonts w:ascii="Times New Roman"/>
          <w:sz w:val="19"/>
        </w:rPr>
      </w:pPr>
      <w:r>
        <w:rPr>
          <w:rFonts w:ascii="Times New Roman"/>
          <w:color w:val="414141"/>
          <w:sz w:val="19"/>
        </w:rPr>
        <w:t>This group of funds are all associated, in some way, with Westminster College. </w:t>
      </w:r>
      <w:r>
        <w:rPr>
          <w:rFonts w:ascii="Times New Roman"/>
          <w:color w:val="414141"/>
          <w:sz w:val="20"/>
        </w:rPr>
        <w:t>In </w:t>
      </w:r>
      <w:r>
        <w:rPr>
          <w:rFonts w:ascii="Times New Roman"/>
          <w:color w:val="414141"/>
          <w:sz w:val="19"/>
        </w:rPr>
        <w:t>addition to the College genera</w:t>
      </w:r>
      <w:r>
        <w:rPr>
          <w:rFonts w:ascii="Times New Roman"/>
          <w:color w:val="161616"/>
          <w:sz w:val="19"/>
        </w:rPr>
        <w:t>l </w:t>
      </w:r>
      <w:r>
        <w:rPr>
          <w:rFonts w:ascii="Times New Roman"/>
          <w:color w:val="414141"/>
          <w:sz w:val="19"/>
        </w:rPr>
        <w:t>fund </w:t>
      </w:r>
      <w:r>
        <w:rPr>
          <w:rFonts w:ascii="Times New Roman"/>
          <w:color w:val="2A2A2A"/>
          <w:sz w:val="19"/>
        </w:rPr>
        <w:t>that </w:t>
      </w:r>
      <w:r>
        <w:rPr>
          <w:rFonts w:ascii="Times New Roman"/>
          <w:color w:val="414141"/>
          <w:sz w:val="19"/>
        </w:rPr>
        <w:t>deals with income and expenditure from </w:t>
      </w:r>
      <w:r>
        <w:rPr>
          <w:rFonts w:ascii="Times New Roman"/>
          <w:color w:val="2A2A2A"/>
          <w:sz w:val="19"/>
        </w:rPr>
        <w:t>its </w:t>
      </w:r>
      <w:r>
        <w:rPr>
          <w:rFonts w:ascii="Times New Roman"/>
          <w:color w:val="414141"/>
          <w:sz w:val="19"/>
        </w:rPr>
        <w:t>main academic activities, there are </w:t>
      </w:r>
      <w:r>
        <w:rPr>
          <w:rFonts w:ascii="Times New Roman"/>
          <w:color w:val="2A2A2A"/>
          <w:sz w:val="19"/>
        </w:rPr>
        <w:t>library </w:t>
      </w:r>
      <w:r>
        <w:rPr>
          <w:rFonts w:ascii="Times New Roman"/>
          <w:color w:val="414141"/>
          <w:sz w:val="19"/>
        </w:rPr>
        <w:t>funds, prize funds, scholarship funds, and other funds with a more specific use.</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3"/>
        <w:rPr>
          <w:rFonts w:ascii="Times New Roman"/>
          <w:sz w:val="19"/>
        </w:rPr>
      </w:pPr>
    </w:p>
    <w:p>
      <w:pPr>
        <w:tabs>
          <w:tab w:pos="6689" w:val="left" w:leader="none"/>
        </w:tabs>
        <w:spacing w:line="256" w:lineRule="auto" w:before="0"/>
        <w:ind w:left="6689" w:right="38" w:hanging="5763"/>
        <w:jc w:val="left"/>
        <w:rPr>
          <w:rFonts w:ascii="Times New Roman" w:hAnsi="Times New Roman"/>
          <w:b/>
          <w:sz w:val="18"/>
        </w:rPr>
      </w:pPr>
      <w:r>
        <w:rPr>
          <w:rFonts w:ascii="Times New Roman" w:hAnsi="Times New Roman"/>
          <w:b/>
          <w:color w:val="2A2A2A"/>
          <w:w w:val="105"/>
          <w:sz w:val="18"/>
        </w:rPr>
        <w:t>Church </w:t>
      </w:r>
      <w:r>
        <w:rPr>
          <w:rFonts w:ascii="Times New Roman" w:hAnsi="Times New Roman"/>
          <w:b/>
          <w:color w:val="161616"/>
          <w:spacing w:val="-2"/>
          <w:w w:val="105"/>
          <w:sz w:val="18"/>
        </w:rPr>
        <w:t>Building</w:t>
      </w:r>
      <w:r>
        <w:rPr>
          <w:rFonts w:ascii="Times New Roman" w:hAnsi="Times New Roman"/>
          <w:b/>
          <w:color w:val="414141"/>
          <w:spacing w:val="-2"/>
          <w:w w:val="105"/>
          <w:sz w:val="18"/>
        </w:rPr>
        <w:t>s</w:t>
      </w:r>
      <w:r>
        <w:rPr>
          <w:rFonts w:ascii="Times New Roman" w:hAnsi="Times New Roman"/>
          <w:b/>
          <w:color w:val="414141"/>
          <w:spacing w:val="2"/>
          <w:w w:val="105"/>
          <w:sz w:val="18"/>
        </w:rPr>
        <w:t> </w:t>
      </w:r>
      <w:r>
        <w:rPr>
          <w:rFonts w:ascii="Times New Roman" w:hAnsi="Times New Roman"/>
          <w:b/>
          <w:color w:val="161616"/>
          <w:w w:val="105"/>
          <w:sz w:val="18"/>
        </w:rPr>
        <w:t>Fund:</w:t>
      </w:r>
      <w:r>
        <w:rPr>
          <w:rFonts w:ascii="Times New Roman" w:hAnsi="Times New Roman"/>
          <w:b/>
          <w:color w:val="161616"/>
          <w:spacing w:val="-5"/>
          <w:w w:val="105"/>
          <w:sz w:val="18"/>
        </w:rPr>
        <w:t> </w:t>
      </w:r>
      <w:r>
        <w:rPr>
          <w:rFonts w:ascii="Times New Roman" w:hAnsi="Times New Roman"/>
          <w:b/>
          <w:color w:val="2A2A2A"/>
          <w:w w:val="105"/>
          <w:sz w:val="18"/>
        </w:rPr>
        <w:t>£3,099k</w:t>
        <w:tab/>
      </w:r>
      <w:r>
        <w:rPr>
          <w:rFonts w:ascii="Times New Roman" w:hAnsi="Times New Roman"/>
          <w:b/>
          <w:color w:val="161616"/>
          <w:w w:val="105"/>
          <w:sz w:val="18"/>
        </w:rPr>
        <w:t>Income </w:t>
      </w:r>
      <w:r>
        <w:rPr>
          <w:rFonts w:ascii="Times New Roman" w:hAnsi="Times New Roman"/>
          <w:b/>
          <w:color w:val="2A2A2A"/>
          <w:spacing w:val="-1"/>
          <w:w w:val="105"/>
          <w:sz w:val="18"/>
        </w:rPr>
        <w:t>Expenditure</w:t>
      </w:r>
    </w:p>
    <w:p>
      <w:pPr>
        <w:pStyle w:val="BodyText"/>
        <w:spacing w:before="1"/>
        <w:rPr>
          <w:rFonts w:ascii="Times New Roman"/>
          <w:b/>
          <w:sz w:val="20"/>
        </w:rPr>
      </w:pPr>
      <w:r>
        <w:rPr/>
        <w:br w:type="column"/>
      </w:r>
      <w:r>
        <w:rPr>
          <w:rFonts w:ascii="Times New Roman"/>
          <w:b/>
          <w:sz w:val="20"/>
        </w:rPr>
      </w:r>
    </w:p>
    <w:p>
      <w:pPr>
        <w:spacing w:before="0"/>
        <w:ind w:left="906" w:right="750" w:firstLine="0"/>
        <w:jc w:val="center"/>
        <w:rPr>
          <w:rFonts w:ascii="Times New Roman" w:hAnsi="Times New Roman"/>
          <w:b/>
          <w:sz w:val="18"/>
        </w:rPr>
      </w:pPr>
      <w:r>
        <w:rPr>
          <w:rFonts w:ascii="Times New Roman" w:hAnsi="Times New Roman"/>
          <w:b/>
          <w:color w:val="2A2A2A"/>
          <w:w w:val="105"/>
          <w:sz w:val="18"/>
        </w:rPr>
        <w:t>£169k</w:t>
      </w:r>
    </w:p>
    <w:p>
      <w:pPr>
        <w:spacing w:before="5"/>
        <w:ind w:left="912" w:right="656" w:firstLine="0"/>
        <w:jc w:val="center"/>
        <w:rPr>
          <w:rFonts w:ascii="Times New Roman" w:hAnsi="Times New Roman"/>
          <w:b/>
          <w:sz w:val="18"/>
        </w:rPr>
      </w:pPr>
      <w:r>
        <w:rPr>
          <w:rFonts w:ascii="Times New Roman" w:hAnsi="Times New Roman"/>
          <w:b/>
          <w:color w:val="2A2A2A"/>
          <w:w w:val="120"/>
          <w:sz w:val="18"/>
        </w:rPr>
        <w:t>£5lk</w:t>
      </w:r>
    </w:p>
    <w:p>
      <w:pPr>
        <w:spacing w:after="0"/>
        <w:jc w:val="center"/>
        <w:rPr>
          <w:rFonts w:ascii="Times New Roman" w:hAnsi="Times New Roman"/>
          <w:sz w:val="18"/>
        </w:rPr>
        <w:sectPr>
          <w:type w:val="continuous"/>
          <w:pgSz w:w="10950" w:h="15880"/>
          <w:pgMar w:top="680" w:bottom="280" w:left="500" w:right="0"/>
          <w:cols w:num="2" w:equalWidth="0">
            <w:col w:w="7740" w:space="517"/>
            <w:col w:w="2193"/>
          </w:cols>
        </w:sectPr>
      </w:pPr>
    </w:p>
    <w:p>
      <w:pPr>
        <w:spacing w:line="242" w:lineRule="auto" w:before="96"/>
        <w:ind w:left="956" w:right="942" w:firstLine="1"/>
        <w:jc w:val="both"/>
        <w:rPr>
          <w:rFonts w:ascii="Times New Roman"/>
          <w:sz w:val="19"/>
        </w:rPr>
      </w:pPr>
      <w:r>
        <w:rPr>
          <w:rFonts w:ascii="Times New Roman"/>
          <w:color w:val="414141"/>
          <w:sz w:val="19"/>
        </w:rPr>
        <w:t>This fund may be used in the upkeep and repair of </w:t>
      </w:r>
      <w:r>
        <w:rPr>
          <w:rFonts w:ascii="Times New Roman"/>
          <w:color w:val="2A2A2A"/>
          <w:sz w:val="19"/>
        </w:rPr>
        <w:t>the </w:t>
      </w:r>
      <w:r>
        <w:rPr>
          <w:rFonts w:ascii="Times New Roman"/>
          <w:color w:val="414141"/>
          <w:sz w:val="19"/>
        </w:rPr>
        <w:t>buildings of the </w:t>
      </w:r>
      <w:r>
        <w:rPr>
          <w:rFonts w:ascii="Times New Roman"/>
          <w:color w:val="161616"/>
          <w:sz w:val="19"/>
        </w:rPr>
        <w:t>l</w:t>
      </w:r>
      <w:r>
        <w:rPr>
          <w:rFonts w:ascii="Times New Roman"/>
          <w:color w:val="414141"/>
          <w:sz w:val="19"/>
        </w:rPr>
        <w:t>ocal churches of the United Reformed </w:t>
      </w:r>
      <w:r>
        <w:rPr>
          <w:rFonts w:ascii="Times New Roman"/>
          <w:color w:val="2A2A2A"/>
          <w:sz w:val="19"/>
        </w:rPr>
        <w:t>Church </w:t>
      </w:r>
      <w:r>
        <w:rPr>
          <w:rFonts w:ascii="Times New Roman"/>
          <w:color w:val="414141"/>
          <w:sz w:val="19"/>
        </w:rPr>
        <w:t>and </w:t>
      </w:r>
      <w:r>
        <w:rPr>
          <w:rFonts w:ascii="Times New Roman"/>
          <w:color w:val="2A2A2A"/>
          <w:sz w:val="19"/>
        </w:rPr>
        <w:t>the </w:t>
      </w:r>
      <w:r>
        <w:rPr>
          <w:rFonts w:ascii="Times New Roman"/>
          <w:color w:val="414141"/>
          <w:sz w:val="19"/>
        </w:rPr>
        <w:t>maintenance of </w:t>
      </w:r>
      <w:r>
        <w:rPr>
          <w:rFonts w:ascii="Times New Roman"/>
          <w:color w:val="2A2A2A"/>
          <w:sz w:val="19"/>
        </w:rPr>
        <w:t>the </w:t>
      </w:r>
      <w:r>
        <w:rPr>
          <w:rFonts w:ascii="Times New Roman"/>
          <w:color w:val="414141"/>
          <w:sz w:val="19"/>
        </w:rPr>
        <w:t>services </w:t>
      </w:r>
      <w:r>
        <w:rPr>
          <w:rFonts w:ascii="Times New Roman"/>
          <w:color w:val="2A2A2A"/>
          <w:sz w:val="19"/>
        </w:rPr>
        <w:t>therein; </w:t>
      </w:r>
      <w:r>
        <w:rPr>
          <w:rFonts w:ascii="Times New Roman"/>
          <w:color w:val="414141"/>
          <w:sz w:val="19"/>
        </w:rPr>
        <w:t>in </w:t>
      </w:r>
      <w:r>
        <w:rPr>
          <w:rFonts w:ascii="Times New Roman"/>
          <w:color w:val="2A2A2A"/>
          <w:sz w:val="19"/>
        </w:rPr>
        <w:t>the improvement and </w:t>
      </w:r>
      <w:r>
        <w:rPr>
          <w:rFonts w:ascii="Times New Roman"/>
          <w:color w:val="414141"/>
          <w:sz w:val="19"/>
        </w:rPr>
        <w:t>extension of </w:t>
      </w:r>
      <w:r>
        <w:rPr>
          <w:rFonts w:ascii="Times New Roman"/>
          <w:color w:val="2A2A2A"/>
          <w:sz w:val="19"/>
        </w:rPr>
        <w:t>the </w:t>
      </w:r>
      <w:r>
        <w:rPr>
          <w:rFonts w:ascii="Times New Roman"/>
          <w:color w:val="414141"/>
          <w:sz w:val="19"/>
        </w:rPr>
        <w:t>buildings of such churches; and in the provision and erection of buildings for use for the purposes of such churches or as residences for ministers of the United Reformed Church. Both grants and </w:t>
      </w:r>
      <w:r>
        <w:rPr>
          <w:rFonts w:ascii="Times New Roman"/>
          <w:color w:val="2A2A2A"/>
          <w:sz w:val="19"/>
        </w:rPr>
        <w:t>loans </w:t>
      </w:r>
      <w:r>
        <w:rPr>
          <w:rFonts w:ascii="Times New Roman"/>
          <w:color w:val="414141"/>
          <w:sz w:val="19"/>
        </w:rPr>
        <w:t>are used for these purposes; notes 6 and </w:t>
      </w:r>
      <w:r>
        <w:rPr>
          <w:rFonts w:ascii="Times New Roman"/>
          <w:color w:val="2A2A2A"/>
          <w:sz w:val="19"/>
        </w:rPr>
        <w:t>14 </w:t>
      </w:r>
      <w:r>
        <w:rPr>
          <w:rFonts w:ascii="Times New Roman"/>
          <w:color w:val="414141"/>
          <w:sz w:val="19"/>
        </w:rPr>
        <w:t>give some details.</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5"/>
        <w:rPr>
          <w:rFonts w:ascii="Times New Roman"/>
          <w:sz w:val="20"/>
        </w:rPr>
      </w:pPr>
    </w:p>
    <w:p>
      <w:pPr>
        <w:spacing w:line="256" w:lineRule="auto" w:before="0"/>
        <w:ind w:left="931" w:right="0" w:hanging="10"/>
        <w:jc w:val="left"/>
        <w:rPr>
          <w:rFonts w:ascii="Times New Roman" w:hAnsi="Times New Roman"/>
          <w:b/>
          <w:sz w:val="18"/>
        </w:rPr>
      </w:pPr>
      <w:r>
        <w:rPr>
          <w:rFonts w:ascii="Times New Roman" w:hAnsi="Times New Roman"/>
          <w:b/>
          <w:color w:val="161616"/>
          <w:w w:val="105"/>
          <w:sz w:val="18"/>
        </w:rPr>
        <w:t>Retired </w:t>
      </w:r>
      <w:r>
        <w:rPr>
          <w:rFonts w:ascii="Times New Roman" w:hAnsi="Times New Roman"/>
          <w:b/>
          <w:color w:val="2A2A2A"/>
          <w:w w:val="105"/>
          <w:sz w:val="18"/>
        </w:rPr>
        <w:t>Ministers' Housing Funds </w:t>
      </w:r>
      <w:r>
        <w:rPr>
          <w:rFonts w:ascii="Times New Roman" w:hAnsi="Times New Roman"/>
          <w:b/>
          <w:color w:val="161616"/>
          <w:w w:val="105"/>
          <w:sz w:val="18"/>
        </w:rPr>
        <w:t>and </w:t>
      </w:r>
      <w:r>
        <w:rPr>
          <w:rFonts w:ascii="Times New Roman" w:hAnsi="Times New Roman"/>
          <w:b/>
          <w:color w:val="2A2A2A"/>
          <w:w w:val="105"/>
          <w:sz w:val="18"/>
        </w:rPr>
        <w:t>United </w:t>
      </w:r>
      <w:r>
        <w:rPr>
          <w:rFonts w:ascii="Times New Roman" w:hAnsi="Times New Roman"/>
          <w:b/>
          <w:color w:val="161616"/>
          <w:w w:val="105"/>
          <w:sz w:val="18"/>
        </w:rPr>
        <w:t>Reformed </w:t>
      </w:r>
      <w:r>
        <w:rPr>
          <w:rFonts w:ascii="Times New Roman" w:hAnsi="Times New Roman"/>
          <w:b/>
          <w:color w:val="2A2A2A"/>
          <w:w w:val="105"/>
          <w:sz w:val="18"/>
        </w:rPr>
        <w:t>Church Retired Ministers' Housing Society: £18,906k</w:t>
      </w:r>
    </w:p>
    <w:p>
      <w:pPr>
        <w:pStyle w:val="BodyText"/>
        <w:spacing w:before="5"/>
        <w:rPr>
          <w:rFonts w:ascii="Times New Roman"/>
          <w:b/>
          <w:sz w:val="20"/>
        </w:rPr>
      </w:pPr>
      <w:r>
        <w:rPr/>
        <w:br w:type="column"/>
      </w:r>
      <w:r>
        <w:rPr>
          <w:rFonts w:ascii="Times New Roman"/>
          <w:b/>
          <w:sz w:val="20"/>
        </w:rPr>
      </w:r>
    </w:p>
    <w:p>
      <w:pPr>
        <w:spacing w:line="256" w:lineRule="auto" w:before="0"/>
        <w:ind w:left="166" w:right="0" w:firstLine="0"/>
        <w:jc w:val="left"/>
        <w:rPr>
          <w:rFonts w:ascii="Times New Roman"/>
          <w:b/>
          <w:sz w:val="18"/>
        </w:rPr>
      </w:pPr>
      <w:r>
        <w:rPr>
          <w:rFonts w:ascii="Times New Roman"/>
          <w:b/>
          <w:color w:val="2A2A2A"/>
          <w:w w:val="105"/>
          <w:sz w:val="18"/>
        </w:rPr>
        <w:t>Income </w:t>
      </w:r>
      <w:r>
        <w:rPr>
          <w:rFonts w:ascii="Times New Roman"/>
          <w:b/>
          <w:color w:val="414141"/>
          <w:sz w:val="18"/>
        </w:rPr>
        <w:t>Expe</w:t>
      </w:r>
      <w:r>
        <w:rPr>
          <w:rFonts w:ascii="Times New Roman"/>
          <w:b/>
          <w:color w:val="161616"/>
          <w:sz w:val="18"/>
        </w:rPr>
        <w:t>nditure</w:t>
      </w:r>
    </w:p>
    <w:p>
      <w:pPr>
        <w:pStyle w:val="BodyText"/>
        <w:spacing w:before="5"/>
        <w:rPr>
          <w:rFonts w:ascii="Times New Roman"/>
          <w:b/>
          <w:sz w:val="20"/>
        </w:rPr>
      </w:pPr>
      <w:r>
        <w:rPr/>
        <w:br w:type="column"/>
      </w:r>
      <w:r>
        <w:rPr>
          <w:rFonts w:ascii="Times New Roman"/>
          <w:b/>
          <w:sz w:val="20"/>
        </w:rPr>
      </w:r>
    </w:p>
    <w:p>
      <w:pPr>
        <w:spacing w:before="0"/>
        <w:ind w:left="0" w:right="793" w:firstLine="0"/>
        <w:jc w:val="right"/>
        <w:rPr>
          <w:rFonts w:ascii="Times New Roman" w:hAnsi="Times New Roman"/>
          <w:b/>
          <w:sz w:val="18"/>
        </w:rPr>
      </w:pPr>
      <w:r>
        <w:rPr>
          <w:rFonts w:ascii="Times New Roman" w:hAnsi="Times New Roman"/>
          <w:b/>
          <w:color w:val="161616"/>
          <w:sz w:val="18"/>
        </w:rPr>
        <w:t>£2</w:t>
      </w:r>
      <w:r>
        <w:rPr>
          <w:rFonts w:ascii="Times New Roman" w:hAnsi="Times New Roman"/>
          <w:b/>
          <w:color w:val="414141"/>
          <w:sz w:val="18"/>
        </w:rPr>
        <w:t>,</w:t>
      </w:r>
      <w:r>
        <w:rPr>
          <w:rFonts w:ascii="Times New Roman" w:hAnsi="Times New Roman"/>
          <w:b/>
          <w:color w:val="161616"/>
          <w:sz w:val="18"/>
        </w:rPr>
        <w:t>070k</w:t>
      </w:r>
    </w:p>
    <w:p>
      <w:pPr>
        <w:spacing w:before="14"/>
        <w:ind w:left="0" w:right="778" w:firstLine="0"/>
        <w:jc w:val="right"/>
        <w:rPr>
          <w:rFonts w:ascii="Times New Roman" w:hAnsi="Times New Roman"/>
          <w:b/>
          <w:sz w:val="18"/>
        </w:rPr>
      </w:pPr>
      <w:r>
        <w:rPr>
          <w:rFonts w:ascii="Times New Roman" w:hAnsi="Times New Roman"/>
          <w:b/>
          <w:color w:val="161616"/>
          <w:spacing w:val="-1"/>
          <w:w w:val="105"/>
          <w:sz w:val="18"/>
        </w:rPr>
        <w:t>£499k</w:t>
      </w:r>
    </w:p>
    <w:p>
      <w:pPr>
        <w:spacing w:after="0"/>
        <w:jc w:val="right"/>
        <w:rPr>
          <w:rFonts w:ascii="Times New Roman" w:hAnsi="Times New Roman"/>
          <w:sz w:val="18"/>
        </w:rPr>
        <w:sectPr>
          <w:type w:val="continuous"/>
          <w:pgSz w:w="10950" w:h="15880"/>
          <w:pgMar w:top="680" w:bottom="280" w:left="500" w:right="0"/>
          <w:cols w:num="3" w:equalWidth="0">
            <w:col w:w="6484" w:space="40"/>
            <w:col w:w="1213" w:space="372"/>
            <w:col w:w="2341"/>
          </w:cols>
        </w:sectPr>
      </w:pPr>
    </w:p>
    <w:p>
      <w:pPr>
        <w:pStyle w:val="BodyText"/>
        <w:spacing w:before="3"/>
        <w:rPr>
          <w:rFonts w:ascii="Times New Roman"/>
          <w:b/>
          <w:sz w:val="21"/>
        </w:rPr>
      </w:pPr>
    </w:p>
    <w:p>
      <w:pPr>
        <w:spacing w:line="244" w:lineRule="auto" w:before="92"/>
        <w:ind w:left="956" w:right="941" w:firstLine="1"/>
        <w:jc w:val="both"/>
        <w:rPr>
          <w:rFonts w:ascii="Times New Roman" w:hAnsi="Times New Roman"/>
          <w:sz w:val="19"/>
        </w:rPr>
      </w:pPr>
      <w:r>
        <w:rPr>
          <w:rFonts w:ascii="Times New Roman" w:hAnsi="Times New Roman"/>
          <w:color w:val="2A2A2A"/>
          <w:sz w:val="19"/>
        </w:rPr>
        <w:t>The </w:t>
      </w:r>
      <w:r>
        <w:rPr>
          <w:rFonts w:ascii="Times New Roman" w:hAnsi="Times New Roman"/>
          <w:color w:val="414141"/>
          <w:sz w:val="19"/>
        </w:rPr>
        <w:t>whole of </w:t>
      </w:r>
      <w:r>
        <w:rPr>
          <w:rFonts w:ascii="Times New Roman" w:hAnsi="Times New Roman"/>
          <w:color w:val="2A2A2A"/>
          <w:sz w:val="19"/>
        </w:rPr>
        <w:t>these </w:t>
      </w:r>
      <w:r>
        <w:rPr>
          <w:rFonts w:ascii="Times New Roman" w:hAnsi="Times New Roman"/>
          <w:color w:val="414141"/>
          <w:sz w:val="19"/>
        </w:rPr>
        <w:t>funds </w:t>
      </w:r>
      <w:r>
        <w:rPr>
          <w:rFonts w:ascii="Times New Roman" w:hAnsi="Times New Roman"/>
          <w:color w:val="2A2A2A"/>
          <w:sz w:val="19"/>
        </w:rPr>
        <w:t>is </w:t>
      </w:r>
      <w:r>
        <w:rPr>
          <w:rFonts w:ascii="Times New Roman" w:hAnsi="Times New Roman"/>
          <w:color w:val="414141"/>
          <w:sz w:val="19"/>
        </w:rPr>
        <w:t>utilised by the </w:t>
      </w:r>
      <w:r>
        <w:rPr>
          <w:rFonts w:ascii="Times New Roman" w:hAnsi="Times New Roman"/>
          <w:color w:val="2A2A2A"/>
          <w:sz w:val="19"/>
        </w:rPr>
        <w:t>Retired Ministers' </w:t>
      </w:r>
      <w:r>
        <w:rPr>
          <w:rFonts w:ascii="Times New Roman" w:hAnsi="Times New Roman"/>
          <w:color w:val="414141"/>
          <w:sz w:val="19"/>
        </w:rPr>
        <w:t>Housing Committee in providing accommodation for ministers and </w:t>
      </w:r>
      <w:r>
        <w:rPr>
          <w:rFonts w:ascii="Times New Roman" w:hAnsi="Times New Roman"/>
          <w:color w:val="414141"/>
          <w:spacing w:val="-7"/>
          <w:sz w:val="19"/>
        </w:rPr>
        <w:t>ministers</w:t>
      </w:r>
      <w:r>
        <w:rPr>
          <w:rFonts w:ascii="Times New Roman" w:hAnsi="Times New Roman"/>
          <w:color w:val="676767"/>
          <w:spacing w:val="-7"/>
          <w:sz w:val="19"/>
        </w:rPr>
        <w:t>' </w:t>
      </w:r>
      <w:r>
        <w:rPr>
          <w:rFonts w:ascii="Times New Roman" w:hAnsi="Times New Roman"/>
          <w:color w:val="414141"/>
          <w:sz w:val="19"/>
        </w:rPr>
        <w:t>widow/ers in their </w:t>
      </w:r>
      <w:r>
        <w:rPr>
          <w:rFonts w:ascii="Times New Roman" w:hAnsi="Times New Roman"/>
          <w:color w:val="2A2A2A"/>
          <w:sz w:val="19"/>
        </w:rPr>
        <w:t>retirement. </w:t>
      </w:r>
      <w:r>
        <w:rPr>
          <w:rFonts w:ascii="Times New Roman" w:hAnsi="Times New Roman"/>
          <w:color w:val="414141"/>
          <w:sz w:val="19"/>
        </w:rPr>
        <w:t>Income </w:t>
      </w:r>
      <w:r>
        <w:rPr>
          <w:rFonts w:ascii="Times New Roman" w:hAnsi="Times New Roman"/>
          <w:color w:val="2A2A2A"/>
          <w:sz w:val="19"/>
        </w:rPr>
        <w:t>in 2006 </w:t>
      </w:r>
      <w:r>
        <w:rPr>
          <w:rFonts w:ascii="Times New Roman" w:hAnsi="Times New Roman"/>
          <w:color w:val="414141"/>
          <w:sz w:val="19"/>
        </w:rPr>
        <w:t>included just over £220k </w:t>
      </w:r>
      <w:r>
        <w:rPr>
          <w:rFonts w:ascii="Times New Roman" w:hAnsi="Times New Roman"/>
          <w:color w:val="2A2A2A"/>
          <w:sz w:val="19"/>
        </w:rPr>
        <w:t>from </w:t>
      </w:r>
      <w:r>
        <w:rPr>
          <w:rFonts w:ascii="Times New Roman" w:hAnsi="Times New Roman"/>
          <w:color w:val="414141"/>
          <w:sz w:val="19"/>
        </w:rPr>
        <w:t>legacies. Most of the remaining income arises from </w:t>
      </w:r>
      <w:r>
        <w:rPr>
          <w:rFonts w:ascii="Times New Roman" w:hAnsi="Times New Roman"/>
          <w:color w:val="2A2A2A"/>
          <w:sz w:val="19"/>
        </w:rPr>
        <w:t>the </w:t>
      </w:r>
      <w:r>
        <w:rPr>
          <w:rFonts w:ascii="Times New Roman" w:hAnsi="Times New Roman"/>
          <w:color w:val="414141"/>
          <w:sz w:val="19"/>
        </w:rPr>
        <w:t>profit on the sale of </w:t>
      </w:r>
      <w:r>
        <w:rPr>
          <w:rFonts w:ascii="Times New Roman" w:hAnsi="Times New Roman"/>
          <w:color w:val="2A2A2A"/>
          <w:spacing w:val="-10"/>
          <w:sz w:val="19"/>
        </w:rPr>
        <w:t>houses</w:t>
      </w:r>
      <w:r>
        <w:rPr>
          <w:rFonts w:ascii="Times New Roman" w:hAnsi="Times New Roman"/>
          <w:color w:val="676767"/>
          <w:spacing w:val="-10"/>
          <w:sz w:val="19"/>
        </w:rPr>
        <w:t>, </w:t>
      </w:r>
      <w:r>
        <w:rPr>
          <w:rFonts w:ascii="Times New Roman" w:hAnsi="Times New Roman"/>
          <w:color w:val="414141"/>
          <w:sz w:val="19"/>
        </w:rPr>
        <w:t>the proceeds from which were re-invested </w:t>
      </w:r>
      <w:r>
        <w:rPr>
          <w:rFonts w:ascii="Times New Roman" w:hAnsi="Times New Roman"/>
          <w:color w:val="2A2A2A"/>
          <w:sz w:val="19"/>
        </w:rPr>
        <w:t>in </w:t>
      </w:r>
      <w:r>
        <w:rPr>
          <w:rFonts w:ascii="Times New Roman" w:hAnsi="Times New Roman"/>
          <w:color w:val="414141"/>
          <w:sz w:val="19"/>
        </w:rPr>
        <w:t>further </w:t>
      </w:r>
      <w:r>
        <w:rPr>
          <w:rFonts w:ascii="Times New Roman" w:hAnsi="Times New Roman"/>
          <w:color w:val="2A2A2A"/>
          <w:sz w:val="19"/>
        </w:rPr>
        <w:t>house purchases, </w:t>
      </w:r>
      <w:r>
        <w:rPr>
          <w:rFonts w:ascii="Times New Roman" w:hAnsi="Times New Roman"/>
          <w:color w:val="414141"/>
          <w:sz w:val="19"/>
        </w:rPr>
        <w:t>together with a further £0.7million loaned from other funds. The indebtedness of the Society to the other funds of the Church is included in the Balance Sheet and notes 14 to 16 as</w:t>
      </w:r>
      <w:r>
        <w:rPr>
          <w:rFonts w:ascii="Times New Roman" w:hAnsi="Times New Roman"/>
          <w:color w:val="414141"/>
          <w:spacing w:val="-6"/>
          <w:sz w:val="19"/>
        </w:rPr>
        <w:t> </w:t>
      </w:r>
      <w:r>
        <w:rPr>
          <w:rFonts w:ascii="Times New Roman" w:hAnsi="Times New Roman"/>
          <w:color w:val="2A2A2A"/>
          <w:sz w:val="19"/>
        </w:rPr>
        <w:t>inter-fund</w:t>
      </w:r>
      <w:r>
        <w:rPr>
          <w:rFonts w:ascii="Times New Roman" w:hAnsi="Times New Roman"/>
          <w:color w:val="2A2A2A"/>
          <w:spacing w:val="4"/>
          <w:sz w:val="19"/>
        </w:rPr>
        <w:t> </w:t>
      </w:r>
      <w:r>
        <w:rPr>
          <w:rFonts w:ascii="Times New Roman" w:hAnsi="Times New Roman"/>
          <w:color w:val="2A2A2A"/>
          <w:sz w:val="19"/>
        </w:rPr>
        <w:t>loans</w:t>
      </w:r>
      <w:r>
        <w:rPr>
          <w:rFonts w:ascii="Times New Roman" w:hAnsi="Times New Roman"/>
          <w:color w:val="2A2A2A"/>
          <w:spacing w:val="-15"/>
          <w:sz w:val="19"/>
        </w:rPr>
        <w:t> </w:t>
      </w:r>
      <w:r>
        <w:rPr>
          <w:rFonts w:ascii="Times New Roman" w:hAnsi="Times New Roman"/>
          <w:color w:val="414141"/>
          <w:sz w:val="19"/>
        </w:rPr>
        <w:t>and</w:t>
      </w:r>
      <w:r>
        <w:rPr>
          <w:rFonts w:ascii="Times New Roman" w:hAnsi="Times New Roman"/>
          <w:color w:val="414141"/>
          <w:spacing w:val="6"/>
          <w:sz w:val="19"/>
        </w:rPr>
        <w:t> </w:t>
      </w:r>
      <w:r>
        <w:rPr>
          <w:rFonts w:ascii="Times New Roman" w:hAnsi="Times New Roman"/>
          <w:color w:val="414141"/>
          <w:sz w:val="19"/>
        </w:rPr>
        <w:t>balances;</w:t>
      </w:r>
      <w:r>
        <w:rPr>
          <w:rFonts w:ascii="Times New Roman" w:hAnsi="Times New Roman"/>
          <w:color w:val="414141"/>
          <w:spacing w:val="-10"/>
          <w:sz w:val="19"/>
        </w:rPr>
        <w:t> </w:t>
      </w:r>
      <w:r>
        <w:rPr>
          <w:rFonts w:ascii="Times New Roman" w:hAnsi="Times New Roman"/>
          <w:color w:val="414141"/>
          <w:sz w:val="19"/>
        </w:rPr>
        <w:t>note</w:t>
      </w:r>
      <w:r>
        <w:rPr>
          <w:rFonts w:ascii="Times New Roman" w:hAnsi="Times New Roman"/>
          <w:color w:val="414141"/>
          <w:spacing w:val="-21"/>
          <w:sz w:val="19"/>
        </w:rPr>
        <w:t> </w:t>
      </w:r>
      <w:r>
        <w:rPr>
          <w:rFonts w:ascii="Times New Roman" w:hAnsi="Times New Roman"/>
          <w:color w:val="2A2A2A"/>
          <w:sz w:val="19"/>
        </w:rPr>
        <w:t>19</w:t>
      </w:r>
      <w:r>
        <w:rPr>
          <w:rFonts w:ascii="Times New Roman" w:hAnsi="Times New Roman"/>
          <w:color w:val="2A2A2A"/>
          <w:spacing w:val="-6"/>
          <w:sz w:val="19"/>
        </w:rPr>
        <w:t> </w:t>
      </w:r>
      <w:r>
        <w:rPr>
          <w:rFonts w:ascii="Times New Roman" w:hAnsi="Times New Roman"/>
          <w:color w:val="414141"/>
          <w:sz w:val="19"/>
        </w:rPr>
        <w:t>gives</w:t>
      </w:r>
      <w:r>
        <w:rPr>
          <w:rFonts w:ascii="Times New Roman" w:hAnsi="Times New Roman"/>
          <w:color w:val="414141"/>
          <w:spacing w:val="-15"/>
          <w:sz w:val="19"/>
        </w:rPr>
        <w:t> </w:t>
      </w:r>
      <w:r>
        <w:rPr>
          <w:rFonts w:ascii="Times New Roman" w:hAnsi="Times New Roman"/>
          <w:color w:val="414141"/>
          <w:sz w:val="19"/>
        </w:rPr>
        <w:t>information</w:t>
      </w:r>
      <w:r>
        <w:rPr>
          <w:rFonts w:ascii="Times New Roman" w:hAnsi="Times New Roman"/>
          <w:color w:val="414141"/>
          <w:spacing w:val="5"/>
          <w:sz w:val="19"/>
        </w:rPr>
        <w:t> </w:t>
      </w:r>
      <w:r>
        <w:rPr>
          <w:rFonts w:ascii="Times New Roman" w:hAnsi="Times New Roman"/>
          <w:color w:val="2A2A2A"/>
          <w:sz w:val="19"/>
        </w:rPr>
        <w:t>on</w:t>
      </w:r>
      <w:r>
        <w:rPr>
          <w:rFonts w:ascii="Times New Roman" w:hAnsi="Times New Roman"/>
          <w:color w:val="2A2A2A"/>
          <w:spacing w:val="-20"/>
          <w:sz w:val="19"/>
        </w:rPr>
        <w:t> </w:t>
      </w:r>
      <w:r>
        <w:rPr>
          <w:rFonts w:ascii="Times New Roman" w:hAnsi="Times New Roman"/>
          <w:color w:val="414141"/>
          <w:sz w:val="19"/>
        </w:rPr>
        <w:t>the</w:t>
      </w:r>
      <w:r>
        <w:rPr>
          <w:rFonts w:ascii="Times New Roman" w:hAnsi="Times New Roman"/>
          <w:color w:val="414141"/>
          <w:spacing w:val="-28"/>
          <w:sz w:val="19"/>
        </w:rPr>
        <w:t> </w:t>
      </w:r>
      <w:r>
        <w:rPr>
          <w:rFonts w:ascii="Times New Roman" w:hAnsi="Times New Roman"/>
          <w:color w:val="414141"/>
          <w:sz w:val="19"/>
        </w:rPr>
        <w:t>future</w:t>
      </w:r>
      <w:r>
        <w:rPr>
          <w:rFonts w:ascii="Times New Roman" w:hAnsi="Times New Roman"/>
          <w:color w:val="414141"/>
          <w:spacing w:val="-15"/>
          <w:sz w:val="19"/>
        </w:rPr>
        <w:t> </w:t>
      </w:r>
      <w:r>
        <w:rPr>
          <w:rFonts w:ascii="Times New Roman" w:hAnsi="Times New Roman"/>
          <w:color w:val="414141"/>
          <w:sz w:val="19"/>
        </w:rPr>
        <w:t>commitments.</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4"/>
        <w:rPr>
          <w:rFonts w:ascii="Times New Roman"/>
          <w:sz w:val="19"/>
        </w:rPr>
      </w:pPr>
    </w:p>
    <w:p>
      <w:pPr>
        <w:tabs>
          <w:tab w:pos="6680" w:val="left" w:leader="none"/>
        </w:tabs>
        <w:spacing w:before="0"/>
        <w:ind w:left="923" w:right="0" w:firstLine="0"/>
        <w:jc w:val="left"/>
        <w:rPr>
          <w:rFonts w:ascii="Times New Roman" w:hAnsi="Times New Roman"/>
          <w:b/>
          <w:sz w:val="18"/>
        </w:rPr>
      </w:pPr>
      <w:r>
        <w:rPr>
          <w:rFonts w:ascii="Times New Roman" w:hAnsi="Times New Roman"/>
          <w:b/>
          <w:color w:val="2A2A2A"/>
          <w:w w:val="105"/>
          <w:sz w:val="18"/>
        </w:rPr>
        <w:t>Welfare</w:t>
      </w:r>
      <w:r>
        <w:rPr>
          <w:rFonts w:ascii="Times New Roman" w:hAnsi="Times New Roman"/>
          <w:b/>
          <w:color w:val="2A2A2A"/>
          <w:spacing w:val="-1"/>
          <w:w w:val="105"/>
          <w:sz w:val="18"/>
        </w:rPr>
        <w:t> </w:t>
      </w:r>
      <w:r>
        <w:rPr>
          <w:rFonts w:ascii="Times New Roman" w:hAnsi="Times New Roman"/>
          <w:b/>
          <w:color w:val="2A2A2A"/>
          <w:w w:val="105"/>
          <w:sz w:val="18"/>
        </w:rPr>
        <w:t>Fund:</w:t>
      </w:r>
      <w:r>
        <w:rPr>
          <w:rFonts w:ascii="Times New Roman" w:hAnsi="Times New Roman"/>
          <w:b/>
          <w:color w:val="2A2A2A"/>
          <w:spacing w:val="-6"/>
          <w:w w:val="105"/>
          <w:sz w:val="18"/>
        </w:rPr>
        <w:t> </w:t>
      </w:r>
      <w:r>
        <w:rPr>
          <w:rFonts w:ascii="Times New Roman" w:hAnsi="Times New Roman"/>
          <w:b/>
          <w:color w:val="2A2A2A"/>
          <w:w w:val="105"/>
          <w:sz w:val="18"/>
        </w:rPr>
        <w:t>£528k</w:t>
        <w:tab/>
      </w:r>
      <w:r>
        <w:rPr>
          <w:rFonts w:ascii="Times New Roman" w:hAnsi="Times New Roman"/>
          <w:b/>
          <w:color w:val="161616"/>
          <w:w w:val="105"/>
          <w:sz w:val="18"/>
        </w:rPr>
        <w:t>Income</w:t>
      </w:r>
    </w:p>
    <w:p>
      <w:pPr>
        <w:spacing w:before="5"/>
        <w:ind w:left="6689" w:right="0" w:firstLine="0"/>
        <w:jc w:val="left"/>
        <w:rPr>
          <w:rFonts w:ascii="Times New Roman"/>
          <w:b/>
          <w:sz w:val="18"/>
        </w:rPr>
      </w:pPr>
      <w:r>
        <w:rPr>
          <w:rFonts w:ascii="Times New Roman"/>
          <w:b/>
          <w:color w:val="414141"/>
          <w:w w:val="105"/>
          <w:sz w:val="18"/>
        </w:rPr>
        <w:t>Ex</w:t>
      </w:r>
      <w:r>
        <w:rPr>
          <w:rFonts w:ascii="Times New Roman"/>
          <w:b/>
          <w:color w:val="161616"/>
          <w:w w:val="105"/>
          <w:sz w:val="18"/>
        </w:rPr>
        <w:t>penditure</w:t>
      </w:r>
    </w:p>
    <w:p>
      <w:pPr>
        <w:pStyle w:val="BodyText"/>
        <w:spacing w:before="4"/>
        <w:rPr>
          <w:rFonts w:ascii="Times New Roman"/>
          <w:b/>
          <w:sz w:val="19"/>
        </w:rPr>
      </w:pPr>
      <w:r>
        <w:rPr/>
        <w:br w:type="column"/>
      </w:r>
      <w:r>
        <w:rPr>
          <w:rFonts w:ascii="Times New Roman"/>
          <w:b/>
          <w:sz w:val="19"/>
        </w:rPr>
      </w:r>
    </w:p>
    <w:p>
      <w:pPr>
        <w:spacing w:before="0"/>
        <w:ind w:left="907" w:right="765" w:firstLine="0"/>
        <w:jc w:val="center"/>
        <w:rPr>
          <w:rFonts w:ascii="Times New Roman" w:hAnsi="Times New Roman"/>
          <w:b/>
          <w:sz w:val="18"/>
        </w:rPr>
      </w:pPr>
      <w:r>
        <w:rPr>
          <w:rFonts w:ascii="Times New Roman" w:hAnsi="Times New Roman"/>
          <w:b/>
          <w:color w:val="2A2A2A"/>
          <w:w w:val="105"/>
          <w:sz w:val="18"/>
        </w:rPr>
        <w:t>£54k</w:t>
      </w:r>
    </w:p>
    <w:p>
      <w:pPr>
        <w:spacing w:before="5"/>
        <w:ind w:left="907" w:right="765" w:firstLine="0"/>
        <w:jc w:val="center"/>
        <w:rPr>
          <w:rFonts w:ascii="Times New Roman" w:hAnsi="Times New Roman"/>
          <w:b/>
          <w:sz w:val="18"/>
        </w:rPr>
      </w:pPr>
      <w:r>
        <w:rPr>
          <w:rFonts w:ascii="Times New Roman" w:hAnsi="Times New Roman"/>
          <w:b/>
          <w:color w:val="2A2A2A"/>
          <w:w w:val="105"/>
          <w:sz w:val="18"/>
        </w:rPr>
        <w:t>£61k</w:t>
      </w:r>
    </w:p>
    <w:p>
      <w:pPr>
        <w:spacing w:after="0"/>
        <w:jc w:val="center"/>
        <w:rPr>
          <w:rFonts w:ascii="Times New Roman" w:hAnsi="Times New Roman"/>
          <w:sz w:val="18"/>
        </w:rPr>
        <w:sectPr>
          <w:type w:val="continuous"/>
          <w:pgSz w:w="10950" w:h="15880"/>
          <w:pgMar w:top="680" w:bottom="280" w:left="500" w:right="0"/>
          <w:cols w:num="2" w:equalWidth="0">
            <w:col w:w="7750" w:space="598"/>
            <w:col w:w="2102"/>
          </w:cols>
        </w:sectPr>
      </w:pPr>
    </w:p>
    <w:p>
      <w:pPr>
        <w:spacing w:line="242" w:lineRule="auto" w:before="120"/>
        <w:ind w:left="952" w:right="943" w:firstLine="5"/>
        <w:jc w:val="both"/>
        <w:rPr>
          <w:rFonts w:ascii="Times New Roman"/>
          <w:sz w:val="19"/>
        </w:rPr>
      </w:pPr>
      <w:r>
        <w:rPr>
          <w:rFonts w:ascii="Times New Roman"/>
          <w:color w:val="414141"/>
          <w:w w:val="105"/>
          <w:sz w:val="19"/>
        </w:rPr>
        <w:t>This</w:t>
      </w:r>
      <w:r>
        <w:rPr>
          <w:rFonts w:ascii="Times New Roman"/>
          <w:color w:val="414141"/>
          <w:spacing w:val="-23"/>
          <w:w w:val="105"/>
          <w:sz w:val="19"/>
        </w:rPr>
        <w:t> </w:t>
      </w:r>
      <w:r>
        <w:rPr>
          <w:rFonts w:ascii="Times New Roman"/>
          <w:color w:val="414141"/>
          <w:w w:val="105"/>
          <w:sz w:val="19"/>
        </w:rPr>
        <w:t>fund</w:t>
      </w:r>
      <w:r>
        <w:rPr>
          <w:rFonts w:ascii="Times New Roman"/>
          <w:color w:val="414141"/>
          <w:spacing w:val="-16"/>
          <w:w w:val="105"/>
          <w:sz w:val="19"/>
        </w:rPr>
        <w:t> </w:t>
      </w:r>
      <w:r>
        <w:rPr>
          <w:rFonts w:ascii="Times New Roman"/>
          <w:color w:val="414141"/>
          <w:w w:val="105"/>
          <w:sz w:val="19"/>
        </w:rPr>
        <w:t>can</w:t>
      </w:r>
      <w:r>
        <w:rPr>
          <w:rFonts w:ascii="Times New Roman"/>
          <w:color w:val="414141"/>
          <w:spacing w:val="-8"/>
          <w:w w:val="105"/>
          <w:sz w:val="19"/>
        </w:rPr>
        <w:t> </w:t>
      </w:r>
      <w:r>
        <w:rPr>
          <w:rFonts w:ascii="Times New Roman"/>
          <w:color w:val="414141"/>
          <w:w w:val="105"/>
          <w:sz w:val="19"/>
        </w:rPr>
        <w:t>be</w:t>
      </w:r>
      <w:r>
        <w:rPr>
          <w:rFonts w:ascii="Times New Roman"/>
          <w:color w:val="414141"/>
          <w:spacing w:val="-13"/>
          <w:w w:val="105"/>
          <w:sz w:val="19"/>
        </w:rPr>
        <w:t> </w:t>
      </w:r>
      <w:r>
        <w:rPr>
          <w:rFonts w:ascii="Times New Roman"/>
          <w:color w:val="414141"/>
          <w:w w:val="105"/>
          <w:sz w:val="19"/>
        </w:rPr>
        <w:t>used</w:t>
      </w:r>
      <w:r>
        <w:rPr>
          <w:rFonts w:ascii="Times New Roman"/>
          <w:color w:val="414141"/>
          <w:spacing w:val="-13"/>
          <w:w w:val="105"/>
          <w:sz w:val="19"/>
        </w:rPr>
        <w:t> </w:t>
      </w:r>
      <w:r>
        <w:rPr>
          <w:rFonts w:ascii="Times New Roman"/>
          <w:color w:val="414141"/>
          <w:w w:val="105"/>
          <w:sz w:val="19"/>
        </w:rPr>
        <w:t>to</w:t>
      </w:r>
      <w:r>
        <w:rPr>
          <w:rFonts w:ascii="Times New Roman"/>
          <w:color w:val="414141"/>
          <w:spacing w:val="-3"/>
          <w:w w:val="105"/>
          <w:sz w:val="19"/>
        </w:rPr>
        <w:t> </w:t>
      </w:r>
      <w:r>
        <w:rPr>
          <w:rFonts w:ascii="Times New Roman"/>
          <w:color w:val="414141"/>
          <w:w w:val="105"/>
          <w:sz w:val="19"/>
        </w:rPr>
        <w:t>relieve</w:t>
      </w:r>
      <w:r>
        <w:rPr>
          <w:rFonts w:ascii="Times New Roman"/>
          <w:color w:val="414141"/>
          <w:spacing w:val="-14"/>
          <w:w w:val="105"/>
          <w:sz w:val="19"/>
        </w:rPr>
        <w:t> </w:t>
      </w:r>
      <w:r>
        <w:rPr>
          <w:rFonts w:ascii="Times New Roman"/>
          <w:color w:val="414141"/>
          <w:w w:val="105"/>
          <w:sz w:val="19"/>
        </w:rPr>
        <w:t>cases</w:t>
      </w:r>
      <w:r>
        <w:rPr>
          <w:rFonts w:ascii="Times New Roman"/>
          <w:color w:val="414141"/>
          <w:spacing w:val="-20"/>
          <w:w w:val="105"/>
          <w:sz w:val="19"/>
        </w:rPr>
        <w:t> </w:t>
      </w:r>
      <w:r>
        <w:rPr>
          <w:rFonts w:ascii="Times New Roman"/>
          <w:color w:val="414141"/>
          <w:w w:val="105"/>
          <w:sz w:val="19"/>
        </w:rPr>
        <w:t>of</w:t>
      </w:r>
      <w:r>
        <w:rPr>
          <w:rFonts w:ascii="Times New Roman"/>
          <w:color w:val="414141"/>
          <w:spacing w:val="-15"/>
          <w:w w:val="105"/>
          <w:sz w:val="19"/>
        </w:rPr>
        <w:t> </w:t>
      </w:r>
      <w:r>
        <w:rPr>
          <w:rFonts w:ascii="Times New Roman"/>
          <w:color w:val="2A2A2A"/>
          <w:w w:val="105"/>
          <w:sz w:val="19"/>
        </w:rPr>
        <w:t>need</w:t>
      </w:r>
      <w:r>
        <w:rPr>
          <w:rFonts w:ascii="Times New Roman"/>
          <w:color w:val="2A2A2A"/>
          <w:spacing w:val="-10"/>
          <w:w w:val="105"/>
          <w:sz w:val="19"/>
        </w:rPr>
        <w:t> </w:t>
      </w:r>
      <w:r>
        <w:rPr>
          <w:rFonts w:ascii="Times New Roman"/>
          <w:color w:val="414141"/>
          <w:w w:val="105"/>
          <w:sz w:val="19"/>
        </w:rPr>
        <w:t>among</w:t>
      </w:r>
      <w:r>
        <w:rPr>
          <w:rFonts w:ascii="Times New Roman"/>
          <w:color w:val="414141"/>
          <w:spacing w:val="-13"/>
          <w:w w:val="105"/>
          <w:sz w:val="19"/>
        </w:rPr>
        <w:t> </w:t>
      </w:r>
      <w:r>
        <w:rPr>
          <w:rFonts w:ascii="Times New Roman"/>
          <w:color w:val="414141"/>
          <w:w w:val="105"/>
          <w:sz w:val="19"/>
        </w:rPr>
        <w:t>ministers</w:t>
      </w:r>
      <w:r>
        <w:rPr>
          <w:rFonts w:ascii="Times New Roman"/>
          <w:color w:val="414141"/>
          <w:spacing w:val="-23"/>
          <w:w w:val="105"/>
          <w:sz w:val="19"/>
        </w:rPr>
        <w:t> </w:t>
      </w:r>
      <w:r>
        <w:rPr>
          <w:rFonts w:ascii="Times New Roman"/>
          <w:color w:val="414141"/>
          <w:w w:val="105"/>
          <w:sz w:val="19"/>
        </w:rPr>
        <w:t>of</w:t>
      </w:r>
      <w:r>
        <w:rPr>
          <w:rFonts w:ascii="Times New Roman"/>
          <w:color w:val="414141"/>
          <w:spacing w:val="-5"/>
          <w:w w:val="105"/>
          <w:sz w:val="19"/>
        </w:rPr>
        <w:t> </w:t>
      </w:r>
      <w:r>
        <w:rPr>
          <w:rFonts w:ascii="Times New Roman"/>
          <w:color w:val="414141"/>
          <w:w w:val="105"/>
          <w:sz w:val="19"/>
        </w:rPr>
        <w:t>the</w:t>
      </w:r>
      <w:r>
        <w:rPr>
          <w:rFonts w:ascii="Times New Roman"/>
          <w:color w:val="414141"/>
          <w:spacing w:val="-25"/>
          <w:w w:val="105"/>
          <w:sz w:val="19"/>
        </w:rPr>
        <w:t> </w:t>
      </w:r>
      <w:r>
        <w:rPr>
          <w:rFonts w:ascii="Times New Roman"/>
          <w:color w:val="2A2A2A"/>
          <w:w w:val="105"/>
          <w:sz w:val="19"/>
        </w:rPr>
        <w:t>United</w:t>
      </w:r>
      <w:r>
        <w:rPr>
          <w:rFonts w:ascii="Times New Roman"/>
          <w:color w:val="2A2A2A"/>
          <w:spacing w:val="-12"/>
          <w:w w:val="105"/>
          <w:sz w:val="19"/>
        </w:rPr>
        <w:t> </w:t>
      </w:r>
      <w:r>
        <w:rPr>
          <w:rFonts w:ascii="Times New Roman"/>
          <w:color w:val="414141"/>
          <w:w w:val="105"/>
          <w:sz w:val="19"/>
        </w:rPr>
        <w:t>Reformed</w:t>
      </w:r>
      <w:r>
        <w:rPr>
          <w:rFonts w:ascii="Times New Roman"/>
          <w:color w:val="414141"/>
          <w:spacing w:val="-9"/>
          <w:w w:val="105"/>
          <w:sz w:val="19"/>
        </w:rPr>
        <w:t> </w:t>
      </w:r>
      <w:r>
        <w:rPr>
          <w:rFonts w:ascii="Times New Roman"/>
          <w:color w:val="414141"/>
          <w:w w:val="105"/>
          <w:sz w:val="19"/>
        </w:rPr>
        <w:t>Church,</w:t>
      </w:r>
      <w:r>
        <w:rPr>
          <w:rFonts w:ascii="Times New Roman"/>
          <w:color w:val="414141"/>
          <w:spacing w:val="-11"/>
          <w:w w:val="105"/>
          <w:sz w:val="19"/>
        </w:rPr>
        <w:t> </w:t>
      </w:r>
      <w:r>
        <w:rPr>
          <w:rFonts w:ascii="Times New Roman"/>
          <w:color w:val="414141"/>
          <w:w w:val="105"/>
          <w:sz w:val="19"/>
        </w:rPr>
        <w:t>their</w:t>
      </w:r>
      <w:r>
        <w:rPr>
          <w:rFonts w:ascii="Times New Roman"/>
          <w:color w:val="414141"/>
          <w:spacing w:val="-18"/>
          <w:w w:val="105"/>
          <w:sz w:val="19"/>
        </w:rPr>
        <w:t> </w:t>
      </w:r>
      <w:r>
        <w:rPr>
          <w:rFonts w:ascii="Times New Roman"/>
          <w:color w:val="414141"/>
          <w:w w:val="105"/>
          <w:sz w:val="19"/>
        </w:rPr>
        <w:t>spouses and other </w:t>
      </w:r>
      <w:r>
        <w:rPr>
          <w:rFonts w:ascii="Times New Roman"/>
          <w:color w:val="414141"/>
          <w:spacing w:val="-4"/>
          <w:w w:val="105"/>
          <w:sz w:val="19"/>
        </w:rPr>
        <w:t>dependants</w:t>
      </w:r>
      <w:r>
        <w:rPr>
          <w:rFonts w:ascii="Times New Roman"/>
          <w:color w:val="161616"/>
          <w:spacing w:val="-4"/>
          <w:w w:val="105"/>
          <w:sz w:val="19"/>
        </w:rPr>
        <w:t>. </w:t>
      </w:r>
      <w:r>
        <w:rPr>
          <w:rFonts w:ascii="Times New Roman"/>
          <w:color w:val="2A2A2A"/>
          <w:w w:val="105"/>
          <w:sz w:val="19"/>
        </w:rPr>
        <w:t>Regular uses have </w:t>
      </w:r>
      <w:r>
        <w:rPr>
          <w:rFonts w:ascii="Times New Roman"/>
          <w:color w:val="414141"/>
          <w:w w:val="105"/>
          <w:sz w:val="19"/>
        </w:rPr>
        <w:t>been to provide a grant on the </w:t>
      </w:r>
      <w:r>
        <w:rPr>
          <w:rFonts w:ascii="Times New Roman"/>
          <w:color w:val="2A2A2A"/>
          <w:w w:val="105"/>
          <w:sz w:val="19"/>
        </w:rPr>
        <w:t>death </w:t>
      </w:r>
      <w:r>
        <w:rPr>
          <w:rFonts w:ascii="Times New Roman"/>
          <w:color w:val="414141"/>
          <w:w w:val="105"/>
          <w:sz w:val="19"/>
        </w:rPr>
        <w:t>of a minister to </w:t>
      </w:r>
      <w:r>
        <w:rPr>
          <w:rFonts w:ascii="Times New Roman"/>
          <w:color w:val="2A2A2A"/>
          <w:w w:val="105"/>
          <w:sz w:val="19"/>
        </w:rPr>
        <w:t>the </w:t>
      </w:r>
      <w:r>
        <w:rPr>
          <w:rFonts w:ascii="Times New Roman"/>
          <w:color w:val="414141"/>
          <w:w w:val="105"/>
          <w:sz w:val="19"/>
        </w:rPr>
        <w:t>surviving spouse,</w:t>
      </w:r>
      <w:r>
        <w:rPr>
          <w:rFonts w:ascii="Times New Roman"/>
          <w:color w:val="414141"/>
          <w:spacing w:val="-27"/>
          <w:w w:val="105"/>
          <w:sz w:val="19"/>
        </w:rPr>
        <w:t> </w:t>
      </w:r>
      <w:r>
        <w:rPr>
          <w:rFonts w:ascii="Times New Roman"/>
          <w:color w:val="414141"/>
          <w:w w:val="105"/>
          <w:sz w:val="19"/>
        </w:rPr>
        <w:t>and</w:t>
      </w:r>
      <w:r>
        <w:rPr>
          <w:rFonts w:ascii="Times New Roman"/>
          <w:color w:val="414141"/>
          <w:spacing w:val="-22"/>
          <w:w w:val="105"/>
          <w:sz w:val="19"/>
        </w:rPr>
        <w:t> </w:t>
      </w:r>
      <w:r>
        <w:rPr>
          <w:rFonts w:ascii="Times New Roman"/>
          <w:color w:val="414141"/>
          <w:w w:val="105"/>
          <w:sz w:val="18"/>
        </w:rPr>
        <w:t>to</w:t>
      </w:r>
      <w:r>
        <w:rPr>
          <w:rFonts w:ascii="Times New Roman"/>
          <w:color w:val="414141"/>
          <w:spacing w:val="-23"/>
          <w:w w:val="105"/>
          <w:sz w:val="18"/>
        </w:rPr>
        <w:t> </w:t>
      </w:r>
      <w:r>
        <w:rPr>
          <w:rFonts w:ascii="Times New Roman"/>
          <w:color w:val="414141"/>
          <w:w w:val="105"/>
          <w:sz w:val="19"/>
        </w:rPr>
        <w:t>provide</w:t>
      </w:r>
      <w:r>
        <w:rPr>
          <w:rFonts w:ascii="Times New Roman"/>
          <w:color w:val="414141"/>
          <w:spacing w:val="-31"/>
          <w:w w:val="105"/>
          <w:sz w:val="19"/>
        </w:rPr>
        <w:t> </w:t>
      </w:r>
      <w:r>
        <w:rPr>
          <w:rFonts w:ascii="Times New Roman"/>
          <w:color w:val="414141"/>
          <w:w w:val="105"/>
          <w:sz w:val="19"/>
        </w:rPr>
        <w:t>a</w:t>
      </w:r>
      <w:r>
        <w:rPr>
          <w:rFonts w:ascii="Times New Roman"/>
          <w:color w:val="414141"/>
          <w:spacing w:val="-27"/>
          <w:w w:val="105"/>
          <w:sz w:val="19"/>
        </w:rPr>
        <w:t> </w:t>
      </w:r>
      <w:r>
        <w:rPr>
          <w:rFonts w:ascii="Times New Roman"/>
          <w:color w:val="414141"/>
          <w:w w:val="105"/>
          <w:sz w:val="19"/>
        </w:rPr>
        <w:t>grant</w:t>
      </w:r>
      <w:r>
        <w:rPr>
          <w:rFonts w:ascii="Times New Roman"/>
          <w:color w:val="414141"/>
          <w:spacing w:val="-35"/>
          <w:w w:val="105"/>
          <w:sz w:val="19"/>
        </w:rPr>
        <w:t> </w:t>
      </w:r>
      <w:r>
        <w:rPr>
          <w:rFonts w:ascii="Times New Roman"/>
          <w:color w:val="414141"/>
          <w:w w:val="105"/>
          <w:sz w:val="19"/>
        </w:rPr>
        <w:t>at</w:t>
      </w:r>
      <w:r>
        <w:rPr>
          <w:rFonts w:ascii="Times New Roman"/>
          <w:color w:val="414141"/>
          <w:spacing w:val="-28"/>
          <w:w w:val="105"/>
          <w:sz w:val="19"/>
        </w:rPr>
        <w:t> </w:t>
      </w:r>
      <w:r>
        <w:rPr>
          <w:rFonts w:ascii="Times New Roman"/>
          <w:color w:val="2A2A2A"/>
          <w:w w:val="105"/>
          <w:sz w:val="19"/>
        </w:rPr>
        <w:t>Christmas</w:t>
      </w:r>
      <w:r>
        <w:rPr>
          <w:rFonts w:ascii="Times New Roman"/>
          <w:color w:val="2A2A2A"/>
          <w:spacing w:val="-27"/>
          <w:w w:val="105"/>
          <w:sz w:val="19"/>
        </w:rPr>
        <w:t> </w:t>
      </w:r>
      <w:r>
        <w:rPr>
          <w:rFonts w:ascii="Times New Roman"/>
          <w:color w:val="2A2A2A"/>
          <w:w w:val="105"/>
          <w:sz w:val="19"/>
        </w:rPr>
        <w:t>to</w:t>
      </w:r>
      <w:r>
        <w:rPr>
          <w:rFonts w:ascii="Times New Roman"/>
          <w:color w:val="2A2A2A"/>
          <w:spacing w:val="-32"/>
          <w:w w:val="105"/>
          <w:sz w:val="19"/>
        </w:rPr>
        <w:t> </w:t>
      </w:r>
      <w:r>
        <w:rPr>
          <w:rFonts w:ascii="Times New Roman"/>
          <w:color w:val="414141"/>
          <w:w w:val="105"/>
          <w:sz w:val="19"/>
        </w:rPr>
        <w:t>most</w:t>
      </w:r>
      <w:r>
        <w:rPr>
          <w:rFonts w:ascii="Times New Roman"/>
          <w:color w:val="414141"/>
          <w:spacing w:val="-33"/>
          <w:w w:val="105"/>
          <w:sz w:val="19"/>
        </w:rPr>
        <w:t> </w:t>
      </w:r>
      <w:r>
        <w:rPr>
          <w:rFonts w:ascii="Times New Roman"/>
          <w:color w:val="414141"/>
          <w:w w:val="105"/>
          <w:sz w:val="19"/>
        </w:rPr>
        <w:t>of</w:t>
      </w:r>
      <w:r>
        <w:rPr>
          <w:rFonts w:ascii="Times New Roman"/>
          <w:color w:val="414141"/>
          <w:spacing w:val="-33"/>
          <w:w w:val="105"/>
          <w:sz w:val="19"/>
        </w:rPr>
        <w:t> </w:t>
      </w:r>
      <w:r>
        <w:rPr>
          <w:rFonts w:ascii="Times New Roman"/>
          <w:color w:val="414141"/>
          <w:w w:val="105"/>
          <w:sz w:val="19"/>
        </w:rPr>
        <w:t>the</w:t>
      </w:r>
      <w:r>
        <w:rPr>
          <w:rFonts w:ascii="Times New Roman"/>
          <w:color w:val="414141"/>
          <w:spacing w:val="-30"/>
          <w:w w:val="105"/>
          <w:sz w:val="19"/>
        </w:rPr>
        <w:t> </w:t>
      </w:r>
      <w:r>
        <w:rPr>
          <w:rFonts w:ascii="Times New Roman"/>
          <w:color w:val="414141"/>
          <w:w w:val="105"/>
          <w:sz w:val="19"/>
        </w:rPr>
        <w:t>widow</w:t>
      </w:r>
      <w:r>
        <w:rPr>
          <w:rFonts w:ascii="Times New Roman"/>
          <w:color w:val="676767"/>
          <w:w w:val="105"/>
          <w:sz w:val="19"/>
        </w:rPr>
        <w:t>/</w:t>
      </w:r>
      <w:r>
        <w:rPr>
          <w:rFonts w:ascii="Times New Roman"/>
          <w:color w:val="414141"/>
          <w:w w:val="105"/>
          <w:sz w:val="19"/>
        </w:rPr>
        <w:t>ersof</w:t>
      </w:r>
      <w:r>
        <w:rPr>
          <w:rFonts w:ascii="Times New Roman"/>
          <w:color w:val="414141"/>
          <w:spacing w:val="-27"/>
          <w:w w:val="105"/>
          <w:sz w:val="19"/>
        </w:rPr>
        <w:t> </w:t>
      </w:r>
      <w:r>
        <w:rPr>
          <w:rFonts w:ascii="Times New Roman"/>
          <w:color w:val="414141"/>
          <w:w w:val="105"/>
          <w:sz w:val="19"/>
        </w:rPr>
        <w:t>United</w:t>
      </w:r>
      <w:r>
        <w:rPr>
          <w:rFonts w:ascii="Times New Roman"/>
          <w:color w:val="414141"/>
          <w:spacing w:val="-24"/>
          <w:w w:val="105"/>
          <w:sz w:val="19"/>
        </w:rPr>
        <w:t> </w:t>
      </w:r>
      <w:r>
        <w:rPr>
          <w:rFonts w:ascii="Times New Roman"/>
          <w:color w:val="414141"/>
          <w:w w:val="105"/>
          <w:sz w:val="19"/>
        </w:rPr>
        <w:t>Reformed</w:t>
      </w:r>
      <w:r>
        <w:rPr>
          <w:rFonts w:ascii="Times New Roman"/>
          <w:color w:val="414141"/>
          <w:spacing w:val="-18"/>
          <w:w w:val="105"/>
          <w:sz w:val="19"/>
        </w:rPr>
        <w:t> </w:t>
      </w:r>
      <w:r>
        <w:rPr>
          <w:rFonts w:ascii="Times New Roman"/>
          <w:color w:val="414141"/>
          <w:w w:val="105"/>
          <w:sz w:val="19"/>
        </w:rPr>
        <w:t>Church</w:t>
      </w:r>
      <w:r>
        <w:rPr>
          <w:rFonts w:ascii="Times New Roman"/>
          <w:color w:val="414141"/>
          <w:spacing w:val="-25"/>
          <w:w w:val="105"/>
          <w:sz w:val="19"/>
        </w:rPr>
        <w:t> </w:t>
      </w:r>
      <w:r>
        <w:rPr>
          <w:rFonts w:ascii="Times New Roman"/>
          <w:color w:val="414141"/>
          <w:w w:val="105"/>
          <w:sz w:val="19"/>
        </w:rPr>
        <w:t>ministers</w:t>
      </w:r>
      <w:r>
        <w:rPr>
          <w:rFonts w:ascii="Times New Roman"/>
          <w:color w:val="414141"/>
          <w:spacing w:val="-30"/>
          <w:w w:val="105"/>
          <w:sz w:val="19"/>
        </w:rPr>
        <w:t> </w:t>
      </w:r>
      <w:r>
        <w:rPr>
          <w:rFonts w:ascii="Times New Roman"/>
          <w:color w:val="414141"/>
          <w:w w:val="105"/>
          <w:sz w:val="19"/>
        </w:rPr>
        <w:t>about whom we know. Medical assistance grants are also paid from this fund, </w:t>
      </w:r>
      <w:r>
        <w:rPr>
          <w:rFonts w:ascii="Times New Roman"/>
          <w:color w:val="2A2A2A"/>
          <w:w w:val="105"/>
          <w:sz w:val="19"/>
        </w:rPr>
        <w:t>including </w:t>
      </w:r>
      <w:r>
        <w:rPr>
          <w:rFonts w:ascii="Times New Roman"/>
          <w:color w:val="414141"/>
          <w:w w:val="105"/>
          <w:sz w:val="19"/>
        </w:rPr>
        <w:t>counselling</w:t>
      </w:r>
      <w:r>
        <w:rPr>
          <w:rFonts w:ascii="Times New Roman"/>
          <w:color w:val="414141"/>
          <w:spacing w:val="-23"/>
          <w:w w:val="105"/>
          <w:sz w:val="19"/>
        </w:rPr>
        <w:t> </w:t>
      </w:r>
      <w:r>
        <w:rPr>
          <w:rFonts w:ascii="Times New Roman"/>
          <w:color w:val="414141"/>
          <w:w w:val="105"/>
          <w:sz w:val="19"/>
        </w:rPr>
        <w:t>costs.</w:t>
      </w:r>
    </w:p>
    <w:p>
      <w:pPr>
        <w:spacing w:after="0" w:line="242" w:lineRule="auto"/>
        <w:jc w:val="both"/>
        <w:rPr>
          <w:rFonts w:ascii="Times New Roman"/>
          <w:sz w:val="19"/>
        </w:rPr>
        <w:sectPr>
          <w:type w:val="continuous"/>
          <w:pgSz w:w="10950" w:h="15880"/>
          <w:pgMar w:top="680" w:bottom="280" w:left="500" w:right="0"/>
        </w:sectPr>
      </w:pPr>
    </w:p>
    <w:p>
      <w:pPr>
        <w:pStyle w:val="BodyText"/>
        <w:spacing w:before="65"/>
        <w:ind w:left="1000"/>
        <w:rPr>
          <w:rFonts w:ascii="Times New Roman"/>
          <w:sz w:val="22"/>
        </w:rPr>
      </w:pPr>
      <w:r>
        <w:rPr>
          <w:rFonts w:ascii="Times New Roman"/>
          <w:color w:val="3F3F3F"/>
          <w:w w:val="105"/>
        </w:rPr>
        <w:t>ACC</w:t>
      </w:r>
      <w:r>
        <w:rPr>
          <w:rFonts w:ascii="Times New Roman"/>
          <w:color w:val="262626"/>
          <w:w w:val="105"/>
        </w:rPr>
        <w:t>O</w:t>
      </w:r>
      <w:r>
        <w:rPr>
          <w:rFonts w:ascii="Times New Roman"/>
          <w:color w:val="3F3F3F"/>
          <w:w w:val="105"/>
        </w:rPr>
        <w:t>UN</w:t>
      </w:r>
      <w:r>
        <w:rPr>
          <w:rFonts w:ascii="Times New Roman"/>
          <w:color w:val="161616"/>
          <w:w w:val="105"/>
        </w:rPr>
        <w:t>T</w:t>
      </w:r>
      <w:r>
        <w:rPr>
          <w:rFonts w:ascii="Times New Roman"/>
          <w:color w:val="3F3F3F"/>
          <w:w w:val="105"/>
        </w:rPr>
        <w:t>S page </w:t>
      </w:r>
      <w:r>
        <w:rPr>
          <w:rFonts w:ascii="Times New Roman"/>
          <w:color w:val="3F3F3F"/>
          <w:w w:val="105"/>
          <w:sz w:val="22"/>
        </w:rPr>
        <w:t>9</w:t>
      </w:r>
    </w:p>
    <w:p>
      <w:pPr>
        <w:pStyle w:val="BodyText"/>
        <w:rPr>
          <w:rFonts w:ascii="Times New Roman"/>
          <w:sz w:val="20"/>
        </w:rPr>
      </w:pPr>
    </w:p>
    <w:p>
      <w:pPr>
        <w:pStyle w:val="BodyText"/>
        <w:spacing w:before="2"/>
        <w:rPr>
          <w:rFonts w:ascii="Times New Roman"/>
          <w:sz w:val="21"/>
        </w:rPr>
      </w:pPr>
    </w:p>
    <w:p>
      <w:pPr>
        <w:spacing w:before="91"/>
        <w:ind w:left="1258" w:right="1233" w:firstLine="0"/>
        <w:jc w:val="center"/>
        <w:rPr>
          <w:rFonts w:ascii="Times New Roman"/>
          <w:b/>
          <w:sz w:val="22"/>
        </w:rPr>
      </w:pPr>
      <w:r>
        <w:rPr>
          <w:rFonts w:ascii="Times New Roman"/>
          <w:b/>
          <w:color w:val="161616"/>
          <w:w w:val="105"/>
          <w:sz w:val="22"/>
        </w:rPr>
        <w:t>DESCRIPTION OF FUNDS CONTINUED</w:t>
      </w:r>
    </w:p>
    <w:p>
      <w:pPr>
        <w:pStyle w:val="BodyText"/>
        <w:rPr>
          <w:rFonts w:ascii="Times New Roman"/>
          <w:b/>
          <w:sz w:val="20"/>
        </w:rPr>
      </w:pPr>
    </w:p>
    <w:p>
      <w:pPr>
        <w:spacing w:after="0"/>
        <w:rPr>
          <w:rFonts w:ascii="Times New Roman"/>
          <w:sz w:val="20"/>
        </w:rPr>
        <w:sectPr>
          <w:headerReference w:type="even" r:id="rId498"/>
          <w:footerReference w:type="even" r:id="rId499"/>
          <w:pgSz w:w="10950" w:h="15880"/>
          <w:pgMar w:header="0" w:footer="0" w:top="160" w:bottom="280" w:left="500" w:right="0"/>
        </w:sectPr>
      </w:pPr>
    </w:p>
    <w:p>
      <w:pPr>
        <w:pStyle w:val="BodyText"/>
        <w:spacing w:before="10"/>
        <w:rPr>
          <w:rFonts w:ascii="Times New Roman"/>
          <w:b/>
          <w:sz w:val="19"/>
        </w:rPr>
      </w:pPr>
    </w:p>
    <w:p>
      <w:pPr>
        <w:spacing w:line="513" w:lineRule="auto" w:before="0"/>
        <w:ind w:left="950" w:right="16" w:firstLine="9"/>
        <w:jc w:val="left"/>
        <w:rPr>
          <w:rFonts w:ascii="Times New Roman" w:hAnsi="Times New Roman"/>
          <w:b/>
          <w:sz w:val="18"/>
        </w:rPr>
      </w:pPr>
      <w:r>
        <w:rPr>
          <w:rFonts w:ascii="Times New Roman" w:hAnsi="Times New Roman"/>
          <w:b/>
          <w:color w:val="161616"/>
          <w:w w:val="105"/>
          <w:sz w:val="18"/>
        </w:rPr>
        <w:t>Retired Mini</w:t>
      </w:r>
      <w:r>
        <w:rPr>
          <w:rFonts w:ascii="Times New Roman" w:hAnsi="Times New Roman"/>
          <w:b/>
          <w:color w:val="3F3F3F"/>
          <w:w w:val="105"/>
          <w:sz w:val="18"/>
        </w:rPr>
        <w:t>s</w:t>
      </w:r>
      <w:r>
        <w:rPr>
          <w:rFonts w:ascii="Times New Roman" w:hAnsi="Times New Roman"/>
          <w:b/>
          <w:color w:val="262626"/>
          <w:w w:val="105"/>
          <w:sz w:val="18"/>
        </w:rPr>
        <w:t>t</w:t>
      </w:r>
      <w:r>
        <w:rPr>
          <w:rFonts w:ascii="Times New Roman" w:hAnsi="Times New Roman"/>
          <w:b/>
          <w:color w:val="3F3F3F"/>
          <w:w w:val="105"/>
          <w:sz w:val="18"/>
        </w:rPr>
        <w:t>e</w:t>
      </w:r>
      <w:r>
        <w:rPr>
          <w:rFonts w:ascii="Times New Roman" w:hAnsi="Times New Roman"/>
          <w:b/>
          <w:color w:val="161616"/>
          <w:w w:val="105"/>
          <w:sz w:val="18"/>
        </w:rPr>
        <w:t>r</w:t>
      </w:r>
      <w:r>
        <w:rPr>
          <w:rFonts w:ascii="Times New Roman" w:hAnsi="Times New Roman"/>
          <w:b/>
          <w:color w:val="3F3F3F"/>
          <w:w w:val="105"/>
          <w:sz w:val="18"/>
        </w:rPr>
        <w:t>s' </w:t>
      </w:r>
      <w:r>
        <w:rPr>
          <w:rFonts w:ascii="Times New Roman" w:hAnsi="Times New Roman"/>
          <w:b/>
          <w:color w:val="262626"/>
          <w:w w:val="105"/>
          <w:sz w:val="18"/>
        </w:rPr>
        <w:t>Aid </w:t>
      </w:r>
      <w:r>
        <w:rPr>
          <w:rFonts w:ascii="Times New Roman" w:hAnsi="Times New Roman"/>
          <w:b/>
          <w:color w:val="3F3F3F"/>
          <w:w w:val="105"/>
          <w:sz w:val="18"/>
        </w:rPr>
        <w:t>F</w:t>
      </w:r>
      <w:r>
        <w:rPr>
          <w:rFonts w:ascii="Times New Roman" w:hAnsi="Times New Roman"/>
          <w:b/>
          <w:color w:val="161616"/>
          <w:w w:val="105"/>
          <w:sz w:val="18"/>
        </w:rPr>
        <w:t>und: </w:t>
      </w:r>
      <w:r>
        <w:rPr>
          <w:rFonts w:ascii="Times New Roman" w:hAnsi="Times New Roman"/>
          <w:b/>
          <w:color w:val="262626"/>
          <w:w w:val="105"/>
          <w:sz w:val="18"/>
        </w:rPr>
        <w:t>£150k </w:t>
      </w:r>
      <w:r>
        <w:rPr>
          <w:rFonts w:ascii="Times New Roman" w:hAnsi="Times New Roman"/>
          <w:b/>
          <w:color w:val="161616"/>
          <w:w w:val="105"/>
          <w:sz w:val="18"/>
        </w:rPr>
        <w:t>Retired </w:t>
      </w:r>
      <w:r>
        <w:rPr>
          <w:rFonts w:ascii="Times New Roman" w:hAnsi="Times New Roman"/>
          <w:b/>
          <w:color w:val="262626"/>
          <w:w w:val="105"/>
          <w:sz w:val="18"/>
        </w:rPr>
        <w:t>Minister</w:t>
      </w:r>
      <w:r>
        <w:rPr>
          <w:rFonts w:ascii="Times New Roman" w:hAnsi="Times New Roman"/>
          <w:b/>
          <w:color w:val="3F3F3F"/>
          <w:w w:val="105"/>
          <w:sz w:val="18"/>
        </w:rPr>
        <w:t>s</w:t>
      </w:r>
      <w:r>
        <w:rPr>
          <w:rFonts w:ascii="Times New Roman" w:hAnsi="Times New Roman"/>
          <w:b/>
          <w:color w:val="262626"/>
          <w:w w:val="105"/>
          <w:sz w:val="18"/>
        </w:rPr>
        <w:t>' </w:t>
      </w:r>
      <w:r>
        <w:rPr>
          <w:rFonts w:ascii="Times New Roman" w:hAnsi="Times New Roman"/>
          <w:b/>
          <w:color w:val="3F3F3F"/>
          <w:w w:val="105"/>
          <w:sz w:val="18"/>
        </w:rPr>
        <w:t>F</w:t>
      </w:r>
      <w:r>
        <w:rPr>
          <w:rFonts w:ascii="Times New Roman" w:hAnsi="Times New Roman"/>
          <w:b/>
          <w:color w:val="262626"/>
          <w:w w:val="105"/>
          <w:sz w:val="18"/>
        </w:rPr>
        <w:t>und: £1</w:t>
      </w:r>
      <w:r>
        <w:rPr>
          <w:rFonts w:ascii="Times New Roman" w:hAnsi="Times New Roman"/>
          <w:b/>
          <w:color w:val="3F3F3F"/>
          <w:w w:val="105"/>
          <w:sz w:val="18"/>
        </w:rPr>
        <w:t>,</w:t>
      </w:r>
      <w:r>
        <w:rPr>
          <w:rFonts w:ascii="Times New Roman" w:hAnsi="Times New Roman"/>
          <w:b/>
          <w:color w:val="262626"/>
          <w:w w:val="105"/>
          <w:sz w:val="18"/>
        </w:rPr>
        <w:t>133k</w:t>
      </w:r>
    </w:p>
    <w:p>
      <w:pPr>
        <w:pStyle w:val="BodyText"/>
        <w:spacing w:before="10"/>
        <w:rPr>
          <w:rFonts w:ascii="Times New Roman"/>
          <w:b/>
          <w:sz w:val="19"/>
        </w:rPr>
      </w:pPr>
      <w:r>
        <w:rPr/>
        <w:br w:type="column"/>
      </w:r>
      <w:r>
        <w:rPr>
          <w:rFonts w:ascii="Times New Roman"/>
          <w:b/>
          <w:sz w:val="19"/>
        </w:rPr>
      </w:r>
    </w:p>
    <w:p>
      <w:pPr>
        <w:spacing w:line="256" w:lineRule="auto" w:before="0"/>
        <w:ind w:left="950" w:right="0" w:firstLine="9"/>
        <w:jc w:val="left"/>
        <w:rPr>
          <w:rFonts w:ascii="Times New Roman"/>
          <w:b/>
          <w:sz w:val="18"/>
        </w:rPr>
      </w:pPr>
      <w:r>
        <w:rPr>
          <w:rFonts w:ascii="Times New Roman"/>
          <w:b/>
          <w:color w:val="161616"/>
          <w:w w:val="105"/>
          <w:sz w:val="18"/>
        </w:rPr>
        <w:t>income </w:t>
      </w:r>
      <w:r>
        <w:rPr>
          <w:rFonts w:ascii="Times New Roman"/>
          <w:b/>
          <w:color w:val="161616"/>
          <w:spacing w:val="-4"/>
          <w:w w:val="105"/>
          <w:sz w:val="18"/>
        </w:rPr>
        <w:t>in</w:t>
      </w:r>
      <w:r>
        <w:rPr>
          <w:rFonts w:ascii="Times New Roman"/>
          <w:b/>
          <w:color w:val="3F3F3F"/>
          <w:spacing w:val="-4"/>
          <w:w w:val="105"/>
          <w:sz w:val="18"/>
        </w:rPr>
        <w:t>c</w:t>
      </w:r>
      <w:r>
        <w:rPr>
          <w:rFonts w:ascii="Times New Roman"/>
          <w:b/>
          <w:color w:val="010101"/>
          <w:spacing w:val="-4"/>
          <w:w w:val="105"/>
          <w:sz w:val="18"/>
        </w:rPr>
        <w:t>. </w:t>
      </w:r>
      <w:r>
        <w:rPr>
          <w:rFonts w:ascii="Times New Roman"/>
          <w:b/>
          <w:color w:val="262626"/>
          <w:w w:val="105"/>
          <w:sz w:val="18"/>
        </w:rPr>
        <w:t>tran</w:t>
      </w:r>
      <w:r>
        <w:rPr>
          <w:rFonts w:ascii="Times New Roman"/>
          <w:b/>
          <w:color w:val="3F3F3F"/>
          <w:w w:val="105"/>
          <w:sz w:val="18"/>
        </w:rPr>
        <w:t>s</w:t>
      </w:r>
      <w:r>
        <w:rPr>
          <w:rFonts w:ascii="Times New Roman"/>
          <w:b/>
          <w:color w:val="161616"/>
          <w:w w:val="105"/>
          <w:sz w:val="18"/>
        </w:rPr>
        <w:t>fers </w:t>
      </w:r>
      <w:r>
        <w:rPr>
          <w:rFonts w:ascii="Times New Roman"/>
          <w:b/>
          <w:color w:val="262626"/>
          <w:w w:val="105"/>
          <w:sz w:val="18"/>
        </w:rPr>
        <w:t>Expenditure</w:t>
      </w:r>
    </w:p>
    <w:p>
      <w:pPr>
        <w:spacing w:line="256" w:lineRule="auto" w:before="0"/>
        <w:ind w:left="950" w:right="8" w:firstLine="0"/>
        <w:jc w:val="left"/>
        <w:rPr>
          <w:rFonts w:ascii="Times New Roman"/>
          <w:b/>
          <w:sz w:val="18"/>
        </w:rPr>
      </w:pPr>
      <w:r>
        <w:rPr>
          <w:rFonts w:ascii="Times New Roman"/>
          <w:b/>
          <w:color w:val="262626"/>
          <w:w w:val="105"/>
          <w:sz w:val="18"/>
        </w:rPr>
        <w:t>Income </w:t>
      </w:r>
      <w:r>
        <w:rPr>
          <w:rFonts w:ascii="Times New Roman"/>
          <w:b/>
          <w:color w:val="161616"/>
          <w:w w:val="105"/>
          <w:sz w:val="18"/>
        </w:rPr>
        <w:t>inc.</w:t>
      </w:r>
      <w:r>
        <w:rPr>
          <w:rFonts w:ascii="Times New Roman"/>
          <w:b/>
          <w:color w:val="161616"/>
          <w:spacing w:val="-20"/>
          <w:w w:val="105"/>
          <w:sz w:val="18"/>
        </w:rPr>
        <w:t> </w:t>
      </w:r>
      <w:r>
        <w:rPr>
          <w:rFonts w:ascii="Times New Roman"/>
          <w:b/>
          <w:color w:val="262626"/>
          <w:w w:val="105"/>
          <w:sz w:val="18"/>
        </w:rPr>
        <w:t>t</w:t>
      </w:r>
      <w:r>
        <w:rPr>
          <w:rFonts w:ascii="Times New Roman"/>
          <w:b/>
          <w:color w:val="3F3F3F"/>
          <w:w w:val="105"/>
          <w:sz w:val="18"/>
        </w:rPr>
        <w:t>r</w:t>
      </w:r>
      <w:r>
        <w:rPr>
          <w:rFonts w:ascii="Times New Roman"/>
          <w:b/>
          <w:color w:val="262626"/>
          <w:w w:val="105"/>
          <w:sz w:val="18"/>
        </w:rPr>
        <w:t>an</w:t>
      </w:r>
      <w:r>
        <w:rPr>
          <w:rFonts w:ascii="Times New Roman"/>
          <w:b/>
          <w:color w:val="3F3F3F"/>
          <w:w w:val="105"/>
          <w:sz w:val="18"/>
        </w:rPr>
        <w:t>s</w:t>
      </w:r>
      <w:r>
        <w:rPr>
          <w:rFonts w:ascii="Times New Roman"/>
          <w:b/>
          <w:color w:val="262626"/>
          <w:w w:val="105"/>
          <w:sz w:val="18"/>
        </w:rPr>
        <w:t>fer</w:t>
      </w:r>
      <w:r>
        <w:rPr>
          <w:rFonts w:ascii="Times New Roman"/>
          <w:b/>
          <w:color w:val="3F3F3F"/>
          <w:w w:val="105"/>
          <w:sz w:val="18"/>
        </w:rPr>
        <w:t>s Ex</w:t>
      </w:r>
      <w:r>
        <w:rPr>
          <w:rFonts w:ascii="Times New Roman"/>
          <w:b/>
          <w:color w:val="161616"/>
          <w:w w:val="105"/>
          <w:sz w:val="18"/>
        </w:rPr>
        <w:t>penditure</w:t>
      </w:r>
    </w:p>
    <w:p>
      <w:pPr>
        <w:pStyle w:val="BodyText"/>
        <w:spacing w:before="10"/>
        <w:rPr>
          <w:rFonts w:ascii="Times New Roman"/>
          <w:b/>
          <w:sz w:val="19"/>
        </w:rPr>
      </w:pPr>
      <w:r>
        <w:rPr/>
        <w:br w:type="column"/>
      </w:r>
      <w:r>
        <w:rPr>
          <w:rFonts w:ascii="Times New Roman"/>
          <w:b/>
          <w:sz w:val="19"/>
        </w:rPr>
      </w:r>
    </w:p>
    <w:p>
      <w:pPr>
        <w:spacing w:before="0"/>
        <w:ind w:left="710" w:right="642" w:firstLine="0"/>
        <w:jc w:val="center"/>
        <w:rPr>
          <w:rFonts w:ascii="Times New Roman" w:hAnsi="Times New Roman"/>
          <w:b/>
          <w:sz w:val="18"/>
        </w:rPr>
      </w:pPr>
      <w:r>
        <w:rPr>
          <w:rFonts w:ascii="Times New Roman" w:hAnsi="Times New Roman"/>
          <w:b/>
          <w:color w:val="262626"/>
          <w:w w:val="110"/>
          <w:sz w:val="18"/>
        </w:rPr>
        <w:t>£43k</w:t>
      </w:r>
    </w:p>
    <w:p>
      <w:pPr>
        <w:spacing w:before="14"/>
        <w:ind w:left="710" w:right="642" w:firstLine="0"/>
        <w:jc w:val="center"/>
        <w:rPr>
          <w:rFonts w:ascii="Times New Roman" w:hAnsi="Times New Roman"/>
          <w:b/>
          <w:sz w:val="18"/>
        </w:rPr>
      </w:pPr>
      <w:r>
        <w:rPr>
          <w:rFonts w:ascii="Times New Roman" w:hAnsi="Times New Roman"/>
          <w:b/>
          <w:color w:val="262626"/>
          <w:w w:val="110"/>
          <w:sz w:val="18"/>
        </w:rPr>
        <w:t>£66k</w:t>
      </w:r>
    </w:p>
    <w:p>
      <w:pPr>
        <w:spacing w:before="14"/>
        <w:ind w:left="710" w:right="737" w:firstLine="0"/>
        <w:jc w:val="center"/>
        <w:rPr>
          <w:rFonts w:ascii="Times New Roman" w:hAnsi="Times New Roman"/>
          <w:b/>
          <w:sz w:val="18"/>
        </w:rPr>
      </w:pPr>
      <w:r>
        <w:rPr>
          <w:rFonts w:ascii="Times New Roman" w:hAnsi="Times New Roman"/>
          <w:b/>
          <w:color w:val="262626"/>
          <w:w w:val="110"/>
          <w:sz w:val="18"/>
        </w:rPr>
        <w:t>£164k</w:t>
      </w:r>
    </w:p>
    <w:p>
      <w:pPr>
        <w:spacing w:before="15"/>
        <w:ind w:left="709" w:right="739" w:firstLine="0"/>
        <w:jc w:val="center"/>
        <w:rPr>
          <w:rFonts w:ascii="Times New Roman" w:hAnsi="Times New Roman"/>
          <w:b/>
          <w:sz w:val="18"/>
        </w:rPr>
      </w:pPr>
      <w:r>
        <w:rPr>
          <w:rFonts w:ascii="Times New Roman" w:hAnsi="Times New Roman"/>
          <w:b/>
          <w:color w:val="3F3F3F"/>
          <w:w w:val="110"/>
          <w:sz w:val="18"/>
        </w:rPr>
        <w:t>£</w:t>
      </w:r>
      <w:r>
        <w:rPr>
          <w:rFonts w:ascii="Times New Roman" w:hAnsi="Times New Roman"/>
          <w:b/>
          <w:color w:val="161616"/>
          <w:w w:val="110"/>
          <w:sz w:val="18"/>
        </w:rPr>
        <w:t>444k</w:t>
      </w:r>
    </w:p>
    <w:p>
      <w:pPr>
        <w:spacing w:after="0"/>
        <w:jc w:val="center"/>
        <w:rPr>
          <w:rFonts w:ascii="Times New Roman" w:hAnsi="Times New Roman"/>
          <w:sz w:val="18"/>
        </w:rPr>
        <w:sectPr>
          <w:type w:val="continuous"/>
          <w:pgSz w:w="10950" w:h="15880"/>
          <w:pgMar w:top="680" w:bottom="280" w:left="500" w:right="0"/>
          <w:cols w:num="3" w:equalWidth="0">
            <w:col w:w="3883" w:space="1866"/>
            <w:col w:w="2664" w:space="39"/>
            <w:col w:w="1998"/>
          </w:cols>
        </w:sectPr>
      </w:pPr>
    </w:p>
    <w:p>
      <w:pPr>
        <w:pStyle w:val="BodyText"/>
        <w:spacing w:line="256" w:lineRule="auto" w:before="105"/>
        <w:ind w:left="976" w:right="933"/>
        <w:jc w:val="both"/>
        <w:rPr>
          <w:rFonts w:ascii="Times New Roman"/>
        </w:rPr>
      </w:pPr>
      <w:r>
        <w:rPr>
          <w:rFonts w:ascii="Times New Roman"/>
          <w:color w:val="3F3F3F"/>
          <w:w w:val="105"/>
        </w:rPr>
        <w:t>These funds are used to supp </w:t>
      </w:r>
      <w:r>
        <w:rPr>
          <w:rFonts w:ascii="Times New Roman"/>
          <w:color w:val="262626"/>
          <w:w w:val="105"/>
        </w:rPr>
        <w:t>l</w:t>
      </w:r>
      <w:r>
        <w:rPr>
          <w:rFonts w:ascii="Times New Roman"/>
          <w:color w:val="3F3F3F"/>
          <w:w w:val="105"/>
        </w:rPr>
        <w:t>ement the </w:t>
      </w:r>
      <w:r>
        <w:rPr>
          <w:rFonts w:ascii="Times New Roman"/>
          <w:color w:val="262626"/>
          <w:w w:val="105"/>
        </w:rPr>
        <w:t>p</w:t>
      </w:r>
      <w:r>
        <w:rPr>
          <w:rFonts w:ascii="Times New Roman"/>
          <w:color w:val="3F3F3F"/>
          <w:w w:val="105"/>
        </w:rPr>
        <w:t>ensions paid to ministers and ministers' widow/ers, principa</w:t>
      </w:r>
      <w:r>
        <w:rPr>
          <w:rFonts w:ascii="Times New Roman"/>
          <w:color w:val="262626"/>
          <w:w w:val="105"/>
        </w:rPr>
        <w:t>ll</w:t>
      </w:r>
      <w:r>
        <w:rPr>
          <w:rFonts w:ascii="Times New Roman"/>
          <w:color w:val="3F3F3F"/>
          <w:w w:val="105"/>
        </w:rPr>
        <w:t>y by upgrading the pens</w:t>
      </w:r>
      <w:r>
        <w:rPr>
          <w:rFonts w:ascii="Times New Roman"/>
          <w:color w:val="262626"/>
          <w:w w:val="105"/>
        </w:rPr>
        <w:t>i</w:t>
      </w:r>
      <w:r>
        <w:rPr>
          <w:rFonts w:ascii="Times New Roman"/>
          <w:color w:val="3F3F3F"/>
          <w:w w:val="105"/>
        </w:rPr>
        <w:t>ons of former ministers of the Congregational Church and the Churches of Christ and the widow</w:t>
      </w:r>
      <w:r>
        <w:rPr>
          <w:rFonts w:ascii="Times New Roman"/>
          <w:color w:val="5D5D5D"/>
          <w:w w:val="105"/>
        </w:rPr>
        <w:t>/</w:t>
      </w:r>
      <w:r>
        <w:rPr>
          <w:rFonts w:ascii="Times New Roman"/>
          <w:color w:val="3F3F3F"/>
          <w:w w:val="105"/>
        </w:rPr>
        <w:t>e</w:t>
      </w:r>
      <w:r>
        <w:rPr>
          <w:rFonts w:ascii="Times New Roman"/>
          <w:color w:val="262626"/>
          <w:w w:val="105"/>
        </w:rPr>
        <w:t>r</w:t>
      </w:r>
      <w:r>
        <w:rPr>
          <w:rFonts w:ascii="Times New Roman"/>
          <w:color w:val="3F3F3F"/>
          <w:w w:val="105"/>
        </w:rPr>
        <w:t>s of such ministers to a level of 95% o</w:t>
      </w:r>
      <w:r>
        <w:rPr>
          <w:rFonts w:ascii="Times New Roman"/>
          <w:color w:val="262626"/>
          <w:w w:val="105"/>
        </w:rPr>
        <w:t>f </w:t>
      </w:r>
      <w:r>
        <w:rPr>
          <w:rFonts w:ascii="Times New Roman"/>
          <w:color w:val="3F3F3F"/>
          <w:w w:val="105"/>
        </w:rPr>
        <w:t>the pension that would have </w:t>
      </w:r>
      <w:r>
        <w:rPr>
          <w:rFonts w:ascii="Times New Roman"/>
          <w:color w:val="262626"/>
          <w:w w:val="105"/>
        </w:rPr>
        <w:t>b</w:t>
      </w:r>
      <w:r>
        <w:rPr>
          <w:rFonts w:ascii="Times New Roman"/>
          <w:color w:val="3F3F3F"/>
          <w:w w:val="105"/>
        </w:rPr>
        <w:t>een paid if the minister's service had been to the former Presbyte</w:t>
      </w:r>
      <w:r>
        <w:rPr>
          <w:rFonts w:ascii="Times New Roman"/>
          <w:color w:val="262626"/>
          <w:w w:val="105"/>
        </w:rPr>
        <w:t>r</w:t>
      </w:r>
      <w:r>
        <w:rPr>
          <w:rFonts w:ascii="Times New Roman"/>
          <w:color w:val="3F3F3F"/>
          <w:w w:val="105"/>
        </w:rPr>
        <w:t>ian Church, and also to pay certain ill</w:t>
      </w:r>
      <w:r>
        <w:rPr>
          <w:rFonts w:ascii="Times New Roman"/>
          <w:color w:val="010101"/>
          <w:w w:val="105"/>
        </w:rPr>
        <w:t>-</w:t>
      </w:r>
      <w:r>
        <w:rPr>
          <w:rFonts w:ascii="Times New Roman"/>
          <w:color w:val="3F3F3F"/>
          <w:w w:val="105"/>
        </w:rPr>
        <w:t>health </w:t>
      </w:r>
      <w:r>
        <w:rPr>
          <w:rFonts w:ascii="Times New Roman"/>
          <w:color w:val="262626"/>
          <w:w w:val="105"/>
        </w:rPr>
        <w:t>e</w:t>
      </w:r>
      <w:r>
        <w:rPr>
          <w:rFonts w:ascii="Times New Roman"/>
          <w:color w:val="3F3F3F"/>
          <w:w w:val="105"/>
        </w:rPr>
        <w:t>a</w:t>
      </w:r>
      <w:r>
        <w:rPr>
          <w:rFonts w:ascii="Times New Roman"/>
          <w:color w:val="262626"/>
          <w:w w:val="105"/>
        </w:rPr>
        <w:t>rl</w:t>
      </w:r>
      <w:r>
        <w:rPr>
          <w:rFonts w:ascii="Times New Roman"/>
          <w:color w:val="3F3F3F"/>
          <w:w w:val="105"/>
        </w:rPr>
        <w:t>y retirement pens</w:t>
      </w:r>
      <w:r>
        <w:rPr>
          <w:rFonts w:ascii="Times New Roman"/>
          <w:color w:val="262626"/>
          <w:w w:val="105"/>
        </w:rPr>
        <w:t>i</w:t>
      </w:r>
      <w:r>
        <w:rPr>
          <w:rFonts w:ascii="Times New Roman"/>
          <w:color w:val="3F3F3F"/>
          <w:w w:val="105"/>
        </w:rPr>
        <w:t>ons</w:t>
      </w:r>
      <w:r>
        <w:rPr>
          <w:rFonts w:ascii="Times New Roman"/>
          <w:color w:val="161616"/>
          <w:w w:val="105"/>
        </w:rPr>
        <w:t>. </w:t>
      </w:r>
      <w:r>
        <w:rPr>
          <w:rFonts w:ascii="Times New Roman"/>
          <w:color w:val="3F3F3F"/>
          <w:w w:val="105"/>
        </w:rPr>
        <w:t>The balances shown for these fun</w:t>
      </w:r>
      <w:r>
        <w:rPr>
          <w:rFonts w:ascii="Times New Roman"/>
          <w:color w:val="262626"/>
          <w:w w:val="105"/>
        </w:rPr>
        <w:t>d</w:t>
      </w:r>
      <w:r>
        <w:rPr>
          <w:rFonts w:ascii="Times New Roman"/>
          <w:color w:val="3F3F3F"/>
          <w:w w:val="105"/>
        </w:rPr>
        <w:t>s a</w:t>
      </w:r>
      <w:r>
        <w:rPr>
          <w:rFonts w:ascii="Times New Roman"/>
          <w:color w:val="262626"/>
          <w:w w:val="105"/>
        </w:rPr>
        <w:t>r</w:t>
      </w:r>
      <w:r>
        <w:rPr>
          <w:rFonts w:ascii="Times New Roman"/>
          <w:color w:val="3F3F3F"/>
          <w:w w:val="105"/>
        </w:rPr>
        <w:t>e </w:t>
      </w:r>
      <w:r>
        <w:rPr>
          <w:rFonts w:ascii="Times New Roman"/>
          <w:color w:val="262626"/>
          <w:w w:val="105"/>
        </w:rPr>
        <w:t>n</w:t>
      </w:r>
      <w:r>
        <w:rPr>
          <w:rFonts w:ascii="Times New Roman"/>
          <w:color w:val="3F3F3F"/>
          <w:w w:val="105"/>
        </w:rPr>
        <w:t>ow afte</w:t>
      </w:r>
      <w:r>
        <w:rPr>
          <w:rFonts w:ascii="Times New Roman"/>
          <w:color w:val="262626"/>
          <w:w w:val="105"/>
        </w:rPr>
        <w:t>r </w:t>
      </w:r>
      <w:r>
        <w:rPr>
          <w:rFonts w:ascii="Times New Roman"/>
          <w:color w:val="3F3F3F"/>
          <w:w w:val="105"/>
        </w:rPr>
        <w:t>deduct</w:t>
      </w:r>
      <w:r>
        <w:rPr>
          <w:rFonts w:ascii="Times New Roman"/>
          <w:color w:val="161616"/>
          <w:w w:val="105"/>
        </w:rPr>
        <w:t>i</w:t>
      </w:r>
      <w:r>
        <w:rPr>
          <w:rFonts w:ascii="Times New Roman"/>
          <w:color w:val="3F3F3F"/>
          <w:w w:val="105"/>
        </w:rPr>
        <w:t>ng </w:t>
      </w:r>
      <w:r>
        <w:rPr>
          <w:rFonts w:ascii="Times New Roman"/>
          <w:color w:val="262626"/>
          <w:w w:val="105"/>
        </w:rPr>
        <w:t>t</w:t>
      </w:r>
      <w:r>
        <w:rPr>
          <w:rFonts w:ascii="Times New Roman"/>
          <w:color w:val="3F3F3F"/>
          <w:w w:val="105"/>
        </w:rPr>
        <w:t>he actuarially assessed cost of the Church's constructive ob</w:t>
      </w:r>
      <w:r>
        <w:rPr>
          <w:rFonts w:ascii="Times New Roman"/>
          <w:color w:val="262626"/>
          <w:w w:val="105"/>
        </w:rPr>
        <w:t>l</w:t>
      </w:r>
      <w:r>
        <w:rPr>
          <w:rFonts w:ascii="Times New Roman"/>
          <w:color w:val="3F3F3F"/>
          <w:w w:val="105"/>
        </w:rPr>
        <w:t>igation to contin</w:t>
      </w:r>
      <w:r>
        <w:rPr>
          <w:rFonts w:ascii="Times New Roman"/>
          <w:color w:val="262626"/>
          <w:w w:val="105"/>
        </w:rPr>
        <w:t>u</w:t>
      </w:r>
      <w:r>
        <w:rPr>
          <w:rFonts w:ascii="Times New Roman"/>
          <w:color w:val="3F3F3F"/>
          <w:w w:val="105"/>
        </w:rPr>
        <w:t>e making these </w:t>
      </w:r>
      <w:r>
        <w:rPr>
          <w:rFonts w:ascii="Times New Roman"/>
          <w:color w:val="262626"/>
          <w:w w:val="105"/>
        </w:rPr>
        <w:t>p</w:t>
      </w:r>
      <w:r>
        <w:rPr>
          <w:rFonts w:ascii="Times New Roman"/>
          <w:color w:val="3F3F3F"/>
          <w:w w:val="105"/>
        </w:rPr>
        <w:t>ayments.</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3"/>
        <w:rPr>
          <w:rFonts w:ascii="Times New Roman"/>
          <w:sz w:val="19"/>
        </w:rPr>
      </w:pPr>
    </w:p>
    <w:p>
      <w:pPr>
        <w:tabs>
          <w:tab w:pos="6699" w:val="left" w:leader="none"/>
        </w:tabs>
        <w:spacing w:line="256" w:lineRule="auto" w:before="0"/>
        <w:ind w:left="6699" w:right="38" w:hanging="5748"/>
        <w:jc w:val="left"/>
        <w:rPr>
          <w:rFonts w:ascii="Times New Roman" w:hAnsi="Times New Roman"/>
          <w:b/>
          <w:sz w:val="18"/>
        </w:rPr>
      </w:pPr>
      <w:r>
        <w:rPr>
          <w:rFonts w:ascii="Times New Roman" w:hAnsi="Times New Roman"/>
          <w:b/>
          <w:color w:val="262626"/>
          <w:w w:val="110"/>
          <w:sz w:val="18"/>
        </w:rPr>
        <w:t>World</w:t>
      </w:r>
      <w:r>
        <w:rPr>
          <w:rFonts w:ascii="Times New Roman" w:hAnsi="Times New Roman"/>
          <w:b/>
          <w:color w:val="262626"/>
          <w:spacing w:val="-28"/>
          <w:w w:val="110"/>
          <w:sz w:val="18"/>
        </w:rPr>
        <w:t> </w:t>
      </w:r>
      <w:r>
        <w:rPr>
          <w:rFonts w:ascii="Times New Roman" w:hAnsi="Times New Roman"/>
          <w:b/>
          <w:color w:val="262626"/>
          <w:w w:val="110"/>
          <w:sz w:val="18"/>
        </w:rPr>
        <w:t>Church</w:t>
      </w:r>
      <w:r>
        <w:rPr>
          <w:rFonts w:ascii="Times New Roman" w:hAnsi="Times New Roman"/>
          <w:b/>
          <w:color w:val="262626"/>
          <w:spacing w:val="-27"/>
          <w:w w:val="110"/>
          <w:sz w:val="18"/>
        </w:rPr>
        <w:t> </w:t>
      </w:r>
      <w:r>
        <w:rPr>
          <w:rFonts w:ascii="Times New Roman" w:hAnsi="Times New Roman"/>
          <w:b/>
          <w:color w:val="262626"/>
          <w:w w:val="110"/>
          <w:sz w:val="18"/>
        </w:rPr>
        <w:t>and</w:t>
      </w:r>
      <w:r>
        <w:rPr>
          <w:rFonts w:ascii="Times New Roman" w:hAnsi="Times New Roman"/>
          <w:b/>
          <w:color w:val="262626"/>
          <w:spacing w:val="-28"/>
          <w:w w:val="110"/>
          <w:sz w:val="18"/>
        </w:rPr>
        <w:t> </w:t>
      </w:r>
      <w:r>
        <w:rPr>
          <w:rFonts w:ascii="Times New Roman" w:hAnsi="Times New Roman"/>
          <w:b/>
          <w:color w:val="262626"/>
          <w:w w:val="110"/>
          <w:sz w:val="18"/>
        </w:rPr>
        <w:t>Mi</w:t>
      </w:r>
      <w:r>
        <w:rPr>
          <w:rFonts w:ascii="Times New Roman" w:hAnsi="Times New Roman"/>
          <w:b/>
          <w:color w:val="3F3F3F"/>
          <w:w w:val="110"/>
          <w:sz w:val="18"/>
        </w:rPr>
        <w:t>ss</w:t>
      </w:r>
      <w:r>
        <w:rPr>
          <w:rFonts w:ascii="Times New Roman" w:hAnsi="Times New Roman"/>
          <w:b/>
          <w:color w:val="161616"/>
          <w:w w:val="110"/>
          <w:sz w:val="18"/>
        </w:rPr>
        <w:t>ion</w:t>
      </w:r>
      <w:r>
        <w:rPr>
          <w:rFonts w:ascii="Times New Roman" w:hAnsi="Times New Roman"/>
          <w:b/>
          <w:color w:val="161616"/>
          <w:spacing w:val="-28"/>
          <w:w w:val="110"/>
          <w:sz w:val="18"/>
        </w:rPr>
        <w:t> </w:t>
      </w:r>
      <w:r>
        <w:rPr>
          <w:rFonts w:ascii="Times New Roman" w:hAnsi="Times New Roman"/>
          <w:b/>
          <w:color w:val="262626"/>
          <w:w w:val="110"/>
          <w:sz w:val="18"/>
        </w:rPr>
        <w:t>Fund</w:t>
      </w:r>
      <w:r>
        <w:rPr>
          <w:rFonts w:ascii="Times New Roman" w:hAnsi="Times New Roman"/>
          <w:b/>
          <w:color w:val="3F3F3F"/>
          <w:w w:val="110"/>
          <w:sz w:val="18"/>
        </w:rPr>
        <w:t>s:</w:t>
      </w:r>
      <w:r>
        <w:rPr>
          <w:rFonts w:ascii="Times New Roman" w:hAnsi="Times New Roman"/>
          <w:b/>
          <w:color w:val="3F3F3F"/>
          <w:spacing w:val="-24"/>
          <w:w w:val="110"/>
          <w:sz w:val="18"/>
        </w:rPr>
        <w:t> </w:t>
      </w:r>
      <w:r>
        <w:rPr>
          <w:rFonts w:ascii="Times New Roman" w:hAnsi="Times New Roman"/>
          <w:b/>
          <w:color w:val="262626"/>
          <w:w w:val="110"/>
          <w:sz w:val="18"/>
        </w:rPr>
        <w:t>£820k</w:t>
        <w:tab/>
      </w:r>
      <w:r>
        <w:rPr>
          <w:rFonts w:ascii="Times New Roman" w:hAnsi="Times New Roman"/>
          <w:b/>
          <w:color w:val="262626"/>
          <w:spacing w:val="-8"/>
          <w:w w:val="110"/>
          <w:sz w:val="18"/>
        </w:rPr>
        <w:t>Incom</w:t>
      </w:r>
      <w:r>
        <w:rPr>
          <w:rFonts w:ascii="Times New Roman" w:hAnsi="Times New Roman"/>
          <w:b/>
          <w:color w:val="3F3F3F"/>
          <w:spacing w:val="-8"/>
          <w:w w:val="110"/>
          <w:sz w:val="18"/>
        </w:rPr>
        <w:t>e </w:t>
      </w:r>
      <w:r>
        <w:rPr>
          <w:rFonts w:ascii="Times New Roman" w:hAnsi="Times New Roman"/>
          <w:b/>
          <w:color w:val="3F3F3F"/>
          <w:spacing w:val="-7"/>
          <w:w w:val="110"/>
          <w:sz w:val="18"/>
        </w:rPr>
        <w:t>E</w:t>
      </w:r>
      <w:r>
        <w:rPr>
          <w:rFonts w:ascii="Times New Roman" w:hAnsi="Times New Roman"/>
          <w:b/>
          <w:color w:val="262626"/>
          <w:spacing w:val="-7"/>
          <w:w w:val="110"/>
          <w:sz w:val="18"/>
        </w:rPr>
        <w:t>xpenditur</w:t>
      </w:r>
      <w:r>
        <w:rPr>
          <w:rFonts w:ascii="Times New Roman" w:hAnsi="Times New Roman"/>
          <w:b/>
          <w:color w:val="3F3F3F"/>
          <w:spacing w:val="-7"/>
          <w:w w:val="110"/>
          <w:sz w:val="18"/>
        </w:rPr>
        <w:t>e</w:t>
      </w:r>
    </w:p>
    <w:p>
      <w:pPr>
        <w:pStyle w:val="BodyText"/>
        <w:spacing w:before="3"/>
        <w:rPr>
          <w:rFonts w:ascii="Times New Roman"/>
          <w:b/>
          <w:sz w:val="19"/>
        </w:rPr>
      </w:pPr>
      <w:r>
        <w:rPr/>
        <w:br w:type="column"/>
      </w:r>
      <w:r>
        <w:rPr>
          <w:rFonts w:ascii="Times New Roman"/>
          <w:b/>
          <w:sz w:val="19"/>
        </w:rPr>
      </w:r>
    </w:p>
    <w:p>
      <w:pPr>
        <w:spacing w:before="0"/>
        <w:ind w:left="937" w:right="756" w:firstLine="0"/>
        <w:jc w:val="center"/>
        <w:rPr>
          <w:rFonts w:ascii="Times New Roman" w:hAnsi="Times New Roman"/>
          <w:b/>
          <w:sz w:val="18"/>
        </w:rPr>
      </w:pPr>
      <w:r>
        <w:rPr>
          <w:rFonts w:ascii="Times New Roman" w:hAnsi="Times New Roman"/>
          <w:b/>
          <w:color w:val="262626"/>
          <w:w w:val="105"/>
          <w:sz w:val="18"/>
        </w:rPr>
        <w:t>£32k</w:t>
      </w:r>
    </w:p>
    <w:p>
      <w:pPr>
        <w:spacing w:before="14"/>
        <w:ind w:left="937" w:right="756" w:firstLine="0"/>
        <w:jc w:val="center"/>
        <w:rPr>
          <w:rFonts w:ascii="Times New Roman" w:hAnsi="Times New Roman"/>
          <w:b/>
          <w:sz w:val="18"/>
        </w:rPr>
      </w:pPr>
      <w:r>
        <w:rPr>
          <w:rFonts w:ascii="Times New Roman" w:hAnsi="Times New Roman"/>
          <w:b/>
          <w:color w:val="262626"/>
          <w:w w:val="105"/>
          <w:sz w:val="18"/>
        </w:rPr>
        <w:t>£32k</w:t>
      </w:r>
    </w:p>
    <w:p>
      <w:pPr>
        <w:spacing w:after="0"/>
        <w:jc w:val="center"/>
        <w:rPr>
          <w:rFonts w:ascii="Times New Roman" w:hAnsi="Times New Roman"/>
          <w:sz w:val="18"/>
        </w:rPr>
        <w:sectPr>
          <w:type w:val="continuous"/>
          <w:pgSz w:w="10950" w:h="15880"/>
          <w:pgMar w:top="680" w:bottom="280" w:left="500" w:right="0"/>
          <w:cols w:num="2" w:equalWidth="0">
            <w:col w:w="7740" w:space="588"/>
            <w:col w:w="2122"/>
          </w:cols>
        </w:sectPr>
      </w:pPr>
    </w:p>
    <w:p>
      <w:pPr>
        <w:pStyle w:val="BodyText"/>
        <w:spacing w:line="256" w:lineRule="auto" w:before="105"/>
        <w:ind w:left="976" w:right="946" w:firstLine="1"/>
        <w:jc w:val="both"/>
        <w:rPr>
          <w:rFonts w:ascii="Times New Roman"/>
        </w:rPr>
      </w:pPr>
      <w:r>
        <w:rPr>
          <w:rFonts w:ascii="Times New Roman"/>
          <w:color w:val="3F3F3F"/>
          <w:w w:val="105"/>
        </w:rPr>
        <w:t>These funds are used by the Ecumenical Committee under the </w:t>
      </w:r>
      <w:r>
        <w:rPr>
          <w:rFonts w:ascii="Times New Roman"/>
          <w:color w:val="262626"/>
          <w:w w:val="105"/>
        </w:rPr>
        <w:t>"</w:t>
      </w:r>
      <w:r>
        <w:rPr>
          <w:rFonts w:ascii="Times New Roman"/>
          <w:color w:val="3F3F3F"/>
          <w:w w:val="105"/>
        </w:rPr>
        <w:t>Belonging to the World Church" programme and for other purposes</w:t>
      </w:r>
      <w:r>
        <w:rPr>
          <w:rFonts w:ascii="Times New Roman"/>
          <w:color w:val="5D5D5D"/>
          <w:w w:val="105"/>
        </w:rPr>
        <w:t>, </w:t>
      </w:r>
      <w:r>
        <w:rPr>
          <w:rFonts w:ascii="Times New Roman"/>
          <w:color w:val="3F3F3F"/>
          <w:w w:val="105"/>
        </w:rPr>
        <w:t>as the terms of the trust permit.</w:t>
      </w:r>
    </w:p>
    <w:p>
      <w:pPr>
        <w:pStyle w:val="BodyText"/>
        <w:rPr>
          <w:rFonts w:ascii="Times New Roman"/>
          <w:sz w:val="20"/>
        </w:rPr>
      </w:pPr>
    </w:p>
    <w:p>
      <w:pPr>
        <w:pStyle w:val="BodyText"/>
        <w:spacing w:before="6"/>
        <w:rPr>
          <w:rFonts w:ascii="Times New Roman"/>
        </w:rPr>
      </w:pPr>
    </w:p>
    <w:p>
      <w:pPr>
        <w:spacing w:line="513" w:lineRule="auto" w:before="0"/>
        <w:ind w:left="952" w:right="6797" w:hanging="10"/>
        <w:jc w:val="both"/>
        <w:rPr>
          <w:rFonts w:ascii="Times New Roman" w:hAnsi="Times New Roman"/>
          <w:b/>
          <w:sz w:val="18"/>
        </w:rPr>
      </w:pPr>
      <w:r>
        <w:rPr>
          <w:rFonts w:ascii="Times New Roman" w:hAnsi="Times New Roman"/>
          <w:b/>
          <w:color w:val="262626"/>
          <w:w w:val="105"/>
          <w:sz w:val="18"/>
        </w:rPr>
        <w:t>Windermere Centr</w:t>
      </w:r>
      <w:r>
        <w:rPr>
          <w:rFonts w:ascii="Times New Roman" w:hAnsi="Times New Roman"/>
          <w:b/>
          <w:color w:val="3F3F3F"/>
          <w:w w:val="105"/>
          <w:sz w:val="18"/>
        </w:rPr>
        <w:t>e </w:t>
      </w:r>
      <w:r>
        <w:rPr>
          <w:rFonts w:ascii="Times New Roman" w:hAnsi="Times New Roman"/>
          <w:b/>
          <w:color w:val="262626"/>
          <w:w w:val="105"/>
          <w:sz w:val="18"/>
        </w:rPr>
        <w:t>Fund</w:t>
      </w:r>
      <w:r>
        <w:rPr>
          <w:rFonts w:ascii="Times New Roman" w:hAnsi="Times New Roman"/>
          <w:b/>
          <w:color w:val="3F3F3F"/>
          <w:w w:val="105"/>
          <w:sz w:val="18"/>
        </w:rPr>
        <w:t>: </w:t>
      </w:r>
      <w:r>
        <w:rPr>
          <w:rFonts w:ascii="Times New Roman" w:hAnsi="Times New Roman"/>
          <w:b/>
          <w:color w:val="262626"/>
          <w:w w:val="105"/>
          <w:sz w:val="18"/>
        </w:rPr>
        <w:t>£346k Yardley Hasting</w:t>
      </w:r>
      <w:r>
        <w:rPr>
          <w:rFonts w:ascii="Times New Roman" w:hAnsi="Times New Roman"/>
          <w:b/>
          <w:color w:val="3F3F3F"/>
          <w:w w:val="105"/>
          <w:sz w:val="18"/>
        </w:rPr>
        <w:t>s </w:t>
      </w:r>
      <w:r>
        <w:rPr>
          <w:rFonts w:ascii="Times New Roman" w:hAnsi="Times New Roman"/>
          <w:b/>
          <w:color w:val="262626"/>
          <w:w w:val="105"/>
          <w:sz w:val="18"/>
        </w:rPr>
        <w:t>Fund: £590k</w:t>
      </w:r>
    </w:p>
    <w:p>
      <w:pPr>
        <w:pStyle w:val="BodyText"/>
        <w:spacing w:line="259" w:lineRule="auto" w:before="105"/>
        <w:ind w:left="970" w:right="952" w:hanging="3"/>
        <w:jc w:val="both"/>
        <w:rPr>
          <w:rFonts w:ascii="Times New Roman"/>
        </w:rPr>
      </w:pPr>
      <w:r>
        <w:rPr>
          <w:rFonts w:ascii="Times New Roman"/>
          <w:color w:val="3F3F3F"/>
          <w:w w:val="105"/>
        </w:rPr>
        <w:t>These funds we</w:t>
      </w:r>
      <w:r>
        <w:rPr>
          <w:rFonts w:ascii="Times New Roman"/>
          <w:color w:val="262626"/>
          <w:w w:val="105"/>
        </w:rPr>
        <w:t>re </w:t>
      </w:r>
      <w:r>
        <w:rPr>
          <w:rFonts w:ascii="Times New Roman"/>
          <w:color w:val="3F3F3F"/>
          <w:w w:val="105"/>
        </w:rPr>
        <w:t>raised to deve</w:t>
      </w:r>
      <w:r>
        <w:rPr>
          <w:rFonts w:ascii="Times New Roman"/>
          <w:color w:val="262626"/>
          <w:w w:val="105"/>
        </w:rPr>
        <w:t>l</w:t>
      </w:r>
      <w:r>
        <w:rPr>
          <w:rFonts w:ascii="Times New Roman"/>
          <w:color w:val="3F3F3F"/>
          <w:w w:val="105"/>
        </w:rPr>
        <w:t>op </w:t>
      </w:r>
      <w:r>
        <w:rPr>
          <w:rFonts w:ascii="Times New Roman"/>
          <w:color w:val="262626"/>
          <w:w w:val="105"/>
        </w:rPr>
        <w:t>t</w:t>
      </w:r>
      <w:r>
        <w:rPr>
          <w:rFonts w:ascii="Times New Roman"/>
          <w:color w:val="3F3F3F"/>
          <w:w w:val="105"/>
        </w:rPr>
        <w:t>he Wi</w:t>
      </w:r>
      <w:r>
        <w:rPr>
          <w:rFonts w:ascii="Times New Roman"/>
          <w:color w:val="262626"/>
          <w:w w:val="105"/>
        </w:rPr>
        <w:t>n</w:t>
      </w:r>
      <w:r>
        <w:rPr>
          <w:rFonts w:ascii="Times New Roman"/>
          <w:color w:val="3F3F3F"/>
          <w:w w:val="105"/>
        </w:rPr>
        <w:t>de</w:t>
      </w:r>
      <w:r>
        <w:rPr>
          <w:rFonts w:ascii="Times New Roman"/>
          <w:color w:val="262626"/>
          <w:w w:val="105"/>
        </w:rPr>
        <w:t>r</w:t>
      </w:r>
      <w:r>
        <w:rPr>
          <w:rFonts w:ascii="Times New Roman"/>
          <w:color w:val="3F3F3F"/>
          <w:w w:val="105"/>
        </w:rPr>
        <w:t>mere Centre and </w:t>
      </w:r>
      <w:r>
        <w:rPr>
          <w:rFonts w:ascii="Times New Roman"/>
          <w:color w:val="262626"/>
          <w:w w:val="105"/>
        </w:rPr>
        <w:t>t</w:t>
      </w:r>
      <w:r>
        <w:rPr>
          <w:rFonts w:ascii="Times New Roman"/>
          <w:color w:val="3F3F3F"/>
          <w:w w:val="105"/>
        </w:rPr>
        <w:t>he Yard</w:t>
      </w:r>
      <w:r>
        <w:rPr>
          <w:rFonts w:ascii="Times New Roman"/>
          <w:color w:val="262626"/>
          <w:w w:val="105"/>
        </w:rPr>
        <w:t>l</w:t>
      </w:r>
      <w:r>
        <w:rPr>
          <w:rFonts w:ascii="Times New Roman"/>
          <w:color w:val="3F3F3F"/>
          <w:w w:val="105"/>
        </w:rPr>
        <w:t>ey Hastings Centre and are mainly invested in those properties. The annual income and cos</w:t>
      </w:r>
      <w:r>
        <w:rPr>
          <w:rFonts w:ascii="Times New Roman"/>
          <w:color w:val="262626"/>
          <w:w w:val="105"/>
        </w:rPr>
        <w:t>t</w:t>
      </w:r>
      <w:r>
        <w:rPr>
          <w:rFonts w:ascii="Times New Roman"/>
          <w:color w:val="3F3F3F"/>
          <w:w w:val="105"/>
        </w:rPr>
        <w:t>s </w:t>
      </w:r>
      <w:r>
        <w:rPr>
          <w:rFonts w:ascii="Times New Roman"/>
          <w:color w:val="262626"/>
          <w:w w:val="105"/>
        </w:rPr>
        <w:t>o</w:t>
      </w:r>
      <w:r>
        <w:rPr>
          <w:rFonts w:ascii="Times New Roman"/>
          <w:color w:val="3F3F3F"/>
          <w:w w:val="105"/>
        </w:rPr>
        <w:t>f the Windermere Centre are shown through the Ministry and M</w:t>
      </w:r>
      <w:r>
        <w:rPr>
          <w:rFonts w:ascii="Times New Roman"/>
          <w:color w:val="262626"/>
          <w:w w:val="105"/>
        </w:rPr>
        <w:t>i</w:t>
      </w:r>
      <w:r>
        <w:rPr>
          <w:rFonts w:ascii="Times New Roman"/>
          <w:color w:val="3F3F3F"/>
          <w:w w:val="105"/>
        </w:rPr>
        <w:t>ssion Fund. Following the closure of the </w:t>
      </w:r>
      <w:r>
        <w:rPr>
          <w:rFonts w:ascii="Times New Roman"/>
          <w:color w:val="5D5D5D"/>
          <w:w w:val="105"/>
        </w:rPr>
        <w:t>N</w:t>
      </w:r>
      <w:r>
        <w:rPr>
          <w:rFonts w:ascii="Times New Roman"/>
          <w:color w:val="3F3F3F"/>
          <w:w w:val="105"/>
        </w:rPr>
        <w:t>ational Youth Resource Centre at Yardley Hastings</w:t>
      </w:r>
      <w:r>
        <w:rPr>
          <w:rFonts w:ascii="Times New Roman"/>
          <w:color w:val="6D6D6D"/>
          <w:w w:val="105"/>
        </w:rPr>
        <w:t>, </w:t>
      </w:r>
      <w:r>
        <w:rPr>
          <w:rFonts w:ascii="Times New Roman"/>
          <w:color w:val="3F3F3F"/>
          <w:w w:val="105"/>
        </w:rPr>
        <w:t>this property </w:t>
      </w:r>
      <w:r>
        <w:rPr>
          <w:rFonts w:ascii="Times New Roman"/>
          <w:color w:val="262626"/>
          <w:w w:val="105"/>
        </w:rPr>
        <w:t>i</w:t>
      </w:r>
      <w:r>
        <w:rPr>
          <w:rFonts w:ascii="Times New Roman"/>
          <w:color w:val="3F3F3F"/>
          <w:w w:val="105"/>
        </w:rPr>
        <w:t>s being leased to East Midlands Synod.</w:t>
      </w:r>
    </w:p>
    <w:p>
      <w:pPr>
        <w:pStyle w:val="BodyText"/>
        <w:spacing w:before="10"/>
        <w:rPr>
          <w:rFonts w:ascii="Times New Roman"/>
          <w:sz w:val="28"/>
        </w:rPr>
      </w:pPr>
    </w:p>
    <w:p>
      <w:pPr>
        <w:spacing w:after="0"/>
        <w:rPr>
          <w:rFonts w:ascii="Times New Roman"/>
          <w:sz w:val="28"/>
        </w:rPr>
        <w:sectPr>
          <w:type w:val="continuous"/>
          <w:pgSz w:w="10950" w:h="15880"/>
          <w:pgMar w:top="680" w:bottom="280" w:left="500" w:right="0"/>
        </w:sectPr>
      </w:pPr>
    </w:p>
    <w:p>
      <w:pPr>
        <w:tabs>
          <w:tab w:pos="6689" w:val="left" w:leader="none"/>
        </w:tabs>
        <w:spacing w:line="249" w:lineRule="auto" w:before="93"/>
        <w:ind w:left="6699" w:right="38" w:hanging="5763"/>
        <w:jc w:val="left"/>
        <w:rPr>
          <w:rFonts w:ascii="Times New Roman" w:hAnsi="Times New Roman"/>
          <w:b/>
          <w:sz w:val="18"/>
        </w:rPr>
      </w:pPr>
      <w:r>
        <w:rPr>
          <w:rFonts w:ascii="Times New Roman" w:hAnsi="Times New Roman"/>
          <w:b/>
          <w:color w:val="3F3F3F"/>
          <w:spacing w:val="-4"/>
          <w:w w:val="105"/>
          <w:sz w:val="18"/>
        </w:rPr>
        <w:t>C</w:t>
      </w:r>
      <w:r>
        <w:rPr>
          <w:rFonts w:ascii="Times New Roman" w:hAnsi="Times New Roman"/>
          <w:b/>
          <w:color w:val="262626"/>
          <w:spacing w:val="-4"/>
          <w:w w:val="105"/>
          <w:sz w:val="18"/>
        </w:rPr>
        <w:t>ommitm</w:t>
      </w:r>
      <w:r>
        <w:rPr>
          <w:rFonts w:ascii="Times New Roman" w:hAnsi="Times New Roman"/>
          <w:b/>
          <w:color w:val="3F3F3F"/>
          <w:spacing w:val="-4"/>
          <w:w w:val="105"/>
          <w:sz w:val="18"/>
        </w:rPr>
        <w:t>e</w:t>
      </w:r>
      <w:r>
        <w:rPr>
          <w:rFonts w:ascii="Times New Roman" w:hAnsi="Times New Roman"/>
          <w:b/>
          <w:color w:val="161616"/>
          <w:spacing w:val="-4"/>
          <w:w w:val="105"/>
          <w:sz w:val="18"/>
        </w:rPr>
        <w:t>nt</w:t>
      </w:r>
      <w:r>
        <w:rPr>
          <w:rFonts w:ascii="Times New Roman" w:hAnsi="Times New Roman"/>
          <w:b/>
          <w:color w:val="161616"/>
          <w:spacing w:val="-13"/>
          <w:w w:val="105"/>
          <w:sz w:val="18"/>
        </w:rPr>
        <w:t> </w:t>
      </w:r>
      <w:r>
        <w:rPr>
          <w:rFonts w:ascii="Times New Roman" w:hAnsi="Times New Roman"/>
          <w:b/>
          <w:color w:val="262626"/>
          <w:w w:val="105"/>
          <w:sz w:val="18"/>
        </w:rPr>
        <w:t>for</w:t>
      </w:r>
      <w:r>
        <w:rPr>
          <w:rFonts w:ascii="Times New Roman" w:hAnsi="Times New Roman"/>
          <w:b/>
          <w:color w:val="262626"/>
          <w:spacing w:val="-2"/>
          <w:w w:val="105"/>
          <w:sz w:val="18"/>
        </w:rPr>
        <w:t> </w:t>
      </w:r>
      <w:r>
        <w:rPr>
          <w:rFonts w:ascii="Times New Roman" w:hAnsi="Times New Roman"/>
          <w:b/>
          <w:color w:val="161616"/>
          <w:w w:val="105"/>
          <w:sz w:val="20"/>
        </w:rPr>
        <w:t>Life</w:t>
      </w:r>
      <w:r>
        <w:rPr>
          <w:rFonts w:ascii="Times New Roman" w:hAnsi="Times New Roman"/>
          <w:b/>
          <w:color w:val="161616"/>
          <w:spacing w:val="-17"/>
          <w:w w:val="105"/>
          <w:sz w:val="20"/>
        </w:rPr>
        <w:t> </w:t>
      </w:r>
      <w:r>
        <w:rPr>
          <w:rFonts w:ascii="Times New Roman" w:hAnsi="Times New Roman"/>
          <w:b/>
          <w:color w:val="262626"/>
          <w:w w:val="105"/>
          <w:sz w:val="18"/>
        </w:rPr>
        <w:t>Fund</w:t>
      </w:r>
      <w:r>
        <w:rPr>
          <w:rFonts w:ascii="Times New Roman" w:hAnsi="Times New Roman"/>
          <w:b/>
          <w:color w:val="262626"/>
          <w:spacing w:val="-18"/>
          <w:w w:val="105"/>
          <w:sz w:val="18"/>
        </w:rPr>
        <w:t> </w:t>
      </w:r>
      <w:r>
        <w:rPr>
          <w:rFonts w:ascii="Times New Roman" w:hAnsi="Times New Roman"/>
          <w:b/>
          <w:color w:val="3F3F3F"/>
          <w:w w:val="105"/>
          <w:sz w:val="18"/>
        </w:rPr>
        <w:t>:</w:t>
      </w:r>
      <w:r>
        <w:rPr>
          <w:rFonts w:ascii="Times New Roman" w:hAnsi="Times New Roman"/>
          <w:b/>
          <w:color w:val="3F3F3F"/>
          <w:spacing w:val="-6"/>
          <w:w w:val="105"/>
          <w:sz w:val="18"/>
        </w:rPr>
        <w:t> </w:t>
      </w:r>
      <w:r>
        <w:rPr>
          <w:rFonts w:ascii="Times New Roman" w:hAnsi="Times New Roman"/>
          <w:b/>
          <w:color w:val="262626"/>
          <w:w w:val="105"/>
          <w:sz w:val="18"/>
        </w:rPr>
        <w:t>£23k</w:t>
        <w:tab/>
      </w:r>
      <w:r>
        <w:rPr>
          <w:rFonts w:ascii="Times New Roman" w:hAnsi="Times New Roman"/>
          <w:b/>
          <w:color w:val="161616"/>
          <w:w w:val="105"/>
          <w:sz w:val="18"/>
        </w:rPr>
        <w:t>Income </w:t>
      </w:r>
      <w:r>
        <w:rPr>
          <w:rFonts w:ascii="Times New Roman" w:hAnsi="Times New Roman"/>
          <w:b/>
          <w:color w:val="3F3F3F"/>
          <w:spacing w:val="-1"/>
          <w:w w:val="105"/>
          <w:sz w:val="18"/>
        </w:rPr>
        <w:t>E</w:t>
      </w:r>
      <w:r>
        <w:rPr>
          <w:rFonts w:ascii="Times New Roman" w:hAnsi="Times New Roman"/>
          <w:b/>
          <w:color w:val="262626"/>
          <w:spacing w:val="-1"/>
          <w:w w:val="105"/>
          <w:sz w:val="18"/>
        </w:rPr>
        <w:t>xpenditure</w:t>
      </w:r>
    </w:p>
    <w:p>
      <w:pPr>
        <w:spacing w:before="111"/>
        <w:ind w:left="915" w:right="750" w:firstLine="0"/>
        <w:jc w:val="center"/>
        <w:rPr>
          <w:rFonts w:ascii="Times New Roman" w:hAnsi="Times New Roman"/>
          <w:b/>
          <w:sz w:val="18"/>
        </w:rPr>
      </w:pPr>
      <w:r>
        <w:rPr/>
        <w:br w:type="column"/>
      </w:r>
      <w:r>
        <w:rPr>
          <w:rFonts w:ascii="Times New Roman" w:hAnsi="Times New Roman"/>
          <w:b/>
          <w:color w:val="262626"/>
          <w:w w:val="110"/>
          <w:sz w:val="18"/>
        </w:rPr>
        <w:t>£560k</w:t>
      </w:r>
    </w:p>
    <w:p>
      <w:pPr>
        <w:spacing w:before="15"/>
        <w:ind w:left="915" w:right="739" w:firstLine="0"/>
        <w:jc w:val="center"/>
        <w:rPr>
          <w:rFonts w:ascii="Times New Roman" w:hAnsi="Times New Roman"/>
          <w:b/>
          <w:sz w:val="18"/>
        </w:rPr>
      </w:pPr>
      <w:r>
        <w:rPr>
          <w:rFonts w:ascii="Times New Roman" w:hAnsi="Times New Roman"/>
          <w:b/>
          <w:color w:val="262626"/>
          <w:w w:val="105"/>
          <w:sz w:val="18"/>
        </w:rPr>
        <w:t>£560k</w:t>
      </w:r>
    </w:p>
    <w:p>
      <w:pPr>
        <w:spacing w:after="0"/>
        <w:jc w:val="center"/>
        <w:rPr>
          <w:rFonts w:ascii="Times New Roman" w:hAnsi="Times New Roman"/>
          <w:sz w:val="18"/>
        </w:rPr>
        <w:sectPr>
          <w:type w:val="continuous"/>
          <w:pgSz w:w="10950" w:h="15880"/>
          <w:pgMar w:top="680" w:bottom="280" w:left="500" w:right="0"/>
          <w:cols w:num="2" w:equalWidth="0">
            <w:col w:w="7748" w:space="489"/>
            <w:col w:w="2213"/>
          </w:cols>
        </w:sectPr>
      </w:pPr>
    </w:p>
    <w:p>
      <w:pPr>
        <w:pStyle w:val="BodyText"/>
        <w:spacing w:line="256" w:lineRule="auto" w:before="112"/>
        <w:ind w:left="972" w:right="942" w:hanging="5"/>
        <w:jc w:val="both"/>
        <w:rPr>
          <w:rFonts w:ascii="Times New Roman"/>
        </w:rPr>
      </w:pPr>
      <w:r>
        <w:rPr>
          <w:rFonts w:ascii="Times New Roman"/>
          <w:color w:val="3F3F3F"/>
          <w:w w:val="105"/>
        </w:rPr>
        <w:t>This programme invo</w:t>
      </w:r>
      <w:r>
        <w:rPr>
          <w:rFonts w:ascii="Times New Roman"/>
          <w:color w:val="262626"/>
          <w:w w:val="105"/>
        </w:rPr>
        <w:t>l</w:t>
      </w:r>
      <w:r>
        <w:rPr>
          <w:rFonts w:ascii="Times New Roman"/>
          <w:color w:val="3F3F3F"/>
          <w:w w:val="105"/>
        </w:rPr>
        <w:t>ves substantia</w:t>
      </w:r>
      <w:r>
        <w:rPr>
          <w:rFonts w:ascii="Times New Roman"/>
          <w:color w:val="262626"/>
          <w:w w:val="105"/>
        </w:rPr>
        <w:t>l </w:t>
      </w:r>
      <w:r>
        <w:rPr>
          <w:rFonts w:ascii="Times New Roman"/>
          <w:color w:val="3F3F3F"/>
          <w:w w:val="105"/>
        </w:rPr>
        <w:t>sums of money being co</w:t>
      </w:r>
      <w:r>
        <w:rPr>
          <w:rFonts w:ascii="Times New Roman"/>
          <w:color w:val="262626"/>
          <w:w w:val="105"/>
        </w:rPr>
        <w:t>ll</w:t>
      </w:r>
      <w:r>
        <w:rPr>
          <w:rFonts w:ascii="Times New Roman"/>
          <w:color w:val="3F3F3F"/>
          <w:w w:val="105"/>
        </w:rPr>
        <w:t>ected throug</w:t>
      </w:r>
      <w:r>
        <w:rPr>
          <w:rFonts w:ascii="Times New Roman"/>
          <w:color w:val="262626"/>
          <w:w w:val="105"/>
        </w:rPr>
        <w:t>h th</w:t>
      </w:r>
      <w:r>
        <w:rPr>
          <w:rFonts w:ascii="Times New Roman"/>
          <w:color w:val="3F3F3F"/>
          <w:w w:val="105"/>
        </w:rPr>
        <w:t>e Church and Society office, and disbu</w:t>
      </w:r>
      <w:r>
        <w:rPr>
          <w:rFonts w:ascii="Times New Roman"/>
          <w:color w:val="161616"/>
          <w:w w:val="105"/>
        </w:rPr>
        <w:t>r</w:t>
      </w:r>
      <w:r>
        <w:rPr>
          <w:rFonts w:ascii="Times New Roman"/>
          <w:color w:val="3F3F3F"/>
          <w:w w:val="105"/>
        </w:rPr>
        <w:t>sed for Christian Aid prog</w:t>
      </w:r>
      <w:r>
        <w:rPr>
          <w:rFonts w:ascii="Times New Roman"/>
          <w:color w:val="262626"/>
          <w:w w:val="105"/>
        </w:rPr>
        <w:t>ramm</w:t>
      </w:r>
      <w:r>
        <w:rPr>
          <w:rFonts w:ascii="Times New Roman"/>
          <w:color w:val="3F3F3F"/>
          <w:w w:val="105"/>
        </w:rPr>
        <w:t>es and othe</w:t>
      </w:r>
      <w:r>
        <w:rPr>
          <w:rFonts w:ascii="Times New Roman"/>
          <w:color w:val="262626"/>
          <w:w w:val="105"/>
        </w:rPr>
        <w:t>r </w:t>
      </w:r>
      <w:r>
        <w:rPr>
          <w:rFonts w:ascii="Times New Roman"/>
          <w:color w:val="3F3F3F"/>
          <w:w w:val="105"/>
        </w:rPr>
        <w:t>purposes</w:t>
      </w:r>
      <w:r>
        <w:rPr>
          <w:rFonts w:ascii="Times New Roman"/>
          <w:color w:val="161616"/>
          <w:w w:val="105"/>
        </w:rPr>
        <w:t>. </w:t>
      </w:r>
      <w:r>
        <w:rPr>
          <w:rFonts w:ascii="Times New Roman"/>
          <w:color w:val="3F3F3F"/>
          <w:w w:val="105"/>
        </w:rPr>
        <w:t>The balance held at the year end represents sums rece</w:t>
      </w:r>
      <w:r>
        <w:rPr>
          <w:rFonts w:ascii="Times New Roman"/>
          <w:color w:val="262626"/>
          <w:w w:val="105"/>
        </w:rPr>
        <w:t>i</w:t>
      </w:r>
      <w:r>
        <w:rPr>
          <w:rFonts w:ascii="Times New Roman"/>
          <w:color w:val="3F3F3F"/>
          <w:w w:val="105"/>
        </w:rPr>
        <w:t>ved, which had not y</w:t>
      </w:r>
      <w:r>
        <w:rPr>
          <w:rFonts w:ascii="Times New Roman"/>
          <w:color w:val="262626"/>
          <w:w w:val="105"/>
        </w:rPr>
        <w:t>e</w:t>
      </w:r>
      <w:r>
        <w:rPr>
          <w:rFonts w:ascii="Times New Roman"/>
          <w:color w:val="3F3F3F"/>
          <w:w w:val="105"/>
        </w:rPr>
        <w:t>t been alloca</w:t>
      </w:r>
      <w:r>
        <w:rPr>
          <w:rFonts w:ascii="Times New Roman"/>
          <w:color w:val="161616"/>
          <w:w w:val="105"/>
        </w:rPr>
        <w:t>t</w:t>
      </w:r>
      <w:r>
        <w:rPr>
          <w:rFonts w:ascii="Times New Roman"/>
          <w:color w:val="3F3F3F"/>
          <w:w w:val="105"/>
        </w:rPr>
        <w:t>e</w:t>
      </w:r>
      <w:r>
        <w:rPr>
          <w:rFonts w:ascii="Times New Roman"/>
          <w:color w:val="262626"/>
          <w:w w:val="105"/>
        </w:rPr>
        <w:t>d.</w:t>
      </w:r>
    </w:p>
    <w:p>
      <w:pPr>
        <w:pStyle w:val="BodyText"/>
        <w:rPr>
          <w:rFonts w:ascii="Times New Roman"/>
          <w:sz w:val="20"/>
        </w:rPr>
      </w:pPr>
    </w:p>
    <w:p>
      <w:pPr>
        <w:spacing w:after="0"/>
        <w:rPr>
          <w:rFonts w:ascii="Times New Roman"/>
          <w:sz w:val="20"/>
        </w:rPr>
        <w:sectPr>
          <w:type w:val="continuous"/>
          <w:pgSz w:w="10950" w:h="15880"/>
          <w:pgMar w:top="680" w:bottom="280" w:left="500" w:right="0"/>
        </w:sectPr>
      </w:pPr>
    </w:p>
    <w:p>
      <w:pPr>
        <w:pStyle w:val="BodyText"/>
        <w:spacing w:before="3"/>
        <w:rPr>
          <w:rFonts w:ascii="Times New Roman"/>
          <w:sz w:val="19"/>
        </w:rPr>
      </w:pPr>
    </w:p>
    <w:p>
      <w:pPr>
        <w:spacing w:before="1"/>
        <w:ind w:left="947" w:right="0" w:firstLine="0"/>
        <w:jc w:val="left"/>
        <w:rPr>
          <w:rFonts w:ascii="Times New Roman" w:hAnsi="Times New Roman"/>
          <w:b/>
          <w:sz w:val="18"/>
        </w:rPr>
      </w:pPr>
      <w:r>
        <w:rPr>
          <w:rFonts w:ascii="Times New Roman" w:hAnsi="Times New Roman"/>
          <w:b/>
          <w:color w:val="161616"/>
          <w:w w:val="105"/>
          <w:sz w:val="18"/>
        </w:rPr>
        <w:t>Oth</w:t>
      </w:r>
      <w:r>
        <w:rPr>
          <w:rFonts w:ascii="Times New Roman" w:hAnsi="Times New Roman"/>
          <w:b/>
          <w:color w:val="3F3F3F"/>
          <w:w w:val="105"/>
          <w:sz w:val="18"/>
        </w:rPr>
        <w:t>e</w:t>
      </w:r>
      <w:r>
        <w:rPr>
          <w:rFonts w:ascii="Times New Roman" w:hAnsi="Times New Roman"/>
          <w:b/>
          <w:color w:val="262626"/>
          <w:w w:val="105"/>
          <w:sz w:val="18"/>
        </w:rPr>
        <w:t>r </w:t>
      </w:r>
      <w:r>
        <w:rPr>
          <w:rFonts w:ascii="Times New Roman" w:hAnsi="Times New Roman"/>
          <w:b/>
          <w:color w:val="3F3F3F"/>
          <w:w w:val="105"/>
          <w:sz w:val="18"/>
        </w:rPr>
        <w:t>F</w:t>
      </w:r>
      <w:r>
        <w:rPr>
          <w:rFonts w:ascii="Times New Roman" w:hAnsi="Times New Roman"/>
          <w:b/>
          <w:color w:val="262626"/>
          <w:w w:val="105"/>
          <w:sz w:val="18"/>
        </w:rPr>
        <w:t>und</w:t>
      </w:r>
      <w:r>
        <w:rPr>
          <w:rFonts w:ascii="Times New Roman" w:hAnsi="Times New Roman"/>
          <w:b/>
          <w:color w:val="3F3F3F"/>
          <w:w w:val="105"/>
          <w:sz w:val="18"/>
        </w:rPr>
        <w:t>s: £</w:t>
      </w:r>
      <w:r>
        <w:rPr>
          <w:rFonts w:ascii="Times New Roman" w:hAnsi="Times New Roman"/>
          <w:b/>
          <w:color w:val="262626"/>
          <w:w w:val="105"/>
          <w:sz w:val="18"/>
        </w:rPr>
        <w:t>6</w:t>
      </w:r>
      <w:r>
        <w:rPr>
          <w:rFonts w:ascii="Times New Roman" w:hAnsi="Times New Roman"/>
          <w:b/>
          <w:color w:val="3F3F3F"/>
          <w:w w:val="105"/>
          <w:sz w:val="18"/>
        </w:rPr>
        <w:t>,</w:t>
      </w:r>
      <w:r>
        <w:rPr>
          <w:rFonts w:ascii="Times New Roman" w:hAnsi="Times New Roman"/>
          <w:b/>
          <w:color w:val="262626"/>
          <w:w w:val="105"/>
          <w:sz w:val="18"/>
        </w:rPr>
        <w:t>241k</w:t>
      </w:r>
    </w:p>
    <w:p>
      <w:pPr>
        <w:spacing w:line="513" w:lineRule="auto" w:before="4"/>
        <w:ind w:left="1904" w:right="36" w:hanging="665"/>
        <w:jc w:val="left"/>
        <w:rPr>
          <w:rFonts w:ascii="Times New Roman" w:hAnsi="Times New Roman"/>
          <w:b/>
          <w:sz w:val="18"/>
        </w:rPr>
      </w:pPr>
      <w:r>
        <w:rPr>
          <w:rFonts w:ascii="Times New Roman" w:hAnsi="Times New Roman"/>
          <w:b/>
          <w:color w:val="262626"/>
          <w:w w:val="105"/>
          <w:sz w:val="18"/>
        </w:rPr>
        <w:t>Being</w:t>
      </w:r>
      <w:r>
        <w:rPr>
          <w:rFonts w:ascii="Times New Roman" w:hAnsi="Times New Roman"/>
          <w:b/>
          <w:color w:val="3F3F3F"/>
          <w:w w:val="105"/>
          <w:sz w:val="18"/>
        </w:rPr>
        <w:t>: C</w:t>
      </w:r>
      <w:r>
        <w:rPr>
          <w:rFonts w:ascii="Times New Roman" w:hAnsi="Times New Roman"/>
          <w:b/>
          <w:color w:val="262626"/>
          <w:w w:val="105"/>
          <w:sz w:val="18"/>
        </w:rPr>
        <w:t>apita</w:t>
      </w:r>
      <w:r>
        <w:rPr>
          <w:rFonts w:ascii="Times New Roman" w:hAnsi="Times New Roman"/>
          <w:b/>
          <w:color w:val="010101"/>
          <w:w w:val="105"/>
          <w:sz w:val="18"/>
        </w:rPr>
        <w:t>l </w:t>
      </w:r>
      <w:r>
        <w:rPr>
          <w:rFonts w:ascii="Times New Roman" w:hAnsi="Times New Roman"/>
          <w:b/>
          <w:color w:val="262626"/>
          <w:w w:val="105"/>
          <w:sz w:val="18"/>
        </w:rPr>
        <w:t>fund</w:t>
      </w:r>
      <w:r>
        <w:rPr>
          <w:rFonts w:ascii="Times New Roman" w:hAnsi="Times New Roman"/>
          <w:b/>
          <w:color w:val="3F3F3F"/>
          <w:w w:val="105"/>
          <w:sz w:val="18"/>
        </w:rPr>
        <w:t>s </w:t>
      </w:r>
      <w:r>
        <w:rPr>
          <w:rFonts w:ascii="Times New Roman" w:hAnsi="Times New Roman"/>
          <w:b/>
          <w:color w:val="161616"/>
          <w:w w:val="105"/>
          <w:sz w:val="18"/>
        </w:rPr>
        <w:t>£4</w:t>
      </w:r>
      <w:r>
        <w:rPr>
          <w:rFonts w:ascii="Times New Roman" w:hAnsi="Times New Roman"/>
          <w:b/>
          <w:color w:val="3F3F3F"/>
          <w:w w:val="105"/>
          <w:sz w:val="18"/>
        </w:rPr>
        <w:t>,</w:t>
      </w:r>
      <w:r>
        <w:rPr>
          <w:rFonts w:ascii="Times New Roman" w:hAnsi="Times New Roman"/>
          <w:b/>
          <w:color w:val="262626"/>
          <w:w w:val="105"/>
          <w:sz w:val="18"/>
        </w:rPr>
        <w:t>51</w:t>
      </w:r>
      <w:r>
        <w:rPr>
          <w:rFonts w:ascii="Times New Roman" w:hAnsi="Times New Roman"/>
          <w:b/>
          <w:color w:val="3F3F3F"/>
          <w:w w:val="105"/>
          <w:sz w:val="18"/>
        </w:rPr>
        <w:t>7</w:t>
      </w:r>
      <w:r>
        <w:rPr>
          <w:rFonts w:ascii="Times New Roman" w:hAnsi="Times New Roman"/>
          <w:b/>
          <w:color w:val="161616"/>
          <w:w w:val="105"/>
          <w:sz w:val="18"/>
        </w:rPr>
        <w:t>k Restricted </w:t>
      </w:r>
      <w:r>
        <w:rPr>
          <w:rFonts w:ascii="Times New Roman" w:hAnsi="Times New Roman"/>
          <w:b/>
          <w:color w:val="262626"/>
          <w:w w:val="105"/>
          <w:sz w:val="18"/>
        </w:rPr>
        <w:t>fund</w:t>
      </w:r>
      <w:r>
        <w:rPr>
          <w:rFonts w:ascii="Times New Roman" w:hAnsi="Times New Roman"/>
          <w:b/>
          <w:color w:val="3F3F3F"/>
          <w:w w:val="105"/>
          <w:sz w:val="18"/>
        </w:rPr>
        <w:t>s </w:t>
      </w:r>
      <w:r>
        <w:rPr>
          <w:rFonts w:ascii="Times New Roman" w:hAnsi="Times New Roman"/>
          <w:b/>
          <w:color w:val="262626"/>
          <w:w w:val="105"/>
          <w:sz w:val="18"/>
        </w:rPr>
        <w:t>£1,724k</w:t>
      </w:r>
    </w:p>
    <w:p>
      <w:pPr>
        <w:pStyle w:val="BodyText"/>
        <w:rPr>
          <w:rFonts w:ascii="Times New Roman"/>
          <w:b/>
          <w:sz w:val="20"/>
        </w:rPr>
      </w:pPr>
      <w:r>
        <w:rPr/>
        <w:br w:type="column"/>
      </w:r>
      <w:r>
        <w:rPr>
          <w:rFonts w:ascii="Times New Roman"/>
          <w:b/>
          <w:sz w:val="20"/>
        </w:rPr>
      </w:r>
    </w:p>
    <w:p>
      <w:pPr>
        <w:pStyle w:val="BodyText"/>
        <w:spacing w:before="6"/>
        <w:rPr>
          <w:rFonts w:ascii="Times New Roman"/>
          <w:b/>
        </w:rPr>
      </w:pPr>
    </w:p>
    <w:p>
      <w:pPr>
        <w:spacing w:line="252" w:lineRule="auto" w:before="0"/>
        <w:ind w:left="947" w:right="18" w:firstLine="0"/>
        <w:jc w:val="left"/>
        <w:rPr>
          <w:rFonts w:ascii="Times New Roman"/>
          <w:b/>
          <w:sz w:val="18"/>
        </w:rPr>
      </w:pPr>
      <w:r>
        <w:rPr>
          <w:rFonts w:ascii="Times New Roman"/>
          <w:b/>
          <w:color w:val="262626"/>
          <w:w w:val="105"/>
          <w:sz w:val="18"/>
        </w:rPr>
        <w:t>Income </w:t>
      </w:r>
      <w:r>
        <w:rPr>
          <w:rFonts w:ascii="Times New Roman"/>
          <w:b/>
          <w:color w:val="3F3F3F"/>
          <w:w w:val="105"/>
          <w:sz w:val="18"/>
        </w:rPr>
        <w:t>Ex</w:t>
      </w:r>
      <w:r>
        <w:rPr>
          <w:rFonts w:ascii="Times New Roman"/>
          <w:b/>
          <w:color w:val="262626"/>
          <w:w w:val="105"/>
          <w:sz w:val="18"/>
        </w:rPr>
        <w:t>penditur</w:t>
      </w:r>
      <w:r>
        <w:rPr>
          <w:rFonts w:ascii="Times New Roman"/>
          <w:b/>
          <w:color w:val="3F3F3F"/>
          <w:w w:val="105"/>
          <w:sz w:val="18"/>
        </w:rPr>
        <w:t>e </w:t>
      </w:r>
      <w:r>
        <w:rPr>
          <w:rFonts w:ascii="Times New Roman"/>
          <w:b/>
          <w:color w:val="161616"/>
          <w:w w:val="105"/>
          <w:sz w:val="18"/>
        </w:rPr>
        <w:t>Income </w:t>
      </w:r>
      <w:r>
        <w:rPr>
          <w:rFonts w:ascii="Times New Roman"/>
          <w:b/>
          <w:color w:val="3F3F3F"/>
          <w:w w:val="105"/>
          <w:sz w:val="18"/>
        </w:rPr>
        <w:t>Ex</w:t>
      </w:r>
      <w:r>
        <w:rPr>
          <w:rFonts w:ascii="Times New Roman"/>
          <w:b/>
          <w:color w:val="262626"/>
          <w:w w:val="105"/>
          <w:sz w:val="18"/>
        </w:rPr>
        <w:t>penditur</w:t>
      </w:r>
      <w:r>
        <w:rPr>
          <w:rFonts w:ascii="Times New Roman"/>
          <w:b/>
          <w:color w:val="3F3F3F"/>
          <w:w w:val="105"/>
          <w:sz w:val="18"/>
        </w:rPr>
        <w:t>e</w:t>
      </w:r>
    </w:p>
    <w:p>
      <w:pPr>
        <w:pStyle w:val="BodyText"/>
        <w:rPr>
          <w:rFonts w:ascii="Times New Roman"/>
          <w:b/>
        </w:rPr>
      </w:pPr>
      <w:r>
        <w:rPr/>
        <w:br w:type="column"/>
      </w:r>
      <w:r>
        <w:rPr>
          <w:rFonts w:ascii="Times New Roman"/>
          <w:b/>
        </w:rPr>
      </w:r>
    </w:p>
    <w:p>
      <w:pPr>
        <w:pStyle w:val="BodyText"/>
        <w:spacing w:before="5"/>
        <w:rPr>
          <w:rFonts w:ascii="Times New Roman"/>
          <w:b/>
          <w:sz w:val="20"/>
        </w:rPr>
      </w:pPr>
    </w:p>
    <w:p>
      <w:pPr>
        <w:spacing w:before="0"/>
        <w:ind w:left="0" w:right="785" w:firstLine="0"/>
        <w:jc w:val="right"/>
        <w:rPr>
          <w:rFonts w:ascii="Times New Roman" w:hAnsi="Times New Roman"/>
          <w:b/>
          <w:sz w:val="17"/>
        </w:rPr>
      </w:pPr>
      <w:r>
        <w:rPr>
          <w:rFonts w:ascii="Arial" w:hAnsi="Arial"/>
          <w:color w:val="262626"/>
          <w:w w:val="105"/>
          <w:sz w:val="17"/>
        </w:rPr>
        <w:t>£ </w:t>
      </w:r>
      <w:r>
        <w:rPr>
          <w:rFonts w:ascii="Times New Roman" w:hAnsi="Times New Roman"/>
          <w:b/>
          <w:color w:val="161616"/>
          <w:w w:val="105"/>
          <w:sz w:val="17"/>
        </w:rPr>
        <w:t>nil</w:t>
      </w:r>
    </w:p>
    <w:p>
      <w:pPr>
        <w:spacing w:before="17"/>
        <w:ind w:left="0" w:right="769" w:firstLine="0"/>
        <w:jc w:val="right"/>
        <w:rPr>
          <w:rFonts w:ascii="Times New Roman" w:hAnsi="Times New Roman"/>
          <w:b/>
          <w:sz w:val="18"/>
        </w:rPr>
      </w:pPr>
      <w:r>
        <w:rPr>
          <w:rFonts w:ascii="Arial" w:hAnsi="Arial"/>
          <w:color w:val="262626"/>
          <w:w w:val="105"/>
          <w:sz w:val="17"/>
        </w:rPr>
        <w:t>£</w:t>
      </w:r>
      <w:r>
        <w:rPr>
          <w:rFonts w:ascii="Arial" w:hAnsi="Arial"/>
          <w:color w:val="262626"/>
          <w:spacing w:val="4"/>
          <w:w w:val="105"/>
          <w:sz w:val="17"/>
        </w:rPr>
        <w:t> </w:t>
      </w:r>
      <w:r>
        <w:rPr>
          <w:rFonts w:ascii="Times New Roman" w:hAnsi="Times New Roman"/>
          <w:b/>
          <w:color w:val="161616"/>
          <w:w w:val="105"/>
          <w:sz w:val="18"/>
        </w:rPr>
        <w:t>nil</w:t>
      </w:r>
    </w:p>
    <w:p>
      <w:pPr>
        <w:spacing w:before="14"/>
        <w:ind w:left="0" w:right="769" w:firstLine="0"/>
        <w:jc w:val="right"/>
        <w:rPr>
          <w:rFonts w:ascii="Times New Roman" w:hAnsi="Times New Roman"/>
          <w:b/>
          <w:sz w:val="18"/>
        </w:rPr>
      </w:pPr>
      <w:r>
        <w:rPr>
          <w:rFonts w:ascii="Times New Roman" w:hAnsi="Times New Roman"/>
          <w:b/>
          <w:color w:val="161616"/>
          <w:spacing w:val="-1"/>
          <w:w w:val="110"/>
          <w:sz w:val="18"/>
        </w:rPr>
        <w:t>£269k</w:t>
      </w:r>
    </w:p>
    <w:p>
      <w:pPr>
        <w:spacing w:before="15"/>
        <w:ind w:left="0" w:right="780" w:firstLine="0"/>
        <w:jc w:val="right"/>
        <w:rPr>
          <w:rFonts w:ascii="Times New Roman" w:hAnsi="Times New Roman"/>
          <w:b/>
          <w:sz w:val="18"/>
        </w:rPr>
      </w:pPr>
      <w:r>
        <w:rPr>
          <w:rFonts w:ascii="Times New Roman" w:hAnsi="Times New Roman"/>
          <w:b/>
          <w:color w:val="3F3F3F"/>
          <w:spacing w:val="-3"/>
          <w:w w:val="105"/>
          <w:sz w:val="18"/>
        </w:rPr>
        <w:t>£2</w:t>
      </w:r>
      <w:r>
        <w:rPr>
          <w:rFonts w:ascii="Times New Roman" w:hAnsi="Times New Roman"/>
          <w:b/>
          <w:color w:val="262626"/>
          <w:spacing w:val="-3"/>
          <w:w w:val="105"/>
          <w:sz w:val="18"/>
        </w:rPr>
        <w:t>3</w:t>
      </w:r>
      <w:r>
        <w:rPr>
          <w:rFonts w:ascii="Times New Roman" w:hAnsi="Times New Roman"/>
          <w:b/>
          <w:color w:val="3F3F3F"/>
          <w:spacing w:val="-3"/>
          <w:w w:val="105"/>
          <w:sz w:val="18"/>
        </w:rPr>
        <w:t>7</w:t>
      </w:r>
      <w:r>
        <w:rPr>
          <w:rFonts w:ascii="Times New Roman" w:hAnsi="Times New Roman"/>
          <w:b/>
          <w:color w:val="262626"/>
          <w:spacing w:val="-3"/>
          <w:w w:val="105"/>
          <w:sz w:val="18"/>
        </w:rPr>
        <w:t>k</w:t>
      </w:r>
    </w:p>
    <w:p>
      <w:pPr>
        <w:spacing w:after="0"/>
        <w:jc w:val="right"/>
        <w:rPr>
          <w:rFonts w:ascii="Times New Roman" w:hAnsi="Times New Roman"/>
          <w:sz w:val="18"/>
        </w:rPr>
        <w:sectPr>
          <w:type w:val="continuous"/>
          <w:pgSz w:w="10950" w:h="15880"/>
          <w:pgMar w:top="680" w:bottom="280" w:left="500" w:right="0"/>
          <w:cols w:num="3" w:equalWidth="0">
            <w:col w:w="3961" w:space="1782"/>
            <w:col w:w="1994" w:space="491"/>
            <w:col w:w="2222"/>
          </w:cols>
        </w:sectPr>
      </w:pPr>
    </w:p>
    <w:p>
      <w:pPr>
        <w:pStyle w:val="BodyText"/>
        <w:rPr>
          <w:rFonts w:ascii="Times New Roman"/>
          <w:b/>
          <w:sz w:val="20"/>
        </w:rPr>
      </w:pPr>
    </w:p>
    <w:p>
      <w:pPr>
        <w:pStyle w:val="BodyText"/>
        <w:spacing w:before="5"/>
        <w:rPr>
          <w:rFonts w:ascii="Times New Roman"/>
          <w:b/>
        </w:rPr>
      </w:pPr>
    </w:p>
    <w:p>
      <w:pPr>
        <w:pStyle w:val="BodyText"/>
        <w:spacing w:line="256" w:lineRule="auto"/>
        <w:ind w:left="967" w:right="940"/>
        <w:rPr>
          <w:rFonts w:ascii="Times New Roman"/>
        </w:rPr>
      </w:pPr>
      <w:r>
        <w:rPr>
          <w:rFonts w:ascii="Times New Roman"/>
          <w:color w:val="5D5D5D"/>
          <w:w w:val="105"/>
        </w:rPr>
        <w:t>T</w:t>
      </w:r>
      <w:r>
        <w:rPr>
          <w:rFonts w:ascii="Times New Roman"/>
          <w:color w:val="3F3F3F"/>
          <w:w w:val="105"/>
        </w:rPr>
        <w:t>here are some fifty othe</w:t>
      </w:r>
      <w:r>
        <w:rPr>
          <w:rFonts w:ascii="Times New Roman"/>
          <w:color w:val="262626"/>
          <w:w w:val="105"/>
        </w:rPr>
        <w:t>r </w:t>
      </w:r>
      <w:r>
        <w:rPr>
          <w:rFonts w:ascii="Times New Roman"/>
          <w:color w:val="3F3F3F"/>
          <w:w w:val="105"/>
        </w:rPr>
        <w:t>fu</w:t>
      </w:r>
      <w:r>
        <w:rPr>
          <w:rFonts w:ascii="Times New Roman"/>
          <w:color w:val="262626"/>
          <w:w w:val="105"/>
        </w:rPr>
        <w:t>n</w:t>
      </w:r>
      <w:r>
        <w:rPr>
          <w:rFonts w:ascii="Times New Roman"/>
          <w:color w:val="3F3F3F"/>
          <w:w w:val="105"/>
        </w:rPr>
        <w:t>ds in the care of the United Reformed Church Trust, cover</w:t>
      </w:r>
      <w:r>
        <w:rPr>
          <w:rFonts w:ascii="Times New Roman"/>
          <w:color w:val="161616"/>
          <w:w w:val="105"/>
        </w:rPr>
        <w:t>i</w:t>
      </w:r>
      <w:r>
        <w:rPr>
          <w:rFonts w:ascii="Times New Roman"/>
          <w:color w:val="3F3F3F"/>
          <w:w w:val="105"/>
        </w:rPr>
        <w:t>ng many </w:t>
      </w:r>
      <w:r>
        <w:rPr>
          <w:rFonts w:ascii="Times New Roman"/>
          <w:color w:val="262626"/>
          <w:w w:val="105"/>
        </w:rPr>
        <w:t>d</w:t>
      </w:r>
      <w:r>
        <w:rPr>
          <w:rFonts w:ascii="Times New Roman"/>
          <w:color w:val="3F3F3F"/>
          <w:w w:val="105"/>
        </w:rPr>
        <w:t>iffe</w:t>
      </w:r>
      <w:r>
        <w:rPr>
          <w:rFonts w:ascii="Times New Roman"/>
          <w:color w:val="262626"/>
          <w:w w:val="105"/>
        </w:rPr>
        <w:t>r</w:t>
      </w:r>
      <w:r>
        <w:rPr>
          <w:rFonts w:ascii="Times New Roman"/>
          <w:color w:val="3F3F3F"/>
          <w:w w:val="105"/>
        </w:rPr>
        <w:t>ent activities relating to the Church centr</w:t>
      </w:r>
      <w:r>
        <w:rPr>
          <w:rFonts w:ascii="Times New Roman"/>
          <w:color w:val="262626"/>
          <w:w w:val="105"/>
        </w:rPr>
        <w:t>al</w:t>
      </w:r>
      <w:r>
        <w:rPr>
          <w:rFonts w:ascii="Times New Roman"/>
          <w:color w:val="3F3F3F"/>
          <w:w w:val="105"/>
        </w:rPr>
        <w:t>ly, an</w:t>
      </w:r>
      <w:r>
        <w:rPr>
          <w:rFonts w:ascii="Times New Roman"/>
          <w:color w:val="262626"/>
          <w:w w:val="105"/>
        </w:rPr>
        <w:t>d </w:t>
      </w:r>
      <w:r>
        <w:rPr>
          <w:rFonts w:ascii="Times New Roman"/>
          <w:color w:val="3F3F3F"/>
          <w:w w:val="105"/>
        </w:rPr>
        <w:t>some to the wi</w:t>
      </w:r>
      <w:r>
        <w:rPr>
          <w:rFonts w:ascii="Times New Roman"/>
          <w:color w:val="262626"/>
          <w:w w:val="105"/>
        </w:rPr>
        <w:t>d</w:t>
      </w:r>
      <w:r>
        <w:rPr>
          <w:rFonts w:ascii="Times New Roman"/>
          <w:color w:val="3F3F3F"/>
          <w:w w:val="105"/>
        </w:rPr>
        <w:t>er parts of the United Reformed Church.</w:t>
      </w:r>
    </w:p>
    <w:p>
      <w:pPr>
        <w:spacing w:after="0" w:line="256" w:lineRule="auto"/>
        <w:rPr>
          <w:rFonts w:ascii="Times New Roman"/>
        </w:rPr>
        <w:sectPr>
          <w:type w:val="continuous"/>
          <w:pgSz w:w="10950" w:h="15880"/>
          <w:pgMar w:top="680" w:bottom="280" w:left="500" w:right="0"/>
        </w:sectPr>
      </w:pPr>
    </w:p>
    <w:p>
      <w:pPr>
        <w:spacing w:before="71"/>
        <w:ind w:left="0" w:right="526" w:firstLine="0"/>
        <w:jc w:val="right"/>
        <w:rPr>
          <w:rFonts w:ascii="Times New Roman"/>
          <w:sz w:val="19"/>
        </w:rPr>
      </w:pPr>
      <w:r>
        <w:rPr>
          <w:rFonts w:ascii="Times New Roman"/>
          <w:color w:val="363636"/>
          <w:sz w:val="19"/>
        </w:rPr>
        <w:t>ACCOUNTS </w:t>
      </w:r>
      <w:r>
        <w:rPr>
          <w:rFonts w:ascii="Times New Roman"/>
          <w:color w:val="363636"/>
          <w:sz w:val="17"/>
        </w:rPr>
        <w:t>page </w:t>
      </w:r>
      <w:r>
        <w:rPr>
          <w:rFonts w:ascii="Times New Roman"/>
          <w:color w:val="232323"/>
          <w:sz w:val="19"/>
        </w:rPr>
        <w:t>I</w:t>
      </w:r>
      <w:r>
        <w:rPr>
          <w:rFonts w:ascii="Times New Roman"/>
          <w:color w:val="363636"/>
          <w:sz w:val="19"/>
        </w:rPr>
        <w:t>0</w:t>
      </w:r>
    </w:p>
    <w:p>
      <w:pPr>
        <w:pStyle w:val="BodyText"/>
        <w:rPr>
          <w:rFonts w:ascii="Times New Roman"/>
          <w:sz w:val="20"/>
        </w:rPr>
      </w:pPr>
    </w:p>
    <w:p>
      <w:pPr>
        <w:pStyle w:val="BodyText"/>
        <w:rPr>
          <w:rFonts w:ascii="Times New Roman"/>
          <w:sz w:val="23"/>
        </w:rPr>
      </w:pPr>
    </w:p>
    <w:p>
      <w:pPr>
        <w:spacing w:line="254" w:lineRule="auto" w:before="1"/>
        <w:ind w:left="2683" w:right="2942" w:firstLine="114"/>
        <w:jc w:val="left"/>
        <w:rPr>
          <w:rFonts w:ascii="Times New Roman"/>
          <w:sz w:val="23"/>
        </w:rPr>
      </w:pPr>
      <w:r>
        <w:rPr>
          <w:rFonts w:ascii="Times New Roman"/>
          <w:color w:val="232323"/>
          <w:w w:val="105"/>
          <w:sz w:val="23"/>
        </w:rPr>
        <w:t>STATEMENT OF FINANCIAL ACTMTIES </w:t>
      </w:r>
      <w:r>
        <w:rPr>
          <w:rFonts w:ascii="Times New Roman"/>
          <w:color w:val="363636"/>
          <w:w w:val="105"/>
          <w:sz w:val="23"/>
        </w:rPr>
        <w:t>FOR </w:t>
      </w:r>
      <w:r>
        <w:rPr>
          <w:rFonts w:ascii="Times New Roman"/>
          <w:color w:val="232323"/>
          <w:w w:val="105"/>
          <w:sz w:val="23"/>
        </w:rPr>
        <w:t>THE YEAR ENDED 3</w:t>
      </w:r>
      <w:r>
        <w:rPr>
          <w:rFonts w:ascii="Times New Roman"/>
          <w:w w:val="105"/>
          <w:sz w:val="23"/>
        </w:rPr>
        <w:t>1 </w:t>
      </w:r>
      <w:r>
        <w:rPr>
          <w:rFonts w:ascii="Times New Roman"/>
          <w:color w:val="232323"/>
          <w:w w:val="105"/>
          <w:sz w:val="23"/>
        </w:rPr>
        <w:t>DECEMBER </w:t>
      </w:r>
      <w:r>
        <w:rPr>
          <w:rFonts w:ascii="Times New Roman"/>
          <w:color w:val="232323"/>
          <w:spacing w:val="-3"/>
          <w:w w:val="105"/>
          <w:sz w:val="23"/>
        </w:rPr>
        <w:t>2</w:t>
      </w:r>
      <w:r>
        <w:rPr>
          <w:rFonts w:ascii="Times New Roman"/>
          <w:spacing w:val="-3"/>
          <w:w w:val="105"/>
          <w:sz w:val="23"/>
        </w:rPr>
        <w:t>0</w:t>
      </w:r>
      <w:r>
        <w:rPr>
          <w:rFonts w:ascii="Times New Roman"/>
          <w:color w:val="232323"/>
          <w:spacing w:val="-3"/>
          <w:w w:val="105"/>
          <w:sz w:val="23"/>
        </w:rPr>
        <w:t>06</w:t>
      </w:r>
    </w:p>
    <w:p>
      <w:pPr>
        <w:pStyle w:val="BodyText"/>
        <w:spacing w:before="7"/>
        <w:rPr>
          <w:rFonts w:ascii="Times New Roman"/>
          <w:sz w:val="20"/>
        </w:rPr>
      </w:pPr>
    </w:p>
    <w:p>
      <w:pPr>
        <w:spacing w:after="0"/>
        <w:rPr>
          <w:rFonts w:ascii="Times New Roman"/>
          <w:sz w:val="20"/>
        </w:rPr>
        <w:sectPr>
          <w:headerReference w:type="default" r:id="rId500"/>
          <w:footerReference w:type="default" r:id="rId501"/>
          <w:pgSz w:w="10950" w:h="15880"/>
          <w:pgMar w:header="0" w:footer="0" w:top="220" w:bottom="280" w:left="500" w:right="0"/>
        </w:sectPr>
      </w:pPr>
    </w:p>
    <w:p>
      <w:pPr>
        <w:spacing w:before="104"/>
        <w:ind w:left="0" w:right="38" w:firstLine="0"/>
        <w:jc w:val="right"/>
        <w:rPr>
          <w:rFonts w:ascii="Times New Roman"/>
          <w:sz w:val="13"/>
        </w:rPr>
      </w:pPr>
      <w:r>
        <w:rPr>
          <w:rFonts w:ascii="Times New Roman"/>
          <w:color w:val="363636"/>
          <w:w w:val="115"/>
          <w:sz w:val="13"/>
        </w:rPr>
        <w:t>2005</w:t>
      </w:r>
    </w:p>
    <w:p>
      <w:pPr>
        <w:spacing w:before="23"/>
        <w:ind w:left="0" w:right="49" w:firstLine="0"/>
        <w:jc w:val="right"/>
        <w:rPr>
          <w:rFonts w:ascii="Times New Roman"/>
          <w:sz w:val="13"/>
        </w:rPr>
      </w:pPr>
      <w:r>
        <w:rPr>
          <w:rFonts w:ascii="Times New Roman"/>
          <w:spacing w:val="-2"/>
          <w:w w:val="115"/>
          <w:sz w:val="13"/>
        </w:rPr>
        <w:t>T</w:t>
      </w:r>
      <w:r>
        <w:rPr>
          <w:rFonts w:ascii="Times New Roman"/>
          <w:color w:val="232323"/>
          <w:spacing w:val="-2"/>
          <w:w w:val="115"/>
          <w:sz w:val="13"/>
        </w:rPr>
        <w:t>otal</w:t>
      </w:r>
    </w:p>
    <w:p>
      <w:pPr>
        <w:spacing w:before="94"/>
        <w:ind w:left="1587" w:right="0" w:firstLine="0"/>
        <w:jc w:val="left"/>
        <w:rPr>
          <w:rFonts w:ascii="Times New Roman"/>
          <w:b/>
          <w:sz w:val="14"/>
        </w:rPr>
      </w:pPr>
      <w:r>
        <w:rPr/>
        <w:br w:type="column"/>
      </w:r>
      <w:r>
        <w:rPr>
          <w:rFonts w:ascii="Times New Roman"/>
          <w:b/>
          <w:color w:val="232323"/>
          <w:w w:val="105"/>
          <w:sz w:val="14"/>
        </w:rPr>
        <w:t>2006</w:t>
      </w:r>
    </w:p>
    <w:p>
      <w:pPr>
        <w:tabs>
          <w:tab w:pos="2143" w:val="left" w:leader="none"/>
        </w:tabs>
        <w:spacing w:before="12"/>
        <w:ind w:left="1566" w:right="0" w:firstLine="0"/>
        <w:jc w:val="left"/>
        <w:rPr>
          <w:rFonts w:ascii="Times New Roman"/>
          <w:sz w:val="14"/>
        </w:rPr>
      </w:pPr>
      <w:r>
        <w:rPr/>
        <w:pict>
          <v:shape style="position:absolute;margin-left:83.539162pt;margin-top:42.497135pt;width:37.35pt;height:174.2pt;mso-position-horizontal-relative:page;mso-position-vertical-relative:paragraph;z-index:25210572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3"/>
                  </w:tblGrid>
                  <w:tr>
                    <w:trPr>
                      <w:trHeight w:val="999" w:hRule="atLeast"/>
                    </w:trPr>
                    <w:tc>
                      <w:tcPr>
                        <w:tcW w:w="703" w:type="dxa"/>
                      </w:tcPr>
                      <w:p>
                        <w:pPr>
                          <w:pStyle w:val="TableParagraph"/>
                          <w:spacing w:before="8"/>
                          <w:ind w:left="234"/>
                          <w:rPr>
                            <w:sz w:val="13"/>
                          </w:rPr>
                        </w:pPr>
                        <w:r>
                          <w:rPr>
                            <w:color w:val="232323"/>
                            <w:w w:val="105"/>
                            <w:sz w:val="13"/>
                          </w:rPr>
                          <w:t>19</w:t>
                        </w:r>
                        <w:r>
                          <w:rPr>
                            <w:color w:val="232323"/>
                            <w:spacing w:val="-20"/>
                            <w:w w:val="105"/>
                            <w:sz w:val="13"/>
                          </w:rPr>
                          <w:t> </w:t>
                        </w:r>
                        <w:r>
                          <w:rPr>
                            <w:color w:val="484848"/>
                            <w:w w:val="105"/>
                            <w:sz w:val="13"/>
                          </w:rPr>
                          <w:t>,</w:t>
                        </w:r>
                        <w:r>
                          <w:rPr>
                            <w:color w:val="232323"/>
                            <w:w w:val="105"/>
                            <w:sz w:val="13"/>
                          </w:rPr>
                          <w:t>932</w:t>
                        </w:r>
                      </w:p>
                      <w:p>
                        <w:pPr>
                          <w:pStyle w:val="TableParagraph"/>
                          <w:spacing w:before="1"/>
                          <w:rPr>
                            <w:sz w:val="17"/>
                          </w:rPr>
                        </w:pPr>
                      </w:p>
                      <w:p>
                        <w:pPr>
                          <w:pStyle w:val="TableParagraph"/>
                          <w:ind w:left="417"/>
                          <w:rPr>
                            <w:sz w:val="13"/>
                          </w:rPr>
                        </w:pPr>
                        <w:r>
                          <w:rPr>
                            <w:color w:val="232323"/>
                            <w:w w:val="105"/>
                            <w:sz w:val="13"/>
                          </w:rPr>
                          <w:t>678</w:t>
                        </w:r>
                      </w:p>
                      <w:p>
                        <w:pPr>
                          <w:pStyle w:val="TableParagraph"/>
                          <w:spacing w:before="24"/>
                          <w:ind w:left="418"/>
                          <w:rPr>
                            <w:sz w:val="13"/>
                          </w:rPr>
                        </w:pPr>
                        <w:r>
                          <w:rPr>
                            <w:color w:val="363636"/>
                            <w:w w:val="105"/>
                            <w:sz w:val="13"/>
                          </w:rPr>
                          <w:t>787</w:t>
                        </w:r>
                      </w:p>
                      <w:p>
                        <w:pPr>
                          <w:pStyle w:val="TableParagraph"/>
                          <w:spacing w:line="170" w:lineRule="atLeast" w:before="3"/>
                          <w:ind w:left="311" w:right="26" w:firstLine="103"/>
                          <w:rPr>
                            <w:sz w:val="13"/>
                          </w:rPr>
                        </w:pPr>
                        <w:r>
                          <w:rPr>
                            <w:color w:val="363636"/>
                            <w:w w:val="105"/>
                            <w:sz w:val="13"/>
                          </w:rPr>
                          <w:t>S56 </w:t>
                        </w:r>
                        <w:r>
                          <w:rPr>
                            <w:color w:val="232323"/>
                            <w:w w:val="105"/>
                            <w:sz w:val="13"/>
                          </w:rPr>
                          <w:t>1</w:t>
                        </w:r>
                        <w:r>
                          <w:rPr>
                            <w:color w:val="484848"/>
                            <w:w w:val="105"/>
                            <w:sz w:val="13"/>
                          </w:rPr>
                          <w:t>,</w:t>
                        </w:r>
                        <w:r>
                          <w:rPr>
                            <w:color w:val="232323"/>
                            <w:w w:val="105"/>
                            <w:sz w:val="13"/>
                          </w:rPr>
                          <w:t>018</w:t>
                        </w:r>
                      </w:p>
                    </w:tc>
                  </w:tr>
                  <w:tr>
                    <w:trPr>
                      <w:trHeight w:val="132" w:hRule="atLeast"/>
                    </w:trPr>
                    <w:tc>
                      <w:tcPr>
                        <w:tcW w:w="703" w:type="dxa"/>
                      </w:tcPr>
                      <w:p>
                        <w:pPr>
                          <w:pStyle w:val="TableParagraph"/>
                          <w:spacing w:line="112" w:lineRule="exact"/>
                          <w:ind w:right="15"/>
                          <w:jc w:val="right"/>
                          <w:rPr>
                            <w:sz w:val="13"/>
                          </w:rPr>
                        </w:pPr>
                        <w:r>
                          <w:rPr>
                            <w:color w:val="363636"/>
                            <w:w w:val="115"/>
                            <w:sz w:val="13"/>
                          </w:rPr>
                          <w:t>3,039</w:t>
                        </w:r>
                      </w:p>
                    </w:tc>
                  </w:tr>
                  <w:tr>
                    <w:trPr>
                      <w:trHeight w:val="1345" w:hRule="atLeast"/>
                    </w:trPr>
                    <w:tc>
                      <w:tcPr>
                        <w:tcW w:w="703" w:type="dxa"/>
                      </w:tcPr>
                      <w:p>
                        <w:pPr>
                          <w:pStyle w:val="TableParagraph"/>
                          <w:spacing w:before="10"/>
                          <w:rPr>
                            <w:sz w:val="14"/>
                          </w:rPr>
                        </w:pPr>
                      </w:p>
                      <w:p>
                        <w:pPr>
                          <w:pStyle w:val="TableParagraph"/>
                          <w:ind w:left="417"/>
                          <w:rPr>
                            <w:sz w:val="13"/>
                          </w:rPr>
                        </w:pPr>
                        <w:r>
                          <w:rPr>
                            <w:color w:val="232323"/>
                            <w:w w:val="115"/>
                            <w:sz w:val="13"/>
                          </w:rPr>
                          <w:t>63S</w:t>
                        </w:r>
                      </w:p>
                      <w:p>
                        <w:pPr>
                          <w:pStyle w:val="TableParagraph"/>
                          <w:rPr>
                            <w:sz w:val="14"/>
                          </w:rPr>
                        </w:pPr>
                      </w:p>
                      <w:p>
                        <w:pPr>
                          <w:pStyle w:val="TableParagraph"/>
                          <w:spacing w:before="2"/>
                          <w:rPr>
                            <w:sz w:val="18"/>
                          </w:rPr>
                        </w:pPr>
                      </w:p>
                      <w:p>
                        <w:pPr>
                          <w:pStyle w:val="TableParagraph"/>
                          <w:ind w:left="417"/>
                          <w:rPr>
                            <w:sz w:val="13"/>
                          </w:rPr>
                        </w:pPr>
                        <w:r>
                          <w:rPr>
                            <w:color w:val="232323"/>
                            <w:w w:val="115"/>
                            <w:sz w:val="13"/>
                          </w:rPr>
                          <w:t>394</w:t>
                        </w:r>
                      </w:p>
                      <w:p>
                        <w:pPr>
                          <w:pStyle w:val="TableParagraph"/>
                          <w:spacing w:before="24"/>
                          <w:ind w:left="420"/>
                          <w:rPr>
                            <w:sz w:val="13"/>
                          </w:rPr>
                        </w:pPr>
                        <w:r>
                          <w:rPr>
                            <w:color w:val="232323"/>
                            <w:w w:val="115"/>
                            <w:sz w:val="13"/>
                          </w:rPr>
                          <w:t>299</w:t>
                        </w:r>
                      </w:p>
                      <w:p>
                        <w:pPr>
                          <w:pStyle w:val="TableParagraph"/>
                          <w:spacing w:before="24"/>
                          <w:ind w:left="420"/>
                          <w:rPr>
                            <w:sz w:val="13"/>
                          </w:rPr>
                        </w:pPr>
                        <w:r>
                          <w:rPr>
                            <w:color w:val="232323"/>
                            <w:w w:val="115"/>
                            <w:sz w:val="13"/>
                          </w:rPr>
                          <w:t>222</w:t>
                        </w:r>
                      </w:p>
                      <w:p>
                        <w:pPr>
                          <w:pStyle w:val="TableParagraph"/>
                          <w:spacing w:line="115" w:lineRule="exact" w:before="24"/>
                          <w:ind w:left="417"/>
                          <w:rPr>
                            <w:sz w:val="13"/>
                          </w:rPr>
                        </w:pPr>
                        <w:r>
                          <w:rPr>
                            <w:color w:val="363636"/>
                            <w:w w:val="115"/>
                            <w:sz w:val="13"/>
                          </w:rPr>
                          <w:t>365</w:t>
                        </w:r>
                      </w:p>
                    </w:tc>
                  </w:tr>
                  <w:tr>
                    <w:trPr>
                      <w:trHeight w:val="143" w:hRule="atLeast"/>
                    </w:trPr>
                    <w:tc>
                      <w:tcPr>
                        <w:tcW w:w="703" w:type="dxa"/>
                      </w:tcPr>
                      <w:p>
                        <w:pPr>
                          <w:pStyle w:val="TableParagraph"/>
                          <w:spacing w:line="115" w:lineRule="exact" w:before="8"/>
                          <w:ind w:right="13"/>
                          <w:jc w:val="right"/>
                          <w:rPr>
                            <w:sz w:val="13"/>
                          </w:rPr>
                        </w:pPr>
                        <w:r>
                          <w:rPr>
                            <w:color w:val="232323"/>
                            <w:w w:val="115"/>
                            <w:sz w:val="13"/>
                          </w:rPr>
                          <w:t>1,280</w:t>
                        </w:r>
                      </w:p>
                    </w:tc>
                  </w:tr>
                  <w:tr>
                    <w:trPr>
                      <w:trHeight w:val="662" w:hRule="atLeast"/>
                    </w:trPr>
                    <w:tc>
                      <w:tcPr>
                        <w:tcW w:w="703" w:type="dxa"/>
                      </w:tcPr>
                      <w:p>
                        <w:pPr>
                          <w:pStyle w:val="TableParagraph"/>
                          <w:rPr>
                            <w:sz w:val="14"/>
                          </w:rPr>
                        </w:pPr>
                      </w:p>
                      <w:p>
                        <w:pPr>
                          <w:pStyle w:val="TableParagraph"/>
                          <w:spacing w:before="11"/>
                          <w:rPr>
                            <w:sz w:val="15"/>
                          </w:rPr>
                        </w:pPr>
                      </w:p>
                      <w:p>
                        <w:pPr>
                          <w:pStyle w:val="TableParagraph"/>
                          <w:ind w:right="21"/>
                          <w:jc w:val="right"/>
                          <w:rPr>
                            <w:sz w:val="13"/>
                          </w:rPr>
                        </w:pPr>
                        <w:r>
                          <w:rPr>
                            <w:color w:val="232323"/>
                            <w:w w:val="115"/>
                            <w:sz w:val="13"/>
                          </w:rPr>
                          <w:t>1</w:t>
                        </w:r>
                        <w:r>
                          <w:rPr>
                            <w:color w:val="484848"/>
                            <w:w w:val="115"/>
                            <w:sz w:val="13"/>
                          </w:rPr>
                          <w:t>,</w:t>
                        </w:r>
                        <w:r>
                          <w:rPr>
                            <w:color w:val="232323"/>
                            <w:w w:val="115"/>
                            <w:sz w:val="13"/>
                          </w:rPr>
                          <w:t>035</w:t>
                        </w:r>
                      </w:p>
                      <w:p>
                        <w:pPr>
                          <w:pStyle w:val="TableParagraph"/>
                          <w:spacing w:line="115" w:lineRule="exact" w:before="33"/>
                          <w:ind w:right="32"/>
                          <w:jc w:val="right"/>
                          <w:rPr>
                            <w:sz w:val="13"/>
                          </w:rPr>
                        </w:pPr>
                        <w:r>
                          <w:rPr>
                            <w:color w:val="232323"/>
                            <w:w w:val="115"/>
                            <w:sz w:val="13"/>
                          </w:rPr>
                          <w:t>179</w:t>
                        </w:r>
                      </w:p>
                    </w:tc>
                  </w:tr>
                </w:tbl>
                <w:p>
                  <w:pPr>
                    <w:pStyle w:val="BodyText"/>
                  </w:pPr>
                </w:p>
              </w:txbxContent>
            </v:textbox>
            <w10:wrap type="none"/>
          </v:shape>
        </w:pict>
      </w:r>
      <w:r>
        <w:rPr>
          <w:rFonts w:ascii="Times New Roman"/>
          <w:b/>
          <w:color w:val="232323"/>
          <w:sz w:val="14"/>
        </w:rPr>
        <w:t>Total</w:t>
        <w:tab/>
      </w:r>
      <w:r>
        <w:rPr>
          <w:rFonts w:ascii="Times New Roman"/>
          <w:color w:val="232323"/>
          <w:sz w:val="14"/>
        </w:rPr>
        <w:t>- </w:t>
      </w:r>
      <w:r>
        <w:rPr>
          <w:rFonts w:ascii="Times New Roman"/>
          <w:b/>
          <w:color w:val="232323"/>
          <w:sz w:val="14"/>
        </w:rPr>
        <w:t>Income </w:t>
      </w:r>
      <w:r>
        <w:rPr>
          <w:rFonts w:ascii="Times New Roman"/>
          <w:b/>
          <w:color w:val="232323"/>
          <w:spacing w:val="-4"/>
          <w:sz w:val="14"/>
        </w:rPr>
        <w:t>fun</w:t>
      </w:r>
      <w:r>
        <w:rPr>
          <w:rFonts w:ascii="Times New Roman"/>
          <w:b/>
          <w:spacing w:val="-4"/>
          <w:sz w:val="14"/>
        </w:rPr>
        <w:t>d</w:t>
      </w:r>
      <w:r>
        <w:rPr>
          <w:rFonts w:ascii="Times New Roman"/>
          <w:b/>
          <w:color w:val="363636"/>
          <w:spacing w:val="-4"/>
          <w:sz w:val="14"/>
        </w:rPr>
        <w:t>s</w:t>
      </w:r>
      <w:r>
        <w:rPr>
          <w:rFonts w:ascii="Times New Roman"/>
          <w:b/>
          <w:color w:val="363636"/>
          <w:spacing w:val="-10"/>
          <w:sz w:val="14"/>
        </w:rPr>
        <w:t> </w:t>
      </w:r>
      <w:r>
        <w:rPr>
          <w:rFonts w:ascii="Times New Roman"/>
          <w:color w:val="232323"/>
          <w:spacing w:val="-12"/>
          <w:sz w:val="14"/>
        </w:rPr>
        <w:t>-</w:t>
      </w:r>
    </w:p>
    <w:p>
      <w:pPr>
        <w:pStyle w:val="BodyText"/>
        <w:rPr>
          <w:rFonts w:ascii="Times New Roman"/>
          <w:sz w:val="14"/>
        </w:rPr>
      </w:pPr>
      <w:r>
        <w:rPr/>
        <w:br w:type="column"/>
      </w:r>
      <w:r>
        <w:rPr>
          <w:rFonts w:ascii="Times New Roman"/>
          <w:sz w:val="14"/>
        </w:rPr>
      </w:r>
    </w:p>
    <w:p>
      <w:pPr>
        <w:spacing w:before="116"/>
        <w:ind w:left="555" w:right="0" w:firstLine="0"/>
        <w:jc w:val="left"/>
        <w:rPr>
          <w:rFonts w:ascii="Times New Roman"/>
          <w:sz w:val="13"/>
        </w:rPr>
      </w:pPr>
      <w:r>
        <w:rPr>
          <w:rFonts w:ascii="Times New Roman"/>
          <w:color w:val="363636"/>
          <w:w w:val="120"/>
          <w:sz w:val="13"/>
        </w:rPr>
        <w:t>Capital</w:t>
      </w:r>
    </w:p>
    <w:p>
      <w:pPr>
        <w:spacing w:after="0"/>
        <w:jc w:val="left"/>
        <w:rPr>
          <w:rFonts w:ascii="Times New Roman"/>
          <w:sz w:val="13"/>
        </w:rPr>
        <w:sectPr>
          <w:type w:val="continuous"/>
          <w:pgSz w:w="10950" w:h="15880"/>
          <w:pgMar w:top="680" w:bottom="280" w:left="500" w:right="0"/>
          <w:cols w:num="3" w:equalWidth="0">
            <w:col w:w="1935" w:space="2599"/>
            <w:col w:w="3274" w:space="40"/>
            <w:col w:w="2602"/>
          </w:cols>
        </w:sectPr>
      </w:pPr>
    </w:p>
    <w:tbl>
      <w:tblPr>
        <w:tblW w:w="0" w:type="auto"/>
        <w:jc w:val="left"/>
        <w:tblInd w:w="1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2"/>
        <w:gridCol w:w="3353"/>
        <w:gridCol w:w="424"/>
        <w:gridCol w:w="832"/>
        <w:gridCol w:w="930"/>
        <w:gridCol w:w="858"/>
        <w:gridCol w:w="557"/>
      </w:tblGrid>
      <w:tr>
        <w:trPr>
          <w:trHeight w:val="341" w:hRule="atLeast"/>
        </w:trPr>
        <w:tc>
          <w:tcPr>
            <w:tcW w:w="712" w:type="dxa"/>
          </w:tcPr>
          <w:p>
            <w:pPr>
              <w:pStyle w:val="TableParagraph"/>
              <w:spacing w:before="3"/>
              <w:ind w:left="357"/>
              <w:rPr>
                <w:sz w:val="13"/>
              </w:rPr>
            </w:pPr>
            <w:r>
              <w:rPr>
                <w:color w:val="232323"/>
                <w:w w:val="120"/>
                <w:sz w:val="13"/>
              </w:rPr>
              <w:t>funds</w:t>
            </w:r>
          </w:p>
          <w:p>
            <w:pPr>
              <w:pStyle w:val="TableParagraph"/>
              <w:spacing w:line="145" w:lineRule="exact" w:before="24"/>
              <w:ind w:left="358"/>
              <w:rPr>
                <w:sz w:val="13"/>
              </w:rPr>
            </w:pPr>
            <w:r>
              <w:rPr>
                <w:color w:val="232323"/>
                <w:w w:val="120"/>
                <w:sz w:val="13"/>
              </w:rPr>
              <w:t>£'000</w:t>
            </w:r>
          </w:p>
        </w:tc>
        <w:tc>
          <w:tcPr>
            <w:tcW w:w="3353" w:type="dxa"/>
          </w:tcPr>
          <w:p>
            <w:pPr>
              <w:pStyle w:val="TableParagraph"/>
              <w:spacing w:before="3"/>
              <w:ind w:left="176"/>
              <w:rPr>
                <w:sz w:val="13"/>
              </w:rPr>
            </w:pPr>
            <w:r>
              <w:rPr>
                <w:color w:val="232323"/>
                <w:w w:val="115"/>
                <w:sz w:val="13"/>
              </w:rPr>
              <w:t>Incoming </w:t>
            </w:r>
            <w:r>
              <w:rPr>
                <w:w w:val="115"/>
                <w:sz w:val="13"/>
              </w:rPr>
              <w:t>r</w:t>
            </w:r>
            <w:r>
              <w:rPr>
                <w:color w:val="363636"/>
                <w:w w:val="115"/>
                <w:sz w:val="13"/>
              </w:rPr>
              <w:t>esources</w:t>
            </w:r>
          </w:p>
        </w:tc>
        <w:tc>
          <w:tcPr>
            <w:tcW w:w="424" w:type="dxa"/>
          </w:tcPr>
          <w:p>
            <w:pPr>
              <w:pStyle w:val="TableParagraph"/>
              <w:spacing w:line="155" w:lineRule="exact"/>
              <w:ind w:left="68" w:right="58"/>
              <w:jc w:val="center"/>
              <w:rPr>
                <w:b/>
                <w:sz w:val="14"/>
              </w:rPr>
            </w:pPr>
            <w:r>
              <w:rPr>
                <w:b/>
                <w:color w:val="232323"/>
                <w:sz w:val="14"/>
              </w:rPr>
              <w:t>note</w:t>
            </w:r>
          </w:p>
        </w:tc>
        <w:tc>
          <w:tcPr>
            <w:tcW w:w="832" w:type="dxa"/>
          </w:tcPr>
          <w:p>
            <w:pPr>
              <w:pStyle w:val="TableParagraph"/>
              <w:spacing w:line="155" w:lineRule="exact"/>
              <w:ind w:left="404"/>
              <w:rPr>
                <w:b/>
                <w:sz w:val="14"/>
              </w:rPr>
            </w:pPr>
            <w:r>
              <w:rPr>
                <w:b/>
                <w:color w:val="232323"/>
                <w:w w:val="105"/>
                <w:sz w:val="14"/>
              </w:rPr>
              <w:t>funds</w:t>
            </w:r>
          </w:p>
          <w:p>
            <w:pPr>
              <w:pStyle w:val="TableParagraph"/>
              <w:spacing w:line="154" w:lineRule="exact" w:before="12"/>
              <w:ind w:left="406"/>
              <w:rPr>
                <w:b/>
                <w:sz w:val="14"/>
              </w:rPr>
            </w:pPr>
            <w:r>
              <w:rPr>
                <w:b/>
                <w:color w:val="232323"/>
                <w:w w:val="105"/>
                <w:sz w:val="14"/>
              </w:rPr>
              <w:t>£'000</w:t>
            </w:r>
          </w:p>
        </w:tc>
        <w:tc>
          <w:tcPr>
            <w:tcW w:w="930" w:type="dxa"/>
          </w:tcPr>
          <w:p>
            <w:pPr>
              <w:pStyle w:val="TableParagraph"/>
              <w:spacing w:line="155" w:lineRule="exact"/>
              <w:ind w:right="103"/>
              <w:jc w:val="right"/>
              <w:rPr>
                <w:b/>
                <w:sz w:val="14"/>
              </w:rPr>
            </w:pPr>
            <w:r>
              <w:rPr>
                <w:b/>
                <w:color w:val="363636"/>
                <w:spacing w:val="-1"/>
                <w:w w:val="95"/>
                <w:sz w:val="14"/>
              </w:rPr>
              <w:t>Unrestricted</w:t>
            </w:r>
          </w:p>
          <w:p>
            <w:pPr>
              <w:pStyle w:val="TableParagraph"/>
              <w:spacing w:line="154" w:lineRule="exact" w:before="12"/>
              <w:ind w:right="80"/>
              <w:jc w:val="right"/>
              <w:rPr>
                <w:b/>
                <w:sz w:val="14"/>
              </w:rPr>
            </w:pPr>
            <w:r>
              <w:rPr>
                <w:b/>
                <w:color w:val="363636"/>
                <w:w w:val="105"/>
                <w:sz w:val="14"/>
              </w:rPr>
              <w:t>£'000</w:t>
            </w:r>
          </w:p>
        </w:tc>
        <w:tc>
          <w:tcPr>
            <w:tcW w:w="858" w:type="dxa"/>
          </w:tcPr>
          <w:p>
            <w:pPr>
              <w:pStyle w:val="TableParagraph"/>
              <w:spacing w:line="155" w:lineRule="exact"/>
              <w:ind w:right="157"/>
              <w:jc w:val="right"/>
              <w:rPr>
                <w:b/>
                <w:sz w:val="14"/>
              </w:rPr>
            </w:pPr>
            <w:r>
              <w:rPr>
                <w:b/>
                <w:color w:val="232323"/>
                <w:spacing w:val="-1"/>
                <w:w w:val="95"/>
                <w:sz w:val="14"/>
              </w:rPr>
              <w:t>Restricted</w:t>
            </w:r>
          </w:p>
          <w:p>
            <w:pPr>
              <w:pStyle w:val="TableParagraph"/>
              <w:spacing w:line="154" w:lineRule="exact" w:before="12"/>
              <w:ind w:right="148"/>
              <w:jc w:val="right"/>
              <w:rPr>
                <w:b/>
                <w:sz w:val="14"/>
              </w:rPr>
            </w:pPr>
            <w:r>
              <w:rPr>
                <w:b/>
                <w:color w:val="232323"/>
                <w:spacing w:val="-1"/>
                <w:w w:val="105"/>
                <w:sz w:val="14"/>
              </w:rPr>
              <w:t>£'000</w:t>
            </w:r>
          </w:p>
        </w:tc>
        <w:tc>
          <w:tcPr>
            <w:tcW w:w="557" w:type="dxa"/>
          </w:tcPr>
          <w:p>
            <w:pPr>
              <w:pStyle w:val="TableParagraph"/>
              <w:spacing w:before="3"/>
              <w:ind w:left="210"/>
              <w:rPr>
                <w:sz w:val="13"/>
              </w:rPr>
            </w:pPr>
            <w:r>
              <w:rPr>
                <w:color w:val="232323"/>
                <w:spacing w:val="-3"/>
                <w:w w:val="120"/>
                <w:sz w:val="13"/>
              </w:rPr>
              <w:t>fun</w:t>
            </w:r>
            <w:r>
              <w:rPr>
                <w:spacing w:val="-3"/>
                <w:w w:val="120"/>
                <w:sz w:val="13"/>
              </w:rPr>
              <w:t>d</w:t>
            </w:r>
            <w:r>
              <w:rPr>
                <w:color w:val="484848"/>
                <w:spacing w:val="-3"/>
                <w:w w:val="120"/>
                <w:sz w:val="13"/>
              </w:rPr>
              <w:t>s</w:t>
            </w:r>
          </w:p>
          <w:p>
            <w:pPr>
              <w:pStyle w:val="TableParagraph"/>
              <w:spacing w:line="145" w:lineRule="exact" w:before="24"/>
              <w:ind w:left="211" w:right="-15"/>
              <w:rPr>
                <w:sz w:val="13"/>
              </w:rPr>
            </w:pPr>
            <w:r>
              <w:rPr>
                <w:color w:val="232323"/>
                <w:w w:val="125"/>
                <w:sz w:val="13"/>
              </w:rPr>
              <w:t>£'000</w:t>
            </w:r>
          </w:p>
        </w:tc>
      </w:tr>
      <w:tr>
        <w:trPr>
          <w:trHeight w:val="172" w:hRule="atLeast"/>
        </w:trPr>
        <w:tc>
          <w:tcPr>
            <w:tcW w:w="712" w:type="dxa"/>
          </w:tcPr>
          <w:p>
            <w:pPr>
              <w:pStyle w:val="TableParagraph"/>
              <w:spacing w:line="144" w:lineRule="exact" w:before="8"/>
              <w:ind w:right="14"/>
              <w:jc w:val="right"/>
              <w:rPr>
                <w:sz w:val="13"/>
              </w:rPr>
            </w:pPr>
            <w:r>
              <w:rPr>
                <w:color w:val="484848"/>
                <w:w w:val="105"/>
                <w:sz w:val="13"/>
              </w:rPr>
              <w:t>(restated)</w:t>
            </w:r>
          </w:p>
        </w:tc>
        <w:tc>
          <w:tcPr>
            <w:tcW w:w="3353" w:type="dxa"/>
          </w:tcPr>
          <w:p>
            <w:pPr>
              <w:pStyle w:val="TableParagraph"/>
              <w:spacing w:line="144" w:lineRule="exact" w:before="8"/>
              <w:ind w:left="176"/>
              <w:rPr>
                <w:sz w:val="13"/>
              </w:rPr>
            </w:pPr>
            <w:r>
              <w:rPr>
                <w:color w:val="232323"/>
                <w:w w:val="115"/>
                <w:sz w:val="13"/>
              </w:rPr>
              <w:t>Incoming </w:t>
            </w:r>
            <w:r>
              <w:rPr>
                <w:w w:val="115"/>
                <w:sz w:val="13"/>
              </w:rPr>
              <w:t>r</w:t>
            </w:r>
            <w:r>
              <w:rPr>
                <w:color w:val="232323"/>
                <w:w w:val="115"/>
                <w:sz w:val="13"/>
              </w:rPr>
              <w:t>esources </w:t>
            </w:r>
            <w:r>
              <w:rPr>
                <w:color w:val="363636"/>
                <w:w w:val="115"/>
                <w:sz w:val="13"/>
              </w:rPr>
              <w:t>f</w:t>
            </w:r>
            <w:r>
              <w:rPr>
                <w:w w:val="115"/>
                <w:sz w:val="13"/>
              </w:rPr>
              <w:t>r</w:t>
            </w:r>
            <w:r>
              <w:rPr>
                <w:color w:val="363636"/>
                <w:w w:val="115"/>
                <w:sz w:val="13"/>
              </w:rPr>
              <w:t>om gene</w:t>
            </w:r>
            <w:r>
              <w:rPr>
                <w:w w:val="115"/>
                <w:sz w:val="13"/>
              </w:rPr>
              <w:t>r</w:t>
            </w:r>
            <w:r>
              <w:rPr>
                <w:color w:val="363636"/>
                <w:w w:val="115"/>
                <w:sz w:val="13"/>
              </w:rPr>
              <w:t>a ted </w:t>
            </w:r>
            <w:r>
              <w:rPr>
                <w:color w:val="232323"/>
                <w:w w:val="115"/>
                <w:sz w:val="13"/>
              </w:rPr>
              <w:t>fund</w:t>
            </w:r>
            <w:r>
              <w:rPr>
                <w:color w:val="484848"/>
                <w:w w:val="115"/>
                <w:sz w:val="13"/>
              </w:rPr>
              <w:t>s</w:t>
            </w:r>
          </w:p>
        </w:tc>
        <w:tc>
          <w:tcPr>
            <w:tcW w:w="424" w:type="dxa"/>
          </w:tcPr>
          <w:p>
            <w:pPr>
              <w:pStyle w:val="TableParagraph"/>
              <w:rPr>
                <w:sz w:val="10"/>
              </w:rPr>
            </w:pPr>
          </w:p>
        </w:tc>
        <w:tc>
          <w:tcPr>
            <w:tcW w:w="832" w:type="dxa"/>
          </w:tcPr>
          <w:p>
            <w:pPr>
              <w:pStyle w:val="TableParagraph"/>
              <w:rPr>
                <w:sz w:val="10"/>
              </w:rPr>
            </w:pPr>
          </w:p>
        </w:tc>
        <w:tc>
          <w:tcPr>
            <w:tcW w:w="930" w:type="dxa"/>
          </w:tcPr>
          <w:p>
            <w:pPr>
              <w:pStyle w:val="TableParagraph"/>
              <w:rPr>
                <w:sz w:val="10"/>
              </w:rPr>
            </w:pPr>
          </w:p>
        </w:tc>
        <w:tc>
          <w:tcPr>
            <w:tcW w:w="858" w:type="dxa"/>
          </w:tcPr>
          <w:p>
            <w:pPr>
              <w:pStyle w:val="TableParagraph"/>
              <w:rPr>
                <w:sz w:val="10"/>
              </w:rPr>
            </w:pPr>
          </w:p>
        </w:tc>
        <w:tc>
          <w:tcPr>
            <w:tcW w:w="557" w:type="dxa"/>
          </w:tcPr>
          <w:p>
            <w:pPr>
              <w:pStyle w:val="TableParagraph"/>
              <w:rPr>
                <w:sz w:val="10"/>
              </w:rPr>
            </w:pPr>
          </w:p>
        </w:tc>
      </w:tr>
      <w:tr>
        <w:trPr>
          <w:trHeight w:val="144" w:hRule="atLeast"/>
        </w:trPr>
        <w:tc>
          <w:tcPr>
            <w:tcW w:w="712" w:type="dxa"/>
          </w:tcPr>
          <w:p>
            <w:pPr>
              <w:pStyle w:val="TableParagraph"/>
              <w:rPr>
                <w:sz w:val="8"/>
              </w:rPr>
            </w:pPr>
          </w:p>
        </w:tc>
        <w:tc>
          <w:tcPr>
            <w:tcW w:w="3353" w:type="dxa"/>
          </w:tcPr>
          <w:p>
            <w:pPr>
              <w:pStyle w:val="TableParagraph"/>
              <w:spacing w:line="115" w:lineRule="exact" w:before="9"/>
              <w:ind w:left="178"/>
              <w:rPr>
                <w:sz w:val="13"/>
              </w:rPr>
            </w:pPr>
            <w:r>
              <w:rPr>
                <w:color w:val="363636"/>
                <w:w w:val="115"/>
                <w:sz w:val="13"/>
              </w:rPr>
              <w:t>Vo</w:t>
            </w:r>
            <w:r>
              <w:rPr>
                <w:w w:val="115"/>
                <w:sz w:val="13"/>
              </w:rPr>
              <w:t>l</w:t>
            </w:r>
            <w:r>
              <w:rPr>
                <w:color w:val="232323"/>
                <w:w w:val="115"/>
                <w:sz w:val="13"/>
              </w:rPr>
              <w:t>untary Income</w:t>
            </w:r>
          </w:p>
        </w:tc>
        <w:tc>
          <w:tcPr>
            <w:tcW w:w="424" w:type="dxa"/>
          </w:tcPr>
          <w:p>
            <w:pPr>
              <w:pStyle w:val="TableParagraph"/>
              <w:rPr>
                <w:sz w:val="8"/>
              </w:rPr>
            </w:pPr>
          </w:p>
        </w:tc>
        <w:tc>
          <w:tcPr>
            <w:tcW w:w="832" w:type="dxa"/>
            <w:tcBorders>
              <w:bottom w:val="single" w:sz="12" w:space="0" w:color="000000"/>
            </w:tcBorders>
          </w:tcPr>
          <w:p>
            <w:pPr>
              <w:pStyle w:val="TableParagraph"/>
              <w:rPr>
                <w:sz w:val="8"/>
              </w:rPr>
            </w:pPr>
          </w:p>
        </w:tc>
        <w:tc>
          <w:tcPr>
            <w:tcW w:w="930" w:type="dxa"/>
            <w:tcBorders>
              <w:bottom w:val="single" w:sz="12" w:space="0" w:color="000000"/>
            </w:tcBorders>
          </w:tcPr>
          <w:p>
            <w:pPr>
              <w:pStyle w:val="TableParagraph"/>
              <w:rPr>
                <w:sz w:val="8"/>
              </w:rPr>
            </w:pPr>
          </w:p>
        </w:tc>
        <w:tc>
          <w:tcPr>
            <w:tcW w:w="858" w:type="dxa"/>
            <w:tcBorders>
              <w:bottom w:val="single" w:sz="12" w:space="0" w:color="000000"/>
            </w:tcBorders>
          </w:tcPr>
          <w:p>
            <w:pPr>
              <w:pStyle w:val="TableParagraph"/>
              <w:rPr>
                <w:sz w:val="8"/>
              </w:rPr>
            </w:pPr>
          </w:p>
        </w:tc>
        <w:tc>
          <w:tcPr>
            <w:tcW w:w="557" w:type="dxa"/>
            <w:tcBorders>
              <w:bottom w:val="single" w:sz="12" w:space="0" w:color="000000"/>
            </w:tcBorders>
          </w:tcPr>
          <w:p>
            <w:pPr>
              <w:pStyle w:val="TableParagraph"/>
              <w:rPr>
                <w:sz w:val="8"/>
              </w:rPr>
            </w:pPr>
          </w:p>
        </w:tc>
      </w:tr>
      <w:tr>
        <w:trPr>
          <w:trHeight w:val="233" w:hRule="atLeast"/>
        </w:trPr>
        <w:tc>
          <w:tcPr>
            <w:tcW w:w="712" w:type="dxa"/>
          </w:tcPr>
          <w:p>
            <w:pPr>
              <w:pStyle w:val="TableParagraph"/>
              <w:rPr>
                <w:sz w:val="14"/>
              </w:rPr>
            </w:pPr>
          </w:p>
        </w:tc>
        <w:tc>
          <w:tcPr>
            <w:tcW w:w="3353" w:type="dxa"/>
          </w:tcPr>
          <w:p>
            <w:pPr>
              <w:pStyle w:val="TableParagraph"/>
              <w:spacing w:before="8"/>
              <w:ind w:left="177"/>
              <w:rPr>
                <w:sz w:val="13"/>
              </w:rPr>
            </w:pPr>
            <w:r>
              <w:rPr>
                <w:color w:val="363636"/>
                <w:w w:val="110"/>
                <w:sz w:val="13"/>
              </w:rPr>
              <w:t>Ministry and </w:t>
            </w:r>
            <w:r>
              <w:rPr>
                <w:color w:val="484848"/>
                <w:w w:val="110"/>
                <w:sz w:val="13"/>
              </w:rPr>
              <w:t>Mission Fundcontributions</w:t>
            </w:r>
          </w:p>
        </w:tc>
        <w:tc>
          <w:tcPr>
            <w:tcW w:w="424" w:type="dxa"/>
            <w:tcBorders>
              <w:right w:val="single" w:sz="12" w:space="0" w:color="000000"/>
            </w:tcBorders>
          </w:tcPr>
          <w:p>
            <w:pPr>
              <w:pStyle w:val="TableParagraph"/>
              <w:spacing w:line="162" w:lineRule="exact"/>
              <w:ind w:left="68" w:right="48"/>
              <w:jc w:val="center"/>
              <w:rPr>
                <w:b/>
                <w:sz w:val="15"/>
              </w:rPr>
            </w:pPr>
            <w:r>
              <w:rPr>
                <w:b/>
                <w:color w:val="484848"/>
                <w:sz w:val="15"/>
              </w:rPr>
              <w:t>2(a)</w:t>
            </w:r>
          </w:p>
        </w:tc>
        <w:tc>
          <w:tcPr>
            <w:tcW w:w="832" w:type="dxa"/>
            <w:tcBorders>
              <w:top w:val="single" w:sz="12" w:space="0" w:color="000000"/>
              <w:left w:val="single" w:sz="12" w:space="0" w:color="000000"/>
            </w:tcBorders>
          </w:tcPr>
          <w:p>
            <w:pPr>
              <w:pStyle w:val="TableParagraph"/>
              <w:spacing w:before="8"/>
              <w:ind w:left="275"/>
              <w:rPr>
                <w:sz w:val="13"/>
              </w:rPr>
            </w:pPr>
            <w:r>
              <w:rPr>
                <w:color w:val="232323"/>
                <w:w w:val="125"/>
                <w:sz w:val="13"/>
              </w:rPr>
              <w:t>20</w:t>
            </w:r>
            <w:r>
              <w:rPr>
                <w:color w:val="484848"/>
                <w:w w:val="125"/>
                <w:sz w:val="13"/>
              </w:rPr>
              <w:t>,</w:t>
            </w:r>
            <w:r>
              <w:rPr>
                <w:color w:val="232323"/>
                <w:w w:val="125"/>
                <w:sz w:val="13"/>
              </w:rPr>
              <w:t>199</w:t>
            </w:r>
          </w:p>
        </w:tc>
        <w:tc>
          <w:tcPr>
            <w:tcW w:w="930" w:type="dxa"/>
            <w:tcBorders>
              <w:top w:val="single" w:sz="12" w:space="0" w:color="000000"/>
            </w:tcBorders>
          </w:tcPr>
          <w:p>
            <w:pPr>
              <w:pStyle w:val="TableParagraph"/>
              <w:spacing w:before="8"/>
              <w:ind w:right="128"/>
              <w:jc w:val="right"/>
              <w:rPr>
                <w:sz w:val="13"/>
              </w:rPr>
            </w:pPr>
            <w:r>
              <w:rPr>
                <w:color w:val="484848"/>
                <w:w w:val="105"/>
                <w:sz w:val="13"/>
              </w:rPr>
              <w:t>20,199</w:t>
            </w:r>
          </w:p>
        </w:tc>
        <w:tc>
          <w:tcPr>
            <w:tcW w:w="858" w:type="dxa"/>
            <w:tcBorders>
              <w:top w:val="single" w:sz="12" w:space="0" w:color="000000"/>
            </w:tcBorders>
          </w:tcPr>
          <w:p>
            <w:pPr>
              <w:pStyle w:val="TableParagraph"/>
              <w:spacing w:line="139" w:lineRule="exact"/>
              <w:ind w:left="530"/>
              <w:rPr>
                <w:sz w:val="18"/>
              </w:rPr>
            </w:pPr>
            <w:r>
              <w:rPr>
                <w:color w:val="484848"/>
                <w:w w:val="108"/>
                <w:sz w:val="18"/>
              </w:rPr>
              <w:t>.</w:t>
            </w:r>
          </w:p>
        </w:tc>
        <w:tc>
          <w:tcPr>
            <w:tcW w:w="557" w:type="dxa"/>
            <w:tcBorders>
              <w:top w:val="single" w:sz="12" w:space="0" w:color="000000"/>
              <w:right w:val="single" w:sz="12" w:space="0" w:color="000000"/>
            </w:tcBorders>
          </w:tcPr>
          <w:p>
            <w:pPr>
              <w:pStyle w:val="TableParagraph"/>
              <w:spacing w:line="129" w:lineRule="exact"/>
              <w:ind w:right="77"/>
              <w:jc w:val="right"/>
              <w:rPr>
                <w:sz w:val="13"/>
              </w:rPr>
            </w:pPr>
            <w:r>
              <w:rPr>
                <w:color w:val="5E5E5E"/>
                <w:w w:val="108"/>
                <w:sz w:val="13"/>
              </w:rPr>
              <w:t>.</w:t>
            </w:r>
          </w:p>
        </w:tc>
      </w:tr>
      <w:tr>
        <w:trPr>
          <w:trHeight w:val="275" w:hRule="atLeast"/>
        </w:trPr>
        <w:tc>
          <w:tcPr>
            <w:tcW w:w="712" w:type="dxa"/>
          </w:tcPr>
          <w:p>
            <w:pPr>
              <w:pStyle w:val="TableParagraph"/>
              <w:rPr>
                <w:sz w:val="14"/>
              </w:rPr>
            </w:pPr>
          </w:p>
        </w:tc>
        <w:tc>
          <w:tcPr>
            <w:tcW w:w="3353" w:type="dxa"/>
          </w:tcPr>
          <w:p>
            <w:pPr>
              <w:pStyle w:val="TableParagraph"/>
              <w:spacing w:line="134" w:lineRule="exact" w:before="121"/>
              <w:ind w:left="175"/>
              <w:rPr>
                <w:sz w:val="13"/>
              </w:rPr>
            </w:pPr>
            <w:r>
              <w:rPr>
                <w:color w:val="484848"/>
                <w:w w:val="105"/>
                <w:sz w:val="13"/>
              </w:rPr>
              <w:t>Grants re-:eivab</w:t>
            </w:r>
            <w:r>
              <w:rPr>
                <w:color w:val="232323"/>
                <w:w w:val="105"/>
                <w:sz w:val="13"/>
              </w:rPr>
              <w:t>l</w:t>
            </w:r>
            <w:r>
              <w:rPr>
                <w:color w:val="484848"/>
                <w:w w:val="105"/>
                <w:sz w:val="13"/>
              </w:rPr>
              <w:t>e</w:t>
            </w:r>
          </w:p>
        </w:tc>
        <w:tc>
          <w:tcPr>
            <w:tcW w:w="424" w:type="dxa"/>
            <w:tcBorders>
              <w:right w:val="single" w:sz="12" w:space="0" w:color="000000"/>
            </w:tcBorders>
          </w:tcPr>
          <w:p>
            <w:pPr>
              <w:pStyle w:val="TableParagraph"/>
              <w:spacing w:line="144" w:lineRule="exact" w:before="112"/>
              <w:ind w:left="62" w:right="49"/>
              <w:jc w:val="center"/>
              <w:rPr>
                <w:sz w:val="14"/>
              </w:rPr>
            </w:pPr>
            <w:r>
              <w:rPr>
                <w:color w:val="484848"/>
                <w:w w:val="105"/>
                <w:sz w:val="14"/>
              </w:rPr>
              <w:t>2(b)</w:t>
            </w:r>
          </w:p>
        </w:tc>
        <w:tc>
          <w:tcPr>
            <w:tcW w:w="832" w:type="dxa"/>
            <w:tcBorders>
              <w:left w:val="single" w:sz="12" w:space="0" w:color="000000"/>
            </w:tcBorders>
          </w:tcPr>
          <w:p>
            <w:pPr>
              <w:pStyle w:val="TableParagraph"/>
              <w:spacing w:line="134" w:lineRule="exact" w:before="121"/>
              <w:ind w:right="148"/>
              <w:jc w:val="right"/>
              <w:rPr>
                <w:sz w:val="13"/>
              </w:rPr>
            </w:pPr>
            <w:r>
              <w:rPr>
                <w:color w:val="363636"/>
                <w:w w:val="105"/>
                <w:sz w:val="13"/>
              </w:rPr>
              <w:t>683</w:t>
            </w:r>
          </w:p>
        </w:tc>
        <w:tc>
          <w:tcPr>
            <w:tcW w:w="930" w:type="dxa"/>
          </w:tcPr>
          <w:p>
            <w:pPr>
              <w:pStyle w:val="TableParagraph"/>
              <w:spacing w:line="153" w:lineRule="exact" w:before="102"/>
              <w:ind w:right="126"/>
              <w:jc w:val="right"/>
              <w:rPr>
                <w:sz w:val="15"/>
              </w:rPr>
            </w:pPr>
            <w:r>
              <w:rPr>
                <w:color w:val="484848"/>
                <w:sz w:val="15"/>
              </w:rPr>
              <w:t>636</w:t>
            </w:r>
          </w:p>
        </w:tc>
        <w:tc>
          <w:tcPr>
            <w:tcW w:w="858" w:type="dxa"/>
          </w:tcPr>
          <w:p>
            <w:pPr>
              <w:pStyle w:val="TableParagraph"/>
              <w:spacing w:line="134" w:lineRule="exact" w:before="121"/>
              <w:ind w:right="210"/>
              <w:jc w:val="right"/>
              <w:rPr>
                <w:sz w:val="13"/>
              </w:rPr>
            </w:pPr>
            <w:r>
              <w:rPr>
                <w:color w:val="363636"/>
                <w:sz w:val="13"/>
              </w:rPr>
              <w:t>47</w:t>
            </w:r>
          </w:p>
        </w:tc>
        <w:tc>
          <w:tcPr>
            <w:tcW w:w="557" w:type="dxa"/>
            <w:tcBorders>
              <w:right w:val="single" w:sz="12" w:space="0" w:color="000000"/>
            </w:tcBorders>
          </w:tcPr>
          <w:p>
            <w:pPr>
              <w:pStyle w:val="TableParagraph"/>
              <w:spacing w:line="191" w:lineRule="exact" w:before="65"/>
              <w:ind w:right="40"/>
              <w:jc w:val="right"/>
              <w:rPr>
                <w:rFonts w:ascii="Arial"/>
                <w:sz w:val="21"/>
              </w:rPr>
            </w:pPr>
            <w:r>
              <w:rPr>
                <w:rFonts w:ascii="Arial"/>
                <w:color w:val="363636"/>
                <w:w w:val="99"/>
                <w:sz w:val="21"/>
              </w:rPr>
              <w:t>-</w:t>
            </w:r>
          </w:p>
        </w:tc>
      </w:tr>
      <w:tr>
        <w:trPr>
          <w:trHeight w:val="182" w:hRule="atLeast"/>
        </w:trPr>
        <w:tc>
          <w:tcPr>
            <w:tcW w:w="712" w:type="dxa"/>
          </w:tcPr>
          <w:p>
            <w:pPr>
              <w:pStyle w:val="TableParagraph"/>
              <w:rPr>
                <w:sz w:val="12"/>
              </w:rPr>
            </w:pPr>
          </w:p>
        </w:tc>
        <w:tc>
          <w:tcPr>
            <w:tcW w:w="3353" w:type="dxa"/>
          </w:tcPr>
          <w:p>
            <w:pPr>
              <w:pStyle w:val="TableParagraph"/>
              <w:spacing w:line="144" w:lineRule="exact" w:before="19"/>
              <w:ind w:left="177"/>
              <w:rPr>
                <w:sz w:val="13"/>
              </w:rPr>
            </w:pPr>
            <w:r>
              <w:rPr>
                <w:color w:val="484848"/>
                <w:w w:val="105"/>
                <w:sz w:val="13"/>
              </w:rPr>
              <w:t>Legacies</w:t>
            </w:r>
          </w:p>
        </w:tc>
        <w:tc>
          <w:tcPr>
            <w:tcW w:w="424" w:type="dxa"/>
            <w:tcBorders>
              <w:right w:val="single" w:sz="12" w:space="0" w:color="000000"/>
            </w:tcBorders>
          </w:tcPr>
          <w:p>
            <w:pPr>
              <w:pStyle w:val="TableParagraph"/>
              <w:rPr>
                <w:sz w:val="12"/>
              </w:rPr>
            </w:pPr>
          </w:p>
        </w:tc>
        <w:tc>
          <w:tcPr>
            <w:tcW w:w="832" w:type="dxa"/>
            <w:tcBorders>
              <w:left w:val="single" w:sz="12" w:space="0" w:color="000000"/>
            </w:tcBorders>
          </w:tcPr>
          <w:p>
            <w:pPr>
              <w:pStyle w:val="TableParagraph"/>
              <w:spacing w:line="144" w:lineRule="exact" w:before="19"/>
              <w:ind w:right="166"/>
              <w:jc w:val="right"/>
              <w:rPr>
                <w:sz w:val="13"/>
              </w:rPr>
            </w:pPr>
            <w:r>
              <w:rPr>
                <w:color w:val="363636"/>
                <w:w w:val="95"/>
                <w:sz w:val="13"/>
              </w:rPr>
              <w:t>521</w:t>
            </w:r>
          </w:p>
        </w:tc>
        <w:tc>
          <w:tcPr>
            <w:tcW w:w="930" w:type="dxa"/>
          </w:tcPr>
          <w:p>
            <w:pPr>
              <w:pStyle w:val="TableParagraph"/>
              <w:spacing w:line="144" w:lineRule="exact" w:before="19"/>
              <w:ind w:right="158"/>
              <w:jc w:val="right"/>
              <w:rPr>
                <w:sz w:val="13"/>
              </w:rPr>
            </w:pPr>
            <w:r>
              <w:rPr>
                <w:color w:val="484848"/>
                <w:w w:val="95"/>
                <w:sz w:val="13"/>
              </w:rPr>
              <w:t>291</w:t>
            </w:r>
          </w:p>
        </w:tc>
        <w:tc>
          <w:tcPr>
            <w:tcW w:w="858" w:type="dxa"/>
          </w:tcPr>
          <w:p>
            <w:pPr>
              <w:pStyle w:val="TableParagraph"/>
              <w:spacing w:line="144" w:lineRule="exact" w:before="19"/>
              <w:ind w:right="217"/>
              <w:jc w:val="right"/>
              <w:rPr>
                <w:sz w:val="13"/>
              </w:rPr>
            </w:pPr>
            <w:r>
              <w:rPr>
                <w:color w:val="484848"/>
                <w:w w:val="95"/>
                <w:sz w:val="13"/>
              </w:rPr>
              <w:t>230</w:t>
            </w:r>
          </w:p>
        </w:tc>
        <w:tc>
          <w:tcPr>
            <w:tcW w:w="557" w:type="dxa"/>
            <w:tcBorders>
              <w:right w:val="single" w:sz="12" w:space="0" w:color="000000"/>
            </w:tcBorders>
          </w:tcPr>
          <w:p>
            <w:pPr>
              <w:pStyle w:val="TableParagraph"/>
              <w:spacing w:line="163" w:lineRule="exact"/>
              <w:ind w:right="40"/>
              <w:jc w:val="right"/>
              <w:rPr>
                <w:rFonts w:ascii="Arial"/>
                <w:sz w:val="21"/>
              </w:rPr>
            </w:pPr>
            <w:r>
              <w:rPr>
                <w:rFonts w:ascii="Arial"/>
                <w:color w:val="484848"/>
                <w:w w:val="99"/>
                <w:sz w:val="21"/>
              </w:rPr>
              <w:t>-</w:t>
            </w:r>
          </w:p>
        </w:tc>
      </w:tr>
      <w:tr>
        <w:trPr>
          <w:trHeight w:val="174" w:hRule="atLeast"/>
        </w:trPr>
        <w:tc>
          <w:tcPr>
            <w:tcW w:w="712" w:type="dxa"/>
          </w:tcPr>
          <w:p>
            <w:pPr>
              <w:pStyle w:val="TableParagraph"/>
              <w:rPr>
                <w:sz w:val="10"/>
              </w:rPr>
            </w:pPr>
          </w:p>
        </w:tc>
        <w:tc>
          <w:tcPr>
            <w:tcW w:w="3353" w:type="dxa"/>
          </w:tcPr>
          <w:p>
            <w:pPr>
              <w:pStyle w:val="TableParagraph"/>
              <w:spacing w:line="145" w:lineRule="exact" w:before="9"/>
              <w:ind w:left="174"/>
              <w:rPr>
                <w:sz w:val="13"/>
              </w:rPr>
            </w:pPr>
            <w:r>
              <w:rPr>
                <w:color w:val="484848"/>
                <w:w w:val="105"/>
                <w:sz w:val="13"/>
              </w:rPr>
              <w:t>Commibnent for Life donations</w:t>
            </w:r>
          </w:p>
        </w:tc>
        <w:tc>
          <w:tcPr>
            <w:tcW w:w="424" w:type="dxa"/>
            <w:tcBorders>
              <w:right w:val="single" w:sz="12" w:space="0" w:color="000000"/>
            </w:tcBorders>
          </w:tcPr>
          <w:p>
            <w:pPr>
              <w:pStyle w:val="TableParagraph"/>
              <w:rPr>
                <w:sz w:val="10"/>
              </w:rPr>
            </w:pPr>
          </w:p>
        </w:tc>
        <w:tc>
          <w:tcPr>
            <w:tcW w:w="832" w:type="dxa"/>
            <w:tcBorders>
              <w:left w:val="single" w:sz="12" w:space="0" w:color="000000"/>
            </w:tcBorders>
          </w:tcPr>
          <w:p>
            <w:pPr>
              <w:pStyle w:val="TableParagraph"/>
              <w:spacing w:line="154" w:lineRule="exact"/>
              <w:ind w:right="131"/>
              <w:jc w:val="right"/>
              <w:rPr>
                <w:b/>
                <w:sz w:val="14"/>
              </w:rPr>
            </w:pPr>
            <w:r>
              <w:rPr>
                <w:b/>
                <w:color w:val="363636"/>
                <w:sz w:val="14"/>
              </w:rPr>
              <w:t>5S8</w:t>
            </w:r>
          </w:p>
        </w:tc>
        <w:tc>
          <w:tcPr>
            <w:tcW w:w="930" w:type="dxa"/>
          </w:tcPr>
          <w:p>
            <w:pPr>
              <w:pStyle w:val="TableParagraph"/>
              <w:spacing w:line="141" w:lineRule="exact"/>
              <w:ind w:right="171"/>
              <w:jc w:val="right"/>
              <w:rPr>
                <w:sz w:val="18"/>
              </w:rPr>
            </w:pPr>
            <w:r>
              <w:rPr>
                <w:color w:val="484848"/>
                <w:w w:val="104"/>
                <w:sz w:val="18"/>
              </w:rPr>
              <w:t>.</w:t>
            </w:r>
          </w:p>
        </w:tc>
        <w:tc>
          <w:tcPr>
            <w:tcW w:w="858" w:type="dxa"/>
          </w:tcPr>
          <w:p>
            <w:pPr>
              <w:pStyle w:val="TableParagraph"/>
              <w:spacing w:line="145" w:lineRule="exact" w:before="9"/>
              <w:ind w:right="211"/>
              <w:jc w:val="right"/>
              <w:rPr>
                <w:sz w:val="13"/>
              </w:rPr>
            </w:pPr>
            <w:r>
              <w:rPr>
                <w:color w:val="484848"/>
                <w:sz w:val="13"/>
              </w:rPr>
              <w:t>558</w:t>
            </w:r>
          </w:p>
        </w:tc>
        <w:tc>
          <w:tcPr>
            <w:tcW w:w="557" w:type="dxa"/>
            <w:tcBorders>
              <w:right w:val="single" w:sz="12" w:space="0" w:color="000000"/>
            </w:tcBorders>
          </w:tcPr>
          <w:p>
            <w:pPr>
              <w:pStyle w:val="TableParagraph"/>
              <w:rPr>
                <w:sz w:val="10"/>
              </w:rPr>
            </w:pPr>
          </w:p>
        </w:tc>
      </w:tr>
      <w:tr>
        <w:trPr>
          <w:trHeight w:val="133" w:hRule="atLeast"/>
        </w:trPr>
        <w:tc>
          <w:tcPr>
            <w:tcW w:w="712" w:type="dxa"/>
          </w:tcPr>
          <w:p>
            <w:pPr>
              <w:pStyle w:val="TableParagraph"/>
              <w:rPr>
                <w:sz w:val="8"/>
              </w:rPr>
            </w:pPr>
          </w:p>
        </w:tc>
        <w:tc>
          <w:tcPr>
            <w:tcW w:w="3353" w:type="dxa"/>
          </w:tcPr>
          <w:p>
            <w:pPr>
              <w:pStyle w:val="TableParagraph"/>
              <w:spacing w:line="106" w:lineRule="exact" w:before="8"/>
              <w:ind w:left="175"/>
              <w:rPr>
                <w:sz w:val="13"/>
              </w:rPr>
            </w:pPr>
            <w:r>
              <w:rPr>
                <w:color w:val="363636"/>
                <w:w w:val="110"/>
                <w:sz w:val="13"/>
              </w:rPr>
              <w:t>Otherdonations</w:t>
            </w:r>
          </w:p>
        </w:tc>
        <w:tc>
          <w:tcPr>
            <w:tcW w:w="424" w:type="dxa"/>
            <w:tcBorders>
              <w:right w:val="single" w:sz="12" w:space="0" w:color="000000"/>
            </w:tcBorders>
          </w:tcPr>
          <w:p>
            <w:pPr>
              <w:pStyle w:val="TableParagraph"/>
              <w:rPr>
                <w:sz w:val="8"/>
              </w:rPr>
            </w:pPr>
          </w:p>
        </w:tc>
        <w:tc>
          <w:tcPr>
            <w:tcW w:w="832" w:type="dxa"/>
            <w:tcBorders>
              <w:left w:val="single" w:sz="12" w:space="0" w:color="000000"/>
              <w:bottom w:val="single" w:sz="12" w:space="0" w:color="000000"/>
            </w:tcBorders>
          </w:tcPr>
          <w:p>
            <w:pPr>
              <w:pStyle w:val="TableParagraph"/>
              <w:spacing w:line="106" w:lineRule="exact" w:before="8"/>
              <w:ind w:right="153"/>
              <w:jc w:val="right"/>
              <w:rPr>
                <w:sz w:val="13"/>
              </w:rPr>
            </w:pPr>
            <w:r>
              <w:rPr>
                <w:color w:val="232323"/>
                <w:sz w:val="13"/>
              </w:rPr>
              <w:t>216</w:t>
            </w:r>
          </w:p>
        </w:tc>
        <w:tc>
          <w:tcPr>
            <w:tcW w:w="930" w:type="dxa"/>
            <w:tcBorders>
              <w:bottom w:val="single" w:sz="12" w:space="0" w:color="000000"/>
            </w:tcBorders>
          </w:tcPr>
          <w:p>
            <w:pPr>
              <w:pStyle w:val="TableParagraph"/>
              <w:spacing w:line="106" w:lineRule="exact" w:before="8"/>
              <w:ind w:right="148"/>
              <w:jc w:val="right"/>
              <w:rPr>
                <w:sz w:val="13"/>
              </w:rPr>
            </w:pPr>
            <w:r>
              <w:rPr>
                <w:color w:val="484848"/>
                <w:w w:val="105"/>
                <w:sz w:val="13"/>
              </w:rPr>
              <w:t>44</w:t>
            </w:r>
          </w:p>
        </w:tc>
        <w:tc>
          <w:tcPr>
            <w:tcW w:w="858" w:type="dxa"/>
            <w:tcBorders>
              <w:bottom w:val="single" w:sz="12" w:space="0" w:color="000000"/>
            </w:tcBorders>
          </w:tcPr>
          <w:p>
            <w:pPr>
              <w:pStyle w:val="TableParagraph"/>
              <w:spacing w:line="106" w:lineRule="exact" w:before="8"/>
              <w:ind w:right="210"/>
              <w:jc w:val="right"/>
              <w:rPr>
                <w:sz w:val="13"/>
              </w:rPr>
            </w:pPr>
            <w:r>
              <w:rPr>
                <w:color w:val="484848"/>
                <w:sz w:val="13"/>
              </w:rPr>
              <w:t>172</w:t>
            </w:r>
          </w:p>
        </w:tc>
        <w:tc>
          <w:tcPr>
            <w:tcW w:w="557" w:type="dxa"/>
            <w:tcBorders>
              <w:bottom w:val="single" w:sz="12" w:space="0" w:color="000000"/>
              <w:right w:val="single" w:sz="12" w:space="0" w:color="000000"/>
            </w:tcBorders>
          </w:tcPr>
          <w:p>
            <w:pPr>
              <w:pStyle w:val="TableParagraph"/>
              <w:rPr>
                <w:sz w:val="8"/>
              </w:rPr>
            </w:pPr>
          </w:p>
        </w:tc>
      </w:tr>
      <w:tr>
        <w:trPr>
          <w:trHeight w:val="152" w:hRule="atLeast"/>
        </w:trPr>
        <w:tc>
          <w:tcPr>
            <w:tcW w:w="712" w:type="dxa"/>
          </w:tcPr>
          <w:p>
            <w:pPr>
              <w:pStyle w:val="TableParagraph"/>
              <w:rPr>
                <w:sz w:val="8"/>
              </w:rPr>
            </w:pPr>
          </w:p>
        </w:tc>
        <w:tc>
          <w:tcPr>
            <w:tcW w:w="3353" w:type="dxa"/>
          </w:tcPr>
          <w:p>
            <w:pPr>
              <w:pStyle w:val="TableParagraph"/>
              <w:rPr>
                <w:sz w:val="8"/>
              </w:rPr>
            </w:pPr>
          </w:p>
        </w:tc>
        <w:tc>
          <w:tcPr>
            <w:tcW w:w="424" w:type="dxa"/>
            <w:tcBorders>
              <w:right w:val="single" w:sz="12" w:space="0" w:color="000000"/>
            </w:tcBorders>
          </w:tcPr>
          <w:p>
            <w:pPr>
              <w:pStyle w:val="TableParagraph"/>
              <w:rPr>
                <w:sz w:val="8"/>
              </w:rPr>
            </w:pPr>
          </w:p>
        </w:tc>
        <w:tc>
          <w:tcPr>
            <w:tcW w:w="832" w:type="dxa"/>
            <w:tcBorders>
              <w:top w:val="single" w:sz="12" w:space="0" w:color="000000"/>
              <w:left w:val="single" w:sz="12" w:space="0" w:color="000000"/>
              <w:bottom w:val="single" w:sz="12" w:space="0" w:color="000000"/>
            </w:tcBorders>
          </w:tcPr>
          <w:p>
            <w:pPr>
              <w:pStyle w:val="TableParagraph"/>
              <w:spacing w:line="115" w:lineRule="exact" w:before="17"/>
              <w:ind w:left="340"/>
              <w:rPr>
                <w:sz w:val="13"/>
              </w:rPr>
            </w:pPr>
            <w:r>
              <w:rPr>
                <w:color w:val="232323"/>
                <w:w w:val="105"/>
                <w:sz w:val="13"/>
              </w:rPr>
              <w:t>1</w:t>
            </w:r>
            <w:r>
              <w:rPr>
                <w:color w:val="484848"/>
                <w:w w:val="105"/>
                <w:sz w:val="13"/>
              </w:rPr>
              <w:t>,</w:t>
            </w:r>
            <w:r>
              <w:rPr>
                <w:color w:val="232323"/>
                <w:w w:val="105"/>
                <w:sz w:val="13"/>
              </w:rPr>
              <w:t>978</w:t>
            </w:r>
          </w:p>
        </w:tc>
        <w:tc>
          <w:tcPr>
            <w:tcW w:w="930" w:type="dxa"/>
            <w:tcBorders>
              <w:top w:val="single" w:sz="12" w:space="0" w:color="000000"/>
              <w:bottom w:val="single" w:sz="12" w:space="0" w:color="000000"/>
            </w:tcBorders>
          </w:tcPr>
          <w:p>
            <w:pPr>
              <w:pStyle w:val="TableParagraph"/>
              <w:spacing w:line="115" w:lineRule="exact" w:before="17"/>
              <w:ind w:right="151"/>
              <w:jc w:val="right"/>
              <w:rPr>
                <w:sz w:val="13"/>
              </w:rPr>
            </w:pPr>
            <w:r>
              <w:rPr>
                <w:color w:val="484848"/>
                <w:sz w:val="13"/>
              </w:rPr>
              <w:t>971</w:t>
            </w:r>
          </w:p>
        </w:tc>
        <w:tc>
          <w:tcPr>
            <w:tcW w:w="858" w:type="dxa"/>
            <w:tcBorders>
              <w:top w:val="single" w:sz="12" w:space="0" w:color="000000"/>
              <w:bottom w:val="single" w:sz="12" w:space="0" w:color="000000"/>
            </w:tcBorders>
          </w:tcPr>
          <w:p>
            <w:pPr>
              <w:pStyle w:val="TableParagraph"/>
              <w:spacing w:line="115" w:lineRule="exact" w:before="17"/>
              <w:ind w:right="193"/>
              <w:jc w:val="right"/>
              <w:rPr>
                <w:sz w:val="13"/>
              </w:rPr>
            </w:pPr>
            <w:r>
              <w:rPr>
                <w:color w:val="484848"/>
                <w:w w:val="105"/>
                <w:sz w:val="13"/>
              </w:rPr>
              <w:t>1,007</w:t>
            </w:r>
          </w:p>
        </w:tc>
        <w:tc>
          <w:tcPr>
            <w:tcW w:w="557" w:type="dxa"/>
            <w:tcBorders>
              <w:top w:val="single" w:sz="12" w:space="0" w:color="000000"/>
              <w:bottom w:val="single" w:sz="12" w:space="0" w:color="000000"/>
              <w:right w:val="single" w:sz="12" w:space="0" w:color="000000"/>
            </w:tcBorders>
          </w:tcPr>
          <w:p>
            <w:pPr>
              <w:pStyle w:val="TableParagraph"/>
              <w:spacing w:line="133" w:lineRule="exact"/>
              <w:ind w:right="47"/>
              <w:jc w:val="right"/>
              <w:rPr>
                <w:sz w:val="18"/>
              </w:rPr>
            </w:pPr>
            <w:r>
              <w:rPr>
                <w:color w:val="484848"/>
                <w:w w:val="108"/>
                <w:sz w:val="18"/>
              </w:rPr>
              <w:t>.</w:t>
            </w:r>
          </w:p>
        </w:tc>
      </w:tr>
      <w:tr>
        <w:trPr>
          <w:trHeight w:val="408" w:hRule="atLeast"/>
        </w:trPr>
        <w:tc>
          <w:tcPr>
            <w:tcW w:w="712" w:type="dxa"/>
          </w:tcPr>
          <w:p>
            <w:pPr>
              <w:pStyle w:val="TableParagraph"/>
              <w:rPr>
                <w:sz w:val="14"/>
              </w:rPr>
            </w:pPr>
          </w:p>
        </w:tc>
        <w:tc>
          <w:tcPr>
            <w:tcW w:w="3353" w:type="dxa"/>
          </w:tcPr>
          <w:p>
            <w:pPr>
              <w:pStyle w:val="TableParagraph"/>
              <w:spacing w:before="10"/>
              <w:rPr>
                <w:sz w:val="14"/>
              </w:rPr>
            </w:pPr>
          </w:p>
          <w:p>
            <w:pPr>
              <w:pStyle w:val="TableParagraph"/>
              <w:ind w:left="176"/>
              <w:rPr>
                <w:sz w:val="13"/>
              </w:rPr>
            </w:pPr>
            <w:r>
              <w:rPr>
                <w:color w:val="232323"/>
                <w:w w:val="115"/>
                <w:sz w:val="13"/>
              </w:rPr>
              <w:t>Investment </w:t>
            </w:r>
            <w:r>
              <w:rPr>
                <w:color w:val="484848"/>
                <w:w w:val="115"/>
                <w:sz w:val="13"/>
              </w:rPr>
              <w:t>i</w:t>
            </w:r>
            <w:r>
              <w:rPr>
                <w:color w:val="232323"/>
                <w:w w:val="115"/>
                <w:sz w:val="13"/>
              </w:rPr>
              <w:t>ncome</w:t>
            </w:r>
          </w:p>
        </w:tc>
        <w:tc>
          <w:tcPr>
            <w:tcW w:w="424" w:type="dxa"/>
            <w:tcBorders>
              <w:right w:val="single" w:sz="12" w:space="0" w:color="000000"/>
            </w:tcBorders>
          </w:tcPr>
          <w:p>
            <w:pPr>
              <w:pStyle w:val="TableParagraph"/>
              <w:spacing w:before="9"/>
              <w:rPr>
                <w:sz w:val="14"/>
              </w:rPr>
            </w:pPr>
          </w:p>
          <w:p>
            <w:pPr>
              <w:pStyle w:val="TableParagraph"/>
              <w:spacing w:before="1"/>
              <w:ind w:left="14"/>
              <w:jc w:val="center"/>
              <w:rPr>
                <w:rFonts w:ascii="Arial"/>
                <w:sz w:val="13"/>
              </w:rPr>
            </w:pPr>
            <w:r>
              <w:rPr>
                <w:rFonts w:ascii="Arial"/>
                <w:color w:val="484848"/>
                <w:w w:val="108"/>
                <w:sz w:val="13"/>
              </w:rPr>
              <w:t>3</w:t>
            </w:r>
          </w:p>
        </w:tc>
        <w:tc>
          <w:tcPr>
            <w:tcW w:w="832" w:type="dxa"/>
            <w:tcBorders>
              <w:top w:val="single" w:sz="12" w:space="0" w:color="000000"/>
              <w:left w:val="single" w:sz="12" w:space="0" w:color="000000"/>
            </w:tcBorders>
          </w:tcPr>
          <w:p>
            <w:pPr>
              <w:pStyle w:val="TableParagraph"/>
              <w:spacing w:before="10"/>
              <w:rPr>
                <w:sz w:val="14"/>
              </w:rPr>
            </w:pPr>
          </w:p>
          <w:p>
            <w:pPr>
              <w:pStyle w:val="TableParagraph"/>
              <w:ind w:right="157"/>
              <w:jc w:val="right"/>
              <w:rPr>
                <w:sz w:val="13"/>
              </w:rPr>
            </w:pPr>
            <w:r>
              <w:rPr>
                <w:color w:val="363636"/>
                <w:w w:val="105"/>
                <w:sz w:val="13"/>
              </w:rPr>
              <w:t>780</w:t>
            </w:r>
          </w:p>
        </w:tc>
        <w:tc>
          <w:tcPr>
            <w:tcW w:w="930" w:type="dxa"/>
            <w:tcBorders>
              <w:top w:val="single" w:sz="12" w:space="0" w:color="000000"/>
            </w:tcBorders>
          </w:tcPr>
          <w:p>
            <w:pPr>
              <w:pStyle w:val="TableParagraph"/>
              <w:spacing w:before="10"/>
              <w:rPr>
                <w:sz w:val="14"/>
              </w:rPr>
            </w:pPr>
          </w:p>
          <w:p>
            <w:pPr>
              <w:pStyle w:val="TableParagraph"/>
              <w:ind w:right="140"/>
              <w:jc w:val="right"/>
              <w:rPr>
                <w:sz w:val="13"/>
              </w:rPr>
            </w:pPr>
            <w:r>
              <w:rPr>
                <w:color w:val="363636"/>
                <w:w w:val="105"/>
                <w:sz w:val="13"/>
              </w:rPr>
              <w:t>426</w:t>
            </w:r>
          </w:p>
        </w:tc>
        <w:tc>
          <w:tcPr>
            <w:tcW w:w="858" w:type="dxa"/>
            <w:tcBorders>
              <w:top w:val="single" w:sz="12" w:space="0" w:color="000000"/>
            </w:tcBorders>
          </w:tcPr>
          <w:p>
            <w:pPr>
              <w:pStyle w:val="TableParagraph"/>
              <w:spacing w:before="10"/>
              <w:rPr>
                <w:sz w:val="14"/>
              </w:rPr>
            </w:pPr>
          </w:p>
          <w:p>
            <w:pPr>
              <w:pStyle w:val="TableParagraph"/>
              <w:ind w:right="202"/>
              <w:jc w:val="right"/>
              <w:rPr>
                <w:sz w:val="13"/>
              </w:rPr>
            </w:pPr>
            <w:r>
              <w:rPr>
                <w:color w:val="484848"/>
                <w:w w:val="105"/>
                <w:sz w:val="13"/>
              </w:rPr>
              <w:t>354</w:t>
            </w:r>
          </w:p>
        </w:tc>
        <w:tc>
          <w:tcPr>
            <w:tcW w:w="557" w:type="dxa"/>
            <w:tcBorders>
              <w:top w:val="single" w:sz="12" w:space="0" w:color="000000"/>
              <w:right w:val="single" w:sz="12" w:space="0" w:color="000000"/>
            </w:tcBorders>
          </w:tcPr>
          <w:p>
            <w:pPr>
              <w:pStyle w:val="TableParagraph"/>
              <w:rPr>
                <w:sz w:val="14"/>
              </w:rPr>
            </w:pPr>
          </w:p>
        </w:tc>
      </w:tr>
      <w:tr>
        <w:trPr>
          <w:trHeight w:val="253" w:hRule="atLeast"/>
        </w:trPr>
        <w:tc>
          <w:tcPr>
            <w:tcW w:w="712" w:type="dxa"/>
          </w:tcPr>
          <w:p>
            <w:pPr>
              <w:pStyle w:val="TableParagraph"/>
              <w:rPr>
                <w:sz w:val="14"/>
              </w:rPr>
            </w:pPr>
          </w:p>
        </w:tc>
        <w:tc>
          <w:tcPr>
            <w:tcW w:w="3353" w:type="dxa"/>
          </w:tcPr>
          <w:p>
            <w:pPr>
              <w:pStyle w:val="TableParagraph"/>
              <w:spacing w:line="152" w:lineRule="exact" w:before="81"/>
              <w:ind w:left="176"/>
              <w:rPr>
                <w:b/>
                <w:sz w:val="14"/>
              </w:rPr>
            </w:pPr>
            <w:r>
              <w:rPr>
                <w:b/>
                <w:color w:val="232323"/>
                <w:sz w:val="14"/>
              </w:rPr>
              <w:t>Incoming </w:t>
            </w:r>
            <w:r>
              <w:rPr>
                <w:b/>
                <w:color w:val="363636"/>
                <w:sz w:val="16"/>
              </w:rPr>
              <w:t>resources </w:t>
            </w:r>
            <w:r>
              <w:rPr>
                <w:b/>
                <w:color w:val="232323"/>
                <w:sz w:val="14"/>
              </w:rPr>
              <w:t>from charitab</w:t>
            </w:r>
            <w:r>
              <w:rPr>
                <w:b/>
                <w:sz w:val="14"/>
              </w:rPr>
              <w:t>l</w:t>
            </w:r>
            <w:r>
              <w:rPr>
                <w:b/>
                <w:color w:val="232323"/>
                <w:sz w:val="14"/>
              </w:rPr>
              <w:t>e activities</w:t>
            </w:r>
          </w:p>
        </w:tc>
        <w:tc>
          <w:tcPr>
            <w:tcW w:w="424" w:type="dxa"/>
            <w:tcBorders>
              <w:right w:val="single" w:sz="12" w:space="0" w:color="000000"/>
            </w:tcBorders>
          </w:tcPr>
          <w:p>
            <w:pPr>
              <w:pStyle w:val="TableParagraph"/>
              <w:spacing w:line="125" w:lineRule="exact" w:before="108"/>
              <w:ind w:right="1"/>
              <w:jc w:val="center"/>
              <w:rPr>
                <w:rFonts w:ascii="Arial"/>
                <w:sz w:val="13"/>
              </w:rPr>
            </w:pPr>
            <w:r>
              <w:rPr>
                <w:rFonts w:ascii="Arial"/>
                <w:color w:val="484848"/>
                <w:w w:val="102"/>
                <w:sz w:val="13"/>
              </w:rPr>
              <w:t>4</w:t>
            </w:r>
          </w:p>
        </w:tc>
        <w:tc>
          <w:tcPr>
            <w:tcW w:w="832" w:type="dxa"/>
            <w:tcBorders>
              <w:left w:val="single" w:sz="12" w:space="0" w:color="000000"/>
            </w:tcBorders>
          </w:tcPr>
          <w:p>
            <w:pPr>
              <w:pStyle w:val="TableParagraph"/>
              <w:rPr>
                <w:sz w:val="14"/>
              </w:rPr>
            </w:pPr>
          </w:p>
        </w:tc>
        <w:tc>
          <w:tcPr>
            <w:tcW w:w="930" w:type="dxa"/>
          </w:tcPr>
          <w:p>
            <w:pPr>
              <w:pStyle w:val="TableParagraph"/>
              <w:rPr>
                <w:sz w:val="14"/>
              </w:rPr>
            </w:pPr>
          </w:p>
        </w:tc>
        <w:tc>
          <w:tcPr>
            <w:tcW w:w="858" w:type="dxa"/>
          </w:tcPr>
          <w:p>
            <w:pPr>
              <w:pStyle w:val="TableParagraph"/>
              <w:rPr>
                <w:sz w:val="14"/>
              </w:rPr>
            </w:pPr>
          </w:p>
        </w:tc>
        <w:tc>
          <w:tcPr>
            <w:tcW w:w="557" w:type="dxa"/>
            <w:tcBorders>
              <w:right w:val="single" w:sz="12" w:space="0" w:color="000000"/>
            </w:tcBorders>
          </w:tcPr>
          <w:p>
            <w:pPr>
              <w:pStyle w:val="TableParagraph"/>
              <w:rPr>
                <w:sz w:val="14"/>
              </w:rPr>
            </w:pPr>
          </w:p>
        </w:tc>
      </w:tr>
      <w:tr>
        <w:trPr>
          <w:trHeight w:val="210" w:hRule="atLeast"/>
        </w:trPr>
        <w:tc>
          <w:tcPr>
            <w:tcW w:w="712" w:type="dxa"/>
          </w:tcPr>
          <w:p>
            <w:pPr>
              <w:pStyle w:val="TableParagraph"/>
              <w:rPr>
                <w:sz w:val="14"/>
              </w:rPr>
            </w:pPr>
          </w:p>
        </w:tc>
        <w:tc>
          <w:tcPr>
            <w:tcW w:w="3353" w:type="dxa"/>
          </w:tcPr>
          <w:p>
            <w:pPr>
              <w:pStyle w:val="TableParagraph"/>
              <w:spacing w:before="38"/>
              <w:ind w:left="177"/>
              <w:rPr>
                <w:sz w:val="13"/>
              </w:rPr>
            </w:pPr>
            <w:r>
              <w:rPr>
                <w:color w:val="484848"/>
                <w:w w:val="110"/>
                <w:sz w:val="13"/>
              </w:rPr>
              <w:t>Ministry</w:t>
            </w:r>
          </w:p>
        </w:tc>
        <w:tc>
          <w:tcPr>
            <w:tcW w:w="424" w:type="dxa"/>
            <w:tcBorders>
              <w:right w:val="single" w:sz="12" w:space="0" w:color="000000"/>
            </w:tcBorders>
          </w:tcPr>
          <w:p>
            <w:pPr>
              <w:pStyle w:val="TableParagraph"/>
              <w:rPr>
                <w:sz w:val="14"/>
              </w:rPr>
            </w:pPr>
          </w:p>
        </w:tc>
        <w:tc>
          <w:tcPr>
            <w:tcW w:w="832" w:type="dxa"/>
            <w:tcBorders>
              <w:left w:val="single" w:sz="12" w:space="0" w:color="000000"/>
            </w:tcBorders>
          </w:tcPr>
          <w:p>
            <w:pPr>
              <w:pStyle w:val="TableParagraph"/>
              <w:spacing w:before="28"/>
              <w:ind w:right="154"/>
              <w:jc w:val="right"/>
              <w:rPr>
                <w:sz w:val="13"/>
              </w:rPr>
            </w:pPr>
            <w:r>
              <w:rPr>
                <w:color w:val="232323"/>
                <w:w w:val="105"/>
                <w:sz w:val="13"/>
              </w:rPr>
              <w:t>433</w:t>
            </w:r>
          </w:p>
        </w:tc>
        <w:tc>
          <w:tcPr>
            <w:tcW w:w="930" w:type="dxa"/>
          </w:tcPr>
          <w:p>
            <w:pPr>
              <w:pStyle w:val="TableParagraph"/>
              <w:spacing w:line="190" w:lineRule="exact"/>
              <w:ind w:right="142"/>
              <w:jc w:val="right"/>
              <w:rPr>
                <w:rFonts w:ascii="Arial"/>
                <w:sz w:val="21"/>
              </w:rPr>
            </w:pPr>
            <w:r>
              <w:rPr>
                <w:rFonts w:ascii="Arial"/>
                <w:color w:val="484848"/>
                <w:w w:val="99"/>
                <w:sz w:val="21"/>
              </w:rPr>
              <w:t>-</w:t>
            </w:r>
          </w:p>
        </w:tc>
        <w:tc>
          <w:tcPr>
            <w:tcW w:w="858" w:type="dxa"/>
          </w:tcPr>
          <w:p>
            <w:pPr>
              <w:pStyle w:val="TableParagraph"/>
              <w:spacing w:before="28"/>
              <w:ind w:right="216"/>
              <w:jc w:val="right"/>
              <w:rPr>
                <w:sz w:val="13"/>
              </w:rPr>
            </w:pPr>
            <w:r>
              <w:rPr>
                <w:color w:val="484848"/>
                <w:w w:val="95"/>
                <w:sz w:val="13"/>
              </w:rPr>
              <w:t>433</w:t>
            </w:r>
          </w:p>
        </w:tc>
        <w:tc>
          <w:tcPr>
            <w:tcW w:w="557" w:type="dxa"/>
            <w:tcBorders>
              <w:right w:val="single" w:sz="12" w:space="0" w:color="000000"/>
            </w:tcBorders>
          </w:tcPr>
          <w:p>
            <w:pPr>
              <w:pStyle w:val="TableParagraph"/>
              <w:spacing w:line="190" w:lineRule="exact"/>
              <w:ind w:right="40"/>
              <w:jc w:val="right"/>
              <w:rPr>
                <w:rFonts w:ascii="Arial"/>
                <w:sz w:val="21"/>
              </w:rPr>
            </w:pPr>
            <w:r>
              <w:rPr>
                <w:rFonts w:ascii="Arial"/>
                <w:color w:val="5E5E5E"/>
                <w:w w:val="99"/>
                <w:sz w:val="21"/>
              </w:rPr>
              <w:t>-</w:t>
            </w:r>
          </w:p>
        </w:tc>
      </w:tr>
      <w:tr>
        <w:trPr>
          <w:trHeight w:val="141" w:hRule="atLeast"/>
        </w:trPr>
        <w:tc>
          <w:tcPr>
            <w:tcW w:w="712" w:type="dxa"/>
          </w:tcPr>
          <w:p>
            <w:pPr>
              <w:pStyle w:val="TableParagraph"/>
              <w:rPr>
                <w:sz w:val="8"/>
              </w:rPr>
            </w:pPr>
          </w:p>
        </w:tc>
        <w:tc>
          <w:tcPr>
            <w:tcW w:w="3353" w:type="dxa"/>
          </w:tcPr>
          <w:p>
            <w:pPr>
              <w:pStyle w:val="TableParagraph"/>
              <w:spacing w:line="121" w:lineRule="exact"/>
              <w:ind w:left="167"/>
              <w:rPr>
                <w:rFonts w:ascii="Arial"/>
                <w:sz w:val="13"/>
              </w:rPr>
            </w:pPr>
            <w:r>
              <w:rPr>
                <w:rFonts w:ascii="Arial"/>
                <w:color w:val="484848"/>
                <w:w w:val="105"/>
                <w:sz w:val="13"/>
              </w:rPr>
              <w:t>Training</w:t>
            </w:r>
          </w:p>
        </w:tc>
        <w:tc>
          <w:tcPr>
            <w:tcW w:w="424" w:type="dxa"/>
            <w:tcBorders>
              <w:right w:val="single" w:sz="12" w:space="0" w:color="000000"/>
            </w:tcBorders>
          </w:tcPr>
          <w:p>
            <w:pPr>
              <w:pStyle w:val="TableParagraph"/>
              <w:rPr>
                <w:sz w:val="8"/>
              </w:rPr>
            </w:pPr>
          </w:p>
        </w:tc>
        <w:tc>
          <w:tcPr>
            <w:tcW w:w="832" w:type="dxa"/>
            <w:tcBorders>
              <w:left w:val="single" w:sz="12" w:space="0" w:color="000000"/>
            </w:tcBorders>
          </w:tcPr>
          <w:p>
            <w:pPr>
              <w:pStyle w:val="TableParagraph"/>
              <w:spacing w:line="121" w:lineRule="exact"/>
              <w:ind w:right="172"/>
              <w:jc w:val="right"/>
              <w:rPr>
                <w:sz w:val="13"/>
              </w:rPr>
            </w:pPr>
            <w:r>
              <w:rPr>
                <w:color w:val="363636"/>
                <w:w w:val="95"/>
                <w:sz w:val="13"/>
              </w:rPr>
              <w:t>290</w:t>
            </w:r>
          </w:p>
        </w:tc>
        <w:tc>
          <w:tcPr>
            <w:tcW w:w="930" w:type="dxa"/>
          </w:tcPr>
          <w:p>
            <w:pPr>
              <w:pStyle w:val="TableParagraph"/>
              <w:spacing w:line="121" w:lineRule="exact"/>
              <w:ind w:right="155"/>
              <w:jc w:val="right"/>
              <w:rPr>
                <w:sz w:val="13"/>
              </w:rPr>
            </w:pPr>
            <w:r>
              <w:rPr>
                <w:color w:val="484848"/>
                <w:w w:val="95"/>
                <w:sz w:val="13"/>
              </w:rPr>
              <w:t>40</w:t>
            </w:r>
          </w:p>
        </w:tc>
        <w:tc>
          <w:tcPr>
            <w:tcW w:w="858" w:type="dxa"/>
          </w:tcPr>
          <w:p>
            <w:pPr>
              <w:pStyle w:val="TableParagraph"/>
              <w:spacing w:line="121" w:lineRule="exact"/>
              <w:ind w:right="217"/>
              <w:jc w:val="right"/>
              <w:rPr>
                <w:sz w:val="13"/>
              </w:rPr>
            </w:pPr>
            <w:r>
              <w:rPr>
                <w:color w:val="484848"/>
                <w:w w:val="95"/>
                <w:sz w:val="13"/>
              </w:rPr>
              <w:t>250</w:t>
            </w:r>
          </w:p>
        </w:tc>
        <w:tc>
          <w:tcPr>
            <w:tcW w:w="557" w:type="dxa"/>
            <w:tcBorders>
              <w:right w:val="single" w:sz="12" w:space="0" w:color="000000"/>
            </w:tcBorders>
          </w:tcPr>
          <w:p>
            <w:pPr>
              <w:pStyle w:val="TableParagraph"/>
              <w:rPr>
                <w:sz w:val="8"/>
              </w:rPr>
            </w:pPr>
          </w:p>
        </w:tc>
      </w:tr>
      <w:tr>
        <w:trPr>
          <w:trHeight w:val="165" w:hRule="atLeast"/>
        </w:trPr>
        <w:tc>
          <w:tcPr>
            <w:tcW w:w="712" w:type="dxa"/>
          </w:tcPr>
          <w:p>
            <w:pPr>
              <w:pStyle w:val="TableParagraph"/>
              <w:rPr>
                <w:sz w:val="10"/>
              </w:rPr>
            </w:pPr>
          </w:p>
        </w:tc>
        <w:tc>
          <w:tcPr>
            <w:tcW w:w="3353" w:type="dxa"/>
          </w:tcPr>
          <w:p>
            <w:pPr>
              <w:pStyle w:val="TableParagraph"/>
              <w:spacing w:line="122" w:lineRule="exact" w:before="23"/>
              <w:ind w:left="175"/>
              <w:rPr>
                <w:sz w:val="13"/>
              </w:rPr>
            </w:pPr>
            <w:r>
              <w:rPr>
                <w:color w:val="363636"/>
                <w:w w:val="105"/>
                <w:sz w:val="13"/>
              </w:rPr>
              <w:t>Other Mission activities</w:t>
            </w:r>
          </w:p>
        </w:tc>
        <w:tc>
          <w:tcPr>
            <w:tcW w:w="424" w:type="dxa"/>
            <w:tcBorders>
              <w:right w:val="single" w:sz="12" w:space="0" w:color="000000"/>
            </w:tcBorders>
          </w:tcPr>
          <w:p>
            <w:pPr>
              <w:pStyle w:val="TableParagraph"/>
              <w:rPr>
                <w:sz w:val="10"/>
              </w:rPr>
            </w:pPr>
          </w:p>
        </w:tc>
        <w:tc>
          <w:tcPr>
            <w:tcW w:w="832" w:type="dxa"/>
            <w:tcBorders>
              <w:left w:val="single" w:sz="12" w:space="0" w:color="000000"/>
            </w:tcBorders>
          </w:tcPr>
          <w:p>
            <w:pPr>
              <w:pStyle w:val="TableParagraph"/>
              <w:spacing w:line="122" w:lineRule="exact" w:before="23"/>
              <w:ind w:right="172"/>
              <w:jc w:val="right"/>
              <w:rPr>
                <w:sz w:val="13"/>
              </w:rPr>
            </w:pPr>
            <w:r>
              <w:rPr>
                <w:color w:val="363636"/>
                <w:w w:val="95"/>
                <w:sz w:val="13"/>
              </w:rPr>
              <w:t>242</w:t>
            </w:r>
          </w:p>
        </w:tc>
        <w:tc>
          <w:tcPr>
            <w:tcW w:w="930" w:type="dxa"/>
          </w:tcPr>
          <w:p>
            <w:pPr>
              <w:pStyle w:val="TableParagraph"/>
              <w:spacing w:line="122" w:lineRule="exact" w:before="23"/>
              <w:ind w:right="158"/>
              <w:jc w:val="right"/>
              <w:rPr>
                <w:sz w:val="13"/>
              </w:rPr>
            </w:pPr>
            <w:r>
              <w:rPr>
                <w:color w:val="484848"/>
                <w:w w:val="95"/>
                <w:sz w:val="13"/>
              </w:rPr>
              <w:t>242</w:t>
            </w:r>
          </w:p>
        </w:tc>
        <w:tc>
          <w:tcPr>
            <w:tcW w:w="858" w:type="dxa"/>
          </w:tcPr>
          <w:p>
            <w:pPr>
              <w:pStyle w:val="TableParagraph"/>
              <w:spacing w:line="144" w:lineRule="exact"/>
              <w:ind w:right="250"/>
              <w:jc w:val="right"/>
              <w:rPr>
                <w:sz w:val="13"/>
              </w:rPr>
            </w:pPr>
            <w:r>
              <w:rPr>
                <w:color w:val="363636"/>
                <w:w w:val="99"/>
                <w:sz w:val="13"/>
              </w:rPr>
              <w:t>.</w:t>
            </w:r>
          </w:p>
        </w:tc>
        <w:tc>
          <w:tcPr>
            <w:tcW w:w="557" w:type="dxa"/>
            <w:tcBorders>
              <w:right w:val="single" w:sz="12" w:space="0" w:color="000000"/>
            </w:tcBorders>
          </w:tcPr>
          <w:p>
            <w:pPr>
              <w:pStyle w:val="TableParagraph"/>
              <w:spacing w:line="141" w:lineRule="exact" w:before="4"/>
              <w:ind w:right="55"/>
              <w:jc w:val="right"/>
              <w:rPr>
                <w:rFonts w:ascii="Arial"/>
                <w:sz w:val="16"/>
              </w:rPr>
            </w:pPr>
            <w:r>
              <w:rPr>
                <w:rFonts w:ascii="Arial"/>
                <w:color w:val="232323"/>
                <w:w w:val="99"/>
                <w:sz w:val="16"/>
              </w:rPr>
              <w:t>-</w:t>
            </w:r>
          </w:p>
        </w:tc>
      </w:tr>
      <w:tr>
        <w:trPr>
          <w:trHeight w:val="166" w:hRule="atLeast"/>
        </w:trPr>
        <w:tc>
          <w:tcPr>
            <w:tcW w:w="712" w:type="dxa"/>
          </w:tcPr>
          <w:p>
            <w:pPr>
              <w:pStyle w:val="TableParagraph"/>
              <w:rPr>
                <w:sz w:val="10"/>
              </w:rPr>
            </w:pPr>
          </w:p>
        </w:tc>
        <w:tc>
          <w:tcPr>
            <w:tcW w:w="3353" w:type="dxa"/>
          </w:tcPr>
          <w:p>
            <w:pPr>
              <w:pStyle w:val="TableParagraph"/>
              <w:spacing w:line="115" w:lineRule="exact" w:before="31"/>
              <w:ind w:left="167"/>
              <w:rPr>
                <w:sz w:val="13"/>
              </w:rPr>
            </w:pPr>
            <w:r>
              <w:rPr>
                <w:color w:val="484848"/>
                <w:w w:val="105"/>
                <w:sz w:val="13"/>
              </w:rPr>
              <w:t>Editorial </w:t>
            </w:r>
            <w:r>
              <w:rPr>
                <w:color w:val="363636"/>
                <w:w w:val="105"/>
                <w:sz w:val="13"/>
              </w:rPr>
              <w:t>and </w:t>
            </w:r>
            <w:r>
              <w:rPr>
                <w:color w:val="484848"/>
                <w:w w:val="105"/>
                <w:sz w:val="13"/>
              </w:rPr>
              <w:t>bookshop</w:t>
            </w:r>
          </w:p>
        </w:tc>
        <w:tc>
          <w:tcPr>
            <w:tcW w:w="424" w:type="dxa"/>
            <w:tcBorders>
              <w:right w:val="single" w:sz="12" w:space="0" w:color="000000"/>
            </w:tcBorders>
          </w:tcPr>
          <w:p>
            <w:pPr>
              <w:pStyle w:val="TableParagraph"/>
              <w:rPr>
                <w:sz w:val="10"/>
              </w:rPr>
            </w:pPr>
          </w:p>
        </w:tc>
        <w:tc>
          <w:tcPr>
            <w:tcW w:w="832" w:type="dxa"/>
            <w:tcBorders>
              <w:left w:val="single" w:sz="12" w:space="0" w:color="000000"/>
              <w:bottom w:val="single" w:sz="12" w:space="0" w:color="000000"/>
            </w:tcBorders>
          </w:tcPr>
          <w:p>
            <w:pPr>
              <w:pStyle w:val="TableParagraph"/>
              <w:spacing w:line="115" w:lineRule="exact" w:before="31"/>
              <w:ind w:right="175"/>
              <w:jc w:val="right"/>
              <w:rPr>
                <w:sz w:val="13"/>
              </w:rPr>
            </w:pPr>
            <w:r>
              <w:rPr>
                <w:color w:val="363636"/>
                <w:w w:val="95"/>
                <w:sz w:val="13"/>
              </w:rPr>
              <w:t>367</w:t>
            </w:r>
          </w:p>
        </w:tc>
        <w:tc>
          <w:tcPr>
            <w:tcW w:w="930" w:type="dxa"/>
            <w:tcBorders>
              <w:bottom w:val="single" w:sz="12" w:space="0" w:color="000000"/>
            </w:tcBorders>
          </w:tcPr>
          <w:p>
            <w:pPr>
              <w:pStyle w:val="TableParagraph"/>
              <w:spacing w:line="115" w:lineRule="exact" w:before="31"/>
              <w:ind w:right="161"/>
              <w:jc w:val="right"/>
              <w:rPr>
                <w:sz w:val="13"/>
              </w:rPr>
            </w:pPr>
            <w:r>
              <w:rPr>
                <w:color w:val="363636"/>
                <w:w w:val="95"/>
                <w:sz w:val="13"/>
              </w:rPr>
              <w:t>367</w:t>
            </w:r>
          </w:p>
        </w:tc>
        <w:tc>
          <w:tcPr>
            <w:tcW w:w="858" w:type="dxa"/>
            <w:tcBorders>
              <w:bottom w:val="single" w:sz="12" w:space="0" w:color="000000"/>
            </w:tcBorders>
          </w:tcPr>
          <w:p>
            <w:pPr>
              <w:pStyle w:val="TableParagraph"/>
              <w:spacing w:line="146" w:lineRule="exact"/>
              <w:ind w:right="241"/>
              <w:jc w:val="right"/>
              <w:rPr>
                <w:sz w:val="18"/>
              </w:rPr>
            </w:pPr>
            <w:r>
              <w:rPr>
                <w:color w:val="484848"/>
                <w:w w:val="99"/>
                <w:sz w:val="18"/>
              </w:rPr>
              <w:t>.</w:t>
            </w:r>
          </w:p>
        </w:tc>
        <w:tc>
          <w:tcPr>
            <w:tcW w:w="557" w:type="dxa"/>
            <w:tcBorders>
              <w:bottom w:val="single" w:sz="12" w:space="0" w:color="000000"/>
              <w:right w:val="single" w:sz="12" w:space="0" w:color="000000"/>
            </w:tcBorders>
          </w:tcPr>
          <w:p>
            <w:pPr>
              <w:pStyle w:val="TableParagraph"/>
              <w:spacing w:line="134" w:lineRule="exact" w:before="12"/>
              <w:ind w:right="55"/>
              <w:jc w:val="right"/>
              <w:rPr>
                <w:rFonts w:ascii="Arial"/>
                <w:sz w:val="16"/>
              </w:rPr>
            </w:pPr>
            <w:r>
              <w:rPr>
                <w:rFonts w:ascii="Arial"/>
                <w:color w:val="232323"/>
                <w:w w:val="99"/>
                <w:sz w:val="16"/>
              </w:rPr>
              <w:t>-</w:t>
            </w:r>
          </w:p>
        </w:tc>
      </w:tr>
      <w:tr>
        <w:trPr>
          <w:trHeight w:val="143" w:hRule="atLeast"/>
        </w:trPr>
        <w:tc>
          <w:tcPr>
            <w:tcW w:w="712" w:type="dxa"/>
          </w:tcPr>
          <w:p>
            <w:pPr>
              <w:pStyle w:val="TableParagraph"/>
              <w:rPr>
                <w:sz w:val="8"/>
              </w:rPr>
            </w:pPr>
          </w:p>
        </w:tc>
        <w:tc>
          <w:tcPr>
            <w:tcW w:w="3353" w:type="dxa"/>
          </w:tcPr>
          <w:p>
            <w:pPr>
              <w:pStyle w:val="TableParagraph"/>
              <w:rPr>
                <w:sz w:val="8"/>
              </w:rPr>
            </w:pPr>
          </w:p>
        </w:tc>
        <w:tc>
          <w:tcPr>
            <w:tcW w:w="424" w:type="dxa"/>
            <w:tcBorders>
              <w:right w:val="single" w:sz="12" w:space="0" w:color="000000"/>
            </w:tcBorders>
          </w:tcPr>
          <w:p>
            <w:pPr>
              <w:pStyle w:val="TableParagraph"/>
              <w:rPr>
                <w:sz w:val="8"/>
              </w:rPr>
            </w:pPr>
          </w:p>
        </w:tc>
        <w:tc>
          <w:tcPr>
            <w:tcW w:w="832" w:type="dxa"/>
            <w:tcBorders>
              <w:top w:val="single" w:sz="12" w:space="0" w:color="000000"/>
              <w:left w:val="single" w:sz="12" w:space="0" w:color="000000"/>
              <w:bottom w:val="single" w:sz="12" w:space="0" w:color="000000"/>
            </w:tcBorders>
          </w:tcPr>
          <w:p>
            <w:pPr>
              <w:pStyle w:val="TableParagraph"/>
              <w:spacing w:line="115" w:lineRule="exact" w:before="8"/>
              <w:ind w:left="340"/>
              <w:rPr>
                <w:sz w:val="13"/>
              </w:rPr>
            </w:pPr>
            <w:r>
              <w:rPr>
                <w:sz w:val="13"/>
              </w:rPr>
              <w:t>1</w:t>
            </w:r>
            <w:r>
              <w:rPr>
                <w:color w:val="363636"/>
                <w:sz w:val="13"/>
              </w:rPr>
              <w:t>,332</w:t>
            </w:r>
          </w:p>
        </w:tc>
        <w:tc>
          <w:tcPr>
            <w:tcW w:w="930" w:type="dxa"/>
            <w:tcBorders>
              <w:top w:val="single" w:sz="12" w:space="0" w:color="000000"/>
              <w:bottom w:val="single" w:sz="12" w:space="0" w:color="000000"/>
            </w:tcBorders>
          </w:tcPr>
          <w:p>
            <w:pPr>
              <w:pStyle w:val="TableParagraph"/>
              <w:spacing w:line="115" w:lineRule="exact" w:before="8"/>
              <w:ind w:right="161"/>
              <w:jc w:val="right"/>
              <w:rPr>
                <w:sz w:val="13"/>
              </w:rPr>
            </w:pPr>
            <w:r>
              <w:rPr>
                <w:color w:val="484848"/>
                <w:w w:val="95"/>
                <w:sz w:val="13"/>
              </w:rPr>
              <w:t>649</w:t>
            </w:r>
          </w:p>
        </w:tc>
        <w:tc>
          <w:tcPr>
            <w:tcW w:w="858" w:type="dxa"/>
            <w:tcBorders>
              <w:top w:val="single" w:sz="12" w:space="0" w:color="000000"/>
              <w:bottom w:val="single" w:sz="12" w:space="0" w:color="000000"/>
            </w:tcBorders>
          </w:tcPr>
          <w:p>
            <w:pPr>
              <w:pStyle w:val="TableParagraph"/>
              <w:spacing w:line="115" w:lineRule="exact" w:before="8"/>
              <w:ind w:right="220"/>
              <w:jc w:val="right"/>
              <w:rPr>
                <w:sz w:val="13"/>
              </w:rPr>
            </w:pPr>
            <w:r>
              <w:rPr>
                <w:color w:val="484848"/>
                <w:w w:val="95"/>
                <w:sz w:val="13"/>
              </w:rPr>
              <w:t>683</w:t>
            </w:r>
          </w:p>
        </w:tc>
        <w:tc>
          <w:tcPr>
            <w:tcW w:w="557" w:type="dxa"/>
            <w:tcBorders>
              <w:top w:val="single" w:sz="12" w:space="0" w:color="000000"/>
              <w:bottom w:val="single" w:sz="12" w:space="0" w:color="000000"/>
              <w:right w:val="single" w:sz="12" w:space="0" w:color="000000"/>
            </w:tcBorders>
          </w:tcPr>
          <w:p>
            <w:pPr>
              <w:pStyle w:val="TableParagraph"/>
              <w:spacing w:line="123" w:lineRule="exact"/>
              <w:ind w:right="35"/>
              <w:jc w:val="right"/>
              <w:rPr>
                <w:rFonts w:ascii="Arial"/>
                <w:sz w:val="16"/>
              </w:rPr>
            </w:pPr>
            <w:r>
              <w:rPr>
                <w:rFonts w:ascii="Arial"/>
                <w:color w:val="484848"/>
                <w:w w:val="99"/>
                <w:sz w:val="16"/>
              </w:rPr>
              <w:t>-</w:t>
            </w:r>
          </w:p>
        </w:tc>
      </w:tr>
      <w:tr>
        <w:trPr>
          <w:trHeight w:val="345" w:hRule="atLeast"/>
        </w:trPr>
        <w:tc>
          <w:tcPr>
            <w:tcW w:w="712" w:type="dxa"/>
          </w:tcPr>
          <w:p>
            <w:pPr>
              <w:pStyle w:val="TableParagraph"/>
              <w:rPr>
                <w:sz w:val="14"/>
              </w:rPr>
            </w:pPr>
          </w:p>
        </w:tc>
        <w:tc>
          <w:tcPr>
            <w:tcW w:w="3353" w:type="dxa"/>
          </w:tcPr>
          <w:p>
            <w:pPr>
              <w:pStyle w:val="TableParagraph"/>
              <w:spacing w:before="8"/>
              <w:rPr>
                <w:sz w:val="15"/>
              </w:rPr>
            </w:pPr>
          </w:p>
          <w:p>
            <w:pPr>
              <w:pStyle w:val="TableParagraph"/>
              <w:spacing w:line="144" w:lineRule="exact"/>
              <w:ind w:left="165"/>
              <w:rPr>
                <w:sz w:val="13"/>
              </w:rPr>
            </w:pPr>
            <w:r>
              <w:rPr>
                <w:color w:val="363636"/>
                <w:w w:val="115"/>
                <w:sz w:val="13"/>
              </w:rPr>
              <w:t>Other </w:t>
            </w:r>
            <w:r>
              <w:rPr>
                <w:color w:val="232323"/>
                <w:w w:val="115"/>
                <w:sz w:val="13"/>
              </w:rPr>
              <w:t>incoming resou</w:t>
            </w:r>
            <w:r>
              <w:rPr>
                <w:w w:val="115"/>
                <w:sz w:val="13"/>
              </w:rPr>
              <w:t>r</w:t>
            </w:r>
            <w:r>
              <w:rPr>
                <w:color w:val="232323"/>
                <w:w w:val="115"/>
                <w:sz w:val="13"/>
              </w:rPr>
              <w:t>ces</w:t>
            </w:r>
          </w:p>
        </w:tc>
        <w:tc>
          <w:tcPr>
            <w:tcW w:w="424" w:type="dxa"/>
            <w:tcBorders>
              <w:right w:val="single" w:sz="12" w:space="0" w:color="000000"/>
            </w:tcBorders>
          </w:tcPr>
          <w:p>
            <w:pPr>
              <w:pStyle w:val="TableParagraph"/>
              <w:rPr>
                <w:sz w:val="14"/>
              </w:rPr>
            </w:pPr>
          </w:p>
        </w:tc>
        <w:tc>
          <w:tcPr>
            <w:tcW w:w="832" w:type="dxa"/>
            <w:tcBorders>
              <w:top w:val="single" w:sz="12" w:space="0" w:color="000000"/>
              <w:left w:val="single" w:sz="12" w:space="0" w:color="000000"/>
            </w:tcBorders>
          </w:tcPr>
          <w:p>
            <w:pPr>
              <w:pStyle w:val="TableParagraph"/>
              <w:rPr>
                <w:sz w:val="14"/>
              </w:rPr>
            </w:pPr>
          </w:p>
        </w:tc>
        <w:tc>
          <w:tcPr>
            <w:tcW w:w="930" w:type="dxa"/>
            <w:tcBorders>
              <w:top w:val="single" w:sz="12" w:space="0" w:color="000000"/>
            </w:tcBorders>
          </w:tcPr>
          <w:p>
            <w:pPr>
              <w:pStyle w:val="TableParagraph"/>
              <w:rPr>
                <w:sz w:val="14"/>
              </w:rPr>
            </w:pPr>
          </w:p>
        </w:tc>
        <w:tc>
          <w:tcPr>
            <w:tcW w:w="858" w:type="dxa"/>
            <w:tcBorders>
              <w:top w:val="single" w:sz="12" w:space="0" w:color="000000"/>
            </w:tcBorders>
          </w:tcPr>
          <w:p>
            <w:pPr>
              <w:pStyle w:val="TableParagraph"/>
              <w:rPr>
                <w:sz w:val="14"/>
              </w:rPr>
            </w:pPr>
          </w:p>
        </w:tc>
        <w:tc>
          <w:tcPr>
            <w:tcW w:w="557" w:type="dxa"/>
            <w:tcBorders>
              <w:top w:val="single" w:sz="12" w:space="0" w:color="000000"/>
              <w:right w:val="single" w:sz="12" w:space="0" w:color="000000"/>
            </w:tcBorders>
          </w:tcPr>
          <w:p>
            <w:pPr>
              <w:pStyle w:val="TableParagraph"/>
              <w:rPr>
                <w:sz w:val="14"/>
              </w:rPr>
            </w:pPr>
          </w:p>
        </w:tc>
      </w:tr>
      <w:tr>
        <w:trPr>
          <w:trHeight w:val="173" w:hRule="atLeast"/>
        </w:trPr>
        <w:tc>
          <w:tcPr>
            <w:tcW w:w="712" w:type="dxa"/>
          </w:tcPr>
          <w:p>
            <w:pPr>
              <w:pStyle w:val="TableParagraph"/>
              <w:rPr>
                <w:sz w:val="10"/>
              </w:rPr>
            </w:pPr>
          </w:p>
        </w:tc>
        <w:tc>
          <w:tcPr>
            <w:tcW w:w="3353" w:type="dxa"/>
          </w:tcPr>
          <w:p>
            <w:pPr>
              <w:pStyle w:val="TableParagraph"/>
              <w:spacing w:line="144" w:lineRule="exact" w:before="9"/>
              <w:ind w:left="177"/>
              <w:rPr>
                <w:sz w:val="13"/>
              </w:rPr>
            </w:pPr>
            <w:r>
              <w:rPr>
                <w:color w:val="363636"/>
                <w:w w:val="110"/>
                <w:sz w:val="13"/>
              </w:rPr>
              <w:t>Profit on saleof properties</w:t>
            </w:r>
          </w:p>
        </w:tc>
        <w:tc>
          <w:tcPr>
            <w:tcW w:w="424" w:type="dxa"/>
            <w:tcBorders>
              <w:right w:val="single" w:sz="12" w:space="0" w:color="000000"/>
            </w:tcBorders>
          </w:tcPr>
          <w:p>
            <w:pPr>
              <w:pStyle w:val="TableParagraph"/>
              <w:rPr>
                <w:sz w:val="10"/>
              </w:rPr>
            </w:pPr>
          </w:p>
        </w:tc>
        <w:tc>
          <w:tcPr>
            <w:tcW w:w="832" w:type="dxa"/>
            <w:tcBorders>
              <w:left w:val="single" w:sz="12" w:space="0" w:color="000000"/>
            </w:tcBorders>
          </w:tcPr>
          <w:p>
            <w:pPr>
              <w:pStyle w:val="TableParagraph"/>
              <w:spacing w:line="149" w:lineRule="exact"/>
              <w:ind w:left="342"/>
              <w:rPr>
                <w:sz w:val="13"/>
              </w:rPr>
            </w:pPr>
            <w:r>
              <w:rPr>
                <w:color w:val="232323"/>
                <w:sz w:val="13"/>
              </w:rPr>
              <w:t>2</w:t>
            </w:r>
            <w:r>
              <w:rPr>
                <w:color w:val="484848"/>
                <w:sz w:val="13"/>
              </w:rPr>
              <w:t>,6</w:t>
            </w:r>
            <w:r>
              <w:rPr>
                <w:color w:val="232323"/>
                <w:sz w:val="13"/>
              </w:rPr>
              <w:t>04</w:t>
            </w:r>
          </w:p>
        </w:tc>
        <w:tc>
          <w:tcPr>
            <w:tcW w:w="930" w:type="dxa"/>
          </w:tcPr>
          <w:p>
            <w:pPr>
              <w:pStyle w:val="TableParagraph"/>
              <w:spacing w:line="153" w:lineRule="exact"/>
              <w:ind w:right="136"/>
              <w:jc w:val="right"/>
              <w:rPr>
                <w:sz w:val="14"/>
              </w:rPr>
            </w:pPr>
            <w:r>
              <w:rPr>
                <w:color w:val="484848"/>
                <w:sz w:val="14"/>
              </w:rPr>
              <w:t>999</w:t>
            </w:r>
          </w:p>
        </w:tc>
        <w:tc>
          <w:tcPr>
            <w:tcW w:w="858" w:type="dxa"/>
          </w:tcPr>
          <w:p>
            <w:pPr>
              <w:pStyle w:val="TableParagraph"/>
              <w:spacing w:line="149" w:lineRule="exact"/>
              <w:ind w:right="191"/>
              <w:jc w:val="right"/>
              <w:rPr>
                <w:sz w:val="13"/>
              </w:rPr>
            </w:pPr>
            <w:r>
              <w:rPr>
                <w:color w:val="484848"/>
                <w:w w:val="110"/>
                <w:sz w:val="13"/>
              </w:rPr>
              <w:t>1,605</w:t>
            </w:r>
          </w:p>
        </w:tc>
        <w:tc>
          <w:tcPr>
            <w:tcW w:w="557" w:type="dxa"/>
            <w:tcBorders>
              <w:right w:val="single" w:sz="12" w:space="0" w:color="000000"/>
            </w:tcBorders>
          </w:tcPr>
          <w:p>
            <w:pPr>
              <w:pStyle w:val="TableParagraph"/>
              <w:rPr>
                <w:sz w:val="10"/>
              </w:rPr>
            </w:pPr>
          </w:p>
        </w:tc>
      </w:tr>
      <w:tr>
        <w:trPr>
          <w:trHeight w:val="144" w:hRule="atLeast"/>
        </w:trPr>
        <w:tc>
          <w:tcPr>
            <w:tcW w:w="712" w:type="dxa"/>
          </w:tcPr>
          <w:p>
            <w:pPr>
              <w:pStyle w:val="TableParagraph"/>
              <w:rPr>
                <w:sz w:val="8"/>
              </w:rPr>
            </w:pPr>
          </w:p>
        </w:tc>
        <w:tc>
          <w:tcPr>
            <w:tcW w:w="3353" w:type="dxa"/>
          </w:tcPr>
          <w:p>
            <w:pPr>
              <w:pStyle w:val="TableParagraph"/>
              <w:spacing w:line="115" w:lineRule="exact" w:before="9"/>
              <w:ind w:left="165"/>
              <w:rPr>
                <w:sz w:val="13"/>
              </w:rPr>
            </w:pPr>
            <w:r>
              <w:rPr>
                <w:color w:val="484848"/>
                <w:w w:val="110"/>
                <w:sz w:val="13"/>
              </w:rPr>
              <w:t>Other </w:t>
            </w:r>
            <w:r>
              <w:rPr>
                <w:color w:val="363636"/>
                <w:w w:val="110"/>
                <w:sz w:val="13"/>
              </w:rPr>
              <w:t>income</w:t>
            </w:r>
          </w:p>
        </w:tc>
        <w:tc>
          <w:tcPr>
            <w:tcW w:w="424" w:type="dxa"/>
            <w:tcBorders>
              <w:right w:val="single" w:sz="12" w:space="0" w:color="000000"/>
            </w:tcBorders>
          </w:tcPr>
          <w:p>
            <w:pPr>
              <w:pStyle w:val="TableParagraph"/>
              <w:rPr>
                <w:sz w:val="8"/>
              </w:rPr>
            </w:pPr>
          </w:p>
        </w:tc>
        <w:tc>
          <w:tcPr>
            <w:tcW w:w="832" w:type="dxa"/>
            <w:tcBorders>
              <w:left w:val="single" w:sz="12" w:space="0" w:color="000000"/>
              <w:bottom w:val="single" w:sz="12" w:space="0" w:color="000000"/>
            </w:tcBorders>
          </w:tcPr>
          <w:p>
            <w:pPr>
              <w:pStyle w:val="TableParagraph"/>
              <w:spacing w:line="115" w:lineRule="exact" w:before="9"/>
              <w:ind w:right="149"/>
              <w:jc w:val="right"/>
              <w:rPr>
                <w:sz w:val="13"/>
              </w:rPr>
            </w:pPr>
            <w:r>
              <w:rPr>
                <w:color w:val="232323"/>
                <w:w w:val="110"/>
                <w:sz w:val="13"/>
              </w:rPr>
              <w:t>194</w:t>
            </w:r>
          </w:p>
        </w:tc>
        <w:tc>
          <w:tcPr>
            <w:tcW w:w="930" w:type="dxa"/>
            <w:tcBorders>
              <w:bottom w:val="single" w:sz="12" w:space="0" w:color="000000"/>
            </w:tcBorders>
          </w:tcPr>
          <w:p>
            <w:pPr>
              <w:pStyle w:val="TableParagraph"/>
              <w:spacing w:line="115" w:lineRule="exact" w:before="9"/>
              <w:ind w:right="136"/>
              <w:jc w:val="right"/>
              <w:rPr>
                <w:sz w:val="13"/>
              </w:rPr>
            </w:pPr>
            <w:r>
              <w:rPr>
                <w:color w:val="232323"/>
                <w:w w:val="110"/>
                <w:sz w:val="13"/>
              </w:rPr>
              <w:t>114</w:t>
            </w:r>
          </w:p>
        </w:tc>
        <w:tc>
          <w:tcPr>
            <w:tcW w:w="858" w:type="dxa"/>
            <w:tcBorders>
              <w:bottom w:val="single" w:sz="12" w:space="0" w:color="000000"/>
            </w:tcBorders>
          </w:tcPr>
          <w:p>
            <w:pPr>
              <w:pStyle w:val="TableParagraph"/>
              <w:spacing w:line="115" w:lineRule="exact" w:before="9"/>
              <w:ind w:right="202"/>
              <w:jc w:val="right"/>
              <w:rPr>
                <w:sz w:val="13"/>
              </w:rPr>
            </w:pPr>
            <w:r>
              <w:rPr>
                <w:color w:val="363636"/>
                <w:w w:val="110"/>
                <w:sz w:val="13"/>
              </w:rPr>
              <w:t>80</w:t>
            </w:r>
          </w:p>
        </w:tc>
        <w:tc>
          <w:tcPr>
            <w:tcW w:w="557" w:type="dxa"/>
            <w:tcBorders>
              <w:bottom w:val="single" w:sz="12" w:space="0" w:color="000000"/>
              <w:right w:val="single" w:sz="12" w:space="0" w:color="000000"/>
            </w:tcBorders>
          </w:tcPr>
          <w:p>
            <w:pPr>
              <w:pStyle w:val="TableParagraph"/>
              <w:rPr>
                <w:sz w:val="8"/>
              </w:rPr>
            </w:pPr>
          </w:p>
        </w:tc>
      </w:tr>
      <w:tr>
        <w:trPr>
          <w:trHeight w:val="435" w:hRule="atLeast"/>
        </w:trPr>
        <w:tc>
          <w:tcPr>
            <w:tcW w:w="712" w:type="dxa"/>
          </w:tcPr>
          <w:p>
            <w:pPr>
              <w:pStyle w:val="TableParagraph"/>
              <w:spacing w:before="8"/>
              <w:rPr>
                <w:sz w:val="15"/>
              </w:rPr>
            </w:pPr>
          </w:p>
          <w:p>
            <w:pPr>
              <w:pStyle w:val="TableParagraph"/>
              <w:ind w:right="59"/>
              <w:jc w:val="right"/>
              <w:rPr>
                <w:sz w:val="13"/>
              </w:rPr>
            </w:pPr>
            <w:r>
              <w:rPr>
                <w:color w:val="363636"/>
                <w:w w:val="115"/>
                <w:sz w:val="13"/>
              </w:rPr>
              <w:t>26,100</w:t>
            </w:r>
          </w:p>
        </w:tc>
        <w:tc>
          <w:tcPr>
            <w:tcW w:w="3353" w:type="dxa"/>
          </w:tcPr>
          <w:p>
            <w:pPr>
              <w:pStyle w:val="TableParagraph"/>
              <w:spacing w:before="153"/>
              <w:ind w:right="86"/>
              <w:jc w:val="right"/>
              <w:rPr>
                <w:i/>
                <w:sz w:val="16"/>
              </w:rPr>
            </w:pPr>
            <w:r>
              <w:rPr>
                <w:i/>
                <w:color w:val="5E5E5E"/>
                <w:w w:val="90"/>
                <w:sz w:val="16"/>
              </w:rPr>
              <w:t>Total </w:t>
            </w:r>
            <w:r>
              <w:rPr>
                <w:i/>
                <w:color w:val="484848"/>
                <w:w w:val="90"/>
                <w:sz w:val="16"/>
              </w:rPr>
              <w:t>incoming resources</w:t>
            </w:r>
          </w:p>
        </w:tc>
        <w:tc>
          <w:tcPr>
            <w:tcW w:w="424" w:type="dxa"/>
          </w:tcPr>
          <w:p>
            <w:pPr>
              <w:pStyle w:val="TableParagraph"/>
              <w:rPr>
                <w:sz w:val="14"/>
              </w:rPr>
            </w:pPr>
          </w:p>
        </w:tc>
        <w:tc>
          <w:tcPr>
            <w:tcW w:w="832" w:type="dxa"/>
            <w:tcBorders>
              <w:top w:val="single" w:sz="12" w:space="0" w:color="000000"/>
            </w:tcBorders>
          </w:tcPr>
          <w:p>
            <w:pPr>
              <w:pStyle w:val="TableParagraph"/>
              <w:spacing w:before="8"/>
              <w:rPr>
                <w:sz w:val="15"/>
              </w:rPr>
            </w:pPr>
          </w:p>
          <w:p>
            <w:pPr>
              <w:pStyle w:val="TableParagraph"/>
              <w:ind w:left="280"/>
              <w:rPr>
                <w:sz w:val="13"/>
              </w:rPr>
            </w:pPr>
            <w:r>
              <w:rPr>
                <w:color w:val="232323"/>
                <w:w w:val="110"/>
                <w:sz w:val="13"/>
              </w:rPr>
              <w:t>27</w:t>
            </w:r>
            <w:r>
              <w:rPr>
                <w:color w:val="484848"/>
                <w:w w:val="110"/>
                <w:sz w:val="13"/>
              </w:rPr>
              <w:t>,087</w:t>
            </w:r>
          </w:p>
        </w:tc>
        <w:tc>
          <w:tcPr>
            <w:tcW w:w="930" w:type="dxa"/>
            <w:tcBorders>
              <w:top w:val="single" w:sz="12" w:space="0" w:color="000000"/>
            </w:tcBorders>
          </w:tcPr>
          <w:p>
            <w:pPr>
              <w:pStyle w:val="TableParagraph"/>
              <w:spacing w:before="8"/>
              <w:rPr>
                <w:sz w:val="15"/>
              </w:rPr>
            </w:pPr>
          </w:p>
          <w:p>
            <w:pPr>
              <w:pStyle w:val="TableParagraph"/>
              <w:ind w:right="136"/>
              <w:jc w:val="right"/>
              <w:rPr>
                <w:sz w:val="13"/>
              </w:rPr>
            </w:pPr>
            <w:r>
              <w:rPr>
                <w:color w:val="232323"/>
                <w:w w:val="110"/>
                <w:sz w:val="13"/>
              </w:rPr>
              <w:t>23,358</w:t>
            </w:r>
          </w:p>
        </w:tc>
        <w:tc>
          <w:tcPr>
            <w:tcW w:w="858" w:type="dxa"/>
            <w:tcBorders>
              <w:top w:val="single" w:sz="12" w:space="0" w:color="000000"/>
            </w:tcBorders>
          </w:tcPr>
          <w:p>
            <w:pPr>
              <w:pStyle w:val="TableParagraph"/>
              <w:spacing w:before="8"/>
              <w:rPr>
                <w:sz w:val="15"/>
              </w:rPr>
            </w:pPr>
          </w:p>
          <w:p>
            <w:pPr>
              <w:pStyle w:val="TableParagraph"/>
              <w:ind w:right="195"/>
              <w:jc w:val="right"/>
              <w:rPr>
                <w:sz w:val="13"/>
              </w:rPr>
            </w:pPr>
            <w:r>
              <w:rPr>
                <w:color w:val="363636"/>
                <w:w w:val="115"/>
                <w:sz w:val="13"/>
              </w:rPr>
              <w:t>3,729</w:t>
            </w:r>
          </w:p>
        </w:tc>
        <w:tc>
          <w:tcPr>
            <w:tcW w:w="557" w:type="dxa"/>
            <w:tcBorders>
              <w:top w:val="single" w:sz="12" w:space="0" w:color="000000"/>
            </w:tcBorders>
          </w:tcPr>
          <w:p>
            <w:pPr>
              <w:pStyle w:val="TableParagraph"/>
              <w:rPr>
                <w:sz w:val="14"/>
              </w:rPr>
            </w:pPr>
          </w:p>
        </w:tc>
      </w:tr>
      <w:tr>
        <w:trPr>
          <w:trHeight w:val="252" w:hRule="atLeast"/>
        </w:trPr>
        <w:tc>
          <w:tcPr>
            <w:tcW w:w="712" w:type="dxa"/>
          </w:tcPr>
          <w:p>
            <w:pPr>
              <w:pStyle w:val="TableParagraph"/>
              <w:rPr>
                <w:sz w:val="14"/>
              </w:rPr>
            </w:pPr>
          </w:p>
        </w:tc>
        <w:tc>
          <w:tcPr>
            <w:tcW w:w="3353" w:type="dxa"/>
          </w:tcPr>
          <w:p>
            <w:pPr>
              <w:pStyle w:val="TableParagraph"/>
              <w:spacing w:line="140" w:lineRule="exact" w:before="92"/>
              <w:ind w:left="167"/>
              <w:rPr>
                <w:sz w:val="13"/>
              </w:rPr>
            </w:pPr>
            <w:r>
              <w:rPr>
                <w:color w:val="232323"/>
                <w:w w:val="110"/>
                <w:sz w:val="13"/>
              </w:rPr>
              <w:t>Resour </w:t>
            </w:r>
            <w:r>
              <w:rPr>
                <w:color w:val="484848"/>
                <w:w w:val="110"/>
                <w:sz w:val="13"/>
              </w:rPr>
              <w:t>ces </w:t>
            </w:r>
            <w:r>
              <w:rPr>
                <w:color w:val="363636"/>
                <w:w w:val="110"/>
                <w:sz w:val="13"/>
              </w:rPr>
              <w:t>expended</w:t>
            </w:r>
          </w:p>
        </w:tc>
        <w:tc>
          <w:tcPr>
            <w:tcW w:w="424" w:type="dxa"/>
          </w:tcPr>
          <w:p>
            <w:pPr>
              <w:pStyle w:val="TableParagraph"/>
              <w:rPr>
                <w:sz w:val="14"/>
              </w:rPr>
            </w:pPr>
          </w:p>
        </w:tc>
        <w:tc>
          <w:tcPr>
            <w:tcW w:w="832" w:type="dxa"/>
          </w:tcPr>
          <w:p>
            <w:pPr>
              <w:pStyle w:val="TableParagraph"/>
              <w:rPr>
                <w:sz w:val="14"/>
              </w:rPr>
            </w:pPr>
          </w:p>
        </w:tc>
        <w:tc>
          <w:tcPr>
            <w:tcW w:w="930" w:type="dxa"/>
          </w:tcPr>
          <w:p>
            <w:pPr>
              <w:pStyle w:val="TableParagraph"/>
              <w:rPr>
                <w:sz w:val="14"/>
              </w:rPr>
            </w:pPr>
          </w:p>
        </w:tc>
        <w:tc>
          <w:tcPr>
            <w:tcW w:w="858" w:type="dxa"/>
          </w:tcPr>
          <w:p>
            <w:pPr>
              <w:pStyle w:val="TableParagraph"/>
              <w:rPr>
                <w:sz w:val="14"/>
              </w:rPr>
            </w:pPr>
          </w:p>
        </w:tc>
        <w:tc>
          <w:tcPr>
            <w:tcW w:w="557" w:type="dxa"/>
          </w:tcPr>
          <w:p>
            <w:pPr>
              <w:pStyle w:val="TableParagraph"/>
              <w:rPr>
                <w:sz w:val="14"/>
              </w:rPr>
            </w:pPr>
          </w:p>
        </w:tc>
      </w:tr>
      <w:tr>
        <w:trPr>
          <w:trHeight w:val="150" w:hRule="atLeast"/>
        </w:trPr>
        <w:tc>
          <w:tcPr>
            <w:tcW w:w="712" w:type="dxa"/>
          </w:tcPr>
          <w:p>
            <w:pPr>
              <w:pStyle w:val="TableParagraph"/>
              <w:rPr>
                <w:sz w:val="8"/>
              </w:rPr>
            </w:pPr>
          </w:p>
        </w:tc>
        <w:tc>
          <w:tcPr>
            <w:tcW w:w="3353" w:type="dxa"/>
          </w:tcPr>
          <w:p>
            <w:pPr>
              <w:pStyle w:val="TableParagraph"/>
              <w:spacing w:line="117" w:lineRule="exact" w:before="13"/>
              <w:ind w:left="165"/>
              <w:rPr>
                <w:sz w:val="13"/>
              </w:rPr>
            </w:pPr>
            <w:r>
              <w:rPr>
                <w:color w:val="484848"/>
                <w:w w:val="115"/>
                <w:sz w:val="13"/>
              </w:rPr>
              <w:t>C</w:t>
            </w:r>
            <w:r>
              <w:rPr>
                <w:color w:val="232323"/>
                <w:w w:val="115"/>
                <w:sz w:val="13"/>
              </w:rPr>
              <w:t>harita ble </w:t>
            </w:r>
            <w:r>
              <w:rPr>
                <w:color w:val="363636"/>
                <w:w w:val="115"/>
                <w:sz w:val="13"/>
              </w:rPr>
              <w:t>activities</w:t>
            </w:r>
          </w:p>
        </w:tc>
        <w:tc>
          <w:tcPr>
            <w:tcW w:w="424" w:type="dxa"/>
          </w:tcPr>
          <w:p>
            <w:pPr>
              <w:pStyle w:val="TableParagraph"/>
              <w:spacing w:line="126" w:lineRule="exact" w:before="4"/>
              <w:ind w:right="23"/>
              <w:jc w:val="center"/>
              <w:rPr>
                <w:i/>
                <w:sz w:val="14"/>
              </w:rPr>
            </w:pPr>
            <w:r>
              <w:rPr>
                <w:i/>
                <w:color w:val="484848"/>
                <w:w w:val="105"/>
                <w:sz w:val="14"/>
              </w:rPr>
              <w:t>5</w:t>
            </w:r>
          </w:p>
        </w:tc>
        <w:tc>
          <w:tcPr>
            <w:tcW w:w="832" w:type="dxa"/>
            <w:tcBorders>
              <w:bottom w:val="single" w:sz="12" w:space="0" w:color="000000"/>
            </w:tcBorders>
          </w:tcPr>
          <w:p>
            <w:pPr>
              <w:pStyle w:val="TableParagraph"/>
              <w:rPr>
                <w:sz w:val="8"/>
              </w:rPr>
            </w:pPr>
          </w:p>
        </w:tc>
        <w:tc>
          <w:tcPr>
            <w:tcW w:w="930" w:type="dxa"/>
            <w:tcBorders>
              <w:bottom w:val="single" w:sz="12" w:space="0" w:color="000000"/>
            </w:tcBorders>
          </w:tcPr>
          <w:p>
            <w:pPr>
              <w:pStyle w:val="TableParagraph"/>
              <w:rPr>
                <w:sz w:val="8"/>
              </w:rPr>
            </w:pPr>
          </w:p>
        </w:tc>
        <w:tc>
          <w:tcPr>
            <w:tcW w:w="858" w:type="dxa"/>
            <w:tcBorders>
              <w:bottom w:val="single" w:sz="8" w:space="0" w:color="000000"/>
            </w:tcBorders>
          </w:tcPr>
          <w:p>
            <w:pPr>
              <w:pStyle w:val="TableParagraph"/>
              <w:rPr>
                <w:sz w:val="8"/>
              </w:rPr>
            </w:pPr>
          </w:p>
        </w:tc>
        <w:tc>
          <w:tcPr>
            <w:tcW w:w="557" w:type="dxa"/>
            <w:tcBorders>
              <w:bottom w:val="single" w:sz="8" w:space="0" w:color="000000"/>
            </w:tcBorders>
          </w:tcPr>
          <w:p>
            <w:pPr>
              <w:pStyle w:val="TableParagraph"/>
              <w:rPr>
                <w:sz w:val="8"/>
              </w:rPr>
            </w:pPr>
          </w:p>
        </w:tc>
      </w:tr>
      <w:tr>
        <w:trPr>
          <w:trHeight w:val="169" w:hRule="atLeast"/>
        </w:trPr>
        <w:tc>
          <w:tcPr>
            <w:tcW w:w="712" w:type="dxa"/>
          </w:tcPr>
          <w:p>
            <w:pPr>
              <w:pStyle w:val="TableParagraph"/>
              <w:rPr>
                <w:sz w:val="10"/>
              </w:rPr>
            </w:pPr>
          </w:p>
        </w:tc>
        <w:tc>
          <w:tcPr>
            <w:tcW w:w="3353" w:type="dxa"/>
          </w:tcPr>
          <w:p>
            <w:pPr>
              <w:pStyle w:val="TableParagraph"/>
              <w:spacing w:line="143" w:lineRule="exact" w:before="6"/>
              <w:ind w:left="168"/>
              <w:rPr>
                <w:sz w:val="13"/>
              </w:rPr>
            </w:pPr>
            <w:r>
              <w:rPr>
                <w:color w:val="484848"/>
                <w:w w:val="110"/>
                <w:sz w:val="13"/>
              </w:rPr>
              <w:t>Ministry</w:t>
            </w:r>
          </w:p>
        </w:tc>
        <w:tc>
          <w:tcPr>
            <w:tcW w:w="424" w:type="dxa"/>
            <w:tcBorders>
              <w:right w:val="single" w:sz="12" w:space="0" w:color="000000"/>
            </w:tcBorders>
          </w:tcPr>
          <w:p>
            <w:pPr>
              <w:pStyle w:val="TableParagraph"/>
              <w:rPr>
                <w:sz w:val="10"/>
              </w:rPr>
            </w:pPr>
          </w:p>
        </w:tc>
        <w:tc>
          <w:tcPr>
            <w:tcW w:w="832" w:type="dxa"/>
            <w:tcBorders>
              <w:top w:val="single" w:sz="12" w:space="0" w:color="000000"/>
              <w:left w:val="single" w:sz="12" w:space="0" w:color="000000"/>
            </w:tcBorders>
          </w:tcPr>
          <w:p>
            <w:pPr>
              <w:pStyle w:val="TableParagraph"/>
              <w:spacing w:line="151" w:lineRule="exact"/>
              <w:ind w:left="268"/>
              <w:rPr>
                <w:b/>
                <w:sz w:val="14"/>
              </w:rPr>
            </w:pPr>
            <w:r>
              <w:rPr>
                <w:b/>
                <w:color w:val="232323"/>
                <w:w w:val="105"/>
                <w:sz w:val="14"/>
              </w:rPr>
              <w:t>19,169</w:t>
            </w:r>
          </w:p>
        </w:tc>
        <w:tc>
          <w:tcPr>
            <w:tcW w:w="930" w:type="dxa"/>
            <w:tcBorders>
              <w:top w:val="single" w:sz="12" w:space="0" w:color="000000"/>
            </w:tcBorders>
          </w:tcPr>
          <w:p>
            <w:pPr>
              <w:pStyle w:val="TableParagraph"/>
              <w:spacing w:line="143" w:lineRule="exact" w:before="8"/>
              <w:ind w:right="151"/>
              <w:jc w:val="right"/>
              <w:rPr>
                <w:sz w:val="13"/>
              </w:rPr>
            </w:pPr>
            <w:r>
              <w:rPr>
                <w:color w:val="484848"/>
                <w:sz w:val="13"/>
              </w:rPr>
              <w:t>18</w:t>
            </w:r>
            <w:r>
              <w:rPr>
                <w:color w:val="757575"/>
                <w:sz w:val="13"/>
              </w:rPr>
              <w:t>,</w:t>
            </w:r>
            <w:r>
              <w:rPr>
                <w:color w:val="484848"/>
                <w:sz w:val="13"/>
              </w:rPr>
              <w:t>004</w:t>
            </w:r>
          </w:p>
        </w:tc>
        <w:tc>
          <w:tcPr>
            <w:tcW w:w="858" w:type="dxa"/>
            <w:tcBorders>
              <w:top w:val="single" w:sz="8" w:space="0" w:color="000000"/>
            </w:tcBorders>
          </w:tcPr>
          <w:p>
            <w:pPr>
              <w:pStyle w:val="TableParagraph"/>
              <w:spacing w:line="143" w:lineRule="exact" w:before="8"/>
              <w:ind w:right="202"/>
              <w:jc w:val="right"/>
              <w:rPr>
                <w:sz w:val="13"/>
              </w:rPr>
            </w:pPr>
            <w:r>
              <w:rPr>
                <w:color w:val="484848"/>
                <w:w w:val="105"/>
                <w:sz w:val="13"/>
              </w:rPr>
              <w:t>1,165</w:t>
            </w:r>
          </w:p>
        </w:tc>
        <w:tc>
          <w:tcPr>
            <w:tcW w:w="557" w:type="dxa"/>
            <w:tcBorders>
              <w:top w:val="single" w:sz="8" w:space="0" w:color="000000"/>
              <w:right w:val="single" w:sz="12" w:space="0" w:color="000000"/>
            </w:tcBorders>
          </w:tcPr>
          <w:p>
            <w:pPr>
              <w:pStyle w:val="TableParagraph"/>
              <w:spacing w:line="139" w:lineRule="exact"/>
              <w:ind w:right="78"/>
              <w:jc w:val="right"/>
              <w:rPr>
                <w:sz w:val="18"/>
              </w:rPr>
            </w:pPr>
            <w:r>
              <w:rPr>
                <w:color w:val="484848"/>
                <w:w w:val="105"/>
                <w:sz w:val="18"/>
              </w:rPr>
              <w:t>.</w:t>
            </w:r>
          </w:p>
        </w:tc>
      </w:tr>
      <w:tr>
        <w:trPr>
          <w:trHeight w:val="173" w:hRule="atLeast"/>
        </w:trPr>
        <w:tc>
          <w:tcPr>
            <w:tcW w:w="712" w:type="dxa"/>
          </w:tcPr>
          <w:p>
            <w:pPr>
              <w:pStyle w:val="TableParagraph"/>
              <w:rPr>
                <w:sz w:val="10"/>
              </w:rPr>
            </w:pPr>
          </w:p>
        </w:tc>
        <w:tc>
          <w:tcPr>
            <w:tcW w:w="3353" w:type="dxa"/>
          </w:tcPr>
          <w:p>
            <w:pPr>
              <w:pStyle w:val="TableParagraph"/>
              <w:spacing w:line="144" w:lineRule="exact" w:before="9"/>
              <w:ind w:left="167"/>
              <w:rPr>
                <w:rFonts w:ascii="Arial"/>
                <w:sz w:val="13"/>
              </w:rPr>
            </w:pPr>
            <w:r>
              <w:rPr>
                <w:rFonts w:ascii="Arial"/>
                <w:color w:val="484848"/>
                <w:w w:val="105"/>
                <w:sz w:val="13"/>
              </w:rPr>
              <w:t>Training</w:t>
            </w:r>
          </w:p>
        </w:tc>
        <w:tc>
          <w:tcPr>
            <w:tcW w:w="424" w:type="dxa"/>
            <w:tcBorders>
              <w:right w:val="single" w:sz="12" w:space="0" w:color="000000"/>
            </w:tcBorders>
          </w:tcPr>
          <w:p>
            <w:pPr>
              <w:pStyle w:val="TableParagraph"/>
              <w:rPr>
                <w:sz w:val="10"/>
              </w:rPr>
            </w:pPr>
          </w:p>
        </w:tc>
        <w:tc>
          <w:tcPr>
            <w:tcW w:w="832" w:type="dxa"/>
            <w:tcBorders>
              <w:left w:val="single" w:sz="12" w:space="0" w:color="000000"/>
            </w:tcBorders>
          </w:tcPr>
          <w:p>
            <w:pPr>
              <w:pStyle w:val="TableParagraph"/>
              <w:spacing w:line="153" w:lineRule="exact"/>
              <w:ind w:left="342"/>
              <w:rPr>
                <w:b/>
                <w:sz w:val="14"/>
              </w:rPr>
            </w:pPr>
            <w:r>
              <w:rPr>
                <w:b/>
                <w:color w:val="363636"/>
                <w:w w:val="105"/>
                <w:sz w:val="14"/>
              </w:rPr>
              <w:t>2,049</w:t>
            </w:r>
          </w:p>
        </w:tc>
        <w:tc>
          <w:tcPr>
            <w:tcW w:w="930" w:type="dxa"/>
          </w:tcPr>
          <w:p>
            <w:pPr>
              <w:pStyle w:val="TableParagraph"/>
              <w:spacing w:line="144" w:lineRule="exact" w:before="10"/>
              <w:ind w:right="132"/>
              <w:jc w:val="right"/>
              <w:rPr>
                <w:sz w:val="13"/>
              </w:rPr>
            </w:pPr>
            <w:r>
              <w:rPr>
                <w:color w:val="484848"/>
                <w:w w:val="110"/>
                <w:sz w:val="13"/>
              </w:rPr>
              <w:t>1,428</w:t>
            </w:r>
          </w:p>
        </w:tc>
        <w:tc>
          <w:tcPr>
            <w:tcW w:w="858" w:type="dxa"/>
          </w:tcPr>
          <w:p>
            <w:pPr>
              <w:pStyle w:val="TableParagraph"/>
              <w:spacing w:line="144" w:lineRule="exact" w:before="10"/>
              <w:ind w:right="195"/>
              <w:jc w:val="right"/>
              <w:rPr>
                <w:sz w:val="13"/>
              </w:rPr>
            </w:pPr>
            <w:r>
              <w:rPr>
                <w:color w:val="484848"/>
                <w:w w:val="110"/>
                <w:sz w:val="13"/>
              </w:rPr>
              <w:t>621</w:t>
            </w:r>
          </w:p>
        </w:tc>
        <w:tc>
          <w:tcPr>
            <w:tcW w:w="557" w:type="dxa"/>
            <w:tcBorders>
              <w:right w:val="single" w:sz="12" w:space="0" w:color="000000"/>
            </w:tcBorders>
          </w:tcPr>
          <w:p>
            <w:pPr>
              <w:pStyle w:val="TableParagraph"/>
              <w:spacing w:line="142" w:lineRule="exact"/>
              <w:ind w:right="75"/>
              <w:jc w:val="right"/>
              <w:rPr>
                <w:sz w:val="18"/>
              </w:rPr>
            </w:pPr>
            <w:r>
              <w:rPr>
                <w:color w:val="484848"/>
                <w:w w:val="112"/>
                <w:sz w:val="18"/>
              </w:rPr>
              <w:t>.</w:t>
            </w:r>
          </w:p>
        </w:tc>
      </w:tr>
      <w:tr>
        <w:trPr>
          <w:trHeight w:val="173" w:hRule="atLeast"/>
        </w:trPr>
        <w:tc>
          <w:tcPr>
            <w:tcW w:w="712" w:type="dxa"/>
          </w:tcPr>
          <w:p>
            <w:pPr>
              <w:pStyle w:val="TableParagraph"/>
              <w:rPr>
                <w:sz w:val="10"/>
              </w:rPr>
            </w:pPr>
          </w:p>
        </w:tc>
        <w:tc>
          <w:tcPr>
            <w:tcW w:w="3353" w:type="dxa"/>
          </w:tcPr>
          <w:p>
            <w:pPr>
              <w:pStyle w:val="TableParagraph"/>
              <w:spacing w:line="144" w:lineRule="exact" w:before="9"/>
              <w:ind w:left="165"/>
              <w:rPr>
                <w:sz w:val="13"/>
              </w:rPr>
            </w:pPr>
            <w:r>
              <w:rPr>
                <w:color w:val="363636"/>
                <w:w w:val="110"/>
                <w:sz w:val="13"/>
              </w:rPr>
              <w:t>Other </w:t>
            </w:r>
            <w:r>
              <w:rPr>
                <w:color w:val="484848"/>
                <w:w w:val="110"/>
                <w:sz w:val="13"/>
              </w:rPr>
              <w:t>Mission activities</w:t>
            </w:r>
          </w:p>
        </w:tc>
        <w:tc>
          <w:tcPr>
            <w:tcW w:w="424" w:type="dxa"/>
            <w:tcBorders>
              <w:right w:val="single" w:sz="12" w:space="0" w:color="000000"/>
            </w:tcBorders>
          </w:tcPr>
          <w:p>
            <w:pPr>
              <w:pStyle w:val="TableParagraph"/>
              <w:rPr>
                <w:sz w:val="10"/>
              </w:rPr>
            </w:pPr>
          </w:p>
        </w:tc>
        <w:tc>
          <w:tcPr>
            <w:tcW w:w="832" w:type="dxa"/>
            <w:tcBorders>
              <w:left w:val="single" w:sz="12" w:space="0" w:color="000000"/>
            </w:tcBorders>
          </w:tcPr>
          <w:p>
            <w:pPr>
              <w:pStyle w:val="TableParagraph"/>
              <w:spacing w:line="152" w:lineRule="exact"/>
              <w:ind w:left="342"/>
              <w:rPr>
                <w:b/>
                <w:sz w:val="14"/>
              </w:rPr>
            </w:pPr>
            <w:r>
              <w:rPr>
                <w:b/>
                <w:color w:val="363636"/>
                <w:w w:val="105"/>
                <w:sz w:val="14"/>
              </w:rPr>
              <w:t>2,844</w:t>
            </w:r>
          </w:p>
        </w:tc>
        <w:tc>
          <w:tcPr>
            <w:tcW w:w="930" w:type="dxa"/>
          </w:tcPr>
          <w:p>
            <w:pPr>
              <w:pStyle w:val="TableParagraph"/>
              <w:spacing w:line="144" w:lineRule="exact" w:before="9"/>
              <w:ind w:right="135"/>
              <w:jc w:val="right"/>
              <w:rPr>
                <w:sz w:val="13"/>
              </w:rPr>
            </w:pPr>
            <w:r>
              <w:rPr>
                <w:color w:val="484848"/>
                <w:w w:val="110"/>
                <w:sz w:val="13"/>
              </w:rPr>
              <w:t>2,117</w:t>
            </w:r>
          </w:p>
        </w:tc>
        <w:tc>
          <w:tcPr>
            <w:tcW w:w="858" w:type="dxa"/>
          </w:tcPr>
          <w:p>
            <w:pPr>
              <w:pStyle w:val="TableParagraph"/>
              <w:ind w:right="198"/>
              <w:jc w:val="right"/>
              <w:rPr>
                <w:sz w:val="13"/>
              </w:rPr>
            </w:pPr>
            <w:r>
              <w:rPr>
                <w:color w:val="484848"/>
                <w:w w:val="110"/>
                <w:sz w:val="13"/>
              </w:rPr>
              <w:t>727</w:t>
            </w:r>
          </w:p>
        </w:tc>
        <w:tc>
          <w:tcPr>
            <w:tcW w:w="557" w:type="dxa"/>
            <w:tcBorders>
              <w:right w:val="single" w:sz="12" w:space="0" w:color="000000"/>
            </w:tcBorders>
          </w:tcPr>
          <w:p>
            <w:pPr>
              <w:pStyle w:val="TableParagraph"/>
              <w:spacing w:line="141" w:lineRule="exact"/>
              <w:ind w:right="75"/>
              <w:jc w:val="right"/>
              <w:rPr>
                <w:sz w:val="18"/>
              </w:rPr>
            </w:pPr>
            <w:r>
              <w:rPr>
                <w:color w:val="484848"/>
                <w:w w:val="110"/>
                <w:sz w:val="18"/>
              </w:rPr>
              <w:t>.</w:t>
            </w:r>
          </w:p>
        </w:tc>
      </w:tr>
      <w:tr>
        <w:trPr>
          <w:trHeight w:val="144" w:hRule="atLeast"/>
        </w:trPr>
        <w:tc>
          <w:tcPr>
            <w:tcW w:w="712" w:type="dxa"/>
          </w:tcPr>
          <w:p>
            <w:pPr>
              <w:pStyle w:val="TableParagraph"/>
              <w:rPr>
                <w:sz w:val="8"/>
              </w:rPr>
            </w:pPr>
          </w:p>
        </w:tc>
        <w:tc>
          <w:tcPr>
            <w:tcW w:w="3353" w:type="dxa"/>
          </w:tcPr>
          <w:p>
            <w:pPr>
              <w:pStyle w:val="TableParagraph"/>
              <w:spacing w:line="115" w:lineRule="exact" w:before="9"/>
              <w:ind w:left="167"/>
              <w:rPr>
                <w:sz w:val="13"/>
              </w:rPr>
            </w:pPr>
            <w:r>
              <w:rPr>
                <w:color w:val="5E5E5E"/>
                <w:w w:val="110"/>
                <w:sz w:val="13"/>
              </w:rPr>
              <w:t>Edit</w:t>
            </w:r>
            <w:r>
              <w:rPr>
                <w:color w:val="363636"/>
                <w:w w:val="110"/>
                <w:sz w:val="13"/>
              </w:rPr>
              <w:t>orial and bookshop</w:t>
            </w:r>
          </w:p>
        </w:tc>
        <w:tc>
          <w:tcPr>
            <w:tcW w:w="424" w:type="dxa"/>
            <w:tcBorders>
              <w:right w:val="single" w:sz="12" w:space="0" w:color="000000"/>
            </w:tcBorders>
          </w:tcPr>
          <w:p>
            <w:pPr>
              <w:pStyle w:val="TableParagraph"/>
              <w:rPr>
                <w:sz w:val="8"/>
              </w:rPr>
            </w:pPr>
          </w:p>
        </w:tc>
        <w:tc>
          <w:tcPr>
            <w:tcW w:w="832" w:type="dxa"/>
            <w:tcBorders>
              <w:left w:val="single" w:sz="12" w:space="0" w:color="000000"/>
              <w:bottom w:val="single" w:sz="8" w:space="0" w:color="000000"/>
            </w:tcBorders>
          </w:tcPr>
          <w:p>
            <w:pPr>
              <w:pStyle w:val="TableParagraph"/>
              <w:spacing w:line="124" w:lineRule="exact"/>
              <w:ind w:right="138"/>
              <w:jc w:val="right"/>
              <w:rPr>
                <w:b/>
                <w:sz w:val="14"/>
              </w:rPr>
            </w:pPr>
            <w:r>
              <w:rPr>
                <w:b/>
                <w:color w:val="363636"/>
                <w:w w:val="105"/>
                <w:sz w:val="14"/>
              </w:rPr>
              <w:t>522</w:t>
            </w:r>
          </w:p>
        </w:tc>
        <w:tc>
          <w:tcPr>
            <w:tcW w:w="930" w:type="dxa"/>
            <w:tcBorders>
              <w:bottom w:val="single" w:sz="8" w:space="0" w:color="000000"/>
            </w:tcBorders>
          </w:tcPr>
          <w:p>
            <w:pPr>
              <w:pStyle w:val="TableParagraph"/>
              <w:spacing w:line="115" w:lineRule="exact" w:before="9"/>
              <w:ind w:right="142"/>
              <w:jc w:val="right"/>
              <w:rPr>
                <w:sz w:val="13"/>
              </w:rPr>
            </w:pPr>
            <w:r>
              <w:rPr>
                <w:color w:val="484848"/>
                <w:w w:val="105"/>
                <w:sz w:val="13"/>
              </w:rPr>
              <w:t>522</w:t>
            </w:r>
          </w:p>
        </w:tc>
        <w:tc>
          <w:tcPr>
            <w:tcW w:w="858" w:type="dxa"/>
            <w:tcBorders>
              <w:bottom w:val="single" w:sz="8" w:space="0" w:color="000000"/>
            </w:tcBorders>
          </w:tcPr>
          <w:p>
            <w:pPr>
              <w:pStyle w:val="TableParagraph"/>
              <w:spacing w:line="124" w:lineRule="exact"/>
              <w:ind w:right="229"/>
              <w:jc w:val="right"/>
              <w:rPr>
                <w:sz w:val="22"/>
              </w:rPr>
            </w:pPr>
            <w:r>
              <w:rPr>
                <w:color w:val="363636"/>
                <w:w w:val="109"/>
                <w:sz w:val="22"/>
              </w:rPr>
              <w:t>.</w:t>
            </w:r>
          </w:p>
        </w:tc>
        <w:tc>
          <w:tcPr>
            <w:tcW w:w="557" w:type="dxa"/>
            <w:tcBorders>
              <w:bottom w:val="single" w:sz="12" w:space="0" w:color="000000"/>
              <w:right w:val="single" w:sz="12" w:space="0" w:color="000000"/>
            </w:tcBorders>
          </w:tcPr>
          <w:p>
            <w:pPr>
              <w:pStyle w:val="TableParagraph"/>
              <w:spacing w:line="124" w:lineRule="exact"/>
              <w:ind w:right="86"/>
              <w:jc w:val="right"/>
              <w:rPr>
                <w:sz w:val="13"/>
              </w:rPr>
            </w:pPr>
            <w:r>
              <w:rPr>
                <w:color w:val="484848"/>
                <w:w w:val="109"/>
                <w:sz w:val="13"/>
              </w:rPr>
              <w:t>.</w:t>
            </w:r>
          </w:p>
        </w:tc>
      </w:tr>
      <w:tr>
        <w:trPr>
          <w:trHeight w:val="143" w:hRule="atLeast"/>
        </w:trPr>
        <w:tc>
          <w:tcPr>
            <w:tcW w:w="712" w:type="dxa"/>
          </w:tcPr>
          <w:p>
            <w:pPr>
              <w:pStyle w:val="TableParagraph"/>
              <w:rPr>
                <w:sz w:val="8"/>
              </w:rPr>
            </w:pPr>
          </w:p>
        </w:tc>
        <w:tc>
          <w:tcPr>
            <w:tcW w:w="3353" w:type="dxa"/>
          </w:tcPr>
          <w:p>
            <w:pPr>
              <w:pStyle w:val="TableParagraph"/>
              <w:rPr>
                <w:sz w:val="8"/>
              </w:rPr>
            </w:pPr>
          </w:p>
        </w:tc>
        <w:tc>
          <w:tcPr>
            <w:tcW w:w="424" w:type="dxa"/>
            <w:tcBorders>
              <w:right w:val="single" w:sz="12" w:space="0" w:color="000000"/>
            </w:tcBorders>
          </w:tcPr>
          <w:p>
            <w:pPr>
              <w:pStyle w:val="TableParagraph"/>
              <w:rPr>
                <w:sz w:val="8"/>
              </w:rPr>
            </w:pPr>
          </w:p>
        </w:tc>
        <w:tc>
          <w:tcPr>
            <w:tcW w:w="832" w:type="dxa"/>
            <w:tcBorders>
              <w:top w:val="single" w:sz="8" w:space="0" w:color="000000"/>
              <w:left w:val="single" w:sz="12" w:space="0" w:color="000000"/>
              <w:bottom w:val="single" w:sz="12" w:space="0" w:color="000000"/>
            </w:tcBorders>
          </w:tcPr>
          <w:p>
            <w:pPr>
              <w:pStyle w:val="TableParagraph"/>
              <w:spacing w:line="123" w:lineRule="exact"/>
              <w:ind w:left="265"/>
              <w:rPr>
                <w:b/>
                <w:sz w:val="14"/>
              </w:rPr>
            </w:pPr>
            <w:r>
              <w:rPr>
                <w:b/>
                <w:color w:val="363636"/>
                <w:w w:val="105"/>
                <w:sz w:val="14"/>
              </w:rPr>
              <w:t>24,584</w:t>
            </w:r>
          </w:p>
        </w:tc>
        <w:tc>
          <w:tcPr>
            <w:tcW w:w="930" w:type="dxa"/>
            <w:tcBorders>
              <w:top w:val="single" w:sz="8" w:space="0" w:color="000000"/>
              <w:bottom w:val="single" w:sz="12" w:space="0" w:color="000000"/>
            </w:tcBorders>
          </w:tcPr>
          <w:p>
            <w:pPr>
              <w:pStyle w:val="TableParagraph"/>
              <w:spacing w:line="115" w:lineRule="exact" w:before="8"/>
              <w:ind w:right="145"/>
              <w:jc w:val="right"/>
              <w:rPr>
                <w:sz w:val="13"/>
              </w:rPr>
            </w:pPr>
            <w:r>
              <w:rPr>
                <w:color w:val="484848"/>
                <w:w w:val="105"/>
                <w:sz w:val="13"/>
              </w:rPr>
              <w:t>22,071</w:t>
            </w:r>
          </w:p>
        </w:tc>
        <w:tc>
          <w:tcPr>
            <w:tcW w:w="858" w:type="dxa"/>
            <w:tcBorders>
              <w:top w:val="single" w:sz="8" w:space="0" w:color="000000"/>
              <w:bottom w:val="single" w:sz="12" w:space="0" w:color="000000"/>
            </w:tcBorders>
          </w:tcPr>
          <w:p>
            <w:pPr>
              <w:pStyle w:val="TableParagraph"/>
              <w:spacing w:line="115" w:lineRule="exact" w:before="8"/>
              <w:ind w:right="200"/>
              <w:jc w:val="right"/>
              <w:rPr>
                <w:sz w:val="13"/>
              </w:rPr>
            </w:pPr>
            <w:r>
              <w:rPr>
                <w:color w:val="5E5E5E"/>
                <w:w w:val="105"/>
                <w:sz w:val="13"/>
              </w:rPr>
              <w:t>2,513</w:t>
            </w:r>
          </w:p>
        </w:tc>
        <w:tc>
          <w:tcPr>
            <w:tcW w:w="557" w:type="dxa"/>
            <w:tcBorders>
              <w:top w:val="single" w:sz="12" w:space="0" w:color="000000"/>
              <w:bottom w:val="single" w:sz="12" w:space="0" w:color="000000"/>
              <w:right w:val="single" w:sz="12" w:space="0" w:color="000000"/>
            </w:tcBorders>
          </w:tcPr>
          <w:p>
            <w:pPr>
              <w:pStyle w:val="TableParagraph"/>
              <w:rPr>
                <w:sz w:val="8"/>
              </w:rPr>
            </w:pPr>
          </w:p>
        </w:tc>
      </w:tr>
      <w:tr>
        <w:trPr>
          <w:trHeight w:val="397" w:hRule="atLeast"/>
        </w:trPr>
        <w:tc>
          <w:tcPr>
            <w:tcW w:w="712" w:type="dxa"/>
          </w:tcPr>
          <w:p>
            <w:pPr>
              <w:pStyle w:val="TableParagraph"/>
              <w:rPr>
                <w:sz w:val="14"/>
              </w:rPr>
            </w:pPr>
          </w:p>
        </w:tc>
        <w:tc>
          <w:tcPr>
            <w:tcW w:w="3353" w:type="dxa"/>
          </w:tcPr>
          <w:p>
            <w:pPr>
              <w:pStyle w:val="TableParagraph"/>
              <w:spacing w:before="1"/>
              <w:rPr>
                <w:sz w:val="14"/>
              </w:rPr>
            </w:pPr>
          </w:p>
          <w:p>
            <w:pPr>
              <w:pStyle w:val="TableParagraph"/>
              <w:ind w:left="164"/>
              <w:rPr>
                <w:sz w:val="15"/>
              </w:rPr>
            </w:pPr>
            <w:r>
              <w:rPr>
                <w:b/>
                <w:color w:val="363636"/>
                <w:sz w:val="14"/>
              </w:rPr>
              <w:t>Governance </w:t>
            </w:r>
            <w:r>
              <w:rPr>
                <w:color w:val="363636"/>
                <w:sz w:val="15"/>
              </w:rPr>
              <w:t>costs</w:t>
            </w:r>
          </w:p>
        </w:tc>
        <w:tc>
          <w:tcPr>
            <w:tcW w:w="424" w:type="dxa"/>
            <w:tcBorders>
              <w:right w:val="single" w:sz="12" w:space="0" w:color="000000"/>
            </w:tcBorders>
          </w:tcPr>
          <w:p>
            <w:pPr>
              <w:pStyle w:val="TableParagraph"/>
              <w:spacing w:before="1"/>
              <w:rPr>
                <w:sz w:val="14"/>
              </w:rPr>
            </w:pPr>
          </w:p>
          <w:p>
            <w:pPr>
              <w:pStyle w:val="TableParagraph"/>
              <w:ind w:right="2"/>
              <w:jc w:val="center"/>
              <w:rPr>
                <w:sz w:val="15"/>
              </w:rPr>
            </w:pPr>
            <w:r>
              <w:rPr>
                <w:color w:val="484848"/>
                <w:w w:val="105"/>
                <w:sz w:val="15"/>
              </w:rPr>
              <w:t>7</w:t>
            </w:r>
          </w:p>
        </w:tc>
        <w:tc>
          <w:tcPr>
            <w:tcW w:w="832" w:type="dxa"/>
            <w:tcBorders>
              <w:top w:val="single" w:sz="12" w:space="0" w:color="000000"/>
              <w:left w:val="single" w:sz="12" w:space="0" w:color="000000"/>
            </w:tcBorders>
          </w:tcPr>
          <w:p>
            <w:pPr>
              <w:pStyle w:val="TableParagraph"/>
              <w:spacing w:before="10"/>
              <w:rPr>
                <w:sz w:val="14"/>
              </w:rPr>
            </w:pPr>
          </w:p>
          <w:p>
            <w:pPr>
              <w:pStyle w:val="TableParagraph"/>
              <w:spacing w:before="1"/>
              <w:ind w:right="140"/>
              <w:jc w:val="right"/>
              <w:rPr>
                <w:b/>
                <w:sz w:val="14"/>
              </w:rPr>
            </w:pPr>
            <w:r>
              <w:rPr>
                <w:b/>
                <w:color w:val="232323"/>
                <w:w w:val="105"/>
                <w:sz w:val="14"/>
              </w:rPr>
              <w:t>369</w:t>
            </w:r>
          </w:p>
        </w:tc>
        <w:tc>
          <w:tcPr>
            <w:tcW w:w="930" w:type="dxa"/>
            <w:tcBorders>
              <w:top w:val="single" w:sz="12" w:space="0" w:color="000000"/>
            </w:tcBorders>
          </w:tcPr>
          <w:p>
            <w:pPr>
              <w:pStyle w:val="TableParagraph"/>
              <w:spacing w:before="8"/>
              <w:rPr>
                <w:sz w:val="15"/>
              </w:rPr>
            </w:pPr>
          </w:p>
          <w:p>
            <w:pPr>
              <w:pStyle w:val="TableParagraph"/>
              <w:ind w:right="145"/>
              <w:jc w:val="right"/>
              <w:rPr>
                <w:sz w:val="13"/>
              </w:rPr>
            </w:pPr>
            <w:r>
              <w:rPr>
                <w:color w:val="484848"/>
                <w:w w:val="105"/>
                <w:sz w:val="13"/>
              </w:rPr>
              <w:t>364</w:t>
            </w:r>
          </w:p>
        </w:tc>
        <w:tc>
          <w:tcPr>
            <w:tcW w:w="858" w:type="dxa"/>
            <w:tcBorders>
              <w:top w:val="single" w:sz="12" w:space="0" w:color="000000"/>
            </w:tcBorders>
          </w:tcPr>
          <w:p>
            <w:pPr>
              <w:pStyle w:val="TableParagraph"/>
              <w:spacing w:before="1"/>
              <w:rPr>
                <w:sz w:val="14"/>
              </w:rPr>
            </w:pPr>
          </w:p>
          <w:p>
            <w:pPr>
              <w:pStyle w:val="TableParagraph"/>
              <w:ind w:right="204"/>
              <w:jc w:val="right"/>
              <w:rPr>
                <w:i/>
                <w:sz w:val="15"/>
              </w:rPr>
            </w:pPr>
            <w:r>
              <w:rPr>
                <w:i/>
                <w:color w:val="484848"/>
                <w:w w:val="99"/>
                <w:sz w:val="15"/>
              </w:rPr>
              <w:t>5</w:t>
            </w:r>
          </w:p>
        </w:tc>
        <w:tc>
          <w:tcPr>
            <w:tcW w:w="557" w:type="dxa"/>
            <w:tcBorders>
              <w:top w:val="single" w:sz="12" w:space="0" w:color="000000"/>
              <w:right w:val="single" w:sz="12" w:space="0" w:color="000000"/>
            </w:tcBorders>
          </w:tcPr>
          <w:p>
            <w:pPr>
              <w:pStyle w:val="TableParagraph"/>
              <w:spacing w:before="105"/>
              <w:ind w:right="80"/>
              <w:jc w:val="right"/>
              <w:rPr>
                <w:sz w:val="18"/>
              </w:rPr>
            </w:pPr>
            <w:r>
              <w:rPr>
                <w:color w:val="484848"/>
                <w:w w:val="99"/>
                <w:sz w:val="18"/>
              </w:rPr>
              <w:t>.</w:t>
            </w:r>
          </w:p>
        </w:tc>
      </w:tr>
      <w:tr>
        <w:trPr>
          <w:trHeight w:val="256" w:hRule="atLeast"/>
        </w:trPr>
        <w:tc>
          <w:tcPr>
            <w:tcW w:w="712" w:type="dxa"/>
          </w:tcPr>
          <w:p>
            <w:pPr>
              <w:pStyle w:val="TableParagraph"/>
              <w:rPr>
                <w:sz w:val="14"/>
              </w:rPr>
            </w:pPr>
          </w:p>
        </w:tc>
        <w:tc>
          <w:tcPr>
            <w:tcW w:w="3353" w:type="dxa"/>
          </w:tcPr>
          <w:p>
            <w:pPr>
              <w:pStyle w:val="TableParagraph"/>
              <w:spacing w:line="115" w:lineRule="exact" w:before="120"/>
              <w:ind w:left="165"/>
              <w:rPr>
                <w:sz w:val="13"/>
              </w:rPr>
            </w:pPr>
            <w:r>
              <w:rPr>
                <w:color w:val="363636"/>
                <w:w w:val="110"/>
                <w:sz w:val="13"/>
              </w:rPr>
              <w:t>Other resources </w:t>
            </w:r>
            <w:r>
              <w:rPr>
                <w:color w:val="484848"/>
                <w:w w:val="110"/>
                <w:sz w:val="13"/>
              </w:rPr>
              <w:t>expended</w:t>
            </w:r>
          </w:p>
        </w:tc>
        <w:tc>
          <w:tcPr>
            <w:tcW w:w="424" w:type="dxa"/>
            <w:tcBorders>
              <w:right w:val="single" w:sz="12" w:space="0" w:color="000000"/>
            </w:tcBorders>
          </w:tcPr>
          <w:p>
            <w:pPr>
              <w:pStyle w:val="TableParagraph"/>
              <w:rPr>
                <w:sz w:val="14"/>
              </w:rPr>
            </w:pPr>
          </w:p>
        </w:tc>
        <w:tc>
          <w:tcPr>
            <w:tcW w:w="832" w:type="dxa"/>
            <w:tcBorders>
              <w:left w:val="single" w:sz="12" w:space="0" w:color="000000"/>
              <w:bottom w:val="single" w:sz="12" w:space="0" w:color="000000"/>
            </w:tcBorders>
          </w:tcPr>
          <w:p>
            <w:pPr>
              <w:pStyle w:val="TableParagraph"/>
              <w:spacing w:line="125" w:lineRule="exact" w:before="111"/>
              <w:ind w:right="161"/>
              <w:jc w:val="right"/>
              <w:rPr>
                <w:b/>
                <w:sz w:val="14"/>
              </w:rPr>
            </w:pPr>
            <w:r>
              <w:rPr>
                <w:b/>
                <w:color w:val="484848"/>
                <w:w w:val="95"/>
                <w:sz w:val="14"/>
              </w:rPr>
              <w:t>51</w:t>
            </w:r>
          </w:p>
        </w:tc>
        <w:tc>
          <w:tcPr>
            <w:tcW w:w="930" w:type="dxa"/>
            <w:tcBorders>
              <w:bottom w:val="single" w:sz="12" w:space="0" w:color="000000"/>
            </w:tcBorders>
          </w:tcPr>
          <w:p>
            <w:pPr>
              <w:pStyle w:val="TableParagraph"/>
              <w:spacing w:line="181" w:lineRule="exact" w:before="55"/>
              <w:ind w:right="183"/>
              <w:jc w:val="right"/>
              <w:rPr>
                <w:sz w:val="18"/>
              </w:rPr>
            </w:pPr>
            <w:r>
              <w:rPr>
                <w:color w:val="484848"/>
                <w:w w:val="99"/>
                <w:sz w:val="18"/>
              </w:rPr>
              <w:t>.</w:t>
            </w:r>
          </w:p>
        </w:tc>
        <w:tc>
          <w:tcPr>
            <w:tcW w:w="858" w:type="dxa"/>
            <w:tcBorders>
              <w:bottom w:val="single" w:sz="8" w:space="0" w:color="000000"/>
            </w:tcBorders>
          </w:tcPr>
          <w:p>
            <w:pPr>
              <w:pStyle w:val="TableParagraph"/>
              <w:spacing w:before="3"/>
              <w:rPr>
                <w:sz w:val="11"/>
              </w:rPr>
            </w:pPr>
          </w:p>
          <w:p>
            <w:pPr>
              <w:pStyle w:val="TableParagraph"/>
              <w:spacing w:line="106" w:lineRule="exact" w:before="1"/>
              <w:ind w:right="218"/>
              <w:jc w:val="right"/>
              <w:rPr>
                <w:sz w:val="13"/>
              </w:rPr>
            </w:pPr>
            <w:r>
              <w:rPr>
                <w:color w:val="484848"/>
                <w:w w:val="95"/>
                <w:sz w:val="13"/>
              </w:rPr>
              <w:t>51</w:t>
            </w:r>
          </w:p>
        </w:tc>
        <w:tc>
          <w:tcPr>
            <w:tcW w:w="557" w:type="dxa"/>
            <w:tcBorders>
              <w:bottom w:val="single" w:sz="8" w:space="0" w:color="000000"/>
              <w:right w:val="single" w:sz="12" w:space="0" w:color="000000"/>
            </w:tcBorders>
          </w:tcPr>
          <w:p>
            <w:pPr>
              <w:pStyle w:val="TableParagraph"/>
              <w:spacing w:line="181" w:lineRule="exact" w:before="55"/>
              <w:ind w:right="80"/>
              <w:jc w:val="right"/>
              <w:rPr>
                <w:sz w:val="18"/>
              </w:rPr>
            </w:pPr>
            <w:r>
              <w:rPr>
                <w:color w:val="484848"/>
                <w:w w:val="99"/>
                <w:sz w:val="18"/>
              </w:rPr>
              <w:t>.</w:t>
            </w:r>
          </w:p>
        </w:tc>
      </w:tr>
      <w:tr>
        <w:trPr>
          <w:trHeight w:val="501" w:hRule="atLeast"/>
        </w:trPr>
        <w:tc>
          <w:tcPr>
            <w:tcW w:w="712" w:type="dxa"/>
            <w:tcBorders>
              <w:bottom w:val="single" w:sz="4" w:space="0" w:color="000000"/>
            </w:tcBorders>
          </w:tcPr>
          <w:p>
            <w:pPr>
              <w:pStyle w:val="TableParagraph"/>
              <w:spacing w:before="8"/>
              <w:rPr>
                <w:sz w:val="15"/>
              </w:rPr>
            </w:pPr>
          </w:p>
          <w:p>
            <w:pPr>
              <w:pStyle w:val="TableParagraph"/>
              <w:ind w:right="70"/>
              <w:jc w:val="right"/>
              <w:rPr>
                <w:sz w:val="13"/>
              </w:rPr>
            </w:pPr>
            <w:r>
              <w:rPr>
                <w:color w:val="363636"/>
                <w:w w:val="110"/>
                <w:sz w:val="13"/>
              </w:rPr>
              <w:t>23,966</w:t>
            </w:r>
          </w:p>
        </w:tc>
        <w:tc>
          <w:tcPr>
            <w:tcW w:w="3353" w:type="dxa"/>
          </w:tcPr>
          <w:p>
            <w:pPr>
              <w:pStyle w:val="TableParagraph"/>
              <w:spacing w:before="153"/>
              <w:ind w:right="93"/>
              <w:jc w:val="right"/>
              <w:rPr>
                <w:i/>
                <w:sz w:val="16"/>
              </w:rPr>
            </w:pPr>
            <w:r>
              <w:rPr>
                <w:i/>
                <w:color w:val="484848"/>
                <w:w w:val="90"/>
                <w:sz w:val="16"/>
              </w:rPr>
              <w:t>Total resources expended</w:t>
            </w:r>
          </w:p>
        </w:tc>
        <w:tc>
          <w:tcPr>
            <w:tcW w:w="424" w:type="dxa"/>
          </w:tcPr>
          <w:p>
            <w:pPr>
              <w:pStyle w:val="TableParagraph"/>
              <w:rPr>
                <w:sz w:val="14"/>
              </w:rPr>
            </w:pPr>
          </w:p>
        </w:tc>
        <w:tc>
          <w:tcPr>
            <w:tcW w:w="832" w:type="dxa"/>
            <w:tcBorders>
              <w:top w:val="single" w:sz="12" w:space="0" w:color="000000"/>
            </w:tcBorders>
          </w:tcPr>
          <w:p>
            <w:pPr>
              <w:pStyle w:val="TableParagraph"/>
              <w:spacing w:before="8"/>
              <w:rPr>
                <w:sz w:val="15"/>
              </w:rPr>
            </w:pPr>
          </w:p>
          <w:p>
            <w:pPr>
              <w:pStyle w:val="TableParagraph"/>
              <w:ind w:left="280"/>
              <w:rPr>
                <w:sz w:val="13"/>
              </w:rPr>
            </w:pPr>
            <w:r>
              <w:rPr>
                <w:color w:val="363636"/>
                <w:w w:val="115"/>
                <w:sz w:val="13"/>
              </w:rPr>
              <w:t>25,004</w:t>
            </w:r>
          </w:p>
        </w:tc>
        <w:tc>
          <w:tcPr>
            <w:tcW w:w="930" w:type="dxa"/>
            <w:tcBorders>
              <w:top w:val="single" w:sz="12" w:space="0" w:color="000000"/>
            </w:tcBorders>
          </w:tcPr>
          <w:p>
            <w:pPr>
              <w:pStyle w:val="TableParagraph"/>
              <w:spacing w:before="10"/>
              <w:rPr>
                <w:sz w:val="14"/>
              </w:rPr>
            </w:pPr>
          </w:p>
          <w:p>
            <w:pPr>
              <w:pStyle w:val="TableParagraph"/>
              <w:spacing w:before="1"/>
              <w:ind w:right="148"/>
              <w:jc w:val="right"/>
              <w:rPr>
                <w:b/>
                <w:sz w:val="14"/>
              </w:rPr>
            </w:pPr>
            <w:r>
              <w:rPr>
                <w:b/>
                <w:color w:val="363636"/>
                <w:sz w:val="14"/>
              </w:rPr>
              <w:t>22,435</w:t>
            </w:r>
          </w:p>
        </w:tc>
        <w:tc>
          <w:tcPr>
            <w:tcW w:w="858" w:type="dxa"/>
            <w:tcBorders>
              <w:top w:val="single" w:sz="8" w:space="0" w:color="000000"/>
            </w:tcBorders>
          </w:tcPr>
          <w:p>
            <w:pPr>
              <w:pStyle w:val="TableParagraph"/>
              <w:spacing w:before="10"/>
              <w:rPr>
                <w:sz w:val="14"/>
              </w:rPr>
            </w:pPr>
          </w:p>
          <w:p>
            <w:pPr>
              <w:pStyle w:val="TableParagraph"/>
              <w:spacing w:before="1"/>
              <w:ind w:right="205"/>
              <w:jc w:val="right"/>
              <w:rPr>
                <w:b/>
                <w:sz w:val="14"/>
              </w:rPr>
            </w:pPr>
            <w:r>
              <w:rPr>
                <w:b/>
                <w:color w:val="363636"/>
                <w:w w:val="105"/>
                <w:sz w:val="14"/>
              </w:rPr>
              <w:t>2,569</w:t>
            </w:r>
          </w:p>
        </w:tc>
        <w:tc>
          <w:tcPr>
            <w:tcW w:w="557" w:type="dxa"/>
            <w:tcBorders>
              <w:top w:val="single" w:sz="8" w:space="0" w:color="000000"/>
            </w:tcBorders>
          </w:tcPr>
          <w:p>
            <w:pPr>
              <w:pStyle w:val="TableParagraph"/>
              <w:rPr>
                <w:sz w:val="14"/>
              </w:rPr>
            </w:pPr>
          </w:p>
        </w:tc>
      </w:tr>
      <w:tr>
        <w:trPr>
          <w:trHeight w:val="265" w:hRule="atLeast"/>
        </w:trPr>
        <w:tc>
          <w:tcPr>
            <w:tcW w:w="712" w:type="dxa"/>
            <w:tcBorders>
              <w:top w:val="single" w:sz="4" w:space="0" w:color="000000"/>
            </w:tcBorders>
          </w:tcPr>
          <w:p>
            <w:pPr>
              <w:pStyle w:val="TableParagraph"/>
              <w:spacing w:before="8"/>
              <w:ind w:right="68"/>
              <w:jc w:val="right"/>
              <w:rPr>
                <w:sz w:val="13"/>
              </w:rPr>
            </w:pPr>
            <w:r>
              <w:rPr>
                <w:color w:val="363636"/>
                <w:w w:val="115"/>
                <w:sz w:val="13"/>
              </w:rPr>
              <w:t>2,134</w:t>
            </w:r>
          </w:p>
        </w:tc>
        <w:tc>
          <w:tcPr>
            <w:tcW w:w="3353" w:type="dxa"/>
          </w:tcPr>
          <w:p>
            <w:pPr>
              <w:pStyle w:val="TableParagraph"/>
              <w:spacing w:line="173" w:lineRule="exact"/>
              <w:ind w:right="90"/>
              <w:jc w:val="right"/>
              <w:rPr>
                <w:i/>
                <w:sz w:val="16"/>
              </w:rPr>
            </w:pPr>
            <w:r>
              <w:rPr>
                <w:i/>
                <w:color w:val="5E5E5E"/>
                <w:w w:val="90"/>
                <w:sz w:val="16"/>
              </w:rPr>
              <w:t>Net </w:t>
            </w:r>
            <w:r>
              <w:rPr>
                <w:i/>
                <w:color w:val="484848"/>
                <w:w w:val="90"/>
                <w:sz w:val="16"/>
              </w:rPr>
              <w:t>incoming resources before transfers</w:t>
            </w:r>
          </w:p>
        </w:tc>
        <w:tc>
          <w:tcPr>
            <w:tcW w:w="424" w:type="dxa"/>
          </w:tcPr>
          <w:p>
            <w:pPr>
              <w:pStyle w:val="TableParagraph"/>
              <w:rPr>
                <w:sz w:val="14"/>
              </w:rPr>
            </w:pPr>
          </w:p>
        </w:tc>
        <w:tc>
          <w:tcPr>
            <w:tcW w:w="832" w:type="dxa"/>
          </w:tcPr>
          <w:p>
            <w:pPr>
              <w:pStyle w:val="TableParagraph"/>
              <w:spacing w:before="7"/>
              <w:ind w:left="357"/>
              <w:rPr>
                <w:b/>
                <w:sz w:val="14"/>
              </w:rPr>
            </w:pPr>
            <w:r>
              <w:rPr>
                <w:b/>
                <w:color w:val="232323"/>
                <w:w w:val="105"/>
                <w:sz w:val="14"/>
              </w:rPr>
              <w:t>2</w:t>
            </w:r>
            <w:r>
              <w:rPr>
                <w:b/>
                <w:color w:val="484848"/>
                <w:w w:val="105"/>
                <w:sz w:val="14"/>
              </w:rPr>
              <w:t>,</w:t>
            </w:r>
            <w:r>
              <w:rPr>
                <w:b/>
                <w:color w:val="232323"/>
                <w:w w:val="105"/>
                <w:sz w:val="14"/>
              </w:rPr>
              <w:t>083</w:t>
            </w:r>
          </w:p>
        </w:tc>
        <w:tc>
          <w:tcPr>
            <w:tcW w:w="930" w:type="dxa"/>
          </w:tcPr>
          <w:p>
            <w:pPr>
              <w:pStyle w:val="TableParagraph"/>
              <w:spacing w:before="16"/>
              <w:ind w:right="168"/>
              <w:jc w:val="right"/>
              <w:rPr>
                <w:sz w:val="13"/>
              </w:rPr>
            </w:pPr>
            <w:r>
              <w:rPr>
                <w:color w:val="363636"/>
                <w:w w:val="105"/>
                <w:sz w:val="13"/>
              </w:rPr>
              <w:t>923</w:t>
            </w:r>
          </w:p>
        </w:tc>
        <w:tc>
          <w:tcPr>
            <w:tcW w:w="858" w:type="dxa"/>
          </w:tcPr>
          <w:p>
            <w:pPr>
              <w:pStyle w:val="TableParagraph"/>
              <w:spacing w:before="16"/>
              <w:ind w:right="204"/>
              <w:jc w:val="right"/>
              <w:rPr>
                <w:sz w:val="13"/>
              </w:rPr>
            </w:pPr>
            <w:r>
              <w:rPr>
                <w:color w:val="232323"/>
                <w:w w:val="110"/>
                <w:sz w:val="13"/>
              </w:rPr>
              <w:t>1,160</w:t>
            </w:r>
          </w:p>
        </w:tc>
        <w:tc>
          <w:tcPr>
            <w:tcW w:w="557" w:type="dxa"/>
          </w:tcPr>
          <w:p>
            <w:pPr>
              <w:pStyle w:val="TableParagraph"/>
              <w:rPr>
                <w:sz w:val="14"/>
              </w:rPr>
            </w:pPr>
          </w:p>
        </w:tc>
      </w:tr>
      <w:tr>
        <w:trPr>
          <w:trHeight w:val="416" w:hRule="atLeast"/>
        </w:trPr>
        <w:tc>
          <w:tcPr>
            <w:tcW w:w="712" w:type="dxa"/>
            <w:tcBorders>
              <w:bottom w:val="single" w:sz="4" w:space="0" w:color="000000"/>
            </w:tcBorders>
          </w:tcPr>
          <w:p>
            <w:pPr>
              <w:pStyle w:val="TableParagraph"/>
              <w:rPr>
                <w:sz w:val="14"/>
              </w:rPr>
            </w:pPr>
          </w:p>
        </w:tc>
        <w:tc>
          <w:tcPr>
            <w:tcW w:w="3353" w:type="dxa"/>
          </w:tcPr>
          <w:p>
            <w:pPr>
              <w:pStyle w:val="TableParagraph"/>
              <w:spacing w:before="87"/>
              <w:ind w:left="164"/>
              <w:rPr>
                <w:b/>
                <w:sz w:val="14"/>
              </w:rPr>
            </w:pPr>
            <w:r>
              <w:rPr>
                <w:b/>
                <w:color w:val="232323"/>
                <w:w w:val="105"/>
                <w:sz w:val="14"/>
              </w:rPr>
              <w:t>Traosfen between </w:t>
            </w:r>
            <w:r>
              <w:rPr>
                <w:b/>
                <w:w w:val="105"/>
                <w:sz w:val="14"/>
              </w:rPr>
              <w:t>fun</w:t>
            </w:r>
            <w:r>
              <w:rPr>
                <w:b/>
                <w:color w:val="232323"/>
                <w:w w:val="105"/>
                <w:sz w:val="14"/>
              </w:rPr>
              <w:t>ds</w:t>
            </w:r>
          </w:p>
        </w:tc>
        <w:tc>
          <w:tcPr>
            <w:tcW w:w="424" w:type="dxa"/>
          </w:tcPr>
          <w:p>
            <w:pPr>
              <w:pStyle w:val="TableParagraph"/>
              <w:rPr>
                <w:sz w:val="14"/>
              </w:rPr>
            </w:pPr>
          </w:p>
        </w:tc>
        <w:tc>
          <w:tcPr>
            <w:tcW w:w="832" w:type="dxa"/>
            <w:tcBorders>
              <w:bottom w:val="single" w:sz="4" w:space="0" w:color="000000"/>
            </w:tcBorders>
          </w:tcPr>
          <w:p>
            <w:pPr>
              <w:pStyle w:val="TableParagraph"/>
              <w:rPr>
                <w:sz w:val="14"/>
              </w:rPr>
            </w:pPr>
          </w:p>
        </w:tc>
        <w:tc>
          <w:tcPr>
            <w:tcW w:w="930" w:type="dxa"/>
            <w:tcBorders>
              <w:bottom w:val="single" w:sz="4" w:space="0" w:color="000000"/>
            </w:tcBorders>
          </w:tcPr>
          <w:p>
            <w:pPr>
              <w:pStyle w:val="TableParagraph"/>
              <w:spacing w:before="97"/>
              <w:ind w:right="88"/>
              <w:jc w:val="right"/>
              <w:rPr>
                <w:sz w:val="13"/>
              </w:rPr>
            </w:pPr>
            <w:r>
              <w:rPr>
                <w:color w:val="484848"/>
                <w:w w:val="115"/>
                <w:sz w:val="13"/>
              </w:rPr>
              <w:t>(220)</w:t>
            </w:r>
          </w:p>
        </w:tc>
        <w:tc>
          <w:tcPr>
            <w:tcW w:w="858" w:type="dxa"/>
            <w:tcBorders>
              <w:bottom w:val="single" w:sz="4" w:space="0" w:color="000000"/>
            </w:tcBorders>
          </w:tcPr>
          <w:p>
            <w:pPr>
              <w:pStyle w:val="TableParagraph"/>
              <w:spacing w:before="97"/>
              <w:ind w:right="195"/>
              <w:jc w:val="right"/>
              <w:rPr>
                <w:sz w:val="13"/>
              </w:rPr>
            </w:pPr>
            <w:r>
              <w:rPr>
                <w:color w:val="484848"/>
                <w:w w:val="115"/>
                <w:sz w:val="13"/>
              </w:rPr>
              <w:t>220</w:t>
            </w:r>
          </w:p>
        </w:tc>
        <w:tc>
          <w:tcPr>
            <w:tcW w:w="557" w:type="dxa"/>
            <w:tcBorders>
              <w:bottom w:val="single" w:sz="4" w:space="0" w:color="000000"/>
            </w:tcBorders>
          </w:tcPr>
          <w:p>
            <w:pPr>
              <w:pStyle w:val="TableParagraph"/>
              <w:rPr>
                <w:sz w:val="14"/>
              </w:rPr>
            </w:pPr>
          </w:p>
        </w:tc>
      </w:tr>
      <w:tr>
        <w:trPr>
          <w:trHeight w:val="610" w:hRule="atLeast"/>
        </w:trPr>
        <w:tc>
          <w:tcPr>
            <w:tcW w:w="712" w:type="dxa"/>
            <w:tcBorders>
              <w:top w:val="single" w:sz="4" w:space="0" w:color="000000"/>
            </w:tcBorders>
          </w:tcPr>
          <w:p>
            <w:pPr>
              <w:pStyle w:val="TableParagraph"/>
              <w:spacing w:line="160" w:lineRule="exact"/>
              <w:ind w:left="310"/>
              <w:rPr>
                <w:b/>
                <w:sz w:val="14"/>
              </w:rPr>
            </w:pPr>
            <w:r>
              <w:rPr>
                <w:b/>
                <w:color w:val="232323"/>
                <w:w w:val="105"/>
                <w:sz w:val="14"/>
              </w:rPr>
              <w:t>2,134</w:t>
            </w:r>
          </w:p>
          <w:p>
            <w:pPr>
              <w:pStyle w:val="TableParagraph"/>
              <w:spacing w:before="1"/>
              <w:rPr>
                <w:sz w:val="16"/>
              </w:rPr>
            </w:pPr>
          </w:p>
          <w:p>
            <w:pPr>
              <w:pStyle w:val="TableParagraph"/>
              <w:ind w:left="300"/>
              <w:rPr>
                <w:b/>
                <w:sz w:val="14"/>
              </w:rPr>
            </w:pPr>
            <w:r>
              <w:rPr>
                <w:b/>
                <w:color w:val="363636"/>
                <w:w w:val="110"/>
                <w:sz w:val="14"/>
              </w:rPr>
              <w:t>2,588</w:t>
            </w:r>
          </w:p>
        </w:tc>
        <w:tc>
          <w:tcPr>
            <w:tcW w:w="3353" w:type="dxa"/>
          </w:tcPr>
          <w:p>
            <w:pPr>
              <w:pStyle w:val="TableParagraph"/>
              <w:spacing w:line="167" w:lineRule="exact"/>
              <w:ind w:right="95"/>
              <w:jc w:val="right"/>
              <w:rPr>
                <w:i/>
                <w:sz w:val="16"/>
              </w:rPr>
            </w:pPr>
            <w:r>
              <w:rPr>
                <w:i/>
                <w:color w:val="484848"/>
                <w:w w:val="90"/>
                <w:sz w:val="16"/>
              </w:rPr>
              <w:t>Net</w:t>
            </w:r>
            <w:r>
              <w:rPr>
                <w:i/>
                <w:color w:val="484848"/>
                <w:spacing w:val="-24"/>
                <w:w w:val="90"/>
                <w:sz w:val="16"/>
              </w:rPr>
              <w:t> </w:t>
            </w:r>
            <w:r>
              <w:rPr>
                <w:i/>
                <w:color w:val="484848"/>
                <w:w w:val="90"/>
                <w:sz w:val="16"/>
              </w:rPr>
              <w:t>incoming</w:t>
            </w:r>
            <w:r>
              <w:rPr>
                <w:i/>
                <w:color w:val="484848"/>
                <w:spacing w:val="-13"/>
                <w:w w:val="90"/>
                <w:sz w:val="16"/>
              </w:rPr>
              <w:t> </w:t>
            </w:r>
            <w:r>
              <w:rPr>
                <w:i/>
                <w:color w:val="363636"/>
                <w:w w:val="90"/>
                <w:sz w:val="16"/>
              </w:rPr>
              <w:t>resources</w:t>
            </w:r>
            <w:r>
              <w:rPr>
                <w:i/>
                <w:color w:val="363636"/>
                <w:spacing w:val="-22"/>
                <w:w w:val="90"/>
                <w:sz w:val="16"/>
              </w:rPr>
              <w:t> </w:t>
            </w:r>
            <w:r>
              <w:rPr>
                <w:i/>
                <w:color w:val="363636"/>
                <w:w w:val="90"/>
                <w:sz w:val="16"/>
              </w:rPr>
              <w:t>before</w:t>
            </w:r>
            <w:r>
              <w:rPr>
                <w:i/>
                <w:color w:val="363636"/>
                <w:spacing w:val="-20"/>
                <w:w w:val="90"/>
                <w:sz w:val="16"/>
              </w:rPr>
              <w:t> </w:t>
            </w:r>
            <w:r>
              <w:rPr>
                <w:i/>
                <w:color w:val="484848"/>
                <w:w w:val="90"/>
                <w:sz w:val="16"/>
              </w:rPr>
              <w:t>other</w:t>
            </w:r>
            <w:r>
              <w:rPr>
                <w:i/>
                <w:color w:val="484848"/>
                <w:spacing w:val="-24"/>
                <w:w w:val="90"/>
                <w:sz w:val="16"/>
              </w:rPr>
              <w:t> </w:t>
            </w:r>
            <w:r>
              <w:rPr>
                <w:i/>
                <w:color w:val="363636"/>
                <w:w w:val="90"/>
                <w:sz w:val="16"/>
              </w:rPr>
              <w:t>recognised</w:t>
            </w:r>
          </w:p>
          <w:p>
            <w:pPr>
              <w:pStyle w:val="TableParagraph"/>
              <w:spacing w:line="179" w:lineRule="exact"/>
              <w:ind w:right="83"/>
              <w:jc w:val="right"/>
              <w:rPr>
                <w:i/>
                <w:sz w:val="16"/>
              </w:rPr>
            </w:pPr>
            <w:r>
              <w:rPr>
                <w:i/>
                <w:color w:val="484848"/>
                <w:w w:val="95"/>
                <w:sz w:val="16"/>
              </w:rPr>
              <w:t>gains</w:t>
            </w:r>
            <w:r>
              <w:rPr>
                <w:i/>
                <w:color w:val="363636"/>
                <w:w w:val="95"/>
                <w:sz w:val="16"/>
              </w:rPr>
              <w:t>andlosses</w:t>
            </w:r>
          </w:p>
          <w:p>
            <w:pPr>
              <w:pStyle w:val="TableParagraph"/>
              <w:spacing w:before="8"/>
              <w:ind w:left="164"/>
              <w:rPr>
                <w:b/>
                <w:sz w:val="14"/>
              </w:rPr>
            </w:pPr>
            <w:r>
              <w:rPr>
                <w:b/>
                <w:color w:val="363636"/>
                <w:w w:val="105"/>
                <w:sz w:val="14"/>
              </w:rPr>
              <w:t>Gains </w:t>
            </w:r>
            <w:r>
              <w:rPr>
                <w:b/>
                <w:color w:val="232323"/>
                <w:w w:val="105"/>
                <w:sz w:val="14"/>
              </w:rPr>
              <w:t>on investment </w:t>
            </w:r>
            <w:r>
              <w:rPr>
                <w:b/>
                <w:color w:val="363636"/>
                <w:w w:val="105"/>
                <w:sz w:val="14"/>
              </w:rPr>
              <w:t>assets</w:t>
            </w:r>
          </w:p>
        </w:tc>
        <w:tc>
          <w:tcPr>
            <w:tcW w:w="424" w:type="dxa"/>
          </w:tcPr>
          <w:p>
            <w:pPr>
              <w:pStyle w:val="TableParagraph"/>
              <w:rPr>
                <w:sz w:val="14"/>
              </w:rPr>
            </w:pPr>
          </w:p>
        </w:tc>
        <w:tc>
          <w:tcPr>
            <w:tcW w:w="832" w:type="dxa"/>
            <w:tcBorders>
              <w:top w:val="single" w:sz="4" w:space="0" w:color="000000"/>
            </w:tcBorders>
          </w:tcPr>
          <w:p>
            <w:pPr>
              <w:pStyle w:val="TableParagraph"/>
              <w:spacing w:line="160" w:lineRule="exact"/>
              <w:ind w:left="357"/>
              <w:rPr>
                <w:b/>
                <w:sz w:val="14"/>
              </w:rPr>
            </w:pPr>
            <w:r>
              <w:rPr>
                <w:b/>
                <w:color w:val="363636"/>
                <w:w w:val="105"/>
                <w:sz w:val="14"/>
              </w:rPr>
              <w:t>2,083</w:t>
            </w:r>
          </w:p>
          <w:p>
            <w:pPr>
              <w:pStyle w:val="TableParagraph"/>
              <w:spacing w:before="3"/>
              <w:rPr>
                <w:sz w:val="15"/>
              </w:rPr>
            </w:pPr>
          </w:p>
          <w:p>
            <w:pPr>
              <w:pStyle w:val="TableParagraph"/>
              <w:ind w:left="357"/>
              <w:rPr>
                <w:b/>
                <w:sz w:val="14"/>
              </w:rPr>
            </w:pPr>
            <w:r>
              <w:rPr>
                <w:b/>
                <w:color w:val="232323"/>
                <w:w w:val="105"/>
                <w:sz w:val="14"/>
              </w:rPr>
              <w:t>2</w:t>
            </w:r>
            <w:r>
              <w:rPr>
                <w:b/>
                <w:color w:val="484848"/>
                <w:w w:val="105"/>
                <w:sz w:val="14"/>
              </w:rPr>
              <w:t>,731</w:t>
            </w:r>
          </w:p>
        </w:tc>
        <w:tc>
          <w:tcPr>
            <w:tcW w:w="930" w:type="dxa"/>
            <w:tcBorders>
              <w:top w:val="single" w:sz="4" w:space="0" w:color="000000"/>
            </w:tcBorders>
          </w:tcPr>
          <w:p>
            <w:pPr>
              <w:pStyle w:val="TableParagraph"/>
              <w:spacing w:before="8"/>
              <w:ind w:left="554"/>
              <w:rPr>
                <w:sz w:val="13"/>
              </w:rPr>
            </w:pPr>
            <w:r>
              <w:rPr>
                <w:color w:val="363636"/>
                <w:w w:val="105"/>
                <w:sz w:val="13"/>
              </w:rPr>
              <w:t>703</w:t>
            </w:r>
          </w:p>
          <w:p>
            <w:pPr>
              <w:pStyle w:val="TableParagraph"/>
              <w:spacing w:before="1"/>
              <w:rPr>
                <w:sz w:val="17"/>
              </w:rPr>
            </w:pPr>
          </w:p>
          <w:p>
            <w:pPr>
              <w:pStyle w:val="TableParagraph"/>
              <w:ind w:left="562"/>
              <w:rPr>
                <w:sz w:val="13"/>
              </w:rPr>
            </w:pPr>
            <w:r>
              <w:rPr>
                <w:color w:val="484848"/>
                <w:w w:val="105"/>
                <w:sz w:val="13"/>
              </w:rPr>
              <w:t>646</w:t>
            </w:r>
          </w:p>
        </w:tc>
        <w:tc>
          <w:tcPr>
            <w:tcW w:w="858" w:type="dxa"/>
            <w:tcBorders>
              <w:top w:val="single" w:sz="4" w:space="0" w:color="000000"/>
            </w:tcBorders>
          </w:tcPr>
          <w:p>
            <w:pPr>
              <w:pStyle w:val="TableParagraph"/>
              <w:spacing w:line="160" w:lineRule="exact"/>
              <w:ind w:left="312"/>
              <w:rPr>
                <w:b/>
                <w:sz w:val="14"/>
              </w:rPr>
            </w:pPr>
            <w:r>
              <w:rPr>
                <w:b/>
                <w:color w:val="232323"/>
                <w:w w:val="105"/>
                <w:sz w:val="14"/>
              </w:rPr>
              <w:t>1,380</w:t>
            </w:r>
          </w:p>
          <w:p>
            <w:pPr>
              <w:pStyle w:val="TableParagraph"/>
              <w:spacing w:before="1"/>
              <w:rPr>
                <w:sz w:val="16"/>
              </w:rPr>
            </w:pPr>
          </w:p>
          <w:p>
            <w:pPr>
              <w:pStyle w:val="TableParagraph"/>
              <w:ind w:left="345"/>
              <w:rPr>
                <w:sz w:val="13"/>
              </w:rPr>
            </w:pPr>
            <w:r>
              <w:rPr>
                <w:color w:val="232323"/>
                <w:spacing w:val="-3"/>
                <w:w w:val="105"/>
                <w:sz w:val="13"/>
              </w:rPr>
              <w:t>1</w:t>
            </w:r>
            <w:r>
              <w:rPr>
                <w:color w:val="484848"/>
                <w:spacing w:val="-3"/>
                <w:w w:val="105"/>
                <w:sz w:val="13"/>
              </w:rPr>
              <w:t>,033</w:t>
            </w:r>
          </w:p>
        </w:tc>
        <w:tc>
          <w:tcPr>
            <w:tcW w:w="557" w:type="dxa"/>
            <w:tcBorders>
              <w:top w:val="single" w:sz="4" w:space="0" w:color="000000"/>
            </w:tcBorders>
          </w:tcPr>
          <w:p>
            <w:pPr>
              <w:pStyle w:val="TableParagraph"/>
              <w:rPr>
                <w:sz w:val="14"/>
              </w:rPr>
            </w:pPr>
          </w:p>
          <w:p>
            <w:pPr>
              <w:pStyle w:val="TableParagraph"/>
              <w:rPr>
                <w:sz w:val="16"/>
              </w:rPr>
            </w:pPr>
          </w:p>
          <w:p>
            <w:pPr>
              <w:pStyle w:val="TableParagraph"/>
              <w:ind w:right="50"/>
              <w:jc w:val="right"/>
              <w:rPr>
                <w:sz w:val="13"/>
              </w:rPr>
            </w:pPr>
            <w:r>
              <w:rPr>
                <w:color w:val="484848"/>
                <w:w w:val="105"/>
                <w:sz w:val="13"/>
              </w:rPr>
              <w:t>1,052</w:t>
            </w:r>
          </w:p>
        </w:tc>
      </w:tr>
      <w:tr>
        <w:trPr>
          <w:trHeight w:val="404" w:hRule="atLeast"/>
        </w:trPr>
        <w:tc>
          <w:tcPr>
            <w:tcW w:w="712" w:type="dxa"/>
            <w:tcBorders>
              <w:bottom w:val="single" w:sz="8" w:space="0" w:color="000000"/>
            </w:tcBorders>
          </w:tcPr>
          <w:p>
            <w:pPr>
              <w:pStyle w:val="TableParagraph"/>
              <w:spacing w:before="90"/>
              <w:ind w:right="21"/>
              <w:jc w:val="right"/>
              <w:rPr>
                <w:b/>
                <w:sz w:val="14"/>
              </w:rPr>
            </w:pPr>
            <w:r>
              <w:rPr>
                <w:b/>
                <w:color w:val="484848"/>
                <w:w w:val="105"/>
                <w:sz w:val="14"/>
              </w:rPr>
              <w:t>(2,256)</w:t>
            </w:r>
          </w:p>
        </w:tc>
        <w:tc>
          <w:tcPr>
            <w:tcW w:w="3353" w:type="dxa"/>
          </w:tcPr>
          <w:p>
            <w:pPr>
              <w:pStyle w:val="TableParagraph"/>
              <w:spacing w:before="90"/>
              <w:ind w:left="168"/>
              <w:rPr>
                <w:b/>
                <w:sz w:val="14"/>
              </w:rPr>
            </w:pPr>
            <w:r>
              <w:rPr>
                <w:b/>
                <w:color w:val="363636"/>
                <w:w w:val="105"/>
                <w:sz w:val="14"/>
              </w:rPr>
              <w:t>Actuarial gains(losses) on </w:t>
            </w:r>
            <w:r>
              <w:rPr>
                <w:b/>
                <w:color w:val="232323"/>
                <w:w w:val="105"/>
                <w:sz w:val="14"/>
              </w:rPr>
              <w:t>pen</w:t>
            </w:r>
            <w:r>
              <w:rPr>
                <w:b/>
                <w:color w:val="484848"/>
                <w:w w:val="105"/>
                <w:sz w:val="14"/>
              </w:rPr>
              <w:t>s</w:t>
            </w:r>
            <w:r>
              <w:rPr>
                <w:b/>
                <w:color w:val="232323"/>
                <w:w w:val="105"/>
                <w:sz w:val="14"/>
              </w:rPr>
              <w:t>ion</w:t>
            </w:r>
            <w:r>
              <w:rPr>
                <w:b/>
                <w:color w:val="484848"/>
                <w:w w:val="105"/>
                <w:sz w:val="14"/>
              </w:rPr>
              <w:t>sc</w:t>
            </w:r>
            <w:r>
              <w:rPr>
                <w:b/>
                <w:color w:val="232323"/>
                <w:w w:val="105"/>
                <w:sz w:val="14"/>
              </w:rPr>
              <w:t>heme</w:t>
            </w:r>
          </w:p>
        </w:tc>
        <w:tc>
          <w:tcPr>
            <w:tcW w:w="424" w:type="dxa"/>
          </w:tcPr>
          <w:p>
            <w:pPr>
              <w:pStyle w:val="TableParagraph"/>
              <w:rPr>
                <w:sz w:val="14"/>
              </w:rPr>
            </w:pPr>
          </w:p>
        </w:tc>
        <w:tc>
          <w:tcPr>
            <w:tcW w:w="832" w:type="dxa"/>
          </w:tcPr>
          <w:p>
            <w:pPr>
              <w:pStyle w:val="TableParagraph"/>
              <w:spacing w:before="90"/>
              <w:ind w:right="93"/>
              <w:jc w:val="right"/>
              <w:rPr>
                <w:b/>
                <w:sz w:val="14"/>
              </w:rPr>
            </w:pPr>
            <w:r>
              <w:rPr>
                <w:b/>
                <w:color w:val="484848"/>
                <w:w w:val="105"/>
                <w:sz w:val="14"/>
              </w:rPr>
              <w:t>(</w:t>
            </w:r>
            <w:r>
              <w:rPr>
                <w:b/>
                <w:w w:val="105"/>
                <w:sz w:val="14"/>
              </w:rPr>
              <w:t>1</w:t>
            </w:r>
            <w:r>
              <w:rPr>
                <w:b/>
                <w:color w:val="363636"/>
                <w:w w:val="105"/>
                <w:sz w:val="14"/>
              </w:rPr>
              <w:t>,382)</w:t>
            </w:r>
          </w:p>
        </w:tc>
        <w:tc>
          <w:tcPr>
            <w:tcW w:w="930" w:type="dxa"/>
          </w:tcPr>
          <w:p>
            <w:pPr>
              <w:pStyle w:val="TableParagraph"/>
              <w:spacing w:before="99"/>
              <w:ind w:right="111"/>
              <w:jc w:val="right"/>
              <w:rPr>
                <w:sz w:val="13"/>
              </w:rPr>
            </w:pPr>
            <w:r>
              <w:rPr>
                <w:color w:val="5E5E5E"/>
                <w:w w:val="105"/>
                <w:sz w:val="13"/>
              </w:rPr>
              <w:t>(</w:t>
            </w:r>
            <w:r>
              <w:rPr>
                <w:color w:val="363636"/>
                <w:w w:val="105"/>
                <w:sz w:val="13"/>
              </w:rPr>
              <w:t>1</w:t>
            </w:r>
            <w:r>
              <w:rPr>
                <w:color w:val="5E5E5E"/>
                <w:w w:val="105"/>
                <w:sz w:val="13"/>
              </w:rPr>
              <w:t>,38</w:t>
            </w:r>
            <w:r>
              <w:rPr>
                <w:color w:val="363636"/>
                <w:w w:val="105"/>
                <w:sz w:val="13"/>
              </w:rPr>
              <w:t>2)</w:t>
            </w:r>
          </w:p>
        </w:tc>
        <w:tc>
          <w:tcPr>
            <w:tcW w:w="858" w:type="dxa"/>
          </w:tcPr>
          <w:p>
            <w:pPr>
              <w:pStyle w:val="TableParagraph"/>
              <w:rPr>
                <w:sz w:val="14"/>
              </w:rPr>
            </w:pPr>
          </w:p>
        </w:tc>
        <w:tc>
          <w:tcPr>
            <w:tcW w:w="557" w:type="dxa"/>
          </w:tcPr>
          <w:p>
            <w:pPr>
              <w:pStyle w:val="TableParagraph"/>
              <w:rPr>
                <w:sz w:val="14"/>
              </w:rPr>
            </w:pPr>
          </w:p>
        </w:tc>
      </w:tr>
      <w:tr>
        <w:trPr>
          <w:trHeight w:val="268" w:hRule="atLeast"/>
        </w:trPr>
        <w:tc>
          <w:tcPr>
            <w:tcW w:w="712" w:type="dxa"/>
            <w:tcBorders>
              <w:top w:val="single" w:sz="8" w:space="0" w:color="000000"/>
            </w:tcBorders>
          </w:tcPr>
          <w:p>
            <w:pPr>
              <w:pStyle w:val="TableParagraph"/>
              <w:spacing w:before="3"/>
              <w:ind w:right="68"/>
              <w:jc w:val="right"/>
              <w:rPr>
                <w:sz w:val="13"/>
              </w:rPr>
            </w:pPr>
            <w:r>
              <w:rPr>
                <w:color w:val="363636"/>
                <w:w w:val="115"/>
                <w:sz w:val="13"/>
              </w:rPr>
              <w:t>2,466</w:t>
            </w:r>
          </w:p>
        </w:tc>
        <w:tc>
          <w:tcPr>
            <w:tcW w:w="3353" w:type="dxa"/>
          </w:tcPr>
          <w:p>
            <w:pPr>
              <w:pStyle w:val="TableParagraph"/>
              <w:spacing w:line="168" w:lineRule="exact"/>
              <w:ind w:right="82"/>
              <w:jc w:val="right"/>
              <w:rPr>
                <w:i/>
                <w:sz w:val="16"/>
              </w:rPr>
            </w:pPr>
            <w:r>
              <w:rPr>
                <w:i/>
                <w:color w:val="484848"/>
                <w:spacing w:val="-1"/>
                <w:w w:val="94"/>
                <w:sz w:val="16"/>
              </w:rPr>
              <w:t>Ne</w:t>
            </w:r>
            <w:r>
              <w:rPr>
                <w:i/>
                <w:color w:val="484848"/>
                <w:w w:val="94"/>
                <w:sz w:val="16"/>
              </w:rPr>
              <w:t>t</w:t>
            </w:r>
            <w:r>
              <w:rPr>
                <w:i/>
                <w:color w:val="484848"/>
                <w:spacing w:val="-26"/>
                <w:sz w:val="16"/>
              </w:rPr>
              <w:t> </w:t>
            </w:r>
            <w:r>
              <w:rPr>
                <w:i/>
                <w:color w:val="363636"/>
                <w:spacing w:val="-1"/>
                <w:w w:val="106"/>
                <w:sz w:val="16"/>
              </w:rPr>
              <w:t>move</w:t>
            </w:r>
            <w:r>
              <w:rPr>
                <w:i/>
                <w:color w:val="363636"/>
                <w:spacing w:val="-80"/>
                <w:w w:val="106"/>
                <w:sz w:val="16"/>
              </w:rPr>
              <w:t>m</w:t>
            </w:r>
            <w:r>
              <w:rPr>
                <w:i/>
                <w:color w:val="5E5E5E"/>
                <w:spacing w:val="-14"/>
                <w:w w:val="103"/>
                <w:sz w:val="16"/>
              </w:rPr>
              <w:t>e</w:t>
            </w:r>
            <w:r>
              <w:rPr>
                <w:i/>
                <w:color w:val="363636"/>
                <w:w w:val="103"/>
                <w:sz w:val="16"/>
              </w:rPr>
              <w:t>n</w:t>
            </w:r>
            <w:r>
              <w:rPr>
                <w:i/>
                <w:color w:val="363636"/>
                <w:spacing w:val="10"/>
                <w:w w:val="103"/>
                <w:sz w:val="16"/>
              </w:rPr>
              <w:t>t</w:t>
            </w:r>
            <w:r>
              <w:rPr>
                <w:i/>
                <w:color w:val="484848"/>
                <w:spacing w:val="-1"/>
                <w:w w:val="103"/>
                <w:sz w:val="16"/>
              </w:rPr>
              <w:t>i</w:t>
            </w:r>
            <w:r>
              <w:rPr>
                <w:i/>
                <w:color w:val="484848"/>
                <w:w w:val="103"/>
                <w:sz w:val="16"/>
              </w:rPr>
              <w:t>n</w:t>
            </w:r>
            <w:r>
              <w:rPr>
                <w:i/>
                <w:color w:val="484848"/>
                <w:spacing w:val="-17"/>
                <w:sz w:val="16"/>
              </w:rPr>
              <w:t> </w:t>
            </w:r>
            <w:r>
              <w:rPr>
                <w:i/>
                <w:color w:val="363636"/>
                <w:spacing w:val="-1"/>
                <w:w w:val="94"/>
                <w:sz w:val="16"/>
              </w:rPr>
              <w:t>funds</w:t>
            </w:r>
          </w:p>
        </w:tc>
        <w:tc>
          <w:tcPr>
            <w:tcW w:w="424" w:type="dxa"/>
          </w:tcPr>
          <w:p>
            <w:pPr>
              <w:pStyle w:val="TableParagraph"/>
              <w:rPr>
                <w:sz w:val="14"/>
              </w:rPr>
            </w:pPr>
          </w:p>
        </w:tc>
        <w:tc>
          <w:tcPr>
            <w:tcW w:w="832" w:type="dxa"/>
          </w:tcPr>
          <w:p>
            <w:pPr>
              <w:pStyle w:val="TableParagraph"/>
              <w:spacing w:before="2"/>
              <w:ind w:left="348"/>
              <w:rPr>
                <w:b/>
                <w:sz w:val="14"/>
              </w:rPr>
            </w:pPr>
            <w:r>
              <w:rPr>
                <w:b/>
                <w:color w:val="363636"/>
                <w:w w:val="110"/>
                <w:sz w:val="14"/>
              </w:rPr>
              <w:t>3,432</w:t>
            </w:r>
          </w:p>
        </w:tc>
        <w:tc>
          <w:tcPr>
            <w:tcW w:w="930" w:type="dxa"/>
          </w:tcPr>
          <w:p>
            <w:pPr>
              <w:pStyle w:val="TableParagraph"/>
              <w:spacing w:before="12"/>
              <w:ind w:right="86"/>
              <w:jc w:val="right"/>
              <w:rPr>
                <w:b/>
                <w:sz w:val="14"/>
              </w:rPr>
            </w:pPr>
            <w:r>
              <w:rPr>
                <w:b/>
                <w:color w:val="232323"/>
                <w:w w:val="115"/>
                <w:sz w:val="14"/>
              </w:rPr>
              <w:t>(33)</w:t>
            </w:r>
          </w:p>
        </w:tc>
        <w:tc>
          <w:tcPr>
            <w:tcW w:w="858" w:type="dxa"/>
          </w:tcPr>
          <w:p>
            <w:pPr>
              <w:pStyle w:val="TableParagraph"/>
              <w:spacing w:before="2"/>
              <w:ind w:right="198"/>
              <w:jc w:val="right"/>
              <w:rPr>
                <w:b/>
                <w:sz w:val="14"/>
              </w:rPr>
            </w:pPr>
            <w:r>
              <w:rPr>
                <w:b/>
                <w:color w:val="232323"/>
                <w:w w:val="115"/>
                <w:sz w:val="14"/>
              </w:rPr>
              <w:t>2</w:t>
            </w:r>
            <w:r>
              <w:rPr>
                <w:b/>
                <w:color w:val="484848"/>
                <w:w w:val="115"/>
                <w:sz w:val="14"/>
              </w:rPr>
              <w:t>,</w:t>
            </w:r>
            <w:r>
              <w:rPr>
                <w:b/>
                <w:color w:val="232323"/>
                <w:w w:val="115"/>
                <w:sz w:val="14"/>
              </w:rPr>
              <w:t>413</w:t>
            </w:r>
          </w:p>
        </w:tc>
        <w:tc>
          <w:tcPr>
            <w:tcW w:w="557" w:type="dxa"/>
          </w:tcPr>
          <w:p>
            <w:pPr>
              <w:pStyle w:val="TableParagraph"/>
              <w:spacing w:before="2"/>
              <w:ind w:right="42"/>
              <w:jc w:val="right"/>
              <w:rPr>
                <w:b/>
                <w:sz w:val="14"/>
              </w:rPr>
            </w:pPr>
            <w:r>
              <w:rPr>
                <w:b/>
                <w:w w:val="115"/>
                <w:sz w:val="14"/>
              </w:rPr>
              <w:t>1</w:t>
            </w:r>
            <w:r>
              <w:rPr>
                <w:b/>
                <w:color w:val="363636"/>
                <w:w w:val="115"/>
                <w:sz w:val="14"/>
              </w:rPr>
              <w:t>,052</w:t>
            </w:r>
          </w:p>
        </w:tc>
      </w:tr>
      <w:tr>
        <w:trPr>
          <w:trHeight w:val="259" w:hRule="atLeast"/>
        </w:trPr>
        <w:tc>
          <w:tcPr>
            <w:tcW w:w="712" w:type="dxa"/>
          </w:tcPr>
          <w:p>
            <w:pPr>
              <w:pStyle w:val="TableParagraph"/>
              <w:rPr>
                <w:sz w:val="14"/>
              </w:rPr>
            </w:pPr>
          </w:p>
        </w:tc>
        <w:tc>
          <w:tcPr>
            <w:tcW w:w="3353" w:type="dxa"/>
          </w:tcPr>
          <w:p>
            <w:pPr>
              <w:pStyle w:val="TableParagraph"/>
              <w:spacing w:line="150" w:lineRule="exact" w:before="90"/>
              <w:ind w:left="167"/>
              <w:rPr>
                <w:b/>
                <w:sz w:val="14"/>
              </w:rPr>
            </w:pPr>
            <w:r>
              <w:rPr>
                <w:b/>
                <w:color w:val="232323"/>
                <w:w w:val="105"/>
                <w:sz w:val="14"/>
              </w:rPr>
              <w:t>Reco</w:t>
            </w:r>
            <w:r>
              <w:rPr>
                <w:b/>
                <w:w w:val="105"/>
                <w:sz w:val="14"/>
              </w:rPr>
              <w:t>n</w:t>
            </w:r>
            <w:r>
              <w:rPr>
                <w:b/>
                <w:color w:val="363636"/>
                <w:w w:val="105"/>
                <w:sz w:val="14"/>
              </w:rPr>
              <w:t>c</w:t>
            </w:r>
            <w:r>
              <w:rPr>
                <w:b/>
                <w:w w:val="105"/>
                <w:sz w:val="14"/>
              </w:rPr>
              <w:t>ili</w:t>
            </w:r>
            <w:r>
              <w:rPr>
                <w:b/>
                <w:color w:val="232323"/>
                <w:w w:val="105"/>
                <w:sz w:val="14"/>
              </w:rPr>
              <w:t>ationof </w:t>
            </w:r>
            <w:r>
              <w:rPr>
                <w:b/>
                <w:color w:val="363636"/>
                <w:w w:val="105"/>
                <w:sz w:val="14"/>
              </w:rPr>
              <w:t>Funds</w:t>
            </w:r>
          </w:p>
        </w:tc>
        <w:tc>
          <w:tcPr>
            <w:tcW w:w="424" w:type="dxa"/>
          </w:tcPr>
          <w:p>
            <w:pPr>
              <w:pStyle w:val="TableParagraph"/>
              <w:rPr>
                <w:sz w:val="14"/>
              </w:rPr>
            </w:pPr>
          </w:p>
        </w:tc>
        <w:tc>
          <w:tcPr>
            <w:tcW w:w="832" w:type="dxa"/>
          </w:tcPr>
          <w:p>
            <w:pPr>
              <w:pStyle w:val="TableParagraph"/>
              <w:rPr>
                <w:sz w:val="14"/>
              </w:rPr>
            </w:pPr>
          </w:p>
        </w:tc>
        <w:tc>
          <w:tcPr>
            <w:tcW w:w="930" w:type="dxa"/>
          </w:tcPr>
          <w:p>
            <w:pPr>
              <w:pStyle w:val="TableParagraph"/>
              <w:rPr>
                <w:sz w:val="14"/>
              </w:rPr>
            </w:pPr>
          </w:p>
        </w:tc>
        <w:tc>
          <w:tcPr>
            <w:tcW w:w="858" w:type="dxa"/>
          </w:tcPr>
          <w:p>
            <w:pPr>
              <w:pStyle w:val="TableParagraph"/>
              <w:rPr>
                <w:sz w:val="14"/>
              </w:rPr>
            </w:pPr>
          </w:p>
        </w:tc>
        <w:tc>
          <w:tcPr>
            <w:tcW w:w="557" w:type="dxa"/>
          </w:tcPr>
          <w:p>
            <w:pPr>
              <w:pStyle w:val="TableParagraph"/>
              <w:rPr>
                <w:sz w:val="14"/>
              </w:rPr>
            </w:pPr>
          </w:p>
        </w:tc>
      </w:tr>
      <w:tr>
        <w:trPr>
          <w:trHeight w:val="173" w:hRule="atLeast"/>
        </w:trPr>
        <w:tc>
          <w:tcPr>
            <w:tcW w:w="712" w:type="dxa"/>
          </w:tcPr>
          <w:p>
            <w:pPr>
              <w:pStyle w:val="TableParagraph"/>
              <w:spacing w:line="141" w:lineRule="exact" w:before="12"/>
              <w:ind w:right="80"/>
              <w:jc w:val="right"/>
              <w:rPr>
                <w:sz w:val="13"/>
              </w:rPr>
            </w:pPr>
            <w:r>
              <w:rPr>
                <w:color w:val="363636"/>
                <w:w w:val="110"/>
                <w:sz w:val="13"/>
              </w:rPr>
              <w:t>37,072</w:t>
            </w:r>
          </w:p>
        </w:tc>
        <w:tc>
          <w:tcPr>
            <w:tcW w:w="3353" w:type="dxa"/>
          </w:tcPr>
          <w:p>
            <w:pPr>
              <w:pStyle w:val="TableParagraph"/>
              <w:spacing w:line="141" w:lineRule="exact" w:before="12"/>
              <w:ind w:left="167"/>
              <w:rPr>
                <w:sz w:val="13"/>
              </w:rPr>
            </w:pPr>
            <w:r>
              <w:rPr>
                <w:color w:val="484848"/>
                <w:w w:val="110"/>
                <w:sz w:val="13"/>
              </w:rPr>
              <w:t>Funds </w:t>
            </w:r>
            <w:r>
              <w:rPr>
                <w:color w:val="363636"/>
                <w:w w:val="110"/>
                <w:sz w:val="13"/>
              </w:rPr>
              <w:t>as </w:t>
            </w:r>
            <w:r>
              <w:rPr>
                <w:color w:val="232323"/>
                <w:w w:val="110"/>
                <w:sz w:val="13"/>
              </w:rPr>
              <w:t>previous</w:t>
            </w:r>
            <w:r>
              <w:rPr>
                <w:color w:val="484848"/>
                <w:w w:val="110"/>
                <w:sz w:val="13"/>
              </w:rPr>
              <w:t>ly st</w:t>
            </w:r>
            <w:r>
              <w:rPr>
                <w:color w:val="232323"/>
                <w:w w:val="110"/>
                <w:sz w:val="13"/>
              </w:rPr>
              <w:t>ated</w:t>
            </w:r>
          </w:p>
        </w:tc>
        <w:tc>
          <w:tcPr>
            <w:tcW w:w="424" w:type="dxa"/>
          </w:tcPr>
          <w:p>
            <w:pPr>
              <w:pStyle w:val="TableParagraph"/>
              <w:rPr>
                <w:sz w:val="10"/>
              </w:rPr>
            </w:pPr>
          </w:p>
        </w:tc>
        <w:tc>
          <w:tcPr>
            <w:tcW w:w="832" w:type="dxa"/>
          </w:tcPr>
          <w:p>
            <w:pPr>
              <w:pStyle w:val="TableParagraph"/>
              <w:spacing w:line="150" w:lineRule="exact" w:before="3"/>
              <w:ind w:left="281"/>
              <w:rPr>
                <w:b/>
                <w:sz w:val="14"/>
              </w:rPr>
            </w:pPr>
            <w:r>
              <w:rPr>
                <w:b/>
                <w:color w:val="232323"/>
                <w:w w:val="115"/>
                <w:sz w:val="14"/>
              </w:rPr>
              <w:t>39</w:t>
            </w:r>
            <w:r>
              <w:rPr>
                <w:b/>
                <w:color w:val="484848"/>
                <w:w w:val="115"/>
                <w:sz w:val="14"/>
              </w:rPr>
              <w:t>,</w:t>
            </w:r>
            <w:r>
              <w:rPr>
                <w:b/>
                <w:color w:val="232323"/>
                <w:w w:val="115"/>
                <w:sz w:val="14"/>
              </w:rPr>
              <w:t>538</w:t>
            </w:r>
          </w:p>
        </w:tc>
        <w:tc>
          <w:tcPr>
            <w:tcW w:w="930" w:type="dxa"/>
          </w:tcPr>
          <w:p>
            <w:pPr>
              <w:pStyle w:val="TableParagraph"/>
              <w:spacing w:line="141" w:lineRule="exact" w:before="12"/>
              <w:ind w:right="147"/>
              <w:jc w:val="right"/>
              <w:rPr>
                <w:sz w:val="13"/>
              </w:rPr>
            </w:pPr>
            <w:r>
              <w:rPr>
                <w:color w:val="484848"/>
                <w:w w:val="105"/>
                <w:sz w:val="13"/>
              </w:rPr>
              <w:t>2,910</w:t>
            </w:r>
          </w:p>
        </w:tc>
        <w:tc>
          <w:tcPr>
            <w:tcW w:w="858" w:type="dxa"/>
          </w:tcPr>
          <w:p>
            <w:pPr>
              <w:pStyle w:val="TableParagraph"/>
              <w:spacing w:line="141" w:lineRule="exact" w:before="12"/>
              <w:ind w:right="206"/>
              <w:jc w:val="right"/>
              <w:rPr>
                <w:sz w:val="13"/>
              </w:rPr>
            </w:pPr>
            <w:r>
              <w:rPr>
                <w:color w:val="484848"/>
                <w:w w:val="105"/>
                <w:sz w:val="13"/>
              </w:rPr>
              <w:t>28,887</w:t>
            </w:r>
          </w:p>
        </w:tc>
        <w:tc>
          <w:tcPr>
            <w:tcW w:w="557" w:type="dxa"/>
          </w:tcPr>
          <w:p>
            <w:pPr>
              <w:pStyle w:val="TableParagraph"/>
              <w:spacing w:line="141" w:lineRule="exact" w:before="12"/>
              <w:ind w:right="59"/>
              <w:jc w:val="right"/>
              <w:rPr>
                <w:sz w:val="13"/>
              </w:rPr>
            </w:pPr>
            <w:r>
              <w:rPr>
                <w:color w:val="484848"/>
                <w:w w:val="105"/>
                <w:sz w:val="13"/>
              </w:rPr>
              <w:t>7,741</w:t>
            </w:r>
          </w:p>
        </w:tc>
      </w:tr>
      <w:tr>
        <w:trPr>
          <w:trHeight w:val="178" w:hRule="atLeast"/>
        </w:trPr>
        <w:tc>
          <w:tcPr>
            <w:tcW w:w="712" w:type="dxa"/>
          </w:tcPr>
          <w:p>
            <w:pPr>
              <w:pStyle w:val="TableParagraph"/>
              <w:spacing w:line="145" w:lineRule="exact" w:before="13"/>
              <w:ind w:right="21"/>
              <w:jc w:val="right"/>
              <w:rPr>
                <w:b/>
                <w:sz w:val="14"/>
              </w:rPr>
            </w:pPr>
            <w:r>
              <w:rPr>
                <w:b/>
                <w:color w:val="363636"/>
                <w:w w:val="105"/>
                <w:sz w:val="14"/>
                <w:u w:val="thick" w:color="363636"/>
              </w:rPr>
              <w:t>(4,128</w:t>
            </w:r>
            <w:r>
              <w:rPr>
                <w:b/>
                <w:color w:val="363636"/>
                <w:w w:val="105"/>
                <w:sz w:val="14"/>
              </w:rPr>
              <w:t>)</w:t>
            </w:r>
          </w:p>
        </w:tc>
        <w:tc>
          <w:tcPr>
            <w:tcW w:w="3353" w:type="dxa"/>
          </w:tcPr>
          <w:p>
            <w:pPr>
              <w:pStyle w:val="TableParagraph"/>
              <w:spacing w:line="145" w:lineRule="exact" w:before="12"/>
              <w:ind w:left="158"/>
              <w:rPr>
                <w:sz w:val="13"/>
              </w:rPr>
            </w:pPr>
            <w:r>
              <w:rPr>
                <w:color w:val="363636"/>
                <w:w w:val="110"/>
                <w:sz w:val="13"/>
              </w:rPr>
              <w:t>Prior </w:t>
            </w:r>
            <w:r>
              <w:rPr>
                <w:color w:val="484848"/>
                <w:w w:val="110"/>
                <w:sz w:val="13"/>
              </w:rPr>
              <w:t>yearadjusbnent</w:t>
            </w:r>
          </w:p>
        </w:tc>
        <w:tc>
          <w:tcPr>
            <w:tcW w:w="424" w:type="dxa"/>
          </w:tcPr>
          <w:p>
            <w:pPr>
              <w:pStyle w:val="TableParagraph"/>
              <w:rPr>
                <w:sz w:val="12"/>
              </w:rPr>
            </w:pPr>
          </w:p>
        </w:tc>
        <w:tc>
          <w:tcPr>
            <w:tcW w:w="832" w:type="dxa"/>
          </w:tcPr>
          <w:p>
            <w:pPr>
              <w:pStyle w:val="TableParagraph"/>
              <w:spacing w:line="155" w:lineRule="exact" w:before="3"/>
              <w:ind w:right="99"/>
              <w:jc w:val="right"/>
              <w:rPr>
                <w:b/>
                <w:sz w:val="14"/>
              </w:rPr>
            </w:pPr>
            <w:r>
              <w:rPr>
                <w:b/>
                <w:color w:val="484848"/>
                <w:w w:val="105"/>
                <w:sz w:val="14"/>
                <w:u w:val="thick" w:color="363636"/>
              </w:rPr>
              <w:t>(</w:t>
            </w:r>
            <w:r>
              <w:rPr>
                <w:b/>
                <w:color w:val="232323"/>
                <w:w w:val="105"/>
                <w:sz w:val="14"/>
                <w:u w:val="thick" w:color="363636"/>
              </w:rPr>
              <w:t>4</w:t>
            </w:r>
            <w:r>
              <w:rPr>
                <w:b/>
                <w:color w:val="484848"/>
                <w:w w:val="105"/>
                <w:sz w:val="14"/>
                <w:u w:val="thick" w:color="363636"/>
              </w:rPr>
              <w:t>,</w:t>
            </w:r>
            <w:r>
              <w:rPr>
                <w:b/>
                <w:w w:val="105"/>
                <w:sz w:val="14"/>
                <w:u w:val="thick" w:color="363636"/>
              </w:rPr>
              <w:t>1</w:t>
            </w:r>
            <w:r>
              <w:rPr>
                <w:b/>
                <w:color w:val="363636"/>
                <w:w w:val="105"/>
                <w:sz w:val="14"/>
                <w:u w:val="thick" w:color="363636"/>
              </w:rPr>
              <w:t>28)</w:t>
            </w:r>
          </w:p>
        </w:tc>
        <w:tc>
          <w:tcPr>
            <w:tcW w:w="930" w:type="dxa"/>
          </w:tcPr>
          <w:p>
            <w:pPr>
              <w:pStyle w:val="TableParagraph"/>
              <w:rPr>
                <w:sz w:val="12"/>
              </w:rPr>
            </w:pPr>
          </w:p>
        </w:tc>
        <w:tc>
          <w:tcPr>
            <w:tcW w:w="858" w:type="dxa"/>
          </w:tcPr>
          <w:p>
            <w:pPr>
              <w:pStyle w:val="TableParagraph"/>
              <w:spacing w:line="145" w:lineRule="exact" w:before="12"/>
              <w:ind w:right="161"/>
              <w:jc w:val="right"/>
              <w:rPr>
                <w:sz w:val="13"/>
              </w:rPr>
            </w:pPr>
            <w:r>
              <w:rPr>
                <w:color w:val="484848"/>
                <w:w w:val="105"/>
                <w:sz w:val="13"/>
                <w:u w:val="thick" w:color="484848"/>
              </w:rPr>
              <w:t>(4,128</w:t>
            </w:r>
            <w:r>
              <w:rPr>
                <w:color w:val="484848"/>
                <w:w w:val="105"/>
                <w:sz w:val="13"/>
              </w:rPr>
              <w:t>)</w:t>
            </w:r>
          </w:p>
        </w:tc>
        <w:tc>
          <w:tcPr>
            <w:tcW w:w="557" w:type="dxa"/>
          </w:tcPr>
          <w:p>
            <w:pPr>
              <w:pStyle w:val="TableParagraph"/>
              <w:rPr>
                <w:sz w:val="12"/>
              </w:rPr>
            </w:pPr>
          </w:p>
        </w:tc>
      </w:tr>
      <w:tr>
        <w:trPr>
          <w:trHeight w:val="159" w:hRule="atLeast"/>
        </w:trPr>
        <w:tc>
          <w:tcPr>
            <w:tcW w:w="712" w:type="dxa"/>
          </w:tcPr>
          <w:p>
            <w:pPr>
              <w:pStyle w:val="TableParagraph"/>
              <w:spacing w:line="132" w:lineRule="exact" w:before="7"/>
              <w:ind w:right="80"/>
              <w:jc w:val="right"/>
              <w:rPr>
                <w:sz w:val="13"/>
              </w:rPr>
            </w:pPr>
            <w:r>
              <w:rPr>
                <w:color w:val="232323"/>
                <w:w w:val="110"/>
                <w:sz w:val="13"/>
                <w:u w:val="thick" w:color="232323"/>
              </w:rPr>
              <w:t>32,944</w:t>
            </w:r>
          </w:p>
        </w:tc>
        <w:tc>
          <w:tcPr>
            <w:tcW w:w="3353" w:type="dxa"/>
          </w:tcPr>
          <w:p>
            <w:pPr>
              <w:pStyle w:val="TableParagraph"/>
              <w:spacing w:line="132" w:lineRule="exact" w:before="7"/>
              <w:ind w:left="167"/>
              <w:rPr>
                <w:sz w:val="13"/>
              </w:rPr>
            </w:pPr>
            <w:r>
              <w:rPr>
                <w:color w:val="484848"/>
                <w:w w:val="105"/>
                <w:sz w:val="13"/>
              </w:rPr>
              <w:t>Funds </w:t>
            </w:r>
            <w:r>
              <w:rPr>
                <w:color w:val="363636"/>
                <w:w w:val="105"/>
                <w:sz w:val="13"/>
              </w:rPr>
              <w:t>brought </w:t>
            </w:r>
            <w:r>
              <w:rPr>
                <w:color w:val="484848"/>
                <w:w w:val="105"/>
                <w:sz w:val="13"/>
              </w:rPr>
              <w:t>forward as restated</w:t>
            </w:r>
          </w:p>
        </w:tc>
        <w:tc>
          <w:tcPr>
            <w:tcW w:w="424" w:type="dxa"/>
          </w:tcPr>
          <w:p>
            <w:pPr>
              <w:pStyle w:val="TableParagraph"/>
              <w:rPr>
                <w:sz w:val="10"/>
              </w:rPr>
            </w:pPr>
          </w:p>
        </w:tc>
        <w:tc>
          <w:tcPr>
            <w:tcW w:w="832" w:type="dxa"/>
          </w:tcPr>
          <w:p>
            <w:pPr>
              <w:pStyle w:val="TableParagraph"/>
              <w:spacing w:line="139" w:lineRule="exact"/>
              <w:ind w:left="281"/>
              <w:rPr>
                <w:b/>
                <w:sz w:val="14"/>
              </w:rPr>
            </w:pPr>
            <w:r>
              <w:rPr>
                <w:b/>
                <w:color w:val="363636"/>
                <w:w w:val="105"/>
                <w:sz w:val="14"/>
                <w:u w:val="thick" w:color="363636"/>
              </w:rPr>
              <w:t>35,410</w:t>
            </w:r>
          </w:p>
        </w:tc>
        <w:tc>
          <w:tcPr>
            <w:tcW w:w="930" w:type="dxa"/>
          </w:tcPr>
          <w:p>
            <w:pPr>
              <w:pStyle w:val="TableParagraph"/>
              <w:spacing w:line="139" w:lineRule="exact"/>
              <w:ind w:right="146"/>
              <w:jc w:val="right"/>
              <w:rPr>
                <w:b/>
                <w:sz w:val="14"/>
              </w:rPr>
            </w:pPr>
            <w:r>
              <w:rPr>
                <w:b/>
                <w:color w:val="363636"/>
                <w:w w:val="105"/>
                <w:sz w:val="14"/>
                <w:u w:val="thick" w:color="363636"/>
              </w:rPr>
              <w:t>2,910</w:t>
            </w:r>
          </w:p>
        </w:tc>
        <w:tc>
          <w:tcPr>
            <w:tcW w:w="858" w:type="dxa"/>
          </w:tcPr>
          <w:p>
            <w:pPr>
              <w:pStyle w:val="TableParagraph"/>
              <w:spacing w:line="132" w:lineRule="exact" w:before="7"/>
              <w:ind w:right="233"/>
              <w:jc w:val="right"/>
              <w:rPr>
                <w:sz w:val="13"/>
              </w:rPr>
            </w:pPr>
            <w:r>
              <w:rPr>
                <w:color w:val="232323"/>
                <w:w w:val="105"/>
                <w:sz w:val="13"/>
                <w:u w:val="thick" w:color="484848"/>
              </w:rPr>
              <w:t>24</w:t>
            </w:r>
            <w:r>
              <w:rPr>
                <w:color w:val="484848"/>
                <w:w w:val="105"/>
                <w:sz w:val="13"/>
                <w:u w:val="thick" w:color="484848"/>
              </w:rPr>
              <w:t>,759</w:t>
            </w:r>
          </w:p>
        </w:tc>
        <w:tc>
          <w:tcPr>
            <w:tcW w:w="557" w:type="dxa"/>
          </w:tcPr>
          <w:p>
            <w:pPr>
              <w:pStyle w:val="TableParagraph"/>
              <w:spacing w:line="132" w:lineRule="exact" w:before="7"/>
              <w:ind w:right="79"/>
              <w:jc w:val="right"/>
              <w:rPr>
                <w:sz w:val="13"/>
              </w:rPr>
            </w:pPr>
            <w:r>
              <w:rPr>
                <w:color w:val="484848"/>
                <w:w w:val="105"/>
                <w:sz w:val="13"/>
                <w:u w:val="thick" w:color="232323"/>
              </w:rPr>
              <w:t>7,7</w:t>
            </w:r>
            <w:r>
              <w:rPr>
                <w:color w:val="232323"/>
                <w:w w:val="105"/>
                <w:sz w:val="13"/>
                <w:u w:val="thick" w:color="232323"/>
              </w:rPr>
              <w:t>41</w:t>
            </w:r>
          </w:p>
        </w:tc>
      </w:tr>
    </w:tbl>
    <w:p>
      <w:pPr>
        <w:pStyle w:val="BodyText"/>
        <w:rPr>
          <w:rFonts w:ascii="Times New Roman"/>
          <w:sz w:val="20"/>
        </w:rPr>
      </w:pPr>
    </w:p>
    <w:p>
      <w:pPr>
        <w:pStyle w:val="BodyText"/>
        <w:rPr>
          <w:rFonts w:ascii="Times New Roman"/>
          <w:sz w:val="12"/>
        </w:rPr>
      </w:pPr>
    </w:p>
    <w:p>
      <w:pPr>
        <w:pStyle w:val="BodyText"/>
        <w:spacing w:line="20" w:lineRule="exact"/>
        <w:ind w:left="1170"/>
        <w:rPr>
          <w:rFonts w:ascii="Times New Roman"/>
          <w:sz w:val="2"/>
        </w:rPr>
      </w:pPr>
      <w:r>
        <w:rPr>
          <w:rFonts w:ascii="Times New Roman"/>
          <w:sz w:val="2"/>
        </w:rPr>
        <w:pict>
          <v:group style="width:36.6pt;height:.5pt;mso-position-horizontal-relative:char;mso-position-vertical-relative:line" coordorigin="0,0" coordsize="732,10">
            <v:line style="position:absolute" from="0,5" to="732,5" stroked="true" strokeweight=".481115pt" strokecolor="#000000">
              <v:stroke dashstyle="solid"/>
            </v:line>
          </v:group>
        </w:pict>
      </w:r>
      <w:r>
        <w:rPr>
          <w:rFonts w:ascii="Times New Roman"/>
          <w:sz w:val="2"/>
        </w:rPr>
      </w:r>
    </w:p>
    <w:p>
      <w:pPr>
        <w:spacing w:after="0" w:line="20" w:lineRule="exact"/>
        <w:rPr>
          <w:rFonts w:ascii="Times New Roman"/>
          <w:sz w:val="2"/>
        </w:rPr>
        <w:sectPr>
          <w:type w:val="continuous"/>
          <w:pgSz w:w="10950" w:h="15880"/>
          <w:pgMar w:top="680" w:bottom="280" w:left="500" w:right="0"/>
        </w:sectPr>
      </w:pPr>
    </w:p>
    <w:p>
      <w:pPr>
        <w:tabs>
          <w:tab w:pos="2057" w:val="left" w:leader="none"/>
        </w:tabs>
        <w:spacing w:line="154" w:lineRule="exact" w:before="0"/>
        <w:ind w:left="1420" w:right="0" w:firstLine="0"/>
        <w:jc w:val="left"/>
        <w:rPr>
          <w:rFonts w:ascii="Times New Roman"/>
          <w:b/>
          <w:sz w:val="16"/>
        </w:rPr>
      </w:pPr>
      <w:r>
        <w:rPr>
          <w:rFonts w:ascii="Times New Roman"/>
          <w:color w:val="232323"/>
          <w:sz w:val="13"/>
          <w:u w:val="thick" w:color="232323"/>
        </w:rPr>
        <w:t>35</w:t>
      </w:r>
      <w:r>
        <w:rPr>
          <w:rFonts w:ascii="Times New Roman"/>
          <w:color w:val="484848"/>
          <w:sz w:val="13"/>
          <w:u w:val="thick" w:color="232323"/>
        </w:rPr>
        <w:t>,</w:t>
      </w:r>
      <w:r>
        <w:rPr>
          <w:rFonts w:ascii="Times New Roman"/>
          <w:color w:val="232323"/>
          <w:sz w:val="13"/>
          <w:u w:val="thick" w:color="232323"/>
        </w:rPr>
        <w:t>410</w:t>
      </w:r>
      <w:r>
        <w:rPr>
          <w:rFonts w:ascii="Times New Roman"/>
          <w:color w:val="232323"/>
          <w:sz w:val="13"/>
        </w:rPr>
        <w:tab/>
      </w:r>
      <w:r>
        <w:rPr>
          <w:rFonts w:ascii="Times New Roman"/>
          <w:color w:val="363636"/>
          <w:w w:val="95"/>
          <w:sz w:val="13"/>
        </w:rPr>
        <w:t>Tota</w:t>
      </w:r>
      <w:r>
        <w:rPr>
          <w:rFonts w:ascii="Times New Roman"/>
          <w:color w:val="363636"/>
          <w:spacing w:val="-19"/>
          <w:w w:val="95"/>
          <w:sz w:val="13"/>
        </w:rPr>
        <w:t> </w:t>
      </w:r>
      <w:r>
        <w:rPr>
          <w:rFonts w:ascii="Times New Roman"/>
          <w:w w:val="95"/>
          <w:sz w:val="13"/>
        </w:rPr>
        <w:t>l</w:t>
      </w:r>
      <w:r>
        <w:rPr>
          <w:rFonts w:ascii="Times New Roman"/>
          <w:spacing w:val="-20"/>
          <w:w w:val="95"/>
          <w:sz w:val="13"/>
        </w:rPr>
        <w:t> </w:t>
      </w:r>
      <w:r>
        <w:rPr>
          <w:rFonts w:ascii="Times New Roman"/>
          <w:b/>
          <w:color w:val="232323"/>
          <w:w w:val="95"/>
          <w:sz w:val="16"/>
        </w:rPr>
        <w:t>funds</w:t>
      </w:r>
      <w:r>
        <w:rPr>
          <w:rFonts w:ascii="Times New Roman"/>
          <w:b/>
          <w:color w:val="232323"/>
          <w:spacing w:val="-31"/>
          <w:w w:val="95"/>
          <w:sz w:val="16"/>
        </w:rPr>
        <w:t> </w:t>
      </w:r>
      <w:r>
        <w:rPr>
          <w:rFonts w:ascii="Times New Roman"/>
          <w:b/>
          <w:color w:val="232323"/>
          <w:w w:val="95"/>
          <w:sz w:val="16"/>
        </w:rPr>
        <w:t>carried</w:t>
      </w:r>
      <w:r>
        <w:rPr>
          <w:rFonts w:ascii="Times New Roman"/>
          <w:b/>
          <w:color w:val="232323"/>
          <w:spacing w:val="-26"/>
          <w:w w:val="95"/>
          <w:sz w:val="16"/>
        </w:rPr>
        <w:t> </w:t>
      </w:r>
      <w:r>
        <w:rPr>
          <w:rFonts w:ascii="Times New Roman"/>
          <w:b/>
          <w:color w:val="232323"/>
          <w:w w:val="95"/>
          <w:sz w:val="16"/>
        </w:rPr>
        <w:t>forward</w:t>
      </w:r>
    </w:p>
    <w:p>
      <w:pPr>
        <w:tabs>
          <w:tab w:pos="1707" w:val="left" w:leader="none"/>
          <w:tab w:pos="2698" w:val="left" w:leader="none"/>
          <w:tab w:pos="3429" w:val="left" w:leader="none"/>
          <w:tab w:pos="4208" w:val="left" w:leader="none"/>
        </w:tabs>
        <w:spacing w:line="150" w:lineRule="exact" w:before="0"/>
        <w:ind w:left="1420" w:right="0" w:firstLine="0"/>
        <w:jc w:val="left"/>
        <w:rPr>
          <w:rFonts w:ascii="Times New Roman"/>
          <w:b/>
          <w:sz w:val="14"/>
        </w:rPr>
      </w:pPr>
      <w:r>
        <w:rPr/>
        <w:br w:type="column"/>
      </w:r>
      <w:r>
        <w:rPr>
          <w:rFonts w:ascii="Times New Roman"/>
          <w:b/>
          <w:color w:val="232323"/>
          <w:w w:val="100"/>
          <w:sz w:val="14"/>
          <w:u w:val="thick" w:color="000000"/>
        </w:rPr>
        <w:t> </w:t>
      </w:r>
      <w:r>
        <w:rPr>
          <w:rFonts w:ascii="Times New Roman"/>
          <w:b/>
          <w:color w:val="232323"/>
          <w:sz w:val="14"/>
          <w:u w:val="thick" w:color="000000"/>
        </w:rPr>
        <w:tab/>
      </w:r>
      <w:r>
        <w:rPr>
          <w:rFonts w:ascii="Times New Roman"/>
          <w:b/>
          <w:color w:val="232323"/>
          <w:w w:val="105"/>
          <w:sz w:val="14"/>
          <w:u w:val="thick" w:color="000000"/>
        </w:rPr>
        <w:t>3</w:t>
      </w:r>
      <w:r>
        <w:rPr>
          <w:rFonts w:ascii="Times New Roman"/>
          <w:b/>
          <w:color w:val="232323"/>
          <w:spacing w:val="-6"/>
          <w:w w:val="105"/>
          <w:sz w:val="14"/>
          <w:u w:val="thick" w:color="000000"/>
        </w:rPr>
        <w:t>8</w:t>
      </w:r>
      <w:r>
        <w:rPr>
          <w:rFonts w:ascii="Times New Roman"/>
          <w:b/>
          <w:color w:val="484848"/>
          <w:spacing w:val="-9"/>
          <w:w w:val="105"/>
          <w:sz w:val="14"/>
          <w:u w:val="thick" w:color="000000"/>
        </w:rPr>
        <w:t>,</w:t>
      </w:r>
      <w:r>
        <w:rPr>
          <w:rFonts w:ascii="Times New Roman"/>
          <w:b/>
          <w:color w:val="232323"/>
          <w:w w:val="105"/>
          <w:sz w:val="14"/>
          <w:u w:val="thick" w:color="000000"/>
        </w:rPr>
        <w:t>842</w:t>
      </w:r>
      <w:r>
        <w:rPr>
          <w:rFonts w:ascii="Times New Roman"/>
          <w:b/>
          <w:color w:val="232323"/>
          <w:sz w:val="14"/>
          <w:u w:val="thick" w:color="000000"/>
        </w:rPr>
        <w:tab/>
      </w:r>
      <w:r>
        <w:rPr>
          <w:rFonts w:ascii="Times New Roman"/>
          <w:color w:val="363636"/>
          <w:w w:val="151"/>
          <w:sz w:val="13"/>
          <w:u w:val="thick" w:color="000000"/>
        </w:rPr>
        <w:t>2</w:t>
      </w:r>
      <w:r>
        <w:rPr>
          <w:rFonts w:ascii="Times New Roman"/>
          <w:color w:val="363636"/>
          <w:sz w:val="13"/>
          <w:u w:val="thick" w:color="000000"/>
        </w:rPr>
        <w:t> </w:t>
      </w:r>
      <w:r>
        <w:rPr>
          <w:rFonts w:ascii="Times New Roman"/>
          <w:color w:val="363636"/>
          <w:spacing w:val="9"/>
          <w:sz w:val="13"/>
          <w:u w:val="thick" w:color="000000"/>
        </w:rPr>
        <w:t> </w:t>
      </w:r>
      <w:r>
        <w:rPr>
          <w:rFonts w:ascii="Times New Roman"/>
          <w:color w:val="363636"/>
          <w:w w:val="151"/>
          <w:sz w:val="13"/>
          <w:u w:val="thick" w:color="000000"/>
        </w:rPr>
        <w:t>77</w:t>
      </w:r>
      <w:r>
        <w:rPr>
          <w:rFonts w:ascii="Times New Roman"/>
          <w:color w:val="363636"/>
          <w:sz w:val="13"/>
          <w:u w:val="thick" w:color="000000"/>
        </w:rPr>
        <w:tab/>
      </w:r>
      <w:r>
        <w:rPr>
          <w:rFonts w:ascii="Times New Roman"/>
          <w:b/>
          <w:color w:val="232323"/>
          <w:w w:val="151"/>
          <w:sz w:val="14"/>
          <w:u w:val="thick" w:color="000000"/>
        </w:rPr>
        <w:t>2</w:t>
      </w:r>
      <w:r>
        <w:rPr>
          <w:rFonts w:ascii="Times New Roman"/>
          <w:b/>
          <w:color w:val="232323"/>
          <w:spacing w:val="-69"/>
          <w:w w:val="151"/>
          <w:sz w:val="14"/>
          <w:u w:val="thick" w:color="000000"/>
        </w:rPr>
        <w:t>7</w:t>
      </w:r>
      <w:r>
        <w:rPr>
          <w:rFonts w:ascii="Times New Roman"/>
          <w:b/>
          <w:color w:val="484848"/>
          <w:spacing w:val="-20"/>
          <w:w w:val="151"/>
          <w:sz w:val="14"/>
          <w:u w:val="thick" w:color="000000"/>
        </w:rPr>
        <w:t>,</w:t>
      </w:r>
      <w:r>
        <w:rPr>
          <w:rFonts w:ascii="Times New Roman"/>
          <w:b/>
          <w:color w:val="232323"/>
          <w:w w:val="151"/>
          <w:sz w:val="14"/>
          <w:u w:val="thick" w:color="000000"/>
        </w:rPr>
        <w:t>172</w:t>
      </w:r>
      <w:r>
        <w:rPr>
          <w:rFonts w:ascii="Times New Roman"/>
          <w:b/>
          <w:color w:val="232323"/>
          <w:sz w:val="14"/>
          <w:u w:val="thick" w:color="000000"/>
        </w:rPr>
        <w:tab/>
      </w:r>
      <w:r>
        <w:rPr>
          <w:rFonts w:ascii="Times New Roman"/>
          <w:b/>
          <w:color w:val="232323"/>
          <w:w w:val="106"/>
          <w:sz w:val="14"/>
          <w:u w:val="thick" w:color="000000"/>
        </w:rPr>
        <w:t>8,793</w:t>
      </w:r>
      <w:r>
        <w:rPr>
          <w:rFonts w:ascii="Times New Roman"/>
          <w:b/>
          <w:color w:val="232323"/>
          <w:spacing w:val="-16"/>
          <w:sz w:val="14"/>
          <w:u w:val="thick" w:color="000000"/>
        </w:rPr>
        <w:t> </w:t>
      </w:r>
    </w:p>
    <w:p>
      <w:pPr>
        <w:spacing w:after="0" w:line="150" w:lineRule="exact"/>
        <w:jc w:val="left"/>
        <w:rPr>
          <w:rFonts w:ascii="Times New Roman"/>
          <w:sz w:val="14"/>
        </w:rPr>
        <w:sectPr>
          <w:type w:val="continuous"/>
          <w:pgSz w:w="10950" w:h="15880"/>
          <w:pgMar w:top="680" w:bottom="280" w:left="500" w:right="0"/>
          <w:cols w:num="2" w:equalWidth="0">
            <w:col w:w="3749" w:space="503"/>
            <w:col w:w="6198"/>
          </w:cols>
        </w:sectPr>
      </w:pPr>
    </w:p>
    <w:p>
      <w:pPr>
        <w:pStyle w:val="BodyText"/>
        <w:spacing w:before="4"/>
        <w:rPr>
          <w:rFonts w:ascii="Times New Roman"/>
          <w:b/>
          <w:sz w:val="24"/>
        </w:rPr>
      </w:pPr>
      <w:r>
        <w:rPr/>
        <w:pict>
          <v:shape style="position:absolute;margin-left:83.057671pt;margin-top:362.038605pt;width:37.8pt;height:79.4pt;mso-position-horizontal-relative:page;mso-position-vertical-relative:page;z-index:25210675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3"/>
                  </w:tblGrid>
                  <w:tr>
                    <w:trPr>
                      <w:trHeight w:val="662" w:hRule="atLeast"/>
                    </w:trPr>
                    <w:tc>
                      <w:tcPr>
                        <w:tcW w:w="713" w:type="dxa"/>
                      </w:tcPr>
                      <w:p>
                        <w:pPr>
                          <w:pStyle w:val="TableParagraph"/>
                          <w:spacing w:before="8"/>
                          <w:ind w:right="17"/>
                          <w:jc w:val="right"/>
                          <w:rPr>
                            <w:sz w:val="13"/>
                          </w:rPr>
                        </w:pPr>
                        <w:r>
                          <w:rPr>
                            <w:color w:val="232323"/>
                            <w:w w:val="115"/>
                            <w:sz w:val="13"/>
                          </w:rPr>
                          <w:t>18,250</w:t>
                        </w:r>
                      </w:p>
                      <w:p>
                        <w:pPr>
                          <w:pStyle w:val="TableParagraph"/>
                          <w:spacing w:before="23"/>
                          <w:ind w:right="32"/>
                          <w:jc w:val="right"/>
                          <w:rPr>
                            <w:sz w:val="13"/>
                          </w:rPr>
                        </w:pPr>
                        <w:r>
                          <w:rPr>
                            <w:color w:val="232323"/>
                            <w:spacing w:val="-5"/>
                            <w:w w:val="115"/>
                            <w:sz w:val="13"/>
                          </w:rPr>
                          <w:t>2</w:t>
                        </w:r>
                        <w:r>
                          <w:rPr>
                            <w:color w:val="484848"/>
                            <w:spacing w:val="-5"/>
                            <w:w w:val="115"/>
                            <w:sz w:val="13"/>
                          </w:rPr>
                          <w:t>,</w:t>
                        </w:r>
                        <w:r>
                          <w:rPr>
                            <w:color w:val="232323"/>
                            <w:spacing w:val="-5"/>
                            <w:w w:val="115"/>
                            <w:sz w:val="13"/>
                          </w:rPr>
                          <w:t>113</w:t>
                        </w:r>
                      </w:p>
                      <w:p>
                        <w:pPr>
                          <w:pStyle w:val="TableParagraph"/>
                          <w:spacing w:before="14"/>
                          <w:ind w:right="33"/>
                          <w:jc w:val="right"/>
                          <w:rPr>
                            <w:sz w:val="13"/>
                          </w:rPr>
                        </w:pPr>
                        <w:r>
                          <w:rPr>
                            <w:color w:val="232323"/>
                            <w:spacing w:val="-5"/>
                            <w:w w:val="115"/>
                            <w:sz w:val="13"/>
                          </w:rPr>
                          <w:t>2</w:t>
                        </w:r>
                        <w:r>
                          <w:rPr>
                            <w:color w:val="484848"/>
                            <w:spacing w:val="-5"/>
                            <w:w w:val="115"/>
                            <w:sz w:val="13"/>
                          </w:rPr>
                          <w:t>,7</w:t>
                        </w:r>
                        <w:r>
                          <w:rPr>
                            <w:color w:val="232323"/>
                            <w:spacing w:val="-5"/>
                            <w:w w:val="115"/>
                            <w:sz w:val="13"/>
                          </w:rPr>
                          <w:t>33</w:t>
                        </w:r>
                      </w:p>
                      <w:p>
                        <w:pPr>
                          <w:pStyle w:val="TableParagraph"/>
                          <w:spacing w:line="115" w:lineRule="exact" w:before="34"/>
                          <w:ind w:right="32"/>
                          <w:jc w:val="right"/>
                          <w:rPr>
                            <w:sz w:val="13"/>
                          </w:rPr>
                        </w:pPr>
                        <w:r>
                          <w:rPr>
                            <w:color w:val="232323"/>
                            <w:spacing w:val="-4"/>
                            <w:w w:val="115"/>
                            <w:sz w:val="13"/>
                          </w:rPr>
                          <w:t>4</w:t>
                        </w:r>
                        <w:r>
                          <w:rPr>
                            <w:color w:val="484848"/>
                            <w:spacing w:val="-4"/>
                            <w:w w:val="115"/>
                            <w:sz w:val="13"/>
                          </w:rPr>
                          <w:t>7</w:t>
                        </w:r>
                        <w:r>
                          <w:rPr>
                            <w:color w:val="232323"/>
                            <w:spacing w:val="-4"/>
                            <w:w w:val="115"/>
                            <w:sz w:val="13"/>
                          </w:rPr>
                          <w:t>0</w:t>
                        </w:r>
                      </w:p>
                    </w:tc>
                  </w:tr>
                  <w:tr>
                    <w:trPr>
                      <w:trHeight w:val="143" w:hRule="atLeast"/>
                    </w:trPr>
                    <w:tc>
                      <w:tcPr>
                        <w:tcW w:w="713" w:type="dxa"/>
                      </w:tcPr>
                      <w:p>
                        <w:pPr>
                          <w:pStyle w:val="TableParagraph"/>
                          <w:spacing w:line="115" w:lineRule="exact" w:before="8"/>
                          <w:ind w:left="247"/>
                          <w:rPr>
                            <w:sz w:val="13"/>
                          </w:rPr>
                        </w:pPr>
                        <w:r>
                          <w:rPr>
                            <w:color w:val="363636"/>
                            <w:w w:val="115"/>
                            <w:sz w:val="13"/>
                          </w:rPr>
                          <w:t>23,566</w:t>
                        </w:r>
                      </w:p>
                    </w:tc>
                  </w:tr>
                  <w:tr>
                    <w:trPr>
                      <w:trHeight w:val="662" w:hRule="atLeast"/>
                    </w:trPr>
                    <w:tc>
                      <w:tcPr>
                        <w:tcW w:w="713" w:type="dxa"/>
                      </w:tcPr>
                      <w:p>
                        <w:pPr>
                          <w:pStyle w:val="TableParagraph"/>
                          <w:spacing w:before="8"/>
                          <w:rPr>
                            <w:sz w:val="15"/>
                          </w:rPr>
                        </w:pPr>
                      </w:p>
                      <w:p>
                        <w:pPr>
                          <w:pStyle w:val="TableParagraph"/>
                          <w:ind w:left="430"/>
                          <w:rPr>
                            <w:sz w:val="13"/>
                          </w:rPr>
                        </w:pPr>
                        <w:r>
                          <w:rPr>
                            <w:color w:val="232323"/>
                            <w:w w:val="115"/>
                            <w:sz w:val="13"/>
                          </w:rPr>
                          <w:t>400</w:t>
                        </w:r>
                      </w:p>
                      <w:p>
                        <w:pPr>
                          <w:pStyle w:val="TableParagraph"/>
                          <w:spacing w:line="228" w:lineRule="exact" w:before="84"/>
                          <w:ind w:right="26"/>
                          <w:jc w:val="right"/>
                          <w:rPr>
                            <w:sz w:val="22"/>
                          </w:rPr>
                        </w:pPr>
                        <w:r>
                          <w:rPr>
                            <w:color w:val="484848"/>
                            <w:w w:val="116"/>
                            <w:sz w:val="22"/>
                          </w:rPr>
                          <w:t>.</w:t>
                        </w:r>
                      </w:p>
                    </w:tc>
                  </w:tr>
                </w:tbl>
                <w:p>
                  <w:pPr>
                    <w:pStyle w:val="BodyText"/>
                  </w:pPr>
                </w:p>
              </w:txbxContent>
            </v:textbox>
            <w10:wrap type="none"/>
          </v:shape>
        </w:pict>
      </w:r>
    </w:p>
    <w:p>
      <w:pPr>
        <w:spacing w:before="94"/>
        <w:ind w:left="2056" w:right="0" w:firstLine="0"/>
        <w:jc w:val="left"/>
        <w:rPr>
          <w:rFonts w:ascii="Times New Roman"/>
          <w:sz w:val="16"/>
        </w:rPr>
      </w:pPr>
      <w:r>
        <w:rPr>
          <w:rFonts w:ascii="Times New Roman"/>
          <w:color w:val="363636"/>
          <w:sz w:val="16"/>
        </w:rPr>
        <w:t>There </w:t>
      </w:r>
      <w:r>
        <w:rPr>
          <w:rFonts w:ascii="Times New Roman"/>
          <w:color w:val="484848"/>
          <w:sz w:val="16"/>
        </w:rPr>
        <w:t>were no</w:t>
      </w:r>
      <w:r>
        <w:rPr>
          <w:rFonts w:ascii="Times New Roman"/>
          <w:color w:val="232323"/>
          <w:sz w:val="16"/>
        </w:rPr>
        <w:t>d</w:t>
      </w:r>
      <w:r>
        <w:rPr>
          <w:rFonts w:ascii="Times New Roman"/>
          <w:color w:val="484848"/>
          <w:sz w:val="16"/>
        </w:rPr>
        <w:t>isco</w:t>
      </w:r>
      <w:r>
        <w:rPr>
          <w:rFonts w:ascii="Times New Roman"/>
          <w:color w:val="232323"/>
          <w:sz w:val="16"/>
        </w:rPr>
        <w:t>n</w:t>
      </w:r>
      <w:r>
        <w:rPr>
          <w:rFonts w:ascii="Times New Roman"/>
          <w:color w:val="484848"/>
          <w:sz w:val="16"/>
        </w:rPr>
        <w:t>tin</w:t>
      </w:r>
      <w:r>
        <w:rPr>
          <w:rFonts w:ascii="Times New Roman"/>
          <w:color w:val="232323"/>
          <w:sz w:val="16"/>
        </w:rPr>
        <w:t>ue</w:t>
      </w:r>
      <w:r>
        <w:rPr>
          <w:rFonts w:ascii="Times New Roman"/>
          <w:color w:val="484848"/>
          <w:sz w:val="16"/>
        </w:rPr>
        <w:t>d </w:t>
      </w:r>
      <w:r>
        <w:rPr>
          <w:rFonts w:ascii="Times New Roman"/>
          <w:color w:val="363636"/>
          <w:sz w:val="16"/>
        </w:rPr>
        <w:t>activities </w:t>
      </w:r>
      <w:r>
        <w:rPr>
          <w:rFonts w:ascii="Times New Roman"/>
          <w:color w:val="484848"/>
          <w:sz w:val="16"/>
        </w:rPr>
        <w:t>or </w:t>
      </w:r>
      <w:r>
        <w:rPr>
          <w:rFonts w:ascii="Times New Roman"/>
          <w:color w:val="363636"/>
          <w:sz w:val="16"/>
        </w:rPr>
        <w:t>acquisitions during </w:t>
      </w:r>
      <w:r>
        <w:rPr>
          <w:rFonts w:ascii="Times New Roman"/>
          <w:color w:val="484848"/>
          <w:sz w:val="16"/>
        </w:rPr>
        <w:t>the year.</w:t>
      </w:r>
    </w:p>
    <w:p>
      <w:pPr>
        <w:pStyle w:val="BodyText"/>
        <w:rPr>
          <w:rFonts w:ascii="Times New Roman"/>
          <w:sz w:val="19"/>
        </w:rPr>
      </w:pPr>
    </w:p>
    <w:p>
      <w:pPr>
        <w:spacing w:before="1"/>
        <w:ind w:left="2057" w:right="0" w:firstLine="0"/>
        <w:jc w:val="left"/>
        <w:rPr>
          <w:rFonts w:ascii="Times New Roman"/>
          <w:sz w:val="13"/>
        </w:rPr>
      </w:pPr>
      <w:r>
        <w:rPr>
          <w:rFonts w:ascii="Times New Roman"/>
          <w:color w:val="363636"/>
          <w:w w:val="115"/>
          <w:sz w:val="13"/>
        </w:rPr>
        <w:t>The </w:t>
      </w:r>
      <w:r>
        <w:rPr>
          <w:rFonts w:ascii="Times New Roman"/>
          <w:color w:val="484848"/>
          <w:w w:val="115"/>
          <w:sz w:val="13"/>
        </w:rPr>
        <w:t>noteso</w:t>
      </w:r>
      <w:r>
        <w:rPr>
          <w:rFonts w:ascii="Times New Roman"/>
          <w:color w:val="232323"/>
          <w:w w:val="115"/>
          <w:sz w:val="13"/>
        </w:rPr>
        <w:t>n </w:t>
      </w:r>
      <w:r>
        <w:rPr>
          <w:rFonts w:ascii="Times New Roman"/>
          <w:color w:val="484848"/>
          <w:w w:val="115"/>
          <w:sz w:val="13"/>
        </w:rPr>
        <w:t>pages </w:t>
      </w:r>
      <w:r>
        <w:rPr>
          <w:rFonts w:ascii="Times New Roman"/>
          <w:color w:val="363636"/>
          <w:w w:val="115"/>
          <w:sz w:val="13"/>
        </w:rPr>
        <w:t>14 to 23 </w:t>
      </w:r>
      <w:r>
        <w:rPr>
          <w:rFonts w:ascii="Times New Roman"/>
          <w:color w:val="484848"/>
          <w:w w:val="115"/>
          <w:sz w:val="13"/>
        </w:rPr>
        <w:t>form </w:t>
      </w:r>
      <w:r>
        <w:rPr>
          <w:rFonts w:ascii="Times New Roman"/>
          <w:color w:val="363636"/>
          <w:w w:val="115"/>
          <w:sz w:val="13"/>
        </w:rPr>
        <w:t>an integral pa.rt of </w:t>
      </w:r>
      <w:r>
        <w:rPr>
          <w:rFonts w:ascii="Times New Roman"/>
          <w:color w:val="484848"/>
          <w:w w:val="115"/>
          <w:sz w:val="13"/>
        </w:rPr>
        <w:t>these </w:t>
      </w:r>
      <w:r>
        <w:rPr>
          <w:rFonts w:ascii="Times New Roman"/>
          <w:color w:val="363636"/>
          <w:w w:val="115"/>
          <w:sz w:val="13"/>
        </w:rPr>
        <w:t>financial </w:t>
      </w:r>
      <w:r>
        <w:rPr>
          <w:rFonts w:ascii="Times New Roman"/>
          <w:color w:val="484848"/>
          <w:w w:val="115"/>
          <w:sz w:val="13"/>
        </w:rPr>
        <w:t>statements.</w:t>
      </w:r>
    </w:p>
    <w:p>
      <w:pPr>
        <w:pStyle w:val="BodyText"/>
        <w:spacing w:before="6"/>
        <w:rPr>
          <w:rFonts w:ascii="Times New Roman"/>
          <w:sz w:val="17"/>
        </w:rPr>
      </w:pPr>
      <w:r>
        <w:rPr/>
        <w:pict>
          <v:group style="position:absolute;margin-left:83.539162pt;margin-top:12.5437pt;width:385.45pt;height:53.45pt;mso-position-horizontal-relative:page;mso-position-vertical-relative:paragraph;z-index:-251211776;mso-wrap-distance-left:0;mso-wrap-distance-right:0" coordorigin="1671,251" coordsize="7709,1069">
            <v:line style="position:absolute" from="1676,1319" to="1676,251" stroked="true" strokeweight=".481494pt" strokecolor="#000000">
              <v:stroke dashstyle="solid"/>
            </v:line>
            <v:line style="position:absolute" from="9351,1319" to="9351,251" stroked="true" strokeweight=".962987pt" strokecolor="#000000">
              <v:stroke dashstyle="solid"/>
            </v:line>
            <v:line style="position:absolute" from="1676,260" to="9379,260" stroked="true" strokeweight=".481115pt" strokecolor="#000000">
              <v:stroke dashstyle="solid"/>
            </v:line>
            <v:line style="position:absolute" from="1676,1290" to="9379,1290" stroked="true" strokeweight=".962229pt" strokecolor="#000000">
              <v:stroke dashstyle="solid"/>
            </v:line>
            <v:shape style="position:absolute;left:1680;top:265;width:7661;height:1016" type="#_x0000_t202" filled="false" stroked="false">
              <v:textbox inset="0,0,0,0">
                <w:txbxContent>
                  <w:p>
                    <w:pPr>
                      <w:spacing w:line="268" w:lineRule="auto" w:before="9"/>
                      <w:ind w:left="652" w:right="624" w:firstLine="0"/>
                      <w:jc w:val="center"/>
                      <w:rPr>
                        <w:rFonts w:ascii="Times New Roman"/>
                        <w:i/>
                        <w:sz w:val="16"/>
                      </w:rPr>
                    </w:pPr>
                    <w:r>
                      <w:rPr>
                        <w:rFonts w:ascii="Times New Roman"/>
                        <w:i/>
                        <w:color w:val="484848"/>
                        <w:spacing w:val="-11"/>
                        <w:sz w:val="16"/>
                      </w:rPr>
                      <w:t>Th</w:t>
                    </w:r>
                    <w:r>
                      <w:rPr>
                        <w:rFonts w:ascii="Times New Roman"/>
                        <w:i/>
                        <w:color w:val="232323"/>
                        <w:spacing w:val="-11"/>
                        <w:sz w:val="16"/>
                      </w:rPr>
                      <w:t>i</w:t>
                    </w:r>
                    <w:r>
                      <w:rPr>
                        <w:rFonts w:ascii="Times New Roman"/>
                        <w:i/>
                        <w:color w:val="484848"/>
                        <w:spacing w:val="-11"/>
                        <w:sz w:val="16"/>
                      </w:rPr>
                      <w:t>s</w:t>
                    </w:r>
                    <w:r>
                      <w:rPr>
                        <w:rFonts w:ascii="Times New Roman"/>
                        <w:i/>
                        <w:color w:val="484848"/>
                        <w:spacing w:val="-10"/>
                        <w:sz w:val="16"/>
                      </w:rPr>
                      <w:t> </w:t>
                    </w:r>
                    <w:r>
                      <w:rPr>
                        <w:rFonts w:ascii="Times New Roman"/>
                        <w:i/>
                        <w:color w:val="484848"/>
                        <w:sz w:val="16"/>
                      </w:rPr>
                      <w:t>page</w:t>
                    </w:r>
                    <w:r>
                      <w:rPr>
                        <w:rFonts w:ascii="Times New Roman"/>
                        <w:i/>
                        <w:color w:val="484848"/>
                        <w:spacing w:val="-16"/>
                        <w:sz w:val="16"/>
                      </w:rPr>
                      <w:t> </w:t>
                    </w:r>
                    <w:r>
                      <w:rPr>
                        <w:rFonts w:ascii="Times New Roman"/>
                        <w:i/>
                        <w:color w:val="484848"/>
                        <w:sz w:val="16"/>
                      </w:rPr>
                      <w:t>shows</w:t>
                    </w:r>
                    <w:r>
                      <w:rPr>
                        <w:rFonts w:ascii="Times New Roman"/>
                        <w:i/>
                        <w:color w:val="484848"/>
                        <w:spacing w:val="-16"/>
                        <w:sz w:val="16"/>
                      </w:rPr>
                      <w:t> </w:t>
                    </w:r>
                    <w:r>
                      <w:rPr>
                        <w:rFonts w:ascii="Times New Roman"/>
                        <w:i/>
                        <w:color w:val="363636"/>
                        <w:sz w:val="16"/>
                      </w:rPr>
                      <w:t>thetotal</w:t>
                    </w:r>
                    <w:r>
                      <w:rPr>
                        <w:rFonts w:ascii="Times New Roman"/>
                        <w:i/>
                        <w:color w:val="363636"/>
                        <w:spacing w:val="-17"/>
                        <w:sz w:val="16"/>
                      </w:rPr>
                      <w:t> </w:t>
                    </w:r>
                    <w:r>
                      <w:rPr>
                        <w:rFonts w:ascii="Times New Roman"/>
                        <w:i/>
                        <w:color w:val="484848"/>
                        <w:sz w:val="16"/>
                      </w:rPr>
                      <w:t>of</w:t>
                    </w:r>
                    <w:r>
                      <w:rPr>
                        <w:rFonts w:ascii="Times New Roman"/>
                        <w:i/>
                        <w:color w:val="484848"/>
                        <w:spacing w:val="-21"/>
                        <w:sz w:val="16"/>
                      </w:rPr>
                      <w:t> </w:t>
                    </w:r>
                    <w:r>
                      <w:rPr>
                        <w:rFonts w:ascii="Times New Roman"/>
                        <w:i/>
                        <w:color w:val="363636"/>
                        <w:sz w:val="16"/>
                      </w:rPr>
                      <w:t>the</w:t>
                    </w:r>
                    <w:r>
                      <w:rPr>
                        <w:rFonts w:ascii="Times New Roman"/>
                        <w:i/>
                        <w:color w:val="363636"/>
                        <w:spacing w:val="-20"/>
                        <w:sz w:val="16"/>
                      </w:rPr>
                      <w:t> </w:t>
                    </w:r>
                    <w:r>
                      <w:rPr>
                        <w:rFonts w:ascii="Times New Roman"/>
                        <w:i/>
                        <w:color w:val="363636"/>
                        <w:sz w:val="16"/>
                      </w:rPr>
                      <w:t>income</w:t>
                    </w:r>
                    <w:r>
                      <w:rPr>
                        <w:rFonts w:ascii="Times New Roman"/>
                        <w:i/>
                        <w:color w:val="363636"/>
                        <w:spacing w:val="-18"/>
                        <w:sz w:val="16"/>
                      </w:rPr>
                      <w:t> </w:t>
                    </w:r>
                    <w:r>
                      <w:rPr>
                        <w:rFonts w:ascii="Times New Roman"/>
                        <w:i/>
                        <w:color w:val="363636"/>
                        <w:sz w:val="16"/>
                      </w:rPr>
                      <w:t>and</w:t>
                    </w:r>
                    <w:r>
                      <w:rPr>
                        <w:rFonts w:ascii="Times New Roman"/>
                        <w:i/>
                        <w:color w:val="363636"/>
                        <w:spacing w:val="-8"/>
                        <w:sz w:val="16"/>
                      </w:rPr>
                      <w:t> </w:t>
                    </w:r>
                    <w:r>
                      <w:rPr>
                        <w:rFonts w:ascii="Times New Roman"/>
                        <w:i/>
                        <w:color w:val="363636"/>
                        <w:sz w:val="16"/>
                      </w:rPr>
                      <w:t>expenditure</w:t>
                    </w:r>
                    <w:r>
                      <w:rPr>
                        <w:rFonts w:ascii="Times New Roman"/>
                        <w:i/>
                        <w:color w:val="363636"/>
                        <w:spacing w:val="-15"/>
                        <w:sz w:val="16"/>
                      </w:rPr>
                      <w:t> </w:t>
                    </w:r>
                    <w:r>
                      <w:rPr>
                        <w:rFonts w:ascii="Times New Roman"/>
                        <w:i/>
                        <w:color w:val="363636"/>
                        <w:sz w:val="16"/>
                      </w:rPr>
                      <w:t>accounts</w:t>
                    </w:r>
                    <w:r>
                      <w:rPr>
                        <w:rFonts w:ascii="Times New Roman"/>
                        <w:i/>
                        <w:color w:val="363636"/>
                        <w:spacing w:val="-19"/>
                        <w:sz w:val="16"/>
                      </w:rPr>
                      <w:t> </w:t>
                    </w:r>
                    <w:r>
                      <w:rPr>
                        <w:rFonts w:ascii="Times New Roman"/>
                        <w:i/>
                        <w:color w:val="363636"/>
                        <w:sz w:val="16"/>
                      </w:rPr>
                      <w:t>of</w:t>
                    </w:r>
                    <w:r>
                      <w:rPr>
                        <w:rFonts w:ascii="Times New Roman"/>
                        <w:i/>
                        <w:color w:val="363636"/>
                        <w:spacing w:val="-18"/>
                        <w:sz w:val="16"/>
                      </w:rPr>
                      <w:t> </w:t>
                    </w:r>
                    <w:r>
                      <w:rPr>
                        <w:rFonts w:ascii="Times New Roman"/>
                        <w:i/>
                        <w:color w:val="484848"/>
                        <w:sz w:val="16"/>
                      </w:rPr>
                      <w:t>all</w:t>
                    </w:r>
                    <w:r>
                      <w:rPr>
                        <w:rFonts w:ascii="Times New Roman"/>
                        <w:i/>
                        <w:color w:val="484848"/>
                        <w:spacing w:val="-16"/>
                        <w:sz w:val="16"/>
                      </w:rPr>
                      <w:t> </w:t>
                    </w:r>
                    <w:r>
                      <w:rPr>
                        <w:rFonts w:ascii="Times New Roman"/>
                        <w:i/>
                        <w:color w:val="363636"/>
                        <w:sz w:val="16"/>
                      </w:rPr>
                      <w:t>funds</w:t>
                    </w:r>
                    <w:r>
                      <w:rPr>
                        <w:rFonts w:ascii="Times New Roman"/>
                        <w:i/>
                        <w:color w:val="363636"/>
                        <w:spacing w:val="-21"/>
                        <w:sz w:val="16"/>
                      </w:rPr>
                      <w:t> </w:t>
                    </w:r>
                    <w:r>
                      <w:rPr>
                        <w:rFonts w:ascii="Times New Roman"/>
                        <w:i/>
                        <w:color w:val="363636"/>
                        <w:sz w:val="16"/>
                      </w:rPr>
                      <w:t>administered</w:t>
                    </w:r>
                    <w:r>
                      <w:rPr>
                        <w:rFonts w:ascii="Times New Roman"/>
                        <w:i/>
                        <w:color w:val="363636"/>
                        <w:spacing w:val="2"/>
                        <w:sz w:val="16"/>
                      </w:rPr>
                      <w:t> </w:t>
                    </w:r>
                    <w:r>
                      <w:rPr>
                        <w:rFonts w:ascii="Times New Roman"/>
                        <w:i/>
                        <w:color w:val="484848"/>
                        <w:sz w:val="16"/>
                      </w:rPr>
                      <w:t>centrally</w:t>
                    </w:r>
                    <w:r>
                      <w:rPr>
                        <w:rFonts w:ascii="Times New Roman"/>
                        <w:i/>
                        <w:color w:val="484848"/>
                        <w:spacing w:val="-16"/>
                        <w:sz w:val="16"/>
                      </w:rPr>
                      <w:t> </w:t>
                    </w:r>
                    <w:r>
                      <w:rPr>
                        <w:rFonts w:ascii="Times New Roman"/>
                        <w:i/>
                        <w:color w:val="363636"/>
                        <w:sz w:val="16"/>
                      </w:rPr>
                      <w:t>on </w:t>
                    </w:r>
                    <w:r>
                      <w:rPr>
                        <w:rFonts w:ascii="Times New Roman"/>
                        <w:i/>
                        <w:color w:val="484848"/>
                        <w:sz w:val="16"/>
                      </w:rPr>
                      <w:t>behalf</w:t>
                    </w:r>
                    <w:r>
                      <w:rPr>
                        <w:rFonts w:ascii="Times New Roman"/>
                        <w:i/>
                        <w:color w:val="484848"/>
                        <w:spacing w:val="-18"/>
                        <w:sz w:val="16"/>
                      </w:rPr>
                      <w:t> </w:t>
                    </w:r>
                    <w:r>
                      <w:rPr>
                        <w:rFonts w:ascii="Times New Roman"/>
                        <w:i/>
                        <w:color w:val="484848"/>
                        <w:sz w:val="16"/>
                      </w:rPr>
                      <w:t>of</w:t>
                    </w:r>
                    <w:r>
                      <w:rPr>
                        <w:rFonts w:ascii="Times New Roman"/>
                        <w:i/>
                        <w:color w:val="484848"/>
                        <w:spacing w:val="-6"/>
                        <w:sz w:val="16"/>
                      </w:rPr>
                      <w:t> </w:t>
                    </w:r>
                    <w:r>
                      <w:rPr>
                        <w:rFonts w:ascii="Times New Roman"/>
                        <w:i/>
                        <w:color w:val="363636"/>
                        <w:sz w:val="16"/>
                      </w:rPr>
                      <w:t>the</w:t>
                    </w:r>
                    <w:r>
                      <w:rPr>
                        <w:rFonts w:ascii="Times New Roman"/>
                        <w:i/>
                        <w:color w:val="363636"/>
                        <w:spacing w:val="-14"/>
                        <w:sz w:val="16"/>
                      </w:rPr>
                      <w:t> </w:t>
                    </w:r>
                    <w:r>
                      <w:rPr>
                        <w:rFonts w:ascii="Times New Roman"/>
                        <w:i/>
                        <w:color w:val="484848"/>
                        <w:sz w:val="16"/>
                      </w:rPr>
                      <w:t>whole</w:t>
                    </w:r>
                    <w:r>
                      <w:rPr>
                        <w:rFonts w:ascii="Times New Roman"/>
                        <w:i/>
                        <w:color w:val="484848"/>
                        <w:spacing w:val="-17"/>
                        <w:sz w:val="16"/>
                      </w:rPr>
                      <w:t> </w:t>
                    </w:r>
                    <w:r>
                      <w:rPr>
                        <w:rFonts w:ascii="Times New Roman"/>
                        <w:i/>
                        <w:color w:val="484848"/>
                        <w:sz w:val="16"/>
                      </w:rPr>
                      <w:t>Church</w:t>
                    </w:r>
                    <w:r>
                      <w:rPr>
                        <w:rFonts w:ascii="Times New Roman"/>
                        <w:i/>
                        <w:color w:val="484848"/>
                        <w:spacing w:val="-13"/>
                        <w:sz w:val="16"/>
                      </w:rPr>
                      <w:t> </w:t>
                    </w:r>
                    <w:r>
                      <w:rPr>
                        <w:rFonts w:ascii="Times New Roman"/>
                        <w:i/>
                        <w:color w:val="484848"/>
                        <w:sz w:val="16"/>
                      </w:rPr>
                      <w:t>to</w:t>
                    </w:r>
                    <w:r>
                      <w:rPr>
                        <w:rFonts w:ascii="Times New Roman"/>
                        <w:i/>
                        <w:color w:val="484848"/>
                        <w:spacing w:val="-7"/>
                        <w:sz w:val="16"/>
                      </w:rPr>
                      <w:t> </w:t>
                    </w:r>
                    <w:r>
                      <w:rPr>
                        <w:rFonts w:ascii="Times New Roman"/>
                        <w:i/>
                        <w:color w:val="363636"/>
                        <w:sz w:val="16"/>
                      </w:rPr>
                      <w:t>advance</w:t>
                    </w:r>
                    <w:r>
                      <w:rPr>
                        <w:rFonts w:ascii="Times New Roman"/>
                        <w:i/>
                        <w:color w:val="363636"/>
                        <w:spacing w:val="-13"/>
                        <w:sz w:val="16"/>
                      </w:rPr>
                      <w:t> </w:t>
                    </w:r>
                    <w:r>
                      <w:rPr>
                        <w:rFonts w:ascii="Times New Roman"/>
                        <w:i/>
                        <w:color w:val="363636"/>
                        <w:sz w:val="16"/>
                      </w:rPr>
                      <w:t>itsreligious</w:t>
                    </w:r>
                    <w:r>
                      <w:rPr>
                        <w:rFonts w:ascii="Times New Roman"/>
                        <w:i/>
                        <w:color w:val="363636"/>
                        <w:spacing w:val="-20"/>
                        <w:sz w:val="16"/>
                      </w:rPr>
                      <w:t> </w:t>
                    </w:r>
                    <w:r>
                      <w:rPr>
                        <w:rFonts w:ascii="Times New Roman"/>
                        <w:i/>
                        <w:color w:val="232323"/>
                        <w:sz w:val="16"/>
                      </w:rPr>
                      <w:t>an</w:t>
                    </w:r>
                    <w:r>
                      <w:rPr>
                        <w:rFonts w:ascii="Times New Roman"/>
                        <w:i/>
                        <w:color w:val="484848"/>
                        <w:sz w:val="16"/>
                      </w:rPr>
                      <w:t>d</w:t>
                    </w:r>
                    <w:r>
                      <w:rPr>
                        <w:rFonts w:ascii="Times New Roman"/>
                        <w:i/>
                        <w:color w:val="484848"/>
                        <w:spacing w:val="-8"/>
                        <w:sz w:val="16"/>
                      </w:rPr>
                      <w:t> </w:t>
                    </w:r>
                    <w:r>
                      <w:rPr>
                        <w:rFonts w:ascii="Times New Roman"/>
                        <w:i/>
                        <w:color w:val="484848"/>
                        <w:sz w:val="16"/>
                      </w:rPr>
                      <w:t>charitable</w:t>
                    </w:r>
                    <w:r>
                      <w:rPr>
                        <w:rFonts w:ascii="Times New Roman"/>
                        <w:i/>
                        <w:color w:val="484848"/>
                        <w:spacing w:val="-6"/>
                        <w:sz w:val="16"/>
                      </w:rPr>
                      <w:t> </w:t>
                    </w:r>
                    <w:r>
                      <w:rPr>
                        <w:rFonts w:ascii="Times New Roman"/>
                        <w:i/>
                        <w:color w:val="363636"/>
                        <w:sz w:val="16"/>
                      </w:rPr>
                      <w:t>work.</w:t>
                    </w:r>
                    <w:r>
                      <w:rPr>
                        <w:rFonts w:ascii="Times New Roman"/>
                        <w:i/>
                        <w:color w:val="363636"/>
                        <w:spacing w:val="13"/>
                        <w:sz w:val="16"/>
                      </w:rPr>
                      <w:t> </w:t>
                    </w:r>
                    <w:r>
                      <w:rPr>
                        <w:rFonts w:ascii="Times New Roman"/>
                        <w:i/>
                        <w:color w:val="484848"/>
                        <w:sz w:val="16"/>
                      </w:rPr>
                      <w:t>Thetotal</w:t>
                    </w:r>
                    <w:r>
                      <w:rPr>
                        <w:rFonts w:ascii="Times New Roman"/>
                        <w:i/>
                        <w:color w:val="484848"/>
                        <w:spacing w:val="-15"/>
                        <w:sz w:val="16"/>
                      </w:rPr>
                      <w:t> </w:t>
                    </w:r>
                    <w:r>
                      <w:rPr>
                        <w:rFonts w:ascii="Times New Roman"/>
                        <w:i/>
                        <w:color w:val="484848"/>
                        <w:sz w:val="16"/>
                      </w:rPr>
                      <w:t>for</w:t>
                    </w:r>
                    <w:r>
                      <w:rPr>
                        <w:rFonts w:ascii="Times New Roman"/>
                        <w:i/>
                        <w:color w:val="484848"/>
                        <w:spacing w:val="-18"/>
                        <w:sz w:val="16"/>
                      </w:rPr>
                      <w:t> </w:t>
                    </w:r>
                    <w:r>
                      <w:rPr>
                        <w:rFonts w:ascii="Times New Roman"/>
                        <w:i/>
                        <w:color w:val="363636"/>
                        <w:sz w:val="16"/>
                      </w:rPr>
                      <w:t>2006</w:t>
                    </w:r>
                    <w:r>
                      <w:rPr>
                        <w:rFonts w:ascii="Times New Roman"/>
                        <w:i/>
                        <w:color w:val="363636"/>
                        <w:spacing w:val="-13"/>
                        <w:sz w:val="16"/>
                      </w:rPr>
                      <w:t> </w:t>
                    </w:r>
                    <w:r>
                      <w:rPr>
                        <w:rFonts w:ascii="Times New Roman"/>
                        <w:i/>
                        <w:color w:val="363636"/>
                        <w:sz w:val="16"/>
                      </w:rPr>
                      <w:t>isdivided between</w:t>
                    </w:r>
                    <w:r>
                      <w:rPr>
                        <w:rFonts w:ascii="Times New Roman"/>
                        <w:i/>
                        <w:color w:val="363636"/>
                        <w:spacing w:val="-21"/>
                        <w:sz w:val="16"/>
                      </w:rPr>
                      <w:t> </w:t>
                    </w:r>
                    <w:r>
                      <w:rPr>
                        <w:rFonts w:ascii="Times New Roman"/>
                        <w:i/>
                        <w:color w:val="363636"/>
                        <w:sz w:val="16"/>
                      </w:rPr>
                      <w:t>"Unrestricted</w:t>
                    </w:r>
                    <w:r>
                      <w:rPr>
                        <w:rFonts w:ascii="Times New Roman"/>
                        <w:i/>
                        <w:color w:val="363636"/>
                        <w:spacing w:val="-5"/>
                        <w:sz w:val="16"/>
                      </w:rPr>
                      <w:t> </w:t>
                    </w:r>
                    <w:r>
                      <w:rPr>
                        <w:rFonts w:ascii="Times New Roman"/>
                        <w:i/>
                        <w:color w:val="484848"/>
                        <w:sz w:val="16"/>
                      </w:rPr>
                      <w:t>income</w:t>
                    </w:r>
                    <w:r>
                      <w:rPr>
                        <w:rFonts w:ascii="Times New Roman"/>
                        <w:i/>
                        <w:color w:val="484848"/>
                        <w:spacing w:val="-21"/>
                        <w:sz w:val="16"/>
                      </w:rPr>
                      <w:t> </w:t>
                    </w:r>
                    <w:r>
                      <w:rPr>
                        <w:rFonts w:ascii="Times New Roman"/>
                        <w:i/>
                        <w:color w:val="484848"/>
                        <w:sz w:val="16"/>
                      </w:rPr>
                      <w:t>funds"</w:t>
                    </w:r>
                    <w:r>
                      <w:rPr>
                        <w:rFonts w:ascii="Times New Roman"/>
                        <w:i/>
                        <w:color w:val="484848"/>
                        <w:spacing w:val="-19"/>
                        <w:sz w:val="16"/>
                      </w:rPr>
                      <w:t> </w:t>
                    </w:r>
                    <w:r>
                      <w:rPr>
                        <w:rFonts w:ascii="Times New Roman"/>
                        <w:i/>
                        <w:color w:val="363636"/>
                        <w:sz w:val="16"/>
                      </w:rPr>
                      <w:t>which</w:t>
                    </w:r>
                    <w:r>
                      <w:rPr>
                        <w:rFonts w:ascii="Times New Roman"/>
                        <w:i/>
                        <w:color w:val="363636"/>
                        <w:spacing w:val="-21"/>
                        <w:sz w:val="16"/>
                      </w:rPr>
                      <w:t> </w:t>
                    </w:r>
                    <w:r>
                      <w:rPr>
                        <w:rFonts w:ascii="Times New Roman"/>
                        <w:i/>
                        <w:color w:val="363636"/>
                        <w:sz w:val="16"/>
                      </w:rPr>
                      <w:t>are</w:t>
                    </w:r>
                    <w:r>
                      <w:rPr>
                        <w:rFonts w:ascii="Times New Roman"/>
                        <w:i/>
                        <w:color w:val="363636"/>
                        <w:spacing w:val="-21"/>
                        <w:sz w:val="16"/>
                      </w:rPr>
                      <w:t> </w:t>
                    </w:r>
                    <w:r>
                      <w:rPr>
                        <w:rFonts w:ascii="Times New Roman"/>
                        <w:i/>
                        <w:color w:val="363636"/>
                        <w:sz w:val="16"/>
                      </w:rPr>
                      <w:t>available</w:t>
                    </w:r>
                    <w:r>
                      <w:rPr>
                        <w:rFonts w:ascii="Times New Roman"/>
                        <w:i/>
                        <w:color w:val="363636"/>
                        <w:spacing w:val="-11"/>
                        <w:sz w:val="16"/>
                      </w:rPr>
                      <w:t> </w:t>
                    </w:r>
                    <w:r>
                      <w:rPr>
                        <w:rFonts w:ascii="Times New Roman"/>
                        <w:i/>
                        <w:color w:val="363636"/>
                        <w:sz w:val="16"/>
                      </w:rPr>
                      <w:t>for</w:t>
                    </w:r>
                    <w:r>
                      <w:rPr>
                        <w:rFonts w:ascii="Times New Roman"/>
                        <w:i/>
                        <w:color w:val="363636"/>
                        <w:spacing w:val="-26"/>
                        <w:sz w:val="16"/>
                      </w:rPr>
                      <w:t> </w:t>
                    </w:r>
                    <w:r>
                      <w:rPr>
                        <w:rFonts w:ascii="Times New Roman"/>
                        <w:i/>
                        <w:color w:val="484848"/>
                        <w:sz w:val="16"/>
                      </w:rPr>
                      <w:t>the</w:t>
                    </w:r>
                    <w:r>
                      <w:rPr>
                        <w:rFonts w:ascii="Times New Roman"/>
                        <w:i/>
                        <w:color w:val="484848"/>
                        <w:spacing w:val="-23"/>
                        <w:sz w:val="16"/>
                      </w:rPr>
                      <w:t> </w:t>
                    </w:r>
                    <w:r>
                      <w:rPr>
                        <w:rFonts w:ascii="Times New Roman"/>
                        <w:i/>
                        <w:color w:val="484848"/>
                        <w:sz w:val="16"/>
                      </w:rPr>
                      <w:t>general</w:t>
                    </w:r>
                    <w:r>
                      <w:rPr>
                        <w:rFonts w:ascii="Times New Roman"/>
                        <w:i/>
                        <w:color w:val="484848"/>
                        <w:spacing w:val="-18"/>
                        <w:sz w:val="16"/>
                      </w:rPr>
                      <w:t> </w:t>
                    </w:r>
                    <w:r>
                      <w:rPr>
                        <w:rFonts w:ascii="Times New Roman"/>
                        <w:i/>
                        <w:color w:val="363636"/>
                        <w:sz w:val="16"/>
                      </w:rPr>
                      <w:t>purposes</w:t>
                    </w:r>
                    <w:r>
                      <w:rPr>
                        <w:rFonts w:ascii="Times New Roman"/>
                        <w:i/>
                        <w:color w:val="363636"/>
                        <w:spacing w:val="-16"/>
                        <w:sz w:val="16"/>
                      </w:rPr>
                      <w:t> </w:t>
                    </w:r>
                    <w:r>
                      <w:rPr>
                        <w:rFonts w:ascii="Times New Roman"/>
                        <w:i/>
                        <w:color w:val="363636"/>
                        <w:sz w:val="16"/>
                      </w:rPr>
                      <w:t>of</w:t>
                    </w:r>
                    <w:r>
                      <w:rPr>
                        <w:rFonts w:ascii="Times New Roman"/>
                        <w:i/>
                        <w:color w:val="363636"/>
                        <w:spacing w:val="-26"/>
                        <w:sz w:val="16"/>
                      </w:rPr>
                      <w:t> </w:t>
                    </w:r>
                    <w:r>
                      <w:rPr>
                        <w:rFonts w:ascii="Times New Roman"/>
                        <w:i/>
                        <w:color w:val="484848"/>
                        <w:sz w:val="16"/>
                      </w:rPr>
                      <w:t>the</w:t>
                    </w:r>
                    <w:r>
                      <w:rPr>
                        <w:rFonts w:ascii="Times New Roman"/>
                        <w:i/>
                        <w:color w:val="484848"/>
                        <w:spacing w:val="-27"/>
                        <w:sz w:val="16"/>
                      </w:rPr>
                      <w:t> </w:t>
                    </w:r>
                    <w:r>
                      <w:rPr>
                        <w:rFonts w:ascii="Times New Roman"/>
                        <w:i/>
                        <w:color w:val="484848"/>
                        <w:sz w:val="16"/>
                      </w:rPr>
                      <w:t>Church, "Restricted</w:t>
                    </w:r>
                    <w:r>
                      <w:rPr>
                        <w:rFonts w:ascii="Times New Roman"/>
                        <w:i/>
                        <w:color w:val="484848"/>
                        <w:spacing w:val="-10"/>
                        <w:sz w:val="16"/>
                      </w:rPr>
                      <w:t> </w:t>
                    </w:r>
                    <w:r>
                      <w:rPr>
                        <w:rFonts w:ascii="Times New Roman"/>
                        <w:i/>
                        <w:color w:val="484848"/>
                        <w:sz w:val="16"/>
                      </w:rPr>
                      <w:t>income</w:t>
                    </w:r>
                    <w:r>
                      <w:rPr>
                        <w:rFonts w:ascii="Times New Roman"/>
                        <w:i/>
                        <w:color w:val="484848"/>
                        <w:spacing w:val="-9"/>
                        <w:sz w:val="16"/>
                      </w:rPr>
                      <w:t> </w:t>
                    </w:r>
                    <w:r>
                      <w:rPr>
                        <w:rFonts w:ascii="Times New Roman"/>
                        <w:i/>
                        <w:color w:val="484848"/>
                        <w:sz w:val="16"/>
                      </w:rPr>
                      <w:t>funds"</w:t>
                    </w:r>
                    <w:r>
                      <w:rPr>
                        <w:rFonts w:ascii="Times New Roman"/>
                        <w:i/>
                        <w:color w:val="484848"/>
                        <w:spacing w:val="-12"/>
                        <w:sz w:val="16"/>
                      </w:rPr>
                      <w:t> </w:t>
                    </w:r>
                    <w:r>
                      <w:rPr>
                        <w:rFonts w:ascii="Times New Roman"/>
                        <w:i/>
                        <w:color w:val="484848"/>
                        <w:sz w:val="16"/>
                      </w:rPr>
                      <w:t>which</w:t>
                    </w:r>
                    <w:r>
                      <w:rPr>
                        <w:rFonts w:ascii="Times New Roman"/>
                        <w:i/>
                        <w:color w:val="484848"/>
                        <w:spacing w:val="-16"/>
                        <w:sz w:val="16"/>
                      </w:rPr>
                      <w:t> </w:t>
                    </w:r>
                    <w:r>
                      <w:rPr>
                        <w:rFonts w:ascii="Times New Roman"/>
                        <w:i/>
                        <w:color w:val="363636"/>
                        <w:sz w:val="16"/>
                      </w:rPr>
                      <w:t>may</w:t>
                    </w:r>
                    <w:r>
                      <w:rPr>
                        <w:rFonts w:ascii="Times New Roman"/>
                        <w:i/>
                        <w:color w:val="363636"/>
                        <w:spacing w:val="-23"/>
                        <w:sz w:val="16"/>
                      </w:rPr>
                      <w:t> </w:t>
                    </w:r>
                    <w:r>
                      <w:rPr>
                        <w:rFonts w:ascii="Times New Roman"/>
                        <w:i/>
                        <w:color w:val="484848"/>
                        <w:sz w:val="16"/>
                      </w:rPr>
                      <w:t>be</w:t>
                    </w:r>
                    <w:r>
                      <w:rPr>
                        <w:rFonts w:ascii="Times New Roman"/>
                        <w:i/>
                        <w:color w:val="484848"/>
                        <w:spacing w:val="-5"/>
                        <w:sz w:val="16"/>
                      </w:rPr>
                      <w:t> </w:t>
                    </w:r>
                    <w:r>
                      <w:rPr>
                        <w:rFonts w:ascii="Times New Roman"/>
                        <w:i/>
                        <w:color w:val="484848"/>
                        <w:sz w:val="16"/>
                      </w:rPr>
                      <w:t>spent</w:t>
                    </w:r>
                    <w:r>
                      <w:rPr>
                        <w:rFonts w:ascii="Times New Roman"/>
                        <w:i/>
                        <w:color w:val="484848"/>
                        <w:spacing w:val="-15"/>
                        <w:sz w:val="16"/>
                      </w:rPr>
                      <w:t> </w:t>
                    </w:r>
                    <w:r>
                      <w:rPr>
                        <w:rFonts w:ascii="Times New Roman"/>
                        <w:i/>
                        <w:color w:val="484848"/>
                        <w:sz w:val="16"/>
                      </w:rPr>
                      <w:t>for</w:t>
                    </w:r>
                    <w:r>
                      <w:rPr>
                        <w:rFonts w:ascii="Times New Roman"/>
                        <w:i/>
                        <w:color w:val="484848"/>
                        <w:spacing w:val="-15"/>
                        <w:sz w:val="16"/>
                      </w:rPr>
                      <w:t> </w:t>
                    </w:r>
                    <w:r>
                      <w:rPr>
                        <w:rFonts w:ascii="Times New Roman"/>
                        <w:i/>
                        <w:color w:val="484848"/>
                        <w:sz w:val="16"/>
                      </w:rPr>
                      <w:t>specific</w:t>
                    </w:r>
                    <w:r>
                      <w:rPr>
                        <w:rFonts w:ascii="Times New Roman"/>
                        <w:i/>
                        <w:color w:val="484848"/>
                        <w:spacing w:val="-20"/>
                        <w:sz w:val="16"/>
                      </w:rPr>
                      <w:t> </w:t>
                    </w:r>
                    <w:r>
                      <w:rPr>
                        <w:rFonts w:ascii="Times New Roman"/>
                        <w:i/>
                        <w:color w:val="484848"/>
                        <w:sz w:val="16"/>
                      </w:rPr>
                      <w:t>purposes</w:t>
                    </w:r>
                    <w:r>
                      <w:rPr>
                        <w:rFonts w:ascii="Times New Roman"/>
                        <w:i/>
                        <w:color w:val="484848"/>
                        <w:spacing w:val="-12"/>
                        <w:sz w:val="16"/>
                      </w:rPr>
                      <w:t> </w:t>
                    </w:r>
                    <w:r>
                      <w:rPr>
                        <w:rFonts w:ascii="Times New Roman"/>
                        <w:i/>
                        <w:color w:val="484848"/>
                        <w:sz w:val="16"/>
                      </w:rPr>
                      <w:t>only,</w:t>
                    </w:r>
                  </w:p>
                  <w:p>
                    <w:pPr>
                      <w:spacing w:line="178" w:lineRule="exact" w:before="0"/>
                      <w:ind w:left="609" w:right="624" w:firstLine="0"/>
                      <w:jc w:val="center"/>
                      <w:rPr>
                        <w:rFonts w:ascii="Times New Roman"/>
                        <w:i/>
                        <w:sz w:val="16"/>
                      </w:rPr>
                    </w:pPr>
                    <w:r>
                      <w:rPr>
                        <w:rFonts w:ascii="Times New Roman"/>
                        <w:i/>
                        <w:color w:val="484848"/>
                        <w:sz w:val="16"/>
                      </w:rPr>
                      <w:t>and </w:t>
                    </w:r>
                    <w:r>
                      <w:rPr>
                        <w:rFonts w:ascii="Times New Roman"/>
                        <w:i/>
                        <w:color w:val="363636"/>
                        <w:sz w:val="16"/>
                      </w:rPr>
                      <w:t>"Capita/funds" </w:t>
                    </w:r>
                    <w:r>
                      <w:rPr>
                        <w:rFonts w:ascii="Times New Roman"/>
                        <w:i/>
                        <w:color w:val="484848"/>
                        <w:sz w:val="16"/>
                      </w:rPr>
                      <w:t>which cannot be spent.</w:t>
                    </w:r>
                  </w:p>
                </w:txbxContent>
              </v:textbox>
              <w10:wrap type="none"/>
            </v:shape>
            <w10:wrap type="topAndBottom"/>
          </v:group>
        </w:pict>
      </w:r>
    </w:p>
    <w:p>
      <w:pPr>
        <w:spacing w:after="0"/>
        <w:rPr>
          <w:rFonts w:ascii="Times New Roman"/>
          <w:sz w:val="17"/>
        </w:rPr>
        <w:sectPr>
          <w:type w:val="continuous"/>
          <w:pgSz w:w="10950" w:h="15880"/>
          <w:pgMar w:top="680" w:bottom="280" w:left="500" w:right="0"/>
        </w:sectPr>
      </w:pPr>
    </w:p>
    <w:p>
      <w:pPr>
        <w:pStyle w:val="BodyText"/>
        <w:spacing w:before="62"/>
        <w:ind w:left="182"/>
        <w:rPr>
          <w:rFonts w:ascii="Times New Roman"/>
          <w:b/>
          <w:sz w:val="19"/>
        </w:rPr>
      </w:pPr>
      <w:r>
        <w:rPr>
          <w:rFonts w:ascii="Times New Roman"/>
          <w:color w:val="2A2A2A"/>
          <w:w w:val="105"/>
        </w:rPr>
        <w:t>ACCOUNTS page </w:t>
      </w:r>
      <w:r>
        <w:rPr>
          <w:rFonts w:ascii="Times New Roman"/>
          <w:b/>
          <w:w w:val="105"/>
          <w:sz w:val="19"/>
        </w:rPr>
        <w:t>1</w:t>
      </w:r>
      <w:r>
        <w:rPr>
          <w:rFonts w:ascii="Times New Roman"/>
          <w:b/>
          <w:color w:val="2A2A2A"/>
          <w:w w:val="105"/>
          <w:sz w:val="19"/>
        </w:rPr>
        <w:t>1</w:t>
      </w:r>
    </w:p>
    <w:p>
      <w:pPr>
        <w:pStyle w:val="BodyText"/>
        <w:spacing w:before="2"/>
        <w:rPr>
          <w:rFonts w:ascii="Times New Roman"/>
          <w:b/>
          <w:sz w:val="23"/>
        </w:rPr>
      </w:pPr>
    </w:p>
    <w:p>
      <w:pPr>
        <w:spacing w:before="93"/>
        <w:ind w:left="860" w:right="1233" w:firstLine="0"/>
        <w:jc w:val="center"/>
        <w:rPr>
          <w:rFonts w:ascii="Times New Roman"/>
          <w:b/>
          <w:sz w:val="19"/>
        </w:rPr>
      </w:pPr>
      <w:r>
        <w:rPr>
          <w:rFonts w:ascii="Times New Roman"/>
          <w:b/>
          <w:color w:val="2A2A2A"/>
          <w:w w:val="105"/>
          <w:sz w:val="19"/>
        </w:rPr>
        <w:t>BALANCE SHEET </w:t>
      </w:r>
      <w:r>
        <w:rPr>
          <w:rFonts w:ascii="Times New Roman"/>
          <w:b/>
          <w:color w:val="151515"/>
          <w:w w:val="105"/>
          <w:sz w:val="19"/>
        </w:rPr>
        <w:t>AS </w:t>
      </w:r>
      <w:r>
        <w:rPr>
          <w:rFonts w:ascii="Times New Roman"/>
          <w:b/>
          <w:color w:val="2A2A2A"/>
          <w:w w:val="105"/>
          <w:sz w:val="19"/>
        </w:rPr>
        <w:t>AT </w:t>
      </w:r>
      <w:r>
        <w:rPr>
          <w:rFonts w:ascii="Times New Roman"/>
          <w:b/>
          <w:color w:val="151515"/>
          <w:w w:val="105"/>
          <w:sz w:val="19"/>
        </w:rPr>
        <w:t>31 DECEMBER </w:t>
      </w:r>
      <w:r>
        <w:rPr>
          <w:rFonts w:ascii="Times New Roman"/>
          <w:b/>
          <w:color w:val="2A2A2A"/>
          <w:w w:val="105"/>
          <w:sz w:val="19"/>
        </w:rPr>
        <w:t>20</w:t>
      </w:r>
      <w:r>
        <w:rPr>
          <w:rFonts w:ascii="Times New Roman"/>
          <w:b/>
          <w:w w:val="105"/>
          <w:sz w:val="19"/>
        </w:rPr>
        <w:t>0</w:t>
      </w:r>
      <w:r>
        <w:rPr>
          <w:rFonts w:ascii="Times New Roman"/>
          <w:b/>
          <w:color w:val="2A2A2A"/>
          <w:w w:val="105"/>
          <w:sz w:val="19"/>
        </w:rPr>
        <w:t>6</w:t>
      </w:r>
    </w:p>
    <w:p>
      <w:pPr>
        <w:pStyle w:val="BodyText"/>
        <w:spacing w:before="9"/>
        <w:rPr>
          <w:rFonts w:ascii="Times New Roman"/>
          <w:b/>
          <w:sz w:val="22"/>
        </w:rPr>
      </w:pPr>
    </w:p>
    <w:p>
      <w:pPr>
        <w:tabs>
          <w:tab w:pos="5525" w:val="left" w:leader="none"/>
          <w:tab w:pos="6446" w:val="left" w:leader="none"/>
          <w:tab w:pos="7834" w:val="left" w:leader="none"/>
          <w:tab w:pos="9268" w:val="left" w:leader="none"/>
        </w:tabs>
        <w:spacing w:before="1"/>
        <w:ind w:left="670" w:right="0" w:firstLine="0"/>
        <w:jc w:val="left"/>
        <w:rPr>
          <w:rFonts w:ascii="Arial"/>
          <w:i/>
          <w:sz w:val="17"/>
        </w:rPr>
      </w:pPr>
      <w:r>
        <w:rPr>
          <w:rFonts w:ascii="Times New Roman"/>
          <w:b/>
          <w:i/>
          <w:color w:val="2A2A2A"/>
          <w:w w:val="105"/>
          <w:sz w:val="17"/>
        </w:rPr>
        <w:t>Total</w:t>
        <w:tab/>
      </w:r>
      <w:r>
        <w:rPr>
          <w:rFonts w:ascii="Times New Roman"/>
          <w:i/>
          <w:color w:val="2A2A2A"/>
          <w:w w:val="105"/>
          <w:sz w:val="17"/>
        </w:rPr>
        <w:t>Total</w:t>
        <w:tab/>
      </w:r>
      <w:r>
        <w:rPr>
          <w:rFonts w:ascii="Times New Roman"/>
          <w:b/>
          <w:i/>
          <w:color w:val="414141"/>
          <w:spacing w:val="-6"/>
          <w:w w:val="105"/>
          <w:sz w:val="17"/>
        </w:rPr>
        <w:t>Un</w:t>
      </w:r>
      <w:r>
        <w:rPr>
          <w:rFonts w:ascii="Times New Roman"/>
          <w:b/>
          <w:i/>
          <w:color w:val="151515"/>
          <w:spacing w:val="-6"/>
          <w:w w:val="105"/>
          <w:sz w:val="17"/>
        </w:rPr>
        <w:t>r</w:t>
      </w:r>
      <w:r>
        <w:rPr>
          <w:rFonts w:ascii="Times New Roman"/>
          <w:b/>
          <w:i/>
          <w:color w:val="414141"/>
          <w:spacing w:val="-6"/>
          <w:w w:val="105"/>
          <w:sz w:val="17"/>
        </w:rPr>
        <w:t>estricted</w:t>
        <w:tab/>
      </w:r>
      <w:r>
        <w:rPr>
          <w:rFonts w:ascii="Times New Roman"/>
          <w:i/>
          <w:color w:val="2A2A2A"/>
          <w:sz w:val="19"/>
        </w:rPr>
        <w:t>Restricted</w:t>
        <w:tab/>
      </w:r>
      <w:r>
        <w:rPr>
          <w:rFonts w:ascii="Arial"/>
          <w:i/>
          <w:color w:val="414141"/>
          <w:w w:val="105"/>
          <w:sz w:val="17"/>
        </w:rPr>
        <w:t>Capital</w:t>
      </w:r>
    </w:p>
    <w:p>
      <w:pPr>
        <w:tabs>
          <w:tab w:pos="4495" w:val="left" w:leader="none"/>
          <w:tab w:pos="5621" w:val="left" w:leader="none"/>
          <w:tab w:pos="6904" w:val="left" w:leader="none"/>
          <w:tab w:pos="8118" w:val="left" w:leader="none"/>
          <w:tab w:pos="9341" w:val="left" w:leader="none"/>
        </w:tabs>
        <w:spacing w:before="30"/>
        <w:ind w:left="767" w:right="0" w:firstLine="0"/>
        <w:jc w:val="left"/>
        <w:rPr>
          <w:rFonts w:ascii="Times New Roman"/>
          <w:b/>
          <w:i/>
          <w:sz w:val="17"/>
        </w:rPr>
      </w:pPr>
      <w:r>
        <w:rPr>
          <w:rFonts w:ascii="Times New Roman"/>
          <w:b/>
          <w:color w:val="2A2A2A"/>
          <w:w w:val="105"/>
          <w:position w:val="1"/>
          <w:sz w:val="16"/>
        </w:rPr>
        <w:t>2005</w:t>
        <w:tab/>
        <w:t>Notes</w:t>
        <w:tab/>
      </w:r>
      <w:r>
        <w:rPr>
          <w:rFonts w:ascii="Times New Roman"/>
          <w:color w:val="2A2A2A"/>
          <w:w w:val="105"/>
          <w:position w:val="1"/>
          <w:sz w:val="16"/>
        </w:rPr>
        <w:t>2006</w:t>
        <w:tab/>
      </w:r>
      <w:r>
        <w:rPr>
          <w:rFonts w:ascii="Times New Roman"/>
          <w:b/>
          <w:i/>
          <w:color w:val="2A2A2A"/>
          <w:w w:val="105"/>
          <w:position w:val="1"/>
          <w:sz w:val="17"/>
        </w:rPr>
        <w:t>Funds</w:t>
        <w:tab/>
        <w:t>Funds</w:t>
        <w:tab/>
      </w:r>
      <w:r>
        <w:rPr>
          <w:rFonts w:ascii="Times New Roman"/>
          <w:b/>
          <w:i/>
          <w:color w:val="2A2A2A"/>
          <w:w w:val="105"/>
          <w:sz w:val="17"/>
        </w:rPr>
        <w:t>Funds</w:t>
      </w:r>
    </w:p>
    <w:p>
      <w:pPr>
        <w:tabs>
          <w:tab w:pos="5571" w:val="left" w:leader="none"/>
          <w:tab w:pos="7044" w:val="left" w:leader="none"/>
          <w:tab w:pos="8258" w:val="left" w:leader="none"/>
          <w:tab w:pos="9471" w:val="left" w:leader="none"/>
        </w:tabs>
        <w:spacing w:before="26"/>
        <w:ind w:left="718" w:right="0" w:firstLine="0"/>
        <w:jc w:val="left"/>
        <w:rPr>
          <w:rFonts w:ascii="Times New Roman" w:hAnsi="Times New Roman"/>
          <w:sz w:val="16"/>
        </w:rPr>
      </w:pPr>
      <w:r>
        <w:rPr>
          <w:rFonts w:ascii="Times New Roman" w:hAnsi="Times New Roman"/>
          <w:color w:val="2A2A2A"/>
          <w:w w:val="110"/>
          <w:sz w:val="16"/>
        </w:rPr>
        <w:t>£'000</w:t>
        <w:tab/>
        <w:t>£'000</w:t>
        <w:tab/>
        <w:t>£'000</w:t>
        <w:tab/>
        <w:t>£'000</w:t>
        <w:tab/>
        <w:t>£'000</w:t>
      </w:r>
    </w:p>
    <w:p>
      <w:pPr>
        <w:spacing w:before="9"/>
        <w:ind w:left="596" w:right="0" w:firstLine="0"/>
        <w:jc w:val="left"/>
        <w:rPr>
          <w:rFonts w:ascii="Times New Roman"/>
          <w:sz w:val="17"/>
        </w:rPr>
      </w:pPr>
      <w:r>
        <w:rPr>
          <w:rFonts w:ascii="Times New Roman"/>
          <w:color w:val="414141"/>
          <w:sz w:val="17"/>
        </w:rPr>
        <w:t>restated</w:t>
      </w:r>
    </w:p>
    <w:p>
      <w:pPr>
        <w:spacing w:before="15" w:after="7"/>
        <w:ind w:left="1643" w:right="0" w:firstLine="0"/>
        <w:jc w:val="left"/>
        <w:rPr>
          <w:rFonts w:ascii="Times New Roman"/>
          <w:b/>
          <w:sz w:val="16"/>
        </w:rPr>
      </w:pPr>
      <w:r>
        <w:rPr>
          <w:rFonts w:ascii="Times New Roman"/>
          <w:b/>
          <w:color w:val="2A2A2A"/>
          <w:w w:val="95"/>
          <w:sz w:val="16"/>
        </w:rPr>
        <w:t>F</w:t>
      </w:r>
      <w:r>
        <w:rPr>
          <w:rFonts w:ascii="Times New Roman"/>
          <w:b/>
          <w:w w:val="95"/>
          <w:sz w:val="16"/>
        </w:rPr>
        <w:t>i</w:t>
      </w:r>
      <w:r>
        <w:rPr>
          <w:rFonts w:ascii="Times New Roman"/>
          <w:b/>
          <w:color w:val="2A2A2A"/>
          <w:w w:val="95"/>
          <w:sz w:val="16"/>
        </w:rPr>
        <w:t>JCed assets</w:t>
      </w: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9"/>
        <w:gridCol w:w="3077"/>
        <w:gridCol w:w="795"/>
        <w:gridCol w:w="973"/>
        <w:gridCol w:w="1846"/>
        <w:gridCol w:w="1254"/>
        <w:gridCol w:w="831"/>
      </w:tblGrid>
      <w:tr>
        <w:trPr>
          <w:trHeight w:val="187" w:hRule="atLeast"/>
        </w:trPr>
        <w:tc>
          <w:tcPr>
            <w:tcW w:w="949" w:type="dxa"/>
            <w:tcBorders>
              <w:bottom w:val="single" w:sz="12" w:space="0" w:color="000000"/>
            </w:tcBorders>
          </w:tcPr>
          <w:p>
            <w:pPr>
              <w:pStyle w:val="TableParagraph"/>
              <w:rPr>
                <w:sz w:val="12"/>
              </w:rPr>
            </w:pPr>
          </w:p>
        </w:tc>
        <w:tc>
          <w:tcPr>
            <w:tcW w:w="3077" w:type="dxa"/>
          </w:tcPr>
          <w:p>
            <w:pPr>
              <w:pStyle w:val="TableParagraph"/>
              <w:spacing w:line="167" w:lineRule="exact"/>
              <w:ind w:left="519"/>
              <w:rPr>
                <w:sz w:val="17"/>
              </w:rPr>
            </w:pPr>
            <w:r>
              <w:rPr>
                <w:color w:val="414141"/>
                <w:sz w:val="17"/>
              </w:rPr>
              <w:t>Tangible assets</w:t>
            </w:r>
          </w:p>
        </w:tc>
        <w:tc>
          <w:tcPr>
            <w:tcW w:w="795" w:type="dxa"/>
          </w:tcPr>
          <w:p>
            <w:pPr>
              <w:pStyle w:val="TableParagraph"/>
              <w:spacing w:line="167" w:lineRule="exact"/>
              <w:ind w:right="194"/>
              <w:jc w:val="right"/>
              <w:rPr>
                <w:sz w:val="17"/>
              </w:rPr>
            </w:pPr>
            <w:r>
              <w:rPr>
                <w:color w:val="414141"/>
                <w:w w:val="105"/>
                <w:sz w:val="17"/>
              </w:rPr>
              <w:t>11</w:t>
            </w:r>
          </w:p>
        </w:tc>
        <w:tc>
          <w:tcPr>
            <w:tcW w:w="4904" w:type="dxa"/>
            <w:gridSpan w:val="4"/>
          </w:tcPr>
          <w:p>
            <w:pPr>
              <w:pStyle w:val="TableParagraph"/>
              <w:rPr>
                <w:sz w:val="12"/>
              </w:rPr>
            </w:pPr>
          </w:p>
        </w:tc>
      </w:tr>
      <w:tr>
        <w:trPr>
          <w:trHeight w:val="184" w:hRule="atLeast"/>
        </w:trPr>
        <w:tc>
          <w:tcPr>
            <w:tcW w:w="949" w:type="dxa"/>
            <w:tcBorders>
              <w:top w:val="single" w:sz="12" w:space="0" w:color="000000"/>
              <w:left w:val="single" w:sz="4" w:space="0" w:color="000000"/>
              <w:right w:val="single" w:sz="12" w:space="0" w:color="000000"/>
            </w:tcBorders>
          </w:tcPr>
          <w:p>
            <w:pPr>
              <w:pStyle w:val="TableParagraph"/>
              <w:spacing w:line="157" w:lineRule="exact"/>
              <w:ind w:right="30"/>
              <w:jc w:val="right"/>
              <w:rPr>
                <w:sz w:val="16"/>
              </w:rPr>
            </w:pPr>
            <w:r>
              <w:rPr>
                <w:color w:val="414141"/>
                <w:w w:val="105"/>
                <w:sz w:val="16"/>
              </w:rPr>
              <w:t>25</w:t>
            </w:r>
            <w:r>
              <w:rPr>
                <w:color w:val="606060"/>
                <w:w w:val="105"/>
                <w:sz w:val="16"/>
              </w:rPr>
              <w:t>,</w:t>
            </w:r>
            <w:r>
              <w:rPr>
                <w:color w:val="414141"/>
                <w:w w:val="105"/>
                <w:sz w:val="16"/>
              </w:rPr>
              <w:t>915</w:t>
            </w:r>
          </w:p>
        </w:tc>
        <w:tc>
          <w:tcPr>
            <w:tcW w:w="3077" w:type="dxa"/>
            <w:tcBorders>
              <w:left w:val="single" w:sz="12" w:space="0" w:color="000000"/>
            </w:tcBorders>
          </w:tcPr>
          <w:p>
            <w:pPr>
              <w:pStyle w:val="TableParagraph"/>
              <w:spacing w:line="164" w:lineRule="exact"/>
              <w:ind w:left="506"/>
              <w:rPr>
                <w:sz w:val="17"/>
              </w:rPr>
            </w:pPr>
            <w:r>
              <w:rPr>
                <w:color w:val="414141"/>
                <w:sz w:val="17"/>
              </w:rPr>
              <w:t>Houses for </w:t>
            </w:r>
            <w:r>
              <w:rPr>
                <w:color w:val="2A2A2A"/>
                <w:sz w:val="17"/>
              </w:rPr>
              <w:t>retired </w:t>
            </w:r>
            <w:r>
              <w:rPr>
                <w:color w:val="414141"/>
                <w:sz w:val="17"/>
              </w:rPr>
              <w:t>ministers</w:t>
            </w:r>
          </w:p>
        </w:tc>
        <w:tc>
          <w:tcPr>
            <w:tcW w:w="795" w:type="dxa"/>
            <w:tcBorders>
              <w:right w:val="single" w:sz="12" w:space="0" w:color="000000"/>
            </w:tcBorders>
          </w:tcPr>
          <w:p>
            <w:pPr>
              <w:pStyle w:val="TableParagraph"/>
              <w:rPr>
                <w:sz w:val="12"/>
              </w:rPr>
            </w:pPr>
          </w:p>
        </w:tc>
        <w:tc>
          <w:tcPr>
            <w:tcW w:w="973" w:type="dxa"/>
            <w:tcBorders>
              <w:top w:val="single" w:sz="12" w:space="0" w:color="000000"/>
              <w:left w:val="single" w:sz="12" w:space="0" w:color="000000"/>
              <w:right w:val="single" w:sz="12" w:space="0" w:color="000000"/>
            </w:tcBorders>
          </w:tcPr>
          <w:p>
            <w:pPr>
              <w:pStyle w:val="TableParagraph"/>
              <w:spacing w:line="157" w:lineRule="exact"/>
              <w:ind w:right="60"/>
              <w:jc w:val="right"/>
              <w:rPr>
                <w:sz w:val="16"/>
              </w:rPr>
            </w:pPr>
            <w:r>
              <w:rPr>
                <w:color w:val="414141"/>
                <w:w w:val="90"/>
                <w:sz w:val="16"/>
              </w:rPr>
              <w:t>27</w:t>
            </w:r>
            <w:r>
              <w:rPr>
                <w:color w:val="606060"/>
                <w:w w:val="90"/>
                <w:sz w:val="16"/>
              </w:rPr>
              <w:t>,</w:t>
            </w:r>
            <w:r>
              <w:rPr>
                <w:color w:val="414141"/>
                <w:w w:val="90"/>
                <w:sz w:val="16"/>
              </w:rPr>
              <w:t>706</w:t>
            </w:r>
          </w:p>
        </w:tc>
        <w:tc>
          <w:tcPr>
            <w:tcW w:w="1846" w:type="dxa"/>
            <w:tcBorders>
              <w:left w:val="single" w:sz="12" w:space="0" w:color="000000"/>
            </w:tcBorders>
          </w:tcPr>
          <w:p>
            <w:pPr>
              <w:pStyle w:val="TableParagraph"/>
              <w:rPr>
                <w:sz w:val="10"/>
              </w:rPr>
            </w:pPr>
          </w:p>
        </w:tc>
        <w:tc>
          <w:tcPr>
            <w:tcW w:w="1254" w:type="dxa"/>
          </w:tcPr>
          <w:p>
            <w:pPr>
              <w:pStyle w:val="TableParagraph"/>
              <w:spacing w:line="157" w:lineRule="exact"/>
              <w:ind w:right="410"/>
              <w:jc w:val="right"/>
              <w:rPr>
                <w:sz w:val="16"/>
              </w:rPr>
            </w:pPr>
            <w:r>
              <w:rPr>
                <w:color w:val="414141"/>
                <w:w w:val="105"/>
                <w:sz w:val="16"/>
              </w:rPr>
              <w:t>27,347</w:t>
            </w:r>
          </w:p>
        </w:tc>
        <w:tc>
          <w:tcPr>
            <w:tcW w:w="831" w:type="dxa"/>
          </w:tcPr>
          <w:p>
            <w:pPr>
              <w:pStyle w:val="TableParagraph"/>
              <w:spacing w:line="157" w:lineRule="exact"/>
              <w:ind w:right="22"/>
              <w:jc w:val="right"/>
              <w:rPr>
                <w:sz w:val="16"/>
              </w:rPr>
            </w:pPr>
            <w:r>
              <w:rPr>
                <w:color w:val="414141"/>
                <w:w w:val="105"/>
                <w:sz w:val="16"/>
              </w:rPr>
              <w:t>359</w:t>
            </w:r>
          </w:p>
        </w:tc>
      </w:tr>
      <w:tr>
        <w:trPr>
          <w:trHeight w:val="197" w:hRule="atLeast"/>
        </w:trPr>
        <w:tc>
          <w:tcPr>
            <w:tcW w:w="949" w:type="dxa"/>
            <w:tcBorders>
              <w:left w:val="single" w:sz="4" w:space="0" w:color="000000"/>
              <w:right w:val="single" w:sz="12" w:space="0" w:color="000000"/>
            </w:tcBorders>
          </w:tcPr>
          <w:p>
            <w:pPr>
              <w:pStyle w:val="TableParagraph"/>
              <w:spacing w:line="173" w:lineRule="exact" w:before="5"/>
              <w:ind w:right="36"/>
              <w:jc w:val="right"/>
              <w:rPr>
                <w:sz w:val="16"/>
              </w:rPr>
            </w:pPr>
            <w:r>
              <w:rPr>
                <w:color w:val="414141"/>
                <w:w w:val="105"/>
                <w:sz w:val="16"/>
              </w:rPr>
              <w:t>5,106</w:t>
            </w:r>
          </w:p>
        </w:tc>
        <w:tc>
          <w:tcPr>
            <w:tcW w:w="3077" w:type="dxa"/>
            <w:tcBorders>
              <w:left w:val="single" w:sz="12" w:space="0" w:color="000000"/>
            </w:tcBorders>
          </w:tcPr>
          <w:p>
            <w:pPr>
              <w:pStyle w:val="TableParagraph"/>
              <w:spacing w:line="178" w:lineRule="exact"/>
              <w:ind w:left="506"/>
              <w:rPr>
                <w:sz w:val="17"/>
              </w:rPr>
            </w:pPr>
            <w:r>
              <w:rPr>
                <w:color w:val="414141"/>
                <w:sz w:val="17"/>
              </w:rPr>
              <w:t>Houses forserving </w:t>
            </w:r>
            <w:r>
              <w:rPr>
                <w:color w:val="2A2A2A"/>
                <w:sz w:val="17"/>
              </w:rPr>
              <w:t>ministers</w:t>
            </w:r>
          </w:p>
        </w:tc>
        <w:tc>
          <w:tcPr>
            <w:tcW w:w="795" w:type="dxa"/>
            <w:tcBorders>
              <w:right w:val="single" w:sz="12" w:space="0" w:color="000000"/>
            </w:tcBorders>
          </w:tcPr>
          <w:p>
            <w:pPr>
              <w:pStyle w:val="TableParagraph"/>
              <w:rPr>
                <w:sz w:val="12"/>
              </w:rPr>
            </w:pPr>
          </w:p>
        </w:tc>
        <w:tc>
          <w:tcPr>
            <w:tcW w:w="973" w:type="dxa"/>
            <w:tcBorders>
              <w:left w:val="single" w:sz="12" w:space="0" w:color="000000"/>
              <w:right w:val="single" w:sz="12" w:space="0" w:color="000000"/>
            </w:tcBorders>
          </w:tcPr>
          <w:p>
            <w:pPr>
              <w:pStyle w:val="TableParagraph"/>
              <w:spacing w:line="173" w:lineRule="exact" w:before="5"/>
              <w:ind w:right="60"/>
              <w:jc w:val="right"/>
              <w:rPr>
                <w:sz w:val="16"/>
              </w:rPr>
            </w:pPr>
            <w:r>
              <w:rPr>
                <w:color w:val="414141"/>
                <w:w w:val="90"/>
                <w:sz w:val="16"/>
              </w:rPr>
              <w:t>4</w:t>
            </w:r>
            <w:r>
              <w:rPr>
                <w:color w:val="606060"/>
                <w:w w:val="90"/>
                <w:sz w:val="16"/>
              </w:rPr>
              <w:t>,</w:t>
            </w:r>
            <w:r>
              <w:rPr>
                <w:color w:val="414141"/>
                <w:w w:val="90"/>
                <w:sz w:val="16"/>
              </w:rPr>
              <w:t>768</w:t>
            </w:r>
          </w:p>
        </w:tc>
        <w:tc>
          <w:tcPr>
            <w:tcW w:w="1846" w:type="dxa"/>
            <w:tcBorders>
              <w:left w:val="single" w:sz="12" w:space="0" w:color="000000"/>
            </w:tcBorders>
          </w:tcPr>
          <w:p>
            <w:pPr>
              <w:pStyle w:val="TableParagraph"/>
              <w:spacing w:line="173" w:lineRule="exact" w:before="5"/>
              <w:ind w:right="409"/>
              <w:jc w:val="right"/>
              <w:rPr>
                <w:sz w:val="16"/>
              </w:rPr>
            </w:pPr>
            <w:r>
              <w:rPr>
                <w:color w:val="414141"/>
                <w:w w:val="95"/>
                <w:sz w:val="16"/>
              </w:rPr>
              <w:t>4</w:t>
            </w:r>
            <w:r>
              <w:rPr>
                <w:color w:val="606060"/>
                <w:w w:val="95"/>
                <w:sz w:val="16"/>
              </w:rPr>
              <w:t>,</w:t>
            </w:r>
            <w:r>
              <w:rPr>
                <w:color w:val="414141"/>
                <w:w w:val="95"/>
                <w:sz w:val="16"/>
              </w:rPr>
              <w:t>768</w:t>
            </w:r>
          </w:p>
        </w:tc>
        <w:tc>
          <w:tcPr>
            <w:tcW w:w="1254" w:type="dxa"/>
          </w:tcPr>
          <w:p>
            <w:pPr>
              <w:pStyle w:val="TableParagraph"/>
              <w:rPr>
                <w:sz w:val="12"/>
              </w:rPr>
            </w:pPr>
          </w:p>
        </w:tc>
        <w:tc>
          <w:tcPr>
            <w:tcW w:w="831" w:type="dxa"/>
          </w:tcPr>
          <w:p>
            <w:pPr>
              <w:pStyle w:val="TableParagraph"/>
              <w:rPr>
                <w:sz w:val="12"/>
              </w:rPr>
            </w:pPr>
          </w:p>
        </w:tc>
      </w:tr>
      <w:tr>
        <w:trPr>
          <w:trHeight w:val="194" w:hRule="atLeast"/>
        </w:trPr>
        <w:tc>
          <w:tcPr>
            <w:tcW w:w="949" w:type="dxa"/>
            <w:tcBorders>
              <w:left w:val="single" w:sz="4" w:space="0" w:color="000000"/>
              <w:bottom w:val="single" w:sz="12" w:space="0" w:color="000000"/>
              <w:right w:val="single" w:sz="12" w:space="0" w:color="000000"/>
            </w:tcBorders>
          </w:tcPr>
          <w:p>
            <w:pPr>
              <w:pStyle w:val="TableParagraph"/>
              <w:spacing w:line="172" w:lineRule="exact" w:before="9"/>
              <w:ind w:right="38"/>
              <w:jc w:val="right"/>
              <w:rPr>
                <w:sz w:val="16"/>
              </w:rPr>
            </w:pPr>
            <w:r>
              <w:rPr>
                <w:color w:val="414141"/>
                <w:w w:val="105"/>
                <w:sz w:val="16"/>
              </w:rPr>
              <w:t>2,300</w:t>
            </w:r>
          </w:p>
        </w:tc>
        <w:tc>
          <w:tcPr>
            <w:tcW w:w="3077" w:type="dxa"/>
            <w:tcBorders>
              <w:left w:val="single" w:sz="12" w:space="0" w:color="000000"/>
            </w:tcBorders>
          </w:tcPr>
          <w:p>
            <w:pPr>
              <w:pStyle w:val="TableParagraph"/>
              <w:spacing w:line="174" w:lineRule="exact"/>
              <w:ind w:left="503"/>
              <w:rPr>
                <w:sz w:val="17"/>
              </w:rPr>
            </w:pPr>
            <w:r>
              <w:rPr>
                <w:color w:val="414141"/>
                <w:sz w:val="17"/>
              </w:rPr>
              <w:t>Otber </w:t>
            </w:r>
            <w:r>
              <w:rPr>
                <w:color w:val="2A2A2A"/>
                <w:sz w:val="17"/>
              </w:rPr>
              <w:t>properties</w:t>
            </w:r>
          </w:p>
        </w:tc>
        <w:tc>
          <w:tcPr>
            <w:tcW w:w="795" w:type="dxa"/>
            <w:tcBorders>
              <w:right w:val="single" w:sz="12" w:space="0" w:color="000000"/>
            </w:tcBorders>
          </w:tcPr>
          <w:p>
            <w:pPr>
              <w:pStyle w:val="TableParagraph"/>
              <w:rPr>
                <w:sz w:val="12"/>
              </w:rPr>
            </w:pPr>
          </w:p>
        </w:tc>
        <w:tc>
          <w:tcPr>
            <w:tcW w:w="973" w:type="dxa"/>
            <w:tcBorders>
              <w:left w:val="single" w:sz="12" w:space="0" w:color="000000"/>
              <w:bottom w:val="single" w:sz="12" w:space="0" w:color="000000"/>
              <w:right w:val="single" w:sz="12" w:space="0" w:color="000000"/>
            </w:tcBorders>
          </w:tcPr>
          <w:p>
            <w:pPr>
              <w:pStyle w:val="TableParagraph"/>
              <w:spacing w:line="182" w:lineRule="exact"/>
              <w:ind w:right="24"/>
              <w:jc w:val="right"/>
              <w:rPr>
                <w:sz w:val="16"/>
              </w:rPr>
            </w:pPr>
            <w:r>
              <w:rPr>
                <w:color w:val="414141"/>
                <w:w w:val="105"/>
                <w:sz w:val="16"/>
              </w:rPr>
              <w:t>2,248</w:t>
            </w:r>
          </w:p>
        </w:tc>
        <w:tc>
          <w:tcPr>
            <w:tcW w:w="1846" w:type="dxa"/>
            <w:tcBorders>
              <w:left w:val="single" w:sz="12" w:space="0" w:color="000000"/>
              <w:bottom w:val="single" w:sz="8" w:space="0" w:color="000000"/>
            </w:tcBorders>
          </w:tcPr>
          <w:p>
            <w:pPr>
              <w:pStyle w:val="TableParagraph"/>
              <w:spacing w:line="172" w:lineRule="exact" w:before="9"/>
              <w:ind w:right="374"/>
              <w:jc w:val="right"/>
              <w:rPr>
                <w:sz w:val="16"/>
              </w:rPr>
            </w:pPr>
            <w:r>
              <w:rPr>
                <w:color w:val="414141"/>
                <w:w w:val="105"/>
                <w:sz w:val="16"/>
              </w:rPr>
              <w:t>110</w:t>
            </w:r>
          </w:p>
        </w:tc>
        <w:tc>
          <w:tcPr>
            <w:tcW w:w="1254" w:type="dxa"/>
            <w:tcBorders>
              <w:bottom w:val="single" w:sz="8" w:space="0" w:color="000000"/>
            </w:tcBorders>
          </w:tcPr>
          <w:p>
            <w:pPr>
              <w:pStyle w:val="TableParagraph"/>
              <w:spacing w:line="172" w:lineRule="exact" w:before="9"/>
              <w:ind w:right="413"/>
              <w:jc w:val="right"/>
              <w:rPr>
                <w:sz w:val="16"/>
              </w:rPr>
            </w:pPr>
            <w:r>
              <w:rPr>
                <w:color w:val="414141"/>
                <w:w w:val="105"/>
                <w:sz w:val="16"/>
              </w:rPr>
              <w:t>1,231</w:t>
            </w:r>
          </w:p>
        </w:tc>
        <w:tc>
          <w:tcPr>
            <w:tcW w:w="831" w:type="dxa"/>
            <w:tcBorders>
              <w:bottom w:val="single" w:sz="8" w:space="0" w:color="000000"/>
            </w:tcBorders>
          </w:tcPr>
          <w:p>
            <w:pPr>
              <w:pStyle w:val="TableParagraph"/>
              <w:spacing w:line="162" w:lineRule="exact" w:before="19"/>
              <w:ind w:right="22"/>
              <w:jc w:val="right"/>
              <w:rPr>
                <w:sz w:val="16"/>
              </w:rPr>
            </w:pPr>
            <w:r>
              <w:rPr>
                <w:color w:val="414141"/>
                <w:w w:val="105"/>
                <w:sz w:val="16"/>
              </w:rPr>
              <w:t>907</w:t>
            </w:r>
          </w:p>
        </w:tc>
      </w:tr>
      <w:tr>
        <w:trPr>
          <w:trHeight w:val="180" w:hRule="atLeast"/>
        </w:trPr>
        <w:tc>
          <w:tcPr>
            <w:tcW w:w="949" w:type="dxa"/>
            <w:tcBorders>
              <w:top w:val="single" w:sz="12" w:space="0" w:color="000000"/>
              <w:left w:val="single" w:sz="4" w:space="0" w:color="000000"/>
              <w:right w:val="single" w:sz="12" w:space="0" w:color="000000"/>
            </w:tcBorders>
          </w:tcPr>
          <w:p>
            <w:pPr>
              <w:pStyle w:val="TableParagraph"/>
              <w:spacing w:line="153" w:lineRule="exact"/>
              <w:ind w:right="33"/>
              <w:jc w:val="right"/>
              <w:rPr>
                <w:sz w:val="16"/>
              </w:rPr>
            </w:pPr>
            <w:r>
              <w:rPr>
                <w:color w:val="414141"/>
                <w:w w:val="105"/>
                <w:sz w:val="16"/>
              </w:rPr>
              <w:t>33</w:t>
            </w:r>
            <w:r>
              <w:rPr>
                <w:color w:val="606060"/>
                <w:w w:val="105"/>
                <w:sz w:val="16"/>
              </w:rPr>
              <w:t>,</w:t>
            </w:r>
            <w:r>
              <w:rPr>
                <w:color w:val="414141"/>
                <w:w w:val="105"/>
                <w:sz w:val="16"/>
              </w:rPr>
              <w:t>321</w:t>
            </w:r>
          </w:p>
        </w:tc>
        <w:tc>
          <w:tcPr>
            <w:tcW w:w="3077" w:type="dxa"/>
            <w:tcBorders>
              <w:left w:val="single" w:sz="12" w:space="0" w:color="000000"/>
            </w:tcBorders>
          </w:tcPr>
          <w:p>
            <w:pPr>
              <w:pStyle w:val="TableParagraph"/>
              <w:spacing w:line="160" w:lineRule="exact"/>
              <w:ind w:left="504"/>
              <w:rPr>
                <w:sz w:val="17"/>
              </w:rPr>
            </w:pPr>
            <w:r>
              <w:rPr>
                <w:color w:val="414141"/>
                <w:sz w:val="17"/>
              </w:rPr>
              <w:t>Total </w:t>
            </w:r>
            <w:r>
              <w:rPr>
                <w:color w:val="2A2A2A"/>
                <w:sz w:val="17"/>
              </w:rPr>
              <w:t>properties</w:t>
            </w:r>
          </w:p>
        </w:tc>
        <w:tc>
          <w:tcPr>
            <w:tcW w:w="795" w:type="dxa"/>
            <w:tcBorders>
              <w:right w:val="single" w:sz="12" w:space="0" w:color="000000"/>
            </w:tcBorders>
          </w:tcPr>
          <w:p>
            <w:pPr>
              <w:pStyle w:val="TableParagraph"/>
              <w:rPr>
                <w:sz w:val="12"/>
              </w:rPr>
            </w:pPr>
          </w:p>
        </w:tc>
        <w:tc>
          <w:tcPr>
            <w:tcW w:w="973" w:type="dxa"/>
            <w:tcBorders>
              <w:top w:val="single" w:sz="12" w:space="0" w:color="000000"/>
              <w:left w:val="single" w:sz="12" w:space="0" w:color="000000"/>
              <w:right w:val="single" w:sz="12" w:space="0" w:color="000000"/>
            </w:tcBorders>
          </w:tcPr>
          <w:p>
            <w:pPr>
              <w:pStyle w:val="TableParagraph"/>
              <w:spacing w:line="153" w:lineRule="exact"/>
              <w:ind w:right="28"/>
              <w:jc w:val="right"/>
              <w:rPr>
                <w:sz w:val="16"/>
              </w:rPr>
            </w:pPr>
            <w:r>
              <w:rPr>
                <w:color w:val="414141"/>
                <w:w w:val="105"/>
                <w:sz w:val="16"/>
              </w:rPr>
              <w:t>34,722</w:t>
            </w:r>
          </w:p>
        </w:tc>
        <w:tc>
          <w:tcPr>
            <w:tcW w:w="1846" w:type="dxa"/>
            <w:tcBorders>
              <w:top w:val="single" w:sz="8" w:space="0" w:color="000000"/>
              <w:left w:val="single" w:sz="12" w:space="0" w:color="000000"/>
            </w:tcBorders>
          </w:tcPr>
          <w:p>
            <w:pPr>
              <w:pStyle w:val="TableParagraph"/>
              <w:spacing w:line="153" w:lineRule="exact"/>
              <w:ind w:right="381"/>
              <w:jc w:val="right"/>
              <w:rPr>
                <w:sz w:val="16"/>
              </w:rPr>
            </w:pPr>
            <w:r>
              <w:rPr>
                <w:color w:val="414141"/>
                <w:w w:val="105"/>
                <w:sz w:val="16"/>
              </w:rPr>
              <w:t>4</w:t>
            </w:r>
            <w:r>
              <w:rPr>
                <w:color w:val="606060"/>
                <w:w w:val="105"/>
                <w:sz w:val="16"/>
              </w:rPr>
              <w:t>,</w:t>
            </w:r>
            <w:r>
              <w:rPr>
                <w:color w:val="2A2A2A"/>
                <w:w w:val="105"/>
                <w:sz w:val="16"/>
              </w:rPr>
              <w:t>878</w:t>
            </w:r>
          </w:p>
        </w:tc>
        <w:tc>
          <w:tcPr>
            <w:tcW w:w="1254" w:type="dxa"/>
            <w:tcBorders>
              <w:top w:val="single" w:sz="8" w:space="0" w:color="000000"/>
            </w:tcBorders>
          </w:tcPr>
          <w:p>
            <w:pPr>
              <w:pStyle w:val="TableParagraph"/>
              <w:spacing w:line="153" w:lineRule="exact"/>
              <w:ind w:right="405"/>
              <w:jc w:val="right"/>
              <w:rPr>
                <w:sz w:val="16"/>
              </w:rPr>
            </w:pPr>
            <w:r>
              <w:rPr>
                <w:color w:val="414141"/>
                <w:w w:val="105"/>
                <w:sz w:val="16"/>
              </w:rPr>
              <w:t>28,578</w:t>
            </w:r>
          </w:p>
        </w:tc>
        <w:tc>
          <w:tcPr>
            <w:tcW w:w="831" w:type="dxa"/>
            <w:tcBorders>
              <w:top w:val="single" w:sz="8" w:space="0" w:color="000000"/>
            </w:tcBorders>
          </w:tcPr>
          <w:p>
            <w:pPr>
              <w:pStyle w:val="TableParagraph"/>
              <w:spacing w:line="153" w:lineRule="exact"/>
              <w:ind w:right="25"/>
              <w:jc w:val="right"/>
              <w:rPr>
                <w:sz w:val="16"/>
              </w:rPr>
            </w:pPr>
            <w:r>
              <w:rPr>
                <w:color w:val="414141"/>
                <w:sz w:val="16"/>
              </w:rPr>
              <w:t>1,266</w:t>
            </w:r>
          </w:p>
        </w:tc>
      </w:tr>
      <w:tr>
        <w:trPr>
          <w:trHeight w:val="201" w:hRule="atLeast"/>
        </w:trPr>
        <w:tc>
          <w:tcPr>
            <w:tcW w:w="949" w:type="dxa"/>
            <w:tcBorders>
              <w:left w:val="single" w:sz="4" w:space="0" w:color="000000"/>
              <w:bottom w:val="single" w:sz="12" w:space="0" w:color="000000"/>
              <w:right w:val="single" w:sz="12" w:space="0" w:color="000000"/>
            </w:tcBorders>
          </w:tcPr>
          <w:p>
            <w:pPr>
              <w:pStyle w:val="TableParagraph"/>
              <w:spacing w:line="172" w:lineRule="exact" w:before="9"/>
              <w:ind w:right="33"/>
              <w:jc w:val="right"/>
              <w:rPr>
                <w:sz w:val="16"/>
              </w:rPr>
            </w:pPr>
            <w:r>
              <w:rPr>
                <w:color w:val="414141"/>
                <w:w w:val="105"/>
                <w:sz w:val="16"/>
              </w:rPr>
              <w:t>337</w:t>
            </w:r>
          </w:p>
        </w:tc>
        <w:tc>
          <w:tcPr>
            <w:tcW w:w="3077" w:type="dxa"/>
            <w:tcBorders>
              <w:left w:val="single" w:sz="12" w:space="0" w:color="000000"/>
            </w:tcBorders>
          </w:tcPr>
          <w:p>
            <w:pPr>
              <w:pStyle w:val="TableParagraph"/>
              <w:spacing w:line="181" w:lineRule="exact"/>
              <w:ind w:left="503"/>
              <w:rPr>
                <w:sz w:val="17"/>
              </w:rPr>
            </w:pPr>
            <w:r>
              <w:rPr>
                <w:color w:val="414141"/>
                <w:sz w:val="17"/>
              </w:rPr>
              <w:t>Cars and equipment</w:t>
            </w:r>
          </w:p>
        </w:tc>
        <w:tc>
          <w:tcPr>
            <w:tcW w:w="795" w:type="dxa"/>
            <w:tcBorders>
              <w:right w:val="single" w:sz="12" w:space="0" w:color="000000"/>
            </w:tcBorders>
          </w:tcPr>
          <w:p>
            <w:pPr>
              <w:pStyle w:val="TableParagraph"/>
              <w:rPr>
                <w:sz w:val="14"/>
              </w:rPr>
            </w:pPr>
          </w:p>
        </w:tc>
        <w:tc>
          <w:tcPr>
            <w:tcW w:w="973" w:type="dxa"/>
            <w:tcBorders>
              <w:left w:val="single" w:sz="12" w:space="0" w:color="000000"/>
              <w:bottom w:val="single" w:sz="12" w:space="0" w:color="000000"/>
              <w:right w:val="single" w:sz="12" w:space="0" w:color="000000"/>
            </w:tcBorders>
          </w:tcPr>
          <w:p>
            <w:pPr>
              <w:pStyle w:val="TableParagraph"/>
              <w:spacing w:line="172" w:lineRule="exact" w:before="9"/>
              <w:ind w:right="19"/>
              <w:jc w:val="right"/>
              <w:rPr>
                <w:sz w:val="16"/>
              </w:rPr>
            </w:pPr>
            <w:r>
              <w:rPr>
                <w:color w:val="414141"/>
                <w:w w:val="110"/>
                <w:sz w:val="16"/>
              </w:rPr>
              <w:t>335</w:t>
            </w:r>
          </w:p>
        </w:tc>
        <w:tc>
          <w:tcPr>
            <w:tcW w:w="1846" w:type="dxa"/>
            <w:tcBorders>
              <w:left w:val="single" w:sz="12" w:space="0" w:color="000000"/>
              <w:bottom w:val="single" w:sz="12" w:space="0" w:color="000000"/>
            </w:tcBorders>
          </w:tcPr>
          <w:p>
            <w:pPr>
              <w:pStyle w:val="TableParagraph"/>
              <w:spacing w:line="172" w:lineRule="exact" w:before="9"/>
              <w:ind w:right="368"/>
              <w:jc w:val="right"/>
              <w:rPr>
                <w:sz w:val="16"/>
              </w:rPr>
            </w:pPr>
            <w:r>
              <w:rPr>
                <w:color w:val="414141"/>
                <w:w w:val="105"/>
                <w:sz w:val="16"/>
              </w:rPr>
              <w:t>271</w:t>
            </w:r>
          </w:p>
        </w:tc>
        <w:tc>
          <w:tcPr>
            <w:tcW w:w="1254" w:type="dxa"/>
            <w:tcBorders>
              <w:bottom w:val="single" w:sz="12" w:space="0" w:color="000000"/>
            </w:tcBorders>
          </w:tcPr>
          <w:p>
            <w:pPr>
              <w:pStyle w:val="TableParagraph"/>
              <w:spacing w:line="172" w:lineRule="exact" w:before="9"/>
              <w:ind w:right="413"/>
              <w:jc w:val="right"/>
              <w:rPr>
                <w:sz w:val="16"/>
              </w:rPr>
            </w:pPr>
            <w:r>
              <w:rPr>
                <w:color w:val="414141"/>
                <w:w w:val="105"/>
                <w:sz w:val="16"/>
              </w:rPr>
              <w:t>64</w:t>
            </w:r>
          </w:p>
        </w:tc>
        <w:tc>
          <w:tcPr>
            <w:tcW w:w="831" w:type="dxa"/>
            <w:tcBorders>
              <w:bottom w:val="single" w:sz="8" w:space="0" w:color="000000"/>
            </w:tcBorders>
          </w:tcPr>
          <w:p>
            <w:pPr>
              <w:pStyle w:val="TableParagraph"/>
              <w:rPr>
                <w:sz w:val="14"/>
              </w:rPr>
            </w:pPr>
          </w:p>
        </w:tc>
      </w:tr>
      <w:tr>
        <w:trPr>
          <w:trHeight w:val="171" w:hRule="atLeast"/>
        </w:trPr>
        <w:tc>
          <w:tcPr>
            <w:tcW w:w="949" w:type="dxa"/>
            <w:tcBorders>
              <w:top w:val="single" w:sz="12" w:space="0" w:color="000000"/>
            </w:tcBorders>
          </w:tcPr>
          <w:p>
            <w:pPr>
              <w:pStyle w:val="TableParagraph"/>
              <w:spacing w:line="152" w:lineRule="exact"/>
              <w:ind w:right="47"/>
              <w:jc w:val="right"/>
              <w:rPr>
                <w:sz w:val="16"/>
              </w:rPr>
            </w:pPr>
            <w:r>
              <w:rPr>
                <w:color w:val="414141"/>
                <w:w w:val="105"/>
                <w:sz w:val="16"/>
              </w:rPr>
              <w:t>33,658</w:t>
            </w:r>
          </w:p>
        </w:tc>
        <w:tc>
          <w:tcPr>
            <w:tcW w:w="3077" w:type="dxa"/>
          </w:tcPr>
          <w:p>
            <w:pPr>
              <w:pStyle w:val="TableParagraph"/>
              <w:rPr>
                <w:sz w:val="10"/>
              </w:rPr>
            </w:pPr>
          </w:p>
        </w:tc>
        <w:tc>
          <w:tcPr>
            <w:tcW w:w="795" w:type="dxa"/>
          </w:tcPr>
          <w:p>
            <w:pPr>
              <w:pStyle w:val="TableParagraph"/>
              <w:rPr>
                <w:sz w:val="10"/>
              </w:rPr>
            </w:pPr>
          </w:p>
        </w:tc>
        <w:tc>
          <w:tcPr>
            <w:tcW w:w="973" w:type="dxa"/>
            <w:tcBorders>
              <w:top w:val="single" w:sz="12" w:space="0" w:color="000000"/>
            </w:tcBorders>
          </w:tcPr>
          <w:p>
            <w:pPr>
              <w:pStyle w:val="TableParagraph"/>
              <w:spacing w:line="152" w:lineRule="exact"/>
              <w:ind w:right="43"/>
              <w:jc w:val="right"/>
              <w:rPr>
                <w:sz w:val="16"/>
              </w:rPr>
            </w:pPr>
            <w:r>
              <w:rPr>
                <w:color w:val="414141"/>
                <w:w w:val="105"/>
                <w:sz w:val="16"/>
              </w:rPr>
              <w:t>35,057</w:t>
            </w:r>
          </w:p>
        </w:tc>
        <w:tc>
          <w:tcPr>
            <w:tcW w:w="1846" w:type="dxa"/>
            <w:tcBorders>
              <w:top w:val="single" w:sz="12" w:space="0" w:color="000000"/>
            </w:tcBorders>
          </w:tcPr>
          <w:p>
            <w:pPr>
              <w:pStyle w:val="TableParagraph"/>
              <w:spacing w:line="152" w:lineRule="exact"/>
              <w:ind w:right="377"/>
              <w:jc w:val="right"/>
              <w:rPr>
                <w:sz w:val="16"/>
              </w:rPr>
            </w:pPr>
            <w:r>
              <w:rPr>
                <w:color w:val="414141"/>
                <w:w w:val="105"/>
                <w:sz w:val="16"/>
              </w:rPr>
              <w:t>5,149</w:t>
            </w:r>
          </w:p>
        </w:tc>
        <w:tc>
          <w:tcPr>
            <w:tcW w:w="1254" w:type="dxa"/>
            <w:tcBorders>
              <w:top w:val="single" w:sz="12" w:space="0" w:color="000000"/>
            </w:tcBorders>
          </w:tcPr>
          <w:p>
            <w:pPr>
              <w:pStyle w:val="TableParagraph"/>
              <w:spacing w:line="152" w:lineRule="exact"/>
              <w:ind w:right="410"/>
              <w:jc w:val="right"/>
              <w:rPr>
                <w:sz w:val="16"/>
              </w:rPr>
            </w:pPr>
            <w:r>
              <w:rPr>
                <w:color w:val="414141"/>
                <w:w w:val="105"/>
                <w:sz w:val="16"/>
              </w:rPr>
              <w:t>28,642</w:t>
            </w:r>
          </w:p>
        </w:tc>
        <w:tc>
          <w:tcPr>
            <w:tcW w:w="831" w:type="dxa"/>
            <w:tcBorders>
              <w:top w:val="single" w:sz="8" w:space="0" w:color="000000"/>
            </w:tcBorders>
          </w:tcPr>
          <w:p>
            <w:pPr>
              <w:pStyle w:val="TableParagraph"/>
              <w:spacing w:line="152" w:lineRule="exact"/>
              <w:ind w:right="23"/>
              <w:jc w:val="right"/>
              <w:rPr>
                <w:sz w:val="16"/>
              </w:rPr>
            </w:pPr>
            <w:r>
              <w:rPr>
                <w:color w:val="414141"/>
                <w:w w:val="105"/>
                <w:sz w:val="16"/>
              </w:rPr>
              <w:t>1,266</w:t>
            </w:r>
          </w:p>
        </w:tc>
      </w:tr>
      <w:tr>
        <w:trPr>
          <w:trHeight w:val="408" w:hRule="atLeast"/>
        </w:trPr>
        <w:tc>
          <w:tcPr>
            <w:tcW w:w="949" w:type="dxa"/>
          </w:tcPr>
          <w:p>
            <w:pPr>
              <w:pStyle w:val="TableParagraph"/>
              <w:spacing w:before="5"/>
              <w:rPr>
                <w:b/>
                <w:sz w:val="18"/>
              </w:rPr>
            </w:pPr>
          </w:p>
          <w:p>
            <w:pPr>
              <w:pStyle w:val="TableParagraph"/>
              <w:spacing w:line="176" w:lineRule="exact"/>
              <w:ind w:right="53"/>
              <w:jc w:val="right"/>
              <w:rPr>
                <w:sz w:val="16"/>
              </w:rPr>
            </w:pPr>
            <w:r>
              <w:rPr>
                <w:color w:val="414141"/>
                <w:sz w:val="16"/>
              </w:rPr>
              <w:t>19,930</w:t>
            </w:r>
          </w:p>
        </w:tc>
        <w:tc>
          <w:tcPr>
            <w:tcW w:w="3077" w:type="dxa"/>
          </w:tcPr>
          <w:p>
            <w:pPr>
              <w:pStyle w:val="TableParagraph"/>
              <w:spacing w:before="1"/>
              <w:ind w:left="510"/>
              <w:rPr>
                <w:sz w:val="17"/>
              </w:rPr>
            </w:pPr>
            <w:r>
              <w:rPr>
                <w:color w:val="2A2A2A"/>
                <w:sz w:val="17"/>
              </w:rPr>
              <w:t>Investments </w:t>
            </w:r>
            <w:r>
              <w:rPr>
                <w:color w:val="414141"/>
                <w:sz w:val="17"/>
              </w:rPr>
              <w:t>and </w:t>
            </w:r>
            <w:r>
              <w:rPr>
                <w:color w:val="2A2A2A"/>
                <w:sz w:val="17"/>
              </w:rPr>
              <w:t>loans</w:t>
            </w:r>
          </w:p>
          <w:p>
            <w:pPr>
              <w:pStyle w:val="TableParagraph"/>
              <w:spacing w:line="186" w:lineRule="exact" w:before="6"/>
              <w:ind w:left="510"/>
              <w:rPr>
                <w:sz w:val="17"/>
              </w:rPr>
            </w:pPr>
            <w:r>
              <w:rPr>
                <w:color w:val="2A2A2A"/>
                <w:sz w:val="17"/>
              </w:rPr>
              <w:t>Investments</w:t>
            </w:r>
          </w:p>
        </w:tc>
        <w:tc>
          <w:tcPr>
            <w:tcW w:w="795" w:type="dxa"/>
          </w:tcPr>
          <w:p>
            <w:pPr>
              <w:pStyle w:val="TableParagraph"/>
              <w:spacing w:before="5"/>
              <w:rPr>
                <w:b/>
                <w:sz w:val="18"/>
              </w:rPr>
            </w:pPr>
          </w:p>
          <w:p>
            <w:pPr>
              <w:pStyle w:val="TableParagraph"/>
              <w:spacing w:line="176" w:lineRule="exact"/>
              <w:ind w:right="216"/>
              <w:jc w:val="right"/>
              <w:rPr>
                <w:sz w:val="16"/>
              </w:rPr>
            </w:pPr>
            <w:r>
              <w:rPr>
                <w:color w:val="2A2A2A"/>
                <w:w w:val="95"/>
                <w:sz w:val="16"/>
              </w:rPr>
              <w:t>12</w:t>
            </w:r>
          </w:p>
        </w:tc>
        <w:tc>
          <w:tcPr>
            <w:tcW w:w="973" w:type="dxa"/>
          </w:tcPr>
          <w:p>
            <w:pPr>
              <w:pStyle w:val="TableParagraph"/>
              <w:spacing w:before="5"/>
              <w:rPr>
                <w:b/>
                <w:sz w:val="18"/>
              </w:rPr>
            </w:pPr>
          </w:p>
          <w:p>
            <w:pPr>
              <w:pStyle w:val="TableParagraph"/>
              <w:spacing w:line="176" w:lineRule="exact"/>
              <w:ind w:right="40"/>
              <w:jc w:val="right"/>
              <w:rPr>
                <w:sz w:val="16"/>
              </w:rPr>
            </w:pPr>
            <w:r>
              <w:rPr>
                <w:color w:val="414141"/>
                <w:w w:val="105"/>
                <w:sz w:val="16"/>
              </w:rPr>
              <w:t>21,995</w:t>
            </w:r>
          </w:p>
        </w:tc>
        <w:tc>
          <w:tcPr>
            <w:tcW w:w="1846" w:type="dxa"/>
          </w:tcPr>
          <w:p>
            <w:pPr>
              <w:pStyle w:val="TableParagraph"/>
              <w:spacing w:before="5"/>
              <w:rPr>
                <w:b/>
                <w:sz w:val="18"/>
              </w:rPr>
            </w:pPr>
          </w:p>
          <w:p>
            <w:pPr>
              <w:pStyle w:val="TableParagraph"/>
              <w:spacing w:line="176" w:lineRule="exact"/>
              <w:ind w:right="377"/>
              <w:jc w:val="right"/>
              <w:rPr>
                <w:sz w:val="16"/>
              </w:rPr>
            </w:pPr>
            <w:r>
              <w:rPr>
                <w:color w:val="414141"/>
                <w:w w:val="105"/>
                <w:sz w:val="16"/>
              </w:rPr>
              <w:t>5,557</w:t>
            </w:r>
          </w:p>
        </w:tc>
        <w:tc>
          <w:tcPr>
            <w:tcW w:w="1254" w:type="dxa"/>
          </w:tcPr>
          <w:p>
            <w:pPr>
              <w:pStyle w:val="TableParagraph"/>
              <w:spacing w:before="5"/>
              <w:rPr>
                <w:b/>
                <w:sz w:val="18"/>
              </w:rPr>
            </w:pPr>
          </w:p>
          <w:p>
            <w:pPr>
              <w:pStyle w:val="TableParagraph"/>
              <w:spacing w:line="176" w:lineRule="exact"/>
              <w:ind w:right="415"/>
              <w:jc w:val="right"/>
              <w:rPr>
                <w:sz w:val="16"/>
              </w:rPr>
            </w:pPr>
            <w:r>
              <w:rPr>
                <w:color w:val="414141"/>
                <w:w w:val="105"/>
                <w:sz w:val="16"/>
              </w:rPr>
              <w:t>9</w:t>
            </w:r>
            <w:r>
              <w:rPr>
                <w:color w:val="606060"/>
                <w:w w:val="105"/>
                <w:sz w:val="16"/>
              </w:rPr>
              <w:t>,</w:t>
            </w:r>
            <w:r>
              <w:rPr>
                <w:color w:val="2A2A2A"/>
                <w:w w:val="105"/>
                <w:sz w:val="16"/>
              </w:rPr>
              <w:t>441</w:t>
            </w:r>
          </w:p>
        </w:tc>
        <w:tc>
          <w:tcPr>
            <w:tcW w:w="831" w:type="dxa"/>
          </w:tcPr>
          <w:p>
            <w:pPr>
              <w:pStyle w:val="TableParagraph"/>
              <w:spacing w:before="3"/>
              <w:rPr>
                <w:b/>
                <w:sz w:val="19"/>
              </w:rPr>
            </w:pPr>
          </w:p>
          <w:p>
            <w:pPr>
              <w:pStyle w:val="TableParagraph"/>
              <w:spacing w:line="167" w:lineRule="exact"/>
              <w:ind w:right="24"/>
              <w:jc w:val="right"/>
              <w:rPr>
                <w:sz w:val="16"/>
              </w:rPr>
            </w:pPr>
            <w:r>
              <w:rPr>
                <w:color w:val="2A2A2A"/>
                <w:w w:val="105"/>
                <w:sz w:val="16"/>
              </w:rPr>
              <w:t>6,997</w:t>
            </w:r>
          </w:p>
        </w:tc>
      </w:tr>
      <w:tr>
        <w:trPr>
          <w:trHeight w:val="198" w:hRule="atLeast"/>
        </w:trPr>
        <w:tc>
          <w:tcPr>
            <w:tcW w:w="949" w:type="dxa"/>
          </w:tcPr>
          <w:p>
            <w:pPr>
              <w:pStyle w:val="TableParagraph"/>
              <w:spacing w:line="178" w:lineRule="exact"/>
              <w:ind w:right="59"/>
              <w:jc w:val="right"/>
              <w:rPr>
                <w:sz w:val="16"/>
              </w:rPr>
            </w:pPr>
            <w:r>
              <w:rPr>
                <w:color w:val="414141"/>
                <w:w w:val="105"/>
                <w:sz w:val="16"/>
              </w:rPr>
              <w:t>224</w:t>
            </w:r>
          </w:p>
        </w:tc>
        <w:tc>
          <w:tcPr>
            <w:tcW w:w="3077" w:type="dxa"/>
          </w:tcPr>
          <w:p>
            <w:pPr>
              <w:pStyle w:val="TableParagraph"/>
              <w:spacing w:line="178" w:lineRule="exact"/>
              <w:ind w:left="521"/>
              <w:rPr>
                <w:sz w:val="17"/>
              </w:rPr>
            </w:pPr>
            <w:r>
              <w:rPr>
                <w:color w:val="2A2A2A"/>
                <w:sz w:val="17"/>
              </w:rPr>
              <w:t>Programme-related </w:t>
            </w:r>
            <w:r>
              <w:rPr>
                <w:color w:val="414141"/>
                <w:sz w:val="17"/>
              </w:rPr>
              <w:t>investments</w:t>
            </w:r>
          </w:p>
        </w:tc>
        <w:tc>
          <w:tcPr>
            <w:tcW w:w="795" w:type="dxa"/>
          </w:tcPr>
          <w:p>
            <w:pPr>
              <w:pStyle w:val="TableParagraph"/>
              <w:spacing w:line="178" w:lineRule="exact"/>
              <w:ind w:right="193"/>
              <w:jc w:val="right"/>
              <w:rPr>
                <w:sz w:val="17"/>
              </w:rPr>
            </w:pPr>
            <w:r>
              <w:rPr>
                <w:color w:val="414141"/>
                <w:sz w:val="17"/>
              </w:rPr>
              <w:t>13</w:t>
            </w:r>
          </w:p>
        </w:tc>
        <w:tc>
          <w:tcPr>
            <w:tcW w:w="973" w:type="dxa"/>
          </w:tcPr>
          <w:p>
            <w:pPr>
              <w:pStyle w:val="TableParagraph"/>
              <w:spacing w:line="178" w:lineRule="exact"/>
              <w:ind w:right="41"/>
              <w:jc w:val="right"/>
              <w:rPr>
                <w:sz w:val="16"/>
              </w:rPr>
            </w:pPr>
            <w:r>
              <w:rPr>
                <w:color w:val="2A2A2A"/>
                <w:w w:val="110"/>
                <w:sz w:val="16"/>
              </w:rPr>
              <w:t>224</w:t>
            </w:r>
          </w:p>
        </w:tc>
        <w:tc>
          <w:tcPr>
            <w:tcW w:w="1846" w:type="dxa"/>
          </w:tcPr>
          <w:p>
            <w:pPr>
              <w:pStyle w:val="TableParagraph"/>
              <w:spacing w:line="178" w:lineRule="exact"/>
              <w:ind w:right="375"/>
              <w:jc w:val="right"/>
              <w:rPr>
                <w:sz w:val="16"/>
              </w:rPr>
            </w:pPr>
            <w:r>
              <w:rPr>
                <w:color w:val="414141"/>
                <w:w w:val="105"/>
                <w:sz w:val="16"/>
              </w:rPr>
              <w:t>224</w:t>
            </w:r>
          </w:p>
        </w:tc>
        <w:tc>
          <w:tcPr>
            <w:tcW w:w="1254" w:type="dxa"/>
          </w:tcPr>
          <w:p>
            <w:pPr>
              <w:pStyle w:val="TableParagraph"/>
              <w:rPr>
                <w:sz w:val="12"/>
              </w:rPr>
            </w:pPr>
          </w:p>
        </w:tc>
        <w:tc>
          <w:tcPr>
            <w:tcW w:w="831" w:type="dxa"/>
          </w:tcPr>
          <w:p>
            <w:pPr>
              <w:pStyle w:val="TableParagraph"/>
              <w:rPr>
                <w:sz w:val="12"/>
              </w:rPr>
            </w:pPr>
          </w:p>
        </w:tc>
      </w:tr>
      <w:tr>
        <w:trPr>
          <w:trHeight w:val="201" w:hRule="atLeast"/>
        </w:trPr>
        <w:tc>
          <w:tcPr>
            <w:tcW w:w="949" w:type="dxa"/>
            <w:tcBorders>
              <w:bottom w:val="single" w:sz="12" w:space="0" w:color="000000"/>
            </w:tcBorders>
          </w:tcPr>
          <w:p>
            <w:pPr>
              <w:pStyle w:val="TableParagraph"/>
              <w:spacing w:line="172" w:lineRule="exact" w:before="9"/>
              <w:ind w:right="63"/>
              <w:jc w:val="right"/>
              <w:rPr>
                <w:sz w:val="16"/>
              </w:rPr>
            </w:pPr>
            <w:r>
              <w:rPr>
                <w:color w:val="414141"/>
                <w:w w:val="105"/>
                <w:sz w:val="16"/>
              </w:rPr>
              <w:t>4</w:t>
            </w:r>
            <w:r>
              <w:rPr>
                <w:color w:val="606060"/>
                <w:w w:val="105"/>
                <w:sz w:val="16"/>
              </w:rPr>
              <w:t>,</w:t>
            </w:r>
            <w:r>
              <w:rPr>
                <w:color w:val="414141"/>
                <w:w w:val="105"/>
                <w:sz w:val="16"/>
              </w:rPr>
              <w:t>655</w:t>
            </w:r>
          </w:p>
        </w:tc>
        <w:tc>
          <w:tcPr>
            <w:tcW w:w="3077" w:type="dxa"/>
          </w:tcPr>
          <w:p>
            <w:pPr>
              <w:pStyle w:val="TableParagraph"/>
              <w:spacing w:line="181" w:lineRule="exact"/>
              <w:ind w:left="511"/>
              <w:rPr>
                <w:sz w:val="17"/>
              </w:rPr>
            </w:pPr>
            <w:r>
              <w:rPr>
                <w:color w:val="414141"/>
                <w:sz w:val="17"/>
              </w:rPr>
              <w:t>Loans</w:t>
            </w:r>
            <w:r>
              <w:rPr>
                <w:color w:val="606060"/>
                <w:sz w:val="17"/>
              </w:rPr>
              <w:t>, </w:t>
            </w:r>
            <w:r>
              <w:rPr>
                <w:color w:val="414141"/>
                <w:sz w:val="17"/>
              </w:rPr>
              <w:t>including inter-fund </w:t>
            </w:r>
            <w:r>
              <w:rPr>
                <w:color w:val="2A2A2A"/>
                <w:sz w:val="17"/>
              </w:rPr>
              <w:t>loans</w:t>
            </w:r>
          </w:p>
        </w:tc>
        <w:tc>
          <w:tcPr>
            <w:tcW w:w="795" w:type="dxa"/>
          </w:tcPr>
          <w:p>
            <w:pPr>
              <w:pStyle w:val="TableParagraph"/>
              <w:spacing w:line="182" w:lineRule="exact"/>
              <w:ind w:right="202"/>
              <w:jc w:val="right"/>
              <w:rPr>
                <w:sz w:val="16"/>
              </w:rPr>
            </w:pPr>
            <w:r>
              <w:rPr>
                <w:color w:val="2A2A2A"/>
                <w:sz w:val="16"/>
              </w:rPr>
              <w:t>14</w:t>
            </w:r>
          </w:p>
        </w:tc>
        <w:tc>
          <w:tcPr>
            <w:tcW w:w="973" w:type="dxa"/>
            <w:tcBorders>
              <w:bottom w:val="single" w:sz="12" w:space="0" w:color="000000"/>
            </w:tcBorders>
          </w:tcPr>
          <w:p>
            <w:pPr>
              <w:pStyle w:val="TableParagraph"/>
              <w:spacing w:line="172" w:lineRule="exact" w:before="9"/>
              <w:ind w:right="44"/>
              <w:jc w:val="right"/>
              <w:rPr>
                <w:sz w:val="16"/>
              </w:rPr>
            </w:pPr>
            <w:r>
              <w:rPr>
                <w:color w:val="414141"/>
                <w:w w:val="105"/>
                <w:sz w:val="16"/>
              </w:rPr>
              <w:t>4,982</w:t>
            </w:r>
          </w:p>
        </w:tc>
        <w:tc>
          <w:tcPr>
            <w:tcW w:w="1846" w:type="dxa"/>
            <w:tcBorders>
              <w:bottom w:val="single" w:sz="12" w:space="0" w:color="000000"/>
            </w:tcBorders>
          </w:tcPr>
          <w:p>
            <w:pPr>
              <w:pStyle w:val="TableParagraph"/>
              <w:spacing w:line="172" w:lineRule="exact" w:before="9"/>
              <w:ind w:right="376"/>
              <w:jc w:val="right"/>
              <w:rPr>
                <w:sz w:val="16"/>
              </w:rPr>
            </w:pPr>
            <w:r>
              <w:rPr>
                <w:color w:val="414141"/>
                <w:w w:val="105"/>
                <w:sz w:val="16"/>
              </w:rPr>
              <w:t>3,134</w:t>
            </w:r>
          </w:p>
        </w:tc>
        <w:tc>
          <w:tcPr>
            <w:tcW w:w="1254" w:type="dxa"/>
            <w:tcBorders>
              <w:bottom w:val="single" w:sz="12" w:space="0" w:color="000000"/>
            </w:tcBorders>
          </w:tcPr>
          <w:p>
            <w:pPr>
              <w:pStyle w:val="TableParagraph"/>
              <w:spacing w:line="172" w:lineRule="exact" w:before="9"/>
              <w:ind w:right="412"/>
              <w:jc w:val="right"/>
              <w:rPr>
                <w:sz w:val="16"/>
              </w:rPr>
            </w:pPr>
            <w:r>
              <w:rPr>
                <w:color w:val="414141"/>
                <w:w w:val="105"/>
                <w:sz w:val="16"/>
              </w:rPr>
              <w:t>1</w:t>
            </w:r>
            <w:r>
              <w:rPr>
                <w:color w:val="606060"/>
                <w:w w:val="105"/>
                <w:sz w:val="16"/>
              </w:rPr>
              <w:t>,</w:t>
            </w:r>
            <w:r>
              <w:rPr>
                <w:color w:val="2A2A2A"/>
                <w:w w:val="105"/>
                <w:sz w:val="16"/>
              </w:rPr>
              <w:t>848</w:t>
            </w:r>
          </w:p>
        </w:tc>
        <w:tc>
          <w:tcPr>
            <w:tcW w:w="831" w:type="dxa"/>
            <w:tcBorders>
              <w:bottom w:val="single" w:sz="12" w:space="0" w:color="000000"/>
            </w:tcBorders>
          </w:tcPr>
          <w:p>
            <w:pPr>
              <w:pStyle w:val="TableParagraph"/>
              <w:rPr>
                <w:sz w:val="14"/>
              </w:rPr>
            </w:pPr>
          </w:p>
        </w:tc>
      </w:tr>
      <w:tr>
        <w:trPr>
          <w:trHeight w:val="277" w:hRule="atLeast"/>
        </w:trPr>
        <w:tc>
          <w:tcPr>
            <w:tcW w:w="949" w:type="dxa"/>
            <w:tcBorders>
              <w:top w:val="single" w:sz="12" w:space="0" w:color="000000"/>
            </w:tcBorders>
          </w:tcPr>
          <w:p>
            <w:pPr>
              <w:pStyle w:val="TableParagraph"/>
              <w:spacing w:line="164" w:lineRule="exact"/>
              <w:ind w:right="58"/>
              <w:jc w:val="right"/>
              <w:rPr>
                <w:sz w:val="16"/>
              </w:rPr>
            </w:pPr>
            <w:r>
              <w:rPr>
                <w:color w:val="414141"/>
                <w:w w:val="105"/>
                <w:sz w:val="16"/>
              </w:rPr>
              <w:t>58</w:t>
            </w:r>
            <w:r>
              <w:rPr>
                <w:color w:val="606060"/>
                <w:w w:val="105"/>
                <w:sz w:val="16"/>
              </w:rPr>
              <w:t>,</w:t>
            </w:r>
            <w:r>
              <w:rPr>
                <w:color w:val="414141"/>
                <w:w w:val="105"/>
                <w:sz w:val="16"/>
              </w:rPr>
              <w:t>467</w:t>
            </w:r>
          </w:p>
        </w:tc>
        <w:tc>
          <w:tcPr>
            <w:tcW w:w="3077" w:type="dxa"/>
          </w:tcPr>
          <w:p>
            <w:pPr>
              <w:pStyle w:val="TableParagraph"/>
              <w:rPr>
                <w:sz w:val="16"/>
              </w:rPr>
            </w:pPr>
          </w:p>
        </w:tc>
        <w:tc>
          <w:tcPr>
            <w:tcW w:w="795" w:type="dxa"/>
          </w:tcPr>
          <w:p>
            <w:pPr>
              <w:pStyle w:val="TableParagraph"/>
              <w:rPr>
                <w:sz w:val="16"/>
              </w:rPr>
            </w:pPr>
          </w:p>
        </w:tc>
        <w:tc>
          <w:tcPr>
            <w:tcW w:w="973" w:type="dxa"/>
            <w:tcBorders>
              <w:top w:val="single" w:sz="12" w:space="0" w:color="000000"/>
            </w:tcBorders>
          </w:tcPr>
          <w:p>
            <w:pPr>
              <w:pStyle w:val="TableParagraph"/>
              <w:spacing w:line="164" w:lineRule="exact"/>
              <w:ind w:right="4"/>
              <w:jc w:val="right"/>
              <w:rPr>
                <w:sz w:val="16"/>
              </w:rPr>
            </w:pPr>
            <w:r>
              <w:rPr>
                <w:color w:val="414141"/>
                <w:w w:val="105"/>
                <w:sz w:val="16"/>
              </w:rPr>
              <w:t>62</w:t>
            </w:r>
            <w:r>
              <w:rPr>
                <w:color w:val="606060"/>
                <w:w w:val="105"/>
                <w:sz w:val="16"/>
              </w:rPr>
              <w:t>,</w:t>
            </w:r>
            <w:r>
              <w:rPr>
                <w:color w:val="414141"/>
                <w:w w:val="105"/>
                <w:sz w:val="16"/>
              </w:rPr>
              <w:t>258</w:t>
            </w:r>
          </w:p>
        </w:tc>
        <w:tc>
          <w:tcPr>
            <w:tcW w:w="1846" w:type="dxa"/>
            <w:tcBorders>
              <w:top w:val="single" w:sz="12" w:space="0" w:color="000000"/>
            </w:tcBorders>
          </w:tcPr>
          <w:p>
            <w:pPr>
              <w:pStyle w:val="TableParagraph"/>
              <w:spacing w:line="164" w:lineRule="exact"/>
              <w:ind w:right="379"/>
              <w:jc w:val="right"/>
              <w:rPr>
                <w:sz w:val="16"/>
              </w:rPr>
            </w:pPr>
            <w:r>
              <w:rPr>
                <w:color w:val="414141"/>
                <w:sz w:val="16"/>
              </w:rPr>
              <w:t>14,064</w:t>
            </w:r>
          </w:p>
        </w:tc>
        <w:tc>
          <w:tcPr>
            <w:tcW w:w="1254" w:type="dxa"/>
            <w:tcBorders>
              <w:top w:val="single" w:sz="12" w:space="0" w:color="000000"/>
            </w:tcBorders>
          </w:tcPr>
          <w:p>
            <w:pPr>
              <w:pStyle w:val="TableParagraph"/>
              <w:spacing w:line="164" w:lineRule="exact"/>
              <w:ind w:right="424"/>
              <w:jc w:val="right"/>
              <w:rPr>
                <w:sz w:val="16"/>
              </w:rPr>
            </w:pPr>
            <w:r>
              <w:rPr>
                <w:color w:val="414141"/>
                <w:w w:val="105"/>
                <w:sz w:val="16"/>
              </w:rPr>
              <w:t>39</w:t>
            </w:r>
            <w:r>
              <w:rPr>
                <w:color w:val="606060"/>
                <w:w w:val="105"/>
                <w:sz w:val="16"/>
              </w:rPr>
              <w:t>,</w:t>
            </w:r>
            <w:r>
              <w:rPr>
                <w:color w:val="414141"/>
                <w:w w:val="105"/>
                <w:sz w:val="16"/>
              </w:rPr>
              <w:t>931</w:t>
            </w:r>
          </w:p>
        </w:tc>
        <w:tc>
          <w:tcPr>
            <w:tcW w:w="831" w:type="dxa"/>
            <w:tcBorders>
              <w:top w:val="single" w:sz="12" w:space="0" w:color="000000"/>
            </w:tcBorders>
          </w:tcPr>
          <w:p>
            <w:pPr>
              <w:pStyle w:val="TableParagraph"/>
              <w:spacing w:line="164" w:lineRule="exact"/>
              <w:ind w:right="38"/>
              <w:jc w:val="right"/>
              <w:rPr>
                <w:sz w:val="16"/>
              </w:rPr>
            </w:pPr>
            <w:r>
              <w:rPr>
                <w:color w:val="414141"/>
                <w:sz w:val="16"/>
              </w:rPr>
              <w:t>8</w:t>
            </w:r>
            <w:r>
              <w:rPr>
                <w:color w:val="606060"/>
                <w:sz w:val="16"/>
              </w:rPr>
              <w:t>,</w:t>
            </w:r>
            <w:r>
              <w:rPr>
                <w:color w:val="414141"/>
                <w:sz w:val="16"/>
              </w:rPr>
              <w:t>263</w:t>
            </w:r>
          </w:p>
        </w:tc>
      </w:tr>
      <w:tr>
        <w:trPr>
          <w:trHeight w:val="306" w:hRule="atLeast"/>
        </w:trPr>
        <w:tc>
          <w:tcPr>
            <w:tcW w:w="949" w:type="dxa"/>
          </w:tcPr>
          <w:p>
            <w:pPr>
              <w:pStyle w:val="TableParagraph"/>
              <w:rPr>
                <w:sz w:val="16"/>
              </w:rPr>
            </w:pPr>
          </w:p>
        </w:tc>
        <w:tc>
          <w:tcPr>
            <w:tcW w:w="3077" w:type="dxa"/>
          </w:tcPr>
          <w:p>
            <w:pPr>
              <w:pStyle w:val="TableParagraph"/>
              <w:spacing w:line="180" w:lineRule="exact" w:before="107"/>
              <w:ind w:left="517"/>
              <w:rPr>
                <w:b/>
                <w:sz w:val="16"/>
              </w:rPr>
            </w:pPr>
            <w:r>
              <w:rPr>
                <w:b/>
                <w:color w:val="2A2A2A"/>
                <w:w w:val="105"/>
                <w:sz w:val="16"/>
              </w:rPr>
              <w:t>Current assets</w:t>
            </w:r>
          </w:p>
        </w:tc>
        <w:tc>
          <w:tcPr>
            <w:tcW w:w="795" w:type="dxa"/>
          </w:tcPr>
          <w:p>
            <w:pPr>
              <w:pStyle w:val="TableParagraph"/>
              <w:rPr>
                <w:sz w:val="16"/>
              </w:rPr>
            </w:pPr>
          </w:p>
        </w:tc>
        <w:tc>
          <w:tcPr>
            <w:tcW w:w="973" w:type="dxa"/>
          </w:tcPr>
          <w:p>
            <w:pPr>
              <w:pStyle w:val="TableParagraph"/>
              <w:rPr>
                <w:sz w:val="16"/>
              </w:rPr>
            </w:pPr>
          </w:p>
        </w:tc>
        <w:tc>
          <w:tcPr>
            <w:tcW w:w="1846" w:type="dxa"/>
          </w:tcPr>
          <w:p>
            <w:pPr>
              <w:pStyle w:val="TableParagraph"/>
              <w:rPr>
                <w:sz w:val="16"/>
              </w:rPr>
            </w:pPr>
          </w:p>
        </w:tc>
        <w:tc>
          <w:tcPr>
            <w:tcW w:w="1254" w:type="dxa"/>
          </w:tcPr>
          <w:p>
            <w:pPr>
              <w:pStyle w:val="TableParagraph"/>
              <w:rPr>
                <w:sz w:val="16"/>
              </w:rPr>
            </w:pPr>
          </w:p>
        </w:tc>
        <w:tc>
          <w:tcPr>
            <w:tcW w:w="831" w:type="dxa"/>
          </w:tcPr>
          <w:p>
            <w:pPr>
              <w:pStyle w:val="TableParagraph"/>
              <w:rPr>
                <w:sz w:val="16"/>
              </w:rPr>
            </w:pPr>
          </w:p>
        </w:tc>
      </w:tr>
    </w:tbl>
    <w:p>
      <w:pPr>
        <w:spacing w:before="103"/>
        <w:ind w:left="0" w:right="510" w:firstLine="0"/>
        <w:jc w:val="right"/>
        <w:rPr>
          <w:rFonts w:ascii="Arial"/>
          <w:sz w:val="38"/>
        </w:rPr>
      </w:pPr>
      <w:r>
        <w:rPr/>
        <w:pict>
          <v:shape style="position:absolute;margin-left:33.223068pt;margin-top:-.602704pt;width:486.35pt;height:170.75pt;mso-position-horizontal-relative:page;mso-position-vertical-relative:paragraph;z-index:252109824"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3299"/>
                    <w:gridCol w:w="572"/>
                    <w:gridCol w:w="972"/>
                    <w:gridCol w:w="1820"/>
                    <w:gridCol w:w="1254"/>
                    <w:gridCol w:w="852"/>
                  </w:tblGrid>
                  <w:tr>
                    <w:trPr>
                      <w:trHeight w:val="172" w:hRule="atLeast"/>
                    </w:trPr>
                    <w:tc>
                      <w:tcPr>
                        <w:tcW w:w="944" w:type="dxa"/>
                        <w:tcBorders>
                          <w:top w:val="single" w:sz="12" w:space="0" w:color="000000"/>
                          <w:left w:val="single" w:sz="8" w:space="0" w:color="000000"/>
                          <w:right w:val="single" w:sz="12" w:space="0" w:color="000000"/>
                        </w:tcBorders>
                      </w:tcPr>
                      <w:p>
                        <w:pPr>
                          <w:pStyle w:val="TableParagraph"/>
                          <w:spacing w:line="152" w:lineRule="exact"/>
                          <w:ind w:right="45"/>
                          <w:jc w:val="right"/>
                          <w:rPr>
                            <w:sz w:val="16"/>
                          </w:rPr>
                        </w:pPr>
                        <w:r>
                          <w:rPr>
                            <w:color w:val="414141"/>
                            <w:w w:val="105"/>
                            <w:sz w:val="16"/>
                          </w:rPr>
                          <w:t>88</w:t>
                        </w:r>
                      </w:p>
                    </w:tc>
                    <w:tc>
                      <w:tcPr>
                        <w:tcW w:w="3299" w:type="dxa"/>
                        <w:tcBorders>
                          <w:left w:val="single" w:sz="12" w:space="0" w:color="000000"/>
                        </w:tcBorders>
                      </w:tcPr>
                      <w:p>
                        <w:pPr>
                          <w:pStyle w:val="TableParagraph"/>
                          <w:spacing w:line="152" w:lineRule="exact"/>
                          <w:ind w:left="503"/>
                          <w:rPr>
                            <w:sz w:val="17"/>
                          </w:rPr>
                        </w:pPr>
                        <w:r>
                          <w:rPr>
                            <w:color w:val="414141"/>
                            <w:sz w:val="17"/>
                          </w:rPr>
                          <w:t>Stock</w:t>
                        </w:r>
                      </w:p>
                    </w:tc>
                    <w:tc>
                      <w:tcPr>
                        <w:tcW w:w="572" w:type="dxa"/>
                        <w:tcBorders>
                          <w:right w:val="single" w:sz="12" w:space="0" w:color="000000"/>
                        </w:tcBorders>
                      </w:tcPr>
                      <w:p>
                        <w:pPr>
                          <w:pStyle w:val="TableParagraph"/>
                          <w:rPr>
                            <w:sz w:val="10"/>
                          </w:rPr>
                        </w:pPr>
                      </w:p>
                    </w:tc>
                    <w:tc>
                      <w:tcPr>
                        <w:tcW w:w="972" w:type="dxa"/>
                        <w:tcBorders>
                          <w:top w:val="single" w:sz="12" w:space="0" w:color="000000"/>
                          <w:left w:val="single" w:sz="12" w:space="0" w:color="000000"/>
                          <w:right w:val="single" w:sz="12" w:space="0" w:color="000000"/>
                        </w:tcBorders>
                      </w:tcPr>
                      <w:p>
                        <w:pPr>
                          <w:pStyle w:val="TableParagraph"/>
                          <w:spacing w:line="152" w:lineRule="exact"/>
                          <w:ind w:right="44"/>
                          <w:jc w:val="right"/>
                          <w:rPr>
                            <w:sz w:val="16"/>
                          </w:rPr>
                        </w:pPr>
                        <w:r>
                          <w:rPr>
                            <w:color w:val="414141"/>
                            <w:w w:val="95"/>
                            <w:sz w:val="16"/>
                          </w:rPr>
                          <w:t>75</w:t>
                        </w:r>
                      </w:p>
                    </w:tc>
                    <w:tc>
                      <w:tcPr>
                        <w:tcW w:w="1820" w:type="dxa"/>
                        <w:tcBorders>
                          <w:top w:val="single" w:sz="12" w:space="0" w:color="000000"/>
                          <w:left w:val="single" w:sz="12" w:space="0" w:color="000000"/>
                        </w:tcBorders>
                      </w:tcPr>
                      <w:p>
                        <w:pPr>
                          <w:pStyle w:val="TableParagraph"/>
                          <w:spacing w:line="152" w:lineRule="exact"/>
                          <w:ind w:right="367"/>
                          <w:jc w:val="right"/>
                          <w:rPr>
                            <w:sz w:val="16"/>
                          </w:rPr>
                        </w:pPr>
                        <w:r>
                          <w:rPr>
                            <w:color w:val="414141"/>
                            <w:w w:val="95"/>
                            <w:sz w:val="16"/>
                          </w:rPr>
                          <w:t>75</w:t>
                        </w:r>
                      </w:p>
                    </w:tc>
                    <w:tc>
                      <w:tcPr>
                        <w:tcW w:w="1254" w:type="dxa"/>
                        <w:tcBorders>
                          <w:top w:val="single" w:sz="12" w:space="0" w:color="000000"/>
                        </w:tcBorders>
                      </w:tcPr>
                      <w:p>
                        <w:pPr>
                          <w:pStyle w:val="TableParagraph"/>
                          <w:rPr>
                            <w:sz w:val="10"/>
                          </w:rPr>
                        </w:pPr>
                      </w:p>
                    </w:tc>
                    <w:tc>
                      <w:tcPr>
                        <w:tcW w:w="852" w:type="dxa"/>
                        <w:vMerge w:val="restart"/>
                        <w:tcBorders>
                          <w:top w:val="single" w:sz="12" w:space="0" w:color="000000"/>
                          <w:bottom w:val="single" w:sz="12" w:space="0" w:color="000000"/>
                        </w:tcBorders>
                      </w:tcPr>
                      <w:p>
                        <w:pPr>
                          <w:pStyle w:val="TableParagraph"/>
                          <w:rPr>
                            <w:sz w:val="16"/>
                          </w:rPr>
                        </w:pPr>
                      </w:p>
                    </w:tc>
                  </w:tr>
                  <w:tr>
                    <w:trPr>
                      <w:trHeight w:val="175" w:hRule="atLeast"/>
                    </w:trPr>
                    <w:tc>
                      <w:tcPr>
                        <w:tcW w:w="944" w:type="dxa"/>
                        <w:tcBorders>
                          <w:left w:val="single" w:sz="8" w:space="0" w:color="000000"/>
                          <w:right w:val="single" w:sz="12" w:space="0" w:color="000000"/>
                        </w:tcBorders>
                      </w:tcPr>
                      <w:p>
                        <w:pPr>
                          <w:pStyle w:val="TableParagraph"/>
                          <w:spacing w:line="155" w:lineRule="exact"/>
                          <w:ind w:right="31"/>
                          <w:jc w:val="right"/>
                          <w:rPr>
                            <w:sz w:val="16"/>
                          </w:rPr>
                        </w:pPr>
                        <w:r>
                          <w:rPr>
                            <w:color w:val="414141"/>
                            <w:w w:val="105"/>
                            <w:sz w:val="16"/>
                          </w:rPr>
                          <w:t>5,023</w:t>
                        </w:r>
                      </w:p>
                    </w:tc>
                    <w:tc>
                      <w:tcPr>
                        <w:tcW w:w="3299" w:type="dxa"/>
                        <w:tcBorders>
                          <w:left w:val="single" w:sz="12" w:space="0" w:color="000000"/>
                        </w:tcBorders>
                      </w:tcPr>
                      <w:p>
                        <w:pPr>
                          <w:pStyle w:val="TableParagraph"/>
                          <w:spacing w:line="155" w:lineRule="exact"/>
                          <w:ind w:left="511"/>
                          <w:rPr>
                            <w:sz w:val="17"/>
                          </w:rPr>
                        </w:pPr>
                        <w:r>
                          <w:rPr>
                            <w:color w:val="414141"/>
                            <w:sz w:val="17"/>
                          </w:rPr>
                          <w:t>Debtors</w:t>
                        </w:r>
                      </w:p>
                    </w:tc>
                    <w:tc>
                      <w:tcPr>
                        <w:tcW w:w="572" w:type="dxa"/>
                        <w:tcBorders>
                          <w:right w:val="single" w:sz="12" w:space="0" w:color="000000"/>
                        </w:tcBorders>
                      </w:tcPr>
                      <w:p>
                        <w:pPr>
                          <w:pStyle w:val="TableParagraph"/>
                          <w:spacing w:line="155" w:lineRule="exact"/>
                          <w:ind w:right="175"/>
                          <w:jc w:val="right"/>
                          <w:rPr>
                            <w:sz w:val="16"/>
                          </w:rPr>
                        </w:pPr>
                        <w:r>
                          <w:rPr>
                            <w:color w:val="414141"/>
                            <w:w w:val="105"/>
                            <w:sz w:val="16"/>
                          </w:rPr>
                          <w:t>15</w:t>
                        </w:r>
                      </w:p>
                    </w:tc>
                    <w:tc>
                      <w:tcPr>
                        <w:tcW w:w="972" w:type="dxa"/>
                        <w:tcBorders>
                          <w:left w:val="single" w:sz="12" w:space="0" w:color="000000"/>
                          <w:right w:val="single" w:sz="12" w:space="0" w:color="000000"/>
                        </w:tcBorders>
                      </w:tcPr>
                      <w:p>
                        <w:pPr>
                          <w:pStyle w:val="TableParagraph"/>
                          <w:spacing w:line="155" w:lineRule="exact"/>
                          <w:ind w:right="21"/>
                          <w:jc w:val="right"/>
                          <w:rPr>
                            <w:sz w:val="16"/>
                          </w:rPr>
                        </w:pPr>
                        <w:r>
                          <w:rPr>
                            <w:color w:val="2A2A2A"/>
                            <w:w w:val="105"/>
                            <w:sz w:val="16"/>
                          </w:rPr>
                          <w:t>5,664</w:t>
                        </w:r>
                      </w:p>
                    </w:tc>
                    <w:tc>
                      <w:tcPr>
                        <w:tcW w:w="1820" w:type="dxa"/>
                        <w:tcBorders>
                          <w:left w:val="single" w:sz="12" w:space="0" w:color="000000"/>
                        </w:tcBorders>
                      </w:tcPr>
                      <w:p>
                        <w:pPr>
                          <w:pStyle w:val="TableParagraph"/>
                          <w:spacing w:line="155" w:lineRule="exact"/>
                          <w:ind w:right="345"/>
                          <w:jc w:val="right"/>
                          <w:rPr>
                            <w:sz w:val="16"/>
                          </w:rPr>
                        </w:pPr>
                        <w:r>
                          <w:rPr>
                            <w:color w:val="606060"/>
                            <w:w w:val="105"/>
                            <w:sz w:val="16"/>
                          </w:rPr>
                          <w:t>, </w:t>
                        </w:r>
                        <w:r>
                          <w:rPr>
                            <w:color w:val="2A2A2A"/>
                            <w:w w:val="105"/>
                            <w:sz w:val="16"/>
                          </w:rPr>
                          <w:t>4 </w:t>
                        </w:r>
                        <w:r>
                          <w:rPr>
                            <w:color w:val="414141"/>
                            <w:w w:val="105"/>
                            <w:sz w:val="16"/>
                          </w:rPr>
                          <w:t>944</w:t>
                        </w:r>
                      </w:p>
                    </w:tc>
                    <w:tc>
                      <w:tcPr>
                        <w:tcW w:w="1254" w:type="dxa"/>
                      </w:tcPr>
                      <w:p>
                        <w:pPr>
                          <w:pStyle w:val="TableParagraph"/>
                          <w:spacing w:line="155" w:lineRule="exact"/>
                          <w:ind w:left="418" w:right="291"/>
                          <w:jc w:val="center"/>
                          <w:rPr>
                            <w:sz w:val="16"/>
                          </w:rPr>
                        </w:pPr>
                        <w:r>
                          <w:rPr>
                            <w:color w:val="414141"/>
                            <w:w w:val="110"/>
                            <w:sz w:val="16"/>
                          </w:rPr>
                          <w:t>190</w:t>
                        </w:r>
                      </w:p>
                    </w:tc>
                    <w:tc>
                      <w:tcPr>
                        <w:tcW w:w="852" w:type="dxa"/>
                        <w:vMerge/>
                        <w:tcBorders>
                          <w:top w:val="nil"/>
                          <w:bottom w:val="single" w:sz="12" w:space="0" w:color="000000"/>
                        </w:tcBorders>
                      </w:tcPr>
                      <w:p>
                        <w:pPr>
                          <w:rPr>
                            <w:sz w:val="2"/>
                            <w:szCs w:val="2"/>
                          </w:rPr>
                        </w:pPr>
                      </w:p>
                    </w:tc>
                  </w:tr>
                  <w:tr>
                    <w:trPr>
                      <w:trHeight w:val="381" w:hRule="atLeast"/>
                    </w:trPr>
                    <w:tc>
                      <w:tcPr>
                        <w:tcW w:w="944" w:type="dxa"/>
                        <w:tcBorders>
                          <w:left w:val="single" w:sz="8" w:space="0" w:color="000000"/>
                          <w:bottom w:val="single" w:sz="12" w:space="0" w:color="000000"/>
                          <w:right w:val="single" w:sz="12" w:space="0" w:color="000000"/>
                        </w:tcBorders>
                      </w:tcPr>
                      <w:p>
                        <w:pPr>
                          <w:pStyle w:val="TableParagraph"/>
                          <w:spacing w:line="170" w:lineRule="exact"/>
                          <w:ind w:right="25"/>
                          <w:jc w:val="right"/>
                          <w:rPr>
                            <w:sz w:val="16"/>
                          </w:rPr>
                        </w:pPr>
                        <w:r>
                          <w:rPr>
                            <w:color w:val="2A2A2A"/>
                            <w:w w:val="110"/>
                            <w:sz w:val="16"/>
                          </w:rPr>
                          <w:t>177</w:t>
                        </w:r>
                      </w:p>
                      <w:p>
                        <w:pPr>
                          <w:pStyle w:val="TableParagraph"/>
                          <w:spacing w:before="18"/>
                          <w:ind w:right="119"/>
                          <w:jc w:val="right"/>
                          <w:rPr>
                            <w:sz w:val="16"/>
                          </w:rPr>
                        </w:pPr>
                        <w:r>
                          <w:rPr>
                            <w:color w:val="2A2A2A"/>
                            <w:w w:val="90"/>
                            <w:sz w:val="16"/>
                          </w:rPr>
                          <w:t>ll2</w:t>
                        </w:r>
                      </w:p>
                    </w:tc>
                    <w:tc>
                      <w:tcPr>
                        <w:tcW w:w="3299" w:type="dxa"/>
                        <w:tcBorders>
                          <w:left w:val="single" w:sz="12" w:space="0" w:color="000000"/>
                        </w:tcBorders>
                      </w:tcPr>
                      <w:p>
                        <w:pPr>
                          <w:pStyle w:val="TableParagraph"/>
                          <w:spacing w:line="180" w:lineRule="exact"/>
                          <w:ind w:left="503"/>
                          <w:rPr>
                            <w:sz w:val="17"/>
                          </w:rPr>
                        </w:pPr>
                        <w:r>
                          <w:rPr>
                            <w:color w:val="414141"/>
                            <w:sz w:val="17"/>
                          </w:rPr>
                          <w:t>Short tenn investments</w:t>
                        </w:r>
                      </w:p>
                      <w:p>
                        <w:pPr>
                          <w:pStyle w:val="TableParagraph"/>
                          <w:spacing w:line="181" w:lineRule="exact"/>
                          <w:ind w:left="501"/>
                          <w:rPr>
                            <w:sz w:val="17"/>
                          </w:rPr>
                        </w:pPr>
                        <w:r>
                          <w:rPr>
                            <w:color w:val="414141"/>
                            <w:sz w:val="17"/>
                          </w:rPr>
                          <w:t>Bank balances and money </w:t>
                        </w:r>
                        <w:r>
                          <w:rPr>
                            <w:color w:val="2A2A2A"/>
                            <w:sz w:val="17"/>
                          </w:rPr>
                          <w:t>on call</w:t>
                        </w:r>
                      </w:p>
                    </w:tc>
                    <w:tc>
                      <w:tcPr>
                        <w:tcW w:w="572" w:type="dxa"/>
                        <w:tcBorders>
                          <w:right w:val="single" w:sz="12" w:space="0" w:color="000000"/>
                        </w:tcBorders>
                      </w:tcPr>
                      <w:p>
                        <w:pPr>
                          <w:pStyle w:val="TableParagraph"/>
                          <w:spacing w:line="170" w:lineRule="exact"/>
                          <w:ind w:right="208"/>
                          <w:jc w:val="right"/>
                          <w:rPr>
                            <w:sz w:val="16"/>
                          </w:rPr>
                        </w:pPr>
                        <w:r>
                          <w:rPr>
                            <w:color w:val="414141"/>
                            <w:w w:val="90"/>
                            <w:sz w:val="16"/>
                          </w:rPr>
                          <w:t>12</w:t>
                        </w:r>
                      </w:p>
                    </w:tc>
                    <w:tc>
                      <w:tcPr>
                        <w:tcW w:w="972" w:type="dxa"/>
                        <w:tcBorders>
                          <w:left w:val="single" w:sz="12" w:space="0" w:color="000000"/>
                          <w:bottom w:val="single" w:sz="8" w:space="0" w:color="000000"/>
                          <w:right w:val="single" w:sz="12" w:space="0" w:color="000000"/>
                        </w:tcBorders>
                      </w:tcPr>
                      <w:p>
                        <w:pPr>
                          <w:pStyle w:val="TableParagraph"/>
                          <w:spacing w:before="4"/>
                          <w:rPr>
                            <w:sz w:val="16"/>
                          </w:rPr>
                        </w:pPr>
                      </w:p>
                      <w:p>
                        <w:pPr>
                          <w:pStyle w:val="TableParagraph"/>
                          <w:ind w:right="21"/>
                          <w:jc w:val="right"/>
                          <w:rPr>
                            <w:sz w:val="16"/>
                          </w:rPr>
                        </w:pPr>
                        <w:r>
                          <w:rPr>
                            <w:color w:val="414141"/>
                            <w:w w:val="105"/>
                            <w:sz w:val="16"/>
                          </w:rPr>
                          <w:t>1 035</w:t>
                        </w:r>
                      </w:p>
                    </w:tc>
                    <w:tc>
                      <w:tcPr>
                        <w:tcW w:w="1820" w:type="dxa"/>
                        <w:tcBorders>
                          <w:left w:val="single" w:sz="12" w:space="0" w:color="000000"/>
                          <w:bottom w:val="single" w:sz="12" w:space="0" w:color="000000"/>
                        </w:tcBorders>
                      </w:tcPr>
                      <w:p>
                        <w:pPr>
                          <w:pStyle w:val="TableParagraph"/>
                          <w:spacing w:before="4"/>
                          <w:rPr>
                            <w:sz w:val="16"/>
                          </w:rPr>
                        </w:pPr>
                      </w:p>
                      <w:p>
                        <w:pPr>
                          <w:pStyle w:val="TableParagraph"/>
                          <w:ind w:right="335"/>
                          <w:jc w:val="right"/>
                          <w:rPr>
                            <w:sz w:val="16"/>
                          </w:rPr>
                        </w:pPr>
                        <w:r>
                          <w:rPr>
                            <w:color w:val="414141"/>
                            <w:w w:val="110"/>
                            <w:sz w:val="16"/>
                          </w:rPr>
                          <w:t>735</w:t>
                        </w:r>
                      </w:p>
                    </w:tc>
                    <w:tc>
                      <w:tcPr>
                        <w:tcW w:w="1254" w:type="dxa"/>
                        <w:tcBorders>
                          <w:bottom w:val="single" w:sz="12" w:space="0" w:color="000000"/>
                        </w:tcBorders>
                      </w:tcPr>
                      <w:p>
                        <w:pPr>
                          <w:pStyle w:val="TableParagraph"/>
                          <w:spacing w:before="4"/>
                          <w:rPr>
                            <w:sz w:val="16"/>
                          </w:rPr>
                        </w:pPr>
                      </w:p>
                      <w:p>
                        <w:pPr>
                          <w:pStyle w:val="TableParagraph"/>
                          <w:ind w:left="610"/>
                          <w:rPr>
                            <w:sz w:val="16"/>
                          </w:rPr>
                        </w:pPr>
                        <w:r>
                          <w:rPr>
                            <w:color w:val="414141"/>
                            <w:w w:val="110"/>
                            <w:sz w:val="16"/>
                          </w:rPr>
                          <w:t>300</w:t>
                        </w:r>
                      </w:p>
                    </w:tc>
                    <w:tc>
                      <w:tcPr>
                        <w:tcW w:w="852" w:type="dxa"/>
                        <w:vMerge/>
                        <w:tcBorders>
                          <w:top w:val="nil"/>
                          <w:bottom w:val="single" w:sz="12" w:space="0" w:color="000000"/>
                        </w:tcBorders>
                      </w:tcPr>
                      <w:p>
                        <w:pPr>
                          <w:rPr>
                            <w:sz w:val="2"/>
                            <w:szCs w:val="2"/>
                          </w:rPr>
                        </w:pPr>
                      </w:p>
                    </w:tc>
                  </w:tr>
                  <w:tr>
                    <w:trPr>
                      <w:trHeight w:val="174" w:hRule="atLeast"/>
                    </w:trPr>
                    <w:tc>
                      <w:tcPr>
                        <w:tcW w:w="944" w:type="dxa"/>
                        <w:tcBorders>
                          <w:top w:val="single" w:sz="12" w:space="0" w:color="000000"/>
                          <w:left w:val="single" w:sz="8" w:space="0" w:color="000000"/>
                          <w:right w:val="single" w:sz="12" w:space="0" w:color="000000"/>
                        </w:tcBorders>
                      </w:tcPr>
                      <w:p>
                        <w:pPr>
                          <w:pStyle w:val="TableParagraph"/>
                          <w:spacing w:line="137" w:lineRule="exact"/>
                          <w:ind w:right="33"/>
                          <w:jc w:val="right"/>
                          <w:rPr>
                            <w:sz w:val="16"/>
                          </w:rPr>
                        </w:pPr>
                        <w:r>
                          <w:rPr>
                            <w:color w:val="414141"/>
                            <w:w w:val="105"/>
                            <w:sz w:val="16"/>
                          </w:rPr>
                          <w:t>5</w:t>
                        </w:r>
                        <w:r>
                          <w:rPr>
                            <w:color w:val="606060"/>
                            <w:w w:val="105"/>
                            <w:sz w:val="16"/>
                          </w:rPr>
                          <w:t>,</w:t>
                        </w:r>
                        <w:r>
                          <w:rPr>
                            <w:color w:val="414141"/>
                            <w:w w:val="105"/>
                            <w:sz w:val="16"/>
                          </w:rPr>
                          <w:t>400</w:t>
                        </w:r>
                      </w:p>
                    </w:tc>
                    <w:tc>
                      <w:tcPr>
                        <w:tcW w:w="3299" w:type="dxa"/>
                        <w:tcBorders>
                          <w:left w:val="single" w:sz="12" w:space="0" w:color="000000"/>
                        </w:tcBorders>
                      </w:tcPr>
                      <w:p>
                        <w:pPr>
                          <w:pStyle w:val="TableParagraph"/>
                          <w:rPr>
                            <w:sz w:val="10"/>
                          </w:rPr>
                        </w:pPr>
                      </w:p>
                    </w:tc>
                    <w:tc>
                      <w:tcPr>
                        <w:tcW w:w="572" w:type="dxa"/>
                        <w:tcBorders>
                          <w:right w:val="single" w:sz="12" w:space="0" w:color="000000"/>
                        </w:tcBorders>
                      </w:tcPr>
                      <w:p>
                        <w:pPr>
                          <w:pStyle w:val="TableParagraph"/>
                          <w:rPr>
                            <w:sz w:val="10"/>
                          </w:rPr>
                        </w:pPr>
                      </w:p>
                    </w:tc>
                    <w:tc>
                      <w:tcPr>
                        <w:tcW w:w="972" w:type="dxa"/>
                        <w:tcBorders>
                          <w:top w:val="single" w:sz="8" w:space="0" w:color="000000"/>
                          <w:left w:val="single" w:sz="12" w:space="0" w:color="000000"/>
                          <w:right w:val="single" w:sz="12" w:space="0" w:color="000000"/>
                        </w:tcBorders>
                      </w:tcPr>
                      <w:p>
                        <w:pPr>
                          <w:pStyle w:val="TableParagraph"/>
                          <w:spacing w:line="137" w:lineRule="exact"/>
                          <w:ind w:right="30"/>
                          <w:jc w:val="right"/>
                          <w:rPr>
                            <w:sz w:val="16"/>
                          </w:rPr>
                        </w:pPr>
                        <w:r>
                          <w:rPr>
                            <w:color w:val="414141"/>
                            <w:w w:val="105"/>
                            <w:sz w:val="16"/>
                          </w:rPr>
                          <w:t>6,774</w:t>
                        </w:r>
                      </w:p>
                    </w:tc>
                    <w:tc>
                      <w:tcPr>
                        <w:tcW w:w="1820" w:type="dxa"/>
                        <w:tcBorders>
                          <w:top w:val="single" w:sz="12" w:space="0" w:color="000000"/>
                          <w:left w:val="single" w:sz="12" w:space="0" w:color="000000"/>
                        </w:tcBorders>
                      </w:tcPr>
                      <w:p>
                        <w:pPr>
                          <w:pStyle w:val="TableParagraph"/>
                          <w:spacing w:line="137" w:lineRule="exact"/>
                          <w:ind w:right="393"/>
                          <w:jc w:val="right"/>
                          <w:rPr>
                            <w:sz w:val="16"/>
                          </w:rPr>
                        </w:pPr>
                        <w:r>
                          <w:rPr>
                            <w:color w:val="414141"/>
                            <w:w w:val="105"/>
                            <w:sz w:val="16"/>
                          </w:rPr>
                          <w:t>5</w:t>
                        </w:r>
                        <w:r>
                          <w:rPr>
                            <w:color w:val="606060"/>
                            <w:w w:val="105"/>
                            <w:sz w:val="16"/>
                          </w:rPr>
                          <w:t>,</w:t>
                        </w:r>
                        <w:r>
                          <w:rPr>
                            <w:color w:val="414141"/>
                            <w:w w:val="105"/>
                            <w:sz w:val="16"/>
                          </w:rPr>
                          <w:t>754</w:t>
                        </w:r>
                      </w:p>
                    </w:tc>
                    <w:tc>
                      <w:tcPr>
                        <w:tcW w:w="1254" w:type="dxa"/>
                        <w:tcBorders>
                          <w:top w:val="single" w:sz="12" w:space="0" w:color="000000"/>
                        </w:tcBorders>
                      </w:tcPr>
                      <w:p>
                        <w:pPr>
                          <w:pStyle w:val="TableParagraph"/>
                          <w:spacing w:line="137" w:lineRule="exact"/>
                          <w:ind w:left="418" w:right="275"/>
                          <w:jc w:val="center"/>
                          <w:rPr>
                            <w:sz w:val="16"/>
                          </w:rPr>
                        </w:pPr>
                        <w:r>
                          <w:rPr>
                            <w:color w:val="414141"/>
                            <w:w w:val="110"/>
                            <w:sz w:val="16"/>
                          </w:rPr>
                          <w:t>490</w:t>
                        </w:r>
                      </w:p>
                    </w:tc>
                    <w:tc>
                      <w:tcPr>
                        <w:tcW w:w="852" w:type="dxa"/>
                        <w:tcBorders>
                          <w:top w:val="single" w:sz="12" w:space="0" w:color="000000"/>
                        </w:tcBorders>
                      </w:tcPr>
                      <w:p>
                        <w:pPr>
                          <w:pStyle w:val="TableParagraph"/>
                          <w:spacing w:line="137" w:lineRule="exact"/>
                          <w:ind w:right="69"/>
                          <w:jc w:val="right"/>
                          <w:rPr>
                            <w:sz w:val="16"/>
                          </w:rPr>
                        </w:pPr>
                        <w:r>
                          <w:rPr>
                            <w:color w:val="414141"/>
                            <w:w w:val="105"/>
                            <w:sz w:val="16"/>
                          </w:rPr>
                          <w:t>530</w:t>
                        </w:r>
                      </w:p>
                    </w:tc>
                  </w:tr>
                  <w:tr>
                    <w:trPr>
                      <w:trHeight w:val="174" w:hRule="atLeast"/>
                    </w:trPr>
                    <w:tc>
                      <w:tcPr>
                        <w:tcW w:w="944" w:type="dxa"/>
                        <w:tcBorders>
                          <w:left w:val="single" w:sz="8" w:space="0" w:color="000000"/>
                          <w:bottom w:val="single" w:sz="12" w:space="0" w:color="000000"/>
                          <w:right w:val="single" w:sz="12" w:space="0" w:color="000000"/>
                        </w:tcBorders>
                      </w:tcPr>
                      <w:p>
                        <w:pPr>
                          <w:pStyle w:val="TableParagraph"/>
                          <w:spacing w:line="143" w:lineRule="exact" w:before="5"/>
                          <w:ind w:right="36"/>
                          <w:jc w:val="right"/>
                          <w:rPr>
                            <w:sz w:val="16"/>
                          </w:rPr>
                        </w:pPr>
                        <w:r>
                          <w:rPr>
                            <w:color w:val="414141"/>
                            <w:w w:val="105"/>
                            <w:sz w:val="16"/>
                          </w:rPr>
                          <w:t>7,301</w:t>
                        </w:r>
                      </w:p>
                    </w:tc>
                    <w:tc>
                      <w:tcPr>
                        <w:tcW w:w="3299" w:type="dxa"/>
                        <w:tcBorders>
                          <w:left w:val="single" w:sz="12" w:space="0" w:color="000000"/>
                        </w:tcBorders>
                      </w:tcPr>
                      <w:p>
                        <w:pPr>
                          <w:pStyle w:val="TableParagraph"/>
                          <w:spacing w:line="149" w:lineRule="exact" w:before="5"/>
                          <w:ind w:left="507"/>
                          <w:rPr>
                            <w:b/>
                            <w:sz w:val="16"/>
                          </w:rPr>
                        </w:pPr>
                        <w:r>
                          <w:rPr>
                            <w:b/>
                            <w:color w:val="414141"/>
                            <w:w w:val="105"/>
                            <w:sz w:val="16"/>
                          </w:rPr>
                          <w:t>C</w:t>
                        </w:r>
                        <w:r>
                          <w:rPr>
                            <w:b/>
                            <w:color w:val="151515"/>
                            <w:w w:val="105"/>
                            <w:sz w:val="16"/>
                          </w:rPr>
                          <w:t>urrent</w:t>
                        </w:r>
                        <w:r>
                          <w:rPr>
                            <w:b/>
                            <w:w w:val="105"/>
                            <w:sz w:val="16"/>
                          </w:rPr>
                          <w:t>l</w:t>
                        </w:r>
                        <w:r>
                          <w:rPr>
                            <w:b/>
                            <w:color w:val="2A2A2A"/>
                            <w:w w:val="105"/>
                            <w:sz w:val="16"/>
                          </w:rPr>
                          <w:t>iabilities</w:t>
                        </w:r>
                      </w:p>
                    </w:tc>
                    <w:tc>
                      <w:tcPr>
                        <w:tcW w:w="572" w:type="dxa"/>
                        <w:tcBorders>
                          <w:right w:val="single" w:sz="12" w:space="0" w:color="000000"/>
                        </w:tcBorders>
                      </w:tcPr>
                      <w:p>
                        <w:pPr>
                          <w:pStyle w:val="TableParagraph"/>
                          <w:spacing w:line="149" w:lineRule="exact" w:before="5"/>
                          <w:ind w:right="192"/>
                          <w:jc w:val="right"/>
                          <w:rPr>
                            <w:sz w:val="16"/>
                          </w:rPr>
                        </w:pPr>
                        <w:r>
                          <w:rPr>
                            <w:color w:val="414141"/>
                            <w:sz w:val="16"/>
                          </w:rPr>
                          <w:t>16</w:t>
                        </w:r>
                      </w:p>
                    </w:tc>
                    <w:tc>
                      <w:tcPr>
                        <w:tcW w:w="972" w:type="dxa"/>
                        <w:tcBorders>
                          <w:left w:val="single" w:sz="12" w:space="0" w:color="000000"/>
                          <w:bottom w:val="single" w:sz="12" w:space="0" w:color="000000"/>
                          <w:right w:val="single" w:sz="12" w:space="0" w:color="000000"/>
                        </w:tcBorders>
                      </w:tcPr>
                      <w:p>
                        <w:pPr>
                          <w:pStyle w:val="TableParagraph"/>
                          <w:spacing w:line="143" w:lineRule="exact" w:before="5"/>
                          <w:ind w:right="26"/>
                          <w:jc w:val="right"/>
                          <w:rPr>
                            <w:sz w:val="16"/>
                          </w:rPr>
                        </w:pPr>
                        <w:r>
                          <w:rPr>
                            <w:color w:val="414141"/>
                            <w:w w:val="105"/>
                            <w:sz w:val="16"/>
                          </w:rPr>
                          <w:t>6,591</w:t>
                        </w:r>
                      </w:p>
                    </w:tc>
                    <w:tc>
                      <w:tcPr>
                        <w:tcW w:w="1820" w:type="dxa"/>
                        <w:tcBorders>
                          <w:left w:val="single" w:sz="12" w:space="0" w:color="000000"/>
                          <w:bottom w:val="single" w:sz="12" w:space="0" w:color="000000"/>
                        </w:tcBorders>
                      </w:tcPr>
                      <w:p>
                        <w:pPr>
                          <w:pStyle w:val="TableParagraph"/>
                          <w:spacing w:line="143" w:lineRule="exact" w:before="5"/>
                          <w:ind w:right="394"/>
                          <w:jc w:val="right"/>
                          <w:rPr>
                            <w:sz w:val="16"/>
                          </w:rPr>
                        </w:pPr>
                        <w:r>
                          <w:rPr>
                            <w:color w:val="606060"/>
                            <w:w w:val="105"/>
                            <w:sz w:val="16"/>
                          </w:rPr>
                          <w:t>, </w:t>
                        </w:r>
                        <w:r>
                          <w:rPr>
                            <w:color w:val="2A2A2A"/>
                            <w:w w:val="105"/>
                            <w:sz w:val="16"/>
                          </w:rPr>
                          <w:t>1 882</w:t>
                        </w:r>
                      </w:p>
                    </w:tc>
                    <w:tc>
                      <w:tcPr>
                        <w:tcW w:w="1254" w:type="dxa"/>
                        <w:tcBorders>
                          <w:bottom w:val="single" w:sz="12" w:space="0" w:color="000000"/>
                        </w:tcBorders>
                      </w:tcPr>
                      <w:p>
                        <w:pPr>
                          <w:pStyle w:val="TableParagraph"/>
                          <w:spacing w:line="134" w:lineRule="exact" w:before="15"/>
                          <w:ind w:left="418" w:right="400"/>
                          <w:jc w:val="center"/>
                          <w:rPr>
                            <w:sz w:val="16"/>
                          </w:rPr>
                        </w:pPr>
                        <w:r>
                          <w:rPr>
                            <w:color w:val="2A2A2A"/>
                            <w:w w:val="110"/>
                            <w:sz w:val="16"/>
                          </w:rPr>
                          <w:t>4,709</w:t>
                        </w:r>
                      </w:p>
                    </w:tc>
                    <w:tc>
                      <w:tcPr>
                        <w:tcW w:w="852" w:type="dxa"/>
                        <w:tcBorders>
                          <w:bottom w:val="single" w:sz="8" w:space="0" w:color="000000"/>
                        </w:tcBorders>
                      </w:tcPr>
                      <w:p>
                        <w:pPr>
                          <w:pStyle w:val="TableParagraph"/>
                          <w:rPr>
                            <w:sz w:val="10"/>
                          </w:rPr>
                        </w:pPr>
                      </w:p>
                    </w:tc>
                  </w:tr>
                  <w:tr>
                    <w:trPr>
                      <w:trHeight w:val="368" w:hRule="atLeast"/>
                    </w:trPr>
                    <w:tc>
                      <w:tcPr>
                        <w:tcW w:w="944" w:type="dxa"/>
                        <w:tcBorders>
                          <w:top w:val="single" w:sz="12" w:space="0" w:color="000000"/>
                          <w:bottom w:val="single" w:sz="12" w:space="0" w:color="000000"/>
                        </w:tcBorders>
                      </w:tcPr>
                      <w:p>
                        <w:pPr>
                          <w:pStyle w:val="TableParagraph"/>
                          <w:spacing w:before="9"/>
                          <w:ind w:right="-15"/>
                          <w:jc w:val="right"/>
                          <w:rPr>
                            <w:sz w:val="16"/>
                          </w:rPr>
                        </w:pPr>
                        <w:r>
                          <w:rPr>
                            <w:color w:val="414141"/>
                            <w:w w:val="105"/>
                            <w:sz w:val="16"/>
                          </w:rPr>
                          <w:t>(1</w:t>
                        </w:r>
                        <w:r>
                          <w:rPr>
                            <w:color w:val="606060"/>
                            <w:w w:val="105"/>
                            <w:sz w:val="16"/>
                          </w:rPr>
                          <w:t>,</w:t>
                        </w:r>
                        <w:r>
                          <w:rPr>
                            <w:color w:val="414141"/>
                            <w:w w:val="105"/>
                            <w:sz w:val="16"/>
                          </w:rPr>
                          <w:t>901)</w:t>
                        </w:r>
                      </w:p>
                    </w:tc>
                    <w:tc>
                      <w:tcPr>
                        <w:tcW w:w="3299" w:type="dxa"/>
                      </w:tcPr>
                      <w:p>
                        <w:pPr>
                          <w:pStyle w:val="TableParagraph"/>
                          <w:spacing w:line="189" w:lineRule="exact"/>
                          <w:ind w:left="512"/>
                          <w:rPr>
                            <w:sz w:val="17"/>
                          </w:rPr>
                        </w:pPr>
                        <w:r>
                          <w:rPr>
                            <w:color w:val="414141"/>
                            <w:sz w:val="17"/>
                          </w:rPr>
                          <w:t>Net current liabilities</w:t>
                        </w:r>
                      </w:p>
                    </w:tc>
                    <w:tc>
                      <w:tcPr>
                        <w:tcW w:w="572" w:type="dxa"/>
                      </w:tcPr>
                      <w:p>
                        <w:pPr>
                          <w:pStyle w:val="TableParagraph"/>
                          <w:rPr>
                            <w:sz w:val="16"/>
                          </w:rPr>
                        </w:pPr>
                      </w:p>
                    </w:tc>
                    <w:tc>
                      <w:tcPr>
                        <w:tcW w:w="972" w:type="dxa"/>
                        <w:tcBorders>
                          <w:top w:val="single" w:sz="12" w:space="0" w:color="000000"/>
                          <w:bottom w:val="single" w:sz="12" w:space="0" w:color="000000"/>
                        </w:tcBorders>
                      </w:tcPr>
                      <w:p>
                        <w:pPr>
                          <w:pStyle w:val="TableParagraph"/>
                          <w:spacing w:before="9"/>
                          <w:ind w:right="32"/>
                          <w:jc w:val="right"/>
                          <w:rPr>
                            <w:sz w:val="16"/>
                          </w:rPr>
                        </w:pPr>
                        <w:r>
                          <w:rPr>
                            <w:color w:val="2A2A2A"/>
                            <w:w w:val="105"/>
                            <w:sz w:val="16"/>
                          </w:rPr>
                          <w:t>183</w:t>
                        </w:r>
                      </w:p>
                    </w:tc>
                    <w:tc>
                      <w:tcPr>
                        <w:tcW w:w="1820" w:type="dxa"/>
                        <w:tcBorders>
                          <w:top w:val="single" w:sz="12" w:space="0" w:color="000000"/>
                          <w:bottom w:val="single" w:sz="12" w:space="0" w:color="000000"/>
                        </w:tcBorders>
                      </w:tcPr>
                      <w:p>
                        <w:pPr>
                          <w:pStyle w:val="TableParagraph"/>
                          <w:spacing w:before="9"/>
                          <w:ind w:right="389"/>
                          <w:jc w:val="right"/>
                          <w:rPr>
                            <w:sz w:val="16"/>
                          </w:rPr>
                        </w:pPr>
                        <w:r>
                          <w:rPr>
                            <w:color w:val="414141"/>
                            <w:w w:val="110"/>
                            <w:sz w:val="16"/>
                          </w:rPr>
                          <w:t>3</w:t>
                        </w:r>
                        <w:r>
                          <w:rPr>
                            <w:color w:val="606060"/>
                            <w:w w:val="110"/>
                            <w:sz w:val="16"/>
                          </w:rPr>
                          <w:t>,</w:t>
                        </w:r>
                        <w:r>
                          <w:rPr>
                            <w:color w:val="2A2A2A"/>
                            <w:w w:val="110"/>
                            <w:sz w:val="16"/>
                          </w:rPr>
                          <w:t>872</w:t>
                        </w:r>
                      </w:p>
                    </w:tc>
                    <w:tc>
                      <w:tcPr>
                        <w:tcW w:w="1254" w:type="dxa"/>
                        <w:tcBorders>
                          <w:top w:val="single" w:sz="12" w:space="0" w:color="000000"/>
                          <w:bottom w:val="single" w:sz="12" w:space="0" w:color="000000"/>
                        </w:tcBorders>
                      </w:tcPr>
                      <w:p>
                        <w:pPr>
                          <w:pStyle w:val="TableParagraph"/>
                          <w:spacing w:before="9"/>
                          <w:ind w:left="379"/>
                          <w:rPr>
                            <w:sz w:val="16"/>
                          </w:rPr>
                        </w:pPr>
                        <w:r>
                          <w:rPr>
                            <w:color w:val="414141"/>
                            <w:w w:val="105"/>
                            <w:sz w:val="16"/>
                          </w:rPr>
                          <w:t>(4,219)</w:t>
                        </w:r>
                      </w:p>
                    </w:tc>
                    <w:tc>
                      <w:tcPr>
                        <w:tcW w:w="852" w:type="dxa"/>
                        <w:tcBorders>
                          <w:top w:val="single" w:sz="8" w:space="0" w:color="000000"/>
                          <w:bottom w:val="single" w:sz="8" w:space="0" w:color="000000"/>
                        </w:tcBorders>
                      </w:tcPr>
                      <w:p>
                        <w:pPr>
                          <w:pStyle w:val="TableParagraph"/>
                          <w:spacing w:before="9"/>
                          <w:ind w:right="69"/>
                          <w:jc w:val="right"/>
                          <w:rPr>
                            <w:sz w:val="16"/>
                          </w:rPr>
                        </w:pPr>
                        <w:r>
                          <w:rPr>
                            <w:color w:val="414141"/>
                            <w:w w:val="105"/>
                            <w:sz w:val="16"/>
                          </w:rPr>
                          <w:t>530</w:t>
                        </w:r>
                      </w:p>
                    </w:tc>
                  </w:tr>
                  <w:tr>
                    <w:trPr>
                      <w:trHeight w:val="302" w:hRule="atLeast"/>
                    </w:trPr>
                    <w:tc>
                      <w:tcPr>
                        <w:tcW w:w="944" w:type="dxa"/>
                        <w:tcBorders>
                          <w:top w:val="single" w:sz="12" w:space="0" w:color="000000"/>
                        </w:tcBorders>
                      </w:tcPr>
                      <w:p>
                        <w:pPr>
                          <w:pStyle w:val="TableParagraph"/>
                          <w:spacing w:before="9"/>
                          <w:ind w:right="54"/>
                          <w:jc w:val="right"/>
                          <w:rPr>
                            <w:sz w:val="16"/>
                          </w:rPr>
                        </w:pPr>
                        <w:r>
                          <w:rPr>
                            <w:color w:val="414141"/>
                            <w:w w:val="105"/>
                            <w:sz w:val="16"/>
                          </w:rPr>
                          <w:t>56</w:t>
                        </w:r>
                        <w:r>
                          <w:rPr>
                            <w:color w:val="606060"/>
                            <w:w w:val="105"/>
                            <w:sz w:val="16"/>
                          </w:rPr>
                          <w:t>,</w:t>
                        </w:r>
                        <w:r>
                          <w:rPr>
                            <w:color w:val="414141"/>
                            <w:w w:val="105"/>
                            <w:sz w:val="16"/>
                          </w:rPr>
                          <w:t>566</w:t>
                        </w:r>
                      </w:p>
                    </w:tc>
                    <w:tc>
                      <w:tcPr>
                        <w:tcW w:w="3299" w:type="dxa"/>
                      </w:tcPr>
                      <w:p>
                        <w:pPr>
                          <w:pStyle w:val="TableParagraph"/>
                          <w:spacing w:line="195" w:lineRule="exact"/>
                          <w:ind w:left="514"/>
                          <w:rPr>
                            <w:sz w:val="17"/>
                          </w:rPr>
                        </w:pPr>
                        <w:r>
                          <w:rPr>
                            <w:color w:val="414141"/>
                            <w:sz w:val="17"/>
                          </w:rPr>
                          <w:t>Total assets less current liabilities</w:t>
                        </w:r>
                      </w:p>
                    </w:tc>
                    <w:tc>
                      <w:tcPr>
                        <w:tcW w:w="572" w:type="dxa"/>
                      </w:tcPr>
                      <w:p>
                        <w:pPr>
                          <w:pStyle w:val="TableParagraph"/>
                          <w:rPr>
                            <w:sz w:val="16"/>
                          </w:rPr>
                        </w:pPr>
                      </w:p>
                    </w:tc>
                    <w:tc>
                      <w:tcPr>
                        <w:tcW w:w="972" w:type="dxa"/>
                        <w:tcBorders>
                          <w:top w:val="single" w:sz="12" w:space="0" w:color="000000"/>
                        </w:tcBorders>
                      </w:tcPr>
                      <w:p>
                        <w:pPr>
                          <w:pStyle w:val="TableParagraph"/>
                          <w:spacing w:before="9"/>
                          <w:ind w:right="72"/>
                          <w:jc w:val="right"/>
                          <w:rPr>
                            <w:sz w:val="16"/>
                          </w:rPr>
                        </w:pPr>
                        <w:r>
                          <w:rPr>
                            <w:color w:val="414141"/>
                            <w:w w:val="95"/>
                            <w:sz w:val="16"/>
                          </w:rPr>
                          <w:t>62</w:t>
                        </w:r>
                        <w:r>
                          <w:rPr>
                            <w:color w:val="606060"/>
                            <w:w w:val="95"/>
                            <w:sz w:val="16"/>
                          </w:rPr>
                          <w:t>,</w:t>
                        </w:r>
                        <w:r>
                          <w:rPr>
                            <w:color w:val="414141"/>
                            <w:w w:val="95"/>
                            <w:sz w:val="16"/>
                          </w:rPr>
                          <w:t>441</w:t>
                        </w:r>
                      </w:p>
                    </w:tc>
                    <w:tc>
                      <w:tcPr>
                        <w:tcW w:w="1820" w:type="dxa"/>
                        <w:tcBorders>
                          <w:top w:val="single" w:sz="12" w:space="0" w:color="000000"/>
                        </w:tcBorders>
                      </w:tcPr>
                      <w:p>
                        <w:pPr>
                          <w:pStyle w:val="TableParagraph"/>
                          <w:spacing w:before="9"/>
                          <w:ind w:right="422"/>
                          <w:jc w:val="right"/>
                          <w:rPr>
                            <w:sz w:val="16"/>
                          </w:rPr>
                        </w:pPr>
                        <w:r>
                          <w:rPr>
                            <w:color w:val="414141"/>
                            <w:w w:val="95"/>
                            <w:sz w:val="16"/>
                          </w:rPr>
                          <w:t>17</w:t>
                        </w:r>
                        <w:r>
                          <w:rPr>
                            <w:color w:val="606060"/>
                            <w:w w:val="95"/>
                            <w:sz w:val="16"/>
                          </w:rPr>
                          <w:t>,</w:t>
                        </w:r>
                        <w:r>
                          <w:rPr>
                            <w:color w:val="414141"/>
                            <w:w w:val="95"/>
                            <w:sz w:val="16"/>
                          </w:rPr>
                          <w:t>936</w:t>
                        </w:r>
                      </w:p>
                    </w:tc>
                    <w:tc>
                      <w:tcPr>
                        <w:tcW w:w="1254" w:type="dxa"/>
                        <w:tcBorders>
                          <w:top w:val="single" w:sz="12" w:space="0" w:color="000000"/>
                        </w:tcBorders>
                      </w:tcPr>
                      <w:p>
                        <w:pPr>
                          <w:pStyle w:val="TableParagraph"/>
                          <w:spacing w:before="9"/>
                          <w:ind w:left="360"/>
                          <w:rPr>
                            <w:sz w:val="16"/>
                          </w:rPr>
                        </w:pPr>
                        <w:r>
                          <w:rPr>
                            <w:color w:val="414141"/>
                            <w:sz w:val="16"/>
                          </w:rPr>
                          <w:t>35</w:t>
                        </w:r>
                        <w:r>
                          <w:rPr>
                            <w:color w:val="606060"/>
                            <w:sz w:val="16"/>
                          </w:rPr>
                          <w:t>,</w:t>
                        </w:r>
                        <w:r>
                          <w:rPr>
                            <w:color w:val="414141"/>
                            <w:sz w:val="16"/>
                          </w:rPr>
                          <w:t>712</w:t>
                        </w:r>
                      </w:p>
                    </w:tc>
                    <w:tc>
                      <w:tcPr>
                        <w:tcW w:w="852" w:type="dxa"/>
                        <w:tcBorders>
                          <w:top w:val="single" w:sz="8" w:space="0" w:color="000000"/>
                        </w:tcBorders>
                      </w:tcPr>
                      <w:p>
                        <w:pPr>
                          <w:pStyle w:val="TableParagraph"/>
                          <w:spacing w:before="9"/>
                          <w:ind w:right="91"/>
                          <w:jc w:val="right"/>
                          <w:rPr>
                            <w:sz w:val="16"/>
                          </w:rPr>
                        </w:pPr>
                        <w:r>
                          <w:rPr>
                            <w:color w:val="414141"/>
                            <w:w w:val="90"/>
                            <w:sz w:val="16"/>
                          </w:rPr>
                          <w:t>8</w:t>
                        </w:r>
                        <w:r>
                          <w:rPr>
                            <w:color w:val="606060"/>
                            <w:w w:val="90"/>
                            <w:sz w:val="16"/>
                          </w:rPr>
                          <w:t>,</w:t>
                        </w:r>
                        <w:r>
                          <w:rPr>
                            <w:color w:val="414141"/>
                            <w:w w:val="90"/>
                            <w:sz w:val="16"/>
                          </w:rPr>
                          <w:t>793</w:t>
                        </w:r>
                      </w:p>
                    </w:tc>
                  </w:tr>
                  <w:tr>
                    <w:trPr>
                      <w:trHeight w:val="302" w:hRule="atLeast"/>
                    </w:trPr>
                    <w:tc>
                      <w:tcPr>
                        <w:tcW w:w="944" w:type="dxa"/>
                      </w:tcPr>
                      <w:p>
                        <w:pPr>
                          <w:pStyle w:val="TableParagraph"/>
                          <w:rPr>
                            <w:sz w:val="16"/>
                          </w:rPr>
                        </w:pPr>
                      </w:p>
                    </w:tc>
                    <w:tc>
                      <w:tcPr>
                        <w:tcW w:w="3299" w:type="dxa"/>
                      </w:tcPr>
                      <w:p>
                        <w:pPr>
                          <w:pStyle w:val="TableParagraph"/>
                          <w:spacing w:line="182" w:lineRule="exact" w:before="101"/>
                          <w:ind w:left="513"/>
                          <w:rPr>
                            <w:sz w:val="17"/>
                          </w:rPr>
                        </w:pPr>
                        <w:r>
                          <w:rPr>
                            <w:color w:val="414141"/>
                            <w:sz w:val="17"/>
                          </w:rPr>
                          <w:t>Creditors: amounts falling </w:t>
                        </w:r>
                        <w:r>
                          <w:rPr>
                            <w:color w:val="2A2A2A"/>
                            <w:sz w:val="17"/>
                          </w:rPr>
                          <w:t>due </w:t>
                        </w:r>
                        <w:r>
                          <w:rPr>
                            <w:color w:val="414141"/>
                            <w:sz w:val="17"/>
                          </w:rPr>
                          <w:t>afte</w:t>
                        </w:r>
                        <w:r>
                          <w:rPr>
                            <w:color w:val="151515"/>
                            <w:sz w:val="17"/>
                          </w:rPr>
                          <w:t>r</w:t>
                        </w:r>
                      </w:p>
                    </w:tc>
                    <w:tc>
                      <w:tcPr>
                        <w:tcW w:w="572" w:type="dxa"/>
                      </w:tcPr>
                      <w:p>
                        <w:pPr>
                          <w:pStyle w:val="TableParagraph"/>
                          <w:rPr>
                            <w:sz w:val="16"/>
                          </w:rPr>
                        </w:pPr>
                      </w:p>
                    </w:tc>
                    <w:tc>
                      <w:tcPr>
                        <w:tcW w:w="972" w:type="dxa"/>
                      </w:tcPr>
                      <w:p>
                        <w:pPr>
                          <w:pStyle w:val="TableParagraph"/>
                          <w:rPr>
                            <w:sz w:val="16"/>
                          </w:rPr>
                        </w:pPr>
                      </w:p>
                    </w:tc>
                    <w:tc>
                      <w:tcPr>
                        <w:tcW w:w="1820" w:type="dxa"/>
                      </w:tcPr>
                      <w:p>
                        <w:pPr>
                          <w:pStyle w:val="TableParagraph"/>
                          <w:rPr>
                            <w:sz w:val="16"/>
                          </w:rPr>
                        </w:pPr>
                      </w:p>
                    </w:tc>
                    <w:tc>
                      <w:tcPr>
                        <w:tcW w:w="1254" w:type="dxa"/>
                      </w:tcPr>
                      <w:p>
                        <w:pPr>
                          <w:pStyle w:val="TableParagraph"/>
                          <w:rPr>
                            <w:sz w:val="16"/>
                          </w:rPr>
                        </w:pPr>
                      </w:p>
                    </w:tc>
                    <w:tc>
                      <w:tcPr>
                        <w:tcW w:w="852" w:type="dxa"/>
                      </w:tcPr>
                      <w:p>
                        <w:pPr>
                          <w:pStyle w:val="TableParagraph"/>
                          <w:rPr>
                            <w:sz w:val="16"/>
                          </w:rPr>
                        </w:pPr>
                      </w:p>
                    </w:tc>
                  </w:tr>
                  <w:tr>
                    <w:trPr>
                      <w:trHeight w:val="374" w:hRule="atLeast"/>
                    </w:trPr>
                    <w:tc>
                      <w:tcPr>
                        <w:tcW w:w="944" w:type="dxa"/>
                        <w:tcBorders>
                          <w:bottom w:val="single" w:sz="12" w:space="0" w:color="000000"/>
                        </w:tcBorders>
                      </w:tcPr>
                      <w:p>
                        <w:pPr>
                          <w:pStyle w:val="TableParagraph"/>
                          <w:spacing w:before="9"/>
                          <w:ind w:right="55"/>
                          <w:jc w:val="right"/>
                          <w:rPr>
                            <w:sz w:val="16"/>
                          </w:rPr>
                        </w:pPr>
                        <w:r>
                          <w:rPr>
                            <w:color w:val="414141"/>
                            <w:w w:val="105"/>
                            <w:sz w:val="16"/>
                          </w:rPr>
                          <w:t>4</w:t>
                        </w:r>
                        <w:r>
                          <w:rPr>
                            <w:color w:val="606060"/>
                            <w:w w:val="105"/>
                            <w:sz w:val="16"/>
                          </w:rPr>
                          <w:t>,</w:t>
                        </w:r>
                        <w:r>
                          <w:rPr>
                            <w:color w:val="414141"/>
                            <w:w w:val="105"/>
                            <w:sz w:val="16"/>
                          </w:rPr>
                          <w:t>121</w:t>
                        </w:r>
                      </w:p>
                    </w:tc>
                    <w:tc>
                      <w:tcPr>
                        <w:tcW w:w="3299" w:type="dxa"/>
                      </w:tcPr>
                      <w:p>
                        <w:pPr>
                          <w:pStyle w:val="TableParagraph"/>
                          <w:ind w:left="527"/>
                          <w:rPr>
                            <w:sz w:val="17"/>
                          </w:rPr>
                        </w:pPr>
                        <w:r>
                          <w:rPr>
                            <w:color w:val="2A2A2A"/>
                            <w:sz w:val="17"/>
                          </w:rPr>
                          <w:t>more than </w:t>
                        </w:r>
                        <w:r>
                          <w:rPr>
                            <w:color w:val="414141"/>
                            <w:sz w:val="17"/>
                          </w:rPr>
                          <w:t>one </w:t>
                        </w:r>
                        <w:r>
                          <w:rPr>
                            <w:color w:val="2A2A2A"/>
                            <w:sz w:val="17"/>
                          </w:rPr>
                          <w:t>year</w:t>
                        </w:r>
                      </w:p>
                    </w:tc>
                    <w:tc>
                      <w:tcPr>
                        <w:tcW w:w="572" w:type="dxa"/>
                      </w:tcPr>
                      <w:p>
                        <w:pPr>
                          <w:pStyle w:val="TableParagraph"/>
                          <w:spacing w:before="9"/>
                          <w:ind w:right="196"/>
                          <w:jc w:val="right"/>
                          <w:rPr>
                            <w:sz w:val="16"/>
                          </w:rPr>
                        </w:pPr>
                        <w:r>
                          <w:rPr>
                            <w:color w:val="2A2A2A"/>
                            <w:sz w:val="16"/>
                          </w:rPr>
                          <w:t>14</w:t>
                        </w:r>
                      </w:p>
                    </w:tc>
                    <w:tc>
                      <w:tcPr>
                        <w:tcW w:w="972" w:type="dxa"/>
                        <w:tcBorders>
                          <w:bottom w:val="single" w:sz="12" w:space="0" w:color="000000"/>
                        </w:tcBorders>
                      </w:tcPr>
                      <w:p>
                        <w:pPr>
                          <w:pStyle w:val="TableParagraph"/>
                          <w:ind w:right="57"/>
                          <w:jc w:val="right"/>
                          <w:rPr>
                            <w:sz w:val="16"/>
                          </w:rPr>
                        </w:pPr>
                        <w:r>
                          <w:rPr>
                            <w:color w:val="2A2A2A"/>
                            <w:w w:val="105"/>
                            <w:sz w:val="16"/>
                          </w:rPr>
                          <w:t>4</w:t>
                        </w:r>
                        <w:r>
                          <w:rPr>
                            <w:color w:val="606060"/>
                            <w:w w:val="105"/>
                            <w:sz w:val="16"/>
                          </w:rPr>
                          <w:t>,</w:t>
                        </w:r>
                        <w:r>
                          <w:rPr>
                            <w:color w:val="2A2A2A"/>
                            <w:w w:val="105"/>
                            <w:sz w:val="16"/>
                          </w:rPr>
                          <w:t>412</w:t>
                        </w:r>
                      </w:p>
                    </w:tc>
                    <w:tc>
                      <w:tcPr>
                        <w:tcW w:w="1820" w:type="dxa"/>
                        <w:tcBorders>
                          <w:bottom w:val="single" w:sz="12" w:space="0" w:color="000000"/>
                        </w:tcBorders>
                      </w:tcPr>
                      <w:p>
                        <w:pPr>
                          <w:pStyle w:val="TableParagraph"/>
                          <w:rPr>
                            <w:sz w:val="16"/>
                          </w:rPr>
                        </w:pPr>
                      </w:p>
                    </w:tc>
                    <w:tc>
                      <w:tcPr>
                        <w:tcW w:w="1254" w:type="dxa"/>
                        <w:tcBorders>
                          <w:bottom w:val="single" w:sz="12" w:space="0" w:color="000000"/>
                        </w:tcBorders>
                      </w:tcPr>
                      <w:p>
                        <w:pPr>
                          <w:pStyle w:val="TableParagraph"/>
                          <w:spacing w:before="9"/>
                          <w:ind w:left="403" w:right="400"/>
                          <w:jc w:val="center"/>
                          <w:rPr>
                            <w:sz w:val="16"/>
                          </w:rPr>
                        </w:pPr>
                        <w:r>
                          <w:rPr>
                            <w:color w:val="414141"/>
                            <w:w w:val="105"/>
                            <w:sz w:val="16"/>
                          </w:rPr>
                          <w:t>4</w:t>
                        </w:r>
                        <w:r>
                          <w:rPr>
                            <w:color w:val="606060"/>
                            <w:w w:val="105"/>
                            <w:sz w:val="16"/>
                          </w:rPr>
                          <w:t>,</w:t>
                        </w:r>
                        <w:r>
                          <w:rPr>
                            <w:color w:val="2A2A2A"/>
                            <w:w w:val="105"/>
                            <w:sz w:val="16"/>
                          </w:rPr>
                          <w:t>412</w:t>
                        </w:r>
                      </w:p>
                    </w:tc>
                    <w:tc>
                      <w:tcPr>
                        <w:tcW w:w="852" w:type="dxa"/>
                        <w:tcBorders>
                          <w:bottom w:val="single" w:sz="12" w:space="0" w:color="000000"/>
                        </w:tcBorders>
                      </w:tcPr>
                      <w:p>
                        <w:pPr>
                          <w:pStyle w:val="TableParagraph"/>
                          <w:rPr>
                            <w:sz w:val="16"/>
                          </w:rPr>
                        </w:pPr>
                      </w:p>
                    </w:tc>
                  </w:tr>
                  <w:tr>
                    <w:trPr>
                      <w:trHeight w:val="301" w:hRule="atLeast"/>
                    </w:trPr>
                    <w:tc>
                      <w:tcPr>
                        <w:tcW w:w="944" w:type="dxa"/>
                        <w:tcBorders>
                          <w:top w:val="single" w:sz="12" w:space="0" w:color="000000"/>
                        </w:tcBorders>
                      </w:tcPr>
                      <w:p>
                        <w:pPr>
                          <w:pStyle w:val="TableParagraph"/>
                          <w:spacing w:before="9"/>
                          <w:ind w:right="52"/>
                          <w:jc w:val="right"/>
                          <w:rPr>
                            <w:sz w:val="16"/>
                          </w:rPr>
                        </w:pPr>
                        <w:r>
                          <w:rPr>
                            <w:color w:val="414141"/>
                            <w:w w:val="105"/>
                            <w:sz w:val="16"/>
                          </w:rPr>
                          <w:t>52,445</w:t>
                        </w:r>
                      </w:p>
                    </w:tc>
                    <w:tc>
                      <w:tcPr>
                        <w:tcW w:w="3299" w:type="dxa"/>
                      </w:tcPr>
                      <w:p>
                        <w:pPr>
                          <w:pStyle w:val="TableParagraph"/>
                          <w:spacing w:before="9"/>
                          <w:ind w:left="517"/>
                          <w:rPr>
                            <w:b/>
                            <w:sz w:val="16"/>
                          </w:rPr>
                        </w:pPr>
                        <w:r>
                          <w:rPr>
                            <w:b/>
                            <w:color w:val="414141"/>
                            <w:w w:val="105"/>
                            <w:sz w:val="16"/>
                          </w:rPr>
                          <w:t>Ne</w:t>
                        </w:r>
                        <w:r>
                          <w:rPr>
                            <w:b/>
                            <w:color w:val="151515"/>
                            <w:w w:val="105"/>
                            <w:sz w:val="16"/>
                          </w:rPr>
                          <w:t>t </w:t>
                        </w:r>
                        <w:r>
                          <w:rPr>
                            <w:b/>
                            <w:color w:val="2A2A2A"/>
                            <w:w w:val="105"/>
                            <w:sz w:val="16"/>
                          </w:rPr>
                          <w:t>assets excluding pension liability</w:t>
                        </w:r>
                      </w:p>
                    </w:tc>
                    <w:tc>
                      <w:tcPr>
                        <w:tcW w:w="572" w:type="dxa"/>
                      </w:tcPr>
                      <w:p>
                        <w:pPr>
                          <w:pStyle w:val="TableParagraph"/>
                          <w:rPr>
                            <w:sz w:val="16"/>
                          </w:rPr>
                        </w:pPr>
                      </w:p>
                    </w:tc>
                    <w:tc>
                      <w:tcPr>
                        <w:tcW w:w="972" w:type="dxa"/>
                        <w:tcBorders>
                          <w:top w:val="single" w:sz="12" w:space="0" w:color="000000"/>
                        </w:tcBorders>
                      </w:tcPr>
                      <w:p>
                        <w:pPr>
                          <w:pStyle w:val="TableParagraph"/>
                          <w:spacing w:before="9"/>
                          <w:ind w:right="61"/>
                          <w:jc w:val="right"/>
                          <w:rPr>
                            <w:sz w:val="16"/>
                          </w:rPr>
                        </w:pPr>
                        <w:r>
                          <w:rPr>
                            <w:color w:val="414141"/>
                            <w:sz w:val="16"/>
                          </w:rPr>
                          <w:t>58</w:t>
                        </w:r>
                        <w:r>
                          <w:rPr>
                            <w:color w:val="606060"/>
                            <w:sz w:val="16"/>
                          </w:rPr>
                          <w:t>,</w:t>
                        </w:r>
                        <w:r>
                          <w:rPr>
                            <w:color w:val="414141"/>
                            <w:sz w:val="16"/>
                          </w:rPr>
                          <w:t>029</w:t>
                        </w:r>
                      </w:p>
                    </w:tc>
                    <w:tc>
                      <w:tcPr>
                        <w:tcW w:w="1820" w:type="dxa"/>
                        <w:tcBorders>
                          <w:top w:val="single" w:sz="12" w:space="0" w:color="000000"/>
                        </w:tcBorders>
                      </w:tcPr>
                      <w:p>
                        <w:pPr>
                          <w:pStyle w:val="TableParagraph"/>
                          <w:spacing w:before="9"/>
                          <w:ind w:right="408"/>
                          <w:jc w:val="right"/>
                          <w:rPr>
                            <w:sz w:val="16"/>
                          </w:rPr>
                        </w:pPr>
                        <w:r>
                          <w:rPr>
                            <w:color w:val="151515"/>
                            <w:sz w:val="16"/>
                          </w:rPr>
                          <w:t>1</w:t>
                        </w:r>
                        <w:r>
                          <w:rPr>
                            <w:color w:val="414141"/>
                            <w:sz w:val="16"/>
                          </w:rPr>
                          <w:t>7</w:t>
                        </w:r>
                        <w:r>
                          <w:rPr>
                            <w:color w:val="606060"/>
                            <w:sz w:val="16"/>
                          </w:rPr>
                          <w:t>,</w:t>
                        </w:r>
                        <w:r>
                          <w:rPr>
                            <w:color w:val="414141"/>
                            <w:sz w:val="16"/>
                          </w:rPr>
                          <w:t>936</w:t>
                        </w:r>
                      </w:p>
                    </w:tc>
                    <w:tc>
                      <w:tcPr>
                        <w:tcW w:w="1254" w:type="dxa"/>
                        <w:tcBorders>
                          <w:top w:val="single" w:sz="12" w:space="0" w:color="000000"/>
                        </w:tcBorders>
                      </w:tcPr>
                      <w:p>
                        <w:pPr>
                          <w:pStyle w:val="TableParagraph"/>
                          <w:spacing w:before="9"/>
                          <w:ind w:left="360"/>
                          <w:rPr>
                            <w:sz w:val="16"/>
                          </w:rPr>
                        </w:pPr>
                        <w:r>
                          <w:rPr>
                            <w:color w:val="414141"/>
                            <w:sz w:val="16"/>
                          </w:rPr>
                          <w:t>31</w:t>
                        </w:r>
                        <w:r>
                          <w:rPr>
                            <w:color w:val="606060"/>
                            <w:sz w:val="16"/>
                          </w:rPr>
                          <w:t>,</w:t>
                        </w:r>
                        <w:r>
                          <w:rPr>
                            <w:color w:val="414141"/>
                            <w:sz w:val="16"/>
                          </w:rPr>
                          <w:t>300</w:t>
                        </w:r>
                      </w:p>
                    </w:tc>
                    <w:tc>
                      <w:tcPr>
                        <w:tcW w:w="852" w:type="dxa"/>
                        <w:tcBorders>
                          <w:top w:val="single" w:sz="12" w:space="0" w:color="000000"/>
                        </w:tcBorders>
                      </w:tcPr>
                      <w:p>
                        <w:pPr>
                          <w:pStyle w:val="TableParagraph"/>
                          <w:spacing w:before="9"/>
                          <w:ind w:right="77"/>
                          <w:jc w:val="right"/>
                          <w:rPr>
                            <w:sz w:val="16"/>
                          </w:rPr>
                        </w:pPr>
                        <w:r>
                          <w:rPr>
                            <w:color w:val="414141"/>
                            <w:sz w:val="16"/>
                          </w:rPr>
                          <w:t>8</w:t>
                        </w:r>
                        <w:r>
                          <w:rPr>
                            <w:color w:val="606060"/>
                            <w:sz w:val="16"/>
                          </w:rPr>
                          <w:t>,</w:t>
                        </w:r>
                        <w:r>
                          <w:rPr>
                            <w:color w:val="414141"/>
                            <w:sz w:val="16"/>
                          </w:rPr>
                          <w:t>793</w:t>
                        </w:r>
                      </w:p>
                    </w:tc>
                  </w:tr>
                  <w:tr>
                    <w:trPr>
                      <w:trHeight w:val="299" w:hRule="atLeast"/>
                    </w:trPr>
                    <w:tc>
                      <w:tcPr>
                        <w:tcW w:w="944" w:type="dxa"/>
                      </w:tcPr>
                      <w:p>
                        <w:pPr>
                          <w:pStyle w:val="TableParagraph"/>
                          <w:spacing w:line="168" w:lineRule="exact" w:before="111"/>
                          <w:ind w:right="28"/>
                          <w:jc w:val="right"/>
                          <w:rPr>
                            <w:sz w:val="16"/>
                          </w:rPr>
                        </w:pPr>
                        <w:r>
                          <w:rPr>
                            <w:color w:val="606060"/>
                            <w:sz w:val="16"/>
                          </w:rPr>
                          <w:t>(</w:t>
                        </w:r>
                        <w:r>
                          <w:rPr>
                            <w:color w:val="414141"/>
                            <w:sz w:val="16"/>
                          </w:rPr>
                          <w:t>12</w:t>
                        </w:r>
                        <w:r>
                          <w:rPr>
                            <w:color w:val="606060"/>
                            <w:sz w:val="16"/>
                          </w:rPr>
                          <w:t>,</w:t>
                        </w:r>
                        <w:r>
                          <w:rPr>
                            <w:color w:val="414141"/>
                            <w:sz w:val="16"/>
                          </w:rPr>
                          <w:t>907)</w:t>
                        </w:r>
                      </w:p>
                    </w:tc>
                    <w:tc>
                      <w:tcPr>
                        <w:tcW w:w="3299" w:type="dxa"/>
                      </w:tcPr>
                      <w:p>
                        <w:pPr>
                          <w:pStyle w:val="TableParagraph"/>
                          <w:spacing w:line="177" w:lineRule="exact" w:before="102"/>
                          <w:ind w:left="516"/>
                          <w:rPr>
                            <w:sz w:val="17"/>
                          </w:rPr>
                        </w:pPr>
                        <w:r>
                          <w:rPr>
                            <w:color w:val="414141"/>
                            <w:sz w:val="17"/>
                          </w:rPr>
                          <w:t>Defined benefit pension scheme </w:t>
                        </w:r>
                        <w:r>
                          <w:rPr>
                            <w:color w:val="2A2A2A"/>
                            <w:sz w:val="17"/>
                          </w:rPr>
                          <w:t>liability</w:t>
                        </w:r>
                      </w:p>
                    </w:tc>
                    <w:tc>
                      <w:tcPr>
                        <w:tcW w:w="572" w:type="dxa"/>
                      </w:tcPr>
                      <w:p>
                        <w:pPr>
                          <w:pStyle w:val="TableParagraph"/>
                          <w:spacing w:line="168" w:lineRule="exact" w:before="111"/>
                          <w:ind w:right="222"/>
                          <w:jc w:val="right"/>
                          <w:rPr>
                            <w:sz w:val="16"/>
                          </w:rPr>
                        </w:pPr>
                        <w:r>
                          <w:rPr>
                            <w:color w:val="2A2A2A"/>
                            <w:w w:val="90"/>
                            <w:sz w:val="16"/>
                          </w:rPr>
                          <w:t>17</w:t>
                        </w:r>
                      </w:p>
                    </w:tc>
                    <w:tc>
                      <w:tcPr>
                        <w:tcW w:w="972" w:type="dxa"/>
                      </w:tcPr>
                      <w:p>
                        <w:pPr>
                          <w:pStyle w:val="TableParagraph"/>
                          <w:spacing w:line="168" w:lineRule="exact" w:before="111"/>
                          <w:ind w:right="34"/>
                          <w:jc w:val="right"/>
                          <w:rPr>
                            <w:sz w:val="16"/>
                          </w:rPr>
                        </w:pPr>
                        <w:r>
                          <w:rPr>
                            <w:color w:val="414141"/>
                            <w:w w:val="95"/>
                            <w:sz w:val="16"/>
                          </w:rPr>
                          <w:t>(15 </w:t>
                        </w:r>
                        <w:r>
                          <w:rPr>
                            <w:color w:val="606060"/>
                            <w:w w:val="95"/>
                            <w:sz w:val="16"/>
                          </w:rPr>
                          <w:t>,</w:t>
                        </w:r>
                        <w:r>
                          <w:rPr>
                            <w:color w:val="414141"/>
                            <w:w w:val="95"/>
                            <w:sz w:val="16"/>
                          </w:rPr>
                          <w:t>059)</w:t>
                        </w:r>
                      </w:p>
                    </w:tc>
                    <w:tc>
                      <w:tcPr>
                        <w:tcW w:w="1820" w:type="dxa"/>
                      </w:tcPr>
                      <w:p>
                        <w:pPr>
                          <w:pStyle w:val="TableParagraph"/>
                          <w:spacing w:line="168" w:lineRule="exact" w:before="111"/>
                          <w:ind w:right="355"/>
                          <w:jc w:val="right"/>
                          <w:rPr>
                            <w:sz w:val="16"/>
                          </w:rPr>
                        </w:pPr>
                        <w:r>
                          <w:rPr>
                            <w:color w:val="414141"/>
                            <w:sz w:val="16"/>
                          </w:rPr>
                          <w:t>(15,059 </w:t>
                        </w:r>
                        <w:r>
                          <w:rPr>
                            <w:color w:val="606060"/>
                            <w:sz w:val="16"/>
                          </w:rPr>
                          <w:t>)</w:t>
                        </w:r>
                      </w:p>
                    </w:tc>
                    <w:tc>
                      <w:tcPr>
                        <w:tcW w:w="1254" w:type="dxa"/>
                      </w:tcPr>
                      <w:p>
                        <w:pPr>
                          <w:pStyle w:val="TableParagraph"/>
                          <w:rPr>
                            <w:sz w:val="16"/>
                          </w:rPr>
                        </w:pPr>
                      </w:p>
                    </w:tc>
                    <w:tc>
                      <w:tcPr>
                        <w:tcW w:w="852" w:type="dxa"/>
                      </w:tcPr>
                      <w:p>
                        <w:pPr>
                          <w:pStyle w:val="TableParagraph"/>
                          <w:rPr>
                            <w:sz w:val="16"/>
                          </w:rPr>
                        </w:pPr>
                      </w:p>
                    </w:tc>
                  </w:tr>
                  <w:tr>
                    <w:trPr>
                      <w:trHeight w:val="190" w:hRule="atLeast"/>
                    </w:trPr>
                    <w:tc>
                      <w:tcPr>
                        <w:tcW w:w="944" w:type="dxa"/>
                      </w:tcPr>
                      <w:p>
                        <w:pPr>
                          <w:pStyle w:val="TableParagraph"/>
                          <w:spacing w:line="166" w:lineRule="exact" w:before="4"/>
                          <w:ind w:right="38"/>
                          <w:jc w:val="right"/>
                          <w:rPr>
                            <w:sz w:val="16"/>
                          </w:rPr>
                        </w:pPr>
                        <w:r>
                          <w:rPr>
                            <w:color w:val="414141"/>
                            <w:w w:val="95"/>
                            <w:sz w:val="16"/>
                          </w:rPr>
                          <w:t>(4 </w:t>
                        </w:r>
                        <w:r>
                          <w:rPr>
                            <w:color w:val="606060"/>
                            <w:w w:val="95"/>
                            <w:sz w:val="16"/>
                          </w:rPr>
                          <w:t>,</w:t>
                        </w:r>
                        <w:r>
                          <w:rPr>
                            <w:color w:val="414141"/>
                            <w:w w:val="95"/>
                            <w:sz w:val="16"/>
                          </w:rPr>
                          <w:t>128)</w:t>
                        </w:r>
                      </w:p>
                    </w:tc>
                    <w:tc>
                      <w:tcPr>
                        <w:tcW w:w="3299" w:type="dxa"/>
                      </w:tcPr>
                      <w:p>
                        <w:pPr>
                          <w:pStyle w:val="TableParagraph"/>
                          <w:spacing w:line="171" w:lineRule="exact"/>
                          <w:ind w:left="513"/>
                          <w:rPr>
                            <w:sz w:val="17"/>
                          </w:rPr>
                        </w:pPr>
                        <w:r>
                          <w:rPr>
                            <w:color w:val="414141"/>
                            <w:sz w:val="17"/>
                          </w:rPr>
                          <w:t>Other </w:t>
                        </w:r>
                        <w:r>
                          <w:rPr>
                            <w:color w:val="2A2A2A"/>
                            <w:sz w:val="17"/>
                          </w:rPr>
                          <w:t>pension obligations</w:t>
                        </w:r>
                      </w:p>
                    </w:tc>
                    <w:tc>
                      <w:tcPr>
                        <w:tcW w:w="572" w:type="dxa"/>
                      </w:tcPr>
                      <w:p>
                        <w:pPr>
                          <w:pStyle w:val="TableParagraph"/>
                          <w:spacing w:line="166" w:lineRule="exact" w:before="4"/>
                          <w:ind w:right="216"/>
                          <w:jc w:val="right"/>
                          <w:rPr>
                            <w:sz w:val="16"/>
                          </w:rPr>
                        </w:pPr>
                        <w:r>
                          <w:rPr>
                            <w:color w:val="151515"/>
                            <w:w w:val="95"/>
                            <w:sz w:val="16"/>
                          </w:rPr>
                          <w:t>1</w:t>
                        </w:r>
                        <w:r>
                          <w:rPr>
                            <w:color w:val="414141"/>
                            <w:w w:val="95"/>
                            <w:sz w:val="16"/>
                          </w:rPr>
                          <w:t>7</w:t>
                        </w:r>
                      </w:p>
                    </w:tc>
                    <w:tc>
                      <w:tcPr>
                        <w:tcW w:w="972" w:type="dxa"/>
                      </w:tcPr>
                      <w:p>
                        <w:pPr>
                          <w:pStyle w:val="TableParagraph"/>
                          <w:spacing w:line="166" w:lineRule="exact" w:before="4"/>
                          <w:ind w:right="28"/>
                          <w:jc w:val="right"/>
                          <w:rPr>
                            <w:sz w:val="16"/>
                          </w:rPr>
                        </w:pPr>
                        <w:r>
                          <w:rPr>
                            <w:color w:val="606060"/>
                            <w:sz w:val="16"/>
                          </w:rPr>
                          <w:t>,</w:t>
                        </w:r>
                        <w:r>
                          <w:rPr>
                            <w:color w:val="414141"/>
                            <w:sz w:val="16"/>
                          </w:rPr>
                          <w:t>(4 </w:t>
                        </w:r>
                        <w:r>
                          <w:rPr>
                            <w:color w:val="151515"/>
                            <w:sz w:val="16"/>
                          </w:rPr>
                          <w:t>1</w:t>
                        </w:r>
                        <w:r>
                          <w:rPr>
                            <w:color w:val="414141"/>
                            <w:sz w:val="16"/>
                          </w:rPr>
                          <w:t>28)</w:t>
                        </w:r>
                      </w:p>
                    </w:tc>
                    <w:tc>
                      <w:tcPr>
                        <w:tcW w:w="1820" w:type="dxa"/>
                      </w:tcPr>
                      <w:p>
                        <w:pPr>
                          <w:pStyle w:val="TableParagraph"/>
                          <w:rPr>
                            <w:sz w:val="12"/>
                          </w:rPr>
                        </w:pPr>
                      </w:p>
                    </w:tc>
                    <w:tc>
                      <w:tcPr>
                        <w:tcW w:w="1254" w:type="dxa"/>
                      </w:tcPr>
                      <w:p>
                        <w:pPr>
                          <w:pStyle w:val="TableParagraph"/>
                          <w:spacing w:line="166" w:lineRule="exact" w:before="4"/>
                          <w:ind w:left="359"/>
                          <w:rPr>
                            <w:sz w:val="16"/>
                          </w:rPr>
                        </w:pPr>
                        <w:r>
                          <w:rPr>
                            <w:color w:val="606060"/>
                            <w:sz w:val="16"/>
                          </w:rPr>
                          <w:t>,</w:t>
                        </w:r>
                        <w:r>
                          <w:rPr>
                            <w:color w:val="414141"/>
                            <w:sz w:val="16"/>
                          </w:rPr>
                          <w:t>(4 </w:t>
                        </w:r>
                        <w:r>
                          <w:rPr>
                            <w:color w:val="2A2A2A"/>
                            <w:sz w:val="16"/>
                          </w:rPr>
                          <w:t>128)</w:t>
                        </w:r>
                      </w:p>
                    </w:tc>
                    <w:tc>
                      <w:tcPr>
                        <w:tcW w:w="852" w:type="dxa"/>
                      </w:tcPr>
                      <w:p>
                        <w:pPr>
                          <w:pStyle w:val="TableParagraph"/>
                          <w:rPr>
                            <w:sz w:val="12"/>
                          </w:rPr>
                        </w:pPr>
                      </w:p>
                    </w:tc>
                  </w:tr>
                </w:tbl>
                <w:p>
                  <w:pPr>
                    <w:pStyle w:val="BodyText"/>
                  </w:pPr>
                </w:p>
              </w:txbxContent>
            </v:textbox>
            <w10:wrap type="none"/>
          </v:shape>
        </w:pict>
      </w:r>
      <w:r>
        <w:rPr>
          <w:rFonts w:ascii="Arial"/>
          <w:color w:val="414141"/>
          <w:sz w:val="38"/>
        </w:rPr>
        <w:t>,,;</w:t>
      </w:r>
      <w:r>
        <w:rPr>
          <w:rFonts w:ascii="Arial"/>
          <w:color w:val="2A2A2A"/>
          <w:sz w:val="38"/>
        </w:rPr>
        <w:t>I</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6"/>
        </w:rPr>
      </w:pPr>
    </w:p>
    <w:tbl>
      <w:tblPr>
        <w:tblW w:w="0" w:type="auto"/>
        <w:jc w:val="left"/>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5"/>
        <w:gridCol w:w="3870"/>
        <w:gridCol w:w="4908"/>
      </w:tblGrid>
      <w:tr>
        <w:trPr>
          <w:trHeight w:val="614" w:hRule="atLeast"/>
        </w:trPr>
        <w:tc>
          <w:tcPr>
            <w:tcW w:w="935" w:type="dxa"/>
            <w:tcBorders>
              <w:top w:val="single" w:sz="12" w:space="0" w:color="000000"/>
            </w:tcBorders>
          </w:tcPr>
          <w:p>
            <w:pPr>
              <w:pStyle w:val="TableParagraph"/>
              <w:tabs>
                <w:tab w:pos="397" w:val="left" w:leader="none"/>
              </w:tabs>
              <w:spacing w:line="183" w:lineRule="exact"/>
              <w:ind w:right="-15"/>
              <w:jc w:val="right"/>
              <w:rPr>
                <w:sz w:val="16"/>
              </w:rPr>
            </w:pPr>
            <w:r>
              <w:rPr>
                <w:color w:val="414141"/>
                <w:w w:val="100"/>
                <w:sz w:val="16"/>
                <w:u w:val="thick" w:color="000000"/>
              </w:rPr>
              <w:t> </w:t>
            </w:r>
            <w:r>
              <w:rPr>
                <w:color w:val="414141"/>
                <w:sz w:val="16"/>
                <w:u w:val="thick" w:color="000000"/>
              </w:rPr>
              <w:tab/>
            </w:r>
            <w:r>
              <w:rPr>
                <w:color w:val="414141"/>
                <w:w w:val="105"/>
                <w:sz w:val="16"/>
                <w:u w:val="thick" w:color="000000"/>
              </w:rPr>
              <w:t>35,410</w:t>
            </w:r>
            <w:r>
              <w:rPr>
                <w:color w:val="414141"/>
                <w:spacing w:val="-8"/>
                <w:sz w:val="16"/>
                <w:u w:val="thick" w:color="000000"/>
              </w:rPr>
              <w:t> </w:t>
            </w:r>
          </w:p>
        </w:tc>
        <w:tc>
          <w:tcPr>
            <w:tcW w:w="3870" w:type="dxa"/>
          </w:tcPr>
          <w:p>
            <w:pPr>
              <w:pStyle w:val="TableParagraph"/>
              <w:spacing w:line="183" w:lineRule="exact"/>
              <w:ind w:left="507"/>
              <w:rPr>
                <w:b/>
                <w:sz w:val="16"/>
              </w:rPr>
            </w:pPr>
            <w:r>
              <w:rPr>
                <w:b/>
                <w:color w:val="414141"/>
                <w:w w:val="105"/>
                <w:sz w:val="16"/>
              </w:rPr>
              <w:t>Net </w:t>
            </w:r>
            <w:r>
              <w:rPr>
                <w:b/>
                <w:color w:val="2A2A2A"/>
                <w:w w:val="105"/>
                <w:sz w:val="16"/>
              </w:rPr>
              <w:t>assets </w:t>
            </w:r>
            <w:r>
              <w:rPr>
                <w:b/>
                <w:color w:val="151515"/>
                <w:w w:val="105"/>
                <w:sz w:val="16"/>
              </w:rPr>
              <w:t>including pension liability</w:t>
            </w:r>
          </w:p>
          <w:p>
            <w:pPr>
              <w:pStyle w:val="TableParagraph"/>
              <w:spacing w:before="9"/>
              <w:rPr>
                <w:rFonts w:ascii="Arial"/>
                <w:sz w:val="20"/>
              </w:rPr>
            </w:pPr>
          </w:p>
          <w:p>
            <w:pPr>
              <w:pStyle w:val="TableParagraph"/>
              <w:spacing w:line="172" w:lineRule="exact"/>
              <w:ind w:left="505"/>
              <w:rPr>
                <w:b/>
                <w:sz w:val="16"/>
              </w:rPr>
            </w:pPr>
            <w:r>
              <w:rPr>
                <w:b/>
                <w:color w:val="414141"/>
                <w:w w:val="110"/>
                <w:sz w:val="16"/>
              </w:rPr>
              <w:t>Un</w:t>
            </w:r>
            <w:r>
              <w:rPr>
                <w:b/>
                <w:color w:val="151515"/>
                <w:w w:val="110"/>
                <w:sz w:val="16"/>
              </w:rPr>
              <w:t>re</w:t>
            </w:r>
            <w:r>
              <w:rPr>
                <w:b/>
                <w:color w:val="414141"/>
                <w:w w:val="110"/>
                <w:sz w:val="16"/>
              </w:rPr>
              <w:t>st</w:t>
            </w:r>
            <w:r>
              <w:rPr>
                <w:b/>
                <w:color w:val="151515"/>
                <w:w w:val="110"/>
                <w:sz w:val="16"/>
              </w:rPr>
              <w:t>ricted</w:t>
            </w:r>
            <w:r>
              <w:rPr>
                <w:b/>
                <w:w w:val="110"/>
                <w:sz w:val="16"/>
              </w:rPr>
              <w:t>i</w:t>
            </w:r>
            <w:r>
              <w:rPr>
                <w:b/>
                <w:color w:val="2A2A2A"/>
                <w:w w:val="110"/>
                <w:sz w:val="16"/>
              </w:rPr>
              <w:t>ncome </w:t>
            </w:r>
            <w:r>
              <w:rPr>
                <w:b/>
                <w:color w:val="151515"/>
                <w:w w:val="110"/>
                <w:sz w:val="16"/>
              </w:rPr>
              <w:t>fund</w:t>
            </w:r>
            <w:r>
              <w:rPr>
                <w:b/>
                <w:color w:val="414141"/>
                <w:w w:val="110"/>
                <w:sz w:val="16"/>
              </w:rPr>
              <w:t>s</w:t>
            </w:r>
          </w:p>
        </w:tc>
        <w:tc>
          <w:tcPr>
            <w:tcW w:w="4908" w:type="dxa"/>
            <w:tcBorders>
              <w:top w:val="single" w:sz="12" w:space="0" w:color="000000"/>
            </w:tcBorders>
          </w:tcPr>
          <w:p>
            <w:pPr>
              <w:pStyle w:val="TableParagraph"/>
              <w:tabs>
                <w:tab w:pos="456" w:val="left" w:leader="none"/>
                <w:tab w:pos="1999" w:val="left" w:leader="none"/>
                <w:tab w:pos="3136" w:val="left" w:leader="none"/>
                <w:tab w:pos="4429" w:val="left" w:leader="none"/>
              </w:tabs>
              <w:spacing w:line="183" w:lineRule="exact"/>
              <w:ind w:right="-15"/>
              <w:rPr>
                <w:sz w:val="16"/>
              </w:rPr>
            </w:pPr>
            <w:r>
              <w:rPr>
                <w:color w:val="414141"/>
                <w:w w:val="100"/>
                <w:sz w:val="16"/>
                <w:u w:val="thick" w:color="000000"/>
              </w:rPr>
              <w:t> </w:t>
            </w:r>
            <w:r>
              <w:rPr>
                <w:color w:val="414141"/>
                <w:sz w:val="16"/>
                <w:u w:val="thick" w:color="000000"/>
              </w:rPr>
              <w:tab/>
            </w:r>
            <w:r>
              <w:rPr>
                <w:color w:val="414141"/>
                <w:w w:val="105"/>
                <w:sz w:val="16"/>
                <w:u w:val="thick" w:color="000000"/>
              </w:rPr>
              <w:t>38,842</w:t>
              <w:tab/>
              <w:t>2,877</w:t>
              <w:tab/>
              <w:t>27,172</w:t>
              <w:tab/>
            </w:r>
            <w:r>
              <w:rPr>
                <w:color w:val="2A2A2A"/>
                <w:w w:val="105"/>
                <w:sz w:val="16"/>
                <w:u w:val="thick" w:color="000000"/>
              </w:rPr>
              <w:t>8,793</w:t>
            </w:r>
            <w:r>
              <w:rPr>
                <w:color w:val="2A2A2A"/>
                <w:spacing w:val="5"/>
                <w:sz w:val="16"/>
                <w:u w:val="thick" w:color="000000"/>
              </w:rPr>
              <w:t> </w:t>
            </w:r>
          </w:p>
        </w:tc>
      </w:tr>
      <w:tr>
        <w:trPr>
          <w:trHeight w:val="203" w:hRule="atLeast"/>
        </w:trPr>
        <w:tc>
          <w:tcPr>
            <w:tcW w:w="935" w:type="dxa"/>
          </w:tcPr>
          <w:p>
            <w:pPr>
              <w:pStyle w:val="TableParagraph"/>
              <w:spacing w:line="173" w:lineRule="exact" w:before="10"/>
              <w:ind w:right="66"/>
              <w:jc w:val="right"/>
              <w:rPr>
                <w:sz w:val="16"/>
              </w:rPr>
            </w:pPr>
            <w:r>
              <w:rPr>
                <w:color w:val="2A2A2A"/>
                <w:w w:val="105"/>
                <w:sz w:val="16"/>
              </w:rPr>
              <w:t>15</w:t>
            </w:r>
            <w:r>
              <w:rPr>
                <w:color w:val="606060"/>
                <w:w w:val="105"/>
                <w:sz w:val="16"/>
              </w:rPr>
              <w:t>,</w:t>
            </w:r>
            <w:r>
              <w:rPr>
                <w:color w:val="414141"/>
                <w:w w:val="105"/>
                <w:sz w:val="16"/>
              </w:rPr>
              <w:t>817</w:t>
            </w:r>
          </w:p>
        </w:tc>
        <w:tc>
          <w:tcPr>
            <w:tcW w:w="3870" w:type="dxa"/>
          </w:tcPr>
          <w:p>
            <w:pPr>
              <w:pStyle w:val="TableParagraph"/>
              <w:spacing w:line="182" w:lineRule="exact" w:before="1"/>
              <w:ind w:left="802"/>
              <w:rPr>
                <w:sz w:val="17"/>
              </w:rPr>
            </w:pPr>
            <w:r>
              <w:rPr>
                <w:color w:val="414141"/>
                <w:sz w:val="17"/>
              </w:rPr>
              <w:t>General</w:t>
            </w:r>
          </w:p>
        </w:tc>
        <w:tc>
          <w:tcPr>
            <w:tcW w:w="4908" w:type="dxa"/>
          </w:tcPr>
          <w:p>
            <w:pPr>
              <w:pStyle w:val="TableParagraph"/>
              <w:spacing w:line="173" w:lineRule="exact" w:before="10"/>
              <w:ind w:left="453"/>
              <w:rPr>
                <w:sz w:val="16"/>
              </w:rPr>
            </w:pPr>
            <w:r>
              <w:rPr>
                <w:color w:val="414141"/>
                <w:w w:val="105"/>
                <w:sz w:val="16"/>
              </w:rPr>
              <w:t>17,936</w:t>
            </w:r>
          </w:p>
        </w:tc>
      </w:tr>
      <w:tr>
        <w:trPr>
          <w:trHeight w:val="193" w:hRule="atLeast"/>
        </w:trPr>
        <w:tc>
          <w:tcPr>
            <w:tcW w:w="935" w:type="dxa"/>
            <w:tcBorders>
              <w:bottom w:val="single" w:sz="12" w:space="0" w:color="000000"/>
            </w:tcBorders>
          </w:tcPr>
          <w:p>
            <w:pPr>
              <w:pStyle w:val="TableParagraph"/>
              <w:spacing w:line="172" w:lineRule="exact" w:before="18"/>
              <w:ind w:right="22"/>
              <w:jc w:val="right"/>
              <w:rPr>
                <w:sz w:val="16"/>
              </w:rPr>
            </w:pPr>
            <w:r>
              <w:rPr>
                <w:color w:val="414141"/>
                <w:sz w:val="16"/>
              </w:rPr>
              <w:t>12</w:t>
            </w:r>
            <w:r>
              <w:rPr>
                <w:color w:val="606060"/>
                <w:sz w:val="16"/>
              </w:rPr>
              <w:t>,</w:t>
            </w:r>
            <w:r>
              <w:rPr>
                <w:color w:val="414141"/>
                <w:sz w:val="16"/>
              </w:rPr>
              <w:t>907}</w:t>
            </w:r>
          </w:p>
        </w:tc>
        <w:tc>
          <w:tcPr>
            <w:tcW w:w="3870" w:type="dxa"/>
          </w:tcPr>
          <w:p>
            <w:pPr>
              <w:pStyle w:val="TableParagraph"/>
              <w:spacing w:line="191" w:lineRule="exact"/>
              <w:ind w:left="805"/>
              <w:rPr>
                <w:sz w:val="17"/>
              </w:rPr>
            </w:pPr>
            <w:r>
              <w:rPr>
                <w:color w:val="414141"/>
                <w:sz w:val="17"/>
              </w:rPr>
              <w:t>Pension reserve</w:t>
            </w:r>
          </w:p>
        </w:tc>
        <w:tc>
          <w:tcPr>
            <w:tcW w:w="4908" w:type="dxa"/>
          </w:tcPr>
          <w:p>
            <w:pPr>
              <w:pStyle w:val="TableParagraph"/>
              <w:spacing w:line="182" w:lineRule="exact" w:before="9"/>
              <w:ind w:left="388"/>
              <w:rPr>
                <w:sz w:val="16"/>
              </w:rPr>
            </w:pPr>
            <w:r>
              <w:rPr>
                <w:color w:val="414141"/>
                <w:sz w:val="16"/>
              </w:rPr>
              <w:t>(15,059}</w:t>
            </w:r>
          </w:p>
        </w:tc>
      </w:tr>
      <w:tr>
        <w:trPr>
          <w:trHeight w:val="184" w:hRule="atLeast"/>
        </w:trPr>
        <w:tc>
          <w:tcPr>
            <w:tcW w:w="935" w:type="dxa"/>
            <w:tcBorders>
              <w:top w:val="single" w:sz="12" w:space="0" w:color="000000"/>
            </w:tcBorders>
          </w:tcPr>
          <w:p>
            <w:pPr>
              <w:pStyle w:val="TableParagraph"/>
              <w:spacing w:line="148" w:lineRule="exact"/>
              <w:ind w:right="75"/>
              <w:jc w:val="right"/>
              <w:rPr>
                <w:sz w:val="16"/>
              </w:rPr>
            </w:pPr>
            <w:r>
              <w:rPr>
                <w:color w:val="414141"/>
                <w:sz w:val="16"/>
              </w:rPr>
              <w:t>2</w:t>
            </w:r>
            <w:r>
              <w:rPr>
                <w:color w:val="606060"/>
                <w:sz w:val="16"/>
              </w:rPr>
              <w:t>,</w:t>
            </w:r>
            <w:r>
              <w:rPr>
                <w:color w:val="414141"/>
                <w:sz w:val="16"/>
              </w:rPr>
              <w:t>9</w:t>
            </w:r>
            <w:r>
              <w:rPr>
                <w:color w:val="151515"/>
                <w:sz w:val="16"/>
              </w:rPr>
              <w:t>10</w:t>
            </w:r>
          </w:p>
        </w:tc>
        <w:tc>
          <w:tcPr>
            <w:tcW w:w="3870" w:type="dxa"/>
          </w:tcPr>
          <w:p>
            <w:pPr>
              <w:pStyle w:val="TableParagraph"/>
              <w:spacing w:line="148" w:lineRule="exact"/>
              <w:ind w:left="802"/>
              <w:rPr>
                <w:sz w:val="17"/>
              </w:rPr>
            </w:pPr>
            <w:r>
              <w:rPr>
                <w:color w:val="414141"/>
                <w:sz w:val="17"/>
              </w:rPr>
              <w:t>Total</w:t>
            </w:r>
          </w:p>
        </w:tc>
        <w:tc>
          <w:tcPr>
            <w:tcW w:w="4908" w:type="dxa"/>
          </w:tcPr>
          <w:p>
            <w:pPr>
              <w:pStyle w:val="TableParagraph"/>
              <w:spacing w:line="148" w:lineRule="exact"/>
              <w:ind w:left="465"/>
              <w:rPr>
                <w:sz w:val="16"/>
              </w:rPr>
            </w:pPr>
            <w:r>
              <w:rPr>
                <w:color w:val="606060"/>
                <w:sz w:val="16"/>
              </w:rPr>
              <w:t>, </w:t>
            </w:r>
            <w:r>
              <w:rPr>
                <w:color w:val="414141"/>
                <w:sz w:val="16"/>
              </w:rPr>
              <w:t>2 877</w:t>
            </w:r>
          </w:p>
        </w:tc>
      </w:tr>
      <w:tr>
        <w:trPr>
          <w:trHeight w:val="200" w:hRule="atLeast"/>
        </w:trPr>
        <w:tc>
          <w:tcPr>
            <w:tcW w:w="935" w:type="dxa"/>
          </w:tcPr>
          <w:p>
            <w:pPr>
              <w:pStyle w:val="TableParagraph"/>
              <w:spacing w:line="176" w:lineRule="exact" w:before="4"/>
              <w:ind w:right="68"/>
              <w:jc w:val="right"/>
              <w:rPr>
                <w:sz w:val="16"/>
              </w:rPr>
            </w:pPr>
            <w:r>
              <w:rPr>
                <w:color w:val="414141"/>
                <w:w w:val="105"/>
                <w:sz w:val="16"/>
              </w:rPr>
              <w:t>24,759</w:t>
            </w:r>
          </w:p>
        </w:tc>
        <w:tc>
          <w:tcPr>
            <w:tcW w:w="3870" w:type="dxa"/>
          </w:tcPr>
          <w:p>
            <w:pPr>
              <w:pStyle w:val="TableParagraph"/>
              <w:spacing w:line="176" w:lineRule="exact" w:before="4"/>
              <w:ind w:left="506"/>
              <w:rPr>
                <w:b/>
                <w:sz w:val="16"/>
              </w:rPr>
            </w:pPr>
            <w:r>
              <w:rPr>
                <w:b/>
                <w:color w:val="151515"/>
                <w:w w:val="105"/>
                <w:sz w:val="16"/>
              </w:rPr>
              <w:t>Re</w:t>
            </w:r>
            <w:r>
              <w:rPr>
                <w:b/>
                <w:color w:val="414141"/>
                <w:w w:val="105"/>
                <w:sz w:val="16"/>
              </w:rPr>
              <w:t>s</w:t>
            </w:r>
            <w:r>
              <w:rPr>
                <w:b/>
                <w:color w:val="151515"/>
                <w:w w:val="105"/>
                <w:sz w:val="16"/>
              </w:rPr>
              <w:t>tricted </w:t>
            </w:r>
            <w:r>
              <w:rPr>
                <w:b/>
                <w:w w:val="105"/>
                <w:sz w:val="16"/>
              </w:rPr>
              <w:t>in</w:t>
            </w:r>
            <w:r>
              <w:rPr>
                <w:b/>
                <w:color w:val="2A2A2A"/>
                <w:w w:val="105"/>
                <w:sz w:val="16"/>
              </w:rPr>
              <w:t>come </w:t>
            </w:r>
            <w:r>
              <w:rPr>
                <w:b/>
                <w:color w:val="151515"/>
                <w:w w:val="105"/>
                <w:sz w:val="16"/>
              </w:rPr>
              <w:t>fund</w:t>
            </w:r>
            <w:r>
              <w:rPr>
                <w:b/>
                <w:color w:val="414141"/>
                <w:w w:val="105"/>
                <w:sz w:val="16"/>
              </w:rPr>
              <w:t>s</w:t>
            </w:r>
          </w:p>
        </w:tc>
        <w:tc>
          <w:tcPr>
            <w:tcW w:w="4908" w:type="dxa"/>
          </w:tcPr>
          <w:p>
            <w:pPr>
              <w:pStyle w:val="TableParagraph"/>
              <w:spacing w:line="176" w:lineRule="exact" w:before="4"/>
              <w:ind w:left="449"/>
              <w:rPr>
                <w:sz w:val="16"/>
              </w:rPr>
            </w:pPr>
            <w:r>
              <w:rPr>
                <w:color w:val="414141"/>
                <w:w w:val="110"/>
                <w:sz w:val="16"/>
              </w:rPr>
              <w:t>27</w:t>
            </w:r>
            <w:r>
              <w:rPr>
                <w:color w:val="606060"/>
                <w:w w:val="110"/>
                <w:sz w:val="16"/>
              </w:rPr>
              <w:t>,</w:t>
            </w:r>
            <w:r>
              <w:rPr>
                <w:color w:val="414141"/>
                <w:w w:val="110"/>
                <w:sz w:val="16"/>
              </w:rPr>
              <w:t>172</w:t>
            </w:r>
          </w:p>
        </w:tc>
      </w:tr>
      <w:tr>
        <w:trPr>
          <w:trHeight w:val="371" w:hRule="atLeast"/>
        </w:trPr>
        <w:tc>
          <w:tcPr>
            <w:tcW w:w="935" w:type="dxa"/>
            <w:tcBorders>
              <w:bottom w:val="single" w:sz="12" w:space="0" w:color="000000"/>
            </w:tcBorders>
          </w:tcPr>
          <w:p>
            <w:pPr>
              <w:pStyle w:val="TableParagraph"/>
              <w:spacing w:before="5"/>
              <w:ind w:right="61"/>
              <w:jc w:val="right"/>
              <w:rPr>
                <w:sz w:val="16"/>
              </w:rPr>
            </w:pPr>
            <w:r>
              <w:rPr>
                <w:color w:val="2A2A2A"/>
                <w:w w:val="105"/>
                <w:sz w:val="16"/>
              </w:rPr>
              <w:t>7,741</w:t>
            </w:r>
          </w:p>
        </w:tc>
        <w:tc>
          <w:tcPr>
            <w:tcW w:w="3870" w:type="dxa"/>
          </w:tcPr>
          <w:p>
            <w:pPr>
              <w:pStyle w:val="TableParagraph"/>
              <w:spacing w:before="5"/>
              <w:ind w:left="503"/>
              <w:rPr>
                <w:b/>
                <w:sz w:val="16"/>
              </w:rPr>
            </w:pPr>
            <w:r>
              <w:rPr>
                <w:b/>
                <w:color w:val="2A2A2A"/>
                <w:w w:val="105"/>
                <w:sz w:val="16"/>
              </w:rPr>
              <w:t>Capital funds</w:t>
            </w:r>
          </w:p>
        </w:tc>
        <w:tc>
          <w:tcPr>
            <w:tcW w:w="4908" w:type="dxa"/>
          </w:tcPr>
          <w:p>
            <w:pPr>
              <w:pStyle w:val="TableParagraph"/>
              <w:spacing w:before="5"/>
              <w:ind w:left="529"/>
              <w:rPr>
                <w:sz w:val="16"/>
              </w:rPr>
            </w:pPr>
            <w:r>
              <w:rPr>
                <w:color w:val="414141"/>
                <w:w w:val="105"/>
                <w:sz w:val="16"/>
              </w:rPr>
              <w:t>8,793</w:t>
            </w:r>
          </w:p>
        </w:tc>
      </w:tr>
      <w:tr>
        <w:trPr>
          <w:trHeight w:val="192" w:hRule="atLeast"/>
        </w:trPr>
        <w:tc>
          <w:tcPr>
            <w:tcW w:w="935" w:type="dxa"/>
            <w:tcBorders>
              <w:top w:val="single" w:sz="12" w:space="0" w:color="000000"/>
            </w:tcBorders>
          </w:tcPr>
          <w:p>
            <w:pPr>
              <w:pStyle w:val="TableParagraph"/>
              <w:tabs>
                <w:tab w:pos="397" w:val="left" w:leader="none"/>
              </w:tabs>
              <w:spacing w:line="164" w:lineRule="exact" w:before="9"/>
              <w:ind w:right="-15"/>
              <w:jc w:val="right"/>
              <w:rPr>
                <w:sz w:val="16"/>
              </w:rPr>
            </w:pPr>
            <w:r>
              <w:rPr>
                <w:color w:val="414141"/>
                <w:w w:val="100"/>
                <w:sz w:val="16"/>
                <w:u w:val="thick" w:color="000000"/>
              </w:rPr>
              <w:t> </w:t>
            </w:r>
            <w:r>
              <w:rPr>
                <w:color w:val="414141"/>
                <w:sz w:val="16"/>
                <w:u w:val="thick" w:color="000000"/>
              </w:rPr>
              <w:tab/>
            </w:r>
            <w:r>
              <w:rPr>
                <w:color w:val="414141"/>
                <w:w w:val="105"/>
                <w:sz w:val="16"/>
                <w:u w:val="thick" w:color="000000"/>
              </w:rPr>
              <w:t>35,410</w:t>
            </w:r>
            <w:r>
              <w:rPr>
                <w:color w:val="414141"/>
                <w:spacing w:val="-8"/>
                <w:sz w:val="16"/>
                <w:u w:val="thick" w:color="000000"/>
              </w:rPr>
              <w:t> </w:t>
            </w:r>
          </w:p>
        </w:tc>
        <w:tc>
          <w:tcPr>
            <w:tcW w:w="3870" w:type="dxa"/>
          </w:tcPr>
          <w:p>
            <w:pPr>
              <w:pStyle w:val="TableParagraph"/>
              <w:spacing w:line="173" w:lineRule="exact"/>
              <w:ind w:left="503"/>
              <w:rPr>
                <w:b/>
                <w:sz w:val="16"/>
              </w:rPr>
            </w:pPr>
            <w:r>
              <w:rPr>
                <w:b/>
                <w:color w:val="2A2A2A"/>
                <w:w w:val="105"/>
                <w:sz w:val="16"/>
              </w:rPr>
              <w:t>TOTAL </w:t>
            </w:r>
            <w:r>
              <w:rPr>
                <w:b/>
                <w:color w:val="414141"/>
                <w:w w:val="105"/>
                <w:sz w:val="16"/>
              </w:rPr>
              <w:t>FUNDS </w:t>
            </w:r>
            <w:r>
              <w:rPr>
                <w:b/>
                <w:color w:val="2A2A2A"/>
                <w:w w:val="105"/>
                <w:sz w:val="16"/>
              </w:rPr>
              <w:t>(see page </w:t>
            </w:r>
            <w:r>
              <w:rPr>
                <w:b/>
                <w:color w:val="151515"/>
                <w:w w:val="105"/>
                <w:sz w:val="16"/>
              </w:rPr>
              <w:t>12)</w:t>
            </w:r>
          </w:p>
        </w:tc>
        <w:tc>
          <w:tcPr>
            <w:tcW w:w="4908" w:type="dxa"/>
          </w:tcPr>
          <w:p>
            <w:pPr>
              <w:pStyle w:val="TableParagraph"/>
              <w:tabs>
                <w:tab w:pos="446" w:val="left" w:leader="none"/>
              </w:tabs>
              <w:spacing w:line="173" w:lineRule="exact"/>
              <w:rPr>
                <w:sz w:val="16"/>
              </w:rPr>
            </w:pPr>
            <w:r>
              <w:rPr>
                <w:color w:val="414141"/>
                <w:w w:val="100"/>
                <w:sz w:val="16"/>
                <w:u w:val="thick" w:color="000000"/>
              </w:rPr>
              <w:t> </w:t>
            </w:r>
            <w:r>
              <w:rPr>
                <w:color w:val="414141"/>
                <w:sz w:val="16"/>
                <w:u w:val="thick" w:color="000000"/>
              </w:rPr>
              <w:tab/>
            </w:r>
            <w:r>
              <w:rPr>
                <w:color w:val="414141"/>
                <w:spacing w:val="-3"/>
                <w:w w:val="110"/>
                <w:sz w:val="16"/>
                <w:u w:val="thick" w:color="000000"/>
              </w:rPr>
              <w:t>38</w:t>
            </w:r>
            <w:r>
              <w:rPr>
                <w:color w:val="606060"/>
                <w:spacing w:val="-3"/>
                <w:w w:val="110"/>
                <w:sz w:val="16"/>
                <w:u w:val="thick" w:color="000000"/>
              </w:rPr>
              <w:t>,</w:t>
            </w:r>
            <w:r>
              <w:rPr>
                <w:color w:val="414141"/>
                <w:spacing w:val="-3"/>
                <w:w w:val="110"/>
                <w:sz w:val="16"/>
                <w:u w:val="thick" w:color="000000"/>
              </w:rPr>
              <w:t>842</w:t>
            </w:r>
            <w:r>
              <w:rPr>
                <w:color w:val="414141"/>
                <w:spacing w:val="18"/>
                <w:sz w:val="16"/>
                <w:u w:val="thick" w:color="000000"/>
              </w:rPr>
              <w:t> </w:t>
            </w:r>
          </w:p>
        </w:tc>
      </w:tr>
    </w:tbl>
    <w:p>
      <w:pPr>
        <w:pStyle w:val="BodyText"/>
        <w:spacing w:before="1"/>
        <w:rPr>
          <w:rFonts w:ascii="Arial"/>
          <w:sz w:val="40"/>
        </w:rPr>
      </w:pPr>
    </w:p>
    <w:p>
      <w:pPr>
        <w:spacing w:before="0"/>
        <w:ind w:left="191" w:right="0" w:firstLine="0"/>
        <w:jc w:val="left"/>
        <w:rPr>
          <w:rFonts w:ascii="Times New Roman"/>
          <w:sz w:val="17"/>
        </w:rPr>
      </w:pPr>
      <w:r>
        <w:rPr>
          <w:rFonts w:ascii="Times New Roman"/>
          <w:color w:val="414141"/>
          <w:w w:val="105"/>
          <w:sz w:val="17"/>
        </w:rPr>
        <w:t>Approved </w:t>
      </w:r>
      <w:r>
        <w:rPr>
          <w:rFonts w:ascii="Times New Roman"/>
          <w:color w:val="2A2A2A"/>
          <w:w w:val="105"/>
          <w:sz w:val="17"/>
        </w:rPr>
        <w:t>by the </w:t>
      </w:r>
      <w:r>
        <w:rPr>
          <w:rFonts w:ascii="Times New Roman"/>
          <w:color w:val="414141"/>
          <w:w w:val="105"/>
          <w:sz w:val="17"/>
        </w:rPr>
        <w:t>Trustee on </w:t>
      </w:r>
      <w:r>
        <w:rPr>
          <w:rFonts w:ascii="Times New Roman"/>
          <w:color w:val="2A2A2A"/>
          <w:w w:val="105"/>
          <w:sz w:val="18"/>
        </w:rPr>
        <w:t>17 </w:t>
      </w:r>
      <w:r>
        <w:rPr>
          <w:rFonts w:ascii="Times New Roman"/>
          <w:color w:val="2A2A2A"/>
          <w:w w:val="105"/>
          <w:sz w:val="17"/>
        </w:rPr>
        <w:t>May </w:t>
      </w:r>
      <w:r>
        <w:rPr>
          <w:rFonts w:ascii="Times New Roman"/>
          <w:color w:val="414141"/>
          <w:w w:val="105"/>
          <w:sz w:val="18"/>
        </w:rPr>
        <w:t>2007 </w:t>
      </w:r>
      <w:r>
        <w:rPr>
          <w:rFonts w:ascii="Times New Roman"/>
          <w:color w:val="414141"/>
          <w:w w:val="105"/>
          <w:sz w:val="17"/>
        </w:rPr>
        <w:t>and signed on its </w:t>
      </w:r>
      <w:r>
        <w:rPr>
          <w:rFonts w:ascii="Times New Roman"/>
          <w:color w:val="2A2A2A"/>
          <w:w w:val="105"/>
          <w:sz w:val="17"/>
        </w:rPr>
        <w:t>behalf </w:t>
      </w:r>
      <w:r>
        <w:rPr>
          <w:rFonts w:ascii="Times New Roman"/>
          <w:color w:val="414141"/>
          <w:w w:val="105"/>
          <w:sz w:val="17"/>
        </w:rPr>
        <w:t>by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after="0"/>
        <w:rPr>
          <w:rFonts w:ascii="Times New Roman"/>
          <w:sz w:val="16"/>
        </w:rPr>
        <w:sectPr>
          <w:headerReference w:type="even" r:id="rId502"/>
          <w:footerReference w:type="even" r:id="rId503"/>
          <w:pgSz w:w="10950" w:h="15880"/>
          <w:pgMar w:header="0" w:footer="0" w:top="200" w:bottom="280" w:left="500" w:right="0"/>
        </w:sectPr>
      </w:pPr>
    </w:p>
    <w:p>
      <w:pPr>
        <w:spacing w:line="290" w:lineRule="auto" w:before="93"/>
        <w:ind w:left="1140" w:right="-6" w:firstLine="3"/>
        <w:jc w:val="left"/>
        <w:rPr>
          <w:rFonts w:ascii="Times New Roman"/>
          <w:sz w:val="17"/>
        </w:rPr>
      </w:pPr>
      <w:r>
        <w:rPr>
          <w:rFonts w:ascii="Times New Roman"/>
          <w:color w:val="414141"/>
          <w:w w:val="105"/>
          <w:sz w:val="17"/>
        </w:rPr>
        <w:t>Revd John </w:t>
      </w:r>
      <w:r>
        <w:rPr>
          <w:rFonts w:ascii="Times New Roman"/>
          <w:color w:val="2A2A2A"/>
          <w:w w:val="105"/>
          <w:sz w:val="18"/>
        </w:rPr>
        <w:t>D </w:t>
      </w:r>
      <w:r>
        <w:rPr>
          <w:rFonts w:ascii="Times New Roman"/>
          <w:color w:val="414141"/>
          <w:w w:val="105"/>
          <w:sz w:val="17"/>
        </w:rPr>
        <w:t>Waller Chairman</w:t>
      </w:r>
    </w:p>
    <w:p>
      <w:pPr>
        <w:spacing w:line="278" w:lineRule="auto" w:before="93"/>
        <w:ind w:left="1148" w:right="4704" w:hanging="9"/>
        <w:jc w:val="left"/>
        <w:rPr>
          <w:rFonts w:ascii="Times New Roman"/>
          <w:sz w:val="17"/>
        </w:rPr>
      </w:pPr>
      <w:r>
        <w:rPr/>
        <w:br w:type="column"/>
      </w:r>
      <w:r>
        <w:rPr>
          <w:rFonts w:ascii="Times New Roman"/>
          <w:color w:val="414141"/>
          <w:w w:val="105"/>
          <w:sz w:val="18"/>
        </w:rPr>
        <w:t>Eric </w:t>
      </w:r>
      <w:r>
        <w:rPr>
          <w:rFonts w:ascii="Times New Roman"/>
          <w:color w:val="414141"/>
          <w:w w:val="105"/>
          <w:sz w:val="17"/>
        </w:rPr>
        <w:t>C Chilton </w:t>
      </w:r>
      <w:r>
        <w:rPr>
          <w:rFonts w:ascii="Times New Roman"/>
          <w:color w:val="2A2A2A"/>
          <w:w w:val="105"/>
          <w:sz w:val="17"/>
        </w:rPr>
        <w:t>Trea urer</w:t>
      </w:r>
    </w:p>
    <w:p>
      <w:pPr>
        <w:spacing w:after="0" w:line="278" w:lineRule="auto"/>
        <w:jc w:val="left"/>
        <w:rPr>
          <w:rFonts w:ascii="Times New Roman"/>
          <w:sz w:val="17"/>
        </w:rPr>
        <w:sectPr>
          <w:type w:val="continuous"/>
          <w:pgSz w:w="10950" w:h="15880"/>
          <w:pgMar w:top="680" w:bottom="280" w:left="500" w:right="0"/>
          <w:cols w:num="2" w:equalWidth="0">
            <w:col w:w="2630" w:space="608"/>
            <w:col w:w="7212"/>
          </w:cols>
        </w:sectPr>
      </w:pPr>
    </w:p>
    <w:p>
      <w:pPr>
        <w:pStyle w:val="BodyText"/>
        <w:rPr>
          <w:rFonts w:ascii="Times New Roman"/>
          <w:sz w:val="20"/>
        </w:rPr>
      </w:pPr>
    </w:p>
    <w:p>
      <w:pPr>
        <w:pStyle w:val="BodyText"/>
        <w:spacing w:before="9"/>
        <w:rPr>
          <w:rFonts w:ascii="Times New Roman"/>
        </w:rPr>
      </w:pPr>
    </w:p>
    <w:p>
      <w:pPr>
        <w:spacing w:before="0"/>
        <w:ind w:left="178" w:right="0" w:firstLine="0"/>
        <w:jc w:val="left"/>
        <w:rPr>
          <w:rFonts w:ascii="Times New Roman"/>
          <w:sz w:val="17"/>
        </w:rPr>
      </w:pPr>
      <w:r>
        <w:rPr>
          <w:rFonts w:ascii="Times New Roman"/>
          <w:color w:val="414141"/>
          <w:w w:val="105"/>
          <w:sz w:val="17"/>
        </w:rPr>
        <w:t>The notes </w:t>
      </w:r>
      <w:r>
        <w:rPr>
          <w:rFonts w:ascii="Times New Roman"/>
          <w:color w:val="2A2A2A"/>
          <w:w w:val="105"/>
          <w:sz w:val="17"/>
        </w:rPr>
        <w:t>on </w:t>
      </w:r>
      <w:r>
        <w:rPr>
          <w:rFonts w:ascii="Times New Roman"/>
          <w:color w:val="414141"/>
          <w:w w:val="105"/>
          <w:sz w:val="17"/>
        </w:rPr>
        <w:t>pages </w:t>
      </w:r>
      <w:r>
        <w:rPr>
          <w:rFonts w:ascii="Times New Roman"/>
          <w:color w:val="2A2A2A"/>
          <w:w w:val="105"/>
          <w:sz w:val="17"/>
        </w:rPr>
        <w:t>14 </w:t>
      </w:r>
      <w:r>
        <w:rPr>
          <w:rFonts w:ascii="Times New Roman"/>
          <w:color w:val="414141"/>
          <w:w w:val="105"/>
          <w:sz w:val="17"/>
        </w:rPr>
        <w:t>to 23 </w:t>
      </w:r>
      <w:r>
        <w:rPr>
          <w:rFonts w:ascii="Times New Roman"/>
          <w:color w:val="414141"/>
          <w:w w:val="105"/>
          <w:sz w:val="19"/>
        </w:rPr>
        <w:t>form </w:t>
      </w:r>
      <w:r>
        <w:rPr>
          <w:rFonts w:ascii="Times New Roman"/>
          <w:color w:val="414141"/>
          <w:w w:val="105"/>
          <w:sz w:val="17"/>
        </w:rPr>
        <w:t>an </w:t>
      </w:r>
      <w:r>
        <w:rPr>
          <w:rFonts w:ascii="Times New Roman"/>
          <w:color w:val="2A2A2A"/>
          <w:w w:val="105"/>
          <w:sz w:val="18"/>
        </w:rPr>
        <w:t>integral </w:t>
      </w:r>
      <w:r>
        <w:rPr>
          <w:rFonts w:ascii="Times New Roman"/>
          <w:color w:val="2A2A2A"/>
          <w:w w:val="105"/>
          <w:sz w:val="17"/>
        </w:rPr>
        <w:t>part</w:t>
      </w:r>
      <w:r>
        <w:rPr>
          <w:rFonts w:ascii="Times New Roman"/>
          <w:color w:val="414141"/>
          <w:w w:val="105"/>
          <w:sz w:val="17"/>
        </w:rPr>
        <w:t>of these </w:t>
      </w:r>
      <w:r>
        <w:rPr>
          <w:rFonts w:ascii="Times New Roman"/>
          <w:color w:val="2A2A2A"/>
          <w:w w:val="105"/>
          <w:sz w:val="17"/>
        </w:rPr>
        <w:t>financial </w:t>
      </w:r>
      <w:r>
        <w:rPr>
          <w:rFonts w:ascii="Times New Roman"/>
          <w:color w:val="414141"/>
          <w:w w:val="105"/>
          <w:sz w:val="17"/>
        </w:rPr>
        <w:t>statements.</w:t>
      </w:r>
    </w:p>
    <w:p>
      <w:pPr>
        <w:pStyle w:val="BodyText"/>
        <w:rPr>
          <w:rFonts w:ascii="Times New Roman"/>
          <w:sz w:val="20"/>
        </w:rPr>
      </w:pPr>
    </w:p>
    <w:p>
      <w:pPr>
        <w:pStyle w:val="BodyText"/>
        <w:rPr>
          <w:rFonts w:ascii="Times New Roman"/>
          <w:sz w:val="14"/>
        </w:rPr>
      </w:pPr>
      <w:r>
        <w:rPr/>
        <w:pict>
          <v:group style="position:absolute;margin-left:32.260078pt;margin-top:10.049649pt;width:487.8pt;height:36.1pt;mso-position-horizontal-relative:page;mso-position-vertical-relative:paragraph;z-index:-251207680;mso-wrap-distance-left:0;mso-wrap-distance-right:0" coordorigin="645,201" coordsize="9756,722">
            <v:line style="position:absolute" from="655,923" to="655,211" stroked="true" strokeweight=".962987pt" strokecolor="#000000">
              <v:stroke dashstyle="solid"/>
            </v:line>
            <v:line style="position:absolute" from="10362,923" to="10362,211" stroked="true" strokeweight=".481494pt" strokecolor="#000000">
              <v:stroke dashstyle="solid"/>
            </v:line>
            <v:line style="position:absolute" from="645,211" to="10400,211" stroked="true" strokeweight=".962229pt" strokecolor="#000000">
              <v:stroke dashstyle="solid"/>
            </v:line>
            <v:line style="position:absolute" from="645,903" to="10381,903" stroked="true" strokeweight=".962229pt" strokecolor="#000000">
              <v:stroke dashstyle="solid"/>
            </v:line>
            <v:shape style="position:absolute;left:664;top:220;width:9693;height:674" type="#_x0000_t202" filled="false" stroked="false">
              <v:textbox inset="0,0,0,0">
                <w:txbxContent>
                  <w:p>
                    <w:pPr>
                      <w:spacing w:before="120"/>
                      <w:ind w:left="28" w:right="30" w:firstLine="0"/>
                      <w:jc w:val="center"/>
                      <w:rPr>
                        <w:rFonts w:ascii="Times New Roman"/>
                        <w:i/>
                        <w:sz w:val="17"/>
                      </w:rPr>
                    </w:pPr>
                    <w:r>
                      <w:rPr>
                        <w:rFonts w:ascii="Times New Roman"/>
                        <w:i/>
                        <w:color w:val="414141"/>
                        <w:w w:val="105"/>
                        <w:sz w:val="17"/>
                      </w:rPr>
                      <w:t>This page shows the combined total of assets and liabilities of all the funds administered centrally for the benefit of the whole Church.</w:t>
                    </w:r>
                  </w:p>
                  <w:p>
                    <w:pPr>
                      <w:spacing w:before="35"/>
                      <w:ind w:left="28" w:right="21" w:firstLine="0"/>
                      <w:jc w:val="center"/>
                      <w:rPr>
                        <w:rFonts w:ascii="Times New Roman"/>
                        <w:i/>
                        <w:sz w:val="17"/>
                      </w:rPr>
                    </w:pPr>
                    <w:r>
                      <w:rPr>
                        <w:rFonts w:ascii="Times New Roman"/>
                        <w:i/>
                        <w:color w:val="2A2A2A"/>
                        <w:w w:val="105"/>
                        <w:sz w:val="17"/>
                      </w:rPr>
                      <w:t>It </w:t>
                    </w:r>
                    <w:r>
                      <w:rPr>
                        <w:rFonts w:ascii="Times New Roman"/>
                        <w:i/>
                        <w:color w:val="414141"/>
                        <w:w w:val="105"/>
                        <w:sz w:val="17"/>
                      </w:rPr>
                      <w:t>includes, in particular, the assets and liabilities of the </w:t>
                    </w:r>
                    <w:r>
                      <w:rPr>
                        <w:rFonts w:ascii="Times New Roman"/>
                        <w:i/>
                        <w:color w:val="606060"/>
                        <w:w w:val="105"/>
                        <w:sz w:val="17"/>
                      </w:rPr>
                      <w:t>U</w:t>
                    </w:r>
                    <w:r>
                      <w:rPr>
                        <w:rFonts w:ascii="Times New Roman"/>
                        <w:i/>
                        <w:color w:val="414141"/>
                        <w:w w:val="105"/>
                        <w:sz w:val="17"/>
                      </w:rPr>
                      <w:t>nited Reformed Church Retired Ministers' Housing Society Ltd.</w:t>
                    </w:r>
                  </w:p>
                </w:txbxContent>
              </v:textbox>
              <w10:wrap type="none"/>
            </v:shape>
            <w10:wrap type="topAndBottom"/>
          </v:group>
        </w:pict>
      </w:r>
    </w:p>
    <w:p>
      <w:pPr>
        <w:spacing w:after="0"/>
        <w:rPr>
          <w:rFonts w:ascii="Times New Roman"/>
          <w:sz w:val="14"/>
        </w:rPr>
        <w:sectPr>
          <w:type w:val="continuous"/>
          <w:pgSz w:w="10950" w:h="15880"/>
          <w:pgMar w:top="680" w:bottom="280" w:left="500" w:right="0"/>
        </w:sectPr>
      </w:pPr>
    </w:p>
    <w:p>
      <w:pPr>
        <w:spacing w:before="67"/>
        <w:ind w:left="0" w:right="657" w:firstLine="0"/>
        <w:jc w:val="right"/>
        <w:rPr>
          <w:rFonts w:ascii="Times New Roman"/>
          <w:sz w:val="16"/>
        </w:rPr>
      </w:pPr>
      <w:r>
        <w:rPr>
          <w:rFonts w:ascii="Times New Roman"/>
          <w:color w:val="3A3A3A"/>
          <w:w w:val="110"/>
          <w:sz w:val="16"/>
        </w:rPr>
        <w:t>ACCOUNTS page 12</w:t>
      </w:r>
    </w:p>
    <w:p>
      <w:pPr>
        <w:pStyle w:val="BodyText"/>
        <w:spacing w:before="5"/>
        <w:rPr>
          <w:rFonts w:ascii="Times New Roman"/>
          <w:sz w:val="15"/>
        </w:rPr>
      </w:pPr>
    </w:p>
    <w:p>
      <w:pPr>
        <w:spacing w:line="271" w:lineRule="auto" w:before="92"/>
        <w:ind w:left="2827" w:right="3227" w:firstLine="417"/>
        <w:jc w:val="left"/>
        <w:rPr>
          <w:rFonts w:ascii="Times New Roman"/>
          <w:b/>
          <w:sz w:val="20"/>
        </w:rPr>
      </w:pPr>
      <w:r>
        <w:rPr>
          <w:rFonts w:ascii="Times New Roman"/>
          <w:b/>
          <w:color w:val="232323"/>
          <w:w w:val="105"/>
          <w:sz w:val="20"/>
        </w:rPr>
        <w:t>SUMMARY </w:t>
      </w:r>
      <w:r>
        <w:rPr>
          <w:rFonts w:ascii="Times New Roman"/>
          <w:b/>
          <w:color w:val="151515"/>
          <w:w w:val="105"/>
          <w:sz w:val="20"/>
        </w:rPr>
        <w:t>O</w:t>
      </w:r>
      <w:r>
        <w:rPr>
          <w:rFonts w:ascii="Times New Roman"/>
          <w:b/>
          <w:color w:val="3A3A3A"/>
          <w:w w:val="105"/>
          <w:sz w:val="20"/>
        </w:rPr>
        <w:t>F </w:t>
      </w:r>
      <w:r>
        <w:rPr>
          <w:rFonts w:ascii="Times New Roman"/>
          <w:b/>
          <w:color w:val="232323"/>
          <w:w w:val="105"/>
          <w:sz w:val="20"/>
        </w:rPr>
        <w:t>FUND </w:t>
      </w:r>
      <w:r>
        <w:rPr>
          <w:rFonts w:ascii="Times New Roman"/>
          <w:b/>
          <w:color w:val="151515"/>
          <w:w w:val="105"/>
          <w:sz w:val="20"/>
        </w:rPr>
        <w:t>MOVEMENTS </w:t>
      </w:r>
      <w:r>
        <w:rPr>
          <w:rFonts w:ascii="Times New Roman"/>
          <w:b/>
          <w:color w:val="3A3A3A"/>
          <w:w w:val="105"/>
          <w:sz w:val="20"/>
        </w:rPr>
        <w:t>F</w:t>
      </w:r>
      <w:r>
        <w:rPr>
          <w:rFonts w:ascii="Times New Roman"/>
          <w:b/>
          <w:color w:val="151515"/>
          <w:w w:val="105"/>
          <w:sz w:val="20"/>
        </w:rPr>
        <w:t>OR THE YEAR </w:t>
      </w:r>
      <w:r>
        <w:rPr>
          <w:rFonts w:ascii="Times New Roman"/>
          <w:b/>
          <w:color w:val="3A3A3A"/>
          <w:w w:val="105"/>
          <w:sz w:val="20"/>
        </w:rPr>
        <w:t>ENDE</w:t>
      </w:r>
      <w:r>
        <w:rPr>
          <w:rFonts w:ascii="Times New Roman"/>
          <w:b/>
          <w:color w:val="151515"/>
          <w:w w:val="105"/>
          <w:sz w:val="20"/>
        </w:rPr>
        <w:t>D 31 D</w:t>
      </w:r>
      <w:r>
        <w:rPr>
          <w:rFonts w:ascii="Times New Roman"/>
          <w:b/>
          <w:color w:val="3A3A3A"/>
          <w:w w:val="105"/>
          <w:sz w:val="20"/>
        </w:rPr>
        <w:t>ECEMBE</w:t>
      </w:r>
      <w:r>
        <w:rPr>
          <w:rFonts w:ascii="Times New Roman"/>
          <w:b/>
          <w:color w:val="151515"/>
          <w:w w:val="105"/>
          <w:sz w:val="20"/>
        </w:rPr>
        <w:t>R 2006</w:t>
      </w:r>
    </w:p>
    <w:p>
      <w:pPr>
        <w:pStyle w:val="BodyText"/>
        <w:spacing w:before="7"/>
        <w:rPr>
          <w:rFonts w:ascii="Times New Roman"/>
          <w:b/>
          <w:sz w:val="28"/>
        </w:rPr>
      </w:pPr>
    </w:p>
    <w:p>
      <w:pPr>
        <w:spacing w:after="0"/>
        <w:rPr>
          <w:rFonts w:ascii="Times New Roman"/>
          <w:sz w:val="28"/>
        </w:rPr>
        <w:sectPr>
          <w:headerReference w:type="default" r:id="rId504"/>
          <w:footerReference w:type="default" r:id="rId505"/>
          <w:pgSz w:w="10950" w:h="15880"/>
          <w:pgMar w:header="0" w:footer="0" w:top="320" w:bottom="280" w:left="500" w:right="0"/>
        </w:sectPr>
      </w:pPr>
    </w:p>
    <w:p>
      <w:pPr>
        <w:tabs>
          <w:tab w:pos="1871" w:val="left" w:leader="none"/>
        </w:tabs>
        <w:spacing w:line="249" w:lineRule="auto" w:before="93"/>
        <w:ind w:left="1871" w:right="0" w:hanging="1692"/>
        <w:jc w:val="left"/>
        <w:rPr>
          <w:rFonts w:ascii="Times New Roman"/>
          <w:b/>
          <w:sz w:val="18"/>
        </w:rPr>
      </w:pPr>
      <w:r>
        <w:rPr>
          <w:rFonts w:ascii="Times New Roman"/>
          <w:b/>
          <w:color w:val="3A3A3A"/>
          <w:spacing w:val="2"/>
          <w:w w:val="105"/>
          <w:position w:val="1"/>
          <w:sz w:val="17"/>
        </w:rPr>
        <w:t>F</w:t>
      </w:r>
      <w:r>
        <w:rPr>
          <w:rFonts w:ascii="Times New Roman"/>
          <w:b/>
          <w:spacing w:val="2"/>
          <w:w w:val="105"/>
          <w:position w:val="1"/>
          <w:sz w:val="17"/>
        </w:rPr>
        <w:t>und</w:t>
        <w:tab/>
      </w:r>
      <w:r>
        <w:rPr>
          <w:rFonts w:ascii="Times New Roman"/>
          <w:b/>
          <w:color w:val="232323"/>
          <w:sz w:val="17"/>
        </w:rPr>
        <w:t>Classification </w:t>
      </w:r>
      <w:r>
        <w:rPr>
          <w:rFonts w:ascii="Times New Roman"/>
          <w:b/>
          <w:color w:val="232323"/>
          <w:w w:val="105"/>
          <w:sz w:val="17"/>
        </w:rPr>
        <w:t>(see note</w:t>
      </w:r>
      <w:r>
        <w:rPr>
          <w:rFonts w:ascii="Times New Roman"/>
          <w:b/>
          <w:color w:val="232323"/>
          <w:spacing w:val="-16"/>
          <w:w w:val="105"/>
          <w:sz w:val="17"/>
        </w:rPr>
        <w:t> </w:t>
      </w:r>
      <w:r>
        <w:rPr>
          <w:rFonts w:ascii="Times New Roman"/>
          <w:b/>
          <w:color w:val="151515"/>
          <w:spacing w:val="-3"/>
          <w:w w:val="105"/>
          <w:sz w:val="18"/>
        </w:rPr>
        <w:t>l(ii))</w:t>
      </w:r>
    </w:p>
    <w:p>
      <w:pPr>
        <w:spacing w:line="271" w:lineRule="auto" w:before="93"/>
        <w:ind w:left="179" w:right="79" w:firstLine="200"/>
        <w:jc w:val="left"/>
        <w:rPr>
          <w:rFonts w:ascii="Times New Roman"/>
          <w:b/>
          <w:sz w:val="17"/>
        </w:rPr>
      </w:pPr>
      <w:r>
        <w:rPr/>
        <w:br w:type="column"/>
      </w:r>
      <w:r>
        <w:rPr>
          <w:rFonts w:ascii="Times New Roman"/>
          <w:b/>
          <w:color w:val="232323"/>
          <w:sz w:val="17"/>
        </w:rPr>
        <w:t>Ba</w:t>
      </w:r>
      <w:r>
        <w:rPr>
          <w:rFonts w:ascii="Times New Roman"/>
          <w:b/>
          <w:sz w:val="17"/>
        </w:rPr>
        <w:t>l</w:t>
      </w:r>
      <w:r>
        <w:rPr>
          <w:rFonts w:ascii="Times New Roman"/>
          <w:b/>
          <w:color w:val="232323"/>
          <w:sz w:val="17"/>
        </w:rPr>
        <w:t>ance   </w:t>
      </w:r>
      <w:r>
        <w:rPr>
          <w:rFonts w:ascii="Times New Roman"/>
          <w:b/>
          <w:color w:val="151515"/>
          <w:sz w:val="17"/>
        </w:rPr>
        <w:t>Incoming </w:t>
      </w:r>
      <w:r>
        <w:rPr>
          <w:rFonts w:ascii="Times New Roman"/>
          <w:b/>
          <w:color w:val="232323"/>
          <w:sz w:val="17"/>
        </w:rPr>
        <w:t>1 Jan </w:t>
      </w:r>
      <w:r>
        <w:rPr>
          <w:rFonts w:ascii="Times New Roman"/>
          <w:b/>
          <w:color w:val="151515"/>
          <w:sz w:val="17"/>
        </w:rPr>
        <w:t>2006</w:t>
      </w:r>
      <w:r>
        <w:rPr>
          <w:rFonts w:ascii="Times New Roman"/>
          <w:b/>
          <w:color w:val="151515"/>
          <w:spacing w:val="2"/>
          <w:sz w:val="17"/>
        </w:rPr>
        <w:t> </w:t>
      </w:r>
      <w:r>
        <w:rPr>
          <w:rFonts w:ascii="Times New Roman"/>
          <w:b/>
          <w:color w:val="232323"/>
          <w:sz w:val="17"/>
        </w:rPr>
        <w:t>Resources</w:t>
      </w:r>
    </w:p>
    <w:p>
      <w:pPr>
        <w:spacing w:before="10"/>
        <w:ind w:left="430" w:right="0" w:firstLine="0"/>
        <w:jc w:val="left"/>
        <w:rPr>
          <w:rFonts w:ascii="Times New Roman"/>
          <w:sz w:val="16"/>
        </w:rPr>
      </w:pPr>
      <w:r>
        <w:rPr>
          <w:rFonts w:ascii="Times New Roman"/>
          <w:color w:val="232323"/>
          <w:w w:val="110"/>
          <w:sz w:val="16"/>
        </w:rPr>
        <w:t>restated</w:t>
      </w:r>
    </w:p>
    <w:p>
      <w:pPr>
        <w:pStyle w:val="BodyText"/>
        <w:tabs>
          <w:tab w:pos="1475" w:val="left" w:leader="none"/>
        </w:tabs>
        <w:spacing w:before="9"/>
        <w:ind w:left="561"/>
        <w:rPr>
          <w:rFonts w:ascii="Times New Roman" w:hAnsi="Times New Roman"/>
        </w:rPr>
      </w:pPr>
      <w:r>
        <w:rPr/>
        <w:pict>
          <v:shape style="position:absolute;margin-left:31.53784pt;margin-top:10.536292pt;width:485.15pt;height:345.45pt;mso-position-horizontal-relative:page;mso-position-vertical-relative:paragraph;z-index:252123136" type="#_x0000_t202" filled="false" stroked="false">
            <v:textbox inset="0,0,0,0">
              <w:txbxContent>
                <w:tbl>
                  <w:tblPr>
                    <w:tblW w:w="0" w:type="auto"/>
                    <w:jc w:val="left"/>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6"/>
                    <w:gridCol w:w="1375"/>
                    <w:gridCol w:w="1047"/>
                    <w:gridCol w:w="951"/>
                    <w:gridCol w:w="1077"/>
                    <w:gridCol w:w="956"/>
                    <w:gridCol w:w="911"/>
                    <w:gridCol w:w="1025"/>
                    <w:gridCol w:w="785"/>
                  </w:tblGrid>
                  <w:tr>
                    <w:trPr>
                      <w:trHeight w:val="403" w:hRule="atLeast"/>
                    </w:trPr>
                    <w:tc>
                      <w:tcPr>
                        <w:tcW w:w="1526" w:type="dxa"/>
                        <w:tcBorders>
                          <w:top w:val="single" w:sz="12" w:space="0" w:color="000000"/>
                          <w:left w:val="single" w:sz="12" w:space="0" w:color="000000"/>
                          <w:bottom w:val="single" w:sz="12" w:space="0" w:color="000000"/>
                        </w:tcBorders>
                      </w:tcPr>
                      <w:p>
                        <w:pPr>
                          <w:pStyle w:val="TableParagraph"/>
                          <w:spacing w:before="9"/>
                          <w:ind w:left="35"/>
                          <w:rPr>
                            <w:sz w:val="16"/>
                          </w:rPr>
                        </w:pPr>
                        <w:r>
                          <w:rPr>
                            <w:color w:val="3A3A3A"/>
                            <w:w w:val="105"/>
                            <w:sz w:val="16"/>
                          </w:rPr>
                          <w:t>Ministry and</w:t>
                        </w:r>
                      </w:p>
                      <w:p>
                        <w:pPr>
                          <w:pStyle w:val="TableParagraph"/>
                          <w:spacing w:line="162" w:lineRule="exact" w:before="27"/>
                          <w:ind w:left="83"/>
                          <w:rPr>
                            <w:sz w:val="16"/>
                          </w:rPr>
                        </w:pPr>
                        <w:r>
                          <w:rPr>
                            <w:color w:val="3A3A3A"/>
                            <w:w w:val="105"/>
                            <w:sz w:val="16"/>
                          </w:rPr>
                          <w:t>Mission Fund</w:t>
                        </w:r>
                      </w:p>
                    </w:tc>
                    <w:tc>
                      <w:tcPr>
                        <w:tcW w:w="1375" w:type="dxa"/>
                        <w:tcBorders>
                          <w:top w:val="single" w:sz="12" w:space="0" w:color="000000"/>
                          <w:bottom w:val="single" w:sz="12" w:space="0" w:color="000000"/>
                        </w:tcBorders>
                      </w:tcPr>
                      <w:p>
                        <w:pPr>
                          <w:pStyle w:val="TableParagraph"/>
                          <w:spacing w:before="9"/>
                          <w:ind w:left="215"/>
                          <w:rPr>
                            <w:sz w:val="16"/>
                          </w:rPr>
                        </w:pPr>
                        <w:r>
                          <w:rPr>
                            <w:color w:val="3A3A3A"/>
                            <w:w w:val="105"/>
                            <w:sz w:val="16"/>
                          </w:rPr>
                          <w:t>Capital</w:t>
                        </w:r>
                      </w:p>
                      <w:p>
                        <w:pPr>
                          <w:pStyle w:val="TableParagraph"/>
                          <w:spacing w:line="162" w:lineRule="exact" w:before="27"/>
                          <w:ind w:left="211"/>
                          <w:rPr>
                            <w:sz w:val="16"/>
                          </w:rPr>
                        </w:pPr>
                        <w:r>
                          <w:rPr>
                            <w:color w:val="3A3A3A"/>
                            <w:w w:val="105"/>
                            <w:sz w:val="16"/>
                          </w:rPr>
                          <w:t>Unrestricted</w:t>
                        </w:r>
                      </w:p>
                    </w:tc>
                    <w:tc>
                      <w:tcPr>
                        <w:tcW w:w="1047" w:type="dxa"/>
                        <w:tcBorders>
                          <w:top w:val="single" w:sz="12" w:space="0" w:color="000000"/>
                          <w:bottom w:val="single" w:sz="12" w:space="0" w:color="000000"/>
                        </w:tcBorders>
                      </w:tcPr>
                      <w:p>
                        <w:pPr>
                          <w:pStyle w:val="TableParagraph"/>
                          <w:spacing w:line="183" w:lineRule="exact"/>
                          <w:ind w:right="212"/>
                          <w:jc w:val="right"/>
                          <w:rPr>
                            <w:sz w:val="16"/>
                          </w:rPr>
                        </w:pPr>
                        <w:r>
                          <w:rPr>
                            <w:color w:val="3A3A3A"/>
                            <w:w w:val="105"/>
                            <w:sz w:val="16"/>
                          </w:rPr>
                          <w:t>401</w:t>
                        </w:r>
                      </w:p>
                      <w:p>
                        <w:pPr>
                          <w:pStyle w:val="TableParagraph"/>
                          <w:spacing w:line="162" w:lineRule="exact" w:before="37"/>
                          <w:ind w:right="216"/>
                          <w:jc w:val="right"/>
                          <w:rPr>
                            <w:sz w:val="16"/>
                          </w:rPr>
                        </w:pPr>
                        <w:r>
                          <w:rPr>
                            <w:color w:val="3A3A3A"/>
                            <w:w w:val="105"/>
                            <w:sz w:val="16"/>
                          </w:rPr>
                          <w:t>2</w:t>
                        </w:r>
                        <w:r>
                          <w:rPr>
                            <w:color w:val="565656"/>
                            <w:w w:val="105"/>
                            <w:sz w:val="16"/>
                          </w:rPr>
                          <w:t>,</w:t>
                        </w:r>
                        <w:r>
                          <w:rPr>
                            <w:color w:val="232323"/>
                            <w:w w:val="105"/>
                            <w:sz w:val="16"/>
                          </w:rPr>
                          <w:t>910</w:t>
                        </w:r>
                      </w:p>
                    </w:tc>
                    <w:tc>
                      <w:tcPr>
                        <w:tcW w:w="951" w:type="dxa"/>
                        <w:tcBorders>
                          <w:top w:val="single" w:sz="12" w:space="0" w:color="000000"/>
                          <w:bottom w:val="single" w:sz="12" w:space="0" w:color="000000"/>
                        </w:tcBorders>
                      </w:tcPr>
                      <w:p>
                        <w:pPr>
                          <w:pStyle w:val="TableParagraph"/>
                          <w:spacing w:before="2"/>
                          <w:rPr>
                            <w:sz w:val="19"/>
                          </w:rPr>
                        </w:pPr>
                      </w:p>
                      <w:p>
                        <w:pPr>
                          <w:pStyle w:val="TableParagraph"/>
                          <w:spacing w:line="162" w:lineRule="exact"/>
                          <w:ind w:right="261"/>
                          <w:jc w:val="right"/>
                          <w:rPr>
                            <w:sz w:val="16"/>
                          </w:rPr>
                        </w:pPr>
                        <w:r>
                          <w:rPr>
                            <w:color w:val="3A3A3A"/>
                            <w:w w:val="105"/>
                            <w:sz w:val="16"/>
                          </w:rPr>
                          <w:t>23</w:t>
                        </w:r>
                        <w:r>
                          <w:rPr>
                            <w:color w:val="565656"/>
                            <w:w w:val="105"/>
                            <w:sz w:val="16"/>
                          </w:rPr>
                          <w:t>,</w:t>
                        </w:r>
                        <w:r>
                          <w:rPr>
                            <w:color w:val="3A3A3A"/>
                            <w:w w:val="105"/>
                            <w:sz w:val="16"/>
                          </w:rPr>
                          <w:t>008</w:t>
                        </w:r>
                      </w:p>
                    </w:tc>
                    <w:tc>
                      <w:tcPr>
                        <w:tcW w:w="1077" w:type="dxa"/>
                        <w:tcBorders>
                          <w:top w:val="single" w:sz="12" w:space="0" w:color="000000"/>
                          <w:bottom w:val="single" w:sz="12" w:space="0" w:color="000000"/>
                        </w:tcBorders>
                      </w:tcPr>
                      <w:p>
                        <w:pPr>
                          <w:pStyle w:val="TableParagraph"/>
                          <w:spacing w:before="2"/>
                          <w:rPr>
                            <w:sz w:val="19"/>
                          </w:rPr>
                        </w:pPr>
                      </w:p>
                      <w:p>
                        <w:pPr>
                          <w:pStyle w:val="TableParagraph"/>
                          <w:spacing w:line="162" w:lineRule="exact"/>
                          <w:ind w:right="219"/>
                          <w:jc w:val="right"/>
                          <w:rPr>
                            <w:sz w:val="16"/>
                          </w:rPr>
                        </w:pPr>
                        <w:r>
                          <w:rPr>
                            <w:color w:val="3A3A3A"/>
                            <w:w w:val="105"/>
                            <w:sz w:val="16"/>
                          </w:rPr>
                          <w:t>(22</w:t>
                        </w:r>
                        <w:r>
                          <w:rPr>
                            <w:color w:val="565656"/>
                            <w:w w:val="105"/>
                            <w:sz w:val="16"/>
                          </w:rPr>
                          <w:t>,</w:t>
                        </w:r>
                        <w:r>
                          <w:rPr>
                            <w:color w:val="3A3A3A"/>
                            <w:w w:val="105"/>
                            <w:sz w:val="16"/>
                          </w:rPr>
                          <w:t>435)</w:t>
                        </w:r>
                      </w:p>
                    </w:tc>
                    <w:tc>
                      <w:tcPr>
                        <w:tcW w:w="956" w:type="dxa"/>
                        <w:tcBorders>
                          <w:top w:val="single" w:sz="12" w:space="0" w:color="000000"/>
                          <w:bottom w:val="single" w:sz="12" w:space="0" w:color="000000"/>
                        </w:tcBorders>
                      </w:tcPr>
                      <w:p>
                        <w:pPr>
                          <w:pStyle w:val="TableParagraph"/>
                          <w:spacing w:before="2"/>
                          <w:rPr>
                            <w:sz w:val="19"/>
                          </w:rPr>
                        </w:pPr>
                      </w:p>
                      <w:p>
                        <w:pPr>
                          <w:pStyle w:val="TableParagraph"/>
                          <w:spacing w:line="162" w:lineRule="exact"/>
                          <w:ind w:left="298"/>
                          <w:rPr>
                            <w:sz w:val="16"/>
                          </w:rPr>
                        </w:pPr>
                        <w:r>
                          <w:rPr>
                            <w:color w:val="3A3A3A"/>
                            <w:w w:val="105"/>
                            <w:sz w:val="16"/>
                          </w:rPr>
                          <w:t>130</w:t>
                        </w:r>
                      </w:p>
                    </w:tc>
                    <w:tc>
                      <w:tcPr>
                        <w:tcW w:w="911" w:type="dxa"/>
                        <w:tcBorders>
                          <w:top w:val="single" w:sz="12" w:space="0" w:color="000000"/>
                          <w:bottom w:val="single" w:sz="12" w:space="0" w:color="000000"/>
                        </w:tcBorders>
                      </w:tcPr>
                      <w:p>
                        <w:pPr>
                          <w:pStyle w:val="TableParagraph"/>
                          <w:spacing w:before="2"/>
                          <w:rPr>
                            <w:sz w:val="19"/>
                          </w:rPr>
                        </w:pPr>
                      </w:p>
                      <w:p>
                        <w:pPr>
                          <w:pStyle w:val="TableParagraph"/>
                          <w:spacing w:line="162" w:lineRule="exact"/>
                          <w:ind w:left="320" w:right="246"/>
                          <w:jc w:val="center"/>
                          <w:rPr>
                            <w:sz w:val="16"/>
                          </w:rPr>
                        </w:pPr>
                        <w:r>
                          <w:rPr>
                            <w:color w:val="3A3A3A"/>
                            <w:w w:val="105"/>
                            <w:sz w:val="16"/>
                          </w:rPr>
                          <w:t>646</w:t>
                        </w:r>
                      </w:p>
                    </w:tc>
                    <w:tc>
                      <w:tcPr>
                        <w:tcW w:w="1025" w:type="dxa"/>
                        <w:tcBorders>
                          <w:top w:val="single" w:sz="12" w:space="0" w:color="000000"/>
                          <w:bottom w:val="single" w:sz="12" w:space="0" w:color="000000"/>
                        </w:tcBorders>
                      </w:tcPr>
                      <w:p>
                        <w:pPr>
                          <w:pStyle w:val="TableParagraph"/>
                          <w:spacing w:before="2"/>
                          <w:rPr>
                            <w:sz w:val="19"/>
                          </w:rPr>
                        </w:pPr>
                      </w:p>
                      <w:p>
                        <w:pPr>
                          <w:pStyle w:val="TableParagraph"/>
                          <w:spacing w:line="162" w:lineRule="exact"/>
                          <w:ind w:left="302"/>
                          <w:rPr>
                            <w:sz w:val="16"/>
                          </w:rPr>
                        </w:pPr>
                        <w:r>
                          <w:rPr>
                            <w:color w:val="3A3A3A"/>
                            <w:w w:val="105"/>
                            <w:sz w:val="16"/>
                          </w:rPr>
                          <w:t>(1</w:t>
                        </w:r>
                        <w:r>
                          <w:rPr>
                            <w:color w:val="565656"/>
                            <w:w w:val="105"/>
                            <w:sz w:val="16"/>
                          </w:rPr>
                          <w:t>,</w:t>
                        </w:r>
                        <w:r>
                          <w:rPr>
                            <w:color w:val="3A3A3A"/>
                            <w:w w:val="105"/>
                            <w:sz w:val="16"/>
                          </w:rPr>
                          <w:t>382)</w:t>
                        </w:r>
                      </w:p>
                    </w:tc>
                    <w:tc>
                      <w:tcPr>
                        <w:tcW w:w="785" w:type="dxa"/>
                        <w:tcBorders>
                          <w:top w:val="single" w:sz="12" w:space="0" w:color="000000"/>
                          <w:bottom w:val="single" w:sz="12" w:space="0" w:color="000000"/>
                          <w:right w:val="single" w:sz="12" w:space="0" w:color="000000"/>
                        </w:tcBorders>
                      </w:tcPr>
                      <w:p>
                        <w:pPr>
                          <w:pStyle w:val="TableParagraph"/>
                          <w:spacing w:line="183" w:lineRule="exact"/>
                          <w:ind w:right="37"/>
                          <w:jc w:val="right"/>
                          <w:rPr>
                            <w:sz w:val="16"/>
                          </w:rPr>
                        </w:pPr>
                        <w:r>
                          <w:rPr>
                            <w:color w:val="3A3A3A"/>
                            <w:w w:val="105"/>
                            <w:sz w:val="16"/>
                          </w:rPr>
                          <w:t>401</w:t>
                        </w:r>
                      </w:p>
                      <w:p>
                        <w:pPr>
                          <w:pStyle w:val="TableParagraph"/>
                          <w:spacing w:line="162" w:lineRule="exact" w:before="37"/>
                          <w:ind w:right="17"/>
                          <w:jc w:val="right"/>
                          <w:rPr>
                            <w:sz w:val="16"/>
                          </w:rPr>
                        </w:pPr>
                        <w:r>
                          <w:rPr>
                            <w:color w:val="3A3A3A"/>
                            <w:w w:val="110"/>
                            <w:sz w:val="16"/>
                          </w:rPr>
                          <w:t>2,877</w:t>
                        </w:r>
                      </w:p>
                    </w:tc>
                  </w:tr>
                  <w:tr>
                    <w:trPr>
                      <w:trHeight w:val="424" w:hRule="atLeast"/>
                    </w:trPr>
                    <w:tc>
                      <w:tcPr>
                        <w:tcW w:w="1526" w:type="dxa"/>
                        <w:tcBorders>
                          <w:top w:val="single" w:sz="12" w:space="0" w:color="000000"/>
                          <w:left w:val="single" w:sz="12" w:space="0" w:color="000000"/>
                          <w:bottom w:val="single" w:sz="18" w:space="0" w:color="000000"/>
                        </w:tcBorders>
                      </w:tcPr>
                      <w:p>
                        <w:pPr>
                          <w:pStyle w:val="TableParagraph"/>
                          <w:spacing w:line="222" w:lineRule="exact"/>
                          <w:ind w:left="74" w:right="159" w:hanging="39"/>
                          <w:rPr>
                            <w:sz w:val="16"/>
                          </w:rPr>
                        </w:pPr>
                        <w:r>
                          <w:rPr>
                            <w:color w:val="3A3A3A"/>
                            <w:w w:val="105"/>
                            <w:sz w:val="16"/>
                          </w:rPr>
                          <w:t>Maintenance of </w:t>
                        </w:r>
                        <w:r>
                          <w:rPr>
                            <w:color w:val="232323"/>
                            <w:w w:val="105"/>
                            <w:sz w:val="16"/>
                          </w:rPr>
                          <w:t>the </w:t>
                        </w:r>
                        <w:r>
                          <w:rPr>
                            <w:color w:val="3A3A3A"/>
                            <w:w w:val="105"/>
                            <w:sz w:val="16"/>
                          </w:rPr>
                          <w:t>Ministrv Fund</w:t>
                        </w:r>
                      </w:p>
                    </w:tc>
                    <w:tc>
                      <w:tcPr>
                        <w:tcW w:w="1375" w:type="dxa"/>
                        <w:tcBorders>
                          <w:top w:val="single" w:sz="12" w:space="0" w:color="000000"/>
                          <w:bottom w:val="single" w:sz="18" w:space="0" w:color="000000"/>
                        </w:tcBorders>
                      </w:tcPr>
                      <w:p>
                        <w:pPr>
                          <w:pStyle w:val="TableParagraph"/>
                          <w:spacing w:line="222" w:lineRule="exact"/>
                          <w:ind w:left="211" w:right="313" w:hanging="5"/>
                          <w:rPr>
                            <w:sz w:val="16"/>
                          </w:rPr>
                        </w:pPr>
                        <w:r>
                          <w:rPr>
                            <w:color w:val="3A3A3A"/>
                            <w:w w:val="105"/>
                            <w:sz w:val="16"/>
                          </w:rPr>
                          <w:t>Capital Unrestricted</w:t>
                        </w:r>
                      </w:p>
                    </w:tc>
                    <w:tc>
                      <w:tcPr>
                        <w:tcW w:w="1047" w:type="dxa"/>
                        <w:tcBorders>
                          <w:top w:val="single" w:sz="12" w:space="0" w:color="000000"/>
                          <w:bottom w:val="single" w:sz="18" w:space="0" w:color="000000"/>
                        </w:tcBorders>
                      </w:tcPr>
                      <w:p>
                        <w:pPr>
                          <w:pStyle w:val="TableParagraph"/>
                          <w:spacing w:before="28"/>
                          <w:ind w:right="210"/>
                          <w:jc w:val="right"/>
                          <w:rPr>
                            <w:sz w:val="16"/>
                          </w:rPr>
                        </w:pPr>
                        <w:r>
                          <w:rPr>
                            <w:color w:val="232323"/>
                            <w:w w:val="105"/>
                            <w:sz w:val="16"/>
                          </w:rPr>
                          <w:t>716</w:t>
                        </w:r>
                      </w:p>
                      <w:p>
                        <w:pPr>
                          <w:pStyle w:val="TableParagraph"/>
                          <w:spacing w:line="155" w:lineRule="exact" w:before="37"/>
                          <w:ind w:right="212"/>
                          <w:jc w:val="right"/>
                          <w:rPr>
                            <w:sz w:val="16"/>
                          </w:rPr>
                        </w:pPr>
                        <w:r>
                          <w:rPr>
                            <w:color w:val="3A3A3A"/>
                            <w:w w:val="106"/>
                            <w:sz w:val="16"/>
                          </w:rPr>
                          <w:t>0</w:t>
                        </w:r>
                      </w:p>
                    </w:tc>
                    <w:tc>
                      <w:tcPr>
                        <w:tcW w:w="951" w:type="dxa"/>
                        <w:tcBorders>
                          <w:top w:val="single" w:sz="12" w:space="0" w:color="000000"/>
                          <w:bottom w:val="single" w:sz="18" w:space="0" w:color="000000"/>
                        </w:tcBorders>
                      </w:tcPr>
                      <w:p>
                        <w:pPr>
                          <w:pStyle w:val="TableParagraph"/>
                          <w:spacing w:before="7"/>
                          <w:rPr>
                            <w:sz w:val="21"/>
                          </w:rPr>
                        </w:pPr>
                      </w:p>
                      <w:p>
                        <w:pPr>
                          <w:pStyle w:val="TableParagraph"/>
                          <w:spacing w:line="155" w:lineRule="exact" w:before="1"/>
                          <w:ind w:right="261"/>
                          <w:jc w:val="right"/>
                          <w:rPr>
                            <w:sz w:val="16"/>
                          </w:rPr>
                        </w:pPr>
                        <w:r>
                          <w:rPr>
                            <w:color w:val="3A3A3A"/>
                            <w:w w:val="105"/>
                            <w:sz w:val="16"/>
                          </w:rPr>
                          <w:t>56</w:t>
                        </w:r>
                      </w:p>
                    </w:tc>
                    <w:tc>
                      <w:tcPr>
                        <w:tcW w:w="1077" w:type="dxa"/>
                        <w:tcBorders>
                          <w:top w:val="single" w:sz="12" w:space="0" w:color="000000"/>
                          <w:bottom w:val="single" w:sz="18" w:space="0" w:color="000000"/>
                        </w:tcBorders>
                      </w:tcPr>
                      <w:p>
                        <w:pPr>
                          <w:pStyle w:val="TableParagraph"/>
                          <w:rPr>
                            <w:sz w:val="16"/>
                          </w:rPr>
                        </w:pPr>
                      </w:p>
                    </w:tc>
                    <w:tc>
                      <w:tcPr>
                        <w:tcW w:w="956" w:type="dxa"/>
                        <w:tcBorders>
                          <w:top w:val="single" w:sz="12" w:space="0" w:color="000000"/>
                          <w:bottom w:val="single" w:sz="18" w:space="0" w:color="000000"/>
                        </w:tcBorders>
                      </w:tcPr>
                      <w:p>
                        <w:pPr>
                          <w:pStyle w:val="TableParagraph"/>
                          <w:spacing w:before="7"/>
                          <w:rPr>
                            <w:sz w:val="21"/>
                          </w:rPr>
                        </w:pPr>
                      </w:p>
                      <w:p>
                        <w:pPr>
                          <w:pStyle w:val="TableParagraph"/>
                          <w:spacing w:line="155" w:lineRule="exact" w:before="1"/>
                          <w:ind w:right="326"/>
                          <w:jc w:val="right"/>
                          <w:rPr>
                            <w:sz w:val="16"/>
                          </w:rPr>
                        </w:pPr>
                        <w:r>
                          <w:rPr>
                            <w:color w:val="3A3A3A"/>
                            <w:w w:val="115"/>
                            <w:sz w:val="16"/>
                          </w:rPr>
                          <w:t>(56)</w:t>
                        </w:r>
                      </w:p>
                    </w:tc>
                    <w:tc>
                      <w:tcPr>
                        <w:tcW w:w="911" w:type="dxa"/>
                        <w:tcBorders>
                          <w:top w:val="single" w:sz="12" w:space="0" w:color="000000"/>
                          <w:bottom w:val="single" w:sz="18" w:space="0" w:color="000000"/>
                        </w:tcBorders>
                      </w:tcPr>
                      <w:p>
                        <w:pPr>
                          <w:pStyle w:val="TableParagraph"/>
                          <w:spacing w:before="28"/>
                          <w:ind w:left="346" w:right="179"/>
                          <w:jc w:val="center"/>
                          <w:rPr>
                            <w:sz w:val="16"/>
                          </w:rPr>
                        </w:pPr>
                        <w:r>
                          <w:rPr>
                            <w:color w:val="3A3A3A"/>
                            <w:w w:val="110"/>
                            <w:sz w:val="16"/>
                          </w:rPr>
                          <w:t>94</w:t>
                        </w:r>
                      </w:p>
                    </w:tc>
                    <w:tc>
                      <w:tcPr>
                        <w:tcW w:w="1810" w:type="dxa"/>
                        <w:gridSpan w:val="2"/>
                        <w:tcBorders>
                          <w:top w:val="single" w:sz="12" w:space="0" w:color="000000"/>
                          <w:bottom w:val="single" w:sz="18" w:space="0" w:color="000000"/>
                          <w:right w:val="single" w:sz="12" w:space="0" w:color="000000"/>
                        </w:tcBorders>
                      </w:tcPr>
                      <w:p>
                        <w:pPr>
                          <w:pStyle w:val="TableParagraph"/>
                          <w:spacing w:before="28"/>
                          <w:ind w:right="35"/>
                          <w:jc w:val="right"/>
                          <w:rPr>
                            <w:sz w:val="16"/>
                          </w:rPr>
                        </w:pPr>
                        <w:r>
                          <w:rPr>
                            <w:color w:val="3A3A3A"/>
                            <w:w w:val="105"/>
                            <w:sz w:val="16"/>
                          </w:rPr>
                          <w:t>8</w:t>
                        </w:r>
                        <w:r>
                          <w:rPr>
                            <w:color w:val="151515"/>
                            <w:w w:val="105"/>
                            <w:sz w:val="16"/>
                          </w:rPr>
                          <w:t>1</w:t>
                        </w:r>
                        <w:r>
                          <w:rPr>
                            <w:color w:val="3A3A3A"/>
                            <w:w w:val="105"/>
                            <w:sz w:val="16"/>
                          </w:rPr>
                          <w:t>0</w:t>
                        </w:r>
                      </w:p>
                      <w:p>
                        <w:pPr>
                          <w:pStyle w:val="TableParagraph"/>
                          <w:spacing w:line="155" w:lineRule="exact" w:before="37"/>
                          <w:ind w:right="30"/>
                          <w:jc w:val="right"/>
                          <w:rPr>
                            <w:sz w:val="16"/>
                          </w:rPr>
                        </w:pPr>
                        <w:r>
                          <w:rPr>
                            <w:color w:val="3A3A3A"/>
                            <w:w w:val="115"/>
                            <w:sz w:val="16"/>
                          </w:rPr>
                          <w:t>0</w:t>
                        </w:r>
                      </w:p>
                    </w:tc>
                  </w:tr>
                  <w:tr>
                    <w:trPr>
                      <w:trHeight w:val="396" w:hRule="atLeast"/>
                    </w:trPr>
                    <w:tc>
                      <w:tcPr>
                        <w:tcW w:w="1526" w:type="dxa"/>
                        <w:tcBorders>
                          <w:top w:val="single" w:sz="18" w:space="0" w:color="000000"/>
                          <w:left w:val="single" w:sz="12" w:space="0" w:color="000000"/>
                          <w:bottom w:val="single" w:sz="18" w:space="0" w:color="000000"/>
                        </w:tcBorders>
                      </w:tcPr>
                      <w:p>
                        <w:pPr>
                          <w:pStyle w:val="TableParagraph"/>
                          <w:spacing w:before="10"/>
                          <w:ind w:left="35"/>
                          <w:rPr>
                            <w:sz w:val="16"/>
                          </w:rPr>
                        </w:pPr>
                        <w:r>
                          <w:rPr>
                            <w:color w:val="3A3A3A"/>
                            <w:w w:val="105"/>
                            <w:sz w:val="16"/>
                          </w:rPr>
                          <w:t>Ministerial</w:t>
                        </w:r>
                      </w:p>
                      <w:p>
                        <w:pPr>
                          <w:pStyle w:val="TableParagraph"/>
                          <w:spacing w:line="155" w:lineRule="exact" w:before="28"/>
                          <w:ind w:left="81"/>
                          <w:rPr>
                            <w:sz w:val="16"/>
                          </w:rPr>
                        </w:pPr>
                        <w:r>
                          <w:rPr>
                            <w:color w:val="3A3A3A"/>
                            <w:w w:val="105"/>
                            <w:sz w:val="16"/>
                          </w:rPr>
                          <w:t>Training Fund</w:t>
                        </w:r>
                      </w:p>
                    </w:tc>
                    <w:tc>
                      <w:tcPr>
                        <w:tcW w:w="1375" w:type="dxa"/>
                        <w:tcBorders>
                          <w:top w:val="single" w:sz="18" w:space="0" w:color="000000"/>
                          <w:bottom w:val="single" w:sz="18" w:space="0" w:color="000000"/>
                        </w:tcBorders>
                      </w:tcPr>
                      <w:p>
                        <w:pPr>
                          <w:pStyle w:val="TableParagraph"/>
                          <w:spacing w:before="10"/>
                          <w:ind w:left="206"/>
                          <w:rPr>
                            <w:sz w:val="16"/>
                          </w:rPr>
                        </w:pPr>
                        <w:r>
                          <w:rPr>
                            <w:color w:val="3A3A3A"/>
                            <w:w w:val="110"/>
                            <w:sz w:val="16"/>
                          </w:rPr>
                          <w:t>Capital</w:t>
                        </w:r>
                      </w:p>
                      <w:p>
                        <w:pPr>
                          <w:pStyle w:val="TableParagraph"/>
                          <w:spacing w:line="155" w:lineRule="exact" w:before="28"/>
                          <w:ind w:left="211"/>
                          <w:rPr>
                            <w:sz w:val="16"/>
                          </w:rPr>
                        </w:pPr>
                        <w:r>
                          <w:rPr>
                            <w:color w:val="565656"/>
                            <w:w w:val="105"/>
                            <w:sz w:val="16"/>
                          </w:rPr>
                          <w:t>U</w:t>
                        </w:r>
                        <w:r>
                          <w:rPr>
                            <w:color w:val="3A3A3A"/>
                            <w:w w:val="105"/>
                            <w:sz w:val="16"/>
                          </w:rPr>
                          <w:t>nrestricted</w:t>
                        </w:r>
                      </w:p>
                    </w:tc>
                    <w:tc>
                      <w:tcPr>
                        <w:tcW w:w="1047" w:type="dxa"/>
                        <w:tcBorders>
                          <w:top w:val="single" w:sz="18" w:space="0" w:color="000000"/>
                          <w:bottom w:val="single" w:sz="18" w:space="0" w:color="000000"/>
                        </w:tcBorders>
                      </w:tcPr>
                      <w:p>
                        <w:pPr>
                          <w:pStyle w:val="TableParagraph"/>
                          <w:spacing w:before="10"/>
                          <w:ind w:right="213"/>
                          <w:jc w:val="right"/>
                          <w:rPr>
                            <w:sz w:val="16"/>
                          </w:rPr>
                        </w:pPr>
                        <w:r>
                          <w:rPr>
                            <w:color w:val="232323"/>
                            <w:w w:val="105"/>
                            <w:sz w:val="16"/>
                          </w:rPr>
                          <w:t>165</w:t>
                        </w:r>
                      </w:p>
                      <w:p>
                        <w:pPr>
                          <w:pStyle w:val="TableParagraph"/>
                          <w:spacing w:line="155" w:lineRule="exact" w:before="28"/>
                          <w:ind w:right="212"/>
                          <w:jc w:val="right"/>
                          <w:rPr>
                            <w:sz w:val="16"/>
                          </w:rPr>
                        </w:pPr>
                        <w:r>
                          <w:rPr>
                            <w:color w:val="3A3A3A"/>
                            <w:w w:val="106"/>
                            <w:sz w:val="16"/>
                          </w:rPr>
                          <w:t>0</w:t>
                        </w:r>
                      </w:p>
                    </w:tc>
                    <w:tc>
                      <w:tcPr>
                        <w:tcW w:w="951" w:type="dxa"/>
                        <w:tcBorders>
                          <w:top w:val="single" w:sz="18" w:space="0" w:color="000000"/>
                          <w:bottom w:val="single" w:sz="18" w:space="0" w:color="000000"/>
                        </w:tcBorders>
                      </w:tcPr>
                      <w:p>
                        <w:pPr>
                          <w:pStyle w:val="TableParagraph"/>
                          <w:spacing w:before="3"/>
                          <w:rPr>
                            <w:sz w:val="19"/>
                          </w:rPr>
                        </w:pPr>
                      </w:p>
                      <w:p>
                        <w:pPr>
                          <w:pStyle w:val="TableParagraph"/>
                          <w:spacing w:line="155" w:lineRule="exact"/>
                          <w:ind w:right="258"/>
                          <w:jc w:val="right"/>
                          <w:rPr>
                            <w:sz w:val="16"/>
                          </w:rPr>
                        </w:pPr>
                        <w:r>
                          <w:rPr>
                            <w:color w:val="3A3A3A"/>
                            <w:w w:val="105"/>
                            <w:sz w:val="16"/>
                          </w:rPr>
                          <w:t>294</w:t>
                        </w:r>
                      </w:p>
                    </w:tc>
                    <w:tc>
                      <w:tcPr>
                        <w:tcW w:w="1077" w:type="dxa"/>
                        <w:tcBorders>
                          <w:top w:val="single" w:sz="18" w:space="0" w:color="000000"/>
                          <w:bottom w:val="single" w:sz="18" w:space="0" w:color="000000"/>
                        </w:tcBorders>
                      </w:tcPr>
                      <w:p>
                        <w:pPr>
                          <w:pStyle w:val="TableParagraph"/>
                          <w:rPr>
                            <w:sz w:val="16"/>
                          </w:rPr>
                        </w:pPr>
                      </w:p>
                    </w:tc>
                    <w:tc>
                      <w:tcPr>
                        <w:tcW w:w="956" w:type="dxa"/>
                        <w:tcBorders>
                          <w:top w:val="single" w:sz="18" w:space="0" w:color="000000"/>
                          <w:bottom w:val="single" w:sz="18" w:space="0" w:color="000000"/>
                        </w:tcBorders>
                      </w:tcPr>
                      <w:p>
                        <w:pPr>
                          <w:pStyle w:val="TableParagraph"/>
                          <w:spacing w:before="3"/>
                          <w:rPr>
                            <w:sz w:val="19"/>
                          </w:rPr>
                        </w:pPr>
                      </w:p>
                      <w:p>
                        <w:pPr>
                          <w:pStyle w:val="TableParagraph"/>
                          <w:spacing w:line="155" w:lineRule="exact"/>
                          <w:ind w:right="327"/>
                          <w:jc w:val="right"/>
                          <w:rPr>
                            <w:sz w:val="16"/>
                          </w:rPr>
                        </w:pPr>
                        <w:r>
                          <w:rPr>
                            <w:color w:val="3A3A3A"/>
                            <w:w w:val="110"/>
                            <w:sz w:val="16"/>
                          </w:rPr>
                          <w:t>(294)</w:t>
                        </w:r>
                      </w:p>
                    </w:tc>
                    <w:tc>
                      <w:tcPr>
                        <w:tcW w:w="911" w:type="dxa"/>
                        <w:tcBorders>
                          <w:top w:val="single" w:sz="18" w:space="0" w:color="000000"/>
                          <w:bottom w:val="single" w:sz="18" w:space="0" w:color="000000"/>
                        </w:tcBorders>
                      </w:tcPr>
                      <w:p>
                        <w:pPr>
                          <w:pStyle w:val="TableParagraph"/>
                          <w:spacing w:before="1"/>
                          <w:ind w:left="346" w:right="173"/>
                          <w:jc w:val="center"/>
                          <w:rPr>
                            <w:sz w:val="16"/>
                          </w:rPr>
                        </w:pPr>
                        <w:r>
                          <w:rPr>
                            <w:color w:val="3A3A3A"/>
                            <w:w w:val="110"/>
                            <w:sz w:val="16"/>
                          </w:rPr>
                          <w:t>22</w:t>
                        </w:r>
                      </w:p>
                    </w:tc>
                    <w:tc>
                      <w:tcPr>
                        <w:tcW w:w="1810" w:type="dxa"/>
                        <w:gridSpan w:val="2"/>
                        <w:tcBorders>
                          <w:top w:val="single" w:sz="18" w:space="0" w:color="000000"/>
                          <w:bottom w:val="single" w:sz="18" w:space="0" w:color="000000"/>
                          <w:right w:val="single" w:sz="12" w:space="0" w:color="000000"/>
                        </w:tcBorders>
                      </w:tcPr>
                      <w:p>
                        <w:pPr>
                          <w:pStyle w:val="TableParagraph"/>
                          <w:spacing w:before="1"/>
                          <w:ind w:right="39"/>
                          <w:jc w:val="right"/>
                          <w:rPr>
                            <w:sz w:val="16"/>
                          </w:rPr>
                        </w:pPr>
                        <w:r>
                          <w:rPr>
                            <w:color w:val="151515"/>
                            <w:w w:val="105"/>
                            <w:sz w:val="16"/>
                          </w:rPr>
                          <w:t>1</w:t>
                        </w:r>
                        <w:r>
                          <w:rPr>
                            <w:color w:val="3A3A3A"/>
                            <w:w w:val="105"/>
                            <w:sz w:val="16"/>
                          </w:rPr>
                          <w:t>87</w:t>
                        </w:r>
                      </w:p>
                      <w:p>
                        <w:pPr>
                          <w:pStyle w:val="TableParagraph"/>
                          <w:spacing w:line="155" w:lineRule="exact" w:before="37"/>
                          <w:ind w:right="31"/>
                          <w:jc w:val="right"/>
                          <w:rPr>
                            <w:sz w:val="16"/>
                          </w:rPr>
                        </w:pPr>
                        <w:r>
                          <w:rPr>
                            <w:color w:val="3A3A3A"/>
                            <w:w w:val="113"/>
                            <w:sz w:val="16"/>
                          </w:rPr>
                          <w:t>0</w:t>
                        </w:r>
                      </w:p>
                    </w:tc>
                  </w:tr>
                  <w:tr>
                    <w:trPr>
                      <w:trHeight w:val="416" w:hRule="atLeast"/>
                    </w:trPr>
                    <w:tc>
                      <w:tcPr>
                        <w:tcW w:w="1526" w:type="dxa"/>
                        <w:tcBorders>
                          <w:top w:val="single" w:sz="18" w:space="0" w:color="000000"/>
                          <w:left w:val="single" w:sz="12" w:space="0" w:color="000000"/>
                          <w:bottom w:val="single" w:sz="18" w:space="0" w:color="000000"/>
                        </w:tcBorders>
                      </w:tcPr>
                      <w:p>
                        <w:pPr>
                          <w:pStyle w:val="TableParagraph"/>
                          <w:spacing w:line="210" w:lineRule="atLeast" w:before="4"/>
                          <w:ind w:left="80" w:right="435" w:hanging="35"/>
                          <w:rPr>
                            <w:sz w:val="16"/>
                          </w:rPr>
                        </w:pPr>
                        <w:r>
                          <w:rPr>
                            <w:color w:val="232323"/>
                            <w:w w:val="105"/>
                            <w:sz w:val="16"/>
                          </w:rPr>
                          <w:t>Westminster </w:t>
                        </w:r>
                        <w:r>
                          <w:rPr>
                            <w:color w:val="3A3A3A"/>
                            <w:w w:val="105"/>
                            <w:sz w:val="16"/>
                          </w:rPr>
                          <w:t>College </w:t>
                        </w:r>
                        <w:r>
                          <w:rPr>
                            <w:color w:val="232323"/>
                            <w:w w:val="105"/>
                            <w:sz w:val="16"/>
                          </w:rPr>
                          <w:t>Funds</w:t>
                        </w:r>
                      </w:p>
                    </w:tc>
                    <w:tc>
                      <w:tcPr>
                        <w:tcW w:w="1375" w:type="dxa"/>
                        <w:tcBorders>
                          <w:top w:val="single" w:sz="18" w:space="0" w:color="000000"/>
                          <w:bottom w:val="single" w:sz="18" w:space="0" w:color="000000"/>
                        </w:tcBorders>
                      </w:tcPr>
                      <w:p>
                        <w:pPr>
                          <w:pStyle w:val="TableParagraph"/>
                          <w:spacing w:line="210" w:lineRule="atLeast" w:before="4"/>
                          <w:ind w:left="209" w:right="313" w:hanging="4"/>
                          <w:rPr>
                            <w:sz w:val="16"/>
                          </w:rPr>
                        </w:pPr>
                        <w:r>
                          <w:rPr>
                            <w:color w:val="3A3A3A"/>
                            <w:w w:val="110"/>
                            <w:sz w:val="16"/>
                          </w:rPr>
                          <w:t>Capital </w:t>
                        </w:r>
                        <w:r>
                          <w:rPr>
                            <w:color w:val="3A3A3A"/>
                            <w:w w:val="105"/>
                            <w:sz w:val="16"/>
                          </w:rPr>
                          <w:t>Restricted</w:t>
                        </w:r>
                      </w:p>
                    </w:tc>
                    <w:tc>
                      <w:tcPr>
                        <w:tcW w:w="1047" w:type="dxa"/>
                        <w:tcBorders>
                          <w:top w:val="single" w:sz="18" w:space="0" w:color="000000"/>
                          <w:bottom w:val="single" w:sz="18" w:space="0" w:color="000000"/>
                        </w:tcBorders>
                      </w:tcPr>
                      <w:p>
                        <w:pPr>
                          <w:pStyle w:val="TableParagraph"/>
                          <w:spacing w:before="20"/>
                          <w:ind w:left="446"/>
                          <w:rPr>
                            <w:sz w:val="16"/>
                          </w:rPr>
                        </w:pPr>
                        <w:r>
                          <w:rPr>
                            <w:color w:val="232323"/>
                            <w:w w:val="115"/>
                            <w:sz w:val="16"/>
                          </w:rPr>
                          <w:t>1,152</w:t>
                        </w:r>
                      </w:p>
                      <w:p>
                        <w:pPr>
                          <w:pStyle w:val="TableParagraph"/>
                          <w:spacing w:line="155" w:lineRule="exact" w:before="38"/>
                          <w:ind w:left="446"/>
                          <w:rPr>
                            <w:sz w:val="16"/>
                          </w:rPr>
                        </w:pPr>
                        <w:r>
                          <w:rPr>
                            <w:color w:val="151515"/>
                            <w:w w:val="110"/>
                            <w:sz w:val="16"/>
                          </w:rPr>
                          <w:t>1</w:t>
                        </w:r>
                        <w:r>
                          <w:rPr>
                            <w:color w:val="3A3A3A"/>
                            <w:w w:val="110"/>
                            <w:sz w:val="16"/>
                          </w:rPr>
                          <w:t>,348</w:t>
                        </w:r>
                      </w:p>
                    </w:tc>
                    <w:tc>
                      <w:tcPr>
                        <w:tcW w:w="951" w:type="dxa"/>
                        <w:tcBorders>
                          <w:top w:val="single" w:sz="18" w:space="0" w:color="000000"/>
                          <w:bottom w:val="single" w:sz="18" w:space="0" w:color="000000"/>
                        </w:tcBorders>
                      </w:tcPr>
                      <w:p>
                        <w:pPr>
                          <w:pStyle w:val="TableParagraph"/>
                          <w:rPr>
                            <w:sz w:val="21"/>
                          </w:rPr>
                        </w:pPr>
                      </w:p>
                      <w:p>
                        <w:pPr>
                          <w:pStyle w:val="TableParagraph"/>
                          <w:spacing w:line="155" w:lineRule="exact"/>
                          <w:ind w:right="257"/>
                          <w:jc w:val="right"/>
                          <w:rPr>
                            <w:sz w:val="16"/>
                          </w:rPr>
                        </w:pPr>
                        <w:r>
                          <w:rPr>
                            <w:color w:val="3A3A3A"/>
                            <w:w w:val="105"/>
                            <w:sz w:val="16"/>
                          </w:rPr>
                          <w:t>369</w:t>
                        </w:r>
                      </w:p>
                    </w:tc>
                    <w:tc>
                      <w:tcPr>
                        <w:tcW w:w="1077" w:type="dxa"/>
                        <w:tcBorders>
                          <w:top w:val="single" w:sz="18" w:space="0" w:color="000000"/>
                          <w:bottom w:val="single" w:sz="18" w:space="0" w:color="000000"/>
                        </w:tcBorders>
                      </w:tcPr>
                      <w:p>
                        <w:pPr>
                          <w:pStyle w:val="TableParagraph"/>
                          <w:rPr>
                            <w:sz w:val="21"/>
                          </w:rPr>
                        </w:pPr>
                      </w:p>
                      <w:p>
                        <w:pPr>
                          <w:pStyle w:val="TableParagraph"/>
                          <w:spacing w:line="155" w:lineRule="exact"/>
                          <w:ind w:right="199"/>
                          <w:jc w:val="right"/>
                          <w:rPr>
                            <w:sz w:val="16"/>
                          </w:rPr>
                        </w:pPr>
                        <w:r>
                          <w:rPr>
                            <w:color w:val="232323"/>
                            <w:w w:val="110"/>
                            <w:sz w:val="16"/>
                          </w:rPr>
                          <w:t>(619)</w:t>
                        </w:r>
                      </w:p>
                    </w:tc>
                    <w:tc>
                      <w:tcPr>
                        <w:tcW w:w="956" w:type="dxa"/>
                        <w:tcBorders>
                          <w:top w:val="single" w:sz="18" w:space="0" w:color="000000"/>
                          <w:bottom w:val="single" w:sz="18" w:space="0" w:color="000000"/>
                        </w:tcBorders>
                      </w:tcPr>
                      <w:p>
                        <w:pPr>
                          <w:pStyle w:val="TableParagraph"/>
                          <w:rPr>
                            <w:sz w:val="21"/>
                          </w:rPr>
                        </w:pPr>
                      </w:p>
                      <w:p>
                        <w:pPr>
                          <w:pStyle w:val="TableParagraph"/>
                          <w:spacing w:line="155" w:lineRule="exact"/>
                          <w:ind w:left="291"/>
                          <w:rPr>
                            <w:sz w:val="16"/>
                          </w:rPr>
                        </w:pPr>
                        <w:r>
                          <w:rPr>
                            <w:color w:val="3A3A3A"/>
                            <w:w w:val="115"/>
                            <w:sz w:val="16"/>
                          </w:rPr>
                          <w:t>309</w:t>
                        </w:r>
                      </w:p>
                    </w:tc>
                    <w:tc>
                      <w:tcPr>
                        <w:tcW w:w="911" w:type="dxa"/>
                        <w:tcBorders>
                          <w:top w:val="single" w:sz="18" w:space="0" w:color="000000"/>
                          <w:bottom w:val="single" w:sz="18" w:space="0" w:color="000000"/>
                        </w:tcBorders>
                      </w:tcPr>
                      <w:p>
                        <w:pPr>
                          <w:pStyle w:val="TableParagraph"/>
                          <w:spacing w:before="20"/>
                          <w:ind w:left="372"/>
                          <w:rPr>
                            <w:sz w:val="16"/>
                          </w:rPr>
                        </w:pPr>
                        <w:r>
                          <w:rPr>
                            <w:color w:val="232323"/>
                            <w:w w:val="115"/>
                            <w:sz w:val="16"/>
                          </w:rPr>
                          <w:t>107</w:t>
                        </w:r>
                      </w:p>
                      <w:p>
                        <w:pPr>
                          <w:pStyle w:val="TableParagraph"/>
                          <w:spacing w:line="155" w:lineRule="exact" w:before="38"/>
                          <w:ind w:left="452"/>
                          <w:rPr>
                            <w:sz w:val="16"/>
                          </w:rPr>
                        </w:pPr>
                        <w:r>
                          <w:rPr>
                            <w:color w:val="3A3A3A"/>
                            <w:w w:val="115"/>
                            <w:sz w:val="16"/>
                          </w:rPr>
                          <w:t>65</w:t>
                        </w:r>
                      </w:p>
                    </w:tc>
                    <w:tc>
                      <w:tcPr>
                        <w:tcW w:w="1810" w:type="dxa"/>
                        <w:gridSpan w:val="2"/>
                        <w:tcBorders>
                          <w:top w:val="single" w:sz="18" w:space="0" w:color="000000"/>
                          <w:bottom w:val="single" w:sz="18" w:space="0" w:color="000000"/>
                          <w:right w:val="single" w:sz="12" w:space="0" w:color="000000"/>
                        </w:tcBorders>
                      </w:tcPr>
                      <w:p>
                        <w:pPr>
                          <w:pStyle w:val="TableParagraph"/>
                          <w:spacing w:before="20"/>
                          <w:ind w:right="21"/>
                          <w:jc w:val="right"/>
                          <w:rPr>
                            <w:sz w:val="16"/>
                          </w:rPr>
                        </w:pPr>
                        <w:r>
                          <w:rPr>
                            <w:color w:val="3A3A3A"/>
                            <w:spacing w:val="-2"/>
                            <w:w w:val="110"/>
                            <w:sz w:val="16"/>
                          </w:rPr>
                          <w:t>1</w:t>
                        </w:r>
                        <w:r>
                          <w:rPr>
                            <w:color w:val="565656"/>
                            <w:spacing w:val="-2"/>
                            <w:w w:val="110"/>
                            <w:sz w:val="16"/>
                          </w:rPr>
                          <w:t>,</w:t>
                        </w:r>
                        <w:r>
                          <w:rPr>
                            <w:color w:val="3A3A3A"/>
                            <w:spacing w:val="-2"/>
                            <w:w w:val="110"/>
                            <w:sz w:val="16"/>
                          </w:rPr>
                          <w:t>259</w:t>
                        </w:r>
                      </w:p>
                      <w:p>
                        <w:pPr>
                          <w:pStyle w:val="TableParagraph"/>
                          <w:spacing w:line="155" w:lineRule="exact" w:before="38"/>
                          <w:ind w:right="23"/>
                          <w:jc w:val="right"/>
                          <w:rPr>
                            <w:sz w:val="16"/>
                          </w:rPr>
                        </w:pPr>
                        <w:r>
                          <w:rPr>
                            <w:color w:val="3A3A3A"/>
                            <w:spacing w:val="-1"/>
                            <w:w w:val="110"/>
                            <w:sz w:val="16"/>
                          </w:rPr>
                          <w:t>1,471</w:t>
                        </w:r>
                      </w:p>
                    </w:tc>
                  </w:tr>
                  <w:tr>
                    <w:trPr>
                      <w:trHeight w:val="409" w:hRule="atLeast"/>
                    </w:trPr>
                    <w:tc>
                      <w:tcPr>
                        <w:tcW w:w="1526" w:type="dxa"/>
                        <w:tcBorders>
                          <w:top w:val="single" w:sz="18" w:space="0" w:color="000000"/>
                          <w:left w:val="single" w:sz="12" w:space="0" w:color="000000"/>
                          <w:bottom w:val="single" w:sz="18" w:space="0" w:color="000000"/>
                        </w:tcBorders>
                      </w:tcPr>
                      <w:p>
                        <w:pPr>
                          <w:pStyle w:val="TableParagraph"/>
                          <w:spacing w:before="13"/>
                          <w:ind w:left="32"/>
                          <w:rPr>
                            <w:sz w:val="16"/>
                          </w:rPr>
                        </w:pPr>
                        <w:r>
                          <w:rPr>
                            <w:color w:val="3A3A3A"/>
                            <w:w w:val="110"/>
                            <w:sz w:val="16"/>
                          </w:rPr>
                          <w:t>Church Building</w:t>
                        </w:r>
                        <w:r>
                          <w:rPr>
                            <w:color w:val="565656"/>
                            <w:w w:val="110"/>
                            <w:sz w:val="16"/>
                          </w:rPr>
                          <w:t>s</w:t>
                        </w:r>
                      </w:p>
                      <w:p>
                        <w:pPr>
                          <w:pStyle w:val="TableParagraph"/>
                          <w:spacing w:line="155" w:lineRule="exact" w:before="37"/>
                          <w:ind w:left="83"/>
                          <w:rPr>
                            <w:sz w:val="16"/>
                          </w:rPr>
                        </w:pPr>
                        <w:r>
                          <w:rPr>
                            <w:color w:val="3A3A3A"/>
                            <w:w w:val="105"/>
                            <w:sz w:val="16"/>
                          </w:rPr>
                          <w:t>Fund</w:t>
                        </w:r>
                      </w:p>
                    </w:tc>
                    <w:tc>
                      <w:tcPr>
                        <w:tcW w:w="1375" w:type="dxa"/>
                        <w:tcBorders>
                          <w:top w:val="single" w:sz="18" w:space="0" w:color="000000"/>
                          <w:bottom w:val="single" w:sz="18" w:space="0" w:color="000000"/>
                        </w:tcBorders>
                      </w:tcPr>
                      <w:p>
                        <w:pPr>
                          <w:pStyle w:val="TableParagraph"/>
                          <w:spacing w:before="13"/>
                          <w:ind w:left="206"/>
                          <w:rPr>
                            <w:sz w:val="16"/>
                          </w:rPr>
                        </w:pPr>
                        <w:r>
                          <w:rPr>
                            <w:color w:val="3A3A3A"/>
                            <w:w w:val="110"/>
                            <w:sz w:val="16"/>
                          </w:rPr>
                          <w:t>Capital</w:t>
                        </w:r>
                      </w:p>
                      <w:p>
                        <w:pPr>
                          <w:pStyle w:val="TableParagraph"/>
                          <w:spacing w:line="155" w:lineRule="exact" w:before="37"/>
                          <w:ind w:left="209"/>
                          <w:rPr>
                            <w:sz w:val="16"/>
                          </w:rPr>
                        </w:pPr>
                        <w:r>
                          <w:rPr>
                            <w:color w:val="3A3A3A"/>
                            <w:w w:val="110"/>
                            <w:sz w:val="16"/>
                          </w:rPr>
                          <w:t>Restricted</w:t>
                        </w:r>
                      </w:p>
                    </w:tc>
                    <w:tc>
                      <w:tcPr>
                        <w:tcW w:w="1047" w:type="dxa"/>
                        <w:tcBorders>
                          <w:top w:val="single" w:sz="18" w:space="0" w:color="000000"/>
                          <w:bottom w:val="single" w:sz="18" w:space="0" w:color="000000"/>
                        </w:tcBorders>
                      </w:tcPr>
                      <w:p>
                        <w:pPr>
                          <w:pStyle w:val="TableParagraph"/>
                          <w:spacing w:before="13"/>
                          <w:ind w:right="201"/>
                          <w:jc w:val="right"/>
                          <w:rPr>
                            <w:sz w:val="16"/>
                          </w:rPr>
                        </w:pPr>
                        <w:r>
                          <w:rPr>
                            <w:color w:val="232323"/>
                            <w:w w:val="105"/>
                            <w:sz w:val="16"/>
                          </w:rPr>
                          <w:t>184</w:t>
                        </w:r>
                      </w:p>
                      <w:p>
                        <w:pPr>
                          <w:pStyle w:val="TableParagraph"/>
                          <w:spacing w:line="165" w:lineRule="exact" w:before="28"/>
                          <w:ind w:right="205"/>
                          <w:jc w:val="right"/>
                          <w:rPr>
                            <w:sz w:val="16"/>
                          </w:rPr>
                        </w:pPr>
                        <w:r>
                          <w:rPr>
                            <w:color w:val="3A3A3A"/>
                            <w:w w:val="110"/>
                            <w:sz w:val="16"/>
                          </w:rPr>
                          <w:t>2,596</w:t>
                        </w:r>
                      </w:p>
                    </w:tc>
                    <w:tc>
                      <w:tcPr>
                        <w:tcW w:w="951" w:type="dxa"/>
                        <w:tcBorders>
                          <w:top w:val="single" w:sz="18" w:space="0" w:color="000000"/>
                          <w:bottom w:val="single" w:sz="18" w:space="0" w:color="000000"/>
                        </w:tcBorders>
                      </w:tcPr>
                      <w:p>
                        <w:pPr>
                          <w:pStyle w:val="TableParagraph"/>
                          <w:spacing w:before="4"/>
                          <w:rPr>
                            <w:sz w:val="20"/>
                          </w:rPr>
                        </w:pPr>
                      </w:p>
                      <w:p>
                        <w:pPr>
                          <w:pStyle w:val="TableParagraph"/>
                          <w:spacing w:line="155" w:lineRule="exact"/>
                          <w:ind w:right="245"/>
                          <w:jc w:val="right"/>
                          <w:rPr>
                            <w:sz w:val="16"/>
                          </w:rPr>
                        </w:pPr>
                        <w:r>
                          <w:rPr>
                            <w:color w:val="232323"/>
                            <w:w w:val="110"/>
                            <w:sz w:val="16"/>
                          </w:rPr>
                          <w:t>169</w:t>
                        </w:r>
                      </w:p>
                    </w:tc>
                    <w:tc>
                      <w:tcPr>
                        <w:tcW w:w="1077" w:type="dxa"/>
                        <w:tcBorders>
                          <w:top w:val="single" w:sz="18" w:space="0" w:color="000000"/>
                          <w:bottom w:val="single" w:sz="18" w:space="0" w:color="000000"/>
                        </w:tcBorders>
                      </w:tcPr>
                      <w:p>
                        <w:pPr>
                          <w:pStyle w:val="TableParagraph"/>
                          <w:spacing w:before="6"/>
                          <w:rPr>
                            <w:sz w:val="19"/>
                          </w:rPr>
                        </w:pPr>
                      </w:p>
                      <w:p>
                        <w:pPr>
                          <w:pStyle w:val="TableParagraph"/>
                          <w:spacing w:line="165" w:lineRule="exact"/>
                          <w:ind w:right="198"/>
                          <w:jc w:val="right"/>
                          <w:rPr>
                            <w:sz w:val="16"/>
                          </w:rPr>
                        </w:pPr>
                        <w:r>
                          <w:rPr>
                            <w:color w:val="3A3A3A"/>
                            <w:w w:val="115"/>
                            <w:sz w:val="16"/>
                          </w:rPr>
                          <w:t>(51)</w:t>
                        </w:r>
                      </w:p>
                    </w:tc>
                    <w:tc>
                      <w:tcPr>
                        <w:tcW w:w="956" w:type="dxa"/>
                        <w:tcBorders>
                          <w:top w:val="single" w:sz="18" w:space="0" w:color="000000"/>
                          <w:bottom w:val="single" w:sz="18" w:space="0" w:color="000000"/>
                        </w:tcBorders>
                      </w:tcPr>
                      <w:p>
                        <w:pPr>
                          <w:pStyle w:val="TableParagraph"/>
                          <w:rPr>
                            <w:sz w:val="16"/>
                          </w:rPr>
                        </w:pPr>
                      </w:p>
                    </w:tc>
                    <w:tc>
                      <w:tcPr>
                        <w:tcW w:w="911" w:type="dxa"/>
                        <w:tcBorders>
                          <w:top w:val="single" w:sz="18" w:space="0" w:color="000000"/>
                          <w:bottom w:val="single" w:sz="18" w:space="0" w:color="000000"/>
                        </w:tcBorders>
                      </w:tcPr>
                      <w:p>
                        <w:pPr>
                          <w:pStyle w:val="TableParagraph"/>
                          <w:spacing w:before="6"/>
                          <w:rPr>
                            <w:sz w:val="19"/>
                          </w:rPr>
                        </w:pPr>
                      </w:p>
                      <w:p>
                        <w:pPr>
                          <w:pStyle w:val="TableParagraph"/>
                          <w:spacing w:line="165" w:lineRule="exact"/>
                          <w:ind w:left="346" w:right="243"/>
                          <w:jc w:val="center"/>
                          <w:rPr>
                            <w:sz w:val="16"/>
                          </w:rPr>
                        </w:pPr>
                        <w:r>
                          <w:rPr>
                            <w:color w:val="3A3A3A"/>
                            <w:w w:val="115"/>
                            <w:sz w:val="16"/>
                          </w:rPr>
                          <w:t>201</w:t>
                        </w:r>
                      </w:p>
                    </w:tc>
                    <w:tc>
                      <w:tcPr>
                        <w:tcW w:w="1810" w:type="dxa"/>
                        <w:gridSpan w:val="2"/>
                        <w:tcBorders>
                          <w:top w:val="single" w:sz="18" w:space="0" w:color="000000"/>
                          <w:bottom w:val="single" w:sz="18" w:space="0" w:color="000000"/>
                          <w:right w:val="single" w:sz="12" w:space="0" w:color="000000"/>
                        </w:tcBorders>
                      </w:tcPr>
                      <w:p>
                        <w:pPr>
                          <w:pStyle w:val="TableParagraph"/>
                          <w:spacing w:before="13"/>
                          <w:ind w:right="27"/>
                          <w:jc w:val="right"/>
                          <w:rPr>
                            <w:sz w:val="16"/>
                          </w:rPr>
                        </w:pPr>
                        <w:r>
                          <w:rPr>
                            <w:color w:val="232323"/>
                            <w:w w:val="105"/>
                            <w:sz w:val="16"/>
                          </w:rPr>
                          <w:t>184</w:t>
                        </w:r>
                      </w:p>
                      <w:p>
                        <w:pPr>
                          <w:pStyle w:val="TableParagraph"/>
                          <w:spacing w:line="165" w:lineRule="exact" w:before="28"/>
                          <w:ind w:right="23"/>
                          <w:jc w:val="right"/>
                          <w:rPr>
                            <w:sz w:val="16"/>
                          </w:rPr>
                        </w:pPr>
                        <w:r>
                          <w:rPr>
                            <w:color w:val="3A3A3A"/>
                            <w:w w:val="110"/>
                            <w:sz w:val="16"/>
                          </w:rPr>
                          <w:t>2,915</w:t>
                        </w:r>
                      </w:p>
                    </w:tc>
                  </w:tr>
                  <w:tr>
                    <w:trPr>
                      <w:trHeight w:val="221" w:hRule="atLeast"/>
                    </w:trPr>
                    <w:tc>
                      <w:tcPr>
                        <w:tcW w:w="1526" w:type="dxa"/>
                        <w:tcBorders>
                          <w:top w:val="single" w:sz="18" w:space="0" w:color="000000"/>
                          <w:left w:val="single" w:sz="12" w:space="0" w:color="000000"/>
                        </w:tcBorders>
                      </w:tcPr>
                      <w:p>
                        <w:pPr>
                          <w:pStyle w:val="TableParagraph"/>
                          <w:spacing w:line="181" w:lineRule="exact" w:before="20"/>
                          <w:ind w:left="35"/>
                          <w:rPr>
                            <w:sz w:val="16"/>
                          </w:rPr>
                        </w:pPr>
                        <w:r>
                          <w:rPr>
                            <w:color w:val="3A3A3A"/>
                            <w:w w:val="110"/>
                            <w:sz w:val="16"/>
                          </w:rPr>
                          <w:t>Retired Ministers'</w:t>
                        </w:r>
                      </w:p>
                    </w:tc>
                    <w:tc>
                      <w:tcPr>
                        <w:tcW w:w="1375" w:type="dxa"/>
                        <w:tcBorders>
                          <w:top w:val="single" w:sz="18" w:space="0" w:color="000000"/>
                        </w:tcBorders>
                      </w:tcPr>
                      <w:p>
                        <w:pPr>
                          <w:pStyle w:val="TableParagraph"/>
                          <w:spacing w:line="181" w:lineRule="exact" w:before="20"/>
                          <w:ind w:left="206"/>
                          <w:rPr>
                            <w:sz w:val="16"/>
                          </w:rPr>
                        </w:pPr>
                        <w:r>
                          <w:rPr>
                            <w:color w:val="3A3A3A"/>
                            <w:w w:val="110"/>
                            <w:sz w:val="16"/>
                          </w:rPr>
                          <w:t>Capital</w:t>
                        </w:r>
                      </w:p>
                    </w:tc>
                    <w:tc>
                      <w:tcPr>
                        <w:tcW w:w="1047" w:type="dxa"/>
                        <w:tcBorders>
                          <w:top w:val="single" w:sz="18" w:space="0" w:color="000000"/>
                        </w:tcBorders>
                      </w:tcPr>
                      <w:p>
                        <w:pPr>
                          <w:pStyle w:val="TableParagraph"/>
                          <w:spacing w:line="181" w:lineRule="exact" w:before="20"/>
                          <w:ind w:right="211"/>
                          <w:jc w:val="right"/>
                          <w:rPr>
                            <w:sz w:val="16"/>
                          </w:rPr>
                        </w:pPr>
                        <w:r>
                          <w:rPr>
                            <w:color w:val="3A3A3A"/>
                            <w:w w:val="105"/>
                            <w:sz w:val="16"/>
                          </w:rPr>
                          <w:t>359</w:t>
                        </w:r>
                      </w:p>
                    </w:tc>
                    <w:tc>
                      <w:tcPr>
                        <w:tcW w:w="951" w:type="dxa"/>
                        <w:tcBorders>
                          <w:top w:val="single" w:sz="18" w:space="0" w:color="000000"/>
                        </w:tcBorders>
                      </w:tcPr>
                      <w:p>
                        <w:pPr>
                          <w:pStyle w:val="TableParagraph"/>
                          <w:rPr>
                            <w:sz w:val="14"/>
                          </w:rPr>
                        </w:pPr>
                      </w:p>
                    </w:tc>
                    <w:tc>
                      <w:tcPr>
                        <w:tcW w:w="1077" w:type="dxa"/>
                        <w:tcBorders>
                          <w:top w:val="single" w:sz="18" w:space="0" w:color="000000"/>
                        </w:tcBorders>
                      </w:tcPr>
                      <w:p>
                        <w:pPr>
                          <w:pStyle w:val="TableParagraph"/>
                          <w:rPr>
                            <w:sz w:val="14"/>
                          </w:rPr>
                        </w:pPr>
                      </w:p>
                    </w:tc>
                    <w:tc>
                      <w:tcPr>
                        <w:tcW w:w="956" w:type="dxa"/>
                        <w:tcBorders>
                          <w:top w:val="single" w:sz="18" w:space="0" w:color="000000"/>
                        </w:tcBorders>
                      </w:tcPr>
                      <w:p>
                        <w:pPr>
                          <w:pStyle w:val="TableParagraph"/>
                          <w:rPr>
                            <w:sz w:val="14"/>
                          </w:rPr>
                        </w:pPr>
                      </w:p>
                    </w:tc>
                    <w:tc>
                      <w:tcPr>
                        <w:tcW w:w="911" w:type="dxa"/>
                        <w:tcBorders>
                          <w:top w:val="single" w:sz="18" w:space="0" w:color="000000"/>
                        </w:tcBorders>
                      </w:tcPr>
                      <w:p>
                        <w:pPr>
                          <w:pStyle w:val="TableParagraph"/>
                          <w:rPr>
                            <w:sz w:val="14"/>
                          </w:rPr>
                        </w:pPr>
                      </w:p>
                    </w:tc>
                    <w:tc>
                      <w:tcPr>
                        <w:tcW w:w="1810" w:type="dxa"/>
                        <w:gridSpan w:val="2"/>
                        <w:tcBorders>
                          <w:top w:val="single" w:sz="18" w:space="0" w:color="000000"/>
                          <w:right w:val="single" w:sz="12" w:space="0" w:color="000000"/>
                        </w:tcBorders>
                      </w:tcPr>
                      <w:p>
                        <w:pPr>
                          <w:pStyle w:val="TableParagraph"/>
                          <w:spacing w:line="181" w:lineRule="exact" w:before="20"/>
                          <w:ind w:right="36"/>
                          <w:jc w:val="right"/>
                          <w:rPr>
                            <w:sz w:val="16"/>
                          </w:rPr>
                        </w:pPr>
                        <w:r>
                          <w:rPr>
                            <w:color w:val="3A3A3A"/>
                            <w:w w:val="105"/>
                            <w:sz w:val="16"/>
                          </w:rPr>
                          <w:t>359</w:t>
                        </w:r>
                      </w:p>
                    </w:tc>
                  </w:tr>
                  <w:tr>
                    <w:trPr>
                      <w:trHeight w:val="221" w:hRule="atLeast"/>
                    </w:trPr>
                    <w:tc>
                      <w:tcPr>
                        <w:tcW w:w="1526" w:type="dxa"/>
                        <w:tcBorders>
                          <w:left w:val="single" w:sz="12" w:space="0" w:color="000000"/>
                        </w:tcBorders>
                      </w:tcPr>
                      <w:p>
                        <w:pPr>
                          <w:pStyle w:val="TableParagraph"/>
                          <w:spacing w:line="181" w:lineRule="exact" w:before="20"/>
                          <w:ind w:left="73"/>
                          <w:rPr>
                            <w:sz w:val="16"/>
                          </w:rPr>
                        </w:pPr>
                        <w:r>
                          <w:rPr>
                            <w:color w:val="3A3A3A"/>
                            <w:w w:val="105"/>
                            <w:sz w:val="16"/>
                          </w:rPr>
                          <w:t>Housing Funds</w:t>
                        </w:r>
                      </w:p>
                    </w:tc>
                    <w:tc>
                      <w:tcPr>
                        <w:tcW w:w="1375" w:type="dxa"/>
                      </w:tcPr>
                      <w:p>
                        <w:pPr>
                          <w:pStyle w:val="TableParagraph"/>
                          <w:spacing w:line="181" w:lineRule="exact" w:before="20"/>
                          <w:ind w:left="209"/>
                          <w:rPr>
                            <w:sz w:val="16"/>
                          </w:rPr>
                        </w:pPr>
                        <w:r>
                          <w:rPr>
                            <w:color w:val="3A3A3A"/>
                            <w:w w:val="110"/>
                            <w:sz w:val="16"/>
                          </w:rPr>
                          <w:t>Restricted</w:t>
                        </w:r>
                      </w:p>
                    </w:tc>
                    <w:tc>
                      <w:tcPr>
                        <w:tcW w:w="1047" w:type="dxa"/>
                      </w:tcPr>
                      <w:p>
                        <w:pPr>
                          <w:pStyle w:val="TableParagraph"/>
                          <w:spacing w:line="181" w:lineRule="exact" w:before="20"/>
                          <w:ind w:right="214"/>
                          <w:jc w:val="right"/>
                          <w:rPr>
                            <w:sz w:val="16"/>
                          </w:rPr>
                        </w:pPr>
                        <w:r>
                          <w:rPr>
                            <w:color w:val="3A3A3A"/>
                            <w:w w:val="105"/>
                            <w:sz w:val="16"/>
                          </w:rPr>
                          <w:t>2</w:t>
                        </w:r>
                        <w:r>
                          <w:rPr>
                            <w:color w:val="565656"/>
                            <w:w w:val="105"/>
                            <w:sz w:val="16"/>
                          </w:rPr>
                          <w:t>,</w:t>
                        </w:r>
                        <w:r>
                          <w:rPr>
                            <w:color w:val="3A3A3A"/>
                            <w:w w:val="105"/>
                            <w:sz w:val="16"/>
                          </w:rPr>
                          <w:t>849</w:t>
                        </w:r>
                      </w:p>
                    </w:tc>
                    <w:tc>
                      <w:tcPr>
                        <w:tcW w:w="951" w:type="dxa"/>
                      </w:tcPr>
                      <w:p>
                        <w:pPr>
                          <w:pStyle w:val="TableParagraph"/>
                          <w:spacing w:line="181" w:lineRule="exact" w:before="20"/>
                          <w:ind w:right="259"/>
                          <w:jc w:val="right"/>
                          <w:rPr>
                            <w:sz w:val="16"/>
                          </w:rPr>
                        </w:pPr>
                        <w:r>
                          <w:rPr>
                            <w:color w:val="3A3A3A"/>
                            <w:w w:val="105"/>
                            <w:sz w:val="16"/>
                          </w:rPr>
                          <w:t>124</w:t>
                        </w:r>
                      </w:p>
                    </w:tc>
                    <w:tc>
                      <w:tcPr>
                        <w:tcW w:w="1077" w:type="dxa"/>
                      </w:tcPr>
                      <w:p>
                        <w:pPr>
                          <w:pStyle w:val="TableParagraph"/>
                          <w:spacing w:line="181" w:lineRule="exact" w:before="20"/>
                          <w:ind w:right="198"/>
                          <w:jc w:val="right"/>
                          <w:rPr>
                            <w:sz w:val="16"/>
                          </w:rPr>
                        </w:pPr>
                        <w:r>
                          <w:rPr>
                            <w:color w:val="3A3A3A"/>
                            <w:w w:val="115"/>
                            <w:sz w:val="16"/>
                          </w:rPr>
                          <w:t>(65)</w:t>
                        </w:r>
                      </w:p>
                    </w:tc>
                    <w:tc>
                      <w:tcPr>
                        <w:tcW w:w="956" w:type="dxa"/>
                      </w:tcPr>
                      <w:p>
                        <w:pPr>
                          <w:pStyle w:val="TableParagraph"/>
                          <w:spacing w:line="181" w:lineRule="exact" w:before="20"/>
                          <w:ind w:right="326"/>
                          <w:jc w:val="right"/>
                          <w:rPr>
                            <w:sz w:val="16"/>
                          </w:rPr>
                        </w:pPr>
                        <w:r>
                          <w:rPr>
                            <w:color w:val="3A3A3A"/>
                            <w:w w:val="115"/>
                            <w:sz w:val="16"/>
                          </w:rPr>
                          <w:t>(83)</w:t>
                        </w:r>
                      </w:p>
                    </w:tc>
                    <w:tc>
                      <w:tcPr>
                        <w:tcW w:w="911" w:type="dxa"/>
                      </w:tcPr>
                      <w:p>
                        <w:pPr>
                          <w:pStyle w:val="TableParagraph"/>
                          <w:rPr>
                            <w:sz w:val="14"/>
                          </w:rPr>
                        </w:pPr>
                      </w:p>
                    </w:tc>
                    <w:tc>
                      <w:tcPr>
                        <w:tcW w:w="1810" w:type="dxa"/>
                        <w:gridSpan w:val="2"/>
                        <w:tcBorders>
                          <w:right w:val="single" w:sz="12" w:space="0" w:color="000000"/>
                        </w:tcBorders>
                      </w:tcPr>
                      <w:p>
                        <w:pPr>
                          <w:pStyle w:val="TableParagraph"/>
                          <w:spacing w:before="10"/>
                          <w:ind w:right="23"/>
                          <w:jc w:val="right"/>
                          <w:rPr>
                            <w:sz w:val="16"/>
                          </w:rPr>
                        </w:pPr>
                        <w:r>
                          <w:rPr>
                            <w:color w:val="3A3A3A"/>
                            <w:w w:val="110"/>
                            <w:sz w:val="16"/>
                          </w:rPr>
                          <w:t>2,825</w:t>
                        </w:r>
                      </w:p>
                    </w:tc>
                  </w:tr>
                  <w:tr>
                    <w:trPr>
                      <w:trHeight w:val="211" w:hRule="atLeast"/>
                    </w:trPr>
                    <w:tc>
                      <w:tcPr>
                        <w:tcW w:w="1526" w:type="dxa"/>
                        <w:tcBorders>
                          <w:left w:val="single" w:sz="12" w:space="0" w:color="000000"/>
                        </w:tcBorders>
                      </w:tcPr>
                      <w:p>
                        <w:pPr>
                          <w:pStyle w:val="TableParagraph"/>
                          <w:spacing w:line="181" w:lineRule="exact" w:before="10"/>
                          <w:ind w:left="35"/>
                          <w:rPr>
                            <w:sz w:val="16"/>
                          </w:rPr>
                        </w:pPr>
                        <w:r>
                          <w:rPr>
                            <w:color w:val="3A3A3A"/>
                            <w:w w:val="110"/>
                            <w:sz w:val="16"/>
                          </w:rPr>
                          <w:t>Retired Ministers'</w:t>
                        </w:r>
                      </w:p>
                    </w:tc>
                    <w:tc>
                      <w:tcPr>
                        <w:tcW w:w="1375" w:type="dxa"/>
                      </w:tcPr>
                      <w:p>
                        <w:pPr>
                          <w:pStyle w:val="TableParagraph"/>
                          <w:spacing w:line="181" w:lineRule="exact" w:before="10"/>
                          <w:ind w:left="206"/>
                          <w:rPr>
                            <w:sz w:val="16"/>
                          </w:rPr>
                        </w:pPr>
                        <w:r>
                          <w:rPr>
                            <w:color w:val="3A3A3A"/>
                            <w:w w:val="110"/>
                            <w:sz w:val="16"/>
                          </w:rPr>
                          <w:t>Capital</w:t>
                        </w:r>
                      </w:p>
                    </w:tc>
                    <w:tc>
                      <w:tcPr>
                        <w:tcW w:w="1047" w:type="dxa"/>
                      </w:tcPr>
                      <w:p>
                        <w:pPr>
                          <w:pStyle w:val="TableParagraph"/>
                          <w:spacing w:line="181" w:lineRule="exact" w:before="10"/>
                          <w:ind w:right="210"/>
                          <w:jc w:val="right"/>
                          <w:rPr>
                            <w:sz w:val="16"/>
                          </w:rPr>
                        </w:pPr>
                        <w:r>
                          <w:rPr>
                            <w:color w:val="3A3A3A"/>
                            <w:w w:val="108"/>
                            <w:sz w:val="16"/>
                          </w:rPr>
                          <w:t>0</w:t>
                        </w:r>
                      </w:p>
                    </w:tc>
                    <w:tc>
                      <w:tcPr>
                        <w:tcW w:w="951" w:type="dxa"/>
                      </w:tcPr>
                      <w:p>
                        <w:pPr>
                          <w:pStyle w:val="TableParagraph"/>
                          <w:rPr>
                            <w:sz w:val="14"/>
                          </w:rPr>
                        </w:pPr>
                      </w:p>
                    </w:tc>
                    <w:tc>
                      <w:tcPr>
                        <w:tcW w:w="1077" w:type="dxa"/>
                      </w:tcPr>
                      <w:p>
                        <w:pPr>
                          <w:pStyle w:val="TableParagraph"/>
                          <w:rPr>
                            <w:sz w:val="14"/>
                          </w:rPr>
                        </w:pPr>
                      </w:p>
                    </w:tc>
                    <w:tc>
                      <w:tcPr>
                        <w:tcW w:w="956" w:type="dxa"/>
                      </w:tcPr>
                      <w:p>
                        <w:pPr>
                          <w:pStyle w:val="TableParagraph"/>
                          <w:rPr>
                            <w:sz w:val="14"/>
                          </w:rPr>
                        </w:pPr>
                      </w:p>
                    </w:tc>
                    <w:tc>
                      <w:tcPr>
                        <w:tcW w:w="911" w:type="dxa"/>
                      </w:tcPr>
                      <w:p>
                        <w:pPr>
                          <w:pStyle w:val="TableParagraph"/>
                          <w:rPr>
                            <w:sz w:val="14"/>
                          </w:rPr>
                        </w:pPr>
                      </w:p>
                    </w:tc>
                    <w:tc>
                      <w:tcPr>
                        <w:tcW w:w="1810" w:type="dxa"/>
                        <w:gridSpan w:val="2"/>
                        <w:tcBorders>
                          <w:right w:val="single" w:sz="12" w:space="0" w:color="000000"/>
                        </w:tcBorders>
                      </w:tcPr>
                      <w:p>
                        <w:pPr>
                          <w:pStyle w:val="TableParagraph"/>
                          <w:spacing w:line="181" w:lineRule="exact" w:before="10"/>
                          <w:ind w:right="35"/>
                          <w:jc w:val="right"/>
                          <w:rPr>
                            <w:sz w:val="16"/>
                          </w:rPr>
                        </w:pPr>
                        <w:r>
                          <w:rPr>
                            <w:color w:val="3A3A3A"/>
                            <w:w w:val="108"/>
                            <w:sz w:val="16"/>
                          </w:rPr>
                          <w:t>0</w:t>
                        </w:r>
                      </w:p>
                    </w:tc>
                  </w:tr>
                  <w:tr>
                    <w:trPr>
                      <w:trHeight w:val="185" w:hRule="atLeast"/>
                    </w:trPr>
                    <w:tc>
                      <w:tcPr>
                        <w:tcW w:w="1526" w:type="dxa"/>
                        <w:tcBorders>
                          <w:left w:val="single" w:sz="12" w:space="0" w:color="000000"/>
                          <w:bottom w:val="single" w:sz="18" w:space="0" w:color="000000"/>
                        </w:tcBorders>
                      </w:tcPr>
                      <w:p>
                        <w:pPr>
                          <w:pStyle w:val="TableParagraph"/>
                          <w:spacing w:line="145" w:lineRule="exact" w:before="20"/>
                          <w:ind w:left="73"/>
                          <w:rPr>
                            <w:sz w:val="16"/>
                          </w:rPr>
                        </w:pPr>
                        <w:r>
                          <w:rPr>
                            <w:color w:val="3A3A3A"/>
                            <w:w w:val="110"/>
                            <w:sz w:val="16"/>
                          </w:rPr>
                          <w:t>Housinl!Society</w:t>
                        </w:r>
                      </w:p>
                    </w:tc>
                    <w:tc>
                      <w:tcPr>
                        <w:tcW w:w="1375" w:type="dxa"/>
                        <w:tcBorders>
                          <w:bottom w:val="single" w:sz="18" w:space="0" w:color="000000"/>
                        </w:tcBorders>
                      </w:tcPr>
                      <w:p>
                        <w:pPr>
                          <w:pStyle w:val="TableParagraph"/>
                          <w:spacing w:line="145" w:lineRule="exact" w:before="20"/>
                          <w:ind w:left="199"/>
                          <w:rPr>
                            <w:sz w:val="16"/>
                          </w:rPr>
                        </w:pPr>
                        <w:r>
                          <w:rPr>
                            <w:color w:val="3A3A3A"/>
                            <w:w w:val="110"/>
                            <w:sz w:val="16"/>
                          </w:rPr>
                          <w:t>Restricted</w:t>
                        </w:r>
                      </w:p>
                    </w:tc>
                    <w:tc>
                      <w:tcPr>
                        <w:tcW w:w="1047" w:type="dxa"/>
                        <w:tcBorders>
                          <w:bottom w:val="single" w:sz="18" w:space="0" w:color="000000"/>
                        </w:tcBorders>
                      </w:tcPr>
                      <w:p>
                        <w:pPr>
                          <w:pStyle w:val="TableParagraph"/>
                          <w:spacing w:line="155" w:lineRule="exact" w:before="10"/>
                          <w:ind w:right="203"/>
                          <w:jc w:val="right"/>
                          <w:rPr>
                            <w:sz w:val="16"/>
                          </w:rPr>
                        </w:pPr>
                        <w:r>
                          <w:rPr>
                            <w:color w:val="3A3A3A"/>
                            <w:w w:val="110"/>
                            <w:sz w:val="16"/>
                          </w:rPr>
                          <w:t>14</w:t>
                        </w:r>
                        <w:r>
                          <w:rPr>
                            <w:color w:val="6B6B6B"/>
                            <w:w w:val="110"/>
                            <w:sz w:val="16"/>
                          </w:rPr>
                          <w:t>,</w:t>
                        </w:r>
                        <w:r>
                          <w:rPr>
                            <w:color w:val="3A3A3A"/>
                            <w:w w:val="110"/>
                            <w:sz w:val="16"/>
                          </w:rPr>
                          <w:t>210</w:t>
                        </w:r>
                      </w:p>
                    </w:tc>
                    <w:tc>
                      <w:tcPr>
                        <w:tcW w:w="951" w:type="dxa"/>
                        <w:tcBorders>
                          <w:bottom w:val="single" w:sz="18" w:space="0" w:color="000000"/>
                        </w:tcBorders>
                      </w:tcPr>
                      <w:p>
                        <w:pPr>
                          <w:pStyle w:val="TableParagraph"/>
                          <w:spacing w:line="155" w:lineRule="exact" w:before="10"/>
                          <w:ind w:right="236"/>
                          <w:jc w:val="right"/>
                          <w:rPr>
                            <w:sz w:val="16"/>
                          </w:rPr>
                        </w:pPr>
                        <w:r>
                          <w:rPr>
                            <w:color w:val="3A3A3A"/>
                            <w:w w:val="110"/>
                            <w:sz w:val="16"/>
                          </w:rPr>
                          <w:t>1,946</w:t>
                        </w:r>
                      </w:p>
                    </w:tc>
                    <w:tc>
                      <w:tcPr>
                        <w:tcW w:w="1077" w:type="dxa"/>
                        <w:tcBorders>
                          <w:bottom w:val="single" w:sz="18" w:space="0" w:color="000000"/>
                        </w:tcBorders>
                      </w:tcPr>
                      <w:p>
                        <w:pPr>
                          <w:pStyle w:val="TableParagraph"/>
                          <w:spacing w:line="155" w:lineRule="exact" w:before="10"/>
                          <w:ind w:right="199"/>
                          <w:jc w:val="right"/>
                          <w:rPr>
                            <w:sz w:val="16"/>
                          </w:rPr>
                        </w:pPr>
                        <w:r>
                          <w:rPr>
                            <w:color w:val="3A3A3A"/>
                            <w:w w:val="110"/>
                            <w:sz w:val="16"/>
                          </w:rPr>
                          <w:t>(434)</w:t>
                        </w:r>
                      </w:p>
                    </w:tc>
                    <w:tc>
                      <w:tcPr>
                        <w:tcW w:w="956" w:type="dxa"/>
                        <w:tcBorders>
                          <w:bottom w:val="single" w:sz="18" w:space="0" w:color="000000"/>
                        </w:tcBorders>
                      </w:tcPr>
                      <w:p>
                        <w:pPr>
                          <w:pStyle w:val="TableParagraph"/>
                          <w:rPr>
                            <w:sz w:val="12"/>
                          </w:rPr>
                        </w:pPr>
                      </w:p>
                    </w:tc>
                    <w:tc>
                      <w:tcPr>
                        <w:tcW w:w="911" w:type="dxa"/>
                        <w:tcBorders>
                          <w:bottom w:val="single" w:sz="18" w:space="0" w:color="000000"/>
                        </w:tcBorders>
                      </w:tcPr>
                      <w:p>
                        <w:pPr>
                          <w:pStyle w:val="TableParagraph"/>
                          <w:rPr>
                            <w:sz w:val="12"/>
                          </w:rPr>
                        </w:pPr>
                      </w:p>
                    </w:tc>
                    <w:tc>
                      <w:tcPr>
                        <w:tcW w:w="1810" w:type="dxa"/>
                        <w:gridSpan w:val="2"/>
                        <w:tcBorders>
                          <w:bottom w:val="single" w:sz="18" w:space="0" w:color="000000"/>
                          <w:right w:val="single" w:sz="12" w:space="0" w:color="000000"/>
                        </w:tcBorders>
                      </w:tcPr>
                      <w:p>
                        <w:pPr>
                          <w:pStyle w:val="TableParagraph"/>
                          <w:spacing w:line="155" w:lineRule="exact" w:before="10"/>
                          <w:ind w:right="24"/>
                          <w:jc w:val="right"/>
                          <w:rPr>
                            <w:sz w:val="16"/>
                          </w:rPr>
                        </w:pPr>
                        <w:r>
                          <w:rPr>
                            <w:color w:val="151515"/>
                            <w:w w:val="110"/>
                            <w:sz w:val="16"/>
                          </w:rPr>
                          <w:t>1</w:t>
                        </w:r>
                        <w:r>
                          <w:rPr>
                            <w:color w:val="3A3A3A"/>
                            <w:w w:val="110"/>
                            <w:sz w:val="16"/>
                          </w:rPr>
                          <w:t>5,722</w:t>
                        </w:r>
                      </w:p>
                    </w:tc>
                  </w:tr>
                  <w:tr>
                    <w:trPr>
                      <w:trHeight w:val="416" w:hRule="atLeast"/>
                    </w:trPr>
                    <w:tc>
                      <w:tcPr>
                        <w:tcW w:w="1526" w:type="dxa"/>
                        <w:tcBorders>
                          <w:top w:val="single" w:sz="18" w:space="0" w:color="000000"/>
                          <w:left w:val="single" w:sz="12" w:space="0" w:color="000000"/>
                          <w:bottom w:val="single" w:sz="18" w:space="0" w:color="000000"/>
                        </w:tcBorders>
                      </w:tcPr>
                      <w:p>
                        <w:pPr>
                          <w:pStyle w:val="TableParagraph"/>
                          <w:spacing w:line="222" w:lineRule="exact" w:before="2"/>
                          <w:ind w:left="83" w:right="915" w:hanging="48"/>
                          <w:rPr>
                            <w:sz w:val="16"/>
                          </w:rPr>
                        </w:pPr>
                        <w:r>
                          <w:rPr>
                            <w:color w:val="3A3A3A"/>
                            <w:w w:val="105"/>
                            <w:sz w:val="16"/>
                          </w:rPr>
                          <w:t>Welfare </w:t>
                        </w:r>
                        <w:r>
                          <w:rPr>
                            <w:color w:val="232323"/>
                            <w:w w:val="105"/>
                            <w:sz w:val="16"/>
                          </w:rPr>
                          <w:t>Fuod</w:t>
                        </w:r>
                      </w:p>
                    </w:tc>
                    <w:tc>
                      <w:tcPr>
                        <w:tcW w:w="1375" w:type="dxa"/>
                        <w:tcBorders>
                          <w:top w:val="single" w:sz="18" w:space="0" w:color="000000"/>
                          <w:bottom w:val="single" w:sz="18" w:space="0" w:color="000000"/>
                        </w:tcBorders>
                      </w:tcPr>
                      <w:p>
                        <w:pPr>
                          <w:pStyle w:val="TableParagraph"/>
                          <w:spacing w:line="210" w:lineRule="atLeast" w:before="4"/>
                          <w:ind w:left="209" w:right="313" w:hanging="4"/>
                          <w:rPr>
                            <w:sz w:val="16"/>
                          </w:rPr>
                        </w:pPr>
                        <w:r>
                          <w:rPr>
                            <w:color w:val="3A3A3A"/>
                            <w:w w:val="110"/>
                            <w:sz w:val="16"/>
                          </w:rPr>
                          <w:t>Capital </w:t>
                        </w:r>
                        <w:r>
                          <w:rPr>
                            <w:color w:val="232323"/>
                            <w:w w:val="105"/>
                            <w:sz w:val="16"/>
                          </w:rPr>
                          <w:t>Restricted</w:t>
                        </w:r>
                      </w:p>
                    </w:tc>
                    <w:tc>
                      <w:tcPr>
                        <w:tcW w:w="1047" w:type="dxa"/>
                        <w:tcBorders>
                          <w:top w:val="single" w:sz="18" w:space="0" w:color="000000"/>
                          <w:bottom w:val="single" w:sz="18" w:space="0" w:color="000000"/>
                        </w:tcBorders>
                      </w:tcPr>
                      <w:p>
                        <w:pPr>
                          <w:pStyle w:val="TableParagraph"/>
                          <w:spacing w:before="30"/>
                          <w:ind w:right="218"/>
                          <w:jc w:val="right"/>
                          <w:rPr>
                            <w:sz w:val="16"/>
                          </w:rPr>
                        </w:pPr>
                        <w:r>
                          <w:rPr>
                            <w:color w:val="232323"/>
                            <w:w w:val="105"/>
                            <w:sz w:val="16"/>
                          </w:rPr>
                          <w:t>459</w:t>
                        </w:r>
                      </w:p>
                      <w:p>
                        <w:pPr>
                          <w:pStyle w:val="TableParagraph"/>
                          <w:spacing w:line="155" w:lineRule="exact" w:before="28"/>
                          <w:ind w:right="216"/>
                          <w:jc w:val="right"/>
                          <w:rPr>
                            <w:sz w:val="16"/>
                          </w:rPr>
                        </w:pPr>
                        <w:r>
                          <w:rPr>
                            <w:color w:val="3A3A3A"/>
                            <w:w w:val="108"/>
                            <w:sz w:val="16"/>
                          </w:rPr>
                          <w:t>4</w:t>
                        </w:r>
                      </w:p>
                    </w:tc>
                    <w:tc>
                      <w:tcPr>
                        <w:tcW w:w="951" w:type="dxa"/>
                        <w:tcBorders>
                          <w:top w:val="single" w:sz="18" w:space="0" w:color="000000"/>
                          <w:bottom w:val="single" w:sz="18" w:space="0" w:color="000000"/>
                        </w:tcBorders>
                      </w:tcPr>
                      <w:p>
                        <w:pPr>
                          <w:pStyle w:val="TableParagraph"/>
                          <w:rPr>
                            <w:sz w:val="21"/>
                          </w:rPr>
                        </w:pPr>
                      </w:p>
                      <w:p>
                        <w:pPr>
                          <w:pStyle w:val="TableParagraph"/>
                          <w:spacing w:line="155" w:lineRule="exact"/>
                          <w:ind w:right="258"/>
                          <w:jc w:val="right"/>
                          <w:rPr>
                            <w:sz w:val="16"/>
                          </w:rPr>
                        </w:pPr>
                        <w:r>
                          <w:rPr>
                            <w:color w:val="232323"/>
                            <w:w w:val="105"/>
                            <w:sz w:val="16"/>
                          </w:rPr>
                          <w:t>54</w:t>
                        </w:r>
                      </w:p>
                    </w:tc>
                    <w:tc>
                      <w:tcPr>
                        <w:tcW w:w="1077" w:type="dxa"/>
                        <w:tcBorders>
                          <w:top w:val="single" w:sz="18" w:space="0" w:color="000000"/>
                          <w:bottom w:val="single" w:sz="18" w:space="0" w:color="000000"/>
                        </w:tcBorders>
                      </w:tcPr>
                      <w:p>
                        <w:pPr>
                          <w:pStyle w:val="TableParagraph"/>
                          <w:rPr>
                            <w:sz w:val="21"/>
                          </w:rPr>
                        </w:pPr>
                      </w:p>
                      <w:p>
                        <w:pPr>
                          <w:pStyle w:val="TableParagraph"/>
                          <w:spacing w:line="155" w:lineRule="exact"/>
                          <w:ind w:right="198"/>
                          <w:jc w:val="right"/>
                          <w:rPr>
                            <w:sz w:val="16"/>
                          </w:rPr>
                        </w:pPr>
                        <w:r>
                          <w:rPr>
                            <w:color w:val="3A3A3A"/>
                            <w:w w:val="115"/>
                            <w:sz w:val="16"/>
                          </w:rPr>
                          <w:t>(61)</w:t>
                        </w:r>
                      </w:p>
                    </w:tc>
                    <w:tc>
                      <w:tcPr>
                        <w:tcW w:w="956" w:type="dxa"/>
                        <w:tcBorders>
                          <w:top w:val="single" w:sz="18" w:space="0" w:color="000000"/>
                          <w:bottom w:val="single" w:sz="18" w:space="0" w:color="000000"/>
                        </w:tcBorders>
                      </w:tcPr>
                      <w:p>
                        <w:pPr>
                          <w:pStyle w:val="TableParagraph"/>
                          <w:rPr>
                            <w:sz w:val="21"/>
                          </w:rPr>
                        </w:pPr>
                      </w:p>
                      <w:p>
                        <w:pPr>
                          <w:pStyle w:val="TableParagraph"/>
                          <w:spacing w:line="155" w:lineRule="exact"/>
                          <w:ind w:left="73"/>
                          <w:jc w:val="center"/>
                          <w:rPr>
                            <w:sz w:val="16"/>
                          </w:rPr>
                        </w:pPr>
                        <w:r>
                          <w:rPr>
                            <w:color w:val="232323"/>
                            <w:w w:val="115"/>
                            <w:sz w:val="16"/>
                          </w:rPr>
                          <w:t>4</w:t>
                        </w:r>
                      </w:p>
                    </w:tc>
                    <w:tc>
                      <w:tcPr>
                        <w:tcW w:w="911" w:type="dxa"/>
                        <w:tcBorders>
                          <w:top w:val="single" w:sz="18" w:space="0" w:color="000000"/>
                          <w:bottom w:val="single" w:sz="18" w:space="0" w:color="000000"/>
                        </w:tcBorders>
                      </w:tcPr>
                      <w:p>
                        <w:pPr>
                          <w:pStyle w:val="TableParagraph"/>
                          <w:spacing w:before="2"/>
                          <w:ind w:left="346" w:right="160"/>
                          <w:jc w:val="center"/>
                          <w:rPr>
                            <w:b/>
                            <w:sz w:val="18"/>
                          </w:rPr>
                        </w:pPr>
                        <w:r>
                          <w:rPr>
                            <w:b/>
                            <w:color w:val="3A3A3A"/>
                            <w:w w:val="105"/>
                            <w:sz w:val="18"/>
                          </w:rPr>
                          <w:t>68</w:t>
                        </w:r>
                      </w:p>
                    </w:tc>
                    <w:tc>
                      <w:tcPr>
                        <w:tcW w:w="1810" w:type="dxa"/>
                        <w:gridSpan w:val="2"/>
                        <w:tcBorders>
                          <w:top w:val="single" w:sz="18" w:space="0" w:color="000000"/>
                          <w:bottom w:val="single" w:sz="18" w:space="0" w:color="000000"/>
                          <w:right w:val="single" w:sz="12" w:space="0" w:color="000000"/>
                        </w:tcBorders>
                      </w:tcPr>
                      <w:p>
                        <w:pPr>
                          <w:pStyle w:val="TableParagraph"/>
                          <w:spacing w:before="20"/>
                          <w:ind w:right="40"/>
                          <w:jc w:val="right"/>
                          <w:rPr>
                            <w:sz w:val="16"/>
                          </w:rPr>
                        </w:pPr>
                        <w:r>
                          <w:rPr>
                            <w:color w:val="3A3A3A"/>
                            <w:w w:val="105"/>
                            <w:sz w:val="16"/>
                          </w:rPr>
                          <w:t>527</w:t>
                        </w:r>
                      </w:p>
                      <w:p>
                        <w:pPr>
                          <w:pStyle w:val="TableParagraph"/>
                          <w:spacing w:line="155" w:lineRule="exact" w:before="38"/>
                          <w:ind w:right="33"/>
                          <w:jc w:val="right"/>
                          <w:rPr>
                            <w:sz w:val="16"/>
                          </w:rPr>
                        </w:pPr>
                        <w:r>
                          <w:rPr>
                            <w:color w:val="232323"/>
                            <w:w w:val="115"/>
                            <w:sz w:val="16"/>
                          </w:rPr>
                          <w:t>1</w:t>
                        </w:r>
                      </w:p>
                    </w:tc>
                  </w:tr>
                  <w:tr>
                    <w:trPr>
                      <w:trHeight w:val="387" w:hRule="atLeast"/>
                    </w:trPr>
                    <w:tc>
                      <w:tcPr>
                        <w:tcW w:w="9653" w:type="dxa"/>
                        <w:gridSpan w:val="9"/>
                        <w:tcBorders>
                          <w:top w:val="single" w:sz="18" w:space="0" w:color="000000"/>
                          <w:left w:val="single" w:sz="12" w:space="0" w:color="000000"/>
                          <w:bottom w:val="single" w:sz="18" w:space="0" w:color="000000"/>
                          <w:right w:val="single" w:sz="12" w:space="0" w:color="000000"/>
                        </w:tcBorders>
                      </w:tcPr>
                      <w:p>
                        <w:pPr>
                          <w:pStyle w:val="TableParagraph"/>
                          <w:tabs>
                            <w:tab w:pos="1717" w:val="left" w:leader="none"/>
                            <w:tab w:pos="3457" w:val="left" w:leader="none"/>
                            <w:tab w:pos="7372" w:val="left" w:leader="none"/>
                            <w:tab w:pos="9587" w:val="right" w:leader="none"/>
                          </w:tabs>
                          <w:spacing w:line="175" w:lineRule="exact"/>
                          <w:ind w:left="35"/>
                          <w:rPr>
                            <w:sz w:val="16"/>
                          </w:rPr>
                        </w:pPr>
                        <w:r>
                          <w:rPr>
                            <w:color w:val="3A3A3A"/>
                            <w:w w:val="110"/>
                            <w:sz w:val="16"/>
                          </w:rPr>
                          <w:t>Retired</w:t>
                        </w:r>
                        <w:r>
                          <w:rPr>
                            <w:color w:val="3A3A3A"/>
                            <w:spacing w:val="-19"/>
                            <w:w w:val="110"/>
                            <w:sz w:val="16"/>
                          </w:rPr>
                          <w:t> </w:t>
                        </w:r>
                        <w:r>
                          <w:rPr>
                            <w:color w:val="3A3A3A"/>
                            <w:w w:val="110"/>
                            <w:sz w:val="16"/>
                          </w:rPr>
                          <w:t>Ministers'</w:t>
                          <w:tab/>
                          <w:t>Capital</w:t>
                          <w:tab/>
                        </w:r>
                        <w:r>
                          <w:rPr>
                            <w:color w:val="232323"/>
                            <w:w w:val="110"/>
                            <w:sz w:val="16"/>
                          </w:rPr>
                          <w:t>194</w:t>
                          <w:tab/>
                        </w:r>
                        <w:r>
                          <w:rPr>
                            <w:color w:val="3A3A3A"/>
                            <w:w w:val="110"/>
                            <w:sz w:val="16"/>
                          </w:rPr>
                          <w:t>29</w:t>
                          <w:tab/>
                          <w:t>223</w:t>
                        </w:r>
                      </w:p>
                      <w:p>
                        <w:pPr>
                          <w:pStyle w:val="TableParagraph"/>
                          <w:tabs>
                            <w:tab w:pos="1720" w:val="left" w:leader="none"/>
                            <w:tab w:pos="3401" w:val="left" w:leader="none"/>
                            <w:tab w:pos="4455" w:val="left" w:leader="none"/>
                            <w:tab w:pos="5452" w:val="left" w:leader="none"/>
                            <w:tab w:pos="7369" w:val="left" w:leader="none"/>
                            <w:tab w:pos="9353" w:val="left" w:leader="none"/>
                          </w:tabs>
                          <w:spacing w:line="155" w:lineRule="exact" w:before="37"/>
                          <w:ind w:left="84" w:right="-44"/>
                          <w:rPr>
                            <w:sz w:val="16"/>
                          </w:rPr>
                        </w:pPr>
                        <w:r>
                          <w:rPr>
                            <w:color w:val="3A3A3A"/>
                            <w:w w:val="110"/>
                            <w:sz w:val="16"/>
                          </w:rPr>
                          <w:t>Aid</w:t>
                        </w:r>
                        <w:r>
                          <w:rPr>
                            <w:color w:val="3A3A3A"/>
                            <w:spacing w:val="-18"/>
                            <w:w w:val="110"/>
                            <w:sz w:val="16"/>
                          </w:rPr>
                          <w:t> </w:t>
                        </w:r>
                        <w:r>
                          <w:rPr>
                            <w:color w:val="3A3A3A"/>
                            <w:w w:val="110"/>
                            <w:sz w:val="16"/>
                          </w:rPr>
                          <w:t>Fund</w:t>
                          <w:tab/>
                        </w:r>
                        <w:r>
                          <w:rPr>
                            <w:color w:val="232323"/>
                            <w:w w:val="110"/>
                            <w:sz w:val="16"/>
                          </w:rPr>
                          <w:t>Restricted</w:t>
                          <w:tab/>
                        </w:r>
                        <w:r>
                          <w:rPr>
                            <w:color w:val="3A3A3A"/>
                            <w:w w:val="110"/>
                            <w:sz w:val="16"/>
                          </w:rPr>
                          <w:t>(147)</w:t>
                          <w:tab/>
                          <w:t>43</w:t>
                          <w:tab/>
                          <w:t>(66)</w:t>
                          <w:tab/>
                          <w:t>97</w:t>
                          <w:tab/>
                          <w:t>(73)</w:t>
                        </w:r>
                      </w:p>
                    </w:tc>
                  </w:tr>
                  <w:tr>
                    <w:trPr>
                      <w:trHeight w:val="407" w:hRule="atLeast"/>
                    </w:trPr>
                    <w:tc>
                      <w:tcPr>
                        <w:tcW w:w="1526" w:type="dxa"/>
                        <w:tcBorders>
                          <w:top w:val="single" w:sz="18" w:space="0" w:color="000000"/>
                          <w:left w:val="single" w:sz="12" w:space="0" w:color="000000"/>
                          <w:bottom w:val="single" w:sz="18" w:space="0" w:color="000000"/>
                        </w:tcBorders>
                      </w:tcPr>
                      <w:p>
                        <w:pPr>
                          <w:pStyle w:val="TableParagraph"/>
                          <w:spacing w:line="210" w:lineRule="atLeast" w:before="4"/>
                          <w:ind w:left="83" w:hanging="49"/>
                          <w:rPr>
                            <w:sz w:val="16"/>
                          </w:rPr>
                        </w:pPr>
                        <w:r>
                          <w:rPr>
                            <w:color w:val="232323"/>
                            <w:w w:val="105"/>
                            <w:sz w:val="16"/>
                          </w:rPr>
                          <w:t>Retired </w:t>
                        </w:r>
                        <w:r>
                          <w:rPr>
                            <w:color w:val="3A3A3A"/>
                            <w:w w:val="105"/>
                            <w:sz w:val="16"/>
                          </w:rPr>
                          <w:t>Ministers' Fund</w:t>
                        </w:r>
                      </w:p>
                    </w:tc>
                    <w:tc>
                      <w:tcPr>
                        <w:tcW w:w="1375" w:type="dxa"/>
                        <w:tcBorders>
                          <w:top w:val="single" w:sz="18" w:space="0" w:color="000000"/>
                          <w:bottom w:val="single" w:sz="18" w:space="0" w:color="000000"/>
                        </w:tcBorders>
                      </w:tcPr>
                      <w:p>
                        <w:pPr>
                          <w:pStyle w:val="TableParagraph"/>
                          <w:spacing w:line="210" w:lineRule="atLeast" w:before="4"/>
                          <w:ind w:left="209" w:right="313" w:hanging="4"/>
                          <w:rPr>
                            <w:sz w:val="16"/>
                          </w:rPr>
                        </w:pPr>
                        <w:r>
                          <w:rPr>
                            <w:color w:val="3A3A3A"/>
                            <w:w w:val="110"/>
                            <w:sz w:val="16"/>
                          </w:rPr>
                          <w:t>Capital </w:t>
                        </w:r>
                        <w:r>
                          <w:rPr>
                            <w:color w:val="232323"/>
                            <w:w w:val="105"/>
                            <w:sz w:val="16"/>
                          </w:rPr>
                          <w:t>Restricted</w:t>
                        </w:r>
                      </w:p>
                    </w:tc>
                    <w:tc>
                      <w:tcPr>
                        <w:tcW w:w="1047" w:type="dxa"/>
                        <w:tcBorders>
                          <w:top w:val="single" w:sz="18" w:space="0" w:color="000000"/>
                          <w:bottom w:val="single" w:sz="18" w:space="0" w:color="000000"/>
                        </w:tcBorders>
                      </w:tcPr>
                      <w:p>
                        <w:pPr>
                          <w:pStyle w:val="TableParagraph"/>
                          <w:spacing w:before="30"/>
                          <w:ind w:left="657"/>
                          <w:rPr>
                            <w:sz w:val="16"/>
                          </w:rPr>
                        </w:pPr>
                        <w:r>
                          <w:rPr>
                            <w:color w:val="232323"/>
                            <w:w w:val="110"/>
                            <w:sz w:val="16"/>
                          </w:rPr>
                          <w:t>15</w:t>
                        </w:r>
                      </w:p>
                      <w:p>
                        <w:pPr>
                          <w:pStyle w:val="TableParagraph"/>
                          <w:spacing w:line="164" w:lineRule="exact" w:before="9"/>
                          <w:ind w:left="573"/>
                          <w:rPr>
                            <w:b/>
                            <w:sz w:val="18"/>
                          </w:rPr>
                        </w:pPr>
                        <w:r>
                          <w:rPr>
                            <w:b/>
                            <w:color w:val="3A3A3A"/>
                            <w:sz w:val="18"/>
                          </w:rPr>
                          <w:t>884</w:t>
                        </w:r>
                      </w:p>
                    </w:tc>
                    <w:tc>
                      <w:tcPr>
                        <w:tcW w:w="951" w:type="dxa"/>
                        <w:tcBorders>
                          <w:top w:val="single" w:sz="18" w:space="0" w:color="000000"/>
                          <w:bottom w:val="single" w:sz="18" w:space="0" w:color="000000"/>
                        </w:tcBorders>
                      </w:tcPr>
                      <w:p>
                        <w:pPr>
                          <w:pStyle w:val="TableParagraph"/>
                          <w:rPr>
                            <w:sz w:val="21"/>
                          </w:rPr>
                        </w:pPr>
                      </w:p>
                      <w:p>
                        <w:pPr>
                          <w:pStyle w:val="TableParagraph"/>
                          <w:spacing w:line="145" w:lineRule="exact"/>
                          <w:ind w:right="281"/>
                          <w:jc w:val="right"/>
                          <w:rPr>
                            <w:sz w:val="16"/>
                          </w:rPr>
                        </w:pPr>
                        <w:r>
                          <w:rPr>
                            <w:color w:val="232323"/>
                            <w:w w:val="95"/>
                            <w:sz w:val="16"/>
                          </w:rPr>
                          <w:t>164</w:t>
                        </w:r>
                      </w:p>
                    </w:tc>
                    <w:tc>
                      <w:tcPr>
                        <w:tcW w:w="1077" w:type="dxa"/>
                        <w:tcBorders>
                          <w:top w:val="single" w:sz="18" w:space="0" w:color="000000"/>
                          <w:bottom w:val="single" w:sz="18" w:space="0" w:color="000000"/>
                        </w:tcBorders>
                      </w:tcPr>
                      <w:p>
                        <w:pPr>
                          <w:pStyle w:val="TableParagraph"/>
                          <w:rPr>
                            <w:sz w:val="21"/>
                          </w:rPr>
                        </w:pPr>
                      </w:p>
                      <w:p>
                        <w:pPr>
                          <w:pStyle w:val="TableParagraph"/>
                          <w:spacing w:line="145" w:lineRule="exact"/>
                          <w:ind w:right="199"/>
                          <w:jc w:val="right"/>
                          <w:rPr>
                            <w:sz w:val="16"/>
                          </w:rPr>
                        </w:pPr>
                        <w:r>
                          <w:rPr>
                            <w:color w:val="3A3A3A"/>
                            <w:w w:val="110"/>
                            <w:sz w:val="16"/>
                          </w:rPr>
                          <w:t>(444)</w:t>
                        </w:r>
                      </w:p>
                    </w:tc>
                    <w:tc>
                      <w:tcPr>
                        <w:tcW w:w="956" w:type="dxa"/>
                        <w:tcBorders>
                          <w:top w:val="single" w:sz="18" w:space="0" w:color="000000"/>
                          <w:bottom w:val="single" w:sz="18" w:space="0" w:color="000000"/>
                        </w:tcBorders>
                      </w:tcPr>
                      <w:p>
                        <w:pPr>
                          <w:pStyle w:val="TableParagraph"/>
                          <w:rPr>
                            <w:sz w:val="21"/>
                          </w:rPr>
                        </w:pPr>
                      </w:p>
                      <w:p>
                        <w:pPr>
                          <w:pStyle w:val="TableParagraph"/>
                          <w:spacing w:line="145" w:lineRule="exact"/>
                          <w:ind w:left="355" w:right="376"/>
                          <w:jc w:val="center"/>
                          <w:rPr>
                            <w:sz w:val="16"/>
                          </w:rPr>
                        </w:pPr>
                        <w:r>
                          <w:rPr>
                            <w:color w:val="232323"/>
                            <w:w w:val="115"/>
                            <w:sz w:val="16"/>
                          </w:rPr>
                          <w:t>19</w:t>
                        </w:r>
                      </w:p>
                    </w:tc>
                    <w:tc>
                      <w:tcPr>
                        <w:tcW w:w="911" w:type="dxa"/>
                        <w:tcBorders>
                          <w:top w:val="single" w:sz="18" w:space="0" w:color="000000"/>
                          <w:bottom w:val="single" w:sz="18" w:space="0" w:color="000000"/>
                        </w:tcBorders>
                      </w:tcPr>
                      <w:p>
                        <w:pPr>
                          <w:pStyle w:val="TableParagraph"/>
                          <w:spacing w:before="20"/>
                          <w:ind w:right="276"/>
                          <w:jc w:val="right"/>
                          <w:rPr>
                            <w:sz w:val="16"/>
                          </w:rPr>
                        </w:pPr>
                        <w:r>
                          <w:rPr>
                            <w:color w:val="151515"/>
                            <w:w w:val="108"/>
                            <w:sz w:val="16"/>
                          </w:rPr>
                          <w:t>1</w:t>
                        </w:r>
                      </w:p>
                      <w:p>
                        <w:pPr>
                          <w:pStyle w:val="TableParagraph"/>
                          <w:spacing w:line="145" w:lineRule="exact" w:before="38"/>
                          <w:ind w:right="267"/>
                          <w:jc w:val="right"/>
                          <w:rPr>
                            <w:sz w:val="16"/>
                          </w:rPr>
                        </w:pPr>
                        <w:r>
                          <w:rPr>
                            <w:color w:val="232323"/>
                            <w:w w:val="110"/>
                            <w:sz w:val="16"/>
                          </w:rPr>
                          <w:t>495</w:t>
                        </w:r>
                      </w:p>
                    </w:tc>
                    <w:tc>
                      <w:tcPr>
                        <w:tcW w:w="1810" w:type="dxa"/>
                        <w:gridSpan w:val="2"/>
                        <w:tcBorders>
                          <w:top w:val="single" w:sz="18" w:space="0" w:color="000000"/>
                          <w:bottom w:val="single" w:sz="18" w:space="0" w:color="000000"/>
                          <w:right w:val="single" w:sz="12" w:space="0" w:color="000000"/>
                        </w:tcBorders>
                      </w:tcPr>
                      <w:p>
                        <w:pPr>
                          <w:pStyle w:val="TableParagraph"/>
                          <w:spacing w:before="20"/>
                          <w:ind w:right="39"/>
                          <w:jc w:val="right"/>
                          <w:rPr>
                            <w:sz w:val="16"/>
                          </w:rPr>
                        </w:pPr>
                        <w:r>
                          <w:rPr>
                            <w:color w:val="232323"/>
                            <w:spacing w:val="-1"/>
                            <w:w w:val="105"/>
                            <w:sz w:val="16"/>
                          </w:rPr>
                          <w:t>16</w:t>
                        </w:r>
                      </w:p>
                      <w:p>
                        <w:pPr>
                          <w:pStyle w:val="TableParagraph"/>
                          <w:spacing w:line="145" w:lineRule="exact" w:before="38"/>
                          <w:ind w:right="29"/>
                          <w:jc w:val="right"/>
                          <w:rPr>
                            <w:sz w:val="16"/>
                          </w:rPr>
                        </w:pPr>
                        <w:r>
                          <w:rPr>
                            <w:color w:val="151515"/>
                            <w:spacing w:val="-1"/>
                            <w:w w:val="110"/>
                            <w:sz w:val="16"/>
                          </w:rPr>
                          <w:t>1</w:t>
                        </w:r>
                        <w:r>
                          <w:rPr>
                            <w:color w:val="3A3A3A"/>
                            <w:spacing w:val="-1"/>
                            <w:w w:val="110"/>
                            <w:sz w:val="16"/>
                          </w:rPr>
                          <w:t>,117</w:t>
                        </w:r>
                      </w:p>
                    </w:tc>
                  </w:tr>
                  <w:tr>
                    <w:trPr>
                      <w:trHeight w:val="416" w:hRule="atLeast"/>
                    </w:trPr>
                    <w:tc>
                      <w:tcPr>
                        <w:tcW w:w="1526" w:type="dxa"/>
                        <w:tcBorders>
                          <w:top w:val="single" w:sz="18" w:space="0" w:color="000000"/>
                          <w:left w:val="single" w:sz="12" w:space="0" w:color="000000"/>
                          <w:bottom w:val="single" w:sz="12" w:space="0" w:color="000000"/>
                        </w:tcBorders>
                      </w:tcPr>
                      <w:p>
                        <w:pPr>
                          <w:pStyle w:val="TableParagraph"/>
                          <w:spacing w:line="212" w:lineRule="exact" w:before="3"/>
                          <w:ind w:left="74" w:hanging="39"/>
                          <w:rPr>
                            <w:sz w:val="16"/>
                          </w:rPr>
                        </w:pPr>
                        <w:r>
                          <w:rPr>
                            <w:color w:val="3A3A3A"/>
                            <w:w w:val="110"/>
                            <w:sz w:val="16"/>
                          </w:rPr>
                          <w:t>World Church and MissionFunds</w:t>
                        </w:r>
                      </w:p>
                    </w:tc>
                    <w:tc>
                      <w:tcPr>
                        <w:tcW w:w="1375" w:type="dxa"/>
                        <w:tcBorders>
                          <w:top w:val="single" w:sz="18" w:space="0" w:color="000000"/>
                          <w:bottom w:val="single" w:sz="12" w:space="0" w:color="000000"/>
                        </w:tcBorders>
                      </w:tcPr>
                      <w:p>
                        <w:pPr>
                          <w:pStyle w:val="TableParagraph"/>
                          <w:spacing w:before="13"/>
                          <w:ind w:left="206"/>
                          <w:rPr>
                            <w:sz w:val="16"/>
                          </w:rPr>
                        </w:pPr>
                        <w:r>
                          <w:rPr>
                            <w:color w:val="3A3A3A"/>
                            <w:w w:val="110"/>
                            <w:sz w:val="16"/>
                          </w:rPr>
                          <w:t>Capital</w:t>
                        </w:r>
                      </w:p>
                      <w:p>
                        <w:pPr>
                          <w:pStyle w:val="TableParagraph"/>
                          <w:spacing w:line="162" w:lineRule="exact" w:before="37"/>
                          <w:ind w:left="199"/>
                          <w:rPr>
                            <w:sz w:val="16"/>
                          </w:rPr>
                        </w:pPr>
                        <w:r>
                          <w:rPr>
                            <w:color w:val="3A3A3A"/>
                            <w:w w:val="110"/>
                            <w:sz w:val="16"/>
                          </w:rPr>
                          <w:t>Restricted</w:t>
                        </w:r>
                      </w:p>
                    </w:tc>
                    <w:tc>
                      <w:tcPr>
                        <w:tcW w:w="1047" w:type="dxa"/>
                        <w:tcBorders>
                          <w:top w:val="single" w:sz="18" w:space="0" w:color="000000"/>
                          <w:bottom w:val="single" w:sz="12" w:space="0" w:color="000000"/>
                        </w:tcBorders>
                      </w:tcPr>
                      <w:p>
                        <w:pPr>
                          <w:pStyle w:val="TableParagraph"/>
                          <w:spacing w:before="13"/>
                          <w:ind w:left="567"/>
                          <w:rPr>
                            <w:sz w:val="16"/>
                          </w:rPr>
                        </w:pPr>
                        <w:r>
                          <w:rPr>
                            <w:color w:val="3A3A3A"/>
                            <w:w w:val="110"/>
                            <w:sz w:val="16"/>
                          </w:rPr>
                          <w:t>274</w:t>
                        </w:r>
                      </w:p>
                      <w:p>
                        <w:pPr>
                          <w:pStyle w:val="TableParagraph"/>
                          <w:spacing w:line="162" w:lineRule="exact" w:before="37"/>
                          <w:ind w:left="568"/>
                          <w:rPr>
                            <w:sz w:val="16"/>
                          </w:rPr>
                        </w:pPr>
                        <w:r>
                          <w:rPr>
                            <w:color w:val="3A3A3A"/>
                            <w:w w:val="110"/>
                            <w:sz w:val="16"/>
                          </w:rPr>
                          <w:t>467</w:t>
                        </w:r>
                      </w:p>
                    </w:tc>
                    <w:tc>
                      <w:tcPr>
                        <w:tcW w:w="951" w:type="dxa"/>
                        <w:tcBorders>
                          <w:top w:val="single" w:sz="18" w:space="0" w:color="000000"/>
                          <w:bottom w:val="single" w:sz="12" w:space="0" w:color="000000"/>
                        </w:tcBorders>
                      </w:tcPr>
                      <w:p>
                        <w:pPr>
                          <w:pStyle w:val="TableParagraph"/>
                          <w:spacing w:before="4"/>
                          <w:rPr>
                            <w:sz w:val="20"/>
                          </w:rPr>
                        </w:pPr>
                      </w:p>
                      <w:p>
                        <w:pPr>
                          <w:pStyle w:val="TableParagraph"/>
                          <w:spacing w:line="162" w:lineRule="exact"/>
                          <w:ind w:right="253"/>
                          <w:jc w:val="right"/>
                          <w:rPr>
                            <w:sz w:val="16"/>
                          </w:rPr>
                        </w:pPr>
                        <w:r>
                          <w:rPr>
                            <w:color w:val="3A3A3A"/>
                            <w:w w:val="110"/>
                            <w:sz w:val="16"/>
                          </w:rPr>
                          <w:t>32</w:t>
                        </w:r>
                      </w:p>
                    </w:tc>
                    <w:tc>
                      <w:tcPr>
                        <w:tcW w:w="1077" w:type="dxa"/>
                        <w:tcBorders>
                          <w:top w:val="single" w:sz="18" w:space="0" w:color="000000"/>
                          <w:bottom w:val="single" w:sz="12" w:space="0" w:color="000000"/>
                        </w:tcBorders>
                      </w:tcPr>
                      <w:p>
                        <w:pPr>
                          <w:pStyle w:val="TableParagraph"/>
                          <w:spacing w:before="6"/>
                          <w:rPr>
                            <w:sz w:val="19"/>
                          </w:rPr>
                        </w:pPr>
                      </w:p>
                      <w:p>
                        <w:pPr>
                          <w:pStyle w:val="TableParagraph"/>
                          <w:spacing w:line="172" w:lineRule="exact"/>
                          <w:ind w:right="198"/>
                          <w:jc w:val="right"/>
                          <w:rPr>
                            <w:sz w:val="16"/>
                          </w:rPr>
                        </w:pPr>
                        <w:r>
                          <w:rPr>
                            <w:color w:val="3A3A3A"/>
                            <w:w w:val="115"/>
                            <w:sz w:val="16"/>
                          </w:rPr>
                          <w:t>(32)</w:t>
                        </w:r>
                      </w:p>
                    </w:tc>
                    <w:tc>
                      <w:tcPr>
                        <w:tcW w:w="956" w:type="dxa"/>
                        <w:tcBorders>
                          <w:top w:val="single" w:sz="18" w:space="0" w:color="000000"/>
                          <w:bottom w:val="single" w:sz="12" w:space="0" w:color="000000"/>
                        </w:tcBorders>
                      </w:tcPr>
                      <w:p>
                        <w:pPr>
                          <w:pStyle w:val="TableParagraph"/>
                          <w:rPr>
                            <w:sz w:val="16"/>
                          </w:rPr>
                        </w:pPr>
                      </w:p>
                    </w:tc>
                    <w:tc>
                      <w:tcPr>
                        <w:tcW w:w="911" w:type="dxa"/>
                        <w:tcBorders>
                          <w:top w:val="single" w:sz="18" w:space="0" w:color="000000"/>
                          <w:bottom w:val="single" w:sz="12" w:space="0" w:color="000000"/>
                        </w:tcBorders>
                      </w:tcPr>
                      <w:p>
                        <w:pPr>
                          <w:pStyle w:val="TableParagraph"/>
                          <w:spacing w:before="13"/>
                          <w:ind w:left="452"/>
                          <w:rPr>
                            <w:sz w:val="16"/>
                          </w:rPr>
                        </w:pPr>
                        <w:r>
                          <w:rPr>
                            <w:color w:val="3A3A3A"/>
                            <w:w w:val="110"/>
                            <w:sz w:val="16"/>
                          </w:rPr>
                          <w:t>36</w:t>
                        </w:r>
                      </w:p>
                      <w:p>
                        <w:pPr>
                          <w:pStyle w:val="TableParagraph"/>
                          <w:spacing w:line="172" w:lineRule="exact" w:before="28"/>
                          <w:ind w:left="456"/>
                          <w:rPr>
                            <w:sz w:val="16"/>
                          </w:rPr>
                        </w:pPr>
                        <w:r>
                          <w:rPr>
                            <w:color w:val="232323"/>
                            <w:w w:val="115"/>
                            <w:sz w:val="16"/>
                          </w:rPr>
                          <w:t>43</w:t>
                        </w:r>
                      </w:p>
                    </w:tc>
                    <w:tc>
                      <w:tcPr>
                        <w:tcW w:w="1810" w:type="dxa"/>
                        <w:gridSpan w:val="2"/>
                        <w:tcBorders>
                          <w:top w:val="single" w:sz="18" w:space="0" w:color="000000"/>
                          <w:bottom w:val="single" w:sz="12" w:space="0" w:color="000000"/>
                          <w:right w:val="single" w:sz="12" w:space="0" w:color="000000"/>
                        </w:tcBorders>
                      </w:tcPr>
                      <w:p>
                        <w:pPr>
                          <w:pStyle w:val="TableParagraph"/>
                          <w:spacing w:before="13"/>
                          <w:ind w:right="36"/>
                          <w:jc w:val="right"/>
                          <w:rPr>
                            <w:sz w:val="16"/>
                          </w:rPr>
                        </w:pPr>
                        <w:r>
                          <w:rPr>
                            <w:color w:val="3A3A3A"/>
                            <w:spacing w:val="-1"/>
                            <w:w w:val="105"/>
                            <w:sz w:val="16"/>
                          </w:rPr>
                          <w:t>310</w:t>
                        </w:r>
                      </w:p>
                      <w:p>
                        <w:pPr>
                          <w:pStyle w:val="TableParagraph"/>
                          <w:spacing w:line="162" w:lineRule="exact" w:before="37"/>
                          <w:ind w:right="21"/>
                          <w:jc w:val="right"/>
                          <w:rPr>
                            <w:sz w:val="16"/>
                          </w:rPr>
                        </w:pPr>
                        <w:r>
                          <w:rPr>
                            <w:color w:val="3A3A3A"/>
                            <w:spacing w:val="-1"/>
                            <w:w w:val="115"/>
                            <w:sz w:val="16"/>
                          </w:rPr>
                          <w:t>510</w:t>
                        </w:r>
                      </w:p>
                    </w:tc>
                  </w:tr>
                  <w:tr>
                    <w:trPr>
                      <w:trHeight w:val="414" w:hRule="atLeast"/>
                    </w:trPr>
                    <w:tc>
                      <w:tcPr>
                        <w:tcW w:w="1526" w:type="dxa"/>
                        <w:tcBorders>
                          <w:top w:val="single" w:sz="12" w:space="0" w:color="000000"/>
                          <w:left w:val="single" w:sz="12" w:space="0" w:color="000000"/>
                          <w:bottom w:val="single" w:sz="18" w:space="0" w:color="000000"/>
                        </w:tcBorders>
                      </w:tcPr>
                      <w:p>
                        <w:pPr>
                          <w:pStyle w:val="TableParagraph"/>
                          <w:spacing w:before="18"/>
                          <w:ind w:left="35"/>
                          <w:rPr>
                            <w:sz w:val="16"/>
                          </w:rPr>
                        </w:pPr>
                        <w:r>
                          <w:rPr>
                            <w:color w:val="3A3A3A"/>
                            <w:w w:val="110"/>
                            <w:sz w:val="16"/>
                          </w:rPr>
                          <w:t>Windennere</w:t>
                        </w:r>
                      </w:p>
                      <w:p>
                        <w:pPr>
                          <w:pStyle w:val="TableParagraph"/>
                          <w:spacing w:line="155" w:lineRule="exact" w:before="37"/>
                          <w:ind w:left="80"/>
                          <w:rPr>
                            <w:sz w:val="16"/>
                          </w:rPr>
                        </w:pPr>
                        <w:r>
                          <w:rPr>
                            <w:color w:val="3A3A3A"/>
                            <w:w w:val="105"/>
                            <w:sz w:val="16"/>
                          </w:rPr>
                          <w:t>Centre</w:t>
                        </w:r>
                        <w:r>
                          <w:rPr>
                            <w:color w:val="3A3A3A"/>
                            <w:spacing w:val="-6"/>
                            <w:w w:val="105"/>
                            <w:sz w:val="16"/>
                          </w:rPr>
                          <w:t> </w:t>
                        </w:r>
                        <w:r>
                          <w:rPr>
                            <w:color w:val="3A3A3A"/>
                            <w:w w:val="105"/>
                            <w:sz w:val="16"/>
                          </w:rPr>
                          <w:t>Fund</w:t>
                        </w:r>
                      </w:p>
                    </w:tc>
                    <w:tc>
                      <w:tcPr>
                        <w:tcW w:w="1375" w:type="dxa"/>
                        <w:tcBorders>
                          <w:top w:val="single" w:sz="12" w:space="0" w:color="000000"/>
                          <w:bottom w:val="single" w:sz="18" w:space="0" w:color="000000"/>
                        </w:tcBorders>
                      </w:tcPr>
                      <w:p>
                        <w:pPr>
                          <w:pStyle w:val="TableParagraph"/>
                          <w:spacing w:before="18"/>
                          <w:ind w:left="206"/>
                          <w:rPr>
                            <w:sz w:val="16"/>
                          </w:rPr>
                        </w:pPr>
                        <w:r>
                          <w:rPr>
                            <w:color w:val="232323"/>
                            <w:w w:val="110"/>
                            <w:sz w:val="16"/>
                          </w:rPr>
                          <w:t>Capital</w:t>
                        </w:r>
                      </w:p>
                      <w:p>
                        <w:pPr>
                          <w:pStyle w:val="TableParagraph"/>
                          <w:spacing w:line="155" w:lineRule="exact" w:before="37"/>
                          <w:ind w:left="199"/>
                          <w:rPr>
                            <w:sz w:val="16"/>
                          </w:rPr>
                        </w:pPr>
                        <w:r>
                          <w:rPr>
                            <w:color w:val="3A3A3A"/>
                            <w:w w:val="110"/>
                            <w:sz w:val="16"/>
                          </w:rPr>
                          <w:t>Restricted</w:t>
                        </w:r>
                      </w:p>
                    </w:tc>
                    <w:tc>
                      <w:tcPr>
                        <w:tcW w:w="1047" w:type="dxa"/>
                        <w:tcBorders>
                          <w:top w:val="single" w:sz="12" w:space="0" w:color="000000"/>
                          <w:bottom w:val="single" w:sz="18" w:space="0" w:color="000000"/>
                        </w:tcBorders>
                      </w:tcPr>
                      <w:p>
                        <w:pPr>
                          <w:pStyle w:val="TableParagraph"/>
                          <w:spacing w:before="28"/>
                          <w:ind w:right="220"/>
                          <w:jc w:val="right"/>
                          <w:rPr>
                            <w:sz w:val="16"/>
                          </w:rPr>
                        </w:pPr>
                        <w:r>
                          <w:rPr>
                            <w:color w:val="232323"/>
                            <w:w w:val="108"/>
                            <w:sz w:val="16"/>
                          </w:rPr>
                          <w:t>0</w:t>
                        </w:r>
                      </w:p>
                      <w:p>
                        <w:pPr>
                          <w:pStyle w:val="TableParagraph"/>
                          <w:spacing w:line="155" w:lineRule="exact" w:before="27"/>
                          <w:ind w:right="216"/>
                          <w:jc w:val="right"/>
                          <w:rPr>
                            <w:sz w:val="16"/>
                          </w:rPr>
                        </w:pPr>
                        <w:r>
                          <w:rPr>
                            <w:color w:val="3A3A3A"/>
                            <w:w w:val="110"/>
                            <w:sz w:val="16"/>
                          </w:rPr>
                          <w:t>346</w:t>
                        </w:r>
                      </w:p>
                    </w:tc>
                    <w:tc>
                      <w:tcPr>
                        <w:tcW w:w="951" w:type="dxa"/>
                        <w:tcBorders>
                          <w:top w:val="single" w:sz="12" w:space="0" w:color="000000"/>
                          <w:bottom w:val="single" w:sz="18" w:space="0" w:color="000000"/>
                        </w:tcBorders>
                      </w:tcPr>
                      <w:p>
                        <w:pPr>
                          <w:pStyle w:val="TableParagraph"/>
                          <w:rPr>
                            <w:sz w:val="16"/>
                          </w:rPr>
                        </w:pPr>
                      </w:p>
                    </w:tc>
                    <w:tc>
                      <w:tcPr>
                        <w:tcW w:w="1077" w:type="dxa"/>
                        <w:tcBorders>
                          <w:top w:val="single" w:sz="12" w:space="0" w:color="000000"/>
                          <w:bottom w:val="single" w:sz="18" w:space="0" w:color="000000"/>
                        </w:tcBorders>
                      </w:tcPr>
                      <w:p>
                        <w:pPr>
                          <w:pStyle w:val="TableParagraph"/>
                          <w:rPr>
                            <w:sz w:val="16"/>
                          </w:rPr>
                        </w:pPr>
                      </w:p>
                    </w:tc>
                    <w:tc>
                      <w:tcPr>
                        <w:tcW w:w="956" w:type="dxa"/>
                        <w:tcBorders>
                          <w:top w:val="single" w:sz="12" w:space="0" w:color="000000"/>
                          <w:bottom w:val="single" w:sz="18" w:space="0" w:color="000000"/>
                        </w:tcBorders>
                      </w:tcPr>
                      <w:p>
                        <w:pPr>
                          <w:pStyle w:val="TableParagraph"/>
                          <w:rPr>
                            <w:sz w:val="16"/>
                          </w:rPr>
                        </w:pPr>
                      </w:p>
                    </w:tc>
                    <w:tc>
                      <w:tcPr>
                        <w:tcW w:w="911" w:type="dxa"/>
                        <w:tcBorders>
                          <w:top w:val="single" w:sz="12" w:space="0" w:color="000000"/>
                          <w:bottom w:val="single" w:sz="18" w:space="0" w:color="000000"/>
                        </w:tcBorders>
                      </w:tcPr>
                      <w:p>
                        <w:pPr>
                          <w:pStyle w:val="TableParagraph"/>
                          <w:rPr>
                            <w:sz w:val="16"/>
                          </w:rPr>
                        </w:pPr>
                      </w:p>
                    </w:tc>
                    <w:tc>
                      <w:tcPr>
                        <w:tcW w:w="1810" w:type="dxa"/>
                        <w:gridSpan w:val="2"/>
                        <w:tcBorders>
                          <w:top w:val="single" w:sz="12" w:space="0" w:color="000000"/>
                          <w:bottom w:val="single" w:sz="18" w:space="0" w:color="000000"/>
                          <w:right w:val="single" w:sz="12" w:space="0" w:color="000000"/>
                        </w:tcBorders>
                      </w:tcPr>
                      <w:p>
                        <w:pPr>
                          <w:pStyle w:val="TableParagraph"/>
                          <w:spacing w:before="18"/>
                          <w:ind w:right="35"/>
                          <w:jc w:val="right"/>
                          <w:rPr>
                            <w:sz w:val="16"/>
                          </w:rPr>
                        </w:pPr>
                        <w:r>
                          <w:rPr>
                            <w:color w:val="232323"/>
                            <w:w w:val="108"/>
                            <w:sz w:val="16"/>
                          </w:rPr>
                          <w:t>0</w:t>
                        </w:r>
                      </w:p>
                      <w:p>
                        <w:pPr>
                          <w:pStyle w:val="TableParagraph"/>
                          <w:spacing w:line="155" w:lineRule="exact" w:before="37"/>
                          <w:ind w:right="31"/>
                          <w:jc w:val="right"/>
                          <w:rPr>
                            <w:sz w:val="16"/>
                          </w:rPr>
                        </w:pPr>
                        <w:r>
                          <w:rPr>
                            <w:color w:val="3A3A3A"/>
                            <w:w w:val="110"/>
                            <w:sz w:val="16"/>
                          </w:rPr>
                          <w:t>346</w:t>
                        </w:r>
                      </w:p>
                    </w:tc>
                  </w:tr>
                  <w:tr>
                    <w:trPr>
                      <w:trHeight w:val="416" w:hRule="atLeast"/>
                    </w:trPr>
                    <w:tc>
                      <w:tcPr>
                        <w:tcW w:w="1526" w:type="dxa"/>
                        <w:tcBorders>
                          <w:top w:val="single" w:sz="18" w:space="0" w:color="000000"/>
                          <w:left w:val="single" w:sz="12" w:space="0" w:color="000000"/>
                          <w:bottom w:val="single" w:sz="18" w:space="0" w:color="000000"/>
                        </w:tcBorders>
                      </w:tcPr>
                      <w:p>
                        <w:pPr>
                          <w:pStyle w:val="TableParagraph"/>
                          <w:spacing w:before="20"/>
                          <w:ind w:left="36"/>
                          <w:rPr>
                            <w:sz w:val="16"/>
                          </w:rPr>
                        </w:pPr>
                        <w:r>
                          <w:rPr>
                            <w:color w:val="3A3A3A"/>
                            <w:w w:val="110"/>
                            <w:sz w:val="16"/>
                          </w:rPr>
                          <w:t>Yardley Hastings</w:t>
                        </w:r>
                      </w:p>
                      <w:p>
                        <w:pPr>
                          <w:pStyle w:val="TableParagraph"/>
                          <w:spacing w:line="155" w:lineRule="exact" w:before="38"/>
                          <w:ind w:left="73"/>
                          <w:rPr>
                            <w:sz w:val="16"/>
                          </w:rPr>
                        </w:pPr>
                        <w:r>
                          <w:rPr>
                            <w:color w:val="3A3A3A"/>
                            <w:w w:val="105"/>
                            <w:sz w:val="16"/>
                          </w:rPr>
                          <w:t>Fund</w:t>
                        </w:r>
                      </w:p>
                    </w:tc>
                    <w:tc>
                      <w:tcPr>
                        <w:tcW w:w="1375" w:type="dxa"/>
                        <w:tcBorders>
                          <w:top w:val="single" w:sz="18" w:space="0" w:color="000000"/>
                          <w:bottom w:val="single" w:sz="18" w:space="0" w:color="000000"/>
                        </w:tcBorders>
                      </w:tcPr>
                      <w:p>
                        <w:pPr>
                          <w:pStyle w:val="TableParagraph"/>
                          <w:spacing w:before="20"/>
                          <w:ind w:left="206"/>
                          <w:rPr>
                            <w:sz w:val="16"/>
                          </w:rPr>
                        </w:pPr>
                        <w:r>
                          <w:rPr>
                            <w:color w:val="3A3A3A"/>
                            <w:w w:val="110"/>
                            <w:sz w:val="16"/>
                          </w:rPr>
                          <w:t>Capital</w:t>
                        </w:r>
                      </w:p>
                      <w:p>
                        <w:pPr>
                          <w:pStyle w:val="TableParagraph"/>
                          <w:spacing w:line="155" w:lineRule="exact" w:before="38"/>
                          <w:ind w:left="209"/>
                          <w:rPr>
                            <w:sz w:val="16"/>
                          </w:rPr>
                        </w:pPr>
                        <w:r>
                          <w:rPr>
                            <w:color w:val="3A3A3A"/>
                            <w:w w:val="110"/>
                            <w:sz w:val="16"/>
                          </w:rPr>
                          <w:t>Restricted</w:t>
                        </w:r>
                      </w:p>
                    </w:tc>
                    <w:tc>
                      <w:tcPr>
                        <w:tcW w:w="1047" w:type="dxa"/>
                        <w:tcBorders>
                          <w:top w:val="single" w:sz="18" w:space="0" w:color="000000"/>
                          <w:bottom w:val="single" w:sz="18" w:space="0" w:color="000000"/>
                        </w:tcBorders>
                      </w:tcPr>
                      <w:p>
                        <w:pPr>
                          <w:pStyle w:val="TableParagraph"/>
                          <w:spacing w:before="20"/>
                          <w:ind w:right="220"/>
                          <w:jc w:val="right"/>
                          <w:rPr>
                            <w:sz w:val="16"/>
                          </w:rPr>
                        </w:pPr>
                        <w:r>
                          <w:rPr>
                            <w:color w:val="3A3A3A"/>
                            <w:w w:val="108"/>
                            <w:sz w:val="16"/>
                          </w:rPr>
                          <w:t>0</w:t>
                        </w:r>
                      </w:p>
                      <w:p>
                        <w:pPr>
                          <w:pStyle w:val="TableParagraph"/>
                          <w:spacing w:line="155" w:lineRule="exact" w:before="38"/>
                          <w:ind w:right="212"/>
                          <w:jc w:val="right"/>
                          <w:rPr>
                            <w:sz w:val="16"/>
                          </w:rPr>
                        </w:pPr>
                        <w:r>
                          <w:rPr>
                            <w:color w:val="3A3A3A"/>
                            <w:w w:val="105"/>
                            <w:sz w:val="16"/>
                          </w:rPr>
                          <w:t>590</w:t>
                        </w:r>
                      </w:p>
                    </w:tc>
                    <w:tc>
                      <w:tcPr>
                        <w:tcW w:w="951" w:type="dxa"/>
                        <w:tcBorders>
                          <w:top w:val="single" w:sz="18" w:space="0" w:color="000000"/>
                          <w:bottom w:val="single" w:sz="18" w:space="0" w:color="000000"/>
                        </w:tcBorders>
                      </w:tcPr>
                      <w:p>
                        <w:pPr>
                          <w:pStyle w:val="TableParagraph"/>
                          <w:rPr>
                            <w:sz w:val="16"/>
                          </w:rPr>
                        </w:pPr>
                      </w:p>
                    </w:tc>
                    <w:tc>
                      <w:tcPr>
                        <w:tcW w:w="1077" w:type="dxa"/>
                        <w:tcBorders>
                          <w:top w:val="single" w:sz="18" w:space="0" w:color="000000"/>
                          <w:bottom w:val="single" w:sz="18" w:space="0" w:color="000000"/>
                        </w:tcBorders>
                      </w:tcPr>
                      <w:p>
                        <w:pPr>
                          <w:pStyle w:val="TableParagraph"/>
                          <w:rPr>
                            <w:sz w:val="16"/>
                          </w:rPr>
                        </w:pPr>
                      </w:p>
                    </w:tc>
                    <w:tc>
                      <w:tcPr>
                        <w:tcW w:w="956" w:type="dxa"/>
                        <w:tcBorders>
                          <w:top w:val="single" w:sz="18" w:space="0" w:color="000000"/>
                          <w:bottom w:val="single" w:sz="18" w:space="0" w:color="000000"/>
                        </w:tcBorders>
                      </w:tcPr>
                      <w:p>
                        <w:pPr>
                          <w:pStyle w:val="TableParagraph"/>
                          <w:rPr>
                            <w:sz w:val="16"/>
                          </w:rPr>
                        </w:pPr>
                      </w:p>
                    </w:tc>
                    <w:tc>
                      <w:tcPr>
                        <w:tcW w:w="911" w:type="dxa"/>
                        <w:tcBorders>
                          <w:top w:val="single" w:sz="18" w:space="0" w:color="000000"/>
                          <w:bottom w:val="single" w:sz="18" w:space="0" w:color="000000"/>
                        </w:tcBorders>
                      </w:tcPr>
                      <w:p>
                        <w:pPr>
                          <w:pStyle w:val="TableParagraph"/>
                          <w:rPr>
                            <w:sz w:val="16"/>
                          </w:rPr>
                        </w:pPr>
                      </w:p>
                    </w:tc>
                    <w:tc>
                      <w:tcPr>
                        <w:tcW w:w="1810" w:type="dxa"/>
                        <w:gridSpan w:val="2"/>
                        <w:tcBorders>
                          <w:top w:val="single" w:sz="18" w:space="0" w:color="000000"/>
                          <w:bottom w:val="single" w:sz="18" w:space="0" w:color="000000"/>
                          <w:right w:val="single" w:sz="12" w:space="0" w:color="000000"/>
                        </w:tcBorders>
                      </w:tcPr>
                      <w:p>
                        <w:pPr>
                          <w:pStyle w:val="TableParagraph"/>
                          <w:spacing w:before="20"/>
                          <w:ind w:right="45"/>
                          <w:jc w:val="right"/>
                          <w:rPr>
                            <w:sz w:val="16"/>
                          </w:rPr>
                        </w:pPr>
                        <w:r>
                          <w:rPr>
                            <w:color w:val="3A3A3A"/>
                            <w:w w:val="108"/>
                            <w:sz w:val="16"/>
                          </w:rPr>
                          <w:t>0</w:t>
                        </w:r>
                      </w:p>
                      <w:p>
                        <w:pPr>
                          <w:pStyle w:val="TableParagraph"/>
                          <w:spacing w:line="155" w:lineRule="exact" w:before="38"/>
                          <w:ind w:right="37"/>
                          <w:jc w:val="right"/>
                          <w:rPr>
                            <w:sz w:val="16"/>
                          </w:rPr>
                        </w:pPr>
                        <w:r>
                          <w:rPr>
                            <w:color w:val="3A3A3A"/>
                            <w:w w:val="105"/>
                            <w:sz w:val="16"/>
                          </w:rPr>
                          <w:t>590</w:t>
                        </w:r>
                      </w:p>
                    </w:tc>
                  </w:tr>
                  <w:tr>
                    <w:trPr>
                      <w:trHeight w:val="407" w:hRule="atLeast"/>
                    </w:trPr>
                    <w:tc>
                      <w:tcPr>
                        <w:tcW w:w="1526" w:type="dxa"/>
                        <w:tcBorders>
                          <w:top w:val="single" w:sz="18" w:space="0" w:color="000000"/>
                          <w:left w:val="single" w:sz="12" w:space="0" w:color="000000"/>
                          <w:bottom w:val="single" w:sz="18" w:space="0" w:color="000000"/>
                        </w:tcBorders>
                      </w:tcPr>
                      <w:p>
                        <w:pPr>
                          <w:pStyle w:val="TableParagraph"/>
                          <w:spacing w:line="212" w:lineRule="exact"/>
                          <w:ind w:left="82" w:right="335" w:hanging="51"/>
                          <w:rPr>
                            <w:sz w:val="16"/>
                          </w:rPr>
                        </w:pPr>
                        <w:r>
                          <w:rPr>
                            <w:color w:val="3A3A3A"/>
                            <w:w w:val="105"/>
                            <w:sz w:val="16"/>
                          </w:rPr>
                          <w:t>Commitment for </w:t>
                        </w:r>
                        <w:r>
                          <w:rPr>
                            <w:color w:val="232323"/>
                            <w:w w:val="105"/>
                            <w:sz w:val="16"/>
                          </w:rPr>
                          <w:t>Life </w:t>
                        </w:r>
                        <w:r>
                          <w:rPr>
                            <w:color w:val="3A3A3A"/>
                            <w:w w:val="105"/>
                            <w:sz w:val="16"/>
                          </w:rPr>
                          <w:t>Fund</w:t>
                        </w:r>
                      </w:p>
                    </w:tc>
                    <w:tc>
                      <w:tcPr>
                        <w:tcW w:w="1375" w:type="dxa"/>
                        <w:tcBorders>
                          <w:top w:val="single" w:sz="18" w:space="0" w:color="000000"/>
                          <w:bottom w:val="single" w:sz="18" w:space="0" w:color="000000"/>
                        </w:tcBorders>
                      </w:tcPr>
                      <w:p>
                        <w:pPr>
                          <w:pStyle w:val="TableParagraph"/>
                          <w:spacing w:line="212" w:lineRule="exact"/>
                          <w:ind w:left="209" w:right="313" w:hanging="4"/>
                          <w:rPr>
                            <w:sz w:val="16"/>
                          </w:rPr>
                        </w:pPr>
                        <w:r>
                          <w:rPr>
                            <w:color w:val="3A3A3A"/>
                            <w:w w:val="110"/>
                            <w:sz w:val="16"/>
                          </w:rPr>
                          <w:t>Capital </w:t>
                        </w:r>
                        <w:r>
                          <w:rPr>
                            <w:color w:val="232323"/>
                            <w:w w:val="105"/>
                            <w:sz w:val="16"/>
                          </w:rPr>
                          <w:t>Restricted</w:t>
                        </w:r>
                      </w:p>
                    </w:tc>
                    <w:tc>
                      <w:tcPr>
                        <w:tcW w:w="1047" w:type="dxa"/>
                        <w:tcBorders>
                          <w:top w:val="single" w:sz="18" w:space="0" w:color="000000"/>
                          <w:bottom w:val="single" w:sz="18" w:space="0" w:color="000000"/>
                        </w:tcBorders>
                      </w:tcPr>
                      <w:p>
                        <w:pPr>
                          <w:pStyle w:val="TableParagraph"/>
                          <w:spacing w:before="20"/>
                          <w:ind w:right="220"/>
                          <w:jc w:val="right"/>
                          <w:rPr>
                            <w:sz w:val="16"/>
                          </w:rPr>
                        </w:pPr>
                        <w:r>
                          <w:rPr>
                            <w:color w:val="3A3A3A"/>
                            <w:w w:val="108"/>
                            <w:sz w:val="16"/>
                          </w:rPr>
                          <w:t>0</w:t>
                        </w:r>
                      </w:p>
                      <w:p>
                        <w:pPr>
                          <w:pStyle w:val="TableParagraph"/>
                          <w:spacing w:line="155" w:lineRule="exact" w:before="28"/>
                          <w:ind w:right="217"/>
                          <w:jc w:val="right"/>
                          <w:rPr>
                            <w:sz w:val="16"/>
                          </w:rPr>
                        </w:pPr>
                        <w:r>
                          <w:rPr>
                            <w:color w:val="3A3A3A"/>
                            <w:w w:val="105"/>
                            <w:sz w:val="16"/>
                          </w:rPr>
                          <w:t>23</w:t>
                        </w:r>
                      </w:p>
                    </w:tc>
                    <w:tc>
                      <w:tcPr>
                        <w:tcW w:w="951" w:type="dxa"/>
                        <w:tcBorders>
                          <w:top w:val="single" w:sz="18" w:space="0" w:color="000000"/>
                          <w:bottom w:val="single" w:sz="18" w:space="0" w:color="000000"/>
                        </w:tcBorders>
                      </w:tcPr>
                      <w:p>
                        <w:pPr>
                          <w:pStyle w:val="TableParagraph"/>
                          <w:spacing w:before="2"/>
                          <w:rPr>
                            <w:sz w:val="20"/>
                          </w:rPr>
                        </w:pPr>
                      </w:p>
                      <w:p>
                        <w:pPr>
                          <w:pStyle w:val="TableParagraph"/>
                          <w:spacing w:line="155" w:lineRule="exact"/>
                          <w:ind w:right="258"/>
                          <w:jc w:val="right"/>
                          <w:rPr>
                            <w:sz w:val="16"/>
                          </w:rPr>
                        </w:pPr>
                        <w:r>
                          <w:rPr>
                            <w:color w:val="3A3A3A"/>
                            <w:w w:val="105"/>
                            <w:sz w:val="16"/>
                          </w:rPr>
                          <w:t>560</w:t>
                        </w:r>
                      </w:p>
                    </w:tc>
                    <w:tc>
                      <w:tcPr>
                        <w:tcW w:w="1077" w:type="dxa"/>
                        <w:tcBorders>
                          <w:top w:val="single" w:sz="18" w:space="0" w:color="000000"/>
                          <w:bottom w:val="single" w:sz="18" w:space="0" w:color="000000"/>
                        </w:tcBorders>
                      </w:tcPr>
                      <w:p>
                        <w:pPr>
                          <w:pStyle w:val="TableParagraph"/>
                          <w:spacing w:before="2"/>
                          <w:rPr>
                            <w:sz w:val="20"/>
                          </w:rPr>
                        </w:pPr>
                      </w:p>
                      <w:p>
                        <w:pPr>
                          <w:pStyle w:val="TableParagraph"/>
                          <w:spacing w:line="155" w:lineRule="exact"/>
                          <w:ind w:right="199"/>
                          <w:jc w:val="right"/>
                          <w:rPr>
                            <w:sz w:val="16"/>
                          </w:rPr>
                        </w:pPr>
                        <w:r>
                          <w:rPr>
                            <w:color w:val="3A3A3A"/>
                            <w:w w:val="110"/>
                            <w:sz w:val="16"/>
                          </w:rPr>
                          <w:t>(560)</w:t>
                        </w:r>
                      </w:p>
                    </w:tc>
                    <w:tc>
                      <w:tcPr>
                        <w:tcW w:w="956" w:type="dxa"/>
                        <w:tcBorders>
                          <w:top w:val="single" w:sz="18" w:space="0" w:color="000000"/>
                          <w:bottom w:val="single" w:sz="18" w:space="0" w:color="000000"/>
                        </w:tcBorders>
                      </w:tcPr>
                      <w:p>
                        <w:pPr>
                          <w:pStyle w:val="TableParagraph"/>
                          <w:rPr>
                            <w:sz w:val="16"/>
                          </w:rPr>
                        </w:pPr>
                      </w:p>
                    </w:tc>
                    <w:tc>
                      <w:tcPr>
                        <w:tcW w:w="911" w:type="dxa"/>
                        <w:tcBorders>
                          <w:top w:val="single" w:sz="18" w:space="0" w:color="000000"/>
                          <w:bottom w:val="single" w:sz="18" w:space="0" w:color="000000"/>
                        </w:tcBorders>
                      </w:tcPr>
                      <w:p>
                        <w:pPr>
                          <w:pStyle w:val="TableParagraph"/>
                          <w:rPr>
                            <w:sz w:val="16"/>
                          </w:rPr>
                        </w:pPr>
                      </w:p>
                    </w:tc>
                    <w:tc>
                      <w:tcPr>
                        <w:tcW w:w="1810" w:type="dxa"/>
                        <w:gridSpan w:val="2"/>
                        <w:tcBorders>
                          <w:top w:val="single" w:sz="18" w:space="0" w:color="000000"/>
                          <w:bottom w:val="single" w:sz="18" w:space="0" w:color="000000"/>
                          <w:right w:val="single" w:sz="12" w:space="0" w:color="000000"/>
                        </w:tcBorders>
                      </w:tcPr>
                      <w:p>
                        <w:pPr>
                          <w:pStyle w:val="TableParagraph"/>
                          <w:spacing w:before="11"/>
                          <w:ind w:right="45"/>
                          <w:jc w:val="right"/>
                          <w:rPr>
                            <w:sz w:val="16"/>
                          </w:rPr>
                        </w:pPr>
                        <w:r>
                          <w:rPr>
                            <w:color w:val="3A3A3A"/>
                            <w:w w:val="108"/>
                            <w:sz w:val="16"/>
                          </w:rPr>
                          <w:t>0</w:t>
                        </w:r>
                      </w:p>
                      <w:p>
                        <w:pPr>
                          <w:pStyle w:val="TableParagraph"/>
                          <w:spacing w:line="155" w:lineRule="exact" w:before="37"/>
                          <w:ind w:right="35"/>
                          <w:jc w:val="right"/>
                          <w:rPr>
                            <w:sz w:val="16"/>
                          </w:rPr>
                        </w:pPr>
                        <w:r>
                          <w:rPr>
                            <w:color w:val="3A3A3A"/>
                            <w:w w:val="110"/>
                            <w:sz w:val="16"/>
                          </w:rPr>
                          <w:t>23</w:t>
                        </w:r>
                      </w:p>
                    </w:tc>
                  </w:tr>
                  <w:tr>
                    <w:trPr>
                      <w:trHeight w:val="436" w:hRule="atLeast"/>
                    </w:trPr>
                    <w:tc>
                      <w:tcPr>
                        <w:tcW w:w="1526" w:type="dxa"/>
                        <w:tcBorders>
                          <w:top w:val="single" w:sz="18" w:space="0" w:color="000000"/>
                          <w:left w:val="single" w:sz="12" w:space="0" w:color="000000"/>
                          <w:bottom w:val="single" w:sz="12" w:space="0" w:color="000000"/>
                        </w:tcBorders>
                      </w:tcPr>
                      <w:p>
                        <w:pPr>
                          <w:pStyle w:val="TableParagraph"/>
                          <w:spacing w:before="13"/>
                          <w:ind w:left="32"/>
                          <w:rPr>
                            <w:sz w:val="16"/>
                          </w:rPr>
                        </w:pPr>
                        <w:r>
                          <w:rPr>
                            <w:color w:val="3A3A3A"/>
                            <w:w w:val="115"/>
                            <w:sz w:val="16"/>
                          </w:rPr>
                          <w:t>Other</w:t>
                        </w:r>
                      </w:p>
                      <w:p>
                        <w:pPr>
                          <w:pStyle w:val="TableParagraph"/>
                          <w:spacing w:before="28"/>
                          <w:ind w:left="73"/>
                          <w:rPr>
                            <w:sz w:val="16"/>
                          </w:rPr>
                        </w:pPr>
                        <w:r>
                          <w:rPr>
                            <w:color w:val="3A3A3A"/>
                            <w:w w:val="105"/>
                            <w:sz w:val="16"/>
                          </w:rPr>
                          <w:t>Funds</w:t>
                        </w:r>
                      </w:p>
                    </w:tc>
                    <w:tc>
                      <w:tcPr>
                        <w:tcW w:w="1375" w:type="dxa"/>
                        <w:tcBorders>
                          <w:top w:val="single" w:sz="18" w:space="0" w:color="000000"/>
                          <w:bottom w:val="single" w:sz="12" w:space="0" w:color="000000"/>
                        </w:tcBorders>
                      </w:tcPr>
                      <w:p>
                        <w:pPr>
                          <w:pStyle w:val="TableParagraph"/>
                          <w:spacing w:before="13"/>
                          <w:ind w:left="206"/>
                          <w:rPr>
                            <w:sz w:val="16"/>
                          </w:rPr>
                        </w:pPr>
                        <w:r>
                          <w:rPr>
                            <w:color w:val="3A3A3A"/>
                            <w:w w:val="105"/>
                            <w:sz w:val="16"/>
                          </w:rPr>
                          <w:t>Capital</w:t>
                        </w:r>
                      </w:p>
                      <w:p>
                        <w:pPr>
                          <w:pStyle w:val="TableParagraph"/>
                          <w:spacing w:before="28"/>
                          <w:ind w:left="199"/>
                          <w:rPr>
                            <w:sz w:val="16"/>
                          </w:rPr>
                        </w:pPr>
                        <w:r>
                          <w:rPr>
                            <w:color w:val="232323"/>
                            <w:w w:val="110"/>
                            <w:sz w:val="16"/>
                          </w:rPr>
                          <w:t>Restricted</w:t>
                        </w:r>
                      </w:p>
                    </w:tc>
                    <w:tc>
                      <w:tcPr>
                        <w:tcW w:w="1047" w:type="dxa"/>
                        <w:tcBorders>
                          <w:top w:val="single" w:sz="18" w:space="0" w:color="000000"/>
                          <w:bottom w:val="single" w:sz="12" w:space="0" w:color="000000"/>
                        </w:tcBorders>
                      </w:tcPr>
                      <w:p>
                        <w:pPr>
                          <w:pStyle w:val="TableParagraph"/>
                          <w:spacing w:before="13"/>
                          <w:ind w:left="438"/>
                          <w:rPr>
                            <w:sz w:val="16"/>
                          </w:rPr>
                        </w:pPr>
                        <w:r>
                          <w:rPr>
                            <w:color w:val="3A3A3A"/>
                            <w:w w:val="105"/>
                            <w:sz w:val="16"/>
                          </w:rPr>
                          <w:t>3</w:t>
                        </w:r>
                        <w:r>
                          <w:rPr>
                            <w:color w:val="6B6B6B"/>
                            <w:w w:val="105"/>
                            <w:sz w:val="16"/>
                          </w:rPr>
                          <w:t>,</w:t>
                        </w:r>
                        <w:r>
                          <w:rPr>
                            <w:color w:val="3A3A3A"/>
                            <w:w w:val="105"/>
                            <w:sz w:val="16"/>
                          </w:rPr>
                          <w:t>822</w:t>
                        </w:r>
                      </w:p>
                      <w:p>
                        <w:pPr>
                          <w:pStyle w:val="TableParagraph"/>
                          <w:spacing w:before="28"/>
                          <w:ind w:left="446"/>
                          <w:rPr>
                            <w:sz w:val="16"/>
                          </w:rPr>
                        </w:pPr>
                        <w:r>
                          <w:rPr>
                            <w:color w:val="232323"/>
                            <w:spacing w:val="-3"/>
                            <w:w w:val="110"/>
                            <w:sz w:val="16"/>
                          </w:rPr>
                          <w:t>1</w:t>
                        </w:r>
                        <w:r>
                          <w:rPr>
                            <w:color w:val="6B6B6B"/>
                            <w:spacing w:val="-3"/>
                            <w:w w:val="110"/>
                            <w:sz w:val="16"/>
                          </w:rPr>
                          <w:t>,</w:t>
                        </w:r>
                        <w:r>
                          <w:rPr>
                            <w:color w:val="232323"/>
                            <w:spacing w:val="-3"/>
                            <w:w w:val="110"/>
                            <w:sz w:val="16"/>
                          </w:rPr>
                          <w:t>590</w:t>
                        </w:r>
                      </w:p>
                    </w:tc>
                    <w:tc>
                      <w:tcPr>
                        <w:tcW w:w="951" w:type="dxa"/>
                        <w:tcBorders>
                          <w:top w:val="single" w:sz="18" w:space="0" w:color="000000"/>
                          <w:bottom w:val="single" w:sz="12" w:space="0" w:color="000000"/>
                        </w:tcBorders>
                      </w:tcPr>
                      <w:p>
                        <w:pPr>
                          <w:pStyle w:val="TableParagraph"/>
                          <w:spacing w:before="6"/>
                          <w:rPr>
                            <w:sz w:val="19"/>
                          </w:rPr>
                        </w:pPr>
                      </w:p>
                      <w:p>
                        <w:pPr>
                          <w:pStyle w:val="TableParagraph"/>
                          <w:ind w:right="263"/>
                          <w:jc w:val="right"/>
                          <w:rPr>
                            <w:sz w:val="16"/>
                          </w:rPr>
                        </w:pPr>
                        <w:r>
                          <w:rPr>
                            <w:color w:val="3A3A3A"/>
                            <w:w w:val="105"/>
                            <w:sz w:val="16"/>
                          </w:rPr>
                          <w:t>269</w:t>
                        </w:r>
                      </w:p>
                    </w:tc>
                    <w:tc>
                      <w:tcPr>
                        <w:tcW w:w="1077" w:type="dxa"/>
                        <w:tcBorders>
                          <w:top w:val="single" w:sz="18" w:space="0" w:color="000000"/>
                          <w:bottom w:val="single" w:sz="12" w:space="0" w:color="000000"/>
                        </w:tcBorders>
                      </w:tcPr>
                      <w:p>
                        <w:pPr>
                          <w:pStyle w:val="TableParagraph"/>
                          <w:spacing w:before="8"/>
                          <w:rPr>
                            <w:sz w:val="18"/>
                          </w:rPr>
                        </w:pPr>
                      </w:p>
                      <w:p>
                        <w:pPr>
                          <w:pStyle w:val="TableParagraph"/>
                          <w:ind w:right="210"/>
                          <w:jc w:val="right"/>
                          <w:rPr>
                            <w:sz w:val="16"/>
                          </w:rPr>
                        </w:pPr>
                        <w:r>
                          <w:rPr>
                            <w:color w:val="3A3A3A"/>
                            <w:w w:val="110"/>
                            <w:sz w:val="16"/>
                          </w:rPr>
                          <w:t>(237)</w:t>
                        </w:r>
                      </w:p>
                    </w:tc>
                    <w:tc>
                      <w:tcPr>
                        <w:tcW w:w="956" w:type="dxa"/>
                        <w:tcBorders>
                          <w:top w:val="single" w:sz="18" w:space="0" w:color="000000"/>
                          <w:bottom w:val="single" w:sz="12" w:space="0" w:color="000000"/>
                        </w:tcBorders>
                      </w:tcPr>
                      <w:p>
                        <w:pPr>
                          <w:pStyle w:val="TableParagraph"/>
                          <w:spacing w:before="8"/>
                          <w:rPr>
                            <w:sz w:val="18"/>
                          </w:rPr>
                        </w:pPr>
                      </w:p>
                      <w:p>
                        <w:pPr>
                          <w:pStyle w:val="TableParagraph"/>
                          <w:ind w:right="333"/>
                          <w:jc w:val="right"/>
                          <w:rPr>
                            <w:sz w:val="16"/>
                          </w:rPr>
                        </w:pPr>
                        <w:r>
                          <w:rPr>
                            <w:color w:val="3A3A3A"/>
                            <w:w w:val="110"/>
                            <w:sz w:val="16"/>
                          </w:rPr>
                          <w:t>{29)</w:t>
                        </w:r>
                      </w:p>
                    </w:tc>
                    <w:tc>
                      <w:tcPr>
                        <w:tcW w:w="911" w:type="dxa"/>
                        <w:tcBorders>
                          <w:top w:val="single" w:sz="18" w:space="0" w:color="000000"/>
                          <w:bottom w:val="single" w:sz="12" w:space="0" w:color="000000"/>
                        </w:tcBorders>
                      </w:tcPr>
                      <w:p>
                        <w:pPr>
                          <w:pStyle w:val="TableParagraph"/>
                          <w:spacing w:before="13"/>
                          <w:ind w:left="365"/>
                          <w:rPr>
                            <w:sz w:val="16"/>
                          </w:rPr>
                        </w:pPr>
                        <w:r>
                          <w:rPr>
                            <w:color w:val="3A3A3A"/>
                            <w:w w:val="105"/>
                            <w:sz w:val="16"/>
                          </w:rPr>
                          <w:t>695</w:t>
                        </w:r>
                      </w:p>
                      <w:p>
                        <w:pPr>
                          <w:pStyle w:val="TableParagraph"/>
                          <w:spacing w:before="28"/>
                          <w:ind w:left="363"/>
                          <w:rPr>
                            <w:sz w:val="16"/>
                          </w:rPr>
                        </w:pPr>
                        <w:r>
                          <w:rPr>
                            <w:color w:val="232323"/>
                            <w:w w:val="110"/>
                            <w:sz w:val="16"/>
                          </w:rPr>
                          <w:t>131</w:t>
                        </w:r>
                      </w:p>
                    </w:tc>
                    <w:tc>
                      <w:tcPr>
                        <w:tcW w:w="1810" w:type="dxa"/>
                        <w:gridSpan w:val="2"/>
                        <w:tcBorders>
                          <w:top w:val="single" w:sz="18" w:space="0" w:color="000000"/>
                          <w:bottom w:val="single" w:sz="12" w:space="0" w:color="000000"/>
                          <w:right w:val="single" w:sz="12" w:space="0" w:color="000000"/>
                        </w:tcBorders>
                      </w:tcPr>
                      <w:p>
                        <w:pPr>
                          <w:pStyle w:val="TableParagraph"/>
                          <w:spacing w:before="4"/>
                          <w:ind w:right="37"/>
                          <w:jc w:val="right"/>
                          <w:rPr>
                            <w:sz w:val="16"/>
                          </w:rPr>
                        </w:pPr>
                        <w:r>
                          <w:rPr>
                            <w:color w:val="3A3A3A"/>
                            <w:w w:val="105"/>
                            <w:sz w:val="16"/>
                          </w:rPr>
                          <w:t>4,5</w:t>
                        </w:r>
                        <w:r>
                          <w:rPr>
                            <w:color w:val="151515"/>
                            <w:w w:val="105"/>
                            <w:sz w:val="16"/>
                          </w:rPr>
                          <w:t>1</w:t>
                        </w:r>
                        <w:r>
                          <w:rPr>
                            <w:color w:val="3A3A3A"/>
                            <w:w w:val="105"/>
                            <w:sz w:val="16"/>
                          </w:rPr>
                          <w:t>7</w:t>
                        </w:r>
                      </w:p>
                      <w:p>
                        <w:pPr>
                          <w:pStyle w:val="TableParagraph"/>
                          <w:spacing w:before="37"/>
                          <w:ind w:right="26"/>
                          <w:jc w:val="right"/>
                          <w:rPr>
                            <w:sz w:val="16"/>
                          </w:rPr>
                        </w:pPr>
                        <w:r>
                          <w:rPr>
                            <w:color w:val="232323"/>
                            <w:spacing w:val="-2"/>
                            <w:w w:val="110"/>
                            <w:sz w:val="16"/>
                          </w:rPr>
                          <w:t>1</w:t>
                        </w:r>
                        <w:r>
                          <w:rPr>
                            <w:color w:val="565656"/>
                            <w:spacing w:val="-2"/>
                            <w:w w:val="110"/>
                            <w:sz w:val="16"/>
                          </w:rPr>
                          <w:t>,</w:t>
                        </w:r>
                        <w:r>
                          <w:rPr>
                            <w:color w:val="3A3A3A"/>
                            <w:spacing w:val="-2"/>
                            <w:w w:val="110"/>
                            <w:sz w:val="16"/>
                          </w:rPr>
                          <w:t>724</w:t>
                        </w:r>
                      </w:p>
                    </w:tc>
                  </w:tr>
                </w:tbl>
                <w:p>
                  <w:pPr>
                    <w:pStyle w:val="BodyText"/>
                  </w:pPr>
                </w:p>
              </w:txbxContent>
            </v:textbox>
            <w10:wrap type="none"/>
          </v:shape>
        </w:pict>
      </w:r>
      <w:r>
        <w:rPr>
          <w:rFonts w:ascii="Times New Roman" w:hAnsi="Times New Roman"/>
          <w:color w:val="232323"/>
          <w:w w:val="105"/>
        </w:rPr>
        <w:t>£'000</w:t>
        <w:tab/>
      </w:r>
      <w:r>
        <w:rPr>
          <w:rFonts w:ascii="Times New Roman" w:hAnsi="Times New Roman"/>
          <w:color w:val="3A3A3A"/>
          <w:w w:val="105"/>
        </w:rPr>
        <w:t>£'</w:t>
      </w:r>
      <w:r>
        <w:rPr>
          <w:rFonts w:ascii="Times New Roman" w:hAnsi="Times New Roman"/>
          <w:color w:val="151515"/>
          <w:w w:val="105"/>
        </w:rPr>
        <w:t>000</w:t>
      </w:r>
    </w:p>
    <w:p>
      <w:pPr>
        <w:tabs>
          <w:tab w:pos="1151" w:val="left" w:leader="none"/>
        </w:tabs>
        <w:spacing w:line="271" w:lineRule="auto" w:before="93"/>
        <w:ind w:left="189" w:right="5" w:hanging="10"/>
        <w:jc w:val="right"/>
        <w:rPr>
          <w:rFonts w:ascii="Times New Roman"/>
          <w:b/>
          <w:sz w:val="17"/>
        </w:rPr>
      </w:pPr>
      <w:r>
        <w:rPr/>
        <w:br w:type="column"/>
      </w:r>
      <w:r>
        <w:rPr>
          <w:rFonts w:ascii="Times New Roman"/>
          <w:b/>
          <w:color w:val="232323"/>
          <w:sz w:val="17"/>
        </w:rPr>
        <w:t>Resources</w:t>
      </w:r>
      <w:r>
        <w:rPr>
          <w:rFonts w:ascii="Times New Roman"/>
          <w:b/>
          <w:color w:val="232323"/>
          <w:spacing w:val="20"/>
          <w:sz w:val="17"/>
        </w:rPr>
        <w:t> </w:t>
      </w:r>
      <w:r>
        <w:rPr>
          <w:rFonts w:ascii="Times New Roman"/>
          <w:b/>
          <w:color w:val="232323"/>
          <w:sz w:val="17"/>
        </w:rPr>
        <w:t>Transfers</w:t>
      </w:r>
      <w:r>
        <w:rPr>
          <w:rFonts w:ascii="Times New Roman"/>
          <w:b/>
          <w:color w:val="232323"/>
          <w:spacing w:val="-1"/>
          <w:w w:val="103"/>
          <w:sz w:val="17"/>
        </w:rPr>
        <w:t> </w:t>
      </w:r>
      <w:r>
        <w:rPr>
          <w:rFonts w:ascii="Times New Roman"/>
          <w:b/>
          <w:color w:val="232323"/>
          <w:sz w:val="17"/>
        </w:rPr>
        <w:t>Expended</w:t>
        <w:tab/>
      </w:r>
      <w:r>
        <w:rPr>
          <w:rFonts w:ascii="Times New Roman"/>
          <w:b/>
          <w:color w:val="232323"/>
          <w:spacing w:val="-1"/>
          <w:sz w:val="17"/>
        </w:rPr>
        <w:t>between</w:t>
      </w:r>
    </w:p>
    <w:p>
      <w:pPr>
        <w:spacing w:line="187" w:lineRule="exact" w:before="0"/>
        <w:ind w:left="0" w:right="14" w:firstLine="0"/>
        <w:jc w:val="right"/>
        <w:rPr>
          <w:rFonts w:ascii="Times New Roman"/>
          <w:b/>
          <w:sz w:val="17"/>
        </w:rPr>
      </w:pPr>
      <w:r>
        <w:rPr>
          <w:rFonts w:ascii="Times New Roman"/>
          <w:b/>
          <w:color w:val="151515"/>
          <w:spacing w:val="-2"/>
          <w:sz w:val="17"/>
        </w:rPr>
        <w:t>fund</w:t>
      </w:r>
      <w:r>
        <w:rPr>
          <w:rFonts w:ascii="Times New Roman"/>
          <w:b/>
          <w:color w:val="3A3A3A"/>
          <w:spacing w:val="-2"/>
          <w:sz w:val="17"/>
        </w:rPr>
        <w:t>s</w:t>
      </w:r>
    </w:p>
    <w:p>
      <w:pPr>
        <w:pStyle w:val="BodyText"/>
        <w:tabs>
          <w:tab w:pos="828" w:val="left" w:leader="none"/>
        </w:tabs>
        <w:spacing w:before="17"/>
        <w:jc w:val="right"/>
        <w:rPr>
          <w:rFonts w:ascii="Times New Roman" w:hAnsi="Times New Roman"/>
        </w:rPr>
      </w:pPr>
      <w:r>
        <w:rPr>
          <w:rFonts w:ascii="Times New Roman" w:hAnsi="Times New Roman"/>
          <w:color w:val="232323"/>
          <w:w w:val="105"/>
        </w:rPr>
        <w:t>£'000</w:t>
        <w:tab/>
      </w:r>
      <w:r>
        <w:rPr>
          <w:rFonts w:ascii="Times New Roman" w:hAnsi="Times New Roman"/>
          <w:color w:val="232323"/>
        </w:rPr>
        <w:t>£'000</w:t>
      </w:r>
    </w:p>
    <w:p>
      <w:pPr>
        <w:spacing w:line="271" w:lineRule="auto" w:before="93"/>
        <w:ind w:left="120" w:right="85" w:hanging="3"/>
        <w:jc w:val="center"/>
        <w:rPr>
          <w:rFonts w:ascii="Times New Roman"/>
          <w:b/>
          <w:sz w:val="17"/>
        </w:rPr>
      </w:pPr>
      <w:r>
        <w:rPr/>
        <w:br w:type="column"/>
      </w:r>
      <w:r>
        <w:rPr>
          <w:rFonts w:ascii="Times New Roman"/>
          <w:b/>
          <w:color w:val="232323"/>
          <w:w w:val="105"/>
          <w:sz w:val="17"/>
        </w:rPr>
        <w:t>Gains </w:t>
      </w:r>
      <w:r>
        <w:rPr>
          <w:rFonts w:ascii="Times New Roman"/>
          <w:b/>
          <w:color w:val="151515"/>
          <w:w w:val="105"/>
          <w:sz w:val="17"/>
        </w:rPr>
        <w:t>on </w:t>
      </w:r>
      <w:r>
        <w:rPr>
          <w:rFonts w:ascii="Times New Roman"/>
          <w:b/>
          <w:color w:val="151515"/>
          <w:sz w:val="17"/>
        </w:rPr>
        <w:t>inve</w:t>
      </w:r>
      <w:r>
        <w:rPr>
          <w:rFonts w:ascii="Times New Roman"/>
          <w:b/>
          <w:color w:val="3A3A3A"/>
          <w:sz w:val="17"/>
        </w:rPr>
        <w:t>st</w:t>
      </w:r>
      <w:r>
        <w:rPr>
          <w:rFonts w:ascii="Times New Roman"/>
          <w:b/>
          <w:color w:val="151515"/>
          <w:sz w:val="17"/>
        </w:rPr>
        <w:t>ment </w:t>
      </w:r>
      <w:r>
        <w:rPr>
          <w:rFonts w:ascii="Times New Roman"/>
          <w:b/>
          <w:color w:val="232323"/>
          <w:w w:val="105"/>
          <w:sz w:val="17"/>
        </w:rPr>
        <w:t>assets</w:t>
      </w:r>
    </w:p>
    <w:p>
      <w:pPr>
        <w:pStyle w:val="BodyText"/>
        <w:spacing w:line="189" w:lineRule="exact"/>
        <w:ind w:left="580"/>
        <w:jc w:val="center"/>
        <w:rPr>
          <w:rFonts w:ascii="Times New Roman" w:hAnsi="Times New Roman"/>
        </w:rPr>
      </w:pPr>
      <w:r>
        <w:rPr>
          <w:rFonts w:ascii="Times New Roman" w:hAnsi="Times New Roman"/>
          <w:color w:val="3A3A3A"/>
          <w:w w:val="105"/>
        </w:rPr>
        <w:t>£'</w:t>
      </w:r>
      <w:r>
        <w:rPr>
          <w:rFonts w:ascii="Times New Roman" w:hAnsi="Times New Roman"/>
          <w:color w:val="151515"/>
          <w:w w:val="105"/>
        </w:rPr>
        <w:t>000</w:t>
      </w:r>
    </w:p>
    <w:p>
      <w:pPr>
        <w:tabs>
          <w:tab w:pos="1389" w:val="left" w:leader="none"/>
        </w:tabs>
        <w:spacing w:line="259" w:lineRule="auto" w:before="93"/>
        <w:ind w:left="19" w:right="644" w:firstLine="139"/>
        <w:jc w:val="left"/>
        <w:rPr>
          <w:rFonts w:ascii="Times New Roman"/>
          <w:sz w:val="18"/>
        </w:rPr>
      </w:pPr>
      <w:r>
        <w:rPr/>
        <w:br w:type="column"/>
      </w:r>
      <w:r>
        <w:rPr>
          <w:rFonts w:ascii="Times New Roman"/>
          <w:b/>
          <w:color w:val="232323"/>
          <w:w w:val="105"/>
          <w:sz w:val="17"/>
        </w:rPr>
        <w:t>Actuarial</w:t>
        <w:tab/>
      </w:r>
      <w:r>
        <w:rPr>
          <w:rFonts w:ascii="Times New Roman"/>
          <w:b/>
          <w:color w:val="151515"/>
          <w:sz w:val="17"/>
        </w:rPr>
        <w:t>B</w:t>
      </w:r>
      <w:r>
        <w:rPr>
          <w:rFonts w:ascii="Times New Roman"/>
          <w:b/>
          <w:color w:val="3A3A3A"/>
          <w:sz w:val="17"/>
        </w:rPr>
        <w:t>a</w:t>
      </w:r>
      <w:r>
        <w:rPr>
          <w:rFonts w:ascii="Times New Roman"/>
          <w:b/>
          <w:sz w:val="17"/>
        </w:rPr>
        <w:t>l</w:t>
      </w:r>
      <w:r>
        <w:rPr>
          <w:rFonts w:ascii="Times New Roman"/>
          <w:b/>
          <w:color w:val="232323"/>
          <w:sz w:val="17"/>
        </w:rPr>
        <w:t>ance </w:t>
      </w:r>
      <w:r>
        <w:rPr>
          <w:rFonts w:ascii="Times New Roman"/>
          <w:b/>
          <w:color w:val="3A3A3A"/>
          <w:w w:val="105"/>
          <w:sz w:val="17"/>
        </w:rPr>
        <w:t>gains</w:t>
      </w:r>
      <w:r>
        <w:rPr>
          <w:rFonts w:ascii="Times New Roman"/>
          <w:b/>
          <w:color w:val="232323"/>
          <w:w w:val="105"/>
          <w:sz w:val="17"/>
        </w:rPr>
        <w:t>(losses)  31 Dec</w:t>
      </w:r>
      <w:r>
        <w:rPr>
          <w:rFonts w:ascii="Times New Roman"/>
          <w:b/>
          <w:color w:val="232323"/>
          <w:spacing w:val="-4"/>
          <w:w w:val="105"/>
          <w:sz w:val="17"/>
        </w:rPr>
        <w:t> </w:t>
      </w:r>
      <w:r>
        <w:rPr>
          <w:rFonts w:ascii="Times New Roman"/>
          <w:color w:val="232323"/>
          <w:w w:val="105"/>
          <w:sz w:val="18"/>
        </w:rPr>
        <w:t>2006</w:t>
      </w:r>
    </w:p>
    <w:p>
      <w:pPr>
        <w:pStyle w:val="BodyText"/>
        <w:spacing w:before="3"/>
        <w:rPr>
          <w:rFonts w:ascii="Times New Roman"/>
        </w:rPr>
      </w:pPr>
    </w:p>
    <w:p>
      <w:pPr>
        <w:pStyle w:val="BodyText"/>
        <w:tabs>
          <w:tab w:pos="1570" w:val="left" w:leader="none"/>
        </w:tabs>
        <w:ind w:left="569"/>
        <w:rPr>
          <w:rFonts w:ascii="Times New Roman" w:hAnsi="Times New Roman"/>
        </w:rPr>
      </w:pPr>
      <w:r>
        <w:rPr>
          <w:rFonts w:ascii="Times New Roman" w:hAnsi="Times New Roman"/>
          <w:color w:val="232323"/>
          <w:w w:val="105"/>
        </w:rPr>
        <w:t>£'000</w:t>
        <w:tab/>
        <w:t>£'000</w:t>
      </w:r>
    </w:p>
    <w:p>
      <w:pPr>
        <w:spacing w:after="0"/>
        <w:rPr>
          <w:rFonts w:ascii="Times New Roman" w:hAnsi="Times New Roman"/>
        </w:rPr>
        <w:sectPr>
          <w:type w:val="continuous"/>
          <w:pgSz w:w="10950" w:h="15880"/>
          <w:pgMar w:top="680" w:bottom="280" w:left="500" w:right="0"/>
          <w:cols w:num="5" w:equalWidth="0">
            <w:col w:w="2909" w:space="49"/>
            <w:col w:w="1937" w:space="74"/>
            <w:col w:w="1762" w:space="40"/>
            <w:col w:w="1002" w:space="40"/>
            <w:col w:w="2637"/>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4"/>
        </w:rPr>
      </w:pPr>
    </w:p>
    <w:p>
      <w:pPr>
        <w:tabs>
          <w:tab w:pos="3374" w:val="left" w:leader="none"/>
          <w:tab w:pos="4291" w:val="left" w:leader="none"/>
          <w:tab w:pos="5290" w:val="left" w:leader="none"/>
          <w:tab w:pos="6561" w:val="left" w:leader="none"/>
          <w:tab w:pos="7296" w:val="left" w:leader="none"/>
          <w:tab w:pos="8265" w:val="left" w:leader="none"/>
          <w:tab w:pos="9240" w:val="left" w:leader="none"/>
        </w:tabs>
        <w:spacing w:before="91"/>
        <w:ind w:left="116" w:right="0" w:firstLine="0"/>
        <w:jc w:val="left"/>
        <w:rPr>
          <w:rFonts w:ascii="Arial"/>
          <w:sz w:val="31"/>
        </w:rPr>
      </w:pPr>
      <w:r>
        <w:rPr/>
        <w:pict>
          <v:shape style="position:absolute;margin-left:33.845009pt;margin-top:25.930166pt;width:48.15pt;height:9.450pt;mso-position-horizontal-relative:page;mso-position-vertical-relative:paragraph;z-index:-251205632;mso-wrap-distance-left:0;mso-wrap-distance-right:0" type="#_x0000_t202" filled="false" stroked="false">
            <v:textbox inset="0,0,0,0">
              <w:txbxContent>
                <w:p>
                  <w:pPr>
                    <w:spacing w:line="189" w:lineRule="exact" w:before="0"/>
                    <w:ind w:left="0" w:right="0" w:firstLine="0"/>
                    <w:jc w:val="left"/>
                    <w:rPr>
                      <w:rFonts w:ascii="Times New Roman"/>
                      <w:b/>
                      <w:sz w:val="17"/>
                    </w:rPr>
                  </w:pPr>
                  <w:r>
                    <w:rPr>
                      <w:rFonts w:ascii="Times New Roman"/>
                      <w:b/>
                      <w:color w:val="3A3A3A"/>
                      <w:spacing w:val="-5"/>
                      <w:w w:val="110"/>
                      <w:sz w:val="17"/>
                    </w:rPr>
                    <w:t>C</w:t>
                  </w:r>
                  <w:r>
                    <w:rPr>
                      <w:rFonts w:ascii="Times New Roman"/>
                      <w:b/>
                      <w:color w:val="151515"/>
                      <w:spacing w:val="-5"/>
                      <w:w w:val="110"/>
                      <w:sz w:val="17"/>
                    </w:rPr>
                    <w:t>ompris</w:t>
                  </w:r>
                  <w:r>
                    <w:rPr>
                      <w:rFonts w:ascii="Times New Roman"/>
                      <w:b/>
                      <w:color w:val="3A3A3A"/>
                      <w:spacing w:val="-5"/>
                      <w:w w:val="110"/>
                      <w:sz w:val="17"/>
                    </w:rPr>
                    <w:t>i</w:t>
                  </w:r>
                  <w:r>
                    <w:rPr>
                      <w:rFonts w:ascii="Times New Roman"/>
                      <w:b/>
                      <w:color w:val="151515"/>
                      <w:spacing w:val="-5"/>
                      <w:w w:val="110"/>
                      <w:sz w:val="17"/>
                    </w:rPr>
                    <w:t>ng:</w:t>
                  </w:r>
                </w:p>
              </w:txbxContent>
            </v:textbox>
            <w10:wrap type="topAndBottom"/>
          </v:shape>
        </w:pict>
      </w:r>
      <w:r>
        <w:rPr/>
        <w:pict>
          <v:shape style="position:absolute;margin-left:117.804001pt;margin-top:25.930166pt;width:48.1pt;height:30.65pt;mso-position-horizontal-relative:page;mso-position-vertical-relative:paragraph;z-index:-251204608;mso-wrap-distance-left:0;mso-wrap-distance-right:0" type="#_x0000_t202" filled="false" stroked="false">
            <v:textbox inset="0,0,0,0">
              <w:txbxContent>
                <w:p>
                  <w:pPr>
                    <w:spacing w:line="259" w:lineRule="auto" w:before="0"/>
                    <w:ind w:left="0" w:right="0" w:firstLine="6"/>
                    <w:jc w:val="left"/>
                    <w:rPr>
                      <w:rFonts w:ascii="Times New Roman"/>
                      <w:b/>
                      <w:sz w:val="17"/>
                    </w:rPr>
                  </w:pPr>
                  <w:r>
                    <w:rPr>
                      <w:rFonts w:ascii="Times New Roman"/>
                      <w:b/>
                      <w:color w:val="3A3A3A"/>
                      <w:w w:val="105"/>
                      <w:sz w:val="17"/>
                    </w:rPr>
                    <w:t>Capita</w:t>
                  </w:r>
                  <w:r>
                    <w:rPr>
                      <w:rFonts w:ascii="Times New Roman"/>
                      <w:b/>
                      <w:w w:val="105"/>
                      <w:sz w:val="17"/>
                    </w:rPr>
                    <w:t>l </w:t>
                  </w:r>
                  <w:r>
                    <w:rPr>
                      <w:rFonts w:ascii="Times New Roman"/>
                      <w:b/>
                      <w:color w:val="232323"/>
                      <w:w w:val="105"/>
                      <w:sz w:val="17"/>
                    </w:rPr>
                    <w:t>Restricted </w:t>
                  </w:r>
                  <w:r>
                    <w:rPr>
                      <w:rFonts w:ascii="Times New Roman"/>
                      <w:b/>
                      <w:color w:val="3A3A3A"/>
                      <w:sz w:val="17"/>
                    </w:rPr>
                    <w:t>Un</w:t>
                  </w:r>
                  <w:r>
                    <w:rPr>
                      <w:rFonts w:ascii="Times New Roman"/>
                      <w:b/>
                      <w:color w:val="151515"/>
                      <w:sz w:val="17"/>
                    </w:rPr>
                    <w:t>re</w:t>
                  </w:r>
                  <w:r>
                    <w:rPr>
                      <w:rFonts w:ascii="Times New Roman"/>
                      <w:b/>
                      <w:color w:val="3A3A3A"/>
                      <w:sz w:val="17"/>
                    </w:rPr>
                    <w:t>st</w:t>
                  </w:r>
                  <w:r>
                    <w:rPr>
                      <w:rFonts w:ascii="Times New Roman"/>
                      <w:b/>
                      <w:color w:val="151515"/>
                      <w:sz w:val="17"/>
                    </w:rPr>
                    <w:t>ricted</w:t>
                  </w:r>
                </w:p>
              </w:txbxContent>
            </v:textbox>
            <w10:wrap type="topAndBottom"/>
          </v:shape>
        </w:pict>
      </w:r>
      <w:r>
        <w:rPr/>
        <w:pict>
          <v:shape style="position:absolute;margin-left:193.837402pt;margin-top:25.449066pt;width:25.7pt;height:31.1pt;mso-position-horizontal-relative:page;mso-position-vertical-relative:paragraph;z-index:-251203584;mso-wrap-distance-left:0;mso-wrap-distance-right:0" type="#_x0000_t202" filled="false" stroked="false">
            <v:textbox inset="0,0,0,0">
              <w:txbxContent>
                <w:p>
                  <w:pPr>
                    <w:spacing w:line="189" w:lineRule="exact" w:before="0"/>
                    <w:ind w:left="94" w:right="0" w:firstLine="0"/>
                    <w:jc w:val="left"/>
                    <w:rPr>
                      <w:rFonts w:ascii="Times New Roman"/>
                      <w:b/>
                      <w:sz w:val="17"/>
                    </w:rPr>
                  </w:pPr>
                  <w:r>
                    <w:rPr>
                      <w:rFonts w:ascii="Times New Roman"/>
                      <w:b/>
                      <w:color w:val="232323"/>
                      <w:w w:val="105"/>
                      <w:sz w:val="17"/>
                    </w:rPr>
                    <w:t>7,741</w:t>
                  </w:r>
                </w:p>
                <w:p>
                  <w:pPr>
                    <w:spacing w:before="26"/>
                    <w:ind w:left="0" w:right="0" w:firstLine="0"/>
                    <w:jc w:val="left"/>
                    <w:rPr>
                      <w:rFonts w:ascii="Times New Roman"/>
                      <w:b/>
                      <w:sz w:val="17"/>
                    </w:rPr>
                  </w:pPr>
                  <w:r>
                    <w:rPr>
                      <w:rFonts w:ascii="Times New Roman"/>
                      <w:b/>
                      <w:color w:val="151515"/>
                      <w:w w:val="105"/>
                      <w:sz w:val="17"/>
                    </w:rPr>
                    <w:t>24</w:t>
                  </w:r>
                  <w:r>
                    <w:rPr>
                      <w:rFonts w:ascii="Times New Roman"/>
                      <w:b/>
                      <w:color w:val="3A3A3A"/>
                      <w:w w:val="105"/>
                      <w:sz w:val="17"/>
                    </w:rPr>
                    <w:t>,759</w:t>
                  </w:r>
                </w:p>
                <w:p>
                  <w:pPr>
                    <w:spacing w:before="16"/>
                    <w:ind w:left="86" w:right="0" w:firstLine="0"/>
                    <w:jc w:val="left"/>
                    <w:rPr>
                      <w:rFonts w:ascii="Times New Roman"/>
                      <w:b/>
                      <w:sz w:val="17"/>
                    </w:rPr>
                  </w:pPr>
                  <w:r>
                    <w:rPr>
                      <w:rFonts w:ascii="Times New Roman"/>
                      <w:b/>
                      <w:color w:val="232323"/>
                      <w:w w:val="105"/>
                      <w:sz w:val="17"/>
                    </w:rPr>
                    <w:t>2,910</w:t>
                  </w:r>
                </w:p>
              </w:txbxContent>
            </v:textbox>
            <w10:wrap type="topAndBottom"/>
          </v:shape>
        </w:pict>
      </w:r>
      <w:r>
        <w:rPr/>
        <w:pict>
          <v:shape style="position:absolute;margin-left:239.5793pt;margin-top:25.782114pt;width:25.65pt;height:30.8pt;mso-position-horizontal-relative:page;mso-position-vertical-relative:paragraph;z-index:-251202560;mso-wrap-distance-left:0;mso-wrap-distance-right:0" type="#_x0000_t202" filled="false" stroked="false">
            <v:textbox inset="0,0,0,0">
              <w:txbxContent>
                <w:p>
                  <w:pPr>
                    <w:spacing w:line="179" w:lineRule="exact" w:before="0"/>
                    <w:ind w:left="0" w:right="33" w:firstLine="0"/>
                    <w:jc w:val="right"/>
                    <w:rPr>
                      <w:rFonts w:ascii="Arial"/>
                      <w:sz w:val="16"/>
                    </w:rPr>
                  </w:pPr>
                  <w:r>
                    <w:rPr>
                      <w:rFonts w:ascii="Arial"/>
                      <w:color w:val="232323"/>
                      <w:w w:val="106"/>
                      <w:sz w:val="16"/>
                    </w:rPr>
                    <w:t>0</w:t>
                  </w:r>
                </w:p>
                <w:p>
                  <w:pPr>
                    <w:spacing w:before="28"/>
                    <w:ind w:left="88" w:right="0" w:firstLine="0"/>
                    <w:jc w:val="left"/>
                    <w:rPr>
                      <w:rFonts w:ascii="Times New Roman"/>
                      <w:b/>
                      <w:sz w:val="17"/>
                    </w:rPr>
                  </w:pPr>
                  <w:r>
                    <w:rPr>
                      <w:rFonts w:ascii="Times New Roman"/>
                      <w:b/>
                      <w:color w:val="232323"/>
                      <w:w w:val="105"/>
                      <w:sz w:val="17"/>
                    </w:rPr>
                    <w:t>3,729</w:t>
                  </w:r>
                </w:p>
                <w:p>
                  <w:pPr>
                    <w:spacing w:before="17"/>
                    <w:ind w:left="0" w:right="0" w:firstLine="0"/>
                    <w:jc w:val="left"/>
                    <w:rPr>
                      <w:rFonts w:ascii="Times New Roman"/>
                      <w:b/>
                      <w:sz w:val="17"/>
                    </w:rPr>
                  </w:pPr>
                  <w:r>
                    <w:rPr>
                      <w:rFonts w:ascii="Times New Roman"/>
                      <w:b/>
                      <w:color w:val="232323"/>
                      <w:w w:val="105"/>
                      <w:sz w:val="17"/>
                    </w:rPr>
                    <w:t>23,358</w:t>
                  </w:r>
                </w:p>
              </w:txbxContent>
            </v:textbox>
            <w10:wrap type="topAndBottom"/>
          </v:shape>
        </w:pict>
      </w:r>
      <w:r>
        <w:rPr/>
        <w:pict>
          <v:shape style="position:absolute;margin-left:289.518311pt;margin-top:25.782114pt;width:31.2pt;height:30.8pt;mso-position-horizontal-relative:page;mso-position-vertical-relative:paragraph;z-index:-251201536;mso-wrap-distance-left:0;mso-wrap-distance-right:0" type="#_x0000_t202" filled="false" stroked="false">
            <v:textbox inset="0,0,0,0">
              <w:txbxContent>
                <w:p>
                  <w:pPr>
                    <w:spacing w:line="179" w:lineRule="exact" w:before="0"/>
                    <w:ind w:left="0" w:right="85" w:firstLine="0"/>
                    <w:jc w:val="right"/>
                    <w:rPr>
                      <w:rFonts w:ascii="Arial"/>
                      <w:sz w:val="16"/>
                    </w:rPr>
                  </w:pPr>
                  <w:r>
                    <w:rPr>
                      <w:rFonts w:ascii="Arial"/>
                      <w:color w:val="232323"/>
                      <w:w w:val="105"/>
                      <w:sz w:val="16"/>
                    </w:rPr>
                    <w:t>0</w:t>
                  </w:r>
                </w:p>
                <w:p>
                  <w:pPr>
                    <w:spacing w:before="28"/>
                    <w:ind w:left="86" w:right="0" w:firstLine="0"/>
                    <w:jc w:val="left"/>
                    <w:rPr>
                      <w:rFonts w:ascii="Times New Roman"/>
                      <w:b/>
                      <w:sz w:val="17"/>
                    </w:rPr>
                  </w:pPr>
                  <w:r>
                    <w:rPr>
                      <w:rFonts w:ascii="Times New Roman"/>
                      <w:b/>
                      <w:color w:val="232323"/>
                      <w:w w:val="105"/>
                      <w:sz w:val="17"/>
                    </w:rPr>
                    <w:t>(2,569)</w:t>
                  </w:r>
                </w:p>
                <w:p>
                  <w:pPr>
                    <w:spacing w:before="17"/>
                    <w:ind w:left="0" w:right="0" w:firstLine="0"/>
                    <w:jc w:val="left"/>
                    <w:rPr>
                      <w:rFonts w:ascii="Times New Roman"/>
                      <w:b/>
                      <w:sz w:val="17"/>
                    </w:rPr>
                  </w:pPr>
                  <w:r>
                    <w:rPr>
                      <w:rFonts w:ascii="Times New Roman"/>
                      <w:b/>
                      <w:color w:val="232323"/>
                      <w:w w:val="105"/>
                      <w:sz w:val="17"/>
                    </w:rPr>
                    <w:t>(22,435)</w:t>
                  </w:r>
                </w:p>
              </w:txbxContent>
            </v:textbox>
            <w10:wrap type="topAndBottom"/>
          </v:shape>
        </w:pict>
      </w:r>
      <w:r>
        <w:rPr/>
        <w:pict>
          <v:shape style="position:absolute;margin-left:341.519592pt;margin-top:25.328426pt;width:20.6pt;height:31.25pt;mso-position-horizontal-relative:page;mso-position-vertical-relative:paragraph;z-index:-251200512;mso-wrap-distance-left:0;mso-wrap-distance-right:0" type="#_x0000_t202" filled="false" stroked="false">
            <v:textbox inset="0,0,0,0">
              <w:txbxContent>
                <w:p>
                  <w:pPr>
                    <w:spacing w:line="190" w:lineRule="exact" w:before="0"/>
                    <w:ind w:left="230" w:right="0" w:firstLine="0"/>
                    <w:jc w:val="left"/>
                    <w:rPr>
                      <w:rFonts w:ascii="Arial"/>
                      <w:sz w:val="17"/>
                    </w:rPr>
                  </w:pPr>
                  <w:r>
                    <w:rPr>
                      <w:rFonts w:ascii="Arial"/>
                      <w:color w:val="232323"/>
                      <w:w w:val="103"/>
                      <w:sz w:val="17"/>
                    </w:rPr>
                    <w:t>0</w:t>
                  </w:r>
                </w:p>
                <w:p>
                  <w:pPr>
                    <w:spacing w:before="26"/>
                    <w:ind w:left="60" w:right="0" w:firstLine="0"/>
                    <w:jc w:val="left"/>
                    <w:rPr>
                      <w:rFonts w:ascii="Times New Roman"/>
                      <w:b/>
                      <w:sz w:val="17"/>
                    </w:rPr>
                  </w:pPr>
                  <w:r>
                    <w:rPr>
                      <w:rFonts w:ascii="Times New Roman"/>
                      <w:b/>
                      <w:color w:val="232323"/>
                      <w:w w:val="110"/>
                      <w:sz w:val="17"/>
                    </w:rPr>
                    <w:t>220</w:t>
                  </w:r>
                </w:p>
                <w:p>
                  <w:pPr>
                    <w:spacing w:before="16"/>
                    <w:ind w:left="0" w:right="0" w:firstLine="0"/>
                    <w:jc w:val="left"/>
                    <w:rPr>
                      <w:rFonts w:ascii="Times New Roman"/>
                      <w:b/>
                      <w:sz w:val="17"/>
                    </w:rPr>
                  </w:pPr>
                  <w:r>
                    <w:rPr>
                      <w:rFonts w:ascii="Times New Roman"/>
                      <w:b/>
                      <w:color w:val="232323"/>
                      <w:w w:val="105"/>
                      <w:sz w:val="17"/>
                    </w:rPr>
                    <w:t>(220)</w:t>
                  </w:r>
                </w:p>
              </w:txbxContent>
            </v:textbox>
            <w10:wrap type="topAndBottom"/>
          </v:shape>
        </w:pict>
      </w:r>
      <w:r>
        <w:rPr/>
        <w:pict>
          <v:shape style="position:absolute;margin-left:389.928802pt;margin-top:25.449066pt;width:20.85pt;height:31.1pt;mso-position-horizontal-relative:page;mso-position-vertical-relative:paragraph;z-index:-251199488;mso-wrap-distance-left:0;mso-wrap-distance-right:0" type="#_x0000_t202" filled="false" stroked="false">
            <v:textbox inset="0,0,0,0">
              <w:txbxContent>
                <w:p>
                  <w:pPr>
                    <w:spacing w:line="189" w:lineRule="exact" w:before="0"/>
                    <w:ind w:left="0" w:right="18" w:firstLine="0"/>
                    <w:jc w:val="right"/>
                    <w:rPr>
                      <w:rFonts w:ascii="Times New Roman"/>
                      <w:b/>
                      <w:sz w:val="17"/>
                    </w:rPr>
                  </w:pPr>
                  <w:r>
                    <w:rPr>
                      <w:rFonts w:ascii="Times New Roman"/>
                      <w:b/>
                      <w:color w:val="151515"/>
                      <w:spacing w:val="-3"/>
                      <w:w w:val="105"/>
                      <w:sz w:val="17"/>
                    </w:rPr>
                    <w:t>1</w:t>
                  </w:r>
                  <w:r>
                    <w:rPr>
                      <w:rFonts w:ascii="Times New Roman"/>
                      <w:b/>
                      <w:color w:val="3A3A3A"/>
                      <w:spacing w:val="-3"/>
                      <w:w w:val="105"/>
                      <w:sz w:val="17"/>
                    </w:rPr>
                    <w:t>,05</w:t>
                  </w:r>
                  <w:r>
                    <w:rPr>
                      <w:rFonts w:ascii="Times New Roman"/>
                      <w:b/>
                      <w:color w:val="151515"/>
                      <w:spacing w:val="-3"/>
                      <w:w w:val="105"/>
                      <w:sz w:val="17"/>
                    </w:rPr>
                    <w:t>2</w:t>
                  </w:r>
                </w:p>
                <w:p>
                  <w:pPr>
                    <w:spacing w:before="26"/>
                    <w:ind w:left="0" w:right="22" w:firstLine="0"/>
                    <w:jc w:val="right"/>
                    <w:rPr>
                      <w:rFonts w:ascii="Times New Roman"/>
                      <w:b/>
                      <w:sz w:val="17"/>
                    </w:rPr>
                  </w:pPr>
                  <w:r>
                    <w:rPr>
                      <w:rFonts w:ascii="Times New Roman"/>
                      <w:b/>
                      <w:color w:val="151515"/>
                      <w:spacing w:val="-4"/>
                      <w:w w:val="105"/>
                      <w:sz w:val="17"/>
                    </w:rPr>
                    <w:t>1</w:t>
                  </w:r>
                  <w:r>
                    <w:rPr>
                      <w:rFonts w:ascii="Times New Roman"/>
                      <w:b/>
                      <w:color w:val="3A3A3A"/>
                      <w:spacing w:val="-4"/>
                      <w:w w:val="105"/>
                      <w:sz w:val="17"/>
                    </w:rPr>
                    <w:t>,</w:t>
                  </w:r>
                  <w:r>
                    <w:rPr>
                      <w:rFonts w:ascii="Times New Roman"/>
                      <w:b/>
                      <w:color w:val="151515"/>
                      <w:spacing w:val="-4"/>
                      <w:w w:val="105"/>
                      <w:sz w:val="17"/>
                    </w:rPr>
                    <w:t>033</w:t>
                  </w:r>
                </w:p>
                <w:p>
                  <w:pPr>
                    <w:spacing w:before="16"/>
                    <w:ind w:left="0" w:right="22" w:firstLine="0"/>
                    <w:jc w:val="right"/>
                    <w:rPr>
                      <w:rFonts w:ascii="Times New Roman"/>
                      <w:b/>
                      <w:sz w:val="17"/>
                    </w:rPr>
                  </w:pPr>
                  <w:r>
                    <w:rPr>
                      <w:rFonts w:ascii="Times New Roman"/>
                      <w:b/>
                      <w:color w:val="232323"/>
                      <w:w w:val="105"/>
                      <w:sz w:val="17"/>
                    </w:rPr>
                    <w:t>646</w:t>
                  </w:r>
                </w:p>
              </w:txbxContent>
            </v:textbox>
            <w10:wrap type="topAndBottom"/>
          </v:shape>
        </w:pict>
      </w:r>
      <w:r>
        <w:rPr/>
        <w:pict>
          <v:shape style="position:absolute;margin-left:438.299896pt;margin-top:25.328426pt;width:27pt;height:31.25pt;mso-position-horizontal-relative:page;mso-position-vertical-relative:paragraph;z-index:-251198464;mso-wrap-distance-left:0;mso-wrap-distance-right:0" type="#_x0000_t202" filled="false" stroked="false">
            <v:textbox inset="0,0,0,0">
              <w:txbxContent>
                <w:p>
                  <w:pPr>
                    <w:spacing w:line="190" w:lineRule="exact" w:before="0"/>
                    <w:ind w:left="365" w:right="0" w:firstLine="0"/>
                    <w:jc w:val="left"/>
                    <w:rPr>
                      <w:rFonts w:ascii="Arial"/>
                      <w:sz w:val="17"/>
                    </w:rPr>
                  </w:pPr>
                  <w:r>
                    <w:rPr>
                      <w:rFonts w:ascii="Arial"/>
                      <w:color w:val="151515"/>
                      <w:w w:val="106"/>
                      <w:sz w:val="17"/>
                    </w:rPr>
                    <w:t>0</w:t>
                  </w:r>
                </w:p>
                <w:p>
                  <w:pPr>
                    <w:spacing w:before="35"/>
                    <w:ind w:left="366" w:right="0" w:firstLine="0"/>
                    <w:jc w:val="left"/>
                    <w:rPr>
                      <w:rFonts w:ascii="Arial"/>
                      <w:sz w:val="16"/>
                    </w:rPr>
                  </w:pPr>
                  <w:r>
                    <w:rPr>
                      <w:rFonts w:ascii="Arial"/>
                      <w:color w:val="151515"/>
                      <w:w w:val="106"/>
                      <w:sz w:val="16"/>
                    </w:rPr>
                    <w:t>0</w:t>
                  </w:r>
                </w:p>
                <w:p>
                  <w:pPr>
                    <w:spacing w:before="19"/>
                    <w:ind w:left="0" w:right="0" w:firstLine="0"/>
                    <w:jc w:val="left"/>
                    <w:rPr>
                      <w:rFonts w:ascii="Times New Roman"/>
                      <w:b/>
                      <w:sz w:val="17"/>
                    </w:rPr>
                  </w:pPr>
                  <w:r>
                    <w:rPr>
                      <w:rFonts w:ascii="Times New Roman"/>
                      <w:b/>
                      <w:color w:val="3A3A3A"/>
                      <w:w w:val="105"/>
                      <w:sz w:val="17"/>
                    </w:rPr>
                    <w:t>(1,38</w:t>
                  </w:r>
                  <w:r>
                    <w:rPr>
                      <w:rFonts w:ascii="Times New Roman"/>
                      <w:b/>
                      <w:color w:val="151515"/>
                      <w:w w:val="105"/>
                      <w:sz w:val="17"/>
                    </w:rPr>
                    <w:t>2)</w:t>
                  </w:r>
                </w:p>
              </w:txbxContent>
            </v:textbox>
            <w10:wrap type="topAndBottom"/>
          </v:shape>
        </w:pict>
      </w:r>
      <w:r>
        <w:rPr/>
        <w:pict>
          <v:shape style="position:absolute;margin-left:487.548706pt;margin-top:25.449066pt;width:25.4pt;height:31.1pt;mso-position-horizontal-relative:page;mso-position-vertical-relative:paragraph;z-index:-251197440;mso-wrap-distance-left:0;mso-wrap-distance-right:0" type="#_x0000_t202" filled="false" stroked="false">
            <v:textbox inset="0,0,0,0">
              <w:txbxContent>
                <w:p>
                  <w:pPr>
                    <w:spacing w:line="189" w:lineRule="exact" w:before="0"/>
                    <w:ind w:left="84" w:right="0" w:firstLine="0"/>
                    <w:jc w:val="left"/>
                    <w:rPr>
                      <w:rFonts w:ascii="Times New Roman"/>
                      <w:b/>
                      <w:sz w:val="17"/>
                    </w:rPr>
                  </w:pPr>
                  <w:r>
                    <w:rPr>
                      <w:rFonts w:ascii="Times New Roman"/>
                      <w:b/>
                      <w:color w:val="232323"/>
                      <w:w w:val="105"/>
                      <w:sz w:val="17"/>
                    </w:rPr>
                    <w:t>8,793</w:t>
                  </w:r>
                </w:p>
                <w:p>
                  <w:pPr>
                    <w:spacing w:before="26"/>
                    <w:ind w:left="0" w:right="0" w:firstLine="0"/>
                    <w:jc w:val="left"/>
                    <w:rPr>
                      <w:rFonts w:ascii="Times New Roman"/>
                      <w:b/>
                      <w:sz w:val="17"/>
                    </w:rPr>
                  </w:pPr>
                  <w:r>
                    <w:rPr>
                      <w:rFonts w:ascii="Times New Roman"/>
                      <w:b/>
                      <w:color w:val="232323"/>
                      <w:w w:val="105"/>
                      <w:sz w:val="17"/>
                    </w:rPr>
                    <w:t>27,172</w:t>
                  </w:r>
                </w:p>
                <w:p>
                  <w:pPr>
                    <w:spacing w:before="16"/>
                    <w:ind w:left="77" w:right="0" w:firstLine="0"/>
                    <w:jc w:val="left"/>
                    <w:rPr>
                      <w:rFonts w:ascii="Times New Roman"/>
                      <w:b/>
                      <w:sz w:val="17"/>
                    </w:rPr>
                  </w:pPr>
                  <w:r>
                    <w:rPr>
                      <w:rFonts w:ascii="Times New Roman"/>
                      <w:b/>
                      <w:color w:val="3A3A3A"/>
                      <w:w w:val="105"/>
                      <w:sz w:val="17"/>
                    </w:rPr>
                    <w:t>2,877</w:t>
                  </w:r>
                </w:p>
              </w:txbxContent>
            </v:textbox>
            <w10:wrap type="topAndBottom"/>
          </v:shape>
        </w:pict>
      </w:r>
      <w:r>
        <w:rPr/>
        <w:pict>
          <v:group style="position:absolute;margin-left:31.778585pt;margin-top:18.587786pt;width:485.35pt;height:40.450pt;mso-position-horizontal-relative:page;mso-position-vertical-relative:paragraph;z-index:-275142656" coordorigin="636,372" coordsize="9707,809">
            <v:line style="position:absolute" from="645,1180" to="645,488" stroked="true" strokeweight=".962987pt" strokecolor="#000000">
              <v:stroke dashstyle="solid"/>
            </v:line>
            <v:line style="position:absolute" from="10314,1180" to="10314,488" stroked="true" strokeweight=".481494pt" strokecolor="#000000">
              <v:stroke dashstyle="solid"/>
            </v:line>
            <v:line style="position:absolute" from="645,449" to="10342,449" stroked="true" strokeweight="2.405573pt" strokecolor="#000000">
              <v:stroke dashstyle="solid"/>
            </v:line>
            <v:line style="position:absolute" from="645,1152" to="10342,1152" stroked="true" strokeweight=".481115pt" strokecolor="#000000">
              <v:stroke dashstyle="solid"/>
            </v:line>
            <v:line style="position:absolute" from="10275,382" to="10314,382" stroked="true" strokeweight="1.002322pt" strokecolor="#3a3a3a">
              <v:stroke dashstyle="solid"/>
            </v:line>
            <w10:wrap type="none"/>
          </v:group>
        </w:pict>
      </w:r>
      <w:r>
        <w:rPr>
          <w:rFonts w:ascii="Times New Roman"/>
          <w:color w:val="232323"/>
          <w:w w:val="105"/>
          <w:position w:val="1"/>
          <w:sz w:val="17"/>
          <w:u w:val="thick" w:color="232323"/>
        </w:rPr>
        <w:t>!Totals</w:t>
      </w:r>
      <w:r>
        <w:rPr>
          <w:rFonts w:ascii="Times New Roman"/>
          <w:color w:val="232323"/>
          <w:w w:val="105"/>
          <w:position w:val="1"/>
          <w:sz w:val="17"/>
        </w:rPr>
        <w:t> (see</w:t>
      </w:r>
      <w:r>
        <w:rPr>
          <w:rFonts w:ascii="Times New Roman"/>
          <w:color w:val="232323"/>
          <w:spacing w:val="-31"/>
          <w:w w:val="105"/>
          <w:position w:val="1"/>
          <w:sz w:val="17"/>
        </w:rPr>
        <w:t> </w:t>
      </w:r>
      <w:r>
        <w:rPr>
          <w:rFonts w:ascii="Times New Roman"/>
          <w:b/>
          <w:color w:val="232323"/>
          <w:w w:val="105"/>
          <w:position w:val="1"/>
          <w:sz w:val="17"/>
        </w:rPr>
        <w:t>page</w:t>
      </w:r>
      <w:r>
        <w:rPr>
          <w:rFonts w:ascii="Times New Roman"/>
          <w:b/>
          <w:color w:val="232323"/>
          <w:spacing w:val="-22"/>
          <w:w w:val="105"/>
          <w:position w:val="1"/>
          <w:sz w:val="17"/>
        </w:rPr>
        <w:t> </w:t>
      </w:r>
      <w:r>
        <w:rPr>
          <w:rFonts w:ascii="Times New Roman"/>
          <w:color w:val="232323"/>
          <w:w w:val="105"/>
          <w:position w:val="1"/>
          <w:sz w:val="17"/>
        </w:rPr>
        <w:t>10)</w:t>
        <w:tab/>
      </w:r>
      <w:r>
        <w:rPr>
          <w:rFonts w:ascii="Times New Roman"/>
          <w:color w:val="232323"/>
          <w:w w:val="105"/>
          <w:position w:val="1"/>
          <w:sz w:val="16"/>
        </w:rPr>
        <w:t>35,410</w:t>
        <w:tab/>
      </w:r>
      <w:r>
        <w:rPr>
          <w:rFonts w:ascii="Times New Roman"/>
          <w:b/>
          <w:color w:val="151515"/>
          <w:spacing w:val="-8"/>
          <w:w w:val="105"/>
          <w:position w:val="1"/>
          <w:sz w:val="17"/>
        </w:rPr>
        <w:t>27</w:t>
      </w:r>
      <w:r>
        <w:rPr>
          <w:rFonts w:ascii="Times New Roman"/>
          <w:b/>
          <w:color w:val="3A3A3A"/>
          <w:spacing w:val="-8"/>
          <w:w w:val="105"/>
          <w:position w:val="1"/>
          <w:sz w:val="17"/>
        </w:rPr>
        <w:t>,</w:t>
      </w:r>
      <w:r>
        <w:rPr>
          <w:rFonts w:ascii="Times New Roman"/>
          <w:b/>
          <w:color w:val="151515"/>
          <w:spacing w:val="-8"/>
          <w:w w:val="105"/>
          <w:position w:val="1"/>
          <w:sz w:val="17"/>
        </w:rPr>
        <w:t>08</w:t>
      </w:r>
      <w:r>
        <w:rPr>
          <w:rFonts w:ascii="Times New Roman"/>
          <w:b/>
          <w:color w:val="3A3A3A"/>
          <w:spacing w:val="-8"/>
          <w:w w:val="105"/>
          <w:position w:val="1"/>
          <w:sz w:val="17"/>
        </w:rPr>
        <w:t>7</w:t>
        <w:tab/>
      </w:r>
      <w:r>
        <w:rPr>
          <w:rFonts w:ascii="Times New Roman"/>
          <w:b/>
          <w:color w:val="232323"/>
          <w:w w:val="105"/>
          <w:position w:val="1"/>
          <w:sz w:val="17"/>
        </w:rPr>
        <w:t>(25,004)</w:t>
        <w:tab/>
      </w:r>
      <w:r>
        <w:rPr>
          <w:rFonts w:ascii="Arial"/>
          <w:color w:val="151515"/>
          <w:w w:val="105"/>
          <w:position w:val="1"/>
          <w:sz w:val="17"/>
        </w:rPr>
        <w:t>0</w:t>
        <w:tab/>
      </w:r>
      <w:r>
        <w:rPr>
          <w:rFonts w:ascii="Times New Roman"/>
          <w:b/>
          <w:color w:val="232323"/>
          <w:w w:val="105"/>
          <w:position w:val="1"/>
          <w:sz w:val="17"/>
        </w:rPr>
        <w:t>2,731</w:t>
        <w:tab/>
      </w:r>
      <w:r>
        <w:rPr>
          <w:rFonts w:ascii="Times New Roman"/>
          <w:b/>
          <w:color w:val="232323"/>
          <w:w w:val="105"/>
          <w:position w:val="2"/>
          <w:sz w:val="17"/>
        </w:rPr>
        <w:t>(1,382)</w:t>
        <w:tab/>
      </w:r>
      <w:r>
        <w:rPr>
          <w:rFonts w:ascii="Arial"/>
          <w:color w:val="232323"/>
          <w:w w:val="105"/>
          <w:sz w:val="16"/>
        </w:rPr>
        <w:t>Js,s42</w:t>
      </w:r>
      <w:r>
        <w:rPr>
          <w:rFonts w:ascii="Arial"/>
          <w:color w:val="232323"/>
          <w:spacing w:val="-8"/>
          <w:w w:val="105"/>
          <w:sz w:val="16"/>
        </w:rPr>
        <w:t> </w:t>
      </w:r>
      <w:r>
        <w:rPr>
          <w:rFonts w:ascii="Arial"/>
          <w:color w:val="3A3A3A"/>
          <w:w w:val="105"/>
          <w:sz w:val="31"/>
        </w:rPr>
        <w:t>I</w:t>
      </w:r>
    </w:p>
    <w:p>
      <w:pPr>
        <w:pStyle w:val="BodyText"/>
        <w:rPr>
          <w:rFonts w:ascii="Arial"/>
          <w:sz w:val="20"/>
        </w:rPr>
      </w:pPr>
    </w:p>
    <w:p>
      <w:pPr>
        <w:pStyle w:val="BodyText"/>
        <w:rPr>
          <w:rFonts w:ascii="Arial"/>
          <w:sz w:val="20"/>
        </w:rPr>
      </w:pPr>
    </w:p>
    <w:p>
      <w:pPr>
        <w:pStyle w:val="BodyText"/>
        <w:spacing w:before="6"/>
        <w:rPr>
          <w:rFonts w:ascii="Arial"/>
          <w:sz w:val="19"/>
        </w:rPr>
      </w:pPr>
    </w:p>
    <w:p>
      <w:pPr>
        <w:pStyle w:val="BodyText"/>
        <w:ind w:left="168"/>
        <w:rPr>
          <w:rFonts w:ascii="Times New Roman"/>
        </w:rPr>
      </w:pPr>
      <w:r>
        <w:rPr>
          <w:rFonts w:ascii="Times New Roman"/>
          <w:color w:val="3A3A3A"/>
          <w:w w:val="105"/>
        </w:rPr>
        <w:t>The notes on pages </w:t>
      </w:r>
      <w:r>
        <w:rPr>
          <w:rFonts w:ascii="Times New Roman"/>
          <w:color w:val="232323"/>
          <w:w w:val="105"/>
        </w:rPr>
        <w:t>14 </w:t>
      </w:r>
      <w:r>
        <w:rPr>
          <w:rFonts w:ascii="Times New Roman"/>
          <w:color w:val="3A3A3A"/>
          <w:w w:val="105"/>
        </w:rPr>
        <w:t>to 23 form an </w:t>
      </w:r>
      <w:r>
        <w:rPr>
          <w:rFonts w:ascii="Times New Roman"/>
          <w:color w:val="232323"/>
          <w:w w:val="105"/>
        </w:rPr>
        <w:t>integral </w:t>
      </w:r>
      <w:r>
        <w:rPr>
          <w:rFonts w:ascii="Times New Roman"/>
          <w:color w:val="3A3A3A"/>
          <w:w w:val="105"/>
        </w:rPr>
        <w:t>part of these </w:t>
      </w:r>
      <w:r>
        <w:rPr>
          <w:rFonts w:ascii="Times New Roman"/>
          <w:color w:val="232323"/>
          <w:w w:val="105"/>
        </w:rPr>
        <w:t>financial </w:t>
      </w:r>
      <w:r>
        <w:rPr>
          <w:rFonts w:ascii="Times New Roman"/>
          <w:color w:val="3A3A3A"/>
          <w:w w:val="105"/>
        </w:rPr>
        <w:t>statements.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r>
        <w:rPr/>
        <w:pict>
          <v:group style="position:absolute;margin-left:31.778585pt;margin-top:15.667316pt;width:485.35pt;height:39.5pt;mso-position-horizontal-relative:page;mso-position-vertical-relative:paragraph;z-index:-251195392;mso-wrap-distance-left:0;mso-wrap-distance-right:0" coordorigin="636,313" coordsize="9707,790">
            <v:line style="position:absolute" from="645,1102" to="645,313" stroked="true" strokeweight=".962987pt" strokecolor="#000000">
              <v:stroke dashstyle="solid"/>
            </v:line>
            <v:line style="position:absolute" from="10304,1083" to="10304,313" stroked="true" strokeweight=".962987pt" strokecolor="#000000">
              <v:stroke dashstyle="solid"/>
            </v:line>
            <v:line style="position:absolute" from="645,323" to="10342,323" stroked="true" strokeweight=".481115pt" strokecolor="#000000">
              <v:stroke dashstyle="solid"/>
            </v:line>
            <v:line style="position:absolute" from="645,1074" to="10342,1074" stroked="true" strokeweight=".481115pt" strokecolor="#000000">
              <v:stroke dashstyle="solid"/>
            </v:line>
            <v:shape style="position:absolute;left:654;top:327;width:9640;height:741" type="#_x0000_t202" filled="false" stroked="false">
              <v:textbox inset="0,0,0,0">
                <w:txbxContent>
                  <w:p>
                    <w:pPr>
                      <w:spacing w:line="290" w:lineRule="auto" w:before="19"/>
                      <w:ind w:left="1321" w:right="854" w:hanging="353"/>
                      <w:jc w:val="left"/>
                      <w:rPr>
                        <w:rFonts w:ascii="Times New Roman"/>
                        <w:i/>
                        <w:sz w:val="18"/>
                      </w:rPr>
                    </w:pPr>
                    <w:r>
                      <w:rPr>
                        <w:rFonts w:ascii="Times New Roman"/>
                        <w:i/>
                        <w:color w:val="3A3A3A"/>
                        <w:w w:val="105"/>
                        <w:sz w:val="18"/>
                      </w:rPr>
                      <w:t>This page shows the breakdown of the </w:t>
                    </w:r>
                    <w:r>
                      <w:rPr>
                        <w:rFonts w:ascii="Times New Roman"/>
                        <w:i/>
                        <w:color w:val="232323"/>
                        <w:w w:val="105"/>
                        <w:sz w:val="18"/>
                      </w:rPr>
                      <w:t>main </w:t>
                    </w:r>
                    <w:r>
                      <w:rPr>
                        <w:rFonts w:ascii="Times New Roman"/>
                        <w:i/>
                        <w:color w:val="3A3A3A"/>
                        <w:w w:val="105"/>
                        <w:sz w:val="18"/>
                      </w:rPr>
                      <w:t>totals in the Statement of Financial Activities on page 10 </w:t>
                    </w:r>
                    <w:r>
                      <w:rPr>
                        <w:rFonts w:ascii="Times New Roman"/>
                        <w:i/>
                        <w:color w:val="3A3A3A"/>
                        <w:w w:val="105"/>
                        <w:sz w:val="18"/>
                      </w:rPr>
                      <w:t>by major fund or group of funds. It is intended to be used as a reference source</w:t>
                    </w:r>
                  </w:p>
                  <w:p>
                    <w:pPr>
                      <w:spacing w:line="206" w:lineRule="exact" w:before="0"/>
                      <w:ind w:left="2326" w:right="0" w:firstLine="0"/>
                      <w:jc w:val="left"/>
                      <w:rPr>
                        <w:rFonts w:ascii="Times New Roman"/>
                        <w:i/>
                        <w:sz w:val="18"/>
                      </w:rPr>
                    </w:pPr>
                    <w:r>
                      <w:rPr>
                        <w:rFonts w:ascii="Times New Roman"/>
                        <w:i/>
                        <w:color w:val="3A3A3A"/>
                        <w:w w:val="110"/>
                        <w:sz w:val="18"/>
                      </w:rPr>
                      <w:t>rather than to be read through at one go</w:t>
                    </w:r>
                    <w:r>
                      <w:rPr>
                        <w:rFonts w:ascii="Times New Roman"/>
                        <w:i/>
                        <w:color w:val="6B6B6B"/>
                        <w:w w:val="110"/>
                        <w:sz w:val="18"/>
                      </w:rPr>
                      <w:t>.</w:t>
                    </w:r>
                  </w:p>
                </w:txbxContent>
              </v:textbox>
              <w10:wrap type="none"/>
            </v:shape>
            <w10:wrap type="topAndBottom"/>
          </v:group>
        </w:pict>
      </w:r>
    </w:p>
    <w:p>
      <w:pPr>
        <w:spacing w:after="0"/>
        <w:rPr>
          <w:rFonts w:ascii="Times New Roman"/>
          <w:sz w:val="22"/>
        </w:rPr>
        <w:sectPr>
          <w:type w:val="continuous"/>
          <w:pgSz w:w="10950" w:h="15880"/>
          <w:pgMar w:top="680" w:bottom="280" w:left="500" w:right="0"/>
        </w:sectPr>
      </w:pPr>
    </w:p>
    <w:p>
      <w:pPr>
        <w:pStyle w:val="BodyText"/>
        <w:spacing w:before="8"/>
        <w:rPr>
          <w:rFonts w:ascii="Times New Roman"/>
          <w:sz w:val="26"/>
        </w:rPr>
      </w:pPr>
    </w:p>
    <w:tbl>
      <w:tblPr>
        <w:tblW w:w="0" w:type="auto"/>
        <w:jc w:val="left"/>
        <w:tblInd w:w="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0"/>
        <w:gridCol w:w="6333"/>
        <w:gridCol w:w="1039"/>
      </w:tblGrid>
      <w:tr>
        <w:trPr>
          <w:trHeight w:val="577" w:hRule="atLeast"/>
        </w:trPr>
        <w:tc>
          <w:tcPr>
            <w:tcW w:w="1140" w:type="dxa"/>
          </w:tcPr>
          <w:p>
            <w:pPr>
              <w:pStyle w:val="TableParagraph"/>
              <w:rPr>
                <w:sz w:val="18"/>
              </w:rPr>
            </w:pPr>
          </w:p>
        </w:tc>
        <w:tc>
          <w:tcPr>
            <w:tcW w:w="6333" w:type="dxa"/>
          </w:tcPr>
          <w:p>
            <w:pPr>
              <w:pStyle w:val="TableParagraph"/>
              <w:spacing w:line="244" w:lineRule="exact"/>
              <w:ind w:left="718" w:right="757"/>
              <w:jc w:val="center"/>
              <w:rPr>
                <w:b/>
                <w:sz w:val="22"/>
              </w:rPr>
            </w:pPr>
            <w:r>
              <w:rPr>
                <w:b/>
                <w:color w:val="2D2D2D"/>
                <w:w w:val="105"/>
                <w:sz w:val="22"/>
              </w:rPr>
              <w:t>CASH FLOW STATEMENT</w:t>
            </w:r>
          </w:p>
          <w:p>
            <w:pPr>
              <w:pStyle w:val="TableParagraph"/>
              <w:spacing w:before="16"/>
              <w:ind w:left="722" w:right="757"/>
              <w:jc w:val="center"/>
              <w:rPr>
                <w:b/>
                <w:sz w:val="22"/>
              </w:rPr>
            </w:pPr>
            <w:r>
              <w:rPr>
                <w:b/>
                <w:color w:val="414141"/>
                <w:w w:val="105"/>
                <w:sz w:val="22"/>
              </w:rPr>
              <w:t>F</w:t>
            </w:r>
            <w:r>
              <w:rPr>
                <w:b/>
                <w:color w:val="161616"/>
                <w:w w:val="105"/>
                <w:sz w:val="22"/>
              </w:rPr>
              <w:t>OR </w:t>
            </w:r>
            <w:r>
              <w:rPr>
                <w:b/>
                <w:color w:val="2D2D2D"/>
                <w:w w:val="105"/>
                <w:sz w:val="22"/>
              </w:rPr>
              <w:t>THE YEAR ENDED </w:t>
            </w:r>
            <w:r>
              <w:rPr>
                <w:b/>
                <w:color w:val="161616"/>
                <w:w w:val="105"/>
                <w:sz w:val="22"/>
              </w:rPr>
              <w:t>31 DECEMBER 2006</w:t>
            </w:r>
          </w:p>
        </w:tc>
        <w:tc>
          <w:tcPr>
            <w:tcW w:w="1039" w:type="dxa"/>
          </w:tcPr>
          <w:p>
            <w:pPr>
              <w:pStyle w:val="TableParagraph"/>
              <w:rPr>
                <w:sz w:val="18"/>
              </w:rPr>
            </w:pPr>
          </w:p>
        </w:tc>
      </w:tr>
      <w:tr>
        <w:trPr>
          <w:trHeight w:val="500" w:hRule="atLeast"/>
        </w:trPr>
        <w:tc>
          <w:tcPr>
            <w:tcW w:w="1140" w:type="dxa"/>
          </w:tcPr>
          <w:p>
            <w:pPr>
              <w:pStyle w:val="TableParagraph"/>
              <w:spacing w:before="57"/>
              <w:ind w:left="583"/>
              <w:rPr>
                <w:b/>
                <w:sz w:val="18"/>
              </w:rPr>
            </w:pPr>
            <w:r>
              <w:rPr>
                <w:b/>
                <w:color w:val="161616"/>
                <w:w w:val="110"/>
                <w:sz w:val="18"/>
              </w:rPr>
              <w:t>2005</w:t>
            </w:r>
          </w:p>
          <w:p>
            <w:pPr>
              <w:pStyle w:val="TableParagraph"/>
              <w:spacing w:before="4"/>
              <w:ind w:left="536"/>
              <w:rPr>
                <w:b/>
                <w:sz w:val="18"/>
              </w:rPr>
            </w:pPr>
            <w:r>
              <w:rPr>
                <w:b/>
                <w:color w:val="2D2D2D"/>
                <w:w w:val="110"/>
                <w:sz w:val="18"/>
              </w:rPr>
              <w:t>£'000</w:t>
            </w:r>
          </w:p>
        </w:tc>
        <w:tc>
          <w:tcPr>
            <w:tcW w:w="6333" w:type="dxa"/>
          </w:tcPr>
          <w:p>
            <w:pPr>
              <w:pStyle w:val="TableParagraph"/>
              <w:rPr>
                <w:sz w:val="18"/>
              </w:rPr>
            </w:pPr>
          </w:p>
        </w:tc>
        <w:tc>
          <w:tcPr>
            <w:tcW w:w="1039" w:type="dxa"/>
          </w:tcPr>
          <w:p>
            <w:pPr>
              <w:pStyle w:val="TableParagraph"/>
              <w:spacing w:before="66"/>
              <w:ind w:left="505"/>
              <w:rPr>
                <w:b/>
                <w:sz w:val="18"/>
              </w:rPr>
            </w:pPr>
            <w:r>
              <w:rPr>
                <w:b/>
                <w:color w:val="161616"/>
                <w:w w:val="110"/>
                <w:sz w:val="18"/>
              </w:rPr>
              <w:t>2006</w:t>
            </w:r>
          </w:p>
          <w:p>
            <w:pPr>
              <w:pStyle w:val="TableParagraph"/>
              <w:spacing w:line="203" w:lineRule="exact" w:before="5"/>
              <w:ind w:left="449"/>
              <w:rPr>
                <w:b/>
                <w:sz w:val="18"/>
              </w:rPr>
            </w:pPr>
            <w:r>
              <w:rPr>
                <w:b/>
                <w:color w:val="2D2D2D"/>
                <w:w w:val="110"/>
                <w:sz w:val="18"/>
              </w:rPr>
              <w:t>£'000</w:t>
            </w:r>
          </w:p>
        </w:tc>
      </w:tr>
      <w:tr>
        <w:trPr>
          <w:trHeight w:val="226" w:hRule="atLeast"/>
        </w:trPr>
        <w:tc>
          <w:tcPr>
            <w:tcW w:w="1140" w:type="dxa"/>
          </w:tcPr>
          <w:p>
            <w:pPr>
              <w:pStyle w:val="TableParagraph"/>
              <w:rPr>
                <w:sz w:val="16"/>
              </w:rPr>
            </w:pPr>
          </w:p>
        </w:tc>
        <w:tc>
          <w:tcPr>
            <w:tcW w:w="6333" w:type="dxa"/>
          </w:tcPr>
          <w:p>
            <w:pPr>
              <w:pStyle w:val="TableParagraph"/>
              <w:spacing w:line="198" w:lineRule="exact" w:before="8"/>
              <w:ind w:left="79"/>
              <w:rPr>
                <w:b/>
                <w:sz w:val="18"/>
              </w:rPr>
            </w:pPr>
            <w:r>
              <w:rPr>
                <w:b/>
                <w:color w:val="161616"/>
                <w:w w:val="105"/>
                <w:sz w:val="18"/>
              </w:rPr>
              <w:t>Reconciliation of net incoming resources </w:t>
            </w:r>
            <w:r>
              <w:rPr>
                <w:b/>
                <w:color w:val="414141"/>
                <w:w w:val="105"/>
                <w:sz w:val="18"/>
              </w:rPr>
              <w:t>s</w:t>
            </w:r>
            <w:r>
              <w:rPr>
                <w:b/>
                <w:color w:val="161616"/>
                <w:w w:val="105"/>
                <w:sz w:val="18"/>
              </w:rPr>
              <w:t>hown in </w:t>
            </w:r>
            <w:r>
              <w:rPr>
                <w:b/>
                <w:color w:val="2D2D2D"/>
                <w:w w:val="105"/>
                <w:sz w:val="18"/>
              </w:rPr>
              <w:t>the Statement of Financial</w:t>
            </w:r>
          </w:p>
        </w:tc>
        <w:tc>
          <w:tcPr>
            <w:tcW w:w="1039" w:type="dxa"/>
          </w:tcPr>
          <w:p>
            <w:pPr>
              <w:pStyle w:val="TableParagraph"/>
              <w:rPr>
                <w:sz w:val="16"/>
              </w:rPr>
            </w:pPr>
          </w:p>
        </w:tc>
      </w:tr>
      <w:tr>
        <w:trPr>
          <w:trHeight w:val="264" w:hRule="atLeast"/>
        </w:trPr>
        <w:tc>
          <w:tcPr>
            <w:tcW w:w="1140" w:type="dxa"/>
          </w:tcPr>
          <w:p>
            <w:pPr>
              <w:pStyle w:val="TableParagraph"/>
              <w:rPr>
                <w:sz w:val="18"/>
              </w:rPr>
            </w:pPr>
          </w:p>
        </w:tc>
        <w:tc>
          <w:tcPr>
            <w:tcW w:w="6333" w:type="dxa"/>
          </w:tcPr>
          <w:p>
            <w:pPr>
              <w:pStyle w:val="TableParagraph"/>
              <w:spacing w:before="3"/>
              <w:ind w:left="722" w:right="707"/>
              <w:jc w:val="center"/>
              <w:rPr>
                <w:b/>
                <w:sz w:val="18"/>
              </w:rPr>
            </w:pPr>
            <w:r>
              <w:rPr>
                <w:b/>
                <w:color w:val="2D2D2D"/>
                <w:w w:val="105"/>
                <w:sz w:val="18"/>
              </w:rPr>
              <w:t>Activities to the actual cash </w:t>
            </w:r>
            <w:r>
              <w:rPr>
                <w:b/>
                <w:color w:val="161616"/>
                <w:w w:val="105"/>
                <w:sz w:val="18"/>
              </w:rPr>
              <w:t>outflow </w:t>
            </w:r>
            <w:r>
              <w:rPr>
                <w:b/>
                <w:color w:val="2D2D2D"/>
                <w:w w:val="105"/>
                <w:sz w:val="18"/>
              </w:rPr>
              <w:t>from general activities</w:t>
            </w:r>
          </w:p>
        </w:tc>
        <w:tc>
          <w:tcPr>
            <w:tcW w:w="1039" w:type="dxa"/>
          </w:tcPr>
          <w:p>
            <w:pPr>
              <w:pStyle w:val="TableParagraph"/>
              <w:rPr>
                <w:sz w:val="18"/>
              </w:rPr>
            </w:pPr>
          </w:p>
        </w:tc>
      </w:tr>
      <w:tr>
        <w:trPr>
          <w:trHeight w:val="274" w:hRule="atLeast"/>
        </w:trPr>
        <w:tc>
          <w:tcPr>
            <w:tcW w:w="1140" w:type="dxa"/>
          </w:tcPr>
          <w:p>
            <w:pPr>
              <w:pStyle w:val="TableParagraph"/>
              <w:spacing w:before="46"/>
              <w:ind w:left="496"/>
              <w:rPr>
                <w:sz w:val="18"/>
              </w:rPr>
            </w:pPr>
            <w:r>
              <w:rPr>
                <w:color w:val="2D2D2D"/>
                <w:w w:val="110"/>
                <w:sz w:val="18"/>
              </w:rPr>
              <w:t>2</w:t>
            </w:r>
            <w:r>
              <w:rPr>
                <w:color w:val="606060"/>
                <w:w w:val="110"/>
                <w:sz w:val="18"/>
              </w:rPr>
              <w:t>,</w:t>
            </w:r>
            <w:r>
              <w:rPr>
                <w:color w:val="2D2D2D"/>
                <w:w w:val="110"/>
                <w:sz w:val="18"/>
              </w:rPr>
              <w:t>135</w:t>
            </w:r>
          </w:p>
        </w:tc>
        <w:tc>
          <w:tcPr>
            <w:tcW w:w="6333" w:type="dxa"/>
          </w:tcPr>
          <w:p>
            <w:pPr>
              <w:pStyle w:val="TableParagraph"/>
              <w:spacing w:line="198" w:lineRule="exact" w:before="56"/>
              <w:ind w:left="672"/>
              <w:rPr>
                <w:sz w:val="18"/>
              </w:rPr>
            </w:pPr>
            <w:r>
              <w:rPr>
                <w:color w:val="414141"/>
                <w:w w:val="105"/>
                <w:sz w:val="18"/>
              </w:rPr>
              <w:t>Net </w:t>
            </w:r>
            <w:r>
              <w:rPr>
                <w:color w:val="2D2D2D"/>
                <w:w w:val="105"/>
                <w:sz w:val="18"/>
              </w:rPr>
              <w:t>incoming </w:t>
            </w:r>
            <w:r>
              <w:rPr>
                <w:color w:val="414141"/>
                <w:w w:val="105"/>
                <w:sz w:val="18"/>
              </w:rPr>
              <w:t>resources before revaluations and investment asset</w:t>
            </w:r>
          </w:p>
        </w:tc>
        <w:tc>
          <w:tcPr>
            <w:tcW w:w="1039" w:type="dxa"/>
          </w:tcPr>
          <w:p>
            <w:pPr>
              <w:pStyle w:val="TableParagraph"/>
              <w:spacing w:line="198" w:lineRule="exact" w:before="56"/>
              <w:ind w:left="410"/>
              <w:rPr>
                <w:sz w:val="18"/>
              </w:rPr>
            </w:pPr>
            <w:r>
              <w:rPr>
                <w:color w:val="414141"/>
                <w:w w:val="105"/>
                <w:sz w:val="18"/>
              </w:rPr>
              <w:t>2</w:t>
            </w:r>
            <w:r>
              <w:rPr>
                <w:color w:val="606060"/>
                <w:w w:val="105"/>
                <w:sz w:val="18"/>
              </w:rPr>
              <w:t>,</w:t>
            </w:r>
            <w:r>
              <w:rPr>
                <w:color w:val="414141"/>
                <w:w w:val="105"/>
                <w:sz w:val="18"/>
              </w:rPr>
              <w:t>083</w:t>
            </w:r>
          </w:p>
        </w:tc>
      </w:tr>
      <w:tr>
        <w:trPr>
          <w:trHeight w:val="221" w:hRule="atLeast"/>
        </w:trPr>
        <w:tc>
          <w:tcPr>
            <w:tcW w:w="1140" w:type="dxa"/>
          </w:tcPr>
          <w:p>
            <w:pPr>
              <w:pStyle w:val="TableParagraph"/>
              <w:rPr>
                <w:sz w:val="14"/>
              </w:rPr>
            </w:pPr>
          </w:p>
        </w:tc>
        <w:tc>
          <w:tcPr>
            <w:tcW w:w="6333" w:type="dxa"/>
          </w:tcPr>
          <w:p>
            <w:pPr>
              <w:pStyle w:val="TableParagraph"/>
              <w:spacing w:line="198" w:lineRule="exact" w:before="3"/>
              <w:ind w:left="683"/>
              <w:rPr>
                <w:sz w:val="18"/>
              </w:rPr>
            </w:pPr>
            <w:r>
              <w:rPr>
                <w:color w:val="414141"/>
                <w:w w:val="110"/>
                <w:sz w:val="18"/>
              </w:rPr>
              <w:t>disposals (see page </w:t>
            </w:r>
            <w:r>
              <w:rPr>
                <w:color w:val="2D2D2D"/>
                <w:w w:val="110"/>
                <w:sz w:val="18"/>
              </w:rPr>
              <w:t>10)</w:t>
            </w:r>
          </w:p>
        </w:tc>
        <w:tc>
          <w:tcPr>
            <w:tcW w:w="1039" w:type="dxa"/>
          </w:tcPr>
          <w:p>
            <w:pPr>
              <w:pStyle w:val="TableParagraph"/>
              <w:rPr>
                <w:sz w:val="14"/>
              </w:rPr>
            </w:pPr>
          </w:p>
        </w:tc>
      </w:tr>
      <w:tr>
        <w:trPr>
          <w:trHeight w:val="230" w:hRule="atLeast"/>
        </w:trPr>
        <w:tc>
          <w:tcPr>
            <w:tcW w:w="1140" w:type="dxa"/>
          </w:tcPr>
          <w:p>
            <w:pPr>
              <w:pStyle w:val="TableParagraph"/>
              <w:spacing w:before="3"/>
              <w:ind w:left="705"/>
              <w:rPr>
                <w:sz w:val="18"/>
              </w:rPr>
            </w:pPr>
            <w:r>
              <w:rPr>
                <w:color w:val="414141"/>
                <w:w w:val="110"/>
                <w:sz w:val="18"/>
              </w:rPr>
              <w:t>(5)</w:t>
            </w:r>
          </w:p>
        </w:tc>
        <w:tc>
          <w:tcPr>
            <w:tcW w:w="6333" w:type="dxa"/>
          </w:tcPr>
          <w:p>
            <w:pPr>
              <w:pStyle w:val="TableParagraph"/>
              <w:spacing w:line="198" w:lineRule="exact" w:before="13"/>
              <w:ind w:left="676"/>
              <w:rPr>
                <w:sz w:val="18"/>
              </w:rPr>
            </w:pPr>
            <w:r>
              <w:rPr>
                <w:color w:val="2D2D2D"/>
                <w:w w:val="110"/>
                <w:sz w:val="18"/>
              </w:rPr>
              <w:t>Decrease/(lncrease) </w:t>
            </w:r>
            <w:r>
              <w:rPr>
                <w:color w:val="414141"/>
                <w:w w:val="110"/>
                <w:sz w:val="18"/>
              </w:rPr>
              <w:t>in stock</w:t>
            </w:r>
          </w:p>
        </w:tc>
        <w:tc>
          <w:tcPr>
            <w:tcW w:w="1039" w:type="dxa"/>
          </w:tcPr>
          <w:p>
            <w:pPr>
              <w:pStyle w:val="TableParagraph"/>
              <w:spacing w:line="188" w:lineRule="exact" w:before="22"/>
              <w:ind w:left="643"/>
              <w:rPr>
                <w:sz w:val="18"/>
              </w:rPr>
            </w:pPr>
            <w:r>
              <w:rPr>
                <w:color w:val="414141"/>
                <w:w w:val="105"/>
                <w:sz w:val="18"/>
              </w:rPr>
              <w:t>13</w:t>
            </w:r>
          </w:p>
        </w:tc>
      </w:tr>
      <w:tr>
        <w:trPr>
          <w:trHeight w:val="226" w:hRule="atLeast"/>
        </w:trPr>
        <w:tc>
          <w:tcPr>
            <w:tcW w:w="1140" w:type="dxa"/>
          </w:tcPr>
          <w:p>
            <w:pPr>
              <w:pStyle w:val="TableParagraph"/>
              <w:spacing w:line="201" w:lineRule="exact"/>
              <w:ind w:right="165"/>
              <w:jc w:val="right"/>
              <w:rPr>
                <w:sz w:val="18"/>
              </w:rPr>
            </w:pPr>
            <w:r>
              <w:rPr>
                <w:color w:val="2D2D2D"/>
                <w:w w:val="105"/>
                <w:sz w:val="18"/>
              </w:rPr>
              <w:t>45</w:t>
            </w:r>
          </w:p>
        </w:tc>
        <w:tc>
          <w:tcPr>
            <w:tcW w:w="6333" w:type="dxa"/>
          </w:tcPr>
          <w:p>
            <w:pPr>
              <w:pStyle w:val="TableParagraph"/>
              <w:spacing w:line="203" w:lineRule="exact" w:before="3"/>
              <w:ind w:left="676"/>
              <w:rPr>
                <w:sz w:val="18"/>
              </w:rPr>
            </w:pPr>
            <w:r>
              <w:rPr>
                <w:color w:val="2D2D2D"/>
                <w:w w:val="105"/>
                <w:sz w:val="18"/>
              </w:rPr>
              <w:t>Decrease </w:t>
            </w:r>
            <w:r>
              <w:rPr>
                <w:color w:val="414141"/>
                <w:w w:val="105"/>
                <w:sz w:val="18"/>
              </w:rPr>
              <w:t>in debtors</w:t>
            </w:r>
          </w:p>
        </w:tc>
        <w:tc>
          <w:tcPr>
            <w:tcW w:w="1039" w:type="dxa"/>
          </w:tcPr>
          <w:p>
            <w:pPr>
              <w:pStyle w:val="TableParagraph"/>
              <w:spacing w:line="193" w:lineRule="exact" w:before="13"/>
              <w:ind w:left="593"/>
              <w:rPr>
                <w:sz w:val="18"/>
              </w:rPr>
            </w:pPr>
            <w:r>
              <w:rPr>
                <w:color w:val="414141"/>
                <w:w w:val="110"/>
                <w:sz w:val="18"/>
              </w:rPr>
              <w:t>207</w:t>
            </w:r>
          </w:p>
        </w:tc>
      </w:tr>
      <w:tr>
        <w:trPr>
          <w:trHeight w:val="226" w:hRule="atLeast"/>
        </w:trPr>
        <w:tc>
          <w:tcPr>
            <w:tcW w:w="1140" w:type="dxa"/>
          </w:tcPr>
          <w:p>
            <w:pPr>
              <w:pStyle w:val="TableParagraph"/>
              <w:spacing w:line="206" w:lineRule="exact"/>
              <w:ind w:left="551"/>
              <w:rPr>
                <w:sz w:val="18"/>
              </w:rPr>
            </w:pPr>
            <w:r>
              <w:rPr>
                <w:color w:val="414141"/>
                <w:w w:val="110"/>
                <w:sz w:val="18"/>
              </w:rPr>
              <w:t>(254)</w:t>
            </w:r>
          </w:p>
        </w:tc>
        <w:tc>
          <w:tcPr>
            <w:tcW w:w="6333" w:type="dxa"/>
          </w:tcPr>
          <w:p>
            <w:pPr>
              <w:pStyle w:val="TableParagraph"/>
              <w:spacing w:line="198" w:lineRule="exact" w:before="8"/>
              <w:ind w:left="676"/>
              <w:rPr>
                <w:sz w:val="18"/>
              </w:rPr>
            </w:pPr>
            <w:r>
              <w:rPr>
                <w:color w:val="414141"/>
                <w:w w:val="105"/>
                <w:sz w:val="18"/>
              </w:rPr>
              <w:t>Decrease in creditors</w:t>
            </w:r>
          </w:p>
        </w:tc>
        <w:tc>
          <w:tcPr>
            <w:tcW w:w="1039" w:type="dxa"/>
          </w:tcPr>
          <w:p>
            <w:pPr>
              <w:pStyle w:val="TableParagraph"/>
              <w:spacing w:line="198" w:lineRule="exact" w:before="8"/>
              <w:ind w:left="464"/>
              <w:rPr>
                <w:sz w:val="18"/>
              </w:rPr>
            </w:pPr>
            <w:r>
              <w:rPr>
                <w:color w:val="414141"/>
                <w:w w:val="110"/>
                <w:sz w:val="18"/>
              </w:rPr>
              <w:t>(465)</w:t>
            </w:r>
          </w:p>
        </w:tc>
      </w:tr>
      <w:tr>
        <w:trPr>
          <w:trHeight w:val="226" w:hRule="atLeast"/>
        </w:trPr>
        <w:tc>
          <w:tcPr>
            <w:tcW w:w="1140" w:type="dxa"/>
          </w:tcPr>
          <w:p>
            <w:pPr>
              <w:pStyle w:val="TableParagraph"/>
              <w:spacing w:line="203" w:lineRule="exact" w:before="3"/>
              <w:ind w:left="676"/>
              <w:rPr>
                <w:sz w:val="18"/>
              </w:rPr>
            </w:pPr>
            <w:r>
              <w:rPr>
                <w:color w:val="414141"/>
                <w:w w:val="110"/>
                <w:sz w:val="18"/>
              </w:rPr>
              <w:t>958</w:t>
            </w:r>
          </w:p>
        </w:tc>
        <w:tc>
          <w:tcPr>
            <w:tcW w:w="6333" w:type="dxa"/>
          </w:tcPr>
          <w:p>
            <w:pPr>
              <w:pStyle w:val="TableParagraph"/>
              <w:spacing w:line="203" w:lineRule="exact" w:before="3"/>
              <w:ind w:left="675"/>
              <w:rPr>
                <w:sz w:val="18"/>
              </w:rPr>
            </w:pPr>
            <w:r>
              <w:rPr>
                <w:color w:val="414141"/>
                <w:w w:val="105"/>
                <w:sz w:val="18"/>
              </w:rPr>
              <w:t>Increase/(Decrease) in sums held for Synods and congregations</w:t>
            </w:r>
          </w:p>
        </w:tc>
        <w:tc>
          <w:tcPr>
            <w:tcW w:w="1039" w:type="dxa"/>
          </w:tcPr>
          <w:p>
            <w:pPr>
              <w:pStyle w:val="TableParagraph"/>
              <w:spacing w:line="193" w:lineRule="exact" w:before="13"/>
              <w:ind w:left="319"/>
              <w:rPr>
                <w:sz w:val="18"/>
              </w:rPr>
            </w:pPr>
            <w:r>
              <w:rPr>
                <w:color w:val="414141"/>
                <w:w w:val="110"/>
                <w:sz w:val="18"/>
              </w:rPr>
              <w:t>(1</w:t>
            </w:r>
            <w:r>
              <w:rPr>
                <w:color w:val="606060"/>
                <w:w w:val="110"/>
                <w:sz w:val="18"/>
              </w:rPr>
              <w:t>,</w:t>
            </w:r>
            <w:r>
              <w:rPr>
                <w:color w:val="414141"/>
                <w:w w:val="110"/>
                <w:sz w:val="18"/>
              </w:rPr>
              <w:t>092)</w:t>
            </w:r>
          </w:p>
        </w:tc>
      </w:tr>
      <w:tr>
        <w:trPr>
          <w:trHeight w:val="226" w:hRule="atLeast"/>
        </w:trPr>
        <w:tc>
          <w:tcPr>
            <w:tcW w:w="1140" w:type="dxa"/>
          </w:tcPr>
          <w:p>
            <w:pPr>
              <w:pStyle w:val="TableParagraph"/>
              <w:spacing w:line="206" w:lineRule="exact"/>
              <w:ind w:left="406"/>
              <w:rPr>
                <w:sz w:val="18"/>
              </w:rPr>
            </w:pPr>
            <w:r>
              <w:rPr>
                <w:color w:val="2D2D2D"/>
                <w:w w:val="110"/>
                <w:sz w:val="18"/>
              </w:rPr>
              <w:t>(1,036)</w:t>
            </w:r>
          </w:p>
        </w:tc>
        <w:tc>
          <w:tcPr>
            <w:tcW w:w="6333" w:type="dxa"/>
          </w:tcPr>
          <w:p>
            <w:pPr>
              <w:pStyle w:val="TableParagraph"/>
              <w:spacing w:line="198" w:lineRule="exact" w:before="8"/>
              <w:ind w:left="677"/>
              <w:rPr>
                <w:sz w:val="18"/>
              </w:rPr>
            </w:pPr>
            <w:r>
              <w:rPr>
                <w:color w:val="2D2D2D"/>
                <w:w w:val="110"/>
                <w:sz w:val="18"/>
              </w:rPr>
              <w:t>Profit </w:t>
            </w:r>
            <w:r>
              <w:rPr>
                <w:color w:val="414141"/>
                <w:w w:val="110"/>
                <w:sz w:val="18"/>
              </w:rPr>
              <w:t>on sale of </w:t>
            </w:r>
            <w:r>
              <w:rPr>
                <w:color w:val="2D2D2D"/>
                <w:w w:val="110"/>
                <w:sz w:val="18"/>
              </w:rPr>
              <w:t>properties</w:t>
            </w:r>
          </w:p>
        </w:tc>
        <w:tc>
          <w:tcPr>
            <w:tcW w:w="1039" w:type="dxa"/>
          </w:tcPr>
          <w:p>
            <w:pPr>
              <w:pStyle w:val="TableParagraph"/>
              <w:spacing w:line="198" w:lineRule="exact" w:before="8"/>
              <w:ind w:left="319"/>
              <w:rPr>
                <w:sz w:val="18"/>
              </w:rPr>
            </w:pPr>
            <w:r>
              <w:rPr>
                <w:color w:val="414141"/>
                <w:w w:val="110"/>
                <w:sz w:val="18"/>
              </w:rPr>
              <w:t>(2,604)</w:t>
            </w:r>
          </w:p>
        </w:tc>
      </w:tr>
      <w:tr>
        <w:trPr>
          <w:trHeight w:val="226" w:hRule="atLeast"/>
        </w:trPr>
        <w:tc>
          <w:tcPr>
            <w:tcW w:w="1140" w:type="dxa"/>
          </w:tcPr>
          <w:p>
            <w:pPr>
              <w:pStyle w:val="TableParagraph"/>
              <w:spacing w:line="203" w:lineRule="exact" w:before="3"/>
              <w:ind w:left="633"/>
              <w:rPr>
                <w:sz w:val="18"/>
              </w:rPr>
            </w:pPr>
            <w:r>
              <w:rPr>
                <w:color w:val="414141"/>
                <w:w w:val="110"/>
                <w:sz w:val="18"/>
              </w:rPr>
              <w:t>145</w:t>
            </w:r>
          </w:p>
        </w:tc>
        <w:tc>
          <w:tcPr>
            <w:tcW w:w="6333" w:type="dxa"/>
          </w:tcPr>
          <w:p>
            <w:pPr>
              <w:pStyle w:val="TableParagraph"/>
              <w:spacing w:line="203" w:lineRule="exact" w:before="3"/>
              <w:ind w:left="676"/>
              <w:rPr>
                <w:sz w:val="18"/>
              </w:rPr>
            </w:pPr>
            <w:r>
              <w:rPr>
                <w:color w:val="2D2D2D"/>
                <w:w w:val="105"/>
                <w:sz w:val="18"/>
              </w:rPr>
              <w:t>Depreciation </w:t>
            </w:r>
            <w:r>
              <w:rPr>
                <w:color w:val="414141"/>
                <w:w w:val="105"/>
                <w:sz w:val="18"/>
              </w:rPr>
              <w:t>and </w:t>
            </w:r>
            <w:r>
              <w:rPr>
                <w:color w:val="2D2D2D"/>
                <w:w w:val="105"/>
                <w:sz w:val="18"/>
              </w:rPr>
              <w:t>impairment</w:t>
            </w:r>
          </w:p>
        </w:tc>
        <w:tc>
          <w:tcPr>
            <w:tcW w:w="1039" w:type="dxa"/>
          </w:tcPr>
          <w:p>
            <w:pPr>
              <w:pStyle w:val="TableParagraph"/>
              <w:spacing w:line="193" w:lineRule="exact" w:before="13"/>
              <w:ind w:left="547"/>
              <w:rPr>
                <w:sz w:val="18"/>
              </w:rPr>
            </w:pPr>
            <w:r>
              <w:rPr>
                <w:color w:val="414141"/>
                <w:w w:val="110"/>
                <w:sz w:val="18"/>
              </w:rPr>
              <w:t>136</w:t>
            </w:r>
          </w:p>
        </w:tc>
      </w:tr>
      <w:tr>
        <w:trPr>
          <w:trHeight w:val="226" w:hRule="atLeast"/>
        </w:trPr>
        <w:tc>
          <w:tcPr>
            <w:tcW w:w="1140" w:type="dxa"/>
          </w:tcPr>
          <w:p>
            <w:pPr>
              <w:pStyle w:val="TableParagraph"/>
              <w:spacing w:line="206" w:lineRule="exact"/>
              <w:ind w:left="637"/>
              <w:rPr>
                <w:sz w:val="18"/>
              </w:rPr>
            </w:pPr>
            <w:r>
              <w:rPr>
                <w:color w:val="414141"/>
                <w:w w:val="110"/>
                <w:sz w:val="18"/>
              </w:rPr>
              <w:t>(19)</w:t>
            </w:r>
          </w:p>
        </w:tc>
        <w:tc>
          <w:tcPr>
            <w:tcW w:w="6333" w:type="dxa"/>
          </w:tcPr>
          <w:p>
            <w:pPr>
              <w:pStyle w:val="TableParagraph"/>
              <w:spacing w:line="198" w:lineRule="exact" w:before="8"/>
              <w:ind w:left="675"/>
              <w:rPr>
                <w:sz w:val="18"/>
              </w:rPr>
            </w:pPr>
            <w:r>
              <w:rPr>
                <w:color w:val="2D2D2D"/>
                <w:w w:val="110"/>
                <w:sz w:val="18"/>
              </w:rPr>
              <w:t>Interest </w:t>
            </w:r>
            <w:r>
              <w:rPr>
                <w:color w:val="414141"/>
                <w:w w:val="110"/>
                <w:sz w:val="18"/>
              </w:rPr>
              <w:t>added to loans</w:t>
            </w:r>
          </w:p>
        </w:tc>
        <w:tc>
          <w:tcPr>
            <w:tcW w:w="1039" w:type="dxa"/>
          </w:tcPr>
          <w:p>
            <w:pPr>
              <w:pStyle w:val="TableParagraph"/>
              <w:spacing w:line="198" w:lineRule="exact" w:before="8"/>
              <w:ind w:left="560"/>
              <w:rPr>
                <w:sz w:val="18"/>
              </w:rPr>
            </w:pPr>
            <w:r>
              <w:rPr>
                <w:color w:val="2D2D2D"/>
                <w:w w:val="110"/>
                <w:sz w:val="18"/>
              </w:rPr>
              <w:t>(18)</w:t>
            </w:r>
          </w:p>
        </w:tc>
      </w:tr>
      <w:tr>
        <w:trPr>
          <w:trHeight w:val="226" w:hRule="atLeast"/>
        </w:trPr>
        <w:tc>
          <w:tcPr>
            <w:tcW w:w="1140" w:type="dxa"/>
          </w:tcPr>
          <w:p>
            <w:pPr>
              <w:pStyle w:val="TableParagraph"/>
              <w:spacing w:line="203" w:lineRule="exact" w:before="3"/>
              <w:ind w:left="734"/>
              <w:rPr>
                <w:sz w:val="18"/>
              </w:rPr>
            </w:pPr>
            <w:r>
              <w:rPr>
                <w:color w:val="414141"/>
                <w:w w:val="110"/>
                <w:sz w:val="18"/>
              </w:rPr>
              <w:t>(7)</w:t>
            </w:r>
          </w:p>
        </w:tc>
        <w:tc>
          <w:tcPr>
            <w:tcW w:w="6333" w:type="dxa"/>
          </w:tcPr>
          <w:p>
            <w:pPr>
              <w:pStyle w:val="TableParagraph"/>
              <w:spacing w:line="193" w:lineRule="exact" w:before="13"/>
              <w:ind w:left="675"/>
              <w:rPr>
                <w:sz w:val="18"/>
              </w:rPr>
            </w:pPr>
            <w:r>
              <w:rPr>
                <w:color w:val="414141"/>
                <w:w w:val="105"/>
                <w:sz w:val="18"/>
              </w:rPr>
              <w:t>Interest added to short term investment</w:t>
            </w:r>
          </w:p>
        </w:tc>
        <w:tc>
          <w:tcPr>
            <w:tcW w:w="1039" w:type="dxa"/>
          </w:tcPr>
          <w:p>
            <w:pPr>
              <w:pStyle w:val="TableParagraph"/>
              <w:rPr>
                <w:sz w:val="16"/>
              </w:rPr>
            </w:pPr>
          </w:p>
        </w:tc>
      </w:tr>
      <w:tr>
        <w:trPr>
          <w:trHeight w:val="226" w:hRule="atLeast"/>
        </w:trPr>
        <w:tc>
          <w:tcPr>
            <w:tcW w:w="1140" w:type="dxa"/>
          </w:tcPr>
          <w:p>
            <w:pPr>
              <w:pStyle w:val="TableParagraph"/>
              <w:spacing w:line="206" w:lineRule="exact"/>
              <w:ind w:left="551"/>
              <w:rPr>
                <w:sz w:val="18"/>
              </w:rPr>
            </w:pPr>
            <w:r>
              <w:rPr>
                <w:color w:val="414141"/>
                <w:w w:val="110"/>
                <w:sz w:val="18"/>
              </w:rPr>
              <w:t>(608)</w:t>
            </w:r>
          </w:p>
        </w:tc>
        <w:tc>
          <w:tcPr>
            <w:tcW w:w="6333" w:type="dxa"/>
          </w:tcPr>
          <w:p>
            <w:pPr>
              <w:pStyle w:val="TableParagraph"/>
              <w:spacing w:line="198" w:lineRule="exact" w:before="8"/>
              <w:ind w:left="673"/>
              <w:rPr>
                <w:sz w:val="18"/>
              </w:rPr>
            </w:pPr>
            <w:r>
              <w:rPr>
                <w:color w:val="2D2D2D"/>
                <w:w w:val="105"/>
                <w:sz w:val="18"/>
              </w:rPr>
              <w:t>Other </w:t>
            </w:r>
            <w:r>
              <w:rPr>
                <w:color w:val="414141"/>
                <w:w w:val="105"/>
                <w:sz w:val="18"/>
              </w:rPr>
              <w:t>investment income</w:t>
            </w:r>
          </w:p>
        </w:tc>
        <w:tc>
          <w:tcPr>
            <w:tcW w:w="1039" w:type="dxa"/>
          </w:tcPr>
          <w:p>
            <w:pPr>
              <w:pStyle w:val="TableParagraph"/>
              <w:spacing w:line="198" w:lineRule="exact" w:before="8"/>
              <w:ind w:left="454"/>
              <w:rPr>
                <w:sz w:val="18"/>
              </w:rPr>
            </w:pPr>
            <w:r>
              <w:rPr>
                <w:color w:val="414141"/>
                <w:w w:val="110"/>
                <w:sz w:val="18"/>
              </w:rPr>
              <w:t>(762)</w:t>
            </w:r>
          </w:p>
        </w:tc>
      </w:tr>
      <w:tr>
        <w:trPr>
          <w:trHeight w:val="226" w:hRule="atLeast"/>
        </w:trPr>
        <w:tc>
          <w:tcPr>
            <w:tcW w:w="1140" w:type="dxa"/>
          </w:tcPr>
          <w:p>
            <w:pPr>
              <w:pStyle w:val="TableParagraph"/>
              <w:spacing w:line="203" w:lineRule="exact" w:before="3"/>
              <w:ind w:left="551"/>
              <w:rPr>
                <w:sz w:val="18"/>
              </w:rPr>
            </w:pPr>
            <w:r>
              <w:rPr>
                <w:color w:val="414141"/>
                <w:w w:val="110"/>
                <w:sz w:val="18"/>
              </w:rPr>
              <w:t>(100)</w:t>
            </w:r>
          </w:p>
        </w:tc>
        <w:tc>
          <w:tcPr>
            <w:tcW w:w="6333" w:type="dxa"/>
          </w:tcPr>
          <w:p>
            <w:pPr>
              <w:pStyle w:val="TableParagraph"/>
              <w:spacing w:line="193" w:lineRule="exact" w:before="13"/>
              <w:ind w:left="667"/>
              <w:rPr>
                <w:sz w:val="18"/>
              </w:rPr>
            </w:pPr>
            <w:r>
              <w:rPr>
                <w:color w:val="414141"/>
                <w:w w:val="105"/>
                <w:sz w:val="18"/>
              </w:rPr>
              <w:t>Donations of property received</w:t>
            </w:r>
          </w:p>
        </w:tc>
        <w:tc>
          <w:tcPr>
            <w:tcW w:w="1039" w:type="dxa"/>
          </w:tcPr>
          <w:p>
            <w:pPr>
              <w:pStyle w:val="TableParagraph"/>
              <w:rPr>
                <w:sz w:val="16"/>
              </w:rPr>
            </w:pPr>
          </w:p>
        </w:tc>
      </w:tr>
      <w:tr>
        <w:trPr>
          <w:trHeight w:val="226" w:hRule="atLeast"/>
        </w:trPr>
        <w:tc>
          <w:tcPr>
            <w:tcW w:w="1140" w:type="dxa"/>
          </w:tcPr>
          <w:p>
            <w:pPr>
              <w:pStyle w:val="TableParagraph"/>
              <w:spacing w:line="206" w:lineRule="exact"/>
              <w:ind w:left="551"/>
              <w:rPr>
                <w:sz w:val="18"/>
              </w:rPr>
            </w:pPr>
            <w:r>
              <w:rPr>
                <w:color w:val="414141"/>
                <w:w w:val="110"/>
                <w:sz w:val="18"/>
              </w:rPr>
              <w:t>(859)</w:t>
            </w:r>
          </w:p>
        </w:tc>
        <w:tc>
          <w:tcPr>
            <w:tcW w:w="6333" w:type="dxa"/>
          </w:tcPr>
          <w:p>
            <w:pPr>
              <w:pStyle w:val="TableParagraph"/>
              <w:spacing w:line="198" w:lineRule="exact" w:before="8"/>
              <w:ind w:left="673"/>
              <w:rPr>
                <w:sz w:val="18"/>
              </w:rPr>
            </w:pPr>
            <w:r>
              <w:rPr>
                <w:color w:val="414141"/>
                <w:w w:val="105"/>
                <w:sz w:val="18"/>
              </w:rPr>
              <w:t>Cash endowment </w:t>
            </w:r>
            <w:r>
              <w:rPr>
                <w:color w:val="2D2D2D"/>
                <w:w w:val="105"/>
                <w:sz w:val="18"/>
              </w:rPr>
              <w:t>received</w:t>
            </w:r>
          </w:p>
        </w:tc>
        <w:tc>
          <w:tcPr>
            <w:tcW w:w="1039" w:type="dxa"/>
          </w:tcPr>
          <w:p>
            <w:pPr>
              <w:pStyle w:val="TableParagraph"/>
              <w:rPr>
                <w:sz w:val="16"/>
              </w:rPr>
            </w:pPr>
          </w:p>
        </w:tc>
      </w:tr>
      <w:tr>
        <w:trPr>
          <w:trHeight w:val="230" w:hRule="atLeast"/>
        </w:trPr>
        <w:tc>
          <w:tcPr>
            <w:tcW w:w="1140" w:type="dxa"/>
          </w:tcPr>
          <w:p>
            <w:pPr>
              <w:pStyle w:val="TableParagraph"/>
              <w:tabs>
                <w:tab w:pos="769" w:val="left" w:leader="none"/>
              </w:tabs>
              <w:spacing w:before="3"/>
              <w:rPr>
                <w:sz w:val="18"/>
              </w:rPr>
            </w:pPr>
            <w:r>
              <w:rPr>
                <w:color w:val="2D2D2D"/>
                <w:w w:val="100"/>
                <w:sz w:val="18"/>
                <w:u w:val="single" w:color="000000"/>
              </w:rPr>
              <w:t> </w:t>
            </w:r>
            <w:r>
              <w:rPr>
                <w:color w:val="2D2D2D"/>
                <w:sz w:val="18"/>
                <w:u w:val="single" w:color="000000"/>
              </w:rPr>
              <w:tab/>
            </w:r>
            <w:r>
              <w:rPr>
                <w:color w:val="2D2D2D"/>
                <w:w w:val="110"/>
                <w:sz w:val="18"/>
                <w:u w:val="single" w:color="000000"/>
              </w:rPr>
              <w:t>87</w:t>
            </w:r>
            <w:r>
              <w:rPr>
                <w:color w:val="2D2D2D"/>
                <w:spacing w:val="-5"/>
                <w:sz w:val="18"/>
                <w:u w:val="single" w:color="000000"/>
              </w:rPr>
              <w:t> </w:t>
            </w:r>
          </w:p>
        </w:tc>
        <w:tc>
          <w:tcPr>
            <w:tcW w:w="6333" w:type="dxa"/>
          </w:tcPr>
          <w:p>
            <w:pPr>
              <w:pStyle w:val="TableParagraph"/>
              <w:spacing w:line="198" w:lineRule="exact" w:before="13"/>
              <w:ind w:left="667"/>
              <w:rPr>
                <w:sz w:val="18"/>
              </w:rPr>
            </w:pPr>
            <w:r>
              <w:rPr>
                <w:color w:val="414141"/>
                <w:w w:val="105"/>
                <w:sz w:val="18"/>
              </w:rPr>
              <w:t>Difference between pension contributions and current service cost</w:t>
            </w:r>
          </w:p>
        </w:tc>
        <w:tc>
          <w:tcPr>
            <w:tcW w:w="1039" w:type="dxa"/>
          </w:tcPr>
          <w:p>
            <w:pPr>
              <w:pStyle w:val="TableParagraph"/>
              <w:tabs>
                <w:tab w:pos="580" w:val="left" w:leader="none"/>
              </w:tabs>
              <w:spacing w:line="198" w:lineRule="exact" w:before="13"/>
              <w:ind w:left="-1" w:right="-15"/>
              <w:rPr>
                <w:sz w:val="18"/>
              </w:rPr>
            </w:pPr>
            <w:r>
              <w:rPr>
                <w:color w:val="414141"/>
                <w:w w:val="100"/>
                <w:sz w:val="18"/>
                <w:u w:val="single" w:color="000000"/>
              </w:rPr>
              <w:t> </w:t>
            </w:r>
            <w:r>
              <w:rPr>
                <w:color w:val="414141"/>
                <w:sz w:val="18"/>
                <w:u w:val="single" w:color="000000"/>
              </w:rPr>
              <w:tab/>
            </w:r>
            <w:r>
              <w:rPr>
                <w:color w:val="414141"/>
                <w:w w:val="110"/>
                <w:sz w:val="18"/>
                <w:u w:val="single" w:color="000000"/>
              </w:rPr>
              <w:t>770</w:t>
            </w:r>
            <w:r>
              <w:rPr>
                <w:color w:val="414141"/>
                <w:spacing w:val="-15"/>
                <w:sz w:val="18"/>
                <w:u w:val="single" w:color="000000"/>
              </w:rPr>
              <w:t> </w:t>
            </w:r>
          </w:p>
        </w:tc>
      </w:tr>
      <w:tr>
        <w:trPr>
          <w:trHeight w:val="234" w:hRule="atLeast"/>
        </w:trPr>
        <w:tc>
          <w:tcPr>
            <w:tcW w:w="1140" w:type="dxa"/>
          </w:tcPr>
          <w:p>
            <w:pPr>
              <w:pStyle w:val="TableParagraph"/>
              <w:spacing w:before="3"/>
              <w:ind w:left="671"/>
              <w:rPr>
                <w:sz w:val="18"/>
              </w:rPr>
            </w:pPr>
            <w:r>
              <w:rPr>
                <w:color w:val="2D2D2D"/>
                <w:w w:val="110"/>
                <w:sz w:val="18"/>
              </w:rPr>
              <w:t>482</w:t>
            </w:r>
          </w:p>
        </w:tc>
        <w:tc>
          <w:tcPr>
            <w:tcW w:w="6333" w:type="dxa"/>
          </w:tcPr>
          <w:p>
            <w:pPr>
              <w:pStyle w:val="TableParagraph"/>
              <w:spacing w:line="191" w:lineRule="exact" w:before="22"/>
              <w:ind w:left="677"/>
              <w:rPr>
                <w:b/>
                <w:sz w:val="18"/>
              </w:rPr>
            </w:pPr>
            <w:r>
              <w:rPr>
                <w:b/>
                <w:color w:val="2D2D2D"/>
                <w:w w:val="110"/>
                <w:sz w:val="18"/>
              </w:rPr>
              <w:t>Net cash </w:t>
            </w:r>
            <w:r>
              <w:rPr>
                <w:b/>
                <w:color w:val="161616"/>
                <w:w w:val="110"/>
                <w:sz w:val="18"/>
              </w:rPr>
              <w:t>inflow</w:t>
            </w:r>
            <w:r>
              <w:rPr>
                <w:b/>
                <w:color w:val="414141"/>
                <w:w w:val="110"/>
                <w:sz w:val="18"/>
              </w:rPr>
              <w:t>/(</w:t>
            </w:r>
            <w:r>
              <w:rPr>
                <w:b/>
                <w:color w:val="161616"/>
                <w:w w:val="110"/>
                <w:sz w:val="18"/>
              </w:rPr>
              <w:t>outtlow</w:t>
            </w:r>
            <w:r>
              <w:rPr>
                <w:b/>
                <w:color w:val="414141"/>
                <w:w w:val="110"/>
                <w:sz w:val="18"/>
              </w:rPr>
              <w:t>) </w:t>
            </w:r>
            <w:r>
              <w:rPr>
                <w:b/>
                <w:color w:val="161616"/>
                <w:w w:val="110"/>
                <w:sz w:val="18"/>
              </w:rPr>
              <w:t>from </w:t>
            </w:r>
            <w:r>
              <w:rPr>
                <w:b/>
                <w:color w:val="2D2D2D"/>
                <w:w w:val="110"/>
                <w:sz w:val="18"/>
              </w:rPr>
              <w:t>general activities</w:t>
            </w:r>
          </w:p>
        </w:tc>
        <w:tc>
          <w:tcPr>
            <w:tcW w:w="1039" w:type="dxa"/>
          </w:tcPr>
          <w:p>
            <w:pPr>
              <w:pStyle w:val="TableParagraph"/>
              <w:spacing w:line="201" w:lineRule="exact" w:before="13"/>
              <w:ind w:left="310"/>
              <w:rPr>
                <w:sz w:val="18"/>
              </w:rPr>
            </w:pPr>
            <w:r>
              <w:rPr>
                <w:color w:val="414141"/>
                <w:w w:val="110"/>
                <w:sz w:val="18"/>
              </w:rPr>
              <w:t>(1,732)</w:t>
            </w:r>
          </w:p>
        </w:tc>
      </w:tr>
      <w:tr>
        <w:trPr>
          <w:trHeight w:val="249" w:hRule="atLeast"/>
        </w:trPr>
        <w:tc>
          <w:tcPr>
            <w:tcW w:w="1140" w:type="dxa"/>
            <w:tcBorders>
              <w:bottom w:val="single" w:sz="4" w:space="0" w:color="000000"/>
            </w:tcBorders>
          </w:tcPr>
          <w:p>
            <w:pPr>
              <w:pStyle w:val="TableParagraph"/>
              <w:spacing w:line="20" w:lineRule="exact"/>
              <w:ind w:left="-10" w:right="-44"/>
              <w:rPr>
                <w:sz w:val="2"/>
              </w:rPr>
            </w:pPr>
            <w:r>
              <w:rPr>
                <w:sz w:val="2"/>
              </w:rPr>
              <w:pict>
                <v:group style="width:55.4pt;height:1pt;mso-position-horizontal-relative:char;mso-position-vertical-relative:line" coordorigin="0,0" coordsize="1108,20">
                  <v:line style="position:absolute" from="0,10" to="1107,10" stroked="true" strokeweight=".962229pt" strokecolor="#000000">
                    <v:stroke dashstyle="solid"/>
                  </v:line>
                </v:group>
              </w:pict>
            </w:r>
            <w:r>
              <w:rPr>
                <w:sz w:val="2"/>
              </w:rPr>
            </w:r>
          </w:p>
        </w:tc>
        <w:tc>
          <w:tcPr>
            <w:tcW w:w="6333" w:type="dxa"/>
            <w:tcBorders>
              <w:bottom w:val="single" w:sz="4" w:space="0" w:color="000000"/>
            </w:tcBorders>
          </w:tcPr>
          <w:p>
            <w:pPr>
              <w:pStyle w:val="TableParagraph"/>
              <w:rPr>
                <w:sz w:val="18"/>
              </w:rPr>
            </w:pPr>
          </w:p>
        </w:tc>
        <w:tc>
          <w:tcPr>
            <w:tcW w:w="1039" w:type="dxa"/>
            <w:tcBorders>
              <w:bottom w:val="single" w:sz="4" w:space="0" w:color="000000"/>
            </w:tcBorders>
          </w:tcPr>
          <w:p>
            <w:pPr>
              <w:pStyle w:val="TableParagraph"/>
              <w:spacing w:line="30" w:lineRule="exact"/>
              <w:ind w:left="-16" w:right="-44"/>
              <w:rPr>
                <w:sz w:val="3"/>
              </w:rPr>
            </w:pPr>
            <w:r>
              <w:rPr>
                <w:position w:val="0"/>
                <w:sz w:val="3"/>
              </w:rPr>
              <w:pict>
                <v:group style="width:51.55pt;height:1.45pt;mso-position-horizontal-relative:char;mso-position-vertical-relative:line" coordorigin="0,0" coordsize="1031,29">
                  <v:line style="position:absolute" from="0,14" to="1030,14" stroked="true" strokeweight="1.443344pt" strokecolor="#000000">
                    <v:stroke dashstyle="solid"/>
                  </v:line>
                </v:group>
              </w:pict>
            </w:r>
            <w:r>
              <w:rPr>
                <w:position w:val="0"/>
                <w:sz w:val="3"/>
              </w:rPr>
            </w:r>
          </w:p>
        </w:tc>
      </w:tr>
      <w:tr>
        <w:trPr>
          <w:trHeight w:val="352" w:hRule="atLeast"/>
        </w:trPr>
        <w:tc>
          <w:tcPr>
            <w:tcW w:w="1140" w:type="dxa"/>
            <w:tcBorders>
              <w:top w:val="single" w:sz="4" w:space="0" w:color="000000"/>
            </w:tcBorders>
          </w:tcPr>
          <w:p>
            <w:pPr>
              <w:pStyle w:val="TableParagraph"/>
              <w:rPr>
                <w:sz w:val="18"/>
              </w:rPr>
            </w:pPr>
          </w:p>
        </w:tc>
        <w:tc>
          <w:tcPr>
            <w:tcW w:w="6333" w:type="dxa"/>
            <w:tcBorders>
              <w:top w:val="single" w:sz="4" w:space="0" w:color="000000"/>
            </w:tcBorders>
          </w:tcPr>
          <w:p>
            <w:pPr>
              <w:pStyle w:val="TableParagraph"/>
              <w:spacing w:before="29"/>
              <w:ind w:left="722" w:right="458"/>
              <w:jc w:val="center"/>
              <w:rPr>
                <w:b/>
                <w:sz w:val="18"/>
              </w:rPr>
            </w:pPr>
            <w:r>
              <w:rPr>
                <w:b/>
                <w:color w:val="2D2D2D"/>
                <w:w w:val="105"/>
                <w:sz w:val="18"/>
              </w:rPr>
              <w:t>CASH FLOW STATEMENT</w:t>
            </w:r>
          </w:p>
        </w:tc>
        <w:tc>
          <w:tcPr>
            <w:tcW w:w="1039" w:type="dxa"/>
            <w:tcBorders>
              <w:top w:val="single" w:sz="4" w:space="0" w:color="000000"/>
            </w:tcBorders>
          </w:tcPr>
          <w:p>
            <w:pPr>
              <w:pStyle w:val="TableParagraph"/>
              <w:rPr>
                <w:sz w:val="18"/>
              </w:rPr>
            </w:pPr>
          </w:p>
        </w:tc>
      </w:tr>
      <w:tr>
        <w:trPr>
          <w:trHeight w:val="326" w:hRule="atLeast"/>
        </w:trPr>
        <w:tc>
          <w:tcPr>
            <w:tcW w:w="1140" w:type="dxa"/>
          </w:tcPr>
          <w:p>
            <w:pPr>
              <w:pStyle w:val="TableParagraph"/>
              <w:spacing w:line="197" w:lineRule="exact" w:before="109"/>
              <w:ind w:left="671"/>
              <w:rPr>
                <w:sz w:val="18"/>
              </w:rPr>
            </w:pPr>
            <w:r>
              <w:rPr>
                <w:color w:val="2D2D2D"/>
                <w:w w:val="110"/>
                <w:sz w:val="18"/>
              </w:rPr>
              <w:t>482</w:t>
            </w:r>
          </w:p>
        </w:tc>
        <w:tc>
          <w:tcPr>
            <w:tcW w:w="6333" w:type="dxa"/>
          </w:tcPr>
          <w:p>
            <w:pPr>
              <w:pStyle w:val="TableParagraph"/>
              <w:spacing w:line="187" w:lineRule="exact" w:before="119"/>
              <w:ind w:left="677"/>
              <w:rPr>
                <w:b/>
                <w:sz w:val="18"/>
              </w:rPr>
            </w:pPr>
            <w:r>
              <w:rPr>
                <w:b/>
                <w:color w:val="2D2D2D"/>
                <w:w w:val="105"/>
                <w:sz w:val="18"/>
              </w:rPr>
              <w:t>Net cash </w:t>
            </w:r>
            <w:r>
              <w:rPr>
                <w:b/>
                <w:color w:val="161616"/>
                <w:w w:val="105"/>
                <w:sz w:val="18"/>
              </w:rPr>
              <w:t>inflow</w:t>
            </w:r>
            <w:r>
              <w:rPr>
                <w:b/>
                <w:color w:val="414141"/>
                <w:w w:val="105"/>
                <w:sz w:val="18"/>
              </w:rPr>
              <w:t>/(</w:t>
            </w:r>
            <w:r>
              <w:rPr>
                <w:b/>
                <w:color w:val="161616"/>
                <w:w w:val="105"/>
                <w:sz w:val="18"/>
              </w:rPr>
              <w:t>outtlow) </w:t>
            </w:r>
            <w:r>
              <w:rPr>
                <w:b/>
                <w:color w:val="2D2D2D"/>
                <w:w w:val="105"/>
                <w:sz w:val="18"/>
              </w:rPr>
              <w:t>from general activities (above)</w:t>
            </w:r>
          </w:p>
        </w:tc>
        <w:tc>
          <w:tcPr>
            <w:tcW w:w="1039" w:type="dxa"/>
          </w:tcPr>
          <w:p>
            <w:pPr>
              <w:pStyle w:val="TableParagraph"/>
              <w:spacing w:line="187" w:lineRule="exact" w:before="119"/>
              <w:ind w:left="310"/>
              <w:rPr>
                <w:sz w:val="18"/>
              </w:rPr>
            </w:pPr>
            <w:r>
              <w:rPr>
                <w:color w:val="414141"/>
                <w:w w:val="110"/>
                <w:sz w:val="18"/>
              </w:rPr>
              <w:t>(1,732)</w:t>
            </w:r>
          </w:p>
        </w:tc>
      </w:tr>
      <w:tr>
        <w:trPr>
          <w:trHeight w:val="452" w:hRule="atLeast"/>
        </w:trPr>
        <w:tc>
          <w:tcPr>
            <w:tcW w:w="1140" w:type="dxa"/>
          </w:tcPr>
          <w:p>
            <w:pPr>
              <w:pStyle w:val="TableParagraph"/>
              <w:rPr>
                <w:sz w:val="18"/>
              </w:rPr>
            </w:pPr>
          </w:p>
        </w:tc>
        <w:tc>
          <w:tcPr>
            <w:tcW w:w="6333" w:type="dxa"/>
          </w:tcPr>
          <w:p>
            <w:pPr>
              <w:pStyle w:val="TableParagraph"/>
              <w:spacing w:before="3"/>
              <w:rPr>
                <w:sz w:val="21"/>
              </w:rPr>
            </w:pPr>
          </w:p>
          <w:p>
            <w:pPr>
              <w:pStyle w:val="TableParagraph"/>
              <w:spacing w:line="187" w:lineRule="exact"/>
              <w:ind w:left="676"/>
              <w:rPr>
                <w:b/>
                <w:sz w:val="18"/>
              </w:rPr>
            </w:pPr>
            <w:r>
              <w:rPr>
                <w:b/>
                <w:color w:val="161616"/>
                <w:w w:val="105"/>
                <w:sz w:val="18"/>
              </w:rPr>
              <w:t>Returns </w:t>
            </w:r>
            <w:r>
              <w:rPr>
                <w:b/>
                <w:color w:val="2D2D2D"/>
                <w:w w:val="105"/>
                <w:sz w:val="18"/>
              </w:rPr>
              <w:t>on </w:t>
            </w:r>
            <w:r>
              <w:rPr>
                <w:b/>
                <w:color w:val="161616"/>
                <w:w w:val="105"/>
                <w:sz w:val="18"/>
              </w:rPr>
              <w:t>inve</w:t>
            </w:r>
            <w:r>
              <w:rPr>
                <w:b/>
                <w:color w:val="414141"/>
                <w:w w:val="105"/>
                <w:sz w:val="18"/>
              </w:rPr>
              <w:t>st</w:t>
            </w:r>
            <w:r>
              <w:rPr>
                <w:b/>
                <w:color w:val="161616"/>
                <w:w w:val="105"/>
                <w:sz w:val="18"/>
              </w:rPr>
              <w:t>ment</w:t>
            </w:r>
            <w:r>
              <w:rPr>
                <w:b/>
                <w:color w:val="414141"/>
                <w:w w:val="105"/>
                <w:sz w:val="18"/>
              </w:rPr>
              <w:t>s </w:t>
            </w:r>
            <w:r>
              <w:rPr>
                <w:b/>
                <w:color w:val="2D2D2D"/>
                <w:w w:val="105"/>
                <w:sz w:val="18"/>
              </w:rPr>
              <w:t>and servicing of finance</w:t>
            </w:r>
          </w:p>
        </w:tc>
        <w:tc>
          <w:tcPr>
            <w:tcW w:w="1039" w:type="dxa"/>
          </w:tcPr>
          <w:p>
            <w:pPr>
              <w:pStyle w:val="TableParagraph"/>
              <w:rPr>
                <w:sz w:val="18"/>
              </w:rPr>
            </w:pPr>
          </w:p>
        </w:tc>
      </w:tr>
    </w:tbl>
    <w:p>
      <w:pPr>
        <w:pStyle w:val="BodyText"/>
        <w:spacing w:before="8"/>
        <w:rPr>
          <w:rFonts w:ascii="Times New Roman"/>
          <w:sz w:val="2"/>
        </w:rPr>
      </w:pPr>
    </w:p>
    <w:tbl>
      <w:tblPr>
        <w:tblW w:w="0" w:type="auto"/>
        <w:jc w:val="left"/>
        <w:tblInd w:w="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7"/>
        <w:gridCol w:w="6294"/>
        <w:gridCol w:w="1033"/>
      </w:tblGrid>
      <w:tr>
        <w:trPr>
          <w:trHeight w:val="677" w:hRule="atLeast"/>
        </w:trPr>
        <w:tc>
          <w:tcPr>
            <w:tcW w:w="1157" w:type="dxa"/>
          </w:tcPr>
          <w:p>
            <w:pPr>
              <w:pStyle w:val="TableParagraph"/>
              <w:rPr>
                <w:sz w:val="18"/>
              </w:rPr>
            </w:pPr>
          </w:p>
        </w:tc>
        <w:tc>
          <w:tcPr>
            <w:tcW w:w="6294" w:type="dxa"/>
          </w:tcPr>
          <w:p>
            <w:pPr>
              <w:pStyle w:val="TableParagraph"/>
              <w:spacing w:line="268" w:lineRule="auto"/>
              <w:ind w:left="642" w:right="3141" w:firstLine="11"/>
              <w:rPr>
                <w:sz w:val="18"/>
              </w:rPr>
            </w:pPr>
            <w:r>
              <w:rPr>
                <w:color w:val="2D2D2D"/>
                <w:w w:val="110"/>
                <w:sz w:val="18"/>
              </w:rPr>
              <w:t>Interest</w:t>
            </w:r>
            <w:r>
              <w:rPr>
                <w:color w:val="2D2D2D"/>
                <w:spacing w:val="-37"/>
                <w:w w:val="110"/>
                <w:sz w:val="18"/>
              </w:rPr>
              <w:t> </w:t>
            </w:r>
            <w:r>
              <w:rPr>
                <w:color w:val="414141"/>
                <w:w w:val="110"/>
                <w:sz w:val="18"/>
              </w:rPr>
              <w:t>on</w:t>
            </w:r>
            <w:r>
              <w:rPr>
                <w:color w:val="414141"/>
                <w:spacing w:val="-32"/>
                <w:w w:val="110"/>
                <w:sz w:val="18"/>
              </w:rPr>
              <w:t> </w:t>
            </w:r>
            <w:r>
              <w:rPr>
                <w:color w:val="414141"/>
                <w:w w:val="110"/>
                <w:sz w:val="18"/>
              </w:rPr>
              <w:t>short</w:t>
            </w:r>
            <w:r>
              <w:rPr>
                <w:color w:val="414141"/>
                <w:spacing w:val="-35"/>
                <w:w w:val="110"/>
                <w:sz w:val="18"/>
              </w:rPr>
              <w:t> </w:t>
            </w:r>
            <w:r>
              <w:rPr>
                <w:color w:val="414141"/>
                <w:w w:val="110"/>
                <w:sz w:val="18"/>
              </w:rPr>
              <w:t>term</w:t>
            </w:r>
            <w:r>
              <w:rPr>
                <w:color w:val="414141"/>
                <w:spacing w:val="-34"/>
                <w:w w:val="110"/>
                <w:sz w:val="18"/>
              </w:rPr>
              <w:t> </w:t>
            </w:r>
            <w:r>
              <w:rPr>
                <w:color w:val="2D2D2D"/>
                <w:w w:val="110"/>
                <w:sz w:val="18"/>
              </w:rPr>
              <w:t>investment </w:t>
            </w:r>
            <w:r>
              <w:rPr>
                <w:color w:val="414141"/>
                <w:w w:val="110"/>
                <w:sz w:val="18"/>
              </w:rPr>
              <w:t>Other </w:t>
            </w:r>
            <w:r>
              <w:rPr>
                <w:color w:val="2D2D2D"/>
                <w:w w:val="110"/>
                <w:sz w:val="18"/>
              </w:rPr>
              <w:t>interest</w:t>
            </w:r>
            <w:r>
              <w:rPr>
                <w:color w:val="2D2D2D"/>
                <w:spacing w:val="-39"/>
                <w:w w:val="110"/>
                <w:sz w:val="18"/>
              </w:rPr>
              <w:t> </w:t>
            </w:r>
            <w:r>
              <w:rPr>
                <w:color w:val="414141"/>
                <w:w w:val="110"/>
                <w:sz w:val="18"/>
              </w:rPr>
              <w:t>(paid)</w:t>
            </w:r>
          </w:p>
          <w:p>
            <w:pPr>
              <w:pStyle w:val="TableParagraph"/>
              <w:spacing w:line="201" w:lineRule="exact"/>
              <w:ind w:left="645"/>
              <w:rPr>
                <w:sz w:val="18"/>
              </w:rPr>
            </w:pPr>
            <w:r>
              <w:rPr>
                <w:color w:val="414141"/>
                <w:w w:val="105"/>
                <w:sz w:val="18"/>
              </w:rPr>
              <w:t>Dividends and other investment income received</w:t>
            </w:r>
          </w:p>
        </w:tc>
        <w:tc>
          <w:tcPr>
            <w:tcW w:w="1033" w:type="dxa"/>
          </w:tcPr>
          <w:p>
            <w:pPr>
              <w:pStyle w:val="TableParagraph"/>
              <w:spacing w:line="421" w:lineRule="exact"/>
              <w:ind w:left="13" w:right="-44"/>
              <w:rPr>
                <w:sz w:val="49"/>
              </w:rPr>
            </w:pPr>
            <w:r>
              <w:rPr>
                <w:color w:val="414141"/>
                <w:w w:val="105"/>
                <w:sz w:val="49"/>
              </w:rPr>
              <w:t>r--::7</w:t>
            </w:r>
          </w:p>
        </w:tc>
      </w:tr>
      <w:tr>
        <w:trPr>
          <w:trHeight w:val="346" w:hRule="atLeast"/>
        </w:trPr>
        <w:tc>
          <w:tcPr>
            <w:tcW w:w="1157" w:type="dxa"/>
          </w:tcPr>
          <w:p>
            <w:pPr>
              <w:pStyle w:val="TableParagraph"/>
              <w:spacing w:before="8"/>
              <w:ind w:left="613"/>
              <w:rPr>
                <w:sz w:val="18"/>
              </w:rPr>
            </w:pPr>
            <w:r>
              <w:rPr>
                <w:color w:val="414141"/>
                <w:sz w:val="18"/>
              </w:rPr>
              <w:t>615</w:t>
            </w:r>
          </w:p>
        </w:tc>
        <w:tc>
          <w:tcPr>
            <w:tcW w:w="6294" w:type="dxa"/>
          </w:tcPr>
          <w:p>
            <w:pPr>
              <w:pStyle w:val="TableParagraph"/>
              <w:rPr>
                <w:sz w:val="18"/>
              </w:rPr>
            </w:pPr>
          </w:p>
        </w:tc>
        <w:tc>
          <w:tcPr>
            <w:tcW w:w="1033" w:type="dxa"/>
          </w:tcPr>
          <w:p>
            <w:pPr>
              <w:pStyle w:val="TableParagraph"/>
              <w:spacing w:before="8"/>
              <w:ind w:left="559"/>
              <w:rPr>
                <w:sz w:val="18"/>
              </w:rPr>
            </w:pPr>
            <w:r>
              <w:rPr>
                <w:color w:val="2D2D2D"/>
                <w:w w:val="105"/>
                <w:sz w:val="18"/>
              </w:rPr>
              <w:t>762</w:t>
            </w:r>
          </w:p>
        </w:tc>
      </w:tr>
      <w:tr>
        <w:trPr>
          <w:trHeight w:val="325" w:hRule="atLeast"/>
        </w:trPr>
        <w:tc>
          <w:tcPr>
            <w:tcW w:w="1157" w:type="dxa"/>
            <w:tcBorders>
              <w:bottom w:val="single" w:sz="4" w:space="0" w:color="000000"/>
            </w:tcBorders>
          </w:tcPr>
          <w:p>
            <w:pPr>
              <w:pStyle w:val="TableParagraph"/>
              <w:rPr>
                <w:sz w:val="18"/>
              </w:rPr>
            </w:pPr>
          </w:p>
        </w:tc>
        <w:tc>
          <w:tcPr>
            <w:tcW w:w="6294" w:type="dxa"/>
          </w:tcPr>
          <w:p>
            <w:pPr>
              <w:pStyle w:val="TableParagraph"/>
              <w:spacing w:line="182" w:lineRule="exact" w:before="123"/>
              <w:ind w:left="651"/>
              <w:rPr>
                <w:b/>
                <w:sz w:val="18"/>
              </w:rPr>
            </w:pPr>
            <w:r>
              <w:rPr>
                <w:b/>
                <w:color w:val="2D2D2D"/>
                <w:w w:val="105"/>
                <w:sz w:val="18"/>
              </w:rPr>
              <w:t>Capital expenditure and financial </w:t>
            </w:r>
            <w:r>
              <w:rPr>
                <w:b/>
                <w:color w:val="161616"/>
                <w:w w:val="105"/>
                <w:sz w:val="18"/>
              </w:rPr>
              <w:t>inve</w:t>
            </w:r>
            <w:r>
              <w:rPr>
                <w:b/>
                <w:color w:val="414141"/>
                <w:w w:val="105"/>
                <w:sz w:val="18"/>
              </w:rPr>
              <w:t>st</w:t>
            </w:r>
            <w:r>
              <w:rPr>
                <w:b/>
                <w:color w:val="161616"/>
                <w:w w:val="105"/>
                <w:sz w:val="18"/>
              </w:rPr>
              <w:t>ment</w:t>
            </w:r>
          </w:p>
        </w:tc>
        <w:tc>
          <w:tcPr>
            <w:tcW w:w="1033" w:type="dxa"/>
            <w:tcBorders>
              <w:bottom w:val="single" w:sz="4" w:space="0" w:color="000000"/>
            </w:tcBorders>
          </w:tcPr>
          <w:p>
            <w:pPr>
              <w:pStyle w:val="TableParagraph"/>
              <w:rPr>
                <w:sz w:val="18"/>
              </w:rPr>
            </w:pPr>
          </w:p>
        </w:tc>
      </w:tr>
      <w:tr>
        <w:trPr>
          <w:trHeight w:val="236" w:hRule="atLeast"/>
        </w:trPr>
        <w:tc>
          <w:tcPr>
            <w:tcW w:w="1157" w:type="dxa"/>
            <w:tcBorders>
              <w:top w:val="single" w:sz="4" w:space="0" w:color="000000"/>
              <w:left w:val="single" w:sz="4" w:space="0" w:color="000000"/>
              <w:right w:val="single" w:sz="8" w:space="0" w:color="000000"/>
            </w:tcBorders>
          </w:tcPr>
          <w:p>
            <w:pPr>
              <w:pStyle w:val="TableParagraph"/>
              <w:spacing w:before="9"/>
              <w:ind w:left="387"/>
              <w:rPr>
                <w:sz w:val="18"/>
              </w:rPr>
            </w:pPr>
            <w:r>
              <w:rPr>
                <w:color w:val="414141"/>
                <w:w w:val="105"/>
                <w:sz w:val="18"/>
              </w:rPr>
              <w:t>(3,489)</w:t>
            </w:r>
          </w:p>
        </w:tc>
        <w:tc>
          <w:tcPr>
            <w:tcW w:w="6294" w:type="dxa"/>
            <w:tcBorders>
              <w:left w:val="single" w:sz="8" w:space="0" w:color="000000"/>
              <w:right w:val="single" w:sz="4" w:space="0" w:color="000000"/>
            </w:tcBorders>
          </w:tcPr>
          <w:p>
            <w:pPr>
              <w:pStyle w:val="TableParagraph"/>
              <w:spacing w:line="198" w:lineRule="exact" w:before="19"/>
              <w:ind w:left="635"/>
              <w:rPr>
                <w:sz w:val="18"/>
              </w:rPr>
            </w:pPr>
            <w:r>
              <w:rPr>
                <w:color w:val="2D2D2D"/>
                <w:w w:val="105"/>
                <w:sz w:val="18"/>
              </w:rPr>
              <w:t>Payments </w:t>
            </w:r>
            <w:r>
              <w:rPr>
                <w:color w:val="414141"/>
                <w:w w:val="105"/>
                <w:sz w:val="18"/>
              </w:rPr>
              <w:t>to acquire tangible fixed assets</w:t>
            </w:r>
          </w:p>
        </w:tc>
        <w:tc>
          <w:tcPr>
            <w:tcW w:w="1033" w:type="dxa"/>
            <w:tcBorders>
              <w:top w:val="single" w:sz="4" w:space="0" w:color="000000"/>
              <w:left w:val="single" w:sz="4" w:space="0" w:color="000000"/>
              <w:right w:val="single" w:sz="4" w:space="0" w:color="000000"/>
            </w:tcBorders>
          </w:tcPr>
          <w:p>
            <w:pPr>
              <w:pStyle w:val="TableParagraph"/>
              <w:spacing w:line="198" w:lineRule="exact" w:before="19"/>
              <w:ind w:left="322"/>
              <w:rPr>
                <w:sz w:val="18"/>
              </w:rPr>
            </w:pPr>
            <w:r>
              <w:rPr>
                <w:color w:val="414141"/>
                <w:w w:val="105"/>
                <w:sz w:val="18"/>
              </w:rPr>
              <w:t>(3,040)</w:t>
            </w:r>
          </w:p>
        </w:tc>
      </w:tr>
      <w:tr>
        <w:trPr>
          <w:trHeight w:val="226" w:hRule="atLeast"/>
        </w:trPr>
        <w:tc>
          <w:tcPr>
            <w:tcW w:w="1157" w:type="dxa"/>
            <w:tcBorders>
              <w:left w:val="single" w:sz="4" w:space="0" w:color="000000"/>
              <w:right w:val="single" w:sz="8" w:space="0" w:color="000000"/>
            </w:tcBorders>
          </w:tcPr>
          <w:p>
            <w:pPr>
              <w:pStyle w:val="TableParagraph"/>
              <w:spacing w:line="203" w:lineRule="exact" w:before="3"/>
              <w:ind w:left="469"/>
              <w:rPr>
                <w:sz w:val="18"/>
              </w:rPr>
            </w:pPr>
            <w:r>
              <w:rPr>
                <w:color w:val="414141"/>
                <w:w w:val="110"/>
                <w:sz w:val="18"/>
              </w:rPr>
              <w:t>1,596</w:t>
            </w:r>
          </w:p>
        </w:tc>
        <w:tc>
          <w:tcPr>
            <w:tcW w:w="6294" w:type="dxa"/>
            <w:tcBorders>
              <w:left w:val="single" w:sz="8" w:space="0" w:color="000000"/>
              <w:right w:val="single" w:sz="4" w:space="0" w:color="000000"/>
            </w:tcBorders>
          </w:tcPr>
          <w:p>
            <w:pPr>
              <w:pStyle w:val="TableParagraph"/>
              <w:spacing w:line="193" w:lineRule="exact" w:before="13"/>
              <w:ind w:left="635"/>
              <w:rPr>
                <w:sz w:val="18"/>
              </w:rPr>
            </w:pPr>
            <w:r>
              <w:rPr>
                <w:color w:val="2D2D2D"/>
                <w:w w:val="110"/>
                <w:sz w:val="18"/>
              </w:rPr>
              <w:t>Receipts </w:t>
            </w:r>
            <w:r>
              <w:rPr>
                <w:color w:val="414141"/>
                <w:w w:val="110"/>
                <w:sz w:val="18"/>
              </w:rPr>
              <w:t>from sales o</w:t>
            </w:r>
            <w:r>
              <w:rPr>
                <w:color w:val="606060"/>
                <w:w w:val="110"/>
                <w:sz w:val="18"/>
              </w:rPr>
              <w:t>f </w:t>
            </w:r>
            <w:r>
              <w:rPr>
                <w:color w:val="414141"/>
                <w:w w:val="110"/>
                <w:sz w:val="18"/>
              </w:rPr>
              <w:t>tangible fixed assets</w:t>
            </w:r>
          </w:p>
        </w:tc>
        <w:tc>
          <w:tcPr>
            <w:tcW w:w="1033" w:type="dxa"/>
            <w:tcBorders>
              <w:left w:val="single" w:sz="4" w:space="0" w:color="000000"/>
              <w:right w:val="single" w:sz="4" w:space="0" w:color="000000"/>
            </w:tcBorders>
          </w:tcPr>
          <w:p>
            <w:pPr>
              <w:pStyle w:val="TableParagraph"/>
              <w:spacing w:line="193" w:lineRule="exact" w:before="13"/>
              <w:ind w:left="413"/>
              <w:rPr>
                <w:sz w:val="18"/>
              </w:rPr>
            </w:pPr>
            <w:r>
              <w:rPr>
                <w:color w:val="2D2D2D"/>
                <w:w w:val="110"/>
                <w:sz w:val="18"/>
              </w:rPr>
              <w:t>4,109</w:t>
            </w:r>
          </w:p>
        </w:tc>
      </w:tr>
      <w:tr>
        <w:trPr>
          <w:trHeight w:val="226" w:hRule="atLeast"/>
        </w:trPr>
        <w:tc>
          <w:tcPr>
            <w:tcW w:w="1157" w:type="dxa"/>
            <w:tcBorders>
              <w:left w:val="single" w:sz="4" w:space="0" w:color="000000"/>
              <w:right w:val="single" w:sz="8" w:space="0" w:color="000000"/>
            </w:tcBorders>
          </w:tcPr>
          <w:p>
            <w:pPr>
              <w:pStyle w:val="TableParagraph"/>
              <w:spacing w:line="206" w:lineRule="exact"/>
              <w:ind w:left="387"/>
              <w:rPr>
                <w:sz w:val="18"/>
              </w:rPr>
            </w:pPr>
            <w:r>
              <w:rPr>
                <w:color w:val="414141"/>
                <w:w w:val="110"/>
                <w:sz w:val="18"/>
              </w:rPr>
              <w:t>(5</w:t>
            </w:r>
            <w:r>
              <w:rPr>
                <w:color w:val="606060"/>
                <w:w w:val="110"/>
                <w:sz w:val="18"/>
              </w:rPr>
              <w:t>,</w:t>
            </w:r>
            <w:r>
              <w:rPr>
                <w:color w:val="414141"/>
                <w:w w:val="110"/>
                <w:sz w:val="18"/>
              </w:rPr>
              <w:t>086)</w:t>
            </w:r>
          </w:p>
        </w:tc>
        <w:tc>
          <w:tcPr>
            <w:tcW w:w="6294" w:type="dxa"/>
            <w:tcBorders>
              <w:left w:val="single" w:sz="8" w:space="0" w:color="000000"/>
              <w:right w:val="single" w:sz="4" w:space="0" w:color="000000"/>
            </w:tcBorders>
          </w:tcPr>
          <w:p>
            <w:pPr>
              <w:pStyle w:val="TableParagraph"/>
              <w:spacing w:line="198" w:lineRule="exact" w:before="8"/>
              <w:ind w:left="635"/>
              <w:rPr>
                <w:sz w:val="18"/>
              </w:rPr>
            </w:pPr>
            <w:r>
              <w:rPr>
                <w:color w:val="2D2D2D"/>
                <w:w w:val="105"/>
                <w:sz w:val="18"/>
              </w:rPr>
              <w:t>Payments </w:t>
            </w:r>
            <w:r>
              <w:rPr>
                <w:color w:val="414141"/>
                <w:w w:val="105"/>
                <w:sz w:val="18"/>
              </w:rPr>
              <w:t>to acquire long term investments</w:t>
            </w:r>
          </w:p>
        </w:tc>
        <w:tc>
          <w:tcPr>
            <w:tcW w:w="1033" w:type="dxa"/>
            <w:tcBorders>
              <w:left w:val="single" w:sz="4" w:space="0" w:color="000000"/>
              <w:right w:val="single" w:sz="4" w:space="0" w:color="000000"/>
            </w:tcBorders>
          </w:tcPr>
          <w:p>
            <w:pPr>
              <w:pStyle w:val="TableParagraph"/>
              <w:spacing w:line="198" w:lineRule="exact" w:before="8"/>
              <w:ind w:left="322"/>
              <w:rPr>
                <w:sz w:val="18"/>
              </w:rPr>
            </w:pPr>
            <w:r>
              <w:rPr>
                <w:color w:val="414141"/>
                <w:w w:val="105"/>
                <w:sz w:val="18"/>
              </w:rPr>
              <w:t>(6,425)</w:t>
            </w:r>
          </w:p>
        </w:tc>
      </w:tr>
      <w:tr>
        <w:trPr>
          <w:trHeight w:val="226" w:hRule="atLeast"/>
        </w:trPr>
        <w:tc>
          <w:tcPr>
            <w:tcW w:w="1157" w:type="dxa"/>
            <w:tcBorders>
              <w:left w:val="single" w:sz="4" w:space="0" w:color="000000"/>
              <w:right w:val="single" w:sz="8" w:space="0" w:color="000000"/>
            </w:tcBorders>
          </w:tcPr>
          <w:p>
            <w:pPr>
              <w:pStyle w:val="TableParagraph"/>
              <w:spacing w:line="203" w:lineRule="exact" w:before="3"/>
              <w:ind w:left="468"/>
              <w:rPr>
                <w:sz w:val="18"/>
              </w:rPr>
            </w:pPr>
            <w:r>
              <w:rPr>
                <w:color w:val="2D2D2D"/>
                <w:w w:val="110"/>
                <w:sz w:val="18"/>
              </w:rPr>
              <w:t>4,630</w:t>
            </w:r>
          </w:p>
        </w:tc>
        <w:tc>
          <w:tcPr>
            <w:tcW w:w="6294" w:type="dxa"/>
            <w:tcBorders>
              <w:left w:val="single" w:sz="8" w:space="0" w:color="000000"/>
              <w:right w:val="single" w:sz="4" w:space="0" w:color="000000"/>
            </w:tcBorders>
          </w:tcPr>
          <w:p>
            <w:pPr>
              <w:pStyle w:val="TableParagraph"/>
              <w:spacing w:line="193" w:lineRule="exact" w:before="13"/>
              <w:ind w:left="635"/>
              <w:rPr>
                <w:sz w:val="18"/>
              </w:rPr>
            </w:pPr>
            <w:r>
              <w:rPr>
                <w:color w:val="2D2D2D"/>
                <w:w w:val="105"/>
                <w:sz w:val="18"/>
              </w:rPr>
              <w:t>Receipts </w:t>
            </w:r>
            <w:r>
              <w:rPr>
                <w:color w:val="414141"/>
                <w:w w:val="105"/>
                <w:sz w:val="18"/>
              </w:rPr>
              <w:t>from sales of long term investments</w:t>
            </w:r>
          </w:p>
        </w:tc>
        <w:tc>
          <w:tcPr>
            <w:tcW w:w="1033" w:type="dxa"/>
            <w:tcBorders>
              <w:left w:val="single" w:sz="4" w:space="0" w:color="000000"/>
              <w:right w:val="single" w:sz="4" w:space="0" w:color="000000"/>
            </w:tcBorders>
          </w:tcPr>
          <w:p>
            <w:pPr>
              <w:pStyle w:val="TableParagraph"/>
              <w:spacing w:line="193" w:lineRule="exact" w:before="13"/>
              <w:ind w:left="409"/>
              <w:rPr>
                <w:sz w:val="18"/>
              </w:rPr>
            </w:pPr>
            <w:r>
              <w:rPr>
                <w:color w:val="414141"/>
                <w:w w:val="110"/>
                <w:sz w:val="18"/>
              </w:rPr>
              <w:t>7,090</w:t>
            </w:r>
          </w:p>
        </w:tc>
      </w:tr>
      <w:tr>
        <w:trPr>
          <w:trHeight w:val="226" w:hRule="atLeast"/>
        </w:trPr>
        <w:tc>
          <w:tcPr>
            <w:tcW w:w="1157" w:type="dxa"/>
            <w:tcBorders>
              <w:left w:val="single" w:sz="4" w:space="0" w:color="000000"/>
              <w:right w:val="single" w:sz="8" w:space="0" w:color="000000"/>
            </w:tcBorders>
          </w:tcPr>
          <w:p>
            <w:pPr>
              <w:pStyle w:val="TableParagraph"/>
              <w:spacing w:line="206" w:lineRule="exact"/>
              <w:ind w:left="618"/>
              <w:rPr>
                <w:sz w:val="18"/>
              </w:rPr>
            </w:pPr>
            <w:r>
              <w:rPr>
                <w:color w:val="414141"/>
                <w:w w:val="110"/>
                <w:sz w:val="18"/>
              </w:rPr>
              <w:t>(34)</w:t>
            </w:r>
          </w:p>
        </w:tc>
        <w:tc>
          <w:tcPr>
            <w:tcW w:w="6294" w:type="dxa"/>
            <w:tcBorders>
              <w:left w:val="single" w:sz="8" w:space="0" w:color="000000"/>
              <w:right w:val="single" w:sz="4" w:space="0" w:color="000000"/>
            </w:tcBorders>
          </w:tcPr>
          <w:p>
            <w:pPr>
              <w:pStyle w:val="TableParagraph"/>
              <w:spacing w:line="198" w:lineRule="exact" w:before="8"/>
              <w:ind w:left="634"/>
              <w:rPr>
                <w:sz w:val="18"/>
              </w:rPr>
            </w:pPr>
            <w:r>
              <w:rPr>
                <w:color w:val="2D2D2D"/>
                <w:w w:val="105"/>
                <w:sz w:val="18"/>
              </w:rPr>
              <w:t>Loans </w:t>
            </w:r>
            <w:r>
              <w:rPr>
                <w:color w:val="414141"/>
                <w:w w:val="105"/>
                <w:sz w:val="18"/>
              </w:rPr>
              <w:t>and advances made </w:t>
            </w:r>
            <w:r>
              <w:rPr>
                <w:color w:val="2D2D2D"/>
                <w:w w:val="105"/>
                <w:sz w:val="18"/>
              </w:rPr>
              <w:t>to congregations </w:t>
            </w:r>
            <w:r>
              <w:rPr>
                <w:color w:val="414141"/>
                <w:w w:val="105"/>
                <w:sz w:val="18"/>
              </w:rPr>
              <w:t>and </w:t>
            </w:r>
            <w:r>
              <w:rPr>
                <w:color w:val="2D2D2D"/>
                <w:w w:val="105"/>
                <w:sz w:val="18"/>
              </w:rPr>
              <w:t>ministers</w:t>
            </w:r>
          </w:p>
        </w:tc>
        <w:tc>
          <w:tcPr>
            <w:tcW w:w="1033" w:type="dxa"/>
            <w:tcBorders>
              <w:left w:val="single" w:sz="4" w:space="0" w:color="000000"/>
              <w:right w:val="single" w:sz="4" w:space="0" w:color="000000"/>
            </w:tcBorders>
          </w:tcPr>
          <w:p>
            <w:pPr>
              <w:pStyle w:val="TableParagraph"/>
              <w:spacing w:line="198" w:lineRule="exact" w:before="8"/>
              <w:ind w:left="457"/>
              <w:rPr>
                <w:sz w:val="18"/>
              </w:rPr>
            </w:pPr>
            <w:r>
              <w:rPr>
                <w:color w:val="2D2D2D"/>
                <w:w w:val="110"/>
                <w:sz w:val="18"/>
              </w:rPr>
              <w:t>(200)</w:t>
            </w:r>
          </w:p>
        </w:tc>
      </w:tr>
      <w:tr>
        <w:trPr>
          <w:trHeight w:val="219" w:hRule="atLeast"/>
        </w:trPr>
        <w:tc>
          <w:tcPr>
            <w:tcW w:w="1157" w:type="dxa"/>
            <w:tcBorders>
              <w:left w:val="single" w:sz="4" w:space="0" w:color="000000"/>
              <w:bottom w:val="single" w:sz="4" w:space="0" w:color="000000"/>
              <w:right w:val="single" w:sz="8" w:space="0" w:color="000000"/>
            </w:tcBorders>
          </w:tcPr>
          <w:p>
            <w:pPr>
              <w:pStyle w:val="TableParagraph"/>
              <w:spacing w:line="177" w:lineRule="exact" w:before="3"/>
              <w:ind w:left="612"/>
              <w:rPr>
                <w:sz w:val="18"/>
              </w:rPr>
            </w:pPr>
            <w:r>
              <w:rPr>
                <w:color w:val="414141"/>
                <w:w w:val="110"/>
                <w:sz w:val="18"/>
              </w:rPr>
              <w:t>250</w:t>
            </w:r>
          </w:p>
        </w:tc>
        <w:tc>
          <w:tcPr>
            <w:tcW w:w="6294" w:type="dxa"/>
            <w:tcBorders>
              <w:left w:val="single" w:sz="8" w:space="0" w:color="000000"/>
              <w:right w:val="single" w:sz="4" w:space="0" w:color="000000"/>
            </w:tcBorders>
          </w:tcPr>
          <w:p>
            <w:pPr>
              <w:pStyle w:val="TableParagraph"/>
              <w:spacing w:line="186" w:lineRule="exact" w:before="13"/>
              <w:ind w:left="634"/>
              <w:rPr>
                <w:sz w:val="18"/>
              </w:rPr>
            </w:pPr>
            <w:r>
              <w:rPr>
                <w:color w:val="414141"/>
                <w:w w:val="105"/>
                <w:sz w:val="18"/>
              </w:rPr>
              <w:t>Loans repaid by congregations and ministers</w:t>
            </w:r>
          </w:p>
        </w:tc>
        <w:tc>
          <w:tcPr>
            <w:tcW w:w="1033" w:type="dxa"/>
            <w:tcBorders>
              <w:left w:val="single" w:sz="4" w:space="0" w:color="000000"/>
              <w:bottom w:val="single" w:sz="8" w:space="0" w:color="000000"/>
              <w:right w:val="single" w:sz="4" w:space="0" w:color="000000"/>
            </w:tcBorders>
          </w:tcPr>
          <w:p>
            <w:pPr>
              <w:pStyle w:val="TableParagraph"/>
              <w:spacing w:line="196" w:lineRule="exact" w:before="3"/>
              <w:ind w:left="549"/>
              <w:rPr>
                <w:sz w:val="18"/>
              </w:rPr>
            </w:pPr>
            <w:r>
              <w:rPr>
                <w:color w:val="414141"/>
                <w:w w:val="110"/>
                <w:sz w:val="18"/>
              </w:rPr>
              <w:t>182</w:t>
            </w:r>
          </w:p>
        </w:tc>
      </w:tr>
      <w:tr>
        <w:trPr>
          <w:trHeight w:val="342" w:hRule="atLeast"/>
        </w:trPr>
        <w:tc>
          <w:tcPr>
            <w:tcW w:w="1157" w:type="dxa"/>
            <w:tcBorders>
              <w:top w:val="single" w:sz="4" w:space="0" w:color="000000"/>
            </w:tcBorders>
          </w:tcPr>
          <w:p>
            <w:pPr>
              <w:pStyle w:val="TableParagraph"/>
              <w:spacing w:before="14"/>
              <w:ind w:left="382"/>
              <w:rPr>
                <w:sz w:val="18"/>
              </w:rPr>
            </w:pPr>
            <w:r>
              <w:rPr>
                <w:color w:val="414141"/>
                <w:w w:val="110"/>
                <w:sz w:val="18"/>
              </w:rPr>
              <w:t>(2,133)</w:t>
            </w:r>
          </w:p>
        </w:tc>
        <w:tc>
          <w:tcPr>
            <w:tcW w:w="6294" w:type="dxa"/>
          </w:tcPr>
          <w:p>
            <w:pPr>
              <w:pStyle w:val="TableParagraph"/>
              <w:rPr>
                <w:sz w:val="18"/>
              </w:rPr>
            </w:pPr>
          </w:p>
        </w:tc>
        <w:tc>
          <w:tcPr>
            <w:tcW w:w="1033" w:type="dxa"/>
            <w:tcBorders>
              <w:top w:val="single" w:sz="8" w:space="0" w:color="000000"/>
            </w:tcBorders>
          </w:tcPr>
          <w:p>
            <w:pPr>
              <w:pStyle w:val="TableParagraph"/>
              <w:spacing w:before="4"/>
              <w:ind w:left="448"/>
              <w:rPr>
                <w:sz w:val="18"/>
              </w:rPr>
            </w:pPr>
            <w:r>
              <w:rPr>
                <w:color w:val="2D2D2D"/>
                <w:w w:val="110"/>
                <w:sz w:val="18"/>
              </w:rPr>
              <w:t>1,716</w:t>
            </w:r>
          </w:p>
        </w:tc>
      </w:tr>
      <w:tr>
        <w:trPr>
          <w:trHeight w:val="678" w:hRule="atLeast"/>
        </w:trPr>
        <w:tc>
          <w:tcPr>
            <w:tcW w:w="1157" w:type="dxa"/>
          </w:tcPr>
          <w:p>
            <w:pPr>
              <w:pStyle w:val="TableParagraph"/>
              <w:spacing w:before="1"/>
              <w:rPr>
                <w:sz w:val="29"/>
              </w:rPr>
            </w:pPr>
          </w:p>
          <w:p>
            <w:pPr>
              <w:pStyle w:val="TableParagraph"/>
              <w:spacing w:before="1"/>
              <w:ind w:left="719"/>
              <w:rPr>
                <w:sz w:val="18"/>
              </w:rPr>
            </w:pPr>
            <w:r>
              <w:rPr>
                <w:color w:val="414141"/>
                <w:w w:val="110"/>
                <w:sz w:val="18"/>
              </w:rPr>
              <w:t>(7)</w:t>
            </w:r>
          </w:p>
        </w:tc>
        <w:tc>
          <w:tcPr>
            <w:tcW w:w="6294" w:type="dxa"/>
          </w:tcPr>
          <w:p>
            <w:pPr>
              <w:pStyle w:val="TableParagraph"/>
              <w:spacing w:before="123"/>
              <w:ind w:left="645"/>
              <w:rPr>
                <w:b/>
                <w:sz w:val="18"/>
              </w:rPr>
            </w:pPr>
            <w:r>
              <w:rPr>
                <w:b/>
                <w:color w:val="2D2D2D"/>
                <w:w w:val="105"/>
                <w:sz w:val="18"/>
              </w:rPr>
              <w:t>Management </w:t>
            </w:r>
            <w:r>
              <w:rPr>
                <w:b/>
                <w:color w:val="161616"/>
                <w:w w:val="105"/>
                <w:sz w:val="18"/>
              </w:rPr>
              <w:t>of liquid resources</w:t>
            </w:r>
          </w:p>
          <w:p>
            <w:pPr>
              <w:pStyle w:val="TableParagraph"/>
              <w:spacing w:before="15"/>
              <w:ind w:left="641"/>
              <w:rPr>
                <w:sz w:val="18"/>
              </w:rPr>
            </w:pPr>
            <w:r>
              <w:rPr>
                <w:color w:val="414141"/>
                <w:w w:val="105"/>
                <w:sz w:val="18"/>
              </w:rPr>
              <w:t>Cash </w:t>
            </w:r>
            <w:r>
              <w:rPr>
                <w:color w:val="2D2D2D"/>
                <w:w w:val="105"/>
                <w:sz w:val="18"/>
              </w:rPr>
              <w:t>repaid </w:t>
            </w:r>
            <w:r>
              <w:rPr>
                <w:color w:val="414141"/>
                <w:w w:val="105"/>
                <w:sz w:val="18"/>
              </w:rPr>
              <w:t>from (added </w:t>
            </w:r>
            <w:r>
              <w:rPr>
                <w:color w:val="2D2D2D"/>
                <w:w w:val="105"/>
                <w:sz w:val="18"/>
              </w:rPr>
              <w:t>to) </w:t>
            </w:r>
            <w:r>
              <w:rPr>
                <w:color w:val="414141"/>
                <w:w w:val="105"/>
                <w:sz w:val="18"/>
              </w:rPr>
              <w:t>short term investment</w:t>
            </w:r>
          </w:p>
        </w:tc>
        <w:tc>
          <w:tcPr>
            <w:tcW w:w="1033" w:type="dxa"/>
          </w:tcPr>
          <w:p>
            <w:pPr>
              <w:pStyle w:val="TableParagraph"/>
              <w:rPr>
                <w:sz w:val="20"/>
              </w:rPr>
            </w:pPr>
          </w:p>
          <w:p>
            <w:pPr>
              <w:pStyle w:val="TableParagraph"/>
              <w:spacing w:before="115"/>
              <w:ind w:left="593"/>
              <w:rPr>
                <w:sz w:val="18"/>
              </w:rPr>
            </w:pPr>
            <w:r>
              <w:rPr>
                <w:color w:val="2D2D2D"/>
                <w:w w:val="110"/>
                <w:sz w:val="18"/>
              </w:rPr>
              <w:t>177</w:t>
            </w:r>
          </w:p>
        </w:tc>
      </w:tr>
      <w:tr>
        <w:trPr>
          <w:trHeight w:val="330" w:hRule="atLeast"/>
        </w:trPr>
        <w:tc>
          <w:tcPr>
            <w:tcW w:w="1157" w:type="dxa"/>
          </w:tcPr>
          <w:p>
            <w:pPr>
              <w:pStyle w:val="TableParagraph"/>
              <w:tabs>
                <w:tab w:pos="1161" w:val="left" w:leader="none"/>
              </w:tabs>
              <w:spacing w:line="191" w:lineRule="exact" w:before="119"/>
              <w:ind w:left="-34" w:right="-15"/>
              <w:rPr>
                <w:b/>
                <w:sz w:val="18"/>
              </w:rPr>
            </w:pPr>
            <w:r>
              <w:rPr>
                <w:b/>
                <w:color w:val="2D2D2D"/>
                <w:w w:val="100"/>
                <w:sz w:val="18"/>
                <w:u w:val="single" w:color="000000"/>
              </w:rPr>
              <w:t> </w:t>
            </w:r>
            <w:r>
              <w:rPr>
                <w:b/>
                <w:color w:val="2D2D2D"/>
                <w:sz w:val="18"/>
                <w:u w:val="single" w:color="000000"/>
              </w:rPr>
              <w:tab/>
            </w:r>
          </w:p>
        </w:tc>
        <w:tc>
          <w:tcPr>
            <w:tcW w:w="6294" w:type="dxa"/>
          </w:tcPr>
          <w:p>
            <w:pPr>
              <w:pStyle w:val="TableParagraph"/>
              <w:spacing w:line="191" w:lineRule="exact" w:before="119"/>
              <w:ind w:left="644"/>
              <w:rPr>
                <w:b/>
                <w:sz w:val="18"/>
              </w:rPr>
            </w:pPr>
            <w:r>
              <w:rPr>
                <w:b/>
                <w:color w:val="2D2D2D"/>
                <w:w w:val="105"/>
                <w:sz w:val="18"/>
              </w:rPr>
              <w:t>Financing</w:t>
            </w:r>
          </w:p>
        </w:tc>
        <w:tc>
          <w:tcPr>
            <w:tcW w:w="1033" w:type="dxa"/>
            <w:tcBorders>
              <w:bottom w:val="single" w:sz="4" w:space="0" w:color="000000"/>
            </w:tcBorders>
          </w:tcPr>
          <w:p>
            <w:pPr>
              <w:pStyle w:val="TableParagraph"/>
              <w:rPr>
                <w:sz w:val="18"/>
              </w:rPr>
            </w:pPr>
          </w:p>
        </w:tc>
      </w:tr>
      <w:tr>
        <w:trPr>
          <w:trHeight w:val="232" w:hRule="atLeast"/>
        </w:trPr>
        <w:tc>
          <w:tcPr>
            <w:tcW w:w="1157" w:type="dxa"/>
          </w:tcPr>
          <w:p>
            <w:pPr>
              <w:pStyle w:val="TableParagraph"/>
              <w:spacing w:line="203" w:lineRule="exact" w:before="9"/>
              <w:ind w:left="619"/>
              <w:rPr>
                <w:sz w:val="18"/>
              </w:rPr>
            </w:pPr>
            <w:r>
              <w:rPr>
                <w:color w:val="2D2D2D"/>
                <w:w w:val="110"/>
                <w:sz w:val="18"/>
              </w:rPr>
              <w:t>859</w:t>
            </w:r>
          </w:p>
        </w:tc>
        <w:tc>
          <w:tcPr>
            <w:tcW w:w="6294" w:type="dxa"/>
          </w:tcPr>
          <w:p>
            <w:pPr>
              <w:pStyle w:val="TableParagraph"/>
              <w:spacing w:line="203" w:lineRule="exact" w:before="9"/>
              <w:ind w:left="637"/>
              <w:rPr>
                <w:sz w:val="18"/>
              </w:rPr>
            </w:pPr>
            <w:r>
              <w:rPr>
                <w:color w:val="414141"/>
                <w:w w:val="105"/>
                <w:sz w:val="18"/>
              </w:rPr>
              <w:t>Addition </w:t>
            </w:r>
            <w:r>
              <w:rPr>
                <w:color w:val="2D2D2D"/>
                <w:w w:val="105"/>
                <w:sz w:val="18"/>
              </w:rPr>
              <w:t>to </w:t>
            </w:r>
            <w:r>
              <w:rPr>
                <w:color w:val="414141"/>
                <w:w w:val="105"/>
                <w:sz w:val="18"/>
              </w:rPr>
              <w:t>cap</w:t>
            </w:r>
            <w:r>
              <w:rPr>
                <w:color w:val="161616"/>
                <w:w w:val="105"/>
                <w:sz w:val="18"/>
              </w:rPr>
              <w:t>i</w:t>
            </w:r>
            <w:r>
              <w:rPr>
                <w:color w:val="414141"/>
                <w:w w:val="105"/>
                <w:sz w:val="18"/>
              </w:rPr>
              <w:t>tal endowment</w:t>
            </w:r>
          </w:p>
        </w:tc>
        <w:tc>
          <w:tcPr>
            <w:tcW w:w="1033" w:type="dxa"/>
            <w:tcBorders>
              <w:top w:val="single" w:sz="4" w:space="0" w:color="000000"/>
            </w:tcBorders>
          </w:tcPr>
          <w:p>
            <w:pPr>
              <w:pStyle w:val="TableParagraph"/>
              <w:rPr>
                <w:sz w:val="16"/>
              </w:rPr>
            </w:pPr>
          </w:p>
        </w:tc>
      </w:tr>
      <w:tr>
        <w:trPr>
          <w:trHeight w:val="215" w:hRule="atLeast"/>
        </w:trPr>
        <w:tc>
          <w:tcPr>
            <w:tcW w:w="1157" w:type="dxa"/>
          </w:tcPr>
          <w:p>
            <w:pPr>
              <w:pStyle w:val="TableParagraph"/>
              <w:tabs>
                <w:tab w:pos="1142" w:val="left" w:leader="none"/>
              </w:tabs>
              <w:spacing w:line="187" w:lineRule="exact" w:before="8"/>
              <w:ind w:left="-5"/>
              <w:rPr>
                <w:sz w:val="18"/>
              </w:rPr>
            </w:pPr>
            <w:r>
              <w:rPr>
                <w:color w:val="414141"/>
                <w:w w:val="100"/>
                <w:sz w:val="18"/>
                <w:u w:val="single" w:color="000000"/>
              </w:rPr>
              <w:t> </w:t>
            </w:r>
            <w:r>
              <w:rPr>
                <w:color w:val="414141"/>
                <w:sz w:val="18"/>
                <w:u w:val="single" w:color="000000"/>
              </w:rPr>
              <w:tab/>
            </w:r>
          </w:p>
        </w:tc>
        <w:tc>
          <w:tcPr>
            <w:tcW w:w="6294" w:type="dxa"/>
          </w:tcPr>
          <w:p>
            <w:pPr>
              <w:pStyle w:val="TableParagraph"/>
              <w:spacing w:line="187" w:lineRule="exact" w:before="8"/>
              <w:ind w:left="636"/>
              <w:rPr>
                <w:sz w:val="18"/>
              </w:rPr>
            </w:pPr>
            <w:r>
              <w:rPr>
                <w:color w:val="414141"/>
                <w:w w:val="105"/>
                <w:sz w:val="18"/>
              </w:rPr>
              <w:t>Payments from capital endowment</w:t>
            </w:r>
          </w:p>
        </w:tc>
        <w:tc>
          <w:tcPr>
            <w:tcW w:w="1033" w:type="dxa"/>
          </w:tcPr>
          <w:p>
            <w:pPr>
              <w:pStyle w:val="TableParagraph"/>
              <w:tabs>
                <w:tab w:pos="1087" w:val="left" w:leader="none"/>
              </w:tabs>
              <w:spacing w:line="187" w:lineRule="exact" w:before="8"/>
              <w:ind w:left="-3" w:right="-58"/>
              <w:rPr>
                <w:sz w:val="18"/>
              </w:rPr>
            </w:pPr>
            <w:r>
              <w:rPr>
                <w:color w:val="414141"/>
                <w:w w:val="100"/>
                <w:sz w:val="18"/>
                <w:u w:val="single" w:color="000000"/>
              </w:rPr>
              <w:t> </w:t>
            </w:r>
            <w:r>
              <w:rPr>
                <w:color w:val="414141"/>
                <w:sz w:val="18"/>
                <w:u w:val="single" w:color="000000"/>
              </w:rPr>
              <w:tab/>
            </w:r>
          </w:p>
        </w:tc>
      </w:tr>
    </w:tbl>
    <w:p>
      <w:pPr>
        <w:pStyle w:val="BodyText"/>
        <w:spacing w:before="24"/>
        <w:ind w:left="1559"/>
        <w:rPr>
          <w:rFonts w:ascii="Times New Roman"/>
        </w:rPr>
      </w:pPr>
      <w:r>
        <w:rPr>
          <w:rFonts w:ascii="Times New Roman"/>
          <w:color w:val="414141"/>
          <w:w w:val="105"/>
        </w:rPr>
        <w:t>859</w:t>
      </w:r>
    </w:p>
    <w:p>
      <w:pPr>
        <w:pStyle w:val="BodyText"/>
        <w:spacing w:before="2"/>
        <w:rPr>
          <w:rFonts w:ascii="Times New Roman"/>
          <w:sz w:val="16"/>
        </w:rPr>
      </w:pPr>
      <w:r>
        <w:rPr/>
        <w:pict>
          <v:shape style="position:absolute;margin-left:71.742569pt;margin-top:11.524634pt;width:55.4pt;height:.1pt;mso-position-horizontal-relative:page;mso-position-vertical-relative:paragraph;z-index:-251190272;mso-wrap-distance-left:0;mso-wrap-distance-right:0" coordorigin="1435,230" coordsize="1108,0" path="m1435,230l2542,230e" filled="false" stroked="true" strokeweight=".481115pt" strokecolor="#000000">
            <v:path arrowok="t"/>
            <v:stroke dashstyle="solid"/>
            <w10:wrap type="topAndBottom"/>
          </v:shape>
        </w:pict>
      </w:r>
      <w:r>
        <w:rPr/>
        <w:pict>
          <v:shape style="position:absolute;margin-left:444.418732pt;margin-top:11.524634pt;width:51.55pt;height:.1pt;mso-position-horizontal-relative:page;mso-position-vertical-relative:paragraph;z-index:-251189248;mso-wrap-distance-left:0;mso-wrap-distance-right:0" coordorigin="8888,230" coordsize="1031,0" path="m8888,230l9919,230e" filled="false" stroked="true" strokeweight=".481115pt" strokecolor="#000000">
            <v:path arrowok="t"/>
            <v:stroke dashstyle="solid"/>
            <w10:wrap type="topAndBottom"/>
          </v:shape>
        </w:pict>
      </w:r>
    </w:p>
    <w:p>
      <w:pPr>
        <w:tabs>
          <w:tab w:pos="1466" w:val="left" w:leader="none"/>
          <w:tab w:pos="2731" w:val="left" w:leader="none"/>
          <w:tab w:pos="5511" w:val="left" w:leader="none"/>
          <w:tab w:pos="8388" w:val="left" w:leader="none"/>
          <w:tab w:pos="8978" w:val="left" w:leader="none"/>
        </w:tabs>
        <w:spacing w:before="0"/>
        <w:ind w:left="915" w:right="0" w:firstLine="0"/>
        <w:jc w:val="left"/>
        <w:rPr>
          <w:rFonts w:ascii="Times New Roman"/>
          <w:sz w:val="18"/>
        </w:rPr>
      </w:pPr>
      <w:r>
        <w:rPr>
          <w:rFonts w:ascii="Times New Roman"/>
          <w:color w:val="414141"/>
          <w:w w:val="100"/>
          <w:position w:val="1"/>
          <w:sz w:val="18"/>
          <w:u w:val="single" w:color="000000"/>
        </w:rPr>
        <w:t> </w:t>
      </w:r>
      <w:r>
        <w:rPr>
          <w:rFonts w:ascii="Times New Roman"/>
          <w:color w:val="414141"/>
          <w:position w:val="1"/>
          <w:sz w:val="18"/>
          <w:u w:val="single" w:color="000000"/>
        </w:rPr>
        <w:tab/>
      </w:r>
      <w:r>
        <w:rPr>
          <w:rFonts w:ascii="Times New Roman"/>
          <w:color w:val="414141"/>
          <w:w w:val="110"/>
          <w:position w:val="1"/>
          <w:sz w:val="18"/>
          <w:u w:val="single" w:color="000000"/>
        </w:rPr>
        <w:t>(184)</w:t>
      </w:r>
      <w:r>
        <w:rPr>
          <w:rFonts w:ascii="Times New Roman"/>
          <w:color w:val="414141"/>
          <w:w w:val="110"/>
          <w:position w:val="1"/>
          <w:sz w:val="18"/>
        </w:rPr>
        <w:tab/>
      </w:r>
      <w:r>
        <w:rPr>
          <w:rFonts w:ascii="Times New Roman"/>
          <w:b/>
          <w:color w:val="2D2D2D"/>
          <w:w w:val="110"/>
          <w:sz w:val="18"/>
        </w:rPr>
        <w:t>Increase</w:t>
      </w:r>
      <w:r>
        <w:rPr>
          <w:rFonts w:ascii="Times New Roman"/>
          <w:b/>
          <w:color w:val="2D2D2D"/>
          <w:spacing w:val="-29"/>
          <w:w w:val="110"/>
          <w:sz w:val="18"/>
        </w:rPr>
        <w:t> </w:t>
      </w:r>
      <w:r>
        <w:rPr>
          <w:rFonts w:ascii="Times New Roman"/>
          <w:b/>
          <w:color w:val="414141"/>
          <w:w w:val="110"/>
          <w:sz w:val="18"/>
        </w:rPr>
        <w:t>(</w:t>
      </w:r>
      <w:r>
        <w:rPr>
          <w:rFonts w:ascii="Times New Roman"/>
          <w:b/>
          <w:color w:val="161616"/>
          <w:w w:val="110"/>
          <w:sz w:val="18"/>
        </w:rPr>
        <w:t>Decrea</w:t>
      </w:r>
      <w:r>
        <w:rPr>
          <w:rFonts w:ascii="Times New Roman"/>
          <w:b/>
          <w:color w:val="414141"/>
          <w:w w:val="110"/>
          <w:sz w:val="18"/>
        </w:rPr>
        <w:t>se)</w:t>
      </w:r>
      <w:r>
        <w:rPr>
          <w:rFonts w:ascii="Times New Roman"/>
          <w:b/>
          <w:color w:val="414141"/>
          <w:spacing w:val="-21"/>
          <w:w w:val="110"/>
          <w:sz w:val="18"/>
        </w:rPr>
        <w:t> </w:t>
      </w:r>
      <w:r>
        <w:rPr>
          <w:rFonts w:ascii="Times New Roman"/>
          <w:b/>
          <w:color w:val="161616"/>
          <w:w w:val="110"/>
          <w:sz w:val="18"/>
        </w:rPr>
        <w:t>in</w:t>
      </w:r>
      <w:r>
        <w:rPr>
          <w:rFonts w:ascii="Times New Roman"/>
          <w:b/>
          <w:color w:val="161616"/>
          <w:spacing w:val="-28"/>
          <w:w w:val="110"/>
          <w:sz w:val="18"/>
        </w:rPr>
        <w:t> </w:t>
      </w:r>
      <w:r>
        <w:rPr>
          <w:rFonts w:ascii="Times New Roman"/>
          <w:b/>
          <w:color w:val="2D2D2D"/>
          <w:w w:val="110"/>
          <w:sz w:val="18"/>
        </w:rPr>
        <w:t>Cash</w:t>
        <w:tab/>
        <w:t>(note</w:t>
      </w:r>
      <w:r>
        <w:rPr>
          <w:rFonts w:ascii="Times New Roman"/>
          <w:b/>
          <w:color w:val="2D2D2D"/>
          <w:spacing w:val="-24"/>
          <w:w w:val="110"/>
          <w:sz w:val="18"/>
        </w:rPr>
        <w:t> </w:t>
      </w:r>
      <w:r>
        <w:rPr>
          <w:rFonts w:ascii="Times New Roman"/>
          <w:b/>
          <w:color w:val="2D2D2D"/>
          <w:w w:val="110"/>
          <w:sz w:val="18"/>
        </w:rPr>
        <w:t>20)</w:t>
        <w:tab/>
      </w:r>
      <w:r>
        <w:rPr>
          <w:rFonts w:ascii="Times New Roman"/>
          <w:b/>
          <w:color w:val="414141"/>
          <w:w w:val="110"/>
          <w:sz w:val="18"/>
          <w:u w:val="single" w:color="000000"/>
        </w:rPr>
        <w:t> </w:t>
        <w:tab/>
      </w:r>
      <w:r>
        <w:rPr>
          <w:rFonts w:ascii="Times New Roman"/>
          <w:color w:val="414141"/>
          <w:w w:val="110"/>
          <w:sz w:val="18"/>
          <w:u w:val="single" w:color="000000"/>
        </w:rPr>
        <w:t>923</w:t>
      </w:r>
      <w:r>
        <w:rPr>
          <w:rFonts w:ascii="Times New Roman"/>
          <w:color w:val="414141"/>
          <w:spacing w:val="-2"/>
          <w:sz w:val="18"/>
          <w:u w:val="single" w:color="000000"/>
        </w:rPr>
        <w:t> </w:t>
      </w:r>
    </w:p>
    <w:p>
      <w:pPr>
        <w:pStyle w:val="BodyText"/>
        <w:spacing w:before="6"/>
        <w:rPr>
          <w:rFonts w:ascii="Times New Roman"/>
          <w:sz w:val="20"/>
        </w:rPr>
      </w:pPr>
    </w:p>
    <w:p>
      <w:pPr>
        <w:spacing w:before="0"/>
        <w:ind w:left="1622" w:right="0" w:firstLine="0"/>
        <w:jc w:val="left"/>
        <w:rPr>
          <w:rFonts w:ascii="Times New Roman"/>
          <w:sz w:val="20"/>
        </w:rPr>
      </w:pPr>
      <w:r>
        <w:rPr/>
        <w:pict>
          <v:shape style="position:absolute;margin-left:71.26107pt;margin-top:16.552856pt;width:441.55pt;height:62.1pt;mso-position-horizontal-relative:page;mso-position-vertical-relative:paragraph;z-index:-251188224;mso-wrap-distance-left:0;mso-wrap-distance-right:0" type="#_x0000_t202" filled="false" stroked="true" strokeweight=".481494pt" strokecolor="#000000">
            <v:textbox inset="0,0,0,0">
              <w:txbxContent>
                <w:p>
                  <w:pPr>
                    <w:spacing w:line="254" w:lineRule="auto" w:before="10"/>
                    <w:ind w:left="122" w:right="108" w:firstLine="11"/>
                    <w:jc w:val="center"/>
                    <w:rPr>
                      <w:rFonts w:ascii="Times New Roman"/>
                      <w:i/>
                      <w:sz w:val="20"/>
                    </w:rPr>
                  </w:pPr>
                  <w:r>
                    <w:rPr>
                      <w:rFonts w:ascii="Times New Roman"/>
                      <w:i/>
                      <w:color w:val="414141"/>
                      <w:w w:val="105"/>
                      <w:sz w:val="20"/>
                    </w:rPr>
                    <w:t>Not </w:t>
                  </w:r>
                  <w:r>
                    <w:rPr>
                      <w:rFonts w:ascii="Times New Roman"/>
                      <w:i/>
                      <w:color w:val="2D2D2D"/>
                      <w:w w:val="105"/>
                      <w:sz w:val="20"/>
                    </w:rPr>
                    <w:t>all </w:t>
                  </w:r>
                  <w:r>
                    <w:rPr>
                      <w:rFonts w:ascii="Times New Roman"/>
                      <w:i/>
                      <w:color w:val="414141"/>
                      <w:w w:val="105"/>
                      <w:sz w:val="20"/>
                    </w:rPr>
                    <w:t>income or expenditure </w:t>
                  </w:r>
                  <w:r>
                    <w:rPr>
                      <w:rFonts w:ascii="Times New Roman"/>
                      <w:i/>
                      <w:color w:val="2D2D2D"/>
                      <w:w w:val="105"/>
                      <w:sz w:val="20"/>
                    </w:rPr>
                    <w:t>results </w:t>
                  </w:r>
                  <w:r>
                    <w:rPr>
                      <w:rFonts w:ascii="Times New Roman"/>
                      <w:i/>
                      <w:color w:val="414141"/>
                      <w:w w:val="105"/>
                      <w:sz w:val="20"/>
                    </w:rPr>
                    <w:t>in an immediate cash </w:t>
                  </w:r>
                  <w:r>
                    <w:rPr>
                      <w:rFonts w:ascii="Times New Roman"/>
                      <w:i/>
                      <w:color w:val="2D2D2D"/>
                      <w:w w:val="105"/>
                      <w:sz w:val="20"/>
                    </w:rPr>
                    <w:t>receipt </w:t>
                  </w:r>
                  <w:r>
                    <w:rPr>
                      <w:rFonts w:ascii="Times New Roman"/>
                      <w:i/>
                      <w:color w:val="414141"/>
                      <w:w w:val="105"/>
                      <w:sz w:val="20"/>
                    </w:rPr>
                    <w:t>or </w:t>
                  </w:r>
                  <w:r>
                    <w:rPr>
                      <w:rFonts w:ascii="Times New Roman"/>
                      <w:i/>
                      <w:color w:val="2D2D2D"/>
                      <w:w w:val="105"/>
                      <w:sz w:val="20"/>
                    </w:rPr>
                    <w:t>payment. </w:t>
                  </w:r>
                  <w:r>
                    <w:rPr>
                      <w:rFonts w:ascii="Times New Roman"/>
                      <w:i/>
                      <w:color w:val="414141"/>
                      <w:w w:val="105"/>
                      <w:sz w:val="20"/>
                    </w:rPr>
                    <w:t>This page (and the </w:t>
                  </w:r>
                  <w:r>
                    <w:rPr>
                      <w:rFonts w:ascii="Times New Roman"/>
                      <w:i/>
                      <w:color w:val="414141"/>
                      <w:w w:val="105"/>
                      <w:sz w:val="20"/>
                    </w:rPr>
                    <w:t>associated note 20 on page </w:t>
                  </w:r>
                  <w:r>
                    <w:rPr>
                      <w:rFonts w:ascii="Times New Roman"/>
                      <w:i/>
                      <w:color w:val="2D2D2D"/>
                      <w:w w:val="105"/>
                      <w:sz w:val="20"/>
                    </w:rPr>
                    <w:t>23) </w:t>
                  </w:r>
                  <w:r>
                    <w:rPr>
                      <w:rFonts w:ascii="Times New Roman"/>
                      <w:i/>
                      <w:color w:val="414141"/>
                      <w:w w:val="105"/>
                      <w:sz w:val="20"/>
                    </w:rPr>
                    <w:t>shows the difference </w:t>
                  </w:r>
                  <w:r>
                    <w:rPr>
                      <w:rFonts w:ascii="Times New Roman"/>
                      <w:i/>
                      <w:color w:val="2D2D2D"/>
                      <w:w w:val="105"/>
                      <w:sz w:val="20"/>
                    </w:rPr>
                    <w:t>between net </w:t>
                  </w:r>
                  <w:r>
                    <w:rPr>
                      <w:rFonts w:ascii="Times New Roman"/>
                      <w:i/>
                      <w:color w:val="414141"/>
                      <w:w w:val="105"/>
                      <w:sz w:val="20"/>
                    </w:rPr>
                    <w:t>incoming </w:t>
                  </w:r>
                  <w:r>
                    <w:rPr>
                      <w:rFonts w:ascii="Times New Roman"/>
                      <w:i/>
                      <w:color w:val="2D2D2D"/>
                      <w:w w:val="105"/>
                      <w:sz w:val="20"/>
                    </w:rPr>
                    <w:t>resources </w:t>
                  </w:r>
                  <w:r>
                    <w:rPr>
                      <w:rFonts w:ascii="Times New Roman"/>
                      <w:i/>
                      <w:color w:val="414141"/>
                      <w:w w:val="105"/>
                      <w:sz w:val="20"/>
                    </w:rPr>
                    <w:t>(some cash and </w:t>
                  </w:r>
                  <w:r>
                    <w:rPr>
                      <w:rFonts w:ascii="Times New Roman"/>
                      <w:i/>
                      <w:color w:val="2D2D2D"/>
                      <w:w w:val="105"/>
                      <w:sz w:val="20"/>
                    </w:rPr>
                    <w:t>some</w:t>
                  </w:r>
                  <w:r>
                    <w:rPr>
                      <w:rFonts w:ascii="Times New Roman"/>
                      <w:i/>
                      <w:color w:val="2D2D2D"/>
                      <w:spacing w:val="2"/>
                      <w:w w:val="105"/>
                      <w:sz w:val="20"/>
                    </w:rPr>
                    <w:t> </w:t>
                  </w:r>
                  <w:r>
                    <w:rPr>
                      <w:rFonts w:ascii="Times New Roman"/>
                      <w:i/>
                      <w:color w:val="2D2D2D"/>
                      <w:w w:val="105"/>
                      <w:sz w:val="20"/>
                    </w:rPr>
                    <w:t>not</w:t>
                  </w:r>
                  <w:r>
                    <w:rPr>
                      <w:rFonts w:ascii="Times New Roman"/>
                      <w:i/>
                      <w:color w:val="2D2D2D"/>
                      <w:spacing w:val="4"/>
                      <w:w w:val="105"/>
                      <w:sz w:val="20"/>
                    </w:rPr>
                    <w:t> </w:t>
                  </w:r>
                  <w:r>
                    <w:rPr>
                      <w:rFonts w:ascii="Times New Roman"/>
                      <w:i/>
                      <w:color w:val="414141"/>
                      <w:w w:val="105"/>
                      <w:sz w:val="20"/>
                    </w:rPr>
                    <w:t>cash)</w:t>
                  </w:r>
                  <w:r>
                    <w:rPr>
                      <w:rFonts w:ascii="Times New Roman"/>
                      <w:i/>
                      <w:color w:val="414141"/>
                      <w:spacing w:val="-12"/>
                      <w:w w:val="105"/>
                      <w:sz w:val="20"/>
                    </w:rPr>
                    <w:t> </w:t>
                  </w:r>
                  <w:r>
                    <w:rPr>
                      <w:rFonts w:ascii="Times New Roman"/>
                      <w:i/>
                      <w:color w:val="2D2D2D"/>
                      <w:w w:val="105"/>
                      <w:sz w:val="20"/>
                    </w:rPr>
                    <w:t>and</w:t>
                  </w:r>
                  <w:r>
                    <w:rPr>
                      <w:rFonts w:ascii="Times New Roman"/>
                      <w:i/>
                      <w:color w:val="2D2D2D"/>
                      <w:spacing w:val="-2"/>
                      <w:w w:val="105"/>
                      <w:sz w:val="20"/>
                    </w:rPr>
                    <w:t> </w:t>
                  </w:r>
                  <w:r>
                    <w:rPr>
                      <w:rFonts w:ascii="Times New Roman"/>
                      <w:i/>
                      <w:color w:val="2D2D2D"/>
                      <w:w w:val="105"/>
                      <w:sz w:val="20"/>
                    </w:rPr>
                    <w:t>actual</w:t>
                  </w:r>
                  <w:r>
                    <w:rPr>
                      <w:rFonts w:ascii="Times New Roman"/>
                      <w:i/>
                      <w:color w:val="2D2D2D"/>
                      <w:spacing w:val="-4"/>
                      <w:w w:val="105"/>
                      <w:sz w:val="20"/>
                    </w:rPr>
                    <w:t> </w:t>
                  </w:r>
                  <w:r>
                    <w:rPr>
                      <w:rFonts w:ascii="Times New Roman"/>
                      <w:i/>
                      <w:color w:val="414141"/>
                      <w:w w:val="105"/>
                      <w:sz w:val="20"/>
                    </w:rPr>
                    <w:t>cash</w:t>
                  </w:r>
                  <w:r>
                    <w:rPr>
                      <w:rFonts w:ascii="Times New Roman"/>
                      <w:i/>
                      <w:color w:val="414141"/>
                      <w:spacing w:val="-7"/>
                      <w:w w:val="105"/>
                      <w:sz w:val="20"/>
                    </w:rPr>
                    <w:t> </w:t>
                  </w:r>
                  <w:r>
                    <w:rPr>
                      <w:rFonts w:ascii="Times New Roman"/>
                      <w:i/>
                      <w:color w:val="414141"/>
                      <w:w w:val="105"/>
                      <w:sz w:val="20"/>
                    </w:rPr>
                    <w:t>flow.</w:t>
                  </w:r>
                  <w:r>
                    <w:rPr>
                      <w:rFonts w:ascii="Times New Roman"/>
                      <w:i/>
                      <w:color w:val="414141"/>
                      <w:spacing w:val="42"/>
                      <w:w w:val="105"/>
                      <w:sz w:val="20"/>
                    </w:rPr>
                    <w:t> </w:t>
                  </w:r>
                  <w:r>
                    <w:rPr>
                      <w:rFonts w:ascii="Times New Roman"/>
                      <w:i/>
                      <w:color w:val="2D2D2D"/>
                      <w:w w:val="105"/>
                      <w:sz w:val="20"/>
                    </w:rPr>
                    <w:t>They</w:t>
                  </w:r>
                  <w:r>
                    <w:rPr>
                      <w:rFonts w:ascii="Times New Roman"/>
                      <w:i/>
                      <w:color w:val="2D2D2D"/>
                      <w:spacing w:val="-12"/>
                      <w:w w:val="105"/>
                      <w:sz w:val="20"/>
                    </w:rPr>
                    <w:t> </w:t>
                  </w:r>
                  <w:r>
                    <w:rPr>
                      <w:rFonts w:ascii="Times New Roman"/>
                      <w:i/>
                      <w:color w:val="414141"/>
                      <w:w w:val="105"/>
                      <w:sz w:val="20"/>
                    </w:rPr>
                    <w:t>then</w:t>
                  </w:r>
                  <w:r>
                    <w:rPr>
                      <w:rFonts w:ascii="Times New Roman"/>
                      <w:i/>
                      <w:color w:val="414141"/>
                      <w:spacing w:val="-12"/>
                      <w:w w:val="105"/>
                      <w:sz w:val="20"/>
                    </w:rPr>
                    <w:t> </w:t>
                  </w:r>
                  <w:r>
                    <w:rPr>
                      <w:rFonts w:ascii="Times New Roman"/>
                      <w:i/>
                      <w:color w:val="414141"/>
                      <w:w w:val="105"/>
                      <w:sz w:val="20"/>
                    </w:rPr>
                    <w:t>show</w:t>
                  </w:r>
                  <w:r>
                    <w:rPr>
                      <w:rFonts w:ascii="Times New Roman"/>
                      <w:i/>
                      <w:color w:val="414141"/>
                      <w:spacing w:val="4"/>
                      <w:w w:val="105"/>
                      <w:sz w:val="20"/>
                    </w:rPr>
                    <w:t> </w:t>
                  </w:r>
                  <w:r>
                    <w:rPr>
                      <w:rFonts w:ascii="Times New Roman"/>
                      <w:i/>
                      <w:color w:val="414141"/>
                      <w:w w:val="105"/>
                      <w:sz w:val="20"/>
                    </w:rPr>
                    <w:t>how</w:t>
                  </w:r>
                  <w:r>
                    <w:rPr>
                      <w:rFonts w:ascii="Times New Roman"/>
                      <w:i/>
                      <w:color w:val="414141"/>
                      <w:spacing w:val="-11"/>
                      <w:w w:val="105"/>
                      <w:sz w:val="20"/>
                    </w:rPr>
                    <w:t> </w:t>
                  </w:r>
                  <w:r>
                    <w:rPr>
                      <w:rFonts w:ascii="Times New Roman"/>
                      <w:i/>
                      <w:color w:val="414141"/>
                      <w:w w:val="105"/>
                      <w:sz w:val="20"/>
                    </w:rPr>
                    <w:t>cash</w:t>
                  </w:r>
                  <w:r>
                    <w:rPr>
                      <w:rFonts w:ascii="Times New Roman"/>
                      <w:i/>
                      <w:color w:val="414141"/>
                      <w:spacing w:val="-15"/>
                      <w:w w:val="105"/>
                      <w:sz w:val="20"/>
                    </w:rPr>
                    <w:t> </w:t>
                  </w:r>
                  <w:r>
                    <w:rPr>
                      <w:rFonts w:ascii="Times New Roman"/>
                      <w:i/>
                      <w:color w:val="414141"/>
                      <w:w w:val="105"/>
                      <w:sz w:val="20"/>
                    </w:rPr>
                    <w:t>has</w:t>
                  </w:r>
                  <w:r>
                    <w:rPr>
                      <w:rFonts w:ascii="Times New Roman"/>
                      <w:i/>
                      <w:color w:val="414141"/>
                      <w:spacing w:val="-11"/>
                      <w:w w:val="105"/>
                      <w:sz w:val="20"/>
                    </w:rPr>
                    <w:t> </w:t>
                  </w:r>
                  <w:r>
                    <w:rPr>
                      <w:rFonts w:ascii="Times New Roman"/>
                      <w:i/>
                      <w:color w:val="414141"/>
                      <w:w w:val="105"/>
                      <w:sz w:val="20"/>
                    </w:rPr>
                    <w:t>been</w:t>
                  </w:r>
                  <w:r>
                    <w:rPr>
                      <w:rFonts w:ascii="Times New Roman"/>
                      <w:i/>
                      <w:color w:val="414141"/>
                      <w:spacing w:val="-10"/>
                      <w:w w:val="105"/>
                      <w:sz w:val="20"/>
                    </w:rPr>
                    <w:t> </w:t>
                  </w:r>
                  <w:r>
                    <w:rPr>
                      <w:rFonts w:ascii="Times New Roman"/>
                      <w:i/>
                      <w:color w:val="414141"/>
                      <w:w w:val="105"/>
                      <w:sz w:val="20"/>
                    </w:rPr>
                    <w:t>spent</w:t>
                  </w:r>
                  <w:r>
                    <w:rPr>
                      <w:rFonts w:ascii="Times New Roman"/>
                      <w:i/>
                      <w:color w:val="414141"/>
                      <w:spacing w:val="-15"/>
                      <w:w w:val="105"/>
                      <w:sz w:val="20"/>
                    </w:rPr>
                    <w:t> </w:t>
                  </w:r>
                  <w:r>
                    <w:rPr>
                      <w:rFonts w:ascii="Times New Roman"/>
                      <w:i/>
                      <w:color w:val="414141"/>
                      <w:w w:val="105"/>
                      <w:sz w:val="20"/>
                    </w:rPr>
                    <w:t>or</w:t>
                  </w:r>
                  <w:r>
                    <w:rPr>
                      <w:rFonts w:ascii="Times New Roman"/>
                      <w:i/>
                      <w:color w:val="414141"/>
                      <w:spacing w:val="-2"/>
                      <w:w w:val="105"/>
                      <w:sz w:val="20"/>
                    </w:rPr>
                    <w:t> </w:t>
                  </w:r>
                  <w:r>
                    <w:rPr>
                      <w:rFonts w:ascii="Times New Roman"/>
                      <w:i/>
                      <w:color w:val="414141"/>
                      <w:w w:val="105"/>
                      <w:sz w:val="20"/>
                    </w:rPr>
                    <w:t>invested,</w:t>
                  </w:r>
                  <w:r>
                    <w:rPr>
                      <w:rFonts w:ascii="Times New Roman"/>
                      <w:i/>
                      <w:color w:val="414141"/>
                      <w:spacing w:val="4"/>
                      <w:w w:val="105"/>
                      <w:sz w:val="20"/>
                    </w:rPr>
                    <w:t> </w:t>
                  </w:r>
                  <w:r>
                    <w:rPr>
                      <w:rFonts w:ascii="Times New Roman"/>
                      <w:i/>
                      <w:color w:val="414141"/>
                      <w:w w:val="105"/>
                      <w:sz w:val="20"/>
                    </w:rPr>
                    <w:t>or</w:t>
                  </w:r>
                  <w:r>
                    <w:rPr>
                      <w:rFonts w:ascii="Times New Roman"/>
                      <w:i/>
                      <w:color w:val="414141"/>
                      <w:spacing w:val="-3"/>
                      <w:w w:val="105"/>
                      <w:sz w:val="20"/>
                    </w:rPr>
                    <w:t> </w:t>
                  </w:r>
                  <w:r>
                    <w:rPr>
                      <w:rFonts w:ascii="Times New Roman"/>
                      <w:i/>
                      <w:color w:val="414141"/>
                      <w:w w:val="105"/>
                      <w:sz w:val="20"/>
                    </w:rPr>
                    <w:t>realised from</w:t>
                  </w:r>
                  <w:r>
                    <w:rPr>
                      <w:rFonts w:ascii="Times New Roman"/>
                      <w:i/>
                      <w:color w:val="414141"/>
                      <w:spacing w:val="-18"/>
                      <w:w w:val="105"/>
                      <w:sz w:val="20"/>
                    </w:rPr>
                    <w:t> </w:t>
                  </w:r>
                  <w:r>
                    <w:rPr>
                      <w:rFonts w:ascii="Times New Roman"/>
                      <w:i/>
                      <w:color w:val="414141"/>
                      <w:w w:val="105"/>
                      <w:sz w:val="20"/>
                    </w:rPr>
                    <w:t>the</w:t>
                  </w:r>
                  <w:r>
                    <w:rPr>
                      <w:rFonts w:ascii="Times New Roman"/>
                      <w:i/>
                      <w:color w:val="414141"/>
                      <w:spacing w:val="8"/>
                      <w:w w:val="105"/>
                      <w:sz w:val="20"/>
                    </w:rPr>
                    <w:t> </w:t>
                  </w:r>
                  <w:r>
                    <w:rPr>
                      <w:rFonts w:ascii="Times New Roman"/>
                      <w:i/>
                      <w:color w:val="414141"/>
                      <w:w w:val="105"/>
                      <w:sz w:val="20"/>
                    </w:rPr>
                    <w:t>sale</w:t>
                  </w:r>
                  <w:r>
                    <w:rPr>
                      <w:rFonts w:ascii="Times New Roman"/>
                      <w:i/>
                      <w:color w:val="414141"/>
                      <w:spacing w:val="-5"/>
                      <w:w w:val="105"/>
                      <w:sz w:val="20"/>
                    </w:rPr>
                    <w:t> </w:t>
                  </w:r>
                  <w:r>
                    <w:rPr>
                      <w:rFonts w:ascii="Times New Roman"/>
                      <w:i/>
                      <w:color w:val="414141"/>
                      <w:w w:val="105"/>
                      <w:sz w:val="20"/>
                    </w:rPr>
                    <w:t>of</w:t>
                  </w:r>
                  <w:r>
                    <w:rPr>
                      <w:rFonts w:ascii="Times New Roman"/>
                      <w:i/>
                      <w:color w:val="414141"/>
                      <w:spacing w:val="-4"/>
                      <w:w w:val="105"/>
                      <w:sz w:val="20"/>
                    </w:rPr>
                    <w:t> </w:t>
                  </w:r>
                  <w:r>
                    <w:rPr>
                      <w:rFonts w:ascii="Times New Roman"/>
                      <w:i/>
                      <w:color w:val="414141"/>
                      <w:w w:val="105"/>
                      <w:sz w:val="20"/>
                    </w:rPr>
                    <w:t>properties</w:t>
                  </w:r>
                  <w:r>
                    <w:rPr>
                      <w:rFonts w:ascii="Times New Roman"/>
                      <w:i/>
                      <w:color w:val="414141"/>
                      <w:spacing w:val="8"/>
                      <w:w w:val="105"/>
                      <w:sz w:val="20"/>
                    </w:rPr>
                    <w:t> </w:t>
                  </w:r>
                  <w:r>
                    <w:rPr>
                      <w:rFonts w:ascii="Times New Roman"/>
                      <w:i/>
                      <w:color w:val="414141"/>
                      <w:w w:val="105"/>
                      <w:sz w:val="20"/>
                    </w:rPr>
                    <w:t>or</w:t>
                  </w:r>
                  <w:r>
                    <w:rPr>
                      <w:rFonts w:ascii="Times New Roman"/>
                      <w:i/>
                      <w:color w:val="414141"/>
                      <w:spacing w:val="1"/>
                      <w:w w:val="105"/>
                      <w:sz w:val="20"/>
                    </w:rPr>
                    <w:t> </w:t>
                  </w:r>
                  <w:r>
                    <w:rPr>
                      <w:rFonts w:ascii="Times New Roman"/>
                      <w:i/>
                      <w:color w:val="2D2D2D"/>
                      <w:w w:val="105"/>
                      <w:sz w:val="20"/>
                    </w:rPr>
                    <w:t>investments</w:t>
                  </w:r>
                  <w:r>
                    <w:rPr>
                      <w:rFonts w:ascii="Times New Roman"/>
                      <w:i/>
                      <w:color w:val="2D2D2D"/>
                      <w:spacing w:val="-3"/>
                      <w:w w:val="105"/>
                      <w:sz w:val="20"/>
                    </w:rPr>
                    <w:t> </w:t>
                  </w:r>
                  <w:r>
                    <w:rPr>
                      <w:rFonts w:ascii="Times New Roman"/>
                      <w:i/>
                      <w:color w:val="414141"/>
                      <w:w w:val="105"/>
                      <w:sz w:val="20"/>
                    </w:rPr>
                    <w:t>during</w:t>
                  </w:r>
                  <w:r>
                    <w:rPr>
                      <w:rFonts w:ascii="Times New Roman"/>
                      <w:i/>
                      <w:color w:val="414141"/>
                      <w:spacing w:val="-4"/>
                      <w:w w:val="105"/>
                      <w:sz w:val="20"/>
                    </w:rPr>
                    <w:t> </w:t>
                  </w:r>
                  <w:r>
                    <w:rPr>
                      <w:rFonts w:ascii="Times New Roman"/>
                      <w:i/>
                      <w:color w:val="414141"/>
                      <w:w w:val="105"/>
                      <w:sz w:val="20"/>
                    </w:rPr>
                    <w:t>the</w:t>
                  </w:r>
                  <w:r>
                    <w:rPr>
                      <w:rFonts w:ascii="Times New Roman"/>
                      <w:i/>
                      <w:color w:val="414141"/>
                      <w:spacing w:val="-14"/>
                      <w:w w:val="105"/>
                      <w:sz w:val="20"/>
                    </w:rPr>
                    <w:t> </w:t>
                  </w:r>
                  <w:r>
                    <w:rPr>
                      <w:rFonts w:ascii="Times New Roman"/>
                      <w:i/>
                      <w:color w:val="414141"/>
                      <w:w w:val="105"/>
                      <w:sz w:val="20"/>
                    </w:rPr>
                    <w:t>year</w:t>
                  </w:r>
                  <w:r>
                    <w:rPr>
                      <w:rFonts w:ascii="Times New Roman"/>
                      <w:i/>
                      <w:color w:val="414141"/>
                      <w:spacing w:val="-5"/>
                      <w:w w:val="105"/>
                      <w:sz w:val="20"/>
                    </w:rPr>
                    <w:t> </w:t>
                  </w:r>
                  <w:r>
                    <w:rPr>
                      <w:rFonts w:ascii="Times New Roman"/>
                      <w:i/>
                      <w:color w:val="414141"/>
                      <w:w w:val="105"/>
                      <w:sz w:val="20"/>
                    </w:rPr>
                    <w:t>so</w:t>
                  </w:r>
                  <w:r>
                    <w:rPr>
                      <w:rFonts w:ascii="Times New Roman"/>
                      <w:i/>
                      <w:color w:val="414141"/>
                      <w:spacing w:val="-9"/>
                      <w:w w:val="105"/>
                      <w:sz w:val="20"/>
                    </w:rPr>
                    <w:t> </w:t>
                  </w:r>
                  <w:r>
                    <w:rPr>
                      <w:rFonts w:ascii="Times New Roman"/>
                      <w:i/>
                      <w:color w:val="414141"/>
                      <w:w w:val="105"/>
                      <w:sz w:val="20"/>
                    </w:rPr>
                    <w:t>as</w:t>
                  </w:r>
                  <w:r>
                    <w:rPr>
                      <w:rFonts w:ascii="Times New Roman"/>
                      <w:i/>
                      <w:color w:val="414141"/>
                      <w:spacing w:val="-5"/>
                      <w:w w:val="105"/>
                      <w:sz w:val="20"/>
                    </w:rPr>
                    <w:t> </w:t>
                  </w:r>
                  <w:r>
                    <w:rPr>
                      <w:rFonts w:ascii="Times New Roman"/>
                      <w:i/>
                      <w:color w:val="2D2D2D"/>
                      <w:w w:val="105"/>
                      <w:sz w:val="20"/>
                    </w:rPr>
                    <w:t>to</w:t>
                  </w:r>
                  <w:r>
                    <w:rPr>
                      <w:rFonts w:ascii="Times New Roman"/>
                      <w:i/>
                      <w:color w:val="2D2D2D"/>
                      <w:spacing w:val="1"/>
                      <w:w w:val="105"/>
                      <w:sz w:val="20"/>
                    </w:rPr>
                    <w:t> </w:t>
                  </w:r>
                  <w:r>
                    <w:rPr>
                      <w:rFonts w:ascii="Times New Roman"/>
                      <w:i/>
                      <w:color w:val="2D2D2D"/>
                      <w:w w:val="105"/>
                      <w:sz w:val="20"/>
                    </w:rPr>
                    <w:t>increase</w:t>
                  </w:r>
                  <w:r>
                    <w:rPr>
                      <w:rFonts w:ascii="Times New Roman"/>
                      <w:i/>
                      <w:color w:val="2D2D2D"/>
                      <w:spacing w:val="-6"/>
                      <w:w w:val="105"/>
                      <w:sz w:val="20"/>
                    </w:rPr>
                    <w:t> </w:t>
                  </w:r>
                  <w:r>
                    <w:rPr>
                      <w:rFonts w:ascii="Times New Roman"/>
                      <w:i/>
                      <w:color w:val="414141"/>
                      <w:w w:val="105"/>
                      <w:sz w:val="20"/>
                    </w:rPr>
                    <w:t>our</w:t>
                  </w:r>
                  <w:r>
                    <w:rPr>
                      <w:rFonts w:ascii="Times New Roman"/>
                      <w:i/>
                      <w:color w:val="414141"/>
                      <w:spacing w:val="-20"/>
                      <w:w w:val="105"/>
                      <w:sz w:val="20"/>
                    </w:rPr>
                    <w:t> </w:t>
                  </w:r>
                  <w:r>
                    <w:rPr>
                      <w:rFonts w:ascii="Times New Roman"/>
                      <w:i/>
                      <w:color w:val="414141"/>
                      <w:w w:val="105"/>
                      <w:sz w:val="20"/>
                    </w:rPr>
                    <w:t>cash</w:t>
                  </w:r>
                  <w:r>
                    <w:rPr>
                      <w:rFonts w:ascii="Times New Roman"/>
                      <w:i/>
                      <w:color w:val="414141"/>
                      <w:spacing w:val="-10"/>
                      <w:w w:val="105"/>
                      <w:sz w:val="20"/>
                    </w:rPr>
                    <w:t> </w:t>
                  </w:r>
                  <w:r>
                    <w:rPr>
                      <w:rFonts w:ascii="Times New Roman"/>
                      <w:i/>
                      <w:color w:val="414141"/>
                      <w:w w:val="105"/>
                      <w:sz w:val="20"/>
                    </w:rPr>
                    <w:t>balances</w:t>
                  </w:r>
                  <w:r>
                    <w:rPr>
                      <w:rFonts w:ascii="Times New Roman"/>
                      <w:i/>
                      <w:color w:val="414141"/>
                      <w:spacing w:val="1"/>
                      <w:w w:val="105"/>
                      <w:sz w:val="20"/>
                    </w:rPr>
                    <w:t> </w:t>
                  </w:r>
                  <w:r>
                    <w:rPr>
                      <w:rFonts w:ascii="Times New Roman"/>
                      <w:i/>
                      <w:color w:val="414141"/>
                      <w:w w:val="105"/>
                      <w:sz w:val="20"/>
                    </w:rPr>
                    <w:t>by</w:t>
                  </w:r>
                </w:p>
                <w:p>
                  <w:pPr>
                    <w:spacing w:before="7"/>
                    <w:ind w:left="4006" w:right="3987" w:firstLine="0"/>
                    <w:jc w:val="center"/>
                    <w:rPr>
                      <w:rFonts w:ascii="Times New Roman" w:hAnsi="Times New Roman"/>
                      <w:i/>
                      <w:sz w:val="20"/>
                    </w:rPr>
                  </w:pPr>
                  <w:r>
                    <w:rPr>
                      <w:rFonts w:ascii="Times New Roman" w:hAnsi="Times New Roman"/>
                      <w:i/>
                      <w:color w:val="2D2D2D"/>
                      <w:w w:val="105"/>
                      <w:sz w:val="20"/>
                    </w:rPr>
                    <w:t>£923,000</w:t>
                  </w:r>
                </w:p>
              </w:txbxContent>
            </v:textbox>
            <v:stroke dashstyle="solid"/>
            <w10:wrap type="topAndBottom"/>
          </v:shape>
        </w:pict>
      </w:r>
      <w:r>
        <w:rPr>
          <w:rFonts w:ascii="Times New Roman"/>
          <w:color w:val="2D2D2D"/>
          <w:w w:val="105"/>
          <w:sz w:val="20"/>
        </w:rPr>
        <w:t>The </w:t>
      </w:r>
      <w:r>
        <w:rPr>
          <w:rFonts w:ascii="Times New Roman"/>
          <w:color w:val="414141"/>
          <w:w w:val="105"/>
          <w:sz w:val="20"/>
        </w:rPr>
        <w:t>notes </w:t>
      </w:r>
      <w:r>
        <w:rPr>
          <w:rFonts w:ascii="Times New Roman"/>
          <w:color w:val="2D2D2D"/>
          <w:w w:val="105"/>
          <w:sz w:val="20"/>
        </w:rPr>
        <w:t>on pages </w:t>
      </w:r>
      <w:r>
        <w:rPr>
          <w:rFonts w:ascii="Times New Roman"/>
          <w:color w:val="414141"/>
          <w:w w:val="105"/>
          <w:sz w:val="20"/>
        </w:rPr>
        <w:t>14 to 23 </w:t>
      </w:r>
      <w:r>
        <w:rPr>
          <w:rFonts w:ascii="Times New Roman"/>
          <w:color w:val="2D2D2D"/>
          <w:w w:val="105"/>
          <w:sz w:val="20"/>
        </w:rPr>
        <w:t>form </w:t>
      </w:r>
      <w:r>
        <w:rPr>
          <w:rFonts w:ascii="Times New Roman"/>
          <w:color w:val="414141"/>
          <w:w w:val="105"/>
          <w:sz w:val="20"/>
        </w:rPr>
        <w:t>an integral </w:t>
      </w:r>
      <w:r>
        <w:rPr>
          <w:rFonts w:ascii="Times New Roman"/>
          <w:color w:val="2D2D2D"/>
          <w:w w:val="105"/>
          <w:sz w:val="20"/>
        </w:rPr>
        <w:t>part of </w:t>
      </w:r>
      <w:r>
        <w:rPr>
          <w:rFonts w:ascii="Times New Roman"/>
          <w:color w:val="414141"/>
          <w:w w:val="105"/>
          <w:sz w:val="20"/>
        </w:rPr>
        <w:t>these </w:t>
      </w:r>
      <w:r>
        <w:rPr>
          <w:rFonts w:ascii="Times New Roman"/>
          <w:color w:val="2D2D2D"/>
          <w:w w:val="105"/>
          <w:sz w:val="20"/>
        </w:rPr>
        <w:t>financial </w:t>
      </w:r>
      <w:r>
        <w:rPr>
          <w:rFonts w:ascii="Times New Roman"/>
          <w:color w:val="414141"/>
          <w:w w:val="105"/>
          <w:sz w:val="20"/>
        </w:rPr>
        <w:t>statements</w:t>
      </w:r>
    </w:p>
    <w:p>
      <w:pPr>
        <w:spacing w:after="0"/>
        <w:jc w:val="left"/>
        <w:rPr>
          <w:rFonts w:ascii="Times New Roman"/>
          <w:sz w:val="20"/>
        </w:rPr>
        <w:sectPr>
          <w:headerReference w:type="default" r:id="rId506"/>
          <w:headerReference w:type="even" r:id="rId507"/>
          <w:footerReference w:type="default" r:id="rId508"/>
          <w:pgSz w:w="10950" w:h="15880"/>
          <w:pgMar w:header="242" w:footer="0" w:top="460" w:bottom="280" w:left="500" w:right="0"/>
          <w:pgNumType w:start="13"/>
        </w:sectPr>
      </w:pPr>
    </w:p>
    <w:p>
      <w:pPr>
        <w:spacing w:before="14"/>
        <w:ind w:left="1297" w:right="1233" w:firstLine="0"/>
        <w:jc w:val="center"/>
        <w:rPr>
          <w:rFonts w:ascii="Times New Roman"/>
          <w:b/>
          <w:sz w:val="22"/>
        </w:rPr>
      </w:pPr>
      <w:bookmarkStart w:name="_TOC_250013" w:id="8"/>
      <w:r>
        <w:rPr>
          <w:rFonts w:ascii="Times New Roman"/>
          <w:b/>
          <w:color w:val="131313"/>
          <w:w w:val="105"/>
          <w:sz w:val="22"/>
        </w:rPr>
        <w:t>NOTES TO </w:t>
      </w:r>
      <w:bookmarkEnd w:id="8"/>
      <w:r>
        <w:rPr>
          <w:rFonts w:ascii="Times New Roman"/>
          <w:b/>
          <w:color w:val="242424"/>
          <w:w w:val="105"/>
          <w:sz w:val="22"/>
        </w:rPr>
        <w:t>THE ACCOUNTS</w:t>
      </w:r>
    </w:p>
    <w:p>
      <w:pPr>
        <w:pStyle w:val="BodyText"/>
        <w:spacing w:before="7"/>
        <w:rPr>
          <w:rFonts w:ascii="Times New Roman"/>
          <w:b/>
          <w:sz w:val="11"/>
        </w:rPr>
      </w:pPr>
    </w:p>
    <w:p>
      <w:pPr>
        <w:tabs>
          <w:tab w:pos="2194" w:val="left" w:leader="none"/>
        </w:tabs>
        <w:spacing w:before="93"/>
        <w:ind w:left="1009" w:right="0" w:firstLine="0"/>
        <w:jc w:val="left"/>
        <w:rPr>
          <w:rFonts w:ascii="Times New Roman"/>
          <w:b/>
          <w:sz w:val="18"/>
        </w:rPr>
      </w:pPr>
      <w:r>
        <w:rPr>
          <w:rFonts w:ascii="Times New Roman"/>
          <w:b/>
          <w:color w:val="242424"/>
          <w:w w:val="105"/>
          <w:sz w:val="18"/>
        </w:rPr>
        <w:t>NOTEt</w:t>
        <w:tab/>
        <w:t>ACCO</w:t>
      </w:r>
      <w:r>
        <w:rPr>
          <w:rFonts w:ascii="Times New Roman"/>
          <w:b/>
          <w:color w:val="3F3F3F"/>
          <w:w w:val="105"/>
          <w:sz w:val="18"/>
        </w:rPr>
        <w:t>U</w:t>
      </w:r>
      <w:r>
        <w:rPr>
          <w:rFonts w:ascii="Times New Roman"/>
          <w:b/>
          <w:color w:val="242424"/>
          <w:w w:val="105"/>
          <w:sz w:val="18"/>
        </w:rPr>
        <w:t>N</w:t>
      </w:r>
      <w:r>
        <w:rPr>
          <w:rFonts w:ascii="Times New Roman"/>
          <w:b/>
          <w:color w:val="3F3F3F"/>
          <w:w w:val="105"/>
          <w:sz w:val="18"/>
        </w:rPr>
        <w:t>TIN</w:t>
      </w:r>
      <w:r>
        <w:rPr>
          <w:rFonts w:ascii="Times New Roman"/>
          <w:b/>
          <w:color w:val="242424"/>
          <w:w w:val="105"/>
          <w:sz w:val="18"/>
        </w:rPr>
        <w:t>G</w:t>
      </w:r>
      <w:r>
        <w:rPr>
          <w:rFonts w:ascii="Times New Roman"/>
          <w:b/>
          <w:color w:val="242424"/>
          <w:spacing w:val="1"/>
          <w:w w:val="105"/>
          <w:sz w:val="18"/>
        </w:rPr>
        <w:t> </w:t>
      </w:r>
      <w:r>
        <w:rPr>
          <w:rFonts w:ascii="Times New Roman"/>
          <w:b/>
          <w:color w:val="131313"/>
          <w:w w:val="105"/>
          <w:sz w:val="18"/>
        </w:rPr>
        <w:t>POLICIES</w:t>
      </w:r>
    </w:p>
    <w:p>
      <w:pPr>
        <w:spacing w:line="244" w:lineRule="auto" w:before="111"/>
        <w:ind w:left="995" w:right="735" w:firstLine="1"/>
        <w:jc w:val="both"/>
        <w:rPr>
          <w:rFonts w:ascii="Times New Roman"/>
          <w:sz w:val="19"/>
        </w:rPr>
      </w:pPr>
      <w:r>
        <w:rPr>
          <w:rFonts w:ascii="Times New Roman"/>
          <w:color w:val="3F3F3F"/>
          <w:w w:val="105"/>
          <w:sz w:val="19"/>
        </w:rPr>
        <w:t>These</w:t>
      </w:r>
      <w:r>
        <w:rPr>
          <w:rFonts w:ascii="Times New Roman"/>
          <w:color w:val="3F3F3F"/>
          <w:spacing w:val="-9"/>
          <w:w w:val="105"/>
          <w:sz w:val="19"/>
        </w:rPr>
        <w:t> </w:t>
      </w:r>
      <w:r>
        <w:rPr>
          <w:rFonts w:ascii="Times New Roman"/>
          <w:color w:val="3F3F3F"/>
          <w:w w:val="105"/>
          <w:sz w:val="19"/>
        </w:rPr>
        <w:t>accounts</w:t>
      </w:r>
      <w:r>
        <w:rPr>
          <w:rFonts w:ascii="Times New Roman"/>
          <w:color w:val="3F3F3F"/>
          <w:spacing w:val="-3"/>
          <w:w w:val="105"/>
          <w:sz w:val="19"/>
        </w:rPr>
        <w:t> </w:t>
      </w:r>
      <w:r>
        <w:rPr>
          <w:rFonts w:ascii="Times New Roman"/>
          <w:color w:val="3F3F3F"/>
          <w:w w:val="105"/>
          <w:sz w:val="19"/>
        </w:rPr>
        <w:t>have</w:t>
      </w:r>
      <w:r>
        <w:rPr>
          <w:rFonts w:ascii="Times New Roman"/>
          <w:color w:val="3F3F3F"/>
          <w:spacing w:val="-6"/>
          <w:w w:val="105"/>
          <w:sz w:val="19"/>
        </w:rPr>
        <w:t> </w:t>
      </w:r>
      <w:r>
        <w:rPr>
          <w:rFonts w:ascii="Times New Roman"/>
          <w:color w:val="3F3F3F"/>
          <w:w w:val="105"/>
          <w:sz w:val="19"/>
        </w:rPr>
        <w:t>been</w:t>
      </w:r>
      <w:r>
        <w:rPr>
          <w:rFonts w:ascii="Times New Roman"/>
          <w:color w:val="3F3F3F"/>
          <w:spacing w:val="-2"/>
          <w:w w:val="105"/>
          <w:sz w:val="19"/>
        </w:rPr>
        <w:t> </w:t>
      </w:r>
      <w:r>
        <w:rPr>
          <w:rFonts w:ascii="Times New Roman"/>
          <w:color w:val="242424"/>
          <w:w w:val="105"/>
          <w:sz w:val="19"/>
        </w:rPr>
        <w:t>p</w:t>
      </w:r>
      <w:r>
        <w:rPr>
          <w:rFonts w:ascii="Times New Roman"/>
          <w:color w:val="3F3F3F"/>
          <w:w w:val="105"/>
          <w:sz w:val="19"/>
        </w:rPr>
        <w:t>repar</w:t>
      </w:r>
      <w:r>
        <w:rPr>
          <w:rFonts w:ascii="Times New Roman"/>
          <w:color w:val="242424"/>
          <w:w w:val="105"/>
          <w:sz w:val="19"/>
        </w:rPr>
        <w:t>e</w:t>
      </w:r>
      <w:r>
        <w:rPr>
          <w:rFonts w:ascii="Times New Roman"/>
          <w:color w:val="3F3F3F"/>
          <w:w w:val="105"/>
          <w:sz w:val="19"/>
        </w:rPr>
        <w:t>d</w:t>
      </w:r>
      <w:r>
        <w:rPr>
          <w:rFonts w:ascii="Times New Roman"/>
          <w:color w:val="3F3F3F"/>
          <w:spacing w:val="4"/>
          <w:w w:val="105"/>
          <w:sz w:val="19"/>
        </w:rPr>
        <w:t> </w:t>
      </w:r>
      <w:r>
        <w:rPr>
          <w:rFonts w:ascii="Times New Roman"/>
          <w:color w:val="3F3F3F"/>
          <w:w w:val="105"/>
          <w:sz w:val="19"/>
        </w:rPr>
        <w:t>unde</w:t>
      </w:r>
      <w:r>
        <w:rPr>
          <w:rFonts w:ascii="Times New Roman"/>
          <w:color w:val="242424"/>
          <w:w w:val="105"/>
          <w:sz w:val="19"/>
        </w:rPr>
        <w:t>r</w:t>
      </w:r>
      <w:r>
        <w:rPr>
          <w:rFonts w:ascii="Times New Roman"/>
          <w:color w:val="242424"/>
          <w:spacing w:val="-10"/>
          <w:w w:val="105"/>
          <w:sz w:val="19"/>
        </w:rPr>
        <w:t> </w:t>
      </w:r>
      <w:r>
        <w:rPr>
          <w:rFonts w:ascii="Times New Roman"/>
          <w:color w:val="3F3F3F"/>
          <w:w w:val="105"/>
          <w:sz w:val="19"/>
        </w:rPr>
        <w:t>the</w:t>
      </w:r>
      <w:r>
        <w:rPr>
          <w:rFonts w:ascii="Times New Roman"/>
          <w:color w:val="3F3F3F"/>
          <w:spacing w:val="-15"/>
          <w:w w:val="105"/>
          <w:sz w:val="19"/>
        </w:rPr>
        <w:t> </w:t>
      </w:r>
      <w:r>
        <w:rPr>
          <w:rFonts w:ascii="Times New Roman"/>
          <w:color w:val="3F3F3F"/>
          <w:spacing w:val="-3"/>
          <w:w w:val="105"/>
          <w:sz w:val="19"/>
        </w:rPr>
        <w:t>h</w:t>
      </w:r>
      <w:r>
        <w:rPr>
          <w:rFonts w:ascii="Times New Roman"/>
          <w:color w:val="242424"/>
          <w:spacing w:val="-3"/>
          <w:w w:val="105"/>
          <w:sz w:val="19"/>
        </w:rPr>
        <w:t>i</w:t>
      </w:r>
      <w:r>
        <w:rPr>
          <w:rFonts w:ascii="Times New Roman"/>
          <w:color w:val="3F3F3F"/>
          <w:spacing w:val="-3"/>
          <w:w w:val="105"/>
          <w:sz w:val="19"/>
        </w:rPr>
        <w:t>storica</w:t>
      </w:r>
      <w:r>
        <w:rPr>
          <w:rFonts w:ascii="Times New Roman"/>
          <w:color w:val="3F3F3F"/>
          <w:spacing w:val="-6"/>
          <w:w w:val="105"/>
          <w:sz w:val="19"/>
        </w:rPr>
        <w:t> </w:t>
      </w:r>
      <w:r>
        <w:rPr>
          <w:rFonts w:ascii="Times New Roman"/>
          <w:color w:val="3F3F3F"/>
          <w:w w:val="105"/>
          <w:sz w:val="19"/>
        </w:rPr>
        <w:t>l</w:t>
      </w:r>
      <w:r>
        <w:rPr>
          <w:rFonts w:ascii="Times New Roman"/>
          <w:color w:val="3F3F3F"/>
          <w:spacing w:val="-7"/>
          <w:w w:val="105"/>
          <w:sz w:val="19"/>
        </w:rPr>
        <w:t> </w:t>
      </w:r>
      <w:r>
        <w:rPr>
          <w:rFonts w:ascii="Times New Roman"/>
          <w:color w:val="3F3F3F"/>
          <w:w w:val="105"/>
          <w:sz w:val="19"/>
        </w:rPr>
        <w:t>cost</w:t>
      </w:r>
      <w:r>
        <w:rPr>
          <w:rFonts w:ascii="Times New Roman"/>
          <w:color w:val="3F3F3F"/>
          <w:spacing w:val="-13"/>
          <w:w w:val="105"/>
          <w:sz w:val="19"/>
        </w:rPr>
        <w:t> </w:t>
      </w:r>
      <w:r>
        <w:rPr>
          <w:rFonts w:ascii="Times New Roman"/>
          <w:color w:val="3F3F3F"/>
          <w:w w:val="105"/>
          <w:sz w:val="19"/>
        </w:rPr>
        <w:t>co</w:t>
      </w:r>
      <w:r>
        <w:rPr>
          <w:rFonts w:ascii="Times New Roman"/>
          <w:color w:val="242424"/>
          <w:w w:val="105"/>
          <w:sz w:val="19"/>
        </w:rPr>
        <w:t>n</w:t>
      </w:r>
      <w:r>
        <w:rPr>
          <w:rFonts w:ascii="Times New Roman"/>
          <w:color w:val="3F3F3F"/>
          <w:w w:val="105"/>
          <w:sz w:val="19"/>
        </w:rPr>
        <w:t>vention,</w:t>
      </w:r>
      <w:r>
        <w:rPr>
          <w:rFonts w:ascii="Times New Roman"/>
          <w:color w:val="3F3F3F"/>
          <w:spacing w:val="24"/>
          <w:w w:val="105"/>
          <w:sz w:val="19"/>
        </w:rPr>
        <w:t> </w:t>
      </w:r>
      <w:r>
        <w:rPr>
          <w:rFonts w:ascii="Times New Roman"/>
          <w:color w:val="3F3F3F"/>
          <w:w w:val="105"/>
          <w:sz w:val="19"/>
        </w:rPr>
        <w:t>as</w:t>
      </w:r>
      <w:r>
        <w:rPr>
          <w:rFonts w:ascii="Times New Roman"/>
          <w:color w:val="3F3F3F"/>
          <w:spacing w:val="-7"/>
          <w:w w:val="105"/>
          <w:sz w:val="19"/>
        </w:rPr>
        <w:t> </w:t>
      </w:r>
      <w:r>
        <w:rPr>
          <w:rFonts w:ascii="Times New Roman"/>
          <w:color w:val="3F3F3F"/>
          <w:spacing w:val="-6"/>
          <w:w w:val="105"/>
          <w:sz w:val="19"/>
        </w:rPr>
        <w:t>modifie</w:t>
      </w:r>
      <w:r>
        <w:rPr>
          <w:rFonts w:ascii="Times New Roman"/>
          <w:color w:val="242424"/>
          <w:spacing w:val="-6"/>
          <w:w w:val="105"/>
          <w:sz w:val="19"/>
        </w:rPr>
        <w:t>d</w:t>
      </w:r>
      <w:r>
        <w:rPr>
          <w:rFonts w:ascii="Times New Roman"/>
          <w:color w:val="242424"/>
          <w:spacing w:val="-5"/>
          <w:w w:val="105"/>
          <w:sz w:val="19"/>
        </w:rPr>
        <w:t> </w:t>
      </w:r>
      <w:r>
        <w:rPr>
          <w:rFonts w:ascii="Times New Roman"/>
          <w:color w:val="3F3F3F"/>
          <w:w w:val="105"/>
          <w:sz w:val="19"/>
        </w:rPr>
        <w:t>by</w:t>
      </w:r>
      <w:r>
        <w:rPr>
          <w:rFonts w:ascii="Times New Roman"/>
          <w:color w:val="3F3F3F"/>
          <w:spacing w:val="-12"/>
          <w:w w:val="105"/>
          <w:sz w:val="19"/>
        </w:rPr>
        <w:t> </w:t>
      </w:r>
      <w:r>
        <w:rPr>
          <w:rFonts w:ascii="Times New Roman"/>
          <w:color w:val="3F3F3F"/>
          <w:w w:val="105"/>
          <w:sz w:val="19"/>
        </w:rPr>
        <w:t>t</w:t>
      </w:r>
      <w:r>
        <w:rPr>
          <w:rFonts w:ascii="Times New Roman"/>
          <w:color w:val="242424"/>
          <w:w w:val="105"/>
          <w:sz w:val="19"/>
        </w:rPr>
        <w:t>h</w:t>
      </w:r>
      <w:r>
        <w:rPr>
          <w:rFonts w:ascii="Times New Roman"/>
          <w:color w:val="3F3F3F"/>
          <w:w w:val="105"/>
          <w:sz w:val="19"/>
        </w:rPr>
        <w:t>e</w:t>
      </w:r>
      <w:r>
        <w:rPr>
          <w:rFonts w:ascii="Times New Roman"/>
          <w:color w:val="3F3F3F"/>
          <w:spacing w:val="3"/>
          <w:w w:val="105"/>
          <w:sz w:val="19"/>
        </w:rPr>
        <w:t> </w:t>
      </w:r>
      <w:r>
        <w:rPr>
          <w:rFonts w:ascii="Times New Roman"/>
          <w:color w:val="3F3F3F"/>
          <w:w w:val="105"/>
          <w:sz w:val="19"/>
        </w:rPr>
        <w:t>inclusion</w:t>
      </w:r>
      <w:r>
        <w:rPr>
          <w:rFonts w:ascii="Times New Roman"/>
          <w:color w:val="3F3F3F"/>
          <w:spacing w:val="-3"/>
          <w:w w:val="105"/>
          <w:sz w:val="19"/>
        </w:rPr>
        <w:t> </w:t>
      </w:r>
      <w:r>
        <w:rPr>
          <w:rFonts w:ascii="Times New Roman"/>
          <w:color w:val="3F3F3F"/>
          <w:w w:val="105"/>
          <w:sz w:val="19"/>
        </w:rPr>
        <w:t>of</w:t>
      </w:r>
      <w:r>
        <w:rPr>
          <w:rFonts w:ascii="Times New Roman"/>
          <w:color w:val="3F3F3F"/>
          <w:spacing w:val="-13"/>
          <w:w w:val="105"/>
          <w:sz w:val="19"/>
        </w:rPr>
        <w:t> </w:t>
      </w:r>
      <w:r>
        <w:rPr>
          <w:rFonts w:ascii="Times New Roman"/>
          <w:color w:val="3F3F3F"/>
          <w:w w:val="105"/>
          <w:sz w:val="19"/>
        </w:rPr>
        <w:t>listed </w:t>
      </w:r>
      <w:r>
        <w:rPr>
          <w:rFonts w:ascii="Times New Roman"/>
          <w:color w:val="242424"/>
          <w:spacing w:val="-4"/>
          <w:w w:val="105"/>
          <w:sz w:val="19"/>
        </w:rPr>
        <w:t>in</w:t>
      </w:r>
      <w:r>
        <w:rPr>
          <w:rFonts w:ascii="Times New Roman"/>
          <w:color w:val="3F3F3F"/>
          <w:spacing w:val="-4"/>
          <w:w w:val="105"/>
          <w:sz w:val="19"/>
        </w:rPr>
        <w:t>vestments </w:t>
      </w:r>
      <w:r>
        <w:rPr>
          <w:rFonts w:ascii="Times New Roman"/>
          <w:color w:val="3F3F3F"/>
          <w:w w:val="105"/>
          <w:sz w:val="19"/>
        </w:rPr>
        <w:t>and investment p</w:t>
      </w:r>
      <w:r>
        <w:rPr>
          <w:rFonts w:ascii="Times New Roman"/>
          <w:color w:val="242424"/>
          <w:w w:val="105"/>
          <w:sz w:val="19"/>
        </w:rPr>
        <w:t>r</w:t>
      </w:r>
      <w:r>
        <w:rPr>
          <w:rFonts w:ascii="Times New Roman"/>
          <w:color w:val="3F3F3F"/>
          <w:w w:val="105"/>
          <w:sz w:val="19"/>
        </w:rPr>
        <w:t>o</w:t>
      </w:r>
      <w:r>
        <w:rPr>
          <w:rFonts w:ascii="Times New Roman"/>
          <w:color w:val="242424"/>
          <w:w w:val="105"/>
          <w:sz w:val="19"/>
        </w:rPr>
        <w:t>p</w:t>
      </w:r>
      <w:r>
        <w:rPr>
          <w:rFonts w:ascii="Times New Roman"/>
          <w:color w:val="3F3F3F"/>
          <w:w w:val="105"/>
          <w:sz w:val="19"/>
        </w:rPr>
        <w:t>erties </w:t>
      </w:r>
      <w:r>
        <w:rPr>
          <w:rFonts w:ascii="Times New Roman"/>
          <w:color w:val="3F3F3F"/>
          <w:spacing w:val="3"/>
          <w:w w:val="105"/>
          <w:sz w:val="19"/>
        </w:rPr>
        <w:t>a</w:t>
      </w:r>
      <w:r>
        <w:rPr>
          <w:rFonts w:ascii="Times New Roman"/>
          <w:color w:val="242424"/>
          <w:spacing w:val="3"/>
          <w:w w:val="105"/>
          <w:sz w:val="19"/>
        </w:rPr>
        <w:t>t </w:t>
      </w:r>
      <w:r>
        <w:rPr>
          <w:rFonts w:ascii="Times New Roman"/>
          <w:color w:val="3F3F3F"/>
          <w:spacing w:val="-6"/>
          <w:w w:val="105"/>
          <w:sz w:val="19"/>
        </w:rPr>
        <w:t>mar</w:t>
      </w:r>
      <w:r>
        <w:rPr>
          <w:rFonts w:ascii="Times New Roman"/>
          <w:color w:val="242424"/>
          <w:spacing w:val="-6"/>
          <w:w w:val="105"/>
          <w:sz w:val="19"/>
        </w:rPr>
        <w:t>k</w:t>
      </w:r>
      <w:r>
        <w:rPr>
          <w:rFonts w:ascii="Times New Roman"/>
          <w:color w:val="3F3F3F"/>
          <w:spacing w:val="-6"/>
          <w:w w:val="105"/>
          <w:sz w:val="19"/>
        </w:rPr>
        <w:t>et </w:t>
      </w:r>
      <w:r>
        <w:rPr>
          <w:rFonts w:ascii="Times New Roman"/>
          <w:color w:val="3F3F3F"/>
          <w:spacing w:val="-7"/>
          <w:w w:val="105"/>
          <w:sz w:val="19"/>
        </w:rPr>
        <w:t>va</w:t>
      </w:r>
      <w:r>
        <w:rPr>
          <w:rFonts w:ascii="Times New Roman"/>
          <w:color w:val="242424"/>
          <w:spacing w:val="-7"/>
          <w:w w:val="105"/>
          <w:sz w:val="19"/>
        </w:rPr>
        <w:t>lu</w:t>
      </w:r>
      <w:r>
        <w:rPr>
          <w:rFonts w:ascii="Times New Roman"/>
          <w:color w:val="3F3F3F"/>
          <w:spacing w:val="-7"/>
          <w:w w:val="105"/>
          <w:sz w:val="19"/>
        </w:rPr>
        <w:t>e. </w:t>
      </w:r>
      <w:r>
        <w:rPr>
          <w:rFonts w:ascii="Times New Roman"/>
          <w:color w:val="3F3F3F"/>
          <w:w w:val="105"/>
          <w:sz w:val="19"/>
        </w:rPr>
        <w:t>The </w:t>
      </w:r>
      <w:r>
        <w:rPr>
          <w:rFonts w:ascii="Times New Roman"/>
          <w:color w:val="3F3F3F"/>
          <w:spacing w:val="-5"/>
          <w:w w:val="105"/>
          <w:sz w:val="19"/>
        </w:rPr>
        <w:t>accoun</w:t>
      </w:r>
      <w:r>
        <w:rPr>
          <w:rFonts w:ascii="Times New Roman"/>
          <w:color w:val="242424"/>
          <w:spacing w:val="-5"/>
          <w:w w:val="105"/>
          <w:sz w:val="19"/>
        </w:rPr>
        <w:t>t</w:t>
      </w:r>
      <w:r>
        <w:rPr>
          <w:rFonts w:ascii="Times New Roman"/>
          <w:color w:val="3F3F3F"/>
          <w:spacing w:val="-5"/>
          <w:w w:val="105"/>
          <w:sz w:val="19"/>
        </w:rPr>
        <w:t>s </w:t>
      </w:r>
      <w:r>
        <w:rPr>
          <w:rFonts w:ascii="Times New Roman"/>
          <w:color w:val="3F3F3F"/>
          <w:w w:val="105"/>
          <w:sz w:val="19"/>
        </w:rPr>
        <w:t>have been prepa</w:t>
      </w:r>
      <w:r>
        <w:rPr>
          <w:rFonts w:ascii="Times New Roman"/>
          <w:color w:val="242424"/>
          <w:w w:val="105"/>
          <w:sz w:val="19"/>
        </w:rPr>
        <w:t>r</w:t>
      </w:r>
      <w:r>
        <w:rPr>
          <w:rFonts w:ascii="Times New Roman"/>
          <w:color w:val="3F3F3F"/>
          <w:w w:val="105"/>
          <w:sz w:val="19"/>
        </w:rPr>
        <w:t>ed in accordance with "Accounting</w:t>
      </w:r>
      <w:r>
        <w:rPr>
          <w:rFonts w:ascii="Times New Roman"/>
          <w:color w:val="3F3F3F"/>
          <w:spacing w:val="-28"/>
          <w:w w:val="105"/>
          <w:sz w:val="19"/>
        </w:rPr>
        <w:t> </w:t>
      </w:r>
      <w:r>
        <w:rPr>
          <w:rFonts w:ascii="Times New Roman"/>
          <w:color w:val="3F3F3F"/>
          <w:w w:val="105"/>
          <w:sz w:val="19"/>
        </w:rPr>
        <w:t>and</w:t>
      </w:r>
      <w:r>
        <w:rPr>
          <w:rFonts w:ascii="Times New Roman"/>
          <w:color w:val="3F3F3F"/>
          <w:spacing w:val="-31"/>
          <w:w w:val="105"/>
          <w:sz w:val="19"/>
        </w:rPr>
        <w:t> </w:t>
      </w:r>
      <w:r>
        <w:rPr>
          <w:rFonts w:ascii="Times New Roman"/>
          <w:color w:val="3F3F3F"/>
          <w:w w:val="105"/>
          <w:sz w:val="19"/>
        </w:rPr>
        <w:t>Re</w:t>
      </w:r>
      <w:r>
        <w:rPr>
          <w:rFonts w:ascii="Times New Roman"/>
          <w:color w:val="242424"/>
          <w:w w:val="105"/>
          <w:sz w:val="19"/>
        </w:rPr>
        <w:t>p</w:t>
      </w:r>
      <w:r>
        <w:rPr>
          <w:rFonts w:ascii="Times New Roman"/>
          <w:color w:val="3F3F3F"/>
          <w:w w:val="105"/>
          <w:sz w:val="19"/>
        </w:rPr>
        <w:t>orting</w:t>
      </w:r>
      <w:r>
        <w:rPr>
          <w:rFonts w:ascii="Times New Roman"/>
          <w:color w:val="3F3F3F"/>
          <w:spacing w:val="-37"/>
          <w:w w:val="105"/>
          <w:sz w:val="19"/>
        </w:rPr>
        <w:t> </w:t>
      </w:r>
      <w:r>
        <w:rPr>
          <w:rFonts w:ascii="Times New Roman"/>
          <w:color w:val="3F3F3F"/>
          <w:w w:val="105"/>
          <w:sz w:val="19"/>
        </w:rPr>
        <w:t>by</w:t>
      </w:r>
      <w:r>
        <w:rPr>
          <w:rFonts w:ascii="Times New Roman"/>
          <w:color w:val="3F3F3F"/>
          <w:spacing w:val="-33"/>
          <w:w w:val="105"/>
          <w:sz w:val="19"/>
        </w:rPr>
        <w:t> </w:t>
      </w:r>
      <w:r>
        <w:rPr>
          <w:rFonts w:ascii="Times New Roman"/>
          <w:color w:val="3F3F3F"/>
          <w:w w:val="105"/>
          <w:sz w:val="19"/>
        </w:rPr>
        <w:t>C</w:t>
      </w:r>
      <w:r>
        <w:rPr>
          <w:rFonts w:ascii="Times New Roman"/>
          <w:color w:val="242424"/>
          <w:w w:val="105"/>
          <w:sz w:val="19"/>
        </w:rPr>
        <w:t>h</w:t>
      </w:r>
      <w:r>
        <w:rPr>
          <w:rFonts w:ascii="Times New Roman"/>
          <w:color w:val="3F3F3F"/>
          <w:w w:val="105"/>
          <w:sz w:val="19"/>
        </w:rPr>
        <w:t>ar</w:t>
      </w:r>
      <w:r>
        <w:rPr>
          <w:rFonts w:ascii="Times New Roman"/>
          <w:color w:val="242424"/>
          <w:w w:val="105"/>
          <w:sz w:val="19"/>
        </w:rPr>
        <w:t>i</w:t>
      </w:r>
      <w:r>
        <w:rPr>
          <w:rFonts w:ascii="Times New Roman"/>
          <w:color w:val="3F3F3F"/>
          <w:w w:val="105"/>
          <w:sz w:val="19"/>
        </w:rPr>
        <w:t>ties:</w:t>
      </w:r>
      <w:r>
        <w:rPr>
          <w:rFonts w:ascii="Times New Roman"/>
          <w:color w:val="3F3F3F"/>
          <w:spacing w:val="-23"/>
          <w:w w:val="105"/>
          <w:sz w:val="19"/>
        </w:rPr>
        <w:t> </w:t>
      </w:r>
      <w:r>
        <w:rPr>
          <w:rFonts w:ascii="Times New Roman"/>
          <w:color w:val="3F3F3F"/>
          <w:w w:val="105"/>
          <w:sz w:val="19"/>
        </w:rPr>
        <w:t>State</w:t>
      </w:r>
      <w:r>
        <w:rPr>
          <w:rFonts w:ascii="Times New Roman"/>
          <w:color w:val="242424"/>
          <w:w w:val="105"/>
          <w:sz w:val="19"/>
        </w:rPr>
        <w:t>m</w:t>
      </w:r>
      <w:r>
        <w:rPr>
          <w:rFonts w:ascii="Times New Roman"/>
          <w:color w:val="3F3F3F"/>
          <w:w w:val="105"/>
          <w:sz w:val="19"/>
        </w:rPr>
        <w:t>ent</w:t>
      </w:r>
      <w:r>
        <w:rPr>
          <w:rFonts w:ascii="Times New Roman"/>
          <w:color w:val="3F3F3F"/>
          <w:spacing w:val="-26"/>
          <w:w w:val="105"/>
          <w:sz w:val="19"/>
        </w:rPr>
        <w:t> </w:t>
      </w:r>
      <w:r>
        <w:rPr>
          <w:rFonts w:ascii="Times New Roman"/>
          <w:color w:val="3F3F3F"/>
          <w:w w:val="105"/>
          <w:sz w:val="19"/>
        </w:rPr>
        <w:t>of</w:t>
      </w:r>
      <w:r>
        <w:rPr>
          <w:rFonts w:ascii="Times New Roman"/>
          <w:color w:val="3F3F3F"/>
          <w:spacing w:val="-39"/>
          <w:w w:val="105"/>
          <w:sz w:val="19"/>
        </w:rPr>
        <w:t> </w:t>
      </w:r>
      <w:r>
        <w:rPr>
          <w:rFonts w:ascii="Times New Roman"/>
          <w:color w:val="3F3F3F"/>
          <w:w w:val="105"/>
          <w:sz w:val="19"/>
        </w:rPr>
        <w:t>Recommended</w:t>
      </w:r>
      <w:r>
        <w:rPr>
          <w:rFonts w:ascii="Times New Roman"/>
          <w:color w:val="3F3F3F"/>
          <w:spacing w:val="-29"/>
          <w:w w:val="105"/>
          <w:sz w:val="19"/>
        </w:rPr>
        <w:t> </w:t>
      </w:r>
      <w:r>
        <w:rPr>
          <w:rFonts w:ascii="Times New Roman"/>
          <w:color w:val="3F3F3F"/>
          <w:w w:val="105"/>
          <w:sz w:val="19"/>
        </w:rPr>
        <w:t>Practice"</w:t>
      </w:r>
      <w:r>
        <w:rPr>
          <w:rFonts w:ascii="Times New Roman"/>
          <w:color w:val="3F3F3F"/>
          <w:spacing w:val="-32"/>
          <w:w w:val="105"/>
          <w:sz w:val="19"/>
        </w:rPr>
        <w:t> </w:t>
      </w:r>
      <w:r>
        <w:rPr>
          <w:rFonts w:ascii="Times New Roman"/>
          <w:color w:val="3F3F3F"/>
          <w:w w:val="105"/>
          <w:sz w:val="19"/>
        </w:rPr>
        <w:t>(revised</w:t>
      </w:r>
      <w:r>
        <w:rPr>
          <w:rFonts w:ascii="Times New Roman"/>
          <w:color w:val="3F3F3F"/>
          <w:spacing w:val="-24"/>
          <w:w w:val="105"/>
          <w:sz w:val="19"/>
        </w:rPr>
        <w:t> </w:t>
      </w:r>
      <w:r>
        <w:rPr>
          <w:rFonts w:ascii="Times New Roman"/>
          <w:color w:val="3F3F3F"/>
          <w:w w:val="105"/>
          <w:sz w:val="19"/>
        </w:rPr>
        <w:t>2005)</w:t>
      </w:r>
      <w:r>
        <w:rPr>
          <w:rFonts w:ascii="Times New Roman"/>
          <w:color w:val="3F3F3F"/>
          <w:spacing w:val="-35"/>
          <w:w w:val="105"/>
          <w:sz w:val="19"/>
        </w:rPr>
        <w:t> </w:t>
      </w:r>
      <w:r>
        <w:rPr>
          <w:rFonts w:ascii="Times New Roman"/>
          <w:color w:val="3F3F3F"/>
          <w:w w:val="105"/>
          <w:sz w:val="19"/>
        </w:rPr>
        <w:t>issued</w:t>
      </w:r>
      <w:r>
        <w:rPr>
          <w:rFonts w:ascii="Times New Roman"/>
          <w:color w:val="3F3F3F"/>
          <w:spacing w:val="-29"/>
          <w:w w:val="105"/>
          <w:sz w:val="19"/>
        </w:rPr>
        <w:t> </w:t>
      </w:r>
      <w:r>
        <w:rPr>
          <w:rFonts w:ascii="Times New Roman"/>
          <w:color w:val="3F3F3F"/>
          <w:w w:val="105"/>
          <w:sz w:val="19"/>
        </w:rPr>
        <w:t>in</w:t>
      </w:r>
      <w:r>
        <w:rPr>
          <w:rFonts w:ascii="Times New Roman"/>
          <w:color w:val="3F3F3F"/>
          <w:spacing w:val="-37"/>
          <w:w w:val="105"/>
          <w:sz w:val="19"/>
        </w:rPr>
        <w:t> </w:t>
      </w:r>
      <w:r>
        <w:rPr>
          <w:rFonts w:ascii="Times New Roman"/>
          <w:color w:val="3F3F3F"/>
          <w:w w:val="105"/>
          <w:sz w:val="19"/>
        </w:rPr>
        <w:t>February 20</w:t>
      </w:r>
      <w:r>
        <w:rPr>
          <w:rFonts w:ascii="Times New Roman"/>
          <w:color w:val="242424"/>
          <w:w w:val="105"/>
          <w:sz w:val="19"/>
        </w:rPr>
        <w:t>0</w:t>
      </w:r>
      <w:r>
        <w:rPr>
          <w:rFonts w:ascii="Times New Roman"/>
          <w:color w:val="3F3F3F"/>
          <w:w w:val="105"/>
          <w:sz w:val="19"/>
        </w:rPr>
        <w:t>5,</w:t>
      </w:r>
      <w:r>
        <w:rPr>
          <w:rFonts w:ascii="Times New Roman"/>
          <w:color w:val="3F3F3F"/>
          <w:spacing w:val="-4"/>
          <w:w w:val="105"/>
          <w:sz w:val="19"/>
        </w:rPr>
        <w:t> </w:t>
      </w:r>
      <w:r>
        <w:rPr>
          <w:rFonts w:ascii="Times New Roman"/>
          <w:color w:val="3F3F3F"/>
          <w:w w:val="105"/>
          <w:sz w:val="19"/>
        </w:rPr>
        <w:t>with</w:t>
      </w:r>
      <w:r>
        <w:rPr>
          <w:rFonts w:ascii="Times New Roman"/>
          <w:color w:val="3F3F3F"/>
          <w:spacing w:val="-12"/>
          <w:w w:val="105"/>
          <w:sz w:val="19"/>
        </w:rPr>
        <w:t> </w:t>
      </w:r>
      <w:r>
        <w:rPr>
          <w:rFonts w:ascii="Times New Roman"/>
          <w:color w:val="3F3F3F"/>
          <w:w w:val="105"/>
          <w:sz w:val="19"/>
        </w:rPr>
        <w:t>a</w:t>
      </w:r>
      <w:r>
        <w:rPr>
          <w:rFonts w:ascii="Times New Roman"/>
          <w:color w:val="242424"/>
          <w:w w:val="105"/>
          <w:sz w:val="19"/>
        </w:rPr>
        <w:t>pp</w:t>
      </w:r>
      <w:r>
        <w:rPr>
          <w:rFonts w:ascii="Times New Roman"/>
          <w:color w:val="3F3F3F"/>
          <w:w w:val="105"/>
          <w:sz w:val="19"/>
        </w:rPr>
        <w:t>licable</w:t>
      </w:r>
      <w:r>
        <w:rPr>
          <w:rFonts w:ascii="Times New Roman"/>
          <w:color w:val="3F3F3F"/>
          <w:spacing w:val="-37"/>
          <w:w w:val="105"/>
          <w:sz w:val="19"/>
        </w:rPr>
        <w:t> </w:t>
      </w:r>
      <w:r>
        <w:rPr>
          <w:rFonts w:ascii="Times New Roman"/>
          <w:color w:val="3F3F3F"/>
          <w:spacing w:val="-8"/>
          <w:w w:val="105"/>
          <w:sz w:val="19"/>
        </w:rPr>
        <w:t>Unite</w:t>
      </w:r>
      <w:r>
        <w:rPr>
          <w:rFonts w:ascii="Times New Roman"/>
          <w:color w:val="242424"/>
          <w:spacing w:val="-8"/>
          <w:w w:val="105"/>
          <w:sz w:val="19"/>
        </w:rPr>
        <w:t>d</w:t>
      </w:r>
      <w:r>
        <w:rPr>
          <w:rFonts w:ascii="Times New Roman"/>
          <w:color w:val="242424"/>
          <w:spacing w:val="-5"/>
          <w:w w:val="105"/>
          <w:sz w:val="19"/>
        </w:rPr>
        <w:t> </w:t>
      </w:r>
      <w:r>
        <w:rPr>
          <w:rFonts w:ascii="Times New Roman"/>
          <w:color w:val="242424"/>
          <w:w w:val="105"/>
          <w:sz w:val="19"/>
        </w:rPr>
        <w:t>Ki</w:t>
      </w:r>
      <w:r>
        <w:rPr>
          <w:rFonts w:ascii="Times New Roman"/>
          <w:color w:val="3F3F3F"/>
          <w:w w:val="105"/>
          <w:sz w:val="19"/>
        </w:rPr>
        <w:t>ngdom</w:t>
      </w:r>
      <w:r>
        <w:rPr>
          <w:rFonts w:ascii="Times New Roman"/>
          <w:color w:val="3F3F3F"/>
          <w:spacing w:val="-5"/>
          <w:w w:val="105"/>
          <w:sz w:val="19"/>
        </w:rPr>
        <w:t> </w:t>
      </w:r>
      <w:r>
        <w:rPr>
          <w:rFonts w:ascii="Times New Roman"/>
          <w:color w:val="3F3F3F"/>
          <w:w w:val="105"/>
          <w:sz w:val="19"/>
        </w:rPr>
        <w:t>Accounting</w:t>
      </w:r>
      <w:r>
        <w:rPr>
          <w:rFonts w:ascii="Times New Roman"/>
          <w:color w:val="3F3F3F"/>
          <w:spacing w:val="-2"/>
          <w:w w:val="105"/>
          <w:sz w:val="19"/>
        </w:rPr>
        <w:t> </w:t>
      </w:r>
      <w:r>
        <w:rPr>
          <w:rFonts w:ascii="Times New Roman"/>
          <w:color w:val="3F3F3F"/>
          <w:w w:val="105"/>
          <w:sz w:val="19"/>
        </w:rPr>
        <w:t>Standards</w:t>
      </w:r>
      <w:r>
        <w:rPr>
          <w:rFonts w:ascii="Times New Roman"/>
          <w:color w:val="3F3F3F"/>
          <w:spacing w:val="-9"/>
          <w:w w:val="105"/>
          <w:sz w:val="19"/>
        </w:rPr>
        <w:t> </w:t>
      </w:r>
      <w:r>
        <w:rPr>
          <w:rFonts w:ascii="Times New Roman"/>
          <w:color w:val="3F3F3F"/>
          <w:w w:val="105"/>
          <w:sz w:val="19"/>
        </w:rPr>
        <w:t>and</w:t>
      </w:r>
      <w:r>
        <w:rPr>
          <w:rFonts w:ascii="Times New Roman"/>
          <w:color w:val="3F3F3F"/>
          <w:spacing w:val="-14"/>
          <w:w w:val="105"/>
          <w:sz w:val="19"/>
        </w:rPr>
        <w:t> </w:t>
      </w:r>
      <w:r>
        <w:rPr>
          <w:rFonts w:ascii="Times New Roman"/>
          <w:color w:val="3F3F3F"/>
          <w:w w:val="105"/>
          <w:sz w:val="19"/>
        </w:rPr>
        <w:t>with</w:t>
      </w:r>
      <w:r>
        <w:rPr>
          <w:rFonts w:ascii="Times New Roman"/>
          <w:color w:val="3F3F3F"/>
          <w:spacing w:val="-8"/>
          <w:w w:val="105"/>
          <w:sz w:val="19"/>
        </w:rPr>
        <w:t> </w:t>
      </w:r>
      <w:r>
        <w:rPr>
          <w:rFonts w:ascii="Times New Roman"/>
          <w:color w:val="3F3F3F"/>
          <w:w w:val="105"/>
          <w:sz w:val="19"/>
        </w:rPr>
        <w:t>the</w:t>
      </w:r>
      <w:r>
        <w:rPr>
          <w:rFonts w:ascii="Times New Roman"/>
          <w:color w:val="3F3F3F"/>
          <w:spacing w:val="-24"/>
          <w:w w:val="105"/>
          <w:sz w:val="19"/>
        </w:rPr>
        <w:t> </w:t>
      </w:r>
      <w:r>
        <w:rPr>
          <w:rFonts w:ascii="Times New Roman"/>
          <w:color w:val="3F3F3F"/>
          <w:w w:val="105"/>
          <w:sz w:val="19"/>
        </w:rPr>
        <w:t>Charities</w:t>
      </w:r>
      <w:r>
        <w:rPr>
          <w:rFonts w:ascii="Times New Roman"/>
          <w:color w:val="3F3F3F"/>
          <w:spacing w:val="-13"/>
          <w:w w:val="105"/>
          <w:sz w:val="19"/>
        </w:rPr>
        <w:t> </w:t>
      </w:r>
      <w:r>
        <w:rPr>
          <w:rFonts w:ascii="Times New Roman"/>
          <w:color w:val="3F3F3F"/>
          <w:w w:val="105"/>
          <w:sz w:val="19"/>
        </w:rPr>
        <w:t>Act</w:t>
      </w:r>
      <w:r>
        <w:rPr>
          <w:rFonts w:ascii="Times New Roman"/>
          <w:color w:val="3F3F3F"/>
          <w:spacing w:val="-16"/>
          <w:w w:val="105"/>
          <w:sz w:val="19"/>
        </w:rPr>
        <w:t> </w:t>
      </w:r>
      <w:r>
        <w:rPr>
          <w:rFonts w:ascii="Times New Roman"/>
          <w:color w:val="3F3F3F"/>
          <w:w w:val="105"/>
          <w:sz w:val="19"/>
        </w:rPr>
        <w:t>1993.</w:t>
      </w:r>
      <w:r>
        <w:rPr>
          <w:rFonts w:ascii="Times New Roman"/>
          <w:color w:val="3F3F3F"/>
          <w:spacing w:val="-21"/>
          <w:w w:val="105"/>
          <w:sz w:val="19"/>
        </w:rPr>
        <w:t> </w:t>
      </w:r>
      <w:r>
        <w:rPr>
          <w:rFonts w:ascii="Times New Roman"/>
          <w:color w:val="3F3F3F"/>
          <w:w w:val="105"/>
          <w:sz w:val="19"/>
        </w:rPr>
        <w:t>Certain</w:t>
      </w:r>
      <w:r>
        <w:rPr>
          <w:rFonts w:ascii="Times New Roman"/>
          <w:color w:val="3F3F3F"/>
          <w:spacing w:val="-9"/>
          <w:w w:val="105"/>
          <w:sz w:val="19"/>
        </w:rPr>
        <w:t> </w:t>
      </w:r>
      <w:r>
        <w:rPr>
          <w:rFonts w:ascii="Times New Roman"/>
          <w:color w:val="3F3F3F"/>
          <w:w w:val="105"/>
          <w:sz w:val="19"/>
        </w:rPr>
        <w:t>items</w:t>
      </w:r>
      <w:r>
        <w:rPr>
          <w:rFonts w:ascii="Times New Roman"/>
          <w:color w:val="3F3F3F"/>
          <w:spacing w:val="-14"/>
          <w:w w:val="105"/>
          <w:sz w:val="19"/>
        </w:rPr>
        <w:t> </w:t>
      </w:r>
      <w:r>
        <w:rPr>
          <w:rFonts w:ascii="Times New Roman"/>
          <w:color w:val="3F3F3F"/>
          <w:w w:val="105"/>
          <w:sz w:val="19"/>
        </w:rPr>
        <w:t>of income</w:t>
      </w:r>
      <w:r>
        <w:rPr>
          <w:rFonts w:ascii="Times New Roman"/>
          <w:color w:val="3F3F3F"/>
          <w:spacing w:val="-23"/>
          <w:w w:val="105"/>
          <w:sz w:val="19"/>
        </w:rPr>
        <w:t> </w:t>
      </w:r>
      <w:r>
        <w:rPr>
          <w:rFonts w:ascii="Times New Roman"/>
          <w:color w:val="3F3F3F"/>
          <w:w w:val="105"/>
          <w:sz w:val="19"/>
        </w:rPr>
        <w:t>and</w:t>
      </w:r>
      <w:r>
        <w:rPr>
          <w:rFonts w:ascii="Times New Roman"/>
          <w:color w:val="3F3F3F"/>
          <w:spacing w:val="-18"/>
          <w:w w:val="105"/>
          <w:sz w:val="19"/>
        </w:rPr>
        <w:t> </w:t>
      </w:r>
      <w:r>
        <w:rPr>
          <w:rFonts w:ascii="Times New Roman"/>
          <w:color w:val="3F3F3F"/>
          <w:w w:val="105"/>
          <w:sz w:val="19"/>
        </w:rPr>
        <w:t>expen</w:t>
      </w:r>
      <w:r>
        <w:rPr>
          <w:rFonts w:ascii="Times New Roman"/>
          <w:color w:val="242424"/>
          <w:w w:val="105"/>
          <w:sz w:val="19"/>
        </w:rPr>
        <w:t>d</w:t>
      </w:r>
      <w:r>
        <w:rPr>
          <w:rFonts w:ascii="Times New Roman"/>
          <w:color w:val="3F3F3F"/>
          <w:w w:val="105"/>
          <w:sz w:val="19"/>
        </w:rPr>
        <w:t>iture,</w:t>
      </w:r>
      <w:r>
        <w:rPr>
          <w:rFonts w:ascii="Times New Roman"/>
          <w:color w:val="3F3F3F"/>
          <w:spacing w:val="-39"/>
          <w:w w:val="105"/>
          <w:sz w:val="19"/>
        </w:rPr>
        <w:t> </w:t>
      </w:r>
      <w:r>
        <w:rPr>
          <w:rFonts w:ascii="Times New Roman"/>
          <w:color w:val="242424"/>
          <w:w w:val="105"/>
          <w:sz w:val="19"/>
        </w:rPr>
        <w:t>pr</w:t>
      </w:r>
      <w:r>
        <w:rPr>
          <w:rFonts w:ascii="Times New Roman"/>
          <w:color w:val="3F3F3F"/>
          <w:w w:val="105"/>
          <w:sz w:val="19"/>
        </w:rPr>
        <w:t>eviouslyshown</w:t>
      </w:r>
      <w:r>
        <w:rPr>
          <w:rFonts w:ascii="Times New Roman"/>
          <w:color w:val="3F3F3F"/>
          <w:spacing w:val="-20"/>
          <w:w w:val="105"/>
          <w:sz w:val="19"/>
        </w:rPr>
        <w:t> </w:t>
      </w:r>
      <w:r>
        <w:rPr>
          <w:rFonts w:ascii="Times New Roman"/>
          <w:color w:val="3F3F3F"/>
          <w:w w:val="105"/>
          <w:sz w:val="19"/>
        </w:rPr>
        <w:t>net,</w:t>
      </w:r>
      <w:r>
        <w:rPr>
          <w:rFonts w:ascii="Times New Roman"/>
          <w:color w:val="3F3F3F"/>
          <w:spacing w:val="-25"/>
          <w:w w:val="105"/>
          <w:sz w:val="19"/>
        </w:rPr>
        <w:t> </w:t>
      </w:r>
      <w:r>
        <w:rPr>
          <w:rFonts w:ascii="Times New Roman"/>
          <w:color w:val="3F3F3F"/>
          <w:w w:val="105"/>
          <w:sz w:val="19"/>
        </w:rPr>
        <w:t>are</w:t>
      </w:r>
      <w:r>
        <w:rPr>
          <w:rFonts w:ascii="Times New Roman"/>
          <w:color w:val="3F3F3F"/>
          <w:spacing w:val="-30"/>
          <w:w w:val="105"/>
          <w:sz w:val="19"/>
        </w:rPr>
        <w:t> </w:t>
      </w:r>
      <w:r>
        <w:rPr>
          <w:rFonts w:ascii="Times New Roman"/>
          <w:color w:val="3F3F3F"/>
          <w:w w:val="105"/>
          <w:sz w:val="19"/>
        </w:rPr>
        <w:t>now</w:t>
      </w:r>
      <w:r>
        <w:rPr>
          <w:rFonts w:ascii="Times New Roman"/>
          <w:color w:val="3F3F3F"/>
          <w:spacing w:val="-27"/>
          <w:w w:val="105"/>
          <w:sz w:val="19"/>
        </w:rPr>
        <w:t> </w:t>
      </w:r>
      <w:r>
        <w:rPr>
          <w:rFonts w:ascii="Times New Roman"/>
          <w:color w:val="3F3F3F"/>
          <w:w w:val="105"/>
          <w:sz w:val="19"/>
        </w:rPr>
        <w:t>shown</w:t>
      </w:r>
      <w:r>
        <w:rPr>
          <w:rFonts w:ascii="Times New Roman"/>
          <w:color w:val="3F3F3F"/>
          <w:spacing w:val="-20"/>
          <w:w w:val="105"/>
          <w:sz w:val="19"/>
        </w:rPr>
        <w:t> </w:t>
      </w:r>
      <w:r>
        <w:rPr>
          <w:rFonts w:ascii="Times New Roman"/>
          <w:color w:val="3F3F3F"/>
          <w:w w:val="105"/>
          <w:sz w:val="19"/>
        </w:rPr>
        <w:t>separately;</w:t>
      </w:r>
      <w:r>
        <w:rPr>
          <w:rFonts w:ascii="Times New Roman"/>
          <w:color w:val="3F3F3F"/>
          <w:spacing w:val="-28"/>
          <w:w w:val="105"/>
          <w:sz w:val="19"/>
        </w:rPr>
        <w:t> </w:t>
      </w:r>
      <w:r>
        <w:rPr>
          <w:rFonts w:ascii="Times New Roman"/>
          <w:color w:val="3F3F3F"/>
          <w:w w:val="105"/>
          <w:sz w:val="19"/>
        </w:rPr>
        <w:t>th</w:t>
      </w:r>
      <w:r>
        <w:rPr>
          <w:rFonts w:ascii="Times New Roman"/>
          <w:color w:val="131313"/>
          <w:w w:val="105"/>
          <w:sz w:val="19"/>
        </w:rPr>
        <w:t>i</w:t>
      </w:r>
      <w:r>
        <w:rPr>
          <w:rFonts w:ascii="Times New Roman"/>
          <w:color w:val="3F3F3F"/>
          <w:w w:val="105"/>
          <w:sz w:val="19"/>
        </w:rPr>
        <w:t>s,</w:t>
      </w:r>
      <w:r>
        <w:rPr>
          <w:rFonts w:ascii="Times New Roman"/>
          <w:color w:val="3F3F3F"/>
          <w:spacing w:val="-20"/>
          <w:w w:val="105"/>
          <w:sz w:val="19"/>
        </w:rPr>
        <w:t> </w:t>
      </w:r>
      <w:r>
        <w:rPr>
          <w:rFonts w:ascii="Times New Roman"/>
          <w:color w:val="3F3F3F"/>
          <w:w w:val="105"/>
          <w:sz w:val="19"/>
        </w:rPr>
        <w:t>and</w:t>
      </w:r>
      <w:r>
        <w:rPr>
          <w:rFonts w:ascii="Times New Roman"/>
          <w:color w:val="3F3F3F"/>
          <w:spacing w:val="-25"/>
          <w:w w:val="105"/>
          <w:sz w:val="19"/>
        </w:rPr>
        <w:t> </w:t>
      </w:r>
      <w:r>
        <w:rPr>
          <w:rFonts w:ascii="Times New Roman"/>
          <w:color w:val="3F3F3F"/>
          <w:w w:val="105"/>
          <w:sz w:val="19"/>
        </w:rPr>
        <w:t>other</w:t>
      </w:r>
      <w:r>
        <w:rPr>
          <w:rFonts w:ascii="Times New Roman"/>
          <w:color w:val="3F3F3F"/>
          <w:spacing w:val="-25"/>
          <w:w w:val="105"/>
          <w:sz w:val="19"/>
        </w:rPr>
        <w:t> </w:t>
      </w:r>
      <w:r>
        <w:rPr>
          <w:rFonts w:ascii="Times New Roman"/>
          <w:color w:val="3F3F3F"/>
          <w:w w:val="105"/>
          <w:sz w:val="19"/>
        </w:rPr>
        <w:t>reclassifications</w:t>
      </w:r>
      <w:r>
        <w:rPr>
          <w:rFonts w:ascii="Times New Roman"/>
          <w:color w:val="3F3F3F"/>
          <w:spacing w:val="-29"/>
          <w:w w:val="105"/>
          <w:sz w:val="19"/>
        </w:rPr>
        <w:t> </w:t>
      </w:r>
      <w:r>
        <w:rPr>
          <w:rFonts w:ascii="Times New Roman"/>
          <w:color w:val="3F3F3F"/>
          <w:w w:val="105"/>
          <w:sz w:val="19"/>
        </w:rPr>
        <w:t>arising from</w:t>
      </w:r>
      <w:r>
        <w:rPr>
          <w:rFonts w:ascii="Times New Roman"/>
          <w:color w:val="3F3F3F"/>
          <w:spacing w:val="-21"/>
          <w:w w:val="105"/>
          <w:sz w:val="19"/>
        </w:rPr>
        <w:t> </w:t>
      </w:r>
      <w:r>
        <w:rPr>
          <w:rFonts w:ascii="Times New Roman"/>
          <w:color w:val="3F3F3F"/>
          <w:w w:val="105"/>
          <w:sz w:val="19"/>
        </w:rPr>
        <w:t>ado</w:t>
      </w:r>
      <w:r>
        <w:rPr>
          <w:rFonts w:ascii="Times New Roman"/>
          <w:color w:val="242424"/>
          <w:w w:val="105"/>
          <w:sz w:val="19"/>
        </w:rPr>
        <w:t>p</w:t>
      </w:r>
      <w:r>
        <w:rPr>
          <w:rFonts w:ascii="Times New Roman"/>
          <w:color w:val="3F3F3F"/>
          <w:w w:val="105"/>
          <w:sz w:val="19"/>
        </w:rPr>
        <w:t>ting</w:t>
      </w:r>
      <w:r>
        <w:rPr>
          <w:rFonts w:ascii="Times New Roman"/>
          <w:color w:val="3F3F3F"/>
          <w:spacing w:val="-16"/>
          <w:w w:val="105"/>
          <w:sz w:val="19"/>
        </w:rPr>
        <w:t> </w:t>
      </w:r>
      <w:r>
        <w:rPr>
          <w:rFonts w:ascii="Times New Roman"/>
          <w:color w:val="3F3F3F"/>
          <w:w w:val="105"/>
          <w:sz w:val="19"/>
        </w:rPr>
        <w:t>the</w:t>
      </w:r>
      <w:r>
        <w:rPr>
          <w:rFonts w:ascii="Times New Roman"/>
          <w:color w:val="3F3F3F"/>
          <w:spacing w:val="-32"/>
          <w:w w:val="105"/>
          <w:sz w:val="19"/>
        </w:rPr>
        <w:t> </w:t>
      </w:r>
      <w:r>
        <w:rPr>
          <w:rFonts w:ascii="Times New Roman"/>
          <w:color w:val="3F3F3F"/>
          <w:w w:val="105"/>
          <w:sz w:val="19"/>
        </w:rPr>
        <w:t>2005</w:t>
      </w:r>
      <w:r>
        <w:rPr>
          <w:rFonts w:ascii="Times New Roman"/>
          <w:color w:val="3F3F3F"/>
          <w:spacing w:val="-20"/>
          <w:w w:val="105"/>
          <w:sz w:val="19"/>
        </w:rPr>
        <w:t> </w:t>
      </w:r>
      <w:r>
        <w:rPr>
          <w:rFonts w:ascii="Times New Roman"/>
          <w:color w:val="3F3F3F"/>
          <w:w w:val="105"/>
          <w:sz w:val="19"/>
        </w:rPr>
        <w:t>SORP,</w:t>
      </w:r>
      <w:r>
        <w:rPr>
          <w:rFonts w:ascii="Times New Roman"/>
          <w:color w:val="3F3F3F"/>
          <w:spacing w:val="-20"/>
          <w:w w:val="105"/>
          <w:sz w:val="19"/>
        </w:rPr>
        <w:t> </w:t>
      </w:r>
      <w:r>
        <w:rPr>
          <w:rFonts w:ascii="Times New Roman"/>
          <w:color w:val="131313"/>
          <w:spacing w:val="-5"/>
          <w:w w:val="105"/>
          <w:sz w:val="19"/>
        </w:rPr>
        <w:t>h</w:t>
      </w:r>
      <w:r>
        <w:rPr>
          <w:rFonts w:ascii="Times New Roman"/>
          <w:color w:val="3F3F3F"/>
          <w:spacing w:val="-5"/>
          <w:w w:val="105"/>
          <w:sz w:val="19"/>
        </w:rPr>
        <w:t>ave</w:t>
      </w:r>
      <w:r>
        <w:rPr>
          <w:rFonts w:ascii="Times New Roman"/>
          <w:color w:val="3F3F3F"/>
          <w:spacing w:val="-8"/>
          <w:w w:val="105"/>
          <w:sz w:val="19"/>
        </w:rPr>
        <w:t> </w:t>
      </w:r>
      <w:r>
        <w:rPr>
          <w:rFonts w:ascii="Times New Roman"/>
          <w:color w:val="3F3F3F"/>
          <w:spacing w:val="-5"/>
          <w:w w:val="105"/>
          <w:sz w:val="19"/>
        </w:rPr>
        <w:t>resu</w:t>
      </w:r>
      <w:r>
        <w:rPr>
          <w:rFonts w:ascii="Times New Roman"/>
          <w:color w:val="242424"/>
          <w:spacing w:val="-5"/>
          <w:w w:val="105"/>
          <w:sz w:val="19"/>
        </w:rPr>
        <w:t>l</w:t>
      </w:r>
      <w:r>
        <w:rPr>
          <w:rFonts w:ascii="Times New Roman"/>
          <w:color w:val="3F3F3F"/>
          <w:spacing w:val="-5"/>
          <w:w w:val="105"/>
          <w:sz w:val="19"/>
        </w:rPr>
        <w:t>ted</w:t>
      </w:r>
      <w:r>
        <w:rPr>
          <w:rFonts w:ascii="Times New Roman"/>
          <w:color w:val="3F3F3F"/>
          <w:spacing w:val="-15"/>
          <w:w w:val="105"/>
          <w:sz w:val="19"/>
        </w:rPr>
        <w:t> </w:t>
      </w:r>
      <w:r>
        <w:rPr>
          <w:rFonts w:ascii="Times New Roman"/>
          <w:color w:val="3F3F3F"/>
          <w:w w:val="105"/>
          <w:sz w:val="19"/>
        </w:rPr>
        <w:t>in</w:t>
      </w:r>
      <w:r>
        <w:rPr>
          <w:rFonts w:ascii="Times New Roman"/>
          <w:color w:val="3F3F3F"/>
          <w:spacing w:val="-20"/>
          <w:w w:val="105"/>
          <w:sz w:val="19"/>
        </w:rPr>
        <w:t> </w:t>
      </w:r>
      <w:r>
        <w:rPr>
          <w:rFonts w:ascii="Times New Roman"/>
          <w:color w:val="3F3F3F"/>
          <w:w w:val="105"/>
          <w:sz w:val="19"/>
        </w:rPr>
        <w:t>various</w:t>
      </w:r>
      <w:r>
        <w:rPr>
          <w:rFonts w:ascii="Times New Roman"/>
          <w:color w:val="3F3F3F"/>
          <w:spacing w:val="-23"/>
          <w:w w:val="105"/>
          <w:sz w:val="19"/>
        </w:rPr>
        <w:t> </w:t>
      </w:r>
      <w:r>
        <w:rPr>
          <w:rFonts w:ascii="Times New Roman"/>
          <w:color w:val="3F3F3F"/>
          <w:w w:val="105"/>
          <w:sz w:val="19"/>
        </w:rPr>
        <w:t>amendments</w:t>
      </w:r>
      <w:r>
        <w:rPr>
          <w:rFonts w:ascii="Times New Roman"/>
          <w:color w:val="3F3F3F"/>
          <w:spacing w:val="-16"/>
          <w:w w:val="105"/>
          <w:sz w:val="19"/>
        </w:rPr>
        <w:t> </w:t>
      </w:r>
      <w:r>
        <w:rPr>
          <w:rFonts w:ascii="Times New Roman"/>
          <w:color w:val="3F3F3F"/>
          <w:w w:val="105"/>
          <w:sz w:val="19"/>
        </w:rPr>
        <w:t>to</w:t>
      </w:r>
      <w:r>
        <w:rPr>
          <w:rFonts w:ascii="Times New Roman"/>
          <w:color w:val="3F3F3F"/>
          <w:spacing w:val="-25"/>
          <w:w w:val="105"/>
          <w:sz w:val="19"/>
        </w:rPr>
        <w:t> </w:t>
      </w:r>
      <w:r>
        <w:rPr>
          <w:rFonts w:ascii="Times New Roman"/>
          <w:color w:val="3F3F3F"/>
          <w:w w:val="105"/>
          <w:sz w:val="19"/>
        </w:rPr>
        <w:t>the</w:t>
      </w:r>
      <w:r>
        <w:rPr>
          <w:rFonts w:ascii="Times New Roman"/>
          <w:color w:val="3F3F3F"/>
          <w:spacing w:val="-34"/>
          <w:w w:val="105"/>
          <w:sz w:val="19"/>
        </w:rPr>
        <w:t> </w:t>
      </w:r>
      <w:r>
        <w:rPr>
          <w:rFonts w:ascii="Times New Roman"/>
          <w:color w:val="3F3F3F"/>
          <w:spacing w:val="-9"/>
          <w:w w:val="105"/>
          <w:sz w:val="19"/>
        </w:rPr>
        <w:t>analys</w:t>
      </w:r>
      <w:r>
        <w:rPr>
          <w:rFonts w:ascii="Times New Roman"/>
          <w:color w:val="242424"/>
          <w:spacing w:val="-9"/>
          <w:w w:val="105"/>
          <w:sz w:val="19"/>
        </w:rPr>
        <w:t>i</w:t>
      </w:r>
      <w:r>
        <w:rPr>
          <w:rFonts w:ascii="Times New Roman"/>
          <w:color w:val="3F3F3F"/>
          <w:spacing w:val="-9"/>
          <w:w w:val="105"/>
          <w:sz w:val="19"/>
        </w:rPr>
        <w:t>s</w:t>
      </w:r>
      <w:r>
        <w:rPr>
          <w:rFonts w:ascii="Times New Roman"/>
          <w:color w:val="3F3F3F"/>
          <w:spacing w:val="-22"/>
          <w:w w:val="105"/>
          <w:sz w:val="19"/>
        </w:rPr>
        <w:t> </w:t>
      </w:r>
      <w:r>
        <w:rPr>
          <w:rFonts w:ascii="Times New Roman"/>
          <w:color w:val="3F3F3F"/>
          <w:w w:val="105"/>
          <w:sz w:val="19"/>
        </w:rPr>
        <w:t>of2005</w:t>
      </w:r>
      <w:r>
        <w:rPr>
          <w:rFonts w:ascii="Times New Roman"/>
          <w:color w:val="3F3F3F"/>
          <w:spacing w:val="-22"/>
          <w:w w:val="105"/>
          <w:sz w:val="19"/>
        </w:rPr>
        <w:t> </w:t>
      </w:r>
      <w:r>
        <w:rPr>
          <w:rFonts w:ascii="Times New Roman"/>
          <w:color w:val="3F3F3F"/>
          <w:w w:val="105"/>
          <w:sz w:val="19"/>
        </w:rPr>
        <w:t>comparative</w:t>
      </w:r>
      <w:r>
        <w:rPr>
          <w:rFonts w:ascii="Times New Roman"/>
          <w:color w:val="3F3F3F"/>
          <w:spacing w:val="-25"/>
          <w:w w:val="105"/>
          <w:sz w:val="19"/>
        </w:rPr>
        <w:t> </w:t>
      </w:r>
      <w:r>
        <w:rPr>
          <w:rFonts w:ascii="Times New Roman"/>
          <w:color w:val="3F3F3F"/>
          <w:w w:val="105"/>
          <w:sz w:val="19"/>
        </w:rPr>
        <w:t>figures.</w:t>
      </w:r>
    </w:p>
    <w:p>
      <w:pPr>
        <w:spacing w:before="116"/>
        <w:ind w:left="996" w:right="0" w:firstLine="0"/>
        <w:jc w:val="both"/>
        <w:rPr>
          <w:rFonts w:ascii="Times New Roman"/>
          <w:sz w:val="19"/>
        </w:rPr>
      </w:pPr>
      <w:r>
        <w:rPr>
          <w:rFonts w:ascii="Times New Roman"/>
          <w:color w:val="3F3F3F"/>
          <w:sz w:val="19"/>
        </w:rPr>
        <w:t>The particu</w:t>
      </w:r>
      <w:r>
        <w:rPr>
          <w:rFonts w:ascii="Times New Roman"/>
          <w:color w:val="242424"/>
          <w:sz w:val="19"/>
        </w:rPr>
        <w:t>l</w:t>
      </w:r>
      <w:r>
        <w:rPr>
          <w:rFonts w:ascii="Times New Roman"/>
          <w:color w:val="3F3F3F"/>
          <w:sz w:val="19"/>
        </w:rPr>
        <w:t>ar accounting policies adopted in the preparation of the financial statements are as follows</w:t>
      </w:r>
      <w:r>
        <w:rPr>
          <w:rFonts w:ascii="Times New Roman"/>
          <w:color w:val="242424"/>
          <w:sz w:val="19"/>
        </w:rPr>
        <w:t>:</w:t>
      </w:r>
    </w:p>
    <w:p>
      <w:pPr>
        <w:pStyle w:val="ListParagraph"/>
        <w:numPr>
          <w:ilvl w:val="0"/>
          <w:numId w:val="216"/>
        </w:numPr>
        <w:tabs>
          <w:tab w:pos="1504" w:val="left" w:leader="none"/>
        </w:tabs>
        <w:spacing w:line="240" w:lineRule="auto" w:before="118" w:after="0"/>
        <w:ind w:left="1503" w:right="0" w:hanging="509"/>
        <w:jc w:val="both"/>
        <w:rPr>
          <w:rFonts w:ascii="Times New Roman"/>
          <w:b/>
          <w:color w:val="242424"/>
          <w:sz w:val="17"/>
        </w:rPr>
      </w:pPr>
      <w:r>
        <w:rPr>
          <w:rFonts w:ascii="Times New Roman"/>
          <w:b/>
          <w:color w:val="3F3F3F"/>
          <w:sz w:val="18"/>
        </w:rPr>
        <w:t>S</w:t>
      </w:r>
      <w:r>
        <w:rPr>
          <w:rFonts w:ascii="Times New Roman"/>
          <w:b/>
          <w:color w:val="131313"/>
          <w:sz w:val="18"/>
        </w:rPr>
        <w:t>cope</w:t>
      </w:r>
    </w:p>
    <w:p>
      <w:pPr>
        <w:spacing w:line="244" w:lineRule="auto" w:before="5"/>
        <w:ind w:left="988" w:right="742" w:hanging="2"/>
        <w:jc w:val="both"/>
        <w:rPr>
          <w:rFonts w:ascii="Times New Roman"/>
          <w:sz w:val="19"/>
        </w:rPr>
      </w:pPr>
      <w:r>
        <w:rPr>
          <w:rFonts w:ascii="Times New Roman"/>
          <w:color w:val="3F3F3F"/>
          <w:sz w:val="19"/>
        </w:rPr>
        <w:t>The accounts show the combined income, expen</w:t>
      </w:r>
      <w:r>
        <w:rPr>
          <w:rFonts w:ascii="Times New Roman"/>
          <w:color w:val="242424"/>
          <w:sz w:val="19"/>
        </w:rPr>
        <w:t>di</w:t>
      </w:r>
      <w:r>
        <w:rPr>
          <w:rFonts w:ascii="Times New Roman"/>
          <w:color w:val="3F3F3F"/>
          <w:sz w:val="19"/>
        </w:rPr>
        <w:t>ture, assets and liabilities of those tr</w:t>
      </w:r>
      <w:r>
        <w:rPr>
          <w:rFonts w:ascii="Times New Roman"/>
          <w:color w:val="242424"/>
          <w:sz w:val="19"/>
        </w:rPr>
        <w:t>u</w:t>
      </w:r>
      <w:r>
        <w:rPr>
          <w:rFonts w:ascii="Times New Roman"/>
          <w:color w:val="3F3F3F"/>
          <w:sz w:val="19"/>
        </w:rPr>
        <w:t>sts and other funds administered for the </w:t>
      </w:r>
      <w:r>
        <w:rPr>
          <w:rFonts w:ascii="Times New Roman"/>
          <w:color w:val="242424"/>
          <w:sz w:val="19"/>
        </w:rPr>
        <w:t>b</w:t>
      </w:r>
      <w:r>
        <w:rPr>
          <w:rFonts w:ascii="Times New Roman"/>
          <w:color w:val="3F3F3F"/>
          <w:sz w:val="19"/>
        </w:rPr>
        <w:t>enefit of the United Reforme</w:t>
      </w:r>
      <w:r>
        <w:rPr>
          <w:rFonts w:ascii="Times New Roman"/>
          <w:color w:val="242424"/>
          <w:sz w:val="19"/>
        </w:rPr>
        <w:t>d </w:t>
      </w:r>
      <w:r>
        <w:rPr>
          <w:rFonts w:ascii="Times New Roman"/>
          <w:color w:val="3F3F3F"/>
          <w:sz w:val="19"/>
        </w:rPr>
        <w:t>Church under the overall authority of the General Assembly and includes the total financial operations of t</w:t>
      </w:r>
      <w:r>
        <w:rPr>
          <w:rFonts w:ascii="Times New Roman"/>
          <w:color w:val="242424"/>
          <w:sz w:val="19"/>
        </w:rPr>
        <w:t>h</w:t>
      </w:r>
      <w:r>
        <w:rPr>
          <w:rFonts w:ascii="Times New Roman"/>
          <w:color w:val="3F3F3F"/>
          <w:sz w:val="19"/>
        </w:rPr>
        <w:t>e </w:t>
      </w:r>
      <w:r>
        <w:rPr>
          <w:rFonts w:ascii="Times New Roman"/>
          <w:color w:val="545454"/>
          <w:sz w:val="19"/>
        </w:rPr>
        <w:t>United </w:t>
      </w:r>
      <w:r>
        <w:rPr>
          <w:rFonts w:ascii="Times New Roman"/>
          <w:color w:val="3F3F3F"/>
          <w:sz w:val="19"/>
        </w:rPr>
        <w:t>Reformed Church Retired Ministers' Housing Soc</w:t>
      </w:r>
      <w:r>
        <w:rPr>
          <w:rFonts w:ascii="Times New Roman"/>
          <w:color w:val="242424"/>
          <w:sz w:val="19"/>
        </w:rPr>
        <w:t>i</w:t>
      </w:r>
      <w:r>
        <w:rPr>
          <w:rFonts w:ascii="Times New Roman"/>
          <w:color w:val="3F3F3F"/>
          <w:sz w:val="19"/>
        </w:rPr>
        <w:t>ety Limited ("the society")</w:t>
      </w:r>
      <w:r>
        <w:rPr>
          <w:rFonts w:ascii="Times New Roman"/>
          <w:color w:val="131313"/>
          <w:sz w:val="19"/>
        </w:rPr>
        <w:t>. </w:t>
      </w:r>
      <w:r>
        <w:rPr>
          <w:rFonts w:ascii="Times New Roman"/>
          <w:color w:val="3F3F3F"/>
          <w:sz w:val="19"/>
        </w:rPr>
        <w:t>The society is a separa</w:t>
      </w:r>
      <w:r>
        <w:rPr>
          <w:rFonts w:ascii="Times New Roman"/>
          <w:color w:val="242424"/>
          <w:sz w:val="19"/>
        </w:rPr>
        <w:t>t</w:t>
      </w:r>
      <w:r>
        <w:rPr>
          <w:rFonts w:ascii="Times New Roman"/>
          <w:color w:val="3F3F3F"/>
          <w:sz w:val="19"/>
        </w:rPr>
        <w:t>e exempt c</w:t>
      </w:r>
      <w:r>
        <w:rPr>
          <w:rFonts w:ascii="Times New Roman"/>
          <w:color w:val="242424"/>
          <w:sz w:val="19"/>
        </w:rPr>
        <w:t>h</w:t>
      </w:r>
      <w:r>
        <w:rPr>
          <w:rFonts w:ascii="Times New Roman"/>
          <w:color w:val="3F3F3F"/>
          <w:sz w:val="19"/>
        </w:rPr>
        <w:t>arity registered under the Industrial and Prov</w:t>
      </w:r>
      <w:r>
        <w:rPr>
          <w:rFonts w:ascii="Times New Roman"/>
          <w:color w:val="242424"/>
          <w:sz w:val="19"/>
        </w:rPr>
        <w:t>i</w:t>
      </w:r>
      <w:r>
        <w:rPr>
          <w:rFonts w:ascii="Times New Roman"/>
          <w:color w:val="3F3F3F"/>
          <w:sz w:val="19"/>
        </w:rPr>
        <w:t>dent Societies Act </w:t>
      </w:r>
      <w:r>
        <w:rPr>
          <w:rFonts w:ascii="Times New Roman"/>
          <w:color w:val="242424"/>
          <w:sz w:val="19"/>
        </w:rPr>
        <w:t>1</w:t>
      </w:r>
      <w:r>
        <w:rPr>
          <w:rFonts w:ascii="Times New Roman"/>
          <w:color w:val="3F3F3F"/>
          <w:sz w:val="19"/>
        </w:rPr>
        <w:t>965 and </w:t>
      </w:r>
      <w:r>
        <w:rPr>
          <w:rFonts w:ascii="Times New Roman"/>
          <w:color w:val="242424"/>
          <w:sz w:val="19"/>
        </w:rPr>
        <w:t>i</w:t>
      </w:r>
      <w:r>
        <w:rPr>
          <w:rFonts w:ascii="Times New Roman"/>
          <w:color w:val="3F3F3F"/>
          <w:sz w:val="19"/>
        </w:rPr>
        <w:t>s accounted for as a separate fund and branch of the Church in accordance with theS</w:t>
      </w:r>
      <w:r>
        <w:rPr>
          <w:rFonts w:ascii="Times New Roman"/>
          <w:color w:val="242424"/>
          <w:sz w:val="19"/>
        </w:rPr>
        <w:t>O</w:t>
      </w:r>
      <w:r>
        <w:rPr>
          <w:rFonts w:ascii="Times New Roman"/>
          <w:color w:val="3F3F3F"/>
          <w:sz w:val="19"/>
        </w:rPr>
        <w:t>RP.</w:t>
      </w:r>
    </w:p>
    <w:p>
      <w:pPr>
        <w:pStyle w:val="ListParagraph"/>
        <w:numPr>
          <w:ilvl w:val="0"/>
          <w:numId w:val="216"/>
        </w:numPr>
        <w:tabs>
          <w:tab w:pos="1495" w:val="left" w:leader="none"/>
          <w:tab w:pos="1496" w:val="left" w:leader="none"/>
        </w:tabs>
        <w:spacing w:line="240" w:lineRule="auto" w:before="117" w:after="0"/>
        <w:ind w:left="1495" w:right="0" w:hanging="501"/>
        <w:jc w:val="left"/>
        <w:rPr>
          <w:rFonts w:ascii="Times New Roman"/>
          <w:b/>
          <w:color w:val="242424"/>
          <w:sz w:val="17"/>
        </w:rPr>
      </w:pPr>
      <w:r>
        <w:rPr>
          <w:rFonts w:ascii="Times New Roman"/>
          <w:b/>
          <w:color w:val="3F3F3F"/>
          <w:spacing w:val="-3"/>
          <w:w w:val="110"/>
          <w:sz w:val="18"/>
        </w:rPr>
        <w:t>C</w:t>
      </w:r>
      <w:r>
        <w:rPr>
          <w:rFonts w:ascii="Times New Roman"/>
          <w:b/>
          <w:color w:val="131313"/>
          <w:spacing w:val="-3"/>
          <w:w w:val="110"/>
          <w:sz w:val="18"/>
        </w:rPr>
        <w:t>las</w:t>
      </w:r>
      <w:r>
        <w:rPr>
          <w:rFonts w:ascii="Times New Roman"/>
          <w:b/>
          <w:color w:val="3F3F3F"/>
          <w:spacing w:val="-3"/>
          <w:w w:val="110"/>
          <w:sz w:val="18"/>
        </w:rPr>
        <w:t>s</w:t>
      </w:r>
      <w:r>
        <w:rPr>
          <w:rFonts w:ascii="Times New Roman"/>
          <w:b/>
          <w:color w:val="242424"/>
          <w:spacing w:val="-3"/>
          <w:w w:val="110"/>
          <w:sz w:val="18"/>
        </w:rPr>
        <w:t>ification</w:t>
      </w:r>
      <w:r>
        <w:rPr>
          <w:rFonts w:ascii="Times New Roman"/>
          <w:b/>
          <w:color w:val="131313"/>
          <w:spacing w:val="-3"/>
          <w:w w:val="110"/>
          <w:sz w:val="18"/>
        </w:rPr>
        <w:t>of</w:t>
      </w:r>
      <w:r>
        <w:rPr>
          <w:rFonts w:ascii="Times New Roman"/>
          <w:b/>
          <w:color w:val="131313"/>
          <w:spacing w:val="-13"/>
          <w:w w:val="110"/>
          <w:sz w:val="18"/>
        </w:rPr>
        <w:t> </w:t>
      </w:r>
      <w:r>
        <w:rPr>
          <w:rFonts w:ascii="Times New Roman"/>
          <w:b/>
          <w:color w:val="242424"/>
          <w:w w:val="110"/>
          <w:sz w:val="18"/>
        </w:rPr>
        <w:t>funds</w:t>
      </w:r>
    </w:p>
    <w:p>
      <w:pPr>
        <w:spacing w:line="242" w:lineRule="auto" w:before="5"/>
        <w:ind w:left="983" w:right="575" w:firstLine="8"/>
        <w:jc w:val="left"/>
        <w:rPr>
          <w:rFonts w:ascii="Times New Roman"/>
          <w:sz w:val="19"/>
        </w:rPr>
      </w:pPr>
      <w:r>
        <w:rPr>
          <w:rFonts w:ascii="Times New Roman"/>
          <w:color w:val="3F3F3F"/>
          <w:w w:val="105"/>
          <w:sz w:val="19"/>
        </w:rPr>
        <w:t>Unrestricted</w:t>
      </w:r>
      <w:r>
        <w:rPr>
          <w:rFonts w:ascii="Times New Roman"/>
          <w:color w:val="3F3F3F"/>
          <w:spacing w:val="-9"/>
          <w:w w:val="105"/>
          <w:sz w:val="19"/>
        </w:rPr>
        <w:t> </w:t>
      </w:r>
      <w:r>
        <w:rPr>
          <w:rFonts w:ascii="Times New Roman"/>
          <w:color w:val="3F3F3F"/>
          <w:w w:val="105"/>
          <w:sz w:val="19"/>
        </w:rPr>
        <w:t>income</w:t>
      </w:r>
      <w:r>
        <w:rPr>
          <w:rFonts w:ascii="Times New Roman"/>
          <w:color w:val="3F3F3F"/>
          <w:spacing w:val="-28"/>
          <w:w w:val="105"/>
          <w:sz w:val="19"/>
        </w:rPr>
        <w:t> </w:t>
      </w:r>
      <w:r>
        <w:rPr>
          <w:rFonts w:ascii="Times New Roman"/>
          <w:color w:val="3F3F3F"/>
          <w:w w:val="105"/>
          <w:sz w:val="19"/>
        </w:rPr>
        <w:t>funds</w:t>
      </w:r>
      <w:r>
        <w:rPr>
          <w:rFonts w:ascii="Times New Roman"/>
          <w:color w:val="3F3F3F"/>
          <w:spacing w:val="-30"/>
          <w:w w:val="105"/>
          <w:sz w:val="19"/>
        </w:rPr>
        <w:t> </w:t>
      </w:r>
      <w:r>
        <w:rPr>
          <w:rFonts w:ascii="Times New Roman"/>
          <w:color w:val="3F3F3F"/>
          <w:w w:val="105"/>
          <w:sz w:val="19"/>
        </w:rPr>
        <w:t>may</w:t>
      </w:r>
      <w:r>
        <w:rPr>
          <w:rFonts w:ascii="Times New Roman"/>
          <w:color w:val="3F3F3F"/>
          <w:spacing w:val="-17"/>
          <w:w w:val="105"/>
          <w:sz w:val="19"/>
        </w:rPr>
        <w:t> </w:t>
      </w:r>
      <w:r>
        <w:rPr>
          <w:rFonts w:ascii="Times New Roman"/>
          <w:color w:val="3F3F3F"/>
          <w:w w:val="105"/>
          <w:sz w:val="19"/>
        </w:rPr>
        <w:t>be</w:t>
      </w:r>
      <w:r>
        <w:rPr>
          <w:rFonts w:ascii="Times New Roman"/>
          <w:color w:val="3F3F3F"/>
          <w:spacing w:val="-30"/>
          <w:w w:val="105"/>
          <w:sz w:val="19"/>
        </w:rPr>
        <w:t> </w:t>
      </w:r>
      <w:r>
        <w:rPr>
          <w:rFonts w:ascii="Times New Roman"/>
          <w:color w:val="3F3F3F"/>
          <w:spacing w:val="-4"/>
          <w:w w:val="105"/>
          <w:sz w:val="19"/>
        </w:rPr>
        <w:t>s</w:t>
      </w:r>
      <w:r>
        <w:rPr>
          <w:rFonts w:ascii="Times New Roman"/>
          <w:color w:val="242424"/>
          <w:spacing w:val="-4"/>
          <w:w w:val="105"/>
          <w:sz w:val="19"/>
        </w:rPr>
        <w:t>p</w:t>
      </w:r>
      <w:r>
        <w:rPr>
          <w:rFonts w:ascii="Times New Roman"/>
          <w:color w:val="3F3F3F"/>
          <w:spacing w:val="-4"/>
          <w:w w:val="105"/>
          <w:sz w:val="19"/>
        </w:rPr>
        <w:t>ent</w:t>
      </w:r>
      <w:r>
        <w:rPr>
          <w:rFonts w:ascii="Times New Roman"/>
          <w:color w:val="3F3F3F"/>
          <w:spacing w:val="-35"/>
          <w:w w:val="105"/>
          <w:sz w:val="19"/>
        </w:rPr>
        <w:t> </w:t>
      </w:r>
      <w:r>
        <w:rPr>
          <w:rFonts w:ascii="Times New Roman"/>
          <w:color w:val="3F3F3F"/>
          <w:w w:val="105"/>
          <w:sz w:val="19"/>
        </w:rPr>
        <w:t>generally</w:t>
      </w:r>
      <w:r>
        <w:rPr>
          <w:rFonts w:ascii="Times New Roman"/>
          <w:color w:val="3F3F3F"/>
          <w:spacing w:val="-19"/>
          <w:w w:val="105"/>
          <w:sz w:val="19"/>
        </w:rPr>
        <w:t> </w:t>
      </w:r>
      <w:r>
        <w:rPr>
          <w:rFonts w:ascii="Times New Roman"/>
          <w:color w:val="3F3F3F"/>
          <w:w w:val="105"/>
          <w:sz w:val="19"/>
        </w:rPr>
        <w:t>for</w:t>
      </w:r>
      <w:r>
        <w:rPr>
          <w:rFonts w:ascii="Times New Roman"/>
          <w:color w:val="3F3F3F"/>
          <w:spacing w:val="-30"/>
          <w:w w:val="105"/>
          <w:sz w:val="19"/>
        </w:rPr>
        <w:t> </w:t>
      </w:r>
      <w:r>
        <w:rPr>
          <w:rFonts w:ascii="Times New Roman"/>
          <w:color w:val="3F3F3F"/>
          <w:w w:val="105"/>
          <w:sz w:val="19"/>
        </w:rPr>
        <w:t>furthering</w:t>
      </w:r>
      <w:r>
        <w:rPr>
          <w:rFonts w:ascii="Times New Roman"/>
          <w:color w:val="3F3F3F"/>
          <w:spacing w:val="-24"/>
          <w:w w:val="105"/>
          <w:sz w:val="19"/>
        </w:rPr>
        <w:t> </w:t>
      </w:r>
      <w:r>
        <w:rPr>
          <w:rFonts w:ascii="Times New Roman"/>
          <w:color w:val="242424"/>
          <w:w w:val="105"/>
          <w:sz w:val="19"/>
        </w:rPr>
        <w:t>t</w:t>
      </w:r>
      <w:r>
        <w:rPr>
          <w:rFonts w:ascii="Times New Roman"/>
          <w:color w:val="3F3F3F"/>
          <w:w w:val="105"/>
          <w:sz w:val="19"/>
        </w:rPr>
        <w:t>he</w:t>
      </w:r>
      <w:r>
        <w:rPr>
          <w:rFonts w:ascii="Times New Roman"/>
          <w:color w:val="3F3F3F"/>
          <w:spacing w:val="-20"/>
          <w:w w:val="105"/>
          <w:sz w:val="19"/>
        </w:rPr>
        <w:t> </w:t>
      </w:r>
      <w:r>
        <w:rPr>
          <w:rFonts w:ascii="Times New Roman"/>
          <w:color w:val="3F3F3F"/>
          <w:spacing w:val="-5"/>
          <w:w w:val="105"/>
          <w:sz w:val="19"/>
        </w:rPr>
        <w:t>relig</w:t>
      </w:r>
      <w:r>
        <w:rPr>
          <w:rFonts w:ascii="Times New Roman"/>
          <w:color w:val="242424"/>
          <w:spacing w:val="-5"/>
          <w:w w:val="105"/>
          <w:sz w:val="19"/>
        </w:rPr>
        <w:t>i</w:t>
      </w:r>
      <w:r>
        <w:rPr>
          <w:rFonts w:ascii="Times New Roman"/>
          <w:color w:val="3F3F3F"/>
          <w:spacing w:val="-5"/>
          <w:w w:val="105"/>
          <w:sz w:val="19"/>
        </w:rPr>
        <w:t>ous</w:t>
      </w:r>
      <w:r>
        <w:rPr>
          <w:rFonts w:ascii="Times New Roman"/>
          <w:color w:val="3F3F3F"/>
          <w:spacing w:val="-35"/>
          <w:w w:val="105"/>
          <w:sz w:val="19"/>
        </w:rPr>
        <w:t> </w:t>
      </w:r>
      <w:r>
        <w:rPr>
          <w:rFonts w:ascii="Times New Roman"/>
          <w:color w:val="3F3F3F"/>
          <w:w w:val="105"/>
          <w:sz w:val="19"/>
        </w:rPr>
        <w:t>and</w:t>
      </w:r>
      <w:r>
        <w:rPr>
          <w:rFonts w:ascii="Times New Roman"/>
          <w:color w:val="3F3F3F"/>
          <w:spacing w:val="-23"/>
          <w:w w:val="105"/>
          <w:sz w:val="19"/>
        </w:rPr>
        <w:t> </w:t>
      </w:r>
      <w:r>
        <w:rPr>
          <w:rFonts w:ascii="Times New Roman"/>
          <w:color w:val="3F3F3F"/>
          <w:w w:val="105"/>
          <w:sz w:val="19"/>
        </w:rPr>
        <w:t>charitable</w:t>
      </w:r>
      <w:r>
        <w:rPr>
          <w:rFonts w:ascii="Times New Roman"/>
          <w:color w:val="3F3F3F"/>
          <w:spacing w:val="-21"/>
          <w:w w:val="105"/>
          <w:sz w:val="19"/>
        </w:rPr>
        <w:t> </w:t>
      </w:r>
      <w:r>
        <w:rPr>
          <w:rFonts w:ascii="Times New Roman"/>
          <w:color w:val="3F3F3F"/>
          <w:w w:val="105"/>
          <w:sz w:val="19"/>
        </w:rPr>
        <w:t>work</w:t>
      </w:r>
      <w:r>
        <w:rPr>
          <w:rFonts w:ascii="Times New Roman"/>
          <w:color w:val="3F3F3F"/>
          <w:spacing w:val="-21"/>
          <w:w w:val="105"/>
          <w:sz w:val="19"/>
        </w:rPr>
        <w:t> </w:t>
      </w:r>
      <w:r>
        <w:rPr>
          <w:rFonts w:ascii="Times New Roman"/>
          <w:color w:val="3F3F3F"/>
          <w:w w:val="105"/>
          <w:sz w:val="19"/>
        </w:rPr>
        <w:t>of</w:t>
      </w:r>
      <w:r>
        <w:rPr>
          <w:rFonts w:ascii="Times New Roman"/>
          <w:color w:val="3F3F3F"/>
          <w:spacing w:val="-26"/>
          <w:w w:val="105"/>
          <w:sz w:val="19"/>
        </w:rPr>
        <w:t> </w:t>
      </w:r>
      <w:r>
        <w:rPr>
          <w:rFonts w:ascii="Times New Roman"/>
          <w:color w:val="3F3F3F"/>
          <w:w w:val="105"/>
          <w:sz w:val="19"/>
        </w:rPr>
        <w:t>the</w:t>
      </w:r>
      <w:r>
        <w:rPr>
          <w:rFonts w:ascii="Times New Roman"/>
          <w:color w:val="3F3F3F"/>
          <w:spacing w:val="-27"/>
          <w:w w:val="105"/>
          <w:sz w:val="19"/>
        </w:rPr>
        <w:t> </w:t>
      </w:r>
      <w:r>
        <w:rPr>
          <w:rFonts w:ascii="Times New Roman"/>
          <w:color w:val="3F3F3F"/>
          <w:spacing w:val="-8"/>
          <w:w w:val="105"/>
          <w:sz w:val="19"/>
        </w:rPr>
        <w:t>Church</w:t>
      </w:r>
      <w:r>
        <w:rPr>
          <w:rFonts w:ascii="Times New Roman"/>
          <w:color w:val="242424"/>
          <w:spacing w:val="-8"/>
          <w:w w:val="105"/>
          <w:sz w:val="19"/>
        </w:rPr>
        <w:t>. </w:t>
      </w:r>
      <w:r>
        <w:rPr>
          <w:rFonts w:ascii="Times New Roman"/>
          <w:color w:val="3F3F3F"/>
          <w:w w:val="105"/>
          <w:sz w:val="19"/>
        </w:rPr>
        <w:t>Restricted</w:t>
      </w:r>
      <w:r>
        <w:rPr>
          <w:rFonts w:ascii="Times New Roman"/>
          <w:color w:val="3F3F3F"/>
          <w:spacing w:val="-4"/>
          <w:w w:val="105"/>
          <w:sz w:val="19"/>
        </w:rPr>
        <w:t> </w:t>
      </w:r>
      <w:r>
        <w:rPr>
          <w:rFonts w:ascii="Times New Roman"/>
          <w:color w:val="3F3F3F"/>
          <w:w w:val="105"/>
          <w:sz w:val="19"/>
        </w:rPr>
        <w:t>income</w:t>
      </w:r>
      <w:r>
        <w:rPr>
          <w:rFonts w:ascii="Times New Roman"/>
          <w:color w:val="3F3F3F"/>
          <w:spacing w:val="-24"/>
          <w:w w:val="105"/>
          <w:sz w:val="19"/>
        </w:rPr>
        <w:t> </w:t>
      </w:r>
      <w:r>
        <w:rPr>
          <w:rFonts w:ascii="Times New Roman"/>
          <w:color w:val="3F3F3F"/>
          <w:w w:val="105"/>
          <w:sz w:val="19"/>
        </w:rPr>
        <w:t>funds</w:t>
      </w:r>
      <w:r>
        <w:rPr>
          <w:rFonts w:ascii="Times New Roman"/>
          <w:color w:val="3F3F3F"/>
          <w:spacing w:val="-26"/>
          <w:w w:val="105"/>
          <w:sz w:val="19"/>
        </w:rPr>
        <w:t> </w:t>
      </w:r>
      <w:r>
        <w:rPr>
          <w:rFonts w:ascii="Times New Roman"/>
          <w:color w:val="3F3F3F"/>
          <w:w w:val="105"/>
          <w:sz w:val="19"/>
        </w:rPr>
        <w:t>are</w:t>
      </w:r>
      <w:r>
        <w:rPr>
          <w:rFonts w:ascii="Times New Roman"/>
          <w:color w:val="3F3F3F"/>
          <w:spacing w:val="-21"/>
          <w:w w:val="105"/>
          <w:sz w:val="19"/>
        </w:rPr>
        <w:t> </w:t>
      </w:r>
      <w:r>
        <w:rPr>
          <w:rFonts w:ascii="Times New Roman"/>
          <w:color w:val="3F3F3F"/>
          <w:spacing w:val="-3"/>
          <w:w w:val="105"/>
          <w:sz w:val="19"/>
        </w:rPr>
        <w:t>fu</w:t>
      </w:r>
      <w:r>
        <w:rPr>
          <w:rFonts w:ascii="Times New Roman"/>
          <w:color w:val="242424"/>
          <w:spacing w:val="-3"/>
          <w:w w:val="105"/>
          <w:sz w:val="19"/>
        </w:rPr>
        <w:t>n</w:t>
      </w:r>
      <w:r>
        <w:rPr>
          <w:rFonts w:ascii="Times New Roman"/>
          <w:color w:val="3F3F3F"/>
          <w:spacing w:val="-3"/>
          <w:w w:val="105"/>
          <w:sz w:val="19"/>
        </w:rPr>
        <w:t>ds</w:t>
      </w:r>
      <w:r>
        <w:rPr>
          <w:rFonts w:ascii="Times New Roman"/>
          <w:color w:val="3F3F3F"/>
          <w:spacing w:val="-7"/>
          <w:w w:val="105"/>
          <w:sz w:val="19"/>
        </w:rPr>
        <w:t> </w:t>
      </w:r>
      <w:r>
        <w:rPr>
          <w:rFonts w:ascii="Times New Roman"/>
          <w:color w:val="3F3F3F"/>
          <w:w w:val="105"/>
          <w:sz w:val="19"/>
        </w:rPr>
        <w:t>whose</w:t>
      </w:r>
      <w:r>
        <w:rPr>
          <w:rFonts w:ascii="Times New Roman"/>
          <w:color w:val="3F3F3F"/>
          <w:spacing w:val="-17"/>
          <w:w w:val="105"/>
          <w:sz w:val="19"/>
        </w:rPr>
        <w:t> </w:t>
      </w:r>
      <w:r>
        <w:rPr>
          <w:rFonts w:ascii="Times New Roman"/>
          <w:color w:val="3F3F3F"/>
          <w:w w:val="105"/>
          <w:sz w:val="19"/>
        </w:rPr>
        <w:t>use</w:t>
      </w:r>
      <w:r>
        <w:rPr>
          <w:rFonts w:ascii="Times New Roman"/>
          <w:color w:val="3F3F3F"/>
          <w:spacing w:val="-27"/>
          <w:w w:val="105"/>
          <w:sz w:val="19"/>
        </w:rPr>
        <w:t> </w:t>
      </w:r>
      <w:r>
        <w:rPr>
          <w:rFonts w:ascii="Times New Roman"/>
          <w:color w:val="242424"/>
          <w:spacing w:val="-7"/>
          <w:w w:val="105"/>
          <w:sz w:val="19"/>
        </w:rPr>
        <w:t>i</w:t>
      </w:r>
      <w:r>
        <w:rPr>
          <w:rFonts w:ascii="Times New Roman"/>
          <w:color w:val="3F3F3F"/>
          <w:spacing w:val="-7"/>
          <w:w w:val="105"/>
          <w:sz w:val="19"/>
        </w:rPr>
        <w:t>s</w:t>
      </w:r>
      <w:r>
        <w:rPr>
          <w:rFonts w:ascii="Times New Roman"/>
          <w:color w:val="3F3F3F"/>
          <w:spacing w:val="-10"/>
          <w:w w:val="105"/>
          <w:sz w:val="19"/>
        </w:rPr>
        <w:t> </w:t>
      </w:r>
      <w:r>
        <w:rPr>
          <w:rFonts w:ascii="Times New Roman"/>
          <w:color w:val="242424"/>
          <w:spacing w:val="-5"/>
          <w:w w:val="105"/>
          <w:sz w:val="19"/>
        </w:rPr>
        <w:t>r</w:t>
      </w:r>
      <w:r>
        <w:rPr>
          <w:rFonts w:ascii="Times New Roman"/>
          <w:color w:val="3F3F3F"/>
          <w:spacing w:val="-5"/>
          <w:w w:val="105"/>
          <w:sz w:val="19"/>
        </w:rPr>
        <w:t>estric</w:t>
      </w:r>
      <w:r>
        <w:rPr>
          <w:rFonts w:ascii="Times New Roman"/>
          <w:color w:val="242424"/>
          <w:spacing w:val="-5"/>
          <w:w w:val="105"/>
          <w:sz w:val="19"/>
        </w:rPr>
        <w:t>t</w:t>
      </w:r>
      <w:r>
        <w:rPr>
          <w:rFonts w:ascii="Times New Roman"/>
          <w:color w:val="3F3F3F"/>
          <w:spacing w:val="-5"/>
          <w:w w:val="105"/>
          <w:sz w:val="19"/>
        </w:rPr>
        <w:t>ed</w:t>
      </w:r>
      <w:r>
        <w:rPr>
          <w:rFonts w:ascii="Times New Roman"/>
          <w:color w:val="3F3F3F"/>
          <w:spacing w:val="-23"/>
          <w:w w:val="105"/>
          <w:sz w:val="19"/>
        </w:rPr>
        <w:t> </w:t>
      </w:r>
      <w:r>
        <w:rPr>
          <w:rFonts w:ascii="Times New Roman"/>
          <w:color w:val="3F3F3F"/>
          <w:w w:val="105"/>
          <w:sz w:val="19"/>
        </w:rPr>
        <w:t>to</w:t>
      </w:r>
      <w:r>
        <w:rPr>
          <w:rFonts w:ascii="Times New Roman"/>
          <w:color w:val="3F3F3F"/>
          <w:spacing w:val="-15"/>
          <w:w w:val="105"/>
          <w:sz w:val="19"/>
        </w:rPr>
        <w:t> </w:t>
      </w:r>
      <w:r>
        <w:rPr>
          <w:rFonts w:ascii="Times New Roman"/>
          <w:color w:val="3F3F3F"/>
          <w:w w:val="105"/>
          <w:sz w:val="19"/>
        </w:rPr>
        <w:t>specific</w:t>
      </w:r>
      <w:r>
        <w:rPr>
          <w:rFonts w:ascii="Times New Roman"/>
          <w:color w:val="3F3F3F"/>
          <w:spacing w:val="-20"/>
          <w:w w:val="105"/>
          <w:sz w:val="19"/>
        </w:rPr>
        <w:t> </w:t>
      </w:r>
      <w:r>
        <w:rPr>
          <w:rFonts w:ascii="Times New Roman"/>
          <w:color w:val="242424"/>
          <w:w w:val="105"/>
          <w:sz w:val="19"/>
        </w:rPr>
        <w:t>p</w:t>
      </w:r>
      <w:r>
        <w:rPr>
          <w:rFonts w:ascii="Times New Roman"/>
          <w:color w:val="3F3F3F"/>
          <w:w w:val="105"/>
          <w:sz w:val="19"/>
        </w:rPr>
        <w:t>urposes</w:t>
      </w:r>
      <w:r>
        <w:rPr>
          <w:rFonts w:ascii="Times New Roman"/>
          <w:color w:val="3F3F3F"/>
          <w:spacing w:val="-35"/>
          <w:w w:val="105"/>
          <w:sz w:val="19"/>
        </w:rPr>
        <w:t> </w:t>
      </w:r>
      <w:r>
        <w:rPr>
          <w:rFonts w:ascii="Times New Roman"/>
          <w:color w:val="3F3F3F"/>
          <w:w w:val="105"/>
          <w:sz w:val="19"/>
        </w:rPr>
        <w:t>according</w:t>
      </w:r>
      <w:r>
        <w:rPr>
          <w:rFonts w:ascii="Times New Roman"/>
          <w:color w:val="3F3F3F"/>
          <w:spacing w:val="-16"/>
          <w:w w:val="105"/>
          <w:sz w:val="19"/>
        </w:rPr>
        <w:t> </w:t>
      </w:r>
      <w:r>
        <w:rPr>
          <w:rFonts w:ascii="Times New Roman"/>
          <w:color w:val="3F3F3F"/>
          <w:w w:val="105"/>
          <w:sz w:val="19"/>
        </w:rPr>
        <w:t>to</w:t>
      </w:r>
      <w:r>
        <w:rPr>
          <w:rFonts w:ascii="Times New Roman"/>
          <w:color w:val="3F3F3F"/>
          <w:spacing w:val="-25"/>
          <w:w w:val="105"/>
          <w:sz w:val="19"/>
        </w:rPr>
        <w:t> </w:t>
      </w:r>
      <w:r>
        <w:rPr>
          <w:rFonts w:ascii="Times New Roman"/>
          <w:color w:val="3F3F3F"/>
          <w:w w:val="105"/>
          <w:sz w:val="19"/>
        </w:rPr>
        <w:t>the</w:t>
      </w:r>
      <w:r>
        <w:rPr>
          <w:rFonts w:ascii="Times New Roman"/>
          <w:color w:val="3F3F3F"/>
          <w:spacing w:val="-31"/>
          <w:w w:val="105"/>
          <w:sz w:val="19"/>
        </w:rPr>
        <w:t> </w:t>
      </w:r>
      <w:r>
        <w:rPr>
          <w:rFonts w:ascii="Times New Roman"/>
          <w:color w:val="3F3F3F"/>
          <w:w w:val="105"/>
          <w:sz w:val="19"/>
        </w:rPr>
        <w:t>terms</w:t>
      </w:r>
      <w:r>
        <w:rPr>
          <w:rFonts w:ascii="Times New Roman"/>
          <w:color w:val="3F3F3F"/>
          <w:spacing w:val="-26"/>
          <w:w w:val="105"/>
          <w:sz w:val="19"/>
        </w:rPr>
        <w:t> </w:t>
      </w:r>
      <w:r>
        <w:rPr>
          <w:rFonts w:ascii="Times New Roman"/>
          <w:color w:val="3F3F3F"/>
          <w:w w:val="105"/>
          <w:sz w:val="19"/>
        </w:rPr>
        <w:t>on</w:t>
      </w:r>
      <w:r>
        <w:rPr>
          <w:rFonts w:ascii="Times New Roman"/>
          <w:color w:val="3F3F3F"/>
          <w:spacing w:val="-21"/>
          <w:w w:val="105"/>
          <w:sz w:val="19"/>
        </w:rPr>
        <w:t> </w:t>
      </w:r>
      <w:r>
        <w:rPr>
          <w:rFonts w:ascii="Times New Roman"/>
          <w:color w:val="3F3F3F"/>
          <w:w w:val="105"/>
          <w:sz w:val="19"/>
        </w:rPr>
        <w:t>which</w:t>
      </w:r>
      <w:r>
        <w:rPr>
          <w:rFonts w:ascii="Times New Roman"/>
          <w:color w:val="3F3F3F"/>
          <w:spacing w:val="-17"/>
          <w:w w:val="105"/>
          <w:sz w:val="19"/>
        </w:rPr>
        <w:t> </w:t>
      </w:r>
      <w:r>
        <w:rPr>
          <w:rFonts w:ascii="Times New Roman"/>
          <w:color w:val="3F3F3F"/>
          <w:w w:val="105"/>
          <w:sz w:val="19"/>
        </w:rPr>
        <w:t>the funds</w:t>
      </w:r>
      <w:r>
        <w:rPr>
          <w:rFonts w:ascii="Times New Roman"/>
          <w:color w:val="3F3F3F"/>
          <w:spacing w:val="-9"/>
          <w:w w:val="105"/>
          <w:sz w:val="19"/>
        </w:rPr>
        <w:t> </w:t>
      </w:r>
      <w:r>
        <w:rPr>
          <w:rFonts w:ascii="Times New Roman"/>
          <w:color w:val="3F3F3F"/>
          <w:w w:val="105"/>
          <w:sz w:val="19"/>
        </w:rPr>
        <w:t>were</w:t>
      </w:r>
      <w:r>
        <w:rPr>
          <w:rFonts w:ascii="Times New Roman"/>
          <w:color w:val="3F3F3F"/>
          <w:spacing w:val="-9"/>
          <w:w w:val="105"/>
          <w:sz w:val="19"/>
        </w:rPr>
        <w:t> </w:t>
      </w:r>
      <w:r>
        <w:rPr>
          <w:rFonts w:ascii="Times New Roman"/>
          <w:color w:val="3F3F3F"/>
          <w:spacing w:val="-6"/>
          <w:w w:val="105"/>
          <w:sz w:val="19"/>
        </w:rPr>
        <w:t>received</w:t>
      </w:r>
      <w:r>
        <w:rPr>
          <w:rFonts w:ascii="Times New Roman"/>
          <w:color w:val="242424"/>
          <w:spacing w:val="-6"/>
          <w:w w:val="105"/>
          <w:sz w:val="19"/>
        </w:rPr>
        <w:t>.</w:t>
      </w:r>
      <w:r>
        <w:rPr>
          <w:rFonts w:ascii="Times New Roman"/>
          <w:color w:val="242424"/>
          <w:spacing w:val="7"/>
          <w:w w:val="105"/>
          <w:sz w:val="19"/>
        </w:rPr>
        <w:t> </w:t>
      </w:r>
      <w:r>
        <w:rPr>
          <w:rFonts w:ascii="Times New Roman"/>
          <w:color w:val="3F3F3F"/>
          <w:w w:val="105"/>
          <w:sz w:val="19"/>
        </w:rPr>
        <w:t>However,</w:t>
      </w:r>
      <w:r>
        <w:rPr>
          <w:rFonts w:ascii="Times New Roman"/>
          <w:color w:val="3F3F3F"/>
          <w:spacing w:val="-4"/>
          <w:w w:val="105"/>
          <w:sz w:val="19"/>
        </w:rPr>
        <w:t> </w:t>
      </w:r>
      <w:r>
        <w:rPr>
          <w:rFonts w:ascii="Times New Roman"/>
          <w:color w:val="242424"/>
          <w:spacing w:val="-3"/>
          <w:w w:val="105"/>
          <w:sz w:val="19"/>
        </w:rPr>
        <w:t>i</w:t>
      </w:r>
      <w:r>
        <w:rPr>
          <w:rFonts w:ascii="Times New Roman"/>
          <w:color w:val="3F3F3F"/>
          <w:spacing w:val="-3"/>
          <w:w w:val="105"/>
          <w:sz w:val="19"/>
        </w:rPr>
        <w:t>f</w:t>
      </w:r>
      <w:r>
        <w:rPr>
          <w:rFonts w:ascii="Times New Roman"/>
          <w:color w:val="3F3F3F"/>
          <w:spacing w:val="-1"/>
          <w:w w:val="105"/>
          <w:sz w:val="19"/>
        </w:rPr>
        <w:t> </w:t>
      </w:r>
      <w:r>
        <w:rPr>
          <w:rFonts w:ascii="Times New Roman"/>
          <w:color w:val="3F3F3F"/>
          <w:spacing w:val="3"/>
          <w:w w:val="105"/>
          <w:sz w:val="19"/>
        </w:rPr>
        <w:t>t</w:t>
      </w:r>
      <w:r>
        <w:rPr>
          <w:rFonts w:ascii="Times New Roman"/>
          <w:color w:val="242424"/>
          <w:spacing w:val="3"/>
          <w:w w:val="105"/>
          <w:sz w:val="19"/>
        </w:rPr>
        <w:t>h</w:t>
      </w:r>
      <w:r>
        <w:rPr>
          <w:rFonts w:ascii="Times New Roman"/>
          <w:color w:val="3F3F3F"/>
          <w:spacing w:val="3"/>
          <w:w w:val="105"/>
          <w:sz w:val="19"/>
        </w:rPr>
        <w:t>e</w:t>
      </w:r>
      <w:r>
        <w:rPr>
          <w:rFonts w:ascii="Times New Roman"/>
          <w:color w:val="3F3F3F"/>
          <w:spacing w:val="12"/>
          <w:w w:val="105"/>
          <w:sz w:val="19"/>
        </w:rPr>
        <w:t> </w:t>
      </w:r>
      <w:r>
        <w:rPr>
          <w:rFonts w:ascii="Times New Roman"/>
          <w:color w:val="3F3F3F"/>
          <w:w w:val="105"/>
          <w:sz w:val="19"/>
        </w:rPr>
        <w:t>purpose</w:t>
      </w:r>
      <w:r>
        <w:rPr>
          <w:rFonts w:ascii="Times New Roman"/>
          <w:color w:val="3F3F3F"/>
          <w:spacing w:val="-9"/>
          <w:w w:val="105"/>
          <w:sz w:val="19"/>
        </w:rPr>
        <w:t> </w:t>
      </w:r>
      <w:r>
        <w:rPr>
          <w:rFonts w:ascii="Times New Roman"/>
          <w:color w:val="3F3F3F"/>
          <w:w w:val="105"/>
          <w:sz w:val="19"/>
        </w:rPr>
        <w:t>is</w:t>
      </w:r>
      <w:r>
        <w:rPr>
          <w:rFonts w:ascii="Times New Roman"/>
          <w:color w:val="3F3F3F"/>
          <w:spacing w:val="-14"/>
          <w:w w:val="105"/>
          <w:sz w:val="19"/>
        </w:rPr>
        <w:t> </w:t>
      </w:r>
      <w:r>
        <w:rPr>
          <w:rFonts w:ascii="Times New Roman"/>
          <w:color w:val="3F3F3F"/>
          <w:w w:val="105"/>
          <w:sz w:val="19"/>
        </w:rPr>
        <w:t>one</w:t>
      </w:r>
      <w:r>
        <w:rPr>
          <w:rFonts w:ascii="Times New Roman"/>
          <w:color w:val="3F3F3F"/>
          <w:spacing w:val="3"/>
          <w:w w:val="105"/>
          <w:sz w:val="19"/>
        </w:rPr>
        <w:t> </w:t>
      </w:r>
      <w:r>
        <w:rPr>
          <w:rFonts w:ascii="Times New Roman"/>
          <w:color w:val="3F3F3F"/>
          <w:w w:val="105"/>
          <w:sz w:val="19"/>
        </w:rPr>
        <w:t>that</w:t>
      </w:r>
      <w:r>
        <w:rPr>
          <w:rFonts w:ascii="Times New Roman"/>
          <w:color w:val="3F3F3F"/>
          <w:spacing w:val="-11"/>
          <w:w w:val="105"/>
          <w:sz w:val="19"/>
        </w:rPr>
        <w:t> </w:t>
      </w:r>
      <w:r>
        <w:rPr>
          <w:rFonts w:ascii="Times New Roman"/>
          <w:color w:val="3F3F3F"/>
          <w:w w:val="105"/>
          <w:sz w:val="19"/>
        </w:rPr>
        <w:t>forms</w:t>
      </w:r>
      <w:r>
        <w:rPr>
          <w:rFonts w:ascii="Times New Roman"/>
          <w:color w:val="3F3F3F"/>
          <w:spacing w:val="-9"/>
          <w:w w:val="105"/>
          <w:sz w:val="19"/>
        </w:rPr>
        <w:t> </w:t>
      </w:r>
      <w:r>
        <w:rPr>
          <w:rFonts w:ascii="Times New Roman"/>
          <w:color w:val="3F3F3F"/>
          <w:w w:val="105"/>
          <w:sz w:val="19"/>
        </w:rPr>
        <w:t>part</w:t>
      </w:r>
      <w:r>
        <w:rPr>
          <w:rFonts w:ascii="Times New Roman"/>
          <w:color w:val="3F3F3F"/>
          <w:spacing w:val="-19"/>
          <w:w w:val="105"/>
          <w:sz w:val="19"/>
        </w:rPr>
        <w:t> </w:t>
      </w:r>
      <w:r>
        <w:rPr>
          <w:rFonts w:ascii="Times New Roman"/>
          <w:color w:val="3F3F3F"/>
          <w:w w:val="105"/>
          <w:sz w:val="19"/>
        </w:rPr>
        <w:t>of</w:t>
      </w:r>
      <w:r>
        <w:rPr>
          <w:rFonts w:ascii="Times New Roman"/>
          <w:color w:val="3F3F3F"/>
          <w:spacing w:val="-9"/>
          <w:w w:val="105"/>
          <w:sz w:val="19"/>
        </w:rPr>
        <w:t> </w:t>
      </w:r>
      <w:r>
        <w:rPr>
          <w:rFonts w:ascii="Times New Roman"/>
          <w:color w:val="3F3F3F"/>
          <w:w w:val="105"/>
          <w:sz w:val="19"/>
        </w:rPr>
        <w:t>the</w:t>
      </w:r>
      <w:r>
        <w:rPr>
          <w:rFonts w:ascii="Times New Roman"/>
          <w:color w:val="3F3F3F"/>
          <w:spacing w:val="-17"/>
          <w:w w:val="105"/>
          <w:sz w:val="19"/>
        </w:rPr>
        <w:t> </w:t>
      </w:r>
      <w:r>
        <w:rPr>
          <w:rFonts w:ascii="Times New Roman"/>
          <w:color w:val="3F3F3F"/>
          <w:spacing w:val="-7"/>
          <w:w w:val="105"/>
          <w:sz w:val="19"/>
        </w:rPr>
        <w:t>Churc</w:t>
      </w:r>
      <w:r>
        <w:rPr>
          <w:rFonts w:ascii="Times New Roman"/>
          <w:color w:val="242424"/>
          <w:spacing w:val="-7"/>
          <w:w w:val="105"/>
          <w:sz w:val="19"/>
        </w:rPr>
        <w:t>h</w:t>
      </w:r>
      <w:r>
        <w:rPr>
          <w:rFonts w:ascii="Times New Roman"/>
          <w:color w:val="3F3F3F"/>
          <w:spacing w:val="-7"/>
          <w:w w:val="105"/>
          <w:sz w:val="19"/>
        </w:rPr>
        <w:t>'s</w:t>
      </w:r>
      <w:r>
        <w:rPr>
          <w:rFonts w:ascii="Times New Roman"/>
          <w:color w:val="3F3F3F"/>
          <w:spacing w:val="15"/>
          <w:w w:val="105"/>
          <w:sz w:val="19"/>
        </w:rPr>
        <w:t> </w:t>
      </w:r>
      <w:r>
        <w:rPr>
          <w:rFonts w:ascii="Times New Roman"/>
          <w:color w:val="3F3F3F"/>
          <w:w w:val="105"/>
          <w:sz w:val="19"/>
        </w:rPr>
        <w:t>regular</w:t>
      </w:r>
      <w:r>
        <w:rPr>
          <w:rFonts w:ascii="Times New Roman"/>
          <w:color w:val="3F3F3F"/>
          <w:spacing w:val="-7"/>
          <w:w w:val="105"/>
          <w:sz w:val="19"/>
        </w:rPr>
        <w:t> </w:t>
      </w:r>
      <w:r>
        <w:rPr>
          <w:rFonts w:ascii="Times New Roman"/>
          <w:color w:val="3F3F3F"/>
          <w:spacing w:val="-4"/>
          <w:w w:val="105"/>
          <w:sz w:val="19"/>
        </w:rPr>
        <w:t>expenditu</w:t>
      </w:r>
      <w:r>
        <w:rPr>
          <w:rFonts w:ascii="Times New Roman"/>
          <w:color w:val="242424"/>
          <w:spacing w:val="-4"/>
          <w:w w:val="105"/>
          <w:sz w:val="19"/>
        </w:rPr>
        <w:t>r</w:t>
      </w:r>
      <w:r>
        <w:rPr>
          <w:rFonts w:ascii="Times New Roman"/>
          <w:color w:val="3F3F3F"/>
          <w:spacing w:val="-4"/>
          <w:w w:val="105"/>
          <w:sz w:val="19"/>
        </w:rPr>
        <w:t>e </w:t>
      </w:r>
      <w:r>
        <w:rPr>
          <w:rFonts w:ascii="Times New Roman"/>
          <w:color w:val="3F3F3F"/>
          <w:w w:val="105"/>
          <w:sz w:val="19"/>
        </w:rPr>
        <w:t>and</w:t>
      </w:r>
      <w:r>
        <w:rPr>
          <w:rFonts w:ascii="Times New Roman"/>
          <w:color w:val="3F3F3F"/>
          <w:spacing w:val="-7"/>
          <w:w w:val="105"/>
          <w:sz w:val="19"/>
        </w:rPr>
        <w:t> </w:t>
      </w:r>
      <w:r>
        <w:rPr>
          <w:rFonts w:ascii="Times New Roman"/>
          <w:color w:val="3F3F3F"/>
          <w:w w:val="105"/>
          <w:sz w:val="19"/>
        </w:rPr>
        <w:t>the income</w:t>
      </w:r>
      <w:r>
        <w:rPr>
          <w:rFonts w:ascii="Times New Roman"/>
          <w:color w:val="3F3F3F"/>
          <w:spacing w:val="-23"/>
          <w:w w:val="105"/>
          <w:sz w:val="19"/>
        </w:rPr>
        <w:t> </w:t>
      </w:r>
      <w:r>
        <w:rPr>
          <w:rFonts w:ascii="Times New Roman"/>
          <w:color w:val="3F3F3F"/>
          <w:w w:val="105"/>
          <w:sz w:val="19"/>
        </w:rPr>
        <w:t>of</w:t>
      </w:r>
      <w:r>
        <w:rPr>
          <w:rFonts w:ascii="Times New Roman"/>
          <w:color w:val="3F3F3F"/>
          <w:spacing w:val="2"/>
          <w:w w:val="105"/>
          <w:sz w:val="19"/>
        </w:rPr>
        <w:t> </w:t>
      </w:r>
      <w:r>
        <w:rPr>
          <w:rFonts w:ascii="Times New Roman"/>
          <w:color w:val="3F3F3F"/>
          <w:w w:val="105"/>
          <w:sz w:val="19"/>
        </w:rPr>
        <w:t>the</w:t>
      </w:r>
      <w:r>
        <w:rPr>
          <w:rFonts w:ascii="Times New Roman"/>
          <w:color w:val="3F3F3F"/>
          <w:spacing w:val="-20"/>
          <w:w w:val="105"/>
          <w:sz w:val="19"/>
        </w:rPr>
        <w:t> </w:t>
      </w:r>
      <w:r>
        <w:rPr>
          <w:rFonts w:ascii="Times New Roman"/>
          <w:color w:val="3F3F3F"/>
          <w:w w:val="105"/>
          <w:sz w:val="19"/>
        </w:rPr>
        <w:t>funds</w:t>
      </w:r>
      <w:r>
        <w:rPr>
          <w:rFonts w:ascii="Times New Roman"/>
          <w:color w:val="3F3F3F"/>
          <w:spacing w:val="-15"/>
          <w:w w:val="105"/>
          <w:sz w:val="19"/>
        </w:rPr>
        <w:t> </w:t>
      </w:r>
      <w:r>
        <w:rPr>
          <w:rFonts w:ascii="Times New Roman"/>
          <w:color w:val="3F3F3F"/>
          <w:w w:val="105"/>
          <w:sz w:val="19"/>
        </w:rPr>
        <w:t>could</w:t>
      </w:r>
      <w:r>
        <w:rPr>
          <w:rFonts w:ascii="Times New Roman"/>
          <w:color w:val="3F3F3F"/>
          <w:spacing w:val="-7"/>
          <w:w w:val="105"/>
          <w:sz w:val="19"/>
        </w:rPr>
        <w:t> </w:t>
      </w:r>
      <w:r>
        <w:rPr>
          <w:rFonts w:ascii="Times New Roman"/>
          <w:color w:val="3F3F3F"/>
          <w:spacing w:val="-4"/>
          <w:w w:val="105"/>
          <w:sz w:val="19"/>
        </w:rPr>
        <w:t>therefo</w:t>
      </w:r>
      <w:r>
        <w:rPr>
          <w:rFonts w:ascii="Times New Roman"/>
          <w:color w:val="242424"/>
          <w:spacing w:val="-4"/>
          <w:w w:val="105"/>
          <w:sz w:val="19"/>
        </w:rPr>
        <w:t>r</w:t>
      </w:r>
      <w:r>
        <w:rPr>
          <w:rFonts w:ascii="Times New Roman"/>
          <w:color w:val="3F3F3F"/>
          <w:spacing w:val="-4"/>
          <w:w w:val="105"/>
          <w:sz w:val="19"/>
        </w:rPr>
        <w:t>e</w:t>
      </w:r>
      <w:r>
        <w:rPr>
          <w:rFonts w:ascii="Times New Roman"/>
          <w:color w:val="3F3F3F"/>
          <w:spacing w:val="-9"/>
          <w:w w:val="105"/>
          <w:sz w:val="19"/>
        </w:rPr>
        <w:t> </w:t>
      </w:r>
      <w:r>
        <w:rPr>
          <w:rFonts w:ascii="Times New Roman"/>
          <w:color w:val="3F3F3F"/>
          <w:w w:val="105"/>
          <w:sz w:val="19"/>
        </w:rPr>
        <w:t>be</w:t>
      </w:r>
      <w:r>
        <w:rPr>
          <w:rFonts w:ascii="Times New Roman"/>
          <w:color w:val="3F3F3F"/>
          <w:spacing w:val="-20"/>
          <w:w w:val="105"/>
          <w:sz w:val="19"/>
        </w:rPr>
        <w:t> </w:t>
      </w:r>
      <w:r>
        <w:rPr>
          <w:rFonts w:ascii="Times New Roman"/>
          <w:color w:val="3F3F3F"/>
          <w:w w:val="105"/>
          <w:sz w:val="19"/>
        </w:rPr>
        <w:t>fully</w:t>
      </w:r>
      <w:r>
        <w:rPr>
          <w:rFonts w:ascii="Times New Roman"/>
          <w:color w:val="3F3F3F"/>
          <w:spacing w:val="-23"/>
          <w:w w:val="105"/>
          <w:sz w:val="19"/>
        </w:rPr>
        <w:t> </w:t>
      </w:r>
      <w:r>
        <w:rPr>
          <w:rFonts w:ascii="Times New Roman"/>
          <w:color w:val="3F3F3F"/>
          <w:w w:val="105"/>
          <w:sz w:val="19"/>
        </w:rPr>
        <w:t>spent</w:t>
      </w:r>
      <w:r>
        <w:rPr>
          <w:rFonts w:ascii="Times New Roman"/>
          <w:color w:val="3F3F3F"/>
          <w:spacing w:val="-18"/>
          <w:w w:val="105"/>
          <w:sz w:val="19"/>
        </w:rPr>
        <w:t> </w:t>
      </w:r>
      <w:r>
        <w:rPr>
          <w:rFonts w:ascii="Times New Roman"/>
          <w:color w:val="3F3F3F"/>
          <w:w w:val="105"/>
          <w:sz w:val="19"/>
        </w:rPr>
        <w:t>each</w:t>
      </w:r>
      <w:r>
        <w:rPr>
          <w:rFonts w:ascii="Times New Roman"/>
          <w:color w:val="3F3F3F"/>
          <w:spacing w:val="-10"/>
          <w:w w:val="105"/>
          <w:sz w:val="19"/>
        </w:rPr>
        <w:t> </w:t>
      </w:r>
      <w:r>
        <w:rPr>
          <w:rFonts w:ascii="Times New Roman"/>
          <w:color w:val="3F3F3F"/>
          <w:w w:val="105"/>
          <w:sz w:val="19"/>
        </w:rPr>
        <w:t>year,</w:t>
      </w:r>
      <w:r>
        <w:rPr>
          <w:rFonts w:ascii="Times New Roman"/>
          <w:color w:val="3F3F3F"/>
          <w:spacing w:val="-17"/>
          <w:w w:val="105"/>
          <w:sz w:val="19"/>
        </w:rPr>
        <w:t> </w:t>
      </w:r>
      <w:r>
        <w:rPr>
          <w:rFonts w:ascii="Times New Roman"/>
          <w:color w:val="3F3F3F"/>
          <w:w w:val="105"/>
          <w:sz w:val="19"/>
        </w:rPr>
        <w:t>the</w:t>
      </w:r>
      <w:r>
        <w:rPr>
          <w:rFonts w:ascii="Times New Roman"/>
          <w:color w:val="3F3F3F"/>
          <w:spacing w:val="-15"/>
          <w:w w:val="105"/>
          <w:sz w:val="19"/>
        </w:rPr>
        <w:t> </w:t>
      </w:r>
      <w:r>
        <w:rPr>
          <w:rFonts w:ascii="Times New Roman"/>
          <w:color w:val="3F3F3F"/>
          <w:spacing w:val="-4"/>
          <w:w w:val="105"/>
          <w:sz w:val="19"/>
        </w:rPr>
        <w:t>restrict</w:t>
      </w:r>
      <w:r>
        <w:rPr>
          <w:rFonts w:ascii="Times New Roman"/>
          <w:color w:val="242424"/>
          <w:spacing w:val="-4"/>
          <w:w w:val="105"/>
          <w:sz w:val="19"/>
        </w:rPr>
        <w:t>i</w:t>
      </w:r>
      <w:r>
        <w:rPr>
          <w:rFonts w:ascii="Times New Roman"/>
          <w:color w:val="3F3F3F"/>
          <w:spacing w:val="-4"/>
          <w:w w:val="105"/>
          <w:sz w:val="19"/>
        </w:rPr>
        <w:t>on</w:t>
      </w:r>
      <w:r>
        <w:rPr>
          <w:rFonts w:ascii="Times New Roman"/>
          <w:color w:val="3F3F3F"/>
          <w:spacing w:val="19"/>
          <w:w w:val="105"/>
          <w:sz w:val="19"/>
        </w:rPr>
        <w:t> </w:t>
      </w:r>
      <w:r>
        <w:rPr>
          <w:rFonts w:ascii="Times New Roman"/>
          <w:color w:val="3F3F3F"/>
          <w:w w:val="105"/>
          <w:sz w:val="19"/>
        </w:rPr>
        <w:t>has</w:t>
      </w:r>
      <w:r>
        <w:rPr>
          <w:rFonts w:ascii="Times New Roman"/>
          <w:color w:val="3F3F3F"/>
          <w:spacing w:val="-23"/>
          <w:w w:val="105"/>
          <w:sz w:val="19"/>
        </w:rPr>
        <w:t> </w:t>
      </w:r>
      <w:r>
        <w:rPr>
          <w:rFonts w:ascii="Times New Roman"/>
          <w:color w:val="3F3F3F"/>
          <w:w w:val="105"/>
          <w:sz w:val="19"/>
        </w:rPr>
        <w:t>no</w:t>
      </w:r>
      <w:r>
        <w:rPr>
          <w:rFonts w:ascii="Times New Roman"/>
          <w:color w:val="3F3F3F"/>
          <w:spacing w:val="-15"/>
          <w:w w:val="105"/>
          <w:sz w:val="19"/>
        </w:rPr>
        <w:t> </w:t>
      </w:r>
      <w:r>
        <w:rPr>
          <w:rFonts w:ascii="Times New Roman"/>
          <w:color w:val="3F3F3F"/>
          <w:spacing w:val="-6"/>
          <w:w w:val="105"/>
          <w:sz w:val="19"/>
        </w:rPr>
        <w:t>p</w:t>
      </w:r>
      <w:r>
        <w:rPr>
          <w:rFonts w:ascii="Times New Roman"/>
          <w:color w:val="242424"/>
          <w:spacing w:val="-6"/>
          <w:w w:val="105"/>
          <w:sz w:val="19"/>
        </w:rPr>
        <w:t>r</w:t>
      </w:r>
      <w:r>
        <w:rPr>
          <w:rFonts w:ascii="Times New Roman"/>
          <w:color w:val="3F3F3F"/>
          <w:spacing w:val="-6"/>
          <w:w w:val="105"/>
          <w:sz w:val="19"/>
        </w:rPr>
        <w:t>actical</w:t>
      </w:r>
      <w:r>
        <w:rPr>
          <w:rFonts w:ascii="Times New Roman"/>
          <w:color w:val="3F3F3F"/>
          <w:spacing w:val="-19"/>
          <w:w w:val="105"/>
          <w:sz w:val="19"/>
        </w:rPr>
        <w:t> </w:t>
      </w:r>
      <w:r>
        <w:rPr>
          <w:rFonts w:ascii="Times New Roman"/>
          <w:color w:val="3F3F3F"/>
          <w:w w:val="105"/>
          <w:sz w:val="19"/>
        </w:rPr>
        <w:t>effect</w:t>
      </w:r>
      <w:r>
        <w:rPr>
          <w:rFonts w:ascii="Times New Roman"/>
          <w:color w:val="3F3F3F"/>
          <w:spacing w:val="-11"/>
          <w:w w:val="105"/>
          <w:sz w:val="19"/>
        </w:rPr>
        <w:t> </w:t>
      </w:r>
      <w:r>
        <w:rPr>
          <w:rFonts w:ascii="Times New Roman"/>
          <w:color w:val="3F3F3F"/>
          <w:w w:val="105"/>
          <w:sz w:val="19"/>
        </w:rPr>
        <w:t>and</w:t>
      </w:r>
      <w:r>
        <w:rPr>
          <w:rFonts w:ascii="Times New Roman"/>
          <w:color w:val="3F3F3F"/>
          <w:spacing w:val="-6"/>
          <w:w w:val="105"/>
          <w:sz w:val="19"/>
        </w:rPr>
        <w:t> </w:t>
      </w:r>
      <w:r>
        <w:rPr>
          <w:rFonts w:ascii="Times New Roman"/>
          <w:color w:val="3F3F3F"/>
          <w:w w:val="105"/>
          <w:sz w:val="19"/>
        </w:rPr>
        <w:t>funds</w:t>
      </w:r>
      <w:r>
        <w:rPr>
          <w:rFonts w:ascii="Times New Roman"/>
          <w:color w:val="3F3F3F"/>
          <w:spacing w:val="-12"/>
          <w:w w:val="105"/>
          <w:sz w:val="19"/>
        </w:rPr>
        <w:t> </w:t>
      </w:r>
      <w:r>
        <w:rPr>
          <w:rFonts w:ascii="Times New Roman"/>
          <w:color w:val="3F3F3F"/>
          <w:w w:val="105"/>
          <w:sz w:val="19"/>
        </w:rPr>
        <w:t>with such</w:t>
      </w:r>
      <w:r>
        <w:rPr>
          <w:rFonts w:ascii="Times New Roman"/>
          <w:color w:val="3F3F3F"/>
          <w:spacing w:val="-8"/>
          <w:w w:val="105"/>
          <w:sz w:val="19"/>
        </w:rPr>
        <w:t> </w:t>
      </w:r>
      <w:r>
        <w:rPr>
          <w:rFonts w:ascii="Times New Roman"/>
          <w:color w:val="131313"/>
          <w:w w:val="105"/>
          <w:sz w:val="19"/>
        </w:rPr>
        <w:t>r</w:t>
      </w:r>
      <w:r>
        <w:rPr>
          <w:rFonts w:ascii="Times New Roman"/>
          <w:color w:val="3F3F3F"/>
          <w:w w:val="105"/>
          <w:sz w:val="19"/>
        </w:rPr>
        <w:t>estrictions</w:t>
      </w:r>
      <w:r>
        <w:rPr>
          <w:rFonts w:ascii="Times New Roman"/>
          <w:color w:val="3F3F3F"/>
          <w:spacing w:val="-28"/>
          <w:w w:val="105"/>
          <w:sz w:val="19"/>
        </w:rPr>
        <w:t> </w:t>
      </w:r>
      <w:r>
        <w:rPr>
          <w:rFonts w:ascii="Times New Roman"/>
          <w:color w:val="3F3F3F"/>
          <w:w w:val="105"/>
          <w:sz w:val="19"/>
        </w:rPr>
        <w:t>are</w:t>
      </w:r>
      <w:r>
        <w:rPr>
          <w:rFonts w:ascii="Times New Roman"/>
          <w:color w:val="3F3F3F"/>
          <w:spacing w:val="-15"/>
          <w:w w:val="105"/>
          <w:sz w:val="19"/>
        </w:rPr>
        <w:t> </w:t>
      </w:r>
      <w:r>
        <w:rPr>
          <w:rFonts w:ascii="Times New Roman"/>
          <w:color w:val="3F3F3F"/>
          <w:w w:val="105"/>
          <w:sz w:val="19"/>
        </w:rPr>
        <w:t>treated</w:t>
      </w:r>
      <w:r>
        <w:rPr>
          <w:rFonts w:ascii="Times New Roman"/>
          <w:color w:val="3F3F3F"/>
          <w:spacing w:val="-20"/>
          <w:w w:val="105"/>
          <w:sz w:val="19"/>
        </w:rPr>
        <w:t> </w:t>
      </w:r>
      <w:r>
        <w:rPr>
          <w:rFonts w:ascii="Times New Roman"/>
          <w:color w:val="3F3F3F"/>
          <w:w w:val="105"/>
          <w:sz w:val="19"/>
        </w:rPr>
        <w:t>as</w:t>
      </w:r>
      <w:r>
        <w:rPr>
          <w:rFonts w:ascii="Times New Roman"/>
          <w:color w:val="3F3F3F"/>
          <w:spacing w:val="-2"/>
          <w:w w:val="105"/>
          <w:sz w:val="19"/>
        </w:rPr>
        <w:t> </w:t>
      </w:r>
      <w:r>
        <w:rPr>
          <w:rFonts w:ascii="Times New Roman"/>
          <w:color w:val="242424"/>
          <w:spacing w:val="-6"/>
          <w:w w:val="105"/>
          <w:sz w:val="19"/>
        </w:rPr>
        <w:t>u</w:t>
      </w:r>
      <w:r>
        <w:rPr>
          <w:rFonts w:ascii="Times New Roman"/>
          <w:color w:val="3F3F3F"/>
          <w:spacing w:val="-6"/>
          <w:w w:val="105"/>
          <w:sz w:val="19"/>
        </w:rPr>
        <w:t>nrestric</w:t>
      </w:r>
      <w:r>
        <w:rPr>
          <w:rFonts w:ascii="Times New Roman"/>
          <w:color w:val="242424"/>
          <w:spacing w:val="-6"/>
          <w:w w:val="105"/>
          <w:sz w:val="19"/>
        </w:rPr>
        <w:t>t</w:t>
      </w:r>
      <w:r>
        <w:rPr>
          <w:rFonts w:ascii="Times New Roman"/>
          <w:color w:val="3F3F3F"/>
          <w:spacing w:val="-6"/>
          <w:w w:val="105"/>
          <w:sz w:val="19"/>
        </w:rPr>
        <w:t>ed.</w:t>
      </w:r>
    </w:p>
    <w:p>
      <w:pPr>
        <w:spacing w:line="242" w:lineRule="auto" w:before="119"/>
        <w:ind w:left="995" w:right="740" w:hanging="10"/>
        <w:jc w:val="both"/>
        <w:rPr>
          <w:rFonts w:ascii="Times New Roman"/>
          <w:sz w:val="19"/>
        </w:rPr>
      </w:pPr>
      <w:r>
        <w:rPr>
          <w:rFonts w:ascii="Times New Roman"/>
          <w:color w:val="3F3F3F"/>
          <w:w w:val="105"/>
          <w:sz w:val="19"/>
        </w:rPr>
        <w:t>Capital</w:t>
      </w:r>
      <w:r>
        <w:rPr>
          <w:rFonts w:ascii="Times New Roman"/>
          <w:color w:val="3F3F3F"/>
          <w:spacing w:val="-24"/>
          <w:w w:val="105"/>
          <w:sz w:val="19"/>
        </w:rPr>
        <w:t> </w:t>
      </w:r>
      <w:r>
        <w:rPr>
          <w:rFonts w:ascii="Times New Roman"/>
          <w:color w:val="3F3F3F"/>
          <w:w w:val="105"/>
          <w:sz w:val="19"/>
        </w:rPr>
        <w:t>funds</w:t>
      </w:r>
      <w:r>
        <w:rPr>
          <w:rFonts w:ascii="Times New Roman"/>
          <w:color w:val="3F3F3F"/>
          <w:spacing w:val="-18"/>
          <w:w w:val="105"/>
          <w:sz w:val="19"/>
        </w:rPr>
        <w:t> </w:t>
      </w:r>
      <w:r>
        <w:rPr>
          <w:rFonts w:ascii="Times New Roman"/>
          <w:color w:val="3F3F3F"/>
          <w:w w:val="105"/>
          <w:sz w:val="19"/>
        </w:rPr>
        <w:t>include</w:t>
      </w:r>
      <w:r>
        <w:rPr>
          <w:rFonts w:ascii="Times New Roman"/>
          <w:color w:val="3F3F3F"/>
          <w:spacing w:val="-12"/>
          <w:w w:val="105"/>
          <w:sz w:val="19"/>
        </w:rPr>
        <w:t> </w:t>
      </w:r>
      <w:r>
        <w:rPr>
          <w:rFonts w:ascii="Times New Roman"/>
          <w:color w:val="3F3F3F"/>
          <w:w w:val="105"/>
          <w:sz w:val="19"/>
        </w:rPr>
        <w:t>permanent</w:t>
      </w:r>
      <w:r>
        <w:rPr>
          <w:rFonts w:ascii="Times New Roman"/>
          <w:color w:val="3F3F3F"/>
          <w:spacing w:val="-19"/>
          <w:w w:val="105"/>
          <w:sz w:val="19"/>
        </w:rPr>
        <w:t> </w:t>
      </w:r>
      <w:r>
        <w:rPr>
          <w:rFonts w:ascii="Times New Roman"/>
          <w:color w:val="3F3F3F"/>
          <w:w w:val="105"/>
          <w:sz w:val="19"/>
        </w:rPr>
        <w:t>endowments</w:t>
      </w:r>
      <w:r>
        <w:rPr>
          <w:rFonts w:ascii="Times New Roman"/>
          <w:color w:val="3F3F3F"/>
          <w:spacing w:val="-11"/>
          <w:w w:val="105"/>
          <w:sz w:val="19"/>
        </w:rPr>
        <w:t> </w:t>
      </w:r>
      <w:r>
        <w:rPr>
          <w:rFonts w:ascii="Times New Roman"/>
          <w:color w:val="3F3F3F"/>
          <w:w w:val="105"/>
          <w:sz w:val="19"/>
        </w:rPr>
        <w:t>that</w:t>
      </w:r>
      <w:r>
        <w:rPr>
          <w:rFonts w:ascii="Times New Roman"/>
          <w:color w:val="3F3F3F"/>
          <w:spacing w:val="-15"/>
          <w:w w:val="105"/>
          <w:sz w:val="19"/>
        </w:rPr>
        <w:t> </w:t>
      </w:r>
      <w:r>
        <w:rPr>
          <w:rFonts w:ascii="Times New Roman"/>
          <w:color w:val="3F3F3F"/>
          <w:w w:val="105"/>
          <w:sz w:val="19"/>
        </w:rPr>
        <w:t>are</w:t>
      </w:r>
      <w:r>
        <w:rPr>
          <w:rFonts w:ascii="Times New Roman"/>
          <w:color w:val="3F3F3F"/>
          <w:spacing w:val="-16"/>
          <w:w w:val="105"/>
          <w:sz w:val="19"/>
        </w:rPr>
        <w:t> </w:t>
      </w:r>
      <w:r>
        <w:rPr>
          <w:rFonts w:ascii="Times New Roman"/>
          <w:color w:val="3F3F3F"/>
          <w:spacing w:val="-7"/>
          <w:w w:val="105"/>
          <w:sz w:val="19"/>
        </w:rPr>
        <w:t>requ</w:t>
      </w:r>
      <w:r>
        <w:rPr>
          <w:rFonts w:ascii="Times New Roman"/>
          <w:color w:val="242424"/>
          <w:spacing w:val="-7"/>
          <w:w w:val="105"/>
          <w:sz w:val="19"/>
        </w:rPr>
        <w:t>ir</w:t>
      </w:r>
      <w:r>
        <w:rPr>
          <w:rFonts w:ascii="Times New Roman"/>
          <w:color w:val="3F3F3F"/>
          <w:spacing w:val="-7"/>
          <w:w w:val="105"/>
          <w:sz w:val="19"/>
        </w:rPr>
        <w:t>ed</w:t>
      </w:r>
      <w:r>
        <w:rPr>
          <w:rFonts w:ascii="Times New Roman"/>
          <w:color w:val="3F3F3F"/>
          <w:spacing w:val="-22"/>
          <w:w w:val="105"/>
          <w:sz w:val="19"/>
        </w:rPr>
        <w:t> </w:t>
      </w:r>
      <w:r>
        <w:rPr>
          <w:rFonts w:ascii="Times New Roman"/>
          <w:color w:val="3F3F3F"/>
          <w:w w:val="105"/>
          <w:sz w:val="19"/>
        </w:rPr>
        <w:t>to</w:t>
      </w:r>
      <w:r>
        <w:rPr>
          <w:rFonts w:ascii="Times New Roman"/>
          <w:color w:val="3F3F3F"/>
          <w:spacing w:val="-17"/>
          <w:w w:val="105"/>
          <w:sz w:val="19"/>
        </w:rPr>
        <w:t> </w:t>
      </w:r>
      <w:r>
        <w:rPr>
          <w:rFonts w:ascii="Times New Roman"/>
          <w:color w:val="3F3F3F"/>
          <w:w w:val="105"/>
          <w:sz w:val="19"/>
        </w:rPr>
        <w:t>be</w:t>
      </w:r>
      <w:r>
        <w:rPr>
          <w:rFonts w:ascii="Times New Roman"/>
          <w:color w:val="3F3F3F"/>
          <w:spacing w:val="-25"/>
          <w:w w:val="105"/>
          <w:sz w:val="19"/>
        </w:rPr>
        <w:t> </w:t>
      </w:r>
      <w:r>
        <w:rPr>
          <w:rFonts w:ascii="Times New Roman"/>
          <w:color w:val="242424"/>
          <w:w w:val="105"/>
          <w:sz w:val="19"/>
        </w:rPr>
        <w:t>r</w:t>
      </w:r>
      <w:r>
        <w:rPr>
          <w:rFonts w:ascii="Times New Roman"/>
          <w:color w:val="3F3F3F"/>
          <w:w w:val="105"/>
          <w:sz w:val="19"/>
        </w:rPr>
        <w:t>etainedbut</w:t>
      </w:r>
      <w:r>
        <w:rPr>
          <w:rFonts w:ascii="Times New Roman"/>
          <w:color w:val="3F3F3F"/>
          <w:spacing w:val="-19"/>
          <w:w w:val="105"/>
          <w:sz w:val="19"/>
        </w:rPr>
        <w:t> </w:t>
      </w:r>
      <w:r>
        <w:rPr>
          <w:rFonts w:ascii="Times New Roman"/>
          <w:color w:val="3F3F3F"/>
          <w:w w:val="105"/>
          <w:sz w:val="19"/>
        </w:rPr>
        <w:t>the</w:t>
      </w:r>
      <w:r>
        <w:rPr>
          <w:rFonts w:ascii="Times New Roman"/>
          <w:color w:val="3F3F3F"/>
          <w:spacing w:val="-27"/>
          <w:w w:val="105"/>
          <w:sz w:val="19"/>
        </w:rPr>
        <w:t> </w:t>
      </w:r>
      <w:r>
        <w:rPr>
          <w:rFonts w:ascii="Times New Roman"/>
          <w:color w:val="242424"/>
          <w:w w:val="105"/>
          <w:sz w:val="19"/>
        </w:rPr>
        <w:t>i</w:t>
      </w:r>
      <w:r>
        <w:rPr>
          <w:rFonts w:ascii="Times New Roman"/>
          <w:color w:val="3F3F3F"/>
          <w:w w:val="105"/>
          <w:sz w:val="19"/>
        </w:rPr>
        <w:t>ncome</w:t>
      </w:r>
      <w:r>
        <w:rPr>
          <w:rFonts w:ascii="Times New Roman"/>
          <w:color w:val="3F3F3F"/>
          <w:spacing w:val="-21"/>
          <w:w w:val="105"/>
          <w:sz w:val="19"/>
        </w:rPr>
        <w:t> </w:t>
      </w:r>
      <w:r>
        <w:rPr>
          <w:rFonts w:ascii="Times New Roman"/>
          <w:color w:val="3F3F3F"/>
          <w:w w:val="105"/>
          <w:sz w:val="19"/>
        </w:rPr>
        <w:t>from</w:t>
      </w:r>
      <w:r>
        <w:rPr>
          <w:rFonts w:ascii="Times New Roman"/>
          <w:color w:val="3F3F3F"/>
          <w:spacing w:val="-19"/>
          <w:w w:val="105"/>
          <w:sz w:val="19"/>
        </w:rPr>
        <w:t> </w:t>
      </w:r>
      <w:r>
        <w:rPr>
          <w:rFonts w:ascii="Times New Roman"/>
          <w:color w:val="3F3F3F"/>
          <w:w w:val="105"/>
          <w:sz w:val="19"/>
        </w:rPr>
        <w:t>these</w:t>
      </w:r>
      <w:r>
        <w:rPr>
          <w:rFonts w:ascii="Times New Roman"/>
          <w:color w:val="3F3F3F"/>
          <w:spacing w:val="-25"/>
          <w:w w:val="105"/>
          <w:sz w:val="19"/>
        </w:rPr>
        <w:t> </w:t>
      </w:r>
      <w:r>
        <w:rPr>
          <w:rFonts w:ascii="Times New Roman"/>
          <w:color w:val="3F3F3F"/>
          <w:w w:val="105"/>
          <w:sz w:val="19"/>
        </w:rPr>
        <w:t>funds</w:t>
      </w:r>
      <w:r>
        <w:rPr>
          <w:rFonts w:ascii="Times New Roman"/>
          <w:color w:val="3F3F3F"/>
          <w:spacing w:val="-27"/>
          <w:w w:val="105"/>
          <w:sz w:val="19"/>
        </w:rPr>
        <w:t> </w:t>
      </w:r>
      <w:r>
        <w:rPr>
          <w:rFonts w:ascii="Times New Roman"/>
          <w:color w:val="3F3F3F"/>
          <w:w w:val="105"/>
          <w:sz w:val="19"/>
        </w:rPr>
        <w:t>can be spent for the benefit of the Church subj</w:t>
      </w:r>
      <w:r>
        <w:rPr>
          <w:rFonts w:ascii="Times New Roman"/>
          <w:color w:val="242424"/>
          <w:w w:val="105"/>
          <w:sz w:val="19"/>
        </w:rPr>
        <w:t>e</w:t>
      </w:r>
      <w:r>
        <w:rPr>
          <w:rFonts w:ascii="Times New Roman"/>
          <w:color w:val="3F3F3F"/>
          <w:w w:val="105"/>
          <w:sz w:val="19"/>
        </w:rPr>
        <w:t>ct, </w:t>
      </w:r>
      <w:r>
        <w:rPr>
          <w:rFonts w:ascii="Times New Roman"/>
          <w:color w:val="3F3F3F"/>
          <w:spacing w:val="-3"/>
          <w:w w:val="105"/>
          <w:sz w:val="19"/>
        </w:rPr>
        <w:t>i</w:t>
      </w:r>
      <w:r>
        <w:rPr>
          <w:rFonts w:ascii="Times New Roman"/>
          <w:color w:val="242424"/>
          <w:spacing w:val="-3"/>
          <w:w w:val="105"/>
          <w:sz w:val="19"/>
        </w:rPr>
        <w:t>n </w:t>
      </w:r>
      <w:r>
        <w:rPr>
          <w:rFonts w:ascii="Times New Roman"/>
          <w:color w:val="3F3F3F"/>
          <w:w w:val="105"/>
          <w:sz w:val="19"/>
        </w:rPr>
        <w:t>ce</w:t>
      </w:r>
      <w:r>
        <w:rPr>
          <w:rFonts w:ascii="Times New Roman"/>
          <w:color w:val="242424"/>
          <w:w w:val="105"/>
          <w:sz w:val="19"/>
        </w:rPr>
        <w:t>rt</w:t>
      </w:r>
      <w:r>
        <w:rPr>
          <w:rFonts w:ascii="Times New Roman"/>
          <w:color w:val="3F3F3F"/>
          <w:w w:val="105"/>
          <w:sz w:val="19"/>
        </w:rPr>
        <w:t>ain cases, to specific restrictions </w:t>
      </w:r>
      <w:r>
        <w:rPr>
          <w:rFonts w:ascii="Times New Roman"/>
          <w:color w:val="3F3F3F"/>
          <w:spacing w:val="-8"/>
          <w:w w:val="105"/>
          <w:sz w:val="19"/>
        </w:rPr>
        <w:t>conta</w:t>
      </w:r>
      <w:r>
        <w:rPr>
          <w:rFonts w:ascii="Times New Roman"/>
          <w:color w:val="242424"/>
          <w:spacing w:val="-8"/>
          <w:w w:val="105"/>
          <w:sz w:val="19"/>
        </w:rPr>
        <w:t>i</w:t>
      </w:r>
      <w:r>
        <w:rPr>
          <w:rFonts w:ascii="Times New Roman"/>
          <w:color w:val="3F3F3F"/>
          <w:spacing w:val="-8"/>
          <w:w w:val="105"/>
          <w:sz w:val="19"/>
        </w:rPr>
        <w:t>n</w:t>
      </w:r>
      <w:r>
        <w:rPr>
          <w:rFonts w:ascii="Times New Roman"/>
          <w:color w:val="242424"/>
          <w:spacing w:val="-8"/>
          <w:w w:val="105"/>
          <w:sz w:val="19"/>
        </w:rPr>
        <w:t>e</w:t>
      </w:r>
      <w:r>
        <w:rPr>
          <w:rFonts w:ascii="Times New Roman"/>
          <w:color w:val="3F3F3F"/>
          <w:spacing w:val="-8"/>
          <w:w w:val="105"/>
          <w:sz w:val="19"/>
        </w:rPr>
        <w:t>d </w:t>
      </w:r>
      <w:r>
        <w:rPr>
          <w:rFonts w:ascii="Times New Roman"/>
          <w:color w:val="3F3F3F"/>
          <w:spacing w:val="-3"/>
          <w:w w:val="105"/>
          <w:sz w:val="19"/>
        </w:rPr>
        <w:t>i</w:t>
      </w:r>
      <w:r>
        <w:rPr>
          <w:rFonts w:ascii="Times New Roman"/>
          <w:color w:val="242424"/>
          <w:spacing w:val="-3"/>
          <w:w w:val="105"/>
          <w:sz w:val="19"/>
        </w:rPr>
        <w:t>n </w:t>
      </w:r>
      <w:r>
        <w:rPr>
          <w:rFonts w:ascii="Times New Roman"/>
          <w:color w:val="3F3F3F"/>
          <w:w w:val="105"/>
          <w:sz w:val="19"/>
        </w:rPr>
        <w:t>the or</w:t>
      </w:r>
      <w:r>
        <w:rPr>
          <w:rFonts w:ascii="Times New Roman"/>
          <w:color w:val="242424"/>
          <w:w w:val="105"/>
          <w:sz w:val="19"/>
        </w:rPr>
        <w:t>i</w:t>
      </w:r>
      <w:r>
        <w:rPr>
          <w:rFonts w:ascii="Times New Roman"/>
          <w:color w:val="3F3F3F"/>
          <w:w w:val="105"/>
          <w:sz w:val="19"/>
        </w:rPr>
        <w:t>ginal endowment.</w:t>
      </w:r>
      <w:r>
        <w:rPr>
          <w:rFonts w:ascii="Times New Roman"/>
          <w:color w:val="3F3F3F"/>
          <w:spacing w:val="-8"/>
          <w:w w:val="105"/>
          <w:sz w:val="19"/>
        </w:rPr>
        <w:t> </w:t>
      </w:r>
      <w:r>
        <w:rPr>
          <w:rFonts w:ascii="Times New Roman"/>
          <w:color w:val="242424"/>
          <w:w w:val="105"/>
          <w:sz w:val="19"/>
        </w:rPr>
        <w:t>O</w:t>
      </w:r>
      <w:r>
        <w:rPr>
          <w:rFonts w:ascii="Times New Roman"/>
          <w:color w:val="3F3F3F"/>
          <w:w w:val="105"/>
          <w:sz w:val="19"/>
        </w:rPr>
        <w:t>ther</w:t>
      </w:r>
      <w:r>
        <w:rPr>
          <w:rFonts w:ascii="Times New Roman"/>
          <w:color w:val="3F3F3F"/>
          <w:spacing w:val="-27"/>
          <w:w w:val="105"/>
          <w:sz w:val="19"/>
        </w:rPr>
        <w:t> </w:t>
      </w:r>
      <w:r>
        <w:rPr>
          <w:rFonts w:ascii="Times New Roman"/>
          <w:color w:val="3F3F3F"/>
          <w:w w:val="105"/>
          <w:sz w:val="19"/>
        </w:rPr>
        <w:t>capital</w:t>
      </w:r>
      <w:r>
        <w:rPr>
          <w:rFonts w:ascii="Times New Roman"/>
          <w:color w:val="3F3F3F"/>
          <w:spacing w:val="-17"/>
          <w:w w:val="105"/>
          <w:sz w:val="19"/>
        </w:rPr>
        <w:t> </w:t>
      </w:r>
      <w:r>
        <w:rPr>
          <w:rFonts w:ascii="Times New Roman"/>
          <w:color w:val="3F3F3F"/>
          <w:w w:val="105"/>
          <w:sz w:val="19"/>
        </w:rPr>
        <w:t>funds</w:t>
      </w:r>
      <w:r>
        <w:rPr>
          <w:rFonts w:ascii="Times New Roman"/>
          <w:color w:val="3F3F3F"/>
          <w:spacing w:val="-14"/>
          <w:w w:val="105"/>
          <w:sz w:val="19"/>
        </w:rPr>
        <w:t> </w:t>
      </w:r>
      <w:r>
        <w:rPr>
          <w:rFonts w:ascii="Times New Roman"/>
          <w:color w:val="3F3F3F"/>
          <w:w w:val="105"/>
          <w:sz w:val="19"/>
        </w:rPr>
        <w:t>may</w:t>
      </w:r>
      <w:r>
        <w:rPr>
          <w:rFonts w:ascii="Times New Roman"/>
          <w:color w:val="3F3F3F"/>
          <w:spacing w:val="-10"/>
          <w:w w:val="105"/>
          <w:sz w:val="19"/>
        </w:rPr>
        <w:t> </w:t>
      </w:r>
      <w:r>
        <w:rPr>
          <w:rFonts w:ascii="Times New Roman"/>
          <w:color w:val="242424"/>
          <w:spacing w:val="-3"/>
          <w:w w:val="105"/>
          <w:sz w:val="19"/>
        </w:rPr>
        <w:t>b</w:t>
      </w:r>
      <w:r>
        <w:rPr>
          <w:rFonts w:ascii="Times New Roman"/>
          <w:color w:val="3F3F3F"/>
          <w:spacing w:val="-3"/>
          <w:w w:val="105"/>
          <w:sz w:val="19"/>
        </w:rPr>
        <w:t>e </w:t>
      </w:r>
      <w:r>
        <w:rPr>
          <w:rFonts w:ascii="Times New Roman"/>
          <w:color w:val="3F3F3F"/>
          <w:w w:val="105"/>
          <w:sz w:val="19"/>
        </w:rPr>
        <w:t>converted</w:t>
      </w:r>
      <w:r>
        <w:rPr>
          <w:rFonts w:ascii="Times New Roman"/>
          <w:color w:val="3F3F3F"/>
          <w:spacing w:val="-3"/>
          <w:w w:val="105"/>
          <w:sz w:val="19"/>
        </w:rPr>
        <w:t> </w:t>
      </w:r>
      <w:r>
        <w:rPr>
          <w:rFonts w:ascii="Times New Roman"/>
          <w:color w:val="3F3F3F"/>
          <w:w w:val="105"/>
          <w:sz w:val="19"/>
        </w:rPr>
        <w:t>to</w:t>
      </w:r>
      <w:r>
        <w:rPr>
          <w:rFonts w:ascii="Times New Roman"/>
          <w:color w:val="3F3F3F"/>
          <w:spacing w:val="-23"/>
          <w:w w:val="105"/>
          <w:sz w:val="19"/>
        </w:rPr>
        <w:t> </w:t>
      </w:r>
      <w:r>
        <w:rPr>
          <w:rFonts w:ascii="Times New Roman"/>
          <w:color w:val="3F3F3F"/>
          <w:w w:val="105"/>
          <w:sz w:val="19"/>
        </w:rPr>
        <w:t>income</w:t>
      </w:r>
      <w:r>
        <w:rPr>
          <w:rFonts w:ascii="Times New Roman"/>
          <w:color w:val="3F3F3F"/>
          <w:spacing w:val="-23"/>
          <w:w w:val="105"/>
          <w:sz w:val="19"/>
        </w:rPr>
        <w:t> </w:t>
      </w:r>
      <w:r>
        <w:rPr>
          <w:rFonts w:ascii="Times New Roman"/>
          <w:color w:val="3F3F3F"/>
          <w:w w:val="105"/>
          <w:sz w:val="19"/>
        </w:rPr>
        <w:t>at</w:t>
      </w:r>
      <w:r>
        <w:rPr>
          <w:rFonts w:ascii="Times New Roman"/>
          <w:color w:val="3F3F3F"/>
          <w:spacing w:val="-5"/>
          <w:w w:val="105"/>
          <w:sz w:val="19"/>
        </w:rPr>
        <w:t> </w:t>
      </w:r>
      <w:r>
        <w:rPr>
          <w:rFonts w:ascii="Times New Roman"/>
          <w:color w:val="3F3F3F"/>
          <w:w w:val="105"/>
          <w:sz w:val="19"/>
        </w:rPr>
        <w:t>the</w:t>
      </w:r>
      <w:r>
        <w:rPr>
          <w:rFonts w:ascii="Times New Roman"/>
          <w:color w:val="3F3F3F"/>
          <w:spacing w:val="-22"/>
          <w:w w:val="105"/>
          <w:sz w:val="19"/>
        </w:rPr>
        <w:t> </w:t>
      </w:r>
      <w:r>
        <w:rPr>
          <w:rFonts w:ascii="Times New Roman"/>
          <w:color w:val="3F3F3F"/>
          <w:spacing w:val="-5"/>
          <w:w w:val="105"/>
          <w:sz w:val="19"/>
        </w:rPr>
        <w:t>d</w:t>
      </w:r>
      <w:r>
        <w:rPr>
          <w:rFonts w:ascii="Times New Roman"/>
          <w:color w:val="242424"/>
          <w:spacing w:val="-5"/>
          <w:w w:val="105"/>
          <w:sz w:val="19"/>
        </w:rPr>
        <w:t>i</w:t>
      </w:r>
      <w:r>
        <w:rPr>
          <w:rFonts w:ascii="Times New Roman"/>
          <w:color w:val="3F3F3F"/>
          <w:spacing w:val="-5"/>
          <w:w w:val="105"/>
          <w:sz w:val="19"/>
        </w:rPr>
        <w:t>scret</w:t>
      </w:r>
      <w:r>
        <w:rPr>
          <w:rFonts w:ascii="Times New Roman"/>
          <w:color w:val="242424"/>
          <w:spacing w:val="-5"/>
          <w:w w:val="105"/>
          <w:sz w:val="19"/>
        </w:rPr>
        <w:t>i</w:t>
      </w:r>
      <w:r>
        <w:rPr>
          <w:rFonts w:ascii="Times New Roman"/>
          <w:color w:val="3F3F3F"/>
          <w:spacing w:val="-5"/>
          <w:w w:val="105"/>
          <w:sz w:val="19"/>
        </w:rPr>
        <w:t>o</w:t>
      </w:r>
      <w:r>
        <w:rPr>
          <w:rFonts w:ascii="Times New Roman"/>
          <w:color w:val="242424"/>
          <w:spacing w:val="-5"/>
          <w:w w:val="105"/>
          <w:sz w:val="19"/>
        </w:rPr>
        <w:t>n</w:t>
      </w:r>
      <w:r>
        <w:rPr>
          <w:rFonts w:ascii="Times New Roman"/>
          <w:color w:val="242424"/>
          <w:spacing w:val="-15"/>
          <w:w w:val="105"/>
          <w:sz w:val="19"/>
        </w:rPr>
        <w:t> </w:t>
      </w:r>
      <w:r>
        <w:rPr>
          <w:rFonts w:ascii="Times New Roman"/>
          <w:color w:val="3F3F3F"/>
          <w:w w:val="105"/>
          <w:sz w:val="19"/>
        </w:rPr>
        <w:t>of</w:t>
      </w:r>
      <w:r>
        <w:rPr>
          <w:rFonts w:ascii="Times New Roman"/>
          <w:color w:val="3F3F3F"/>
          <w:spacing w:val="-21"/>
          <w:w w:val="105"/>
          <w:sz w:val="19"/>
        </w:rPr>
        <w:t> </w:t>
      </w:r>
      <w:r>
        <w:rPr>
          <w:rFonts w:ascii="Times New Roman"/>
          <w:color w:val="242424"/>
          <w:spacing w:val="-4"/>
          <w:w w:val="105"/>
          <w:sz w:val="19"/>
        </w:rPr>
        <w:t>t</w:t>
      </w:r>
      <w:r>
        <w:rPr>
          <w:rFonts w:ascii="Times New Roman"/>
          <w:color w:val="3F3F3F"/>
          <w:spacing w:val="-4"/>
          <w:w w:val="105"/>
          <w:sz w:val="19"/>
        </w:rPr>
        <w:t>he</w:t>
      </w:r>
      <w:r>
        <w:rPr>
          <w:rFonts w:ascii="Times New Roman"/>
          <w:color w:val="3F3F3F"/>
          <w:spacing w:val="-20"/>
          <w:w w:val="105"/>
          <w:sz w:val="19"/>
        </w:rPr>
        <w:t> </w:t>
      </w:r>
      <w:r>
        <w:rPr>
          <w:rFonts w:ascii="Times New Roman"/>
          <w:color w:val="3F3F3F"/>
          <w:spacing w:val="-7"/>
          <w:w w:val="105"/>
          <w:sz w:val="19"/>
        </w:rPr>
        <w:t>trustees</w:t>
      </w:r>
      <w:r>
        <w:rPr>
          <w:rFonts w:ascii="Times New Roman"/>
          <w:color w:val="242424"/>
          <w:spacing w:val="-7"/>
          <w:w w:val="105"/>
          <w:sz w:val="19"/>
        </w:rPr>
        <w:t>.</w:t>
      </w:r>
    </w:p>
    <w:p>
      <w:pPr>
        <w:spacing w:line="242" w:lineRule="auto" w:before="11"/>
        <w:ind w:left="990" w:right="745" w:hanging="4"/>
        <w:jc w:val="both"/>
        <w:rPr>
          <w:rFonts w:ascii="Times New Roman"/>
          <w:sz w:val="19"/>
        </w:rPr>
      </w:pPr>
      <w:r>
        <w:rPr>
          <w:rFonts w:ascii="Times New Roman"/>
          <w:color w:val="3F3F3F"/>
          <w:sz w:val="19"/>
        </w:rPr>
        <w:t>The main funds included in these accounts, and their classification, are listed on page 12</w:t>
      </w:r>
      <w:r>
        <w:rPr>
          <w:rFonts w:ascii="Times New Roman"/>
          <w:color w:val="242424"/>
          <w:sz w:val="19"/>
        </w:rPr>
        <w:t>. </w:t>
      </w:r>
      <w:r>
        <w:rPr>
          <w:rFonts w:ascii="Times New Roman"/>
          <w:color w:val="3F3F3F"/>
          <w:sz w:val="19"/>
        </w:rPr>
        <w:t>A brief description of these funds is g</w:t>
      </w:r>
      <w:r>
        <w:rPr>
          <w:rFonts w:ascii="Times New Roman"/>
          <w:color w:val="242424"/>
          <w:sz w:val="19"/>
        </w:rPr>
        <w:t>i</w:t>
      </w:r>
      <w:r>
        <w:rPr>
          <w:rFonts w:ascii="Times New Roman"/>
          <w:color w:val="3F3F3F"/>
          <w:sz w:val="19"/>
        </w:rPr>
        <w:t>venon pages 8 and 9.</w:t>
      </w:r>
    </w:p>
    <w:p>
      <w:pPr>
        <w:pStyle w:val="ListParagraph"/>
        <w:numPr>
          <w:ilvl w:val="0"/>
          <w:numId w:val="216"/>
        </w:numPr>
        <w:tabs>
          <w:tab w:pos="1501" w:val="left" w:leader="none"/>
        </w:tabs>
        <w:spacing w:line="240" w:lineRule="auto" w:before="117" w:after="0"/>
        <w:ind w:left="1500" w:right="0" w:hanging="516"/>
        <w:jc w:val="both"/>
        <w:rPr>
          <w:rFonts w:ascii="Times New Roman"/>
          <w:b/>
          <w:color w:val="242424"/>
          <w:sz w:val="17"/>
        </w:rPr>
      </w:pPr>
      <w:r>
        <w:rPr>
          <w:rFonts w:ascii="Times New Roman"/>
          <w:b/>
          <w:color w:val="131313"/>
          <w:spacing w:val="-1"/>
          <w:w w:val="118"/>
          <w:sz w:val="18"/>
        </w:rPr>
        <w:t>Donatio</w:t>
      </w:r>
      <w:r>
        <w:rPr>
          <w:rFonts w:ascii="Times New Roman"/>
          <w:b/>
          <w:color w:val="131313"/>
          <w:spacing w:val="-95"/>
          <w:w w:val="118"/>
          <w:sz w:val="18"/>
        </w:rPr>
        <w:t>n</w:t>
      </w:r>
      <w:r>
        <w:rPr>
          <w:rFonts w:ascii="Times New Roman"/>
          <w:b/>
          <w:color w:val="3F3F3F"/>
          <w:w w:val="118"/>
          <w:sz w:val="18"/>
        </w:rPr>
        <w:t>s</w:t>
      </w:r>
      <w:r>
        <w:rPr>
          <w:rFonts w:ascii="Times New Roman"/>
          <w:b/>
          <w:color w:val="3F3F3F"/>
          <w:spacing w:val="-14"/>
          <w:sz w:val="18"/>
        </w:rPr>
        <w:t> </w:t>
      </w:r>
      <w:r>
        <w:rPr>
          <w:rFonts w:ascii="Times New Roman"/>
          <w:b/>
          <w:color w:val="242424"/>
          <w:w w:val="109"/>
          <w:sz w:val="18"/>
        </w:rPr>
        <w:t>and</w:t>
      </w:r>
      <w:r>
        <w:rPr>
          <w:rFonts w:ascii="Times New Roman"/>
          <w:b/>
          <w:color w:val="242424"/>
          <w:spacing w:val="-2"/>
          <w:sz w:val="18"/>
        </w:rPr>
        <w:t> </w:t>
      </w:r>
      <w:r>
        <w:rPr>
          <w:rFonts w:ascii="Times New Roman"/>
          <w:b/>
          <w:color w:val="242424"/>
          <w:spacing w:val="-10"/>
          <w:w w:val="109"/>
          <w:sz w:val="18"/>
        </w:rPr>
        <w:t>l</w:t>
      </w:r>
      <w:r>
        <w:rPr>
          <w:rFonts w:ascii="Times New Roman"/>
          <w:b/>
          <w:color w:val="3F3F3F"/>
          <w:spacing w:val="-1"/>
          <w:w w:val="109"/>
          <w:sz w:val="18"/>
        </w:rPr>
        <w:t>e</w:t>
      </w:r>
      <w:r>
        <w:rPr>
          <w:rFonts w:ascii="Times New Roman"/>
          <w:b/>
          <w:color w:val="242424"/>
          <w:spacing w:val="-13"/>
          <w:w w:val="109"/>
          <w:sz w:val="18"/>
        </w:rPr>
        <w:t>g</w:t>
      </w:r>
      <w:r>
        <w:rPr>
          <w:rFonts w:ascii="Times New Roman"/>
          <w:b/>
          <w:color w:val="3F3F3F"/>
          <w:spacing w:val="-1"/>
          <w:w w:val="109"/>
          <w:sz w:val="18"/>
        </w:rPr>
        <w:t>a</w:t>
      </w:r>
      <w:r>
        <w:rPr>
          <w:rFonts w:ascii="Times New Roman"/>
          <w:b/>
          <w:color w:val="242424"/>
          <w:spacing w:val="-1"/>
          <w:w w:val="109"/>
          <w:sz w:val="18"/>
        </w:rPr>
        <w:t>ci</w:t>
      </w:r>
      <w:r>
        <w:rPr>
          <w:rFonts w:ascii="Times New Roman"/>
          <w:b/>
          <w:color w:val="242424"/>
          <w:spacing w:val="-9"/>
          <w:w w:val="109"/>
          <w:sz w:val="18"/>
        </w:rPr>
        <w:t>e</w:t>
      </w:r>
      <w:r>
        <w:rPr>
          <w:rFonts w:ascii="Times New Roman"/>
          <w:b/>
          <w:color w:val="3F3F3F"/>
          <w:w w:val="109"/>
          <w:sz w:val="18"/>
        </w:rPr>
        <w:t>s</w:t>
      </w:r>
    </w:p>
    <w:p>
      <w:pPr>
        <w:spacing w:line="242" w:lineRule="auto" w:before="5"/>
        <w:ind w:left="990" w:right="753" w:hanging="2"/>
        <w:jc w:val="both"/>
        <w:rPr>
          <w:rFonts w:ascii="Times New Roman"/>
          <w:sz w:val="19"/>
        </w:rPr>
      </w:pPr>
      <w:r>
        <w:rPr>
          <w:rFonts w:ascii="Times New Roman"/>
          <w:color w:val="242424"/>
          <w:sz w:val="19"/>
        </w:rPr>
        <w:t>D</w:t>
      </w:r>
      <w:r>
        <w:rPr>
          <w:rFonts w:ascii="Times New Roman"/>
          <w:color w:val="3F3F3F"/>
          <w:sz w:val="19"/>
        </w:rPr>
        <w:t>onationsand </w:t>
      </w:r>
      <w:r>
        <w:rPr>
          <w:rFonts w:ascii="Times New Roman"/>
          <w:color w:val="242424"/>
          <w:sz w:val="19"/>
        </w:rPr>
        <w:t>l</w:t>
      </w:r>
      <w:r>
        <w:rPr>
          <w:rFonts w:ascii="Times New Roman"/>
          <w:color w:val="3F3F3F"/>
          <w:sz w:val="19"/>
        </w:rPr>
        <w:t>egacies are accounted for on a </w:t>
      </w:r>
      <w:r>
        <w:rPr>
          <w:rFonts w:ascii="Times New Roman"/>
          <w:color w:val="3F3F3F"/>
          <w:spacing w:val="-8"/>
          <w:sz w:val="19"/>
        </w:rPr>
        <w:t>rece</w:t>
      </w:r>
      <w:r>
        <w:rPr>
          <w:rFonts w:ascii="Times New Roman"/>
          <w:color w:val="242424"/>
          <w:spacing w:val="-8"/>
          <w:sz w:val="19"/>
        </w:rPr>
        <w:t>i</w:t>
      </w:r>
      <w:r>
        <w:rPr>
          <w:rFonts w:ascii="Times New Roman"/>
          <w:color w:val="3F3F3F"/>
          <w:spacing w:val="-8"/>
          <w:sz w:val="19"/>
        </w:rPr>
        <w:t>vab</w:t>
      </w:r>
      <w:r>
        <w:rPr>
          <w:rFonts w:ascii="Times New Roman"/>
          <w:color w:val="242424"/>
          <w:spacing w:val="-8"/>
          <w:sz w:val="19"/>
        </w:rPr>
        <w:t>le </w:t>
      </w:r>
      <w:r>
        <w:rPr>
          <w:rFonts w:ascii="Times New Roman"/>
          <w:color w:val="3F3F3F"/>
          <w:sz w:val="19"/>
        </w:rPr>
        <w:t>basis. In accordance with this </w:t>
      </w:r>
      <w:r>
        <w:rPr>
          <w:rFonts w:ascii="Times New Roman"/>
          <w:color w:val="3F3F3F"/>
          <w:spacing w:val="-4"/>
          <w:sz w:val="19"/>
        </w:rPr>
        <w:t>po</w:t>
      </w:r>
      <w:r>
        <w:rPr>
          <w:rFonts w:ascii="Times New Roman"/>
          <w:color w:val="242424"/>
          <w:spacing w:val="-4"/>
          <w:sz w:val="19"/>
        </w:rPr>
        <w:t>li</w:t>
      </w:r>
      <w:r>
        <w:rPr>
          <w:rFonts w:ascii="Times New Roman"/>
          <w:color w:val="3F3F3F"/>
          <w:spacing w:val="-4"/>
          <w:sz w:val="19"/>
        </w:rPr>
        <w:t>cy,  </w:t>
      </w:r>
      <w:r>
        <w:rPr>
          <w:rFonts w:ascii="Times New Roman"/>
          <w:color w:val="3F3F3F"/>
          <w:sz w:val="19"/>
        </w:rPr>
        <w:t>legacies  are included when advice has been </w:t>
      </w:r>
      <w:r>
        <w:rPr>
          <w:rFonts w:ascii="Times New Roman"/>
          <w:color w:val="242424"/>
          <w:spacing w:val="-3"/>
          <w:sz w:val="19"/>
        </w:rPr>
        <w:t>r</w:t>
      </w:r>
      <w:r>
        <w:rPr>
          <w:rFonts w:ascii="Times New Roman"/>
          <w:color w:val="3F3F3F"/>
          <w:spacing w:val="-3"/>
          <w:sz w:val="19"/>
        </w:rPr>
        <w:t>eceivedfrom </w:t>
      </w:r>
      <w:r>
        <w:rPr>
          <w:rFonts w:ascii="Times New Roman"/>
          <w:color w:val="3F3F3F"/>
          <w:sz w:val="19"/>
        </w:rPr>
        <w:t>the personal representativeof an estate that payment will be made or property</w:t>
      </w:r>
      <w:r>
        <w:rPr>
          <w:rFonts w:ascii="Times New Roman"/>
          <w:color w:val="3F3F3F"/>
          <w:spacing w:val="3"/>
          <w:sz w:val="19"/>
        </w:rPr>
        <w:t> </w:t>
      </w:r>
      <w:r>
        <w:rPr>
          <w:rFonts w:ascii="Times New Roman"/>
          <w:color w:val="545454"/>
          <w:sz w:val="19"/>
        </w:rPr>
        <w:t>transferred</w:t>
      </w:r>
      <w:r>
        <w:rPr>
          <w:rFonts w:ascii="Times New Roman"/>
          <w:color w:val="545454"/>
          <w:spacing w:val="-6"/>
          <w:sz w:val="19"/>
        </w:rPr>
        <w:t> </w:t>
      </w:r>
      <w:r>
        <w:rPr>
          <w:rFonts w:ascii="Times New Roman"/>
          <w:color w:val="3F3F3F"/>
          <w:sz w:val="19"/>
        </w:rPr>
        <w:t>and</w:t>
      </w:r>
      <w:r>
        <w:rPr>
          <w:rFonts w:ascii="Times New Roman"/>
          <w:color w:val="3F3F3F"/>
          <w:spacing w:val="-8"/>
          <w:sz w:val="19"/>
        </w:rPr>
        <w:t> </w:t>
      </w:r>
      <w:r>
        <w:rPr>
          <w:rFonts w:ascii="Times New Roman"/>
          <w:color w:val="3F3F3F"/>
          <w:sz w:val="19"/>
        </w:rPr>
        <w:t>the</w:t>
      </w:r>
      <w:r>
        <w:rPr>
          <w:rFonts w:ascii="Times New Roman"/>
          <w:color w:val="3F3F3F"/>
          <w:spacing w:val="-21"/>
          <w:sz w:val="19"/>
        </w:rPr>
        <w:t> </w:t>
      </w:r>
      <w:r>
        <w:rPr>
          <w:rFonts w:ascii="Times New Roman"/>
          <w:color w:val="3F3F3F"/>
          <w:sz w:val="19"/>
        </w:rPr>
        <w:t>amount</w:t>
      </w:r>
      <w:r>
        <w:rPr>
          <w:rFonts w:ascii="Times New Roman"/>
          <w:color w:val="3F3F3F"/>
          <w:spacing w:val="-13"/>
          <w:sz w:val="19"/>
        </w:rPr>
        <w:t> </w:t>
      </w:r>
      <w:r>
        <w:rPr>
          <w:rFonts w:ascii="Times New Roman"/>
          <w:color w:val="3F3F3F"/>
          <w:sz w:val="19"/>
        </w:rPr>
        <w:t>invo</w:t>
      </w:r>
      <w:r>
        <w:rPr>
          <w:rFonts w:ascii="Times New Roman"/>
          <w:color w:val="242424"/>
          <w:sz w:val="19"/>
        </w:rPr>
        <w:t>l</w:t>
      </w:r>
      <w:r>
        <w:rPr>
          <w:rFonts w:ascii="Times New Roman"/>
          <w:color w:val="3F3F3F"/>
          <w:sz w:val="19"/>
        </w:rPr>
        <w:t>ved</w:t>
      </w:r>
      <w:r>
        <w:rPr>
          <w:rFonts w:ascii="Times New Roman"/>
          <w:color w:val="3F3F3F"/>
          <w:spacing w:val="-28"/>
          <w:sz w:val="19"/>
        </w:rPr>
        <w:t> </w:t>
      </w:r>
      <w:r>
        <w:rPr>
          <w:rFonts w:ascii="Times New Roman"/>
          <w:color w:val="3F3F3F"/>
          <w:sz w:val="19"/>
        </w:rPr>
        <w:t>can</w:t>
      </w:r>
      <w:r>
        <w:rPr>
          <w:rFonts w:ascii="Times New Roman"/>
          <w:color w:val="3F3F3F"/>
          <w:spacing w:val="-7"/>
          <w:sz w:val="19"/>
        </w:rPr>
        <w:t> </w:t>
      </w:r>
      <w:r>
        <w:rPr>
          <w:rFonts w:ascii="Times New Roman"/>
          <w:color w:val="3F3F3F"/>
          <w:sz w:val="19"/>
        </w:rPr>
        <w:t>be</w:t>
      </w:r>
      <w:r>
        <w:rPr>
          <w:rFonts w:ascii="Times New Roman"/>
          <w:color w:val="3F3F3F"/>
          <w:spacing w:val="-5"/>
          <w:sz w:val="19"/>
        </w:rPr>
        <w:t> </w:t>
      </w:r>
      <w:r>
        <w:rPr>
          <w:rFonts w:ascii="Times New Roman"/>
          <w:color w:val="3F3F3F"/>
          <w:sz w:val="19"/>
        </w:rPr>
        <w:t>quantified.</w:t>
      </w:r>
      <w:r>
        <w:rPr>
          <w:rFonts w:ascii="Times New Roman"/>
          <w:color w:val="3F3F3F"/>
          <w:spacing w:val="31"/>
          <w:sz w:val="19"/>
        </w:rPr>
        <w:t> </w:t>
      </w:r>
      <w:r>
        <w:rPr>
          <w:rFonts w:ascii="Times New Roman"/>
          <w:color w:val="3F3F3F"/>
          <w:sz w:val="19"/>
        </w:rPr>
        <w:t>Gifts</w:t>
      </w:r>
      <w:r>
        <w:rPr>
          <w:rFonts w:ascii="Times New Roman"/>
          <w:color w:val="3F3F3F"/>
          <w:spacing w:val="-19"/>
          <w:sz w:val="19"/>
        </w:rPr>
        <w:t> </w:t>
      </w:r>
      <w:r>
        <w:rPr>
          <w:rFonts w:ascii="Times New Roman"/>
          <w:color w:val="3F3F3F"/>
          <w:sz w:val="19"/>
        </w:rPr>
        <w:t>in</w:t>
      </w:r>
      <w:r>
        <w:rPr>
          <w:rFonts w:ascii="Times New Roman"/>
          <w:color w:val="3F3F3F"/>
          <w:spacing w:val="-2"/>
          <w:sz w:val="19"/>
        </w:rPr>
        <w:t> </w:t>
      </w:r>
      <w:r>
        <w:rPr>
          <w:rFonts w:ascii="Times New Roman"/>
          <w:color w:val="3F3F3F"/>
          <w:sz w:val="19"/>
        </w:rPr>
        <w:t>kind</w:t>
      </w:r>
      <w:r>
        <w:rPr>
          <w:rFonts w:ascii="Times New Roman"/>
          <w:color w:val="3F3F3F"/>
          <w:spacing w:val="-12"/>
          <w:sz w:val="19"/>
        </w:rPr>
        <w:t> </w:t>
      </w:r>
      <w:r>
        <w:rPr>
          <w:rFonts w:ascii="Times New Roman"/>
          <w:color w:val="3F3F3F"/>
          <w:sz w:val="19"/>
        </w:rPr>
        <w:t>are</w:t>
      </w:r>
      <w:r>
        <w:rPr>
          <w:rFonts w:ascii="Times New Roman"/>
          <w:color w:val="3F3F3F"/>
          <w:spacing w:val="10"/>
          <w:sz w:val="19"/>
        </w:rPr>
        <w:t> </w:t>
      </w:r>
      <w:r>
        <w:rPr>
          <w:rFonts w:ascii="Times New Roman"/>
          <w:color w:val="3F3F3F"/>
          <w:sz w:val="19"/>
        </w:rPr>
        <w:t>included</w:t>
      </w:r>
      <w:r>
        <w:rPr>
          <w:rFonts w:ascii="Times New Roman"/>
          <w:color w:val="3F3F3F"/>
          <w:spacing w:val="-8"/>
          <w:sz w:val="19"/>
        </w:rPr>
        <w:t> </w:t>
      </w:r>
      <w:r>
        <w:rPr>
          <w:rFonts w:ascii="Times New Roman"/>
          <w:color w:val="3F3F3F"/>
          <w:sz w:val="19"/>
        </w:rPr>
        <w:t>within</w:t>
      </w:r>
      <w:r>
        <w:rPr>
          <w:rFonts w:ascii="Times New Roman"/>
          <w:color w:val="3F3F3F"/>
          <w:spacing w:val="1"/>
          <w:sz w:val="19"/>
        </w:rPr>
        <w:t> </w:t>
      </w:r>
      <w:r>
        <w:rPr>
          <w:rFonts w:ascii="Times New Roman"/>
          <w:color w:val="3F3F3F"/>
          <w:sz w:val="19"/>
        </w:rPr>
        <w:t>income</w:t>
      </w:r>
      <w:r>
        <w:rPr>
          <w:rFonts w:ascii="Times New Roman"/>
          <w:color w:val="3F3F3F"/>
          <w:spacing w:val="-23"/>
          <w:sz w:val="19"/>
        </w:rPr>
        <w:t> </w:t>
      </w:r>
      <w:r>
        <w:rPr>
          <w:rFonts w:ascii="Times New Roman"/>
          <w:color w:val="3F3F3F"/>
          <w:sz w:val="19"/>
        </w:rPr>
        <w:t>at</w:t>
      </w:r>
      <w:r>
        <w:rPr>
          <w:rFonts w:ascii="Times New Roman"/>
          <w:color w:val="3F3F3F"/>
          <w:spacing w:val="7"/>
          <w:sz w:val="19"/>
        </w:rPr>
        <w:t> </w:t>
      </w:r>
      <w:r>
        <w:rPr>
          <w:rFonts w:ascii="Times New Roman"/>
          <w:color w:val="3F3F3F"/>
          <w:sz w:val="19"/>
        </w:rPr>
        <w:t>market value at </w:t>
      </w:r>
      <w:r>
        <w:rPr>
          <w:rFonts w:ascii="Times New Roman"/>
          <w:color w:val="3F3F3F"/>
          <w:spacing w:val="-6"/>
          <w:sz w:val="19"/>
        </w:rPr>
        <w:t>th</w:t>
      </w:r>
      <w:r>
        <w:rPr>
          <w:rFonts w:ascii="Times New Roman"/>
          <w:color w:val="242424"/>
          <w:spacing w:val="-6"/>
          <w:sz w:val="19"/>
        </w:rPr>
        <w:t>e </w:t>
      </w:r>
      <w:r>
        <w:rPr>
          <w:rFonts w:ascii="Times New Roman"/>
          <w:color w:val="3F3F3F"/>
          <w:spacing w:val="-4"/>
          <w:sz w:val="19"/>
        </w:rPr>
        <w:t>da</w:t>
      </w:r>
      <w:r>
        <w:rPr>
          <w:rFonts w:ascii="Times New Roman"/>
          <w:color w:val="242424"/>
          <w:spacing w:val="-4"/>
          <w:sz w:val="19"/>
        </w:rPr>
        <w:t>t</w:t>
      </w:r>
      <w:r>
        <w:rPr>
          <w:rFonts w:ascii="Times New Roman"/>
          <w:color w:val="3F3F3F"/>
          <w:spacing w:val="-4"/>
          <w:sz w:val="19"/>
        </w:rPr>
        <w:t>e </w:t>
      </w:r>
      <w:r>
        <w:rPr>
          <w:rFonts w:ascii="Times New Roman"/>
          <w:color w:val="3F3F3F"/>
          <w:sz w:val="19"/>
        </w:rPr>
        <w:t>of the gift. The </w:t>
      </w:r>
      <w:r>
        <w:rPr>
          <w:rFonts w:ascii="Times New Roman"/>
          <w:color w:val="3F3F3F"/>
          <w:spacing w:val="-4"/>
          <w:sz w:val="19"/>
        </w:rPr>
        <w:t>val</w:t>
      </w:r>
      <w:r>
        <w:rPr>
          <w:rFonts w:ascii="Times New Roman"/>
          <w:color w:val="242424"/>
          <w:spacing w:val="-4"/>
          <w:sz w:val="19"/>
        </w:rPr>
        <w:t>u</w:t>
      </w:r>
      <w:r>
        <w:rPr>
          <w:rFonts w:ascii="Times New Roman"/>
          <w:color w:val="3F3F3F"/>
          <w:spacing w:val="-4"/>
          <w:sz w:val="19"/>
        </w:rPr>
        <w:t>e </w:t>
      </w:r>
      <w:r>
        <w:rPr>
          <w:rFonts w:ascii="Times New Roman"/>
          <w:color w:val="3F3F3F"/>
          <w:sz w:val="19"/>
        </w:rPr>
        <w:t>of services </w:t>
      </w:r>
      <w:r>
        <w:rPr>
          <w:rFonts w:ascii="Times New Roman"/>
          <w:color w:val="3F3F3F"/>
          <w:spacing w:val="-3"/>
          <w:sz w:val="19"/>
        </w:rPr>
        <w:t>prov</w:t>
      </w:r>
      <w:r>
        <w:rPr>
          <w:rFonts w:ascii="Times New Roman"/>
          <w:color w:val="242424"/>
          <w:spacing w:val="-3"/>
          <w:sz w:val="19"/>
        </w:rPr>
        <w:t>i</w:t>
      </w:r>
      <w:r>
        <w:rPr>
          <w:rFonts w:ascii="Times New Roman"/>
          <w:color w:val="3F3F3F"/>
          <w:spacing w:val="-3"/>
          <w:sz w:val="19"/>
        </w:rPr>
        <w:t>ded </w:t>
      </w:r>
      <w:r>
        <w:rPr>
          <w:rFonts w:ascii="Times New Roman"/>
          <w:color w:val="3F3F3F"/>
          <w:sz w:val="19"/>
        </w:rPr>
        <w:t>by vo</w:t>
      </w:r>
      <w:r>
        <w:rPr>
          <w:rFonts w:ascii="Times New Roman"/>
          <w:color w:val="242424"/>
          <w:sz w:val="19"/>
        </w:rPr>
        <w:t>l</w:t>
      </w:r>
      <w:r>
        <w:rPr>
          <w:rFonts w:ascii="Times New Roman"/>
          <w:color w:val="3F3F3F"/>
          <w:sz w:val="19"/>
        </w:rPr>
        <w:t>unteersbas not been</w:t>
      </w:r>
      <w:r>
        <w:rPr>
          <w:rFonts w:ascii="Times New Roman"/>
          <w:color w:val="3F3F3F"/>
          <w:spacing w:val="-31"/>
          <w:sz w:val="19"/>
        </w:rPr>
        <w:t> </w:t>
      </w:r>
      <w:r>
        <w:rPr>
          <w:rFonts w:ascii="Times New Roman"/>
          <w:color w:val="3F3F3F"/>
          <w:sz w:val="19"/>
        </w:rPr>
        <w:t>included.</w:t>
      </w:r>
    </w:p>
    <w:p>
      <w:pPr>
        <w:pStyle w:val="ListParagraph"/>
        <w:numPr>
          <w:ilvl w:val="0"/>
          <w:numId w:val="216"/>
        </w:numPr>
        <w:tabs>
          <w:tab w:pos="1525" w:val="left" w:leader="none"/>
        </w:tabs>
        <w:spacing w:line="240" w:lineRule="auto" w:before="127" w:after="0"/>
        <w:ind w:left="1524" w:right="0" w:hanging="540"/>
        <w:jc w:val="both"/>
        <w:rPr>
          <w:rFonts w:ascii="Times New Roman"/>
          <w:b/>
          <w:color w:val="242424"/>
          <w:sz w:val="18"/>
        </w:rPr>
      </w:pPr>
      <w:r>
        <w:rPr>
          <w:rFonts w:ascii="Times New Roman"/>
          <w:b/>
          <w:color w:val="242424"/>
          <w:w w:val="105"/>
          <w:sz w:val="18"/>
        </w:rPr>
        <w:t>Gran</w:t>
      </w:r>
      <w:r>
        <w:rPr>
          <w:rFonts w:ascii="Times New Roman"/>
          <w:b/>
          <w:color w:val="242424"/>
          <w:spacing w:val="-26"/>
          <w:w w:val="105"/>
          <w:sz w:val="18"/>
        </w:rPr>
        <w:t> </w:t>
      </w:r>
      <w:r>
        <w:rPr>
          <w:rFonts w:ascii="Times New Roman"/>
          <w:b/>
          <w:color w:val="3F3F3F"/>
          <w:w w:val="105"/>
          <w:sz w:val="18"/>
        </w:rPr>
        <w:t>ts</w:t>
      </w:r>
    </w:p>
    <w:p>
      <w:pPr>
        <w:spacing w:line="242" w:lineRule="auto" w:before="5"/>
        <w:ind w:left="983" w:right="745" w:firstLine="4"/>
        <w:jc w:val="both"/>
        <w:rPr>
          <w:rFonts w:ascii="Times New Roman"/>
          <w:sz w:val="19"/>
        </w:rPr>
      </w:pPr>
      <w:r>
        <w:rPr>
          <w:rFonts w:ascii="Times New Roman"/>
          <w:color w:val="3F3F3F"/>
          <w:sz w:val="19"/>
        </w:rPr>
        <w:t>Incoming grants are accounted for o</w:t>
      </w:r>
      <w:r>
        <w:rPr>
          <w:rFonts w:ascii="Times New Roman"/>
          <w:color w:val="242424"/>
          <w:sz w:val="19"/>
        </w:rPr>
        <w:t>n </w:t>
      </w:r>
      <w:r>
        <w:rPr>
          <w:rFonts w:ascii="Times New Roman"/>
          <w:color w:val="3F3F3F"/>
          <w:sz w:val="19"/>
        </w:rPr>
        <w:t>a receivable </w:t>
      </w:r>
      <w:r>
        <w:rPr>
          <w:rFonts w:ascii="Times New Roman"/>
          <w:color w:val="242424"/>
          <w:sz w:val="19"/>
        </w:rPr>
        <w:t>b</w:t>
      </w:r>
      <w:r>
        <w:rPr>
          <w:rFonts w:ascii="Times New Roman"/>
          <w:color w:val="3F3F3F"/>
          <w:sz w:val="19"/>
        </w:rPr>
        <w:t>asis. Outgoing grants are accounted for on a payable basis</w:t>
      </w:r>
      <w:r>
        <w:rPr>
          <w:rFonts w:ascii="Times New Roman"/>
          <w:color w:val="242424"/>
          <w:sz w:val="19"/>
        </w:rPr>
        <w:t>. </w:t>
      </w:r>
      <w:r>
        <w:rPr>
          <w:rFonts w:ascii="Times New Roman"/>
          <w:color w:val="3F3F3F"/>
          <w:spacing w:val="-1"/>
          <w:w w:val="101"/>
          <w:sz w:val="19"/>
        </w:rPr>
        <w:t>Grant</w:t>
      </w:r>
      <w:r>
        <w:rPr>
          <w:rFonts w:ascii="Times New Roman"/>
          <w:color w:val="3F3F3F"/>
          <w:w w:val="101"/>
          <w:sz w:val="19"/>
        </w:rPr>
        <w:t>s</w:t>
      </w:r>
      <w:r>
        <w:rPr>
          <w:rFonts w:ascii="Times New Roman"/>
          <w:color w:val="3F3F3F"/>
          <w:spacing w:val="5"/>
          <w:sz w:val="19"/>
        </w:rPr>
        <w:t> </w:t>
      </w:r>
      <w:r>
        <w:rPr>
          <w:rFonts w:ascii="Times New Roman"/>
          <w:color w:val="3F3F3F"/>
          <w:w w:val="100"/>
          <w:sz w:val="19"/>
        </w:rPr>
        <w:t>payable</w:t>
      </w:r>
      <w:r>
        <w:rPr>
          <w:rFonts w:ascii="Times New Roman"/>
          <w:color w:val="3F3F3F"/>
          <w:spacing w:val="-12"/>
          <w:sz w:val="19"/>
        </w:rPr>
        <w:t> </w:t>
      </w:r>
      <w:r>
        <w:rPr>
          <w:rFonts w:ascii="Times New Roman"/>
          <w:color w:val="3F3F3F"/>
          <w:spacing w:val="-1"/>
          <w:w w:val="100"/>
          <w:sz w:val="19"/>
        </w:rPr>
        <w:t>ar</w:t>
      </w:r>
      <w:r>
        <w:rPr>
          <w:rFonts w:ascii="Times New Roman"/>
          <w:color w:val="3F3F3F"/>
          <w:w w:val="100"/>
          <w:sz w:val="19"/>
        </w:rPr>
        <w:t>e</w:t>
      </w:r>
      <w:r>
        <w:rPr>
          <w:rFonts w:ascii="Times New Roman"/>
          <w:color w:val="3F3F3F"/>
          <w:spacing w:val="19"/>
          <w:sz w:val="19"/>
        </w:rPr>
        <w:t> </w:t>
      </w:r>
      <w:r>
        <w:rPr>
          <w:rFonts w:ascii="Times New Roman"/>
          <w:color w:val="3F3F3F"/>
          <w:spacing w:val="-1"/>
          <w:w w:val="97"/>
          <w:sz w:val="19"/>
        </w:rPr>
        <w:t>include</w:t>
      </w:r>
      <w:r>
        <w:rPr>
          <w:rFonts w:ascii="Times New Roman"/>
          <w:color w:val="3F3F3F"/>
          <w:w w:val="97"/>
          <w:sz w:val="19"/>
        </w:rPr>
        <w:t>d</w:t>
      </w:r>
      <w:r>
        <w:rPr>
          <w:rFonts w:ascii="Times New Roman"/>
          <w:color w:val="3F3F3F"/>
          <w:spacing w:val="10"/>
          <w:sz w:val="19"/>
        </w:rPr>
        <w:t> </w:t>
      </w:r>
      <w:r>
        <w:rPr>
          <w:rFonts w:ascii="Times New Roman"/>
          <w:color w:val="242424"/>
          <w:spacing w:val="-1"/>
          <w:w w:val="97"/>
          <w:sz w:val="19"/>
        </w:rPr>
        <w:t>i</w:t>
      </w:r>
      <w:r>
        <w:rPr>
          <w:rFonts w:ascii="Times New Roman"/>
          <w:color w:val="242424"/>
          <w:w w:val="97"/>
          <w:sz w:val="19"/>
        </w:rPr>
        <w:t>n</w:t>
      </w:r>
      <w:r>
        <w:rPr>
          <w:rFonts w:ascii="Times New Roman"/>
          <w:color w:val="242424"/>
          <w:spacing w:val="5"/>
          <w:sz w:val="19"/>
        </w:rPr>
        <w:t> </w:t>
      </w:r>
      <w:r>
        <w:rPr>
          <w:rFonts w:ascii="Times New Roman"/>
          <w:color w:val="3F3F3F"/>
          <w:spacing w:val="-1"/>
          <w:w w:val="109"/>
          <w:sz w:val="19"/>
        </w:rPr>
        <w:t>th</w:t>
      </w:r>
      <w:r>
        <w:rPr>
          <w:rFonts w:ascii="Times New Roman"/>
          <w:color w:val="3F3F3F"/>
          <w:w w:val="109"/>
          <w:sz w:val="19"/>
        </w:rPr>
        <w:t>e</w:t>
      </w:r>
      <w:r>
        <w:rPr>
          <w:rFonts w:ascii="Times New Roman"/>
          <w:color w:val="3F3F3F"/>
          <w:spacing w:val="-13"/>
          <w:sz w:val="19"/>
        </w:rPr>
        <w:t> </w:t>
      </w:r>
      <w:r>
        <w:rPr>
          <w:rFonts w:ascii="Times New Roman"/>
          <w:color w:val="3F3F3F"/>
          <w:spacing w:val="-1"/>
          <w:w w:val="109"/>
          <w:sz w:val="19"/>
        </w:rPr>
        <w:t>Stateme</w:t>
      </w:r>
      <w:r>
        <w:rPr>
          <w:rFonts w:ascii="Times New Roman"/>
          <w:color w:val="3F3F3F"/>
          <w:spacing w:val="-80"/>
          <w:w w:val="109"/>
          <w:sz w:val="19"/>
        </w:rPr>
        <w:t>n</w:t>
      </w:r>
      <w:r>
        <w:rPr>
          <w:rFonts w:ascii="Times New Roman"/>
          <w:color w:val="242424"/>
          <w:w w:val="104"/>
          <w:sz w:val="19"/>
        </w:rPr>
        <w:t>t</w:t>
      </w:r>
      <w:r>
        <w:rPr>
          <w:rFonts w:ascii="Times New Roman"/>
          <w:color w:val="242424"/>
          <w:spacing w:val="-2"/>
          <w:sz w:val="19"/>
        </w:rPr>
        <w:t> </w:t>
      </w:r>
      <w:r>
        <w:rPr>
          <w:rFonts w:ascii="Times New Roman"/>
          <w:color w:val="3F3F3F"/>
          <w:w w:val="110"/>
          <w:sz w:val="19"/>
        </w:rPr>
        <w:t>of</w:t>
      </w:r>
      <w:r>
        <w:rPr>
          <w:rFonts w:ascii="Times New Roman"/>
          <w:color w:val="3F3F3F"/>
          <w:spacing w:val="-7"/>
          <w:sz w:val="19"/>
        </w:rPr>
        <w:t> </w:t>
      </w:r>
      <w:r>
        <w:rPr>
          <w:rFonts w:ascii="Times New Roman"/>
          <w:color w:val="3F3F3F"/>
          <w:spacing w:val="-1"/>
          <w:w w:val="98"/>
          <w:sz w:val="19"/>
        </w:rPr>
        <w:t>Financia</w:t>
      </w:r>
      <w:r>
        <w:rPr>
          <w:rFonts w:ascii="Times New Roman"/>
          <w:color w:val="3F3F3F"/>
          <w:w w:val="98"/>
          <w:sz w:val="19"/>
        </w:rPr>
        <w:t>l</w:t>
      </w:r>
      <w:r>
        <w:rPr>
          <w:rFonts w:ascii="Times New Roman"/>
          <w:color w:val="3F3F3F"/>
          <w:spacing w:val="10"/>
          <w:sz w:val="19"/>
        </w:rPr>
        <w:t> </w:t>
      </w:r>
      <w:r>
        <w:rPr>
          <w:rFonts w:ascii="Times New Roman"/>
          <w:color w:val="3F3F3F"/>
          <w:spacing w:val="-1"/>
          <w:w w:val="99"/>
          <w:sz w:val="19"/>
        </w:rPr>
        <w:t>Activitie</w:t>
      </w:r>
      <w:r>
        <w:rPr>
          <w:rFonts w:ascii="Times New Roman"/>
          <w:color w:val="3F3F3F"/>
          <w:w w:val="99"/>
          <w:sz w:val="19"/>
        </w:rPr>
        <w:t>s</w:t>
      </w:r>
      <w:r>
        <w:rPr>
          <w:rFonts w:ascii="Times New Roman"/>
          <w:color w:val="3F3F3F"/>
          <w:spacing w:val="-1"/>
          <w:sz w:val="19"/>
        </w:rPr>
        <w:t> </w:t>
      </w:r>
      <w:r>
        <w:rPr>
          <w:rFonts w:ascii="Times New Roman"/>
          <w:color w:val="3F3F3F"/>
          <w:spacing w:val="-1"/>
          <w:w w:val="99"/>
          <w:sz w:val="19"/>
        </w:rPr>
        <w:t>whe</w:t>
      </w:r>
      <w:r>
        <w:rPr>
          <w:rFonts w:ascii="Times New Roman"/>
          <w:color w:val="3F3F3F"/>
          <w:w w:val="99"/>
          <w:sz w:val="19"/>
        </w:rPr>
        <w:t>n</w:t>
      </w:r>
      <w:r>
        <w:rPr>
          <w:rFonts w:ascii="Times New Roman"/>
          <w:color w:val="3F3F3F"/>
          <w:sz w:val="19"/>
        </w:rPr>
        <w:t> </w:t>
      </w:r>
      <w:r>
        <w:rPr>
          <w:rFonts w:ascii="Times New Roman"/>
          <w:color w:val="3F3F3F"/>
          <w:spacing w:val="-1"/>
          <w:w w:val="99"/>
          <w:sz w:val="19"/>
        </w:rPr>
        <w:t>approve</w:t>
      </w:r>
      <w:r>
        <w:rPr>
          <w:rFonts w:ascii="Times New Roman"/>
          <w:color w:val="3F3F3F"/>
          <w:w w:val="99"/>
          <w:sz w:val="19"/>
        </w:rPr>
        <w:t>d</w:t>
      </w:r>
      <w:r>
        <w:rPr>
          <w:rFonts w:ascii="Times New Roman"/>
          <w:color w:val="3F3F3F"/>
          <w:spacing w:val="2"/>
          <w:sz w:val="19"/>
        </w:rPr>
        <w:t> </w:t>
      </w:r>
      <w:r>
        <w:rPr>
          <w:rFonts w:ascii="Times New Roman"/>
          <w:color w:val="3F3F3F"/>
          <w:spacing w:val="-1"/>
          <w:w w:val="102"/>
          <w:sz w:val="19"/>
        </w:rPr>
        <w:t>an</w:t>
      </w:r>
      <w:r>
        <w:rPr>
          <w:rFonts w:ascii="Times New Roman"/>
          <w:color w:val="3F3F3F"/>
          <w:w w:val="102"/>
          <w:sz w:val="19"/>
        </w:rPr>
        <w:t>d</w:t>
      </w:r>
      <w:r>
        <w:rPr>
          <w:rFonts w:ascii="Times New Roman"/>
          <w:color w:val="3F3F3F"/>
          <w:spacing w:val="-1"/>
          <w:sz w:val="19"/>
        </w:rPr>
        <w:t> </w:t>
      </w:r>
      <w:r>
        <w:rPr>
          <w:rFonts w:ascii="Times New Roman"/>
          <w:color w:val="3F3F3F"/>
          <w:spacing w:val="-1"/>
          <w:w w:val="101"/>
          <w:sz w:val="19"/>
        </w:rPr>
        <w:t>applie</w:t>
      </w:r>
      <w:r>
        <w:rPr>
          <w:rFonts w:ascii="Times New Roman"/>
          <w:color w:val="3F3F3F"/>
          <w:w w:val="101"/>
          <w:sz w:val="19"/>
        </w:rPr>
        <w:t>d</w:t>
      </w:r>
      <w:r>
        <w:rPr>
          <w:rFonts w:ascii="Times New Roman"/>
          <w:color w:val="3F3F3F"/>
          <w:spacing w:val="2"/>
          <w:sz w:val="19"/>
        </w:rPr>
        <w:t> </w:t>
      </w:r>
      <w:r>
        <w:rPr>
          <w:rFonts w:ascii="Times New Roman"/>
          <w:color w:val="3F3F3F"/>
          <w:w w:val="106"/>
          <w:sz w:val="19"/>
        </w:rPr>
        <w:t>for.</w:t>
      </w:r>
      <w:r>
        <w:rPr>
          <w:rFonts w:ascii="Times New Roman"/>
          <w:color w:val="3F3F3F"/>
          <w:sz w:val="19"/>
        </w:rPr>
        <w:t> </w:t>
      </w:r>
      <w:r>
        <w:rPr>
          <w:rFonts w:ascii="Times New Roman"/>
          <w:color w:val="3F3F3F"/>
          <w:spacing w:val="-14"/>
          <w:sz w:val="19"/>
        </w:rPr>
        <w:t> </w:t>
      </w:r>
      <w:r>
        <w:rPr>
          <w:rFonts w:ascii="Times New Roman"/>
          <w:color w:val="3F3F3F"/>
          <w:spacing w:val="-1"/>
          <w:w w:val="110"/>
          <w:sz w:val="19"/>
        </w:rPr>
        <w:t>Th</w:t>
      </w:r>
      <w:r>
        <w:rPr>
          <w:rFonts w:ascii="Times New Roman"/>
          <w:color w:val="3F3F3F"/>
          <w:w w:val="110"/>
          <w:sz w:val="19"/>
        </w:rPr>
        <w:t>e</w:t>
      </w:r>
      <w:r>
        <w:rPr>
          <w:rFonts w:ascii="Times New Roman"/>
          <w:color w:val="3F3F3F"/>
          <w:spacing w:val="-13"/>
          <w:sz w:val="19"/>
        </w:rPr>
        <w:t> </w:t>
      </w:r>
      <w:r>
        <w:rPr>
          <w:rFonts w:ascii="Times New Roman"/>
          <w:color w:val="3F3F3F"/>
          <w:w w:val="100"/>
          <w:sz w:val="19"/>
        </w:rPr>
        <w:t>value</w:t>
      </w:r>
      <w:r>
        <w:rPr>
          <w:rFonts w:ascii="Times New Roman"/>
          <w:color w:val="3F3F3F"/>
          <w:spacing w:val="-13"/>
          <w:sz w:val="19"/>
        </w:rPr>
        <w:t> </w:t>
      </w:r>
      <w:r>
        <w:rPr>
          <w:rFonts w:ascii="Times New Roman"/>
          <w:color w:val="3F3F3F"/>
          <w:w w:val="110"/>
          <w:sz w:val="19"/>
        </w:rPr>
        <w:t>of </w:t>
      </w:r>
      <w:r>
        <w:rPr>
          <w:rFonts w:ascii="Times New Roman"/>
          <w:color w:val="3F3F3F"/>
          <w:sz w:val="19"/>
        </w:rPr>
        <w:t>such </w:t>
      </w:r>
      <w:r>
        <w:rPr>
          <w:rFonts w:ascii="Times New Roman"/>
          <w:color w:val="3F3F3F"/>
          <w:spacing w:val="-5"/>
          <w:sz w:val="19"/>
        </w:rPr>
        <w:t>gran</w:t>
      </w:r>
      <w:r>
        <w:rPr>
          <w:rFonts w:ascii="Times New Roman"/>
          <w:color w:val="242424"/>
          <w:spacing w:val="-5"/>
          <w:sz w:val="19"/>
        </w:rPr>
        <w:t>t</w:t>
      </w:r>
      <w:r>
        <w:rPr>
          <w:rFonts w:ascii="Times New Roman"/>
          <w:color w:val="3F3F3F"/>
          <w:spacing w:val="-5"/>
          <w:sz w:val="19"/>
        </w:rPr>
        <w:t>s </w:t>
      </w:r>
      <w:r>
        <w:rPr>
          <w:rFonts w:ascii="Times New Roman"/>
          <w:color w:val="3F3F3F"/>
          <w:spacing w:val="-7"/>
          <w:sz w:val="19"/>
        </w:rPr>
        <w:t>unpai</w:t>
      </w:r>
      <w:r>
        <w:rPr>
          <w:rFonts w:ascii="Times New Roman"/>
          <w:color w:val="242424"/>
          <w:spacing w:val="-7"/>
          <w:sz w:val="19"/>
        </w:rPr>
        <w:t>d </w:t>
      </w:r>
      <w:r>
        <w:rPr>
          <w:rFonts w:ascii="Times New Roman"/>
          <w:color w:val="3F3F3F"/>
          <w:sz w:val="19"/>
        </w:rPr>
        <w:t>at the end of the year is accrued, unless </w:t>
      </w:r>
      <w:r>
        <w:rPr>
          <w:rFonts w:ascii="Times New Roman"/>
          <w:color w:val="3F3F3F"/>
          <w:spacing w:val="-4"/>
          <w:sz w:val="19"/>
        </w:rPr>
        <w:t>the</w:t>
      </w:r>
      <w:r>
        <w:rPr>
          <w:rFonts w:ascii="Times New Roman"/>
          <w:color w:val="242424"/>
          <w:spacing w:val="-4"/>
          <w:sz w:val="19"/>
        </w:rPr>
        <w:t>r</w:t>
      </w:r>
      <w:r>
        <w:rPr>
          <w:rFonts w:ascii="Times New Roman"/>
          <w:color w:val="3F3F3F"/>
          <w:spacing w:val="-4"/>
          <w:sz w:val="19"/>
        </w:rPr>
        <w:t>e </w:t>
      </w:r>
      <w:r>
        <w:rPr>
          <w:rFonts w:ascii="Times New Roman"/>
          <w:color w:val="3F3F3F"/>
          <w:sz w:val="19"/>
        </w:rPr>
        <w:t>are unfulfilled conditions attache</w:t>
      </w:r>
      <w:r>
        <w:rPr>
          <w:rFonts w:ascii="Times New Roman"/>
          <w:color w:val="242424"/>
          <w:sz w:val="19"/>
        </w:rPr>
        <w:t>d </w:t>
      </w:r>
      <w:r>
        <w:rPr>
          <w:rFonts w:ascii="Times New Roman"/>
          <w:color w:val="3F3F3F"/>
          <w:sz w:val="19"/>
        </w:rPr>
        <w:t>to  </w:t>
      </w:r>
      <w:r>
        <w:rPr>
          <w:rFonts w:ascii="Times New Roman"/>
          <w:color w:val="3F3F3F"/>
          <w:spacing w:val="-6"/>
          <w:sz w:val="19"/>
        </w:rPr>
        <w:t>them</w:t>
      </w:r>
      <w:r>
        <w:rPr>
          <w:rFonts w:ascii="Times New Roman"/>
          <w:color w:val="242424"/>
          <w:spacing w:val="-6"/>
          <w:sz w:val="19"/>
        </w:rPr>
        <w:t>.  </w:t>
      </w:r>
      <w:r>
        <w:rPr>
          <w:rFonts w:ascii="Times New Roman"/>
          <w:color w:val="3F3F3F"/>
          <w:sz w:val="19"/>
        </w:rPr>
        <w:t>In </w:t>
      </w:r>
      <w:r>
        <w:rPr>
          <w:rFonts w:ascii="Times New Roman"/>
          <w:color w:val="545454"/>
          <w:sz w:val="19"/>
        </w:rPr>
        <w:t>such</w:t>
      </w:r>
      <w:r>
        <w:rPr>
          <w:rFonts w:ascii="Times New Roman"/>
          <w:color w:val="545454"/>
          <w:spacing w:val="-10"/>
          <w:sz w:val="19"/>
        </w:rPr>
        <w:t> </w:t>
      </w:r>
      <w:r>
        <w:rPr>
          <w:rFonts w:ascii="Times New Roman"/>
          <w:color w:val="3F3F3F"/>
          <w:sz w:val="19"/>
        </w:rPr>
        <w:t>cases</w:t>
      </w:r>
      <w:r>
        <w:rPr>
          <w:rFonts w:ascii="Times New Roman"/>
          <w:color w:val="3F3F3F"/>
          <w:spacing w:val="-18"/>
          <w:sz w:val="19"/>
        </w:rPr>
        <w:t> </w:t>
      </w:r>
      <w:r>
        <w:rPr>
          <w:rFonts w:ascii="Times New Roman"/>
          <w:color w:val="3F3F3F"/>
          <w:sz w:val="19"/>
        </w:rPr>
        <w:t>these</w:t>
      </w:r>
      <w:r>
        <w:rPr>
          <w:rFonts w:ascii="Times New Roman"/>
          <w:color w:val="3F3F3F"/>
          <w:spacing w:val="-12"/>
          <w:sz w:val="19"/>
        </w:rPr>
        <w:t> </w:t>
      </w:r>
      <w:r>
        <w:rPr>
          <w:rFonts w:ascii="Times New Roman"/>
          <w:color w:val="3F3F3F"/>
          <w:sz w:val="19"/>
        </w:rPr>
        <w:t>grants</w:t>
      </w:r>
      <w:r>
        <w:rPr>
          <w:rFonts w:ascii="Times New Roman"/>
          <w:color w:val="3F3F3F"/>
          <w:spacing w:val="-13"/>
          <w:sz w:val="19"/>
        </w:rPr>
        <w:t> </w:t>
      </w:r>
      <w:r>
        <w:rPr>
          <w:rFonts w:ascii="Times New Roman"/>
          <w:color w:val="3F3F3F"/>
          <w:sz w:val="19"/>
        </w:rPr>
        <w:t>are</w:t>
      </w:r>
      <w:r>
        <w:rPr>
          <w:rFonts w:ascii="Times New Roman"/>
          <w:color w:val="3F3F3F"/>
          <w:spacing w:val="5"/>
          <w:sz w:val="19"/>
        </w:rPr>
        <w:t> </w:t>
      </w:r>
      <w:r>
        <w:rPr>
          <w:rFonts w:ascii="Times New Roman"/>
          <w:color w:val="3F3F3F"/>
          <w:sz w:val="19"/>
        </w:rPr>
        <w:t>treated</w:t>
      </w:r>
      <w:r>
        <w:rPr>
          <w:rFonts w:ascii="Times New Roman"/>
          <w:color w:val="3F3F3F"/>
          <w:spacing w:val="-17"/>
          <w:sz w:val="19"/>
        </w:rPr>
        <w:t> </w:t>
      </w:r>
      <w:r>
        <w:rPr>
          <w:rFonts w:ascii="Times New Roman"/>
          <w:color w:val="3F3F3F"/>
          <w:sz w:val="19"/>
        </w:rPr>
        <w:t>as</w:t>
      </w:r>
      <w:r>
        <w:rPr>
          <w:rFonts w:ascii="Times New Roman"/>
          <w:color w:val="3F3F3F"/>
          <w:spacing w:val="5"/>
          <w:sz w:val="19"/>
        </w:rPr>
        <w:t> </w:t>
      </w:r>
      <w:r>
        <w:rPr>
          <w:rFonts w:ascii="Times New Roman"/>
          <w:color w:val="3F3F3F"/>
          <w:sz w:val="19"/>
        </w:rPr>
        <w:t>contingent</w:t>
      </w:r>
      <w:r>
        <w:rPr>
          <w:rFonts w:ascii="Times New Roman"/>
          <w:color w:val="3F3F3F"/>
          <w:spacing w:val="-3"/>
          <w:sz w:val="19"/>
        </w:rPr>
        <w:t> </w:t>
      </w:r>
      <w:r>
        <w:rPr>
          <w:rFonts w:ascii="Times New Roman"/>
          <w:color w:val="3F3F3F"/>
          <w:spacing w:val="-7"/>
          <w:sz w:val="19"/>
        </w:rPr>
        <w:t>lia</w:t>
      </w:r>
      <w:r>
        <w:rPr>
          <w:rFonts w:ascii="Times New Roman"/>
          <w:color w:val="242424"/>
          <w:spacing w:val="-7"/>
          <w:sz w:val="19"/>
        </w:rPr>
        <w:t>b</w:t>
      </w:r>
      <w:r>
        <w:rPr>
          <w:rFonts w:ascii="Times New Roman"/>
          <w:color w:val="3F3F3F"/>
          <w:spacing w:val="-7"/>
          <w:sz w:val="19"/>
        </w:rPr>
        <w:t>ilit</w:t>
      </w:r>
      <w:r>
        <w:rPr>
          <w:rFonts w:ascii="Times New Roman"/>
          <w:color w:val="242424"/>
          <w:spacing w:val="-7"/>
          <w:sz w:val="19"/>
        </w:rPr>
        <w:t>i</w:t>
      </w:r>
      <w:r>
        <w:rPr>
          <w:rFonts w:ascii="Times New Roman"/>
          <w:color w:val="3F3F3F"/>
          <w:spacing w:val="-7"/>
          <w:sz w:val="19"/>
        </w:rPr>
        <w:t>es</w:t>
      </w:r>
      <w:r>
        <w:rPr>
          <w:rFonts w:ascii="Times New Roman"/>
          <w:color w:val="242424"/>
          <w:spacing w:val="-7"/>
          <w:sz w:val="19"/>
        </w:rPr>
        <w:t>.</w:t>
      </w:r>
    </w:p>
    <w:p>
      <w:pPr>
        <w:pStyle w:val="ListParagraph"/>
        <w:numPr>
          <w:ilvl w:val="0"/>
          <w:numId w:val="216"/>
        </w:numPr>
        <w:tabs>
          <w:tab w:pos="1528" w:val="left" w:leader="none"/>
          <w:tab w:pos="1529" w:val="left" w:leader="none"/>
        </w:tabs>
        <w:spacing w:line="240" w:lineRule="auto" w:before="128" w:after="0"/>
        <w:ind w:left="1528" w:right="0" w:hanging="544"/>
        <w:jc w:val="left"/>
        <w:rPr>
          <w:rFonts w:ascii="Times New Roman"/>
          <w:b/>
          <w:color w:val="242424"/>
          <w:sz w:val="18"/>
        </w:rPr>
      </w:pPr>
      <w:r>
        <w:rPr>
          <w:rFonts w:ascii="Times New Roman"/>
          <w:b/>
          <w:color w:val="242424"/>
          <w:spacing w:val="-5"/>
          <w:w w:val="110"/>
          <w:sz w:val="18"/>
        </w:rPr>
        <w:t>Mini</w:t>
      </w:r>
      <w:r>
        <w:rPr>
          <w:rFonts w:ascii="Times New Roman"/>
          <w:b/>
          <w:color w:val="3F3F3F"/>
          <w:spacing w:val="-5"/>
          <w:w w:val="110"/>
          <w:sz w:val="18"/>
        </w:rPr>
        <w:t>s</w:t>
      </w:r>
      <w:r>
        <w:rPr>
          <w:rFonts w:ascii="Times New Roman"/>
          <w:b/>
          <w:color w:val="242424"/>
          <w:spacing w:val="-5"/>
          <w:w w:val="110"/>
          <w:sz w:val="18"/>
        </w:rPr>
        <w:t>tr</w:t>
      </w:r>
      <w:r>
        <w:rPr>
          <w:rFonts w:ascii="Times New Roman"/>
          <w:b/>
          <w:color w:val="3F3F3F"/>
          <w:spacing w:val="-5"/>
          <w:w w:val="110"/>
          <w:sz w:val="18"/>
        </w:rPr>
        <w:t>y</w:t>
      </w:r>
      <w:r>
        <w:rPr>
          <w:rFonts w:ascii="Times New Roman"/>
          <w:b/>
          <w:color w:val="3F3F3F"/>
          <w:spacing w:val="-14"/>
          <w:w w:val="110"/>
          <w:sz w:val="18"/>
        </w:rPr>
        <w:t> </w:t>
      </w:r>
      <w:r>
        <w:rPr>
          <w:rFonts w:ascii="Times New Roman"/>
          <w:b/>
          <w:color w:val="242424"/>
          <w:w w:val="110"/>
          <w:sz w:val="18"/>
        </w:rPr>
        <w:t>and</w:t>
      </w:r>
      <w:r>
        <w:rPr>
          <w:rFonts w:ascii="Times New Roman"/>
          <w:b/>
          <w:color w:val="242424"/>
          <w:spacing w:val="-18"/>
          <w:w w:val="110"/>
          <w:sz w:val="18"/>
        </w:rPr>
        <w:t> </w:t>
      </w:r>
      <w:r>
        <w:rPr>
          <w:rFonts w:ascii="Times New Roman"/>
          <w:b/>
          <w:color w:val="242424"/>
          <w:spacing w:val="-3"/>
          <w:w w:val="110"/>
          <w:sz w:val="18"/>
        </w:rPr>
        <w:t>Mi</w:t>
      </w:r>
      <w:r>
        <w:rPr>
          <w:rFonts w:ascii="Times New Roman"/>
          <w:b/>
          <w:color w:val="3F3F3F"/>
          <w:spacing w:val="-3"/>
          <w:w w:val="110"/>
          <w:sz w:val="18"/>
        </w:rPr>
        <w:t>s</w:t>
      </w:r>
      <w:r>
        <w:rPr>
          <w:rFonts w:ascii="Times New Roman"/>
          <w:b/>
          <w:color w:val="242424"/>
          <w:spacing w:val="-3"/>
          <w:w w:val="110"/>
          <w:sz w:val="18"/>
        </w:rPr>
        <w:t>sion</w:t>
      </w:r>
      <w:r>
        <w:rPr>
          <w:rFonts w:ascii="Times New Roman"/>
          <w:b/>
          <w:color w:val="242424"/>
          <w:spacing w:val="-21"/>
          <w:w w:val="110"/>
          <w:sz w:val="18"/>
        </w:rPr>
        <w:t> </w:t>
      </w:r>
      <w:r>
        <w:rPr>
          <w:rFonts w:ascii="Times New Roman"/>
          <w:b/>
          <w:color w:val="242424"/>
          <w:w w:val="110"/>
          <w:sz w:val="18"/>
        </w:rPr>
        <w:t>Fund</w:t>
      </w:r>
      <w:r>
        <w:rPr>
          <w:rFonts w:ascii="Times New Roman"/>
          <w:b/>
          <w:color w:val="242424"/>
          <w:spacing w:val="-17"/>
          <w:w w:val="110"/>
          <w:sz w:val="18"/>
        </w:rPr>
        <w:t> </w:t>
      </w:r>
      <w:r>
        <w:rPr>
          <w:rFonts w:ascii="Times New Roman"/>
          <w:b/>
          <w:color w:val="242424"/>
          <w:spacing w:val="-4"/>
          <w:w w:val="110"/>
          <w:sz w:val="18"/>
        </w:rPr>
        <w:t>contribution</w:t>
      </w:r>
      <w:r>
        <w:rPr>
          <w:rFonts w:ascii="Times New Roman"/>
          <w:b/>
          <w:color w:val="3F3F3F"/>
          <w:spacing w:val="-4"/>
          <w:w w:val="110"/>
          <w:sz w:val="18"/>
        </w:rPr>
        <w:t>s,</w:t>
      </w:r>
      <w:r>
        <w:rPr>
          <w:rFonts w:ascii="Times New Roman"/>
          <w:b/>
          <w:color w:val="3F3F3F"/>
          <w:w w:val="110"/>
          <w:sz w:val="18"/>
        </w:rPr>
        <w:t> </w:t>
      </w:r>
      <w:r>
        <w:rPr>
          <w:rFonts w:ascii="Times New Roman"/>
          <w:b/>
          <w:color w:val="242424"/>
          <w:w w:val="110"/>
          <w:sz w:val="18"/>
        </w:rPr>
        <w:t>investment</w:t>
      </w:r>
      <w:r>
        <w:rPr>
          <w:rFonts w:ascii="Times New Roman"/>
          <w:b/>
          <w:color w:val="242424"/>
          <w:spacing w:val="-3"/>
          <w:w w:val="110"/>
          <w:sz w:val="18"/>
        </w:rPr>
        <w:t> </w:t>
      </w:r>
      <w:r>
        <w:rPr>
          <w:rFonts w:ascii="Times New Roman"/>
          <w:b/>
          <w:color w:val="242424"/>
          <w:spacing w:val="-5"/>
          <w:w w:val="110"/>
          <w:sz w:val="18"/>
        </w:rPr>
        <w:t>incom</w:t>
      </w:r>
      <w:r>
        <w:rPr>
          <w:rFonts w:ascii="Times New Roman"/>
          <w:b/>
          <w:color w:val="3F3F3F"/>
          <w:spacing w:val="-5"/>
          <w:w w:val="110"/>
          <w:sz w:val="18"/>
        </w:rPr>
        <w:t>e</w:t>
      </w:r>
      <w:r>
        <w:rPr>
          <w:rFonts w:ascii="Times New Roman"/>
          <w:b/>
          <w:color w:val="3F3F3F"/>
          <w:spacing w:val="-6"/>
          <w:w w:val="110"/>
          <w:sz w:val="18"/>
        </w:rPr>
        <w:t> </w:t>
      </w:r>
      <w:r>
        <w:rPr>
          <w:rFonts w:ascii="Times New Roman"/>
          <w:b/>
          <w:color w:val="242424"/>
          <w:w w:val="110"/>
          <w:sz w:val="18"/>
        </w:rPr>
        <w:t>and</w:t>
      </w:r>
      <w:r>
        <w:rPr>
          <w:rFonts w:ascii="Times New Roman"/>
          <w:b/>
          <w:color w:val="242424"/>
          <w:spacing w:val="-20"/>
          <w:w w:val="110"/>
          <w:sz w:val="18"/>
        </w:rPr>
        <w:t> </w:t>
      </w:r>
      <w:r>
        <w:rPr>
          <w:rFonts w:ascii="Times New Roman"/>
          <w:b/>
          <w:color w:val="242424"/>
          <w:w w:val="110"/>
          <w:sz w:val="18"/>
        </w:rPr>
        <w:t>other</w:t>
      </w:r>
      <w:r>
        <w:rPr>
          <w:rFonts w:ascii="Times New Roman"/>
          <w:b/>
          <w:color w:val="242424"/>
          <w:spacing w:val="-12"/>
          <w:w w:val="110"/>
          <w:sz w:val="18"/>
        </w:rPr>
        <w:t> </w:t>
      </w:r>
      <w:r>
        <w:rPr>
          <w:rFonts w:ascii="Times New Roman"/>
          <w:b/>
          <w:color w:val="242424"/>
          <w:w w:val="110"/>
          <w:sz w:val="18"/>
        </w:rPr>
        <w:t>income</w:t>
      </w:r>
    </w:p>
    <w:p>
      <w:pPr>
        <w:spacing w:line="242" w:lineRule="auto" w:before="5"/>
        <w:ind w:left="985" w:right="575" w:firstLine="3"/>
        <w:jc w:val="left"/>
        <w:rPr>
          <w:rFonts w:ascii="Times New Roman"/>
          <w:sz w:val="19"/>
        </w:rPr>
      </w:pPr>
      <w:r>
        <w:rPr>
          <w:rFonts w:ascii="Times New Roman"/>
          <w:color w:val="3F3F3F"/>
          <w:sz w:val="19"/>
        </w:rPr>
        <w:t>Ministry and Mission fund contribut</w:t>
      </w:r>
      <w:r>
        <w:rPr>
          <w:rFonts w:ascii="Times New Roman"/>
          <w:color w:val="242424"/>
          <w:sz w:val="19"/>
        </w:rPr>
        <w:t>i</w:t>
      </w:r>
      <w:r>
        <w:rPr>
          <w:rFonts w:ascii="Times New Roman"/>
          <w:color w:val="3F3F3F"/>
          <w:sz w:val="19"/>
        </w:rPr>
        <w:t>ons, investment income and other income a</w:t>
      </w:r>
      <w:r>
        <w:rPr>
          <w:rFonts w:ascii="Times New Roman"/>
          <w:color w:val="242424"/>
          <w:sz w:val="19"/>
        </w:rPr>
        <w:t>r</w:t>
      </w:r>
      <w:r>
        <w:rPr>
          <w:rFonts w:ascii="Times New Roman"/>
          <w:color w:val="3F3F3F"/>
          <w:sz w:val="19"/>
        </w:rPr>
        <w:t>e accounted for on a </w:t>
      </w:r>
      <w:r>
        <w:rPr>
          <w:rFonts w:ascii="Times New Roman"/>
          <w:color w:val="131313"/>
          <w:sz w:val="19"/>
        </w:rPr>
        <w:t>r</w:t>
      </w:r>
      <w:r>
        <w:rPr>
          <w:rFonts w:ascii="Times New Roman"/>
          <w:color w:val="3F3F3F"/>
          <w:sz w:val="19"/>
        </w:rPr>
        <w:t>eceivable basis</w:t>
      </w:r>
      <w:r>
        <w:rPr>
          <w:rFonts w:ascii="Times New Roman"/>
          <w:color w:val="242424"/>
          <w:sz w:val="19"/>
        </w:rPr>
        <w:t>. </w:t>
      </w:r>
      <w:r>
        <w:rPr>
          <w:rFonts w:ascii="Times New Roman"/>
          <w:color w:val="3F3F3F"/>
          <w:sz w:val="19"/>
        </w:rPr>
        <w:t>Contributio</w:t>
      </w:r>
      <w:r>
        <w:rPr>
          <w:rFonts w:ascii="Times New Roman"/>
          <w:color w:val="242424"/>
          <w:sz w:val="19"/>
        </w:rPr>
        <w:t>n</w:t>
      </w:r>
      <w:r>
        <w:rPr>
          <w:rFonts w:ascii="Times New Roman"/>
          <w:color w:val="3F3F3F"/>
          <w:sz w:val="19"/>
        </w:rPr>
        <w:t>s to the fund are agreed annually </w:t>
      </w:r>
      <w:r>
        <w:rPr>
          <w:rFonts w:ascii="Times New Roman"/>
          <w:color w:val="242424"/>
          <w:sz w:val="19"/>
        </w:rPr>
        <w:t>i</w:t>
      </w:r>
      <w:r>
        <w:rPr>
          <w:rFonts w:ascii="Times New Roman"/>
          <w:color w:val="3F3F3F"/>
          <w:sz w:val="19"/>
        </w:rPr>
        <w:t>n advance with each Synod. Any amount received in excess of the agreed contribution is held in creditors as 'sums held for Synods', to be </w:t>
      </w:r>
      <w:r>
        <w:rPr>
          <w:rFonts w:ascii="Times New Roman"/>
          <w:color w:val="242424"/>
          <w:sz w:val="19"/>
        </w:rPr>
        <w:t>r</w:t>
      </w:r>
      <w:r>
        <w:rPr>
          <w:rFonts w:ascii="Times New Roman"/>
          <w:color w:val="545454"/>
          <w:sz w:val="19"/>
        </w:rPr>
        <w:t>eleased </w:t>
      </w:r>
      <w:r>
        <w:rPr>
          <w:rFonts w:ascii="Times New Roman"/>
          <w:color w:val="3F3F3F"/>
          <w:sz w:val="19"/>
        </w:rPr>
        <w:t>as part of that Synod's fund contributio</w:t>
      </w:r>
      <w:r>
        <w:rPr>
          <w:rFonts w:ascii="Times New Roman"/>
          <w:color w:val="242424"/>
          <w:sz w:val="19"/>
        </w:rPr>
        <w:t>n </w:t>
      </w:r>
      <w:r>
        <w:rPr>
          <w:rFonts w:ascii="Times New Roman"/>
          <w:color w:val="3F3F3F"/>
          <w:sz w:val="19"/>
        </w:rPr>
        <w:t>in any following year or refunded to the Synod</w:t>
      </w:r>
      <w:r>
        <w:rPr>
          <w:rFonts w:ascii="Times New Roman"/>
          <w:color w:val="242424"/>
          <w:sz w:val="19"/>
        </w:rPr>
        <w:t>.</w:t>
      </w:r>
    </w:p>
    <w:p>
      <w:pPr>
        <w:pStyle w:val="ListParagraph"/>
        <w:numPr>
          <w:ilvl w:val="0"/>
          <w:numId w:val="216"/>
        </w:numPr>
        <w:tabs>
          <w:tab w:pos="1524" w:val="left" w:leader="none"/>
          <w:tab w:pos="1525" w:val="left" w:leader="none"/>
        </w:tabs>
        <w:spacing w:line="240" w:lineRule="auto" w:before="127" w:after="0"/>
        <w:ind w:left="1524" w:right="0" w:hanging="540"/>
        <w:jc w:val="left"/>
        <w:rPr>
          <w:rFonts w:ascii="Times New Roman"/>
          <w:b/>
          <w:color w:val="242424"/>
          <w:sz w:val="18"/>
        </w:rPr>
      </w:pPr>
      <w:r>
        <w:rPr>
          <w:rFonts w:ascii="Times New Roman"/>
          <w:b/>
          <w:color w:val="3F3F3F"/>
          <w:spacing w:val="-6"/>
          <w:w w:val="110"/>
          <w:sz w:val="18"/>
        </w:rPr>
        <w:t>G</w:t>
      </w:r>
      <w:r>
        <w:rPr>
          <w:rFonts w:ascii="Times New Roman"/>
          <w:b/>
          <w:color w:val="242424"/>
          <w:spacing w:val="-6"/>
          <w:w w:val="110"/>
          <w:sz w:val="18"/>
        </w:rPr>
        <w:t>ain</w:t>
      </w:r>
      <w:r>
        <w:rPr>
          <w:rFonts w:ascii="Times New Roman"/>
          <w:b/>
          <w:color w:val="3F3F3F"/>
          <w:spacing w:val="-6"/>
          <w:w w:val="110"/>
          <w:sz w:val="18"/>
        </w:rPr>
        <w:t>s </w:t>
      </w:r>
      <w:r>
        <w:rPr>
          <w:rFonts w:ascii="Times New Roman"/>
          <w:b/>
          <w:color w:val="242424"/>
          <w:w w:val="110"/>
          <w:sz w:val="18"/>
        </w:rPr>
        <w:t>and </w:t>
      </w:r>
      <w:r>
        <w:rPr>
          <w:rFonts w:ascii="Times New Roman"/>
          <w:b/>
          <w:color w:val="131313"/>
          <w:spacing w:val="-6"/>
          <w:w w:val="110"/>
          <w:sz w:val="18"/>
        </w:rPr>
        <w:t>lo</w:t>
      </w:r>
      <w:r>
        <w:rPr>
          <w:rFonts w:ascii="Times New Roman"/>
          <w:b/>
          <w:color w:val="3F3F3F"/>
          <w:spacing w:val="-6"/>
          <w:w w:val="110"/>
          <w:sz w:val="18"/>
        </w:rPr>
        <w:t>ss</w:t>
      </w:r>
      <w:r>
        <w:rPr>
          <w:rFonts w:ascii="Times New Roman"/>
          <w:b/>
          <w:color w:val="242424"/>
          <w:spacing w:val="-6"/>
          <w:w w:val="110"/>
          <w:sz w:val="18"/>
        </w:rPr>
        <w:t>e</w:t>
      </w:r>
      <w:r>
        <w:rPr>
          <w:rFonts w:ascii="Times New Roman"/>
          <w:b/>
          <w:color w:val="3F3F3F"/>
          <w:spacing w:val="-6"/>
          <w:w w:val="110"/>
          <w:sz w:val="18"/>
        </w:rPr>
        <w:t>s </w:t>
      </w:r>
      <w:r>
        <w:rPr>
          <w:rFonts w:ascii="Times New Roman"/>
          <w:b/>
          <w:color w:val="242424"/>
          <w:w w:val="110"/>
          <w:sz w:val="18"/>
        </w:rPr>
        <w:t>on</w:t>
      </w:r>
      <w:r>
        <w:rPr>
          <w:rFonts w:ascii="Times New Roman"/>
          <w:b/>
          <w:color w:val="242424"/>
          <w:spacing w:val="-2"/>
          <w:w w:val="110"/>
          <w:sz w:val="18"/>
        </w:rPr>
        <w:t> </w:t>
      </w:r>
      <w:r>
        <w:rPr>
          <w:rFonts w:ascii="Times New Roman"/>
          <w:b/>
          <w:color w:val="131313"/>
          <w:spacing w:val="-4"/>
          <w:w w:val="110"/>
          <w:sz w:val="18"/>
        </w:rPr>
        <w:t>in</w:t>
      </w:r>
      <w:r>
        <w:rPr>
          <w:rFonts w:ascii="Times New Roman"/>
          <w:b/>
          <w:color w:val="3F3F3F"/>
          <w:spacing w:val="-4"/>
          <w:w w:val="110"/>
          <w:sz w:val="18"/>
        </w:rPr>
        <w:t>v</w:t>
      </w:r>
      <w:r>
        <w:rPr>
          <w:rFonts w:ascii="Times New Roman"/>
          <w:b/>
          <w:color w:val="242424"/>
          <w:spacing w:val="-4"/>
          <w:w w:val="110"/>
          <w:sz w:val="18"/>
        </w:rPr>
        <w:t>e</w:t>
      </w:r>
      <w:r>
        <w:rPr>
          <w:rFonts w:ascii="Times New Roman"/>
          <w:b/>
          <w:color w:val="3F3F3F"/>
          <w:spacing w:val="-4"/>
          <w:w w:val="110"/>
          <w:sz w:val="18"/>
        </w:rPr>
        <w:t>s</w:t>
      </w:r>
      <w:r>
        <w:rPr>
          <w:rFonts w:ascii="Times New Roman"/>
          <w:b/>
          <w:color w:val="242424"/>
          <w:spacing w:val="-4"/>
          <w:w w:val="110"/>
          <w:sz w:val="18"/>
        </w:rPr>
        <w:t>tmen</w:t>
      </w:r>
      <w:r>
        <w:rPr>
          <w:rFonts w:ascii="Times New Roman"/>
          <w:b/>
          <w:color w:val="3F3F3F"/>
          <w:spacing w:val="-4"/>
          <w:w w:val="110"/>
          <w:sz w:val="18"/>
        </w:rPr>
        <w:t>ts</w:t>
      </w:r>
    </w:p>
    <w:p>
      <w:pPr>
        <w:spacing w:line="242" w:lineRule="auto" w:before="4"/>
        <w:ind w:left="990" w:right="575" w:hanging="2"/>
        <w:jc w:val="left"/>
        <w:rPr>
          <w:rFonts w:ascii="Times New Roman"/>
          <w:sz w:val="19"/>
        </w:rPr>
      </w:pPr>
      <w:r>
        <w:rPr>
          <w:rFonts w:ascii="Times New Roman"/>
          <w:color w:val="3F3F3F"/>
          <w:w w:val="105"/>
          <w:sz w:val="19"/>
        </w:rPr>
        <w:t>Realised</w:t>
      </w:r>
      <w:r>
        <w:rPr>
          <w:rFonts w:ascii="Times New Roman"/>
          <w:color w:val="3F3F3F"/>
          <w:spacing w:val="-18"/>
          <w:w w:val="105"/>
          <w:sz w:val="19"/>
        </w:rPr>
        <w:t> </w:t>
      </w:r>
      <w:r>
        <w:rPr>
          <w:rFonts w:ascii="Times New Roman"/>
          <w:color w:val="3F3F3F"/>
          <w:w w:val="105"/>
          <w:sz w:val="19"/>
        </w:rPr>
        <w:t>and</w:t>
      </w:r>
      <w:r>
        <w:rPr>
          <w:rFonts w:ascii="Times New Roman"/>
          <w:color w:val="3F3F3F"/>
          <w:spacing w:val="-13"/>
          <w:w w:val="105"/>
          <w:sz w:val="19"/>
        </w:rPr>
        <w:t> </w:t>
      </w:r>
      <w:r>
        <w:rPr>
          <w:rFonts w:ascii="Times New Roman"/>
          <w:color w:val="3F3F3F"/>
          <w:w w:val="105"/>
          <w:sz w:val="19"/>
        </w:rPr>
        <w:t>unrealised</w:t>
      </w:r>
      <w:r>
        <w:rPr>
          <w:rFonts w:ascii="Times New Roman"/>
          <w:color w:val="3F3F3F"/>
          <w:spacing w:val="-10"/>
          <w:w w:val="105"/>
          <w:sz w:val="19"/>
        </w:rPr>
        <w:t> </w:t>
      </w:r>
      <w:r>
        <w:rPr>
          <w:rFonts w:ascii="Times New Roman"/>
          <w:color w:val="3F3F3F"/>
          <w:w w:val="105"/>
          <w:sz w:val="19"/>
        </w:rPr>
        <w:t>gains</w:t>
      </w:r>
      <w:r>
        <w:rPr>
          <w:rFonts w:ascii="Times New Roman"/>
          <w:color w:val="3F3F3F"/>
          <w:spacing w:val="-27"/>
          <w:w w:val="105"/>
          <w:sz w:val="19"/>
        </w:rPr>
        <w:t> </w:t>
      </w:r>
      <w:r>
        <w:rPr>
          <w:rFonts w:ascii="Times New Roman"/>
          <w:color w:val="3F3F3F"/>
          <w:w w:val="105"/>
          <w:sz w:val="19"/>
        </w:rPr>
        <w:t>and</w:t>
      </w:r>
      <w:r>
        <w:rPr>
          <w:rFonts w:ascii="Times New Roman"/>
          <w:color w:val="3F3F3F"/>
          <w:spacing w:val="-18"/>
          <w:w w:val="105"/>
          <w:sz w:val="19"/>
        </w:rPr>
        <w:t> </w:t>
      </w:r>
      <w:r>
        <w:rPr>
          <w:rFonts w:ascii="Times New Roman"/>
          <w:color w:val="3F3F3F"/>
          <w:w w:val="105"/>
          <w:sz w:val="19"/>
        </w:rPr>
        <w:t>losses</w:t>
      </w:r>
      <w:r>
        <w:rPr>
          <w:rFonts w:ascii="Times New Roman"/>
          <w:color w:val="3F3F3F"/>
          <w:spacing w:val="-24"/>
          <w:w w:val="105"/>
          <w:sz w:val="19"/>
        </w:rPr>
        <w:t> </w:t>
      </w:r>
      <w:r>
        <w:rPr>
          <w:rFonts w:ascii="Times New Roman"/>
          <w:color w:val="3F3F3F"/>
          <w:w w:val="105"/>
          <w:sz w:val="19"/>
        </w:rPr>
        <w:t>on</w:t>
      </w:r>
      <w:r>
        <w:rPr>
          <w:rFonts w:ascii="Times New Roman"/>
          <w:color w:val="3F3F3F"/>
          <w:spacing w:val="-21"/>
          <w:w w:val="105"/>
          <w:sz w:val="19"/>
        </w:rPr>
        <w:t> </w:t>
      </w:r>
      <w:r>
        <w:rPr>
          <w:rFonts w:ascii="Times New Roman"/>
          <w:color w:val="3F3F3F"/>
          <w:w w:val="105"/>
          <w:sz w:val="19"/>
        </w:rPr>
        <w:t>investments</w:t>
      </w:r>
      <w:r>
        <w:rPr>
          <w:rFonts w:ascii="Times New Roman"/>
          <w:color w:val="3F3F3F"/>
          <w:spacing w:val="-20"/>
          <w:w w:val="105"/>
          <w:sz w:val="19"/>
        </w:rPr>
        <w:t> </w:t>
      </w:r>
      <w:r>
        <w:rPr>
          <w:rFonts w:ascii="Times New Roman"/>
          <w:color w:val="3F3F3F"/>
          <w:w w:val="105"/>
          <w:sz w:val="19"/>
        </w:rPr>
        <w:t>are</w:t>
      </w:r>
      <w:r>
        <w:rPr>
          <w:rFonts w:ascii="Times New Roman"/>
          <w:color w:val="3F3F3F"/>
          <w:spacing w:val="-27"/>
          <w:w w:val="105"/>
          <w:sz w:val="19"/>
        </w:rPr>
        <w:t> </w:t>
      </w:r>
      <w:r>
        <w:rPr>
          <w:rFonts w:ascii="Times New Roman"/>
          <w:color w:val="3F3F3F"/>
          <w:w w:val="105"/>
          <w:sz w:val="19"/>
        </w:rPr>
        <w:t>dealt</w:t>
      </w:r>
      <w:r>
        <w:rPr>
          <w:rFonts w:ascii="Times New Roman"/>
          <w:color w:val="3F3F3F"/>
          <w:spacing w:val="-25"/>
          <w:w w:val="105"/>
          <w:sz w:val="19"/>
        </w:rPr>
        <w:t> </w:t>
      </w:r>
      <w:r>
        <w:rPr>
          <w:rFonts w:ascii="Times New Roman"/>
          <w:color w:val="3F3F3F"/>
          <w:w w:val="105"/>
          <w:sz w:val="19"/>
        </w:rPr>
        <w:t>with</w:t>
      </w:r>
      <w:r>
        <w:rPr>
          <w:rFonts w:ascii="Times New Roman"/>
          <w:color w:val="3F3F3F"/>
          <w:spacing w:val="-16"/>
          <w:w w:val="105"/>
          <w:sz w:val="19"/>
        </w:rPr>
        <w:t> </w:t>
      </w:r>
      <w:r>
        <w:rPr>
          <w:rFonts w:ascii="Arial"/>
          <w:color w:val="3F3F3F"/>
          <w:w w:val="105"/>
          <w:sz w:val="19"/>
        </w:rPr>
        <w:t>in</w:t>
      </w:r>
      <w:r>
        <w:rPr>
          <w:rFonts w:ascii="Arial"/>
          <w:color w:val="3F3F3F"/>
          <w:spacing w:val="-23"/>
          <w:w w:val="105"/>
          <w:sz w:val="19"/>
        </w:rPr>
        <w:t> </w:t>
      </w:r>
      <w:r>
        <w:rPr>
          <w:rFonts w:ascii="Times New Roman"/>
          <w:color w:val="3F3F3F"/>
          <w:w w:val="105"/>
          <w:sz w:val="19"/>
        </w:rPr>
        <w:t>the</w:t>
      </w:r>
      <w:r>
        <w:rPr>
          <w:rFonts w:ascii="Times New Roman"/>
          <w:color w:val="3F3F3F"/>
          <w:spacing w:val="-30"/>
          <w:w w:val="105"/>
          <w:sz w:val="19"/>
        </w:rPr>
        <w:t> </w:t>
      </w:r>
      <w:r>
        <w:rPr>
          <w:rFonts w:ascii="Times New Roman"/>
          <w:color w:val="3F3F3F"/>
          <w:w w:val="105"/>
          <w:sz w:val="19"/>
        </w:rPr>
        <w:t>Statement</w:t>
      </w:r>
      <w:r>
        <w:rPr>
          <w:rFonts w:ascii="Times New Roman"/>
          <w:color w:val="3F3F3F"/>
          <w:spacing w:val="-22"/>
          <w:w w:val="105"/>
          <w:sz w:val="19"/>
        </w:rPr>
        <w:t> </w:t>
      </w:r>
      <w:r>
        <w:rPr>
          <w:rFonts w:ascii="Times New Roman"/>
          <w:color w:val="3F3F3F"/>
          <w:w w:val="105"/>
          <w:sz w:val="19"/>
        </w:rPr>
        <w:t>of</w:t>
      </w:r>
      <w:r>
        <w:rPr>
          <w:rFonts w:ascii="Times New Roman"/>
          <w:color w:val="3F3F3F"/>
          <w:spacing w:val="-11"/>
          <w:w w:val="105"/>
          <w:sz w:val="19"/>
        </w:rPr>
        <w:t> </w:t>
      </w:r>
      <w:r>
        <w:rPr>
          <w:rFonts w:ascii="Times New Roman"/>
          <w:color w:val="3F3F3F"/>
          <w:w w:val="105"/>
          <w:sz w:val="19"/>
        </w:rPr>
        <w:t>Financial</w:t>
      </w:r>
      <w:r>
        <w:rPr>
          <w:rFonts w:ascii="Times New Roman"/>
          <w:color w:val="3F3F3F"/>
          <w:spacing w:val="-18"/>
          <w:w w:val="105"/>
          <w:sz w:val="19"/>
        </w:rPr>
        <w:t> </w:t>
      </w:r>
      <w:r>
        <w:rPr>
          <w:rFonts w:ascii="Times New Roman"/>
          <w:color w:val="3F3F3F"/>
          <w:w w:val="105"/>
          <w:sz w:val="19"/>
        </w:rPr>
        <w:t>Activities</w:t>
      </w:r>
      <w:r>
        <w:rPr>
          <w:rFonts w:ascii="Times New Roman"/>
          <w:color w:val="3F3F3F"/>
          <w:spacing w:val="-23"/>
          <w:w w:val="105"/>
          <w:sz w:val="19"/>
        </w:rPr>
        <w:t> </w:t>
      </w:r>
      <w:r>
        <w:rPr>
          <w:rFonts w:ascii="Times New Roman"/>
          <w:color w:val="3F3F3F"/>
          <w:w w:val="105"/>
          <w:sz w:val="19"/>
        </w:rPr>
        <w:t>in the</w:t>
      </w:r>
      <w:r>
        <w:rPr>
          <w:rFonts w:ascii="Times New Roman"/>
          <w:color w:val="3F3F3F"/>
          <w:spacing w:val="-28"/>
          <w:w w:val="105"/>
          <w:sz w:val="19"/>
        </w:rPr>
        <w:t> </w:t>
      </w:r>
      <w:r>
        <w:rPr>
          <w:rFonts w:ascii="Times New Roman"/>
          <w:color w:val="3F3F3F"/>
          <w:spacing w:val="-3"/>
          <w:w w:val="105"/>
          <w:sz w:val="19"/>
        </w:rPr>
        <w:t>yea</w:t>
      </w:r>
      <w:r>
        <w:rPr>
          <w:rFonts w:ascii="Times New Roman"/>
          <w:color w:val="131313"/>
          <w:spacing w:val="-3"/>
          <w:w w:val="105"/>
          <w:sz w:val="19"/>
        </w:rPr>
        <w:t>r</w:t>
      </w:r>
      <w:r>
        <w:rPr>
          <w:rFonts w:ascii="Times New Roman"/>
          <w:color w:val="131313"/>
          <w:spacing w:val="-12"/>
          <w:w w:val="105"/>
          <w:sz w:val="19"/>
        </w:rPr>
        <w:t> </w:t>
      </w:r>
      <w:r>
        <w:rPr>
          <w:rFonts w:ascii="Times New Roman"/>
          <w:color w:val="3F3F3F"/>
          <w:w w:val="105"/>
          <w:sz w:val="19"/>
        </w:rPr>
        <w:t>in</w:t>
      </w:r>
      <w:r>
        <w:rPr>
          <w:rFonts w:ascii="Times New Roman"/>
          <w:color w:val="3F3F3F"/>
          <w:spacing w:val="-26"/>
          <w:w w:val="105"/>
          <w:sz w:val="19"/>
        </w:rPr>
        <w:t> </w:t>
      </w:r>
      <w:r>
        <w:rPr>
          <w:rFonts w:ascii="Times New Roman"/>
          <w:color w:val="3F3F3F"/>
          <w:w w:val="105"/>
          <w:sz w:val="19"/>
        </w:rPr>
        <w:t>which</w:t>
      </w:r>
      <w:r>
        <w:rPr>
          <w:rFonts w:ascii="Times New Roman"/>
          <w:color w:val="3F3F3F"/>
          <w:spacing w:val="-21"/>
          <w:w w:val="105"/>
          <w:sz w:val="19"/>
        </w:rPr>
        <w:t> </w:t>
      </w:r>
      <w:r>
        <w:rPr>
          <w:rFonts w:ascii="Times New Roman"/>
          <w:color w:val="3F3F3F"/>
          <w:w w:val="105"/>
          <w:sz w:val="19"/>
        </w:rPr>
        <w:t>they</w:t>
      </w:r>
      <w:r>
        <w:rPr>
          <w:rFonts w:ascii="Times New Roman"/>
          <w:color w:val="3F3F3F"/>
          <w:spacing w:val="-11"/>
          <w:w w:val="105"/>
          <w:sz w:val="19"/>
        </w:rPr>
        <w:t> </w:t>
      </w:r>
      <w:r>
        <w:rPr>
          <w:rFonts w:ascii="Times New Roman"/>
          <w:color w:val="3F3F3F"/>
          <w:w w:val="105"/>
          <w:sz w:val="19"/>
        </w:rPr>
        <w:t>arise,</w:t>
      </w:r>
      <w:r>
        <w:rPr>
          <w:rFonts w:ascii="Times New Roman"/>
          <w:color w:val="3F3F3F"/>
          <w:spacing w:val="-21"/>
          <w:w w:val="105"/>
          <w:sz w:val="19"/>
        </w:rPr>
        <w:t> </w:t>
      </w:r>
      <w:r>
        <w:rPr>
          <w:rFonts w:ascii="Times New Roman"/>
          <w:color w:val="3F3F3F"/>
          <w:w w:val="105"/>
          <w:sz w:val="19"/>
        </w:rPr>
        <w:t>based</w:t>
      </w:r>
      <w:r>
        <w:rPr>
          <w:rFonts w:ascii="Times New Roman"/>
          <w:color w:val="3F3F3F"/>
          <w:spacing w:val="-16"/>
          <w:w w:val="105"/>
          <w:sz w:val="19"/>
        </w:rPr>
        <w:t> </w:t>
      </w:r>
      <w:r>
        <w:rPr>
          <w:rFonts w:ascii="Times New Roman"/>
          <w:color w:val="3F3F3F"/>
          <w:w w:val="105"/>
          <w:sz w:val="19"/>
        </w:rPr>
        <w:t>on</w:t>
      </w:r>
      <w:r>
        <w:rPr>
          <w:rFonts w:ascii="Times New Roman"/>
          <w:color w:val="3F3F3F"/>
          <w:spacing w:val="-16"/>
          <w:w w:val="105"/>
          <w:sz w:val="19"/>
        </w:rPr>
        <w:t> </w:t>
      </w:r>
      <w:r>
        <w:rPr>
          <w:rFonts w:ascii="Times New Roman"/>
          <w:color w:val="3F3F3F"/>
          <w:w w:val="105"/>
          <w:sz w:val="19"/>
        </w:rPr>
        <w:t>the</w:t>
      </w:r>
      <w:r>
        <w:rPr>
          <w:rFonts w:ascii="Times New Roman"/>
          <w:color w:val="3F3F3F"/>
          <w:spacing w:val="-18"/>
          <w:w w:val="105"/>
          <w:sz w:val="19"/>
        </w:rPr>
        <w:t> </w:t>
      </w:r>
      <w:r>
        <w:rPr>
          <w:rFonts w:ascii="Times New Roman"/>
          <w:color w:val="3F3F3F"/>
          <w:w w:val="105"/>
          <w:sz w:val="19"/>
        </w:rPr>
        <w:t>b</w:t>
      </w:r>
      <w:r>
        <w:rPr>
          <w:rFonts w:ascii="Times New Roman"/>
          <w:color w:val="242424"/>
          <w:w w:val="105"/>
          <w:sz w:val="19"/>
        </w:rPr>
        <w:t>r</w:t>
      </w:r>
      <w:r>
        <w:rPr>
          <w:rFonts w:ascii="Times New Roman"/>
          <w:color w:val="3F3F3F"/>
          <w:w w:val="105"/>
          <w:sz w:val="19"/>
        </w:rPr>
        <w:t>oughtforward</w:t>
      </w:r>
      <w:r>
        <w:rPr>
          <w:rFonts w:ascii="Times New Roman"/>
          <w:color w:val="3F3F3F"/>
          <w:spacing w:val="-18"/>
          <w:w w:val="105"/>
          <w:sz w:val="19"/>
        </w:rPr>
        <w:t> </w:t>
      </w:r>
      <w:r>
        <w:rPr>
          <w:rFonts w:ascii="Times New Roman"/>
          <w:color w:val="3F3F3F"/>
          <w:w w:val="105"/>
          <w:sz w:val="19"/>
        </w:rPr>
        <w:t>valuations</w:t>
      </w:r>
      <w:r>
        <w:rPr>
          <w:rFonts w:ascii="Times New Roman"/>
          <w:color w:val="3F3F3F"/>
          <w:spacing w:val="-17"/>
          <w:w w:val="105"/>
          <w:sz w:val="19"/>
        </w:rPr>
        <w:t> </w:t>
      </w:r>
      <w:r>
        <w:rPr>
          <w:rFonts w:ascii="Times New Roman"/>
          <w:color w:val="3F3F3F"/>
          <w:w w:val="105"/>
          <w:sz w:val="19"/>
        </w:rPr>
        <w:t>or</w:t>
      </w:r>
      <w:r>
        <w:rPr>
          <w:rFonts w:ascii="Times New Roman"/>
          <w:color w:val="3F3F3F"/>
          <w:spacing w:val="-14"/>
          <w:w w:val="105"/>
          <w:sz w:val="19"/>
        </w:rPr>
        <w:t> </w:t>
      </w:r>
      <w:r>
        <w:rPr>
          <w:rFonts w:ascii="Times New Roman"/>
          <w:color w:val="3F3F3F"/>
          <w:w w:val="105"/>
          <w:sz w:val="19"/>
        </w:rPr>
        <w:t>cost</w:t>
      </w:r>
      <w:r>
        <w:rPr>
          <w:rFonts w:ascii="Times New Roman"/>
          <w:color w:val="3F3F3F"/>
          <w:spacing w:val="-34"/>
          <w:w w:val="105"/>
          <w:sz w:val="19"/>
        </w:rPr>
        <w:t> </w:t>
      </w:r>
      <w:r>
        <w:rPr>
          <w:rFonts w:ascii="Times New Roman"/>
          <w:color w:val="3F3F3F"/>
          <w:w w:val="105"/>
          <w:sz w:val="19"/>
        </w:rPr>
        <w:t>of</w:t>
      </w:r>
      <w:r>
        <w:rPr>
          <w:rFonts w:ascii="Times New Roman"/>
          <w:color w:val="3F3F3F"/>
          <w:spacing w:val="-17"/>
          <w:w w:val="105"/>
          <w:sz w:val="19"/>
        </w:rPr>
        <w:t> </w:t>
      </w:r>
      <w:r>
        <w:rPr>
          <w:rFonts w:ascii="Times New Roman"/>
          <w:color w:val="3F3F3F"/>
          <w:w w:val="105"/>
          <w:sz w:val="19"/>
        </w:rPr>
        <w:t>subsequent</w:t>
      </w:r>
      <w:r>
        <w:rPr>
          <w:rFonts w:ascii="Times New Roman"/>
          <w:color w:val="3F3F3F"/>
          <w:spacing w:val="-15"/>
          <w:w w:val="105"/>
          <w:sz w:val="19"/>
        </w:rPr>
        <w:t> </w:t>
      </w:r>
      <w:r>
        <w:rPr>
          <w:rFonts w:ascii="Times New Roman"/>
          <w:color w:val="3F3F3F"/>
          <w:w w:val="105"/>
          <w:sz w:val="19"/>
        </w:rPr>
        <w:t>add</w:t>
      </w:r>
      <w:r>
        <w:rPr>
          <w:rFonts w:ascii="Times New Roman"/>
          <w:color w:val="242424"/>
          <w:w w:val="105"/>
          <w:sz w:val="19"/>
        </w:rPr>
        <w:t>i</w:t>
      </w:r>
      <w:r>
        <w:rPr>
          <w:rFonts w:ascii="Times New Roman"/>
          <w:color w:val="3F3F3F"/>
          <w:w w:val="105"/>
          <w:sz w:val="19"/>
        </w:rPr>
        <w:t>tions.</w:t>
      </w:r>
    </w:p>
    <w:p>
      <w:pPr>
        <w:pStyle w:val="ListParagraph"/>
        <w:numPr>
          <w:ilvl w:val="0"/>
          <w:numId w:val="216"/>
        </w:numPr>
        <w:tabs>
          <w:tab w:pos="1529" w:val="left" w:leader="none"/>
        </w:tabs>
        <w:spacing w:line="204" w:lineRule="exact" w:before="126" w:after="0"/>
        <w:ind w:left="1528" w:right="0" w:hanging="544"/>
        <w:jc w:val="both"/>
        <w:rPr>
          <w:rFonts w:ascii="Times New Roman"/>
          <w:b/>
          <w:color w:val="242424"/>
          <w:sz w:val="18"/>
        </w:rPr>
      </w:pPr>
      <w:r>
        <w:rPr>
          <w:rFonts w:ascii="Times New Roman"/>
          <w:b/>
          <w:color w:val="3F3F3F"/>
          <w:spacing w:val="-6"/>
          <w:w w:val="110"/>
          <w:sz w:val="18"/>
        </w:rPr>
        <w:t>R</w:t>
      </w:r>
      <w:r>
        <w:rPr>
          <w:rFonts w:ascii="Times New Roman"/>
          <w:b/>
          <w:color w:val="242424"/>
          <w:spacing w:val="-6"/>
          <w:w w:val="110"/>
          <w:sz w:val="18"/>
        </w:rPr>
        <w:t>esou</w:t>
      </w:r>
      <w:r>
        <w:rPr>
          <w:rFonts w:ascii="Times New Roman"/>
          <w:b/>
          <w:color w:val="3F3F3F"/>
          <w:spacing w:val="-6"/>
          <w:w w:val="110"/>
          <w:sz w:val="18"/>
        </w:rPr>
        <w:t>r</w:t>
      </w:r>
      <w:r>
        <w:rPr>
          <w:rFonts w:ascii="Times New Roman"/>
          <w:b/>
          <w:color w:val="242424"/>
          <w:spacing w:val="-6"/>
          <w:w w:val="110"/>
          <w:sz w:val="18"/>
        </w:rPr>
        <w:t>ce</w:t>
      </w:r>
      <w:r>
        <w:rPr>
          <w:rFonts w:ascii="Times New Roman"/>
          <w:b/>
          <w:color w:val="3F3F3F"/>
          <w:spacing w:val="-6"/>
          <w:w w:val="110"/>
          <w:sz w:val="18"/>
        </w:rPr>
        <w:t>s</w:t>
      </w:r>
      <w:r>
        <w:rPr>
          <w:rFonts w:ascii="Times New Roman"/>
          <w:b/>
          <w:color w:val="3F3F3F"/>
          <w:spacing w:val="-12"/>
          <w:w w:val="110"/>
          <w:sz w:val="18"/>
        </w:rPr>
        <w:t> </w:t>
      </w:r>
      <w:r>
        <w:rPr>
          <w:rFonts w:ascii="Times New Roman"/>
          <w:b/>
          <w:color w:val="242424"/>
          <w:w w:val="110"/>
          <w:sz w:val="18"/>
        </w:rPr>
        <w:t>expended</w:t>
      </w:r>
    </w:p>
    <w:p>
      <w:pPr>
        <w:spacing w:line="244" w:lineRule="auto" w:before="0"/>
        <w:ind w:left="985" w:right="748" w:firstLine="12"/>
        <w:jc w:val="both"/>
        <w:rPr>
          <w:rFonts w:ascii="Times New Roman"/>
          <w:sz w:val="19"/>
        </w:rPr>
      </w:pPr>
      <w:r>
        <w:rPr>
          <w:rFonts w:ascii="Times New Roman"/>
          <w:color w:val="3F3F3F"/>
          <w:spacing w:val="-5"/>
          <w:sz w:val="19"/>
        </w:rPr>
        <w:t>Expend</w:t>
      </w:r>
      <w:r>
        <w:rPr>
          <w:rFonts w:ascii="Times New Roman"/>
          <w:color w:val="242424"/>
          <w:spacing w:val="-5"/>
          <w:sz w:val="19"/>
        </w:rPr>
        <w:t>i</w:t>
      </w:r>
      <w:r>
        <w:rPr>
          <w:rFonts w:ascii="Times New Roman"/>
          <w:color w:val="3F3F3F"/>
          <w:spacing w:val="-5"/>
          <w:sz w:val="19"/>
        </w:rPr>
        <w:t>ture </w:t>
      </w:r>
      <w:r>
        <w:rPr>
          <w:rFonts w:ascii="Times New Roman"/>
          <w:color w:val="3F3F3F"/>
          <w:sz w:val="19"/>
        </w:rPr>
        <w:t>is accounted fo</w:t>
      </w:r>
      <w:r>
        <w:rPr>
          <w:rFonts w:ascii="Times New Roman"/>
          <w:color w:val="242424"/>
          <w:sz w:val="19"/>
        </w:rPr>
        <w:t>r </w:t>
      </w:r>
      <w:r>
        <w:rPr>
          <w:rFonts w:ascii="Times New Roman"/>
          <w:color w:val="3F3F3F"/>
          <w:sz w:val="19"/>
        </w:rPr>
        <w:t>on an </w:t>
      </w:r>
      <w:r>
        <w:rPr>
          <w:rFonts w:ascii="Times New Roman"/>
          <w:color w:val="3F3F3F"/>
          <w:spacing w:val="-4"/>
          <w:sz w:val="19"/>
        </w:rPr>
        <w:t>accrua</w:t>
      </w:r>
      <w:r>
        <w:rPr>
          <w:rFonts w:ascii="Times New Roman"/>
          <w:color w:val="242424"/>
          <w:spacing w:val="-4"/>
          <w:sz w:val="19"/>
        </w:rPr>
        <w:t>l</w:t>
      </w:r>
      <w:r>
        <w:rPr>
          <w:rFonts w:ascii="Times New Roman"/>
          <w:color w:val="545454"/>
          <w:spacing w:val="-4"/>
          <w:sz w:val="19"/>
        </w:rPr>
        <w:t>s </w:t>
      </w:r>
      <w:r>
        <w:rPr>
          <w:rFonts w:ascii="Times New Roman"/>
          <w:color w:val="3F3F3F"/>
          <w:sz w:val="19"/>
        </w:rPr>
        <w:t>bas </w:t>
      </w:r>
      <w:r>
        <w:rPr>
          <w:rFonts w:ascii="Times New Roman"/>
          <w:color w:val="131313"/>
          <w:sz w:val="19"/>
        </w:rPr>
        <w:t>i</w:t>
      </w:r>
      <w:r>
        <w:rPr>
          <w:rFonts w:ascii="Times New Roman"/>
          <w:color w:val="3F3F3F"/>
          <w:sz w:val="19"/>
        </w:rPr>
        <w:t>s a </w:t>
      </w:r>
      <w:r>
        <w:rPr>
          <w:rFonts w:ascii="Times New Roman"/>
          <w:color w:val="242424"/>
          <w:spacing w:val="-3"/>
          <w:sz w:val="19"/>
        </w:rPr>
        <w:t>n</w:t>
      </w:r>
      <w:r>
        <w:rPr>
          <w:rFonts w:ascii="Times New Roman"/>
          <w:color w:val="3F3F3F"/>
          <w:spacing w:val="-3"/>
          <w:sz w:val="19"/>
        </w:rPr>
        <w:t>d </w:t>
      </w:r>
      <w:r>
        <w:rPr>
          <w:rFonts w:ascii="Times New Roman"/>
          <w:color w:val="3F3F3F"/>
          <w:sz w:val="19"/>
        </w:rPr>
        <w:t>allocate</w:t>
      </w:r>
      <w:r>
        <w:rPr>
          <w:rFonts w:ascii="Times New Roman"/>
          <w:color w:val="242424"/>
          <w:sz w:val="19"/>
        </w:rPr>
        <w:t>d </w:t>
      </w:r>
      <w:r>
        <w:rPr>
          <w:rFonts w:ascii="Times New Roman"/>
          <w:color w:val="3F3F3F"/>
          <w:sz w:val="19"/>
        </w:rPr>
        <w:t>to </w:t>
      </w:r>
      <w:r>
        <w:rPr>
          <w:rFonts w:ascii="Times New Roman"/>
          <w:color w:val="242424"/>
          <w:sz w:val="19"/>
        </w:rPr>
        <w:t>t</w:t>
      </w:r>
      <w:r>
        <w:rPr>
          <w:rFonts w:ascii="Times New Roman"/>
          <w:color w:val="3F3F3F"/>
          <w:sz w:val="19"/>
        </w:rPr>
        <w:t>he appropriate </w:t>
      </w:r>
      <w:r>
        <w:rPr>
          <w:rFonts w:ascii="Times New Roman"/>
          <w:color w:val="242424"/>
          <w:spacing w:val="-4"/>
          <w:sz w:val="19"/>
        </w:rPr>
        <w:t>h</w:t>
      </w:r>
      <w:r>
        <w:rPr>
          <w:rFonts w:ascii="Times New Roman"/>
          <w:color w:val="3F3F3F"/>
          <w:spacing w:val="-4"/>
          <w:sz w:val="19"/>
        </w:rPr>
        <w:t>eading </w:t>
      </w:r>
      <w:r>
        <w:rPr>
          <w:rFonts w:ascii="Arial"/>
          <w:color w:val="3F3F3F"/>
          <w:sz w:val="19"/>
        </w:rPr>
        <w:t>in </w:t>
      </w:r>
      <w:r>
        <w:rPr>
          <w:rFonts w:ascii="Times New Roman"/>
          <w:color w:val="3F3F3F"/>
          <w:sz w:val="19"/>
        </w:rPr>
        <w:t>the accounts. Any </w:t>
      </w:r>
      <w:r>
        <w:rPr>
          <w:rFonts w:ascii="Times New Roman"/>
          <w:color w:val="242424"/>
          <w:sz w:val="19"/>
        </w:rPr>
        <w:t>i</w:t>
      </w:r>
      <w:r>
        <w:rPr>
          <w:rFonts w:ascii="Times New Roman"/>
          <w:color w:val="3F3F3F"/>
          <w:sz w:val="19"/>
        </w:rPr>
        <w:t>rrecoverable VAT is </w:t>
      </w:r>
      <w:r>
        <w:rPr>
          <w:rFonts w:ascii="Times New Roman"/>
          <w:color w:val="3F3F3F"/>
          <w:spacing w:val="-4"/>
          <w:sz w:val="19"/>
        </w:rPr>
        <w:t>inc</w:t>
      </w:r>
      <w:r>
        <w:rPr>
          <w:rFonts w:ascii="Times New Roman"/>
          <w:color w:val="242424"/>
          <w:spacing w:val="-4"/>
          <w:sz w:val="19"/>
        </w:rPr>
        <w:t>l</w:t>
      </w:r>
      <w:r>
        <w:rPr>
          <w:rFonts w:ascii="Times New Roman"/>
          <w:color w:val="3F3F3F"/>
          <w:spacing w:val="-4"/>
          <w:sz w:val="19"/>
        </w:rPr>
        <w:t>uded </w:t>
      </w:r>
      <w:r>
        <w:rPr>
          <w:rFonts w:ascii="Times New Roman"/>
          <w:color w:val="3F3F3F"/>
          <w:sz w:val="19"/>
        </w:rPr>
        <w:t>with the costs to which </w:t>
      </w:r>
      <w:r>
        <w:rPr>
          <w:rFonts w:ascii="Times New Roman"/>
          <w:color w:val="242424"/>
          <w:sz w:val="19"/>
        </w:rPr>
        <w:t>i</w:t>
      </w:r>
      <w:r>
        <w:rPr>
          <w:rFonts w:ascii="Times New Roman"/>
          <w:color w:val="3F3F3F"/>
          <w:sz w:val="19"/>
        </w:rPr>
        <w:t>t re</w:t>
      </w:r>
      <w:r>
        <w:rPr>
          <w:rFonts w:ascii="Times New Roman"/>
          <w:color w:val="242424"/>
          <w:sz w:val="19"/>
        </w:rPr>
        <w:t>l</w:t>
      </w:r>
      <w:r>
        <w:rPr>
          <w:rFonts w:ascii="Times New Roman"/>
          <w:color w:val="3F3F3F"/>
          <w:sz w:val="19"/>
        </w:rPr>
        <w:t>ates. The support costs included in note 8 relate to the </w:t>
      </w:r>
      <w:r>
        <w:rPr>
          <w:rFonts w:ascii="Times New Roman"/>
          <w:color w:val="3F3F3F"/>
          <w:spacing w:val="-7"/>
          <w:sz w:val="19"/>
        </w:rPr>
        <w:t>who</w:t>
      </w:r>
      <w:r>
        <w:rPr>
          <w:rFonts w:ascii="Times New Roman"/>
          <w:color w:val="242424"/>
          <w:spacing w:val="-7"/>
          <w:sz w:val="19"/>
        </w:rPr>
        <w:t>l</w:t>
      </w:r>
      <w:r>
        <w:rPr>
          <w:rFonts w:ascii="Times New Roman"/>
          <w:color w:val="3F3F3F"/>
          <w:spacing w:val="-7"/>
          <w:sz w:val="19"/>
        </w:rPr>
        <w:t>e </w:t>
      </w:r>
      <w:r>
        <w:rPr>
          <w:rFonts w:ascii="Times New Roman"/>
          <w:color w:val="3F3F3F"/>
          <w:sz w:val="19"/>
        </w:rPr>
        <w:t>of the </w:t>
      </w:r>
      <w:r>
        <w:rPr>
          <w:rFonts w:ascii="Times New Roman"/>
          <w:color w:val="3F3F3F"/>
          <w:spacing w:val="-6"/>
          <w:sz w:val="19"/>
        </w:rPr>
        <w:t>Church</w:t>
      </w:r>
      <w:r>
        <w:rPr>
          <w:rFonts w:ascii="Times New Roman"/>
          <w:color w:val="6B6B6B"/>
          <w:spacing w:val="-6"/>
          <w:sz w:val="19"/>
        </w:rPr>
        <w:t>' </w:t>
      </w:r>
      <w:r>
        <w:rPr>
          <w:rFonts w:ascii="Times New Roman"/>
          <w:color w:val="3F3F3F"/>
          <w:sz w:val="19"/>
        </w:rPr>
        <w:t>s activities and a proportion of these costs is </w:t>
      </w:r>
      <w:r>
        <w:rPr>
          <w:rFonts w:ascii="Times New Roman"/>
          <w:color w:val="3F3F3F"/>
          <w:spacing w:val="-3"/>
          <w:sz w:val="19"/>
        </w:rPr>
        <w:t>alloca</w:t>
      </w:r>
      <w:r>
        <w:rPr>
          <w:rFonts w:ascii="Times New Roman"/>
          <w:color w:val="242424"/>
          <w:spacing w:val="-3"/>
          <w:sz w:val="19"/>
        </w:rPr>
        <w:t>t</w:t>
      </w:r>
      <w:r>
        <w:rPr>
          <w:rFonts w:ascii="Times New Roman"/>
          <w:color w:val="3F3F3F"/>
          <w:spacing w:val="-3"/>
          <w:sz w:val="19"/>
        </w:rPr>
        <w:t>ed </w:t>
      </w:r>
      <w:r>
        <w:rPr>
          <w:rFonts w:ascii="Times New Roman"/>
          <w:color w:val="3F3F3F"/>
          <w:sz w:val="19"/>
        </w:rPr>
        <w:t>to expenditure </w:t>
      </w:r>
      <w:r>
        <w:rPr>
          <w:rFonts w:ascii="Times New Roman"/>
          <w:color w:val="3F3F3F"/>
          <w:spacing w:val="-4"/>
          <w:sz w:val="19"/>
        </w:rPr>
        <w:t>head</w:t>
      </w:r>
      <w:r>
        <w:rPr>
          <w:rFonts w:ascii="Times New Roman"/>
          <w:color w:val="242424"/>
          <w:spacing w:val="-4"/>
          <w:sz w:val="19"/>
        </w:rPr>
        <w:t>i</w:t>
      </w:r>
      <w:r>
        <w:rPr>
          <w:rFonts w:ascii="Times New Roman"/>
          <w:color w:val="3F3F3F"/>
          <w:spacing w:val="-4"/>
          <w:sz w:val="19"/>
        </w:rPr>
        <w:t>ngs </w:t>
      </w:r>
      <w:r>
        <w:rPr>
          <w:rFonts w:ascii="Times New Roman"/>
          <w:color w:val="3F3F3F"/>
          <w:sz w:val="19"/>
        </w:rPr>
        <w:t>on a basis that is consistent with the use of the </w:t>
      </w:r>
      <w:r>
        <w:rPr>
          <w:rFonts w:ascii="Times New Roman"/>
          <w:color w:val="3F3F3F"/>
          <w:spacing w:val="-5"/>
          <w:sz w:val="19"/>
        </w:rPr>
        <w:t>resources</w:t>
      </w:r>
      <w:r>
        <w:rPr>
          <w:rFonts w:ascii="Times New Roman"/>
          <w:color w:val="242424"/>
          <w:spacing w:val="-5"/>
          <w:sz w:val="19"/>
        </w:rPr>
        <w:t>. </w:t>
      </w:r>
      <w:r>
        <w:rPr>
          <w:rFonts w:ascii="Times New Roman"/>
          <w:color w:val="3F3F3F"/>
          <w:sz w:val="19"/>
        </w:rPr>
        <w:t>Reference should be made to note 8 for further information on the allocation of support</w:t>
      </w:r>
      <w:r>
        <w:rPr>
          <w:rFonts w:ascii="Times New Roman"/>
          <w:color w:val="3F3F3F"/>
          <w:spacing w:val="-36"/>
          <w:sz w:val="19"/>
        </w:rPr>
        <w:t> </w:t>
      </w:r>
      <w:r>
        <w:rPr>
          <w:rFonts w:ascii="Times New Roman"/>
          <w:color w:val="3F3F3F"/>
          <w:spacing w:val="-3"/>
          <w:sz w:val="19"/>
        </w:rPr>
        <w:t>costs</w:t>
      </w:r>
      <w:r>
        <w:rPr>
          <w:rFonts w:ascii="Times New Roman"/>
          <w:color w:val="242424"/>
          <w:spacing w:val="-3"/>
          <w:sz w:val="19"/>
        </w:rPr>
        <w:t>.</w:t>
      </w:r>
    </w:p>
    <w:p>
      <w:pPr>
        <w:pStyle w:val="ListParagraph"/>
        <w:numPr>
          <w:ilvl w:val="0"/>
          <w:numId w:val="216"/>
        </w:numPr>
        <w:tabs>
          <w:tab w:pos="1499" w:val="left" w:leader="none"/>
        </w:tabs>
        <w:spacing w:line="205" w:lineRule="exact" w:before="124" w:after="0"/>
        <w:ind w:left="1498" w:right="0" w:hanging="514"/>
        <w:jc w:val="both"/>
        <w:rPr>
          <w:rFonts w:ascii="Times New Roman"/>
          <w:b/>
          <w:color w:val="242424"/>
          <w:sz w:val="18"/>
        </w:rPr>
      </w:pPr>
      <w:r>
        <w:rPr>
          <w:rFonts w:ascii="Times New Roman"/>
          <w:b/>
          <w:color w:val="242424"/>
          <w:w w:val="105"/>
          <w:sz w:val="18"/>
        </w:rPr>
        <w:t>Pen</w:t>
      </w:r>
      <w:r>
        <w:rPr>
          <w:rFonts w:ascii="Times New Roman"/>
          <w:b/>
          <w:color w:val="3F3F3F"/>
          <w:w w:val="105"/>
          <w:sz w:val="18"/>
        </w:rPr>
        <w:t>si</w:t>
      </w:r>
      <w:r>
        <w:rPr>
          <w:rFonts w:ascii="Times New Roman"/>
          <w:b/>
          <w:color w:val="242424"/>
          <w:w w:val="105"/>
          <w:sz w:val="18"/>
        </w:rPr>
        <w:t>on</w:t>
      </w:r>
      <w:r>
        <w:rPr>
          <w:rFonts w:ascii="Times New Roman"/>
          <w:b/>
          <w:color w:val="3F3F3F"/>
          <w:w w:val="105"/>
          <w:sz w:val="18"/>
        </w:rPr>
        <w:t>s</w:t>
      </w:r>
    </w:p>
    <w:p>
      <w:pPr>
        <w:spacing w:line="242" w:lineRule="auto" w:before="0"/>
        <w:ind w:left="985" w:right="761" w:hanging="9"/>
        <w:jc w:val="both"/>
        <w:rPr>
          <w:rFonts w:ascii="Times New Roman"/>
          <w:sz w:val="19"/>
        </w:rPr>
      </w:pPr>
      <w:r>
        <w:rPr>
          <w:rFonts w:ascii="Times New Roman"/>
          <w:color w:val="3F3F3F"/>
          <w:sz w:val="19"/>
        </w:rPr>
        <w:t>The Church operates a funded defined benefit pension scheme for ministers and CRCWs receiving a stipend, known as The United Reformed Church Ministers' Pension Fund</w:t>
      </w:r>
      <w:r>
        <w:rPr>
          <w:rFonts w:ascii="Times New Roman"/>
          <w:color w:val="242424"/>
          <w:sz w:val="19"/>
        </w:rPr>
        <w:t>. </w:t>
      </w:r>
      <w:r>
        <w:rPr>
          <w:rFonts w:ascii="Times New Roman"/>
          <w:color w:val="3F3F3F"/>
          <w:sz w:val="19"/>
        </w:rPr>
        <w:t>The assets of th</w:t>
      </w:r>
      <w:r>
        <w:rPr>
          <w:rFonts w:ascii="Times New Roman"/>
          <w:color w:val="242424"/>
          <w:sz w:val="19"/>
        </w:rPr>
        <w:t>e </w:t>
      </w:r>
      <w:r>
        <w:rPr>
          <w:rFonts w:ascii="Times New Roman"/>
          <w:color w:val="3F3F3F"/>
          <w:sz w:val="19"/>
        </w:rPr>
        <w:t>scheme are managed </w:t>
      </w:r>
      <w:r>
        <w:rPr>
          <w:rFonts w:ascii="Times New Roman"/>
          <w:color w:val="242424"/>
          <w:sz w:val="19"/>
        </w:rPr>
        <w:t>i</w:t>
      </w:r>
      <w:r>
        <w:rPr>
          <w:rFonts w:ascii="Times New Roman"/>
          <w:color w:val="3F3F3F"/>
          <w:sz w:val="19"/>
        </w:rPr>
        <w:t>ndependently of the Church. Pension cos</w:t>
      </w:r>
      <w:r>
        <w:rPr>
          <w:rFonts w:ascii="Times New Roman"/>
          <w:color w:val="242424"/>
          <w:sz w:val="19"/>
        </w:rPr>
        <w:t>t</w:t>
      </w:r>
      <w:r>
        <w:rPr>
          <w:rFonts w:ascii="Times New Roman"/>
          <w:color w:val="3F3F3F"/>
          <w:sz w:val="19"/>
        </w:rPr>
        <w:t>s are assessed </w:t>
      </w:r>
      <w:r>
        <w:rPr>
          <w:rFonts w:ascii="Times New Roman"/>
          <w:color w:val="242424"/>
          <w:sz w:val="19"/>
        </w:rPr>
        <w:t>i</w:t>
      </w:r>
      <w:r>
        <w:rPr>
          <w:rFonts w:ascii="Times New Roman"/>
          <w:color w:val="3F3F3F"/>
          <w:sz w:val="19"/>
        </w:rPr>
        <w:t>n accordance with </w:t>
      </w:r>
      <w:r>
        <w:rPr>
          <w:rFonts w:ascii="Times New Roman"/>
          <w:color w:val="545454"/>
          <w:sz w:val="19"/>
        </w:rPr>
        <w:t>the </w:t>
      </w:r>
      <w:r>
        <w:rPr>
          <w:rFonts w:ascii="Times New Roman"/>
          <w:color w:val="3F3F3F"/>
          <w:sz w:val="19"/>
        </w:rPr>
        <w:t>adv</w:t>
      </w:r>
      <w:r>
        <w:rPr>
          <w:rFonts w:ascii="Times New Roman"/>
          <w:color w:val="242424"/>
          <w:sz w:val="19"/>
        </w:rPr>
        <w:t>i</w:t>
      </w:r>
      <w:r>
        <w:rPr>
          <w:rFonts w:ascii="Times New Roman"/>
          <w:color w:val="3F3F3F"/>
          <w:sz w:val="19"/>
        </w:rPr>
        <w:t>ce of an independen</w:t>
      </w:r>
      <w:r>
        <w:rPr>
          <w:rFonts w:ascii="Times New Roman"/>
          <w:color w:val="242424"/>
          <w:sz w:val="19"/>
        </w:rPr>
        <w:t>t </w:t>
      </w:r>
      <w:r>
        <w:rPr>
          <w:rFonts w:ascii="Times New Roman"/>
          <w:color w:val="3F3F3F"/>
          <w:sz w:val="19"/>
        </w:rPr>
        <w:t>qualified actuary</w:t>
      </w:r>
      <w:r>
        <w:rPr>
          <w:rFonts w:ascii="Times New Roman"/>
          <w:color w:val="242424"/>
          <w:sz w:val="19"/>
        </w:rPr>
        <w:t>.</w:t>
      </w:r>
    </w:p>
    <w:p>
      <w:pPr>
        <w:pStyle w:val="BodyText"/>
        <w:spacing w:before="9"/>
        <w:rPr>
          <w:rFonts w:ascii="Times New Roman"/>
          <w:sz w:val="15"/>
        </w:rPr>
      </w:pPr>
      <w:r>
        <w:rPr/>
        <w:pict>
          <v:shape style="position:absolute;margin-left:73.668541pt;margin-top:11.319511pt;width:427.1pt;height:.1pt;mso-position-horizontal-relative:page;mso-position-vertical-relative:paragraph;z-index:-251187200;mso-wrap-distance-left:0;mso-wrap-distance-right:0" coordorigin="1473,226" coordsize="8542,0" path="m1473,226l10015,226e" filled="false" stroked="true" strokeweight=".481115pt" strokecolor="#000000">
            <v:path arrowok="t"/>
            <v:stroke dashstyle="solid"/>
            <w10:wrap type="topAndBottom"/>
          </v:shape>
        </w:pict>
      </w:r>
    </w:p>
    <w:p>
      <w:pPr>
        <w:spacing w:line="221" w:lineRule="exact" w:before="0"/>
        <w:ind w:left="1408" w:right="1205" w:firstLine="0"/>
        <w:jc w:val="center"/>
        <w:rPr>
          <w:rFonts w:ascii="Times New Roman"/>
          <w:i/>
          <w:sz w:val="20"/>
        </w:rPr>
      </w:pPr>
      <w:r>
        <w:rPr>
          <w:rFonts w:ascii="Times New Roman"/>
          <w:i/>
          <w:color w:val="3F3F3F"/>
          <w:w w:val="105"/>
          <w:sz w:val="20"/>
        </w:rPr>
        <w:t>This </w:t>
      </w:r>
      <w:r>
        <w:rPr>
          <w:rFonts w:ascii="Times New Roman"/>
          <w:i/>
          <w:color w:val="3F3F3F"/>
          <w:w w:val="105"/>
          <w:sz w:val="20"/>
          <w:u w:val="thick" w:color="3F3F3F"/>
        </w:rPr>
        <w:t>page</w:t>
      </w:r>
      <w:r>
        <w:rPr>
          <w:rFonts w:ascii="Times New Roman"/>
          <w:i/>
          <w:color w:val="3F3F3F"/>
          <w:w w:val="105"/>
          <w:sz w:val="20"/>
        </w:rPr>
        <w:t> and the next contain </w:t>
      </w:r>
      <w:r>
        <w:rPr>
          <w:rFonts w:ascii="Times New Roman"/>
          <w:i/>
          <w:color w:val="3F3F3F"/>
          <w:w w:val="105"/>
          <w:sz w:val="20"/>
          <w:u w:val="thick" w:color="3F3F3F"/>
        </w:rPr>
        <w:t>information</w:t>
      </w:r>
      <w:r>
        <w:rPr>
          <w:rFonts w:ascii="Times New Roman"/>
          <w:i/>
          <w:color w:val="3F3F3F"/>
          <w:w w:val="105"/>
          <w:sz w:val="20"/>
        </w:rPr>
        <w:t> about the </w:t>
      </w:r>
      <w:r>
        <w:rPr>
          <w:rFonts w:ascii="Times New Roman"/>
          <w:i/>
          <w:color w:val="3F3F3F"/>
          <w:w w:val="105"/>
          <w:sz w:val="20"/>
          <w:u w:val="thick" w:color="3F3F3F"/>
        </w:rPr>
        <w:t>way</w:t>
      </w:r>
      <w:r>
        <w:rPr>
          <w:rFonts w:ascii="Times New Roman"/>
          <w:i/>
          <w:color w:val="3F3F3F"/>
          <w:w w:val="105"/>
          <w:sz w:val="20"/>
        </w:rPr>
        <w:t> the accounts have been </w:t>
      </w:r>
      <w:r>
        <w:rPr>
          <w:rFonts w:ascii="Times New Roman"/>
          <w:i/>
          <w:color w:val="3F3F3F"/>
          <w:w w:val="105"/>
          <w:sz w:val="20"/>
          <w:u w:val="thick" w:color="3F3F3F"/>
        </w:rPr>
        <w:t>prepared.</w:t>
      </w:r>
    </w:p>
    <w:p>
      <w:pPr>
        <w:spacing w:after="0" w:line="221" w:lineRule="exact"/>
        <w:jc w:val="center"/>
        <w:rPr>
          <w:rFonts w:ascii="Times New Roman"/>
          <w:sz w:val="20"/>
        </w:rPr>
        <w:sectPr>
          <w:headerReference w:type="even" r:id="rId509"/>
          <w:headerReference w:type="default" r:id="rId510"/>
          <w:footerReference w:type="even" r:id="rId511"/>
          <w:pgSz w:w="10950" w:h="15880"/>
          <w:pgMar w:header="266" w:footer="0" w:top="520" w:bottom="280" w:left="500" w:right="0"/>
          <w:pgNumType w:start="14"/>
        </w:sectPr>
      </w:pPr>
    </w:p>
    <w:p>
      <w:pPr>
        <w:pStyle w:val="BodyText"/>
        <w:spacing w:before="10"/>
        <w:rPr>
          <w:rFonts w:ascii="Times New Roman"/>
          <w:i/>
          <w:sz w:val="24"/>
        </w:rPr>
      </w:pPr>
    </w:p>
    <w:p>
      <w:pPr>
        <w:spacing w:before="1"/>
        <w:ind w:left="999" w:right="0" w:firstLine="0"/>
        <w:jc w:val="left"/>
        <w:rPr>
          <w:rFonts w:ascii="Times New Roman"/>
          <w:b/>
          <w:sz w:val="18"/>
        </w:rPr>
      </w:pPr>
      <w:r>
        <w:rPr>
          <w:rFonts w:ascii="Times New Roman"/>
          <w:b/>
          <w:color w:val="414141"/>
          <w:w w:val="105"/>
          <w:sz w:val="18"/>
        </w:rPr>
        <w:t>N</w:t>
      </w:r>
      <w:r>
        <w:rPr>
          <w:rFonts w:ascii="Times New Roman"/>
          <w:b/>
          <w:color w:val="1C1C1C"/>
          <w:w w:val="105"/>
          <w:sz w:val="18"/>
        </w:rPr>
        <w:t>OTE 1 (con</w:t>
      </w:r>
      <w:r>
        <w:rPr>
          <w:rFonts w:ascii="Times New Roman"/>
          <w:b/>
          <w:color w:val="414141"/>
          <w:w w:val="105"/>
          <w:sz w:val="18"/>
        </w:rPr>
        <w:t>t</w:t>
      </w:r>
      <w:r>
        <w:rPr>
          <w:rFonts w:ascii="Times New Roman"/>
          <w:b/>
          <w:color w:val="1C1C1C"/>
          <w:w w:val="105"/>
          <w:sz w:val="18"/>
        </w:rPr>
        <w:t>inued)</w:t>
      </w:r>
    </w:p>
    <w:p>
      <w:pPr>
        <w:spacing w:before="28"/>
        <w:ind w:left="331" w:right="0" w:firstLine="0"/>
        <w:jc w:val="left"/>
        <w:rPr>
          <w:rFonts w:ascii="Times New Roman"/>
          <w:b/>
          <w:sz w:val="22"/>
        </w:rPr>
      </w:pPr>
      <w:r>
        <w:rPr/>
        <w:br w:type="column"/>
      </w:r>
      <w:r>
        <w:rPr>
          <w:rFonts w:ascii="Times New Roman"/>
          <w:b/>
          <w:color w:val="1C1C1C"/>
          <w:w w:val="105"/>
          <w:sz w:val="22"/>
        </w:rPr>
        <w:t>NOTES TO THE ACCOUNTS CONTINUED</w:t>
      </w:r>
    </w:p>
    <w:p>
      <w:pPr>
        <w:spacing w:after="0"/>
        <w:jc w:val="left"/>
        <w:rPr>
          <w:rFonts w:ascii="Times New Roman"/>
          <w:sz w:val="22"/>
        </w:rPr>
        <w:sectPr>
          <w:headerReference w:type="default" r:id="rId512"/>
          <w:headerReference w:type="even" r:id="rId513"/>
          <w:footerReference w:type="default" r:id="rId514"/>
          <w:pgSz w:w="10950" w:h="15880"/>
          <w:pgMar w:header="294" w:footer="0" w:top="520" w:bottom="280" w:left="500" w:right="0"/>
          <w:pgNumType w:start="15"/>
          <w:cols w:num="2" w:equalWidth="0">
            <w:col w:w="2651" w:space="40"/>
            <w:col w:w="7759"/>
          </w:cols>
        </w:sectPr>
      </w:pPr>
    </w:p>
    <w:p>
      <w:pPr>
        <w:pStyle w:val="ListParagraph"/>
        <w:numPr>
          <w:ilvl w:val="0"/>
          <w:numId w:val="217"/>
        </w:numPr>
        <w:tabs>
          <w:tab w:pos="1509" w:val="left" w:leader="none"/>
        </w:tabs>
        <w:spacing w:line="240" w:lineRule="auto" w:before="14" w:after="0"/>
        <w:ind w:left="1508" w:right="0" w:hanging="514"/>
        <w:jc w:val="both"/>
        <w:rPr>
          <w:rFonts w:ascii="Times New Roman"/>
          <w:b/>
          <w:color w:val="2F2F2F"/>
          <w:sz w:val="18"/>
        </w:rPr>
      </w:pPr>
      <w:r>
        <w:rPr>
          <w:rFonts w:ascii="Times New Roman"/>
          <w:b/>
          <w:color w:val="1C1C1C"/>
          <w:spacing w:val="-3"/>
          <w:w w:val="105"/>
          <w:sz w:val="18"/>
        </w:rPr>
        <w:t>Pen</w:t>
      </w:r>
      <w:r>
        <w:rPr>
          <w:rFonts w:ascii="Times New Roman"/>
          <w:b/>
          <w:color w:val="414141"/>
          <w:spacing w:val="-3"/>
          <w:w w:val="105"/>
          <w:sz w:val="18"/>
        </w:rPr>
        <w:t>s</w:t>
      </w:r>
      <w:r>
        <w:rPr>
          <w:rFonts w:ascii="Times New Roman"/>
          <w:b/>
          <w:color w:val="1C1C1C"/>
          <w:spacing w:val="-3"/>
          <w:w w:val="105"/>
          <w:sz w:val="18"/>
        </w:rPr>
        <w:t>ions</w:t>
      </w:r>
      <w:r>
        <w:rPr>
          <w:rFonts w:ascii="Times New Roman"/>
          <w:b/>
          <w:color w:val="1C1C1C"/>
          <w:spacing w:val="-25"/>
          <w:w w:val="105"/>
          <w:sz w:val="18"/>
        </w:rPr>
        <w:t> </w:t>
      </w:r>
      <w:r>
        <w:rPr>
          <w:rFonts w:ascii="Times New Roman"/>
          <w:b/>
          <w:color w:val="1C1C1C"/>
          <w:w w:val="105"/>
          <w:sz w:val="18"/>
        </w:rPr>
        <w:t>(continued)</w:t>
      </w:r>
    </w:p>
    <w:p>
      <w:pPr>
        <w:pStyle w:val="BodyText"/>
        <w:spacing w:line="256" w:lineRule="auto" w:before="14"/>
        <w:ind w:left="995" w:right="769" w:hanging="7"/>
        <w:jc w:val="both"/>
        <w:rPr>
          <w:rFonts w:ascii="Times New Roman"/>
        </w:rPr>
      </w:pPr>
      <w:r>
        <w:rPr>
          <w:rFonts w:ascii="Times New Roman"/>
          <w:color w:val="5B5B5B"/>
          <w:w w:val="105"/>
        </w:rPr>
        <w:t>F</w:t>
      </w:r>
      <w:r>
        <w:rPr>
          <w:rFonts w:ascii="Times New Roman"/>
          <w:color w:val="414141"/>
          <w:w w:val="105"/>
        </w:rPr>
        <w:t>ollowing adoption of FRSl7 - Retirement benefits, the amounts charged to expenditure are the current service costs; which are included under Ministry costs. The interest cost and the expected return on assets are shown as a net charge or credit within </w:t>
      </w:r>
      <w:r>
        <w:rPr>
          <w:rFonts w:ascii="Times New Roman"/>
          <w:color w:val="2F2F2F"/>
          <w:w w:val="105"/>
        </w:rPr>
        <w:t>Ministry </w:t>
      </w:r>
      <w:r>
        <w:rPr>
          <w:rFonts w:ascii="Times New Roman"/>
          <w:color w:val="414141"/>
          <w:w w:val="105"/>
        </w:rPr>
        <w:t>costs. Actuarial gains and losses are recognised immediately and disclosed </w:t>
      </w:r>
      <w:r>
        <w:rPr>
          <w:rFonts w:ascii="Times New Roman"/>
          <w:color w:val="2F2F2F"/>
          <w:w w:val="105"/>
        </w:rPr>
        <w:t>in </w:t>
      </w:r>
      <w:r>
        <w:rPr>
          <w:rFonts w:ascii="Times New Roman"/>
          <w:color w:val="414141"/>
          <w:w w:val="105"/>
        </w:rPr>
        <w:t>the Statement of </w:t>
      </w:r>
      <w:r>
        <w:rPr>
          <w:rFonts w:ascii="Times New Roman"/>
          <w:color w:val="2F2F2F"/>
          <w:w w:val="105"/>
        </w:rPr>
        <w:t>Financial </w:t>
      </w:r>
      <w:r>
        <w:rPr>
          <w:rFonts w:ascii="Times New Roman"/>
          <w:color w:val="414141"/>
          <w:w w:val="105"/>
        </w:rPr>
        <w:t>Activities.</w:t>
      </w:r>
    </w:p>
    <w:p>
      <w:pPr>
        <w:pStyle w:val="BodyText"/>
        <w:spacing w:line="256" w:lineRule="auto" w:before="9"/>
        <w:ind w:left="995" w:right="771" w:hanging="7"/>
        <w:jc w:val="both"/>
        <w:rPr>
          <w:rFonts w:ascii="Times New Roman"/>
        </w:rPr>
      </w:pPr>
      <w:r>
        <w:rPr>
          <w:rFonts w:ascii="Times New Roman"/>
          <w:color w:val="2F2F2F"/>
          <w:w w:val="105"/>
        </w:rPr>
        <w:t>Pension </w:t>
      </w:r>
      <w:r>
        <w:rPr>
          <w:rFonts w:ascii="Times New Roman"/>
          <w:color w:val="414141"/>
          <w:w w:val="105"/>
        </w:rPr>
        <w:t>scheme assets are measured at fair value and </w:t>
      </w:r>
      <w:r>
        <w:rPr>
          <w:rFonts w:ascii="Times New Roman"/>
          <w:color w:val="414141"/>
          <w:spacing w:val="-3"/>
          <w:w w:val="105"/>
        </w:rPr>
        <w:t>liabilit</w:t>
      </w:r>
      <w:r>
        <w:rPr>
          <w:rFonts w:ascii="Times New Roman"/>
          <w:color w:val="1C1C1C"/>
          <w:spacing w:val="-3"/>
          <w:w w:val="105"/>
        </w:rPr>
        <w:t>i</w:t>
      </w:r>
      <w:r>
        <w:rPr>
          <w:rFonts w:ascii="Times New Roman"/>
          <w:color w:val="414141"/>
          <w:spacing w:val="-3"/>
          <w:w w:val="105"/>
        </w:rPr>
        <w:t>es </w:t>
      </w:r>
      <w:r>
        <w:rPr>
          <w:rFonts w:ascii="Times New Roman"/>
          <w:color w:val="414141"/>
          <w:w w:val="105"/>
        </w:rPr>
        <w:t>are measured </w:t>
      </w:r>
      <w:r>
        <w:rPr>
          <w:rFonts w:ascii="Times New Roman"/>
          <w:color w:val="414141"/>
          <w:spacing w:val="4"/>
          <w:w w:val="105"/>
        </w:rPr>
        <w:t>o</w:t>
      </w:r>
      <w:r>
        <w:rPr>
          <w:rFonts w:ascii="Times New Roman"/>
          <w:color w:val="1C1C1C"/>
          <w:spacing w:val="4"/>
          <w:w w:val="105"/>
        </w:rPr>
        <w:t>n </w:t>
      </w:r>
      <w:r>
        <w:rPr>
          <w:rFonts w:ascii="Times New Roman"/>
          <w:color w:val="414141"/>
          <w:w w:val="105"/>
        </w:rPr>
        <w:t>an actuarial basis using </w:t>
      </w:r>
      <w:r>
        <w:rPr>
          <w:rFonts w:ascii="Times New Roman"/>
          <w:color w:val="2F2F2F"/>
          <w:w w:val="105"/>
        </w:rPr>
        <w:t>the </w:t>
      </w:r>
      <w:r>
        <w:rPr>
          <w:rFonts w:ascii="Times New Roman"/>
          <w:color w:val="414141"/>
          <w:w w:val="105"/>
        </w:rPr>
        <w:t>attained age method and discounted at </w:t>
      </w:r>
      <w:r>
        <w:rPr>
          <w:rFonts w:ascii="Times New Roman"/>
          <w:color w:val="2F2F2F"/>
          <w:w w:val="105"/>
        </w:rPr>
        <w:t>a </w:t>
      </w:r>
      <w:r>
        <w:rPr>
          <w:rFonts w:ascii="Times New Roman"/>
          <w:color w:val="414141"/>
          <w:w w:val="105"/>
        </w:rPr>
        <w:t>rate equivalent to </w:t>
      </w:r>
      <w:r>
        <w:rPr>
          <w:rFonts w:ascii="Times New Roman"/>
          <w:color w:val="2F2F2F"/>
          <w:w w:val="105"/>
        </w:rPr>
        <w:t>the </w:t>
      </w:r>
      <w:r>
        <w:rPr>
          <w:rFonts w:ascii="Times New Roman"/>
          <w:color w:val="414141"/>
          <w:w w:val="105"/>
        </w:rPr>
        <w:t>current </w:t>
      </w:r>
      <w:r>
        <w:rPr>
          <w:rFonts w:ascii="Times New Roman"/>
          <w:color w:val="1C1C1C"/>
          <w:spacing w:val="-4"/>
          <w:w w:val="105"/>
        </w:rPr>
        <w:t>r</w:t>
      </w:r>
      <w:r>
        <w:rPr>
          <w:rFonts w:ascii="Times New Roman"/>
          <w:color w:val="414141"/>
          <w:spacing w:val="-4"/>
          <w:w w:val="105"/>
        </w:rPr>
        <w:t>ate </w:t>
      </w:r>
      <w:r>
        <w:rPr>
          <w:rFonts w:ascii="Times New Roman"/>
          <w:color w:val="414141"/>
          <w:w w:val="105"/>
        </w:rPr>
        <w:t>of </w:t>
      </w:r>
      <w:r>
        <w:rPr>
          <w:rFonts w:ascii="Times New Roman"/>
          <w:color w:val="1C1C1C"/>
          <w:spacing w:val="-3"/>
          <w:w w:val="105"/>
        </w:rPr>
        <w:t>r</w:t>
      </w:r>
      <w:r>
        <w:rPr>
          <w:rFonts w:ascii="Times New Roman"/>
          <w:color w:val="414141"/>
          <w:spacing w:val="-3"/>
          <w:w w:val="105"/>
        </w:rPr>
        <w:t>eturn </w:t>
      </w:r>
      <w:r>
        <w:rPr>
          <w:rFonts w:ascii="Times New Roman"/>
          <w:color w:val="2F2F2F"/>
          <w:w w:val="105"/>
        </w:rPr>
        <w:t>on </w:t>
      </w:r>
      <w:r>
        <w:rPr>
          <w:rFonts w:ascii="Times New Roman"/>
          <w:color w:val="414141"/>
          <w:w w:val="105"/>
        </w:rPr>
        <w:t>a </w:t>
      </w:r>
      <w:r>
        <w:rPr>
          <w:rFonts w:ascii="Times New Roman"/>
          <w:color w:val="414141"/>
          <w:spacing w:val="-4"/>
          <w:w w:val="105"/>
        </w:rPr>
        <w:t>high</w:t>
      </w:r>
      <w:r>
        <w:rPr>
          <w:rFonts w:ascii="Times New Roman"/>
          <w:color w:val="1C1C1C"/>
          <w:spacing w:val="-4"/>
          <w:w w:val="105"/>
        </w:rPr>
        <w:t>-</w:t>
      </w:r>
      <w:r>
        <w:rPr>
          <w:rFonts w:ascii="Times New Roman"/>
          <w:color w:val="414141"/>
          <w:spacing w:val="-4"/>
          <w:w w:val="105"/>
        </w:rPr>
        <w:t>quality </w:t>
      </w:r>
      <w:r>
        <w:rPr>
          <w:rFonts w:ascii="Times New Roman"/>
          <w:color w:val="414141"/>
          <w:w w:val="105"/>
        </w:rPr>
        <w:t>corporate bond of equivalent term to the scheme liabilities. The </w:t>
      </w:r>
      <w:r>
        <w:rPr>
          <w:rFonts w:ascii="Times New Roman"/>
          <w:color w:val="2F2F2F"/>
          <w:w w:val="105"/>
        </w:rPr>
        <w:t>actuarial </w:t>
      </w:r>
      <w:r>
        <w:rPr>
          <w:rFonts w:ascii="Times New Roman"/>
          <w:color w:val="414141"/>
          <w:w w:val="105"/>
        </w:rPr>
        <w:t>valuations are obtained triennially and are updated at each year end. </w:t>
      </w:r>
      <w:r>
        <w:rPr>
          <w:rFonts w:ascii="Times New Roman"/>
          <w:color w:val="2F2F2F"/>
          <w:w w:val="105"/>
        </w:rPr>
        <w:t>The resulting defined </w:t>
      </w:r>
      <w:r>
        <w:rPr>
          <w:rFonts w:ascii="Times New Roman"/>
          <w:color w:val="414141"/>
          <w:w w:val="105"/>
        </w:rPr>
        <w:t>benefit asset </w:t>
      </w:r>
      <w:r>
        <w:rPr>
          <w:rFonts w:ascii="Times New Roman"/>
          <w:color w:val="414141"/>
          <w:spacing w:val="-4"/>
          <w:w w:val="105"/>
        </w:rPr>
        <w:t>o</w:t>
      </w:r>
      <w:r>
        <w:rPr>
          <w:rFonts w:ascii="Times New Roman"/>
          <w:color w:val="1C1C1C"/>
          <w:spacing w:val="-4"/>
          <w:w w:val="105"/>
        </w:rPr>
        <w:t>r </w:t>
      </w:r>
      <w:r>
        <w:rPr>
          <w:rFonts w:ascii="Times New Roman"/>
          <w:color w:val="2F2F2F"/>
          <w:w w:val="105"/>
        </w:rPr>
        <w:t>liability is </w:t>
      </w:r>
      <w:r>
        <w:rPr>
          <w:rFonts w:ascii="Times New Roman"/>
          <w:color w:val="414141"/>
          <w:w w:val="105"/>
        </w:rPr>
        <w:t>presented separately after other net assets on the Balance</w:t>
      </w:r>
      <w:r>
        <w:rPr>
          <w:rFonts w:ascii="Times New Roman"/>
          <w:color w:val="414141"/>
          <w:spacing w:val="-17"/>
          <w:w w:val="105"/>
        </w:rPr>
        <w:t> </w:t>
      </w:r>
      <w:r>
        <w:rPr>
          <w:rFonts w:ascii="Times New Roman"/>
          <w:color w:val="414141"/>
          <w:w w:val="105"/>
        </w:rPr>
        <w:t>Sheet.</w:t>
      </w:r>
    </w:p>
    <w:p>
      <w:pPr>
        <w:pStyle w:val="BodyText"/>
        <w:spacing w:line="256" w:lineRule="auto"/>
        <w:ind w:left="986" w:right="779"/>
        <w:jc w:val="both"/>
        <w:rPr>
          <w:rFonts w:ascii="Times New Roman"/>
        </w:rPr>
      </w:pPr>
      <w:r>
        <w:rPr>
          <w:rFonts w:ascii="Times New Roman"/>
          <w:color w:val="414141"/>
          <w:w w:val="105"/>
        </w:rPr>
        <w:t>The mult</w:t>
      </w:r>
      <w:r>
        <w:rPr>
          <w:rFonts w:ascii="Times New Roman"/>
          <w:color w:val="1C1C1C"/>
          <w:w w:val="105"/>
        </w:rPr>
        <w:t>i</w:t>
      </w:r>
      <w:r>
        <w:rPr>
          <w:rFonts w:ascii="Times New Roman"/>
          <w:color w:val="414141"/>
          <w:w w:val="105"/>
        </w:rPr>
        <w:t>-employer defined benefit scheme, where the Church is unable </w:t>
      </w:r>
      <w:r>
        <w:rPr>
          <w:rFonts w:ascii="Times New Roman"/>
          <w:color w:val="2F2F2F"/>
          <w:w w:val="105"/>
        </w:rPr>
        <w:t>to </w:t>
      </w:r>
      <w:r>
        <w:rPr>
          <w:rFonts w:ascii="Times New Roman"/>
          <w:color w:val="414141"/>
          <w:w w:val="105"/>
        </w:rPr>
        <w:t>identify its share of the </w:t>
      </w:r>
      <w:r>
        <w:rPr>
          <w:rFonts w:ascii="Times New Roman"/>
          <w:color w:val="2F2F2F"/>
          <w:w w:val="105"/>
        </w:rPr>
        <w:t>underlying </w:t>
      </w:r>
      <w:r>
        <w:rPr>
          <w:rFonts w:ascii="Times New Roman"/>
          <w:color w:val="414141"/>
          <w:w w:val="105"/>
        </w:rPr>
        <w:t>assets and liabilities, is treated as a defined contribution scheme, and the amount charged in </w:t>
      </w:r>
      <w:r>
        <w:rPr>
          <w:rFonts w:ascii="Times New Roman"/>
          <w:color w:val="2F2F2F"/>
          <w:w w:val="105"/>
        </w:rPr>
        <w:t>respect </w:t>
      </w:r>
      <w:r>
        <w:rPr>
          <w:rFonts w:ascii="Times New Roman"/>
          <w:color w:val="414141"/>
          <w:w w:val="105"/>
        </w:rPr>
        <w:t>o</w:t>
      </w:r>
      <w:r>
        <w:rPr>
          <w:rFonts w:ascii="Times New Roman"/>
          <w:color w:val="5B5B5B"/>
          <w:w w:val="105"/>
        </w:rPr>
        <w:t>f </w:t>
      </w:r>
      <w:r>
        <w:rPr>
          <w:rFonts w:ascii="Times New Roman"/>
          <w:color w:val="414141"/>
          <w:w w:val="105"/>
        </w:rPr>
        <w:t>pension costs is the contributions </w:t>
      </w:r>
      <w:r>
        <w:rPr>
          <w:rFonts w:ascii="Times New Roman"/>
          <w:color w:val="2F2F2F"/>
          <w:w w:val="105"/>
        </w:rPr>
        <w:t>payable </w:t>
      </w:r>
      <w:r>
        <w:rPr>
          <w:rFonts w:ascii="Times New Roman"/>
          <w:color w:val="414141"/>
          <w:w w:val="105"/>
        </w:rPr>
        <w:t>in the year, which is inc</w:t>
      </w:r>
      <w:r>
        <w:rPr>
          <w:rFonts w:ascii="Times New Roman"/>
          <w:color w:val="1C1C1C"/>
          <w:w w:val="105"/>
        </w:rPr>
        <w:t>lud </w:t>
      </w:r>
      <w:r>
        <w:rPr>
          <w:rFonts w:ascii="Times New Roman"/>
          <w:color w:val="414141"/>
          <w:w w:val="105"/>
        </w:rPr>
        <w:t>ed w</w:t>
      </w:r>
      <w:r>
        <w:rPr>
          <w:rFonts w:ascii="Times New Roman"/>
          <w:color w:val="1C1C1C"/>
          <w:w w:val="105"/>
        </w:rPr>
        <w:t>it</w:t>
      </w:r>
      <w:r>
        <w:rPr>
          <w:rFonts w:ascii="Times New Roman"/>
          <w:color w:val="414141"/>
          <w:w w:val="105"/>
        </w:rPr>
        <w:t>hin the appropriate expenditure head</w:t>
      </w:r>
      <w:r>
        <w:rPr>
          <w:rFonts w:ascii="Times New Roman"/>
          <w:color w:val="5B5B5B"/>
          <w:w w:val="105"/>
        </w:rPr>
        <w:t>i</w:t>
      </w:r>
      <w:r>
        <w:rPr>
          <w:rFonts w:ascii="Times New Roman"/>
          <w:color w:val="414141"/>
          <w:w w:val="105"/>
        </w:rPr>
        <w:t>ng in the Statement of F</w:t>
      </w:r>
      <w:r>
        <w:rPr>
          <w:rFonts w:ascii="Times New Roman"/>
          <w:color w:val="1C1C1C"/>
          <w:w w:val="105"/>
        </w:rPr>
        <w:t>i</w:t>
      </w:r>
      <w:r>
        <w:rPr>
          <w:rFonts w:ascii="Times New Roman"/>
          <w:color w:val="414141"/>
          <w:w w:val="105"/>
        </w:rPr>
        <w:t>nancial Activities</w:t>
      </w:r>
      <w:r>
        <w:rPr>
          <w:rFonts w:ascii="Times New Roman"/>
          <w:color w:val="1C1C1C"/>
          <w:w w:val="105"/>
        </w:rPr>
        <w:t>.</w:t>
      </w:r>
    </w:p>
    <w:p>
      <w:pPr>
        <w:numPr>
          <w:ilvl w:val="0"/>
          <w:numId w:val="217"/>
        </w:numPr>
        <w:tabs>
          <w:tab w:pos="1487" w:val="left" w:leader="none"/>
        </w:tabs>
        <w:spacing w:before="114"/>
        <w:ind w:left="1486" w:right="0" w:hanging="505"/>
        <w:jc w:val="both"/>
        <w:rPr>
          <w:rFonts w:ascii="Arial"/>
          <w:b/>
          <w:color w:val="1C1C1C"/>
          <w:sz w:val="16"/>
        </w:rPr>
      </w:pPr>
      <w:r>
        <w:rPr>
          <w:rFonts w:ascii="Times New Roman"/>
          <w:b/>
          <w:color w:val="2F2F2F"/>
          <w:w w:val="105"/>
          <w:sz w:val="18"/>
        </w:rPr>
        <w:t>Tangible </w:t>
      </w:r>
      <w:r>
        <w:rPr>
          <w:rFonts w:ascii="Times New Roman"/>
          <w:b/>
          <w:color w:val="1C1C1C"/>
          <w:w w:val="105"/>
          <w:sz w:val="18"/>
        </w:rPr>
        <w:t>fixed</w:t>
      </w:r>
      <w:r>
        <w:rPr>
          <w:rFonts w:ascii="Times New Roman"/>
          <w:b/>
          <w:color w:val="1C1C1C"/>
          <w:spacing w:val="-12"/>
          <w:w w:val="105"/>
          <w:sz w:val="18"/>
        </w:rPr>
        <w:t> </w:t>
      </w:r>
      <w:r>
        <w:rPr>
          <w:rFonts w:ascii="Times New Roman"/>
          <w:b/>
          <w:color w:val="1C1C1C"/>
          <w:w w:val="105"/>
          <w:sz w:val="18"/>
        </w:rPr>
        <w:t>asset</w:t>
      </w:r>
      <w:r>
        <w:rPr>
          <w:rFonts w:ascii="Times New Roman"/>
          <w:b/>
          <w:color w:val="414141"/>
          <w:w w:val="105"/>
          <w:sz w:val="18"/>
        </w:rPr>
        <w:t>s</w:t>
      </w:r>
    </w:p>
    <w:p>
      <w:pPr>
        <w:pStyle w:val="BodyText"/>
        <w:spacing w:line="256" w:lineRule="auto" w:before="24"/>
        <w:ind w:left="986" w:right="779" w:hanging="9"/>
        <w:jc w:val="both"/>
        <w:rPr>
          <w:rFonts w:ascii="Times New Roman" w:hAnsi="Times New Roman"/>
        </w:rPr>
      </w:pPr>
      <w:r>
        <w:rPr>
          <w:rFonts w:ascii="Times New Roman" w:hAnsi="Times New Roman"/>
          <w:color w:val="414141"/>
        </w:rPr>
        <w:t>Tangible fixed assets having il,n </w:t>
      </w:r>
      <w:r>
        <w:rPr>
          <w:rFonts w:ascii="Times New Roman" w:hAnsi="Times New Roman"/>
          <w:color w:val="1C1C1C"/>
        </w:rPr>
        <w:t>i </w:t>
      </w:r>
      <w:r>
        <w:rPr>
          <w:rFonts w:ascii="Times New Roman" w:hAnsi="Times New Roman"/>
          <w:color w:val="1C1C1C"/>
          <w:spacing w:val="-4"/>
        </w:rPr>
        <w:t>niti</w:t>
      </w:r>
      <w:r>
        <w:rPr>
          <w:rFonts w:ascii="Times New Roman" w:hAnsi="Times New Roman"/>
          <w:color w:val="414141"/>
          <w:spacing w:val="-4"/>
        </w:rPr>
        <w:t>al </w:t>
      </w:r>
      <w:r>
        <w:rPr>
          <w:rFonts w:ascii="Times New Roman" w:hAnsi="Times New Roman"/>
          <w:color w:val="414141"/>
        </w:rPr>
        <w:t>cost of £250 or </w:t>
      </w:r>
      <w:r>
        <w:rPr>
          <w:rFonts w:ascii="Times New Roman" w:hAnsi="Times New Roman"/>
          <w:color w:val="1C1C1C"/>
          <w:spacing w:val="-3"/>
        </w:rPr>
        <w:t>l</w:t>
      </w:r>
      <w:r>
        <w:rPr>
          <w:rFonts w:ascii="Times New Roman" w:hAnsi="Times New Roman"/>
          <w:color w:val="414141"/>
          <w:spacing w:val="-3"/>
        </w:rPr>
        <w:t>ess  </w:t>
      </w:r>
      <w:r>
        <w:rPr>
          <w:rFonts w:ascii="Times New Roman" w:hAnsi="Times New Roman"/>
          <w:color w:val="2F2F2F"/>
        </w:rPr>
        <w:t>are  </w:t>
      </w:r>
      <w:r>
        <w:rPr>
          <w:rFonts w:ascii="Times New Roman" w:hAnsi="Times New Roman"/>
          <w:color w:val="414141"/>
        </w:rPr>
        <w:t>written  off  on acquisition.  Assets </w:t>
      </w:r>
      <w:r>
        <w:rPr>
          <w:rFonts w:ascii="Times New Roman" w:hAnsi="Times New Roman"/>
          <w:color w:val="2F2F2F"/>
        </w:rPr>
        <w:t>having </w:t>
      </w:r>
      <w:r>
        <w:rPr>
          <w:rFonts w:ascii="Times New Roman" w:hAnsi="Times New Roman"/>
          <w:color w:val="414141"/>
        </w:rPr>
        <w:t>an initia</w:t>
      </w:r>
      <w:r>
        <w:rPr>
          <w:rFonts w:ascii="Times New Roman" w:hAnsi="Times New Roman"/>
          <w:color w:val="1C1C1C"/>
        </w:rPr>
        <w:t>l </w:t>
      </w:r>
      <w:r>
        <w:rPr>
          <w:rFonts w:ascii="Times New Roman" w:hAnsi="Times New Roman"/>
          <w:color w:val="414141"/>
        </w:rPr>
        <w:t>cost greater than £250 are stated at cost when purchased and at valuat</w:t>
      </w:r>
      <w:r>
        <w:rPr>
          <w:rFonts w:ascii="Times New Roman" w:hAnsi="Times New Roman"/>
          <w:color w:val="1C1C1C"/>
        </w:rPr>
        <w:t>i</w:t>
      </w:r>
      <w:r>
        <w:rPr>
          <w:rFonts w:ascii="Times New Roman" w:hAnsi="Times New Roman"/>
          <w:color w:val="414141"/>
        </w:rPr>
        <w:t>on when received in</w:t>
      </w:r>
      <w:r>
        <w:rPr>
          <w:rFonts w:ascii="Times New Roman" w:hAnsi="Times New Roman"/>
          <w:color w:val="414141"/>
          <w:spacing w:val="-16"/>
        </w:rPr>
        <w:t> </w:t>
      </w:r>
      <w:r>
        <w:rPr>
          <w:rFonts w:ascii="Times New Roman" w:hAnsi="Times New Roman"/>
          <w:color w:val="414141"/>
        </w:rPr>
        <w:t>specie</w:t>
      </w:r>
      <w:r>
        <w:rPr>
          <w:rFonts w:ascii="Times New Roman" w:hAnsi="Times New Roman"/>
          <w:color w:val="1C1C1C"/>
        </w:rPr>
        <w:t>.</w:t>
      </w:r>
    </w:p>
    <w:p>
      <w:pPr>
        <w:pStyle w:val="BodyText"/>
        <w:spacing w:line="249" w:lineRule="auto" w:before="9"/>
        <w:ind w:left="981" w:right="788" w:firstLine="8"/>
        <w:jc w:val="both"/>
        <w:rPr>
          <w:rFonts w:ascii="Times New Roman"/>
        </w:rPr>
      </w:pPr>
      <w:r>
        <w:rPr>
          <w:rFonts w:ascii="Times New Roman"/>
          <w:color w:val="414141"/>
          <w:w w:val="105"/>
        </w:rPr>
        <w:t>Many properties used as </w:t>
      </w:r>
      <w:r>
        <w:rPr>
          <w:rFonts w:ascii="Times New Roman"/>
          <w:color w:val="2F2F2F"/>
          <w:w w:val="105"/>
        </w:rPr>
        <w:t>houses </w:t>
      </w:r>
      <w:r>
        <w:rPr>
          <w:rFonts w:ascii="Times New Roman"/>
          <w:color w:val="414141"/>
          <w:w w:val="105"/>
        </w:rPr>
        <w:t>for retired ministers are owned </w:t>
      </w:r>
      <w:r>
        <w:rPr>
          <w:rFonts w:ascii="Times New Roman"/>
          <w:color w:val="2F2F2F"/>
          <w:w w:val="105"/>
        </w:rPr>
        <w:t>jointly </w:t>
      </w:r>
      <w:r>
        <w:rPr>
          <w:rFonts w:ascii="Times New Roman"/>
          <w:color w:val="414141"/>
          <w:w w:val="105"/>
        </w:rPr>
        <w:t>with tenants or Synods of the United Reformed Church. The value </w:t>
      </w:r>
      <w:r>
        <w:rPr>
          <w:rFonts w:ascii="Times New Roman"/>
          <w:color w:val="414141"/>
          <w:w w:val="105"/>
          <w:sz w:val="19"/>
        </w:rPr>
        <w:t>in </w:t>
      </w:r>
      <w:r>
        <w:rPr>
          <w:rFonts w:ascii="Times New Roman"/>
          <w:color w:val="414141"/>
          <w:w w:val="105"/>
        </w:rPr>
        <w:t>the </w:t>
      </w:r>
      <w:r>
        <w:rPr>
          <w:rFonts w:ascii="Times New Roman"/>
          <w:color w:val="2F2F2F"/>
          <w:w w:val="105"/>
        </w:rPr>
        <w:t>Balance </w:t>
      </w:r>
      <w:r>
        <w:rPr>
          <w:rFonts w:ascii="Times New Roman"/>
          <w:color w:val="414141"/>
          <w:w w:val="105"/>
        </w:rPr>
        <w:t>Sheet of such properties is the cost (less any impairment charged) to the </w:t>
      </w:r>
      <w:r>
        <w:rPr>
          <w:rFonts w:ascii="Times New Roman"/>
          <w:color w:val="2F2F2F"/>
          <w:w w:val="105"/>
        </w:rPr>
        <w:t>Church of </w:t>
      </w:r>
      <w:r>
        <w:rPr>
          <w:rFonts w:ascii="Times New Roman"/>
          <w:color w:val="414141"/>
          <w:w w:val="105"/>
        </w:rPr>
        <w:t>the Church's share </w:t>
      </w:r>
      <w:r>
        <w:rPr>
          <w:rFonts w:ascii="Times New Roman"/>
          <w:color w:val="1C1C1C"/>
          <w:w w:val="105"/>
        </w:rPr>
        <w:t>i</w:t>
      </w:r>
      <w:r>
        <w:rPr>
          <w:rFonts w:ascii="Times New Roman"/>
          <w:color w:val="414141"/>
          <w:w w:val="105"/>
        </w:rPr>
        <w:t>n the property.</w:t>
      </w:r>
    </w:p>
    <w:p>
      <w:pPr>
        <w:pStyle w:val="BodyText"/>
        <w:spacing w:line="259" w:lineRule="auto" w:before="16"/>
        <w:ind w:left="981" w:right="789" w:firstLine="8"/>
        <w:jc w:val="both"/>
        <w:rPr>
          <w:rFonts w:ascii="Times New Roman"/>
        </w:rPr>
      </w:pPr>
      <w:r>
        <w:rPr>
          <w:rFonts w:ascii="Times New Roman"/>
          <w:color w:val="2F2F2F"/>
          <w:w w:val="105"/>
        </w:rPr>
        <w:t>Properties </w:t>
      </w:r>
      <w:r>
        <w:rPr>
          <w:rFonts w:ascii="Times New Roman"/>
          <w:color w:val="414141"/>
          <w:w w:val="105"/>
        </w:rPr>
        <w:t>are maintained in a state of so</w:t>
      </w:r>
      <w:r>
        <w:rPr>
          <w:rFonts w:ascii="Times New Roman"/>
          <w:color w:val="1C1C1C"/>
          <w:w w:val="105"/>
        </w:rPr>
        <w:t>un</w:t>
      </w:r>
      <w:r>
        <w:rPr>
          <w:rFonts w:ascii="Times New Roman"/>
          <w:color w:val="414141"/>
          <w:w w:val="105"/>
        </w:rPr>
        <w:t>d </w:t>
      </w:r>
      <w:r>
        <w:rPr>
          <w:rFonts w:ascii="Times New Roman"/>
          <w:color w:val="2F2F2F"/>
          <w:w w:val="105"/>
        </w:rPr>
        <w:t>repair. </w:t>
      </w:r>
      <w:r>
        <w:rPr>
          <w:rFonts w:ascii="Times New Roman"/>
          <w:color w:val="414141"/>
          <w:w w:val="105"/>
        </w:rPr>
        <w:t>The Finance </w:t>
      </w:r>
      <w:r>
        <w:rPr>
          <w:rFonts w:ascii="Times New Roman"/>
          <w:color w:val="2F2F2F"/>
          <w:w w:val="105"/>
        </w:rPr>
        <w:t>Committee </w:t>
      </w:r>
      <w:r>
        <w:rPr>
          <w:rFonts w:ascii="Times New Roman"/>
          <w:color w:val="414141"/>
          <w:w w:val="105"/>
        </w:rPr>
        <w:t>considers whether any impairme</w:t>
      </w:r>
      <w:r>
        <w:rPr>
          <w:rFonts w:ascii="Times New Roman"/>
          <w:color w:val="1C1C1C"/>
          <w:w w:val="105"/>
        </w:rPr>
        <w:t>n</w:t>
      </w:r>
      <w:r>
        <w:rPr>
          <w:rFonts w:ascii="Times New Roman"/>
          <w:color w:val="414141"/>
          <w:w w:val="105"/>
        </w:rPr>
        <w:t>t </w:t>
      </w:r>
      <w:r>
        <w:rPr>
          <w:rFonts w:ascii="Times New Roman"/>
          <w:color w:val="2F2F2F"/>
          <w:w w:val="105"/>
        </w:rPr>
        <w:t>is </w:t>
      </w:r>
      <w:r>
        <w:rPr>
          <w:rFonts w:ascii="Times New Roman"/>
          <w:color w:val="414141"/>
          <w:w w:val="105"/>
        </w:rPr>
        <w:t>necessary considering the lives of the properties and </w:t>
      </w:r>
      <w:r>
        <w:rPr>
          <w:rFonts w:ascii="Times New Roman"/>
          <w:color w:val="2F2F2F"/>
          <w:w w:val="105"/>
        </w:rPr>
        <w:t>their </w:t>
      </w:r>
      <w:r>
        <w:rPr>
          <w:rFonts w:ascii="Times New Roman"/>
          <w:color w:val="414141"/>
          <w:w w:val="105"/>
        </w:rPr>
        <w:t>residua</w:t>
      </w:r>
      <w:r>
        <w:rPr>
          <w:rFonts w:ascii="Times New Roman"/>
          <w:color w:val="1C1C1C"/>
          <w:w w:val="105"/>
        </w:rPr>
        <w:t>l </w:t>
      </w:r>
      <w:r>
        <w:rPr>
          <w:rFonts w:ascii="Times New Roman"/>
          <w:color w:val="414141"/>
          <w:w w:val="105"/>
        </w:rPr>
        <w:t>value. </w:t>
      </w:r>
      <w:r>
        <w:rPr>
          <w:rFonts w:ascii="Times New Roman"/>
          <w:color w:val="2F2F2F"/>
          <w:w w:val="105"/>
        </w:rPr>
        <w:t>Any material </w:t>
      </w:r>
      <w:r>
        <w:rPr>
          <w:rFonts w:ascii="Times New Roman"/>
          <w:color w:val="414141"/>
          <w:w w:val="105"/>
        </w:rPr>
        <w:t>deficit between the anticipated </w:t>
      </w:r>
      <w:r>
        <w:rPr>
          <w:rFonts w:ascii="Times New Roman"/>
          <w:color w:val="2F2F2F"/>
          <w:w w:val="105"/>
        </w:rPr>
        <w:t>recoverable </w:t>
      </w:r>
      <w:r>
        <w:rPr>
          <w:rFonts w:ascii="Times New Roman"/>
          <w:color w:val="414141"/>
          <w:w w:val="105"/>
        </w:rPr>
        <w:t>amount of freehold property and </w:t>
      </w:r>
      <w:r>
        <w:rPr>
          <w:rFonts w:ascii="Times New Roman"/>
          <w:color w:val="2F2F2F"/>
          <w:w w:val="105"/>
        </w:rPr>
        <w:t>its </w:t>
      </w:r>
      <w:r>
        <w:rPr>
          <w:rFonts w:ascii="Times New Roman"/>
          <w:color w:val="414141"/>
          <w:w w:val="105"/>
        </w:rPr>
        <w:t>carryi</w:t>
      </w:r>
      <w:r>
        <w:rPr>
          <w:rFonts w:ascii="Times New Roman"/>
          <w:color w:val="1C1C1C"/>
          <w:w w:val="105"/>
        </w:rPr>
        <w:t>n</w:t>
      </w:r>
      <w:r>
        <w:rPr>
          <w:rFonts w:ascii="Times New Roman"/>
          <w:color w:val="414141"/>
          <w:w w:val="105"/>
        </w:rPr>
        <w:t>g value shown in the accounts is recognised </w:t>
      </w:r>
      <w:r>
        <w:rPr>
          <w:rFonts w:ascii="Times New Roman"/>
          <w:color w:val="2F2F2F"/>
          <w:w w:val="105"/>
        </w:rPr>
        <w:t>in </w:t>
      </w:r>
      <w:r>
        <w:rPr>
          <w:rFonts w:ascii="Times New Roman"/>
          <w:color w:val="414141"/>
          <w:w w:val="105"/>
        </w:rPr>
        <w:t>the Statement of Financial Activities.</w:t>
      </w:r>
    </w:p>
    <w:p>
      <w:pPr>
        <w:pStyle w:val="BodyText"/>
        <w:tabs>
          <w:tab w:pos="6620" w:val="left" w:leader="none"/>
        </w:tabs>
        <w:spacing w:line="254" w:lineRule="auto" w:before="11"/>
        <w:ind w:left="1825" w:right="3301" w:hanging="846"/>
        <w:rPr>
          <w:rFonts w:ascii="Times New Roman"/>
        </w:rPr>
      </w:pPr>
      <w:r>
        <w:rPr>
          <w:rFonts w:ascii="Times New Roman"/>
          <w:color w:val="414141"/>
          <w:w w:val="105"/>
        </w:rPr>
        <w:t>Depreciation is charged on tangible assets as </w:t>
      </w:r>
      <w:r>
        <w:rPr>
          <w:rFonts w:ascii="Times New Roman"/>
          <w:color w:val="2F2F2F"/>
          <w:w w:val="105"/>
        </w:rPr>
        <w:t>a </w:t>
      </w:r>
      <w:r>
        <w:rPr>
          <w:rFonts w:ascii="Times New Roman"/>
          <w:color w:val="414141"/>
          <w:w w:val="105"/>
        </w:rPr>
        <w:t>percentage of cost as follows: Improvements to </w:t>
      </w:r>
      <w:r>
        <w:rPr>
          <w:rFonts w:ascii="Times New Roman"/>
          <w:color w:val="2F2F2F"/>
          <w:w w:val="105"/>
        </w:rPr>
        <w:t>property </w:t>
      </w:r>
      <w:r>
        <w:rPr>
          <w:rFonts w:ascii="Times New Roman"/>
          <w:color w:val="414141"/>
          <w:w w:val="105"/>
        </w:rPr>
        <w:t>rented on</w:t>
      </w:r>
      <w:r>
        <w:rPr>
          <w:rFonts w:ascii="Times New Roman"/>
          <w:color w:val="414141"/>
          <w:spacing w:val="-9"/>
          <w:w w:val="105"/>
        </w:rPr>
        <w:t> </w:t>
      </w:r>
      <w:r>
        <w:rPr>
          <w:rFonts w:ascii="Times New Roman"/>
          <w:color w:val="414141"/>
          <w:w w:val="105"/>
        </w:rPr>
        <w:t>operating</w:t>
      </w:r>
      <w:r>
        <w:rPr>
          <w:rFonts w:ascii="Times New Roman"/>
          <w:color w:val="414141"/>
          <w:spacing w:val="-7"/>
          <w:w w:val="105"/>
        </w:rPr>
        <w:t> </w:t>
      </w:r>
      <w:r>
        <w:rPr>
          <w:rFonts w:ascii="Times New Roman"/>
          <w:color w:val="414141"/>
          <w:w w:val="105"/>
        </w:rPr>
        <w:t>leases</w:t>
        <w:tab/>
      </w:r>
      <w:r>
        <w:rPr>
          <w:rFonts w:ascii="Times New Roman"/>
          <w:i/>
          <w:color w:val="2F2F2F"/>
          <w:w w:val="105"/>
          <w:sz w:val="19"/>
        </w:rPr>
        <w:t>5 </w:t>
      </w:r>
      <w:r>
        <w:rPr>
          <w:rFonts w:ascii="Times New Roman"/>
          <w:color w:val="414141"/>
          <w:w w:val="105"/>
        </w:rPr>
        <w:t>% </w:t>
      </w:r>
      <w:r>
        <w:rPr>
          <w:rFonts w:ascii="Times New Roman"/>
          <w:color w:val="414141"/>
          <w:spacing w:val="-8"/>
          <w:w w:val="105"/>
        </w:rPr>
        <w:t>pa </w:t>
      </w:r>
      <w:r>
        <w:rPr>
          <w:rFonts w:ascii="Times New Roman"/>
          <w:color w:val="414141"/>
          <w:w w:val="105"/>
        </w:rPr>
        <w:t>Housing properties</w:t>
      </w:r>
      <w:r>
        <w:rPr>
          <w:rFonts w:ascii="Times New Roman"/>
          <w:color w:val="414141"/>
          <w:spacing w:val="-28"/>
          <w:w w:val="105"/>
        </w:rPr>
        <w:t> </w:t>
      </w:r>
      <w:r>
        <w:rPr>
          <w:rFonts w:ascii="Times New Roman"/>
          <w:color w:val="414141"/>
          <w:w w:val="105"/>
        </w:rPr>
        <w:t>(when</w:t>
      </w:r>
      <w:r>
        <w:rPr>
          <w:rFonts w:ascii="Times New Roman"/>
          <w:color w:val="414141"/>
          <w:spacing w:val="-8"/>
          <w:w w:val="105"/>
        </w:rPr>
        <w:t> </w:t>
      </w:r>
      <w:r>
        <w:rPr>
          <w:rFonts w:ascii="Times New Roman"/>
          <w:color w:val="414141"/>
          <w:w w:val="105"/>
        </w:rPr>
        <w:t>charged)</w:t>
        <w:tab/>
        <w:t>2%</w:t>
      </w:r>
      <w:r>
        <w:rPr>
          <w:rFonts w:ascii="Times New Roman"/>
          <w:color w:val="414141"/>
          <w:spacing w:val="2"/>
          <w:w w:val="105"/>
        </w:rPr>
        <w:t> </w:t>
      </w:r>
      <w:r>
        <w:rPr>
          <w:rFonts w:ascii="Times New Roman"/>
          <w:color w:val="414141"/>
          <w:w w:val="105"/>
        </w:rPr>
        <w:t>pa</w:t>
      </w:r>
    </w:p>
    <w:p>
      <w:pPr>
        <w:pStyle w:val="BodyText"/>
        <w:tabs>
          <w:tab w:pos="6525" w:val="left" w:leader="none"/>
        </w:tabs>
        <w:spacing w:before="12"/>
        <w:ind w:left="1833"/>
        <w:rPr>
          <w:rFonts w:ascii="Times New Roman"/>
        </w:rPr>
      </w:pPr>
      <w:r>
        <w:rPr>
          <w:rFonts w:ascii="Times New Roman"/>
          <w:color w:val="414141"/>
          <w:w w:val="105"/>
        </w:rPr>
        <w:t>Cars</w:t>
      </w:r>
      <w:r>
        <w:rPr>
          <w:rFonts w:ascii="Times New Roman"/>
          <w:color w:val="5B5B5B"/>
          <w:w w:val="105"/>
        </w:rPr>
        <w:t>, </w:t>
      </w:r>
      <w:r>
        <w:rPr>
          <w:rFonts w:ascii="Times New Roman"/>
          <w:color w:val="414141"/>
          <w:w w:val="105"/>
        </w:rPr>
        <w:t>computers</w:t>
      </w:r>
      <w:r>
        <w:rPr>
          <w:rFonts w:ascii="Times New Roman"/>
          <w:color w:val="414141"/>
          <w:spacing w:val="-18"/>
          <w:w w:val="105"/>
        </w:rPr>
        <w:t> </w:t>
      </w:r>
      <w:r>
        <w:rPr>
          <w:rFonts w:ascii="Times New Roman"/>
          <w:color w:val="414141"/>
          <w:w w:val="105"/>
        </w:rPr>
        <w:t>and</w:t>
      </w:r>
      <w:r>
        <w:rPr>
          <w:rFonts w:ascii="Times New Roman"/>
          <w:color w:val="414141"/>
          <w:spacing w:val="-6"/>
          <w:w w:val="105"/>
        </w:rPr>
        <w:t> </w:t>
      </w:r>
      <w:r>
        <w:rPr>
          <w:rFonts w:ascii="Times New Roman"/>
          <w:color w:val="414141"/>
          <w:w w:val="105"/>
        </w:rPr>
        <w:t>photocopiers</w:t>
        <w:tab/>
        <w:t>25 %</w:t>
      </w:r>
      <w:r>
        <w:rPr>
          <w:rFonts w:ascii="Times New Roman"/>
          <w:color w:val="414141"/>
          <w:spacing w:val="8"/>
          <w:w w:val="105"/>
        </w:rPr>
        <w:t> </w:t>
      </w:r>
      <w:r>
        <w:rPr>
          <w:rFonts w:ascii="Times New Roman"/>
          <w:color w:val="414141"/>
          <w:w w:val="105"/>
        </w:rPr>
        <w:t>pa</w:t>
      </w:r>
    </w:p>
    <w:p>
      <w:pPr>
        <w:pStyle w:val="BodyText"/>
        <w:tabs>
          <w:tab w:pos="6528" w:val="left" w:leader="none"/>
        </w:tabs>
        <w:spacing w:line="256" w:lineRule="auto" w:before="15"/>
        <w:ind w:left="977" w:right="3294" w:firstLine="856"/>
        <w:rPr>
          <w:rFonts w:ascii="Times New Roman"/>
        </w:rPr>
      </w:pPr>
      <w:r>
        <w:rPr>
          <w:rFonts w:ascii="Times New Roman"/>
          <w:color w:val="2F2F2F"/>
          <w:w w:val="105"/>
        </w:rPr>
        <w:t>Other </w:t>
      </w:r>
      <w:r>
        <w:rPr>
          <w:rFonts w:ascii="Times New Roman"/>
          <w:color w:val="414141"/>
          <w:w w:val="105"/>
        </w:rPr>
        <w:t>furniture</w:t>
      </w:r>
      <w:r>
        <w:rPr>
          <w:rFonts w:ascii="Times New Roman"/>
          <w:color w:val="414141"/>
          <w:spacing w:val="-28"/>
          <w:w w:val="105"/>
        </w:rPr>
        <w:t> </w:t>
      </w:r>
      <w:r>
        <w:rPr>
          <w:rFonts w:ascii="Times New Roman"/>
          <w:color w:val="414141"/>
          <w:w w:val="105"/>
        </w:rPr>
        <w:t>and</w:t>
      </w:r>
      <w:r>
        <w:rPr>
          <w:rFonts w:ascii="Times New Roman"/>
          <w:color w:val="414141"/>
          <w:spacing w:val="-5"/>
          <w:w w:val="105"/>
        </w:rPr>
        <w:t> </w:t>
      </w:r>
      <w:r>
        <w:rPr>
          <w:rFonts w:ascii="Times New Roman"/>
          <w:color w:val="414141"/>
          <w:w w:val="105"/>
        </w:rPr>
        <w:t>equipment</w:t>
        <w:tab/>
        <w:t>10 % </w:t>
      </w:r>
      <w:r>
        <w:rPr>
          <w:rFonts w:ascii="Times New Roman"/>
          <w:color w:val="414141"/>
          <w:spacing w:val="-9"/>
          <w:w w:val="105"/>
        </w:rPr>
        <w:t>pa </w:t>
      </w:r>
      <w:r>
        <w:rPr>
          <w:rFonts w:ascii="Times New Roman"/>
          <w:color w:val="414141"/>
          <w:w w:val="105"/>
        </w:rPr>
        <w:t>The value</w:t>
      </w:r>
      <w:r>
        <w:rPr>
          <w:rFonts w:ascii="Times New Roman"/>
          <w:color w:val="414141"/>
          <w:spacing w:val="-39"/>
          <w:w w:val="105"/>
        </w:rPr>
        <w:t> </w:t>
      </w:r>
      <w:r>
        <w:rPr>
          <w:rFonts w:ascii="Times New Roman"/>
          <w:color w:val="2F2F2F"/>
          <w:w w:val="105"/>
        </w:rPr>
        <w:t>of </w:t>
      </w:r>
      <w:r>
        <w:rPr>
          <w:rFonts w:ascii="Times New Roman"/>
          <w:color w:val="1C1C1C"/>
          <w:spacing w:val="-3"/>
          <w:w w:val="105"/>
        </w:rPr>
        <w:t>l</w:t>
      </w:r>
      <w:r>
        <w:rPr>
          <w:rFonts w:ascii="Times New Roman"/>
          <w:color w:val="414141"/>
          <w:spacing w:val="-3"/>
          <w:w w:val="105"/>
        </w:rPr>
        <w:t>and </w:t>
      </w:r>
      <w:r>
        <w:rPr>
          <w:rFonts w:ascii="Times New Roman"/>
          <w:color w:val="414141"/>
          <w:w w:val="105"/>
        </w:rPr>
        <w:t>is </w:t>
      </w:r>
      <w:r>
        <w:rPr>
          <w:rFonts w:ascii="Times New Roman"/>
          <w:color w:val="2F2F2F"/>
          <w:w w:val="105"/>
        </w:rPr>
        <w:t>not depreciated.</w:t>
      </w:r>
    </w:p>
    <w:p>
      <w:pPr>
        <w:numPr>
          <w:ilvl w:val="0"/>
          <w:numId w:val="217"/>
        </w:numPr>
        <w:tabs>
          <w:tab w:pos="1487" w:val="left" w:leader="none"/>
        </w:tabs>
        <w:spacing w:before="115"/>
        <w:ind w:left="1486" w:right="0" w:hanging="512"/>
        <w:jc w:val="both"/>
        <w:rPr>
          <w:rFonts w:ascii="Times New Roman"/>
          <w:b/>
          <w:color w:val="2F2F2F"/>
          <w:sz w:val="18"/>
        </w:rPr>
      </w:pPr>
      <w:r>
        <w:rPr>
          <w:rFonts w:ascii="Times New Roman"/>
          <w:b/>
          <w:color w:val="1C1C1C"/>
          <w:w w:val="105"/>
          <w:sz w:val="18"/>
        </w:rPr>
        <w:t>Operating leases</w:t>
      </w:r>
    </w:p>
    <w:p>
      <w:pPr>
        <w:pStyle w:val="BodyText"/>
        <w:spacing w:line="256" w:lineRule="auto" w:before="14"/>
        <w:ind w:left="987" w:right="801" w:hanging="8"/>
        <w:jc w:val="both"/>
        <w:rPr>
          <w:rFonts w:ascii="Times New Roman"/>
        </w:rPr>
      </w:pPr>
      <w:r>
        <w:rPr>
          <w:rFonts w:ascii="Times New Roman"/>
          <w:color w:val="2F2F2F"/>
          <w:w w:val="105"/>
        </w:rPr>
        <w:t>Rentals</w:t>
      </w:r>
      <w:r>
        <w:rPr>
          <w:rFonts w:ascii="Times New Roman"/>
          <w:color w:val="2F2F2F"/>
          <w:spacing w:val="-6"/>
          <w:w w:val="105"/>
        </w:rPr>
        <w:t> </w:t>
      </w:r>
      <w:r>
        <w:rPr>
          <w:rFonts w:ascii="Times New Roman"/>
          <w:color w:val="414141"/>
          <w:w w:val="105"/>
        </w:rPr>
        <w:t>applicable</w:t>
      </w:r>
      <w:r>
        <w:rPr>
          <w:rFonts w:ascii="Times New Roman"/>
          <w:color w:val="414141"/>
          <w:spacing w:val="5"/>
          <w:w w:val="105"/>
        </w:rPr>
        <w:t> </w:t>
      </w:r>
      <w:r>
        <w:rPr>
          <w:rFonts w:ascii="Times New Roman"/>
          <w:color w:val="414141"/>
          <w:w w:val="105"/>
        </w:rPr>
        <w:t>to</w:t>
      </w:r>
      <w:r>
        <w:rPr>
          <w:rFonts w:ascii="Times New Roman"/>
          <w:color w:val="414141"/>
          <w:spacing w:val="-21"/>
          <w:w w:val="105"/>
        </w:rPr>
        <w:t> </w:t>
      </w:r>
      <w:r>
        <w:rPr>
          <w:rFonts w:ascii="Times New Roman"/>
          <w:color w:val="414141"/>
          <w:w w:val="105"/>
        </w:rPr>
        <w:t>operating</w:t>
      </w:r>
      <w:r>
        <w:rPr>
          <w:rFonts w:ascii="Times New Roman"/>
          <w:color w:val="414141"/>
          <w:spacing w:val="-9"/>
          <w:w w:val="105"/>
        </w:rPr>
        <w:t> </w:t>
      </w:r>
      <w:r>
        <w:rPr>
          <w:rFonts w:ascii="Times New Roman"/>
          <w:color w:val="414141"/>
          <w:w w:val="105"/>
        </w:rPr>
        <w:t>leases</w:t>
      </w:r>
      <w:r>
        <w:rPr>
          <w:rFonts w:ascii="Times New Roman"/>
          <w:color w:val="414141"/>
          <w:spacing w:val="-11"/>
          <w:w w:val="105"/>
        </w:rPr>
        <w:t> </w:t>
      </w:r>
      <w:r>
        <w:rPr>
          <w:rFonts w:ascii="Times New Roman"/>
          <w:color w:val="414141"/>
          <w:w w:val="105"/>
        </w:rPr>
        <w:t>where</w:t>
      </w:r>
      <w:r>
        <w:rPr>
          <w:rFonts w:ascii="Times New Roman"/>
          <w:color w:val="414141"/>
          <w:spacing w:val="-6"/>
          <w:w w:val="105"/>
        </w:rPr>
        <w:t> </w:t>
      </w:r>
      <w:r>
        <w:rPr>
          <w:rFonts w:ascii="Times New Roman"/>
          <w:color w:val="414141"/>
          <w:w w:val="105"/>
        </w:rPr>
        <w:t>substantially</w:t>
      </w:r>
      <w:r>
        <w:rPr>
          <w:rFonts w:ascii="Times New Roman"/>
          <w:color w:val="414141"/>
          <w:spacing w:val="-6"/>
          <w:w w:val="105"/>
        </w:rPr>
        <w:t> </w:t>
      </w:r>
      <w:r>
        <w:rPr>
          <w:rFonts w:ascii="Times New Roman"/>
          <w:color w:val="414141"/>
          <w:w w:val="105"/>
        </w:rPr>
        <w:t>all</w:t>
      </w:r>
      <w:r>
        <w:rPr>
          <w:rFonts w:ascii="Times New Roman"/>
          <w:color w:val="414141"/>
          <w:spacing w:val="5"/>
          <w:w w:val="105"/>
        </w:rPr>
        <w:t> </w:t>
      </w:r>
      <w:r>
        <w:rPr>
          <w:rFonts w:ascii="Times New Roman"/>
          <w:color w:val="414141"/>
          <w:w w:val="105"/>
        </w:rPr>
        <w:t>of the</w:t>
      </w:r>
      <w:r>
        <w:rPr>
          <w:rFonts w:ascii="Times New Roman"/>
          <w:color w:val="414141"/>
          <w:spacing w:val="4"/>
          <w:w w:val="105"/>
        </w:rPr>
        <w:t> </w:t>
      </w:r>
      <w:r>
        <w:rPr>
          <w:rFonts w:ascii="Times New Roman"/>
          <w:color w:val="414141"/>
          <w:w w:val="105"/>
        </w:rPr>
        <w:t>benefits</w:t>
      </w:r>
      <w:r>
        <w:rPr>
          <w:rFonts w:ascii="Times New Roman"/>
          <w:color w:val="414141"/>
          <w:spacing w:val="-12"/>
          <w:w w:val="105"/>
        </w:rPr>
        <w:t> </w:t>
      </w:r>
      <w:r>
        <w:rPr>
          <w:rFonts w:ascii="Times New Roman"/>
          <w:color w:val="414141"/>
          <w:w w:val="105"/>
        </w:rPr>
        <w:t>and</w:t>
      </w:r>
      <w:r>
        <w:rPr>
          <w:rFonts w:ascii="Times New Roman"/>
          <w:color w:val="414141"/>
          <w:spacing w:val="1"/>
          <w:w w:val="105"/>
        </w:rPr>
        <w:t> </w:t>
      </w:r>
      <w:r>
        <w:rPr>
          <w:rFonts w:ascii="Times New Roman"/>
          <w:color w:val="2F2F2F"/>
          <w:w w:val="105"/>
        </w:rPr>
        <w:t>risks</w:t>
      </w:r>
      <w:r>
        <w:rPr>
          <w:rFonts w:ascii="Times New Roman"/>
          <w:color w:val="2F2F2F"/>
          <w:spacing w:val="-18"/>
          <w:w w:val="105"/>
        </w:rPr>
        <w:t> </w:t>
      </w:r>
      <w:r>
        <w:rPr>
          <w:rFonts w:ascii="Times New Roman"/>
          <w:color w:val="414141"/>
          <w:w w:val="105"/>
        </w:rPr>
        <w:t>of</w:t>
      </w:r>
      <w:r>
        <w:rPr>
          <w:rFonts w:ascii="Times New Roman"/>
          <w:color w:val="414141"/>
          <w:spacing w:val="-6"/>
          <w:w w:val="105"/>
        </w:rPr>
        <w:t> </w:t>
      </w:r>
      <w:r>
        <w:rPr>
          <w:rFonts w:ascii="Times New Roman"/>
          <w:color w:val="414141"/>
          <w:w w:val="105"/>
        </w:rPr>
        <w:t>ownership</w:t>
      </w:r>
      <w:r>
        <w:rPr>
          <w:rFonts w:ascii="Times New Roman"/>
          <w:color w:val="414141"/>
          <w:spacing w:val="-7"/>
          <w:w w:val="105"/>
        </w:rPr>
        <w:t> </w:t>
      </w:r>
      <w:r>
        <w:rPr>
          <w:rFonts w:ascii="Times New Roman"/>
          <w:color w:val="414141"/>
          <w:w w:val="105"/>
        </w:rPr>
        <w:t>remain</w:t>
      </w:r>
      <w:r>
        <w:rPr>
          <w:rFonts w:ascii="Times New Roman"/>
          <w:color w:val="414141"/>
          <w:spacing w:val="-4"/>
          <w:w w:val="105"/>
        </w:rPr>
        <w:t> </w:t>
      </w:r>
      <w:r>
        <w:rPr>
          <w:rFonts w:ascii="Times New Roman"/>
          <w:color w:val="414141"/>
          <w:w w:val="105"/>
        </w:rPr>
        <w:t>with</w:t>
      </w:r>
      <w:r>
        <w:rPr>
          <w:rFonts w:ascii="Times New Roman"/>
          <w:color w:val="414141"/>
          <w:spacing w:val="-8"/>
          <w:w w:val="105"/>
        </w:rPr>
        <w:t> </w:t>
      </w:r>
      <w:r>
        <w:rPr>
          <w:rFonts w:ascii="Times New Roman"/>
          <w:color w:val="414141"/>
          <w:w w:val="105"/>
        </w:rPr>
        <w:t>the lessor</w:t>
      </w:r>
      <w:r>
        <w:rPr>
          <w:rFonts w:ascii="Times New Roman"/>
          <w:color w:val="414141"/>
          <w:spacing w:val="-5"/>
          <w:w w:val="105"/>
        </w:rPr>
        <w:t> </w:t>
      </w:r>
      <w:r>
        <w:rPr>
          <w:rFonts w:ascii="Times New Roman"/>
          <w:color w:val="414141"/>
          <w:w w:val="105"/>
        </w:rPr>
        <w:t>are</w:t>
      </w:r>
      <w:r>
        <w:rPr>
          <w:rFonts w:ascii="Times New Roman"/>
          <w:color w:val="414141"/>
          <w:spacing w:val="-8"/>
          <w:w w:val="105"/>
        </w:rPr>
        <w:t> </w:t>
      </w:r>
      <w:r>
        <w:rPr>
          <w:rFonts w:ascii="Times New Roman"/>
          <w:color w:val="414141"/>
          <w:w w:val="105"/>
        </w:rPr>
        <w:t>charged</w:t>
      </w:r>
      <w:r>
        <w:rPr>
          <w:rFonts w:ascii="Times New Roman"/>
          <w:color w:val="414141"/>
          <w:spacing w:val="3"/>
          <w:w w:val="105"/>
        </w:rPr>
        <w:t> </w:t>
      </w:r>
      <w:r>
        <w:rPr>
          <w:rFonts w:ascii="Times New Roman"/>
          <w:color w:val="414141"/>
          <w:w w:val="105"/>
        </w:rPr>
        <w:t>to</w:t>
      </w:r>
      <w:r>
        <w:rPr>
          <w:rFonts w:ascii="Times New Roman"/>
          <w:color w:val="414141"/>
          <w:spacing w:val="-3"/>
          <w:w w:val="105"/>
        </w:rPr>
        <w:t> </w:t>
      </w:r>
      <w:r>
        <w:rPr>
          <w:rFonts w:ascii="Times New Roman"/>
          <w:color w:val="414141"/>
          <w:w w:val="105"/>
        </w:rPr>
        <w:t>the</w:t>
      </w:r>
      <w:r>
        <w:rPr>
          <w:rFonts w:ascii="Times New Roman"/>
          <w:color w:val="414141"/>
          <w:spacing w:val="-3"/>
          <w:w w:val="105"/>
        </w:rPr>
        <w:t> </w:t>
      </w:r>
      <w:r>
        <w:rPr>
          <w:rFonts w:ascii="Times New Roman"/>
          <w:color w:val="2F2F2F"/>
          <w:w w:val="105"/>
        </w:rPr>
        <w:t>income</w:t>
      </w:r>
      <w:r>
        <w:rPr>
          <w:rFonts w:ascii="Times New Roman"/>
          <w:color w:val="2F2F2F"/>
          <w:spacing w:val="-10"/>
          <w:w w:val="105"/>
        </w:rPr>
        <w:t> </w:t>
      </w:r>
      <w:r>
        <w:rPr>
          <w:rFonts w:ascii="Times New Roman"/>
          <w:color w:val="414141"/>
          <w:w w:val="105"/>
        </w:rPr>
        <w:t>and</w:t>
      </w:r>
      <w:r>
        <w:rPr>
          <w:rFonts w:ascii="Times New Roman"/>
          <w:color w:val="414141"/>
          <w:spacing w:val="-11"/>
          <w:w w:val="105"/>
        </w:rPr>
        <w:t> </w:t>
      </w:r>
      <w:r>
        <w:rPr>
          <w:rFonts w:ascii="Times New Roman"/>
          <w:color w:val="414141"/>
          <w:w w:val="105"/>
        </w:rPr>
        <w:t>expenditure</w:t>
      </w:r>
      <w:r>
        <w:rPr>
          <w:rFonts w:ascii="Times New Roman"/>
          <w:color w:val="414141"/>
          <w:spacing w:val="-7"/>
          <w:w w:val="105"/>
        </w:rPr>
        <w:t> </w:t>
      </w:r>
      <w:r>
        <w:rPr>
          <w:rFonts w:ascii="Times New Roman"/>
          <w:color w:val="414141"/>
          <w:w w:val="105"/>
        </w:rPr>
        <w:t>account</w:t>
      </w:r>
      <w:r>
        <w:rPr>
          <w:rFonts w:ascii="Times New Roman"/>
          <w:color w:val="414141"/>
          <w:spacing w:val="-16"/>
          <w:w w:val="105"/>
        </w:rPr>
        <w:t> </w:t>
      </w:r>
      <w:r>
        <w:rPr>
          <w:rFonts w:ascii="Times New Roman"/>
          <w:color w:val="414141"/>
          <w:w w:val="105"/>
        </w:rPr>
        <w:t>as</w:t>
      </w:r>
      <w:r>
        <w:rPr>
          <w:rFonts w:ascii="Times New Roman"/>
          <w:color w:val="414141"/>
          <w:spacing w:val="5"/>
          <w:w w:val="105"/>
        </w:rPr>
        <w:t> </w:t>
      </w:r>
      <w:r>
        <w:rPr>
          <w:rFonts w:ascii="Times New Roman"/>
          <w:color w:val="414141"/>
          <w:w w:val="105"/>
        </w:rPr>
        <w:t>incurred.</w:t>
      </w:r>
    </w:p>
    <w:p>
      <w:pPr>
        <w:numPr>
          <w:ilvl w:val="0"/>
          <w:numId w:val="217"/>
        </w:numPr>
        <w:tabs>
          <w:tab w:pos="1490" w:val="left" w:leader="none"/>
        </w:tabs>
        <w:spacing w:before="115"/>
        <w:ind w:left="1489" w:right="0" w:hanging="515"/>
        <w:jc w:val="both"/>
        <w:rPr>
          <w:rFonts w:ascii="Times New Roman"/>
          <w:b/>
          <w:color w:val="1C1C1C"/>
          <w:sz w:val="18"/>
        </w:rPr>
      </w:pPr>
      <w:r>
        <w:rPr>
          <w:rFonts w:ascii="Times New Roman"/>
          <w:b/>
          <w:color w:val="1C1C1C"/>
          <w:spacing w:val="-4"/>
          <w:w w:val="110"/>
          <w:sz w:val="18"/>
        </w:rPr>
        <w:t>Inve</w:t>
      </w:r>
      <w:r>
        <w:rPr>
          <w:rFonts w:ascii="Times New Roman"/>
          <w:b/>
          <w:color w:val="414141"/>
          <w:spacing w:val="-4"/>
          <w:w w:val="110"/>
          <w:sz w:val="18"/>
        </w:rPr>
        <w:t>s</w:t>
      </w:r>
      <w:r>
        <w:rPr>
          <w:rFonts w:ascii="Times New Roman"/>
          <w:b/>
          <w:color w:val="1C1C1C"/>
          <w:spacing w:val="-4"/>
          <w:w w:val="110"/>
          <w:sz w:val="18"/>
        </w:rPr>
        <w:t>tments</w:t>
      </w:r>
    </w:p>
    <w:p>
      <w:pPr>
        <w:pStyle w:val="BodyText"/>
        <w:spacing w:line="259" w:lineRule="auto" w:before="24"/>
        <w:ind w:left="972" w:right="797" w:firstLine="7"/>
        <w:jc w:val="both"/>
        <w:rPr>
          <w:rFonts w:ascii="Times New Roman"/>
        </w:rPr>
      </w:pPr>
      <w:r>
        <w:rPr>
          <w:rFonts w:ascii="Times New Roman"/>
          <w:color w:val="414141"/>
          <w:w w:val="105"/>
        </w:rPr>
        <w:t>Listed securities and </w:t>
      </w:r>
      <w:r>
        <w:rPr>
          <w:rFonts w:ascii="Times New Roman"/>
          <w:color w:val="2F2F2F"/>
          <w:w w:val="105"/>
        </w:rPr>
        <w:t>investment </w:t>
      </w:r>
      <w:r>
        <w:rPr>
          <w:rFonts w:ascii="Times New Roman"/>
          <w:color w:val="414141"/>
          <w:w w:val="105"/>
        </w:rPr>
        <w:t>propert</w:t>
      </w:r>
      <w:r>
        <w:rPr>
          <w:rFonts w:ascii="Times New Roman"/>
          <w:color w:val="1C1C1C"/>
          <w:w w:val="105"/>
        </w:rPr>
        <w:t>i</w:t>
      </w:r>
      <w:r>
        <w:rPr>
          <w:rFonts w:ascii="Times New Roman"/>
          <w:color w:val="414141"/>
          <w:w w:val="105"/>
        </w:rPr>
        <w:t>es are included at market value at the Balance Sheet date. Unlisted securities are stated at cost as there is no </w:t>
      </w:r>
      <w:r>
        <w:rPr>
          <w:rFonts w:ascii="Times New Roman"/>
          <w:color w:val="2F2F2F"/>
          <w:w w:val="105"/>
        </w:rPr>
        <w:t>readily </w:t>
      </w:r>
      <w:r>
        <w:rPr>
          <w:rFonts w:ascii="Times New Roman"/>
          <w:color w:val="414141"/>
          <w:w w:val="105"/>
        </w:rPr>
        <w:t>ascertainable market </w:t>
      </w:r>
      <w:r>
        <w:rPr>
          <w:rFonts w:ascii="Times New Roman"/>
          <w:color w:val="2F2F2F"/>
          <w:w w:val="105"/>
        </w:rPr>
        <w:t>price. </w:t>
      </w:r>
      <w:r>
        <w:rPr>
          <w:rFonts w:ascii="Times New Roman"/>
          <w:color w:val="414141"/>
          <w:w w:val="105"/>
        </w:rPr>
        <w:t>For gilt-edged securit</w:t>
      </w:r>
      <w:r>
        <w:rPr>
          <w:rFonts w:ascii="Times New Roman"/>
          <w:color w:val="1C1C1C"/>
          <w:w w:val="105"/>
        </w:rPr>
        <w:t>i</w:t>
      </w:r>
      <w:r>
        <w:rPr>
          <w:rFonts w:ascii="Times New Roman"/>
          <w:color w:val="414141"/>
          <w:w w:val="105"/>
        </w:rPr>
        <w:t>es </w:t>
      </w:r>
      <w:r>
        <w:rPr>
          <w:rFonts w:ascii="Times New Roman"/>
          <w:color w:val="2F2F2F"/>
          <w:w w:val="105"/>
        </w:rPr>
        <w:t>purchased </w:t>
      </w:r>
      <w:r>
        <w:rPr>
          <w:rFonts w:ascii="Times New Roman"/>
          <w:color w:val="414141"/>
          <w:w w:val="105"/>
        </w:rPr>
        <w:t>within ten years of maturity at a cost in excess of redemption amoun</w:t>
      </w:r>
      <w:r>
        <w:rPr>
          <w:rFonts w:ascii="Times New Roman"/>
          <w:color w:val="5B5B5B"/>
          <w:w w:val="105"/>
        </w:rPr>
        <w:t>t, </w:t>
      </w:r>
      <w:r>
        <w:rPr>
          <w:rFonts w:ascii="Times New Roman"/>
          <w:color w:val="414141"/>
          <w:w w:val="105"/>
        </w:rPr>
        <w:t>the excess is amortised over the period to </w:t>
      </w:r>
      <w:r>
        <w:rPr>
          <w:rFonts w:ascii="Times New Roman"/>
          <w:color w:val="2F2F2F"/>
          <w:w w:val="105"/>
        </w:rPr>
        <w:t>maturity.</w:t>
      </w:r>
    </w:p>
    <w:p>
      <w:pPr>
        <w:numPr>
          <w:ilvl w:val="0"/>
          <w:numId w:val="217"/>
        </w:numPr>
        <w:tabs>
          <w:tab w:pos="1484" w:val="left" w:leader="none"/>
        </w:tabs>
        <w:spacing w:before="116"/>
        <w:ind w:left="1484" w:right="0" w:hanging="509"/>
        <w:jc w:val="both"/>
        <w:rPr>
          <w:rFonts w:ascii="Times New Roman"/>
          <w:b/>
          <w:color w:val="1C1C1C"/>
          <w:sz w:val="18"/>
        </w:rPr>
      </w:pPr>
      <w:r>
        <w:rPr>
          <w:rFonts w:ascii="Times New Roman"/>
          <w:b/>
          <w:color w:val="2F2F2F"/>
          <w:w w:val="105"/>
          <w:sz w:val="18"/>
        </w:rPr>
        <w:t>Stock</w:t>
      </w:r>
    </w:p>
    <w:p>
      <w:pPr>
        <w:pStyle w:val="BodyText"/>
        <w:spacing w:line="256" w:lineRule="auto" w:before="15"/>
        <w:ind w:left="981" w:right="784" w:hanging="10"/>
        <w:jc w:val="both"/>
        <w:rPr>
          <w:rFonts w:ascii="Times New Roman"/>
        </w:rPr>
      </w:pPr>
      <w:r>
        <w:rPr>
          <w:rFonts w:ascii="Times New Roman"/>
          <w:color w:val="414141"/>
          <w:w w:val="105"/>
        </w:rPr>
        <w:t>Stock</w:t>
      </w:r>
      <w:r>
        <w:rPr>
          <w:rFonts w:ascii="Times New Roman"/>
          <w:color w:val="5B5B5B"/>
          <w:w w:val="105"/>
        </w:rPr>
        <w:t>, </w:t>
      </w:r>
      <w:r>
        <w:rPr>
          <w:rFonts w:ascii="Times New Roman"/>
          <w:color w:val="2F2F2F"/>
          <w:w w:val="105"/>
        </w:rPr>
        <w:t>which </w:t>
      </w:r>
      <w:r>
        <w:rPr>
          <w:rFonts w:ascii="Times New Roman"/>
          <w:color w:val="414141"/>
          <w:w w:val="105"/>
        </w:rPr>
        <w:t>consists </w:t>
      </w:r>
      <w:r>
        <w:rPr>
          <w:rFonts w:ascii="Times New Roman"/>
          <w:color w:val="2F2F2F"/>
          <w:w w:val="105"/>
        </w:rPr>
        <w:t>mainly </w:t>
      </w:r>
      <w:r>
        <w:rPr>
          <w:rFonts w:ascii="Times New Roman"/>
          <w:color w:val="414141"/>
          <w:w w:val="105"/>
        </w:rPr>
        <w:t>of </w:t>
      </w:r>
      <w:r>
        <w:rPr>
          <w:rFonts w:ascii="Times New Roman"/>
          <w:color w:val="2F2F2F"/>
          <w:w w:val="105"/>
        </w:rPr>
        <w:t>books in </w:t>
      </w:r>
      <w:r>
        <w:rPr>
          <w:rFonts w:ascii="Times New Roman"/>
          <w:color w:val="414141"/>
          <w:w w:val="105"/>
        </w:rPr>
        <w:t>the </w:t>
      </w:r>
      <w:r>
        <w:rPr>
          <w:rFonts w:ascii="Times New Roman"/>
          <w:color w:val="2F2F2F"/>
          <w:w w:val="105"/>
        </w:rPr>
        <w:t>bookshop</w:t>
      </w:r>
      <w:r>
        <w:rPr>
          <w:rFonts w:ascii="Times New Roman"/>
          <w:color w:val="5B5B5B"/>
          <w:w w:val="105"/>
        </w:rPr>
        <w:t>, </w:t>
      </w:r>
      <w:r>
        <w:rPr>
          <w:rFonts w:ascii="Times New Roman"/>
          <w:color w:val="2F2F2F"/>
          <w:w w:val="105"/>
        </w:rPr>
        <w:t>is </w:t>
      </w:r>
      <w:r>
        <w:rPr>
          <w:rFonts w:ascii="Times New Roman"/>
          <w:color w:val="414141"/>
          <w:w w:val="105"/>
        </w:rPr>
        <w:t>stated </w:t>
      </w:r>
      <w:r>
        <w:rPr>
          <w:rFonts w:ascii="Times New Roman"/>
          <w:color w:val="2F2F2F"/>
          <w:w w:val="105"/>
        </w:rPr>
        <w:t>at the lower </w:t>
      </w:r>
      <w:r>
        <w:rPr>
          <w:rFonts w:ascii="Times New Roman"/>
          <w:color w:val="414141"/>
          <w:w w:val="105"/>
        </w:rPr>
        <w:t>of cost and </w:t>
      </w:r>
      <w:r>
        <w:rPr>
          <w:rFonts w:ascii="Times New Roman"/>
          <w:color w:val="2F2F2F"/>
          <w:w w:val="105"/>
        </w:rPr>
        <w:t>net </w:t>
      </w:r>
      <w:r>
        <w:rPr>
          <w:rFonts w:ascii="Times New Roman"/>
          <w:color w:val="414141"/>
          <w:w w:val="105"/>
        </w:rPr>
        <w:t>realisable value after making allowance for obsolete or slow moving items.</w:t>
      </w:r>
    </w:p>
    <w:p>
      <w:pPr>
        <w:numPr>
          <w:ilvl w:val="0"/>
          <w:numId w:val="217"/>
        </w:numPr>
        <w:tabs>
          <w:tab w:pos="1483" w:val="left" w:leader="none"/>
        </w:tabs>
        <w:spacing w:before="115"/>
        <w:ind w:left="1482" w:right="0" w:hanging="508"/>
        <w:jc w:val="both"/>
        <w:rPr>
          <w:rFonts w:ascii="Times New Roman"/>
          <w:b/>
          <w:color w:val="1C1C1C"/>
          <w:sz w:val="18"/>
        </w:rPr>
      </w:pPr>
      <w:r>
        <w:rPr>
          <w:rFonts w:ascii="Times New Roman"/>
          <w:b/>
          <w:color w:val="1C1C1C"/>
          <w:spacing w:val="-5"/>
          <w:w w:val="110"/>
          <w:sz w:val="18"/>
        </w:rPr>
        <w:t>Westmin</w:t>
      </w:r>
      <w:r>
        <w:rPr>
          <w:rFonts w:ascii="Times New Roman"/>
          <w:b/>
          <w:color w:val="414141"/>
          <w:spacing w:val="-5"/>
          <w:w w:val="110"/>
          <w:sz w:val="18"/>
        </w:rPr>
        <w:t>ster</w:t>
      </w:r>
      <w:r>
        <w:rPr>
          <w:rFonts w:ascii="Times New Roman"/>
          <w:b/>
          <w:color w:val="414141"/>
          <w:spacing w:val="-11"/>
          <w:w w:val="110"/>
          <w:sz w:val="18"/>
        </w:rPr>
        <w:t> </w:t>
      </w:r>
      <w:r>
        <w:rPr>
          <w:rFonts w:ascii="Times New Roman"/>
          <w:b/>
          <w:color w:val="2F2F2F"/>
          <w:w w:val="110"/>
          <w:sz w:val="18"/>
        </w:rPr>
        <w:t>College</w:t>
      </w:r>
    </w:p>
    <w:p>
      <w:pPr>
        <w:pStyle w:val="BodyText"/>
        <w:spacing w:line="252" w:lineRule="auto" w:before="24"/>
        <w:ind w:left="966" w:right="788" w:firstLine="13"/>
        <w:jc w:val="both"/>
        <w:rPr>
          <w:rFonts w:ascii="Times New Roman"/>
        </w:rPr>
      </w:pPr>
      <w:r>
        <w:rPr>
          <w:rFonts w:ascii="Times New Roman"/>
          <w:color w:val="414141"/>
          <w:w w:val="105"/>
        </w:rPr>
        <w:t>With</w:t>
      </w:r>
      <w:r>
        <w:rPr>
          <w:rFonts w:ascii="Times New Roman"/>
          <w:color w:val="414141"/>
          <w:spacing w:val="6"/>
          <w:w w:val="105"/>
        </w:rPr>
        <w:t> </w:t>
      </w:r>
      <w:r>
        <w:rPr>
          <w:rFonts w:ascii="Times New Roman"/>
          <w:color w:val="414141"/>
          <w:w w:val="105"/>
        </w:rPr>
        <w:t>the</w:t>
      </w:r>
      <w:r>
        <w:rPr>
          <w:rFonts w:ascii="Times New Roman"/>
          <w:color w:val="414141"/>
          <w:spacing w:val="-11"/>
          <w:w w:val="105"/>
        </w:rPr>
        <w:t> </w:t>
      </w:r>
      <w:r>
        <w:rPr>
          <w:rFonts w:ascii="Times New Roman"/>
          <w:color w:val="414141"/>
          <w:w w:val="105"/>
        </w:rPr>
        <w:t>exception</w:t>
      </w:r>
      <w:r>
        <w:rPr>
          <w:rFonts w:ascii="Times New Roman"/>
          <w:color w:val="414141"/>
          <w:spacing w:val="-10"/>
          <w:w w:val="105"/>
        </w:rPr>
        <w:t> </w:t>
      </w:r>
      <w:r>
        <w:rPr>
          <w:rFonts w:ascii="Times New Roman"/>
          <w:color w:val="414141"/>
          <w:w w:val="105"/>
        </w:rPr>
        <w:t>of</w:t>
      </w:r>
      <w:r>
        <w:rPr>
          <w:rFonts w:ascii="Times New Roman"/>
          <w:color w:val="414141"/>
          <w:spacing w:val="-5"/>
          <w:w w:val="105"/>
        </w:rPr>
        <w:t> </w:t>
      </w:r>
      <w:r>
        <w:rPr>
          <w:rFonts w:ascii="Times New Roman"/>
          <w:color w:val="414141"/>
          <w:w w:val="105"/>
        </w:rPr>
        <w:t>certain</w:t>
      </w:r>
      <w:r>
        <w:rPr>
          <w:rFonts w:ascii="Times New Roman"/>
          <w:color w:val="414141"/>
          <w:spacing w:val="-8"/>
          <w:w w:val="105"/>
        </w:rPr>
        <w:t> </w:t>
      </w:r>
      <w:r>
        <w:rPr>
          <w:rFonts w:ascii="Times New Roman"/>
          <w:color w:val="414141"/>
          <w:w w:val="105"/>
        </w:rPr>
        <w:t>improvements</w:t>
      </w:r>
      <w:r>
        <w:rPr>
          <w:rFonts w:ascii="Times New Roman"/>
          <w:color w:val="414141"/>
          <w:spacing w:val="-4"/>
          <w:w w:val="105"/>
        </w:rPr>
        <w:t> </w:t>
      </w:r>
      <w:r>
        <w:rPr>
          <w:rFonts w:ascii="Times New Roman"/>
          <w:color w:val="414141"/>
          <w:w w:val="105"/>
        </w:rPr>
        <w:t>and</w:t>
      </w:r>
      <w:r>
        <w:rPr>
          <w:rFonts w:ascii="Times New Roman"/>
          <w:color w:val="414141"/>
          <w:spacing w:val="-11"/>
          <w:w w:val="105"/>
        </w:rPr>
        <w:t> </w:t>
      </w:r>
      <w:r>
        <w:rPr>
          <w:rFonts w:ascii="Times New Roman"/>
          <w:color w:val="414141"/>
          <w:w w:val="105"/>
        </w:rPr>
        <w:t>additions</w:t>
      </w:r>
      <w:r>
        <w:rPr>
          <w:rFonts w:ascii="Times New Roman"/>
          <w:color w:val="414141"/>
          <w:spacing w:val="-19"/>
          <w:w w:val="105"/>
        </w:rPr>
        <w:t> </w:t>
      </w:r>
      <w:r>
        <w:rPr>
          <w:rFonts w:ascii="Times New Roman"/>
          <w:color w:val="414141"/>
          <w:w w:val="105"/>
        </w:rPr>
        <w:t>since</w:t>
      </w:r>
      <w:r>
        <w:rPr>
          <w:rFonts w:ascii="Times New Roman"/>
          <w:color w:val="414141"/>
          <w:spacing w:val="5"/>
          <w:w w:val="105"/>
        </w:rPr>
        <w:t> </w:t>
      </w:r>
      <w:r>
        <w:rPr>
          <w:rFonts w:ascii="Times New Roman"/>
          <w:color w:val="414141"/>
          <w:w w:val="105"/>
        </w:rPr>
        <w:t>I983,</w:t>
      </w:r>
      <w:r>
        <w:rPr>
          <w:rFonts w:ascii="Times New Roman"/>
          <w:color w:val="414141"/>
          <w:spacing w:val="-4"/>
          <w:w w:val="105"/>
        </w:rPr>
        <w:t> </w:t>
      </w:r>
      <w:r>
        <w:rPr>
          <w:rFonts w:ascii="Times New Roman"/>
          <w:color w:val="2F2F2F"/>
          <w:w w:val="105"/>
        </w:rPr>
        <w:t>the</w:t>
      </w:r>
      <w:r>
        <w:rPr>
          <w:rFonts w:ascii="Times New Roman"/>
          <w:color w:val="2F2F2F"/>
          <w:spacing w:val="-9"/>
          <w:w w:val="105"/>
        </w:rPr>
        <w:t> </w:t>
      </w:r>
      <w:r>
        <w:rPr>
          <w:rFonts w:ascii="Times New Roman"/>
          <w:color w:val="414141"/>
          <w:w w:val="105"/>
        </w:rPr>
        <w:t>buildings</w:t>
      </w:r>
      <w:r>
        <w:rPr>
          <w:rFonts w:ascii="Times New Roman"/>
          <w:color w:val="414141"/>
          <w:spacing w:val="-12"/>
          <w:w w:val="105"/>
        </w:rPr>
        <w:t> </w:t>
      </w:r>
      <w:r>
        <w:rPr>
          <w:rFonts w:ascii="Times New Roman"/>
          <w:color w:val="414141"/>
          <w:w w:val="105"/>
        </w:rPr>
        <w:t>of</w:t>
      </w:r>
      <w:r>
        <w:rPr>
          <w:rFonts w:ascii="Times New Roman"/>
          <w:color w:val="414141"/>
          <w:spacing w:val="12"/>
          <w:w w:val="105"/>
        </w:rPr>
        <w:t> </w:t>
      </w:r>
      <w:r>
        <w:rPr>
          <w:rFonts w:ascii="Times New Roman"/>
          <w:color w:val="414141"/>
          <w:w w:val="105"/>
        </w:rPr>
        <w:t>Westminster</w:t>
      </w:r>
      <w:r>
        <w:rPr>
          <w:rFonts w:ascii="Times New Roman"/>
          <w:color w:val="414141"/>
          <w:spacing w:val="-8"/>
          <w:w w:val="105"/>
        </w:rPr>
        <w:t> </w:t>
      </w:r>
      <w:r>
        <w:rPr>
          <w:rFonts w:ascii="Times New Roman"/>
          <w:color w:val="414141"/>
          <w:w w:val="105"/>
        </w:rPr>
        <w:t>College</w:t>
      </w:r>
      <w:r>
        <w:rPr>
          <w:rFonts w:ascii="Times New Roman"/>
          <w:color w:val="414141"/>
          <w:spacing w:val="-21"/>
          <w:w w:val="105"/>
        </w:rPr>
        <w:t> </w:t>
      </w:r>
      <w:r>
        <w:rPr>
          <w:rFonts w:ascii="Times New Roman"/>
          <w:color w:val="414141"/>
          <w:w w:val="105"/>
        </w:rPr>
        <w:t>are</w:t>
      </w:r>
      <w:r>
        <w:rPr>
          <w:rFonts w:ascii="Times New Roman"/>
          <w:color w:val="414141"/>
          <w:spacing w:val="2"/>
          <w:w w:val="105"/>
        </w:rPr>
        <w:t> </w:t>
      </w:r>
      <w:r>
        <w:rPr>
          <w:rFonts w:ascii="Times New Roman"/>
          <w:color w:val="414141"/>
          <w:w w:val="105"/>
        </w:rPr>
        <w:t>not included in the Balance Sheet since the use of the College </w:t>
      </w:r>
      <w:r>
        <w:rPr>
          <w:rFonts w:ascii="Times New Roman"/>
          <w:color w:val="414141"/>
          <w:w w:val="105"/>
          <w:sz w:val="20"/>
        </w:rPr>
        <w:t>was </w:t>
      </w:r>
      <w:r>
        <w:rPr>
          <w:rFonts w:ascii="Times New Roman"/>
          <w:color w:val="2F2F2F"/>
          <w:w w:val="105"/>
        </w:rPr>
        <w:t>originally </w:t>
      </w:r>
      <w:r>
        <w:rPr>
          <w:rFonts w:ascii="Times New Roman"/>
          <w:color w:val="414141"/>
          <w:w w:val="105"/>
        </w:rPr>
        <w:t>a gift to </w:t>
      </w:r>
      <w:r>
        <w:rPr>
          <w:rFonts w:ascii="Times New Roman"/>
          <w:color w:val="414141"/>
          <w:spacing w:val="-5"/>
          <w:w w:val="105"/>
        </w:rPr>
        <w:t>t</w:t>
      </w:r>
      <w:r>
        <w:rPr>
          <w:rFonts w:ascii="Times New Roman"/>
          <w:color w:val="1C1C1C"/>
          <w:spacing w:val="-5"/>
          <w:w w:val="105"/>
        </w:rPr>
        <w:t>h</w:t>
      </w:r>
      <w:r>
        <w:rPr>
          <w:rFonts w:ascii="Times New Roman"/>
          <w:color w:val="414141"/>
          <w:spacing w:val="-5"/>
          <w:w w:val="105"/>
        </w:rPr>
        <w:t>e </w:t>
      </w:r>
      <w:r>
        <w:rPr>
          <w:rFonts w:ascii="Times New Roman"/>
          <w:color w:val="414141"/>
          <w:w w:val="105"/>
        </w:rPr>
        <w:t>Church, the value of which cannot readily be ascertained without excessive cost. </w:t>
      </w:r>
      <w:r>
        <w:rPr>
          <w:rFonts w:ascii="Times New Roman"/>
          <w:color w:val="2F2F2F"/>
          <w:w w:val="105"/>
        </w:rPr>
        <w:t>In </w:t>
      </w:r>
      <w:r>
        <w:rPr>
          <w:rFonts w:ascii="Times New Roman"/>
          <w:color w:val="414141"/>
          <w:spacing w:val="-5"/>
          <w:w w:val="105"/>
        </w:rPr>
        <w:t>addi</w:t>
      </w:r>
      <w:r>
        <w:rPr>
          <w:rFonts w:ascii="Times New Roman"/>
          <w:color w:val="1C1C1C"/>
          <w:spacing w:val="-5"/>
          <w:w w:val="105"/>
        </w:rPr>
        <w:t>ti</w:t>
      </w:r>
      <w:r>
        <w:rPr>
          <w:rFonts w:ascii="Times New Roman"/>
          <w:color w:val="414141"/>
          <w:spacing w:val="-5"/>
          <w:w w:val="105"/>
        </w:rPr>
        <w:t>on </w:t>
      </w:r>
      <w:r>
        <w:rPr>
          <w:rFonts w:ascii="Times New Roman"/>
          <w:color w:val="414141"/>
          <w:w w:val="105"/>
        </w:rPr>
        <w:t>there </w:t>
      </w:r>
      <w:r>
        <w:rPr>
          <w:rFonts w:ascii="Times New Roman"/>
          <w:color w:val="2F2F2F"/>
          <w:w w:val="105"/>
        </w:rPr>
        <w:t>is </w:t>
      </w:r>
      <w:r>
        <w:rPr>
          <w:rFonts w:ascii="Times New Roman"/>
          <w:color w:val="414141"/>
          <w:w w:val="105"/>
        </w:rPr>
        <w:t>a </w:t>
      </w:r>
      <w:r>
        <w:rPr>
          <w:rFonts w:ascii="Times New Roman"/>
          <w:color w:val="2F2F2F"/>
          <w:w w:val="105"/>
        </w:rPr>
        <w:t>covenant in </w:t>
      </w:r>
      <w:r>
        <w:rPr>
          <w:rFonts w:ascii="Times New Roman"/>
          <w:color w:val="414141"/>
          <w:w w:val="105"/>
        </w:rPr>
        <w:t>perpetuity restricting </w:t>
      </w:r>
      <w:r>
        <w:rPr>
          <w:rFonts w:ascii="Times New Roman"/>
          <w:color w:val="2F2F2F"/>
          <w:w w:val="105"/>
        </w:rPr>
        <w:t>the Church's </w:t>
      </w:r>
      <w:r>
        <w:rPr>
          <w:rFonts w:ascii="Times New Roman"/>
          <w:color w:val="414141"/>
          <w:w w:val="105"/>
        </w:rPr>
        <w:t>ability to use the College for purposes wider than tbat of a theological college; hence an open market va</w:t>
      </w:r>
      <w:r>
        <w:rPr>
          <w:rFonts w:ascii="Times New Roman"/>
          <w:color w:val="1C1C1C"/>
          <w:w w:val="105"/>
        </w:rPr>
        <w:t>l</w:t>
      </w:r>
      <w:r>
        <w:rPr>
          <w:rFonts w:ascii="Times New Roman"/>
          <w:color w:val="414141"/>
          <w:w w:val="105"/>
        </w:rPr>
        <w:t>ue cannot </w:t>
      </w:r>
      <w:r>
        <w:rPr>
          <w:rFonts w:ascii="Times New Roman"/>
          <w:color w:val="2F2F2F"/>
          <w:w w:val="105"/>
        </w:rPr>
        <w:t>be</w:t>
      </w:r>
      <w:r>
        <w:rPr>
          <w:rFonts w:ascii="Times New Roman"/>
          <w:color w:val="2F2F2F"/>
          <w:spacing w:val="-35"/>
          <w:w w:val="105"/>
        </w:rPr>
        <w:t> </w:t>
      </w:r>
      <w:r>
        <w:rPr>
          <w:rFonts w:ascii="Times New Roman"/>
          <w:color w:val="414141"/>
          <w:w w:val="105"/>
        </w:rPr>
        <w:t>applied.</w:t>
      </w:r>
    </w:p>
    <w:p>
      <w:pPr>
        <w:numPr>
          <w:ilvl w:val="0"/>
          <w:numId w:val="217"/>
        </w:numPr>
        <w:tabs>
          <w:tab w:pos="1383" w:val="left" w:leader="none"/>
        </w:tabs>
        <w:spacing w:before="140"/>
        <w:ind w:left="1382" w:right="0" w:hanging="417"/>
        <w:jc w:val="both"/>
        <w:rPr>
          <w:rFonts w:ascii="Times New Roman"/>
          <w:b/>
          <w:color w:val="1C1C1C"/>
          <w:sz w:val="18"/>
        </w:rPr>
      </w:pPr>
      <w:r>
        <w:rPr>
          <w:rFonts w:ascii="Times New Roman"/>
          <w:b/>
          <w:color w:val="1C1C1C"/>
          <w:w w:val="105"/>
          <w:sz w:val="18"/>
        </w:rPr>
        <w:t>Prior period</w:t>
      </w:r>
      <w:r>
        <w:rPr>
          <w:rFonts w:ascii="Times New Roman"/>
          <w:b/>
          <w:color w:val="1C1C1C"/>
          <w:spacing w:val="-10"/>
          <w:w w:val="105"/>
          <w:sz w:val="18"/>
        </w:rPr>
        <w:t> </w:t>
      </w:r>
      <w:r>
        <w:rPr>
          <w:rFonts w:ascii="Times New Roman"/>
          <w:b/>
          <w:color w:val="2F2F2F"/>
          <w:w w:val="105"/>
          <w:sz w:val="18"/>
        </w:rPr>
        <w:t>adjustment</w:t>
      </w:r>
    </w:p>
    <w:p>
      <w:pPr>
        <w:pStyle w:val="BodyText"/>
        <w:spacing w:line="254" w:lineRule="auto" w:before="5"/>
        <w:ind w:left="971" w:right="793" w:firstLine="4"/>
        <w:jc w:val="both"/>
        <w:rPr>
          <w:rFonts w:ascii="Times New Roman"/>
        </w:rPr>
      </w:pPr>
      <w:r>
        <w:rPr>
          <w:rFonts w:ascii="Times New Roman"/>
          <w:color w:val="414141"/>
          <w:w w:val="105"/>
        </w:rPr>
        <w:t>Note</w:t>
      </w:r>
      <w:r>
        <w:rPr>
          <w:rFonts w:ascii="Times New Roman"/>
          <w:color w:val="414141"/>
          <w:spacing w:val="-9"/>
          <w:w w:val="105"/>
        </w:rPr>
        <w:t> </w:t>
      </w:r>
      <w:r>
        <w:rPr>
          <w:rFonts w:ascii="Times New Roman"/>
          <w:color w:val="2F2F2F"/>
          <w:w w:val="105"/>
        </w:rPr>
        <w:t>17</w:t>
      </w:r>
      <w:r>
        <w:rPr>
          <w:rFonts w:ascii="Times New Roman"/>
          <w:color w:val="2F2F2F"/>
          <w:spacing w:val="-1"/>
          <w:w w:val="105"/>
        </w:rPr>
        <w:t> </w:t>
      </w:r>
      <w:r>
        <w:rPr>
          <w:rFonts w:ascii="Times New Roman"/>
          <w:color w:val="414141"/>
          <w:w w:val="105"/>
        </w:rPr>
        <w:t>explains</w:t>
      </w:r>
      <w:r>
        <w:rPr>
          <w:rFonts w:ascii="Times New Roman"/>
          <w:color w:val="414141"/>
          <w:spacing w:val="-4"/>
          <w:w w:val="105"/>
        </w:rPr>
        <w:t> </w:t>
      </w:r>
      <w:r>
        <w:rPr>
          <w:rFonts w:ascii="Times New Roman"/>
          <w:color w:val="414141"/>
          <w:w w:val="105"/>
        </w:rPr>
        <w:t>tbe</w:t>
      </w:r>
      <w:r>
        <w:rPr>
          <w:rFonts w:ascii="Times New Roman"/>
          <w:color w:val="414141"/>
          <w:spacing w:val="-1"/>
          <w:w w:val="105"/>
        </w:rPr>
        <w:t> </w:t>
      </w:r>
      <w:r>
        <w:rPr>
          <w:rFonts w:ascii="Times New Roman"/>
          <w:color w:val="414141"/>
          <w:w w:val="105"/>
        </w:rPr>
        <w:t>treatment</w:t>
      </w:r>
      <w:r>
        <w:rPr>
          <w:rFonts w:ascii="Times New Roman"/>
          <w:color w:val="414141"/>
          <w:spacing w:val="6"/>
          <w:w w:val="105"/>
        </w:rPr>
        <w:t> </w:t>
      </w:r>
      <w:r>
        <w:rPr>
          <w:rFonts w:ascii="Times New Roman"/>
          <w:color w:val="2F2F2F"/>
          <w:w w:val="105"/>
        </w:rPr>
        <w:t>that</w:t>
      </w:r>
      <w:r>
        <w:rPr>
          <w:rFonts w:ascii="Times New Roman"/>
          <w:color w:val="2F2F2F"/>
          <w:spacing w:val="-12"/>
          <w:w w:val="105"/>
        </w:rPr>
        <w:t> </w:t>
      </w:r>
      <w:r>
        <w:rPr>
          <w:rFonts w:ascii="Times New Roman"/>
          <w:color w:val="2F2F2F"/>
          <w:w w:val="105"/>
        </w:rPr>
        <w:t>has</w:t>
      </w:r>
      <w:r>
        <w:rPr>
          <w:rFonts w:ascii="Times New Roman"/>
          <w:color w:val="2F2F2F"/>
          <w:spacing w:val="-11"/>
          <w:w w:val="105"/>
        </w:rPr>
        <w:t> </w:t>
      </w:r>
      <w:r>
        <w:rPr>
          <w:rFonts w:ascii="Times New Roman"/>
          <w:color w:val="2F2F2F"/>
          <w:w w:val="105"/>
        </w:rPr>
        <w:t>been</w:t>
      </w:r>
      <w:r>
        <w:rPr>
          <w:rFonts w:ascii="Times New Roman"/>
          <w:color w:val="2F2F2F"/>
          <w:spacing w:val="-10"/>
          <w:w w:val="105"/>
        </w:rPr>
        <w:t> </w:t>
      </w:r>
      <w:r>
        <w:rPr>
          <w:rFonts w:ascii="Times New Roman"/>
          <w:color w:val="414141"/>
          <w:w w:val="105"/>
        </w:rPr>
        <w:t>adopted</w:t>
      </w:r>
      <w:r>
        <w:rPr>
          <w:rFonts w:ascii="Times New Roman"/>
          <w:color w:val="414141"/>
          <w:spacing w:val="5"/>
          <w:w w:val="105"/>
        </w:rPr>
        <w:t> </w:t>
      </w:r>
      <w:r>
        <w:rPr>
          <w:rFonts w:ascii="Times New Roman"/>
          <w:color w:val="414141"/>
          <w:w w:val="105"/>
        </w:rPr>
        <w:t>for the first</w:t>
      </w:r>
      <w:r>
        <w:rPr>
          <w:rFonts w:ascii="Times New Roman"/>
          <w:color w:val="414141"/>
          <w:spacing w:val="-16"/>
          <w:w w:val="105"/>
        </w:rPr>
        <w:t> </w:t>
      </w:r>
      <w:r>
        <w:rPr>
          <w:rFonts w:ascii="Times New Roman"/>
          <w:color w:val="414141"/>
          <w:w w:val="105"/>
        </w:rPr>
        <w:t>time</w:t>
      </w:r>
      <w:r>
        <w:rPr>
          <w:rFonts w:ascii="Times New Roman"/>
          <w:color w:val="414141"/>
          <w:spacing w:val="-20"/>
          <w:w w:val="105"/>
        </w:rPr>
        <w:t> </w:t>
      </w:r>
      <w:r>
        <w:rPr>
          <w:rFonts w:ascii="Times New Roman"/>
          <w:color w:val="414141"/>
          <w:w w:val="105"/>
        </w:rPr>
        <w:t>this</w:t>
      </w:r>
      <w:r>
        <w:rPr>
          <w:rFonts w:ascii="Times New Roman"/>
          <w:color w:val="414141"/>
          <w:spacing w:val="-12"/>
          <w:w w:val="105"/>
        </w:rPr>
        <w:t> </w:t>
      </w:r>
      <w:r>
        <w:rPr>
          <w:rFonts w:ascii="Times New Roman"/>
          <w:color w:val="414141"/>
          <w:w w:val="105"/>
        </w:rPr>
        <w:t>year</w:t>
      </w:r>
      <w:r>
        <w:rPr>
          <w:rFonts w:ascii="Times New Roman"/>
          <w:color w:val="414141"/>
          <w:spacing w:val="-8"/>
          <w:w w:val="105"/>
        </w:rPr>
        <w:t> </w:t>
      </w:r>
      <w:r>
        <w:rPr>
          <w:rFonts w:ascii="Times New Roman"/>
          <w:color w:val="414141"/>
          <w:w w:val="105"/>
          <w:sz w:val="19"/>
        </w:rPr>
        <w:t>in</w:t>
      </w:r>
      <w:r>
        <w:rPr>
          <w:rFonts w:ascii="Times New Roman"/>
          <w:color w:val="414141"/>
          <w:spacing w:val="-10"/>
          <w:w w:val="105"/>
          <w:sz w:val="19"/>
        </w:rPr>
        <w:t> </w:t>
      </w:r>
      <w:r>
        <w:rPr>
          <w:rFonts w:ascii="Times New Roman"/>
          <w:color w:val="414141"/>
          <w:w w:val="105"/>
        </w:rPr>
        <w:t>recognising</w:t>
      </w:r>
      <w:r>
        <w:rPr>
          <w:rFonts w:ascii="Times New Roman"/>
          <w:color w:val="414141"/>
          <w:spacing w:val="-15"/>
          <w:w w:val="105"/>
        </w:rPr>
        <w:t> </w:t>
      </w:r>
      <w:r>
        <w:rPr>
          <w:rFonts w:ascii="Times New Roman"/>
          <w:color w:val="414141"/>
          <w:w w:val="105"/>
        </w:rPr>
        <w:t>on</w:t>
      </w:r>
      <w:r>
        <w:rPr>
          <w:rFonts w:ascii="Times New Roman"/>
          <w:color w:val="414141"/>
          <w:spacing w:val="4"/>
          <w:w w:val="105"/>
        </w:rPr>
        <w:t> </w:t>
      </w:r>
      <w:r>
        <w:rPr>
          <w:rFonts w:ascii="Times New Roman"/>
          <w:color w:val="414141"/>
          <w:w w:val="105"/>
        </w:rPr>
        <w:t>the</w:t>
      </w:r>
      <w:r>
        <w:rPr>
          <w:rFonts w:ascii="Times New Roman"/>
          <w:color w:val="414141"/>
          <w:spacing w:val="5"/>
          <w:w w:val="105"/>
        </w:rPr>
        <w:t> </w:t>
      </w:r>
      <w:r>
        <w:rPr>
          <w:rFonts w:ascii="Times New Roman"/>
          <w:color w:val="2F2F2F"/>
          <w:w w:val="105"/>
        </w:rPr>
        <w:t>Balance</w:t>
      </w:r>
      <w:r>
        <w:rPr>
          <w:rFonts w:ascii="Times New Roman"/>
          <w:color w:val="2F2F2F"/>
          <w:spacing w:val="-11"/>
          <w:w w:val="105"/>
        </w:rPr>
        <w:t> </w:t>
      </w:r>
      <w:r>
        <w:rPr>
          <w:rFonts w:ascii="Times New Roman"/>
          <w:color w:val="414141"/>
          <w:w w:val="105"/>
        </w:rPr>
        <w:t>Sheet the</w:t>
      </w:r>
      <w:r>
        <w:rPr>
          <w:rFonts w:ascii="Times New Roman"/>
          <w:color w:val="414141"/>
          <w:spacing w:val="-4"/>
          <w:w w:val="105"/>
        </w:rPr>
        <w:t> </w:t>
      </w:r>
      <w:r>
        <w:rPr>
          <w:rFonts w:ascii="Times New Roman"/>
          <w:color w:val="414141"/>
          <w:w w:val="105"/>
        </w:rPr>
        <w:t>net</w:t>
      </w:r>
      <w:r>
        <w:rPr>
          <w:rFonts w:ascii="Times New Roman"/>
          <w:color w:val="414141"/>
          <w:spacing w:val="-14"/>
          <w:w w:val="105"/>
        </w:rPr>
        <w:t> </w:t>
      </w:r>
      <w:r>
        <w:rPr>
          <w:rFonts w:ascii="Times New Roman"/>
          <w:color w:val="2F2F2F"/>
          <w:w w:val="105"/>
        </w:rPr>
        <w:t>present </w:t>
      </w:r>
      <w:r>
        <w:rPr>
          <w:rFonts w:ascii="Times New Roman"/>
          <w:color w:val="414141"/>
          <w:spacing w:val="3"/>
          <w:w w:val="105"/>
        </w:rPr>
        <w:t>valueof</w:t>
      </w:r>
      <w:r>
        <w:rPr>
          <w:rFonts w:ascii="Times New Roman"/>
          <w:color w:val="414141"/>
          <w:spacing w:val="4"/>
          <w:w w:val="105"/>
        </w:rPr>
        <w:t> </w:t>
      </w:r>
      <w:r>
        <w:rPr>
          <w:rFonts w:ascii="Times New Roman"/>
          <w:color w:val="414141"/>
          <w:w w:val="105"/>
        </w:rPr>
        <w:t>future</w:t>
      </w:r>
      <w:r>
        <w:rPr>
          <w:rFonts w:ascii="Times New Roman"/>
          <w:color w:val="414141"/>
          <w:spacing w:val="-6"/>
          <w:w w:val="105"/>
        </w:rPr>
        <w:t> </w:t>
      </w:r>
      <w:r>
        <w:rPr>
          <w:rFonts w:ascii="Times New Roman"/>
          <w:color w:val="414141"/>
          <w:w w:val="105"/>
        </w:rPr>
        <w:t>pension</w:t>
      </w:r>
      <w:r>
        <w:rPr>
          <w:rFonts w:ascii="Times New Roman"/>
          <w:color w:val="414141"/>
          <w:spacing w:val="-6"/>
          <w:w w:val="105"/>
        </w:rPr>
        <w:t> </w:t>
      </w:r>
      <w:r>
        <w:rPr>
          <w:rFonts w:ascii="Times New Roman"/>
          <w:color w:val="414141"/>
          <w:w w:val="105"/>
        </w:rPr>
        <w:t>grants,</w:t>
      </w:r>
      <w:r>
        <w:rPr>
          <w:rFonts w:ascii="Times New Roman"/>
          <w:color w:val="414141"/>
          <w:spacing w:val="1"/>
          <w:w w:val="105"/>
        </w:rPr>
        <w:t> </w:t>
      </w:r>
      <w:r>
        <w:rPr>
          <w:rFonts w:ascii="Times New Roman"/>
          <w:color w:val="414141"/>
          <w:w w:val="105"/>
        </w:rPr>
        <w:t>based</w:t>
      </w:r>
      <w:r>
        <w:rPr>
          <w:rFonts w:ascii="Times New Roman"/>
          <w:color w:val="414141"/>
          <w:spacing w:val="-18"/>
          <w:w w:val="105"/>
        </w:rPr>
        <w:t> </w:t>
      </w:r>
      <w:r>
        <w:rPr>
          <w:rFonts w:ascii="Times New Roman"/>
          <w:color w:val="414141"/>
          <w:w w:val="105"/>
        </w:rPr>
        <w:t>on</w:t>
      </w:r>
      <w:r>
        <w:rPr>
          <w:rFonts w:ascii="Times New Roman"/>
          <w:color w:val="414141"/>
          <w:spacing w:val="-4"/>
          <w:w w:val="105"/>
        </w:rPr>
        <w:t> </w:t>
      </w:r>
      <w:r>
        <w:rPr>
          <w:rFonts w:ascii="Times New Roman"/>
          <w:color w:val="414141"/>
          <w:w w:val="105"/>
        </w:rPr>
        <w:t>an</w:t>
      </w:r>
      <w:r>
        <w:rPr>
          <w:rFonts w:ascii="Times New Roman"/>
          <w:color w:val="414141"/>
          <w:spacing w:val="-3"/>
          <w:w w:val="105"/>
        </w:rPr>
        <w:t> </w:t>
      </w:r>
      <w:r>
        <w:rPr>
          <w:rFonts w:ascii="Times New Roman"/>
          <w:color w:val="414141"/>
          <w:w w:val="105"/>
        </w:rPr>
        <w:t>actuarial</w:t>
      </w:r>
      <w:r>
        <w:rPr>
          <w:rFonts w:ascii="Times New Roman"/>
          <w:color w:val="414141"/>
          <w:spacing w:val="1"/>
          <w:w w:val="105"/>
        </w:rPr>
        <w:t> </w:t>
      </w:r>
      <w:r>
        <w:rPr>
          <w:rFonts w:ascii="Times New Roman"/>
          <w:color w:val="414141"/>
          <w:w w:val="105"/>
        </w:rPr>
        <w:t>assessment</w:t>
      </w:r>
      <w:r>
        <w:rPr>
          <w:rFonts w:ascii="Times New Roman"/>
          <w:color w:val="414141"/>
          <w:spacing w:val="-6"/>
          <w:w w:val="105"/>
        </w:rPr>
        <w:t> </w:t>
      </w:r>
      <w:r>
        <w:rPr>
          <w:rFonts w:ascii="Times New Roman"/>
          <w:color w:val="414141"/>
          <w:w w:val="105"/>
        </w:rPr>
        <w:t>at</w:t>
      </w:r>
      <w:r>
        <w:rPr>
          <w:rFonts w:ascii="Times New Roman"/>
          <w:color w:val="414141"/>
          <w:spacing w:val="10"/>
          <w:w w:val="105"/>
        </w:rPr>
        <w:t> </w:t>
      </w:r>
      <w:r>
        <w:rPr>
          <w:rFonts w:ascii="Times New Roman"/>
          <w:color w:val="414141"/>
          <w:w w:val="105"/>
        </w:rPr>
        <w:t>31</w:t>
      </w:r>
      <w:r>
        <w:rPr>
          <w:rFonts w:ascii="Times New Roman"/>
          <w:color w:val="414141"/>
          <w:spacing w:val="-8"/>
          <w:w w:val="105"/>
        </w:rPr>
        <w:t> </w:t>
      </w:r>
      <w:r>
        <w:rPr>
          <w:rFonts w:ascii="Times New Roman"/>
          <w:color w:val="414141"/>
          <w:w w:val="105"/>
        </w:rPr>
        <w:t>December</w:t>
      </w:r>
      <w:r>
        <w:rPr>
          <w:rFonts w:ascii="Times New Roman"/>
          <w:color w:val="414141"/>
          <w:spacing w:val="1"/>
          <w:w w:val="105"/>
        </w:rPr>
        <w:t> </w:t>
      </w:r>
      <w:r>
        <w:rPr>
          <w:rFonts w:ascii="Times New Roman"/>
          <w:color w:val="414141"/>
          <w:w w:val="105"/>
        </w:rPr>
        <w:t>2006.</w:t>
      </w:r>
    </w:p>
    <w:p>
      <w:pPr>
        <w:pStyle w:val="BodyText"/>
        <w:spacing w:line="259" w:lineRule="auto" w:before="11"/>
        <w:ind w:left="967" w:right="792" w:firstLine="4"/>
        <w:jc w:val="both"/>
        <w:rPr>
          <w:rFonts w:ascii="Times New Roman"/>
        </w:rPr>
      </w:pPr>
      <w:r>
        <w:rPr>
          <w:rFonts w:ascii="Times New Roman"/>
          <w:color w:val="414141"/>
          <w:spacing w:val="-8"/>
          <w:w w:val="105"/>
        </w:rPr>
        <w:t>A</w:t>
      </w:r>
      <w:r>
        <w:rPr>
          <w:rFonts w:ascii="Times New Roman"/>
          <w:color w:val="5B5B5B"/>
          <w:spacing w:val="-8"/>
          <w:w w:val="105"/>
        </w:rPr>
        <w:t>s </w:t>
      </w:r>
      <w:r>
        <w:rPr>
          <w:rFonts w:ascii="Times New Roman"/>
          <w:color w:val="414141"/>
          <w:w w:val="105"/>
        </w:rPr>
        <w:t>there </w:t>
      </w:r>
      <w:r>
        <w:rPr>
          <w:rFonts w:ascii="Times New Roman"/>
          <w:color w:val="2F2F2F"/>
          <w:w w:val="105"/>
        </w:rPr>
        <w:t>is </w:t>
      </w:r>
      <w:r>
        <w:rPr>
          <w:rFonts w:ascii="Times New Roman"/>
          <w:color w:val="414141"/>
          <w:w w:val="105"/>
        </w:rPr>
        <w:t>no historical </w:t>
      </w:r>
      <w:r>
        <w:rPr>
          <w:rFonts w:ascii="Times New Roman"/>
          <w:color w:val="414141"/>
          <w:spacing w:val="-3"/>
          <w:w w:val="105"/>
        </w:rPr>
        <w:t>informatio</w:t>
      </w:r>
      <w:r>
        <w:rPr>
          <w:rFonts w:ascii="Times New Roman"/>
          <w:color w:val="1C1C1C"/>
          <w:spacing w:val="-3"/>
          <w:w w:val="105"/>
        </w:rPr>
        <w:t>n </w:t>
      </w:r>
      <w:r>
        <w:rPr>
          <w:rFonts w:ascii="Times New Roman"/>
          <w:color w:val="414141"/>
          <w:w w:val="105"/>
        </w:rPr>
        <w:t>ava</w:t>
      </w:r>
      <w:r>
        <w:rPr>
          <w:rFonts w:ascii="Times New Roman"/>
          <w:color w:val="1C1C1C"/>
          <w:w w:val="105"/>
        </w:rPr>
        <w:t>il</w:t>
      </w:r>
      <w:r>
        <w:rPr>
          <w:rFonts w:ascii="Times New Roman"/>
          <w:color w:val="414141"/>
          <w:w w:val="105"/>
        </w:rPr>
        <w:t>able for tbe equ</w:t>
      </w:r>
      <w:r>
        <w:rPr>
          <w:rFonts w:ascii="Times New Roman"/>
          <w:color w:val="1C1C1C"/>
          <w:w w:val="105"/>
        </w:rPr>
        <w:t>i</w:t>
      </w:r>
      <w:r>
        <w:rPr>
          <w:rFonts w:ascii="Times New Roman"/>
          <w:color w:val="414141"/>
          <w:w w:val="105"/>
        </w:rPr>
        <w:t>valent figures at 31 </w:t>
      </w:r>
      <w:r>
        <w:rPr>
          <w:rFonts w:ascii="Times New Roman"/>
          <w:color w:val="2F2F2F"/>
          <w:w w:val="105"/>
        </w:rPr>
        <w:t>December </w:t>
      </w:r>
      <w:r>
        <w:rPr>
          <w:rFonts w:ascii="Times New Roman"/>
          <w:color w:val="414141"/>
          <w:w w:val="105"/>
        </w:rPr>
        <w:t>2005 and 2004,  the change in accounting policy has been reflected by including the same figure as a long term </w:t>
      </w:r>
      <w:r>
        <w:rPr>
          <w:rFonts w:ascii="Times New Roman"/>
          <w:color w:val="414141"/>
          <w:spacing w:val="-3"/>
          <w:w w:val="105"/>
        </w:rPr>
        <w:t>liab</w:t>
      </w:r>
      <w:r>
        <w:rPr>
          <w:rFonts w:ascii="Times New Roman"/>
          <w:color w:val="1C1C1C"/>
          <w:spacing w:val="-3"/>
          <w:w w:val="105"/>
        </w:rPr>
        <w:t>i</w:t>
      </w:r>
      <w:r>
        <w:rPr>
          <w:rFonts w:ascii="Times New Roman"/>
          <w:color w:val="414141"/>
          <w:spacing w:val="-3"/>
          <w:w w:val="105"/>
        </w:rPr>
        <w:t>lity </w:t>
      </w:r>
      <w:r>
        <w:rPr>
          <w:rFonts w:ascii="Arial"/>
          <w:color w:val="414141"/>
          <w:w w:val="105"/>
          <w:sz w:val="19"/>
        </w:rPr>
        <w:t>in </w:t>
      </w:r>
      <w:r>
        <w:rPr>
          <w:rFonts w:ascii="Times New Roman"/>
          <w:color w:val="414141"/>
          <w:w w:val="105"/>
        </w:rPr>
        <w:t>the Balance Sheet at each of those dates</w:t>
      </w:r>
      <w:r>
        <w:rPr>
          <w:rFonts w:ascii="Times New Roman"/>
          <w:color w:val="1C1C1C"/>
          <w:w w:val="105"/>
        </w:rPr>
        <w:t>. </w:t>
      </w:r>
      <w:r>
        <w:rPr>
          <w:rFonts w:ascii="Times New Roman"/>
          <w:color w:val="414141"/>
          <w:w w:val="105"/>
        </w:rPr>
        <w:t>The Trustee </w:t>
      </w:r>
      <w:r>
        <w:rPr>
          <w:rFonts w:ascii="Times New Roman"/>
          <w:color w:val="2F2F2F"/>
          <w:w w:val="105"/>
        </w:rPr>
        <w:t>is </w:t>
      </w:r>
      <w:r>
        <w:rPr>
          <w:rFonts w:ascii="Times New Roman"/>
          <w:color w:val="414141"/>
          <w:w w:val="105"/>
        </w:rPr>
        <w:t>satisfied that this approach is justified in te</w:t>
      </w:r>
      <w:r>
        <w:rPr>
          <w:rFonts w:ascii="Times New Roman"/>
          <w:color w:val="1C1C1C"/>
          <w:w w:val="105"/>
        </w:rPr>
        <w:t>r</w:t>
      </w:r>
      <w:r>
        <w:rPr>
          <w:rFonts w:ascii="Times New Roman"/>
          <w:color w:val="414141"/>
          <w:w w:val="105"/>
        </w:rPr>
        <w:t>ms of the significance of this</w:t>
      </w:r>
      <w:r>
        <w:rPr>
          <w:rFonts w:ascii="Times New Roman"/>
          <w:color w:val="414141"/>
          <w:spacing w:val="-19"/>
          <w:w w:val="105"/>
        </w:rPr>
        <w:t> </w:t>
      </w:r>
      <w:r>
        <w:rPr>
          <w:rFonts w:ascii="Times New Roman"/>
          <w:color w:val="414141"/>
          <w:w w:val="105"/>
        </w:rPr>
        <w:t>item</w:t>
      </w:r>
      <w:r>
        <w:rPr>
          <w:rFonts w:ascii="Times New Roman"/>
          <w:color w:val="414141"/>
          <w:spacing w:val="-6"/>
          <w:w w:val="105"/>
        </w:rPr>
        <w:t> </w:t>
      </w:r>
      <w:r>
        <w:rPr>
          <w:rFonts w:ascii="Times New Roman"/>
          <w:color w:val="414141"/>
          <w:w w:val="105"/>
        </w:rPr>
        <w:t>to</w:t>
      </w:r>
      <w:r>
        <w:rPr>
          <w:rFonts w:ascii="Times New Roman"/>
          <w:color w:val="414141"/>
          <w:spacing w:val="-4"/>
          <w:w w:val="105"/>
        </w:rPr>
        <w:t> </w:t>
      </w:r>
      <w:r>
        <w:rPr>
          <w:rFonts w:ascii="Times New Roman"/>
          <w:color w:val="2F2F2F"/>
          <w:w w:val="105"/>
        </w:rPr>
        <w:t>the</w:t>
      </w:r>
      <w:r>
        <w:rPr>
          <w:rFonts w:ascii="Times New Roman"/>
          <w:color w:val="2F2F2F"/>
          <w:spacing w:val="-6"/>
          <w:w w:val="105"/>
        </w:rPr>
        <w:t> </w:t>
      </w:r>
      <w:r>
        <w:rPr>
          <w:rFonts w:ascii="Times New Roman"/>
          <w:color w:val="414141"/>
          <w:w w:val="105"/>
        </w:rPr>
        <w:t>Church</w:t>
      </w:r>
      <w:r>
        <w:rPr>
          <w:rFonts w:ascii="Times New Roman"/>
          <w:color w:val="414141"/>
          <w:spacing w:val="-8"/>
          <w:w w:val="105"/>
        </w:rPr>
        <w:t> </w:t>
      </w:r>
      <w:r>
        <w:rPr>
          <w:rFonts w:ascii="Times New Roman"/>
          <w:color w:val="414141"/>
          <w:w w:val="105"/>
        </w:rPr>
        <w:t>and</w:t>
      </w:r>
      <w:r>
        <w:rPr>
          <w:rFonts w:ascii="Times New Roman"/>
          <w:color w:val="414141"/>
          <w:spacing w:val="-12"/>
          <w:w w:val="105"/>
        </w:rPr>
        <w:t> </w:t>
      </w:r>
      <w:r>
        <w:rPr>
          <w:rFonts w:ascii="Times New Roman"/>
          <w:color w:val="414141"/>
          <w:w w:val="105"/>
        </w:rPr>
        <w:t>it</w:t>
      </w:r>
      <w:r>
        <w:rPr>
          <w:rFonts w:ascii="Times New Roman"/>
          <w:color w:val="414141"/>
          <w:spacing w:val="-3"/>
          <w:w w:val="105"/>
        </w:rPr>
        <w:t> </w:t>
      </w:r>
      <w:r>
        <w:rPr>
          <w:rFonts w:ascii="Times New Roman"/>
          <w:color w:val="414141"/>
          <w:w w:val="105"/>
        </w:rPr>
        <w:t>does</w:t>
      </w:r>
      <w:r>
        <w:rPr>
          <w:rFonts w:ascii="Times New Roman"/>
          <w:color w:val="414141"/>
          <w:spacing w:val="-14"/>
          <w:w w:val="105"/>
        </w:rPr>
        <w:t> </w:t>
      </w:r>
      <w:r>
        <w:rPr>
          <w:rFonts w:ascii="Times New Roman"/>
          <w:color w:val="414141"/>
          <w:w w:val="105"/>
        </w:rPr>
        <w:t>not</w:t>
      </w:r>
      <w:r>
        <w:rPr>
          <w:rFonts w:ascii="Times New Roman"/>
          <w:color w:val="414141"/>
          <w:spacing w:val="-16"/>
          <w:w w:val="105"/>
        </w:rPr>
        <w:t> </w:t>
      </w:r>
      <w:r>
        <w:rPr>
          <w:rFonts w:ascii="Times New Roman"/>
          <w:color w:val="414141"/>
          <w:w w:val="105"/>
        </w:rPr>
        <w:t>represent</w:t>
      </w:r>
      <w:r>
        <w:rPr>
          <w:rFonts w:ascii="Times New Roman"/>
          <w:color w:val="414141"/>
          <w:spacing w:val="-13"/>
          <w:w w:val="105"/>
        </w:rPr>
        <w:t> </w:t>
      </w:r>
      <w:r>
        <w:rPr>
          <w:rFonts w:ascii="Times New Roman"/>
          <w:color w:val="414141"/>
          <w:w w:val="105"/>
        </w:rPr>
        <w:t>a</w:t>
      </w:r>
      <w:r>
        <w:rPr>
          <w:rFonts w:ascii="Times New Roman"/>
          <w:color w:val="414141"/>
          <w:spacing w:val="5"/>
          <w:w w:val="105"/>
        </w:rPr>
        <w:t> </w:t>
      </w:r>
      <w:r>
        <w:rPr>
          <w:rFonts w:ascii="Times New Roman"/>
          <w:color w:val="414141"/>
          <w:w w:val="105"/>
        </w:rPr>
        <w:t>material</w:t>
      </w:r>
      <w:r>
        <w:rPr>
          <w:rFonts w:ascii="Times New Roman"/>
          <w:color w:val="414141"/>
          <w:spacing w:val="-15"/>
          <w:w w:val="105"/>
        </w:rPr>
        <w:t> </w:t>
      </w:r>
      <w:r>
        <w:rPr>
          <w:rFonts w:ascii="Times New Roman"/>
          <w:color w:val="414141"/>
          <w:w w:val="105"/>
        </w:rPr>
        <w:t>misstatement</w:t>
      </w:r>
      <w:r>
        <w:rPr>
          <w:rFonts w:ascii="Times New Roman"/>
          <w:color w:val="414141"/>
          <w:spacing w:val="7"/>
          <w:w w:val="105"/>
        </w:rPr>
        <w:t> </w:t>
      </w:r>
      <w:r>
        <w:rPr>
          <w:rFonts w:ascii="Times New Roman"/>
          <w:color w:val="414141"/>
          <w:w w:val="105"/>
        </w:rPr>
        <w:t>in</w:t>
      </w:r>
      <w:r>
        <w:rPr>
          <w:rFonts w:ascii="Times New Roman"/>
          <w:color w:val="414141"/>
          <w:spacing w:val="-5"/>
          <w:w w:val="105"/>
        </w:rPr>
        <w:t> </w:t>
      </w:r>
      <w:r>
        <w:rPr>
          <w:rFonts w:ascii="Times New Roman"/>
          <w:color w:val="414141"/>
          <w:w w:val="105"/>
        </w:rPr>
        <w:t>the</w:t>
      </w:r>
      <w:r>
        <w:rPr>
          <w:rFonts w:ascii="Times New Roman"/>
          <w:color w:val="414141"/>
          <w:spacing w:val="1"/>
          <w:w w:val="105"/>
        </w:rPr>
        <w:t> </w:t>
      </w:r>
      <w:r>
        <w:rPr>
          <w:rFonts w:ascii="Times New Roman"/>
          <w:color w:val="414141"/>
          <w:w w:val="105"/>
        </w:rPr>
        <w:t>amounts</w:t>
      </w:r>
      <w:r>
        <w:rPr>
          <w:rFonts w:ascii="Times New Roman"/>
          <w:color w:val="414141"/>
          <w:spacing w:val="-13"/>
          <w:w w:val="105"/>
        </w:rPr>
        <w:t> </w:t>
      </w:r>
      <w:r>
        <w:rPr>
          <w:rFonts w:ascii="Times New Roman"/>
          <w:color w:val="414141"/>
          <w:w w:val="105"/>
        </w:rPr>
        <w:t>charged</w:t>
      </w:r>
      <w:r>
        <w:rPr>
          <w:rFonts w:ascii="Times New Roman"/>
          <w:color w:val="414141"/>
          <w:spacing w:val="-2"/>
          <w:w w:val="105"/>
        </w:rPr>
        <w:t> </w:t>
      </w:r>
      <w:r>
        <w:rPr>
          <w:rFonts w:ascii="Times New Roman"/>
          <w:color w:val="414141"/>
          <w:w w:val="105"/>
        </w:rPr>
        <w:t>to</w:t>
      </w:r>
      <w:r>
        <w:rPr>
          <w:rFonts w:ascii="Times New Roman"/>
          <w:color w:val="414141"/>
          <w:spacing w:val="-12"/>
          <w:w w:val="105"/>
        </w:rPr>
        <w:t> </w:t>
      </w:r>
      <w:r>
        <w:rPr>
          <w:rFonts w:ascii="Times New Roman"/>
          <w:color w:val="414141"/>
          <w:w w:val="105"/>
        </w:rPr>
        <w:t>the</w:t>
      </w:r>
      <w:r>
        <w:rPr>
          <w:rFonts w:ascii="Times New Roman"/>
          <w:color w:val="414141"/>
          <w:spacing w:val="1"/>
          <w:w w:val="105"/>
        </w:rPr>
        <w:t> </w:t>
      </w:r>
      <w:r>
        <w:rPr>
          <w:rFonts w:ascii="Times New Roman"/>
          <w:color w:val="414141"/>
          <w:w w:val="105"/>
        </w:rPr>
        <w:t>Statement</w:t>
      </w:r>
      <w:r>
        <w:rPr>
          <w:rFonts w:ascii="Times New Roman"/>
          <w:color w:val="414141"/>
          <w:spacing w:val="-12"/>
          <w:w w:val="105"/>
        </w:rPr>
        <w:t> </w:t>
      </w:r>
      <w:r>
        <w:rPr>
          <w:rFonts w:ascii="Times New Roman"/>
          <w:color w:val="414141"/>
          <w:w w:val="105"/>
        </w:rPr>
        <w:t>of Financial Activities in tbe</w:t>
      </w:r>
      <w:r>
        <w:rPr>
          <w:rFonts w:ascii="Times New Roman"/>
          <w:color w:val="414141"/>
          <w:spacing w:val="-17"/>
          <w:w w:val="105"/>
        </w:rPr>
        <w:t> </w:t>
      </w:r>
      <w:r>
        <w:rPr>
          <w:rFonts w:ascii="Times New Roman"/>
          <w:color w:val="414141"/>
          <w:w w:val="105"/>
        </w:rPr>
        <w:t>year.</w:t>
      </w:r>
    </w:p>
    <w:p>
      <w:pPr>
        <w:pStyle w:val="BodyText"/>
        <w:spacing w:line="268" w:lineRule="auto"/>
        <w:ind w:left="971" w:right="798" w:hanging="14"/>
        <w:jc w:val="both"/>
        <w:rPr>
          <w:rFonts w:ascii="Times New Roman" w:hAnsi="Times New Roman"/>
        </w:rPr>
      </w:pPr>
      <w:r>
        <w:rPr>
          <w:rFonts w:ascii="Times New Roman" w:hAnsi="Times New Roman"/>
          <w:color w:val="414141"/>
          <w:w w:val="105"/>
        </w:rPr>
        <w:t>The</w:t>
      </w:r>
      <w:r>
        <w:rPr>
          <w:rFonts w:ascii="Times New Roman" w:hAnsi="Times New Roman"/>
          <w:color w:val="414141"/>
          <w:spacing w:val="-4"/>
          <w:w w:val="105"/>
        </w:rPr>
        <w:t> </w:t>
      </w:r>
      <w:r>
        <w:rPr>
          <w:rFonts w:ascii="Times New Roman" w:hAnsi="Times New Roman"/>
          <w:color w:val="414141"/>
          <w:w w:val="105"/>
        </w:rPr>
        <w:t>effect </w:t>
      </w:r>
      <w:r>
        <w:rPr>
          <w:rFonts w:ascii="Times New Roman" w:hAnsi="Times New Roman"/>
          <w:color w:val="2F2F2F"/>
          <w:w w:val="105"/>
        </w:rPr>
        <w:t>has</w:t>
      </w:r>
      <w:r>
        <w:rPr>
          <w:rFonts w:ascii="Times New Roman" w:hAnsi="Times New Roman"/>
          <w:color w:val="2F2F2F"/>
          <w:spacing w:val="-11"/>
          <w:w w:val="105"/>
        </w:rPr>
        <w:t> </w:t>
      </w:r>
      <w:r>
        <w:rPr>
          <w:rFonts w:ascii="Times New Roman" w:hAnsi="Times New Roman"/>
          <w:color w:val="414141"/>
          <w:w w:val="105"/>
        </w:rPr>
        <w:t>been</w:t>
      </w:r>
      <w:r>
        <w:rPr>
          <w:rFonts w:ascii="Times New Roman" w:hAnsi="Times New Roman"/>
          <w:color w:val="414141"/>
          <w:spacing w:val="-4"/>
          <w:w w:val="105"/>
        </w:rPr>
        <w:t> </w:t>
      </w:r>
      <w:r>
        <w:rPr>
          <w:rFonts w:ascii="Times New Roman" w:hAnsi="Times New Roman"/>
          <w:color w:val="414141"/>
          <w:w w:val="105"/>
        </w:rPr>
        <w:t>to</w:t>
      </w:r>
      <w:r>
        <w:rPr>
          <w:rFonts w:ascii="Times New Roman" w:hAnsi="Times New Roman"/>
          <w:color w:val="414141"/>
          <w:spacing w:val="14"/>
          <w:w w:val="105"/>
        </w:rPr>
        <w:t> </w:t>
      </w:r>
      <w:r>
        <w:rPr>
          <w:rFonts w:ascii="Times New Roman" w:hAnsi="Times New Roman"/>
          <w:color w:val="414141"/>
          <w:w w:val="105"/>
        </w:rPr>
        <w:t>reduce</w:t>
      </w:r>
      <w:r>
        <w:rPr>
          <w:rFonts w:ascii="Times New Roman" w:hAnsi="Times New Roman"/>
          <w:color w:val="414141"/>
          <w:spacing w:val="-6"/>
          <w:w w:val="105"/>
        </w:rPr>
        <w:t> </w:t>
      </w:r>
      <w:r>
        <w:rPr>
          <w:rFonts w:ascii="Times New Roman" w:hAnsi="Times New Roman"/>
          <w:color w:val="414141"/>
          <w:w w:val="105"/>
        </w:rPr>
        <w:t>net</w:t>
      </w:r>
      <w:r>
        <w:rPr>
          <w:rFonts w:ascii="Times New Roman" w:hAnsi="Times New Roman"/>
          <w:color w:val="414141"/>
          <w:spacing w:val="-11"/>
          <w:w w:val="105"/>
        </w:rPr>
        <w:t> </w:t>
      </w:r>
      <w:r>
        <w:rPr>
          <w:rFonts w:ascii="Times New Roman" w:hAnsi="Times New Roman"/>
          <w:color w:val="414141"/>
          <w:w w:val="105"/>
        </w:rPr>
        <w:t>funds</w:t>
      </w:r>
      <w:r>
        <w:rPr>
          <w:rFonts w:ascii="Times New Roman" w:hAnsi="Times New Roman"/>
          <w:color w:val="414141"/>
          <w:spacing w:val="5"/>
          <w:w w:val="105"/>
        </w:rPr>
        <w:t> </w:t>
      </w:r>
      <w:r>
        <w:rPr>
          <w:rFonts w:ascii="Times New Roman" w:hAnsi="Times New Roman"/>
          <w:color w:val="2F2F2F"/>
          <w:w w:val="105"/>
        </w:rPr>
        <w:t>by</w:t>
      </w:r>
      <w:r>
        <w:rPr>
          <w:rFonts w:ascii="Times New Roman" w:hAnsi="Times New Roman"/>
          <w:color w:val="2F2F2F"/>
          <w:spacing w:val="-12"/>
          <w:w w:val="105"/>
        </w:rPr>
        <w:t> </w:t>
      </w:r>
      <w:r>
        <w:rPr>
          <w:rFonts w:ascii="Times New Roman" w:hAnsi="Times New Roman"/>
          <w:color w:val="414141"/>
          <w:w w:val="105"/>
        </w:rPr>
        <w:t>£4</w:t>
      </w:r>
      <w:r>
        <w:rPr>
          <w:rFonts w:ascii="Times New Roman" w:hAnsi="Times New Roman"/>
          <w:color w:val="414141"/>
          <w:spacing w:val="-29"/>
          <w:w w:val="105"/>
        </w:rPr>
        <w:t> </w:t>
      </w:r>
      <w:r>
        <w:rPr>
          <w:rFonts w:ascii="Times New Roman" w:hAnsi="Times New Roman"/>
          <w:color w:val="5B5B5B"/>
          <w:w w:val="105"/>
        </w:rPr>
        <w:t>,</w:t>
      </w:r>
      <w:r>
        <w:rPr>
          <w:rFonts w:ascii="Times New Roman" w:hAnsi="Times New Roman"/>
          <w:color w:val="2F2F2F"/>
          <w:w w:val="105"/>
        </w:rPr>
        <w:t>128k</w:t>
      </w:r>
      <w:r>
        <w:rPr>
          <w:rFonts w:ascii="Times New Roman" w:hAnsi="Times New Roman"/>
          <w:color w:val="2F2F2F"/>
          <w:spacing w:val="12"/>
          <w:w w:val="105"/>
        </w:rPr>
        <w:t> </w:t>
      </w:r>
      <w:r>
        <w:rPr>
          <w:rFonts w:ascii="Times New Roman" w:hAnsi="Times New Roman"/>
          <w:color w:val="414141"/>
          <w:w w:val="105"/>
        </w:rPr>
        <w:t>at</w:t>
      </w:r>
      <w:r>
        <w:rPr>
          <w:rFonts w:ascii="Times New Roman" w:hAnsi="Times New Roman"/>
          <w:color w:val="414141"/>
          <w:spacing w:val="18"/>
          <w:w w:val="105"/>
        </w:rPr>
        <w:t> </w:t>
      </w:r>
      <w:r>
        <w:rPr>
          <w:rFonts w:ascii="Times New Roman" w:hAnsi="Times New Roman"/>
          <w:color w:val="414141"/>
          <w:w w:val="105"/>
        </w:rPr>
        <w:t>both</w:t>
      </w:r>
      <w:r>
        <w:rPr>
          <w:rFonts w:ascii="Times New Roman" w:hAnsi="Times New Roman"/>
          <w:color w:val="414141"/>
          <w:spacing w:val="-8"/>
          <w:w w:val="105"/>
        </w:rPr>
        <w:t> </w:t>
      </w:r>
      <w:r>
        <w:rPr>
          <w:rFonts w:ascii="Times New Roman" w:hAnsi="Times New Roman"/>
          <w:color w:val="414141"/>
          <w:w w:val="105"/>
        </w:rPr>
        <w:t>31</w:t>
      </w:r>
      <w:r>
        <w:rPr>
          <w:rFonts w:ascii="Times New Roman" w:hAnsi="Times New Roman"/>
          <w:color w:val="414141"/>
          <w:spacing w:val="4"/>
          <w:w w:val="105"/>
        </w:rPr>
        <w:t> </w:t>
      </w:r>
      <w:r>
        <w:rPr>
          <w:rFonts w:ascii="Times New Roman" w:hAnsi="Times New Roman"/>
          <w:color w:val="414141"/>
          <w:w w:val="105"/>
        </w:rPr>
        <w:t>December</w:t>
      </w:r>
      <w:r>
        <w:rPr>
          <w:rFonts w:ascii="Times New Roman" w:hAnsi="Times New Roman"/>
          <w:color w:val="414141"/>
          <w:spacing w:val="-6"/>
          <w:w w:val="105"/>
        </w:rPr>
        <w:t> </w:t>
      </w:r>
      <w:r>
        <w:rPr>
          <w:rFonts w:ascii="Times New Roman" w:hAnsi="Times New Roman"/>
          <w:color w:val="414141"/>
          <w:w w:val="105"/>
        </w:rPr>
        <w:t>2005</w:t>
      </w:r>
      <w:r>
        <w:rPr>
          <w:rFonts w:ascii="Times New Roman" w:hAnsi="Times New Roman"/>
          <w:color w:val="414141"/>
          <w:spacing w:val="-12"/>
          <w:w w:val="105"/>
        </w:rPr>
        <w:t> </w:t>
      </w:r>
      <w:r>
        <w:rPr>
          <w:rFonts w:ascii="Times New Roman" w:hAnsi="Times New Roman"/>
          <w:color w:val="414141"/>
          <w:w w:val="105"/>
        </w:rPr>
        <w:t>and</w:t>
      </w:r>
      <w:r>
        <w:rPr>
          <w:rFonts w:ascii="Times New Roman" w:hAnsi="Times New Roman"/>
          <w:color w:val="414141"/>
          <w:spacing w:val="-17"/>
          <w:w w:val="105"/>
        </w:rPr>
        <w:t> </w:t>
      </w:r>
      <w:r>
        <w:rPr>
          <w:rFonts w:ascii="Times New Roman" w:hAnsi="Times New Roman"/>
          <w:color w:val="414141"/>
          <w:w w:val="105"/>
        </w:rPr>
        <w:t>2006</w:t>
      </w:r>
      <w:r>
        <w:rPr>
          <w:rFonts w:ascii="Times New Roman" w:hAnsi="Times New Roman"/>
          <w:color w:val="1C1C1C"/>
          <w:w w:val="105"/>
        </w:rPr>
        <w:t>.</w:t>
      </w:r>
      <w:r>
        <w:rPr>
          <w:rFonts w:ascii="Times New Roman" w:hAnsi="Times New Roman"/>
          <w:color w:val="1C1C1C"/>
          <w:spacing w:val="-9"/>
          <w:w w:val="105"/>
        </w:rPr>
        <w:t> </w:t>
      </w:r>
      <w:r>
        <w:rPr>
          <w:rFonts w:ascii="Times New Roman" w:hAnsi="Times New Roman"/>
          <w:color w:val="2F2F2F"/>
          <w:w w:val="105"/>
        </w:rPr>
        <w:t>In</w:t>
      </w:r>
      <w:r>
        <w:rPr>
          <w:rFonts w:ascii="Times New Roman" w:hAnsi="Times New Roman"/>
          <w:color w:val="2F2F2F"/>
          <w:spacing w:val="2"/>
          <w:w w:val="105"/>
        </w:rPr>
        <w:t> </w:t>
      </w:r>
      <w:r>
        <w:rPr>
          <w:rFonts w:ascii="Times New Roman" w:hAnsi="Times New Roman"/>
          <w:color w:val="414141"/>
          <w:w w:val="105"/>
        </w:rPr>
        <w:t>future</w:t>
      </w:r>
      <w:r>
        <w:rPr>
          <w:rFonts w:ascii="Times New Roman" w:hAnsi="Times New Roman"/>
          <w:color w:val="414141"/>
          <w:spacing w:val="-15"/>
          <w:w w:val="105"/>
        </w:rPr>
        <w:t> </w:t>
      </w:r>
      <w:r>
        <w:rPr>
          <w:rFonts w:ascii="Times New Roman" w:hAnsi="Times New Roman"/>
          <w:color w:val="414141"/>
          <w:w w:val="105"/>
        </w:rPr>
        <w:t>years</w:t>
      </w:r>
      <w:r>
        <w:rPr>
          <w:rFonts w:ascii="Times New Roman" w:hAnsi="Times New Roman"/>
          <w:color w:val="414141"/>
          <w:spacing w:val="-12"/>
          <w:w w:val="105"/>
        </w:rPr>
        <w:t> </w:t>
      </w:r>
      <w:r>
        <w:rPr>
          <w:rFonts w:ascii="Times New Roman" w:hAnsi="Times New Roman"/>
          <w:color w:val="414141"/>
          <w:w w:val="105"/>
        </w:rPr>
        <w:t>changes</w:t>
      </w:r>
      <w:r>
        <w:rPr>
          <w:rFonts w:ascii="Times New Roman" w:hAnsi="Times New Roman"/>
          <w:color w:val="414141"/>
          <w:spacing w:val="1"/>
          <w:w w:val="105"/>
        </w:rPr>
        <w:t> </w:t>
      </w:r>
      <w:r>
        <w:rPr>
          <w:rFonts w:ascii="Times New Roman" w:hAnsi="Times New Roman"/>
          <w:color w:val="2F2F2F"/>
          <w:w w:val="105"/>
        </w:rPr>
        <w:t>in </w:t>
      </w:r>
      <w:r>
        <w:rPr>
          <w:rFonts w:ascii="Times New Roman" w:hAnsi="Times New Roman"/>
          <w:color w:val="414141"/>
          <w:w w:val="105"/>
        </w:rPr>
        <w:t>the</w:t>
      </w:r>
      <w:r>
        <w:rPr>
          <w:rFonts w:ascii="Times New Roman" w:hAnsi="Times New Roman"/>
          <w:color w:val="414141"/>
          <w:spacing w:val="-18"/>
          <w:w w:val="105"/>
        </w:rPr>
        <w:t> </w:t>
      </w:r>
      <w:r>
        <w:rPr>
          <w:rFonts w:ascii="Times New Roman" w:hAnsi="Times New Roman"/>
          <w:color w:val="414141"/>
          <w:w w:val="105"/>
        </w:rPr>
        <w:t>assessment</w:t>
      </w:r>
      <w:r>
        <w:rPr>
          <w:rFonts w:ascii="Times New Roman" w:hAnsi="Times New Roman"/>
          <w:color w:val="414141"/>
          <w:spacing w:val="-7"/>
          <w:w w:val="105"/>
        </w:rPr>
        <w:t> </w:t>
      </w:r>
      <w:r>
        <w:rPr>
          <w:rFonts w:ascii="Times New Roman" w:hAnsi="Times New Roman"/>
          <w:color w:val="414141"/>
          <w:w w:val="105"/>
        </w:rPr>
        <w:t>during</w:t>
      </w:r>
      <w:r>
        <w:rPr>
          <w:rFonts w:ascii="Times New Roman" w:hAnsi="Times New Roman"/>
          <w:color w:val="414141"/>
          <w:spacing w:val="-6"/>
          <w:w w:val="105"/>
        </w:rPr>
        <w:t> </w:t>
      </w:r>
      <w:r>
        <w:rPr>
          <w:rFonts w:ascii="Times New Roman" w:hAnsi="Times New Roman"/>
          <w:color w:val="414141"/>
          <w:w w:val="105"/>
        </w:rPr>
        <w:t>the</w:t>
      </w:r>
      <w:r>
        <w:rPr>
          <w:rFonts w:ascii="Times New Roman" w:hAnsi="Times New Roman"/>
          <w:color w:val="414141"/>
          <w:spacing w:val="-12"/>
          <w:w w:val="105"/>
        </w:rPr>
        <w:t> </w:t>
      </w:r>
      <w:r>
        <w:rPr>
          <w:rFonts w:ascii="Times New Roman" w:hAnsi="Times New Roman"/>
          <w:color w:val="414141"/>
          <w:w w:val="105"/>
        </w:rPr>
        <w:t>year</w:t>
      </w:r>
      <w:r>
        <w:rPr>
          <w:rFonts w:ascii="Times New Roman" w:hAnsi="Times New Roman"/>
          <w:color w:val="414141"/>
          <w:spacing w:val="-16"/>
          <w:w w:val="105"/>
        </w:rPr>
        <w:t> </w:t>
      </w:r>
      <w:r>
        <w:rPr>
          <w:rFonts w:ascii="Times New Roman" w:hAnsi="Times New Roman"/>
          <w:color w:val="414141"/>
          <w:w w:val="105"/>
        </w:rPr>
        <w:t>will</w:t>
      </w:r>
      <w:r>
        <w:rPr>
          <w:rFonts w:ascii="Times New Roman" w:hAnsi="Times New Roman"/>
          <w:color w:val="414141"/>
          <w:spacing w:val="1"/>
          <w:w w:val="105"/>
        </w:rPr>
        <w:t> </w:t>
      </w:r>
      <w:r>
        <w:rPr>
          <w:rFonts w:ascii="Times New Roman" w:hAnsi="Times New Roman"/>
          <w:color w:val="414141"/>
          <w:w w:val="105"/>
        </w:rPr>
        <w:t>be</w:t>
      </w:r>
      <w:r>
        <w:rPr>
          <w:rFonts w:ascii="Times New Roman" w:hAnsi="Times New Roman"/>
          <w:color w:val="414141"/>
          <w:spacing w:val="-14"/>
          <w:w w:val="105"/>
        </w:rPr>
        <w:t> </w:t>
      </w:r>
      <w:r>
        <w:rPr>
          <w:rFonts w:ascii="Times New Roman" w:hAnsi="Times New Roman"/>
          <w:color w:val="414141"/>
          <w:w w:val="105"/>
        </w:rPr>
        <w:t>recognised</w:t>
      </w:r>
      <w:r>
        <w:rPr>
          <w:rFonts w:ascii="Times New Roman" w:hAnsi="Times New Roman"/>
          <w:color w:val="414141"/>
          <w:spacing w:val="-4"/>
          <w:w w:val="105"/>
        </w:rPr>
        <w:t> </w:t>
      </w:r>
      <w:r>
        <w:rPr>
          <w:rFonts w:ascii="Times New Roman" w:hAnsi="Times New Roman"/>
          <w:color w:val="414141"/>
          <w:w w:val="105"/>
        </w:rPr>
        <w:t>as</w:t>
      </w:r>
      <w:r>
        <w:rPr>
          <w:rFonts w:ascii="Times New Roman" w:hAnsi="Times New Roman"/>
          <w:color w:val="414141"/>
          <w:spacing w:val="2"/>
          <w:w w:val="105"/>
        </w:rPr>
        <w:t> </w:t>
      </w:r>
      <w:r>
        <w:rPr>
          <w:rFonts w:ascii="Times New Roman" w:hAnsi="Times New Roman"/>
          <w:color w:val="414141"/>
          <w:w w:val="105"/>
        </w:rPr>
        <w:t>movements</w:t>
      </w:r>
      <w:r>
        <w:rPr>
          <w:rFonts w:ascii="Times New Roman" w:hAnsi="Times New Roman"/>
          <w:color w:val="414141"/>
          <w:spacing w:val="-4"/>
          <w:w w:val="105"/>
        </w:rPr>
        <w:t> </w:t>
      </w:r>
      <w:r>
        <w:rPr>
          <w:rFonts w:ascii="Times New Roman" w:hAnsi="Times New Roman"/>
          <w:color w:val="2F2F2F"/>
          <w:w w:val="105"/>
        </w:rPr>
        <w:t>in</w:t>
      </w:r>
      <w:r>
        <w:rPr>
          <w:rFonts w:ascii="Times New Roman" w:hAnsi="Times New Roman"/>
          <w:color w:val="2F2F2F"/>
          <w:spacing w:val="1"/>
          <w:w w:val="105"/>
        </w:rPr>
        <w:t> </w:t>
      </w:r>
      <w:r>
        <w:rPr>
          <w:rFonts w:ascii="Times New Roman" w:hAnsi="Times New Roman"/>
          <w:color w:val="414141"/>
          <w:w w:val="105"/>
        </w:rPr>
        <w:t>the</w:t>
      </w:r>
      <w:r>
        <w:rPr>
          <w:rFonts w:ascii="Times New Roman" w:hAnsi="Times New Roman"/>
          <w:color w:val="414141"/>
          <w:spacing w:val="-7"/>
          <w:w w:val="105"/>
        </w:rPr>
        <w:t> </w:t>
      </w:r>
      <w:r>
        <w:rPr>
          <w:rFonts w:ascii="Times New Roman" w:hAnsi="Times New Roman"/>
          <w:color w:val="414141"/>
          <w:w w:val="105"/>
        </w:rPr>
        <w:t>Statement</w:t>
      </w:r>
      <w:r>
        <w:rPr>
          <w:rFonts w:ascii="Times New Roman" w:hAnsi="Times New Roman"/>
          <w:color w:val="414141"/>
          <w:spacing w:val="-13"/>
          <w:w w:val="105"/>
        </w:rPr>
        <w:t> </w:t>
      </w:r>
      <w:r>
        <w:rPr>
          <w:rFonts w:ascii="Times New Roman" w:hAnsi="Times New Roman"/>
          <w:color w:val="414141"/>
          <w:w w:val="105"/>
        </w:rPr>
        <w:t>of</w:t>
      </w:r>
      <w:r>
        <w:rPr>
          <w:rFonts w:ascii="Times New Roman" w:hAnsi="Times New Roman"/>
          <w:color w:val="414141"/>
          <w:spacing w:val="-11"/>
          <w:w w:val="105"/>
        </w:rPr>
        <w:t> </w:t>
      </w:r>
      <w:r>
        <w:rPr>
          <w:rFonts w:ascii="Times New Roman" w:hAnsi="Times New Roman"/>
          <w:color w:val="414141"/>
          <w:w w:val="105"/>
        </w:rPr>
        <w:t>F</w:t>
      </w:r>
      <w:r>
        <w:rPr>
          <w:rFonts w:ascii="Times New Roman" w:hAnsi="Times New Roman"/>
          <w:color w:val="414141"/>
          <w:spacing w:val="-31"/>
          <w:w w:val="105"/>
        </w:rPr>
        <w:t> </w:t>
      </w:r>
      <w:r>
        <w:rPr>
          <w:rFonts w:ascii="Times New Roman" w:hAnsi="Times New Roman"/>
          <w:color w:val="414141"/>
          <w:w w:val="105"/>
        </w:rPr>
        <w:t>inancia</w:t>
      </w:r>
      <w:r>
        <w:rPr>
          <w:rFonts w:ascii="Times New Roman" w:hAnsi="Times New Roman"/>
          <w:color w:val="1C1C1C"/>
          <w:w w:val="105"/>
        </w:rPr>
        <w:t>l</w:t>
      </w:r>
      <w:r>
        <w:rPr>
          <w:rFonts w:ascii="Times New Roman" w:hAnsi="Times New Roman"/>
          <w:color w:val="1C1C1C"/>
          <w:spacing w:val="-4"/>
          <w:w w:val="105"/>
        </w:rPr>
        <w:t> </w:t>
      </w:r>
      <w:r>
        <w:rPr>
          <w:rFonts w:ascii="Times New Roman" w:hAnsi="Times New Roman"/>
          <w:color w:val="414141"/>
          <w:w w:val="105"/>
        </w:rPr>
        <w:t>Activities.</w:t>
      </w:r>
    </w:p>
    <w:p>
      <w:pPr>
        <w:spacing w:after="0" w:line="268" w:lineRule="auto"/>
        <w:jc w:val="both"/>
        <w:rPr>
          <w:rFonts w:ascii="Times New Roman" w:hAnsi="Times New Roman"/>
        </w:rPr>
        <w:sectPr>
          <w:type w:val="continuous"/>
          <w:pgSz w:w="10950" w:h="15880"/>
          <w:pgMar w:top="680" w:bottom="280" w:left="500" w:right="0"/>
        </w:sectPr>
      </w:pPr>
    </w:p>
    <w:p>
      <w:pPr>
        <w:pStyle w:val="BodyText"/>
        <w:rPr>
          <w:rFonts w:ascii="Times New Roman"/>
          <w:sz w:val="15"/>
        </w:rPr>
      </w:pPr>
    </w:p>
    <w:p>
      <w:pPr>
        <w:tabs>
          <w:tab w:pos="2194" w:val="left" w:leader="none"/>
        </w:tabs>
        <w:spacing w:before="93"/>
        <w:ind w:left="1009" w:right="0" w:firstLine="0"/>
        <w:jc w:val="left"/>
        <w:rPr>
          <w:rFonts w:ascii="Times New Roman"/>
          <w:b/>
          <w:sz w:val="18"/>
        </w:rPr>
      </w:pPr>
      <w:bookmarkStart w:name="_TOC_250012" w:id="9"/>
      <w:r>
        <w:rPr>
          <w:rFonts w:ascii="Times New Roman"/>
          <w:b/>
          <w:color w:val="1A1A1A"/>
          <w:spacing w:val="-5"/>
          <w:w w:val="105"/>
          <w:sz w:val="18"/>
        </w:rPr>
        <w:t>NO</w:t>
      </w:r>
      <w:r>
        <w:rPr>
          <w:rFonts w:ascii="Times New Roman"/>
          <w:b/>
          <w:color w:val="3D3D3D"/>
          <w:spacing w:val="-5"/>
          <w:w w:val="105"/>
          <w:sz w:val="18"/>
        </w:rPr>
        <w:t>TE</w:t>
      </w:r>
      <w:r>
        <w:rPr>
          <w:rFonts w:ascii="Times New Roman"/>
          <w:b/>
          <w:color w:val="3D3D3D"/>
          <w:w w:val="105"/>
          <w:sz w:val="18"/>
        </w:rPr>
        <w:t> </w:t>
      </w:r>
      <w:r>
        <w:rPr>
          <w:rFonts w:ascii="Times New Roman"/>
          <w:b/>
          <w:color w:val="1A1A1A"/>
          <w:w w:val="105"/>
          <w:sz w:val="18"/>
        </w:rPr>
        <w:t>2</w:t>
        <w:tab/>
        <w:t>VOLU</w:t>
      </w:r>
      <w:r>
        <w:rPr>
          <w:rFonts w:ascii="Times New Roman"/>
          <w:b/>
          <w:color w:val="3D3D3D"/>
          <w:w w:val="105"/>
          <w:sz w:val="18"/>
        </w:rPr>
        <w:t>N</w:t>
      </w:r>
      <w:r>
        <w:rPr>
          <w:rFonts w:ascii="Times New Roman"/>
          <w:b/>
          <w:color w:val="1A1A1A"/>
          <w:w w:val="105"/>
          <w:sz w:val="18"/>
        </w:rPr>
        <w:t>TARY</w:t>
      </w:r>
      <w:r>
        <w:rPr>
          <w:rFonts w:ascii="Times New Roman"/>
          <w:b/>
          <w:color w:val="1A1A1A"/>
          <w:spacing w:val="-14"/>
          <w:w w:val="105"/>
          <w:sz w:val="18"/>
        </w:rPr>
        <w:t> </w:t>
      </w:r>
      <w:r>
        <w:rPr>
          <w:rFonts w:ascii="Times New Roman"/>
          <w:b/>
          <w:color w:val="1A1A1A"/>
          <w:spacing w:val="-3"/>
          <w:w w:val="105"/>
          <w:sz w:val="18"/>
        </w:rPr>
        <w:t>I</w:t>
      </w:r>
      <w:r>
        <w:rPr>
          <w:rFonts w:ascii="Times New Roman"/>
          <w:b/>
          <w:color w:val="3D3D3D"/>
          <w:spacing w:val="-3"/>
          <w:w w:val="105"/>
          <w:sz w:val="18"/>
        </w:rPr>
        <w:t>NC</w:t>
      </w:r>
      <w:r>
        <w:rPr>
          <w:rFonts w:ascii="Times New Roman"/>
          <w:b/>
          <w:color w:val="1A1A1A"/>
          <w:spacing w:val="-3"/>
          <w:w w:val="105"/>
          <w:sz w:val="18"/>
        </w:rPr>
        <w:t>OM</w:t>
      </w:r>
      <w:bookmarkEnd w:id="9"/>
      <w:r>
        <w:rPr>
          <w:rFonts w:ascii="Times New Roman"/>
          <w:b/>
          <w:color w:val="3D3D3D"/>
          <w:spacing w:val="-3"/>
          <w:w w:val="105"/>
          <w:sz w:val="18"/>
        </w:rPr>
        <w:t>E</w:t>
      </w:r>
    </w:p>
    <w:p>
      <w:pPr>
        <w:pStyle w:val="BodyText"/>
        <w:spacing w:before="8"/>
        <w:rPr>
          <w:rFonts w:ascii="Times New Roman"/>
          <w:b/>
          <w:sz w:val="12"/>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6"/>
        <w:gridCol w:w="2181"/>
        <w:gridCol w:w="1270"/>
      </w:tblGrid>
      <w:tr>
        <w:trPr>
          <w:trHeight w:val="268" w:hRule="atLeast"/>
        </w:trPr>
        <w:tc>
          <w:tcPr>
            <w:tcW w:w="4686" w:type="dxa"/>
          </w:tcPr>
          <w:p>
            <w:pPr>
              <w:pStyle w:val="TableParagraph"/>
              <w:spacing w:line="200" w:lineRule="exact"/>
              <w:ind w:left="67"/>
              <w:rPr>
                <w:b/>
                <w:sz w:val="18"/>
              </w:rPr>
            </w:pPr>
            <w:r>
              <w:rPr>
                <w:b/>
                <w:color w:val="1A1A1A"/>
                <w:w w:val="105"/>
                <w:sz w:val="18"/>
              </w:rPr>
              <w:t>(a) Ministry and Mission </w:t>
            </w:r>
            <w:r>
              <w:rPr>
                <w:b/>
                <w:color w:val="3D3D3D"/>
                <w:w w:val="105"/>
                <w:sz w:val="18"/>
              </w:rPr>
              <w:t>F</w:t>
            </w:r>
            <w:r>
              <w:rPr>
                <w:b/>
                <w:color w:val="1A1A1A"/>
                <w:w w:val="105"/>
                <w:sz w:val="18"/>
              </w:rPr>
              <w:t>und </w:t>
            </w:r>
            <w:r>
              <w:rPr>
                <w:b/>
                <w:color w:val="2A2A2A"/>
                <w:w w:val="105"/>
                <w:sz w:val="18"/>
              </w:rPr>
              <w:t>Contributions</w:t>
            </w:r>
          </w:p>
        </w:tc>
        <w:tc>
          <w:tcPr>
            <w:tcW w:w="3451" w:type="dxa"/>
            <w:gridSpan w:val="2"/>
          </w:tcPr>
          <w:p>
            <w:pPr>
              <w:pStyle w:val="TableParagraph"/>
              <w:rPr>
                <w:sz w:val="18"/>
              </w:rPr>
            </w:pPr>
          </w:p>
        </w:tc>
      </w:tr>
      <w:tr>
        <w:trPr>
          <w:trHeight w:val="288" w:hRule="atLeast"/>
        </w:trPr>
        <w:tc>
          <w:tcPr>
            <w:tcW w:w="4686" w:type="dxa"/>
          </w:tcPr>
          <w:p>
            <w:pPr>
              <w:pStyle w:val="TableParagraph"/>
              <w:spacing w:before="61"/>
              <w:ind w:left="65"/>
              <w:rPr>
                <w:b/>
                <w:sz w:val="18"/>
              </w:rPr>
            </w:pPr>
            <w:r>
              <w:rPr>
                <w:b/>
                <w:color w:val="2A2A2A"/>
                <w:w w:val="105"/>
                <w:sz w:val="18"/>
              </w:rPr>
              <w:t>Synods</w:t>
            </w:r>
          </w:p>
        </w:tc>
        <w:tc>
          <w:tcPr>
            <w:tcW w:w="2181" w:type="dxa"/>
          </w:tcPr>
          <w:p>
            <w:pPr>
              <w:pStyle w:val="TableParagraph"/>
              <w:spacing w:line="198" w:lineRule="exact" w:before="71"/>
              <w:ind w:left="1017"/>
              <w:rPr>
                <w:b/>
                <w:sz w:val="18"/>
              </w:rPr>
            </w:pPr>
            <w:r>
              <w:rPr>
                <w:b/>
                <w:color w:val="1A1A1A"/>
                <w:w w:val="110"/>
                <w:sz w:val="18"/>
              </w:rPr>
              <w:t>2006</w:t>
            </w:r>
          </w:p>
        </w:tc>
        <w:tc>
          <w:tcPr>
            <w:tcW w:w="1270" w:type="dxa"/>
          </w:tcPr>
          <w:p>
            <w:pPr>
              <w:pStyle w:val="TableParagraph"/>
              <w:spacing w:line="198" w:lineRule="exact" w:before="71"/>
              <w:ind w:right="105"/>
              <w:jc w:val="right"/>
              <w:rPr>
                <w:b/>
                <w:sz w:val="18"/>
              </w:rPr>
            </w:pPr>
            <w:r>
              <w:rPr>
                <w:b/>
                <w:color w:val="1A1A1A"/>
                <w:w w:val="105"/>
                <w:sz w:val="18"/>
              </w:rPr>
              <w:t>2005</w:t>
            </w:r>
          </w:p>
        </w:tc>
      </w:tr>
      <w:tr>
        <w:trPr>
          <w:trHeight w:val="216" w:hRule="atLeast"/>
        </w:trPr>
        <w:tc>
          <w:tcPr>
            <w:tcW w:w="4686" w:type="dxa"/>
          </w:tcPr>
          <w:p>
            <w:pPr>
              <w:pStyle w:val="TableParagraph"/>
              <w:rPr>
                <w:sz w:val="14"/>
              </w:rPr>
            </w:pPr>
          </w:p>
        </w:tc>
        <w:tc>
          <w:tcPr>
            <w:tcW w:w="2181" w:type="dxa"/>
          </w:tcPr>
          <w:p>
            <w:pPr>
              <w:pStyle w:val="TableParagraph"/>
              <w:spacing w:line="193" w:lineRule="exact" w:before="3"/>
              <w:ind w:left="980"/>
              <w:rPr>
                <w:b/>
                <w:sz w:val="18"/>
              </w:rPr>
            </w:pPr>
            <w:r>
              <w:rPr>
                <w:b/>
                <w:color w:val="1A1A1A"/>
                <w:w w:val="115"/>
                <w:sz w:val="18"/>
              </w:rPr>
              <w:t>£'000</w:t>
            </w:r>
          </w:p>
        </w:tc>
        <w:tc>
          <w:tcPr>
            <w:tcW w:w="1270" w:type="dxa"/>
          </w:tcPr>
          <w:p>
            <w:pPr>
              <w:pStyle w:val="TableParagraph"/>
              <w:spacing w:line="193" w:lineRule="exact" w:before="3"/>
              <w:ind w:right="47"/>
              <w:jc w:val="right"/>
              <w:rPr>
                <w:b/>
                <w:sz w:val="18"/>
              </w:rPr>
            </w:pPr>
            <w:r>
              <w:rPr>
                <w:b/>
                <w:color w:val="2A2A2A"/>
                <w:w w:val="110"/>
                <w:sz w:val="18"/>
              </w:rPr>
              <w:t>£'000</w:t>
            </w:r>
          </w:p>
        </w:tc>
      </w:tr>
      <w:tr>
        <w:trPr>
          <w:trHeight w:val="221" w:hRule="atLeast"/>
        </w:trPr>
        <w:tc>
          <w:tcPr>
            <w:tcW w:w="4686" w:type="dxa"/>
          </w:tcPr>
          <w:p>
            <w:pPr>
              <w:pStyle w:val="TableParagraph"/>
              <w:spacing w:line="201" w:lineRule="exact"/>
              <w:ind w:left="67"/>
              <w:rPr>
                <w:sz w:val="18"/>
              </w:rPr>
            </w:pPr>
            <w:r>
              <w:rPr>
                <w:color w:val="3D3D3D"/>
                <w:w w:val="105"/>
                <w:sz w:val="18"/>
              </w:rPr>
              <w:t>Northern</w:t>
            </w:r>
          </w:p>
        </w:tc>
        <w:tc>
          <w:tcPr>
            <w:tcW w:w="2181" w:type="dxa"/>
          </w:tcPr>
          <w:p>
            <w:pPr>
              <w:pStyle w:val="TableParagraph"/>
              <w:spacing w:line="193" w:lineRule="exact" w:before="8"/>
              <w:ind w:left="981"/>
              <w:rPr>
                <w:sz w:val="18"/>
              </w:rPr>
            </w:pPr>
            <w:r>
              <w:rPr>
                <w:color w:val="3D3D3D"/>
                <w:w w:val="110"/>
                <w:sz w:val="18"/>
              </w:rPr>
              <w:t>1,120</w:t>
            </w:r>
          </w:p>
        </w:tc>
        <w:tc>
          <w:tcPr>
            <w:tcW w:w="1270" w:type="dxa"/>
          </w:tcPr>
          <w:p>
            <w:pPr>
              <w:pStyle w:val="TableParagraph"/>
              <w:spacing w:line="193" w:lineRule="exact" w:before="8"/>
              <w:ind w:right="80"/>
              <w:jc w:val="right"/>
              <w:rPr>
                <w:sz w:val="18"/>
              </w:rPr>
            </w:pPr>
            <w:r>
              <w:rPr>
                <w:color w:val="3D3D3D"/>
                <w:w w:val="105"/>
                <w:sz w:val="18"/>
              </w:rPr>
              <w:t>1,145</w:t>
            </w:r>
          </w:p>
        </w:tc>
      </w:tr>
      <w:tr>
        <w:trPr>
          <w:trHeight w:val="230" w:hRule="atLeast"/>
        </w:trPr>
        <w:tc>
          <w:tcPr>
            <w:tcW w:w="4686" w:type="dxa"/>
          </w:tcPr>
          <w:p>
            <w:pPr>
              <w:pStyle w:val="TableParagraph"/>
              <w:spacing w:line="206" w:lineRule="exact"/>
              <w:ind w:left="57"/>
              <w:rPr>
                <w:sz w:val="18"/>
              </w:rPr>
            </w:pPr>
            <w:r>
              <w:rPr>
                <w:color w:val="4D4D4D"/>
                <w:w w:val="105"/>
                <w:sz w:val="18"/>
              </w:rPr>
              <w:t>North </w:t>
            </w:r>
            <w:r>
              <w:rPr>
                <w:color w:val="3D3D3D"/>
                <w:w w:val="105"/>
                <w:sz w:val="18"/>
              </w:rPr>
              <w:t>Western</w:t>
            </w:r>
          </w:p>
        </w:tc>
        <w:tc>
          <w:tcPr>
            <w:tcW w:w="2181" w:type="dxa"/>
          </w:tcPr>
          <w:p>
            <w:pPr>
              <w:pStyle w:val="TableParagraph"/>
              <w:spacing w:line="193" w:lineRule="exact" w:before="18"/>
              <w:ind w:left="989"/>
              <w:rPr>
                <w:sz w:val="18"/>
              </w:rPr>
            </w:pPr>
            <w:r>
              <w:rPr>
                <w:color w:val="3D3D3D"/>
                <w:w w:val="110"/>
                <w:sz w:val="18"/>
              </w:rPr>
              <w:t>2,076</w:t>
            </w:r>
          </w:p>
        </w:tc>
        <w:tc>
          <w:tcPr>
            <w:tcW w:w="1270" w:type="dxa"/>
          </w:tcPr>
          <w:p>
            <w:pPr>
              <w:pStyle w:val="TableParagraph"/>
              <w:spacing w:line="193" w:lineRule="exact" w:before="18"/>
              <w:ind w:right="86"/>
              <w:jc w:val="right"/>
              <w:rPr>
                <w:sz w:val="18"/>
              </w:rPr>
            </w:pPr>
            <w:r>
              <w:rPr>
                <w:color w:val="2A2A2A"/>
                <w:w w:val="110"/>
                <w:sz w:val="18"/>
              </w:rPr>
              <w:t>1</w:t>
            </w:r>
            <w:r>
              <w:rPr>
                <w:color w:val="4D4D4D"/>
                <w:w w:val="110"/>
                <w:sz w:val="18"/>
              </w:rPr>
              <w:t>,960</w:t>
            </w:r>
          </w:p>
        </w:tc>
      </w:tr>
      <w:tr>
        <w:trPr>
          <w:trHeight w:val="230" w:hRule="atLeast"/>
        </w:trPr>
        <w:tc>
          <w:tcPr>
            <w:tcW w:w="4686" w:type="dxa"/>
          </w:tcPr>
          <w:p>
            <w:pPr>
              <w:pStyle w:val="TableParagraph"/>
              <w:spacing w:line="206" w:lineRule="exact"/>
              <w:ind w:left="62"/>
              <w:rPr>
                <w:sz w:val="18"/>
              </w:rPr>
            </w:pPr>
            <w:r>
              <w:rPr>
                <w:color w:val="3D3D3D"/>
                <w:w w:val="105"/>
                <w:sz w:val="18"/>
              </w:rPr>
              <w:t>Mersey</w:t>
            </w:r>
          </w:p>
        </w:tc>
        <w:tc>
          <w:tcPr>
            <w:tcW w:w="2181" w:type="dxa"/>
          </w:tcPr>
          <w:p>
            <w:pPr>
              <w:pStyle w:val="TableParagraph"/>
              <w:spacing w:line="203" w:lineRule="exact" w:before="8"/>
              <w:ind w:left="991"/>
              <w:rPr>
                <w:sz w:val="18"/>
              </w:rPr>
            </w:pPr>
            <w:r>
              <w:rPr>
                <w:color w:val="1A1A1A"/>
                <w:w w:val="105"/>
                <w:sz w:val="18"/>
              </w:rPr>
              <w:t>1</w:t>
            </w:r>
            <w:r>
              <w:rPr>
                <w:color w:val="4D4D4D"/>
                <w:w w:val="105"/>
                <w:sz w:val="18"/>
              </w:rPr>
              <w:t>,279</w:t>
            </w:r>
          </w:p>
        </w:tc>
        <w:tc>
          <w:tcPr>
            <w:tcW w:w="1270" w:type="dxa"/>
          </w:tcPr>
          <w:p>
            <w:pPr>
              <w:pStyle w:val="TableParagraph"/>
              <w:spacing w:line="193" w:lineRule="exact" w:before="18"/>
              <w:ind w:right="97"/>
              <w:jc w:val="right"/>
              <w:rPr>
                <w:sz w:val="18"/>
              </w:rPr>
            </w:pPr>
            <w:r>
              <w:rPr>
                <w:color w:val="3D3D3D"/>
                <w:sz w:val="18"/>
              </w:rPr>
              <w:t>1</w:t>
            </w:r>
            <w:r>
              <w:rPr>
                <w:color w:val="606060"/>
                <w:sz w:val="18"/>
              </w:rPr>
              <w:t>,</w:t>
            </w:r>
            <w:r>
              <w:rPr>
                <w:color w:val="3D3D3D"/>
                <w:sz w:val="18"/>
              </w:rPr>
              <w:t>250</w:t>
            </w:r>
          </w:p>
        </w:tc>
      </w:tr>
      <w:tr>
        <w:trPr>
          <w:trHeight w:val="221" w:hRule="atLeast"/>
        </w:trPr>
        <w:tc>
          <w:tcPr>
            <w:tcW w:w="4686" w:type="dxa"/>
          </w:tcPr>
          <w:p>
            <w:pPr>
              <w:pStyle w:val="TableParagraph"/>
              <w:spacing w:line="201" w:lineRule="exact"/>
              <w:ind w:left="63"/>
              <w:rPr>
                <w:sz w:val="18"/>
              </w:rPr>
            </w:pPr>
            <w:r>
              <w:rPr>
                <w:color w:val="2A2A2A"/>
                <w:w w:val="105"/>
                <w:sz w:val="18"/>
              </w:rPr>
              <w:t>Yorkshire</w:t>
            </w:r>
          </w:p>
        </w:tc>
        <w:tc>
          <w:tcPr>
            <w:tcW w:w="2181" w:type="dxa"/>
          </w:tcPr>
          <w:p>
            <w:pPr>
              <w:pStyle w:val="TableParagraph"/>
              <w:spacing w:line="193" w:lineRule="exact" w:before="8"/>
              <w:ind w:left="991"/>
              <w:rPr>
                <w:sz w:val="18"/>
              </w:rPr>
            </w:pPr>
            <w:r>
              <w:rPr>
                <w:color w:val="2A2A2A"/>
                <w:w w:val="110"/>
                <w:sz w:val="18"/>
              </w:rPr>
              <w:t>1,231</w:t>
            </w:r>
          </w:p>
        </w:tc>
        <w:tc>
          <w:tcPr>
            <w:tcW w:w="1270" w:type="dxa"/>
          </w:tcPr>
          <w:p>
            <w:pPr>
              <w:pStyle w:val="TableParagraph"/>
              <w:spacing w:line="193" w:lineRule="exact" w:before="8"/>
              <w:ind w:right="84"/>
              <w:jc w:val="right"/>
              <w:rPr>
                <w:sz w:val="18"/>
              </w:rPr>
            </w:pPr>
            <w:r>
              <w:rPr>
                <w:color w:val="1A1A1A"/>
                <w:w w:val="110"/>
                <w:sz w:val="18"/>
              </w:rPr>
              <w:t>1</w:t>
            </w:r>
            <w:r>
              <w:rPr>
                <w:color w:val="4D4D4D"/>
                <w:w w:val="110"/>
                <w:sz w:val="18"/>
              </w:rPr>
              <w:t>,</w:t>
            </w:r>
            <w:r>
              <w:rPr>
                <w:color w:val="2A2A2A"/>
                <w:w w:val="110"/>
                <w:sz w:val="18"/>
              </w:rPr>
              <w:t>231</w:t>
            </w:r>
          </w:p>
        </w:tc>
      </w:tr>
      <w:tr>
        <w:trPr>
          <w:trHeight w:val="230" w:hRule="atLeast"/>
        </w:trPr>
        <w:tc>
          <w:tcPr>
            <w:tcW w:w="4686" w:type="dxa"/>
          </w:tcPr>
          <w:p>
            <w:pPr>
              <w:pStyle w:val="TableParagraph"/>
              <w:spacing w:line="206" w:lineRule="exact"/>
              <w:ind w:left="61"/>
              <w:rPr>
                <w:sz w:val="18"/>
              </w:rPr>
            </w:pPr>
            <w:r>
              <w:rPr>
                <w:color w:val="3D3D3D"/>
                <w:w w:val="105"/>
                <w:sz w:val="18"/>
              </w:rPr>
              <w:t>East Midlands</w:t>
            </w:r>
          </w:p>
        </w:tc>
        <w:tc>
          <w:tcPr>
            <w:tcW w:w="2181" w:type="dxa"/>
          </w:tcPr>
          <w:p>
            <w:pPr>
              <w:pStyle w:val="TableParagraph"/>
              <w:spacing w:line="203" w:lineRule="exact" w:before="8"/>
              <w:ind w:left="991"/>
              <w:rPr>
                <w:sz w:val="18"/>
              </w:rPr>
            </w:pPr>
            <w:r>
              <w:rPr>
                <w:color w:val="2A2A2A"/>
                <w:w w:val="105"/>
                <w:sz w:val="18"/>
              </w:rPr>
              <w:t>1</w:t>
            </w:r>
            <w:r>
              <w:rPr>
                <w:color w:val="4D4D4D"/>
                <w:w w:val="105"/>
                <w:sz w:val="18"/>
              </w:rPr>
              <w:t>,</w:t>
            </w:r>
            <w:r>
              <w:rPr>
                <w:color w:val="2A2A2A"/>
                <w:w w:val="105"/>
                <w:sz w:val="18"/>
              </w:rPr>
              <w:t>272</w:t>
            </w:r>
          </w:p>
        </w:tc>
        <w:tc>
          <w:tcPr>
            <w:tcW w:w="1270" w:type="dxa"/>
          </w:tcPr>
          <w:p>
            <w:pPr>
              <w:pStyle w:val="TableParagraph"/>
              <w:spacing w:line="193" w:lineRule="exact" w:before="18"/>
              <w:ind w:right="95"/>
              <w:jc w:val="right"/>
              <w:rPr>
                <w:sz w:val="18"/>
              </w:rPr>
            </w:pPr>
            <w:r>
              <w:rPr>
                <w:color w:val="3D3D3D"/>
                <w:w w:val="105"/>
                <w:sz w:val="18"/>
              </w:rPr>
              <w:t>1</w:t>
            </w:r>
            <w:r>
              <w:rPr>
                <w:color w:val="606060"/>
                <w:w w:val="105"/>
                <w:sz w:val="18"/>
              </w:rPr>
              <w:t>,</w:t>
            </w:r>
            <w:r>
              <w:rPr>
                <w:color w:val="3D3D3D"/>
                <w:w w:val="105"/>
                <w:sz w:val="18"/>
              </w:rPr>
              <w:t>290</w:t>
            </w:r>
          </w:p>
        </w:tc>
      </w:tr>
      <w:tr>
        <w:trPr>
          <w:trHeight w:val="221" w:hRule="atLeast"/>
        </w:trPr>
        <w:tc>
          <w:tcPr>
            <w:tcW w:w="4686" w:type="dxa"/>
          </w:tcPr>
          <w:p>
            <w:pPr>
              <w:pStyle w:val="TableParagraph"/>
              <w:spacing w:line="201" w:lineRule="exact"/>
              <w:ind w:left="52"/>
              <w:rPr>
                <w:sz w:val="18"/>
              </w:rPr>
            </w:pPr>
            <w:r>
              <w:rPr>
                <w:color w:val="3D3D3D"/>
                <w:w w:val="110"/>
                <w:sz w:val="18"/>
              </w:rPr>
              <w:t>West Midlands</w:t>
            </w:r>
          </w:p>
        </w:tc>
        <w:tc>
          <w:tcPr>
            <w:tcW w:w="2181" w:type="dxa"/>
          </w:tcPr>
          <w:p>
            <w:pPr>
              <w:pStyle w:val="TableParagraph"/>
              <w:spacing w:line="193" w:lineRule="exact" w:before="8"/>
              <w:ind w:left="991"/>
              <w:rPr>
                <w:sz w:val="18"/>
              </w:rPr>
            </w:pPr>
            <w:r>
              <w:rPr>
                <w:color w:val="3D3D3D"/>
                <w:w w:val="105"/>
                <w:sz w:val="18"/>
              </w:rPr>
              <w:t>1,560</w:t>
            </w:r>
          </w:p>
        </w:tc>
        <w:tc>
          <w:tcPr>
            <w:tcW w:w="1270" w:type="dxa"/>
          </w:tcPr>
          <w:p>
            <w:pPr>
              <w:pStyle w:val="TableParagraph"/>
              <w:spacing w:line="193" w:lineRule="exact" w:before="8"/>
              <w:ind w:right="84"/>
              <w:jc w:val="right"/>
              <w:rPr>
                <w:sz w:val="18"/>
              </w:rPr>
            </w:pPr>
            <w:r>
              <w:rPr>
                <w:color w:val="3D3D3D"/>
                <w:w w:val="110"/>
                <w:sz w:val="18"/>
              </w:rPr>
              <w:t>1,547</w:t>
            </w:r>
          </w:p>
        </w:tc>
      </w:tr>
      <w:tr>
        <w:trPr>
          <w:trHeight w:val="230" w:hRule="atLeast"/>
        </w:trPr>
        <w:tc>
          <w:tcPr>
            <w:tcW w:w="4686" w:type="dxa"/>
          </w:tcPr>
          <w:p>
            <w:pPr>
              <w:pStyle w:val="TableParagraph"/>
              <w:spacing w:line="206" w:lineRule="exact"/>
              <w:ind w:left="51"/>
              <w:rPr>
                <w:sz w:val="18"/>
              </w:rPr>
            </w:pPr>
            <w:r>
              <w:rPr>
                <w:color w:val="3D3D3D"/>
                <w:w w:val="105"/>
                <w:sz w:val="18"/>
              </w:rPr>
              <w:t>Eastern</w:t>
            </w:r>
          </w:p>
        </w:tc>
        <w:tc>
          <w:tcPr>
            <w:tcW w:w="2181" w:type="dxa"/>
          </w:tcPr>
          <w:p>
            <w:pPr>
              <w:pStyle w:val="TableParagraph"/>
              <w:spacing w:line="203" w:lineRule="exact" w:before="8"/>
              <w:ind w:left="991"/>
              <w:rPr>
                <w:sz w:val="18"/>
              </w:rPr>
            </w:pPr>
            <w:r>
              <w:rPr>
                <w:color w:val="1A1A1A"/>
                <w:w w:val="105"/>
                <w:sz w:val="18"/>
              </w:rPr>
              <w:t>1</w:t>
            </w:r>
            <w:r>
              <w:rPr>
                <w:color w:val="3D3D3D"/>
                <w:w w:val="105"/>
                <w:sz w:val="18"/>
              </w:rPr>
              <w:t>,720</w:t>
            </w:r>
          </w:p>
        </w:tc>
        <w:tc>
          <w:tcPr>
            <w:tcW w:w="1270" w:type="dxa"/>
          </w:tcPr>
          <w:p>
            <w:pPr>
              <w:pStyle w:val="TableParagraph"/>
              <w:spacing w:line="193" w:lineRule="exact" w:before="18"/>
              <w:ind w:right="76"/>
              <w:jc w:val="right"/>
              <w:rPr>
                <w:sz w:val="18"/>
              </w:rPr>
            </w:pPr>
            <w:r>
              <w:rPr>
                <w:color w:val="3D3D3D"/>
                <w:w w:val="110"/>
                <w:sz w:val="18"/>
              </w:rPr>
              <w:t>1,701</w:t>
            </w:r>
          </w:p>
        </w:tc>
      </w:tr>
      <w:tr>
        <w:trPr>
          <w:trHeight w:val="221" w:hRule="atLeast"/>
        </w:trPr>
        <w:tc>
          <w:tcPr>
            <w:tcW w:w="4686" w:type="dxa"/>
          </w:tcPr>
          <w:p>
            <w:pPr>
              <w:pStyle w:val="TableParagraph"/>
              <w:spacing w:line="201" w:lineRule="exact"/>
              <w:ind w:left="63"/>
              <w:rPr>
                <w:sz w:val="18"/>
              </w:rPr>
            </w:pPr>
            <w:r>
              <w:rPr>
                <w:color w:val="3D3D3D"/>
                <w:w w:val="105"/>
                <w:sz w:val="18"/>
              </w:rPr>
              <w:t>South Western</w:t>
            </w:r>
          </w:p>
        </w:tc>
        <w:tc>
          <w:tcPr>
            <w:tcW w:w="2181" w:type="dxa"/>
          </w:tcPr>
          <w:p>
            <w:pPr>
              <w:pStyle w:val="TableParagraph"/>
              <w:spacing w:line="193" w:lineRule="exact" w:before="8"/>
              <w:ind w:left="991"/>
              <w:rPr>
                <w:sz w:val="18"/>
              </w:rPr>
            </w:pPr>
            <w:r>
              <w:rPr>
                <w:color w:val="2A2A2A"/>
                <w:w w:val="105"/>
                <w:sz w:val="18"/>
              </w:rPr>
              <w:t>1</w:t>
            </w:r>
            <w:r>
              <w:rPr>
                <w:color w:val="606060"/>
                <w:w w:val="105"/>
                <w:sz w:val="18"/>
              </w:rPr>
              <w:t>,</w:t>
            </w:r>
            <w:r>
              <w:rPr>
                <w:color w:val="3D3D3D"/>
                <w:w w:val="105"/>
                <w:sz w:val="18"/>
              </w:rPr>
              <w:t>376</w:t>
            </w:r>
          </w:p>
        </w:tc>
        <w:tc>
          <w:tcPr>
            <w:tcW w:w="1270" w:type="dxa"/>
          </w:tcPr>
          <w:p>
            <w:pPr>
              <w:pStyle w:val="TableParagraph"/>
              <w:spacing w:line="193" w:lineRule="exact" w:before="8"/>
              <w:ind w:right="87"/>
              <w:jc w:val="right"/>
              <w:rPr>
                <w:sz w:val="18"/>
              </w:rPr>
            </w:pPr>
            <w:r>
              <w:rPr>
                <w:color w:val="2A2A2A"/>
                <w:w w:val="105"/>
                <w:sz w:val="18"/>
              </w:rPr>
              <w:t>1,346</w:t>
            </w:r>
          </w:p>
        </w:tc>
      </w:tr>
      <w:tr>
        <w:trPr>
          <w:trHeight w:val="230" w:hRule="atLeast"/>
        </w:trPr>
        <w:tc>
          <w:tcPr>
            <w:tcW w:w="4686" w:type="dxa"/>
          </w:tcPr>
          <w:p>
            <w:pPr>
              <w:pStyle w:val="TableParagraph"/>
              <w:spacing w:line="206" w:lineRule="exact"/>
              <w:ind w:left="62"/>
              <w:rPr>
                <w:sz w:val="18"/>
              </w:rPr>
            </w:pPr>
            <w:r>
              <w:rPr>
                <w:color w:val="3D3D3D"/>
                <w:w w:val="105"/>
                <w:sz w:val="18"/>
              </w:rPr>
              <w:t>Wessex</w:t>
            </w:r>
          </w:p>
        </w:tc>
        <w:tc>
          <w:tcPr>
            <w:tcW w:w="2181" w:type="dxa"/>
          </w:tcPr>
          <w:p>
            <w:pPr>
              <w:pStyle w:val="TableParagraph"/>
              <w:spacing w:line="203" w:lineRule="exact" w:before="8"/>
              <w:ind w:left="989"/>
              <w:rPr>
                <w:sz w:val="18"/>
              </w:rPr>
            </w:pPr>
            <w:r>
              <w:rPr>
                <w:color w:val="3D3D3D"/>
                <w:w w:val="105"/>
                <w:sz w:val="18"/>
              </w:rPr>
              <w:t>2,</w:t>
            </w:r>
            <w:r>
              <w:rPr>
                <w:color w:val="1A1A1A"/>
                <w:w w:val="105"/>
                <w:sz w:val="18"/>
              </w:rPr>
              <w:t>1</w:t>
            </w:r>
            <w:r>
              <w:rPr>
                <w:color w:val="3D3D3D"/>
                <w:w w:val="105"/>
                <w:sz w:val="18"/>
              </w:rPr>
              <w:t>02</w:t>
            </w:r>
          </w:p>
        </w:tc>
        <w:tc>
          <w:tcPr>
            <w:tcW w:w="1270" w:type="dxa"/>
          </w:tcPr>
          <w:p>
            <w:pPr>
              <w:pStyle w:val="TableParagraph"/>
              <w:spacing w:line="193" w:lineRule="exact" w:before="18"/>
              <w:ind w:right="105"/>
              <w:jc w:val="right"/>
              <w:rPr>
                <w:sz w:val="18"/>
              </w:rPr>
            </w:pPr>
            <w:r>
              <w:rPr>
                <w:color w:val="2A2A2A"/>
                <w:sz w:val="18"/>
              </w:rPr>
              <w:t>2</w:t>
            </w:r>
            <w:r>
              <w:rPr>
                <w:color w:val="606060"/>
                <w:sz w:val="18"/>
              </w:rPr>
              <w:t>,</w:t>
            </w:r>
            <w:r>
              <w:rPr>
                <w:color w:val="3D3D3D"/>
                <w:sz w:val="18"/>
              </w:rPr>
              <w:t>135</w:t>
            </w:r>
          </w:p>
        </w:tc>
      </w:tr>
      <w:tr>
        <w:trPr>
          <w:trHeight w:val="221" w:hRule="atLeast"/>
        </w:trPr>
        <w:tc>
          <w:tcPr>
            <w:tcW w:w="4686" w:type="dxa"/>
          </w:tcPr>
          <w:p>
            <w:pPr>
              <w:pStyle w:val="TableParagraph"/>
              <w:spacing w:line="201" w:lineRule="exact"/>
              <w:ind w:left="50"/>
              <w:rPr>
                <w:sz w:val="18"/>
              </w:rPr>
            </w:pPr>
            <w:r>
              <w:rPr>
                <w:color w:val="3D3D3D"/>
                <w:w w:val="105"/>
                <w:sz w:val="18"/>
              </w:rPr>
              <w:t>Thames North</w:t>
            </w:r>
          </w:p>
        </w:tc>
        <w:tc>
          <w:tcPr>
            <w:tcW w:w="2181" w:type="dxa"/>
          </w:tcPr>
          <w:p>
            <w:pPr>
              <w:pStyle w:val="TableParagraph"/>
              <w:spacing w:line="193" w:lineRule="exact" w:before="8"/>
              <w:ind w:left="989"/>
              <w:rPr>
                <w:sz w:val="18"/>
              </w:rPr>
            </w:pPr>
            <w:r>
              <w:rPr>
                <w:color w:val="3D3D3D"/>
                <w:w w:val="105"/>
                <w:sz w:val="18"/>
              </w:rPr>
              <w:t>2,224</w:t>
            </w:r>
          </w:p>
        </w:tc>
        <w:tc>
          <w:tcPr>
            <w:tcW w:w="1270" w:type="dxa"/>
          </w:tcPr>
          <w:p>
            <w:pPr>
              <w:pStyle w:val="TableParagraph"/>
              <w:spacing w:line="193" w:lineRule="exact" w:before="8"/>
              <w:ind w:right="97"/>
              <w:jc w:val="right"/>
              <w:rPr>
                <w:sz w:val="18"/>
              </w:rPr>
            </w:pPr>
            <w:r>
              <w:rPr>
                <w:color w:val="3D3D3D"/>
                <w:w w:val="105"/>
                <w:sz w:val="18"/>
              </w:rPr>
              <w:t>2,13</w:t>
            </w:r>
            <w:r>
              <w:rPr>
                <w:color w:val="1A1A1A"/>
                <w:w w:val="105"/>
                <w:sz w:val="18"/>
              </w:rPr>
              <w:t>1</w:t>
            </w:r>
          </w:p>
        </w:tc>
      </w:tr>
      <w:tr>
        <w:trPr>
          <w:trHeight w:val="226" w:hRule="atLeast"/>
        </w:trPr>
        <w:tc>
          <w:tcPr>
            <w:tcW w:w="4686" w:type="dxa"/>
          </w:tcPr>
          <w:p>
            <w:pPr>
              <w:pStyle w:val="TableParagraph"/>
              <w:spacing w:line="206" w:lineRule="exact"/>
              <w:ind w:left="53"/>
              <w:rPr>
                <w:sz w:val="18"/>
              </w:rPr>
            </w:pPr>
            <w:r>
              <w:rPr>
                <w:color w:val="3D3D3D"/>
                <w:w w:val="105"/>
                <w:sz w:val="18"/>
              </w:rPr>
              <w:t>Southern</w:t>
            </w:r>
          </w:p>
        </w:tc>
        <w:tc>
          <w:tcPr>
            <w:tcW w:w="2181" w:type="dxa"/>
          </w:tcPr>
          <w:p>
            <w:pPr>
              <w:pStyle w:val="TableParagraph"/>
              <w:spacing w:line="198" w:lineRule="exact" w:before="8"/>
              <w:ind w:left="989"/>
              <w:rPr>
                <w:sz w:val="18"/>
              </w:rPr>
            </w:pPr>
            <w:r>
              <w:rPr>
                <w:color w:val="3D3D3D"/>
                <w:w w:val="105"/>
                <w:sz w:val="18"/>
              </w:rPr>
              <w:t>2,933</w:t>
            </w:r>
          </w:p>
        </w:tc>
        <w:tc>
          <w:tcPr>
            <w:tcW w:w="1270" w:type="dxa"/>
          </w:tcPr>
          <w:p>
            <w:pPr>
              <w:pStyle w:val="TableParagraph"/>
              <w:spacing w:line="198" w:lineRule="exact" w:before="8"/>
              <w:ind w:right="81"/>
              <w:jc w:val="right"/>
              <w:rPr>
                <w:sz w:val="18"/>
              </w:rPr>
            </w:pPr>
            <w:r>
              <w:rPr>
                <w:color w:val="3D3D3D"/>
                <w:w w:val="105"/>
                <w:sz w:val="18"/>
              </w:rPr>
              <w:t>2,921</w:t>
            </w:r>
          </w:p>
        </w:tc>
      </w:tr>
      <w:tr>
        <w:trPr>
          <w:trHeight w:val="220" w:hRule="atLeast"/>
        </w:trPr>
        <w:tc>
          <w:tcPr>
            <w:tcW w:w="4686" w:type="dxa"/>
          </w:tcPr>
          <w:p>
            <w:pPr>
              <w:pStyle w:val="TableParagraph"/>
              <w:spacing w:line="197" w:lineRule="exact" w:before="3"/>
              <w:ind w:left="72"/>
              <w:rPr>
                <w:sz w:val="18"/>
              </w:rPr>
            </w:pPr>
            <w:r>
              <w:rPr>
                <w:color w:val="3D3D3D"/>
                <w:w w:val="105"/>
                <w:sz w:val="18"/>
              </w:rPr>
              <w:t>Wales</w:t>
            </w:r>
          </w:p>
        </w:tc>
        <w:tc>
          <w:tcPr>
            <w:tcW w:w="2181" w:type="dxa"/>
          </w:tcPr>
          <w:p>
            <w:pPr>
              <w:pStyle w:val="TableParagraph"/>
              <w:spacing w:line="187" w:lineRule="exact" w:before="13"/>
              <w:ind w:left="1052"/>
              <w:rPr>
                <w:sz w:val="18"/>
              </w:rPr>
            </w:pPr>
            <w:r>
              <w:rPr>
                <w:color w:val="3D3D3D"/>
                <w:w w:val="105"/>
                <w:sz w:val="18"/>
              </w:rPr>
              <w:t>696</w:t>
            </w:r>
          </w:p>
        </w:tc>
        <w:tc>
          <w:tcPr>
            <w:tcW w:w="1270" w:type="dxa"/>
          </w:tcPr>
          <w:p>
            <w:pPr>
              <w:pStyle w:val="TableParagraph"/>
              <w:spacing w:line="187" w:lineRule="exact" w:before="13"/>
              <w:ind w:right="180"/>
              <w:jc w:val="right"/>
              <w:rPr>
                <w:sz w:val="18"/>
              </w:rPr>
            </w:pPr>
            <w:r>
              <w:rPr>
                <w:color w:val="2A2A2A"/>
                <w:sz w:val="18"/>
              </w:rPr>
              <w:t>711</w:t>
            </w:r>
          </w:p>
        </w:tc>
      </w:tr>
    </w:tbl>
    <w:p>
      <w:pPr>
        <w:pStyle w:val="BodyText"/>
        <w:tabs>
          <w:tab w:pos="5595" w:val="left" w:leader="none"/>
          <w:tab w:pos="6676" w:val="left" w:leader="none"/>
          <w:tab w:pos="8620" w:val="left" w:leader="none"/>
        </w:tabs>
        <w:spacing w:before="14"/>
        <w:ind w:left="991"/>
        <w:jc w:val="both"/>
        <w:rPr>
          <w:rFonts w:ascii="Times New Roman"/>
        </w:rPr>
      </w:pPr>
      <w:r>
        <w:rPr>
          <w:rFonts w:ascii="Times New Roman"/>
          <w:color w:val="3D3D3D"/>
          <w:w w:val="105"/>
          <w:position w:val="1"/>
        </w:rPr>
        <w:t>Scotland</w:t>
        <w:tab/>
      </w:r>
      <w:r>
        <w:rPr>
          <w:rFonts w:ascii="Times New Roman"/>
          <w:color w:val="3D3D3D"/>
          <w:w w:val="105"/>
          <w:u w:val="single" w:color="000000"/>
        </w:rPr>
        <w:t> </w:t>
        <w:tab/>
        <w:t>610</w:t>
        <w:tab/>
        <w:t>564</w:t>
      </w:r>
      <w:r>
        <w:rPr>
          <w:rFonts w:ascii="Times New Roman"/>
          <w:color w:val="3D3D3D"/>
          <w:u w:val="single" w:color="000000"/>
        </w:rPr>
        <w:t> </w:t>
      </w:r>
      <w:r>
        <w:rPr>
          <w:rFonts w:ascii="Times New Roman"/>
          <w:color w:val="3D3D3D"/>
          <w:spacing w:val="21"/>
          <w:u w:val="single" w:color="000000"/>
        </w:rPr>
        <w:t> </w:t>
      </w:r>
    </w:p>
    <w:p>
      <w:pPr>
        <w:pStyle w:val="BodyText"/>
        <w:tabs>
          <w:tab w:pos="6554" w:val="left" w:leader="none"/>
          <w:tab w:pos="8492" w:val="left" w:leader="none"/>
          <w:tab w:pos="9463" w:val="left" w:leader="none"/>
        </w:tabs>
        <w:spacing w:before="24"/>
        <w:ind w:left="5595"/>
        <w:rPr>
          <w:rFonts w:ascii="Times New Roman"/>
        </w:rPr>
      </w:pPr>
      <w:r>
        <w:rPr>
          <w:rFonts w:ascii="Times New Roman"/>
          <w:color w:val="3D3D3D"/>
          <w:w w:val="100"/>
          <w:u w:val="single" w:color="000000"/>
        </w:rPr>
        <w:t> </w:t>
      </w:r>
      <w:r>
        <w:rPr>
          <w:rFonts w:ascii="Times New Roman"/>
          <w:color w:val="3D3D3D"/>
          <w:u w:val="single" w:color="000000"/>
        </w:rPr>
        <w:tab/>
      </w:r>
      <w:r>
        <w:rPr>
          <w:rFonts w:ascii="Times New Roman"/>
          <w:color w:val="3D3D3D"/>
          <w:w w:val="110"/>
          <w:u w:val="single" w:color="000000"/>
        </w:rPr>
        <w:t>20,199</w:t>
        <w:tab/>
        <w:t>19,932</w:t>
      </w:r>
      <w:r>
        <w:rPr>
          <w:rFonts w:ascii="Times New Roman"/>
          <w:color w:val="3D3D3D"/>
          <w:u w:val="single" w:color="000000"/>
        </w:rPr>
        <w:tab/>
      </w:r>
    </w:p>
    <w:p>
      <w:pPr>
        <w:pStyle w:val="BodyText"/>
        <w:spacing w:before="3"/>
        <w:rPr>
          <w:rFonts w:ascii="Times New Roman"/>
          <w:sz w:val="21"/>
        </w:rPr>
      </w:pPr>
    </w:p>
    <w:p>
      <w:pPr>
        <w:spacing w:before="0"/>
        <w:ind w:left="985" w:right="0" w:firstLine="0"/>
        <w:jc w:val="left"/>
        <w:rPr>
          <w:rFonts w:ascii="Times New Roman"/>
          <w:b/>
          <w:sz w:val="18"/>
        </w:rPr>
      </w:pPr>
      <w:r>
        <w:rPr>
          <w:rFonts w:ascii="Times New Roman"/>
          <w:b/>
          <w:color w:val="2A2A2A"/>
          <w:w w:val="110"/>
          <w:sz w:val="18"/>
        </w:rPr>
        <w:t>(b) Grants Receivable</w:t>
      </w:r>
    </w:p>
    <w:p>
      <w:pPr>
        <w:pStyle w:val="BodyText"/>
        <w:spacing w:before="140"/>
        <w:ind w:left="987"/>
        <w:jc w:val="both"/>
        <w:rPr>
          <w:rFonts w:ascii="Times New Roman"/>
        </w:rPr>
      </w:pPr>
      <w:r>
        <w:rPr>
          <w:rFonts w:ascii="Times New Roman"/>
          <w:color w:val="3D3D3D"/>
          <w:w w:val="105"/>
        </w:rPr>
        <w:t>The</w:t>
      </w:r>
      <w:r>
        <w:rPr>
          <w:rFonts w:ascii="Times New Roman"/>
          <w:color w:val="3D3D3D"/>
          <w:spacing w:val="-10"/>
          <w:w w:val="105"/>
        </w:rPr>
        <w:t> </w:t>
      </w:r>
      <w:r>
        <w:rPr>
          <w:rFonts w:ascii="Times New Roman"/>
          <w:color w:val="3D3D3D"/>
          <w:w w:val="105"/>
        </w:rPr>
        <w:t>Church</w:t>
      </w:r>
      <w:r>
        <w:rPr>
          <w:rFonts w:ascii="Times New Roman"/>
          <w:color w:val="3D3D3D"/>
          <w:spacing w:val="-3"/>
          <w:w w:val="105"/>
        </w:rPr>
        <w:t> </w:t>
      </w:r>
      <w:r>
        <w:rPr>
          <w:rFonts w:ascii="Times New Roman"/>
          <w:color w:val="2A2A2A"/>
          <w:w w:val="105"/>
        </w:rPr>
        <w:t>recei</w:t>
      </w:r>
      <w:r>
        <w:rPr>
          <w:rFonts w:ascii="Times New Roman"/>
          <w:color w:val="4D4D4D"/>
          <w:w w:val="105"/>
        </w:rPr>
        <w:t>ves</w:t>
      </w:r>
      <w:r>
        <w:rPr>
          <w:rFonts w:ascii="Times New Roman"/>
          <w:color w:val="4D4D4D"/>
          <w:spacing w:val="-7"/>
          <w:w w:val="105"/>
        </w:rPr>
        <w:t> </w:t>
      </w:r>
      <w:r>
        <w:rPr>
          <w:rFonts w:ascii="Times New Roman"/>
          <w:color w:val="3D3D3D"/>
          <w:w w:val="105"/>
        </w:rPr>
        <w:t>income</w:t>
      </w:r>
      <w:r>
        <w:rPr>
          <w:rFonts w:ascii="Times New Roman"/>
          <w:color w:val="3D3D3D"/>
          <w:spacing w:val="-9"/>
          <w:w w:val="105"/>
        </w:rPr>
        <w:t> </w:t>
      </w:r>
      <w:r>
        <w:rPr>
          <w:rFonts w:ascii="Times New Roman"/>
          <w:color w:val="3D3D3D"/>
          <w:w w:val="105"/>
        </w:rPr>
        <w:t>from</w:t>
      </w:r>
      <w:r>
        <w:rPr>
          <w:rFonts w:ascii="Times New Roman"/>
          <w:color w:val="3D3D3D"/>
          <w:spacing w:val="-2"/>
          <w:w w:val="105"/>
        </w:rPr>
        <w:t> </w:t>
      </w:r>
      <w:r>
        <w:rPr>
          <w:rFonts w:ascii="Times New Roman"/>
          <w:color w:val="3D3D3D"/>
          <w:w w:val="105"/>
        </w:rPr>
        <w:t>a</w:t>
      </w:r>
      <w:r>
        <w:rPr>
          <w:rFonts w:ascii="Times New Roman"/>
          <w:color w:val="3D3D3D"/>
          <w:spacing w:val="-2"/>
          <w:w w:val="105"/>
        </w:rPr>
        <w:t> </w:t>
      </w:r>
      <w:r>
        <w:rPr>
          <w:rFonts w:ascii="Times New Roman"/>
          <w:color w:val="2A2A2A"/>
          <w:w w:val="105"/>
        </w:rPr>
        <w:t>number</w:t>
      </w:r>
      <w:r>
        <w:rPr>
          <w:rFonts w:ascii="Times New Roman"/>
          <w:color w:val="2A2A2A"/>
          <w:spacing w:val="-17"/>
          <w:w w:val="105"/>
        </w:rPr>
        <w:t> </w:t>
      </w:r>
      <w:r>
        <w:rPr>
          <w:rFonts w:ascii="Times New Roman"/>
          <w:color w:val="3D3D3D"/>
          <w:w w:val="105"/>
        </w:rPr>
        <w:t>of</w:t>
      </w:r>
      <w:r>
        <w:rPr>
          <w:rFonts w:ascii="Times New Roman"/>
          <w:color w:val="3D3D3D"/>
          <w:spacing w:val="10"/>
          <w:w w:val="105"/>
        </w:rPr>
        <w:t> </w:t>
      </w:r>
      <w:r>
        <w:rPr>
          <w:rFonts w:ascii="Times New Roman"/>
          <w:color w:val="3D3D3D"/>
          <w:spacing w:val="-4"/>
          <w:w w:val="105"/>
        </w:rPr>
        <w:t>trusts</w:t>
      </w:r>
      <w:r>
        <w:rPr>
          <w:rFonts w:ascii="Times New Roman"/>
          <w:color w:val="1A1A1A"/>
          <w:spacing w:val="-4"/>
          <w:w w:val="105"/>
        </w:rPr>
        <w:t>.</w:t>
      </w:r>
      <w:r>
        <w:rPr>
          <w:rFonts w:ascii="Times New Roman"/>
          <w:color w:val="1A1A1A"/>
          <w:spacing w:val="-2"/>
          <w:w w:val="105"/>
        </w:rPr>
        <w:t> </w:t>
      </w:r>
      <w:r>
        <w:rPr>
          <w:rFonts w:ascii="Times New Roman"/>
          <w:color w:val="3D3D3D"/>
          <w:w w:val="105"/>
        </w:rPr>
        <w:t>The</w:t>
      </w:r>
      <w:r>
        <w:rPr>
          <w:rFonts w:ascii="Times New Roman"/>
          <w:color w:val="3D3D3D"/>
          <w:spacing w:val="9"/>
          <w:w w:val="105"/>
        </w:rPr>
        <w:t> </w:t>
      </w:r>
      <w:r>
        <w:rPr>
          <w:rFonts w:ascii="Times New Roman"/>
          <w:color w:val="3D3D3D"/>
          <w:w w:val="105"/>
        </w:rPr>
        <w:t>most</w:t>
      </w:r>
      <w:r>
        <w:rPr>
          <w:rFonts w:ascii="Times New Roman"/>
          <w:color w:val="3D3D3D"/>
          <w:spacing w:val="-10"/>
          <w:w w:val="105"/>
        </w:rPr>
        <w:t> </w:t>
      </w:r>
      <w:r>
        <w:rPr>
          <w:rFonts w:ascii="Times New Roman"/>
          <w:color w:val="3D3D3D"/>
          <w:w w:val="105"/>
        </w:rPr>
        <w:t>significant</w:t>
      </w:r>
      <w:r>
        <w:rPr>
          <w:rFonts w:ascii="Times New Roman"/>
          <w:color w:val="3D3D3D"/>
          <w:spacing w:val="-10"/>
          <w:w w:val="105"/>
        </w:rPr>
        <w:t> </w:t>
      </w:r>
      <w:r>
        <w:rPr>
          <w:rFonts w:ascii="Times New Roman"/>
          <w:color w:val="3D3D3D"/>
          <w:w w:val="105"/>
        </w:rPr>
        <w:t>are</w:t>
      </w:r>
      <w:r>
        <w:rPr>
          <w:rFonts w:ascii="Times New Roman"/>
          <w:color w:val="3D3D3D"/>
          <w:spacing w:val="2"/>
          <w:w w:val="105"/>
        </w:rPr>
        <w:t> </w:t>
      </w:r>
      <w:r>
        <w:rPr>
          <w:rFonts w:ascii="Times New Roman"/>
          <w:color w:val="3D3D3D"/>
          <w:w w:val="105"/>
        </w:rPr>
        <w:t>described</w:t>
      </w:r>
      <w:r>
        <w:rPr>
          <w:rFonts w:ascii="Times New Roman"/>
          <w:color w:val="3D3D3D"/>
          <w:spacing w:val="2"/>
          <w:w w:val="105"/>
        </w:rPr>
        <w:t> </w:t>
      </w:r>
      <w:r>
        <w:rPr>
          <w:rFonts w:ascii="Times New Roman"/>
          <w:color w:val="3D3D3D"/>
          <w:w w:val="105"/>
        </w:rPr>
        <w:t>below.</w:t>
      </w:r>
    </w:p>
    <w:p>
      <w:pPr>
        <w:pStyle w:val="BodyText"/>
        <w:spacing w:line="264" w:lineRule="auto" w:before="130"/>
        <w:ind w:left="985" w:right="942" w:hanging="1"/>
        <w:jc w:val="both"/>
        <w:rPr>
          <w:rFonts w:ascii="Times New Roman" w:hAnsi="Times New Roman"/>
        </w:rPr>
      </w:pPr>
      <w:r>
        <w:rPr>
          <w:rFonts w:ascii="Times New Roman" w:hAnsi="Times New Roman"/>
          <w:b/>
          <w:color w:val="2A2A2A"/>
          <w:w w:val="105"/>
        </w:rPr>
        <w:t>Congregational </w:t>
      </w:r>
      <w:r>
        <w:rPr>
          <w:rFonts w:ascii="Times New Roman" w:hAnsi="Times New Roman"/>
          <w:b/>
          <w:color w:val="1A1A1A"/>
          <w:w w:val="105"/>
        </w:rPr>
        <w:t>Memorial </w:t>
      </w:r>
      <w:r>
        <w:rPr>
          <w:rFonts w:ascii="Times New Roman" w:hAnsi="Times New Roman"/>
          <w:b/>
          <w:color w:val="2A2A2A"/>
          <w:w w:val="105"/>
        </w:rPr>
        <w:t>HaU </w:t>
      </w:r>
      <w:r>
        <w:rPr>
          <w:rFonts w:ascii="Times New Roman" w:hAnsi="Times New Roman"/>
          <w:b/>
          <w:color w:val="1A1A1A"/>
          <w:w w:val="105"/>
        </w:rPr>
        <w:t>T </w:t>
      </w:r>
      <w:r>
        <w:rPr>
          <w:rFonts w:ascii="Times New Roman" w:hAnsi="Times New Roman"/>
          <w:b/>
          <w:color w:val="1A1A1A"/>
          <w:spacing w:val="-5"/>
          <w:w w:val="105"/>
        </w:rPr>
        <w:t>ru</w:t>
      </w:r>
      <w:r>
        <w:rPr>
          <w:rFonts w:ascii="Times New Roman" w:hAnsi="Times New Roman"/>
          <w:b/>
          <w:color w:val="3D3D3D"/>
          <w:spacing w:val="-5"/>
          <w:w w:val="105"/>
        </w:rPr>
        <w:t>s</w:t>
      </w:r>
      <w:r>
        <w:rPr>
          <w:rFonts w:ascii="Times New Roman" w:hAnsi="Times New Roman"/>
          <w:b/>
          <w:color w:val="1A1A1A"/>
          <w:spacing w:val="-5"/>
          <w:w w:val="105"/>
        </w:rPr>
        <w:t>t </w:t>
      </w:r>
      <w:r>
        <w:rPr>
          <w:rFonts w:ascii="Times New Roman" w:hAnsi="Times New Roman"/>
          <w:color w:val="2A2A2A"/>
          <w:w w:val="105"/>
        </w:rPr>
        <w:t>- </w:t>
      </w:r>
      <w:r>
        <w:rPr>
          <w:rFonts w:ascii="Times New Roman" w:hAnsi="Times New Roman"/>
          <w:color w:val="3D3D3D"/>
          <w:w w:val="105"/>
        </w:rPr>
        <w:t>£350k (2005 </w:t>
      </w:r>
      <w:r>
        <w:rPr>
          <w:rFonts w:ascii="Times New Roman" w:hAnsi="Times New Roman"/>
          <w:color w:val="2A2A2A"/>
          <w:w w:val="105"/>
        </w:rPr>
        <w:t>£3l </w:t>
      </w:r>
      <w:r>
        <w:rPr>
          <w:rFonts w:ascii="Times New Roman" w:hAnsi="Times New Roman"/>
          <w:color w:val="3D3D3D"/>
          <w:w w:val="105"/>
        </w:rPr>
        <w:t>5k). </w:t>
      </w:r>
      <w:r>
        <w:rPr>
          <w:rFonts w:ascii="Times New Roman" w:hAnsi="Times New Roman"/>
          <w:color w:val="2A2A2A"/>
          <w:w w:val="105"/>
        </w:rPr>
        <w:t>In 1999 </w:t>
      </w:r>
      <w:r>
        <w:rPr>
          <w:rFonts w:ascii="Times New Roman" w:hAnsi="Times New Roman"/>
          <w:color w:val="3D3D3D"/>
          <w:w w:val="105"/>
        </w:rPr>
        <w:t>this trust </w:t>
      </w:r>
      <w:r>
        <w:rPr>
          <w:rFonts w:ascii="Times New Roman" w:hAnsi="Times New Roman"/>
          <w:color w:val="2A2A2A"/>
          <w:w w:val="105"/>
        </w:rPr>
        <w:t>disposed </w:t>
      </w:r>
      <w:r>
        <w:rPr>
          <w:rFonts w:ascii="Times New Roman" w:hAnsi="Times New Roman"/>
          <w:color w:val="3D3D3D"/>
          <w:w w:val="105"/>
        </w:rPr>
        <w:t>of </w:t>
      </w:r>
      <w:r>
        <w:rPr>
          <w:rFonts w:ascii="Times New Roman" w:hAnsi="Times New Roman"/>
          <w:color w:val="4D4D4D"/>
          <w:w w:val="105"/>
        </w:rPr>
        <w:t>its </w:t>
      </w:r>
      <w:r>
        <w:rPr>
          <w:rFonts w:ascii="Times New Roman" w:hAnsi="Times New Roman"/>
          <w:color w:val="2A2A2A"/>
          <w:w w:val="105"/>
        </w:rPr>
        <w:t>intere</w:t>
      </w:r>
      <w:r>
        <w:rPr>
          <w:rFonts w:ascii="Times New Roman" w:hAnsi="Times New Roman"/>
          <w:color w:val="4D4D4D"/>
          <w:w w:val="105"/>
        </w:rPr>
        <w:t>st in </w:t>
      </w:r>
      <w:r>
        <w:rPr>
          <w:rFonts w:ascii="Times New Roman" w:hAnsi="Times New Roman"/>
          <w:color w:val="3D3D3D"/>
          <w:w w:val="105"/>
        </w:rPr>
        <w:t>the building stand</w:t>
      </w:r>
      <w:r>
        <w:rPr>
          <w:rFonts w:ascii="Times New Roman" w:hAnsi="Times New Roman"/>
          <w:color w:val="1A1A1A"/>
          <w:w w:val="105"/>
        </w:rPr>
        <w:t>in</w:t>
      </w:r>
      <w:r>
        <w:rPr>
          <w:rFonts w:ascii="Times New Roman" w:hAnsi="Times New Roman"/>
          <w:color w:val="3D3D3D"/>
          <w:w w:val="105"/>
        </w:rPr>
        <w:t>g </w:t>
      </w:r>
      <w:r>
        <w:rPr>
          <w:rFonts w:ascii="Times New Roman" w:hAnsi="Times New Roman"/>
          <w:color w:val="2A2A2A"/>
          <w:w w:val="105"/>
        </w:rPr>
        <w:t>on </w:t>
      </w:r>
      <w:r>
        <w:rPr>
          <w:rFonts w:ascii="Times New Roman" w:hAnsi="Times New Roman"/>
          <w:color w:val="3D3D3D"/>
          <w:w w:val="105"/>
        </w:rPr>
        <w:t>the </w:t>
      </w:r>
      <w:r>
        <w:rPr>
          <w:rFonts w:ascii="Times New Roman" w:hAnsi="Times New Roman"/>
          <w:color w:val="4D4D4D"/>
          <w:w w:val="105"/>
        </w:rPr>
        <w:t>site </w:t>
      </w:r>
      <w:r>
        <w:rPr>
          <w:rFonts w:ascii="Times New Roman" w:hAnsi="Times New Roman"/>
          <w:color w:val="3D3D3D"/>
          <w:w w:val="105"/>
        </w:rPr>
        <w:t>of the former Memorial Hall. </w:t>
      </w:r>
      <w:r>
        <w:rPr>
          <w:rFonts w:ascii="Times New Roman" w:hAnsi="Times New Roman"/>
          <w:color w:val="4D4D4D"/>
          <w:w w:val="105"/>
        </w:rPr>
        <w:t>The </w:t>
      </w:r>
      <w:r>
        <w:rPr>
          <w:rFonts w:ascii="Times New Roman" w:hAnsi="Times New Roman"/>
          <w:color w:val="3D3D3D"/>
          <w:w w:val="105"/>
        </w:rPr>
        <w:t>proceeds of sale are now </w:t>
      </w:r>
      <w:r>
        <w:rPr>
          <w:rFonts w:ascii="Times New Roman" w:hAnsi="Times New Roman"/>
          <w:color w:val="2A2A2A"/>
          <w:w w:val="105"/>
        </w:rPr>
        <w:t>in</w:t>
      </w:r>
      <w:r>
        <w:rPr>
          <w:rFonts w:ascii="Times New Roman" w:hAnsi="Times New Roman"/>
          <w:color w:val="4D4D4D"/>
          <w:w w:val="105"/>
        </w:rPr>
        <w:t>vested </w:t>
      </w:r>
      <w:r>
        <w:rPr>
          <w:rFonts w:ascii="Times New Roman" w:hAnsi="Times New Roman"/>
          <w:color w:val="3D3D3D"/>
          <w:w w:val="105"/>
        </w:rPr>
        <w:t>and the </w:t>
      </w:r>
      <w:r>
        <w:rPr>
          <w:rFonts w:ascii="Times New Roman" w:hAnsi="Times New Roman"/>
          <w:color w:val="3D3D3D"/>
          <w:spacing w:val="-5"/>
          <w:w w:val="105"/>
        </w:rPr>
        <w:t>income</w:t>
      </w:r>
      <w:r>
        <w:rPr>
          <w:rFonts w:ascii="Times New Roman" w:hAnsi="Times New Roman"/>
          <w:color w:val="606060"/>
          <w:spacing w:val="-5"/>
          <w:w w:val="105"/>
        </w:rPr>
        <w:t>, </w:t>
      </w:r>
      <w:r>
        <w:rPr>
          <w:rFonts w:ascii="Times New Roman" w:hAnsi="Times New Roman"/>
          <w:color w:val="3D3D3D"/>
          <w:w w:val="105"/>
        </w:rPr>
        <w:t>after meeting </w:t>
      </w:r>
      <w:r>
        <w:rPr>
          <w:rFonts w:ascii="Times New Roman" w:hAnsi="Times New Roman"/>
          <w:color w:val="2A2A2A"/>
          <w:w w:val="105"/>
        </w:rPr>
        <w:t>trust </w:t>
      </w:r>
      <w:r>
        <w:rPr>
          <w:rFonts w:ascii="Times New Roman" w:hAnsi="Times New Roman"/>
          <w:color w:val="4D4D4D"/>
          <w:w w:val="105"/>
        </w:rPr>
        <w:t>ex</w:t>
      </w:r>
      <w:r>
        <w:rPr>
          <w:rFonts w:ascii="Times New Roman" w:hAnsi="Times New Roman"/>
          <w:color w:val="2A2A2A"/>
          <w:w w:val="105"/>
        </w:rPr>
        <w:t>penses, </w:t>
      </w:r>
      <w:r>
        <w:rPr>
          <w:rFonts w:ascii="Times New Roman" w:hAnsi="Times New Roman"/>
          <w:color w:val="3D3D3D"/>
          <w:w w:val="105"/>
        </w:rPr>
        <w:t>is </w:t>
      </w:r>
      <w:r>
        <w:rPr>
          <w:rFonts w:ascii="Times New Roman" w:hAnsi="Times New Roman"/>
          <w:color w:val="2A2A2A"/>
          <w:spacing w:val="-3"/>
          <w:w w:val="105"/>
        </w:rPr>
        <w:t>di</w:t>
      </w:r>
      <w:r>
        <w:rPr>
          <w:rFonts w:ascii="Times New Roman" w:hAnsi="Times New Roman"/>
          <w:color w:val="4D4D4D"/>
          <w:spacing w:val="-3"/>
          <w:w w:val="105"/>
        </w:rPr>
        <w:t>stribu</w:t>
      </w:r>
      <w:r>
        <w:rPr>
          <w:rFonts w:ascii="Times New Roman" w:hAnsi="Times New Roman"/>
          <w:color w:val="2A2A2A"/>
          <w:spacing w:val="-3"/>
          <w:w w:val="105"/>
        </w:rPr>
        <w:t>ted </w:t>
      </w:r>
      <w:r>
        <w:rPr>
          <w:rFonts w:ascii="Times New Roman" w:hAnsi="Times New Roman"/>
          <w:color w:val="2A2A2A"/>
          <w:w w:val="105"/>
        </w:rPr>
        <w:t>to </w:t>
      </w:r>
      <w:r>
        <w:rPr>
          <w:rFonts w:ascii="Times New Roman" w:hAnsi="Times New Roman"/>
          <w:color w:val="3D3D3D"/>
          <w:w w:val="105"/>
        </w:rPr>
        <w:t>the </w:t>
      </w:r>
      <w:r>
        <w:rPr>
          <w:rFonts w:ascii="Times New Roman" w:hAnsi="Times New Roman"/>
          <w:color w:val="4D4D4D"/>
          <w:w w:val="105"/>
        </w:rPr>
        <w:t>Unite</w:t>
      </w:r>
      <w:r>
        <w:rPr>
          <w:rFonts w:ascii="Times New Roman" w:hAnsi="Times New Roman"/>
          <w:color w:val="2A2A2A"/>
          <w:w w:val="105"/>
        </w:rPr>
        <w:t>d Reformed </w:t>
      </w:r>
      <w:r>
        <w:rPr>
          <w:rFonts w:ascii="Times New Roman" w:hAnsi="Times New Roman"/>
          <w:color w:val="3D3D3D"/>
          <w:w w:val="105"/>
        </w:rPr>
        <w:t>Church and non-uniting Congregational churches</w:t>
      </w:r>
      <w:r>
        <w:rPr>
          <w:rFonts w:ascii="Times New Roman" w:hAnsi="Times New Roman"/>
          <w:color w:val="1A1A1A"/>
          <w:w w:val="105"/>
        </w:rPr>
        <w:t>. </w:t>
      </w:r>
      <w:r>
        <w:rPr>
          <w:rFonts w:ascii="Times New Roman" w:hAnsi="Times New Roman"/>
          <w:color w:val="2A2A2A"/>
          <w:w w:val="105"/>
        </w:rPr>
        <w:t>The </w:t>
      </w:r>
      <w:r>
        <w:rPr>
          <w:rFonts w:ascii="Times New Roman" w:hAnsi="Times New Roman"/>
          <w:color w:val="4D4D4D"/>
          <w:w w:val="105"/>
        </w:rPr>
        <w:t>United </w:t>
      </w:r>
      <w:r>
        <w:rPr>
          <w:rFonts w:ascii="Times New Roman" w:hAnsi="Times New Roman"/>
          <w:color w:val="3D3D3D"/>
          <w:w w:val="105"/>
        </w:rPr>
        <w:t>Reformed Church's </w:t>
      </w:r>
      <w:r>
        <w:rPr>
          <w:rFonts w:ascii="Times New Roman" w:hAnsi="Times New Roman"/>
          <w:color w:val="2A2A2A"/>
          <w:spacing w:val="-3"/>
          <w:w w:val="105"/>
        </w:rPr>
        <w:t>in</w:t>
      </w:r>
      <w:r>
        <w:rPr>
          <w:rFonts w:ascii="Times New Roman" w:hAnsi="Times New Roman"/>
          <w:color w:val="4D4D4D"/>
          <w:spacing w:val="-3"/>
          <w:w w:val="105"/>
        </w:rPr>
        <w:t>terest </w:t>
      </w:r>
      <w:r>
        <w:rPr>
          <w:rFonts w:ascii="Times New Roman" w:hAnsi="Times New Roman"/>
          <w:color w:val="3D3D3D"/>
          <w:w w:val="105"/>
        </w:rPr>
        <w:t>in these distributions is</w:t>
      </w:r>
      <w:r>
        <w:rPr>
          <w:rFonts w:ascii="Times New Roman" w:hAnsi="Times New Roman"/>
          <w:color w:val="3D3D3D"/>
          <w:spacing w:val="-16"/>
          <w:w w:val="105"/>
        </w:rPr>
        <w:t> </w:t>
      </w:r>
      <w:r>
        <w:rPr>
          <w:rFonts w:ascii="Times New Roman" w:hAnsi="Times New Roman"/>
          <w:color w:val="3D3D3D"/>
          <w:w w:val="105"/>
        </w:rPr>
        <w:t>70%</w:t>
      </w:r>
      <w:r>
        <w:rPr>
          <w:rFonts w:ascii="Times New Roman" w:hAnsi="Times New Roman"/>
          <w:color w:val="1A1A1A"/>
          <w:w w:val="105"/>
        </w:rPr>
        <w:t>.</w:t>
      </w:r>
    </w:p>
    <w:p>
      <w:pPr>
        <w:pStyle w:val="BodyText"/>
        <w:spacing w:line="261" w:lineRule="auto" w:before="109"/>
        <w:ind w:left="989" w:right="946" w:firstLine="1"/>
        <w:jc w:val="both"/>
        <w:rPr>
          <w:rFonts w:ascii="Times New Roman" w:hAnsi="Times New Roman"/>
        </w:rPr>
      </w:pPr>
      <w:r>
        <w:rPr>
          <w:rFonts w:ascii="Times New Roman" w:hAnsi="Times New Roman"/>
          <w:b/>
          <w:color w:val="2A2A2A"/>
          <w:w w:val="105"/>
        </w:rPr>
        <w:t>New College </w:t>
      </w:r>
      <w:r>
        <w:rPr>
          <w:rFonts w:ascii="Times New Roman" w:hAnsi="Times New Roman"/>
          <w:b/>
          <w:color w:val="1A1A1A"/>
          <w:w w:val="105"/>
        </w:rPr>
        <w:t>London Tro</w:t>
      </w:r>
      <w:r>
        <w:rPr>
          <w:rFonts w:ascii="Times New Roman" w:hAnsi="Times New Roman"/>
          <w:b/>
          <w:color w:val="3D3D3D"/>
          <w:w w:val="105"/>
        </w:rPr>
        <w:t>s</w:t>
      </w:r>
      <w:r>
        <w:rPr>
          <w:rFonts w:ascii="Times New Roman" w:hAnsi="Times New Roman"/>
          <w:b/>
          <w:color w:val="1A1A1A"/>
          <w:w w:val="105"/>
        </w:rPr>
        <w:t>t </w:t>
      </w:r>
      <w:r>
        <w:rPr>
          <w:rFonts w:ascii="Times New Roman" w:hAnsi="Times New Roman"/>
          <w:color w:val="3D3D3D"/>
          <w:w w:val="105"/>
        </w:rPr>
        <w:t>- </w:t>
      </w:r>
      <w:r>
        <w:rPr>
          <w:rFonts w:ascii="Times New Roman" w:hAnsi="Times New Roman"/>
          <w:color w:val="4D4D4D"/>
          <w:w w:val="105"/>
        </w:rPr>
        <w:t>£2</w:t>
      </w:r>
      <w:r>
        <w:rPr>
          <w:rFonts w:ascii="Times New Roman" w:hAnsi="Times New Roman"/>
          <w:color w:val="2A2A2A"/>
          <w:w w:val="105"/>
        </w:rPr>
        <w:t>86</w:t>
      </w:r>
      <w:r>
        <w:rPr>
          <w:rFonts w:ascii="Times New Roman" w:hAnsi="Times New Roman"/>
          <w:color w:val="4D4D4D"/>
          <w:w w:val="105"/>
        </w:rPr>
        <w:t>k </w:t>
      </w:r>
      <w:r>
        <w:rPr>
          <w:rFonts w:ascii="Times New Roman" w:hAnsi="Times New Roman"/>
          <w:color w:val="3D3D3D"/>
          <w:w w:val="105"/>
        </w:rPr>
        <w:t>(2005 £3</w:t>
      </w:r>
      <w:r>
        <w:rPr>
          <w:rFonts w:ascii="Times New Roman" w:hAnsi="Times New Roman"/>
          <w:color w:val="1A1A1A"/>
          <w:w w:val="105"/>
        </w:rPr>
        <w:t>1</w:t>
      </w:r>
      <w:r>
        <w:rPr>
          <w:rFonts w:ascii="Times New Roman" w:hAnsi="Times New Roman"/>
          <w:color w:val="3D3D3D"/>
          <w:w w:val="105"/>
        </w:rPr>
        <w:t>8k). </w:t>
      </w:r>
      <w:r>
        <w:rPr>
          <w:rFonts w:ascii="Times New Roman" w:hAnsi="Times New Roman"/>
          <w:color w:val="2A2A2A"/>
          <w:w w:val="105"/>
        </w:rPr>
        <w:t>This </w:t>
      </w:r>
      <w:r>
        <w:rPr>
          <w:rFonts w:ascii="Arial" w:hAnsi="Arial"/>
          <w:i/>
          <w:color w:val="3D3D3D"/>
          <w:w w:val="105"/>
          <w:sz w:val="16"/>
        </w:rPr>
        <w:t>trust </w:t>
      </w:r>
      <w:r>
        <w:rPr>
          <w:rFonts w:ascii="Times New Roman" w:hAnsi="Times New Roman"/>
          <w:color w:val="3D3D3D"/>
          <w:w w:val="105"/>
        </w:rPr>
        <w:t>holds assets relating to the former </w:t>
      </w:r>
      <w:r>
        <w:rPr>
          <w:rFonts w:ascii="Times New Roman" w:hAnsi="Times New Roman"/>
          <w:color w:val="4D4D4D"/>
          <w:w w:val="105"/>
        </w:rPr>
        <w:t>New </w:t>
      </w:r>
      <w:r>
        <w:rPr>
          <w:rFonts w:ascii="Times New Roman" w:hAnsi="Times New Roman"/>
          <w:color w:val="3D3D3D"/>
          <w:w w:val="105"/>
        </w:rPr>
        <w:t>College London on behalf of </w:t>
      </w:r>
      <w:r>
        <w:rPr>
          <w:rFonts w:ascii="Times New Roman" w:hAnsi="Times New Roman"/>
          <w:color w:val="2A2A2A"/>
          <w:w w:val="105"/>
        </w:rPr>
        <w:t>the </w:t>
      </w:r>
      <w:r>
        <w:rPr>
          <w:rFonts w:ascii="Times New Roman" w:hAnsi="Times New Roman"/>
          <w:color w:val="3D3D3D"/>
          <w:w w:val="105"/>
        </w:rPr>
        <w:t>United Reformed Church and </w:t>
      </w:r>
      <w:r>
        <w:rPr>
          <w:rFonts w:ascii="Times New Roman" w:hAnsi="Times New Roman"/>
          <w:color w:val="2A2A2A"/>
          <w:w w:val="105"/>
        </w:rPr>
        <w:t>non</w:t>
      </w:r>
      <w:r>
        <w:rPr>
          <w:rFonts w:ascii="Times New Roman" w:hAnsi="Times New Roman"/>
          <w:color w:val="4D4D4D"/>
          <w:w w:val="105"/>
        </w:rPr>
        <w:t>-uniting </w:t>
      </w:r>
      <w:r>
        <w:rPr>
          <w:rFonts w:ascii="Times New Roman" w:hAnsi="Times New Roman"/>
          <w:color w:val="3D3D3D"/>
          <w:w w:val="105"/>
        </w:rPr>
        <w:t>Congregational churches. The </w:t>
      </w:r>
      <w:r>
        <w:rPr>
          <w:rFonts w:ascii="Times New Roman" w:hAnsi="Times New Roman"/>
          <w:color w:val="606060"/>
          <w:w w:val="105"/>
        </w:rPr>
        <w:t>U</w:t>
      </w:r>
      <w:r>
        <w:rPr>
          <w:rFonts w:ascii="Times New Roman" w:hAnsi="Times New Roman"/>
          <w:color w:val="3D3D3D"/>
          <w:w w:val="105"/>
        </w:rPr>
        <w:t>nited </w:t>
      </w:r>
      <w:r>
        <w:rPr>
          <w:rFonts w:ascii="Times New Roman" w:hAnsi="Times New Roman"/>
          <w:color w:val="2A2A2A"/>
          <w:w w:val="105"/>
        </w:rPr>
        <w:t>Reformed</w:t>
      </w:r>
      <w:r>
        <w:rPr>
          <w:rFonts w:ascii="Times New Roman" w:hAnsi="Times New Roman"/>
          <w:color w:val="2A2A2A"/>
          <w:spacing w:val="-14"/>
          <w:w w:val="105"/>
        </w:rPr>
        <w:t> </w:t>
      </w:r>
      <w:r>
        <w:rPr>
          <w:rFonts w:ascii="Times New Roman" w:hAnsi="Times New Roman"/>
          <w:color w:val="3D3D3D"/>
          <w:w w:val="105"/>
        </w:rPr>
        <w:t>Church's interest</w:t>
      </w:r>
      <w:r>
        <w:rPr>
          <w:rFonts w:ascii="Times New Roman" w:hAnsi="Times New Roman"/>
          <w:color w:val="3D3D3D"/>
          <w:spacing w:val="-16"/>
          <w:w w:val="105"/>
        </w:rPr>
        <w:t> </w:t>
      </w:r>
      <w:r>
        <w:rPr>
          <w:rFonts w:ascii="Times New Roman" w:hAnsi="Times New Roman"/>
          <w:color w:val="3D3D3D"/>
          <w:w w:val="105"/>
        </w:rPr>
        <w:t>amounts</w:t>
      </w:r>
      <w:r>
        <w:rPr>
          <w:rFonts w:ascii="Times New Roman" w:hAnsi="Times New Roman"/>
          <w:color w:val="3D3D3D"/>
          <w:spacing w:val="-9"/>
          <w:w w:val="105"/>
        </w:rPr>
        <w:t> </w:t>
      </w:r>
      <w:r>
        <w:rPr>
          <w:rFonts w:ascii="Times New Roman" w:hAnsi="Times New Roman"/>
          <w:color w:val="3D3D3D"/>
          <w:w w:val="105"/>
        </w:rPr>
        <w:t>to</w:t>
      </w:r>
      <w:r>
        <w:rPr>
          <w:rFonts w:ascii="Times New Roman" w:hAnsi="Times New Roman"/>
          <w:color w:val="3D3D3D"/>
          <w:spacing w:val="-10"/>
          <w:w w:val="105"/>
        </w:rPr>
        <w:t> </w:t>
      </w:r>
      <w:r>
        <w:rPr>
          <w:rFonts w:ascii="Times New Roman" w:hAnsi="Times New Roman"/>
          <w:color w:val="3D3D3D"/>
          <w:w w:val="105"/>
        </w:rPr>
        <w:t>approximately</w:t>
      </w:r>
      <w:r>
        <w:rPr>
          <w:rFonts w:ascii="Times New Roman" w:hAnsi="Times New Roman"/>
          <w:color w:val="3D3D3D"/>
          <w:spacing w:val="8"/>
          <w:w w:val="105"/>
        </w:rPr>
        <w:t> </w:t>
      </w:r>
      <w:r>
        <w:rPr>
          <w:rFonts w:ascii="Times New Roman" w:hAnsi="Times New Roman"/>
          <w:color w:val="2A2A2A"/>
          <w:w w:val="105"/>
        </w:rPr>
        <w:t>82%</w:t>
      </w:r>
      <w:r>
        <w:rPr>
          <w:rFonts w:ascii="Times New Roman" w:hAnsi="Times New Roman"/>
          <w:color w:val="2A2A2A"/>
          <w:spacing w:val="-1"/>
          <w:w w:val="105"/>
        </w:rPr>
        <w:t> </w:t>
      </w:r>
      <w:r>
        <w:rPr>
          <w:rFonts w:ascii="Times New Roman" w:hAnsi="Times New Roman"/>
          <w:color w:val="3D3D3D"/>
          <w:w w:val="105"/>
        </w:rPr>
        <w:t>and</w:t>
      </w:r>
      <w:r>
        <w:rPr>
          <w:rFonts w:ascii="Times New Roman" w:hAnsi="Times New Roman"/>
          <w:color w:val="3D3D3D"/>
          <w:spacing w:val="-3"/>
          <w:w w:val="105"/>
        </w:rPr>
        <w:t> </w:t>
      </w:r>
      <w:r>
        <w:rPr>
          <w:rFonts w:ascii="Times New Roman" w:hAnsi="Times New Roman"/>
          <w:color w:val="3D3D3D"/>
          <w:w w:val="105"/>
        </w:rPr>
        <w:t>is</w:t>
      </w:r>
      <w:r>
        <w:rPr>
          <w:rFonts w:ascii="Times New Roman" w:hAnsi="Times New Roman"/>
          <w:color w:val="3D3D3D"/>
          <w:spacing w:val="-17"/>
          <w:w w:val="105"/>
        </w:rPr>
        <w:t> </w:t>
      </w:r>
      <w:r>
        <w:rPr>
          <w:rFonts w:ascii="Times New Roman" w:hAnsi="Times New Roman"/>
          <w:color w:val="3D3D3D"/>
          <w:w w:val="105"/>
        </w:rPr>
        <w:t>applied</w:t>
      </w:r>
      <w:r>
        <w:rPr>
          <w:rFonts w:ascii="Times New Roman" w:hAnsi="Times New Roman"/>
          <w:color w:val="3D3D3D"/>
          <w:spacing w:val="-1"/>
          <w:w w:val="105"/>
        </w:rPr>
        <w:t> </w:t>
      </w:r>
      <w:r>
        <w:rPr>
          <w:rFonts w:ascii="Times New Roman" w:hAnsi="Times New Roman"/>
          <w:color w:val="3D3D3D"/>
          <w:w w:val="105"/>
        </w:rPr>
        <w:t>to</w:t>
      </w:r>
      <w:r>
        <w:rPr>
          <w:rFonts w:ascii="Times New Roman" w:hAnsi="Times New Roman"/>
          <w:color w:val="3D3D3D"/>
          <w:spacing w:val="6"/>
          <w:w w:val="105"/>
        </w:rPr>
        <w:t> </w:t>
      </w:r>
      <w:r>
        <w:rPr>
          <w:rFonts w:ascii="Times New Roman" w:hAnsi="Times New Roman"/>
          <w:color w:val="3D3D3D"/>
          <w:w w:val="105"/>
        </w:rPr>
        <w:t>ministerial</w:t>
      </w:r>
      <w:r>
        <w:rPr>
          <w:rFonts w:ascii="Times New Roman" w:hAnsi="Times New Roman"/>
          <w:color w:val="3D3D3D"/>
          <w:spacing w:val="1"/>
          <w:w w:val="105"/>
        </w:rPr>
        <w:t> </w:t>
      </w:r>
      <w:r>
        <w:rPr>
          <w:rFonts w:ascii="Times New Roman" w:hAnsi="Times New Roman"/>
          <w:color w:val="3D3D3D"/>
          <w:w w:val="105"/>
        </w:rPr>
        <w:t>training.</w:t>
      </w:r>
    </w:p>
    <w:p>
      <w:pPr>
        <w:pStyle w:val="BodyText"/>
        <w:spacing w:line="261" w:lineRule="auto" w:before="112"/>
        <w:ind w:left="974" w:right="956" w:firstLine="2"/>
        <w:jc w:val="both"/>
        <w:rPr>
          <w:rFonts w:ascii="Times New Roman" w:hAnsi="Times New Roman"/>
        </w:rPr>
      </w:pPr>
      <w:r>
        <w:rPr>
          <w:rFonts w:ascii="Times New Roman" w:hAnsi="Times New Roman"/>
          <w:b/>
          <w:color w:val="2A2A2A"/>
          <w:w w:val="105"/>
        </w:rPr>
        <w:t>The </w:t>
      </w:r>
      <w:r>
        <w:rPr>
          <w:rFonts w:ascii="Times New Roman" w:hAnsi="Times New Roman"/>
          <w:b/>
          <w:color w:val="3D3D3D"/>
          <w:w w:val="105"/>
        </w:rPr>
        <w:t>C</w:t>
      </w:r>
      <w:r>
        <w:rPr>
          <w:rFonts w:ascii="Times New Roman" w:hAnsi="Times New Roman"/>
          <w:b/>
          <w:color w:val="1A1A1A"/>
          <w:w w:val="105"/>
        </w:rPr>
        <w:t>heshunt </w:t>
      </w:r>
      <w:r>
        <w:rPr>
          <w:rFonts w:ascii="Times New Roman" w:hAnsi="Times New Roman"/>
          <w:b/>
          <w:color w:val="3D3D3D"/>
          <w:w w:val="105"/>
        </w:rPr>
        <w:t>F</w:t>
      </w:r>
      <w:r>
        <w:rPr>
          <w:rFonts w:ascii="Times New Roman" w:hAnsi="Times New Roman"/>
          <w:b/>
          <w:color w:val="1A1A1A"/>
          <w:w w:val="105"/>
        </w:rPr>
        <w:t>oundation </w:t>
      </w:r>
      <w:r>
        <w:rPr>
          <w:rFonts w:ascii="Times New Roman" w:hAnsi="Times New Roman"/>
          <w:color w:val="1A1A1A"/>
          <w:w w:val="105"/>
        </w:rPr>
        <w:t>- </w:t>
      </w:r>
      <w:r>
        <w:rPr>
          <w:rFonts w:ascii="Times New Roman" w:hAnsi="Times New Roman"/>
          <w:color w:val="3D3D3D"/>
          <w:w w:val="105"/>
        </w:rPr>
        <w:t>£47k </w:t>
      </w:r>
      <w:r>
        <w:rPr>
          <w:rFonts w:ascii="Times New Roman" w:hAnsi="Times New Roman"/>
          <w:color w:val="4D4D4D"/>
          <w:w w:val="105"/>
        </w:rPr>
        <w:t>(2005 </w:t>
      </w:r>
      <w:r>
        <w:rPr>
          <w:rFonts w:ascii="Times New Roman" w:hAnsi="Times New Roman"/>
          <w:color w:val="3D3D3D"/>
          <w:w w:val="105"/>
        </w:rPr>
        <w:t>£45k). The foundation supports Westminster College by  paying the </w:t>
      </w:r>
      <w:r>
        <w:rPr>
          <w:rFonts w:ascii="Times New Roman" w:hAnsi="Times New Roman"/>
          <w:color w:val="4D4D4D"/>
          <w:w w:val="105"/>
        </w:rPr>
        <w:t>sti </w:t>
      </w:r>
      <w:r>
        <w:rPr>
          <w:rFonts w:ascii="Times New Roman" w:hAnsi="Times New Roman"/>
          <w:color w:val="2A2A2A"/>
          <w:w w:val="105"/>
        </w:rPr>
        <w:t>pend </w:t>
      </w:r>
      <w:r>
        <w:rPr>
          <w:rFonts w:ascii="Times New Roman" w:hAnsi="Times New Roman"/>
          <w:color w:val="3D3D3D"/>
          <w:w w:val="105"/>
        </w:rPr>
        <w:t>and expenses of one of the lecturers, by contr</w:t>
      </w:r>
      <w:r>
        <w:rPr>
          <w:rFonts w:ascii="Times New Roman" w:hAnsi="Times New Roman"/>
          <w:color w:val="1A1A1A"/>
          <w:w w:val="105"/>
        </w:rPr>
        <w:t>i</w:t>
      </w:r>
      <w:r>
        <w:rPr>
          <w:rFonts w:ascii="Times New Roman" w:hAnsi="Times New Roman"/>
          <w:color w:val="3D3D3D"/>
          <w:w w:val="105"/>
        </w:rPr>
        <w:t>buting </w:t>
      </w:r>
      <w:r>
        <w:rPr>
          <w:rFonts w:ascii="Times New Roman" w:hAnsi="Times New Roman"/>
          <w:color w:val="1A1A1A"/>
          <w:spacing w:val="-10"/>
          <w:w w:val="105"/>
        </w:rPr>
        <w:t>t</w:t>
      </w:r>
      <w:r>
        <w:rPr>
          <w:rFonts w:ascii="Times New Roman" w:hAnsi="Times New Roman"/>
          <w:color w:val="3D3D3D"/>
          <w:spacing w:val="-10"/>
          <w:w w:val="105"/>
        </w:rPr>
        <w:t>o </w:t>
      </w:r>
      <w:r>
        <w:rPr>
          <w:rFonts w:ascii="Times New Roman" w:hAnsi="Times New Roman"/>
          <w:color w:val="2A2A2A"/>
          <w:w w:val="105"/>
        </w:rPr>
        <w:t>the </w:t>
      </w:r>
      <w:r>
        <w:rPr>
          <w:rFonts w:ascii="Times New Roman" w:hAnsi="Times New Roman"/>
          <w:color w:val="3D3D3D"/>
          <w:w w:val="105"/>
        </w:rPr>
        <w:t>college </w:t>
      </w:r>
      <w:r>
        <w:rPr>
          <w:rFonts w:ascii="Times New Roman" w:hAnsi="Times New Roman"/>
          <w:color w:val="3D3D3D"/>
          <w:spacing w:val="-5"/>
          <w:w w:val="105"/>
        </w:rPr>
        <w:t>budget</w:t>
      </w:r>
      <w:r>
        <w:rPr>
          <w:rFonts w:ascii="Times New Roman" w:hAnsi="Times New Roman"/>
          <w:color w:val="606060"/>
          <w:spacing w:val="-5"/>
          <w:w w:val="105"/>
        </w:rPr>
        <w:t>, </w:t>
      </w:r>
      <w:r>
        <w:rPr>
          <w:rFonts w:ascii="Times New Roman" w:hAnsi="Times New Roman"/>
          <w:color w:val="3D3D3D"/>
          <w:w w:val="105"/>
        </w:rPr>
        <w:t>and by </w:t>
      </w:r>
      <w:r>
        <w:rPr>
          <w:rFonts w:ascii="Times New Roman" w:hAnsi="Times New Roman"/>
          <w:color w:val="2A2A2A"/>
          <w:spacing w:val="2"/>
          <w:w w:val="105"/>
        </w:rPr>
        <w:t>pro</w:t>
      </w:r>
      <w:r>
        <w:rPr>
          <w:rFonts w:ascii="Times New Roman" w:hAnsi="Times New Roman"/>
          <w:color w:val="4D4D4D"/>
          <w:spacing w:val="2"/>
          <w:w w:val="105"/>
        </w:rPr>
        <w:t>viding </w:t>
      </w:r>
      <w:r>
        <w:rPr>
          <w:rFonts w:ascii="Times New Roman" w:hAnsi="Times New Roman"/>
          <w:color w:val="2A2A2A"/>
          <w:w w:val="105"/>
        </w:rPr>
        <w:t>financial </w:t>
      </w:r>
      <w:r>
        <w:rPr>
          <w:rFonts w:ascii="Times New Roman" w:hAnsi="Times New Roman"/>
          <w:color w:val="4D4D4D"/>
          <w:w w:val="105"/>
        </w:rPr>
        <w:t>support</w:t>
      </w:r>
      <w:r>
        <w:rPr>
          <w:rFonts w:ascii="Times New Roman" w:hAnsi="Times New Roman"/>
          <w:color w:val="4D4D4D"/>
          <w:spacing w:val="-4"/>
          <w:w w:val="105"/>
        </w:rPr>
        <w:t> </w:t>
      </w:r>
      <w:r>
        <w:rPr>
          <w:rFonts w:ascii="Times New Roman" w:hAnsi="Times New Roman"/>
          <w:color w:val="4D4D4D"/>
          <w:w w:val="105"/>
        </w:rPr>
        <w:t>for</w:t>
      </w:r>
      <w:r>
        <w:rPr>
          <w:rFonts w:ascii="Times New Roman" w:hAnsi="Times New Roman"/>
          <w:color w:val="4D4D4D"/>
          <w:spacing w:val="3"/>
          <w:w w:val="105"/>
        </w:rPr>
        <w:t> </w:t>
      </w:r>
      <w:r>
        <w:rPr>
          <w:rFonts w:ascii="Times New Roman" w:hAnsi="Times New Roman"/>
          <w:color w:val="3D3D3D"/>
          <w:w w:val="105"/>
        </w:rPr>
        <w:t>ministers</w:t>
      </w:r>
      <w:r>
        <w:rPr>
          <w:rFonts w:ascii="Times New Roman" w:hAnsi="Times New Roman"/>
          <w:color w:val="3D3D3D"/>
          <w:spacing w:val="-3"/>
          <w:w w:val="105"/>
        </w:rPr>
        <w:t> </w:t>
      </w:r>
      <w:r>
        <w:rPr>
          <w:rFonts w:ascii="Times New Roman" w:hAnsi="Times New Roman"/>
          <w:color w:val="3D3D3D"/>
          <w:w w:val="105"/>
        </w:rPr>
        <w:t>taking</w:t>
      </w:r>
      <w:r>
        <w:rPr>
          <w:rFonts w:ascii="Times New Roman" w:hAnsi="Times New Roman"/>
          <w:color w:val="3D3D3D"/>
          <w:spacing w:val="-4"/>
          <w:w w:val="105"/>
        </w:rPr>
        <w:t> </w:t>
      </w:r>
      <w:r>
        <w:rPr>
          <w:rFonts w:ascii="Times New Roman" w:hAnsi="Times New Roman"/>
          <w:color w:val="3D3D3D"/>
          <w:w w:val="105"/>
        </w:rPr>
        <w:t>post-ordination</w:t>
      </w:r>
      <w:r>
        <w:rPr>
          <w:rFonts w:ascii="Times New Roman" w:hAnsi="Times New Roman"/>
          <w:color w:val="3D3D3D"/>
          <w:spacing w:val="-14"/>
          <w:w w:val="105"/>
        </w:rPr>
        <w:t> </w:t>
      </w:r>
      <w:r>
        <w:rPr>
          <w:rFonts w:ascii="Times New Roman" w:hAnsi="Times New Roman"/>
          <w:color w:val="3D3D3D"/>
          <w:w w:val="105"/>
        </w:rPr>
        <w:t>training</w:t>
      </w:r>
      <w:r>
        <w:rPr>
          <w:rFonts w:ascii="Times New Roman" w:hAnsi="Times New Roman"/>
          <w:color w:val="3D3D3D"/>
          <w:spacing w:val="-16"/>
          <w:w w:val="105"/>
        </w:rPr>
        <w:t> </w:t>
      </w:r>
      <w:r>
        <w:rPr>
          <w:rFonts w:ascii="Times New Roman" w:hAnsi="Times New Roman"/>
          <w:color w:val="3D3D3D"/>
          <w:w w:val="105"/>
        </w:rPr>
        <w:t>and</w:t>
      </w:r>
      <w:r>
        <w:rPr>
          <w:rFonts w:ascii="Times New Roman" w:hAnsi="Times New Roman"/>
          <w:color w:val="3D3D3D"/>
          <w:spacing w:val="-1"/>
          <w:w w:val="105"/>
        </w:rPr>
        <w:t> </w:t>
      </w:r>
      <w:r>
        <w:rPr>
          <w:rFonts w:ascii="Times New Roman" w:hAnsi="Times New Roman"/>
          <w:color w:val="3D3D3D"/>
          <w:w w:val="105"/>
        </w:rPr>
        <w:t>lay</w:t>
      </w:r>
      <w:r>
        <w:rPr>
          <w:rFonts w:ascii="Times New Roman" w:hAnsi="Times New Roman"/>
          <w:color w:val="3D3D3D"/>
          <w:spacing w:val="-18"/>
          <w:w w:val="105"/>
        </w:rPr>
        <w:t> </w:t>
      </w:r>
      <w:r>
        <w:rPr>
          <w:rFonts w:ascii="Times New Roman" w:hAnsi="Times New Roman"/>
          <w:color w:val="3D3D3D"/>
          <w:w w:val="105"/>
        </w:rPr>
        <w:t>training</w:t>
      </w:r>
      <w:r>
        <w:rPr>
          <w:rFonts w:ascii="Times New Roman" w:hAnsi="Times New Roman"/>
          <w:color w:val="1A1A1A"/>
          <w:w w:val="105"/>
        </w:rPr>
        <w:t>.</w:t>
      </w:r>
    </w:p>
    <w:p>
      <w:pPr>
        <w:pStyle w:val="BodyText"/>
        <w:spacing w:before="11"/>
        <w:rPr>
          <w:rFonts w:ascii="Times New Roman"/>
        </w:rPr>
      </w:pPr>
    </w:p>
    <w:p>
      <w:pPr>
        <w:tabs>
          <w:tab w:pos="2173" w:val="left" w:leader="none"/>
        </w:tabs>
        <w:spacing w:before="0"/>
        <w:ind w:left="990" w:right="0" w:firstLine="0"/>
        <w:jc w:val="both"/>
        <w:rPr>
          <w:rFonts w:ascii="Times New Roman"/>
          <w:b/>
          <w:sz w:val="18"/>
        </w:rPr>
      </w:pPr>
      <w:bookmarkStart w:name="_TOC_250011" w:id="10"/>
      <w:r>
        <w:rPr>
          <w:rFonts w:ascii="Times New Roman"/>
          <w:b/>
          <w:color w:val="2A2A2A"/>
          <w:spacing w:val="-1"/>
          <w:w w:val="113"/>
          <w:sz w:val="18"/>
        </w:rPr>
        <w:t>NOTE</w:t>
      </w:r>
      <w:r>
        <w:rPr>
          <w:rFonts w:ascii="Times New Roman"/>
          <w:b/>
          <w:color w:val="2A2A2A"/>
          <w:w w:val="113"/>
          <w:sz w:val="18"/>
        </w:rPr>
        <w:t>3</w:t>
      </w:r>
      <w:r>
        <w:rPr>
          <w:rFonts w:ascii="Times New Roman"/>
          <w:b/>
          <w:color w:val="2A2A2A"/>
          <w:sz w:val="18"/>
        </w:rPr>
        <w:tab/>
      </w:r>
      <w:r>
        <w:rPr>
          <w:rFonts w:ascii="Times New Roman"/>
          <w:b/>
          <w:color w:val="1A1A1A"/>
          <w:spacing w:val="-1"/>
          <w:w w:val="113"/>
          <w:sz w:val="18"/>
        </w:rPr>
        <w:t>INVEST</w:t>
      </w:r>
      <w:r>
        <w:rPr>
          <w:rFonts w:ascii="Times New Roman"/>
          <w:b/>
          <w:color w:val="1A1A1A"/>
          <w:spacing w:val="-76"/>
          <w:w w:val="113"/>
          <w:sz w:val="18"/>
        </w:rPr>
        <w:t>M</w:t>
      </w:r>
      <w:r>
        <w:rPr>
          <w:rFonts w:ascii="Times New Roman"/>
          <w:b/>
          <w:color w:val="3D3D3D"/>
          <w:spacing w:val="-1"/>
          <w:w w:val="107"/>
          <w:sz w:val="18"/>
        </w:rPr>
        <w:t>E</w:t>
      </w:r>
      <w:r>
        <w:rPr>
          <w:rFonts w:ascii="Times New Roman"/>
          <w:b/>
          <w:color w:val="3D3D3D"/>
          <w:spacing w:val="-12"/>
          <w:w w:val="107"/>
          <w:sz w:val="18"/>
        </w:rPr>
        <w:t>N</w:t>
      </w:r>
      <w:r>
        <w:rPr>
          <w:rFonts w:ascii="Times New Roman"/>
          <w:b/>
          <w:color w:val="1A1A1A"/>
          <w:w w:val="107"/>
          <w:sz w:val="18"/>
        </w:rPr>
        <w:t>T</w:t>
      </w:r>
      <w:r>
        <w:rPr>
          <w:rFonts w:ascii="Times New Roman"/>
          <w:b/>
          <w:color w:val="1A1A1A"/>
          <w:spacing w:val="2"/>
          <w:sz w:val="18"/>
        </w:rPr>
        <w:t> </w:t>
      </w:r>
      <w:bookmarkEnd w:id="10"/>
      <w:r>
        <w:rPr>
          <w:rFonts w:ascii="Times New Roman"/>
          <w:b/>
          <w:color w:val="1A1A1A"/>
          <w:spacing w:val="-1"/>
          <w:w w:val="105"/>
          <w:sz w:val="18"/>
        </w:rPr>
        <w:t>INCOME</w:t>
      </w:r>
    </w:p>
    <w:p>
      <w:pPr>
        <w:pStyle w:val="BodyText"/>
        <w:spacing w:before="9"/>
        <w:rPr>
          <w:rFonts w:ascii="Times New Roman"/>
          <w:b/>
          <w:sz w:val="12"/>
        </w:rPr>
      </w:pP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6"/>
        <w:gridCol w:w="2304"/>
        <w:gridCol w:w="1048"/>
      </w:tblGrid>
      <w:tr>
        <w:trPr>
          <w:trHeight w:val="199" w:hRule="atLeast"/>
        </w:trPr>
        <w:tc>
          <w:tcPr>
            <w:tcW w:w="7530" w:type="dxa"/>
            <w:gridSpan w:val="2"/>
          </w:tcPr>
          <w:p>
            <w:pPr>
              <w:pStyle w:val="TableParagraph"/>
              <w:spacing w:line="180" w:lineRule="exact"/>
              <w:ind w:right="206"/>
              <w:jc w:val="right"/>
              <w:rPr>
                <w:b/>
                <w:sz w:val="18"/>
              </w:rPr>
            </w:pPr>
            <w:r>
              <w:rPr>
                <w:b/>
                <w:color w:val="1A1A1A"/>
                <w:w w:val="110"/>
                <w:sz w:val="18"/>
              </w:rPr>
              <w:t>2006</w:t>
            </w:r>
          </w:p>
        </w:tc>
        <w:tc>
          <w:tcPr>
            <w:tcW w:w="1048" w:type="dxa"/>
          </w:tcPr>
          <w:p>
            <w:pPr>
              <w:pStyle w:val="TableParagraph"/>
              <w:spacing w:line="180" w:lineRule="exact"/>
              <w:ind w:left="482"/>
              <w:rPr>
                <w:b/>
                <w:sz w:val="18"/>
              </w:rPr>
            </w:pPr>
            <w:r>
              <w:rPr>
                <w:b/>
                <w:color w:val="2A2A2A"/>
                <w:w w:val="110"/>
                <w:sz w:val="18"/>
              </w:rPr>
              <w:t>2005</w:t>
            </w:r>
          </w:p>
        </w:tc>
      </w:tr>
      <w:tr>
        <w:trPr>
          <w:trHeight w:val="453" w:hRule="atLeast"/>
        </w:trPr>
        <w:tc>
          <w:tcPr>
            <w:tcW w:w="5226" w:type="dxa"/>
          </w:tcPr>
          <w:p>
            <w:pPr>
              <w:pStyle w:val="TableParagraph"/>
              <w:spacing w:before="5"/>
              <w:rPr>
                <w:b/>
                <w:sz w:val="20"/>
              </w:rPr>
            </w:pPr>
          </w:p>
          <w:p>
            <w:pPr>
              <w:pStyle w:val="TableParagraph"/>
              <w:spacing w:line="198" w:lineRule="exact"/>
              <w:ind w:left="61"/>
              <w:rPr>
                <w:sz w:val="18"/>
              </w:rPr>
            </w:pPr>
            <w:r>
              <w:rPr>
                <w:color w:val="4D4D4D"/>
                <w:w w:val="105"/>
                <w:sz w:val="18"/>
              </w:rPr>
              <w:t>Unitised Funds</w:t>
            </w:r>
          </w:p>
        </w:tc>
        <w:tc>
          <w:tcPr>
            <w:tcW w:w="2304" w:type="dxa"/>
          </w:tcPr>
          <w:p>
            <w:pPr>
              <w:pStyle w:val="TableParagraph"/>
              <w:spacing w:before="24"/>
              <w:ind w:right="216"/>
              <w:jc w:val="right"/>
              <w:rPr>
                <w:b/>
                <w:sz w:val="18"/>
              </w:rPr>
            </w:pPr>
            <w:r>
              <w:rPr>
                <w:b/>
                <w:color w:val="2A2A2A"/>
                <w:w w:val="105"/>
                <w:sz w:val="18"/>
              </w:rPr>
              <w:t>£'000</w:t>
            </w:r>
          </w:p>
          <w:p>
            <w:pPr>
              <w:pStyle w:val="TableParagraph"/>
              <w:spacing w:line="198" w:lineRule="exact" w:before="4"/>
              <w:ind w:right="279"/>
              <w:jc w:val="right"/>
              <w:rPr>
                <w:sz w:val="18"/>
              </w:rPr>
            </w:pPr>
            <w:r>
              <w:rPr>
                <w:color w:val="3D3D3D"/>
                <w:w w:val="110"/>
                <w:sz w:val="18"/>
              </w:rPr>
              <w:t>754</w:t>
            </w:r>
          </w:p>
        </w:tc>
        <w:tc>
          <w:tcPr>
            <w:tcW w:w="1048" w:type="dxa"/>
          </w:tcPr>
          <w:p>
            <w:pPr>
              <w:pStyle w:val="TableParagraph"/>
              <w:spacing w:before="24"/>
              <w:ind w:left="425"/>
              <w:rPr>
                <w:b/>
                <w:sz w:val="18"/>
              </w:rPr>
            </w:pPr>
            <w:r>
              <w:rPr>
                <w:b/>
                <w:color w:val="2A2A2A"/>
                <w:w w:val="110"/>
                <w:sz w:val="18"/>
              </w:rPr>
              <w:t>£'000</w:t>
            </w:r>
          </w:p>
          <w:p>
            <w:pPr>
              <w:pStyle w:val="TableParagraph"/>
              <w:spacing w:line="198" w:lineRule="exact" w:before="4"/>
              <w:ind w:left="507"/>
              <w:rPr>
                <w:sz w:val="18"/>
              </w:rPr>
            </w:pPr>
            <w:r>
              <w:rPr>
                <w:color w:val="3D3D3D"/>
                <w:w w:val="110"/>
                <w:sz w:val="18"/>
              </w:rPr>
              <w:t>595</w:t>
            </w:r>
          </w:p>
        </w:tc>
      </w:tr>
      <w:tr>
        <w:trPr>
          <w:trHeight w:val="230" w:hRule="atLeast"/>
        </w:trPr>
        <w:tc>
          <w:tcPr>
            <w:tcW w:w="5226" w:type="dxa"/>
          </w:tcPr>
          <w:p>
            <w:pPr>
              <w:pStyle w:val="TableParagraph"/>
              <w:spacing w:before="3"/>
              <w:ind w:left="51"/>
              <w:rPr>
                <w:sz w:val="18"/>
              </w:rPr>
            </w:pPr>
            <w:r>
              <w:rPr>
                <w:color w:val="4D4D4D"/>
                <w:w w:val="105"/>
                <w:sz w:val="18"/>
              </w:rPr>
              <w:t>Unliste</w:t>
            </w:r>
            <w:r>
              <w:rPr>
                <w:color w:val="2A2A2A"/>
                <w:w w:val="105"/>
                <w:sz w:val="18"/>
              </w:rPr>
              <w:t>d </w:t>
            </w:r>
            <w:r>
              <w:rPr>
                <w:color w:val="3D3D3D"/>
                <w:w w:val="105"/>
                <w:sz w:val="18"/>
              </w:rPr>
              <w:t>securities</w:t>
            </w:r>
          </w:p>
        </w:tc>
        <w:tc>
          <w:tcPr>
            <w:tcW w:w="2304" w:type="dxa"/>
          </w:tcPr>
          <w:p>
            <w:pPr>
              <w:pStyle w:val="TableParagraph"/>
              <w:spacing w:before="21"/>
              <w:ind w:right="291"/>
              <w:jc w:val="right"/>
              <w:rPr>
                <w:rFonts w:ascii="Arial"/>
                <w:sz w:val="16"/>
              </w:rPr>
            </w:pPr>
            <w:r>
              <w:rPr>
                <w:rFonts w:ascii="Arial"/>
                <w:color w:val="3D3D3D"/>
                <w:w w:val="110"/>
                <w:sz w:val="16"/>
              </w:rPr>
              <w:t>4</w:t>
            </w:r>
          </w:p>
        </w:tc>
        <w:tc>
          <w:tcPr>
            <w:tcW w:w="1048" w:type="dxa"/>
          </w:tcPr>
          <w:p>
            <w:pPr>
              <w:pStyle w:val="TableParagraph"/>
              <w:spacing w:line="198" w:lineRule="exact" w:before="12"/>
              <w:ind w:left="691"/>
              <w:rPr>
                <w:rFonts w:ascii="Arial"/>
                <w:sz w:val="18"/>
              </w:rPr>
            </w:pPr>
            <w:r>
              <w:rPr>
                <w:rFonts w:ascii="Arial"/>
                <w:color w:val="3D3D3D"/>
                <w:w w:val="110"/>
                <w:sz w:val="18"/>
              </w:rPr>
              <w:t>3</w:t>
            </w:r>
          </w:p>
        </w:tc>
      </w:tr>
      <w:tr>
        <w:trPr>
          <w:trHeight w:val="226" w:hRule="atLeast"/>
        </w:trPr>
        <w:tc>
          <w:tcPr>
            <w:tcW w:w="5226" w:type="dxa"/>
          </w:tcPr>
          <w:p>
            <w:pPr>
              <w:pStyle w:val="TableParagraph"/>
              <w:spacing w:line="203" w:lineRule="exact" w:before="4"/>
              <w:ind w:left="50"/>
              <w:rPr>
                <w:sz w:val="18"/>
              </w:rPr>
            </w:pPr>
            <w:r>
              <w:rPr>
                <w:color w:val="3D3D3D"/>
                <w:w w:val="105"/>
                <w:sz w:val="18"/>
              </w:rPr>
              <w:t>Property</w:t>
            </w:r>
          </w:p>
        </w:tc>
        <w:tc>
          <w:tcPr>
            <w:tcW w:w="2304" w:type="dxa"/>
          </w:tcPr>
          <w:p>
            <w:pPr>
              <w:pStyle w:val="TableParagraph"/>
              <w:spacing w:line="203" w:lineRule="exact" w:before="4"/>
              <w:ind w:right="282"/>
              <w:jc w:val="right"/>
              <w:rPr>
                <w:sz w:val="18"/>
              </w:rPr>
            </w:pPr>
            <w:r>
              <w:rPr>
                <w:color w:val="3D3D3D"/>
                <w:w w:val="110"/>
                <w:sz w:val="18"/>
              </w:rPr>
              <w:t>33</w:t>
            </w:r>
          </w:p>
        </w:tc>
        <w:tc>
          <w:tcPr>
            <w:tcW w:w="1048" w:type="dxa"/>
          </w:tcPr>
          <w:p>
            <w:pPr>
              <w:pStyle w:val="TableParagraph"/>
              <w:spacing w:line="203" w:lineRule="exact" w:before="4"/>
              <w:ind w:left="603"/>
              <w:rPr>
                <w:sz w:val="18"/>
              </w:rPr>
            </w:pPr>
            <w:r>
              <w:rPr>
                <w:color w:val="2A2A2A"/>
                <w:w w:val="110"/>
                <w:sz w:val="18"/>
              </w:rPr>
              <w:t>53</w:t>
            </w:r>
          </w:p>
        </w:tc>
      </w:tr>
      <w:tr>
        <w:trPr>
          <w:trHeight w:val="230" w:hRule="atLeast"/>
        </w:trPr>
        <w:tc>
          <w:tcPr>
            <w:tcW w:w="5226" w:type="dxa"/>
          </w:tcPr>
          <w:p>
            <w:pPr>
              <w:pStyle w:val="TableParagraph"/>
              <w:spacing w:line="203" w:lineRule="exact" w:before="8"/>
              <w:ind w:left="58"/>
              <w:rPr>
                <w:sz w:val="18"/>
              </w:rPr>
            </w:pPr>
            <w:r>
              <w:rPr>
                <w:color w:val="3D3D3D"/>
                <w:w w:val="105"/>
                <w:sz w:val="18"/>
              </w:rPr>
              <w:t>Interest on short term investment and bank de</w:t>
            </w:r>
            <w:r>
              <w:rPr>
                <w:color w:val="1A1A1A"/>
                <w:w w:val="105"/>
                <w:sz w:val="18"/>
              </w:rPr>
              <w:t>p</w:t>
            </w:r>
            <w:r>
              <w:rPr>
                <w:color w:val="3D3D3D"/>
                <w:w w:val="105"/>
                <w:sz w:val="18"/>
              </w:rPr>
              <w:t>osits</w:t>
            </w:r>
          </w:p>
        </w:tc>
        <w:tc>
          <w:tcPr>
            <w:tcW w:w="2304" w:type="dxa"/>
          </w:tcPr>
          <w:p>
            <w:pPr>
              <w:pStyle w:val="TableParagraph"/>
              <w:tabs>
                <w:tab w:pos="377" w:val="left" w:leader="none"/>
              </w:tabs>
              <w:spacing w:line="203" w:lineRule="exact" w:before="8"/>
              <w:ind w:right="98"/>
              <w:jc w:val="right"/>
              <w:rPr>
                <w:sz w:val="18"/>
              </w:rPr>
            </w:pPr>
            <w:r>
              <w:rPr>
                <w:color w:val="3D3D3D"/>
                <w:w w:val="100"/>
                <w:sz w:val="18"/>
                <w:u w:val="single" w:color="000000"/>
              </w:rPr>
              <w:t> </w:t>
            </w:r>
            <w:r>
              <w:rPr>
                <w:color w:val="3D3D3D"/>
                <w:sz w:val="18"/>
                <w:u w:val="single" w:color="000000"/>
              </w:rPr>
              <w:tab/>
            </w:r>
            <w:r>
              <w:rPr>
                <w:color w:val="3D3D3D"/>
                <w:w w:val="110"/>
                <w:sz w:val="18"/>
                <w:u w:val="single" w:color="000000"/>
              </w:rPr>
              <w:t>(11)</w:t>
            </w:r>
            <w:r>
              <w:rPr>
                <w:color w:val="3D3D3D"/>
                <w:spacing w:val="1"/>
                <w:sz w:val="18"/>
                <w:u w:val="single" w:color="000000"/>
              </w:rPr>
              <w:t> </w:t>
            </w:r>
          </w:p>
        </w:tc>
        <w:tc>
          <w:tcPr>
            <w:tcW w:w="1048" w:type="dxa"/>
          </w:tcPr>
          <w:p>
            <w:pPr>
              <w:pStyle w:val="TableParagraph"/>
              <w:spacing w:line="203" w:lineRule="exact" w:before="8"/>
              <w:ind w:left="469"/>
              <w:rPr>
                <w:sz w:val="18"/>
              </w:rPr>
            </w:pPr>
            <w:r>
              <w:rPr>
                <w:color w:val="4D4D4D"/>
                <w:w w:val="110"/>
                <w:sz w:val="18"/>
                <w:u w:val="double" w:color="4D4D4D"/>
              </w:rPr>
              <w:t>(16)</w:t>
            </w:r>
          </w:p>
        </w:tc>
      </w:tr>
      <w:tr>
        <w:trPr>
          <w:trHeight w:val="215" w:hRule="atLeast"/>
        </w:trPr>
        <w:tc>
          <w:tcPr>
            <w:tcW w:w="5226" w:type="dxa"/>
          </w:tcPr>
          <w:p>
            <w:pPr>
              <w:pStyle w:val="TableParagraph"/>
              <w:rPr>
                <w:sz w:val="14"/>
              </w:rPr>
            </w:pPr>
          </w:p>
        </w:tc>
        <w:tc>
          <w:tcPr>
            <w:tcW w:w="2304" w:type="dxa"/>
          </w:tcPr>
          <w:p>
            <w:pPr>
              <w:pStyle w:val="TableParagraph"/>
              <w:tabs>
                <w:tab w:pos="416" w:val="left" w:leader="none"/>
              </w:tabs>
              <w:spacing w:line="187" w:lineRule="exact" w:before="8"/>
              <w:ind w:right="101"/>
              <w:jc w:val="right"/>
              <w:rPr>
                <w:sz w:val="18"/>
              </w:rPr>
            </w:pPr>
            <w:r>
              <w:rPr>
                <w:color w:val="3D3D3D"/>
                <w:w w:val="100"/>
                <w:sz w:val="18"/>
                <w:u w:val="single" w:color="000000"/>
              </w:rPr>
              <w:t> </w:t>
            </w:r>
            <w:r>
              <w:rPr>
                <w:color w:val="3D3D3D"/>
                <w:sz w:val="18"/>
                <w:u w:val="single" w:color="000000"/>
              </w:rPr>
              <w:tab/>
            </w:r>
            <w:r>
              <w:rPr>
                <w:color w:val="3D3D3D"/>
                <w:w w:val="110"/>
                <w:sz w:val="18"/>
                <w:u w:val="single" w:color="000000"/>
              </w:rPr>
              <w:t>780</w:t>
            </w:r>
            <w:r>
              <w:rPr>
                <w:color w:val="3D3D3D"/>
                <w:spacing w:val="-3"/>
                <w:sz w:val="18"/>
                <w:u w:val="single" w:color="000000"/>
              </w:rPr>
              <w:t> </w:t>
            </w:r>
          </w:p>
        </w:tc>
        <w:tc>
          <w:tcPr>
            <w:tcW w:w="1048" w:type="dxa"/>
          </w:tcPr>
          <w:p>
            <w:pPr>
              <w:pStyle w:val="TableParagraph"/>
              <w:tabs>
                <w:tab w:pos="498" w:val="left" w:leader="none"/>
              </w:tabs>
              <w:spacing w:line="187" w:lineRule="exact" w:before="8"/>
              <w:ind w:left="101"/>
              <w:rPr>
                <w:sz w:val="18"/>
              </w:rPr>
            </w:pPr>
            <w:r>
              <w:rPr>
                <w:color w:val="3D3D3D"/>
                <w:w w:val="100"/>
                <w:sz w:val="18"/>
                <w:u w:val="single" w:color="000000"/>
              </w:rPr>
              <w:t> </w:t>
            </w:r>
            <w:r>
              <w:rPr>
                <w:color w:val="3D3D3D"/>
                <w:sz w:val="18"/>
                <w:u w:val="single" w:color="000000"/>
              </w:rPr>
              <w:tab/>
            </w:r>
            <w:r>
              <w:rPr>
                <w:color w:val="3D3D3D"/>
                <w:w w:val="110"/>
                <w:sz w:val="18"/>
                <w:u w:val="single" w:color="000000"/>
              </w:rPr>
              <w:t>635</w:t>
            </w:r>
            <w:r>
              <w:rPr>
                <w:color w:val="3D3D3D"/>
                <w:spacing w:val="17"/>
                <w:sz w:val="18"/>
                <w:u w:val="single" w:color="000000"/>
              </w:rPr>
              <w:t> </w:t>
            </w:r>
          </w:p>
        </w:tc>
      </w:tr>
    </w:tbl>
    <w:p>
      <w:pPr>
        <w:pStyle w:val="BodyText"/>
        <w:spacing w:before="3"/>
        <w:rPr>
          <w:rFonts w:ascii="Times New Roman"/>
          <w:b/>
          <w:sz w:val="21"/>
        </w:rPr>
      </w:pPr>
    </w:p>
    <w:p>
      <w:pPr>
        <w:tabs>
          <w:tab w:pos="2163" w:val="left" w:leader="none"/>
        </w:tabs>
        <w:spacing w:before="0"/>
        <w:ind w:left="980" w:right="0" w:firstLine="0"/>
        <w:jc w:val="both"/>
        <w:rPr>
          <w:rFonts w:ascii="Times New Roman"/>
          <w:b/>
          <w:sz w:val="18"/>
        </w:rPr>
      </w:pPr>
      <w:bookmarkStart w:name="_TOC_250010" w:id="11"/>
      <w:r>
        <w:rPr>
          <w:rFonts w:ascii="Times New Roman"/>
          <w:b/>
          <w:color w:val="3D3D3D"/>
          <w:spacing w:val="-5"/>
          <w:w w:val="105"/>
          <w:position w:val="1"/>
          <w:sz w:val="18"/>
        </w:rPr>
        <w:t>N</w:t>
      </w:r>
      <w:r>
        <w:rPr>
          <w:rFonts w:ascii="Times New Roman"/>
          <w:b/>
          <w:color w:val="1A1A1A"/>
          <w:spacing w:val="-5"/>
          <w:w w:val="105"/>
          <w:position w:val="1"/>
          <w:sz w:val="18"/>
        </w:rPr>
        <w:t>OTE</w:t>
      </w:r>
      <w:r>
        <w:rPr>
          <w:rFonts w:ascii="Times New Roman"/>
          <w:b/>
          <w:color w:val="1A1A1A"/>
          <w:spacing w:val="-23"/>
          <w:w w:val="105"/>
          <w:position w:val="1"/>
          <w:sz w:val="18"/>
        </w:rPr>
        <w:t> </w:t>
      </w:r>
      <w:r>
        <w:rPr>
          <w:rFonts w:ascii="Times New Roman"/>
          <w:b/>
          <w:color w:val="1A1A1A"/>
          <w:w w:val="105"/>
          <w:position w:val="1"/>
          <w:sz w:val="18"/>
        </w:rPr>
        <w:t>4</w:t>
        <w:tab/>
      </w:r>
      <w:r>
        <w:rPr>
          <w:rFonts w:ascii="Times New Roman"/>
          <w:b/>
          <w:color w:val="2A2A2A"/>
          <w:w w:val="105"/>
          <w:sz w:val="18"/>
        </w:rPr>
        <w:t>INCOMING RESOURCES </w:t>
      </w:r>
      <w:r>
        <w:rPr>
          <w:rFonts w:ascii="Times New Roman"/>
          <w:b/>
          <w:color w:val="3D3D3D"/>
          <w:spacing w:val="-4"/>
          <w:w w:val="105"/>
          <w:sz w:val="18"/>
        </w:rPr>
        <w:t>FR</w:t>
      </w:r>
      <w:r>
        <w:rPr>
          <w:rFonts w:ascii="Times New Roman"/>
          <w:b/>
          <w:color w:val="1A1A1A"/>
          <w:spacing w:val="-4"/>
          <w:w w:val="105"/>
          <w:sz w:val="18"/>
        </w:rPr>
        <w:t>O</w:t>
      </w:r>
      <w:r>
        <w:rPr>
          <w:rFonts w:ascii="Times New Roman"/>
          <w:b/>
          <w:color w:val="3D3D3D"/>
          <w:spacing w:val="-4"/>
          <w:w w:val="105"/>
          <w:sz w:val="18"/>
        </w:rPr>
        <w:t>M </w:t>
      </w:r>
      <w:r>
        <w:rPr>
          <w:rFonts w:ascii="Times New Roman"/>
          <w:b/>
          <w:color w:val="3D3D3D"/>
          <w:w w:val="105"/>
          <w:sz w:val="18"/>
        </w:rPr>
        <w:t>CHARITABLE</w:t>
      </w:r>
      <w:r>
        <w:rPr>
          <w:rFonts w:ascii="Times New Roman"/>
          <w:b/>
          <w:color w:val="3D3D3D"/>
          <w:spacing w:val="32"/>
          <w:w w:val="105"/>
          <w:sz w:val="18"/>
        </w:rPr>
        <w:t> </w:t>
      </w:r>
      <w:bookmarkEnd w:id="11"/>
      <w:r>
        <w:rPr>
          <w:rFonts w:ascii="Times New Roman"/>
          <w:b/>
          <w:color w:val="2A2A2A"/>
          <w:w w:val="105"/>
          <w:sz w:val="18"/>
        </w:rPr>
        <w:t>ACTIVITIES</w:t>
      </w:r>
    </w:p>
    <w:p>
      <w:pPr>
        <w:pStyle w:val="BodyText"/>
        <w:spacing w:before="1"/>
        <w:rPr>
          <w:rFonts w:ascii="Times New Roman"/>
          <w:b/>
          <w:sz w:val="11"/>
        </w:rPr>
      </w:pPr>
    </w:p>
    <w:tbl>
      <w:tblPr>
        <w:tblW w:w="0" w:type="auto"/>
        <w:jc w:val="left"/>
        <w:tblInd w:w="1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18"/>
        <w:gridCol w:w="1530"/>
        <w:gridCol w:w="808"/>
      </w:tblGrid>
      <w:tr>
        <w:trPr>
          <w:trHeight w:val="667" w:hRule="atLeast"/>
        </w:trPr>
        <w:tc>
          <w:tcPr>
            <w:tcW w:w="6118" w:type="dxa"/>
          </w:tcPr>
          <w:p>
            <w:pPr>
              <w:pStyle w:val="TableParagraph"/>
              <w:spacing w:line="200" w:lineRule="exact"/>
              <w:ind w:left="50"/>
              <w:rPr>
                <w:sz w:val="18"/>
              </w:rPr>
            </w:pPr>
            <w:r>
              <w:rPr>
                <w:color w:val="3D3D3D"/>
                <w:w w:val="110"/>
                <w:sz w:val="18"/>
              </w:rPr>
              <w:t>These comprise:</w:t>
            </w:r>
          </w:p>
          <w:p>
            <w:pPr>
              <w:pStyle w:val="TableParagraph"/>
              <w:spacing w:before="3"/>
              <w:rPr>
                <w:b/>
                <w:sz w:val="21"/>
              </w:rPr>
            </w:pPr>
          </w:p>
          <w:p>
            <w:pPr>
              <w:pStyle w:val="TableParagraph"/>
              <w:spacing w:line="203" w:lineRule="exact"/>
              <w:ind w:left="52"/>
              <w:rPr>
                <w:sz w:val="18"/>
              </w:rPr>
            </w:pPr>
            <w:r>
              <w:rPr>
                <w:color w:val="3D3D3D"/>
                <w:w w:val="105"/>
                <w:sz w:val="18"/>
              </w:rPr>
              <w:t>Retired Ministers' </w:t>
            </w:r>
            <w:r>
              <w:rPr>
                <w:color w:val="2A2A2A"/>
                <w:w w:val="105"/>
                <w:sz w:val="18"/>
              </w:rPr>
              <w:t>Housing - </w:t>
            </w:r>
            <w:r>
              <w:rPr>
                <w:color w:val="3D3D3D"/>
                <w:w w:val="105"/>
                <w:sz w:val="18"/>
              </w:rPr>
              <w:t>rents</w:t>
            </w:r>
          </w:p>
        </w:tc>
        <w:tc>
          <w:tcPr>
            <w:tcW w:w="1530" w:type="dxa"/>
          </w:tcPr>
          <w:p>
            <w:pPr>
              <w:pStyle w:val="TableParagraph"/>
              <w:spacing w:before="2"/>
              <w:ind w:left="818"/>
              <w:rPr>
                <w:b/>
                <w:sz w:val="18"/>
              </w:rPr>
            </w:pPr>
            <w:r>
              <w:rPr>
                <w:b/>
                <w:color w:val="1A1A1A"/>
                <w:w w:val="110"/>
                <w:sz w:val="18"/>
              </w:rPr>
              <w:t>2006</w:t>
            </w:r>
          </w:p>
          <w:p>
            <w:pPr>
              <w:pStyle w:val="TableParagraph"/>
              <w:spacing w:before="14"/>
              <w:ind w:left="761"/>
              <w:rPr>
                <w:b/>
                <w:sz w:val="18"/>
              </w:rPr>
            </w:pPr>
            <w:r>
              <w:rPr>
                <w:b/>
                <w:color w:val="2A2A2A"/>
                <w:w w:val="110"/>
                <w:sz w:val="18"/>
              </w:rPr>
              <w:t>£'000</w:t>
            </w:r>
          </w:p>
          <w:p>
            <w:pPr>
              <w:pStyle w:val="TableParagraph"/>
              <w:spacing w:line="203" w:lineRule="exact" w:before="15"/>
              <w:ind w:left="839"/>
              <w:rPr>
                <w:sz w:val="18"/>
              </w:rPr>
            </w:pPr>
            <w:r>
              <w:rPr>
                <w:color w:val="2A2A2A"/>
                <w:w w:val="105"/>
                <w:sz w:val="18"/>
              </w:rPr>
              <w:t>433</w:t>
            </w:r>
          </w:p>
        </w:tc>
        <w:tc>
          <w:tcPr>
            <w:tcW w:w="808" w:type="dxa"/>
          </w:tcPr>
          <w:p>
            <w:pPr>
              <w:pStyle w:val="TableParagraph"/>
              <w:spacing w:before="2"/>
              <w:ind w:left="366"/>
              <w:rPr>
                <w:b/>
                <w:sz w:val="18"/>
              </w:rPr>
            </w:pPr>
            <w:r>
              <w:rPr>
                <w:b/>
                <w:color w:val="2A2A2A"/>
                <w:w w:val="110"/>
                <w:sz w:val="18"/>
              </w:rPr>
              <w:t>2005</w:t>
            </w:r>
          </w:p>
          <w:p>
            <w:pPr>
              <w:pStyle w:val="TableParagraph"/>
              <w:spacing w:before="14"/>
              <w:ind w:left="320"/>
              <w:rPr>
                <w:b/>
                <w:sz w:val="18"/>
              </w:rPr>
            </w:pPr>
            <w:r>
              <w:rPr>
                <w:b/>
                <w:color w:val="2A2A2A"/>
                <w:w w:val="105"/>
                <w:sz w:val="18"/>
              </w:rPr>
              <w:t>£'000</w:t>
            </w:r>
          </w:p>
          <w:p>
            <w:pPr>
              <w:pStyle w:val="TableParagraph"/>
              <w:spacing w:line="203" w:lineRule="exact" w:before="15"/>
              <w:ind w:left="392"/>
              <w:rPr>
                <w:sz w:val="18"/>
              </w:rPr>
            </w:pPr>
            <w:r>
              <w:rPr>
                <w:color w:val="3D3D3D"/>
                <w:w w:val="105"/>
                <w:sz w:val="18"/>
              </w:rPr>
              <w:t>394</w:t>
            </w:r>
          </w:p>
        </w:tc>
      </w:tr>
      <w:tr>
        <w:trPr>
          <w:trHeight w:val="226" w:hRule="atLeast"/>
        </w:trPr>
        <w:tc>
          <w:tcPr>
            <w:tcW w:w="6118" w:type="dxa"/>
          </w:tcPr>
          <w:p>
            <w:pPr>
              <w:pStyle w:val="TableParagraph"/>
              <w:spacing w:line="198" w:lineRule="exact" w:before="8"/>
              <w:ind w:left="62"/>
              <w:rPr>
                <w:sz w:val="18"/>
              </w:rPr>
            </w:pPr>
            <w:r>
              <w:rPr>
                <w:color w:val="3D3D3D"/>
                <w:w w:val="105"/>
                <w:sz w:val="18"/>
              </w:rPr>
              <w:t>Westminster College - accommodation, </w:t>
            </w:r>
            <w:r>
              <w:rPr>
                <w:color w:val="4D4D4D"/>
                <w:w w:val="105"/>
                <w:sz w:val="18"/>
              </w:rPr>
              <w:t>conferences, </w:t>
            </w:r>
            <w:r>
              <w:rPr>
                <w:color w:val="3D3D3D"/>
                <w:w w:val="105"/>
                <w:sz w:val="18"/>
              </w:rPr>
              <w:t>catering and fees</w:t>
            </w:r>
          </w:p>
        </w:tc>
        <w:tc>
          <w:tcPr>
            <w:tcW w:w="1530" w:type="dxa"/>
          </w:tcPr>
          <w:p>
            <w:pPr>
              <w:pStyle w:val="TableParagraph"/>
              <w:spacing w:line="198" w:lineRule="exact" w:before="8"/>
              <w:ind w:right="402"/>
              <w:jc w:val="right"/>
              <w:rPr>
                <w:sz w:val="18"/>
              </w:rPr>
            </w:pPr>
            <w:r>
              <w:rPr>
                <w:color w:val="3D3D3D"/>
                <w:w w:val="105"/>
                <w:sz w:val="18"/>
              </w:rPr>
              <w:t>250</w:t>
            </w:r>
          </w:p>
        </w:tc>
        <w:tc>
          <w:tcPr>
            <w:tcW w:w="808" w:type="dxa"/>
          </w:tcPr>
          <w:p>
            <w:pPr>
              <w:pStyle w:val="TableParagraph"/>
              <w:spacing w:line="198" w:lineRule="exact" w:before="8"/>
              <w:ind w:right="122"/>
              <w:jc w:val="right"/>
              <w:rPr>
                <w:sz w:val="18"/>
              </w:rPr>
            </w:pPr>
            <w:r>
              <w:rPr>
                <w:color w:val="3D3D3D"/>
                <w:w w:val="105"/>
                <w:sz w:val="18"/>
              </w:rPr>
              <w:t>251</w:t>
            </w:r>
          </w:p>
        </w:tc>
      </w:tr>
      <w:tr>
        <w:trPr>
          <w:trHeight w:val="226" w:hRule="atLeast"/>
        </w:trPr>
        <w:tc>
          <w:tcPr>
            <w:tcW w:w="6118" w:type="dxa"/>
          </w:tcPr>
          <w:p>
            <w:pPr>
              <w:pStyle w:val="TableParagraph"/>
              <w:spacing w:line="203" w:lineRule="exact" w:before="3"/>
              <w:ind w:left="62"/>
              <w:rPr>
                <w:sz w:val="18"/>
              </w:rPr>
            </w:pPr>
            <w:r>
              <w:rPr>
                <w:color w:val="3D3D3D"/>
                <w:w w:val="105"/>
                <w:sz w:val="18"/>
              </w:rPr>
              <w:t>Windennere Centre - accommodation, catering and courses</w:t>
            </w:r>
          </w:p>
        </w:tc>
        <w:tc>
          <w:tcPr>
            <w:tcW w:w="1530" w:type="dxa"/>
          </w:tcPr>
          <w:p>
            <w:pPr>
              <w:pStyle w:val="TableParagraph"/>
              <w:spacing w:line="203" w:lineRule="exact" w:before="3"/>
              <w:ind w:right="410"/>
              <w:jc w:val="right"/>
              <w:rPr>
                <w:sz w:val="18"/>
              </w:rPr>
            </w:pPr>
            <w:r>
              <w:rPr>
                <w:color w:val="3D3D3D"/>
                <w:w w:val="105"/>
                <w:sz w:val="18"/>
              </w:rPr>
              <w:t>179</w:t>
            </w:r>
          </w:p>
        </w:tc>
        <w:tc>
          <w:tcPr>
            <w:tcW w:w="808" w:type="dxa"/>
          </w:tcPr>
          <w:p>
            <w:pPr>
              <w:pStyle w:val="TableParagraph"/>
              <w:spacing w:line="193" w:lineRule="exact" w:before="13"/>
              <w:ind w:right="136"/>
              <w:jc w:val="right"/>
              <w:rPr>
                <w:b/>
                <w:sz w:val="17"/>
              </w:rPr>
            </w:pPr>
            <w:r>
              <w:rPr>
                <w:b/>
                <w:color w:val="3D3D3D"/>
                <w:w w:val="105"/>
                <w:sz w:val="17"/>
              </w:rPr>
              <w:t>184</w:t>
            </w:r>
          </w:p>
        </w:tc>
      </w:tr>
      <w:tr>
        <w:trPr>
          <w:trHeight w:val="226" w:hRule="atLeast"/>
        </w:trPr>
        <w:tc>
          <w:tcPr>
            <w:tcW w:w="6118" w:type="dxa"/>
          </w:tcPr>
          <w:p>
            <w:pPr>
              <w:pStyle w:val="TableParagraph"/>
              <w:spacing w:line="198" w:lineRule="exact" w:before="8"/>
              <w:ind w:left="52"/>
              <w:rPr>
                <w:sz w:val="18"/>
              </w:rPr>
            </w:pPr>
            <w:r>
              <w:rPr>
                <w:color w:val="3D3D3D"/>
                <w:w w:val="110"/>
                <w:sz w:val="18"/>
              </w:rPr>
              <w:t>Bookshop </w:t>
            </w:r>
            <w:r>
              <w:rPr>
                <w:color w:val="4D4D4D"/>
                <w:w w:val="110"/>
                <w:sz w:val="18"/>
              </w:rPr>
              <w:t>sales</w:t>
            </w:r>
          </w:p>
        </w:tc>
        <w:tc>
          <w:tcPr>
            <w:tcW w:w="1530" w:type="dxa"/>
          </w:tcPr>
          <w:p>
            <w:pPr>
              <w:pStyle w:val="TableParagraph"/>
              <w:spacing w:line="198" w:lineRule="exact" w:before="8"/>
              <w:ind w:right="394"/>
              <w:jc w:val="right"/>
              <w:rPr>
                <w:sz w:val="18"/>
              </w:rPr>
            </w:pPr>
            <w:r>
              <w:rPr>
                <w:color w:val="3D3D3D"/>
                <w:w w:val="105"/>
                <w:sz w:val="18"/>
              </w:rPr>
              <w:t>202</w:t>
            </w:r>
          </w:p>
        </w:tc>
        <w:tc>
          <w:tcPr>
            <w:tcW w:w="808" w:type="dxa"/>
          </w:tcPr>
          <w:p>
            <w:pPr>
              <w:pStyle w:val="TableParagraph"/>
              <w:spacing w:line="198" w:lineRule="exact" w:before="8"/>
              <w:ind w:right="118"/>
              <w:jc w:val="right"/>
              <w:rPr>
                <w:sz w:val="18"/>
              </w:rPr>
            </w:pPr>
            <w:r>
              <w:rPr>
                <w:color w:val="3D3D3D"/>
                <w:w w:val="105"/>
                <w:sz w:val="18"/>
              </w:rPr>
              <w:t>2</w:t>
            </w:r>
            <w:r>
              <w:rPr>
                <w:color w:val="1A1A1A"/>
                <w:w w:val="105"/>
                <w:sz w:val="18"/>
              </w:rPr>
              <w:t>1</w:t>
            </w:r>
            <w:r>
              <w:rPr>
                <w:color w:val="3D3D3D"/>
                <w:w w:val="105"/>
                <w:sz w:val="18"/>
              </w:rPr>
              <w:t>2</w:t>
            </w:r>
          </w:p>
        </w:tc>
      </w:tr>
      <w:tr>
        <w:trPr>
          <w:trHeight w:val="220" w:hRule="atLeast"/>
        </w:trPr>
        <w:tc>
          <w:tcPr>
            <w:tcW w:w="6118" w:type="dxa"/>
          </w:tcPr>
          <w:p>
            <w:pPr>
              <w:pStyle w:val="TableParagraph"/>
              <w:spacing w:line="187" w:lineRule="exact" w:before="13"/>
              <w:ind w:left="61"/>
              <w:rPr>
                <w:sz w:val="18"/>
              </w:rPr>
            </w:pPr>
            <w:r>
              <w:rPr>
                <w:color w:val="3D3D3D"/>
                <w:w w:val="105"/>
                <w:sz w:val="18"/>
              </w:rPr>
              <w:t>Reform magazine </w:t>
            </w:r>
            <w:r>
              <w:rPr>
                <w:color w:val="2A2A2A"/>
                <w:w w:val="105"/>
                <w:sz w:val="18"/>
              </w:rPr>
              <w:t>- </w:t>
            </w:r>
            <w:r>
              <w:rPr>
                <w:color w:val="3D3D3D"/>
                <w:w w:val="105"/>
                <w:sz w:val="18"/>
              </w:rPr>
              <w:t>subscriptions and </w:t>
            </w:r>
            <w:r>
              <w:rPr>
                <w:color w:val="4D4D4D"/>
                <w:w w:val="105"/>
                <w:sz w:val="18"/>
              </w:rPr>
              <w:t>advertising</w:t>
            </w:r>
          </w:p>
        </w:tc>
        <w:tc>
          <w:tcPr>
            <w:tcW w:w="1530" w:type="dxa"/>
          </w:tcPr>
          <w:p>
            <w:pPr>
              <w:pStyle w:val="TableParagraph"/>
              <w:spacing w:line="197" w:lineRule="exact" w:before="3"/>
              <w:ind w:right="402"/>
              <w:jc w:val="right"/>
              <w:rPr>
                <w:sz w:val="18"/>
              </w:rPr>
            </w:pPr>
            <w:r>
              <w:rPr>
                <w:color w:val="3D3D3D"/>
                <w:w w:val="105"/>
                <w:sz w:val="18"/>
              </w:rPr>
              <w:t>165</w:t>
            </w:r>
          </w:p>
        </w:tc>
        <w:tc>
          <w:tcPr>
            <w:tcW w:w="808" w:type="dxa"/>
          </w:tcPr>
          <w:p>
            <w:pPr>
              <w:pStyle w:val="TableParagraph"/>
              <w:spacing w:line="197" w:lineRule="exact" w:before="3"/>
              <w:ind w:right="121"/>
              <w:jc w:val="right"/>
              <w:rPr>
                <w:sz w:val="18"/>
              </w:rPr>
            </w:pPr>
            <w:r>
              <w:rPr>
                <w:color w:val="3D3D3D"/>
                <w:w w:val="105"/>
                <w:sz w:val="18"/>
              </w:rPr>
              <w:t>153</w:t>
            </w:r>
          </w:p>
        </w:tc>
      </w:tr>
    </w:tbl>
    <w:p>
      <w:pPr>
        <w:spacing w:after="0" w:line="197" w:lineRule="exact"/>
        <w:jc w:val="right"/>
        <w:rPr>
          <w:sz w:val="18"/>
        </w:rPr>
        <w:sectPr>
          <w:headerReference w:type="even" r:id="rId515"/>
          <w:headerReference w:type="default" r:id="rId516"/>
          <w:footerReference w:type="even" r:id="rId517"/>
          <w:pgSz w:w="10950" w:h="15880"/>
          <w:pgMar w:header="294" w:footer="0" w:top="760" w:bottom="280" w:left="500" w:right="0"/>
          <w:pgNumType w:start="16"/>
        </w:sectPr>
      </w:pPr>
    </w:p>
    <w:p>
      <w:pPr>
        <w:pStyle w:val="BodyText"/>
        <w:spacing w:before="14"/>
        <w:ind w:left="1072"/>
        <w:rPr>
          <w:rFonts w:ascii="Times New Roman"/>
        </w:rPr>
      </w:pPr>
      <w:r>
        <w:rPr>
          <w:rFonts w:ascii="Times New Roman"/>
          <w:color w:val="3D3D3D"/>
          <w:w w:val="105"/>
        </w:rPr>
        <w:t>Other programmes - </w:t>
      </w:r>
      <w:r>
        <w:rPr>
          <w:rFonts w:ascii="Times New Roman"/>
          <w:color w:val="4D4D4D"/>
          <w:w w:val="105"/>
        </w:rPr>
        <w:t>fees, </w:t>
      </w:r>
      <w:r>
        <w:rPr>
          <w:rFonts w:ascii="Times New Roman"/>
          <w:color w:val="3D3D3D"/>
          <w:w w:val="105"/>
        </w:rPr>
        <w:t>grants </w:t>
      </w:r>
      <w:r>
        <w:rPr>
          <w:rFonts w:ascii="Times New Roman"/>
          <w:color w:val="4D4D4D"/>
          <w:w w:val="105"/>
        </w:rPr>
        <w:t>and </w:t>
      </w:r>
      <w:r>
        <w:rPr>
          <w:rFonts w:ascii="Times New Roman"/>
          <w:color w:val="3D3D3D"/>
          <w:w w:val="105"/>
        </w:rPr>
        <w:t>sales</w:t>
      </w:r>
    </w:p>
    <w:p>
      <w:pPr>
        <w:pStyle w:val="BodyText"/>
        <w:tabs>
          <w:tab w:pos="2670" w:val="left" w:leader="none"/>
        </w:tabs>
        <w:spacing w:before="14"/>
        <w:ind w:left="1371"/>
        <w:rPr>
          <w:rFonts w:ascii="Times New Roman"/>
        </w:rPr>
      </w:pPr>
      <w:r>
        <w:rPr/>
        <w:br w:type="column"/>
      </w:r>
      <w:r>
        <w:rPr>
          <w:rFonts w:ascii="Times New Roman"/>
          <w:color w:val="4D4D4D"/>
          <w:w w:val="100"/>
          <w:u w:val="single" w:color="000000"/>
        </w:rPr>
        <w:t> </w:t>
      </w:r>
      <w:r>
        <w:rPr>
          <w:rFonts w:ascii="Times New Roman"/>
          <w:color w:val="4D4D4D"/>
          <w:u w:val="single" w:color="000000"/>
        </w:rPr>
        <w:t> </w:t>
      </w:r>
      <w:r>
        <w:rPr>
          <w:rFonts w:ascii="Times New Roman"/>
          <w:color w:val="4D4D4D"/>
          <w:spacing w:val="18"/>
          <w:u w:val="single" w:color="000000"/>
        </w:rPr>
        <w:t> </w:t>
      </w:r>
      <w:r>
        <w:rPr>
          <w:rFonts w:ascii="Times New Roman"/>
          <w:color w:val="4D4D4D"/>
          <w:w w:val="110"/>
          <w:u w:val="single" w:color="000000"/>
        </w:rPr>
        <w:t>103</w:t>
        <w:tab/>
      </w:r>
      <w:r>
        <w:rPr>
          <w:rFonts w:ascii="Times New Roman"/>
          <w:color w:val="3D3D3D"/>
          <w:w w:val="110"/>
          <w:u w:val="single" w:color="000000"/>
        </w:rPr>
        <w:t>86</w:t>
      </w:r>
      <w:r>
        <w:rPr>
          <w:rFonts w:ascii="Times New Roman"/>
          <w:color w:val="3D3D3D"/>
          <w:spacing w:val="14"/>
          <w:u w:val="single" w:color="000000"/>
        </w:rPr>
        <w:t> </w:t>
      </w:r>
    </w:p>
    <w:p>
      <w:pPr>
        <w:pStyle w:val="BodyText"/>
        <w:tabs>
          <w:tab w:pos="1350" w:val="left" w:leader="none"/>
          <w:tab w:pos="2170" w:val="left" w:leader="none"/>
          <w:tab w:pos="2429" w:val="left" w:leader="none"/>
        </w:tabs>
        <w:spacing w:before="24"/>
        <w:ind w:left="1072"/>
        <w:rPr>
          <w:rFonts w:ascii="Times New Roman"/>
        </w:rPr>
      </w:pPr>
      <w:r>
        <w:rPr>
          <w:rFonts w:ascii="Times New Roman"/>
          <w:color w:val="3D3D3D"/>
          <w:w w:val="100"/>
          <w:u w:val="single" w:color="000000"/>
        </w:rPr>
        <w:t> </w:t>
      </w:r>
      <w:r>
        <w:rPr>
          <w:rFonts w:ascii="Times New Roman"/>
          <w:color w:val="3D3D3D"/>
          <w:u w:val="single" w:color="000000"/>
        </w:rPr>
        <w:tab/>
      </w:r>
      <w:r>
        <w:rPr>
          <w:rFonts w:ascii="Times New Roman"/>
          <w:color w:val="3D3D3D"/>
          <w:w w:val="110"/>
          <w:u w:val="single" w:color="000000"/>
        </w:rPr>
        <w:t>1,332</w:t>
      </w:r>
      <w:r>
        <w:rPr>
          <w:rFonts w:ascii="Times New Roman"/>
          <w:color w:val="3D3D3D"/>
          <w:w w:val="110"/>
        </w:rPr>
        <w:tab/>
      </w:r>
      <w:r>
        <w:rPr>
          <w:rFonts w:ascii="Times New Roman"/>
          <w:color w:val="4D4D4D"/>
          <w:w w:val="110"/>
          <w:u w:val="single" w:color="000000"/>
        </w:rPr>
        <w:t> </w:t>
        <w:tab/>
        <w:t>1,2</w:t>
      </w:r>
      <w:r>
        <w:rPr>
          <w:rFonts w:ascii="Times New Roman"/>
          <w:color w:val="2A2A2A"/>
          <w:w w:val="110"/>
          <w:u w:val="single" w:color="000000"/>
        </w:rPr>
        <w:t>80</w:t>
      </w:r>
      <w:r>
        <w:rPr>
          <w:rFonts w:ascii="Times New Roman"/>
          <w:color w:val="2A2A2A"/>
          <w:spacing w:val="5"/>
          <w:u w:val="single" w:color="000000"/>
        </w:rPr>
        <w:t> </w:t>
      </w:r>
    </w:p>
    <w:p>
      <w:pPr>
        <w:spacing w:after="0"/>
        <w:rPr>
          <w:rFonts w:ascii="Times New Roman"/>
        </w:rPr>
        <w:sectPr>
          <w:type w:val="continuous"/>
          <w:pgSz w:w="10950" w:h="15880"/>
          <w:pgMar w:top="680" w:bottom="280" w:left="500" w:right="0"/>
          <w:cols w:num="2" w:equalWidth="0">
            <w:col w:w="4280" w:space="2207"/>
            <w:col w:w="3963"/>
          </w:cols>
        </w:sectPr>
      </w:pPr>
    </w:p>
    <w:p>
      <w:pPr>
        <w:pStyle w:val="BodyText"/>
        <w:spacing w:before="2"/>
        <w:rPr>
          <w:rFonts w:ascii="Times New Roman"/>
          <w:sz w:val="19"/>
        </w:rPr>
      </w:pPr>
    </w:p>
    <w:p>
      <w:pPr>
        <w:pStyle w:val="BodyText"/>
        <w:ind w:left="949"/>
        <w:rPr>
          <w:rFonts w:ascii="Times New Roman"/>
          <w:sz w:val="20"/>
        </w:rPr>
      </w:pPr>
      <w:r>
        <w:rPr>
          <w:rFonts w:ascii="Times New Roman"/>
          <w:sz w:val="20"/>
        </w:rPr>
        <w:pict>
          <v:group style="width:430pt;height:39pt;mso-position-horizontal-relative:char;mso-position-vertical-relative:line" coordorigin="0,0" coordsize="8600,780">
            <v:line style="position:absolute" from="19,770" to="19,0" stroked="true" strokeweight=".962987pt" strokecolor="#000000">
              <v:stroke dashstyle="solid"/>
            </v:line>
            <v:line style="position:absolute" from="8571,779" to="8571,10" stroked="true" strokeweight=".481494pt" strokecolor="#000000">
              <v:stroke dashstyle="solid"/>
            </v:line>
            <v:line style="position:absolute" from="0,19" to="8599,19" stroked="true" strokeweight=".481115pt" strokecolor="#000000">
              <v:stroke dashstyle="solid"/>
            </v:line>
            <v:line style="position:absolute" from="0,760" to="8580,760" stroked="true" strokeweight=".481115pt" strokecolor="#000000">
              <v:stroke dashstyle="solid"/>
            </v:line>
            <v:shape style="position:absolute;left:28;top:24;width:8537;height:732" type="#_x0000_t202" filled="false" stroked="false">
              <v:textbox inset="0,0,0,0">
                <w:txbxContent>
                  <w:p>
                    <w:pPr>
                      <w:spacing w:line="256" w:lineRule="auto" w:before="10"/>
                      <w:ind w:left="292" w:right="283" w:hanging="2"/>
                      <w:jc w:val="center"/>
                      <w:rPr>
                        <w:rFonts w:ascii="Times New Roman"/>
                        <w:i/>
                        <w:sz w:val="20"/>
                      </w:rPr>
                    </w:pPr>
                    <w:r>
                      <w:rPr>
                        <w:rFonts w:ascii="Times New Roman"/>
                        <w:i/>
                        <w:color w:val="3D3D3D"/>
                        <w:w w:val="105"/>
                        <w:sz w:val="20"/>
                      </w:rPr>
                      <w:t>This</w:t>
                    </w:r>
                    <w:r>
                      <w:rPr>
                        <w:rFonts w:ascii="Times New Roman"/>
                        <w:i/>
                        <w:color w:val="3D3D3D"/>
                        <w:spacing w:val="-19"/>
                        <w:w w:val="105"/>
                        <w:sz w:val="20"/>
                      </w:rPr>
                      <w:t> </w:t>
                    </w:r>
                    <w:r>
                      <w:rPr>
                        <w:rFonts w:ascii="Times New Roman"/>
                        <w:i/>
                        <w:color w:val="4D4D4D"/>
                        <w:w w:val="105"/>
                        <w:sz w:val="20"/>
                      </w:rPr>
                      <w:t>page</w:t>
                    </w:r>
                    <w:r>
                      <w:rPr>
                        <w:rFonts w:ascii="Times New Roman"/>
                        <w:i/>
                        <w:color w:val="4D4D4D"/>
                        <w:spacing w:val="2"/>
                        <w:w w:val="105"/>
                        <w:sz w:val="20"/>
                      </w:rPr>
                      <w:t> </w:t>
                    </w:r>
                    <w:r>
                      <w:rPr>
                        <w:rFonts w:ascii="Times New Roman"/>
                        <w:i/>
                        <w:color w:val="3D3D3D"/>
                        <w:w w:val="105"/>
                        <w:sz w:val="20"/>
                      </w:rPr>
                      <w:t>and</w:t>
                    </w:r>
                    <w:r>
                      <w:rPr>
                        <w:rFonts w:ascii="Times New Roman"/>
                        <w:i/>
                        <w:color w:val="3D3D3D"/>
                        <w:spacing w:val="-6"/>
                        <w:w w:val="105"/>
                        <w:sz w:val="20"/>
                      </w:rPr>
                      <w:t> </w:t>
                    </w:r>
                    <w:r>
                      <w:rPr>
                        <w:rFonts w:ascii="Times New Roman"/>
                        <w:i/>
                        <w:color w:val="3D3D3D"/>
                        <w:w w:val="105"/>
                        <w:sz w:val="20"/>
                      </w:rPr>
                      <w:t>the</w:t>
                    </w:r>
                    <w:r>
                      <w:rPr>
                        <w:rFonts w:ascii="Times New Roman"/>
                        <w:i/>
                        <w:color w:val="3D3D3D"/>
                        <w:spacing w:val="-14"/>
                        <w:w w:val="105"/>
                        <w:sz w:val="20"/>
                      </w:rPr>
                      <w:t> </w:t>
                    </w:r>
                    <w:r>
                      <w:rPr>
                        <w:rFonts w:ascii="Times New Roman"/>
                        <w:i/>
                        <w:color w:val="3D3D3D"/>
                        <w:w w:val="105"/>
                        <w:sz w:val="20"/>
                      </w:rPr>
                      <w:t>following</w:t>
                    </w:r>
                    <w:r>
                      <w:rPr>
                        <w:rFonts w:ascii="Times New Roman"/>
                        <w:i/>
                        <w:color w:val="3D3D3D"/>
                        <w:spacing w:val="9"/>
                        <w:w w:val="105"/>
                        <w:sz w:val="20"/>
                      </w:rPr>
                      <w:t> </w:t>
                    </w:r>
                    <w:r>
                      <w:rPr>
                        <w:rFonts w:ascii="Times New Roman"/>
                        <w:i/>
                        <w:color w:val="4D4D4D"/>
                        <w:w w:val="105"/>
                        <w:sz w:val="20"/>
                      </w:rPr>
                      <w:t>seven</w:t>
                    </w:r>
                    <w:r>
                      <w:rPr>
                        <w:rFonts w:ascii="Times New Roman"/>
                        <w:i/>
                        <w:color w:val="4D4D4D"/>
                        <w:spacing w:val="-16"/>
                        <w:w w:val="105"/>
                        <w:sz w:val="20"/>
                      </w:rPr>
                      <w:t> </w:t>
                    </w:r>
                    <w:r>
                      <w:rPr>
                        <w:rFonts w:ascii="Times New Roman"/>
                        <w:i/>
                        <w:color w:val="3D3D3D"/>
                        <w:w w:val="105"/>
                        <w:sz w:val="20"/>
                      </w:rPr>
                      <w:t>pages</w:t>
                    </w:r>
                    <w:r>
                      <w:rPr>
                        <w:rFonts w:ascii="Times New Roman"/>
                        <w:i/>
                        <w:color w:val="3D3D3D"/>
                        <w:spacing w:val="-12"/>
                        <w:w w:val="105"/>
                        <w:sz w:val="20"/>
                      </w:rPr>
                      <w:t> </w:t>
                    </w:r>
                    <w:r>
                      <w:rPr>
                        <w:rFonts w:ascii="Times New Roman"/>
                        <w:i/>
                        <w:color w:val="3D3D3D"/>
                        <w:w w:val="105"/>
                        <w:sz w:val="20"/>
                      </w:rPr>
                      <w:t>set</w:t>
                    </w:r>
                    <w:r>
                      <w:rPr>
                        <w:rFonts w:ascii="Times New Roman"/>
                        <w:i/>
                        <w:color w:val="3D3D3D"/>
                        <w:spacing w:val="4"/>
                        <w:w w:val="105"/>
                        <w:sz w:val="20"/>
                      </w:rPr>
                      <w:t> </w:t>
                    </w:r>
                    <w:r>
                      <w:rPr>
                        <w:rFonts w:ascii="Times New Roman"/>
                        <w:i/>
                        <w:color w:val="3D3D3D"/>
                        <w:w w:val="105"/>
                        <w:sz w:val="20"/>
                      </w:rPr>
                      <w:t>out</w:t>
                    </w:r>
                    <w:r>
                      <w:rPr>
                        <w:rFonts w:ascii="Times New Roman"/>
                        <w:i/>
                        <w:color w:val="3D3D3D"/>
                        <w:spacing w:val="-5"/>
                        <w:w w:val="105"/>
                        <w:sz w:val="20"/>
                      </w:rPr>
                      <w:t> </w:t>
                    </w:r>
                    <w:r>
                      <w:rPr>
                        <w:rFonts w:ascii="Times New Roman"/>
                        <w:i/>
                        <w:color w:val="3D3D3D"/>
                        <w:w w:val="105"/>
                        <w:sz w:val="20"/>
                      </w:rPr>
                      <w:t>additional</w:t>
                    </w:r>
                    <w:r>
                      <w:rPr>
                        <w:rFonts w:ascii="Times New Roman"/>
                        <w:i/>
                        <w:color w:val="3D3D3D"/>
                        <w:spacing w:val="3"/>
                        <w:w w:val="105"/>
                        <w:sz w:val="20"/>
                      </w:rPr>
                      <w:t> </w:t>
                    </w:r>
                    <w:r>
                      <w:rPr>
                        <w:rFonts w:ascii="Times New Roman"/>
                        <w:i/>
                        <w:color w:val="3D3D3D"/>
                        <w:w w:val="105"/>
                        <w:sz w:val="20"/>
                      </w:rPr>
                      <w:t>information</w:t>
                    </w:r>
                    <w:r>
                      <w:rPr>
                        <w:rFonts w:ascii="Times New Roman"/>
                        <w:i/>
                        <w:color w:val="3D3D3D"/>
                        <w:spacing w:val="4"/>
                        <w:w w:val="105"/>
                        <w:sz w:val="20"/>
                      </w:rPr>
                      <w:t> </w:t>
                    </w:r>
                    <w:r>
                      <w:rPr>
                        <w:rFonts w:ascii="Times New Roman"/>
                        <w:i/>
                        <w:color w:val="3D3D3D"/>
                        <w:w w:val="105"/>
                        <w:sz w:val="20"/>
                      </w:rPr>
                      <w:t>about</w:t>
                    </w:r>
                    <w:r>
                      <w:rPr>
                        <w:rFonts w:ascii="Times New Roman"/>
                        <w:i/>
                        <w:color w:val="3D3D3D"/>
                        <w:spacing w:val="-24"/>
                        <w:w w:val="105"/>
                        <w:sz w:val="20"/>
                      </w:rPr>
                      <w:t> </w:t>
                    </w:r>
                    <w:r>
                      <w:rPr>
                        <w:rFonts w:ascii="Times New Roman"/>
                        <w:i/>
                        <w:color w:val="4D4D4D"/>
                        <w:w w:val="105"/>
                        <w:sz w:val="20"/>
                      </w:rPr>
                      <w:t>various</w:t>
                    </w:r>
                    <w:r>
                      <w:rPr>
                        <w:rFonts w:ascii="Times New Roman"/>
                        <w:i/>
                        <w:color w:val="4D4D4D"/>
                        <w:spacing w:val="-9"/>
                        <w:w w:val="105"/>
                        <w:sz w:val="20"/>
                      </w:rPr>
                      <w:t> </w:t>
                    </w:r>
                    <w:r>
                      <w:rPr>
                        <w:rFonts w:ascii="Times New Roman"/>
                        <w:i/>
                        <w:color w:val="3D3D3D"/>
                        <w:w w:val="105"/>
                        <w:sz w:val="20"/>
                      </w:rPr>
                      <w:t>aspects </w:t>
                    </w:r>
                    <w:r>
                      <w:rPr>
                        <w:rFonts w:ascii="Times New Roman"/>
                        <w:i/>
                        <w:color w:val="3D3D3D"/>
                        <w:w w:val="105"/>
                        <w:sz w:val="20"/>
                      </w:rPr>
                      <w:t>of</w:t>
                    </w:r>
                    <w:r>
                      <w:rPr>
                        <w:rFonts w:ascii="Times New Roman"/>
                        <w:i/>
                        <w:color w:val="3D3D3D"/>
                        <w:spacing w:val="-15"/>
                        <w:w w:val="105"/>
                        <w:sz w:val="20"/>
                      </w:rPr>
                      <w:t> </w:t>
                    </w:r>
                    <w:r>
                      <w:rPr>
                        <w:rFonts w:ascii="Times New Roman"/>
                        <w:i/>
                        <w:color w:val="3D3D3D"/>
                        <w:w w:val="105"/>
                        <w:sz w:val="20"/>
                      </w:rPr>
                      <w:t>the</w:t>
                    </w:r>
                    <w:r>
                      <w:rPr>
                        <w:rFonts w:ascii="Times New Roman"/>
                        <w:i/>
                        <w:color w:val="3D3D3D"/>
                        <w:spacing w:val="-15"/>
                        <w:w w:val="105"/>
                        <w:sz w:val="20"/>
                      </w:rPr>
                      <w:t> </w:t>
                    </w:r>
                    <w:r>
                      <w:rPr>
                        <w:rFonts w:ascii="Times New Roman"/>
                        <w:i/>
                        <w:color w:val="3D3D3D"/>
                        <w:w w:val="105"/>
                        <w:sz w:val="20"/>
                      </w:rPr>
                      <w:t>Church's</w:t>
                    </w:r>
                    <w:r>
                      <w:rPr>
                        <w:rFonts w:ascii="Times New Roman"/>
                        <w:i/>
                        <w:color w:val="3D3D3D"/>
                        <w:spacing w:val="8"/>
                        <w:w w:val="105"/>
                        <w:sz w:val="20"/>
                      </w:rPr>
                      <w:t> </w:t>
                    </w:r>
                    <w:r>
                      <w:rPr>
                        <w:rFonts w:ascii="Times New Roman"/>
                        <w:i/>
                        <w:color w:val="3D3D3D"/>
                        <w:w w:val="105"/>
                        <w:sz w:val="20"/>
                      </w:rPr>
                      <w:t>finances.</w:t>
                    </w:r>
                    <w:r>
                      <w:rPr>
                        <w:rFonts w:ascii="Times New Roman"/>
                        <w:i/>
                        <w:color w:val="3D3D3D"/>
                        <w:spacing w:val="2"/>
                        <w:w w:val="105"/>
                        <w:sz w:val="20"/>
                      </w:rPr>
                      <w:t> </w:t>
                    </w:r>
                    <w:r>
                      <w:rPr>
                        <w:rFonts w:ascii="Times New Roman"/>
                        <w:i/>
                        <w:color w:val="3D3D3D"/>
                        <w:w w:val="105"/>
                        <w:sz w:val="20"/>
                      </w:rPr>
                      <w:t>Note</w:t>
                    </w:r>
                    <w:r>
                      <w:rPr>
                        <w:rFonts w:ascii="Times New Roman"/>
                        <w:i/>
                        <w:color w:val="3D3D3D"/>
                        <w:spacing w:val="-8"/>
                        <w:w w:val="105"/>
                        <w:sz w:val="20"/>
                      </w:rPr>
                      <w:t> </w:t>
                    </w:r>
                    <w:r>
                      <w:rPr>
                        <w:rFonts w:ascii="Times New Roman"/>
                        <w:i/>
                        <w:color w:val="3D3D3D"/>
                        <w:w w:val="105"/>
                        <w:sz w:val="20"/>
                      </w:rPr>
                      <w:t>17</w:t>
                    </w:r>
                    <w:r>
                      <w:rPr>
                        <w:rFonts w:ascii="Times New Roman"/>
                        <w:i/>
                        <w:color w:val="3D3D3D"/>
                        <w:spacing w:val="-6"/>
                        <w:w w:val="105"/>
                        <w:sz w:val="20"/>
                      </w:rPr>
                      <w:t> </w:t>
                    </w:r>
                    <w:r>
                      <w:rPr>
                        <w:rFonts w:ascii="Times New Roman"/>
                        <w:i/>
                        <w:color w:val="3D3D3D"/>
                        <w:w w:val="105"/>
                        <w:sz w:val="20"/>
                      </w:rPr>
                      <w:t>contains</w:t>
                    </w:r>
                    <w:r>
                      <w:rPr>
                        <w:rFonts w:ascii="Times New Roman"/>
                        <w:i/>
                        <w:color w:val="3D3D3D"/>
                        <w:spacing w:val="-8"/>
                        <w:w w:val="105"/>
                        <w:sz w:val="20"/>
                      </w:rPr>
                      <w:t> </w:t>
                    </w:r>
                    <w:r>
                      <w:rPr>
                        <w:rFonts w:ascii="Times New Roman"/>
                        <w:i/>
                        <w:color w:val="3D3D3D"/>
                        <w:w w:val="105"/>
                        <w:sz w:val="20"/>
                      </w:rPr>
                      <w:t>further disclosures</w:t>
                    </w:r>
                    <w:r>
                      <w:rPr>
                        <w:rFonts w:ascii="Times New Roman"/>
                        <w:i/>
                        <w:color w:val="3D3D3D"/>
                        <w:spacing w:val="-8"/>
                        <w:w w:val="105"/>
                        <w:sz w:val="20"/>
                      </w:rPr>
                      <w:t> </w:t>
                    </w:r>
                    <w:r>
                      <w:rPr>
                        <w:rFonts w:ascii="Times New Roman"/>
                        <w:i/>
                        <w:color w:val="3D3D3D"/>
                        <w:w w:val="105"/>
                        <w:sz w:val="20"/>
                      </w:rPr>
                      <w:t>on</w:t>
                    </w:r>
                    <w:r>
                      <w:rPr>
                        <w:rFonts w:ascii="Times New Roman"/>
                        <w:i/>
                        <w:color w:val="3D3D3D"/>
                        <w:spacing w:val="-3"/>
                        <w:w w:val="105"/>
                        <w:sz w:val="20"/>
                      </w:rPr>
                      <w:t> </w:t>
                    </w:r>
                    <w:r>
                      <w:rPr>
                        <w:rFonts w:ascii="Times New Roman"/>
                        <w:i/>
                        <w:color w:val="3D3D3D"/>
                        <w:w w:val="105"/>
                        <w:sz w:val="20"/>
                      </w:rPr>
                      <w:t>pension</w:t>
                    </w:r>
                    <w:r>
                      <w:rPr>
                        <w:rFonts w:ascii="Times New Roman"/>
                        <w:i/>
                        <w:color w:val="3D3D3D"/>
                        <w:spacing w:val="-11"/>
                        <w:w w:val="105"/>
                        <w:sz w:val="20"/>
                      </w:rPr>
                      <w:t> </w:t>
                    </w:r>
                    <w:r>
                      <w:rPr>
                        <w:rFonts w:ascii="Times New Roman"/>
                        <w:i/>
                        <w:color w:val="3D3D3D"/>
                        <w:w w:val="105"/>
                        <w:sz w:val="20"/>
                      </w:rPr>
                      <w:t>funds</w:t>
                    </w:r>
                    <w:r>
                      <w:rPr>
                        <w:rFonts w:ascii="Times New Roman"/>
                        <w:i/>
                        <w:color w:val="3D3D3D"/>
                        <w:spacing w:val="-2"/>
                        <w:w w:val="105"/>
                        <w:sz w:val="20"/>
                      </w:rPr>
                      <w:t> </w:t>
                    </w:r>
                    <w:r>
                      <w:rPr>
                        <w:rFonts w:ascii="Times New Roman"/>
                        <w:i/>
                        <w:color w:val="3D3D3D"/>
                        <w:w w:val="105"/>
                        <w:sz w:val="20"/>
                      </w:rPr>
                      <w:t>as</w:t>
                    </w:r>
                    <w:r>
                      <w:rPr>
                        <w:rFonts w:ascii="Times New Roman"/>
                        <w:i/>
                        <w:color w:val="3D3D3D"/>
                        <w:spacing w:val="-8"/>
                        <w:w w:val="105"/>
                        <w:sz w:val="20"/>
                      </w:rPr>
                      <w:t> </w:t>
                    </w:r>
                    <w:r>
                      <w:rPr>
                        <w:rFonts w:ascii="Times New Roman"/>
                        <w:i/>
                        <w:color w:val="3D3D3D"/>
                        <w:w w:val="105"/>
                        <w:sz w:val="20"/>
                      </w:rPr>
                      <w:t>required by </w:t>
                    </w:r>
                    <w:r>
                      <w:rPr>
                        <w:rFonts w:ascii="Times New Roman"/>
                        <w:i/>
                        <w:color w:val="4D4D4D"/>
                        <w:w w:val="105"/>
                        <w:sz w:val="20"/>
                      </w:rPr>
                      <w:t>Financial </w:t>
                    </w:r>
                    <w:r>
                      <w:rPr>
                        <w:rFonts w:ascii="Times New Roman"/>
                        <w:i/>
                        <w:color w:val="3D3D3D"/>
                        <w:w w:val="105"/>
                        <w:sz w:val="20"/>
                      </w:rPr>
                      <w:t>Reporting Standard</w:t>
                    </w:r>
                    <w:r>
                      <w:rPr>
                        <w:rFonts w:ascii="Times New Roman"/>
                        <w:i/>
                        <w:color w:val="3D3D3D"/>
                        <w:spacing w:val="-13"/>
                        <w:w w:val="105"/>
                        <w:sz w:val="20"/>
                      </w:rPr>
                      <w:t> </w:t>
                    </w:r>
                    <w:r>
                      <w:rPr>
                        <w:rFonts w:ascii="Times New Roman"/>
                        <w:i/>
                        <w:color w:val="3D3D3D"/>
                        <w:w w:val="105"/>
                        <w:sz w:val="20"/>
                      </w:rPr>
                      <w:t>17.</w:t>
                    </w:r>
                  </w:p>
                </w:txbxContent>
              </v:textbox>
              <w10:wrap type="none"/>
            </v:shape>
          </v:group>
        </w:pict>
      </w:r>
      <w:r>
        <w:rPr>
          <w:rFonts w:ascii="Times New Roman"/>
          <w:sz w:val="20"/>
        </w:rPr>
      </w:r>
    </w:p>
    <w:p>
      <w:pPr>
        <w:spacing w:after="0"/>
        <w:rPr>
          <w:rFonts w:ascii="Times New Roman"/>
          <w:sz w:val="20"/>
        </w:rPr>
        <w:sectPr>
          <w:type w:val="continuous"/>
          <w:pgSz w:w="10950" w:h="15880"/>
          <w:pgMar w:top="680" w:bottom="280" w:left="500" w:right="0"/>
        </w:sectPr>
      </w:pPr>
    </w:p>
    <w:p>
      <w:pPr>
        <w:pStyle w:val="BodyText"/>
        <w:spacing w:before="5"/>
        <w:rPr>
          <w:rFonts w:ascii="Times New Roman"/>
          <w:sz w:val="12"/>
        </w:rPr>
      </w:pPr>
    </w:p>
    <w:p>
      <w:pPr>
        <w:tabs>
          <w:tab w:pos="2223" w:val="left" w:leader="none"/>
        </w:tabs>
        <w:spacing w:before="93"/>
        <w:ind w:left="1038" w:right="0" w:firstLine="0"/>
        <w:jc w:val="left"/>
        <w:rPr>
          <w:rFonts w:ascii="Times New Roman"/>
          <w:b/>
          <w:sz w:val="18"/>
        </w:rPr>
      </w:pPr>
      <w:r>
        <w:rPr>
          <w:rFonts w:ascii="Times New Roman"/>
          <w:b/>
          <w:color w:val="3D3D3D"/>
          <w:spacing w:val="-3"/>
          <w:w w:val="110"/>
          <w:sz w:val="18"/>
        </w:rPr>
        <w:t>N</w:t>
      </w:r>
      <w:r>
        <w:rPr>
          <w:rFonts w:ascii="Times New Roman"/>
          <w:b/>
          <w:color w:val="151515"/>
          <w:spacing w:val="-3"/>
          <w:w w:val="110"/>
          <w:sz w:val="18"/>
        </w:rPr>
        <w:t>OTE</w:t>
      </w:r>
      <w:r>
        <w:rPr>
          <w:rFonts w:ascii="Times New Roman"/>
          <w:b/>
          <w:color w:val="151515"/>
          <w:spacing w:val="-22"/>
          <w:w w:val="110"/>
          <w:sz w:val="18"/>
        </w:rPr>
        <w:t> </w:t>
      </w:r>
      <w:r>
        <w:rPr>
          <w:rFonts w:ascii="Times New Roman"/>
          <w:b/>
          <w:color w:val="151515"/>
          <w:w w:val="110"/>
          <w:sz w:val="18"/>
        </w:rPr>
        <w:t>S</w:t>
        <w:tab/>
      </w:r>
      <w:r>
        <w:rPr>
          <w:rFonts w:ascii="Times New Roman"/>
          <w:b/>
          <w:color w:val="232323"/>
          <w:spacing w:val="-6"/>
          <w:w w:val="110"/>
          <w:sz w:val="18"/>
        </w:rPr>
        <w:t>ANALYSI</w:t>
      </w:r>
      <w:r>
        <w:rPr>
          <w:rFonts w:ascii="Times New Roman"/>
          <w:b/>
          <w:color w:val="3D3D3D"/>
          <w:spacing w:val="-6"/>
          <w:w w:val="110"/>
          <w:sz w:val="18"/>
        </w:rPr>
        <w:t>S </w:t>
      </w:r>
      <w:r>
        <w:rPr>
          <w:rFonts w:ascii="Times New Roman"/>
          <w:b/>
          <w:color w:val="151515"/>
          <w:w w:val="110"/>
          <w:sz w:val="18"/>
        </w:rPr>
        <w:t>OF</w:t>
      </w:r>
      <w:r>
        <w:rPr>
          <w:rFonts w:ascii="Times New Roman"/>
          <w:b/>
          <w:color w:val="151515"/>
          <w:spacing w:val="-5"/>
          <w:w w:val="110"/>
          <w:sz w:val="18"/>
        </w:rPr>
        <w:t> </w:t>
      </w:r>
      <w:r>
        <w:rPr>
          <w:rFonts w:ascii="Times New Roman"/>
          <w:b/>
          <w:color w:val="3D3D3D"/>
          <w:spacing w:val="-5"/>
          <w:w w:val="110"/>
          <w:sz w:val="18"/>
        </w:rPr>
        <w:t>E</w:t>
      </w:r>
      <w:r>
        <w:rPr>
          <w:rFonts w:ascii="Times New Roman"/>
          <w:b/>
          <w:color w:val="232323"/>
          <w:spacing w:val="-5"/>
          <w:w w:val="110"/>
          <w:sz w:val="18"/>
        </w:rPr>
        <w:t>X</w:t>
      </w:r>
      <w:r>
        <w:rPr>
          <w:rFonts w:ascii="Times New Roman"/>
          <w:b/>
          <w:color w:val="3D3D3D"/>
          <w:spacing w:val="-5"/>
          <w:w w:val="110"/>
          <w:sz w:val="18"/>
        </w:rPr>
        <w:t>PEND</w:t>
      </w:r>
      <w:r>
        <w:rPr>
          <w:rFonts w:ascii="Times New Roman"/>
          <w:b/>
          <w:color w:val="151515"/>
          <w:spacing w:val="-5"/>
          <w:w w:val="110"/>
          <w:sz w:val="18"/>
        </w:rPr>
        <w:t>I</w:t>
      </w:r>
      <w:r>
        <w:rPr>
          <w:rFonts w:ascii="Times New Roman"/>
          <w:b/>
          <w:color w:val="3D3D3D"/>
          <w:spacing w:val="-5"/>
          <w:w w:val="110"/>
          <w:sz w:val="18"/>
        </w:rPr>
        <w:t>T</w:t>
      </w:r>
      <w:r>
        <w:rPr>
          <w:rFonts w:ascii="Times New Roman"/>
          <w:b/>
          <w:color w:val="151515"/>
          <w:spacing w:val="-5"/>
          <w:w w:val="110"/>
          <w:sz w:val="18"/>
        </w:rPr>
        <w:t>URE</w:t>
      </w:r>
    </w:p>
    <w:p>
      <w:pPr>
        <w:pStyle w:val="ListParagraph"/>
        <w:numPr>
          <w:ilvl w:val="0"/>
          <w:numId w:val="218"/>
        </w:numPr>
        <w:tabs>
          <w:tab w:pos="1286" w:val="left" w:leader="none"/>
        </w:tabs>
        <w:spacing w:line="240" w:lineRule="auto" w:before="120" w:after="0"/>
        <w:ind w:left="1285" w:right="0" w:hanging="253"/>
        <w:jc w:val="left"/>
        <w:rPr>
          <w:rFonts w:ascii="Times New Roman"/>
          <w:sz w:val="18"/>
        </w:rPr>
      </w:pPr>
      <w:r>
        <w:rPr>
          <w:rFonts w:ascii="Times New Roman"/>
          <w:color w:val="3D3D3D"/>
          <w:w w:val="105"/>
          <w:sz w:val="18"/>
        </w:rPr>
        <w:t>The</w:t>
      </w:r>
      <w:r>
        <w:rPr>
          <w:rFonts w:ascii="Times New Roman"/>
          <w:color w:val="3D3D3D"/>
          <w:spacing w:val="-7"/>
          <w:w w:val="105"/>
          <w:sz w:val="18"/>
        </w:rPr>
        <w:t> </w:t>
      </w:r>
      <w:r>
        <w:rPr>
          <w:rFonts w:ascii="Times New Roman"/>
          <w:color w:val="3D3D3D"/>
          <w:w w:val="105"/>
          <w:sz w:val="18"/>
        </w:rPr>
        <w:t>amount</w:t>
      </w:r>
      <w:r>
        <w:rPr>
          <w:rFonts w:ascii="Times New Roman"/>
          <w:color w:val="3D3D3D"/>
          <w:spacing w:val="-17"/>
          <w:w w:val="105"/>
          <w:sz w:val="18"/>
        </w:rPr>
        <w:t> </w:t>
      </w:r>
      <w:r>
        <w:rPr>
          <w:rFonts w:ascii="Times New Roman"/>
          <w:color w:val="3D3D3D"/>
          <w:w w:val="105"/>
          <w:sz w:val="18"/>
        </w:rPr>
        <w:t>spent</w:t>
      </w:r>
      <w:r>
        <w:rPr>
          <w:rFonts w:ascii="Times New Roman"/>
          <w:color w:val="3D3D3D"/>
          <w:spacing w:val="-17"/>
          <w:w w:val="105"/>
          <w:sz w:val="18"/>
        </w:rPr>
        <w:t> </w:t>
      </w:r>
      <w:r>
        <w:rPr>
          <w:rFonts w:ascii="Times New Roman"/>
          <w:color w:val="3D3D3D"/>
          <w:w w:val="105"/>
          <w:sz w:val="18"/>
        </w:rPr>
        <w:t>on</w:t>
      </w:r>
      <w:r>
        <w:rPr>
          <w:rFonts w:ascii="Times New Roman"/>
          <w:color w:val="3D3D3D"/>
          <w:spacing w:val="2"/>
          <w:w w:val="105"/>
          <w:sz w:val="18"/>
        </w:rPr>
        <w:t> </w:t>
      </w:r>
      <w:r>
        <w:rPr>
          <w:rFonts w:ascii="Times New Roman"/>
          <w:color w:val="3D3D3D"/>
          <w:w w:val="105"/>
          <w:sz w:val="18"/>
        </w:rPr>
        <w:t>the</w:t>
      </w:r>
      <w:r>
        <w:rPr>
          <w:rFonts w:ascii="Times New Roman"/>
          <w:color w:val="3D3D3D"/>
          <w:spacing w:val="-23"/>
          <w:w w:val="105"/>
          <w:sz w:val="18"/>
        </w:rPr>
        <w:t> </w:t>
      </w:r>
      <w:r>
        <w:rPr>
          <w:rFonts w:ascii="Times New Roman"/>
          <w:color w:val="3D3D3D"/>
          <w:w w:val="105"/>
          <w:sz w:val="18"/>
        </w:rPr>
        <w:t>Chu</w:t>
      </w:r>
      <w:r>
        <w:rPr>
          <w:rFonts w:ascii="Times New Roman"/>
          <w:color w:val="151515"/>
          <w:w w:val="105"/>
          <w:sz w:val="18"/>
        </w:rPr>
        <w:t>r</w:t>
      </w:r>
      <w:r>
        <w:rPr>
          <w:rFonts w:ascii="Times New Roman"/>
          <w:color w:val="3D3D3D"/>
          <w:w w:val="105"/>
          <w:sz w:val="18"/>
        </w:rPr>
        <w:t>ch' s</w:t>
      </w:r>
      <w:r>
        <w:rPr>
          <w:rFonts w:ascii="Times New Roman"/>
          <w:color w:val="3D3D3D"/>
          <w:spacing w:val="6"/>
          <w:w w:val="105"/>
          <w:sz w:val="18"/>
        </w:rPr>
        <w:t> </w:t>
      </w:r>
      <w:r>
        <w:rPr>
          <w:rFonts w:ascii="Times New Roman"/>
          <w:color w:val="3D3D3D"/>
          <w:w w:val="105"/>
          <w:sz w:val="18"/>
        </w:rPr>
        <w:t>charitable</w:t>
      </w:r>
      <w:r>
        <w:rPr>
          <w:rFonts w:ascii="Times New Roman"/>
          <w:color w:val="3D3D3D"/>
          <w:spacing w:val="-8"/>
          <w:w w:val="105"/>
          <w:sz w:val="18"/>
        </w:rPr>
        <w:t> </w:t>
      </w:r>
      <w:r>
        <w:rPr>
          <w:rFonts w:ascii="Times New Roman"/>
          <w:color w:val="3D3D3D"/>
          <w:spacing w:val="-3"/>
          <w:w w:val="105"/>
          <w:sz w:val="18"/>
        </w:rPr>
        <w:t>act</w:t>
      </w:r>
      <w:r>
        <w:rPr>
          <w:rFonts w:ascii="Times New Roman"/>
          <w:color w:val="232323"/>
          <w:spacing w:val="-3"/>
          <w:w w:val="105"/>
          <w:sz w:val="18"/>
        </w:rPr>
        <w:t>i</w:t>
      </w:r>
      <w:r>
        <w:rPr>
          <w:rFonts w:ascii="Times New Roman"/>
          <w:color w:val="3D3D3D"/>
          <w:spacing w:val="-3"/>
          <w:w w:val="105"/>
          <w:sz w:val="18"/>
        </w:rPr>
        <w:t>v</w:t>
      </w:r>
      <w:r>
        <w:rPr>
          <w:rFonts w:ascii="Times New Roman"/>
          <w:color w:val="151515"/>
          <w:spacing w:val="-3"/>
          <w:w w:val="105"/>
          <w:sz w:val="18"/>
        </w:rPr>
        <w:t>i</w:t>
      </w:r>
      <w:r>
        <w:rPr>
          <w:rFonts w:ascii="Times New Roman"/>
          <w:color w:val="3D3D3D"/>
          <w:spacing w:val="-3"/>
          <w:w w:val="105"/>
          <w:sz w:val="18"/>
        </w:rPr>
        <w:t>ties,</w:t>
      </w:r>
      <w:r>
        <w:rPr>
          <w:rFonts w:ascii="Times New Roman"/>
          <w:color w:val="3D3D3D"/>
          <w:w w:val="105"/>
          <w:sz w:val="18"/>
        </w:rPr>
        <w:t> including</w:t>
      </w:r>
      <w:r>
        <w:rPr>
          <w:rFonts w:ascii="Times New Roman"/>
          <w:color w:val="3D3D3D"/>
          <w:spacing w:val="-8"/>
          <w:w w:val="105"/>
          <w:sz w:val="18"/>
        </w:rPr>
        <w:t> </w:t>
      </w:r>
      <w:r>
        <w:rPr>
          <w:rFonts w:ascii="Times New Roman"/>
          <w:color w:val="3D3D3D"/>
          <w:w w:val="105"/>
          <w:sz w:val="18"/>
        </w:rPr>
        <w:t>su</w:t>
      </w:r>
      <w:r>
        <w:rPr>
          <w:rFonts w:ascii="Times New Roman"/>
          <w:color w:val="232323"/>
          <w:w w:val="105"/>
          <w:sz w:val="18"/>
        </w:rPr>
        <w:t>p</w:t>
      </w:r>
      <w:r>
        <w:rPr>
          <w:rFonts w:ascii="Times New Roman"/>
          <w:color w:val="3D3D3D"/>
          <w:w w:val="105"/>
          <w:sz w:val="18"/>
        </w:rPr>
        <w:t>port costs,</w:t>
      </w:r>
      <w:r>
        <w:rPr>
          <w:rFonts w:ascii="Times New Roman"/>
          <w:color w:val="3D3D3D"/>
          <w:spacing w:val="-5"/>
          <w:w w:val="105"/>
          <w:sz w:val="18"/>
        </w:rPr>
        <w:t> </w:t>
      </w:r>
      <w:r>
        <w:rPr>
          <w:rFonts w:ascii="Times New Roman"/>
          <w:color w:val="3D3D3D"/>
          <w:w w:val="105"/>
          <w:sz w:val="18"/>
        </w:rPr>
        <w:t>is</w:t>
      </w:r>
      <w:r>
        <w:rPr>
          <w:rFonts w:ascii="Times New Roman"/>
          <w:color w:val="3D3D3D"/>
          <w:spacing w:val="-15"/>
          <w:w w:val="105"/>
          <w:sz w:val="18"/>
        </w:rPr>
        <w:t> </w:t>
      </w:r>
      <w:r>
        <w:rPr>
          <w:rFonts w:ascii="Times New Roman"/>
          <w:color w:val="3D3D3D"/>
          <w:w w:val="105"/>
          <w:sz w:val="18"/>
        </w:rPr>
        <w:t>summarise</w:t>
      </w:r>
      <w:r>
        <w:rPr>
          <w:rFonts w:ascii="Times New Roman"/>
          <w:color w:val="232323"/>
          <w:w w:val="105"/>
          <w:sz w:val="18"/>
        </w:rPr>
        <w:t>d </w:t>
      </w:r>
      <w:r>
        <w:rPr>
          <w:rFonts w:ascii="Times New Roman"/>
          <w:color w:val="3D3D3D"/>
          <w:w w:val="105"/>
          <w:sz w:val="18"/>
        </w:rPr>
        <w:t>as</w:t>
      </w:r>
      <w:r>
        <w:rPr>
          <w:rFonts w:ascii="Times New Roman"/>
          <w:color w:val="3D3D3D"/>
          <w:spacing w:val="-8"/>
          <w:w w:val="105"/>
          <w:sz w:val="18"/>
        </w:rPr>
        <w:t> </w:t>
      </w:r>
      <w:r>
        <w:rPr>
          <w:rFonts w:ascii="Times New Roman"/>
          <w:color w:val="3D3D3D"/>
          <w:w w:val="105"/>
          <w:sz w:val="18"/>
        </w:rPr>
        <w:t>follows:</w:t>
      </w:r>
    </w:p>
    <w:p>
      <w:pPr>
        <w:pStyle w:val="BodyText"/>
        <w:spacing w:before="9"/>
        <w:rPr>
          <w:rFonts w:ascii="Times New Roman"/>
          <w:sz w:val="12"/>
        </w:rPr>
      </w:pPr>
    </w:p>
    <w:tbl>
      <w:tblPr>
        <w:tblW w:w="0" w:type="auto"/>
        <w:jc w:val="left"/>
        <w:tblInd w:w="1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1"/>
        <w:gridCol w:w="2191"/>
        <w:gridCol w:w="1161"/>
        <w:gridCol w:w="783"/>
        <w:gridCol w:w="861"/>
        <w:gridCol w:w="798"/>
      </w:tblGrid>
      <w:tr>
        <w:trPr>
          <w:trHeight w:val="667" w:hRule="atLeast"/>
        </w:trPr>
        <w:tc>
          <w:tcPr>
            <w:tcW w:w="2801" w:type="dxa"/>
            <w:vMerge w:val="restart"/>
          </w:tcPr>
          <w:p>
            <w:pPr>
              <w:pStyle w:val="TableParagraph"/>
              <w:rPr>
                <w:sz w:val="18"/>
              </w:rPr>
            </w:pPr>
          </w:p>
        </w:tc>
        <w:tc>
          <w:tcPr>
            <w:tcW w:w="2191" w:type="dxa"/>
          </w:tcPr>
          <w:p>
            <w:pPr>
              <w:pStyle w:val="TableParagraph"/>
              <w:spacing w:line="256" w:lineRule="auto"/>
              <w:ind w:left="882" w:firstLine="443"/>
              <w:rPr>
                <w:b/>
                <w:sz w:val="18"/>
              </w:rPr>
            </w:pPr>
            <w:r>
              <w:rPr>
                <w:b/>
                <w:color w:val="151515"/>
                <w:sz w:val="18"/>
              </w:rPr>
              <w:t>Direct </w:t>
            </w:r>
            <w:r>
              <w:rPr>
                <w:b/>
                <w:color w:val="151515"/>
                <w:w w:val="95"/>
                <w:sz w:val="18"/>
              </w:rPr>
              <w:t>program.me</w:t>
            </w:r>
          </w:p>
          <w:p>
            <w:pPr>
              <w:pStyle w:val="TableParagraph"/>
              <w:spacing w:line="203" w:lineRule="exact" w:before="2"/>
              <w:ind w:left="859"/>
              <w:rPr>
                <w:b/>
                <w:sz w:val="18"/>
              </w:rPr>
            </w:pPr>
            <w:r>
              <w:rPr>
                <w:b/>
                <w:color w:val="232323"/>
                <w:w w:val="105"/>
                <w:sz w:val="18"/>
              </w:rPr>
              <w:t>expenditur</w:t>
            </w:r>
            <w:r>
              <w:rPr>
                <w:b/>
                <w:color w:val="3D3D3D"/>
                <w:w w:val="105"/>
                <w:sz w:val="18"/>
              </w:rPr>
              <w:t>e</w:t>
            </w:r>
          </w:p>
        </w:tc>
        <w:tc>
          <w:tcPr>
            <w:tcW w:w="1161" w:type="dxa"/>
          </w:tcPr>
          <w:p>
            <w:pPr>
              <w:pStyle w:val="TableParagraph"/>
              <w:spacing w:line="268" w:lineRule="auto"/>
              <w:ind w:left="8" w:right="502" w:firstLine="133"/>
              <w:rPr>
                <w:b/>
                <w:sz w:val="18"/>
              </w:rPr>
            </w:pPr>
            <w:r>
              <w:rPr>
                <w:b/>
                <w:color w:val="232323"/>
                <w:w w:val="105"/>
                <w:sz w:val="18"/>
              </w:rPr>
              <w:t>Grant </w:t>
            </w:r>
            <w:r>
              <w:rPr>
                <w:b/>
                <w:color w:val="151515"/>
                <w:w w:val="105"/>
                <w:sz w:val="18"/>
              </w:rPr>
              <w:t>funding</w:t>
            </w:r>
          </w:p>
        </w:tc>
        <w:tc>
          <w:tcPr>
            <w:tcW w:w="783" w:type="dxa"/>
          </w:tcPr>
          <w:p>
            <w:pPr>
              <w:pStyle w:val="TableParagraph"/>
              <w:spacing w:line="200" w:lineRule="exact"/>
              <w:ind w:right="98"/>
              <w:jc w:val="right"/>
              <w:rPr>
                <w:b/>
                <w:sz w:val="18"/>
              </w:rPr>
            </w:pPr>
            <w:r>
              <w:rPr>
                <w:b/>
                <w:color w:val="232323"/>
                <w:spacing w:val="-2"/>
                <w:w w:val="105"/>
                <w:sz w:val="18"/>
              </w:rPr>
              <w:t>Support</w:t>
            </w:r>
          </w:p>
          <w:p>
            <w:pPr>
              <w:pStyle w:val="TableParagraph"/>
              <w:spacing w:before="24"/>
              <w:ind w:right="108"/>
              <w:jc w:val="right"/>
              <w:rPr>
                <w:b/>
                <w:sz w:val="18"/>
              </w:rPr>
            </w:pPr>
            <w:r>
              <w:rPr>
                <w:b/>
                <w:color w:val="232323"/>
                <w:spacing w:val="-2"/>
                <w:w w:val="105"/>
                <w:sz w:val="18"/>
              </w:rPr>
              <w:t>co</w:t>
            </w:r>
            <w:r>
              <w:rPr>
                <w:b/>
                <w:color w:val="3D3D3D"/>
                <w:spacing w:val="-2"/>
                <w:w w:val="105"/>
                <w:sz w:val="18"/>
              </w:rPr>
              <w:t>s</w:t>
            </w:r>
            <w:r>
              <w:rPr>
                <w:b/>
                <w:color w:val="151515"/>
                <w:spacing w:val="-2"/>
                <w:w w:val="105"/>
                <w:sz w:val="18"/>
              </w:rPr>
              <w:t>t</w:t>
            </w:r>
            <w:r>
              <w:rPr>
                <w:b/>
                <w:color w:val="3D3D3D"/>
                <w:spacing w:val="-2"/>
                <w:w w:val="105"/>
                <w:sz w:val="18"/>
              </w:rPr>
              <w:t>s</w:t>
            </w:r>
          </w:p>
        </w:tc>
        <w:tc>
          <w:tcPr>
            <w:tcW w:w="861" w:type="dxa"/>
          </w:tcPr>
          <w:p>
            <w:pPr>
              <w:pStyle w:val="TableParagraph"/>
              <w:spacing w:line="200" w:lineRule="exact"/>
              <w:ind w:left="319"/>
              <w:rPr>
                <w:b/>
                <w:sz w:val="18"/>
              </w:rPr>
            </w:pPr>
            <w:r>
              <w:rPr>
                <w:b/>
                <w:color w:val="232323"/>
                <w:w w:val="110"/>
                <w:sz w:val="18"/>
              </w:rPr>
              <w:t>2006</w:t>
            </w:r>
          </w:p>
          <w:p>
            <w:pPr>
              <w:pStyle w:val="TableParagraph"/>
              <w:spacing w:before="24"/>
              <w:ind w:left="259"/>
              <w:rPr>
                <w:b/>
                <w:sz w:val="18"/>
              </w:rPr>
            </w:pPr>
            <w:r>
              <w:rPr>
                <w:b/>
                <w:color w:val="3D3D3D"/>
                <w:w w:val="105"/>
                <w:sz w:val="18"/>
              </w:rPr>
              <w:t>T</w:t>
            </w:r>
            <w:r>
              <w:rPr>
                <w:b/>
                <w:color w:val="232323"/>
                <w:w w:val="105"/>
                <w:sz w:val="18"/>
              </w:rPr>
              <w:t>otal</w:t>
            </w:r>
          </w:p>
        </w:tc>
        <w:tc>
          <w:tcPr>
            <w:tcW w:w="798" w:type="dxa"/>
          </w:tcPr>
          <w:p>
            <w:pPr>
              <w:pStyle w:val="TableParagraph"/>
              <w:spacing w:line="200" w:lineRule="exact"/>
              <w:ind w:left="305"/>
              <w:rPr>
                <w:b/>
                <w:sz w:val="18"/>
              </w:rPr>
            </w:pPr>
            <w:r>
              <w:rPr>
                <w:b/>
                <w:color w:val="151515"/>
                <w:w w:val="110"/>
                <w:sz w:val="18"/>
              </w:rPr>
              <w:t>2005</w:t>
            </w:r>
          </w:p>
          <w:p>
            <w:pPr>
              <w:pStyle w:val="TableParagraph"/>
              <w:spacing w:before="24"/>
              <w:ind w:left="255"/>
              <w:rPr>
                <w:b/>
                <w:sz w:val="18"/>
              </w:rPr>
            </w:pPr>
            <w:r>
              <w:rPr>
                <w:b/>
                <w:color w:val="3D3D3D"/>
                <w:w w:val="105"/>
                <w:sz w:val="18"/>
              </w:rPr>
              <w:t>T</w:t>
            </w:r>
            <w:r>
              <w:rPr>
                <w:b/>
                <w:color w:val="232323"/>
                <w:w w:val="105"/>
                <w:sz w:val="18"/>
              </w:rPr>
              <w:t>otal</w:t>
            </w:r>
          </w:p>
        </w:tc>
      </w:tr>
      <w:tr>
        <w:trPr>
          <w:trHeight w:val="218" w:hRule="atLeast"/>
        </w:trPr>
        <w:tc>
          <w:tcPr>
            <w:tcW w:w="2801" w:type="dxa"/>
            <w:vMerge/>
            <w:tcBorders>
              <w:top w:val="nil"/>
            </w:tcBorders>
          </w:tcPr>
          <w:p>
            <w:pPr>
              <w:rPr>
                <w:sz w:val="2"/>
                <w:szCs w:val="2"/>
              </w:rPr>
            </w:pPr>
          </w:p>
        </w:tc>
        <w:tc>
          <w:tcPr>
            <w:tcW w:w="2191" w:type="dxa"/>
          </w:tcPr>
          <w:p>
            <w:pPr>
              <w:pStyle w:val="TableParagraph"/>
              <w:spacing w:line="190" w:lineRule="exact" w:before="8"/>
              <w:ind w:right="370"/>
              <w:jc w:val="right"/>
              <w:rPr>
                <w:b/>
                <w:sz w:val="18"/>
              </w:rPr>
            </w:pPr>
            <w:r>
              <w:rPr>
                <w:b/>
                <w:color w:val="232323"/>
                <w:w w:val="105"/>
                <w:sz w:val="18"/>
              </w:rPr>
              <w:t>£</w:t>
            </w:r>
            <w:r>
              <w:rPr>
                <w:b/>
                <w:color w:val="3D3D3D"/>
                <w:w w:val="105"/>
                <w:sz w:val="18"/>
              </w:rPr>
              <w:t>'</w:t>
            </w:r>
            <w:r>
              <w:rPr>
                <w:b/>
                <w:color w:val="151515"/>
                <w:w w:val="105"/>
                <w:sz w:val="18"/>
              </w:rPr>
              <w:t>000</w:t>
            </w:r>
          </w:p>
        </w:tc>
        <w:tc>
          <w:tcPr>
            <w:tcW w:w="1161" w:type="dxa"/>
          </w:tcPr>
          <w:p>
            <w:pPr>
              <w:pStyle w:val="TableParagraph"/>
              <w:spacing w:line="190" w:lineRule="exact" w:before="8"/>
              <w:ind w:left="194"/>
              <w:rPr>
                <w:b/>
                <w:sz w:val="18"/>
              </w:rPr>
            </w:pPr>
            <w:r>
              <w:rPr>
                <w:b/>
                <w:color w:val="3D3D3D"/>
                <w:w w:val="105"/>
                <w:sz w:val="18"/>
              </w:rPr>
              <w:t>£'</w:t>
            </w:r>
            <w:r>
              <w:rPr>
                <w:b/>
                <w:color w:val="232323"/>
                <w:w w:val="105"/>
                <w:sz w:val="18"/>
              </w:rPr>
              <w:t>000</w:t>
            </w:r>
          </w:p>
        </w:tc>
        <w:tc>
          <w:tcPr>
            <w:tcW w:w="783" w:type="dxa"/>
          </w:tcPr>
          <w:p>
            <w:pPr>
              <w:pStyle w:val="TableParagraph"/>
              <w:spacing w:line="190" w:lineRule="exact" w:before="8"/>
              <w:ind w:right="99"/>
              <w:jc w:val="right"/>
              <w:rPr>
                <w:b/>
                <w:sz w:val="18"/>
              </w:rPr>
            </w:pPr>
            <w:r>
              <w:rPr>
                <w:b/>
                <w:color w:val="232323"/>
                <w:w w:val="105"/>
                <w:sz w:val="18"/>
              </w:rPr>
              <w:t>£'000</w:t>
            </w:r>
          </w:p>
        </w:tc>
        <w:tc>
          <w:tcPr>
            <w:tcW w:w="861" w:type="dxa"/>
          </w:tcPr>
          <w:p>
            <w:pPr>
              <w:pStyle w:val="TableParagraph"/>
              <w:spacing w:line="190" w:lineRule="exact" w:before="8"/>
              <w:ind w:left="253"/>
              <w:rPr>
                <w:b/>
                <w:sz w:val="18"/>
              </w:rPr>
            </w:pPr>
            <w:r>
              <w:rPr>
                <w:b/>
                <w:color w:val="232323"/>
                <w:w w:val="110"/>
                <w:sz w:val="18"/>
              </w:rPr>
              <w:t>£</w:t>
            </w:r>
            <w:r>
              <w:rPr>
                <w:b/>
                <w:color w:val="3D3D3D"/>
                <w:w w:val="110"/>
                <w:sz w:val="18"/>
              </w:rPr>
              <w:t>'</w:t>
            </w:r>
            <w:r>
              <w:rPr>
                <w:b/>
                <w:color w:val="232323"/>
                <w:w w:val="110"/>
                <w:sz w:val="18"/>
              </w:rPr>
              <w:t>000</w:t>
            </w:r>
          </w:p>
        </w:tc>
        <w:tc>
          <w:tcPr>
            <w:tcW w:w="798" w:type="dxa"/>
          </w:tcPr>
          <w:p>
            <w:pPr>
              <w:pStyle w:val="TableParagraph"/>
              <w:spacing w:line="190" w:lineRule="exact" w:before="8"/>
              <w:ind w:right="113"/>
              <w:jc w:val="right"/>
              <w:rPr>
                <w:b/>
                <w:sz w:val="18"/>
              </w:rPr>
            </w:pPr>
            <w:r>
              <w:rPr>
                <w:b/>
                <w:color w:val="232323"/>
                <w:w w:val="105"/>
                <w:sz w:val="18"/>
              </w:rPr>
              <w:t>£</w:t>
            </w:r>
            <w:r>
              <w:rPr>
                <w:b/>
                <w:color w:val="3D3D3D"/>
                <w:w w:val="105"/>
                <w:sz w:val="18"/>
              </w:rPr>
              <w:t>'</w:t>
            </w:r>
            <w:r>
              <w:rPr>
                <w:b/>
                <w:color w:val="151515"/>
                <w:w w:val="105"/>
                <w:sz w:val="18"/>
              </w:rPr>
              <w:t>000</w:t>
            </w:r>
          </w:p>
        </w:tc>
      </w:tr>
      <w:tr>
        <w:trPr>
          <w:trHeight w:val="231" w:hRule="atLeast"/>
        </w:trPr>
        <w:tc>
          <w:tcPr>
            <w:tcW w:w="2801" w:type="dxa"/>
          </w:tcPr>
          <w:p>
            <w:pPr>
              <w:pStyle w:val="TableParagraph"/>
              <w:spacing w:before="1"/>
              <w:ind w:left="52"/>
              <w:rPr>
                <w:b/>
                <w:sz w:val="18"/>
              </w:rPr>
            </w:pPr>
            <w:r>
              <w:rPr>
                <w:b/>
                <w:color w:val="232323"/>
                <w:w w:val="110"/>
                <w:sz w:val="18"/>
              </w:rPr>
              <w:t>Mini</w:t>
            </w:r>
            <w:r>
              <w:rPr>
                <w:b/>
                <w:color w:val="3D3D3D"/>
                <w:w w:val="110"/>
                <w:sz w:val="18"/>
              </w:rPr>
              <w:t>s</w:t>
            </w:r>
            <w:r>
              <w:rPr>
                <w:b/>
                <w:color w:val="232323"/>
                <w:w w:val="110"/>
                <w:sz w:val="18"/>
              </w:rPr>
              <w:t>tr</w:t>
            </w:r>
            <w:r>
              <w:rPr>
                <w:b/>
                <w:color w:val="3D3D3D"/>
                <w:w w:val="110"/>
                <w:sz w:val="18"/>
              </w:rPr>
              <w:t>y</w:t>
            </w:r>
          </w:p>
        </w:tc>
        <w:tc>
          <w:tcPr>
            <w:tcW w:w="2191" w:type="dxa"/>
          </w:tcPr>
          <w:p>
            <w:pPr>
              <w:pStyle w:val="TableParagraph"/>
              <w:spacing w:line="209" w:lineRule="exact" w:before="3"/>
              <w:ind w:right="405"/>
              <w:jc w:val="right"/>
              <w:rPr>
                <w:rFonts w:ascii="Courier New"/>
                <w:sz w:val="20"/>
              </w:rPr>
            </w:pPr>
            <w:r>
              <w:rPr>
                <w:rFonts w:ascii="Courier New"/>
                <w:color w:val="3D3D3D"/>
                <w:spacing w:val="-1"/>
                <w:w w:val="108"/>
                <w:sz w:val="20"/>
              </w:rPr>
              <w:t>1</w:t>
            </w:r>
            <w:r>
              <w:rPr>
                <w:rFonts w:ascii="Courier New"/>
                <w:color w:val="3D3D3D"/>
                <w:spacing w:val="-20"/>
                <w:w w:val="108"/>
                <w:sz w:val="20"/>
              </w:rPr>
              <w:t>7</w:t>
            </w:r>
            <w:r>
              <w:rPr>
                <w:rFonts w:ascii="Courier New"/>
                <w:color w:val="232323"/>
                <w:spacing w:val="-102"/>
                <w:w w:val="100"/>
                <w:sz w:val="20"/>
              </w:rPr>
              <w:t>1</w:t>
            </w:r>
            <w:r>
              <w:rPr>
                <w:rFonts w:ascii="Courier New"/>
                <w:color w:val="3D3D3D"/>
                <w:spacing w:val="-68"/>
                <w:w w:val="108"/>
                <w:sz w:val="20"/>
              </w:rPr>
              <w:t>,</w:t>
            </w:r>
            <w:r>
              <w:rPr>
                <w:rFonts w:ascii="Courier New"/>
                <w:color w:val="3D3D3D"/>
                <w:spacing w:val="-1"/>
                <w:w w:val="100"/>
                <w:sz w:val="20"/>
              </w:rPr>
              <w:t>95</w:t>
            </w:r>
          </w:p>
        </w:tc>
        <w:tc>
          <w:tcPr>
            <w:tcW w:w="1161" w:type="dxa"/>
          </w:tcPr>
          <w:p>
            <w:pPr>
              <w:pStyle w:val="TableParagraph"/>
              <w:spacing w:line="209" w:lineRule="exact" w:before="3"/>
              <w:ind w:left="136"/>
              <w:rPr>
                <w:rFonts w:ascii="Courier New"/>
                <w:sz w:val="20"/>
              </w:rPr>
            </w:pPr>
            <w:r>
              <w:rPr>
                <w:rFonts w:ascii="Courier New"/>
                <w:color w:val="232323"/>
                <w:spacing w:val="-51"/>
                <w:w w:val="100"/>
                <w:sz w:val="20"/>
              </w:rPr>
              <w:t>1</w:t>
            </w:r>
            <w:r>
              <w:rPr>
                <w:rFonts w:ascii="Courier New"/>
                <w:color w:val="3D3D3D"/>
                <w:spacing w:val="-1"/>
                <w:w w:val="100"/>
                <w:sz w:val="20"/>
              </w:rPr>
              <w:t>,</w:t>
            </w:r>
            <w:r>
              <w:rPr>
                <w:rFonts w:ascii="Courier New"/>
                <w:color w:val="3D3D3D"/>
                <w:spacing w:val="-90"/>
                <w:w w:val="100"/>
                <w:sz w:val="20"/>
              </w:rPr>
              <w:t>0</w:t>
            </w:r>
            <w:r>
              <w:rPr>
                <w:rFonts w:ascii="Courier New"/>
                <w:color w:val="232323"/>
                <w:spacing w:val="-33"/>
                <w:w w:val="100"/>
                <w:sz w:val="20"/>
              </w:rPr>
              <w:t>0</w:t>
            </w:r>
            <w:r>
              <w:rPr>
                <w:rFonts w:ascii="Courier New"/>
                <w:color w:val="3D3D3D"/>
                <w:w w:val="100"/>
                <w:sz w:val="20"/>
              </w:rPr>
              <w:t>4</w:t>
            </w:r>
          </w:p>
        </w:tc>
        <w:tc>
          <w:tcPr>
            <w:tcW w:w="783" w:type="dxa"/>
          </w:tcPr>
          <w:p>
            <w:pPr>
              <w:pStyle w:val="TableParagraph"/>
              <w:spacing w:line="209" w:lineRule="exact" w:before="3"/>
              <w:ind w:right="152"/>
              <w:jc w:val="right"/>
              <w:rPr>
                <w:rFonts w:ascii="Courier New"/>
                <w:sz w:val="20"/>
              </w:rPr>
            </w:pPr>
            <w:r>
              <w:rPr>
                <w:rFonts w:ascii="Courier New"/>
                <w:color w:val="3D3D3D"/>
                <w:w w:val="90"/>
                <w:sz w:val="20"/>
              </w:rPr>
              <w:t>970</w:t>
            </w:r>
          </w:p>
        </w:tc>
        <w:tc>
          <w:tcPr>
            <w:tcW w:w="861" w:type="dxa"/>
          </w:tcPr>
          <w:p>
            <w:pPr>
              <w:pStyle w:val="TableParagraph"/>
              <w:spacing w:line="209" w:lineRule="exact" w:before="3"/>
              <w:ind w:left="99"/>
              <w:rPr>
                <w:rFonts w:ascii="Courier New"/>
                <w:sz w:val="20"/>
              </w:rPr>
            </w:pPr>
            <w:r>
              <w:rPr>
                <w:rFonts w:ascii="Courier New"/>
                <w:color w:val="232323"/>
                <w:sz w:val="20"/>
              </w:rPr>
              <w:t>1</w:t>
            </w:r>
            <w:r>
              <w:rPr>
                <w:rFonts w:ascii="Courier New"/>
                <w:color w:val="3D3D3D"/>
                <w:sz w:val="20"/>
              </w:rPr>
              <w:t>9,169</w:t>
            </w:r>
          </w:p>
        </w:tc>
        <w:tc>
          <w:tcPr>
            <w:tcW w:w="798" w:type="dxa"/>
          </w:tcPr>
          <w:p>
            <w:pPr>
              <w:pStyle w:val="TableParagraph"/>
              <w:spacing w:line="209" w:lineRule="exact" w:before="3"/>
              <w:ind w:right="168"/>
              <w:jc w:val="right"/>
              <w:rPr>
                <w:rFonts w:ascii="Courier New"/>
                <w:sz w:val="20"/>
              </w:rPr>
            </w:pPr>
            <w:r>
              <w:rPr>
                <w:rFonts w:ascii="Courier New"/>
                <w:color w:val="3D3D3D"/>
                <w:w w:val="75"/>
                <w:sz w:val="20"/>
              </w:rPr>
              <w:t>18,250</w:t>
            </w:r>
          </w:p>
        </w:tc>
      </w:tr>
      <w:tr>
        <w:trPr>
          <w:trHeight w:val="230" w:hRule="atLeast"/>
        </w:trPr>
        <w:tc>
          <w:tcPr>
            <w:tcW w:w="2801" w:type="dxa"/>
          </w:tcPr>
          <w:p>
            <w:pPr>
              <w:pStyle w:val="TableParagraph"/>
              <w:ind w:left="50"/>
              <w:rPr>
                <w:b/>
                <w:sz w:val="18"/>
              </w:rPr>
            </w:pPr>
            <w:r>
              <w:rPr>
                <w:b/>
                <w:color w:val="151515"/>
                <w:w w:val="85"/>
                <w:sz w:val="18"/>
              </w:rPr>
              <w:t>Tra </w:t>
            </w:r>
            <w:r>
              <w:rPr>
                <w:b/>
                <w:color w:val="3D3D3D"/>
                <w:w w:val="85"/>
                <w:sz w:val="18"/>
              </w:rPr>
              <w:t>i</w:t>
            </w:r>
            <w:r>
              <w:rPr>
                <w:b/>
                <w:color w:val="151515"/>
                <w:w w:val="85"/>
                <w:sz w:val="18"/>
              </w:rPr>
              <w:t>ning</w:t>
            </w:r>
          </w:p>
        </w:tc>
        <w:tc>
          <w:tcPr>
            <w:tcW w:w="2191" w:type="dxa"/>
          </w:tcPr>
          <w:p>
            <w:pPr>
              <w:pStyle w:val="TableParagraph"/>
              <w:spacing w:line="209" w:lineRule="exact" w:before="2"/>
              <w:ind w:right="374"/>
              <w:jc w:val="right"/>
              <w:rPr>
                <w:rFonts w:ascii="Courier New"/>
                <w:sz w:val="20"/>
              </w:rPr>
            </w:pPr>
            <w:r>
              <w:rPr>
                <w:rFonts w:ascii="Courier New"/>
                <w:color w:val="151515"/>
                <w:w w:val="85"/>
                <w:sz w:val="20"/>
              </w:rPr>
              <w:t>1</w:t>
            </w:r>
            <w:r>
              <w:rPr>
                <w:rFonts w:ascii="Courier New"/>
                <w:color w:val="3D3D3D"/>
                <w:w w:val="85"/>
                <w:sz w:val="20"/>
              </w:rPr>
              <w:t>,452</w:t>
            </w:r>
          </w:p>
        </w:tc>
        <w:tc>
          <w:tcPr>
            <w:tcW w:w="1161" w:type="dxa"/>
          </w:tcPr>
          <w:p>
            <w:pPr>
              <w:pStyle w:val="TableParagraph"/>
              <w:spacing w:line="209" w:lineRule="exact" w:before="2"/>
              <w:ind w:left="262"/>
              <w:rPr>
                <w:rFonts w:ascii="Courier New"/>
                <w:sz w:val="20"/>
              </w:rPr>
            </w:pPr>
            <w:r>
              <w:rPr>
                <w:rFonts w:ascii="Courier New"/>
                <w:color w:val="232323"/>
                <w:w w:val="95"/>
                <w:sz w:val="20"/>
              </w:rPr>
              <w:t>4</w:t>
            </w:r>
            <w:r>
              <w:rPr>
                <w:rFonts w:ascii="Courier New"/>
                <w:color w:val="3D3D3D"/>
                <w:w w:val="95"/>
                <w:sz w:val="20"/>
              </w:rPr>
              <w:t>75</w:t>
            </w:r>
          </w:p>
        </w:tc>
        <w:tc>
          <w:tcPr>
            <w:tcW w:w="783" w:type="dxa"/>
          </w:tcPr>
          <w:p>
            <w:pPr>
              <w:pStyle w:val="TableParagraph"/>
              <w:spacing w:line="209" w:lineRule="exact" w:before="2"/>
              <w:ind w:right="154"/>
              <w:jc w:val="right"/>
              <w:rPr>
                <w:rFonts w:ascii="Courier New"/>
                <w:sz w:val="20"/>
              </w:rPr>
            </w:pPr>
            <w:r>
              <w:rPr>
                <w:rFonts w:ascii="Courier New"/>
                <w:color w:val="3D3D3D"/>
                <w:w w:val="80"/>
                <w:sz w:val="20"/>
              </w:rPr>
              <w:t>122</w:t>
            </w:r>
          </w:p>
        </w:tc>
        <w:tc>
          <w:tcPr>
            <w:tcW w:w="861" w:type="dxa"/>
          </w:tcPr>
          <w:p>
            <w:pPr>
              <w:pStyle w:val="TableParagraph"/>
              <w:spacing w:line="209" w:lineRule="exact" w:before="2"/>
              <w:ind w:left="181"/>
              <w:rPr>
                <w:rFonts w:ascii="Courier New"/>
                <w:sz w:val="20"/>
              </w:rPr>
            </w:pPr>
            <w:r>
              <w:rPr>
                <w:rFonts w:ascii="Courier New"/>
                <w:color w:val="3D3D3D"/>
                <w:w w:val="95"/>
                <w:sz w:val="20"/>
              </w:rPr>
              <w:t>2,0</w:t>
            </w:r>
            <w:r>
              <w:rPr>
                <w:rFonts w:ascii="Courier New"/>
                <w:color w:val="232323"/>
                <w:w w:val="95"/>
                <w:sz w:val="20"/>
              </w:rPr>
              <w:t>4</w:t>
            </w:r>
            <w:r>
              <w:rPr>
                <w:rFonts w:ascii="Courier New"/>
                <w:color w:val="3D3D3D"/>
                <w:w w:val="95"/>
                <w:sz w:val="20"/>
              </w:rPr>
              <w:t>9</w:t>
            </w:r>
          </w:p>
        </w:tc>
        <w:tc>
          <w:tcPr>
            <w:tcW w:w="798" w:type="dxa"/>
          </w:tcPr>
          <w:p>
            <w:pPr>
              <w:pStyle w:val="TableParagraph"/>
              <w:spacing w:line="209" w:lineRule="exact" w:before="2"/>
              <w:ind w:left="168"/>
              <w:rPr>
                <w:rFonts w:ascii="Courier New"/>
                <w:sz w:val="20"/>
              </w:rPr>
            </w:pPr>
            <w:r>
              <w:rPr>
                <w:rFonts w:ascii="Courier New"/>
                <w:color w:val="3D3D3D"/>
                <w:w w:val="90"/>
                <w:sz w:val="20"/>
              </w:rPr>
              <w:t>2,</w:t>
            </w:r>
            <w:r>
              <w:rPr>
                <w:rFonts w:ascii="Courier New"/>
                <w:color w:val="232323"/>
                <w:w w:val="90"/>
                <w:sz w:val="20"/>
              </w:rPr>
              <w:t>ll</w:t>
            </w:r>
            <w:r>
              <w:rPr>
                <w:rFonts w:ascii="Courier New"/>
                <w:color w:val="3D3D3D"/>
                <w:w w:val="90"/>
                <w:sz w:val="20"/>
              </w:rPr>
              <w:t>3</w:t>
            </w:r>
          </w:p>
        </w:tc>
      </w:tr>
      <w:tr>
        <w:trPr>
          <w:trHeight w:val="226" w:hRule="atLeast"/>
        </w:trPr>
        <w:tc>
          <w:tcPr>
            <w:tcW w:w="2801" w:type="dxa"/>
          </w:tcPr>
          <w:p>
            <w:pPr>
              <w:pStyle w:val="TableParagraph"/>
              <w:spacing w:line="205" w:lineRule="exact"/>
              <w:ind w:left="52"/>
              <w:rPr>
                <w:b/>
                <w:sz w:val="18"/>
              </w:rPr>
            </w:pPr>
            <w:r>
              <w:rPr>
                <w:b/>
                <w:color w:val="232323"/>
                <w:w w:val="90"/>
                <w:sz w:val="18"/>
              </w:rPr>
              <w:t>Mis </w:t>
            </w:r>
            <w:r>
              <w:rPr>
                <w:b/>
                <w:color w:val="3D3D3D"/>
                <w:w w:val="90"/>
                <w:sz w:val="18"/>
              </w:rPr>
              <w:t>s </w:t>
            </w:r>
            <w:r>
              <w:rPr>
                <w:b/>
                <w:color w:val="151515"/>
                <w:w w:val="90"/>
                <w:sz w:val="18"/>
              </w:rPr>
              <w:t>ion</w:t>
            </w:r>
          </w:p>
        </w:tc>
        <w:tc>
          <w:tcPr>
            <w:tcW w:w="2191" w:type="dxa"/>
          </w:tcPr>
          <w:p>
            <w:pPr>
              <w:pStyle w:val="TableParagraph"/>
              <w:spacing w:line="204" w:lineRule="exact" w:before="2"/>
              <w:ind w:right="427"/>
              <w:jc w:val="right"/>
              <w:rPr>
                <w:rFonts w:ascii="Courier New"/>
                <w:sz w:val="20"/>
              </w:rPr>
            </w:pPr>
            <w:r>
              <w:rPr>
                <w:rFonts w:ascii="Courier New"/>
                <w:color w:val="151515"/>
                <w:w w:val="90"/>
                <w:sz w:val="20"/>
              </w:rPr>
              <w:t>1</w:t>
            </w:r>
            <w:r>
              <w:rPr>
                <w:rFonts w:ascii="Courier New"/>
                <w:color w:val="3D3D3D"/>
                <w:w w:val="90"/>
                <w:sz w:val="20"/>
              </w:rPr>
              <w:t>,613</w:t>
            </w:r>
          </w:p>
        </w:tc>
        <w:tc>
          <w:tcPr>
            <w:tcW w:w="1161" w:type="dxa"/>
          </w:tcPr>
          <w:p>
            <w:pPr>
              <w:pStyle w:val="TableParagraph"/>
              <w:spacing w:line="204" w:lineRule="exact" w:before="2"/>
              <w:ind w:left="136"/>
              <w:rPr>
                <w:rFonts w:ascii="Courier New"/>
                <w:sz w:val="20"/>
              </w:rPr>
            </w:pPr>
            <w:r>
              <w:rPr>
                <w:rFonts w:ascii="Courier New"/>
                <w:color w:val="3D3D3D"/>
                <w:w w:val="95"/>
                <w:sz w:val="20"/>
              </w:rPr>
              <w:t>1</w:t>
            </w:r>
            <w:r>
              <w:rPr>
                <w:rFonts w:ascii="Courier New"/>
                <w:color w:val="5D5D5D"/>
                <w:w w:val="95"/>
                <w:sz w:val="20"/>
              </w:rPr>
              <w:t>,</w:t>
            </w:r>
            <w:r>
              <w:rPr>
                <w:rFonts w:ascii="Courier New"/>
                <w:color w:val="3D3D3D"/>
                <w:w w:val="95"/>
                <w:sz w:val="20"/>
              </w:rPr>
              <w:t>041</w:t>
            </w:r>
          </w:p>
        </w:tc>
        <w:tc>
          <w:tcPr>
            <w:tcW w:w="783" w:type="dxa"/>
          </w:tcPr>
          <w:p>
            <w:pPr>
              <w:pStyle w:val="TableParagraph"/>
              <w:spacing w:line="204" w:lineRule="exact" w:before="2"/>
              <w:ind w:right="156"/>
              <w:jc w:val="right"/>
              <w:rPr>
                <w:rFonts w:ascii="Courier New"/>
                <w:sz w:val="20"/>
              </w:rPr>
            </w:pPr>
            <w:r>
              <w:rPr>
                <w:rFonts w:ascii="Courier New"/>
                <w:color w:val="3D3D3D"/>
                <w:w w:val="85"/>
                <w:sz w:val="20"/>
              </w:rPr>
              <w:t>190</w:t>
            </w:r>
          </w:p>
        </w:tc>
        <w:tc>
          <w:tcPr>
            <w:tcW w:w="861" w:type="dxa"/>
          </w:tcPr>
          <w:p>
            <w:pPr>
              <w:pStyle w:val="TableParagraph"/>
              <w:spacing w:line="204" w:lineRule="exact" w:before="2"/>
              <w:ind w:left="181"/>
              <w:rPr>
                <w:rFonts w:ascii="Courier New"/>
                <w:sz w:val="20"/>
              </w:rPr>
            </w:pPr>
            <w:r>
              <w:rPr>
                <w:rFonts w:ascii="Courier New"/>
                <w:color w:val="3D3D3D"/>
                <w:sz w:val="20"/>
              </w:rPr>
              <w:t>2</w:t>
            </w:r>
            <w:r>
              <w:rPr>
                <w:rFonts w:ascii="Courier New"/>
                <w:color w:val="5D5D5D"/>
                <w:sz w:val="20"/>
              </w:rPr>
              <w:t>,</w:t>
            </w:r>
            <w:r>
              <w:rPr>
                <w:rFonts w:ascii="Courier New"/>
                <w:color w:val="3D3D3D"/>
                <w:sz w:val="20"/>
              </w:rPr>
              <w:t>844</w:t>
            </w:r>
          </w:p>
        </w:tc>
        <w:tc>
          <w:tcPr>
            <w:tcW w:w="798" w:type="dxa"/>
          </w:tcPr>
          <w:p>
            <w:pPr>
              <w:pStyle w:val="TableParagraph"/>
              <w:spacing w:line="204" w:lineRule="exact" w:before="2"/>
              <w:ind w:right="158"/>
              <w:jc w:val="right"/>
              <w:rPr>
                <w:rFonts w:ascii="Courier New"/>
                <w:sz w:val="20"/>
              </w:rPr>
            </w:pPr>
            <w:r>
              <w:rPr>
                <w:rFonts w:ascii="Courier New"/>
                <w:color w:val="3D3D3D"/>
                <w:w w:val="95"/>
                <w:sz w:val="20"/>
              </w:rPr>
              <w:t>2</w:t>
            </w:r>
            <w:r>
              <w:rPr>
                <w:rFonts w:ascii="Courier New"/>
                <w:color w:val="5D5D5D"/>
                <w:w w:val="95"/>
                <w:sz w:val="20"/>
              </w:rPr>
              <w:t>,</w:t>
            </w:r>
            <w:r>
              <w:rPr>
                <w:rFonts w:ascii="Courier New"/>
                <w:color w:val="232323"/>
                <w:w w:val="95"/>
                <w:sz w:val="20"/>
              </w:rPr>
              <w:t>7</w:t>
            </w:r>
            <w:r>
              <w:rPr>
                <w:rFonts w:ascii="Courier New"/>
                <w:color w:val="3D3D3D"/>
                <w:w w:val="95"/>
                <w:sz w:val="20"/>
              </w:rPr>
              <w:t>33</w:t>
            </w:r>
          </w:p>
        </w:tc>
      </w:tr>
      <w:tr>
        <w:trPr>
          <w:trHeight w:val="423" w:hRule="atLeast"/>
        </w:trPr>
        <w:tc>
          <w:tcPr>
            <w:tcW w:w="2801" w:type="dxa"/>
          </w:tcPr>
          <w:p>
            <w:pPr>
              <w:pStyle w:val="TableParagraph"/>
              <w:spacing w:before="5"/>
              <w:ind w:left="52"/>
              <w:rPr>
                <w:b/>
                <w:sz w:val="18"/>
              </w:rPr>
            </w:pPr>
            <w:r>
              <w:rPr>
                <w:b/>
                <w:color w:val="3D3D3D"/>
                <w:w w:val="105"/>
                <w:sz w:val="18"/>
              </w:rPr>
              <w:t>E</w:t>
            </w:r>
            <w:r>
              <w:rPr>
                <w:b/>
                <w:color w:val="151515"/>
                <w:w w:val="105"/>
                <w:sz w:val="18"/>
              </w:rPr>
              <w:t>ditori</w:t>
            </w:r>
            <w:r>
              <w:rPr>
                <w:b/>
                <w:color w:val="3D3D3D"/>
                <w:w w:val="105"/>
                <w:sz w:val="18"/>
              </w:rPr>
              <w:t>a</w:t>
            </w:r>
            <w:r>
              <w:rPr>
                <w:b/>
                <w:color w:val="151515"/>
                <w:w w:val="105"/>
                <w:sz w:val="18"/>
              </w:rPr>
              <w:t>l </w:t>
            </w:r>
            <w:r>
              <w:rPr>
                <w:b/>
                <w:color w:val="3D3D3D"/>
                <w:w w:val="105"/>
                <w:sz w:val="18"/>
              </w:rPr>
              <w:t>a</w:t>
            </w:r>
            <w:r>
              <w:rPr>
                <w:b/>
                <w:color w:val="232323"/>
                <w:w w:val="105"/>
                <w:sz w:val="18"/>
              </w:rPr>
              <w:t>nd bookshop</w:t>
            </w:r>
          </w:p>
        </w:tc>
        <w:tc>
          <w:tcPr>
            <w:tcW w:w="2191" w:type="dxa"/>
            <w:tcBorders>
              <w:bottom w:val="single" w:sz="8" w:space="0" w:color="000000"/>
            </w:tcBorders>
          </w:tcPr>
          <w:p>
            <w:pPr>
              <w:pStyle w:val="TableParagraph"/>
              <w:spacing w:line="224" w:lineRule="exact"/>
              <w:ind w:right="415"/>
              <w:jc w:val="right"/>
              <w:rPr>
                <w:rFonts w:ascii="Courier New"/>
                <w:sz w:val="20"/>
              </w:rPr>
            </w:pPr>
            <w:r>
              <w:rPr>
                <w:rFonts w:ascii="Courier New"/>
                <w:color w:val="3D3D3D"/>
                <w:w w:val="85"/>
                <w:sz w:val="20"/>
              </w:rPr>
              <w:t>467</w:t>
            </w:r>
          </w:p>
        </w:tc>
        <w:tc>
          <w:tcPr>
            <w:tcW w:w="1161" w:type="dxa"/>
            <w:tcBorders>
              <w:bottom w:val="single" w:sz="8" w:space="0" w:color="000000"/>
            </w:tcBorders>
          </w:tcPr>
          <w:p>
            <w:pPr>
              <w:pStyle w:val="TableParagraph"/>
              <w:rPr>
                <w:sz w:val="18"/>
              </w:rPr>
            </w:pPr>
          </w:p>
        </w:tc>
        <w:tc>
          <w:tcPr>
            <w:tcW w:w="783" w:type="dxa"/>
            <w:tcBorders>
              <w:bottom w:val="single" w:sz="8" w:space="0" w:color="000000"/>
            </w:tcBorders>
          </w:tcPr>
          <w:p>
            <w:pPr>
              <w:pStyle w:val="TableParagraph"/>
              <w:spacing w:line="224" w:lineRule="exact"/>
              <w:ind w:right="162"/>
              <w:jc w:val="right"/>
              <w:rPr>
                <w:rFonts w:ascii="Courier New"/>
                <w:sz w:val="20"/>
              </w:rPr>
            </w:pPr>
            <w:r>
              <w:rPr>
                <w:rFonts w:ascii="Courier New"/>
                <w:color w:val="3D3D3D"/>
                <w:w w:val="85"/>
                <w:sz w:val="20"/>
              </w:rPr>
              <w:t>55</w:t>
            </w:r>
          </w:p>
        </w:tc>
        <w:tc>
          <w:tcPr>
            <w:tcW w:w="861" w:type="dxa"/>
            <w:tcBorders>
              <w:bottom w:val="single" w:sz="8" w:space="0" w:color="000000"/>
            </w:tcBorders>
          </w:tcPr>
          <w:p>
            <w:pPr>
              <w:pStyle w:val="TableParagraph"/>
              <w:spacing w:line="224" w:lineRule="exact"/>
              <w:ind w:left="323"/>
              <w:rPr>
                <w:rFonts w:ascii="Courier New"/>
                <w:sz w:val="20"/>
              </w:rPr>
            </w:pPr>
            <w:r>
              <w:rPr>
                <w:rFonts w:ascii="Courier New"/>
                <w:color w:val="3D3D3D"/>
                <w:sz w:val="20"/>
              </w:rPr>
              <w:t>522</w:t>
            </w:r>
          </w:p>
        </w:tc>
        <w:tc>
          <w:tcPr>
            <w:tcW w:w="798" w:type="dxa"/>
            <w:tcBorders>
              <w:bottom w:val="single" w:sz="8" w:space="0" w:color="000000"/>
            </w:tcBorders>
          </w:tcPr>
          <w:p>
            <w:pPr>
              <w:pStyle w:val="TableParagraph"/>
              <w:spacing w:line="224" w:lineRule="exact"/>
              <w:ind w:right="155"/>
              <w:jc w:val="right"/>
              <w:rPr>
                <w:rFonts w:ascii="Courier New"/>
                <w:sz w:val="20"/>
              </w:rPr>
            </w:pPr>
            <w:r>
              <w:rPr>
                <w:rFonts w:ascii="Courier New"/>
                <w:color w:val="3D3D3D"/>
                <w:w w:val="90"/>
                <w:sz w:val="20"/>
              </w:rPr>
              <w:t>470</w:t>
            </w:r>
          </w:p>
        </w:tc>
      </w:tr>
      <w:tr>
        <w:trPr>
          <w:trHeight w:val="242" w:hRule="atLeast"/>
        </w:trPr>
        <w:tc>
          <w:tcPr>
            <w:tcW w:w="4992" w:type="dxa"/>
            <w:gridSpan w:val="2"/>
          </w:tcPr>
          <w:p>
            <w:pPr>
              <w:pStyle w:val="TableParagraph"/>
              <w:tabs>
                <w:tab w:pos="464" w:val="left" w:leader="none"/>
                <w:tab w:pos="1430" w:val="left" w:leader="none"/>
              </w:tabs>
              <w:spacing w:line="207" w:lineRule="exact" w:before="6"/>
              <w:ind w:right="7"/>
              <w:jc w:val="right"/>
              <w:rPr>
                <w:rFonts w:ascii="Courier New"/>
                <w:sz w:val="20"/>
              </w:rPr>
            </w:pPr>
            <w:r>
              <w:rPr>
                <w:rFonts w:ascii="Courier New"/>
                <w:color w:val="3D3D3D"/>
                <w:w w:val="100"/>
                <w:sz w:val="20"/>
                <w:u w:val="single" w:color="000000"/>
              </w:rPr>
              <w:t> </w:t>
            </w:r>
            <w:r>
              <w:rPr>
                <w:rFonts w:ascii="Courier New"/>
                <w:color w:val="3D3D3D"/>
                <w:sz w:val="20"/>
                <w:u w:val="single" w:color="000000"/>
              </w:rPr>
              <w:tab/>
            </w:r>
            <w:r>
              <w:rPr>
                <w:rFonts w:ascii="Courier New"/>
                <w:color w:val="3D3D3D"/>
                <w:w w:val="85"/>
                <w:sz w:val="20"/>
                <w:u w:val="single" w:color="000000"/>
              </w:rPr>
              <w:t>20,727</w:t>
            </w:r>
            <w:r>
              <w:rPr>
                <w:rFonts w:ascii="Courier New"/>
                <w:color w:val="3D3D3D"/>
                <w:sz w:val="20"/>
                <w:u w:val="single" w:color="000000"/>
              </w:rPr>
              <w:tab/>
            </w:r>
          </w:p>
        </w:tc>
        <w:tc>
          <w:tcPr>
            <w:tcW w:w="1161" w:type="dxa"/>
          </w:tcPr>
          <w:p>
            <w:pPr>
              <w:pStyle w:val="TableParagraph"/>
              <w:tabs>
                <w:tab w:pos="1141" w:val="left" w:leader="none"/>
              </w:tabs>
              <w:spacing w:line="207" w:lineRule="exact" w:before="6"/>
              <w:ind w:left="122"/>
              <w:rPr>
                <w:rFonts w:ascii="Courier New"/>
                <w:sz w:val="20"/>
              </w:rPr>
            </w:pPr>
            <w:r>
              <w:rPr>
                <w:rFonts w:ascii="Courier New"/>
                <w:color w:val="3D3D3D"/>
                <w:w w:val="85"/>
                <w:sz w:val="20"/>
                <w:u w:val="single" w:color="000000"/>
              </w:rPr>
              <w:t>2,520</w:t>
            </w:r>
            <w:r>
              <w:rPr>
                <w:rFonts w:ascii="Courier New"/>
                <w:color w:val="3D3D3D"/>
                <w:sz w:val="20"/>
                <w:u w:val="single" w:color="000000"/>
              </w:rPr>
              <w:tab/>
            </w:r>
          </w:p>
        </w:tc>
        <w:tc>
          <w:tcPr>
            <w:tcW w:w="2442" w:type="dxa"/>
            <w:gridSpan w:val="3"/>
          </w:tcPr>
          <w:p>
            <w:pPr>
              <w:pStyle w:val="TableParagraph"/>
              <w:tabs>
                <w:tab w:pos="1644" w:val="left" w:leader="none"/>
              </w:tabs>
              <w:spacing w:line="207" w:lineRule="exact" w:before="6"/>
              <w:ind w:left="169"/>
              <w:rPr>
                <w:rFonts w:ascii="Courier New"/>
                <w:sz w:val="20"/>
              </w:rPr>
            </w:pPr>
            <w:r>
              <w:rPr>
                <w:rFonts w:ascii="Courier New"/>
                <w:color w:val="3D3D3D"/>
                <w:w w:val="85"/>
                <w:sz w:val="20"/>
                <w:u w:val="single" w:color="000000"/>
              </w:rPr>
              <w:t>1,337</w:t>
            </w:r>
            <w:r>
              <w:rPr>
                <w:rFonts w:ascii="Courier New"/>
                <w:color w:val="3D3D3D"/>
                <w:spacing w:val="57"/>
                <w:w w:val="85"/>
                <w:sz w:val="20"/>
              </w:rPr>
              <w:t> </w:t>
            </w:r>
            <w:r>
              <w:rPr>
                <w:rFonts w:ascii="Courier New"/>
                <w:color w:val="3D3D3D"/>
                <w:w w:val="85"/>
                <w:sz w:val="20"/>
                <w:u w:val="single" w:color="000000"/>
              </w:rPr>
              <w:t>24,584</w:t>
              <w:tab/>
              <w:t>23,566</w:t>
            </w:r>
            <w:r>
              <w:rPr>
                <w:rFonts w:ascii="Courier New"/>
                <w:color w:val="3D3D3D"/>
                <w:spacing w:val="13"/>
                <w:sz w:val="20"/>
                <w:u w:val="single" w:color="000000"/>
              </w:rPr>
              <w:t> </w:t>
            </w:r>
          </w:p>
        </w:tc>
      </w:tr>
    </w:tbl>
    <w:p>
      <w:pPr>
        <w:pStyle w:val="BodyText"/>
        <w:spacing w:before="3"/>
        <w:rPr>
          <w:rFonts w:ascii="Times New Roman"/>
          <w:sz w:val="20"/>
        </w:rPr>
      </w:pPr>
    </w:p>
    <w:p>
      <w:pPr>
        <w:pStyle w:val="ListParagraph"/>
        <w:numPr>
          <w:ilvl w:val="0"/>
          <w:numId w:val="218"/>
        </w:numPr>
        <w:tabs>
          <w:tab w:pos="1296" w:val="left" w:leader="none"/>
        </w:tabs>
        <w:spacing w:line="244" w:lineRule="auto" w:before="0" w:after="0"/>
        <w:ind w:left="1033" w:right="1427" w:hanging="1"/>
        <w:jc w:val="left"/>
        <w:rPr>
          <w:rFonts w:ascii="Times New Roman"/>
          <w:sz w:val="18"/>
        </w:rPr>
      </w:pPr>
      <w:r>
        <w:rPr>
          <w:rFonts w:ascii="Times New Roman"/>
          <w:color w:val="3D3D3D"/>
          <w:w w:val="105"/>
          <w:sz w:val="18"/>
        </w:rPr>
        <w:t>The</w:t>
      </w:r>
      <w:r>
        <w:rPr>
          <w:rFonts w:ascii="Times New Roman"/>
          <w:color w:val="3D3D3D"/>
          <w:spacing w:val="44"/>
          <w:w w:val="105"/>
          <w:sz w:val="18"/>
        </w:rPr>
        <w:t> </w:t>
      </w:r>
      <w:r>
        <w:rPr>
          <w:rFonts w:ascii="Times New Roman"/>
          <w:color w:val="3D3D3D"/>
          <w:w w:val="105"/>
          <w:sz w:val="18"/>
        </w:rPr>
        <w:t>amounts</w:t>
      </w:r>
      <w:r>
        <w:rPr>
          <w:rFonts w:ascii="Times New Roman"/>
          <w:color w:val="3D3D3D"/>
          <w:spacing w:val="-13"/>
          <w:w w:val="105"/>
          <w:sz w:val="18"/>
        </w:rPr>
        <w:t> </w:t>
      </w:r>
      <w:r>
        <w:rPr>
          <w:rFonts w:ascii="Times New Roman"/>
          <w:color w:val="3D3D3D"/>
          <w:w w:val="105"/>
          <w:sz w:val="18"/>
        </w:rPr>
        <w:t>spent</w:t>
      </w:r>
      <w:r>
        <w:rPr>
          <w:rFonts w:ascii="Times New Roman"/>
          <w:color w:val="3D3D3D"/>
          <w:spacing w:val="-9"/>
          <w:w w:val="105"/>
          <w:sz w:val="18"/>
        </w:rPr>
        <w:t> </w:t>
      </w:r>
      <w:r>
        <w:rPr>
          <w:rFonts w:ascii="Times New Roman"/>
          <w:color w:val="3D3D3D"/>
          <w:w w:val="105"/>
          <w:sz w:val="18"/>
        </w:rPr>
        <w:t>on</w:t>
      </w:r>
      <w:r>
        <w:rPr>
          <w:rFonts w:ascii="Times New Roman"/>
          <w:color w:val="3D3D3D"/>
          <w:spacing w:val="-12"/>
          <w:w w:val="105"/>
          <w:sz w:val="18"/>
        </w:rPr>
        <w:t> </w:t>
      </w:r>
      <w:r>
        <w:rPr>
          <w:rFonts w:ascii="Times New Roman"/>
          <w:color w:val="3D3D3D"/>
          <w:spacing w:val="-3"/>
          <w:w w:val="105"/>
          <w:sz w:val="18"/>
        </w:rPr>
        <w:t>chari</w:t>
      </w:r>
      <w:r>
        <w:rPr>
          <w:rFonts w:ascii="Times New Roman"/>
          <w:color w:val="232323"/>
          <w:spacing w:val="-3"/>
          <w:w w:val="105"/>
          <w:sz w:val="18"/>
        </w:rPr>
        <w:t>t</w:t>
      </w:r>
      <w:r>
        <w:rPr>
          <w:rFonts w:ascii="Times New Roman"/>
          <w:color w:val="3D3D3D"/>
          <w:spacing w:val="-3"/>
          <w:w w:val="105"/>
          <w:sz w:val="18"/>
        </w:rPr>
        <w:t>able</w:t>
      </w:r>
      <w:r>
        <w:rPr>
          <w:rFonts w:ascii="Times New Roman"/>
          <w:color w:val="3D3D3D"/>
          <w:spacing w:val="-14"/>
          <w:w w:val="105"/>
          <w:sz w:val="18"/>
        </w:rPr>
        <w:t> </w:t>
      </w:r>
      <w:r>
        <w:rPr>
          <w:rFonts w:ascii="Times New Roman"/>
          <w:color w:val="3D3D3D"/>
          <w:spacing w:val="-3"/>
          <w:w w:val="105"/>
          <w:sz w:val="18"/>
        </w:rPr>
        <w:t>activities</w:t>
      </w:r>
      <w:r>
        <w:rPr>
          <w:rFonts w:ascii="Times New Roman"/>
          <w:color w:val="5D5D5D"/>
          <w:spacing w:val="-3"/>
          <w:w w:val="105"/>
          <w:sz w:val="18"/>
        </w:rPr>
        <w:t>,</w:t>
      </w:r>
      <w:r>
        <w:rPr>
          <w:rFonts w:ascii="Times New Roman"/>
          <w:color w:val="5D5D5D"/>
          <w:spacing w:val="4"/>
          <w:w w:val="105"/>
          <w:sz w:val="18"/>
        </w:rPr>
        <w:t> </w:t>
      </w:r>
      <w:r>
        <w:rPr>
          <w:rFonts w:ascii="Times New Roman"/>
          <w:color w:val="3D3D3D"/>
          <w:w w:val="105"/>
          <w:sz w:val="18"/>
        </w:rPr>
        <w:t>exc</w:t>
      </w:r>
      <w:r>
        <w:rPr>
          <w:rFonts w:ascii="Times New Roman"/>
          <w:color w:val="232323"/>
          <w:w w:val="105"/>
          <w:sz w:val="18"/>
        </w:rPr>
        <w:t>l</w:t>
      </w:r>
      <w:r>
        <w:rPr>
          <w:rFonts w:ascii="Times New Roman"/>
          <w:color w:val="3D3D3D"/>
          <w:w w:val="105"/>
          <w:sz w:val="18"/>
        </w:rPr>
        <w:t>uding</w:t>
      </w:r>
      <w:r>
        <w:rPr>
          <w:rFonts w:ascii="Times New Roman"/>
          <w:color w:val="3D3D3D"/>
          <w:spacing w:val="-27"/>
          <w:w w:val="105"/>
          <w:sz w:val="18"/>
        </w:rPr>
        <w:t> </w:t>
      </w:r>
      <w:r>
        <w:rPr>
          <w:rFonts w:ascii="Times New Roman"/>
          <w:color w:val="3D3D3D"/>
          <w:w w:val="105"/>
          <w:sz w:val="18"/>
        </w:rPr>
        <w:t>support</w:t>
      </w:r>
      <w:r>
        <w:rPr>
          <w:rFonts w:ascii="Times New Roman"/>
          <w:color w:val="3D3D3D"/>
          <w:spacing w:val="-12"/>
          <w:w w:val="105"/>
          <w:sz w:val="18"/>
        </w:rPr>
        <w:t> </w:t>
      </w:r>
      <w:r>
        <w:rPr>
          <w:rFonts w:ascii="Times New Roman"/>
          <w:color w:val="3D3D3D"/>
          <w:spacing w:val="-4"/>
          <w:w w:val="105"/>
          <w:sz w:val="18"/>
        </w:rPr>
        <w:t>costs</w:t>
      </w:r>
      <w:r>
        <w:rPr>
          <w:rFonts w:ascii="Times New Roman"/>
          <w:color w:val="5D5D5D"/>
          <w:spacing w:val="-4"/>
          <w:w w:val="105"/>
          <w:sz w:val="18"/>
        </w:rPr>
        <w:t>,</w:t>
      </w:r>
      <w:r>
        <w:rPr>
          <w:rFonts w:ascii="Times New Roman"/>
          <w:color w:val="5D5D5D"/>
          <w:w w:val="105"/>
          <w:sz w:val="18"/>
        </w:rPr>
        <w:t> </w:t>
      </w:r>
      <w:r>
        <w:rPr>
          <w:rFonts w:ascii="Times New Roman"/>
          <w:color w:val="3D3D3D"/>
          <w:w w:val="105"/>
          <w:sz w:val="18"/>
        </w:rPr>
        <w:t>may</w:t>
      </w:r>
      <w:r>
        <w:rPr>
          <w:rFonts w:ascii="Times New Roman"/>
          <w:color w:val="3D3D3D"/>
          <w:spacing w:val="-4"/>
          <w:w w:val="105"/>
          <w:sz w:val="18"/>
        </w:rPr>
        <w:t> </w:t>
      </w:r>
      <w:r>
        <w:rPr>
          <w:rFonts w:ascii="Times New Roman"/>
          <w:color w:val="3D3D3D"/>
          <w:w w:val="105"/>
          <w:sz w:val="18"/>
        </w:rPr>
        <w:t>be</w:t>
      </w:r>
      <w:r>
        <w:rPr>
          <w:rFonts w:ascii="Times New Roman"/>
          <w:color w:val="3D3D3D"/>
          <w:spacing w:val="-16"/>
          <w:w w:val="105"/>
          <w:sz w:val="18"/>
        </w:rPr>
        <w:t> </w:t>
      </w:r>
      <w:r>
        <w:rPr>
          <w:rFonts w:ascii="Times New Roman"/>
          <w:color w:val="3D3D3D"/>
          <w:w w:val="105"/>
          <w:sz w:val="18"/>
        </w:rPr>
        <w:t>analysed</w:t>
      </w:r>
      <w:r>
        <w:rPr>
          <w:rFonts w:ascii="Times New Roman"/>
          <w:color w:val="3D3D3D"/>
          <w:spacing w:val="8"/>
          <w:w w:val="105"/>
          <w:sz w:val="18"/>
        </w:rPr>
        <w:t> </w:t>
      </w:r>
      <w:r>
        <w:rPr>
          <w:rFonts w:ascii="Times New Roman"/>
          <w:color w:val="3D3D3D"/>
          <w:w w:val="105"/>
          <w:sz w:val="18"/>
        </w:rPr>
        <w:t>by</w:t>
      </w:r>
      <w:r>
        <w:rPr>
          <w:rFonts w:ascii="Times New Roman"/>
          <w:color w:val="3D3D3D"/>
          <w:spacing w:val="-5"/>
          <w:w w:val="105"/>
          <w:sz w:val="18"/>
        </w:rPr>
        <w:t> </w:t>
      </w:r>
      <w:r>
        <w:rPr>
          <w:rFonts w:ascii="Times New Roman"/>
          <w:color w:val="3D3D3D"/>
          <w:w w:val="105"/>
          <w:sz w:val="18"/>
        </w:rPr>
        <w:t>programme</w:t>
      </w:r>
      <w:r>
        <w:rPr>
          <w:rFonts w:ascii="Times New Roman"/>
          <w:color w:val="3D3D3D"/>
          <w:spacing w:val="-14"/>
          <w:w w:val="105"/>
          <w:sz w:val="18"/>
        </w:rPr>
        <w:t> </w:t>
      </w:r>
      <w:r>
        <w:rPr>
          <w:rFonts w:ascii="Times New Roman"/>
          <w:color w:val="3D3D3D"/>
          <w:w w:val="105"/>
          <w:sz w:val="18"/>
        </w:rPr>
        <w:t>as </w:t>
      </w:r>
      <w:r>
        <w:rPr>
          <w:rFonts w:ascii="Times New Roman"/>
          <w:color w:val="3D3D3D"/>
          <w:spacing w:val="-5"/>
          <w:w w:val="105"/>
          <w:sz w:val="18"/>
        </w:rPr>
        <w:t>follows</w:t>
      </w:r>
      <w:r>
        <w:rPr>
          <w:rFonts w:ascii="Times New Roman"/>
          <w:color w:val="151515"/>
          <w:spacing w:val="-5"/>
          <w:w w:val="105"/>
          <w:sz w:val="18"/>
        </w:rPr>
        <w:t>:</w:t>
      </w:r>
    </w:p>
    <w:p>
      <w:pPr>
        <w:pStyle w:val="BodyText"/>
        <w:spacing w:before="5"/>
        <w:rPr>
          <w:rFonts w:ascii="Times New Roman"/>
          <w:sz w:val="12"/>
        </w:rPr>
      </w:pPr>
    </w:p>
    <w:tbl>
      <w:tblPr>
        <w:tblW w:w="0" w:type="auto"/>
        <w:jc w:val="left"/>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4"/>
        <w:gridCol w:w="1690"/>
        <w:gridCol w:w="1231"/>
        <w:gridCol w:w="1225"/>
        <w:gridCol w:w="722"/>
      </w:tblGrid>
      <w:tr>
        <w:trPr>
          <w:trHeight w:val="667" w:hRule="atLeast"/>
        </w:trPr>
        <w:tc>
          <w:tcPr>
            <w:tcW w:w="3644" w:type="dxa"/>
            <w:vMerge w:val="restart"/>
          </w:tcPr>
          <w:p>
            <w:pPr>
              <w:pStyle w:val="TableParagraph"/>
              <w:rPr>
                <w:sz w:val="18"/>
              </w:rPr>
            </w:pPr>
          </w:p>
        </w:tc>
        <w:tc>
          <w:tcPr>
            <w:tcW w:w="1690" w:type="dxa"/>
          </w:tcPr>
          <w:p>
            <w:pPr>
              <w:pStyle w:val="TableParagraph"/>
              <w:spacing w:line="200" w:lineRule="exact"/>
              <w:ind w:left="518" w:firstLine="434"/>
              <w:rPr>
                <w:b/>
                <w:sz w:val="18"/>
              </w:rPr>
            </w:pPr>
            <w:r>
              <w:rPr>
                <w:b/>
                <w:color w:val="151515"/>
                <w:w w:val="105"/>
                <w:sz w:val="18"/>
              </w:rPr>
              <w:t>Direct</w:t>
            </w:r>
          </w:p>
          <w:p>
            <w:pPr>
              <w:pStyle w:val="TableParagraph"/>
              <w:spacing w:line="220" w:lineRule="atLeast" w:before="11"/>
              <w:ind w:left="495" w:right="220" w:firstLine="23"/>
              <w:rPr>
                <w:b/>
                <w:sz w:val="18"/>
              </w:rPr>
            </w:pPr>
            <w:r>
              <w:rPr>
                <w:b/>
                <w:color w:val="151515"/>
                <w:sz w:val="18"/>
              </w:rPr>
              <w:t>programme </w:t>
            </w:r>
            <w:r>
              <w:rPr>
                <w:b/>
                <w:color w:val="232323"/>
                <w:spacing w:val="-1"/>
                <w:w w:val="105"/>
                <w:sz w:val="18"/>
              </w:rPr>
              <w:t>expenditure</w:t>
            </w:r>
          </w:p>
        </w:tc>
        <w:tc>
          <w:tcPr>
            <w:tcW w:w="1231" w:type="dxa"/>
          </w:tcPr>
          <w:p>
            <w:pPr>
              <w:pStyle w:val="TableParagraph"/>
              <w:spacing w:line="268" w:lineRule="auto"/>
              <w:ind w:left="212" w:right="368" w:firstLine="133"/>
              <w:rPr>
                <w:b/>
                <w:sz w:val="18"/>
              </w:rPr>
            </w:pPr>
            <w:r>
              <w:rPr>
                <w:b/>
                <w:color w:val="232323"/>
                <w:w w:val="105"/>
                <w:sz w:val="18"/>
              </w:rPr>
              <w:t>Grant funding</w:t>
            </w:r>
          </w:p>
        </w:tc>
        <w:tc>
          <w:tcPr>
            <w:tcW w:w="1225" w:type="dxa"/>
          </w:tcPr>
          <w:p>
            <w:pPr>
              <w:pStyle w:val="TableParagraph"/>
              <w:spacing w:line="200" w:lineRule="exact"/>
              <w:ind w:left="292"/>
              <w:rPr>
                <w:b/>
                <w:sz w:val="18"/>
              </w:rPr>
            </w:pPr>
            <w:r>
              <w:rPr>
                <w:b/>
                <w:color w:val="232323"/>
                <w:w w:val="110"/>
                <w:sz w:val="18"/>
              </w:rPr>
              <w:t>2006</w:t>
            </w:r>
          </w:p>
          <w:p>
            <w:pPr>
              <w:pStyle w:val="TableParagraph"/>
              <w:spacing w:before="24"/>
              <w:ind w:left="242"/>
              <w:rPr>
                <w:b/>
                <w:sz w:val="18"/>
              </w:rPr>
            </w:pPr>
            <w:r>
              <w:rPr>
                <w:b/>
                <w:color w:val="232323"/>
                <w:w w:val="105"/>
                <w:sz w:val="18"/>
              </w:rPr>
              <w:t>T</w:t>
            </w:r>
            <w:r>
              <w:rPr>
                <w:b/>
                <w:color w:val="3D3D3D"/>
                <w:w w:val="105"/>
                <w:sz w:val="18"/>
              </w:rPr>
              <w:t>o</w:t>
            </w:r>
            <w:r>
              <w:rPr>
                <w:b/>
                <w:color w:val="232323"/>
                <w:w w:val="105"/>
                <w:sz w:val="18"/>
              </w:rPr>
              <w:t>tal</w:t>
            </w:r>
          </w:p>
        </w:tc>
        <w:tc>
          <w:tcPr>
            <w:tcW w:w="722" w:type="dxa"/>
          </w:tcPr>
          <w:p>
            <w:pPr>
              <w:pStyle w:val="TableParagraph"/>
              <w:spacing w:line="200" w:lineRule="exact"/>
              <w:ind w:left="271"/>
              <w:rPr>
                <w:b/>
                <w:sz w:val="18"/>
              </w:rPr>
            </w:pPr>
            <w:r>
              <w:rPr>
                <w:b/>
                <w:color w:val="151515"/>
                <w:w w:val="110"/>
                <w:sz w:val="18"/>
              </w:rPr>
              <w:t>2005</w:t>
            </w:r>
          </w:p>
          <w:p>
            <w:pPr>
              <w:pStyle w:val="TableParagraph"/>
              <w:spacing w:before="24"/>
              <w:ind w:left="221"/>
              <w:rPr>
                <w:b/>
                <w:sz w:val="18"/>
              </w:rPr>
            </w:pPr>
            <w:r>
              <w:rPr>
                <w:b/>
                <w:color w:val="232323"/>
                <w:w w:val="105"/>
                <w:sz w:val="18"/>
              </w:rPr>
              <w:t>To</w:t>
            </w:r>
            <w:r>
              <w:rPr>
                <w:b/>
                <w:color w:val="3D3D3D"/>
                <w:w w:val="105"/>
                <w:sz w:val="18"/>
              </w:rPr>
              <w:t>ta</w:t>
            </w:r>
            <w:r>
              <w:rPr>
                <w:b/>
                <w:color w:val="151515"/>
                <w:w w:val="105"/>
                <w:sz w:val="18"/>
              </w:rPr>
              <w:t>l</w:t>
            </w:r>
          </w:p>
        </w:tc>
      </w:tr>
      <w:tr>
        <w:trPr>
          <w:trHeight w:val="226" w:hRule="atLeast"/>
        </w:trPr>
        <w:tc>
          <w:tcPr>
            <w:tcW w:w="3644" w:type="dxa"/>
            <w:vMerge/>
            <w:tcBorders>
              <w:top w:val="nil"/>
            </w:tcBorders>
          </w:tcPr>
          <w:p>
            <w:pPr>
              <w:rPr>
                <w:sz w:val="2"/>
                <w:szCs w:val="2"/>
              </w:rPr>
            </w:pPr>
          </w:p>
        </w:tc>
        <w:tc>
          <w:tcPr>
            <w:tcW w:w="1690" w:type="dxa"/>
          </w:tcPr>
          <w:p>
            <w:pPr>
              <w:pStyle w:val="TableParagraph"/>
              <w:spacing w:line="198" w:lineRule="exact" w:before="8"/>
              <w:ind w:right="212"/>
              <w:jc w:val="right"/>
              <w:rPr>
                <w:b/>
                <w:sz w:val="18"/>
              </w:rPr>
            </w:pPr>
            <w:r>
              <w:rPr>
                <w:b/>
                <w:color w:val="151515"/>
                <w:w w:val="110"/>
                <w:sz w:val="18"/>
              </w:rPr>
              <w:t>£'000</w:t>
            </w:r>
          </w:p>
        </w:tc>
        <w:tc>
          <w:tcPr>
            <w:tcW w:w="1231" w:type="dxa"/>
          </w:tcPr>
          <w:p>
            <w:pPr>
              <w:pStyle w:val="TableParagraph"/>
              <w:spacing w:line="198" w:lineRule="exact" w:before="8"/>
              <w:ind w:left="378" w:right="362"/>
              <w:jc w:val="center"/>
              <w:rPr>
                <w:b/>
                <w:sz w:val="18"/>
              </w:rPr>
            </w:pPr>
            <w:r>
              <w:rPr>
                <w:b/>
                <w:color w:val="232323"/>
                <w:w w:val="110"/>
                <w:sz w:val="18"/>
              </w:rPr>
              <w:t>£</w:t>
            </w:r>
            <w:r>
              <w:rPr>
                <w:b/>
                <w:color w:val="3D3D3D"/>
                <w:w w:val="110"/>
                <w:sz w:val="18"/>
              </w:rPr>
              <w:t>'</w:t>
            </w:r>
            <w:r>
              <w:rPr>
                <w:b/>
                <w:color w:val="151515"/>
                <w:w w:val="110"/>
                <w:sz w:val="18"/>
              </w:rPr>
              <w:t>000</w:t>
            </w:r>
          </w:p>
        </w:tc>
        <w:tc>
          <w:tcPr>
            <w:tcW w:w="1225" w:type="dxa"/>
          </w:tcPr>
          <w:p>
            <w:pPr>
              <w:pStyle w:val="TableParagraph"/>
              <w:spacing w:line="198" w:lineRule="exact" w:before="8"/>
              <w:ind w:right="542"/>
              <w:jc w:val="right"/>
              <w:rPr>
                <w:b/>
                <w:sz w:val="18"/>
              </w:rPr>
            </w:pPr>
            <w:r>
              <w:rPr>
                <w:b/>
                <w:color w:val="232323"/>
                <w:w w:val="105"/>
                <w:sz w:val="18"/>
              </w:rPr>
              <w:t>£'000</w:t>
            </w:r>
          </w:p>
        </w:tc>
        <w:tc>
          <w:tcPr>
            <w:tcW w:w="722" w:type="dxa"/>
          </w:tcPr>
          <w:p>
            <w:pPr>
              <w:pStyle w:val="TableParagraph"/>
              <w:spacing w:line="198" w:lineRule="exact" w:before="8"/>
              <w:ind w:right="62"/>
              <w:jc w:val="right"/>
              <w:rPr>
                <w:b/>
                <w:sz w:val="18"/>
              </w:rPr>
            </w:pPr>
            <w:r>
              <w:rPr>
                <w:b/>
                <w:color w:val="232323"/>
                <w:w w:val="105"/>
                <w:sz w:val="18"/>
              </w:rPr>
              <w:t>£'000</w:t>
            </w:r>
          </w:p>
        </w:tc>
      </w:tr>
      <w:tr>
        <w:trPr>
          <w:trHeight w:val="218" w:hRule="atLeast"/>
        </w:trPr>
        <w:tc>
          <w:tcPr>
            <w:tcW w:w="3644" w:type="dxa"/>
          </w:tcPr>
          <w:p>
            <w:pPr>
              <w:pStyle w:val="TableParagraph"/>
              <w:spacing w:line="195" w:lineRule="exact" w:before="3"/>
              <w:ind w:left="69"/>
              <w:rPr>
                <w:b/>
                <w:sz w:val="18"/>
              </w:rPr>
            </w:pPr>
            <w:r>
              <w:rPr>
                <w:b/>
                <w:color w:val="232323"/>
                <w:w w:val="110"/>
                <w:sz w:val="18"/>
              </w:rPr>
              <w:t>Mini</w:t>
            </w:r>
            <w:r>
              <w:rPr>
                <w:b/>
                <w:color w:val="3D3D3D"/>
                <w:w w:val="110"/>
                <w:sz w:val="18"/>
              </w:rPr>
              <w:t>s</w:t>
            </w:r>
            <w:r>
              <w:rPr>
                <w:b/>
                <w:color w:val="232323"/>
                <w:w w:val="110"/>
                <w:sz w:val="18"/>
              </w:rPr>
              <w:t>try</w:t>
            </w:r>
          </w:p>
        </w:tc>
        <w:tc>
          <w:tcPr>
            <w:tcW w:w="1690" w:type="dxa"/>
          </w:tcPr>
          <w:p>
            <w:pPr>
              <w:pStyle w:val="TableParagraph"/>
              <w:rPr>
                <w:sz w:val="14"/>
              </w:rPr>
            </w:pPr>
          </w:p>
        </w:tc>
        <w:tc>
          <w:tcPr>
            <w:tcW w:w="1231" w:type="dxa"/>
          </w:tcPr>
          <w:p>
            <w:pPr>
              <w:pStyle w:val="TableParagraph"/>
              <w:rPr>
                <w:sz w:val="14"/>
              </w:rPr>
            </w:pPr>
          </w:p>
        </w:tc>
        <w:tc>
          <w:tcPr>
            <w:tcW w:w="1225" w:type="dxa"/>
          </w:tcPr>
          <w:p>
            <w:pPr>
              <w:pStyle w:val="TableParagraph"/>
              <w:rPr>
                <w:sz w:val="14"/>
              </w:rPr>
            </w:pPr>
          </w:p>
        </w:tc>
        <w:tc>
          <w:tcPr>
            <w:tcW w:w="722" w:type="dxa"/>
          </w:tcPr>
          <w:p>
            <w:pPr>
              <w:pStyle w:val="TableParagraph"/>
              <w:rPr>
                <w:sz w:val="14"/>
              </w:rPr>
            </w:pPr>
          </w:p>
        </w:tc>
      </w:tr>
      <w:tr>
        <w:trPr>
          <w:trHeight w:val="236" w:hRule="atLeast"/>
        </w:trPr>
        <w:tc>
          <w:tcPr>
            <w:tcW w:w="3644" w:type="dxa"/>
          </w:tcPr>
          <w:p>
            <w:pPr>
              <w:pStyle w:val="TableParagraph"/>
              <w:spacing w:before="6"/>
              <w:ind w:left="59"/>
              <w:rPr>
                <w:sz w:val="18"/>
              </w:rPr>
            </w:pPr>
            <w:r>
              <w:rPr>
                <w:color w:val="3D3D3D"/>
                <w:w w:val="105"/>
                <w:sz w:val="18"/>
              </w:rPr>
              <w:t>Local and special ministr</w:t>
            </w:r>
            <w:r>
              <w:rPr>
                <w:color w:val="232323"/>
                <w:w w:val="105"/>
                <w:sz w:val="18"/>
              </w:rPr>
              <w:t>i</w:t>
            </w:r>
            <w:r>
              <w:rPr>
                <w:color w:val="3D3D3D"/>
                <w:w w:val="105"/>
                <w:sz w:val="18"/>
              </w:rPr>
              <w:t>es and CRCWs</w:t>
            </w:r>
          </w:p>
        </w:tc>
        <w:tc>
          <w:tcPr>
            <w:tcW w:w="1690" w:type="dxa"/>
          </w:tcPr>
          <w:p>
            <w:pPr>
              <w:pStyle w:val="TableParagraph"/>
              <w:spacing w:line="209" w:lineRule="exact" w:before="8"/>
              <w:ind w:right="302"/>
              <w:jc w:val="right"/>
              <w:rPr>
                <w:rFonts w:ascii="Courier New"/>
                <w:sz w:val="20"/>
              </w:rPr>
            </w:pPr>
            <w:r>
              <w:rPr>
                <w:rFonts w:ascii="Courier New"/>
                <w:color w:val="3D3D3D"/>
                <w:w w:val="70"/>
                <w:sz w:val="20"/>
              </w:rPr>
              <w:t>15,993</w:t>
            </w:r>
          </w:p>
        </w:tc>
        <w:tc>
          <w:tcPr>
            <w:tcW w:w="1231" w:type="dxa"/>
          </w:tcPr>
          <w:p>
            <w:pPr>
              <w:pStyle w:val="TableParagraph"/>
              <w:spacing w:line="209" w:lineRule="exact" w:before="8"/>
              <w:ind w:left="353" w:right="362"/>
              <w:jc w:val="center"/>
              <w:rPr>
                <w:rFonts w:ascii="Courier New"/>
                <w:sz w:val="20"/>
              </w:rPr>
            </w:pPr>
            <w:r>
              <w:rPr>
                <w:rFonts w:ascii="Courier New"/>
                <w:color w:val="3D3D3D"/>
                <w:w w:val="80"/>
                <w:sz w:val="20"/>
              </w:rPr>
              <w:t>3</w:t>
            </w:r>
            <w:r>
              <w:rPr>
                <w:rFonts w:ascii="Courier New"/>
                <w:color w:val="232323"/>
                <w:w w:val="80"/>
                <w:sz w:val="20"/>
              </w:rPr>
              <w:t>8</w:t>
            </w:r>
            <w:r>
              <w:rPr>
                <w:rFonts w:ascii="Courier New"/>
                <w:color w:val="3D3D3D"/>
                <w:w w:val="80"/>
                <w:sz w:val="20"/>
              </w:rPr>
              <w:t>2</w:t>
            </w:r>
          </w:p>
        </w:tc>
        <w:tc>
          <w:tcPr>
            <w:tcW w:w="1225" w:type="dxa"/>
          </w:tcPr>
          <w:p>
            <w:pPr>
              <w:pStyle w:val="TableParagraph"/>
              <w:spacing w:line="209" w:lineRule="exact" w:before="8"/>
              <w:ind w:right="537"/>
              <w:jc w:val="right"/>
              <w:rPr>
                <w:rFonts w:ascii="Courier New"/>
                <w:sz w:val="20"/>
              </w:rPr>
            </w:pPr>
            <w:r>
              <w:rPr>
                <w:rFonts w:ascii="Courier New"/>
                <w:color w:val="232323"/>
                <w:w w:val="85"/>
                <w:sz w:val="20"/>
              </w:rPr>
              <w:t>1</w:t>
            </w:r>
            <w:r>
              <w:rPr>
                <w:rFonts w:ascii="Courier New"/>
                <w:color w:val="3D3D3D"/>
                <w:w w:val="85"/>
                <w:sz w:val="20"/>
              </w:rPr>
              <w:t>6</w:t>
            </w:r>
            <w:r>
              <w:rPr>
                <w:rFonts w:ascii="Courier New"/>
                <w:color w:val="5D5D5D"/>
                <w:w w:val="85"/>
                <w:sz w:val="20"/>
              </w:rPr>
              <w:t>,</w:t>
            </w:r>
            <w:r>
              <w:rPr>
                <w:rFonts w:ascii="Courier New"/>
                <w:color w:val="3D3D3D"/>
                <w:w w:val="85"/>
                <w:sz w:val="20"/>
              </w:rPr>
              <w:t>375</w:t>
            </w:r>
          </w:p>
        </w:tc>
        <w:tc>
          <w:tcPr>
            <w:tcW w:w="722" w:type="dxa"/>
          </w:tcPr>
          <w:p>
            <w:pPr>
              <w:pStyle w:val="TableParagraph"/>
              <w:spacing w:line="209" w:lineRule="exact" w:before="8"/>
              <w:ind w:right="134"/>
              <w:jc w:val="right"/>
              <w:rPr>
                <w:rFonts w:ascii="Courier New"/>
                <w:sz w:val="20"/>
              </w:rPr>
            </w:pPr>
            <w:r>
              <w:rPr>
                <w:rFonts w:ascii="Courier New"/>
                <w:color w:val="3D3D3D"/>
                <w:w w:val="70"/>
                <w:sz w:val="20"/>
              </w:rPr>
              <w:t>15,579</w:t>
            </w:r>
          </w:p>
        </w:tc>
      </w:tr>
      <w:tr>
        <w:trPr>
          <w:trHeight w:val="229" w:hRule="atLeast"/>
        </w:trPr>
        <w:tc>
          <w:tcPr>
            <w:tcW w:w="3644" w:type="dxa"/>
          </w:tcPr>
          <w:p>
            <w:pPr>
              <w:pStyle w:val="TableParagraph"/>
              <w:ind w:left="61"/>
              <w:rPr>
                <w:sz w:val="18"/>
              </w:rPr>
            </w:pPr>
            <w:r>
              <w:rPr>
                <w:color w:val="3D3D3D"/>
                <w:w w:val="105"/>
                <w:sz w:val="18"/>
              </w:rPr>
              <w:t>Synod moderators - stipends and expenses</w:t>
            </w:r>
          </w:p>
        </w:tc>
        <w:tc>
          <w:tcPr>
            <w:tcW w:w="1690" w:type="dxa"/>
          </w:tcPr>
          <w:p>
            <w:pPr>
              <w:pStyle w:val="TableParagraph"/>
              <w:spacing w:line="207" w:lineRule="exact" w:before="2"/>
              <w:ind w:right="280"/>
              <w:jc w:val="right"/>
              <w:rPr>
                <w:rFonts w:ascii="Courier New"/>
                <w:sz w:val="20"/>
              </w:rPr>
            </w:pPr>
            <w:r>
              <w:rPr>
                <w:rFonts w:ascii="Courier New"/>
                <w:color w:val="3D3D3D"/>
                <w:w w:val="85"/>
                <w:sz w:val="20"/>
              </w:rPr>
              <w:t>590</w:t>
            </w:r>
          </w:p>
        </w:tc>
        <w:tc>
          <w:tcPr>
            <w:tcW w:w="1231" w:type="dxa"/>
          </w:tcPr>
          <w:p>
            <w:pPr>
              <w:pStyle w:val="TableParagraph"/>
              <w:rPr>
                <w:sz w:val="16"/>
              </w:rPr>
            </w:pPr>
          </w:p>
        </w:tc>
        <w:tc>
          <w:tcPr>
            <w:tcW w:w="1225" w:type="dxa"/>
          </w:tcPr>
          <w:p>
            <w:pPr>
              <w:pStyle w:val="TableParagraph"/>
              <w:spacing w:line="207" w:lineRule="exact" w:before="2"/>
              <w:ind w:right="598"/>
              <w:jc w:val="right"/>
              <w:rPr>
                <w:rFonts w:ascii="Courier New"/>
                <w:sz w:val="20"/>
              </w:rPr>
            </w:pPr>
            <w:r>
              <w:rPr>
                <w:rFonts w:ascii="Courier New"/>
                <w:color w:val="3D3D3D"/>
                <w:w w:val="85"/>
                <w:sz w:val="20"/>
              </w:rPr>
              <w:t>590</w:t>
            </w:r>
          </w:p>
        </w:tc>
        <w:tc>
          <w:tcPr>
            <w:tcW w:w="722" w:type="dxa"/>
          </w:tcPr>
          <w:p>
            <w:pPr>
              <w:pStyle w:val="TableParagraph"/>
              <w:spacing w:line="207" w:lineRule="exact" w:before="2"/>
              <w:ind w:right="138"/>
              <w:jc w:val="right"/>
              <w:rPr>
                <w:rFonts w:ascii="Courier New"/>
                <w:sz w:val="20"/>
              </w:rPr>
            </w:pPr>
            <w:r>
              <w:rPr>
                <w:rFonts w:ascii="Courier New"/>
                <w:color w:val="3D3D3D"/>
                <w:w w:val="80"/>
                <w:sz w:val="20"/>
              </w:rPr>
              <w:t>551</w:t>
            </w:r>
          </w:p>
        </w:tc>
      </w:tr>
      <w:tr>
        <w:trPr>
          <w:trHeight w:val="227" w:hRule="atLeast"/>
        </w:trPr>
        <w:tc>
          <w:tcPr>
            <w:tcW w:w="3644" w:type="dxa"/>
          </w:tcPr>
          <w:p>
            <w:pPr>
              <w:pStyle w:val="TableParagraph"/>
              <w:spacing w:line="200" w:lineRule="exact"/>
              <w:ind w:left="60"/>
              <w:rPr>
                <w:sz w:val="18"/>
              </w:rPr>
            </w:pPr>
            <w:r>
              <w:rPr>
                <w:color w:val="3D3D3D"/>
                <w:sz w:val="18"/>
              </w:rPr>
              <w:t>Pe ns</w:t>
            </w:r>
            <w:r>
              <w:rPr>
                <w:color w:val="232323"/>
                <w:sz w:val="18"/>
              </w:rPr>
              <w:t>i</w:t>
            </w:r>
            <w:r>
              <w:rPr>
                <w:color w:val="3D3D3D"/>
                <w:sz w:val="18"/>
              </w:rPr>
              <w:t>on grants</w:t>
            </w:r>
          </w:p>
        </w:tc>
        <w:tc>
          <w:tcPr>
            <w:tcW w:w="1690" w:type="dxa"/>
          </w:tcPr>
          <w:p>
            <w:pPr>
              <w:pStyle w:val="TableParagraph"/>
              <w:rPr>
                <w:sz w:val="16"/>
              </w:rPr>
            </w:pPr>
          </w:p>
        </w:tc>
        <w:tc>
          <w:tcPr>
            <w:tcW w:w="1231" w:type="dxa"/>
          </w:tcPr>
          <w:p>
            <w:pPr>
              <w:pStyle w:val="TableParagraph"/>
              <w:spacing w:line="204" w:lineRule="exact" w:before="4"/>
              <w:ind w:left="375" w:right="362"/>
              <w:jc w:val="center"/>
              <w:rPr>
                <w:rFonts w:ascii="Courier New"/>
                <w:sz w:val="20"/>
              </w:rPr>
            </w:pPr>
            <w:r>
              <w:rPr>
                <w:rFonts w:ascii="Courier New"/>
                <w:color w:val="3D3D3D"/>
                <w:w w:val="95"/>
                <w:sz w:val="20"/>
              </w:rPr>
              <w:t>583</w:t>
            </w:r>
          </w:p>
        </w:tc>
        <w:tc>
          <w:tcPr>
            <w:tcW w:w="1225" w:type="dxa"/>
          </w:tcPr>
          <w:p>
            <w:pPr>
              <w:pStyle w:val="TableParagraph"/>
              <w:spacing w:line="204" w:lineRule="exact" w:before="4"/>
              <w:ind w:right="609"/>
              <w:jc w:val="right"/>
              <w:rPr>
                <w:rFonts w:ascii="Courier New"/>
                <w:sz w:val="20"/>
              </w:rPr>
            </w:pPr>
            <w:r>
              <w:rPr>
                <w:rFonts w:ascii="Courier New"/>
                <w:color w:val="3D3D3D"/>
                <w:w w:val="85"/>
                <w:sz w:val="20"/>
              </w:rPr>
              <w:t>583</w:t>
            </w:r>
          </w:p>
        </w:tc>
        <w:tc>
          <w:tcPr>
            <w:tcW w:w="722" w:type="dxa"/>
          </w:tcPr>
          <w:p>
            <w:pPr>
              <w:pStyle w:val="TableParagraph"/>
              <w:spacing w:line="204" w:lineRule="exact" w:before="4"/>
              <w:ind w:right="151"/>
              <w:jc w:val="right"/>
              <w:rPr>
                <w:rFonts w:ascii="Courier New"/>
                <w:sz w:val="20"/>
              </w:rPr>
            </w:pPr>
            <w:r>
              <w:rPr>
                <w:rFonts w:ascii="Courier New"/>
                <w:color w:val="232323"/>
                <w:w w:val="85"/>
                <w:sz w:val="20"/>
              </w:rPr>
              <w:t>5</w:t>
            </w:r>
            <w:r>
              <w:rPr>
                <w:rFonts w:ascii="Courier New"/>
                <w:color w:val="3D3D3D"/>
                <w:w w:val="85"/>
                <w:sz w:val="20"/>
              </w:rPr>
              <w:t>98</w:t>
            </w:r>
          </w:p>
        </w:tc>
      </w:tr>
      <w:tr>
        <w:trPr>
          <w:trHeight w:val="224" w:hRule="atLeast"/>
        </w:trPr>
        <w:tc>
          <w:tcPr>
            <w:tcW w:w="3644" w:type="dxa"/>
          </w:tcPr>
          <w:p>
            <w:pPr>
              <w:pStyle w:val="TableParagraph"/>
              <w:spacing w:line="199" w:lineRule="exact" w:before="5"/>
              <w:ind w:left="69"/>
              <w:rPr>
                <w:sz w:val="18"/>
              </w:rPr>
            </w:pPr>
            <w:r>
              <w:rPr>
                <w:color w:val="3D3D3D"/>
                <w:w w:val="105"/>
                <w:sz w:val="18"/>
              </w:rPr>
              <w:t>Retired ministers' housing</w:t>
            </w:r>
          </w:p>
        </w:tc>
        <w:tc>
          <w:tcPr>
            <w:tcW w:w="1690" w:type="dxa"/>
          </w:tcPr>
          <w:p>
            <w:pPr>
              <w:pStyle w:val="TableParagraph"/>
              <w:spacing w:line="204" w:lineRule="exact"/>
              <w:ind w:right="308"/>
              <w:jc w:val="right"/>
              <w:rPr>
                <w:rFonts w:ascii="Courier New"/>
                <w:sz w:val="20"/>
              </w:rPr>
            </w:pPr>
            <w:r>
              <w:rPr>
                <w:rFonts w:ascii="Courier New"/>
                <w:color w:val="3D3D3D"/>
                <w:w w:val="90"/>
                <w:sz w:val="20"/>
              </w:rPr>
              <w:t>4</w:t>
            </w:r>
            <w:r>
              <w:rPr>
                <w:rFonts w:ascii="Courier New"/>
                <w:color w:val="151515"/>
                <w:w w:val="90"/>
                <w:sz w:val="20"/>
              </w:rPr>
              <w:t>1</w:t>
            </w:r>
            <w:r>
              <w:rPr>
                <w:rFonts w:ascii="Courier New"/>
                <w:color w:val="3D3D3D"/>
                <w:w w:val="90"/>
                <w:sz w:val="20"/>
              </w:rPr>
              <w:t>6</w:t>
            </w:r>
          </w:p>
        </w:tc>
        <w:tc>
          <w:tcPr>
            <w:tcW w:w="1231" w:type="dxa"/>
          </w:tcPr>
          <w:p>
            <w:pPr>
              <w:pStyle w:val="TableParagraph"/>
              <w:rPr>
                <w:sz w:val="16"/>
              </w:rPr>
            </w:pPr>
          </w:p>
        </w:tc>
        <w:tc>
          <w:tcPr>
            <w:tcW w:w="1225" w:type="dxa"/>
          </w:tcPr>
          <w:p>
            <w:pPr>
              <w:pStyle w:val="TableParagraph"/>
              <w:spacing w:line="204" w:lineRule="exact"/>
              <w:ind w:right="642"/>
              <w:jc w:val="right"/>
              <w:rPr>
                <w:rFonts w:ascii="Courier New"/>
                <w:sz w:val="20"/>
              </w:rPr>
            </w:pPr>
            <w:r>
              <w:rPr>
                <w:rFonts w:ascii="Courier New"/>
                <w:color w:val="3D3D3D"/>
                <w:w w:val="75"/>
                <w:sz w:val="20"/>
              </w:rPr>
              <w:t>4</w:t>
            </w:r>
            <w:r>
              <w:rPr>
                <w:rFonts w:ascii="Courier New"/>
                <w:color w:val="151515"/>
                <w:w w:val="75"/>
                <w:sz w:val="20"/>
              </w:rPr>
              <w:t>1</w:t>
            </w:r>
            <w:r>
              <w:rPr>
                <w:rFonts w:ascii="Courier New"/>
                <w:color w:val="3D3D3D"/>
                <w:w w:val="75"/>
                <w:sz w:val="20"/>
              </w:rPr>
              <w:t>6</w:t>
            </w:r>
          </w:p>
        </w:tc>
        <w:tc>
          <w:tcPr>
            <w:tcW w:w="722" w:type="dxa"/>
          </w:tcPr>
          <w:p>
            <w:pPr>
              <w:pStyle w:val="TableParagraph"/>
              <w:spacing w:line="204" w:lineRule="exact"/>
              <w:ind w:right="127"/>
              <w:jc w:val="right"/>
              <w:rPr>
                <w:rFonts w:ascii="Courier New"/>
                <w:sz w:val="20"/>
              </w:rPr>
            </w:pPr>
            <w:r>
              <w:rPr>
                <w:rFonts w:ascii="Courier New"/>
                <w:color w:val="3D3D3D"/>
                <w:w w:val="85"/>
                <w:sz w:val="20"/>
              </w:rPr>
              <w:t>373</w:t>
            </w:r>
          </w:p>
        </w:tc>
      </w:tr>
      <w:tr>
        <w:trPr>
          <w:trHeight w:val="471" w:hRule="atLeast"/>
        </w:trPr>
        <w:tc>
          <w:tcPr>
            <w:tcW w:w="6565" w:type="dxa"/>
            <w:gridSpan w:val="3"/>
          </w:tcPr>
          <w:p>
            <w:pPr>
              <w:pStyle w:val="TableParagraph"/>
              <w:tabs>
                <w:tab w:pos="3693" w:val="left" w:leader="none"/>
                <w:tab w:pos="4740" w:val="left" w:leader="none"/>
                <w:tab w:pos="5778" w:val="left" w:leader="none"/>
                <w:tab w:pos="6873" w:val="left" w:leader="none"/>
              </w:tabs>
              <w:spacing w:before="2"/>
              <w:ind w:left="60" w:right="-317"/>
              <w:rPr>
                <w:rFonts w:ascii="Courier New"/>
                <w:sz w:val="20"/>
              </w:rPr>
            </w:pPr>
            <w:r>
              <w:rPr>
                <w:color w:val="3D3D3D"/>
                <w:position w:val="1"/>
                <w:sz w:val="18"/>
              </w:rPr>
              <w:t>Min </w:t>
            </w:r>
            <w:r>
              <w:rPr>
                <w:color w:val="232323"/>
                <w:position w:val="1"/>
                <w:sz w:val="18"/>
              </w:rPr>
              <w:t>i</w:t>
            </w:r>
            <w:r>
              <w:rPr>
                <w:color w:val="3D3D3D"/>
                <w:position w:val="1"/>
                <w:sz w:val="18"/>
              </w:rPr>
              <w:t>stries </w:t>
            </w:r>
            <w:r>
              <w:rPr>
                <w:color w:val="3D3D3D"/>
                <w:spacing w:val="2"/>
                <w:position w:val="1"/>
                <w:sz w:val="18"/>
              </w:rPr>
              <w:t> </w:t>
            </w:r>
            <w:r>
              <w:rPr>
                <w:color w:val="3D3D3D"/>
                <w:position w:val="1"/>
                <w:sz w:val="18"/>
              </w:rPr>
              <w:t>committee</w:t>
              <w:tab/>
            </w:r>
            <w:r>
              <w:rPr>
                <w:color w:val="3D3D3D"/>
                <w:sz w:val="18"/>
                <w:u w:val="single" w:color="000000"/>
              </w:rPr>
              <w:t> </w:t>
              <w:tab/>
            </w:r>
            <w:r>
              <w:rPr>
                <w:rFonts w:ascii="Courier New"/>
                <w:color w:val="3D3D3D"/>
                <w:sz w:val="20"/>
                <w:u w:val="single" w:color="000000"/>
              </w:rPr>
              <w:t>195</w:t>
              <w:tab/>
              <w:t>40</w:t>
              <w:tab/>
            </w:r>
          </w:p>
          <w:p>
            <w:pPr>
              <w:pStyle w:val="TableParagraph"/>
              <w:tabs>
                <w:tab w:pos="4509" w:val="left" w:leader="none"/>
                <w:tab w:pos="5674" w:val="left" w:leader="none"/>
                <w:tab w:pos="6489" w:val="left" w:leader="none"/>
              </w:tabs>
              <w:spacing w:line="207" w:lineRule="exact" w:before="4"/>
              <w:ind w:left="3693"/>
              <w:rPr>
                <w:rFonts w:ascii="Courier New"/>
                <w:sz w:val="20"/>
              </w:rPr>
            </w:pPr>
            <w:r>
              <w:rPr>
                <w:rFonts w:ascii="Courier New"/>
                <w:color w:val="3D3D3D"/>
                <w:w w:val="100"/>
                <w:sz w:val="20"/>
                <w:u w:val="single" w:color="000000"/>
              </w:rPr>
              <w:t> </w:t>
            </w:r>
            <w:r>
              <w:rPr>
                <w:rFonts w:ascii="Courier New"/>
                <w:color w:val="3D3D3D"/>
                <w:sz w:val="20"/>
                <w:u w:val="single" w:color="000000"/>
              </w:rPr>
              <w:tab/>
            </w:r>
            <w:r>
              <w:rPr>
                <w:rFonts w:ascii="Courier New"/>
                <w:color w:val="3D3D3D"/>
                <w:spacing w:val="-15"/>
                <w:w w:val="95"/>
                <w:sz w:val="20"/>
                <w:u w:val="single" w:color="000000"/>
              </w:rPr>
              <w:t>17</w:t>
            </w:r>
            <w:r>
              <w:rPr>
                <w:rFonts w:ascii="Courier New"/>
                <w:color w:val="5D5D5D"/>
                <w:spacing w:val="-15"/>
                <w:w w:val="95"/>
                <w:sz w:val="20"/>
                <w:u w:val="single" w:color="000000"/>
              </w:rPr>
              <w:t>,</w:t>
            </w:r>
            <w:r>
              <w:rPr>
                <w:rFonts w:ascii="Courier New"/>
                <w:color w:val="3D3D3D"/>
                <w:spacing w:val="-15"/>
                <w:w w:val="95"/>
                <w:sz w:val="20"/>
                <w:u w:val="single" w:color="000000"/>
              </w:rPr>
              <w:t>194</w:t>
              <w:tab/>
            </w:r>
            <w:r>
              <w:rPr>
                <w:rFonts w:ascii="Courier New"/>
                <w:color w:val="3D3D3D"/>
                <w:w w:val="95"/>
                <w:sz w:val="20"/>
                <w:u w:val="single" w:color="000000"/>
              </w:rPr>
              <w:t>1,005</w:t>
            </w:r>
            <w:r>
              <w:rPr>
                <w:rFonts w:ascii="Courier New"/>
                <w:color w:val="3D3D3D"/>
                <w:sz w:val="20"/>
                <w:u w:val="single" w:color="000000"/>
              </w:rPr>
              <w:tab/>
            </w:r>
          </w:p>
        </w:tc>
        <w:tc>
          <w:tcPr>
            <w:tcW w:w="1947" w:type="dxa"/>
            <w:gridSpan w:val="2"/>
          </w:tcPr>
          <w:p>
            <w:pPr>
              <w:pStyle w:val="TableParagraph"/>
              <w:tabs>
                <w:tab w:pos="1079" w:val="left" w:leader="none"/>
              </w:tabs>
              <w:spacing w:before="4"/>
              <w:ind w:right="127"/>
              <w:jc w:val="right"/>
              <w:rPr>
                <w:rFonts w:ascii="Courier New"/>
                <w:sz w:val="20"/>
              </w:rPr>
            </w:pPr>
            <w:r>
              <w:rPr>
                <w:rFonts w:ascii="Courier New"/>
                <w:color w:val="3D3D3D"/>
                <w:w w:val="95"/>
                <w:sz w:val="20"/>
                <w:u w:val="single" w:color="000000"/>
              </w:rPr>
              <w:t>235</w:t>
              <w:tab/>
            </w:r>
            <w:r>
              <w:rPr>
                <w:rFonts w:ascii="Courier New"/>
                <w:color w:val="3D3D3D"/>
                <w:spacing w:val="-2"/>
                <w:w w:val="85"/>
                <w:position w:val="1"/>
                <w:sz w:val="20"/>
                <w:u w:val="single" w:color="000000"/>
              </w:rPr>
              <w:t>225</w:t>
            </w:r>
          </w:p>
          <w:p>
            <w:pPr>
              <w:pStyle w:val="TableParagraph"/>
              <w:tabs>
                <w:tab w:pos="1128" w:val="left" w:leader="none"/>
              </w:tabs>
              <w:spacing w:line="207" w:lineRule="exact" w:before="4"/>
              <w:ind w:right="131"/>
              <w:jc w:val="right"/>
              <w:rPr>
                <w:rFonts w:ascii="Courier New"/>
                <w:sz w:val="20"/>
              </w:rPr>
            </w:pPr>
            <w:r>
              <w:rPr>
                <w:rFonts w:ascii="Courier New"/>
                <w:color w:val="3D3D3D"/>
                <w:spacing w:val="-3"/>
                <w:w w:val="85"/>
                <w:sz w:val="20"/>
                <w:u w:val="single" w:color="000000"/>
              </w:rPr>
              <w:t>18</w:t>
            </w:r>
            <w:r>
              <w:rPr>
                <w:rFonts w:ascii="Courier New"/>
                <w:color w:val="5D5D5D"/>
                <w:spacing w:val="-3"/>
                <w:w w:val="85"/>
                <w:sz w:val="20"/>
                <w:u w:val="single" w:color="000000"/>
              </w:rPr>
              <w:t>,</w:t>
            </w:r>
            <w:r>
              <w:rPr>
                <w:rFonts w:ascii="Courier New"/>
                <w:color w:val="3D3D3D"/>
                <w:spacing w:val="-3"/>
                <w:w w:val="85"/>
                <w:sz w:val="20"/>
                <w:u w:val="single" w:color="000000"/>
              </w:rPr>
              <w:t>199</w:t>
              <w:tab/>
            </w:r>
            <w:r>
              <w:rPr>
                <w:rFonts w:ascii="Courier New"/>
                <w:color w:val="3D3D3D"/>
                <w:spacing w:val="-2"/>
                <w:w w:val="70"/>
                <w:sz w:val="20"/>
                <w:u w:val="single" w:color="000000"/>
              </w:rPr>
              <w:t>17,326</w:t>
            </w:r>
          </w:p>
        </w:tc>
      </w:tr>
      <w:tr>
        <w:trPr>
          <w:trHeight w:val="227" w:hRule="atLeast"/>
        </w:trPr>
        <w:tc>
          <w:tcPr>
            <w:tcW w:w="3644" w:type="dxa"/>
          </w:tcPr>
          <w:p>
            <w:pPr>
              <w:pStyle w:val="TableParagraph"/>
              <w:spacing w:line="187" w:lineRule="exact"/>
              <w:ind w:left="56"/>
              <w:rPr>
                <w:b/>
                <w:sz w:val="18"/>
              </w:rPr>
            </w:pPr>
            <w:r>
              <w:rPr>
                <w:b/>
                <w:color w:val="232323"/>
                <w:w w:val="105"/>
                <w:sz w:val="18"/>
              </w:rPr>
              <w:t>Training</w:t>
            </w:r>
          </w:p>
        </w:tc>
        <w:tc>
          <w:tcPr>
            <w:tcW w:w="1690" w:type="dxa"/>
          </w:tcPr>
          <w:p>
            <w:pPr>
              <w:pStyle w:val="TableParagraph"/>
              <w:rPr>
                <w:sz w:val="14"/>
              </w:rPr>
            </w:pPr>
          </w:p>
        </w:tc>
        <w:tc>
          <w:tcPr>
            <w:tcW w:w="1231" w:type="dxa"/>
          </w:tcPr>
          <w:p>
            <w:pPr>
              <w:pStyle w:val="TableParagraph"/>
              <w:rPr>
                <w:sz w:val="14"/>
              </w:rPr>
            </w:pPr>
          </w:p>
        </w:tc>
        <w:tc>
          <w:tcPr>
            <w:tcW w:w="1225" w:type="dxa"/>
          </w:tcPr>
          <w:p>
            <w:pPr>
              <w:pStyle w:val="TableParagraph"/>
              <w:rPr>
                <w:sz w:val="14"/>
              </w:rPr>
            </w:pPr>
          </w:p>
        </w:tc>
        <w:tc>
          <w:tcPr>
            <w:tcW w:w="722" w:type="dxa"/>
          </w:tcPr>
          <w:p>
            <w:pPr>
              <w:pStyle w:val="TableParagraph"/>
              <w:rPr>
                <w:sz w:val="14"/>
              </w:rPr>
            </w:pPr>
          </w:p>
        </w:tc>
      </w:tr>
      <w:tr>
        <w:trPr>
          <w:trHeight w:val="239" w:hRule="atLeast"/>
        </w:trPr>
        <w:tc>
          <w:tcPr>
            <w:tcW w:w="3644" w:type="dxa"/>
          </w:tcPr>
          <w:p>
            <w:pPr>
              <w:pStyle w:val="TableParagraph"/>
              <w:spacing w:before="6"/>
              <w:ind w:left="68"/>
              <w:rPr>
                <w:sz w:val="18"/>
              </w:rPr>
            </w:pPr>
            <w:r>
              <w:rPr>
                <w:color w:val="3D3D3D"/>
                <w:w w:val="105"/>
                <w:sz w:val="18"/>
              </w:rPr>
              <w:t>Initial training for stipendiary ministry</w:t>
            </w:r>
          </w:p>
        </w:tc>
        <w:tc>
          <w:tcPr>
            <w:tcW w:w="1690" w:type="dxa"/>
          </w:tcPr>
          <w:p>
            <w:pPr>
              <w:pStyle w:val="TableParagraph"/>
              <w:spacing w:line="212" w:lineRule="exact" w:before="8"/>
              <w:ind w:right="277"/>
              <w:jc w:val="right"/>
              <w:rPr>
                <w:rFonts w:ascii="Courier New"/>
                <w:sz w:val="20"/>
              </w:rPr>
            </w:pPr>
            <w:r>
              <w:rPr>
                <w:rFonts w:ascii="Courier New"/>
                <w:color w:val="3D3D3D"/>
                <w:w w:val="90"/>
                <w:sz w:val="20"/>
              </w:rPr>
              <w:t>947</w:t>
            </w:r>
          </w:p>
        </w:tc>
        <w:tc>
          <w:tcPr>
            <w:tcW w:w="1231" w:type="dxa"/>
          </w:tcPr>
          <w:p>
            <w:pPr>
              <w:pStyle w:val="TableParagraph"/>
              <w:spacing w:line="212" w:lineRule="exact" w:before="8"/>
              <w:ind w:left="371" w:right="362"/>
              <w:jc w:val="center"/>
              <w:rPr>
                <w:rFonts w:ascii="Courier New"/>
                <w:sz w:val="20"/>
              </w:rPr>
            </w:pPr>
            <w:r>
              <w:rPr>
                <w:rFonts w:ascii="Courier New"/>
                <w:color w:val="3D3D3D"/>
                <w:w w:val="95"/>
                <w:sz w:val="20"/>
              </w:rPr>
              <w:t>475</w:t>
            </w:r>
          </w:p>
        </w:tc>
        <w:tc>
          <w:tcPr>
            <w:tcW w:w="1225" w:type="dxa"/>
          </w:tcPr>
          <w:p>
            <w:pPr>
              <w:pStyle w:val="TableParagraph"/>
              <w:spacing w:line="212" w:lineRule="exact" w:before="8"/>
              <w:ind w:right="555"/>
              <w:jc w:val="right"/>
              <w:rPr>
                <w:rFonts w:ascii="Courier New"/>
                <w:sz w:val="20"/>
              </w:rPr>
            </w:pPr>
            <w:r>
              <w:rPr>
                <w:rFonts w:ascii="Courier New"/>
                <w:color w:val="151515"/>
                <w:w w:val="85"/>
                <w:sz w:val="20"/>
              </w:rPr>
              <w:t>1</w:t>
            </w:r>
            <w:r>
              <w:rPr>
                <w:rFonts w:ascii="Courier New"/>
                <w:color w:val="3D3D3D"/>
                <w:w w:val="85"/>
                <w:sz w:val="20"/>
              </w:rPr>
              <w:t>,422</w:t>
            </w:r>
          </w:p>
        </w:tc>
        <w:tc>
          <w:tcPr>
            <w:tcW w:w="722" w:type="dxa"/>
          </w:tcPr>
          <w:p>
            <w:pPr>
              <w:pStyle w:val="TableParagraph"/>
              <w:spacing w:line="212" w:lineRule="exact" w:before="8"/>
              <w:ind w:right="84"/>
              <w:jc w:val="right"/>
              <w:rPr>
                <w:rFonts w:ascii="Courier New"/>
                <w:sz w:val="20"/>
              </w:rPr>
            </w:pPr>
            <w:r>
              <w:rPr>
                <w:rFonts w:ascii="Courier New"/>
                <w:color w:val="3D3D3D"/>
                <w:sz w:val="20"/>
              </w:rPr>
              <w:t>1</w:t>
            </w:r>
            <w:r>
              <w:rPr>
                <w:rFonts w:ascii="Courier New"/>
                <w:color w:val="5D5D5D"/>
                <w:sz w:val="20"/>
              </w:rPr>
              <w:t>,</w:t>
            </w:r>
            <w:r>
              <w:rPr>
                <w:rFonts w:ascii="Courier New"/>
                <w:color w:val="3D3D3D"/>
                <w:sz w:val="20"/>
              </w:rPr>
              <w:t>420</w:t>
            </w:r>
          </w:p>
        </w:tc>
      </w:tr>
      <w:tr>
        <w:trPr>
          <w:trHeight w:val="232" w:hRule="atLeast"/>
        </w:trPr>
        <w:tc>
          <w:tcPr>
            <w:tcW w:w="3644" w:type="dxa"/>
          </w:tcPr>
          <w:p>
            <w:pPr>
              <w:pStyle w:val="TableParagraph"/>
              <w:spacing w:line="205" w:lineRule="exact"/>
              <w:ind w:left="57"/>
              <w:rPr>
                <w:sz w:val="18"/>
              </w:rPr>
            </w:pPr>
            <w:r>
              <w:rPr>
                <w:color w:val="3D3D3D"/>
                <w:w w:val="105"/>
                <w:sz w:val="18"/>
              </w:rPr>
              <w:t>Training for non-stipendiary ministry</w:t>
            </w:r>
          </w:p>
        </w:tc>
        <w:tc>
          <w:tcPr>
            <w:tcW w:w="1690" w:type="dxa"/>
          </w:tcPr>
          <w:p>
            <w:pPr>
              <w:pStyle w:val="TableParagraph"/>
              <w:spacing w:line="204" w:lineRule="exact" w:before="9"/>
              <w:ind w:right="284"/>
              <w:jc w:val="right"/>
              <w:rPr>
                <w:rFonts w:ascii="Courier New"/>
                <w:sz w:val="20"/>
              </w:rPr>
            </w:pPr>
            <w:r>
              <w:rPr>
                <w:rFonts w:ascii="Courier New"/>
                <w:color w:val="3D3D3D"/>
                <w:w w:val="90"/>
                <w:sz w:val="20"/>
              </w:rPr>
              <w:t>8</w:t>
            </w:r>
            <w:r>
              <w:rPr>
                <w:rFonts w:ascii="Courier New"/>
                <w:color w:val="232323"/>
                <w:w w:val="90"/>
                <w:sz w:val="20"/>
              </w:rPr>
              <w:t>1</w:t>
            </w:r>
          </w:p>
        </w:tc>
        <w:tc>
          <w:tcPr>
            <w:tcW w:w="1231" w:type="dxa"/>
          </w:tcPr>
          <w:p>
            <w:pPr>
              <w:pStyle w:val="TableParagraph"/>
              <w:rPr>
                <w:sz w:val="16"/>
              </w:rPr>
            </w:pPr>
          </w:p>
        </w:tc>
        <w:tc>
          <w:tcPr>
            <w:tcW w:w="1225" w:type="dxa"/>
          </w:tcPr>
          <w:p>
            <w:pPr>
              <w:pStyle w:val="TableParagraph"/>
              <w:spacing w:line="204" w:lineRule="exact" w:before="9"/>
              <w:ind w:right="612"/>
              <w:jc w:val="right"/>
              <w:rPr>
                <w:rFonts w:ascii="Courier New"/>
                <w:sz w:val="20"/>
              </w:rPr>
            </w:pPr>
            <w:r>
              <w:rPr>
                <w:rFonts w:ascii="Courier New"/>
                <w:color w:val="3D3D3D"/>
                <w:w w:val="85"/>
                <w:sz w:val="20"/>
              </w:rPr>
              <w:t>8</w:t>
            </w:r>
            <w:r>
              <w:rPr>
                <w:rFonts w:ascii="Courier New"/>
                <w:color w:val="232323"/>
                <w:w w:val="85"/>
                <w:sz w:val="20"/>
              </w:rPr>
              <w:t>1</w:t>
            </w:r>
          </w:p>
        </w:tc>
        <w:tc>
          <w:tcPr>
            <w:tcW w:w="722" w:type="dxa"/>
          </w:tcPr>
          <w:p>
            <w:pPr>
              <w:pStyle w:val="TableParagraph"/>
              <w:spacing w:line="204" w:lineRule="exact" w:before="9"/>
              <w:ind w:right="130"/>
              <w:jc w:val="right"/>
              <w:rPr>
                <w:rFonts w:ascii="Courier New"/>
                <w:sz w:val="20"/>
              </w:rPr>
            </w:pPr>
            <w:r>
              <w:rPr>
                <w:rFonts w:ascii="Courier New"/>
                <w:color w:val="3D3D3D"/>
                <w:w w:val="85"/>
                <w:sz w:val="20"/>
              </w:rPr>
              <w:t>9</w:t>
            </w:r>
            <w:r>
              <w:rPr>
                <w:rFonts w:ascii="Courier New"/>
                <w:color w:val="232323"/>
                <w:w w:val="85"/>
                <w:sz w:val="20"/>
              </w:rPr>
              <w:t>1</w:t>
            </w:r>
          </w:p>
        </w:tc>
      </w:tr>
      <w:tr>
        <w:trPr>
          <w:trHeight w:val="230" w:hRule="atLeast"/>
        </w:trPr>
        <w:tc>
          <w:tcPr>
            <w:tcW w:w="3644" w:type="dxa"/>
          </w:tcPr>
          <w:p>
            <w:pPr>
              <w:pStyle w:val="TableParagraph"/>
              <w:spacing w:line="203" w:lineRule="exact"/>
              <w:ind w:left="56"/>
              <w:rPr>
                <w:sz w:val="18"/>
              </w:rPr>
            </w:pPr>
            <w:r>
              <w:rPr>
                <w:color w:val="232323"/>
                <w:w w:val="105"/>
                <w:sz w:val="18"/>
              </w:rPr>
              <w:t>O </w:t>
            </w:r>
            <w:r>
              <w:rPr>
                <w:color w:val="3D3D3D"/>
                <w:w w:val="105"/>
                <w:sz w:val="18"/>
              </w:rPr>
              <w:t>ngoing training for m</w:t>
            </w:r>
            <w:r>
              <w:rPr>
                <w:color w:val="232323"/>
                <w:w w:val="105"/>
                <w:sz w:val="18"/>
              </w:rPr>
              <w:t>i</w:t>
            </w:r>
            <w:r>
              <w:rPr>
                <w:color w:val="3D3D3D"/>
                <w:w w:val="105"/>
                <w:sz w:val="18"/>
              </w:rPr>
              <w:t>nistry</w:t>
            </w:r>
          </w:p>
        </w:tc>
        <w:tc>
          <w:tcPr>
            <w:tcW w:w="1690" w:type="dxa"/>
          </w:tcPr>
          <w:p>
            <w:pPr>
              <w:pStyle w:val="TableParagraph"/>
              <w:spacing w:line="204" w:lineRule="exact" w:before="7"/>
              <w:ind w:right="284"/>
              <w:jc w:val="right"/>
              <w:rPr>
                <w:rFonts w:ascii="Courier New"/>
                <w:sz w:val="20"/>
              </w:rPr>
            </w:pPr>
            <w:r>
              <w:rPr>
                <w:rFonts w:ascii="Courier New"/>
                <w:color w:val="3D3D3D"/>
                <w:w w:val="85"/>
                <w:sz w:val="20"/>
              </w:rPr>
              <w:t>149</w:t>
            </w:r>
          </w:p>
        </w:tc>
        <w:tc>
          <w:tcPr>
            <w:tcW w:w="1231" w:type="dxa"/>
          </w:tcPr>
          <w:p>
            <w:pPr>
              <w:pStyle w:val="TableParagraph"/>
              <w:rPr>
                <w:sz w:val="16"/>
              </w:rPr>
            </w:pPr>
          </w:p>
        </w:tc>
        <w:tc>
          <w:tcPr>
            <w:tcW w:w="1225" w:type="dxa"/>
          </w:tcPr>
          <w:p>
            <w:pPr>
              <w:pStyle w:val="TableParagraph"/>
              <w:spacing w:line="211" w:lineRule="exact"/>
              <w:ind w:right="622"/>
              <w:jc w:val="right"/>
              <w:rPr>
                <w:rFonts w:ascii="Courier New"/>
                <w:sz w:val="20"/>
              </w:rPr>
            </w:pPr>
            <w:r>
              <w:rPr>
                <w:rFonts w:ascii="Courier New"/>
                <w:color w:val="151515"/>
                <w:w w:val="85"/>
                <w:sz w:val="20"/>
              </w:rPr>
              <w:t>1</w:t>
            </w:r>
            <w:r>
              <w:rPr>
                <w:rFonts w:ascii="Courier New"/>
                <w:color w:val="3D3D3D"/>
                <w:w w:val="85"/>
                <w:sz w:val="20"/>
              </w:rPr>
              <w:t>49</w:t>
            </w:r>
          </w:p>
        </w:tc>
        <w:tc>
          <w:tcPr>
            <w:tcW w:w="722" w:type="dxa"/>
          </w:tcPr>
          <w:p>
            <w:pPr>
              <w:pStyle w:val="TableParagraph"/>
              <w:spacing w:line="204" w:lineRule="exact" w:before="7"/>
              <w:ind w:right="139"/>
              <w:jc w:val="right"/>
              <w:rPr>
                <w:rFonts w:ascii="Courier New"/>
                <w:sz w:val="20"/>
              </w:rPr>
            </w:pPr>
            <w:r>
              <w:rPr>
                <w:rFonts w:ascii="Courier New"/>
                <w:color w:val="151515"/>
                <w:w w:val="85"/>
                <w:sz w:val="20"/>
              </w:rPr>
              <w:t>1</w:t>
            </w:r>
            <w:r>
              <w:rPr>
                <w:rFonts w:ascii="Courier New"/>
                <w:color w:val="3D3D3D"/>
                <w:w w:val="85"/>
                <w:sz w:val="20"/>
              </w:rPr>
              <w:t>76</w:t>
            </w:r>
          </w:p>
        </w:tc>
      </w:tr>
      <w:tr>
        <w:trPr>
          <w:trHeight w:val="224" w:hRule="atLeast"/>
        </w:trPr>
        <w:tc>
          <w:tcPr>
            <w:tcW w:w="3644" w:type="dxa"/>
          </w:tcPr>
          <w:p>
            <w:pPr>
              <w:pStyle w:val="TableParagraph"/>
              <w:spacing w:line="203" w:lineRule="exact"/>
              <w:ind w:left="59"/>
              <w:rPr>
                <w:sz w:val="18"/>
              </w:rPr>
            </w:pPr>
            <w:r>
              <w:rPr>
                <w:color w:val="3D3D3D"/>
                <w:w w:val="105"/>
                <w:sz w:val="18"/>
              </w:rPr>
              <w:t>Lay tra</w:t>
            </w:r>
            <w:r>
              <w:rPr>
                <w:color w:val="232323"/>
                <w:w w:val="105"/>
                <w:sz w:val="18"/>
              </w:rPr>
              <w:t>i</w:t>
            </w:r>
            <w:r>
              <w:rPr>
                <w:color w:val="3D3D3D"/>
                <w:w w:val="105"/>
                <w:sz w:val="18"/>
              </w:rPr>
              <w:t>ning</w:t>
            </w:r>
          </w:p>
        </w:tc>
        <w:tc>
          <w:tcPr>
            <w:tcW w:w="1690" w:type="dxa"/>
          </w:tcPr>
          <w:p>
            <w:pPr>
              <w:pStyle w:val="TableParagraph"/>
              <w:spacing w:line="204" w:lineRule="exact"/>
              <w:ind w:right="281"/>
              <w:jc w:val="right"/>
              <w:rPr>
                <w:rFonts w:ascii="Courier New"/>
                <w:sz w:val="20"/>
              </w:rPr>
            </w:pPr>
            <w:r>
              <w:rPr>
                <w:rFonts w:ascii="Courier New"/>
                <w:color w:val="3D3D3D"/>
                <w:w w:val="85"/>
                <w:sz w:val="20"/>
              </w:rPr>
              <w:t>130</w:t>
            </w:r>
          </w:p>
        </w:tc>
        <w:tc>
          <w:tcPr>
            <w:tcW w:w="1231" w:type="dxa"/>
          </w:tcPr>
          <w:p>
            <w:pPr>
              <w:pStyle w:val="TableParagraph"/>
              <w:rPr>
                <w:sz w:val="16"/>
              </w:rPr>
            </w:pPr>
          </w:p>
        </w:tc>
        <w:tc>
          <w:tcPr>
            <w:tcW w:w="1225" w:type="dxa"/>
          </w:tcPr>
          <w:p>
            <w:pPr>
              <w:pStyle w:val="TableParagraph"/>
              <w:spacing w:line="204" w:lineRule="exact"/>
              <w:ind w:right="599"/>
              <w:jc w:val="right"/>
              <w:rPr>
                <w:rFonts w:ascii="Courier New"/>
                <w:sz w:val="20"/>
              </w:rPr>
            </w:pPr>
            <w:r>
              <w:rPr>
                <w:rFonts w:ascii="Courier New"/>
                <w:color w:val="3D3D3D"/>
                <w:w w:val="85"/>
                <w:sz w:val="20"/>
              </w:rPr>
              <w:t>130</w:t>
            </w:r>
          </w:p>
        </w:tc>
        <w:tc>
          <w:tcPr>
            <w:tcW w:w="722" w:type="dxa"/>
          </w:tcPr>
          <w:p>
            <w:pPr>
              <w:pStyle w:val="TableParagraph"/>
              <w:spacing w:line="204" w:lineRule="exact"/>
              <w:ind w:right="128"/>
              <w:jc w:val="right"/>
              <w:rPr>
                <w:rFonts w:ascii="Courier New"/>
                <w:sz w:val="20"/>
              </w:rPr>
            </w:pPr>
            <w:r>
              <w:rPr>
                <w:rFonts w:ascii="Courier New"/>
                <w:color w:val="3D3D3D"/>
                <w:w w:val="80"/>
                <w:sz w:val="20"/>
              </w:rPr>
              <w:t>133</w:t>
            </w:r>
          </w:p>
        </w:tc>
      </w:tr>
      <w:tr>
        <w:trPr>
          <w:trHeight w:val="471" w:hRule="atLeast"/>
        </w:trPr>
        <w:tc>
          <w:tcPr>
            <w:tcW w:w="7790" w:type="dxa"/>
            <w:gridSpan w:val="4"/>
          </w:tcPr>
          <w:p>
            <w:pPr>
              <w:pStyle w:val="TableParagraph"/>
              <w:tabs>
                <w:tab w:pos="3693" w:val="left" w:leader="none"/>
                <w:tab w:pos="4740" w:val="left" w:leader="none"/>
                <w:tab w:pos="6565" w:val="left" w:leader="none"/>
                <w:tab w:pos="6878" w:val="left" w:leader="none"/>
                <w:tab w:pos="7962" w:val="left" w:leader="none"/>
              </w:tabs>
              <w:spacing w:before="2"/>
              <w:ind w:left="59" w:right="-188"/>
              <w:rPr>
                <w:rFonts w:ascii="Courier New"/>
                <w:sz w:val="20"/>
              </w:rPr>
            </w:pPr>
            <w:r>
              <w:rPr>
                <w:color w:val="3D3D3D"/>
                <w:sz w:val="18"/>
              </w:rPr>
              <w:t>Education  and</w:t>
            </w:r>
            <w:r>
              <w:rPr>
                <w:color w:val="3D3D3D"/>
                <w:spacing w:val="-8"/>
                <w:sz w:val="18"/>
              </w:rPr>
              <w:t> </w:t>
            </w:r>
            <w:r>
              <w:rPr>
                <w:color w:val="232323"/>
                <w:sz w:val="18"/>
              </w:rPr>
              <w:t>L</w:t>
            </w:r>
            <w:r>
              <w:rPr>
                <w:color w:val="3D3D3D"/>
                <w:sz w:val="18"/>
              </w:rPr>
              <w:t>earning</w:t>
            </w:r>
            <w:r>
              <w:rPr>
                <w:color w:val="3D3D3D"/>
                <w:spacing w:val="-10"/>
                <w:sz w:val="18"/>
              </w:rPr>
              <w:t> </w:t>
            </w:r>
            <w:r>
              <w:rPr>
                <w:color w:val="3D3D3D"/>
                <w:sz w:val="18"/>
              </w:rPr>
              <w:t>committee</w:t>
              <w:tab/>
            </w:r>
            <w:r>
              <w:rPr>
                <w:color w:val="3D3D3D"/>
                <w:sz w:val="18"/>
                <w:u w:val="single" w:color="000000"/>
              </w:rPr>
              <w:t> </w:t>
              <w:tab/>
            </w:r>
            <w:r>
              <w:rPr>
                <w:rFonts w:ascii="Courier New"/>
                <w:color w:val="3D3D3D"/>
                <w:sz w:val="20"/>
                <w:u w:val="single" w:color="000000"/>
              </w:rPr>
              <w:t>145</w:t>
              <w:tab/>
            </w:r>
            <w:r>
              <w:rPr>
                <w:rFonts w:ascii="Courier New"/>
                <w:color w:val="3D3D3D"/>
                <w:sz w:val="20"/>
              </w:rPr>
              <w:tab/>
            </w:r>
            <w:r>
              <w:rPr>
                <w:rFonts w:ascii="Courier New"/>
                <w:color w:val="232323"/>
                <w:spacing w:val="-10"/>
                <w:sz w:val="20"/>
                <w:u w:val="single" w:color="000000"/>
              </w:rPr>
              <w:t>1</w:t>
            </w:r>
            <w:r>
              <w:rPr>
                <w:rFonts w:ascii="Courier New"/>
                <w:color w:val="3D3D3D"/>
                <w:spacing w:val="-10"/>
                <w:sz w:val="20"/>
                <w:u w:val="single" w:color="000000"/>
              </w:rPr>
              <w:t>45</w:t>
              <w:tab/>
            </w:r>
          </w:p>
          <w:p>
            <w:pPr>
              <w:pStyle w:val="TableParagraph"/>
              <w:tabs>
                <w:tab w:pos="4595" w:val="left" w:leader="none"/>
                <w:tab w:pos="5791" w:val="left" w:leader="none"/>
                <w:tab w:pos="6658" w:val="left" w:leader="none"/>
                <w:tab w:pos="7733" w:val="left" w:leader="none"/>
              </w:tabs>
              <w:spacing w:line="216" w:lineRule="exact" w:before="5"/>
              <w:ind w:left="3693"/>
              <w:rPr>
                <w:rFonts w:ascii="Courier New"/>
                <w:sz w:val="20"/>
              </w:rPr>
            </w:pPr>
            <w:r>
              <w:rPr>
                <w:rFonts w:ascii="Courier New"/>
                <w:color w:val="3D3D3D"/>
                <w:w w:val="100"/>
                <w:sz w:val="20"/>
                <w:u w:val="thick" w:color="000000"/>
              </w:rPr>
              <w:t> </w:t>
            </w:r>
            <w:r>
              <w:rPr>
                <w:rFonts w:ascii="Courier New"/>
                <w:color w:val="3D3D3D"/>
                <w:sz w:val="20"/>
                <w:u w:val="thick" w:color="000000"/>
              </w:rPr>
              <w:tab/>
            </w:r>
            <w:r>
              <w:rPr>
                <w:rFonts w:ascii="Courier New"/>
                <w:color w:val="3D3D3D"/>
                <w:spacing w:val="-26"/>
                <w:sz w:val="20"/>
                <w:u w:val="thick" w:color="000000"/>
              </w:rPr>
              <w:t>1</w:t>
            </w:r>
            <w:r>
              <w:rPr>
                <w:rFonts w:ascii="Courier New"/>
                <w:color w:val="5D5D5D"/>
                <w:spacing w:val="-26"/>
                <w:sz w:val="20"/>
                <w:u w:val="thick" w:color="000000"/>
              </w:rPr>
              <w:t>,</w:t>
            </w:r>
            <w:r>
              <w:rPr>
                <w:rFonts w:ascii="Courier New"/>
                <w:color w:val="232323"/>
                <w:spacing w:val="-26"/>
                <w:sz w:val="20"/>
                <w:u w:val="thick" w:color="000000"/>
              </w:rPr>
              <w:t>4</w:t>
            </w:r>
            <w:r>
              <w:rPr>
                <w:rFonts w:ascii="Courier New"/>
                <w:color w:val="3D3D3D"/>
                <w:spacing w:val="-26"/>
                <w:sz w:val="20"/>
                <w:u w:val="thick" w:color="000000"/>
              </w:rPr>
              <w:t>52</w:t>
              <w:tab/>
            </w:r>
            <w:r>
              <w:rPr>
                <w:rFonts w:ascii="Courier New"/>
                <w:color w:val="3D3D3D"/>
                <w:sz w:val="20"/>
                <w:u w:val="thick" w:color="000000"/>
              </w:rPr>
              <w:t>475</w:t>
              <w:tab/>
              <w:t>1,927</w:t>
              <w:tab/>
            </w:r>
          </w:p>
        </w:tc>
        <w:tc>
          <w:tcPr>
            <w:tcW w:w="722" w:type="dxa"/>
          </w:tcPr>
          <w:p>
            <w:pPr>
              <w:pStyle w:val="TableParagraph"/>
              <w:spacing w:before="4"/>
              <w:ind w:right="121"/>
              <w:jc w:val="right"/>
              <w:rPr>
                <w:rFonts w:ascii="Courier New"/>
                <w:sz w:val="20"/>
              </w:rPr>
            </w:pPr>
            <w:r>
              <w:rPr>
                <w:rFonts w:ascii="Courier New"/>
                <w:color w:val="3D3D3D"/>
                <w:spacing w:val="-2"/>
                <w:w w:val="85"/>
                <w:sz w:val="20"/>
                <w:u w:val="single" w:color="000000"/>
              </w:rPr>
              <w:t>156</w:t>
            </w:r>
          </w:p>
          <w:p>
            <w:pPr>
              <w:pStyle w:val="TableParagraph"/>
              <w:spacing w:line="207" w:lineRule="exact" w:before="14"/>
              <w:ind w:right="90"/>
              <w:jc w:val="right"/>
              <w:rPr>
                <w:rFonts w:ascii="Courier New"/>
                <w:sz w:val="20"/>
              </w:rPr>
            </w:pPr>
            <w:r>
              <w:rPr>
                <w:rFonts w:ascii="Courier New"/>
                <w:color w:val="3D3D3D"/>
                <w:spacing w:val="-23"/>
                <w:sz w:val="20"/>
                <w:u w:val="thick" w:color="000000"/>
              </w:rPr>
              <w:t>1</w:t>
            </w:r>
            <w:r>
              <w:rPr>
                <w:rFonts w:ascii="Courier New"/>
                <w:color w:val="5D5D5D"/>
                <w:spacing w:val="-23"/>
                <w:sz w:val="20"/>
                <w:u w:val="thick" w:color="000000"/>
              </w:rPr>
              <w:t>,</w:t>
            </w:r>
            <w:r>
              <w:rPr>
                <w:rFonts w:ascii="Courier New"/>
                <w:color w:val="3D3D3D"/>
                <w:spacing w:val="-23"/>
                <w:sz w:val="20"/>
                <w:u w:val="thick" w:color="000000"/>
              </w:rPr>
              <w:t>976</w:t>
            </w:r>
          </w:p>
        </w:tc>
      </w:tr>
      <w:tr>
        <w:trPr>
          <w:trHeight w:val="227" w:hRule="atLeast"/>
        </w:trPr>
        <w:tc>
          <w:tcPr>
            <w:tcW w:w="3644" w:type="dxa"/>
          </w:tcPr>
          <w:p>
            <w:pPr>
              <w:pStyle w:val="TableParagraph"/>
              <w:spacing w:line="187" w:lineRule="exact"/>
              <w:ind w:left="59"/>
              <w:rPr>
                <w:b/>
                <w:sz w:val="18"/>
              </w:rPr>
            </w:pPr>
            <w:r>
              <w:rPr>
                <w:b/>
                <w:color w:val="3D3D3D"/>
                <w:sz w:val="18"/>
              </w:rPr>
              <w:t>M iss</w:t>
            </w:r>
            <w:r>
              <w:rPr>
                <w:b/>
                <w:color w:val="151515"/>
                <w:sz w:val="18"/>
              </w:rPr>
              <w:t>ion</w:t>
            </w:r>
          </w:p>
        </w:tc>
        <w:tc>
          <w:tcPr>
            <w:tcW w:w="1690" w:type="dxa"/>
          </w:tcPr>
          <w:p>
            <w:pPr>
              <w:pStyle w:val="TableParagraph"/>
              <w:rPr>
                <w:sz w:val="14"/>
              </w:rPr>
            </w:pPr>
          </w:p>
        </w:tc>
        <w:tc>
          <w:tcPr>
            <w:tcW w:w="1231" w:type="dxa"/>
          </w:tcPr>
          <w:p>
            <w:pPr>
              <w:pStyle w:val="TableParagraph"/>
              <w:rPr>
                <w:sz w:val="14"/>
              </w:rPr>
            </w:pPr>
          </w:p>
        </w:tc>
        <w:tc>
          <w:tcPr>
            <w:tcW w:w="1225" w:type="dxa"/>
          </w:tcPr>
          <w:p>
            <w:pPr>
              <w:pStyle w:val="TableParagraph"/>
              <w:rPr>
                <w:sz w:val="14"/>
              </w:rPr>
            </w:pPr>
          </w:p>
        </w:tc>
        <w:tc>
          <w:tcPr>
            <w:tcW w:w="722" w:type="dxa"/>
          </w:tcPr>
          <w:p>
            <w:pPr>
              <w:pStyle w:val="TableParagraph"/>
              <w:rPr>
                <w:sz w:val="14"/>
              </w:rPr>
            </w:pPr>
          </w:p>
        </w:tc>
      </w:tr>
      <w:tr>
        <w:trPr>
          <w:trHeight w:val="231" w:hRule="atLeast"/>
        </w:trPr>
        <w:tc>
          <w:tcPr>
            <w:tcW w:w="3644" w:type="dxa"/>
          </w:tcPr>
          <w:p>
            <w:pPr>
              <w:pStyle w:val="TableParagraph"/>
              <w:spacing w:line="205" w:lineRule="exact" w:before="6"/>
              <w:ind w:left="56"/>
              <w:rPr>
                <w:sz w:val="18"/>
              </w:rPr>
            </w:pPr>
            <w:r>
              <w:rPr>
                <w:color w:val="3D3D3D"/>
                <w:w w:val="105"/>
                <w:sz w:val="18"/>
              </w:rPr>
              <w:t>Grants to local churches</w:t>
            </w:r>
          </w:p>
        </w:tc>
        <w:tc>
          <w:tcPr>
            <w:tcW w:w="1690" w:type="dxa"/>
          </w:tcPr>
          <w:p>
            <w:pPr>
              <w:pStyle w:val="TableParagraph"/>
              <w:rPr>
                <w:sz w:val="16"/>
              </w:rPr>
            </w:pPr>
          </w:p>
        </w:tc>
        <w:tc>
          <w:tcPr>
            <w:tcW w:w="1231" w:type="dxa"/>
          </w:tcPr>
          <w:p>
            <w:pPr>
              <w:pStyle w:val="TableParagraph"/>
              <w:spacing w:line="204" w:lineRule="exact" w:before="8"/>
              <w:ind w:left="378" w:right="352"/>
              <w:jc w:val="center"/>
              <w:rPr>
                <w:rFonts w:ascii="Courier New"/>
                <w:sz w:val="20"/>
              </w:rPr>
            </w:pPr>
            <w:r>
              <w:rPr>
                <w:rFonts w:ascii="Courier New"/>
                <w:color w:val="3D3D3D"/>
                <w:w w:val="95"/>
                <w:sz w:val="20"/>
              </w:rPr>
              <w:t>146</w:t>
            </w:r>
          </w:p>
        </w:tc>
        <w:tc>
          <w:tcPr>
            <w:tcW w:w="1225" w:type="dxa"/>
          </w:tcPr>
          <w:p>
            <w:pPr>
              <w:pStyle w:val="TableParagraph"/>
              <w:spacing w:line="204" w:lineRule="exact" w:before="8"/>
              <w:ind w:left="322"/>
              <w:rPr>
                <w:rFonts w:ascii="Courier New"/>
                <w:sz w:val="20"/>
              </w:rPr>
            </w:pPr>
            <w:r>
              <w:rPr>
                <w:rFonts w:ascii="Courier New"/>
                <w:color w:val="232323"/>
                <w:w w:val="85"/>
                <w:sz w:val="20"/>
              </w:rPr>
              <w:t>1</w:t>
            </w:r>
            <w:r>
              <w:rPr>
                <w:rFonts w:ascii="Courier New"/>
                <w:color w:val="3D3D3D"/>
                <w:w w:val="85"/>
                <w:sz w:val="20"/>
              </w:rPr>
              <w:t>46</w:t>
            </w:r>
          </w:p>
        </w:tc>
        <w:tc>
          <w:tcPr>
            <w:tcW w:w="722" w:type="dxa"/>
          </w:tcPr>
          <w:p>
            <w:pPr>
              <w:pStyle w:val="TableParagraph"/>
              <w:spacing w:line="204" w:lineRule="exact" w:before="8"/>
              <w:ind w:right="128"/>
              <w:jc w:val="right"/>
              <w:rPr>
                <w:rFonts w:ascii="Courier New"/>
                <w:sz w:val="20"/>
              </w:rPr>
            </w:pPr>
            <w:r>
              <w:rPr>
                <w:rFonts w:ascii="Courier New"/>
                <w:color w:val="3D3D3D"/>
                <w:w w:val="80"/>
                <w:sz w:val="20"/>
              </w:rPr>
              <w:t>193</w:t>
            </w:r>
          </w:p>
        </w:tc>
      </w:tr>
      <w:tr>
        <w:trPr>
          <w:trHeight w:val="235" w:hRule="atLeast"/>
        </w:trPr>
        <w:tc>
          <w:tcPr>
            <w:tcW w:w="3644" w:type="dxa"/>
          </w:tcPr>
          <w:p>
            <w:pPr>
              <w:pStyle w:val="TableParagraph"/>
              <w:spacing w:before="5"/>
              <w:ind w:left="59"/>
              <w:rPr>
                <w:sz w:val="18"/>
              </w:rPr>
            </w:pPr>
            <w:r>
              <w:rPr>
                <w:color w:val="3D3D3D"/>
                <w:sz w:val="18"/>
              </w:rPr>
              <w:t>Ecumenica </w:t>
            </w:r>
            <w:r>
              <w:rPr>
                <w:color w:val="232323"/>
                <w:sz w:val="18"/>
              </w:rPr>
              <w:t>l </w:t>
            </w:r>
            <w:r>
              <w:rPr>
                <w:color w:val="3D3D3D"/>
                <w:sz w:val="18"/>
              </w:rPr>
              <w:t>and international re</w:t>
            </w:r>
            <w:r>
              <w:rPr>
                <w:color w:val="232323"/>
                <w:sz w:val="18"/>
              </w:rPr>
              <w:t>l</w:t>
            </w:r>
            <w:r>
              <w:rPr>
                <w:color w:val="3D3D3D"/>
                <w:sz w:val="18"/>
              </w:rPr>
              <w:t>ations</w:t>
            </w:r>
          </w:p>
        </w:tc>
        <w:tc>
          <w:tcPr>
            <w:tcW w:w="1690" w:type="dxa"/>
          </w:tcPr>
          <w:p>
            <w:pPr>
              <w:pStyle w:val="TableParagraph"/>
              <w:spacing w:line="209" w:lineRule="exact" w:before="7"/>
              <w:ind w:right="276"/>
              <w:jc w:val="right"/>
              <w:rPr>
                <w:rFonts w:ascii="Courier New"/>
                <w:sz w:val="20"/>
              </w:rPr>
            </w:pPr>
            <w:r>
              <w:rPr>
                <w:rFonts w:ascii="Courier New"/>
                <w:color w:val="3D3D3D"/>
                <w:w w:val="85"/>
                <w:sz w:val="20"/>
              </w:rPr>
              <w:t>357</w:t>
            </w:r>
          </w:p>
        </w:tc>
        <w:tc>
          <w:tcPr>
            <w:tcW w:w="1231" w:type="dxa"/>
          </w:tcPr>
          <w:p>
            <w:pPr>
              <w:pStyle w:val="TableParagraph"/>
              <w:spacing w:line="209" w:lineRule="exact" w:before="7"/>
              <w:ind w:left="378" w:right="352"/>
              <w:jc w:val="center"/>
              <w:rPr>
                <w:rFonts w:ascii="Courier New"/>
                <w:sz w:val="20"/>
              </w:rPr>
            </w:pPr>
            <w:r>
              <w:rPr>
                <w:rFonts w:ascii="Courier New"/>
                <w:color w:val="3D3D3D"/>
                <w:w w:val="95"/>
                <w:sz w:val="20"/>
              </w:rPr>
              <w:t>199</w:t>
            </w:r>
          </w:p>
        </w:tc>
        <w:tc>
          <w:tcPr>
            <w:tcW w:w="1225" w:type="dxa"/>
          </w:tcPr>
          <w:p>
            <w:pPr>
              <w:pStyle w:val="TableParagraph"/>
              <w:spacing w:line="215" w:lineRule="exact"/>
              <w:ind w:right="618"/>
              <w:jc w:val="right"/>
              <w:rPr>
                <w:i/>
                <w:sz w:val="19"/>
              </w:rPr>
            </w:pPr>
            <w:r>
              <w:rPr>
                <w:i/>
                <w:color w:val="3D3D3D"/>
                <w:sz w:val="19"/>
              </w:rPr>
              <w:t>556</w:t>
            </w:r>
          </w:p>
        </w:tc>
        <w:tc>
          <w:tcPr>
            <w:tcW w:w="722" w:type="dxa"/>
          </w:tcPr>
          <w:p>
            <w:pPr>
              <w:pStyle w:val="TableParagraph"/>
              <w:spacing w:line="216" w:lineRule="exact"/>
              <w:ind w:right="123"/>
              <w:jc w:val="right"/>
              <w:rPr>
                <w:rFonts w:ascii="Courier New"/>
                <w:sz w:val="20"/>
              </w:rPr>
            </w:pPr>
            <w:r>
              <w:rPr>
                <w:rFonts w:ascii="Courier New"/>
                <w:color w:val="3D3D3D"/>
                <w:w w:val="90"/>
                <w:sz w:val="20"/>
              </w:rPr>
              <w:t>642</w:t>
            </w:r>
          </w:p>
        </w:tc>
      </w:tr>
      <w:tr>
        <w:trPr>
          <w:trHeight w:val="226" w:hRule="atLeast"/>
        </w:trPr>
        <w:tc>
          <w:tcPr>
            <w:tcW w:w="3644" w:type="dxa"/>
          </w:tcPr>
          <w:p>
            <w:pPr>
              <w:pStyle w:val="TableParagraph"/>
              <w:spacing w:line="205" w:lineRule="exact"/>
              <w:ind w:left="56"/>
              <w:rPr>
                <w:sz w:val="18"/>
              </w:rPr>
            </w:pPr>
            <w:r>
              <w:rPr>
                <w:color w:val="3D3D3D"/>
                <w:w w:val="105"/>
                <w:sz w:val="18"/>
              </w:rPr>
              <w:t>Church and Society</w:t>
            </w:r>
          </w:p>
        </w:tc>
        <w:tc>
          <w:tcPr>
            <w:tcW w:w="1690" w:type="dxa"/>
          </w:tcPr>
          <w:p>
            <w:pPr>
              <w:pStyle w:val="TableParagraph"/>
              <w:spacing w:line="204" w:lineRule="exact" w:before="2"/>
              <w:ind w:right="291"/>
              <w:jc w:val="right"/>
              <w:rPr>
                <w:rFonts w:ascii="Courier New"/>
                <w:sz w:val="20"/>
              </w:rPr>
            </w:pPr>
            <w:r>
              <w:rPr>
                <w:rFonts w:ascii="Courier New"/>
                <w:color w:val="3D3D3D"/>
                <w:sz w:val="20"/>
              </w:rPr>
              <w:t>8</w:t>
            </w:r>
            <w:r>
              <w:rPr>
                <w:rFonts w:ascii="Courier New"/>
                <w:color w:val="232323"/>
                <w:sz w:val="20"/>
              </w:rPr>
              <w:t>4</w:t>
            </w:r>
          </w:p>
        </w:tc>
        <w:tc>
          <w:tcPr>
            <w:tcW w:w="1231" w:type="dxa"/>
          </w:tcPr>
          <w:p>
            <w:pPr>
              <w:pStyle w:val="TableParagraph"/>
              <w:spacing w:line="204" w:lineRule="exact" w:before="2"/>
              <w:ind w:left="197"/>
              <w:jc w:val="center"/>
              <w:rPr>
                <w:rFonts w:ascii="Courier New"/>
                <w:sz w:val="20"/>
              </w:rPr>
            </w:pPr>
            <w:r>
              <w:rPr>
                <w:rFonts w:ascii="Courier New"/>
                <w:color w:val="3D3D3D"/>
                <w:w w:val="104"/>
                <w:sz w:val="20"/>
              </w:rPr>
              <w:t>3</w:t>
            </w:r>
          </w:p>
        </w:tc>
        <w:tc>
          <w:tcPr>
            <w:tcW w:w="1225" w:type="dxa"/>
          </w:tcPr>
          <w:p>
            <w:pPr>
              <w:pStyle w:val="TableParagraph"/>
              <w:spacing w:line="204" w:lineRule="exact" w:before="2"/>
              <w:ind w:right="589"/>
              <w:jc w:val="right"/>
              <w:rPr>
                <w:rFonts w:ascii="Courier New"/>
                <w:sz w:val="20"/>
              </w:rPr>
            </w:pPr>
            <w:r>
              <w:rPr>
                <w:rFonts w:ascii="Courier New"/>
                <w:color w:val="3D3D3D"/>
                <w:w w:val="95"/>
                <w:sz w:val="20"/>
              </w:rPr>
              <w:t>87</w:t>
            </w:r>
          </w:p>
        </w:tc>
        <w:tc>
          <w:tcPr>
            <w:tcW w:w="722" w:type="dxa"/>
          </w:tcPr>
          <w:p>
            <w:pPr>
              <w:pStyle w:val="TableParagraph"/>
              <w:spacing w:line="204" w:lineRule="exact" w:before="2"/>
              <w:ind w:right="120"/>
              <w:jc w:val="right"/>
              <w:rPr>
                <w:rFonts w:ascii="Courier New"/>
                <w:sz w:val="20"/>
              </w:rPr>
            </w:pPr>
            <w:r>
              <w:rPr>
                <w:rFonts w:ascii="Courier New"/>
                <w:color w:val="3D3D3D"/>
                <w:w w:val="95"/>
                <w:sz w:val="20"/>
              </w:rPr>
              <w:t>70</w:t>
            </w:r>
          </w:p>
        </w:tc>
      </w:tr>
      <w:tr>
        <w:trPr>
          <w:trHeight w:val="226" w:hRule="atLeast"/>
        </w:trPr>
        <w:tc>
          <w:tcPr>
            <w:tcW w:w="3644" w:type="dxa"/>
          </w:tcPr>
          <w:p>
            <w:pPr>
              <w:pStyle w:val="TableParagraph"/>
              <w:spacing w:line="203" w:lineRule="exact"/>
              <w:ind w:left="56"/>
              <w:rPr>
                <w:sz w:val="18"/>
              </w:rPr>
            </w:pPr>
            <w:r>
              <w:rPr>
                <w:color w:val="3D3D3D"/>
                <w:w w:val="105"/>
                <w:sz w:val="18"/>
              </w:rPr>
              <w:t>Co </w:t>
            </w:r>
            <w:r>
              <w:rPr>
                <w:color w:val="232323"/>
                <w:w w:val="105"/>
                <w:sz w:val="18"/>
              </w:rPr>
              <w:t>m</w:t>
            </w:r>
            <w:r>
              <w:rPr>
                <w:color w:val="3D3D3D"/>
                <w:w w:val="105"/>
                <w:sz w:val="18"/>
              </w:rPr>
              <w:t>mitmentfor Life programme</w:t>
            </w:r>
          </w:p>
        </w:tc>
        <w:tc>
          <w:tcPr>
            <w:tcW w:w="1690" w:type="dxa"/>
          </w:tcPr>
          <w:p>
            <w:pPr>
              <w:pStyle w:val="TableParagraph"/>
              <w:spacing w:line="206" w:lineRule="exact"/>
              <w:ind w:right="266"/>
              <w:jc w:val="right"/>
              <w:rPr>
                <w:rFonts w:ascii="Courier New"/>
                <w:sz w:val="20"/>
              </w:rPr>
            </w:pPr>
            <w:r>
              <w:rPr>
                <w:rFonts w:ascii="Courier New"/>
                <w:color w:val="3D3D3D"/>
                <w:w w:val="105"/>
                <w:sz w:val="20"/>
              </w:rPr>
              <w:t>64</w:t>
            </w:r>
          </w:p>
        </w:tc>
        <w:tc>
          <w:tcPr>
            <w:tcW w:w="1231" w:type="dxa"/>
          </w:tcPr>
          <w:p>
            <w:pPr>
              <w:pStyle w:val="TableParagraph"/>
              <w:spacing w:line="206" w:lineRule="exact"/>
              <w:ind w:left="374" w:right="362"/>
              <w:jc w:val="center"/>
              <w:rPr>
                <w:rFonts w:ascii="Courier New"/>
                <w:sz w:val="20"/>
              </w:rPr>
            </w:pPr>
            <w:r>
              <w:rPr>
                <w:rFonts w:ascii="Courier New"/>
                <w:color w:val="3D3D3D"/>
                <w:sz w:val="20"/>
              </w:rPr>
              <w:t>496</w:t>
            </w:r>
          </w:p>
        </w:tc>
        <w:tc>
          <w:tcPr>
            <w:tcW w:w="1225" w:type="dxa"/>
          </w:tcPr>
          <w:p>
            <w:pPr>
              <w:pStyle w:val="TableParagraph"/>
              <w:spacing w:line="206" w:lineRule="exact"/>
              <w:ind w:right="597"/>
              <w:jc w:val="right"/>
              <w:rPr>
                <w:rFonts w:ascii="Courier New"/>
                <w:sz w:val="20"/>
              </w:rPr>
            </w:pPr>
            <w:r>
              <w:rPr>
                <w:rFonts w:ascii="Courier New"/>
                <w:color w:val="3D3D3D"/>
                <w:w w:val="90"/>
                <w:sz w:val="20"/>
              </w:rPr>
              <w:t>560</w:t>
            </w:r>
          </w:p>
        </w:tc>
        <w:tc>
          <w:tcPr>
            <w:tcW w:w="722" w:type="dxa"/>
          </w:tcPr>
          <w:p>
            <w:pPr>
              <w:pStyle w:val="TableParagraph"/>
              <w:spacing w:line="206" w:lineRule="exact"/>
              <w:ind w:right="126"/>
              <w:jc w:val="right"/>
              <w:rPr>
                <w:rFonts w:ascii="Courier New"/>
                <w:sz w:val="20"/>
              </w:rPr>
            </w:pPr>
            <w:r>
              <w:rPr>
                <w:rFonts w:ascii="Courier New"/>
                <w:color w:val="3D3D3D"/>
                <w:w w:val="85"/>
                <w:sz w:val="20"/>
              </w:rPr>
              <w:t>540</w:t>
            </w:r>
          </w:p>
        </w:tc>
      </w:tr>
      <w:tr>
        <w:trPr>
          <w:trHeight w:val="226" w:hRule="atLeast"/>
        </w:trPr>
        <w:tc>
          <w:tcPr>
            <w:tcW w:w="3644" w:type="dxa"/>
          </w:tcPr>
          <w:p>
            <w:pPr>
              <w:pStyle w:val="TableParagraph"/>
              <w:spacing w:line="205" w:lineRule="exact"/>
              <w:ind w:left="59"/>
              <w:rPr>
                <w:sz w:val="18"/>
              </w:rPr>
            </w:pPr>
            <w:r>
              <w:rPr>
                <w:color w:val="3D3D3D"/>
                <w:w w:val="110"/>
                <w:sz w:val="18"/>
              </w:rPr>
              <w:t>Lif</w:t>
            </w:r>
            <w:r>
              <w:rPr>
                <w:color w:val="5D5D5D"/>
                <w:w w:val="110"/>
                <w:sz w:val="18"/>
              </w:rPr>
              <w:t>e </w:t>
            </w:r>
            <w:r>
              <w:rPr>
                <w:color w:val="3D3D3D"/>
                <w:w w:val="110"/>
                <w:sz w:val="18"/>
              </w:rPr>
              <w:t>and Witn</w:t>
            </w:r>
            <w:r>
              <w:rPr>
                <w:color w:val="5D5D5D"/>
                <w:w w:val="110"/>
                <w:sz w:val="18"/>
              </w:rPr>
              <w:t>e</w:t>
            </w:r>
            <w:r>
              <w:rPr>
                <w:color w:val="3D3D3D"/>
                <w:w w:val="110"/>
                <w:sz w:val="18"/>
              </w:rPr>
              <w:t>ss</w:t>
            </w:r>
          </w:p>
        </w:tc>
        <w:tc>
          <w:tcPr>
            <w:tcW w:w="1690" w:type="dxa"/>
          </w:tcPr>
          <w:p>
            <w:pPr>
              <w:pStyle w:val="TableParagraph"/>
              <w:spacing w:line="204" w:lineRule="exact" w:before="2"/>
              <w:ind w:right="278"/>
              <w:jc w:val="right"/>
              <w:rPr>
                <w:rFonts w:ascii="Courier New"/>
                <w:sz w:val="20"/>
              </w:rPr>
            </w:pPr>
            <w:r>
              <w:rPr>
                <w:rFonts w:ascii="Courier New"/>
                <w:color w:val="3D3D3D"/>
                <w:w w:val="90"/>
                <w:sz w:val="20"/>
              </w:rPr>
              <w:t>89</w:t>
            </w:r>
          </w:p>
        </w:tc>
        <w:tc>
          <w:tcPr>
            <w:tcW w:w="1231" w:type="dxa"/>
          </w:tcPr>
          <w:p>
            <w:pPr>
              <w:pStyle w:val="TableParagraph"/>
              <w:rPr>
                <w:sz w:val="16"/>
              </w:rPr>
            </w:pPr>
          </w:p>
        </w:tc>
        <w:tc>
          <w:tcPr>
            <w:tcW w:w="1225" w:type="dxa"/>
          </w:tcPr>
          <w:p>
            <w:pPr>
              <w:pStyle w:val="TableParagraph"/>
              <w:spacing w:line="204" w:lineRule="exact" w:before="2"/>
              <w:ind w:right="597"/>
              <w:jc w:val="right"/>
              <w:rPr>
                <w:rFonts w:ascii="Courier New"/>
                <w:sz w:val="20"/>
              </w:rPr>
            </w:pPr>
            <w:r>
              <w:rPr>
                <w:rFonts w:ascii="Courier New"/>
                <w:color w:val="3D3D3D"/>
                <w:w w:val="90"/>
                <w:sz w:val="20"/>
              </w:rPr>
              <w:t>89</w:t>
            </w:r>
          </w:p>
        </w:tc>
        <w:tc>
          <w:tcPr>
            <w:tcW w:w="722" w:type="dxa"/>
          </w:tcPr>
          <w:p>
            <w:pPr>
              <w:pStyle w:val="TableParagraph"/>
              <w:spacing w:line="204" w:lineRule="exact" w:before="2"/>
              <w:ind w:right="105"/>
              <w:jc w:val="right"/>
              <w:rPr>
                <w:rFonts w:ascii="Courier New"/>
                <w:sz w:val="20"/>
              </w:rPr>
            </w:pPr>
            <w:r>
              <w:rPr>
                <w:rFonts w:ascii="Courier New"/>
                <w:color w:val="3D3D3D"/>
                <w:sz w:val="20"/>
              </w:rPr>
              <w:t>90</w:t>
            </w:r>
          </w:p>
        </w:tc>
      </w:tr>
      <w:tr>
        <w:trPr>
          <w:trHeight w:val="230" w:hRule="atLeast"/>
        </w:trPr>
        <w:tc>
          <w:tcPr>
            <w:tcW w:w="3644" w:type="dxa"/>
          </w:tcPr>
          <w:p>
            <w:pPr>
              <w:pStyle w:val="TableParagraph"/>
              <w:spacing w:line="205" w:lineRule="exact" w:before="5"/>
              <w:ind w:left="60"/>
              <w:rPr>
                <w:sz w:val="18"/>
              </w:rPr>
            </w:pPr>
            <w:r>
              <w:rPr>
                <w:color w:val="3D3D3D"/>
                <w:w w:val="105"/>
                <w:sz w:val="18"/>
              </w:rPr>
              <w:t>Windermere Centre programme</w:t>
            </w:r>
          </w:p>
        </w:tc>
        <w:tc>
          <w:tcPr>
            <w:tcW w:w="1690" w:type="dxa"/>
          </w:tcPr>
          <w:p>
            <w:pPr>
              <w:pStyle w:val="TableParagraph"/>
              <w:spacing w:line="211" w:lineRule="exact"/>
              <w:ind w:right="280"/>
              <w:jc w:val="right"/>
              <w:rPr>
                <w:rFonts w:ascii="Courier New"/>
                <w:sz w:val="20"/>
              </w:rPr>
            </w:pPr>
            <w:r>
              <w:rPr>
                <w:rFonts w:ascii="Courier New"/>
                <w:color w:val="3D3D3D"/>
                <w:w w:val="85"/>
                <w:sz w:val="20"/>
              </w:rPr>
              <w:t>330</w:t>
            </w:r>
          </w:p>
        </w:tc>
        <w:tc>
          <w:tcPr>
            <w:tcW w:w="1231" w:type="dxa"/>
          </w:tcPr>
          <w:p>
            <w:pPr>
              <w:pStyle w:val="TableParagraph"/>
              <w:spacing w:line="204" w:lineRule="exact" w:before="7"/>
              <w:ind w:left="178"/>
              <w:jc w:val="center"/>
              <w:rPr>
                <w:rFonts w:ascii="Courier New"/>
                <w:sz w:val="20"/>
              </w:rPr>
            </w:pPr>
            <w:r>
              <w:rPr>
                <w:rFonts w:ascii="Courier New"/>
                <w:color w:val="3D3D3D"/>
                <w:w w:val="88"/>
                <w:sz w:val="20"/>
              </w:rPr>
              <w:t>5</w:t>
            </w:r>
          </w:p>
        </w:tc>
        <w:tc>
          <w:tcPr>
            <w:tcW w:w="1225" w:type="dxa"/>
          </w:tcPr>
          <w:p>
            <w:pPr>
              <w:pStyle w:val="TableParagraph"/>
              <w:spacing w:line="211" w:lineRule="exact"/>
              <w:ind w:right="608"/>
              <w:jc w:val="right"/>
              <w:rPr>
                <w:rFonts w:ascii="Courier New"/>
                <w:sz w:val="20"/>
              </w:rPr>
            </w:pPr>
            <w:r>
              <w:rPr>
                <w:rFonts w:ascii="Courier New"/>
                <w:color w:val="3D3D3D"/>
                <w:w w:val="85"/>
                <w:sz w:val="20"/>
              </w:rPr>
              <w:t>335</w:t>
            </w:r>
          </w:p>
        </w:tc>
        <w:tc>
          <w:tcPr>
            <w:tcW w:w="722" w:type="dxa"/>
          </w:tcPr>
          <w:p>
            <w:pPr>
              <w:pStyle w:val="TableParagraph"/>
              <w:spacing w:line="211" w:lineRule="exact"/>
              <w:ind w:right="122"/>
              <w:jc w:val="right"/>
              <w:rPr>
                <w:rFonts w:ascii="Courier New"/>
                <w:sz w:val="20"/>
              </w:rPr>
            </w:pPr>
            <w:r>
              <w:rPr>
                <w:rFonts w:ascii="Courier New"/>
                <w:color w:val="3D3D3D"/>
                <w:w w:val="85"/>
                <w:sz w:val="20"/>
              </w:rPr>
              <w:t>302</w:t>
            </w:r>
          </w:p>
        </w:tc>
      </w:tr>
      <w:tr>
        <w:trPr>
          <w:trHeight w:val="221" w:hRule="atLeast"/>
        </w:trPr>
        <w:tc>
          <w:tcPr>
            <w:tcW w:w="3644" w:type="dxa"/>
          </w:tcPr>
          <w:p>
            <w:pPr>
              <w:pStyle w:val="TableParagraph"/>
              <w:spacing w:line="201" w:lineRule="exact"/>
              <w:ind w:left="60"/>
              <w:rPr>
                <w:sz w:val="18"/>
              </w:rPr>
            </w:pPr>
            <w:r>
              <w:rPr>
                <w:color w:val="3D3D3D"/>
                <w:w w:val="105"/>
                <w:sz w:val="18"/>
              </w:rPr>
              <w:t>Racial Justice and multicultural ministries</w:t>
            </w:r>
          </w:p>
        </w:tc>
        <w:tc>
          <w:tcPr>
            <w:tcW w:w="1690" w:type="dxa"/>
          </w:tcPr>
          <w:p>
            <w:pPr>
              <w:pStyle w:val="TableParagraph"/>
              <w:spacing w:line="201" w:lineRule="exact"/>
              <w:ind w:right="280"/>
              <w:jc w:val="right"/>
              <w:rPr>
                <w:rFonts w:ascii="Courier New"/>
                <w:sz w:val="20"/>
              </w:rPr>
            </w:pPr>
            <w:r>
              <w:rPr>
                <w:rFonts w:ascii="Courier New"/>
                <w:color w:val="3D3D3D"/>
                <w:w w:val="95"/>
                <w:sz w:val="20"/>
              </w:rPr>
              <w:t>98</w:t>
            </w:r>
          </w:p>
        </w:tc>
        <w:tc>
          <w:tcPr>
            <w:tcW w:w="1231" w:type="dxa"/>
          </w:tcPr>
          <w:p>
            <w:pPr>
              <w:pStyle w:val="TableParagraph"/>
              <w:spacing w:before="14"/>
              <w:ind w:left="212"/>
              <w:jc w:val="center"/>
              <w:rPr>
                <w:rFonts w:ascii="Arial"/>
                <w:b/>
                <w:sz w:val="16"/>
              </w:rPr>
            </w:pPr>
            <w:r>
              <w:rPr>
                <w:rFonts w:ascii="Arial"/>
                <w:b/>
                <w:color w:val="3D3D3D"/>
                <w:w w:val="99"/>
                <w:sz w:val="16"/>
              </w:rPr>
              <w:t>1</w:t>
            </w:r>
          </w:p>
        </w:tc>
        <w:tc>
          <w:tcPr>
            <w:tcW w:w="1225" w:type="dxa"/>
          </w:tcPr>
          <w:p>
            <w:pPr>
              <w:pStyle w:val="TableParagraph"/>
              <w:spacing w:line="201" w:lineRule="exact"/>
              <w:ind w:right="594"/>
              <w:jc w:val="right"/>
              <w:rPr>
                <w:rFonts w:ascii="Courier New"/>
                <w:sz w:val="20"/>
              </w:rPr>
            </w:pPr>
            <w:r>
              <w:rPr>
                <w:rFonts w:ascii="Courier New"/>
                <w:color w:val="3D3D3D"/>
                <w:sz w:val="20"/>
              </w:rPr>
              <w:t>99</w:t>
            </w:r>
          </w:p>
        </w:tc>
        <w:tc>
          <w:tcPr>
            <w:tcW w:w="722" w:type="dxa"/>
          </w:tcPr>
          <w:p>
            <w:pPr>
              <w:pStyle w:val="TableParagraph"/>
              <w:spacing w:line="201" w:lineRule="exact"/>
              <w:ind w:right="130"/>
              <w:jc w:val="right"/>
              <w:rPr>
                <w:rFonts w:ascii="Courier New"/>
                <w:sz w:val="20"/>
              </w:rPr>
            </w:pPr>
            <w:r>
              <w:rPr>
                <w:rFonts w:ascii="Courier New"/>
                <w:color w:val="232323"/>
                <w:w w:val="80"/>
                <w:sz w:val="20"/>
              </w:rPr>
              <w:t>11</w:t>
            </w:r>
            <w:r>
              <w:rPr>
                <w:rFonts w:ascii="Courier New"/>
                <w:color w:val="5D5D5D"/>
                <w:w w:val="80"/>
                <w:sz w:val="20"/>
              </w:rPr>
              <w:t>1</w:t>
            </w:r>
          </w:p>
        </w:tc>
      </w:tr>
      <w:tr>
        <w:trPr>
          <w:trHeight w:val="230" w:hRule="atLeast"/>
        </w:trPr>
        <w:tc>
          <w:tcPr>
            <w:tcW w:w="3644" w:type="dxa"/>
          </w:tcPr>
          <w:p>
            <w:pPr>
              <w:pStyle w:val="TableParagraph"/>
              <w:spacing w:line="205" w:lineRule="exact" w:before="5"/>
              <w:ind w:left="70"/>
              <w:rPr>
                <w:sz w:val="18"/>
              </w:rPr>
            </w:pPr>
            <w:r>
              <w:rPr>
                <w:color w:val="3D3D3D"/>
                <w:w w:val="105"/>
                <w:sz w:val="18"/>
              </w:rPr>
              <w:t>Youth and Children</w:t>
            </w:r>
            <w:r>
              <w:rPr>
                <w:color w:val="5D5D5D"/>
                <w:w w:val="105"/>
                <w:sz w:val="18"/>
              </w:rPr>
              <w:t>' </w:t>
            </w:r>
            <w:r>
              <w:rPr>
                <w:color w:val="3D3D3D"/>
                <w:w w:val="105"/>
                <w:sz w:val="18"/>
              </w:rPr>
              <w:t>s work</w:t>
            </w:r>
          </w:p>
        </w:tc>
        <w:tc>
          <w:tcPr>
            <w:tcW w:w="1690" w:type="dxa"/>
          </w:tcPr>
          <w:p>
            <w:pPr>
              <w:pStyle w:val="TableParagraph"/>
              <w:spacing w:line="204" w:lineRule="exact" w:before="7"/>
              <w:ind w:right="262"/>
              <w:jc w:val="right"/>
              <w:rPr>
                <w:rFonts w:ascii="Courier New"/>
                <w:sz w:val="20"/>
              </w:rPr>
            </w:pPr>
            <w:r>
              <w:rPr>
                <w:rFonts w:ascii="Courier New"/>
                <w:color w:val="232323"/>
                <w:sz w:val="20"/>
              </w:rPr>
              <w:t>4</w:t>
            </w:r>
            <w:r>
              <w:rPr>
                <w:rFonts w:ascii="Courier New"/>
                <w:color w:val="3D3D3D"/>
                <w:sz w:val="20"/>
              </w:rPr>
              <w:t>79</w:t>
            </w:r>
          </w:p>
        </w:tc>
        <w:tc>
          <w:tcPr>
            <w:tcW w:w="1231" w:type="dxa"/>
          </w:tcPr>
          <w:p>
            <w:pPr>
              <w:pStyle w:val="TableParagraph"/>
              <w:spacing w:line="204" w:lineRule="exact" w:before="7"/>
              <w:ind w:left="378" w:right="280"/>
              <w:jc w:val="center"/>
              <w:rPr>
                <w:rFonts w:ascii="Courier New"/>
                <w:sz w:val="20"/>
              </w:rPr>
            </w:pPr>
            <w:r>
              <w:rPr>
                <w:rFonts w:ascii="Courier New"/>
                <w:color w:val="232323"/>
                <w:w w:val="105"/>
                <w:sz w:val="20"/>
              </w:rPr>
              <w:t>4</w:t>
            </w:r>
            <w:r>
              <w:rPr>
                <w:rFonts w:ascii="Courier New"/>
                <w:color w:val="3D3D3D"/>
                <w:w w:val="105"/>
                <w:sz w:val="20"/>
              </w:rPr>
              <w:t>7</w:t>
            </w:r>
          </w:p>
        </w:tc>
        <w:tc>
          <w:tcPr>
            <w:tcW w:w="1225" w:type="dxa"/>
          </w:tcPr>
          <w:p>
            <w:pPr>
              <w:pStyle w:val="TableParagraph"/>
              <w:spacing w:line="204" w:lineRule="exact" w:before="7"/>
              <w:ind w:right="600"/>
              <w:jc w:val="right"/>
              <w:rPr>
                <w:rFonts w:ascii="Courier New"/>
                <w:sz w:val="20"/>
              </w:rPr>
            </w:pPr>
            <w:r>
              <w:rPr>
                <w:rFonts w:ascii="Courier New"/>
                <w:color w:val="3D3D3D"/>
                <w:w w:val="90"/>
                <w:sz w:val="20"/>
              </w:rPr>
              <w:t>526</w:t>
            </w:r>
          </w:p>
        </w:tc>
        <w:tc>
          <w:tcPr>
            <w:tcW w:w="722" w:type="dxa"/>
          </w:tcPr>
          <w:p>
            <w:pPr>
              <w:pStyle w:val="TableParagraph"/>
              <w:spacing w:line="211" w:lineRule="exact"/>
              <w:ind w:right="128"/>
              <w:jc w:val="right"/>
              <w:rPr>
                <w:rFonts w:ascii="Courier New"/>
                <w:sz w:val="20"/>
              </w:rPr>
            </w:pPr>
            <w:r>
              <w:rPr>
                <w:rFonts w:ascii="Courier New"/>
                <w:color w:val="3D3D3D"/>
                <w:w w:val="85"/>
                <w:sz w:val="20"/>
              </w:rPr>
              <w:t>459</w:t>
            </w:r>
          </w:p>
        </w:tc>
      </w:tr>
      <w:tr>
        <w:trPr>
          <w:trHeight w:val="224" w:hRule="atLeast"/>
        </w:trPr>
        <w:tc>
          <w:tcPr>
            <w:tcW w:w="3644" w:type="dxa"/>
          </w:tcPr>
          <w:p>
            <w:pPr>
              <w:pStyle w:val="TableParagraph"/>
              <w:spacing w:line="203" w:lineRule="exact"/>
              <w:ind w:left="60"/>
              <w:rPr>
                <w:sz w:val="18"/>
              </w:rPr>
            </w:pPr>
            <w:r>
              <w:rPr>
                <w:color w:val="3D3D3D"/>
                <w:w w:val="105"/>
                <w:sz w:val="18"/>
              </w:rPr>
              <w:t>Pilots development</w:t>
            </w:r>
          </w:p>
        </w:tc>
        <w:tc>
          <w:tcPr>
            <w:tcW w:w="1690" w:type="dxa"/>
          </w:tcPr>
          <w:p>
            <w:pPr>
              <w:pStyle w:val="TableParagraph"/>
              <w:spacing w:line="204" w:lineRule="exact"/>
              <w:ind w:right="278"/>
              <w:jc w:val="right"/>
              <w:rPr>
                <w:rFonts w:ascii="Courier New"/>
                <w:sz w:val="20"/>
              </w:rPr>
            </w:pPr>
            <w:r>
              <w:rPr>
                <w:rFonts w:ascii="Courier New"/>
                <w:color w:val="3D3D3D"/>
                <w:sz w:val="20"/>
              </w:rPr>
              <w:t>97</w:t>
            </w:r>
          </w:p>
        </w:tc>
        <w:tc>
          <w:tcPr>
            <w:tcW w:w="1231" w:type="dxa"/>
          </w:tcPr>
          <w:p>
            <w:pPr>
              <w:pStyle w:val="TableParagraph"/>
              <w:rPr>
                <w:sz w:val="16"/>
              </w:rPr>
            </w:pPr>
          </w:p>
        </w:tc>
        <w:tc>
          <w:tcPr>
            <w:tcW w:w="1225" w:type="dxa"/>
          </w:tcPr>
          <w:p>
            <w:pPr>
              <w:pStyle w:val="TableParagraph"/>
              <w:spacing w:line="204" w:lineRule="exact"/>
              <w:ind w:right="596"/>
              <w:jc w:val="right"/>
              <w:rPr>
                <w:rFonts w:ascii="Courier New"/>
                <w:sz w:val="20"/>
              </w:rPr>
            </w:pPr>
            <w:r>
              <w:rPr>
                <w:rFonts w:ascii="Courier New"/>
                <w:color w:val="3D3D3D"/>
                <w:sz w:val="20"/>
              </w:rPr>
              <w:t>97</w:t>
            </w:r>
          </w:p>
        </w:tc>
        <w:tc>
          <w:tcPr>
            <w:tcW w:w="722" w:type="dxa"/>
          </w:tcPr>
          <w:p>
            <w:pPr>
              <w:pStyle w:val="TableParagraph"/>
              <w:spacing w:line="204" w:lineRule="exact"/>
              <w:ind w:right="124"/>
              <w:jc w:val="right"/>
              <w:rPr>
                <w:rFonts w:ascii="Courier New"/>
                <w:sz w:val="20"/>
              </w:rPr>
            </w:pPr>
            <w:r>
              <w:rPr>
                <w:rFonts w:ascii="Courier New"/>
                <w:color w:val="3D3D3D"/>
                <w:w w:val="95"/>
                <w:sz w:val="20"/>
              </w:rPr>
              <w:t>86</w:t>
            </w:r>
          </w:p>
        </w:tc>
      </w:tr>
      <w:tr>
        <w:trPr>
          <w:trHeight w:val="461" w:hRule="atLeast"/>
        </w:trPr>
        <w:tc>
          <w:tcPr>
            <w:tcW w:w="8512" w:type="dxa"/>
            <w:gridSpan w:val="5"/>
          </w:tcPr>
          <w:p>
            <w:pPr>
              <w:pStyle w:val="TableParagraph"/>
              <w:tabs>
                <w:tab w:pos="3693" w:val="left" w:leader="none"/>
                <w:tab w:pos="4836" w:val="left" w:leader="none"/>
                <w:tab w:pos="5693" w:val="left" w:leader="none"/>
                <w:tab w:pos="6776" w:val="left" w:leader="none"/>
                <w:tab w:pos="8005" w:val="left" w:leader="none"/>
              </w:tabs>
              <w:spacing w:line="221" w:lineRule="exact"/>
              <w:ind w:left="56"/>
              <w:rPr>
                <w:rFonts w:ascii="Courier New"/>
                <w:sz w:val="20"/>
              </w:rPr>
            </w:pPr>
            <w:r>
              <w:rPr>
                <w:color w:val="3D3D3D"/>
                <w:sz w:val="18"/>
              </w:rPr>
              <w:t>Other</w:t>
            </w:r>
            <w:r>
              <w:rPr>
                <w:color w:val="3D3D3D"/>
                <w:spacing w:val="9"/>
                <w:sz w:val="18"/>
              </w:rPr>
              <w:t> </w:t>
            </w:r>
            <w:r>
              <w:rPr>
                <w:color w:val="3D3D3D"/>
                <w:sz w:val="18"/>
              </w:rPr>
              <w:t>programmes</w:t>
              <w:tab/>
            </w:r>
            <w:r>
              <w:rPr>
                <w:color w:val="3D3D3D"/>
                <w:position w:val="1"/>
                <w:sz w:val="18"/>
                <w:u w:val="single" w:color="000000"/>
              </w:rPr>
              <w:t> </w:t>
              <w:tab/>
            </w:r>
            <w:r>
              <w:rPr>
                <w:rFonts w:ascii="Courier New"/>
                <w:color w:val="3D3D3D"/>
                <w:position w:val="1"/>
                <w:sz w:val="20"/>
                <w:u w:val="single" w:color="000000"/>
              </w:rPr>
              <w:t>15</w:t>
              <w:tab/>
            </w:r>
            <w:r>
              <w:rPr>
                <w:rFonts w:ascii="Courier New"/>
                <w:color w:val="151515"/>
                <w:spacing w:val="-10"/>
                <w:position w:val="1"/>
                <w:sz w:val="20"/>
                <w:u w:val="single" w:color="000000"/>
              </w:rPr>
              <w:t>1</w:t>
            </w:r>
            <w:r>
              <w:rPr>
                <w:rFonts w:ascii="Courier New"/>
                <w:color w:val="3D3D3D"/>
                <w:spacing w:val="-10"/>
                <w:position w:val="1"/>
                <w:sz w:val="20"/>
                <w:u w:val="single" w:color="000000"/>
              </w:rPr>
              <w:t>44</w:t>
              <w:tab/>
            </w:r>
            <w:r>
              <w:rPr>
                <w:rFonts w:ascii="Courier New"/>
                <w:color w:val="3D3D3D"/>
                <w:position w:val="1"/>
                <w:sz w:val="20"/>
                <w:u w:val="single" w:color="000000"/>
              </w:rPr>
              <w:t>159</w:t>
              <w:tab/>
              <w:t>48</w:t>
            </w:r>
          </w:p>
          <w:p>
            <w:pPr>
              <w:pStyle w:val="TableParagraph"/>
              <w:tabs>
                <w:tab w:pos="4595" w:val="left" w:leader="none"/>
                <w:tab w:pos="5571" w:val="left" w:leader="none"/>
                <w:tab w:pos="6537" w:val="left" w:leader="none"/>
                <w:tab w:pos="7753" w:val="left" w:leader="none"/>
              </w:tabs>
              <w:spacing w:line="217" w:lineRule="exact" w:before="4"/>
              <w:ind w:left="3693"/>
              <w:rPr>
                <w:rFonts w:ascii="Courier New"/>
                <w:sz w:val="20"/>
              </w:rPr>
            </w:pPr>
            <w:r>
              <w:rPr>
                <w:rFonts w:ascii="Courier New"/>
                <w:color w:val="232323"/>
                <w:w w:val="100"/>
                <w:sz w:val="20"/>
                <w:u w:val="single" w:color="000000"/>
              </w:rPr>
              <w:t> </w:t>
            </w:r>
            <w:r>
              <w:rPr>
                <w:rFonts w:ascii="Courier New"/>
                <w:color w:val="232323"/>
                <w:sz w:val="20"/>
                <w:u w:val="single" w:color="000000"/>
              </w:rPr>
              <w:tab/>
            </w:r>
            <w:r>
              <w:rPr>
                <w:rFonts w:ascii="Courier New"/>
                <w:color w:val="232323"/>
                <w:spacing w:val="-25"/>
                <w:w w:val="90"/>
                <w:sz w:val="20"/>
                <w:u w:val="single" w:color="000000"/>
              </w:rPr>
              <w:t>1</w:t>
            </w:r>
            <w:r>
              <w:rPr>
                <w:rFonts w:ascii="Courier New"/>
                <w:color w:val="3D3D3D"/>
                <w:spacing w:val="-25"/>
                <w:w w:val="90"/>
                <w:sz w:val="20"/>
                <w:u w:val="single" w:color="000000"/>
              </w:rPr>
              <w:t>,613</w:t>
              <w:tab/>
            </w:r>
            <w:r>
              <w:rPr>
                <w:rFonts w:ascii="Courier New"/>
                <w:color w:val="3D3D3D"/>
                <w:w w:val="80"/>
                <w:sz w:val="20"/>
                <w:u w:val="single" w:color="000000"/>
              </w:rPr>
              <w:t>1,041</w:t>
              <w:tab/>
            </w:r>
            <w:r>
              <w:rPr>
                <w:rFonts w:ascii="Courier New"/>
                <w:color w:val="3D3D3D"/>
                <w:w w:val="85"/>
                <w:position w:val="1"/>
                <w:sz w:val="20"/>
                <w:u w:val="single" w:color="000000"/>
              </w:rPr>
              <w:t>2,654</w:t>
              <w:tab/>
            </w:r>
            <w:r>
              <w:rPr>
                <w:rFonts w:ascii="Courier New"/>
                <w:color w:val="3D3D3D"/>
                <w:spacing w:val="-7"/>
                <w:w w:val="90"/>
                <w:position w:val="1"/>
                <w:sz w:val="20"/>
                <w:u w:val="single" w:color="000000"/>
              </w:rPr>
              <w:t>2</w:t>
            </w:r>
            <w:r>
              <w:rPr>
                <w:rFonts w:ascii="Courier New"/>
                <w:color w:val="5D5D5D"/>
                <w:spacing w:val="-7"/>
                <w:w w:val="90"/>
                <w:position w:val="1"/>
                <w:sz w:val="20"/>
                <w:u w:val="single" w:color="000000"/>
              </w:rPr>
              <w:t>,</w:t>
            </w:r>
            <w:r>
              <w:rPr>
                <w:rFonts w:ascii="Courier New"/>
                <w:color w:val="3D3D3D"/>
                <w:spacing w:val="-7"/>
                <w:w w:val="90"/>
                <w:position w:val="1"/>
                <w:sz w:val="20"/>
                <w:u w:val="single" w:color="000000"/>
              </w:rPr>
              <w:t>54</w:t>
            </w:r>
            <w:r>
              <w:rPr>
                <w:rFonts w:ascii="Courier New"/>
                <w:color w:val="5D5D5D"/>
                <w:spacing w:val="-7"/>
                <w:w w:val="90"/>
                <w:position w:val="1"/>
                <w:sz w:val="20"/>
                <w:u w:val="single" w:color="000000"/>
              </w:rPr>
              <w:t>1</w:t>
            </w:r>
          </w:p>
        </w:tc>
      </w:tr>
      <w:tr>
        <w:trPr>
          <w:trHeight w:val="227" w:hRule="atLeast"/>
        </w:trPr>
        <w:tc>
          <w:tcPr>
            <w:tcW w:w="3644" w:type="dxa"/>
          </w:tcPr>
          <w:p>
            <w:pPr>
              <w:pStyle w:val="TableParagraph"/>
              <w:spacing w:line="187" w:lineRule="exact"/>
              <w:ind w:left="50"/>
              <w:rPr>
                <w:b/>
                <w:sz w:val="18"/>
              </w:rPr>
            </w:pPr>
            <w:r>
              <w:rPr>
                <w:b/>
                <w:color w:val="232323"/>
                <w:w w:val="105"/>
                <w:sz w:val="18"/>
              </w:rPr>
              <w:t>Edito ria</w:t>
            </w:r>
            <w:r>
              <w:rPr>
                <w:b/>
                <w:w w:val="105"/>
                <w:sz w:val="18"/>
              </w:rPr>
              <w:t>l </w:t>
            </w:r>
            <w:r>
              <w:rPr>
                <w:b/>
                <w:color w:val="232323"/>
                <w:w w:val="105"/>
                <w:sz w:val="18"/>
              </w:rPr>
              <w:t>and bookshop</w:t>
            </w:r>
          </w:p>
        </w:tc>
        <w:tc>
          <w:tcPr>
            <w:tcW w:w="1690" w:type="dxa"/>
          </w:tcPr>
          <w:p>
            <w:pPr>
              <w:pStyle w:val="TableParagraph"/>
              <w:rPr>
                <w:sz w:val="14"/>
              </w:rPr>
            </w:pPr>
          </w:p>
        </w:tc>
        <w:tc>
          <w:tcPr>
            <w:tcW w:w="2456" w:type="dxa"/>
            <w:gridSpan w:val="2"/>
          </w:tcPr>
          <w:p>
            <w:pPr>
              <w:pStyle w:val="TableParagraph"/>
              <w:rPr>
                <w:sz w:val="14"/>
              </w:rPr>
            </w:pPr>
          </w:p>
        </w:tc>
        <w:tc>
          <w:tcPr>
            <w:tcW w:w="722" w:type="dxa"/>
          </w:tcPr>
          <w:p>
            <w:pPr>
              <w:pStyle w:val="TableParagraph"/>
              <w:rPr>
                <w:sz w:val="14"/>
              </w:rPr>
            </w:pPr>
          </w:p>
        </w:tc>
      </w:tr>
      <w:tr>
        <w:trPr>
          <w:trHeight w:val="234" w:hRule="atLeast"/>
        </w:trPr>
        <w:tc>
          <w:tcPr>
            <w:tcW w:w="3644" w:type="dxa"/>
          </w:tcPr>
          <w:p>
            <w:pPr>
              <w:pStyle w:val="TableParagraph"/>
              <w:spacing w:before="6"/>
              <w:ind w:left="50"/>
              <w:rPr>
                <w:sz w:val="18"/>
              </w:rPr>
            </w:pPr>
            <w:r>
              <w:rPr>
                <w:color w:val="3D3D3D"/>
                <w:w w:val="105"/>
                <w:sz w:val="18"/>
              </w:rPr>
              <w:t>Reform magazine</w:t>
            </w:r>
          </w:p>
        </w:tc>
        <w:tc>
          <w:tcPr>
            <w:tcW w:w="1690" w:type="dxa"/>
          </w:tcPr>
          <w:p>
            <w:pPr>
              <w:pStyle w:val="TableParagraph"/>
              <w:spacing w:line="207" w:lineRule="exact" w:before="8"/>
              <w:ind w:right="291"/>
              <w:jc w:val="right"/>
              <w:rPr>
                <w:rFonts w:ascii="Courier New"/>
                <w:sz w:val="20"/>
              </w:rPr>
            </w:pPr>
            <w:r>
              <w:rPr>
                <w:rFonts w:ascii="Courier New"/>
                <w:color w:val="3D3D3D"/>
                <w:w w:val="85"/>
                <w:sz w:val="20"/>
              </w:rPr>
              <w:t>205</w:t>
            </w:r>
          </w:p>
        </w:tc>
        <w:tc>
          <w:tcPr>
            <w:tcW w:w="2456" w:type="dxa"/>
            <w:gridSpan w:val="2"/>
          </w:tcPr>
          <w:p>
            <w:pPr>
              <w:pStyle w:val="TableParagraph"/>
              <w:spacing w:line="207" w:lineRule="exact" w:before="8"/>
              <w:ind w:left="1530"/>
              <w:rPr>
                <w:rFonts w:ascii="Courier New"/>
                <w:sz w:val="20"/>
              </w:rPr>
            </w:pPr>
            <w:r>
              <w:rPr>
                <w:rFonts w:ascii="Courier New"/>
                <w:color w:val="3D3D3D"/>
                <w:w w:val="95"/>
                <w:sz w:val="20"/>
              </w:rPr>
              <w:t>205</w:t>
            </w:r>
          </w:p>
        </w:tc>
        <w:tc>
          <w:tcPr>
            <w:tcW w:w="722" w:type="dxa"/>
          </w:tcPr>
          <w:p>
            <w:pPr>
              <w:pStyle w:val="TableParagraph"/>
              <w:spacing w:line="207" w:lineRule="exact" w:before="8"/>
              <w:ind w:right="123"/>
              <w:jc w:val="right"/>
              <w:rPr>
                <w:rFonts w:ascii="Courier New"/>
                <w:sz w:val="20"/>
              </w:rPr>
            </w:pPr>
            <w:r>
              <w:rPr>
                <w:rFonts w:ascii="Courier New"/>
                <w:color w:val="3D3D3D"/>
                <w:w w:val="85"/>
                <w:sz w:val="20"/>
              </w:rPr>
              <w:t>194</w:t>
            </w:r>
          </w:p>
        </w:tc>
      </w:tr>
      <w:tr>
        <w:trPr>
          <w:trHeight w:val="461" w:hRule="atLeast"/>
        </w:trPr>
        <w:tc>
          <w:tcPr>
            <w:tcW w:w="8512" w:type="dxa"/>
            <w:gridSpan w:val="5"/>
          </w:tcPr>
          <w:p>
            <w:pPr>
              <w:pStyle w:val="TableParagraph"/>
              <w:tabs>
                <w:tab w:pos="3693" w:val="left" w:leader="none"/>
                <w:tab w:pos="4726" w:val="left" w:leader="none"/>
                <w:tab w:pos="6645" w:val="left" w:leader="none"/>
                <w:tab w:pos="6864" w:val="left" w:leader="none"/>
                <w:tab w:pos="7961" w:val="left" w:leader="none"/>
              </w:tabs>
              <w:spacing w:line="221" w:lineRule="exact"/>
              <w:ind w:left="62"/>
              <w:rPr>
                <w:rFonts w:ascii="Courier New"/>
                <w:sz w:val="20"/>
              </w:rPr>
            </w:pPr>
            <w:r>
              <w:rPr>
                <w:color w:val="3D3D3D"/>
                <w:sz w:val="18"/>
              </w:rPr>
              <w:t>URC</w:t>
            </w:r>
            <w:r>
              <w:rPr>
                <w:color w:val="3D3D3D"/>
                <w:spacing w:val="12"/>
                <w:sz w:val="18"/>
              </w:rPr>
              <w:t> </w:t>
            </w:r>
            <w:r>
              <w:rPr>
                <w:color w:val="3D3D3D"/>
                <w:sz w:val="18"/>
              </w:rPr>
              <w:t>Bookshop</w:t>
              <w:tab/>
            </w:r>
            <w:r>
              <w:rPr>
                <w:color w:val="3D3D3D"/>
                <w:sz w:val="18"/>
                <w:u w:val="single" w:color="000000"/>
              </w:rPr>
              <w:t> </w:t>
              <w:tab/>
            </w:r>
            <w:r>
              <w:rPr>
                <w:rFonts w:ascii="Courier New"/>
                <w:color w:val="3D3D3D"/>
                <w:sz w:val="20"/>
                <w:u w:val="single" w:color="000000"/>
              </w:rPr>
              <w:t>262</w:t>
              <w:tab/>
            </w:r>
            <w:r>
              <w:rPr>
                <w:rFonts w:ascii="Courier New"/>
                <w:color w:val="3D3D3D"/>
                <w:sz w:val="20"/>
              </w:rPr>
              <w:tab/>
            </w:r>
            <w:r>
              <w:rPr>
                <w:rFonts w:ascii="Courier New"/>
                <w:color w:val="3D3D3D"/>
                <w:sz w:val="20"/>
                <w:u w:val="single" w:color="000000"/>
              </w:rPr>
              <w:t>262</w:t>
              <w:tab/>
            </w:r>
            <w:r>
              <w:rPr>
                <w:rFonts w:ascii="Courier New"/>
                <w:color w:val="3D3D3D"/>
                <w:spacing w:val="-16"/>
                <w:sz w:val="20"/>
                <w:u w:val="single" w:color="000000"/>
              </w:rPr>
              <w:t>2</w:t>
            </w:r>
            <w:r>
              <w:rPr>
                <w:rFonts w:ascii="Courier New"/>
                <w:color w:val="232323"/>
                <w:spacing w:val="-16"/>
                <w:sz w:val="20"/>
                <w:u w:val="single" w:color="000000"/>
              </w:rPr>
              <w:t>1</w:t>
            </w:r>
            <w:r>
              <w:rPr>
                <w:rFonts w:ascii="Courier New"/>
                <w:color w:val="3D3D3D"/>
                <w:spacing w:val="-16"/>
                <w:sz w:val="20"/>
                <w:u w:val="single" w:color="000000"/>
              </w:rPr>
              <w:t>3</w:t>
            </w:r>
          </w:p>
          <w:p>
            <w:pPr>
              <w:pStyle w:val="TableParagraph"/>
              <w:tabs>
                <w:tab w:pos="4722" w:val="left" w:leader="none"/>
                <w:tab w:pos="6651" w:val="left" w:leader="none"/>
                <w:tab w:pos="7984" w:val="left" w:leader="none"/>
              </w:tabs>
              <w:spacing w:line="207" w:lineRule="exact" w:before="14"/>
              <w:ind w:left="3818"/>
              <w:rPr>
                <w:rFonts w:ascii="Courier New"/>
                <w:sz w:val="20"/>
              </w:rPr>
            </w:pPr>
            <w:r>
              <w:rPr>
                <w:rFonts w:ascii="Courier New"/>
                <w:color w:val="3D3D3D"/>
                <w:w w:val="100"/>
                <w:sz w:val="20"/>
                <w:u w:val="single" w:color="000000"/>
              </w:rPr>
              <w:t> </w:t>
            </w:r>
            <w:r>
              <w:rPr>
                <w:rFonts w:ascii="Courier New"/>
                <w:color w:val="3D3D3D"/>
                <w:sz w:val="20"/>
                <w:u w:val="single" w:color="000000"/>
              </w:rPr>
              <w:tab/>
              <w:t>467</w:t>
              <w:tab/>
              <w:t>467</w:t>
              <w:tab/>
              <w:t>407</w:t>
            </w:r>
            <w:r>
              <w:rPr>
                <w:rFonts w:ascii="Courier New"/>
                <w:color w:val="3D3D3D"/>
                <w:spacing w:val="1"/>
                <w:sz w:val="20"/>
                <w:u w:val="single" w:color="000000"/>
              </w:rPr>
              <w:t> </w:t>
            </w:r>
          </w:p>
        </w:tc>
      </w:tr>
    </w:tbl>
    <w:p>
      <w:pPr>
        <w:spacing w:after="0" w:line="207" w:lineRule="exact"/>
        <w:rPr>
          <w:rFonts w:ascii="Courier New"/>
          <w:sz w:val="20"/>
        </w:rPr>
        <w:sectPr>
          <w:headerReference w:type="default" r:id="rId518"/>
          <w:headerReference w:type="even" r:id="rId519"/>
          <w:footerReference w:type="default" r:id="rId520"/>
          <w:pgSz w:w="10950" w:h="15880"/>
          <w:pgMar w:header="228" w:footer="0" w:top="740" w:bottom="280" w:left="500" w:right="0"/>
          <w:pgNumType w:start="17"/>
        </w:sectPr>
      </w:pPr>
    </w:p>
    <w:p>
      <w:pPr>
        <w:pStyle w:val="BodyText"/>
        <w:spacing w:before="9"/>
        <w:rPr>
          <w:rFonts w:ascii="Times New Roman"/>
          <w:sz w:val="10"/>
        </w:rPr>
      </w:pPr>
    </w:p>
    <w:p>
      <w:pPr>
        <w:tabs>
          <w:tab w:pos="2185" w:val="left" w:leader="none"/>
        </w:tabs>
        <w:spacing w:before="93"/>
        <w:ind w:left="999" w:right="0" w:firstLine="0"/>
        <w:jc w:val="left"/>
        <w:rPr>
          <w:rFonts w:ascii="Times New Roman"/>
          <w:b/>
          <w:sz w:val="18"/>
        </w:rPr>
      </w:pPr>
      <w:bookmarkStart w:name="_TOC_250009" w:id="12"/>
      <w:r>
        <w:rPr>
          <w:rFonts w:ascii="Times New Roman"/>
          <w:b/>
          <w:color w:val="2D2D2D"/>
          <w:w w:val="105"/>
          <w:position w:val="1"/>
          <w:sz w:val="18"/>
        </w:rPr>
        <w:t>NOTE6</w:t>
        <w:tab/>
      </w:r>
      <w:r>
        <w:rPr>
          <w:rFonts w:ascii="Times New Roman"/>
          <w:b/>
          <w:color w:val="1A1A1A"/>
          <w:w w:val="105"/>
          <w:sz w:val="18"/>
        </w:rPr>
        <w:t>ANALYSIS O</w:t>
      </w:r>
      <w:r>
        <w:rPr>
          <w:rFonts w:ascii="Times New Roman"/>
          <w:b/>
          <w:color w:val="3F3F3F"/>
          <w:w w:val="105"/>
          <w:sz w:val="18"/>
        </w:rPr>
        <w:t>F</w:t>
      </w:r>
      <w:r>
        <w:rPr>
          <w:rFonts w:ascii="Times New Roman"/>
          <w:b/>
          <w:color w:val="3F3F3F"/>
          <w:spacing w:val="-14"/>
          <w:w w:val="105"/>
          <w:sz w:val="18"/>
        </w:rPr>
        <w:t> </w:t>
      </w:r>
      <w:bookmarkEnd w:id="12"/>
      <w:r>
        <w:rPr>
          <w:rFonts w:ascii="Times New Roman"/>
          <w:b/>
          <w:color w:val="2D2D2D"/>
          <w:w w:val="105"/>
          <w:sz w:val="18"/>
        </w:rPr>
        <w:t>GRANTS</w:t>
      </w:r>
    </w:p>
    <w:p>
      <w:pPr>
        <w:pStyle w:val="BodyText"/>
        <w:spacing w:before="10"/>
        <w:rPr>
          <w:rFonts w:ascii="Times New Roman"/>
          <w:b/>
          <w:sz w:val="11"/>
        </w:rPr>
      </w:pPr>
    </w:p>
    <w:tbl>
      <w:tblPr>
        <w:tblW w:w="0" w:type="auto"/>
        <w:jc w:val="left"/>
        <w:tblInd w:w="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0"/>
        <w:gridCol w:w="2574"/>
        <w:gridCol w:w="1357"/>
      </w:tblGrid>
      <w:tr>
        <w:trPr>
          <w:trHeight w:val="431" w:hRule="atLeast"/>
        </w:trPr>
        <w:tc>
          <w:tcPr>
            <w:tcW w:w="4160" w:type="dxa"/>
          </w:tcPr>
          <w:p>
            <w:pPr>
              <w:pStyle w:val="TableParagraph"/>
              <w:rPr>
                <w:sz w:val="18"/>
              </w:rPr>
            </w:pPr>
          </w:p>
        </w:tc>
        <w:tc>
          <w:tcPr>
            <w:tcW w:w="2574" w:type="dxa"/>
          </w:tcPr>
          <w:p>
            <w:pPr>
              <w:pStyle w:val="TableParagraph"/>
              <w:spacing w:line="200" w:lineRule="exact"/>
              <w:ind w:left="1305"/>
              <w:rPr>
                <w:b/>
                <w:sz w:val="18"/>
              </w:rPr>
            </w:pPr>
            <w:r>
              <w:rPr>
                <w:b/>
                <w:color w:val="2D2D2D"/>
                <w:w w:val="105"/>
                <w:sz w:val="18"/>
              </w:rPr>
              <w:t>Grants </w:t>
            </w:r>
            <w:r>
              <w:rPr>
                <w:b/>
                <w:color w:val="1A1A1A"/>
                <w:w w:val="105"/>
                <w:sz w:val="18"/>
              </w:rPr>
              <w:t>to</w:t>
            </w:r>
          </w:p>
          <w:p>
            <w:pPr>
              <w:pStyle w:val="TableParagraph"/>
              <w:spacing w:before="4"/>
              <w:ind w:left="1232"/>
              <w:rPr>
                <w:b/>
                <w:sz w:val="18"/>
              </w:rPr>
            </w:pPr>
            <w:r>
              <w:rPr>
                <w:b/>
                <w:color w:val="1A1A1A"/>
                <w:w w:val="105"/>
                <w:sz w:val="18"/>
              </w:rPr>
              <w:t>In</w:t>
            </w:r>
            <w:r>
              <w:rPr>
                <w:b/>
                <w:color w:val="3F3F3F"/>
                <w:w w:val="105"/>
                <w:sz w:val="18"/>
              </w:rPr>
              <w:t>s</w:t>
            </w:r>
            <w:r>
              <w:rPr>
                <w:b/>
                <w:color w:val="1A1A1A"/>
                <w:w w:val="105"/>
                <w:sz w:val="18"/>
              </w:rPr>
              <w:t>titution</w:t>
            </w:r>
            <w:r>
              <w:rPr>
                <w:b/>
                <w:color w:val="3F3F3F"/>
                <w:w w:val="105"/>
                <w:sz w:val="18"/>
              </w:rPr>
              <w:t>s</w:t>
            </w:r>
          </w:p>
        </w:tc>
        <w:tc>
          <w:tcPr>
            <w:tcW w:w="1357" w:type="dxa"/>
          </w:tcPr>
          <w:p>
            <w:pPr>
              <w:pStyle w:val="TableParagraph"/>
              <w:spacing w:line="200" w:lineRule="exact"/>
              <w:ind w:left="474"/>
              <w:rPr>
                <w:b/>
                <w:sz w:val="18"/>
              </w:rPr>
            </w:pPr>
            <w:r>
              <w:rPr>
                <w:b/>
                <w:color w:val="2D2D2D"/>
                <w:w w:val="105"/>
                <w:sz w:val="18"/>
              </w:rPr>
              <w:t>Grants </w:t>
            </w:r>
            <w:r>
              <w:rPr>
                <w:b/>
                <w:color w:val="1A1A1A"/>
                <w:w w:val="105"/>
                <w:sz w:val="18"/>
              </w:rPr>
              <w:t>to</w:t>
            </w:r>
          </w:p>
          <w:p>
            <w:pPr>
              <w:pStyle w:val="TableParagraph"/>
              <w:spacing w:line="198" w:lineRule="exact" w:before="14"/>
              <w:ind w:left="420"/>
              <w:rPr>
                <w:b/>
                <w:sz w:val="18"/>
              </w:rPr>
            </w:pPr>
            <w:r>
              <w:rPr>
                <w:b/>
                <w:color w:val="2D2D2D"/>
                <w:w w:val="105"/>
                <w:sz w:val="18"/>
              </w:rPr>
              <w:t>individuals</w:t>
            </w:r>
          </w:p>
        </w:tc>
      </w:tr>
      <w:tr>
        <w:trPr>
          <w:trHeight w:val="433" w:hRule="atLeast"/>
        </w:trPr>
        <w:tc>
          <w:tcPr>
            <w:tcW w:w="4160" w:type="dxa"/>
          </w:tcPr>
          <w:p>
            <w:pPr>
              <w:pStyle w:val="TableParagraph"/>
              <w:spacing w:before="10"/>
              <w:rPr>
                <w:b/>
                <w:sz w:val="17"/>
              </w:rPr>
            </w:pPr>
          </w:p>
          <w:p>
            <w:pPr>
              <w:pStyle w:val="TableParagraph"/>
              <w:ind w:left="58"/>
              <w:rPr>
                <w:sz w:val="18"/>
              </w:rPr>
            </w:pPr>
            <w:r>
              <w:rPr>
                <w:color w:val="3F3F3F"/>
                <w:w w:val="105"/>
                <w:sz w:val="18"/>
              </w:rPr>
              <w:t>Pension grants</w:t>
            </w:r>
          </w:p>
        </w:tc>
        <w:tc>
          <w:tcPr>
            <w:tcW w:w="2574" w:type="dxa"/>
          </w:tcPr>
          <w:p>
            <w:pPr>
              <w:pStyle w:val="TableParagraph"/>
              <w:spacing w:before="3"/>
              <w:ind w:right="651"/>
              <w:jc w:val="right"/>
              <w:rPr>
                <w:b/>
                <w:sz w:val="18"/>
              </w:rPr>
            </w:pPr>
            <w:r>
              <w:rPr>
                <w:b/>
                <w:color w:val="2D2D2D"/>
                <w:w w:val="110"/>
                <w:sz w:val="18"/>
              </w:rPr>
              <w:t>£'000</w:t>
            </w:r>
          </w:p>
        </w:tc>
        <w:tc>
          <w:tcPr>
            <w:tcW w:w="1357" w:type="dxa"/>
          </w:tcPr>
          <w:p>
            <w:pPr>
              <w:pStyle w:val="TableParagraph"/>
              <w:spacing w:before="3"/>
              <w:ind w:left="633"/>
              <w:rPr>
                <w:b/>
                <w:sz w:val="18"/>
              </w:rPr>
            </w:pPr>
            <w:r>
              <w:rPr>
                <w:b/>
                <w:color w:val="2D2D2D"/>
                <w:w w:val="115"/>
                <w:sz w:val="18"/>
              </w:rPr>
              <w:t>£'000</w:t>
            </w:r>
          </w:p>
          <w:p>
            <w:pPr>
              <w:pStyle w:val="TableParagraph"/>
              <w:spacing w:line="188" w:lineRule="exact" w:before="15"/>
              <w:ind w:left="714"/>
              <w:rPr>
                <w:sz w:val="18"/>
              </w:rPr>
            </w:pPr>
            <w:r>
              <w:rPr>
                <w:color w:val="2D2D2D"/>
                <w:w w:val="115"/>
                <w:sz w:val="18"/>
              </w:rPr>
              <w:t>583</w:t>
            </w:r>
          </w:p>
        </w:tc>
      </w:tr>
      <w:tr>
        <w:trPr>
          <w:trHeight w:val="216" w:hRule="atLeast"/>
        </w:trPr>
        <w:tc>
          <w:tcPr>
            <w:tcW w:w="4160" w:type="dxa"/>
          </w:tcPr>
          <w:p>
            <w:pPr>
              <w:pStyle w:val="TableParagraph"/>
              <w:spacing w:line="197" w:lineRule="exact"/>
              <w:ind w:left="58"/>
              <w:rPr>
                <w:sz w:val="18"/>
              </w:rPr>
            </w:pPr>
            <w:r>
              <w:rPr>
                <w:color w:val="3F3F3F"/>
                <w:w w:val="105"/>
                <w:sz w:val="18"/>
              </w:rPr>
              <w:t>Welfare and other ministry grants</w:t>
            </w:r>
          </w:p>
        </w:tc>
        <w:tc>
          <w:tcPr>
            <w:tcW w:w="2574" w:type="dxa"/>
          </w:tcPr>
          <w:p>
            <w:pPr>
              <w:pStyle w:val="TableParagraph"/>
              <w:rPr>
                <w:sz w:val="14"/>
              </w:rPr>
            </w:pPr>
          </w:p>
        </w:tc>
        <w:tc>
          <w:tcPr>
            <w:tcW w:w="1357" w:type="dxa"/>
          </w:tcPr>
          <w:p>
            <w:pPr>
              <w:pStyle w:val="TableParagraph"/>
              <w:spacing w:line="193" w:lineRule="exact" w:before="3"/>
              <w:ind w:right="333"/>
              <w:jc w:val="right"/>
              <w:rPr>
                <w:sz w:val="18"/>
              </w:rPr>
            </w:pPr>
            <w:r>
              <w:rPr>
                <w:color w:val="3F3F3F"/>
                <w:w w:val="110"/>
                <w:sz w:val="18"/>
              </w:rPr>
              <w:t>382</w:t>
            </w:r>
          </w:p>
        </w:tc>
      </w:tr>
      <w:tr>
        <w:trPr>
          <w:trHeight w:val="221" w:hRule="atLeast"/>
        </w:trPr>
        <w:tc>
          <w:tcPr>
            <w:tcW w:w="4160" w:type="dxa"/>
          </w:tcPr>
          <w:p>
            <w:pPr>
              <w:pStyle w:val="TableParagraph"/>
              <w:spacing w:line="201" w:lineRule="exact"/>
              <w:ind w:left="50"/>
              <w:rPr>
                <w:sz w:val="18"/>
              </w:rPr>
            </w:pPr>
            <w:r>
              <w:rPr>
                <w:color w:val="3F3F3F"/>
                <w:w w:val="105"/>
                <w:sz w:val="18"/>
              </w:rPr>
              <w:t>Student maintenance and training</w:t>
            </w:r>
          </w:p>
        </w:tc>
        <w:tc>
          <w:tcPr>
            <w:tcW w:w="2574" w:type="dxa"/>
          </w:tcPr>
          <w:p>
            <w:pPr>
              <w:pStyle w:val="TableParagraph"/>
              <w:rPr>
                <w:sz w:val="14"/>
              </w:rPr>
            </w:pPr>
          </w:p>
        </w:tc>
        <w:tc>
          <w:tcPr>
            <w:tcW w:w="1357" w:type="dxa"/>
          </w:tcPr>
          <w:p>
            <w:pPr>
              <w:pStyle w:val="TableParagraph"/>
              <w:spacing w:line="193" w:lineRule="exact" w:before="8"/>
              <w:ind w:right="338"/>
              <w:jc w:val="right"/>
              <w:rPr>
                <w:sz w:val="18"/>
              </w:rPr>
            </w:pPr>
            <w:r>
              <w:rPr>
                <w:color w:val="3F3F3F"/>
                <w:w w:val="110"/>
                <w:sz w:val="18"/>
              </w:rPr>
              <w:t>475</w:t>
            </w:r>
          </w:p>
        </w:tc>
      </w:tr>
      <w:tr>
        <w:trPr>
          <w:trHeight w:val="221" w:hRule="atLeast"/>
        </w:trPr>
        <w:tc>
          <w:tcPr>
            <w:tcW w:w="4160" w:type="dxa"/>
          </w:tcPr>
          <w:p>
            <w:pPr>
              <w:pStyle w:val="TableParagraph"/>
              <w:spacing w:line="201" w:lineRule="exact"/>
              <w:ind w:left="57"/>
              <w:rPr>
                <w:sz w:val="18"/>
              </w:rPr>
            </w:pPr>
            <w:r>
              <w:rPr>
                <w:color w:val="3F3F3F"/>
                <w:w w:val="105"/>
                <w:sz w:val="18"/>
              </w:rPr>
              <w:t>Local churches </w:t>
            </w:r>
            <w:r>
              <w:rPr>
                <w:color w:val="2D2D2D"/>
                <w:w w:val="105"/>
                <w:sz w:val="18"/>
              </w:rPr>
              <w:t>- </w:t>
            </w:r>
            <w:r>
              <w:rPr>
                <w:color w:val="3F3F3F"/>
                <w:w w:val="105"/>
                <w:sz w:val="18"/>
              </w:rPr>
              <w:t>mission and facilit </w:t>
            </w:r>
            <w:r>
              <w:rPr>
                <w:color w:val="1A1A1A"/>
                <w:w w:val="105"/>
                <w:sz w:val="18"/>
              </w:rPr>
              <w:t>i</w:t>
            </w:r>
            <w:r>
              <w:rPr>
                <w:color w:val="3F3F3F"/>
                <w:w w:val="105"/>
                <w:sz w:val="18"/>
              </w:rPr>
              <w:t>es</w:t>
            </w:r>
          </w:p>
        </w:tc>
        <w:tc>
          <w:tcPr>
            <w:tcW w:w="2574" w:type="dxa"/>
          </w:tcPr>
          <w:p>
            <w:pPr>
              <w:pStyle w:val="TableParagraph"/>
              <w:spacing w:line="193" w:lineRule="exact" w:before="8"/>
              <w:ind w:right="723"/>
              <w:jc w:val="right"/>
              <w:rPr>
                <w:sz w:val="18"/>
              </w:rPr>
            </w:pPr>
            <w:r>
              <w:rPr>
                <w:color w:val="2D2D2D"/>
                <w:w w:val="110"/>
                <w:sz w:val="18"/>
              </w:rPr>
              <w:t>151</w:t>
            </w:r>
          </w:p>
        </w:tc>
        <w:tc>
          <w:tcPr>
            <w:tcW w:w="1357" w:type="dxa"/>
          </w:tcPr>
          <w:p>
            <w:pPr>
              <w:pStyle w:val="TableParagraph"/>
              <w:rPr>
                <w:sz w:val="14"/>
              </w:rPr>
            </w:pPr>
          </w:p>
        </w:tc>
      </w:tr>
      <w:tr>
        <w:trPr>
          <w:trHeight w:val="221" w:hRule="atLeast"/>
        </w:trPr>
        <w:tc>
          <w:tcPr>
            <w:tcW w:w="4160" w:type="dxa"/>
          </w:tcPr>
          <w:p>
            <w:pPr>
              <w:pStyle w:val="TableParagraph"/>
              <w:spacing w:line="201" w:lineRule="exact"/>
              <w:ind w:left="54"/>
              <w:rPr>
                <w:sz w:val="18"/>
              </w:rPr>
            </w:pPr>
            <w:r>
              <w:rPr>
                <w:color w:val="3F3F3F"/>
                <w:w w:val="105"/>
                <w:sz w:val="18"/>
              </w:rPr>
              <w:t>Chaplaincies</w:t>
            </w:r>
          </w:p>
        </w:tc>
        <w:tc>
          <w:tcPr>
            <w:tcW w:w="2574" w:type="dxa"/>
          </w:tcPr>
          <w:p>
            <w:pPr>
              <w:pStyle w:val="TableParagraph"/>
              <w:spacing w:line="193" w:lineRule="exact" w:before="8"/>
              <w:ind w:right="730"/>
              <w:jc w:val="right"/>
              <w:rPr>
                <w:sz w:val="18"/>
              </w:rPr>
            </w:pPr>
            <w:r>
              <w:rPr>
                <w:color w:val="2D2D2D"/>
                <w:w w:val="110"/>
                <w:sz w:val="18"/>
              </w:rPr>
              <w:t>40</w:t>
            </w:r>
          </w:p>
        </w:tc>
        <w:tc>
          <w:tcPr>
            <w:tcW w:w="1357" w:type="dxa"/>
          </w:tcPr>
          <w:p>
            <w:pPr>
              <w:pStyle w:val="TableParagraph"/>
              <w:rPr>
                <w:sz w:val="14"/>
              </w:rPr>
            </w:pPr>
          </w:p>
        </w:tc>
      </w:tr>
      <w:tr>
        <w:trPr>
          <w:trHeight w:val="226" w:hRule="atLeast"/>
        </w:trPr>
        <w:tc>
          <w:tcPr>
            <w:tcW w:w="4160" w:type="dxa"/>
          </w:tcPr>
          <w:p>
            <w:pPr>
              <w:pStyle w:val="TableParagraph"/>
              <w:spacing w:line="206" w:lineRule="exact"/>
              <w:ind w:left="57"/>
              <w:rPr>
                <w:sz w:val="18"/>
              </w:rPr>
            </w:pPr>
            <w:r>
              <w:rPr>
                <w:color w:val="3F3F3F"/>
                <w:w w:val="105"/>
                <w:sz w:val="18"/>
              </w:rPr>
              <w:t>Ecumenical church bodies</w:t>
            </w:r>
          </w:p>
        </w:tc>
        <w:tc>
          <w:tcPr>
            <w:tcW w:w="2574" w:type="dxa"/>
          </w:tcPr>
          <w:p>
            <w:pPr>
              <w:pStyle w:val="TableParagraph"/>
              <w:spacing w:line="198" w:lineRule="exact" w:before="8"/>
              <w:ind w:right="724"/>
              <w:jc w:val="right"/>
              <w:rPr>
                <w:sz w:val="18"/>
              </w:rPr>
            </w:pPr>
            <w:r>
              <w:rPr>
                <w:color w:val="1A1A1A"/>
                <w:w w:val="110"/>
                <w:sz w:val="18"/>
              </w:rPr>
              <w:t>1</w:t>
            </w:r>
            <w:r>
              <w:rPr>
                <w:color w:val="3F3F3F"/>
                <w:w w:val="110"/>
                <w:sz w:val="18"/>
              </w:rPr>
              <w:t>99</w:t>
            </w:r>
          </w:p>
        </w:tc>
        <w:tc>
          <w:tcPr>
            <w:tcW w:w="1357" w:type="dxa"/>
          </w:tcPr>
          <w:p>
            <w:pPr>
              <w:pStyle w:val="TableParagraph"/>
              <w:rPr>
                <w:sz w:val="16"/>
              </w:rPr>
            </w:pPr>
          </w:p>
        </w:tc>
      </w:tr>
      <w:tr>
        <w:trPr>
          <w:trHeight w:val="220" w:hRule="atLeast"/>
        </w:trPr>
        <w:tc>
          <w:tcPr>
            <w:tcW w:w="4160" w:type="dxa"/>
          </w:tcPr>
          <w:p>
            <w:pPr>
              <w:pStyle w:val="TableParagraph"/>
              <w:spacing w:line="197" w:lineRule="exact" w:before="3"/>
              <w:ind w:left="54"/>
              <w:rPr>
                <w:sz w:val="18"/>
              </w:rPr>
            </w:pPr>
            <w:r>
              <w:rPr>
                <w:color w:val="3F3F3F"/>
                <w:w w:val="105"/>
                <w:sz w:val="18"/>
              </w:rPr>
              <w:t>Commitment for Life programme</w:t>
            </w:r>
          </w:p>
        </w:tc>
        <w:tc>
          <w:tcPr>
            <w:tcW w:w="2574" w:type="dxa"/>
          </w:tcPr>
          <w:p>
            <w:pPr>
              <w:pStyle w:val="TableParagraph"/>
              <w:spacing w:line="187" w:lineRule="exact" w:before="13"/>
              <w:ind w:right="724"/>
              <w:jc w:val="right"/>
              <w:rPr>
                <w:sz w:val="18"/>
              </w:rPr>
            </w:pPr>
            <w:r>
              <w:rPr>
                <w:color w:val="3F3F3F"/>
                <w:w w:val="110"/>
                <w:sz w:val="18"/>
              </w:rPr>
              <w:t>496</w:t>
            </w:r>
          </w:p>
        </w:tc>
        <w:tc>
          <w:tcPr>
            <w:tcW w:w="1357" w:type="dxa"/>
          </w:tcPr>
          <w:p>
            <w:pPr>
              <w:pStyle w:val="TableParagraph"/>
              <w:rPr>
                <w:sz w:val="14"/>
              </w:rPr>
            </w:pPr>
          </w:p>
        </w:tc>
      </w:tr>
    </w:tbl>
    <w:p>
      <w:pPr>
        <w:spacing w:after="0"/>
        <w:rPr>
          <w:sz w:val="14"/>
        </w:rPr>
        <w:sectPr>
          <w:headerReference w:type="even" r:id="rId521"/>
          <w:headerReference w:type="default" r:id="rId522"/>
          <w:footerReference w:type="even" r:id="rId523"/>
          <w:pgSz w:w="10950" w:h="15880"/>
          <w:pgMar w:header="256" w:footer="0" w:top="760" w:bottom="280" w:left="500" w:right="0"/>
          <w:pgNumType w:start="18"/>
        </w:sectPr>
      </w:pPr>
    </w:p>
    <w:p>
      <w:pPr>
        <w:pStyle w:val="BodyText"/>
        <w:spacing w:line="202" w:lineRule="exact"/>
        <w:ind w:left="995"/>
        <w:rPr>
          <w:rFonts w:ascii="Times New Roman"/>
        </w:rPr>
      </w:pPr>
      <w:r>
        <w:rPr>
          <w:rFonts w:ascii="Times New Roman"/>
          <w:color w:val="3F3F3F"/>
          <w:w w:val="105"/>
        </w:rPr>
        <w:t>Other programmes</w:t>
      </w:r>
    </w:p>
    <w:p>
      <w:pPr>
        <w:pStyle w:val="BodyText"/>
        <w:rPr>
          <w:rFonts w:ascii="Times New Roman"/>
          <w:sz w:val="23"/>
        </w:rPr>
      </w:pPr>
    </w:p>
    <w:p>
      <w:pPr>
        <w:pStyle w:val="BodyText"/>
        <w:ind w:left="999"/>
        <w:rPr>
          <w:rFonts w:ascii="Times New Roman"/>
        </w:rPr>
      </w:pPr>
      <w:r>
        <w:rPr>
          <w:rFonts w:ascii="Times New Roman"/>
          <w:color w:val="2D2D2D"/>
          <w:w w:val="105"/>
        </w:rPr>
        <w:t>Major </w:t>
      </w:r>
      <w:r>
        <w:rPr>
          <w:rFonts w:ascii="Times New Roman"/>
          <w:color w:val="3F3F3F"/>
          <w:w w:val="105"/>
        </w:rPr>
        <w:t>grants </w:t>
      </w:r>
      <w:r>
        <w:rPr>
          <w:rFonts w:ascii="Times New Roman"/>
          <w:color w:val="2D2D2D"/>
          <w:w w:val="105"/>
        </w:rPr>
        <w:t>to </w:t>
      </w:r>
      <w:r>
        <w:rPr>
          <w:rFonts w:ascii="Times New Roman"/>
          <w:color w:val="3F3F3F"/>
          <w:w w:val="105"/>
        </w:rPr>
        <w:t>institutions in the year were:</w:t>
      </w:r>
    </w:p>
    <w:p>
      <w:pPr>
        <w:pStyle w:val="BodyText"/>
        <w:tabs>
          <w:tab w:pos="1764" w:val="left" w:leader="none"/>
          <w:tab w:pos="3603" w:val="left" w:leader="none"/>
          <w:tab w:pos="4634" w:val="left" w:leader="none"/>
        </w:tabs>
        <w:spacing w:before="4"/>
        <w:ind w:left="1015"/>
        <w:rPr>
          <w:rFonts w:ascii="Times New Roman"/>
        </w:rPr>
      </w:pPr>
      <w:r>
        <w:rPr/>
        <w:br w:type="column"/>
      </w:r>
      <w:r>
        <w:rPr>
          <w:rFonts w:ascii="Times New Roman"/>
          <w:color w:val="2D2D2D"/>
          <w:w w:val="100"/>
          <w:position w:val="1"/>
          <w:u w:val="single" w:color="000000"/>
        </w:rPr>
        <w:t> </w:t>
      </w:r>
      <w:r>
        <w:rPr>
          <w:rFonts w:ascii="Times New Roman"/>
          <w:color w:val="2D2D2D"/>
          <w:position w:val="1"/>
          <w:u w:val="single" w:color="000000"/>
        </w:rPr>
        <w:tab/>
      </w:r>
      <w:r>
        <w:rPr>
          <w:rFonts w:ascii="Times New Roman"/>
          <w:color w:val="2D2D2D"/>
          <w:w w:val="115"/>
          <w:position w:val="1"/>
          <w:u w:val="single" w:color="000000"/>
        </w:rPr>
        <w:t>179</w:t>
        <w:tab/>
      </w:r>
      <w:r>
        <w:rPr>
          <w:rFonts w:ascii="Times New Roman"/>
          <w:color w:val="2D2D2D"/>
          <w:w w:val="115"/>
          <w:u w:val="single" w:color="000000"/>
        </w:rPr>
        <w:t>15</w:t>
      </w:r>
      <w:r>
        <w:rPr>
          <w:rFonts w:ascii="Times New Roman"/>
          <w:color w:val="2D2D2D"/>
          <w:u w:val="single" w:color="000000"/>
        </w:rPr>
        <w:tab/>
      </w:r>
    </w:p>
    <w:p>
      <w:pPr>
        <w:pStyle w:val="BodyText"/>
        <w:tabs>
          <w:tab w:pos="1687" w:val="left" w:leader="none"/>
          <w:tab w:pos="3430" w:val="left" w:leader="none"/>
          <w:tab w:pos="4600" w:val="left" w:leader="none"/>
        </w:tabs>
        <w:spacing w:before="14"/>
        <w:ind w:left="995"/>
        <w:rPr>
          <w:rFonts w:ascii="Times New Roman"/>
        </w:rPr>
      </w:pPr>
      <w:r>
        <w:rPr>
          <w:rFonts w:ascii="Times New Roman"/>
          <w:color w:val="2D2D2D"/>
          <w:w w:val="100"/>
          <w:position w:val="1"/>
          <w:u w:val="single" w:color="000000"/>
        </w:rPr>
        <w:t> </w:t>
      </w:r>
      <w:r>
        <w:rPr>
          <w:rFonts w:ascii="Times New Roman"/>
          <w:color w:val="2D2D2D"/>
          <w:position w:val="1"/>
          <w:u w:val="single" w:color="000000"/>
        </w:rPr>
        <w:tab/>
      </w:r>
      <w:r>
        <w:rPr>
          <w:rFonts w:ascii="Times New Roman"/>
          <w:color w:val="2D2D2D"/>
          <w:w w:val="110"/>
          <w:position w:val="1"/>
          <w:u w:val="single" w:color="000000"/>
        </w:rPr>
        <w:t>1,065</w:t>
        <w:tab/>
      </w:r>
      <w:r>
        <w:rPr>
          <w:rFonts w:ascii="Times New Roman"/>
          <w:color w:val="2D2D2D"/>
          <w:w w:val="110"/>
          <w:u w:val="single" w:color="000000"/>
        </w:rPr>
        <w:t>1</w:t>
      </w:r>
      <w:r>
        <w:rPr>
          <w:rFonts w:ascii="Times New Roman"/>
          <w:color w:val="545454"/>
          <w:w w:val="110"/>
          <w:u w:val="single" w:color="000000"/>
        </w:rPr>
        <w:t>,</w:t>
      </w:r>
      <w:r>
        <w:rPr>
          <w:rFonts w:ascii="Times New Roman"/>
          <w:color w:val="2D2D2D"/>
          <w:w w:val="110"/>
          <w:u w:val="single" w:color="000000"/>
        </w:rPr>
        <w:t>455</w:t>
      </w:r>
      <w:r>
        <w:rPr>
          <w:rFonts w:ascii="Times New Roman"/>
          <w:color w:val="2D2D2D"/>
          <w:u w:val="single" w:color="000000"/>
        </w:rPr>
        <w:tab/>
      </w:r>
    </w:p>
    <w:p>
      <w:pPr>
        <w:spacing w:after="0"/>
        <w:rPr>
          <w:rFonts w:ascii="Times New Roman"/>
        </w:rPr>
        <w:sectPr>
          <w:type w:val="continuous"/>
          <w:pgSz w:w="10950" w:h="15880"/>
          <w:pgMar w:top="680" w:bottom="280" w:left="500" w:right="0"/>
          <w:cols w:num="2" w:equalWidth="0">
            <w:col w:w="4404" w:space="475"/>
            <w:col w:w="5571"/>
          </w:cols>
        </w:sectPr>
      </w:pPr>
    </w:p>
    <w:p>
      <w:pPr>
        <w:pStyle w:val="BodyText"/>
        <w:spacing w:line="256" w:lineRule="auto" w:before="120"/>
        <w:ind w:left="985" w:right="1372"/>
        <w:rPr>
          <w:rFonts w:ascii="Times New Roman"/>
        </w:rPr>
      </w:pPr>
      <w:r>
        <w:rPr>
          <w:rFonts w:ascii="Times New Roman"/>
          <w:color w:val="3F3F3F"/>
          <w:w w:val="105"/>
          <w:u w:val="thick" w:color="3F3F3F"/>
        </w:rPr>
        <w:t>Organisation</w:t>
      </w:r>
      <w:r>
        <w:rPr>
          <w:rFonts w:ascii="Times New Roman"/>
          <w:color w:val="3F3F3F"/>
          <w:w w:val="105"/>
        </w:rPr>
        <w:t> Christian Aid</w:t>
      </w:r>
    </w:p>
    <w:p>
      <w:pPr>
        <w:pStyle w:val="BodyText"/>
        <w:spacing w:line="252" w:lineRule="auto" w:before="9"/>
        <w:ind w:left="985" w:right="-3" w:firstLine="13"/>
        <w:rPr>
          <w:rFonts w:ascii="Times New Roman"/>
        </w:rPr>
      </w:pPr>
      <w:r>
        <w:rPr>
          <w:rFonts w:ascii="Times New Roman"/>
          <w:color w:val="3F3F3F"/>
          <w:w w:val="105"/>
        </w:rPr>
        <w:t>World Development</w:t>
      </w:r>
      <w:r>
        <w:rPr>
          <w:rFonts w:ascii="Times New Roman"/>
          <w:color w:val="3F3F3F"/>
          <w:spacing w:val="-29"/>
          <w:w w:val="105"/>
        </w:rPr>
        <w:t> </w:t>
      </w:r>
      <w:r>
        <w:rPr>
          <w:rFonts w:ascii="Times New Roman"/>
          <w:color w:val="3F3F3F"/>
          <w:w w:val="105"/>
        </w:rPr>
        <w:t>Movement Council for World Mission Churches </w:t>
      </w:r>
      <w:r>
        <w:rPr>
          <w:rFonts w:ascii="Times New Roman"/>
          <w:color w:val="2D2D2D"/>
          <w:w w:val="105"/>
        </w:rPr>
        <w:t>Together </w:t>
      </w:r>
      <w:r>
        <w:rPr>
          <w:rFonts w:ascii="Times New Roman"/>
          <w:color w:val="3F3F3F"/>
          <w:w w:val="105"/>
        </w:rPr>
        <w:t>in Britain &amp;Ireland</w:t>
      </w:r>
    </w:p>
    <w:p>
      <w:pPr>
        <w:spacing w:line="257" w:lineRule="exact" w:before="112"/>
        <w:ind w:left="328" w:right="0" w:firstLine="0"/>
        <w:jc w:val="left"/>
        <w:rPr>
          <w:rFonts w:ascii="Times New Roman"/>
          <w:sz w:val="24"/>
        </w:rPr>
      </w:pPr>
      <w:r>
        <w:rPr/>
        <w:br w:type="column"/>
      </w:r>
      <w:r>
        <w:rPr>
          <w:rFonts w:ascii="Times New Roman"/>
          <w:color w:val="3F3F3F"/>
          <w:sz w:val="24"/>
        </w:rPr>
        <w:t>illlic</w:t>
      </w:r>
    </w:p>
    <w:p>
      <w:pPr>
        <w:pStyle w:val="BodyText"/>
        <w:spacing w:line="188" w:lineRule="exact"/>
        <w:ind w:left="338"/>
        <w:rPr>
          <w:rFonts w:ascii="Times New Roman"/>
        </w:rPr>
      </w:pPr>
      <w:r>
        <w:rPr>
          <w:rFonts w:ascii="Times New Roman"/>
          <w:color w:val="3F3F3F"/>
          <w:w w:val="105"/>
        </w:rPr>
        <w:t>Commitment for Life</w:t>
      </w:r>
    </w:p>
    <w:p>
      <w:pPr>
        <w:pStyle w:val="BodyText"/>
        <w:spacing w:line="256" w:lineRule="auto" w:before="14"/>
        <w:ind w:left="332" w:right="27" w:hanging="4"/>
        <w:rPr>
          <w:rFonts w:ascii="Times New Roman"/>
        </w:rPr>
      </w:pPr>
      <w:r>
        <w:rPr>
          <w:rFonts w:ascii="Times New Roman"/>
          <w:color w:val="3F3F3F"/>
          <w:w w:val="105"/>
        </w:rPr>
        <w:t>Commitment for Life Ecumenical</w:t>
      </w:r>
    </w:p>
    <w:p>
      <w:pPr>
        <w:pStyle w:val="BodyText"/>
        <w:spacing w:before="3"/>
        <w:rPr>
          <w:rFonts w:ascii="Times New Roman"/>
          <w:sz w:val="19"/>
        </w:rPr>
      </w:pPr>
    </w:p>
    <w:p>
      <w:pPr>
        <w:pStyle w:val="BodyText"/>
        <w:ind w:left="332"/>
        <w:rPr>
          <w:rFonts w:ascii="Times New Roman"/>
        </w:rPr>
      </w:pPr>
      <w:r>
        <w:rPr>
          <w:rFonts w:ascii="Times New Roman"/>
          <w:color w:val="3F3F3F"/>
          <w:w w:val="105"/>
        </w:rPr>
        <w:t>Ecumenica</w:t>
      </w:r>
      <w:r>
        <w:rPr>
          <w:rFonts w:ascii="Times New Roman"/>
          <w:color w:val="1A1A1A"/>
          <w:w w:val="105"/>
        </w:rPr>
        <w:t>l</w:t>
      </w:r>
    </w:p>
    <w:p>
      <w:pPr>
        <w:pStyle w:val="BodyText"/>
        <w:spacing w:line="268" w:lineRule="auto" w:before="130"/>
        <w:ind w:left="1094" w:right="3425" w:hanging="109"/>
        <w:rPr>
          <w:rFonts w:ascii="Times New Roman" w:hAnsi="Times New Roman"/>
        </w:rPr>
      </w:pPr>
      <w:r>
        <w:rPr/>
        <w:br w:type="column"/>
      </w:r>
      <w:r>
        <w:rPr>
          <w:rFonts w:ascii="Times New Roman" w:hAnsi="Times New Roman"/>
          <w:color w:val="3F3F3F"/>
          <w:w w:val="115"/>
        </w:rPr>
        <w:t>£'000 419</w:t>
      </w:r>
    </w:p>
    <w:p>
      <w:pPr>
        <w:pStyle w:val="BodyText"/>
        <w:spacing w:line="196" w:lineRule="exact"/>
        <w:ind w:left="1184"/>
        <w:rPr>
          <w:rFonts w:ascii="Times New Roman"/>
        </w:rPr>
      </w:pPr>
      <w:r>
        <w:rPr>
          <w:rFonts w:ascii="Times New Roman"/>
          <w:color w:val="3F3F3F"/>
          <w:w w:val="110"/>
        </w:rPr>
        <w:t>56</w:t>
      </w:r>
    </w:p>
    <w:p>
      <w:pPr>
        <w:pStyle w:val="BodyText"/>
        <w:spacing w:before="4"/>
        <w:ind w:left="1184"/>
        <w:rPr>
          <w:rFonts w:ascii="Times New Roman"/>
        </w:rPr>
      </w:pPr>
      <w:r>
        <w:rPr>
          <w:rFonts w:ascii="Times New Roman"/>
          <w:color w:val="3F3F3F"/>
          <w:w w:val="110"/>
        </w:rPr>
        <w:t>50</w:t>
      </w:r>
    </w:p>
    <w:p>
      <w:pPr>
        <w:pStyle w:val="BodyText"/>
        <w:spacing w:before="6"/>
        <w:rPr>
          <w:rFonts w:ascii="Times New Roman"/>
          <w:sz w:val="20"/>
        </w:rPr>
      </w:pPr>
    </w:p>
    <w:p>
      <w:pPr>
        <w:pStyle w:val="BodyText"/>
        <w:ind w:left="1181"/>
        <w:rPr>
          <w:rFonts w:ascii="Times New Roman"/>
        </w:rPr>
      </w:pPr>
      <w:r>
        <w:rPr>
          <w:rFonts w:ascii="Times New Roman"/>
          <w:color w:val="2D2D2D"/>
          <w:w w:val="110"/>
        </w:rPr>
        <w:t>41</w:t>
      </w:r>
    </w:p>
    <w:p>
      <w:pPr>
        <w:spacing w:after="0"/>
        <w:rPr>
          <w:rFonts w:ascii="Times New Roman"/>
        </w:rPr>
        <w:sectPr>
          <w:type w:val="continuous"/>
          <w:pgSz w:w="10950" w:h="15880"/>
          <w:pgMar w:top="680" w:bottom="280" w:left="500" w:right="0"/>
          <w:cols w:num="3" w:equalWidth="0">
            <w:col w:w="3401" w:space="40"/>
            <w:col w:w="2003" w:space="124"/>
            <w:col w:w="4882"/>
          </w:cols>
        </w:sectPr>
      </w:pPr>
    </w:p>
    <w:p>
      <w:pPr>
        <w:pStyle w:val="BodyText"/>
        <w:spacing w:before="7"/>
        <w:rPr>
          <w:rFonts w:ascii="Times New Roman"/>
          <w:sz w:val="11"/>
        </w:rPr>
      </w:pPr>
    </w:p>
    <w:p>
      <w:pPr>
        <w:tabs>
          <w:tab w:pos="2179" w:val="left" w:leader="none"/>
        </w:tabs>
        <w:spacing w:before="92"/>
        <w:ind w:left="990" w:right="0" w:firstLine="0"/>
        <w:jc w:val="left"/>
        <w:rPr>
          <w:rFonts w:ascii="Times New Roman"/>
          <w:b/>
          <w:sz w:val="18"/>
        </w:rPr>
      </w:pPr>
      <w:r>
        <w:rPr>
          <w:rFonts w:ascii="Times New Roman"/>
          <w:b/>
          <w:color w:val="3F3F3F"/>
          <w:spacing w:val="-4"/>
          <w:w w:val="105"/>
          <w:position w:val="1"/>
          <w:sz w:val="19"/>
        </w:rPr>
        <w:t>N</w:t>
      </w:r>
      <w:r>
        <w:rPr>
          <w:rFonts w:ascii="Times New Roman"/>
          <w:b/>
          <w:color w:val="1A1A1A"/>
          <w:spacing w:val="-4"/>
          <w:w w:val="105"/>
          <w:position w:val="1"/>
          <w:sz w:val="19"/>
        </w:rPr>
        <w:t>OTE7</w:t>
        <w:tab/>
      </w:r>
      <w:r>
        <w:rPr>
          <w:rFonts w:ascii="Times New Roman"/>
          <w:b/>
          <w:color w:val="2D2D2D"/>
          <w:w w:val="105"/>
          <w:sz w:val="18"/>
        </w:rPr>
        <w:t>GOVERNANCE</w:t>
      </w:r>
      <w:r>
        <w:rPr>
          <w:rFonts w:ascii="Times New Roman"/>
          <w:b/>
          <w:color w:val="2D2D2D"/>
          <w:spacing w:val="3"/>
          <w:w w:val="105"/>
          <w:sz w:val="18"/>
        </w:rPr>
        <w:t> </w:t>
      </w:r>
      <w:r>
        <w:rPr>
          <w:rFonts w:ascii="Times New Roman"/>
          <w:b/>
          <w:color w:val="2D2D2D"/>
          <w:w w:val="105"/>
          <w:sz w:val="18"/>
        </w:rPr>
        <w:t>COSTS</w:t>
      </w:r>
    </w:p>
    <w:p>
      <w:pPr>
        <w:pStyle w:val="BodyText"/>
        <w:spacing w:before="1"/>
        <w:rPr>
          <w:rFonts w:ascii="Times New Roman"/>
          <w:b/>
          <w:sz w:val="11"/>
        </w:rPr>
      </w:pPr>
    </w:p>
    <w:tbl>
      <w:tblPr>
        <w:tblW w:w="0" w:type="auto"/>
        <w:jc w:val="left"/>
        <w:tblInd w:w="9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64"/>
        <w:gridCol w:w="1103"/>
        <w:gridCol w:w="814"/>
      </w:tblGrid>
      <w:tr>
        <w:trPr>
          <w:trHeight w:val="215" w:hRule="atLeast"/>
        </w:trPr>
        <w:tc>
          <w:tcPr>
            <w:tcW w:w="6664" w:type="dxa"/>
          </w:tcPr>
          <w:p>
            <w:pPr>
              <w:pStyle w:val="TableParagraph"/>
              <w:spacing w:line="195" w:lineRule="exact"/>
              <w:ind w:left="50"/>
              <w:rPr>
                <w:sz w:val="18"/>
              </w:rPr>
            </w:pPr>
            <w:r>
              <w:rPr>
                <w:color w:val="3F3F3F"/>
                <w:w w:val="105"/>
                <w:sz w:val="18"/>
              </w:rPr>
              <w:t>The Church's governance costs consisted of the following direct and indirect costs:</w:t>
            </w:r>
          </w:p>
        </w:tc>
        <w:tc>
          <w:tcPr>
            <w:tcW w:w="1917" w:type="dxa"/>
            <w:gridSpan w:val="2"/>
          </w:tcPr>
          <w:p>
            <w:pPr>
              <w:pStyle w:val="TableParagraph"/>
              <w:rPr>
                <w:sz w:val="14"/>
              </w:rPr>
            </w:pPr>
          </w:p>
        </w:tc>
      </w:tr>
      <w:tr>
        <w:trPr>
          <w:trHeight w:val="230" w:hRule="atLeast"/>
        </w:trPr>
        <w:tc>
          <w:tcPr>
            <w:tcW w:w="6664" w:type="dxa"/>
          </w:tcPr>
          <w:p>
            <w:pPr>
              <w:pStyle w:val="TableParagraph"/>
              <w:rPr>
                <w:sz w:val="16"/>
              </w:rPr>
            </w:pPr>
          </w:p>
        </w:tc>
        <w:tc>
          <w:tcPr>
            <w:tcW w:w="1103" w:type="dxa"/>
          </w:tcPr>
          <w:p>
            <w:pPr>
              <w:pStyle w:val="TableParagraph"/>
              <w:spacing w:line="203" w:lineRule="exact" w:before="8"/>
              <w:ind w:left="308" w:right="238"/>
              <w:jc w:val="center"/>
              <w:rPr>
                <w:b/>
                <w:sz w:val="18"/>
              </w:rPr>
            </w:pPr>
            <w:r>
              <w:rPr>
                <w:b/>
                <w:color w:val="1A1A1A"/>
                <w:w w:val="110"/>
                <w:sz w:val="18"/>
              </w:rPr>
              <w:t>2006</w:t>
            </w:r>
          </w:p>
        </w:tc>
        <w:tc>
          <w:tcPr>
            <w:tcW w:w="814" w:type="dxa"/>
          </w:tcPr>
          <w:p>
            <w:pPr>
              <w:pStyle w:val="TableParagraph"/>
              <w:spacing w:line="203" w:lineRule="exact" w:before="8"/>
              <w:ind w:right="48"/>
              <w:jc w:val="right"/>
              <w:rPr>
                <w:b/>
                <w:sz w:val="18"/>
              </w:rPr>
            </w:pPr>
            <w:r>
              <w:rPr>
                <w:b/>
                <w:color w:val="2D2D2D"/>
                <w:w w:val="105"/>
                <w:sz w:val="18"/>
              </w:rPr>
              <w:t>2005</w:t>
            </w:r>
          </w:p>
        </w:tc>
      </w:tr>
      <w:tr>
        <w:trPr>
          <w:trHeight w:val="447" w:hRule="atLeast"/>
        </w:trPr>
        <w:tc>
          <w:tcPr>
            <w:tcW w:w="6664" w:type="dxa"/>
          </w:tcPr>
          <w:p>
            <w:pPr>
              <w:pStyle w:val="TableParagraph"/>
              <w:spacing w:before="1"/>
              <w:rPr>
                <w:b/>
                <w:sz w:val="19"/>
              </w:rPr>
            </w:pPr>
          </w:p>
          <w:p>
            <w:pPr>
              <w:pStyle w:val="TableParagraph"/>
              <w:ind w:left="155"/>
              <w:rPr>
                <w:sz w:val="18"/>
              </w:rPr>
            </w:pPr>
            <w:r>
              <w:rPr>
                <w:color w:val="3F3F3F"/>
                <w:w w:val="105"/>
                <w:sz w:val="18"/>
              </w:rPr>
              <w:t>General Assembly</w:t>
            </w:r>
          </w:p>
        </w:tc>
        <w:tc>
          <w:tcPr>
            <w:tcW w:w="1103" w:type="dxa"/>
          </w:tcPr>
          <w:p>
            <w:pPr>
              <w:pStyle w:val="TableParagraph"/>
              <w:spacing w:before="8"/>
              <w:ind w:left="302" w:right="298"/>
              <w:jc w:val="center"/>
              <w:rPr>
                <w:b/>
                <w:sz w:val="18"/>
              </w:rPr>
            </w:pPr>
            <w:r>
              <w:rPr>
                <w:b/>
                <w:color w:val="2D2D2D"/>
                <w:w w:val="110"/>
                <w:sz w:val="18"/>
              </w:rPr>
              <w:t>£'000</w:t>
            </w:r>
          </w:p>
          <w:p>
            <w:pPr>
              <w:pStyle w:val="TableParagraph"/>
              <w:spacing w:line="198" w:lineRule="exact" w:before="14"/>
              <w:ind w:left="303" w:right="298"/>
              <w:jc w:val="center"/>
              <w:rPr>
                <w:sz w:val="18"/>
              </w:rPr>
            </w:pPr>
            <w:r>
              <w:rPr>
                <w:color w:val="545454"/>
                <w:w w:val="110"/>
                <w:sz w:val="18"/>
              </w:rPr>
              <w:t>218</w:t>
            </w:r>
          </w:p>
        </w:tc>
        <w:tc>
          <w:tcPr>
            <w:tcW w:w="814" w:type="dxa"/>
          </w:tcPr>
          <w:p>
            <w:pPr>
              <w:pStyle w:val="TableParagraph"/>
              <w:spacing w:before="8"/>
              <w:ind w:left="316"/>
              <w:rPr>
                <w:b/>
                <w:sz w:val="18"/>
              </w:rPr>
            </w:pPr>
            <w:r>
              <w:rPr>
                <w:b/>
                <w:color w:val="1A1A1A"/>
                <w:w w:val="110"/>
                <w:sz w:val="18"/>
              </w:rPr>
              <w:t>£'000</w:t>
            </w:r>
          </w:p>
          <w:p>
            <w:pPr>
              <w:pStyle w:val="TableParagraph"/>
              <w:spacing w:line="198" w:lineRule="exact" w:before="14"/>
              <w:ind w:left="402"/>
              <w:rPr>
                <w:sz w:val="18"/>
              </w:rPr>
            </w:pPr>
            <w:r>
              <w:rPr>
                <w:color w:val="3F3F3F"/>
                <w:w w:val="110"/>
                <w:sz w:val="18"/>
              </w:rPr>
              <w:t>227</w:t>
            </w:r>
          </w:p>
        </w:tc>
      </w:tr>
      <w:tr>
        <w:trPr>
          <w:trHeight w:val="226" w:hRule="atLeast"/>
        </w:trPr>
        <w:tc>
          <w:tcPr>
            <w:tcW w:w="6664" w:type="dxa"/>
          </w:tcPr>
          <w:p>
            <w:pPr>
              <w:pStyle w:val="TableParagraph"/>
              <w:spacing w:line="203" w:lineRule="exact" w:before="3"/>
              <w:ind w:left="158"/>
              <w:rPr>
                <w:sz w:val="18"/>
              </w:rPr>
            </w:pPr>
            <w:r>
              <w:rPr>
                <w:color w:val="3F3F3F"/>
                <w:w w:val="105"/>
                <w:sz w:val="18"/>
              </w:rPr>
              <w:t>Mission Council and </w:t>
            </w:r>
            <w:r>
              <w:rPr>
                <w:color w:val="2D2D2D"/>
                <w:w w:val="105"/>
                <w:sz w:val="18"/>
              </w:rPr>
              <w:t>its </w:t>
            </w:r>
            <w:r>
              <w:rPr>
                <w:color w:val="3F3F3F"/>
                <w:w w:val="105"/>
                <w:sz w:val="18"/>
              </w:rPr>
              <w:t>advisory and task groups</w:t>
            </w:r>
          </w:p>
        </w:tc>
        <w:tc>
          <w:tcPr>
            <w:tcW w:w="1103" w:type="dxa"/>
          </w:tcPr>
          <w:p>
            <w:pPr>
              <w:pStyle w:val="TableParagraph"/>
              <w:spacing w:line="193" w:lineRule="exact" w:before="13"/>
              <w:ind w:left="308" w:right="213"/>
              <w:jc w:val="center"/>
              <w:rPr>
                <w:sz w:val="18"/>
              </w:rPr>
            </w:pPr>
            <w:r>
              <w:rPr>
                <w:color w:val="3F3F3F"/>
                <w:w w:val="110"/>
                <w:sz w:val="18"/>
              </w:rPr>
              <w:t>60</w:t>
            </w:r>
          </w:p>
        </w:tc>
        <w:tc>
          <w:tcPr>
            <w:tcW w:w="814" w:type="dxa"/>
          </w:tcPr>
          <w:p>
            <w:pPr>
              <w:pStyle w:val="TableParagraph"/>
              <w:spacing w:line="203" w:lineRule="exact" w:before="3"/>
              <w:ind w:right="119"/>
              <w:jc w:val="right"/>
              <w:rPr>
                <w:sz w:val="18"/>
              </w:rPr>
            </w:pPr>
            <w:r>
              <w:rPr>
                <w:color w:val="3F3F3F"/>
                <w:w w:val="110"/>
                <w:sz w:val="18"/>
              </w:rPr>
              <w:t>57</w:t>
            </w:r>
          </w:p>
        </w:tc>
      </w:tr>
      <w:tr>
        <w:trPr>
          <w:trHeight w:val="226" w:hRule="atLeast"/>
        </w:trPr>
        <w:tc>
          <w:tcPr>
            <w:tcW w:w="6664" w:type="dxa"/>
          </w:tcPr>
          <w:p>
            <w:pPr>
              <w:pStyle w:val="TableParagraph"/>
              <w:spacing w:line="206" w:lineRule="exact"/>
              <w:ind w:left="150"/>
              <w:rPr>
                <w:sz w:val="18"/>
              </w:rPr>
            </w:pPr>
            <w:r>
              <w:rPr>
                <w:color w:val="3F3F3F"/>
                <w:w w:val="105"/>
                <w:sz w:val="18"/>
              </w:rPr>
              <w:t>Auditors' remuneration</w:t>
            </w:r>
          </w:p>
        </w:tc>
        <w:tc>
          <w:tcPr>
            <w:tcW w:w="1103" w:type="dxa"/>
          </w:tcPr>
          <w:p>
            <w:pPr>
              <w:pStyle w:val="TableParagraph"/>
              <w:spacing w:line="198" w:lineRule="exact" w:before="8"/>
              <w:ind w:left="308" w:right="212"/>
              <w:jc w:val="center"/>
              <w:rPr>
                <w:sz w:val="18"/>
              </w:rPr>
            </w:pPr>
            <w:r>
              <w:rPr>
                <w:color w:val="3F3F3F"/>
                <w:w w:val="110"/>
                <w:sz w:val="18"/>
              </w:rPr>
              <w:t>31</w:t>
            </w:r>
          </w:p>
        </w:tc>
        <w:tc>
          <w:tcPr>
            <w:tcW w:w="814" w:type="dxa"/>
          </w:tcPr>
          <w:p>
            <w:pPr>
              <w:pStyle w:val="TableParagraph"/>
              <w:spacing w:line="198" w:lineRule="exact" w:before="8"/>
              <w:ind w:right="127"/>
              <w:jc w:val="right"/>
              <w:rPr>
                <w:sz w:val="18"/>
              </w:rPr>
            </w:pPr>
            <w:r>
              <w:rPr>
                <w:color w:val="3F3F3F"/>
                <w:w w:val="110"/>
                <w:sz w:val="18"/>
              </w:rPr>
              <w:t>30</w:t>
            </w:r>
          </w:p>
        </w:tc>
      </w:tr>
      <w:tr>
        <w:trPr>
          <w:trHeight w:val="210" w:hRule="atLeast"/>
        </w:trPr>
        <w:tc>
          <w:tcPr>
            <w:tcW w:w="6664" w:type="dxa"/>
          </w:tcPr>
          <w:p>
            <w:pPr>
              <w:pStyle w:val="TableParagraph"/>
              <w:spacing w:line="187" w:lineRule="exact" w:before="3"/>
              <w:ind w:left="157"/>
              <w:rPr>
                <w:sz w:val="18"/>
              </w:rPr>
            </w:pPr>
            <w:r>
              <w:rPr>
                <w:color w:val="545454"/>
                <w:w w:val="105"/>
                <w:sz w:val="18"/>
              </w:rPr>
              <w:t>Legal </w:t>
            </w:r>
            <w:r>
              <w:rPr>
                <w:color w:val="3F3F3F"/>
                <w:w w:val="105"/>
                <w:sz w:val="18"/>
              </w:rPr>
              <w:t>and professional fees</w:t>
            </w:r>
          </w:p>
        </w:tc>
        <w:tc>
          <w:tcPr>
            <w:tcW w:w="1103" w:type="dxa"/>
          </w:tcPr>
          <w:p>
            <w:pPr>
              <w:pStyle w:val="TableParagraph"/>
              <w:spacing w:line="187" w:lineRule="exact" w:before="3"/>
              <w:ind w:left="308" w:right="212"/>
              <w:jc w:val="center"/>
              <w:rPr>
                <w:sz w:val="18"/>
              </w:rPr>
            </w:pPr>
            <w:r>
              <w:rPr>
                <w:color w:val="3F3F3F"/>
                <w:w w:val="110"/>
                <w:sz w:val="18"/>
              </w:rPr>
              <w:t>35</w:t>
            </w:r>
          </w:p>
        </w:tc>
        <w:tc>
          <w:tcPr>
            <w:tcW w:w="814" w:type="dxa"/>
          </w:tcPr>
          <w:p>
            <w:pPr>
              <w:pStyle w:val="TableParagraph"/>
              <w:spacing w:line="187" w:lineRule="exact" w:before="3"/>
              <w:ind w:right="119"/>
              <w:jc w:val="right"/>
              <w:rPr>
                <w:sz w:val="18"/>
              </w:rPr>
            </w:pPr>
            <w:r>
              <w:rPr>
                <w:color w:val="3F3F3F"/>
                <w:w w:val="110"/>
                <w:sz w:val="18"/>
              </w:rPr>
              <w:t>54</w:t>
            </w:r>
          </w:p>
        </w:tc>
      </w:tr>
    </w:tbl>
    <w:p>
      <w:pPr>
        <w:spacing w:after="0" w:line="187" w:lineRule="exact"/>
        <w:jc w:val="right"/>
        <w:rPr>
          <w:sz w:val="18"/>
        </w:rPr>
        <w:sectPr>
          <w:type w:val="continuous"/>
          <w:pgSz w:w="10950" w:h="15880"/>
          <w:pgMar w:top="680" w:bottom="280" w:left="500" w:right="0"/>
        </w:sectPr>
      </w:pPr>
    </w:p>
    <w:p>
      <w:pPr>
        <w:pStyle w:val="BodyText"/>
        <w:spacing w:before="14"/>
        <w:ind w:left="1087"/>
        <w:rPr>
          <w:rFonts w:ascii="Times New Roman"/>
        </w:rPr>
      </w:pPr>
      <w:r>
        <w:rPr>
          <w:rFonts w:ascii="Times New Roman"/>
          <w:color w:val="3F3F3F"/>
          <w:w w:val="110"/>
        </w:rPr>
        <w:t>Support</w:t>
      </w:r>
      <w:r>
        <w:rPr>
          <w:rFonts w:ascii="Times New Roman"/>
          <w:color w:val="3F3F3F"/>
          <w:spacing w:val="-31"/>
          <w:w w:val="110"/>
        </w:rPr>
        <w:t> </w:t>
      </w:r>
      <w:r>
        <w:rPr>
          <w:rFonts w:ascii="Times New Roman"/>
          <w:color w:val="2D2D2D"/>
          <w:w w:val="110"/>
        </w:rPr>
        <w:t>costs</w:t>
      </w:r>
      <w:r>
        <w:rPr>
          <w:rFonts w:ascii="Times New Roman"/>
          <w:color w:val="2D2D2D"/>
          <w:spacing w:val="-37"/>
          <w:w w:val="110"/>
        </w:rPr>
        <w:t> </w:t>
      </w:r>
      <w:r>
        <w:rPr>
          <w:rFonts w:ascii="Times New Roman"/>
          <w:color w:val="2D2D2D"/>
          <w:w w:val="110"/>
        </w:rPr>
        <w:t>allocated</w:t>
      </w:r>
    </w:p>
    <w:p>
      <w:pPr>
        <w:pStyle w:val="BodyText"/>
        <w:tabs>
          <w:tab w:pos="2697" w:val="left" w:leader="none"/>
        </w:tabs>
        <w:spacing w:before="24"/>
        <w:ind w:left="1434"/>
        <w:rPr>
          <w:rFonts w:ascii="Times New Roman"/>
        </w:rPr>
      </w:pPr>
      <w:r>
        <w:rPr/>
        <w:br w:type="column"/>
      </w:r>
      <w:r>
        <w:rPr>
          <w:rFonts w:ascii="Times New Roman"/>
          <w:color w:val="3F3F3F"/>
          <w:w w:val="100"/>
          <w:u w:val="single" w:color="000000"/>
        </w:rPr>
        <w:t> </w:t>
      </w:r>
      <w:r>
        <w:rPr>
          <w:rFonts w:ascii="Times New Roman"/>
          <w:color w:val="3F3F3F"/>
          <w:u w:val="single" w:color="000000"/>
        </w:rPr>
        <w:t>   </w:t>
      </w:r>
      <w:r>
        <w:rPr>
          <w:rFonts w:ascii="Times New Roman"/>
          <w:color w:val="3F3F3F"/>
          <w:spacing w:val="-16"/>
          <w:u w:val="single" w:color="000000"/>
        </w:rPr>
        <w:t> </w:t>
      </w:r>
      <w:r>
        <w:rPr>
          <w:rFonts w:ascii="Times New Roman"/>
          <w:color w:val="3F3F3F"/>
          <w:w w:val="110"/>
          <w:u w:val="single" w:color="000000"/>
        </w:rPr>
        <w:t>25</w:t>
        <w:tab/>
        <w:t>32</w:t>
      </w:r>
      <w:r>
        <w:rPr>
          <w:rFonts w:ascii="Times New Roman"/>
          <w:color w:val="3F3F3F"/>
          <w:spacing w:val="9"/>
          <w:u w:val="single" w:color="000000"/>
        </w:rPr>
        <w:t> </w:t>
      </w:r>
    </w:p>
    <w:p>
      <w:pPr>
        <w:pStyle w:val="BodyText"/>
        <w:tabs>
          <w:tab w:pos="1503" w:val="left" w:leader="none"/>
          <w:tab w:pos="2204" w:val="left" w:leader="none"/>
          <w:tab w:pos="2605" w:val="left" w:leader="none"/>
        </w:tabs>
        <w:spacing w:before="24"/>
        <w:ind w:left="1087"/>
        <w:rPr>
          <w:rFonts w:ascii="Times New Roman"/>
        </w:rPr>
      </w:pPr>
      <w:r>
        <w:rPr>
          <w:rFonts w:ascii="Times New Roman"/>
          <w:color w:val="3F3F3F"/>
          <w:w w:val="100"/>
          <w:u w:val="single" w:color="000000"/>
        </w:rPr>
        <w:t> </w:t>
      </w:r>
      <w:r>
        <w:rPr>
          <w:rFonts w:ascii="Times New Roman"/>
          <w:color w:val="3F3F3F"/>
          <w:u w:val="single" w:color="000000"/>
        </w:rPr>
        <w:tab/>
      </w:r>
      <w:r>
        <w:rPr>
          <w:rFonts w:ascii="Times New Roman"/>
          <w:color w:val="3F3F3F"/>
          <w:w w:val="110"/>
          <w:u w:val="single" w:color="000000"/>
        </w:rPr>
        <w:t>369</w:t>
      </w:r>
      <w:r>
        <w:rPr>
          <w:rFonts w:ascii="Times New Roman"/>
          <w:color w:val="3F3F3F"/>
          <w:w w:val="110"/>
        </w:rPr>
        <w:tab/>
      </w:r>
      <w:r>
        <w:rPr>
          <w:rFonts w:ascii="Times New Roman"/>
          <w:color w:val="3F3F3F"/>
          <w:w w:val="110"/>
          <w:u w:val="single" w:color="000000"/>
        </w:rPr>
        <w:t> </w:t>
        <w:tab/>
        <w:t>400</w:t>
      </w:r>
      <w:r>
        <w:rPr>
          <w:rFonts w:ascii="Times New Roman"/>
          <w:color w:val="3F3F3F"/>
          <w:spacing w:val="-15"/>
          <w:u w:val="single" w:color="000000"/>
        </w:rPr>
        <w:t> </w:t>
      </w:r>
    </w:p>
    <w:p>
      <w:pPr>
        <w:spacing w:after="0"/>
        <w:rPr>
          <w:rFonts w:ascii="Times New Roman"/>
        </w:rPr>
        <w:sectPr>
          <w:type w:val="continuous"/>
          <w:pgSz w:w="10950" w:h="15880"/>
          <w:pgMar w:top="680" w:bottom="280" w:left="500" w:right="0"/>
          <w:cols w:num="2" w:equalWidth="0">
            <w:col w:w="2888" w:space="3614"/>
            <w:col w:w="3948"/>
          </w:cols>
        </w:sectPr>
      </w:pPr>
    </w:p>
    <w:p>
      <w:pPr>
        <w:pStyle w:val="BodyText"/>
        <w:spacing w:before="5"/>
        <w:rPr>
          <w:rFonts w:ascii="Times New Roman"/>
          <w:sz w:val="12"/>
        </w:rPr>
      </w:pPr>
    </w:p>
    <w:p>
      <w:pPr>
        <w:tabs>
          <w:tab w:pos="2167" w:val="left" w:leader="none"/>
        </w:tabs>
        <w:spacing w:before="92"/>
        <w:ind w:left="990" w:right="0" w:firstLine="0"/>
        <w:jc w:val="left"/>
        <w:rPr>
          <w:rFonts w:ascii="Times New Roman"/>
          <w:b/>
          <w:sz w:val="18"/>
        </w:rPr>
      </w:pPr>
      <w:r>
        <w:rPr>
          <w:rFonts w:ascii="Times New Roman"/>
          <w:b/>
          <w:color w:val="2D2D2D"/>
          <w:w w:val="105"/>
          <w:sz w:val="19"/>
        </w:rPr>
        <w:t>NOTES</w:t>
        <w:tab/>
      </w:r>
      <w:r>
        <w:rPr>
          <w:rFonts w:ascii="Times New Roman"/>
          <w:b/>
          <w:color w:val="3F3F3F"/>
          <w:w w:val="105"/>
          <w:sz w:val="18"/>
        </w:rPr>
        <w:t>S</w:t>
      </w:r>
      <w:r>
        <w:rPr>
          <w:rFonts w:ascii="Times New Roman"/>
          <w:b/>
          <w:color w:val="1A1A1A"/>
          <w:w w:val="105"/>
          <w:sz w:val="18"/>
        </w:rPr>
        <w:t>UPPORT</w:t>
      </w:r>
      <w:r>
        <w:rPr>
          <w:rFonts w:ascii="Times New Roman"/>
          <w:b/>
          <w:color w:val="1A1A1A"/>
          <w:spacing w:val="25"/>
          <w:w w:val="105"/>
          <w:sz w:val="18"/>
        </w:rPr>
        <w:t> </w:t>
      </w:r>
      <w:r>
        <w:rPr>
          <w:rFonts w:ascii="Times New Roman"/>
          <w:b/>
          <w:color w:val="2D2D2D"/>
          <w:w w:val="105"/>
          <w:sz w:val="18"/>
        </w:rPr>
        <w:t>COSTS</w:t>
      </w:r>
    </w:p>
    <w:p>
      <w:pPr>
        <w:pStyle w:val="BodyText"/>
        <w:spacing w:line="252" w:lineRule="auto" w:before="128"/>
        <w:ind w:left="976" w:right="1119"/>
        <w:rPr>
          <w:rFonts w:ascii="Times New Roman"/>
        </w:rPr>
      </w:pPr>
      <w:r>
        <w:rPr>
          <w:rFonts w:ascii="Times New Roman"/>
          <w:color w:val="3F3F3F"/>
          <w:w w:val="105"/>
        </w:rPr>
        <w:t>The Church's support costs comprise the </w:t>
      </w:r>
      <w:r>
        <w:rPr>
          <w:rFonts w:ascii="Times New Roman"/>
          <w:color w:val="2D2D2D"/>
          <w:w w:val="105"/>
        </w:rPr>
        <w:t>premises </w:t>
      </w:r>
      <w:r>
        <w:rPr>
          <w:rFonts w:ascii="Times New Roman"/>
          <w:color w:val="3F3F3F"/>
          <w:w w:val="105"/>
        </w:rPr>
        <w:t>costs of United </w:t>
      </w:r>
      <w:r>
        <w:rPr>
          <w:rFonts w:ascii="Times New Roman"/>
          <w:color w:val="2D2D2D"/>
          <w:w w:val="105"/>
        </w:rPr>
        <w:t>Reformed Church House</w:t>
      </w:r>
      <w:r>
        <w:rPr>
          <w:rFonts w:ascii="Times New Roman"/>
          <w:color w:val="545454"/>
          <w:w w:val="105"/>
        </w:rPr>
        <w:t>, </w:t>
      </w:r>
      <w:r>
        <w:rPr>
          <w:rFonts w:ascii="Times New Roman"/>
          <w:color w:val="3F3F3F"/>
          <w:w w:val="105"/>
        </w:rPr>
        <w:t>an</w:t>
      </w:r>
      <w:r>
        <w:rPr>
          <w:rFonts w:ascii="Times New Roman"/>
          <w:color w:val="1A1A1A"/>
          <w:w w:val="105"/>
        </w:rPr>
        <w:t>d </w:t>
      </w:r>
      <w:r>
        <w:rPr>
          <w:rFonts w:ascii="Times New Roman"/>
          <w:color w:val="3F3F3F"/>
          <w:w w:val="105"/>
        </w:rPr>
        <w:t>the staff an</w:t>
      </w:r>
      <w:r>
        <w:rPr>
          <w:rFonts w:ascii="Times New Roman"/>
          <w:color w:val="1A1A1A"/>
          <w:w w:val="105"/>
        </w:rPr>
        <w:t>d </w:t>
      </w:r>
      <w:r>
        <w:rPr>
          <w:rFonts w:ascii="Times New Roman"/>
          <w:color w:val="3F3F3F"/>
          <w:w w:val="105"/>
        </w:rPr>
        <w:t>office costs </w:t>
      </w:r>
      <w:r>
        <w:rPr>
          <w:rFonts w:ascii="Arial"/>
          <w:color w:val="3F3F3F"/>
          <w:w w:val="105"/>
        </w:rPr>
        <w:t>in </w:t>
      </w:r>
      <w:r>
        <w:rPr>
          <w:rFonts w:ascii="Times New Roman"/>
          <w:color w:val="3F3F3F"/>
          <w:w w:val="105"/>
        </w:rPr>
        <w:t>respect of: Central Secretariat (including </w:t>
      </w:r>
      <w:r>
        <w:rPr>
          <w:rFonts w:ascii="Times New Roman"/>
          <w:color w:val="2D2D2D"/>
          <w:w w:val="105"/>
        </w:rPr>
        <w:t>Human </w:t>
      </w:r>
      <w:r>
        <w:rPr>
          <w:rFonts w:ascii="Times New Roman"/>
          <w:color w:val="3F3F3F"/>
          <w:w w:val="105"/>
        </w:rPr>
        <w:t>Resources), Finance, Communications and lnfonnation </w:t>
      </w:r>
      <w:r>
        <w:rPr>
          <w:rFonts w:ascii="Times New Roman"/>
          <w:color w:val="2D2D2D"/>
          <w:w w:val="105"/>
        </w:rPr>
        <w:t>Technolog</w:t>
      </w:r>
      <w:r>
        <w:rPr>
          <w:rFonts w:ascii="Times New Roman"/>
          <w:color w:val="545454"/>
          <w:w w:val="105"/>
        </w:rPr>
        <w:t>y. </w:t>
      </w:r>
      <w:r>
        <w:rPr>
          <w:rFonts w:ascii="Times New Roman"/>
          <w:color w:val="3F3F3F"/>
          <w:w w:val="105"/>
        </w:rPr>
        <w:t>These costs have been apportione</w:t>
      </w:r>
      <w:r>
        <w:rPr>
          <w:rFonts w:ascii="Times New Roman"/>
          <w:color w:val="1A1A1A"/>
          <w:w w:val="105"/>
        </w:rPr>
        <w:t>d </w:t>
      </w:r>
      <w:r>
        <w:rPr>
          <w:rFonts w:ascii="Times New Roman"/>
          <w:color w:val="3F3F3F"/>
          <w:w w:val="105"/>
        </w:rPr>
        <w:t>across the areas of activity on </w:t>
      </w:r>
      <w:r>
        <w:rPr>
          <w:rFonts w:ascii="Times New Roman"/>
          <w:color w:val="2D2D2D"/>
          <w:w w:val="105"/>
        </w:rPr>
        <w:t>the </w:t>
      </w:r>
      <w:r>
        <w:rPr>
          <w:rFonts w:ascii="Times New Roman"/>
          <w:color w:val="3F3F3F"/>
          <w:w w:val="105"/>
        </w:rPr>
        <w:t>basis </w:t>
      </w:r>
      <w:r>
        <w:rPr>
          <w:rFonts w:ascii="Times New Roman"/>
          <w:color w:val="2D2D2D"/>
          <w:w w:val="105"/>
        </w:rPr>
        <w:t>and </w:t>
      </w:r>
      <w:r>
        <w:rPr>
          <w:rFonts w:ascii="Times New Roman"/>
          <w:color w:val="545454"/>
          <w:w w:val="105"/>
        </w:rPr>
        <w:t>in </w:t>
      </w:r>
      <w:r>
        <w:rPr>
          <w:rFonts w:ascii="Times New Roman"/>
          <w:color w:val="3F3F3F"/>
          <w:w w:val="105"/>
        </w:rPr>
        <w:t>the amounts shown below.</w:t>
      </w:r>
    </w:p>
    <w:p>
      <w:pPr>
        <w:pStyle w:val="BodyText"/>
        <w:spacing w:before="9" w:after="1"/>
        <w:rPr>
          <w:rFonts w:ascii="Times New Roman"/>
          <w:sz w:val="12"/>
        </w:rPr>
      </w:pPr>
    </w:p>
    <w:tbl>
      <w:tblPr>
        <w:tblW w:w="0" w:type="auto"/>
        <w:jc w:val="left"/>
        <w:tblInd w:w="1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7"/>
        <w:gridCol w:w="1757"/>
        <w:gridCol w:w="1074"/>
        <w:gridCol w:w="1214"/>
        <w:gridCol w:w="821"/>
        <w:gridCol w:w="708"/>
      </w:tblGrid>
      <w:tr>
        <w:trPr>
          <w:trHeight w:val="441" w:hRule="atLeast"/>
        </w:trPr>
        <w:tc>
          <w:tcPr>
            <w:tcW w:w="2987" w:type="dxa"/>
          </w:tcPr>
          <w:p>
            <w:pPr>
              <w:pStyle w:val="TableParagraph"/>
              <w:rPr>
                <w:sz w:val="18"/>
              </w:rPr>
            </w:pPr>
          </w:p>
        </w:tc>
        <w:tc>
          <w:tcPr>
            <w:tcW w:w="1757" w:type="dxa"/>
          </w:tcPr>
          <w:p>
            <w:pPr>
              <w:pStyle w:val="TableParagraph"/>
              <w:spacing w:line="200" w:lineRule="exact"/>
              <w:ind w:right="109"/>
              <w:jc w:val="right"/>
              <w:rPr>
                <w:b/>
                <w:sz w:val="18"/>
              </w:rPr>
            </w:pPr>
            <w:r>
              <w:rPr>
                <w:b/>
                <w:color w:val="1A1A1A"/>
                <w:spacing w:val="-1"/>
                <w:sz w:val="18"/>
              </w:rPr>
              <w:t>Premises</w:t>
            </w:r>
          </w:p>
          <w:p>
            <w:pPr>
              <w:pStyle w:val="TableParagraph"/>
              <w:spacing w:before="14"/>
              <w:ind w:right="91"/>
              <w:jc w:val="right"/>
              <w:rPr>
                <w:b/>
                <w:sz w:val="18"/>
              </w:rPr>
            </w:pPr>
            <w:r>
              <w:rPr>
                <w:b/>
                <w:color w:val="2D2D2D"/>
                <w:spacing w:val="-2"/>
                <w:w w:val="110"/>
                <w:sz w:val="18"/>
              </w:rPr>
              <w:t>costs</w:t>
            </w:r>
          </w:p>
        </w:tc>
        <w:tc>
          <w:tcPr>
            <w:tcW w:w="1074" w:type="dxa"/>
          </w:tcPr>
          <w:p>
            <w:pPr>
              <w:pStyle w:val="TableParagraph"/>
              <w:spacing w:line="200" w:lineRule="exact"/>
              <w:ind w:right="156"/>
              <w:jc w:val="right"/>
              <w:rPr>
                <w:b/>
                <w:sz w:val="18"/>
              </w:rPr>
            </w:pPr>
            <w:r>
              <w:rPr>
                <w:b/>
                <w:color w:val="2D2D2D"/>
                <w:spacing w:val="-1"/>
                <w:sz w:val="18"/>
              </w:rPr>
              <w:t>Computer</w:t>
            </w:r>
          </w:p>
          <w:p>
            <w:pPr>
              <w:pStyle w:val="TableParagraph"/>
              <w:spacing w:line="198" w:lineRule="exact" w:before="24"/>
              <w:ind w:right="146"/>
              <w:jc w:val="right"/>
              <w:rPr>
                <w:b/>
                <w:sz w:val="18"/>
              </w:rPr>
            </w:pPr>
            <w:r>
              <w:rPr>
                <w:b/>
                <w:color w:val="2D2D2D"/>
                <w:spacing w:val="-1"/>
                <w:w w:val="105"/>
                <w:sz w:val="18"/>
              </w:rPr>
              <w:t>costs</w:t>
            </w:r>
          </w:p>
        </w:tc>
        <w:tc>
          <w:tcPr>
            <w:tcW w:w="1214" w:type="dxa"/>
          </w:tcPr>
          <w:p>
            <w:pPr>
              <w:pStyle w:val="TableParagraph"/>
              <w:spacing w:line="200" w:lineRule="exact"/>
              <w:ind w:right="182"/>
              <w:jc w:val="right"/>
              <w:rPr>
                <w:b/>
                <w:sz w:val="18"/>
              </w:rPr>
            </w:pPr>
            <w:r>
              <w:rPr>
                <w:b/>
                <w:color w:val="2D2D2D"/>
                <w:w w:val="110"/>
                <w:sz w:val="18"/>
              </w:rPr>
              <w:t>Staff</w:t>
            </w:r>
            <w:r>
              <w:rPr>
                <w:b/>
                <w:color w:val="2D2D2D"/>
                <w:spacing w:val="-29"/>
                <w:w w:val="110"/>
                <w:sz w:val="18"/>
              </w:rPr>
              <w:t> </w:t>
            </w:r>
            <w:r>
              <w:rPr>
                <w:b/>
                <w:color w:val="1A1A1A"/>
                <w:w w:val="110"/>
                <w:sz w:val="18"/>
              </w:rPr>
              <w:t>and</w:t>
            </w:r>
          </w:p>
          <w:p>
            <w:pPr>
              <w:pStyle w:val="TableParagraph"/>
              <w:spacing w:line="198" w:lineRule="exact" w:before="24"/>
              <w:ind w:right="175"/>
              <w:jc w:val="right"/>
              <w:rPr>
                <w:b/>
                <w:sz w:val="18"/>
              </w:rPr>
            </w:pPr>
            <w:r>
              <w:rPr>
                <w:b/>
                <w:color w:val="1A1A1A"/>
                <w:w w:val="110"/>
                <w:sz w:val="18"/>
              </w:rPr>
              <w:t>office</w:t>
            </w:r>
            <w:r>
              <w:rPr>
                <w:b/>
                <w:color w:val="1A1A1A"/>
                <w:spacing w:val="-32"/>
                <w:w w:val="110"/>
                <w:sz w:val="18"/>
              </w:rPr>
              <w:t> </w:t>
            </w:r>
            <w:r>
              <w:rPr>
                <w:b/>
                <w:color w:val="2D2D2D"/>
                <w:w w:val="110"/>
                <w:sz w:val="18"/>
              </w:rPr>
              <w:t>costs</w:t>
            </w:r>
          </w:p>
        </w:tc>
        <w:tc>
          <w:tcPr>
            <w:tcW w:w="821" w:type="dxa"/>
          </w:tcPr>
          <w:p>
            <w:pPr>
              <w:pStyle w:val="TableParagraph"/>
              <w:spacing w:line="200" w:lineRule="exact"/>
              <w:ind w:left="224"/>
              <w:rPr>
                <w:b/>
                <w:sz w:val="18"/>
              </w:rPr>
            </w:pPr>
            <w:r>
              <w:rPr>
                <w:b/>
                <w:color w:val="1A1A1A"/>
                <w:w w:val="110"/>
                <w:sz w:val="18"/>
              </w:rPr>
              <w:t>2006</w:t>
            </w:r>
          </w:p>
          <w:p>
            <w:pPr>
              <w:pStyle w:val="TableParagraph"/>
              <w:spacing w:line="198" w:lineRule="exact" w:before="24"/>
              <w:ind w:left="183"/>
              <w:rPr>
                <w:b/>
                <w:sz w:val="18"/>
              </w:rPr>
            </w:pPr>
            <w:r>
              <w:rPr>
                <w:b/>
                <w:color w:val="1A1A1A"/>
                <w:w w:val="105"/>
                <w:sz w:val="18"/>
              </w:rPr>
              <w:t>Total</w:t>
            </w:r>
          </w:p>
        </w:tc>
        <w:tc>
          <w:tcPr>
            <w:tcW w:w="708" w:type="dxa"/>
          </w:tcPr>
          <w:p>
            <w:pPr>
              <w:pStyle w:val="TableParagraph"/>
              <w:spacing w:before="2"/>
              <w:ind w:left="260"/>
              <w:rPr>
                <w:b/>
                <w:sz w:val="18"/>
              </w:rPr>
            </w:pPr>
            <w:r>
              <w:rPr>
                <w:b/>
                <w:color w:val="1A1A1A"/>
                <w:w w:val="110"/>
                <w:sz w:val="18"/>
              </w:rPr>
              <w:t>2005</w:t>
            </w:r>
          </w:p>
          <w:p>
            <w:pPr>
              <w:pStyle w:val="TableParagraph"/>
              <w:spacing w:line="198" w:lineRule="exact" w:before="14"/>
              <w:ind w:left="209"/>
              <w:rPr>
                <w:b/>
                <w:sz w:val="18"/>
              </w:rPr>
            </w:pPr>
            <w:r>
              <w:rPr>
                <w:b/>
                <w:color w:val="2D2D2D"/>
                <w:w w:val="110"/>
                <w:sz w:val="18"/>
              </w:rPr>
              <w:t>Total</w:t>
            </w:r>
          </w:p>
        </w:tc>
      </w:tr>
      <w:tr>
        <w:trPr>
          <w:trHeight w:val="442" w:hRule="atLeast"/>
        </w:trPr>
        <w:tc>
          <w:tcPr>
            <w:tcW w:w="2987" w:type="dxa"/>
          </w:tcPr>
          <w:p>
            <w:pPr>
              <w:pStyle w:val="TableParagraph"/>
              <w:spacing w:before="6"/>
              <w:rPr>
                <w:sz w:val="19"/>
              </w:rPr>
            </w:pPr>
          </w:p>
          <w:p>
            <w:pPr>
              <w:pStyle w:val="TableParagraph"/>
              <w:spacing w:line="198" w:lineRule="exact"/>
              <w:ind w:left="54"/>
              <w:rPr>
                <w:sz w:val="18"/>
              </w:rPr>
            </w:pPr>
            <w:r>
              <w:rPr>
                <w:color w:val="3F3F3F"/>
                <w:w w:val="110"/>
                <w:sz w:val="18"/>
              </w:rPr>
              <w:t>Basis of apportionment</w:t>
            </w:r>
          </w:p>
        </w:tc>
        <w:tc>
          <w:tcPr>
            <w:tcW w:w="1757" w:type="dxa"/>
          </w:tcPr>
          <w:p>
            <w:pPr>
              <w:pStyle w:val="TableParagraph"/>
              <w:spacing w:before="3"/>
              <w:ind w:right="90"/>
              <w:jc w:val="right"/>
              <w:rPr>
                <w:b/>
                <w:sz w:val="18"/>
              </w:rPr>
            </w:pPr>
            <w:r>
              <w:rPr>
                <w:b/>
                <w:color w:val="1A1A1A"/>
                <w:spacing w:val="-1"/>
                <w:w w:val="110"/>
                <w:sz w:val="18"/>
              </w:rPr>
              <w:t>£'000</w:t>
            </w:r>
          </w:p>
          <w:p>
            <w:pPr>
              <w:pStyle w:val="TableParagraph"/>
              <w:spacing w:line="198" w:lineRule="exact" w:before="15"/>
              <w:ind w:right="99"/>
              <w:jc w:val="right"/>
              <w:rPr>
                <w:sz w:val="18"/>
              </w:rPr>
            </w:pPr>
            <w:r>
              <w:rPr>
                <w:color w:val="3F3F3F"/>
                <w:spacing w:val="-1"/>
                <w:w w:val="105"/>
                <w:sz w:val="18"/>
              </w:rPr>
              <w:t>Area</w:t>
            </w:r>
          </w:p>
        </w:tc>
        <w:tc>
          <w:tcPr>
            <w:tcW w:w="1074" w:type="dxa"/>
          </w:tcPr>
          <w:p>
            <w:pPr>
              <w:pStyle w:val="TableParagraph"/>
              <w:spacing w:before="3"/>
              <w:ind w:left="471"/>
              <w:rPr>
                <w:b/>
                <w:sz w:val="18"/>
              </w:rPr>
            </w:pPr>
            <w:r>
              <w:rPr>
                <w:b/>
                <w:color w:val="1A1A1A"/>
                <w:w w:val="110"/>
                <w:sz w:val="18"/>
              </w:rPr>
              <w:t>£'000</w:t>
            </w:r>
          </w:p>
          <w:p>
            <w:pPr>
              <w:pStyle w:val="TableParagraph"/>
              <w:spacing w:line="198" w:lineRule="exact" w:before="15"/>
              <w:ind w:left="550"/>
              <w:rPr>
                <w:sz w:val="18"/>
              </w:rPr>
            </w:pPr>
            <w:r>
              <w:rPr>
                <w:color w:val="3F3F3F"/>
                <w:w w:val="110"/>
                <w:sz w:val="18"/>
              </w:rPr>
              <w:t>Staff</w:t>
            </w:r>
          </w:p>
        </w:tc>
        <w:tc>
          <w:tcPr>
            <w:tcW w:w="1214" w:type="dxa"/>
          </w:tcPr>
          <w:p>
            <w:pPr>
              <w:pStyle w:val="TableParagraph"/>
              <w:spacing w:before="3"/>
              <w:ind w:right="173"/>
              <w:jc w:val="right"/>
              <w:rPr>
                <w:b/>
                <w:sz w:val="18"/>
              </w:rPr>
            </w:pPr>
            <w:r>
              <w:rPr>
                <w:b/>
                <w:color w:val="1A1A1A"/>
                <w:spacing w:val="-1"/>
                <w:w w:val="110"/>
                <w:sz w:val="18"/>
              </w:rPr>
              <w:t>£'000</w:t>
            </w:r>
          </w:p>
          <w:p>
            <w:pPr>
              <w:pStyle w:val="TableParagraph"/>
              <w:spacing w:line="198" w:lineRule="exact" w:before="15"/>
              <w:ind w:right="172"/>
              <w:jc w:val="right"/>
              <w:rPr>
                <w:sz w:val="18"/>
              </w:rPr>
            </w:pPr>
            <w:r>
              <w:rPr>
                <w:color w:val="3F3F3F"/>
                <w:w w:val="110"/>
                <w:sz w:val="18"/>
              </w:rPr>
              <w:t>Total</w:t>
            </w:r>
            <w:r>
              <w:rPr>
                <w:color w:val="3F3F3F"/>
                <w:spacing w:val="-28"/>
                <w:w w:val="110"/>
                <w:sz w:val="18"/>
              </w:rPr>
              <w:t> </w:t>
            </w:r>
            <w:r>
              <w:rPr>
                <w:color w:val="3F3F3F"/>
                <w:w w:val="110"/>
                <w:sz w:val="18"/>
              </w:rPr>
              <w:t>costs</w:t>
            </w:r>
          </w:p>
        </w:tc>
        <w:tc>
          <w:tcPr>
            <w:tcW w:w="821" w:type="dxa"/>
          </w:tcPr>
          <w:p>
            <w:pPr>
              <w:pStyle w:val="TableParagraph"/>
              <w:spacing w:before="3"/>
              <w:ind w:left="177"/>
              <w:rPr>
                <w:b/>
                <w:sz w:val="18"/>
              </w:rPr>
            </w:pPr>
            <w:r>
              <w:rPr>
                <w:b/>
                <w:color w:val="2D2D2D"/>
                <w:w w:val="110"/>
                <w:sz w:val="18"/>
              </w:rPr>
              <w:t>£'000</w:t>
            </w:r>
          </w:p>
        </w:tc>
        <w:tc>
          <w:tcPr>
            <w:tcW w:w="708" w:type="dxa"/>
          </w:tcPr>
          <w:p>
            <w:pPr>
              <w:pStyle w:val="TableParagraph"/>
              <w:spacing w:before="3"/>
              <w:ind w:left="186" w:right="31"/>
              <w:jc w:val="center"/>
              <w:rPr>
                <w:b/>
                <w:sz w:val="18"/>
              </w:rPr>
            </w:pPr>
            <w:r>
              <w:rPr>
                <w:b/>
                <w:color w:val="1A1A1A"/>
                <w:w w:val="110"/>
                <w:sz w:val="18"/>
              </w:rPr>
              <w:t>£'000</w:t>
            </w:r>
          </w:p>
        </w:tc>
      </w:tr>
      <w:tr>
        <w:trPr>
          <w:trHeight w:val="226" w:hRule="atLeast"/>
        </w:trPr>
        <w:tc>
          <w:tcPr>
            <w:tcW w:w="2987" w:type="dxa"/>
          </w:tcPr>
          <w:p>
            <w:pPr>
              <w:pStyle w:val="TableParagraph"/>
              <w:spacing w:line="203" w:lineRule="exact" w:before="3"/>
              <w:ind w:left="50"/>
              <w:rPr>
                <w:b/>
                <w:sz w:val="18"/>
              </w:rPr>
            </w:pPr>
            <w:r>
              <w:rPr>
                <w:b/>
                <w:color w:val="2D2D2D"/>
                <w:w w:val="105"/>
                <w:sz w:val="18"/>
              </w:rPr>
              <w:t>Charitable </w:t>
            </w:r>
            <w:r>
              <w:rPr>
                <w:b/>
                <w:color w:val="1A1A1A"/>
                <w:w w:val="105"/>
                <w:sz w:val="18"/>
              </w:rPr>
              <w:t>activitie</w:t>
            </w:r>
            <w:r>
              <w:rPr>
                <w:b/>
                <w:color w:val="3F3F3F"/>
                <w:w w:val="105"/>
                <w:sz w:val="18"/>
              </w:rPr>
              <w:t>s</w:t>
            </w:r>
          </w:p>
        </w:tc>
        <w:tc>
          <w:tcPr>
            <w:tcW w:w="1757" w:type="dxa"/>
          </w:tcPr>
          <w:p>
            <w:pPr>
              <w:pStyle w:val="TableParagraph"/>
              <w:rPr>
                <w:sz w:val="16"/>
              </w:rPr>
            </w:pPr>
          </w:p>
        </w:tc>
        <w:tc>
          <w:tcPr>
            <w:tcW w:w="1074" w:type="dxa"/>
          </w:tcPr>
          <w:p>
            <w:pPr>
              <w:pStyle w:val="TableParagraph"/>
              <w:rPr>
                <w:sz w:val="16"/>
              </w:rPr>
            </w:pPr>
          </w:p>
        </w:tc>
        <w:tc>
          <w:tcPr>
            <w:tcW w:w="1214" w:type="dxa"/>
          </w:tcPr>
          <w:p>
            <w:pPr>
              <w:pStyle w:val="TableParagraph"/>
              <w:rPr>
                <w:sz w:val="16"/>
              </w:rPr>
            </w:pPr>
          </w:p>
        </w:tc>
        <w:tc>
          <w:tcPr>
            <w:tcW w:w="821" w:type="dxa"/>
          </w:tcPr>
          <w:p>
            <w:pPr>
              <w:pStyle w:val="TableParagraph"/>
              <w:rPr>
                <w:sz w:val="16"/>
              </w:rPr>
            </w:pPr>
          </w:p>
        </w:tc>
        <w:tc>
          <w:tcPr>
            <w:tcW w:w="708" w:type="dxa"/>
          </w:tcPr>
          <w:p>
            <w:pPr>
              <w:pStyle w:val="TableParagraph"/>
              <w:rPr>
                <w:sz w:val="16"/>
              </w:rPr>
            </w:pPr>
          </w:p>
        </w:tc>
      </w:tr>
      <w:tr>
        <w:trPr>
          <w:trHeight w:val="226" w:hRule="atLeast"/>
        </w:trPr>
        <w:tc>
          <w:tcPr>
            <w:tcW w:w="2987" w:type="dxa"/>
          </w:tcPr>
          <w:p>
            <w:pPr>
              <w:pStyle w:val="TableParagraph"/>
              <w:spacing w:line="198" w:lineRule="exact" w:before="8"/>
              <w:ind w:left="295"/>
              <w:rPr>
                <w:sz w:val="18"/>
              </w:rPr>
            </w:pPr>
            <w:r>
              <w:rPr>
                <w:color w:val="3F3F3F"/>
                <w:sz w:val="18"/>
              </w:rPr>
              <w:t>Ministry</w:t>
            </w:r>
          </w:p>
        </w:tc>
        <w:tc>
          <w:tcPr>
            <w:tcW w:w="1757" w:type="dxa"/>
          </w:tcPr>
          <w:p>
            <w:pPr>
              <w:pStyle w:val="TableParagraph"/>
              <w:spacing w:line="198" w:lineRule="exact" w:before="8"/>
              <w:ind w:right="195"/>
              <w:jc w:val="right"/>
              <w:rPr>
                <w:sz w:val="18"/>
              </w:rPr>
            </w:pPr>
            <w:r>
              <w:rPr>
                <w:color w:val="3F3F3F"/>
                <w:sz w:val="18"/>
              </w:rPr>
              <w:t>53</w:t>
            </w:r>
          </w:p>
        </w:tc>
        <w:tc>
          <w:tcPr>
            <w:tcW w:w="1074" w:type="dxa"/>
          </w:tcPr>
          <w:p>
            <w:pPr>
              <w:pStyle w:val="TableParagraph"/>
              <w:spacing w:line="198" w:lineRule="exact" w:before="8"/>
              <w:ind w:right="232"/>
              <w:jc w:val="right"/>
              <w:rPr>
                <w:sz w:val="18"/>
              </w:rPr>
            </w:pPr>
            <w:r>
              <w:rPr>
                <w:color w:val="3F3F3F"/>
                <w:sz w:val="18"/>
              </w:rPr>
              <w:t>42</w:t>
            </w:r>
          </w:p>
        </w:tc>
        <w:tc>
          <w:tcPr>
            <w:tcW w:w="1214" w:type="dxa"/>
          </w:tcPr>
          <w:p>
            <w:pPr>
              <w:pStyle w:val="TableParagraph"/>
              <w:spacing w:line="198" w:lineRule="exact" w:before="8"/>
              <w:ind w:right="274"/>
              <w:jc w:val="right"/>
              <w:rPr>
                <w:sz w:val="18"/>
              </w:rPr>
            </w:pPr>
            <w:r>
              <w:rPr>
                <w:color w:val="2D2D2D"/>
                <w:sz w:val="18"/>
              </w:rPr>
              <w:t>875</w:t>
            </w:r>
          </w:p>
        </w:tc>
        <w:tc>
          <w:tcPr>
            <w:tcW w:w="821" w:type="dxa"/>
          </w:tcPr>
          <w:p>
            <w:pPr>
              <w:pStyle w:val="TableParagraph"/>
              <w:spacing w:line="198" w:lineRule="exact" w:before="8"/>
              <w:ind w:left="250"/>
              <w:rPr>
                <w:sz w:val="18"/>
              </w:rPr>
            </w:pPr>
            <w:r>
              <w:rPr>
                <w:color w:val="3F3F3F"/>
                <w:sz w:val="18"/>
              </w:rPr>
              <w:t>970</w:t>
            </w:r>
          </w:p>
        </w:tc>
        <w:tc>
          <w:tcPr>
            <w:tcW w:w="708" w:type="dxa"/>
          </w:tcPr>
          <w:p>
            <w:pPr>
              <w:pStyle w:val="TableParagraph"/>
              <w:spacing w:line="198" w:lineRule="exact" w:before="8"/>
              <w:ind w:left="186" w:right="24"/>
              <w:jc w:val="center"/>
              <w:rPr>
                <w:sz w:val="18"/>
              </w:rPr>
            </w:pPr>
            <w:r>
              <w:rPr>
                <w:color w:val="3F3F3F"/>
                <w:w w:val="110"/>
                <w:sz w:val="18"/>
              </w:rPr>
              <w:t>923</w:t>
            </w:r>
          </w:p>
        </w:tc>
      </w:tr>
      <w:tr>
        <w:trPr>
          <w:trHeight w:val="230" w:hRule="atLeast"/>
        </w:trPr>
        <w:tc>
          <w:tcPr>
            <w:tcW w:w="2987" w:type="dxa"/>
          </w:tcPr>
          <w:p>
            <w:pPr>
              <w:pStyle w:val="TableParagraph"/>
              <w:spacing w:before="3"/>
              <w:ind w:left="282"/>
              <w:rPr>
                <w:sz w:val="18"/>
              </w:rPr>
            </w:pPr>
            <w:r>
              <w:rPr>
                <w:color w:val="3F3F3F"/>
                <w:w w:val="110"/>
                <w:sz w:val="18"/>
              </w:rPr>
              <w:t>Training</w:t>
            </w:r>
          </w:p>
        </w:tc>
        <w:tc>
          <w:tcPr>
            <w:tcW w:w="1757" w:type="dxa"/>
          </w:tcPr>
          <w:p>
            <w:pPr>
              <w:pStyle w:val="TableParagraph"/>
              <w:spacing w:before="3"/>
              <w:ind w:right="179"/>
              <w:jc w:val="right"/>
              <w:rPr>
                <w:sz w:val="18"/>
              </w:rPr>
            </w:pPr>
            <w:r>
              <w:rPr>
                <w:color w:val="3F3F3F"/>
                <w:w w:val="105"/>
                <w:sz w:val="18"/>
              </w:rPr>
              <w:t>22</w:t>
            </w:r>
          </w:p>
        </w:tc>
        <w:tc>
          <w:tcPr>
            <w:tcW w:w="1074" w:type="dxa"/>
          </w:tcPr>
          <w:p>
            <w:pPr>
              <w:pStyle w:val="TableParagraph"/>
              <w:spacing w:line="198" w:lineRule="exact" w:before="13"/>
              <w:ind w:right="231"/>
              <w:jc w:val="right"/>
              <w:rPr>
                <w:sz w:val="18"/>
              </w:rPr>
            </w:pPr>
            <w:r>
              <w:rPr>
                <w:color w:val="3F3F3F"/>
                <w:w w:val="108"/>
                <w:sz w:val="18"/>
              </w:rPr>
              <w:t>8</w:t>
            </w:r>
          </w:p>
        </w:tc>
        <w:tc>
          <w:tcPr>
            <w:tcW w:w="1214" w:type="dxa"/>
          </w:tcPr>
          <w:p>
            <w:pPr>
              <w:pStyle w:val="TableParagraph"/>
              <w:spacing w:before="3"/>
              <w:ind w:right="255"/>
              <w:jc w:val="right"/>
              <w:rPr>
                <w:sz w:val="18"/>
              </w:rPr>
            </w:pPr>
            <w:r>
              <w:rPr>
                <w:color w:val="3F3F3F"/>
                <w:w w:val="105"/>
                <w:sz w:val="18"/>
              </w:rPr>
              <w:t>92</w:t>
            </w:r>
          </w:p>
        </w:tc>
        <w:tc>
          <w:tcPr>
            <w:tcW w:w="821" w:type="dxa"/>
          </w:tcPr>
          <w:p>
            <w:pPr>
              <w:pStyle w:val="TableParagraph"/>
              <w:spacing w:before="3"/>
              <w:ind w:left="255"/>
              <w:rPr>
                <w:sz w:val="18"/>
              </w:rPr>
            </w:pPr>
            <w:r>
              <w:rPr>
                <w:color w:val="3F3F3F"/>
                <w:w w:val="110"/>
                <w:sz w:val="18"/>
              </w:rPr>
              <w:t>122</w:t>
            </w:r>
          </w:p>
        </w:tc>
        <w:tc>
          <w:tcPr>
            <w:tcW w:w="708" w:type="dxa"/>
          </w:tcPr>
          <w:p>
            <w:pPr>
              <w:pStyle w:val="TableParagraph"/>
              <w:spacing w:line="198" w:lineRule="exact" w:before="13"/>
              <w:ind w:left="179" w:right="31"/>
              <w:jc w:val="center"/>
              <w:rPr>
                <w:sz w:val="18"/>
              </w:rPr>
            </w:pPr>
            <w:r>
              <w:rPr>
                <w:color w:val="3F3F3F"/>
                <w:w w:val="110"/>
                <w:sz w:val="18"/>
              </w:rPr>
              <w:t>137</w:t>
            </w:r>
          </w:p>
        </w:tc>
      </w:tr>
      <w:tr>
        <w:trPr>
          <w:trHeight w:val="230" w:hRule="atLeast"/>
        </w:trPr>
        <w:tc>
          <w:tcPr>
            <w:tcW w:w="2987" w:type="dxa"/>
          </w:tcPr>
          <w:p>
            <w:pPr>
              <w:pStyle w:val="TableParagraph"/>
              <w:spacing w:before="3"/>
              <w:ind w:left="285"/>
              <w:rPr>
                <w:sz w:val="18"/>
              </w:rPr>
            </w:pPr>
            <w:r>
              <w:rPr>
                <w:color w:val="3F3F3F"/>
                <w:w w:val="105"/>
                <w:sz w:val="18"/>
              </w:rPr>
              <w:t>Mission</w:t>
            </w:r>
          </w:p>
        </w:tc>
        <w:tc>
          <w:tcPr>
            <w:tcW w:w="1757" w:type="dxa"/>
          </w:tcPr>
          <w:p>
            <w:pPr>
              <w:pStyle w:val="TableParagraph"/>
              <w:spacing w:before="3"/>
              <w:ind w:right="188"/>
              <w:jc w:val="right"/>
              <w:rPr>
                <w:sz w:val="18"/>
              </w:rPr>
            </w:pPr>
            <w:r>
              <w:rPr>
                <w:color w:val="3F3F3F"/>
                <w:w w:val="105"/>
                <w:sz w:val="18"/>
              </w:rPr>
              <w:t>33</w:t>
            </w:r>
          </w:p>
        </w:tc>
        <w:tc>
          <w:tcPr>
            <w:tcW w:w="1074" w:type="dxa"/>
          </w:tcPr>
          <w:p>
            <w:pPr>
              <w:pStyle w:val="TableParagraph"/>
              <w:spacing w:line="198" w:lineRule="exact" w:before="13"/>
              <w:ind w:right="228"/>
              <w:jc w:val="right"/>
              <w:rPr>
                <w:sz w:val="18"/>
              </w:rPr>
            </w:pPr>
            <w:r>
              <w:rPr>
                <w:color w:val="2D2D2D"/>
                <w:w w:val="105"/>
                <w:sz w:val="18"/>
              </w:rPr>
              <w:t>29</w:t>
            </w:r>
          </w:p>
        </w:tc>
        <w:tc>
          <w:tcPr>
            <w:tcW w:w="1214" w:type="dxa"/>
          </w:tcPr>
          <w:p>
            <w:pPr>
              <w:pStyle w:val="TableParagraph"/>
              <w:spacing w:line="198" w:lineRule="exact" w:before="13"/>
              <w:ind w:right="263"/>
              <w:jc w:val="right"/>
              <w:rPr>
                <w:sz w:val="18"/>
              </w:rPr>
            </w:pPr>
            <w:r>
              <w:rPr>
                <w:color w:val="545454"/>
                <w:w w:val="105"/>
                <w:sz w:val="18"/>
              </w:rPr>
              <w:t>12</w:t>
            </w:r>
            <w:r>
              <w:rPr>
                <w:color w:val="2D2D2D"/>
                <w:w w:val="105"/>
                <w:sz w:val="18"/>
              </w:rPr>
              <w:t>8</w:t>
            </w:r>
          </w:p>
        </w:tc>
        <w:tc>
          <w:tcPr>
            <w:tcW w:w="821" w:type="dxa"/>
          </w:tcPr>
          <w:p>
            <w:pPr>
              <w:pStyle w:val="TableParagraph"/>
              <w:spacing w:line="198" w:lineRule="exact" w:before="13"/>
              <w:ind w:left="255"/>
              <w:rPr>
                <w:sz w:val="18"/>
              </w:rPr>
            </w:pPr>
            <w:r>
              <w:rPr>
                <w:color w:val="3F3F3F"/>
                <w:w w:val="110"/>
                <w:sz w:val="18"/>
              </w:rPr>
              <w:t>190</w:t>
            </w:r>
          </w:p>
        </w:tc>
        <w:tc>
          <w:tcPr>
            <w:tcW w:w="708" w:type="dxa"/>
          </w:tcPr>
          <w:p>
            <w:pPr>
              <w:pStyle w:val="TableParagraph"/>
              <w:spacing w:line="198" w:lineRule="exact" w:before="13"/>
              <w:ind w:left="182" w:right="31"/>
              <w:jc w:val="center"/>
              <w:rPr>
                <w:sz w:val="18"/>
              </w:rPr>
            </w:pPr>
            <w:r>
              <w:rPr>
                <w:color w:val="2D2D2D"/>
                <w:w w:val="110"/>
                <w:sz w:val="18"/>
              </w:rPr>
              <w:t>192</w:t>
            </w:r>
          </w:p>
        </w:tc>
      </w:tr>
      <w:tr>
        <w:trPr>
          <w:trHeight w:val="210" w:hRule="atLeast"/>
        </w:trPr>
        <w:tc>
          <w:tcPr>
            <w:tcW w:w="2987" w:type="dxa"/>
          </w:tcPr>
          <w:p>
            <w:pPr>
              <w:pStyle w:val="TableParagraph"/>
              <w:spacing w:line="187" w:lineRule="exact" w:before="3"/>
              <w:ind w:left="284"/>
              <w:rPr>
                <w:sz w:val="18"/>
              </w:rPr>
            </w:pPr>
            <w:r>
              <w:rPr>
                <w:color w:val="545454"/>
                <w:w w:val="105"/>
                <w:sz w:val="18"/>
              </w:rPr>
              <w:t>Edito</w:t>
            </w:r>
            <w:r>
              <w:rPr>
                <w:color w:val="2D2D2D"/>
                <w:w w:val="105"/>
                <w:sz w:val="18"/>
              </w:rPr>
              <w:t>ri</w:t>
            </w:r>
            <w:r>
              <w:rPr>
                <w:color w:val="545454"/>
                <w:w w:val="105"/>
                <w:sz w:val="18"/>
              </w:rPr>
              <w:t>a</w:t>
            </w:r>
            <w:r>
              <w:rPr>
                <w:color w:val="2D2D2D"/>
                <w:w w:val="105"/>
                <w:sz w:val="18"/>
              </w:rPr>
              <w:t>l </w:t>
            </w:r>
            <w:r>
              <w:rPr>
                <w:color w:val="3F3F3F"/>
                <w:w w:val="105"/>
                <w:sz w:val="18"/>
              </w:rPr>
              <w:t>and bookshop</w:t>
            </w:r>
          </w:p>
        </w:tc>
        <w:tc>
          <w:tcPr>
            <w:tcW w:w="1757" w:type="dxa"/>
          </w:tcPr>
          <w:p>
            <w:pPr>
              <w:pStyle w:val="TableParagraph"/>
              <w:spacing w:line="187" w:lineRule="exact" w:before="3"/>
              <w:ind w:right="186"/>
              <w:jc w:val="right"/>
              <w:rPr>
                <w:sz w:val="18"/>
              </w:rPr>
            </w:pPr>
            <w:r>
              <w:rPr>
                <w:color w:val="3F3F3F"/>
                <w:sz w:val="18"/>
              </w:rPr>
              <w:t>22</w:t>
            </w:r>
          </w:p>
        </w:tc>
        <w:tc>
          <w:tcPr>
            <w:tcW w:w="1074" w:type="dxa"/>
          </w:tcPr>
          <w:p>
            <w:pPr>
              <w:pStyle w:val="TableParagraph"/>
              <w:spacing w:line="178" w:lineRule="exact" w:before="12"/>
              <w:ind w:right="225"/>
              <w:jc w:val="right"/>
              <w:rPr>
                <w:rFonts w:ascii="Arial"/>
                <w:sz w:val="17"/>
              </w:rPr>
            </w:pPr>
            <w:r>
              <w:rPr>
                <w:rFonts w:ascii="Arial"/>
                <w:color w:val="3F3F3F"/>
                <w:sz w:val="17"/>
              </w:rPr>
              <w:t>11</w:t>
            </w:r>
          </w:p>
        </w:tc>
        <w:tc>
          <w:tcPr>
            <w:tcW w:w="1214" w:type="dxa"/>
          </w:tcPr>
          <w:p>
            <w:pPr>
              <w:pStyle w:val="TableParagraph"/>
              <w:spacing w:line="187" w:lineRule="exact" w:before="3"/>
              <w:ind w:right="269"/>
              <w:jc w:val="right"/>
              <w:rPr>
                <w:sz w:val="18"/>
              </w:rPr>
            </w:pPr>
            <w:r>
              <w:rPr>
                <w:color w:val="3F3F3F"/>
                <w:sz w:val="18"/>
              </w:rPr>
              <w:t>22</w:t>
            </w:r>
          </w:p>
        </w:tc>
        <w:tc>
          <w:tcPr>
            <w:tcW w:w="821" w:type="dxa"/>
          </w:tcPr>
          <w:p>
            <w:pPr>
              <w:pStyle w:val="TableParagraph"/>
              <w:spacing w:line="178" w:lineRule="exact" w:before="12"/>
              <w:ind w:left="321" w:right="260"/>
              <w:jc w:val="center"/>
              <w:rPr>
                <w:rFonts w:ascii="Arial"/>
                <w:i/>
                <w:sz w:val="17"/>
              </w:rPr>
            </w:pPr>
            <w:r>
              <w:rPr>
                <w:rFonts w:ascii="Arial"/>
                <w:i/>
                <w:color w:val="3F3F3F"/>
                <w:w w:val="105"/>
                <w:sz w:val="17"/>
              </w:rPr>
              <w:t>55</w:t>
            </w:r>
          </w:p>
        </w:tc>
        <w:tc>
          <w:tcPr>
            <w:tcW w:w="708" w:type="dxa"/>
          </w:tcPr>
          <w:p>
            <w:pPr>
              <w:pStyle w:val="TableParagraph"/>
              <w:spacing w:line="187" w:lineRule="exact" w:before="3"/>
              <w:ind w:left="257" w:right="31"/>
              <w:jc w:val="center"/>
              <w:rPr>
                <w:sz w:val="18"/>
              </w:rPr>
            </w:pPr>
            <w:r>
              <w:rPr>
                <w:color w:val="3F3F3F"/>
                <w:w w:val="105"/>
                <w:sz w:val="18"/>
              </w:rPr>
              <w:t>64</w:t>
            </w:r>
          </w:p>
        </w:tc>
      </w:tr>
    </w:tbl>
    <w:p>
      <w:pPr>
        <w:tabs>
          <w:tab w:pos="3464" w:val="left" w:leader="none"/>
          <w:tab w:pos="4411" w:val="left" w:leader="none"/>
          <w:tab w:pos="5435" w:val="left" w:leader="none"/>
          <w:tab w:pos="6525" w:val="left" w:leader="none"/>
          <w:tab w:pos="7331" w:val="left" w:leader="none"/>
          <w:tab w:pos="8175" w:val="left" w:leader="none"/>
        </w:tabs>
        <w:spacing w:before="14"/>
        <w:ind w:left="0" w:right="937" w:firstLine="0"/>
        <w:jc w:val="right"/>
        <w:rPr>
          <w:rFonts w:ascii="Times New Roman"/>
          <w:sz w:val="18"/>
        </w:rPr>
      </w:pPr>
      <w:r>
        <w:rPr>
          <w:rFonts w:ascii="Times New Roman"/>
          <w:b/>
          <w:color w:val="2D2D2D"/>
          <w:w w:val="105"/>
          <w:sz w:val="18"/>
        </w:rPr>
        <w:t>Governance</w:t>
        <w:tab/>
      </w:r>
      <w:r>
        <w:rPr>
          <w:rFonts w:ascii="Times New Roman"/>
          <w:b/>
          <w:color w:val="2D2D2D"/>
          <w:w w:val="105"/>
          <w:sz w:val="18"/>
          <w:u w:val="single" w:color="000000"/>
        </w:rPr>
        <w:t> </w:t>
        <w:tab/>
      </w:r>
      <w:r>
        <w:rPr>
          <w:rFonts w:ascii="Times New Roman"/>
          <w:color w:val="2D2D2D"/>
          <w:w w:val="105"/>
          <w:sz w:val="18"/>
          <w:u w:val="single" w:color="000000"/>
        </w:rPr>
        <w:t>7</w:t>
        <w:tab/>
      </w:r>
      <w:r>
        <w:rPr>
          <w:rFonts w:ascii="Times New Roman"/>
          <w:color w:val="2D2D2D"/>
          <w:w w:val="105"/>
          <w:sz w:val="19"/>
          <w:u w:val="single" w:color="000000"/>
        </w:rPr>
        <w:t>1</w:t>
        <w:tab/>
      </w:r>
      <w:r>
        <w:rPr>
          <w:rFonts w:ascii="Times New Roman"/>
          <w:color w:val="2D2D2D"/>
          <w:w w:val="105"/>
          <w:sz w:val="18"/>
          <w:u w:val="single" w:color="000000"/>
        </w:rPr>
        <w:t>17</w:t>
        <w:tab/>
      </w:r>
      <w:r>
        <w:rPr>
          <w:rFonts w:ascii="Times New Roman"/>
          <w:color w:val="3F3F3F"/>
          <w:w w:val="105"/>
          <w:sz w:val="18"/>
          <w:u w:val="single" w:color="000000"/>
        </w:rPr>
        <w:t>25</w:t>
        <w:tab/>
        <w:t>32</w:t>
      </w:r>
      <w:r>
        <w:rPr>
          <w:rFonts w:ascii="Times New Roman"/>
          <w:color w:val="3F3F3F"/>
          <w:spacing w:val="-9"/>
          <w:sz w:val="18"/>
          <w:u w:val="single" w:color="000000"/>
        </w:rPr>
        <w:t> </w:t>
      </w:r>
    </w:p>
    <w:p>
      <w:pPr>
        <w:pStyle w:val="BodyText"/>
        <w:tabs>
          <w:tab w:pos="758" w:val="left" w:leader="none"/>
          <w:tab w:pos="1870" w:val="left" w:leader="none"/>
          <w:tab w:pos="2819" w:val="left" w:leader="none"/>
          <w:tab w:pos="3619" w:val="left" w:leader="none"/>
          <w:tab w:pos="4476" w:val="left" w:leader="none"/>
        </w:tabs>
        <w:spacing w:before="22"/>
        <w:ind w:right="936"/>
        <w:jc w:val="right"/>
        <w:rPr>
          <w:rFonts w:ascii="Times New Roman"/>
        </w:rPr>
      </w:pPr>
      <w:r>
        <w:rPr>
          <w:rFonts w:ascii="Times New Roman"/>
          <w:color w:val="3F3F3F"/>
          <w:w w:val="100"/>
          <w:u w:val="single" w:color="000000"/>
        </w:rPr>
        <w:t> </w:t>
      </w:r>
      <w:r>
        <w:rPr>
          <w:rFonts w:ascii="Times New Roman"/>
          <w:color w:val="3F3F3F"/>
          <w:u w:val="single" w:color="000000"/>
        </w:rPr>
        <w:tab/>
      </w:r>
      <w:r>
        <w:rPr>
          <w:rFonts w:ascii="Times New Roman"/>
          <w:color w:val="3F3F3F"/>
          <w:w w:val="110"/>
          <w:u w:val="single" w:color="000000"/>
        </w:rPr>
        <w:t>137</w:t>
        <w:tab/>
        <w:t>91</w:t>
        <w:tab/>
      </w:r>
      <w:r>
        <w:rPr>
          <w:rFonts w:ascii="Times New Roman"/>
          <w:color w:val="2D2D2D"/>
          <w:w w:val="110"/>
          <w:u w:val="single" w:color="000000"/>
        </w:rPr>
        <w:t>1,134</w:t>
        <w:tab/>
      </w:r>
      <w:r>
        <w:rPr>
          <w:rFonts w:ascii="Times New Roman"/>
          <w:color w:val="3F3F3F"/>
          <w:w w:val="110"/>
          <w:u w:val="single" w:color="000000"/>
        </w:rPr>
        <w:t>1,362</w:t>
        <w:tab/>
      </w:r>
      <w:r>
        <w:rPr>
          <w:rFonts w:ascii="Times New Roman"/>
          <w:color w:val="2D2D2D"/>
          <w:spacing w:val="-1"/>
          <w:w w:val="105"/>
          <w:u w:val="single" w:color="000000"/>
        </w:rPr>
        <w:t>1,348</w:t>
      </w:r>
      <w:r>
        <w:rPr>
          <w:rFonts w:ascii="Times New Roman"/>
          <w:color w:val="2D2D2D"/>
          <w:spacing w:val="-22"/>
          <w:u w:val="single" w:color="000000"/>
        </w:rPr>
        <w:t> </w:t>
      </w:r>
    </w:p>
    <w:p>
      <w:pPr>
        <w:pStyle w:val="BodyText"/>
        <w:spacing w:before="2"/>
        <w:rPr>
          <w:rFonts w:ascii="Times New Roman"/>
          <w:sz w:val="22"/>
        </w:rPr>
      </w:pPr>
    </w:p>
    <w:p>
      <w:pPr>
        <w:tabs>
          <w:tab w:pos="2184" w:val="left" w:leader="none"/>
        </w:tabs>
        <w:spacing w:before="0"/>
        <w:ind w:left="980" w:right="0" w:firstLine="0"/>
        <w:jc w:val="left"/>
        <w:rPr>
          <w:rFonts w:ascii="Times New Roman"/>
          <w:b/>
          <w:sz w:val="18"/>
        </w:rPr>
      </w:pPr>
      <w:bookmarkStart w:name="_TOC_250008" w:id="13"/>
      <w:r>
        <w:rPr>
          <w:rFonts w:ascii="Times New Roman"/>
          <w:b/>
          <w:color w:val="2D2D2D"/>
          <w:w w:val="110"/>
          <w:sz w:val="18"/>
        </w:rPr>
        <w:t>NOTE9</w:t>
        <w:tab/>
      </w:r>
      <w:r>
        <w:rPr>
          <w:rFonts w:ascii="Times New Roman"/>
          <w:b/>
          <w:color w:val="3F3F3F"/>
          <w:spacing w:val="-4"/>
          <w:w w:val="110"/>
          <w:sz w:val="18"/>
        </w:rPr>
        <w:t>N</w:t>
      </w:r>
      <w:r>
        <w:rPr>
          <w:rFonts w:ascii="Times New Roman"/>
          <w:b/>
          <w:color w:val="1A1A1A"/>
          <w:spacing w:val="-4"/>
          <w:w w:val="110"/>
          <w:sz w:val="18"/>
        </w:rPr>
        <w:t>O</w:t>
      </w:r>
      <w:r>
        <w:rPr>
          <w:rFonts w:ascii="Times New Roman"/>
          <w:b/>
          <w:color w:val="3F3F3F"/>
          <w:spacing w:val="-4"/>
          <w:w w:val="110"/>
          <w:sz w:val="18"/>
        </w:rPr>
        <w:t>TIFIE</w:t>
      </w:r>
      <w:r>
        <w:rPr>
          <w:rFonts w:ascii="Times New Roman"/>
          <w:b/>
          <w:color w:val="1A1A1A"/>
          <w:spacing w:val="-4"/>
          <w:w w:val="110"/>
          <w:sz w:val="18"/>
        </w:rPr>
        <w:t>D</w:t>
      </w:r>
      <w:r>
        <w:rPr>
          <w:rFonts w:ascii="Times New Roman"/>
          <w:b/>
          <w:color w:val="1A1A1A"/>
          <w:spacing w:val="-8"/>
          <w:w w:val="110"/>
          <w:sz w:val="18"/>
        </w:rPr>
        <w:t> </w:t>
      </w:r>
      <w:bookmarkEnd w:id="13"/>
      <w:r>
        <w:rPr>
          <w:rFonts w:ascii="Times New Roman"/>
          <w:b/>
          <w:color w:val="1A1A1A"/>
          <w:w w:val="110"/>
          <w:sz w:val="18"/>
        </w:rPr>
        <w:t>LEGACIES</w:t>
      </w:r>
    </w:p>
    <w:p>
      <w:pPr>
        <w:pStyle w:val="BodyText"/>
        <w:spacing w:line="261" w:lineRule="auto" w:before="130"/>
        <w:ind w:left="981" w:right="944" w:hanging="6"/>
        <w:jc w:val="both"/>
        <w:rPr>
          <w:rFonts w:ascii="Times New Roman" w:hAnsi="Times New Roman"/>
        </w:rPr>
      </w:pPr>
      <w:r>
        <w:rPr>
          <w:rFonts w:ascii="Times New Roman" w:hAnsi="Times New Roman"/>
          <w:color w:val="3F3F3F"/>
          <w:w w:val="105"/>
        </w:rPr>
        <w:t>Notification of </w:t>
      </w:r>
      <w:r>
        <w:rPr>
          <w:rFonts w:ascii="Times New Roman" w:hAnsi="Times New Roman"/>
          <w:color w:val="545454"/>
          <w:w w:val="105"/>
        </w:rPr>
        <w:t>two </w:t>
      </w:r>
      <w:r>
        <w:rPr>
          <w:rFonts w:ascii="Times New Roman" w:hAnsi="Times New Roman"/>
          <w:color w:val="3F3F3F"/>
          <w:w w:val="105"/>
        </w:rPr>
        <w:t>legacies for the genera</w:t>
      </w:r>
      <w:r>
        <w:rPr>
          <w:rFonts w:ascii="Times New Roman" w:hAnsi="Times New Roman"/>
          <w:color w:val="1A1A1A"/>
          <w:w w:val="105"/>
        </w:rPr>
        <w:t>l </w:t>
      </w:r>
      <w:r>
        <w:rPr>
          <w:rFonts w:ascii="Times New Roman" w:hAnsi="Times New Roman"/>
          <w:color w:val="3F3F3F"/>
          <w:w w:val="105"/>
        </w:rPr>
        <w:t>funds of the Ch</w:t>
      </w:r>
      <w:r>
        <w:rPr>
          <w:rFonts w:ascii="Times New Roman" w:hAnsi="Times New Roman"/>
          <w:color w:val="1A1A1A"/>
          <w:w w:val="105"/>
        </w:rPr>
        <w:t>ur</w:t>
      </w:r>
      <w:r>
        <w:rPr>
          <w:rFonts w:ascii="Times New Roman" w:hAnsi="Times New Roman"/>
          <w:color w:val="3F3F3F"/>
          <w:w w:val="105"/>
        </w:rPr>
        <w:t>ch </w:t>
      </w:r>
      <w:r>
        <w:rPr>
          <w:rFonts w:ascii="Times New Roman" w:hAnsi="Times New Roman"/>
          <w:color w:val="2D2D2D"/>
          <w:w w:val="105"/>
        </w:rPr>
        <w:t>has </w:t>
      </w:r>
      <w:r>
        <w:rPr>
          <w:rFonts w:ascii="Times New Roman" w:hAnsi="Times New Roman"/>
          <w:color w:val="3F3F3F"/>
          <w:w w:val="105"/>
        </w:rPr>
        <w:t>be</w:t>
      </w:r>
      <w:r>
        <w:rPr>
          <w:rFonts w:ascii="Times New Roman" w:hAnsi="Times New Roman"/>
          <w:color w:val="1A1A1A"/>
          <w:w w:val="105"/>
        </w:rPr>
        <w:t>e</w:t>
      </w:r>
      <w:r>
        <w:rPr>
          <w:rFonts w:ascii="Times New Roman" w:hAnsi="Times New Roman"/>
          <w:color w:val="3F3F3F"/>
          <w:w w:val="105"/>
        </w:rPr>
        <w:t>n received </w:t>
      </w:r>
      <w:r>
        <w:rPr>
          <w:rFonts w:ascii="Times New Roman" w:hAnsi="Times New Roman"/>
          <w:color w:val="2D2D2D"/>
          <w:w w:val="105"/>
        </w:rPr>
        <w:t>that </w:t>
      </w:r>
      <w:r>
        <w:rPr>
          <w:rFonts w:ascii="Times New Roman" w:hAnsi="Times New Roman"/>
          <w:color w:val="3F3F3F"/>
          <w:w w:val="105"/>
        </w:rPr>
        <w:t>have </w:t>
      </w:r>
      <w:r>
        <w:rPr>
          <w:rFonts w:ascii="Times New Roman" w:hAnsi="Times New Roman"/>
          <w:color w:val="2D2D2D"/>
          <w:w w:val="105"/>
        </w:rPr>
        <w:t>not </w:t>
      </w:r>
      <w:r>
        <w:rPr>
          <w:rFonts w:ascii="Times New Roman" w:hAnsi="Times New Roman"/>
          <w:color w:val="3F3F3F"/>
          <w:w w:val="105"/>
        </w:rPr>
        <w:t>been </w:t>
      </w:r>
      <w:r>
        <w:rPr>
          <w:rFonts w:ascii="Times New Roman" w:hAnsi="Times New Roman"/>
          <w:color w:val="2D2D2D"/>
          <w:w w:val="105"/>
        </w:rPr>
        <w:t>included </w:t>
      </w:r>
      <w:r>
        <w:rPr>
          <w:rFonts w:ascii="Times New Roman" w:hAnsi="Times New Roman"/>
          <w:color w:val="1A1A1A"/>
          <w:w w:val="105"/>
        </w:rPr>
        <w:t>in </w:t>
      </w:r>
      <w:r>
        <w:rPr>
          <w:rFonts w:ascii="Times New Roman" w:hAnsi="Times New Roman"/>
          <w:color w:val="3F3F3F"/>
          <w:w w:val="105"/>
        </w:rPr>
        <w:t>the accounts because the cond</w:t>
      </w:r>
      <w:r>
        <w:rPr>
          <w:rFonts w:ascii="Times New Roman" w:hAnsi="Times New Roman"/>
          <w:color w:val="1A1A1A"/>
          <w:w w:val="105"/>
        </w:rPr>
        <w:t>i</w:t>
      </w:r>
      <w:r>
        <w:rPr>
          <w:rFonts w:ascii="Times New Roman" w:hAnsi="Times New Roman"/>
          <w:color w:val="545454"/>
          <w:w w:val="105"/>
        </w:rPr>
        <w:t>t</w:t>
      </w:r>
      <w:r>
        <w:rPr>
          <w:rFonts w:ascii="Times New Roman" w:hAnsi="Times New Roman"/>
          <w:color w:val="2D2D2D"/>
          <w:w w:val="105"/>
        </w:rPr>
        <w:t>ions </w:t>
      </w:r>
      <w:r>
        <w:rPr>
          <w:rFonts w:ascii="Times New Roman" w:hAnsi="Times New Roman"/>
          <w:color w:val="3F3F3F"/>
          <w:w w:val="105"/>
        </w:rPr>
        <w:t>for recognitio</w:t>
      </w:r>
      <w:r>
        <w:rPr>
          <w:rFonts w:ascii="Times New Roman" w:hAnsi="Times New Roman"/>
          <w:color w:val="1A1A1A"/>
          <w:w w:val="105"/>
        </w:rPr>
        <w:t>n </w:t>
      </w:r>
      <w:r>
        <w:rPr>
          <w:rFonts w:ascii="Times New Roman" w:hAnsi="Times New Roman"/>
          <w:color w:val="2D2D2D"/>
          <w:w w:val="105"/>
        </w:rPr>
        <w:t>have not </w:t>
      </w:r>
      <w:r>
        <w:rPr>
          <w:rFonts w:ascii="Times New Roman" w:hAnsi="Times New Roman"/>
          <w:color w:val="3F3F3F"/>
          <w:w w:val="105"/>
        </w:rPr>
        <w:t>yet been met. </w:t>
      </w:r>
      <w:r>
        <w:rPr>
          <w:rFonts w:ascii="Times New Roman" w:hAnsi="Times New Roman"/>
          <w:color w:val="2D2D2D"/>
          <w:w w:val="105"/>
        </w:rPr>
        <w:t>It is </w:t>
      </w:r>
      <w:r>
        <w:rPr>
          <w:rFonts w:ascii="Times New Roman" w:hAnsi="Times New Roman"/>
          <w:color w:val="3F3F3F"/>
          <w:w w:val="105"/>
        </w:rPr>
        <w:t>estimated that the amount </w:t>
      </w:r>
      <w:r>
        <w:rPr>
          <w:rFonts w:ascii="Times New Roman" w:hAnsi="Times New Roman"/>
          <w:color w:val="2D2D2D"/>
          <w:w w:val="105"/>
        </w:rPr>
        <w:t>receivable </w:t>
      </w:r>
      <w:r>
        <w:rPr>
          <w:rFonts w:ascii="Times New Roman" w:hAnsi="Times New Roman"/>
          <w:color w:val="545454"/>
          <w:w w:val="105"/>
        </w:rPr>
        <w:t>from </w:t>
      </w:r>
      <w:r>
        <w:rPr>
          <w:rFonts w:ascii="Times New Roman" w:hAnsi="Times New Roman"/>
          <w:color w:val="2D2D2D"/>
          <w:w w:val="105"/>
        </w:rPr>
        <w:t>these </w:t>
      </w:r>
      <w:r>
        <w:rPr>
          <w:rFonts w:ascii="Times New Roman" w:hAnsi="Times New Roman"/>
          <w:color w:val="3F3F3F"/>
          <w:w w:val="105"/>
        </w:rPr>
        <w:t>legacies w</w:t>
      </w:r>
      <w:r>
        <w:rPr>
          <w:rFonts w:ascii="Times New Roman" w:hAnsi="Times New Roman"/>
          <w:color w:val="1A1A1A"/>
          <w:w w:val="105"/>
        </w:rPr>
        <w:t>i</w:t>
      </w:r>
      <w:r>
        <w:rPr>
          <w:rFonts w:ascii="Times New Roman" w:hAnsi="Times New Roman"/>
          <w:color w:val="3F3F3F"/>
          <w:w w:val="105"/>
        </w:rPr>
        <w:t>ll be around £50k (2005</w:t>
      </w:r>
      <w:r>
        <w:rPr>
          <w:rFonts w:ascii="Times New Roman" w:hAnsi="Times New Roman"/>
          <w:color w:val="1A1A1A"/>
          <w:w w:val="105"/>
        </w:rPr>
        <w:t>: </w:t>
      </w:r>
      <w:r>
        <w:rPr>
          <w:rFonts w:ascii="Times New Roman" w:hAnsi="Times New Roman"/>
          <w:color w:val="3F3F3F"/>
          <w:w w:val="105"/>
        </w:rPr>
        <w:t>five legacies, </w:t>
      </w:r>
      <w:r>
        <w:rPr>
          <w:rFonts w:ascii="Times New Roman" w:hAnsi="Times New Roman"/>
          <w:color w:val="2D2D2D"/>
          <w:w w:val="105"/>
        </w:rPr>
        <w:t>£300k</w:t>
      </w:r>
      <w:r>
        <w:rPr>
          <w:rFonts w:ascii="Times New Roman" w:hAnsi="Times New Roman"/>
          <w:color w:val="545454"/>
          <w:w w:val="105"/>
        </w:rPr>
        <w:t>)</w:t>
      </w:r>
      <w:r>
        <w:rPr>
          <w:rFonts w:ascii="Times New Roman" w:hAnsi="Times New Roman"/>
          <w:color w:val="1A1A1A"/>
          <w:w w:val="105"/>
        </w:rPr>
        <w:t>.</w:t>
      </w:r>
    </w:p>
    <w:p>
      <w:pPr>
        <w:spacing w:after="0" w:line="261" w:lineRule="auto"/>
        <w:jc w:val="both"/>
        <w:rPr>
          <w:rFonts w:ascii="Times New Roman" w:hAnsi="Times New Roman"/>
        </w:rPr>
        <w:sectPr>
          <w:type w:val="continuous"/>
          <w:pgSz w:w="10950" w:h="15880"/>
          <w:pgMar w:top="680" w:bottom="280" w:left="500" w:right="0"/>
        </w:sectPr>
      </w:pPr>
    </w:p>
    <w:p>
      <w:pPr>
        <w:pStyle w:val="BodyText"/>
        <w:rPr>
          <w:rFonts w:ascii="Times New Roman"/>
          <w:sz w:val="12"/>
        </w:rPr>
      </w:pPr>
    </w:p>
    <w:p>
      <w:pPr>
        <w:tabs>
          <w:tab w:pos="2186" w:val="left" w:leader="none"/>
        </w:tabs>
        <w:spacing w:before="93"/>
        <w:ind w:left="1009" w:right="0" w:firstLine="0"/>
        <w:jc w:val="left"/>
        <w:rPr>
          <w:rFonts w:ascii="Times New Roman"/>
          <w:b/>
          <w:sz w:val="18"/>
        </w:rPr>
      </w:pPr>
      <w:bookmarkStart w:name="_TOC_250007" w:id="14"/>
      <w:r>
        <w:rPr>
          <w:rFonts w:ascii="Times New Roman"/>
          <w:b/>
          <w:color w:val="2D2D2D"/>
          <w:w w:val="105"/>
          <w:position w:val="1"/>
          <w:sz w:val="18"/>
        </w:rPr>
        <w:t>NOTE</w:t>
      </w:r>
      <w:r>
        <w:rPr>
          <w:rFonts w:ascii="Times New Roman"/>
          <w:b/>
          <w:color w:val="2D2D2D"/>
          <w:spacing w:val="-11"/>
          <w:w w:val="105"/>
          <w:position w:val="1"/>
          <w:sz w:val="18"/>
        </w:rPr>
        <w:t> </w:t>
      </w:r>
      <w:r>
        <w:rPr>
          <w:rFonts w:ascii="Times New Roman"/>
          <w:b/>
          <w:color w:val="2D2D2D"/>
          <w:w w:val="105"/>
          <w:position w:val="1"/>
          <w:sz w:val="18"/>
        </w:rPr>
        <w:t>10</w:t>
        <w:tab/>
      </w:r>
      <w:r>
        <w:rPr>
          <w:rFonts w:ascii="Times New Roman"/>
          <w:b/>
          <w:color w:val="2D2D2D"/>
          <w:w w:val="105"/>
          <w:sz w:val="18"/>
        </w:rPr>
        <w:t>STIPEND AND SALARY</w:t>
      </w:r>
      <w:r>
        <w:rPr>
          <w:rFonts w:ascii="Times New Roman"/>
          <w:b/>
          <w:color w:val="2D2D2D"/>
          <w:spacing w:val="-36"/>
          <w:w w:val="105"/>
          <w:sz w:val="18"/>
        </w:rPr>
        <w:t> </w:t>
      </w:r>
      <w:bookmarkEnd w:id="14"/>
      <w:r>
        <w:rPr>
          <w:rFonts w:ascii="Times New Roman"/>
          <w:b/>
          <w:color w:val="3D3D3D"/>
          <w:w w:val="105"/>
          <w:sz w:val="18"/>
        </w:rPr>
        <w:t>COSTS</w:t>
      </w:r>
    </w:p>
    <w:p>
      <w:pPr>
        <w:pStyle w:val="BodyText"/>
        <w:spacing w:after="1"/>
        <w:rPr>
          <w:rFonts w:ascii="Times New Roman"/>
          <w:b/>
          <w:sz w:val="11"/>
        </w:rPr>
      </w:pPr>
    </w:p>
    <w:tbl>
      <w:tblPr>
        <w:tblW w:w="0" w:type="auto"/>
        <w:jc w:val="left"/>
        <w:tblInd w:w="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69"/>
        <w:gridCol w:w="1535"/>
        <w:gridCol w:w="865"/>
      </w:tblGrid>
      <w:tr>
        <w:trPr>
          <w:trHeight w:val="273" w:hRule="atLeast"/>
        </w:trPr>
        <w:tc>
          <w:tcPr>
            <w:tcW w:w="6169" w:type="dxa"/>
          </w:tcPr>
          <w:p>
            <w:pPr>
              <w:pStyle w:val="TableParagraph"/>
              <w:spacing w:line="200" w:lineRule="exact"/>
              <w:ind w:left="50"/>
              <w:rPr>
                <w:sz w:val="18"/>
              </w:rPr>
            </w:pPr>
            <w:r>
              <w:rPr>
                <w:color w:val="2D2D2D"/>
                <w:w w:val="105"/>
                <w:sz w:val="18"/>
              </w:rPr>
              <w:t>During the </w:t>
            </w:r>
            <w:r>
              <w:rPr>
                <w:color w:val="3D3D3D"/>
                <w:w w:val="105"/>
                <w:sz w:val="18"/>
              </w:rPr>
              <w:t>year </w:t>
            </w:r>
            <w:r>
              <w:rPr>
                <w:color w:val="2D2D2D"/>
                <w:w w:val="105"/>
                <w:sz w:val="18"/>
              </w:rPr>
              <w:t>the </w:t>
            </w:r>
            <w:r>
              <w:rPr>
                <w:color w:val="3D3D3D"/>
                <w:w w:val="105"/>
                <w:sz w:val="18"/>
              </w:rPr>
              <w:t>following stipend and salary costs were </w:t>
            </w:r>
            <w:r>
              <w:rPr>
                <w:color w:val="181818"/>
                <w:w w:val="105"/>
                <w:sz w:val="18"/>
              </w:rPr>
              <w:t>in</w:t>
            </w:r>
            <w:r>
              <w:rPr>
                <w:color w:val="3D3D3D"/>
                <w:w w:val="105"/>
                <w:sz w:val="18"/>
              </w:rPr>
              <w:t>curred</w:t>
            </w:r>
            <w:r>
              <w:rPr>
                <w:color w:val="181818"/>
                <w:w w:val="105"/>
                <w:sz w:val="18"/>
              </w:rPr>
              <w:t>:</w:t>
            </w:r>
          </w:p>
        </w:tc>
        <w:tc>
          <w:tcPr>
            <w:tcW w:w="2400" w:type="dxa"/>
            <w:gridSpan w:val="2"/>
          </w:tcPr>
          <w:p>
            <w:pPr>
              <w:pStyle w:val="TableParagraph"/>
              <w:rPr>
                <w:sz w:val="18"/>
              </w:rPr>
            </w:pPr>
          </w:p>
        </w:tc>
      </w:tr>
      <w:tr>
        <w:trPr>
          <w:trHeight w:val="509" w:hRule="atLeast"/>
        </w:trPr>
        <w:tc>
          <w:tcPr>
            <w:tcW w:w="6169" w:type="dxa"/>
          </w:tcPr>
          <w:p>
            <w:pPr>
              <w:pStyle w:val="TableParagraph"/>
              <w:rPr>
                <w:sz w:val="18"/>
              </w:rPr>
            </w:pPr>
          </w:p>
        </w:tc>
        <w:tc>
          <w:tcPr>
            <w:tcW w:w="1535" w:type="dxa"/>
          </w:tcPr>
          <w:p>
            <w:pPr>
              <w:pStyle w:val="TableParagraph"/>
              <w:spacing w:before="66"/>
              <w:ind w:left="861"/>
              <w:rPr>
                <w:b/>
                <w:sz w:val="18"/>
              </w:rPr>
            </w:pPr>
            <w:r>
              <w:rPr>
                <w:b/>
                <w:color w:val="2D2D2D"/>
                <w:w w:val="110"/>
                <w:sz w:val="18"/>
              </w:rPr>
              <w:t>2006</w:t>
            </w:r>
          </w:p>
          <w:p>
            <w:pPr>
              <w:pStyle w:val="TableParagraph"/>
              <w:spacing w:line="203" w:lineRule="exact" w:before="14"/>
              <w:ind w:left="804"/>
              <w:rPr>
                <w:b/>
                <w:sz w:val="18"/>
              </w:rPr>
            </w:pPr>
            <w:r>
              <w:rPr>
                <w:b/>
                <w:color w:val="2D2D2D"/>
                <w:w w:val="110"/>
                <w:sz w:val="18"/>
              </w:rPr>
              <w:t>£'000</w:t>
            </w:r>
          </w:p>
        </w:tc>
        <w:tc>
          <w:tcPr>
            <w:tcW w:w="865" w:type="dxa"/>
          </w:tcPr>
          <w:p>
            <w:pPr>
              <w:pStyle w:val="TableParagraph"/>
              <w:spacing w:before="66"/>
              <w:ind w:left="424"/>
              <w:rPr>
                <w:b/>
                <w:sz w:val="18"/>
              </w:rPr>
            </w:pPr>
            <w:r>
              <w:rPr>
                <w:b/>
                <w:color w:val="2D2D2D"/>
                <w:w w:val="110"/>
                <w:sz w:val="18"/>
              </w:rPr>
              <w:t>2005</w:t>
            </w:r>
          </w:p>
          <w:p>
            <w:pPr>
              <w:pStyle w:val="TableParagraph"/>
              <w:spacing w:line="203" w:lineRule="exact" w:before="14"/>
              <w:ind w:left="367"/>
              <w:rPr>
                <w:b/>
                <w:sz w:val="18"/>
              </w:rPr>
            </w:pPr>
            <w:r>
              <w:rPr>
                <w:b/>
                <w:color w:val="2D2D2D"/>
                <w:w w:val="110"/>
                <w:sz w:val="18"/>
              </w:rPr>
              <w:t>£'000</w:t>
            </w:r>
          </w:p>
        </w:tc>
      </w:tr>
      <w:tr>
        <w:trPr>
          <w:trHeight w:val="447" w:hRule="atLeast"/>
        </w:trPr>
        <w:tc>
          <w:tcPr>
            <w:tcW w:w="6169" w:type="dxa"/>
          </w:tcPr>
          <w:p>
            <w:pPr>
              <w:pStyle w:val="TableParagraph"/>
              <w:spacing w:before="8"/>
              <w:ind w:left="156"/>
              <w:rPr>
                <w:sz w:val="18"/>
              </w:rPr>
            </w:pPr>
            <w:r>
              <w:rPr>
                <w:color w:val="3D3D3D"/>
                <w:w w:val="105"/>
                <w:sz w:val="18"/>
              </w:rPr>
              <w:t>Ministers and Church Re</w:t>
            </w:r>
            <w:r>
              <w:rPr>
                <w:color w:val="181818"/>
                <w:w w:val="105"/>
                <w:sz w:val="18"/>
              </w:rPr>
              <w:t>l</w:t>
            </w:r>
            <w:r>
              <w:rPr>
                <w:color w:val="3D3D3D"/>
                <w:w w:val="105"/>
                <w:sz w:val="18"/>
              </w:rPr>
              <w:t>at ed Community Workers : 632 (2005 </w:t>
            </w:r>
            <w:r>
              <w:rPr>
                <w:color w:val="2D2D2D"/>
                <w:w w:val="105"/>
                <w:sz w:val="18"/>
              </w:rPr>
              <w:t>: </w:t>
            </w:r>
            <w:r>
              <w:rPr>
                <w:color w:val="3D3D3D"/>
                <w:w w:val="105"/>
                <w:sz w:val="18"/>
              </w:rPr>
              <w:t>652)</w:t>
            </w:r>
          </w:p>
          <w:p>
            <w:pPr>
              <w:pStyle w:val="TableParagraph"/>
              <w:spacing w:line="198" w:lineRule="exact" w:before="14"/>
              <w:ind w:left="3022"/>
              <w:rPr>
                <w:sz w:val="18"/>
              </w:rPr>
            </w:pPr>
            <w:r>
              <w:rPr>
                <w:color w:val="3D3D3D"/>
                <w:w w:val="105"/>
                <w:sz w:val="18"/>
              </w:rPr>
              <w:t>Gross stipends</w:t>
            </w:r>
          </w:p>
        </w:tc>
        <w:tc>
          <w:tcPr>
            <w:tcW w:w="1535" w:type="dxa"/>
          </w:tcPr>
          <w:p>
            <w:pPr>
              <w:pStyle w:val="TableParagraph"/>
              <w:spacing w:before="11"/>
              <w:rPr>
                <w:b/>
                <w:sz w:val="19"/>
              </w:rPr>
            </w:pPr>
          </w:p>
          <w:p>
            <w:pPr>
              <w:pStyle w:val="TableParagraph"/>
              <w:spacing w:line="198" w:lineRule="exact"/>
              <w:ind w:right="286"/>
              <w:jc w:val="right"/>
              <w:rPr>
                <w:sz w:val="18"/>
              </w:rPr>
            </w:pPr>
            <w:r>
              <w:rPr>
                <w:color w:val="3D3D3D"/>
                <w:w w:val="105"/>
                <w:sz w:val="18"/>
              </w:rPr>
              <w:t>12,711</w:t>
            </w:r>
          </w:p>
        </w:tc>
        <w:tc>
          <w:tcPr>
            <w:tcW w:w="865" w:type="dxa"/>
          </w:tcPr>
          <w:p>
            <w:pPr>
              <w:pStyle w:val="TableParagraph"/>
              <w:spacing w:before="11"/>
              <w:rPr>
                <w:b/>
                <w:sz w:val="19"/>
              </w:rPr>
            </w:pPr>
          </w:p>
          <w:p>
            <w:pPr>
              <w:pStyle w:val="TableParagraph"/>
              <w:spacing w:line="198" w:lineRule="exact"/>
              <w:ind w:right="49"/>
              <w:jc w:val="right"/>
              <w:rPr>
                <w:sz w:val="18"/>
              </w:rPr>
            </w:pPr>
            <w:r>
              <w:rPr>
                <w:color w:val="3D3D3D"/>
                <w:w w:val="105"/>
                <w:sz w:val="18"/>
              </w:rPr>
              <w:t>12,790</w:t>
            </w:r>
          </w:p>
        </w:tc>
      </w:tr>
      <w:tr>
        <w:trPr>
          <w:trHeight w:val="220" w:hRule="atLeast"/>
        </w:trPr>
        <w:tc>
          <w:tcPr>
            <w:tcW w:w="6169" w:type="dxa"/>
          </w:tcPr>
          <w:p>
            <w:pPr>
              <w:pStyle w:val="TableParagraph"/>
              <w:spacing w:line="187" w:lineRule="exact" w:before="13"/>
              <w:ind w:left="3017"/>
              <w:rPr>
                <w:sz w:val="18"/>
              </w:rPr>
            </w:pPr>
            <w:r>
              <w:rPr>
                <w:color w:val="3D3D3D"/>
                <w:w w:val="105"/>
                <w:sz w:val="18"/>
              </w:rPr>
              <w:t>Social Security costs</w:t>
            </w:r>
          </w:p>
        </w:tc>
        <w:tc>
          <w:tcPr>
            <w:tcW w:w="1535" w:type="dxa"/>
          </w:tcPr>
          <w:p>
            <w:pPr>
              <w:pStyle w:val="TableParagraph"/>
              <w:spacing w:line="187" w:lineRule="exact" w:before="13"/>
              <w:ind w:right="288"/>
              <w:jc w:val="right"/>
              <w:rPr>
                <w:sz w:val="18"/>
              </w:rPr>
            </w:pPr>
            <w:r>
              <w:rPr>
                <w:color w:val="2D2D2D"/>
                <w:w w:val="105"/>
                <w:sz w:val="18"/>
              </w:rPr>
              <w:t>1</w:t>
            </w:r>
            <w:r>
              <w:rPr>
                <w:color w:val="525252"/>
                <w:w w:val="105"/>
                <w:sz w:val="18"/>
              </w:rPr>
              <w:t>,</w:t>
            </w:r>
            <w:r>
              <w:rPr>
                <w:color w:val="181818"/>
                <w:w w:val="105"/>
                <w:sz w:val="18"/>
              </w:rPr>
              <w:t>1</w:t>
            </w:r>
            <w:r>
              <w:rPr>
                <w:color w:val="3D3D3D"/>
                <w:w w:val="105"/>
                <w:sz w:val="18"/>
              </w:rPr>
              <w:t>75</w:t>
            </w:r>
          </w:p>
        </w:tc>
        <w:tc>
          <w:tcPr>
            <w:tcW w:w="865" w:type="dxa"/>
          </w:tcPr>
          <w:p>
            <w:pPr>
              <w:pStyle w:val="TableParagraph"/>
              <w:spacing w:line="197" w:lineRule="exact" w:before="3"/>
              <w:ind w:right="57"/>
              <w:jc w:val="right"/>
              <w:rPr>
                <w:sz w:val="18"/>
              </w:rPr>
            </w:pPr>
            <w:r>
              <w:rPr>
                <w:color w:val="181818"/>
                <w:w w:val="105"/>
                <w:sz w:val="18"/>
              </w:rPr>
              <w:t>1</w:t>
            </w:r>
            <w:r>
              <w:rPr>
                <w:color w:val="3D3D3D"/>
                <w:w w:val="105"/>
                <w:sz w:val="18"/>
              </w:rPr>
              <w:t>,181</w:t>
            </w:r>
          </w:p>
        </w:tc>
      </w:tr>
    </w:tbl>
    <w:p>
      <w:pPr>
        <w:spacing w:after="0" w:line="197" w:lineRule="exact"/>
        <w:jc w:val="right"/>
        <w:rPr>
          <w:sz w:val="18"/>
        </w:rPr>
        <w:sectPr>
          <w:headerReference w:type="default" r:id="rId524"/>
          <w:headerReference w:type="even" r:id="rId525"/>
          <w:footerReference w:type="default" r:id="rId526"/>
          <w:pgSz w:w="10950" w:h="15880"/>
          <w:pgMar w:header="438" w:footer="0" w:top="940" w:bottom="280" w:left="500" w:right="0"/>
          <w:pgNumType w:start="19"/>
        </w:sectPr>
      </w:pPr>
    </w:p>
    <w:p>
      <w:pPr>
        <w:pStyle w:val="BodyText"/>
        <w:spacing w:before="14"/>
        <w:jc w:val="right"/>
        <w:rPr>
          <w:rFonts w:ascii="Times New Roman"/>
        </w:rPr>
      </w:pPr>
      <w:r>
        <w:rPr>
          <w:rFonts w:ascii="Times New Roman"/>
          <w:color w:val="2D2D2D"/>
          <w:w w:val="105"/>
        </w:rPr>
        <w:t>Pension contributions</w:t>
      </w:r>
    </w:p>
    <w:p>
      <w:pPr>
        <w:pStyle w:val="BodyText"/>
        <w:tabs>
          <w:tab w:pos="3386" w:val="left" w:leader="none"/>
        </w:tabs>
        <w:spacing w:before="14"/>
        <w:ind w:left="2203"/>
        <w:rPr>
          <w:rFonts w:ascii="Times New Roman"/>
        </w:rPr>
      </w:pPr>
      <w:r>
        <w:rPr/>
        <w:br w:type="column"/>
      </w:r>
      <w:r>
        <w:rPr>
          <w:rFonts w:ascii="Times New Roman"/>
          <w:color w:val="3D3D3D"/>
          <w:w w:val="100"/>
          <w:u w:val="single" w:color="000000"/>
        </w:rPr>
        <w:t> </w:t>
      </w:r>
      <w:r>
        <w:rPr>
          <w:rFonts w:ascii="Times New Roman"/>
          <w:color w:val="3D3D3D"/>
          <w:u w:val="single" w:color="000000"/>
        </w:rPr>
        <w:t> </w:t>
      </w:r>
      <w:r>
        <w:rPr>
          <w:rFonts w:ascii="Times New Roman"/>
          <w:color w:val="3D3D3D"/>
          <w:spacing w:val="-20"/>
          <w:u w:val="single" w:color="000000"/>
        </w:rPr>
        <w:t> </w:t>
      </w:r>
      <w:r>
        <w:rPr>
          <w:rFonts w:ascii="Times New Roman"/>
          <w:color w:val="3D3D3D"/>
          <w:w w:val="110"/>
          <w:u w:val="single" w:color="000000"/>
        </w:rPr>
        <w:t>1,839</w:t>
        <w:tab/>
        <w:t>1,749</w:t>
      </w:r>
    </w:p>
    <w:p>
      <w:pPr>
        <w:pStyle w:val="BodyText"/>
        <w:tabs>
          <w:tab w:pos="3286" w:val="left" w:leader="none"/>
        </w:tabs>
        <w:spacing w:before="34"/>
        <w:ind w:left="2182"/>
        <w:rPr>
          <w:rFonts w:ascii="Times New Roman"/>
        </w:rPr>
      </w:pPr>
      <w:r>
        <w:rPr>
          <w:rFonts w:ascii="Times New Roman"/>
          <w:color w:val="3D3D3D"/>
          <w:w w:val="110"/>
          <w:u w:val="single" w:color="000000"/>
        </w:rPr>
        <w:t>15,725</w:t>
        <w:tab/>
        <w:t>15,720</w:t>
      </w:r>
    </w:p>
    <w:p>
      <w:pPr>
        <w:spacing w:after="0"/>
        <w:rPr>
          <w:rFonts w:ascii="Times New Roman"/>
        </w:rPr>
        <w:sectPr>
          <w:type w:val="continuous"/>
          <w:pgSz w:w="10950" w:h="15880"/>
          <w:pgMar w:top="680" w:bottom="280" w:left="500" w:right="0"/>
          <w:cols w:num="2" w:equalWidth="0">
            <w:col w:w="5606" w:space="40"/>
            <w:col w:w="4804"/>
          </w:cols>
        </w:sectPr>
      </w:pPr>
    </w:p>
    <w:p>
      <w:pPr>
        <w:pStyle w:val="BodyText"/>
        <w:spacing w:before="5"/>
        <w:rPr>
          <w:rFonts w:ascii="Times New Roman"/>
          <w:sz w:val="24"/>
        </w:rPr>
      </w:pPr>
    </w:p>
    <w:tbl>
      <w:tblPr>
        <w:tblW w:w="0" w:type="auto"/>
        <w:jc w:val="left"/>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8"/>
        <w:gridCol w:w="3243"/>
        <w:gridCol w:w="1972"/>
        <w:gridCol w:w="826"/>
      </w:tblGrid>
      <w:tr>
        <w:trPr>
          <w:trHeight w:val="215" w:hRule="atLeast"/>
        </w:trPr>
        <w:tc>
          <w:tcPr>
            <w:tcW w:w="2428" w:type="dxa"/>
          </w:tcPr>
          <w:p>
            <w:pPr>
              <w:pStyle w:val="TableParagraph"/>
              <w:spacing w:line="195" w:lineRule="exact"/>
              <w:ind w:left="50"/>
              <w:rPr>
                <w:sz w:val="18"/>
              </w:rPr>
            </w:pPr>
            <w:r>
              <w:rPr>
                <w:color w:val="181818"/>
                <w:w w:val="115"/>
                <w:sz w:val="18"/>
              </w:rPr>
              <w:t>La</w:t>
            </w:r>
            <w:r>
              <w:rPr>
                <w:color w:val="3D3D3D"/>
                <w:w w:val="115"/>
                <w:sz w:val="18"/>
              </w:rPr>
              <w:t>y staff:96</w:t>
            </w:r>
            <w:r>
              <w:rPr>
                <w:color w:val="2D2D2D"/>
                <w:w w:val="115"/>
                <w:sz w:val="18"/>
              </w:rPr>
              <w:t>(2005 </w:t>
            </w:r>
            <w:r>
              <w:rPr>
                <w:color w:val="181818"/>
                <w:w w:val="115"/>
                <w:sz w:val="18"/>
              </w:rPr>
              <w:t>: </w:t>
            </w:r>
            <w:r>
              <w:rPr>
                <w:color w:val="3D3D3D"/>
                <w:w w:val="115"/>
                <w:sz w:val="18"/>
              </w:rPr>
              <w:t>94)</w:t>
            </w:r>
          </w:p>
        </w:tc>
        <w:tc>
          <w:tcPr>
            <w:tcW w:w="3243" w:type="dxa"/>
          </w:tcPr>
          <w:p>
            <w:pPr>
              <w:pStyle w:val="TableParagraph"/>
              <w:spacing w:line="195" w:lineRule="exact"/>
              <w:ind w:left="488"/>
              <w:rPr>
                <w:sz w:val="18"/>
              </w:rPr>
            </w:pPr>
            <w:r>
              <w:rPr>
                <w:color w:val="3D3D3D"/>
                <w:w w:val="105"/>
                <w:sz w:val="18"/>
              </w:rPr>
              <w:t>Gross salaries</w:t>
            </w:r>
          </w:p>
        </w:tc>
        <w:tc>
          <w:tcPr>
            <w:tcW w:w="1972" w:type="dxa"/>
          </w:tcPr>
          <w:p>
            <w:pPr>
              <w:pStyle w:val="TableParagraph"/>
              <w:spacing w:line="195" w:lineRule="exact"/>
              <w:ind w:right="335"/>
              <w:jc w:val="right"/>
              <w:rPr>
                <w:sz w:val="18"/>
              </w:rPr>
            </w:pPr>
            <w:r>
              <w:rPr>
                <w:color w:val="181818"/>
                <w:w w:val="105"/>
                <w:sz w:val="18"/>
              </w:rPr>
              <w:t>1</w:t>
            </w:r>
            <w:r>
              <w:rPr>
                <w:color w:val="3D3D3D"/>
                <w:w w:val="105"/>
                <w:sz w:val="18"/>
              </w:rPr>
              <w:t>,868</w:t>
            </w:r>
          </w:p>
        </w:tc>
        <w:tc>
          <w:tcPr>
            <w:tcW w:w="826" w:type="dxa"/>
          </w:tcPr>
          <w:p>
            <w:pPr>
              <w:pStyle w:val="TableParagraph"/>
              <w:spacing w:line="195" w:lineRule="exact"/>
              <w:ind w:right="54"/>
              <w:jc w:val="right"/>
              <w:rPr>
                <w:sz w:val="18"/>
              </w:rPr>
            </w:pPr>
            <w:r>
              <w:rPr>
                <w:color w:val="3D3D3D"/>
                <w:w w:val="105"/>
                <w:sz w:val="18"/>
              </w:rPr>
              <w:t>1,766</w:t>
            </w:r>
          </w:p>
        </w:tc>
      </w:tr>
      <w:tr>
        <w:trPr>
          <w:trHeight w:val="215" w:hRule="atLeast"/>
        </w:trPr>
        <w:tc>
          <w:tcPr>
            <w:tcW w:w="2428" w:type="dxa"/>
          </w:tcPr>
          <w:p>
            <w:pPr>
              <w:pStyle w:val="TableParagraph"/>
              <w:rPr>
                <w:sz w:val="14"/>
              </w:rPr>
            </w:pPr>
          </w:p>
        </w:tc>
        <w:tc>
          <w:tcPr>
            <w:tcW w:w="3243" w:type="dxa"/>
          </w:tcPr>
          <w:p>
            <w:pPr>
              <w:pStyle w:val="TableParagraph"/>
              <w:spacing w:line="187" w:lineRule="exact" w:before="8"/>
              <w:ind w:left="484"/>
              <w:rPr>
                <w:sz w:val="18"/>
              </w:rPr>
            </w:pPr>
            <w:r>
              <w:rPr>
                <w:color w:val="3D3D3D"/>
                <w:w w:val="105"/>
                <w:sz w:val="18"/>
              </w:rPr>
              <w:t>Social Security </w:t>
            </w:r>
            <w:r>
              <w:rPr>
                <w:color w:val="2D2D2D"/>
                <w:w w:val="105"/>
                <w:sz w:val="18"/>
              </w:rPr>
              <w:t>co</w:t>
            </w:r>
            <w:r>
              <w:rPr>
                <w:color w:val="525252"/>
                <w:w w:val="105"/>
                <w:sz w:val="18"/>
              </w:rPr>
              <w:t>sts</w:t>
            </w:r>
          </w:p>
        </w:tc>
        <w:tc>
          <w:tcPr>
            <w:tcW w:w="1972" w:type="dxa"/>
          </w:tcPr>
          <w:p>
            <w:pPr>
              <w:pStyle w:val="TableParagraph"/>
              <w:spacing w:line="187" w:lineRule="exact" w:before="8"/>
              <w:ind w:right="336"/>
              <w:jc w:val="right"/>
              <w:rPr>
                <w:sz w:val="18"/>
              </w:rPr>
            </w:pPr>
            <w:r>
              <w:rPr>
                <w:color w:val="2D2D2D"/>
                <w:w w:val="105"/>
                <w:sz w:val="18"/>
              </w:rPr>
              <w:t>180</w:t>
            </w:r>
          </w:p>
        </w:tc>
        <w:tc>
          <w:tcPr>
            <w:tcW w:w="826" w:type="dxa"/>
          </w:tcPr>
          <w:p>
            <w:pPr>
              <w:pStyle w:val="TableParagraph"/>
              <w:spacing w:line="187" w:lineRule="exact" w:before="8"/>
              <w:ind w:right="50"/>
              <w:jc w:val="right"/>
              <w:rPr>
                <w:sz w:val="18"/>
              </w:rPr>
            </w:pPr>
            <w:r>
              <w:rPr>
                <w:color w:val="3D3D3D"/>
                <w:w w:val="105"/>
                <w:sz w:val="18"/>
              </w:rPr>
              <w:t>169</w:t>
            </w:r>
          </w:p>
        </w:tc>
      </w:tr>
    </w:tbl>
    <w:p>
      <w:pPr>
        <w:spacing w:after="0" w:line="187" w:lineRule="exact"/>
        <w:jc w:val="right"/>
        <w:rPr>
          <w:sz w:val="18"/>
        </w:rPr>
        <w:sectPr>
          <w:type w:val="continuous"/>
          <w:pgSz w:w="10950" w:h="15880"/>
          <w:pgMar w:top="680" w:bottom="280" w:left="500" w:right="0"/>
        </w:sectPr>
      </w:pPr>
    </w:p>
    <w:p>
      <w:pPr>
        <w:pStyle w:val="BodyText"/>
        <w:spacing w:before="24"/>
        <w:jc w:val="right"/>
        <w:rPr>
          <w:rFonts w:ascii="Times New Roman"/>
        </w:rPr>
      </w:pPr>
      <w:r>
        <w:rPr>
          <w:rFonts w:ascii="Times New Roman"/>
          <w:color w:val="2D2D2D"/>
          <w:w w:val="105"/>
        </w:rPr>
        <w:t>Pension </w:t>
      </w:r>
      <w:r>
        <w:rPr>
          <w:rFonts w:ascii="Times New Roman"/>
          <w:color w:val="3D3D3D"/>
          <w:w w:val="105"/>
        </w:rPr>
        <w:t>contributions</w:t>
      </w:r>
    </w:p>
    <w:p>
      <w:pPr>
        <w:pStyle w:val="BodyText"/>
        <w:tabs>
          <w:tab w:pos="2421" w:val="left" w:leader="none"/>
          <w:tab w:pos="3530" w:val="left" w:leader="none"/>
        </w:tabs>
        <w:spacing w:before="24"/>
        <w:ind w:left="2203"/>
        <w:rPr>
          <w:rFonts w:ascii="Times New Roman"/>
        </w:rPr>
      </w:pPr>
      <w:r>
        <w:rPr/>
        <w:br w:type="column"/>
      </w:r>
      <w:r>
        <w:rPr>
          <w:rFonts w:ascii="Times New Roman"/>
          <w:color w:val="3D3D3D"/>
          <w:w w:val="100"/>
          <w:u w:val="single" w:color="000000"/>
        </w:rPr>
        <w:t> </w:t>
      </w:r>
      <w:r>
        <w:rPr>
          <w:rFonts w:ascii="Times New Roman"/>
          <w:color w:val="3D3D3D"/>
          <w:u w:val="single" w:color="000000"/>
        </w:rPr>
        <w:tab/>
      </w:r>
      <w:r>
        <w:rPr>
          <w:rFonts w:ascii="Times New Roman"/>
          <w:color w:val="3D3D3D"/>
          <w:spacing w:val="-3"/>
          <w:w w:val="110"/>
          <w:u w:val="single" w:color="000000"/>
        </w:rPr>
        <w:t>2</w:t>
      </w:r>
      <w:r>
        <w:rPr>
          <w:rFonts w:ascii="Times New Roman"/>
          <w:color w:val="181818"/>
          <w:spacing w:val="-3"/>
          <w:w w:val="110"/>
          <w:u w:val="single" w:color="000000"/>
        </w:rPr>
        <w:t>4</w:t>
      </w:r>
      <w:r>
        <w:rPr>
          <w:rFonts w:ascii="Times New Roman"/>
          <w:color w:val="3D3D3D"/>
          <w:spacing w:val="-3"/>
          <w:w w:val="110"/>
          <w:u w:val="single" w:color="000000"/>
        </w:rPr>
        <w:t>9</w:t>
        <w:tab/>
      </w:r>
      <w:r>
        <w:rPr>
          <w:rFonts w:ascii="Times New Roman"/>
          <w:color w:val="181818"/>
          <w:spacing w:val="-6"/>
          <w:w w:val="110"/>
          <w:u w:val="single" w:color="000000"/>
        </w:rPr>
        <w:t>1</w:t>
      </w:r>
      <w:r>
        <w:rPr>
          <w:rFonts w:ascii="Times New Roman"/>
          <w:color w:val="3D3D3D"/>
          <w:spacing w:val="-6"/>
          <w:w w:val="110"/>
          <w:u w:val="single" w:color="000000"/>
        </w:rPr>
        <w:t>32</w:t>
      </w:r>
    </w:p>
    <w:p>
      <w:pPr>
        <w:pStyle w:val="BodyText"/>
        <w:tabs>
          <w:tab w:pos="3384" w:val="left" w:leader="none"/>
        </w:tabs>
        <w:spacing w:before="33"/>
        <w:ind w:left="2286"/>
        <w:rPr>
          <w:rFonts w:ascii="Times New Roman"/>
        </w:rPr>
      </w:pPr>
      <w:r>
        <w:rPr>
          <w:rFonts w:ascii="Times New Roman"/>
          <w:color w:val="3D3D3D"/>
          <w:w w:val="110"/>
        </w:rPr>
        <w:t>2,297</w:t>
        <w:tab/>
        <w:t>2,067</w:t>
      </w:r>
    </w:p>
    <w:p>
      <w:pPr>
        <w:spacing w:after="0"/>
        <w:rPr>
          <w:rFonts w:ascii="Times New Roman"/>
        </w:rPr>
        <w:sectPr>
          <w:type w:val="continuous"/>
          <w:pgSz w:w="10950" w:h="15880"/>
          <w:pgMar w:top="680" w:bottom="280" w:left="500" w:right="0"/>
          <w:cols w:num="2" w:equalWidth="0">
            <w:col w:w="5606" w:space="40"/>
            <w:col w:w="4804"/>
          </w:cols>
        </w:sectPr>
      </w:pPr>
    </w:p>
    <w:p>
      <w:pPr>
        <w:spacing w:line="30" w:lineRule="exact"/>
        <w:ind w:left="7579" w:right="0" w:firstLine="0"/>
        <w:rPr>
          <w:rFonts w:ascii="Times New Roman"/>
          <w:sz w:val="3"/>
        </w:rPr>
      </w:pPr>
      <w:r>
        <w:rPr>
          <w:rFonts w:ascii="Times New Roman"/>
          <w:sz w:val="2"/>
        </w:rPr>
        <w:pict>
          <v:group style="width:43.85pt;height:1pt;mso-position-horizontal-relative:char;mso-position-vertical-relative:line" coordorigin="0,0" coordsize="877,20">
            <v:line style="position:absolute" from="0,10" to="876,10" stroked="true" strokeweight=".962229pt" strokecolor="#000000">
              <v:stroke dashstyle="solid"/>
            </v:line>
          </v:group>
        </w:pict>
      </w:r>
      <w:r>
        <w:rPr>
          <w:rFonts w:ascii="Times New Roman"/>
          <w:sz w:val="2"/>
        </w:rPr>
      </w:r>
      <w:r>
        <w:rPr>
          <w:rFonts w:ascii="Times New Roman"/>
          <w:spacing w:val="184"/>
          <w:sz w:val="3"/>
        </w:rPr>
        <w:t> </w:t>
      </w:r>
      <w:r>
        <w:rPr>
          <w:rFonts w:ascii="Times New Roman"/>
          <w:spacing w:val="184"/>
          <w:position w:val="0"/>
          <w:sz w:val="3"/>
        </w:rPr>
        <w:pict>
          <v:group style="width:43.85pt;height:1.45pt;mso-position-horizontal-relative:char;mso-position-vertical-relative:line" coordorigin="0,0" coordsize="877,29">
            <v:line style="position:absolute" from="0,14" to="876,14" stroked="true" strokeweight="1.443344pt" strokecolor="#000000">
              <v:stroke dashstyle="solid"/>
            </v:line>
          </v:group>
        </w:pict>
      </w:r>
      <w:r>
        <w:rPr>
          <w:rFonts w:ascii="Times New Roman"/>
          <w:spacing w:val="184"/>
          <w:position w:val="0"/>
          <w:sz w:val="3"/>
        </w:rPr>
      </w:r>
    </w:p>
    <w:p>
      <w:pPr>
        <w:pStyle w:val="BodyText"/>
        <w:spacing w:before="2"/>
        <w:rPr>
          <w:rFonts w:ascii="Times New Roman"/>
          <w:sz w:val="13"/>
        </w:rPr>
      </w:pPr>
    </w:p>
    <w:p>
      <w:pPr>
        <w:pStyle w:val="BodyText"/>
        <w:spacing w:line="261" w:lineRule="auto" w:before="93"/>
        <w:ind w:left="995" w:right="957"/>
        <w:jc w:val="both"/>
        <w:rPr>
          <w:rFonts w:ascii="Times New Roman"/>
        </w:rPr>
      </w:pPr>
      <w:r>
        <w:rPr>
          <w:rFonts w:ascii="Times New Roman"/>
          <w:color w:val="3D3D3D"/>
          <w:w w:val="105"/>
        </w:rPr>
        <w:t>The numbers shown represent the average for the year, and staff working for part of the </w:t>
      </w:r>
      <w:r>
        <w:rPr>
          <w:rFonts w:ascii="Times New Roman"/>
          <w:color w:val="525252"/>
          <w:w w:val="105"/>
        </w:rPr>
        <w:t>year </w:t>
      </w:r>
      <w:r>
        <w:rPr>
          <w:rFonts w:ascii="Times New Roman"/>
          <w:color w:val="3D3D3D"/>
          <w:w w:val="105"/>
        </w:rPr>
        <w:t>are included at the appropriate </w:t>
      </w:r>
      <w:r>
        <w:rPr>
          <w:rFonts w:ascii="Times New Roman"/>
          <w:color w:val="2D2D2D"/>
          <w:w w:val="105"/>
        </w:rPr>
        <w:t>proportion </w:t>
      </w:r>
      <w:r>
        <w:rPr>
          <w:rFonts w:ascii="Times New Roman"/>
          <w:color w:val="3D3D3D"/>
          <w:w w:val="105"/>
        </w:rPr>
        <w:t>calculated on a </w:t>
      </w:r>
      <w:r>
        <w:rPr>
          <w:rFonts w:ascii="Times New Roman"/>
          <w:color w:val="2D2D2D"/>
          <w:w w:val="105"/>
        </w:rPr>
        <w:t>full </w:t>
      </w:r>
      <w:r>
        <w:rPr>
          <w:rFonts w:ascii="Times New Roman"/>
          <w:color w:val="3D3D3D"/>
          <w:w w:val="105"/>
        </w:rPr>
        <w:t>time equivalent </w:t>
      </w:r>
      <w:r>
        <w:rPr>
          <w:rFonts w:ascii="Times New Roman"/>
          <w:color w:val="2D2D2D"/>
          <w:w w:val="105"/>
        </w:rPr>
        <w:t>basis. </w:t>
      </w:r>
      <w:r>
        <w:rPr>
          <w:rFonts w:ascii="Times New Roman"/>
          <w:color w:val="3D3D3D"/>
          <w:w w:val="105"/>
        </w:rPr>
        <w:t>They include staff working at </w:t>
      </w:r>
      <w:r>
        <w:rPr>
          <w:rFonts w:ascii="Times New Roman"/>
          <w:color w:val="2D2D2D"/>
          <w:w w:val="105"/>
        </w:rPr>
        <w:t>Church </w:t>
      </w:r>
      <w:r>
        <w:rPr>
          <w:rFonts w:ascii="Times New Roman"/>
          <w:color w:val="2D2D2D"/>
          <w:spacing w:val="-3"/>
          <w:w w:val="105"/>
        </w:rPr>
        <w:t>Hous</w:t>
      </w:r>
      <w:r>
        <w:rPr>
          <w:rFonts w:ascii="Times New Roman"/>
          <w:color w:val="525252"/>
          <w:spacing w:val="-3"/>
          <w:w w:val="105"/>
        </w:rPr>
        <w:t>e </w:t>
      </w:r>
      <w:r>
        <w:rPr>
          <w:rFonts w:ascii="Times New Roman"/>
          <w:color w:val="2D2D2D"/>
          <w:w w:val="105"/>
        </w:rPr>
        <w:t>in </w:t>
      </w:r>
      <w:r>
        <w:rPr>
          <w:rFonts w:ascii="Times New Roman"/>
          <w:color w:val="3D3D3D"/>
          <w:w w:val="105"/>
        </w:rPr>
        <w:t>London,</w:t>
      </w:r>
      <w:r>
        <w:rPr>
          <w:rFonts w:ascii="Times New Roman"/>
          <w:color w:val="3D3D3D"/>
          <w:spacing w:val="-11"/>
          <w:w w:val="105"/>
        </w:rPr>
        <w:t> </w:t>
      </w:r>
      <w:r>
        <w:rPr>
          <w:rFonts w:ascii="Times New Roman"/>
          <w:color w:val="3D3D3D"/>
          <w:w w:val="105"/>
        </w:rPr>
        <w:t>the</w:t>
      </w:r>
      <w:r>
        <w:rPr>
          <w:rFonts w:ascii="Times New Roman"/>
          <w:color w:val="3D3D3D"/>
          <w:spacing w:val="-13"/>
          <w:w w:val="105"/>
        </w:rPr>
        <w:t> </w:t>
      </w:r>
      <w:r>
        <w:rPr>
          <w:rFonts w:ascii="Times New Roman"/>
          <w:color w:val="3D3D3D"/>
          <w:w w:val="105"/>
        </w:rPr>
        <w:t>Windermere</w:t>
      </w:r>
      <w:r>
        <w:rPr>
          <w:rFonts w:ascii="Times New Roman"/>
          <w:color w:val="3D3D3D"/>
          <w:spacing w:val="-6"/>
          <w:w w:val="105"/>
        </w:rPr>
        <w:t> </w:t>
      </w:r>
      <w:r>
        <w:rPr>
          <w:rFonts w:ascii="Times New Roman"/>
          <w:color w:val="2D2D2D"/>
          <w:w w:val="105"/>
        </w:rPr>
        <w:t>Centre</w:t>
      </w:r>
      <w:r>
        <w:rPr>
          <w:rFonts w:ascii="Times New Roman"/>
          <w:color w:val="2D2D2D"/>
          <w:spacing w:val="-22"/>
          <w:w w:val="105"/>
        </w:rPr>
        <w:t> </w:t>
      </w:r>
      <w:r>
        <w:rPr>
          <w:rFonts w:ascii="Times New Roman"/>
          <w:color w:val="3D3D3D"/>
          <w:w w:val="105"/>
        </w:rPr>
        <w:t>and</w:t>
      </w:r>
      <w:r>
        <w:rPr>
          <w:rFonts w:ascii="Times New Roman"/>
          <w:color w:val="3D3D3D"/>
          <w:spacing w:val="4"/>
          <w:w w:val="105"/>
        </w:rPr>
        <w:t> </w:t>
      </w:r>
      <w:r>
        <w:rPr>
          <w:rFonts w:ascii="Times New Roman"/>
          <w:color w:val="3D3D3D"/>
          <w:w w:val="105"/>
        </w:rPr>
        <w:t>Westminster</w:t>
      </w:r>
      <w:r>
        <w:rPr>
          <w:rFonts w:ascii="Times New Roman"/>
          <w:color w:val="3D3D3D"/>
          <w:spacing w:val="1"/>
          <w:w w:val="105"/>
        </w:rPr>
        <w:t> </w:t>
      </w:r>
      <w:r>
        <w:rPr>
          <w:rFonts w:ascii="Times New Roman"/>
          <w:color w:val="2D2D2D"/>
          <w:w w:val="105"/>
        </w:rPr>
        <w:t>College</w:t>
      </w:r>
      <w:r>
        <w:rPr>
          <w:rFonts w:ascii="Times New Roman"/>
          <w:color w:val="2D2D2D"/>
          <w:spacing w:val="1"/>
          <w:w w:val="105"/>
        </w:rPr>
        <w:t> </w:t>
      </w:r>
      <w:r>
        <w:rPr>
          <w:rFonts w:ascii="Times New Roman"/>
          <w:color w:val="2D2D2D"/>
          <w:w w:val="105"/>
        </w:rPr>
        <w:t>in</w:t>
      </w:r>
      <w:r>
        <w:rPr>
          <w:rFonts w:ascii="Times New Roman"/>
          <w:color w:val="2D2D2D"/>
          <w:spacing w:val="-14"/>
          <w:w w:val="105"/>
        </w:rPr>
        <w:t> </w:t>
      </w:r>
      <w:r>
        <w:rPr>
          <w:rFonts w:ascii="Times New Roman"/>
          <w:color w:val="3D3D3D"/>
          <w:w w:val="105"/>
        </w:rPr>
        <w:t>Cambridge.</w:t>
      </w:r>
    </w:p>
    <w:p>
      <w:pPr>
        <w:pStyle w:val="BodyText"/>
        <w:spacing w:line="268" w:lineRule="auto" w:before="112"/>
        <w:ind w:left="995" w:right="943" w:firstLine="1"/>
        <w:jc w:val="both"/>
        <w:rPr>
          <w:rFonts w:ascii="Times New Roman" w:hAnsi="Times New Roman"/>
        </w:rPr>
      </w:pPr>
      <w:r>
        <w:rPr>
          <w:rFonts w:ascii="Times New Roman" w:hAnsi="Times New Roman"/>
          <w:color w:val="3D3D3D"/>
          <w:w w:val="105"/>
        </w:rPr>
        <w:t>There were no ministers, Church </w:t>
      </w:r>
      <w:r>
        <w:rPr>
          <w:rFonts w:ascii="Times New Roman" w:hAnsi="Times New Roman"/>
          <w:color w:val="2D2D2D"/>
          <w:w w:val="105"/>
        </w:rPr>
        <w:t>Related </w:t>
      </w:r>
      <w:r>
        <w:rPr>
          <w:rFonts w:ascii="Times New Roman" w:hAnsi="Times New Roman"/>
          <w:color w:val="3D3D3D"/>
          <w:w w:val="105"/>
        </w:rPr>
        <w:t>Community </w:t>
      </w:r>
      <w:r>
        <w:rPr>
          <w:rFonts w:ascii="Times New Roman" w:hAnsi="Times New Roman"/>
          <w:color w:val="2D2D2D"/>
          <w:spacing w:val="-6"/>
          <w:w w:val="105"/>
        </w:rPr>
        <w:t>Worker</w:t>
      </w:r>
      <w:r>
        <w:rPr>
          <w:rFonts w:ascii="Times New Roman" w:hAnsi="Times New Roman"/>
          <w:color w:val="525252"/>
          <w:spacing w:val="-6"/>
          <w:w w:val="105"/>
        </w:rPr>
        <w:t>s </w:t>
      </w:r>
      <w:r>
        <w:rPr>
          <w:rFonts w:ascii="Times New Roman" w:hAnsi="Times New Roman"/>
          <w:color w:val="3D3D3D"/>
          <w:w w:val="105"/>
        </w:rPr>
        <w:t>or employees whose emoluments, excluding employer</w:t>
      </w:r>
      <w:r>
        <w:rPr>
          <w:rFonts w:ascii="Times New Roman" w:hAnsi="Times New Roman"/>
          <w:color w:val="3D3D3D"/>
          <w:spacing w:val="-4"/>
          <w:w w:val="105"/>
        </w:rPr>
        <w:t> </w:t>
      </w:r>
      <w:r>
        <w:rPr>
          <w:rFonts w:ascii="Times New Roman" w:hAnsi="Times New Roman"/>
          <w:color w:val="3D3D3D"/>
          <w:w w:val="105"/>
        </w:rPr>
        <w:t>pension</w:t>
      </w:r>
      <w:r>
        <w:rPr>
          <w:rFonts w:ascii="Times New Roman" w:hAnsi="Times New Roman"/>
          <w:color w:val="3D3D3D"/>
          <w:spacing w:val="-3"/>
          <w:w w:val="105"/>
        </w:rPr>
        <w:t> </w:t>
      </w:r>
      <w:r>
        <w:rPr>
          <w:rFonts w:ascii="Times New Roman" w:hAnsi="Times New Roman"/>
          <w:color w:val="3D3D3D"/>
          <w:w w:val="105"/>
        </w:rPr>
        <w:t>contributions,</w:t>
      </w:r>
      <w:r>
        <w:rPr>
          <w:rFonts w:ascii="Times New Roman" w:hAnsi="Times New Roman"/>
          <w:color w:val="3D3D3D"/>
          <w:spacing w:val="-24"/>
          <w:w w:val="105"/>
        </w:rPr>
        <w:t> </w:t>
      </w:r>
      <w:r>
        <w:rPr>
          <w:rFonts w:ascii="Times New Roman" w:hAnsi="Times New Roman"/>
          <w:color w:val="2D2D2D"/>
          <w:w w:val="105"/>
        </w:rPr>
        <w:t>exceeded</w:t>
      </w:r>
      <w:r>
        <w:rPr>
          <w:rFonts w:ascii="Times New Roman" w:hAnsi="Times New Roman"/>
          <w:color w:val="2D2D2D"/>
          <w:spacing w:val="1"/>
          <w:w w:val="105"/>
        </w:rPr>
        <w:t> </w:t>
      </w:r>
      <w:r>
        <w:rPr>
          <w:rFonts w:ascii="Times New Roman" w:hAnsi="Times New Roman"/>
          <w:color w:val="2D2D2D"/>
          <w:w w:val="105"/>
        </w:rPr>
        <w:t>£60,000</w:t>
      </w:r>
      <w:r>
        <w:rPr>
          <w:rFonts w:ascii="Times New Roman" w:hAnsi="Times New Roman"/>
          <w:color w:val="2D2D2D"/>
          <w:spacing w:val="-10"/>
          <w:w w:val="105"/>
        </w:rPr>
        <w:t> </w:t>
      </w:r>
      <w:r>
        <w:rPr>
          <w:rFonts w:ascii="Times New Roman" w:hAnsi="Times New Roman"/>
          <w:color w:val="3D3D3D"/>
          <w:w w:val="105"/>
        </w:rPr>
        <w:t>during</w:t>
      </w:r>
      <w:r>
        <w:rPr>
          <w:rFonts w:ascii="Times New Roman" w:hAnsi="Times New Roman"/>
          <w:color w:val="3D3D3D"/>
          <w:spacing w:val="-15"/>
          <w:w w:val="105"/>
        </w:rPr>
        <w:t> </w:t>
      </w:r>
      <w:r>
        <w:rPr>
          <w:rFonts w:ascii="Times New Roman" w:hAnsi="Times New Roman"/>
          <w:color w:val="3D3D3D"/>
          <w:w w:val="105"/>
        </w:rPr>
        <w:t>2006</w:t>
      </w:r>
      <w:r>
        <w:rPr>
          <w:rFonts w:ascii="Times New Roman" w:hAnsi="Times New Roman"/>
          <w:color w:val="3D3D3D"/>
          <w:spacing w:val="-27"/>
          <w:w w:val="105"/>
        </w:rPr>
        <w:t> </w:t>
      </w:r>
      <w:r>
        <w:rPr>
          <w:rFonts w:ascii="Times New Roman" w:hAnsi="Times New Roman"/>
          <w:color w:val="3D3D3D"/>
          <w:w w:val="105"/>
        </w:rPr>
        <w:t>or 2005.</w:t>
      </w:r>
    </w:p>
    <w:p>
      <w:pPr>
        <w:pStyle w:val="BodyText"/>
        <w:spacing w:line="268" w:lineRule="auto" w:before="104"/>
        <w:ind w:left="996" w:right="947" w:firstLine="1"/>
        <w:jc w:val="both"/>
        <w:rPr>
          <w:rFonts w:ascii="Times New Roman"/>
        </w:rPr>
      </w:pPr>
      <w:r>
        <w:rPr>
          <w:rFonts w:ascii="Times New Roman"/>
          <w:color w:val="2D2D2D"/>
          <w:w w:val="105"/>
        </w:rPr>
        <w:t>In </w:t>
      </w:r>
      <w:r>
        <w:rPr>
          <w:rFonts w:ascii="Times New Roman"/>
          <w:color w:val="3D3D3D"/>
          <w:w w:val="105"/>
        </w:rPr>
        <w:t>addition, a great amount of time, the value of which </w:t>
      </w:r>
      <w:r>
        <w:rPr>
          <w:rFonts w:ascii="Times New Roman"/>
          <w:color w:val="181818"/>
          <w:w w:val="105"/>
        </w:rPr>
        <w:t>i</w:t>
      </w:r>
      <w:r>
        <w:rPr>
          <w:rFonts w:ascii="Times New Roman"/>
          <w:color w:val="3D3D3D"/>
          <w:w w:val="105"/>
        </w:rPr>
        <w:t>t is impossible to reflect </w:t>
      </w:r>
      <w:r>
        <w:rPr>
          <w:rFonts w:ascii="Times New Roman"/>
          <w:color w:val="2D2D2D"/>
          <w:w w:val="105"/>
        </w:rPr>
        <w:t>in </w:t>
      </w:r>
      <w:r>
        <w:rPr>
          <w:rFonts w:ascii="Times New Roman"/>
          <w:color w:val="3D3D3D"/>
          <w:w w:val="105"/>
        </w:rPr>
        <w:t>these financial statements, </w:t>
      </w:r>
      <w:r>
        <w:rPr>
          <w:rFonts w:ascii="Times New Roman"/>
          <w:color w:val="2D2D2D"/>
          <w:w w:val="105"/>
        </w:rPr>
        <w:t>is </w:t>
      </w:r>
      <w:r>
        <w:rPr>
          <w:rFonts w:ascii="Times New Roman"/>
          <w:color w:val="3D3D3D"/>
          <w:w w:val="105"/>
        </w:rPr>
        <w:t>donated by thousands of volunteers throughout the United Kingdom</w:t>
      </w:r>
      <w:r>
        <w:rPr>
          <w:rFonts w:ascii="Times New Roman"/>
          <w:color w:val="181818"/>
          <w:w w:val="105"/>
        </w:rPr>
        <w:t>.</w:t>
      </w:r>
    </w:p>
    <w:p>
      <w:pPr>
        <w:pStyle w:val="BodyText"/>
        <w:spacing w:line="261" w:lineRule="auto" w:before="104"/>
        <w:ind w:left="1000" w:right="934" w:hanging="3"/>
        <w:jc w:val="both"/>
        <w:rPr>
          <w:rFonts w:ascii="Times New Roman" w:hAnsi="Times New Roman"/>
        </w:rPr>
      </w:pPr>
      <w:r>
        <w:rPr>
          <w:rFonts w:ascii="Times New Roman" w:hAnsi="Times New Roman"/>
          <w:color w:val="525252"/>
          <w:w w:val="105"/>
        </w:rPr>
        <w:t>In</w:t>
      </w:r>
      <w:r>
        <w:rPr>
          <w:rFonts w:ascii="Times New Roman" w:hAnsi="Times New Roman"/>
          <w:color w:val="2D2D2D"/>
          <w:w w:val="105"/>
        </w:rPr>
        <w:t>di</w:t>
      </w:r>
      <w:r>
        <w:rPr>
          <w:rFonts w:ascii="Times New Roman" w:hAnsi="Times New Roman"/>
          <w:color w:val="525252"/>
          <w:w w:val="105"/>
        </w:rPr>
        <w:t>vi</w:t>
      </w:r>
      <w:r>
        <w:rPr>
          <w:rFonts w:ascii="Times New Roman" w:hAnsi="Times New Roman"/>
          <w:color w:val="2D2D2D"/>
          <w:w w:val="105"/>
        </w:rPr>
        <w:t>duals </w:t>
      </w:r>
      <w:r>
        <w:rPr>
          <w:rFonts w:ascii="Times New Roman" w:hAnsi="Times New Roman"/>
          <w:color w:val="3D3D3D"/>
          <w:w w:val="105"/>
        </w:rPr>
        <w:t>acting in a trustee capacity for the various </w:t>
      </w:r>
      <w:r>
        <w:rPr>
          <w:rFonts w:ascii="Times New Roman" w:hAnsi="Times New Roman"/>
          <w:color w:val="525252"/>
          <w:w w:val="105"/>
        </w:rPr>
        <w:t>United </w:t>
      </w:r>
      <w:r>
        <w:rPr>
          <w:rFonts w:ascii="Times New Roman" w:hAnsi="Times New Roman"/>
          <w:color w:val="3D3D3D"/>
          <w:w w:val="105"/>
        </w:rPr>
        <w:t>Reformed Church trusts received </w:t>
      </w:r>
      <w:r>
        <w:rPr>
          <w:rFonts w:ascii="Times New Roman" w:hAnsi="Times New Roman"/>
          <w:color w:val="2D2D2D"/>
          <w:w w:val="105"/>
        </w:rPr>
        <w:t>no </w:t>
      </w:r>
      <w:r>
        <w:rPr>
          <w:rFonts w:ascii="Times New Roman" w:hAnsi="Times New Roman"/>
          <w:color w:val="3D3D3D"/>
          <w:w w:val="105"/>
        </w:rPr>
        <w:t>remuneration in </w:t>
      </w:r>
      <w:r>
        <w:rPr>
          <w:rFonts w:ascii="Times New Roman" w:hAnsi="Times New Roman"/>
          <w:color w:val="2D2D2D"/>
          <w:w w:val="105"/>
        </w:rPr>
        <w:t>respect </w:t>
      </w:r>
      <w:r>
        <w:rPr>
          <w:rFonts w:ascii="Times New Roman" w:hAnsi="Times New Roman"/>
          <w:color w:val="3D3D3D"/>
          <w:w w:val="105"/>
        </w:rPr>
        <w:t>of their services as trustee, other than the reimbursement of travel expenses </w:t>
      </w:r>
      <w:r>
        <w:rPr>
          <w:rFonts w:ascii="Times New Roman" w:hAnsi="Times New Roman"/>
          <w:color w:val="525252"/>
          <w:w w:val="105"/>
        </w:rPr>
        <w:t>to </w:t>
      </w:r>
      <w:r>
        <w:rPr>
          <w:rFonts w:ascii="Times New Roman" w:hAnsi="Times New Roman"/>
          <w:color w:val="3D3D3D"/>
          <w:w w:val="105"/>
        </w:rPr>
        <w:t>14 individuals during the year ended 31 </w:t>
      </w:r>
      <w:r>
        <w:rPr>
          <w:rFonts w:ascii="Times New Roman" w:hAnsi="Times New Roman"/>
          <w:color w:val="2D2D2D"/>
          <w:w w:val="105"/>
        </w:rPr>
        <w:t>Decembe</w:t>
      </w:r>
      <w:r>
        <w:rPr>
          <w:rFonts w:ascii="Times New Roman" w:hAnsi="Times New Roman"/>
          <w:color w:val="525252"/>
          <w:w w:val="105"/>
        </w:rPr>
        <w:t>r </w:t>
      </w:r>
      <w:r>
        <w:rPr>
          <w:rFonts w:ascii="Times New Roman" w:hAnsi="Times New Roman"/>
          <w:color w:val="3D3D3D"/>
          <w:w w:val="105"/>
        </w:rPr>
        <w:t>2006 totalling £1,627 (2005 £2,812).</w:t>
      </w:r>
    </w:p>
    <w:p>
      <w:pPr>
        <w:pStyle w:val="BodyText"/>
        <w:spacing w:before="10"/>
        <w:rPr>
          <w:rFonts w:ascii="Times New Roman"/>
          <w:sz w:val="10"/>
        </w:rPr>
      </w:pPr>
    </w:p>
    <w:p>
      <w:pPr>
        <w:spacing w:after="0"/>
        <w:rPr>
          <w:rFonts w:ascii="Times New Roman"/>
          <w:sz w:val="10"/>
        </w:rPr>
        <w:sectPr>
          <w:type w:val="continuous"/>
          <w:pgSz w:w="10950" w:h="15880"/>
          <w:pgMar w:top="680" w:bottom="280" w:left="500" w:right="0"/>
        </w:sectPr>
      </w:pPr>
    </w:p>
    <w:p>
      <w:pPr>
        <w:tabs>
          <w:tab w:pos="2180" w:val="left" w:leader="none"/>
        </w:tabs>
        <w:spacing w:before="93"/>
        <w:ind w:left="1009" w:right="0" w:firstLine="0"/>
        <w:jc w:val="left"/>
        <w:rPr>
          <w:rFonts w:ascii="Times New Roman"/>
          <w:b/>
          <w:sz w:val="18"/>
        </w:rPr>
      </w:pPr>
      <w:bookmarkStart w:name="_TOC_250006" w:id="15"/>
      <w:r>
        <w:rPr>
          <w:rFonts w:ascii="Times New Roman"/>
          <w:b/>
          <w:color w:val="2D2D2D"/>
          <w:w w:val="105"/>
          <w:sz w:val="18"/>
        </w:rPr>
        <w:t>NOTE</w:t>
      </w:r>
      <w:r>
        <w:rPr>
          <w:rFonts w:ascii="Times New Roman"/>
          <w:b/>
          <w:color w:val="2D2D2D"/>
          <w:spacing w:val="-14"/>
          <w:w w:val="105"/>
          <w:sz w:val="18"/>
        </w:rPr>
        <w:t> </w:t>
      </w:r>
      <w:r>
        <w:rPr>
          <w:rFonts w:ascii="Times New Roman"/>
          <w:b/>
          <w:color w:val="2D2D2D"/>
          <w:w w:val="105"/>
          <w:sz w:val="18"/>
        </w:rPr>
        <w:t>11</w:t>
        <w:tab/>
        <w:t>TANGIBLE </w:t>
      </w:r>
      <w:r>
        <w:rPr>
          <w:rFonts w:ascii="Times New Roman"/>
          <w:b/>
          <w:color w:val="3D3D3D"/>
          <w:w w:val="105"/>
          <w:sz w:val="18"/>
        </w:rPr>
        <w:t>F</w:t>
      </w:r>
      <w:r>
        <w:rPr>
          <w:rFonts w:ascii="Times New Roman"/>
          <w:b/>
          <w:color w:val="181818"/>
          <w:w w:val="105"/>
          <w:sz w:val="18"/>
        </w:rPr>
        <w:t>IXED</w:t>
      </w:r>
      <w:r>
        <w:rPr>
          <w:rFonts w:ascii="Times New Roman"/>
          <w:b/>
          <w:color w:val="181818"/>
          <w:spacing w:val="-18"/>
          <w:w w:val="105"/>
          <w:sz w:val="18"/>
        </w:rPr>
        <w:t> </w:t>
      </w:r>
      <w:bookmarkEnd w:id="15"/>
      <w:r>
        <w:rPr>
          <w:rFonts w:ascii="Times New Roman"/>
          <w:b/>
          <w:color w:val="181818"/>
          <w:w w:val="105"/>
          <w:sz w:val="18"/>
        </w:rPr>
        <w:t>ASSETS</w:t>
      </w:r>
    </w:p>
    <w:p>
      <w:pPr>
        <w:tabs>
          <w:tab w:pos="4994" w:val="left" w:leader="none"/>
          <w:tab w:pos="5329" w:val="left" w:leader="none"/>
          <w:tab w:pos="6016" w:val="left" w:leader="none"/>
          <w:tab w:pos="6359" w:val="left" w:leader="none"/>
          <w:tab w:pos="7341" w:val="left" w:leader="none"/>
          <w:tab w:pos="7456" w:val="left" w:leader="none"/>
        </w:tabs>
        <w:spacing w:line="256" w:lineRule="auto" w:before="140"/>
        <w:ind w:left="3836" w:right="0" w:hanging="325"/>
        <w:jc w:val="left"/>
        <w:rPr>
          <w:rFonts w:ascii="Times New Roman"/>
          <w:b/>
          <w:sz w:val="18"/>
        </w:rPr>
      </w:pPr>
      <w:r>
        <w:rPr>
          <w:rFonts w:ascii="Times New Roman"/>
          <w:b/>
          <w:color w:val="2D2D2D"/>
          <w:w w:val="105"/>
          <w:sz w:val="18"/>
        </w:rPr>
        <w:t>Houses</w:t>
      </w:r>
      <w:r>
        <w:rPr>
          <w:rFonts w:ascii="Times New Roman"/>
          <w:b/>
          <w:color w:val="2D2D2D"/>
          <w:spacing w:val="-1"/>
          <w:w w:val="105"/>
          <w:sz w:val="18"/>
        </w:rPr>
        <w:t> </w:t>
      </w:r>
      <w:r>
        <w:rPr>
          <w:rFonts w:ascii="Times New Roman"/>
          <w:b/>
          <w:color w:val="181818"/>
          <w:w w:val="105"/>
          <w:sz w:val="18"/>
        </w:rPr>
        <w:t>for</w:t>
        <w:tab/>
      </w:r>
      <w:r>
        <w:rPr>
          <w:rFonts w:ascii="Times New Roman"/>
          <w:b/>
          <w:color w:val="2D2D2D"/>
          <w:w w:val="105"/>
          <w:sz w:val="18"/>
        </w:rPr>
        <w:t>Houses</w:t>
        <w:tab/>
        <w:tab/>
      </w:r>
      <w:r>
        <w:rPr>
          <w:rFonts w:ascii="Times New Roman"/>
          <w:b/>
          <w:color w:val="181818"/>
          <w:w w:val="105"/>
          <w:sz w:val="18"/>
        </w:rPr>
        <w:t>O</w:t>
      </w:r>
      <w:r>
        <w:rPr>
          <w:rFonts w:ascii="Times New Roman"/>
          <w:b/>
          <w:color w:val="3D3D3D"/>
          <w:w w:val="105"/>
          <w:sz w:val="18"/>
        </w:rPr>
        <w:t>t</w:t>
      </w:r>
      <w:r>
        <w:rPr>
          <w:rFonts w:ascii="Times New Roman"/>
          <w:b/>
          <w:color w:val="181818"/>
          <w:w w:val="105"/>
          <w:sz w:val="18"/>
        </w:rPr>
        <w:t>her</w:t>
        <w:tab/>
        <w:tab/>
      </w:r>
      <w:r>
        <w:rPr>
          <w:rFonts w:ascii="Times New Roman"/>
          <w:b/>
          <w:color w:val="2D2D2D"/>
          <w:w w:val="105"/>
          <w:sz w:val="18"/>
        </w:rPr>
        <w:t>Cars </w:t>
      </w:r>
      <w:r>
        <w:rPr>
          <w:rFonts w:ascii="Times New Roman"/>
          <w:b/>
          <w:color w:val="181818"/>
          <w:spacing w:val="-6"/>
          <w:w w:val="105"/>
          <w:sz w:val="18"/>
        </w:rPr>
        <w:t>and </w:t>
      </w:r>
      <w:r>
        <w:rPr>
          <w:rFonts w:ascii="Times New Roman"/>
          <w:b/>
          <w:color w:val="181818"/>
          <w:w w:val="105"/>
          <w:sz w:val="18"/>
        </w:rPr>
        <w:t>retired</w:t>
        <w:tab/>
        <w:tab/>
        <w:t>for</w:t>
        <w:tab/>
        <w:t>properties</w:t>
        <w:tab/>
      </w:r>
      <w:r>
        <w:rPr>
          <w:rFonts w:ascii="Times New Roman"/>
          <w:b/>
          <w:color w:val="181818"/>
          <w:sz w:val="18"/>
        </w:rPr>
        <w:t>equipment</w:t>
      </w:r>
    </w:p>
    <w:p>
      <w:pPr>
        <w:tabs>
          <w:tab w:pos="4981" w:val="left" w:leader="none"/>
        </w:tabs>
        <w:spacing w:line="256" w:lineRule="auto" w:before="9"/>
        <w:ind w:left="4828" w:right="2627" w:hanging="1185"/>
        <w:jc w:val="left"/>
        <w:rPr>
          <w:rFonts w:ascii="Times New Roman"/>
          <w:b/>
          <w:sz w:val="18"/>
        </w:rPr>
      </w:pPr>
      <w:r>
        <w:rPr>
          <w:rFonts w:ascii="Times New Roman"/>
          <w:b/>
          <w:color w:val="181818"/>
          <w:w w:val="105"/>
          <w:sz w:val="18"/>
        </w:rPr>
        <w:t>ministers</w:t>
        <w:tab/>
        <w:tab/>
      </w:r>
      <w:r>
        <w:rPr>
          <w:rFonts w:ascii="Times New Roman"/>
          <w:b/>
          <w:color w:val="2D2D2D"/>
          <w:w w:val="105"/>
          <w:sz w:val="18"/>
        </w:rPr>
        <w:t>serving </w:t>
      </w:r>
      <w:r>
        <w:rPr>
          <w:rFonts w:ascii="Times New Roman"/>
          <w:b/>
          <w:color w:val="181818"/>
          <w:w w:val="105"/>
          <w:sz w:val="18"/>
        </w:rPr>
        <w:t>ministers</w:t>
      </w:r>
    </w:p>
    <w:p>
      <w:pPr>
        <w:tabs>
          <w:tab w:pos="5130" w:val="left" w:leader="none"/>
          <w:tab w:pos="6401" w:val="left" w:leader="none"/>
          <w:tab w:pos="7759" w:val="left" w:leader="none"/>
        </w:tabs>
        <w:spacing w:before="9"/>
        <w:ind w:left="3945" w:right="0" w:firstLine="0"/>
        <w:jc w:val="left"/>
        <w:rPr>
          <w:rFonts w:ascii="Times New Roman" w:hAnsi="Times New Roman"/>
          <w:b/>
          <w:sz w:val="18"/>
        </w:rPr>
      </w:pPr>
      <w:r>
        <w:rPr>
          <w:rFonts w:ascii="Times New Roman" w:hAnsi="Times New Roman"/>
          <w:b/>
          <w:color w:val="2D2D2D"/>
          <w:w w:val="110"/>
          <w:sz w:val="18"/>
        </w:rPr>
        <w:t>£'000</w:t>
        <w:tab/>
        <w:t>£'000</w:t>
        <w:tab/>
        <w:t>£'000</w:t>
        <w:tab/>
      </w:r>
      <w:r>
        <w:rPr>
          <w:rFonts w:ascii="Times New Roman" w:hAnsi="Times New Roman"/>
          <w:b/>
          <w:color w:val="2D2D2D"/>
          <w:spacing w:val="-4"/>
          <w:w w:val="110"/>
          <w:sz w:val="18"/>
        </w:rPr>
        <w:t>£'000</w:t>
      </w:r>
    </w:p>
    <w:p>
      <w:pPr>
        <w:pStyle w:val="BodyText"/>
        <w:rPr>
          <w:rFonts w:ascii="Times New Roman"/>
          <w:b/>
          <w:sz w:val="20"/>
        </w:rPr>
      </w:pPr>
      <w:r>
        <w:rPr/>
        <w:br w:type="column"/>
      </w:r>
      <w:r>
        <w:rPr>
          <w:rFonts w:ascii="Times New Roman"/>
          <w:b/>
          <w:sz w:val="20"/>
        </w:rPr>
      </w:r>
    </w:p>
    <w:p>
      <w:pPr>
        <w:pStyle w:val="BodyText"/>
        <w:spacing w:before="4"/>
        <w:rPr>
          <w:rFonts w:ascii="Times New Roman"/>
          <w:b/>
          <w:sz w:val="17"/>
        </w:rPr>
      </w:pPr>
    </w:p>
    <w:p>
      <w:pPr>
        <w:spacing w:before="0"/>
        <w:ind w:left="703" w:right="0" w:firstLine="0"/>
        <w:jc w:val="left"/>
        <w:rPr>
          <w:rFonts w:ascii="Times New Roman"/>
          <w:b/>
          <w:sz w:val="18"/>
        </w:rPr>
      </w:pPr>
      <w:r>
        <w:rPr>
          <w:rFonts w:ascii="Times New Roman"/>
          <w:b/>
          <w:color w:val="2D2D2D"/>
          <w:w w:val="105"/>
          <w:sz w:val="18"/>
        </w:rPr>
        <w:t>Total</w:t>
      </w:r>
    </w:p>
    <w:p>
      <w:pPr>
        <w:pStyle w:val="BodyText"/>
        <w:rPr>
          <w:rFonts w:ascii="Times New Roman"/>
          <w:b/>
          <w:sz w:val="20"/>
        </w:rPr>
      </w:pPr>
    </w:p>
    <w:p>
      <w:pPr>
        <w:pStyle w:val="BodyText"/>
        <w:rPr>
          <w:rFonts w:ascii="Times New Roman"/>
          <w:b/>
          <w:sz w:val="20"/>
        </w:rPr>
      </w:pPr>
    </w:p>
    <w:p>
      <w:pPr>
        <w:pStyle w:val="BodyText"/>
        <w:spacing w:before="6"/>
        <w:rPr>
          <w:rFonts w:ascii="Times New Roman"/>
          <w:b/>
          <w:sz w:val="21"/>
        </w:rPr>
      </w:pPr>
    </w:p>
    <w:p>
      <w:pPr>
        <w:spacing w:before="0"/>
        <w:ind w:left="697" w:right="0" w:firstLine="0"/>
        <w:jc w:val="left"/>
        <w:rPr>
          <w:rFonts w:ascii="Times New Roman" w:hAnsi="Times New Roman"/>
          <w:b/>
          <w:sz w:val="18"/>
        </w:rPr>
      </w:pPr>
      <w:r>
        <w:rPr>
          <w:rFonts w:ascii="Times New Roman" w:hAnsi="Times New Roman"/>
          <w:b/>
          <w:color w:val="181818"/>
          <w:w w:val="110"/>
          <w:sz w:val="18"/>
        </w:rPr>
        <w:t>£'000</w:t>
      </w:r>
    </w:p>
    <w:p>
      <w:pPr>
        <w:spacing w:after="0"/>
        <w:jc w:val="left"/>
        <w:rPr>
          <w:rFonts w:ascii="Times New Roman" w:hAnsi="Times New Roman"/>
          <w:sz w:val="18"/>
        </w:rPr>
        <w:sectPr>
          <w:type w:val="continuous"/>
          <w:pgSz w:w="10950" w:h="15880"/>
          <w:pgMar w:top="680" w:bottom="280" w:left="500" w:right="0"/>
          <w:cols w:num="2" w:equalWidth="0">
            <w:col w:w="8207" w:space="40"/>
            <w:col w:w="2203"/>
          </w:cols>
        </w:sectPr>
      </w:pPr>
    </w:p>
    <w:p>
      <w:pPr>
        <w:spacing w:before="15"/>
        <w:ind w:left="1091" w:right="0" w:firstLine="0"/>
        <w:jc w:val="left"/>
        <w:rPr>
          <w:rFonts w:ascii="Times New Roman"/>
          <w:b/>
          <w:sz w:val="18"/>
        </w:rPr>
      </w:pPr>
      <w:r>
        <w:rPr/>
        <w:pict>
          <v:line style="position:absolute;mso-position-horizontal-relative:page;mso-position-vertical-relative:paragraph;z-index:-275126272" from="194.523468pt,47.641647pt" to="194.523468pt,11.558057pt" stroked="true" strokeweight=".962987pt" strokecolor="#000000">
            <v:stroke dashstyle="solid"/>
            <w10:wrap type="none"/>
          </v:line>
        </w:pict>
      </w:r>
      <w:r>
        <w:rPr>
          <w:rFonts w:ascii="Times New Roman"/>
          <w:b/>
          <w:color w:val="3D3D3D"/>
          <w:w w:val="110"/>
          <w:sz w:val="18"/>
        </w:rPr>
        <w:t>C</w:t>
      </w:r>
      <w:r>
        <w:rPr>
          <w:rFonts w:ascii="Times New Roman"/>
          <w:b/>
          <w:color w:val="181818"/>
          <w:w w:val="110"/>
          <w:sz w:val="18"/>
        </w:rPr>
        <w:t>ost</w:t>
      </w:r>
    </w:p>
    <w:p>
      <w:pPr>
        <w:pStyle w:val="BodyText"/>
        <w:tabs>
          <w:tab w:pos="3791" w:val="left" w:leader="none"/>
          <w:tab w:pos="5066" w:val="left" w:leader="none"/>
          <w:tab w:pos="6342" w:val="left" w:leader="none"/>
          <w:tab w:pos="7693" w:val="left" w:leader="none"/>
        </w:tabs>
        <w:spacing w:before="23"/>
        <w:ind w:left="1087"/>
        <w:rPr>
          <w:rFonts w:ascii="Times New Roman"/>
        </w:rPr>
      </w:pPr>
      <w:r>
        <w:rPr>
          <w:rFonts w:ascii="Times New Roman"/>
          <w:color w:val="3D3D3D"/>
          <w:w w:val="110"/>
        </w:rPr>
        <w:t>At 1</w:t>
      </w:r>
      <w:r>
        <w:rPr>
          <w:rFonts w:ascii="Times New Roman"/>
          <w:color w:val="3D3D3D"/>
          <w:spacing w:val="-32"/>
          <w:w w:val="110"/>
        </w:rPr>
        <w:t> </w:t>
      </w:r>
      <w:r>
        <w:rPr>
          <w:rFonts w:ascii="Times New Roman"/>
          <w:color w:val="3D3D3D"/>
          <w:w w:val="110"/>
        </w:rPr>
        <w:t>January</w:t>
      </w:r>
      <w:r>
        <w:rPr>
          <w:rFonts w:ascii="Times New Roman"/>
          <w:color w:val="3D3D3D"/>
          <w:spacing w:val="-19"/>
          <w:w w:val="110"/>
        </w:rPr>
        <w:t> </w:t>
      </w:r>
      <w:r>
        <w:rPr>
          <w:rFonts w:ascii="Times New Roman"/>
          <w:color w:val="3D3D3D"/>
          <w:w w:val="110"/>
        </w:rPr>
        <w:t>2006</w:t>
        <w:tab/>
        <w:t>26,908</w:t>
        <w:tab/>
      </w:r>
      <w:r>
        <w:rPr>
          <w:rFonts w:ascii="Times New Roman"/>
          <w:color w:val="3D3D3D"/>
          <w:w w:val="110"/>
          <w:position w:val="1"/>
        </w:rPr>
        <w:t>5,286</w:t>
        <w:tab/>
        <w:t>2,497</w:t>
        <w:tab/>
      </w:r>
      <w:r>
        <w:rPr>
          <w:rFonts w:ascii="Times New Roman"/>
          <w:color w:val="2D2D2D"/>
          <w:spacing w:val="-4"/>
          <w:w w:val="110"/>
          <w:position w:val="1"/>
        </w:rPr>
        <w:t>1,078</w:t>
      </w:r>
    </w:p>
    <w:p>
      <w:pPr>
        <w:pStyle w:val="BodyText"/>
        <w:tabs>
          <w:tab w:pos="3887" w:val="left" w:leader="none"/>
          <w:tab w:pos="5305" w:val="left" w:leader="none"/>
          <w:tab w:pos="8130" w:val="right" w:leader="none"/>
        </w:tabs>
        <w:spacing w:before="14"/>
        <w:ind w:left="1087"/>
        <w:rPr>
          <w:rFonts w:ascii="Times New Roman"/>
        </w:rPr>
      </w:pPr>
      <w:r>
        <w:rPr>
          <w:rFonts w:ascii="Times New Roman"/>
          <w:color w:val="3D3D3D"/>
          <w:w w:val="105"/>
        </w:rPr>
        <w:t>Additions</w:t>
      </w:r>
      <w:r>
        <w:rPr>
          <w:rFonts w:ascii="Times New Roman"/>
          <w:color w:val="3D3D3D"/>
          <w:spacing w:val="-9"/>
          <w:w w:val="105"/>
        </w:rPr>
        <w:t> </w:t>
      </w:r>
      <w:r>
        <w:rPr>
          <w:rFonts w:ascii="Times New Roman"/>
          <w:color w:val="2D2D2D"/>
          <w:w w:val="105"/>
        </w:rPr>
        <w:t>during</w:t>
      </w:r>
      <w:r>
        <w:rPr>
          <w:rFonts w:ascii="Times New Roman"/>
          <w:color w:val="2D2D2D"/>
          <w:spacing w:val="-11"/>
          <w:w w:val="105"/>
        </w:rPr>
        <w:t> </w:t>
      </w:r>
      <w:r>
        <w:rPr>
          <w:rFonts w:ascii="Times New Roman"/>
          <w:color w:val="3D3D3D"/>
          <w:w w:val="105"/>
        </w:rPr>
        <w:t>year</w:t>
        <w:tab/>
        <w:t>2,897</w:t>
        <w:tab/>
      </w:r>
      <w:r>
        <w:rPr>
          <w:rFonts w:ascii="Times New Roman"/>
          <w:color w:val="181818"/>
          <w:w w:val="105"/>
        </w:rPr>
        <w:t>1</w:t>
      </w:r>
      <w:r>
        <w:rPr>
          <w:rFonts w:ascii="Times New Roman"/>
          <w:color w:val="3D3D3D"/>
          <w:w w:val="105"/>
        </w:rPr>
        <w:t>2</w:t>
        <w:tab/>
        <w:t>131</w:t>
      </w:r>
    </w:p>
    <w:p>
      <w:pPr>
        <w:pStyle w:val="BodyText"/>
        <w:tabs>
          <w:tab w:pos="3748" w:val="left" w:leader="none"/>
          <w:tab w:pos="5077" w:val="left" w:leader="none"/>
          <w:tab w:pos="6454" w:val="left" w:leader="none"/>
          <w:tab w:pos="7803" w:val="left" w:leader="none"/>
        </w:tabs>
        <w:spacing w:before="14"/>
        <w:ind w:left="1095"/>
        <w:rPr>
          <w:rFonts w:ascii="Times New Roman"/>
        </w:rPr>
      </w:pPr>
      <w:r>
        <w:rPr>
          <w:rFonts w:ascii="Times New Roman"/>
          <w:color w:val="3D3D3D"/>
          <w:w w:val="110"/>
        </w:rPr>
        <w:t>Disposals</w:t>
      </w:r>
      <w:r>
        <w:rPr>
          <w:rFonts w:ascii="Times New Roman"/>
          <w:color w:val="3D3D3D"/>
          <w:spacing w:val="-28"/>
          <w:w w:val="110"/>
        </w:rPr>
        <w:t> </w:t>
      </w:r>
      <w:r>
        <w:rPr>
          <w:rFonts w:ascii="Times New Roman"/>
          <w:color w:val="3D3D3D"/>
          <w:w w:val="110"/>
        </w:rPr>
        <w:t>during</w:t>
      </w:r>
      <w:r>
        <w:rPr>
          <w:rFonts w:ascii="Times New Roman"/>
          <w:color w:val="3D3D3D"/>
          <w:spacing w:val="-29"/>
          <w:w w:val="110"/>
        </w:rPr>
        <w:t> </w:t>
      </w:r>
      <w:r>
        <w:rPr>
          <w:rFonts w:ascii="Times New Roman"/>
          <w:color w:val="3D3D3D"/>
          <w:w w:val="110"/>
        </w:rPr>
        <w:t>year</w:t>
        <w:tab/>
      </w:r>
      <w:r>
        <w:rPr>
          <w:rFonts w:ascii="Times New Roman"/>
          <w:color w:val="3D3D3D"/>
          <w:w w:val="110"/>
          <w:position w:val="1"/>
        </w:rPr>
        <w:t>(1,</w:t>
      </w:r>
      <w:r>
        <w:rPr>
          <w:rFonts w:ascii="Times New Roman"/>
          <w:color w:val="181818"/>
          <w:w w:val="110"/>
          <w:position w:val="1"/>
        </w:rPr>
        <w:t>1</w:t>
      </w:r>
      <w:r>
        <w:rPr>
          <w:rFonts w:ascii="Times New Roman"/>
          <w:color w:val="3D3D3D"/>
          <w:w w:val="110"/>
          <w:position w:val="1"/>
        </w:rPr>
        <w:t>62)</w:t>
        <w:tab/>
        <w:t>(370)</w:t>
        <w:tab/>
        <w:t>(33)</w:t>
        <w:tab/>
      </w:r>
      <w:r>
        <w:rPr>
          <w:rFonts w:ascii="Times New Roman"/>
          <w:color w:val="3D3D3D"/>
          <w:spacing w:val="-4"/>
          <w:w w:val="110"/>
          <w:position w:val="1"/>
        </w:rPr>
        <w:t>(93)</w:t>
      </w:r>
    </w:p>
    <w:p>
      <w:pPr>
        <w:pStyle w:val="BodyText"/>
        <w:tabs>
          <w:tab w:pos="3791" w:val="left" w:leader="none"/>
          <w:tab w:pos="5072" w:val="left" w:leader="none"/>
          <w:tab w:pos="6342" w:val="left" w:leader="none"/>
          <w:tab w:pos="7693" w:val="left" w:leader="none"/>
        </w:tabs>
        <w:spacing w:before="34"/>
        <w:ind w:left="1097"/>
        <w:rPr>
          <w:rFonts w:ascii="Times New Roman"/>
        </w:rPr>
      </w:pPr>
      <w:r>
        <w:rPr>
          <w:rFonts w:ascii="Times New Roman"/>
          <w:color w:val="3D3D3D"/>
          <w:w w:val="110"/>
        </w:rPr>
        <w:t>At </w:t>
      </w:r>
      <w:r>
        <w:rPr>
          <w:rFonts w:ascii="Times New Roman"/>
          <w:color w:val="2D2D2D"/>
          <w:w w:val="110"/>
        </w:rPr>
        <w:t>31</w:t>
      </w:r>
      <w:r>
        <w:rPr>
          <w:rFonts w:ascii="Times New Roman"/>
          <w:color w:val="2D2D2D"/>
          <w:spacing w:val="-39"/>
          <w:w w:val="110"/>
        </w:rPr>
        <w:t> </w:t>
      </w:r>
      <w:r>
        <w:rPr>
          <w:rFonts w:ascii="Times New Roman"/>
          <w:color w:val="3D3D3D"/>
          <w:w w:val="110"/>
        </w:rPr>
        <w:t>December</w:t>
      </w:r>
      <w:r>
        <w:rPr>
          <w:rFonts w:ascii="Times New Roman"/>
          <w:color w:val="3D3D3D"/>
          <w:spacing w:val="-20"/>
          <w:w w:val="110"/>
        </w:rPr>
        <w:t> </w:t>
      </w:r>
      <w:r>
        <w:rPr>
          <w:rFonts w:ascii="Times New Roman"/>
          <w:color w:val="3D3D3D"/>
          <w:w w:val="110"/>
        </w:rPr>
        <w:t>2006</w:t>
        <w:tab/>
        <w:t>28,643</w:t>
        <w:tab/>
      </w:r>
      <w:r>
        <w:rPr>
          <w:rFonts w:ascii="Times New Roman"/>
          <w:color w:val="2D2D2D"/>
          <w:w w:val="110"/>
        </w:rPr>
        <w:t>4</w:t>
      </w:r>
      <w:r>
        <w:rPr>
          <w:rFonts w:ascii="Times New Roman"/>
          <w:color w:val="525252"/>
          <w:w w:val="110"/>
        </w:rPr>
        <w:t>,928</w:t>
        <w:tab/>
      </w:r>
      <w:r>
        <w:rPr>
          <w:rFonts w:ascii="Times New Roman"/>
          <w:color w:val="3D3D3D"/>
          <w:w w:val="110"/>
        </w:rPr>
        <w:t>2,464</w:t>
        <w:tab/>
      </w:r>
      <w:r>
        <w:rPr>
          <w:rFonts w:ascii="Times New Roman"/>
          <w:color w:val="3D3D3D"/>
          <w:spacing w:val="-4"/>
          <w:w w:val="110"/>
        </w:rPr>
        <w:t>1,116</w:t>
      </w:r>
    </w:p>
    <w:p>
      <w:pPr>
        <w:spacing w:before="24"/>
        <w:ind w:left="1086" w:right="0" w:firstLine="0"/>
        <w:jc w:val="left"/>
        <w:rPr>
          <w:rFonts w:ascii="Times New Roman"/>
          <w:b/>
          <w:sz w:val="18"/>
        </w:rPr>
      </w:pPr>
      <w:r>
        <w:rPr/>
        <w:pict>
          <v:group style="position:absolute;margin-left:194.041977pt;margin-top:11.045874pt;width:306.25pt;height:37.050pt;mso-position-horizontal-relative:page;mso-position-vertical-relative:paragraph;z-index:-275128320" coordorigin="3881,221" coordsize="6125,741">
            <v:shape style="position:absolute;left:3412;top:-5205;width:6096;height:730" coordorigin="3412,-5204" coordsize="6096,730" path="m9967,952l9967,221m3890,240l10005,240m8648,933l9977,933e" filled="false" stroked="true" strokeweight=".481304pt" strokecolor="#000000">
              <v:path arrowok="t"/>
              <v:stroke dashstyle="solid"/>
            </v:shape>
            <v:line style="position:absolute" from="3890,962" to="3890,269" stroked="true" strokeweight=".962987pt" strokecolor="#000000">
              <v:stroke dashstyle="solid"/>
            </v:line>
            <w10:wrap type="none"/>
          </v:group>
        </w:pict>
      </w:r>
      <w:r>
        <w:rPr>
          <w:rFonts w:ascii="Times New Roman"/>
          <w:b/>
          <w:color w:val="2D2D2D"/>
          <w:w w:val="105"/>
          <w:sz w:val="18"/>
        </w:rPr>
        <w:t>Depreciation</w:t>
      </w:r>
    </w:p>
    <w:p>
      <w:pPr>
        <w:pStyle w:val="BodyText"/>
        <w:tabs>
          <w:tab w:pos="4028" w:val="left" w:leader="none"/>
          <w:tab w:pos="5208" w:val="left" w:leader="none"/>
          <w:tab w:pos="6489" w:val="left" w:leader="none"/>
          <w:tab w:pos="8126" w:val="right" w:leader="none"/>
        </w:tabs>
        <w:spacing w:before="23"/>
        <w:ind w:left="1087"/>
        <w:rPr>
          <w:rFonts w:ascii="Times New Roman"/>
        </w:rPr>
      </w:pPr>
      <w:r>
        <w:rPr>
          <w:rFonts w:ascii="Times New Roman"/>
          <w:color w:val="3D3D3D"/>
          <w:w w:val="110"/>
        </w:rPr>
        <w:t>At </w:t>
      </w:r>
      <w:r>
        <w:rPr>
          <w:rFonts w:ascii="Times New Roman"/>
          <w:color w:val="2D2D2D"/>
          <w:w w:val="110"/>
        </w:rPr>
        <w:t>1</w:t>
      </w:r>
      <w:r>
        <w:rPr>
          <w:rFonts w:ascii="Times New Roman"/>
          <w:color w:val="2D2D2D"/>
          <w:spacing w:val="-25"/>
          <w:w w:val="110"/>
        </w:rPr>
        <w:t> </w:t>
      </w:r>
      <w:r>
        <w:rPr>
          <w:rFonts w:ascii="Times New Roman"/>
          <w:color w:val="3D3D3D"/>
          <w:w w:val="110"/>
        </w:rPr>
        <w:t>January</w:t>
      </w:r>
      <w:r>
        <w:rPr>
          <w:rFonts w:ascii="Times New Roman"/>
          <w:color w:val="3D3D3D"/>
          <w:spacing w:val="-21"/>
          <w:w w:val="110"/>
        </w:rPr>
        <w:t> </w:t>
      </w:r>
      <w:r>
        <w:rPr>
          <w:rFonts w:ascii="Times New Roman"/>
          <w:color w:val="3D3D3D"/>
          <w:w w:val="110"/>
        </w:rPr>
        <w:t>2006</w:t>
        <w:tab/>
        <w:t>993</w:t>
        <w:tab/>
        <w:t>180</w:t>
        <w:tab/>
        <w:t>197</w:t>
        <w:tab/>
      </w:r>
      <w:r>
        <w:rPr>
          <w:rFonts w:ascii="Times New Roman"/>
          <w:color w:val="3D3D3D"/>
          <w:w w:val="110"/>
          <w:position w:val="1"/>
        </w:rPr>
        <w:t>741</w:t>
      </w:r>
    </w:p>
    <w:p>
      <w:pPr>
        <w:pStyle w:val="BodyText"/>
        <w:tabs>
          <w:tab w:pos="6583" w:val="left" w:leader="none"/>
          <w:tab w:pos="8135" w:val="right" w:leader="none"/>
        </w:tabs>
        <w:spacing w:before="14"/>
        <w:ind w:left="1082"/>
        <w:rPr>
          <w:rFonts w:ascii="Times New Roman"/>
        </w:rPr>
      </w:pPr>
      <w:r>
        <w:rPr>
          <w:rFonts w:ascii="Times New Roman"/>
          <w:color w:val="3D3D3D"/>
          <w:w w:val="110"/>
        </w:rPr>
        <w:t>Charged</w:t>
      </w:r>
      <w:r>
        <w:rPr>
          <w:rFonts w:ascii="Times New Roman"/>
          <w:color w:val="3D3D3D"/>
          <w:spacing w:val="-19"/>
          <w:w w:val="110"/>
        </w:rPr>
        <w:t> </w:t>
      </w:r>
      <w:r>
        <w:rPr>
          <w:rFonts w:ascii="Times New Roman"/>
          <w:color w:val="3D3D3D"/>
          <w:w w:val="110"/>
        </w:rPr>
        <w:t>during</w:t>
      </w:r>
      <w:r>
        <w:rPr>
          <w:rFonts w:ascii="Times New Roman"/>
          <w:color w:val="3D3D3D"/>
          <w:spacing w:val="-24"/>
          <w:w w:val="110"/>
        </w:rPr>
        <w:t> </w:t>
      </w:r>
      <w:r>
        <w:rPr>
          <w:rFonts w:ascii="Times New Roman"/>
          <w:color w:val="3D3D3D"/>
          <w:w w:val="110"/>
        </w:rPr>
        <w:t>year</w:t>
        <w:tab/>
      </w:r>
      <w:r>
        <w:rPr>
          <w:rFonts w:ascii="Times New Roman"/>
          <w:color w:val="3D3D3D"/>
          <w:w w:val="110"/>
          <w:position w:val="1"/>
        </w:rPr>
        <w:t>21</w:t>
        <w:tab/>
      </w:r>
      <w:r>
        <w:rPr>
          <w:rFonts w:ascii="Times New Roman"/>
          <w:color w:val="2D2D2D"/>
          <w:w w:val="110"/>
          <w:position w:val="1"/>
        </w:rPr>
        <w:t>115</w:t>
      </w:r>
    </w:p>
    <w:p>
      <w:pPr>
        <w:pStyle w:val="BodyText"/>
        <w:tabs>
          <w:tab w:pos="3989" w:val="left" w:leader="none"/>
          <w:tab w:pos="5174" w:val="left" w:leader="none"/>
          <w:tab w:pos="6541" w:val="left" w:leader="none"/>
          <w:tab w:pos="7803" w:val="left" w:leader="none"/>
        </w:tabs>
        <w:spacing w:before="14"/>
        <w:ind w:left="1096"/>
        <w:rPr>
          <w:rFonts w:ascii="Times New Roman"/>
        </w:rPr>
      </w:pPr>
      <w:r>
        <w:rPr>
          <w:rFonts w:ascii="Times New Roman"/>
          <w:color w:val="3D3D3D"/>
          <w:w w:val="105"/>
        </w:rPr>
        <w:t>Written back</w:t>
      </w:r>
      <w:r>
        <w:rPr>
          <w:rFonts w:ascii="Times New Roman"/>
          <w:color w:val="3D3D3D"/>
          <w:spacing w:val="-16"/>
          <w:w w:val="105"/>
        </w:rPr>
        <w:t> </w:t>
      </w:r>
      <w:r>
        <w:rPr>
          <w:rFonts w:ascii="Times New Roman"/>
          <w:color w:val="3D3D3D"/>
          <w:w w:val="105"/>
        </w:rPr>
        <w:t>on</w:t>
      </w:r>
      <w:r>
        <w:rPr>
          <w:rFonts w:ascii="Times New Roman"/>
          <w:color w:val="3D3D3D"/>
          <w:spacing w:val="-1"/>
          <w:w w:val="105"/>
        </w:rPr>
        <w:t> </w:t>
      </w:r>
      <w:r>
        <w:rPr>
          <w:rFonts w:ascii="Times New Roman"/>
          <w:color w:val="3D3D3D"/>
          <w:w w:val="105"/>
        </w:rPr>
        <w:t>disposal</w:t>
        <w:tab/>
      </w:r>
      <w:r>
        <w:rPr>
          <w:rFonts w:ascii="Times New Roman"/>
          <w:color w:val="3D3D3D"/>
          <w:w w:val="105"/>
          <w:position w:val="1"/>
        </w:rPr>
        <w:t>(56)</w:t>
        <w:tab/>
        <w:t>(20)</w:t>
        <w:tab/>
        <w:t>(2)</w:t>
        <w:tab/>
      </w:r>
      <w:r>
        <w:rPr>
          <w:rFonts w:ascii="Times New Roman"/>
          <w:color w:val="3D3D3D"/>
          <w:spacing w:val="-4"/>
          <w:w w:val="105"/>
          <w:position w:val="1"/>
        </w:rPr>
        <w:t>(75)</w:t>
      </w:r>
    </w:p>
    <w:p>
      <w:pPr>
        <w:pStyle w:val="BodyText"/>
        <w:tabs>
          <w:tab w:pos="4018" w:val="left" w:leader="none"/>
          <w:tab w:pos="5208" w:val="left" w:leader="none"/>
          <w:tab w:pos="6487" w:val="left" w:leader="none"/>
          <w:tab w:pos="8137" w:val="right" w:leader="none"/>
        </w:tabs>
        <w:spacing w:before="34"/>
        <w:ind w:left="1087"/>
        <w:rPr>
          <w:rFonts w:ascii="Times New Roman"/>
        </w:rPr>
      </w:pPr>
      <w:r>
        <w:rPr>
          <w:rFonts w:ascii="Times New Roman"/>
          <w:color w:val="3D3D3D"/>
          <w:w w:val="110"/>
        </w:rPr>
        <w:t>At</w:t>
      </w:r>
      <w:r>
        <w:rPr>
          <w:rFonts w:ascii="Times New Roman"/>
          <w:color w:val="3D3D3D"/>
          <w:spacing w:val="-31"/>
          <w:w w:val="110"/>
        </w:rPr>
        <w:t> </w:t>
      </w:r>
      <w:r>
        <w:rPr>
          <w:rFonts w:ascii="Times New Roman"/>
          <w:color w:val="3D3D3D"/>
          <w:w w:val="110"/>
        </w:rPr>
        <w:t>31</w:t>
      </w:r>
      <w:r>
        <w:rPr>
          <w:rFonts w:ascii="Times New Roman"/>
          <w:color w:val="3D3D3D"/>
          <w:spacing w:val="-22"/>
          <w:w w:val="110"/>
        </w:rPr>
        <w:t> </w:t>
      </w:r>
      <w:r>
        <w:rPr>
          <w:rFonts w:ascii="Times New Roman"/>
          <w:color w:val="3D3D3D"/>
          <w:w w:val="110"/>
        </w:rPr>
        <w:t>December</w:t>
      </w:r>
      <w:r>
        <w:rPr>
          <w:rFonts w:ascii="Times New Roman"/>
          <w:color w:val="3D3D3D"/>
          <w:spacing w:val="-15"/>
          <w:w w:val="110"/>
        </w:rPr>
        <w:t> </w:t>
      </w:r>
      <w:r>
        <w:rPr>
          <w:rFonts w:ascii="Times New Roman"/>
          <w:color w:val="3D3D3D"/>
          <w:w w:val="110"/>
        </w:rPr>
        <w:t>2006</w:t>
        <w:tab/>
        <w:t>937</w:t>
        <w:tab/>
      </w:r>
      <w:r>
        <w:rPr>
          <w:rFonts w:ascii="Times New Roman"/>
          <w:color w:val="181818"/>
          <w:w w:val="110"/>
        </w:rPr>
        <w:t>1</w:t>
      </w:r>
      <w:r>
        <w:rPr>
          <w:rFonts w:ascii="Times New Roman"/>
          <w:color w:val="3D3D3D"/>
          <w:w w:val="110"/>
        </w:rPr>
        <w:t>60</w:t>
        <w:tab/>
        <w:t>216</w:t>
        <w:tab/>
      </w:r>
      <w:r>
        <w:rPr>
          <w:rFonts w:ascii="Times New Roman"/>
          <w:color w:val="2D2D2D"/>
          <w:w w:val="110"/>
        </w:rPr>
        <w:t>781</w:t>
      </w:r>
    </w:p>
    <w:p>
      <w:pPr>
        <w:spacing w:before="255"/>
        <w:ind w:left="1096" w:right="0" w:firstLine="0"/>
        <w:jc w:val="left"/>
        <w:rPr>
          <w:rFonts w:ascii="Times New Roman"/>
          <w:b/>
          <w:sz w:val="18"/>
        </w:rPr>
      </w:pPr>
      <w:r>
        <w:rPr>
          <w:rFonts w:ascii="Times New Roman"/>
          <w:b/>
          <w:color w:val="2D2D2D"/>
          <w:w w:val="105"/>
          <w:sz w:val="18"/>
        </w:rPr>
        <w:t>Net </w:t>
      </w:r>
      <w:r>
        <w:rPr>
          <w:rFonts w:ascii="Times New Roman"/>
          <w:b/>
          <w:color w:val="181818"/>
          <w:w w:val="105"/>
          <w:sz w:val="18"/>
        </w:rPr>
        <w:t>book value</w:t>
      </w:r>
    </w:p>
    <w:p>
      <w:pPr>
        <w:pStyle w:val="BodyText"/>
        <w:tabs>
          <w:tab w:pos="3781" w:val="left" w:leader="none"/>
          <w:tab w:pos="5063" w:val="left" w:leader="none"/>
          <w:tab w:pos="6342" w:val="left" w:leader="none"/>
          <w:tab w:pos="8124" w:val="right" w:leader="none"/>
        </w:tabs>
        <w:spacing w:before="14"/>
        <w:ind w:left="1087"/>
        <w:rPr>
          <w:rFonts w:ascii="Times New Roman"/>
        </w:rPr>
      </w:pPr>
      <w:r>
        <w:rPr>
          <w:rFonts w:ascii="Times New Roman"/>
          <w:color w:val="3D3D3D"/>
          <w:w w:val="110"/>
        </w:rPr>
        <w:t>At 31</w:t>
      </w:r>
      <w:r>
        <w:rPr>
          <w:rFonts w:ascii="Times New Roman"/>
          <w:color w:val="3D3D3D"/>
          <w:spacing w:val="-36"/>
          <w:w w:val="110"/>
        </w:rPr>
        <w:t> </w:t>
      </w:r>
      <w:r>
        <w:rPr>
          <w:rFonts w:ascii="Times New Roman"/>
          <w:color w:val="181818"/>
          <w:w w:val="110"/>
        </w:rPr>
        <w:t>D</w:t>
      </w:r>
      <w:r>
        <w:rPr>
          <w:rFonts w:ascii="Times New Roman"/>
          <w:color w:val="3D3D3D"/>
          <w:w w:val="110"/>
        </w:rPr>
        <w:t>ecember</w:t>
      </w:r>
      <w:r>
        <w:rPr>
          <w:rFonts w:ascii="Times New Roman"/>
          <w:color w:val="3D3D3D"/>
          <w:spacing w:val="-24"/>
          <w:w w:val="110"/>
        </w:rPr>
        <w:t> </w:t>
      </w:r>
      <w:r>
        <w:rPr>
          <w:rFonts w:ascii="Times New Roman"/>
          <w:color w:val="3D3D3D"/>
          <w:w w:val="110"/>
        </w:rPr>
        <w:t>2006</w:t>
        <w:tab/>
        <w:t>27,706</w:t>
        <w:tab/>
        <w:t>4,768</w:t>
        <w:tab/>
        <w:t>2,248</w:t>
        <w:tab/>
        <w:t>335</w:t>
      </w:r>
    </w:p>
    <w:p>
      <w:pPr>
        <w:pStyle w:val="BodyText"/>
        <w:tabs>
          <w:tab w:pos="3791" w:val="left" w:leader="none"/>
          <w:tab w:pos="5066" w:val="left" w:leader="none"/>
          <w:tab w:pos="6342" w:val="left" w:leader="none"/>
          <w:tab w:pos="8121" w:val="right" w:leader="none"/>
        </w:tabs>
        <w:spacing w:before="274"/>
        <w:ind w:left="1087"/>
        <w:rPr>
          <w:rFonts w:ascii="Times New Roman"/>
        </w:rPr>
      </w:pPr>
      <w:r>
        <w:rPr>
          <w:rFonts w:ascii="Times New Roman"/>
          <w:color w:val="3D3D3D"/>
          <w:w w:val="110"/>
        </w:rPr>
        <w:t>At</w:t>
      </w:r>
      <w:r>
        <w:rPr>
          <w:rFonts w:ascii="Times New Roman"/>
          <w:color w:val="3D3D3D"/>
          <w:spacing w:val="-26"/>
          <w:w w:val="110"/>
        </w:rPr>
        <w:t> </w:t>
      </w:r>
      <w:r>
        <w:rPr>
          <w:rFonts w:ascii="Times New Roman"/>
          <w:color w:val="3D3D3D"/>
          <w:w w:val="110"/>
        </w:rPr>
        <w:t>31</w:t>
      </w:r>
      <w:r>
        <w:rPr>
          <w:rFonts w:ascii="Times New Roman"/>
          <w:color w:val="3D3D3D"/>
          <w:spacing w:val="-18"/>
          <w:w w:val="110"/>
        </w:rPr>
        <w:t> </w:t>
      </w:r>
      <w:r>
        <w:rPr>
          <w:rFonts w:ascii="Times New Roman"/>
          <w:color w:val="2D2D2D"/>
          <w:w w:val="110"/>
        </w:rPr>
        <w:t>December</w:t>
      </w:r>
      <w:r>
        <w:rPr>
          <w:rFonts w:ascii="Times New Roman"/>
          <w:color w:val="2D2D2D"/>
          <w:spacing w:val="-12"/>
          <w:w w:val="110"/>
        </w:rPr>
        <w:t> </w:t>
      </w:r>
      <w:r>
        <w:rPr>
          <w:rFonts w:ascii="Times New Roman"/>
          <w:color w:val="2D2D2D"/>
          <w:w w:val="110"/>
        </w:rPr>
        <w:t>2005</w:t>
        <w:tab/>
      </w:r>
      <w:r>
        <w:rPr>
          <w:rFonts w:ascii="Times New Roman"/>
          <w:color w:val="3D3D3D"/>
          <w:w w:val="110"/>
        </w:rPr>
        <w:t>25,915</w:t>
        <w:tab/>
        <w:t>5,106</w:t>
        <w:tab/>
      </w:r>
      <w:r>
        <w:rPr>
          <w:rFonts w:ascii="Times New Roman"/>
          <w:color w:val="3D3D3D"/>
          <w:w w:val="110"/>
          <w:position w:val="1"/>
        </w:rPr>
        <w:t>2,300</w:t>
        <w:tab/>
        <w:t>337</w:t>
      </w:r>
    </w:p>
    <w:p>
      <w:pPr>
        <w:pStyle w:val="BodyText"/>
        <w:spacing w:before="4"/>
        <w:rPr>
          <w:rFonts w:ascii="Times New Roman"/>
          <w:sz w:val="21"/>
        </w:rPr>
      </w:pPr>
      <w:r>
        <w:rPr/>
        <w:br w:type="column"/>
      </w:r>
      <w:r>
        <w:rPr>
          <w:rFonts w:ascii="Times New Roman"/>
          <w:sz w:val="21"/>
        </w:rPr>
      </w:r>
    </w:p>
    <w:p>
      <w:pPr>
        <w:pStyle w:val="BodyText"/>
        <w:ind w:left="601"/>
        <w:rPr>
          <w:rFonts w:ascii="Times New Roman"/>
        </w:rPr>
      </w:pPr>
      <w:r>
        <w:rPr>
          <w:rFonts w:ascii="Times New Roman"/>
          <w:color w:val="3D3D3D"/>
          <w:w w:val="110"/>
        </w:rPr>
        <w:t>35,769</w:t>
      </w:r>
    </w:p>
    <w:p>
      <w:pPr>
        <w:pStyle w:val="BodyText"/>
        <w:spacing w:before="24"/>
        <w:ind w:left="697"/>
        <w:rPr>
          <w:rFonts w:ascii="Times New Roman"/>
        </w:rPr>
      </w:pPr>
      <w:r>
        <w:rPr/>
        <w:pict>
          <v:group style="position:absolute;margin-left:432.381378pt;margin-top:-11.807121pt;width:66.45pt;height:35.85pt;mso-position-horizontal-relative:page;mso-position-vertical-relative:paragraph;z-index:-275129344" coordorigin="8648,-236" coordsize="1329,717">
            <v:shape style="position:absolute;left:8154;top:-3331;width:1325;height:711" coordorigin="8154,-3331" coordsize="1325,711" path="m9967,481l9967,-231m8648,-231l9977,-231e" filled="false" stroked="true" strokeweight=".481304pt" strokecolor="#000000">
              <v:path arrowok="t"/>
              <v:stroke dashstyle="solid"/>
            </v:shape>
            <v:line style="position:absolute" from="8648,461" to="9977,461" stroked="true" strokeweight=".962229pt" strokecolor="#000000">
              <v:stroke dashstyle="solid"/>
            </v:line>
            <w10:wrap type="none"/>
          </v:group>
        </w:pict>
      </w:r>
      <w:r>
        <w:rPr>
          <w:rFonts w:ascii="Times New Roman"/>
          <w:color w:val="3D3D3D"/>
          <w:w w:val="110"/>
        </w:rPr>
        <w:t>3,040</w:t>
      </w:r>
    </w:p>
    <w:p>
      <w:pPr>
        <w:pStyle w:val="BodyText"/>
        <w:spacing w:before="14"/>
        <w:ind w:left="572"/>
        <w:rPr>
          <w:rFonts w:ascii="Times New Roman"/>
        </w:rPr>
      </w:pPr>
      <w:r>
        <w:rPr>
          <w:rFonts w:ascii="Times New Roman"/>
          <w:color w:val="3D3D3D"/>
          <w:w w:val="105"/>
        </w:rPr>
        <w:t>(1,657)</w:t>
      </w:r>
    </w:p>
    <w:p>
      <w:pPr>
        <w:pStyle w:val="BodyText"/>
        <w:spacing w:before="34"/>
        <w:ind w:left="601"/>
        <w:rPr>
          <w:rFonts w:ascii="Times New Roman"/>
        </w:rPr>
      </w:pPr>
      <w:r>
        <w:rPr>
          <w:rFonts w:ascii="Times New Roman"/>
          <w:color w:val="3D3D3D"/>
          <w:w w:val="105"/>
        </w:rPr>
        <w:t>37,151</w:t>
      </w:r>
    </w:p>
    <w:p>
      <w:pPr>
        <w:pStyle w:val="BodyText"/>
        <w:rPr>
          <w:rFonts w:ascii="Times New Roman"/>
          <w:sz w:val="23"/>
        </w:rPr>
      </w:pPr>
    </w:p>
    <w:p>
      <w:pPr>
        <w:pStyle w:val="BodyText"/>
        <w:ind w:right="1135"/>
        <w:jc w:val="right"/>
        <w:rPr>
          <w:rFonts w:ascii="Times New Roman"/>
        </w:rPr>
      </w:pPr>
      <w:r>
        <w:rPr>
          <w:rFonts w:ascii="Times New Roman"/>
          <w:color w:val="3D3D3D"/>
          <w:spacing w:val="-2"/>
          <w:w w:val="105"/>
        </w:rPr>
        <w:t>2,</w:t>
      </w:r>
      <w:r>
        <w:rPr>
          <w:rFonts w:ascii="Times New Roman"/>
          <w:color w:val="181818"/>
          <w:spacing w:val="-2"/>
          <w:w w:val="105"/>
        </w:rPr>
        <w:t>1</w:t>
      </w:r>
      <w:r>
        <w:rPr>
          <w:rFonts w:ascii="Times New Roman"/>
          <w:color w:val="3D3D3D"/>
          <w:spacing w:val="-2"/>
          <w:w w:val="105"/>
        </w:rPr>
        <w:t>11</w:t>
      </w:r>
    </w:p>
    <w:p>
      <w:pPr>
        <w:pStyle w:val="BodyText"/>
        <w:spacing w:before="24"/>
        <w:ind w:right="1120"/>
        <w:jc w:val="right"/>
        <w:rPr>
          <w:rFonts w:ascii="Times New Roman"/>
        </w:rPr>
      </w:pPr>
      <w:r>
        <w:rPr>
          <w:rFonts w:ascii="Times New Roman"/>
          <w:color w:val="2D2D2D"/>
          <w:w w:val="105"/>
        </w:rPr>
        <w:t>136</w:t>
      </w:r>
    </w:p>
    <w:p>
      <w:pPr>
        <w:pStyle w:val="BodyText"/>
        <w:spacing w:before="24"/>
        <w:ind w:right="1121"/>
        <w:jc w:val="right"/>
        <w:rPr>
          <w:rFonts w:ascii="Times New Roman"/>
        </w:rPr>
      </w:pPr>
      <w:r>
        <w:rPr>
          <w:rFonts w:ascii="Times New Roman"/>
          <w:color w:val="3D3D3D"/>
          <w:w w:val="110"/>
        </w:rPr>
        <w:t>(153)</w:t>
      </w:r>
    </w:p>
    <w:p>
      <w:pPr>
        <w:pStyle w:val="BodyText"/>
        <w:spacing w:before="33"/>
        <w:ind w:right="1127"/>
        <w:jc w:val="right"/>
        <w:rPr>
          <w:rFonts w:ascii="Times New Roman"/>
        </w:rPr>
      </w:pPr>
      <w:r>
        <w:rPr>
          <w:rFonts w:ascii="Times New Roman"/>
          <w:color w:val="3D3D3D"/>
          <w:w w:val="105"/>
        </w:rPr>
        <w:t>2,094</w:t>
      </w:r>
    </w:p>
    <w:p>
      <w:pPr>
        <w:pStyle w:val="BodyText"/>
        <w:rPr>
          <w:rFonts w:ascii="Times New Roman"/>
          <w:sz w:val="20"/>
        </w:rPr>
      </w:pPr>
    </w:p>
    <w:p>
      <w:pPr>
        <w:pStyle w:val="BodyText"/>
        <w:spacing w:before="3"/>
        <w:rPr>
          <w:rFonts w:ascii="Times New Roman"/>
          <w:sz w:val="22"/>
        </w:rPr>
      </w:pPr>
    </w:p>
    <w:p>
      <w:pPr>
        <w:pStyle w:val="BodyText"/>
        <w:ind w:right="1125"/>
        <w:jc w:val="right"/>
        <w:rPr>
          <w:rFonts w:ascii="Times New Roman"/>
        </w:rPr>
      </w:pPr>
      <w:r>
        <w:rPr/>
        <w:pict>
          <v:line style="position:absolute;mso-position-horizontal-relative:page;mso-position-vertical-relative:paragraph;z-index:252137472" from="432.381378pt,11.289179pt" to="498.827514pt,11.289179pt" stroked="true" strokeweight=".962229pt" strokecolor="#000000">
            <v:stroke dashstyle="solid"/>
            <w10:wrap type="none"/>
          </v:line>
        </w:pict>
      </w:r>
      <w:r>
        <w:rPr>
          <w:rFonts w:ascii="Times New Roman"/>
          <w:color w:val="3D3D3D"/>
          <w:spacing w:val="-1"/>
          <w:w w:val="105"/>
        </w:rPr>
        <w:t>35,057</w:t>
      </w:r>
    </w:p>
    <w:p>
      <w:pPr>
        <w:pStyle w:val="BodyText"/>
        <w:spacing w:before="10"/>
        <w:rPr>
          <w:rFonts w:ascii="Times New Roman"/>
          <w:sz w:val="23"/>
        </w:rPr>
      </w:pPr>
    </w:p>
    <w:p>
      <w:pPr>
        <w:pStyle w:val="BodyText"/>
        <w:ind w:right="1130"/>
        <w:jc w:val="right"/>
        <w:rPr>
          <w:rFonts w:ascii="Times New Roman"/>
        </w:rPr>
      </w:pPr>
      <w:r>
        <w:rPr>
          <w:rFonts w:ascii="Times New Roman"/>
          <w:color w:val="3D3D3D"/>
          <w:spacing w:val="-1"/>
          <w:w w:val="105"/>
        </w:rPr>
        <w:t>33,658</w:t>
      </w:r>
    </w:p>
    <w:p>
      <w:pPr>
        <w:spacing w:after="0"/>
        <w:jc w:val="right"/>
        <w:rPr>
          <w:rFonts w:ascii="Times New Roman"/>
        </w:rPr>
        <w:sectPr>
          <w:type w:val="continuous"/>
          <w:pgSz w:w="10950" w:h="15880"/>
          <w:pgMar w:top="680" w:bottom="280" w:left="500" w:right="0"/>
          <w:cols w:num="2" w:equalWidth="0">
            <w:col w:w="8145" w:space="40"/>
            <w:col w:w="2265"/>
          </w:cols>
        </w:sectPr>
      </w:pPr>
    </w:p>
    <w:p>
      <w:pPr>
        <w:pStyle w:val="BodyText"/>
        <w:spacing w:line="20" w:lineRule="exact"/>
        <w:ind w:left="3380"/>
        <w:rPr>
          <w:rFonts w:ascii="Times New Roman"/>
          <w:sz w:val="2"/>
        </w:rPr>
      </w:pPr>
      <w:r>
        <w:rPr>
          <w:rFonts w:ascii="Times New Roman"/>
          <w:sz w:val="2"/>
        </w:rPr>
        <w:pict>
          <v:group style="width:304.8pt;height:1pt;mso-position-horizontal-relative:char;mso-position-vertical-relative:line" coordorigin="0,0" coordsize="6096,20">
            <v:line style="position:absolute" from="0,10" to="6096,10" stroked="true" strokeweight=".962229pt" strokecolor="#000000">
              <v:stroke dashstyle="solid"/>
            </v:line>
          </v:group>
        </w:pict>
      </w:r>
      <w:r>
        <w:rPr>
          <w:rFonts w:ascii="Times New Roman"/>
          <w:sz w:val="2"/>
        </w:rPr>
      </w:r>
    </w:p>
    <w:p>
      <w:pPr>
        <w:pStyle w:val="BodyText"/>
        <w:spacing w:before="2"/>
        <w:rPr>
          <w:rFonts w:ascii="Times New Roman"/>
          <w:sz w:val="13"/>
        </w:rPr>
      </w:pPr>
    </w:p>
    <w:p>
      <w:pPr>
        <w:pStyle w:val="BodyText"/>
        <w:spacing w:before="93"/>
        <w:ind w:left="995"/>
        <w:rPr>
          <w:rFonts w:ascii="Times New Roman" w:hAnsi="Times New Roman"/>
        </w:rPr>
      </w:pPr>
      <w:r>
        <w:rPr>
          <w:rFonts w:ascii="Times New Roman" w:hAnsi="Times New Roman"/>
          <w:color w:val="3D3D3D"/>
          <w:w w:val="105"/>
        </w:rPr>
        <w:t>Of the </w:t>
      </w:r>
      <w:r>
        <w:rPr>
          <w:rFonts w:ascii="Times New Roman" w:hAnsi="Times New Roman"/>
          <w:color w:val="2D2D2D"/>
          <w:w w:val="105"/>
        </w:rPr>
        <w:t>land </w:t>
      </w:r>
      <w:r>
        <w:rPr>
          <w:rFonts w:ascii="Times New Roman" w:hAnsi="Times New Roman"/>
          <w:color w:val="3D3D3D"/>
          <w:w w:val="105"/>
        </w:rPr>
        <w:t>and buildings incl</w:t>
      </w:r>
      <w:r>
        <w:rPr>
          <w:rFonts w:ascii="Times New Roman" w:hAnsi="Times New Roman"/>
          <w:color w:val="181818"/>
          <w:w w:val="105"/>
        </w:rPr>
        <w:t>ud</w:t>
      </w:r>
      <w:r>
        <w:rPr>
          <w:rFonts w:ascii="Times New Roman" w:hAnsi="Times New Roman"/>
          <w:color w:val="3D3D3D"/>
          <w:w w:val="105"/>
        </w:rPr>
        <w:t>ed above, £4,096k (2005: £3,824k) are </w:t>
      </w:r>
      <w:r>
        <w:rPr>
          <w:rFonts w:ascii="Times New Roman" w:hAnsi="Times New Roman"/>
          <w:color w:val="2D2D2D"/>
          <w:w w:val="105"/>
        </w:rPr>
        <w:t>leaseho</w:t>
      </w:r>
      <w:r>
        <w:rPr>
          <w:rFonts w:ascii="Times New Roman" w:hAnsi="Times New Roman"/>
          <w:color w:val="525252"/>
          <w:w w:val="105"/>
        </w:rPr>
        <w:t>ld.</w:t>
      </w:r>
    </w:p>
    <w:p>
      <w:pPr>
        <w:pStyle w:val="BodyText"/>
        <w:spacing w:line="268" w:lineRule="auto" w:before="24"/>
        <w:ind w:left="995" w:right="940" w:hanging="5"/>
        <w:rPr>
          <w:rFonts w:ascii="Times New Roman"/>
        </w:rPr>
      </w:pPr>
      <w:r>
        <w:rPr>
          <w:rFonts w:ascii="Times New Roman"/>
          <w:color w:val="2D2D2D"/>
          <w:w w:val="105"/>
        </w:rPr>
        <w:t>Although </w:t>
      </w:r>
      <w:r>
        <w:rPr>
          <w:rFonts w:ascii="Times New Roman"/>
          <w:color w:val="3D3D3D"/>
          <w:w w:val="105"/>
        </w:rPr>
        <w:t>the total </w:t>
      </w:r>
      <w:r>
        <w:rPr>
          <w:rFonts w:ascii="Times New Roman"/>
          <w:color w:val="2D2D2D"/>
          <w:w w:val="105"/>
        </w:rPr>
        <w:t>market </w:t>
      </w:r>
      <w:r>
        <w:rPr>
          <w:rFonts w:ascii="Times New Roman"/>
          <w:color w:val="3D3D3D"/>
          <w:w w:val="105"/>
        </w:rPr>
        <w:t>value </w:t>
      </w:r>
      <w:r>
        <w:rPr>
          <w:rFonts w:ascii="Times New Roman"/>
          <w:color w:val="2D2D2D"/>
          <w:w w:val="105"/>
        </w:rPr>
        <w:t>of </w:t>
      </w:r>
      <w:r>
        <w:rPr>
          <w:rFonts w:ascii="Times New Roman"/>
          <w:color w:val="3D3D3D"/>
          <w:w w:val="105"/>
        </w:rPr>
        <w:t>all properties </w:t>
      </w:r>
      <w:r>
        <w:rPr>
          <w:rFonts w:ascii="Times New Roman"/>
          <w:color w:val="2D2D2D"/>
          <w:w w:val="105"/>
        </w:rPr>
        <w:t>is </w:t>
      </w:r>
      <w:r>
        <w:rPr>
          <w:rFonts w:ascii="Times New Roman"/>
          <w:color w:val="181818"/>
          <w:w w:val="105"/>
        </w:rPr>
        <w:t>n</w:t>
      </w:r>
      <w:r>
        <w:rPr>
          <w:rFonts w:ascii="Times New Roman"/>
          <w:color w:val="3D3D3D"/>
          <w:w w:val="105"/>
        </w:rPr>
        <w:t>ot practicable to </w:t>
      </w:r>
      <w:r>
        <w:rPr>
          <w:rFonts w:ascii="Times New Roman"/>
          <w:color w:val="2D2D2D"/>
          <w:w w:val="105"/>
        </w:rPr>
        <w:t>quantify</w:t>
      </w:r>
      <w:r>
        <w:rPr>
          <w:rFonts w:ascii="Times New Roman"/>
          <w:color w:val="525252"/>
          <w:w w:val="105"/>
        </w:rPr>
        <w:t>, </w:t>
      </w:r>
      <w:r>
        <w:rPr>
          <w:rFonts w:ascii="Times New Roman"/>
          <w:color w:val="3D3D3D"/>
          <w:w w:val="105"/>
        </w:rPr>
        <w:t>it is considerably in excess of the carrying value shown above.</w:t>
      </w:r>
    </w:p>
    <w:p>
      <w:pPr>
        <w:pStyle w:val="BodyText"/>
        <w:spacing w:line="196" w:lineRule="exact"/>
        <w:ind w:left="1000"/>
        <w:rPr>
          <w:rFonts w:ascii="Times New Roman"/>
        </w:rPr>
      </w:pPr>
      <w:r>
        <w:rPr>
          <w:rFonts w:ascii="Times New Roman"/>
          <w:color w:val="2D2D2D"/>
          <w:w w:val="105"/>
        </w:rPr>
        <w:t>At </w:t>
      </w:r>
      <w:r>
        <w:rPr>
          <w:rFonts w:ascii="Times New Roman"/>
          <w:color w:val="3D3D3D"/>
          <w:w w:val="105"/>
        </w:rPr>
        <w:t>31 </w:t>
      </w:r>
      <w:r>
        <w:rPr>
          <w:rFonts w:ascii="Times New Roman"/>
          <w:color w:val="2D2D2D"/>
          <w:w w:val="105"/>
        </w:rPr>
        <w:t>December </w:t>
      </w:r>
      <w:r>
        <w:rPr>
          <w:rFonts w:ascii="Times New Roman"/>
          <w:color w:val="3D3D3D"/>
          <w:w w:val="105"/>
        </w:rPr>
        <w:t>2006 358 (2005: 363) houses were owned for </w:t>
      </w:r>
      <w:r>
        <w:rPr>
          <w:rFonts w:ascii="Times New Roman"/>
          <w:color w:val="2D2D2D"/>
          <w:w w:val="105"/>
        </w:rPr>
        <w:t>h</w:t>
      </w:r>
      <w:r>
        <w:rPr>
          <w:rFonts w:ascii="Times New Roman"/>
          <w:color w:val="525252"/>
          <w:w w:val="105"/>
        </w:rPr>
        <w:t>ousi</w:t>
      </w:r>
      <w:r>
        <w:rPr>
          <w:rFonts w:ascii="Times New Roman"/>
          <w:color w:val="2D2D2D"/>
          <w:w w:val="105"/>
        </w:rPr>
        <w:t>ng retired </w:t>
      </w:r>
      <w:r>
        <w:rPr>
          <w:rFonts w:ascii="Times New Roman"/>
          <w:color w:val="3D3D3D"/>
          <w:w w:val="105"/>
        </w:rPr>
        <w:t>ministers and 18 </w:t>
      </w:r>
      <w:r>
        <w:rPr>
          <w:rFonts w:ascii="Times New Roman"/>
          <w:color w:val="2D2D2D"/>
          <w:w w:val="105"/>
        </w:rPr>
        <w:t>(2005 </w:t>
      </w:r>
      <w:r>
        <w:rPr>
          <w:rFonts w:ascii="Times New Roman"/>
          <w:color w:val="525252"/>
          <w:w w:val="105"/>
        </w:rPr>
        <w:t>: </w:t>
      </w:r>
      <w:r>
        <w:rPr>
          <w:rFonts w:ascii="Times New Roman"/>
          <w:color w:val="3D3D3D"/>
          <w:w w:val="105"/>
        </w:rPr>
        <w:t>20)</w:t>
      </w:r>
    </w:p>
    <w:p>
      <w:pPr>
        <w:pStyle w:val="BodyText"/>
        <w:spacing w:before="24"/>
        <w:ind w:left="1000"/>
        <w:rPr>
          <w:rFonts w:ascii="Times New Roman"/>
        </w:rPr>
      </w:pPr>
      <w:r>
        <w:rPr>
          <w:rFonts w:ascii="Times New Roman"/>
          <w:color w:val="3D3D3D"/>
          <w:w w:val="105"/>
        </w:rPr>
        <w:t>houses for serving ministers.</w:t>
      </w:r>
    </w:p>
    <w:p>
      <w:pPr>
        <w:pStyle w:val="BodyText"/>
        <w:spacing w:line="268" w:lineRule="auto" w:before="14"/>
        <w:ind w:left="1009" w:right="940" w:hanging="14"/>
        <w:rPr>
          <w:rFonts w:ascii="Times New Roman"/>
        </w:rPr>
      </w:pPr>
      <w:r>
        <w:rPr>
          <w:rFonts w:ascii="Times New Roman"/>
          <w:color w:val="3D3D3D"/>
          <w:w w:val="105"/>
        </w:rPr>
        <w:t>Other properties </w:t>
      </w:r>
      <w:r>
        <w:rPr>
          <w:rFonts w:ascii="Times New Roman"/>
          <w:color w:val="2D2D2D"/>
          <w:w w:val="105"/>
        </w:rPr>
        <w:t>include </w:t>
      </w:r>
      <w:r>
        <w:rPr>
          <w:rFonts w:ascii="Times New Roman"/>
          <w:color w:val="3D3D3D"/>
          <w:w w:val="105"/>
        </w:rPr>
        <w:t>premises improvements at United Reformed Church </w:t>
      </w:r>
      <w:r>
        <w:rPr>
          <w:rFonts w:ascii="Times New Roman"/>
          <w:color w:val="2D2D2D"/>
          <w:w w:val="105"/>
        </w:rPr>
        <w:t>House, </w:t>
      </w:r>
      <w:r>
        <w:rPr>
          <w:rFonts w:ascii="Times New Roman"/>
          <w:color w:val="3D3D3D"/>
          <w:w w:val="105"/>
        </w:rPr>
        <w:t>the Yardley </w:t>
      </w:r>
      <w:r>
        <w:rPr>
          <w:rFonts w:ascii="Times New Roman"/>
          <w:color w:val="2D2D2D"/>
          <w:w w:val="105"/>
        </w:rPr>
        <w:t>Hastings </w:t>
      </w:r>
      <w:r>
        <w:rPr>
          <w:rFonts w:ascii="Times New Roman"/>
          <w:color w:val="3D3D3D"/>
          <w:w w:val="105"/>
        </w:rPr>
        <w:t>and Windermere Centres, and building costs capitalised at Westminster Co</w:t>
      </w:r>
      <w:r>
        <w:rPr>
          <w:rFonts w:ascii="Times New Roman"/>
          <w:color w:val="181818"/>
          <w:w w:val="105"/>
        </w:rPr>
        <w:t>ll</w:t>
      </w:r>
      <w:r>
        <w:rPr>
          <w:rFonts w:ascii="Times New Roman"/>
          <w:color w:val="3D3D3D"/>
          <w:w w:val="105"/>
        </w:rPr>
        <w:t>ege since 1983.</w:t>
      </w:r>
    </w:p>
    <w:p>
      <w:pPr>
        <w:spacing w:after="0" w:line="268" w:lineRule="auto"/>
        <w:rPr>
          <w:rFonts w:ascii="Times New Roman"/>
        </w:rPr>
        <w:sectPr>
          <w:type w:val="continuous"/>
          <w:pgSz w:w="10950" w:h="15880"/>
          <w:pgMar w:top="680" w:bottom="280" w:left="500" w:right="0"/>
        </w:sectPr>
      </w:pPr>
    </w:p>
    <w:p>
      <w:pPr>
        <w:pStyle w:val="BodyText"/>
        <w:spacing w:before="2"/>
        <w:rPr>
          <w:rFonts w:ascii="Times New Roman"/>
          <w:sz w:val="11"/>
        </w:rPr>
      </w:pPr>
    </w:p>
    <w:p>
      <w:pPr>
        <w:spacing w:after="0"/>
        <w:rPr>
          <w:rFonts w:ascii="Times New Roman"/>
          <w:sz w:val="11"/>
        </w:rPr>
        <w:sectPr>
          <w:headerReference w:type="even" r:id="rId527"/>
          <w:headerReference w:type="default" r:id="rId528"/>
          <w:footerReference w:type="even" r:id="rId529"/>
          <w:pgSz w:w="10950" w:h="15880"/>
          <w:pgMar w:header="294" w:footer="0" w:top="800" w:bottom="280" w:left="500" w:right="0"/>
          <w:pgNumType w:start="20"/>
        </w:sectPr>
      </w:pPr>
    </w:p>
    <w:p>
      <w:pPr>
        <w:spacing w:before="93"/>
        <w:ind w:left="1009" w:right="0" w:firstLine="0"/>
        <w:jc w:val="left"/>
        <w:rPr>
          <w:rFonts w:ascii="Times New Roman"/>
          <w:b/>
          <w:sz w:val="18"/>
        </w:rPr>
      </w:pPr>
      <w:r>
        <w:rPr>
          <w:rFonts w:ascii="Times New Roman"/>
          <w:b/>
          <w:color w:val="2F2F2F"/>
          <w:spacing w:val="-6"/>
          <w:w w:val="110"/>
          <w:sz w:val="18"/>
        </w:rPr>
        <w:t>N</w:t>
      </w:r>
      <w:r>
        <w:rPr>
          <w:rFonts w:ascii="Times New Roman"/>
          <w:b/>
          <w:color w:val="161616"/>
          <w:spacing w:val="-6"/>
          <w:w w:val="110"/>
          <w:sz w:val="18"/>
        </w:rPr>
        <w:t>O</w:t>
      </w:r>
      <w:r>
        <w:rPr>
          <w:rFonts w:ascii="Times New Roman"/>
          <w:b/>
          <w:color w:val="2F2F2F"/>
          <w:spacing w:val="-6"/>
          <w:w w:val="110"/>
          <w:sz w:val="18"/>
        </w:rPr>
        <w:t>TE </w:t>
      </w:r>
      <w:r>
        <w:rPr>
          <w:rFonts w:ascii="Times New Roman"/>
          <w:b/>
          <w:color w:val="2F2F2F"/>
          <w:spacing w:val="-12"/>
          <w:w w:val="110"/>
          <w:sz w:val="18"/>
        </w:rPr>
        <w:t>1</w:t>
      </w:r>
      <w:r>
        <w:rPr>
          <w:rFonts w:ascii="Times New Roman"/>
          <w:b/>
          <w:color w:val="161616"/>
          <w:spacing w:val="-12"/>
          <w:w w:val="110"/>
          <w:sz w:val="18"/>
        </w:rPr>
        <w:t>2</w:t>
      </w:r>
    </w:p>
    <w:p>
      <w:pPr>
        <w:spacing w:before="102"/>
        <w:ind w:left="372" w:right="0" w:firstLine="0"/>
        <w:jc w:val="left"/>
        <w:rPr>
          <w:rFonts w:ascii="Times New Roman"/>
          <w:b/>
          <w:sz w:val="18"/>
        </w:rPr>
      </w:pPr>
      <w:r>
        <w:rPr/>
        <w:br w:type="column"/>
      </w:r>
      <w:r>
        <w:rPr>
          <w:rFonts w:ascii="Times New Roman"/>
          <w:b/>
          <w:color w:val="161616"/>
          <w:w w:val="110"/>
          <w:sz w:val="18"/>
        </w:rPr>
        <w:t>I</w:t>
      </w:r>
      <w:r>
        <w:rPr>
          <w:rFonts w:ascii="Times New Roman"/>
          <w:b/>
          <w:color w:val="2F2F2F"/>
          <w:w w:val="110"/>
          <w:sz w:val="18"/>
        </w:rPr>
        <w:t>NVESTMENTS</w:t>
      </w:r>
    </w:p>
    <w:p>
      <w:pPr>
        <w:pStyle w:val="BodyText"/>
        <w:rPr>
          <w:rFonts w:ascii="Times New Roman"/>
          <w:b/>
          <w:sz w:val="20"/>
        </w:rPr>
      </w:pPr>
      <w:r>
        <w:rPr/>
        <w:br w:type="column"/>
      </w:r>
      <w:r>
        <w:rPr>
          <w:rFonts w:ascii="Times New Roman"/>
          <w:b/>
          <w:sz w:val="20"/>
        </w:rPr>
      </w:r>
    </w:p>
    <w:p>
      <w:pPr>
        <w:pStyle w:val="BodyText"/>
        <w:spacing w:before="2"/>
        <w:rPr>
          <w:rFonts w:ascii="Times New Roman"/>
          <w:b/>
        </w:rPr>
      </w:pPr>
    </w:p>
    <w:p>
      <w:pPr>
        <w:tabs>
          <w:tab w:pos="2107" w:val="left" w:leader="none"/>
        </w:tabs>
        <w:spacing w:before="1"/>
        <w:ind w:left="1009" w:right="0" w:firstLine="0"/>
        <w:jc w:val="left"/>
        <w:rPr>
          <w:rFonts w:ascii="Times New Roman"/>
          <w:b/>
          <w:sz w:val="19"/>
        </w:rPr>
      </w:pPr>
      <w:r>
        <w:rPr>
          <w:rFonts w:ascii="Times New Roman"/>
          <w:b/>
          <w:color w:val="161616"/>
          <w:spacing w:val="-5"/>
          <w:w w:val="105"/>
          <w:sz w:val="19"/>
        </w:rPr>
        <w:t>200</w:t>
      </w:r>
      <w:r>
        <w:rPr>
          <w:rFonts w:ascii="Times New Roman"/>
          <w:b/>
          <w:color w:val="2F2F2F"/>
          <w:spacing w:val="-5"/>
          <w:w w:val="105"/>
          <w:sz w:val="19"/>
        </w:rPr>
        <w:t>6</w:t>
        <w:tab/>
      </w:r>
      <w:r>
        <w:rPr>
          <w:rFonts w:ascii="Times New Roman"/>
          <w:b/>
          <w:color w:val="2F2F2F"/>
          <w:spacing w:val="-4"/>
          <w:w w:val="105"/>
          <w:sz w:val="19"/>
        </w:rPr>
        <w:t>2</w:t>
      </w:r>
      <w:r>
        <w:rPr>
          <w:rFonts w:ascii="Times New Roman"/>
          <w:b/>
          <w:color w:val="161616"/>
          <w:spacing w:val="-4"/>
          <w:w w:val="105"/>
          <w:sz w:val="19"/>
        </w:rPr>
        <w:t>00</w:t>
      </w:r>
      <w:r>
        <w:rPr>
          <w:rFonts w:ascii="Times New Roman"/>
          <w:b/>
          <w:color w:val="2F2F2F"/>
          <w:spacing w:val="-4"/>
          <w:w w:val="105"/>
          <w:sz w:val="19"/>
        </w:rPr>
        <w:t>5</w:t>
      </w:r>
    </w:p>
    <w:p>
      <w:pPr>
        <w:spacing w:after="0"/>
        <w:jc w:val="left"/>
        <w:rPr>
          <w:rFonts w:ascii="Times New Roman"/>
          <w:sz w:val="19"/>
        </w:rPr>
        <w:sectPr>
          <w:type w:val="continuous"/>
          <w:pgSz w:w="10950" w:h="15880"/>
          <w:pgMar w:top="680" w:bottom="280" w:left="500" w:right="0"/>
          <w:cols w:num="3" w:equalWidth="0">
            <w:col w:w="1781" w:space="40"/>
            <w:col w:w="1857" w:space="3340"/>
            <w:col w:w="3432"/>
          </w:cols>
        </w:sectPr>
      </w:pPr>
    </w:p>
    <w:p>
      <w:pPr>
        <w:tabs>
          <w:tab w:pos="7970" w:val="left" w:leader="none"/>
          <w:tab w:pos="9078" w:val="left" w:leader="none"/>
        </w:tabs>
        <w:spacing w:before="2" w:after="20"/>
        <w:ind w:left="1104" w:right="0" w:firstLine="0"/>
        <w:jc w:val="left"/>
        <w:rPr>
          <w:rFonts w:ascii="Times New Roman" w:hAnsi="Times New Roman"/>
          <w:b/>
          <w:sz w:val="19"/>
        </w:rPr>
      </w:pPr>
      <w:r>
        <w:rPr>
          <w:rFonts w:ascii="Times New Roman" w:hAnsi="Times New Roman"/>
          <w:b/>
          <w:color w:val="161616"/>
          <w:spacing w:val="-8"/>
          <w:w w:val="110"/>
          <w:sz w:val="18"/>
        </w:rPr>
        <w:t>L</w:t>
      </w:r>
      <w:r>
        <w:rPr>
          <w:rFonts w:ascii="Times New Roman" w:hAnsi="Times New Roman"/>
          <w:b/>
          <w:color w:val="2F2F2F"/>
          <w:spacing w:val="-8"/>
          <w:w w:val="110"/>
          <w:sz w:val="18"/>
        </w:rPr>
        <w:t>o</w:t>
      </w:r>
      <w:r>
        <w:rPr>
          <w:rFonts w:ascii="Times New Roman" w:hAnsi="Times New Roman"/>
          <w:b/>
          <w:color w:val="161616"/>
          <w:spacing w:val="-8"/>
          <w:w w:val="110"/>
          <w:sz w:val="18"/>
        </w:rPr>
        <w:t>n</w:t>
      </w:r>
      <w:r>
        <w:rPr>
          <w:rFonts w:ascii="Times New Roman" w:hAnsi="Times New Roman"/>
          <w:b/>
          <w:color w:val="2F2F2F"/>
          <w:spacing w:val="-8"/>
          <w:w w:val="110"/>
          <w:sz w:val="18"/>
        </w:rPr>
        <w:t>g</w:t>
      </w:r>
      <w:r>
        <w:rPr>
          <w:rFonts w:ascii="Times New Roman" w:hAnsi="Times New Roman"/>
          <w:b/>
          <w:color w:val="2F2F2F"/>
          <w:spacing w:val="-2"/>
          <w:w w:val="110"/>
          <w:sz w:val="18"/>
        </w:rPr>
        <w:t> </w:t>
      </w:r>
      <w:r>
        <w:rPr>
          <w:rFonts w:ascii="Times New Roman" w:hAnsi="Times New Roman"/>
          <w:b/>
          <w:color w:val="161616"/>
          <w:w w:val="110"/>
          <w:sz w:val="18"/>
        </w:rPr>
        <w:t>t</w:t>
      </w:r>
      <w:r>
        <w:rPr>
          <w:rFonts w:ascii="Times New Roman" w:hAnsi="Times New Roman"/>
          <w:b/>
          <w:color w:val="2F2F2F"/>
          <w:w w:val="110"/>
          <w:sz w:val="18"/>
        </w:rPr>
        <w:t>e</w:t>
      </w:r>
      <w:r>
        <w:rPr>
          <w:rFonts w:ascii="Times New Roman" w:hAnsi="Times New Roman"/>
          <w:b/>
          <w:color w:val="161616"/>
          <w:w w:val="110"/>
          <w:sz w:val="18"/>
        </w:rPr>
        <w:t>rm</w:t>
      </w:r>
      <w:r>
        <w:rPr>
          <w:rFonts w:ascii="Times New Roman" w:hAnsi="Times New Roman"/>
          <w:b/>
          <w:color w:val="161616"/>
          <w:spacing w:val="-22"/>
          <w:w w:val="110"/>
          <w:sz w:val="18"/>
        </w:rPr>
        <w:t> </w:t>
      </w:r>
      <w:r>
        <w:rPr>
          <w:rFonts w:ascii="Times New Roman" w:hAnsi="Times New Roman"/>
          <w:b/>
          <w:color w:val="2F2F2F"/>
          <w:spacing w:val="-5"/>
          <w:w w:val="110"/>
          <w:sz w:val="18"/>
        </w:rPr>
        <w:t>i</w:t>
      </w:r>
      <w:r>
        <w:rPr>
          <w:rFonts w:ascii="Times New Roman" w:hAnsi="Times New Roman"/>
          <w:b/>
          <w:color w:val="161616"/>
          <w:spacing w:val="-5"/>
          <w:w w:val="110"/>
          <w:sz w:val="18"/>
        </w:rPr>
        <w:t>n</w:t>
      </w:r>
      <w:r>
        <w:rPr>
          <w:rFonts w:ascii="Times New Roman" w:hAnsi="Times New Roman"/>
          <w:b/>
          <w:color w:val="2F2F2F"/>
          <w:spacing w:val="-5"/>
          <w:w w:val="110"/>
          <w:sz w:val="18"/>
        </w:rPr>
        <w:t>ves</w:t>
      </w:r>
      <w:r>
        <w:rPr>
          <w:rFonts w:ascii="Times New Roman" w:hAnsi="Times New Roman"/>
          <w:b/>
          <w:color w:val="161616"/>
          <w:spacing w:val="-5"/>
          <w:w w:val="110"/>
          <w:sz w:val="18"/>
        </w:rPr>
        <w:t>t</w:t>
      </w:r>
      <w:r>
        <w:rPr>
          <w:rFonts w:ascii="Times New Roman" w:hAnsi="Times New Roman"/>
          <w:b/>
          <w:color w:val="2F2F2F"/>
          <w:spacing w:val="-5"/>
          <w:w w:val="110"/>
          <w:sz w:val="18"/>
        </w:rPr>
        <w:t>me</w:t>
      </w:r>
      <w:r>
        <w:rPr>
          <w:rFonts w:ascii="Times New Roman" w:hAnsi="Times New Roman"/>
          <w:b/>
          <w:color w:val="161616"/>
          <w:spacing w:val="-5"/>
          <w:w w:val="110"/>
          <w:sz w:val="18"/>
        </w:rPr>
        <w:t>nt</w:t>
      </w:r>
      <w:r>
        <w:rPr>
          <w:rFonts w:ascii="Times New Roman" w:hAnsi="Times New Roman"/>
          <w:b/>
          <w:color w:val="2F2F2F"/>
          <w:spacing w:val="-5"/>
          <w:w w:val="110"/>
          <w:sz w:val="18"/>
        </w:rPr>
        <w:t>s</w:t>
        <w:tab/>
      </w:r>
      <w:r>
        <w:rPr>
          <w:rFonts w:ascii="Times New Roman" w:hAnsi="Times New Roman"/>
          <w:b/>
          <w:color w:val="161616"/>
          <w:w w:val="110"/>
          <w:sz w:val="19"/>
        </w:rPr>
        <w:t>£</w:t>
      </w:r>
      <w:r>
        <w:rPr>
          <w:rFonts w:ascii="Times New Roman" w:hAnsi="Times New Roman"/>
          <w:b/>
          <w:color w:val="2F2F2F"/>
          <w:w w:val="110"/>
          <w:sz w:val="19"/>
        </w:rPr>
        <w:t>'</w:t>
      </w:r>
      <w:r>
        <w:rPr>
          <w:rFonts w:ascii="Times New Roman" w:hAnsi="Times New Roman"/>
          <w:b/>
          <w:color w:val="161616"/>
          <w:w w:val="110"/>
          <w:sz w:val="19"/>
        </w:rPr>
        <w:t>000</w:t>
        <w:tab/>
      </w:r>
      <w:r>
        <w:rPr>
          <w:rFonts w:ascii="Times New Roman" w:hAnsi="Times New Roman"/>
          <w:b/>
          <w:color w:val="161616"/>
          <w:spacing w:val="-4"/>
          <w:w w:val="110"/>
          <w:sz w:val="19"/>
        </w:rPr>
        <w:t>£</w:t>
      </w:r>
      <w:r>
        <w:rPr>
          <w:rFonts w:ascii="Times New Roman" w:hAnsi="Times New Roman"/>
          <w:b/>
          <w:color w:val="2F2F2F"/>
          <w:spacing w:val="-4"/>
          <w:w w:val="110"/>
          <w:sz w:val="19"/>
        </w:rPr>
        <w:t>'</w:t>
      </w:r>
      <w:r>
        <w:rPr>
          <w:rFonts w:ascii="Times New Roman" w:hAnsi="Times New Roman"/>
          <w:b/>
          <w:color w:val="161616"/>
          <w:spacing w:val="-4"/>
          <w:w w:val="110"/>
          <w:sz w:val="19"/>
        </w:rPr>
        <w:t>000</w:t>
      </w:r>
    </w:p>
    <w:tbl>
      <w:tblPr>
        <w:tblW w:w="0" w:type="auto"/>
        <w:jc w:val="left"/>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39"/>
        <w:gridCol w:w="2442"/>
        <w:gridCol w:w="907"/>
      </w:tblGrid>
      <w:tr>
        <w:trPr>
          <w:trHeight w:val="210" w:hRule="atLeast"/>
        </w:trPr>
        <w:tc>
          <w:tcPr>
            <w:tcW w:w="4339" w:type="dxa"/>
          </w:tcPr>
          <w:p>
            <w:pPr>
              <w:pStyle w:val="TableParagraph"/>
              <w:spacing w:line="191" w:lineRule="exact"/>
              <w:ind w:left="56"/>
              <w:rPr>
                <w:sz w:val="18"/>
              </w:rPr>
            </w:pPr>
            <w:r>
              <w:rPr>
                <w:color w:val="424242"/>
                <w:w w:val="105"/>
                <w:sz w:val="18"/>
              </w:rPr>
              <w:t>Carrying value at beginning of year</w:t>
            </w:r>
          </w:p>
        </w:tc>
        <w:tc>
          <w:tcPr>
            <w:tcW w:w="2442" w:type="dxa"/>
          </w:tcPr>
          <w:p>
            <w:pPr>
              <w:pStyle w:val="TableParagraph"/>
              <w:spacing w:line="191" w:lineRule="exact"/>
              <w:ind w:right="319"/>
              <w:jc w:val="right"/>
              <w:rPr>
                <w:sz w:val="18"/>
              </w:rPr>
            </w:pPr>
            <w:r>
              <w:rPr>
                <w:color w:val="2F2F2F"/>
                <w:w w:val="105"/>
                <w:sz w:val="18"/>
              </w:rPr>
              <w:t>19</w:t>
            </w:r>
            <w:r>
              <w:rPr>
                <w:color w:val="565656"/>
                <w:w w:val="105"/>
                <w:sz w:val="18"/>
              </w:rPr>
              <w:t>,93</w:t>
            </w:r>
            <w:r>
              <w:rPr>
                <w:color w:val="2F2F2F"/>
                <w:w w:val="105"/>
                <w:sz w:val="18"/>
              </w:rPr>
              <w:t>0</w:t>
            </w:r>
          </w:p>
        </w:tc>
        <w:tc>
          <w:tcPr>
            <w:tcW w:w="907" w:type="dxa"/>
          </w:tcPr>
          <w:p>
            <w:pPr>
              <w:pStyle w:val="TableParagraph"/>
              <w:spacing w:line="191" w:lineRule="exact"/>
              <w:ind w:left="252"/>
              <w:rPr>
                <w:sz w:val="18"/>
              </w:rPr>
            </w:pPr>
            <w:r>
              <w:rPr>
                <w:color w:val="424242"/>
                <w:w w:val="110"/>
                <w:sz w:val="18"/>
              </w:rPr>
              <w:t>16,886</w:t>
            </w:r>
          </w:p>
        </w:tc>
      </w:tr>
      <w:tr>
        <w:trPr>
          <w:trHeight w:val="226" w:hRule="atLeast"/>
        </w:trPr>
        <w:tc>
          <w:tcPr>
            <w:tcW w:w="4339" w:type="dxa"/>
          </w:tcPr>
          <w:p>
            <w:pPr>
              <w:pStyle w:val="TableParagraph"/>
              <w:spacing w:line="203" w:lineRule="exact" w:before="3"/>
              <w:ind w:left="61"/>
              <w:rPr>
                <w:sz w:val="18"/>
              </w:rPr>
            </w:pPr>
            <w:r>
              <w:rPr>
                <w:color w:val="424242"/>
                <w:w w:val="105"/>
                <w:sz w:val="18"/>
              </w:rPr>
              <w:t>Additions to investments </w:t>
            </w:r>
            <w:r>
              <w:rPr>
                <w:color w:val="2F2F2F"/>
                <w:w w:val="105"/>
                <w:sz w:val="18"/>
              </w:rPr>
              <w:t>at cost</w:t>
            </w:r>
          </w:p>
        </w:tc>
        <w:tc>
          <w:tcPr>
            <w:tcW w:w="2442" w:type="dxa"/>
          </w:tcPr>
          <w:p>
            <w:pPr>
              <w:pStyle w:val="TableParagraph"/>
              <w:spacing w:line="203" w:lineRule="exact" w:before="3"/>
              <w:ind w:right="306"/>
              <w:jc w:val="right"/>
              <w:rPr>
                <w:sz w:val="18"/>
              </w:rPr>
            </w:pPr>
            <w:r>
              <w:rPr>
                <w:color w:val="424242"/>
                <w:w w:val="110"/>
                <w:sz w:val="18"/>
              </w:rPr>
              <w:t>6,425</w:t>
            </w:r>
          </w:p>
        </w:tc>
        <w:tc>
          <w:tcPr>
            <w:tcW w:w="907" w:type="dxa"/>
          </w:tcPr>
          <w:p>
            <w:pPr>
              <w:pStyle w:val="TableParagraph"/>
              <w:spacing w:line="203" w:lineRule="exact" w:before="3"/>
              <w:ind w:left="399"/>
              <w:rPr>
                <w:sz w:val="18"/>
              </w:rPr>
            </w:pPr>
            <w:r>
              <w:rPr>
                <w:color w:val="424242"/>
                <w:w w:val="110"/>
                <w:sz w:val="18"/>
              </w:rPr>
              <w:t>5086</w:t>
            </w:r>
          </w:p>
        </w:tc>
      </w:tr>
      <w:tr>
        <w:trPr>
          <w:trHeight w:val="215" w:hRule="atLeast"/>
        </w:trPr>
        <w:tc>
          <w:tcPr>
            <w:tcW w:w="4339" w:type="dxa"/>
          </w:tcPr>
          <w:p>
            <w:pPr>
              <w:pStyle w:val="TableParagraph"/>
              <w:spacing w:line="187" w:lineRule="exact" w:before="8"/>
              <w:ind w:left="50"/>
              <w:rPr>
                <w:sz w:val="18"/>
              </w:rPr>
            </w:pPr>
            <w:r>
              <w:rPr>
                <w:color w:val="2F2F2F"/>
                <w:w w:val="110"/>
                <w:sz w:val="18"/>
              </w:rPr>
              <w:t>Disposals at </w:t>
            </w:r>
            <w:r>
              <w:rPr>
                <w:color w:val="424242"/>
                <w:w w:val="110"/>
                <w:sz w:val="18"/>
              </w:rPr>
              <w:t>carrying value</w:t>
            </w:r>
          </w:p>
        </w:tc>
        <w:tc>
          <w:tcPr>
            <w:tcW w:w="2442" w:type="dxa"/>
          </w:tcPr>
          <w:p>
            <w:pPr>
              <w:pStyle w:val="TableParagraph"/>
              <w:spacing w:line="187" w:lineRule="exact" w:before="8"/>
              <w:ind w:right="247"/>
              <w:jc w:val="right"/>
              <w:rPr>
                <w:sz w:val="18"/>
              </w:rPr>
            </w:pPr>
            <w:r>
              <w:rPr>
                <w:color w:val="2F2F2F"/>
                <w:w w:val="105"/>
                <w:sz w:val="18"/>
              </w:rPr>
              <w:t>(7,090)</w:t>
            </w:r>
          </w:p>
        </w:tc>
        <w:tc>
          <w:tcPr>
            <w:tcW w:w="907" w:type="dxa"/>
          </w:tcPr>
          <w:p>
            <w:pPr>
              <w:pStyle w:val="TableParagraph"/>
              <w:spacing w:line="187" w:lineRule="exact" w:before="8"/>
              <w:ind w:left="284"/>
              <w:rPr>
                <w:sz w:val="18"/>
              </w:rPr>
            </w:pPr>
            <w:r>
              <w:rPr>
                <w:color w:val="424242"/>
                <w:w w:val="110"/>
                <w:sz w:val="18"/>
              </w:rPr>
              <w:t>(4,630)</w:t>
            </w:r>
          </w:p>
        </w:tc>
      </w:tr>
    </w:tbl>
    <w:p>
      <w:pPr>
        <w:spacing w:after="0" w:line="187" w:lineRule="exact"/>
        <w:rPr>
          <w:sz w:val="18"/>
        </w:rPr>
        <w:sectPr>
          <w:type w:val="continuous"/>
          <w:pgSz w:w="10950" w:h="15880"/>
          <w:pgMar w:top="680" w:bottom="280" w:left="500" w:right="0"/>
        </w:sectPr>
      </w:pPr>
    </w:p>
    <w:p>
      <w:pPr>
        <w:pStyle w:val="BodyText"/>
        <w:spacing w:line="268" w:lineRule="auto" w:before="24"/>
        <w:ind w:left="1948" w:right="232" w:hanging="11"/>
        <w:rPr>
          <w:rFonts w:ascii="Times New Roman"/>
        </w:rPr>
      </w:pPr>
      <w:r>
        <w:rPr>
          <w:rFonts w:ascii="Times New Roman"/>
          <w:color w:val="565656"/>
          <w:w w:val="105"/>
        </w:rPr>
        <w:t>Net </w:t>
      </w:r>
      <w:r>
        <w:rPr>
          <w:rFonts w:ascii="Times New Roman"/>
          <w:color w:val="424242"/>
          <w:w w:val="105"/>
        </w:rPr>
        <w:t>gains/(losses) on revaluation </w:t>
      </w:r>
      <w:r>
        <w:rPr>
          <w:rFonts w:ascii="Times New Roman"/>
          <w:color w:val="424242"/>
          <w:w w:val="110"/>
        </w:rPr>
        <w:t>Carrying value at end </w:t>
      </w:r>
      <w:r>
        <w:rPr>
          <w:rFonts w:ascii="Times New Roman"/>
          <w:color w:val="2F2F2F"/>
          <w:w w:val="110"/>
        </w:rPr>
        <w:t>of </w:t>
      </w:r>
      <w:r>
        <w:rPr>
          <w:rFonts w:ascii="Times New Roman"/>
          <w:color w:val="424242"/>
          <w:w w:val="110"/>
        </w:rPr>
        <w:t>year</w:t>
      </w:r>
    </w:p>
    <w:p>
      <w:pPr>
        <w:pStyle w:val="BodyText"/>
        <w:rPr>
          <w:rFonts w:ascii="Times New Roman"/>
          <w:sz w:val="20"/>
        </w:rPr>
      </w:pPr>
    </w:p>
    <w:p>
      <w:pPr>
        <w:pStyle w:val="BodyText"/>
        <w:rPr>
          <w:rFonts w:ascii="Times New Roman"/>
          <w:sz w:val="20"/>
        </w:rPr>
      </w:pPr>
    </w:p>
    <w:p>
      <w:pPr>
        <w:pStyle w:val="BodyText"/>
        <w:spacing w:before="10"/>
        <w:rPr>
          <w:rFonts w:ascii="Times New Roman"/>
          <w:sz w:val="20"/>
        </w:rPr>
      </w:pPr>
    </w:p>
    <w:p>
      <w:pPr>
        <w:pStyle w:val="BodyText"/>
        <w:ind w:left="1084"/>
        <w:rPr>
          <w:rFonts w:ascii="Times New Roman"/>
        </w:rPr>
      </w:pPr>
      <w:r>
        <w:rPr>
          <w:rFonts w:ascii="Times New Roman"/>
          <w:color w:val="424242"/>
          <w:w w:val="105"/>
        </w:rPr>
        <w:t>Investments held for the </w:t>
      </w:r>
      <w:r>
        <w:rPr>
          <w:rFonts w:ascii="Times New Roman"/>
          <w:color w:val="2F2F2F"/>
          <w:w w:val="105"/>
        </w:rPr>
        <w:t>longer </w:t>
      </w:r>
      <w:r>
        <w:rPr>
          <w:rFonts w:ascii="Times New Roman"/>
          <w:color w:val="424242"/>
          <w:w w:val="105"/>
        </w:rPr>
        <w:t>term comprise:</w:t>
      </w:r>
    </w:p>
    <w:p>
      <w:pPr>
        <w:pStyle w:val="BodyText"/>
        <w:tabs>
          <w:tab w:pos="2284" w:val="left" w:leader="none"/>
        </w:tabs>
        <w:spacing w:before="14"/>
        <w:ind w:left="1084"/>
        <w:rPr>
          <w:rFonts w:ascii="Times New Roman"/>
        </w:rPr>
      </w:pPr>
      <w:r>
        <w:rPr/>
        <w:br w:type="column"/>
      </w:r>
      <w:r>
        <w:rPr>
          <w:rFonts w:ascii="Times New Roman"/>
          <w:color w:val="424242"/>
          <w:w w:val="100"/>
          <w:u w:val="single" w:color="000000"/>
        </w:rPr>
        <w:t> </w:t>
      </w:r>
      <w:r>
        <w:rPr>
          <w:rFonts w:ascii="Times New Roman"/>
          <w:color w:val="424242"/>
          <w:u w:val="single" w:color="000000"/>
        </w:rPr>
        <w:t> </w:t>
      </w:r>
      <w:r>
        <w:rPr>
          <w:rFonts w:ascii="Times New Roman"/>
          <w:color w:val="424242"/>
          <w:spacing w:val="7"/>
          <w:u w:val="single" w:color="000000"/>
        </w:rPr>
        <w:t> </w:t>
      </w:r>
      <w:r>
        <w:rPr>
          <w:rFonts w:ascii="Times New Roman"/>
          <w:color w:val="424242"/>
          <w:w w:val="110"/>
          <w:u w:val="single" w:color="000000"/>
        </w:rPr>
        <w:t>2,730</w:t>
        <w:tab/>
        <w:t>2,588</w:t>
      </w:r>
      <w:r>
        <w:rPr>
          <w:rFonts w:ascii="Times New Roman"/>
          <w:color w:val="424242"/>
          <w:spacing w:val="15"/>
          <w:u w:val="single" w:color="000000"/>
        </w:rPr>
        <w:t> </w:t>
      </w:r>
    </w:p>
    <w:p>
      <w:pPr>
        <w:pStyle w:val="BodyText"/>
        <w:tabs>
          <w:tab w:pos="2190" w:val="left" w:leader="none"/>
        </w:tabs>
        <w:spacing w:before="34"/>
        <w:ind w:left="1090"/>
        <w:rPr>
          <w:rFonts w:ascii="Times New Roman"/>
        </w:rPr>
      </w:pPr>
      <w:r>
        <w:rPr>
          <w:rFonts w:ascii="Times New Roman"/>
          <w:color w:val="424242"/>
          <w:w w:val="110"/>
        </w:rPr>
        <w:t>21,995</w:t>
        <w:tab/>
        <w:t>19,930</w:t>
      </w:r>
    </w:p>
    <w:p>
      <w:pPr>
        <w:pStyle w:val="BodyText"/>
        <w:spacing w:line="30" w:lineRule="exact"/>
        <w:ind w:left="1074"/>
        <w:rPr>
          <w:rFonts w:ascii="Times New Roman"/>
          <w:sz w:val="3"/>
        </w:rPr>
      </w:pPr>
      <w:r>
        <w:rPr>
          <w:rFonts w:ascii="Times New Roman"/>
          <w:position w:val="0"/>
          <w:sz w:val="3"/>
        </w:rPr>
        <w:pict>
          <v:group style="width:84.75pt;height:1.45pt;mso-position-horizontal-relative:char;mso-position-vertical-relative:line" coordorigin="0,0" coordsize="1695,29">
            <v:line style="position:absolute" from="0,14" to="857,14" stroked="true" strokeweight=".962229pt" strokecolor="#000000">
              <v:stroke dashstyle="solid"/>
            </v:line>
            <v:line style="position:absolute" from="857,14" to="1695,14" stroked="true" strokeweight="1.443344pt" strokecolor="#000000">
              <v:stroke dashstyle="solid"/>
            </v:line>
          </v:group>
        </w:pict>
      </w:r>
      <w:r>
        <w:rPr>
          <w:rFonts w:ascii="Times New Roman"/>
          <w:position w:val="0"/>
          <w:sz w:val="3"/>
        </w:rPr>
      </w:r>
    </w:p>
    <w:p>
      <w:pPr>
        <w:pStyle w:val="BodyText"/>
        <w:spacing w:before="2"/>
        <w:rPr>
          <w:rFonts w:ascii="Times New Roman"/>
          <w:sz w:val="21"/>
        </w:rPr>
      </w:pPr>
    </w:p>
    <w:p>
      <w:pPr>
        <w:tabs>
          <w:tab w:pos="2399" w:val="left" w:leader="none"/>
        </w:tabs>
        <w:spacing w:before="0"/>
        <w:ind w:left="1301" w:right="0" w:firstLine="0"/>
        <w:jc w:val="left"/>
        <w:rPr>
          <w:rFonts w:ascii="Times New Roman"/>
          <w:b/>
          <w:sz w:val="19"/>
        </w:rPr>
      </w:pPr>
      <w:r>
        <w:rPr>
          <w:rFonts w:ascii="Times New Roman"/>
          <w:b/>
          <w:color w:val="2F2F2F"/>
          <w:spacing w:val="-9"/>
          <w:w w:val="110"/>
          <w:sz w:val="19"/>
        </w:rPr>
        <w:t>2</w:t>
      </w:r>
      <w:r>
        <w:rPr>
          <w:rFonts w:ascii="Times New Roman"/>
          <w:b/>
          <w:color w:val="161616"/>
          <w:spacing w:val="-9"/>
          <w:w w:val="110"/>
          <w:sz w:val="19"/>
        </w:rPr>
        <w:t>00</w:t>
      </w:r>
      <w:r>
        <w:rPr>
          <w:rFonts w:ascii="Times New Roman"/>
          <w:b/>
          <w:color w:val="2F2F2F"/>
          <w:spacing w:val="-9"/>
          <w:w w:val="110"/>
          <w:sz w:val="19"/>
        </w:rPr>
        <w:t>6</w:t>
        <w:tab/>
      </w:r>
      <w:r>
        <w:rPr>
          <w:rFonts w:ascii="Times New Roman"/>
          <w:b/>
          <w:color w:val="2F2F2F"/>
          <w:spacing w:val="-7"/>
          <w:w w:val="110"/>
          <w:sz w:val="19"/>
        </w:rPr>
        <w:t>2</w:t>
      </w:r>
      <w:r>
        <w:rPr>
          <w:rFonts w:ascii="Times New Roman"/>
          <w:b/>
          <w:color w:val="161616"/>
          <w:spacing w:val="-7"/>
          <w:w w:val="110"/>
          <w:sz w:val="19"/>
        </w:rPr>
        <w:t>00</w:t>
      </w:r>
      <w:r>
        <w:rPr>
          <w:rFonts w:ascii="Times New Roman"/>
          <w:b/>
          <w:color w:val="2F2F2F"/>
          <w:spacing w:val="-7"/>
          <w:w w:val="110"/>
          <w:sz w:val="19"/>
        </w:rPr>
        <w:t>5</w:t>
      </w:r>
    </w:p>
    <w:p>
      <w:pPr>
        <w:tabs>
          <w:tab w:pos="2342" w:val="left" w:leader="none"/>
        </w:tabs>
        <w:spacing w:before="3"/>
        <w:ind w:left="1244" w:right="0" w:firstLine="0"/>
        <w:jc w:val="left"/>
        <w:rPr>
          <w:rFonts w:ascii="Times New Roman" w:hAnsi="Times New Roman"/>
          <w:b/>
          <w:sz w:val="19"/>
        </w:rPr>
      </w:pPr>
      <w:r>
        <w:rPr>
          <w:rFonts w:ascii="Times New Roman" w:hAnsi="Times New Roman"/>
          <w:b/>
          <w:color w:val="2F2F2F"/>
          <w:spacing w:val="-5"/>
          <w:w w:val="110"/>
          <w:sz w:val="19"/>
        </w:rPr>
        <w:t>£'</w:t>
      </w:r>
      <w:r>
        <w:rPr>
          <w:rFonts w:ascii="Times New Roman" w:hAnsi="Times New Roman"/>
          <w:b/>
          <w:color w:val="161616"/>
          <w:spacing w:val="-5"/>
          <w:w w:val="110"/>
          <w:sz w:val="19"/>
        </w:rPr>
        <w:t>000</w:t>
        <w:tab/>
      </w:r>
      <w:r>
        <w:rPr>
          <w:rFonts w:ascii="Times New Roman" w:hAnsi="Times New Roman"/>
          <w:b/>
          <w:color w:val="161616"/>
          <w:spacing w:val="-3"/>
          <w:w w:val="110"/>
          <w:sz w:val="19"/>
        </w:rPr>
        <w:t>£</w:t>
      </w:r>
      <w:r>
        <w:rPr>
          <w:rFonts w:ascii="Times New Roman" w:hAnsi="Times New Roman"/>
          <w:b/>
          <w:color w:val="2F2F2F"/>
          <w:spacing w:val="-3"/>
          <w:w w:val="110"/>
          <w:sz w:val="19"/>
        </w:rPr>
        <w:t>'</w:t>
      </w:r>
      <w:r>
        <w:rPr>
          <w:rFonts w:ascii="Times New Roman" w:hAnsi="Times New Roman"/>
          <w:b/>
          <w:color w:val="161616"/>
          <w:spacing w:val="-3"/>
          <w:w w:val="110"/>
          <w:sz w:val="19"/>
        </w:rPr>
        <w:t>000</w:t>
      </w:r>
    </w:p>
    <w:p>
      <w:pPr>
        <w:spacing w:after="0"/>
        <w:jc w:val="left"/>
        <w:rPr>
          <w:rFonts w:ascii="Times New Roman" w:hAnsi="Times New Roman"/>
          <w:sz w:val="19"/>
        </w:rPr>
        <w:sectPr>
          <w:type w:val="continuous"/>
          <w:pgSz w:w="10950" w:h="15880"/>
          <w:pgMar w:top="680" w:bottom="280" w:left="500" w:right="0"/>
          <w:cols w:num="2" w:equalWidth="0">
            <w:col w:w="4672" w:space="2055"/>
            <w:col w:w="3723"/>
          </w:cols>
        </w:sectPr>
      </w:pPr>
    </w:p>
    <w:p>
      <w:pPr>
        <w:pStyle w:val="BodyText"/>
        <w:spacing w:before="8"/>
        <w:rPr>
          <w:rFonts w:ascii="Times New Roman"/>
          <w:b/>
          <w:sz w:val="2"/>
        </w:rPr>
      </w:pPr>
    </w:p>
    <w:tbl>
      <w:tblPr>
        <w:tblW w:w="0" w:type="auto"/>
        <w:jc w:val="left"/>
        <w:tblInd w:w="1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9"/>
        <w:gridCol w:w="1862"/>
        <w:gridCol w:w="1091"/>
      </w:tblGrid>
      <w:tr>
        <w:trPr>
          <w:trHeight w:val="210" w:hRule="atLeast"/>
        </w:trPr>
        <w:tc>
          <w:tcPr>
            <w:tcW w:w="4849" w:type="dxa"/>
          </w:tcPr>
          <w:p>
            <w:pPr>
              <w:pStyle w:val="TableParagraph"/>
              <w:spacing w:line="191" w:lineRule="exact"/>
              <w:ind w:left="63"/>
              <w:rPr>
                <w:sz w:val="18"/>
              </w:rPr>
            </w:pPr>
            <w:r>
              <w:rPr>
                <w:color w:val="424242"/>
                <w:w w:val="105"/>
                <w:sz w:val="18"/>
              </w:rPr>
              <w:t>Units </w:t>
            </w:r>
            <w:r>
              <w:rPr>
                <w:color w:val="2F2F2F"/>
                <w:w w:val="105"/>
                <w:sz w:val="18"/>
              </w:rPr>
              <w:t>in </w:t>
            </w:r>
            <w:r>
              <w:rPr>
                <w:color w:val="424242"/>
                <w:w w:val="105"/>
                <w:sz w:val="18"/>
              </w:rPr>
              <w:t>Common </w:t>
            </w:r>
            <w:r>
              <w:rPr>
                <w:color w:val="2F2F2F"/>
                <w:w w:val="105"/>
                <w:sz w:val="18"/>
              </w:rPr>
              <w:t>Investment </w:t>
            </w:r>
            <w:r>
              <w:rPr>
                <w:color w:val="424242"/>
                <w:w w:val="105"/>
                <w:sz w:val="18"/>
              </w:rPr>
              <w:t>Funds </w:t>
            </w:r>
            <w:r>
              <w:rPr>
                <w:color w:val="2F2F2F"/>
                <w:w w:val="105"/>
                <w:sz w:val="18"/>
              </w:rPr>
              <w:t>at </w:t>
            </w:r>
            <w:r>
              <w:rPr>
                <w:color w:val="424242"/>
                <w:w w:val="105"/>
                <w:sz w:val="18"/>
              </w:rPr>
              <w:t>market value</w:t>
            </w:r>
          </w:p>
        </w:tc>
        <w:tc>
          <w:tcPr>
            <w:tcW w:w="1862" w:type="dxa"/>
          </w:tcPr>
          <w:p>
            <w:pPr>
              <w:pStyle w:val="TableParagraph"/>
              <w:spacing w:line="191" w:lineRule="exact"/>
              <w:ind w:left="1085"/>
              <w:rPr>
                <w:sz w:val="18"/>
              </w:rPr>
            </w:pPr>
            <w:r>
              <w:rPr>
                <w:color w:val="424242"/>
                <w:w w:val="105"/>
                <w:sz w:val="18"/>
              </w:rPr>
              <w:t>21,026</w:t>
            </w:r>
          </w:p>
        </w:tc>
        <w:tc>
          <w:tcPr>
            <w:tcW w:w="1091" w:type="dxa"/>
          </w:tcPr>
          <w:p>
            <w:pPr>
              <w:pStyle w:val="TableParagraph"/>
              <w:spacing w:line="191" w:lineRule="exact"/>
              <w:ind w:left="323"/>
              <w:rPr>
                <w:sz w:val="18"/>
              </w:rPr>
            </w:pPr>
            <w:r>
              <w:rPr>
                <w:color w:val="161616"/>
                <w:w w:val="105"/>
                <w:sz w:val="18"/>
              </w:rPr>
              <w:t>1</w:t>
            </w:r>
            <w:r>
              <w:rPr>
                <w:color w:val="424242"/>
                <w:w w:val="105"/>
                <w:sz w:val="18"/>
              </w:rPr>
              <w:t>9,310</w:t>
            </w:r>
          </w:p>
        </w:tc>
      </w:tr>
      <w:tr>
        <w:trPr>
          <w:trHeight w:val="226" w:hRule="atLeast"/>
        </w:trPr>
        <w:tc>
          <w:tcPr>
            <w:tcW w:w="4849" w:type="dxa"/>
          </w:tcPr>
          <w:p>
            <w:pPr>
              <w:pStyle w:val="TableParagraph"/>
              <w:spacing w:line="203" w:lineRule="exact" w:before="3"/>
              <w:ind w:left="57"/>
              <w:rPr>
                <w:sz w:val="18"/>
              </w:rPr>
            </w:pPr>
            <w:r>
              <w:rPr>
                <w:color w:val="2F2F2F"/>
                <w:w w:val="105"/>
                <w:sz w:val="18"/>
              </w:rPr>
              <w:t>Other </w:t>
            </w:r>
            <w:r>
              <w:rPr>
                <w:color w:val="424242"/>
                <w:w w:val="105"/>
                <w:sz w:val="18"/>
              </w:rPr>
              <w:t>listed securities at </w:t>
            </w:r>
            <w:r>
              <w:rPr>
                <w:color w:val="2F2F2F"/>
                <w:w w:val="105"/>
                <w:sz w:val="18"/>
              </w:rPr>
              <w:t>market </w:t>
            </w:r>
            <w:r>
              <w:rPr>
                <w:color w:val="424242"/>
                <w:w w:val="105"/>
                <w:sz w:val="18"/>
              </w:rPr>
              <w:t>value</w:t>
            </w:r>
          </w:p>
        </w:tc>
        <w:tc>
          <w:tcPr>
            <w:tcW w:w="1862" w:type="dxa"/>
          </w:tcPr>
          <w:p>
            <w:pPr>
              <w:pStyle w:val="TableParagraph"/>
              <w:spacing w:line="194" w:lineRule="exact" w:before="12"/>
              <w:ind w:right="254"/>
              <w:jc w:val="right"/>
              <w:rPr>
                <w:rFonts w:ascii="Arial"/>
                <w:sz w:val="17"/>
              </w:rPr>
            </w:pPr>
            <w:r>
              <w:rPr>
                <w:rFonts w:ascii="Arial"/>
                <w:color w:val="2F2F2F"/>
                <w:w w:val="107"/>
                <w:sz w:val="17"/>
              </w:rPr>
              <w:t>1</w:t>
            </w:r>
          </w:p>
        </w:tc>
        <w:tc>
          <w:tcPr>
            <w:tcW w:w="1091" w:type="dxa"/>
          </w:tcPr>
          <w:p>
            <w:pPr>
              <w:pStyle w:val="TableParagraph"/>
              <w:spacing w:line="194" w:lineRule="exact" w:before="12"/>
              <w:ind w:right="237"/>
              <w:jc w:val="right"/>
              <w:rPr>
                <w:rFonts w:ascii="Arial"/>
                <w:sz w:val="17"/>
              </w:rPr>
            </w:pPr>
            <w:r>
              <w:rPr>
                <w:rFonts w:ascii="Arial"/>
                <w:color w:val="424242"/>
                <w:w w:val="107"/>
                <w:sz w:val="17"/>
              </w:rPr>
              <w:t>1</w:t>
            </w:r>
          </w:p>
        </w:tc>
      </w:tr>
      <w:tr>
        <w:trPr>
          <w:trHeight w:val="235" w:hRule="atLeast"/>
        </w:trPr>
        <w:tc>
          <w:tcPr>
            <w:tcW w:w="4849" w:type="dxa"/>
          </w:tcPr>
          <w:p>
            <w:pPr>
              <w:pStyle w:val="TableParagraph"/>
              <w:spacing w:before="8"/>
              <w:ind w:left="50"/>
              <w:rPr>
                <w:sz w:val="18"/>
              </w:rPr>
            </w:pPr>
            <w:r>
              <w:rPr>
                <w:color w:val="424242"/>
                <w:w w:val="105"/>
                <w:sz w:val="18"/>
              </w:rPr>
              <w:t>Investment properties</w:t>
            </w:r>
          </w:p>
        </w:tc>
        <w:tc>
          <w:tcPr>
            <w:tcW w:w="1862" w:type="dxa"/>
          </w:tcPr>
          <w:p>
            <w:pPr>
              <w:pStyle w:val="TableParagraph"/>
              <w:spacing w:before="8"/>
              <w:ind w:right="256"/>
              <w:jc w:val="right"/>
              <w:rPr>
                <w:sz w:val="18"/>
              </w:rPr>
            </w:pPr>
            <w:r>
              <w:rPr>
                <w:color w:val="424242"/>
                <w:w w:val="105"/>
                <w:sz w:val="18"/>
              </w:rPr>
              <w:t>967</w:t>
            </w:r>
          </w:p>
        </w:tc>
        <w:tc>
          <w:tcPr>
            <w:tcW w:w="1091" w:type="dxa"/>
          </w:tcPr>
          <w:p>
            <w:pPr>
              <w:pStyle w:val="TableParagraph"/>
              <w:tabs>
                <w:tab w:pos="538" w:val="left" w:leader="none"/>
              </w:tabs>
              <w:spacing w:before="8"/>
              <w:ind w:left="74"/>
              <w:rPr>
                <w:sz w:val="18"/>
              </w:rPr>
            </w:pPr>
            <w:r>
              <w:rPr>
                <w:color w:val="424242"/>
                <w:w w:val="100"/>
                <w:sz w:val="18"/>
                <w:u w:val="single" w:color="000000"/>
              </w:rPr>
              <w:t> </w:t>
            </w:r>
            <w:r>
              <w:rPr>
                <w:color w:val="424242"/>
                <w:sz w:val="18"/>
                <w:u w:val="single" w:color="000000"/>
              </w:rPr>
              <w:tab/>
            </w:r>
            <w:r>
              <w:rPr>
                <w:color w:val="424242"/>
                <w:w w:val="105"/>
                <w:sz w:val="18"/>
                <w:u w:val="single" w:color="000000"/>
              </w:rPr>
              <w:t>619</w:t>
            </w:r>
            <w:r>
              <w:rPr>
                <w:color w:val="424242"/>
                <w:spacing w:val="-1"/>
                <w:sz w:val="18"/>
                <w:u w:val="single" w:color="000000"/>
              </w:rPr>
              <w:t> </w:t>
            </w:r>
          </w:p>
        </w:tc>
      </w:tr>
      <w:tr>
        <w:trPr>
          <w:trHeight w:val="220" w:hRule="atLeast"/>
        </w:trPr>
        <w:tc>
          <w:tcPr>
            <w:tcW w:w="4849" w:type="dxa"/>
          </w:tcPr>
          <w:p>
            <w:pPr>
              <w:pStyle w:val="TableParagraph"/>
              <w:rPr>
                <w:sz w:val="14"/>
              </w:rPr>
            </w:pPr>
          </w:p>
        </w:tc>
        <w:tc>
          <w:tcPr>
            <w:tcW w:w="1862" w:type="dxa"/>
          </w:tcPr>
          <w:p>
            <w:pPr>
              <w:pStyle w:val="TableParagraph"/>
              <w:tabs>
                <w:tab w:pos="1075" w:val="left" w:leader="none"/>
              </w:tabs>
              <w:spacing w:line="187" w:lineRule="exact" w:before="13"/>
              <w:ind w:left="838"/>
              <w:rPr>
                <w:sz w:val="18"/>
              </w:rPr>
            </w:pPr>
            <w:r>
              <w:rPr>
                <w:color w:val="424242"/>
                <w:w w:val="100"/>
                <w:sz w:val="18"/>
                <w:u w:val="thick" w:color="000000"/>
              </w:rPr>
              <w:t> </w:t>
            </w:r>
            <w:r>
              <w:rPr>
                <w:color w:val="424242"/>
                <w:sz w:val="18"/>
                <w:u w:val="thick" w:color="000000"/>
              </w:rPr>
              <w:tab/>
            </w:r>
            <w:r>
              <w:rPr>
                <w:color w:val="424242"/>
                <w:w w:val="110"/>
                <w:sz w:val="18"/>
                <w:u w:val="thick" w:color="000000"/>
              </w:rPr>
              <w:t>21,995</w:t>
            </w:r>
            <w:r>
              <w:rPr>
                <w:color w:val="424242"/>
                <w:spacing w:val="-7"/>
                <w:sz w:val="18"/>
                <w:u w:val="thick" w:color="000000"/>
              </w:rPr>
              <w:t> </w:t>
            </w:r>
          </w:p>
        </w:tc>
        <w:tc>
          <w:tcPr>
            <w:tcW w:w="1091" w:type="dxa"/>
          </w:tcPr>
          <w:p>
            <w:pPr>
              <w:pStyle w:val="TableParagraph"/>
              <w:tabs>
                <w:tab w:pos="323" w:val="left" w:leader="none"/>
              </w:tabs>
              <w:spacing w:line="187" w:lineRule="exact" w:before="13"/>
              <w:ind w:left="74"/>
              <w:rPr>
                <w:sz w:val="18"/>
              </w:rPr>
            </w:pPr>
            <w:r>
              <w:rPr>
                <w:color w:val="424242"/>
                <w:w w:val="100"/>
                <w:sz w:val="18"/>
                <w:u w:val="thick" w:color="000000"/>
              </w:rPr>
              <w:t> </w:t>
            </w:r>
            <w:r>
              <w:rPr>
                <w:color w:val="424242"/>
                <w:sz w:val="18"/>
                <w:u w:val="thick" w:color="000000"/>
              </w:rPr>
              <w:tab/>
            </w:r>
            <w:r>
              <w:rPr>
                <w:color w:val="424242"/>
                <w:w w:val="105"/>
                <w:sz w:val="18"/>
                <w:u w:val="thick" w:color="000000"/>
              </w:rPr>
              <w:t>19,930</w:t>
            </w:r>
            <w:r>
              <w:rPr>
                <w:color w:val="424242"/>
                <w:spacing w:val="5"/>
                <w:sz w:val="18"/>
                <w:u w:val="thick" w:color="000000"/>
              </w:rPr>
              <w:t> </w:t>
            </w:r>
          </w:p>
        </w:tc>
      </w:tr>
    </w:tbl>
    <w:p>
      <w:pPr>
        <w:pStyle w:val="BodyText"/>
        <w:rPr>
          <w:rFonts w:ascii="Times New Roman"/>
          <w:b/>
          <w:sz w:val="15"/>
        </w:rPr>
      </w:pPr>
    </w:p>
    <w:p>
      <w:pPr>
        <w:pStyle w:val="BodyText"/>
        <w:spacing w:line="249" w:lineRule="auto" w:before="92"/>
        <w:ind w:left="997" w:right="940" w:firstLine="3"/>
        <w:rPr>
          <w:rFonts w:ascii="Times New Roman"/>
        </w:rPr>
      </w:pPr>
      <w:r>
        <w:rPr>
          <w:rFonts w:ascii="Times New Roman"/>
          <w:color w:val="424242"/>
          <w:w w:val="110"/>
        </w:rPr>
        <w:t>All </w:t>
      </w:r>
      <w:r>
        <w:rPr>
          <w:rFonts w:ascii="Times New Roman"/>
          <w:color w:val="2F2F2F"/>
          <w:w w:val="110"/>
        </w:rPr>
        <w:t>investments </w:t>
      </w:r>
      <w:r>
        <w:rPr>
          <w:rFonts w:ascii="Times New Roman"/>
          <w:color w:val="424242"/>
          <w:w w:val="110"/>
        </w:rPr>
        <w:t>are </w:t>
      </w:r>
      <w:r>
        <w:rPr>
          <w:rFonts w:ascii="Times New Roman"/>
          <w:color w:val="2F2F2F"/>
          <w:w w:val="110"/>
        </w:rPr>
        <w:t>in </w:t>
      </w:r>
      <w:r>
        <w:rPr>
          <w:rFonts w:ascii="Times New Roman"/>
          <w:color w:val="424242"/>
          <w:w w:val="110"/>
        </w:rPr>
        <w:t>UK companies, </w:t>
      </w:r>
      <w:r>
        <w:rPr>
          <w:rFonts w:ascii="Times New Roman"/>
          <w:color w:val="2F2F2F"/>
          <w:w w:val="110"/>
        </w:rPr>
        <w:t>common </w:t>
      </w:r>
      <w:r>
        <w:rPr>
          <w:rFonts w:ascii="Times New Roman"/>
          <w:color w:val="424242"/>
          <w:w w:val="110"/>
        </w:rPr>
        <w:t>investment funds </w:t>
      </w:r>
      <w:r>
        <w:rPr>
          <w:rFonts w:ascii="Times New Roman"/>
          <w:color w:val="2F2F2F"/>
          <w:w w:val="110"/>
        </w:rPr>
        <w:t>or </w:t>
      </w:r>
      <w:r>
        <w:rPr>
          <w:rFonts w:ascii="Times New Roman"/>
          <w:color w:val="424242"/>
          <w:spacing w:val="-4"/>
          <w:w w:val="110"/>
        </w:rPr>
        <w:t>properties</w:t>
      </w:r>
      <w:r>
        <w:rPr>
          <w:rFonts w:ascii="Times New Roman"/>
          <w:color w:val="161616"/>
          <w:spacing w:val="-4"/>
          <w:w w:val="110"/>
        </w:rPr>
        <w:t>. </w:t>
      </w:r>
      <w:r>
        <w:rPr>
          <w:rFonts w:ascii="Times New Roman"/>
          <w:color w:val="161616"/>
          <w:w w:val="110"/>
        </w:rPr>
        <w:t>I</w:t>
      </w:r>
      <w:r>
        <w:rPr>
          <w:rFonts w:ascii="Times New Roman"/>
          <w:color w:val="2F2F2F"/>
          <w:w w:val="110"/>
        </w:rPr>
        <w:t>nvestment</w:t>
      </w:r>
      <w:r>
        <w:rPr>
          <w:rFonts w:ascii="Times New Roman"/>
          <w:color w:val="424242"/>
          <w:w w:val="110"/>
        </w:rPr>
        <w:t>properties are </w:t>
      </w:r>
      <w:r>
        <w:rPr>
          <w:rFonts w:ascii="Times New Roman"/>
          <w:color w:val="2F2F2F"/>
          <w:w w:val="110"/>
        </w:rPr>
        <w:t>professionally</w:t>
      </w:r>
      <w:r>
        <w:rPr>
          <w:rFonts w:ascii="Times New Roman"/>
          <w:color w:val="2F2F2F"/>
          <w:spacing w:val="-30"/>
          <w:w w:val="110"/>
        </w:rPr>
        <w:t> </w:t>
      </w:r>
      <w:r>
        <w:rPr>
          <w:rFonts w:ascii="Times New Roman"/>
          <w:color w:val="424242"/>
          <w:w w:val="110"/>
        </w:rPr>
        <w:t>valued</w:t>
      </w:r>
      <w:r>
        <w:rPr>
          <w:rFonts w:ascii="Times New Roman"/>
          <w:color w:val="424242"/>
          <w:spacing w:val="-21"/>
          <w:w w:val="110"/>
        </w:rPr>
        <w:t> </w:t>
      </w:r>
      <w:r>
        <w:rPr>
          <w:rFonts w:ascii="Times New Roman"/>
          <w:color w:val="424242"/>
          <w:w w:val="110"/>
        </w:rPr>
        <w:t>every</w:t>
      </w:r>
      <w:r>
        <w:rPr>
          <w:rFonts w:ascii="Times New Roman"/>
          <w:color w:val="424242"/>
          <w:spacing w:val="-25"/>
          <w:w w:val="110"/>
        </w:rPr>
        <w:t> </w:t>
      </w:r>
      <w:r>
        <w:rPr>
          <w:rFonts w:ascii="Times New Roman"/>
          <w:color w:val="424242"/>
          <w:w w:val="110"/>
        </w:rPr>
        <w:t>five</w:t>
      </w:r>
      <w:r>
        <w:rPr>
          <w:rFonts w:ascii="Times New Roman"/>
          <w:color w:val="424242"/>
          <w:spacing w:val="-33"/>
          <w:w w:val="110"/>
        </w:rPr>
        <w:t> </w:t>
      </w:r>
      <w:r>
        <w:rPr>
          <w:rFonts w:ascii="Times New Roman"/>
          <w:color w:val="424242"/>
          <w:spacing w:val="-7"/>
          <w:w w:val="110"/>
        </w:rPr>
        <w:t>years</w:t>
      </w:r>
      <w:r>
        <w:rPr>
          <w:rFonts w:ascii="Times New Roman"/>
          <w:color w:val="161616"/>
          <w:spacing w:val="-7"/>
          <w:w w:val="110"/>
        </w:rPr>
        <w:t>.</w:t>
      </w:r>
      <w:r>
        <w:rPr>
          <w:rFonts w:ascii="Times New Roman"/>
          <w:color w:val="161616"/>
          <w:spacing w:val="11"/>
          <w:w w:val="110"/>
        </w:rPr>
        <w:t> </w:t>
      </w:r>
      <w:r>
        <w:rPr>
          <w:rFonts w:ascii="Times New Roman"/>
          <w:color w:val="424242"/>
          <w:w w:val="110"/>
        </w:rPr>
        <w:t>The</w:t>
      </w:r>
      <w:r>
        <w:rPr>
          <w:rFonts w:ascii="Times New Roman"/>
          <w:color w:val="424242"/>
          <w:spacing w:val="-31"/>
          <w:w w:val="110"/>
        </w:rPr>
        <w:t> </w:t>
      </w:r>
      <w:r>
        <w:rPr>
          <w:rFonts w:ascii="Times New Roman"/>
          <w:color w:val="2F2F2F"/>
          <w:w w:val="110"/>
        </w:rPr>
        <w:t>last</w:t>
      </w:r>
      <w:r>
        <w:rPr>
          <w:rFonts w:ascii="Times New Roman"/>
          <w:color w:val="2F2F2F"/>
          <w:spacing w:val="-20"/>
          <w:w w:val="110"/>
        </w:rPr>
        <w:t> </w:t>
      </w:r>
      <w:r>
        <w:rPr>
          <w:rFonts w:ascii="Times New Roman"/>
          <w:color w:val="424242"/>
          <w:w w:val="110"/>
        </w:rPr>
        <w:t>professional</w:t>
      </w:r>
      <w:r>
        <w:rPr>
          <w:rFonts w:ascii="Times New Roman"/>
          <w:color w:val="424242"/>
          <w:spacing w:val="-16"/>
          <w:w w:val="110"/>
        </w:rPr>
        <w:t> </w:t>
      </w:r>
      <w:r>
        <w:rPr>
          <w:rFonts w:ascii="Times New Roman"/>
          <w:color w:val="424242"/>
          <w:w w:val="110"/>
        </w:rPr>
        <w:t>valuation</w:t>
      </w:r>
      <w:r>
        <w:rPr>
          <w:rFonts w:ascii="Times New Roman"/>
          <w:color w:val="424242"/>
          <w:spacing w:val="-20"/>
          <w:w w:val="110"/>
        </w:rPr>
        <w:t> </w:t>
      </w:r>
      <w:r>
        <w:rPr>
          <w:rFonts w:ascii="Times New Roman"/>
          <w:color w:val="424242"/>
          <w:w w:val="110"/>
        </w:rPr>
        <w:t>was</w:t>
      </w:r>
      <w:r>
        <w:rPr>
          <w:rFonts w:ascii="Times New Roman"/>
          <w:color w:val="424242"/>
          <w:spacing w:val="-29"/>
          <w:w w:val="110"/>
        </w:rPr>
        <w:t> </w:t>
      </w:r>
      <w:r>
        <w:rPr>
          <w:rFonts w:ascii="Times New Roman"/>
          <w:color w:val="424242"/>
          <w:w w:val="110"/>
        </w:rPr>
        <w:t>carried</w:t>
      </w:r>
      <w:r>
        <w:rPr>
          <w:rFonts w:ascii="Times New Roman"/>
          <w:color w:val="424242"/>
          <w:spacing w:val="-28"/>
          <w:w w:val="110"/>
        </w:rPr>
        <w:t> </w:t>
      </w:r>
      <w:r>
        <w:rPr>
          <w:rFonts w:ascii="Times New Roman"/>
          <w:color w:val="424242"/>
          <w:w w:val="110"/>
        </w:rPr>
        <w:t>out</w:t>
      </w:r>
      <w:r>
        <w:rPr>
          <w:rFonts w:ascii="Times New Roman"/>
          <w:color w:val="424242"/>
          <w:spacing w:val="-22"/>
          <w:w w:val="110"/>
        </w:rPr>
        <w:t> </w:t>
      </w:r>
      <w:r>
        <w:rPr>
          <w:rFonts w:ascii="Times New Roman"/>
          <w:color w:val="424242"/>
          <w:w w:val="110"/>
        </w:rPr>
        <w:t>at</w:t>
      </w:r>
      <w:r>
        <w:rPr>
          <w:rFonts w:ascii="Times New Roman"/>
          <w:color w:val="424242"/>
          <w:spacing w:val="-15"/>
          <w:w w:val="110"/>
        </w:rPr>
        <w:t> </w:t>
      </w:r>
      <w:r>
        <w:rPr>
          <w:rFonts w:ascii="Times New Roman"/>
          <w:color w:val="424242"/>
          <w:w w:val="110"/>
        </w:rPr>
        <w:t>31</w:t>
      </w:r>
      <w:r>
        <w:rPr>
          <w:rFonts w:ascii="Times New Roman"/>
          <w:color w:val="424242"/>
          <w:spacing w:val="-22"/>
          <w:w w:val="110"/>
        </w:rPr>
        <w:t> </w:t>
      </w:r>
      <w:r>
        <w:rPr>
          <w:rFonts w:ascii="Times New Roman"/>
          <w:color w:val="2F2F2F"/>
          <w:w w:val="110"/>
        </w:rPr>
        <w:t>December</w:t>
      </w:r>
      <w:r>
        <w:rPr>
          <w:rFonts w:ascii="Times New Roman"/>
          <w:color w:val="2F2F2F"/>
          <w:spacing w:val="-18"/>
          <w:w w:val="110"/>
        </w:rPr>
        <w:t> </w:t>
      </w:r>
      <w:r>
        <w:rPr>
          <w:rFonts w:ascii="Times New Roman"/>
          <w:color w:val="2F2F2F"/>
          <w:w w:val="110"/>
        </w:rPr>
        <w:t>2006</w:t>
      </w:r>
      <w:r>
        <w:rPr>
          <w:rFonts w:ascii="Times New Roman"/>
          <w:color w:val="2F2F2F"/>
          <w:spacing w:val="-24"/>
          <w:w w:val="110"/>
        </w:rPr>
        <w:t> </w:t>
      </w:r>
      <w:r>
        <w:rPr>
          <w:rFonts w:ascii="Times New Roman"/>
          <w:color w:val="2F2F2F"/>
          <w:w w:val="110"/>
        </w:rPr>
        <w:t>by: </w:t>
      </w:r>
      <w:r>
        <w:rPr>
          <w:rFonts w:ascii="Arial"/>
          <w:color w:val="424242"/>
          <w:w w:val="110"/>
          <w:sz w:val="19"/>
        </w:rPr>
        <w:t>Mr</w:t>
      </w:r>
      <w:r>
        <w:rPr>
          <w:rFonts w:ascii="Arial"/>
          <w:color w:val="424242"/>
          <w:spacing w:val="-20"/>
          <w:w w:val="110"/>
          <w:sz w:val="19"/>
        </w:rPr>
        <w:t> </w:t>
      </w:r>
      <w:r>
        <w:rPr>
          <w:rFonts w:ascii="Times New Roman"/>
          <w:color w:val="2F2F2F"/>
          <w:w w:val="110"/>
        </w:rPr>
        <w:t>P</w:t>
      </w:r>
      <w:r>
        <w:rPr>
          <w:rFonts w:ascii="Times New Roman"/>
          <w:color w:val="2F2F2F"/>
          <w:spacing w:val="-7"/>
          <w:w w:val="110"/>
        </w:rPr>
        <w:t> </w:t>
      </w:r>
      <w:r>
        <w:rPr>
          <w:rFonts w:ascii="Times New Roman"/>
          <w:color w:val="424242"/>
          <w:w w:val="110"/>
        </w:rPr>
        <w:t>J</w:t>
      </w:r>
      <w:r>
        <w:rPr>
          <w:rFonts w:ascii="Times New Roman"/>
          <w:color w:val="424242"/>
          <w:spacing w:val="-1"/>
          <w:w w:val="110"/>
        </w:rPr>
        <w:t> </w:t>
      </w:r>
      <w:r>
        <w:rPr>
          <w:rFonts w:ascii="Times New Roman"/>
          <w:color w:val="424242"/>
          <w:w w:val="110"/>
        </w:rPr>
        <w:t>Millinship</w:t>
      </w:r>
      <w:r>
        <w:rPr>
          <w:rFonts w:ascii="Times New Roman"/>
          <w:color w:val="424242"/>
          <w:spacing w:val="-10"/>
          <w:w w:val="110"/>
        </w:rPr>
        <w:t> </w:t>
      </w:r>
      <w:r>
        <w:rPr>
          <w:rFonts w:ascii="Times New Roman"/>
          <w:color w:val="424242"/>
          <w:w w:val="110"/>
        </w:rPr>
        <w:t>MA,</w:t>
      </w:r>
      <w:r>
        <w:rPr>
          <w:rFonts w:ascii="Times New Roman"/>
          <w:color w:val="424242"/>
          <w:spacing w:val="-18"/>
          <w:w w:val="110"/>
        </w:rPr>
        <w:t> </w:t>
      </w:r>
      <w:r>
        <w:rPr>
          <w:rFonts w:ascii="Times New Roman"/>
          <w:color w:val="2F2F2F"/>
          <w:w w:val="110"/>
        </w:rPr>
        <w:t>BSc,</w:t>
      </w:r>
      <w:r>
        <w:rPr>
          <w:rFonts w:ascii="Times New Roman"/>
          <w:color w:val="2F2F2F"/>
          <w:spacing w:val="-20"/>
          <w:w w:val="110"/>
        </w:rPr>
        <w:t> </w:t>
      </w:r>
      <w:r>
        <w:rPr>
          <w:rFonts w:ascii="Times New Roman"/>
          <w:color w:val="2F2F2F"/>
          <w:w w:val="110"/>
        </w:rPr>
        <w:t>MRICS</w:t>
      </w:r>
      <w:r>
        <w:rPr>
          <w:rFonts w:ascii="Times New Roman"/>
          <w:color w:val="2F2F2F"/>
          <w:spacing w:val="-20"/>
          <w:w w:val="110"/>
        </w:rPr>
        <w:t> </w:t>
      </w:r>
      <w:r>
        <w:rPr>
          <w:rFonts w:ascii="Times New Roman"/>
          <w:color w:val="2F2F2F"/>
          <w:w w:val="110"/>
        </w:rPr>
        <w:t>ofCluttons</w:t>
      </w:r>
      <w:r>
        <w:rPr>
          <w:rFonts w:ascii="Times New Roman"/>
          <w:color w:val="2F2F2F"/>
          <w:spacing w:val="-8"/>
          <w:w w:val="110"/>
        </w:rPr>
        <w:t> </w:t>
      </w:r>
      <w:r>
        <w:rPr>
          <w:rFonts w:ascii="Times New Roman"/>
          <w:color w:val="424242"/>
          <w:spacing w:val="-6"/>
          <w:w w:val="110"/>
        </w:rPr>
        <w:t>LLP</w:t>
      </w:r>
      <w:r>
        <w:rPr>
          <w:rFonts w:ascii="Times New Roman"/>
          <w:color w:val="161616"/>
          <w:spacing w:val="-6"/>
          <w:w w:val="110"/>
        </w:rPr>
        <w:t>.</w:t>
      </w:r>
    </w:p>
    <w:p>
      <w:pPr>
        <w:pStyle w:val="BodyText"/>
        <w:spacing w:line="256" w:lineRule="auto" w:before="7"/>
        <w:ind w:left="1000" w:right="940" w:hanging="5"/>
        <w:rPr>
          <w:rFonts w:ascii="Times New Roman"/>
        </w:rPr>
      </w:pPr>
      <w:r>
        <w:rPr>
          <w:rFonts w:ascii="Times New Roman"/>
          <w:color w:val="565656"/>
          <w:w w:val="105"/>
        </w:rPr>
        <w:t>The </w:t>
      </w:r>
      <w:r>
        <w:rPr>
          <w:rFonts w:ascii="Times New Roman"/>
          <w:color w:val="424242"/>
          <w:w w:val="105"/>
        </w:rPr>
        <w:t>Finance Committee </w:t>
      </w:r>
      <w:r>
        <w:rPr>
          <w:rFonts w:ascii="Times New Roman"/>
          <w:color w:val="2F2F2F"/>
          <w:w w:val="105"/>
        </w:rPr>
        <w:t>has </w:t>
      </w:r>
      <w:r>
        <w:rPr>
          <w:rFonts w:ascii="Times New Roman"/>
          <w:color w:val="424242"/>
          <w:w w:val="105"/>
        </w:rPr>
        <w:t>considered investment values as </w:t>
      </w:r>
      <w:r>
        <w:rPr>
          <w:rFonts w:ascii="Times New Roman"/>
          <w:color w:val="2F2F2F"/>
          <w:w w:val="105"/>
        </w:rPr>
        <w:t>at </w:t>
      </w:r>
      <w:r>
        <w:rPr>
          <w:rFonts w:ascii="Times New Roman"/>
          <w:color w:val="424242"/>
          <w:w w:val="105"/>
        </w:rPr>
        <w:t>31 </w:t>
      </w:r>
      <w:r>
        <w:rPr>
          <w:rFonts w:ascii="Times New Roman"/>
          <w:color w:val="2F2F2F"/>
          <w:w w:val="105"/>
        </w:rPr>
        <w:t>December 2006 </w:t>
      </w:r>
      <w:r>
        <w:rPr>
          <w:rFonts w:ascii="Times New Roman"/>
          <w:color w:val="424242"/>
          <w:w w:val="105"/>
        </w:rPr>
        <w:t>and </w:t>
      </w:r>
      <w:r>
        <w:rPr>
          <w:rFonts w:ascii="Times New Roman"/>
          <w:color w:val="2F2F2F"/>
          <w:w w:val="105"/>
        </w:rPr>
        <w:t>made </w:t>
      </w:r>
      <w:r>
        <w:rPr>
          <w:rFonts w:ascii="Times New Roman"/>
          <w:color w:val="424242"/>
          <w:w w:val="105"/>
        </w:rPr>
        <w:t>changes </w:t>
      </w:r>
      <w:r>
        <w:rPr>
          <w:rFonts w:ascii="Times New Roman"/>
          <w:color w:val="2F2F2F"/>
          <w:w w:val="105"/>
        </w:rPr>
        <w:t>if and </w:t>
      </w:r>
      <w:r>
        <w:rPr>
          <w:rFonts w:ascii="Times New Roman"/>
          <w:color w:val="424242"/>
          <w:w w:val="105"/>
        </w:rPr>
        <w:t>as required.</w:t>
      </w:r>
    </w:p>
    <w:p>
      <w:pPr>
        <w:spacing w:after="0" w:line="256" w:lineRule="auto"/>
        <w:rPr>
          <w:rFonts w:ascii="Times New Roman"/>
        </w:rPr>
        <w:sectPr>
          <w:type w:val="continuous"/>
          <w:pgSz w:w="10950" w:h="15880"/>
          <w:pgMar w:top="680" w:bottom="280" w:left="500" w:right="0"/>
        </w:sectPr>
      </w:pPr>
    </w:p>
    <w:p>
      <w:pPr>
        <w:pStyle w:val="BodyText"/>
        <w:spacing w:before="2"/>
        <w:rPr>
          <w:rFonts w:ascii="Times New Roman"/>
          <w:sz w:val="29"/>
        </w:rPr>
      </w:pPr>
    </w:p>
    <w:p>
      <w:pPr>
        <w:spacing w:before="1"/>
        <w:ind w:left="1079" w:right="0" w:firstLine="0"/>
        <w:jc w:val="left"/>
        <w:rPr>
          <w:rFonts w:ascii="Times New Roman"/>
          <w:b/>
          <w:sz w:val="18"/>
        </w:rPr>
      </w:pPr>
      <w:r>
        <w:rPr>
          <w:rFonts w:ascii="Times New Roman"/>
          <w:b/>
          <w:color w:val="2F2F2F"/>
          <w:w w:val="105"/>
          <w:sz w:val="18"/>
        </w:rPr>
        <w:t>S</w:t>
      </w:r>
      <w:r>
        <w:rPr>
          <w:rFonts w:ascii="Times New Roman"/>
          <w:b/>
          <w:color w:val="161616"/>
          <w:w w:val="105"/>
          <w:sz w:val="18"/>
        </w:rPr>
        <w:t>h</w:t>
      </w:r>
      <w:r>
        <w:rPr>
          <w:rFonts w:ascii="Times New Roman"/>
          <w:b/>
          <w:color w:val="2F2F2F"/>
          <w:w w:val="105"/>
          <w:sz w:val="18"/>
        </w:rPr>
        <w:t>o</w:t>
      </w:r>
      <w:r>
        <w:rPr>
          <w:rFonts w:ascii="Times New Roman"/>
          <w:b/>
          <w:color w:val="161616"/>
          <w:w w:val="105"/>
          <w:sz w:val="18"/>
        </w:rPr>
        <w:t>rt term inv</w:t>
      </w:r>
      <w:r>
        <w:rPr>
          <w:rFonts w:ascii="Times New Roman"/>
          <w:b/>
          <w:color w:val="2F2F2F"/>
          <w:w w:val="105"/>
          <w:sz w:val="18"/>
        </w:rPr>
        <w:t>es</w:t>
      </w:r>
      <w:r>
        <w:rPr>
          <w:rFonts w:ascii="Times New Roman"/>
          <w:b/>
          <w:color w:val="161616"/>
          <w:w w:val="105"/>
          <w:sz w:val="18"/>
        </w:rPr>
        <w:t>tm</w:t>
      </w:r>
      <w:r>
        <w:rPr>
          <w:rFonts w:ascii="Times New Roman"/>
          <w:b/>
          <w:color w:val="2F2F2F"/>
          <w:w w:val="105"/>
          <w:sz w:val="18"/>
        </w:rPr>
        <w:t>e</w:t>
      </w:r>
      <w:r>
        <w:rPr>
          <w:rFonts w:ascii="Times New Roman"/>
          <w:b/>
          <w:color w:val="161616"/>
          <w:w w:val="105"/>
          <w:sz w:val="18"/>
        </w:rPr>
        <w:t>nt</w:t>
      </w:r>
      <w:r>
        <w:rPr>
          <w:rFonts w:ascii="Times New Roman"/>
          <w:b/>
          <w:color w:val="2F2F2F"/>
          <w:w w:val="105"/>
          <w:sz w:val="18"/>
        </w:rPr>
        <w:t>s</w:t>
      </w:r>
    </w:p>
    <w:p>
      <w:pPr>
        <w:tabs>
          <w:tab w:pos="2243" w:val="left" w:leader="none"/>
        </w:tabs>
        <w:spacing w:before="115"/>
        <w:ind w:left="1135" w:right="0" w:firstLine="0"/>
        <w:jc w:val="left"/>
        <w:rPr>
          <w:rFonts w:ascii="Times New Roman"/>
          <w:b/>
          <w:sz w:val="19"/>
        </w:rPr>
      </w:pPr>
      <w:r>
        <w:rPr/>
        <w:br w:type="column"/>
      </w:r>
      <w:r>
        <w:rPr>
          <w:rFonts w:ascii="Times New Roman"/>
          <w:b/>
          <w:color w:val="2F2F2F"/>
          <w:spacing w:val="-3"/>
          <w:w w:val="105"/>
          <w:sz w:val="19"/>
        </w:rPr>
        <w:t>2</w:t>
      </w:r>
      <w:r>
        <w:rPr>
          <w:rFonts w:ascii="Times New Roman"/>
          <w:b/>
          <w:color w:val="161616"/>
          <w:spacing w:val="-3"/>
          <w:w w:val="105"/>
          <w:sz w:val="19"/>
        </w:rPr>
        <w:t>00</w:t>
      </w:r>
      <w:r>
        <w:rPr>
          <w:rFonts w:ascii="Times New Roman"/>
          <w:b/>
          <w:color w:val="2F2F2F"/>
          <w:spacing w:val="-3"/>
          <w:w w:val="105"/>
          <w:sz w:val="19"/>
        </w:rPr>
        <w:t>6</w:t>
        <w:tab/>
      </w:r>
      <w:r>
        <w:rPr>
          <w:rFonts w:ascii="Times New Roman"/>
          <w:b/>
          <w:color w:val="161616"/>
          <w:w w:val="105"/>
          <w:sz w:val="19"/>
        </w:rPr>
        <w:t>20</w:t>
      </w:r>
      <w:r>
        <w:rPr>
          <w:rFonts w:ascii="Times New Roman"/>
          <w:b/>
          <w:color w:val="2F2F2F"/>
          <w:w w:val="105"/>
          <w:sz w:val="19"/>
        </w:rPr>
        <w:t>05</w:t>
      </w:r>
    </w:p>
    <w:p>
      <w:pPr>
        <w:tabs>
          <w:tab w:pos="2186" w:val="left" w:leader="none"/>
        </w:tabs>
        <w:spacing w:before="13"/>
        <w:ind w:left="1079" w:right="0" w:firstLine="0"/>
        <w:jc w:val="left"/>
        <w:rPr>
          <w:rFonts w:ascii="Times New Roman" w:hAnsi="Times New Roman"/>
          <w:b/>
          <w:sz w:val="19"/>
        </w:rPr>
      </w:pPr>
      <w:r>
        <w:rPr>
          <w:rFonts w:ascii="Times New Roman" w:hAnsi="Times New Roman"/>
          <w:b/>
          <w:color w:val="161616"/>
          <w:w w:val="105"/>
          <w:sz w:val="19"/>
        </w:rPr>
        <w:t>£</w:t>
      </w:r>
      <w:r>
        <w:rPr>
          <w:rFonts w:ascii="Times New Roman" w:hAnsi="Times New Roman"/>
          <w:b/>
          <w:color w:val="424242"/>
          <w:w w:val="105"/>
          <w:sz w:val="19"/>
        </w:rPr>
        <w:t>'</w:t>
      </w:r>
      <w:r>
        <w:rPr>
          <w:rFonts w:ascii="Times New Roman" w:hAnsi="Times New Roman"/>
          <w:b/>
          <w:color w:val="161616"/>
          <w:w w:val="105"/>
          <w:sz w:val="19"/>
        </w:rPr>
        <w:t>000</w:t>
        <w:tab/>
      </w:r>
      <w:r>
        <w:rPr>
          <w:rFonts w:ascii="Times New Roman" w:hAnsi="Times New Roman"/>
          <w:b/>
          <w:color w:val="2F2F2F"/>
          <w:w w:val="105"/>
          <w:sz w:val="19"/>
        </w:rPr>
        <w:t>£</w:t>
      </w:r>
      <w:r>
        <w:rPr>
          <w:rFonts w:ascii="Times New Roman" w:hAnsi="Times New Roman"/>
          <w:b/>
          <w:color w:val="161616"/>
          <w:w w:val="105"/>
          <w:sz w:val="19"/>
        </w:rPr>
        <w:t>'000</w:t>
      </w:r>
    </w:p>
    <w:p>
      <w:pPr>
        <w:spacing w:after="0"/>
        <w:jc w:val="left"/>
        <w:rPr>
          <w:rFonts w:ascii="Times New Roman" w:hAnsi="Times New Roman"/>
          <w:sz w:val="19"/>
        </w:rPr>
        <w:sectPr>
          <w:type w:val="continuous"/>
          <w:pgSz w:w="10950" w:h="15880"/>
          <w:pgMar w:top="680" w:bottom="280" w:left="500" w:right="0"/>
          <w:cols w:num="2" w:equalWidth="0">
            <w:col w:w="3008" w:space="3874"/>
            <w:col w:w="3568"/>
          </w:cols>
        </w:sectPr>
      </w:pPr>
    </w:p>
    <w:tbl>
      <w:tblPr>
        <w:tblW w:w="0" w:type="auto"/>
        <w:jc w:val="left"/>
        <w:tblInd w:w="1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21"/>
        <w:gridCol w:w="2504"/>
        <w:gridCol w:w="1056"/>
      </w:tblGrid>
      <w:tr>
        <w:trPr>
          <w:trHeight w:val="210" w:hRule="atLeast"/>
        </w:trPr>
        <w:tc>
          <w:tcPr>
            <w:tcW w:w="4221" w:type="dxa"/>
          </w:tcPr>
          <w:p>
            <w:pPr>
              <w:pStyle w:val="TableParagraph"/>
              <w:spacing w:line="191" w:lineRule="exact"/>
              <w:ind w:left="52"/>
              <w:rPr>
                <w:sz w:val="18"/>
              </w:rPr>
            </w:pPr>
            <w:r>
              <w:rPr>
                <w:color w:val="424242"/>
                <w:w w:val="105"/>
                <w:sz w:val="18"/>
              </w:rPr>
              <w:t>Short term investments al </w:t>
            </w:r>
            <w:r>
              <w:rPr>
                <w:color w:val="2F2F2F"/>
                <w:w w:val="105"/>
                <w:sz w:val="18"/>
              </w:rPr>
              <w:t>I January</w:t>
            </w:r>
          </w:p>
        </w:tc>
        <w:tc>
          <w:tcPr>
            <w:tcW w:w="2504" w:type="dxa"/>
          </w:tcPr>
          <w:p>
            <w:pPr>
              <w:pStyle w:val="TableParagraph"/>
              <w:spacing w:line="191" w:lineRule="exact"/>
              <w:ind w:right="218"/>
              <w:jc w:val="right"/>
              <w:rPr>
                <w:sz w:val="18"/>
              </w:rPr>
            </w:pPr>
            <w:r>
              <w:rPr>
                <w:color w:val="2F2F2F"/>
                <w:sz w:val="18"/>
              </w:rPr>
              <w:t>177</w:t>
            </w:r>
          </w:p>
        </w:tc>
        <w:tc>
          <w:tcPr>
            <w:tcW w:w="1056" w:type="dxa"/>
          </w:tcPr>
          <w:p>
            <w:pPr>
              <w:pStyle w:val="TableParagraph"/>
              <w:spacing w:line="191" w:lineRule="exact"/>
              <w:ind w:right="167"/>
              <w:jc w:val="right"/>
              <w:rPr>
                <w:sz w:val="18"/>
              </w:rPr>
            </w:pPr>
            <w:r>
              <w:rPr>
                <w:color w:val="424242"/>
                <w:sz w:val="18"/>
              </w:rPr>
              <w:t>170</w:t>
            </w:r>
          </w:p>
        </w:tc>
      </w:tr>
      <w:tr>
        <w:trPr>
          <w:trHeight w:val="226" w:hRule="atLeast"/>
        </w:trPr>
        <w:tc>
          <w:tcPr>
            <w:tcW w:w="4221" w:type="dxa"/>
          </w:tcPr>
          <w:p>
            <w:pPr>
              <w:pStyle w:val="TableParagraph"/>
              <w:spacing w:line="203" w:lineRule="exact" w:before="3"/>
              <w:ind w:left="69"/>
              <w:rPr>
                <w:sz w:val="18"/>
              </w:rPr>
            </w:pPr>
            <w:r>
              <w:rPr>
                <w:color w:val="2F2F2F"/>
                <w:w w:val="110"/>
                <w:sz w:val="18"/>
              </w:rPr>
              <w:t>Interest </w:t>
            </w:r>
            <w:r>
              <w:rPr>
                <w:color w:val="424242"/>
                <w:w w:val="110"/>
                <w:sz w:val="18"/>
              </w:rPr>
              <w:t>added</w:t>
            </w:r>
          </w:p>
        </w:tc>
        <w:tc>
          <w:tcPr>
            <w:tcW w:w="2504" w:type="dxa"/>
          </w:tcPr>
          <w:p>
            <w:pPr>
              <w:pStyle w:val="TableParagraph"/>
              <w:spacing w:line="203" w:lineRule="exact" w:before="3"/>
              <w:ind w:right="209"/>
              <w:jc w:val="right"/>
              <w:rPr>
                <w:sz w:val="18"/>
              </w:rPr>
            </w:pPr>
            <w:r>
              <w:rPr>
                <w:color w:val="424242"/>
                <w:w w:val="103"/>
                <w:sz w:val="18"/>
              </w:rPr>
              <w:t>5</w:t>
            </w:r>
          </w:p>
        </w:tc>
        <w:tc>
          <w:tcPr>
            <w:tcW w:w="1056" w:type="dxa"/>
          </w:tcPr>
          <w:p>
            <w:pPr>
              <w:pStyle w:val="TableParagraph"/>
              <w:spacing w:line="203" w:lineRule="exact" w:before="3"/>
              <w:ind w:right="165"/>
              <w:jc w:val="right"/>
              <w:rPr>
                <w:sz w:val="18"/>
              </w:rPr>
            </w:pPr>
            <w:r>
              <w:rPr>
                <w:color w:val="2F2F2F"/>
                <w:w w:val="103"/>
                <w:sz w:val="18"/>
              </w:rPr>
              <w:t>7</w:t>
            </w:r>
          </w:p>
        </w:tc>
      </w:tr>
      <w:tr>
        <w:trPr>
          <w:trHeight w:val="251" w:hRule="atLeast"/>
        </w:trPr>
        <w:tc>
          <w:tcPr>
            <w:tcW w:w="4221" w:type="dxa"/>
          </w:tcPr>
          <w:p>
            <w:pPr>
              <w:pStyle w:val="TableParagraph"/>
              <w:spacing w:before="8"/>
              <w:ind w:left="50"/>
              <w:rPr>
                <w:sz w:val="18"/>
              </w:rPr>
            </w:pPr>
            <w:r>
              <w:rPr>
                <w:color w:val="424242"/>
                <w:w w:val="105"/>
                <w:sz w:val="18"/>
              </w:rPr>
              <w:t>Investment </w:t>
            </w:r>
            <w:r>
              <w:rPr>
                <w:color w:val="2F2F2F"/>
                <w:w w:val="105"/>
                <w:sz w:val="18"/>
              </w:rPr>
              <w:t>repaid</w:t>
            </w:r>
          </w:p>
        </w:tc>
        <w:tc>
          <w:tcPr>
            <w:tcW w:w="2504" w:type="dxa"/>
          </w:tcPr>
          <w:p>
            <w:pPr>
              <w:pStyle w:val="TableParagraph"/>
              <w:spacing w:before="18"/>
              <w:ind w:right="194"/>
              <w:jc w:val="right"/>
              <w:rPr>
                <w:sz w:val="18"/>
              </w:rPr>
            </w:pPr>
            <w:r>
              <w:rPr>
                <w:color w:val="424242"/>
                <w:w w:val="110"/>
                <w:sz w:val="18"/>
                <w:u w:val="double" w:color="424242"/>
              </w:rPr>
              <w:t>(182)</w:t>
            </w:r>
          </w:p>
        </w:tc>
        <w:tc>
          <w:tcPr>
            <w:tcW w:w="1056" w:type="dxa"/>
            <w:tcBorders>
              <w:bottom w:val="single" w:sz="4" w:space="0" w:color="000000"/>
            </w:tcBorders>
          </w:tcPr>
          <w:p>
            <w:pPr>
              <w:pStyle w:val="TableParagraph"/>
              <w:rPr>
                <w:sz w:val="18"/>
              </w:rPr>
            </w:pPr>
          </w:p>
        </w:tc>
      </w:tr>
      <w:tr>
        <w:trPr>
          <w:trHeight w:val="194" w:hRule="atLeast"/>
        </w:trPr>
        <w:tc>
          <w:tcPr>
            <w:tcW w:w="4221" w:type="dxa"/>
          </w:tcPr>
          <w:p>
            <w:pPr>
              <w:pStyle w:val="TableParagraph"/>
              <w:rPr>
                <w:sz w:val="12"/>
              </w:rPr>
            </w:pPr>
          </w:p>
        </w:tc>
        <w:tc>
          <w:tcPr>
            <w:tcW w:w="2504" w:type="dxa"/>
          </w:tcPr>
          <w:p>
            <w:pPr>
              <w:pStyle w:val="TableParagraph"/>
              <w:tabs>
                <w:tab w:pos="2441" w:val="left" w:leader="none"/>
              </w:tabs>
              <w:spacing w:line="175" w:lineRule="exact"/>
              <w:ind w:left="1466"/>
              <w:rPr>
                <w:sz w:val="18"/>
              </w:rPr>
            </w:pPr>
            <w:r>
              <w:rPr>
                <w:color w:val="2F2F2F"/>
                <w:w w:val="100"/>
                <w:sz w:val="18"/>
                <w:u w:val="single" w:color="000000"/>
              </w:rPr>
              <w:t> </w:t>
            </w:r>
            <w:r>
              <w:rPr>
                <w:color w:val="2F2F2F"/>
                <w:sz w:val="18"/>
                <w:u w:val="single" w:color="000000"/>
              </w:rPr>
              <w:tab/>
            </w:r>
          </w:p>
        </w:tc>
        <w:tc>
          <w:tcPr>
            <w:tcW w:w="1056" w:type="dxa"/>
            <w:tcBorders>
              <w:top w:val="single" w:sz="4" w:space="0" w:color="000000"/>
            </w:tcBorders>
          </w:tcPr>
          <w:p>
            <w:pPr>
              <w:pStyle w:val="TableParagraph"/>
              <w:tabs>
                <w:tab w:pos="547" w:val="left" w:leader="none"/>
              </w:tabs>
              <w:spacing w:line="168" w:lineRule="exact"/>
              <w:ind w:right="49"/>
              <w:jc w:val="right"/>
              <w:rPr>
                <w:sz w:val="18"/>
              </w:rPr>
            </w:pPr>
            <w:r>
              <w:rPr>
                <w:color w:val="2F2F2F"/>
                <w:w w:val="100"/>
                <w:sz w:val="18"/>
                <w:u w:val="single" w:color="000000"/>
              </w:rPr>
              <w:t> </w:t>
            </w:r>
            <w:r>
              <w:rPr>
                <w:color w:val="2F2F2F"/>
                <w:sz w:val="18"/>
                <w:u w:val="single" w:color="000000"/>
              </w:rPr>
              <w:tab/>
            </w:r>
            <w:r>
              <w:rPr>
                <w:color w:val="2F2F2F"/>
                <w:w w:val="110"/>
                <w:sz w:val="18"/>
                <w:u w:val="single" w:color="000000"/>
              </w:rPr>
              <w:t>177</w:t>
            </w:r>
            <w:r>
              <w:rPr>
                <w:color w:val="2F2F2F"/>
                <w:spacing w:val="5"/>
                <w:sz w:val="18"/>
                <w:u w:val="single" w:color="000000"/>
              </w:rPr>
              <w:t> </w:t>
            </w:r>
          </w:p>
        </w:tc>
      </w:tr>
    </w:tbl>
    <w:p>
      <w:pPr>
        <w:pStyle w:val="BodyText"/>
        <w:spacing w:before="62"/>
        <w:ind w:left="1934"/>
        <w:rPr>
          <w:rFonts w:ascii="Times New Roman"/>
        </w:rPr>
      </w:pPr>
      <w:r>
        <w:rPr>
          <w:rFonts w:ascii="Times New Roman"/>
          <w:color w:val="424242"/>
          <w:w w:val="105"/>
        </w:rPr>
        <w:t>Short term investments comprised money market </w:t>
      </w:r>
      <w:r>
        <w:rPr>
          <w:rFonts w:ascii="Times New Roman"/>
          <w:color w:val="2F2F2F"/>
          <w:w w:val="105"/>
        </w:rPr>
        <w:t>term deposits.</w:t>
      </w:r>
    </w:p>
    <w:p>
      <w:pPr>
        <w:pStyle w:val="BodyText"/>
        <w:spacing w:before="6"/>
        <w:rPr>
          <w:rFonts w:ascii="Times New Roman"/>
          <w:sz w:val="20"/>
        </w:rPr>
      </w:pPr>
    </w:p>
    <w:p>
      <w:pPr>
        <w:spacing w:before="0"/>
        <w:ind w:left="999" w:right="0" w:firstLine="0"/>
        <w:jc w:val="both"/>
        <w:rPr>
          <w:rFonts w:ascii="Times New Roman"/>
          <w:b/>
          <w:sz w:val="18"/>
        </w:rPr>
      </w:pPr>
      <w:bookmarkStart w:name="_TOC_250005" w:id="16"/>
      <w:r>
        <w:rPr>
          <w:rFonts w:ascii="Times New Roman"/>
          <w:b/>
          <w:color w:val="2F2F2F"/>
          <w:w w:val="110"/>
          <w:sz w:val="18"/>
        </w:rPr>
        <w:t>N</w:t>
      </w:r>
      <w:r>
        <w:rPr>
          <w:rFonts w:ascii="Times New Roman"/>
          <w:b/>
          <w:color w:val="161616"/>
          <w:w w:val="110"/>
          <w:sz w:val="18"/>
        </w:rPr>
        <w:t>OT</w:t>
      </w:r>
      <w:r>
        <w:rPr>
          <w:rFonts w:ascii="Times New Roman"/>
          <w:b/>
          <w:color w:val="2F2F2F"/>
          <w:w w:val="110"/>
          <w:sz w:val="18"/>
        </w:rPr>
        <w:t>E </w:t>
      </w:r>
      <w:r>
        <w:rPr>
          <w:rFonts w:ascii="Times New Roman"/>
          <w:b/>
          <w:color w:val="161616"/>
          <w:w w:val="110"/>
          <w:sz w:val="18"/>
        </w:rPr>
        <w:t>1</w:t>
      </w:r>
      <w:r>
        <w:rPr>
          <w:rFonts w:ascii="Times New Roman"/>
          <w:b/>
          <w:color w:val="2F2F2F"/>
          <w:w w:val="110"/>
          <w:sz w:val="18"/>
        </w:rPr>
        <w:t>3 PR</w:t>
      </w:r>
      <w:r>
        <w:rPr>
          <w:rFonts w:ascii="Times New Roman"/>
          <w:b/>
          <w:color w:val="161616"/>
          <w:w w:val="110"/>
          <w:sz w:val="18"/>
        </w:rPr>
        <w:t>O</w:t>
      </w:r>
      <w:r>
        <w:rPr>
          <w:rFonts w:ascii="Times New Roman"/>
          <w:b/>
          <w:color w:val="2F2F2F"/>
          <w:w w:val="110"/>
          <w:sz w:val="18"/>
        </w:rPr>
        <w:t>GRAM</w:t>
      </w:r>
      <w:r>
        <w:rPr>
          <w:rFonts w:ascii="Times New Roman"/>
          <w:b/>
          <w:color w:val="161616"/>
          <w:w w:val="110"/>
          <w:sz w:val="18"/>
        </w:rPr>
        <w:t>M</w:t>
      </w:r>
      <w:r>
        <w:rPr>
          <w:rFonts w:ascii="Times New Roman"/>
          <w:b/>
          <w:color w:val="2F2F2F"/>
          <w:w w:val="110"/>
          <w:sz w:val="18"/>
        </w:rPr>
        <w:t>E-RELA</w:t>
      </w:r>
      <w:r>
        <w:rPr>
          <w:rFonts w:ascii="Times New Roman"/>
          <w:b/>
          <w:color w:val="161616"/>
          <w:w w:val="110"/>
          <w:sz w:val="18"/>
        </w:rPr>
        <w:t>T</w:t>
      </w:r>
      <w:r>
        <w:rPr>
          <w:rFonts w:ascii="Times New Roman"/>
          <w:b/>
          <w:color w:val="2F2F2F"/>
          <w:w w:val="110"/>
          <w:sz w:val="18"/>
        </w:rPr>
        <w:t>E</w:t>
      </w:r>
      <w:r>
        <w:rPr>
          <w:rFonts w:ascii="Times New Roman"/>
          <w:b/>
          <w:color w:val="161616"/>
          <w:w w:val="110"/>
          <w:sz w:val="18"/>
        </w:rPr>
        <w:t>D </w:t>
      </w:r>
      <w:r>
        <w:rPr>
          <w:rFonts w:ascii="Times New Roman"/>
          <w:b/>
          <w:color w:val="2F2F2F"/>
          <w:w w:val="110"/>
          <w:sz w:val="18"/>
        </w:rPr>
        <w:t>INVES</w:t>
      </w:r>
      <w:r>
        <w:rPr>
          <w:rFonts w:ascii="Times New Roman"/>
          <w:b/>
          <w:color w:val="161616"/>
          <w:w w:val="110"/>
          <w:sz w:val="18"/>
        </w:rPr>
        <w:t>T</w:t>
      </w:r>
      <w:r>
        <w:rPr>
          <w:rFonts w:ascii="Times New Roman"/>
          <w:b/>
          <w:color w:val="2F2F2F"/>
          <w:w w:val="110"/>
          <w:sz w:val="18"/>
        </w:rPr>
        <w:t>MEN</w:t>
      </w:r>
      <w:r>
        <w:rPr>
          <w:rFonts w:ascii="Times New Roman"/>
          <w:b/>
          <w:color w:val="161616"/>
          <w:w w:val="110"/>
          <w:sz w:val="18"/>
        </w:rPr>
        <w:t>T</w:t>
      </w:r>
      <w:bookmarkEnd w:id="16"/>
      <w:r>
        <w:rPr>
          <w:rFonts w:ascii="Times New Roman"/>
          <w:b/>
          <w:color w:val="2F2F2F"/>
          <w:w w:val="110"/>
          <w:sz w:val="18"/>
        </w:rPr>
        <w:t>S</w:t>
      </w:r>
    </w:p>
    <w:p>
      <w:pPr>
        <w:pStyle w:val="BodyText"/>
        <w:spacing w:line="259" w:lineRule="auto" w:before="120"/>
        <w:ind w:left="1000" w:right="899" w:hanging="11"/>
        <w:jc w:val="both"/>
        <w:rPr>
          <w:rFonts w:ascii="Times New Roman" w:hAnsi="Times New Roman"/>
        </w:rPr>
      </w:pPr>
      <w:r>
        <w:rPr>
          <w:rFonts w:ascii="Times New Roman" w:hAnsi="Times New Roman"/>
          <w:color w:val="424242"/>
          <w:w w:val="105"/>
        </w:rPr>
        <w:t>Programme-related investments are investments made </w:t>
      </w:r>
      <w:r>
        <w:rPr>
          <w:rFonts w:ascii="Times New Roman" w:hAnsi="Times New Roman"/>
          <w:color w:val="2F2F2F"/>
          <w:w w:val="105"/>
        </w:rPr>
        <w:t>in </w:t>
      </w:r>
      <w:r>
        <w:rPr>
          <w:rFonts w:ascii="Times New Roman" w:hAnsi="Times New Roman"/>
          <w:color w:val="424242"/>
          <w:w w:val="105"/>
        </w:rPr>
        <w:t>pursuit of the Church's charitable purposes, the primary motivation for which </w:t>
      </w:r>
      <w:r>
        <w:rPr>
          <w:rFonts w:ascii="Times New Roman" w:hAnsi="Times New Roman"/>
          <w:color w:val="2F2F2F"/>
          <w:w w:val="105"/>
        </w:rPr>
        <w:t>is </w:t>
      </w:r>
      <w:r>
        <w:rPr>
          <w:rFonts w:ascii="Times New Roman" w:hAnsi="Times New Roman"/>
          <w:color w:val="424242"/>
          <w:w w:val="105"/>
        </w:rPr>
        <w:t>not financial but to further </w:t>
      </w:r>
      <w:r>
        <w:rPr>
          <w:rFonts w:ascii="Times New Roman" w:hAnsi="Times New Roman"/>
          <w:color w:val="2F2F2F"/>
          <w:w w:val="105"/>
        </w:rPr>
        <w:t>our </w:t>
      </w:r>
      <w:r>
        <w:rPr>
          <w:rFonts w:ascii="Times New Roman" w:hAnsi="Times New Roman"/>
          <w:color w:val="424242"/>
          <w:w w:val="105"/>
        </w:rPr>
        <w:t>objectives and programme. The principal programme­ related investment </w:t>
      </w:r>
      <w:r>
        <w:rPr>
          <w:rFonts w:ascii="Times New Roman" w:hAnsi="Times New Roman"/>
          <w:color w:val="2F2F2F"/>
          <w:w w:val="105"/>
        </w:rPr>
        <w:t>is </w:t>
      </w:r>
      <w:r>
        <w:rPr>
          <w:rFonts w:ascii="Times New Roman" w:hAnsi="Times New Roman"/>
          <w:color w:val="424242"/>
          <w:w w:val="105"/>
        </w:rPr>
        <w:t>£200k as a Founder </w:t>
      </w:r>
      <w:r>
        <w:rPr>
          <w:rFonts w:ascii="Times New Roman" w:hAnsi="Times New Roman"/>
          <w:color w:val="2F2F2F"/>
          <w:w w:val="105"/>
        </w:rPr>
        <w:t>Member </w:t>
      </w:r>
      <w:r>
        <w:rPr>
          <w:rFonts w:ascii="Times New Roman" w:hAnsi="Times New Roman"/>
          <w:color w:val="424242"/>
          <w:w w:val="105"/>
        </w:rPr>
        <w:t>of Luther </w:t>
      </w:r>
      <w:r>
        <w:rPr>
          <w:rFonts w:ascii="Times New Roman" w:hAnsi="Times New Roman"/>
          <w:color w:val="2F2F2F"/>
          <w:w w:val="105"/>
        </w:rPr>
        <w:t>King House </w:t>
      </w:r>
      <w:r>
        <w:rPr>
          <w:rFonts w:ascii="Times New Roman" w:hAnsi="Times New Roman"/>
          <w:color w:val="424242"/>
          <w:w w:val="105"/>
        </w:rPr>
        <w:t>Educational Trust, which owns </w:t>
      </w:r>
      <w:r>
        <w:rPr>
          <w:rFonts w:ascii="Times New Roman" w:hAnsi="Times New Roman"/>
          <w:color w:val="2F2F2F"/>
          <w:w w:val="105"/>
        </w:rPr>
        <w:t>the </w:t>
      </w:r>
      <w:r>
        <w:rPr>
          <w:rFonts w:ascii="Times New Roman" w:hAnsi="Times New Roman"/>
          <w:color w:val="424242"/>
          <w:w w:val="105"/>
        </w:rPr>
        <w:t>property </w:t>
      </w:r>
      <w:r>
        <w:rPr>
          <w:rFonts w:ascii="Times New Roman" w:hAnsi="Times New Roman"/>
          <w:color w:val="565656"/>
          <w:w w:val="105"/>
        </w:rPr>
        <w:t>that </w:t>
      </w:r>
      <w:r>
        <w:rPr>
          <w:rFonts w:ascii="Times New Roman" w:hAnsi="Times New Roman"/>
          <w:color w:val="424242"/>
          <w:w w:val="105"/>
        </w:rPr>
        <w:t>houses our resource centre for learning at </w:t>
      </w:r>
      <w:r>
        <w:rPr>
          <w:rFonts w:ascii="Times New Roman" w:hAnsi="Times New Roman"/>
          <w:color w:val="2F2F2F"/>
          <w:w w:val="105"/>
        </w:rPr>
        <w:t>Northern </w:t>
      </w:r>
      <w:r>
        <w:rPr>
          <w:rFonts w:ascii="Times New Roman" w:hAnsi="Times New Roman"/>
          <w:color w:val="424242"/>
          <w:w w:val="105"/>
        </w:rPr>
        <w:t>College</w:t>
      </w:r>
      <w:r>
        <w:rPr>
          <w:rFonts w:ascii="Times New Roman" w:hAnsi="Times New Roman"/>
          <w:w w:val="105"/>
        </w:rPr>
        <w:t>.</w:t>
      </w:r>
    </w:p>
    <w:p>
      <w:pPr>
        <w:pStyle w:val="BodyText"/>
        <w:spacing w:before="3"/>
        <w:rPr>
          <w:rFonts w:ascii="Times New Roman"/>
          <w:sz w:val="11"/>
        </w:rPr>
      </w:pPr>
    </w:p>
    <w:p>
      <w:pPr>
        <w:spacing w:after="0"/>
        <w:rPr>
          <w:rFonts w:ascii="Times New Roman"/>
          <w:sz w:val="11"/>
        </w:rPr>
        <w:sectPr>
          <w:type w:val="continuous"/>
          <w:pgSz w:w="10950" w:h="15880"/>
          <w:pgMar w:top="680" w:bottom="280" w:left="500" w:right="0"/>
        </w:sectPr>
      </w:pPr>
    </w:p>
    <w:p>
      <w:pPr>
        <w:tabs>
          <w:tab w:pos="2183" w:val="left" w:leader="none"/>
        </w:tabs>
        <w:spacing w:before="92"/>
        <w:ind w:left="999" w:right="0" w:firstLine="0"/>
        <w:jc w:val="left"/>
        <w:rPr>
          <w:rFonts w:ascii="Times New Roman"/>
          <w:b/>
          <w:sz w:val="18"/>
        </w:rPr>
      </w:pPr>
      <w:bookmarkStart w:name="_TOC_250004" w:id="17"/>
      <w:r>
        <w:rPr>
          <w:rFonts w:ascii="Times New Roman"/>
          <w:b/>
          <w:color w:val="424242"/>
          <w:spacing w:val="-7"/>
          <w:w w:val="110"/>
          <w:sz w:val="18"/>
        </w:rPr>
        <w:t>N</w:t>
      </w:r>
      <w:r>
        <w:rPr>
          <w:rFonts w:ascii="Times New Roman"/>
          <w:b/>
          <w:color w:val="161616"/>
          <w:spacing w:val="-7"/>
          <w:w w:val="110"/>
          <w:sz w:val="18"/>
        </w:rPr>
        <w:t>O</w:t>
      </w:r>
      <w:r>
        <w:rPr>
          <w:rFonts w:ascii="Times New Roman"/>
          <w:b/>
          <w:color w:val="2F2F2F"/>
          <w:spacing w:val="-7"/>
          <w:w w:val="110"/>
          <w:sz w:val="18"/>
        </w:rPr>
        <w:t>TE</w:t>
      </w:r>
      <w:r>
        <w:rPr>
          <w:rFonts w:ascii="Times New Roman"/>
          <w:b/>
          <w:color w:val="2F2F2F"/>
          <w:spacing w:val="-11"/>
          <w:w w:val="110"/>
          <w:sz w:val="18"/>
        </w:rPr>
        <w:t> </w:t>
      </w:r>
      <w:r>
        <w:rPr>
          <w:rFonts w:ascii="Times New Roman"/>
          <w:b/>
          <w:color w:val="2F2F2F"/>
          <w:w w:val="110"/>
          <w:sz w:val="18"/>
        </w:rPr>
        <w:t>1</w:t>
      </w:r>
      <w:r>
        <w:rPr>
          <w:rFonts w:ascii="Times New Roman"/>
          <w:b/>
          <w:color w:val="161616"/>
          <w:w w:val="110"/>
          <w:sz w:val="18"/>
        </w:rPr>
        <w:t>4</w:t>
        <w:tab/>
      </w:r>
      <w:r>
        <w:rPr>
          <w:rFonts w:ascii="Times New Roman"/>
          <w:b/>
          <w:color w:val="2F2F2F"/>
          <w:spacing w:val="-3"/>
          <w:w w:val="110"/>
          <w:sz w:val="18"/>
        </w:rPr>
        <w:t>L</w:t>
      </w:r>
      <w:r>
        <w:rPr>
          <w:rFonts w:ascii="Times New Roman"/>
          <w:b/>
          <w:color w:val="161616"/>
          <w:spacing w:val="-3"/>
          <w:w w:val="110"/>
          <w:sz w:val="18"/>
        </w:rPr>
        <w:t>O</w:t>
      </w:r>
      <w:bookmarkEnd w:id="17"/>
      <w:r>
        <w:rPr>
          <w:rFonts w:ascii="Times New Roman"/>
          <w:b/>
          <w:color w:val="2F2F2F"/>
          <w:spacing w:val="-3"/>
          <w:w w:val="110"/>
          <w:sz w:val="18"/>
        </w:rPr>
        <w:t>ANS</w:t>
      </w:r>
    </w:p>
    <w:p>
      <w:pPr>
        <w:pStyle w:val="BodyText"/>
        <w:rPr>
          <w:rFonts w:ascii="Times New Roman"/>
          <w:b/>
          <w:sz w:val="20"/>
        </w:rPr>
      </w:pPr>
    </w:p>
    <w:p>
      <w:pPr>
        <w:pStyle w:val="BodyText"/>
        <w:spacing w:before="7"/>
        <w:rPr>
          <w:rFonts w:ascii="Times New Roman"/>
          <w:b/>
          <w:sz w:val="20"/>
        </w:rPr>
      </w:pPr>
    </w:p>
    <w:p>
      <w:pPr>
        <w:pStyle w:val="BodyText"/>
        <w:ind w:left="1085"/>
        <w:rPr>
          <w:rFonts w:ascii="Times New Roman"/>
        </w:rPr>
      </w:pPr>
      <w:r>
        <w:rPr>
          <w:rFonts w:ascii="Times New Roman"/>
          <w:color w:val="424242"/>
          <w:w w:val="105"/>
        </w:rPr>
        <w:t>External</w:t>
      </w:r>
      <w:r>
        <w:rPr>
          <w:rFonts w:ascii="Times New Roman"/>
          <w:color w:val="424242"/>
          <w:spacing w:val="-19"/>
          <w:w w:val="105"/>
        </w:rPr>
        <w:t> </w:t>
      </w:r>
      <w:r>
        <w:rPr>
          <w:rFonts w:ascii="Times New Roman"/>
          <w:color w:val="424242"/>
          <w:w w:val="105"/>
        </w:rPr>
        <w:t>Joans</w:t>
      </w:r>
      <w:r>
        <w:rPr>
          <w:rFonts w:ascii="Times New Roman"/>
          <w:color w:val="424242"/>
          <w:spacing w:val="-24"/>
          <w:w w:val="105"/>
        </w:rPr>
        <w:t> </w:t>
      </w:r>
      <w:r>
        <w:rPr>
          <w:rFonts w:ascii="Times New Roman"/>
          <w:color w:val="2F2F2F"/>
          <w:w w:val="105"/>
        </w:rPr>
        <w:t>comprise</w:t>
      </w:r>
      <w:r>
        <w:rPr>
          <w:rFonts w:ascii="Times New Roman"/>
          <w:color w:val="2F2F2F"/>
          <w:spacing w:val="-30"/>
          <w:w w:val="105"/>
        </w:rPr>
        <w:t> </w:t>
      </w:r>
      <w:r>
        <w:rPr>
          <w:rFonts w:ascii="Times New Roman"/>
          <w:color w:val="161616"/>
          <w:w w:val="105"/>
        </w:rPr>
        <w:t>:</w:t>
      </w:r>
    </w:p>
    <w:p>
      <w:pPr>
        <w:pStyle w:val="BodyText"/>
        <w:spacing w:before="3"/>
        <w:rPr>
          <w:rFonts w:ascii="Times New Roman"/>
          <w:sz w:val="27"/>
        </w:rPr>
      </w:pPr>
      <w:r>
        <w:rPr/>
        <w:br w:type="column"/>
      </w:r>
      <w:r>
        <w:rPr>
          <w:rFonts w:ascii="Times New Roman"/>
          <w:sz w:val="27"/>
        </w:rPr>
      </w:r>
    </w:p>
    <w:p>
      <w:pPr>
        <w:tabs>
          <w:tab w:pos="2163" w:val="left" w:leader="none"/>
        </w:tabs>
        <w:spacing w:before="1"/>
        <w:ind w:left="1046" w:right="0" w:firstLine="0"/>
        <w:jc w:val="left"/>
        <w:rPr>
          <w:rFonts w:ascii="Times New Roman"/>
          <w:b/>
          <w:sz w:val="19"/>
        </w:rPr>
      </w:pPr>
      <w:r>
        <w:rPr>
          <w:rFonts w:ascii="Times New Roman"/>
          <w:b/>
          <w:color w:val="2F2F2F"/>
          <w:spacing w:val="-4"/>
          <w:w w:val="110"/>
          <w:sz w:val="19"/>
        </w:rPr>
        <w:t>2</w:t>
      </w:r>
      <w:r>
        <w:rPr>
          <w:rFonts w:ascii="Times New Roman"/>
          <w:b/>
          <w:color w:val="161616"/>
          <w:spacing w:val="-4"/>
          <w:w w:val="110"/>
          <w:sz w:val="19"/>
        </w:rPr>
        <w:t>0</w:t>
      </w:r>
      <w:r>
        <w:rPr>
          <w:rFonts w:ascii="Times New Roman"/>
          <w:b/>
          <w:color w:val="2F2F2F"/>
          <w:spacing w:val="-4"/>
          <w:w w:val="110"/>
          <w:sz w:val="19"/>
        </w:rPr>
        <w:t>06</w:t>
        <w:tab/>
      </w:r>
      <w:r>
        <w:rPr>
          <w:rFonts w:ascii="Times New Roman"/>
          <w:b/>
          <w:color w:val="2F2F2F"/>
          <w:spacing w:val="-6"/>
          <w:w w:val="110"/>
          <w:sz w:val="19"/>
        </w:rPr>
        <w:t>2</w:t>
      </w:r>
      <w:r>
        <w:rPr>
          <w:rFonts w:ascii="Times New Roman"/>
          <w:b/>
          <w:color w:val="161616"/>
          <w:spacing w:val="-6"/>
          <w:w w:val="110"/>
          <w:sz w:val="19"/>
        </w:rPr>
        <w:t>00</w:t>
      </w:r>
      <w:r>
        <w:rPr>
          <w:rFonts w:ascii="Times New Roman"/>
          <w:b/>
          <w:color w:val="2F2F2F"/>
          <w:spacing w:val="-6"/>
          <w:w w:val="110"/>
          <w:sz w:val="19"/>
        </w:rPr>
        <w:t>5</w:t>
      </w:r>
    </w:p>
    <w:p>
      <w:pPr>
        <w:tabs>
          <w:tab w:pos="2116" w:val="left" w:leader="none"/>
        </w:tabs>
        <w:spacing w:before="2"/>
        <w:ind w:left="999" w:right="0" w:firstLine="0"/>
        <w:jc w:val="left"/>
        <w:rPr>
          <w:rFonts w:ascii="Times New Roman" w:hAnsi="Times New Roman"/>
          <w:b/>
          <w:sz w:val="19"/>
        </w:rPr>
      </w:pPr>
      <w:r>
        <w:rPr>
          <w:rFonts w:ascii="Times New Roman" w:hAnsi="Times New Roman"/>
          <w:b/>
          <w:color w:val="2F2F2F"/>
          <w:w w:val="110"/>
          <w:sz w:val="19"/>
        </w:rPr>
        <w:t>£</w:t>
      </w:r>
      <w:r>
        <w:rPr>
          <w:rFonts w:ascii="Times New Roman" w:hAnsi="Times New Roman"/>
          <w:b/>
          <w:color w:val="161616"/>
          <w:w w:val="110"/>
          <w:sz w:val="19"/>
        </w:rPr>
        <w:t>'000</w:t>
        <w:tab/>
      </w:r>
      <w:r>
        <w:rPr>
          <w:rFonts w:ascii="Times New Roman" w:hAnsi="Times New Roman"/>
          <w:b/>
          <w:color w:val="2F2F2F"/>
          <w:spacing w:val="-4"/>
          <w:w w:val="110"/>
          <w:sz w:val="19"/>
        </w:rPr>
        <w:t>£'</w:t>
      </w:r>
      <w:r>
        <w:rPr>
          <w:rFonts w:ascii="Times New Roman" w:hAnsi="Times New Roman"/>
          <w:b/>
          <w:color w:val="161616"/>
          <w:spacing w:val="-4"/>
          <w:w w:val="110"/>
          <w:sz w:val="19"/>
        </w:rPr>
        <w:t>000</w:t>
      </w:r>
    </w:p>
    <w:p>
      <w:pPr>
        <w:spacing w:after="0"/>
        <w:jc w:val="left"/>
        <w:rPr>
          <w:rFonts w:ascii="Times New Roman" w:hAnsi="Times New Roman"/>
          <w:sz w:val="19"/>
        </w:rPr>
        <w:sectPr>
          <w:type w:val="continuous"/>
          <w:pgSz w:w="10950" w:h="15880"/>
          <w:pgMar w:top="680" w:bottom="280" w:left="500" w:right="0"/>
          <w:cols w:num="2" w:equalWidth="0">
            <w:col w:w="2999" w:space="3963"/>
            <w:col w:w="3488"/>
          </w:cols>
        </w:sectPr>
      </w:pPr>
    </w:p>
    <w:p>
      <w:pPr>
        <w:pStyle w:val="BodyText"/>
        <w:tabs>
          <w:tab w:pos="8106" w:val="left" w:leader="none"/>
          <w:tab w:pos="9512" w:val="right" w:leader="none"/>
        </w:tabs>
        <w:spacing w:before="24"/>
        <w:ind w:left="1921"/>
        <w:rPr>
          <w:rFonts w:ascii="Times New Roman"/>
        </w:rPr>
      </w:pPr>
      <w:r>
        <w:rPr>
          <w:rFonts w:ascii="Times New Roman"/>
          <w:color w:val="565656"/>
          <w:w w:val="110"/>
        </w:rPr>
        <w:t>To</w:t>
      </w:r>
      <w:r>
        <w:rPr>
          <w:rFonts w:ascii="Times New Roman"/>
          <w:color w:val="565656"/>
          <w:spacing w:val="-10"/>
          <w:w w:val="110"/>
        </w:rPr>
        <w:t> </w:t>
      </w:r>
      <w:r>
        <w:rPr>
          <w:rFonts w:ascii="Times New Roman"/>
          <w:color w:val="424242"/>
          <w:w w:val="110"/>
        </w:rPr>
        <w:t>churches</w:t>
        <w:tab/>
      </w:r>
      <w:r>
        <w:rPr>
          <w:rFonts w:ascii="Times New Roman"/>
          <w:color w:val="2F2F2F"/>
          <w:w w:val="110"/>
        </w:rPr>
        <w:t>465</w:t>
        <w:tab/>
        <w:t>421</w:t>
      </w:r>
    </w:p>
    <w:p>
      <w:pPr>
        <w:pStyle w:val="BodyText"/>
        <w:tabs>
          <w:tab w:pos="8107" w:val="left" w:leader="none"/>
          <w:tab w:pos="9506" w:val="right" w:leader="none"/>
        </w:tabs>
        <w:spacing w:before="14"/>
        <w:ind w:left="1921"/>
        <w:rPr>
          <w:rFonts w:ascii="Times New Roman"/>
        </w:rPr>
      </w:pPr>
      <w:r>
        <w:rPr>
          <w:rFonts w:ascii="Times New Roman"/>
          <w:color w:val="424242"/>
          <w:w w:val="105"/>
          <w:position w:val="1"/>
        </w:rPr>
        <w:t>To</w:t>
      </w:r>
      <w:r>
        <w:rPr>
          <w:rFonts w:ascii="Times New Roman"/>
          <w:color w:val="424242"/>
          <w:spacing w:val="7"/>
          <w:w w:val="105"/>
          <w:position w:val="1"/>
        </w:rPr>
        <w:t> </w:t>
      </w:r>
      <w:r>
        <w:rPr>
          <w:rFonts w:ascii="Times New Roman"/>
          <w:color w:val="2F2F2F"/>
          <w:w w:val="105"/>
          <w:position w:val="1"/>
        </w:rPr>
        <w:t>ministers</w:t>
        <w:tab/>
      </w:r>
      <w:r>
        <w:rPr>
          <w:rFonts w:ascii="Times New Roman"/>
          <w:color w:val="424242"/>
          <w:w w:val="105"/>
        </w:rPr>
        <w:t>105</w:t>
        <w:tab/>
      </w:r>
      <w:r>
        <w:rPr>
          <w:rFonts w:ascii="Times New Roman"/>
          <w:color w:val="2F2F2F"/>
          <w:w w:val="105"/>
        </w:rPr>
        <w:t>113</w:t>
      </w:r>
    </w:p>
    <w:p>
      <w:pPr>
        <w:pStyle w:val="BodyText"/>
        <w:tabs>
          <w:tab w:pos="6886" w:val="left" w:leader="none"/>
          <w:tab w:pos="7650" w:val="left" w:leader="none"/>
          <w:tab w:pos="8003" w:val="left" w:leader="none"/>
        </w:tabs>
        <w:spacing w:before="14"/>
        <w:ind w:right="930"/>
        <w:jc w:val="right"/>
        <w:rPr>
          <w:rFonts w:ascii="Times New Roman"/>
        </w:rPr>
      </w:pPr>
      <w:r>
        <w:rPr>
          <w:rFonts w:ascii="Times New Roman"/>
          <w:color w:val="424242"/>
          <w:w w:val="110"/>
        </w:rPr>
        <w:t>Inter-fund</w:t>
      </w:r>
      <w:r>
        <w:rPr>
          <w:rFonts w:ascii="Times New Roman"/>
          <w:color w:val="424242"/>
          <w:spacing w:val="-16"/>
          <w:w w:val="110"/>
        </w:rPr>
        <w:t> </w:t>
      </w:r>
      <w:r>
        <w:rPr>
          <w:rFonts w:ascii="Times New Roman"/>
          <w:color w:val="424242"/>
          <w:w w:val="110"/>
        </w:rPr>
        <w:t>loans</w:t>
        <w:tab/>
      </w:r>
      <w:r>
        <w:rPr>
          <w:rFonts w:ascii="Times New Roman"/>
          <w:color w:val="2F2F2F"/>
          <w:w w:val="110"/>
        </w:rPr>
        <w:t>4,412</w:t>
        <w:tab/>
      </w:r>
      <w:r>
        <w:rPr>
          <w:rFonts w:ascii="Times New Roman"/>
          <w:color w:val="424242"/>
          <w:w w:val="110"/>
          <w:u w:val="single" w:color="000000"/>
        </w:rPr>
        <w:t> </w:t>
        <w:tab/>
      </w:r>
      <w:r>
        <w:rPr>
          <w:rFonts w:ascii="Times New Roman"/>
          <w:color w:val="424242"/>
          <w:spacing w:val="-2"/>
          <w:w w:val="110"/>
          <w:u w:val="single" w:color="000000"/>
        </w:rPr>
        <w:t>4,</w:t>
      </w:r>
      <w:r>
        <w:rPr>
          <w:rFonts w:ascii="Times New Roman"/>
          <w:color w:val="161616"/>
          <w:spacing w:val="-2"/>
          <w:w w:val="110"/>
          <w:u w:val="single" w:color="000000"/>
        </w:rPr>
        <w:t>1</w:t>
      </w:r>
      <w:r>
        <w:rPr>
          <w:rFonts w:ascii="Times New Roman"/>
          <w:color w:val="424242"/>
          <w:spacing w:val="-2"/>
          <w:w w:val="110"/>
          <w:u w:val="single" w:color="000000"/>
        </w:rPr>
        <w:t>21</w:t>
      </w:r>
    </w:p>
    <w:p>
      <w:pPr>
        <w:pStyle w:val="BodyText"/>
        <w:tabs>
          <w:tab w:pos="1116" w:val="left" w:leader="none"/>
        </w:tabs>
        <w:spacing w:before="34" w:after="9"/>
        <w:ind w:right="925"/>
        <w:jc w:val="right"/>
        <w:rPr>
          <w:rFonts w:ascii="Times New Roman"/>
        </w:rPr>
      </w:pPr>
      <w:r>
        <w:rPr>
          <w:rFonts w:ascii="Times New Roman"/>
          <w:color w:val="424242"/>
          <w:w w:val="110"/>
        </w:rPr>
        <w:t>4,982</w:t>
        <w:tab/>
      </w:r>
      <w:r>
        <w:rPr>
          <w:rFonts w:ascii="Times New Roman"/>
          <w:color w:val="424242"/>
          <w:w w:val="105"/>
        </w:rPr>
        <w:t>4,655</w:t>
      </w:r>
    </w:p>
    <w:p>
      <w:pPr>
        <w:spacing w:line="20" w:lineRule="exact"/>
        <w:ind w:left="7540" w:right="0" w:firstLine="0"/>
        <w:rPr>
          <w:rFonts w:ascii="Times New Roman"/>
          <w:sz w:val="2"/>
        </w:rPr>
      </w:pPr>
      <w:r>
        <w:rPr>
          <w:rFonts w:ascii="Times New Roman"/>
          <w:sz w:val="2"/>
        </w:rPr>
        <w:pict>
          <v:group style="width:47.7pt;height:1pt;mso-position-horizontal-relative:char;mso-position-vertical-relative:line" coordorigin="0,0" coordsize="954,20">
            <v:line style="position:absolute" from="0,10" to="953,10" stroked="true" strokeweight=".962229pt" strokecolor="#000000">
              <v:stroke dashstyle="solid"/>
            </v:line>
          </v:group>
        </w:pict>
      </w:r>
      <w:r>
        <w:rPr>
          <w:rFonts w:ascii="Times New Roman"/>
          <w:sz w:val="2"/>
        </w:rPr>
      </w:r>
      <w:r>
        <w:rPr>
          <w:rFonts w:ascii="Times New Roman"/>
          <w:spacing w:val="136"/>
          <w:sz w:val="2"/>
        </w:rPr>
        <w:t> </w:t>
      </w:r>
      <w:r>
        <w:rPr>
          <w:rFonts w:ascii="Times New Roman"/>
          <w:spacing w:val="136"/>
          <w:sz w:val="2"/>
        </w:rPr>
        <w:pict>
          <v:group style="width:47.7pt;height:1pt;mso-position-horizontal-relative:char;mso-position-vertical-relative:line" coordorigin="0,0" coordsize="954,20">
            <v:line style="position:absolute" from="0,10" to="953,10" stroked="true" strokeweight=".962229pt" strokecolor="#000000">
              <v:stroke dashstyle="solid"/>
            </v:line>
          </v:group>
        </w:pict>
      </w:r>
      <w:r>
        <w:rPr>
          <w:rFonts w:ascii="Times New Roman"/>
          <w:spacing w:val="136"/>
          <w:sz w:val="2"/>
        </w:rPr>
      </w:r>
    </w:p>
    <w:p>
      <w:pPr>
        <w:pStyle w:val="BodyText"/>
        <w:spacing w:line="249" w:lineRule="auto" w:before="5"/>
        <w:ind w:left="985" w:right="940" w:firstLine="3"/>
        <w:rPr>
          <w:rFonts w:ascii="Times New Roman" w:hAnsi="Times New Roman"/>
        </w:rPr>
      </w:pPr>
      <w:r>
        <w:rPr>
          <w:rFonts w:ascii="Times New Roman" w:hAnsi="Times New Roman"/>
          <w:color w:val="424242"/>
          <w:w w:val="105"/>
        </w:rPr>
        <w:t>Loans to ministers are generally interest free. Loans to churches bear interest at rates between </w:t>
      </w:r>
      <w:r>
        <w:rPr>
          <w:rFonts w:ascii="Times New Roman" w:hAnsi="Times New Roman"/>
          <w:color w:val="424242"/>
          <w:w w:val="105"/>
          <w:sz w:val="20"/>
        </w:rPr>
        <w:t>3</w:t>
      </w:r>
      <w:r>
        <w:rPr>
          <w:rFonts w:ascii="Times New Roman" w:hAnsi="Times New Roman"/>
          <w:color w:val="424242"/>
          <w:w w:val="105"/>
        </w:rPr>
        <w:t>½% and </w:t>
      </w:r>
      <w:r>
        <w:rPr>
          <w:rFonts w:ascii="Times New Roman" w:hAnsi="Times New Roman"/>
          <w:color w:val="2F2F2F"/>
          <w:w w:val="105"/>
        </w:rPr>
        <w:t>5</w:t>
      </w:r>
      <w:r>
        <w:rPr>
          <w:rFonts w:ascii="Times New Roman" w:hAnsi="Times New Roman"/>
          <w:color w:val="424242"/>
          <w:w w:val="105"/>
        </w:rPr>
        <w:t>½%, except for certain loans, wh</w:t>
      </w:r>
      <w:r>
        <w:rPr>
          <w:rFonts w:ascii="Times New Roman" w:hAnsi="Times New Roman"/>
          <w:color w:val="161616"/>
          <w:w w:val="105"/>
        </w:rPr>
        <w:t>i</w:t>
      </w:r>
      <w:r>
        <w:rPr>
          <w:rFonts w:ascii="Times New Roman" w:hAnsi="Times New Roman"/>
          <w:color w:val="2F2F2F"/>
          <w:w w:val="105"/>
        </w:rPr>
        <w:t>ch </w:t>
      </w:r>
      <w:r>
        <w:rPr>
          <w:rFonts w:ascii="Times New Roman" w:hAnsi="Times New Roman"/>
          <w:color w:val="424242"/>
          <w:w w:val="105"/>
        </w:rPr>
        <w:t>are interest free for an </w:t>
      </w:r>
      <w:r>
        <w:rPr>
          <w:rFonts w:ascii="Times New Roman" w:hAnsi="Times New Roman"/>
          <w:color w:val="2F2F2F"/>
          <w:w w:val="105"/>
        </w:rPr>
        <w:t>initia</w:t>
      </w:r>
      <w:r>
        <w:rPr>
          <w:rFonts w:ascii="Times New Roman" w:hAnsi="Times New Roman"/>
          <w:color w:val="161616"/>
          <w:w w:val="105"/>
        </w:rPr>
        <w:t>l </w:t>
      </w:r>
      <w:r>
        <w:rPr>
          <w:rFonts w:ascii="Times New Roman" w:hAnsi="Times New Roman"/>
          <w:color w:val="424242"/>
          <w:w w:val="105"/>
        </w:rPr>
        <w:t>period of two years</w:t>
      </w:r>
      <w:r>
        <w:rPr>
          <w:rFonts w:ascii="Times New Roman" w:hAnsi="Times New Roman"/>
          <w:color w:val="161616"/>
          <w:w w:val="105"/>
        </w:rPr>
        <w:t>.</w:t>
      </w:r>
    </w:p>
    <w:p>
      <w:pPr>
        <w:pStyle w:val="BodyText"/>
        <w:spacing w:line="256" w:lineRule="auto" w:before="132"/>
        <w:ind w:left="985" w:right="917" w:firstLine="11"/>
        <w:jc w:val="both"/>
        <w:rPr>
          <w:rFonts w:ascii="Times New Roman"/>
        </w:rPr>
      </w:pPr>
      <w:r>
        <w:rPr>
          <w:rFonts w:ascii="Times New Roman"/>
          <w:color w:val="424242"/>
          <w:w w:val="105"/>
        </w:rPr>
        <w:t>Inter-fund </w:t>
      </w:r>
      <w:r>
        <w:rPr>
          <w:rFonts w:ascii="Times New Roman"/>
          <w:color w:val="2F2F2F"/>
          <w:w w:val="105"/>
        </w:rPr>
        <w:t>loans represent </w:t>
      </w:r>
      <w:r>
        <w:rPr>
          <w:rFonts w:ascii="Times New Roman"/>
          <w:color w:val="424242"/>
          <w:w w:val="105"/>
        </w:rPr>
        <w:t>the long term indebtedness of the </w:t>
      </w:r>
      <w:r>
        <w:rPr>
          <w:rFonts w:ascii="Times New Roman"/>
          <w:color w:val="565656"/>
          <w:w w:val="105"/>
        </w:rPr>
        <w:t>Un</w:t>
      </w:r>
      <w:r>
        <w:rPr>
          <w:rFonts w:ascii="Times New Roman"/>
          <w:color w:val="2F2F2F"/>
          <w:w w:val="105"/>
        </w:rPr>
        <w:t>ited </w:t>
      </w:r>
      <w:r>
        <w:rPr>
          <w:rFonts w:ascii="Times New Roman"/>
          <w:color w:val="424242"/>
          <w:w w:val="105"/>
        </w:rPr>
        <w:t>Reformed Church Retired Ministers' Housing Society to other funds of </w:t>
      </w:r>
      <w:r>
        <w:rPr>
          <w:rFonts w:ascii="Times New Roman"/>
          <w:color w:val="2F2F2F"/>
          <w:spacing w:val="-3"/>
          <w:w w:val="105"/>
        </w:rPr>
        <w:t>th</w:t>
      </w:r>
      <w:r>
        <w:rPr>
          <w:rFonts w:ascii="Times New Roman"/>
          <w:color w:val="565656"/>
          <w:spacing w:val="-3"/>
          <w:w w:val="105"/>
        </w:rPr>
        <w:t>e </w:t>
      </w:r>
      <w:r>
        <w:rPr>
          <w:rFonts w:ascii="Times New Roman"/>
          <w:color w:val="424242"/>
          <w:spacing w:val="-4"/>
          <w:w w:val="105"/>
        </w:rPr>
        <w:t>Church</w:t>
      </w:r>
      <w:r>
        <w:rPr>
          <w:rFonts w:ascii="Times New Roman"/>
          <w:color w:val="161616"/>
          <w:spacing w:val="-4"/>
          <w:w w:val="105"/>
        </w:rPr>
        <w:t>. </w:t>
      </w:r>
      <w:r>
        <w:rPr>
          <w:rFonts w:ascii="Times New Roman"/>
          <w:color w:val="424242"/>
          <w:w w:val="105"/>
        </w:rPr>
        <w:t>Loans have </w:t>
      </w:r>
      <w:r>
        <w:rPr>
          <w:rFonts w:ascii="Times New Roman"/>
          <w:color w:val="2F2F2F"/>
          <w:w w:val="105"/>
        </w:rPr>
        <w:t>been </w:t>
      </w:r>
      <w:r>
        <w:rPr>
          <w:rFonts w:ascii="Times New Roman"/>
          <w:color w:val="424242"/>
          <w:w w:val="105"/>
        </w:rPr>
        <w:t>made available for the </w:t>
      </w:r>
      <w:r>
        <w:rPr>
          <w:rFonts w:ascii="Times New Roman"/>
          <w:color w:val="2F2F2F"/>
          <w:w w:val="105"/>
        </w:rPr>
        <w:t>purchase </w:t>
      </w:r>
      <w:r>
        <w:rPr>
          <w:rFonts w:ascii="Times New Roman"/>
          <w:color w:val="424242"/>
          <w:w w:val="105"/>
        </w:rPr>
        <w:t>of  </w:t>
      </w:r>
      <w:r>
        <w:rPr>
          <w:rFonts w:ascii="Times New Roman"/>
          <w:color w:val="2F2F2F"/>
          <w:w w:val="105"/>
        </w:rPr>
        <w:t>properties</w:t>
      </w:r>
      <w:r>
        <w:rPr>
          <w:rFonts w:ascii="Times New Roman"/>
          <w:color w:val="565656"/>
          <w:w w:val="105"/>
        </w:rPr>
        <w:t>, </w:t>
      </w:r>
      <w:r>
        <w:rPr>
          <w:rFonts w:ascii="Times New Roman"/>
          <w:color w:val="424242"/>
          <w:w w:val="105"/>
        </w:rPr>
        <w:t>for</w:t>
      </w:r>
      <w:r>
        <w:rPr>
          <w:rFonts w:ascii="Times New Roman"/>
          <w:color w:val="424242"/>
          <w:spacing w:val="5"/>
          <w:w w:val="105"/>
        </w:rPr>
        <w:t> </w:t>
      </w:r>
      <w:r>
        <w:rPr>
          <w:rFonts w:ascii="Times New Roman"/>
          <w:color w:val="424242"/>
          <w:w w:val="105"/>
        </w:rPr>
        <w:t>as </w:t>
      </w:r>
      <w:r>
        <w:rPr>
          <w:rFonts w:ascii="Times New Roman"/>
          <w:color w:val="2F2F2F"/>
          <w:w w:val="105"/>
        </w:rPr>
        <w:t>long</w:t>
      </w:r>
      <w:r>
        <w:rPr>
          <w:rFonts w:ascii="Times New Roman"/>
          <w:color w:val="2F2F2F"/>
          <w:spacing w:val="-11"/>
          <w:w w:val="105"/>
        </w:rPr>
        <w:t> </w:t>
      </w:r>
      <w:r>
        <w:rPr>
          <w:rFonts w:ascii="Times New Roman"/>
          <w:color w:val="2F2F2F"/>
          <w:w w:val="105"/>
        </w:rPr>
        <w:t>as</w:t>
      </w:r>
      <w:r>
        <w:rPr>
          <w:rFonts w:ascii="Times New Roman"/>
          <w:color w:val="2F2F2F"/>
          <w:spacing w:val="-13"/>
          <w:w w:val="105"/>
        </w:rPr>
        <w:t> </w:t>
      </w:r>
      <w:r>
        <w:rPr>
          <w:rFonts w:ascii="Times New Roman"/>
          <w:color w:val="424242"/>
          <w:w w:val="105"/>
        </w:rPr>
        <w:t>they</w:t>
      </w:r>
      <w:r>
        <w:rPr>
          <w:rFonts w:ascii="Times New Roman"/>
          <w:color w:val="424242"/>
          <w:spacing w:val="-11"/>
          <w:w w:val="105"/>
        </w:rPr>
        <w:t> </w:t>
      </w:r>
      <w:r>
        <w:rPr>
          <w:rFonts w:ascii="Times New Roman"/>
          <w:color w:val="424242"/>
          <w:w w:val="105"/>
        </w:rPr>
        <w:t>are</w:t>
      </w:r>
      <w:r>
        <w:rPr>
          <w:rFonts w:ascii="Times New Roman"/>
          <w:color w:val="424242"/>
          <w:spacing w:val="10"/>
          <w:w w:val="105"/>
        </w:rPr>
        <w:t> </w:t>
      </w:r>
      <w:r>
        <w:rPr>
          <w:rFonts w:ascii="Times New Roman"/>
          <w:color w:val="2F2F2F"/>
          <w:spacing w:val="-5"/>
          <w:w w:val="105"/>
        </w:rPr>
        <w:t>required</w:t>
      </w:r>
      <w:r>
        <w:rPr>
          <w:rFonts w:ascii="Times New Roman"/>
          <w:color w:val="565656"/>
          <w:spacing w:val="-5"/>
          <w:w w:val="105"/>
        </w:rPr>
        <w:t>,</w:t>
      </w:r>
      <w:r>
        <w:rPr>
          <w:rFonts w:ascii="Times New Roman"/>
          <w:color w:val="565656"/>
          <w:spacing w:val="9"/>
          <w:w w:val="105"/>
        </w:rPr>
        <w:t> </w:t>
      </w:r>
      <w:r>
        <w:rPr>
          <w:rFonts w:ascii="Times New Roman"/>
          <w:color w:val="2F2F2F"/>
          <w:w w:val="105"/>
        </w:rPr>
        <w:t>to</w:t>
      </w:r>
      <w:r>
        <w:rPr>
          <w:rFonts w:ascii="Times New Roman"/>
          <w:color w:val="2F2F2F"/>
          <w:spacing w:val="-14"/>
          <w:w w:val="105"/>
        </w:rPr>
        <w:t> </w:t>
      </w:r>
      <w:r>
        <w:rPr>
          <w:rFonts w:ascii="Times New Roman"/>
          <w:color w:val="2F2F2F"/>
          <w:w w:val="105"/>
        </w:rPr>
        <w:t>enable</w:t>
      </w:r>
      <w:r>
        <w:rPr>
          <w:rFonts w:ascii="Times New Roman"/>
          <w:color w:val="2F2F2F"/>
          <w:spacing w:val="-4"/>
          <w:w w:val="105"/>
        </w:rPr>
        <w:t> </w:t>
      </w:r>
      <w:r>
        <w:rPr>
          <w:rFonts w:ascii="Times New Roman"/>
          <w:color w:val="2F2F2F"/>
          <w:w w:val="105"/>
        </w:rPr>
        <w:t>the</w:t>
      </w:r>
      <w:r>
        <w:rPr>
          <w:rFonts w:ascii="Times New Roman"/>
          <w:color w:val="2F2F2F"/>
          <w:spacing w:val="-21"/>
          <w:w w:val="105"/>
        </w:rPr>
        <w:t> </w:t>
      </w:r>
      <w:r>
        <w:rPr>
          <w:rFonts w:ascii="Times New Roman"/>
          <w:color w:val="424242"/>
          <w:w w:val="105"/>
        </w:rPr>
        <w:t>Society </w:t>
      </w:r>
      <w:r>
        <w:rPr>
          <w:rFonts w:ascii="Times New Roman"/>
          <w:color w:val="2F2F2F"/>
          <w:w w:val="105"/>
        </w:rPr>
        <w:t>to</w:t>
      </w:r>
      <w:r>
        <w:rPr>
          <w:rFonts w:ascii="Times New Roman"/>
          <w:color w:val="2F2F2F"/>
          <w:spacing w:val="-19"/>
          <w:w w:val="105"/>
        </w:rPr>
        <w:t> </w:t>
      </w:r>
      <w:r>
        <w:rPr>
          <w:rFonts w:ascii="Times New Roman"/>
          <w:color w:val="424242"/>
          <w:w w:val="105"/>
        </w:rPr>
        <w:t>fulfil</w:t>
      </w:r>
      <w:r>
        <w:rPr>
          <w:rFonts w:ascii="Times New Roman"/>
          <w:color w:val="424242"/>
          <w:spacing w:val="9"/>
          <w:w w:val="105"/>
        </w:rPr>
        <w:t> </w:t>
      </w:r>
      <w:r>
        <w:rPr>
          <w:rFonts w:ascii="Times New Roman"/>
          <w:color w:val="424242"/>
          <w:w w:val="105"/>
        </w:rPr>
        <w:t>its</w:t>
      </w:r>
      <w:r>
        <w:rPr>
          <w:rFonts w:ascii="Times New Roman"/>
          <w:color w:val="424242"/>
          <w:spacing w:val="-14"/>
          <w:w w:val="105"/>
        </w:rPr>
        <w:t> </w:t>
      </w:r>
      <w:r>
        <w:rPr>
          <w:rFonts w:ascii="Times New Roman"/>
          <w:color w:val="424242"/>
          <w:w w:val="105"/>
        </w:rPr>
        <w:t>objectives.</w:t>
      </w:r>
    </w:p>
    <w:p>
      <w:pPr>
        <w:pStyle w:val="BodyText"/>
        <w:rPr>
          <w:rFonts w:ascii="Times New Roman"/>
          <w:sz w:val="12"/>
        </w:rPr>
      </w:pPr>
    </w:p>
    <w:p>
      <w:pPr>
        <w:spacing w:after="0"/>
        <w:rPr>
          <w:rFonts w:ascii="Times New Roman"/>
          <w:sz w:val="12"/>
        </w:rPr>
        <w:sectPr>
          <w:type w:val="continuous"/>
          <w:pgSz w:w="10950" w:h="15880"/>
          <w:pgMar w:top="680" w:bottom="280" w:left="500" w:right="0"/>
        </w:sectPr>
      </w:pPr>
    </w:p>
    <w:p>
      <w:pPr>
        <w:tabs>
          <w:tab w:pos="2184" w:val="left" w:leader="none"/>
        </w:tabs>
        <w:spacing w:before="92"/>
        <w:ind w:left="990" w:right="0" w:firstLine="0"/>
        <w:jc w:val="left"/>
        <w:rPr>
          <w:rFonts w:ascii="Times New Roman"/>
          <w:b/>
          <w:sz w:val="18"/>
        </w:rPr>
      </w:pPr>
      <w:bookmarkStart w:name="_TOC_250003" w:id="18"/>
      <w:r>
        <w:rPr>
          <w:rFonts w:ascii="Times New Roman"/>
          <w:b/>
          <w:color w:val="424242"/>
          <w:spacing w:val="-5"/>
          <w:w w:val="105"/>
          <w:sz w:val="18"/>
        </w:rPr>
        <w:t>N</w:t>
      </w:r>
      <w:r>
        <w:rPr>
          <w:rFonts w:ascii="Times New Roman"/>
          <w:b/>
          <w:color w:val="161616"/>
          <w:spacing w:val="-5"/>
          <w:w w:val="105"/>
          <w:sz w:val="18"/>
        </w:rPr>
        <w:t>O</w:t>
      </w:r>
      <w:r>
        <w:rPr>
          <w:rFonts w:ascii="Times New Roman"/>
          <w:b/>
          <w:color w:val="2F2F2F"/>
          <w:spacing w:val="-5"/>
          <w:w w:val="105"/>
          <w:sz w:val="18"/>
        </w:rPr>
        <w:t>TE</w:t>
      </w:r>
      <w:r>
        <w:rPr>
          <w:rFonts w:ascii="Times New Roman"/>
          <w:b/>
          <w:color w:val="2F2F2F"/>
          <w:spacing w:val="2"/>
          <w:w w:val="105"/>
          <w:sz w:val="18"/>
        </w:rPr>
        <w:t> </w:t>
      </w:r>
      <w:r>
        <w:rPr>
          <w:rFonts w:ascii="Times New Roman"/>
          <w:b/>
          <w:color w:val="161616"/>
          <w:w w:val="105"/>
          <w:sz w:val="18"/>
        </w:rPr>
        <w:t>1</w:t>
      </w:r>
      <w:r>
        <w:rPr>
          <w:rFonts w:ascii="Times New Roman"/>
          <w:b/>
          <w:color w:val="2F2F2F"/>
          <w:w w:val="105"/>
          <w:sz w:val="18"/>
        </w:rPr>
        <w:t>5</w:t>
        <w:tab/>
      </w:r>
      <w:r>
        <w:rPr>
          <w:rFonts w:ascii="Times New Roman"/>
          <w:b/>
          <w:color w:val="161616"/>
          <w:spacing w:val="-4"/>
          <w:w w:val="105"/>
          <w:sz w:val="18"/>
        </w:rPr>
        <w:t>D</w:t>
      </w:r>
      <w:r>
        <w:rPr>
          <w:rFonts w:ascii="Times New Roman"/>
          <w:b/>
          <w:color w:val="2F2F2F"/>
          <w:spacing w:val="-4"/>
          <w:w w:val="105"/>
          <w:sz w:val="18"/>
        </w:rPr>
        <w:t>E</w:t>
      </w:r>
      <w:r>
        <w:rPr>
          <w:rFonts w:ascii="Times New Roman"/>
          <w:b/>
          <w:color w:val="161616"/>
          <w:spacing w:val="-4"/>
          <w:w w:val="105"/>
          <w:sz w:val="18"/>
        </w:rPr>
        <w:t>BT</w:t>
      </w:r>
      <w:bookmarkEnd w:id="18"/>
      <w:r>
        <w:rPr>
          <w:rFonts w:ascii="Times New Roman"/>
          <w:b/>
          <w:color w:val="2F2F2F"/>
          <w:spacing w:val="-4"/>
          <w:w w:val="105"/>
          <w:sz w:val="18"/>
        </w:rPr>
        <w:t>ORS</w:t>
      </w:r>
    </w:p>
    <w:p>
      <w:pPr>
        <w:pStyle w:val="BodyText"/>
        <w:rPr>
          <w:rFonts w:ascii="Times New Roman"/>
          <w:b/>
          <w:sz w:val="20"/>
        </w:rPr>
      </w:pPr>
    </w:p>
    <w:p>
      <w:pPr>
        <w:pStyle w:val="BodyText"/>
        <w:rPr>
          <w:rFonts w:ascii="Times New Roman"/>
          <w:b/>
          <w:sz w:val="20"/>
        </w:rPr>
      </w:pPr>
    </w:p>
    <w:p>
      <w:pPr>
        <w:pStyle w:val="BodyText"/>
        <w:spacing w:before="123"/>
        <w:ind w:left="1085"/>
        <w:rPr>
          <w:rFonts w:ascii="Times New Roman"/>
        </w:rPr>
      </w:pPr>
      <w:r>
        <w:rPr>
          <w:rFonts w:ascii="Times New Roman"/>
          <w:color w:val="424242"/>
          <w:w w:val="110"/>
        </w:rPr>
        <w:t>Debtors comprise:</w:t>
      </w:r>
    </w:p>
    <w:p>
      <w:pPr>
        <w:pStyle w:val="BodyText"/>
        <w:rPr>
          <w:rFonts w:ascii="Times New Roman"/>
          <w:sz w:val="20"/>
        </w:rPr>
      </w:pPr>
      <w:r>
        <w:rPr/>
        <w:br w:type="column"/>
      </w:r>
      <w:r>
        <w:rPr>
          <w:rFonts w:ascii="Times New Roman"/>
          <w:sz w:val="20"/>
        </w:rPr>
      </w:r>
    </w:p>
    <w:p>
      <w:pPr>
        <w:pStyle w:val="BodyText"/>
        <w:spacing w:before="4"/>
        <w:rPr>
          <w:rFonts w:ascii="Times New Roman"/>
          <w:sz w:val="17"/>
        </w:rPr>
      </w:pPr>
    </w:p>
    <w:p>
      <w:pPr>
        <w:tabs>
          <w:tab w:pos="2144" w:val="left" w:leader="none"/>
        </w:tabs>
        <w:spacing w:before="0"/>
        <w:ind w:left="1046" w:right="0" w:firstLine="0"/>
        <w:jc w:val="left"/>
        <w:rPr>
          <w:rFonts w:ascii="Times New Roman"/>
          <w:b/>
          <w:sz w:val="19"/>
        </w:rPr>
      </w:pPr>
      <w:r>
        <w:rPr>
          <w:rFonts w:ascii="Times New Roman"/>
          <w:b/>
          <w:color w:val="2F2F2F"/>
          <w:spacing w:val="-5"/>
          <w:w w:val="105"/>
          <w:sz w:val="19"/>
        </w:rPr>
        <w:t>2</w:t>
      </w:r>
      <w:r>
        <w:rPr>
          <w:rFonts w:ascii="Times New Roman"/>
          <w:b/>
          <w:color w:val="161616"/>
          <w:spacing w:val="-5"/>
          <w:w w:val="105"/>
          <w:sz w:val="19"/>
        </w:rPr>
        <w:t>006</w:t>
        <w:tab/>
        <w:t>200</w:t>
      </w:r>
      <w:r>
        <w:rPr>
          <w:rFonts w:ascii="Times New Roman"/>
          <w:b/>
          <w:color w:val="2F2F2F"/>
          <w:spacing w:val="-5"/>
          <w:w w:val="105"/>
          <w:sz w:val="19"/>
        </w:rPr>
        <w:t>5</w:t>
      </w:r>
    </w:p>
    <w:p>
      <w:pPr>
        <w:tabs>
          <w:tab w:pos="2087" w:val="left" w:leader="none"/>
        </w:tabs>
        <w:spacing w:before="3"/>
        <w:ind w:left="990" w:right="0" w:firstLine="0"/>
        <w:jc w:val="left"/>
        <w:rPr>
          <w:rFonts w:ascii="Times New Roman" w:hAnsi="Times New Roman"/>
          <w:b/>
          <w:sz w:val="19"/>
        </w:rPr>
      </w:pPr>
      <w:r>
        <w:rPr>
          <w:rFonts w:ascii="Times New Roman" w:hAnsi="Times New Roman"/>
          <w:b/>
          <w:color w:val="2F2F2F"/>
          <w:spacing w:val="-6"/>
          <w:w w:val="105"/>
          <w:sz w:val="19"/>
        </w:rPr>
        <w:t>£'</w:t>
      </w:r>
      <w:r>
        <w:rPr>
          <w:rFonts w:ascii="Times New Roman" w:hAnsi="Times New Roman"/>
          <w:b/>
          <w:color w:val="161616"/>
          <w:spacing w:val="-6"/>
          <w:w w:val="105"/>
          <w:sz w:val="19"/>
        </w:rPr>
        <w:t>00</w:t>
      </w:r>
      <w:r>
        <w:rPr>
          <w:rFonts w:ascii="Times New Roman" w:hAnsi="Times New Roman"/>
          <w:b/>
          <w:color w:val="2F2F2F"/>
          <w:spacing w:val="-6"/>
          <w:w w:val="105"/>
          <w:sz w:val="19"/>
        </w:rPr>
        <w:t>0</w:t>
        <w:tab/>
      </w:r>
      <w:r>
        <w:rPr>
          <w:rFonts w:ascii="Times New Roman" w:hAnsi="Times New Roman"/>
          <w:b/>
          <w:color w:val="2F2F2F"/>
          <w:w w:val="105"/>
          <w:sz w:val="19"/>
        </w:rPr>
        <w:t>£'</w:t>
      </w:r>
      <w:r>
        <w:rPr>
          <w:rFonts w:ascii="Times New Roman" w:hAnsi="Times New Roman"/>
          <w:b/>
          <w:color w:val="161616"/>
          <w:w w:val="105"/>
          <w:sz w:val="19"/>
        </w:rPr>
        <w:t>000</w:t>
      </w:r>
    </w:p>
    <w:p>
      <w:pPr>
        <w:spacing w:after="0"/>
        <w:jc w:val="left"/>
        <w:rPr>
          <w:rFonts w:ascii="Times New Roman" w:hAnsi="Times New Roman"/>
          <w:sz w:val="19"/>
        </w:rPr>
        <w:sectPr>
          <w:type w:val="continuous"/>
          <w:pgSz w:w="10950" w:h="15880"/>
          <w:pgMar w:top="680" w:bottom="280" w:left="500" w:right="0"/>
          <w:cols w:num="2" w:equalWidth="0">
            <w:col w:w="3128" w:space="3824"/>
            <w:col w:w="3498"/>
          </w:cols>
        </w:sectPr>
      </w:pPr>
    </w:p>
    <w:tbl>
      <w:tblPr>
        <w:tblW w:w="0" w:type="auto"/>
        <w:jc w:val="left"/>
        <w:tblInd w:w="1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2"/>
        <w:gridCol w:w="2574"/>
        <w:gridCol w:w="1051"/>
      </w:tblGrid>
      <w:tr>
        <w:trPr>
          <w:trHeight w:val="220" w:hRule="atLeast"/>
        </w:trPr>
        <w:tc>
          <w:tcPr>
            <w:tcW w:w="4152" w:type="dxa"/>
          </w:tcPr>
          <w:p>
            <w:pPr>
              <w:pStyle w:val="TableParagraph"/>
              <w:spacing w:line="200" w:lineRule="exact"/>
              <w:ind w:left="57"/>
              <w:rPr>
                <w:sz w:val="18"/>
              </w:rPr>
            </w:pPr>
            <w:r>
              <w:rPr>
                <w:color w:val="424242"/>
                <w:w w:val="105"/>
                <w:sz w:val="18"/>
              </w:rPr>
              <w:t>Tax recoverable</w:t>
            </w:r>
          </w:p>
        </w:tc>
        <w:tc>
          <w:tcPr>
            <w:tcW w:w="2574" w:type="dxa"/>
          </w:tcPr>
          <w:p>
            <w:pPr>
              <w:pStyle w:val="TableParagraph"/>
              <w:spacing w:line="189" w:lineRule="exact" w:before="11"/>
              <w:ind w:right="215"/>
              <w:jc w:val="right"/>
              <w:rPr>
                <w:rFonts w:ascii="Arial"/>
                <w:sz w:val="17"/>
              </w:rPr>
            </w:pPr>
            <w:r>
              <w:rPr>
                <w:rFonts w:ascii="Arial"/>
                <w:color w:val="2F2F2F"/>
                <w:w w:val="104"/>
                <w:sz w:val="17"/>
              </w:rPr>
              <w:t>7</w:t>
            </w:r>
          </w:p>
        </w:tc>
        <w:tc>
          <w:tcPr>
            <w:tcW w:w="1051" w:type="dxa"/>
          </w:tcPr>
          <w:p>
            <w:pPr>
              <w:pStyle w:val="TableParagraph"/>
              <w:spacing w:line="198" w:lineRule="exact" w:before="2"/>
              <w:ind w:right="160"/>
              <w:jc w:val="right"/>
              <w:rPr>
                <w:sz w:val="18"/>
              </w:rPr>
            </w:pPr>
            <w:r>
              <w:rPr>
                <w:color w:val="2F2F2F"/>
                <w:w w:val="110"/>
                <w:sz w:val="18"/>
              </w:rPr>
              <w:t>8</w:t>
            </w:r>
          </w:p>
        </w:tc>
      </w:tr>
      <w:tr>
        <w:trPr>
          <w:trHeight w:val="221" w:hRule="atLeast"/>
        </w:trPr>
        <w:tc>
          <w:tcPr>
            <w:tcW w:w="4152" w:type="dxa"/>
          </w:tcPr>
          <w:p>
            <w:pPr>
              <w:pStyle w:val="TableParagraph"/>
              <w:spacing w:line="198" w:lineRule="exact" w:before="3"/>
              <w:ind w:left="50"/>
              <w:rPr>
                <w:sz w:val="18"/>
              </w:rPr>
            </w:pPr>
            <w:r>
              <w:rPr>
                <w:color w:val="424242"/>
                <w:w w:val="105"/>
                <w:sz w:val="18"/>
              </w:rPr>
              <w:t>Prepayments and accrued income</w:t>
            </w:r>
          </w:p>
        </w:tc>
        <w:tc>
          <w:tcPr>
            <w:tcW w:w="2574" w:type="dxa"/>
          </w:tcPr>
          <w:p>
            <w:pPr>
              <w:pStyle w:val="TableParagraph"/>
              <w:spacing w:line="198" w:lineRule="exact" w:before="3"/>
              <w:ind w:right="219"/>
              <w:jc w:val="right"/>
              <w:rPr>
                <w:sz w:val="18"/>
              </w:rPr>
            </w:pPr>
            <w:r>
              <w:rPr>
                <w:color w:val="424242"/>
                <w:sz w:val="18"/>
              </w:rPr>
              <w:t>471</w:t>
            </w:r>
          </w:p>
        </w:tc>
        <w:tc>
          <w:tcPr>
            <w:tcW w:w="1051" w:type="dxa"/>
          </w:tcPr>
          <w:p>
            <w:pPr>
              <w:pStyle w:val="TableParagraph"/>
              <w:spacing w:line="198" w:lineRule="exact" w:before="3"/>
              <w:ind w:right="151"/>
              <w:jc w:val="right"/>
              <w:rPr>
                <w:sz w:val="18"/>
              </w:rPr>
            </w:pPr>
            <w:r>
              <w:rPr>
                <w:color w:val="424242"/>
                <w:w w:val="110"/>
                <w:sz w:val="18"/>
              </w:rPr>
              <w:t>604</w:t>
            </w:r>
          </w:p>
        </w:tc>
      </w:tr>
      <w:tr>
        <w:trPr>
          <w:trHeight w:val="221" w:hRule="atLeast"/>
        </w:trPr>
        <w:tc>
          <w:tcPr>
            <w:tcW w:w="4152" w:type="dxa"/>
          </w:tcPr>
          <w:p>
            <w:pPr>
              <w:pStyle w:val="TableParagraph"/>
              <w:spacing w:line="198" w:lineRule="exact" w:before="3"/>
              <w:ind w:left="56"/>
              <w:rPr>
                <w:sz w:val="18"/>
              </w:rPr>
            </w:pPr>
            <w:r>
              <w:rPr>
                <w:color w:val="424242"/>
                <w:w w:val="105"/>
                <w:sz w:val="18"/>
              </w:rPr>
              <w:t>Other debtors</w:t>
            </w:r>
          </w:p>
        </w:tc>
        <w:tc>
          <w:tcPr>
            <w:tcW w:w="2574" w:type="dxa"/>
          </w:tcPr>
          <w:p>
            <w:pPr>
              <w:pStyle w:val="TableParagraph"/>
              <w:spacing w:line="198" w:lineRule="exact" w:before="3"/>
              <w:ind w:right="225"/>
              <w:jc w:val="right"/>
              <w:rPr>
                <w:sz w:val="18"/>
              </w:rPr>
            </w:pPr>
            <w:r>
              <w:rPr>
                <w:color w:val="2F2F2F"/>
                <w:sz w:val="18"/>
              </w:rPr>
              <w:t>563</w:t>
            </w:r>
          </w:p>
        </w:tc>
        <w:tc>
          <w:tcPr>
            <w:tcW w:w="1051" w:type="dxa"/>
          </w:tcPr>
          <w:p>
            <w:pPr>
              <w:pStyle w:val="TableParagraph"/>
              <w:spacing w:line="198" w:lineRule="exact" w:before="3"/>
              <w:ind w:right="151"/>
              <w:jc w:val="right"/>
              <w:rPr>
                <w:sz w:val="18"/>
              </w:rPr>
            </w:pPr>
            <w:r>
              <w:rPr>
                <w:color w:val="424242"/>
                <w:w w:val="110"/>
                <w:sz w:val="18"/>
              </w:rPr>
              <w:t>636</w:t>
            </w:r>
          </w:p>
        </w:tc>
      </w:tr>
      <w:tr>
        <w:trPr>
          <w:trHeight w:val="210" w:hRule="atLeast"/>
        </w:trPr>
        <w:tc>
          <w:tcPr>
            <w:tcW w:w="4152" w:type="dxa"/>
          </w:tcPr>
          <w:p>
            <w:pPr>
              <w:pStyle w:val="TableParagraph"/>
              <w:spacing w:line="187" w:lineRule="exact" w:before="3"/>
              <w:ind w:left="67"/>
              <w:rPr>
                <w:sz w:val="18"/>
              </w:rPr>
            </w:pPr>
            <w:r>
              <w:rPr>
                <w:color w:val="424242"/>
                <w:w w:val="105"/>
                <w:sz w:val="18"/>
              </w:rPr>
              <w:t>Inter-fund balances</w:t>
            </w:r>
          </w:p>
        </w:tc>
        <w:tc>
          <w:tcPr>
            <w:tcW w:w="2574" w:type="dxa"/>
          </w:tcPr>
          <w:p>
            <w:pPr>
              <w:pStyle w:val="TableParagraph"/>
              <w:tabs>
                <w:tab w:pos="372" w:val="left" w:leader="none"/>
              </w:tabs>
              <w:spacing w:line="187" w:lineRule="exact" w:before="3"/>
              <w:ind w:right="94"/>
              <w:jc w:val="right"/>
              <w:rPr>
                <w:sz w:val="18"/>
              </w:rPr>
            </w:pPr>
            <w:r>
              <w:rPr>
                <w:color w:val="2F2F2F"/>
                <w:w w:val="100"/>
                <w:sz w:val="18"/>
                <w:u w:val="single" w:color="000000"/>
              </w:rPr>
              <w:t> </w:t>
            </w:r>
            <w:r>
              <w:rPr>
                <w:color w:val="2F2F2F"/>
                <w:sz w:val="18"/>
                <w:u w:val="single" w:color="000000"/>
              </w:rPr>
              <w:tab/>
            </w:r>
            <w:r>
              <w:rPr>
                <w:color w:val="2F2F2F"/>
                <w:w w:val="110"/>
                <w:sz w:val="18"/>
                <w:u w:val="single" w:color="000000"/>
              </w:rPr>
              <w:t>4,623</w:t>
            </w:r>
            <w:r>
              <w:rPr>
                <w:color w:val="2F2F2F"/>
                <w:spacing w:val="14"/>
                <w:sz w:val="18"/>
                <w:u w:val="single" w:color="000000"/>
              </w:rPr>
              <w:t> </w:t>
            </w:r>
          </w:p>
        </w:tc>
        <w:tc>
          <w:tcPr>
            <w:tcW w:w="1051" w:type="dxa"/>
          </w:tcPr>
          <w:p>
            <w:pPr>
              <w:pStyle w:val="TableParagraph"/>
              <w:tabs>
                <w:tab w:pos="358" w:val="left" w:leader="none"/>
              </w:tabs>
              <w:spacing w:line="187" w:lineRule="exact" w:before="3"/>
              <w:ind w:right="47"/>
              <w:jc w:val="right"/>
              <w:rPr>
                <w:sz w:val="18"/>
              </w:rPr>
            </w:pPr>
            <w:r>
              <w:rPr>
                <w:color w:val="424242"/>
                <w:w w:val="100"/>
                <w:sz w:val="18"/>
                <w:u w:val="single" w:color="000000"/>
              </w:rPr>
              <w:t> </w:t>
            </w:r>
            <w:r>
              <w:rPr>
                <w:color w:val="424242"/>
                <w:sz w:val="18"/>
                <w:u w:val="single" w:color="000000"/>
              </w:rPr>
              <w:tab/>
            </w:r>
            <w:r>
              <w:rPr>
                <w:color w:val="424242"/>
                <w:w w:val="110"/>
                <w:sz w:val="18"/>
                <w:u w:val="single" w:color="000000"/>
              </w:rPr>
              <w:t>3,775</w:t>
            </w:r>
            <w:r>
              <w:rPr>
                <w:color w:val="424242"/>
                <w:spacing w:val="8"/>
                <w:sz w:val="18"/>
                <w:u w:val="single" w:color="000000"/>
              </w:rPr>
              <w:t> </w:t>
            </w:r>
          </w:p>
        </w:tc>
      </w:tr>
    </w:tbl>
    <w:p>
      <w:pPr>
        <w:spacing w:after="0" w:line="187" w:lineRule="exact"/>
        <w:jc w:val="right"/>
        <w:rPr>
          <w:sz w:val="18"/>
        </w:rPr>
        <w:sectPr>
          <w:type w:val="continuous"/>
          <w:pgSz w:w="10950" w:h="15880"/>
          <w:pgMar w:top="680" w:bottom="280" w:left="500" w:right="0"/>
        </w:sectPr>
      </w:pPr>
    </w:p>
    <w:p>
      <w:pPr>
        <w:pStyle w:val="BodyText"/>
        <w:spacing w:before="5"/>
        <w:rPr>
          <w:rFonts w:ascii="Times New Roman"/>
          <w:b/>
          <w:sz w:val="12"/>
        </w:rPr>
      </w:pPr>
    </w:p>
    <w:p>
      <w:pPr>
        <w:spacing w:after="0"/>
        <w:rPr>
          <w:rFonts w:ascii="Times New Roman"/>
          <w:sz w:val="12"/>
        </w:rPr>
        <w:sectPr>
          <w:headerReference w:type="even" r:id="rId530"/>
          <w:headerReference w:type="default" r:id="rId531"/>
          <w:footerReference w:type="even" r:id="rId532"/>
          <w:pgSz w:w="10950" w:h="15880"/>
          <w:pgMar w:header="246" w:footer="0" w:top="980" w:bottom="280" w:left="500" w:right="0"/>
        </w:sectPr>
      </w:pPr>
    </w:p>
    <w:p>
      <w:pPr>
        <w:tabs>
          <w:tab w:pos="2217" w:val="left" w:leader="none"/>
        </w:tabs>
        <w:spacing w:before="93"/>
        <w:ind w:left="1038" w:right="0" w:firstLine="0"/>
        <w:jc w:val="left"/>
        <w:rPr>
          <w:rFonts w:ascii="Times New Roman"/>
          <w:b/>
          <w:sz w:val="18"/>
        </w:rPr>
      </w:pPr>
      <w:r>
        <w:rPr>
          <w:rFonts w:ascii="Times New Roman"/>
          <w:b/>
          <w:color w:val="2D2D2D"/>
          <w:w w:val="105"/>
          <w:sz w:val="18"/>
        </w:rPr>
        <w:t>NOTE16</w:t>
        <w:tab/>
        <w:t>CURRENT LIABILITIES </w:t>
      </w:r>
      <w:r>
        <w:rPr>
          <w:rFonts w:ascii="Times New Roman"/>
          <w:color w:val="414141"/>
          <w:w w:val="105"/>
          <w:sz w:val="18"/>
        </w:rPr>
        <w:t>- </w:t>
      </w:r>
      <w:r>
        <w:rPr>
          <w:rFonts w:ascii="Times New Roman"/>
          <w:b/>
          <w:color w:val="2D2D2D"/>
          <w:w w:val="105"/>
          <w:sz w:val="18"/>
        </w:rPr>
        <w:t>amounts falling </w:t>
      </w:r>
      <w:r>
        <w:rPr>
          <w:rFonts w:ascii="Times New Roman"/>
          <w:b/>
          <w:color w:val="151515"/>
          <w:w w:val="105"/>
          <w:sz w:val="18"/>
        </w:rPr>
        <w:t>due within one</w:t>
      </w:r>
      <w:r>
        <w:rPr>
          <w:rFonts w:ascii="Times New Roman"/>
          <w:b/>
          <w:color w:val="151515"/>
          <w:spacing w:val="-20"/>
          <w:w w:val="105"/>
          <w:sz w:val="18"/>
        </w:rPr>
        <w:t> </w:t>
      </w:r>
      <w:r>
        <w:rPr>
          <w:rFonts w:ascii="Times New Roman"/>
          <w:b/>
          <w:color w:val="2D2D2D"/>
          <w:w w:val="105"/>
          <w:sz w:val="18"/>
        </w:rPr>
        <w:t>year</w:t>
      </w:r>
    </w:p>
    <w:p>
      <w:pPr>
        <w:pStyle w:val="BodyText"/>
        <w:rPr>
          <w:rFonts w:ascii="Times New Roman"/>
          <w:b/>
          <w:sz w:val="20"/>
        </w:rPr>
      </w:pPr>
    </w:p>
    <w:p>
      <w:pPr>
        <w:pStyle w:val="BodyText"/>
        <w:rPr>
          <w:rFonts w:ascii="Times New Roman"/>
          <w:b/>
          <w:sz w:val="20"/>
        </w:rPr>
      </w:pPr>
    </w:p>
    <w:p>
      <w:pPr>
        <w:pStyle w:val="BodyText"/>
        <w:spacing w:before="122"/>
        <w:ind w:left="1024"/>
        <w:rPr>
          <w:rFonts w:ascii="Times New Roman"/>
        </w:rPr>
      </w:pPr>
      <w:r>
        <w:rPr>
          <w:rFonts w:ascii="Times New Roman"/>
          <w:color w:val="414141"/>
          <w:w w:val="105"/>
        </w:rPr>
        <w:t>Current </w:t>
      </w:r>
      <w:r>
        <w:rPr>
          <w:rFonts w:ascii="Times New Roman"/>
          <w:color w:val="2D2D2D"/>
          <w:w w:val="105"/>
        </w:rPr>
        <w:t>liabilities comprise:</w:t>
      </w:r>
    </w:p>
    <w:p>
      <w:pPr>
        <w:pStyle w:val="BodyText"/>
        <w:rPr>
          <w:rFonts w:ascii="Times New Roman"/>
          <w:sz w:val="20"/>
        </w:rPr>
      </w:pPr>
      <w:r>
        <w:rPr/>
        <w:br w:type="column"/>
      </w:r>
      <w:r>
        <w:rPr>
          <w:rFonts w:ascii="Times New Roman"/>
          <w:sz w:val="20"/>
        </w:rPr>
      </w:r>
    </w:p>
    <w:p>
      <w:pPr>
        <w:pStyle w:val="BodyText"/>
        <w:spacing w:before="2"/>
        <w:rPr>
          <w:rFonts w:ascii="Times New Roman"/>
        </w:rPr>
      </w:pPr>
    </w:p>
    <w:p>
      <w:pPr>
        <w:tabs>
          <w:tab w:pos="1681" w:val="left" w:leader="none"/>
        </w:tabs>
        <w:spacing w:before="1"/>
        <w:ind w:left="583" w:right="0" w:firstLine="0"/>
        <w:jc w:val="left"/>
        <w:rPr>
          <w:rFonts w:ascii="Times New Roman"/>
          <w:b/>
          <w:sz w:val="18"/>
        </w:rPr>
      </w:pPr>
      <w:r>
        <w:rPr>
          <w:rFonts w:ascii="Times New Roman"/>
          <w:b/>
          <w:color w:val="2D2D2D"/>
          <w:w w:val="110"/>
          <w:sz w:val="18"/>
        </w:rPr>
        <w:t>2006</w:t>
        <w:tab/>
        <w:t>2005</w:t>
      </w:r>
    </w:p>
    <w:p>
      <w:pPr>
        <w:tabs>
          <w:tab w:pos="1625" w:val="left" w:leader="none"/>
        </w:tabs>
        <w:spacing w:before="14"/>
        <w:ind w:left="527" w:right="0" w:firstLine="0"/>
        <w:jc w:val="left"/>
        <w:rPr>
          <w:rFonts w:ascii="Times New Roman" w:hAnsi="Times New Roman"/>
          <w:b/>
          <w:sz w:val="18"/>
        </w:rPr>
      </w:pPr>
      <w:r>
        <w:rPr>
          <w:rFonts w:ascii="Times New Roman" w:hAnsi="Times New Roman"/>
          <w:b/>
          <w:color w:val="2D2D2D"/>
          <w:spacing w:val="-3"/>
          <w:w w:val="110"/>
          <w:sz w:val="18"/>
        </w:rPr>
        <w:t>£'</w:t>
      </w:r>
      <w:r>
        <w:rPr>
          <w:rFonts w:ascii="Times New Roman" w:hAnsi="Times New Roman"/>
          <w:b/>
          <w:spacing w:val="-3"/>
          <w:w w:val="110"/>
          <w:sz w:val="18"/>
        </w:rPr>
        <w:t>000</w:t>
        <w:tab/>
      </w:r>
      <w:r>
        <w:rPr>
          <w:rFonts w:ascii="Times New Roman" w:hAnsi="Times New Roman"/>
          <w:b/>
          <w:color w:val="2D2D2D"/>
          <w:w w:val="110"/>
          <w:sz w:val="18"/>
        </w:rPr>
        <w:t>£'000</w:t>
      </w:r>
    </w:p>
    <w:p>
      <w:pPr>
        <w:spacing w:after="0"/>
        <w:jc w:val="left"/>
        <w:rPr>
          <w:rFonts w:ascii="Times New Roman" w:hAnsi="Times New Roman"/>
          <w:sz w:val="18"/>
        </w:rPr>
        <w:sectPr>
          <w:type w:val="continuous"/>
          <w:pgSz w:w="10950" w:h="15880"/>
          <w:pgMar w:top="680" w:bottom="280" w:left="500" w:right="0"/>
          <w:cols w:num="2" w:equalWidth="0">
            <w:col w:w="7424" w:space="40"/>
            <w:col w:w="2986"/>
          </w:cols>
        </w:sectPr>
      </w:pPr>
    </w:p>
    <w:p>
      <w:pPr>
        <w:pStyle w:val="BodyText"/>
        <w:spacing w:before="8"/>
        <w:rPr>
          <w:rFonts w:ascii="Times New Roman"/>
          <w:b/>
          <w:sz w:val="2"/>
        </w:rPr>
      </w:pPr>
    </w:p>
    <w:tbl>
      <w:tblPr>
        <w:tblW w:w="0" w:type="auto"/>
        <w:jc w:val="left"/>
        <w:tblInd w:w="1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02"/>
        <w:gridCol w:w="2303"/>
        <w:gridCol w:w="1066"/>
      </w:tblGrid>
      <w:tr>
        <w:trPr>
          <w:trHeight w:val="210" w:hRule="atLeast"/>
        </w:trPr>
        <w:tc>
          <w:tcPr>
            <w:tcW w:w="4402" w:type="dxa"/>
          </w:tcPr>
          <w:p>
            <w:pPr>
              <w:pStyle w:val="TableParagraph"/>
              <w:spacing w:line="191" w:lineRule="exact"/>
              <w:ind w:left="50"/>
              <w:rPr>
                <w:sz w:val="18"/>
              </w:rPr>
            </w:pPr>
            <w:r>
              <w:rPr>
                <w:color w:val="414141"/>
                <w:w w:val="105"/>
                <w:sz w:val="18"/>
              </w:rPr>
              <w:t>Sums </w:t>
            </w:r>
            <w:r>
              <w:rPr>
                <w:color w:val="2D2D2D"/>
                <w:w w:val="105"/>
                <w:sz w:val="18"/>
              </w:rPr>
              <w:t>held </w:t>
            </w:r>
            <w:r>
              <w:rPr>
                <w:color w:val="414141"/>
                <w:w w:val="105"/>
                <w:sz w:val="18"/>
              </w:rPr>
              <w:t>for Synods and congregations</w:t>
            </w:r>
          </w:p>
        </w:tc>
        <w:tc>
          <w:tcPr>
            <w:tcW w:w="2303" w:type="dxa"/>
          </w:tcPr>
          <w:p>
            <w:pPr>
              <w:pStyle w:val="TableParagraph"/>
              <w:spacing w:line="191" w:lineRule="exact"/>
              <w:ind w:right="204"/>
              <w:jc w:val="right"/>
              <w:rPr>
                <w:sz w:val="18"/>
              </w:rPr>
            </w:pPr>
            <w:r>
              <w:rPr>
                <w:color w:val="414141"/>
                <w:sz w:val="18"/>
              </w:rPr>
              <w:t>624</w:t>
            </w:r>
          </w:p>
        </w:tc>
        <w:tc>
          <w:tcPr>
            <w:tcW w:w="1066" w:type="dxa"/>
          </w:tcPr>
          <w:p>
            <w:pPr>
              <w:pStyle w:val="TableParagraph"/>
              <w:spacing w:line="191" w:lineRule="exact"/>
              <w:ind w:right="146"/>
              <w:jc w:val="right"/>
              <w:rPr>
                <w:sz w:val="18"/>
              </w:rPr>
            </w:pPr>
            <w:r>
              <w:rPr>
                <w:color w:val="414141"/>
                <w:w w:val="105"/>
                <w:sz w:val="18"/>
              </w:rPr>
              <w:t>2,078</w:t>
            </w:r>
          </w:p>
        </w:tc>
      </w:tr>
      <w:tr>
        <w:trPr>
          <w:trHeight w:val="226" w:hRule="atLeast"/>
        </w:trPr>
        <w:tc>
          <w:tcPr>
            <w:tcW w:w="4402" w:type="dxa"/>
          </w:tcPr>
          <w:p>
            <w:pPr>
              <w:pStyle w:val="TableParagraph"/>
              <w:spacing w:line="203" w:lineRule="exact" w:before="3"/>
              <w:ind w:left="69"/>
              <w:rPr>
                <w:sz w:val="18"/>
              </w:rPr>
            </w:pPr>
            <w:r>
              <w:rPr>
                <w:color w:val="414141"/>
                <w:w w:val="105"/>
                <w:sz w:val="18"/>
              </w:rPr>
              <w:t>Accruals and deferred income</w:t>
            </w:r>
          </w:p>
        </w:tc>
        <w:tc>
          <w:tcPr>
            <w:tcW w:w="2303" w:type="dxa"/>
          </w:tcPr>
          <w:p>
            <w:pPr>
              <w:pStyle w:val="TableParagraph"/>
              <w:spacing w:line="193" w:lineRule="exact" w:before="13"/>
              <w:ind w:right="204"/>
              <w:jc w:val="right"/>
              <w:rPr>
                <w:sz w:val="18"/>
              </w:rPr>
            </w:pPr>
            <w:r>
              <w:rPr>
                <w:color w:val="414141"/>
                <w:sz w:val="18"/>
              </w:rPr>
              <w:t>664</w:t>
            </w:r>
          </w:p>
        </w:tc>
        <w:tc>
          <w:tcPr>
            <w:tcW w:w="1066" w:type="dxa"/>
          </w:tcPr>
          <w:p>
            <w:pPr>
              <w:pStyle w:val="TableParagraph"/>
              <w:spacing w:line="193" w:lineRule="exact" w:before="13"/>
              <w:ind w:right="151"/>
              <w:jc w:val="right"/>
              <w:rPr>
                <w:sz w:val="18"/>
              </w:rPr>
            </w:pPr>
            <w:r>
              <w:rPr>
                <w:color w:val="414141"/>
                <w:w w:val="105"/>
                <w:sz w:val="18"/>
              </w:rPr>
              <w:t>337</w:t>
            </w:r>
          </w:p>
        </w:tc>
      </w:tr>
      <w:tr>
        <w:trPr>
          <w:trHeight w:val="221" w:hRule="atLeast"/>
        </w:trPr>
        <w:tc>
          <w:tcPr>
            <w:tcW w:w="4402" w:type="dxa"/>
          </w:tcPr>
          <w:p>
            <w:pPr>
              <w:pStyle w:val="TableParagraph"/>
              <w:spacing w:line="201" w:lineRule="exact"/>
              <w:ind w:left="54"/>
              <w:rPr>
                <w:sz w:val="18"/>
              </w:rPr>
            </w:pPr>
            <w:r>
              <w:rPr>
                <w:color w:val="2D2D2D"/>
                <w:w w:val="105"/>
                <w:sz w:val="18"/>
              </w:rPr>
              <w:t>Other </w:t>
            </w:r>
            <w:r>
              <w:rPr>
                <w:color w:val="414141"/>
                <w:w w:val="105"/>
                <w:sz w:val="18"/>
              </w:rPr>
              <w:t>creditors</w:t>
            </w:r>
          </w:p>
        </w:tc>
        <w:tc>
          <w:tcPr>
            <w:tcW w:w="2303" w:type="dxa"/>
          </w:tcPr>
          <w:p>
            <w:pPr>
              <w:pStyle w:val="TableParagraph"/>
              <w:spacing w:line="193" w:lineRule="exact" w:before="8"/>
              <w:ind w:right="195"/>
              <w:jc w:val="right"/>
              <w:rPr>
                <w:sz w:val="18"/>
              </w:rPr>
            </w:pPr>
            <w:r>
              <w:rPr>
                <w:color w:val="414141"/>
                <w:sz w:val="18"/>
              </w:rPr>
              <w:t>680</w:t>
            </w:r>
          </w:p>
        </w:tc>
        <w:tc>
          <w:tcPr>
            <w:tcW w:w="1066" w:type="dxa"/>
          </w:tcPr>
          <w:p>
            <w:pPr>
              <w:pStyle w:val="TableParagraph"/>
              <w:spacing w:line="193" w:lineRule="exact" w:before="8"/>
              <w:ind w:right="148"/>
              <w:jc w:val="right"/>
              <w:rPr>
                <w:sz w:val="18"/>
              </w:rPr>
            </w:pPr>
            <w:r>
              <w:rPr>
                <w:color w:val="414141"/>
                <w:w w:val="105"/>
                <w:sz w:val="18"/>
              </w:rPr>
              <w:t>1,110</w:t>
            </w:r>
          </w:p>
        </w:tc>
      </w:tr>
      <w:tr>
        <w:trPr>
          <w:trHeight w:val="235" w:hRule="atLeast"/>
        </w:trPr>
        <w:tc>
          <w:tcPr>
            <w:tcW w:w="4402" w:type="dxa"/>
          </w:tcPr>
          <w:p>
            <w:pPr>
              <w:pStyle w:val="TableParagraph"/>
              <w:spacing w:line="206" w:lineRule="exact"/>
              <w:ind w:left="66"/>
              <w:rPr>
                <w:sz w:val="18"/>
              </w:rPr>
            </w:pPr>
            <w:r>
              <w:rPr>
                <w:color w:val="2D2D2D"/>
                <w:w w:val="105"/>
                <w:sz w:val="18"/>
              </w:rPr>
              <w:t>Inter-fund </w:t>
            </w:r>
            <w:r>
              <w:rPr>
                <w:color w:val="414141"/>
                <w:w w:val="105"/>
                <w:sz w:val="18"/>
              </w:rPr>
              <w:t>balances</w:t>
            </w:r>
          </w:p>
        </w:tc>
        <w:tc>
          <w:tcPr>
            <w:tcW w:w="2303" w:type="dxa"/>
          </w:tcPr>
          <w:p>
            <w:pPr>
              <w:pStyle w:val="TableParagraph"/>
              <w:tabs>
                <w:tab w:pos="1674" w:val="left" w:leader="none"/>
              </w:tabs>
              <w:spacing w:before="8"/>
              <w:ind w:left="1273"/>
              <w:rPr>
                <w:sz w:val="18"/>
              </w:rPr>
            </w:pPr>
            <w:r>
              <w:rPr>
                <w:color w:val="414141"/>
                <w:w w:val="100"/>
                <w:sz w:val="18"/>
                <w:u w:val="single" w:color="000000"/>
              </w:rPr>
              <w:t> </w:t>
            </w:r>
            <w:r>
              <w:rPr>
                <w:color w:val="414141"/>
                <w:sz w:val="18"/>
                <w:u w:val="single" w:color="000000"/>
              </w:rPr>
              <w:tab/>
            </w:r>
            <w:r>
              <w:rPr>
                <w:color w:val="414141"/>
                <w:w w:val="110"/>
                <w:sz w:val="18"/>
                <w:u w:val="single" w:color="000000"/>
              </w:rPr>
              <w:t>4,623</w:t>
            </w:r>
            <w:r>
              <w:rPr>
                <w:color w:val="414141"/>
                <w:spacing w:val="4"/>
                <w:sz w:val="18"/>
                <w:u w:val="single" w:color="000000"/>
              </w:rPr>
              <w:t> </w:t>
            </w:r>
          </w:p>
        </w:tc>
        <w:tc>
          <w:tcPr>
            <w:tcW w:w="1066" w:type="dxa"/>
          </w:tcPr>
          <w:p>
            <w:pPr>
              <w:pStyle w:val="TableParagraph"/>
              <w:tabs>
                <w:tab w:pos="387" w:val="left" w:leader="none"/>
              </w:tabs>
              <w:spacing w:before="8"/>
              <w:ind w:right="53"/>
              <w:jc w:val="right"/>
              <w:rPr>
                <w:sz w:val="18"/>
              </w:rPr>
            </w:pPr>
            <w:r>
              <w:rPr>
                <w:color w:val="414141"/>
                <w:w w:val="100"/>
                <w:sz w:val="18"/>
                <w:u w:val="single" w:color="000000"/>
              </w:rPr>
              <w:t> </w:t>
            </w:r>
            <w:r>
              <w:rPr>
                <w:color w:val="414141"/>
                <w:sz w:val="18"/>
                <w:u w:val="single" w:color="000000"/>
              </w:rPr>
              <w:tab/>
            </w:r>
            <w:r>
              <w:rPr>
                <w:color w:val="414141"/>
                <w:w w:val="110"/>
                <w:sz w:val="18"/>
                <w:u w:val="single" w:color="000000"/>
              </w:rPr>
              <w:t>3,775</w:t>
            </w:r>
            <w:r>
              <w:rPr>
                <w:color w:val="414141"/>
                <w:spacing w:val="-2"/>
                <w:sz w:val="18"/>
                <w:u w:val="single" w:color="000000"/>
              </w:rPr>
              <w:t> </w:t>
            </w:r>
          </w:p>
        </w:tc>
      </w:tr>
      <w:tr>
        <w:trPr>
          <w:trHeight w:val="248" w:hRule="atLeast"/>
        </w:trPr>
        <w:tc>
          <w:tcPr>
            <w:tcW w:w="4402" w:type="dxa"/>
          </w:tcPr>
          <w:p>
            <w:pPr>
              <w:pStyle w:val="TableParagraph"/>
              <w:rPr>
                <w:sz w:val="18"/>
              </w:rPr>
            </w:pPr>
          </w:p>
        </w:tc>
        <w:tc>
          <w:tcPr>
            <w:tcW w:w="2303" w:type="dxa"/>
          </w:tcPr>
          <w:p>
            <w:pPr>
              <w:pStyle w:val="TableParagraph"/>
              <w:spacing w:before="13"/>
              <w:ind w:right="170"/>
              <w:jc w:val="right"/>
              <w:rPr>
                <w:sz w:val="18"/>
              </w:rPr>
            </w:pPr>
            <w:r>
              <w:rPr>
                <w:color w:val="414141"/>
                <w:w w:val="110"/>
                <w:sz w:val="18"/>
              </w:rPr>
              <w:t>6,591</w:t>
            </w:r>
          </w:p>
        </w:tc>
        <w:tc>
          <w:tcPr>
            <w:tcW w:w="1066" w:type="dxa"/>
          </w:tcPr>
          <w:p>
            <w:pPr>
              <w:pStyle w:val="TableParagraph"/>
              <w:spacing w:before="13"/>
              <w:ind w:right="139"/>
              <w:jc w:val="right"/>
              <w:rPr>
                <w:sz w:val="18"/>
              </w:rPr>
            </w:pPr>
            <w:r>
              <w:rPr>
                <w:color w:val="414141"/>
                <w:w w:val="105"/>
                <w:sz w:val="18"/>
              </w:rPr>
              <w:t>7,301</w:t>
            </w:r>
          </w:p>
        </w:tc>
      </w:tr>
    </w:tbl>
    <w:p>
      <w:pPr>
        <w:pStyle w:val="BodyText"/>
        <w:spacing w:before="4"/>
        <w:rPr>
          <w:rFonts w:ascii="Times New Roman"/>
          <w:b/>
          <w:sz w:val="13"/>
        </w:rPr>
      </w:pPr>
    </w:p>
    <w:p>
      <w:pPr>
        <w:pStyle w:val="BodyText"/>
        <w:spacing w:line="256" w:lineRule="auto" w:before="93"/>
        <w:ind w:left="1025" w:right="945" w:firstLine="1"/>
        <w:jc w:val="both"/>
        <w:rPr>
          <w:rFonts w:ascii="Times New Roman" w:hAnsi="Times New Roman"/>
        </w:rPr>
      </w:pPr>
      <w:r>
        <w:rPr/>
        <w:pict>
          <v:line style="position:absolute;mso-position-horizontal-relative:page;mso-position-vertical-relative:paragraph;z-index:252142592" from="459.345032pt,-8.116649pt" to="507.012912pt,-8.116649pt" stroked="true" strokeweight=".962229pt" strokecolor="#000000">
            <v:stroke dashstyle="solid"/>
            <w10:wrap type="none"/>
          </v:line>
        </w:pict>
      </w:r>
      <w:r>
        <w:rPr/>
        <w:pict>
          <v:line style="position:absolute;mso-position-horizontal-relative:page;mso-position-vertical-relative:paragraph;z-index:252143616" from="404.454742pt,-8.116649pt" to="451.159635pt,-8.116649pt" stroked="true" strokeweight=".962229pt" strokecolor="#000000">
            <v:stroke dashstyle="solid"/>
            <w10:wrap type="none"/>
          </v:line>
        </w:pict>
      </w:r>
      <w:r>
        <w:rPr>
          <w:rFonts w:ascii="Times New Roman" w:hAnsi="Times New Roman"/>
          <w:color w:val="414141"/>
          <w:w w:val="105"/>
        </w:rPr>
        <w:t>Included within the </w:t>
      </w:r>
      <w:r>
        <w:rPr>
          <w:rFonts w:ascii="Times New Roman" w:hAnsi="Times New Roman"/>
          <w:color w:val="545454"/>
          <w:w w:val="105"/>
        </w:rPr>
        <w:t>'Sums </w:t>
      </w:r>
      <w:r>
        <w:rPr>
          <w:rFonts w:ascii="Times New Roman" w:hAnsi="Times New Roman"/>
          <w:color w:val="414141"/>
          <w:w w:val="105"/>
        </w:rPr>
        <w:t>held for Synods and congregations' </w:t>
      </w:r>
      <w:r>
        <w:rPr>
          <w:rFonts w:ascii="Times New Roman" w:hAnsi="Times New Roman"/>
          <w:color w:val="2D2D2D"/>
          <w:w w:val="105"/>
        </w:rPr>
        <w:t>is </w:t>
      </w:r>
      <w:r>
        <w:rPr>
          <w:rFonts w:ascii="Times New Roman" w:hAnsi="Times New Roman"/>
          <w:color w:val="414141"/>
          <w:w w:val="105"/>
        </w:rPr>
        <w:t>£373k (2005 £362k) which represents amounts donated to </w:t>
      </w:r>
      <w:r>
        <w:rPr>
          <w:rFonts w:ascii="Times New Roman" w:hAnsi="Times New Roman"/>
          <w:color w:val="2D2D2D"/>
          <w:w w:val="105"/>
        </w:rPr>
        <w:t>the </w:t>
      </w:r>
      <w:r>
        <w:rPr>
          <w:rFonts w:ascii="Times New Roman" w:hAnsi="Times New Roman"/>
          <w:color w:val="414141"/>
          <w:w w:val="105"/>
        </w:rPr>
        <w:t>Ministry and Mission </w:t>
      </w:r>
      <w:r>
        <w:rPr>
          <w:rFonts w:ascii="Times New Roman" w:hAnsi="Times New Roman"/>
          <w:color w:val="545454"/>
          <w:w w:val="105"/>
        </w:rPr>
        <w:t>Fund </w:t>
      </w:r>
      <w:r>
        <w:rPr>
          <w:rFonts w:ascii="Times New Roman" w:hAnsi="Times New Roman"/>
          <w:color w:val="414141"/>
          <w:w w:val="105"/>
        </w:rPr>
        <w:t>by individual Synods in excess </w:t>
      </w:r>
      <w:r>
        <w:rPr>
          <w:rFonts w:ascii="Times New Roman" w:hAnsi="Times New Roman"/>
          <w:color w:val="2D2D2D"/>
          <w:w w:val="105"/>
        </w:rPr>
        <w:t>of </w:t>
      </w:r>
      <w:r>
        <w:rPr>
          <w:rFonts w:ascii="Times New Roman" w:hAnsi="Times New Roman"/>
          <w:color w:val="414141"/>
          <w:w w:val="105"/>
        </w:rPr>
        <w:t>their agreed annual contribution.</w:t>
      </w:r>
    </w:p>
    <w:p>
      <w:pPr>
        <w:pStyle w:val="BodyText"/>
        <w:spacing w:line="256" w:lineRule="auto" w:before="9"/>
        <w:ind w:left="1029" w:right="914" w:hanging="14"/>
        <w:jc w:val="both"/>
        <w:rPr>
          <w:rFonts w:ascii="Times New Roman"/>
        </w:rPr>
      </w:pPr>
      <w:r>
        <w:rPr>
          <w:rFonts w:ascii="Times New Roman"/>
          <w:color w:val="414141"/>
          <w:w w:val="105"/>
        </w:rPr>
        <w:t>These</w:t>
      </w:r>
      <w:r>
        <w:rPr>
          <w:rFonts w:ascii="Times New Roman"/>
          <w:color w:val="414141"/>
          <w:spacing w:val="-8"/>
          <w:w w:val="105"/>
        </w:rPr>
        <w:t> </w:t>
      </w:r>
      <w:r>
        <w:rPr>
          <w:rFonts w:ascii="Times New Roman"/>
          <w:color w:val="414141"/>
          <w:w w:val="105"/>
        </w:rPr>
        <w:t>amounts</w:t>
      </w:r>
      <w:r>
        <w:rPr>
          <w:rFonts w:ascii="Times New Roman"/>
          <w:color w:val="414141"/>
          <w:spacing w:val="1"/>
          <w:w w:val="105"/>
        </w:rPr>
        <w:t> </w:t>
      </w:r>
      <w:r>
        <w:rPr>
          <w:rFonts w:ascii="Times New Roman"/>
          <w:color w:val="414141"/>
          <w:w w:val="105"/>
        </w:rPr>
        <w:t>will</w:t>
      </w:r>
      <w:r>
        <w:rPr>
          <w:rFonts w:ascii="Times New Roman"/>
          <w:color w:val="414141"/>
          <w:spacing w:val="10"/>
          <w:w w:val="105"/>
        </w:rPr>
        <w:t> </w:t>
      </w:r>
      <w:r>
        <w:rPr>
          <w:rFonts w:ascii="Times New Roman"/>
          <w:color w:val="2D2D2D"/>
          <w:w w:val="105"/>
        </w:rPr>
        <w:t>be</w:t>
      </w:r>
      <w:r>
        <w:rPr>
          <w:rFonts w:ascii="Times New Roman"/>
          <w:color w:val="2D2D2D"/>
          <w:spacing w:val="-8"/>
          <w:w w:val="105"/>
        </w:rPr>
        <w:t> </w:t>
      </w:r>
      <w:r>
        <w:rPr>
          <w:rFonts w:ascii="Times New Roman"/>
          <w:color w:val="414141"/>
          <w:w w:val="105"/>
        </w:rPr>
        <w:t>released</w:t>
      </w:r>
      <w:r>
        <w:rPr>
          <w:rFonts w:ascii="Times New Roman"/>
          <w:color w:val="414141"/>
          <w:spacing w:val="3"/>
          <w:w w:val="105"/>
        </w:rPr>
        <w:t> </w:t>
      </w:r>
      <w:r>
        <w:rPr>
          <w:rFonts w:ascii="Times New Roman"/>
          <w:color w:val="414141"/>
          <w:w w:val="105"/>
        </w:rPr>
        <w:t>as</w:t>
      </w:r>
      <w:r>
        <w:rPr>
          <w:rFonts w:ascii="Times New Roman"/>
          <w:color w:val="414141"/>
          <w:spacing w:val="13"/>
          <w:w w:val="105"/>
        </w:rPr>
        <w:t> </w:t>
      </w:r>
      <w:r>
        <w:rPr>
          <w:rFonts w:ascii="Times New Roman"/>
          <w:color w:val="2D2D2D"/>
          <w:w w:val="105"/>
        </w:rPr>
        <w:t>part</w:t>
      </w:r>
      <w:r>
        <w:rPr>
          <w:rFonts w:ascii="Times New Roman"/>
          <w:color w:val="2D2D2D"/>
          <w:spacing w:val="-3"/>
          <w:w w:val="105"/>
        </w:rPr>
        <w:t> </w:t>
      </w:r>
      <w:r>
        <w:rPr>
          <w:rFonts w:ascii="Times New Roman"/>
          <w:color w:val="414141"/>
          <w:w w:val="105"/>
        </w:rPr>
        <w:t>of</w:t>
      </w:r>
      <w:r>
        <w:rPr>
          <w:rFonts w:ascii="Times New Roman"/>
          <w:color w:val="414141"/>
          <w:spacing w:val="-7"/>
          <w:w w:val="105"/>
        </w:rPr>
        <w:t> </w:t>
      </w:r>
      <w:r>
        <w:rPr>
          <w:rFonts w:ascii="Times New Roman"/>
          <w:color w:val="414141"/>
          <w:w w:val="105"/>
        </w:rPr>
        <w:t>that</w:t>
      </w:r>
      <w:r>
        <w:rPr>
          <w:rFonts w:ascii="Times New Roman"/>
          <w:color w:val="414141"/>
          <w:spacing w:val="-12"/>
          <w:w w:val="105"/>
        </w:rPr>
        <w:t> </w:t>
      </w:r>
      <w:r>
        <w:rPr>
          <w:rFonts w:ascii="Times New Roman"/>
          <w:color w:val="414141"/>
          <w:w w:val="105"/>
        </w:rPr>
        <w:t>Synod's</w:t>
      </w:r>
      <w:r>
        <w:rPr>
          <w:rFonts w:ascii="Times New Roman"/>
          <w:color w:val="414141"/>
          <w:spacing w:val="-10"/>
          <w:w w:val="105"/>
        </w:rPr>
        <w:t> </w:t>
      </w:r>
      <w:r>
        <w:rPr>
          <w:rFonts w:ascii="Times New Roman"/>
          <w:color w:val="414141"/>
          <w:w w:val="105"/>
        </w:rPr>
        <w:t>contribution</w:t>
      </w:r>
      <w:r>
        <w:rPr>
          <w:rFonts w:ascii="Times New Roman"/>
          <w:color w:val="414141"/>
          <w:spacing w:val="1"/>
          <w:w w:val="105"/>
        </w:rPr>
        <w:t> </w:t>
      </w:r>
      <w:r>
        <w:rPr>
          <w:rFonts w:ascii="Times New Roman"/>
          <w:color w:val="414141"/>
          <w:w w:val="105"/>
        </w:rPr>
        <w:t>to</w:t>
      </w:r>
      <w:r>
        <w:rPr>
          <w:rFonts w:ascii="Times New Roman"/>
          <w:color w:val="414141"/>
          <w:spacing w:val="4"/>
          <w:w w:val="105"/>
        </w:rPr>
        <w:t> </w:t>
      </w:r>
      <w:r>
        <w:rPr>
          <w:rFonts w:ascii="Times New Roman"/>
          <w:color w:val="414141"/>
          <w:w w:val="105"/>
        </w:rPr>
        <w:t>the fund</w:t>
      </w:r>
      <w:r>
        <w:rPr>
          <w:rFonts w:ascii="Times New Roman"/>
          <w:color w:val="414141"/>
          <w:spacing w:val="7"/>
          <w:w w:val="105"/>
        </w:rPr>
        <w:t> </w:t>
      </w:r>
      <w:r>
        <w:rPr>
          <w:rFonts w:ascii="Times New Roman"/>
          <w:color w:val="414141"/>
          <w:w w:val="105"/>
        </w:rPr>
        <w:t>in</w:t>
      </w:r>
      <w:r>
        <w:rPr>
          <w:rFonts w:ascii="Times New Roman"/>
          <w:color w:val="414141"/>
          <w:spacing w:val="-10"/>
          <w:w w:val="105"/>
        </w:rPr>
        <w:t> </w:t>
      </w:r>
      <w:r>
        <w:rPr>
          <w:rFonts w:ascii="Times New Roman"/>
          <w:color w:val="414141"/>
          <w:w w:val="105"/>
        </w:rPr>
        <w:t>any</w:t>
      </w:r>
      <w:r>
        <w:rPr>
          <w:rFonts w:ascii="Times New Roman"/>
          <w:color w:val="414141"/>
          <w:spacing w:val="-17"/>
          <w:w w:val="105"/>
        </w:rPr>
        <w:t> </w:t>
      </w:r>
      <w:r>
        <w:rPr>
          <w:rFonts w:ascii="Times New Roman"/>
          <w:color w:val="414141"/>
          <w:w w:val="105"/>
        </w:rPr>
        <w:t>following</w:t>
      </w:r>
      <w:r>
        <w:rPr>
          <w:rFonts w:ascii="Times New Roman"/>
          <w:color w:val="414141"/>
          <w:spacing w:val="-3"/>
          <w:w w:val="105"/>
        </w:rPr>
        <w:t> </w:t>
      </w:r>
      <w:r>
        <w:rPr>
          <w:rFonts w:ascii="Times New Roman"/>
          <w:color w:val="414141"/>
          <w:w w:val="105"/>
        </w:rPr>
        <w:t>year</w:t>
      </w:r>
      <w:r>
        <w:rPr>
          <w:rFonts w:ascii="Times New Roman"/>
          <w:color w:val="414141"/>
          <w:spacing w:val="-16"/>
          <w:w w:val="105"/>
        </w:rPr>
        <w:t> </w:t>
      </w:r>
      <w:r>
        <w:rPr>
          <w:rFonts w:ascii="Times New Roman"/>
          <w:color w:val="2D2D2D"/>
          <w:w w:val="105"/>
        </w:rPr>
        <w:t>or</w:t>
      </w:r>
      <w:r>
        <w:rPr>
          <w:rFonts w:ascii="Times New Roman"/>
          <w:color w:val="2D2D2D"/>
          <w:spacing w:val="-1"/>
          <w:w w:val="105"/>
        </w:rPr>
        <w:t> </w:t>
      </w:r>
      <w:r>
        <w:rPr>
          <w:rFonts w:ascii="Times New Roman"/>
          <w:color w:val="2D2D2D"/>
          <w:w w:val="105"/>
        </w:rPr>
        <w:t>refunded to </w:t>
      </w:r>
      <w:r>
        <w:rPr>
          <w:rFonts w:ascii="Times New Roman"/>
          <w:color w:val="414141"/>
          <w:w w:val="105"/>
        </w:rPr>
        <w:t>the</w:t>
      </w:r>
      <w:r>
        <w:rPr>
          <w:rFonts w:ascii="Times New Roman"/>
          <w:color w:val="414141"/>
          <w:spacing w:val="-12"/>
          <w:w w:val="105"/>
        </w:rPr>
        <w:t> </w:t>
      </w:r>
      <w:r>
        <w:rPr>
          <w:rFonts w:ascii="Times New Roman"/>
          <w:color w:val="414141"/>
          <w:w w:val="105"/>
        </w:rPr>
        <w:t>Synod.</w:t>
      </w:r>
    </w:p>
    <w:p>
      <w:pPr>
        <w:pStyle w:val="BodyText"/>
        <w:spacing w:before="1"/>
        <w:rPr>
          <w:rFonts w:ascii="Times New Roman"/>
          <w:sz w:val="20"/>
        </w:rPr>
      </w:pPr>
    </w:p>
    <w:p>
      <w:pPr>
        <w:spacing w:before="0"/>
        <w:ind w:left="1028" w:right="0" w:firstLine="0"/>
        <w:jc w:val="both"/>
        <w:rPr>
          <w:rFonts w:ascii="Times New Roman"/>
          <w:b/>
          <w:sz w:val="18"/>
        </w:rPr>
      </w:pPr>
      <w:bookmarkStart w:name="_TOC_250002" w:id="19"/>
      <w:r>
        <w:rPr>
          <w:rFonts w:ascii="Times New Roman"/>
          <w:b/>
          <w:color w:val="2D2D2D"/>
          <w:w w:val="105"/>
          <w:sz w:val="18"/>
        </w:rPr>
        <w:t>NOTE </w:t>
      </w:r>
      <w:r>
        <w:rPr>
          <w:rFonts w:ascii="Times New Roman"/>
          <w:color w:val="2D2D2D"/>
          <w:w w:val="105"/>
          <w:sz w:val="18"/>
        </w:rPr>
        <w:t>17 </w:t>
      </w:r>
      <w:r>
        <w:rPr>
          <w:rFonts w:ascii="Times New Roman"/>
          <w:b/>
          <w:color w:val="151515"/>
          <w:w w:val="105"/>
          <w:sz w:val="18"/>
        </w:rPr>
        <w:t>THE </w:t>
      </w:r>
      <w:r>
        <w:rPr>
          <w:rFonts w:ascii="Times New Roman"/>
          <w:b/>
          <w:color w:val="2D2D2D"/>
          <w:w w:val="105"/>
          <w:sz w:val="18"/>
        </w:rPr>
        <w:t>UNITED REFORMED CHURCH M</w:t>
      </w:r>
      <w:r>
        <w:rPr>
          <w:rFonts w:ascii="Times New Roman"/>
          <w:b/>
          <w:w w:val="105"/>
          <w:sz w:val="18"/>
        </w:rPr>
        <w:t>I</w:t>
      </w:r>
      <w:bookmarkEnd w:id="19"/>
      <w:r>
        <w:rPr>
          <w:rFonts w:ascii="Times New Roman"/>
          <w:b/>
          <w:color w:val="2D2D2D"/>
          <w:w w:val="105"/>
          <w:sz w:val="18"/>
        </w:rPr>
        <w:t>NISTERS'PENSION FUND</w:t>
      </w:r>
    </w:p>
    <w:p>
      <w:pPr>
        <w:pStyle w:val="BodyText"/>
        <w:spacing w:line="268" w:lineRule="auto" w:before="129"/>
        <w:ind w:left="1024" w:right="888" w:firstLine="3"/>
        <w:jc w:val="both"/>
        <w:rPr>
          <w:rFonts w:ascii="Times New Roman"/>
        </w:rPr>
      </w:pPr>
      <w:r>
        <w:rPr>
          <w:rFonts w:ascii="Times New Roman"/>
          <w:color w:val="2D2D2D"/>
          <w:w w:val="105"/>
        </w:rPr>
        <w:t>Pensions </w:t>
      </w:r>
      <w:r>
        <w:rPr>
          <w:rFonts w:ascii="Times New Roman"/>
          <w:color w:val="414141"/>
          <w:w w:val="105"/>
        </w:rPr>
        <w:t>for most ministers are </w:t>
      </w:r>
      <w:r>
        <w:rPr>
          <w:rFonts w:ascii="Times New Roman"/>
          <w:color w:val="2D2D2D"/>
          <w:w w:val="105"/>
        </w:rPr>
        <w:t>provided </w:t>
      </w:r>
      <w:r>
        <w:rPr>
          <w:rFonts w:ascii="Times New Roman"/>
          <w:color w:val="414141"/>
          <w:w w:val="105"/>
        </w:rPr>
        <w:t>by The United </w:t>
      </w:r>
      <w:r>
        <w:rPr>
          <w:rFonts w:ascii="Times New Roman"/>
          <w:color w:val="2D2D2D"/>
          <w:w w:val="105"/>
        </w:rPr>
        <w:t>Reformed </w:t>
      </w:r>
      <w:r>
        <w:rPr>
          <w:rFonts w:ascii="Times New Roman"/>
          <w:color w:val="414141"/>
          <w:w w:val="105"/>
        </w:rPr>
        <w:t>Church Ministers' Pension </w:t>
      </w:r>
      <w:r>
        <w:rPr>
          <w:rFonts w:ascii="Times New Roman"/>
          <w:color w:val="2D2D2D"/>
          <w:w w:val="105"/>
        </w:rPr>
        <w:t>Fund. </w:t>
      </w:r>
      <w:r>
        <w:rPr>
          <w:rFonts w:ascii="Times New Roman"/>
          <w:color w:val="414141"/>
          <w:w w:val="105"/>
        </w:rPr>
        <w:t>The Fund </w:t>
      </w:r>
      <w:r>
        <w:rPr>
          <w:rFonts w:ascii="Times New Roman"/>
          <w:color w:val="2D2D2D"/>
          <w:w w:val="105"/>
        </w:rPr>
        <w:t>is </w:t>
      </w:r>
      <w:r>
        <w:rPr>
          <w:rFonts w:ascii="Times New Roman"/>
          <w:color w:val="414141"/>
          <w:w w:val="105"/>
        </w:rPr>
        <w:t>a defined benefit pension scheme </w:t>
      </w:r>
      <w:r>
        <w:rPr>
          <w:rFonts w:ascii="Times New Roman"/>
          <w:color w:val="2D2D2D"/>
          <w:w w:val="105"/>
        </w:rPr>
        <w:t>and the </w:t>
      </w:r>
      <w:r>
        <w:rPr>
          <w:rFonts w:ascii="Times New Roman"/>
          <w:color w:val="414141"/>
          <w:w w:val="105"/>
        </w:rPr>
        <w:t>assets are invested and managed by an independent trustee.</w:t>
      </w:r>
    </w:p>
    <w:p>
      <w:pPr>
        <w:pStyle w:val="BodyText"/>
        <w:spacing w:before="3"/>
        <w:rPr>
          <w:rFonts w:ascii="Times New Roman"/>
        </w:rPr>
      </w:pPr>
    </w:p>
    <w:p>
      <w:pPr>
        <w:pStyle w:val="BodyText"/>
        <w:spacing w:line="256" w:lineRule="auto"/>
        <w:ind w:left="1015" w:right="884"/>
        <w:jc w:val="both"/>
        <w:rPr>
          <w:rFonts w:ascii="Times New Roman"/>
        </w:rPr>
      </w:pPr>
      <w:r>
        <w:rPr>
          <w:rFonts w:ascii="Times New Roman"/>
          <w:color w:val="414141"/>
          <w:w w:val="105"/>
        </w:rPr>
        <w:t>Triennial actuarial valuations of the pension scheme </w:t>
      </w:r>
      <w:r>
        <w:rPr>
          <w:rFonts w:ascii="Times New Roman"/>
          <w:color w:val="2D2D2D"/>
          <w:w w:val="105"/>
        </w:rPr>
        <w:t>are </w:t>
      </w:r>
      <w:r>
        <w:rPr>
          <w:rFonts w:ascii="Times New Roman"/>
          <w:color w:val="414141"/>
          <w:w w:val="105"/>
        </w:rPr>
        <w:t>performed by a </w:t>
      </w:r>
      <w:r>
        <w:rPr>
          <w:rFonts w:ascii="Times New Roman"/>
          <w:color w:val="2D2D2D"/>
          <w:w w:val="105"/>
        </w:rPr>
        <w:t>qualified </w:t>
      </w:r>
      <w:r>
        <w:rPr>
          <w:rFonts w:ascii="Times New Roman"/>
          <w:color w:val="414141"/>
          <w:w w:val="105"/>
        </w:rPr>
        <w:t>actuary. The most recent formal actuarial review of </w:t>
      </w:r>
      <w:r>
        <w:rPr>
          <w:rFonts w:ascii="Times New Roman"/>
          <w:color w:val="2D2D2D"/>
          <w:w w:val="105"/>
        </w:rPr>
        <w:t>the defined benefit pension </w:t>
      </w:r>
      <w:r>
        <w:rPr>
          <w:rFonts w:ascii="Times New Roman"/>
          <w:color w:val="414141"/>
          <w:w w:val="105"/>
        </w:rPr>
        <w:t>scheme was at </w:t>
      </w:r>
      <w:r>
        <w:rPr>
          <w:rFonts w:ascii="Times New Roman"/>
          <w:color w:val="2D2D2D"/>
          <w:w w:val="105"/>
        </w:rPr>
        <w:t>1 January </w:t>
      </w:r>
      <w:r>
        <w:rPr>
          <w:rFonts w:ascii="Times New Roman"/>
          <w:color w:val="414141"/>
          <w:w w:val="105"/>
        </w:rPr>
        <w:t>2006</w:t>
      </w:r>
      <w:r>
        <w:rPr>
          <w:rFonts w:ascii="Times New Roman"/>
          <w:color w:val="151515"/>
          <w:w w:val="105"/>
        </w:rPr>
        <w:t>. </w:t>
      </w:r>
      <w:r>
        <w:rPr>
          <w:rFonts w:ascii="Times New Roman"/>
          <w:color w:val="2D2D2D"/>
          <w:w w:val="105"/>
        </w:rPr>
        <w:t>This has </w:t>
      </w:r>
      <w:r>
        <w:rPr>
          <w:rFonts w:ascii="Times New Roman"/>
          <w:color w:val="2D2D2D"/>
          <w:spacing w:val="-5"/>
          <w:w w:val="105"/>
        </w:rPr>
        <w:t>be</w:t>
      </w:r>
      <w:r>
        <w:rPr>
          <w:rFonts w:ascii="Times New Roman"/>
          <w:color w:val="545454"/>
          <w:spacing w:val="-5"/>
          <w:w w:val="105"/>
        </w:rPr>
        <w:t>en </w:t>
      </w:r>
      <w:r>
        <w:rPr>
          <w:rFonts w:ascii="Times New Roman"/>
          <w:color w:val="414141"/>
          <w:w w:val="105"/>
        </w:rPr>
        <w:t>updated by </w:t>
      </w:r>
      <w:r>
        <w:rPr>
          <w:rFonts w:ascii="Times New Roman"/>
          <w:color w:val="2D2D2D"/>
          <w:w w:val="105"/>
        </w:rPr>
        <w:t>the </w:t>
      </w:r>
      <w:r>
        <w:rPr>
          <w:rFonts w:ascii="Times New Roman"/>
          <w:color w:val="414141"/>
          <w:w w:val="105"/>
        </w:rPr>
        <w:t>actuary at 31 December 2006 using </w:t>
      </w:r>
      <w:r>
        <w:rPr>
          <w:rFonts w:ascii="Times New Roman"/>
          <w:color w:val="2D2D2D"/>
          <w:w w:val="105"/>
        </w:rPr>
        <w:t>re</w:t>
      </w:r>
      <w:r>
        <w:rPr>
          <w:rFonts w:ascii="Times New Roman"/>
          <w:color w:val="545454"/>
          <w:w w:val="105"/>
        </w:rPr>
        <w:t>vise</w:t>
      </w:r>
      <w:r>
        <w:rPr>
          <w:rFonts w:ascii="Times New Roman"/>
          <w:color w:val="2D2D2D"/>
          <w:w w:val="105"/>
        </w:rPr>
        <w:t>d </w:t>
      </w:r>
      <w:r>
        <w:rPr>
          <w:rFonts w:ascii="Times New Roman"/>
          <w:color w:val="414141"/>
          <w:w w:val="105"/>
        </w:rPr>
        <w:t>assumptions that are </w:t>
      </w:r>
      <w:r>
        <w:rPr>
          <w:rFonts w:ascii="Times New Roman"/>
          <w:color w:val="2D2D2D"/>
          <w:w w:val="105"/>
        </w:rPr>
        <w:t>consistent </w:t>
      </w:r>
      <w:r>
        <w:rPr>
          <w:rFonts w:ascii="Times New Roman"/>
          <w:color w:val="414141"/>
          <w:w w:val="105"/>
        </w:rPr>
        <w:t>with the requirements of </w:t>
      </w:r>
      <w:r>
        <w:rPr>
          <w:rFonts w:ascii="Times New Roman"/>
          <w:color w:val="545454"/>
          <w:w w:val="105"/>
        </w:rPr>
        <w:t>F</w:t>
      </w:r>
      <w:r>
        <w:rPr>
          <w:rFonts w:ascii="Times New Roman"/>
          <w:color w:val="2D2D2D"/>
          <w:w w:val="105"/>
        </w:rPr>
        <w:t>RS </w:t>
      </w:r>
      <w:r>
        <w:rPr>
          <w:rFonts w:ascii="Times New Roman"/>
          <w:color w:val="151515"/>
          <w:w w:val="105"/>
        </w:rPr>
        <w:t>17. </w:t>
      </w:r>
      <w:r>
        <w:rPr>
          <w:rFonts w:ascii="Times New Roman"/>
          <w:color w:val="414141"/>
          <w:w w:val="105"/>
        </w:rPr>
        <w:t>The mortality assumptions used are </w:t>
      </w:r>
      <w:r>
        <w:rPr>
          <w:rFonts w:ascii="Times New Roman"/>
          <w:color w:val="2D2D2D"/>
          <w:spacing w:val="-4"/>
          <w:w w:val="105"/>
        </w:rPr>
        <w:t>bas</w:t>
      </w:r>
      <w:r>
        <w:rPr>
          <w:rFonts w:ascii="Times New Roman"/>
          <w:color w:val="545454"/>
          <w:spacing w:val="-4"/>
          <w:w w:val="105"/>
        </w:rPr>
        <w:t>ed </w:t>
      </w:r>
      <w:r>
        <w:rPr>
          <w:rFonts w:ascii="Times New Roman"/>
          <w:color w:val="414141"/>
          <w:w w:val="105"/>
        </w:rPr>
        <w:t>on </w:t>
      </w:r>
      <w:r>
        <w:rPr>
          <w:rFonts w:ascii="Times New Roman"/>
          <w:color w:val="2D2D2D"/>
          <w:w w:val="105"/>
        </w:rPr>
        <w:t>those </w:t>
      </w:r>
      <w:r>
        <w:rPr>
          <w:rFonts w:ascii="Times New Roman"/>
          <w:color w:val="414141"/>
          <w:w w:val="105"/>
        </w:rPr>
        <w:t>used at the 2006 formal </w:t>
      </w:r>
      <w:r>
        <w:rPr>
          <w:rFonts w:ascii="Times New Roman"/>
          <w:color w:val="2D2D2D"/>
          <w:w w:val="105"/>
        </w:rPr>
        <w:t>actuarial review, </w:t>
      </w:r>
      <w:r>
        <w:rPr>
          <w:rFonts w:ascii="Times New Roman"/>
          <w:color w:val="414141"/>
          <w:w w:val="105"/>
        </w:rPr>
        <w:t>and include a further material </w:t>
      </w:r>
      <w:r>
        <w:rPr>
          <w:rFonts w:ascii="Times New Roman"/>
          <w:color w:val="545454"/>
          <w:w w:val="105"/>
        </w:rPr>
        <w:t>strengthening </w:t>
      </w:r>
      <w:r>
        <w:rPr>
          <w:rFonts w:ascii="Times New Roman"/>
          <w:color w:val="414141"/>
          <w:w w:val="105"/>
        </w:rPr>
        <w:t>in the mortality rates as the result of </w:t>
      </w:r>
      <w:r>
        <w:rPr>
          <w:rFonts w:ascii="Times New Roman"/>
          <w:color w:val="2D2D2D"/>
          <w:w w:val="105"/>
        </w:rPr>
        <w:t>the </w:t>
      </w:r>
      <w:r>
        <w:rPr>
          <w:rFonts w:ascii="Times New Roman"/>
          <w:color w:val="414141"/>
          <w:w w:val="105"/>
        </w:rPr>
        <w:t>actuary's detailed analysis of </w:t>
      </w:r>
      <w:r>
        <w:rPr>
          <w:rFonts w:ascii="Times New Roman"/>
          <w:color w:val="2D2D2D"/>
          <w:w w:val="105"/>
        </w:rPr>
        <w:t>the </w:t>
      </w:r>
      <w:r>
        <w:rPr>
          <w:rFonts w:ascii="Times New Roman"/>
          <w:color w:val="414141"/>
          <w:w w:val="105"/>
        </w:rPr>
        <w:t>scheme's </w:t>
      </w:r>
      <w:r>
        <w:rPr>
          <w:rFonts w:ascii="Times New Roman"/>
          <w:color w:val="2D2D2D"/>
          <w:w w:val="105"/>
        </w:rPr>
        <w:t>actual </w:t>
      </w:r>
      <w:r>
        <w:rPr>
          <w:rFonts w:ascii="Times New Roman"/>
          <w:color w:val="414141"/>
          <w:w w:val="105"/>
        </w:rPr>
        <w:t>experience over the last few years. </w:t>
      </w:r>
      <w:r>
        <w:rPr>
          <w:rFonts w:ascii="Times New Roman"/>
          <w:color w:val="2D2D2D"/>
          <w:w w:val="105"/>
        </w:rPr>
        <w:t>These </w:t>
      </w:r>
      <w:r>
        <w:rPr>
          <w:rFonts w:ascii="Times New Roman"/>
          <w:color w:val="414141"/>
          <w:w w:val="105"/>
        </w:rPr>
        <w:t>have added </w:t>
      </w:r>
      <w:r>
        <w:rPr>
          <w:rFonts w:ascii="Times New Roman"/>
          <w:color w:val="2D2D2D"/>
          <w:w w:val="105"/>
        </w:rPr>
        <w:t>to </w:t>
      </w:r>
      <w:r>
        <w:rPr>
          <w:rFonts w:ascii="Times New Roman"/>
          <w:color w:val="414141"/>
          <w:w w:val="105"/>
        </w:rPr>
        <w:t>the scheme's </w:t>
      </w:r>
      <w:r>
        <w:rPr>
          <w:rFonts w:ascii="Times New Roman"/>
          <w:color w:val="2D2D2D"/>
          <w:w w:val="105"/>
        </w:rPr>
        <w:t>liabili</w:t>
      </w:r>
      <w:r>
        <w:rPr>
          <w:rFonts w:ascii="Times New Roman"/>
          <w:color w:val="545454"/>
          <w:w w:val="105"/>
        </w:rPr>
        <w:t>ties </w:t>
      </w:r>
      <w:r>
        <w:rPr>
          <w:rFonts w:ascii="Times New Roman"/>
          <w:color w:val="414141"/>
          <w:w w:val="105"/>
        </w:rPr>
        <w:t>and give rise to a further increase </w:t>
      </w:r>
      <w:r>
        <w:rPr>
          <w:rFonts w:ascii="Times New Roman"/>
          <w:color w:val="2D2D2D"/>
          <w:w w:val="105"/>
        </w:rPr>
        <w:t>in </w:t>
      </w:r>
      <w:r>
        <w:rPr>
          <w:rFonts w:ascii="Times New Roman"/>
          <w:color w:val="414141"/>
          <w:w w:val="105"/>
        </w:rPr>
        <w:t>the pension</w:t>
      </w:r>
      <w:r>
        <w:rPr>
          <w:rFonts w:ascii="Times New Roman"/>
          <w:color w:val="414141"/>
          <w:spacing w:val="1"/>
          <w:w w:val="105"/>
        </w:rPr>
        <w:t> </w:t>
      </w:r>
      <w:r>
        <w:rPr>
          <w:rFonts w:ascii="Times New Roman"/>
          <w:color w:val="2D2D2D"/>
          <w:w w:val="105"/>
        </w:rPr>
        <w:t>reserve.</w:t>
      </w:r>
    </w:p>
    <w:p>
      <w:pPr>
        <w:pStyle w:val="BodyText"/>
        <w:spacing w:before="2"/>
        <w:rPr>
          <w:rFonts w:ascii="Times New Roman"/>
          <w:sz w:val="19"/>
        </w:rPr>
      </w:pPr>
    </w:p>
    <w:p>
      <w:pPr>
        <w:pStyle w:val="ListParagraph"/>
        <w:numPr>
          <w:ilvl w:val="0"/>
          <w:numId w:val="219"/>
        </w:numPr>
        <w:tabs>
          <w:tab w:pos="1698" w:val="left" w:leader="none"/>
          <w:tab w:pos="1699" w:val="left" w:leader="none"/>
        </w:tabs>
        <w:spacing w:line="240" w:lineRule="auto" w:before="0" w:after="0"/>
        <w:ind w:left="1698" w:right="0" w:hanging="684"/>
        <w:jc w:val="both"/>
        <w:rPr>
          <w:rFonts w:ascii="Times New Roman"/>
          <w:color w:val="414141"/>
          <w:sz w:val="18"/>
        </w:rPr>
      </w:pPr>
      <w:r>
        <w:rPr>
          <w:rFonts w:ascii="Times New Roman"/>
          <w:color w:val="414141"/>
          <w:w w:val="105"/>
          <w:sz w:val="18"/>
        </w:rPr>
        <w:t>Contributions</w:t>
      </w:r>
    </w:p>
    <w:p>
      <w:pPr>
        <w:pStyle w:val="BodyText"/>
        <w:spacing w:line="256" w:lineRule="auto" w:before="24"/>
        <w:ind w:left="1684" w:right="888" w:hanging="4"/>
        <w:jc w:val="both"/>
        <w:rPr>
          <w:rFonts w:ascii="Times New Roman"/>
        </w:rPr>
      </w:pPr>
      <w:r>
        <w:rPr>
          <w:rFonts w:ascii="Times New Roman"/>
          <w:color w:val="2D2D2D"/>
          <w:w w:val="105"/>
        </w:rPr>
        <w:t>The</w:t>
      </w:r>
      <w:r>
        <w:rPr>
          <w:rFonts w:ascii="Times New Roman"/>
          <w:color w:val="2D2D2D"/>
          <w:spacing w:val="47"/>
          <w:w w:val="105"/>
        </w:rPr>
        <w:t> </w:t>
      </w:r>
      <w:r>
        <w:rPr>
          <w:rFonts w:ascii="Times New Roman"/>
          <w:color w:val="2D2D2D"/>
          <w:w w:val="105"/>
        </w:rPr>
        <w:t>defined  </w:t>
      </w:r>
      <w:r>
        <w:rPr>
          <w:rFonts w:ascii="Times New Roman"/>
          <w:color w:val="414141"/>
          <w:w w:val="105"/>
        </w:rPr>
        <w:t>benefit  scheme  </w:t>
      </w:r>
      <w:r>
        <w:rPr>
          <w:rFonts w:ascii="Times New Roman"/>
          <w:color w:val="151515"/>
          <w:spacing w:val="-5"/>
          <w:w w:val="105"/>
        </w:rPr>
        <w:t>i</w:t>
      </w:r>
      <w:r>
        <w:rPr>
          <w:rFonts w:ascii="Times New Roman"/>
          <w:color w:val="545454"/>
          <w:spacing w:val="-5"/>
          <w:w w:val="105"/>
        </w:rPr>
        <w:t>s   </w:t>
      </w:r>
      <w:r>
        <w:rPr>
          <w:rFonts w:ascii="Times New Roman"/>
          <w:color w:val="414141"/>
          <w:w w:val="105"/>
        </w:rPr>
        <w:t>funded  and  is  not  contracted-out  of  the  state  scheme.   As  from </w:t>
      </w:r>
      <w:r>
        <w:rPr>
          <w:rFonts w:ascii="Times New Roman"/>
          <w:color w:val="2D2D2D"/>
          <w:w w:val="105"/>
        </w:rPr>
        <w:t>1 </w:t>
      </w:r>
      <w:r>
        <w:rPr>
          <w:rFonts w:ascii="Times New Roman"/>
          <w:color w:val="414141"/>
          <w:w w:val="105"/>
        </w:rPr>
        <w:t>January 2004 the Church's contribution rate was fixed at 14.95% of pensionable pay,</w:t>
      </w:r>
      <w:r>
        <w:rPr>
          <w:rFonts w:ascii="Times New Roman"/>
          <w:color w:val="414141"/>
          <w:spacing w:val="5"/>
          <w:w w:val="105"/>
        </w:rPr>
        <w:t> </w:t>
      </w:r>
      <w:r>
        <w:rPr>
          <w:rFonts w:ascii="Times New Roman"/>
          <w:color w:val="414141"/>
          <w:w w:val="105"/>
        </w:rPr>
        <w:t>contributing</w:t>
      </w:r>
    </w:p>
    <w:p>
      <w:pPr>
        <w:pStyle w:val="BodyText"/>
        <w:spacing w:line="256" w:lineRule="auto"/>
        <w:ind w:left="1679" w:right="882" w:firstLine="1"/>
        <w:jc w:val="both"/>
        <w:rPr>
          <w:rFonts w:ascii="Times New Roman" w:hAnsi="Times New Roman"/>
        </w:rPr>
      </w:pPr>
      <w:r>
        <w:rPr>
          <w:rFonts w:ascii="Times New Roman" w:hAnsi="Times New Roman"/>
          <w:color w:val="414141"/>
          <w:w w:val="105"/>
        </w:rPr>
        <w:t>£1,743,000 </w:t>
      </w:r>
      <w:r>
        <w:rPr>
          <w:rFonts w:ascii="Times New Roman" w:hAnsi="Times New Roman"/>
          <w:color w:val="2D2D2D"/>
          <w:w w:val="105"/>
        </w:rPr>
        <w:t>in </w:t>
      </w:r>
      <w:r>
        <w:rPr>
          <w:rFonts w:ascii="Times New Roman" w:hAnsi="Times New Roman"/>
          <w:color w:val="414141"/>
          <w:w w:val="105"/>
        </w:rPr>
        <w:t>2006, and members have contributed </w:t>
      </w:r>
      <w:r>
        <w:rPr>
          <w:rFonts w:ascii="Times New Roman" w:hAnsi="Times New Roman"/>
          <w:color w:val="2D2D2D"/>
          <w:w w:val="105"/>
        </w:rPr>
        <w:t>at </w:t>
      </w:r>
      <w:r>
        <w:rPr>
          <w:rFonts w:ascii="Times New Roman" w:hAnsi="Times New Roman"/>
          <w:color w:val="414141"/>
          <w:w w:val="105"/>
        </w:rPr>
        <w:t>the rate of </w:t>
      </w:r>
      <w:r>
        <w:rPr>
          <w:rFonts w:ascii="Times New Roman" w:hAnsi="Times New Roman"/>
          <w:color w:val="2D2D2D"/>
          <w:w w:val="105"/>
        </w:rPr>
        <w:t>4.5% of </w:t>
      </w:r>
      <w:r>
        <w:rPr>
          <w:rFonts w:ascii="Times New Roman" w:hAnsi="Times New Roman"/>
          <w:color w:val="414141"/>
          <w:w w:val="105"/>
        </w:rPr>
        <w:t>pensionable pay. lo 2006 the </w:t>
      </w:r>
      <w:r>
        <w:rPr>
          <w:rFonts w:ascii="Times New Roman" w:hAnsi="Times New Roman"/>
          <w:color w:val="2D2D2D"/>
          <w:w w:val="105"/>
        </w:rPr>
        <w:t>Church </w:t>
      </w:r>
      <w:r>
        <w:rPr>
          <w:rFonts w:ascii="Times New Roman" w:hAnsi="Times New Roman"/>
          <w:color w:val="414141"/>
          <w:w w:val="105"/>
        </w:rPr>
        <w:t>made additional contributions at 0.7% of pensionable </w:t>
      </w:r>
      <w:r>
        <w:rPr>
          <w:rFonts w:ascii="Times New Roman" w:hAnsi="Times New Roman"/>
          <w:color w:val="2D2D2D"/>
          <w:w w:val="105"/>
        </w:rPr>
        <w:t>pay. For </w:t>
      </w:r>
      <w:r>
        <w:rPr>
          <w:rFonts w:ascii="Times New Roman" w:hAnsi="Times New Roman"/>
          <w:color w:val="414141"/>
          <w:w w:val="105"/>
        </w:rPr>
        <w:t>2007 </w:t>
      </w:r>
      <w:r>
        <w:rPr>
          <w:rFonts w:ascii="Times New Roman" w:hAnsi="Times New Roman"/>
          <w:color w:val="2D2D2D"/>
          <w:w w:val="105"/>
        </w:rPr>
        <w:t>the </w:t>
      </w:r>
      <w:r>
        <w:rPr>
          <w:rFonts w:ascii="Times New Roman" w:hAnsi="Times New Roman"/>
          <w:color w:val="414141"/>
          <w:w w:val="105"/>
        </w:rPr>
        <w:t>contribution rates increase to 17.25% by the Church and 5.75% by members.</w:t>
      </w:r>
    </w:p>
    <w:p>
      <w:pPr>
        <w:pStyle w:val="BodyText"/>
        <w:spacing w:before="2"/>
        <w:rPr>
          <w:rFonts w:ascii="Times New Roman"/>
          <w:sz w:val="19"/>
        </w:rPr>
      </w:pPr>
    </w:p>
    <w:p>
      <w:pPr>
        <w:pStyle w:val="ListParagraph"/>
        <w:numPr>
          <w:ilvl w:val="0"/>
          <w:numId w:val="219"/>
        </w:numPr>
        <w:tabs>
          <w:tab w:pos="1703" w:val="left" w:leader="none"/>
          <w:tab w:pos="1704" w:val="left" w:leader="none"/>
        </w:tabs>
        <w:spacing w:line="240" w:lineRule="auto" w:before="0" w:after="0"/>
        <w:ind w:left="1703" w:right="0" w:hanging="692"/>
        <w:jc w:val="both"/>
        <w:rPr>
          <w:rFonts w:ascii="Times New Roman"/>
          <w:color w:val="2D2D2D"/>
          <w:sz w:val="18"/>
        </w:rPr>
      </w:pPr>
      <w:r>
        <w:rPr>
          <w:rFonts w:ascii="Times New Roman"/>
          <w:color w:val="414141"/>
          <w:w w:val="105"/>
          <w:sz w:val="18"/>
        </w:rPr>
        <w:t>Assumptions</w:t>
      </w:r>
    </w:p>
    <w:p>
      <w:pPr>
        <w:pStyle w:val="BodyText"/>
        <w:spacing w:before="5"/>
        <w:ind w:left="1690"/>
        <w:jc w:val="both"/>
        <w:rPr>
          <w:rFonts w:ascii="Times New Roman"/>
        </w:rPr>
      </w:pPr>
      <w:r>
        <w:rPr>
          <w:rFonts w:ascii="Times New Roman"/>
          <w:color w:val="545454"/>
          <w:w w:val="105"/>
        </w:rPr>
        <w:t>The </w:t>
      </w:r>
      <w:r>
        <w:rPr>
          <w:rFonts w:ascii="Times New Roman"/>
          <w:color w:val="2D2D2D"/>
          <w:w w:val="105"/>
        </w:rPr>
        <w:t>major </w:t>
      </w:r>
      <w:r>
        <w:rPr>
          <w:rFonts w:ascii="Times New Roman"/>
          <w:color w:val="414141"/>
          <w:w w:val="105"/>
        </w:rPr>
        <w:t>assumptions used by the actuary </w:t>
      </w:r>
      <w:r>
        <w:rPr>
          <w:rFonts w:ascii="Times New Roman"/>
          <w:color w:val="414141"/>
          <w:w w:val="105"/>
          <w:sz w:val="19"/>
        </w:rPr>
        <w:t>in </w:t>
      </w:r>
      <w:r>
        <w:rPr>
          <w:rFonts w:ascii="Times New Roman"/>
          <w:color w:val="414141"/>
          <w:w w:val="105"/>
        </w:rPr>
        <w:t>assessing scheme liabilities on a </w:t>
      </w:r>
      <w:r>
        <w:rPr>
          <w:rFonts w:ascii="Times New Roman"/>
          <w:color w:val="545454"/>
          <w:w w:val="105"/>
        </w:rPr>
        <w:t>F</w:t>
      </w:r>
      <w:r>
        <w:rPr>
          <w:rFonts w:ascii="Times New Roman"/>
          <w:color w:val="2D2D2D"/>
          <w:w w:val="105"/>
        </w:rPr>
        <w:t>RS 17 </w:t>
      </w:r>
      <w:r>
        <w:rPr>
          <w:rFonts w:ascii="Times New Roman"/>
          <w:color w:val="414141"/>
          <w:w w:val="105"/>
        </w:rPr>
        <w:t>basis were:</w:t>
      </w:r>
    </w:p>
    <w:p>
      <w:pPr>
        <w:tabs>
          <w:tab w:pos="8364" w:val="left" w:leader="none"/>
          <w:tab w:pos="9563" w:val="right" w:leader="none"/>
        </w:tabs>
        <w:spacing w:line="256" w:lineRule="auto" w:before="128"/>
        <w:ind w:left="7632" w:right="883" w:firstLine="176"/>
        <w:jc w:val="left"/>
        <w:rPr>
          <w:rFonts w:ascii="Times New Roman"/>
          <w:b/>
          <w:sz w:val="18"/>
        </w:rPr>
      </w:pPr>
      <w:r>
        <w:rPr>
          <w:rFonts w:ascii="Times New Roman"/>
          <w:b/>
          <w:color w:val="2D2D2D"/>
          <w:w w:val="105"/>
          <w:sz w:val="18"/>
        </w:rPr>
        <w:t>As at </w:t>
      </w:r>
      <w:r>
        <w:rPr>
          <w:rFonts w:ascii="Times New Roman"/>
          <w:b/>
          <w:color w:val="151515"/>
          <w:w w:val="105"/>
          <w:sz w:val="18"/>
        </w:rPr>
        <w:t>31 December </w:t>
      </w:r>
      <w:r>
        <w:rPr>
          <w:rFonts w:ascii="Times New Roman"/>
          <w:b/>
          <w:color w:val="2D2D2D"/>
          <w:w w:val="105"/>
          <w:sz w:val="18"/>
        </w:rPr>
        <w:t>2</w:t>
      </w:r>
      <w:r>
        <w:rPr>
          <w:rFonts w:ascii="Times New Roman"/>
          <w:b/>
          <w:w w:val="105"/>
          <w:sz w:val="18"/>
        </w:rPr>
        <w:t>00</w:t>
      </w:r>
      <w:r>
        <w:rPr>
          <w:rFonts w:ascii="Times New Roman"/>
          <w:b/>
          <w:color w:val="2D2D2D"/>
          <w:w w:val="105"/>
          <w:sz w:val="18"/>
        </w:rPr>
        <w:t>6</w:t>
        <w:tab/>
        <w:t>2005</w:t>
        <w:tab/>
      </w:r>
      <w:r>
        <w:rPr>
          <w:rFonts w:ascii="Times New Roman"/>
          <w:b/>
          <w:color w:val="151515"/>
          <w:w w:val="105"/>
          <w:sz w:val="18"/>
        </w:rPr>
        <w:t>2004</w:t>
      </w:r>
    </w:p>
    <w:p>
      <w:pPr>
        <w:spacing w:after="0" w:line="256" w:lineRule="auto"/>
        <w:jc w:val="left"/>
        <w:rPr>
          <w:rFonts w:ascii="Times New Roman"/>
          <w:sz w:val="18"/>
        </w:rPr>
        <w:sectPr>
          <w:type w:val="continuous"/>
          <w:pgSz w:w="10950" w:h="15880"/>
          <w:pgMar w:top="680" w:bottom="280" w:left="500" w:right="0"/>
        </w:sectPr>
      </w:pPr>
    </w:p>
    <w:p>
      <w:pPr>
        <w:pStyle w:val="BodyText"/>
        <w:spacing w:before="4"/>
        <w:rPr>
          <w:rFonts w:ascii="Times New Roman"/>
          <w:b/>
        </w:rPr>
      </w:pPr>
    </w:p>
    <w:p>
      <w:pPr>
        <w:pStyle w:val="BodyText"/>
        <w:ind w:left="1779"/>
        <w:rPr>
          <w:rFonts w:ascii="Times New Roman"/>
        </w:rPr>
      </w:pPr>
      <w:r>
        <w:rPr>
          <w:rFonts w:ascii="Times New Roman"/>
          <w:color w:val="2D2D2D"/>
          <w:w w:val="110"/>
        </w:rPr>
        <w:t>Rate </w:t>
      </w:r>
      <w:r>
        <w:rPr>
          <w:rFonts w:ascii="Times New Roman"/>
          <w:color w:val="414141"/>
          <w:w w:val="110"/>
        </w:rPr>
        <w:t>of increase </w:t>
      </w:r>
      <w:r>
        <w:rPr>
          <w:rFonts w:ascii="Times New Roman"/>
          <w:color w:val="2D2D2D"/>
          <w:w w:val="110"/>
        </w:rPr>
        <w:t>in pen</w:t>
      </w:r>
      <w:r>
        <w:rPr>
          <w:rFonts w:ascii="Times New Roman"/>
          <w:color w:val="545454"/>
          <w:w w:val="110"/>
        </w:rPr>
        <w:t>sio</w:t>
      </w:r>
      <w:r>
        <w:rPr>
          <w:rFonts w:ascii="Times New Roman"/>
          <w:color w:val="2D2D2D"/>
          <w:w w:val="110"/>
        </w:rPr>
        <w:t>nable </w:t>
      </w:r>
      <w:r>
        <w:rPr>
          <w:rFonts w:ascii="Times New Roman"/>
          <w:color w:val="414141"/>
          <w:w w:val="110"/>
        </w:rPr>
        <w:t>stipends</w:t>
      </w:r>
    </w:p>
    <w:p>
      <w:pPr>
        <w:pStyle w:val="BodyText"/>
        <w:spacing w:line="244" w:lineRule="auto" w:before="14"/>
        <w:ind w:left="1779"/>
        <w:rPr>
          <w:rFonts w:ascii="Times New Roman"/>
        </w:rPr>
      </w:pPr>
      <w:r>
        <w:rPr>
          <w:rFonts w:ascii="Times New Roman"/>
          <w:color w:val="2D2D2D"/>
          <w:w w:val="105"/>
        </w:rPr>
        <w:t>Rate</w:t>
      </w:r>
      <w:r>
        <w:rPr>
          <w:rFonts w:ascii="Times New Roman"/>
          <w:color w:val="2D2D2D"/>
          <w:spacing w:val="-24"/>
          <w:w w:val="105"/>
        </w:rPr>
        <w:t> </w:t>
      </w:r>
      <w:r>
        <w:rPr>
          <w:rFonts w:ascii="Times New Roman"/>
          <w:color w:val="414141"/>
          <w:w w:val="105"/>
        </w:rPr>
        <w:t>of</w:t>
      </w:r>
      <w:r>
        <w:rPr>
          <w:rFonts w:ascii="Times New Roman"/>
          <w:color w:val="414141"/>
          <w:spacing w:val="1"/>
          <w:w w:val="105"/>
        </w:rPr>
        <w:t> </w:t>
      </w:r>
      <w:r>
        <w:rPr>
          <w:rFonts w:ascii="Times New Roman"/>
          <w:color w:val="414141"/>
          <w:w w:val="105"/>
        </w:rPr>
        <w:t>increase</w:t>
      </w:r>
      <w:r>
        <w:rPr>
          <w:rFonts w:ascii="Times New Roman"/>
          <w:color w:val="414141"/>
          <w:spacing w:val="-12"/>
          <w:w w:val="105"/>
        </w:rPr>
        <w:t> </w:t>
      </w:r>
      <w:r>
        <w:rPr>
          <w:rFonts w:ascii="Arial"/>
          <w:color w:val="414141"/>
          <w:w w:val="105"/>
          <w:sz w:val="19"/>
        </w:rPr>
        <w:t>in</w:t>
      </w:r>
      <w:r>
        <w:rPr>
          <w:rFonts w:ascii="Arial"/>
          <w:color w:val="414141"/>
          <w:spacing w:val="-18"/>
          <w:w w:val="105"/>
          <w:sz w:val="19"/>
        </w:rPr>
        <w:t> </w:t>
      </w:r>
      <w:r>
        <w:rPr>
          <w:rFonts w:ascii="Times New Roman"/>
          <w:color w:val="414141"/>
          <w:w w:val="105"/>
        </w:rPr>
        <w:t>Limited</w:t>
      </w:r>
      <w:r>
        <w:rPr>
          <w:rFonts w:ascii="Times New Roman"/>
          <w:color w:val="414141"/>
          <w:spacing w:val="4"/>
          <w:w w:val="105"/>
        </w:rPr>
        <w:t> </w:t>
      </w:r>
      <w:r>
        <w:rPr>
          <w:rFonts w:ascii="Times New Roman"/>
          <w:color w:val="414141"/>
          <w:w w:val="105"/>
        </w:rPr>
        <w:t>RPI</w:t>
      </w:r>
      <w:r>
        <w:rPr>
          <w:rFonts w:ascii="Times New Roman"/>
          <w:color w:val="414141"/>
          <w:spacing w:val="4"/>
          <w:w w:val="105"/>
        </w:rPr>
        <w:t> </w:t>
      </w:r>
      <w:r>
        <w:rPr>
          <w:rFonts w:ascii="Times New Roman"/>
          <w:color w:val="2D2D2D"/>
          <w:w w:val="105"/>
        </w:rPr>
        <w:t>pensions</w:t>
      </w:r>
      <w:r>
        <w:rPr>
          <w:rFonts w:ascii="Times New Roman"/>
          <w:color w:val="2D2D2D"/>
          <w:spacing w:val="-7"/>
          <w:w w:val="105"/>
        </w:rPr>
        <w:t> </w:t>
      </w:r>
      <w:r>
        <w:rPr>
          <w:rFonts w:ascii="Times New Roman"/>
          <w:color w:val="414141"/>
          <w:w w:val="105"/>
        </w:rPr>
        <w:t>in</w:t>
      </w:r>
      <w:r>
        <w:rPr>
          <w:rFonts w:ascii="Times New Roman"/>
          <w:color w:val="414141"/>
          <w:spacing w:val="-3"/>
          <w:w w:val="105"/>
        </w:rPr>
        <w:t> </w:t>
      </w:r>
      <w:r>
        <w:rPr>
          <w:rFonts w:ascii="Times New Roman"/>
          <w:color w:val="414141"/>
          <w:w w:val="105"/>
        </w:rPr>
        <w:t>payment (capped</w:t>
      </w:r>
      <w:r>
        <w:rPr>
          <w:rFonts w:ascii="Times New Roman"/>
          <w:color w:val="414141"/>
          <w:spacing w:val="-2"/>
          <w:w w:val="105"/>
        </w:rPr>
        <w:t> </w:t>
      </w:r>
      <w:r>
        <w:rPr>
          <w:rFonts w:ascii="Times New Roman"/>
          <w:color w:val="414141"/>
          <w:w w:val="105"/>
        </w:rPr>
        <w:t>at</w:t>
      </w:r>
      <w:r>
        <w:rPr>
          <w:rFonts w:ascii="Times New Roman"/>
          <w:color w:val="414141"/>
          <w:spacing w:val="-2"/>
          <w:w w:val="105"/>
        </w:rPr>
        <w:t> </w:t>
      </w:r>
      <w:r>
        <w:rPr>
          <w:rFonts w:ascii="Times New Roman"/>
          <w:color w:val="414141"/>
          <w:w w:val="105"/>
        </w:rPr>
        <w:t>5%) </w:t>
      </w:r>
      <w:r>
        <w:rPr>
          <w:rFonts w:ascii="Times New Roman"/>
          <w:color w:val="2D2D2D"/>
          <w:w w:val="105"/>
        </w:rPr>
        <w:t>Discount rate</w:t>
      </w:r>
      <w:r>
        <w:rPr>
          <w:rFonts w:ascii="Times New Roman"/>
          <w:color w:val="2D2D2D"/>
          <w:spacing w:val="-32"/>
          <w:w w:val="105"/>
        </w:rPr>
        <w:t> </w:t>
      </w:r>
      <w:r>
        <w:rPr>
          <w:rFonts w:ascii="Times New Roman"/>
          <w:color w:val="414141"/>
          <w:w w:val="105"/>
        </w:rPr>
        <w:t>(pre-retirement)</w:t>
      </w:r>
    </w:p>
    <w:p>
      <w:pPr>
        <w:pStyle w:val="BodyText"/>
        <w:spacing w:line="244" w:lineRule="auto" w:before="19"/>
        <w:ind w:left="1788" w:right="2566" w:hanging="10"/>
        <w:rPr>
          <w:rFonts w:ascii="Times New Roman"/>
        </w:rPr>
      </w:pPr>
      <w:r>
        <w:rPr>
          <w:rFonts w:ascii="Times New Roman"/>
          <w:color w:val="414141"/>
          <w:w w:val="105"/>
        </w:rPr>
        <w:t>Discount rate (post-retirement) RPI inflation assumption</w:t>
      </w:r>
    </w:p>
    <w:p>
      <w:pPr>
        <w:spacing w:line="204" w:lineRule="exact" w:before="0"/>
        <w:ind w:left="0" w:right="47" w:firstLine="0"/>
        <w:jc w:val="right"/>
        <w:rPr>
          <w:rFonts w:ascii="Times New Roman"/>
          <w:b/>
          <w:sz w:val="18"/>
        </w:rPr>
      </w:pPr>
      <w:r>
        <w:rPr/>
        <w:br w:type="column"/>
      </w:r>
      <w:r>
        <w:rPr>
          <w:rFonts w:ascii="Times New Roman"/>
          <w:b/>
          <w:color w:val="2D2D2D"/>
          <w:sz w:val="18"/>
        </w:rPr>
        <w:t>%pa</w:t>
      </w:r>
    </w:p>
    <w:p>
      <w:pPr>
        <w:spacing w:line="216" w:lineRule="exact" w:before="0"/>
        <w:ind w:left="0" w:right="0" w:firstLine="0"/>
        <w:jc w:val="right"/>
        <w:rPr>
          <w:rFonts w:ascii="Times New Roman"/>
          <w:sz w:val="19"/>
        </w:rPr>
      </w:pPr>
      <w:r>
        <w:rPr>
          <w:rFonts w:ascii="Times New Roman"/>
          <w:color w:val="414141"/>
          <w:spacing w:val="-1"/>
          <w:w w:val="95"/>
          <w:sz w:val="19"/>
        </w:rPr>
        <w:t>4.1</w:t>
      </w:r>
    </w:p>
    <w:p>
      <w:pPr>
        <w:pStyle w:val="BodyText"/>
        <w:spacing w:before="21"/>
        <w:ind w:right="14"/>
        <w:jc w:val="right"/>
        <w:rPr>
          <w:rFonts w:ascii="Times New Roman"/>
        </w:rPr>
      </w:pPr>
      <w:r>
        <w:rPr>
          <w:rFonts w:ascii="Times New Roman"/>
          <w:color w:val="414141"/>
          <w:spacing w:val="-1"/>
          <w:w w:val="95"/>
        </w:rPr>
        <w:t>3.1</w:t>
      </w:r>
    </w:p>
    <w:p>
      <w:pPr>
        <w:pStyle w:val="BodyText"/>
        <w:spacing w:before="15"/>
        <w:ind w:right="15"/>
        <w:jc w:val="right"/>
        <w:rPr>
          <w:rFonts w:ascii="Times New Roman"/>
        </w:rPr>
      </w:pPr>
      <w:r>
        <w:rPr>
          <w:rFonts w:ascii="Times New Roman"/>
          <w:color w:val="414141"/>
          <w:spacing w:val="-1"/>
          <w:w w:val="95"/>
        </w:rPr>
        <w:t>5.3</w:t>
      </w:r>
    </w:p>
    <w:p>
      <w:pPr>
        <w:pStyle w:val="BodyText"/>
        <w:spacing w:before="14"/>
        <w:ind w:right="15"/>
        <w:jc w:val="right"/>
        <w:rPr>
          <w:rFonts w:ascii="Times New Roman"/>
        </w:rPr>
      </w:pPr>
      <w:r>
        <w:rPr>
          <w:rFonts w:ascii="Times New Roman"/>
          <w:color w:val="2D2D2D"/>
          <w:spacing w:val="-1"/>
          <w:w w:val="95"/>
        </w:rPr>
        <w:t>5.3</w:t>
      </w:r>
    </w:p>
    <w:p>
      <w:pPr>
        <w:pStyle w:val="BodyText"/>
        <w:spacing w:before="14"/>
        <w:ind w:right="24"/>
        <w:jc w:val="right"/>
        <w:rPr>
          <w:rFonts w:ascii="Times New Roman"/>
        </w:rPr>
      </w:pPr>
      <w:r>
        <w:rPr>
          <w:rFonts w:ascii="Times New Roman"/>
          <w:color w:val="414141"/>
          <w:spacing w:val="-1"/>
          <w:w w:val="95"/>
        </w:rPr>
        <w:t>3.1</w:t>
      </w:r>
    </w:p>
    <w:p>
      <w:pPr>
        <w:spacing w:line="207" w:lineRule="exact" w:before="0"/>
        <w:ind w:left="266" w:right="0" w:firstLine="0"/>
        <w:jc w:val="left"/>
        <w:rPr>
          <w:rFonts w:ascii="Times New Roman"/>
          <w:b/>
          <w:sz w:val="18"/>
        </w:rPr>
      </w:pPr>
      <w:r>
        <w:rPr/>
        <w:br w:type="column"/>
      </w:r>
      <w:r>
        <w:rPr>
          <w:rFonts w:ascii="Times New Roman"/>
          <w:b/>
          <w:color w:val="2D2D2D"/>
          <w:sz w:val="18"/>
        </w:rPr>
        <w:t>%pa</w:t>
      </w:r>
    </w:p>
    <w:p>
      <w:pPr>
        <w:pStyle w:val="BodyText"/>
        <w:spacing w:before="4"/>
        <w:ind w:left="454"/>
        <w:rPr>
          <w:rFonts w:ascii="Times New Roman"/>
        </w:rPr>
      </w:pPr>
      <w:r>
        <w:rPr>
          <w:rFonts w:ascii="Times New Roman"/>
          <w:color w:val="414141"/>
          <w:spacing w:val="3"/>
        </w:rPr>
        <w:t>3</w:t>
      </w:r>
      <w:r>
        <w:rPr>
          <w:rFonts w:ascii="Times New Roman"/>
          <w:color w:val="151515"/>
          <w:spacing w:val="3"/>
        </w:rPr>
        <w:t>.</w:t>
      </w:r>
      <w:r>
        <w:rPr>
          <w:rFonts w:ascii="Times New Roman"/>
          <w:color w:val="414141"/>
          <w:spacing w:val="3"/>
        </w:rPr>
        <w:t>9</w:t>
      </w:r>
    </w:p>
    <w:p>
      <w:pPr>
        <w:pStyle w:val="BodyText"/>
        <w:spacing w:before="24"/>
        <w:ind w:left="457"/>
        <w:rPr>
          <w:rFonts w:ascii="Times New Roman"/>
        </w:rPr>
      </w:pPr>
      <w:r>
        <w:rPr>
          <w:rFonts w:ascii="Times New Roman"/>
          <w:color w:val="414141"/>
          <w:w w:val="110"/>
        </w:rPr>
        <w:t>2.9</w:t>
      </w:r>
    </w:p>
    <w:p>
      <w:pPr>
        <w:pStyle w:val="BodyText"/>
        <w:spacing w:before="15"/>
        <w:ind w:left="458"/>
        <w:rPr>
          <w:rFonts w:ascii="Times New Roman"/>
        </w:rPr>
      </w:pPr>
      <w:r>
        <w:rPr>
          <w:rFonts w:ascii="Times New Roman"/>
          <w:color w:val="2D2D2D"/>
          <w:w w:val="110"/>
        </w:rPr>
        <w:t>4.8</w:t>
      </w:r>
    </w:p>
    <w:p>
      <w:pPr>
        <w:pStyle w:val="BodyText"/>
        <w:spacing w:before="14"/>
        <w:ind w:left="458"/>
        <w:rPr>
          <w:rFonts w:ascii="Times New Roman"/>
        </w:rPr>
      </w:pPr>
      <w:r>
        <w:rPr>
          <w:rFonts w:ascii="Times New Roman"/>
          <w:color w:val="2D2D2D"/>
          <w:w w:val="110"/>
        </w:rPr>
        <w:t>4.8</w:t>
      </w:r>
    </w:p>
    <w:p>
      <w:pPr>
        <w:pStyle w:val="BodyText"/>
        <w:spacing w:before="14"/>
        <w:ind w:left="457"/>
        <w:rPr>
          <w:rFonts w:ascii="Times New Roman"/>
        </w:rPr>
      </w:pPr>
      <w:r>
        <w:rPr>
          <w:rFonts w:ascii="Times New Roman"/>
          <w:color w:val="414141"/>
          <w:w w:val="110"/>
        </w:rPr>
        <w:t>2.9</w:t>
      </w:r>
    </w:p>
    <w:p>
      <w:pPr>
        <w:spacing w:line="207" w:lineRule="exact" w:before="0"/>
        <w:ind w:left="318" w:right="0" w:firstLine="0"/>
        <w:jc w:val="left"/>
        <w:rPr>
          <w:rFonts w:ascii="Times New Roman"/>
          <w:b/>
          <w:sz w:val="18"/>
        </w:rPr>
      </w:pPr>
      <w:r>
        <w:rPr/>
        <w:br w:type="column"/>
      </w:r>
      <w:r>
        <w:rPr>
          <w:rFonts w:ascii="Times New Roman"/>
          <w:b/>
          <w:color w:val="2D2D2D"/>
          <w:w w:val="110"/>
          <w:sz w:val="18"/>
        </w:rPr>
        <w:t>%pa</w:t>
      </w:r>
    </w:p>
    <w:p>
      <w:pPr>
        <w:pStyle w:val="BodyText"/>
        <w:spacing w:before="4"/>
        <w:ind w:left="516"/>
        <w:rPr>
          <w:rFonts w:ascii="Times New Roman"/>
        </w:rPr>
      </w:pPr>
      <w:r>
        <w:rPr>
          <w:rFonts w:ascii="Times New Roman"/>
          <w:color w:val="414141"/>
          <w:w w:val="110"/>
        </w:rPr>
        <w:t>3.9</w:t>
      </w:r>
    </w:p>
    <w:p>
      <w:pPr>
        <w:pStyle w:val="BodyText"/>
        <w:spacing w:before="24"/>
        <w:ind w:left="510"/>
        <w:rPr>
          <w:rFonts w:ascii="Times New Roman"/>
        </w:rPr>
      </w:pPr>
      <w:r>
        <w:rPr>
          <w:rFonts w:ascii="Times New Roman"/>
          <w:color w:val="414141"/>
          <w:w w:val="110"/>
        </w:rPr>
        <w:t>2.9</w:t>
      </w:r>
    </w:p>
    <w:p>
      <w:pPr>
        <w:pStyle w:val="BodyText"/>
        <w:spacing w:before="15"/>
        <w:ind w:left="514"/>
        <w:rPr>
          <w:rFonts w:ascii="Times New Roman"/>
        </w:rPr>
      </w:pPr>
      <w:r>
        <w:rPr>
          <w:rFonts w:ascii="Times New Roman"/>
          <w:color w:val="414141"/>
          <w:w w:val="110"/>
        </w:rPr>
        <w:t>5.3</w:t>
      </w:r>
    </w:p>
    <w:p>
      <w:pPr>
        <w:pStyle w:val="BodyText"/>
        <w:spacing w:before="14"/>
        <w:ind w:left="514"/>
        <w:rPr>
          <w:rFonts w:ascii="Times New Roman"/>
        </w:rPr>
      </w:pPr>
      <w:r>
        <w:rPr>
          <w:rFonts w:ascii="Times New Roman"/>
          <w:color w:val="2D2D2D"/>
          <w:w w:val="110"/>
        </w:rPr>
        <w:t>5.3</w:t>
      </w:r>
    </w:p>
    <w:p>
      <w:pPr>
        <w:pStyle w:val="BodyText"/>
        <w:spacing w:before="14"/>
        <w:ind w:left="510"/>
        <w:rPr>
          <w:rFonts w:ascii="Times New Roman"/>
        </w:rPr>
      </w:pPr>
      <w:r>
        <w:rPr>
          <w:rFonts w:ascii="Times New Roman"/>
          <w:color w:val="414141"/>
          <w:w w:val="110"/>
        </w:rPr>
        <w:t>2.9</w:t>
      </w:r>
    </w:p>
    <w:p>
      <w:pPr>
        <w:spacing w:after="0"/>
        <w:rPr>
          <w:rFonts w:ascii="Times New Roman"/>
        </w:rPr>
        <w:sectPr>
          <w:type w:val="continuous"/>
          <w:pgSz w:w="10950" w:h="15880"/>
          <w:pgMar w:top="680" w:bottom="280" w:left="500" w:right="0"/>
          <w:cols w:num="4" w:equalWidth="0">
            <w:col w:w="6959" w:space="40"/>
            <w:col w:w="1014" w:space="39"/>
            <w:col w:w="707" w:space="40"/>
            <w:col w:w="1651"/>
          </w:cols>
        </w:sectPr>
      </w:pPr>
    </w:p>
    <w:p>
      <w:pPr>
        <w:pStyle w:val="BodyText"/>
        <w:spacing w:before="7"/>
        <w:rPr>
          <w:rFonts w:ascii="Times New Roman"/>
          <w:sz w:val="11"/>
        </w:rPr>
      </w:pPr>
    </w:p>
    <w:p>
      <w:pPr>
        <w:spacing w:after="0"/>
        <w:rPr>
          <w:rFonts w:ascii="Times New Roman"/>
          <w:sz w:val="11"/>
        </w:rPr>
        <w:sectPr>
          <w:type w:val="continuous"/>
          <w:pgSz w:w="10950" w:h="15880"/>
          <w:pgMar w:top="680" w:bottom="280" w:left="500" w:right="0"/>
        </w:sectPr>
      </w:pPr>
    </w:p>
    <w:p>
      <w:pPr>
        <w:pStyle w:val="ListParagraph"/>
        <w:numPr>
          <w:ilvl w:val="1"/>
          <w:numId w:val="121"/>
        </w:numPr>
        <w:tabs>
          <w:tab w:pos="1683" w:val="left" w:leader="none"/>
          <w:tab w:pos="1684" w:val="left" w:leader="none"/>
        </w:tabs>
        <w:spacing w:line="240" w:lineRule="auto" w:before="93" w:after="0"/>
        <w:ind w:left="1683" w:right="0" w:hanging="679"/>
        <w:jc w:val="left"/>
        <w:rPr>
          <w:rFonts w:ascii="Times New Roman"/>
          <w:color w:val="414141"/>
          <w:sz w:val="18"/>
        </w:rPr>
      </w:pPr>
      <w:r>
        <w:rPr>
          <w:rFonts w:ascii="Times New Roman"/>
          <w:color w:val="414141"/>
          <w:w w:val="105"/>
          <w:sz w:val="18"/>
        </w:rPr>
        <w:t>FRS 17 Balance Sheet</w:t>
      </w:r>
      <w:r>
        <w:rPr>
          <w:rFonts w:ascii="Times New Roman"/>
          <w:color w:val="414141"/>
          <w:spacing w:val="-35"/>
          <w:w w:val="105"/>
          <w:sz w:val="18"/>
        </w:rPr>
        <w:t> </w:t>
      </w:r>
      <w:r>
        <w:rPr>
          <w:rFonts w:ascii="Times New Roman"/>
          <w:color w:val="414141"/>
          <w:w w:val="105"/>
          <w:sz w:val="18"/>
        </w:rPr>
        <w:t>information</w:t>
      </w:r>
    </w:p>
    <w:p>
      <w:pPr>
        <w:pStyle w:val="BodyText"/>
        <w:rPr>
          <w:rFonts w:ascii="Times New Roman"/>
          <w:sz w:val="20"/>
        </w:rPr>
      </w:pPr>
      <w:r>
        <w:rPr/>
        <w:br w:type="column"/>
      </w:r>
      <w:r>
        <w:rPr>
          <w:rFonts w:ascii="Times New Roman"/>
          <w:sz w:val="20"/>
        </w:rPr>
      </w:r>
    </w:p>
    <w:p>
      <w:pPr>
        <w:pStyle w:val="BodyText"/>
        <w:spacing w:before="2"/>
        <w:rPr>
          <w:rFonts w:ascii="Times New Roman"/>
        </w:rPr>
      </w:pPr>
    </w:p>
    <w:p>
      <w:pPr>
        <w:tabs>
          <w:tab w:pos="4115" w:val="left" w:leader="none"/>
        </w:tabs>
        <w:spacing w:before="0"/>
        <w:ind w:left="1804" w:right="0" w:firstLine="0"/>
        <w:jc w:val="left"/>
        <w:rPr>
          <w:rFonts w:ascii="Times New Roman"/>
          <w:b/>
          <w:sz w:val="18"/>
        </w:rPr>
      </w:pPr>
      <w:r>
        <w:rPr>
          <w:rFonts w:ascii="Times New Roman"/>
          <w:b/>
          <w:color w:val="2D2D2D"/>
          <w:w w:val="110"/>
          <w:sz w:val="18"/>
        </w:rPr>
        <w:t>2006</w:t>
        <w:tab/>
        <w:t>20</w:t>
      </w:r>
      <w:r>
        <w:rPr>
          <w:rFonts w:ascii="Times New Roman"/>
          <w:b/>
          <w:w w:val="110"/>
          <w:sz w:val="18"/>
        </w:rPr>
        <w:t>0</w:t>
      </w:r>
      <w:r>
        <w:rPr>
          <w:rFonts w:ascii="Times New Roman"/>
          <w:b/>
          <w:color w:val="2D2D2D"/>
          <w:w w:val="110"/>
          <w:sz w:val="18"/>
        </w:rPr>
        <w:t>5</w:t>
      </w:r>
    </w:p>
    <w:p>
      <w:pPr>
        <w:tabs>
          <w:tab w:pos="2114" w:val="left" w:leader="none"/>
          <w:tab w:pos="2460" w:val="left" w:leader="none"/>
          <w:tab w:pos="3229" w:val="left" w:leader="none"/>
          <w:tab w:pos="3351" w:val="left" w:leader="none"/>
          <w:tab w:pos="4455" w:val="left" w:leader="none"/>
          <w:tab w:pos="4732" w:val="left" w:leader="none"/>
        </w:tabs>
        <w:spacing w:line="256" w:lineRule="auto" w:before="15"/>
        <w:ind w:left="1079" w:right="569" w:hanging="74"/>
        <w:jc w:val="right"/>
        <w:rPr>
          <w:rFonts w:ascii="Times New Roman"/>
          <w:b/>
          <w:sz w:val="18"/>
        </w:rPr>
      </w:pPr>
      <w:r>
        <w:rPr>
          <w:rFonts w:ascii="Times New Roman"/>
          <w:b/>
          <w:color w:val="2D2D2D"/>
          <w:w w:val="105"/>
          <w:sz w:val="18"/>
        </w:rPr>
        <w:t>Long</w:t>
      </w:r>
      <w:r>
        <w:rPr>
          <w:rFonts w:ascii="Times New Roman"/>
          <w:b/>
          <w:color w:val="2D2D2D"/>
          <w:spacing w:val="-2"/>
          <w:w w:val="105"/>
          <w:sz w:val="18"/>
        </w:rPr>
        <w:t> </w:t>
      </w:r>
      <w:r>
        <w:rPr>
          <w:rFonts w:ascii="Times New Roman"/>
          <w:b/>
          <w:color w:val="2D2D2D"/>
          <w:w w:val="105"/>
          <w:sz w:val="18"/>
        </w:rPr>
        <w:t>term</w:t>
        <w:tab/>
        <w:t>Value</w:t>
      </w:r>
      <w:r>
        <w:rPr>
          <w:rFonts w:ascii="Times New Roman"/>
          <w:b/>
          <w:color w:val="2D2D2D"/>
          <w:spacing w:val="-9"/>
          <w:w w:val="105"/>
          <w:sz w:val="18"/>
        </w:rPr>
        <w:t> </w:t>
      </w:r>
      <w:r>
        <w:rPr>
          <w:rFonts w:ascii="Times New Roman"/>
          <w:b/>
          <w:color w:val="2D2D2D"/>
          <w:w w:val="105"/>
          <w:sz w:val="18"/>
        </w:rPr>
        <w:t>as</w:t>
      </w:r>
      <w:r>
        <w:rPr>
          <w:rFonts w:ascii="Times New Roman"/>
          <w:b/>
          <w:color w:val="2D2D2D"/>
          <w:spacing w:val="-4"/>
          <w:w w:val="105"/>
          <w:sz w:val="18"/>
        </w:rPr>
        <w:t> </w:t>
      </w:r>
      <w:r>
        <w:rPr>
          <w:rFonts w:ascii="Times New Roman"/>
          <w:b/>
          <w:color w:val="2D2D2D"/>
          <w:w w:val="105"/>
          <w:sz w:val="18"/>
        </w:rPr>
        <w:t>at</w:t>
        <w:tab/>
        <w:t>Long term</w:t>
        <w:tab/>
        <w:t>Value</w:t>
      </w:r>
      <w:r>
        <w:rPr>
          <w:rFonts w:ascii="Times New Roman"/>
          <w:b/>
          <w:color w:val="2D2D2D"/>
          <w:spacing w:val="-9"/>
          <w:w w:val="105"/>
          <w:sz w:val="18"/>
        </w:rPr>
        <w:t> </w:t>
      </w:r>
      <w:r>
        <w:rPr>
          <w:rFonts w:ascii="Times New Roman"/>
          <w:b/>
          <w:color w:val="2D2D2D"/>
          <w:w w:val="105"/>
          <w:sz w:val="18"/>
        </w:rPr>
        <w:t>as</w:t>
      </w:r>
      <w:r>
        <w:rPr>
          <w:rFonts w:ascii="Times New Roman"/>
          <w:b/>
          <w:color w:val="2D2D2D"/>
          <w:spacing w:val="-2"/>
          <w:w w:val="105"/>
          <w:sz w:val="18"/>
        </w:rPr>
        <w:t> </w:t>
      </w:r>
      <w:r>
        <w:rPr>
          <w:rFonts w:ascii="Times New Roman"/>
          <w:b/>
          <w:color w:val="2D2D2D"/>
          <w:spacing w:val="-7"/>
          <w:w w:val="105"/>
          <w:sz w:val="18"/>
        </w:rPr>
        <w:t>at</w:t>
      </w:r>
      <w:r>
        <w:rPr>
          <w:rFonts w:ascii="Times New Roman"/>
          <w:b/>
          <w:color w:val="2D2D2D"/>
          <w:w w:val="106"/>
          <w:sz w:val="18"/>
        </w:rPr>
        <w:t> </w:t>
      </w:r>
      <w:r>
        <w:rPr>
          <w:rFonts w:ascii="Times New Roman"/>
          <w:b/>
          <w:color w:val="2D2D2D"/>
          <w:w w:val="105"/>
          <w:sz w:val="18"/>
        </w:rPr>
        <w:t>expected</w:t>
        <w:tab/>
        <w:tab/>
        <w:t>31</w:t>
      </w:r>
      <w:r>
        <w:rPr>
          <w:rFonts w:ascii="Times New Roman"/>
          <w:b/>
          <w:color w:val="2D2D2D"/>
          <w:spacing w:val="1"/>
          <w:w w:val="105"/>
          <w:sz w:val="18"/>
        </w:rPr>
        <w:t> </w:t>
      </w:r>
      <w:r>
        <w:rPr>
          <w:rFonts w:ascii="Times New Roman"/>
          <w:b/>
          <w:color w:val="151515"/>
          <w:w w:val="105"/>
          <w:sz w:val="18"/>
        </w:rPr>
        <w:t>Dec</w:t>
        <w:tab/>
        <w:tab/>
      </w:r>
      <w:r>
        <w:rPr>
          <w:rFonts w:ascii="Times New Roman"/>
          <w:b/>
          <w:color w:val="2D2D2D"/>
          <w:w w:val="105"/>
          <w:sz w:val="18"/>
        </w:rPr>
        <w:t>expected</w:t>
        <w:tab/>
        <w:tab/>
        <w:t>31</w:t>
      </w:r>
      <w:r>
        <w:rPr>
          <w:rFonts w:ascii="Times New Roman"/>
          <w:b/>
          <w:color w:val="2D2D2D"/>
          <w:spacing w:val="17"/>
          <w:w w:val="105"/>
          <w:sz w:val="18"/>
        </w:rPr>
        <w:t> </w:t>
      </w:r>
      <w:r>
        <w:rPr>
          <w:rFonts w:ascii="Times New Roman"/>
          <w:b/>
          <w:color w:val="151515"/>
          <w:w w:val="105"/>
          <w:sz w:val="18"/>
        </w:rPr>
        <w:t>Dec</w:t>
      </w:r>
    </w:p>
    <w:p>
      <w:pPr>
        <w:tabs>
          <w:tab w:pos="1313" w:val="left" w:leader="none"/>
          <w:tab w:pos="2169" w:val="left" w:leader="none"/>
          <w:tab w:pos="3585" w:val="left" w:leader="none"/>
        </w:tabs>
        <w:spacing w:line="207" w:lineRule="exact" w:before="0"/>
        <w:ind w:left="0" w:right="625" w:firstLine="0"/>
        <w:jc w:val="right"/>
        <w:rPr>
          <w:rFonts w:ascii="Times New Roman" w:hAnsi="Times New Roman"/>
          <w:b/>
          <w:sz w:val="18"/>
        </w:rPr>
      </w:pPr>
      <w:r>
        <w:rPr>
          <w:rFonts w:ascii="Times New Roman" w:hAnsi="Times New Roman"/>
          <w:b/>
          <w:color w:val="2D2D2D"/>
          <w:spacing w:val="-5"/>
          <w:w w:val="110"/>
          <w:sz w:val="18"/>
        </w:rPr>
        <w:t>ret</w:t>
      </w:r>
      <w:r>
        <w:rPr>
          <w:rFonts w:ascii="Times New Roman" w:hAnsi="Times New Roman"/>
          <w:b/>
          <w:spacing w:val="-5"/>
          <w:w w:val="110"/>
          <w:sz w:val="18"/>
        </w:rPr>
        <w:t>u</w:t>
      </w:r>
      <w:r>
        <w:rPr>
          <w:rFonts w:ascii="Times New Roman" w:hAnsi="Times New Roman"/>
          <w:b/>
          <w:color w:val="2D2D2D"/>
          <w:spacing w:val="-5"/>
          <w:w w:val="110"/>
          <w:sz w:val="18"/>
        </w:rPr>
        <w:t>rn</w:t>
        <w:tab/>
      </w:r>
      <w:r>
        <w:rPr>
          <w:rFonts w:ascii="Times New Roman" w:hAnsi="Times New Roman"/>
          <w:b/>
          <w:color w:val="2D2D2D"/>
          <w:w w:val="110"/>
          <w:sz w:val="18"/>
        </w:rPr>
        <w:t>£'000</w:t>
        <w:tab/>
        <w:t>Return</w:t>
        <w:tab/>
      </w:r>
      <w:r>
        <w:rPr>
          <w:rFonts w:ascii="Times New Roman" w:hAnsi="Times New Roman"/>
          <w:b/>
          <w:color w:val="2D2D2D"/>
          <w:w w:val="105"/>
          <w:sz w:val="18"/>
        </w:rPr>
        <w:t>£'000</w:t>
      </w:r>
    </w:p>
    <w:p>
      <w:pPr>
        <w:spacing w:after="0" w:line="207" w:lineRule="exact"/>
        <w:jc w:val="right"/>
        <w:rPr>
          <w:rFonts w:ascii="Times New Roman" w:hAnsi="Times New Roman"/>
          <w:sz w:val="18"/>
        </w:rPr>
        <w:sectPr>
          <w:type w:val="continuous"/>
          <w:pgSz w:w="10950" w:h="15880"/>
          <w:pgMar w:top="680" w:bottom="280" w:left="500" w:right="0"/>
          <w:cols w:num="2" w:equalWidth="0">
            <w:col w:w="4350" w:space="188"/>
            <w:col w:w="5912"/>
          </w:cols>
        </w:sectPr>
      </w:pPr>
    </w:p>
    <w:p>
      <w:pPr>
        <w:pStyle w:val="BodyText"/>
        <w:tabs>
          <w:tab w:pos="5723" w:val="left" w:leader="none"/>
          <w:tab w:pos="7013" w:val="left" w:leader="none"/>
          <w:tab w:pos="7996" w:val="left" w:leader="none"/>
          <w:tab w:pos="9289" w:val="left" w:leader="none"/>
        </w:tabs>
        <w:spacing w:before="14"/>
        <w:ind w:left="1778"/>
        <w:rPr>
          <w:rFonts w:ascii="Times New Roman"/>
        </w:rPr>
      </w:pPr>
      <w:r>
        <w:rPr>
          <w:rFonts w:ascii="Times New Roman"/>
          <w:color w:val="2D2D2D"/>
          <w:w w:val="110"/>
        </w:rPr>
        <w:t>Equities</w:t>
        <w:tab/>
      </w:r>
      <w:r>
        <w:rPr>
          <w:rFonts w:ascii="Times New Roman"/>
          <w:color w:val="414141"/>
          <w:w w:val="110"/>
        </w:rPr>
        <w:t>7.75%</w:t>
        <w:tab/>
        <w:t>30,080</w:t>
        <w:tab/>
      </w:r>
      <w:r>
        <w:rPr>
          <w:rFonts w:ascii="Times New Roman"/>
          <w:color w:val="2D2D2D"/>
          <w:w w:val="110"/>
        </w:rPr>
        <w:t>7.65%</w:t>
        <w:tab/>
      </w:r>
      <w:r>
        <w:rPr>
          <w:rFonts w:ascii="Times New Roman"/>
          <w:color w:val="414141"/>
          <w:w w:val="110"/>
        </w:rPr>
        <w:t>29,244</w:t>
      </w:r>
    </w:p>
    <w:p>
      <w:pPr>
        <w:pStyle w:val="BodyText"/>
        <w:tabs>
          <w:tab w:pos="5717" w:val="left" w:leader="none"/>
          <w:tab w:pos="7017" w:val="left" w:leader="none"/>
          <w:tab w:pos="7990" w:val="left" w:leader="none"/>
          <w:tab w:pos="9290" w:val="left" w:leader="none"/>
        </w:tabs>
        <w:spacing w:before="14" w:after="22"/>
        <w:ind w:left="1775"/>
        <w:rPr>
          <w:rFonts w:ascii="Times New Roman"/>
        </w:rPr>
      </w:pPr>
      <w:r>
        <w:rPr>
          <w:rFonts w:ascii="Times New Roman"/>
          <w:color w:val="414141"/>
          <w:w w:val="110"/>
        </w:rPr>
        <w:t>Government</w:t>
      </w:r>
      <w:r>
        <w:rPr>
          <w:rFonts w:ascii="Times New Roman"/>
          <w:color w:val="414141"/>
          <w:spacing w:val="-23"/>
          <w:w w:val="110"/>
        </w:rPr>
        <w:t> </w:t>
      </w:r>
      <w:r>
        <w:rPr>
          <w:rFonts w:ascii="Times New Roman"/>
          <w:color w:val="2D2D2D"/>
          <w:w w:val="110"/>
        </w:rPr>
        <w:t>bonds</w:t>
        <w:tab/>
        <w:t>4.50%</w:t>
        <w:tab/>
      </w:r>
      <w:r>
        <w:rPr>
          <w:rFonts w:ascii="Times New Roman"/>
          <w:color w:val="414141"/>
          <w:w w:val="110"/>
        </w:rPr>
        <w:t>44,378</w:t>
        <w:tab/>
        <w:t>4.10%</w:t>
        <w:tab/>
        <w:t>42,485</w:t>
      </w:r>
    </w:p>
    <w:tbl>
      <w:tblPr>
        <w:tblW w:w="0" w:type="auto"/>
        <w:jc w:val="left"/>
        <w:tblInd w:w="1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5"/>
        <w:gridCol w:w="1163"/>
        <w:gridCol w:w="1372"/>
        <w:gridCol w:w="929"/>
        <w:gridCol w:w="1257"/>
      </w:tblGrid>
      <w:tr>
        <w:trPr>
          <w:trHeight w:val="215" w:hRule="atLeast"/>
        </w:trPr>
        <w:tc>
          <w:tcPr>
            <w:tcW w:w="3445" w:type="dxa"/>
          </w:tcPr>
          <w:p>
            <w:pPr>
              <w:pStyle w:val="TableParagraph"/>
              <w:spacing w:line="195" w:lineRule="exact"/>
              <w:ind w:left="55"/>
              <w:rPr>
                <w:sz w:val="18"/>
              </w:rPr>
            </w:pPr>
            <w:r>
              <w:rPr>
                <w:color w:val="414141"/>
                <w:w w:val="105"/>
                <w:sz w:val="18"/>
              </w:rPr>
              <w:t>Cash</w:t>
            </w:r>
          </w:p>
        </w:tc>
        <w:tc>
          <w:tcPr>
            <w:tcW w:w="1163" w:type="dxa"/>
          </w:tcPr>
          <w:p>
            <w:pPr>
              <w:pStyle w:val="TableParagraph"/>
              <w:spacing w:line="195" w:lineRule="exact"/>
              <w:ind w:left="557"/>
              <w:rPr>
                <w:sz w:val="18"/>
              </w:rPr>
            </w:pPr>
            <w:r>
              <w:rPr>
                <w:color w:val="2D2D2D"/>
                <w:w w:val="105"/>
                <w:sz w:val="18"/>
              </w:rPr>
              <w:t>5.25%</w:t>
            </w:r>
          </w:p>
        </w:tc>
        <w:tc>
          <w:tcPr>
            <w:tcW w:w="1372" w:type="dxa"/>
          </w:tcPr>
          <w:p>
            <w:pPr>
              <w:pStyle w:val="TableParagraph"/>
              <w:tabs>
                <w:tab w:pos="916" w:val="left" w:leader="none"/>
              </w:tabs>
              <w:spacing w:line="195" w:lineRule="exact"/>
              <w:ind w:left="-1"/>
              <w:jc w:val="center"/>
              <w:rPr>
                <w:sz w:val="18"/>
              </w:rPr>
            </w:pPr>
            <w:r>
              <w:rPr>
                <w:color w:val="414141"/>
                <w:w w:val="100"/>
                <w:sz w:val="18"/>
                <w:u w:val="single" w:color="000000"/>
              </w:rPr>
              <w:t> </w:t>
            </w:r>
            <w:r>
              <w:rPr>
                <w:color w:val="414141"/>
                <w:sz w:val="18"/>
                <w:u w:val="single" w:color="000000"/>
              </w:rPr>
              <w:tab/>
            </w:r>
            <w:r>
              <w:rPr>
                <w:color w:val="414141"/>
                <w:w w:val="110"/>
                <w:sz w:val="18"/>
                <w:u w:val="single" w:color="000000"/>
              </w:rPr>
              <w:t>351</w:t>
            </w:r>
            <w:r>
              <w:rPr>
                <w:color w:val="414141"/>
                <w:spacing w:val="21"/>
                <w:sz w:val="18"/>
                <w:u w:val="single" w:color="000000"/>
              </w:rPr>
              <w:t> </w:t>
            </w:r>
          </w:p>
        </w:tc>
        <w:tc>
          <w:tcPr>
            <w:tcW w:w="929" w:type="dxa"/>
          </w:tcPr>
          <w:p>
            <w:pPr>
              <w:pStyle w:val="TableParagraph"/>
              <w:spacing w:line="195" w:lineRule="exact"/>
              <w:ind w:left="290"/>
              <w:rPr>
                <w:sz w:val="18"/>
              </w:rPr>
            </w:pPr>
            <w:r>
              <w:rPr>
                <w:color w:val="2D2D2D"/>
                <w:w w:val="110"/>
                <w:sz w:val="18"/>
              </w:rPr>
              <w:t>4.50%</w:t>
            </w:r>
          </w:p>
        </w:tc>
        <w:tc>
          <w:tcPr>
            <w:tcW w:w="1257" w:type="dxa"/>
          </w:tcPr>
          <w:p>
            <w:pPr>
              <w:pStyle w:val="TableParagraph"/>
              <w:tabs>
                <w:tab w:pos="896" w:val="left" w:leader="none"/>
              </w:tabs>
              <w:spacing w:line="195" w:lineRule="exact"/>
              <w:ind w:right="-15"/>
              <w:jc w:val="center"/>
              <w:rPr>
                <w:sz w:val="18"/>
              </w:rPr>
            </w:pPr>
            <w:r>
              <w:rPr>
                <w:color w:val="414141"/>
                <w:w w:val="100"/>
                <w:sz w:val="18"/>
                <w:u w:val="single" w:color="000000"/>
              </w:rPr>
              <w:t> </w:t>
            </w:r>
            <w:r>
              <w:rPr>
                <w:color w:val="414141"/>
                <w:sz w:val="18"/>
                <w:u w:val="single" w:color="000000"/>
              </w:rPr>
              <w:tab/>
            </w:r>
            <w:r>
              <w:rPr>
                <w:color w:val="414141"/>
                <w:w w:val="110"/>
                <w:sz w:val="18"/>
                <w:u w:val="single" w:color="000000"/>
              </w:rPr>
              <w:t>509</w:t>
            </w:r>
            <w:r>
              <w:rPr>
                <w:color w:val="414141"/>
                <w:spacing w:val="18"/>
                <w:sz w:val="18"/>
                <w:u w:val="single" w:color="000000"/>
              </w:rPr>
              <w:t> </w:t>
            </w:r>
          </w:p>
        </w:tc>
      </w:tr>
      <w:tr>
        <w:trPr>
          <w:trHeight w:val="457" w:hRule="atLeast"/>
        </w:trPr>
        <w:tc>
          <w:tcPr>
            <w:tcW w:w="3445" w:type="dxa"/>
          </w:tcPr>
          <w:p>
            <w:pPr>
              <w:pStyle w:val="TableParagraph"/>
              <w:spacing w:before="8"/>
              <w:ind w:left="59"/>
              <w:rPr>
                <w:sz w:val="18"/>
              </w:rPr>
            </w:pPr>
            <w:r>
              <w:rPr>
                <w:color w:val="414141"/>
                <w:w w:val="110"/>
                <w:sz w:val="18"/>
              </w:rPr>
              <w:t>Market value of assets</w:t>
            </w:r>
          </w:p>
          <w:p>
            <w:pPr>
              <w:pStyle w:val="TableParagraph"/>
              <w:spacing w:before="14"/>
              <w:ind w:left="50"/>
              <w:rPr>
                <w:sz w:val="18"/>
              </w:rPr>
            </w:pPr>
            <w:r>
              <w:rPr>
                <w:color w:val="2D2D2D"/>
                <w:w w:val="105"/>
                <w:sz w:val="18"/>
              </w:rPr>
              <w:t>Present </w:t>
            </w:r>
            <w:r>
              <w:rPr>
                <w:color w:val="414141"/>
                <w:w w:val="105"/>
                <w:sz w:val="18"/>
              </w:rPr>
              <w:t>valueof scheme liabilities</w:t>
            </w:r>
          </w:p>
        </w:tc>
        <w:tc>
          <w:tcPr>
            <w:tcW w:w="1163" w:type="dxa"/>
          </w:tcPr>
          <w:p>
            <w:pPr>
              <w:pStyle w:val="TableParagraph"/>
              <w:rPr>
                <w:sz w:val="18"/>
              </w:rPr>
            </w:pPr>
          </w:p>
        </w:tc>
        <w:tc>
          <w:tcPr>
            <w:tcW w:w="1372" w:type="dxa"/>
            <w:tcBorders>
              <w:bottom w:val="single" w:sz="8" w:space="0" w:color="000000"/>
            </w:tcBorders>
          </w:tcPr>
          <w:p>
            <w:pPr>
              <w:pStyle w:val="TableParagraph"/>
              <w:spacing w:before="18"/>
              <w:ind w:left="686"/>
              <w:rPr>
                <w:sz w:val="18"/>
              </w:rPr>
            </w:pPr>
            <w:r>
              <w:rPr>
                <w:color w:val="2D2D2D"/>
                <w:w w:val="105"/>
                <w:sz w:val="18"/>
              </w:rPr>
              <w:t>74</w:t>
            </w:r>
            <w:r>
              <w:rPr>
                <w:color w:val="545454"/>
                <w:w w:val="105"/>
                <w:sz w:val="18"/>
              </w:rPr>
              <w:t>,809</w:t>
            </w:r>
          </w:p>
          <w:p>
            <w:pPr>
              <w:pStyle w:val="TableParagraph"/>
              <w:spacing w:line="205" w:lineRule="exact" w:before="14"/>
              <w:ind w:left="600"/>
              <w:rPr>
                <w:sz w:val="18"/>
              </w:rPr>
            </w:pPr>
            <w:r>
              <w:rPr>
                <w:color w:val="414141"/>
                <w:sz w:val="18"/>
              </w:rPr>
              <w:t>{89,8682</w:t>
            </w:r>
          </w:p>
        </w:tc>
        <w:tc>
          <w:tcPr>
            <w:tcW w:w="929" w:type="dxa"/>
          </w:tcPr>
          <w:p>
            <w:pPr>
              <w:pStyle w:val="TableParagraph"/>
              <w:rPr>
                <w:sz w:val="18"/>
              </w:rPr>
            </w:pPr>
          </w:p>
        </w:tc>
        <w:tc>
          <w:tcPr>
            <w:tcW w:w="1257" w:type="dxa"/>
            <w:tcBorders>
              <w:bottom w:val="single" w:sz="8" w:space="0" w:color="000000"/>
            </w:tcBorders>
          </w:tcPr>
          <w:p>
            <w:pPr>
              <w:pStyle w:val="TableParagraph"/>
              <w:spacing w:before="8"/>
              <w:ind w:left="658"/>
              <w:rPr>
                <w:sz w:val="18"/>
              </w:rPr>
            </w:pPr>
            <w:r>
              <w:rPr>
                <w:color w:val="414141"/>
                <w:w w:val="110"/>
                <w:sz w:val="18"/>
              </w:rPr>
              <w:t>72,238</w:t>
            </w:r>
          </w:p>
          <w:p>
            <w:pPr>
              <w:pStyle w:val="TableParagraph"/>
              <w:spacing w:line="205" w:lineRule="exact" w:before="24"/>
              <w:ind w:left="581"/>
              <w:rPr>
                <w:sz w:val="18"/>
              </w:rPr>
            </w:pPr>
            <w:r>
              <w:rPr>
                <w:color w:val="414141"/>
                <w:spacing w:val="-1"/>
                <w:sz w:val="18"/>
              </w:rPr>
              <w:t>{85,1452</w:t>
            </w:r>
          </w:p>
        </w:tc>
      </w:tr>
      <w:tr>
        <w:trPr>
          <w:trHeight w:val="209" w:hRule="atLeast"/>
        </w:trPr>
        <w:tc>
          <w:tcPr>
            <w:tcW w:w="3445" w:type="dxa"/>
          </w:tcPr>
          <w:p>
            <w:pPr>
              <w:pStyle w:val="TableParagraph"/>
              <w:spacing w:line="189" w:lineRule="exact"/>
              <w:ind w:left="51"/>
              <w:rPr>
                <w:sz w:val="18"/>
              </w:rPr>
            </w:pPr>
            <w:r>
              <w:rPr>
                <w:color w:val="414141"/>
                <w:w w:val="105"/>
                <w:sz w:val="18"/>
              </w:rPr>
              <w:t>Actuarial (deficit) in </w:t>
            </w:r>
            <w:r>
              <w:rPr>
                <w:color w:val="2D2D2D"/>
                <w:w w:val="105"/>
                <w:sz w:val="18"/>
              </w:rPr>
              <w:t>the </w:t>
            </w:r>
            <w:r>
              <w:rPr>
                <w:color w:val="414141"/>
                <w:w w:val="105"/>
                <w:sz w:val="18"/>
              </w:rPr>
              <w:t>scheme </w:t>
            </w:r>
            <w:r>
              <w:rPr>
                <w:color w:val="2D2D2D"/>
                <w:w w:val="105"/>
                <w:sz w:val="18"/>
              </w:rPr>
              <w:t>fund</w:t>
            </w:r>
          </w:p>
        </w:tc>
        <w:tc>
          <w:tcPr>
            <w:tcW w:w="1163" w:type="dxa"/>
          </w:tcPr>
          <w:p>
            <w:pPr>
              <w:pStyle w:val="TableParagraph"/>
              <w:rPr>
                <w:sz w:val="14"/>
              </w:rPr>
            </w:pPr>
          </w:p>
        </w:tc>
        <w:tc>
          <w:tcPr>
            <w:tcW w:w="1372" w:type="dxa"/>
            <w:tcBorders>
              <w:top w:val="single" w:sz="8" w:space="0" w:color="000000"/>
            </w:tcBorders>
          </w:tcPr>
          <w:p>
            <w:pPr>
              <w:pStyle w:val="TableParagraph"/>
              <w:tabs>
                <w:tab w:pos="600" w:val="left" w:leader="none"/>
              </w:tabs>
              <w:spacing w:line="182" w:lineRule="exact"/>
              <w:ind w:left="-1" w:right="16"/>
              <w:jc w:val="center"/>
              <w:rPr>
                <w:sz w:val="18"/>
              </w:rPr>
            </w:pPr>
            <w:r>
              <w:rPr>
                <w:color w:val="414141"/>
                <w:w w:val="100"/>
                <w:sz w:val="18"/>
                <w:u w:val="single" w:color="000000"/>
              </w:rPr>
              <w:t> </w:t>
            </w:r>
            <w:r>
              <w:rPr>
                <w:color w:val="414141"/>
                <w:sz w:val="18"/>
                <w:u w:val="single" w:color="000000"/>
              </w:rPr>
              <w:tab/>
            </w:r>
            <w:r>
              <w:rPr>
                <w:color w:val="414141"/>
                <w:w w:val="95"/>
                <w:sz w:val="18"/>
                <w:u w:val="single" w:color="000000"/>
              </w:rPr>
              <w:t>{1510592</w:t>
            </w:r>
            <w:r>
              <w:rPr>
                <w:color w:val="414141"/>
                <w:spacing w:val="-19"/>
                <w:sz w:val="18"/>
                <w:u w:val="single" w:color="000000"/>
              </w:rPr>
              <w:t> </w:t>
            </w:r>
          </w:p>
        </w:tc>
        <w:tc>
          <w:tcPr>
            <w:tcW w:w="929" w:type="dxa"/>
          </w:tcPr>
          <w:p>
            <w:pPr>
              <w:pStyle w:val="TableParagraph"/>
              <w:rPr>
                <w:sz w:val="14"/>
              </w:rPr>
            </w:pPr>
          </w:p>
        </w:tc>
        <w:tc>
          <w:tcPr>
            <w:tcW w:w="1257" w:type="dxa"/>
            <w:tcBorders>
              <w:top w:val="single" w:sz="8" w:space="0" w:color="000000"/>
            </w:tcBorders>
          </w:tcPr>
          <w:p>
            <w:pPr>
              <w:pStyle w:val="TableParagraph"/>
              <w:tabs>
                <w:tab w:pos="581" w:val="left" w:leader="none"/>
              </w:tabs>
              <w:spacing w:line="182" w:lineRule="exact"/>
              <w:jc w:val="center"/>
              <w:rPr>
                <w:sz w:val="18"/>
              </w:rPr>
            </w:pPr>
            <w:r>
              <w:rPr>
                <w:color w:val="414141"/>
                <w:w w:val="100"/>
                <w:sz w:val="18"/>
                <w:u w:val="single" w:color="000000"/>
              </w:rPr>
              <w:t> </w:t>
            </w:r>
            <w:r>
              <w:rPr>
                <w:color w:val="414141"/>
                <w:sz w:val="18"/>
                <w:u w:val="single" w:color="000000"/>
              </w:rPr>
              <w:tab/>
              <w:t>{12 </w:t>
            </w:r>
            <w:r>
              <w:rPr>
                <w:color w:val="414141"/>
                <w:spacing w:val="-4"/>
                <w:sz w:val="18"/>
                <w:u w:val="single" w:color="000000"/>
              </w:rPr>
              <w:t>9072</w:t>
            </w:r>
          </w:p>
        </w:tc>
      </w:tr>
    </w:tbl>
    <w:p>
      <w:pPr>
        <w:spacing w:after="0" w:line="182" w:lineRule="exact"/>
        <w:jc w:val="center"/>
        <w:rPr>
          <w:sz w:val="18"/>
        </w:rPr>
        <w:sectPr>
          <w:type w:val="continuous"/>
          <w:pgSz w:w="10950" w:h="15880"/>
          <w:pgMar w:top="680" w:bottom="280" w:left="500" w:right="0"/>
        </w:sectPr>
      </w:pPr>
    </w:p>
    <w:p>
      <w:pPr>
        <w:spacing w:before="6"/>
        <w:ind w:left="1393" w:right="1233" w:firstLine="0"/>
        <w:jc w:val="center"/>
        <w:rPr>
          <w:rFonts w:ascii="Courier New"/>
          <w:b/>
          <w:sz w:val="26"/>
        </w:rPr>
      </w:pPr>
      <w:r>
        <w:rPr>
          <w:rFonts w:ascii="Courier New"/>
          <w:b/>
          <w:color w:val="181818"/>
          <w:w w:val="105"/>
          <w:sz w:val="26"/>
        </w:rPr>
        <w:t>NOTESTOTHEACCOUNTSCONTINUED</w:t>
      </w:r>
    </w:p>
    <w:p>
      <w:pPr>
        <w:pStyle w:val="BodyText"/>
        <w:spacing w:before="2"/>
        <w:rPr>
          <w:rFonts w:ascii="Courier New"/>
          <w:b/>
          <w:sz w:val="9"/>
        </w:rPr>
      </w:pPr>
    </w:p>
    <w:p>
      <w:pPr>
        <w:spacing w:after="0"/>
        <w:rPr>
          <w:rFonts w:ascii="Courier New"/>
          <w:sz w:val="9"/>
        </w:rPr>
        <w:sectPr>
          <w:headerReference w:type="even" r:id="rId533"/>
          <w:headerReference w:type="default" r:id="rId534"/>
          <w:footerReference w:type="even" r:id="rId535"/>
          <w:pgSz w:w="10950" w:h="15880"/>
          <w:pgMar w:header="275" w:footer="0" w:top="500" w:bottom="280" w:left="500" w:right="0"/>
          <w:pgNumType w:start="22"/>
        </w:sectPr>
      </w:pPr>
    </w:p>
    <w:p>
      <w:pPr>
        <w:spacing w:before="92"/>
        <w:ind w:left="1028" w:right="0" w:firstLine="0"/>
        <w:jc w:val="left"/>
        <w:rPr>
          <w:rFonts w:ascii="Times New Roman"/>
          <w:b/>
          <w:sz w:val="18"/>
        </w:rPr>
      </w:pPr>
      <w:r>
        <w:rPr>
          <w:rFonts w:ascii="Times New Roman"/>
          <w:b/>
          <w:color w:val="3F3F3F"/>
          <w:w w:val="105"/>
          <w:sz w:val="18"/>
        </w:rPr>
        <w:t>N</w:t>
      </w:r>
      <w:r>
        <w:rPr>
          <w:rFonts w:ascii="Times New Roman"/>
          <w:b/>
          <w:color w:val="181818"/>
          <w:w w:val="105"/>
          <w:sz w:val="18"/>
        </w:rPr>
        <w:t>OT</w:t>
      </w:r>
      <w:r>
        <w:rPr>
          <w:rFonts w:ascii="Times New Roman"/>
          <w:b/>
          <w:color w:val="3F3F3F"/>
          <w:w w:val="105"/>
          <w:sz w:val="18"/>
        </w:rPr>
        <w:t>E </w:t>
      </w:r>
      <w:r>
        <w:rPr>
          <w:rFonts w:ascii="Times New Roman"/>
          <w:b/>
          <w:color w:val="2B2B2B"/>
          <w:w w:val="105"/>
          <w:sz w:val="18"/>
        </w:rPr>
        <w:t>17 (continued)</w:t>
      </w:r>
    </w:p>
    <w:p>
      <w:pPr>
        <w:pStyle w:val="ListParagraph"/>
        <w:numPr>
          <w:ilvl w:val="1"/>
          <w:numId w:val="121"/>
        </w:numPr>
        <w:tabs>
          <w:tab w:pos="1731" w:val="left" w:leader="none"/>
          <w:tab w:pos="1732" w:val="left" w:leader="none"/>
        </w:tabs>
        <w:spacing w:line="240" w:lineRule="auto" w:before="121" w:after="0"/>
        <w:ind w:left="1731" w:right="0" w:hanging="707"/>
        <w:jc w:val="left"/>
        <w:rPr>
          <w:rFonts w:ascii="Times New Roman"/>
          <w:color w:val="3F3F3F"/>
          <w:sz w:val="18"/>
        </w:rPr>
      </w:pPr>
      <w:r>
        <w:rPr>
          <w:rFonts w:ascii="Times New Roman"/>
          <w:color w:val="3F3F3F"/>
          <w:w w:val="110"/>
          <w:sz w:val="18"/>
        </w:rPr>
        <w:t>Movements</w:t>
      </w:r>
      <w:r>
        <w:rPr>
          <w:rFonts w:ascii="Times New Roman"/>
          <w:color w:val="3F3F3F"/>
          <w:spacing w:val="-17"/>
          <w:w w:val="110"/>
          <w:sz w:val="18"/>
        </w:rPr>
        <w:t> </w:t>
      </w:r>
      <w:r>
        <w:rPr>
          <w:rFonts w:ascii="Times New Roman"/>
          <w:color w:val="3F3F3F"/>
          <w:w w:val="110"/>
          <w:sz w:val="18"/>
        </w:rPr>
        <w:t>during</w:t>
      </w:r>
      <w:r>
        <w:rPr>
          <w:rFonts w:ascii="Times New Roman"/>
          <w:color w:val="3F3F3F"/>
          <w:spacing w:val="-21"/>
          <w:w w:val="110"/>
          <w:sz w:val="18"/>
        </w:rPr>
        <w:t> </w:t>
      </w:r>
      <w:r>
        <w:rPr>
          <w:rFonts w:ascii="Times New Roman"/>
          <w:color w:val="3F3F3F"/>
          <w:w w:val="110"/>
          <w:sz w:val="18"/>
        </w:rPr>
        <w:t>the</w:t>
      </w:r>
      <w:r>
        <w:rPr>
          <w:rFonts w:ascii="Times New Roman"/>
          <w:color w:val="3F3F3F"/>
          <w:spacing w:val="-20"/>
          <w:w w:val="110"/>
          <w:sz w:val="18"/>
        </w:rPr>
        <w:t> </w:t>
      </w:r>
      <w:r>
        <w:rPr>
          <w:rFonts w:ascii="Times New Roman"/>
          <w:color w:val="3F3F3F"/>
          <w:spacing w:val="-4"/>
          <w:w w:val="110"/>
          <w:sz w:val="18"/>
        </w:rPr>
        <w:t>year</w:t>
      </w:r>
      <w:r>
        <w:rPr>
          <w:rFonts w:ascii="Times New Roman"/>
          <w:color w:val="5E5E5E"/>
          <w:spacing w:val="-4"/>
          <w:w w:val="110"/>
          <w:sz w:val="18"/>
        </w:rPr>
        <w:t>:</w:t>
      </w:r>
    </w:p>
    <w:p>
      <w:pPr>
        <w:pStyle w:val="BodyText"/>
        <w:rPr>
          <w:rFonts w:ascii="Times New Roman"/>
          <w:sz w:val="20"/>
        </w:rPr>
      </w:pPr>
    </w:p>
    <w:p>
      <w:pPr>
        <w:pStyle w:val="BodyText"/>
        <w:spacing w:before="6"/>
        <w:rPr>
          <w:rFonts w:ascii="Times New Roman"/>
          <w:sz w:val="20"/>
        </w:rPr>
      </w:pPr>
    </w:p>
    <w:p>
      <w:pPr>
        <w:pStyle w:val="BodyText"/>
        <w:spacing w:line="256" w:lineRule="auto"/>
        <w:ind w:left="1924" w:right="1910" w:hanging="1"/>
        <w:rPr>
          <w:rFonts w:ascii="Times New Roman"/>
        </w:rPr>
      </w:pPr>
      <w:r>
        <w:rPr>
          <w:rFonts w:ascii="Times New Roman"/>
          <w:color w:val="3F3F3F"/>
          <w:w w:val="105"/>
        </w:rPr>
        <w:t>Deficit in scheme at the beginning of </w:t>
      </w:r>
      <w:r>
        <w:rPr>
          <w:rFonts w:ascii="Times New Roman"/>
          <w:color w:val="2B2B2B"/>
          <w:w w:val="105"/>
        </w:rPr>
        <w:t>the </w:t>
      </w:r>
      <w:r>
        <w:rPr>
          <w:rFonts w:ascii="Times New Roman"/>
          <w:color w:val="3F3F3F"/>
          <w:w w:val="105"/>
        </w:rPr>
        <w:t>year Movement in </w:t>
      </w:r>
      <w:r>
        <w:rPr>
          <w:rFonts w:ascii="Times New Roman"/>
          <w:color w:val="2B2B2B"/>
          <w:w w:val="105"/>
        </w:rPr>
        <w:t>the </w:t>
      </w:r>
      <w:r>
        <w:rPr>
          <w:rFonts w:ascii="Times New Roman"/>
          <w:color w:val="3F3F3F"/>
          <w:w w:val="105"/>
        </w:rPr>
        <w:t>year:</w:t>
      </w:r>
    </w:p>
    <w:p>
      <w:pPr>
        <w:pStyle w:val="BodyText"/>
        <w:spacing w:line="268" w:lineRule="auto" w:before="19"/>
        <w:ind w:left="2170" w:right="3533"/>
        <w:rPr>
          <w:rFonts w:ascii="Times New Roman"/>
        </w:rPr>
      </w:pPr>
      <w:r>
        <w:rPr>
          <w:rFonts w:ascii="Times New Roman"/>
          <w:color w:val="3F3F3F"/>
          <w:w w:val="110"/>
        </w:rPr>
        <w:t>Current service cost Contributions</w:t>
      </w:r>
    </w:p>
    <w:p>
      <w:pPr>
        <w:pStyle w:val="BodyText"/>
        <w:spacing w:line="273" w:lineRule="auto"/>
        <w:ind w:left="2170" w:right="3479" w:hanging="7"/>
        <w:rPr>
          <w:rFonts w:ascii="Times New Roman"/>
        </w:rPr>
      </w:pPr>
      <w:r>
        <w:rPr>
          <w:rFonts w:ascii="Times New Roman"/>
          <w:color w:val="2B2B2B"/>
          <w:w w:val="105"/>
        </w:rPr>
        <w:t>Past </w:t>
      </w:r>
      <w:r>
        <w:rPr>
          <w:rFonts w:ascii="Times New Roman"/>
          <w:color w:val="3F3F3F"/>
          <w:w w:val="105"/>
        </w:rPr>
        <w:t>service cost </w:t>
      </w:r>
      <w:r>
        <w:rPr>
          <w:rFonts w:ascii="Times New Roman"/>
          <w:color w:val="2B2B2B"/>
          <w:w w:val="105"/>
        </w:rPr>
        <w:t>Other </w:t>
      </w:r>
      <w:r>
        <w:rPr>
          <w:rFonts w:ascii="Times New Roman"/>
          <w:color w:val="3F3F3F"/>
          <w:w w:val="105"/>
        </w:rPr>
        <w:t>finance income Actuarial gain/(loss)</w:t>
      </w:r>
    </w:p>
    <w:p>
      <w:pPr>
        <w:pStyle w:val="BodyText"/>
        <w:spacing w:before="3"/>
        <w:ind w:left="1923"/>
        <w:rPr>
          <w:rFonts w:ascii="Times New Roman"/>
        </w:rPr>
      </w:pPr>
      <w:r>
        <w:rPr>
          <w:rFonts w:ascii="Times New Roman"/>
          <w:color w:val="3F3F3F"/>
          <w:w w:val="105"/>
        </w:rPr>
        <w:t>Deficit in scheme at the end of the year</w:t>
      </w:r>
    </w:p>
    <w:p>
      <w:pPr>
        <w:pStyle w:val="BodyText"/>
        <w:spacing w:before="3"/>
        <w:rPr>
          <w:rFonts w:ascii="Times New Roman"/>
          <w:sz w:val="21"/>
        </w:rPr>
      </w:pPr>
    </w:p>
    <w:p>
      <w:pPr>
        <w:pStyle w:val="ListParagraph"/>
        <w:numPr>
          <w:ilvl w:val="1"/>
          <w:numId w:val="121"/>
        </w:numPr>
        <w:tabs>
          <w:tab w:pos="1661" w:val="left" w:leader="none"/>
          <w:tab w:pos="1662" w:val="left" w:leader="none"/>
        </w:tabs>
        <w:spacing w:line="240" w:lineRule="auto" w:before="1" w:after="0"/>
        <w:ind w:left="1661" w:right="0" w:hanging="648"/>
        <w:jc w:val="left"/>
        <w:rPr>
          <w:rFonts w:ascii="Times New Roman"/>
          <w:color w:val="3F3F3F"/>
          <w:sz w:val="18"/>
        </w:rPr>
      </w:pPr>
      <w:r>
        <w:rPr>
          <w:rFonts w:ascii="Times New Roman"/>
          <w:color w:val="3F3F3F"/>
          <w:w w:val="105"/>
          <w:sz w:val="18"/>
        </w:rPr>
        <w:t>The</w:t>
      </w:r>
      <w:r>
        <w:rPr>
          <w:rFonts w:ascii="Times New Roman"/>
          <w:color w:val="3F3F3F"/>
          <w:spacing w:val="-1"/>
          <w:w w:val="105"/>
          <w:sz w:val="18"/>
        </w:rPr>
        <w:t> </w:t>
      </w:r>
      <w:r>
        <w:rPr>
          <w:rFonts w:ascii="Times New Roman"/>
          <w:color w:val="3F3F3F"/>
          <w:w w:val="105"/>
          <w:sz w:val="18"/>
        </w:rPr>
        <w:t>charge</w:t>
      </w:r>
      <w:r>
        <w:rPr>
          <w:rFonts w:ascii="Times New Roman"/>
          <w:color w:val="3F3F3F"/>
          <w:spacing w:val="-7"/>
          <w:w w:val="105"/>
          <w:sz w:val="18"/>
        </w:rPr>
        <w:t> </w:t>
      </w:r>
      <w:r>
        <w:rPr>
          <w:rFonts w:ascii="Times New Roman"/>
          <w:color w:val="3F3F3F"/>
          <w:w w:val="105"/>
          <w:sz w:val="18"/>
        </w:rPr>
        <w:t>to</w:t>
      </w:r>
      <w:r>
        <w:rPr>
          <w:rFonts w:ascii="Times New Roman"/>
          <w:color w:val="3F3F3F"/>
          <w:spacing w:val="-3"/>
          <w:w w:val="105"/>
          <w:sz w:val="18"/>
        </w:rPr>
        <w:t> </w:t>
      </w:r>
      <w:r>
        <w:rPr>
          <w:rFonts w:ascii="Times New Roman"/>
          <w:color w:val="3F3F3F"/>
          <w:w w:val="105"/>
          <w:sz w:val="18"/>
        </w:rPr>
        <w:t>the</w:t>
      </w:r>
      <w:r>
        <w:rPr>
          <w:rFonts w:ascii="Times New Roman"/>
          <w:color w:val="3F3F3F"/>
          <w:spacing w:val="-12"/>
          <w:w w:val="105"/>
          <w:sz w:val="18"/>
        </w:rPr>
        <w:t> </w:t>
      </w:r>
      <w:r>
        <w:rPr>
          <w:rFonts w:ascii="Times New Roman"/>
          <w:color w:val="3F3F3F"/>
          <w:w w:val="105"/>
          <w:sz w:val="18"/>
        </w:rPr>
        <w:t>Statement of</w:t>
      </w:r>
      <w:r>
        <w:rPr>
          <w:rFonts w:ascii="Times New Roman"/>
          <w:color w:val="3F3F3F"/>
          <w:spacing w:val="-8"/>
          <w:w w:val="105"/>
          <w:sz w:val="18"/>
        </w:rPr>
        <w:t> </w:t>
      </w:r>
      <w:r>
        <w:rPr>
          <w:rFonts w:ascii="Times New Roman"/>
          <w:color w:val="2B2B2B"/>
          <w:w w:val="105"/>
          <w:sz w:val="18"/>
        </w:rPr>
        <w:t>Financial</w:t>
      </w:r>
      <w:r>
        <w:rPr>
          <w:rFonts w:ascii="Times New Roman"/>
          <w:color w:val="2B2B2B"/>
          <w:spacing w:val="9"/>
          <w:w w:val="105"/>
          <w:sz w:val="18"/>
        </w:rPr>
        <w:t> </w:t>
      </w:r>
      <w:r>
        <w:rPr>
          <w:rFonts w:ascii="Times New Roman"/>
          <w:color w:val="3F3F3F"/>
          <w:w w:val="105"/>
          <w:sz w:val="18"/>
        </w:rPr>
        <w:t>Activities</w:t>
      </w:r>
      <w:r>
        <w:rPr>
          <w:rFonts w:ascii="Times New Roman"/>
          <w:color w:val="3F3F3F"/>
          <w:spacing w:val="-19"/>
          <w:w w:val="105"/>
          <w:sz w:val="18"/>
        </w:rPr>
        <w:t> </w:t>
      </w:r>
      <w:r>
        <w:rPr>
          <w:rFonts w:ascii="Times New Roman"/>
          <w:color w:val="3F3F3F"/>
          <w:w w:val="105"/>
          <w:sz w:val="19"/>
        </w:rPr>
        <w:t>for</w:t>
      </w:r>
      <w:r>
        <w:rPr>
          <w:rFonts w:ascii="Times New Roman"/>
          <w:color w:val="3F3F3F"/>
          <w:spacing w:val="-16"/>
          <w:w w:val="105"/>
          <w:sz w:val="19"/>
        </w:rPr>
        <w:t> </w:t>
      </w:r>
      <w:r>
        <w:rPr>
          <w:rFonts w:ascii="Times New Roman"/>
          <w:color w:val="3F3F3F"/>
          <w:w w:val="105"/>
          <w:sz w:val="18"/>
        </w:rPr>
        <w:t>the</w:t>
      </w:r>
      <w:r>
        <w:rPr>
          <w:rFonts w:ascii="Times New Roman"/>
          <w:color w:val="3F3F3F"/>
          <w:spacing w:val="-6"/>
          <w:w w:val="105"/>
          <w:sz w:val="18"/>
        </w:rPr>
        <w:t> </w:t>
      </w:r>
      <w:r>
        <w:rPr>
          <w:rFonts w:ascii="Times New Roman"/>
          <w:color w:val="3F3F3F"/>
          <w:w w:val="105"/>
          <w:sz w:val="18"/>
        </w:rPr>
        <w:t>year</w:t>
      </w:r>
      <w:r>
        <w:rPr>
          <w:rFonts w:ascii="Times New Roman"/>
          <w:color w:val="3F3F3F"/>
          <w:spacing w:val="-18"/>
          <w:w w:val="105"/>
          <w:sz w:val="18"/>
        </w:rPr>
        <w:t> </w:t>
      </w:r>
      <w:r>
        <w:rPr>
          <w:rFonts w:ascii="Times New Roman"/>
          <w:color w:val="3F3F3F"/>
          <w:w w:val="105"/>
          <w:sz w:val="18"/>
        </w:rPr>
        <w:t>comprised:</w:t>
      </w:r>
    </w:p>
    <w:p>
      <w:pPr>
        <w:pStyle w:val="BodyText"/>
        <w:spacing w:before="1"/>
        <w:rPr>
          <w:rFonts w:ascii="Times New Roman"/>
          <w:sz w:val="21"/>
        </w:rPr>
      </w:pPr>
    </w:p>
    <w:p>
      <w:pPr>
        <w:spacing w:line="268" w:lineRule="auto" w:before="0"/>
        <w:ind w:left="1779" w:right="3924" w:firstLine="5"/>
        <w:jc w:val="left"/>
        <w:rPr>
          <w:rFonts w:ascii="Times New Roman"/>
          <w:sz w:val="18"/>
        </w:rPr>
      </w:pPr>
      <w:r>
        <w:rPr>
          <w:rFonts w:ascii="Times New Roman"/>
          <w:b/>
          <w:color w:val="2B2B2B"/>
          <w:w w:val="110"/>
          <w:sz w:val="18"/>
        </w:rPr>
        <w:t>Operating </w:t>
      </w:r>
      <w:r>
        <w:rPr>
          <w:rFonts w:ascii="Times New Roman"/>
          <w:b/>
          <w:color w:val="181818"/>
          <w:w w:val="110"/>
          <w:sz w:val="18"/>
        </w:rPr>
        <w:t>charge </w:t>
      </w:r>
      <w:r>
        <w:rPr>
          <w:rFonts w:ascii="Times New Roman"/>
          <w:color w:val="3F3F3F"/>
          <w:w w:val="110"/>
          <w:sz w:val="18"/>
        </w:rPr>
        <w:t>Current service cost Past service cost</w:t>
      </w:r>
    </w:p>
    <w:p>
      <w:pPr>
        <w:pStyle w:val="BodyText"/>
        <w:spacing w:line="195" w:lineRule="exact"/>
        <w:ind w:left="1790"/>
        <w:rPr>
          <w:rFonts w:ascii="Times New Roman"/>
        </w:rPr>
      </w:pPr>
      <w:r>
        <w:rPr>
          <w:rFonts w:ascii="Times New Roman"/>
          <w:color w:val="3F3F3F"/>
          <w:w w:val="105"/>
        </w:rPr>
        <w:t>Settlements and curtailments</w:t>
      </w:r>
    </w:p>
    <w:p>
      <w:pPr>
        <w:pStyle w:val="BodyText"/>
        <w:spacing w:before="34"/>
        <w:ind w:left="1786"/>
        <w:rPr>
          <w:rFonts w:ascii="Times New Roman"/>
        </w:rPr>
      </w:pPr>
      <w:r>
        <w:rPr>
          <w:rFonts w:ascii="Times New Roman"/>
          <w:color w:val="3F3F3F"/>
          <w:w w:val="105"/>
        </w:rPr>
        <w:t>Total operating charge</w:t>
      </w:r>
    </w:p>
    <w:p>
      <w:pPr>
        <w:pStyle w:val="BodyText"/>
        <w:spacing w:before="2"/>
        <w:rPr>
          <w:rFonts w:ascii="Times New Roman"/>
          <w:sz w:val="22"/>
        </w:rPr>
      </w:pPr>
    </w:p>
    <w:p>
      <w:pPr>
        <w:spacing w:before="0"/>
        <w:ind w:left="1787" w:right="0" w:firstLine="0"/>
        <w:jc w:val="left"/>
        <w:rPr>
          <w:rFonts w:ascii="Times New Roman"/>
          <w:b/>
          <w:sz w:val="18"/>
        </w:rPr>
      </w:pPr>
      <w:r>
        <w:rPr>
          <w:rFonts w:ascii="Times New Roman"/>
          <w:b/>
          <w:color w:val="2B2B2B"/>
          <w:w w:val="105"/>
          <w:sz w:val="18"/>
        </w:rPr>
        <w:t>Finance </w:t>
      </w:r>
      <w:r>
        <w:rPr>
          <w:rFonts w:ascii="Times New Roman"/>
          <w:b/>
          <w:color w:val="3F3F3F"/>
          <w:w w:val="105"/>
          <w:sz w:val="18"/>
        </w:rPr>
        <w:t>c</w:t>
      </w:r>
      <w:r>
        <w:rPr>
          <w:rFonts w:ascii="Times New Roman"/>
          <w:b/>
          <w:color w:val="181818"/>
          <w:w w:val="105"/>
          <w:sz w:val="18"/>
        </w:rPr>
        <w:t>ost</w:t>
      </w:r>
    </w:p>
    <w:p>
      <w:pPr>
        <w:pStyle w:val="BodyText"/>
        <w:spacing w:line="278" w:lineRule="auto" w:before="14"/>
        <w:ind w:left="1777" w:right="2324" w:firstLine="10"/>
        <w:rPr>
          <w:rFonts w:ascii="Times New Roman"/>
        </w:rPr>
      </w:pPr>
      <w:r>
        <w:rPr>
          <w:rFonts w:ascii="Times New Roman"/>
          <w:color w:val="3F3F3F"/>
          <w:w w:val="105"/>
        </w:rPr>
        <w:t>Expected return on </w:t>
      </w:r>
      <w:r>
        <w:rPr>
          <w:rFonts w:ascii="Times New Roman"/>
          <w:color w:val="2B2B2B"/>
          <w:w w:val="105"/>
        </w:rPr>
        <w:t>pension </w:t>
      </w:r>
      <w:r>
        <w:rPr>
          <w:rFonts w:ascii="Times New Roman"/>
          <w:color w:val="3F3F3F"/>
          <w:w w:val="105"/>
        </w:rPr>
        <w:t>scheme assets Interest </w:t>
      </w:r>
      <w:r>
        <w:rPr>
          <w:rFonts w:ascii="Times New Roman"/>
          <w:color w:val="2B2B2B"/>
          <w:w w:val="105"/>
        </w:rPr>
        <w:t>on </w:t>
      </w:r>
      <w:r>
        <w:rPr>
          <w:rFonts w:ascii="Times New Roman"/>
          <w:color w:val="3F3F3F"/>
          <w:w w:val="105"/>
        </w:rPr>
        <w:t>pension scheme liabilities</w:t>
      </w:r>
    </w:p>
    <w:p>
      <w:pPr>
        <w:pStyle w:val="BodyText"/>
        <w:spacing w:line="198" w:lineRule="exact"/>
        <w:ind w:left="1784"/>
        <w:rPr>
          <w:rFonts w:ascii="Times New Roman"/>
        </w:rPr>
      </w:pPr>
      <w:r>
        <w:rPr>
          <w:rFonts w:ascii="Times New Roman"/>
          <w:color w:val="3F3F3F"/>
          <w:w w:val="105"/>
        </w:rPr>
        <w:t>Net (cost)/retum</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spacing w:before="5"/>
        <w:rPr>
          <w:rFonts w:ascii="Times New Roman"/>
          <w:sz w:val="17"/>
        </w:rPr>
      </w:pPr>
    </w:p>
    <w:p>
      <w:pPr>
        <w:tabs>
          <w:tab w:pos="1203" w:val="left" w:leader="none"/>
        </w:tabs>
        <w:spacing w:before="0"/>
        <w:ind w:left="0" w:right="660" w:firstLine="0"/>
        <w:jc w:val="right"/>
        <w:rPr>
          <w:rFonts w:ascii="Times New Roman"/>
          <w:b/>
          <w:sz w:val="18"/>
        </w:rPr>
      </w:pPr>
      <w:r>
        <w:rPr>
          <w:rFonts w:ascii="Times New Roman"/>
          <w:b/>
          <w:color w:val="2B2B2B"/>
          <w:w w:val="110"/>
          <w:sz w:val="18"/>
        </w:rPr>
        <w:t>2006</w:t>
        <w:tab/>
      </w:r>
      <w:r>
        <w:rPr>
          <w:rFonts w:ascii="Times New Roman"/>
          <w:b/>
          <w:color w:val="181818"/>
          <w:spacing w:val="-1"/>
          <w:w w:val="110"/>
          <w:sz w:val="18"/>
        </w:rPr>
        <w:t>2005</w:t>
      </w:r>
    </w:p>
    <w:p>
      <w:pPr>
        <w:tabs>
          <w:tab w:pos="1194" w:val="left" w:leader="none"/>
        </w:tabs>
        <w:spacing w:before="4"/>
        <w:ind w:left="0" w:right="663" w:firstLine="0"/>
        <w:jc w:val="right"/>
        <w:rPr>
          <w:rFonts w:ascii="Times New Roman" w:hAnsi="Times New Roman"/>
          <w:b/>
          <w:sz w:val="18"/>
        </w:rPr>
      </w:pPr>
      <w:r>
        <w:rPr>
          <w:rFonts w:ascii="Times New Roman" w:hAnsi="Times New Roman"/>
          <w:b/>
          <w:color w:val="2B2B2B"/>
          <w:w w:val="110"/>
          <w:sz w:val="18"/>
        </w:rPr>
        <w:t>£'000</w:t>
        <w:tab/>
        <w:t>£'000</w:t>
      </w:r>
    </w:p>
    <w:p>
      <w:pPr>
        <w:pStyle w:val="BodyText"/>
        <w:tabs>
          <w:tab w:pos="1203" w:val="left" w:leader="none"/>
        </w:tabs>
        <w:spacing w:before="15"/>
        <w:ind w:right="668"/>
        <w:jc w:val="right"/>
        <w:rPr>
          <w:rFonts w:ascii="Times New Roman"/>
        </w:rPr>
      </w:pPr>
      <w:r>
        <w:rPr>
          <w:rFonts w:ascii="Times New Roman"/>
          <w:color w:val="3F3F3F"/>
          <w:w w:val="110"/>
        </w:rPr>
        <w:t>(12,907)</w:t>
        <w:tab/>
      </w:r>
      <w:r>
        <w:rPr>
          <w:rFonts w:ascii="Times New Roman"/>
          <w:color w:val="3F3F3F"/>
          <w:w w:val="105"/>
        </w:rPr>
        <w:t>(10,564)</w:t>
      </w:r>
    </w:p>
    <w:p>
      <w:pPr>
        <w:pStyle w:val="BodyText"/>
        <w:spacing w:before="2"/>
        <w:rPr>
          <w:rFonts w:ascii="Times New Roman"/>
          <w:sz w:val="22"/>
        </w:rPr>
      </w:pPr>
    </w:p>
    <w:p>
      <w:pPr>
        <w:pStyle w:val="BodyText"/>
        <w:tabs>
          <w:tab w:pos="1213" w:val="left" w:leader="none"/>
        </w:tabs>
        <w:ind w:right="666"/>
        <w:jc w:val="right"/>
        <w:rPr>
          <w:rFonts w:ascii="Times New Roman"/>
        </w:rPr>
      </w:pPr>
      <w:r>
        <w:rPr>
          <w:rFonts w:ascii="Times New Roman"/>
          <w:color w:val="3F3F3F"/>
          <w:w w:val="110"/>
        </w:rPr>
        <w:t>(2,099)</w:t>
        <w:tab/>
      </w:r>
      <w:r>
        <w:rPr>
          <w:rFonts w:ascii="Times New Roman"/>
          <w:color w:val="3F3F3F"/>
          <w:spacing w:val="-1"/>
          <w:w w:val="105"/>
        </w:rPr>
        <w:t>(</w:t>
      </w:r>
      <w:r>
        <w:rPr>
          <w:rFonts w:ascii="Times New Roman"/>
          <w:color w:val="181818"/>
          <w:spacing w:val="-1"/>
          <w:w w:val="105"/>
        </w:rPr>
        <w:t>1</w:t>
      </w:r>
      <w:r>
        <w:rPr>
          <w:rFonts w:ascii="Times New Roman"/>
          <w:color w:val="3F3F3F"/>
          <w:spacing w:val="-1"/>
          <w:w w:val="105"/>
        </w:rPr>
        <w:t>,737)</w:t>
      </w:r>
    </w:p>
    <w:p>
      <w:pPr>
        <w:pStyle w:val="BodyText"/>
        <w:tabs>
          <w:tab w:pos="1203" w:val="left" w:leader="none"/>
        </w:tabs>
        <w:spacing w:before="33"/>
        <w:ind w:right="669"/>
        <w:jc w:val="right"/>
        <w:rPr>
          <w:rFonts w:ascii="Times New Roman"/>
        </w:rPr>
      </w:pPr>
      <w:r>
        <w:rPr>
          <w:rFonts w:ascii="Times New Roman"/>
          <w:color w:val="2B2B2B"/>
          <w:w w:val="110"/>
        </w:rPr>
        <w:t>1,824</w:t>
        <w:tab/>
      </w:r>
      <w:r>
        <w:rPr>
          <w:rFonts w:ascii="Times New Roman"/>
          <w:color w:val="3F3F3F"/>
          <w:spacing w:val="-3"/>
          <w:w w:val="110"/>
        </w:rPr>
        <w:t>1</w:t>
      </w:r>
      <w:r>
        <w:rPr>
          <w:rFonts w:ascii="Times New Roman"/>
          <w:color w:val="5E5E5E"/>
          <w:spacing w:val="-3"/>
          <w:w w:val="110"/>
        </w:rPr>
        <w:t>,</w:t>
      </w:r>
      <w:r>
        <w:rPr>
          <w:rFonts w:ascii="Times New Roman"/>
          <w:color w:val="3F3F3F"/>
          <w:spacing w:val="-3"/>
          <w:w w:val="110"/>
        </w:rPr>
        <w:t>743</w:t>
      </w:r>
    </w:p>
    <w:p>
      <w:pPr>
        <w:pStyle w:val="BodyText"/>
        <w:spacing w:before="24"/>
        <w:ind w:left="803"/>
        <w:rPr>
          <w:rFonts w:ascii="Times New Roman"/>
        </w:rPr>
      </w:pPr>
      <w:r>
        <w:rPr>
          <w:rFonts w:ascii="Times New Roman"/>
          <w:color w:val="2B2B2B"/>
          <w:w w:val="110"/>
        </w:rPr>
        <w:t>(395)</w:t>
      </w:r>
    </w:p>
    <w:p>
      <w:pPr>
        <w:pStyle w:val="BodyText"/>
        <w:tabs>
          <w:tab w:pos="2093" w:val="left" w:leader="none"/>
        </w:tabs>
        <w:spacing w:before="24"/>
        <w:ind w:left="793"/>
        <w:rPr>
          <w:rFonts w:ascii="Times New Roman"/>
        </w:rPr>
      </w:pPr>
      <w:r>
        <w:rPr>
          <w:rFonts w:ascii="Times New Roman"/>
          <w:color w:val="3F3F3F"/>
          <w:w w:val="110"/>
        </w:rPr>
        <w:t>(100)</w:t>
        <w:tab/>
        <w:t>(93)</w:t>
      </w:r>
    </w:p>
    <w:p>
      <w:pPr>
        <w:pStyle w:val="BodyText"/>
        <w:tabs>
          <w:tab w:pos="658" w:val="left" w:leader="none"/>
          <w:tab w:pos="1862" w:val="left" w:leader="none"/>
        </w:tabs>
        <w:spacing w:before="24"/>
        <w:ind w:left="155"/>
        <w:rPr>
          <w:rFonts w:ascii="Times New Roman"/>
        </w:rPr>
      </w:pPr>
      <w:r>
        <w:rPr>
          <w:rFonts w:ascii="Times New Roman"/>
          <w:color w:val="3F3F3F"/>
          <w:w w:val="100"/>
          <w:u w:val="single" w:color="000000"/>
        </w:rPr>
        <w:t> </w:t>
      </w:r>
      <w:r>
        <w:rPr>
          <w:rFonts w:ascii="Times New Roman"/>
          <w:color w:val="3F3F3F"/>
          <w:u w:val="single" w:color="000000"/>
        </w:rPr>
        <w:tab/>
      </w:r>
      <w:r>
        <w:rPr>
          <w:rFonts w:ascii="Times New Roman"/>
          <w:color w:val="3F3F3F"/>
          <w:w w:val="105"/>
          <w:u w:val="single" w:color="000000"/>
        </w:rPr>
        <w:t>(1,382)</w:t>
        <w:tab/>
        <w:t>(2,256)</w:t>
      </w:r>
      <w:r>
        <w:rPr>
          <w:rFonts w:ascii="Times New Roman"/>
          <w:color w:val="3F3F3F"/>
          <w:spacing w:val="-9"/>
          <w:u w:val="single" w:color="000000"/>
        </w:rPr>
        <w:t> </w:t>
      </w:r>
    </w:p>
    <w:p>
      <w:pPr>
        <w:pStyle w:val="BodyText"/>
        <w:tabs>
          <w:tab w:pos="1766" w:val="left" w:leader="none"/>
        </w:tabs>
        <w:spacing w:before="34"/>
        <w:ind w:left="562"/>
        <w:rPr>
          <w:rFonts w:ascii="Times New Roman"/>
        </w:rPr>
      </w:pPr>
      <w:r>
        <w:rPr>
          <w:rFonts w:ascii="Times New Roman"/>
          <w:color w:val="3F3F3F"/>
          <w:w w:val="105"/>
        </w:rPr>
        <w:t>(15,059)</w:t>
        <w:tab/>
        <w:t>(12,907)</w:t>
      </w:r>
    </w:p>
    <w:p>
      <w:pPr>
        <w:pStyle w:val="BodyText"/>
        <w:spacing w:line="20" w:lineRule="exact"/>
        <w:ind w:left="145"/>
        <w:rPr>
          <w:rFonts w:ascii="Times New Roman"/>
          <w:sz w:val="2"/>
        </w:rPr>
      </w:pPr>
      <w:r>
        <w:rPr>
          <w:rFonts w:ascii="Times New Roman"/>
          <w:sz w:val="2"/>
        </w:rPr>
        <w:pict>
          <v:group style="width:119.45pt;height:1pt;mso-position-horizontal-relative:char;mso-position-vertical-relative:line" coordorigin="0,0" coordsize="2389,20">
            <v:line style="position:absolute" from="0,10" to="2388,10" stroked="true" strokeweight=".962229pt" strokecolor="#000000">
              <v:stroke dashstyle="solid"/>
            </v:line>
          </v:group>
        </w:pict>
      </w:r>
      <w:r>
        <w:rPr>
          <w:rFonts w:ascii="Times New Roman"/>
          <w:sz w:val="2"/>
        </w:rPr>
      </w:r>
    </w:p>
    <w:p>
      <w:pPr>
        <w:pStyle w:val="BodyText"/>
        <w:rPr>
          <w:rFonts w:ascii="Times New Roman"/>
          <w:sz w:val="20"/>
        </w:rPr>
      </w:pPr>
    </w:p>
    <w:p>
      <w:pPr>
        <w:pStyle w:val="BodyText"/>
        <w:spacing w:before="5"/>
        <w:rPr>
          <w:rFonts w:ascii="Times New Roman"/>
          <w:sz w:val="20"/>
        </w:rPr>
      </w:pPr>
    </w:p>
    <w:p>
      <w:pPr>
        <w:tabs>
          <w:tab w:pos="2096" w:val="left" w:leader="none"/>
        </w:tabs>
        <w:spacing w:before="1"/>
        <w:ind w:left="844" w:right="0" w:firstLine="0"/>
        <w:jc w:val="left"/>
        <w:rPr>
          <w:rFonts w:ascii="Times New Roman"/>
          <w:b/>
          <w:sz w:val="18"/>
        </w:rPr>
      </w:pPr>
      <w:r>
        <w:rPr>
          <w:rFonts w:ascii="Times New Roman"/>
          <w:b/>
          <w:color w:val="2B2B2B"/>
          <w:w w:val="110"/>
          <w:sz w:val="18"/>
        </w:rPr>
        <w:t>2006</w:t>
        <w:tab/>
        <w:t>2005</w:t>
      </w:r>
    </w:p>
    <w:p>
      <w:pPr>
        <w:tabs>
          <w:tab w:pos="2030" w:val="left" w:leader="none"/>
        </w:tabs>
        <w:spacing w:before="24"/>
        <w:ind w:left="846" w:right="0" w:firstLine="0"/>
        <w:jc w:val="left"/>
        <w:rPr>
          <w:rFonts w:ascii="Times New Roman" w:hAnsi="Times New Roman"/>
          <w:b/>
          <w:sz w:val="18"/>
        </w:rPr>
      </w:pPr>
      <w:r>
        <w:rPr>
          <w:rFonts w:ascii="Times New Roman" w:hAnsi="Times New Roman"/>
          <w:b/>
          <w:color w:val="2B2B2B"/>
          <w:w w:val="110"/>
          <w:sz w:val="18"/>
        </w:rPr>
        <w:t>£'000</w:t>
        <w:tab/>
        <w:t>£'000</w:t>
      </w:r>
    </w:p>
    <w:p>
      <w:pPr>
        <w:pStyle w:val="BodyText"/>
        <w:tabs>
          <w:tab w:pos="2051" w:val="left" w:leader="none"/>
        </w:tabs>
        <w:spacing w:before="13"/>
        <w:ind w:left="845"/>
        <w:rPr>
          <w:rFonts w:ascii="Times New Roman"/>
        </w:rPr>
      </w:pPr>
      <w:r>
        <w:rPr>
          <w:rFonts w:ascii="Times New Roman"/>
          <w:color w:val="3F3F3F"/>
          <w:w w:val="110"/>
        </w:rPr>
        <w:t>2,099</w:t>
        <w:tab/>
      </w:r>
      <w:r>
        <w:rPr>
          <w:rFonts w:ascii="Times New Roman"/>
          <w:color w:val="2B2B2B"/>
          <w:w w:val="110"/>
          <w:position w:val="1"/>
        </w:rPr>
        <w:t>1,737</w:t>
      </w:r>
    </w:p>
    <w:p>
      <w:pPr>
        <w:pStyle w:val="BodyText"/>
        <w:spacing w:before="15"/>
        <w:ind w:left="986"/>
        <w:rPr>
          <w:rFonts w:ascii="Times New Roman"/>
        </w:rPr>
      </w:pPr>
      <w:r>
        <w:rPr>
          <w:rFonts w:ascii="Times New Roman"/>
          <w:color w:val="3F3F3F"/>
          <w:w w:val="110"/>
        </w:rPr>
        <w:t>395</w:t>
      </w:r>
    </w:p>
    <w:p>
      <w:pPr>
        <w:pStyle w:val="BodyText"/>
        <w:spacing w:before="9"/>
        <w:rPr>
          <w:rFonts w:ascii="Times New Roman"/>
          <w:sz w:val="15"/>
        </w:rPr>
      </w:pPr>
      <w:r>
        <w:rPr/>
        <w:pict>
          <v:shape style="position:absolute;margin-left:429.492401pt;margin-top:11.530009pt;width:90.05pt;height:.1pt;mso-position-horizontal-relative:page;mso-position-vertical-relative:paragraph;z-index:-251170816;mso-wrap-distance-left:0;mso-wrap-distance-right:0" coordorigin="8590,231" coordsize="1801,0" path="m8590,231l10391,231e" filled="false" stroked="true" strokeweight=".962229pt" strokecolor="#000000">
            <v:path arrowok="t"/>
            <v:stroke dashstyle="solid"/>
            <w10:wrap type="topAndBottom"/>
          </v:shape>
        </w:pict>
      </w:r>
    </w:p>
    <w:p>
      <w:pPr>
        <w:pStyle w:val="BodyText"/>
        <w:tabs>
          <w:tab w:pos="2041" w:val="left" w:leader="none"/>
        </w:tabs>
        <w:ind w:left="743"/>
        <w:rPr>
          <w:rFonts w:ascii="Times New Roman"/>
        </w:rPr>
      </w:pPr>
      <w:r>
        <w:rPr>
          <w:rFonts w:ascii="Times New Roman"/>
          <w:color w:val="3F3F3F"/>
          <w:w w:val="100"/>
          <w:u w:val="single" w:color="000000"/>
        </w:rPr>
        <w:t> </w:t>
      </w:r>
      <w:r>
        <w:rPr>
          <w:rFonts w:ascii="Times New Roman"/>
          <w:color w:val="3F3F3F"/>
          <w:u w:val="single" w:color="000000"/>
        </w:rPr>
        <w:t> </w:t>
      </w:r>
      <w:r>
        <w:rPr>
          <w:rFonts w:ascii="Times New Roman"/>
          <w:color w:val="3F3F3F"/>
          <w:spacing w:val="7"/>
          <w:u w:val="single" w:color="000000"/>
        </w:rPr>
        <w:t> </w:t>
      </w:r>
      <w:r>
        <w:rPr>
          <w:rFonts w:ascii="Times New Roman"/>
          <w:color w:val="3F3F3F"/>
          <w:w w:val="110"/>
          <w:u w:val="single" w:color="000000"/>
        </w:rPr>
        <w:t>2,494</w:t>
        <w:tab/>
      </w:r>
      <w:r>
        <w:rPr>
          <w:rFonts w:ascii="Times New Roman"/>
          <w:color w:val="2B2B2B"/>
          <w:w w:val="110"/>
          <w:u w:val="single" w:color="000000"/>
        </w:rPr>
        <w:t>1,737</w:t>
      </w:r>
      <w:r>
        <w:rPr>
          <w:rFonts w:ascii="Times New Roman"/>
          <w:color w:val="2B2B2B"/>
          <w:spacing w:val="4"/>
          <w:u w:val="single" w:color="000000"/>
        </w:rPr>
        <w:t> </w:t>
      </w:r>
    </w:p>
    <w:p>
      <w:pPr>
        <w:pStyle w:val="BodyText"/>
        <w:rPr>
          <w:rFonts w:ascii="Times New Roman"/>
          <w:sz w:val="20"/>
        </w:rPr>
      </w:pPr>
    </w:p>
    <w:p>
      <w:pPr>
        <w:pStyle w:val="BodyText"/>
        <w:spacing w:before="2"/>
        <w:rPr>
          <w:rFonts w:ascii="Times New Roman"/>
          <w:sz w:val="22"/>
        </w:rPr>
      </w:pPr>
    </w:p>
    <w:p>
      <w:pPr>
        <w:pStyle w:val="BodyText"/>
        <w:tabs>
          <w:tab w:pos="2045" w:val="left" w:leader="none"/>
        </w:tabs>
        <w:spacing w:before="1"/>
        <w:ind w:left="842"/>
        <w:rPr>
          <w:rFonts w:ascii="Times New Roman"/>
        </w:rPr>
      </w:pPr>
      <w:r>
        <w:rPr>
          <w:rFonts w:ascii="Times New Roman"/>
          <w:color w:val="3F3F3F"/>
          <w:w w:val="115"/>
        </w:rPr>
        <w:t>3</w:t>
      </w:r>
      <w:r>
        <w:rPr>
          <w:rFonts w:ascii="Times New Roman"/>
          <w:color w:val="5E5E5E"/>
          <w:w w:val="115"/>
        </w:rPr>
        <w:t>,</w:t>
      </w:r>
      <w:r>
        <w:rPr>
          <w:rFonts w:ascii="Times New Roman"/>
          <w:color w:val="3F3F3F"/>
          <w:w w:val="115"/>
        </w:rPr>
        <w:t>944</w:t>
        <w:tab/>
      </w:r>
      <w:r>
        <w:rPr>
          <w:rFonts w:ascii="Times New Roman"/>
          <w:color w:val="3F3F3F"/>
          <w:spacing w:val="-3"/>
          <w:w w:val="115"/>
        </w:rPr>
        <w:t>3</w:t>
      </w:r>
      <w:r>
        <w:rPr>
          <w:rFonts w:ascii="Times New Roman"/>
          <w:color w:val="5E5E5E"/>
          <w:spacing w:val="-3"/>
          <w:w w:val="115"/>
        </w:rPr>
        <w:t>,</w:t>
      </w:r>
      <w:r>
        <w:rPr>
          <w:rFonts w:ascii="Times New Roman"/>
          <w:color w:val="3F3F3F"/>
          <w:spacing w:val="-3"/>
          <w:w w:val="115"/>
        </w:rPr>
        <w:t>830</w:t>
      </w:r>
    </w:p>
    <w:p>
      <w:pPr>
        <w:pStyle w:val="BodyText"/>
        <w:tabs>
          <w:tab w:pos="1987" w:val="left" w:leader="none"/>
        </w:tabs>
        <w:spacing w:before="24"/>
        <w:ind w:left="784"/>
        <w:rPr>
          <w:rFonts w:ascii="Times New Roman"/>
        </w:rPr>
      </w:pPr>
      <w:r>
        <w:rPr>
          <w:rFonts w:ascii="Times New Roman"/>
          <w:color w:val="3F3F3F"/>
          <w:w w:val="105"/>
        </w:rPr>
        <w:t>(4,044}</w:t>
        <w:tab/>
        <w:t>(3,923}</w:t>
      </w:r>
    </w:p>
    <w:p>
      <w:pPr>
        <w:pStyle w:val="BodyText"/>
        <w:spacing w:before="4"/>
        <w:rPr>
          <w:rFonts w:ascii="Times New Roman"/>
          <w:sz w:val="2"/>
        </w:rPr>
      </w:pPr>
    </w:p>
    <w:p>
      <w:pPr>
        <w:pStyle w:val="BodyText"/>
        <w:spacing w:line="20" w:lineRule="exact"/>
        <w:ind w:left="733"/>
        <w:rPr>
          <w:rFonts w:ascii="Times New Roman"/>
          <w:sz w:val="2"/>
        </w:rPr>
      </w:pPr>
      <w:r>
        <w:rPr>
          <w:rFonts w:ascii="Times New Roman"/>
          <w:sz w:val="2"/>
        </w:rPr>
        <w:pict>
          <v:group style="width:90.05pt;height:1pt;mso-position-horizontal-relative:char;mso-position-vertical-relative:line" coordorigin="0,0" coordsize="1801,20">
            <v:line style="position:absolute" from="0,10" to="1801,10" stroked="true" strokeweight=".962229pt" strokecolor="#000000">
              <v:stroke dashstyle="solid"/>
            </v:line>
          </v:group>
        </w:pict>
      </w:r>
      <w:r>
        <w:rPr>
          <w:rFonts w:ascii="Times New Roman"/>
          <w:sz w:val="2"/>
        </w:rPr>
      </w:r>
    </w:p>
    <w:p>
      <w:pPr>
        <w:pStyle w:val="BodyText"/>
        <w:tabs>
          <w:tab w:pos="2189" w:val="left" w:leader="none"/>
        </w:tabs>
        <w:ind w:left="743"/>
        <w:rPr>
          <w:rFonts w:ascii="Times New Roman"/>
        </w:rPr>
      </w:pPr>
      <w:r>
        <w:rPr>
          <w:rFonts w:ascii="Times New Roman"/>
          <w:color w:val="3F3F3F"/>
          <w:w w:val="100"/>
          <w:u w:val="single" w:color="000000"/>
        </w:rPr>
        <w:t> </w:t>
      </w:r>
      <w:r>
        <w:rPr>
          <w:rFonts w:ascii="Times New Roman"/>
          <w:color w:val="3F3F3F"/>
          <w:u w:val="single" w:color="000000"/>
        </w:rPr>
        <w:t>  </w:t>
      </w:r>
      <w:r>
        <w:rPr>
          <w:rFonts w:ascii="Times New Roman"/>
          <w:color w:val="3F3F3F"/>
          <w:spacing w:val="16"/>
          <w:u w:val="single" w:color="000000"/>
        </w:rPr>
        <w:t> </w:t>
      </w:r>
      <w:r>
        <w:rPr>
          <w:rFonts w:ascii="Times New Roman"/>
          <w:color w:val="3F3F3F"/>
          <w:w w:val="110"/>
          <w:u w:val="single" w:color="000000"/>
        </w:rPr>
        <w:t>(100)</w:t>
        <w:tab/>
        <w:t>(93)</w:t>
      </w:r>
    </w:p>
    <w:p>
      <w:pPr>
        <w:spacing w:after="0"/>
        <w:rPr>
          <w:rFonts w:ascii="Times New Roman"/>
        </w:rPr>
        <w:sectPr>
          <w:type w:val="continuous"/>
          <w:pgSz w:w="10950" w:h="15880"/>
          <w:pgMar w:top="680" w:bottom="280" w:left="500" w:right="0"/>
          <w:cols w:num="2" w:equalWidth="0">
            <w:col w:w="7307" w:space="40"/>
            <w:col w:w="3103"/>
          </w:cols>
        </w:sectPr>
      </w:pPr>
    </w:p>
    <w:p>
      <w:pPr>
        <w:pStyle w:val="BodyText"/>
        <w:spacing w:before="9"/>
        <w:rPr>
          <w:rFonts w:ascii="Times New Roman"/>
          <w:sz w:val="22"/>
        </w:rPr>
      </w:pPr>
    </w:p>
    <w:tbl>
      <w:tblPr>
        <w:tblW w:w="0" w:type="auto"/>
        <w:jc w:val="left"/>
        <w:tblInd w:w="1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3"/>
        <w:gridCol w:w="1722"/>
        <w:gridCol w:w="935"/>
      </w:tblGrid>
      <w:tr>
        <w:trPr>
          <w:trHeight w:val="215" w:hRule="atLeast"/>
        </w:trPr>
        <w:tc>
          <w:tcPr>
            <w:tcW w:w="5563" w:type="dxa"/>
          </w:tcPr>
          <w:p>
            <w:pPr>
              <w:pStyle w:val="TableParagraph"/>
              <w:spacing w:line="195" w:lineRule="exact"/>
              <w:ind w:left="52"/>
              <w:rPr>
                <w:b/>
                <w:sz w:val="18"/>
              </w:rPr>
            </w:pPr>
            <w:r>
              <w:rPr>
                <w:b/>
                <w:color w:val="2B2B2B"/>
                <w:w w:val="105"/>
                <w:sz w:val="18"/>
              </w:rPr>
              <w:t>Analysis </w:t>
            </w:r>
            <w:r>
              <w:rPr>
                <w:b/>
                <w:color w:val="181818"/>
                <w:w w:val="105"/>
                <w:sz w:val="18"/>
              </w:rPr>
              <w:t>of </w:t>
            </w:r>
            <w:r>
              <w:rPr>
                <w:b/>
                <w:color w:val="2B2B2B"/>
                <w:w w:val="105"/>
                <w:sz w:val="18"/>
              </w:rPr>
              <w:t>amount </w:t>
            </w:r>
            <w:r>
              <w:rPr>
                <w:b/>
                <w:color w:val="181818"/>
                <w:w w:val="105"/>
                <w:sz w:val="18"/>
              </w:rPr>
              <w:t>recognised in </w:t>
            </w:r>
            <w:r>
              <w:rPr>
                <w:b/>
                <w:color w:val="3F3F3F"/>
                <w:w w:val="105"/>
                <w:sz w:val="18"/>
              </w:rPr>
              <w:t>F</w:t>
            </w:r>
            <w:r>
              <w:rPr>
                <w:b/>
                <w:color w:val="181818"/>
                <w:w w:val="105"/>
                <w:sz w:val="18"/>
              </w:rPr>
              <w:t>unds</w:t>
            </w:r>
          </w:p>
        </w:tc>
        <w:tc>
          <w:tcPr>
            <w:tcW w:w="2657" w:type="dxa"/>
            <w:gridSpan w:val="2"/>
          </w:tcPr>
          <w:p>
            <w:pPr>
              <w:pStyle w:val="TableParagraph"/>
              <w:rPr>
                <w:sz w:val="14"/>
              </w:rPr>
            </w:pPr>
          </w:p>
        </w:tc>
      </w:tr>
      <w:tr>
        <w:trPr>
          <w:trHeight w:val="230" w:hRule="atLeast"/>
        </w:trPr>
        <w:tc>
          <w:tcPr>
            <w:tcW w:w="5563" w:type="dxa"/>
          </w:tcPr>
          <w:p>
            <w:pPr>
              <w:pStyle w:val="TableParagraph"/>
              <w:spacing w:line="203" w:lineRule="exact" w:before="8"/>
              <w:ind w:left="52"/>
              <w:rPr>
                <w:sz w:val="18"/>
              </w:rPr>
            </w:pPr>
            <w:r>
              <w:rPr>
                <w:color w:val="3F3F3F"/>
                <w:w w:val="105"/>
                <w:sz w:val="18"/>
              </w:rPr>
              <w:t>Actual </w:t>
            </w:r>
            <w:r>
              <w:rPr>
                <w:color w:val="2B2B2B"/>
                <w:w w:val="105"/>
                <w:sz w:val="18"/>
              </w:rPr>
              <w:t>return less </w:t>
            </w:r>
            <w:r>
              <w:rPr>
                <w:color w:val="3F3F3F"/>
                <w:w w:val="105"/>
                <w:sz w:val="18"/>
              </w:rPr>
              <w:t>expected return on pension scheme assets</w:t>
            </w:r>
          </w:p>
        </w:tc>
        <w:tc>
          <w:tcPr>
            <w:tcW w:w="1722" w:type="dxa"/>
          </w:tcPr>
          <w:p>
            <w:pPr>
              <w:pStyle w:val="TableParagraph"/>
              <w:spacing w:line="193" w:lineRule="exact" w:before="18"/>
              <w:ind w:right="375"/>
              <w:jc w:val="right"/>
              <w:rPr>
                <w:sz w:val="18"/>
              </w:rPr>
            </w:pPr>
            <w:r>
              <w:rPr>
                <w:color w:val="3F3F3F"/>
                <w:w w:val="110"/>
                <w:sz w:val="18"/>
              </w:rPr>
              <w:t>698</w:t>
            </w:r>
          </w:p>
        </w:tc>
        <w:tc>
          <w:tcPr>
            <w:tcW w:w="935" w:type="dxa"/>
          </w:tcPr>
          <w:p>
            <w:pPr>
              <w:pStyle w:val="TableParagraph"/>
              <w:spacing w:line="203" w:lineRule="exact" w:before="8"/>
              <w:ind w:right="112"/>
              <w:jc w:val="right"/>
              <w:rPr>
                <w:sz w:val="18"/>
              </w:rPr>
            </w:pPr>
            <w:r>
              <w:rPr>
                <w:color w:val="3F3F3F"/>
                <w:w w:val="110"/>
                <w:sz w:val="18"/>
              </w:rPr>
              <w:t>4,162</w:t>
            </w:r>
          </w:p>
        </w:tc>
      </w:tr>
      <w:tr>
        <w:trPr>
          <w:trHeight w:val="438" w:hRule="atLeast"/>
        </w:trPr>
        <w:tc>
          <w:tcPr>
            <w:tcW w:w="5563" w:type="dxa"/>
          </w:tcPr>
          <w:p>
            <w:pPr>
              <w:pStyle w:val="TableParagraph"/>
              <w:spacing w:line="206" w:lineRule="exact"/>
              <w:ind w:left="50"/>
              <w:rPr>
                <w:sz w:val="18"/>
              </w:rPr>
            </w:pPr>
            <w:r>
              <w:rPr>
                <w:color w:val="3F3F3F"/>
                <w:w w:val="105"/>
                <w:sz w:val="18"/>
              </w:rPr>
              <w:t>Experience gains and losses arising on scheme liabil</w:t>
            </w:r>
            <w:r>
              <w:rPr>
                <w:color w:val="181818"/>
                <w:w w:val="105"/>
                <w:sz w:val="18"/>
              </w:rPr>
              <w:t>i</w:t>
            </w:r>
            <w:r>
              <w:rPr>
                <w:color w:val="3F3F3F"/>
                <w:w w:val="105"/>
                <w:sz w:val="18"/>
              </w:rPr>
              <w:t>ties</w:t>
            </w:r>
          </w:p>
          <w:p>
            <w:pPr>
              <w:pStyle w:val="TableParagraph"/>
              <w:spacing w:line="199" w:lineRule="exact" w:before="14"/>
              <w:ind w:left="56"/>
              <w:rPr>
                <w:sz w:val="18"/>
              </w:rPr>
            </w:pPr>
            <w:r>
              <w:rPr>
                <w:color w:val="3F3F3F"/>
                <w:w w:val="105"/>
                <w:sz w:val="18"/>
              </w:rPr>
              <w:t>Changes </w:t>
            </w:r>
            <w:r>
              <w:rPr>
                <w:color w:val="3F3F3F"/>
                <w:w w:val="105"/>
                <w:sz w:val="19"/>
              </w:rPr>
              <w:t>in </w:t>
            </w:r>
            <w:r>
              <w:rPr>
                <w:color w:val="3F3F3F"/>
                <w:w w:val="105"/>
                <w:sz w:val="18"/>
              </w:rPr>
              <w:t>assumptions underly</w:t>
            </w:r>
            <w:r>
              <w:rPr>
                <w:color w:val="181818"/>
                <w:w w:val="105"/>
                <w:sz w:val="18"/>
              </w:rPr>
              <w:t>i</w:t>
            </w:r>
            <w:r>
              <w:rPr>
                <w:color w:val="3F3F3F"/>
                <w:w w:val="105"/>
                <w:sz w:val="18"/>
              </w:rPr>
              <w:t>ng the present</w:t>
            </w:r>
          </w:p>
        </w:tc>
        <w:tc>
          <w:tcPr>
            <w:tcW w:w="1722" w:type="dxa"/>
          </w:tcPr>
          <w:p>
            <w:pPr>
              <w:pStyle w:val="TableParagraph"/>
              <w:spacing w:before="8"/>
              <w:ind w:right="319"/>
              <w:jc w:val="right"/>
              <w:rPr>
                <w:sz w:val="18"/>
              </w:rPr>
            </w:pPr>
            <w:r>
              <w:rPr>
                <w:color w:val="3F3F3F"/>
                <w:w w:val="110"/>
                <w:sz w:val="18"/>
              </w:rPr>
              <w:t>(</w:t>
            </w:r>
            <w:r>
              <w:rPr>
                <w:color w:val="181818"/>
                <w:w w:val="110"/>
                <w:sz w:val="18"/>
              </w:rPr>
              <w:t>14</w:t>
            </w:r>
            <w:r>
              <w:rPr>
                <w:color w:val="3F3F3F"/>
                <w:w w:val="110"/>
                <w:sz w:val="18"/>
              </w:rPr>
              <w:t>0)</w:t>
            </w:r>
          </w:p>
        </w:tc>
        <w:tc>
          <w:tcPr>
            <w:tcW w:w="935" w:type="dxa"/>
          </w:tcPr>
          <w:p>
            <w:pPr>
              <w:pStyle w:val="TableParagraph"/>
              <w:spacing w:before="8"/>
              <w:ind w:right="48"/>
              <w:jc w:val="right"/>
              <w:rPr>
                <w:sz w:val="18"/>
              </w:rPr>
            </w:pPr>
            <w:r>
              <w:rPr>
                <w:color w:val="3F3F3F"/>
                <w:w w:val="105"/>
                <w:sz w:val="18"/>
              </w:rPr>
              <w:t>(1,131)</w:t>
            </w:r>
          </w:p>
        </w:tc>
      </w:tr>
    </w:tbl>
    <w:p>
      <w:pPr>
        <w:spacing w:after="0"/>
        <w:jc w:val="right"/>
        <w:rPr>
          <w:sz w:val="18"/>
        </w:rPr>
        <w:sectPr>
          <w:type w:val="continuous"/>
          <w:pgSz w:w="10950" w:h="15880"/>
          <w:pgMar w:top="680" w:bottom="280" w:left="500" w:right="0"/>
        </w:sectPr>
      </w:pPr>
    </w:p>
    <w:p>
      <w:pPr>
        <w:pStyle w:val="BodyText"/>
        <w:spacing w:line="268" w:lineRule="auto" w:before="21"/>
        <w:ind w:left="1780" w:right="2222" w:firstLine="336"/>
        <w:rPr>
          <w:rFonts w:ascii="Times New Roman"/>
        </w:rPr>
      </w:pPr>
      <w:r>
        <w:rPr>
          <w:rFonts w:ascii="Times New Roman"/>
          <w:color w:val="3F3F3F"/>
          <w:w w:val="105"/>
        </w:rPr>
        <w:t>va</w:t>
      </w:r>
      <w:r>
        <w:rPr>
          <w:rFonts w:ascii="Times New Roman"/>
          <w:color w:val="181818"/>
          <w:w w:val="105"/>
        </w:rPr>
        <w:t>l</w:t>
      </w:r>
      <w:r>
        <w:rPr>
          <w:rFonts w:ascii="Times New Roman"/>
          <w:color w:val="3F3F3F"/>
          <w:w w:val="105"/>
        </w:rPr>
        <w:t>ue of the scheme liabilities Actuarial loss recognised in Funds</w:t>
      </w:r>
    </w:p>
    <w:p>
      <w:pPr>
        <w:pStyle w:val="BodyText"/>
        <w:spacing w:before="11"/>
        <w:rPr>
          <w:rFonts w:ascii="Times New Roman"/>
          <w:sz w:val="19"/>
        </w:rPr>
      </w:pPr>
    </w:p>
    <w:p>
      <w:pPr>
        <w:pStyle w:val="ListParagraph"/>
        <w:numPr>
          <w:ilvl w:val="0"/>
          <w:numId w:val="220"/>
        </w:numPr>
        <w:tabs>
          <w:tab w:pos="1692" w:val="left" w:leader="none"/>
          <w:tab w:pos="1693" w:val="left" w:leader="none"/>
        </w:tabs>
        <w:spacing w:line="240" w:lineRule="auto" w:before="0" w:after="0"/>
        <w:ind w:left="1692" w:right="0" w:hanging="678"/>
        <w:jc w:val="left"/>
        <w:rPr>
          <w:rFonts w:ascii="Times New Roman"/>
          <w:sz w:val="18"/>
        </w:rPr>
      </w:pPr>
      <w:r>
        <w:rPr>
          <w:rFonts w:ascii="Times New Roman"/>
          <w:color w:val="3F3F3F"/>
          <w:w w:val="105"/>
          <w:sz w:val="18"/>
        </w:rPr>
        <w:t>History of experience gains</w:t>
      </w:r>
      <w:r>
        <w:rPr>
          <w:rFonts w:ascii="Times New Roman"/>
          <w:color w:val="BCBCBC"/>
          <w:w w:val="105"/>
          <w:sz w:val="18"/>
        </w:rPr>
        <w:t>.</w:t>
      </w:r>
      <w:r>
        <w:rPr>
          <w:rFonts w:ascii="Times New Roman"/>
          <w:color w:val="3F3F3F"/>
          <w:w w:val="105"/>
          <w:sz w:val="18"/>
        </w:rPr>
        <w:t>and</w:t>
      </w:r>
      <w:r>
        <w:rPr>
          <w:rFonts w:ascii="Times New Roman"/>
          <w:color w:val="3F3F3F"/>
          <w:spacing w:val="-26"/>
          <w:w w:val="105"/>
          <w:sz w:val="18"/>
        </w:rPr>
        <w:t> </w:t>
      </w:r>
      <w:r>
        <w:rPr>
          <w:rFonts w:ascii="Times New Roman"/>
          <w:color w:val="2B2B2B"/>
          <w:w w:val="105"/>
          <w:sz w:val="18"/>
        </w:rPr>
        <w:t>losses</w:t>
      </w:r>
    </w:p>
    <w:p>
      <w:pPr>
        <w:pStyle w:val="BodyText"/>
        <w:rPr>
          <w:rFonts w:ascii="Times New Roman"/>
          <w:sz w:val="20"/>
        </w:rPr>
      </w:pPr>
    </w:p>
    <w:p>
      <w:pPr>
        <w:pStyle w:val="BodyText"/>
        <w:spacing w:before="8"/>
        <w:rPr>
          <w:rFonts w:ascii="Times New Roman"/>
          <w:sz w:val="19"/>
        </w:rPr>
      </w:pPr>
    </w:p>
    <w:p>
      <w:pPr>
        <w:pStyle w:val="BodyText"/>
        <w:spacing w:before="1"/>
        <w:ind w:left="1779"/>
        <w:rPr>
          <w:rFonts w:ascii="Times New Roman"/>
        </w:rPr>
      </w:pPr>
      <w:r>
        <w:rPr>
          <w:rFonts w:ascii="Times New Roman"/>
          <w:color w:val="3F3F3F"/>
          <w:w w:val="105"/>
        </w:rPr>
        <w:t>Difference between actual and expected </w:t>
      </w:r>
      <w:r>
        <w:rPr>
          <w:rFonts w:ascii="Times New Roman"/>
          <w:color w:val="2B2B2B"/>
          <w:w w:val="105"/>
        </w:rPr>
        <w:t>return </w:t>
      </w:r>
      <w:r>
        <w:rPr>
          <w:rFonts w:ascii="Times New Roman"/>
          <w:color w:val="3F3F3F"/>
          <w:w w:val="105"/>
        </w:rPr>
        <w:t>on scheme</w:t>
      </w:r>
      <w:r>
        <w:rPr>
          <w:rFonts w:ascii="Times New Roman"/>
          <w:color w:val="3F3F3F"/>
          <w:spacing w:val="-36"/>
          <w:w w:val="105"/>
        </w:rPr>
        <w:t> </w:t>
      </w:r>
      <w:r>
        <w:rPr>
          <w:rFonts w:ascii="Times New Roman"/>
          <w:color w:val="3F3F3F"/>
          <w:w w:val="105"/>
        </w:rPr>
        <w:t>assets</w:t>
      </w:r>
    </w:p>
    <w:p>
      <w:pPr>
        <w:pStyle w:val="ListParagraph"/>
        <w:numPr>
          <w:ilvl w:val="1"/>
          <w:numId w:val="220"/>
        </w:numPr>
        <w:tabs>
          <w:tab w:pos="1988" w:val="left" w:leader="none"/>
        </w:tabs>
        <w:spacing w:line="240" w:lineRule="auto" w:before="4" w:after="0"/>
        <w:ind w:left="1987" w:right="0" w:hanging="117"/>
        <w:jc w:val="left"/>
        <w:rPr>
          <w:rFonts w:ascii="Times New Roman" w:hAnsi="Times New Roman"/>
          <w:color w:val="2B2B2B"/>
          <w:sz w:val="18"/>
        </w:rPr>
      </w:pPr>
      <w:r>
        <w:rPr>
          <w:rFonts w:ascii="Times New Roman" w:hAnsi="Times New Roman"/>
          <w:color w:val="3F3F3F"/>
          <w:w w:val="105"/>
          <w:sz w:val="18"/>
        </w:rPr>
        <w:t>amount</w:t>
      </w:r>
    </w:p>
    <w:p>
      <w:pPr>
        <w:pStyle w:val="ListParagraph"/>
        <w:numPr>
          <w:ilvl w:val="1"/>
          <w:numId w:val="220"/>
        </w:numPr>
        <w:tabs>
          <w:tab w:pos="1979" w:val="left" w:leader="none"/>
        </w:tabs>
        <w:spacing w:line="240" w:lineRule="auto" w:before="24" w:after="0"/>
        <w:ind w:left="1978" w:right="0" w:hanging="108"/>
        <w:jc w:val="left"/>
        <w:rPr>
          <w:rFonts w:ascii="Times New Roman" w:hAnsi="Times New Roman"/>
          <w:color w:val="3F3F3F"/>
          <w:sz w:val="18"/>
        </w:rPr>
      </w:pPr>
      <w:r>
        <w:rPr>
          <w:rFonts w:ascii="Times New Roman" w:hAnsi="Times New Roman"/>
          <w:color w:val="3F3F3F"/>
          <w:w w:val="105"/>
          <w:sz w:val="18"/>
        </w:rPr>
        <w:t>% of scheme</w:t>
      </w:r>
      <w:r>
        <w:rPr>
          <w:rFonts w:ascii="Times New Roman" w:hAnsi="Times New Roman"/>
          <w:color w:val="3F3F3F"/>
          <w:spacing w:val="2"/>
          <w:w w:val="105"/>
          <w:sz w:val="18"/>
        </w:rPr>
        <w:t> </w:t>
      </w:r>
      <w:r>
        <w:rPr>
          <w:rFonts w:ascii="Times New Roman" w:hAnsi="Times New Roman"/>
          <w:color w:val="3F3F3F"/>
          <w:w w:val="105"/>
          <w:sz w:val="18"/>
        </w:rPr>
        <w:t>assets</w:t>
      </w:r>
    </w:p>
    <w:p>
      <w:pPr>
        <w:pStyle w:val="BodyText"/>
        <w:spacing w:before="5"/>
        <w:ind w:left="1778"/>
        <w:rPr>
          <w:rFonts w:ascii="Times New Roman"/>
        </w:rPr>
      </w:pPr>
      <w:r>
        <w:rPr>
          <w:rFonts w:ascii="Times New Roman"/>
          <w:color w:val="3F3F3F"/>
          <w:w w:val="110"/>
        </w:rPr>
        <w:t>Experience</w:t>
      </w:r>
      <w:r>
        <w:rPr>
          <w:rFonts w:ascii="Times New Roman"/>
          <w:color w:val="3F3F3F"/>
          <w:spacing w:val="-24"/>
          <w:w w:val="110"/>
        </w:rPr>
        <w:t> </w:t>
      </w:r>
      <w:r>
        <w:rPr>
          <w:rFonts w:ascii="Times New Roman"/>
          <w:color w:val="3F3F3F"/>
          <w:w w:val="110"/>
        </w:rPr>
        <w:t>gains</w:t>
      </w:r>
      <w:r>
        <w:rPr>
          <w:rFonts w:ascii="Times New Roman"/>
          <w:color w:val="3F3F3F"/>
          <w:spacing w:val="-32"/>
          <w:w w:val="110"/>
        </w:rPr>
        <w:t> </w:t>
      </w:r>
      <w:r>
        <w:rPr>
          <w:rFonts w:ascii="Times New Roman"/>
          <w:color w:val="3F3F3F"/>
          <w:w w:val="110"/>
        </w:rPr>
        <w:t>and</w:t>
      </w:r>
      <w:r>
        <w:rPr>
          <w:rFonts w:ascii="Times New Roman"/>
          <w:color w:val="3F3F3F"/>
          <w:spacing w:val="-27"/>
          <w:w w:val="110"/>
        </w:rPr>
        <w:t> </w:t>
      </w:r>
      <w:r>
        <w:rPr>
          <w:rFonts w:ascii="Times New Roman"/>
          <w:color w:val="2B2B2B"/>
          <w:w w:val="110"/>
        </w:rPr>
        <w:t>losses</w:t>
      </w:r>
      <w:r>
        <w:rPr>
          <w:rFonts w:ascii="Times New Roman"/>
          <w:color w:val="2B2B2B"/>
          <w:spacing w:val="-35"/>
          <w:w w:val="110"/>
        </w:rPr>
        <w:t> </w:t>
      </w:r>
      <w:r>
        <w:rPr>
          <w:rFonts w:ascii="Times New Roman"/>
          <w:color w:val="3F3F3F"/>
          <w:w w:val="110"/>
        </w:rPr>
        <w:t>on</w:t>
      </w:r>
      <w:r>
        <w:rPr>
          <w:rFonts w:ascii="Times New Roman"/>
          <w:color w:val="3F3F3F"/>
          <w:spacing w:val="-24"/>
          <w:w w:val="110"/>
        </w:rPr>
        <w:t> </w:t>
      </w:r>
      <w:r>
        <w:rPr>
          <w:rFonts w:ascii="Times New Roman"/>
          <w:color w:val="3F3F3F"/>
          <w:w w:val="110"/>
        </w:rPr>
        <w:t>scheme</w:t>
      </w:r>
      <w:r>
        <w:rPr>
          <w:rFonts w:ascii="Times New Roman"/>
          <w:color w:val="3F3F3F"/>
          <w:spacing w:val="-35"/>
          <w:w w:val="110"/>
        </w:rPr>
        <w:t> </w:t>
      </w:r>
      <w:r>
        <w:rPr>
          <w:rFonts w:ascii="Times New Roman"/>
          <w:color w:val="2B2B2B"/>
          <w:spacing w:val="-5"/>
          <w:w w:val="110"/>
        </w:rPr>
        <w:t>liabilit</w:t>
      </w:r>
      <w:r>
        <w:rPr>
          <w:rFonts w:ascii="Times New Roman"/>
          <w:color w:val="5E5E5E"/>
          <w:spacing w:val="-5"/>
          <w:w w:val="110"/>
        </w:rPr>
        <w:t>i</w:t>
      </w:r>
      <w:r>
        <w:rPr>
          <w:rFonts w:ascii="Times New Roman"/>
          <w:color w:val="5E5E5E"/>
          <w:spacing w:val="-37"/>
          <w:w w:val="110"/>
        </w:rPr>
        <w:t> </w:t>
      </w:r>
      <w:r>
        <w:rPr>
          <w:rFonts w:ascii="Times New Roman"/>
          <w:color w:val="3F3F3F"/>
          <w:w w:val="110"/>
        </w:rPr>
        <w:t>es</w:t>
      </w:r>
    </w:p>
    <w:p>
      <w:pPr>
        <w:pStyle w:val="BodyText"/>
        <w:tabs>
          <w:tab w:pos="2658" w:val="left" w:leader="none"/>
        </w:tabs>
        <w:spacing w:before="21"/>
        <w:ind w:left="1413"/>
        <w:rPr>
          <w:rFonts w:ascii="Times New Roman"/>
        </w:rPr>
      </w:pPr>
      <w:r>
        <w:rPr/>
        <w:br w:type="column"/>
      </w:r>
      <w:r>
        <w:rPr>
          <w:rFonts w:ascii="Times New Roman"/>
          <w:color w:val="3F3F3F"/>
          <w:spacing w:val="-5"/>
          <w:w w:val="100"/>
          <w:u w:val="single" w:color="000000"/>
        </w:rPr>
        <w:t> </w:t>
      </w:r>
      <w:r>
        <w:rPr>
          <w:rFonts w:ascii="Times New Roman"/>
          <w:color w:val="3F3F3F"/>
          <w:w w:val="105"/>
          <w:u w:val="single" w:color="000000"/>
        </w:rPr>
        <w:t>(1,940)</w:t>
        <w:tab/>
        <w:t>(5,287)</w:t>
      </w:r>
    </w:p>
    <w:p>
      <w:pPr>
        <w:pStyle w:val="BodyText"/>
        <w:tabs>
          <w:tab w:pos="2658" w:val="left" w:leader="none"/>
        </w:tabs>
        <w:spacing w:before="24"/>
        <w:ind w:left="1413"/>
        <w:rPr>
          <w:rFonts w:ascii="Times New Roman"/>
        </w:rPr>
      </w:pPr>
      <w:r>
        <w:rPr>
          <w:rFonts w:ascii="Times New Roman"/>
          <w:color w:val="3F3F3F"/>
          <w:spacing w:val="-5"/>
          <w:w w:val="100"/>
          <w:u w:val="single" w:color="000000"/>
        </w:rPr>
        <w:t> </w:t>
      </w:r>
      <w:r>
        <w:rPr>
          <w:rFonts w:ascii="Times New Roman"/>
          <w:color w:val="3F3F3F"/>
          <w:w w:val="105"/>
          <w:u w:val="single" w:color="000000"/>
        </w:rPr>
        <w:t>(1,382)</w:t>
        <w:tab/>
        <w:t>(2,256)</w:t>
      </w:r>
    </w:p>
    <w:p>
      <w:pPr>
        <w:pStyle w:val="BodyText"/>
        <w:rPr>
          <w:rFonts w:ascii="Times New Roman"/>
          <w:sz w:val="20"/>
        </w:rPr>
      </w:pPr>
    </w:p>
    <w:p>
      <w:pPr>
        <w:pStyle w:val="BodyText"/>
        <w:spacing w:before="5"/>
        <w:rPr>
          <w:rFonts w:ascii="Times New Roman"/>
          <w:sz w:val="21"/>
        </w:rPr>
      </w:pPr>
    </w:p>
    <w:p>
      <w:pPr>
        <w:tabs>
          <w:tab w:pos="2449" w:val="left" w:leader="none"/>
        </w:tabs>
        <w:spacing w:before="0"/>
        <w:ind w:left="918" w:right="0" w:firstLine="0"/>
        <w:jc w:val="left"/>
        <w:rPr>
          <w:rFonts w:ascii="Times New Roman"/>
          <w:b/>
          <w:sz w:val="18"/>
        </w:rPr>
      </w:pPr>
      <w:r>
        <w:rPr>
          <w:rFonts w:ascii="Times New Roman"/>
          <w:b/>
          <w:color w:val="2B2B2B"/>
          <w:w w:val="110"/>
          <w:position w:val="1"/>
          <w:sz w:val="18"/>
        </w:rPr>
        <w:t>2006</w:t>
        <w:tab/>
      </w:r>
      <w:r>
        <w:rPr>
          <w:rFonts w:ascii="Times New Roman"/>
          <w:b/>
          <w:color w:val="181818"/>
          <w:w w:val="110"/>
          <w:sz w:val="18"/>
        </w:rPr>
        <w:t>2005</w:t>
      </w:r>
    </w:p>
    <w:p>
      <w:pPr>
        <w:tabs>
          <w:tab w:pos="2421" w:val="left" w:leader="none"/>
        </w:tabs>
        <w:spacing w:before="4"/>
        <w:ind w:left="880" w:right="0" w:firstLine="0"/>
        <w:jc w:val="left"/>
        <w:rPr>
          <w:rFonts w:ascii="Times New Roman" w:hAnsi="Times New Roman"/>
          <w:b/>
          <w:sz w:val="18"/>
        </w:rPr>
      </w:pPr>
      <w:r>
        <w:rPr>
          <w:rFonts w:ascii="Times New Roman" w:hAnsi="Times New Roman"/>
          <w:b/>
          <w:color w:val="2B2B2B"/>
          <w:w w:val="110"/>
          <w:sz w:val="18"/>
        </w:rPr>
        <w:t>£'000</w:t>
        <w:tab/>
        <w:t>£'000</w:t>
      </w:r>
    </w:p>
    <w:p>
      <w:pPr>
        <w:pStyle w:val="BodyText"/>
        <w:spacing w:before="6"/>
        <w:rPr>
          <w:rFonts w:ascii="Times New Roman"/>
          <w:b/>
          <w:sz w:val="20"/>
        </w:rPr>
      </w:pPr>
    </w:p>
    <w:p>
      <w:pPr>
        <w:pStyle w:val="BodyText"/>
        <w:tabs>
          <w:tab w:pos="2421" w:val="left" w:leader="none"/>
        </w:tabs>
        <w:ind w:left="953"/>
        <w:rPr>
          <w:rFonts w:ascii="Times New Roman"/>
        </w:rPr>
      </w:pPr>
      <w:r>
        <w:rPr>
          <w:rFonts w:ascii="Times New Roman"/>
          <w:color w:val="3F3F3F"/>
          <w:w w:val="110"/>
        </w:rPr>
        <w:t>698</w:t>
        <w:tab/>
      </w:r>
      <w:r>
        <w:rPr>
          <w:rFonts w:ascii="Times New Roman"/>
          <w:color w:val="2B2B2B"/>
          <w:w w:val="110"/>
        </w:rPr>
        <w:t>4</w:t>
      </w:r>
      <w:r>
        <w:rPr>
          <w:rFonts w:ascii="Times New Roman"/>
          <w:color w:val="5E5E5E"/>
          <w:w w:val="110"/>
        </w:rPr>
        <w:t>,</w:t>
      </w:r>
      <w:r>
        <w:rPr>
          <w:rFonts w:ascii="Times New Roman"/>
          <w:color w:val="2B2B2B"/>
          <w:w w:val="110"/>
        </w:rPr>
        <w:t>162</w:t>
      </w:r>
    </w:p>
    <w:p>
      <w:pPr>
        <w:pStyle w:val="BodyText"/>
        <w:tabs>
          <w:tab w:pos="2444" w:val="left" w:leader="none"/>
        </w:tabs>
        <w:spacing w:before="14"/>
        <w:ind w:left="906"/>
        <w:rPr>
          <w:rFonts w:ascii="Times New Roman"/>
        </w:rPr>
      </w:pPr>
      <w:r>
        <w:rPr>
          <w:rFonts w:ascii="Times New Roman"/>
          <w:color w:val="3F3F3F"/>
          <w:w w:val="110"/>
        </w:rPr>
        <w:t>0</w:t>
      </w:r>
      <w:r>
        <w:rPr>
          <w:rFonts w:ascii="Times New Roman"/>
          <w:color w:val="181818"/>
          <w:w w:val="110"/>
        </w:rPr>
        <w:t>.</w:t>
      </w:r>
      <w:r>
        <w:rPr>
          <w:rFonts w:ascii="Times New Roman"/>
          <w:color w:val="3F3F3F"/>
          <w:w w:val="110"/>
        </w:rPr>
        <w:t>9%</w:t>
        <w:tab/>
      </w:r>
      <w:r>
        <w:rPr>
          <w:rFonts w:ascii="Times New Roman"/>
          <w:color w:val="2B2B2B"/>
          <w:w w:val="110"/>
        </w:rPr>
        <w:t>5.8%</w:t>
      </w:r>
    </w:p>
    <w:p>
      <w:pPr>
        <w:spacing w:after="0"/>
        <w:rPr>
          <w:rFonts w:ascii="Times New Roman"/>
        </w:rPr>
        <w:sectPr>
          <w:type w:val="continuous"/>
          <w:pgSz w:w="10950" w:h="15880"/>
          <w:pgMar w:top="680" w:bottom="280" w:left="500" w:right="0"/>
          <w:cols w:num="2" w:equalWidth="0">
            <w:col w:w="6637" w:space="40"/>
            <w:col w:w="3773"/>
          </w:cols>
        </w:sectPr>
      </w:pPr>
    </w:p>
    <w:p>
      <w:pPr>
        <w:pStyle w:val="BodyText"/>
        <w:spacing w:before="8"/>
        <w:rPr>
          <w:rFonts w:ascii="Times New Roman"/>
          <w:sz w:val="2"/>
        </w:rPr>
      </w:pPr>
    </w:p>
    <w:tbl>
      <w:tblPr>
        <w:tblW w:w="0" w:type="auto"/>
        <w:jc w:val="left"/>
        <w:tblInd w:w="1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3"/>
        <w:gridCol w:w="2322"/>
        <w:gridCol w:w="1109"/>
      </w:tblGrid>
      <w:tr>
        <w:trPr>
          <w:trHeight w:val="210" w:hRule="atLeast"/>
        </w:trPr>
        <w:tc>
          <w:tcPr>
            <w:tcW w:w="4453" w:type="dxa"/>
          </w:tcPr>
          <w:p>
            <w:pPr>
              <w:pStyle w:val="TableParagraph"/>
              <w:spacing w:line="191" w:lineRule="exact"/>
              <w:ind w:left="94"/>
              <w:rPr>
                <w:sz w:val="18"/>
              </w:rPr>
            </w:pPr>
            <w:r>
              <w:rPr>
                <w:color w:val="181818"/>
                <w:w w:val="105"/>
                <w:sz w:val="18"/>
              </w:rPr>
              <w:t>- </w:t>
            </w:r>
            <w:r>
              <w:rPr>
                <w:color w:val="3F3F3F"/>
                <w:w w:val="105"/>
                <w:sz w:val="18"/>
              </w:rPr>
              <w:t>amount</w:t>
            </w:r>
          </w:p>
        </w:tc>
        <w:tc>
          <w:tcPr>
            <w:tcW w:w="2322" w:type="dxa"/>
          </w:tcPr>
          <w:p>
            <w:pPr>
              <w:pStyle w:val="TableParagraph"/>
              <w:spacing w:line="191" w:lineRule="exact"/>
              <w:ind w:right="543"/>
              <w:jc w:val="right"/>
              <w:rPr>
                <w:sz w:val="18"/>
              </w:rPr>
            </w:pPr>
            <w:r>
              <w:rPr>
                <w:color w:val="2B2B2B"/>
                <w:w w:val="110"/>
                <w:sz w:val="18"/>
              </w:rPr>
              <w:t>(140)</w:t>
            </w:r>
          </w:p>
        </w:tc>
        <w:tc>
          <w:tcPr>
            <w:tcW w:w="1109" w:type="dxa"/>
          </w:tcPr>
          <w:p>
            <w:pPr>
              <w:pStyle w:val="TableParagraph"/>
              <w:spacing w:line="191" w:lineRule="exact"/>
              <w:ind w:right="61"/>
              <w:jc w:val="right"/>
              <w:rPr>
                <w:sz w:val="18"/>
              </w:rPr>
            </w:pPr>
            <w:r>
              <w:rPr>
                <w:color w:val="3F3F3F"/>
                <w:w w:val="110"/>
                <w:sz w:val="18"/>
              </w:rPr>
              <w:t>(1</w:t>
            </w:r>
            <w:r>
              <w:rPr>
                <w:color w:val="5E5E5E"/>
                <w:w w:val="110"/>
                <w:sz w:val="18"/>
              </w:rPr>
              <w:t>,</w:t>
            </w:r>
            <w:r>
              <w:rPr>
                <w:color w:val="3F3F3F"/>
                <w:w w:val="110"/>
                <w:sz w:val="18"/>
              </w:rPr>
              <w:t>13</w:t>
            </w:r>
            <w:r>
              <w:rPr>
                <w:color w:val="181818"/>
                <w:w w:val="110"/>
                <w:sz w:val="18"/>
              </w:rPr>
              <w:t>1</w:t>
            </w:r>
            <w:r>
              <w:rPr>
                <w:color w:val="3F3F3F"/>
                <w:w w:val="110"/>
                <w:sz w:val="18"/>
              </w:rPr>
              <w:t>)</w:t>
            </w:r>
          </w:p>
        </w:tc>
      </w:tr>
      <w:tr>
        <w:trPr>
          <w:trHeight w:val="210" w:hRule="atLeast"/>
        </w:trPr>
        <w:tc>
          <w:tcPr>
            <w:tcW w:w="4453" w:type="dxa"/>
          </w:tcPr>
          <w:p>
            <w:pPr>
              <w:pStyle w:val="TableParagraph"/>
              <w:spacing w:line="187" w:lineRule="exact" w:before="3"/>
              <w:ind w:left="94"/>
              <w:rPr>
                <w:sz w:val="18"/>
              </w:rPr>
            </w:pPr>
            <w:r>
              <w:rPr>
                <w:color w:val="2B2B2B"/>
                <w:w w:val="105"/>
                <w:sz w:val="18"/>
              </w:rPr>
              <w:t>- </w:t>
            </w:r>
            <w:r>
              <w:rPr>
                <w:color w:val="3F3F3F"/>
                <w:w w:val="105"/>
                <w:sz w:val="18"/>
              </w:rPr>
              <w:t>% of present valueof scheme liabilities</w:t>
            </w:r>
          </w:p>
        </w:tc>
        <w:tc>
          <w:tcPr>
            <w:tcW w:w="2322" w:type="dxa"/>
          </w:tcPr>
          <w:p>
            <w:pPr>
              <w:pStyle w:val="TableParagraph"/>
              <w:spacing w:line="187" w:lineRule="exact" w:before="3"/>
              <w:ind w:right="499"/>
              <w:jc w:val="right"/>
              <w:rPr>
                <w:sz w:val="18"/>
              </w:rPr>
            </w:pPr>
            <w:r>
              <w:rPr>
                <w:color w:val="3F3F3F"/>
                <w:w w:val="105"/>
                <w:sz w:val="18"/>
              </w:rPr>
              <w:t>(0.2%)</w:t>
            </w:r>
          </w:p>
        </w:tc>
        <w:tc>
          <w:tcPr>
            <w:tcW w:w="1109" w:type="dxa"/>
          </w:tcPr>
          <w:p>
            <w:pPr>
              <w:pStyle w:val="TableParagraph"/>
              <w:spacing w:line="187" w:lineRule="exact" w:before="3"/>
              <w:ind w:right="67"/>
              <w:jc w:val="right"/>
              <w:rPr>
                <w:sz w:val="18"/>
              </w:rPr>
            </w:pPr>
            <w:r>
              <w:rPr>
                <w:color w:val="3F3F3F"/>
                <w:w w:val="105"/>
                <w:sz w:val="18"/>
              </w:rPr>
              <w:t>(1.3%)</w:t>
            </w:r>
          </w:p>
        </w:tc>
      </w:tr>
      <w:tr>
        <w:trPr>
          <w:trHeight w:val="221" w:hRule="atLeast"/>
        </w:trPr>
        <w:tc>
          <w:tcPr>
            <w:tcW w:w="4453" w:type="dxa"/>
          </w:tcPr>
          <w:p>
            <w:pPr>
              <w:pStyle w:val="TableParagraph"/>
              <w:spacing w:line="187" w:lineRule="exact" w:before="14"/>
              <w:rPr>
                <w:sz w:val="18"/>
              </w:rPr>
            </w:pPr>
            <w:r>
              <w:rPr>
                <w:color w:val="3F3F3F"/>
                <w:w w:val="105"/>
                <w:sz w:val="18"/>
              </w:rPr>
              <w:t>Total amount recognised </w:t>
            </w:r>
            <w:r>
              <w:rPr>
                <w:color w:val="181818"/>
                <w:w w:val="105"/>
                <w:sz w:val="18"/>
              </w:rPr>
              <w:t>i</w:t>
            </w:r>
            <w:r>
              <w:rPr>
                <w:color w:val="3F3F3F"/>
                <w:w w:val="105"/>
                <w:sz w:val="18"/>
              </w:rPr>
              <w:t>n Funds</w:t>
            </w:r>
          </w:p>
        </w:tc>
        <w:tc>
          <w:tcPr>
            <w:tcW w:w="2322" w:type="dxa"/>
          </w:tcPr>
          <w:p>
            <w:pPr>
              <w:pStyle w:val="TableParagraph"/>
              <w:rPr>
                <w:sz w:val="14"/>
              </w:rPr>
            </w:pPr>
          </w:p>
        </w:tc>
        <w:tc>
          <w:tcPr>
            <w:tcW w:w="1109" w:type="dxa"/>
          </w:tcPr>
          <w:p>
            <w:pPr>
              <w:pStyle w:val="TableParagraph"/>
              <w:rPr>
                <w:sz w:val="14"/>
              </w:rPr>
            </w:pPr>
          </w:p>
        </w:tc>
      </w:tr>
      <w:tr>
        <w:trPr>
          <w:trHeight w:val="232" w:hRule="atLeast"/>
        </w:trPr>
        <w:tc>
          <w:tcPr>
            <w:tcW w:w="4453" w:type="dxa"/>
          </w:tcPr>
          <w:p>
            <w:pPr>
              <w:pStyle w:val="TableParagraph"/>
              <w:spacing w:line="198" w:lineRule="exact" w:before="14"/>
              <w:ind w:left="94"/>
              <w:rPr>
                <w:sz w:val="18"/>
              </w:rPr>
            </w:pPr>
            <w:r>
              <w:rPr>
                <w:color w:val="2B2B2B"/>
                <w:w w:val="110"/>
                <w:sz w:val="18"/>
              </w:rPr>
              <w:t>- </w:t>
            </w:r>
            <w:r>
              <w:rPr>
                <w:color w:val="3F3F3F"/>
                <w:w w:val="110"/>
                <w:sz w:val="18"/>
              </w:rPr>
              <w:t>amount</w:t>
            </w:r>
          </w:p>
        </w:tc>
        <w:tc>
          <w:tcPr>
            <w:tcW w:w="2322" w:type="dxa"/>
          </w:tcPr>
          <w:p>
            <w:pPr>
              <w:pStyle w:val="TableParagraph"/>
              <w:spacing w:line="198" w:lineRule="exact" w:before="14"/>
              <w:ind w:right="480"/>
              <w:jc w:val="right"/>
              <w:rPr>
                <w:sz w:val="18"/>
              </w:rPr>
            </w:pPr>
            <w:r>
              <w:rPr>
                <w:color w:val="3F3F3F"/>
                <w:w w:val="105"/>
                <w:sz w:val="18"/>
              </w:rPr>
              <w:t>(1,382)</w:t>
            </w:r>
          </w:p>
        </w:tc>
        <w:tc>
          <w:tcPr>
            <w:tcW w:w="1109" w:type="dxa"/>
          </w:tcPr>
          <w:p>
            <w:pPr>
              <w:pStyle w:val="TableParagraph"/>
              <w:spacing w:line="198" w:lineRule="exact" w:before="14"/>
              <w:ind w:right="46"/>
              <w:jc w:val="right"/>
              <w:rPr>
                <w:sz w:val="18"/>
              </w:rPr>
            </w:pPr>
            <w:r>
              <w:rPr>
                <w:color w:val="5E5E5E"/>
                <w:w w:val="105"/>
                <w:sz w:val="18"/>
              </w:rPr>
              <w:t>(</w:t>
            </w:r>
            <w:r>
              <w:rPr>
                <w:color w:val="3F3F3F"/>
                <w:w w:val="105"/>
                <w:sz w:val="18"/>
              </w:rPr>
              <w:t>2</w:t>
            </w:r>
            <w:r>
              <w:rPr>
                <w:color w:val="5E5E5E"/>
                <w:w w:val="105"/>
                <w:sz w:val="18"/>
              </w:rPr>
              <w:t>,</w:t>
            </w:r>
            <w:r>
              <w:rPr>
                <w:color w:val="3F3F3F"/>
                <w:w w:val="105"/>
                <w:sz w:val="18"/>
              </w:rPr>
              <w:t>256)</w:t>
            </w:r>
          </w:p>
        </w:tc>
      </w:tr>
      <w:tr>
        <w:trPr>
          <w:trHeight w:val="210" w:hRule="atLeast"/>
        </w:trPr>
        <w:tc>
          <w:tcPr>
            <w:tcW w:w="4453" w:type="dxa"/>
          </w:tcPr>
          <w:p>
            <w:pPr>
              <w:pStyle w:val="TableParagraph"/>
              <w:spacing w:line="187" w:lineRule="exact" w:before="3"/>
              <w:ind w:left="94"/>
              <w:rPr>
                <w:sz w:val="18"/>
              </w:rPr>
            </w:pPr>
            <w:r>
              <w:rPr>
                <w:color w:val="2B2B2B"/>
                <w:w w:val="105"/>
                <w:sz w:val="18"/>
              </w:rPr>
              <w:t>- </w:t>
            </w:r>
            <w:r>
              <w:rPr>
                <w:color w:val="3F3F3F"/>
                <w:w w:val="105"/>
                <w:sz w:val="18"/>
              </w:rPr>
              <w:t>% of scheme liabilities</w:t>
            </w:r>
          </w:p>
        </w:tc>
        <w:tc>
          <w:tcPr>
            <w:tcW w:w="2322" w:type="dxa"/>
          </w:tcPr>
          <w:p>
            <w:pPr>
              <w:pStyle w:val="TableParagraph"/>
              <w:spacing w:line="187" w:lineRule="exact" w:before="3"/>
              <w:ind w:right="499"/>
              <w:jc w:val="right"/>
              <w:rPr>
                <w:sz w:val="18"/>
              </w:rPr>
            </w:pPr>
            <w:r>
              <w:rPr>
                <w:color w:val="3F3F3F"/>
                <w:w w:val="105"/>
                <w:sz w:val="18"/>
              </w:rPr>
              <w:t>(1.5%)</w:t>
            </w:r>
          </w:p>
        </w:tc>
        <w:tc>
          <w:tcPr>
            <w:tcW w:w="1109" w:type="dxa"/>
          </w:tcPr>
          <w:p>
            <w:pPr>
              <w:pStyle w:val="TableParagraph"/>
              <w:spacing w:line="187" w:lineRule="exact" w:before="3"/>
              <w:ind w:right="67"/>
              <w:jc w:val="right"/>
              <w:rPr>
                <w:sz w:val="18"/>
              </w:rPr>
            </w:pPr>
            <w:r>
              <w:rPr>
                <w:color w:val="3F3F3F"/>
                <w:w w:val="105"/>
                <w:sz w:val="18"/>
              </w:rPr>
              <w:t>(2.6%)</w:t>
            </w:r>
          </w:p>
        </w:tc>
      </w:tr>
    </w:tbl>
    <w:p>
      <w:pPr>
        <w:pStyle w:val="BodyText"/>
        <w:rPr>
          <w:rFonts w:ascii="Times New Roman"/>
          <w:sz w:val="20"/>
        </w:rPr>
      </w:pPr>
    </w:p>
    <w:p>
      <w:pPr>
        <w:pStyle w:val="BodyText"/>
        <w:spacing w:before="8"/>
        <w:rPr>
          <w:rFonts w:ascii="Times New Roman"/>
          <w:sz w:val="19"/>
        </w:rPr>
      </w:pPr>
    </w:p>
    <w:p>
      <w:pPr>
        <w:spacing w:before="1"/>
        <w:ind w:left="1005" w:right="0" w:firstLine="0"/>
        <w:jc w:val="both"/>
        <w:rPr>
          <w:rFonts w:ascii="Times New Roman"/>
          <w:b/>
          <w:sz w:val="18"/>
        </w:rPr>
      </w:pPr>
      <w:r>
        <w:rPr>
          <w:rFonts w:ascii="Times New Roman"/>
          <w:b/>
          <w:color w:val="181818"/>
          <w:w w:val="105"/>
          <w:sz w:val="18"/>
        </w:rPr>
        <w:t>Other pen</w:t>
      </w:r>
      <w:r>
        <w:rPr>
          <w:rFonts w:ascii="Times New Roman"/>
          <w:b/>
          <w:color w:val="3F3F3F"/>
          <w:w w:val="105"/>
          <w:sz w:val="18"/>
        </w:rPr>
        <w:t>s</w:t>
      </w:r>
      <w:r>
        <w:rPr>
          <w:rFonts w:ascii="Times New Roman"/>
          <w:b/>
          <w:color w:val="181818"/>
          <w:w w:val="105"/>
          <w:sz w:val="18"/>
        </w:rPr>
        <w:t>ion obligations</w:t>
      </w:r>
    </w:p>
    <w:p>
      <w:pPr>
        <w:pStyle w:val="BodyText"/>
        <w:spacing w:line="256" w:lineRule="auto" w:before="129"/>
        <w:ind w:left="1005" w:right="901" w:hanging="5"/>
        <w:jc w:val="both"/>
        <w:rPr>
          <w:rFonts w:ascii="Times New Roman"/>
        </w:rPr>
      </w:pPr>
      <w:r>
        <w:rPr>
          <w:rFonts w:ascii="Times New Roman"/>
          <w:color w:val="3F3F3F"/>
          <w:w w:val="105"/>
        </w:rPr>
        <w:t>SORP 2005 requires that constructive obligations</w:t>
      </w:r>
      <w:r>
        <w:rPr>
          <w:rFonts w:ascii="Times New Roman"/>
          <w:color w:val="5E5E5E"/>
          <w:w w:val="105"/>
        </w:rPr>
        <w:t>, </w:t>
      </w:r>
      <w:r>
        <w:rPr>
          <w:rFonts w:ascii="Times New Roman"/>
          <w:color w:val="3F3F3F"/>
          <w:w w:val="105"/>
        </w:rPr>
        <w:t>although not legally binding, </w:t>
      </w:r>
      <w:r>
        <w:rPr>
          <w:rFonts w:ascii="Times New Roman"/>
          <w:color w:val="2B2B2B"/>
          <w:w w:val="105"/>
        </w:rPr>
        <w:t>be </w:t>
      </w:r>
      <w:r>
        <w:rPr>
          <w:rFonts w:ascii="Times New Roman"/>
          <w:color w:val="3F3F3F"/>
          <w:w w:val="105"/>
        </w:rPr>
        <w:t>recognised on a charity's balance sheet. The United Reformed Church considers that it </w:t>
      </w:r>
      <w:r>
        <w:rPr>
          <w:rFonts w:ascii="Times New Roman"/>
          <w:color w:val="2B2B2B"/>
          <w:w w:val="105"/>
        </w:rPr>
        <w:t>has </w:t>
      </w:r>
      <w:r>
        <w:rPr>
          <w:rFonts w:ascii="Times New Roman"/>
          <w:color w:val="3F3F3F"/>
          <w:w w:val="105"/>
        </w:rPr>
        <w:t>a </w:t>
      </w:r>
      <w:r>
        <w:rPr>
          <w:rFonts w:ascii="Times New Roman"/>
          <w:color w:val="181818"/>
          <w:w w:val="105"/>
        </w:rPr>
        <w:t>l</w:t>
      </w:r>
      <w:r>
        <w:rPr>
          <w:rFonts w:ascii="Times New Roman"/>
          <w:color w:val="3F3F3F"/>
          <w:w w:val="105"/>
        </w:rPr>
        <w:t>ong term constructive obligation in respec</w:t>
      </w:r>
      <w:r>
        <w:rPr>
          <w:rFonts w:ascii="Times New Roman"/>
          <w:color w:val="5E5E5E"/>
          <w:w w:val="105"/>
        </w:rPr>
        <w:t>t </w:t>
      </w:r>
      <w:r>
        <w:rPr>
          <w:rFonts w:ascii="Times New Roman"/>
          <w:color w:val="3F3F3F"/>
          <w:w w:val="105"/>
        </w:rPr>
        <w:t>of:</w:t>
      </w:r>
    </w:p>
    <w:p>
      <w:pPr>
        <w:pStyle w:val="ListParagraph"/>
        <w:numPr>
          <w:ilvl w:val="0"/>
          <w:numId w:val="221"/>
        </w:numPr>
        <w:tabs>
          <w:tab w:pos="1203" w:val="left" w:leader="none"/>
        </w:tabs>
        <w:spacing w:line="256" w:lineRule="auto" w:before="0" w:after="0"/>
        <w:ind w:left="1005" w:right="891" w:firstLine="0"/>
        <w:jc w:val="both"/>
        <w:rPr>
          <w:rFonts w:ascii="Times New Roman"/>
          <w:sz w:val="18"/>
        </w:rPr>
      </w:pPr>
      <w:r>
        <w:rPr>
          <w:rFonts w:ascii="Times New Roman"/>
          <w:color w:val="3F3F3F"/>
          <w:w w:val="105"/>
          <w:sz w:val="18"/>
        </w:rPr>
        <w:t>the pension supplements it </w:t>
      </w:r>
      <w:r>
        <w:rPr>
          <w:rFonts w:ascii="Times New Roman"/>
          <w:color w:val="2B2B2B"/>
          <w:w w:val="105"/>
          <w:sz w:val="18"/>
        </w:rPr>
        <w:t>pays </w:t>
      </w:r>
      <w:r>
        <w:rPr>
          <w:rFonts w:ascii="Times New Roman"/>
          <w:color w:val="3F3F3F"/>
          <w:w w:val="105"/>
          <w:sz w:val="18"/>
        </w:rPr>
        <w:t>to former </w:t>
      </w:r>
      <w:r>
        <w:rPr>
          <w:rFonts w:ascii="Times New Roman"/>
          <w:color w:val="2B2B2B"/>
          <w:w w:val="105"/>
          <w:sz w:val="18"/>
        </w:rPr>
        <w:t>ministers </w:t>
      </w:r>
      <w:r>
        <w:rPr>
          <w:rFonts w:ascii="Times New Roman"/>
          <w:color w:val="3F3F3F"/>
          <w:w w:val="105"/>
          <w:sz w:val="18"/>
        </w:rPr>
        <w:t>of the Congregational Church and </w:t>
      </w:r>
      <w:r>
        <w:rPr>
          <w:rFonts w:ascii="Times New Roman"/>
          <w:color w:val="2B2B2B"/>
          <w:w w:val="105"/>
          <w:sz w:val="18"/>
        </w:rPr>
        <w:t>the </w:t>
      </w:r>
      <w:r>
        <w:rPr>
          <w:rFonts w:ascii="Times New Roman"/>
          <w:color w:val="3F3F3F"/>
          <w:w w:val="105"/>
          <w:sz w:val="18"/>
        </w:rPr>
        <w:t>Churches of Christ and the </w:t>
      </w:r>
      <w:r>
        <w:rPr>
          <w:rFonts w:ascii="Times New Roman"/>
          <w:color w:val="3F3F3F"/>
          <w:spacing w:val="-5"/>
          <w:w w:val="105"/>
          <w:sz w:val="18"/>
        </w:rPr>
        <w:t>widow</w:t>
      </w:r>
      <w:r>
        <w:rPr>
          <w:rFonts w:ascii="Times New Roman"/>
          <w:color w:val="5E5E5E"/>
          <w:spacing w:val="-5"/>
          <w:w w:val="105"/>
          <w:sz w:val="18"/>
        </w:rPr>
        <w:t>/</w:t>
      </w:r>
      <w:r>
        <w:rPr>
          <w:rFonts w:ascii="Times New Roman"/>
          <w:color w:val="3F3F3F"/>
          <w:spacing w:val="-5"/>
          <w:w w:val="105"/>
          <w:sz w:val="18"/>
        </w:rPr>
        <w:t>ers </w:t>
      </w:r>
      <w:r>
        <w:rPr>
          <w:rFonts w:ascii="Times New Roman"/>
          <w:color w:val="3F3F3F"/>
          <w:w w:val="105"/>
          <w:sz w:val="18"/>
        </w:rPr>
        <w:t>of those ministers, in order to </w:t>
      </w:r>
      <w:r>
        <w:rPr>
          <w:rFonts w:ascii="Times New Roman"/>
          <w:color w:val="2B2B2B"/>
          <w:w w:val="105"/>
          <w:sz w:val="18"/>
        </w:rPr>
        <w:t>bring their </w:t>
      </w:r>
      <w:r>
        <w:rPr>
          <w:rFonts w:ascii="Times New Roman"/>
          <w:color w:val="3F3F3F"/>
          <w:w w:val="105"/>
          <w:sz w:val="18"/>
        </w:rPr>
        <w:t>pension to a level of95% of thepension tha</w:t>
      </w:r>
      <w:r>
        <w:rPr>
          <w:rFonts w:ascii="Times New Roman"/>
          <w:color w:val="5E5E5E"/>
          <w:w w:val="105"/>
          <w:sz w:val="18"/>
        </w:rPr>
        <w:t>t </w:t>
      </w:r>
      <w:r>
        <w:rPr>
          <w:rFonts w:ascii="Times New Roman"/>
          <w:color w:val="3F3F3F"/>
          <w:w w:val="105"/>
          <w:sz w:val="18"/>
        </w:rPr>
        <w:t>would have</w:t>
      </w:r>
      <w:r>
        <w:rPr>
          <w:rFonts w:ascii="Times New Roman"/>
          <w:color w:val="3F3F3F"/>
          <w:spacing w:val="-7"/>
          <w:w w:val="105"/>
          <w:sz w:val="18"/>
        </w:rPr>
        <w:t> </w:t>
      </w:r>
      <w:r>
        <w:rPr>
          <w:rFonts w:ascii="Times New Roman"/>
          <w:color w:val="3F3F3F"/>
          <w:w w:val="105"/>
          <w:sz w:val="18"/>
        </w:rPr>
        <w:t>been</w:t>
      </w:r>
      <w:r>
        <w:rPr>
          <w:rFonts w:ascii="Times New Roman"/>
          <w:color w:val="3F3F3F"/>
          <w:spacing w:val="-4"/>
          <w:w w:val="105"/>
          <w:sz w:val="18"/>
        </w:rPr>
        <w:t> </w:t>
      </w:r>
      <w:r>
        <w:rPr>
          <w:rFonts w:ascii="Times New Roman"/>
          <w:color w:val="3F3F3F"/>
          <w:w w:val="105"/>
          <w:sz w:val="18"/>
        </w:rPr>
        <w:t>paid</w:t>
      </w:r>
      <w:r>
        <w:rPr>
          <w:rFonts w:ascii="Times New Roman"/>
          <w:color w:val="3F3F3F"/>
          <w:spacing w:val="-8"/>
          <w:w w:val="105"/>
          <w:sz w:val="18"/>
        </w:rPr>
        <w:t> </w:t>
      </w:r>
      <w:r>
        <w:rPr>
          <w:rFonts w:ascii="Times New Roman"/>
          <w:color w:val="2B2B2B"/>
          <w:w w:val="105"/>
          <w:sz w:val="18"/>
        </w:rPr>
        <w:t>if</w:t>
      </w:r>
      <w:r>
        <w:rPr>
          <w:rFonts w:ascii="Times New Roman"/>
          <w:color w:val="2B2B2B"/>
          <w:spacing w:val="-7"/>
          <w:w w:val="105"/>
          <w:sz w:val="18"/>
        </w:rPr>
        <w:t> </w:t>
      </w:r>
      <w:r>
        <w:rPr>
          <w:rFonts w:ascii="Times New Roman"/>
          <w:color w:val="3F3F3F"/>
          <w:w w:val="105"/>
          <w:sz w:val="18"/>
        </w:rPr>
        <w:t>the</w:t>
      </w:r>
      <w:r>
        <w:rPr>
          <w:rFonts w:ascii="Times New Roman"/>
          <w:color w:val="3F3F3F"/>
          <w:spacing w:val="8"/>
          <w:w w:val="105"/>
          <w:sz w:val="18"/>
        </w:rPr>
        <w:t> </w:t>
      </w:r>
      <w:r>
        <w:rPr>
          <w:rFonts w:ascii="Times New Roman"/>
          <w:color w:val="2B2B2B"/>
          <w:w w:val="105"/>
          <w:sz w:val="18"/>
        </w:rPr>
        <w:t>minister's</w:t>
      </w:r>
      <w:r>
        <w:rPr>
          <w:rFonts w:ascii="Times New Roman"/>
          <w:color w:val="2B2B2B"/>
          <w:spacing w:val="-14"/>
          <w:w w:val="105"/>
          <w:sz w:val="18"/>
        </w:rPr>
        <w:t> </w:t>
      </w:r>
      <w:r>
        <w:rPr>
          <w:rFonts w:ascii="Times New Roman"/>
          <w:color w:val="3F3F3F"/>
          <w:w w:val="105"/>
          <w:sz w:val="18"/>
        </w:rPr>
        <w:t>service</w:t>
      </w:r>
      <w:r>
        <w:rPr>
          <w:rFonts w:ascii="Times New Roman"/>
          <w:color w:val="3F3F3F"/>
          <w:spacing w:val="-20"/>
          <w:w w:val="105"/>
          <w:sz w:val="18"/>
        </w:rPr>
        <w:t> </w:t>
      </w:r>
      <w:r>
        <w:rPr>
          <w:rFonts w:ascii="Times New Roman"/>
          <w:color w:val="3F3F3F"/>
          <w:w w:val="105"/>
          <w:sz w:val="18"/>
        </w:rPr>
        <w:t>had</w:t>
      </w:r>
      <w:r>
        <w:rPr>
          <w:rFonts w:ascii="Times New Roman"/>
          <w:color w:val="3F3F3F"/>
          <w:spacing w:val="8"/>
          <w:w w:val="105"/>
          <w:sz w:val="18"/>
        </w:rPr>
        <w:t> </w:t>
      </w:r>
      <w:r>
        <w:rPr>
          <w:rFonts w:ascii="Times New Roman"/>
          <w:color w:val="3F3F3F"/>
          <w:w w:val="105"/>
          <w:sz w:val="18"/>
        </w:rPr>
        <w:t>been</w:t>
      </w:r>
      <w:r>
        <w:rPr>
          <w:rFonts w:ascii="Times New Roman"/>
          <w:color w:val="3F3F3F"/>
          <w:spacing w:val="-6"/>
          <w:w w:val="105"/>
          <w:sz w:val="18"/>
        </w:rPr>
        <w:t> </w:t>
      </w:r>
      <w:r>
        <w:rPr>
          <w:rFonts w:ascii="Times New Roman"/>
          <w:color w:val="3F3F3F"/>
          <w:w w:val="105"/>
          <w:sz w:val="18"/>
        </w:rPr>
        <w:t>to</w:t>
      </w:r>
      <w:r>
        <w:rPr>
          <w:rFonts w:ascii="Times New Roman"/>
          <w:color w:val="3F3F3F"/>
          <w:spacing w:val="1"/>
          <w:w w:val="105"/>
          <w:sz w:val="18"/>
        </w:rPr>
        <w:t> </w:t>
      </w:r>
      <w:r>
        <w:rPr>
          <w:rFonts w:ascii="Times New Roman"/>
          <w:color w:val="3F3F3F"/>
          <w:w w:val="105"/>
          <w:sz w:val="18"/>
        </w:rPr>
        <w:t>the</w:t>
      </w:r>
      <w:r>
        <w:rPr>
          <w:rFonts w:ascii="Times New Roman"/>
          <w:color w:val="3F3F3F"/>
          <w:spacing w:val="9"/>
          <w:w w:val="105"/>
          <w:sz w:val="18"/>
        </w:rPr>
        <w:t> </w:t>
      </w:r>
      <w:r>
        <w:rPr>
          <w:rFonts w:ascii="Times New Roman"/>
          <w:color w:val="3F3F3F"/>
          <w:w w:val="105"/>
          <w:sz w:val="18"/>
        </w:rPr>
        <w:t>former</w:t>
      </w:r>
      <w:r>
        <w:rPr>
          <w:rFonts w:ascii="Times New Roman"/>
          <w:color w:val="3F3F3F"/>
          <w:spacing w:val="-10"/>
          <w:w w:val="105"/>
          <w:sz w:val="18"/>
        </w:rPr>
        <w:t> </w:t>
      </w:r>
      <w:r>
        <w:rPr>
          <w:rFonts w:ascii="Times New Roman"/>
          <w:color w:val="2B2B2B"/>
          <w:w w:val="105"/>
          <w:sz w:val="18"/>
        </w:rPr>
        <w:t>Presbyterian</w:t>
      </w:r>
      <w:r>
        <w:rPr>
          <w:rFonts w:ascii="Times New Roman"/>
          <w:color w:val="2B2B2B"/>
          <w:spacing w:val="1"/>
          <w:w w:val="105"/>
          <w:sz w:val="18"/>
        </w:rPr>
        <w:t> </w:t>
      </w:r>
      <w:r>
        <w:rPr>
          <w:rFonts w:ascii="Times New Roman"/>
          <w:color w:val="3F3F3F"/>
          <w:w w:val="105"/>
          <w:sz w:val="18"/>
        </w:rPr>
        <w:t>C</w:t>
      </w:r>
      <w:r>
        <w:rPr>
          <w:rFonts w:ascii="Times New Roman"/>
          <w:color w:val="181818"/>
          <w:w w:val="105"/>
          <w:sz w:val="18"/>
        </w:rPr>
        <w:t>hu</w:t>
      </w:r>
      <w:r>
        <w:rPr>
          <w:rFonts w:ascii="Times New Roman"/>
          <w:color w:val="3F3F3F"/>
          <w:w w:val="105"/>
          <w:sz w:val="18"/>
        </w:rPr>
        <w:t>rch,</w:t>
      </w:r>
      <w:r>
        <w:rPr>
          <w:rFonts w:ascii="Times New Roman"/>
          <w:color w:val="3F3F3F"/>
          <w:spacing w:val="-5"/>
          <w:w w:val="105"/>
          <w:sz w:val="18"/>
        </w:rPr>
        <w:t> </w:t>
      </w:r>
      <w:r>
        <w:rPr>
          <w:rFonts w:ascii="Times New Roman"/>
          <w:color w:val="3F3F3F"/>
          <w:w w:val="105"/>
          <w:sz w:val="18"/>
        </w:rPr>
        <w:t>and</w:t>
      </w:r>
    </w:p>
    <w:p>
      <w:pPr>
        <w:pStyle w:val="ListParagraph"/>
        <w:numPr>
          <w:ilvl w:val="0"/>
          <w:numId w:val="221"/>
        </w:numPr>
        <w:tabs>
          <w:tab w:pos="1208" w:val="left" w:leader="none"/>
        </w:tabs>
        <w:spacing w:line="207" w:lineRule="exact" w:before="0" w:after="0"/>
        <w:ind w:left="1207" w:right="0" w:hanging="196"/>
        <w:jc w:val="both"/>
        <w:rPr>
          <w:rFonts w:ascii="Times New Roman"/>
          <w:sz w:val="18"/>
        </w:rPr>
      </w:pPr>
      <w:r>
        <w:rPr>
          <w:rFonts w:ascii="Times New Roman"/>
          <w:color w:val="3F3F3F"/>
          <w:w w:val="105"/>
          <w:sz w:val="18"/>
        </w:rPr>
        <w:t>other pension grants, principally for ill-health early retirement until</w:t>
      </w:r>
      <w:r>
        <w:rPr>
          <w:rFonts w:ascii="Times New Roman"/>
          <w:color w:val="3F3F3F"/>
          <w:spacing w:val="-19"/>
          <w:w w:val="105"/>
          <w:sz w:val="18"/>
        </w:rPr>
        <w:t> </w:t>
      </w:r>
      <w:r>
        <w:rPr>
          <w:rFonts w:ascii="Times New Roman"/>
          <w:color w:val="3F3F3F"/>
          <w:w w:val="105"/>
          <w:sz w:val="18"/>
        </w:rPr>
        <w:t>2004.</w:t>
      </w:r>
    </w:p>
    <w:p>
      <w:pPr>
        <w:pStyle w:val="BodyText"/>
        <w:spacing w:line="256" w:lineRule="auto" w:before="14"/>
        <w:ind w:left="995" w:right="893" w:firstLine="4"/>
        <w:jc w:val="both"/>
        <w:rPr>
          <w:rFonts w:ascii="Times New Roman" w:hAnsi="Times New Roman"/>
        </w:rPr>
      </w:pPr>
      <w:r>
        <w:rPr>
          <w:rFonts w:ascii="Times New Roman" w:hAnsi="Times New Roman"/>
          <w:color w:val="3F3F3F"/>
          <w:w w:val="105"/>
        </w:rPr>
        <w:t>Ao </w:t>
      </w:r>
      <w:r>
        <w:rPr>
          <w:rFonts w:ascii="Times New Roman" w:hAnsi="Times New Roman"/>
          <w:color w:val="2B2B2B"/>
          <w:w w:val="105"/>
        </w:rPr>
        <w:t>independent </w:t>
      </w:r>
      <w:r>
        <w:rPr>
          <w:rFonts w:ascii="Times New Roman" w:hAnsi="Times New Roman"/>
          <w:color w:val="3F3F3F"/>
          <w:w w:val="105"/>
        </w:rPr>
        <w:t>actuarial assessment of the net present value of these future payments has been obtained</w:t>
      </w:r>
      <w:r>
        <w:rPr>
          <w:rFonts w:ascii="Times New Roman" w:hAnsi="Times New Roman"/>
          <w:color w:val="5E5E5E"/>
          <w:w w:val="105"/>
        </w:rPr>
        <w:t>, </w:t>
      </w:r>
      <w:r>
        <w:rPr>
          <w:rFonts w:ascii="Times New Roman" w:hAnsi="Times New Roman"/>
          <w:color w:val="3F3F3F"/>
          <w:w w:val="105"/>
        </w:rPr>
        <w:t>using the same assumptions as for the </w:t>
      </w:r>
      <w:r>
        <w:rPr>
          <w:rFonts w:ascii="Times New Roman" w:hAnsi="Times New Roman"/>
          <w:color w:val="2B2B2B"/>
          <w:w w:val="105"/>
        </w:rPr>
        <w:t>FRS </w:t>
      </w:r>
      <w:r>
        <w:rPr>
          <w:rFonts w:ascii="Times New Roman" w:hAnsi="Times New Roman"/>
          <w:color w:val="181818"/>
          <w:w w:val="105"/>
        </w:rPr>
        <w:t>I </w:t>
      </w:r>
      <w:r>
        <w:rPr>
          <w:rFonts w:ascii="Times New Roman" w:hAnsi="Times New Roman"/>
          <w:color w:val="3F3F3F"/>
          <w:w w:val="105"/>
        </w:rPr>
        <w:t>7 calculations above; </w:t>
      </w:r>
      <w:r>
        <w:rPr>
          <w:rFonts w:ascii="Times New Roman" w:hAnsi="Times New Roman"/>
          <w:color w:val="2B2B2B"/>
          <w:w w:val="105"/>
        </w:rPr>
        <w:t>this </w:t>
      </w:r>
      <w:r>
        <w:rPr>
          <w:rFonts w:ascii="Times New Roman" w:hAnsi="Times New Roman"/>
          <w:color w:val="3F3F3F"/>
          <w:w w:val="105"/>
        </w:rPr>
        <w:t>value has been deducted from the assets of the Re</w:t>
      </w:r>
      <w:r>
        <w:rPr>
          <w:rFonts w:ascii="Times New Roman" w:hAnsi="Times New Roman"/>
          <w:color w:val="181818"/>
          <w:w w:val="105"/>
        </w:rPr>
        <w:t>t</w:t>
      </w:r>
      <w:r>
        <w:rPr>
          <w:rFonts w:ascii="Times New Roman" w:hAnsi="Times New Roman"/>
          <w:color w:val="3F3F3F"/>
          <w:w w:val="105"/>
        </w:rPr>
        <w:t>ired Ministers' Fund or the Retired </w:t>
      </w:r>
      <w:r>
        <w:rPr>
          <w:rFonts w:ascii="Times New Roman" w:hAnsi="Times New Roman"/>
          <w:color w:val="2B2B2B"/>
          <w:w w:val="105"/>
        </w:rPr>
        <w:t>Ministers</w:t>
      </w:r>
      <w:r>
        <w:rPr>
          <w:rFonts w:ascii="Times New Roman" w:hAnsi="Times New Roman"/>
          <w:color w:val="5E5E5E"/>
          <w:w w:val="105"/>
        </w:rPr>
        <w:t>' </w:t>
      </w:r>
      <w:r>
        <w:rPr>
          <w:rFonts w:ascii="Times New Roman" w:hAnsi="Times New Roman"/>
          <w:color w:val="3F3F3F"/>
          <w:w w:val="105"/>
        </w:rPr>
        <w:t>Aid Fund </w:t>
      </w:r>
      <w:r>
        <w:rPr>
          <w:rFonts w:ascii="Times New Roman" w:hAnsi="Times New Roman"/>
          <w:color w:val="2B2B2B"/>
          <w:w w:val="105"/>
        </w:rPr>
        <w:t>included </w:t>
      </w:r>
      <w:r>
        <w:rPr>
          <w:rFonts w:ascii="Times New Roman" w:hAnsi="Times New Roman"/>
          <w:color w:val="3F3F3F"/>
          <w:w w:val="105"/>
        </w:rPr>
        <w:t>in </w:t>
      </w:r>
      <w:r>
        <w:rPr>
          <w:rFonts w:ascii="Times New Roman" w:hAnsi="Times New Roman"/>
          <w:color w:val="2B2B2B"/>
          <w:w w:val="105"/>
        </w:rPr>
        <w:t>the Balance </w:t>
      </w:r>
      <w:r>
        <w:rPr>
          <w:rFonts w:ascii="Times New Roman" w:hAnsi="Times New Roman"/>
          <w:color w:val="3F3F3F"/>
          <w:w w:val="105"/>
        </w:rPr>
        <w:t>Sheet. Comparative figures have been adjusted by a prior year adjustment</w:t>
      </w:r>
      <w:r>
        <w:rPr>
          <w:rFonts w:ascii="Times New Roman" w:hAnsi="Times New Roman"/>
          <w:color w:val="5E5E5E"/>
          <w:w w:val="105"/>
        </w:rPr>
        <w:t>, </w:t>
      </w:r>
      <w:r>
        <w:rPr>
          <w:rFonts w:ascii="Times New Roman" w:hAnsi="Times New Roman"/>
          <w:color w:val="3F3F3F"/>
          <w:w w:val="105"/>
        </w:rPr>
        <w:t>so that the total funds of the Church at both 3</w:t>
      </w:r>
      <w:r>
        <w:rPr>
          <w:rFonts w:ascii="Times New Roman" w:hAnsi="Times New Roman"/>
          <w:color w:val="181818"/>
          <w:w w:val="105"/>
        </w:rPr>
        <w:t>1 </w:t>
      </w:r>
      <w:r>
        <w:rPr>
          <w:rFonts w:ascii="Times New Roman" w:hAnsi="Times New Roman"/>
          <w:color w:val="3F3F3F"/>
          <w:w w:val="105"/>
        </w:rPr>
        <w:t>December 2005 and 2006 have been reduced by £4,128k.</w:t>
      </w:r>
    </w:p>
    <w:p>
      <w:pPr>
        <w:spacing w:after="0" w:line="256" w:lineRule="auto"/>
        <w:jc w:val="both"/>
        <w:rPr>
          <w:rFonts w:ascii="Times New Roman" w:hAnsi="Times New Roman"/>
        </w:rPr>
        <w:sectPr>
          <w:type w:val="continuous"/>
          <w:pgSz w:w="10950" w:h="15880"/>
          <w:pgMar w:top="680" w:bottom="280" w:left="500" w:right="0"/>
        </w:sectPr>
      </w:pPr>
    </w:p>
    <w:p>
      <w:pPr>
        <w:pStyle w:val="BodyText"/>
        <w:spacing w:before="5"/>
        <w:rPr>
          <w:rFonts w:ascii="Times New Roman"/>
          <w:sz w:val="12"/>
        </w:rPr>
      </w:pPr>
    </w:p>
    <w:p>
      <w:pPr>
        <w:spacing w:before="93"/>
        <w:ind w:left="971" w:right="0" w:firstLine="0"/>
        <w:jc w:val="both"/>
        <w:rPr>
          <w:rFonts w:ascii="Times New Roman"/>
          <w:b/>
          <w:sz w:val="18"/>
        </w:rPr>
      </w:pPr>
      <w:r>
        <w:rPr>
          <w:rFonts w:ascii="Times New Roman"/>
          <w:b/>
          <w:color w:val="3F3F3F"/>
          <w:w w:val="105"/>
          <w:sz w:val="18"/>
        </w:rPr>
        <w:t>N</w:t>
      </w:r>
      <w:r>
        <w:rPr>
          <w:rFonts w:ascii="Times New Roman"/>
          <w:b/>
          <w:color w:val="1A1A1A"/>
          <w:w w:val="105"/>
          <w:sz w:val="18"/>
        </w:rPr>
        <w:t>O</w:t>
      </w:r>
      <w:r>
        <w:rPr>
          <w:rFonts w:ascii="Times New Roman"/>
          <w:b/>
          <w:color w:val="3F3F3F"/>
          <w:w w:val="105"/>
          <w:sz w:val="18"/>
        </w:rPr>
        <w:t>TE </w:t>
      </w:r>
      <w:r>
        <w:rPr>
          <w:rFonts w:ascii="Times New Roman"/>
          <w:b/>
          <w:color w:val="2B2B2B"/>
          <w:w w:val="105"/>
          <w:sz w:val="18"/>
        </w:rPr>
        <w:t>18 </w:t>
      </w:r>
      <w:r>
        <w:rPr>
          <w:rFonts w:ascii="Times New Roman"/>
          <w:b/>
          <w:color w:val="3F3F3F"/>
          <w:w w:val="105"/>
          <w:sz w:val="18"/>
        </w:rPr>
        <w:t>THE UN</w:t>
      </w:r>
      <w:r>
        <w:rPr>
          <w:rFonts w:ascii="Times New Roman"/>
          <w:b/>
          <w:color w:val="1A1A1A"/>
          <w:w w:val="105"/>
          <w:sz w:val="18"/>
        </w:rPr>
        <w:t>IT</w:t>
      </w:r>
      <w:r>
        <w:rPr>
          <w:rFonts w:ascii="Times New Roman"/>
          <w:b/>
          <w:color w:val="3F3F3F"/>
          <w:w w:val="105"/>
          <w:sz w:val="18"/>
        </w:rPr>
        <w:t>E</w:t>
      </w:r>
      <w:r>
        <w:rPr>
          <w:rFonts w:ascii="Times New Roman"/>
          <w:b/>
          <w:color w:val="1A1A1A"/>
          <w:w w:val="105"/>
          <w:sz w:val="18"/>
        </w:rPr>
        <w:t>D </w:t>
      </w:r>
      <w:r>
        <w:rPr>
          <w:rFonts w:ascii="Times New Roman"/>
          <w:b/>
          <w:color w:val="2B2B2B"/>
          <w:w w:val="105"/>
          <w:sz w:val="18"/>
        </w:rPr>
        <w:t>REFORMED </w:t>
      </w:r>
      <w:r>
        <w:rPr>
          <w:rFonts w:ascii="Times New Roman"/>
          <w:b/>
          <w:color w:val="3F3F3F"/>
          <w:w w:val="105"/>
          <w:sz w:val="18"/>
        </w:rPr>
        <w:t>CHU</w:t>
      </w:r>
      <w:r>
        <w:rPr>
          <w:rFonts w:ascii="Times New Roman"/>
          <w:b/>
          <w:color w:val="1A1A1A"/>
          <w:w w:val="105"/>
          <w:sz w:val="18"/>
        </w:rPr>
        <w:t>R</w:t>
      </w:r>
      <w:r>
        <w:rPr>
          <w:rFonts w:ascii="Times New Roman"/>
          <w:b/>
          <w:color w:val="3F3F3F"/>
          <w:w w:val="105"/>
          <w:sz w:val="18"/>
        </w:rPr>
        <w:t>CH FlNAL SALA</w:t>
      </w:r>
      <w:r>
        <w:rPr>
          <w:rFonts w:ascii="Times New Roman"/>
          <w:b/>
          <w:color w:val="1A1A1A"/>
          <w:w w:val="105"/>
          <w:sz w:val="18"/>
        </w:rPr>
        <w:t>RY </w:t>
      </w:r>
      <w:r>
        <w:rPr>
          <w:rFonts w:ascii="Times New Roman"/>
          <w:b/>
          <w:color w:val="3F3F3F"/>
          <w:w w:val="105"/>
          <w:sz w:val="18"/>
        </w:rPr>
        <w:t>SC </w:t>
      </w:r>
      <w:r>
        <w:rPr>
          <w:rFonts w:ascii="Times New Roman"/>
          <w:b/>
          <w:color w:val="1A1A1A"/>
          <w:w w:val="105"/>
          <w:sz w:val="18"/>
        </w:rPr>
        <w:t>H</w:t>
      </w:r>
      <w:r>
        <w:rPr>
          <w:rFonts w:ascii="Times New Roman"/>
          <w:b/>
          <w:color w:val="3F3F3F"/>
          <w:w w:val="105"/>
          <w:sz w:val="18"/>
        </w:rPr>
        <w:t>EME</w:t>
      </w:r>
    </w:p>
    <w:p>
      <w:pPr>
        <w:pStyle w:val="BodyText"/>
        <w:spacing w:line="256" w:lineRule="auto" w:before="120"/>
        <w:ind w:left="970" w:right="937" w:hanging="3"/>
        <w:jc w:val="both"/>
        <w:rPr>
          <w:rFonts w:ascii="Times New Roman"/>
        </w:rPr>
      </w:pPr>
      <w:r>
        <w:rPr>
          <w:rFonts w:ascii="Times New Roman"/>
          <w:color w:val="3F3F3F"/>
          <w:w w:val="105"/>
        </w:rPr>
        <w:t>The United Reformed Church contributes to a lay staff pension scheme </w:t>
      </w:r>
      <w:r>
        <w:rPr>
          <w:rFonts w:ascii="Times New Roman"/>
          <w:color w:val="2B2B2B"/>
          <w:w w:val="105"/>
        </w:rPr>
        <w:t>known </w:t>
      </w:r>
      <w:r>
        <w:rPr>
          <w:rFonts w:ascii="Times New Roman"/>
          <w:color w:val="3F3F3F"/>
          <w:w w:val="105"/>
        </w:rPr>
        <w:t>as the "Final Salary" scheme</w:t>
      </w:r>
      <w:r>
        <w:rPr>
          <w:rFonts w:ascii="Times New Roman"/>
          <w:color w:val="5B5B5B"/>
          <w:w w:val="105"/>
        </w:rPr>
        <w:t>, </w:t>
      </w:r>
      <w:r>
        <w:rPr>
          <w:rFonts w:ascii="Times New Roman"/>
          <w:color w:val="3F3F3F"/>
          <w:w w:val="105"/>
        </w:rPr>
        <w:t>which is administered by </w:t>
      </w:r>
      <w:r>
        <w:rPr>
          <w:rFonts w:ascii="Times New Roman"/>
          <w:color w:val="2B2B2B"/>
          <w:w w:val="105"/>
        </w:rPr>
        <w:t>The </w:t>
      </w:r>
      <w:r>
        <w:rPr>
          <w:rFonts w:ascii="Times New Roman"/>
          <w:color w:val="3F3F3F"/>
          <w:w w:val="105"/>
        </w:rPr>
        <w:t>Pensions Trust. This </w:t>
      </w:r>
      <w:r>
        <w:rPr>
          <w:rFonts w:ascii="Times New Roman"/>
          <w:color w:val="2B2B2B"/>
          <w:w w:val="105"/>
        </w:rPr>
        <w:t>is </w:t>
      </w:r>
      <w:r>
        <w:rPr>
          <w:rFonts w:ascii="Times New Roman"/>
          <w:color w:val="3F3F3F"/>
          <w:w w:val="105"/>
        </w:rPr>
        <w:t>operated as a defined </w:t>
      </w:r>
      <w:r>
        <w:rPr>
          <w:rFonts w:ascii="Times New Roman"/>
          <w:color w:val="2B2B2B"/>
          <w:w w:val="105"/>
        </w:rPr>
        <w:t>benefit </w:t>
      </w:r>
      <w:r>
        <w:rPr>
          <w:rFonts w:ascii="Times New Roman"/>
          <w:color w:val="3F3F3F"/>
          <w:w w:val="105"/>
        </w:rPr>
        <w:t>scheme but the United Reformed Church is </w:t>
      </w:r>
      <w:r>
        <w:rPr>
          <w:rFonts w:ascii="Times New Roman"/>
          <w:color w:val="2B2B2B"/>
          <w:w w:val="105"/>
        </w:rPr>
        <w:t>not </w:t>
      </w:r>
      <w:r>
        <w:rPr>
          <w:rFonts w:ascii="Times New Roman"/>
          <w:color w:val="3F3F3F"/>
          <w:w w:val="105"/>
        </w:rPr>
        <w:t>the only participating employer in the scheme and is unable to identify its share of the underlying assets and </w:t>
      </w:r>
      <w:r>
        <w:rPr>
          <w:rFonts w:ascii="Times New Roman"/>
          <w:color w:val="2B2B2B"/>
          <w:w w:val="105"/>
        </w:rPr>
        <w:t>liabilities</w:t>
      </w:r>
      <w:r>
        <w:rPr>
          <w:rFonts w:ascii="Times New Roman"/>
          <w:color w:val="3F3F3F"/>
          <w:w w:val="105"/>
        </w:rPr>
        <w:t>- each </w:t>
      </w:r>
      <w:r>
        <w:rPr>
          <w:rFonts w:ascii="Times New Roman"/>
          <w:color w:val="2B2B2B"/>
          <w:w w:val="105"/>
        </w:rPr>
        <w:t>employer </w:t>
      </w:r>
      <w:r>
        <w:rPr>
          <w:rFonts w:ascii="Times New Roman"/>
          <w:color w:val="3F3F3F"/>
          <w:w w:val="105"/>
        </w:rPr>
        <w:t>in that scheme pays a </w:t>
      </w:r>
      <w:r>
        <w:rPr>
          <w:rFonts w:ascii="Times New Roman"/>
          <w:color w:val="2B2B2B"/>
          <w:w w:val="105"/>
        </w:rPr>
        <w:t>common </w:t>
      </w:r>
      <w:r>
        <w:rPr>
          <w:rFonts w:ascii="Times New Roman"/>
          <w:color w:val="3F3F3F"/>
          <w:w w:val="105"/>
        </w:rPr>
        <w:t>contribution rate</w:t>
      </w:r>
      <w:r>
        <w:rPr>
          <w:rFonts w:ascii="Times New Roman"/>
          <w:color w:val="1A1A1A"/>
          <w:w w:val="105"/>
        </w:rPr>
        <w:t>.</w:t>
      </w:r>
    </w:p>
    <w:p>
      <w:pPr>
        <w:pStyle w:val="BodyText"/>
        <w:spacing w:line="256" w:lineRule="auto" w:before="115"/>
        <w:ind w:left="967" w:right="932" w:firstLine="3"/>
        <w:jc w:val="both"/>
        <w:rPr>
          <w:rFonts w:ascii="Times New Roman" w:hAnsi="Times New Roman"/>
        </w:rPr>
      </w:pPr>
      <w:r>
        <w:rPr>
          <w:rFonts w:ascii="Times New Roman" w:hAnsi="Times New Roman"/>
          <w:color w:val="3F3F3F"/>
          <w:w w:val="105"/>
        </w:rPr>
        <w:t>During </w:t>
      </w:r>
      <w:r>
        <w:rPr>
          <w:rFonts w:ascii="Times New Roman" w:hAnsi="Times New Roman"/>
          <w:color w:val="2B2B2B"/>
          <w:w w:val="105"/>
        </w:rPr>
        <w:t>2006 </w:t>
      </w:r>
      <w:r>
        <w:rPr>
          <w:rFonts w:ascii="Times New Roman" w:hAnsi="Times New Roman"/>
          <w:color w:val="3F3F3F"/>
          <w:w w:val="105"/>
        </w:rPr>
        <w:t>the </w:t>
      </w:r>
      <w:r>
        <w:rPr>
          <w:rFonts w:ascii="Times New Roman" w:hAnsi="Times New Roman"/>
          <w:color w:val="5B5B5B"/>
          <w:w w:val="105"/>
        </w:rPr>
        <w:t>U</w:t>
      </w:r>
      <w:r>
        <w:rPr>
          <w:rFonts w:ascii="Times New Roman" w:hAnsi="Times New Roman"/>
          <w:color w:val="3F3F3F"/>
          <w:w w:val="105"/>
        </w:rPr>
        <w:t>nited </w:t>
      </w:r>
      <w:r>
        <w:rPr>
          <w:rFonts w:ascii="Times New Roman" w:hAnsi="Times New Roman"/>
          <w:color w:val="2B2B2B"/>
          <w:w w:val="105"/>
        </w:rPr>
        <w:t>Reformed </w:t>
      </w:r>
      <w:r>
        <w:rPr>
          <w:rFonts w:ascii="Times New Roman" w:hAnsi="Times New Roman"/>
          <w:color w:val="3F3F3F"/>
          <w:w w:val="105"/>
        </w:rPr>
        <w:t>Church contributed 18.5% (2005 </w:t>
      </w:r>
      <w:r>
        <w:rPr>
          <w:rFonts w:ascii="Times New Roman" w:hAnsi="Times New Roman"/>
          <w:color w:val="2B2B2B"/>
          <w:w w:val="105"/>
        </w:rPr>
        <w:t>: </w:t>
      </w:r>
      <w:r>
        <w:rPr>
          <w:rFonts w:ascii="Times New Roman" w:hAnsi="Times New Roman"/>
          <w:color w:val="3F3F3F"/>
          <w:w w:val="105"/>
        </w:rPr>
        <w:t>10%) of basic salary in respect of members of the </w:t>
      </w:r>
      <w:r>
        <w:rPr>
          <w:rFonts w:ascii="Times New Roman" w:hAnsi="Times New Roman"/>
          <w:color w:val="5B5B5B"/>
          <w:w w:val="105"/>
        </w:rPr>
        <w:t>F</w:t>
      </w:r>
      <w:r>
        <w:rPr>
          <w:rFonts w:ascii="Times New Roman" w:hAnsi="Times New Roman"/>
          <w:color w:val="3F3F3F"/>
          <w:w w:val="105"/>
        </w:rPr>
        <w:t>inal Salary </w:t>
      </w:r>
      <w:r>
        <w:rPr>
          <w:rFonts w:ascii="Times New Roman" w:hAnsi="Times New Roman"/>
          <w:color w:val="3F3F3F"/>
          <w:spacing w:val="-3"/>
          <w:w w:val="105"/>
        </w:rPr>
        <w:t>scheme</w:t>
      </w:r>
      <w:r>
        <w:rPr>
          <w:rFonts w:ascii="Times New Roman" w:hAnsi="Times New Roman"/>
          <w:color w:val="5B5B5B"/>
          <w:spacing w:val="-3"/>
          <w:w w:val="105"/>
        </w:rPr>
        <w:t>, </w:t>
      </w:r>
      <w:r>
        <w:rPr>
          <w:rFonts w:ascii="Times New Roman" w:hAnsi="Times New Roman"/>
          <w:color w:val="3F3F3F"/>
          <w:w w:val="105"/>
        </w:rPr>
        <w:t>amounting to £239k (2005: £122k). At 31 </w:t>
      </w:r>
      <w:r>
        <w:rPr>
          <w:rFonts w:ascii="Times New Roman" w:hAnsi="Times New Roman"/>
          <w:color w:val="2B2B2B"/>
          <w:w w:val="105"/>
        </w:rPr>
        <w:t>December </w:t>
      </w:r>
      <w:r>
        <w:rPr>
          <w:rFonts w:ascii="Times New Roman" w:hAnsi="Times New Roman"/>
          <w:color w:val="3F3F3F"/>
          <w:w w:val="105"/>
        </w:rPr>
        <w:t>2006 £2lk of these contributions was outstanding. Members contributed at </w:t>
      </w:r>
      <w:r>
        <w:rPr>
          <w:rFonts w:ascii="Times New Roman" w:hAnsi="Times New Roman"/>
          <w:color w:val="2B2B2B"/>
          <w:w w:val="105"/>
        </w:rPr>
        <w:t>the </w:t>
      </w:r>
      <w:r>
        <w:rPr>
          <w:rFonts w:ascii="Times New Roman" w:hAnsi="Times New Roman"/>
          <w:color w:val="3F3F3F"/>
          <w:w w:val="105"/>
        </w:rPr>
        <w:t>rate of 5% of pensionable salary throughout the accounting</w:t>
      </w:r>
      <w:r>
        <w:rPr>
          <w:rFonts w:ascii="Times New Roman" w:hAnsi="Times New Roman"/>
          <w:color w:val="3F3F3F"/>
          <w:spacing w:val="5"/>
          <w:w w:val="105"/>
        </w:rPr>
        <w:t> </w:t>
      </w:r>
      <w:r>
        <w:rPr>
          <w:rFonts w:ascii="Times New Roman" w:hAnsi="Times New Roman"/>
          <w:color w:val="2B2B2B"/>
          <w:w w:val="105"/>
        </w:rPr>
        <w:t>period</w:t>
      </w:r>
      <w:r>
        <w:rPr>
          <w:rFonts w:ascii="Times New Roman" w:hAnsi="Times New Roman"/>
          <w:w w:val="105"/>
        </w:rPr>
        <w:t>.</w:t>
      </w:r>
    </w:p>
    <w:p>
      <w:pPr>
        <w:pStyle w:val="BodyText"/>
        <w:spacing w:line="256" w:lineRule="auto" w:before="115"/>
        <w:ind w:left="958" w:right="940"/>
        <w:jc w:val="both"/>
        <w:rPr>
          <w:rFonts w:ascii="Times New Roman" w:hAnsi="Times New Roman"/>
        </w:rPr>
      </w:pPr>
      <w:r>
        <w:rPr>
          <w:rFonts w:ascii="Times New Roman" w:hAnsi="Times New Roman"/>
          <w:color w:val="3F3F3F"/>
          <w:w w:val="105"/>
        </w:rPr>
        <w:t>Triennial actuarial valuations of the </w:t>
      </w:r>
      <w:r>
        <w:rPr>
          <w:rFonts w:ascii="Times New Roman" w:hAnsi="Times New Roman"/>
          <w:color w:val="5B5B5B"/>
          <w:w w:val="105"/>
        </w:rPr>
        <w:t>F</w:t>
      </w:r>
      <w:r>
        <w:rPr>
          <w:rFonts w:ascii="Times New Roman" w:hAnsi="Times New Roman"/>
          <w:color w:val="3F3F3F"/>
          <w:w w:val="105"/>
        </w:rPr>
        <w:t>inal Salary Scheme are performed b</w:t>
      </w:r>
      <w:r>
        <w:rPr>
          <w:rFonts w:ascii="Times New Roman" w:hAnsi="Times New Roman"/>
          <w:color w:val="5B5B5B"/>
          <w:w w:val="105"/>
        </w:rPr>
        <w:t>y </w:t>
      </w:r>
      <w:r>
        <w:rPr>
          <w:rFonts w:ascii="Times New Roman" w:hAnsi="Times New Roman"/>
          <w:color w:val="3F3F3F"/>
          <w:w w:val="105"/>
        </w:rPr>
        <w:t>a professionally qualified actuary. The most </w:t>
      </w:r>
      <w:r>
        <w:rPr>
          <w:rFonts w:ascii="Times New Roman" w:hAnsi="Times New Roman"/>
          <w:color w:val="2B2B2B"/>
          <w:w w:val="105"/>
        </w:rPr>
        <w:t>recent </w:t>
      </w:r>
      <w:r>
        <w:rPr>
          <w:rFonts w:ascii="Times New Roman" w:hAnsi="Times New Roman"/>
          <w:color w:val="3F3F3F"/>
          <w:w w:val="105"/>
        </w:rPr>
        <w:t>formal actuarial review of the defined benefit pension scheme was at 30 September 2004, when the Scheme had a deficit of £538k. As a result of the actuary's </w:t>
      </w:r>
      <w:r>
        <w:rPr>
          <w:rFonts w:ascii="Times New Roman" w:hAnsi="Times New Roman"/>
          <w:color w:val="2B2B2B"/>
          <w:w w:val="105"/>
        </w:rPr>
        <w:t>recommendations, </w:t>
      </w:r>
      <w:r>
        <w:rPr>
          <w:rFonts w:ascii="Times New Roman" w:hAnsi="Times New Roman"/>
          <w:color w:val="3F3F3F"/>
          <w:w w:val="105"/>
        </w:rPr>
        <w:t>contr</w:t>
      </w:r>
      <w:r>
        <w:rPr>
          <w:rFonts w:ascii="Times New Roman" w:hAnsi="Times New Roman"/>
          <w:color w:val="1A1A1A"/>
          <w:w w:val="105"/>
        </w:rPr>
        <w:t>i</w:t>
      </w:r>
      <w:r>
        <w:rPr>
          <w:rFonts w:ascii="Times New Roman" w:hAnsi="Times New Roman"/>
          <w:color w:val="3F3F3F"/>
          <w:w w:val="105"/>
        </w:rPr>
        <w:t>butions b</w:t>
      </w:r>
      <w:r>
        <w:rPr>
          <w:rFonts w:ascii="Times New Roman" w:hAnsi="Times New Roman"/>
          <w:color w:val="5B5B5B"/>
          <w:w w:val="105"/>
        </w:rPr>
        <w:t>y </w:t>
      </w:r>
      <w:r>
        <w:rPr>
          <w:rFonts w:ascii="Times New Roman" w:hAnsi="Times New Roman"/>
          <w:color w:val="3F3F3F"/>
          <w:w w:val="105"/>
        </w:rPr>
        <w:t>the United Reformed Church were </w:t>
      </w:r>
      <w:r>
        <w:rPr>
          <w:rFonts w:ascii="Times New Roman" w:hAnsi="Times New Roman"/>
          <w:color w:val="1A1A1A"/>
          <w:w w:val="105"/>
        </w:rPr>
        <w:t>i</w:t>
      </w:r>
      <w:r>
        <w:rPr>
          <w:rFonts w:ascii="Times New Roman" w:hAnsi="Times New Roman"/>
          <w:color w:val="3F3F3F"/>
          <w:w w:val="105"/>
        </w:rPr>
        <w:t>ncreased to 18</w:t>
      </w:r>
      <w:r>
        <w:rPr>
          <w:rFonts w:ascii="Times New Roman" w:hAnsi="Times New Roman"/>
          <w:color w:val="1A1A1A"/>
          <w:w w:val="105"/>
        </w:rPr>
        <w:t>.</w:t>
      </w:r>
      <w:r>
        <w:rPr>
          <w:rFonts w:ascii="Times New Roman" w:hAnsi="Times New Roman"/>
          <w:color w:val="3F3F3F"/>
          <w:w w:val="105"/>
        </w:rPr>
        <w:t>5% of basic salary from </w:t>
      </w:r>
      <w:r>
        <w:rPr>
          <w:rFonts w:ascii="Times New Roman" w:hAnsi="Times New Roman"/>
          <w:color w:val="2B2B2B"/>
          <w:w w:val="105"/>
        </w:rPr>
        <w:t>I </w:t>
      </w:r>
      <w:r>
        <w:rPr>
          <w:rFonts w:ascii="Times New Roman" w:hAnsi="Times New Roman"/>
          <w:color w:val="3F3F3F"/>
          <w:w w:val="105"/>
        </w:rPr>
        <w:t>January 2006</w:t>
      </w:r>
      <w:r>
        <w:rPr>
          <w:rFonts w:ascii="Times New Roman" w:hAnsi="Times New Roman"/>
          <w:color w:val="1A1A1A"/>
          <w:w w:val="105"/>
        </w:rPr>
        <w:t>.</w:t>
      </w:r>
    </w:p>
    <w:p>
      <w:pPr>
        <w:pStyle w:val="BodyText"/>
        <w:spacing w:before="2"/>
        <w:rPr>
          <w:rFonts w:ascii="Times New Roman"/>
          <w:sz w:val="19"/>
        </w:rPr>
      </w:pPr>
    </w:p>
    <w:p>
      <w:pPr>
        <w:spacing w:before="0"/>
        <w:ind w:left="971" w:right="0" w:firstLine="0"/>
        <w:jc w:val="both"/>
        <w:rPr>
          <w:rFonts w:ascii="Times New Roman"/>
          <w:b/>
          <w:sz w:val="18"/>
        </w:rPr>
      </w:pPr>
      <w:bookmarkStart w:name="_TOC_250001" w:id="20"/>
      <w:r>
        <w:rPr>
          <w:rFonts w:ascii="Times New Roman"/>
          <w:b/>
          <w:color w:val="2B2B2B"/>
          <w:w w:val="110"/>
          <w:sz w:val="18"/>
        </w:rPr>
        <w:t>NOTE19 C</w:t>
      </w:r>
      <w:r>
        <w:rPr>
          <w:rFonts w:ascii="Times New Roman"/>
          <w:b/>
          <w:w w:val="110"/>
          <w:sz w:val="18"/>
        </w:rPr>
        <w:t>O</w:t>
      </w:r>
      <w:bookmarkEnd w:id="20"/>
      <w:r>
        <w:rPr>
          <w:rFonts w:ascii="Times New Roman"/>
          <w:b/>
          <w:color w:val="2B2B2B"/>
          <w:w w:val="110"/>
          <w:sz w:val="18"/>
        </w:rPr>
        <w:t>MMITMENTS</w:t>
      </w:r>
    </w:p>
    <w:p>
      <w:pPr>
        <w:pStyle w:val="BodyText"/>
        <w:spacing w:before="130"/>
        <w:ind w:left="962"/>
        <w:rPr>
          <w:rFonts w:ascii="Times New Roman" w:hAnsi="Times New Roman"/>
        </w:rPr>
      </w:pPr>
      <w:r>
        <w:rPr>
          <w:rFonts w:ascii="Times New Roman" w:hAnsi="Times New Roman"/>
          <w:color w:val="3F3F3F"/>
          <w:w w:val="105"/>
        </w:rPr>
        <w:t>At  31 December  2006 there </w:t>
      </w:r>
      <w:r>
        <w:rPr>
          <w:rFonts w:ascii="Times New Roman" w:hAnsi="Times New Roman"/>
          <w:color w:val="3F3F3F"/>
          <w:spacing w:val="-5"/>
          <w:w w:val="105"/>
        </w:rPr>
        <w:t>were</w:t>
      </w:r>
      <w:r>
        <w:rPr>
          <w:rFonts w:ascii="Times New Roman" w:hAnsi="Times New Roman"/>
          <w:color w:val="5B5B5B"/>
          <w:spacing w:val="-5"/>
          <w:w w:val="105"/>
        </w:rPr>
        <w:t>,  </w:t>
      </w:r>
      <w:r>
        <w:rPr>
          <w:rFonts w:ascii="Times New Roman" w:hAnsi="Times New Roman"/>
          <w:color w:val="3F3F3F"/>
          <w:w w:val="105"/>
        </w:rPr>
        <w:t>in  </w:t>
      </w:r>
      <w:r>
        <w:rPr>
          <w:rFonts w:ascii="Times New Roman" w:hAnsi="Times New Roman"/>
          <w:color w:val="2B2B2B"/>
          <w:w w:val="105"/>
        </w:rPr>
        <w:t>respect </w:t>
      </w:r>
      <w:r>
        <w:rPr>
          <w:rFonts w:ascii="Times New Roman" w:hAnsi="Times New Roman"/>
          <w:color w:val="3F3F3F"/>
          <w:w w:val="105"/>
        </w:rPr>
        <w:t>of  </w:t>
      </w:r>
      <w:r>
        <w:rPr>
          <w:rFonts w:ascii="Times New Roman" w:hAnsi="Times New Roman"/>
          <w:color w:val="2B2B2B"/>
          <w:w w:val="105"/>
        </w:rPr>
        <w:t>the  purchase  </w:t>
      </w:r>
      <w:r>
        <w:rPr>
          <w:rFonts w:ascii="Times New Roman" w:hAnsi="Times New Roman"/>
          <w:color w:val="3F3F3F"/>
          <w:w w:val="105"/>
        </w:rPr>
        <w:t>of  properties, </w:t>
      </w:r>
      <w:r>
        <w:rPr>
          <w:rFonts w:ascii="Times New Roman" w:hAnsi="Times New Roman"/>
          <w:color w:val="3F3F3F"/>
          <w:spacing w:val="-3"/>
          <w:w w:val="105"/>
        </w:rPr>
        <w:t>comm</w:t>
      </w:r>
      <w:r>
        <w:rPr>
          <w:rFonts w:ascii="Times New Roman" w:hAnsi="Times New Roman"/>
          <w:color w:val="1A1A1A"/>
          <w:spacing w:val="-3"/>
          <w:w w:val="105"/>
        </w:rPr>
        <w:t>i</w:t>
      </w:r>
      <w:r>
        <w:rPr>
          <w:rFonts w:ascii="Times New Roman" w:hAnsi="Times New Roman"/>
          <w:color w:val="3F3F3F"/>
          <w:spacing w:val="-3"/>
          <w:w w:val="105"/>
        </w:rPr>
        <w:t>tments  </w:t>
      </w:r>
      <w:r>
        <w:rPr>
          <w:rFonts w:ascii="Times New Roman" w:hAnsi="Times New Roman"/>
          <w:color w:val="3F3F3F"/>
          <w:w w:val="105"/>
        </w:rPr>
        <w:t>of  £2,080k</w:t>
      </w:r>
      <w:r>
        <w:rPr>
          <w:rFonts w:ascii="Times New Roman" w:hAnsi="Times New Roman"/>
          <w:color w:val="3F3F3F"/>
          <w:spacing w:val="45"/>
          <w:w w:val="105"/>
        </w:rPr>
        <w:t> </w:t>
      </w:r>
      <w:r>
        <w:rPr>
          <w:rFonts w:ascii="Times New Roman" w:hAnsi="Times New Roman"/>
          <w:color w:val="3F3F3F"/>
          <w:w w:val="105"/>
        </w:rPr>
        <w:t>(2005:</w:t>
      </w:r>
    </w:p>
    <w:p>
      <w:pPr>
        <w:pStyle w:val="BodyText"/>
        <w:spacing w:before="24"/>
        <w:ind w:left="958"/>
        <w:rPr>
          <w:rFonts w:ascii="Times New Roman" w:hAnsi="Times New Roman"/>
        </w:rPr>
      </w:pPr>
      <w:r>
        <w:rPr>
          <w:rFonts w:ascii="Times New Roman" w:hAnsi="Times New Roman"/>
          <w:color w:val="3F3F3F"/>
          <w:w w:val="105"/>
        </w:rPr>
        <w:t>£1,178k),  and  contractual  </w:t>
      </w:r>
      <w:r>
        <w:rPr>
          <w:rFonts w:ascii="Times New Roman" w:hAnsi="Times New Roman"/>
          <w:color w:val="2B2B2B"/>
          <w:w w:val="105"/>
        </w:rPr>
        <w:t>liabilities  </w:t>
      </w:r>
      <w:r>
        <w:rPr>
          <w:rFonts w:ascii="Times New Roman" w:hAnsi="Times New Roman"/>
          <w:color w:val="3F3F3F"/>
          <w:w w:val="105"/>
        </w:rPr>
        <w:t>of  £225k  (2005: </w:t>
      </w:r>
      <w:r>
        <w:rPr>
          <w:rFonts w:ascii="Times New Roman" w:hAnsi="Times New Roman"/>
          <w:color w:val="3F3F3F"/>
          <w:spacing w:val="-3"/>
          <w:w w:val="105"/>
        </w:rPr>
        <w:t>£nil)</w:t>
      </w:r>
      <w:r>
        <w:rPr>
          <w:rFonts w:ascii="Times New Roman" w:hAnsi="Times New Roman"/>
          <w:color w:val="1A1A1A"/>
          <w:spacing w:val="-3"/>
          <w:w w:val="105"/>
        </w:rPr>
        <w:t>.</w:t>
      </w:r>
      <w:r>
        <w:rPr>
          <w:rFonts w:ascii="Times New Roman" w:hAnsi="Times New Roman"/>
          <w:color w:val="1A1A1A"/>
          <w:spacing w:val="37"/>
          <w:w w:val="105"/>
        </w:rPr>
        <w:t> </w:t>
      </w:r>
      <w:r>
        <w:rPr>
          <w:rFonts w:ascii="Times New Roman" w:hAnsi="Times New Roman"/>
          <w:color w:val="2B2B2B"/>
          <w:w w:val="105"/>
        </w:rPr>
        <w:t>There </w:t>
      </w:r>
      <w:r>
        <w:rPr>
          <w:rFonts w:ascii="Times New Roman" w:hAnsi="Times New Roman"/>
          <w:color w:val="3F3F3F"/>
          <w:w w:val="105"/>
        </w:rPr>
        <w:t>were also commitments  </w:t>
      </w:r>
      <w:r>
        <w:rPr>
          <w:rFonts w:ascii="Times New Roman" w:hAnsi="Times New Roman"/>
          <w:color w:val="2B2B2B"/>
          <w:w w:val="105"/>
        </w:rPr>
        <w:t>to  </w:t>
      </w:r>
      <w:r>
        <w:rPr>
          <w:rFonts w:ascii="Times New Roman" w:hAnsi="Times New Roman"/>
          <w:color w:val="3F3F3F"/>
          <w:w w:val="105"/>
        </w:rPr>
        <w:t>make grants </w:t>
      </w:r>
      <w:r>
        <w:rPr>
          <w:rFonts w:ascii="Times New Roman" w:hAnsi="Times New Roman"/>
          <w:color w:val="2B2B2B"/>
          <w:w w:val="105"/>
        </w:rPr>
        <w:t>of</w:t>
      </w:r>
    </w:p>
    <w:p>
      <w:pPr>
        <w:pStyle w:val="BodyText"/>
        <w:spacing w:before="14"/>
        <w:ind w:left="958"/>
        <w:rPr>
          <w:rFonts w:ascii="Times New Roman" w:hAnsi="Times New Roman"/>
        </w:rPr>
      </w:pPr>
      <w:r>
        <w:rPr>
          <w:rFonts w:ascii="Times New Roman" w:hAnsi="Times New Roman"/>
          <w:color w:val="3F3F3F"/>
          <w:w w:val="110"/>
        </w:rPr>
        <w:t>£56k (2005 : £54k)</w:t>
      </w:r>
      <w:r>
        <w:rPr>
          <w:rFonts w:ascii="Times New Roman" w:hAnsi="Times New Roman"/>
          <w:color w:val="1A1A1A"/>
          <w:w w:val="110"/>
        </w:rPr>
        <w:t>.</w:t>
      </w:r>
    </w:p>
    <w:p>
      <w:pPr>
        <w:pStyle w:val="BodyText"/>
        <w:spacing w:line="264" w:lineRule="auto" w:before="130"/>
        <w:ind w:left="958" w:right="933"/>
        <w:jc w:val="both"/>
        <w:rPr>
          <w:rFonts w:ascii="Times New Roman" w:hAnsi="Times New Roman"/>
        </w:rPr>
      </w:pPr>
      <w:r>
        <w:rPr>
          <w:rFonts w:ascii="Times New Roman" w:hAnsi="Times New Roman"/>
          <w:color w:val="3F3F3F"/>
          <w:w w:val="105"/>
        </w:rPr>
        <w:t>The Church is committed</w:t>
      </w:r>
      <w:r>
        <w:rPr>
          <w:rFonts w:ascii="Times New Roman" w:hAnsi="Times New Roman"/>
          <w:color w:val="5B5B5B"/>
          <w:w w:val="105"/>
        </w:rPr>
        <w:t>, </w:t>
      </w:r>
      <w:r>
        <w:rPr>
          <w:rFonts w:ascii="Times New Roman" w:hAnsi="Times New Roman"/>
          <w:color w:val="3F3F3F"/>
          <w:w w:val="105"/>
        </w:rPr>
        <w:t>through the United Reformed Church </w:t>
      </w:r>
      <w:r>
        <w:rPr>
          <w:rFonts w:ascii="Times New Roman" w:hAnsi="Times New Roman"/>
          <w:color w:val="2B2B2B"/>
          <w:w w:val="105"/>
        </w:rPr>
        <w:t>Reti</w:t>
      </w:r>
      <w:r>
        <w:rPr>
          <w:rFonts w:ascii="Times New Roman" w:hAnsi="Times New Roman"/>
          <w:color w:val="5B5B5B"/>
          <w:w w:val="105"/>
        </w:rPr>
        <w:t>r</w:t>
      </w:r>
      <w:r>
        <w:rPr>
          <w:rFonts w:ascii="Times New Roman" w:hAnsi="Times New Roman"/>
          <w:color w:val="3F3F3F"/>
          <w:w w:val="105"/>
        </w:rPr>
        <w:t>ed Ministers</w:t>
      </w:r>
      <w:r>
        <w:rPr>
          <w:rFonts w:ascii="Times New Roman" w:hAnsi="Times New Roman"/>
          <w:color w:val="5B5B5B"/>
          <w:w w:val="105"/>
        </w:rPr>
        <w:t>' </w:t>
      </w:r>
      <w:r>
        <w:rPr>
          <w:rFonts w:ascii="Times New Roman" w:hAnsi="Times New Roman"/>
          <w:color w:val="3F3F3F"/>
          <w:w w:val="105"/>
        </w:rPr>
        <w:t>Housing Society and other earmarked funds, to providing housing for </w:t>
      </w:r>
      <w:r>
        <w:rPr>
          <w:rFonts w:ascii="Times New Roman" w:hAnsi="Times New Roman"/>
          <w:color w:val="2B2B2B"/>
          <w:w w:val="105"/>
        </w:rPr>
        <w:t>retired </w:t>
      </w:r>
      <w:r>
        <w:rPr>
          <w:rFonts w:ascii="Times New Roman" w:hAnsi="Times New Roman"/>
          <w:color w:val="3F3F3F"/>
          <w:w w:val="105"/>
        </w:rPr>
        <w:t>ministers. Owing to </w:t>
      </w:r>
      <w:r>
        <w:rPr>
          <w:rFonts w:ascii="Times New Roman" w:hAnsi="Times New Roman"/>
          <w:color w:val="2B2B2B"/>
          <w:w w:val="105"/>
        </w:rPr>
        <w:t>the </w:t>
      </w:r>
      <w:r>
        <w:rPr>
          <w:rFonts w:ascii="Times New Roman" w:hAnsi="Times New Roman"/>
          <w:color w:val="3F3F3F"/>
          <w:w w:val="105"/>
        </w:rPr>
        <w:t>many unknown variables which would be involved </w:t>
      </w:r>
      <w:r>
        <w:rPr>
          <w:rFonts w:ascii="Times New Roman" w:hAnsi="Times New Roman"/>
          <w:color w:val="2B2B2B"/>
          <w:w w:val="105"/>
        </w:rPr>
        <w:t>in </w:t>
      </w:r>
      <w:r>
        <w:rPr>
          <w:rFonts w:ascii="Times New Roman" w:hAnsi="Times New Roman"/>
          <w:color w:val="3F3F3F"/>
          <w:w w:val="105"/>
        </w:rPr>
        <w:t>ca</w:t>
      </w:r>
      <w:r>
        <w:rPr>
          <w:rFonts w:ascii="Times New Roman" w:hAnsi="Times New Roman"/>
          <w:color w:val="1A1A1A"/>
          <w:w w:val="105"/>
        </w:rPr>
        <w:t>l</w:t>
      </w:r>
      <w:r>
        <w:rPr>
          <w:rFonts w:ascii="Times New Roman" w:hAnsi="Times New Roman"/>
          <w:color w:val="3F3F3F"/>
          <w:w w:val="105"/>
        </w:rPr>
        <w:t>culating the value of this long term </w:t>
      </w:r>
      <w:r>
        <w:rPr>
          <w:rFonts w:ascii="Times New Roman" w:hAnsi="Times New Roman"/>
          <w:color w:val="2B2B2B"/>
          <w:w w:val="105"/>
        </w:rPr>
        <w:t>liability</w:t>
      </w:r>
      <w:r>
        <w:rPr>
          <w:rFonts w:ascii="Times New Roman" w:hAnsi="Times New Roman"/>
          <w:color w:val="5B5B5B"/>
          <w:w w:val="105"/>
        </w:rPr>
        <w:t>, </w:t>
      </w:r>
      <w:r>
        <w:rPr>
          <w:rFonts w:ascii="Times New Roman" w:hAnsi="Times New Roman"/>
          <w:color w:val="3F3F3F"/>
          <w:w w:val="105"/>
        </w:rPr>
        <w:t>no prov</w:t>
      </w:r>
      <w:r>
        <w:rPr>
          <w:rFonts w:ascii="Times New Roman" w:hAnsi="Times New Roman"/>
          <w:color w:val="1A1A1A"/>
          <w:w w:val="105"/>
        </w:rPr>
        <w:t>i</w:t>
      </w:r>
      <w:r>
        <w:rPr>
          <w:rFonts w:ascii="Times New Roman" w:hAnsi="Times New Roman"/>
          <w:color w:val="5B5B5B"/>
          <w:w w:val="105"/>
        </w:rPr>
        <w:t>s</w:t>
      </w:r>
      <w:r>
        <w:rPr>
          <w:rFonts w:ascii="Times New Roman" w:hAnsi="Times New Roman"/>
          <w:color w:val="2B2B2B"/>
          <w:w w:val="105"/>
        </w:rPr>
        <w:t>ion is </w:t>
      </w:r>
      <w:r>
        <w:rPr>
          <w:rFonts w:ascii="Times New Roman" w:hAnsi="Times New Roman"/>
          <w:color w:val="3F3F3F"/>
          <w:w w:val="105"/>
        </w:rPr>
        <w:t>included in the Balance Sheet. These variables include the number of ministers requiring assistance from the Society and the le</w:t>
      </w:r>
      <w:r>
        <w:rPr>
          <w:rFonts w:ascii="Times New Roman" w:hAnsi="Times New Roman"/>
          <w:color w:val="5B5B5B"/>
          <w:w w:val="105"/>
        </w:rPr>
        <w:t>v</w:t>
      </w:r>
      <w:r>
        <w:rPr>
          <w:rFonts w:ascii="Times New Roman" w:hAnsi="Times New Roman"/>
          <w:color w:val="3F3F3F"/>
          <w:w w:val="105"/>
        </w:rPr>
        <w:t>e</w:t>
      </w:r>
      <w:r>
        <w:rPr>
          <w:rFonts w:ascii="Times New Roman" w:hAnsi="Times New Roman"/>
          <w:w w:val="105"/>
        </w:rPr>
        <w:t>l </w:t>
      </w:r>
      <w:r>
        <w:rPr>
          <w:rFonts w:ascii="Times New Roman" w:hAnsi="Times New Roman"/>
          <w:color w:val="3F3F3F"/>
          <w:w w:val="105"/>
        </w:rPr>
        <w:t>of contributions able to be made by individual ministers towards the cost of </w:t>
      </w:r>
      <w:r>
        <w:rPr>
          <w:rFonts w:ascii="Times New Roman" w:hAnsi="Times New Roman"/>
          <w:color w:val="2B2B2B"/>
          <w:w w:val="105"/>
        </w:rPr>
        <w:t>their </w:t>
      </w:r>
      <w:r>
        <w:rPr>
          <w:rFonts w:ascii="Times New Roman" w:hAnsi="Times New Roman"/>
          <w:color w:val="3F3F3F"/>
          <w:w w:val="105"/>
        </w:rPr>
        <w:t>homes. </w:t>
      </w:r>
      <w:r>
        <w:rPr>
          <w:rFonts w:ascii="Times New Roman" w:hAnsi="Times New Roman"/>
          <w:color w:val="2B2B2B"/>
          <w:w w:val="105"/>
        </w:rPr>
        <w:t>During </w:t>
      </w:r>
      <w:r>
        <w:rPr>
          <w:rFonts w:ascii="Times New Roman" w:hAnsi="Times New Roman"/>
          <w:color w:val="3F3F3F"/>
          <w:w w:val="105"/>
        </w:rPr>
        <w:t>2006 </w:t>
      </w:r>
      <w:r>
        <w:rPr>
          <w:rFonts w:ascii="Times New Roman" w:hAnsi="Times New Roman"/>
          <w:color w:val="2B2B2B"/>
          <w:w w:val="105"/>
        </w:rPr>
        <w:t>£2.9 </w:t>
      </w:r>
      <w:r>
        <w:rPr>
          <w:rFonts w:ascii="Times New Roman" w:hAnsi="Times New Roman"/>
          <w:color w:val="3F3F3F"/>
          <w:w w:val="105"/>
        </w:rPr>
        <w:t>million was spent on acquiring housing for </w:t>
      </w:r>
      <w:r>
        <w:rPr>
          <w:rFonts w:ascii="Times New Roman" w:hAnsi="Times New Roman"/>
          <w:color w:val="2B2B2B"/>
          <w:w w:val="105"/>
        </w:rPr>
        <w:t>retired </w:t>
      </w:r>
      <w:r>
        <w:rPr>
          <w:rFonts w:ascii="Times New Roman" w:hAnsi="Times New Roman"/>
          <w:color w:val="3F3F3F"/>
          <w:w w:val="105"/>
        </w:rPr>
        <w:t>ministers, £397k on repairing and maintaining existing properties and profits of £1.5 mi)ljon were earned from the sale </w:t>
      </w:r>
      <w:r>
        <w:rPr>
          <w:rFonts w:ascii="Times New Roman" w:hAnsi="Times New Roman"/>
          <w:color w:val="2B2B2B"/>
          <w:w w:val="105"/>
        </w:rPr>
        <w:t>of </w:t>
      </w:r>
      <w:r>
        <w:rPr>
          <w:rFonts w:ascii="Times New Roman" w:hAnsi="Times New Roman"/>
          <w:color w:val="3F3F3F"/>
          <w:w w:val="105"/>
        </w:rPr>
        <w:t>homes no longer required. </w:t>
      </w:r>
      <w:r>
        <w:rPr>
          <w:rFonts w:ascii="Arial" w:hAnsi="Arial"/>
          <w:color w:val="3F3F3F"/>
          <w:w w:val="105"/>
          <w:sz w:val="17"/>
        </w:rPr>
        <w:t>An </w:t>
      </w:r>
      <w:r>
        <w:rPr>
          <w:rFonts w:ascii="Times New Roman" w:hAnsi="Times New Roman"/>
          <w:color w:val="3F3F3F"/>
          <w:w w:val="105"/>
        </w:rPr>
        <w:t>exercise is currently being undertaken </w:t>
      </w:r>
      <w:r>
        <w:rPr>
          <w:rFonts w:ascii="Times New Roman" w:hAnsi="Times New Roman"/>
          <w:color w:val="2B2B2B"/>
          <w:w w:val="105"/>
        </w:rPr>
        <w:t>by </w:t>
      </w:r>
      <w:r>
        <w:rPr>
          <w:rFonts w:ascii="Times New Roman" w:hAnsi="Times New Roman"/>
          <w:color w:val="3F3F3F"/>
          <w:w w:val="105"/>
        </w:rPr>
        <w:t>the </w:t>
      </w:r>
      <w:r>
        <w:rPr>
          <w:rFonts w:ascii="Times New Roman" w:hAnsi="Times New Roman"/>
          <w:color w:val="2B2B2B"/>
          <w:w w:val="105"/>
        </w:rPr>
        <w:t>Society's </w:t>
      </w:r>
      <w:r>
        <w:rPr>
          <w:rFonts w:ascii="Times New Roman" w:hAnsi="Times New Roman"/>
          <w:color w:val="3F3F3F"/>
          <w:w w:val="105"/>
        </w:rPr>
        <w:t>management committee to collect information to enable more accurate </w:t>
      </w:r>
      <w:r>
        <w:rPr>
          <w:rFonts w:ascii="Times New Roman" w:hAnsi="Times New Roman"/>
          <w:color w:val="2B2B2B"/>
          <w:w w:val="105"/>
        </w:rPr>
        <w:t>long </w:t>
      </w:r>
      <w:r>
        <w:rPr>
          <w:rFonts w:ascii="Times New Roman" w:hAnsi="Times New Roman"/>
          <w:color w:val="3F3F3F"/>
          <w:w w:val="105"/>
        </w:rPr>
        <w:t>term planning, and future cash flow </w:t>
      </w:r>
      <w:r>
        <w:rPr>
          <w:rFonts w:ascii="Times New Roman" w:hAnsi="Times New Roman"/>
          <w:color w:val="2B2B2B"/>
          <w:w w:val="105"/>
        </w:rPr>
        <w:t>is </w:t>
      </w:r>
      <w:r>
        <w:rPr>
          <w:rFonts w:ascii="Times New Roman" w:hAnsi="Times New Roman"/>
          <w:color w:val="3F3F3F"/>
          <w:w w:val="105"/>
        </w:rPr>
        <w:t>kept under continuous review.</w:t>
      </w:r>
    </w:p>
    <w:p>
      <w:pPr>
        <w:pStyle w:val="BodyText"/>
        <w:spacing w:before="106"/>
        <w:ind w:left="962"/>
        <w:jc w:val="both"/>
        <w:rPr>
          <w:rFonts w:ascii="Times New Roman"/>
        </w:rPr>
      </w:pPr>
      <w:r>
        <w:rPr>
          <w:rFonts w:ascii="Times New Roman"/>
          <w:color w:val="3F3F3F"/>
          <w:w w:val="105"/>
        </w:rPr>
        <w:t>At 3</w:t>
      </w:r>
      <w:r>
        <w:rPr>
          <w:rFonts w:ascii="Times New Roman"/>
          <w:color w:val="1A1A1A"/>
          <w:w w:val="105"/>
        </w:rPr>
        <w:t>1 </w:t>
      </w:r>
      <w:r>
        <w:rPr>
          <w:rFonts w:ascii="Times New Roman"/>
          <w:color w:val="2B2B2B"/>
          <w:w w:val="105"/>
        </w:rPr>
        <w:t>December </w:t>
      </w:r>
      <w:r>
        <w:rPr>
          <w:rFonts w:ascii="Times New Roman"/>
          <w:color w:val="3F3F3F"/>
          <w:w w:val="105"/>
        </w:rPr>
        <w:t>2006 there was an annua</w:t>
      </w:r>
      <w:r>
        <w:rPr>
          <w:rFonts w:ascii="Times New Roman"/>
          <w:color w:val="1A1A1A"/>
          <w:w w:val="105"/>
        </w:rPr>
        <w:t>l </w:t>
      </w:r>
      <w:r>
        <w:rPr>
          <w:rFonts w:ascii="Times New Roman"/>
          <w:color w:val="3F3F3F"/>
          <w:w w:val="105"/>
        </w:rPr>
        <w:t>commitment under a non</w:t>
      </w:r>
      <w:r>
        <w:rPr>
          <w:rFonts w:ascii="Times New Roman"/>
          <w:color w:val="1A1A1A"/>
          <w:w w:val="105"/>
        </w:rPr>
        <w:t>-</w:t>
      </w:r>
      <w:r>
        <w:rPr>
          <w:rFonts w:ascii="Times New Roman"/>
          <w:color w:val="3F3F3F"/>
          <w:w w:val="105"/>
        </w:rPr>
        <w:t>cancellable </w:t>
      </w:r>
      <w:r>
        <w:rPr>
          <w:rFonts w:ascii="Times New Roman"/>
          <w:color w:val="2B2B2B"/>
          <w:w w:val="105"/>
        </w:rPr>
        <w:t>lease </w:t>
      </w:r>
      <w:r>
        <w:rPr>
          <w:rFonts w:ascii="Times New Roman"/>
          <w:color w:val="3F3F3F"/>
          <w:w w:val="105"/>
        </w:rPr>
        <w:t>as follows:</w:t>
      </w:r>
    </w:p>
    <w:p>
      <w:pPr>
        <w:pStyle w:val="BodyText"/>
        <w:spacing w:before="1"/>
        <w:rPr>
          <w:rFonts w:ascii="Times New Roman"/>
          <w:sz w:val="14"/>
        </w:rPr>
      </w:pPr>
    </w:p>
    <w:p>
      <w:pPr>
        <w:spacing w:after="0"/>
        <w:rPr>
          <w:rFonts w:ascii="Times New Roman"/>
          <w:sz w:val="14"/>
        </w:rPr>
        <w:sectPr>
          <w:headerReference w:type="even" r:id="rId536"/>
          <w:headerReference w:type="default" r:id="rId537"/>
          <w:footerReference w:type="even" r:id="rId538"/>
          <w:pgSz w:w="10950" w:h="15880"/>
          <w:pgMar w:header="275" w:footer="0" w:top="780" w:bottom="280" w:left="500" w:right="0"/>
        </w:sectPr>
      </w:pPr>
    </w:p>
    <w:p>
      <w:pPr>
        <w:pStyle w:val="BodyText"/>
        <w:rPr>
          <w:rFonts w:ascii="Times New Roman"/>
          <w:sz w:val="20"/>
        </w:rPr>
      </w:pPr>
    </w:p>
    <w:p>
      <w:pPr>
        <w:pStyle w:val="BodyText"/>
        <w:spacing w:before="7"/>
        <w:rPr>
          <w:rFonts w:ascii="Times New Roman"/>
          <w:sz w:val="26"/>
        </w:rPr>
      </w:pPr>
    </w:p>
    <w:p>
      <w:pPr>
        <w:pStyle w:val="BodyText"/>
        <w:ind w:left="960"/>
        <w:rPr>
          <w:rFonts w:ascii="Times New Roman"/>
        </w:rPr>
      </w:pPr>
      <w:r>
        <w:rPr>
          <w:rFonts w:ascii="Times New Roman"/>
          <w:color w:val="2B2B2B"/>
          <w:w w:val="105"/>
        </w:rPr>
        <w:t>Expiry date:</w:t>
      </w:r>
    </w:p>
    <w:p>
      <w:pPr>
        <w:spacing w:before="93"/>
        <w:ind w:left="0" w:right="1" w:firstLine="0"/>
        <w:jc w:val="right"/>
        <w:rPr>
          <w:rFonts w:ascii="Times New Roman"/>
          <w:b/>
          <w:sz w:val="18"/>
        </w:rPr>
      </w:pPr>
      <w:r>
        <w:rPr/>
        <w:br w:type="column"/>
      </w:r>
      <w:r>
        <w:rPr>
          <w:rFonts w:ascii="Times New Roman"/>
          <w:b/>
          <w:color w:val="1A1A1A"/>
          <w:w w:val="110"/>
          <w:sz w:val="18"/>
        </w:rPr>
        <w:t>2006</w:t>
      </w:r>
    </w:p>
    <w:p>
      <w:pPr>
        <w:spacing w:before="15"/>
        <w:ind w:left="0" w:right="0" w:firstLine="0"/>
        <w:jc w:val="right"/>
        <w:rPr>
          <w:rFonts w:ascii="Times New Roman" w:hAnsi="Times New Roman"/>
          <w:b/>
          <w:sz w:val="18"/>
        </w:rPr>
      </w:pPr>
      <w:r>
        <w:rPr>
          <w:rFonts w:ascii="Times New Roman" w:hAnsi="Times New Roman"/>
          <w:b/>
          <w:color w:val="1A1A1A"/>
          <w:w w:val="110"/>
          <w:sz w:val="18"/>
        </w:rPr>
        <w:t>£'000</w:t>
      </w:r>
    </w:p>
    <w:p>
      <w:pPr>
        <w:spacing w:before="93"/>
        <w:ind w:left="630" w:right="0" w:firstLine="0"/>
        <w:jc w:val="left"/>
        <w:rPr>
          <w:rFonts w:ascii="Times New Roman"/>
          <w:b/>
          <w:sz w:val="18"/>
        </w:rPr>
      </w:pPr>
      <w:r>
        <w:rPr/>
        <w:br w:type="column"/>
      </w:r>
      <w:r>
        <w:rPr>
          <w:rFonts w:ascii="Times New Roman"/>
          <w:b/>
          <w:color w:val="1A1A1A"/>
          <w:w w:val="110"/>
          <w:sz w:val="18"/>
        </w:rPr>
        <w:t>200</w:t>
      </w:r>
      <w:r>
        <w:rPr>
          <w:rFonts w:ascii="Times New Roman"/>
          <w:b/>
          <w:color w:val="3F3F3F"/>
          <w:w w:val="110"/>
          <w:sz w:val="18"/>
        </w:rPr>
        <w:t>5</w:t>
      </w:r>
    </w:p>
    <w:p>
      <w:pPr>
        <w:spacing w:before="15"/>
        <w:ind w:left="564" w:right="0" w:firstLine="0"/>
        <w:jc w:val="left"/>
        <w:rPr>
          <w:rFonts w:ascii="Times New Roman" w:hAnsi="Times New Roman"/>
          <w:b/>
          <w:sz w:val="18"/>
        </w:rPr>
      </w:pPr>
      <w:r>
        <w:rPr>
          <w:rFonts w:ascii="Times New Roman" w:hAnsi="Times New Roman"/>
          <w:b/>
          <w:color w:val="2B2B2B"/>
          <w:w w:val="115"/>
          <w:sz w:val="18"/>
        </w:rPr>
        <w:t>£'000</w:t>
      </w:r>
    </w:p>
    <w:p>
      <w:pPr>
        <w:spacing w:after="0"/>
        <w:jc w:val="left"/>
        <w:rPr>
          <w:rFonts w:ascii="Times New Roman" w:hAnsi="Times New Roman"/>
          <w:sz w:val="18"/>
        </w:rPr>
        <w:sectPr>
          <w:type w:val="continuous"/>
          <w:pgSz w:w="10950" w:h="15880"/>
          <w:pgMar w:top="680" w:bottom="280" w:left="500" w:right="0"/>
          <w:cols w:num="3" w:equalWidth="0">
            <w:col w:w="1939" w:space="5014"/>
            <w:col w:w="1425" w:space="40"/>
            <w:col w:w="2032"/>
          </w:cols>
        </w:sectPr>
      </w:pPr>
    </w:p>
    <w:p>
      <w:pPr>
        <w:tabs>
          <w:tab w:pos="7781" w:val="left" w:leader="none"/>
          <w:tab w:pos="8266" w:val="left" w:leader="none"/>
          <w:tab w:pos="8840" w:val="left" w:leader="none"/>
          <w:tab w:pos="9335" w:val="left" w:leader="none"/>
        </w:tabs>
        <w:spacing w:before="14"/>
        <w:ind w:left="1053" w:right="0" w:firstLine="0"/>
        <w:jc w:val="left"/>
        <w:rPr>
          <w:rFonts w:ascii="Arial"/>
          <w:sz w:val="16"/>
        </w:rPr>
      </w:pPr>
      <w:r>
        <w:rPr>
          <w:rFonts w:ascii="Times New Roman"/>
          <w:color w:val="2B2B2B"/>
          <w:w w:val="110"/>
          <w:position w:val="1"/>
          <w:sz w:val="18"/>
        </w:rPr>
        <w:t>Over</w:t>
      </w:r>
      <w:r>
        <w:rPr>
          <w:rFonts w:ascii="Times New Roman"/>
          <w:color w:val="2B2B2B"/>
          <w:spacing w:val="-21"/>
          <w:w w:val="110"/>
          <w:position w:val="1"/>
          <w:sz w:val="18"/>
        </w:rPr>
        <w:t> </w:t>
      </w:r>
      <w:r>
        <w:rPr>
          <w:rFonts w:ascii="Times New Roman"/>
          <w:color w:val="3F3F3F"/>
          <w:w w:val="110"/>
          <w:position w:val="1"/>
          <w:sz w:val="18"/>
        </w:rPr>
        <w:t>five</w:t>
      </w:r>
      <w:r>
        <w:rPr>
          <w:rFonts w:ascii="Times New Roman"/>
          <w:color w:val="3F3F3F"/>
          <w:spacing w:val="-24"/>
          <w:w w:val="110"/>
          <w:position w:val="1"/>
          <w:sz w:val="18"/>
        </w:rPr>
        <w:t> </w:t>
      </w:r>
      <w:r>
        <w:rPr>
          <w:rFonts w:ascii="Times New Roman"/>
          <w:color w:val="3F3F3F"/>
          <w:w w:val="110"/>
          <w:position w:val="1"/>
          <w:sz w:val="18"/>
        </w:rPr>
        <w:t>years</w:t>
        <w:tab/>
      </w:r>
      <w:r>
        <w:rPr>
          <w:rFonts w:ascii="Times New Roman"/>
          <w:color w:val="3F3F3F"/>
          <w:w w:val="110"/>
          <w:sz w:val="18"/>
          <w:u w:val="single" w:color="000000"/>
        </w:rPr>
        <w:t> </w:t>
        <w:tab/>
      </w:r>
      <w:r>
        <w:rPr>
          <w:rFonts w:ascii="Arial"/>
          <w:color w:val="3F3F3F"/>
          <w:w w:val="110"/>
          <w:sz w:val="16"/>
          <w:u w:val="single" w:color="000000"/>
        </w:rPr>
        <w:t>6</w:t>
      </w:r>
      <w:r>
        <w:rPr>
          <w:rFonts w:ascii="Arial"/>
          <w:color w:val="3F3F3F"/>
          <w:w w:val="110"/>
          <w:sz w:val="16"/>
        </w:rPr>
        <w:tab/>
      </w:r>
      <w:r>
        <w:rPr>
          <w:rFonts w:ascii="Arial"/>
          <w:color w:val="3F3F3F"/>
          <w:w w:val="110"/>
          <w:position w:val="1"/>
          <w:sz w:val="16"/>
          <w:u w:val="single" w:color="000000"/>
        </w:rPr>
        <w:t> </w:t>
        <w:tab/>
        <w:t>6</w:t>
      </w:r>
      <w:r>
        <w:rPr>
          <w:rFonts w:ascii="Arial"/>
          <w:color w:val="3F3F3F"/>
          <w:spacing w:val="21"/>
          <w:position w:val="1"/>
          <w:sz w:val="16"/>
          <w:u w:val="single" w:color="000000"/>
        </w:rPr>
        <w:t> </w:t>
      </w:r>
    </w:p>
    <w:p>
      <w:pPr>
        <w:pStyle w:val="BodyText"/>
        <w:rPr>
          <w:rFonts w:ascii="Arial"/>
          <w:sz w:val="20"/>
        </w:rPr>
      </w:pPr>
    </w:p>
    <w:p>
      <w:pPr>
        <w:pStyle w:val="BodyText"/>
        <w:spacing w:before="5"/>
        <w:rPr>
          <w:rFonts w:ascii="Arial"/>
          <w:sz w:val="22"/>
        </w:rPr>
      </w:pPr>
    </w:p>
    <w:tbl>
      <w:tblPr>
        <w:tblW w:w="0" w:type="auto"/>
        <w:jc w:val="left"/>
        <w:tblInd w:w="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57"/>
        <w:gridCol w:w="667"/>
        <w:gridCol w:w="1583"/>
        <w:gridCol w:w="588"/>
      </w:tblGrid>
      <w:tr>
        <w:trPr>
          <w:trHeight w:val="268" w:hRule="atLeast"/>
        </w:trPr>
        <w:tc>
          <w:tcPr>
            <w:tcW w:w="5757" w:type="dxa"/>
          </w:tcPr>
          <w:p>
            <w:pPr>
              <w:pStyle w:val="TableParagraph"/>
              <w:tabs>
                <w:tab w:pos="1243" w:val="left" w:leader="none"/>
              </w:tabs>
              <w:spacing w:line="200" w:lineRule="exact"/>
              <w:ind w:left="53"/>
              <w:rPr>
                <w:b/>
                <w:sz w:val="18"/>
              </w:rPr>
            </w:pPr>
            <w:r>
              <w:rPr>
                <w:b/>
                <w:color w:val="3F3F3F"/>
                <w:spacing w:val="-8"/>
                <w:w w:val="110"/>
                <w:sz w:val="18"/>
              </w:rPr>
              <w:t>N</w:t>
            </w:r>
            <w:r>
              <w:rPr>
                <w:b/>
                <w:color w:val="1A1A1A"/>
                <w:spacing w:val="-8"/>
                <w:w w:val="110"/>
                <w:sz w:val="18"/>
              </w:rPr>
              <w:t>OT</w:t>
            </w:r>
            <w:r>
              <w:rPr>
                <w:b/>
                <w:color w:val="3F3F3F"/>
                <w:spacing w:val="-8"/>
                <w:w w:val="110"/>
                <w:sz w:val="18"/>
              </w:rPr>
              <w:t>E</w:t>
            </w:r>
            <w:r>
              <w:rPr>
                <w:b/>
                <w:color w:val="3F3F3F"/>
                <w:spacing w:val="-19"/>
                <w:w w:val="110"/>
                <w:sz w:val="18"/>
              </w:rPr>
              <w:t> </w:t>
            </w:r>
            <w:r>
              <w:rPr>
                <w:b/>
                <w:color w:val="3F3F3F"/>
                <w:spacing w:val="-4"/>
                <w:w w:val="110"/>
                <w:sz w:val="18"/>
              </w:rPr>
              <w:t>2</w:t>
            </w:r>
            <w:r>
              <w:rPr>
                <w:b/>
                <w:color w:val="1A1A1A"/>
                <w:spacing w:val="-4"/>
                <w:w w:val="110"/>
                <w:sz w:val="18"/>
              </w:rPr>
              <w:t>0</w:t>
              <w:tab/>
            </w:r>
            <w:r>
              <w:rPr>
                <w:b/>
                <w:color w:val="2B2B2B"/>
                <w:w w:val="110"/>
                <w:sz w:val="18"/>
              </w:rPr>
              <w:t>CASH FLOW</w:t>
            </w:r>
            <w:r>
              <w:rPr>
                <w:b/>
                <w:color w:val="2B2B2B"/>
                <w:spacing w:val="-23"/>
                <w:w w:val="110"/>
                <w:sz w:val="18"/>
              </w:rPr>
              <w:t> </w:t>
            </w:r>
            <w:r>
              <w:rPr>
                <w:b/>
                <w:color w:val="1A1A1A"/>
                <w:w w:val="110"/>
                <w:sz w:val="18"/>
              </w:rPr>
              <w:t>INFORMATION</w:t>
            </w:r>
          </w:p>
        </w:tc>
        <w:tc>
          <w:tcPr>
            <w:tcW w:w="2838" w:type="dxa"/>
            <w:gridSpan w:val="3"/>
            <w:vMerge w:val="restart"/>
          </w:tcPr>
          <w:p>
            <w:pPr>
              <w:pStyle w:val="TableParagraph"/>
              <w:rPr>
                <w:sz w:val="18"/>
              </w:rPr>
            </w:pPr>
          </w:p>
        </w:tc>
      </w:tr>
      <w:tr>
        <w:trPr>
          <w:trHeight w:val="283" w:hRule="atLeast"/>
        </w:trPr>
        <w:tc>
          <w:tcPr>
            <w:tcW w:w="5757" w:type="dxa"/>
          </w:tcPr>
          <w:p>
            <w:pPr>
              <w:pStyle w:val="TableParagraph"/>
              <w:tabs>
                <w:tab w:pos="755" w:val="left" w:leader="none"/>
              </w:tabs>
              <w:spacing w:line="203" w:lineRule="exact" w:before="61"/>
              <w:ind w:left="50"/>
              <w:rPr>
                <w:b/>
                <w:sz w:val="18"/>
              </w:rPr>
            </w:pPr>
            <w:r>
              <w:rPr>
                <w:color w:val="3F3F3F"/>
                <w:w w:val="105"/>
                <w:sz w:val="18"/>
              </w:rPr>
              <w:t>a)</w:t>
              <w:tab/>
            </w:r>
            <w:r>
              <w:rPr>
                <w:b/>
                <w:color w:val="1A1A1A"/>
                <w:w w:val="105"/>
                <w:sz w:val="18"/>
              </w:rPr>
              <w:t>Reconciliation of </w:t>
            </w:r>
            <w:r>
              <w:rPr>
                <w:b/>
                <w:color w:val="2B2B2B"/>
                <w:w w:val="105"/>
                <w:sz w:val="18"/>
              </w:rPr>
              <w:t>net </w:t>
            </w:r>
            <w:r>
              <w:rPr>
                <w:b/>
                <w:color w:val="1A1A1A"/>
                <w:w w:val="105"/>
                <w:sz w:val="18"/>
              </w:rPr>
              <w:t>cash flow to movement </w:t>
            </w:r>
            <w:r>
              <w:rPr>
                <w:color w:val="1A1A1A"/>
                <w:w w:val="105"/>
                <w:sz w:val="17"/>
              </w:rPr>
              <w:t>in </w:t>
            </w:r>
            <w:r>
              <w:rPr>
                <w:b/>
                <w:color w:val="1A1A1A"/>
                <w:w w:val="105"/>
                <w:sz w:val="18"/>
              </w:rPr>
              <w:t>net </w:t>
            </w:r>
            <w:r>
              <w:rPr>
                <w:b/>
                <w:color w:val="2B2B2B"/>
                <w:w w:val="105"/>
                <w:sz w:val="18"/>
              </w:rPr>
              <w:t>cash</w:t>
            </w:r>
            <w:r>
              <w:rPr>
                <w:b/>
                <w:color w:val="2B2B2B"/>
                <w:spacing w:val="-20"/>
                <w:w w:val="105"/>
                <w:sz w:val="18"/>
              </w:rPr>
              <w:t> </w:t>
            </w:r>
            <w:r>
              <w:rPr>
                <w:b/>
                <w:color w:val="1A1A1A"/>
                <w:w w:val="105"/>
                <w:sz w:val="18"/>
              </w:rPr>
              <w:t>f</w:t>
            </w:r>
            <w:r>
              <w:rPr>
                <w:b/>
                <w:w w:val="105"/>
                <w:sz w:val="18"/>
              </w:rPr>
              <w:t>u</w:t>
            </w:r>
            <w:r>
              <w:rPr>
                <w:b/>
                <w:color w:val="1A1A1A"/>
                <w:w w:val="105"/>
                <w:sz w:val="18"/>
              </w:rPr>
              <w:t>nds</w:t>
            </w:r>
          </w:p>
        </w:tc>
        <w:tc>
          <w:tcPr>
            <w:tcW w:w="2838" w:type="dxa"/>
            <w:gridSpan w:val="3"/>
            <w:vMerge/>
            <w:tcBorders>
              <w:top w:val="nil"/>
            </w:tcBorders>
          </w:tcPr>
          <w:p>
            <w:pPr>
              <w:rPr>
                <w:sz w:val="2"/>
                <w:szCs w:val="2"/>
              </w:rPr>
            </w:pPr>
          </w:p>
        </w:tc>
      </w:tr>
      <w:tr>
        <w:trPr>
          <w:trHeight w:val="226" w:hRule="atLeast"/>
        </w:trPr>
        <w:tc>
          <w:tcPr>
            <w:tcW w:w="5757" w:type="dxa"/>
          </w:tcPr>
          <w:p>
            <w:pPr>
              <w:pStyle w:val="TableParagraph"/>
              <w:rPr>
                <w:sz w:val="16"/>
              </w:rPr>
            </w:pPr>
          </w:p>
        </w:tc>
        <w:tc>
          <w:tcPr>
            <w:tcW w:w="2250" w:type="dxa"/>
            <w:gridSpan w:val="2"/>
          </w:tcPr>
          <w:p>
            <w:pPr>
              <w:pStyle w:val="TableParagraph"/>
              <w:spacing w:line="198" w:lineRule="exact" w:before="8"/>
              <w:ind w:left="1295"/>
              <w:rPr>
                <w:b/>
                <w:sz w:val="18"/>
              </w:rPr>
            </w:pPr>
            <w:r>
              <w:rPr>
                <w:b/>
                <w:color w:val="1A1A1A"/>
                <w:w w:val="110"/>
                <w:sz w:val="18"/>
              </w:rPr>
              <w:t>2006</w:t>
            </w:r>
          </w:p>
        </w:tc>
        <w:tc>
          <w:tcPr>
            <w:tcW w:w="588" w:type="dxa"/>
          </w:tcPr>
          <w:p>
            <w:pPr>
              <w:pStyle w:val="TableParagraph"/>
              <w:spacing w:line="198" w:lineRule="exact" w:before="8"/>
              <w:ind w:left="134"/>
              <w:rPr>
                <w:b/>
                <w:sz w:val="18"/>
              </w:rPr>
            </w:pPr>
            <w:r>
              <w:rPr>
                <w:b/>
                <w:color w:val="2B2B2B"/>
                <w:w w:val="110"/>
                <w:sz w:val="18"/>
              </w:rPr>
              <w:t>2005</w:t>
            </w:r>
          </w:p>
        </w:tc>
      </w:tr>
      <w:tr>
        <w:trPr>
          <w:trHeight w:val="442" w:hRule="atLeast"/>
        </w:trPr>
        <w:tc>
          <w:tcPr>
            <w:tcW w:w="5757" w:type="dxa"/>
          </w:tcPr>
          <w:p>
            <w:pPr>
              <w:pStyle w:val="TableParagraph"/>
              <w:spacing w:before="6"/>
              <w:rPr>
                <w:rFonts w:ascii="Arial"/>
                <w:sz w:val="19"/>
              </w:rPr>
            </w:pPr>
          </w:p>
          <w:p>
            <w:pPr>
              <w:pStyle w:val="TableParagraph"/>
              <w:spacing w:line="198" w:lineRule="exact"/>
              <w:ind w:left="154"/>
              <w:rPr>
                <w:sz w:val="18"/>
              </w:rPr>
            </w:pPr>
            <w:r>
              <w:rPr>
                <w:color w:val="3F3F3F"/>
                <w:w w:val="110"/>
                <w:sz w:val="18"/>
              </w:rPr>
              <w:t>(Decrease)/lncrease in cash </w:t>
            </w:r>
            <w:r>
              <w:rPr>
                <w:color w:val="2B2B2B"/>
                <w:w w:val="110"/>
                <w:sz w:val="18"/>
              </w:rPr>
              <w:t>in </w:t>
            </w:r>
            <w:r>
              <w:rPr>
                <w:color w:val="3F3F3F"/>
                <w:w w:val="110"/>
                <w:sz w:val="18"/>
              </w:rPr>
              <w:t>the period</w:t>
            </w:r>
          </w:p>
        </w:tc>
        <w:tc>
          <w:tcPr>
            <w:tcW w:w="2250" w:type="dxa"/>
            <w:gridSpan w:val="2"/>
          </w:tcPr>
          <w:p>
            <w:pPr>
              <w:pStyle w:val="TableParagraph"/>
              <w:spacing w:before="3"/>
              <w:ind w:left="1239"/>
              <w:rPr>
                <w:b/>
                <w:sz w:val="18"/>
              </w:rPr>
            </w:pPr>
            <w:r>
              <w:rPr>
                <w:b/>
                <w:color w:val="1A1A1A"/>
                <w:w w:val="110"/>
                <w:sz w:val="18"/>
              </w:rPr>
              <w:t>£'00</w:t>
            </w:r>
            <w:r>
              <w:rPr>
                <w:b/>
                <w:w w:val="110"/>
                <w:sz w:val="18"/>
              </w:rPr>
              <w:t>0</w:t>
            </w:r>
          </w:p>
          <w:p>
            <w:pPr>
              <w:pStyle w:val="TableParagraph"/>
              <w:spacing w:line="198" w:lineRule="exact" w:before="15"/>
              <w:ind w:left="1321"/>
              <w:rPr>
                <w:sz w:val="18"/>
              </w:rPr>
            </w:pPr>
            <w:r>
              <w:rPr>
                <w:color w:val="3F3F3F"/>
                <w:w w:val="110"/>
                <w:sz w:val="18"/>
              </w:rPr>
              <w:t>923</w:t>
            </w:r>
          </w:p>
        </w:tc>
        <w:tc>
          <w:tcPr>
            <w:tcW w:w="588" w:type="dxa"/>
          </w:tcPr>
          <w:p>
            <w:pPr>
              <w:pStyle w:val="TableParagraph"/>
              <w:spacing w:before="3"/>
              <w:ind w:left="77"/>
              <w:rPr>
                <w:b/>
                <w:sz w:val="18"/>
              </w:rPr>
            </w:pPr>
            <w:r>
              <w:rPr>
                <w:b/>
                <w:color w:val="1A1A1A"/>
                <w:w w:val="110"/>
                <w:sz w:val="18"/>
              </w:rPr>
              <w:t>£'0</w:t>
            </w:r>
            <w:r>
              <w:rPr>
                <w:b/>
                <w:w w:val="110"/>
                <w:sz w:val="18"/>
              </w:rPr>
              <w:t>0</w:t>
            </w:r>
            <w:r>
              <w:rPr>
                <w:b/>
                <w:color w:val="1A1A1A"/>
                <w:w w:val="110"/>
                <w:sz w:val="18"/>
              </w:rPr>
              <w:t>0</w:t>
            </w:r>
          </w:p>
          <w:p>
            <w:pPr>
              <w:pStyle w:val="TableParagraph"/>
              <w:spacing w:before="5"/>
              <w:ind w:left="34"/>
              <w:rPr>
                <w:sz w:val="18"/>
              </w:rPr>
            </w:pPr>
            <w:r>
              <w:rPr>
                <w:color w:val="2B2B2B"/>
                <w:w w:val="110"/>
                <w:sz w:val="18"/>
              </w:rPr>
              <w:t>(184)</w:t>
            </w:r>
          </w:p>
        </w:tc>
      </w:tr>
      <w:tr>
        <w:trPr>
          <w:trHeight w:val="230" w:hRule="atLeast"/>
        </w:trPr>
        <w:tc>
          <w:tcPr>
            <w:tcW w:w="5757" w:type="dxa"/>
          </w:tcPr>
          <w:p>
            <w:pPr>
              <w:pStyle w:val="TableParagraph"/>
              <w:spacing w:line="198" w:lineRule="exact" w:before="13"/>
              <w:ind w:left="155"/>
              <w:rPr>
                <w:sz w:val="18"/>
              </w:rPr>
            </w:pPr>
            <w:r>
              <w:rPr>
                <w:color w:val="3F3F3F"/>
                <w:w w:val="105"/>
                <w:sz w:val="18"/>
              </w:rPr>
              <w:t>Cash inflow from decrease in liquid resources</w:t>
            </w:r>
          </w:p>
        </w:tc>
        <w:tc>
          <w:tcPr>
            <w:tcW w:w="2250" w:type="dxa"/>
            <w:gridSpan w:val="2"/>
          </w:tcPr>
          <w:p>
            <w:pPr>
              <w:pStyle w:val="TableParagraph"/>
              <w:tabs>
                <w:tab w:pos="1196" w:val="left" w:leader="none"/>
              </w:tabs>
              <w:spacing w:line="198" w:lineRule="exact" w:before="13"/>
              <w:ind w:left="828"/>
              <w:rPr>
                <w:sz w:val="18"/>
              </w:rPr>
            </w:pPr>
            <w:r>
              <w:rPr>
                <w:color w:val="2B2B2B"/>
                <w:w w:val="100"/>
                <w:sz w:val="18"/>
                <w:u w:val="single" w:color="000000"/>
              </w:rPr>
              <w:t> </w:t>
            </w:r>
            <w:r>
              <w:rPr>
                <w:color w:val="2B2B2B"/>
                <w:sz w:val="18"/>
                <w:u w:val="single" w:color="000000"/>
              </w:rPr>
              <w:tab/>
            </w:r>
            <w:r>
              <w:rPr>
                <w:color w:val="2B2B2B"/>
                <w:w w:val="110"/>
                <w:sz w:val="18"/>
                <w:u w:val="single" w:color="000000"/>
              </w:rPr>
              <w:t>(177)</w:t>
            </w:r>
            <w:r>
              <w:rPr>
                <w:color w:val="2B2B2B"/>
                <w:spacing w:val="-19"/>
                <w:sz w:val="18"/>
                <w:u w:val="single" w:color="000000"/>
              </w:rPr>
              <w:t> </w:t>
            </w:r>
          </w:p>
        </w:tc>
        <w:tc>
          <w:tcPr>
            <w:tcW w:w="588" w:type="dxa"/>
          </w:tcPr>
          <w:p>
            <w:pPr>
              <w:pStyle w:val="TableParagraph"/>
              <w:tabs>
                <w:tab w:pos="353" w:val="left" w:leader="none"/>
              </w:tabs>
              <w:spacing w:before="3"/>
              <w:ind w:left="3"/>
              <w:rPr>
                <w:sz w:val="18"/>
              </w:rPr>
            </w:pPr>
            <w:r>
              <w:rPr>
                <w:color w:val="3F3F3F"/>
                <w:w w:val="100"/>
                <w:sz w:val="18"/>
                <w:u w:val="single" w:color="000000"/>
              </w:rPr>
              <w:t> </w:t>
            </w:r>
            <w:r>
              <w:rPr>
                <w:color w:val="3F3F3F"/>
                <w:sz w:val="18"/>
                <w:u w:val="single" w:color="000000"/>
              </w:rPr>
              <w:tab/>
            </w:r>
            <w:r>
              <w:rPr>
                <w:color w:val="3F3F3F"/>
                <w:w w:val="110"/>
                <w:sz w:val="18"/>
                <w:u w:val="single" w:color="000000"/>
              </w:rPr>
              <w:t>7</w:t>
            </w:r>
            <w:r>
              <w:rPr>
                <w:color w:val="3F3F3F"/>
                <w:spacing w:val="22"/>
                <w:sz w:val="18"/>
                <w:u w:val="single" w:color="000000"/>
              </w:rPr>
              <w:t> </w:t>
            </w:r>
          </w:p>
        </w:tc>
      </w:tr>
      <w:tr>
        <w:trPr>
          <w:trHeight w:val="230" w:hRule="atLeast"/>
        </w:trPr>
        <w:tc>
          <w:tcPr>
            <w:tcW w:w="5757" w:type="dxa"/>
          </w:tcPr>
          <w:p>
            <w:pPr>
              <w:pStyle w:val="TableParagraph"/>
              <w:spacing w:line="198" w:lineRule="exact" w:before="13"/>
              <w:ind w:left="149"/>
              <w:rPr>
                <w:sz w:val="18"/>
              </w:rPr>
            </w:pPr>
            <w:r>
              <w:rPr>
                <w:color w:val="3F3F3F"/>
                <w:w w:val="105"/>
                <w:sz w:val="18"/>
              </w:rPr>
              <w:t>Movement </w:t>
            </w:r>
            <w:r>
              <w:rPr>
                <w:color w:val="1A1A1A"/>
                <w:w w:val="105"/>
                <w:sz w:val="18"/>
              </w:rPr>
              <w:t>i</w:t>
            </w:r>
            <w:r>
              <w:rPr>
                <w:color w:val="3F3F3F"/>
                <w:w w:val="105"/>
                <w:sz w:val="18"/>
              </w:rPr>
              <w:t>n net cash funds in the year</w:t>
            </w:r>
          </w:p>
        </w:tc>
        <w:tc>
          <w:tcPr>
            <w:tcW w:w="2250" w:type="dxa"/>
            <w:gridSpan w:val="2"/>
          </w:tcPr>
          <w:p>
            <w:pPr>
              <w:pStyle w:val="TableParagraph"/>
              <w:spacing w:line="198" w:lineRule="exact" w:before="13"/>
              <w:ind w:left="1322"/>
              <w:rPr>
                <w:sz w:val="18"/>
              </w:rPr>
            </w:pPr>
            <w:r>
              <w:rPr>
                <w:color w:val="2B2B2B"/>
                <w:w w:val="110"/>
                <w:sz w:val="18"/>
              </w:rPr>
              <w:t>746</w:t>
            </w:r>
          </w:p>
        </w:tc>
        <w:tc>
          <w:tcPr>
            <w:tcW w:w="588" w:type="dxa"/>
          </w:tcPr>
          <w:p>
            <w:pPr>
              <w:pStyle w:val="TableParagraph"/>
              <w:spacing w:before="3"/>
              <w:ind w:left="34"/>
              <w:rPr>
                <w:sz w:val="18"/>
              </w:rPr>
            </w:pPr>
            <w:r>
              <w:rPr>
                <w:color w:val="2B2B2B"/>
                <w:w w:val="110"/>
                <w:sz w:val="18"/>
              </w:rPr>
              <w:t>(177)</w:t>
            </w:r>
          </w:p>
        </w:tc>
      </w:tr>
      <w:tr>
        <w:trPr>
          <w:trHeight w:val="235" w:hRule="atLeast"/>
        </w:trPr>
        <w:tc>
          <w:tcPr>
            <w:tcW w:w="5757" w:type="dxa"/>
          </w:tcPr>
          <w:p>
            <w:pPr>
              <w:pStyle w:val="TableParagraph"/>
              <w:spacing w:line="203" w:lineRule="exact" w:before="13"/>
              <w:ind w:left="155"/>
              <w:rPr>
                <w:sz w:val="18"/>
              </w:rPr>
            </w:pPr>
            <w:r>
              <w:rPr>
                <w:color w:val="3F3F3F"/>
                <w:w w:val="110"/>
                <w:sz w:val="18"/>
              </w:rPr>
              <w:t>Net cash funds at 1 </w:t>
            </w:r>
            <w:r>
              <w:rPr>
                <w:color w:val="1A1A1A"/>
                <w:w w:val="110"/>
                <w:sz w:val="18"/>
              </w:rPr>
              <w:t>J</w:t>
            </w:r>
            <w:r>
              <w:rPr>
                <w:color w:val="3F3F3F"/>
                <w:w w:val="110"/>
                <w:sz w:val="18"/>
              </w:rPr>
              <w:t>anuary</w:t>
            </w:r>
          </w:p>
        </w:tc>
        <w:tc>
          <w:tcPr>
            <w:tcW w:w="2250" w:type="dxa"/>
            <w:gridSpan w:val="2"/>
          </w:tcPr>
          <w:p>
            <w:pPr>
              <w:pStyle w:val="TableParagraph"/>
              <w:tabs>
                <w:tab w:pos="1325" w:val="left" w:leader="none"/>
              </w:tabs>
              <w:spacing w:line="203" w:lineRule="exact" w:before="13"/>
              <w:ind w:left="828"/>
              <w:rPr>
                <w:sz w:val="18"/>
              </w:rPr>
            </w:pPr>
            <w:r>
              <w:rPr>
                <w:color w:val="3F3F3F"/>
                <w:w w:val="100"/>
                <w:sz w:val="18"/>
                <w:u w:val="single" w:color="000000"/>
              </w:rPr>
              <w:t> </w:t>
            </w:r>
            <w:r>
              <w:rPr>
                <w:color w:val="3F3F3F"/>
                <w:sz w:val="18"/>
                <w:u w:val="single" w:color="000000"/>
              </w:rPr>
              <w:tab/>
            </w:r>
            <w:r>
              <w:rPr>
                <w:color w:val="3F3F3F"/>
                <w:w w:val="110"/>
                <w:sz w:val="18"/>
                <w:u w:val="single" w:color="000000"/>
              </w:rPr>
              <w:t>289</w:t>
            </w:r>
            <w:r>
              <w:rPr>
                <w:color w:val="3F3F3F"/>
                <w:spacing w:val="-14"/>
                <w:sz w:val="18"/>
                <w:u w:val="single" w:color="000000"/>
              </w:rPr>
              <w:t> </w:t>
            </w:r>
          </w:p>
        </w:tc>
        <w:tc>
          <w:tcPr>
            <w:tcW w:w="588" w:type="dxa"/>
          </w:tcPr>
          <w:p>
            <w:pPr>
              <w:pStyle w:val="TableParagraph"/>
              <w:spacing w:before="3"/>
              <w:ind w:left="3"/>
              <w:rPr>
                <w:sz w:val="18"/>
              </w:rPr>
            </w:pPr>
            <w:r>
              <w:rPr>
                <w:color w:val="3F3F3F"/>
                <w:w w:val="100"/>
                <w:sz w:val="18"/>
                <w:u w:val="single" w:color="000000"/>
              </w:rPr>
              <w:t> </w:t>
            </w:r>
            <w:r>
              <w:rPr>
                <w:color w:val="3F3F3F"/>
                <w:sz w:val="18"/>
                <w:u w:val="single" w:color="000000"/>
              </w:rPr>
              <w:t>   </w:t>
            </w:r>
            <w:r>
              <w:rPr>
                <w:color w:val="3F3F3F"/>
                <w:w w:val="110"/>
                <w:sz w:val="18"/>
                <w:u w:val="single" w:color="000000"/>
              </w:rPr>
              <w:t>466</w:t>
            </w:r>
            <w:r>
              <w:rPr>
                <w:color w:val="3F3F3F"/>
                <w:sz w:val="18"/>
                <w:u w:val="single" w:color="000000"/>
              </w:rPr>
              <w:t> </w:t>
            </w:r>
          </w:p>
        </w:tc>
      </w:tr>
      <w:tr>
        <w:trPr>
          <w:trHeight w:val="224" w:hRule="atLeast"/>
        </w:trPr>
        <w:tc>
          <w:tcPr>
            <w:tcW w:w="5757" w:type="dxa"/>
          </w:tcPr>
          <w:p>
            <w:pPr>
              <w:pStyle w:val="TableParagraph"/>
              <w:spacing w:line="187" w:lineRule="exact" w:before="18"/>
              <w:ind w:left="155"/>
              <w:rPr>
                <w:sz w:val="18"/>
              </w:rPr>
            </w:pPr>
            <w:r>
              <w:rPr>
                <w:color w:val="3F3F3F"/>
                <w:w w:val="110"/>
                <w:sz w:val="18"/>
              </w:rPr>
              <w:t>Net cash funds at 31 December</w:t>
            </w:r>
          </w:p>
        </w:tc>
        <w:tc>
          <w:tcPr>
            <w:tcW w:w="2250" w:type="dxa"/>
            <w:gridSpan w:val="2"/>
          </w:tcPr>
          <w:p>
            <w:pPr>
              <w:pStyle w:val="TableParagraph"/>
              <w:tabs>
                <w:tab w:pos="1182" w:val="left" w:leader="none"/>
              </w:tabs>
              <w:spacing w:line="197" w:lineRule="exact" w:before="8"/>
              <w:ind w:left="828"/>
              <w:rPr>
                <w:sz w:val="18"/>
              </w:rPr>
            </w:pPr>
            <w:r>
              <w:rPr>
                <w:color w:val="2B2B2B"/>
                <w:w w:val="100"/>
                <w:sz w:val="18"/>
                <w:u w:val="thick" w:color="000000"/>
              </w:rPr>
              <w:t> </w:t>
            </w:r>
            <w:r>
              <w:rPr>
                <w:color w:val="2B2B2B"/>
                <w:sz w:val="18"/>
                <w:u w:val="thick" w:color="000000"/>
              </w:rPr>
              <w:tab/>
            </w:r>
            <w:r>
              <w:rPr>
                <w:color w:val="2B2B2B"/>
                <w:w w:val="110"/>
                <w:sz w:val="18"/>
                <w:u w:val="thick" w:color="000000"/>
              </w:rPr>
              <w:t>1,035</w:t>
            </w:r>
            <w:r>
              <w:rPr>
                <w:color w:val="2B2B2B"/>
                <w:spacing w:val="-15"/>
                <w:sz w:val="18"/>
                <w:u w:val="thick" w:color="000000"/>
              </w:rPr>
              <w:t> </w:t>
            </w:r>
          </w:p>
        </w:tc>
        <w:tc>
          <w:tcPr>
            <w:tcW w:w="588" w:type="dxa"/>
          </w:tcPr>
          <w:p>
            <w:pPr>
              <w:pStyle w:val="TableParagraph"/>
              <w:spacing w:line="197" w:lineRule="exact" w:before="8"/>
              <w:ind w:left="3"/>
              <w:rPr>
                <w:sz w:val="18"/>
              </w:rPr>
            </w:pPr>
            <w:r>
              <w:rPr>
                <w:color w:val="3F3F3F"/>
                <w:w w:val="100"/>
                <w:sz w:val="18"/>
                <w:u w:val="thick" w:color="000000"/>
              </w:rPr>
              <w:t> </w:t>
            </w:r>
            <w:r>
              <w:rPr>
                <w:color w:val="3F3F3F"/>
                <w:sz w:val="18"/>
                <w:u w:val="thick" w:color="000000"/>
              </w:rPr>
              <w:t>   </w:t>
            </w:r>
            <w:r>
              <w:rPr>
                <w:color w:val="3F3F3F"/>
                <w:w w:val="110"/>
                <w:sz w:val="18"/>
                <w:u w:val="thick" w:color="000000"/>
              </w:rPr>
              <w:t>289</w:t>
            </w:r>
            <w:r>
              <w:rPr>
                <w:color w:val="3F3F3F"/>
                <w:sz w:val="18"/>
                <w:u w:val="thick" w:color="000000"/>
              </w:rPr>
              <w:t> </w:t>
            </w:r>
          </w:p>
        </w:tc>
      </w:tr>
      <w:tr>
        <w:trPr>
          <w:trHeight w:val="481" w:hRule="atLeast"/>
        </w:trPr>
        <w:tc>
          <w:tcPr>
            <w:tcW w:w="5757" w:type="dxa"/>
          </w:tcPr>
          <w:p>
            <w:pPr>
              <w:pStyle w:val="TableParagraph"/>
              <w:spacing w:before="9"/>
              <w:rPr>
                <w:rFonts w:ascii="Arial"/>
                <w:sz w:val="23"/>
              </w:rPr>
            </w:pPr>
          </w:p>
          <w:p>
            <w:pPr>
              <w:pStyle w:val="TableParagraph"/>
              <w:tabs>
                <w:tab w:pos="748" w:val="left" w:leader="none"/>
              </w:tabs>
              <w:spacing w:line="187" w:lineRule="exact"/>
              <w:ind w:left="56"/>
              <w:rPr>
                <w:b/>
                <w:sz w:val="18"/>
              </w:rPr>
            </w:pPr>
            <w:r>
              <w:rPr>
                <w:color w:val="3F3F3F"/>
                <w:w w:val="105"/>
                <w:sz w:val="17"/>
              </w:rPr>
              <w:t>b)</w:t>
              <w:tab/>
            </w:r>
            <w:r>
              <w:rPr>
                <w:b/>
                <w:color w:val="2B2B2B"/>
                <w:w w:val="105"/>
                <w:sz w:val="18"/>
              </w:rPr>
              <w:t>Ana</w:t>
            </w:r>
            <w:r>
              <w:rPr>
                <w:b/>
                <w:w w:val="105"/>
                <w:sz w:val="18"/>
              </w:rPr>
              <w:t>l</w:t>
            </w:r>
            <w:r>
              <w:rPr>
                <w:b/>
                <w:color w:val="2B2B2B"/>
                <w:w w:val="105"/>
                <w:sz w:val="18"/>
              </w:rPr>
              <w:t>ysis </w:t>
            </w:r>
            <w:r>
              <w:rPr>
                <w:b/>
                <w:color w:val="1A1A1A"/>
                <w:w w:val="105"/>
                <w:sz w:val="18"/>
              </w:rPr>
              <w:t>of net </w:t>
            </w:r>
            <w:r>
              <w:rPr>
                <w:b/>
                <w:color w:val="2B2B2B"/>
                <w:w w:val="105"/>
                <w:sz w:val="18"/>
              </w:rPr>
              <w:t>cash</w:t>
            </w:r>
            <w:r>
              <w:rPr>
                <w:b/>
                <w:color w:val="2B2B2B"/>
                <w:spacing w:val="-20"/>
                <w:w w:val="105"/>
                <w:sz w:val="18"/>
              </w:rPr>
              <w:t> </w:t>
            </w:r>
            <w:r>
              <w:rPr>
                <w:b/>
                <w:color w:val="2B2B2B"/>
                <w:w w:val="105"/>
                <w:sz w:val="18"/>
              </w:rPr>
              <w:t>f</w:t>
            </w:r>
            <w:r>
              <w:rPr>
                <w:b/>
                <w:w w:val="105"/>
                <w:sz w:val="18"/>
              </w:rPr>
              <w:t>u</w:t>
            </w:r>
            <w:r>
              <w:rPr>
                <w:b/>
                <w:color w:val="2B2B2B"/>
                <w:w w:val="105"/>
                <w:sz w:val="18"/>
              </w:rPr>
              <w:t>nds</w:t>
            </w:r>
          </w:p>
        </w:tc>
        <w:tc>
          <w:tcPr>
            <w:tcW w:w="2250" w:type="dxa"/>
            <w:gridSpan w:val="2"/>
          </w:tcPr>
          <w:p>
            <w:pPr>
              <w:pStyle w:val="TableParagraph"/>
              <w:rPr>
                <w:sz w:val="18"/>
              </w:rPr>
            </w:pPr>
          </w:p>
        </w:tc>
        <w:tc>
          <w:tcPr>
            <w:tcW w:w="588" w:type="dxa"/>
          </w:tcPr>
          <w:p>
            <w:pPr>
              <w:pStyle w:val="TableParagraph"/>
              <w:rPr>
                <w:sz w:val="18"/>
              </w:rPr>
            </w:pPr>
          </w:p>
        </w:tc>
      </w:tr>
      <w:tr>
        <w:trPr>
          <w:trHeight w:val="241" w:hRule="atLeast"/>
        </w:trPr>
        <w:tc>
          <w:tcPr>
            <w:tcW w:w="5757" w:type="dxa"/>
          </w:tcPr>
          <w:p>
            <w:pPr>
              <w:pStyle w:val="TableParagraph"/>
              <w:spacing w:line="198" w:lineRule="exact" w:before="24"/>
              <w:ind w:right="573"/>
              <w:jc w:val="right"/>
              <w:rPr>
                <w:b/>
                <w:sz w:val="18"/>
              </w:rPr>
            </w:pPr>
            <w:r>
              <w:rPr>
                <w:b/>
                <w:color w:val="2B2B2B"/>
                <w:w w:val="110"/>
                <w:sz w:val="18"/>
              </w:rPr>
              <w:t>As </w:t>
            </w:r>
            <w:r>
              <w:rPr>
                <w:b/>
                <w:color w:val="1A1A1A"/>
                <w:w w:val="110"/>
                <w:sz w:val="18"/>
              </w:rPr>
              <w:t>at</w:t>
            </w:r>
          </w:p>
        </w:tc>
        <w:tc>
          <w:tcPr>
            <w:tcW w:w="667" w:type="dxa"/>
          </w:tcPr>
          <w:p>
            <w:pPr>
              <w:pStyle w:val="TableParagraph"/>
              <w:spacing w:line="198" w:lineRule="exact" w:before="24"/>
              <w:ind w:left="79"/>
              <w:rPr>
                <w:b/>
                <w:sz w:val="18"/>
              </w:rPr>
            </w:pPr>
            <w:r>
              <w:rPr>
                <w:b/>
                <w:color w:val="2B2B2B"/>
                <w:w w:val="105"/>
                <w:sz w:val="18"/>
              </w:rPr>
              <w:t>Cash</w:t>
            </w:r>
          </w:p>
        </w:tc>
        <w:tc>
          <w:tcPr>
            <w:tcW w:w="2171" w:type="dxa"/>
            <w:gridSpan w:val="2"/>
          </w:tcPr>
          <w:p>
            <w:pPr>
              <w:pStyle w:val="TableParagraph"/>
              <w:spacing w:line="198" w:lineRule="exact" w:before="24"/>
              <w:ind w:left="1142"/>
              <w:rPr>
                <w:b/>
                <w:sz w:val="18"/>
              </w:rPr>
            </w:pPr>
            <w:r>
              <w:rPr>
                <w:b/>
                <w:color w:val="3F3F3F"/>
                <w:w w:val="105"/>
                <w:sz w:val="18"/>
              </w:rPr>
              <w:t>As </w:t>
            </w:r>
            <w:r>
              <w:rPr>
                <w:b/>
                <w:color w:val="1A1A1A"/>
                <w:w w:val="105"/>
                <w:sz w:val="18"/>
              </w:rPr>
              <w:t>at</w:t>
            </w:r>
          </w:p>
        </w:tc>
      </w:tr>
      <w:tr>
        <w:trPr>
          <w:trHeight w:val="230" w:hRule="atLeast"/>
        </w:trPr>
        <w:tc>
          <w:tcPr>
            <w:tcW w:w="5757" w:type="dxa"/>
          </w:tcPr>
          <w:p>
            <w:pPr>
              <w:pStyle w:val="TableParagraph"/>
              <w:spacing w:line="198" w:lineRule="exact" w:before="13"/>
              <w:ind w:right="577"/>
              <w:jc w:val="right"/>
              <w:rPr>
                <w:b/>
                <w:sz w:val="18"/>
              </w:rPr>
            </w:pPr>
            <w:r>
              <w:rPr>
                <w:b/>
                <w:color w:val="2B2B2B"/>
                <w:w w:val="105"/>
                <w:sz w:val="18"/>
              </w:rPr>
              <w:t>1 </w:t>
            </w:r>
            <w:r>
              <w:rPr>
                <w:b/>
                <w:color w:val="1A1A1A"/>
                <w:w w:val="105"/>
                <w:sz w:val="18"/>
              </w:rPr>
              <w:t>J</w:t>
            </w:r>
            <w:r>
              <w:rPr>
                <w:b/>
                <w:color w:val="3F3F3F"/>
                <w:w w:val="105"/>
                <w:sz w:val="18"/>
              </w:rPr>
              <w:t>a</w:t>
            </w:r>
            <w:r>
              <w:rPr>
                <w:b/>
                <w:color w:val="1A1A1A"/>
                <w:w w:val="105"/>
                <w:sz w:val="18"/>
              </w:rPr>
              <w:t>n</w:t>
            </w:r>
            <w:r>
              <w:rPr>
                <w:b/>
                <w:w w:val="105"/>
                <w:sz w:val="18"/>
              </w:rPr>
              <w:t>u</w:t>
            </w:r>
            <w:r>
              <w:rPr>
                <w:b/>
                <w:color w:val="1A1A1A"/>
                <w:w w:val="105"/>
                <w:sz w:val="18"/>
              </w:rPr>
              <w:t>ar</w:t>
            </w:r>
            <w:r>
              <w:rPr>
                <w:b/>
                <w:color w:val="3F3F3F"/>
                <w:w w:val="105"/>
                <w:sz w:val="18"/>
              </w:rPr>
              <w:t>y</w:t>
            </w:r>
          </w:p>
        </w:tc>
        <w:tc>
          <w:tcPr>
            <w:tcW w:w="667" w:type="dxa"/>
          </w:tcPr>
          <w:p>
            <w:pPr>
              <w:pStyle w:val="TableParagraph"/>
              <w:spacing w:line="198" w:lineRule="exact" w:before="13"/>
              <w:ind w:left="138"/>
              <w:rPr>
                <w:b/>
                <w:sz w:val="18"/>
              </w:rPr>
            </w:pPr>
            <w:r>
              <w:rPr>
                <w:b/>
                <w:w w:val="105"/>
                <w:sz w:val="18"/>
              </w:rPr>
              <w:t>fl</w:t>
            </w:r>
            <w:r>
              <w:rPr>
                <w:b/>
                <w:color w:val="2B2B2B"/>
                <w:w w:val="105"/>
                <w:sz w:val="18"/>
              </w:rPr>
              <w:t>ow</w:t>
            </w:r>
          </w:p>
        </w:tc>
        <w:tc>
          <w:tcPr>
            <w:tcW w:w="2171" w:type="dxa"/>
            <w:gridSpan w:val="2"/>
          </w:tcPr>
          <w:p>
            <w:pPr>
              <w:pStyle w:val="TableParagraph"/>
              <w:spacing w:before="3"/>
              <w:ind w:left="505"/>
              <w:rPr>
                <w:b/>
                <w:sz w:val="18"/>
              </w:rPr>
            </w:pPr>
            <w:r>
              <w:rPr>
                <w:b/>
                <w:color w:val="2B2B2B"/>
                <w:w w:val="105"/>
                <w:sz w:val="18"/>
              </w:rPr>
              <w:t>31 </w:t>
            </w:r>
            <w:r>
              <w:rPr>
                <w:b/>
                <w:color w:val="1A1A1A"/>
                <w:w w:val="105"/>
                <w:sz w:val="18"/>
              </w:rPr>
              <w:t>D</w:t>
            </w:r>
            <w:r>
              <w:rPr>
                <w:b/>
                <w:color w:val="3F3F3F"/>
                <w:w w:val="105"/>
                <w:sz w:val="18"/>
              </w:rPr>
              <w:t>ec</w:t>
            </w:r>
            <w:r>
              <w:rPr>
                <w:b/>
                <w:color w:val="1A1A1A"/>
                <w:w w:val="105"/>
                <w:sz w:val="18"/>
              </w:rPr>
              <w:t>ember</w:t>
            </w:r>
          </w:p>
        </w:tc>
      </w:tr>
      <w:tr>
        <w:trPr>
          <w:trHeight w:val="221" w:hRule="atLeast"/>
        </w:trPr>
        <w:tc>
          <w:tcPr>
            <w:tcW w:w="5757" w:type="dxa"/>
          </w:tcPr>
          <w:p>
            <w:pPr>
              <w:pStyle w:val="TableParagraph"/>
              <w:spacing w:line="198" w:lineRule="exact" w:before="3"/>
              <w:ind w:right="577"/>
              <w:jc w:val="right"/>
              <w:rPr>
                <w:b/>
                <w:sz w:val="18"/>
              </w:rPr>
            </w:pPr>
            <w:r>
              <w:rPr>
                <w:b/>
                <w:color w:val="1A1A1A"/>
                <w:w w:val="110"/>
                <w:sz w:val="18"/>
              </w:rPr>
              <w:t>2</w:t>
            </w:r>
            <w:r>
              <w:rPr>
                <w:b/>
                <w:w w:val="110"/>
                <w:sz w:val="18"/>
              </w:rPr>
              <w:t>0</w:t>
            </w:r>
            <w:r>
              <w:rPr>
                <w:b/>
                <w:color w:val="1A1A1A"/>
                <w:w w:val="110"/>
                <w:sz w:val="18"/>
              </w:rPr>
              <w:t>06</w:t>
            </w:r>
          </w:p>
        </w:tc>
        <w:tc>
          <w:tcPr>
            <w:tcW w:w="667" w:type="dxa"/>
          </w:tcPr>
          <w:p>
            <w:pPr>
              <w:pStyle w:val="TableParagraph"/>
              <w:rPr>
                <w:sz w:val="14"/>
              </w:rPr>
            </w:pPr>
          </w:p>
        </w:tc>
        <w:tc>
          <w:tcPr>
            <w:tcW w:w="2171" w:type="dxa"/>
            <w:gridSpan w:val="2"/>
          </w:tcPr>
          <w:p>
            <w:pPr>
              <w:pStyle w:val="TableParagraph"/>
              <w:spacing w:line="198" w:lineRule="exact" w:before="3"/>
              <w:ind w:left="1177"/>
              <w:rPr>
                <w:b/>
                <w:sz w:val="18"/>
              </w:rPr>
            </w:pPr>
            <w:r>
              <w:rPr>
                <w:b/>
                <w:color w:val="1A1A1A"/>
                <w:w w:val="110"/>
                <w:sz w:val="18"/>
              </w:rPr>
              <w:t>2006</w:t>
            </w:r>
          </w:p>
        </w:tc>
      </w:tr>
      <w:tr>
        <w:trPr>
          <w:trHeight w:val="226" w:hRule="atLeast"/>
        </w:trPr>
        <w:tc>
          <w:tcPr>
            <w:tcW w:w="5757" w:type="dxa"/>
          </w:tcPr>
          <w:p>
            <w:pPr>
              <w:pStyle w:val="TableParagraph"/>
              <w:spacing w:line="203" w:lineRule="exact" w:before="3"/>
              <w:ind w:right="633"/>
              <w:jc w:val="right"/>
              <w:rPr>
                <w:b/>
                <w:sz w:val="18"/>
              </w:rPr>
            </w:pPr>
            <w:r>
              <w:rPr>
                <w:b/>
                <w:color w:val="2B2B2B"/>
                <w:w w:val="110"/>
                <w:sz w:val="18"/>
              </w:rPr>
              <w:t>£'000</w:t>
            </w:r>
          </w:p>
        </w:tc>
        <w:tc>
          <w:tcPr>
            <w:tcW w:w="667" w:type="dxa"/>
          </w:tcPr>
          <w:p>
            <w:pPr>
              <w:pStyle w:val="TableParagraph"/>
              <w:spacing w:line="193" w:lineRule="exact" w:before="13"/>
              <w:ind w:left="45"/>
              <w:rPr>
                <w:b/>
                <w:sz w:val="18"/>
              </w:rPr>
            </w:pPr>
            <w:r>
              <w:rPr>
                <w:b/>
                <w:color w:val="2B2B2B"/>
                <w:w w:val="110"/>
                <w:sz w:val="18"/>
              </w:rPr>
              <w:t>£'000</w:t>
            </w:r>
          </w:p>
        </w:tc>
        <w:tc>
          <w:tcPr>
            <w:tcW w:w="2171" w:type="dxa"/>
            <w:gridSpan w:val="2"/>
          </w:tcPr>
          <w:p>
            <w:pPr>
              <w:pStyle w:val="TableParagraph"/>
              <w:spacing w:line="203" w:lineRule="exact" w:before="3"/>
              <w:ind w:left="1044"/>
              <w:rPr>
                <w:b/>
                <w:sz w:val="18"/>
              </w:rPr>
            </w:pPr>
            <w:r>
              <w:rPr>
                <w:b/>
                <w:color w:val="1A1A1A"/>
                <w:w w:val="110"/>
                <w:sz w:val="18"/>
              </w:rPr>
              <w:t>£</w:t>
            </w:r>
            <w:r>
              <w:rPr>
                <w:b/>
                <w:color w:val="3F3F3F"/>
                <w:w w:val="110"/>
                <w:sz w:val="18"/>
              </w:rPr>
              <w:t>'</w:t>
            </w:r>
            <w:r>
              <w:rPr>
                <w:b/>
                <w:color w:val="1A1A1A"/>
                <w:w w:val="110"/>
                <w:sz w:val="18"/>
              </w:rPr>
              <w:t>00</w:t>
            </w:r>
            <w:r>
              <w:rPr>
                <w:b/>
                <w:w w:val="110"/>
                <w:sz w:val="18"/>
              </w:rPr>
              <w:t>0</w:t>
            </w:r>
          </w:p>
        </w:tc>
      </w:tr>
      <w:tr>
        <w:trPr>
          <w:trHeight w:val="215" w:hRule="atLeast"/>
        </w:trPr>
        <w:tc>
          <w:tcPr>
            <w:tcW w:w="5757" w:type="dxa"/>
          </w:tcPr>
          <w:p>
            <w:pPr>
              <w:pStyle w:val="TableParagraph"/>
              <w:tabs>
                <w:tab w:pos="5116" w:val="right" w:leader="none"/>
              </w:tabs>
              <w:spacing w:line="195" w:lineRule="exact"/>
              <w:ind w:left="145"/>
              <w:rPr>
                <w:sz w:val="18"/>
              </w:rPr>
            </w:pPr>
            <w:r>
              <w:rPr>
                <w:color w:val="3F3F3F"/>
                <w:w w:val="110"/>
                <w:sz w:val="18"/>
              </w:rPr>
              <w:t>Cash</w:t>
            </w:r>
            <w:r>
              <w:rPr>
                <w:color w:val="3F3F3F"/>
                <w:spacing w:val="-42"/>
                <w:w w:val="110"/>
                <w:sz w:val="18"/>
              </w:rPr>
              <w:t> </w:t>
            </w:r>
            <w:r>
              <w:rPr>
                <w:color w:val="3F3F3F"/>
                <w:w w:val="110"/>
                <w:sz w:val="18"/>
              </w:rPr>
              <w:t>at bank and in</w:t>
            </w:r>
            <w:r>
              <w:rPr>
                <w:color w:val="3F3F3F"/>
                <w:spacing w:val="-5"/>
                <w:w w:val="110"/>
                <w:sz w:val="18"/>
              </w:rPr>
              <w:t> </w:t>
            </w:r>
            <w:r>
              <w:rPr>
                <w:color w:val="3F3F3F"/>
                <w:w w:val="110"/>
                <w:sz w:val="18"/>
              </w:rPr>
              <w:t>hand</w:t>
              <w:tab/>
            </w:r>
            <w:r>
              <w:rPr>
                <w:color w:val="3F3F3F"/>
                <w:w w:val="110"/>
                <w:position w:val="1"/>
                <w:sz w:val="18"/>
              </w:rPr>
              <w:t>112</w:t>
            </w:r>
          </w:p>
        </w:tc>
        <w:tc>
          <w:tcPr>
            <w:tcW w:w="667" w:type="dxa"/>
          </w:tcPr>
          <w:p>
            <w:pPr>
              <w:pStyle w:val="TableParagraph"/>
              <w:spacing w:line="187" w:lineRule="exact" w:before="8"/>
              <w:ind w:left="204"/>
              <w:rPr>
                <w:sz w:val="18"/>
              </w:rPr>
            </w:pPr>
            <w:r>
              <w:rPr>
                <w:color w:val="2B2B2B"/>
                <w:w w:val="110"/>
                <w:sz w:val="18"/>
              </w:rPr>
              <w:t>923</w:t>
            </w:r>
          </w:p>
        </w:tc>
        <w:tc>
          <w:tcPr>
            <w:tcW w:w="2171" w:type="dxa"/>
            <w:gridSpan w:val="2"/>
          </w:tcPr>
          <w:p>
            <w:pPr>
              <w:pStyle w:val="TableParagraph"/>
              <w:spacing w:line="195" w:lineRule="exact"/>
              <w:ind w:left="1055"/>
              <w:rPr>
                <w:sz w:val="18"/>
              </w:rPr>
            </w:pPr>
            <w:r>
              <w:rPr>
                <w:color w:val="1A1A1A"/>
                <w:w w:val="110"/>
                <w:sz w:val="18"/>
              </w:rPr>
              <w:t>1</w:t>
            </w:r>
            <w:r>
              <w:rPr>
                <w:color w:val="3F3F3F"/>
                <w:w w:val="110"/>
                <w:sz w:val="18"/>
              </w:rPr>
              <w:t>,035</w:t>
            </w:r>
          </w:p>
        </w:tc>
      </w:tr>
      <w:tr>
        <w:trPr>
          <w:trHeight w:val="221" w:hRule="atLeast"/>
        </w:trPr>
        <w:tc>
          <w:tcPr>
            <w:tcW w:w="5757" w:type="dxa"/>
          </w:tcPr>
          <w:p>
            <w:pPr>
              <w:pStyle w:val="TableParagraph"/>
              <w:tabs>
                <w:tab w:pos="4052" w:val="left" w:leader="none"/>
                <w:tab w:pos="4821" w:val="left" w:leader="none"/>
                <w:tab w:pos="5487" w:val="left" w:leader="none"/>
                <w:tab w:pos="5866" w:val="left" w:leader="none"/>
              </w:tabs>
              <w:spacing w:line="187" w:lineRule="exact" w:before="14"/>
              <w:ind w:left="149" w:right="-116"/>
              <w:rPr>
                <w:sz w:val="18"/>
              </w:rPr>
            </w:pPr>
            <w:r>
              <w:rPr>
                <w:color w:val="3F3F3F"/>
                <w:w w:val="105"/>
                <w:sz w:val="18"/>
              </w:rPr>
              <w:t>Liquid</w:t>
            </w:r>
            <w:r>
              <w:rPr>
                <w:color w:val="3F3F3F"/>
                <w:spacing w:val="-1"/>
                <w:w w:val="105"/>
                <w:sz w:val="18"/>
              </w:rPr>
              <w:t> </w:t>
            </w:r>
            <w:r>
              <w:rPr>
                <w:color w:val="2B2B2B"/>
                <w:w w:val="105"/>
                <w:sz w:val="18"/>
              </w:rPr>
              <w:t>resources</w:t>
              <w:tab/>
            </w:r>
            <w:r>
              <w:rPr>
                <w:color w:val="3F3F3F"/>
                <w:w w:val="105"/>
                <w:sz w:val="18"/>
                <w:u w:val="single" w:color="000000"/>
              </w:rPr>
              <w:t> </w:t>
              <w:tab/>
            </w:r>
            <w:r>
              <w:rPr>
                <w:color w:val="3F3F3F"/>
                <w:w w:val="105"/>
                <w:sz w:val="18"/>
              </w:rPr>
              <w:t>177</w:t>
            </w:r>
            <w:r>
              <w:rPr>
                <w:color w:val="3F3F3F"/>
                <w:sz w:val="18"/>
              </w:rPr>
              <w:tab/>
            </w:r>
            <w:r>
              <w:rPr>
                <w:color w:val="3F3F3F"/>
                <w:w w:val="100"/>
                <w:position w:val="1"/>
                <w:sz w:val="18"/>
                <w:u w:val="single" w:color="000000"/>
              </w:rPr>
              <w:t> </w:t>
            </w:r>
            <w:r>
              <w:rPr>
                <w:color w:val="3F3F3F"/>
                <w:position w:val="1"/>
                <w:sz w:val="18"/>
                <w:u w:val="single" w:color="000000"/>
              </w:rPr>
              <w:tab/>
            </w:r>
          </w:p>
        </w:tc>
        <w:tc>
          <w:tcPr>
            <w:tcW w:w="667" w:type="dxa"/>
          </w:tcPr>
          <w:p>
            <w:pPr>
              <w:pStyle w:val="TableParagraph"/>
              <w:tabs>
                <w:tab w:pos="2445" w:val="left" w:leader="none"/>
              </w:tabs>
              <w:spacing w:line="197" w:lineRule="exact" w:before="4"/>
              <w:ind w:left="69" w:right="-1786"/>
              <w:rPr>
                <w:sz w:val="18"/>
              </w:rPr>
            </w:pPr>
            <w:r>
              <w:rPr>
                <w:color w:val="3F3F3F"/>
                <w:w w:val="110"/>
                <w:sz w:val="18"/>
                <w:u w:val="single" w:color="000000"/>
              </w:rPr>
              <w:t>(177)</w:t>
            </w:r>
            <w:r>
              <w:rPr>
                <w:color w:val="3F3F3F"/>
                <w:sz w:val="18"/>
                <w:u w:val="single" w:color="000000"/>
              </w:rPr>
              <w:tab/>
            </w:r>
          </w:p>
        </w:tc>
        <w:tc>
          <w:tcPr>
            <w:tcW w:w="1583" w:type="dxa"/>
          </w:tcPr>
          <w:p>
            <w:pPr>
              <w:pStyle w:val="TableParagraph"/>
              <w:rPr>
                <w:sz w:val="14"/>
              </w:rPr>
            </w:pPr>
          </w:p>
        </w:tc>
        <w:tc>
          <w:tcPr>
            <w:tcW w:w="588" w:type="dxa"/>
          </w:tcPr>
          <w:p>
            <w:pPr>
              <w:pStyle w:val="TableParagraph"/>
              <w:rPr>
                <w:sz w:val="14"/>
              </w:rPr>
            </w:pPr>
          </w:p>
        </w:tc>
      </w:tr>
    </w:tbl>
    <w:p>
      <w:pPr>
        <w:pStyle w:val="BodyText"/>
        <w:tabs>
          <w:tab w:pos="5726" w:val="left" w:leader="none"/>
          <w:tab w:pos="6433" w:val="left" w:leader="none"/>
          <w:tab w:pos="6869" w:val="left" w:leader="none"/>
          <w:tab w:pos="7492" w:val="left" w:leader="none"/>
          <w:tab w:pos="8396" w:val="left" w:leader="none"/>
        </w:tabs>
        <w:spacing w:before="23"/>
        <w:ind w:left="4960"/>
        <w:rPr>
          <w:rFonts w:ascii="Times New Roman"/>
        </w:rPr>
      </w:pPr>
      <w:r>
        <w:rPr>
          <w:rFonts w:ascii="Times New Roman"/>
          <w:color w:val="3F3F3F"/>
          <w:w w:val="100"/>
          <w:position w:val="1"/>
          <w:u w:val="single" w:color="000000"/>
        </w:rPr>
        <w:t> </w:t>
      </w:r>
      <w:r>
        <w:rPr>
          <w:rFonts w:ascii="Times New Roman"/>
          <w:color w:val="3F3F3F"/>
          <w:position w:val="1"/>
          <w:u w:val="single" w:color="000000"/>
        </w:rPr>
        <w:tab/>
      </w:r>
      <w:r>
        <w:rPr>
          <w:rFonts w:ascii="Times New Roman"/>
          <w:color w:val="3F3F3F"/>
          <w:w w:val="110"/>
          <w:position w:val="1"/>
          <w:u w:val="single" w:color="000000"/>
        </w:rPr>
        <w:t>289</w:t>
      </w:r>
      <w:r>
        <w:rPr>
          <w:rFonts w:ascii="Times New Roman"/>
          <w:color w:val="3F3F3F"/>
          <w:w w:val="110"/>
          <w:position w:val="1"/>
        </w:rPr>
        <w:tab/>
      </w:r>
      <w:r>
        <w:rPr>
          <w:rFonts w:ascii="Times New Roman"/>
          <w:color w:val="3F3F3F"/>
          <w:w w:val="110"/>
          <w:u w:val="single" w:color="000000"/>
        </w:rPr>
        <w:t> </w:t>
        <w:tab/>
        <w:t>746</w:t>
      </w:r>
      <w:r>
        <w:rPr>
          <w:rFonts w:ascii="Times New Roman"/>
          <w:color w:val="3F3F3F"/>
          <w:w w:val="110"/>
        </w:rPr>
        <w:tab/>
      </w:r>
      <w:r>
        <w:rPr>
          <w:rFonts w:ascii="Times New Roman"/>
          <w:color w:val="3F3F3F"/>
          <w:w w:val="110"/>
          <w:position w:val="1"/>
          <w:u w:val="single" w:color="000000"/>
        </w:rPr>
        <w:t> </w:t>
        <w:tab/>
        <w:t>1,035</w:t>
      </w:r>
      <w:r>
        <w:rPr>
          <w:rFonts w:ascii="Times New Roman"/>
          <w:color w:val="3F3F3F"/>
          <w:position w:val="1"/>
          <w:u w:val="single" w:color="000000"/>
        </w:rPr>
        <w:t> </w:t>
      </w:r>
    </w:p>
    <w:p>
      <w:pPr>
        <w:spacing w:after="0"/>
        <w:rPr>
          <w:rFonts w:ascii="Times New Roman"/>
        </w:rPr>
        <w:sectPr>
          <w:type w:val="continuous"/>
          <w:pgSz w:w="10950" w:h="15880"/>
          <w:pgMar w:top="680" w:bottom="280" w:left="500" w:right="0"/>
        </w:sectPr>
      </w:pPr>
    </w:p>
    <w:p>
      <w:pPr>
        <w:pStyle w:val="BodyText"/>
        <w:spacing w:before="8"/>
        <w:rPr>
          <w:rFonts w:ascii="Times New Roman"/>
          <w:sz w:val="13"/>
        </w:rPr>
      </w:pPr>
    </w:p>
    <w:p>
      <w:pPr>
        <w:spacing w:line="256" w:lineRule="auto" w:before="92"/>
        <w:ind w:left="1003" w:right="859" w:firstLine="0"/>
        <w:jc w:val="center"/>
        <w:rPr>
          <w:rFonts w:ascii="Times New Roman"/>
          <w:b/>
          <w:sz w:val="22"/>
        </w:rPr>
      </w:pPr>
      <w:bookmarkStart w:name="_TOC_250000" w:id="21"/>
      <w:r>
        <w:rPr>
          <w:rFonts w:ascii="Times New Roman"/>
          <w:b/>
          <w:color w:val="181818"/>
          <w:spacing w:val="-1"/>
          <w:w w:val="101"/>
          <w:sz w:val="22"/>
        </w:rPr>
        <w:t>STA</w:t>
      </w:r>
      <w:r>
        <w:rPr>
          <w:rFonts w:ascii="Times New Roman"/>
          <w:b/>
          <w:color w:val="181818"/>
          <w:spacing w:val="2"/>
          <w:w w:val="101"/>
          <w:sz w:val="22"/>
        </w:rPr>
        <w:t>T</w:t>
      </w:r>
      <w:r>
        <w:rPr>
          <w:rFonts w:ascii="Times New Roman"/>
          <w:b/>
          <w:color w:val="3B3B3B"/>
          <w:spacing w:val="5"/>
          <w:w w:val="101"/>
          <w:sz w:val="22"/>
        </w:rPr>
        <w:t>E</w:t>
      </w:r>
      <w:r>
        <w:rPr>
          <w:rFonts w:ascii="Times New Roman"/>
          <w:b/>
          <w:color w:val="3B3B3B"/>
          <w:spacing w:val="-1"/>
          <w:w w:val="108"/>
          <w:sz w:val="22"/>
        </w:rPr>
        <w:t>ME</w:t>
      </w:r>
      <w:r>
        <w:rPr>
          <w:rFonts w:ascii="Times New Roman"/>
          <w:b/>
          <w:color w:val="3B3B3B"/>
          <w:spacing w:val="-20"/>
          <w:w w:val="108"/>
          <w:sz w:val="22"/>
        </w:rPr>
        <w:t>N</w:t>
      </w:r>
      <w:r>
        <w:rPr>
          <w:rFonts w:ascii="Times New Roman"/>
          <w:b/>
          <w:color w:val="181818"/>
          <w:w w:val="108"/>
          <w:sz w:val="22"/>
        </w:rPr>
        <w:t>T</w:t>
      </w:r>
      <w:r>
        <w:rPr>
          <w:rFonts w:ascii="Times New Roman"/>
          <w:b/>
          <w:color w:val="181818"/>
          <w:sz w:val="22"/>
        </w:rPr>
        <w:t> </w:t>
      </w:r>
      <w:r>
        <w:rPr>
          <w:rFonts w:ascii="Times New Roman"/>
          <w:b/>
          <w:color w:val="181818"/>
          <w:spacing w:val="-1"/>
          <w:w w:val="107"/>
          <w:sz w:val="22"/>
        </w:rPr>
        <w:t>O</w:t>
      </w:r>
      <w:r>
        <w:rPr>
          <w:rFonts w:ascii="Times New Roman"/>
          <w:b/>
          <w:color w:val="181818"/>
          <w:w w:val="107"/>
          <w:sz w:val="22"/>
        </w:rPr>
        <w:t>F</w:t>
      </w:r>
      <w:r>
        <w:rPr>
          <w:rFonts w:ascii="Times New Roman"/>
          <w:b/>
          <w:color w:val="181818"/>
          <w:sz w:val="22"/>
        </w:rPr>
        <w:t> </w:t>
      </w:r>
      <w:r>
        <w:rPr>
          <w:rFonts w:ascii="Times New Roman"/>
          <w:b/>
          <w:color w:val="181818"/>
          <w:spacing w:val="-1"/>
          <w:w w:val="110"/>
          <w:sz w:val="22"/>
        </w:rPr>
        <w:t>RESPONSIBI</w:t>
      </w:r>
      <w:r>
        <w:rPr>
          <w:rFonts w:ascii="Times New Roman"/>
          <w:b/>
          <w:color w:val="181818"/>
          <w:spacing w:val="-102"/>
          <w:w w:val="110"/>
          <w:sz w:val="22"/>
        </w:rPr>
        <w:t>L</w:t>
      </w:r>
      <w:r>
        <w:rPr>
          <w:rFonts w:ascii="Times New Roman"/>
          <w:b/>
          <w:color w:val="3B3B3B"/>
          <w:spacing w:val="-2"/>
          <w:w w:val="110"/>
          <w:sz w:val="22"/>
        </w:rPr>
        <w:t>I</w:t>
      </w:r>
      <w:r>
        <w:rPr>
          <w:rFonts w:ascii="Times New Roman"/>
          <w:b/>
          <w:color w:val="3B3B3B"/>
          <w:spacing w:val="-1"/>
          <w:w w:val="107"/>
          <w:sz w:val="22"/>
        </w:rPr>
        <w:t>TI</w:t>
      </w:r>
      <w:r>
        <w:rPr>
          <w:rFonts w:ascii="Times New Roman"/>
          <w:b/>
          <w:color w:val="3B3B3B"/>
          <w:spacing w:val="-16"/>
          <w:w w:val="107"/>
          <w:sz w:val="22"/>
        </w:rPr>
        <w:t>E</w:t>
      </w:r>
      <w:r>
        <w:rPr>
          <w:rFonts w:ascii="Times New Roman"/>
          <w:b/>
          <w:color w:val="181818"/>
          <w:w w:val="107"/>
          <w:sz w:val="22"/>
        </w:rPr>
        <w:t>S</w:t>
      </w:r>
      <w:r>
        <w:rPr>
          <w:rFonts w:ascii="Times New Roman"/>
          <w:b/>
          <w:color w:val="181818"/>
          <w:sz w:val="22"/>
        </w:rPr>
        <w:t> </w:t>
      </w:r>
      <w:r>
        <w:rPr>
          <w:rFonts w:ascii="Times New Roman"/>
          <w:b/>
          <w:color w:val="262626"/>
          <w:spacing w:val="-1"/>
          <w:w w:val="106"/>
          <w:sz w:val="22"/>
        </w:rPr>
        <w:t>FO</w:t>
      </w:r>
      <w:r>
        <w:rPr>
          <w:rFonts w:ascii="Times New Roman"/>
          <w:b/>
          <w:color w:val="262626"/>
          <w:w w:val="106"/>
          <w:sz w:val="22"/>
        </w:rPr>
        <w:t>R</w:t>
      </w:r>
      <w:r>
        <w:rPr>
          <w:rFonts w:ascii="Times New Roman"/>
          <w:b/>
          <w:color w:val="262626"/>
          <w:sz w:val="22"/>
        </w:rPr>
        <w:t> </w:t>
      </w:r>
      <w:r>
        <w:rPr>
          <w:rFonts w:ascii="Times New Roman"/>
          <w:b/>
          <w:color w:val="3B3B3B"/>
          <w:spacing w:val="-1"/>
          <w:w w:val="108"/>
          <w:sz w:val="22"/>
        </w:rPr>
        <w:t>TH</w:t>
      </w:r>
      <w:r>
        <w:rPr>
          <w:rFonts w:ascii="Times New Roman"/>
          <w:b/>
          <w:color w:val="3B3B3B"/>
          <w:w w:val="108"/>
          <w:sz w:val="22"/>
        </w:rPr>
        <w:t>E</w:t>
      </w:r>
      <w:r>
        <w:rPr>
          <w:rFonts w:ascii="Times New Roman"/>
          <w:b/>
          <w:color w:val="3B3B3B"/>
          <w:sz w:val="22"/>
        </w:rPr>
        <w:t> </w:t>
      </w:r>
      <w:r>
        <w:rPr>
          <w:rFonts w:ascii="Times New Roman"/>
          <w:b/>
          <w:color w:val="262626"/>
          <w:spacing w:val="-1"/>
          <w:w w:val="104"/>
          <w:sz w:val="22"/>
        </w:rPr>
        <w:t>TRUSTEE'</w:t>
      </w:r>
      <w:r>
        <w:rPr>
          <w:rFonts w:ascii="Times New Roman"/>
          <w:b/>
          <w:color w:val="262626"/>
          <w:w w:val="104"/>
          <w:sz w:val="22"/>
        </w:rPr>
        <w:t>S</w:t>
      </w:r>
      <w:r>
        <w:rPr>
          <w:rFonts w:ascii="Times New Roman"/>
          <w:b/>
          <w:color w:val="262626"/>
          <w:sz w:val="22"/>
        </w:rPr>
        <w:t> </w:t>
      </w:r>
      <w:r>
        <w:rPr>
          <w:rFonts w:ascii="Times New Roman"/>
          <w:b/>
          <w:color w:val="262626"/>
          <w:spacing w:val="-1"/>
          <w:w w:val="104"/>
          <w:sz w:val="22"/>
        </w:rPr>
        <w:t>REPOR</w:t>
      </w:r>
      <w:r>
        <w:rPr>
          <w:rFonts w:ascii="Times New Roman"/>
          <w:b/>
          <w:color w:val="262626"/>
          <w:w w:val="104"/>
          <w:sz w:val="22"/>
        </w:rPr>
        <w:t>T</w:t>
      </w:r>
      <w:r>
        <w:rPr>
          <w:rFonts w:ascii="Times New Roman"/>
          <w:b/>
          <w:color w:val="262626"/>
          <w:sz w:val="22"/>
        </w:rPr>
        <w:t> </w:t>
      </w:r>
      <w:r>
        <w:rPr>
          <w:rFonts w:ascii="Times New Roman"/>
          <w:b/>
          <w:color w:val="262626"/>
          <w:spacing w:val="-1"/>
          <w:w w:val="103"/>
          <w:sz w:val="22"/>
        </w:rPr>
        <w:t>AND </w:t>
      </w:r>
      <w:r>
        <w:rPr>
          <w:rFonts w:ascii="Times New Roman"/>
          <w:b/>
          <w:color w:val="262626"/>
          <w:w w:val="105"/>
          <w:sz w:val="22"/>
        </w:rPr>
        <w:t>ANNUAL </w:t>
      </w:r>
      <w:r>
        <w:rPr>
          <w:rFonts w:ascii="Times New Roman"/>
          <w:b/>
          <w:color w:val="181818"/>
          <w:spacing w:val="-8"/>
          <w:w w:val="105"/>
          <w:sz w:val="22"/>
        </w:rPr>
        <w:t>A</w:t>
      </w:r>
      <w:r>
        <w:rPr>
          <w:rFonts w:ascii="Times New Roman"/>
          <w:b/>
          <w:color w:val="3B3B3B"/>
          <w:spacing w:val="-8"/>
          <w:w w:val="105"/>
          <w:sz w:val="22"/>
        </w:rPr>
        <w:t>CC</w:t>
      </w:r>
      <w:bookmarkEnd w:id="21"/>
      <w:r>
        <w:rPr>
          <w:rFonts w:ascii="Times New Roman"/>
          <w:b/>
          <w:color w:val="181818"/>
          <w:spacing w:val="-8"/>
          <w:w w:val="105"/>
          <w:sz w:val="22"/>
        </w:rPr>
        <w:t>OUNTS</w:t>
      </w:r>
    </w:p>
    <w:p>
      <w:pPr>
        <w:pStyle w:val="BodyText"/>
        <w:rPr>
          <w:rFonts w:ascii="Times New Roman"/>
          <w:b/>
          <w:sz w:val="24"/>
        </w:rPr>
      </w:pPr>
    </w:p>
    <w:p>
      <w:pPr>
        <w:pStyle w:val="BodyText"/>
        <w:spacing w:before="3"/>
        <w:rPr>
          <w:rFonts w:ascii="Times New Roman"/>
          <w:b/>
          <w:sz w:val="34"/>
        </w:rPr>
      </w:pPr>
    </w:p>
    <w:p>
      <w:pPr>
        <w:spacing w:line="244" w:lineRule="auto" w:before="0"/>
        <w:ind w:left="1019" w:right="877" w:hanging="4"/>
        <w:jc w:val="both"/>
        <w:rPr>
          <w:rFonts w:ascii="Times New Roman"/>
          <w:sz w:val="19"/>
        </w:rPr>
      </w:pPr>
      <w:r>
        <w:rPr>
          <w:rFonts w:ascii="Times New Roman"/>
          <w:color w:val="4B4B4B"/>
          <w:sz w:val="19"/>
        </w:rPr>
        <w:t>The Finance </w:t>
      </w:r>
      <w:r>
        <w:rPr>
          <w:rFonts w:ascii="Times New Roman"/>
          <w:color w:val="3B3B3B"/>
          <w:sz w:val="19"/>
        </w:rPr>
        <w:t>Committee, on behalf of the </w:t>
      </w:r>
      <w:r>
        <w:rPr>
          <w:rFonts w:ascii="Times New Roman"/>
          <w:color w:val="262626"/>
          <w:sz w:val="19"/>
        </w:rPr>
        <w:t>Trustee</w:t>
      </w:r>
      <w:r>
        <w:rPr>
          <w:rFonts w:ascii="Times New Roman"/>
          <w:color w:val="4B4B4B"/>
          <w:sz w:val="19"/>
        </w:rPr>
        <w:t>, </w:t>
      </w:r>
      <w:r>
        <w:rPr>
          <w:rFonts w:ascii="Times New Roman"/>
          <w:color w:val="3B3B3B"/>
          <w:sz w:val="19"/>
        </w:rPr>
        <w:t>is </w:t>
      </w:r>
      <w:r>
        <w:rPr>
          <w:rFonts w:ascii="Times New Roman"/>
          <w:color w:val="262626"/>
          <w:sz w:val="19"/>
        </w:rPr>
        <w:t>responsible </w:t>
      </w:r>
      <w:r>
        <w:rPr>
          <w:rFonts w:ascii="Times New Roman"/>
          <w:color w:val="3B3B3B"/>
          <w:sz w:val="19"/>
        </w:rPr>
        <w:t>for ensuring that accounts are prepared for each financial </w:t>
      </w:r>
      <w:r>
        <w:rPr>
          <w:rFonts w:ascii="Times New Roman"/>
          <w:color w:val="4B4B4B"/>
          <w:sz w:val="19"/>
        </w:rPr>
        <w:t>year </w:t>
      </w:r>
      <w:r>
        <w:rPr>
          <w:rFonts w:ascii="Times New Roman"/>
          <w:color w:val="3B3B3B"/>
          <w:sz w:val="19"/>
        </w:rPr>
        <w:t>which give a </w:t>
      </w:r>
      <w:r>
        <w:rPr>
          <w:rFonts w:ascii="Times New Roman"/>
          <w:color w:val="262626"/>
          <w:sz w:val="19"/>
        </w:rPr>
        <w:t>true </w:t>
      </w:r>
      <w:r>
        <w:rPr>
          <w:rFonts w:ascii="Times New Roman"/>
          <w:color w:val="3B3B3B"/>
          <w:sz w:val="19"/>
        </w:rPr>
        <w:t>and </w:t>
      </w:r>
      <w:r>
        <w:rPr>
          <w:rFonts w:ascii="Times New Roman"/>
          <w:color w:val="3B3B3B"/>
          <w:sz w:val="18"/>
        </w:rPr>
        <w:t>fair </w:t>
      </w:r>
      <w:r>
        <w:rPr>
          <w:rFonts w:ascii="Times New Roman"/>
          <w:color w:val="3B3B3B"/>
          <w:sz w:val="19"/>
        </w:rPr>
        <w:t>view of </w:t>
      </w:r>
      <w:r>
        <w:rPr>
          <w:rFonts w:ascii="Times New Roman"/>
          <w:color w:val="4B4B4B"/>
          <w:sz w:val="19"/>
        </w:rPr>
        <w:t>the </w:t>
      </w:r>
      <w:r>
        <w:rPr>
          <w:rFonts w:ascii="Times New Roman"/>
          <w:color w:val="3B3B3B"/>
          <w:sz w:val="19"/>
        </w:rPr>
        <w:t>state of affairs of those trusts, </w:t>
      </w:r>
      <w:r>
        <w:rPr>
          <w:rFonts w:ascii="Times New Roman"/>
          <w:color w:val="4B4B4B"/>
          <w:sz w:val="19"/>
        </w:rPr>
        <w:t>companies </w:t>
      </w:r>
      <w:r>
        <w:rPr>
          <w:rFonts w:ascii="Times New Roman"/>
          <w:color w:val="3B3B3B"/>
          <w:sz w:val="19"/>
        </w:rPr>
        <w:t>and other funds which are administered for the benefit of the United Refonned Church under the overall authority of the </w:t>
      </w:r>
      <w:r>
        <w:rPr>
          <w:rFonts w:ascii="Times New Roman"/>
          <w:color w:val="4B4B4B"/>
          <w:sz w:val="19"/>
        </w:rPr>
        <w:t>General </w:t>
      </w:r>
      <w:r>
        <w:rPr>
          <w:rFonts w:ascii="Times New Roman"/>
          <w:color w:val="3B3B3B"/>
          <w:sz w:val="19"/>
        </w:rPr>
        <w:t>Assembly ('the Church') and of its financial activities during the year. </w:t>
      </w:r>
      <w:r>
        <w:rPr>
          <w:rFonts w:ascii="Times New Roman"/>
          <w:color w:val="4B4B4B"/>
          <w:sz w:val="19"/>
        </w:rPr>
        <w:t>I</w:t>
      </w:r>
      <w:r>
        <w:rPr>
          <w:rFonts w:ascii="Times New Roman"/>
          <w:color w:val="262626"/>
          <w:sz w:val="19"/>
        </w:rPr>
        <w:t>n </w:t>
      </w:r>
      <w:r>
        <w:rPr>
          <w:rFonts w:ascii="Times New Roman"/>
          <w:color w:val="3B3B3B"/>
          <w:sz w:val="19"/>
        </w:rPr>
        <w:t>preparing those financial statements, the Finance Committee is required to</w:t>
      </w:r>
      <w:r>
        <w:rPr>
          <w:rFonts w:ascii="Times New Roman"/>
          <w:color w:val="181818"/>
          <w:sz w:val="19"/>
        </w:rPr>
        <w:t>:</w:t>
      </w:r>
    </w:p>
    <w:p>
      <w:pPr>
        <w:pStyle w:val="ListParagraph"/>
        <w:numPr>
          <w:ilvl w:val="0"/>
          <w:numId w:val="222"/>
        </w:numPr>
        <w:tabs>
          <w:tab w:pos="1282" w:val="left" w:leader="none"/>
        </w:tabs>
        <w:spacing w:line="240" w:lineRule="auto" w:before="127" w:after="0"/>
        <w:ind w:left="1281" w:right="0" w:hanging="271"/>
        <w:jc w:val="both"/>
        <w:rPr>
          <w:rFonts w:ascii="Times New Roman" w:hAnsi="Times New Roman"/>
          <w:color w:val="181818"/>
          <w:sz w:val="19"/>
        </w:rPr>
      </w:pPr>
      <w:r>
        <w:rPr>
          <w:rFonts w:ascii="Times New Roman" w:hAnsi="Times New Roman"/>
          <w:color w:val="3B3B3B"/>
          <w:sz w:val="19"/>
        </w:rPr>
        <w:t>select</w:t>
      </w:r>
      <w:r>
        <w:rPr>
          <w:rFonts w:ascii="Times New Roman" w:hAnsi="Times New Roman"/>
          <w:color w:val="3B3B3B"/>
          <w:spacing w:val="-19"/>
          <w:sz w:val="19"/>
        </w:rPr>
        <w:t> </w:t>
      </w:r>
      <w:r>
        <w:rPr>
          <w:rFonts w:ascii="Times New Roman" w:hAnsi="Times New Roman"/>
          <w:color w:val="4B4B4B"/>
          <w:sz w:val="19"/>
        </w:rPr>
        <w:t>suitable</w:t>
      </w:r>
      <w:r>
        <w:rPr>
          <w:rFonts w:ascii="Times New Roman" w:hAnsi="Times New Roman"/>
          <w:color w:val="4B4B4B"/>
          <w:spacing w:val="-20"/>
          <w:sz w:val="19"/>
        </w:rPr>
        <w:t> </w:t>
      </w:r>
      <w:r>
        <w:rPr>
          <w:rFonts w:ascii="Times New Roman" w:hAnsi="Times New Roman"/>
          <w:color w:val="3B3B3B"/>
          <w:sz w:val="19"/>
        </w:rPr>
        <w:t>accounting</w:t>
      </w:r>
      <w:r>
        <w:rPr>
          <w:rFonts w:ascii="Times New Roman" w:hAnsi="Times New Roman"/>
          <w:color w:val="3B3B3B"/>
          <w:spacing w:val="1"/>
          <w:sz w:val="19"/>
        </w:rPr>
        <w:t> </w:t>
      </w:r>
      <w:r>
        <w:rPr>
          <w:rFonts w:ascii="Times New Roman" w:hAnsi="Times New Roman"/>
          <w:color w:val="3B3B3B"/>
          <w:sz w:val="19"/>
        </w:rPr>
        <w:t>policies</w:t>
      </w:r>
      <w:r>
        <w:rPr>
          <w:rFonts w:ascii="Times New Roman" w:hAnsi="Times New Roman"/>
          <w:color w:val="3B3B3B"/>
          <w:spacing w:val="-13"/>
          <w:sz w:val="19"/>
        </w:rPr>
        <w:t> </w:t>
      </w:r>
      <w:r>
        <w:rPr>
          <w:rFonts w:ascii="Times New Roman" w:hAnsi="Times New Roman"/>
          <w:color w:val="3B3B3B"/>
          <w:sz w:val="19"/>
        </w:rPr>
        <w:t>and</w:t>
      </w:r>
      <w:r>
        <w:rPr>
          <w:rFonts w:ascii="Times New Roman" w:hAnsi="Times New Roman"/>
          <w:color w:val="3B3B3B"/>
          <w:spacing w:val="-15"/>
          <w:sz w:val="19"/>
        </w:rPr>
        <w:t> </w:t>
      </w:r>
      <w:r>
        <w:rPr>
          <w:rFonts w:ascii="Times New Roman" w:hAnsi="Times New Roman"/>
          <w:color w:val="3B3B3B"/>
          <w:sz w:val="19"/>
        </w:rPr>
        <w:t>then</w:t>
      </w:r>
      <w:r>
        <w:rPr>
          <w:rFonts w:ascii="Times New Roman" w:hAnsi="Times New Roman"/>
          <w:color w:val="3B3B3B"/>
          <w:spacing w:val="-11"/>
          <w:sz w:val="19"/>
        </w:rPr>
        <w:t> </w:t>
      </w:r>
      <w:r>
        <w:rPr>
          <w:rFonts w:ascii="Times New Roman" w:hAnsi="Times New Roman"/>
          <w:color w:val="3B3B3B"/>
          <w:sz w:val="19"/>
        </w:rPr>
        <w:t>apply</w:t>
      </w:r>
      <w:r>
        <w:rPr>
          <w:rFonts w:ascii="Times New Roman" w:hAnsi="Times New Roman"/>
          <w:color w:val="3B3B3B"/>
          <w:spacing w:val="-12"/>
          <w:sz w:val="19"/>
        </w:rPr>
        <w:t> </w:t>
      </w:r>
      <w:r>
        <w:rPr>
          <w:rFonts w:ascii="Times New Roman" w:hAnsi="Times New Roman"/>
          <w:color w:val="3B3B3B"/>
          <w:sz w:val="19"/>
        </w:rPr>
        <w:t>them</w:t>
      </w:r>
      <w:r>
        <w:rPr>
          <w:rFonts w:ascii="Times New Roman" w:hAnsi="Times New Roman"/>
          <w:color w:val="3B3B3B"/>
          <w:spacing w:val="-10"/>
          <w:sz w:val="19"/>
        </w:rPr>
        <w:t> </w:t>
      </w:r>
      <w:r>
        <w:rPr>
          <w:rFonts w:ascii="Times New Roman" w:hAnsi="Times New Roman"/>
          <w:color w:val="3B3B3B"/>
          <w:sz w:val="19"/>
        </w:rPr>
        <w:t>consistently;</w:t>
      </w:r>
    </w:p>
    <w:p>
      <w:pPr>
        <w:pStyle w:val="ListParagraph"/>
        <w:numPr>
          <w:ilvl w:val="0"/>
          <w:numId w:val="222"/>
        </w:numPr>
        <w:tabs>
          <w:tab w:pos="1290" w:val="left" w:leader="none"/>
        </w:tabs>
        <w:spacing w:line="240" w:lineRule="auto" w:before="22" w:after="0"/>
        <w:ind w:left="1289" w:right="0" w:hanging="279"/>
        <w:jc w:val="both"/>
        <w:rPr>
          <w:rFonts w:ascii="Times New Roman" w:hAnsi="Times New Roman"/>
          <w:color w:val="181818"/>
          <w:sz w:val="19"/>
        </w:rPr>
      </w:pPr>
      <w:r>
        <w:rPr>
          <w:rFonts w:ascii="Times New Roman" w:hAnsi="Times New Roman"/>
          <w:color w:val="3B3B3B"/>
          <w:sz w:val="19"/>
        </w:rPr>
        <w:t>make</w:t>
      </w:r>
      <w:r>
        <w:rPr>
          <w:rFonts w:ascii="Times New Roman" w:hAnsi="Times New Roman"/>
          <w:color w:val="3B3B3B"/>
          <w:spacing w:val="-12"/>
          <w:sz w:val="19"/>
        </w:rPr>
        <w:t> </w:t>
      </w:r>
      <w:r>
        <w:rPr>
          <w:rFonts w:ascii="Times New Roman" w:hAnsi="Times New Roman"/>
          <w:color w:val="3B3B3B"/>
          <w:sz w:val="19"/>
        </w:rPr>
        <w:t>judgements</w:t>
      </w:r>
      <w:r>
        <w:rPr>
          <w:rFonts w:ascii="Times New Roman" w:hAnsi="Times New Roman"/>
          <w:color w:val="3B3B3B"/>
          <w:spacing w:val="-13"/>
          <w:sz w:val="19"/>
        </w:rPr>
        <w:t> </w:t>
      </w:r>
      <w:r>
        <w:rPr>
          <w:rFonts w:ascii="Times New Roman" w:hAnsi="Times New Roman"/>
          <w:color w:val="3B3B3B"/>
          <w:sz w:val="19"/>
        </w:rPr>
        <w:t>and</w:t>
      </w:r>
      <w:r>
        <w:rPr>
          <w:rFonts w:ascii="Times New Roman" w:hAnsi="Times New Roman"/>
          <w:color w:val="3B3B3B"/>
          <w:spacing w:val="-1"/>
          <w:sz w:val="19"/>
        </w:rPr>
        <w:t> </w:t>
      </w:r>
      <w:r>
        <w:rPr>
          <w:rFonts w:ascii="Times New Roman" w:hAnsi="Times New Roman"/>
          <w:color w:val="3B3B3B"/>
          <w:sz w:val="19"/>
        </w:rPr>
        <w:t>estimates</w:t>
      </w:r>
      <w:r>
        <w:rPr>
          <w:rFonts w:ascii="Times New Roman" w:hAnsi="Times New Roman"/>
          <w:color w:val="3B3B3B"/>
          <w:spacing w:val="-2"/>
          <w:sz w:val="19"/>
        </w:rPr>
        <w:t> </w:t>
      </w:r>
      <w:r>
        <w:rPr>
          <w:rFonts w:ascii="Times New Roman" w:hAnsi="Times New Roman"/>
          <w:color w:val="3B3B3B"/>
          <w:sz w:val="19"/>
        </w:rPr>
        <w:t>that</w:t>
      </w:r>
      <w:r>
        <w:rPr>
          <w:rFonts w:ascii="Times New Roman" w:hAnsi="Times New Roman"/>
          <w:color w:val="3B3B3B"/>
          <w:spacing w:val="-19"/>
          <w:sz w:val="19"/>
        </w:rPr>
        <w:t> </w:t>
      </w:r>
      <w:r>
        <w:rPr>
          <w:rFonts w:ascii="Times New Roman" w:hAnsi="Times New Roman"/>
          <w:color w:val="3B3B3B"/>
          <w:sz w:val="19"/>
        </w:rPr>
        <w:t>are</w:t>
      </w:r>
      <w:r>
        <w:rPr>
          <w:rFonts w:ascii="Times New Roman" w:hAnsi="Times New Roman"/>
          <w:color w:val="3B3B3B"/>
          <w:spacing w:val="-3"/>
          <w:sz w:val="19"/>
        </w:rPr>
        <w:t> </w:t>
      </w:r>
      <w:r>
        <w:rPr>
          <w:rFonts w:ascii="Times New Roman" w:hAnsi="Times New Roman"/>
          <w:color w:val="3B3B3B"/>
          <w:sz w:val="19"/>
        </w:rPr>
        <w:t>reasonable</w:t>
      </w:r>
      <w:r>
        <w:rPr>
          <w:rFonts w:ascii="Times New Roman" w:hAnsi="Times New Roman"/>
          <w:color w:val="3B3B3B"/>
          <w:spacing w:val="-3"/>
          <w:sz w:val="19"/>
        </w:rPr>
        <w:t> </w:t>
      </w:r>
      <w:r>
        <w:rPr>
          <w:rFonts w:ascii="Times New Roman" w:hAnsi="Times New Roman"/>
          <w:color w:val="3B3B3B"/>
          <w:sz w:val="19"/>
        </w:rPr>
        <w:t>and</w:t>
      </w:r>
      <w:r>
        <w:rPr>
          <w:rFonts w:ascii="Times New Roman" w:hAnsi="Times New Roman"/>
          <w:color w:val="3B3B3B"/>
          <w:spacing w:val="-11"/>
          <w:sz w:val="19"/>
        </w:rPr>
        <w:t> </w:t>
      </w:r>
      <w:r>
        <w:rPr>
          <w:rFonts w:ascii="Times New Roman" w:hAnsi="Times New Roman"/>
          <w:color w:val="3B3B3B"/>
          <w:sz w:val="19"/>
        </w:rPr>
        <w:t>prudent;</w:t>
      </w:r>
    </w:p>
    <w:p>
      <w:pPr>
        <w:pStyle w:val="ListParagraph"/>
        <w:numPr>
          <w:ilvl w:val="0"/>
          <w:numId w:val="222"/>
        </w:numPr>
        <w:tabs>
          <w:tab w:pos="1282" w:val="left" w:leader="none"/>
        </w:tabs>
        <w:spacing w:line="247" w:lineRule="auto" w:before="12" w:after="0"/>
        <w:ind w:left="1284" w:right="880" w:hanging="274"/>
        <w:jc w:val="both"/>
        <w:rPr>
          <w:rFonts w:ascii="Times New Roman" w:hAnsi="Times New Roman"/>
          <w:color w:val="050505"/>
          <w:sz w:val="19"/>
        </w:rPr>
      </w:pPr>
      <w:r>
        <w:rPr>
          <w:rFonts w:ascii="Times New Roman" w:hAnsi="Times New Roman"/>
          <w:color w:val="3B3B3B"/>
          <w:sz w:val="19"/>
        </w:rPr>
        <w:t>state whether applicable </w:t>
      </w:r>
      <w:r>
        <w:rPr>
          <w:rFonts w:ascii="Times New Roman" w:hAnsi="Times New Roman"/>
          <w:color w:val="4B4B4B"/>
          <w:spacing w:val="-5"/>
          <w:sz w:val="19"/>
        </w:rPr>
        <w:t>Un</w:t>
      </w:r>
      <w:r>
        <w:rPr>
          <w:rFonts w:ascii="Times New Roman" w:hAnsi="Times New Roman"/>
          <w:color w:val="262626"/>
          <w:spacing w:val="-5"/>
          <w:sz w:val="19"/>
        </w:rPr>
        <w:t>ited </w:t>
      </w:r>
      <w:r>
        <w:rPr>
          <w:rFonts w:ascii="Times New Roman" w:hAnsi="Times New Roman"/>
          <w:color w:val="3B3B3B"/>
          <w:sz w:val="19"/>
        </w:rPr>
        <w:t>Kingdom </w:t>
      </w:r>
      <w:r>
        <w:rPr>
          <w:rFonts w:ascii="Times New Roman" w:hAnsi="Times New Roman"/>
          <w:color w:val="4B4B4B"/>
          <w:sz w:val="19"/>
        </w:rPr>
        <w:t>accounting standards </w:t>
      </w:r>
      <w:r>
        <w:rPr>
          <w:rFonts w:ascii="Times New Roman" w:hAnsi="Times New Roman"/>
          <w:color w:val="3B3B3B"/>
          <w:sz w:val="19"/>
        </w:rPr>
        <w:t>and </w:t>
      </w:r>
      <w:r>
        <w:rPr>
          <w:rFonts w:ascii="Times New Roman" w:hAnsi="Times New Roman"/>
          <w:color w:val="4B4B4B"/>
          <w:sz w:val="19"/>
        </w:rPr>
        <w:t>statements </w:t>
      </w:r>
      <w:r>
        <w:rPr>
          <w:rFonts w:ascii="Times New Roman" w:hAnsi="Times New Roman"/>
          <w:color w:val="3B3B3B"/>
          <w:sz w:val="19"/>
        </w:rPr>
        <w:t>of recommended practice have been followed, </w:t>
      </w:r>
      <w:r>
        <w:rPr>
          <w:rFonts w:ascii="Times New Roman" w:hAnsi="Times New Roman"/>
          <w:color w:val="4B4B4B"/>
          <w:sz w:val="19"/>
        </w:rPr>
        <w:t>subject to </w:t>
      </w:r>
      <w:r>
        <w:rPr>
          <w:rFonts w:ascii="Times New Roman" w:hAnsi="Times New Roman"/>
          <w:color w:val="3B3B3B"/>
          <w:sz w:val="19"/>
        </w:rPr>
        <w:t>any material departures disclosed </w:t>
      </w:r>
      <w:r>
        <w:rPr>
          <w:rFonts w:ascii="Times New Roman" w:hAnsi="Times New Roman"/>
          <w:color w:val="4B4B4B"/>
          <w:sz w:val="19"/>
        </w:rPr>
        <w:t>and </w:t>
      </w:r>
      <w:r>
        <w:rPr>
          <w:rFonts w:ascii="Times New Roman" w:hAnsi="Times New Roman"/>
          <w:color w:val="3B3B3B"/>
          <w:sz w:val="19"/>
        </w:rPr>
        <w:t>explained </w:t>
      </w:r>
      <w:r>
        <w:rPr>
          <w:rFonts w:ascii="Arial" w:hAnsi="Arial"/>
          <w:color w:val="4B4B4B"/>
          <w:sz w:val="19"/>
        </w:rPr>
        <w:t>in </w:t>
      </w:r>
      <w:r>
        <w:rPr>
          <w:rFonts w:ascii="Times New Roman" w:hAnsi="Times New Roman"/>
          <w:color w:val="3B3B3B"/>
          <w:sz w:val="19"/>
        </w:rPr>
        <w:t>the financial statements: and</w:t>
      </w:r>
    </w:p>
    <w:p>
      <w:pPr>
        <w:pStyle w:val="ListParagraph"/>
        <w:numPr>
          <w:ilvl w:val="0"/>
          <w:numId w:val="222"/>
        </w:numPr>
        <w:tabs>
          <w:tab w:pos="1292" w:val="left" w:leader="none"/>
        </w:tabs>
        <w:spacing w:line="254" w:lineRule="auto" w:before="8" w:after="0"/>
        <w:ind w:left="1284" w:right="873" w:hanging="274"/>
        <w:jc w:val="both"/>
        <w:rPr>
          <w:rFonts w:ascii="Times New Roman" w:hAnsi="Times New Roman"/>
          <w:color w:val="181818"/>
          <w:sz w:val="19"/>
        </w:rPr>
      </w:pPr>
      <w:r>
        <w:rPr>
          <w:rFonts w:ascii="Times New Roman" w:hAnsi="Times New Roman"/>
          <w:color w:val="3B3B3B"/>
          <w:sz w:val="19"/>
        </w:rPr>
        <w:t>prepare the financial statements </w:t>
      </w:r>
      <w:r>
        <w:rPr>
          <w:rFonts w:ascii="Times New Roman" w:hAnsi="Times New Roman"/>
          <w:color w:val="262626"/>
          <w:sz w:val="19"/>
        </w:rPr>
        <w:t>on </w:t>
      </w:r>
      <w:r>
        <w:rPr>
          <w:rFonts w:ascii="Times New Roman" w:hAnsi="Times New Roman"/>
          <w:color w:val="181818"/>
          <w:sz w:val="19"/>
        </w:rPr>
        <w:t>t</w:t>
      </w:r>
      <w:r>
        <w:rPr>
          <w:rFonts w:ascii="Times New Roman" w:hAnsi="Times New Roman"/>
          <w:color w:val="3B3B3B"/>
          <w:sz w:val="19"/>
        </w:rPr>
        <w:t>he going concern basis unless </w:t>
      </w:r>
      <w:r>
        <w:rPr>
          <w:rFonts w:ascii="Times New Roman" w:hAnsi="Times New Roman"/>
          <w:color w:val="262626"/>
          <w:sz w:val="19"/>
        </w:rPr>
        <w:t>it is </w:t>
      </w:r>
      <w:r>
        <w:rPr>
          <w:rFonts w:ascii="Times New Roman" w:hAnsi="Times New Roman"/>
          <w:color w:val="3B3B3B"/>
          <w:sz w:val="19"/>
        </w:rPr>
        <w:t>inappropriate to presume that the charity will continue to</w:t>
      </w:r>
      <w:r>
        <w:rPr>
          <w:rFonts w:ascii="Times New Roman" w:hAnsi="Times New Roman"/>
          <w:color w:val="3B3B3B"/>
          <w:spacing w:val="-23"/>
          <w:sz w:val="19"/>
        </w:rPr>
        <w:t> </w:t>
      </w:r>
      <w:r>
        <w:rPr>
          <w:rFonts w:ascii="Times New Roman" w:hAnsi="Times New Roman"/>
          <w:color w:val="3B3B3B"/>
          <w:sz w:val="19"/>
        </w:rPr>
        <w:t>operate.</w:t>
      </w:r>
    </w:p>
    <w:p>
      <w:pPr>
        <w:pStyle w:val="BodyText"/>
        <w:spacing w:before="1"/>
        <w:rPr>
          <w:rFonts w:ascii="Times New Roman"/>
          <w:sz w:val="19"/>
        </w:rPr>
      </w:pPr>
    </w:p>
    <w:p>
      <w:pPr>
        <w:spacing w:line="247" w:lineRule="auto" w:before="0"/>
        <w:ind w:left="1004" w:right="880" w:firstLine="1"/>
        <w:jc w:val="both"/>
        <w:rPr>
          <w:rFonts w:ascii="Times New Roman"/>
          <w:sz w:val="19"/>
        </w:rPr>
      </w:pPr>
      <w:r>
        <w:rPr>
          <w:rFonts w:ascii="Times New Roman"/>
          <w:color w:val="3B3B3B"/>
          <w:sz w:val="19"/>
        </w:rPr>
        <w:t>The</w:t>
      </w:r>
      <w:r>
        <w:rPr>
          <w:rFonts w:ascii="Times New Roman"/>
          <w:color w:val="3B3B3B"/>
          <w:spacing w:val="-9"/>
          <w:sz w:val="19"/>
        </w:rPr>
        <w:t> </w:t>
      </w:r>
      <w:r>
        <w:rPr>
          <w:rFonts w:ascii="Times New Roman"/>
          <w:color w:val="3B3B3B"/>
          <w:sz w:val="19"/>
        </w:rPr>
        <w:t>Finance</w:t>
      </w:r>
      <w:r>
        <w:rPr>
          <w:rFonts w:ascii="Times New Roman"/>
          <w:color w:val="3B3B3B"/>
          <w:spacing w:val="-20"/>
          <w:sz w:val="19"/>
        </w:rPr>
        <w:t> </w:t>
      </w:r>
      <w:r>
        <w:rPr>
          <w:rFonts w:ascii="Times New Roman"/>
          <w:color w:val="3B3B3B"/>
          <w:sz w:val="19"/>
        </w:rPr>
        <w:t>Committee</w:t>
      </w:r>
      <w:r>
        <w:rPr>
          <w:rFonts w:ascii="Times New Roman"/>
          <w:color w:val="3B3B3B"/>
          <w:spacing w:val="-2"/>
          <w:sz w:val="19"/>
        </w:rPr>
        <w:t> </w:t>
      </w:r>
      <w:r>
        <w:rPr>
          <w:rFonts w:ascii="Times New Roman"/>
          <w:color w:val="3B3B3B"/>
          <w:sz w:val="19"/>
        </w:rPr>
        <w:t>is</w:t>
      </w:r>
      <w:r>
        <w:rPr>
          <w:rFonts w:ascii="Times New Roman"/>
          <w:color w:val="3B3B3B"/>
          <w:spacing w:val="8"/>
          <w:sz w:val="19"/>
        </w:rPr>
        <w:t> </w:t>
      </w:r>
      <w:r>
        <w:rPr>
          <w:rFonts w:ascii="Times New Roman"/>
          <w:color w:val="3B3B3B"/>
          <w:sz w:val="19"/>
        </w:rPr>
        <w:t>responsible</w:t>
      </w:r>
      <w:r>
        <w:rPr>
          <w:rFonts w:ascii="Times New Roman"/>
          <w:color w:val="3B3B3B"/>
          <w:spacing w:val="-3"/>
          <w:sz w:val="19"/>
        </w:rPr>
        <w:t> </w:t>
      </w:r>
      <w:r>
        <w:rPr>
          <w:rFonts w:ascii="Times New Roman"/>
          <w:color w:val="3B3B3B"/>
          <w:sz w:val="19"/>
        </w:rPr>
        <w:t>for</w:t>
      </w:r>
      <w:r>
        <w:rPr>
          <w:rFonts w:ascii="Times New Roman"/>
          <w:color w:val="3B3B3B"/>
          <w:spacing w:val="-9"/>
          <w:sz w:val="19"/>
        </w:rPr>
        <w:t> </w:t>
      </w:r>
      <w:r>
        <w:rPr>
          <w:rFonts w:ascii="Times New Roman"/>
          <w:color w:val="3B3B3B"/>
          <w:sz w:val="19"/>
        </w:rPr>
        <w:t>ensuring</w:t>
      </w:r>
      <w:r>
        <w:rPr>
          <w:rFonts w:ascii="Times New Roman"/>
          <w:color w:val="3B3B3B"/>
          <w:spacing w:val="-4"/>
          <w:sz w:val="19"/>
        </w:rPr>
        <w:t> </w:t>
      </w:r>
      <w:r>
        <w:rPr>
          <w:rFonts w:ascii="Times New Roman"/>
          <w:color w:val="3B3B3B"/>
          <w:sz w:val="19"/>
        </w:rPr>
        <w:t>that</w:t>
      </w:r>
      <w:r>
        <w:rPr>
          <w:rFonts w:ascii="Times New Roman"/>
          <w:color w:val="3B3B3B"/>
          <w:spacing w:val="-9"/>
          <w:sz w:val="19"/>
        </w:rPr>
        <w:t> </w:t>
      </w:r>
      <w:r>
        <w:rPr>
          <w:rFonts w:ascii="Times New Roman"/>
          <w:color w:val="3B3B3B"/>
          <w:sz w:val="19"/>
        </w:rPr>
        <w:t>proper</w:t>
      </w:r>
      <w:r>
        <w:rPr>
          <w:rFonts w:ascii="Times New Roman"/>
          <w:color w:val="3B3B3B"/>
          <w:spacing w:val="-11"/>
          <w:sz w:val="19"/>
        </w:rPr>
        <w:t> </w:t>
      </w:r>
      <w:r>
        <w:rPr>
          <w:rFonts w:ascii="Times New Roman"/>
          <w:color w:val="3B3B3B"/>
          <w:sz w:val="19"/>
        </w:rPr>
        <w:t>accounting</w:t>
      </w:r>
      <w:r>
        <w:rPr>
          <w:rFonts w:ascii="Times New Roman"/>
          <w:color w:val="3B3B3B"/>
          <w:spacing w:val="-16"/>
          <w:sz w:val="19"/>
        </w:rPr>
        <w:t> </w:t>
      </w:r>
      <w:r>
        <w:rPr>
          <w:rFonts w:ascii="Times New Roman"/>
          <w:color w:val="4B4B4B"/>
          <w:sz w:val="19"/>
        </w:rPr>
        <w:t>records</w:t>
      </w:r>
      <w:r>
        <w:rPr>
          <w:rFonts w:ascii="Times New Roman"/>
          <w:color w:val="4B4B4B"/>
          <w:spacing w:val="-12"/>
          <w:sz w:val="19"/>
        </w:rPr>
        <w:t> </w:t>
      </w:r>
      <w:r>
        <w:rPr>
          <w:rFonts w:ascii="Times New Roman"/>
          <w:color w:val="3B3B3B"/>
          <w:sz w:val="19"/>
        </w:rPr>
        <w:t>are</w:t>
      </w:r>
      <w:r>
        <w:rPr>
          <w:rFonts w:ascii="Times New Roman"/>
          <w:color w:val="3B3B3B"/>
          <w:spacing w:val="-20"/>
          <w:sz w:val="19"/>
        </w:rPr>
        <w:t> </w:t>
      </w:r>
      <w:r>
        <w:rPr>
          <w:rFonts w:ascii="Times New Roman"/>
          <w:color w:val="3B3B3B"/>
          <w:sz w:val="19"/>
        </w:rPr>
        <w:t>maintained</w:t>
      </w:r>
      <w:r>
        <w:rPr>
          <w:rFonts w:ascii="Times New Roman"/>
          <w:color w:val="3B3B3B"/>
          <w:spacing w:val="16"/>
          <w:sz w:val="19"/>
        </w:rPr>
        <w:t> </w:t>
      </w:r>
      <w:r>
        <w:rPr>
          <w:rFonts w:ascii="Times New Roman"/>
          <w:color w:val="3B3B3B"/>
          <w:sz w:val="19"/>
        </w:rPr>
        <w:t>which</w:t>
      </w:r>
      <w:r>
        <w:rPr>
          <w:rFonts w:ascii="Times New Roman"/>
          <w:color w:val="3B3B3B"/>
          <w:spacing w:val="-6"/>
          <w:sz w:val="19"/>
        </w:rPr>
        <w:t> </w:t>
      </w:r>
      <w:r>
        <w:rPr>
          <w:rFonts w:ascii="Times New Roman"/>
          <w:color w:val="3B3B3B"/>
          <w:sz w:val="19"/>
        </w:rPr>
        <w:t>disclose with reasonable accuracy at any </w:t>
      </w:r>
      <w:r>
        <w:rPr>
          <w:rFonts w:ascii="Times New Roman"/>
          <w:color w:val="262626"/>
          <w:sz w:val="19"/>
        </w:rPr>
        <w:t>time </w:t>
      </w:r>
      <w:r>
        <w:rPr>
          <w:rFonts w:ascii="Times New Roman"/>
          <w:color w:val="3B3B3B"/>
          <w:sz w:val="19"/>
        </w:rPr>
        <w:t>the </w:t>
      </w:r>
      <w:r>
        <w:rPr>
          <w:rFonts w:ascii="Times New Roman"/>
          <w:color w:val="4B4B4B"/>
          <w:sz w:val="19"/>
        </w:rPr>
        <w:t>financial </w:t>
      </w:r>
      <w:r>
        <w:rPr>
          <w:rFonts w:ascii="Times New Roman"/>
          <w:color w:val="3B3B3B"/>
          <w:sz w:val="19"/>
        </w:rPr>
        <w:t>position of the Church and enable it to ensure that the </w:t>
      </w:r>
      <w:r>
        <w:rPr>
          <w:rFonts w:ascii="Times New Roman"/>
          <w:color w:val="4B4B4B"/>
          <w:sz w:val="19"/>
        </w:rPr>
        <w:t>financial </w:t>
      </w:r>
      <w:r>
        <w:rPr>
          <w:rFonts w:ascii="Times New Roman"/>
          <w:color w:val="3B3B3B"/>
          <w:sz w:val="19"/>
        </w:rPr>
        <w:t>statements comply with generally </w:t>
      </w:r>
      <w:r>
        <w:rPr>
          <w:rFonts w:ascii="Times New Roman"/>
          <w:color w:val="4B4B4B"/>
          <w:sz w:val="19"/>
        </w:rPr>
        <w:t>accepted </w:t>
      </w:r>
      <w:r>
        <w:rPr>
          <w:rFonts w:ascii="Times New Roman"/>
          <w:color w:val="3B3B3B"/>
          <w:sz w:val="19"/>
        </w:rPr>
        <w:t>accounting practice. The Finance Committee, on behalf of the Trustee, </w:t>
      </w:r>
      <w:r>
        <w:rPr>
          <w:rFonts w:ascii="Times New Roman"/>
          <w:color w:val="181818"/>
          <w:spacing w:val="-5"/>
          <w:sz w:val="19"/>
        </w:rPr>
        <w:t>i</w:t>
      </w:r>
      <w:r>
        <w:rPr>
          <w:rFonts w:ascii="Times New Roman"/>
          <w:color w:val="4B4B4B"/>
          <w:spacing w:val="-5"/>
          <w:sz w:val="19"/>
        </w:rPr>
        <w:t>s </w:t>
      </w:r>
      <w:r>
        <w:rPr>
          <w:rFonts w:ascii="Times New Roman"/>
          <w:color w:val="3B3B3B"/>
          <w:sz w:val="19"/>
        </w:rPr>
        <w:t>also responsible </w:t>
      </w:r>
      <w:r>
        <w:rPr>
          <w:rFonts w:ascii="Times New Roman"/>
          <w:color w:val="4B4B4B"/>
          <w:spacing w:val="4"/>
          <w:sz w:val="19"/>
        </w:rPr>
        <w:t>fo</w:t>
      </w:r>
      <w:r>
        <w:rPr>
          <w:rFonts w:ascii="Times New Roman"/>
          <w:color w:val="181818"/>
          <w:spacing w:val="4"/>
          <w:sz w:val="19"/>
        </w:rPr>
        <w:t>r </w:t>
      </w:r>
      <w:r>
        <w:rPr>
          <w:rFonts w:ascii="Times New Roman"/>
          <w:color w:val="4B4B4B"/>
          <w:sz w:val="19"/>
        </w:rPr>
        <w:t>safeguarding the </w:t>
      </w:r>
      <w:r>
        <w:rPr>
          <w:rFonts w:ascii="Times New Roman"/>
          <w:color w:val="3B3B3B"/>
          <w:sz w:val="19"/>
        </w:rPr>
        <w:t>assets of the charity and hence for taking reasonable </w:t>
      </w:r>
      <w:r>
        <w:rPr>
          <w:rFonts w:ascii="Times New Roman"/>
          <w:color w:val="4B4B4B"/>
          <w:sz w:val="19"/>
        </w:rPr>
        <w:t>steps for</w:t>
      </w:r>
      <w:r>
        <w:rPr>
          <w:rFonts w:ascii="Times New Roman"/>
          <w:color w:val="4B4B4B"/>
          <w:spacing w:val="-15"/>
          <w:sz w:val="19"/>
        </w:rPr>
        <w:t> </w:t>
      </w:r>
      <w:r>
        <w:rPr>
          <w:rFonts w:ascii="Times New Roman"/>
          <w:color w:val="3B3B3B"/>
          <w:sz w:val="19"/>
        </w:rPr>
        <w:t>the</w:t>
      </w:r>
      <w:r>
        <w:rPr>
          <w:rFonts w:ascii="Times New Roman"/>
          <w:color w:val="3B3B3B"/>
          <w:spacing w:val="-10"/>
          <w:sz w:val="19"/>
        </w:rPr>
        <w:t> </w:t>
      </w:r>
      <w:r>
        <w:rPr>
          <w:rFonts w:ascii="Times New Roman"/>
          <w:color w:val="4B4B4B"/>
          <w:sz w:val="19"/>
        </w:rPr>
        <w:t>prevention</w:t>
      </w:r>
      <w:r>
        <w:rPr>
          <w:rFonts w:ascii="Times New Roman"/>
          <w:color w:val="4B4B4B"/>
          <w:spacing w:val="12"/>
          <w:sz w:val="19"/>
        </w:rPr>
        <w:t> </w:t>
      </w:r>
      <w:r>
        <w:rPr>
          <w:rFonts w:ascii="Times New Roman"/>
          <w:color w:val="3B3B3B"/>
          <w:sz w:val="19"/>
        </w:rPr>
        <w:t>and</w:t>
      </w:r>
      <w:r>
        <w:rPr>
          <w:rFonts w:ascii="Times New Roman"/>
          <w:color w:val="3B3B3B"/>
          <w:spacing w:val="-20"/>
          <w:sz w:val="19"/>
        </w:rPr>
        <w:t> </w:t>
      </w:r>
      <w:r>
        <w:rPr>
          <w:rFonts w:ascii="Times New Roman"/>
          <w:color w:val="3B3B3B"/>
          <w:sz w:val="19"/>
        </w:rPr>
        <w:t>detection</w:t>
      </w:r>
      <w:r>
        <w:rPr>
          <w:rFonts w:ascii="Times New Roman"/>
          <w:color w:val="3B3B3B"/>
          <w:spacing w:val="-12"/>
          <w:sz w:val="19"/>
        </w:rPr>
        <w:t> </w:t>
      </w:r>
      <w:r>
        <w:rPr>
          <w:rFonts w:ascii="Times New Roman"/>
          <w:color w:val="3B3B3B"/>
          <w:sz w:val="19"/>
        </w:rPr>
        <w:t>of</w:t>
      </w:r>
      <w:r>
        <w:rPr>
          <w:rFonts w:ascii="Times New Roman"/>
          <w:color w:val="3B3B3B"/>
          <w:spacing w:val="4"/>
          <w:sz w:val="19"/>
        </w:rPr>
        <w:t> </w:t>
      </w:r>
      <w:r>
        <w:rPr>
          <w:rFonts w:ascii="Times New Roman"/>
          <w:color w:val="3B3B3B"/>
          <w:sz w:val="19"/>
        </w:rPr>
        <w:t>fraud</w:t>
      </w:r>
      <w:r>
        <w:rPr>
          <w:rFonts w:ascii="Times New Roman"/>
          <w:color w:val="3B3B3B"/>
          <w:spacing w:val="-7"/>
          <w:sz w:val="19"/>
        </w:rPr>
        <w:t> </w:t>
      </w:r>
      <w:r>
        <w:rPr>
          <w:rFonts w:ascii="Times New Roman"/>
          <w:color w:val="3B3B3B"/>
          <w:sz w:val="19"/>
        </w:rPr>
        <w:t>and</w:t>
      </w:r>
      <w:r>
        <w:rPr>
          <w:rFonts w:ascii="Times New Roman"/>
          <w:color w:val="3B3B3B"/>
          <w:spacing w:val="-10"/>
          <w:sz w:val="19"/>
        </w:rPr>
        <w:t> </w:t>
      </w:r>
      <w:r>
        <w:rPr>
          <w:rFonts w:ascii="Times New Roman"/>
          <w:color w:val="3B3B3B"/>
          <w:sz w:val="19"/>
        </w:rPr>
        <w:t>other</w:t>
      </w:r>
      <w:r>
        <w:rPr>
          <w:rFonts w:ascii="Times New Roman"/>
          <w:color w:val="3B3B3B"/>
          <w:spacing w:val="-7"/>
          <w:sz w:val="19"/>
        </w:rPr>
        <w:t> </w:t>
      </w:r>
      <w:r>
        <w:rPr>
          <w:rFonts w:ascii="Times New Roman"/>
          <w:color w:val="3B3B3B"/>
          <w:sz w:val="19"/>
        </w:rPr>
        <w:t>irregularities.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r>
        <w:rPr/>
        <w:pict>
          <v:shape style="position:absolute;margin-left:75.113022pt;margin-top:13.00498pt;width:428.05pt;height:.1pt;mso-position-horizontal-relative:page;mso-position-vertical-relative:paragraph;z-index:-251168768;mso-wrap-distance-left:0;mso-wrap-distance-right:0" coordorigin="1502,260" coordsize="8561,0" path="m1502,260l10063,260e" filled="false" stroked="true" strokeweight=".481115pt" strokecolor="#000000">
            <v:path arrowok="t"/>
            <v:stroke dashstyle="solid"/>
            <w10:wrap type="topAndBottom"/>
          </v:shape>
        </w:pict>
      </w:r>
    </w:p>
    <w:p>
      <w:pPr>
        <w:spacing w:before="0"/>
        <w:ind w:left="956" w:right="875" w:firstLine="0"/>
        <w:jc w:val="center"/>
        <w:rPr>
          <w:rFonts w:ascii="Times New Roman"/>
          <w:i/>
          <w:sz w:val="20"/>
        </w:rPr>
      </w:pPr>
      <w:r>
        <w:rPr>
          <w:rFonts w:ascii="Times New Roman"/>
          <w:i/>
          <w:color w:val="3B3B3B"/>
          <w:w w:val="105"/>
          <w:sz w:val="20"/>
        </w:rPr>
        <w:t>The above statements are formal </w:t>
      </w:r>
      <w:r>
        <w:rPr>
          <w:rFonts w:ascii="Times New Roman"/>
          <w:i/>
          <w:color w:val="4B4B4B"/>
          <w:w w:val="105"/>
          <w:sz w:val="20"/>
        </w:rPr>
        <w:t>statements, </w:t>
      </w:r>
      <w:r>
        <w:rPr>
          <w:rFonts w:ascii="Times New Roman"/>
          <w:i/>
          <w:color w:val="3B3B3B"/>
          <w:w w:val="105"/>
          <w:sz w:val="20"/>
        </w:rPr>
        <w:t>which are </w:t>
      </w:r>
      <w:r>
        <w:rPr>
          <w:rFonts w:ascii="Times New Roman"/>
          <w:i/>
          <w:color w:val="4B4B4B"/>
          <w:w w:val="105"/>
          <w:sz w:val="20"/>
        </w:rPr>
        <w:t>included </w:t>
      </w:r>
      <w:r>
        <w:rPr>
          <w:rFonts w:ascii="Times New Roman"/>
          <w:i/>
          <w:color w:val="3B3B3B"/>
          <w:w w:val="105"/>
          <w:sz w:val="20"/>
        </w:rPr>
        <w:t>in the accounts of all companies</w:t>
      </w:r>
    </w:p>
    <w:p>
      <w:pPr>
        <w:tabs>
          <w:tab w:pos="4416" w:val="left" w:leader="none"/>
          <w:tab w:pos="9739" w:val="left" w:leader="none"/>
        </w:tabs>
        <w:spacing w:before="1"/>
        <w:ind w:left="973" w:right="0" w:firstLine="0"/>
        <w:jc w:val="left"/>
        <w:rPr>
          <w:rFonts w:ascii="Times New Roman" w:hAnsi="Times New Roman"/>
          <w:i/>
          <w:sz w:val="20"/>
        </w:rPr>
      </w:pPr>
      <w:r>
        <w:rPr>
          <w:rFonts w:ascii="Times New Roman" w:hAnsi="Times New Roman"/>
          <w:i/>
          <w:color w:val="3B3B3B"/>
          <w:w w:val="100"/>
          <w:sz w:val="20"/>
          <w:u w:val="single" w:color="000000"/>
        </w:rPr>
        <w:t> </w:t>
      </w:r>
      <w:r>
        <w:rPr>
          <w:rFonts w:ascii="Times New Roman" w:hAnsi="Times New Roman"/>
          <w:i/>
          <w:color w:val="3B3B3B"/>
          <w:sz w:val="20"/>
          <w:u w:val="single" w:color="000000"/>
        </w:rPr>
        <w:tab/>
      </w:r>
      <w:r>
        <w:rPr>
          <w:rFonts w:ascii="Times New Roman" w:hAnsi="Times New Roman"/>
          <w:i/>
          <w:color w:val="3B3B3B"/>
          <w:w w:val="105"/>
          <w:sz w:val="20"/>
          <w:u w:val="single" w:color="000000"/>
        </w:rPr>
        <w:t>and ma·or</w:t>
      </w:r>
      <w:r>
        <w:rPr>
          <w:rFonts w:ascii="Times New Roman" w:hAnsi="Times New Roman"/>
          <w:i/>
          <w:color w:val="3B3B3B"/>
          <w:spacing w:val="-11"/>
          <w:w w:val="105"/>
          <w:sz w:val="20"/>
          <w:u w:val="single" w:color="000000"/>
        </w:rPr>
        <w:t> </w:t>
      </w:r>
      <w:r>
        <w:rPr>
          <w:rFonts w:ascii="Times New Roman" w:hAnsi="Times New Roman"/>
          <w:i/>
          <w:color w:val="3B3B3B"/>
          <w:w w:val="105"/>
          <w:sz w:val="20"/>
          <w:u w:val="single" w:color="000000"/>
        </w:rPr>
        <w:t>charities.</w:t>
      </w:r>
      <w:r>
        <w:rPr>
          <w:rFonts w:ascii="Times New Roman" w:hAnsi="Times New Roman"/>
          <w:i/>
          <w:color w:val="3B3B3B"/>
          <w:sz w:val="20"/>
          <w:u w:val="single" w:color="000000"/>
        </w:rPr>
        <w:tab/>
      </w:r>
    </w:p>
    <w:p>
      <w:pPr>
        <w:spacing w:after="0"/>
        <w:jc w:val="left"/>
        <w:rPr>
          <w:rFonts w:ascii="Times New Roman" w:hAnsi="Times New Roman"/>
          <w:sz w:val="20"/>
        </w:rPr>
        <w:sectPr>
          <w:headerReference w:type="even" r:id="rId539"/>
          <w:headerReference w:type="default" r:id="rId540"/>
          <w:footerReference w:type="even" r:id="rId541"/>
          <w:pgSz w:w="10950" w:h="15880"/>
          <w:pgMar w:header="294" w:footer="0" w:top="520" w:bottom="280" w:left="500" w:right="0"/>
          <w:pgNumType w:start="24"/>
        </w:sectPr>
      </w:pPr>
    </w:p>
    <w:p>
      <w:pPr>
        <w:pStyle w:val="BodyText"/>
        <w:rPr>
          <w:rFonts w:ascii="Times New Roman"/>
          <w:i/>
          <w:sz w:val="20"/>
        </w:rPr>
      </w:pPr>
    </w:p>
    <w:p>
      <w:pPr>
        <w:pStyle w:val="BodyText"/>
        <w:spacing w:before="4"/>
        <w:rPr>
          <w:rFonts w:ascii="Times New Roman"/>
          <w:i/>
          <w:sz w:val="20"/>
        </w:rPr>
      </w:pPr>
    </w:p>
    <w:p>
      <w:pPr>
        <w:spacing w:before="91"/>
        <w:ind w:left="1366" w:right="1233" w:firstLine="0"/>
        <w:jc w:val="center"/>
        <w:rPr>
          <w:rFonts w:ascii="Times New Roman"/>
          <w:b/>
          <w:sz w:val="22"/>
        </w:rPr>
      </w:pPr>
      <w:r>
        <w:rPr>
          <w:rFonts w:ascii="Times New Roman"/>
          <w:b/>
          <w:color w:val="2B2B2B"/>
          <w:w w:val="105"/>
          <w:sz w:val="22"/>
        </w:rPr>
        <w:t>INDEPENDENT AUDITORS' </w:t>
      </w:r>
      <w:r>
        <w:rPr>
          <w:rFonts w:ascii="Times New Roman"/>
          <w:b/>
          <w:color w:val="131313"/>
          <w:w w:val="105"/>
          <w:sz w:val="22"/>
        </w:rPr>
        <w:t>REPORT </w:t>
      </w:r>
      <w:r>
        <w:rPr>
          <w:rFonts w:ascii="Times New Roman"/>
          <w:b/>
          <w:color w:val="2B2B2B"/>
          <w:w w:val="105"/>
          <w:sz w:val="22"/>
        </w:rPr>
        <w:t>TO</w:t>
      </w:r>
    </w:p>
    <w:p>
      <w:pPr>
        <w:spacing w:before="7"/>
        <w:ind w:left="1340" w:right="1233" w:firstLine="0"/>
        <w:jc w:val="center"/>
        <w:rPr>
          <w:rFonts w:ascii="Times New Roman"/>
          <w:b/>
          <w:sz w:val="22"/>
        </w:rPr>
      </w:pPr>
      <w:r>
        <w:rPr>
          <w:rFonts w:ascii="Times New Roman"/>
          <w:b/>
          <w:color w:val="131313"/>
          <w:w w:val="105"/>
          <w:sz w:val="22"/>
        </w:rPr>
        <w:t>THE GENERAL </w:t>
      </w:r>
      <w:r>
        <w:rPr>
          <w:rFonts w:ascii="Times New Roman"/>
          <w:b/>
          <w:color w:val="2B2B2B"/>
          <w:w w:val="105"/>
          <w:sz w:val="22"/>
        </w:rPr>
        <w:t>ASSEMBLY </w:t>
      </w:r>
      <w:r>
        <w:rPr>
          <w:rFonts w:ascii="Times New Roman"/>
          <w:b/>
          <w:color w:val="131313"/>
          <w:w w:val="105"/>
          <w:sz w:val="22"/>
        </w:rPr>
        <w:t>OF </w:t>
      </w:r>
      <w:r>
        <w:rPr>
          <w:rFonts w:ascii="Times New Roman"/>
          <w:b/>
          <w:color w:val="2B2B2B"/>
          <w:w w:val="105"/>
          <w:sz w:val="22"/>
        </w:rPr>
        <w:t>THE UNITED </w:t>
      </w:r>
      <w:r>
        <w:rPr>
          <w:rFonts w:ascii="Times New Roman"/>
          <w:b/>
          <w:color w:val="131313"/>
          <w:w w:val="105"/>
          <w:sz w:val="22"/>
        </w:rPr>
        <w:t>REFORMED </w:t>
      </w:r>
      <w:r>
        <w:rPr>
          <w:rFonts w:ascii="Times New Roman"/>
          <w:b/>
          <w:color w:val="2B2B2B"/>
          <w:w w:val="105"/>
          <w:sz w:val="22"/>
        </w:rPr>
        <w:t>CHURCH</w:t>
      </w:r>
    </w:p>
    <w:p>
      <w:pPr>
        <w:pStyle w:val="BodyText"/>
        <w:rPr>
          <w:rFonts w:ascii="Times New Roman"/>
          <w:b/>
          <w:sz w:val="24"/>
        </w:rPr>
      </w:pPr>
    </w:p>
    <w:p>
      <w:pPr>
        <w:pStyle w:val="BodyText"/>
        <w:rPr>
          <w:rFonts w:ascii="Times New Roman"/>
          <w:b/>
          <w:sz w:val="24"/>
        </w:rPr>
      </w:pPr>
    </w:p>
    <w:p>
      <w:pPr>
        <w:pStyle w:val="BodyText"/>
        <w:spacing w:before="3"/>
        <w:rPr>
          <w:rFonts w:ascii="Times New Roman"/>
          <w:b/>
          <w:sz w:val="20"/>
        </w:rPr>
      </w:pPr>
    </w:p>
    <w:p>
      <w:pPr>
        <w:pStyle w:val="BodyText"/>
        <w:spacing w:line="256" w:lineRule="auto"/>
        <w:ind w:left="1039" w:right="891" w:firstLine="8"/>
        <w:jc w:val="both"/>
        <w:rPr>
          <w:rFonts w:ascii="Times New Roman"/>
        </w:rPr>
      </w:pPr>
      <w:r>
        <w:rPr>
          <w:rFonts w:ascii="Times New Roman"/>
          <w:color w:val="3D3D3D"/>
          <w:w w:val="105"/>
        </w:rPr>
        <w:t>We </w:t>
      </w:r>
      <w:r>
        <w:rPr>
          <w:rFonts w:ascii="Times New Roman"/>
          <w:color w:val="2B2B2B"/>
          <w:w w:val="105"/>
        </w:rPr>
        <w:t>have </w:t>
      </w:r>
      <w:r>
        <w:rPr>
          <w:rFonts w:ascii="Times New Roman"/>
          <w:color w:val="3D3D3D"/>
          <w:w w:val="105"/>
        </w:rPr>
        <w:t>audited the financial statements of the United Reformed Church for the year ended 31 </w:t>
      </w:r>
      <w:r>
        <w:rPr>
          <w:rFonts w:ascii="Times New Roman"/>
          <w:color w:val="2B2B2B"/>
          <w:w w:val="105"/>
        </w:rPr>
        <w:t>December </w:t>
      </w:r>
      <w:r>
        <w:rPr>
          <w:rFonts w:ascii="Times New Roman"/>
          <w:color w:val="3D3D3D"/>
          <w:w w:val="105"/>
        </w:rPr>
        <w:t>2006 which comprise the statement of financial activities, the balance sheet, the cash flow statement and </w:t>
      </w:r>
      <w:r>
        <w:rPr>
          <w:rFonts w:ascii="Times New Roman"/>
          <w:color w:val="2B2B2B"/>
          <w:w w:val="105"/>
        </w:rPr>
        <w:t>the </w:t>
      </w:r>
      <w:r>
        <w:rPr>
          <w:rFonts w:ascii="Times New Roman"/>
          <w:color w:val="3D3D3D"/>
          <w:w w:val="105"/>
        </w:rPr>
        <w:t>related notes. These financial statements have been prepared under the accounting policies set out therein</w:t>
      </w:r>
      <w:r>
        <w:rPr>
          <w:rFonts w:ascii="Times New Roman"/>
          <w:color w:val="131313"/>
          <w:w w:val="105"/>
        </w:rPr>
        <w:t>.</w:t>
      </w:r>
    </w:p>
    <w:p>
      <w:pPr>
        <w:pStyle w:val="BodyText"/>
        <w:spacing w:before="8"/>
        <w:rPr>
          <w:rFonts w:ascii="Times New Roman"/>
          <w:sz w:val="16"/>
        </w:rPr>
      </w:pPr>
    </w:p>
    <w:p>
      <w:pPr>
        <w:spacing w:before="0"/>
        <w:ind w:left="1037" w:right="0" w:firstLine="0"/>
        <w:jc w:val="both"/>
        <w:rPr>
          <w:rFonts w:ascii="Times New Roman"/>
          <w:b/>
          <w:sz w:val="18"/>
        </w:rPr>
      </w:pPr>
      <w:r>
        <w:rPr>
          <w:rFonts w:ascii="Times New Roman"/>
          <w:b/>
          <w:color w:val="2B2B2B"/>
          <w:w w:val="105"/>
          <w:sz w:val="18"/>
        </w:rPr>
        <w:t>Respective </w:t>
      </w:r>
      <w:r>
        <w:rPr>
          <w:rFonts w:ascii="Times New Roman"/>
          <w:b/>
          <w:color w:val="131313"/>
          <w:w w:val="105"/>
          <w:sz w:val="18"/>
        </w:rPr>
        <w:t>responsibilitie</w:t>
      </w:r>
      <w:r>
        <w:rPr>
          <w:rFonts w:ascii="Times New Roman"/>
          <w:b/>
          <w:color w:val="3D3D3D"/>
          <w:w w:val="105"/>
          <w:sz w:val="18"/>
        </w:rPr>
        <w:t>s </w:t>
      </w:r>
      <w:r>
        <w:rPr>
          <w:rFonts w:ascii="Times New Roman"/>
          <w:b/>
          <w:color w:val="131313"/>
          <w:w w:val="105"/>
          <w:sz w:val="18"/>
        </w:rPr>
        <w:t>of </w:t>
      </w:r>
      <w:r>
        <w:rPr>
          <w:rFonts w:ascii="Times New Roman"/>
          <w:b/>
          <w:color w:val="2B2B2B"/>
          <w:w w:val="105"/>
          <w:sz w:val="18"/>
        </w:rPr>
        <w:t>the Finance Committee and auditors</w:t>
      </w:r>
    </w:p>
    <w:p>
      <w:pPr>
        <w:pStyle w:val="BodyText"/>
        <w:spacing w:before="11"/>
        <w:rPr>
          <w:rFonts w:ascii="Times New Roman"/>
          <w:b/>
          <w:sz w:val="17"/>
        </w:rPr>
      </w:pPr>
    </w:p>
    <w:p>
      <w:pPr>
        <w:pStyle w:val="BodyText"/>
        <w:spacing w:line="256" w:lineRule="auto"/>
        <w:ind w:left="1028" w:right="907" w:firstLine="1"/>
        <w:jc w:val="both"/>
        <w:rPr>
          <w:rFonts w:ascii="Times New Roman"/>
        </w:rPr>
      </w:pPr>
      <w:r>
        <w:rPr>
          <w:rFonts w:ascii="Times New Roman"/>
          <w:color w:val="3D3D3D"/>
          <w:w w:val="105"/>
        </w:rPr>
        <w:t>As set out </w:t>
      </w:r>
      <w:r>
        <w:rPr>
          <w:rFonts w:ascii="Times New Roman"/>
          <w:color w:val="2B2B2B"/>
          <w:w w:val="105"/>
        </w:rPr>
        <w:t>in </w:t>
      </w:r>
      <w:r>
        <w:rPr>
          <w:rFonts w:ascii="Times New Roman"/>
          <w:color w:val="3D3D3D"/>
          <w:w w:val="105"/>
        </w:rPr>
        <w:t>the Statement of Responsibilities the </w:t>
      </w:r>
      <w:r>
        <w:rPr>
          <w:rFonts w:ascii="Times New Roman"/>
          <w:color w:val="525252"/>
          <w:w w:val="105"/>
        </w:rPr>
        <w:t>Finance </w:t>
      </w:r>
      <w:r>
        <w:rPr>
          <w:rFonts w:ascii="Times New Roman"/>
          <w:color w:val="3D3D3D"/>
          <w:w w:val="105"/>
        </w:rPr>
        <w:t>Committee is </w:t>
      </w:r>
      <w:r>
        <w:rPr>
          <w:rFonts w:ascii="Times New Roman"/>
          <w:color w:val="2B2B2B"/>
          <w:w w:val="105"/>
        </w:rPr>
        <w:t>responsible </w:t>
      </w:r>
      <w:r>
        <w:rPr>
          <w:rFonts w:ascii="Times New Roman"/>
          <w:color w:val="3D3D3D"/>
          <w:w w:val="105"/>
        </w:rPr>
        <w:t>for </w:t>
      </w:r>
      <w:r>
        <w:rPr>
          <w:rFonts w:ascii="Times New Roman"/>
          <w:color w:val="2B2B2B"/>
          <w:w w:val="105"/>
        </w:rPr>
        <w:t>the </w:t>
      </w:r>
      <w:r>
        <w:rPr>
          <w:rFonts w:ascii="Times New Roman"/>
          <w:color w:val="3D3D3D"/>
          <w:w w:val="105"/>
        </w:rPr>
        <w:t>preparation of the financial statements in accordance with applicable law and United Kingdom Accounting Standards (United Kingdom Generally Accepted Accounting Practice).</w:t>
      </w:r>
    </w:p>
    <w:p>
      <w:pPr>
        <w:pStyle w:val="BodyText"/>
        <w:spacing w:before="8"/>
        <w:rPr>
          <w:rFonts w:ascii="Times New Roman"/>
          <w:sz w:val="16"/>
        </w:rPr>
      </w:pPr>
    </w:p>
    <w:p>
      <w:pPr>
        <w:pStyle w:val="BodyText"/>
        <w:spacing w:line="256" w:lineRule="auto"/>
        <w:ind w:left="1024" w:right="892" w:firstLine="13"/>
        <w:jc w:val="both"/>
        <w:rPr>
          <w:rFonts w:ascii="Times New Roman"/>
        </w:rPr>
      </w:pPr>
      <w:r>
        <w:rPr>
          <w:rFonts w:ascii="Times New Roman"/>
          <w:color w:val="3D3D3D"/>
          <w:w w:val="105"/>
        </w:rPr>
        <w:t>We have </w:t>
      </w:r>
      <w:r>
        <w:rPr>
          <w:rFonts w:ascii="Times New Roman"/>
          <w:color w:val="2B2B2B"/>
          <w:w w:val="105"/>
        </w:rPr>
        <w:t>been </w:t>
      </w:r>
      <w:r>
        <w:rPr>
          <w:rFonts w:ascii="Times New Roman"/>
          <w:color w:val="3D3D3D"/>
          <w:w w:val="105"/>
        </w:rPr>
        <w:t>appointed auditors under section </w:t>
      </w:r>
      <w:r>
        <w:rPr>
          <w:rFonts w:ascii="Times New Roman"/>
          <w:color w:val="2B2B2B"/>
          <w:w w:val="105"/>
        </w:rPr>
        <w:t>43 </w:t>
      </w:r>
      <w:r>
        <w:rPr>
          <w:rFonts w:ascii="Times New Roman"/>
          <w:color w:val="3D3D3D"/>
          <w:w w:val="105"/>
        </w:rPr>
        <w:t>of </w:t>
      </w:r>
      <w:r>
        <w:rPr>
          <w:rFonts w:ascii="Times New Roman"/>
          <w:color w:val="2B2B2B"/>
          <w:w w:val="105"/>
        </w:rPr>
        <w:t>the </w:t>
      </w:r>
      <w:r>
        <w:rPr>
          <w:rFonts w:ascii="Times New Roman"/>
          <w:color w:val="3D3D3D"/>
          <w:w w:val="105"/>
        </w:rPr>
        <w:t>Charities Act </w:t>
      </w:r>
      <w:r>
        <w:rPr>
          <w:rFonts w:ascii="Times New Roman"/>
          <w:color w:val="2B2B2B"/>
          <w:w w:val="105"/>
        </w:rPr>
        <w:t>1993 </w:t>
      </w:r>
      <w:r>
        <w:rPr>
          <w:rFonts w:ascii="Times New Roman"/>
          <w:color w:val="3D3D3D"/>
          <w:w w:val="105"/>
        </w:rPr>
        <w:t>and report in accordance with </w:t>
      </w:r>
      <w:r>
        <w:rPr>
          <w:rFonts w:ascii="Times New Roman"/>
          <w:color w:val="2B2B2B"/>
          <w:w w:val="105"/>
        </w:rPr>
        <w:t>regulations </w:t>
      </w:r>
      <w:r>
        <w:rPr>
          <w:rFonts w:ascii="Times New Roman"/>
          <w:color w:val="3D3D3D"/>
          <w:w w:val="105"/>
        </w:rPr>
        <w:t>made under section </w:t>
      </w:r>
      <w:r>
        <w:rPr>
          <w:rFonts w:ascii="Times New Roman"/>
          <w:color w:val="2B2B2B"/>
          <w:w w:val="105"/>
        </w:rPr>
        <w:t>44 </w:t>
      </w:r>
      <w:r>
        <w:rPr>
          <w:rFonts w:ascii="Times New Roman"/>
          <w:color w:val="3D3D3D"/>
          <w:w w:val="105"/>
        </w:rPr>
        <w:t>of that Act. Our responsibility is to audit the </w:t>
      </w:r>
      <w:r>
        <w:rPr>
          <w:rFonts w:ascii="Times New Roman"/>
          <w:color w:val="2B2B2B"/>
          <w:w w:val="105"/>
        </w:rPr>
        <w:t>financial </w:t>
      </w:r>
      <w:r>
        <w:rPr>
          <w:rFonts w:ascii="Times New Roman"/>
          <w:color w:val="3D3D3D"/>
          <w:w w:val="105"/>
        </w:rPr>
        <w:t>statements in accordance with relevant </w:t>
      </w:r>
      <w:r>
        <w:rPr>
          <w:rFonts w:ascii="Times New Roman"/>
          <w:color w:val="2B2B2B"/>
          <w:w w:val="105"/>
        </w:rPr>
        <w:t>legal </w:t>
      </w:r>
      <w:r>
        <w:rPr>
          <w:rFonts w:ascii="Times New Roman"/>
          <w:color w:val="3D3D3D"/>
          <w:w w:val="105"/>
        </w:rPr>
        <w:t>and regulatory requirements and </w:t>
      </w:r>
      <w:r>
        <w:rPr>
          <w:rFonts w:ascii="Times New Roman"/>
          <w:color w:val="2B2B2B"/>
          <w:w w:val="105"/>
        </w:rPr>
        <w:t>International </w:t>
      </w:r>
      <w:r>
        <w:rPr>
          <w:rFonts w:ascii="Times New Roman"/>
          <w:color w:val="3D3D3D"/>
          <w:w w:val="105"/>
        </w:rPr>
        <w:t>Standards on Auditing (UK and </w:t>
      </w:r>
      <w:r>
        <w:rPr>
          <w:rFonts w:ascii="Times New Roman"/>
          <w:color w:val="2B2B2B"/>
          <w:w w:val="105"/>
        </w:rPr>
        <w:t>Ireland) </w:t>
      </w:r>
      <w:r>
        <w:rPr>
          <w:rFonts w:ascii="Times New Roman"/>
          <w:color w:val="3D3D3D"/>
          <w:w w:val="105"/>
        </w:rPr>
        <w:t>issued by the Auditing </w:t>
      </w:r>
      <w:r>
        <w:rPr>
          <w:rFonts w:ascii="Times New Roman"/>
          <w:color w:val="2B2B2B"/>
          <w:w w:val="105"/>
        </w:rPr>
        <w:t>Practices Board. </w:t>
      </w:r>
      <w:r>
        <w:rPr>
          <w:rFonts w:ascii="Times New Roman"/>
          <w:color w:val="3D3D3D"/>
          <w:w w:val="105"/>
        </w:rPr>
        <w:t>This </w:t>
      </w:r>
      <w:r>
        <w:rPr>
          <w:rFonts w:ascii="Times New Roman"/>
          <w:color w:val="2B2B2B"/>
          <w:w w:val="105"/>
        </w:rPr>
        <w:t>report, including </w:t>
      </w:r>
      <w:r>
        <w:rPr>
          <w:rFonts w:ascii="Times New Roman"/>
          <w:color w:val="3D3D3D"/>
          <w:w w:val="105"/>
        </w:rPr>
        <w:t>the opinion, has been prepared for and only for the Church, as a body, </w:t>
      </w:r>
      <w:r>
        <w:rPr>
          <w:rFonts w:ascii="Times New Roman"/>
          <w:color w:val="2B2B2B"/>
          <w:w w:val="105"/>
        </w:rPr>
        <w:t>in </w:t>
      </w:r>
      <w:r>
        <w:rPr>
          <w:rFonts w:ascii="Times New Roman"/>
          <w:color w:val="3D3D3D"/>
          <w:w w:val="105"/>
        </w:rPr>
        <w:t>accordance with paragraph 6(2) of the 1995 Regulations (as amended </w:t>
      </w:r>
      <w:r>
        <w:rPr>
          <w:rFonts w:ascii="Times New Roman"/>
          <w:color w:val="525252"/>
          <w:w w:val="105"/>
        </w:rPr>
        <w:t>by </w:t>
      </w:r>
      <w:r>
        <w:rPr>
          <w:rFonts w:ascii="Times New Roman"/>
          <w:color w:val="3D3D3D"/>
          <w:w w:val="105"/>
        </w:rPr>
        <w:t>the 2000 Regulations) made </w:t>
      </w:r>
      <w:r>
        <w:rPr>
          <w:rFonts w:ascii="Times New Roman"/>
          <w:color w:val="2B2B2B"/>
          <w:w w:val="105"/>
        </w:rPr>
        <w:t>under Part </w:t>
      </w:r>
      <w:r>
        <w:rPr>
          <w:rFonts w:ascii="Times New Roman"/>
          <w:color w:val="3D3D3D"/>
          <w:w w:val="105"/>
        </w:rPr>
        <w:t>VI, Charities Act </w:t>
      </w:r>
      <w:r>
        <w:rPr>
          <w:rFonts w:ascii="Times New Roman"/>
          <w:color w:val="2B2B2B"/>
          <w:w w:val="105"/>
        </w:rPr>
        <w:t>1993 </w:t>
      </w:r>
      <w:r>
        <w:rPr>
          <w:rFonts w:ascii="Times New Roman"/>
          <w:color w:val="3D3D3D"/>
          <w:w w:val="105"/>
        </w:rPr>
        <w:t>and for no other purpose. We do </w:t>
      </w:r>
      <w:r>
        <w:rPr>
          <w:rFonts w:ascii="Times New Roman"/>
          <w:color w:val="2B2B2B"/>
          <w:w w:val="105"/>
        </w:rPr>
        <w:t>not</w:t>
      </w:r>
      <w:r>
        <w:rPr>
          <w:rFonts w:ascii="Times New Roman"/>
          <w:color w:val="525252"/>
          <w:w w:val="105"/>
        </w:rPr>
        <w:t>, </w:t>
      </w:r>
      <w:r>
        <w:rPr>
          <w:rFonts w:ascii="Times New Roman"/>
          <w:color w:val="3D3D3D"/>
          <w:w w:val="105"/>
        </w:rPr>
        <w:t>in giving this opinion, accept or assume any responsibility for any other </w:t>
      </w:r>
      <w:r>
        <w:rPr>
          <w:rFonts w:ascii="Times New Roman"/>
          <w:color w:val="2B2B2B"/>
          <w:w w:val="105"/>
        </w:rPr>
        <w:t>purpose </w:t>
      </w:r>
      <w:r>
        <w:rPr>
          <w:rFonts w:ascii="Times New Roman"/>
          <w:color w:val="3D3D3D"/>
          <w:w w:val="105"/>
        </w:rPr>
        <w:t>or to any other person </w:t>
      </w:r>
      <w:r>
        <w:rPr>
          <w:rFonts w:ascii="Times New Roman"/>
          <w:color w:val="525252"/>
          <w:w w:val="105"/>
        </w:rPr>
        <w:t>to </w:t>
      </w:r>
      <w:r>
        <w:rPr>
          <w:rFonts w:ascii="Times New Roman"/>
          <w:color w:val="3D3D3D"/>
          <w:w w:val="105"/>
        </w:rPr>
        <w:t>whom this </w:t>
      </w:r>
      <w:r>
        <w:rPr>
          <w:rFonts w:ascii="Times New Roman"/>
          <w:color w:val="2B2B2B"/>
          <w:w w:val="105"/>
        </w:rPr>
        <w:t>report </w:t>
      </w:r>
      <w:r>
        <w:rPr>
          <w:rFonts w:ascii="Times New Roman"/>
          <w:color w:val="3D3D3D"/>
          <w:w w:val="105"/>
        </w:rPr>
        <w:t>is shown or into whose hands </w:t>
      </w:r>
      <w:r>
        <w:rPr>
          <w:rFonts w:ascii="Times New Roman"/>
          <w:color w:val="2B2B2B"/>
          <w:w w:val="105"/>
        </w:rPr>
        <w:t>it </w:t>
      </w:r>
      <w:r>
        <w:rPr>
          <w:rFonts w:ascii="Times New Roman"/>
          <w:color w:val="3D3D3D"/>
          <w:w w:val="105"/>
        </w:rPr>
        <w:t>may come save where expressly agreed </w:t>
      </w:r>
      <w:r>
        <w:rPr>
          <w:rFonts w:ascii="Times New Roman"/>
          <w:color w:val="2B2B2B"/>
          <w:w w:val="105"/>
        </w:rPr>
        <w:t>by our </w:t>
      </w:r>
      <w:r>
        <w:rPr>
          <w:rFonts w:ascii="Times New Roman"/>
          <w:color w:val="3D3D3D"/>
          <w:w w:val="105"/>
        </w:rPr>
        <w:t>prior consent </w:t>
      </w:r>
      <w:r>
        <w:rPr>
          <w:rFonts w:ascii="Times New Roman"/>
          <w:color w:val="2B2B2B"/>
          <w:w w:val="105"/>
        </w:rPr>
        <w:t>in </w:t>
      </w:r>
      <w:r>
        <w:rPr>
          <w:rFonts w:ascii="Times New Roman"/>
          <w:color w:val="3D3D3D"/>
          <w:w w:val="105"/>
        </w:rPr>
        <w:t>writing.</w:t>
      </w:r>
    </w:p>
    <w:p>
      <w:pPr>
        <w:pStyle w:val="BodyText"/>
        <w:spacing w:before="9"/>
        <w:rPr>
          <w:rFonts w:ascii="Times New Roman"/>
          <w:sz w:val="15"/>
        </w:rPr>
      </w:pPr>
    </w:p>
    <w:p>
      <w:pPr>
        <w:pStyle w:val="BodyText"/>
        <w:spacing w:line="259" w:lineRule="auto"/>
        <w:ind w:left="1028" w:right="898" w:firstLine="10"/>
        <w:jc w:val="both"/>
        <w:rPr>
          <w:rFonts w:ascii="Times New Roman"/>
        </w:rPr>
      </w:pPr>
      <w:r>
        <w:rPr>
          <w:rFonts w:ascii="Times New Roman"/>
          <w:color w:val="3D3D3D"/>
          <w:w w:val="105"/>
        </w:rPr>
        <w:t>We report to you our opinion as to whether </w:t>
      </w:r>
      <w:r>
        <w:rPr>
          <w:rFonts w:ascii="Times New Roman"/>
          <w:color w:val="2B2B2B"/>
          <w:w w:val="105"/>
        </w:rPr>
        <w:t>the </w:t>
      </w:r>
      <w:r>
        <w:rPr>
          <w:rFonts w:ascii="Times New Roman"/>
          <w:color w:val="3D3D3D"/>
          <w:spacing w:val="-5"/>
          <w:w w:val="105"/>
        </w:rPr>
        <w:t>fmancia</w:t>
      </w:r>
      <w:r>
        <w:rPr>
          <w:rFonts w:ascii="Times New Roman"/>
          <w:color w:val="131313"/>
          <w:spacing w:val="-5"/>
          <w:w w:val="105"/>
        </w:rPr>
        <w:t>l </w:t>
      </w:r>
      <w:r>
        <w:rPr>
          <w:rFonts w:ascii="Times New Roman"/>
          <w:color w:val="3D3D3D"/>
          <w:w w:val="105"/>
        </w:rPr>
        <w:t>statements give a true and fair view and are properly </w:t>
      </w:r>
      <w:r>
        <w:rPr>
          <w:rFonts w:ascii="Times New Roman"/>
          <w:color w:val="2B2B2B"/>
          <w:w w:val="105"/>
        </w:rPr>
        <w:t>prepared </w:t>
      </w:r>
      <w:r>
        <w:rPr>
          <w:rFonts w:ascii="Times New Roman"/>
          <w:color w:val="3D3D3D"/>
          <w:w w:val="105"/>
        </w:rPr>
        <w:t>in accordance with </w:t>
      </w:r>
      <w:r>
        <w:rPr>
          <w:rFonts w:ascii="Times New Roman"/>
          <w:color w:val="2B2B2B"/>
          <w:w w:val="105"/>
        </w:rPr>
        <w:t>the </w:t>
      </w:r>
      <w:r>
        <w:rPr>
          <w:rFonts w:ascii="Times New Roman"/>
          <w:color w:val="3D3D3D"/>
          <w:w w:val="105"/>
        </w:rPr>
        <w:t>Charities Act </w:t>
      </w:r>
      <w:r>
        <w:rPr>
          <w:rFonts w:ascii="Times New Roman"/>
          <w:color w:val="2B2B2B"/>
          <w:w w:val="105"/>
        </w:rPr>
        <w:t>1993. </w:t>
      </w:r>
      <w:r>
        <w:rPr>
          <w:rFonts w:ascii="Times New Roman"/>
          <w:color w:val="3D3D3D"/>
          <w:w w:val="105"/>
        </w:rPr>
        <w:t>We also </w:t>
      </w:r>
      <w:r>
        <w:rPr>
          <w:rFonts w:ascii="Times New Roman"/>
          <w:color w:val="2B2B2B"/>
          <w:w w:val="105"/>
        </w:rPr>
        <w:t>report </w:t>
      </w:r>
      <w:r>
        <w:rPr>
          <w:rFonts w:ascii="Times New Roman"/>
          <w:color w:val="3D3D3D"/>
          <w:w w:val="105"/>
        </w:rPr>
        <w:t>to you if, in our </w:t>
      </w:r>
      <w:r>
        <w:rPr>
          <w:rFonts w:ascii="Times New Roman"/>
          <w:color w:val="2B2B2B"/>
          <w:w w:val="105"/>
        </w:rPr>
        <w:t>opinion</w:t>
      </w:r>
      <w:r>
        <w:rPr>
          <w:rFonts w:ascii="Times New Roman"/>
          <w:color w:val="525252"/>
          <w:w w:val="105"/>
        </w:rPr>
        <w:t>, </w:t>
      </w:r>
      <w:r>
        <w:rPr>
          <w:rFonts w:ascii="Times New Roman"/>
          <w:color w:val="3D3D3D"/>
          <w:w w:val="105"/>
        </w:rPr>
        <w:t>the Trustee's Report is not consistent with the financial statements, </w:t>
      </w:r>
      <w:r>
        <w:rPr>
          <w:rFonts w:ascii="Times New Roman"/>
          <w:color w:val="2B2B2B"/>
          <w:w w:val="105"/>
        </w:rPr>
        <w:t>if the </w:t>
      </w:r>
      <w:r>
        <w:rPr>
          <w:rFonts w:ascii="Times New Roman"/>
          <w:color w:val="3D3D3D"/>
          <w:w w:val="105"/>
        </w:rPr>
        <w:t>Church </w:t>
      </w:r>
      <w:r>
        <w:rPr>
          <w:rFonts w:ascii="Times New Roman"/>
          <w:color w:val="2B2B2B"/>
          <w:w w:val="105"/>
        </w:rPr>
        <w:t>has </w:t>
      </w:r>
      <w:r>
        <w:rPr>
          <w:rFonts w:ascii="Times New Roman"/>
          <w:color w:val="3D3D3D"/>
          <w:w w:val="105"/>
        </w:rPr>
        <w:t>not kept proper </w:t>
      </w:r>
      <w:r>
        <w:rPr>
          <w:rFonts w:ascii="Times New Roman"/>
          <w:color w:val="2B2B2B"/>
          <w:w w:val="105"/>
        </w:rPr>
        <w:t>accounting records </w:t>
      </w:r>
      <w:r>
        <w:rPr>
          <w:rFonts w:ascii="Times New Roman"/>
          <w:color w:val="3D3D3D"/>
          <w:w w:val="105"/>
        </w:rPr>
        <w:t>or </w:t>
      </w:r>
      <w:r>
        <w:rPr>
          <w:rFonts w:ascii="Times New Roman"/>
          <w:color w:val="2B2B2B"/>
          <w:w w:val="105"/>
        </w:rPr>
        <w:t>if </w:t>
      </w:r>
      <w:r>
        <w:rPr>
          <w:rFonts w:ascii="Times New Roman"/>
          <w:color w:val="3D3D3D"/>
          <w:w w:val="105"/>
        </w:rPr>
        <w:t>we</w:t>
      </w:r>
      <w:r>
        <w:rPr>
          <w:rFonts w:ascii="Times New Roman"/>
          <w:color w:val="3D3D3D"/>
          <w:spacing w:val="-14"/>
          <w:w w:val="105"/>
        </w:rPr>
        <w:t> </w:t>
      </w:r>
      <w:r>
        <w:rPr>
          <w:rFonts w:ascii="Times New Roman"/>
          <w:color w:val="3D3D3D"/>
          <w:w w:val="105"/>
        </w:rPr>
        <w:t>have</w:t>
      </w:r>
      <w:r>
        <w:rPr>
          <w:rFonts w:ascii="Times New Roman"/>
          <w:color w:val="3D3D3D"/>
          <w:spacing w:val="-8"/>
          <w:w w:val="105"/>
        </w:rPr>
        <w:t> </w:t>
      </w:r>
      <w:r>
        <w:rPr>
          <w:rFonts w:ascii="Times New Roman"/>
          <w:color w:val="3D3D3D"/>
          <w:w w:val="105"/>
        </w:rPr>
        <w:t>not</w:t>
      </w:r>
      <w:r>
        <w:rPr>
          <w:rFonts w:ascii="Times New Roman"/>
          <w:color w:val="3D3D3D"/>
          <w:spacing w:val="-15"/>
          <w:w w:val="105"/>
        </w:rPr>
        <w:t> </w:t>
      </w:r>
      <w:r>
        <w:rPr>
          <w:rFonts w:ascii="Times New Roman"/>
          <w:color w:val="3D3D3D"/>
          <w:w w:val="105"/>
        </w:rPr>
        <w:t>received</w:t>
      </w:r>
      <w:r>
        <w:rPr>
          <w:rFonts w:ascii="Times New Roman"/>
          <w:color w:val="3D3D3D"/>
          <w:spacing w:val="-1"/>
          <w:w w:val="105"/>
        </w:rPr>
        <w:t> </w:t>
      </w:r>
      <w:r>
        <w:rPr>
          <w:rFonts w:ascii="Times New Roman"/>
          <w:color w:val="3D3D3D"/>
          <w:w w:val="105"/>
        </w:rPr>
        <w:t>all</w:t>
      </w:r>
      <w:r>
        <w:rPr>
          <w:rFonts w:ascii="Times New Roman"/>
          <w:color w:val="3D3D3D"/>
          <w:spacing w:val="-1"/>
          <w:w w:val="105"/>
        </w:rPr>
        <w:t> </w:t>
      </w:r>
      <w:r>
        <w:rPr>
          <w:rFonts w:ascii="Times New Roman"/>
          <w:color w:val="3D3D3D"/>
          <w:w w:val="105"/>
        </w:rPr>
        <w:t>the</w:t>
      </w:r>
      <w:r>
        <w:rPr>
          <w:rFonts w:ascii="Times New Roman"/>
          <w:color w:val="3D3D3D"/>
          <w:spacing w:val="-3"/>
          <w:w w:val="105"/>
        </w:rPr>
        <w:t> </w:t>
      </w:r>
      <w:r>
        <w:rPr>
          <w:rFonts w:ascii="Times New Roman"/>
          <w:color w:val="2B2B2B"/>
          <w:w w:val="105"/>
        </w:rPr>
        <w:t>information</w:t>
      </w:r>
      <w:r>
        <w:rPr>
          <w:rFonts w:ascii="Times New Roman"/>
          <w:color w:val="2B2B2B"/>
          <w:spacing w:val="-9"/>
          <w:w w:val="105"/>
        </w:rPr>
        <w:t> </w:t>
      </w:r>
      <w:r>
        <w:rPr>
          <w:rFonts w:ascii="Times New Roman"/>
          <w:color w:val="3D3D3D"/>
          <w:w w:val="105"/>
        </w:rPr>
        <w:t>and</w:t>
      </w:r>
      <w:r>
        <w:rPr>
          <w:rFonts w:ascii="Times New Roman"/>
          <w:color w:val="3D3D3D"/>
          <w:spacing w:val="9"/>
          <w:w w:val="105"/>
        </w:rPr>
        <w:t> </w:t>
      </w:r>
      <w:r>
        <w:rPr>
          <w:rFonts w:ascii="Times New Roman"/>
          <w:color w:val="3D3D3D"/>
          <w:w w:val="105"/>
        </w:rPr>
        <w:t>explanations</w:t>
      </w:r>
      <w:r>
        <w:rPr>
          <w:rFonts w:ascii="Times New Roman"/>
          <w:color w:val="3D3D3D"/>
          <w:spacing w:val="3"/>
          <w:w w:val="105"/>
        </w:rPr>
        <w:t> </w:t>
      </w:r>
      <w:r>
        <w:rPr>
          <w:rFonts w:ascii="Times New Roman"/>
          <w:color w:val="3D3D3D"/>
          <w:w w:val="105"/>
        </w:rPr>
        <w:t>we</w:t>
      </w:r>
      <w:r>
        <w:rPr>
          <w:rFonts w:ascii="Times New Roman"/>
          <w:color w:val="3D3D3D"/>
          <w:spacing w:val="-7"/>
          <w:w w:val="105"/>
        </w:rPr>
        <w:t> </w:t>
      </w:r>
      <w:r>
        <w:rPr>
          <w:rFonts w:ascii="Times New Roman"/>
          <w:color w:val="3D3D3D"/>
          <w:w w:val="105"/>
        </w:rPr>
        <w:t>require</w:t>
      </w:r>
      <w:r>
        <w:rPr>
          <w:rFonts w:ascii="Times New Roman"/>
          <w:color w:val="3D3D3D"/>
          <w:spacing w:val="-13"/>
          <w:w w:val="105"/>
        </w:rPr>
        <w:t> </w:t>
      </w:r>
      <w:r>
        <w:rPr>
          <w:rFonts w:ascii="Times New Roman"/>
          <w:color w:val="3D3D3D"/>
          <w:w w:val="105"/>
        </w:rPr>
        <w:t>for</w:t>
      </w:r>
      <w:r>
        <w:rPr>
          <w:rFonts w:ascii="Times New Roman"/>
          <w:color w:val="3D3D3D"/>
          <w:spacing w:val="-12"/>
          <w:w w:val="105"/>
        </w:rPr>
        <w:t> </w:t>
      </w:r>
      <w:r>
        <w:rPr>
          <w:rFonts w:ascii="Times New Roman"/>
          <w:color w:val="3D3D3D"/>
          <w:w w:val="105"/>
        </w:rPr>
        <w:t>our</w:t>
      </w:r>
      <w:r>
        <w:rPr>
          <w:rFonts w:ascii="Times New Roman"/>
          <w:color w:val="3D3D3D"/>
          <w:spacing w:val="-7"/>
          <w:w w:val="105"/>
        </w:rPr>
        <w:t> </w:t>
      </w:r>
      <w:r>
        <w:rPr>
          <w:rFonts w:ascii="Times New Roman"/>
          <w:color w:val="3D3D3D"/>
          <w:w w:val="105"/>
        </w:rPr>
        <w:t>audit.</w:t>
      </w:r>
    </w:p>
    <w:p>
      <w:pPr>
        <w:pStyle w:val="BodyText"/>
        <w:rPr>
          <w:rFonts w:ascii="Times New Roman"/>
          <w:sz w:val="16"/>
        </w:rPr>
      </w:pPr>
    </w:p>
    <w:p>
      <w:pPr>
        <w:pStyle w:val="BodyText"/>
        <w:spacing w:line="259" w:lineRule="auto"/>
        <w:ind w:left="1024" w:right="893" w:firstLine="13"/>
        <w:jc w:val="both"/>
        <w:rPr>
          <w:rFonts w:ascii="Times New Roman"/>
        </w:rPr>
      </w:pPr>
      <w:r>
        <w:rPr>
          <w:rFonts w:ascii="Times New Roman"/>
          <w:color w:val="3D3D3D"/>
          <w:w w:val="105"/>
        </w:rPr>
        <w:t>We read other </w:t>
      </w:r>
      <w:r>
        <w:rPr>
          <w:rFonts w:ascii="Times New Roman"/>
          <w:color w:val="2B2B2B"/>
          <w:w w:val="105"/>
        </w:rPr>
        <w:t>information </w:t>
      </w:r>
      <w:r>
        <w:rPr>
          <w:rFonts w:ascii="Times New Roman"/>
          <w:color w:val="3D3D3D"/>
          <w:w w:val="105"/>
        </w:rPr>
        <w:t>contained in </w:t>
      </w:r>
      <w:r>
        <w:rPr>
          <w:rFonts w:ascii="Times New Roman"/>
          <w:color w:val="2B2B2B"/>
          <w:w w:val="105"/>
        </w:rPr>
        <w:t>the </w:t>
      </w:r>
      <w:r>
        <w:rPr>
          <w:rFonts w:ascii="Times New Roman"/>
          <w:color w:val="3D3D3D"/>
          <w:w w:val="105"/>
        </w:rPr>
        <w:t>Financial </w:t>
      </w:r>
      <w:r>
        <w:rPr>
          <w:rFonts w:ascii="Times New Roman"/>
          <w:color w:val="2B2B2B"/>
          <w:w w:val="105"/>
        </w:rPr>
        <w:t>Report</w:t>
      </w:r>
      <w:r>
        <w:rPr>
          <w:rFonts w:ascii="Times New Roman"/>
          <w:color w:val="525252"/>
          <w:w w:val="105"/>
        </w:rPr>
        <w:t>, </w:t>
      </w:r>
      <w:r>
        <w:rPr>
          <w:rFonts w:ascii="Times New Roman"/>
          <w:color w:val="3D3D3D"/>
          <w:w w:val="105"/>
        </w:rPr>
        <w:t>and consider whether it is consistent with the audited financial statements. </w:t>
      </w:r>
      <w:r>
        <w:rPr>
          <w:rFonts w:ascii="Times New Roman"/>
          <w:color w:val="525252"/>
          <w:w w:val="105"/>
        </w:rPr>
        <w:t>This </w:t>
      </w:r>
      <w:r>
        <w:rPr>
          <w:rFonts w:ascii="Times New Roman"/>
          <w:color w:val="2B2B2B"/>
          <w:w w:val="105"/>
        </w:rPr>
        <w:t>other information </w:t>
      </w:r>
      <w:r>
        <w:rPr>
          <w:rFonts w:ascii="Times New Roman"/>
          <w:color w:val="3D3D3D"/>
          <w:w w:val="105"/>
        </w:rPr>
        <w:t>comprises only the Report of the Finance Committee, </w:t>
      </w:r>
      <w:r>
        <w:rPr>
          <w:rFonts w:ascii="Times New Roman"/>
          <w:color w:val="525252"/>
          <w:w w:val="105"/>
        </w:rPr>
        <w:t>Five </w:t>
      </w:r>
      <w:r>
        <w:rPr>
          <w:rFonts w:ascii="Times New Roman"/>
          <w:color w:val="3D3D3D"/>
          <w:w w:val="105"/>
        </w:rPr>
        <w:t>Year</w:t>
      </w:r>
      <w:r>
        <w:rPr>
          <w:rFonts w:ascii="Times New Roman"/>
          <w:color w:val="3D3D3D"/>
          <w:spacing w:val="-12"/>
          <w:w w:val="105"/>
        </w:rPr>
        <w:t> </w:t>
      </w:r>
      <w:r>
        <w:rPr>
          <w:rFonts w:ascii="Times New Roman"/>
          <w:color w:val="3D3D3D"/>
          <w:w w:val="105"/>
        </w:rPr>
        <w:t>Summary</w:t>
      </w:r>
      <w:r>
        <w:rPr>
          <w:rFonts w:ascii="Times New Roman"/>
          <w:color w:val="3D3D3D"/>
          <w:spacing w:val="-5"/>
          <w:w w:val="105"/>
        </w:rPr>
        <w:t> </w:t>
      </w:r>
      <w:r>
        <w:rPr>
          <w:rFonts w:ascii="Times New Roman"/>
          <w:color w:val="3D3D3D"/>
          <w:w w:val="105"/>
        </w:rPr>
        <w:t>and</w:t>
      </w:r>
      <w:r>
        <w:rPr>
          <w:rFonts w:ascii="Times New Roman"/>
          <w:color w:val="3D3D3D"/>
          <w:spacing w:val="-8"/>
          <w:w w:val="105"/>
        </w:rPr>
        <w:t> </w:t>
      </w:r>
      <w:r>
        <w:rPr>
          <w:rFonts w:ascii="Times New Roman"/>
          <w:color w:val="3D3D3D"/>
          <w:w w:val="105"/>
        </w:rPr>
        <w:t>Budget</w:t>
      </w:r>
      <w:r>
        <w:rPr>
          <w:rFonts w:ascii="Times New Roman"/>
          <w:color w:val="3D3D3D"/>
          <w:spacing w:val="-6"/>
          <w:w w:val="105"/>
        </w:rPr>
        <w:t> </w:t>
      </w:r>
      <w:r>
        <w:rPr>
          <w:rFonts w:ascii="Times New Roman"/>
          <w:color w:val="2B2B2B"/>
          <w:w w:val="105"/>
        </w:rPr>
        <w:t>Comparisons.</w:t>
      </w:r>
      <w:r>
        <w:rPr>
          <w:rFonts w:ascii="Times New Roman"/>
          <w:color w:val="2B2B2B"/>
          <w:spacing w:val="9"/>
          <w:w w:val="105"/>
        </w:rPr>
        <w:t> </w:t>
      </w:r>
      <w:r>
        <w:rPr>
          <w:rFonts w:ascii="Times New Roman"/>
          <w:color w:val="3D3D3D"/>
          <w:w w:val="105"/>
        </w:rPr>
        <w:t>We</w:t>
      </w:r>
      <w:r>
        <w:rPr>
          <w:rFonts w:ascii="Times New Roman"/>
          <w:color w:val="3D3D3D"/>
          <w:spacing w:val="-17"/>
          <w:w w:val="105"/>
        </w:rPr>
        <w:t> </w:t>
      </w:r>
      <w:r>
        <w:rPr>
          <w:rFonts w:ascii="Times New Roman"/>
          <w:color w:val="3D3D3D"/>
          <w:w w:val="105"/>
        </w:rPr>
        <w:t>consider</w:t>
      </w:r>
      <w:r>
        <w:rPr>
          <w:rFonts w:ascii="Times New Roman"/>
          <w:color w:val="3D3D3D"/>
          <w:spacing w:val="-7"/>
          <w:w w:val="105"/>
        </w:rPr>
        <w:t> </w:t>
      </w:r>
      <w:r>
        <w:rPr>
          <w:rFonts w:ascii="Times New Roman"/>
          <w:color w:val="3D3D3D"/>
          <w:w w:val="105"/>
        </w:rPr>
        <w:t>the</w:t>
      </w:r>
      <w:r>
        <w:rPr>
          <w:rFonts w:ascii="Times New Roman"/>
          <w:color w:val="3D3D3D"/>
          <w:spacing w:val="-5"/>
          <w:w w:val="105"/>
        </w:rPr>
        <w:t> </w:t>
      </w:r>
      <w:r>
        <w:rPr>
          <w:rFonts w:ascii="Times New Roman"/>
          <w:color w:val="3D3D3D"/>
          <w:w w:val="105"/>
        </w:rPr>
        <w:t>implications</w:t>
      </w:r>
      <w:r>
        <w:rPr>
          <w:rFonts w:ascii="Times New Roman"/>
          <w:color w:val="3D3D3D"/>
          <w:spacing w:val="-3"/>
          <w:w w:val="105"/>
        </w:rPr>
        <w:t> </w:t>
      </w:r>
      <w:r>
        <w:rPr>
          <w:rFonts w:ascii="Times New Roman"/>
          <w:color w:val="3D3D3D"/>
          <w:w w:val="105"/>
        </w:rPr>
        <w:t>for</w:t>
      </w:r>
      <w:r>
        <w:rPr>
          <w:rFonts w:ascii="Times New Roman"/>
          <w:color w:val="3D3D3D"/>
          <w:spacing w:val="-6"/>
          <w:w w:val="105"/>
        </w:rPr>
        <w:t> </w:t>
      </w:r>
      <w:r>
        <w:rPr>
          <w:rFonts w:ascii="Times New Roman"/>
          <w:color w:val="3D3D3D"/>
          <w:w w:val="105"/>
        </w:rPr>
        <w:t>our</w:t>
      </w:r>
      <w:r>
        <w:rPr>
          <w:rFonts w:ascii="Times New Roman"/>
          <w:color w:val="3D3D3D"/>
          <w:spacing w:val="5"/>
          <w:w w:val="105"/>
        </w:rPr>
        <w:t> </w:t>
      </w:r>
      <w:r>
        <w:rPr>
          <w:rFonts w:ascii="Times New Roman"/>
          <w:color w:val="2B2B2B"/>
          <w:w w:val="105"/>
        </w:rPr>
        <w:t>report</w:t>
      </w:r>
      <w:r>
        <w:rPr>
          <w:rFonts w:ascii="Times New Roman"/>
          <w:color w:val="2B2B2B"/>
          <w:spacing w:val="-16"/>
          <w:w w:val="105"/>
        </w:rPr>
        <w:t> </w:t>
      </w:r>
      <w:r>
        <w:rPr>
          <w:rFonts w:ascii="Times New Roman"/>
          <w:color w:val="2B2B2B"/>
          <w:w w:val="105"/>
        </w:rPr>
        <w:t>if</w:t>
      </w:r>
      <w:r>
        <w:rPr>
          <w:rFonts w:ascii="Times New Roman"/>
          <w:color w:val="2B2B2B"/>
          <w:spacing w:val="-8"/>
          <w:w w:val="105"/>
        </w:rPr>
        <w:t> </w:t>
      </w:r>
      <w:r>
        <w:rPr>
          <w:rFonts w:ascii="Times New Roman"/>
          <w:color w:val="3D3D3D"/>
          <w:w w:val="105"/>
        </w:rPr>
        <w:t>we</w:t>
      </w:r>
      <w:r>
        <w:rPr>
          <w:rFonts w:ascii="Times New Roman"/>
          <w:color w:val="3D3D3D"/>
          <w:spacing w:val="-4"/>
          <w:w w:val="105"/>
        </w:rPr>
        <w:t> </w:t>
      </w:r>
      <w:r>
        <w:rPr>
          <w:rFonts w:ascii="Times New Roman"/>
          <w:color w:val="3D3D3D"/>
          <w:w w:val="105"/>
        </w:rPr>
        <w:t>become</w:t>
      </w:r>
      <w:r>
        <w:rPr>
          <w:rFonts w:ascii="Times New Roman"/>
          <w:color w:val="3D3D3D"/>
          <w:spacing w:val="-18"/>
          <w:w w:val="105"/>
        </w:rPr>
        <w:t> </w:t>
      </w:r>
      <w:r>
        <w:rPr>
          <w:rFonts w:ascii="Times New Roman"/>
          <w:color w:val="3D3D3D"/>
          <w:w w:val="105"/>
        </w:rPr>
        <w:t>aware</w:t>
      </w:r>
      <w:r>
        <w:rPr>
          <w:rFonts w:ascii="Times New Roman"/>
          <w:color w:val="3D3D3D"/>
          <w:spacing w:val="-22"/>
          <w:w w:val="105"/>
        </w:rPr>
        <w:t> </w:t>
      </w:r>
      <w:r>
        <w:rPr>
          <w:rFonts w:ascii="Times New Roman"/>
          <w:color w:val="3D3D3D"/>
          <w:w w:val="105"/>
        </w:rPr>
        <w:t>of</w:t>
      </w:r>
      <w:r>
        <w:rPr>
          <w:rFonts w:ascii="Times New Roman"/>
          <w:color w:val="3D3D3D"/>
          <w:spacing w:val="2"/>
          <w:w w:val="105"/>
        </w:rPr>
        <w:t> </w:t>
      </w:r>
      <w:r>
        <w:rPr>
          <w:rFonts w:ascii="Times New Roman"/>
          <w:color w:val="3D3D3D"/>
          <w:w w:val="105"/>
        </w:rPr>
        <w:t>any apparent misstatements or material inconsistencies with the financial statements. </w:t>
      </w:r>
      <w:r>
        <w:rPr>
          <w:rFonts w:ascii="Times New Roman"/>
          <w:color w:val="2B2B2B"/>
          <w:w w:val="105"/>
        </w:rPr>
        <w:t>Our </w:t>
      </w:r>
      <w:r>
        <w:rPr>
          <w:rFonts w:ascii="Times New Roman"/>
          <w:color w:val="3D3D3D"/>
          <w:w w:val="105"/>
        </w:rPr>
        <w:t>responsibilities </w:t>
      </w:r>
      <w:r>
        <w:rPr>
          <w:rFonts w:ascii="Times New Roman"/>
          <w:color w:val="2B2B2B"/>
          <w:w w:val="105"/>
        </w:rPr>
        <w:t>do </w:t>
      </w:r>
      <w:r>
        <w:rPr>
          <w:rFonts w:ascii="Times New Roman"/>
          <w:color w:val="2B2B2B"/>
          <w:spacing w:val="-4"/>
          <w:w w:val="105"/>
        </w:rPr>
        <w:t>no</w:t>
      </w:r>
      <w:r>
        <w:rPr>
          <w:rFonts w:ascii="Times New Roman"/>
          <w:color w:val="525252"/>
          <w:spacing w:val="-4"/>
          <w:w w:val="105"/>
        </w:rPr>
        <w:t>t </w:t>
      </w:r>
      <w:r>
        <w:rPr>
          <w:rFonts w:ascii="Times New Roman"/>
          <w:color w:val="3D3D3D"/>
          <w:w w:val="105"/>
        </w:rPr>
        <w:t>extend to any other</w:t>
      </w:r>
      <w:r>
        <w:rPr>
          <w:rFonts w:ascii="Times New Roman"/>
          <w:color w:val="3D3D3D"/>
          <w:spacing w:val="-24"/>
          <w:w w:val="105"/>
        </w:rPr>
        <w:t> </w:t>
      </w:r>
      <w:r>
        <w:rPr>
          <w:rFonts w:ascii="Times New Roman"/>
          <w:color w:val="3D3D3D"/>
          <w:w w:val="105"/>
        </w:rPr>
        <w:t>information.</w:t>
      </w:r>
    </w:p>
    <w:p>
      <w:pPr>
        <w:pStyle w:val="BodyText"/>
        <w:spacing w:before="7"/>
        <w:rPr>
          <w:rFonts w:ascii="Times New Roman"/>
          <w:sz w:val="16"/>
        </w:rPr>
      </w:pPr>
    </w:p>
    <w:p>
      <w:pPr>
        <w:spacing w:before="0"/>
        <w:ind w:left="1037" w:right="0" w:firstLine="0"/>
        <w:jc w:val="both"/>
        <w:rPr>
          <w:rFonts w:ascii="Times New Roman"/>
          <w:b/>
          <w:sz w:val="18"/>
        </w:rPr>
      </w:pPr>
      <w:r>
        <w:rPr>
          <w:rFonts w:ascii="Times New Roman"/>
          <w:b/>
          <w:color w:val="2B2B2B"/>
          <w:w w:val="105"/>
          <w:sz w:val="18"/>
        </w:rPr>
        <w:t>Basis of audit opinion</w:t>
      </w:r>
    </w:p>
    <w:p>
      <w:pPr>
        <w:pStyle w:val="BodyText"/>
        <w:spacing w:before="1"/>
        <w:rPr>
          <w:rFonts w:ascii="Times New Roman"/>
          <w:b/>
          <w:sz w:val="17"/>
        </w:rPr>
      </w:pPr>
    </w:p>
    <w:p>
      <w:pPr>
        <w:pStyle w:val="BodyText"/>
        <w:spacing w:line="256" w:lineRule="auto"/>
        <w:ind w:left="1024" w:right="907" w:firstLine="3"/>
        <w:jc w:val="both"/>
        <w:rPr>
          <w:rFonts w:ascii="Times New Roman"/>
        </w:rPr>
      </w:pPr>
      <w:r>
        <w:rPr>
          <w:rFonts w:ascii="Times New Roman"/>
          <w:color w:val="3D3D3D"/>
          <w:w w:val="105"/>
        </w:rPr>
        <w:t>We conducted our audit in accordance with International Standa</w:t>
      </w:r>
      <w:r>
        <w:rPr>
          <w:rFonts w:ascii="Times New Roman"/>
          <w:color w:val="131313"/>
          <w:w w:val="105"/>
        </w:rPr>
        <w:t>r</w:t>
      </w:r>
      <w:r>
        <w:rPr>
          <w:rFonts w:ascii="Times New Roman"/>
          <w:color w:val="3D3D3D"/>
          <w:w w:val="105"/>
        </w:rPr>
        <w:t>ds on Auditing </w:t>
      </w:r>
      <w:r>
        <w:rPr>
          <w:rFonts w:ascii="Times New Roman"/>
          <w:color w:val="3D3D3D"/>
          <w:w w:val="105"/>
          <w:sz w:val="17"/>
        </w:rPr>
        <w:t>(UK </w:t>
      </w:r>
      <w:r>
        <w:rPr>
          <w:rFonts w:ascii="Times New Roman"/>
          <w:color w:val="3D3D3D"/>
          <w:w w:val="105"/>
        </w:rPr>
        <w:t>and Ireland) issued by the Auditing Practices </w:t>
      </w:r>
      <w:r>
        <w:rPr>
          <w:rFonts w:ascii="Times New Roman"/>
          <w:color w:val="2B2B2B"/>
          <w:w w:val="105"/>
        </w:rPr>
        <w:t>Board. </w:t>
      </w:r>
      <w:r>
        <w:rPr>
          <w:rFonts w:ascii="Times New Roman"/>
          <w:color w:val="3D3D3D"/>
          <w:w w:val="105"/>
        </w:rPr>
        <w:t>An audit includes examination, </w:t>
      </w:r>
      <w:r>
        <w:rPr>
          <w:rFonts w:ascii="Times New Roman"/>
          <w:color w:val="2B2B2B"/>
          <w:w w:val="105"/>
        </w:rPr>
        <w:t>on </w:t>
      </w:r>
      <w:r>
        <w:rPr>
          <w:rFonts w:ascii="Times New Roman"/>
          <w:color w:val="3D3D3D"/>
          <w:w w:val="105"/>
        </w:rPr>
        <w:t>a </w:t>
      </w:r>
      <w:r>
        <w:rPr>
          <w:rFonts w:ascii="Times New Roman"/>
          <w:color w:val="2B2B2B"/>
          <w:w w:val="105"/>
        </w:rPr>
        <w:t>test </w:t>
      </w:r>
      <w:r>
        <w:rPr>
          <w:rFonts w:ascii="Times New Roman"/>
          <w:color w:val="3D3D3D"/>
          <w:w w:val="105"/>
        </w:rPr>
        <w:t>basis, of evidence relevant to the amounts and disclosures in the financial statements. </w:t>
      </w:r>
      <w:r>
        <w:rPr>
          <w:rFonts w:ascii="Times New Roman"/>
          <w:color w:val="3D3D3D"/>
          <w:w w:val="105"/>
          <w:sz w:val="17"/>
        </w:rPr>
        <w:t>It </w:t>
      </w:r>
      <w:r>
        <w:rPr>
          <w:rFonts w:ascii="Times New Roman"/>
          <w:color w:val="3D3D3D"/>
          <w:w w:val="105"/>
        </w:rPr>
        <w:t>also </w:t>
      </w:r>
      <w:r>
        <w:rPr>
          <w:rFonts w:ascii="Times New Roman"/>
          <w:color w:val="2B2B2B"/>
          <w:w w:val="105"/>
        </w:rPr>
        <w:t>includes </w:t>
      </w:r>
      <w:r>
        <w:rPr>
          <w:rFonts w:ascii="Times New Roman"/>
          <w:color w:val="3D3D3D"/>
          <w:w w:val="105"/>
        </w:rPr>
        <w:t>an assessment of the significant estimates and judgements made </w:t>
      </w:r>
      <w:r>
        <w:rPr>
          <w:rFonts w:ascii="Times New Roman"/>
          <w:color w:val="2B2B2B"/>
          <w:w w:val="105"/>
        </w:rPr>
        <w:t>by the Finance </w:t>
      </w:r>
      <w:r>
        <w:rPr>
          <w:rFonts w:ascii="Times New Roman"/>
          <w:color w:val="3D3D3D"/>
          <w:w w:val="105"/>
        </w:rPr>
        <w:t>Committee in the preparation of the </w:t>
      </w:r>
      <w:r>
        <w:rPr>
          <w:rFonts w:ascii="Times New Roman"/>
          <w:color w:val="525252"/>
          <w:w w:val="105"/>
        </w:rPr>
        <w:t>financial </w:t>
      </w:r>
      <w:r>
        <w:rPr>
          <w:rFonts w:ascii="Times New Roman"/>
          <w:color w:val="3D3D3D"/>
          <w:w w:val="105"/>
        </w:rPr>
        <w:t>statements</w:t>
      </w:r>
      <w:r>
        <w:rPr>
          <w:rFonts w:ascii="Times New Roman"/>
          <w:color w:val="707070"/>
          <w:w w:val="105"/>
        </w:rPr>
        <w:t>, </w:t>
      </w:r>
      <w:r>
        <w:rPr>
          <w:rFonts w:ascii="Times New Roman"/>
          <w:color w:val="3D3D3D"/>
          <w:w w:val="105"/>
        </w:rPr>
        <w:t>and of whether the accounting policies are appropriate to the circumstances of the Church, consistently applied and adequately disclosed.</w:t>
      </w:r>
    </w:p>
    <w:p>
      <w:pPr>
        <w:pStyle w:val="BodyText"/>
        <w:spacing w:before="8"/>
        <w:rPr>
          <w:rFonts w:ascii="Times New Roman"/>
          <w:sz w:val="16"/>
        </w:rPr>
      </w:pPr>
    </w:p>
    <w:p>
      <w:pPr>
        <w:pStyle w:val="BodyText"/>
        <w:spacing w:line="247" w:lineRule="auto"/>
        <w:ind w:left="1022" w:right="911" w:firstLine="15"/>
        <w:jc w:val="both"/>
        <w:rPr>
          <w:rFonts w:ascii="Times New Roman"/>
        </w:rPr>
      </w:pPr>
      <w:r>
        <w:rPr>
          <w:rFonts w:ascii="Times New Roman"/>
          <w:color w:val="3D3D3D"/>
          <w:w w:val="105"/>
        </w:rPr>
        <w:t>We </w:t>
      </w:r>
      <w:r>
        <w:rPr>
          <w:rFonts w:ascii="Times New Roman"/>
          <w:color w:val="2B2B2B"/>
          <w:w w:val="105"/>
        </w:rPr>
        <w:t>planned </w:t>
      </w:r>
      <w:r>
        <w:rPr>
          <w:rFonts w:ascii="Times New Roman"/>
          <w:color w:val="3D3D3D"/>
          <w:w w:val="105"/>
        </w:rPr>
        <w:t>and performed our audit so as </w:t>
      </w:r>
      <w:r>
        <w:rPr>
          <w:rFonts w:ascii="Times New Roman"/>
          <w:color w:val="2B2B2B"/>
          <w:w w:val="105"/>
        </w:rPr>
        <w:t>to </w:t>
      </w:r>
      <w:r>
        <w:rPr>
          <w:rFonts w:ascii="Times New Roman"/>
          <w:color w:val="3D3D3D"/>
          <w:w w:val="105"/>
        </w:rPr>
        <w:t>obtain all the information </w:t>
      </w:r>
      <w:r>
        <w:rPr>
          <w:rFonts w:ascii="Times New Roman"/>
          <w:color w:val="2B2B2B"/>
          <w:w w:val="105"/>
        </w:rPr>
        <w:t>and </w:t>
      </w:r>
      <w:r>
        <w:rPr>
          <w:rFonts w:ascii="Times New Roman"/>
          <w:color w:val="3D3D3D"/>
          <w:w w:val="105"/>
        </w:rPr>
        <w:t>explanations which we considered necessary in order to provide us with sufficient evidence to give reasonable assurance that </w:t>
      </w:r>
      <w:r>
        <w:rPr>
          <w:rFonts w:ascii="Times New Roman"/>
          <w:color w:val="2B2B2B"/>
          <w:w w:val="105"/>
        </w:rPr>
        <w:t>the </w:t>
      </w:r>
      <w:r>
        <w:rPr>
          <w:rFonts w:ascii="Times New Roman"/>
          <w:color w:val="3D3D3D"/>
          <w:w w:val="105"/>
        </w:rPr>
        <w:t>financial statements</w:t>
      </w:r>
      <w:r>
        <w:rPr>
          <w:rFonts w:ascii="Times New Roman"/>
          <w:color w:val="3D3D3D"/>
          <w:spacing w:val="-9"/>
          <w:w w:val="105"/>
        </w:rPr>
        <w:t> </w:t>
      </w:r>
      <w:r>
        <w:rPr>
          <w:rFonts w:ascii="Times New Roman"/>
          <w:color w:val="3D3D3D"/>
          <w:w w:val="105"/>
        </w:rPr>
        <w:t>are</w:t>
      </w:r>
      <w:r>
        <w:rPr>
          <w:rFonts w:ascii="Times New Roman"/>
          <w:color w:val="3D3D3D"/>
          <w:spacing w:val="-2"/>
          <w:w w:val="105"/>
        </w:rPr>
        <w:t> </w:t>
      </w:r>
      <w:r>
        <w:rPr>
          <w:rFonts w:ascii="Times New Roman"/>
          <w:color w:val="3D3D3D"/>
          <w:w w:val="105"/>
        </w:rPr>
        <w:t>free</w:t>
      </w:r>
      <w:r>
        <w:rPr>
          <w:rFonts w:ascii="Times New Roman"/>
          <w:color w:val="3D3D3D"/>
          <w:spacing w:val="-9"/>
          <w:w w:val="105"/>
        </w:rPr>
        <w:t> </w:t>
      </w:r>
      <w:r>
        <w:rPr>
          <w:rFonts w:ascii="Times New Roman"/>
          <w:color w:val="3D3D3D"/>
          <w:w w:val="105"/>
        </w:rPr>
        <w:t>from</w:t>
      </w:r>
      <w:r>
        <w:rPr>
          <w:rFonts w:ascii="Times New Roman"/>
          <w:color w:val="3D3D3D"/>
          <w:spacing w:val="-8"/>
          <w:w w:val="105"/>
        </w:rPr>
        <w:t> </w:t>
      </w:r>
      <w:r>
        <w:rPr>
          <w:rFonts w:ascii="Times New Roman"/>
          <w:color w:val="3D3D3D"/>
          <w:spacing w:val="-5"/>
          <w:w w:val="105"/>
        </w:rPr>
        <w:t>materia</w:t>
      </w:r>
      <w:r>
        <w:rPr>
          <w:rFonts w:ascii="Times New Roman"/>
          <w:color w:val="131313"/>
          <w:spacing w:val="-5"/>
          <w:w w:val="105"/>
        </w:rPr>
        <w:t>l</w:t>
      </w:r>
      <w:r>
        <w:rPr>
          <w:rFonts w:ascii="Times New Roman"/>
          <w:color w:val="131313"/>
          <w:spacing w:val="-3"/>
          <w:w w:val="105"/>
        </w:rPr>
        <w:t> </w:t>
      </w:r>
      <w:r>
        <w:rPr>
          <w:rFonts w:ascii="Times New Roman"/>
          <w:color w:val="3D3D3D"/>
          <w:w w:val="105"/>
        </w:rPr>
        <w:t>misstatement,</w:t>
      </w:r>
      <w:r>
        <w:rPr>
          <w:rFonts w:ascii="Times New Roman"/>
          <w:color w:val="3D3D3D"/>
          <w:spacing w:val="3"/>
          <w:w w:val="105"/>
        </w:rPr>
        <w:t> </w:t>
      </w:r>
      <w:r>
        <w:rPr>
          <w:rFonts w:ascii="Times New Roman"/>
          <w:color w:val="3D3D3D"/>
          <w:w w:val="105"/>
        </w:rPr>
        <w:t>whether</w:t>
      </w:r>
      <w:r>
        <w:rPr>
          <w:rFonts w:ascii="Times New Roman"/>
          <w:color w:val="3D3D3D"/>
          <w:spacing w:val="-13"/>
          <w:w w:val="105"/>
        </w:rPr>
        <w:t> </w:t>
      </w:r>
      <w:r>
        <w:rPr>
          <w:rFonts w:ascii="Times New Roman"/>
          <w:color w:val="3D3D3D"/>
          <w:w w:val="105"/>
        </w:rPr>
        <w:t>caused</w:t>
      </w:r>
      <w:r>
        <w:rPr>
          <w:rFonts w:ascii="Times New Roman"/>
          <w:color w:val="3D3D3D"/>
          <w:spacing w:val="10"/>
          <w:w w:val="105"/>
        </w:rPr>
        <w:t> </w:t>
      </w:r>
      <w:r>
        <w:rPr>
          <w:rFonts w:ascii="Times New Roman"/>
          <w:color w:val="3D3D3D"/>
          <w:w w:val="105"/>
        </w:rPr>
        <w:t>by</w:t>
      </w:r>
      <w:r>
        <w:rPr>
          <w:rFonts w:ascii="Times New Roman"/>
          <w:color w:val="3D3D3D"/>
          <w:spacing w:val="-15"/>
          <w:w w:val="105"/>
        </w:rPr>
        <w:t> </w:t>
      </w:r>
      <w:r>
        <w:rPr>
          <w:rFonts w:ascii="Times New Roman"/>
          <w:color w:val="3D3D3D"/>
          <w:w w:val="105"/>
        </w:rPr>
        <w:t>fraud</w:t>
      </w:r>
      <w:r>
        <w:rPr>
          <w:rFonts w:ascii="Times New Roman"/>
          <w:color w:val="3D3D3D"/>
          <w:spacing w:val="-9"/>
          <w:w w:val="105"/>
        </w:rPr>
        <w:t> </w:t>
      </w:r>
      <w:r>
        <w:rPr>
          <w:rFonts w:ascii="Times New Roman"/>
          <w:color w:val="3D3D3D"/>
          <w:w w:val="105"/>
        </w:rPr>
        <w:t>or</w:t>
      </w:r>
      <w:r>
        <w:rPr>
          <w:rFonts w:ascii="Times New Roman"/>
          <w:color w:val="3D3D3D"/>
          <w:spacing w:val="2"/>
          <w:w w:val="105"/>
        </w:rPr>
        <w:t> </w:t>
      </w:r>
      <w:r>
        <w:rPr>
          <w:rFonts w:ascii="Times New Roman"/>
          <w:color w:val="3D3D3D"/>
          <w:w w:val="105"/>
        </w:rPr>
        <w:t>other</w:t>
      </w:r>
      <w:r>
        <w:rPr>
          <w:rFonts w:ascii="Times New Roman"/>
          <w:color w:val="3D3D3D"/>
          <w:spacing w:val="1"/>
          <w:w w:val="105"/>
        </w:rPr>
        <w:t> </w:t>
      </w:r>
      <w:r>
        <w:rPr>
          <w:rFonts w:ascii="Times New Roman"/>
          <w:color w:val="3D3D3D"/>
          <w:w w:val="105"/>
        </w:rPr>
        <w:t>irregularity</w:t>
      </w:r>
      <w:r>
        <w:rPr>
          <w:rFonts w:ascii="Times New Roman"/>
          <w:color w:val="3D3D3D"/>
          <w:spacing w:val="-1"/>
          <w:w w:val="105"/>
        </w:rPr>
        <w:t> </w:t>
      </w:r>
      <w:r>
        <w:rPr>
          <w:rFonts w:ascii="Times New Roman"/>
          <w:color w:val="3D3D3D"/>
          <w:w w:val="105"/>
        </w:rPr>
        <w:t>or</w:t>
      </w:r>
      <w:r>
        <w:rPr>
          <w:rFonts w:ascii="Times New Roman"/>
          <w:color w:val="3D3D3D"/>
          <w:spacing w:val="8"/>
          <w:w w:val="105"/>
        </w:rPr>
        <w:t> </w:t>
      </w:r>
      <w:r>
        <w:rPr>
          <w:rFonts w:ascii="Times New Roman"/>
          <w:color w:val="3D3D3D"/>
          <w:w w:val="105"/>
        </w:rPr>
        <w:t>error.</w:t>
      </w:r>
      <w:r>
        <w:rPr>
          <w:rFonts w:ascii="Times New Roman"/>
          <w:color w:val="3D3D3D"/>
          <w:spacing w:val="-11"/>
          <w:w w:val="105"/>
        </w:rPr>
        <w:t> </w:t>
      </w:r>
      <w:r>
        <w:rPr>
          <w:rFonts w:ascii="Times New Roman"/>
          <w:color w:val="3D3D3D"/>
          <w:w w:val="105"/>
          <w:sz w:val="20"/>
        </w:rPr>
        <w:t>In</w:t>
      </w:r>
      <w:r>
        <w:rPr>
          <w:rFonts w:ascii="Times New Roman"/>
          <w:color w:val="3D3D3D"/>
          <w:spacing w:val="-21"/>
          <w:w w:val="105"/>
          <w:sz w:val="20"/>
        </w:rPr>
        <w:t> </w:t>
      </w:r>
      <w:r>
        <w:rPr>
          <w:rFonts w:ascii="Times New Roman"/>
          <w:color w:val="3D3D3D"/>
          <w:w w:val="105"/>
        </w:rPr>
        <w:t>forming our</w:t>
      </w:r>
      <w:r>
        <w:rPr>
          <w:rFonts w:ascii="Times New Roman"/>
          <w:color w:val="3D3D3D"/>
          <w:spacing w:val="-4"/>
          <w:w w:val="105"/>
        </w:rPr>
        <w:t> </w:t>
      </w:r>
      <w:r>
        <w:rPr>
          <w:rFonts w:ascii="Times New Roman"/>
          <w:color w:val="3D3D3D"/>
          <w:w w:val="105"/>
        </w:rPr>
        <w:t>opinion</w:t>
      </w:r>
      <w:r>
        <w:rPr>
          <w:rFonts w:ascii="Times New Roman"/>
          <w:color w:val="3D3D3D"/>
          <w:spacing w:val="-5"/>
          <w:w w:val="105"/>
        </w:rPr>
        <w:t> </w:t>
      </w:r>
      <w:r>
        <w:rPr>
          <w:rFonts w:ascii="Times New Roman"/>
          <w:color w:val="3D3D3D"/>
          <w:w w:val="105"/>
        </w:rPr>
        <w:t>we</w:t>
      </w:r>
      <w:r>
        <w:rPr>
          <w:rFonts w:ascii="Times New Roman"/>
          <w:color w:val="3D3D3D"/>
          <w:spacing w:val="-7"/>
          <w:w w:val="105"/>
        </w:rPr>
        <w:t> </w:t>
      </w:r>
      <w:r>
        <w:rPr>
          <w:rFonts w:ascii="Times New Roman"/>
          <w:color w:val="3D3D3D"/>
          <w:w w:val="105"/>
        </w:rPr>
        <w:t>also</w:t>
      </w:r>
      <w:r>
        <w:rPr>
          <w:rFonts w:ascii="Times New Roman"/>
          <w:color w:val="3D3D3D"/>
          <w:spacing w:val="-21"/>
          <w:w w:val="105"/>
        </w:rPr>
        <w:t> </w:t>
      </w:r>
      <w:r>
        <w:rPr>
          <w:rFonts w:ascii="Times New Roman"/>
          <w:color w:val="3D3D3D"/>
          <w:w w:val="105"/>
        </w:rPr>
        <w:t>evaluated</w:t>
      </w:r>
      <w:r>
        <w:rPr>
          <w:rFonts w:ascii="Times New Roman"/>
          <w:color w:val="3D3D3D"/>
          <w:spacing w:val="-11"/>
          <w:w w:val="105"/>
        </w:rPr>
        <w:t> </w:t>
      </w:r>
      <w:r>
        <w:rPr>
          <w:rFonts w:ascii="Times New Roman"/>
          <w:color w:val="3D3D3D"/>
          <w:w w:val="105"/>
        </w:rPr>
        <w:t>the</w:t>
      </w:r>
      <w:r>
        <w:rPr>
          <w:rFonts w:ascii="Times New Roman"/>
          <w:color w:val="3D3D3D"/>
          <w:spacing w:val="-8"/>
          <w:w w:val="105"/>
        </w:rPr>
        <w:t> </w:t>
      </w:r>
      <w:r>
        <w:rPr>
          <w:rFonts w:ascii="Times New Roman"/>
          <w:color w:val="3D3D3D"/>
          <w:w w:val="105"/>
        </w:rPr>
        <w:t>overall</w:t>
      </w:r>
      <w:r>
        <w:rPr>
          <w:rFonts w:ascii="Times New Roman"/>
          <w:color w:val="3D3D3D"/>
          <w:spacing w:val="-6"/>
          <w:w w:val="105"/>
        </w:rPr>
        <w:t> </w:t>
      </w:r>
      <w:r>
        <w:rPr>
          <w:rFonts w:ascii="Times New Roman"/>
          <w:color w:val="3D3D3D"/>
          <w:w w:val="105"/>
        </w:rPr>
        <w:t>adequacy</w:t>
      </w:r>
      <w:r>
        <w:rPr>
          <w:rFonts w:ascii="Times New Roman"/>
          <w:color w:val="3D3D3D"/>
          <w:spacing w:val="-9"/>
          <w:w w:val="105"/>
        </w:rPr>
        <w:t> </w:t>
      </w:r>
      <w:r>
        <w:rPr>
          <w:rFonts w:ascii="Times New Roman"/>
          <w:color w:val="3D3D3D"/>
          <w:w w:val="105"/>
        </w:rPr>
        <w:t>of</w:t>
      </w:r>
      <w:r>
        <w:rPr>
          <w:rFonts w:ascii="Times New Roman"/>
          <w:color w:val="3D3D3D"/>
          <w:spacing w:val="-2"/>
          <w:w w:val="105"/>
        </w:rPr>
        <w:t> </w:t>
      </w:r>
      <w:r>
        <w:rPr>
          <w:rFonts w:ascii="Times New Roman"/>
          <w:color w:val="3D3D3D"/>
          <w:w w:val="105"/>
        </w:rPr>
        <w:t>the presentation</w:t>
      </w:r>
      <w:r>
        <w:rPr>
          <w:rFonts w:ascii="Times New Roman"/>
          <w:color w:val="3D3D3D"/>
          <w:spacing w:val="-5"/>
          <w:w w:val="105"/>
        </w:rPr>
        <w:t> </w:t>
      </w:r>
      <w:r>
        <w:rPr>
          <w:rFonts w:ascii="Times New Roman"/>
          <w:color w:val="3D3D3D"/>
          <w:w w:val="105"/>
        </w:rPr>
        <w:t>of</w:t>
      </w:r>
      <w:r>
        <w:rPr>
          <w:rFonts w:ascii="Times New Roman"/>
          <w:color w:val="3D3D3D"/>
          <w:spacing w:val="4"/>
          <w:w w:val="105"/>
        </w:rPr>
        <w:t> </w:t>
      </w:r>
      <w:r>
        <w:rPr>
          <w:rFonts w:ascii="Times New Roman"/>
          <w:color w:val="3D3D3D"/>
          <w:w w:val="105"/>
        </w:rPr>
        <w:t>information</w:t>
      </w:r>
      <w:r>
        <w:rPr>
          <w:rFonts w:ascii="Times New Roman"/>
          <w:color w:val="3D3D3D"/>
          <w:spacing w:val="-4"/>
          <w:w w:val="105"/>
        </w:rPr>
        <w:t> </w:t>
      </w:r>
      <w:r>
        <w:rPr>
          <w:rFonts w:ascii="Times New Roman"/>
          <w:color w:val="3D3D3D"/>
          <w:w w:val="105"/>
        </w:rPr>
        <w:t>in</w:t>
      </w:r>
      <w:r>
        <w:rPr>
          <w:rFonts w:ascii="Times New Roman"/>
          <w:color w:val="3D3D3D"/>
          <w:spacing w:val="-10"/>
          <w:w w:val="105"/>
        </w:rPr>
        <w:t> </w:t>
      </w:r>
      <w:r>
        <w:rPr>
          <w:rFonts w:ascii="Times New Roman"/>
          <w:color w:val="3D3D3D"/>
          <w:w w:val="105"/>
        </w:rPr>
        <w:t>the</w:t>
      </w:r>
      <w:r>
        <w:rPr>
          <w:rFonts w:ascii="Times New Roman"/>
          <w:color w:val="3D3D3D"/>
          <w:spacing w:val="-5"/>
          <w:w w:val="105"/>
        </w:rPr>
        <w:t> </w:t>
      </w:r>
      <w:r>
        <w:rPr>
          <w:rFonts w:ascii="Times New Roman"/>
          <w:color w:val="3D3D3D"/>
          <w:w w:val="105"/>
        </w:rPr>
        <w:t>fmancial</w:t>
      </w:r>
      <w:r>
        <w:rPr>
          <w:rFonts w:ascii="Times New Roman"/>
          <w:color w:val="3D3D3D"/>
          <w:spacing w:val="-7"/>
          <w:w w:val="105"/>
        </w:rPr>
        <w:t> </w:t>
      </w:r>
      <w:r>
        <w:rPr>
          <w:rFonts w:ascii="Times New Roman"/>
          <w:color w:val="3D3D3D"/>
          <w:w w:val="105"/>
        </w:rPr>
        <w:t>statements.</w:t>
      </w:r>
    </w:p>
    <w:p>
      <w:pPr>
        <w:spacing w:after="0" w:line="247" w:lineRule="auto"/>
        <w:jc w:val="both"/>
        <w:rPr>
          <w:rFonts w:ascii="Times New Roman"/>
        </w:rPr>
        <w:sectPr>
          <w:headerReference w:type="even" r:id="rId542"/>
          <w:headerReference w:type="default" r:id="rId543"/>
          <w:footerReference w:type="even" r:id="rId544"/>
          <w:pgSz w:w="10950" w:h="15880"/>
          <w:pgMar w:header="265" w:footer="0" w:top="500" w:bottom="280" w:left="500" w:right="0"/>
        </w:sectPr>
      </w:pPr>
    </w:p>
    <w:p>
      <w:pPr>
        <w:pStyle w:val="BodyText"/>
        <w:rPr>
          <w:rFonts w:ascii="Times New Roman"/>
          <w:sz w:val="28"/>
        </w:rPr>
      </w:pPr>
    </w:p>
    <w:p>
      <w:pPr>
        <w:spacing w:before="90"/>
        <w:ind w:left="1321" w:right="1233" w:firstLine="0"/>
        <w:jc w:val="center"/>
        <w:rPr>
          <w:rFonts w:ascii="Times New Roman"/>
          <w:b/>
          <w:sz w:val="24"/>
        </w:rPr>
      </w:pPr>
      <w:r>
        <w:rPr>
          <w:rFonts w:ascii="Times New Roman"/>
          <w:b/>
          <w:color w:val="1F1F1F"/>
          <w:sz w:val="24"/>
        </w:rPr>
        <w:t>INDEPENDENT AUDI</w:t>
      </w:r>
      <w:r>
        <w:rPr>
          <w:rFonts w:ascii="Times New Roman"/>
          <w:b/>
          <w:color w:val="3B3B3B"/>
          <w:sz w:val="24"/>
        </w:rPr>
        <w:t>T</w:t>
      </w:r>
      <w:r>
        <w:rPr>
          <w:rFonts w:ascii="Times New Roman"/>
          <w:b/>
          <w:color w:val="1F1F1F"/>
          <w:sz w:val="24"/>
        </w:rPr>
        <w:t>ORS</w:t>
      </w:r>
      <w:r>
        <w:rPr>
          <w:rFonts w:ascii="Times New Roman"/>
          <w:b/>
          <w:color w:val="3B3B3B"/>
          <w:sz w:val="24"/>
        </w:rPr>
        <w:t>' </w:t>
      </w:r>
      <w:r>
        <w:rPr>
          <w:rFonts w:ascii="Times New Roman"/>
          <w:b/>
          <w:color w:val="1F1F1F"/>
          <w:sz w:val="24"/>
        </w:rPr>
        <w:t>REPORT CONTINUED</w:t>
      </w:r>
    </w:p>
    <w:p>
      <w:pPr>
        <w:pStyle w:val="BodyText"/>
        <w:rPr>
          <w:rFonts w:ascii="Times New Roman"/>
          <w:b/>
          <w:sz w:val="20"/>
        </w:rPr>
      </w:pPr>
    </w:p>
    <w:p>
      <w:pPr>
        <w:pStyle w:val="BodyText"/>
        <w:spacing w:before="5"/>
        <w:rPr>
          <w:rFonts w:ascii="Times New Roman"/>
          <w:b/>
          <w:sz w:val="16"/>
        </w:rPr>
      </w:pPr>
    </w:p>
    <w:p>
      <w:pPr>
        <w:spacing w:before="92"/>
        <w:ind w:left="1014" w:right="0" w:firstLine="0"/>
        <w:jc w:val="left"/>
        <w:rPr>
          <w:rFonts w:ascii="Times New Roman"/>
          <w:b/>
          <w:sz w:val="18"/>
        </w:rPr>
      </w:pPr>
      <w:r>
        <w:rPr>
          <w:rFonts w:ascii="Times New Roman"/>
          <w:b/>
          <w:color w:val="1F1F1F"/>
          <w:w w:val="105"/>
          <w:sz w:val="18"/>
        </w:rPr>
        <w:t>Opinion</w:t>
      </w:r>
    </w:p>
    <w:p>
      <w:pPr>
        <w:pStyle w:val="BodyText"/>
        <w:spacing w:before="2"/>
        <w:rPr>
          <w:rFonts w:ascii="Times New Roman"/>
          <w:b/>
          <w:sz w:val="17"/>
        </w:rPr>
      </w:pPr>
    </w:p>
    <w:p>
      <w:pPr>
        <w:pStyle w:val="BodyText"/>
        <w:ind w:left="1017"/>
        <w:rPr>
          <w:rFonts w:ascii="Times New Roman"/>
        </w:rPr>
      </w:pPr>
      <w:r>
        <w:rPr>
          <w:rFonts w:ascii="Times New Roman"/>
          <w:color w:val="3B3B3B"/>
          <w:w w:val="105"/>
        </w:rPr>
        <w:t>In our opinion the financial statements</w:t>
      </w:r>
      <w:r>
        <w:rPr>
          <w:rFonts w:ascii="Times New Roman"/>
          <w:color w:val="1F1F1F"/>
          <w:w w:val="105"/>
        </w:rPr>
        <w:t>:</w:t>
      </w:r>
    </w:p>
    <w:p>
      <w:pPr>
        <w:pStyle w:val="BodyText"/>
        <w:spacing w:before="9"/>
        <w:rPr>
          <w:rFonts w:ascii="Times New Roman"/>
        </w:rPr>
      </w:pPr>
    </w:p>
    <w:p>
      <w:pPr>
        <w:pStyle w:val="ListParagraph"/>
        <w:numPr>
          <w:ilvl w:val="1"/>
          <w:numId w:val="222"/>
        </w:numPr>
        <w:tabs>
          <w:tab w:pos="2086" w:val="left" w:leader="none"/>
        </w:tabs>
        <w:spacing w:line="256" w:lineRule="auto" w:before="1" w:after="0"/>
        <w:ind w:left="2087" w:right="913" w:hanging="345"/>
        <w:jc w:val="both"/>
        <w:rPr>
          <w:rFonts w:ascii="Times New Roman" w:hAnsi="Times New Roman"/>
          <w:sz w:val="18"/>
        </w:rPr>
      </w:pPr>
      <w:r>
        <w:rPr>
          <w:rFonts w:ascii="Times New Roman" w:hAnsi="Times New Roman"/>
          <w:color w:val="3B3B3B"/>
          <w:w w:val="105"/>
          <w:sz w:val="18"/>
        </w:rPr>
        <w:t>g</w:t>
      </w:r>
      <w:r>
        <w:rPr>
          <w:rFonts w:ascii="Times New Roman" w:hAnsi="Times New Roman"/>
          <w:color w:val="1F1F1F"/>
          <w:w w:val="105"/>
          <w:sz w:val="18"/>
        </w:rPr>
        <w:t>i</w:t>
      </w:r>
      <w:r>
        <w:rPr>
          <w:rFonts w:ascii="Times New Roman" w:hAnsi="Times New Roman"/>
          <w:color w:val="3B3B3B"/>
          <w:w w:val="105"/>
          <w:sz w:val="18"/>
        </w:rPr>
        <w:t>ve a true and fair view, in accordance with </w:t>
      </w:r>
      <w:r>
        <w:rPr>
          <w:rFonts w:ascii="Times New Roman" w:hAnsi="Times New Roman"/>
          <w:color w:val="3B3B3B"/>
          <w:spacing w:val="-3"/>
          <w:w w:val="105"/>
          <w:sz w:val="18"/>
        </w:rPr>
        <w:t>Un</w:t>
      </w:r>
      <w:r>
        <w:rPr>
          <w:rFonts w:ascii="Times New Roman" w:hAnsi="Times New Roman"/>
          <w:color w:val="1F1F1F"/>
          <w:spacing w:val="-3"/>
          <w:w w:val="105"/>
          <w:sz w:val="18"/>
        </w:rPr>
        <w:t>i</w:t>
      </w:r>
      <w:r>
        <w:rPr>
          <w:rFonts w:ascii="Times New Roman" w:hAnsi="Times New Roman"/>
          <w:color w:val="3B3B3B"/>
          <w:spacing w:val="-3"/>
          <w:w w:val="105"/>
          <w:sz w:val="18"/>
        </w:rPr>
        <w:t>ted </w:t>
      </w:r>
      <w:r>
        <w:rPr>
          <w:rFonts w:ascii="Times New Roman" w:hAnsi="Times New Roman"/>
          <w:color w:val="3B3B3B"/>
          <w:w w:val="105"/>
          <w:sz w:val="18"/>
        </w:rPr>
        <w:t>Kingdom Generally Accepted Accounting</w:t>
      </w:r>
      <w:r>
        <w:rPr>
          <w:rFonts w:ascii="Times New Roman" w:hAnsi="Times New Roman"/>
          <w:color w:val="1F1F1F"/>
          <w:w w:val="105"/>
          <w:sz w:val="18"/>
        </w:rPr>
        <w:t> Pr</w:t>
      </w:r>
      <w:r>
        <w:rPr>
          <w:rFonts w:ascii="Times New Roman" w:hAnsi="Times New Roman"/>
          <w:color w:val="3B3B3B"/>
          <w:w w:val="105"/>
          <w:sz w:val="18"/>
        </w:rPr>
        <w:t>act</w:t>
      </w:r>
      <w:r>
        <w:rPr>
          <w:rFonts w:ascii="Times New Roman" w:hAnsi="Times New Roman"/>
          <w:color w:val="1F1F1F"/>
          <w:w w:val="105"/>
          <w:sz w:val="18"/>
        </w:rPr>
        <w:t>i</w:t>
      </w:r>
      <w:r>
        <w:rPr>
          <w:rFonts w:ascii="Times New Roman" w:hAnsi="Times New Roman"/>
          <w:color w:val="3B3B3B"/>
          <w:w w:val="105"/>
          <w:sz w:val="18"/>
        </w:rPr>
        <w:t>ce, o</w:t>
      </w:r>
      <w:r>
        <w:rPr>
          <w:rFonts w:ascii="Times New Roman" w:hAnsi="Times New Roman"/>
          <w:color w:val="545454"/>
          <w:w w:val="105"/>
          <w:sz w:val="18"/>
        </w:rPr>
        <w:t>f </w:t>
      </w:r>
      <w:r>
        <w:rPr>
          <w:rFonts w:ascii="Times New Roman" w:hAnsi="Times New Roman"/>
          <w:color w:val="3B3B3B"/>
          <w:w w:val="105"/>
          <w:sz w:val="18"/>
        </w:rPr>
        <w:t>the state of affairs of the Church at 31 </w:t>
      </w:r>
      <w:r>
        <w:rPr>
          <w:rFonts w:ascii="Times New Roman" w:hAnsi="Times New Roman"/>
          <w:color w:val="1F1F1F"/>
          <w:w w:val="105"/>
          <w:sz w:val="18"/>
        </w:rPr>
        <w:t>D</w:t>
      </w:r>
      <w:r>
        <w:rPr>
          <w:rFonts w:ascii="Times New Roman" w:hAnsi="Times New Roman"/>
          <w:color w:val="3B3B3B"/>
          <w:w w:val="105"/>
          <w:sz w:val="18"/>
        </w:rPr>
        <w:t>ecemb</w:t>
      </w:r>
      <w:r>
        <w:rPr>
          <w:rFonts w:ascii="Times New Roman" w:hAnsi="Times New Roman"/>
          <w:color w:val="545454"/>
          <w:w w:val="105"/>
          <w:sz w:val="18"/>
        </w:rPr>
        <w:t>e</w:t>
      </w:r>
      <w:r>
        <w:rPr>
          <w:rFonts w:ascii="Times New Roman" w:hAnsi="Times New Roman"/>
          <w:color w:val="3B3B3B"/>
          <w:w w:val="105"/>
          <w:sz w:val="18"/>
        </w:rPr>
        <w:t>r 2006 and of its net incoming resources</w:t>
      </w:r>
      <w:r>
        <w:rPr>
          <w:rFonts w:ascii="Times New Roman" w:hAnsi="Times New Roman"/>
          <w:color w:val="3B3B3B"/>
          <w:spacing w:val="-8"/>
          <w:w w:val="105"/>
          <w:sz w:val="18"/>
        </w:rPr>
        <w:t> </w:t>
      </w:r>
      <w:r>
        <w:rPr>
          <w:rFonts w:ascii="Times New Roman" w:hAnsi="Times New Roman"/>
          <w:color w:val="3B3B3B"/>
          <w:w w:val="105"/>
          <w:sz w:val="18"/>
        </w:rPr>
        <w:t>and</w:t>
      </w:r>
      <w:r>
        <w:rPr>
          <w:rFonts w:ascii="Times New Roman" w:hAnsi="Times New Roman"/>
          <w:color w:val="3B3B3B"/>
          <w:spacing w:val="-3"/>
          <w:w w:val="105"/>
          <w:sz w:val="18"/>
        </w:rPr>
        <w:t> </w:t>
      </w:r>
      <w:r>
        <w:rPr>
          <w:rFonts w:ascii="Times New Roman" w:hAnsi="Times New Roman"/>
          <w:color w:val="3B3B3B"/>
          <w:w w:val="105"/>
          <w:sz w:val="18"/>
        </w:rPr>
        <w:t>cash</w:t>
      </w:r>
      <w:r>
        <w:rPr>
          <w:rFonts w:ascii="Times New Roman" w:hAnsi="Times New Roman"/>
          <w:color w:val="3B3B3B"/>
          <w:spacing w:val="7"/>
          <w:w w:val="105"/>
          <w:sz w:val="18"/>
        </w:rPr>
        <w:t> </w:t>
      </w:r>
      <w:r>
        <w:rPr>
          <w:rFonts w:ascii="Times New Roman" w:hAnsi="Times New Roman"/>
          <w:color w:val="3B3B3B"/>
          <w:w w:val="105"/>
          <w:sz w:val="18"/>
        </w:rPr>
        <w:t>flows</w:t>
      </w:r>
      <w:r>
        <w:rPr>
          <w:rFonts w:ascii="Times New Roman" w:hAnsi="Times New Roman"/>
          <w:color w:val="3B3B3B"/>
          <w:spacing w:val="-26"/>
          <w:w w:val="105"/>
          <w:sz w:val="18"/>
        </w:rPr>
        <w:t> </w:t>
      </w:r>
      <w:r>
        <w:rPr>
          <w:rFonts w:ascii="Times New Roman" w:hAnsi="Times New Roman"/>
          <w:color w:val="3B3B3B"/>
          <w:w w:val="105"/>
          <w:sz w:val="18"/>
        </w:rPr>
        <w:t>for</w:t>
      </w:r>
      <w:r>
        <w:rPr>
          <w:rFonts w:ascii="Times New Roman" w:hAnsi="Times New Roman"/>
          <w:color w:val="3B3B3B"/>
          <w:spacing w:val="6"/>
          <w:w w:val="105"/>
          <w:sz w:val="18"/>
        </w:rPr>
        <w:t> </w:t>
      </w:r>
      <w:r>
        <w:rPr>
          <w:rFonts w:ascii="Times New Roman" w:hAnsi="Times New Roman"/>
          <w:color w:val="3B3B3B"/>
          <w:w w:val="105"/>
          <w:sz w:val="18"/>
        </w:rPr>
        <w:t>the</w:t>
      </w:r>
      <w:r>
        <w:rPr>
          <w:rFonts w:ascii="Times New Roman" w:hAnsi="Times New Roman"/>
          <w:color w:val="3B3B3B"/>
          <w:spacing w:val="-8"/>
          <w:w w:val="105"/>
          <w:sz w:val="18"/>
        </w:rPr>
        <w:t> </w:t>
      </w:r>
      <w:r>
        <w:rPr>
          <w:rFonts w:ascii="Times New Roman" w:hAnsi="Times New Roman"/>
          <w:color w:val="3B3B3B"/>
          <w:w w:val="105"/>
          <w:sz w:val="18"/>
        </w:rPr>
        <w:t>year</w:t>
      </w:r>
      <w:r>
        <w:rPr>
          <w:rFonts w:ascii="Times New Roman" w:hAnsi="Times New Roman"/>
          <w:color w:val="3B3B3B"/>
          <w:spacing w:val="-15"/>
          <w:w w:val="105"/>
          <w:sz w:val="18"/>
        </w:rPr>
        <w:t> </w:t>
      </w:r>
      <w:r>
        <w:rPr>
          <w:rFonts w:ascii="Times New Roman" w:hAnsi="Times New Roman"/>
          <w:color w:val="3B3B3B"/>
          <w:w w:val="105"/>
          <w:sz w:val="18"/>
        </w:rPr>
        <w:t>then</w:t>
      </w:r>
      <w:r>
        <w:rPr>
          <w:rFonts w:ascii="Times New Roman" w:hAnsi="Times New Roman"/>
          <w:color w:val="3B3B3B"/>
          <w:spacing w:val="-9"/>
          <w:w w:val="105"/>
          <w:sz w:val="18"/>
        </w:rPr>
        <w:t> </w:t>
      </w:r>
      <w:r>
        <w:rPr>
          <w:rFonts w:ascii="Times New Roman" w:hAnsi="Times New Roman"/>
          <w:color w:val="3B3B3B"/>
          <w:w w:val="105"/>
          <w:sz w:val="18"/>
        </w:rPr>
        <w:t>ended;</w:t>
      </w:r>
      <w:r>
        <w:rPr>
          <w:rFonts w:ascii="Times New Roman" w:hAnsi="Times New Roman"/>
          <w:color w:val="3B3B3B"/>
          <w:spacing w:val="-17"/>
          <w:w w:val="105"/>
          <w:sz w:val="18"/>
        </w:rPr>
        <w:t> </w:t>
      </w:r>
      <w:r>
        <w:rPr>
          <w:rFonts w:ascii="Times New Roman" w:hAnsi="Times New Roman"/>
          <w:color w:val="3B3B3B"/>
          <w:w w:val="105"/>
          <w:sz w:val="18"/>
        </w:rPr>
        <w:t>an</w:t>
      </w:r>
      <w:r>
        <w:rPr>
          <w:rFonts w:ascii="Times New Roman" w:hAnsi="Times New Roman"/>
          <w:color w:val="1F1F1F"/>
          <w:w w:val="105"/>
          <w:sz w:val="18"/>
        </w:rPr>
        <w:t>d</w:t>
      </w:r>
    </w:p>
    <w:p>
      <w:pPr>
        <w:pStyle w:val="BodyText"/>
        <w:spacing w:before="5"/>
        <w:rPr>
          <w:rFonts w:ascii="Times New Roman"/>
          <w:sz w:val="17"/>
        </w:rPr>
      </w:pPr>
    </w:p>
    <w:p>
      <w:pPr>
        <w:pStyle w:val="ListParagraph"/>
        <w:numPr>
          <w:ilvl w:val="1"/>
          <w:numId w:val="222"/>
        </w:numPr>
        <w:tabs>
          <w:tab w:pos="2098" w:val="left" w:leader="none"/>
          <w:tab w:pos="2099" w:val="left" w:leader="none"/>
        </w:tabs>
        <w:spacing w:line="240" w:lineRule="auto" w:before="1" w:after="0"/>
        <w:ind w:left="2098" w:right="0" w:hanging="356"/>
        <w:jc w:val="left"/>
        <w:rPr>
          <w:rFonts w:ascii="Times New Roman" w:hAnsi="Times New Roman"/>
          <w:sz w:val="18"/>
        </w:rPr>
      </w:pPr>
      <w:r>
        <w:rPr>
          <w:rFonts w:ascii="Times New Roman" w:hAnsi="Times New Roman"/>
          <w:color w:val="3B3B3B"/>
          <w:w w:val="105"/>
          <w:sz w:val="18"/>
        </w:rPr>
        <w:t>have</w:t>
      </w:r>
      <w:r>
        <w:rPr>
          <w:rFonts w:ascii="Times New Roman" w:hAnsi="Times New Roman"/>
          <w:color w:val="3B3B3B"/>
          <w:spacing w:val="-10"/>
          <w:w w:val="105"/>
          <w:sz w:val="18"/>
        </w:rPr>
        <w:t> </w:t>
      </w:r>
      <w:r>
        <w:rPr>
          <w:rFonts w:ascii="Times New Roman" w:hAnsi="Times New Roman"/>
          <w:color w:val="3B3B3B"/>
          <w:w w:val="105"/>
          <w:sz w:val="18"/>
        </w:rPr>
        <w:t>been</w:t>
      </w:r>
      <w:r>
        <w:rPr>
          <w:rFonts w:ascii="Times New Roman" w:hAnsi="Times New Roman"/>
          <w:color w:val="3B3B3B"/>
          <w:spacing w:val="-3"/>
          <w:w w:val="105"/>
          <w:sz w:val="18"/>
        </w:rPr>
        <w:t> </w:t>
      </w:r>
      <w:r>
        <w:rPr>
          <w:rFonts w:ascii="Times New Roman" w:hAnsi="Times New Roman"/>
          <w:color w:val="3B3B3B"/>
          <w:w w:val="105"/>
          <w:sz w:val="18"/>
        </w:rPr>
        <w:t>proper</w:t>
      </w:r>
      <w:r>
        <w:rPr>
          <w:rFonts w:ascii="Times New Roman" w:hAnsi="Times New Roman"/>
          <w:color w:val="1F1F1F"/>
          <w:w w:val="105"/>
          <w:sz w:val="18"/>
        </w:rPr>
        <w:t>l</w:t>
      </w:r>
      <w:r>
        <w:rPr>
          <w:rFonts w:ascii="Times New Roman" w:hAnsi="Times New Roman"/>
          <w:color w:val="3B3B3B"/>
          <w:w w:val="105"/>
          <w:sz w:val="18"/>
        </w:rPr>
        <w:t>y</w:t>
      </w:r>
      <w:r>
        <w:rPr>
          <w:rFonts w:ascii="Times New Roman" w:hAnsi="Times New Roman"/>
          <w:color w:val="3B3B3B"/>
          <w:spacing w:val="3"/>
          <w:w w:val="105"/>
          <w:sz w:val="18"/>
        </w:rPr>
        <w:t> </w:t>
      </w:r>
      <w:r>
        <w:rPr>
          <w:rFonts w:ascii="Times New Roman" w:hAnsi="Times New Roman"/>
          <w:color w:val="3B3B3B"/>
          <w:w w:val="105"/>
          <w:sz w:val="18"/>
        </w:rPr>
        <w:t>prepared</w:t>
      </w:r>
      <w:r>
        <w:rPr>
          <w:rFonts w:ascii="Times New Roman" w:hAnsi="Times New Roman"/>
          <w:color w:val="3B3B3B"/>
          <w:spacing w:val="-4"/>
          <w:w w:val="105"/>
          <w:sz w:val="18"/>
        </w:rPr>
        <w:t> </w:t>
      </w:r>
      <w:r>
        <w:rPr>
          <w:rFonts w:ascii="Times New Roman" w:hAnsi="Times New Roman"/>
          <w:color w:val="3B3B3B"/>
          <w:w w:val="105"/>
          <w:sz w:val="18"/>
        </w:rPr>
        <w:t>in</w:t>
      </w:r>
      <w:r>
        <w:rPr>
          <w:rFonts w:ascii="Times New Roman" w:hAnsi="Times New Roman"/>
          <w:color w:val="3B3B3B"/>
          <w:spacing w:val="-13"/>
          <w:w w:val="105"/>
          <w:sz w:val="18"/>
        </w:rPr>
        <w:t> </w:t>
      </w:r>
      <w:r>
        <w:rPr>
          <w:rFonts w:ascii="Times New Roman" w:hAnsi="Times New Roman"/>
          <w:color w:val="3B3B3B"/>
          <w:w w:val="105"/>
          <w:sz w:val="18"/>
        </w:rPr>
        <w:t>accordance</w:t>
      </w:r>
      <w:r>
        <w:rPr>
          <w:rFonts w:ascii="Times New Roman" w:hAnsi="Times New Roman"/>
          <w:color w:val="3B3B3B"/>
          <w:spacing w:val="-6"/>
          <w:w w:val="105"/>
          <w:sz w:val="18"/>
        </w:rPr>
        <w:t> </w:t>
      </w:r>
      <w:r>
        <w:rPr>
          <w:rFonts w:ascii="Times New Roman" w:hAnsi="Times New Roman"/>
          <w:color w:val="3B3B3B"/>
          <w:w w:val="105"/>
          <w:sz w:val="18"/>
        </w:rPr>
        <w:t>wi</w:t>
      </w:r>
      <w:r>
        <w:rPr>
          <w:rFonts w:ascii="Times New Roman" w:hAnsi="Times New Roman"/>
          <w:color w:val="1F1F1F"/>
          <w:w w:val="105"/>
          <w:sz w:val="18"/>
        </w:rPr>
        <w:t>t</w:t>
      </w:r>
      <w:r>
        <w:rPr>
          <w:rFonts w:ascii="Times New Roman" w:hAnsi="Times New Roman"/>
          <w:color w:val="3B3B3B"/>
          <w:w w:val="105"/>
          <w:sz w:val="18"/>
        </w:rPr>
        <w:t>h</w:t>
      </w:r>
      <w:r>
        <w:rPr>
          <w:rFonts w:ascii="Times New Roman" w:hAnsi="Times New Roman"/>
          <w:color w:val="3B3B3B"/>
          <w:spacing w:val="-12"/>
          <w:w w:val="105"/>
          <w:sz w:val="18"/>
        </w:rPr>
        <w:t> </w:t>
      </w:r>
      <w:r>
        <w:rPr>
          <w:rFonts w:ascii="Times New Roman" w:hAnsi="Times New Roman"/>
          <w:color w:val="3B3B3B"/>
          <w:w w:val="105"/>
          <w:sz w:val="18"/>
        </w:rPr>
        <w:t>the</w:t>
      </w:r>
      <w:r>
        <w:rPr>
          <w:rFonts w:ascii="Times New Roman" w:hAnsi="Times New Roman"/>
          <w:color w:val="3B3B3B"/>
          <w:spacing w:val="-11"/>
          <w:w w:val="105"/>
          <w:sz w:val="18"/>
        </w:rPr>
        <w:t> </w:t>
      </w:r>
      <w:r>
        <w:rPr>
          <w:rFonts w:ascii="Times New Roman" w:hAnsi="Times New Roman"/>
          <w:color w:val="3B3B3B"/>
          <w:w w:val="105"/>
          <w:sz w:val="18"/>
        </w:rPr>
        <w:t>Charities</w:t>
      </w:r>
      <w:r>
        <w:rPr>
          <w:rFonts w:ascii="Times New Roman" w:hAnsi="Times New Roman"/>
          <w:color w:val="3B3B3B"/>
          <w:spacing w:val="-6"/>
          <w:w w:val="105"/>
          <w:sz w:val="18"/>
        </w:rPr>
        <w:t> </w:t>
      </w:r>
      <w:r>
        <w:rPr>
          <w:rFonts w:ascii="Times New Roman" w:hAnsi="Times New Roman"/>
          <w:color w:val="3B3B3B"/>
          <w:w w:val="105"/>
          <w:sz w:val="18"/>
        </w:rPr>
        <w:t>Act</w:t>
      </w:r>
      <w:r>
        <w:rPr>
          <w:rFonts w:ascii="Times New Roman" w:hAnsi="Times New Roman"/>
          <w:color w:val="3B3B3B"/>
          <w:spacing w:val="-16"/>
          <w:w w:val="105"/>
          <w:sz w:val="18"/>
        </w:rPr>
        <w:t> </w:t>
      </w:r>
      <w:r>
        <w:rPr>
          <w:rFonts w:ascii="Times New Roman" w:hAnsi="Times New Roman"/>
          <w:color w:val="1F1F1F"/>
          <w:w w:val="105"/>
          <w:sz w:val="18"/>
        </w:rPr>
        <w:t>1</w:t>
      </w:r>
      <w:r>
        <w:rPr>
          <w:rFonts w:ascii="Times New Roman" w:hAnsi="Times New Roman"/>
          <w:color w:val="3B3B3B"/>
          <w:w w:val="105"/>
          <w:sz w:val="18"/>
        </w:rPr>
        <w:t>993</w:t>
      </w:r>
      <w:r>
        <w:rPr>
          <w:rFonts w:ascii="Times New Roman" w:hAnsi="Times New Roman"/>
          <w:color w:val="1F1F1F"/>
          <w:w w:val="105"/>
          <w:sz w:val="18"/>
        </w:rPr>
        <w:t>.</w:t>
      </w: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BodyText"/>
        <w:ind w:left="1009"/>
        <w:rPr>
          <w:rFonts w:ascii="Times New Roman"/>
        </w:rPr>
      </w:pPr>
      <w:r>
        <w:rPr>
          <w:rFonts w:ascii="Times New Roman"/>
          <w:color w:val="3B3B3B"/>
          <w:w w:val="105"/>
        </w:rPr>
        <w:t>PricewaterhouseCoopersLLP</w:t>
      </w:r>
    </w:p>
    <w:p>
      <w:pPr>
        <w:pStyle w:val="BodyText"/>
        <w:spacing w:line="256" w:lineRule="auto" w:before="24"/>
        <w:ind w:left="1017" w:right="5247" w:hanging="4"/>
        <w:rPr>
          <w:rFonts w:ascii="Times New Roman"/>
        </w:rPr>
      </w:pPr>
      <w:r>
        <w:rPr>
          <w:rFonts w:ascii="Times New Roman"/>
          <w:color w:val="3B3B3B"/>
          <w:w w:val="105"/>
        </w:rPr>
        <w:t>Charte</w:t>
      </w:r>
      <w:r>
        <w:rPr>
          <w:rFonts w:ascii="Times New Roman"/>
          <w:color w:val="1F1F1F"/>
          <w:w w:val="105"/>
        </w:rPr>
        <w:t>r</w:t>
      </w:r>
      <w:r>
        <w:rPr>
          <w:rFonts w:ascii="Times New Roman"/>
          <w:color w:val="3B3B3B"/>
          <w:w w:val="105"/>
        </w:rPr>
        <w:t>ed Accountants and Reg</w:t>
      </w:r>
      <w:r>
        <w:rPr>
          <w:rFonts w:ascii="Times New Roman"/>
          <w:color w:val="1F1F1F"/>
          <w:w w:val="105"/>
        </w:rPr>
        <w:t>i</w:t>
      </w:r>
      <w:r>
        <w:rPr>
          <w:rFonts w:ascii="Times New Roman"/>
          <w:color w:val="3B3B3B"/>
          <w:w w:val="105"/>
        </w:rPr>
        <w:t>stered Auditors London</w:t>
      </w:r>
    </w:p>
    <w:p>
      <w:pPr>
        <w:spacing w:line="207" w:lineRule="exact" w:before="0"/>
        <w:ind w:left="1013" w:right="0" w:firstLine="0"/>
        <w:jc w:val="left"/>
        <w:rPr>
          <w:rFonts w:ascii="Arial"/>
          <w:sz w:val="16"/>
        </w:rPr>
      </w:pPr>
      <w:r>
        <w:rPr>
          <w:rFonts w:ascii="Arial"/>
          <w:color w:val="1F1F1F"/>
          <w:w w:val="105"/>
          <w:sz w:val="16"/>
        </w:rPr>
        <w:t>1</w:t>
      </w:r>
      <w:r>
        <w:rPr>
          <w:rFonts w:ascii="Arial"/>
          <w:color w:val="3B3B3B"/>
          <w:w w:val="105"/>
          <w:sz w:val="16"/>
        </w:rPr>
        <w:t>7 </w:t>
      </w:r>
      <w:r>
        <w:rPr>
          <w:rFonts w:ascii="Times New Roman"/>
          <w:color w:val="3B3B3B"/>
          <w:w w:val="105"/>
          <w:sz w:val="18"/>
        </w:rPr>
        <w:t>May </w:t>
      </w:r>
      <w:r>
        <w:rPr>
          <w:rFonts w:ascii="Arial"/>
          <w:color w:val="3B3B3B"/>
          <w:w w:val="105"/>
          <w:sz w:val="16"/>
        </w:rPr>
        <w:t>2007</w:t>
      </w:r>
    </w:p>
    <w:p>
      <w:pPr>
        <w:pStyle w:val="BodyText"/>
        <w:spacing w:before="3"/>
        <w:rPr>
          <w:rFonts w:ascii="Arial"/>
        </w:rPr>
      </w:pPr>
      <w:r>
        <w:rPr/>
        <w:pict>
          <v:shape style="position:absolute;margin-left:75.113022pt;margin-top:12.979656pt;width:429.05pt;height:.1pt;mso-position-horizontal-relative:page;mso-position-vertical-relative:paragraph;z-index:-251167744;mso-wrap-distance-left:0;mso-wrap-distance-right:0" coordorigin="1502,260" coordsize="8581,0" path="m1502,260l10082,260e" filled="false" stroked="true" strokeweight=".962229pt" strokecolor="#000000">
            <v:path arrowok="t"/>
            <v:stroke dashstyle="solid"/>
            <w10:wrap type="topAndBottom"/>
          </v:shape>
        </w:pict>
      </w:r>
    </w:p>
    <w:p>
      <w:pPr>
        <w:spacing w:before="0"/>
        <w:ind w:left="1003" w:right="875" w:firstLine="0"/>
        <w:jc w:val="center"/>
        <w:rPr>
          <w:rFonts w:ascii="Times New Roman"/>
          <w:i/>
          <w:sz w:val="18"/>
        </w:rPr>
      </w:pPr>
      <w:r>
        <w:rPr>
          <w:rFonts w:ascii="Times New Roman"/>
          <w:i/>
          <w:color w:val="545454"/>
          <w:w w:val="110"/>
          <w:sz w:val="18"/>
        </w:rPr>
        <w:t>T</w:t>
      </w:r>
      <w:r>
        <w:rPr>
          <w:rFonts w:ascii="Times New Roman"/>
          <w:i/>
          <w:color w:val="3B3B3B"/>
          <w:w w:val="110"/>
          <w:sz w:val="18"/>
        </w:rPr>
        <w:t>he audit report by Pri</w:t>
      </w:r>
      <w:r>
        <w:rPr>
          <w:rFonts w:ascii="Times New Roman"/>
          <w:i/>
          <w:color w:val="545454"/>
          <w:w w:val="110"/>
          <w:sz w:val="18"/>
        </w:rPr>
        <w:t>c</w:t>
      </w:r>
      <w:r>
        <w:rPr>
          <w:rFonts w:ascii="Times New Roman"/>
          <w:i/>
          <w:color w:val="3B3B3B"/>
          <w:w w:val="110"/>
          <w:sz w:val="18"/>
        </w:rPr>
        <w:t>ewaterhouseCoopers LLP set out on pages 25 </w:t>
      </w:r>
      <w:r>
        <w:rPr>
          <w:rFonts w:ascii="Times New Roman"/>
          <w:i/>
          <w:color w:val="3B3B3B"/>
          <w:w w:val="110"/>
          <w:sz w:val="19"/>
        </w:rPr>
        <w:t>&amp; </w:t>
      </w:r>
      <w:r>
        <w:rPr>
          <w:rFonts w:ascii="Times New Roman"/>
          <w:i/>
          <w:color w:val="3B3B3B"/>
          <w:w w:val="110"/>
          <w:sz w:val="18"/>
        </w:rPr>
        <w:t>26 is in the standa</w:t>
      </w:r>
      <w:r>
        <w:rPr>
          <w:rFonts w:ascii="Times New Roman"/>
          <w:i/>
          <w:color w:val="1F1F1F"/>
          <w:w w:val="110"/>
          <w:sz w:val="18"/>
        </w:rPr>
        <w:t>r</w:t>
      </w:r>
      <w:r>
        <w:rPr>
          <w:rFonts w:ascii="Times New Roman"/>
          <w:i/>
          <w:color w:val="3B3B3B"/>
          <w:w w:val="110"/>
          <w:sz w:val="18"/>
        </w:rPr>
        <w:t>d form used by</w:t>
      </w:r>
    </w:p>
    <w:p>
      <w:pPr>
        <w:tabs>
          <w:tab w:pos="877" w:val="left" w:leader="none"/>
          <w:tab w:pos="8801" w:val="left" w:leader="none"/>
        </w:tabs>
        <w:spacing w:before="12"/>
        <w:ind w:left="178" w:right="0" w:firstLine="0"/>
        <w:jc w:val="center"/>
        <w:rPr>
          <w:rFonts w:ascii="Times New Roman"/>
          <w:i/>
          <w:sz w:val="18"/>
        </w:rPr>
      </w:pPr>
      <w:r>
        <w:rPr>
          <w:rFonts w:ascii="Times New Roman"/>
          <w:i/>
          <w:color w:val="3B3B3B"/>
          <w:w w:val="100"/>
          <w:sz w:val="18"/>
          <w:u w:val="single" w:color="000000"/>
        </w:rPr>
        <w:t> </w:t>
      </w:r>
      <w:r>
        <w:rPr>
          <w:rFonts w:ascii="Times New Roman"/>
          <w:i/>
          <w:color w:val="3B3B3B"/>
          <w:sz w:val="18"/>
          <w:u w:val="single" w:color="000000"/>
        </w:rPr>
        <w:tab/>
      </w:r>
      <w:r>
        <w:rPr>
          <w:rFonts w:ascii="Times New Roman"/>
          <w:i/>
          <w:color w:val="3B3B3B"/>
          <w:w w:val="110"/>
          <w:sz w:val="18"/>
          <w:u w:val="single" w:color="000000"/>
        </w:rPr>
        <w:t>auditors</w:t>
      </w:r>
      <w:r>
        <w:rPr>
          <w:rFonts w:ascii="Times New Roman"/>
          <w:i/>
          <w:color w:val="3B3B3B"/>
          <w:spacing w:val="-23"/>
          <w:w w:val="110"/>
          <w:sz w:val="18"/>
          <w:u w:val="single" w:color="000000"/>
        </w:rPr>
        <w:t> </w:t>
      </w:r>
      <w:r>
        <w:rPr>
          <w:rFonts w:ascii="Times New Roman"/>
          <w:i/>
          <w:color w:val="3B3B3B"/>
          <w:w w:val="110"/>
          <w:sz w:val="18"/>
          <w:u w:val="single" w:color="000000"/>
        </w:rPr>
        <w:t>when</w:t>
      </w:r>
      <w:r>
        <w:rPr>
          <w:rFonts w:ascii="Times New Roman"/>
          <w:i/>
          <w:color w:val="3B3B3B"/>
          <w:spacing w:val="-20"/>
          <w:w w:val="110"/>
          <w:sz w:val="18"/>
          <w:u w:val="single" w:color="000000"/>
        </w:rPr>
        <w:t> </w:t>
      </w:r>
      <w:r>
        <w:rPr>
          <w:rFonts w:ascii="Times New Roman"/>
          <w:i/>
          <w:color w:val="3B3B3B"/>
          <w:w w:val="110"/>
          <w:sz w:val="18"/>
          <w:u w:val="single" w:color="000000"/>
        </w:rPr>
        <w:t>there</w:t>
      </w:r>
      <w:r>
        <w:rPr>
          <w:rFonts w:ascii="Times New Roman"/>
          <w:i/>
          <w:color w:val="3B3B3B"/>
          <w:spacing w:val="-19"/>
          <w:w w:val="110"/>
          <w:sz w:val="18"/>
          <w:u w:val="single" w:color="000000"/>
        </w:rPr>
        <w:t> </w:t>
      </w:r>
      <w:r>
        <w:rPr>
          <w:rFonts w:ascii="Times New Roman"/>
          <w:i/>
          <w:color w:val="3B3B3B"/>
          <w:w w:val="110"/>
          <w:sz w:val="18"/>
          <w:u w:val="single" w:color="000000"/>
        </w:rPr>
        <w:t>is</w:t>
      </w:r>
      <w:r>
        <w:rPr>
          <w:rFonts w:ascii="Times New Roman"/>
          <w:i/>
          <w:color w:val="3B3B3B"/>
          <w:spacing w:val="-6"/>
          <w:w w:val="110"/>
          <w:sz w:val="18"/>
          <w:u w:val="single" w:color="000000"/>
        </w:rPr>
        <w:t> </w:t>
      </w:r>
      <w:r>
        <w:rPr>
          <w:rFonts w:ascii="Times New Roman"/>
          <w:i/>
          <w:color w:val="3B3B3B"/>
          <w:w w:val="110"/>
          <w:sz w:val="18"/>
          <w:u w:val="single" w:color="000000"/>
        </w:rPr>
        <w:t>nothin </w:t>
      </w:r>
      <w:r>
        <w:rPr>
          <w:rFonts w:ascii="Times New Roman"/>
          <w:i/>
          <w:color w:val="3B3B3B"/>
          <w:spacing w:val="16"/>
          <w:w w:val="110"/>
          <w:sz w:val="18"/>
          <w:u w:val="single" w:color="000000"/>
        </w:rPr>
        <w:t> </w:t>
      </w:r>
      <w:r>
        <w:rPr>
          <w:rFonts w:ascii="Times New Roman"/>
          <w:i/>
          <w:color w:val="3B3B3B"/>
          <w:w w:val="110"/>
          <w:sz w:val="18"/>
          <w:u w:val="single" w:color="000000"/>
        </w:rPr>
        <w:t>exce</w:t>
      </w:r>
      <w:r>
        <w:rPr>
          <w:rFonts w:ascii="Times New Roman"/>
          <w:i/>
          <w:color w:val="3B3B3B"/>
          <w:spacing w:val="30"/>
          <w:w w:val="110"/>
          <w:sz w:val="18"/>
          <w:u w:val="single" w:color="000000"/>
        </w:rPr>
        <w:t> </w:t>
      </w:r>
      <w:r>
        <w:rPr>
          <w:rFonts w:ascii="Times New Roman"/>
          <w:i/>
          <w:color w:val="3B3B3B"/>
          <w:w w:val="110"/>
          <w:sz w:val="18"/>
          <w:u w:val="single" w:color="000000"/>
        </w:rPr>
        <w:t>tional</w:t>
      </w:r>
      <w:r>
        <w:rPr>
          <w:rFonts w:ascii="Times New Roman"/>
          <w:i/>
          <w:color w:val="3B3B3B"/>
          <w:spacing w:val="-26"/>
          <w:w w:val="110"/>
          <w:sz w:val="18"/>
          <w:u w:val="single" w:color="000000"/>
        </w:rPr>
        <w:t> </w:t>
      </w:r>
      <w:r>
        <w:rPr>
          <w:rFonts w:ascii="Times New Roman"/>
          <w:i/>
          <w:color w:val="3B3B3B"/>
          <w:w w:val="110"/>
          <w:sz w:val="18"/>
          <w:u w:val="single" w:color="000000"/>
        </w:rPr>
        <w:t>which</w:t>
      </w:r>
      <w:r>
        <w:rPr>
          <w:rFonts w:ascii="Times New Roman"/>
          <w:i/>
          <w:color w:val="3B3B3B"/>
          <w:spacing w:val="-21"/>
          <w:w w:val="110"/>
          <w:sz w:val="18"/>
          <w:u w:val="single" w:color="000000"/>
        </w:rPr>
        <w:t> </w:t>
      </w:r>
      <w:r>
        <w:rPr>
          <w:rFonts w:ascii="Times New Roman"/>
          <w:i/>
          <w:color w:val="3B3B3B"/>
          <w:w w:val="110"/>
          <w:sz w:val="18"/>
          <w:u w:val="single" w:color="000000"/>
        </w:rPr>
        <w:t>the </w:t>
      </w:r>
      <w:r>
        <w:rPr>
          <w:rFonts w:ascii="Times New Roman"/>
          <w:i/>
          <w:color w:val="3B3B3B"/>
          <w:spacing w:val="9"/>
          <w:w w:val="110"/>
          <w:sz w:val="18"/>
          <w:u w:val="single" w:color="000000"/>
        </w:rPr>
        <w:t> </w:t>
      </w:r>
      <w:r>
        <w:rPr>
          <w:rFonts w:ascii="Times New Roman"/>
          <w:i/>
          <w:color w:val="3B3B3B"/>
          <w:w w:val="110"/>
          <w:sz w:val="18"/>
          <w:u w:val="single" w:color="000000"/>
        </w:rPr>
        <w:t>wish</w:t>
      </w:r>
      <w:r>
        <w:rPr>
          <w:rFonts w:ascii="Times New Roman"/>
          <w:i/>
          <w:color w:val="3B3B3B"/>
          <w:spacing w:val="-31"/>
          <w:w w:val="110"/>
          <w:sz w:val="18"/>
          <w:u w:val="single" w:color="000000"/>
        </w:rPr>
        <w:t> </w:t>
      </w:r>
      <w:r>
        <w:rPr>
          <w:rFonts w:ascii="Times New Roman"/>
          <w:i/>
          <w:color w:val="3B3B3B"/>
          <w:w w:val="110"/>
          <w:sz w:val="18"/>
          <w:u w:val="single" w:color="000000"/>
        </w:rPr>
        <w:t>to</w:t>
      </w:r>
      <w:r>
        <w:rPr>
          <w:rFonts w:ascii="Times New Roman"/>
          <w:i/>
          <w:color w:val="3B3B3B"/>
          <w:spacing w:val="-14"/>
          <w:w w:val="110"/>
          <w:sz w:val="18"/>
          <w:u w:val="single" w:color="000000"/>
        </w:rPr>
        <w:t> </w:t>
      </w:r>
      <w:r>
        <w:rPr>
          <w:rFonts w:ascii="Times New Roman"/>
          <w:i/>
          <w:color w:val="3B3B3B"/>
          <w:w w:val="110"/>
          <w:sz w:val="18"/>
          <w:u w:val="single" w:color="000000"/>
        </w:rPr>
        <w:t>draw</w:t>
      </w:r>
      <w:r>
        <w:rPr>
          <w:rFonts w:ascii="Times New Roman"/>
          <w:i/>
          <w:color w:val="3B3B3B"/>
          <w:spacing w:val="-16"/>
          <w:w w:val="110"/>
          <w:sz w:val="18"/>
          <w:u w:val="single" w:color="000000"/>
        </w:rPr>
        <w:t> </w:t>
      </w:r>
      <w:r>
        <w:rPr>
          <w:rFonts w:ascii="Times New Roman"/>
          <w:i/>
          <w:color w:val="3B3B3B"/>
          <w:w w:val="110"/>
          <w:sz w:val="18"/>
          <w:u w:val="single" w:color="000000"/>
        </w:rPr>
        <w:t>to</w:t>
      </w:r>
      <w:r>
        <w:rPr>
          <w:rFonts w:ascii="Times New Roman"/>
          <w:i/>
          <w:color w:val="3B3B3B"/>
          <w:spacing w:val="-13"/>
          <w:w w:val="110"/>
          <w:sz w:val="18"/>
          <w:u w:val="single" w:color="000000"/>
        </w:rPr>
        <w:t> </w:t>
      </w:r>
      <w:r>
        <w:rPr>
          <w:rFonts w:ascii="Times New Roman"/>
          <w:i/>
          <w:color w:val="3B3B3B"/>
          <w:w w:val="110"/>
          <w:sz w:val="18"/>
          <w:u w:val="single" w:color="000000"/>
        </w:rPr>
        <w:t>the</w:t>
      </w:r>
      <w:r>
        <w:rPr>
          <w:rFonts w:ascii="Times New Roman"/>
          <w:i/>
          <w:color w:val="3B3B3B"/>
          <w:spacing w:val="-10"/>
          <w:w w:val="110"/>
          <w:sz w:val="18"/>
          <w:u w:val="single" w:color="000000"/>
        </w:rPr>
        <w:t> </w:t>
      </w:r>
      <w:r>
        <w:rPr>
          <w:rFonts w:ascii="Times New Roman"/>
          <w:i/>
          <w:color w:val="3B3B3B"/>
          <w:w w:val="110"/>
          <w:sz w:val="18"/>
          <w:u w:val="single" w:color="000000"/>
        </w:rPr>
        <w:t>attention</w:t>
      </w:r>
      <w:r>
        <w:rPr>
          <w:rFonts w:ascii="Times New Roman"/>
          <w:i/>
          <w:color w:val="3B3B3B"/>
          <w:spacing w:val="-14"/>
          <w:w w:val="110"/>
          <w:sz w:val="18"/>
          <w:u w:val="single" w:color="000000"/>
        </w:rPr>
        <w:t> </w:t>
      </w:r>
      <w:r>
        <w:rPr>
          <w:rFonts w:ascii="Times New Roman"/>
          <w:i/>
          <w:color w:val="3B3B3B"/>
          <w:w w:val="110"/>
          <w:sz w:val="18"/>
          <w:u w:val="single" w:color="000000"/>
        </w:rPr>
        <w:t>o</w:t>
      </w:r>
      <w:r>
        <w:rPr>
          <w:rFonts w:ascii="Times New Roman"/>
          <w:i/>
          <w:color w:val="3B3B3B"/>
          <w:spacing w:val="28"/>
          <w:w w:val="110"/>
          <w:sz w:val="18"/>
          <w:u w:val="single" w:color="000000"/>
        </w:rPr>
        <w:t> </w:t>
      </w:r>
      <w:r>
        <w:rPr>
          <w:rFonts w:ascii="Times New Roman"/>
          <w:i/>
          <w:color w:val="3B3B3B"/>
          <w:w w:val="110"/>
          <w:sz w:val="18"/>
          <w:u w:val="single" w:color="000000"/>
        </w:rPr>
        <w:t>readers</w:t>
      </w:r>
      <w:r>
        <w:rPr>
          <w:rFonts w:ascii="Times New Roman"/>
          <w:i/>
          <w:color w:val="1F1F1F"/>
          <w:w w:val="110"/>
          <w:sz w:val="18"/>
          <w:u w:val="single" w:color="000000"/>
        </w:rPr>
        <w:t>.</w:t>
      </w:r>
      <w:r>
        <w:rPr>
          <w:rFonts w:ascii="Times New Roman"/>
          <w:i/>
          <w:color w:val="1F1F1F"/>
          <w:sz w:val="18"/>
          <w:u w:val="single" w:color="000000"/>
        </w:rPr>
        <w:tab/>
      </w:r>
    </w:p>
    <w:p>
      <w:pPr>
        <w:spacing w:after="0"/>
        <w:jc w:val="center"/>
        <w:rPr>
          <w:rFonts w:ascii="Times New Roman"/>
          <w:sz w:val="18"/>
        </w:rPr>
        <w:sectPr>
          <w:headerReference w:type="even" r:id="rId545"/>
          <w:footerReference w:type="even" r:id="rId546"/>
          <w:pgSz w:w="10950" w:h="15880"/>
          <w:pgMar w:header="272" w:footer="0" w:top="500" w:bottom="280" w:left="500" w:right="0"/>
          <w:pgNumType w:start="26"/>
        </w:sectPr>
      </w:pPr>
    </w:p>
    <w:p>
      <w:pPr>
        <w:spacing w:before="80"/>
        <w:ind w:left="874" w:right="0" w:firstLine="0"/>
        <w:jc w:val="left"/>
        <w:rPr>
          <w:rFonts w:ascii="Times New Roman"/>
          <w:sz w:val="19"/>
        </w:rPr>
      </w:pPr>
      <w:r>
        <w:rPr>
          <w:rFonts w:ascii="Times New Roman"/>
          <w:color w:val="2A2A2A"/>
          <w:w w:val="105"/>
          <w:sz w:val="19"/>
        </w:rPr>
        <w:t>Page 27</w:t>
      </w:r>
    </w:p>
    <w:p>
      <w:pPr>
        <w:pStyle w:val="BodyText"/>
        <w:spacing w:before="1"/>
        <w:rPr>
          <w:rFonts w:ascii="Times New Roman"/>
          <w:sz w:val="14"/>
        </w:rPr>
      </w:pPr>
    </w:p>
    <w:p>
      <w:pPr>
        <w:spacing w:before="91"/>
        <w:ind w:left="3414" w:right="0" w:firstLine="0"/>
        <w:jc w:val="left"/>
        <w:rPr>
          <w:rFonts w:ascii="Times New Roman"/>
          <w:b/>
          <w:sz w:val="21"/>
        </w:rPr>
      </w:pPr>
      <w:r>
        <w:rPr>
          <w:rFonts w:ascii="Times New Roman"/>
          <w:b/>
          <w:color w:val="2A2A2A"/>
          <w:w w:val="105"/>
          <w:sz w:val="21"/>
        </w:rPr>
        <w:t>FIVE </w:t>
      </w:r>
      <w:r>
        <w:rPr>
          <w:rFonts w:ascii="Times New Roman"/>
          <w:b/>
          <w:color w:val="161616"/>
          <w:w w:val="105"/>
          <w:sz w:val="21"/>
        </w:rPr>
        <w:t>YEAR </w:t>
      </w:r>
      <w:r>
        <w:rPr>
          <w:rFonts w:ascii="Times New Roman"/>
          <w:b/>
          <w:color w:val="2A2A2A"/>
          <w:w w:val="105"/>
          <w:sz w:val="21"/>
        </w:rPr>
        <w:t>SUMMARY</w:t>
      </w:r>
    </w:p>
    <w:p>
      <w:pPr>
        <w:pStyle w:val="BodyText"/>
        <w:spacing w:before="5"/>
        <w:rPr>
          <w:rFonts w:ascii="Times New Roman"/>
          <w:b/>
          <w:sz w:val="21"/>
        </w:rPr>
      </w:pPr>
    </w:p>
    <w:tbl>
      <w:tblPr>
        <w:tblW w:w="0" w:type="auto"/>
        <w:jc w:val="left"/>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0"/>
        <w:gridCol w:w="1032"/>
        <w:gridCol w:w="883"/>
        <w:gridCol w:w="870"/>
        <w:gridCol w:w="878"/>
        <w:gridCol w:w="704"/>
      </w:tblGrid>
      <w:tr>
        <w:trPr>
          <w:trHeight w:val="551" w:hRule="atLeast"/>
        </w:trPr>
        <w:tc>
          <w:tcPr>
            <w:tcW w:w="4030" w:type="dxa"/>
          </w:tcPr>
          <w:p>
            <w:pPr>
              <w:pStyle w:val="TableParagraph"/>
              <w:rPr>
                <w:sz w:val="16"/>
              </w:rPr>
            </w:pPr>
          </w:p>
        </w:tc>
        <w:tc>
          <w:tcPr>
            <w:tcW w:w="1032" w:type="dxa"/>
          </w:tcPr>
          <w:p>
            <w:pPr>
              <w:pStyle w:val="TableParagraph"/>
              <w:spacing w:line="200" w:lineRule="exact"/>
              <w:ind w:left="495"/>
              <w:rPr>
                <w:sz w:val="18"/>
              </w:rPr>
            </w:pPr>
            <w:r>
              <w:rPr>
                <w:color w:val="161616"/>
                <w:w w:val="105"/>
                <w:sz w:val="18"/>
              </w:rPr>
              <w:t>2002</w:t>
            </w:r>
          </w:p>
          <w:p>
            <w:pPr>
              <w:pStyle w:val="TableParagraph"/>
              <w:spacing w:before="24"/>
              <w:ind w:left="445"/>
              <w:rPr>
                <w:sz w:val="18"/>
              </w:rPr>
            </w:pPr>
            <w:r>
              <w:rPr>
                <w:color w:val="2A2A2A"/>
                <w:w w:val="110"/>
                <w:sz w:val="18"/>
              </w:rPr>
              <w:t>£'000</w:t>
            </w:r>
          </w:p>
        </w:tc>
        <w:tc>
          <w:tcPr>
            <w:tcW w:w="883" w:type="dxa"/>
          </w:tcPr>
          <w:p>
            <w:pPr>
              <w:pStyle w:val="TableParagraph"/>
              <w:spacing w:line="200" w:lineRule="exact"/>
              <w:ind w:left="348"/>
              <w:rPr>
                <w:sz w:val="18"/>
              </w:rPr>
            </w:pPr>
            <w:r>
              <w:rPr>
                <w:color w:val="161616"/>
                <w:w w:val="105"/>
                <w:sz w:val="18"/>
              </w:rPr>
              <w:t>2003</w:t>
            </w:r>
          </w:p>
          <w:p>
            <w:pPr>
              <w:pStyle w:val="TableParagraph"/>
              <w:spacing w:before="24"/>
              <w:ind w:left="289"/>
              <w:rPr>
                <w:sz w:val="18"/>
              </w:rPr>
            </w:pPr>
            <w:r>
              <w:rPr>
                <w:color w:val="2A2A2A"/>
                <w:w w:val="110"/>
                <w:sz w:val="18"/>
              </w:rPr>
              <w:t>£'000</w:t>
            </w:r>
          </w:p>
        </w:tc>
        <w:tc>
          <w:tcPr>
            <w:tcW w:w="870" w:type="dxa"/>
          </w:tcPr>
          <w:p>
            <w:pPr>
              <w:pStyle w:val="TableParagraph"/>
              <w:spacing w:line="200" w:lineRule="exact"/>
              <w:ind w:left="342"/>
              <w:rPr>
                <w:sz w:val="18"/>
              </w:rPr>
            </w:pPr>
            <w:r>
              <w:rPr>
                <w:color w:val="2A2A2A"/>
                <w:sz w:val="18"/>
              </w:rPr>
              <w:t>2004</w:t>
            </w:r>
          </w:p>
          <w:p>
            <w:pPr>
              <w:pStyle w:val="TableParagraph"/>
              <w:spacing w:before="14"/>
              <w:ind w:left="282"/>
              <w:rPr>
                <w:sz w:val="18"/>
              </w:rPr>
            </w:pPr>
            <w:r>
              <w:rPr>
                <w:color w:val="161616"/>
                <w:w w:val="110"/>
                <w:sz w:val="18"/>
              </w:rPr>
              <w:t>£'000</w:t>
            </w:r>
          </w:p>
        </w:tc>
        <w:tc>
          <w:tcPr>
            <w:tcW w:w="878" w:type="dxa"/>
          </w:tcPr>
          <w:p>
            <w:pPr>
              <w:pStyle w:val="TableParagraph"/>
              <w:spacing w:line="200" w:lineRule="exact"/>
              <w:ind w:left="348"/>
              <w:rPr>
                <w:sz w:val="18"/>
              </w:rPr>
            </w:pPr>
            <w:r>
              <w:rPr>
                <w:color w:val="2A2A2A"/>
                <w:w w:val="105"/>
                <w:sz w:val="18"/>
              </w:rPr>
              <w:t>2005</w:t>
            </w:r>
          </w:p>
          <w:p>
            <w:pPr>
              <w:pStyle w:val="TableParagraph"/>
              <w:spacing w:before="14"/>
              <w:ind w:left="289"/>
              <w:rPr>
                <w:sz w:val="18"/>
              </w:rPr>
            </w:pPr>
            <w:r>
              <w:rPr>
                <w:color w:val="161616"/>
                <w:w w:val="110"/>
                <w:sz w:val="18"/>
              </w:rPr>
              <w:t>£'000</w:t>
            </w:r>
          </w:p>
        </w:tc>
        <w:tc>
          <w:tcPr>
            <w:tcW w:w="704" w:type="dxa"/>
          </w:tcPr>
          <w:p>
            <w:pPr>
              <w:pStyle w:val="TableParagraph"/>
              <w:spacing w:before="2"/>
              <w:ind w:left="260"/>
              <w:rPr>
                <w:sz w:val="17"/>
              </w:rPr>
            </w:pPr>
            <w:r>
              <w:rPr>
                <w:color w:val="161616"/>
                <w:w w:val="110"/>
                <w:sz w:val="17"/>
              </w:rPr>
              <w:t>2,006</w:t>
            </w:r>
          </w:p>
          <w:p>
            <w:pPr>
              <w:pStyle w:val="TableParagraph"/>
              <w:spacing w:before="16"/>
              <w:ind w:left="297" w:right="-15"/>
              <w:rPr>
                <w:sz w:val="18"/>
              </w:rPr>
            </w:pPr>
            <w:r>
              <w:rPr>
                <w:color w:val="161616"/>
                <w:w w:val="105"/>
                <w:sz w:val="18"/>
              </w:rPr>
              <w:t>£'000</w:t>
            </w:r>
          </w:p>
        </w:tc>
      </w:tr>
      <w:tr>
        <w:trPr>
          <w:trHeight w:val="436" w:hRule="atLeast"/>
        </w:trPr>
        <w:tc>
          <w:tcPr>
            <w:tcW w:w="4030" w:type="dxa"/>
          </w:tcPr>
          <w:p>
            <w:pPr>
              <w:pStyle w:val="TableParagraph"/>
              <w:spacing w:before="114"/>
              <w:ind w:left="57"/>
              <w:rPr>
                <w:b/>
                <w:sz w:val="17"/>
              </w:rPr>
            </w:pPr>
            <w:r>
              <w:rPr>
                <w:b/>
                <w:color w:val="2A2A2A"/>
                <w:w w:val="105"/>
                <w:sz w:val="17"/>
              </w:rPr>
              <w:t>INCOME </w:t>
            </w:r>
            <w:r>
              <w:rPr>
                <w:b/>
                <w:color w:val="161616"/>
                <w:w w:val="105"/>
                <w:sz w:val="17"/>
              </w:rPr>
              <w:t>AND EXPENDITURE </w:t>
            </w:r>
            <w:r>
              <w:rPr>
                <w:b/>
                <w:color w:val="2A2A2A"/>
                <w:w w:val="105"/>
                <w:sz w:val="17"/>
              </w:rPr>
              <w:t>ACCOUNTS</w:t>
            </w:r>
          </w:p>
        </w:tc>
        <w:tc>
          <w:tcPr>
            <w:tcW w:w="1032" w:type="dxa"/>
          </w:tcPr>
          <w:p>
            <w:pPr>
              <w:pStyle w:val="TableParagraph"/>
              <w:rPr>
                <w:sz w:val="16"/>
              </w:rPr>
            </w:pPr>
          </w:p>
        </w:tc>
        <w:tc>
          <w:tcPr>
            <w:tcW w:w="883" w:type="dxa"/>
          </w:tcPr>
          <w:p>
            <w:pPr>
              <w:pStyle w:val="TableParagraph"/>
              <w:rPr>
                <w:sz w:val="16"/>
              </w:rPr>
            </w:pPr>
          </w:p>
        </w:tc>
        <w:tc>
          <w:tcPr>
            <w:tcW w:w="870" w:type="dxa"/>
          </w:tcPr>
          <w:p>
            <w:pPr>
              <w:pStyle w:val="TableParagraph"/>
              <w:rPr>
                <w:sz w:val="16"/>
              </w:rPr>
            </w:pPr>
          </w:p>
        </w:tc>
        <w:tc>
          <w:tcPr>
            <w:tcW w:w="878" w:type="dxa"/>
          </w:tcPr>
          <w:p>
            <w:pPr>
              <w:pStyle w:val="TableParagraph"/>
              <w:rPr>
                <w:sz w:val="16"/>
              </w:rPr>
            </w:pPr>
          </w:p>
        </w:tc>
        <w:tc>
          <w:tcPr>
            <w:tcW w:w="704" w:type="dxa"/>
          </w:tcPr>
          <w:p>
            <w:pPr>
              <w:pStyle w:val="TableParagraph"/>
              <w:rPr>
                <w:sz w:val="16"/>
              </w:rPr>
            </w:pPr>
          </w:p>
        </w:tc>
      </w:tr>
      <w:tr>
        <w:trPr>
          <w:trHeight w:val="300" w:hRule="atLeast"/>
        </w:trPr>
        <w:tc>
          <w:tcPr>
            <w:tcW w:w="4030" w:type="dxa"/>
          </w:tcPr>
          <w:p>
            <w:pPr>
              <w:pStyle w:val="TableParagraph"/>
              <w:spacing w:line="161" w:lineRule="exact" w:before="120"/>
              <w:ind w:left="66"/>
              <w:rPr>
                <w:b/>
                <w:sz w:val="17"/>
              </w:rPr>
            </w:pPr>
            <w:r>
              <w:rPr>
                <w:b/>
                <w:color w:val="161616"/>
                <w:sz w:val="17"/>
              </w:rPr>
              <w:t>Income</w:t>
            </w:r>
          </w:p>
        </w:tc>
        <w:tc>
          <w:tcPr>
            <w:tcW w:w="1032" w:type="dxa"/>
            <w:tcBorders>
              <w:bottom w:val="single" w:sz="12" w:space="0" w:color="000000"/>
            </w:tcBorders>
          </w:tcPr>
          <w:p>
            <w:pPr>
              <w:pStyle w:val="TableParagraph"/>
              <w:rPr>
                <w:sz w:val="16"/>
              </w:rPr>
            </w:pPr>
          </w:p>
        </w:tc>
        <w:tc>
          <w:tcPr>
            <w:tcW w:w="883" w:type="dxa"/>
            <w:tcBorders>
              <w:bottom w:val="single" w:sz="12" w:space="0" w:color="000000"/>
            </w:tcBorders>
          </w:tcPr>
          <w:p>
            <w:pPr>
              <w:pStyle w:val="TableParagraph"/>
              <w:rPr>
                <w:sz w:val="16"/>
              </w:rPr>
            </w:pPr>
          </w:p>
        </w:tc>
        <w:tc>
          <w:tcPr>
            <w:tcW w:w="870" w:type="dxa"/>
            <w:tcBorders>
              <w:bottom w:val="single" w:sz="12" w:space="0" w:color="000000"/>
            </w:tcBorders>
          </w:tcPr>
          <w:p>
            <w:pPr>
              <w:pStyle w:val="TableParagraph"/>
              <w:rPr>
                <w:sz w:val="16"/>
              </w:rPr>
            </w:pPr>
          </w:p>
        </w:tc>
        <w:tc>
          <w:tcPr>
            <w:tcW w:w="878" w:type="dxa"/>
            <w:tcBorders>
              <w:bottom w:val="single" w:sz="12" w:space="0" w:color="000000"/>
            </w:tcBorders>
          </w:tcPr>
          <w:p>
            <w:pPr>
              <w:pStyle w:val="TableParagraph"/>
              <w:rPr>
                <w:sz w:val="16"/>
              </w:rPr>
            </w:pPr>
          </w:p>
        </w:tc>
        <w:tc>
          <w:tcPr>
            <w:tcW w:w="704" w:type="dxa"/>
            <w:tcBorders>
              <w:bottom w:val="single" w:sz="12" w:space="0" w:color="000000"/>
            </w:tcBorders>
          </w:tcPr>
          <w:p>
            <w:pPr>
              <w:pStyle w:val="TableParagraph"/>
              <w:rPr>
                <w:sz w:val="16"/>
              </w:rPr>
            </w:pPr>
          </w:p>
        </w:tc>
      </w:tr>
      <w:tr>
        <w:trPr>
          <w:trHeight w:val="222" w:hRule="atLeast"/>
        </w:trPr>
        <w:tc>
          <w:tcPr>
            <w:tcW w:w="4030" w:type="dxa"/>
            <w:tcBorders>
              <w:right w:val="single" w:sz="12" w:space="0" w:color="000000"/>
            </w:tcBorders>
          </w:tcPr>
          <w:p>
            <w:pPr>
              <w:pStyle w:val="TableParagraph"/>
              <w:spacing w:line="192" w:lineRule="exact" w:before="10"/>
              <w:ind w:left="67"/>
              <w:rPr>
                <w:sz w:val="17"/>
              </w:rPr>
            </w:pPr>
            <w:r>
              <w:rPr>
                <w:color w:val="3B3B3B"/>
                <w:w w:val="105"/>
                <w:sz w:val="17"/>
              </w:rPr>
              <w:t>Ministry and </w:t>
            </w:r>
            <w:r>
              <w:rPr>
                <w:color w:val="2A2A2A"/>
                <w:w w:val="105"/>
                <w:sz w:val="17"/>
              </w:rPr>
              <w:t>Mission </w:t>
            </w:r>
            <w:r>
              <w:rPr>
                <w:color w:val="3B3B3B"/>
                <w:w w:val="105"/>
                <w:sz w:val="17"/>
              </w:rPr>
              <w:t>Fund contributions</w:t>
            </w:r>
          </w:p>
        </w:tc>
        <w:tc>
          <w:tcPr>
            <w:tcW w:w="1032" w:type="dxa"/>
            <w:tcBorders>
              <w:top w:val="single" w:sz="12" w:space="0" w:color="000000"/>
              <w:left w:val="single" w:sz="12" w:space="0" w:color="000000"/>
            </w:tcBorders>
          </w:tcPr>
          <w:p>
            <w:pPr>
              <w:pStyle w:val="TableParagraph"/>
              <w:spacing w:line="192" w:lineRule="exact" w:before="18"/>
              <w:ind w:right="194"/>
              <w:jc w:val="right"/>
              <w:rPr>
                <w:sz w:val="17"/>
              </w:rPr>
            </w:pPr>
            <w:r>
              <w:rPr>
                <w:color w:val="2A2A2A"/>
                <w:w w:val="110"/>
                <w:sz w:val="17"/>
              </w:rPr>
              <w:t>18,687</w:t>
            </w:r>
          </w:p>
        </w:tc>
        <w:tc>
          <w:tcPr>
            <w:tcW w:w="883" w:type="dxa"/>
            <w:tcBorders>
              <w:top w:val="single" w:sz="12" w:space="0" w:color="000000"/>
            </w:tcBorders>
          </w:tcPr>
          <w:p>
            <w:pPr>
              <w:pStyle w:val="TableParagraph"/>
              <w:spacing w:line="192" w:lineRule="exact" w:before="18"/>
              <w:ind w:left="159"/>
              <w:rPr>
                <w:sz w:val="17"/>
              </w:rPr>
            </w:pPr>
            <w:r>
              <w:rPr>
                <w:color w:val="2A2A2A"/>
                <w:w w:val="110"/>
                <w:sz w:val="17"/>
              </w:rPr>
              <w:t>19</w:t>
            </w:r>
            <w:r>
              <w:rPr>
                <w:color w:val="5B5B5B"/>
                <w:w w:val="110"/>
                <w:sz w:val="17"/>
              </w:rPr>
              <w:t>,</w:t>
            </w:r>
            <w:r>
              <w:rPr>
                <w:color w:val="3B3B3B"/>
                <w:w w:val="110"/>
                <w:sz w:val="17"/>
              </w:rPr>
              <w:t>312</w:t>
            </w:r>
          </w:p>
        </w:tc>
        <w:tc>
          <w:tcPr>
            <w:tcW w:w="870" w:type="dxa"/>
            <w:tcBorders>
              <w:top w:val="single" w:sz="12" w:space="0" w:color="000000"/>
            </w:tcBorders>
          </w:tcPr>
          <w:p>
            <w:pPr>
              <w:pStyle w:val="TableParagraph"/>
              <w:spacing w:line="192" w:lineRule="exact" w:before="18"/>
              <w:ind w:right="212"/>
              <w:jc w:val="right"/>
              <w:rPr>
                <w:sz w:val="17"/>
              </w:rPr>
            </w:pPr>
            <w:r>
              <w:rPr>
                <w:color w:val="161616"/>
                <w:w w:val="110"/>
                <w:sz w:val="17"/>
              </w:rPr>
              <w:t>I</w:t>
            </w:r>
            <w:r>
              <w:rPr>
                <w:color w:val="2A2A2A"/>
                <w:w w:val="110"/>
                <w:sz w:val="17"/>
              </w:rPr>
              <w:t>9</w:t>
            </w:r>
            <w:r>
              <w:rPr>
                <w:color w:val="5B5B5B"/>
                <w:w w:val="110"/>
                <w:sz w:val="17"/>
              </w:rPr>
              <w:t>,</w:t>
            </w:r>
            <w:r>
              <w:rPr>
                <w:color w:val="3B3B3B"/>
                <w:w w:val="110"/>
                <w:sz w:val="17"/>
              </w:rPr>
              <w:t>69</w:t>
            </w:r>
            <w:r>
              <w:rPr>
                <w:color w:val="2A2A2A"/>
                <w:w w:val="110"/>
                <w:sz w:val="17"/>
              </w:rPr>
              <w:t>I</w:t>
            </w:r>
          </w:p>
        </w:tc>
        <w:tc>
          <w:tcPr>
            <w:tcW w:w="878" w:type="dxa"/>
            <w:tcBorders>
              <w:top w:val="single" w:sz="12" w:space="0" w:color="000000"/>
            </w:tcBorders>
          </w:tcPr>
          <w:p>
            <w:pPr>
              <w:pStyle w:val="TableParagraph"/>
              <w:spacing w:line="192" w:lineRule="exact" w:before="18"/>
              <w:ind w:right="195"/>
              <w:jc w:val="right"/>
              <w:rPr>
                <w:sz w:val="17"/>
              </w:rPr>
            </w:pPr>
            <w:r>
              <w:rPr>
                <w:color w:val="3B3B3B"/>
                <w:w w:val="105"/>
                <w:sz w:val="17"/>
              </w:rPr>
              <w:t>19,932</w:t>
            </w:r>
          </w:p>
        </w:tc>
        <w:tc>
          <w:tcPr>
            <w:tcW w:w="704" w:type="dxa"/>
            <w:tcBorders>
              <w:top w:val="single" w:sz="12" w:space="0" w:color="000000"/>
              <w:right w:val="single" w:sz="12" w:space="0" w:color="000000"/>
            </w:tcBorders>
          </w:tcPr>
          <w:p>
            <w:pPr>
              <w:pStyle w:val="TableParagraph"/>
              <w:spacing w:line="192" w:lineRule="exact" w:before="18"/>
              <w:ind w:right="12"/>
              <w:jc w:val="right"/>
              <w:rPr>
                <w:sz w:val="17"/>
              </w:rPr>
            </w:pPr>
            <w:r>
              <w:rPr>
                <w:color w:val="3B3B3B"/>
                <w:w w:val="110"/>
                <w:sz w:val="17"/>
              </w:rPr>
              <w:t>20,</w:t>
            </w:r>
            <w:r>
              <w:rPr>
                <w:color w:val="161616"/>
                <w:w w:val="110"/>
                <w:sz w:val="17"/>
              </w:rPr>
              <w:t>1</w:t>
            </w:r>
            <w:r>
              <w:rPr>
                <w:color w:val="3B3B3B"/>
                <w:w w:val="110"/>
                <w:sz w:val="17"/>
              </w:rPr>
              <w:t>99</w:t>
            </w:r>
          </w:p>
        </w:tc>
      </w:tr>
      <w:tr>
        <w:trPr>
          <w:trHeight w:val="221" w:hRule="atLeast"/>
        </w:trPr>
        <w:tc>
          <w:tcPr>
            <w:tcW w:w="4030" w:type="dxa"/>
            <w:tcBorders>
              <w:right w:val="single" w:sz="12" w:space="0" w:color="000000"/>
            </w:tcBorders>
          </w:tcPr>
          <w:p>
            <w:pPr>
              <w:pStyle w:val="TableParagraph"/>
              <w:spacing w:line="192" w:lineRule="exact" w:before="9"/>
              <w:ind w:left="56"/>
              <w:rPr>
                <w:sz w:val="17"/>
              </w:rPr>
            </w:pPr>
            <w:r>
              <w:rPr>
                <w:color w:val="3B3B3B"/>
                <w:w w:val="105"/>
                <w:sz w:val="17"/>
              </w:rPr>
              <w:t>Investment income</w:t>
            </w:r>
          </w:p>
        </w:tc>
        <w:tc>
          <w:tcPr>
            <w:tcW w:w="1032" w:type="dxa"/>
            <w:tcBorders>
              <w:left w:val="single" w:sz="12" w:space="0" w:color="000000"/>
            </w:tcBorders>
          </w:tcPr>
          <w:p>
            <w:pPr>
              <w:pStyle w:val="TableParagraph"/>
              <w:spacing w:line="192" w:lineRule="exact" w:before="9"/>
              <w:ind w:right="198"/>
              <w:jc w:val="right"/>
              <w:rPr>
                <w:sz w:val="17"/>
              </w:rPr>
            </w:pPr>
            <w:r>
              <w:rPr>
                <w:color w:val="3B3B3B"/>
                <w:w w:val="110"/>
                <w:sz w:val="17"/>
              </w:rPr>
              <w:t>757</w:t>
            </w:r>
          </w:p>
        </w:tc>
        <w:tc>
          <w:tcPr>
            <w:tcW w:w="883" w:type="dxa"/>
          </w:tcPr>
          <w:p>
            <w:pPr>
              <w:pStyle w:val="TableParagraph"/>
              <w:spacing w:line="192" w:lineRule="exact" w:before="9"/>
              <w:ind w:right="205"/>
              <w:jc w:val="right"/>
              <w:rPr>
                <w:sz w:val="17"/>
              </w:rPr>
            </w:pPr>
            <w:r>
              <w:rPr>
                <w:color w:val="3B3B3B"/>
                <w:w w:val="110"/>
                <w:sz w:val="17"/>
              </w:rPr>
              <w:t>738</w:t>
            </w:r>
          </w:p>
        </w:tc>
        <w:tc>
          <w:tcPr>
            <w:tcW w:w="870" w:type="dxa"/>
          </w:tcPr>
          <w:p>
            <w:pPr>
              <w:pStyle w:val="TableParagraph"/>
              <w:spacing w:line="192" w:lineRule="exact" w:before="9"/>
              <w:ind w:right="199"/>
              <w:jc w:val="right"/>
              <w:rPr>
                <w:sz w:val="17"/>
              </w:rPr>
            </w:pPr>
            <w:r>
              <w:rPr>
                <w:color w:val="3B3B3B"/>
                <w:w w:val="110"/>
                <w:sz w:val="17"/>
              </w:rPr>
              <w:t>677</w:t>
            </w:r>
          </w:p>
        </w:tc>
        <w:tc>
          <w:tcPr>
            <w:tcW w:w="878" w:type="dxa"/>
          </w:tcPr>
          <w:p>
            <w:pPr>
              <w:pStyle w:val="TableParagraph"/>
              <w:spacing w:line="192" w:lineRule="exact" w:before="9"/>
              <w:ind w:right="201"/>
              <w:jc w:val="right"/>
              <w:rPr>
                <w:sz w:val="17"/>
              </w:rPr>
            </w:pPr>
            <w:r>
              <w:rPr>
                <w:color w:val="3B3B3B"/>
                <w:w w:val="110"/>
                <w:sz w:val="17"/>
              </w:rPr>
              <w:t>636</w:t>
            </w:r>
          </w:p>
        </w:tc>
        <w:tc>
          <w:tcPr>
            <w:tcW w:w="704" w:type="dxa"/>
            <w:tcBorders>
              <w:right w:val="single" w:sz="12" w:space="0" w:color="000000"/>
            </w:tcBorders>
          </w:tcPr>
          <w:p>
            <w:pPr>
              <w:pStyle w:val="TableParagraph"/>
              <w:spacing w:line="192" w:lineRule="exact" w:before="9"/>
              <w:ind w:right="13"/>
              <w:jc w:val="right"/>
              <w:rPr>
                <w:sz w:val="17"/>
              </w:rPr>
            </w:pPr>
            <w:r>
              <w:rPr>
                <w:color w:val="3B3B3B"/>
                <w:w w:val="110"/>
                <w:sz w:val="17"/>
              </w:rPr>
              <w:t>780</w:t>
            </w:r>
          </w:p>
        </w:tc>
      </w:tr>
      <w:tr>
        <w:trPr>
          <w:trHeight w:val="221" w:hRule="atLeast"/>
        </w:trPr>
        <w:tc>
          <w:tcPr>
            <w:tcW w:w="4030" w:type="dxa"/>
            <w:tcBorders>
              <w:right w:val="single" w:sz="12" w:space="0" w:color="000000"/>
            </w:tcBorders>
          </w:tcPr>
          <w:p>
            <w:pPr>
              <w:pStyle w:val="TableParagraph"/>
              <w:spacing w:line="192" w:lineRule="exact" w:before="9"/>
              <w:ind w:left="64"/>
              <w:rPr>
                <w:sz w:val="17"/>
              </w:rPr>
            </w:pPr>
            <w:r>
              <w:rPr>
                <w:color w:val="3B3B3B"/>
                <w:w w:val="105"/>
                <w:sz w:val="17"/>
              </w:rPr>
              <w:t>Grants receivable</w:t>
            </w:r>
          </w:p>
        </w:tc>
        <w:tc>
          <w:tcPr>
            <w:tcW w:w="1032" w:type="dxa"/>
            <w:tcBorders>
              <w:left w:val="single" w:sz="12" w:space="0" w:color="000000"/>
            </w:tcBorders>
          </w:tcPr>
          <w:p>
            <w:pPr>
              <w:pStyle w:val="TableParagraph"/>
              <w:spacing w:line="192" w:lineRule="exact" w:before="9"/>
              <w:ind w:right="201"/>
              <w:jc w:val="right"/>
              <w:rPr>
                <w:sz w:val="17"/>
              </w:rPr>
            </w:pPr>
            <w:r>
              <w:rPr>
                <w:color w:val="3B3B3B"/>
                <w:w w:val="105"/>
                <w:sz w:val="17"/>
              </w:rPr>
              <w:t>694</w:t>
            </w:r>
          </w:p>
        </w:tc>
        <w:tc>
          <w:tcPr>
            <w:tcW w:w="883" w:type="dxa"/>
          </w:tcPr>
          <w:p>
            <w:pPr>
              <w:pStyle w:val="TableParagraph"/>
              <w:spacing w:line="192" w:lineRule="exact" w:before="9"/>
              <w:ind w:right="209"/>
              <w:jc w:val="right"/>
              <w:rPr>
                <w:sz w:val="17"/>
              </w:rPr>
            </w:pPr>
            <w:r>
              <w:rPr>
                <w:color w:val="3B3B3B"/>
                <w:w w:val="105"/>
                <w:sz w:val="17"/>
              </w:rPr>
              <w:t>566</w:t>
            </w:r>
          </w:p>
        </w:tc>
        <w:tc>
          <w:tcPr>
            <w:tcW w:w="870" w:type="dxa"/>
          </w:tcPr>
          <w:p>
            <w:pPr>
              <w:pStyle w:val="TableParagraph"/>
              <w:spacing w:line="192" w:lineRule="exact" w:before="9"/>
              <w:ind w:right="202"/>
              <w:jc w:val="right"/>
              <w:rPr>
                <w:sz w:val="17"/>
              </w:rPr>
            </w:pPr>
            <w:r>
              <w:rPr>
                <w:color w:val="3B3B3B"/>
                <w:w w:val="105"/>
                <w:sz w:val="17"/>
              </w:rPr>
              <w:t>601</w:t>
            </w:r>
          </w:p>
        </w:tc>
        <w:tc>
          <w:tcPr>
            <w:tcW w:w="878" w:type="dxa"/>
          </w:tcPr>
          <w:p>
            <w:pPr>
              <w:pStyle w:val="TableParagraph"/>
              <w:spacing w:line="192" w:lineRule="exact" w:before="9"/>
              <w:ind w:right="203"/>
              <w:jc w:val="right"/>
              <w:rPr>
                <w:sz w:val="17"/>
              </w:rPr>
            </w:pPr>
            <w:r>
              <w:rPr>
                <w:color w:val="3B3B3B"/>
                <w:w w:val="105"/>
                <w:sz w:val="17"/>
              </w:rPr>
              <w:t>678</w:t>
            </w:r>
          </w:p>
        </w:tc>
        <w:tc>
          <w:tcPr>
            <w:tcW w:w="704" w:type="dxa"/>
            <w:tcBorders>
              <w:right w:val="single" w:sz="12" w:space="0" w:color="000000"/>
            </w:tcBorders>
          </w:tcPr>
          <w:p>
            <w:pPr>
              <w:pStyle w:val="TableParagraph"/>
              <w:spacing w:line="192" w:lineRule="exact" w:before="9"/>
              <w:ind w:right="16"/>
              <w:jc w:val="right"/>
              <w:rPr>
                <w:sz w:val="17"/>
              </w:rPr>
            </w:pPr>
            <w:r>
              <w:rPr>
                <w:color w:val="3B3B3B"/>
                <w:w w:val="105"/>
                <w:sz w:val="17"/>
              </w:rPr>
              <w:t>683</w:t>
            </w:r>
          </w:p>
        </w:tc>
      </w:tr>
      <w:tr>
        <w:trPr>
          <w:trHeight w:val="221" w:hRule="atLeast"/>
        </w:trPr>
        <w:tc>
          <w:tcPr>
            <w:tcW w:w="4030" w:type="dxa"/>
            <w:tcBorders>
              <w:right w:val="single" w:sz="12" w:space="0" w:color="000000"/>
            </w:tcBorders>
          </w:tcPr>
          <w:p>
            <w:pPr>
              <w:pStyle w:val="TableParagraph"/>
              <w:spacing w:line="192" w:lineRule="exact" w:before="9"/>
              <w:ind w:left="66"/>
              <w:rPr>
                <w:sz w:val="17"/>
              </w:rPr>
            </w:pPr>
            <w:r>
              <w:rPr>
                <w:color w:val="3B3B3B"/>
                <w:sz w:val="17"/>
              </w:rPr>
              <w:t>Legacies</w:t>
            </w:r>
          </w:p>
        </w:tc>
        <w:tc>
          <w:tcPr>
            <w:tcW w:w="1032" w:type="dxa"/>
            <w:tcBorders>
              <w:left w:val="single" w:sz="12" w:space="0" w:color="000000"/>
            </w:tcBorders>
          </w:tcPr>
          <w:p>
            <w:pPr>
              <w:pStyle w:val="TableParagraph"/>
              <w:spacing w:line="192" w:lineRule="exact" w:before="9"/>
              <w:ind w:right="211"/>
              <w:jc w:val="right"/>
              <w:rPr>
                <w:sz w:val="17"/>
              </w:rPr>
            </w:pPr>
            <w:r>
              <w:rPr>
                <w:color w:val="3B3B3B"/>
                <w:w w:val="105"/>
                <w:sz w:val="17"/>
              </w:rPr>
              <w:t>968</w:t>
            </w:r>
          </w:p>
        </w:tc>
        <w:tc>
          <w:tcPr>
            <w:tcW w:w="883" w:type="dxa"/>
          </w:tcPr>
          <w:p>
            <w:pPr>
              <w:pStyle w:val="TableParagraph"/>
              <w:spacing w:line="192" w:lineRule="exact" w:before="9"/>
              <w:ind w:right="207"/>
              <w:jc w:val="right"/>
              <w:rPr>
                <w:sz w:val="17"/>
              </w:rPr>
            </w:pPr>
            <w:r>
              <w:rPr>
                <w:color w:val="3B3B3B"/>
                <w:w w:val="105"/>
                <w:sz w:val="17"/>
              </w:rPr>
              <w:t>719</w:t>
            </w:r>
          </w:p>
        </w:tc>
        <w:tc>
          <w:tcPr>
            <w:tcW w:w="870" w:type="dxa"/>
          </w:tcPr>
          <w:p>
            <w:pPr>
              <w:pStyle w:val="TableParagraph"/>
              <w:spacing w:line="192" w:lineRule="exact" w:before="9"/>
              <w:ind w:right="192"/>
              <w:jc w:val="right"/>
              <w:rPr>
                <w:sz w:val="17"/>
              </w:rPr>
            </w:pPr>
            <w:r>
              <w:rPr>
                <w:color w:val="2A2A2A"/>
                <w:w w:val="110"/>
                <w:sz w:val="17"/>
              </w:rPr>
              <w:t>1,232</w:t>
            </w:r>
          </w:p>
        </w:tc>
        <w:tc>
          <w:tcPr>
            <w:tcW w:w="878" w:type="dxa"/>
          </w:tcPr>
          <w:p>
            <w:pPr>
              <w:pStyle w:val="TableParagraph"/>
              <w:spacing w:line="192" w:lineRule="exact" w:before="9"/>
              <w:ind w:right="197"/>
              <w:jc w:val="right"/>
              <w:rPr>
                <w:sz w:val="17"/>
              </w:rPr>
            </w:pPr>
            <w:r>
              <w:rPr>
                <w:color w:val="3B3B3B"/>
                <w:w w:val="110"/>
                <w:sz w:val="17"/>
              </w:rPr>
              <w:t>787</w:t>
            </w:r>
          </w:p>
        </w:tc>
        <w:tc>
          <w:tcPr>
            <w:tcW w:w="704" w:type="dxa"/>
            <w:tcBorders>
              <w:right w:val="single" w:sz="12" w:space="0" w:color="000000"/>
            </w:tcBorders>
          </w:tcPr>
          <w:p>
            <w:pPr>
              <w:pStyle w:val="TableParagraph"/>
              <w:spacing w:line="192" w:lineRule="exact" w:before="9"/>
              <w:ind w:right="12"/>
              <w:jc w:val="right"/>
              <w:rPr>
                <w:sz w:val="17"/>
              </w:rPr>
            </w:pPr>
            <w:r>
              <w:rPr>
                <w:color w:val="3B3B3B"/>
                <w:w w:val="110"/>
                <w:sz w:val="17"/>
              </w:rPr>
              <w:t>521</w:t>
            </w:r>
          </w:p>
        </w:tc>
      </w:tr>
      <w:tr>
        <w:trPr>
          <w:trHeight w:val="216" w:hRule="atLeast"/>
        </w:trPr>
        <w:tc>
          <w:tcPr>
            <w:tcW w:w="4030" w:type="dxa"/>
            <w:tcBorders>
              <w:right w:val="single" w:sz="12" w:space="0" w:color="000000"/>
            </w:tcBorders>
          </w:tcPr>
          <w:p>
            <w:pPr>
              <w:pStyle w:val="TableParagraph"/>
              <w:spacing w:line="187" w:lineRule="exact" w:before="9"/>
              <w:ind w:left="57"/>
              <w:rPr>
                <w:sz w:val="17"/>
              </w:rPr>
            </w:pPr>
            <w:r>
              <w:rPr>
                <w:color w:val="3B3B3B"/>
                <w:w w:val="105"/>
                <w:sz w:val="17"/>
              </w:rPr>
              <w:t>Donations</w:t>
            </w:r>
          </w:p>
        </w:tc>
        <w:tc>
          <w:tcPr>
            <w:tcW w:w="1032" w:type="dxa"/>
            <w:tcBorders>
              <w:left w:val="single" w:sz="12" w:space="0" w:color="000000"/>
            </w:tcBorders>
          </w:tcPr>
          <w:p>
            <w:pPr>
              <w:pStyle w:val="TableParagraph"/>
              <w:spacing w:line="187" w:lineRule="exact" w:before="9"/>
              <w:ind w:right="203"/>
              <w:jc w:val="right"/>
              <w:rPr>
                <w:sz w:val="17"/>
              </w:rPr>
            </w:pPr>
            <w:r>
              <w:rPr>
                <w:color w:val="3B3B3B"/>
                <w:w w:val="105"/>
                <w:sz w:val="17"/>
              </w:rPr>
              <w:t>1,854</w:t>
            </w:r>
          </w:p>
        </w:tc>
        <w:tc>
          <w:tcPr>
            <w:tcW w:w="883" w:type="dxa"/>
          </w:tcPr>
          <w:p>
            <w:pPr>
              <w:pStyle w:val="TableParagraph"/>
              <w:spacing w:line="187" w:lineRule="exact" w:before="9"/>
              <w:ind w:right="211"/>
              <w:jc w:val="right"/>
              <w:rPr>
                <w:sz w:val="17"/>
              </w:rPr>
            </w:pPr>
            <w:r>
              <w:rPr>
                <w:color w:val="3B3B3B"/>
                <w:w w:val="105"/>
                <w:sz w:val="17"/>
              </w:rPr>
              <w:t>641</w:t>
            </w:r>
          </w:p>
        </w:tc>
        <w:tc>
          <w:tcPr>
            <w:tcW w:w="870" w:type="dxa"/>
          </w:tcPr>
          <w:p>
            <w:pPr>
              <w:pStyle w:val="TableParagraph"/>
              <w:spacing w:line="187" w:lineRule="exact" w:before="9"/>
              <w:ind w:right="204"/>
              <w:jc w:val="right"/>
              <w:rPr>
                <w:sz w:val="17"/>
              </w:rPr>
            </w:pPr>
            <w:r>
              <w:rPr>
                <w:color w:val="3B3B3B"/>
                <w:w w:val="105"/>
                <w:sz w:val="17"/>
              </w:rPr>
              <w:t>648</w:t>
            </w:r>
          </w:p>
        </w:tc>
        <w:tc>
          <w:tcPr>
            <w:tcW w:w="878" w:type="dxa"/>
          </w:tcPr>
          <w:p>
            <w:pPr>
              <w:pStyle w:val="TableParagraph"/>
              <w:spacing w:line="187" w:lineRule="exact" w:before="9"/>
              <w:ind w:right="194"/>
              <w:jc w:val="right"/>
              <w:rPr>
                <w:sz w:val="17"/>
              </w:rPr>
            </w:pPr>
            <w:r>
              <w:rPr>
                <w:color w:val="2A2A2A"/>
                <w:w w:val="110"/>
                <w:sz w:val="17"/>
              </w:rPr>
              <w:t>1,574</w:t>
            </w:r>
          </w:p>
        </w:tc>
        <w:tc>
          <w:tcPr>
            <w:tcW w:w="704" w:type="dxa"/>
            <w:tcBorders>
              <w:right w:val="single" w:sz="12" w:space="0" w:color="000000"/>
            </w:tcBorders>
          </w:tcPr>
          <w:p>
            <w:pPr>
              <w:pStyle w:val="TableParagraph"/>
              <w:spacing w:line="187" w:lineRule="exact" w:before="9"/>
              <w:ind w:right="10"/>
              <w:jc w:val="right"/>
              <w:rPr>
                <w:sz w:val="17"/>
              </w:rPr>
            </w:pPr>
            <w:r>
              <w:rPr>
                <w:color w:val="3B3B3B"/>
                <w:w w:val="110"/>
                <w:sz w:val="17"/>
              </w:rPr>
              <w:t>774</w:t>
            </w:r>
          </w:p>
        </w:tc>
      </w:tr>
      <w:tr>
        <w:trPr>
          <w:trHeight w:val="194" w:hRule="atLeast"/>
        </w:trPr>
        <w:tc>
          <w:tcPr>
            <w:tcW w:w="4030" w:type="dxa"/>
            <w:tcBorders>
              <w:right w:val="single" w:sz="12" w:space="0" w:color="000000"/>
            </w:tcBorders>
          </w:tcPr>
          <w:p>
            <w:pPr>
              <w:pStyle w:val="TableParagraph"/>
              <w:spacing w:line="161" w:lineRule="exact" w:before="14"/>
              <w:ind w:left="54"/>
              <w:rPr>
                <w:sz w:val="17"/>
              </w:rPr>
            </w:pPr>
            <w:r>
              <w:rPr>
                <w:color w:val="3B3B3B"/>
                <w:w w:val="105"/>
                <w:sz w:val="17"/>
              </w:rPr>
              <w:t>Other income</w:t>
            </w:r>
          </w:p>
        </w:tc>
        <w:tc>
          <w:tcPr>
            <w:tcW w:w="1032" w:type="dxa"/>
            <w:tcBorders>
              <w:left w:val="single" w:sz="12" w:space="0" w:color="000000"/>
              <w:bottom w:val="single" w:sz="12" w:space="0" w:color="000000"/>
            </w:tcBorders>
          </w:tcPr>
          <w:p>
            <w:pPr>
              <w:pStyle w:val="TableParagraph"/>
              <w:spacing w:line="153" w:lineRule="exact" w:before="14"/>
              <w:ind w:right="199"/>
              <w:jc w:val="right"/>
              <w:rPr>
                <w:sz w:val="17"/>
              </w:rPr>
            </w:pPr>
            <w:r>
              <w:rPr>
                <w:color w:val="2A2A2A"/>
                <w:w w:val="110"/>
                <w:sz w:val="17"/>
              </w:rPr>
              <w:t>I </w:t>
            </w:r>
            <w:r>
              <w:rPr>
                <w:color w:val="3B3B3B"/>
                <w:w w:val="110"/>
                <w:sz w:val="17"/>
              </w:rPr>
              <w:t>138</w:t>
            </w:r>
          </w:p>
        </w:tc>
        <w:tc>
          <w:tcPr>
            <w:tcW w:w="883" w:type="dxa"/>
            <w:tcBorders>
              <w:bottom w:val="single" w:sz="12" w:space="0" w:color="000000"/>
            </w:tcBorders>
          </w:tcPr>
          <w:p>
            <w:pPr>
              <w:pStyle w:val="TableParagraph"/>
              <w:spacing w:line="153" w:lineRule="exact" w:before="14"/>
              <w:ind w:right="202"/>
              <w:jc w:val="right"/>
              <w:rPr>
                <w:sz w:val="17"/>
              </w:rPr>
            </w:pPr>
            <w:r>
              <w:rPr>
                <w:color w:val="3B3B3B"/>
                <w:w w:val="110"/>
                <w:sz w:val="17"/>
              </w:rPr>
              <w:t>713</w:t>
            </w:r>
          </w:p>
        </w:tc>
        <w:tc>
          <w:tcPr>
            <w:tcW w:w="870" w:type="dxa"/>
            <w:tcBorders>
              <w:bottom w:val="single" w:sz="12" w:space="0" w:color="000000"/>
            </w:tcBorders>
          </w:tcPr>
          <w:p>
            <w:pPr>
              <w:pStyle w:val="TableParagraph"/>
              <w:spacing w:line="153" w:lineRule="exact" w:before="14"/>
              <w:ind w:right="192"/>
              <w:jc w:val="right"/>
              <w:rPr>
                <w:sz w:val="17"/>
              </w:rPr>
            </w:pPr>
            <w:r>
              <w:rPr>
                <w:color w:val="2A2A2A"/>
                <w:w w:val="110"/>
                <w:sz w:val="17"/>
              </w:rPr>
              <w:t>1,952</w:t>
            </w:r>
          </w:p>
        </w:tc>
        <w:tc>
          <w:tcPr>
            <w:tcW w:w="878" w:type="dxa"/>
            <w:tcBorders>
              <w:bottom w:val="single" w:sz="12" w:space="0" w:color="000000"/>
            </w:tcBorders>
          </w:tcPr>
          <w:p>
            <w:pPr>
              <w:pStyle w:val="TableParagraph"/>
              <w:spacing w:line="162" w:lineRule="exact" w:before="4"/>
              <w:ind w:right="206"/>
              <w:jc w:val="right"/>
              <w:rPr>
                <w:sz w:val="17"/>
              </w:rPr>
            </w:pPr>
            <w:r>
              <w:rPr>
                <w:color w:val="2A2A2A"/>
                <w:w w:val="105"/>
                <w:sz w:val="17"/>
              </w:rPr>
              <w:t>1,214</w:t>
            </w:r>
          </w:p>
        </w:tc>
        <w:tc>
          <w:tcPr>
            <w:tcW w:w="704" w:type="dxa"/>
            <w:tcBorders>
              <w:bottom w:val="single" w:sz="12" w:space="0" w:color="000000"/>
              <w:right w:val="single" w:sz="12" w:space="0" w:color="000000"/>
            </w:tcBorders>
          </w:tcPr>
          <w:p>
            <w:pPr>
              <w:pStyle w:val="TableParagraph"/>
              <w:spacing w:line="153" w:lineRule="exact" w:before="14"/>
              <w:ind w:right="15"/>
              <w:jc w:val="right"/>
              <w:rPr>
                <w:sz w:val="17"/>
              </w:rPr>
            </w:pPr>
            <w:r>
              <w:rPr>
                <w:color w:val="3B3B3B"/>
                <w:w w:val="105"/>
                <w:sz w:val="17"/>
              </w:rPr>
              <w:t>2,798</w:t>
            </w:r>
          </w:p>
        </w:tc>
      </w:tr>
      <w:tr>
        <w:trPr>
          <w:trHeight w:val="333" w:hRule="atLeast"/>
        </w:trPr>
        <w:tc>
          <w:tcPr>
            <w:tcW w:w="4030" w:type="dxa"/>
          </w:tcPr>
          <w:p>
            <w:pPr>
              <w:pStyle w:val="TableParagraph"/>
              <w:rPr>
                <w:sz w:val="16"/>
              </w:rPr>
            </w:pPr>
          </w:p>
        </w:tc>
        <w:tc>
          <w:tcPr>
            <w:tcW w:w="1032" w:type="dxa"/>
            <w:tcBorders>
              <w:top w:val="single" w:sz="12" w:space="0" w:color="000000"/>
            </w:tcBorders>
          </w:tcPr>
          <w:p>
            <w:pPr>
              <w:pStyle w:val="TableParagraph"/>
              <w:spacing w:before="18"/>
              <w:ind w:left="251" w:right="133"/>
              <w:jc w:val="center"/>
              <w:rPr>
                <w:sz w:val="17"/>
              </w:rPr>
            </w:pPr>
            <w:r>
              <w:rPr>
                <w:color w:val="3B3B3B"/>
                <w:w w:val="110"/>
                <w:sz w:val="17"/>
              </w:rPr>
              <w:t>24,098</w:t>
            </w:r>
          </w:p>
        </w:tc>
        <w:tc>
          <w:tcPr>
            <w:tcW w:w="883" w:type="dxa"/>
            <w:tcBorders>
              <w:top w:val="single" w:sz="12" w:space="0" w:color="000000"/>
            </w:tcBorders>
          </w:tcPr>
          <w:p>
            <w:pPr>
              <w:pStyle w:val="TableParagraph"/>
              <w:spacing w:before="18"/>
              <w:ind w:left="166"/>
              <w:rPr>
                <w:sz w:val="17"/>
              </w:rPr>
            </w:pPr>
            <w:r>
              <w:rPr>
                <w:color w:val="3B3B3B"/>
                <w:w w:val="110"/>
                <w:sz w:val="17"/>
              </w:rPr>
              <w:t>22</w:t>
            </w:r>
            <w:r>
              <w:rPr>
                <w:color w:val="5B5B5B"/>
                <w:w w:val="110"/>
                <w:sz w:val="17"/>
              </w:rPr>
              <w:t>,</w:t>
            </w:r>
            <w:r>
              <w:rPr>
                <w:color w:val="3B3B3B"/>
                <w:w w:val="110"/>
                <w:sz w:val="17"/>
              </w:rPr>
              <w:t>689</w:t>
            </w:r>
          </w:p>
        </w:tc>
        <w:tc>
          <w:tcPr>
            <w:tcW w:w="870" w:type="dxa"/>
            <w:tcBorders>
              <w:top w:val="single" w:sz="12" w:space="0" w:color="000000"/>
            </w:tcBorders>
          </w:tcPr>
          <w:p>
            <w:pPr>
              <w:pStyle w:val="TableParagraph"/>
              <w:spacing w:before="18"/>
              <w:ind w:left="159"/>
              <w:rPr>
                <w:sz w:val="17"/>
              </w:rPr>
            </w:pPr>
            <w:r>
              <w:rPr>
                <w:color w:val="3B3B3B"/>
                <w:w w:val="110"/>
                <w:sz w:val="17"/>
              </w:rPr>
              <w:t>2</w:t>
            </w:r>
            <w:r>
              <w:rPr>
                <w:color w:val="161616"/>
                <w:w w:val="110"/>
                <w:sz w:val="17"/>
              </w:rPr>
              <w:t>4</w:t>
            </w:r>
            <w:r>
              <w:rPr>
                <w:color w:val="3B3B3B"/>
                <w:w w:val="110"/>
                <w:sz w:val="17"/>
              </w:rPr>
              <w:t>,80</w:t>
            </w:r>
            <w:r>
              <w:rPr>
                <w:color w:val="161616"/>
                <w:w w:val="110"/>
                <w:sz w:val="17"/>
              </w:rPr>
              <w:t>1</w:t>
            </w:r>
          </w:p>
        </w:tc>
        <w:tc>
          <w:tcPr>
            <w:tcW w:w="878" w:type="dxa"/>
            <w:tcBorders>
              <w:top w:val="single" w:sz="12" w:space="0" w:color="000000"/>
            </w:tcBorders>
          </w:tcPr>
          <w:p>
            <w:pPr>
              <w:pStyle w:val="TableParagraph"/>
              <w:spacing w:before="18"/>
              <w:ind w:right="212"/>
              <w:jc w:val="right"/>
              <w:rPr>
                <w:sz w:val="17"/>
              </w:rPr>
            </w:pPr>
            <w:r>
              <w:rPr>
                <w:color w:val="3B3B3B"/>
                <w:w w:val="105"/>
                <w:sz w:val="17"/>
              </w:rPr>
              <w:t>24</w:t>
            </w:r>
            <w:r>
              <w:rPr>
                <w:color w:val="5B5B5B"/>
                <w:w w:val="105"/>
                <w:sz w:val="17"/>
              </w:rPr>
              <w:t>,</w:t>
            </w:r>
            <w:r>
              <w:rPr>
                <w:color w:val="3B3B3B"/>
                <w:w w:val="105"/>
                <w:sz w:val="17"/>
              </w:rPr>
              <w:t>82</w:t>
            </w:r>
            <w:r>
              <w:rPr>
                <w:color w:val="161616"/>
                <w:w w:val="105"/>
                <w:sz w:val="17"/>
              </w:rPr>
              <w:t>1</w:t>
            </w:r>
          </w:p>
        </w:tc>
        <w:tc>
          <w:tcPr>
            <w:tcW w:w="704" w:type="dxa"/>
            <w:tcBorders>
              <w:top w:val="single" w:sz="12" w:space="0" w:color="000000"/>
            </w:tcBorders>
          </w:tcPr>
          <w:p>
            <w:pPr>
              <w:pStyle w:val="TableParagraph"/>
              <w:spacing w:before="18"/>
              <w:ind w:right="38"/>
              <w:jc w:val="right"/>
              <w:rPr>
                <w:sz w:val="17"/>
              </w:rPr>
            </w:pPr>
            <w:r>
              <w:rPr>
                <w:color w:val="3B3B3B"/>
                <w:w w:val="105"/>
                <w:sz w:val="17"/>
              </w:rPr>
              <w:t>25</w:t>
            </w:r>
            <w:r>
              <w:rPr>
                <w:color w:val="5B5B5B"/>
                <w:w w:val="105"/>
                <w:sz w:val="17"/>
              </w:rPr>
              <w:t>,</w:t>
            </w:r>
            <w:r>
              <w:rPr>
                <w:color w:val="3B3B3B"/>
                <w:w w:val="105"/>
                <w:sz w:val="17"/>
              </w:rPr>
              <w:t>755</w:t>
            </w:r>
          </w:p>
        </w:tc>
      </w:tr>
      <w:tr>
        <w:trPr>
          <w:trHeight w:val="300" w:hRule="atLeast"/>
        </w:trPr>
        <w:tc>
          <w:tcPr>
            <w:tcW w:w="4030" w:type="dxa"/>
          </w:tcPr>
          <w:p>
            <w:pPr>
              <w:pStyle w:val="TableParagraph"/>
              <w:spacing w:line="161" w:lineRule="exact" w:before="120"/>
              <w:ind w:left="57"/>
              <w:rPr>
                <w:b/>
                <w:sz w:val="17"/>
              </w:rPr>
            </w:pPr>
            <w:r>
              <w:rPr>
                <w:b/>
                <w:color w:val="3B3B3B"/>
                <w:w w:val="105"/>
                <w:sz w:val="17"/>
              </w:rPr>
              <w:t>Ex</w:t>
            </w:r>
            <w:r>
              <w:rPr>
                <w:b/>
                <w:color w:val="161616"/>
                <w:w w:val="105"/>
                <w:sz w:val="17"/>
              </w:rPr>
              <w:t>penditure</w:t>
            </w:r>
          </w:p>
        </w:tc>
        <w:tc>
          <w:tcPr>
            <w:tcW w:w="1032" w:type="dxa"/>
            <w:tcBorders>
              <w:bottom w:val="single" w:sz="12" w:space="0" w:color="000000"/>
            </w:tcBorders>
          </w:tcPr>
          <w:p>
            <w:pPr>
              <w:pStyle w:val="TableParagraph"/>
              <w:rPr>
                <w:sz w:val="16"/>
              </w:rPr>
            </w:pPr>
          </w:p>
        </w:tc>
        <w:tc>
          <w:tcPr>
            <w:tcW w:w="883" w:type="dxa"/>
            <w:tcBorders>
              <w:bottom w:val="single" w:sz="12" w:space="0" w:color="000000"/>
            </w:tcBorders>
          </w:tcPr>
          <w:p>
            <w:pPr>
              <w:pStyle w:val="TableParagraph"/>
              <w:rPr>
                <w:sz w:val="16"/>
              </w:rPr>
            </w:pPr>
          </w:p>
        </w:tc>
        <w:tc>
          <w:tcPr>
            <w:tcW w:w="870" w:type="dxa"/>
            <w:tcBorders>
              <w:bottom w:val="single" w:sz="12" w:space="0" w:color="000000"/>
            </w:tcBorders>
          </w:tcPr>
          <w:p>
            <w:pPr>
              <w:pStyle w:val="TableParagraph"/>
              <w:rPr>
                <w:sz w:val="16"/>
              </w:rPr>
            </w:pPr>
          </w:p>
        </w:tc>
        <w:tc>
          <w:tcPr>
            <w:tcW w:w="878" w:type="dxa"/>
            <w:tcBorders>
              <w:bottom w:val="single" w:sz="12" w:space="0" w:color="000000"/>
            </w:tcBorders>
          </w:tcPr>
          <w:p>
            <w:pPr>
              <w:pStyle w:val="TableParagraph"/>
              <w:rPr>
                <w:sz w:val="16"/>
              </w:rPr>
            </w:pPr>
          </w:p>
        </w:tc>
        <w:tc>
          <w:tcPr>
            <w:tcW w:w="704" w:type="dxa"/>
            <w:tcBorders>
              <w:bottom w:val="single" w:sz="12" w:space="0" w:color="000000"/>
            </w:tcBorders>
          </w:tcPr>
          <w:p>
            <w:pPr>
              <w:pStyle w:val="TableParagraph"/>
              <w:rPr>
                <w:sz w:val="16"/>
              </w:rPr>
            </w:pPr>
          </w:p>
        </w:tc>
      </w:tr>
      <w:tr>
        <w:trPr>
          <w:trHeight w:val="217" w:hRule="atLeast"/>
        </w:trPr>
        <w:tc>
          <w:tcPr>
            <w:tcW w:w="4030" w:type="dxa"/>
            <w:tcBorders>
              <w:right w:val="single" w:sz="12" w:space="0" w:color="000000"/>
            </w:tcBorders>
          </w:tcPr>
          <w:p>
            <w:pPr>
              <w:pStyle w:val="TableParagraph"/>
              <w:spacing w:line="187" w:lineRule="exact" w:before="10"/>
              <w:ind w:left="58"/>
              <w:rPr>
                <w:sz w:val="17"/>
              </w:rPr>
            </w:pPr>
            <w:r>
              <w:rPr>
                <w:color w:val="3B3B3B"/>
                <w:w w:val="105"/>
                <w:sz w:val="17"/>
              </w:rPr>
              <w:t>Ministry</w:t>
            </w:r>
          </w:p>
        </w:tc>
        <w:tc>
          <w:tcPr>
            <w:tcW w:w="1032" w:type="dxa"/>
            <w:tcBorders>
              <w:top w:val="single" w:sz="12" w:space="0" w:color="000000"/>
              <w:left w:val="single" w:sz="12" w:space="0" w:color="000000"/>
            </w:tcBorders>
          </w:tcPr>
          <w:p>
            <w:pPr>
              <w:pStyle w:val="TableParagraph"/>
              <w:spacing w:line="187" w:lineRule="exact" w:before="18"/>
              <w:ind w:left="308"/>
              <w:rPr>
                <w:sz w:val="17"/>
              </w:rPr>
            </w:pPr>
            <w:r>
              <w:rPr>
                <w:color w:val="161616"/>
                <w:w w:val="70"/>
                <w:sz w:val="17"/>
              </w:rPr>
              <w:t>.1</w:t>
            </w:r>
            <w:r>
              <w:rPr>
                <w:color w:val="3B3B3B"/>
                <w:w w:val="70"/>
                <w:sz w:val="17"/>
              </w:rPr>
              <w:t>6,354</w:t>
            </w:r>
          </w:p>
        </w:tc>
        <w:tc>
          <w:tcPr>
            <w:tcW w:w="883" w:type="dxa"/>
            <w:tcBorders>
              <w:top w:val="single" w:sz="12" w:space="0" w:color="000000"/>
            </w:tcBorders>
          </w:tcPr>
          <w:p>
            <w:pPr>
              <w:pStyle w:val="TableParagraph"/>
              <w:spacing w:before="9"/>
              <w:ind w:left="159"/>
              <w:rPr>
                <w:sz w:val="17"/>
              </w:rPr>
            </w:pPr>
            <w:r>
              <w:rPr>
                <w:color w:val="2A2A2A"/>
                <w:w w:val="70"/>
                <w:sz w:val="17"/>
              </w:rPr>
              <w:t>16 </w:t>
            </w:r>
            <w:r>
              <w:rPr>
                <w:color w:val="5B5B5B"/>
                <w:w w:val="70"/>
                <w:sz w:val="17"/>
              </w:rPr>
              <w:t>,</w:t>
            </w:r>
            <w:r>
              <w:rPr>
                <w:color w:val="3B3B3B"/>
                <w:w w:val="70"/>
                <w:sz w:val="17"/>
              </w:rPr>
              <w:t>555</w:t>
            </w:r>
          </w:p>
        </w:tc>
        <w:tc>
          <w:tcPr>
            <w:tcW w:w="870" w:type="dxa"/>
            <w:tcBorders>
              <w:top w:val="single" w:sz="12" w:space="0" w:color="000000"/>
            </w:tcBorders>
          </w:tcPr>
          <w:p>
            <w:pPr>
              <w:pStyle w:val="TableParagraph"/>
              <w:spacing w:line="187" w:lineRule="exact" w:before="18"/>
              <w:ind w:left="162"/>
              <w:rPr>
                <w:sz w:val="17"/>
              </w:rPr>
            </w:pPr>
            <w:r>
              <w:rPr>
                <w:color w:val="161616"/>
                <w:w w:val="70"/>
                <w:sz w:val="17"/>
              </w:rPr>
              <w:t>1 </w:t>
            </w:r>
            <w:r>
              <w:rPr>
                <w:color w:val="3B3B3B"/>
                <w:w w:val="70"/>
                <w:sz w:val="17"/>
              </w:rPr>
              <w:t>7 </w:t>
            </w:r>
            <w:r>
              <w:rPr>
                <w:color w:val="5B5B5B"/>
                <w:w w:val="70"/>
                <w:sz w:val="17"/>
              </w:rPr>
              <w:t>, </w:t>
            </w:r>
            <w:r>
              <w:rPr>
                <w:color w:val="3B3B3B"/>
                <w:w w:val="70"/>
                <w:sz w:val="17"/>
              </w:rPr>
              <w:t>088</w:t>
            </w:r>
          </w:p>
        </w:tc>
        <w:tc>
          <w:tcPr>
            <w:tcW w:w="878" w:type="dxa"/>
            <w:tcBorders>
              <w:top w:val="single" w:sz="12" w:space="0" w:color="000000"/>
            </w:tcBorders>
          </w:tcPr>
          <w:p>
            <w:pPr>
              <w:pStyle w:val="TableParagraph"/>
              <w:spacing w:line="187" w:lineRule="exact" w:before="18"/>
              <w:ind w:right="195"/>
              <w:jc w:val="right"/>
              <w:rPr>
                <w:sz w:val="17"/>
              </w:rPr>
            </w:pPr>
            <w:r>
              <w:rPr>
                <w:color w:val="3B3B3B"/>
                <w:w w:val="105"/>
                <w:sz w:val="17"/>
              </w:rPr>
              <w:t>16,932</w:t>
            </w:r>
          </w:p>
        </w:tc>
        <w:tc>
          <w:tcPr>
            <w:tcW w:w="704" w:type="dxa"/>
            <w:tcBorders>
              <w:top w:val="single" w:sz="12" w:space="0" w:color="000000"/>
              <w:right w:val="single" w:sz="12" w:space="0" w:color="000000"/>
            </w:tcBorders>
          </w:tcPr>
          <w:p>
            <w:pPr>
              <w:pStyle w:val="TableParagraph"/>
              <w:spacing w:line="187" w:lineRule="exact" w:before="18"/>
              <w:ind w:right="17"/>
              <w:jc w:val="right"/>
              <w:rPr>
                <w:sz w:val="17"/>
              </w:rPr>
            </w:pPr>
            <w:r>
              <w:rPr>
                <w:color w:val="3B3B3B"/>
                <w:w w:val="105"/>
                <w:sz w:val="17"/>
              </w:rPr>
              <w:t>17,766</w:t>
            </w:r>
          </w:p>
        </w:tc>
      </w:tr>
      <w:tr>
        <w:trPr>
          <w:trHeight w:val="221" w:hRule="atLeast"/>
        </w:trPr>
        <w:tc>
          <w:tcPr>
            <w:tcW w:w="4030" w:type="dxa"/>
            <w:tcBorders>
              <w:right w:val="single" w:sz="12" w:space="0" w:color="000000"/>
            </w:tcBorders>
          </w:tcPr>
          <w:p>
            <w:pPr>
              <w:pStyle w:val="TableParagraph"/>
              <w:spacing w:line="187" w:lineRule="exact" w:before="14"/>
              <w:ind w:left="55"/>
              <w:rPr>
                <w:sz w:val="17"/>
              </w:rPr>
            </w:pPr>
            <w:r>
              <w:rPr>
                <w:color w:val="3B3B3B"/>
                <w:w w:val="105"/>
                <w:sz w:val="17"/>
              </w:rPr>
              <w:t>Training</w:t>
            </w:r>
          </w:p>
        </w:tc>
        <w:tc>
          <w:tcPr>
            <w:tcW w:w="1032" w:type="dxa"/>
            <w:tcBorders>
              <w:left w:val="single" w:sz="12" w:space="0" w:color="000000"/>
            </w:tcBorders>
          </w:tcPr>
          <w:p>
            <w:pPr>
              <w:pStyle w:val="TableParagraph"/>
              <w:spacing w:line="187" w:lineRule="exact" w:before="14"/>
              <w:ind w:right="200"/>
              <w:jc w:val="right"/>
              <w:rPr>
                <w:sz w:val="17"/>
              </w:rPr>
            </w:pPr>
            <w:r>
              <w:rPr>
                <w:color w:val="3B3B3B"/>
                <w:w w:val="105"/>
                <w:sz w:val="17"/>
              </w:rPr>
              <w:t>1,662</w:t>
            </w:r>
          </w:p>
        </w:tc>
        <w:tc>
          <w:tcPr>
            <w:tcW w:w="883" w:type="dxa"/>
          </w:tcPr>
          <w:p>
            <w:pPr>
              <w:pStyle w:val="TableParagraph"/>
              <w:spacing w:line="187" w:lineRule="exact" w:before="14"/>
              <w:ind w:right="206"/>
              <w:jc w:val="right"/>
              <w:rPr>
                <w:sz w:val="17"/>
              </w:rPr>
            </w:pPr>
            <w:r>
              <w:rPr>
                <w:color w:val="3B3B3B"/>
                <w:w w:val="105"/>
                <w:sz w:val="17"/>
              </w:rPr>
              <w:t>1,546</w:t>
            </w:r>
          </w:p>
        </w:tc>
        <w:tc>
          <w:tcPr>
            <w:tcW w:w="870" w:type="dxa"/>
          </w:tcPr>
          <w:p>
            <w:pPr>
              <w:pStyle w:val="TableParagraph"/>
              <w:spacing w:before="4"/>
              <w:ind w:right="196"/>
              <w:jc w:val="right"/>
              <w:rPr>
                <w:sz w:val="17"/>
              </w:rPr>
            </w:pPr>
            <w:r>
              <w:rPr>
                <w:color w:val="2A2A2A"/>
                <w:w w:val="110"/>
                <w:sz w:val="17"/>
              </w:rPr>
              <w:t>1,581</w:t>
            </w:r>
          </w:p>
        </w:tc>
        <w:tc>
          <w:tcPr>
            <w:tcW w:w="878" w:type="dxa"/>
          </w:tcPr>
          <w:p>
            <w:pPr>
              <w:pStyle w:val="TableParagraph"/>
              <w:spacing w:before="4"/>
              <w:ind w:right="204"/>
              <w:jc w:val="right"/>
              <w:rPr>
                <w:sz w:val="17"/>
              </w:rPr>
            </w:pPr>
            <w:r>
              <w:rPr>
                <w:color w:val="161616"/>
                <w:w w:val="110"/>
                <w:sz w:val="17"/>
              </w:rPr>
              <w:t>1</w:t>
            </w:r>
            <w:r>
              <w:rPr>
                <w:color w:val="3B3B3B"/>
                <w:w w:val="110"/>
                <w:sz w:val="17"/>
              </w:rPr>
              <w:t>,677</w:t>
            </w:r>
          </w:p>
        </w:tc>
        <w:tc>
          <w:tcPr>
            <w:tcW w:w="704" w:type="dxa"/>
            <w:tcBorders>
              <w:right w:val="single" w:sz="12" w:space="0" w:color="000000"/>
            </w:tcBorders>
          </w:tcPr>
          <w:p>
            <w:pPr>
              <w:pStyle w:val="TableParagraph"/>
              <w:spacing w:line="187" w:lineRule="exact" w:before="14"/>
              <w:ind w:right="17"/>
              <w:jc w:val="right"/>
              <w:rPr>
                <w:sz w:val="17"/>
              </w:rPr>
            </w:pPr>
            <w:r>
              <w:rPr>
                <w:color w:val="161616"/>
                <w:w w:val="110"/>
                <w:sz w:val="17"/>
              </w:rPr>
              <w:t>1</w:t>
            </w:r>
            <w:r>
              <w:rPr>
                <w:color w:val="3B3B3B"/>
                <w:w w:val="110"/>
                <w:sz w:val="17"/>
              </w:rPr>
              <w:t>,637</w:t>
            </w:r>
          </w:p>
        </w:tc>
      </w:tr>
      <w:tr>
        <w:trPr>
          <w:trHeight w:val="221" w:hRule="atLeast"/>
        </w:trPr>
        <w:tc>
          <w:tcPr>
            <w:tcW w:w="4030" w:type="dxa"/>
            <w:tcBorders>
              <w:right w:val="single" w:sz="12" w:space="0" w:color="000000"/>
            </w:tcBorders>
          </w:tcPr>
          <w:p>
            <w:pPr>
              <w:pStyle w:val="TableParagraph"/>
              <w:spacing w:line="187" w:lineRule="exact" w:before="14"/>
              <w:ind w:left="58"/>
              <w:rPr>
                <w:sz w:val="17"/>
              </w:rPr>
            </w:pPr>
            <w:r>
              <w:rPr>
                <w:color w:val="2A2A2A"/>
                <w:sz w:val="17"/>
              </w:rPr>
              <w:t>Mission</w:t>
            </w:r>
          </w:p>
        </w:tc>
        <w:tc>
          <w:tcPr>
            <w:tcW w:w="1032" w:type="dxa"/>
            <w:tcBorders>
              <w:left w:val="single" w:sz="12" w:space="0" w:color="000000"/>
            </w:tcBorders>
          </w:tcPr>
          <w:p>
            <w:pPr>
              <w:pStyle w:val="TableParagraph"/>
              <w:spacing w:before="4"/>
              <w:ind w:right="203"/>
              <w:jc w:val="right"/>
              <w:rPr>
                <w:sz w:val="17"/>
              </w:rPr>
            </w:pPr>
            <w:r>
              <w:rPr>
                <w:color w:val="3B3B3B"/>
                <w:w w:val="105"/>
                <w:sz w:val="17"/>
              </w:rPr>
              <w:t>2,446</w:t>
            </w:r>
          </w:p>
        </w:tc>
        <w:tc>
          <w:tcPr>
            <w:tcW w:w="883" w:type="dxa"/>
          </w:tcPr>
          <w:p>
            <w:pPr>
              <w:pStyle w:val="TableParagraph"/>
              <w:spacing w:before="4"/>
              <w:ind w:right="209"/>
              <w:jc w:val="right"/>
              <w:rPr>
                <w:sz w:val="17"/>
              </w:rPr>
            </w:pPr>
            <w:r>
              <w:rPr>
                <w:color w:val="3B3B3B"/>
                <w:w w:val="105"/>
                <w:sz w:val="17"/>
              </w:rPr>
              <w:t>2,417</w:t>
            </w:r>
          </w:p>
        </w:tc>
        <w:tc>
          <w:tcPr>
            <w:tcW w:w="870" w:type="dxa"/>
          </w:tcPr>
          <w:p>
            <w:pPr>
              <w:pStyle w:val="TableParagraph"/>
              <w:spacing w:before="4"/>
              <w:ind w:right="192"/>
              <w:jc w:val="right"/>
              <w:rPr>
                <w:sz w:val="17"/>
              </w:rPr>
            </w:pPr>
            <w:r>
              <w:rPr>
                <w:color w:val="3B3B3B"/>
                <w:w w:val="110"/>
                <w:sz w:val="17"/>
              </w:rPr>
              <w:t>2,519</w:t>
            </w:r>
          </w:p>
        </w:tc>
        <w:tc>
          <w:tcPr>
            <w:tcW w:w="878" w:type="dxa"/>
          </w:tcPr>
          <w:p>
            <w:pPr>
              <w:pStyle w:val="TableParagraph"/>
              <w:spacing w:before="4"/>
              <w:ind w:right="207"/>
              <w:jc w:val="right"/>
              <w:rPr>
                <w:sz w:val="17"/>
              </w:rPr>
            </w:pPr>
            <w:r>
              <w:rPr>
                <w:color w:val="3B3B3B"/>
                <w:w w:val="105"/>
                <w:sz w:val="17"/>
              </w:rPr>
              <w:t>2,319</w:t>
            </w:r>
          </w:p>
        </w:tc>
        <w:tc>
          <w:tcPr>
            <w:tcW w:w="704" w:type="dxa"/>
            <w:tcBorders>
              <w:right w:val="single" w:sz="12" w:space="0" w:color="000000"/>
            </w:tcBorders>
          </w:tcPr>
          <w:p>
            <w:pPr>
              <w:pStyle w:val="TableParagraph"/>
              <w:spacing w:before="4"/>
              <w:ind w:right="8"/>
              <w:jc w:val="right"/>
              <w:rPr>
                <w:sz w:val="17"/>
              </w:rPr>
            </w:pPr>
            <w:r>
              <w:rPr>
                <w:color w:val="2A2A2A"/>
                <w:w w:val="105"/>
                <w:sz w:val="17"/>
              </w:rPr>
              <w:t>2,412</w:t>
            </w:r>
          </w:p>
        </w:tc>
      </w:tr>
      <w:tr>
        <w:trPr>
          <w:trHeight w:val="220" w:hRule="atLeast"/>
        </w:trPr>
        <w:tc>
          <w:tcPr>
            <w:tcW w:w="4030" w:type="dxa"/>
            <w:tcBorders>
              <w:right w:val="single" w:sz="12" w:space="0" w:color="000000"/>
            </w:tcBorders>
          </w:tcPr>
          <w:p>
            <w:pPr>
              <w:pStyle w:val="TableParagraph"/>
              <w:spacing w:line="186" w:lineRule="exact" w:before="14"/>
              <w:ind w:left="54"/>
              <w:rPr>
                <w:sz w:val="17"/>
              </w:rPr>
            </w:pPr>
            <w:r>
              <w:rPr>
                <w:color w:val="3B3B3B"/>
                <w:w w:val="105"/>
                <w:sz w:val="17"/>
              </w:rPr>
              <w:t>Governance</w:t>
            </w:r>
          </w:p>
        </w:tc>
        <w:tc>
          <w:tcPr>
            <w:tcW w:w="1032" w:type="dxa"/>
            <w:tcBorders>
              <w:left w:val="single" w:sz="12" w:space="0" w:color="000000"/>
            </w:tcBorders>
          </w:tcPr>
          <w:p>
            <w:pPr>
              <w:pStyle w:val="TableParagraph"/>
              <w:spacing w:before="4"/>
              <w:ind w:right="211"/>
              <w:jc w:val="right"/>
              <w:rPr>
                <w:sz w:val="17"/>
              </w:rPr>
            </w:pPr>
            <w:r>
              <w:rPr>
                <w:color w:val="3B3B3B"/>
                <w:w w:val="105"/>
                <w:sz w:val="17"/>
              </w:rPr>
              <w:t>382</w:t>
            </w:r>
          </w:p>
        </w:tc>
        <w:tc>
          <w:tcPr>
            <w:tcW w:w="883" w:type="dxa"/>
          </w:tcPr>
          <w:p>
            <w:pPr>
              <w:pStyle w:val="TableParagraph"/>
              <w:spacing w:before="4"/>
              <w:ind w:right="214"/>
              <w:jc w:val="right"/>
              <w:rPr>
                <w:sz w:val="17"/>
              </w:rPr>
            </w:pPr>
            <w:r>
              <w:rPr>
                <w:color w:val="3B3B3B"/>
                <w:w w:val="105"/>
                <w:sz w:val="17"/>
              </w:rPr>
              <w:t>252</w:t>
            </w:r>
          </w:p>
        </w:tc>
        <w:tc>
          <w:tcPr>
            <w:tcW w:w="870" w:type="dxa"/>
          </w:tcPr>
          <w:p>
            <w:pPr>
              <w:pStyle w:val="TableParagraph"/>
              <w:spacing w:before="4"/>
              <w:ind w:right="201"/>
              <w:jc w:val="right"/>
              <w:rPr>
                <w:sz w:val="17"/>
              </w:rPr>
            </w:pPr>
            <w:r>
              <w:rPr>
                <w:color w:val="3B3B3B"/>
                <w:w w:val="105"/>
                <w:sz w:val="17"/>
              </w:rPr>
              <w:t>3</w:t>
            </w:r>
            <w:r>
              <w:rPr>
                <w:color w:val="161616"/>
                <w:w w:val="105"/>
                <w:sz w:val="17"/>
              </w:rPr>
              <w:t>14</w:t>
            </w:r>
          </w:p>
        </w:tc>
        <w:tc>
          <w:tcPr>
            <w:tcW w:w="878" w:type="dxa"/>
          </w:tcPr>
          <w:p>
            <w:pPr>
              <w:pStyle w:val="TableParagraph"/>
              <w:spacing w:line="186" w:lineRule="exact" w:before="14"/>
              <w:ind w:right="203"/>
              <w:jc w:val="right"/>
              <w:rPr>
                <w:sz w:val="17"/>
              </w:rPr>
            </w:pPr>
            <w:r>
              <w:rPr>
                <w:color w:val="3B3B3B"/>
                <w:w w:val="105"/>
                <w:sz w:val="17"/>
              </w:rPr>
              <w:t>368</w:t>
            </w:r>
          </w:p>
        </w:tc>
        <w:tc>
          <w:tcPr>
            <w:tcW w:w="704" w:type="dxa"/>
            <w:tcBorders>
              <w:right w:val="single" w:sz="12" w:space="0" w:color="000000"/>
            </w:tcBorders>
          </w:tcPr>
          <w:p>
            <w:pPr>
              <w:pStyle w:val="TableParagraph"/>
              <w:spacing w:before="4"/>
              <w:ind w:right="16"/>
              <w:jc w:val="right"/>
              <w:rPr>
                <w:sz w:val="17"/>
              </w:rPr>
            </w:pPr>
            <w:r>
              <w:rPr>
                <w:color w:val="3B3B3B"/>
                <w:w w:val="105"/>
                <w:sz w:val="17"/>
              </w:rPr>
              <w:t>344</w:t>
            </w:r>
          </w:p>
        </w:tc>
      </w:tr>
      <w:tr>
        <w:trPr>
          <w:trHeight w:val="188" w:hRule="atLeast"/>
        </w:trPr>
        <w:tc>
          <w:tcPr>
            <w:tcW w:w="4030" w:type="dxa"/>
            <w:tcBorders>
              <w:right w:val="single" w:sz="12" w:space="0" w:color="000000"/>
            </w:tcBorders>
          </w:tcPr>
          <w:p>
            <w:pPr>
              <w:pStyle w:val="TableParagraph"/>
              <w:spacing w:line="163" w:lineRule="exact" w:before="5"/>
              <w:ind w:left="50"/>
              <w:rPr>
                <w:sz w:val="17"/>
              </w:rPr>
            </w:pPr>
            <w:r>
              <w:rPr>
                <w:color w:val="3B3B3B"/>
                <w:w w:val="105"/>
                <w:sz w:val="17"/>
              </w:rPr>
              <w:t>Support activities </w:t>
            </w:r>
            <w:r>
              <w:rPr>
                <w:rFonts w:ascii="Arial"/>
                <w:color w:val="3B3B3B"/>
                <w:w w:val="105"/>
                <w:sz w:val="17"/>
              </w:rPr>
              <w:t>(in</w:t>
            </w:r>
            <w:r>
              <w:rPr>
                <w:color w:val="3B3B3B"/>
                <w:w w:val="105"/>
                <w:sz w:val="17"/>
              </w:rPr>
              <w:t>c</w:t>
            </w:r>
            <w:r>
              <w:rPr>
                <w:color w:val="161616"/>
                <w:w w:val="105"/>
                <w:sz w:val="17"/>
              </w:rPr>
              <w:t>l.</w:t>
            </w:r>
            <w:r>
              <w:rPr>
                <w:color w:val="3B3B3B"/>
                <w:w w:val="105"/>
                <w:sz w:val="17"/>
              </w:rPr>
              <w:t>editorial and </w:t>
            </w:r>
            <w:r>
              <w:rPr>
                <w:color w:val="2A2A2A"/>
                <w:w w:val="105"/>
                <w:sz w:val="17"/>
              </w:rPr>
              <w:t>bookshop)</w:t>
            </w:r>
          </w:p>
        </w:tc>
        <w:tc>
          <w:tcPr>
            <w:tcW w:w="1032" w:type="dxa"/>
            <w:tcBorders>
              <w:left w:val="single" w:sz="12" w:space="0" w:color="000000"/>
              <w:bottom w:val="single" w:sz="12" w:space="0" w:color="000000"/>
            </w:tcBorders>
          </w:tcPr>
          <w:p>
            <w:pPr>
              <w:pStyle w:val="TableParagraph"/>
              <w:spacing w:line="162" w:lineRule="exact" w:before="6"/>
              <w:ind w:right="211"/>
              <w:jc w:val="right"/>
              <w:rPr>
                <w:sz w:val="17"/>
              </w:rPr>
            </w:pPr>
            <w:r>
              <w:rPr>
                <w:color w:val="3B3B3B"/>
                <w:w w:val="105"/>
                <w:sz w:val="17"/>
              </w:rPr>
              <w:t>1</w:t>
            </w:r>
            <w:r>
              <w:rPr>
                <w:color w:val="5B5B5B"/>
                <w:w w:val="105"/>
                <w:sz w:val="17"/>
              </w:rPr>
              <w:t>,</w:t>
            </w:r>
            <w:r>
              <w:rPr>
                <w:color w:val="2A2A2A"/>
                <w:w w:val="105"/>
                <w:sz w:val="17"/>
              </w:rPr>
              <w:t>684</w:t>
            </w:r>
          </w:p>
        </w:tc>
        <w:tc>
          <w:tcPr>
            <w:tcW w:w="883" w:type="dxa"/>
            <w:tcBorders>
              <w:bottom w:val="single" w:sz="12" w:space="0" w:color="000000"/>
            </w:tcBorders>
          </w:tcPr>
          <w:p>
            <w:pPr>
              <w:pStyle w:val="TableParagraph"/>
              <w:spacing w:line="162" w:lineRule="exact" w:before="6"/>
              <w:ind w:right="218"/>
              <w:jc w:val="right"/>
              <w:rPr>
                <w:sz w:val="17"/>
              </w:rPr>
            </w:pPr>
            <w:r>
              <w:rPr>
                <w:color w:val="2A2A2A"/>
                <w:w w:val="110"/>
                <w:sz w:val="17"/>
              </w:rPr>
              <w:t>1 693</w:t>
            </w:r>
          </w:p>
        </w:tc>
        <w:tc>
          <w:tcPr>
            <w:tcW w:w="870" w:type="dxa"/>
            <w:tcBorders>
              <w:bottom w:val="single" w:sz="12" w:space="0" w:color="000000"/>
            </w:tcBorders>
          </w:tcPr>
          <w:p>
            <w:pPr>
              <w:pStyle w:val="TableParagraph"/>
              <w:spacing w:line="162" w:lineRule="exact" w:before="6"/>
              <w:ind w:right="200"/>
              <w:jc w:val="right"/>
              <w:rPr>
                <w:sz w:val="17"/>
              </w:rPr>
            </w:pPr>
            <w:r>
              <w:rPr>
                <w:color w:val="2A2A2A"/>
                <w:w w:val="105"/>
                <w:sz w:val="17"/>
              </w:rPr>
              <w:t>1,196</w:t>
            </w:r>
          </w:p>
        </w:tc>
        <w:tc>
          <w:tcPr>
            <w:tcW w:w="878" w:type="dxa"/>
            <w:tcBorders>
              <w:bottom w:val="single" w:sz="12" w:space="0" w:color="000000"/>
            </w:tcBorders>
          </w:tcPr>
          <w:p>
            <w:pPr>
              <w:pStyle w:val="TableParagraph"/>
              <w:spacing w:line="162" w:lineRule="exact" w:before="6"/>
              <w:ind w:right="198"/>
              <w:jc w:val="right"/>
              <w:rPr>
                <w:sz w:val="17"/>
              </w:rPr>
            </w:pPr>
            <w:r>
              <w:rPr>
                <w:color w:val="2A2A2A"/>
                <w:w w:val="110"/>
                <w:sz w:val="17"/>
              </w:rPr>
              <w:t>1,391</w:t>
            </w:r>
          </w:p>
        </w:tc>
        <w:tc>
          <w:tcPr>
            <w:tcW w:w="704" w:type="dxa"/>
            <w:tcBorders>
              <w:bottom w:val="single" w:sz="12" w:space="0" w:color="000000"/>
              <w:right w:val="single" w:sz="12" w:space="0" w:color="000000"/>
            </w:tcBorders>
          </w:tcPr>
          <w:p>
            <w:pPr>
              <w:pStyle w:val="TableParagraph"/>
              <w:spacing w:line="162" w:lineRule="exact" w:before="6"/>
              <w:ind w:right="7"/>
              <w:jc w:val="right"/>
              <w:rPr>
                <w:sz w:val="17"/>
              </w:rPr>
            </w:pPr>
            <w:r>
              <w:rPr>
                <w:color w:val="2A2A2A"/>
                <w:w w:val="110"/>
                <w:sz w:val="17"/>
              </w:rPr>
              <w:t>1,513</w:t>
            </w:r>
          </w:p>
        </w:tc>
      </w:tr>
      <w:tr>
        <w:trPr>
          <w:trHeight w:val="633" w:hRule="atLeast"/>
        </w:trPr>
        <w:tc>
          <w:tcPr>
            <w:tcW w:w="4030" w:type="dxa"/>
          </w:tcPr>
          <w:p>
            <w:pPr>
              <w:pStyle w:val="TableParagraph"/>
              <w:rPr>
                <w:sz w:val="16"/>
              </w:rPr>
            </w:pPr>
          </w:p>
        </w:tc>
        <w:tc>
          <w:tcPr>
            <w:tcW w:w="1032" w:type="dxa"/>
            <w:tcBorders>
              <w:top w:val="single" w:sz="12" w:space="0" w:color="000000"/>
              <w:bottom w:val="single" w:sz="12" w:space="0" w:color="000000"/>
            </w:tcBorders>
          </w:tcPr>
          <w:p>
            <w:pPr>
              <w:pStyle w:val="TableParagraph"/>
              <w:spacing w:before="9"/>
              <w:ind w:left="245" w:right="133"/>
              <w:jc w:val="center"/>
              <w:rPr>
                <w:sz w:val="17"/>
              </w:rPr>
            </w:pPr>
            <w:r>
              <w:rPr>
                <w:color w:val="3B3B3B"/>
                <w:w w:val="110"/>
                <w:sz w:val="17"/>
              </w:rPr>
              <w:t>22</w:t>
            </w:r>
            <w:r>
              <w:rPr>
                <w:color w:val="5B5B5B"/>
                <w:w w:val="110"/>
                <w:sz w:val="17"/>
              </w:rPr>
              <w:t>,</w:t>
            </w:r>
            <w:r>
              <w:rPr>
                <w:color w:val="3B3B3B"/>
                <w:w w:val="110"/>
                <w:sz w:val="17"/>
              </w:rPr>
              <w:t>529</w:t>
            </w:r>
          </w:p>
        </w:tc>
        <w:tc>
          <w:tcPr>
            <w:tcW w:w="883" w:type="dxa"/>
            <w:tcBorders>
              <w:top w:val="single" w:sz="12" w:space="0" w:color="000000"/>
              <w:bottom w:val="single" w:sz="12" w:space="0" w:color="000000"/>
            </w:tcBorders>
          </w:tcPr>
          <w:p>
            <w:pPr>
              <w:pStyle w:val="TableParagraph"/>
              <w:spacing w:before="9"/>
              <w:ind w:left="166"/>
              <w:rPr>
                <w:sz w:val="17"/>
              </w:rPr>
            </w:pPr>
            <w:r>
              <w:rPr>
                <w:color w:val="3B3B3B"/>
                <w:w w:val="110"/>
                <w:sz w:val="17"/>
              </w:rPr>
              <w:t>22,463</w:t>
            </w:r>
          </w:p>
        </w:tc>
        <w:tc>
          <w:tcPr>
            <w:tcW w:w="870" w:type="dxa"/>
            <w:tcBorders>
              <w:top w:val="single" w:sz="12" w:space="0" w:color="000000"/>
              <w:bottom w:val="single" w:sz="12" w:space="0" w:color="000000"/>
            </w:tcBorders>
          </w:tcPr>
          <w:p>
            <w:pPr>
              <w:pStyle w:val="TableParagraph"/>
              <w:spacing w:before="9"/>
              <w:ind w:left="159"/>
              <w:rPr>
                <w:sz w:val="17"/>
              </w:rPr>
            </w:pPr>
            <w:r>
              <w:rPr>
                <w:color w:val="3B3B3B"/>
                <w:w w:val="110"/>
                <w:sz w:val="17"/>
              </w:rPr>
              <w:t>22,698</w:t>
            </w:r>
          </w:p>
        </w:tc>
        <w:tc>
          <w:tcPr>
            <w:tcW w:w="878" w:type="dxa"/>
            <w:tcBorders>
              <w:top w:val="single" w:sz="12" w:space="0" w:color="000000"/>
              <w:bottom w:val="single" w:sz="12" w:space="0" w:color="000000"/>
            </w:tcBorders>
          </w:tcPr>
          <w:p>
            <w:pPr>
              <w:pStyle w:val="TableParagraph"/>
              <w:spacing w:before="9"/>
              <w:ind w:right="208"/>
              <w:jc w:val="right"/>
              <w:rPr>
                <w:sz w:val="17"/>
              </w:rPr>
            </w:pPr>
            <w:r>
              <w:rPr>
                <w:color w:val="3B3B3B"/>
                <w:w w:val="105"/>
                <w:sz w:val="17"/>
              </w:rPr>
              <w:t>22,686</w:t>
            </w:r>
          </w:p>
        </w:tc>
        <w:tc>
          <w:tcPr>
            <w:tcW w:w="704" w:type="dxa"/>
            <w:tcBorders>
              <w:top w:val="single" w:sz="12" w:space="0" w:color="000000"/>
              <w:bottom w:val="single" w:sz="12" w:space="0" w:color="000000"/>
            </w:tcBorders>
          </w:tcPr>
          <w:p>
            <w:pPr>
              <w:pStyle w:val="TableParagraph"/>
              <w:spacing w:before="9"/>
              <w:ind w:right="26"/>
              <w:jc w:val="right"/>
              <w:rPr>
                <w:sz w:val="17"/>
              </w:rPr>
            </w:pPr>
            <w:r>
              <w:rPr>
                <w:color w:val="3B3B3B"/>
                <w:w w:val="105"/>
                <w:sz w:val="17"/>
              </w:rPr>
              <w:t>23,672</w:t>
            </w:r>
          </w:p>
        </w:tc>
      </w:tr>
      <w:tr>
        <w:trPr>
          <w:trHeight w:val="331" w:hRule="atLeast"/>
        </w:trPr>
        <w:tc>
          <w:tcPr>
            <w:tcW w:w="4030" w:type="dxa"/>
          </w:tcPr>
          <w:p>
            <w:pPr>
              <w:pStyle w:val="TableParagraph"/>
              <w:spacing w:before="9"/>
              <w:ind w:left="58"/>
              <w:rPr>
                <w:b/>
                <w:sz w:val="17"/>
              </w:rPr>
            </w:pPr>
            <w:r>
              <w:rPr>
                <w:b/>
                <w:color w:val="3B3B3B"/>
                <w:w w:val="105"/>
                <w:sz w:val="17"/>
              </w:rPr>
              <w:t>Net </w:t>
            </w:r>
            <w:r>
              <w:rPr>
                <w:b/>
                <w:color w:val="161616"/>
                <w:w w:val="105"/>
                <w:sz w:val="17"/>
              </w:rPr>
              <w:t>incoming/(outgoing) resources</w:t>
            </w:r>
          </w:p>
        </w:tc>
        <w:tc>
          <w:tcPr>
            <w:tcW w:w="1032" w:type="dxa"/>
            <w:tcBorders>
              <w:top w:val="single" w:sz="12" w:space="0" w:color="000000"/>
            </w:tcBorders>
          </w:tcPr>
          <w:p>
            <w:pPr>
              <w:pStyle w:val="TableParagraph"/>
              <w:spacing w:line="195" w:lineRule="exact"/>
              <w:ind w:left="294" w:right="113"/>
              <w:jc w:val="center"/>
              <w:rPr>
                <w:sz w:val="17"/>
              </w:rPr>
            </w:pPr>
            <w:r>
              <w:rPr>
                <w:color w:val="3B3B3B"/>
                <w:w w:val="105"/>
                <w:sz w:val="17"/>
              </w:rPr>
              <w:t>1</w:t>
            </w:r>
            <w:r>
              <w:rPr>
                <w:color w:val="5B5B5B"/>
                <w:w w:val="105"/>
                <w:sz w:val="17"/>
              </w:rPr>
              <w:t>,</w:t>
            </w:r>
            <w:r>
              <w:rPr>
                <w:color w:val="2A2A2A"/>
                <w:w w:val="105"/>
                <w:sz w:val="17"/>
              </w:rPr>
              <w:t>569</w:t>
            </w:r>
          </w:p>
        </w:tc>
        <w:tc>
          <w:tcPr>
            <w:tcW w:w="883" w:type="dxa"/>
            <w:tcBorders>
              <w:top w:val="single" w:sz="12" w:space="0" w:color="000000"/>
            </w:tcBorders>
          </w:tcPr>
          <w:p>
            <w:pPr>
              <w:pStyle w:val="TableParagraph"/>
              <w:spacing w:before="9"/>
              <w:ind w:left="387"/>
              <w:rPr>
                <w:sz w:val="17"/>
              </w:rPr>
            </w:pPr>
            <w:r>
              <w:rPr>
                <w:color w:val="3B3B3B"/>
                <w:w w:val="105"/>
                <w:sz w:val="17"/>
              </w:rPr>
              <w:t>226</w:t>
            </w:r>
          </w:p>
        </w:tc>
        <w:tc>
          <w:tcPr>
            <w:tcW w:w="870" w:type="dxa"/>
            <w:tcBorders>
              <w:top w:val="single" w:sz="12" w:space="0" w:color="000000"/>
            </w:tcBorders>
          </w:tcPr>
          <w:p>
            <w:pPr>
              <w:pStyle w:val="TableParagraph"/>
              <w:spacing w:line="195" w:lineRule="exact"/>
              <w:ind w:right="195"/>
              <w:jc w:val="right"/>
              <w:rPr>
                <w:sz w:val="17"/>
              </w:rPr>
            </w:pPr>
            <w:r>
              <w:rPr>
                <w:color w:val="3B3B3B"/>
                <w:w w:val="110"/>
                <w:sz w:val="17"/>
              </w:rPr>
              <w:t>2,103</w:t>
            </w:r>
          </w:p>
        </w:tc>
        <w:tc>
          <w:tcPr>
            <w:tcW w:w="878" w:type="dxa"/>
            <w:tcBorders>
              <w:top w:val="single" w:sz="12" w:space="0" w:color="000000"/>
            </w:tcBorders>
          </w:tcPr>
          <w:p>
            <w:pPr>
              <w:pStyle w:val="TableParagraph"/>
              <w:spacing w:line="195" w:lineRule="exact"/>
              <w:ind w:right="199"/>
              <w:jc w:val="right"/>
              <w:rPr>
                <w:sz w:val="17"/>
              </w:rPr>
            </w:pPr>
            <w:r>
              <w:rPr>
                <w:color w:val="3B3B3B"/>
                <w:w w:val="105"/>
                <w:sz w:val="17"/>
              </w:rPr>
              <w:t>2,135</w:t>
            </w:r>
          </w:p>
        </w:tc>
        <w:tc>
          <w:tcPr>
            <w:tcW w:w="704" w:type="dxa"/>
            <w:tcBorders>
              <w:top w:val="single" w:sz="12" w:space="0" w:color="000000"/>
            </w:tcBorders>
          </w:tcPr>
          <w:p>
            <w:pPr>
              <w:pStyle w:val="TableParagraph"/>
              <w:spacing w:line="195" w:lineRule="exact"/>
              <w:ind w:right="34"/>
              <w:jc w:val="right"/>
              <w:rPr>
                <w:sz w:val="17"/>
              </w:rPr>
            </w:pPr>
            <w:r>
              <w:rPr>
                <w:color w:val="3B3B3B"/>
                <w:w w:val="105"/>
                <w:sz w:val="17"/>
              </w:rPr>
              <w:t>2</w:t>
            </w:r>
            <w:r>
              <w:rPr>
                <w:color w:val="5B5B5B"/>
                <w:w w:val="105"/>
                <w:sz w:val="17"/>
              </w:rPr>
              <w:t>,</w:t>
            </w:r>
            <w:r>
              <w:rPr>
                <w:color w:val="3B3B3B"/>
                <w:w w:val="105"/>
                <w:sz w:val="17"/>
              </w:rPr>
              <w:t>083</w:t>
            </w:r>
          </w:p>
        </w:tc>
      </w:tr>
      <w:tr>
        <w:trPr>
          <w:trHeight w:val="442" w:hRule="atLeast"/>
        </w:trPr>
        <w:tc>
          <w:tcPr>
            <w:tcW w:w="4030" w:type="dxa"/>
          </w:tcPr>
          <w:p>
            <w:pPr>
              <w:pStyle w:val="TableParagraph"/>
              <w:spacing w:before="129"/>
              <w:ind w:left="57"/>
              <w:rPr>
                <w:b/>
                <w:sz w:val="17"/>
              </w:rPr>
            </w:pPr>
            <w:r>
              <w:rPr>
                <w:b/>
                <w:color w:val="161616"/>
                <w:w w:val="105"/>
                <w:sz w:val="17"/>
              </w:rPr>
              <w:t>Inve</w:t>
            </w:r>
            <w:r>
              <w:rPr>
                <w:b/>
                <w:color w:val="3B3B3B"/>
                <w:w w:val="105"/>
                <w:sz w:val="17"/>
              </w:rPr>
              <w:t>s</w:t>
            </w:r>
            <w:r>
              <w:rPr>
                <w:b/>
                <w:color w:val="161616"/>
                <w:w w:val="105"/>
                <w:sz w:val="17"/>
              </w:rPr>
              <w:t>tment gains</w:t>
            </w:r>
            <w:r>
              <w:rPr>
                <w:b/>
                <w:color w:val="3B3B3B"/>
                <w:w w:val="105"/>
                <w:sz w:val="17"/>
              </w:rPr>
              <w:t>/(</w:t>
            </w:r>
            <w:r>
              <w:rPr>
                <w:b/>
                <w:w w:val="105"/>
                <w:sz w:val="17"/>
              </w:rPr>
              <w:t>lo</w:t>
            </w:r>
            <w:r>
              <w:rPr>
                <w:b/>
                <w:color w:val="3B3B3B"/>
                <w:w w:val="105"/>
                <w:sz w:val="17"/>
              </w:rPr>
              <w:t>sses)</w:t>
            </w:r>
          </w:p>
        </w:tc>
        <w:tc>
          <w:tcPr>
            <w:tcW w:w="1032" w:type="dxa"/>
          </w:tcPr>
          <w:p>
            <w:pPr>
              <w:pStyle w:val="TableParagraph"/>
              <w:spacing w:before="120"/>
              <w:ind w:left="294" w:right="114"/>
              <w:jc w:val="center"/>
              <w:rPr>
                <w:sz w:val="17"/>
              </w:rPr>
            </w:pPr>
            <w:r>
              <w:rPr>
                <w:color w:val="3B3B3B"/>
                <w:w w:val="110"/>
                <w:sz w:val="17"/>
              </w:rPr>
              <w:t>(3,009)</w:t>
            </w:r>
          </w:p>
        </w:tc>
        <w:tc>
          <w:tcPr>
            <w:tcW w:w="883" w:type="dxa"/>
          </w:tcPr>
          <w:p>
            <w:pPr>
              <w:pStyle w:val="TableParagraph"/>
              <w:spacing w:before="120"/>
              <w:ind w:right="208"/>
              <w:jc w:val="right"/>
              <w:rPr>
                <w:sz w:val="17"/>
              </w:rPr>
            </w:pPr>
            <w:r>
              <w:rPr>
                <w:color w:val="3B3B3B"/>
                <w:w w:val="105"/>
                <w:sz w:val="17"/>
              </w:rPr>
              <w:t>1,517</w:t>
            </w:r>
          </w:p>
        </w:tc>
        <w:tc>
          <w:tcPr>
            <w:tcW w:w="870" w:type="dxa"/>
          </w:tcPr>
          <w:p>
            <w:pPr>
              <w:pStyle w:val="TableParagraph"/>
              <w:spacing w:before="120"/>
              <w:ind w:right="202"/>
              <w:jc w:val="right"/>
              <w:rPr>
                <w:sz w:val="17"/>
              </w:rPr>
            </w:pPr>
            <w:r>
              <w:rPr>
                <w:color w:val="3B3B3B"/>
                <w:w w:val="105"/>
                <w:sz w:val="17"/>
              </w:rPr>
              <w:t>1,017</w:t>
            </w:r>
          </w:p>
        </w:tc>
        <w:tc>
          <w:tcPr>
            <w:tcW w:w="878" w:type="dxa"/>
          </w:tcPr>
          <w:p>
            <w:pPr>
              <w:pStyle w:val="TableParagraph"/>
              <w:spacing w:before="120"/>
              <w:ind w:right="212"/>
              <w:jc w:val="right"/>
              <w:rPr>
                <w:sz w:val="17"/>
              </w:rPr>
            </w:pPr>
            <w:r>
              <w:rPr>
                <w:color w:val="3B3B3B"/>
                <w:w w:val="105"/>
                <w:sz w:val="17"/>
              </w:rPr>
              <w:t>2</w:t>
            </w:r>
            <w:r>
              <w:rPr>
                <w:color w:val="5B5B5B"/>
                <w:w w:val="105"/>
                <w:sz w:val="17"/>
              </w:rPr>
              <w:t>,</w:t>
            </w:r>
            <w:r>
              <w:rPr>
                <w:color w:val="3B3B3B"/>
                <w:w w:val="105"/>
                <w:sz w:val="17"/>
              </w:rPr>
              <w:t>588</w:t>
            </w:r>
          </w:p>
        </w:tc>
        <w:tc>
          <w:tcPr>
            <w:tcW w:w="704" w:type="dxa"/>
          </w:tcPr>
          <w:p>
            <w:pPr>
              <w:pStyle w:val="TableParagraph"/>
              <w:spacing w:before="120"/>
              <w:ind w:right="38"/>
              <w:jc w:val="right"/>
              <w:rPr>
                <w:sz w:val="17"/>
              </w:rPr>
            </w:pPr>
            <w:r>
              <w:rPr>
                <w:color w:val="3B3B3B"/>
                <w:w w:val="105"/>
                <w:sz w:val="17"/>
              </w:rPr>
              <w:t>2</w:t>
            </w:r>
            <w:r>
              <w:rPr>
                <w:color w:val="5B5B5B"/>
                <w:w w:val="105"/>
                <w:sz w:val="17"/>
              </w:rPr>
              <w:t>,</w:t>
            </w:r>
            <w:r>
              <w:rPr>
                <w:color w:val="3B3B3B"/>
                <w:w w:val="105"/>
                <w:sz w:val="17"/>
              </w:rPr>
              <w:t>731</w:t>
            </w:r>
          </w:p>
        </w:tc>
      </w:tr>
      <w:tr>
        <w:trPr>
          <w:trHeight w:val="513" w:hRule="atLeast"/>
        </w:trPr>
        <w:tc>
          <w:tcPr>
            <w:tcW w:w="4030" w:type="dxa"/>
          </w:tcPr>
          <w:p>
            <w:pPr>
              <w:pStyle w:val="TableParagraph"/>
              <w:spacing w:before="120"/>
              <w:ind w:left="59"/>
              <w:rPr>
                <w:sz w:val="17"/>
              </w:rPr>
            </w:pPr>
            <w:r>
              <w:rPr>
                <w:color w:val="3B3B3B"/>
                <w:w w:val="105"/>
                <w:sz w:val="17"/>
              </w:rPr>
              <w:t>Actuarial gains/(losses)</w:t>
            </w:r>
          </w:p>
        </w:tc>
        <w:tc>
          <w:tcPr>
            <w:tcW w:w="1032" w:type="dxa"/>
            <w:tcBorders>
              <w:bottom w:val="single" w:sz="12" w:space="0" w:color="000000"/>
            </w:tcBorders>
          </w:tcPr>
          <w:p>
            <w:pPr>
              <w:pStyle w:val="TableParagraph"/>
              <w:spacing w:before="120"/>
              <w:ind w:left="294" w:right="114"/>
              <w:jc w:val="center"/>
              <w:rPr>
                <w:sz w:val="17"/>
              </w:rPr>
            </w:pPr>
            <w:r>
              <w:rPr>
                <w:color w:val="3B3B3B"/>
                <w:w w:val="110"/>
                <w:sz w:val="17"/>
              </w:rPr>
              <w:t>(7,738)</w:t>
            </w:r>
          </w:p>
        </w:tc>
        <w:tc>
          <w:tcPr>
            <w:tcW w:w="883" w:type="dxa"/>
            <w:tcBorders>
              <w:bottom w:val="single" w:sz="12" w:space="0" w:color="000000"/>
            </w:tcBorders>
          </w:tcPr>
          <w:p>
            <w:pPr>
              <w:pStyle w:val="TableParagraph"/>
              <w:spacing w:before="120"/>
              <w:ind w:left="182"/>
              <w:rPr>
                <w:sz w:val="17"/>
              </w:rPr>
            </w:pPr>
            <w:r>
              <w:rPr>
                <w:color w:val="2A2A2A"/>
                <w:w w:val="110"/>
                <w:sz w:val="17"/>
              </w:rPr>
              <w:t>(3,312)</w:t>
            </w:r>
          </w:p>
        </w:tc>
        <w:tc>
          <w:tcPr>
            <w:tcW w:w="870" w:type="dxa"/>
            <w:tcBorders>
              <w:bottom w:val="single" w:sz="12" w:space="0" w:color="000000"/>
            </w:tcBorders>
          </w:tcPr>
          <w:p>
            <w:pPr>
              <w:pStyle w:val="TableParagraph"/>
              <w:spacing w:before="120"/>
              <w:ind w:right="213"/>
              <w:jc w:val="right"/>
              <w:rPr>
                <w:sz w:val="17"/>
              </w:rPr>
            </w:pPr>
            <w:r>
              <w:rPr>
                <w:color w:val="2A2A2A"/>
                <w:w w:val="105"/>
                <w:sz w:val="17"/>
              </w:rPr>
              <w:t>942</w:t>
            </w:r>
          </w:p>
        </w:tc>
        <w:tc>
          <w:tcPr>
            <w:tcW w:w="878" w:type="dxa"/>
            <w:tcBorders>
              <w:bottom w:val="single" w:sz="12" w:space="0" w:color="000000"/>
            </w:tcBorders>
          </w:tcPr>
          <w:p>
            <w:pPr>
              <w:pStyle w:val="TableParagraph"/>
              <w:spacing w:before="110"/>
              <w:ind w:right="160"/>
              <w:jc w:val="right"/>
              <w:rPr>
                <w:sz w:val="17"/>
              </w:rPr>
            </w:pPr>
            <w:r>
              <w:rPr>
                <w:color w:val="3B3B3B"/>
                <w:w w:val="105"/>
                <w:sz w:val="17"/>
              </w:rPr>
              <w:t>(2</w:t>
            </w:r>
            <w:r>
              <w:rPr>
                <w:color w:val="5B5B5B"/>
                <w:w w:val="105"/>
                <w:sz w:val="17"/>
              </w:rPr>
              <w:t>,</w:t>
            </w:r>
            <w:r>
              <w:rPr>
                <w:color w:val="3B3B3B"/>
                <w:w w:val="105"/>
                <w:sz w:val="17"/>
              </w:rPr>
              <w:t>256)</w:t>
            </w:r>
          </w:p>
        </w:tc>
        <w:tc>
          <w:tcPr>
            <w:tcW w:w="704" w:type="dxa"/>
            <w:tcBorders>
              <w:bottom w:val="single" w:sz="12" w:space="0" w:color="000000"/>
            </w:tcBorders>
          </w:tcPr>
          <w:p>
            <w:pPr>
              <w:pStyle w:val="TableParagraph"/>
              <w:spacing w:before="120"/>
              <w:ind w:right="-29"/>
              <w:jc w:val="right"/>
              <w:rPr>
                <w:sz w:val="17"/>
              </w:rPr>
            </w:pPr>
            <w:r>
              <w:rPr>
                <w:color w:val="3B3B3B"/>
                <w:w w:val="110"/>
                <w:sz w:val="17"/>
              </w:rPr>
              <w:t>(1,382)</w:t>
            </w:r>
          </w:p>
        </w:tc>
      </w:tr>
      <w:tr>
        <w:trPr>
          <w:trHeight w:val="203" w:hRule="atLeast"/>
        </w:trPr>
        <w:tc>
          <w:tcPr>
            <w:tcW w:w="4030" w:type="dxa"/>
          </w:tcPr>
          <w:p>
            <w:pPr>
              <w:pStyle w:val="TableParagraph"/>
              <w:spacing w:line="174" w:lineRule="exact" w:before="8"/>
              <w:ind w:left="58"/>
              <w:rPr>
                <w:b/>
                <w:sz w:val="17"/>
              </w:rPr>
            </w:pPr>
            <w:r>
              <w:rPr>
                <w:b/>
                <w:color w:val="3B3B3B"/>
                <w:w w:val="110"/>
                <w:sz w:val="17"/>
              </w:rPr>
              <w:t>Ne</w:t>
            </w:r>
            <w:r>
              <w:rPr>
                <w:b/>
                <w:color w:val="161616"/>
                <w:w w:val="110"/>
                <w:sz w:val="17"/>
              </w:rPr>
              <w:t>t in</w:t>
            </w:r>
            <w:r>
              <w:rPr>
                <w:b/>
                <w:color w:val="3B3B3B"/>
                <w:w w:val="110"/>
                <w:sz w:val="17"/>
              </w:rPr>
              <w:t>c</w:t>
            </w:r>
            <w:r>
              <w:rPr>
                <w:b/>
                <w:color w:val="161616"/>
                <w:w w:val="110"/>
                <w:sz w:val="17"/>
              </w:rPr>
              <w:t>rea</w:t>
            </w:r>
            <w:r>
              <w:rPr>
                <w:b/>
                <w:color w:val="3B3B3B"/>
                <w:w w:val="110"/>
                <w:sz w:val="17"/>
              </w:rPr>
              <w:t>se/(</w:t>
            </w:r>
            <w:r>
              <w:rPr>
                <w:b/>
                <w:color w:val="2A2A2A"/>
                <w:w w:val="110"/>
                <w:sz w:val="17"/>
              </w:rPr>
              <w:t>decrease) </w:t>
            </w:r>
            <w:r>
              <w:rPr>
                <w:rFonts w:ascii="Arial"/>
                <w:color w:val="2A2A2A"/>
                <w:w w:val="110"/>
                <w:sz w:val="18"/>
              </w:rPr>
              <w:t>in </w:t>
            </w:r>
            <w:r>
              <w:rPr>
                <w:b/>
                <w:color w:val="161616"/>
                <w:w w:val="110"/>
                <w:sz w:val="17"/>
              </w:rPr>
              <w:t>funds</w:t>
            </w:r>
          </w:p>
        </w:tc>
        <w:tc>
          <w:tcPr>
            <w:tcW w:w="1032" w:type="dxa"/>
            <w:tcBorders>
              <w:top w:val="single" w:sz="12" w:space="0" w:color="000000"/>
              <w:bottom w:val="single" w:sz="18" w:space="0" w:color="000000"/>
            </w:tcBorders>
          </w:tcPr>
          <w:p>
            <w:pPr>
              <w:pStyle w:val="TableParagraph"/>
              <w:spacing w:line="174" w:lineRule="exact" w:before="9"/>
              <w:ind w:left="294" w:right="132"/>
              <w:jc w:val="center"/>
              <w:rPr>
                <w:sz w:val="17"/>
              </w:rPr>
            </w:pPr>
            <w:r>
              <w:rPr>
                <w:color w:val="3B3B3B"/>
                <w:w w:val="110"/>
                <w:sz w:val="17"/>
              </w:rPr>
              <w:t>(9,</w:t>
            </w:r>
            <w:r>
              <w:rPr>
                <w:color w:val="161616"/>
                <w:w w:val="110"/>
                <w:sz w:val="17"/>
              </w:rPr>
              <w:t>17</w:t>
            </w:r>
            <w:r>
              <w:rPr>
                <w:color w:val="3B3B3B"/>
                <w:w w:val="110"/>
                <w:sz w:val="17"/>
              </w:rPr>
              <w:t>8)</w:t>
            </w:r>
          </w:p>
        </w:tc>
        <w:tc>
          <w:tcPr>
            <w:tcW w:w="883" w:type="dxa"/>
            <w:tcBorders>
              <w:top w:val="single" w:sz="12" w:space="0" w:color="000000"/>
              <w:bottom w:val="single" w:sz="18" w:space="0" w:color="000000"/>
            </w:tcBorders>
          </w:tcPr>
          <w:p>
            <w:pPr>
              <w:pStyle w:val="TableParagraph"/>
              <w:spacing w:line="174" w:lineRule="exact" w:before="9"/>
              <w:ind w:left="182"/>
              <w:rPr>
                <w:sz w:val="17"/>
              </w:rPr>
            </w:pPr>
            <w:r>
              <w:rPr>
                <w:color w:val="3B3B3B"/>
                <w:w w:val="110"/>
                <w:sz w:val="17"/>
              </w:rPr>
              <w:t>(</w:t>
            </w:r>
            <w:r>
              <w:rPr>
                <w:color w:val="161616"/>
                <w:w w:val="110"/>
                <w:sz w:val="17"/>
              </w:rPr>
              <w:t>1</w:t>
            </w:r>
            <w:r>
              <w:rPr>
                <w:color w:val="3B3B3B"/>
                <w:w w:val="110"/>
                <w:sz w:val="17"/>
              </w:rPr>
              <w:t>,56</w:t>
            </w:r>
            <w:r>
              <w:rPr>
                <w:color w:val="161616"/>
                <w:w w:val="110"/>
                <w:sz w:val="17"/>
              </w:rPr>
              <w:t>9</w:t>
            </w:r>
            <w:r>
              <w:rPr>
                <w:color w:val="3B3B3B"/>
                <w:w w:val="110"/>
                <w:sz w:val="17"/>
              </w:rPr>
              <w:t>)</w:t>
            </w:r>
          </w:p>
        </w:tc>
        <w:tc>
          <w:tcPr>
            <w:tcW w:w="870" w:type="dxa"/>
            <w:tcBorders>
              <w:top w:val="single" w:sz="12" w:space="0" w:color="000000"/>
              <w:bottom w:val="single" w:sz="18" w:space="0" w:color="000000"/>
            </w:tcBorders>
          </w:tcPr>
          <w:p>
            <w:pPr>
              <w:pStyle w:val="TableParagraph"/>
              <w:spacing w:line="174" w:lineRule="exact" w:before="9"/>
              <w:ind w:right="202"/>
              <w:jc w:val="right"/>
              <w:rPr>
                <w:sz w:val="17"/>
              </w:rPr>
            </w:pPr>
            <w:r>
              <w:rPr>
                <w:color w:val="3B3B3B"/>
                <w:w w:val="105"/>
                <w:sz w:val="17"/>
              </w:rPr>
              <w:t>4,062</w:t>
            </w:r>
          </w:p>
        </w:tc>
        <w:tc>
          <w:tcPr>
            <w:tcW w:w="878" w:type="dxa"/>
            <w:tcBorders>
              <w:top w:val="single" w:sz="12" w:space="0" w:color="000000"/>
              <w:bottom w:val="single" w:sz="18" w:space="0" w:color="000000"/>
            </w:tcBorders>
          </w:tcPr>
          <w:p>
            <w:pPr>
              <w:pStyle w:val="TableParagraph"/>
              <w:spacing w:line="174" w:lineRule="exact" w:before="9"/>
              <w:ind w:right="205"/>
              <w:jc w:val="right"/>
              <w:rPr>
                <w:sz w:val="17"/>
              </w:rPr>
            </w:pPr>
            <w:r>
              <w:rPr>
                <w:color w:val="2A2A2A"/>
                <w:w w:val="105"/>
                <w:sz w:val="17"/>
              </w:rPr>
              <w:t>2,467</w:t>
            </w:r>
          </w:p>
        </w:tc>
        <w:tc>
          <w:tcPr>
            <w:tcW w:w="704" w:type="dxa"/>
            <w:tcBorders>
              <w:top w:val="single" w:sz="12" w:space="0" w:color="000000"/>
              <w:bottom w:val="single" w:sz="18" w:space="0" w:color="000000"/>
            </w:tcBorders>
          </w:tcPr>
          <w:p>
            <w:pPr>
              <w:pStyle w:val="TableParagraph"/>
              <w:spacing w:line="174" w:lineRule="exact" w:before="9"/>
              <w:ind w:right="34"/>
              <w:jc w:val="right"/>
              <w:rPr>
                <w:sz w:val="17"/>
              </w:rPr>
            </w:pPr>
            <w:r>
              <w:rPr>
                <w:color w:val="3B3B3B"/>
                <w:w w:val="105"/>
                <w:sz w:val="17"/>
              </w:rPr>
              <w:t>3,432</w:t>
            </w:r>
          </w:p>
        </w:tc>
      </w:tr>
    </w:tbl>
    <w:p>
      <w:pPr>
        <w:pStyle w:val="BodyText"/>
        <w:spacing w:before="11"/>
        <w:rPr>
          <w:rFonts w:ascii="Times New Roman"/>
          <w:b/>
          <w:sz w:val="17"/>
        </w:rPr>
      </w:pPr>
    </w:p>
    <w:p>
      <w:pPr>
        <w:spacing w:line="271" w:lineRule="auto" w:before="0"/>
        <w:ind w:left="851" w:right="1525" w:hanging="2"/>
        <w:jc w:val="left"/>
        <w:rPr>
          <w:rFonts w:ascii="Times New Roman"/>
          <w:sz w:val="17"/>
        </w:rPr>
      </w:pPr>
      <w:r>
        <w:rPr/>
        <w:pict>
          <v:line style="position:absolute;mso-position-horizontal-relative:page;mso-position-vertical-relative:paragraph;z-index:252149760" from="485.827179pt,200.381505pt" to="485.827179pt,153.713394pt" stroked="true" strokeweight=".962987pt" strokecolor="#000000">
            <v:stroke dashstyle="solid"/>
            <w10:wrap type="none"/>
          </v:line>
        </w:pict>
      </w:r>
      <w:r>
        <w:rPr>
          <w:rFonts w:ascii="Times New Roman"/>
          <w:color w:val="3B3B3B"/>
          <w:w w:val="105"/>
          <w:sz w:val="17"/>
        </w:rPr>
        <w:t>Note:</w:t>
      </w:r>
      <w:r>
        <w:rPr>
          <w:rFonts w:ascii="Times New Roman"/>
          <w:color w:val="3B3B3B"/>
          <w:spacing w:val="-29"/>
          <w:w w:val="105"/>
          <w:sz w:val="17"/>
        </w:rPr>
        <w:t> </w:t>
      </w:r>
      <w:r>
        <w:rPr>
          <w:rFonts w:ascii="Times New Roman"/>
          <w:color w:val="3B3B3B"/>
          <w:w w:val="105"/>
          <w:sz w:val="17"/>
        </w:rPr>
        <w:t>The</w:t>
      </w:r>
      <w:r>
        <w:rPr>
          <w:rFonts w:ascii="Times New Roman"/>
          <w:color w:val="3B3B3B"/>
          <w:spacing w:val="-7"/>
          <w:w w:val="105"/>
          <w:sz w:val="17"/>
        </w:rPr>
        <w:t> </w:t>
      </w:r>
      <w:r>
        <w:rPr>
          <w:rFonts w:ascii="Times New Roman"/>
          <w:color w:val="2A2A2A"/>
          <w:w w:val="105"/>
          <w:sz w:val="17"/>
        </w:rPr>
        <w:t>classification</w:t>
      </w:r>
      <w:r>
        <w:rPr>
          <w:rFonts w:ascii="Times New Roman"/>
          <w:color w:val="2A2A2A"/>
          <w:spacing w:val="-18"/>
          <w:w w:val="105"/>
          <w:sz w:val="17"/>
        </w:rPr>
        <w:t> </w:t>
      </w:r>
      <w:r>
        <w:rPr>
          <w:rFonts w:ascii="Times New Roman"/>
          <w:color w:val="3B3B3B"/>
          <w:w w:val="105"/>
          <w:sz w:val="17"/>
        </w:rPr>
        <w:t>of expenditure</w:t>
      </w:r>
      <w:r>
        <w:rPr>
          <w:rFonts w:ascii="Times New Roman"/>
          <w:color w:val="3B3B3B"/>
          <w:spacing w:val="-11"/>
          <w:w w:val="105"/>
          <w:sz w:val="17"/>
        </w:rPr>
        <w:t> </w:t>
      </w:r>
      <w:r>
        <w:rPr>
          <w:rFonts w:ascii="Times New Roman"/>
          <w:color w:val="2A2A2A"/>
          <w:w w:val="105"/>
          <w:sz w:val="17"/>
        </w:rPr>
        <w:t>has</w:t>
      </w:r>
      <w:r>
        <w:rPr>
          <w:rFonts w:ascii="Times New Roman"/>
          <w:color w:val="2A2A2A"/>
          <w:spacing w:val="-9"/>
          <w:w w:val="105"/>
          <w:sz w:val="17"/>
        </w:rPr>
        <w:t> </w:t>
      </w:r>
      <w:r>
        <w:rPr>
          <w:rFonts w:ascii="Times New Roman"/>
          <w:color w:val="3B3B3B"/>
          <w:w w:val="105"/>
          <w:sz w:val="17"/>
        </w:rPr>
        <w:t>changed</w:t>
      </w:r>
      <w:r>
        <w:rPr>
          <w:rFonts w:ascii="Times New Roman"/>
          <w:color w:val="3B3B3B"/>
          <w:spacing w:val="-15"/>
          <w:w w:val="105"/>
          <w:sz w:val="17"/>
        </w:rPr>
        <w:t> </w:t>
      </w:r>
      <w:r>
        <w:rPr>
          <w:rFonts w:ascii="Times New Roman"/>
          <w:color w:val="3B3B3B"/>
          <w:w w:val="105"/>
          <w:sz w:val="17"/>
        </w:rPr>
        <w:t>significantly</w:t>
      </w:r>
      <w:r>
        <w:rPr>
          <w:rFonts w:ascii="Times New Roman"/>
          <w:color w:val="3B3B3B"/>
          <w:spacing w:val="-10"/>
          <w:w w:val="105"/>
          <w:sz w:val="17"/>
        </w:rPr>
        <w:t> </w:t>
      </w:r>
      <w:r>
        <w:rPr>
          <w:rFonts w:ascii="Times New Roman"/>
          <w:color w:val="3B3B3B"/>
          <w:w w:val="105"/>
          <w:sz w:val="17"/>
        </w:rPr>
        <w:t>for</w:t>
      </w:r>
      <w:r>
        <w:rPr>
          <w:rFonts w:ascii="Times New Roman"/>
          <w:color w:val="3B3B3B"/>
          <w:spacing w:val="-2"/>
          <w:w w:val="105"/>
          <w:sz w:val="17"/>
        </w:rPr>
        <w:t> </w:t>
      </w:r>
      <w:r>
        <w:rPr>
          <w:rFonts w:ascii="Times New Roman"/>
          <w:color w:val="3B3B3B"/>
          <w:w w:val="105"/>
          <w:sz w:val="17"/>
        </w:rPr>
        <w:t>the</w:t>
      </w:r>
      <w:r>
        <w:rPr>
          <w:rFonts w:ascii="Times New Roman"/>
          <w:color w:val="3B3B3B"/>
          <w:spacing w:val="10"/>
          <w:w w:val="105"/>
          <w:sz w:val="17"/>
        </w:rPr>
        <w:t> </w:t>
      </w:r>
      <w:r>
        <w:rPr>
          <w:rFonts w:ascii="Times New Roman"/>
          <w:color w:val="3B3B3B"/>
          <w:w w:val="105"/>
          <w:sz w:val="17"/>
        </w:rPr>
        <w:t>2005</w:t>
      </w:r>
      <w:r>
        <w:rPr>
          <w:rFonts w:ascii="Times New Roman"/>
          <w:color w:val="3B3B3B"/>
          <w:spacing w:val="-14"/>
          <w:w w:val="105"/>
          <w:sz w:val="17"/>
        </w:rPr>
        <w:t> </w:t>
      </w:r>
      <w:r>
        <w:rPr>
          <w:rFonts w:ascii="Times New Roman"/>
          <w:color w:val="3B3B3B"/>
          <w:w w:val="105"/>
          <w:sz w:val="17"/>
        </w:rPr>
        <w:t>SORP.</w:t>
      </w:r>
      <w:r>
        <w:rPr>
          <w:rFonts w:ascii="Times New Roman"/>
          <w:color w:val="3B3B3B"/>
          <w:spacing w:val="-25"/>
          <w:w w:val="105"/>
          <w:sz w:val="17"/>
        </w:rPr>
        <w:t> </w:t>
      </w:r>
      <w:r>
        <w:rPr>
          <w:rFonts w:ascii="Times New Roman"/>
          <w:color w:val="3B3B3B"/>
          <w:w w:val="105"/>
          <w:sz w:val="17"/>
        </w:rPr>
        <w:t>For</w:t>
      </w:r>
      <w:r>
        <w:rPr>
          <w:rFonts w:ascii="Times New Roman"/>
          <w:color w:val="3B3B3B"/>
          <w:spacing w:val="-24"/>
          <w:w w:val="105"/>
          <w:sz w:val="17"/>
        </w:rPr>
        <w:t> </w:t>
      </w:r>
      <w:r>
        <w:rPr>
          <w:rFonts w:ascii="Times New Roman"/>
          <w:color w:val="3B3B3B"/>
          <w:w w:val="105"/>
          <w:sz w:val="17"/>
        </w:rPr>
        <w:t>t</w:t>
      </w:r>
      <w:r>
        <w:rPr>
          <w:rFonts w:ascii="Times New Roman"/>
          <w:color w:val="161616"/>
          <w:w w:val="105"/>
          <w:sz w:val="17"/>
        </w:rPr>
        <w:t>h</w:t>
      </w:r>
      <w:r>
        <w:rPr>
          <w:rFonts w:ascii="Times New Roman"/>
          <w:color w:val="3B3B3B"/>
          <w:w w:val="105"/>
          <w:sz w:val="17"/>
        </w:rPr>
        <w:t>is</w:t>
      </w:r>
      <w:r>
        <w:rPr>
          <w:rFonts w:ascii="Times New Roman"/>
          <w:color w:val="3B3B3B"/>
          <w:spacing w:val="-13"/>
          <w:w w:val="105"/>
          <w:sz w:val="17"/>
        </w:rPr>
        <w:t> </w:t>
      </w:r>
      <w:r>
        <w:rPr>
          <w:rFonts w:ascii="Times New Roman"/>
          <w:color w:val="3B3B3B"/>
          <w:spacing w:val="-7"/>
          <w:w w:val="105"/>
          <w:sz w:val="17"/>
        </w:rPr>
        <w:t>Summary</w:t>
      </w:r>
      <w:r>
        <w:rPr>
          <w:rFonts w:ascii="Times New Roman"/>
          <w:color w:val="5B5B5B"/>
          <w:spacing w:val="-7"/>
          <w:w w:val="105"/>
          <w:sz w:val="17"/>
        </w:rPr>
        <w:t>, </w:t>
      </w:r>
      <w:r>
        <w:rPr>
          <w:rFonts w:ascii="Times New Roman"/>
          <w:color w:val="3B3B3B"/>
          <w:w w:val="105"/>
          <w:sz w:val="17"/>
        </w:rPr>
        <w:t>expenditure</w:t>
      </w:r>
      <w:r>
        <w:rPr>
          <w:rFonts w:ascii="Times New Roman"/>
          <w:color w:val="3B3B3B"/>
          <w:spacing w:val="-15"/>
          <w:w w:val="105"/>
          <w:sz w:val="17"/>
        </w:rPr>
        <w:t> </w:t>
      </w:r>
      <w:r>
        <w:rPr>
          <w:rFonts w:ascii="Times New Roman"/>
          <w:color w:val="3B3B3B"/>
          <w:w w:val="105"/>
          <w:sz w:val="17"/>
        </w:rPr>
        <w:t>figures</w:t>
      </w:r>
      <w:r>
        <w:rPr>
          <w:rFonts w:ascii="Times New Roman"/>
          <w:color w:val="3B3B3B"/>
          <w:spacing w:val="-8"/>
          <w:w w:val="105"/>
          <w:sz w:val="17"/>
        </w:rPr>
        <w:t> </w:t>
      </w:r>
      <w:r>
        <w:rPr>
          <w:rFonts w:ascii="Times New Roman"/>
          <w:color w:val="2A2A2A"/>
          <w:w w:val="105"/>
          <w:sz w:val="17"/>
        </w:rPr>
        <w:t>have</w:t>
      </w:r>
      <w:r>
        <w:rPr>
          <w:rFonts w:ascii="Times New Roman"/>
          <w:color w:val="2A2A2A"/>
          <w:spacing w:val="-8"/>
          <w:w w:val="105"/>
          <w:sz w:val="17"/>
        </w:rPr>
        <w:t> </w:t>
      </w:r>
      <w:r>
        <w:rPr>
          <w:rFonts w:ascii="Times New Roman"/>
          <w:color w:val="3B3B3B"/>
          <w:w w:val="105"/>
          <w:sz w:val="17"/>
        </w:rPr>
        <w:t>been</w:t>
      </w:r>
      <w:r>
        <w:rPr>
          <w:rFonts w:ascii="Times New Roman"/>
          <w:color w:val="3B3B3B"/>
          <w:spacing w:val="-4"/>
          <w:w w:val="105"/>
          <w:sz w:val="17"/>
        </w:rPr>
        <w:t> </w:t>
      </w:r>
      <w:r>
        <w:rPr>
          <w:rFonts w:ascii="Times New Roman"/>
          <w:color w:val="3B3B3B"/>
          <w:w w:val="105"/>
          <w:sz w:val="17"/>
        </w:rPr>
        <w:t>restated</w:t>
      </w:r>
      <w:r>
        <w:rPr>
          <w:rFonts w:ascii="Times New Roman"/>
          <w:color w:val="3B3B3B"/>
          <w:spacing w:val="-4"/>
          <w:w w:val="105"/>
          <w:sz w:val="17"/>
        </w:rPr>
        <w:t> </w:t>
      </w:r>
      <w:r>
        <w:rPr>
          <w:rFonts w:ascii="Times New Roman"/>
          <w:color w:val="3B3B3B"/>
          <w:w w:val="105"/>
          <w:sz w:val="17"/>
        </w:rPr>
        <w:t>as</w:t>
      </w:r>
      <w:r>
        <w:rPr>
          <w:rFonts w:ascii="Times New Roman"/>
          <w:color w:val="3B3B3B"/>
          <w:spacing w:val="-18"/>
          <w:w w:val="105"/>
          <w:sz w:val="17"/>
        </w:rPr>
        <w:t> </w:t>
      </w:r>
      <w:r>
        <w:rPr>
          <w:rFonts w:ascii="Times New Roman"/>
          <w:color w:val="3B3B3B"/>
          <w:w w:val="105"/>
          <w:sz w:val="17"/>
        </w:rPr>
        <w:t>far</w:t>
      </w:r>
      <w:r>
        <w:rPr>
          <w:rFonts w:ascii="Times New Roman"/>
          <w:color w:val="3B3B3B"/>
          <w:spacing w:val="-11"/>
          <w:w w:val="105"/>
          <w:sz w:val="17"/>
        </w:rPr>
        <w:t> </w:t>
      </w:r>
      <w:r>
        <w:rPr>
          <w:rFonts w:ascii="Times New Roman"/>
          <w:color w:val="3B3B3B"/>
          <w:w w:val="105"/>
          <w:sz w:val="17"/>
        </w:rPr>
        <w:t>as</w:t>
      </w:r>
      <w:r>
        <w:rPr>
          <w:rFonts w:ascii="Times New Roman"/>
          <w:color w:val="3B3B3B"/>
          <w:spacing w:val="-16"/>
          <w:w w:val="105"/>
          <w:sz w:val="17"/>
        </w:rPr>
        <w:t> </w:t>
      </w:r>
      <w:r>
        <w:rPr>
          <w:rFonts w:ascii="Times New Roman"/>
          <w:color w:val="3B3B3B"/>
          <w:w w:val="105"/>
          <w:sz w:val="17"/>
        </w:rPr>
        <w:t>is</w:t>
      </w:r>
      <w:r>
        <w:rPr>
          <w:rFonts w:ascii="Times New Roman"/>
          <w:color w:val="3B3B3B"/>
          <w:spacing w:val="-10"/>
          <w:w w:val="105"/>
          <w:sz w:val="17"/>
        </w:rPr>
        <w:t> </w:t>
      </w:r>
      <w:r>
        <w:rPr>
          <w:rFonts w:ascii="Times New Roman"/>
          <w:color w:val="2A2A2A"/>
          <w:w w:val="105"/>
          <w:sz w:val="17"/>
        </w:rPr>
        <w:t>practicable</w:t>
      </w:r>
      <w:r>
        <w:rPr>
          <w:rFonts w:ascii="Times New Roman"/>
          <w:color w:val="2A2A2A"/>
          <w:spacing w:val="2"/>
          <w:w w:val="105"/>
          <w:sz w:val="17"/>
        </w:rPr>
        <w:t> </w:t>
      </w:r>
      <w:r>
        <w:rPr>
          <w:rFonts w:ascii="Times New Roman"/>
          <w:color w:val="3B3B3B"/>
          <w:w w:val="105"/>
          <w:sz w:val="17"/>
        </w:rPr>
        <w:t>to</w:t>
      </w:r>
      <w:r>
        <w:rPr>
          <w:rFonts w:ascii="Times New Roman"/>
          <w:color w:val="3B3B3B"/>
          <w:spacing w:val="-9"/>
          <w:w w:val="105"/>
          <w:sz w:val="17"/>
        </w:rPr>
        <w:t> </w:t>
      </w:r>
      <w:r>
        <w:rPr>
          <w:rFonts w:ascii="Times New Roman"/>
          <w:color w:val="3B3B3B"/>
          <w:w w:val="105"/>
          <w:sz w:val="17"/>
        </w:rPr>
        <w:t>give</w:t>
      </w:r>
      <w:r>
        <w:rPr>
          <w:rFonts w:ascii="Times New Roman"/>
          <w:color w:val="3B3B3B"/>
          <w:spacing w:val="-14"/>
          <w:w w:val="105"/>
          <w:sz w:val="17"/>
        </w:rPr>
        <w:t> </w:t>
      </w:r>
      <w:r>
        <w:rPr>
          <w:rFonts w:ascii="Times New Roman"/>
          <w:color w:val="3B3B3B"/>
          <w:w w:val="105"/>
          <w:sz w:val="17"/>
        </w:rPr>
        <w:t>a</w:t>
      </w:r>
      <w:r>
        <w:rPr>
          <w:rFonts w:ascii="Times New Roman"/>
          <w:color w:val="3B3B3B"/>
          <w:spacing w:val="-17"/>
          <w:w w:val="105"/>
          <w:sz w:val="17"/>
        </w:rPr>
        <w:t> </w:t>
      </w:r>
      <w:r>
        <w:rPr>
          <w:rFonts w:ascii="Times New Roman"/>
          <w:color w:val="3B3B3B"/>
          <w:w w:val="105"/>
          <w:sz w:val="17"/>
        </w:rPr>
        <w:t>meaningful </w:t>
      </w:r>
      <w:r>
        <w:rPr>
          <w:rFonts w:ascii="Times New Roman"/>
          <w:color w:val="3B3B3B"/>
          <w:spacing w:val="-5"/>
          <w:w w:val="105"/>
          <w:sz w:val="17"/>
        </w:rPr>
        <w:t>compariso</w:t>
      </w:r>
      <w:r>
        <w:rPr>
          <w:rFonts w:ascii="Times New Roman"/>
          <w:color w:val="161616"/>
          <w:spacing w:val="-5"/>
          <w:w w:val="105"/>
          <w:sz w:val="17"/>
        </w:rPr>
        <w:t>n.</w:t>
      </w:r>
    </w:p>
    <w:p>
      <w:pPr>
        <w:pStyle w:val="BodyText"/>
        <w:spacing w:before="10" w:after="1"/>
        <w:rPr>
          <w:rFonts w:ascii="Times New Roman"/>
          <w:sz w:val="19"/>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1"/>
        <w:gridCol w:w="1080"/>
        <w:gridCol w:w="846"/>
        <w:gridCol w:w="899"/>
        <w:gridCol w:w="854"/>
        <w:gridCol w:w="711"/>
      </w:tblGrid>
      <w:tr>
        <w:trPr>
          <w:trHeight w:val="300" w:hRule="atLeast"/>
        </w:trPr>
        <w:tc>
          <w:tcPr>
            <w:tcW w:w="4031" w:type="dxa"/>
          </w:tcPr>
          <w:p>
            <w:pPr>
              <w:pStyle w:val="TableParagraph"/>
              <w:spacing w:line="189" w:lineRule="exact"/>
              <w:ind w:left="56"/>
              <w:rPr>
                <w:b/>
                <w:sz w:val="17"/>
              </w:rPr>
            </w:pPr>
            <w:r>
              <w:rPr>
                <w:b/>
                <w:color w:val="2A2A2A"/>
                <w:w w:val="105"/>
                <w:sz w:val="17"/>
              </w:rPr>
              <w:t>CASH FLOW STATEMENTS</w:t>
            </w:r>
          </w:p>
        </w:tc>
        <w:tc>
          <w:tcPr>
            <w:tcW w:w="4390" w:type="dxa"/>
            <w:gridSpan w:val="5"/>
            <w:vMerge w:val="restart"/>
            <w:tcBorders>
              <w:bottom w:val="single" w:sz="12" w:space="0" w:color="000000"/>
            </w:tcBorders>
          </w:tcPr>
          <w:p>
            <w:pPr>
              <w:pStyle w:val="TableParagraph"/>
              <w:rPr>
                <w:sz w:val="16"/>
              </w:rPr>
            </w:pPr>
          </w:p>
        </w:tc>
      </w:tr>
      <w:tr>
        <w:trPr>
          <w:trHeight w:val="316" w:hRule="atLeast"/>
        </w:trPr>
        <w:tc>
          <w:tcPr>
            <w:tcW w:w="4031" w:type="dxa"/>
          </w:tcPr>
          <w:p>
            <w:pPr>
              <w:pStyle w:val="TableParagraph"/>
              <w:spacing w:line="191" w:lineRule="exact" w:before="105"/>
              <w:ind w:left="56"/>
              <w:rPr>
                <w:sz w:val="17"/>
              </w:rPr>
            </w:pPr>
            <w:r>
              <w:rPr>
                <w:b/>
                <w:color w:val="2A2A2A"/>
                <w:w w:val="105"/>
                <w:sz w:val="17"/>
              </w:rPr>
              <w:t>Cash </w:t>
            </w:r>
            <w:r>
              <w:rPr>
                <w:b/>
                <w:w w:val="105"/>
                <w:sz w:val="17"/>
              </w:rPr>
              <w:t>required </w:t>
            </w:r>
            <w:r>
              <w:rPr>
                <w:b/>
                <w:color w:val="161616"/>
                <w:w w:val="105"/>
                <w:sz w:val="17"/>
              </w:rPr>
              <w:t>for investment </w:t>
            </w:r>
            <w:r>
              <w:rPr>
                <w:color w:val="161616"/>
                <w:w w:val="105"/>
                <w:sz w:val="17"/>
              </w:rPr>
              <w:t>in</w:t>
            </w:r>
          </w:p>
        </w:tc>
        <w:tc>
          <w:tcPr>
            <w:tcW w:w="4390" w:type="dxa"/>
            <w:gridSpan w:val="5"/>
            <w:vMerge/>
            <w:tcBorders>
              <w:top w:val="nil"/>
              <w:bottom w:val="single" w:sz="12" w:space="0" w:color="000000"/>
            </w:tcBorders>
          </w:tcPr>
          <w:p>
            <w:pPr>
              <w:rPr>
                <w:sz w:val="2"/>
                <w:szCs w:val="2"/>
              </w:rPr>
            </w:pPr>
          </w:p>
        </w:tc>
      </w:tr>
      <w:tr>
        <w:trPr>
          <w:trHeight w:val="187" w:hRule="atLeast"/>
        </w:trPr>
        <w:tc>
          <w:tcPr>
            <w:tcW w:w="4031" w:type="dxa"/>
            <w:tcBorders>
              <w:right w:val="single" w:sz="12" w:space="0" w:color="000000"/>
            </w:tcBorders>
          </w:tcPr>
          <w:p>
            <w:pPr>
              <w:pStyle w:val="TableParagraph"/>
              <w:spacing w:line="167" w:lineRule="exact"/>
              <w:ind w:left="50"/>
              <w:rPr>
                <w:sz w:val="17"/>
              </w:rPr>
            </w:pPr>
            <w:r>
              <w:rPr>
                <w:color w:val="2A2A2A"/>
                <w:w w:val="105"/>
                <w:sz w:val="17"/>
              </w:rPr>
              <w:t>Houses </w:t>
            </w:r>
            <w:r>
              <w:rPr>
                <w:color w:val="3B3B3B"/>
                <w:w w:val="105"/>
                <w:sz w:val="17"/>
              </w:rPr>
              <w:t>for retired ministers</w:t>
            </w:r>
          </w:p>
        </w:tc>
        <w:tc>
          <w:tcPr>
            <w:tcW w:w="1080" w:type="dxa"/>
            <w:tcBorders>
              <w:top w:val="single" w:sz="12" w:space="0" w:color="000000"/>
              <w:left w:val="single" w:sz="12" w:space="0" w:color="000000"/>
            </w:tcBorders>
          </w:tcPr>
          <w:p>
            <w:pPr>
              <w:pStyle w:val="TableParagraph"/>
              <w:spacing w:line="167" w:lineRule="exact"/>
              <w:ind w:right="252"/>
              <w:jc w:val="right"/>
              <w:rPr>
                <w:sz w:val="17"/>
              </w:rPr>
            </w:pPr>
            <w:r>
              <w:rPr>
                <w:color w:val="2A2A2A"/>
                <w:w w:val="110"/>
                <w:sz w:val="17"/>
              </w:rPr>
              <w:t>1,325</w:t>
            </w:r>
          </w:p>
        </w:tc>
        <w:tc>
          <w:tcPr>
            <w:tcW w:w="846" w:type="dxa"/>
            <w:tcBorders>
              <w:top w:val="single" w:sz="12" w:space="0" w:color="000000"/>
            </w:tcBorders>
          </w:tcPr>
          <w:p>
            <w:pPr>
              <w:pStyle w:val="TableParagraph"/>
              <w:spacing w:line="167" w:lineRule="exact"/>
              <w:ind w:right="226"/>
              <w:jc w:val="right"/>
              <w:rPr>
                <w:sz w:val="17"/>
              </w:rPr>
            </w:pPr>
            <w:r>
              <w:rPr>
                <w:color w:val="3B3B3B"/>
                <w:w w:val="110"/>
                <w:sz w:val="17"/>
              </w:rPr>
              <w:t>1</w:t>
            </w:r>
            <w:r>
              <w:rPr>
                <w:color w:val="5B5B5B"/>
                <w:w w:val="110"/>
                <w:sz w:val="17"/>
              </w:rPr>
              <w:t>,</w:t>
            </w:r>
            <w:r>
              <w:rPr>
                <w:color w:val="3B3B3B"/>
                <w:w w:val="110"/>
                <w:sz w:val="17"/>
              </w:rPr>
              <w:t>551</w:t>
            </w:r>
          </w:p>
        </w:tc>
        <w:tc>
          <w:tcPr>
            <w:tcW w:w="899" w:type="dxa"/>
            <w:tcBorders>
              <w:top w:val="single" w:sz="12" w:space="0" w:color="000000"/>
            </w:tcBorders>
          </w:tcPr>
          <w:p>
            <w:pPr>
              <w:pStyle w:val="TableParagraph"/>
              <w:spacing w:line="167" w:lineRule="exact"/>
              <w:ind w:right="247"/>
              <w:jc w:val="right"/>
              <w:rPr>
                <w:sz w:val="17"/>
              </w:rPr>
            </w:pPr>
            <w:r>
              <w:rPr>
                <w:color w:val="3B3B3B"/>
                <w:w w:val="110"/>
                <w:sz w:val="17"/>
              </w:rPr>
              <w:t>908</w:t>
            </w:r>
          </w:p>
        </w:tc>
        <w:tc>
          <w:tcPr>
            <w:tcW w:w="854" w:type="dxa"/>
            <w:tcBorders>
              <w:top w:val="single" w:sz="12" w:space="0" w:color="000000"/>
            </w:tcBorders>
          </w:tcPr>
          <w:p>
            <w:pPr>
              <w:pStyle w:val="TableParagraph"/>
              <w:spacing w:line="167" w:lineRule="exact"/>
              <w:ind w:left="217"/>
              <w:rPr>
                <w:sz w:val="17"/>
              </w:rPr>
            </w:pPr>
            <w:r>
              <w:rPr>
                <w:color w:val="2A2A2A"/>
                <w:w w:val="110"/>
                <w:sz w:val="17"/>
              </w:rPr>
              <w:t>1</w:t>
            </w:r>
            <w:r>
              <w:rPr>
                <w:color w:val="5B5B5B"/>
                <w:w w:val="110"/>
                <w:sz w:val="17"/>
              </w:rPr>
              <w:t>,</w:t>
            </w:r>
            <w:r>
              <w:rPr>
                <w:color w:val="3B3B3B"/>
                <w:w w:val="110"/>
                <w:sz w:val="17"/>
              </w:rPr>
              <w:t>707</w:t>
            </w:r>
          </w:p>
        </w:tc>
        <w:tc>
          <w:tcPr>
            <w:tcW w:w="711" w:type="dxa"/>
            <w:tcBorders>
              <w:top w:val="single" w:sz="12" w:space="0" w:color="000000"/>
              <w:right w:val="single" w:sz="8" w:space="0" w:color="000000"/>
            </w:tcBorders>
          </w:tcPr>
          <w:p>
            <w:pPr>
              <w:pStyle w:val="TableParagraph"/>
              <w:spacing w:line="167" w:lineRule="exact"/>
              <w:ind w:right="-15"/>
              <w:jc w:val="right"/>
              <w:rPr>
                <w:sz w:val="17"/>
              </w:rPr>
            </w:pPr>
            <w:r>
              <w:rPr>
                <w:color w:val="3B3B3B"/>
                <w:w w:val="110"/>
                <w:sz w:val="17"/>
              </w:rPr>
              <w:t>(7)</w:t>
            </w:r>
          </w:p>
        </w:tc>
      </w:tr>
      <w:tr>
        <w:trPr>
          <w:trHeight w:val="210" w:hRule="atLeast"/>
        </w:trPr>
        <w:tc>
          <w:tcPr>
            <w:tcW w:w="4031" w:type="dxa"/>
            <w:tcBorders>
              <w:right w:val="single" w:sz="12" w:space="0" w:color="000000"/>
            </w:tcBorders>
          </w:tcPr>
          <w:p>
            <w:pPr>
              <w:pStyle w:val="TableParagraph"/>
              <w:spacing w:line="176" w:lineRule="exact" w:before="14"/>
              <w:ind w:left="57"/>
              <w:rPr>
                <w:sz w:val="17"/>
              </w:rPr>
            </w:pPr>
            <w:r>
              <w:rPr>
                <w:color w:val="2A2A2A"/>
                <w:w w:val="105"/>
                <w:sz w:val="17"/>
              </w:rPr>
              <w:t>Other properties</w:t>
            </w:r>
          </w:p>
        </w:tc>
        <w:tc>
          <w:tcPr>
            <w:tcW w:w="1080" w:type="dxa"/>
            <w:tcBorders>
              <w:left w:val="single" w:sz="12" w:space="0" w:color="000000"/>
            </w:tcBorders>
          </w:tcPr>
          <w:p>
            <w:pPr>
              <w:pStyle w:val="TableParagraph"/>
              <w:spacing w:line="186" w:lineRule="exact" w:before="4"/>
              <w:ind w:right="199"/>
              <w:jc w:val="right"/>
              <w:rPr>
                <w:sz w:val="17"/>
              </w:rPr>
            </w:pPr>
            <w:r>
              <w:rPr>
                <w:color w:val="3B3B3B"/>
                <w:w w:val="110"/>
                <w:sz w:val="17"/>
              </w:rPr>
              <w:t>(482)</w:t>
            </w:r>
          </w:p>
        </w:tc>
        <w:tc>
          <w:tcPr>
            <w:tcW w:w="846" w:type="dxa"/>
          </w:tcPr>
          <w:p>
            <w:pPr>
              <w:pStyle w:val="TableParagraph"/>
              <w:spacing w:line="176" w:lineRule="exact" w:before="14"/>
              <w:ind w:right="227"/>
              <w:jc w:val="right"/>
              <w:rPr>
                <w:sz w:val="17"/>
              </w:rPr>
            </w:pPr>
            <w:r>
              <w:rPr>
                <w:color w:val="3B3B3B"/>
                <w:w w:val="112"/>
                <w:sz w:val="17"/>
              </w:rPr>
              <w:t>3</w:t>
            </w:r>
          </w:p>
        </w:tc>
        <w:tc>
          <w:tcPr>
            <w:tcW w:w="899" w:type="dxa"/>
          </w:tcPr>
          <w:p>
            <w:pPr>
              <w:pStyle w:val="TableParagraph"/>
              <w:spacing w:line="186" w:lineRule="exact" w:before="4"/>
              <w:ind w:right="191"/>
              <w:jc w:val="right"/>
              <w:rPr>
                <w:sz w:val="17"/>
              </w:rPr>
            </w:pPr>
            <w:r>
              <w:rPr>
                <w:color w:val="3B3B3B"/>
                <w:w w:val="110"/>
                <w:sz w:val="17"/>
              </w:rPr>
              <w:t>(56)</w:t>
            </w:r>
          </w:p>
        </w:tc>
        <w:tc>
          <w:tcPr>
            <w:tcW w:w="854" w:type="dxa"/>
          </w:tcPr>
          <w:p>
            <w:pPr>
              <w:pStyle w:val="TableParagraph"/>
              <w:spacing w:line="176" w:lineRule="exact" w:before="14"/>
              <w:ind w:right="227"/>
              <w:jc w:val="right"/>
              <w:rPr>
                <w:sz w:val="17"/>
              </w:rPr>
            </w:pPr>
            <w:r>
              <w:rPr>
                <w:color w:val="3B3B3B"/>
                <w:w w:val="112"/>
                <w:sz w:val="17"/>
              </w:rPr>
              <w:t>7</w:t>
            </w:r>
          </w:p>
        </w:tc>
        <w:tc>
          <w:tcPr>
            <w:tcW w:w="711" w:type="dxa"/>
            <w:tcBorders>
              <w:right w:val="single" w:sz="8" w:space="0" w:color="000000"/>
            </w:tcBorders>
          </w:tcPr>
          <w:p>
            <w:pPr>
              <w:pStyle w:val="TableParagraph"/>
              <w:spacing w:line="186" w:lineRule="exact" w:before="4"/>
              <w:ind w:right="-15"/>
              <w:jc w:val="right"/>
              <w:rPr>
                <w:sz w:val="17"/>
              </w:rPr>
            </w:pPr>
            <w:r>
              <w:rPr>
                <w:color w:val="3B3B3B"/>
                <w:w w:val="105"/>
                <w:sz w:val="17"/>
              </w:rPr>
              <w:t>(1,175)</w:t>
            </w:r>
          </w:p>
        </w:tc>
      </w:tr>
      <w:tr>
        <w:trPr>
          <w:trHeight w:val="242" w:hRule="atLeast"/>
        </w:trPr>
        <w:tc>
          <w:tcPr>
            <w:tcW w:w="4031" w:type="dxa"/>
            <w:tcBorders>
              <w:right w:val="single" w:sz="12" w:space="0" w:color="000000"/>
            </w:tcBorders>
          </w:tcPr>
          <w:p>
            <w:pPr>
              <w:pStyle w:val="TableParagraph"/>
              <w:spacing w:before="25"/>
              <w:ind w:left="56"/>
              <w:rPr>
                <w:sz w:val="17"/>
              </w:rPr>
            </w:pPr>
            <w:r>
              <w:rPr>
                <w:color w:val="3B3B3B"/>
                <w:w w:val="110"/>
                <w:sz w:val="17"/>
              </w:rPr>
              <w:t>Cars and equipment</w:t>
            </w:r>
          </w:p>
        </w:tc>
        <w:tc>
          <w:tcPr>
            <w:tcW w:w="1080" w:type="dxa"/>
            <w:tcBorders>
              <w:left w:val="single" w:sz="12" w:space="0" w:color="000000"/>
            </w:tcBorders>
          </w:tcPr>
          <w:p>
            <w:pPr>
              <w:pStyle w:val="TableParagraph"/>
              <w:spacing w:before="25"/>
              <w:ind w:left="523"/>
              <w:rPr>
                <w:sz w:val="17"/>
              </w:rPr>
            </w:pPr>
            <w:r>
              <w:rPr>
                <w:color w:val="2A2A2A"/>
                <w:w w:val="105"/>
                <w:sz w:val="17"/>
              </w:rPr>
              <w:t>118</w:t>
            </w:r>
          </w:p>
        </w:tc>
        <w:tc>
          <w:tcPr>
            <w:tcW w:w="846" w:type="dxa"/>
          </w:tcPr>
          <w:p>
            <w:pPr>
              <w:pStyle w:val="TableParagraph"/>
              <w:spacing w:before="25"/>
              <w:ind w:right="230"/>
              <w:jc w:val="right"/>
              <w:rPr>
                <w:sz w:val="17"/>
              </w:rPr>
            </w:pPr>
            <w:r>
              <w:rPr>
                <w:color w:val="3B3B3B"/>
                <w:w w:val="105"/>
                <w:sz w:val="17"/>
              </w:rPr>
              <w:t>70</w:t>
            </w:r>
          </w:p>
        </w:tc>
        <w:tc>
          <w:tcPr>
            <w:tcW w:w="899" w:type="dxa"/>
          </w:tcPr>
          <w:p>
            <w:pPr>
              <w:pStyle w:val="TableParagraph"/>
              <w:spacing w:line="221" w:lineRule="exact" w:before="1"/>
              <w:ind w:left="369"/>
              <w:rPr>
                <w:rFonts w:ascii="Courier New"/>
                <w:sz w:val="22"/>
              </w:rPr>
            </w:pPr>
            <w:r>
              <w:rPr>
                <w:rFonts w:ascii="Courier New"/>
                <w:color w:val="3B3B3B"/>
                <w:w w:val="75"/>
                <w:sz w:val="22"/>
              </w:rPr>
              <w:t>IOI</w:t>
            </w:r>
          </w:p>
        </w:tc>
        <w:tc>
          <w:tcPr>
            <w:tcW w:w="854" w:type="dxa"/>
          </w:tcPr>
          <w:p>
            <w:pPr>
              <w:pStyle w:val="TableParagraph"/>
              <w:spacing w:before="25"/>
              <w:ind w:left="321" w:right="300"/>
              <w:jc w:val="center"/>
              <w:rPr>
                <w:sz w:val="17"/>
              </w:rPr>
            </w:pPr>
            <w:r>
              <w:rPr>
                <w:color w:val="2A2A2A"/>
                <w:w w:val="75"/>
                <w:sz w:val="17"/>
              </w:rPr>
              <w:t>177</w:t>
            </w:r>
          </w:p>
        </w:tc>
        <w:tc>
          <w:tcPr>
            <w:tcW w:w="711" w:type="dxa"/>
            <w:tcBorders>
              <w:right w:val="single" w:sz="8" w:space="0" w:color="000000"/>
            </w:tcBorders>
          </w:tcPr>
          <w:p>
            <w:pPr>
              <w:pStyle w:val="TableParagraph"/>
              <w:spacing w:line="216" w:lineRule="exact" w:before="6"/>
              <w:ind w:right="40"/>
              <w:jc w:val="right"/>
              <w:rPr>
                <w:sz w:val="19"/>
              </w:rPr>
            </w:pPr>
            <w:r>
              <w:rPr>
                <w:color w:val="161616"/>
                <w:sz w:val="19"/>
              </w:rPr>
              <w:t>l </w:t>
            </w:r>
            <w:r>
              <w:rPr>
                <w:color w:val="3B3B3B"/>
                <w:sz w:val="19"/>
              </w:rPr>
              <w:t>13</w:t>
            </w:r>
          </w:p>
        </w:tc>
      </w:tr>
      <w:tr>
        <w:trPr>
          <w:trHeight w:val="184" w:hRule="atLeast"/>
        </w:trPr>
        <w:tc>
          <w:tcPr>
            <w:tcW w:w="4031" w:type="dxa"/>
            <w:tcBorders>
              <w:right w:val="single" w:sz="12" w:space="0" w:color="000000"/>
            </w:tcBorders>
          </w:tcPr>
          <w:p>
            <w:pPr>
              <w:pStyle w:val="TableParagraph"/>
              <w:spacing w:line="161" w:lineRule="exact" w:before="4"/>
              <w:ind w:left="50"/>
              <w:rPr>
                <w:sz w:val="17"/>
              </w:rPr>
            </w:pPr>
            <w:r>
              <w:rPr>
                <w:color w:val="3B3B3B"/>
                <w:w w:val="105"/>
                <w:sz w:val="17"/>
              </w:rPr>
              <w:t>Loans to churches and ministers</w:t>
            </w:r>
          </w:p>
        </w:tc>
        <w:tc>
          <w:tcPr>
            <w:tcW w:w="1080" w:type="dxa"/>
            <w:tcBorders>
              <w:left w:val="single" w:sz="12" w:space="0" w:color="000000"/>
              <w:bottom w:val="single" w:sz="12" w:space="0" w:color="000000"/>
            </w:tcBorders>
          </w:tcPr>
          <w:p>
            <w:pPr>
              <w:pStyle w:val="TableParagraph"/>
              <w:spacing w:line="153" w:lineRule="exact" w:before="4"/>
              <w:ind w:right="221"/>
              <w:jc w:val="right"/>
              <w:rPr>
                <w:sz w:val="15"/>
              </w:rPr>
            </w:pPr>
            <w:r>
              <w:rPr>
                <w:color w:val="3B3B3B"/>
                <w:w w:val="105"/>
                <w:sz w:val="15"/>
              </w:rPr>
              <w:t>(1 </w:t>
            </w:r>
            <w:r>
              <w:rPr>
                <w:color w:val="161616"/>
                <w:w w:val="105"/>
                <w:sz w:val="15"/>
              </w:rPr>
              <w:t>1</w:t>
            </w:r>
            <w:r>
              <w:rPr>
                <w:color w:val="3B3B3B"/>
                <w:w w:val="105"/>
                <w:sz w:val="15"/>
              </w:rPr>
              <w:t>5 </w:t>
            </w:r>
            <w:r>
              <w:rPr>
                <w:color w:val="161616"/>
                <w:w w:val="105"/>
                <w:sz w:val="15"/>
              </w:rPr>
              <w:t>)</w:t>
            </w:r>
          </w:p>
        </w:tc>
        <w:tc>
          <w:tcPr>
            <w:tcW w:w="846" w:type="dxa"/>
            <w:tcBorders>
              <w:bottom w:val="single" w:sz="12" w:space="0" w:color="000000"/>
            </w:tcBorders>
          </w:tcPr>
          <w:p>
            <w:pPr>
              <w:pStyle w:val="TableParagraph"/>
              <w:spacing w:line="153" w:lineRule="exact" w:before="4"/>
              <w:ind w:right="237"/>
              <w:jc w:val="right"/>
              <w:rPr>
                <w:sz w:val="17"/>
              </w:rPr>
            </w:pPr>
            <w:r>
              <w:rPr>
                <w:color w:val="3B3B3B"/>
                <w:sz w:val="17"/>
              </w:rPr>
              <w:t>89</w:t>
            </w:r>
          </w:p>
        </w:tc>
        <w:tc>
          <w:tcPr>
            <w:tcW w:w="899" w:type="dxa"/>
            <w:tcBorders>
              <w:bottom w:val="single" w:sz="12" w:space="0" w:color="000000"/>
            </w:tcBorders>
          </w:tcPr>
          <w:p>
            <w:pPr>
              <w:pStyle w:val="TableParagraph"/>
              <w:spacing w:line="157" w:lineRule="exact"/>
              <w:ind w:right="253"/>
              <w:jc w:val="right"/>
              <w:rPr>
                <w:sz w:val="17"/>
              </w:rPr>
            </w:pPr>
            <w:r>
              <w:rPr>
                <w:color w:val="3B3B3B"/>
                <w:sz w:val="17"/>
              </w:rPr>
              <w:t>1</w:t>
            </w:r>
            <w:r>
              <w:rPr>
                <w:color w:val="161616"/>
                <w:sz w:val="17"/>
              </w:rPr>
              <w:t>4</w:t>
            </w:r>
          </w:p>
        </w:tc>
        <w:tc>
          <w:tcPr>
            <w:tcW w:w="854" w:type="dxa"/>
            <w:tcBorders>
              <w:bottom w:val="single" w:sz="12" w:space="0" w:color="000000"/>
            </w:tcBorders>
          </w:tcPr>
          <w:p>
            <w:pPr>
              <w:pStyle w:val="TableParagraph"/>
              <w:spacing w:line="157" w:lineRule="exact"/>
              <w:ind w:right="171"/>
              <w:jc w:val="right"/>
              <w:rPr>
                <w:sz w:val="17"/>
              </w:rPr>
            </w:pPr>
            <w:r>
              <w:rPr>
                <w:color w:val="3B3B3B"/>
                <w:w w:val="105"/>
                <w:sz w:val="17"/>
              </w:rPr>
              <w:t>(216)</w:t>
            </w:r>
          </w:p>
        </w:tc>
        <w:tc>
          <w:tcPr>
            <w:tcW w:w="711" w:type="dxa"/>
            <w:tcBorders>
              <w:bottom w:val="single" w:sz="12" w:space="0" w:color="000000"/>
              <w:right w:val="single" w:sz="8" w:space="0" w:color="000000"/>
            </w:tcBorders>
          </w:tcPr>
          <w:p>
            <w:pPr>
              <w:pStyle w:val="TableParagraph"/>
              <w:spacing w:line="153" w:lineRule="exact" w:before="4"/>
              <w:ind w:right="52"/>
              <w:jc w:val="right"/>
              <w:rPr>
                <w:sz w:val="17"/>
              </w:rPr>
            </w:pPr>
            <w:r>
              <w:rPr>
                <w:color w:val="3B3B3B"/>
                <w:w w:val="105"/>
                <w:sz w:val="17"/>
              </w:rPr>
              <w:t>18</w:t>
            </w:r>
          </w:p>
        </w:tc>
      </w:tr>
      <w:tr>
        <w:trPr>
          <w:trHeight w:val="202" w:hRule="atLeast"/>
        </w:trPr>
        <w:tc>
          <w:tcPr>
            <w:tcW w:w="4031" w:type="dxa"/>
          </w:tcPr>
          <w:p>
            <w:pPr>
              <w:pStyle w:val="TableParagraph"/>
              <w:rPr>
                <w:sz w:val="14"/>
              </w:rPr>
            </w:pPr>
          </w:p>
        </w:tc>
        <w:tc>
          <w:tcPr>
            <w:tcW w:w="1080" w:type="dxa"/>
            <w:tcBorders>
              <w:top w:val="single" w:sz="12" w:space="0" w:color="000000"/>
              <w:bottom w:val="single" w:sz="12" w:space="0" w:color="000000"/>
            </w:tcBorders>
          </w:tcPr>
          <w:p>
            <w:pPr>
              <w:pStyle w:val="TableParagraph"/>
              <w:spacing w:line="181" w:lineRule="exact" w:before="9"/>
              <w:ind w:right="260"/>
              <w:jc w:val="right"/>
              <w:rPr>
                <w:sz w:val="17"/>
              </w:rPr>
            </w:pPr>
            <w:r>
              <w:rPr>
                <w:color w:val="2A2A2A"/>
                <w:w w:val="105"/>
                <w:sz w:val="17"/>
              </w:rPr>
              <w:t>846</w:t>
            </w:r>
          </w:p>
        </w:tc>
        <w:tc>
          <w:tcPr>
            <w:tcW w:w="846" w:type="dxa"/>
            <w:tcBorders>
              <w:top w:val="single" w:sz="12" w:space="0" w:color="000000"/>
              <w:bottom w:val="single" w:sz="12" w:space="0" w:color="000000"/>
            </w:tcBorders>
          </w:tcPr>
          <w:p>
            <w:pPr>
              <w:pStyle w:val="TableParagraph"/>
              <w:spacing w:line="181" w:lineRule="exact" w:before="9"/>
              <w:ind w:right="222"/>
              <w:jc w:val="right"/>
              <w:rPr>
                <w:sz w:val="17"/>
              </w:rPr>
            </w:pPr>
            <w:r>
              <w:rPr>
                <w:color w:val="2A2A2A"/>
                <w:w w:val="110"/>
                <w:sz w:val="17"/>
              </w:rPr>
              <w:t>1,715</w:t>
            </w:r>
          </w:p>
        </w:tc>
        <w:tc>
          <w:tcPr>
            <w:tcW w:w="899" w:type="dxa"/>
            <w:tcBorders>
              <w:top w:val="single" w:sz="12" w:space="0" w:color="000000"/>
              <w:bottom w:val="single" w:sz="12" w:space="0" w:color="000000"/>
            </w:tcBorders>
          </w:tcPr>
          <w:p>
            <w:pPr>
              <w:pStyle w:val="TableParagraph"/>
              <w:spacing w:line="181" w:lineRule="exact" w:before="9"/>
              <w:ind w:right="247"/>
              <w:jc w:val="right"/>
              <w:rPr>
                <w:sz w:val="17"/>
              </w:rPr>
            </w:pPr>
            <w:r>
              <w:rPr>
                <w:color w:val="3B3B3B"/>
                <w:w w:val="110"/>
                <w:sz w:val="17"/>
              </w:rPr>
              <w:t>967</w:t>
            </w:r>
          </w:p>
        </w:tc>
        <w:tc>
          <w:tcPr>
            <w:tcW w:w="854" w:type="dxa"/>
            <w:tcBorders>
              <w:top w:val="single" w:sz="12" w:space="0" w:color="000000"/>
              <w:bottom w:val="single" w:sz="12" w:space="0" w:color="000000"/>
            </w:tcBorders>
          </w:tcPr>
          <w:p>
            <w:pPr>
              <w:pStyle w:val="TableParagraph"/>
              <w:spacing w:line="181" w:lineRule="exact" w:before="9"/>
              <w:ind w:left="217"/>
              <w:rPr>
                <w:sz w:val="17"/>
              </w:rPr>
            </w:pPr>
            <w:r>
              <w:rPr>
                <w:color w:val="2A2A2A"/>
                <w:w w:val="105"/>
                <w:sz w:val="17"/>
              </w:rPr>
              <w:t>1,675</w:t>
            </w:r>
          </w:p>
        </w:tc>
        <w:tc>
          <w:tcPr>
            <w:tcW w:w="711" w:type="dxa"/>
            <w:tcBorders>
              <w:top w:val="single" w:sz="12" w:space="0" w:color="000000"/>
              <w:bottom w:val="single" w:sz="12" w:space="0" w:color="000000"/>
            </w:tcBorders>
          </w:tcPr>
          <w:p>
            <w:pPr>
              <w:pStyle w:val="TableParagraph"/>
              <w:spacing w:line="181" w:lineRule="exact" w:before="9"/>
              <w:ind w:right="34"/>
              <w:jc w:val="right"/>
              <w:rPr>
                <w:sz w:val="17"/>
              </w:rPr>
            </w:pPr>
            <w:r>
              <w:rPr>
                <w:color w:val="3B3B3B"/>
                <w:w w:val="105"/>
                <w:sz w:val="17"/>
              </w:rPr>
              <w:t>(1,05</w:t>
            </w:r>
            <w:r>
              <w:rPr>
                <w:color w:val="2A2A2A"/>
                <w:w w:val="105"/>
                <w:sz w:val="17"/>
              </w:rPr>
              <w:t>I)</w:t>
            </w:r>
          </w:p>
        </w:tc>
      </w:tr>
      <w:tr>
        <w:trPr>
          <w:trHeight w:val="442" w:hRule="atLeast"/>
        </w:trPr>
        <w:tc>
          <w:tcPr>
            <w:tcW w:w="4031" w:type="dxa"/>
          </w:tcPr>
          <w:p>
            <w:pPr>
              <w:pStyle w:val="TableParagraph"/>
              <w:rPr>
                <w:sz w:val="20"/>
              </w:rPr>
            </w:pPr>
          </w:p>
          <w:p>
            <w:pPr>
              <w:pStyle w:val="TableParagraph"/>
              <w:spacing w:line="192" w:lineRule="exact"/>
              <w:ind w:left="54"/>
              <w:rPr>
                <w:b/>
                <w:sz w:val="17"/>
              </w:rPr>
            </w:pPr>
            <w:r>
              <w:rPr>
                <w:b/>
                <w:color w:val="2A2A2A"/>
                <w:w w:val="110"/>
                <w:sz w:val="17"/>
              </w:rPr>
              <w:t>Source of cash</w:t>
            </w:r>
          </w:p>
        </w:tc>
        <w:tc>
          <w:tcPr>
            <w:tcW w:w="1080" w:type="dxa"/>
            <w:tcBorders>
              <w:top w:val="single" w:sz="12" w:space="0" w:color="000000"/>
            </w:tcBorders>
          </w:tcPr>
          <w:p>
            <w:pPr>
              <w:pStyle w:val="TableParagraph"/>
              <w:rPr>
                <w:sz w:val="16"/>
              </w:rPr>
            </w:pPr>
          </w:p>
        </w:tc>
        <w:tc>
          <w:tcPr>
            <w:tcW w:w="846" w:type="dxa"/>
            <w:tcBorders>
              <w:top w:val="single" w:sz="12" w:space="0" w:color="000000"/>
            </w:tcBorders>
          </w:tcPr>
          <w:p>
            <w:pPr>
              <w:pStyle w:val="TableParagraph"/>
              <w:rPr>
                <w:sz w:val="16"/>
              </w:rPr>
            </w:pPr>
          </w:p>
        </w:tc>
        <w:tc>
          <w:tcPr>
            <w:tcW w:w="899" w:type="dxa"/>
            <w:tcBorders>
              <w:top w:val="single" w:sz="12" w:space="0" w:color="000000"/>
            </w:tcBorders>
          </w:tcPr>
          <w:p>
            <w:pPr>
              <w:pStyle w:val="TableParagraph"/>
              <w:rPr>
                <w:sz w:val="16"/>
              </w:rPr>
            </w:pPr>
          </w:p>
        </w:tc>
        <w:tc>
          <w:tcPr>
            <w:tcW w:w="854" w:type="dxa"/>
            <w:tcBorders>
              <w:top w:val="single" w:sz="12" w:space="0" w:color="000000"/>
            </w:tcBorders>
          </w:tcPr>
          <w:p>
            <w:pPr>
              <w:pStyle w:val="TableParagraph"/>
              <w:rPr>
                <w:sz w:val="16"/>
              </w:rPr>
            </w:pPr>
          </w:p>
        </w:tc>
        <w:tc>
          <w:tcPr>
            <w:tcW w:w="711" w:type="dxa"/>
            <w:tcBorders>
              <w:top w:val="single" w:sz="12" w:space="0" w:color="000000"/>
            </w:tcBorders>
          </w:tcPr>
          <w:p>
            <w:pPr>
              <w:pStyle w:val="TableParagraph"/>
              <w:rPr>
                <w:sz w:val="16"/>
              </w:rPr>
            </w:pPr>
          </w:p>
        </w:tc>
      </w:tr>
      <w:tr>
        <w:trPr>
          <w:trHeight w:val="210" w:hRule="atLeast"/>
        </w:trPr>
        <w:tc>
          <w:tcPr>
            <w:tcW w:w="4031" w:type="dxa"/>
          </w:tcPr>
          <w:p>
            <w:pPr>
              <w:pStyle w:val="TableParagraph"/>
              <w:spacing w:line="181" w:lineRule="exact" w:before="9"/>
              <w:ind w:left="55"/>
              <w:rPr>
                <w:sz w:val="17"/>
              </w:rPr>
            </w:pPr>
            <w:r>
              <w:rPr>
                <w:color w:val="3B3B3B"/>
                <w:w w:val="105"/>
                <w:sz w:val="17"/>
              </w:rPr>
              <w:t>Net incoming/(ou</w:t>
            </w:r>
            <w:r>
              <w:rPr>
                <w:color w:val="161616"/>
                <w:w w:val="105"/>
                <w:sz w:val="17"/>
              </w:rPr>
              <w:t>t</w:t>
            </w:r>
            <w:r>
              <w:rPr>
                <w:color w:val="3B3B3B"/>
                <w:w w:val="105"/>
                <w:sz w:val="17"/>
              </w:rPr>
              <w:t>going) resources</w:t>
            </w:r>
          </w:p>
        </w:tc>
        <w:tc>
          <w:tcPr>
            <w:tcW w:w="1080" w:type="dxa"/>
            <w:tcBorders>
              <w:bottom w:val="single" w:sz="12" w:space="0" w:color="000000"/>
            </w:tcBorders>
          </w:tcPr>
          <w:p>
            <w:pPr>
              <w:pStyle w:val="TableParagraph"/>
              <w:rPr>
                <w:sz w:val="14"/>
              </w:rPr>
            </w:pPr>
          </w:p>
        </w:tc>
        <w:tc>
          <w:tcPr>
            <w:tcW w:w="846" w:type="dxa"/>
            <w:tcBorders>
              <w:bottom w:val="single" w:sz="12" w:space="0" w:color="000000"/>
            </w:tcBorders>
          </w:tcPr>
          <w:p>
            <w:pPr>
              <w:pStyle w:val="TableParagraph"/>
              <w:rPr>
                <w:sz w:val="14"/>
              </w:rPr>
            </w:pPr>
          </w:p>
        </w:tc>
        <w:tc>
          <w:tcPr>
            <w:tcW w:w="899" w:type="dxa"/>
            <w:tcBorders>
              <w:bottom w:val="single" w:sz="12" w:space="0" w:color="000000"/>
            </w:tcBorders>
          </w:tcPr>
          <w:p>
            <w:pPr>
              <w:pStyle w:val="TableParagraph"/>
              <w:rPr>
                <w:sz w:val="14"/>
              </w:rPr>
            </w:pPr>
          </w:p>
        </w:tc>
        <w:tc>
          <w:tcPr>
            <w:tcW w:w="854" w:type="dxa"/>
            <w:tcBorders>
              <w:bottom w:val="single" w:sz="12" w:space="0" w:color="000000"/>
            </w:tcBorders>
          </w:tcPr>
          <w:p>
            <w:pPr>
              <w:pStyle w:val="TableParagraph"/>
              <w:rPr>
                <w:sz w:val="14"/>
              </w:rPr>
            </w:pPr>
          </w:p>
        </w:tc>
        <w:tc>
          <w:tcPr>
            <w:tcW w:w="711" w:type="dxa"/>
            <w:tcBorders>
              <w:bottom w:val="single" w:sz="12" w:space="0" w:color="000000"/>
            </w:tcBorders>
          </w:tcPr>
          <w:p>
            <w:pPr>
              <w:pStyle w:val="TableParagraph"/>
              <w:rPr>
                <w:sz w:val="14"/>
              </w:rPr>
            </w:pPr>
          </w:p>
        </w:tc>
      </w:tr>
      <w:tr>
        <w:trPr>
          <w:trHeight w:val="439" w:hRule="atLeast"/>
        </w:trPr>
        <w:tc>
          <w:tcPr>
            <w:tcW w:w="4031" w:type="dxa"/>
          </w:tcPr>
          <w:p>
            <w:pPr>
              <w:pStyle w:val="TableParagraph"/>
              <w:spacing w:line="185" w:lineRule="exact"/>
              <w:ind w:left="181"/>
              <w:rPr>
                <w:sz w:val="17"/>
              </w:rPr>
            </w:pPr>
            <w:r>
              <w:rPr>
                <w:color w:val="3B3B3B"/>
                <w:w w:val="105"/>
                <w:sz w:val="17"/>
              </w:rPr>
              <w:t>for the year (</w:t>
            </w:r>
            <w:r>
              <w:rPr>
                <w:color w:val="2A2A2A"/>
                <w:w w:val="105"/>
                <w:sz w:val="17"/>
              </w:rPr>
              <w:t>see above)</w:t>
            </w:r>
          </w:p>
          <w:p>
            <w:pPr>
              <w:pStyle w:val="TableParagraph"/>
              <w:spacing w:before="26"/>
              <w:ind w:left="52"/>
              <w:rPr>
                <w:sz w:val="17"/>
              </w:rPr>
            </w:pPr>
            <w:r>
              <w:rPr>
                <w:color w:val="2A2A2A"/>
                <w:w w:val="105"/>
                <w:sz w:val="17"/>
              </w:rPr>
              <w:t>Adjustment </w:t>
            </w:r>
            <w:r>
              <w:rPr>
                <w:color w:val="3B3B3B"/>
                <w:w w:val="105"/>
                <w:sz w:val="17"/>
              </w:rPr>
              <w:t>for items not resu</w:t>
            </w:r>
            <w:r>
              <w:rPr>
                <w:color w:val="161616"/>
                <w:w w:val="105"/>
                <w:sz w:val="17"/>
              </w:rPr>
              <w:t>l</w:t>
            </w:r>
            <w:r>
              <w:rPr>
                <w:color w:val="3B3B3B"/>
                <w:w w:val="105"/>
                <w:sz w:val="17"/>
              </w:rPr>
              <w:t>ting</w:t>
            </w:r>
          </w:p>
        </w:tc>
        <w:tc>
          <w:tcPr>
            <w:tcW w:w="1080" w:type="dxa"/>
            <w:tcBorders>
              <w:top w:val="single" w:sz="12" w:space="0" w:color="000000"/>
            </w:tcBorders>
          </w:tcPr>
          <w:p>
            <w:pPr>
              <w:pStyle w:val="TableParagraph"/>
              <w:spacing w:line="185" w:lineRule="exact"/>
              <w:ind w:right="248"/>
              <w:jc w:val="right"/>
              <w:rPr>
                <w:sz w:val="17"/>
              </w:rPr>
            </w:pPr>
            <w:r>
              <w:rPr>
                <w:color w:val="2A2A2A"/>
                <w:w w:val="110"/>
                <w:sz w:val="17"/>
              </w:rPr>
              <w:t>1,569</w:t>
            </w:r>
          </w:p>
        </w:tc>
        <w:tc>
          <w:tcPr>
            <w:tcW w:w="846" w:type="dxa"/>
            <w:tcBorders>
              <w:top w:val="single" w:sz="12" w:space="0" w:color="000000"/>
            </w:tcBorders>
          </w:tcPr>
          <w:p>
            <w:pPr>
              <w:pStyle w:val="TableParagraph"/>
              <w:spacing w:line="185" w:lineRule="exact"/>
              <w:ind w:right="218"/>
              <w:jc w:val="right"/>
              <w:rPr>
                <w:sz w:val="17"/>
              </w:rPr>
            </w:pPr>
            <w:r>
              <w:rPr>
                <w:color w:val="3B3B3B"/>
                <w:w w:val="110"/>
                <w:sz w:val="17"/>
              </w:rPr>
              <w:t>226</w:t>
            </w:r>
          </w:p>
        </w:tc>
        <w:tc>
          <w:tcPr>
            <w:tcW w:w="899" w:type="dxa"/>
            <w:tcBorders>
              <w:top w:val="single" w:sz="12" w:space="0" w:color="000000"/>
            </w:tcBorders>
          </w:tcPr>
          <w:p>
            <w:pPr>
              <w:pStyle w:val="TableParagraph"/>
              <w:spacing w:line="185" w:lineRule="exact"/>
              <w:ind w:left="236"/>
              <w:rPr>
                <w:sz w:val="17"/>
              </w:rPr>
            </w:pPr>
            <w:r>
              <w:rPr>
                <w:color w:val="3B3B3B"/>
                <w:w w:val="110"/>
                <w:sz w:val="17"/>
              </w:rPr>
              <w:t>2</w:t>
            </w:r>
            <w:r>
              <w:rPr>
                <w:color w:val="5B5B5B"/>
                <w:w w:val="110"/>
                <w:sz w:val="17"/>
              </w:rPr>
              <w:t>,</w:t>
            </w:r>
            <w:r>
              <w:rPr>
                <w:color w:val="2A2A2A"/>
                <w:w w:val="110"/>
                <w:sz w:val="17"/>
              </w:rPr>
              <w:t>103</w:t>
            </w:r>
          </w:p>
        </w:tc>
        <w:tc>
          <w:tcPr>
            <w:tcW w:w="854" w:type="dxa"/>
            <w:tcBorders>
              <w:top w:val="single" w:sz="12" w:space="0" w:color="000000"/>
            </w:tcBorders>
          </w:tcPr>
          <w:p>
            <w:pPr>
              <w:pStyle w:val="TableParagraph"/>
              <w:spacing w:line="185" w:lineRule="exact"/>
              <w:ind w:left="214"/>
              <w:rPr>
                <w:sz w:val="17"/>
              </w:rPr>
            </w:pPr>
            <w:r>
              <w:rPr>
                <w:color w:val="3B3B3B"/>
                <w:w w:val="110"/>
                <w:sz w:val="17"/>
              </w:rPr>
              <w:t>2</w:t>
            </w:r>
            <w:r>
              <w:rPr>
                <w:color w:val="5B5B5B"/>
                <w:w w:val="110"/>
                <w:sz w:val="17"/>
              </w:rPr>
              <w:t>,</w:t>
            </w:r>
            <w:r>
              <w:rPr>
                <w:color w:val="2A2A2A"/>
                <w:w w:val="110"/>
                <w:sz w:val="17"/>
              </w:rPr>
              <w:t>135</w:t>
            </w:r>
          </w:p>
        </w:tc>
        <w:tc>
          <w:tcPr>
            <w:tcW w:w="711" w:type="dxa"/>
            <w:tcBorders>
              <w:top w:val="single" w:sz="12" w:space="0" w:color="000000"/>
            </w:tcBorders>
          </w:tcPr>
          <w:p>
            <w:pPr>
              <w:pStyle w:val="TableParagraph"/>
              <w:spacing w:line="185" w:lineRule="exact"/>
              <w:ind w:right="54"/>
              <w:jc w:val="right"/>
              <w:rPr>
                <w:sz w:val="17"/>
              </w:rPr>
            </w:pPr>
            <w:r>
              <w:rPr>
                <w:color w:val="3B3B3B"/>
                <w:w w:val="105"/>
                <w:sz w:val="17"/>
              </w:rPr>
              <w:t>2,083</w:t>
            </w:r>
          </w:p>
        </w:tc>
      </w:tr>
      <w:tr>
        <w:trPr>
          <w:trHeight w:val="205" w:hRule="atLeast"/>
        </w:trPr>
        <w:tc>
          <w:tcPr>
            <w:tcW w:w="4031" w:type="dxa"/>
          </w:tcPr>
          <w:p>
            <w:pPr>
              <w:pStyle w:val="TableParagraph"/>
              <w:spacing w:line="185" w:lineRule="exact"/>
              <w:ind w:left="183"/>
              <w:rPr>
                <w:sz w:val="17"/>
              </w:rPr>
            </w:pPr>
            <w:r>
              <w:rPr>
                <w:color w:val="2A2A2A"/>
                <w:w w:val="105"/>
                <w:sz w:val="17"/>
              </w:rPr>
              <w:t>in a </w:t>
            </w:r>
            <w:r>
              <w:rPr>
                <w:color w:val="3B3B3B"/>
                <w:w w:val="105"/>
                <w:sz w:val="17"/>
              </w:rPr>
              <w:t>cash </w:t>
            </w:r>
            <w:r>
              <w:rPr>
                <w:color w:val="2A2A2A"/>
                <w:w w:val="105"/>
                <w:sz w:val="17"/>
              </w:rPr>
              <w:t>movement, </w:t>
            </w:r>
            <w:r>
              <w:rPr>
                <w:color w:val="3B3B3B"/>
                <w:w w:val="105"/>
                <w:sz w:val="17"/>
              </w:rPr>
              <w:t>for </w:t>
            </w:r>
            <w:r>
              <w:rPr>
                <w:color w:val="2A2A2A"/>
                <w:w w:val="105"/>
                <w:sz w:val="17"/>
              </w:rPr>
              <w:t>returns </w:t>
            </w:r>
            <w:r>
              <w:rPr>
                <w:color w:val="3B3B3B"/>
                <w:w w:val="105"/>
                <w:sz w:val="17"/>
              </w:rPr>
              <w:t>on</w:t>
            </w:r>
          </w:p>
        </w:tc>
        <w:tc>
          <w:tcPr>
            <w:tcW w:w="1080" w:type="dxa"/>
          </w:tcPr>
          <w:p>
            <w:pPr>
              <w:pStyle w:val="TableParagraph"/>
              <w:rPr>
                <w:sz w:val="14"/>
              </w:rPr>
            </w:pPr>
          </w:p>
        </w:tc>
        <w:tc>
          <w:tcPr>
            <w:tcW w:w="846" w:type="dxa"/>
          </w:tcPr>
          <w:p>
            <w:pPr>
              <w:pStyle w:val="TableParagraph"/>
              <w:rPr>
                <w:sz w:val="14"/>
              </w:rPr>
            </w:pPr>
          </w:p>
        </w:tc>
        <w:tc>
          <w:tcPr>
            <w:tcW w:w="899" w:type="dxa"/>
          </w:tcPr>
          <w:p>
            <w:pPr>
              <w:pStyle w:val="TableParagraph"/>
              <w:rPr>
                <w:sz w:val="14"/>
              </w:rPr>
            </w:pPr>
          </w:p>
        </w:tc>
        <w:tc>
          <w:tcPr>
            <w:tcW w:w="854" w:type="dxa"/>
          </w:tcPr>
          <w:p>
            <w:pPr>
              <w:pStyle w:val="TableParagraph"/>
              <w:rPr>
                <w:sz w:val="14"/>
              </w:rPr>
            </w:pPr>
          </w:p>
        </w:tc>
        <w:tc>
          <w:tcPr>
            <w:tcW w:w="711" w:type="dxa"/>
          </w:tcPr>
          <w:p>
            <w:pPr>
              <w:pStyle w:val="TableParagraph"/>
              <w:rPr>
                <w:sz w:val="14"/>
              </w:rPr>
            </w:pPr>
          </w:p>
        </w:tc>
      </w:tr>
      <w:tr>
        <w:trPr>
          <w:trHeight w:val="191" w:hRule="atLeast"/>
        </w:trPr>
        <w:tc>
          <w:tcPr>
            <w:tcW w:w="4031" w:type="dxa"/>
          </w:tcPr>
          <w:p>
            <w:pPr>
              <w:pStyle w:val="TableParagraph"/>
              <w:spacing w:line="162" w:lineRule="exact" w:before="9"/>
              <w:ind w:left="183"/>
              <w:rPr>
                <w:sz w:val="17"/>
              </w:rPr>
            </w:pPr>
            <w:r>
              <w:rPr>
                <w:color w:val="2A2A2A"/>
                <w:w w:val="105"/>
                <w:sz w:val="17"/>
              </w:rPr>
              <w:t>investments, </w:t>
            </w:r>
            <w:r>
              <w:rPr>
                <w:color w:val="3B3B3B"/>
                <w:w w:val="105"/>
                <w:sz w:val="17"/>
              </w:rPr>
              <w:t>and for endowments</w:t>
            </w:r>
          </w:p>
        </w:tc>
        <w:tc>
          <w:tcPr>
            <w:tcW w:w="1080" w:type="dxa"/>
            <w:tcBorders>
              <w:bottom w:val="single" w:sz="12" w:space="0" w:color="000000"/>
            </w:tcBorders>
          </w:tcPr>
          <w:p>
            <w:pPr>
              <w:pStyle w:val="TableParagraph"/>
              <w:spacing w:line="162" w:lineRule="exact" w:before="9"/>
              <w:ind w:left="384"/>
              <w:rPr>
                <w:sz w:val="17"/>
              </w:rPr>
            </w:pPr>
            <w:r>
              <w:rPr>
                <w:color w:val="2A2A2A"/>
                <w:w w:val="105"/>
                <w:sz w:val="17"/>
              </w:rPr>
              <w:t>1 703</w:t>
            </w:r>
          </w:p>
        </w:tc>
        <w:tc>
          <w:tcPr>
            <w:tcW w:w="846" w:type="dxa"/>
            <w:tcBorders>
              <w:bottom w:val="single" w:sz="12" w:space="0" w:color="000000"/>
            </w:tcBorders>
          </w:tcPr>
          <w:p>
            <w:pPr>
              <w:pStyle w:val="TableParagraph"/>
              <w:spacing w:line="162" w:lineRule="exact" w:before="9"/>
              <w:ind w:right="253"/>
              <w:jc w:val="right"/>
              <w:rPr>
                <w:sz w:val="17"/>
              </w:rPr>
            </w:pPr>
            <w:r>
              <w:rPr>
                <w:color w:val="2A2A2A"/>
                <w:w w:val="105"/>
                <w:sz w:val="17"/>
              </w:rPr>
              <w:t>14</w:t>
            </w:r>
          </w:p>
        </w:tc>
        <w:tc>
          <w:tcPr>
            <w:tcW w:w="899" w:type="dxa"/>
            <w:tcBorders>
              <w:bottom w:val="single" w:sz="12" w:space="0" w:color="000000"/>
            </w:tcBorders>
          </w:tcPr>
          <w:p>
            <w:pPr>
              <w:pStyle w:val="TableParagraph"/>
              <w:spacing w:line="162" w:lineRule="exact" w:before="9"/>
              <w:ind w:left="217"/>
              <w:rPr>
                <w:sz w:val="17"/>
              </w:rPr>
            </w:pPr>
            <w:r>
              <w:rPr>
                <w:color w:val="3B3B3B"/>
                <w:w w:val="105"/>
                <w:sz w:val="17"/>
              </w:rPr>
              <w:t>2 208</w:t>
            </w:r>
          </w:p>
        </w:tc>
        <w:tc>
          <w:tcPr>
            <w:tcW w:w="854" w:type="dxa"/>
            <w:tcBorders>
              <w:bottom w:val="single" w:sz="12" w:space="0" w:color="000000"/>
            </w:tcBorders>
          </w:tcPr>
          <w:p>
            <w:pPr>
              <w:pStyle w:val="TableParagraph"/>
              <w:spacing w:line="162" w:lineRule="exact" w:before="9"/>
              <w:ind w:left="188"/>
              <w:rPr>
                <w:sz w:val="17"/>
              </w:rPr>
            </w:pPr>
            <w:r>
              <w:rPr>
                <w:color w:val="2A2A2A"/>
                <w:w w:val="105"/>
                <w:sz w:val="17"/>
              </w:rPr>
              <w:t>1 038</w:t>
            </w:r>
          </w:p>
        </w:tc>
        <w:tc>
          <w:tcPr>
            <w:tcW w:w="711" w:type="dxa"/>
            <w:tcBorders>
              <w:bottom w:val="single" w:sz="12" w:space="0" w:color="000000"/>
            </w:tcBorders>
          </w:tcPr>
          <w:p>
            <w:pPr>
              <w:pStyle w:val="TableParagraph"/>
              <w:spacing w:line="162" w:lineRule="exact" w:before="9"/>
              <w:ind w:left="213"/>
              <w:rPr>
                <w:sz w:val="17"/>
              </w:rPr>
            </w:pPr>
            <w:r>
              <w:rPr>
                <w:color w:val="3B3B3B"/>
                <w:w w:val="110"/>
                <w:sz w:val="17"/>
              </w:rPr>
              <w:t>3,053</w:t>
            </w:r>
          </w:p>
        </w:tc>
      </w:tr>
      <w:tr>
        <w:trPr>
          <w:trHeight w:val="331" w:hRule="atLeast"/>
        </w:trPr>
        <w:tc>
          <w:tcPr>
            <w:tcW w:w="4031" w:type="dxa"/>
          </w:tcPr>
          <w:p>
            <w:pPr>
              <w:pStyle w:val="TableParagraph"/>
              <w:rPr>
                <w:sz w:val="16"/>
              </w:rPr>
            </w:pPr>
          </w:p>
        </w:tc>
        <w:tc>
          <w:tcPr>
            <w:tcW w:w="1080" w:type="dxa"/>
            <w:tcBorders>
              <w:top w:val="single" w:sz="12" w:space="0" w:color="000000"/>
            </w:tcBorders>
          </w:tcPr>
          <w:p>
            <w:pPr>
              <w:pStyle w:val="TableParagraph"/>
              <w:spacing w:line="195" w:lineRule="exact"/>
              <w:ind w:right="199"/>
              <w:jc w:val="right"/>
              <w:rPr>
                <w:sz w:val="17"/>
              </w:rPr>
            </w:pPr>
            <w:r>
              <w:rPr>
                <w:color w:val="3B3B3B"/>
                <w:w w:val="110"/>
                <w:sz w:val="17"/>
              </w:rPr>
              <w:t>(133)</w:t>
            </w:r>
          </w:p>
        </w:tc>
        <w:tc>
          <w:tcPr>
            <w:tcW w:w="846" w:type="dxa"/>
            <w:tcBorders>
              <w:top w:val="single" w:sz="12" w:space="0" w:color="000000"/>
            </w:tcBorders>
          </w:tcPr>
          <w:p>
            <w:pPr>
              <w:pStyle w:val="TableParagraph"/>
              <w:spacing w:before="9"/>
              <w:ind w:right="224"/>
              <w:jc w:val="right"/>
              <w:rPr>
                <w:sz w:val="17"/>
              </w:rPr>
            </w:pPr>
            <w:r>
              <w:rPr>
                <w:color w:val="3B3B3B"/>
                <w:w w:val="110"/>
                <w:sz w:val="17"/>
              </w:rPr>
              <w:t>2</w:t>
            </w:r>
            <w:r>
              <w:rPr>
                <w:color w:val="161616"/>
                <w:w w:val="110"/>
                <w:sz w:val="17"/>
              </w:rPr>
              <w:t>1</w:t>
            </w:r>
            <w:r>
              <w:rPr>
                <w:color w:val="3B3B3B"/>
                <w:w w:val="110"/>
                <w:sz w:val="17"/>
              </w:rPr>
              <w:t>2</w:t>
            </w:r>
          </w:p>
        </w:tc>
        <w:tc>
          <w:tcPr>
            <w:tcW w:w="899" w:type="dxa"/>
            <w:tcBorders>
              <w:top w:val="single" w:sz="12" w:space="0" w:color="000000"/>
            </w:tcBorders>
          </w:tcPr>
          <w:p>
            <w:pPr>
              <w:pStyle w:val="TableParagraph"/>
              <w:spacing w:line="195" w:lineRule="exact"/>
              <w:ind w:right="192"/>
              <w:jc w:val="right"/>
              <w:rPr>
                <w:sz w:val="17"/>
              </w:rPr>
            </w:pPr>
            <w:r>
              <w:rPr>
                <w:color w:val="3B3B3B"/>
                <w:w w:val="110"/>
                <w:sz w:val="17"/>
              </w:rPr>
              <w:t>(105)</w:t>
            </w:r>
          </w:p>
        </w:tc>
        <w:tc>
          <w:tcPr>
            <w:tcW w:w="854" w:type="dxa"/>
            <w:tcBorders>
              <w:top w:val="single" w:sz="12" w:space="0" w:color="000000"/>
            </w:tcBorders>
          </w:tcPr>
          <w:p>
            <w:pPr>
              <w:pStyle w:val="TableParagraph"/>
              <w:spacing w:line="195" w:lineRule="exact"/>
              <w:ind w:left="217"/>
              <w:rPr>
                <w:sz w:val="17"/>
              </w:rPr>
            </w:pPr>
            <w:r>
              <w:rPr>
                <w:color w:val="161616"/>
                <w:w w:val="110"/>
                <w:sz w:val="17"/>
              </w:rPr>
              <w:t>1,097</w:t>
            </w:r>
          </w:p>
        </w:tc>
        <w:tc>
          <w:tcPr>
            <w:tcW w:w="711" w:type="dxa"/>
            <w:tcBorders>
              <w:top w:val="single" w:sz="12" w:space="0" w:color="000000"/>
            </w:tcBorders>
          </w:tcPr>
          <w:p>
            <w:pPr>
              <w:pStyle w:val="TableParagraph"/>
              <w:spacing w:line="195" w:lineRule="exact"/>
              <w:ind w:right="4"/>
              <w:jc w:val="right"/>
              <w:rPr>
                <w:sz w:val="17"/>
              </w:rPr>
            </w:pPr>
            <w:r>
              <w:rPr>
                <w:color w:val="2A2A2A"/>
                <w:w w:val="110"/>
                <w:sz w:val="17"/>
              </w:rPr>
              <w:t>(970)</w:t>
            </w:r>
          </w:p>
        </w:tc>
      </w:tr>
      <w:tr>
        <w:trPr>
          <w:trHeight w:val="442" w:hRule="atLeast"/>
        </w:trPr>
        <w:tc>
          <w:tcPr>
            <w:tcW w:w="4031" w:type="dxa"/>
          </w:tcPr>
          <w:p>
            <w:pPr>
              <w:pStyle w:val="TableParagraph"/>
              <w:spacing w:before="120"/>
              <w:ind w:left="55"/>
              <w:rPr>
                <w:sz w:val="17"/>
              </w:rPr>
            </w:pPr>
            <w:r>
              <w:rPr>
                <w:color w:val="2A2A2A"/>
                <w:w w:val="105"/>
                <w:sz w:val="17"/>
              </w:rPr>
              <w:t>Net increase in </w:t>
            </w:r>
            <w:r>
              <w:rPr>
                <w:color w:val="3B3B3B"/>
                <w:w w:val="105"/>
                <w:sz w:val="17"/>
              </w:rPr>
              <w:t>capital en</w:t>
            </w:r>
            <w:r>
              <w:rPr>
                <w:color w:val="161616"/>
                <w:w w:val="105"/>
                <w:sz w:val="17"/>
              </w:rPr>
              <w:t>d</w:t>
            </w:r>
            <w:r>
              <w:rPr>
                <w:color w:val="3B3B3B"/>
                <w:w w:val="105"/>
                <w:sz w:val="17"/>
              </w:rPr>
              <w:t>owment</w:t>
            </w:r>
          </w:p>
        </w:tc>
        <w:tc>
          <w:tcPr>
            <w:tcW w:w="1080" w:type="dxa"/>
          </w:tcPr>
          <w:p>
            <w:pPr>
              <w:pStyle w:val="TableParagraph"/>
              <w:spacing w:before="120"/>
              <w:ind w:right="263"/>
              <w:jc w:val="right"/>
              <w:rPr>
                <w:sz w:val="17"/>
              </w:rPr>
            </w:pPr>
            <w:r>
              <w:rPr>
                <w:color w:val="3B3B3B"/>
                <w:w w:val="105"/>
                <w:sz w:val="17"/>
              </w:rPr>
              <w:t>37</w:t>
            </w:r>
          </w:p>
        </w:tc>
        <w:tc>
          <w:tcPr>
            <w:tcW w:w="846" w:type="dxa"/>
          </w:tcPr>
          <w:p>
            <w:pPr>
              <w:pStyle w:val="TableParagraph"/>
              <w:spacing w:before="120"/>
              <w:ind w:right="233"/>
              <w:jc w:val="right"/>
              <w:rPr>
                <w:sz w:val="17"/>
              </w:rPr>
            </w:pPr>
            <w:r>
              <w:rPr>
                <w:color w:val="3B3B3B"/>
                <w:w w:val="109"/>
                <w:sz w:val="17"/>
              </w:rPr>
              <w:t>8</w:t>
            </w:r>
          </w:p>
        </w:tc>
        <w:tc>
          <w:tcPr>
            <w:tcW w:w="899" w:type="dxa"/>
          </w:tcPr>
          <w:p>
            <w:pPr>
              <w:pStyle w:val="TableParagraph"/>
              <w:rPr>
                <w:sz w:val="16"/>
              </w:rPr>
            </w:pPr>
          </w:p>
        </w:tc>
        <w:tc>
          <w:tcPr>
            <w:tcW w:w="854" w:type="dxa"/>
          </w:tcPr>
          <w:p>
            <w:pPr>
              <w:pStyle w:val="TableParagraph"/>
              <w:spacing w:before="120"/>
              <w:ind w:left="342"/>
              <w:rPr>
                <w:sz w:val="17"/>
              </w:rPr>
            </w:pPr>
            <w:r>
              <w:rPr>
                <w:color w:val="3B3B3B"/>
                <w:w w:val="110"/>
                <w:sz w:val="17"/>
              </w:rPr>
              <w:t>859</w:t>
            </w:r>
          </w:p>
        </w:tc>
        <w:tc>
          <w:tcPr>
            <w:tcW w:w="711" w:type="dxa"/>
          </w:tcPr>
          <w:p>
            <w:pPr>
              <w:pStyle w:val="TableParagraph"/>
              <w:rPr>
                <w:sz w:val="16"/>
              </w:rPr>
            </w:pPr>
          </w:p>
        </w:tc>
      </w:tr>
      <w:tr>
        <w:trPr>
          <w:trHeight w:val="442" w:hRule="atLeast"/>
        </w:trPr>
        <w:tc>
          <w:tcPr>
            <w:tcW w:w="4031" w:type="dxa"/>
          </w:tcPr>
          <w:p>
            <w:pPr>
              <w:pStyle w:val="TableParagraph"/>
              <w:spacing w:before="120"/>
              <w:ind w:left="55"/>
              <w:rPr>
                <w:sz w:val="17"/>
              </w:rPr>
            </w:pPr>
            <w:r>
              <w:rPr>
                <w:color w:val="3B3B3B"/>
                <w:w w:val="105"/>
                <w:sz w:val="17"/>
              </w:rPr>
              <w:t>Net decrease in investments</w:t>
            </w:r>
          </w:p>
        </w:tc>
        <w:tc>
          <w:tcPr>
            <w:tcW w:w="1080" w:type="dxa"/>
          </w:tcPr>
          <w:p>
            <w:pPr>
              <w:pStyle w:val="TableParagraph"/>
              <w:spacing w:before="120"/>
              <w:ind w:left="403"/>
              <w:rPr>
                <w:sz w:val="17"/>
              </w:rPr>
            </w:pPr>
            <w:r>
              <w:rPr>
                <w:color w:val="2A2A2A"/>
                <w:w w:val="105"/>
                <w:sz w:val="17"/>
              </w:rPr>
              <w:t>1</w:t>
            </w:r>
            <w:r>
              <w:rPr>
                <w:color w:val="5B5B5B"/>
                <w:w w:val="105"/>
                <w:sz w:val="17"/>
              </w:rPr>
              <w:t>,</w:t>
            </w:r>
            <w:r>
              <w:rPr>
                <w:color w:val="3B3B3B"/>
                <w:w w:val="105"/>
                <w:sz w:val="17"/>
              </w:rPr>
              <w:t>8</w:t>
            </w:r>
            <w:r>
              <w:rPr>
                <w:color w:val="161616"/>
                <w:w w:val="105"/>
                <w:sz w:val="17"/>
              </w:rPr>
              <w:t>1</w:t>
            </w:r>
            <w:r>
              <w:rPr>
                <w:color w:val="3B3B3B"/>
                <w:w w:val="105"/>
                <w:sz w:val="17"/>
              </w:rPr>
              <w:t>5</w:t>
            </w:r>
          </w:p>
        </w:tc>
        <w:tc>
          <w:tcPr>
            <w:tcW w:w="846" w:type="dxa"/>
          </w:tcPr>
          <w:p>
            <w:pPr>
              <w:pStyle w:val="TableParagraph"/>
              <w:spacing w:before="120"/>
              <w:ind w:right="243"/>
              <w:jc w:val="right"/>
              <w:rPr>
                <w:sz w:val="17"/>
              </w:rPr>
            </w:pPr>
            <w:r>
              <w:rPr>
                <w:color w:val="3B3B3B"/>
                <w:sz w:val="17"/>
              </w:rPr>
              <w:t>140</w:t>
            </w:r>
          </w:p>
        </w:tc>
        <w:tc>
          <w:tcPr>
            <w:tcW w:w="899" w:type="dxa"/>
          </w:tcPr>
          <w:p>
            <w:pPr>
              <w:pStyle w:val="TableParagraph"/>
              <w:spacing w:before="120"/>
              <w:ind w:right="249"/>
              <w:jc w:val="right"/>
              <w:rPr>
                <w:sz w:val="17"/>
              </w:rPr>
            </w:pPr>
            <w:r>
              <w:rPr>
                <w:color w:val="3B3B3B"/>
                <w:w w:val="105"/>
                <w:sz w:val="17"/>
              </w:rPr>
              <w:t>762</w:t>
            </w:r>
          </w:p>
        </w:tc>
        <w:tc>
          <w:tcPr>
            <w:tcW w:w="854" w:type="dxa"/>
          </w:tcPr>
          <w:p>
            <w:pPr>
              <w:pStyle w:val="TableParagraph"/>
              <w:spacing w:before="120"/>
              <w:ind w:right="169"/>
              <w:jc w:val="right"/>
              <w:rPr>
                <w:sz w:val="17"/>
              </w:rPr>
            </w:pPr>
            <w:r>
              <w:rPr>
                <w:color w:val="3B3B3B"/>
                <w:w w:val="110"/>
                <w:sz w:val="17"/>
              </w:rPr>
              <w:t>(464)</w:t>
            </w:r>
          </w:p>
        </w:tc>
        <w:tc>
          <w:tcPr>
            <w:tcW w:w="711" w:type="dxa"/>
          </w:tcPr>
          <w:p>
            <w:pPr>
              <w:pStyle w:val="TableParagraph"/>
              <w:spacing w:before="120"/>
              <w:ind w:right="58"/>
              <w:jc w:val="right"/>
              <w:rPr>
                <w:sz w:val="17"/>
              </w:rPr>
            </w:pPr>
            <w:r>
              <w:rPr>
                <w:color w:val="2A2A2A"/>
                <w:w w:val="110"/>
                <w:sz w:val="17"/>
              </w:rPr>
              <w:t>842</w:t>
            </w:r>
          </w:p>
        </w:tc>
      </w:tr>
      <w:tr>
        <w:trPr>
          <w:trHeight w:val="513" w:hRule="atLeast"/>
        </w:trPr>
        <w:tc>
          <w:tcPr>
            <w:tcW w:w="4031" w:type="dxa"/>
          </w:tcPr>
          <w:p>
            <w:pPr>
              <w:pStyle w:val="TableParagraph"/>
              <w:spacing w:before="120"/>
              <w:ind w:left="50"/>
              <w:rPr>
                <w:sz w:val="17"/>
              </w:rPr>
            </w:pPr>
            <w:r>
              <w:rPr>
                <w:color w:val="2A2A2A"/>
                <w:w w:val="110"/>
                <w:sz w:val="17"/>
              </w:rPr>
              <w:t>Decrease</w:t>
            </w:r>
            <w:r>
              <w:rPr>
                <w:color w:val="5B5B5B"/>
                <w:w w:val="110"/>
                <w:sz w:val="17"/>
              </w:rPr>
              <w:t>/</w:t>
            </w:r>
            <w:r>
              <w:rPr>
                <w:color w:val="3B3B3B"/>
                <w:w w:val="110"/>
                <w:sz w:val="17"/>
              </w:rPr>
              <w:t>(increase)in bank balances</w:t>
            </w:r>
          </w:p>
        </w:tc>
        <w:tc>
          <w:tcPr>
            <w:tcW w:w="1080" w:type="dxa"/>
            <w:tcBorders>
              <w:bottom w:val="single" w:sz="12" w:space="0" w:color="000000"/>
            </w:tcBorders>
          </w:tcPr>
          <w:p>
            <w:pPr>
              <w:pStyle w:val="TableParagraph"/>
              <w:spacing w:before="120"/>
              <w:ind w:right="210"/>
              <w:jc w:val="right"/>
              <w:rPr>
                <w:sz w:val="17"/>
              </w:rPr>
            </w:pPr>
            <w:r>
              <w:rPr>
                <w:color w:val="3B3B3B"/>
                <w:w w:val="105"/>
                <w:sz w:val="17"/>
              </w:rPr>
              <w:t>(872)</w:t>
            </w:r>
          </w:p>
        </w:tc>
        <w:tc>
          <w:tcPr>
            <w:tcW w:w="846" w:type="dxa"/>
            <w:tcBorders>
              <w:bottom w:val="single" w:sz="12" w:space="0" w:color="000000"/>
            </w:tcBorders>
          </w:tcPr>
          <w:p>
            <w:pPr>
              <w:pStyle w:val="TableParagraph"/>
              <w:spacing w:before="120"/>
              <w:ind w:right="236"/>
              <w:jc w:val="right"/>
              <w:rPr>
                <w:sz w:val="17"/>
              </w:rPr>
            </w:pPr>
            <w:r>
              <w:rPr>
                <w:color w:val="161616"/>
                <w:w w:val="110"/>
                <w:sz w:val="17"/>
              </w:rPr>
              <w:t>1</w:t>
            </w:r>
            <w:r>
              <w:rPr>
                <w:color w:val="5B5B5B"/>
                <w:w w:val="110"/>
                <w:sz w:val="17"/>
              </w:rPr>
              <w:t>,</w:t>
            </w:r>
            <w:r>
              <w:rPr>
                <w:color w:val="3B3B3B"/>
                <w:w w:val="110"/>
                <w:sz w:val="17"/>
              </w:rPr>
              <w:t>355</w:t>
            </w:r>
          </w:p>
        </w:tc>
        <w:tc>
          <w:tcPr>
            <w:tcW w:w="899" w:type="dxa"/>
            <w:tcBorders>
              <w:bottom w:val="single" w:sz="12" w:space="0" w:color="000000"/>
            </w:tcBorders>
          </w:tcPr>
          <w:p>
            <w:pPr>
              <w:pStyle w:val="TableParagraph"/>
              <w:spacing w:before="120"/>
              <w:ind w:right="247"/>
              <w:jc w:val="right"/>
              <w:rPr>
                <w:sz w:val="17"/>
              </w:rPr>
            </w:pPr>
            <w:r>
              <w:rPr>
                <w:color w:val="3B3B3B"/>
                <w:w w:val="110"/>
                <w:sz w:val="17"/>
              </w:rPr>
              <w:t>309</w:t>
            </w:r>
          </w:p>
        </w:tc>
        <w:tc>
          <w:tcPr>
            <w:tcW w:w="854" w:type="dxa"/>
            <w:tcBorders>
              <w:bottom w:val="single" w:sz="12" w:space="0" w:color="000000"/>
            </w:tcBorders>
          </w:tcPr>
          <w:p>
            <w:pPr>
              <w:pStyle w:val="TableParagraph"/>
              <w:spacing w:before="120"/>
              <w:ind w:right="228"/>
              <w:jc w:val="right"/>
              <w:rPr>
                <w:sz w:val="17"/>
              </w:rPr>
            </w:pPr>
            <w:r>
              <w:rPr>
                <w:color w:val="2A2A2A"/>
                <w:w w:val="110"/>
                <w:sz w:val="17"/>
              </w:rPr>
              <w:t>183</w:t>
            </w:r>
          </w:p>
        </w:tc>
        <w:tc>
          <w:tcPr>
            <w:tcW w:w="711" w:type="dxa"/>
            <w:tcBorders>
              <w:bottom w:val="single" w:sz="12" w:space="0" w:color="000000"/>
            </w:tcBorders>
          </w:tcPr>
          <w:p>
            <w:pPr>
              <w:pStyle w:val="TableParagraph"/>
              <w:spacing w:before="120"/>
              <w:ind w:right="15"/>
              <w:jc w:val="right"/>
              <w:rPr>
                <w:sz w:val="17"/>
              </w:rPr>
            </w:pPr>
            <w:r>
              <w:rPr>
                <w:color w:val="3B3B3B"/>
                <w:w w:val="105"/>
                <w:sz w:val="17"/>
              </w:rPr>
              <w:t>(923)</w:t>
            </w:r>
          </w:p>
        </w:tc>
      </w:tr>
    </w:tbl>
    <w:p>
      <w:pPr>
        <w:tabs>
          <w:tab w:pos="5354" w:val="left" w:leader="none"/>
          <w:tab w:pos="6105" w:val="left" w:leader="none"/>
          <w:tab w:pos="7110" w:val="left" w:leader="none"/>
          <w:tab w:pos="7858" w:val="left" w:leader="none"/>
          <w:tab w:pos="8660" w:val="left" w:leader="none"/>
        </w:tabs>
        <w:spacing w:before="0"/>
        <w:ind w:left="4844" w:right="0" w:firstLine="0"/>
        <w:jc w:val="left"/>
        <w:rPr>
          <w:rFonts w:ascii="Times New Roman"/>
          <w:sz w:val="17"/>
        </w:rPr>
      </w:pPr>
      <w:r>
        <w:rPr/>
        <w:pict>
          <v:line style="position:absolute;mso-position-horizontal-relative:page;mso-position-vertical-relative:paragraph;z-index:-275113984" from="266.266052pt,-89.230484pt" to="266.266052pt,-132.530792pt" stroked="true" strokeweight="1.444481pt" strokecolor="#000000">
            <v:stroke dashstyle="solid"/>
            <w10:wrap type="none"/>
          </v:line>
        </w:pict>
      </w:r>
      <w:r>
        <w:rPr>
          <w:rFonts w:ascii="Times New Roman"/>
          <w:color w:val="2A2A2A"/>
          <w:w w:val="100"/>
          <w:position w:val="1"/>
          <w:sz w:val="17"/>
          <w:u w:val="thick" w:color="000000"/>
        </w:rPr>
        <w:t> </w:t>
      </w:r>
      <w:r>
        <w:rPr>
          <w:rFonts w:ascii="Times New Roman"/>
          <w:color w:val="2A2A2A"/>
          <w:position w:val="1"/>
          <w:sz w:val="17"/>
          <w:u w:val="thick" w:color="000000"/>
        </w:rPr>
        <w:tab/>
      </w:r>
      <w:r>
        <w:rPr>
          <w:rFonts w:ascii="Times New Roman"/>
          <w:color w:val="2A2A2A"/>
          <w:w w:val="110"/>
          <w:position w:val="1"/>
          <w:sz w:val="17"/>
          <w:u w:val="thick" w:color="000000"/>
        </w:rPr>
        <w:t>846</w:t>
        <w:tab/>
        <w:t>1,715</w:t>
        <w:tab/>
      </w:r>
      <w:r>
        <w:rPr>
          <w:rFonts w:ascii="Times New Roman"/>
          <w:color w:val="2A2A2A"/>
          <w:w w:val="110"/>
          <w:sz w:val="17"/>
          <w:u w:val="thick" w:color="000000"/>
        </w:rPr>
        <w:t>967</w:t>
        <w:tab/>
      </w:r>
      <w:r>
        <w:rPr>
          <w:rFonts w:ascii="Times New Roman"/>
          <w:color w:val="2A2A2A"/>
          <w:w w:val="110"/>
          <w:position w:val="1"/>
          <w:sz w:val="17"/>
          <w:u w:val="thick" w:color="000000"/>
        </w:rPr>
        <w:t>1,675</w:t>
        <w:tab/>
      </w:r>
      <w:r>
        <w:rPr>
          <w:rFonts w:ascii="Times New Roman"/>
          <w:color w:val="3B3B3B"/>
          <w:spacing w:val="-3"/>
          <w:w w:val="110"/>
          <w:position w:val="1"/>
          <w:sz w:val="17"/>
          <w:u w:val="thick" w:color="000000"/>
        </w:rPr>
        <w:t>(</w:t>
      </w:r>
      <w:r>
        <w:rPr>
          <w:rFonts w:ascii="Times New Roman"/>
          <w:color w:val="161616"/>
          <w:spacing w:val="-3"/>
          <w:w w:val="110"/>
          <w:position w:val="1"/>
          <w:sz w:val="17"/>
          <w:u w:val="thick" w:color="000000"/>
        </w:rPr>
        <w:t>1</w:t>
      </w:r>
      <w:r>
        <w:rPr>
          <w:rFonts w:ascii="Times New Roman"/>
          <w:color w:val="5B5B5B"/>
          <w:spacing w:val="-3"/>
          <w:w w:val="110"/>
          <w:position w:val="1"/>
          <w:sz w:val="17"/>
          <w:u w:val="thick" w:color="000000"/>
        </w:rPr>
        <w:t>,</w:t>
      </w:r>
      <w:r>
        <w:rPr>
          <w:rFonts w:ascii="Times New Roman"/>
          <w:color w:val="3B3B3B"/>
          <w:spacing w:val="-3"/>
          <w:w w:val="110"/>
          <w:position w:val="1"/>
          <w:sz w:val="17"/>
          <w:u w:val="thick" w:color="000000"/>
        </w:rPr>
        <w:t>05</w:t>
      </w:r>
      <w:r>
        <w:rPr>
          <w:rFonts w:ascii="Times New Roman"/>
          <w:color w:val="161616"/>
          <w:spacing w:val="-3"/>
          <w:w w:val="110"/>
          <w:position w:val="1"/>
          <w:sz w:val="17"/>
          <w:u w:val="thick" w:color="000000"/>
        </w:rPr>
        <w:t>1</w:t>
      </w:r>
      <w:r>
        <w:rPr>
          <w:rFonts w:ascii="Times New Roman"/>
          <w:color w:val="3B3B3B"/>
          <w:spacing w:val="-3"/>
          <w:w w:val="110"/>
          <w:position w:val="1"/>
          <w:sz w:val="17"/>
          <w:u w:val="thick" w:color="000000"/>
        </w:rPr>
        <w:t>)</w:t>
      </w:r>
      <w:r>
        <w:rPr>
          <w:rFonts w:ascii="Times New Roman"/>
          <w:color w:val="3B3B3B"/>
          <w:spacing w:val="20"/>
          <w:position w:val="1"/>
          <w:sz w:val="17"/>
          <w:u w:val="thick" w:color="000000"/>
        </w:rPr>
        <w:t> </w:t>
      </w:r>
    </w:p>
    <w:p>
      <w:pPr>
        <w:spacing w:after="0"/>
        <w:jc w:val="left"/>
        <w:rPr>
          <w:rFonts w:ascii="Times New Roman"/>
          <w:sz w:val="17"/>
        </w:rPr>
        <w:sectPr>
          <w:headerReference w:type="even" r:id="rId547"/>
          <w:footerReference w:type="even" r:id="rId548"/>
          <w:pgSz w:w="10950" w:h="15880"/>
          <w:pgMar w:header="0" w:footer="0" w:top="760" w:bottom="280" w:left="500" w:right="0"/>
        </w:sectPr>
      </w:pPr>
    </w:p>
    <w:p>
      <w:pPr>
        <w:spacing w:before="80"/>
        <w:ind w:left="0" w:right="1280" w:firstLine="0"/>
        <w:jc w:val="right"/>
        <w:rPr>
          <w:rFonts w:ascii="Times New Roman"/>
          <w:sz w:val="20"/>
        </w:rPr>
      </w:pPr>
      <w:r>
        <w:rPr>
          <w:rFonts w:ascii="Times New Roman"/>
          <w:color w:val="2A2A2A"/>
          <w:w w:val="105"/>
          <w:sz w:val="20"/>
        </w:rPr>
        <w:t>Page28</w:t>
      </w:r>
    </w:p>
    <w:p>
      <w:pPr>
        <w:spacing w:before="40"/>
        <w:ind w:left="2701" w:right="0" w:firstLine="0"/>
        <w:jc w:val="left"/>
        <w:rPr>
          <w:rFonts w:ascii="Times New Roman"/>
          <w:b/>
          <w:sz w:val="21"/>
        </w:rPr>
      </w:pPr>
      <w:r>
        <w:rPr>
          <w:rFonts w:ascii="Times New Roman"/>
          <w:b/>
          <w:color w:val="161616"/>
          <w:w w:val="105"/>
          <w:sz w:val="21"/>
        </w:rPr>
        <w:t>FIVE YEAR SUMMARY CONTINUED</w:t>
      </w:r>
    </w:p>
    <w:p>
      <w:pPr>
        <w:pStyle w:val="BodyText"/>
        <w:spacing w:before="2"/>
        <w:rPr>
          <w:rFonts w:ascii="Times New Roman"/>
          <w:b/>
          <w:sz w:val="22"/>
        </w:rPr>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32"/>
        <w:gridCol w:w="990"/>
        <w:gridCol w:w="878"/>
        <w:gridCol w:w="875"/>
        <w:gridCol w:w="877"/>
        <w:gridCol w:w="776"/>
      </w:tblGrid>
      <w:tr>
        <w:trPr>
          <w:trHeight w:val="532" w:hRule="atLeast"/>
        </w:trPr>
        <w:tc>
          <w:tcPr>
            <w:tcW w:w="4032" w:type="dxa"/>
          </w:tcPr>
          <w:p>
            <w:pPr>
              <w:pStyle w:val="TableParagraph"/>
              <w:rPr>
                <w:sz w:val="16"/>
              </w:rPr>
            </w:pPr>
          </w:p>
        </w:tc>
        <w:tc>
          <w:tcPr>
            <w:tcW w:w="990" w:type="dxa"/>
          </w:tcPr>
          <w:p>
            <w:pPr>
              <w:pStyle w:val="TableParagraph"/>
              <w:spacing w:line="189" w:lineRule="exact"/>
              <w:ind w:left="498"/>
              <w:rPr>
                <w:b/>
                <w:sz w:val="17"/>
              </w:rPr>
            </w:pPr>
            <w:r>
              <w:rPr>
                <w:b/>
                <w:color w:val="161616"/>
                <w:w w:val="110"/>
                <w:sz w:val="17"/>
              </w:rPr>
              <w:t>2002</w:t>
            </w:r>
          </w:p>
          <w:p>
            <w:pPr>
              <w:pStyle w:val="TableParagraph"/>
              <w:spacing w:before="26"/>
              <w:ind w:left="441"/>
              <w:rPr>
                <w:b/>
                <w:sz w:val="17"/>
              </w:rPr>
            </w:pPr>
            <w:r>
              <w:rPr>
                <w:b/>
                <w:color w:val="161616"/>
                <w:w w:val="110"/>
                <w:sz w:val="17"/>
              </w:rPr>
              <w:t>£'000</w:t>
            </w:r>
          </w:p>
        </w:tc>
        <w:tc>
          <w:tcPr>
            <w:tcW w:w="878" w:type="dxa"/>
          </w:tcPr>
          <w:p>
            <w:pPr>
              <w:pStyle w:val="TableParagraph"/>
              <w:spacing w:line="189" w:lineRule="exact"/>
              <w:ind w:left="384"/>
              <w:rPr>
                <w:b/>
                <w:sz w:val="17"/>
              </w:rPr>
            </w:pPr>
            <w:r>
              <w:rPr>
                <w:b/>
                <w:color w:val="161616"/>
                <w:w w:val="110"/>
                <w:sz w:val="17"/>
              </w:rPr>
              <w:t>2003</w:t>
            </w:r>
          </w:p>
          <w:p>
            <w:pPr>
              <w:pStyle w:val="TableParagraph"/>
              <w:spacing w:before="26"/>
              <w:ind w:left="328"/>
              <w:rPr>
                <w:b/>
                <w:sz w:val="17"/>
              </w:rPr>
            </w:pPr>
            <w:r>
              <w:rPr>
                <w:b/>
                <w:color w:val="161616"/>
                <w:w w:val="110"/>
                <w:sz w:val="17"/>
              </w:rPr>
              <w:t>£'000</w:t>
            </w:r>
          </w:p>
        </w:tc>
        <w:tc>
          <w:tcPr>
            <w:tcW w:w="875" w:type="dxa"/>
          </w:tcPr>
          <w:p>
            <w:pPr>
              <w:pStyle w:val="TableParagraph"/>
              <w:spacing w:line="189" w:lineRule="exact"/>
              <w:ind w:left="382"/>
              <w:rPr>
                <w:b/>
                <w:sz w:val="17"/>
              </w:rPr>
            </w:pPr>
            <w:r>
              <w:rPr>
                <w:b/>
                <w:color w:val="161616"/>
                <w:w w:val="110"/>
                <w:sz w:val="17"/>
              </w:rPr>
              <w:t>2004</w:t>
            </w:r>
          </w:p>
          <w:p>
            <w:pPr>
              <w:pStyle w:val="TableParagraph"/>
              <w:spacing w:before="26"/>
              <w:ind w:left="326"/>
              <w:rPr>
                <w:b/>
                <w:sz w:val="17"/>
              </w:rPr>
            </w:pPr>
            <w:r>
              <w:rPr>
                <w:b/>
                <w:color w:val="2A2A2A"/>
                <w:w w:val="110"/>
                <w:sz w:val="17"/>
              </w:rPr>
              <w:t>£'000</w:t>
            </w:r>
          </w:p>
        </w:tc>
        <w:tc>
          <w:tcPr>
            <w:tcW w:w="877" w:type="dxa"/>
          </w:tcPr>
          <w:p>
            <w:pPr>
              <w:pStyle w:val="TableParagraph"/>
              <w:spacing w:line="189" w:lineRule="exact"/>
              <w:ind w:left="384"/>
              <w:rPr>
                <w:b/>
                <w:sz w:val="17"/>
              </w:rPr>
            </w:pPr>
            <w:r>
              <w:rPr>
                <w:b/>
                <w:color w:val="2A2A2A"/>
                <w:w w:val="110"/>
                <w:sz w:val="17"/>
              </w:rPr>
              <w:t>2005</w:t>
            </w:r>
          </w:p>
          <w:p>
            <w:pPr>
              <w:pStyle w:val="TableParagraph"/>
              <w:spacing w:before="26"/>
              <w:ind w:left="337"/>
              <w:rPr>
                <w:b/>
                <w:sz w:val="17"/>
              </w:rPr>
            </w:pPr>
            <w:r>
              <w:rPr>
                <w:b/>
                <w:color w:val="2A2A2A"/>
                <w:w w:val="105"/>
                <w:sz w:val="17"/>
              </w:rPr>
              <w:t>£'000</w:t>
            </w:r>
          </w:p>
        </w:tc>
        <w:tc>
          <w:tcPr>
            <w:tcW w:w="776" w:type="dxa"/>
          </w:tcPr>
          <w:p>
            <w:pPr>
              <w:pStyle w:val="TableParagraph"/>
              <w:spacing w:line="189" w:lineRule="exact"/>
              <w:ind w:left="287"/>
              <w:rPr>
                <w:b/>
                <w:sz w:val="17"/>
              </w:rPr>
            </w:pPr>
            <w:r>
              <w:rPr>
                <w:b/>
                <w:color w:val="161616"/>
                <w:w w:val="105"/>
                <w:sz w:val="17"/>
              </w:rPr>
              <w:t>2</w:t>
            </w:r>
            <w:r>
              <w:rPr>
                <w:b/>
                <w:color w:val="3B3B3B"/>
                <w:w w:val="105"/>
                <w:sz w:val="17"/>
              </w:rPr>
              <w:t>,</w:t>
            </w:r>
            <w:r>
              <w:rPr>
                <w:b/>
                <w:color w:val="161616"/>
                <w:w w:val="105"/>
                <w:sz w:val="17"/>
              </w:rPr>
              <w:t>006</w:t>
            </w:r>
          </w:p>
          <w:p>
            <w:pPr>
              <w:pStyle w:val="TableParagraph"/>
              <w:spacing w:before="26"/>
              <w:ind w:left="326"/>
              <w:rPr>
                <w:b/>
                <w:sz w:val="17"/>
              </w:rPr>
            </w:pPr>
            <w:r>
              <w:rPr>
                <w:b/>
                <w:color w:val="2A2A2A"/>
                <w:w w:val="110"/>
                <w:sz w:val="17"/>
              </w:rPr>
              <w:t>£'000</w:t>
            </w:r>
          </w:p>
        </w:tc>
      </w:tr>
      <w:tr>
        <w:trPr>
          <w:trHeight w:val="443" w:hRule="atLeast"/>
        </w:trPr>
        <w:tc>
          <w:tcPr>
            <w:tcW w:w="4032" w:type="dxa"/>
          </w:tcPr>
          <w:p>
            <w:pPr>
              <w:pStyle w:val="TableParagraph"/>
              <w:spacing w:before="115"/>
              <w:ind w:left="62"/>
              <w:rPr>
                <w:b/>
                <w:sz w:val="18"/>
              </w:rPr>
            </w:pPr>
            <w:r>
              <w:rPr>
                <w:b/>
                <w:color w:val="161616"/>
                <w:sz w:val="18"/>
              </w:rPr>
              <w:t>BALANCE </w:t>
            </w:r>
            <w:r>
              <w:rPr>
                <w:b/>
                <w:color w:val="2A2A2A"/>
                <w:sz w:val="18"/>
              </w:rPr>
              <w:t>SHEETS</w:t>
            </w:r>
          </w:p>
        </w:tc>
        <w:tc>
          <w:tcPr>
            <w:tcW w:w="990" w:type="dxa"/>
          </w:tcPr>
          <w:p>
            <w:pPr>
              <w:pStyle w:val="TableParagraph"/>
              <w:rPr>
                <w:sz w:val="16"/>
              </w:rPr>
            </w:pPr>
          </w:p>
        </w:tc>
        <w:tc>
          <w:tcPr>
            <w:tcW w:w="878" w:type="dxa"/>
          </w:tcPr>
          <w:p>
            <w:pPr>
              <w:pStyle w:val="TableParagraph"/>
              <w:rPr>
                <w:sz w:val="16"/>
              </w:rPr>
            </w:pPr>
          </w:p>
        </w:tc>
        <w:tc>
          <w:tcPr>
            <w:tcW w:w="875" w:type="dxa"/>
          </w:tcPr>
          <w:p>
            <w:pPr>
              <w:pStyle w:val="TableParagraph"/>
              <w:rPr>
                <w:sz w:val="16"/>
              </w:rPr>
            </w:pPr>
          </w:p>
        </w:tc>
        <w:tc>
          <w:tcPr>
            <w:tcW w:w="877" w:type="dxa"/>
          </w:tcPr>
          <w:p>
            <w:pPr>
              <w:pStyle w:val="TableParagraph"/>
              <w:rPr>
                <w:sz w:val="16"/>
              </w:rPr>
            </w:pPr>
          </w:p>
        </w:tc>
        <w:tc>
          <w:tcPr>
            <w:tcW w:w="776" w:type="dxa"/>
          </w:tcPr>
          <w:p>
            <w:pPr>
              <w:pStyle w:val="TableParagraph"/>
              <w:rPr>
                <w:sz w:val="16"/>
              </w:rPr>
            </w:pPr>
          </w:p>
        </w:tc>
      </w:tr>
      <w:tr>
        <w:trPr>
          <w:trHeight w:val="336" w:hRule="atLeast"/>
        </w:trPr>
        <w:tc>
          <w:tcPr>
            <w:tcW w:w="4032" w:type="dxa"/>
          </w:tcPr>
          <w:p>
            <w:pPr>
              <w:pStyle w:val="TableParagraph"/>
              <w:spacing w:line="202" w:lineRule="exact" w:before="114"/>
              <w:ind w:left="61"/>
              <w:rPr>
                <w:b/>
                <w:sz w:val="18"/>
              </w:rPr>
            </w:pPr>
            <w:r>
              <w:rPr>
                <w:b/>
                <w:color w:val="2A2A2A"/>
                <w:sz w:val="18"/>
              </w:rPr>
              <w:t>Fixed assets</w:t>
            </w:r>
          </w:p>
        </w:tc>
        <w:tc>
          <w:tcPr>
            <w:tcW w:w="990" w:type="dxa"/>
          </w:tcPr>
          <w:p>
            <w:pPr>
              <w:pStyle w:val="TableParagraph"/>
              <w:rPr>
                <w:sz w:val="16"/>
              </w:rPr>
            </w:pPr>
          </w:p>
        </w:tc>
        <w:tc>
          <w:tcPr>
            <w:tcW w:w="878" w:type="dxa"/>
          </w:tcPr>
          <w:p>
            <w:pPr>
              <w:pStyle w:val="TableParagraph"/>
              <w:rPr>
                <w:sz w:val="16"/>
              </w:rPr>
            </w:pPr>
          </w:p>
        </w:tc>
        <w:tc>
          <w:tcPr>
            <w:tcW w:w="875" w:type="dxa"/>
          </w:tcPr>
          <w:p>
            <w:pPr>
              <w:pStyle w:val="TableParagraph"/>
              <w:rPr>
                <w:sz w:val="16"/>
              </w:rPr>
            </w:pPr>
          </w:p>
        </w:tc>
        <w:tc>
          <w:tcPr>
            <w:tcW w:w="877" w:type="dxa"/>
          </w:tcPr>
          <w:p>
            <w:pPr>
              <w:pStyle w:val="TableParagraph"/>
              <w:rPr>
                <w:sz w:val="16"/>
              </w:rPr>
            </w:pPr>
          </w:p>
        </w:tc>
        <w:tc>
          <w:tcPr>
            <w:tcW w:w="776" w:type="dxa"/>
          </w:tcPr>
          <w:p>
            <w:pPr>
              <w:pStyle w:val="TableParagraph"/>
              <w:rPr>
                <w:sz w:val="16"/>
              </w:rPr>
            </w:pPr>
          </w:p>
        </w:tc>
      </w:tr>
      <w:tr>
        <w:trPr>
          <w:trHeight w:val="188" w:hRule="atLeast"/>
        </w:trPr>
        <w:tc>
          <w:tcPr>
            <w:tcW w:w="4032" w:type="dxa"/>
          </w:tcPr>
          <w:p>
            <w:pPr>
              <w:pStyle w:val="TableParagraph"/>
              <w:spacing w:line="161" w:lineRule="exact" w:before="8"/>
              <w:ind w:left="61"/>
              <w:rPr>
                <w:sz w:val="17"/>
              </w:rPr>
            </w:pPr>
            <w:r>
              <w:rPr>
                <w:color w:val="3B3B3B"/>
                <w:w w:val="105"/>
                <w:sz w:val="17"/>
              </w:rPr>
              <w:t>Tangible assets</w:t>
            </w:r>
          </w:p>
        </w:tc>
        <w:tc>
          <w:tcPr>
            <w:tcW w:w="990" w:type="dxa"/>
            <w:tcBorders>
              <w:bottom w:val="single" w:sz="12" w:space="0" w:color="000000"/>
            </w:tcBorders>
          </w:tcPr>
          <w:p>
            <w:pPr>
              <w:pStyle w:val="TableParagraph"/>
              <w:rPr>
                <w:sz w:val="12"/>
              </w:rPr>
            </w:pPr>
          </w:p>
        </w:tc>
        <w:tc>
          <w:tcPr>
            <w:tcW w:w="878" w:type="dxa"/>
            <w:tcBorders>
              <w:bottom w:val="single" w:sz="12" w:space="0" w:color="000000"/>
            </w:tcBorders>
          </w:tcPr>
          <w:p>
            <w:pPr>
              <w:pStyle w:val="TableParagraph"/>
              <w:rPr>
                <w:sz w:val="12"/>
              </w:rPr>
            </w:pPr>
          </w:p>
        </w:tc>
        <w:tc>
          <w:tcPr>
            <w:tcW w:w="875" w:type="dxa"/>
            <w:tcBorders>
              <w:bottom w:val="single" w:sz="12" w:space="0" w:color="000000"/>
            </w:tcBorders>
          </w:tcPr>
          <w:p>
            <w:pPr>
              <w:pStyle w:val="TableParagraph"/>
              <w:rPr>
                <w:sz w:val="12"/>
              </w:rPr>
            </w:pPr>
          </w:p>
        </w:tc>
        <w:tc>
          <w:tcPr>
            <w:tcW w:w="877" w:type="dxa"/>
            <w:tcBorders>
              <w:bottom w:val="single" w:sz="12" w:space="0" w:color="000000"/>
            </w:tcBorders>
          </w:tcPr>
          <w:p>
            <w:pPr>
              <w:pStyle w:val="TableParagraph"/>
              <w:rPr>
                <w:sz w:val="12"/>
              </w:rPr>
            </w:pPr>
          </w:p>
        </w:tc>
        <w:tc>
          <w:tcPr>
            <w:tcW w:w="776" w:type="dxa"/>
            <w:tcBorders>
              <w:bottom w:val="single" w:sz="12" w:space="0" w:color="000000"/>
            </w:tcBorders>
          </w:tcPr>
          <w:p>
            <w:pPr>
              <w:pStyle w:val="TableParagraph"/>
              <w:rPr>
                <w:sz w:val="12"/>
              </w:rPr>
            </w:pPr>
          </w:p>
        </w:tc>
      </w:tr>
      <w:tr>
        <w:trPr>
          <w:trHeight w:val="217" w:hRule="atLeast"/>
        </w:trPr>
        <w:tc>
          <w:tcPr>
            <w:tcW w:w="4032" w:type="dxa"/>
            <w:tcBorders>
              <w:right w:val="single" w:sz="12" w:space="0" w:color="000000"/>
            </w:tcBorders>
          </w:tcPr>
          <w:p>
            <w:pPr>
              <w:pStyle w:val="TableParagraph"/>
              <w:spacing w:line="187" w:lineRule="exact" w:before="10"/>
              <w:ind w:left="63"/>
              <w:rPr>
                <w:sz w:val="17"/>
              </w:rPr>
            </w:pPr>
            <w:r>
              <w:rPr>
                <w:color w:val="3B3B3B"/>
                <w:w w:val="105"/>
                <w:sz w:val="17"/>
              </w:rPr>
              <w:t>Houses for retired ministers</w:t>
            </w:r>
          </w:p>
        </w:tc>
        <w:tc>
          <w:tcPr>
            <w:tcW w:w="990" w:type="dxa"/>
            <w:tcBorders>
              <w:top w:val="single" w:sz="12" w:space="0" w:color="000000"/>
              <w:left w:val="single" w:sz="12" w:space="0" w:color="000000"/>
            </w:tcBorders>
          </w:tcPr>
          <w:p>
            <w:pPr>
              <w:pStyle w:val="TableParagraph"/>
              <w:spacing w:line="187" w:lineRule="exact" w:before="18"/>
              <w:ind w:right="157"/>
              <w:jc w:val="right"/>
              <w:rPr>
                <w:sz w:val="17"/>
              </w:rPr>
            </w:pPr>
            <w:r>
              <w:rPr>
                <w:color w:val="3B3B3B"/>
                <w:w w:val="105"/>
                <w:sz w:val="17"/>
              </w:rPr>
              <w:t>19,246</w:t>
            </w:r>
          </w:p>
        </w:tc>
        <w:tc>
          <w:tcPr>
            <w:tcW w:w="878" w:type="dxa"/>
            <w:tcBorders>
              <w:top w:val="single" w:sz="12" w:space="0" w:color="000000"/>
            </w:tcBorders>
          </w:tcPr>
          <w:p>
            <w:pPr>
              <w:pStyle w:val="TableParagraph"/>
              <w:spacing w:line="187" w:lineRule="exact" w:before="18"/>
              <w:ind w:right="173"/>
              <w:jc w:val="right"/>
              <w:rPr>
                <w:sz w:val="17"/>
              </w:rPr>
            </w:pPr>
            <w:r>
              <w:rPr>
                <w:color w:val="3B3B3B"/>
                <w:w w:val="110"/>
                <w:sz w:val="17"/>
              </w:rPr>
              <w:t>2</w:t>
            </w:r>
            <w:r>
              <w:rPr>
                <w:color w:val="161616"/>
                <w:w w:val="110"/>
                <w:sz w:val="17"/>
              </w:rPr>
              <w:t>1</w:t>
            </w:r>
            <w:r>
              <w:rPr>
                <w:color w:val="4D4D4D"/>
                <w:w w:val="110"/>
                <w:sz w:val="17"/>
              </w:rPr>
              <w:t>,</w:t>
            </w:r>
            <w:r>
              <w:rPr>
                <w:color w:val="161616"/>
                <w:w w:val="110"/>
                <w:sz w:val="17"/>
              </w:rPr>
              <w:t>1</w:t>
            </w:r>
            <w:r>
              <w:rPr>
                <w:color w:val="3B3B3B"/>
                <w:w w:val="110"/>
                <w:sz w:val="17"/>
              </w:rPr>
              <w:t>64</w:t>
            </w:r>
          </w:p>
        </w:tc>
        <w:tc>
          <w:tcPr>
            <w:tcW w:w="875" w:type="dxa"/>
            <w:tcBorders>
              <w:top w:val="single" w:sz="12" w:space="0" w:color="000000"/>
            </w:tcBorders>
          </w:tcPr>
          <w:p>
            <w:pPr>
              <w:pStyle w:val="TableParagraph"/>
              <w:spacing w:line="187" w:lineRule="exact" w:before="18"/>
              <w:ind w:right="165"/>
              <w:jc w:val="right"/>
              <w:rPr>
                <w:sz w:val="17"/>
              </w:rPr>
            </w:pPr>
            <w:r>
              <w:rPr>
                <w:color w:val="3B3B3B"/>
                <w:w w:val="105"/>
                <w:sz w:val="17"/>
              </w:rPr>
              <w:t>23</w:t>
            </w:r>
            <w:r>
              <w:rPr>
                <w:color w:val="5B5B5B"/>
                <w:w w:val="105"/>
                <w:sz w:val="17"/>
              </w:rPr>
              <w:t>,</w:t>
            </w:r>
            <w:r>
              <w:rPr>
                <w:color w:val="3B3B3B"/>
                <w:w w:val="105"/>
                <w:sz w:val="17"/>
              </w:rPr>
              <w:t>072</w:t>
            </w:r>
          </w:p>
        </w:tc>
        <w:tc>
          <w:tcPr>
            <w:tcW w:w="877" w:type="dxa"/>
            <w:tcBorders>
              <w:top w:val="single" w:sz="12" w:space="0" w:color="000000"/>
            </w:tcBorders>
          </w:tcPr>
          <w:p>
            <w:pPr>
              <w:pStyle w:val="TableParagraph"/>
              <w:spacing w:line="187" w:lineRule="exact" w:before="18"/>
              <w:ind w:right="166"/>
              <w:jc w:val="right"/>
              <w:rPr>
                <w:sz w:val="17"/>
              </w:rPr>
            </w:pPr>
            <w:r>
              <w:rPr>
                <w:color w:val="3B3B3B"/>
                <w:w w:val="105"/>
                <w:sz w:val="17"/>
              </w:rPr>
              <w:t>25,915</w:t>
            </w:r>
          </w:p>
        </w:tc>
        <w:tc>
          <w:tcPr>
            <w:tcW w:w="776" w:type="dxa"/>
            <w:tcBorders>
              <w:top w:val="single" w:sz="12" w:space="0" w:color="000000"/>
              <w:right w:val="single" w:sz="12" w:space="0" w:color="000000"/>
            </w:tcBorders>
          </w:tcPr>
          <w:p>
            <w:pPr>
              <w:pStyle w:val="TableParagraph"/>
              <w:spacing w:line="187" w:lineRule="exact" w:before="18"/>
              <w:ind w:right="56"/>
              <w:jc w:val="right"/>
              <w:rPr>
                <w:sz w:val="17"/>
              </w:rPr>
            </w:pPr>
            <w:r>
              <w:rPr>
                <w:color w:val="3B3B3B"/>
                <w:w w:val="105"/>
                <w:sz w:val="17"/>
              </w:rPr>
              <w:t>27,706</w:t>
            </w:r>
          </w:p>
        </w:tc>
      </w:tr>
      <w:tr>
        <w:trPr>
          <w:trHeight w:val="221" w:hRule="atLeast"/>
        </w:trPr>
        <w:tc>
          <w:tcPr>
            <w:tcW w:w="4032" w:type="dxa"/>
            <w:tcBorders>
              <w:right w:val="single" w:sz="12" w:space="0" w:color="000000"/>
            </w:tcBorders>
          </w:tcPr>
          <w:p>
            <w:pPr>
              <w:pStyle w:val="TableParagraph"/>
              <w:spacing w:line="187" w:lineRule="exact" w:before="14"/>
              <w:ind w:left="63"/>
              <w:rPr>
                <w:sz w:val="17"/>
              </w:rPr>
            </w:pPr>
            <w:r>
              <w:rPr>
                <w:color w:val="3B3B3B"/>
                <w:w w:val="105"/>
                <w:sz w:val="17"/>
              </w:rPr>
              <w:t>Houses for serving mmisters</w:t>
            </w:r>
          </w:p>
        </w:tc>
        <w:tc>
          <w:tcPr>
            <w:tcW w:w="990" w:type="dxa"/>
            <w:tcBorders>
              <w:left w:val="single" w:sz="12" w:space="0" w:color="000000"/>
            </w:tcBorders>
          </w:tcPr>
          <w:p>
            <w:pPr>
              <w:pStyle w:val="TableParagraph"/>
              <w:spacing w:before="4"/>
              <w:ind w:right="160"/>
              <w:jc w:val="right"/>
              <w:rPr>
                <w:sz w:val="17"/>
              </w:rPr>
            </w:pPr>
            <w:r>
              <w:rPr>
                <w:color w:val="2A2A2A"/>
                <w:w w:val="105"/>
                <w:sz w:val="17"/>
              </w:rPr>
              <w:t>4,530</w:t>
            </w:r>
          </w:p>
        </w:tc>
        <w:tc>
          <w:tcPr>
            <w:tcW w:w="878" w:type="dxa"/>
          </w:tcPr>
          <w:p>
            <w:pPr>
              <w:pStyle w:val="TableParagraph"/>
              <w:spacing w:before="4"/>
              <w:ind w:right="162"/>
              <w:jc w:val="right"/>
              <w:rPr>
                <w:sz w:val="17"/>
              </w:rPr>
            </w:pPr>
            <w:r>
              <w:rPr>
                <w:color w:val="2A2A2A"/>
                <w:w w:val="105"/>
                <w:sz w:val="17"/>
              </w:rPr>
              <w:t>4,471</w:t>
            </w:r>
          </w:p>
        </w:tc>
        <w:tc>
          <w:tcPr>
            <w:tcW w:w="875" w:type="dxa"/>
          </w:tcPr>
          <w:p>
            <w:pPr>
              <w:pStyle w:val="TableParagraph"/>
              <w:spacing w:line="187" w:lineRule="exact" w:before="14"/>
              <w:ind w:right="158"/>
              <w:jc w:val="right"/>
              <w:rPr>
                <w:sz w:val="17"/>
              </w:rPr>
            </w:pPr>
            <w:r>
              <w:rPr>
                <w:color w:val="3B3B3B"/>
                <w:w w:val="110"/>
                <w:sz w:val="17"/>
              </w:rPr>
              <w:t>5,099</w:t>
            </w:r>
          </w:p>
        </w:tc>
        <w:tc>
          <w:tcPr>
            <w:tcW w:w="877" w:type="dxa"/>
          </w:tcPr>
          <w:p>
            <w:pPr>
              <w:pStyle w:val="TableParagraph"/>
              <w:spacing w:line="187" w:lineRule="exact" w:before="14"/>
              <w:ind w:right="159"/>
              <w:jc w:val="right"/>
              <w:rPr>
                <w:sz w:val="17"/>
              </w:rPr>
            </w:pPr>
            <w:r>
              <w:rPr>
                <w:color w:val="3B3B3B"/>
                <w:w w:val="110"/>
                <w:sz w:val="17"/>
              </w:rPr>
              <w:t>5,106</w:t>
            </w:r>
          </w:p>
        </w:tc>
        <w:tc>
          <w:tcPr>
            <w:tcW w:w="776" w:type="dxa"/>
            <w:tcBorders>
              <w:right w:val="single" w:sz="12" w:space="0" w:color="000000"/>
            </w:tcBorders>
          </w:tcPr>
          <w:p>
            <w:pPr>
              <w:pStyle w:val="TableParagraph"/>
              <w:spacing w:line="187" w:lineRule="exact" w:before="14"/>
              <w:ind w:right="48"/>
              <w:jc w:val="right"/>
              <w:rPr>
                <w:sz w:val="17"/>
              </w:rPr>
            </w:pPr>
            <w:r>
              <w:rPr>
                <w:color w:val="2A2A2A"/>
                <w:w w:val="110"/>
                <w:sz w:val="17"/>
              </w:rPr>
              <w:t>4,768</w:t>
            </w:r>
          </w:p>
        </w:tc>
      </w:tr>
      <w:tr>
        <w:trPr>
          <w:trHeight w:val="221" w:hRule="atLeast"/>
        </w:trPr>
        <w:tc>
          <w:tcPr>
            <w:tcW w:w="4032" w:type="dxa"/>
            <w:tcBorders>
              <w:right w:val="single" w:sz="12" w:space="0" w:color="000000"/>
            </w:tcBorders>
          </w:tcPr>
          <w:p>
            <w:pPr>
              <w:pStyle w:val="TableParagraph"/>
              <w:spacing w:line="187" w:lineRule="exact" w:before="14"/>
              <w:ind w:left="69"/>
              <w:rPr>
                <w:sz w:val="17"/>
              </w:rPr>
            </w:pPr>
            <w:r>
              <w:rPr>
                <w:color w:val="3B3B3B"/>
                <w:w w:val="110"/>
                <w:sz w:val="17"/>
              </w:rPr>
              <w:t>Othe</w:t>
            </w:r>
            <w:r>
              <w:rPr>
                <w:color w:val="161616"/>
                <w:w w:val="110"/>
                <w:sz w:val="17"/>
              </w:rPr>
              <w:t>r </w:t>
            </w:r>
            <w:r>
              <w:rPr>
                <w:color w:val="3B3B3B"/>
                <w:w w:val="110"/>
                <w:sz w:val="17"/>
              </w:rPr>
              <w:t>propert</w:t>
            </w:r>
            <w:r>
              <w:rPr>
                <w:color w:val="161616"/>
                <w:w w:val="110"/>
                <w:sz w:val="17"/>
              </w:rPr>
              <w:t>i</w:t>
            </w:r>
            <w:r>
              <w:rPr>
                <w:color w:val="3B3B3B"/>
                <w:w w:val="110"/>
                <w:sz w:val="17"/>
              </w:rPr>
              <w:t>es</w:t>
            </w:r>
          </w:p>
        </w:tc>
        <w:tc>
          <w:tcPr>
            <w:tcW w:w="990" w:type="dxa"/>
            <w:tcBorders>
              <w:left w:val="single" w:sz="12" w:space="0" w:color="000000"/>
            </w:tcBorders>
          </w:tcPr>
          <w:p>
            <w:pPr>
              <w:pStyle w:val="TableParagraph"/>
              <w:spacing w:before="4"/>
              <w:ind w:right="159"/>
              <w:jc w:val="right"/>
              <w:rPr>
                <w:sz w:val="17"/>
              </w:rPr>
            </w:pPr>
            <w:r>
              <w:rPr>
                <w:color w:val="3B3B3B"/>
                <w:w w:val="110"/>
                <w:sz w:val="17"/>
              </w:rPr>
              <w:t>2</w:t>
            </w:r>
            <w:r>
              <w:rPr>
                <w:color w:val="5B5B5B"/>
                <w:w w:val="110"/>
                <w:sz w:val="17"/>
              </w:rPr>
              <w:t>,</w:t>
            </w:r>
            <w:r>
              <w:rPr>
                <w:color w:val="3B3B3B"/>
                <w:w w:val="110"/>
                <w:sz w:val="17"/>
              </w:rPr>
              <w:t>249</w:t>
            </w:r>
          </w:p>
        </w:tc>
        <w:tc>
          <w:tcPr>
            <w:tcW w:w="878" w:type="dxa"/>
          </w:tcPr>
          <w:p>
            <w:pPr>
              <w:pStyle w:val="TableParagraph"/>
              <w:spacing w:before="4"/>
              <w:ind w:right="159"/>
              <w:jc w:val="right"/>
              <w:rPr>
                <w:sz w:val="17"/>
              </w:rPr>
            </w:pPr>
            <w:r>
              <w:rPr>
                <w:color w:val="3B3B3B"/>
                <w:w w:val="105"/>
                <w:sz w:val="17"/>
              </w:rPr>
              <w:t>2,210</w:t>
            </w:r>
          </w:p>
        </w:tc>
        <w:tc>
          <w:tcPr>
            <w:tcW w:w="875" w:type="dxa"/>
          </w:tcPr>
          <w:p>
            <w:pPr>
              <w:pStyle w:val="TableParagraph"/>
              <w:spacing w:before="4"/>
              <w:ind w:right="172"/>
              <w:jc w:val="right"/>
              <w:rPr>
                <w:sz w:val="17"/>
              </w:rPr>
            </w:pPr>
            <w:r>
              <w:rPr>
                <w:color w:val="2A2A2A"/>
                <w:w w:val="105"/>
                <w:sz w:val="17"/>
              </w:rPr>
              <w:t>2</w:t>
            </w:r>
            <w:r>
              <w:rPr>
                <w:color w:val="5B5B5B"/>
                <w:w w:val="105"/>
                <w:sz w:val="17"/>
              </w:rPr>
              <w:t>,</w:t>
            </w:r>
            <w:r>
              <w:rPr>
                <w:color w:val="3B3B3B"/>
                <w:w w:val="105"/>
                <w:sz w:val="17"/>
              </w:rPr>
              <w:t>32</w:t>
            </w:r>
            <w:r>
              <w:rPr>
                <w:color w:val="161616"/>
                <w:w w:val="105"/>
                <w:sz w:val="17"/>
              </w:rPr>
              <w:t>1</w:t>
            </w:r>
          </w:p>
        </w:tc>
        <w:tc>
          <w:tcPr>
            <w:tcW w:w="877" w:type="dxa"/>
          </w:tcPr>
          <w:p>
            <w:pPr>
              <w:pStyle w:val="TableParagraph"/>
              <w:spacing w:before="4"/>
              <w:ind w:right="160"/>
              <w:jc w:val="right"/>
              <w:rPr>
                <w:sz w:val="17"/>
              </w:rPr>
            </w:pPr>
            <w:r>
              <w:rPr>
                <w:color w:val="3B3B3B"/>
                <w:w w:val="110"/>
                <w:sz w:val="17"/>
              </w:rPr>
              <w:t>2,300</w:t>
            </w:r>
          </w:p>
        </w:tc>
        <w:tc>
          <w:tcPr>
            <w:tcW w:w="776" w:type="dxa"/>
            <w:tcBorders>
              <w:right w:val="single" w:sz="12" w:space="0" w:color="000000"/>
            </w:tcBorders>
          </w:tcPr>
          <w:p>
            <w:pPr>
              <w:pStyle w:val="TableParagraph"/>
              <w:spacing w:line="187" w:lineRule="exact" w:before="14"/>
              <w:ind w:right="52"/>
              <w:jc w:val="right"/>
              <w:rPr>
                <w:sz w:val="17"/>
              </w:rPr>
            </w:pPr>
            <w:r>
              <w:rPr>
                <w:color w:val="3B3B3B"/>
                <w:w w:val="105"/>
                <w:sz w:val="17"/>
              </w:rPr>
              <w:t>2,249</w:t>
            </w:r>
          </w:p>
        </w:tc>
      </w:tr>
      <w:tr>
        <w:trPr>
          <w:trHeight w:val="185" w:hRule="atLeast"/>
        </w:trPr>
        <w:tc>
          <w:tcPr>
            <w:tcW w:w="4032" w:type="dxa"/>
            <w:tcBorders>
              <w:right w:val="single" w:sz="12" w:space="0" w:color="000000"/>
            </w:tcBorders>
          </w:tcPr>
          <w:p>
            <w:pPr>
              <w:pStyle w:val="TableParagraph"/>
              <w:spacing w:line="161" w:lineRule="exact" w:before="4"/>
              <w:ind w:left="59"/>
              <w:rPr>
                <w:sz w:val="17"/>
              </w:rPr>
            </w:pPr>
            <w:r>
              <w:rPr>
                <w:color w:val="3B3B3B"/>
                <w:w w:val="110"/>
                <w:sz w:val="17"/>
              </w:rPr>
              <w:t>Cars and eq</w:t>
            </w:r>
            <w:r>
              <w:rPr>
                <w:color w:val="161616"/>
                <w:w w:val="110"/>
                <w:sz w:val="17"/>
              </w:rPr>
              <w:t>u</w:t>
            </w:r>
            <w:r>
              <w:rPr>
                <w:color w:val="3B3B3B"/>
                <w:w w:val="110"/>
                <w:sz w:val="17"/>
              </w:rPr>
              <w:t>ipment</w:t>
            </w:r>
          </w:p>
        </w:tc>
        <w:tc>
          <w:tcPr>
            <w:tcW w:w="990" w:type="dxa"/>
            <w:tcBorders>
              <w:left w:val="single" w:sz="12" w:space="0" w:color="000000"/>
              <w:bottom w:val="single" w:sz="12" w:space="0" w:color="000000"/>
            </w:tcBorders>
          </w:tcPr>
          <w:p>
            <w:pPr>
              <w:pStyle w:val="TableParagraph"/>
              <w:spacing w:line="153" w:lineRule="exact" w:before="4"/>
              <w:ind w:right="165"/>
              <w:jc w:val="right"/>
              <w:rPr>
                <w:sz w:val="17"/>
              </w:rPr>
            </w:pPr>
            <w:r>
              <w:rPr>
                <w:color w:val="3B3B3B"/>
                <w:w w:val="105"/>
                <w:sz w:val="17"/>
              </w:rPr>
              <w:t>357</w:t>
            </w:r>
          </w:p>
        </w:tc>
        <w:tc>
          <w:tcPr>
            <w:tcW w:w="878" w:type="dxa"/>
            <w:tcBorders>
              <w:bottom w:val="single" w:sz="12" w:space="0" w:color="000000"/>
            </w:tcBorders>
          </w:tcPr>
          <w:p>
            <w:pPr>
              <w:pStyle w:val="TableParagraph"/>
              <w:spacing w:line="153" w:lineRule="exact" w:before="4"/>
              <w:ind w:right="167"/>
              <w:jc w:val="right"/>
              <w:rPr>
                <w:sz w:val="17"/>
              </w:rPr>
            </w:pPr>
            <w:r>
              <w:rPr>
                <w:color w:val="3B3B3B"/>
                <w:w w:val="105"/>
                <w:sz w:val="17"/>
              </w:rPr>
              <w:t>303</w:t>
            </w:r>
          </w:p>
        </w:tc>
        <w:tc>
          <w:tcPr>
            <w:tcW w:w="875" w:type="dxa"/>
            <w:tcBorders>
              <w:bottom w:val="single" w:sz="12" w:space="0" w:color="000000"/>
            </w:tcBorders>
          </w:tcPr>
          <w:p>
            <w:pPr>
              <w:pStyle w:val="TableParagraph"/>
              <w:spacing w:line="153" w:lineRule="exact" w:before="4"/>
              <w:ind w:right="162"/>
              <w:jc w:val="right"/>
              <w:rPr>
                <w:sz w:val="17"/>
              </w:rPr>
            </w:pPr>
            <w:r>
              <w:rPr>
                <w:color w:val="3B3B3B"/>
                <w:w w:val="105"/>
                <w:sz w:val="17"/>
              </w:rPr>
              <w:t>283</w:t>
            </w:r>
          </w:p>
        </w:tc>
        <w:tc>
          <w:tcPr>
            <w:tcW w:w="877" w:type="dxa"/>
            <w:tcBorders>
              <w:bottom w:val="single" w:sz="12" w:space="0" w:color="000000"/>
            </w:tcBorders>
          </w:tcPr>
          <w:p>
            <w:pPr>
              <w:pStyle w:val="TableParagraph"/>
              <w:spacing w:line="153" w:lineRule="exact" w:before="4"/>
              <w:ind w:right="163"/>
              <w:jc w:val="right"/>
              <w:rPr>
                <w:sz w:val="17"/>
              </w:rPr>
            </w:pPr>
            <w:r>
              <w:rPr>
                <w:color w:val="3B3B3B"/>
                <w:w w:val="110"/>
                <w:sz w:val="17"/>
              </w:rPr>
              <w:t>337</w:t>
            </w:r>
          </w:p>
        </w:tc>
        <w:tc>
          <w:tcPr>
            <w:tcW w:w="776" w:type="dxa"/>
            <w:tcBorders>
              <w:bottom w:val="single" w:sz="12" w:space="0" w:color="000000"/>
              <w:right w:val="single" w:sz="12" w:space="0" w:color="000000"/>
            </w:tcBorders>
          </w:tcPr>
          <w:p>
            <w:pPr>
              <w:pStyle w:val="TableParagraph"/>
              <w:spacing w:line="153" w:lineRule="exact" w:before="4"/>
              <w:ind w:right="51"/>
              <w:jc w:val="right"/>
              <w:rPr>
                <w:sz w:val="17"/>
              </w:rPr>
            </w:pPr>
            <w:r>
              <w:rPr>
                <w:color w:val="3B3B3B"/>
                <w:w w:val="105"/>
                <w:sz w:val="17"/>
              </w:rPr>
              <w:t>334</w:t>
            </w:r>
          </w:p>
        </w:tc>
      </w:tr>
      <w:tr>
        <w:trPr>
          <w:trHeight w:val="333" w:hRule="atLeast"/>
        </w:trPr>
        <w:tc>
          <w:tcPr>
            <w:tcW w:w="4032" w:type="dxa"/>
            <w:tcBorders>
              <w:right w:val="single" w:sz="12" w:space="0" w:color="000000"/>
            </w:tcBorders>
          </w:tcPr>
          <w:p>
            <w:pPr>
              <w:pStyle w:val="TableParagraph"/>
              <w:rPr>
                <w:sz w:val="16"/>
              </w:rPr>
            </w:pPr>
          </w:p>
        </w:tc>
        <w:tc>
          <w:tcPr>
            <w:tcW w:w="990" w:type="dxa"/>
            <w:tcBorders>
              <w:top w:val="single" w:sz="12" w:space="0" w:color="000000"/>
              <w:left w:val="single" w:sz="12" w:space="0" w:color="000000"/>
            </w:tcBorders>
          </w:tcPr>
          <w:p>
            <w:pPr>
              <w:pStyle w:val="TableParagraph"/>
              <w:spacing w:before="18"/>
              <w:ind w:right="165"/>
              <w:jc w:val="right"/>
              <w:rPr>
                <w:sz w:val="17"/>
              </w:rPr>
            </w:pPr>
            <w:r>
              <w:rPr>
                <w:color w:val="2A2A2A"/>
                <w:w w:val="105"/>
                <w:sz w:val="17"/>
              </w:rPr>
              <w:t>26,381</w:t>
            </w:r>
          </w:p>
        </w:tc>
        <w:tc>
          <w:tcPr>
            <w:tcW w:w="878" w:type="dxa"/>
            <w:tcBorders>
              <w:top w:val="single" w:sz="12" w:space="0" w:color="000000"/>
            </w:tcBorders>
          </w:tcPr>
          <w:p>
            <w:pPr>
              <w:pStyle w:val="TableParagraph"/>
              <w:spacing w:before="18"/>
              <w:ind w:right="174"/>
              <w:jc w:val="right"/>
              <w:rPr>
                <w:sz w:val="17"/>
              </w:rPr>
            </w:pPr>
            <w:r>
              <w:rPr>
                <w:color w:val="3B3B3B"/>
                <w:w w:val="105"/>
                <w:sz w:val="17"/>
              </w:rPr>
              <w:t>28,</w:t>
            </w:r>
            <w:r>
              <w:rPr>
                <w:color w:val="161616"/>
                <w:w w:val="105"/>
                <w:sz w:val="17"/>
              </w:rPr>
              <w:t>14</w:t>
            </w:r>
            <w:r>
              <w:rPr>
                <w:color w:val="3B3B3B"/>
                <w:w w:val="105"/>
                <w:sz w:val="17"/>
              </w:rPr>
              <w:t>8</w:t>
            </w:r>
          </w:p>
        </w:tc>
        <w:tc>
          <w:tcPr>
            <w:tcW w:w="875" w:type="dxa"/>
            <w:tcBorders>
              <w:top w:val="single" w:sz="12" w:space="0" w:color="000000"/>
            </w:tcBorders>
          </w:tcPr>
          <w:p>
            <w:pPr>
              <w:pStyle w:val="TableParagraph"/>
              <w:spacing w:before="18"/>
              <w:ind w:right="164"/>
              <w:jc w:val="right"/>
              <w:rPr>
                <w:sz w:val="17"/>
              </w:rPr>
            </w:pPr>
            <w:r>
              <w:rPr>
                <w:color w:val="3B3B3B"/>
                <w:w w:val="105"/>
                <w:sz w:val="17"/>
              </w:rPr>
              <w:t>30,775</w:t>
            </w:r>
          </w:p>
        </w:tc>
        <w:tc>
          <w:tcPr>
            <w:tcW w:w="877" w:type="dxa"/>
            <w:tcBorders>
              <w:top w:val="single" w:sz="12" w:space="0" w:color="000000"/>
            </w:tcBorders>
          </w:tcPr>
          <w:p>
            <w:pPr>
              <w:pStyle w:val="TableParagraph"/>
              <w:spacing w:before="18"/>
              <w:ind w:right="165"/>
              <w:jc w:val="right"/>
              <w:rPr>
                <w:sz w:val="17"/>
              </w:rPr>
            </w:pPr>
            <w:r>
              <w:rPr>
                <w:color w:val="3B3B3B"/>
                <w:w w:val="105"/>
                <w:sz w:val="17"/>
              </w:rPr>
              <w:t>33,658</w:t>
            </w:r>
          </w:p>
        </w:tc>
        <w:tc>
          <w:tcPr>
            <w:tcW w:w="776" w:type="dxa"/>
            <w:tcBorders>
              <w:top w:val="single" w:sz="12" w:space="0" w:color="000000"/>
              <w:right w:val="single" w:sz="12" w:space="0" w:color="000000"/>
            </w:tcBorders>
          </w:tcPr>
          <w:p>
            <w:pPr>
              <w:pStyle w:val="TableParagraph"/>
              <w:spacing w:before="18"/>
              <w:ind w:right="54"/>
              <w:jc w:val="right"/>
              <w:rPr>
                <w:sz w:val="17"/>
              </w:rPr>
            </w:pPr>
            <w:r>
              <w:rPr>
                <w:color w:val="3B3B3B"/>
                <w:w w:val="105"/>
                <w:sz w:val="17"/>
              </w:rPr>
              <w:t>35,057</w:t>
            </w:r>
          </w:p>
        </w:tc>
      </w:tr>
      <w:tr>
        <w:trPr>
          <w:trHeight w:val="442" w:hRule="atLeast"/>
        </w:trPr>
        <w:tc>
          <w:tcPr>
            <w:tcW w:w="4032" w:type="dxa"/>
            <w:tcBorders>
              <w:right w:val="single" w:sz="12" w:space="0" w:color="000000"/>
            </w:tcBorders>
          </w:tcPr>
          <w:p>
            <w:pPr>
              <w:pStyle w:val="TableParagraph"/>
              <w:spacing w:before="120"/>
              <w:ind w:left="62"/>
              <w:rPr>
                <w:sz w:val="17"/>
              </w:rPr>
            </w:pPr>
            <w:r>
              <w:rPr>
                <w:color w:val="5B5B5B"/>
                <w:w w:val="105"/>
                <w:sz w:val="17"/>
              </w:rPr>
              <w:t>L</w:t>
            </w:r>
            <w:r>
              <w:rPr>
                <w:color w:val="3B3B3B"/>
                <w:w w:val="105"/>
                <w:sz w:val="17"/>
              </w:rPr>
              <w:t>ong term investments (incl.programme-related)</w:t>
            </w:r>
          </w:p>
        </w:tc>
        <w:tc>
          <w:tcPr>
            <w:tcW w:w="990" w:type="dxa"/>
            <w:tcBorders>
              <w:left w:val="single" w:sz="12" w:space="0" w:color="000000"/>
            </w:tcBorders>
          </w:tcPr>
          <w:p>
            <w:pPr>
              <w:pStyle w:val="TableParagraph"/>
              <w:spacing w:before="120"/>
              <w:ind w:right="173"/>
              <w:jc w:val="right"/>
              <w:rPr>
                <w:sz w:val="17"/>
              </w:rPr>
            </w:pPr>
            <w:r>
              <w:rPr>
                <w:color w:val="2A2A2A"/>
                <w:w w:val="105"/>
                <w:sz w:val="17"/>
              </w:rPr>
              <w:t>15</w:t>
            </w:r>
            <w:r>
              <w:rPr>
                <w:color w:val="5B5B5B"/>
                <w:w w:val="105"/>
                <w:sz w:val="17"/>
              </w:rPr>
              <w:t>,</w:t>
            </w:r>
            <w:r>
              <w:rPr>
                <w:color w:val="2A2A2A"/>
                <w:w w:val="105"/>
                <w:sz w:val="17"/>
              </w:rPr>
              <w:t>489</w:t>
            </w:r>
          </w:p>
        </w:tc>
        <w:tc>
          <w:tcPr>
            <w:tcW w:w="878" w:type="dxa"/>
          </w:tcPr>
          <w:p>
            <w:pPr>
              <w:pStyle w:val="TableParagraph"/>
              <w:spacing w:before="120"/>
              <w:ind w:right="164"/>
              <w:jc w:val="right"/>
              <w:rPr>
                <w:sz w:val="17"/>
              </w:rPr>
            </w:pPr>
            <w:r>
              <w:rPr>
                <w:color w:val="3B3B3B"/>
                <w:w w:val="105"/>
                <w:sz w:val="17"/>
              </w:rPr>
              <w:t>16,861</w:t>
            </w:r>
          </w:p>
        </w:tc>
        <w:tc>
          <w:tcPr>
            <w:tcW w:w="875" w:type="dxa"/>
          </w:tcPr>
          <w:p>
            <w:pPr>
              <w:pStyle w:val="TableParagraph"/>
              <w:spacing w:before="120"/>
              <w:ind w:right="171"/>
              <w:jc w:val="right"/>
              <w:rPr>
                <w:sz w:val="17"/>
              </w:rPr>
            </w:pPr>
            <w:r>
              <w:rPr>
                <w:color w:val="3B3B3B"/>
                <w:w w:val="105"/>
                <w:sz w:val="17"/>
              </w:rPr>
              <w:t>17</w:t>
            </w:r>
            <w:r>
              <w:rPr>
                <w:color w:val="5B5B5B"/>
                <w:w w:val="105"/>
                <w:sz w:val="17"/>
              </w:rPr>
              <w:t>,</w:t>
            </w:r>
            <w:r>
              <w:rPr>
                <w:color w:val="161616"/>
                <w:w w:val="105"/>
                <w:sz w:val="17"/>
              </w:rPr>
              <w:t>110</w:t>
            </w:r>
          </w:p>
        </w:tc>
        <w:tc>
          <w:tcPr>
            <w:tcW w:w="877" w:type="dxa"/>
          </w:tcPr>
          <w:p>
            <w:pPr>
              <w:pStyle w:val="TableParagraph"/>
              <w:spacing w:before="120"/>
              <w:ind w:right="171"/>
              <w:jc w:val="right"/>
              <w:rPr>
                <w:sz w:val="17"/>
              </w:rPr>
            </w:pPr>
            <w:r>
              <w:rPr>
                <w:color w:val="3B3B3B"/>
                <w:w w:val="105"/>
                <w:sz w:val="17"/>
              </w:rPr>
              <w:t>20,154</w:t>
            </w:r>
          </w:p>
        </w:tc>
        <w:tc>
          <w:tcPr>
            <w:tcW w:w="776" w:type="dxa"/>
            <w:tcBorders>
              <w:right w:val="single" w:sz="12" w:space="0" w:color="000000"/>
            </w:tcBorders>
          </w:tcPr>
          <w:p>
            <w:pPr>
              <w:pStyle w:val="TableParagraph"/>
              <w:spacing w:before="120"/>
              <w:ind w:right="56"/>
              <w:jc w:val="right"/>
              <w:rPr>
                <w:sz w:val="17"/>
              </w:rPr>
            </w:pPr>
            <w:r>
              <w:rPr>
                <w:color w:val="3B3B3B"/>
                <w:w w:val="105"/>
                <w:sz w:val="17"/>
              </w:rPr>
              <w:t>22,219</w:t>
            </w:r>
          </w:p>
        </w:tc>
      </w:tr>
      <w:tr>
        <w:trPr>
          <w:trHeight w:val="302" w:hRule="atLeast"/>
        </w:trPr>
        <w:tc>
          <w:tcPr>
            <w:tcW w:w="4032" w:type="dxa"/>
            <w:tcBorders>
              <w:right w:val="single" w:sz="12" w:space="0" w:color="000000"/>
            </w:tcBorders>
          </w:tcPr>
          <w:p>
            <w:pPr>
              <w:pStyle w:val="TableParagraph"/>
              <w:spacing w:line="162" w:lineRule="exact" w:before="120"/>
              <w:ind w:left="62"/>
              <w:rPr>
                <w:sz w:val="17"/>
              </w:rPr>
            </w:pPr>
            <w:r>
              <w:rPr>
                <w:color w:val="4D4D4D"/>
                <w:w w:val="105"/>
                <w:sz w:val="17"/>
              </w:rPr>
              <w:t>Loans </w:t>
            </w:r>
            <w:r>
              <w:rPr>
                <w:color w:val="3B3B3B"/>
                <w:w w:val="105"/>
                <w:sz w:val="17"/>
              </w:rPr>
              <w:t>to churches </w:t>
            </w:r>
            <w:r>
              <w:rPr>
                <w:color w:val="2A2A2A"/>
                <w:w w:val="105"/>
                <w:sz w:val="17"/>
              </w:rPr>
              <w:t>and </w:t>
            </w:r>
            <w:r>
              <w:rPr>
                <w:color w:val="3B3B3B"/>
                <w:w w:val="105"/>
                <w:sz w:val="17"/>
              </w:rPr>
              <w:t>ministers</w:t>
            </w:r>
          </w:p>
        </w:tc>
        <w:tc>
          <w:tcPr>
            <w:tcW w:w="990" w:type="dxa"/>
            <w:tcBorders>
              <w:left w:val="single" w:sz="12" w:space="0" w:color="000000"/>
              <w:bottom w:val="single" w:sz="12" w:space="0" w:color="000000"/>
            </w:tcBorders>
          </w:tcPr>
          <w:p>
            <w:pPr>
              <w:pStyle w:val="TableParagraph"/>
              <w:spacing w:line="162" w:lineRule="exact" w:before="120"/>
              <w:ind w:right="181"/>
              <w:jc w:val="right"/>
              <w:rPr>
                <w:sz w:val="17"/>
              </w:rPr>
            </w:pPr>
            <w:r>
              <w:rPr>
                <w:color w:val="3B3B3B"/>
                <w:w w:val="105"/>
                <w:sz w:val="17"/>
              </w:rPr>
              <w:t>589</w:t>
            </w:r>
          </w:p>
        </w:tc>
        <w:tc>
          <w:tcPr>
            <w:tcW w:w="878" w:type="dxa"/>
            <w:tcBorders>
              <w:bottom w:val="single" w:sz="12" w:space="0" w:color="000000"/>
            </w:tcBorders>
          </w:tcPr>
          <w:p>
            <w:pPr>
              <w:pStyle w:val="TableParagraph"/>
              <w:spacing w:line="162" w:lineRule="exact" w:before="120"/>
              <w:ind w:right="172"/>
              <w:jc w:val="right"/>
              <w:rPr>
                <w:sz w:val="17"/>
              </w:rPr>
            </w:pPr>
            <w:r>
              <w:rPr>
                <w:color w:val="2A2A2A"/>
                <w:w w:val="105"/>
                <w:sz w:val="17"/>
              </w:rPr>
              <w:t>699</w:t>
            </w:r>
          </w:p>
        </w:tc>
        <w:tc>
          <w:tcPr>
            <w:tcW w:w="875" w:type="dxa"/>
            <w:tcBorders>
              <w:bottom w:val="single" w:sz="12" w:space="0" w:color="000000"/>
            </w:tcBorders>
          </w:tcPr>
          <w:p>
            <w:pPr>
              <w:pStyle w:val="TableParagraph"/>
              <w:spacing w:line="162" w:lineRule="exact" w:before="120"/>
              <w:ind w:right="170"/>
              <w:jc w:val="right"/>
              <w:rPr>
                <w:sz w:val="17"/>
              </w:rPr>
            </w:pPr>
            <w:r>
              <w:rPr>
                <w:color w:val="3B3B3B"/>
                <w:w w:val="105"/>
                <w:sz w:val="17"/>
              </w:rPr>
              <w:t>731</w:t>
            </w:r>
          </w:p>
        </w:tc>
        <w:tc>
          <w:tcPr>
            <w:tcW w:w="877" w:type="dxa"/>
            <w:tcBorders>
              <w:bottom w:val="single" w:sz="12" w:space="0" w:color="000000"/>
            </w:tcBorders>
          </w:tcPr>
          <w:p>
            <w:pPr>
              <w:pStyle w:val="TableParagraph"/>
              <w:spacing w:line="162" w:lineRule="exact" w:before="120"/>
              <w:ind w:right="182"/>
              <w:jc w:val="right"/>
              <w:rPr>
                <w:sz w:val="17"/>
              </w:rPr>
            </w:pPr>
            <w:r>
              <w:rPr>
                <w:color w:val="3B3B3B"/>
                <w:w w:val="105"/>
                <w:sz w:val="17"/>
              </w:rPr>
              <w:t>534</w:t>
            </w:r>
          </w:p>
        </w:tc>
        <w:tc>
          <w:tcPr>
            <w:tcW w:w="776" w:type="dxa"/>
            <w:tcBorders>
              <w:bottom w:val="single" w:sz="12" w:space="0" w:color="000000"/>
              <w:right w:val="single" w:sz="12" w:space="0" w:color="000000"/>
            </w:tcBorders>
          </w:tcPr>
          <w:p>
            <w:pPr>
              <w:pStyle w:val="TableParagraph"/>
              <w:spacing w:line="162" w:lineRule="exact" w:before="120"/>
              <w:ind w:right="67"/>
              <w:jc w:val="right"/>
              <w:rPr>
                <w:sz w:val="17"/>
              </w:rPr>
            </w:pPr>
            <w:r>
              <w:rPr>
                <w:color w:val="3B3B3B"/>
                <w:w w:val="105"/>
                <w:sz w:val="17"/>
              </w:rPr>
              <w:t>570</w:t>
            </w:r>
          </w:p>
        </w:tc>
      </w:tr>
      <w:tr>
        <w:trPr>
          <w:trHeight w:val="327" w:hRule="atLeast"/>
        </w:trPr>
        <w:tc>
          <w:tcPr>
            <w:tcW w:w="4032" w:type="dxa"/>
          </w:tcPr>
          <w:p>
            <w:pPr>
              <w:pStyle w:val="TableParagraph"/>
              <w:rPr>
                <w:sz w:val="16"/>
              </w:rPr>
            </w:pPr>
          </w:p>
        </w:tc>
        <w:tc>
          <w:tcPr>
            <w:tcW w:w="990" w:type="dxa"/>
            <w:tcBorders>
              <w:top w:val="single" w:sz="12" w:space="0" w:color="000000"/>
            </w:tcBorders>
          </w:tcPr>
          <w:p>
            <w:pPr>
              <w:pStyle w:val="TableParagraph"/>
              <w:spacing w:before="9"/>
              <w:ind w:right="176"/>
              <w:jc w:val="right"/>
              <w:rPr>
                <w:sz w:val="17"/>
              </w:rPr>
            </w:pPr>
            <w:r>
              <w:rPr>
                <w:color w:val="2A2A2A"/>
                <w:w w:val="105"/>
                <w:sz w:val="17"/>
              </w:rPr>
              <w:t>42</w:t>
            </w:r>
            <w:r>
              <w:rPr>
                <w:color w:val="5B5B5B"/>
                <w:w w:val="105"/>
                <w:sz w:val="17"/>
              </w:rPr>
              <w:t>,</w:t>
            </w:r>
            <w:r>
              <w:rPr>
                <w:color w:val="2A2A2A"/>
                <w:w w:val="105"/>
                <w:sz w:val="17"/>
              </w:rPr>
              <w:t>460</w:t>
            </w:r>
          </w:p>
        </w:tc>
        <w:tc>
          <w:tcPr>
            <w:tcW w:w="878" w:type="dxa"/>
            <w:tcBorders>
              <w:top w:val="single" w:sz="12" w:space="0" w:color="000000"/>
            </w:tcBorders>
          </w:tcPr>
          <w:p>
            <w:pPr>
              <w:pStyle w:val="TableParagraph"/>
              <w:spacing w:before="9"/>
              <w:ind w:right="166"/>
              <w:jc w:val="right"/>
              <w:rPr>
                <w:sz w:val="17"/>
              </w:rPr>
            </w:pPr>
            <w:r>
              <w:rPr>
                <w:color w:val="3B3B3B"/>
                <w:w w:val="105"/>
                <w:sz w:val="17"/>
              </w:rPr>
              <w:t>45,708</w:t>
            </w:r>
          </w:p>
        </w:tc>
        <w:tc>
          <w:tcPr>
            <w:tcW w:w="875" w:type="dxa"/>
            <w:tcBorders>
              <w:top w:val="single" w:sz="12" w:space="0" w:color="000000"/>
            </w:tcBorders>
          </w:tcPr>
          <w:p>
            <w:pPr>
              <w:pStyle w:val="TableParagraph"/>
              <w:spacing w:before="9"/>
              <w:ind w:right="177"/>
              <w:jc w:val="right"/>
              <w:rPr>
                <w:sz w:val="17"/>
              </w:rPr>
            </w:pPr>
            <w:r>
              <w:rPr>
                <w:color w:val="3B3B3B"/>
                <w:w w:val="105"/>
                <w:sz w:val="17"/>
              </w:rPr>
              <w:t>48,6</w:t>
            </w:r>
            <w:r>
              <w:rPr>
                <w:color w:val="161616"/>
                <w:w w:val="105"/>
                <w:sz w:val="17"/>
              </w:rPr>
              <w:t>16</w:t>
            </w:r>
          </w:p>
        </w:tc>
        <w:tc>
          <w:tcPr>
            <w:tcW w:w="877" w:type="dxa"/>
            <w:tcBorders>
              <w:top w:val="single" w:sz="12" w:space="0" w:color="000000"/>
            </w:tcBorders>
          </w:tcPr>
          <w:p>
            <w:pPr>
              <w:pStyle w:val="TableParagraph"/>
              <w:spacing w:before="9"/>
              <w:ind w:right="166"/>
              <w:jc w:val="right"/>
              <w:rPr>
                <w:sz w:val="17"/>
              </w:rPr>
            </w:pPr>
            <w:r>
              <w:rPr>
                <w:color w:val="2A2A2A"/>
                <w:w w:val="105"/>
                <w:sz w:val="17"/>
              </w:rPr>
              <w:t>54</w:t>
            </w:r>
            <w:r>
              <w:rPr>
                <w:color w:val="4D4D4D"/>
                <w:w w:val="105"/>
                <w:sz w:val="17"/>
              </w:rPr>
              <w:t>,</w:t>
            </w:r>
            <w:r>
              <w:rPr>
                <w:color w:val="2A2A2A"/>
                <w:w w:val="105"/>
                <w:sz w:val="17"/>
              </w:rPr>
              <w:t>346</w:t>
            </w:r>
          </w:p>
        </w:tc>
        <w:tc>
          <w:tcPr>
            <w:tcW w:w="776" w:type="dxa"/>
            <w:tcBorders>
              <w:top w:val="single" w:sz="12" w:space="0" w:color="000000"/>
            </w:tcBorders>
          </w:tcPr>
          <w:p>
            <w:pPr>
              <w:pStyle w:val="TableParagraph"/>
              <w:spacing w:before="9"/>
              <w:ind w:right="71"/>
              <w:jc w:val="right"/>
              <w:rPr>
                <w:sz w:val="17"/>
              </w:rPr>
            </w:pPr>
            <w:r>
              <w:rPr>
                <w:color w:val="3B3B3B"/>
                <w:w w:val="105"/>
                <w:sz w:val="17"/>
              </w:rPr>
              <w:t>57,846</w:t>
            </w:r>
          </w:p>
        </w:tc>
      </w:tr>
      <w:tr>
        <w:trPr>
          <w:trHeight w:val="337" w:hRule="atLeast"/>
        </w:trPr>
        <w:tc>
          <w:tcPr>
            <w:tcW w:w="4032" w:type="dxa"/>
          </w:tcPr>
          <w:p>
            <w:pPr>
              <w:pStyle w:val="TableParagraph"/>
              <w:spacing w:line="202" w:lineRule="exact" w:before="115"/>
              <w:ind w:left="73"/>
              <w:rPr>
                <w:b/>
                <w:sz w:val="18"/>
              </w:rPr>
            </w:pPr>
            <w:r>
              <w:rPr>
                <w:b/>
                <w:color w:val="3B3B3B"/>
                <w:w w:val="105"/>
                <w:sz w:val="18"/>
              </w:rPr>
              <w:t>Net</w:t>
            </w:r>
            <w:r>
              <w:rPr>
                <w:b/>
                <w:color w:val="2A2A2A"/>
                <w:w w:val="105"/>
                <w:sz w:val="18"/>
              </w:rPr>
              <w:t>c</w:t>
            </w:r>
            <w:r>
              <w:rPr>
                <w:b/>
                <w:w w:val="105"/>
                <w:sz w:val="18"/>
              </w:rPr>
              <w:t>urr</w:t>
            </w:r>
            <w:r>
              <w:rPr>
                <w:b/>
                <w:color w:val="2A2A2A"/>
                <w:w w:val="105"/>
                <w:sz w:val="18"/>
              </w:rPr>
              <w:t>ent assets/(</w:t>
            </w:r>
            <w:r>
              <w:rPr>
                <w:b/>
                <w:w w:val="105"/>
                <w:sz w:val="18"/>
              </w:rPr>
              <w:t>li</w:t>
            </w:r>
            <w:r>
              <w:rPr>
                <w:b/>
                <w:color w:val="2A2A2A"/>
                <w:w w:val="105"/>
                <w:sz w:val="18"/>
              </w:rPr>
              <w:t>abilities)</w:t>
            </w:r>
          </w:p>
        </w:tc>
        <w:tc>
          <w:tcPr>
            <w:tcW w:w="990" w:type="dxa"/>
          </w:tcPr>
          <w:p>
            <w:pPr>
              <w:pStyle w:val="TableParagraph"/>
              <w:rPr>
                <w:sz w:val="16"/>
              </w:rPr>
            </w:pPr>
          </w:p>
        </w:tc>
        <w:tc>
          <w:tcPr>
            <w:tcW w:w="878" w:type="dxa"/>
          </w:tcPr>
          <w:p>
            <w:pPr>
              <w:pStyle w:val="TableParagraph"/>
              <w:rPr>
                <w:sz w:val="16"/>
              </w:rPr>
            </w:pPr>
          </w:p>
        </w:tc>
        <w:tc>
          <w:tcPr>
            <w:tcW w:w="875" w:type="dxa"/>
          </w:tcPr>
          <w:p>
            <w:pPr>
              <w:pStyle w:val="TableParagraph"/>
              <w:rPr>
                <w:sz w:val="16"/>
              </w:rPr>
            </w:pPr>
          </w:p>
        </w:tc>
        <w:tc>
          <w:tcPr>
            <w:tcW w:w="877" w:type="dxa"/>
          </w:tcPr>
          <w:p>
            <w:pPr>
              <w:pStyle w:val="TableParagraph"/>
              <w:rPr>
                <w:sz w:val="16"/>
              </w:rPr>
            </w:pPr>
          </w:p>
        </w:tc>
        <w:tc>
          <w:tcPr>
            <w:tcW w:w="776" w:type="dxa"/>
          </w:tcPr>
          <w:p>
            <w:pPr>
              <w:pStyle w:val="TableParagraph"/>
              <w:rPr>
                <w:sz w:val="16"/>
              </w:rPr>
            </w:pPr>
          </w:p>
        </w:tc>
      </w:tr>
      <w:tr>
        <w:trPr>
          <w:trHeight w:val="188" w:hRule="atLeast"/>
        </w:trPr>
        <w:tc>
          <w:tcPr>
            <w:tcW w:w="4032" w:type="dxa"/>
          </w:tcPr>
          <w:p>
            <w:pPr>
              <w:pStyle w:val="TableParagraph"/>
              <w:spacing w:line="161" w:lineRule="exact" w:before="8"/>
              <w:ind w:left="59"/>
              <w:rPr>
                <w:sz w:val="17"/>
              </w:rPr>
            </w:pPr>
            <w:r>
              <w:rPr>
                <w:color w:val="3B3B3B"/>
                <w:w w:val="105"/>
                <w:sz w:val="17"/>
              </w:rPr>
              <w:t>Current assets</w:t>
            </w:r>
          </w:p>
        </w:tc>
        <w:tc>
          <w:tcPr>
            <w:tcW w:w="990" w:type="dxa"/>
            <w:tcBorders>
              <w:bottom w:val="single" w:sz="12" w:space="0" w:color="000000"/>
            </w:tcBorders>
          </w:tcPr>
          <w:p>
            <w:pPr>
              <w:pStyle w:val="TableParagraph"/>
              <w:rPr>
                <w:sz w:val="12"/>
              </w:rPr>
            </w:pPr>
          </w:p>
        </w:tc>
        <w:tc>
          <w:tcPr>
            <w:tcW w:w="878" w:type="dxa"/>
            <w:tcBorders>
              <w:bottom w:val="single" w:sz="12" w:space="0" w:color="000000"/>
            </w:tcBorders>
          </w:tcPr>
          <w:p>
            <w:pPr>
              <w:pStyle w:val="TableParagraph"/>
              <w:rPr>
                <w:sz w:val="12"/>
              </w:rPr>
            </w:pPr>
          </w:p>
        </w:tc>
        <w:tc>
          <w:tcPr>
            <w:tcW w:w="875" w:type="dxa"/>
            <w:tcBorders>
              <w:bottom w:val="single" w:sz="12" w:space="0" w:color="000000"/>
            </w:tcBorders>
          </w:tcPr>
          <w:p>
            <w:pPr>
              <w:pStyle w:val="TableParagraph"/>
              <w:rPr>
                <w:sz w:val="12"/>
              </w:rPr>
            </w:pPr>
          </w:p>
        </w:tc>
        <w:tc>
          <w:tcPr>
            <w:tcW w:w="877" w:type="dxa"/>
            <w:tcBorders>
              <w:bottom w:val="single" w:sz="12" w:space="0" w:color="000000"/>
            </w:tcBorders>
          </w:tcPr>
          <w:p>
            <w:pPr>
              <w:pStyle w:val="TableParagraph"/>
              <w:rPr>
                <w:sz w:val="12"/>
              </w:rPr>
            </w:pPr>
          </w:p>
        </w:tc>
        <w:tc>
          <w:tcPr>
            <w:tcW w:w="776" w:type="dxa"/>
            <w:tcBorders>
              <w:bottom w:val="single" w:sz="12" w:space="0" w:color="000000"/>
            </w:tcBorders>
          </w:tcPr>
          <w:p>
            <w:pPr>
              <w:pStyle w:val="TableParagraph"/>
              <w:rPr>
                <w:sz w:val="12"/>
              </w:rPr>
            </w:pPr>
          </w:p>
        </w:tc>
      </w:tr>
      <w:tr>
        <w:trPr>
          <w:trHeight w:val="222" w:hRule="atLeast"/>
        </w:trPr>
        <w:tc>
          <w:tcPr>
            <w:tcW w:w="4032" w:type="dxa"/>
            <w:tcBorders>
              <w:right w:val="single" w:sz="12" w:space="0" w:color="000000"/>
            </w:tcBorders>
          </w:tcPr>
          <w:p>
            <w:pPr>
              <w:pStyle w:val="TableParagraph"/>
              <w:spacing w:line="192" w:lineRule="exact" w:before="10"/>
              <w:ind w:left="63"/>
              <w:rPr>
                <w:sz w:val="17"/>
              </w:rPr>
            </w:pPr>
            <w:r>
              <w:rPr>
                <w:color w:val="2A2A2A"/>
                <w:w w:val="105"/>
                <w:sz w:val="17"/>
              </w:rPr>
              <w:t>Debtors </w:t>
            </w:r>
            <w:r>
              <w:rPr>
                <w:color w:val="3B3B3B"/>
                <w:w w:val="105"/>
                <w:sz w:val="17"/>
              </w:rPr>
              <w:t>and stock</w:t>
            </w:r>
          </w:p>
        </w:tc>
        <w:tc>
          <w:tcPr>
            <w:tcW w:w="990" w:type="dxa"/>
            <w:tcBorders>
              <w:top w:val="single" w:sz="12" w:space="0" w:color="000000"/>
              <w:left w:val="single" w:sz="12" w:space="0" w:color="000000"/>
            </w:tcBorders>
          </w:tcPr>
          <w:p>
            <w:pPr>
              <w:pStyle w:val="TableParagraph"/>
              <w:spacing w:line="192" w:lineRule="exact" w:before="18"/>
              <w:ind w:right="156"/>
              <w:jc w:val="right"/>
              <w:rPr>
                <w:sz w:val="17"/>
              </w:rPr>
            </w:pPr>
            <w:r>
              <w:rPr>
                <w:color w:val="3B3B3B"/>
                <w:w w:val="110"/>
                <w:sz w:val="17"/>
              </w:rPr>
              <w:t>1,054</w:t>
            </w:r>
          </w:p>
        </w:tc>
        <w:tc>
          <w:tcPr>
            <w:tcW w:w="878" w:type="dxa"/>
            <w:tcBorders>
              <w:top w:val="single" w:sz="12" w:space="0" w:color="000000"/>
            </w:tcBorders>
          </w:tcPr>
          <w:p>
            <w:pPr>
              <w:pStyle w:val="TableParagraph"/>
              <w:spacing w:line="192" w:lineRule="exact" w:before="18"/>
              <w:ind w:right="173"/>
              <w:jc w:val="right"/>
              <w:rPr>
                <w:sz w:val="17"/>
              </w:rPr>
            </w:pPr>
            <w:r>
              <w:rPr>
                <w:color w:val="2A2A2A"/>
                <w:w w:val="110"/>
                <w:sz w:val="17"/>
              </w:rPr>
              <w:t>1</w:t>
            </w:r>
            <w:r>
              <w:rPr>
                <w:color w:val="4D4D4D"/>
                <w:w w:val="110"/>
                <w:sz w:val="17"/>
              </w:rPr>
              <w:t>,2</w:t>
            </w:r>
            <w:r>
              <w:rPr>
                <w:color w:val="2A2A2A"/>
                <w:w w:val="110"/>
                <w:sz w:val="17"/>
              </w:rPr>
              <w:t>86</w:t>
            </w:r>
          </w:p>
        </w:tc>
        <w:tc>
          <w:tcPr>
            <w:tcW w:w="875" w:type="dxa"/>
            <w:tcBorders>
              <w:top w:val="single" w:sz="12" w:space="0" w:color="000000"/>
            </w:tcBorders>
          </w:tcPr>
          <w:p>
            <w:pPr>
              <w:pStyle w:val="TableParagraph"/>
              <w:spacing w:line="192" w:lineRule="exact" w:before="18"/>
              <w:ind w:right="163"/>
              <w:jc w:val="right"/>
              <w:rPr>
                <w:sz w:val="17"/>
              </w:rPr>
            </w:pPr>
            <w:r>
              <w:rPr>
                <w:color w:val="2A2A2A"/>
                <w:w w:val="110"/>
                <w:sz w:val="17"/>
              </w:rPr>
              <w:t>1</w:t>
            </w:r>
            <w:r>
              <w:rPr>
                <w:color w:val="4D4D4D"/>
                <w:w w:val="110"/>
                <w:sz w:val="17"/>
              </w:rPr>
              <w:t>,377</w:t>
            </w:r>
          </w:p>
        </w:tc>
        <w:tc>
          <w:tcPr>
            <w:tcW w:w="877" w:type="dxa"/>
            <w:tcBorders>
              <w:top w:val="single" w:sz="12" w:space="0" w:color="000000"/>
            </w:tcBorders>
          </w:tcPr>
          <w:p>
            <w:pPr>
              <w:pStyle w:val="TableParagraph"/>
              <w:spacing w:line="192" w:lineRule="exact" w:before="18"/>
              <w:ind w:right="164"/>
              <w:jc w:val="right"/>
              <w:rPr>
                <w:sz w:val="17"/>
              </w:rPr>
            </w:pPr>
            <w:r>
              <w:rPr>
                <w:color w:val="2A2A2A"/>
                <w:w w:val="110"/>
                <w:sz w:val="17"/>
              </w:rPr>
              <w:t>1</w:t>
            </w:r>
            <w:r>
              <w:rPr>
                <w:color w:val="4D4D4D"/>
                <w:w w:val="110"/>
                <w:sz w:val="17"/>
              </w:rPr>
              <w:t>,336</w:t>
            </w:r>
          </w:p>
        </w:tc>
        <w:tc>
          <w:tcPr>
            <w:tcW w:w="776" w:type="dxa"/>
            <w:tcBorders>
              <w:top w:val="single" w:sz="12" w:space="0" w:color="000000"/>
              <w:right w:val="single" w:sz="12" w:space="0" w:color="000000"/>
            </w:tcBorders>
          </w:tcPr>
          <w:p>
            <w:pPr>
              <w:pStyle w:val="TableParagraph"/>
              <w:spacing w:line="192" w:lineRule="exact" w:before="18"/>
              <w:ind w:right="59"/>
              <w:jc w:val="right"/>
              <w:rPr>
                <w:sz w:val="17"/>
              </w:rPr>
            </w:pPr>
            <w:r>
              <w:rPr>
                <w:color w:val="3B3B3B"/>
                <w:w w:val="110"/>
                <w:sz w:val="17"/>
              </w:rPr>
              <w:t>1</w:t>
            </w:r>
            <w:r>
              <w:rPr>
                <w:color w:val="5B5B5B"/>
                <w:w w:val="110"/>
                <w:sz w:val="17"/>
              </w:rPr>
              <w:t>,</w:t>
            </w:r>
            <w:r>
              <w:rPr>
                <w:color w:val="2A2A2A"/>
                <w:w w:val="110"/>
                <w:sz w:val="17"/>
              </w:rPr>
              <w:t>116</w:t>
            </w:r>
          </w:p>
        </w:tc>
      </w:tr>
      <w:tr>
        <w:trPr>
          <w:trHeight w:val="239" w:hRule="atLeast"/>
        </w:trPr>
        <w:tc>
          <w:tcPr>
            <w:tcW w:w="4032" w:type="dxa"/>
            <w:tcBorders>
              <w:right w:val="single" w:sz="12" w:space="0" w:color="000000"/>
            </w:tcBorders>
          </w:tcPr>
          <w:p>
            <w:pPr>
              <w:pStyle w:val="TableParagraph"/>
              <w:spacing w:before="9"/>
              <w:ind w:left="55"/>
              <w:rPr>
                <w:sz w:val="17"/>
              </w:rPr>
            </w:pPr>
            <w:r>
              <w:rPr>
                <w:color w:val="3B3B3B"/>
                <w:w w:val="105"/>
                <w:sz w:val="17"/>
              </w:rPr>
              <w:t>Short term investments </w:t>
            </w:r>
            <w:r>
              <w:rPr>
                <w:color w:val="2A2A2A"/>
                <w:w w:val="105"/>
                <w:sz w:val="17"/>
              </w:rPr>
              <w:t>and deposits</w:t>
            </w:r>
          </w:p>
        </w:tc>
        <w:tc>
          <w:tcPr>
            <w:tcW w:w="990" w:type="dxa"/>
            <w:tcBorders>
              <w:left w:val="single" w:sz="12" w:space="0" w:color="000000"/>
            </w:tcBorders>
          </w:tcPr>
          <w:p>
            <w:pPr>
              <w:pStyle w:val="TableParagraph"/>
              <w:spacing w:before="9"/>
              <w:ind w:right="169"/>
              <w:jc w:val="right"/>
              <w:rPr>
                <w:sz w:val="17"/>
              </w:rPr>
            </w:pPr>
            <w:r>
              <w:rPr>
                <w:color w:val="161616"/>
                <w:w w:val="110"/>
                <w:sz w:val="17"/>
              </w:rPr>
              <w:t>1</w:t>
            </w:r>
            <w:r>
              <w:rPr>
                <w:color w:val="3B3B3B"/>
                <w:w w:val="110"/>
                <w:sz w:val="17"/>
              </w:rPr>
              <w:t>59</w:t>
            </w:r>
          </w:p>
        </w:tc>
        <w:tc>
          <w:tcPr>
            <w:tcW w:w="878" w:type="dxa"/>
          </w:tcPr>
          <w:p>
            <w:pPr>
              <w:pStyle w:val="TableParagraph"/>
              <w:spacing w:before="9"/>
              <w:ind w:right="165"/>
              <w:jc w:val="right"/>
              <w:rPr>
                <w:sz w:val="17"/>
              </w:rPr>
            </w:pPr>
            <w:r>
              <w:rPr>
                <w:color w:val="3B3B3B"/>
                <w:w w:val="110"/>
                <w:sz w:val="17"/>
              </w:rPr>
              <w:t>164</w:t>
            </w:r>
          </w:p>
        </w:tc>
        <w:tc>
          <w:tcPr>
            <w:tcW w:w="875" w:type="dxa"/>
          </w:tcPr>
          <w:p>
            <w:pPr>
              <w:pStyle w:val="TableParagraph"/>
              <w:spacing w:before="9"/>
              <w:ind w:right="164"/>
              <w:jc w:val="right"/>
              <w:rPr>
                <w:sz w:val="17"/>
              </w:rPr>
            </w:pPr>
            <w:r>
              <w:rPr>
                <w:color w:val="3B3B3B"/>
                <w:w w:val="110"/>
                <w:sz w:val="17"/>
              </w:rPr>
              <w:t>170</w:t>
            </w:r>
          </w:p>
        </w:tc>
        <w:tc>
          <w:tcPr>
            <w:tcW w:w="877" w:type="dxa"/>
          </w:tcPr>
          <w:p>
            <w:pPr>
              <w:pStyle w:val="TableParagraph"/>
              <w:spacing w:before="9"/>
              <w:ind w:right="164"/>
              <w:jc w:val="right"/>
              <w:rPr>
                <w:sz w:val="17"/>
              </w:rPr>
            </w:pPr>
            <w:r>
              <w:rPr>
                <w:color w:val="3B3B3B"/>
                <w:w w:val="110"/>
                <w:sz w:val="17"/>
              </w:rPr>
              <w:t>177</w:t>
            </w:r>
          </w:p>
        </w:tc>
        <w:tc>
          <w:tcPr>
            <w:tcW w:w="776" w:type="dxa"/>
            <w:tcBorders>
              <w:right w:val="single" w:sz="12" w:space="0" w:color="000000"/>
            </w:tcBorders>
          </w:tcPr>
          <w:p>
            <w:pPr>
              <w:pStyle w:val="TableParagraph"/>
              <w:spacing w:line="219" w:lineRule="exact"/>
              <w:ind w:right="54"/>
              <w:jc w:val="center"/>
              <w:rPr>
                <w:rFonts w:ascii="Arial"/>
                <w:sz w:val="27"/>
              </w:rPr>
            </w:pPr>
            <w:r>
              <w:rPr>
                <w:rFonts w:ascii="Arial"/>
                <w:color w:val="2A2A2A"/>
                <w:w w:val="90"/>
                <w:sz w:val="27"/>
              </w:rPr>
              <w:t>-</w:t>
            </w:r>
          </w:p>
        </w:tc>
      </w:tr>
      <w:tr>
        <w:trPr>
          <w:trHeight w:val="173" w:hRule="atLeast"/>
        </w:trPr>
        <w:tc>
          <w:tcPr>
            <w:tcW w:w="4032" w:type="dxa"/>
            <w:tcBorders>
              <w:right w:val="single" w:sz="12" w:space="0" w:color="000000"/>
            </w:tcBorders>
          </w:tcPr>
          <w:p>
            <w:pPr>
              <w:pStyle w:val="TableParagraph"/>
              <w:spacing w:line="154" w:lineRule="exact"/>
              <w:ind w:left="63"/>
              <w:rPr>
                <w:sz w:val="17"/>
              </w:rPr>
            </w:pPr>
            <w:r>
              <w:rPr>
                <w:color w:val="2A2A2A"/>
                <w:w w:val="105"/>
                <w:sz w:val="17"/>
              </w:rPr>
              <w:t>Bank balances </w:t>
            </w:r>
            <w:r>
              <w:rPr>
                <w:color w:val="3B3B3B"/>
                <w:w w:val="105"/>
                <w:sz w:val="17"/>
              </w:rPr>
              <w:t>and money on call</w:t>
            </w:r>
          </w:p>
        </w:tc>
        <w:tc>
          <w:tcPr>
            <w:tcW w:w="990" w:type="dxa"/>
            <w:tcBorders>
              <w:left w:val="single" w:sz="12" w:space="0" w:color="000000"/>
              <w:bottom w:val="single" w:sz="12" w:space="0" w:color="000000"/>
            </w:tcBorders>
          </w:tcPr>
          <w:p>
            <w:pPr>
              <w:pStyle w:val="TableParagraph"/>
              <w:spacing w:line="154" w:lineRule="exact"/>
              <w:ind w:right="168"/>
              <w:jc w:val="right"/>
              <w:rPr>
                <w:sz w:val="17"/>
              </w:rPr>
            </w:pPr>
            <w:r>
              <w:rPr>
                <w:color w:val="3B3B3B"/>
                <w:w w:val="105"/>
                <w:sz w:val="17"/>
              </w:rPr>
              <w:t>1.960</w:t>
            </w:r>
          </w:p>
        </w:tc>
        <w:tc>
          <w:tcPr>
            <w:tcW w:w="878" w:type="dxa"/>
            <w:tcBorders>
              <w:bottom w:val="single" w:sz="12" w:space="0" w:color="000000"/>
            </w:tcBorders>
          </w:tcPr>
          <w:p>
            <w:pPr>
              <w:pStyle w:val="TableParagraph"/>
              <w:spacing w:line="154" w:lineRule="exact"/>
              <w:ind w:right="179"/>
              <w:jc w:val="right"/>
              <w:rPr>
                <w:sz w:val="17"/>
              </w:rPr>
            </w:pPr>
            <w:r>
              <w:rPr>
                <w:color w:val="3B3B3B"/>
                <w:w w:val="105"/>
                <w:sz w:val="17"/>
              </w:rPr>
              <w:t>605</w:t>
            </w:r>
          </w:p>
        </w:tc>
        <w:tc>
          <w:tcPr>
            <w:tcW w:w="875" w:type="dxa"/>
            <w:tcBorders>
              <w:bottom w:val="single" w:sz="12" w:space="0" w:color="000000"/>
            </w:tcBorders>
          </w:tcPr>
          <w:p>
            <w:pPr>
              <w:pStyle w:val="TableParagraph"/>
              <w:spacing w:line="154" w:lineRule="exact"/>
              <w:ind w:right="174"/>
              <w:jc w:val="right"/>
              <w:rPr>
                <w:sz w:val="17"/>
              </w:rPr>
            </w:pPr>
            <w:r>
              <w:rPr>
                <w:color w:val="3B3B3B"/>
                <w:w w:val="105"/>
                <w:sz w:val="17"/>
              </w:rPr>
              <w:t>296</w:t>
            </w:r>
          </w:p>
        </w:tc>
        <w:tc>
          <w:tcPr>
            <w:tcW w:w="877" w:type="dxa"/>
            <w:tcBorders>
              <w:bottom w:val="single" w:sz="12" w:space="0" w:color="000000"/>
            </w:tcBorders>
          </w:tcPr>
          <w:p>
            <w:pPr>
              <w:pStyle w:val="TableParagraph"/>
              <w:spacing w:line="154" w:lineRule="exact"/>
              <w:ind w:right="176"/>
              <w:jc w:val="right"/>
              <w:rPr>
                <w:sz w:val="17"/>
              </w:rPr>
            </w:pPr>
            <w:r>
              <w:rPr>
                <w:color w:val="161616"/>
                <w:w w:val="105"/>
                <w:sz w:val="17"/>
              </w:rPr>
              <w:t>11</w:t>
            </w:r>
            <w:r>
              <w:rPr>
                <w:color w:val="3B3B3B"/>
                <w:w w:val="105"/>
                <w:sz w:val="17"/>
              </w:rPr>
              <w:t>2</w:t>
            </w:r>
          </w:p>
        </w:tc>
        <w:tc>
          <w:tcPr>
            <w:tcW w:w="776" w:type="dxa"/>
            <w:tcBorders>
              <w:bottom w:val="single" w:sz="12" w:space="0" w:color="000000"/>
              <w:right w:val="single" w:sz="12" w:space="0" w:color="000000"/>
            </w:tcBorders>
          </w:tcPr>
          <w:p>
            <w:pPr>
              <w:pStyle w:val="TableParagraph"/>
              <w:spacing w:line="154" w:lineRule="exact"/>
              <w:ind w:right="57"/>
              <w:jc w:val="right"/>
              <w:rPr>
                <w:sz w:val="17"/>
              </w:rPr>
            </w:pPr>
            <w:r>
              <w:rPr>
                <w:color w:val="3B3B3B"/>
                <w:w w:val="105"/>
                <w:sz w:val="17"/>
              </w:rPr>
              <w:t>1,035</w:t>
            </w:r>
          </w:p>
        </w:tc>
      </w:tr>
      <w:tr>
        <w:trPr>
          <w:trHeight w:val="220" w:hRule="atLeast"/>
        </w:trPr>
        <w:tc>
          <w:tcPr>
            <w:tcW w:w="4032" w:type="dxa"/>
            <w:tcBorders>
              <w:right w:val="single" w:sz="12" w:space="0" w:color="000000"/>
            </w:tcBorders>
          </w:tcPr>
          <w:p>
            <w:pPr>
              <w:pStyle w:val="TableParagraph"/>
              <w:rPr>
                <w:sz w:val="14"/>
              </w:rPr>
            </w:pPr>
          </w:p>
        </w:tc>
        <w:tc>
          <w:tcPr>
            <w:tcW w:w="990" w:type="dxa"/>
            <w:tcBorders>
              <w:top w:val="single" w:sz="12" w:space="0" w:color="000000"/>
              <w:left w:val="single" w:sz="12" w:space="0" w:color="000000"/>
            </w:tcBorders>
          </w:tcPr>
          <w:p>
            <w:pPr>
              <w:pStyle w:val="TableParagraph"/>
              <w:spacing w:line="192" w:lineRule="exact" w:before="9"/>
              <w:ind w:right="174"/>
              <w:jc w:val="right"/>
              <w:rPr>
                <w:sz w:val="17"/>
              </w:rPr>
            </w:pPr>
            <w:r>
              <w:rPr>
                <w:color w:val="4D4D4D"/>
                <w:w w:val="105"/>
                <w:sz w:val="17"/>
              </w:rPr>
              <w:t>3,</w:t>
            </w:r>
            <w:r>
              <w:rPr>
                <w:color w:val="161616"/>
                <w:w w:val="105"/>
                <w:sz w:val="17"/>
              </w:rPr>
              <w:t>1</w:t>
            </w:r>
            <w:r>
              <w:rPr>
                <w:color w:val="3B3B3B"/>
                <w:w w:val="105"/>
                <w:sz w:val="17"/>
              </w:rPr>
              <w:t>74</w:t>
            </w:r>
          </w:p>
        </w:tc>
        <w:tc>
          <w:tcPr>
            <w:tcW w:w="878" w:type="dxa"/>
            <w:tcBorders>
              <w:top w:val="single" w:sz="12" w:space="0" w:color="000000"/>
            </w:tcBorders>
          </w:tcPr>
          <w:p>
            <w:pPr>
              <w:pStyle w:val="TableParagraph"/>
              <w:spacing w:line="192" w:lineRule="exact" w:before="9"/>
              <w:ind w:right="181"/>
              <w:jc w:val="right"/>
              <w:rPr>
                <w:sz w:val="17"/>
              </w:rPr>
            </w:pPr>
            <w:r>
              <w:rPr>
                <w:color w:val="3B3B3B"/>
                <w:w w:val="105"/>
                <w:sz w:val="17"/>
              </w:rPr>
              <w:t>2</w:t>
            </w:r>
            <w:r>
              <w:rPr>
                <w:color w:val="5B5B5B"/>
                <w:w w:val="105"/>
                <w:sz w:val="17"/>
              </w:rPr>
              <w:t>,</w:t>
            </w:r>
            <w:r>
              <w:rPr>
                <w:color w:val="2A2A2A"/>
                <w:w w:val="105"/>
                <w:sz w:val="17"/>
              </w:rPr>
              <w:t>055</w:t>
            </w:r>
          </w:p>
        </w:tc>
        <w:tc>
          <w:tcPr>
            <w:tcW w:w="875" w:type="dxa"/>
            <w:tcBorders>
              <w:top w:val="single" w:sz="12" w:space="0" w:color="000000"/>
            </w:tcBorders>
          </w:tcPr>
          <w:p>
            <w:pPr>
              <w:pStyle w:val="TableParagraph"/>
              <w:spacing w:line="192" w:lineRule="exact" w:before="9"/>
              <w:ind w:right="174"/>
              <w:jc w:val="right"/>
              <w:rPr>
                <w:sz w:val="17"/>
              </w:rPr>
            </w:pPr>
            <w:r>
              <w:rPr>
                <w:color w:val="3B3B3B"/>
                <w:w w:val="105"/>
                <w:sz w:val="17"/>
              </w:rPr>
              <w:t>1</w:t>
            </w:r>
            <w:r>
              <w:rPr>
                <w:color w:val="5B5B5B"/>
                <w:w w:val="105"/>
                <w:sz w:val="17"/>
              </w:rPr>
              <w:t>,</w:t>
            </w:r>
            <w:r>
              <w:rPr>
                <w:color w:val="2A2A2A"/>
                <w:w w:val="105"/>
                <w:sz w:val="17"/>
              </w:rPr>
              <w:t>843</w:t>
            </w:r>
          </w:p>
        </w:tc>
        <w:tc>
          <w:tcPr>
            <w:tcW w:w="877" w:type="dxa"/>
            <w:tcBorders>
              <w:top w:val="single" w:sz="12" w:space="0" w:color="000000"/>
            </w:tcBorders>
          </w:tcPr>
          <w:p>
            <w:pPr>
              <w:pStyle w:val="TableParagraph"/>
              <w:spacing w:line="192" w:lineRule="exact" w:before="9"/>
              <w:ind w:right="181"/>
              <w:jc w:val="right"/>
              <w:rPr>
                <w:sz w:val="17"/>
              </w:rPr>
            </w:pPr>
            <w:r>
              <w:rPr>
                <w:color w:val="3B3B3B"/>
                <w:w w:val="105"/>
                <w:sz w:val="17"/>
              </w:rPr>
              <w:t>1</w:t>
            </w:r>
            <w:r>
              <w:rPr>
                <w:color w:val="5B5B5B"/>
                <w:w w:val="105"/>
                <w:sz w:val="17"/>
              </w:rPr>
              <w:t>,</w:t>
            </w:r>
            <w:r>
              <w:rPr>
                <w:color w:val="3B3B3B"/>
                <w:w w:val="105"/>
                <w:sz w:val="17"/>
              </w:rPr>
              <w:t>625</w:t>
            </w:r>
          </w:p>
        </w:tc>
        <w:tc>
          <w:tcPr>
            <w:tcW w:w="776" w:type="dxa"/>
            <w:tcBorders>
              <w:top w:val="single" w:sz="12" w:space="0" w:color="000000"/>
              <w:right w:val="single" w:sz="12" w:space="0" w:color="000000"/>
            </w:tcBorders>
          </w:tcPr>
          <w:p>
            <w:pPr>
              <w:pStyle w:val="TableParagraph"/>
              <w:spacing w:line="192" w:lineRule="exact" w:before="9"/>
              <w:ind w:right="69"/>
              <w:jc w:val="right"/>
              <w:rPr>
                <w:sz w:val="17"/>
              </w:rPr>
            </w:pPr>
            <w:r>
              <w:rPr>
                <w:color w:val="3B3B3B"/>
                <w:w w:val="105"/>
                <w:sz w:val="17"/>
              </w:rPr>
              <w:t>2</w:t>
            </w:r>
            <w:r>
              <w:rPr>
                <w:color w:val="5B5B5B"/>
                <w:w w:val="105"/>
                <w:sz w:val="17"/>
              </w:rPr>
              <w:t>,</w:t>
            </w:r>
            <w:r>
              <w:rPr>
                <w:color w:val="2A2A2A"/>
                <w:w w:val="105"/>
                <w:sz w:val="17"/>
              </w:rPr>
              <w:t>151</w:t>
            </w:r>
          </w:p>
        </w:tc>
      </w:tr>
      <w:tr>
        <w:trPr>
          <w:trHeight w:val="191" w:hRule="atLeast"/>
        </w:trPr>
        <w:tc>
          <w:tcPr>
            <w:tcW w:w="4032" w:type="dxa"/>
            <w:tcBorders>
              <w:right w:val="single" w:sz="12" w:space="0" w:color="000000"/>
            </w:tcBorders>
          </w:tcPr>
          <w:p>
            <w:pPr>
              <w:pStyle w:val="TableParagraph"/>
              <w:spacing w:line="162" w:lineRule="exact" w:before="9"/>
              <w:ind w:left="60"/>
              <w:rPr>
                <w:sz w:val="17"/>
              </w:rPr>
            </w:pPr>
            <w:r>
              <w:rPr>
                <w:color w:val="3B3B3B"/>
                <w:w w:val="105"/>
                <w:sz w:val="17"/>
              </w:rPr>
              <w:t>less </w:t>
            </w:r>
            <w:r>
              <w:rPr>
                <w:color w:val="2A2A2A"/>
                <w:w w:val="105"/>
                <w:sz w:val="17"/>
              </w:rPr>
              <w:t>: </w:t>
            </w:r>
            <w:r>
              <w:rPr>
                <w:color w:val="3B3B3B"/>
                <w:w w:val="105"/>
                <w:sz w:val="17"/>
              </w:rPr>
              <w:t>current liabilities</w:t>
            </w:r>
          </w:p>
        </w:tc>
        <w:tc>
          <w:tcPr>
            <w:tcW w:w="990" w:type="dxa"/>
            <w:tcBorders>
              <w:left w:val="single" w:sz="12" w:space="0" w:color="000000"/>
              <w:bottom w:val="single" w:sz="12" w:space="0" w:color="000000"/>
            </w:tcBorders>
          </w:tcPr>
          <w:p>
            <w:pPr>
              <w:pStyle w:val="TableParagraph"/>
              <w:spacing w:line="162" w:lineRule="exact" w:before="9"/>
              <w:ind w:right="166"/>
              <w:jc w:val="right"/>
              <w:rPr>
                <w:sz w:val="17"/>
              </w:rPr>
            </w:pPr>
            <w:r>
              <w:rPr>
                <w:color w:val="3B3B3B"/>
                <w:w w:val="110"/>
                <w:sz w:val="17"/>
              </w:rPr>
              <w:t>3,317</w:t>
            </w:r>
          </w:p>
        </w:tc>
        <w:tc>
          <w:tcPr>
            <w:tcW w:w="878" w:type="dxa"/>
            <w:tcBorders>
              <w:bottom w:val="single" w:sz="12" w:space="0" w:color="000000"/>
            </w:tcBorders>
          </w:tcPr>
          <w:p>
            <w:pPr>
              <w:pStyle w:val="TableParagraph"/>
              <w:spacing w:line="162" w:lineRule="exact" w:before="9"/>
              <w:ind w:right="170"/>
              <w:jc w:val="right"/>
              <w:rPr>
                <w:sz w:val="17"/>
              </w:rPr>
            </w:pPr>
            <w:r>
              <w:rPr>
                <w:color w:val="3B3B3B"/>
                <w:w w:val="110"/>
                <w:sz w:val="17"/>
              </w:rPr>
              <w:t>3</w:t>
            </w:r>
            <w:r>
              <w:rPr>
                <w:color w:val="5B5B5B"/>
                <w:w w:val="110"/>
                <w:sz w:val="17"/>
              </w:rPr>
              <w:t>,</w:t>
            </w:r>
            <w:r>
              <w:rPr>
                <w:color w:val="3B3B3B"/>
                <w:w w:val="110"/>
                <w:sz w:val="17"/>
              </w:rPr>
              <w:t>466</w:t>
            </w:r>
          </w:p>
        </w:tc>
        <w:tc>
          <w:tcPr>
            <w:tcW w:w="875" w:type="dxa"/>
            <w:tcBorders>
              <w:bottom w:val="single" w:sz="12" w:space="0" w:color="000000"/>
            </w:tcBorders>
          </w:tcPr>
          <w:p>
            <w:pPr>
              <w:pStyle w:val="TableParagraph"/>
              <w:spacing w:line="162" w:lineRule="exact" w:before="9"/>
              <w:ind w:right="167"/>
              <w:jc w:val="right"/>
              <w:rPr>
                <w:sz w:val="17"/>
              </w:rPr>
            </w:pPr>
            <w:r>
              <w:rPr>
                <w:color w:val="3B3B3B"/>
                <w:w w:val="105"/>
                <w:sz w:val="17"/>
              </w:rPr>
              <w:t>2,823</w:t>
            </w:r>
          </w:p>
        </w:tc>
        <w:tc>
          <w:tcPr>
            <w:tcW w:w="877" w:type="dxa"/>
            <w:tcBorders>
              <w:bottom w:val="single" w:sz="12" w:space="0" w:color="000000"/>
            </w:tcBorders>
          </w:tcPr>
          <w:p>
            <w:pPr>
              <w:pStyle w:val="TableParagraph"/>
              <w:spacing w:line="162" w:lineRule="exact" w:before="9"/>
              <w:ind w:right="177"/>
              <w:jc w:val="right"/>
              <w:rPr>
                <w:sz w:val="17"/>
              </w:rPr>
            </w:pPr>
            <w:r>
              <w:rPr>
                <w:color w:val="3B3B3B"/>
                <w:w w:val="110"/>
                <w:sz w:val="17"/>
              </w:rPr>
              <w:t>3 526</w:t>
            </w:r>
          </w:p>
        </w:tc>
        <w:tc>
          <w:tcPr>
            <w:tcW w:w="776" w:type="dxa"/>
            <w:tcBorders>
              <w:bottom w:val="single" w:sz="12" w:space="0" w:color="000000"/>
              <w:right w:val="single" w:sz="12" w:space="0" w:color="000000"/>
            </w:tcBorders>
          </w:tcPr>
          <w:p>
            <w:pPr>
              <w:pStyle w:val="TableParagraph"/>
              <w:spacing w:line="162" w:lineRule="exact" w:before="9"/>
              <w:ind w:right="60"/>
              <w:jc w:val="right"/>
              <w:rPr>
                <w:sz w:val="17"/>
              </w:rPr>
            </w:pPr>
            <w:r>
              <w:rPr>
                <w:color w:val="2A2A2A"/>
                <w:w w:val="110"/>
                <w:sz w:val="17"/>
              </w:rPr>
              <w:t>1</w:t>
            </w:r>
            <w:r>
              <w:rPr>
                <w:color w:val="5B5B5B"/>
                <w:w w:val="110"/>
                <w:sz w:val="17"/>
              </w:rPr>
              <w:t>,</w:t>
            </w:r>
            <w:r>
              <w:rPr>
                <w:color w:val="3B3B3B"/>
                <w:w w:val="110"/>
                <w:sz w:val="17"/>
              </w:rPr>
              <w:t>968</w:t>
            </w:r>
          </w:p>
        </w:tc>
      </w:tr>
      <w:tr>
        <w:trPr>
          <w:trHeight w:val="417" w:hRule="atLeast"/>
        </w:trPr>
        <w:tc>
          <w:tcPr>
            <w:tcW w:w="4032" w:type="dxa"/>
          </w:tcPr>
          <w:p>
            <w:pPr>
              <w:pStyle w:val="TableParagraph"/>
              <w:rPr>
                <w:sz w:val="16"/>
              </w:rPr>
            </w:pPr>
          </w:p>
        </w:tc>
        <w:tc>
          <w:tcPr>
            <w:tcW w:w="990" w:type="dxa"/>
            <w:tcBorders>
              <w:top w:val="single" w:sz="12" w:space="0" w:color="000000"/>
              <w:bottom w:val="single" w:sz="8" w:space="0" w:color="000000"/>
            </w:tcBorders>
          </w:tcPr>
          <w:p>
            <w:pPr>
              <w:pStyle w:val="TableParagraph"/>
              <w:spacing w:line="195" w:lineRule="exact"/>
              <w:ind w:right="118"/>
              <w:jc w:val="right"/>
              <w:rPr>
                <w:sz w:val="17"/>
              </w:rPr>
            </w:pPr>
            <w:r>
              <w:rPr>
                <w:color w:val="3B3B3B"/>
                <w:w w:val="105"/>
                <w:sz w:val="17"/>
              </w:rPr>
              <w:t>(144)</w:t>
            </w:r>
          </w:p>
        </w:tc>
        <w:tc>
          <w:tcPr>
            <w:tcW w:w="878" w:type="dxa"/>
            <w:tcBorders>
              <w:top w:val="single" w:sz="12" w:space="0" w:color="000000"/>
              <w:bottom w:val="single" w:sz="8" w:space="0" w:color="000000"/>
            </w:tcBorders>
          </w:tcPr>
          <w:p>
            <w:pPr>
              <w:pStyle w:val="TableParagraph"/>
              <w:spacing w:line="195" w:lineRule="exact"/>
              <w:ind w:right="120"/>
              <w:jc w:val="right"/>
              <w:rPr>
                <w:sz w:val="17"/>
              </w:rPr>
            </w:pPr>
            <w:r>
              <w:rPr>
                <w:color w:val="3B3B3B"/>
                <w:w w:val="105"/>
                <w:sz w:val="17"/>
              </w:rPr>
              <w:t>(1,411)</w:t>
            </w:r>
          </w:p>
        </w:tc>
        <w:tc>
          <w:tcPr>
            <w:tcW w:w="875" w:type="dxa"/>
            <w:tcBorders>
              <w:top w:val="single" w:sz="12" w:space="0" w:color="000000"/>
              <w:bottom w:val="single" w:sz="8" w:space="0" w:color="000000"/>
            </w:tcBorders>
          </w:tcPr>
          <w:p>
            <w:pPr>
              <w:pStyle w:val="TableParagraph"/>
              <w:spacing w:before="9"/>
              <w:ind w:right="119"/>
              <w:jc w:val="right"/>
              <w:rPr>
                <w:sz w:val="17"/>
              </w:rPr>
            </w:pPr>
            <w:r>
              <w:rPr>
                <w:color w:val="3B3B3B"/>
                <w:w w:val="105"/>
                <w:sz w:val="17"/>
              </w:rPr>
              <w:t>(980)</w:t>
            </w:r>
          </w:p>
        </w:tc>
        <w:tc>
          <w:tcPr>
            <w:tcW w:w="877" w:type="dxa"/>
            <w:tcBorders>
              <w:top w:val="single" w:sz="12" w:space="0" w:color="000000"/>
              <w:bottom w:val="single" w:sz="8" w:space="0" w:color="000000"/>
            </w:tcBorders>
          </w:tcPr>
          <w:p>
            <w:pPr>
              <w:pStyle w:val="TableParagraph"/>
              <w:spacing w:before="9"/>
              <w:ind w:right="130"/>
              <w:jc w:val="right"/>
              <w:rPr>
                <w:sz w:val="17"/>
              </w:rPr>
            </w:pPr>
            <w:r>
              <w:rPr>
                <w:color w:val="4D4D4D"/>
                <w:w w:val="105"/>
                <w:sz w:val="17"/>
              </w:rPr>
              <w:t>(</w:t>
            </w:r>
            <w:r>
              <w:rPr>
                <w:color w:val="2A2A2A"/>
                <w:w w:val="105"/>
                <w:sz w:val="17"/>
              </w:rPr>
              <w:t>1</w:t>
            </w:r>
            <w:r>
              <w:rPr>
                <w:color w:val="4D4D4D"/>
                <w:w w:val="105"/>
                <w:sz w:val="17"/>
              </w:rPr>
              <w:t>,90</w:t>
            </w:r>
            <w:r>
              <w:rPr>
                <w:color w:val="161616"/>
                <w:w w:val="105"/>
                <w:sz w:val="17"/>
              </w:rPr>
              <w:t>1</w:t>
            </w:r>
            <w:r>
              <w:rPr>
                <w:color w:val="3B3B3B"/>
                <w:w w:val="105"/>
                <w:sz w:val="17"/>
              </w:rPr>
              <w:t>)</w:t>
            </w:r>
          </w:p>
        </w:tc>
        <w:tc>
          <w:tcPr>
            <w:tcW w:w="776" w:type="dxa"/>
            <w:tcBorders>
              <w:top w:val="single" w:sz="12" w:space="0" w:color="000000"/>
              <w:bottom w:val="single" w:sz="8" w:space="0" w:color="000000"/>
            </w:tcBorders>
          </w:tcPr>
          <w:p>
            <w:pPr>
              <w:pStyle w:val="TableParagraph"/>
              <w:spacing w:before="9"/>
              <w:ind w:right="72"/>
              <w:jc w:val="right"/>
              <w:rPr>
                <w:sz w:val="17"/>
              </w:rPr>
            </w:pPr>
            <w:r>
              <w:rPr>
                <w:color w:val="3B3B3B"/>
                <w:w w:val="105"/>
                <w:sz w:val="17"/>
              </w:rPr>
              <w:t>183</w:t>
            </w:r>
          </w:p>
        </w:tc>
      </w:tr>
      <w:tr>
        <w:trPr>
          <w:trHeight w:val="332" w:hRule="atLeast"/>
        </w:trPr>
        <w:tc>
          <w:tcPr>
            <w:tcW w:w="4032" w:type="dxa"/>
          </w:tcPr>
          <w:p>
            <w:pPr>
              <w:pStyle w:val="TableParagraph"/>
              <w:spacing w:before="4"/>
              <w:ind w:left="63"/>
              <w:rPr>
                <w:b/>
                <w:sz w:val="18"/>
              </w:rPr>
            </w:pPr>
            <w:r>
              <w:rPr>
                <w:b/>
                <w:color w:val="3B3B3B"/>
                <w:sz w:val="18"/>
              </w:rPr>
              <w:t>Net </w:t>
            </w:r>
            <w:r>
              <w:rPr>
                <w:b/>
                <w:color w:val="2A2A2A"/>
                <w:sz w:val="18"/>
              </w:rPr>
              <w:t>assets excluding </w:t>
            </w:r>
            <w:r>
              <w:rPr>
                <w:b/>
                <w:color w:val="161616"/>
                <w:sz w:val="18"/>
              </w:rPr>
              <w:t>pen</w:t>
            </w:r>
            <w:r>
              <w:rPr>
                <w:b/>
                <w:color w:val="3B3B3B"/>
                <w:sz w:val="18"/>
              </w:rPr>
              <w:t>s</w:t>
            </w:r>
            <w:r>
              <w:rPr>
                <w:b/>
                <w:color w:val="161616"/>
                <w:sz w:val="18"/>
              </w:rPr>
              <w:t>ion liabilit</w:t>
            </w:r>
            <w:r>
              <w:rPr>
                <w:b/>
                <w:color w:val="3B3B3B"/>
                <w:sz w:val="18"/>
              </w:rPr>
              <w:t>y</w:t>
            </w:r>
          </w:p>
        </w:tc>
        <w:tc>
          <w:tcPr>
            <w:tcW w:w="990" w:type="dxa"/>
            <w:tcBorders>
              <w:top w:val="single" w:sz="8" w:space="0" w:color="000000"/>
            </w:tcBorders>
          </w:tcPr>
          <w:p>
            <w:pPr>
              <w:pStyle w:val="TableParagraph"/>
              <w:spacing w:before="14"/>
              <w:ind w:right="187"/>
              <w:jc w:val="right"/>
              <w:rPr>
                <w:sz w:val="17"/>
              </w:rPr>
            </w:pPr>
            <w:r>
              <w:rPr>
                <w:color w:val="161616"/>
                <w:w w:val="105"/>
                <w:sz w:val="17"/>
              </w:rPr>
              <w:t>4</w:t>
            </w:r>
            <w:r>
              <w:rPr>
                <w:color w:val="3B3B3B"/>
                <w:w w:val="105"/>
                <w:sz w:val="17"/>
              </w:rPr>
              <w:t>2</w:t>
            </w:r>
            <w:r>
              <w:rPr>
                <w:color w:val="5B5B5B"/>
                <w:w w:val="105"/>
                <w:sz w:val="17"/>
              </w:rPr>
              <w:t>,</w:t>
            </w:r>
            <w:r>
              <w:rPr>
                <w:color w:val="3B3B3B"/>
                <w:w w:val="105"/>
                <w:sz w:val="17"/>
              </w:rPr>
              <w:t>317</w:t>
            </w:r>
          </w:p>
        </w:tc>
        <w:tc>
          <w:tcPr>
            <w:tcW w:w="878" w:type="dxa"/>
            <w:tcBorders>
              <w:top w:val="single" w:sz="8" w:space="0" w:color="000000"/>
            </w:tcBorders>
          </w:tcPr>
          <w:p>
            <w:pPr>
              <w:pStyle w:val="TableParagraph"/>
              <w:spacing w:before="14"/>
              <w:ind w:right="186"/>
              <w:jc w:val="right"/>
              <w:rPr>
                <w:sz w:val="17"/>
              </w:rPr>
            </w:pPr>
            <w:r>
              <w:rPr>
                <w:color w:val="2A2A2A"/>
                <w:w w:val="105"/>
                <w:sz w:val="17"/>
              </w:rPr>
              <w:t>44</w:t>
            </w:r>
            <w:r>
              <w:rPr>
                <w:color w:val="6E6E6E"/>
                <w:w w:val="105"/>
                <w:sz w:val="17"/>
              </w:rPr>
              <w:t>,</w:t>
            </w:r>
            <w:r>
              <w:rPr>
                <w:color w:val="3B3B3B"/>
                <w:w w:val="105"/>
                <w:sz w:val="17"/>
              </w:rPr>
              <w:t>297</w:t>
            </w:r>
          </w:p>
        </w:tc>
        <w:tc>
          <w:tcPr>
            <w:tcW w:w="875" w:type="dxa"/>
            <w:tcBorders>
              <w:top w:val="single" w:sz="8" w:space="0" w:color="000000"/>
            </w:tcBorders>
          </w:tcPr>
          <w:p>
            <w:pPr>
              <w:pStyle w:val="TableParagraph"/>
              <w:spacing w:before="14"/>
              <w:ind w:right="188"/>
              <w:jc w:val="right"/>
              <w:rPr>
                <w:sz w:val="17"/>
              </w:rPr>
            </w:pPr>
            <w:r>
              <w:rPr>
                <w:color w:val="2A2A2A"/>
                <w:sz w:val="17"/>
              </w:rPr>
              <w:t>47</w:t>
            </w:r>
            <w:r>
              <w:rPr>
                <w:color w:val="5B5B5B"/>
                <w:sz w:val="17"/>
              </w:rPr>
              <w:t>,</w:t>
            </w:r>
            <w:r>
              <w:rPr>
                <w:color w:val="3B3B3B"/>
                <w:sz w:val="17"/>
              </w:rPr>
              <w:t>636</w:t>
            </w:r>
          </w:p>
        </w:tc>
        <w:tc>
          <w:tcPr>
            <w:tcW w:w="877" w:type="dxa"/>
            <w:tcBorders>
              <w:top w:val="single" w:sz="8" w:space="0" w:color="000000"/>
            </w:tcBorders>
          </w:tcPr>
          <w:p>
            <w:pPr>
              <w:pStyle w:val="TableParagraph"/>
              <w:spacing w:before="14"/>
              <w:ind w:right="184"/>
              <w:jc w:val="right"/>
              <w:rPr>
                <w:sz w:val="17"/>
              </w:rPr>
            </w:pPr>
            <w:r>
              <w:rPr>
                <w:color w:val="3B3B3B"/>
                <w:w w:val="105"/>
                <w:sz w:val="17"/>
              </w:rPr>
              <w:t>52</w:t>
            </w:r>
            <w:r>
              <w:rPr>
                <w:color w:val="5B5B5B"/>
                <w:w w:val="105"/>
                <w:sz w:val="17"/>
              </w:rPr>
              <w:t>,</w:t>
            </w:r>
            <w:r>
              <w:rPr>
                <w:color w:val="3B3B3B"/>
                <w:w w:val="105"/>
                <w:sz w:val="17"/>
              </w:rPr>
              <w:t>445</w:t>
            </w:r>
          </w:p>
        </w:tc>
        <w:tc>
          <w:tcPr>
            <w:tcW w:w="776" w:type="dxa"/>
            <w:tcBorders>
              <w:top w:val="single" w:sz="8" w:space="0" w:color="000000"/>
            </w:tcBorders>
          </w:tcPr>
          <w:p>
            <w:pPr>
              <w:pStyle w:val="TableParagraph"/>
              <w:spacing w:before="14"/>
              <w:ind w:right="87"/>
              <w:jc w:val="right"/>
              <w:rPr>
                <w:sz w:val="17"/>
              </w:rPr>
            </w:pPr>
            <w:r>
              <w:rPr>
                <w:color w:val="3B3B3B"/>
                <w:sz w:val="17"/>
              </w:rPr>
              <w:t>58</w:t>
            </w:r>
            <w:r>
              <w:rPr>
                <w:color w:val="5B5B5B"/>
                <w:sz w:val="17"/>
              </w:rPr>
              <w:t>,</w:t>
            </w:r>
            <w:r>
              <w:rPr>
                <w:color w:val="3B3B3B"/>
                <w:sz w:val="17"/>
              </w:rPr>
              <w:t>029</w:t>
            </w:r>
          </w:p>
        </w:tc>
      </w:tr>
      <w:tr>
        <w:trPr>
          <w:trHeight w:val="326" w:hRule="atLeast"/>
        </w:trPr>
        <w:tc>
          <w:tcPr>
            <w:tcW w:w="4032" w:type="dxa"/>
          </w:tcPr>
          <w:p>
            <w:pPr>
              <w:pStyle w:val="TableParagraph"/>
              <w:spacing w:line="192" w:lineRule="exact" w:before="114"/>
              <w:ind w:left="63"/>
              <w:rPr>
                <w:sz w:val="17"/>
              </w:rPr>
            </w:pPr>
            <w:r>
              <w:rPr>
                <w:color w:val="2A2A2A"/>
                <w:w w:val="105"/>
                <w:sz w:val="17"/>
              </w:rPr>
              <w:t>Defined benefit pension </w:t>
            </w:r>
            <w:r>
              <w:rPr>
                <w:color w:val="3B3B3B"/>
                <w:w w:val="105"/>
                <w:sz w:val="17"/>
              </w:rPr>
              <w:t>scheme </w:t>
            </w:r>
            <w:r>
              <w:rPr>
                <w:color w:val="161616"/>
                <w:w w:val="105"/>
                <w:sz w:val="17"/>
              </w:rPr>
              <w:t>li</w:t>
            </w:r>
            <w:r>
              <w:rPr>
                <w:color w:val="3B3B3B"/>
                <w:w w:val="105"/>
                <w:sz w:val="17"/>
              </w:rPr>
              <w:t>ability</w:t>
            </w:r>
          </w:p>
        </w:tc>
        <w:tc>
          <w:tcPr>
            <w:tcW w:w="990" w:type="dxa"/>
          </w:tcPr>
          <w:p>
            <w:pPr>
              <w:pStyle w:val="TableParagraph"/>
              <w:spacing w:line="192" w:lineRule="exact" w:before="114"/>
              <w:ind w:right="119"/>
              <w:jc w:val="right"/>
              <w:rPr>
                <w:sz w:val="17"/>
              </w:rPr>
            </w:pPr>
            <w:r>
              <w:rPr>
                <w:color w:val="2A2A2A"/>
                <w:w w:val="105"/>
                <w:sz w:val="17"/>
              </w:rPr>
              <w:t>(7,738)</w:t>
            </w:r>
          </w:p>
        </w:tc>
        <w:tc>
          <w:tcPr>
            <w:tcW w:w="878" w:type="dxa"/>
          </w:tcPr>
          <w:p>
            <w:pPr>
              <w:pStyle w:val="TableParagraph"/>
              <w:spacing w:line="192" w:lineRule="exact" w:before="114"/>
              <w:ind w:right="125"/>
              <w:jc w:val="right"/>
              <w:rPr>
                <w:sz w:val="17"/>
              </w:rPr>
            </w:pPr>
            <w:r>
              <w:rPr>
                <w:color w:val="2A2A2A"/>
                <w:w w:val="105"/>
                <w:sz w:val="17"/>
              </w:rPr>
              <w:t>(11,287)</w:t>
            </w:r>
          </w:p>
        </w:tc>
        <w:tc>
          <w:tcPr>
            <w:tcW w:w="875" w:type="dxa"/>
          </w:tcPr>
          <w:p>
            <w:pPr>
              <w:pStyle w:val="TableParagraph"/>
              <w:spacing w:line="192" w:lineRule="exact" w:before="114"/>
              <w:ind w:right="130"/>
              <w:jc w:val="right"/>
              <w:rPr>
                <w:sz w:val="17"/>
              </w:rPr>
            </w:pPr>
            <w:r>
              <w:rPr>
                <w:color w:val="3B3B3B"/>
                <w:w w:val="105"/>
                <w:sz w:val="17"/>
              </w:rPr>
              <w:t>(</w:t>
            </w:r>
            <w:r>
              <w:rPr>
                <w:color w:val="161616"/>
                <w:w w:val="105"/>
                <w:sz w:val="17"/>
              </w:rPr>
              <w:t>10</w:t>
            </w:r>
            <w:r>
              <w:rPr>
                <w:color w:val="3B3B3B"/>
                <w:w w:val="105"/>
                <w:sz w:val="17"/>
              </w:rPr>
              <w:t>,564)</w:t>
            </w:r>
          </w:p>
        </w:tc>
        <w:tc>
          <w:tcPr>
            <w:tcW w:w="877" w:type="dxa"/>
          </w:tcPr>
          <w:p>
            <w:pPr>
              <w:pStyle w:val="TableParagraph"/>
              <w:spacing w:line="192" w:lineRule="exact" w:before="114"/>
              <w:ind w:right="130"/>
              <w:jc w:val="right"/>
              <w:rPr>
                <w:sz w:val="17"/>
              </w:rPr>
            </w:pPr>
            <w:r>
              <w:rPr>
                <w:color w:val="3B3B3B"/>
                <w:w w:val="105"/>
                <w:sz w:val="17"/>
              </w:rPr>
              <w:t>(</w:t>
            </w:r>
            <w:r>
              <w:rPr>
                <w:color w:val="161616"/>
                <w:w w:val="105"/>
                <w:sz w:val="17"/>
              </w:rPr>
              <w:t>1</w:t>
            </w:r>
            <w:r>
              <w:rPr>
                <w:color w:val="3B3B3B"/>
                <w:w w:val="105"/>
                <w:sz w:val="17"/>
              </w:rPr>
              <w:t>2,90</w:t>
            </w:r>
            <w:r>
              <w:rPr>
                <w:color w:val="161616"/>
                <w:w w:val="105"/>
                <w:sz w:val="17"/>
              </w:rPr>
              <w:t>7</w:t>
            </w:r>
            <w:r>
              <w:rPr>
                <w:color w:val="3B3B3B"/>
                <w:w w:val="105"/>
                <w:sz w:val="17"/>
              </w:rPr>
              <w:t>)</w:t>
            </w:r>
          </w:p>
        </w:tc>
        <w:tc>
          <w:tcPr>
            <w:tcW w:w="776" w:type="dxa"/>
          </w:tcPr>
          <w:p>
            <w:pPr>
              <w:pStyle w:val="TableParagraph"/>
              <w:spacing w:line="192" w:lineRule="exact" w:before="114"/>
              <w:ind w:right="33"/>
              <w:jc w:val="right"/>
              <w:rPr>
                <w:sz w:val="17"/>
              </w:rPr>
            </w:pPr>
            <w:r>
              <w:rPr>
                <w:color w:val="3B3B3B"/>
                <w:w w:val="105"/>
                <w:sz w:val="17"/>
              </w:rPr>
              <w:t>(</w:t>
            </w:r>
            <w:r>
              <w:rPr>
                <w:color w:val="161616"/>
                <w:w w:val="105"/>
                <w:sz w:val="17"/>
              </w:rPr>
              <w:t>15</w:t>
            </w:r>
            <w:r>
              <w:rPr>
                <w:color w:val="4D4D4D"/>
                <w:w w:val="105"/>
                <w:sz w:val="17"/>
              </w:rPr>
              <w:t>,0</w:t>
            </w:r>
            <w:r>
              <w:rPr>
                <w:color w:val="2A2A2A"/>
                <w:w w:val="105"/>
                <w:sz w:val="17"/>
              </w:rPr>
              <w:t>59)</w:t>
            </w:r>
          </w:p>
        </w:tc>
      </w:tr>
      <w:tr>
        <w:trPr>
          <w:trHeight w:val="327" w:hRule="atLeast"/>
        </w:trPr>
        <w:tc>
          <w:tcPr>
            <w:tcW w:w="4032" w:type="dxa"/>
          </w:tcPr>
          <w:p>
            <w:pPr>
              <w:pStyle w:val="TableParagraph"/>
              <w:spacing w:before="9"/>
              <w:ind w:left="60"/>
              <w:rPr>
                <w:sz w:val="17"/>
              </w:rPr>
            </w:pPr>
            <w:r>
              <w:rPr>
                <w:color w:val="2A2A2A"/>
                <w:w w:val="105"/>
                <w:sz w:val="17"/>
              </w:rPr>
              <w:t>Other pension </w:t>
            </w:r>
            <w:r>
              <w:rPr>
                <w:color w:val="3B3B3B"/>
                <w:w w:val="105"/>
                <w:sz w:val="17"/>
              </w:rPr>
              <w:t>obligations</w:t>
            </w:r>
          </w:p>
        </w:tc>
        <w:tc>
          <w:tcPr>
            <w:tcW w:w="990" w:type="dxa"/>
          </w:tcPr>
          <w:p>
            <w:pPr>
              <w:pStyle w:val="TableParagraph"/>
              <w:rPr>
                <w:sz w:val="16"/>
              </w:rPr>
            </w:pPr>
          </w:p>
        </w:tc>
        <w:tc>
          <w:tcPr>
            <w:tcW w:w="878" w:type="dxa"/>
          </w:tcPr>
          <w:p>
            <w:pPr>
              <w:pStyle w:val="TableParagraph"/>
              <w:rPr>
                <w:sz w:val="16"/>
              </w:rPr>
            </w:pPr>
          </w:p>
        </w:tc>
        <w:tc>
          <w:tcPr>
            <w:tcW w:w="875" w:type="dxa"/>
          </w:tcPr>
          <w:p>
            <w:pPr>
              <w:pStyle w:val="TableParagraph"/>
              <w:rPr>
                <w:sz w:val="16"/>
              </w:rPr>
            </w:pPr>
          </w:p>
        </w:tc>
        <w:tc>
          <w:tcPr>
            <w:tcW w:w="877" w:type="dxa"/>
          </w:tcPr>
          <w:p>
            <w:pPr>
              <w:pStyle w:val="TableParagraph"/>
              <w:spacing w:before="9"/>
              <w:ind w:right="130"/>
              <w:jc w:val="right"/>
              <w:rPr>
                <w:sz w:val="17"/>
              </w:rPr>
            </w:pPr>
            <w:r>
              <w:rPr>
                <w:color w:val="3B3B3B"/>
                <w:w w:val="105"/>
                <w:sz w:val="17"/>
              </w:rPr>
              <w:t>(4</w:t>
            </w:r>
            <w:r>
              <w:rPr>
                <w:color w:val="5B5B5B"/>
                <w:w w:val="105"/>
                <w:sz w:val="17"/>
              </w:rPr>
              <w:t>,</w:t>
            </w:r>
            <w:r>
              <w:rPr>
                <w:color w:val="2A2A2A"/>
                <w:w w:val="105"/>
                <w:sz w:val="17"/>
              </w:rPr>
              <w:t>128)</w:t>
            </w:r>
          </w:p>
        </w:tc>
        <w:tc>
          <w:tcPr>
            <w:tcW w:w="776" w:type="dxa"/>
          </w:tcPr>
          <w:p>
            <w:pPr>
              <w:pStyle w:val="TableParagraph"/>
              <w:spacing w:before="9"/>
              <w:ind w:right="19"/>
              <w:jc w:val="right"/>
              <w:rPr>
                <w:sz w:val="17"/>
              </w:rPr>
            </w:pPr>
            <w:r>
              <w:rPr>
                <w:color w:val="3B3B3B"/>
                <w:w w:val="110"/>
                <w:sz w:val="17"/>
              </w:rPr>
              <w:t>(4,128)</w:t>
            </w:r>
          </w:p>
        </w:tc>
      </w:tr>
      <w:tr>
        <w:trPr>
          <w:trHeight w:val="563" w:hRule="atLeast"/>
        </w:trPr>
        <w:tc>
          <w:tcPr>
            <w:tcW w:w="4032" w:type="dxa"/>
          </w:tcPr>
          <w:p>
            <w:pPr>
              <w:pStyle w:val="TableParagraph"/>
              <w:spacing w:before="115"/>
              <w:ind w:left="63"/>
              <w:rPr>
                <w:b/>
                <w:sz w:val="18"/>
              </w:rPr>
            </w:pPr>
            <w:r>
              <w:rPr>
                <w:b/>
                <w:color w:val="3B3B3B"/>
                <w:sz w:val="18"/>
              </w:rPr>
              <w:t>N</w:t>
            </w:r>
            <w:r>
              <w:rPr>
                <w:b/>
                <w:color w:val="161616"/>
                <w:sz w:val="18"/>
              </w:rPr>
              <w:t>et </w:t>
            </w:r>
            <w:r>
              <w:rPr>
                <w:b/>
                <w:color w:val="2A2A2A"/>
                <w:sz w:val="18"/>
              </w:rPr>
              <w:t>assets </w:t>
            </w:r>
            <w:r>
              <w:rPr>
                <w:b/>
                <w:color w:val="161616"/>
                <w:sz w:val="18"/>
              </w:rPr>
              <w:t>including pen</w:t>
            </w:r>
            <w:r>
              <w:rPr>
                <w:b/>
                <w:color w:val="3B3B3B"/>
                <w:sz w:val="18"/>
              </w:rPr>
              <w:t>s</w:t>
            </w:r>
            <w:r>
              <w:rPr>
                <w:b/>
                <w:color w:val="161616"/>
                <w:sz w:val="18"/>
              </w:rPr>
              <w:t>ion liabilit</w:t>
            </w:r>
            <w:r>
              <w:rPr>
                <w:b/>
                <w:color w:val="3B3B3B"/>
                <w:sz w:val="18"/>
              </w:rPr>
              <w:t>y</w:t>
            </w:r>
          </w:p>
        </w:tc>
        <w:tc>
          <w:tcPr>
            <w:tcW w:w="990" w:type="dxa"/>
          </w:tcPr>
          <w:p>
            <w:pPr>
              <w:pStyle w:val="TableParagraph"/>
              <w:spacing w:before="124"/>
              <w:ind w:right="173"/>
              <w:jc w:val="right"/>
              <w:rPr>
                <w:sz w:val="17"/>
              </w:rPr>
            </w:pPr>
            <w:r>
              <w:rPr>
                <w:color w:val="3B3B3B"/>
                <w:w w:val="110"/>
                <w:sz w:val="17"/>
              </w:rPr>
              <w:t>34</w:t>
            </w:r>
            <w:r>
              <w:rPr>
                <w:color w:val="5B5B5B"/>
                <w:w w:val="110"/>
                <w:sz w:val="17"/>
              </w:rPr>
              <w:t>,</w:t>
            </w:r>
            <w:r>
              <w:rPr>
                <w:color w:val="3B3B3B"/>
                <w:w w:val="110"/>
                <w:sz w:val="17"/>
              </w:rPr>
              <w:t>579</w:t>
            </w:r>
          </w:p>
        </w:tc>
        <w:tc>
          <w:tcPr>
            <w:tcW w:w="878" w:type="dxa"/>
          </w:tcPr>
          <w:p>
            <w:pPr>
              <w:pStyle w:val="TableParagraph"/>
              <w:spacing w:before="124"/>
              <w:ind w:right="173"/>
              <w:jc w:val="right"/>
              <w:rPr>
                <w:sz w:val="17"/>
              </w:rPr>
            </w:pPr>
            <w:r>
              <w:rPr>
                <w:color w:val="3B3B3B"/>
                <w:w w:val="110"/>
                <w:sz w:val="17"/>
              </w:rPr>
              <w:t>33</w:t>
            </w:r>
            <w:r>
              <w:rPr>
                <w:color w:val="5B5B5B"/>
                <w:w w:val="110"/>
                <w:sz w:val="17"/>
              </w:rPr>
              <w:t>,</w:t>
            </w:r>
            <w:r>
              <w:rPr>
                <w:color w:val="3B3B3B"/>
                <w:w w:val="110"/>
                <w:sz w:val="17"/>
              </w:rPr>
              <w:t>010</w:t>
            </w:r>
          </w:p>
        </w:tc>
        <w:tc>
          <w:tcPr>
            <w:tcW w:w="875" w:type="dxa"/>
          </w:tcPr>
          <w:p>
            <w:pPr>
              <w:pStyle w:val="TableParagraph"/>
              <w:spacing w:before="124"/>
              <w:ind w:right="172"/>
              <w:jc w:val="right"/>
              <w:rPr>
                <w:sz w:val="17"/>
              </w:rPr>
            </w:pPr>
            <w:r>
              <w:rPr>
                <w:color w:val="3B3B3B"/>
                <w:w w:val="110"/>
                <w:sz w:val="17"/>
              </w:rPr>
              <w:t>37</w:t>
            </w:r>
            <w:r>
              <w:rPr>
                <w:color w:val="5B5B5B"/>
                <w:w w:val="110"/>
                <w:sz w:val="17"/>
              </w:rPr>
              <w:t>,</w:t>
            </w:r>
            <w:r>
              <w:rPr>
                <w:color w:val="3B3B3B"/>
                <w:w w:val="110"/>
                <w:sz w:val="17"/>
              </w:rPr>
              <w:t>072</w:t>
            </w:r>
          </w:p>
        </w:tc>
        <w:tc>
          <w:tcPr>
            <w:tcW w:w="877" w:type="dxa"/>
          </w:tcPr>
          <w:p>
            <w:pPr>
              <w:pStyle w:val="TableParagraph"/>
              <w:spacing w:before="124"/>
              <w:ind w:right="169"/>
              <w:jc w:val="right"/>
              <w:rPr>
                <w:sz w:val="17"/>
              </w:rPr>
            </w:pPr>
            <w:r>
              <w:rPr>
                <w:color w:val="3B3B3B"/>
                <w:w w:val="110"/>
                <w:sz w:val="17"/>
              </w:rPr>
              <w:t>35</w:t>
            </w:r>
            <w:r>
              <w:rPr>
                <w:color w:val="5B5B5B"/>
                <w:w w:val="110"/>
                <w:sz w:val="17"/>
              </w:rPr>
              <w:t>,</w:t>
            </w:r>
            <w:r>
              <w:rPr>
                <w:color w:val="2A2A2A"/>
                <w:w w:val="110"/>
                <w:sz w:val="17"/>
              </w:rPr>
              <w:t>410</w:t>
            </w:r>
          </w:p>
        </w:tc>
        <w:tc>
          <w:tcPr>
            <w:tcW w:w="776" w:type="dxa"/>
          </w:tcPr>
          <w:p>
            <w:pPr>
              <w:pStyle w:val="TableParagraph"/>
              <w:spacing w:before="124"/>
              <w:ind w:right="79"/>
              <w:jc w:val="right"/>
              <w:rPr>
                <w:sz w:val="17"/>
              </w:rPr>
            </w:pPr>
            <w:r>
              <w:rPr>
                <w:color w:val="3B3B3B"/>
                <w:w w:val="105"/>
                <w:sz w:val="17"/>
              </w:rPr>
              <w:t>38,842</w:t>
            </w:r>
          </w:p>
        </w:tc>
      </w:tr>
      <w:tr>
        <w:trPr>
          <w:trHeight w:val="446" w:hRule="atLeast"/>
        </w:trPr>
        <w:tc>
          <w:tcPr>
            <w:tcW w:w="4032" w:type="dxa"/>
          </w:tcPr>
          <w:p>
            <w:pPr>
              <w:pStyle w:val="TableParagraph"/>
              <w:spacing w:before="4"/>
              <w:rPr>
                <w:b/>
                <w:sz w:val="20"/>
              </w:rPr>
            </w:pPr>
          </w:p>
          <w:p>
            <w:pPr>
              <w:pStyle w:val="TableParagraph"/>
              <w:spacing w:line="192" w:lineRule="exact"/>
              <w:ind w:left="65"/>
              <w:rPr>
                <w:sz w:val="17"/>
              </w:rPr>
            </w:pPr>
            <w:r>
              <w:rPr>
                <w:color w:val="2A2A2A"/>
                <w:w w:val="105"/>
                <w:sz w:val="17"/>
              </w:rPr>
              <w:t>Unrestricted </w:t>
            </w:r>
            <w:r>
              <w:rPr>
                <w:color w:val="3B3B3B"/>
                <w:w w:val="105"/>
                <w:sz w:val="17"/>
              </w:rPr>
              <w:t>income fun</w:t>
            </w:r>
            <w:r>
              <w:rPr>
                <w:color w:val="161616"/>
                <w:w w:val="105"/>
                <w:sz w:val="17"/>
              </w:rPr>
              <w:t>d</w:t>
            </w:r>
            <w:r>
              <w:rPr>
                <w:color w:val="3B3B3B"/>
                <w:w w:val="105"/>
                <w:sz w:val="17"/>
              </w:rPr>
              <w:t>s</w:t>
            </w:r>
          </w:p>
        </w:tc>
        <w:tc>
          <w:tcPr>
            <w:tcW w:w="990" w:type="dxa"/>
          </w:tcPr>
          <w:p>
            <w:pPr>
              <w:pStyle w:val="TableParagraph"/>
              <w:spacing w:before="4"/>
              <w:rPr>
                <w:b/>
                <w:sz w:val="20"/>
              </w:rPr>
            </w:pPr>
          </w:p>
          <w:p>
            <w:pPr>
              <w:pStyle w:val="TableParagraph"/>
              <w:spacing w:line="192" w:lineRule="exact"/>
              <w:ind w:right="181"/>
              <w:jc w:val="right"/>
              <w:rPr>
                <w:sz w:val="17"/>
              </w:rPr>
            </w:pPr>
            <w:r>
              <w:rPr>
                <w:color w:val="3B3B3B"/>
                <w:w w:val="105"/>
                <w:sz w:val="17"/>
              </w:rPr>
              <w:t>3</w:t>
            </w:r>
            <w:r>
              <w:rPr>
                <w:color w:val="5B5B5B"/>
                <w:w w:val="105"/>
                <w:sz w:val="17"/>
              </w:rPr>
              <w:t>,</w:t>
            </w:r>
            <w:r>
              <w:rPr>
                <w:color w:val="2A2A2A"/>
                <w:w w:val="105"/>
                <w:sz w:val="17"/>
              </w:rPr>
              <w:t>889</w:t>
            </w:r>
          </w:p>
        </w:tc>
        <w:tc>
          <w:tcPr>
            <w:tcW w:w="878" w:type="dxa"/>
          </w:tcPr>
          <w:p>
            <w:pPr>
              <w:pStyle w:val="TableParagraph"/>
              <w:spacing w:before="4"/>
              <w:rPr>
                <w:b/>
                <w:sz w:val="20"/>
              </w:rPr>
            </w:pPr>
          </w:p>
          <w:p>
            <w:pPr>
              <w:pStyle w:val="TableParagraph"/>
              <w:spacing w:line="192" w:lineRule="exact"/>
              <w:ind w:right="184"/>
              <w:jc w:val="right"/>
              <w:rPr>
                <w:sz w:val="17"/>
              </w:rPr>
            </w:pPr>
            <w:r>
              <w:rPr>
                <w:color w:val="2A2A2A"/>
                <w:w w:val="105"/>
                <w:sz w:val="17"/>
              </w:rPr>
              <w:t>1</w:t>
            </w:r>
            <w:r>
              <w:rPr>
                <w:color w:val="4D4D4D"/>
                <w:w w:val="105"/>
                <w:sz w:val="17"/>
              </w:rPr>
              <w:t>,</w:t>
            </w:r>
            <w:r>
              <w:rPr>
                <w:color w:val="161616"/>
                <w:w w:val="105"/>
                <w:sz w:val="17"/>
              </w:rPr>
              <w:t>2</w:t>
            </w:r>
            <w:r>
              <w:rPr>
                <w:color w:val="3B3B3B"/>
                <w:w w:val="105"/>
                <w:sz w:val="17"/>
              </w:rPr>
              <w:t>36</w:t>
            </w:r>
          </w:p>
        </w:tc>
        <w:tc>
          <w:tcPr>
            <w:tcW w:w="875" w:type="dxa"/>
          </w:tcPr>
          <w:p>
            <w:pPr>
              <w:pStyle w:val="TableParagraph"/>
              <w:spacing w:before="4"/>
              <w:rPr>
                <w:b/>
                <w:sz w:val="20"/>
              </w:rPr>
            </w:pPr>
          </w:p>
          <w:p>
            <w:pPr>
              <w:pStyle w:val="TableParagraph"/>
              <w:spacing w:line="192" w:lineRule="exact"/>
              <w:ind w:right="177"/>
              <w:jc w:val="right"/>
              <w:rPr>
                <w:sz w:val="17"/>
              </w:rPr>
            </w:pPr>
            <w:r>
              <w:rPr>
                <w:color w:val="2A2A2A"/>
                <w:w w:val="105"/>
                <w:sz w:val="17"/>
              </w:rPr>
              <w:t>4</w:t>
            </w:r>
            <w:r>
              <w:rPr>
                <w:color w:val="4D4D4D"/>
                <w:w w:val="105"/>
                <w:sz w:val="17"/>
              </w:rPr>
              <w:t>,</w:t>
            </w:r>
            <w:r>
              <w:rPr>
                <w:color w:val="2A2A2A"/>
                <w:w w:val="105"/>
                <w:sz w:val="17"/>
              </w:rPr>
              <w:t>085</w:t>
            </w:r>
          </w:p>
        </w:tc>
        <w:tc>
          <w:tcPr>
            <w:tcW w:w="877" w:type="dxa"/>
          </w:tcPr>
          <w:p>
            <w:pPr>
              <w:pStyle w:val="TableParagraph"/>
              <w:spacing w:before="4"/>
              <w:rPr>
                <w:b/>
                <w:sz w:val="20"/>
              </w:rPr>
            </w:pPr>
          </w:p>
          <w:p>
            <w:pPr>
              <w:pStyle w:val="TableParagraph"/>
              <w:spacing w:line="192" w:lineRule="exact"/>
              <w:ind w:right="178"/>
              <w:jc w:val="right"/>
              <w:rPr>
                <w:sz w:val="17"/>
              </w:rPr>
            </w:pPr>
            <w:r>
              <w:rPr>
                <w:color w:val="3B3B3B"/>
                <w:w w:val="105"/>
                <w:sz w:val="17"/>
              </w:rPr>
              <w:t>2</w:t>
            </w:r>
            <w:r>
              <w:rPr>
                <w:color w:val="5B5B5B"/>
                <w:w w:val="105"/>
                <w:sz w:val="17"/>
              </w:rPr>
              <w:t>,</w:t>
            </w:r>
            <w:r>
              <w:rPr>
                <w:color w:val="3B3B3B"/>
                <w:w w:val="105"/>
                <w:sz w:val="17"/>
              </w:rPr>
              <w:t>910</w:t>
            </w:r>
          </w:p>
        </w:tc>
        <w:tc>
          <w:tcPr>
            <w:tcW w:w="776" w:type="dxa"/>
          </w:tcPr>
          <w:p>
            <w:pPr>
              <w:pStyle w:val="TableParagraph"/>
              <w:spacing w:before="4"/>
              <w:rPr>
                <w:b/>
                <w:sz w:val="20"/>
              </w:rPr>
            </w:pPr>
          </w:p>
          <w:p>
            <w:pPr>
              <w:pStyle w:val="TableParagraph"/>
              <w:spacing w:line="192" w:lineRule="exact"/>
              <w:ind w:right="66"/>
              <w:jc w:val="right"/>
              <w:rPr>
                <w:sz w:val="17"/>
              </w:rPr>
            </w:pPr>
            <w:r>
              <w:rPr>
                <w:color w:val="3B3B3B"/>
                <w:w w:val="110"/>
                <w:sz w:val="17"/>
              </w:rPr>
              <w:t>2,877</w:t>
            </w:r>
          </w:p>
        </w:tc>
      </w:tr>
      <w:tr>
        <w:trPr>
          <w:trHeight w:val="226" w:hRule="atLeast"/>
        </w:trPr>
        <w:tc>
          <w:tcPr>
            <w:tcW w:w="4032" w:type="dxa"/>
          </w:tcPr>
          <w:p>
            <w:pPr>
              <w:pStyle w:val="TableParagraph"/>
              <w:spacing w:before="9"/>
              <w:ind w:left="53"/>
              <w:rPr>
                <w:sz w:val="17"/>
              </w:rPr>
            </w:pPr>
            <w:r>
              <w:rPr>
                <w:color w:val="2A2A2A"/>
                <w:w w:val="105"/>
                <w:sz w:val="17"/>
              </w:rPr>
              <w:t>Restricted income funds</w:t>
            </w:r>
          </w:p>
        </w:tc>
        <w:tc>
          <w:tcPr>
            <w:tcW w:w="990" w:type="dxa"/>
          </w:tcPr>
          <w:p>
            <w:pPr>
              <w:pStyle w:val="TableParagraph"/>
              <w:spacing w:before="9"/>
              <w:ind w:right="165"/>
              <w:jc w:val="right"/>
              <w:rPr>
                <w:sz w:val="17"/>
              </w:rPr>
            </w:pPr>
            <w:r>
              <w:rPr>
                <w:color w:val="2A2A2A"/>
                <w:w w:val="110"/>
                <w:sz w:val="17"/>
              </w:rPr>
              <w:t>25,057</w:t>
            </w:r>
          </w:p>
        </w:tc>
        <w:tc>
          <w:tcPr>
            <w:tcW w:w="878" w:type="dxa"/>
          </w:tcPr>
          <w:p>
            <w:pPr>
              <w:pStyle w:val="TableParagraph"/>
              <w:spacing w:line="187" w:lineRule="exact" w:before="19"/>
              <w:ind w:right="172"/>
              <w:jc w:val="right"/>
              <w:rPr>
                <w:sz w:val="17"/>
              </w:rPr>
            </w:pPr>
            <w:r>
              <w:rPr>
                <w:color w:val="3B3B3B"/>
                <w:w w:val="105"/>
                <w:sz w:val="17"/>
              </w:rPr>
              <w:t>25,813</w:t>
            </w:r>
          </w:p>
        </w:tc>
        <w:tc>
          <w:tcPr>
            <w:tcW w:w="875" w:type="dxa"/>
          </w:tcPr>
          <w:p>
            <w:pPr>
              <w:pStyle w:val="TableParagraph"/>
              <w:spacing w:before="9"/>
              <w:ind w:right="180"/>
              <w:jc w:val="right"/>
              <w:rPr>
                <w:sz w:val="17"/>
              </w:rPr>
            </w:pPr>
            <w:r>
              <w:rPr>
                <w:color w:val="3B3B3B"/>
                <w:w w:val="105"/>
                <w:sz w:val="17"/>
              </w:rPr>
              <w:t>26,784</w:t>
            </w:r>
          </w:p>
        </w:tc>
        <w:tc>
          <w:tcPr>
            <w:tcW w:w="877" w:type="dxa"/>
          </w:tcPr>
          <w:p>
            <w:pPr>
              <w:pStyle w:val="TableParagraph"/>
              <w:spacing w:before="9"/>
              <w:ind w:right="186"/>
              <w:jc w:val="right"/>
              <w:rPr>
                <w:sz w:val="17"/>
              </w:rPr>
            </w:pPr>
            <w:r>
              <w:rPr>
                <w:color w:val="3B3B3B"/>
                <w:w w:val="105"/>
                <w:sz w:val="17"/>
              </w:rPr>
              <w:t>2</w:t>
            </w:r>
            <w:r>
              <w:rPr>
                <w:color w:val="161616"/>
                <w:w w:val="105"/>
                <w:sz w:val="17"/>
              </w:rPr>
              <w:t>4</w:t>
            </w:r>
            <w:r>
              <w:rPr>
                <w:color w:val="3B3B3B"/>
                <w:w w:val="105"/>
                <w:sz w:val="17"/>
              </w:rPr>
              <w:t>,759</w:t>
            </w:r>
          </w:p>
        </w:tc>
        <w:tc>
          <w:tcPr>
            <w:tcW w:w="776" w:type="dxa"/>
          </w:tcPr>
          <w:p>
            <w:pPr>
              <w:pStyle w:val="TableParagraph"/>
              <w:spacing w:line="187" w:lineRule="exact" w:before="19"/>
              <w:ind w:right="84"/>
              <w:jc w:val="right"/>
              <w:rPr>
                <w:sz w:val="17"/>
              </w:rPr>
            </w:pPr>
            <w:r>
              <w:rPr>
                <w:color w:val="3B3B3B"/>
                <w:w w:val="105"/>
                <w:sz w:val="17"/>
              </w:rPr>
              <w:t>27,</w:t>
            </w:r>
            <w:r>
              <w:rPr>
                <w:color w:val="161616"/>
                <w:w w:val="105"/>
                <w:sz w:val="17"/>
              </w:rPr>
              <w:t>1</w:t>
            </w:r>
            <w:r>
              <w:rPr>
                <w:color w:val="3B3B3B"/>
                <w:w w:val="105"/>
                <w:sz w:val="17"/>
              </w:rPr>
              <w:t>72</w:t>
            </w:r>
          </w:p>
        </w:tc>
      </w:tr>
      <w:tr>
        <w:trPr>
          <w:trHeight w:val="413" w:hRule="atLeast"/>
        </w:trPr>
        <w:tc>
          <w:tcPr>
            <w:tcW w:w="4032" w:type="dxa"/>
          </w:tcPr>
          <w:p>
            <w:pPr>
              <w:pStyle w:val="TableParagraph"/>
              <w:spacing w:before="4"/>
              <w:ind w:left="50"/>
              <w:rPr>
                <w:sz w:val="17"/>
              </w:rPr>
            </w:pPr>
            <w:r>
              <w:rPr>
                <w:color w:val="3B3B3B"/>
                <w:w w:val="105"/>
                <w:sz w:val="17"/>
              </w:rPr>
              <w:t>Cap</w:t>
            </w:r>
            <w:r>
              <w:rPr>
                <w:color w:val="161616"/>
                <w:w w:val="105"/>
                <w:sz w:val="17"/>
              </w:rPr>
              <w:t>ita</w:t>
            </w:r>
            <w:r>
              <w:rPr>
                <w:color w:val="3B3B3B"/>
                <w:w w:val="105"/>
                <w:sz w:val="17"/>
              </w:rPr>
              <w:t>l </w:t>
            </w:r>
            <w:r>
              <w:rPr>
                <w:color w:val="2A2A2A"/>
                <w:w w:val="105"/>
                <w:sz w:val="17"/>
              </w:rPr>
              <w:t>funds</w:t>
            </w:r>
          </w:p>
        </w:tc>
        <w:tc>
          <w:tcPr>
            <w:tcW w:w="990" w:type="dxa"/>
            <w:tcBorders>
              <w:bottom w:val="single" w:sz="8" w:space="0" w:color="000000"/>
            </w:tcBorders>
          </w:tcPr>
          <w:p>
            <w:pPr>
              <w:pStyle w:val="TableParagraph"/>
              <w:spacing w:before="14"/>
              <w:ind w:right="168"/>
              <w:jc w:val="right"/>
              <w:rPr>
                <w:sz w:val="17"/>
              </w:rPr>
            </w:pPr>
            <w:r>
              <w:rPr>
                <w:color w:val="3B3B3B"/>
                <w:w w:val="110"/>
                <w:sz w:val="17"/>
              </w:rPr>
              <w:t>5,633</w:t>
            </w:r>
          </w:p>
        </w:tc>
        <w:tc>
          <w:tcPr>
            <w:tcW w:w="878" w:type="dxa"/>
          </w:tcPr>
          <w:p>
            <w:pPr>
              <w:pStyle w:val="TableParagraph"/>
              <w:spacing w:before="14"/>
              <w:ind w:right="162"/>
              <w:jc w:val="right"/>
              <w:rPr>
                <w:sz w:val="17"/>
              </w:rPr>
            </w:pPr>
            <w:r>
              <w:rPr>
                <w:color w:val="3B3B3B"/>
                <w:w w:val="110"/>
                <w:sz w:val="17"/>
              </w:rPr>
              <w:t>5,961</w:t>
            </w:r>
          </w:p>
        </w:tc>
        <w:tc>
          <w:tcPr>
            <w:tcW w:w="875" w:type="dxa"/>
          </w:tcPr>
          <w:p>
            <w:pPr>
              <w:pStyle w:val="TableParagraph"/>
              <w:spacing w:before="14"/>
              <w:ind w:right="167"/>
              <w:jc w:val="right"/>
              <w:rPr>
                <w:sz w:val="17"/>
              </w:rPr>
            </w:pPr>
            <w:r>
              <w:rPr>
                <w:color w:val="3B3B3B"/>
                <w:w w:val="110"/>
                <w:sz w:val="17"/>
              </w:rPr>
              <w:t>6,203</w:t>
            </w:r>
          </w:p>
        </w:tc>
        <w:tc>
          <w:tcPr>
            <w:tcW w:w="877" w:type="dxa"/>
          </w:tcPr>
          <w:p>
            <w:pPr>
              <w:pStyle w:val="TableParagraph"/>
              <w:spacing w:before="14"/>
              <w:ind w:right="176"/>
              <w:jc w:val="right"/>
              <w:rPr>
                <w:sz w:val="17"/>
              </w:rPr>
            </w:pPr>
            <w:r>
              <w:rPr>
                <w:color w:val="3B3B3B"/>
                <w:w w:val="110"/>
                <w:sz w:val="17"/>
              </w:rPr>
              <w:t>7,7</w:t>
            </w:r>
            <w:r>
              <w:rPr>
                <w:color w:val="161616"/>
                <w:w w:val="110"/>
                <w:sz w:val="17"/>
              </w:rPr>
              <w:t>41</w:t>
            </w:r>
          </w:p>
        </w:tc>
        <w:tc>
          <w:tcPr>
            <w:tcW w:w="776" w:type="dxa"/>
          </w:tcPr>
          <w:p>
            <w:pPr>
              <w:pStyle w:val="TableParagraph"/>
              <w:spacing w:before="14"/>
              <w:ind w:right="66"/>
              <w:jc w:val="right"/>
              <w:rPr>
                <w:sz w:val="17"/>
              </w:rPr>
            </w:pPr>
            <w:r>
              <w:rPr>
                <w:color w:val="3B3B3B"/>
                <w:w w:val="110"/>
                <w:sz w:val="17"/>
              </w:rPr>
              <w:t>8,793</w:t>
            </w:r>
          </w:p>
        </w:tc>
      </w:tr>
      <w:tr>
        <w:trPr>
          <w:trHeight w:val="215" w:hRule="atLeast"/>
        </w:trPr>
        <w:tc>
          <w:tcPr>
            <w:tcW w:w="4032" w:type="dxa"/>
          </w:tcPr>
          <w:p>
            <w:pPr>
              <w:pStyle w:val="TableParagraph"/>
              <w:spacing w:line="191" w:lineRule="exact" w:before="4"/>
              <w:ind w:left="50"/>
              <w:rPr>
                <w:b/>
                <w:sz w:val="18"/>
              </w:rPr>
            </w:pPr>
            <w:r>
              <w:rPr>
                <w:b/>
                <w:color w:val="161616"/>
                <w:w w:val="105"/>
                <w:sz w:val="18"/>
              </w:rPr>
              <w:t>Total funds</w:t>
            </w:r>
          </w:p>
        </w:tc>
        <w:tc>
          <w:tcPr>
            <w:tcW w:w="990" w:type="dxa"/>
            <w:tcBorders>
              <w:top w:val="single" w:sz="8" w:space="0" w:color="000000"/>
              <w:bottom w:val="single" w:sz="12" w:space="0" w:color="000000"/>
            </w:tcBorders>
          </w:tcPr>
          <w:p>
            <w:pPr>
              <w:pStyle w:val="TableParagraph"/>
              <w:spacing w:line="181" w:lineRule="exact" w:before="14"/>
              <w:ind w:right="169"/>
              <w:jc w:val="right"/>
              <w:rPr>
                <w:sz w:val="17"/>
              </w:rPr>
            </w:pPr>
            <w:r>
              <w:rPr>
                <w:color w:val="3B3B3B"/>
                <w:w w:val="110"/>
                <w:sz w:val="17"/>
              </w:rPr>
              <w:t>34,579</w:t>
            </w:r>
          </w:p>
        </w:tc>
        <w:tc>
          <w:tcPr>
            <w:tcW w:w="878" w:type="dxa"/>
            <w:tcBorders>
              <w:bottom w:val="single" w:sz="12" w:space="0" w:color="000000"/>
            </w:tcBorders>
          </w:tcPr>
          <w:p>
            <w:pPr>
              <w:pStyle w:val="TableParagraph"/>
              <w:spacing w:line="181" w:lineRule="exact" w:before="14"/>
              <w:ind w:right="173"/>
              <w:jc w:val="right"/>
              <w:rPr>
                <w:sz w:val="17"/>
              </w:rPr>
            </w:pPr>
            <w:r>
              <w:rPr>
                <w:color w:val="3B3B3B"/>
                <w:w w:val="110"/>
                <w:sz w:val="17"/>
              </w:rPr>
              <w:t>33</w:t>
            </w:r>
            <w:r>
              <w:rPr>
                <w:color w:val="5B5B5B"/>
                <w:w w:val="110"/>
                <w:sz w:val="17"/>
              </w:rPr>
              <w:t>,</w:t>
            </w:r>
            <w:r>
              <w:rPr>
                <w:color w:val="2A2A2A"/>
                <w:w w:val="110"/>
                <w:sz w:val="17"/>
              </w:rPr>
              <w:t>010</w:t>
            </w:r>
          </w:p>
        </w:tc>
        <w:tc>
          <w:tcPr>
            <w:tcW w:w="875" w:type="dxa"/>
            <w:tcBorders>
              <w:bottom w:val="single" w:sz="12" w:space="0" w:color="000000"/>
            </w:tcBorders>
          </w:tcPr>
          <w:p>
            <w:pPr>
              <w:pStyle w:val="TableParagraph"/>
              <w:spacing w:line="181" w:lineRule="exact" w:before="14"/>
              <w:ind w:right="178"/>
              <w:jc w:val="right"/>
              <w:rPr>
                <w:sz w:val="17"/>
              </w:rPr>
            </w:pPr>
            <w:r>
              <w:rPr>
                <w:color w:val="3B3B3B"/>
                <w:w w:val="105"/>
                <w:sz w:val="17"/>
              </w:rPr>
              <w:t>37,072</w:t>
            </w:r>
          </w:p>
        </w:tc>
        <w:tc>
          <w:tcPr>
            <w:tcW w:w="877" w:type="dxa"/>
            <w:tcBorders>
              <w:bottom w:val="single" w:sz="12" w:space="0" w:color="000000"/>
            </w:tcBorders>
          </w:tcPr>
          <w:p>
            <w:pPr>
              <w:pStyle w:val="TableParagraph"/>
              <w:spacing w:line="181" w:lineRule="exact" w:before="14"/>
              <w:ind w:right="179"/>
              <w:jc w:val="right"/>
              <w:rPr>
                <w:sz w:val="17"/>
              </w:rPr>
            </w:pPr>
            <w:r>
              <w:rPr>
                <w:color w:val="3B3B3B"/>
                <w:w w:val="105"/>
                <w:sz w:val="17"/>
              </w:rPr>
              <w:t>35,410</w:t>
            </w:r>
          </w:p>
        </w:tc>
        <w:tc>
          <w:tcPr>
            <w:tcW w:w="776" w:type="dxa"/>
            <w:tcBorders>
              <w:bottom w:val="single" w:sz="12" w:space="0" w:color="000000"/>
            </w:tcBorders>
          </w:tcPr>
          <w:p>
            <w:pPr>
              <w:pStyle w:val="TableParagraph"/>
              <w:spacing w:line="181" w:lineRule="exact" w:before="14"/>
              <w:ind w:right="79"/>
              <w:jc w:val="right"/>
              <w:rPr>
                <w:sz w:val="17"/>
              </w:rPr>
            </w:pPr>
            <w:r>
              <w:rPr>
                <w:color w:val="4D4D4D"/>
                <w:w w:val="105"/>
                <w:sz w:val="17"/>
              </w:rPr>
              <w:t>38,8</w:t>
            </w:r>
            <w:r>
              <w:rPr>
                <w:color w:val="2A2A2A"/>
                <w:w w:val="105"/>
                <w:sz w:val="17"/>
              </w:rPr>
              <w:t>42</w:t>
            </w:r>
          </w:p>
        </w:tc>
      </w:tr>
    </w:tbl>
    <w:p>
      <w:pPr>
        <w:pStyle w:val="BodyText"/>
        <w:spacing w:before="1"/>
        <w:rPr>
          <w:rFonts w:ascii="Times New Roman"/>
          <w:b/>
          <w:sz w:val="29"/>
        </w:rPr>
      </w:pPr>
    </w:p>
    <w:p>
      <w:pPr>
        <w:spacing w:line="283" w:lineRule="auto" w:before="93"/>
        <w:ind w:left="836" w:right="2529" w:hanging="6"/>
        <w:jc w:val="left"/>
        <w:rPr>
          <w:rFonts w:ascii="Times New Roman"/>
          <w:sz w:val="17"/>
        </w:rPr>
      </w:pPr>
      <w:r>
        <w:rPr>
          <w:rFonts w:ascii="Times New Roman"/>
          <w:color w:val="3B3B3B"/>
          <w:w w:val="105"/>
          <w:sz w:val="17"/>
        </w:rPr>
        <w:t>Note: </w:t>
      </w:r>
      <w:r>
        <w:rPr>
          <w:rFonts w:ascii="Times New Roman"/>
          <w:color w:val="4D4D4D"/>
          <w:spacing w:val="-4"/>
          <w:w w:val="105"/>
          <w:sz w:val="17"/>
        </w:rPr>
        <w:t>Figu</w:t>
      </w:r>
      <w:r>
        <w:rPr>
          <w:rFonts w:ascii="Times New Roman"/>
          <w:color w:val="161616"/>
          <w:spacing w:val="-4"/>
          <w:w w:val="105"/>
          <w:sz w:val="17"/>
        </w:rPr>
        <w:t>r</w:t>
      </w:r>
      <w:r>
        <w:rPr>
          <w:rFonts w:ascii="Times New Roman"/>
          <w:color w:val="3B3B3B"/>
          <w:spacing w:val="-4"/>
          <w:w w:val="105"/>
          <w:sz w:val="17"/>
        </w:rPr>
        <w:t>es </w:t>
      </w:r>
      <w:r>
        <w:rPr>
          <w:rFonts w:ascii="Times New Roman"/>
          <w:color w:val="3B3B3B"/>
          <w:spacing w:val="-5"/>
          <w:w w:val="105"/>
          <w:sz w:val="17"/>
        </w:rPr>
        <w:t>fo</w:t>
      </w:r>
      <w:r>
        <w:rPr>
          <w:rFonts w:ascii="Times New Roman"/>
          <w:color w:val="161616"/>
          <w:spacing w:val="-5"/>
          <w:w w:val="105"/>
          <w:sz w:val="17"/>
        </w:rPr>
        <w:t>r </w:t>
      </w:r>
      <w:r>
        <w:rPr>
          <w:rFonts w:ascii="Times New Roman"/>
          <w:color w:val="3B3B3B"/>
          <w:spacing w:val="-3"/>
          <w:w w:val="105"/>
          <w:sz w:val="17"/>
        </w:rPr>
        <w:t>2002</w:t>
      </w:r>
      <w:r>
        <w:rPr>
          <w:rFonts w:ascii="Times New Roman"/>
          <w:color w:val="161616"/>
          <w:spacing w:val="-3"/>
          <w:w w:val="105"/>
          <w:sz w:val="17"/>
        </w:rPr>
        <w:t>-</w:t>
      </w:r>
      <w:r>
        <w:rPr>
          <w:rFonts w:ascii="Times New Roman"/>
          <w:color w:val="3B3B3B"/>
          <w:spacing w:val="-3"/>
          <w:w w:val="105"/>
          <w:sz w:val="17"/>
        </w:rPr>
        <w:t>200</w:t>
      </w:r>
      <w:r>
        <w:rPr>
          <w:rFonts w:ascii="Times New Roman"/>
          <w:color w:val="161616"/>
          <w:spacing w:val="-3"/>
          <w:w w:val="105"/>
          <w:sz w:val="17"/>
        </w:rPr>
        <w:t>4 </w:t>
      </w:r>
      <w:r>
        <w:rPr>
          <w:rFonts w:ascii="Times New Roman"/>
          <w:color w:val="2A2A2A"/>
          <w:w w:val="105"/>
          <w:sz w:val="17"/>
        </w:rPr>
        <w:t>have </w:t>
      </w:r>
      <w:r>
        <w:rPr>
          <w:rFonts w:ascii="Times New Roman"/>
          <w:color w:val="3B3B3B"/>
          <w:w w:val="105"/>
          <w:sz w:val="17"/>
        </w:rPr>
        <w:t>not </w:t>
      </w:r>
      <w:r>
        <w:rPr>
          <w:rFonts w:ascii="Times New Roman"/>
          <w:color w:val="2A2A2A"/>
          <w:w w:val="105"/>
          <w:sz w:val="17"/>
        </w:rPr>
        <w:t>been </w:t>
      </w:r>
      <w:r>
        <w:rPr>
          <w:rFonts w:ascii="Times New Roman"/>
          <w:color w:val="161616"/>
          <w:w w:val="105"/>
          <w:sz w:val="17"/>
        </w:rPr>
        <w:t>r</w:t>
      </w:r>
      <w:r>
        <w:rPr>
          <w:rFonts w:ascii="Times New Roman"/>
          <w:color w:val="3B3B3B"/>
          <w:w w:val="105"/>
          <w:sz w:val="17"/>
        </w:rPr>
        <w:t>estated in </w:t>
      </w:r>
      <w:r>
        <w:rPr>
          <w:rFonts w:ascii="Times New Roman"/>
          <w:color w:val="2A2A2A"/>
          <w:w w:val="105"/>
          <w:sz w:val="17"/>
        </w:rPr>
        <w:t>re</w:t>
      </w:r>
      <w:r>
        <w:rPr>
          <w:rFonts w:ascii="Times New Roman"/>
          <w:color w:val="4D4D4D"/>
          <w:w w:val="105"/>
          <w:sz w:val="17"/>
        </w:rPr>
        <w:t>s</w:t>
      </w:r>
      <w:r>
        <w:rPr>
          <w:rFonts w:ascii="Times New Roman"/>
          <w:color w:val="2A2A2A"/>
          <w:w w:val="105"/>
          <w:sz w:val="17"/>
        </w:rPr>
        <w:t>pect </w:t>
      </w:r>
      <w:r>
        <w:rPr>
          <w:rFonts w:ascii="Times New Roman"/>
          <w:color w:val="3B3B3B"/>
          <w:w w:val="105"/>
          <w:sz w:val="17"/>
        </w:rPr>
        <w:t>of </w:t>
      </w:r>
      <w:r>
        <w:rPr>
          <w:rFonts w:ascii="Times New Roman"/>
          <w:color w:val="2A2A2A"/>
          <w:w w:val="105"/>
          <w:sz w:val="17"/>
        </w:rPr>
        <w:t>Other pension </w:t>
      </w:r>
      <w:r>
        <w:rPr>
          <w:rFonts w:ascii="Times New Roman"/>
          <w:color w:val="3B3B3B"/>
          <w:w w:val="105"/>
          <w:sz w:val="17"/>
        </w:rPr>
        <w:t>obligations, </w:t>
      </w:r>
      <w:r>
        <w:rPr>
          <w:rFonts w:ascii="Times New Roman"/>
          <w:color w:val="2A2A2A"/>
          <w:w w:val="105"/>
          <w:sz w:val="17"/>
        </w:rPr>
        <w:t>because </w:t>
      </w:r>
      <w:r>
        <w:rPr>
          <w:rFonts w:ascii="Times New Roman"/>
          <w:color w:val="3B3B3B"/>
          <w:w w:val="105"/>
          <w:sz w:val="17"/>
        </w:rPr>
        <w:t>the relevant </w:t>
      </w:r>
      <w:r>
        <w:rPr>
          <w:rFonts w:ascii="Times New Roman"/>
          <w:color w:val="2A2A2A"/>
          <w:w w:val="105"/>
          <w:sz w:val="17"/>
        </w:rPr>
        <w:t>data </w:t>
      </w:r>
      <w:r>
        <w:rPr>
          <w:rFonts w:ascii="Times New Roman"/>
          <w:color w:val="3B3B3B"/>
          <w:w w:val="105"/>
          <w:sz w:val="17"/>
        </w:rPr>
        <w:t>is </w:t>
      </w:r>
      <w:r>
        <w:rPr>
          <w:rFonts w:ascii="Times New Roman"/>
          <w:color w:val="2A2A2A"/>
          <w:w w:val="105"/>
          <w:sz w:val="17"/>
        </w:rPr>
        <w:t>not </w:t>
      </w:r>
      <w:r>
        <w:rPr>
          <w:rFonts w:ascii="Times New Roman"/>
          <w:color w:val="3B3B3B"/>
          <w:w w:val="105"/>
          <w:sz w:val="17"/>
        </w:rPr>
        <w:t>available at those </w:t>
      </w:r>
      <w:r>
        <w:rPr>
          <w:rFonts w:ascii="Times New Roman"/>
          <w:color w:val="2A2A2A"/>
          <w:w w:val="105"/>
          <w:sz w:val="17"/>
        </w:rPr>
        <w:t>dates.</w:t>
      </w:r>
    </w:p>
    <w:p>
      <w:pPr>
        <w:pStyle w:val="BodyText"/>
        <w:rPr>
          <w:rFonts w:ascii="Times New Roman"/>
        </w:rPr>
      </w:pPr>
    </w:p>
    <w:p>
      <w:pPr>
        <w:pStyle w:val="BodyText"/>
        <w:spacing w:before="1"/>
        <w:rPr>
          <w:rFonts w:ascii="Times New Roman"/>
        </w:rPr>
      </w:pPr>
    </w:p>
    <w:p>
      <w:pPr>
        <w:tabs>
          <w:tab w:pos="4587" w:val="left" w:leader="none"/>
        </w:tabs>
        <w:spacing w:before="0" w:after="31"/>
        <w:ind w:left="826" w:right="0" w:firstLine="0"/>
        <w:jc w:val="left"/>
        <w:rPr>
          <w:rFonts w:ascii="Times New Roman"/>
          <w:sz w:val="17"/>
        </w:rPr>
      </w:pPr>
      <w:r>
        <w:rPr>
          <w:rFonts w:ascii="Times New Roman"/>
          <w:b/>
          <w:color w:val="3B3B3B"/>
          <w:spacing w:val="-7"/>
          <w:w w:val="105"/>
          <w:sz w:val="18"/>
        </w:rPr>
        <w:t>N</w:t>
      </w:r>
      <w:r>
        <w:rPr>
          <w:rFonts w:ascii="Times New Roman"/>
          <w:b/>
          <w:color w:val="161616"/>
          <w:spacing w:val="-7"/>
          <w:w w:val="105"/>
          <w:sz w:val="18"/>
        </w:rPr>
        <w:t>O</w:t>
      </w:r>
      <w:r>
        <w:rPr>
          <w:rFonts w:ascii="Times New Roman"/>
          <w:b/>
          <w:color w:val="3B3B3B"/>
          <w:spacing w:val="-7"/>
          <w:w w:val="105"/>
          <w:sz w:val="18"/>
        </w:rPr>
        <w:t>N-FINANC</w:t>
      </w:r>
      <w:r>
        <w:rPr>
          <w:rFonts w:ascii="Times New Roman"/>
          <w:b/>
          <w:color w:val="161616"/>
          <w:spacing w:val="-7"/>
          <w:w w:val="105"/>
          <w:sz w:val="18"/>
        </w:rPr>
        <w:t>I</w:t>
      </w:r>
      <w:r>
        <w:rPr>
          <w:rFonts w:ascii="Times New Roman"/>
          <w:b/>
          <w:color w:val="3B3B3B"/>
          <w:spacing w:val="-7"/>
          <w:w w:val="105"/>
          <w:sz w:val="18"/>
        </w:rPr>
        <w:t>AL</w:t>
      </w:r>
      <w:r>
        <w:rPr>
          <w:rFonts w:ascii="Times New Roman"/>
          <w:b/>
          <w:color w:val="3B3B3B"/>
          <w:spacing w:val="-36"/>
          <w:w w:val="105"/>
          <w:sz w:val="18"/>
        </w:rPr>
        <w:t> </w:t>
      </w:r>
      <w:r>
        <w:rPr>
          <w:rFonts w:ascii="Times New Roman"/>
          <w:b/>
          <w:color w:val="2A2A2A"/>
          <w:w w:val="105"/>
          <w:sz w:val="18"/>
        </w:rPr>
        <w:t>STATISTICS</w:t>
        <w:tab/>
      </w:r>
      <w:r>
        <w:rPr>
          <w:rFonts w:ascii="Times New Roman"/>
          <w:color w:val="3B3B3B"/>
          <w:w w:val="105"/>
          <w:sz w:val="17"/>
        </w:rPr>
        <w:t>(from URC Year</w:t>
      </w:r>
      <w:r>
        <w:rPr>
          <w:rFonts w:ascii="Times New Roman"/>
          <w:color w:val="3B3B3B"/>
          <w:spacing w:val="-21"/>
          <w:w w:val="105"/>
          <w:sz w:val="17"/>
        </w:rPr>
        <w:t> </w:t>
      </w:r>
      <w:r>
        <w:rPr>
          <w:rFonts w:ascii="Times New Roman"/>
          <w:color w:val="3B3B3B"/>
          <w:w w:val="105"/>
          <w:sz w:val="17"/>
        </w:rPr>
        <w:t>Book)</w:t>
      </w:r>
    </w:p>
    <w:tbl>
      <w:tblPr>
        <w:tblW w:w="0" w:type="auto"/>
        <w:jc w:val="left"/>
        <w:tblInd w:w="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5"/>
        <w:gridCol w:w="1192"/>
        <w:gridCol w:w="888"/>
        <w:gridCol w:w="871"/>
        <w:gridCol w:w="876"/>
        <w:gridCol w:w="732"/>
      </w:tblGrid>
      <w:tr>
        <w:trPr>
          <w:trHeight w:val="209" w:hRule="atLeast"/>
        </w:trPr>
        <w:tc>
          <w:tcPr>
            <w:tcW w:w="3835" w:type="dxa"/>
          </w:tcPr>
          <w:p>
            <w:pPr>
              <w:pStyle w:val="TableParagraph"/>
              <w:spacing w:line="189" w:lineRule="exact"/>
              <w:ind w:left="59"/>
              <w:rPr>
                <w:sz w:val="17"/>
              </w:rPr>
            </w:pPr>
            <w:r>
              <w:rPr>
                <w:color w:val="3B3B3B"/>
                <w:w w:val="105"/>
                <w:sz w:val="17"/>
              </w:rPr>
              <w:t>Members</w:t>
            </w:r>
          </w:p>
        </w:tc>
        <w:tc>
          <w:tcPr>
            <w:tcW w:w="1192" w:type="dxa"/>
          </w:tcPr>
          <w:p>
            <w:pPr>
              <w:pStyle w:val="TableParagraph"/>
              <w:spacing w:line="187" w:lineRule="exact" w:before="2"/>
              <w:ind w:right="195"/>
              <w:jc w:val="right"/>
              <w:rPr>
                <w:sz w:val="17"/>
              </w:rPr>
            </w:pPr>
            <w:r>
              <w:rPr>
                <w:color w:val="3B3B3B"/>
                <w:sz w:val="17"/>
              </w:rPr>
              <w:t>88</w:t>
            </w:r>
            <w:r>
              <w:rPr>
                <w:color w:val="5B5B5B"/>
                <w:sz w:val="17"/>
              </w:rPr>
              <w:t>,</w:t>
            </w:r>
            <w:r>
              <w:rPr>
                <w:color w:val="3B3B3B"/>
                <w:sz w:val="17"/>
              </w:rPr>
              <w:t>000</w:t>
            </w:r>
          </w:p>
        </w:tc>
        <w:tc>
          <w:tcPr>
            <w:tcW w:w="888" w:type="dxa"/>
          </w:tcPr>
          <w:p>
            <w:pPr>
              <w:pStyle w:val="TableParagraph"/>
              <w:spacing w:line="187" w:lineRule="exact" w:before="2"/>
              <w:ind w:right="207"/>
              <w:jc w:val="right"/>
              <w:rPr>
                <w:sz w:val="17"/>
              </w:rPr>
            </w:pPr>
            <w:r>
              <w:rPr>
                <w:color w:val="3B3B3B"/>
                <w:sz w:val="17"/>
              </w:rPr>
              <w:t>85</w:t>
            </w:r>
            <w:r>
              <w:rPr>
                <w:color w:val="5B5B5B"/>
                <w:sz w:val="17"/>
              </w:rPr>
              <w:t>,</w:t>
            </w:r>
            <w:r>
              <w:rPr>
                <w:color w:val="2A2A2A"/>
                <w:sz w:val="17"/>
              </w:rPr>
              <w:t>000</w:t>
            </w:r>
          </w:p>
        </w:tc>
        <w:tc>
          <w:tcPr>
            <w:tcW w:w="871" w:type="dxa"/>
          </w:tcPr>
          <w:p>
            <w:pPr>
              <w:pStyle w:val="TableParagraph"/>
              <w:spacing w:line="187" w:lineRule="exact" w:before="2"/>
              <w:ind w:right="202"/>
              <w:jc w:val="right"/>
              <w:rPr>
                <w:sz w:val="17"/>
              </w:rPr>
            </w:pPr>
            <w:r>
              <w:rPr>
                <w:color w:val="3B3B3B"/>
                <w:sz w:val="17"/>
              </w:rPr>
              <w:t>82</w:t>
            </w:r>
            <w:r>
              <w:rPr>
                <w:color w:val="6E6E6E"/>
                <w:sz w:val="17"/>
              </w:rPr>
              <w:t>,</w:t>
            </w:r>
            <w:r>
              <w:rPr>
                <w:color w:val="3B3B3B"/>
                <w:sz w:val="17"/>
              </w:rPr>
              <w:t>000</w:t>
            </w:r>
          </w:p>
        </w:tc>
        <w:tc>
          <w:tcPr>
            <w:tcW w:w="876" w:type="dxa"/>
          </w:tcPr>
          <w:p>
            <w:pPr>
              <w:pStyle w:val="TableParagraph"/>
              <w:spacing w:line="187" w:lineRule="exact" w:before="2"/>
              <w:ind w:right="201"/>
              <w:jc w:val="right"/>
              <w:rPr>
                <w:sz w:val="17"/>
              </w:rPr>
            </w:pPr>
            <w:r>
              <w:rPr>
                <w:color w:val="3B3B3B"/>
                <w:w w:val="105"/>
                <w:sz w:val="17"/>
              </w:rPr>
              <w:t>79</w:t>
            </w:r>
            <w:r>
              <w:rPr>
                <w:color w:val="5B5B5B"/>
                <w:w w:val="105"/>
                <w:sz w:val="17"/>
              </w:rPr>
              <w:t>,</w:t>
            </w:r>
            <w:r>
              <w:rPr>
                <w:color w:val="3B3B3B"/>
                <w:w w:val="105"/>
                <w:sz w:val="17"/>
              </w:rPr>
              <w:t>000</w:t>
            </w:r>
          </w:p>
        </w:tc>
        <w:tc>
          <w:tcPr>
            <w:tcW w:w="732" w:type="dxa"/>
          </w:tcPr>
          <w:p>
            <w:pPr>
              <w:pStyle w:val="TableParagraph"/>
              <w:spacing w:line="187" w:lineRule="exact" w:before="2"/>
              <w:ind w:right="57"/>
              <w:jc w:val="right"/>
              <w:rPr>
                <w:sz w:val="17"/>
              </w:rPr>
            </w:pPr>
            <w:r>
              <w:rPr>
                <w:color w:val="3B3B3B"/>
                <w:w w:val="105"/>
                <w:sz w:val="17"/>
              </w:rPr>
              <w:t>76</w:t>
            </w:r>
            <w:r>
              <w:rPr>
                <w:color w:val="5B5B5B"/>
                <w:w w:val="105"/>
                <w:sz w:val="17"/>
              </w:rPr>
              <w:t>,</w:t>
            </w:r>
            <w:r>
              <w:rPr>
                <w:color w:val="3B3B3B"/>
                <w:w w:val="105"/>
                <w:sz w:val="17"/>
              </w:rPr>
              <w:t>000</w:t>
            </w:r>
          </w:p>
        </w:tc>
      </w:tr>
      <w:tr>
        <w:trPr>
          <w:trHeight w:val="220" w:hRule="atLeast"/>
        </w:trPr>
        <w:tc>
          <w:tcPr>
            <w:tcW w:w="3835" w:type="dxa"/>
          </w:tcPr>
          <w:p>
            <w:pPr>
              <w:pStyle w:val="TableParagraph"/>
              <w:spacing w:before="4"/>
              <w:ind w:left="51"/>
              <w:rPr>
                <w:sz w:val="17"/>
              </w:rPr>
            </w:pPr>
            <w:r>
              <w:rPr>
                <w:color w:val="3B3B3B"/>
                <w:sz w:val="17"/>
              </w:rPr>
              <w:t>Stipendiary ministers</w:t>
            </w:r>
          </w:p>
        </w:tc>
        <w:tc>
          <w:tcPr>
            <w:tcW w:w="1192" w:type="dxa"/>
          </w:tcPr>
          <w:p>
            <w:pPr>
              <w:pStyle w:val="TableParagraph"/>
              <w:spacing w:line="186" w:lineRule="exact" w:before="14"/>
              <w:ind w:right="199"/>
              <w:jc w:val="right"/>
              <w:rPr>
                <w:sz w:val="17"/>
              </w:rPr>
            </w:pPr>
            <w:r>
              <w:rPr>
                <w:color w:val="3B3B3B"/>
                <w:sz w:val="17"/>
              </w:rPr>
              <w:t>695</w:t>
            </w:r>
          </w:p>
        </w:tc>
        <w:tc>
          <w:tcPr>
            <w:tcW w:w="888" w:type="dxa"/>
          </w:tcPr>
          <w:p>
            <w:pPr>
              <w:pStyle w:val="TableParagraph"/>
              <w:spacing w:line="186" w:lineRule="exact" w:before="14"/>
              <w:ind w:right="211"/>
              <w:jc w:val="right"/>
              <w:rPr>
                <w:sz w:val="17"/>
              </w:rPr>
            </w:pPr>
            <w:r>
              <w:rPr>
                <w:color w:val="3B3B3B"/>
                <w:sz w:val="17"/>
              </w:rPr>
              <w:t>677</w:t>
            </w:r>
          </w:p>
        </w:tc>
        <w:tc>
          <w:tcPr>
            <w:tcW w:w="871" w:type="dxa"/>
          </w:tcPr>
          <w:p>
            <w:pPr>
              <w:pStyle w:val="TableParagraph"/>
              <w:spacing w:line="186" w:lineRule="exact" w:before="14"/>
              <w:ind w:right="205"/>
              <w:jc w:val="right"/>
              <w:rPr>
                <w:sz w:val="17"/>
              </w:rPr>
            </w:pPr>
            <w:r>
              <w:rPr>
                <w:color w:val="3B3B3B"/>
                <w:sz w:val="17"/>
              </w:rPr>
              <w:t>665</w:t>
            </w:r>
          </w:p>
        </w:tc>
        <w:tc>
          <w:tcPr>
            <w:tcW w:w="876" w:type="dxa"/>
          </w:tcPr>
          <w:p>
            <w:pPr>
              <w:pStyle w:val="TableParagraph"/>
              <w:spacing w:line="186" w:lineRule="exact" w:before="14"/>
              <w:ind w:right="205"/>
              <w:jc w:val="right"/>
              <w:rPr>
                <w:sz w:val="17"/>
              </w:rPr>
            </w:pPr>
            <w:r>
              <w:rPr>
                <w:color w:val="3B3B3B"/>
                <w:sz w:val="17"/>
              </w:rPr>
              <w:t>648</w:t>
            </w:r>
          </w:p>
        </w:tc>
        <w:tc>
          <w:tcPr>
            <w:tcW w:w="732" w:type="dxa"/>
          </w:tcPr>
          <w:p>
            <w:pPr>
              <w:pStyle w:val="TableParagraph"/>
              <w:spacing w:line="186" w:lineRule="exact" w:before="14"/>
              <w:ind w:right="61"/>
              <w:jc w:val="right"/>
              <w:rPr>
                <w:sz w:val="17"/>
              </w:rPr>
            </w:pPr>
            <w:r>
              <w:rPr>
                <w:color w:val="3B3B3B"/>
                <w:sz w:val="17"/>
              </w:rPr>
              <w:t>676</w:t>
            </w:r>
          </w:p>
        </w:tc>
      </w:tr>
      <w:tr>
        <w:trPr>
          <w:trHeight w:val="222" w:hRule="atLeast"/>
        </w:trPr>
        <w:tc>
          <w:tcPr>
            <w:tcW w:w="3835" w:type="dxa"/>
          </w:tcPr>
          <w:p>
            <w:pPr>
              <w:pStyle w:val="TableParagraph"/>
              <w:spacing w:before="6"/>
              <w:ind w:left="55"/>
              <w:rPr>
                <w:sz w:val="17"/>
              </w:rPr>
            </w:pPr>
            <w:r>
              <w:rPr>
                <w:color w:val="3B3B3B"/>
                <w:w w:val="105"/>
                <w:sz w:val="17"/>
              </w:rPr>
              <w:t>Non-stipendiary ministers</w:t>
            </w:r>
          </w:p>
        </w:tc>
        <w:tc>
          <w:tcPr>
            <w:tcW w:w="1192" w:type="dxa"/>
          </w:tcPr>
          <w:p>
            <w:pPr>
              <w:pStyle w:val="TableParagraph"/>
              <w:spacing w:before="6"/>
              <w:ind w:right="191"/>
              <w:jc w:val="right"/>
              <w:rPr>
                <w:sz w:val="17"/>
              </w:rPr>
            </w:pPr>
            <w:r>
              <w:rPr>
                <w:color w:val="161616"/>
                <w:sz w:val="17"/>
              </w:rPr>
              <w:t>1</w:t>
            </w:r>
            <w:r>
              <w:rPr>
                <w:color w:val="3B3B3B"/>
                <w:sz w:val="17"/>
              </w:rPr>
              <w:t>61</w:t>
            </w:r>
          </w:p>
        </w:tc>
        <w:tc>
          <w:tcPr>
            <w:tcW w:w="888" w:type="dxa"/>
          </w:tcPr>
          <w:p>
            <w:pPr>
              <w:pStyle w:val="TableParagraph"/>
              <w:spacing w:before="6"/>
              <w:ind w:right="203"/>
              <w:jc w:val="right"/>
              <w:rPr>
                <w:sz w:val="17"/>
              </w:rPr>
            </w:pPr>
            <w:r>
              <w:rPr>
                <w:color w:val="161616"/>
                <w:sz w:val="17"/>
              </w:rPr>
              <w:t>1</w:t>
            </w:r>
            <w:r>
              <w:rPr>
                <w:color w:val="3B3B3B"/>
                <w:sz w:val="17"/>
              </w:rPr>
              <w:t>53</w:t>
            </w:r>
          </w:p>
        </w:tc>
        <w:tc>
          <w:tcPr>
            <w:tcW w:w="871" w:type="dxa"/>
          </w:tcPr>
          <w:p>
            <w:pPr>
              <w:pStyle w:val="TableParagraph"/>
              <w:spacing w:before="5"/>
              <w:ind w:right="181"/>
              <w:jc w:val="right"/>
              <w:rPr>
                <w:rFonts w:ascii="Arial"/>
                <w:b/>
                <w:sz w:val="17"/>
              </w:rPr>
            </w:pPr>
            <w:r>
              <w:rPr>
                <w:rFonts w:ascii="Arial"/>
                <w:b/>
                <w:color w:val="2A2A2A"/>
                <w:sz w:val="17"/>
              </w:rPr>
              <w:t>138</w:t>
            </w:r>
          </w:p>
        </w:tc>
        <w:tc>
          <w:tcPr>
            <w:tcW w:w="876" w:type="dxa"/>
          </w:tcPr>
          <w:p>
            <w:pPr>
              <w:pStyle w:val="TableParagraph"/>
              <w:spacing w:before="6"/>
              <w:ind w:right="216"/>
              <w:jc w:val="right"/>
              <w:rPr>
                <w:sz w:val="17"/>
              </w:rPr>
            </w:pPr>
            <w:r>
              <w:rPr>
                <w:color w:val="2A2A2A"/>
                <w:sz w:val="17"/>
              </w:rPr>
              <w:t>137</w:t>
            </w:r>
          </w:p>
        </w:tc>
        <w:tc>
          <w:tcPr>
            <w:tcW w:w="732" w:type="dxa"/>
          </w:tcPr>
          <w:p>
            <w:pPr>
              <w:pStyle w:val="TableParagraph"/>
              <w:spacing w:line="187" w:lineRule="exact" w:before="15"/>
              <w:ind w:right="61"/>
              <w:jc w:val="right"/>
              <w:rPr>
                <w:sz w:val="17"/>
              </w:rPr>
            </w:pPr>
            <w:r>
              <w:rPr>
                <w:color w:val="3B3B3B"/>
                <w:sz w:val="17"/>
              </w:rPr>
              <w:t>13</w:t>
            </w:r>
            <w:r>
              <w:rPr>
                <w:color w:val="161616"/>
                <w:sz w:val="17"/>
              </w:rPr>
              <w:t>4</w:t>
            </w:r>
          </w:p>
        </w:tc>
      </w:tr>
      <w:tr>
        <w:trPr>
          <w:trHeight w:val="217" w:hRule="atLeast"/>
        </w:trPr>
        <w:tc>
          <w:tcPr>
            <w:tcW w:w="3835" w:type="dxa"/>
          </w:tcPr>
          <w:p>
            <w:pPr>
              <w:pStyle w:val="TableParagraph"/>
              <w:spacing w:line="193" w:lineRule="exact" w:before="4"/>
              <w:ind w:left="56"/>
              <w:rPr>
                <w:sz w:val="17"/>
              </w:rPr>
            </w:pPr>
            <w:r>
              <w:rPr>
                <w:color w:val="2A2A2A"/>
                <w:w w:val="105"/>
                <w:sz w:val="17"/>
              </w:rPr>
              <w:t>Churches</w:t>
            </w:r>
          </w:p>
        </w:tc>
        <w:tc>
          <w:tcPr>
            <w:tcW w:w="1192" w:type="dxa"/>
          </w:tcPr>
          <w:p>
            <w:pPr>
              <w:pStyle w:val="TableParagraph"/>
              <w:spacing w:line="193" w:lineRule="exact" w:before="4"/>
              <w:ind w:right="189"/>
              <w:jc w:val="right"/>
              <w:rPr>
                <w:sz w:val="17"/>
              </w:rPr>
            </w:pPr>
            <w:r>
              <w:rPr>
                <w:color w:val="161616"/>
                <w:w w:val="105"/>
                <w:sz w:val="17"/>
              </w:rPr>
              <w:t>1</w:t>
            </w:r>
            <w:r>
              <w:rPr>
                <w:color w:val="5B5B5B"/>
                <w:w w:val="105"/>
                <w:sz w:val="17"/>
              </w:rPr>
              <w:t>,</w:t>
            </w:r>
            <w:r>
              <w:rPr>
                <w:color w:val="3B3B3B"/>
                <w:w w:val="105"/>
                <w:sz w:val="17"/>
              </w:rPr>
              <w:t>7</w:t>
            </w:r>
            <w:r>
              <w:rPr>
                <w:color w:val="161616"/>
                <w:w w:val="105"/>
                <w:sz w:val="17"/>
              </w:rPr>
              <w:t>1</w:t>
            </w:r>
            <w:r>
              <w:rPr>
                <w:color w:val="3B3B3B"/>
                <w:w w:val="105"/>
                <w:sz w:val="17"/>
              </w:rPr>
              <w:t>9</w:t>
            </w:r>
          </w:p>
        </w:tc>
        <w:tc>
          <w:tcPr>
            <w:tcW w:w="888" w:type="dxa"/>
          </w:tcPr>
          <w:p>
            <w:pPr>
              <w:pStyle w:val="TableParagraph"/>
              <w:spacing w:line="184" w:lineRule="exact" w:before="13"/>
              <w:ind w:right="173"/>
              <w:jc w:val="right"/>
              <w:rPr>
                <w:rFonts w:ascii="Arial"/>
                <w:b/>
                <w:sz w:val="17"/>
              </w:rPr>
            </w:pPr>
            <w:r>
              <w:rPr>
                <w:rFonts w:ascii="Arial"/>
                <w:b/>
                <w:color w:val="161616"/>
                <w:w w:val="105"/>
                <w:sz w:val="17"/>
              </w:rPr>
              <w:t>1</w:t>
            </w:r>
            <w:r>
              <w:rPr>
                <w:rFonts w:ascii="Arial"/>
                <w:b/>
                <w:color w:val="4D4D4D"/>
                <w:w w:val="105"/>
                <w:sz w:val="17"/>
              </w:rPr>
              <w:t>,</w:t>
            </w:r>
            <w:r>
              <w:rPr>
                <w:rFonts w:ascii="Arial"/>
                <w:b/>
                <w:color w:val="2A2A2A"/>
                <w:w w:val="105"/>
                <w:sz w:val="17"/>
              </w:rPr>
              <w:t>698</w:t>
            </w:r>
          </w:p>
        </w:tc>
        <w:tc>
          <w:tcPr>
            <w:tcW w:w="871" w:type="dxa"/>
          </w:tcPr>
          <w:p>
            <w:pPr>
              <w:pStyle w:val="TableParagraph"/>
              <w:spacing w:line="183" w:lineRule="exact" w:before="14"/>
              <w:ind w:right="198"/>
              <w:jc w:val="right"/>
              <w:rPr>
                <w:sz w:val="17"/>
              </w:rPr>
            </w:pPr>
            <w:r>
              <w:rPr>
                <w:color w:val="161616"/>
                <w:w w:val="105"/>
                <w:sz w:val="17"/>
              </w:rPr>
              <w:t>1</w:t>
            </w:r>
            <w:r>
              <w:rPr>
                <w:color w:val="4D4D4D"/>
                <w:w w:val="105"/>
                <w:sz w:val="17"/>
              </w:rPr>
              <w:t>,69</w:t>
            </w:r>
            <w:r>
              <w:rPr>
                <w:color w:val="161616"/>
                <w:w w:val="105"/>
                <w:sz w:val="17"/>
              </w:rPr>
              <w:t>1</w:t>
            </w:r>
          </w:p>
        </w:tc>
        <w:tc>
          <w:tcPr>
            <w:tcW w:w="876" w:type="dxa"/>
          </w:tcPr>
          <w:p>
            <w:pPr>
              <w:pStyle w:val="TableParagraph"/>
              <w:spacing w:line="183" w:lineRule="exact" w:before="14"/>
              <w:ind w:right="197"/>
              <w:jc w:val="right"/>
              <w:rPr>
                <w:sz w:val="17"/>
              </w:rPr>
            </w:pPr>
            <w:r>
              <w:rPr>
                <w:color w:val="161616"/>
                <w:w w:val="105"/>
                <w:sz w:val="17"/>
              </w:rPr>
              <w:t>1</w:t>
            </w:r>
            <w:r>
              <w:rPr>
                <w:color w:val="6E6E6E"/>
                <w:w w:val="105"/>
                <w:sz w:val="17"/>
              </w:rPr>
              <w:t>,</w:t>
            </w:r>
            <w:r>
              <w:rPr>
                <w:color w:val="3B3B3B"/>
                <w:w w:val="105"/>
                <w:sz w:val="17"/>
              </w:rPr>
              <w:t>655</w:t>
            </w:r>
          </w:p>
        </w:tc>
        <w:tc>
          <w:tcPr>
            <w:tcW w:w="732" w:type="dxa"/>
          </w:tcPr>
          <w:p>
            <w:pPr>
              <w:pStyle w:val="TableParagraph"/>
              <w:spacing w:line="183" w:lineRule="exact" w:before="14"/>
              <w:ind w:right="53"/>
              <w:jc w:val="right"/>
              <w:rPr>
                <w:sz w:val="17"/>
              </w:rPr>
            </w:pPr>
            <w:r>
              <w:rPr>
                <w:color w:val="2A2A2A"/>
                <w:w w:val="105"/>
                <w:sz w:val="17"/>
              </w:rPr>
              <w:t>1</w:t>
            </w:r>
            <w:r>
              <w:rPr>
                <w:color w:val="5B5B5B"/>
                <w:w w:val="105"/>
                <w:sz w:val="17"/>
              </w:rPr>
              <w:t>,</w:t>
            </w:r>
            <w:r>
              <w:rPr>
                <w:color w:val="3B3B3B"/>
                <w:w w:val="105"/>
                <w:sz w:val="17"/>
              </w:rPr>
              <w:t>630</w:t>
            </w:r>
          </w:p>
        </w:tc>
      </w:tr>
      <w:tr>
        <w:trPr>
          <w:trHeight w:val="227" w:hRule="atLeast"/>
        </w:trPr>
        <w:tc>
          <w:tcPr>
            <w:tcW w:w="3835" w:type="dxa"/>
          </w:tcPr>
          <w:p>
            <w:pPr>
              <w:pStyle w:val="TableParagraph"/>
              <w:spacing w:before="8"/>
              <w:ind w:left="50"/>
              <w:rPr>
                <w:sz w:val="17"/>
              </w:rPr>
            </w:pPr>
            <w:r>
              <w:rPr>
                <w:color w:val="2A2A2A"/>
                <w:w w:val="105"/>
                <w:sz w:val="17"/>
              </w:rPr>
              <w:t>Retired ministers</w:t>
            </w:r>
          </w:p>
        </w:tc>
        <w:tc>
          <w:tcPr>
            <w:tcW w:w="1192" w:type="dxa"/>
          </w:tcPr>
          <w:p>
            <w:pPr>
              <w:pStyle w:val="TableParagraph"/>
              <w:spacing w:before="8"/>
              <w:ind w:right="202"/>
              <w:jc w:val="right"/>
              <w:rPr>
                <w:sz w:val="17"/>
              </w:rPr>
            </w:pPr>
            <w:r>
              <w:rPr>
                <w:color w:val="3B3B3B"/>
                <w:sz w:val="17"/>
              </w:rPr>
              <w:t>852</w:t>
            </w:r>
          </w:p>
        </w:tc>
        <w:tc>
          <w:tcPr>
            <w:tcW w:w="888" w:type="dxa"/>
          </w:tcPr>
          <w:p>
            <w:pPr>
              <w:pStyle w:val="TableParagraph"/>
              <w:spacing w:before="8"/>
              <w:ind w:right="214"/>
              <w:jc w:val="right"/>
              <w:rPr>
                <w:sz w:val="17"/>
              </w:rPr>
            </w:pPr>
            <w:r>
              <w:rPr>
                <w:color w:val="3B3B3B"/>
                <w:sz w:val="17"/>
              </w:rPr>
              <w:t>857</w:t>
            </w:r>
          </w:p>
        </w:tc>
        <w:tc>
          <w:tcPr>
            <w:tcW w:w="871" w:type="dxa"/>
          </w:tcPr>
          <w:p>
            <w:pPr>
              <w:pStyle w:val="TableParagraph"/>
              <w:spacing w:line="208" w:lineRule="exact"/>
              <w:ind w:right="182"/>
              <w:jc w:val="right"/>
              <w:rPr>
                <w:b/>
                <w:sz w:val="19"/>
              </w:rPr>
            </w:pPr>
            <w:r>
              <w:rPr>
                <w:b/>
                <w:color w:val="3B3B3B"/>
                <w:sz w:val="19"/>
              </w:rPr>
              <w:t>881</w:t>
            </w:r>
          </w:p>
        </w:tc>
        <w:tc>
          <w:tcPr>
            <w:tcW w:w="876" w:type="dxa"/>
          </w:tcPr>
          <w:p>
            <w:pPr>
              <w:pStyle w:val="TableParagraph"/>
              <w:spacing w:before="8"/>
              <w:ind w:right="216"/>
              <w:jc w:val="right"/>
              <w:rPr>
                <w:sz w:val="17"/>
              </w:rPr>
            </w:pPr>
            <w:r>
              <w:rPr>
                <w:color w:val="2A2A2A"/>
                <w:sz w:val="17"/>
              </w:rPr>
              <w:t>894</w:t>
            </w:r>
          </w:p>
        </w:tc>
        <w:tc>
          <w:tcPr>
            <w:tcW w:w="732" w:type="dxa"/>
          </w:tcPr>
          <w:p>
            <w:pPr>
              <w:pStyle w:val="TableParagraph"/>
              <w:spacing w:line="208" w:lineRule="exact"/>
              <w:ind w:right="46"/>
              <w:jc w:val="right"/>
              <w:rPr>
                <w:b/>
                <w:sz w:val="19"/>
              </w:rPr>
            </w:pPr>
            <w:r>
              <w:rPr>
                <w:b/>
                <w:color w:val="2A2A2A"/>
                <w:w w:val="95"/>
                <w:sz w:val="19"/>
              </w:rPr>
              <w:t>858</w:t>
            </w:r>
          </w:p>
        </w:tc>
      </w:tr>
      <w:tr>
        <w:trPr>
          <w:trHeight w:val="207" w:hRule="atLeast"/>
        </w:trPr>
        <w:tc>
          <w:tcPr>
            <w:tcW w:w="3835" w:type="dxa"/>
          </w:tcPr>
          <w:p>
            <w:pPr>
              <w:pStyle w:val="TableParagraph"/>
              <w:spacing w:line="185" w:lineRule="exact" w:before="2"/>
              <w:ind w:left="59"/>
              <w:rPr>
                <w:sz w:val="17"/>
              </w:rPr>
            </w:pPr>
            <w:r>
              <w:rPr>
                <w:color w:val="3B3B3B"/>
                <w:w w:val="105"/>
                <w:sz w:val="17"/>
              </w:rPr>
              <w:t>Ministry and Mission contribution pe</w:t>
            </w:r>
            <w:r>
              <w:rPr>
                <w:color w:val="161616"/>
                <w:w w:val="105"/>
                <w:sz w:val="17"/>
              </w:rPr>
              <w:t>r </w:t>
            </w:r>
            <w:r>
              <w:rPr>
                <w:color w:val="2A2A2A"/>
                <w:w w:val="105"/>
                <w:sz w:val="17"/>
              </w:rPr>
              <w:t>member</w:t>
            </w:r>
          </w:p>
        </w:tc>
        <w:tc>
          <w:tcPr>
            <w:tcW w:w="1192" w:type="dxa"/>
          </w:tcPr>
          <w:p>
            <w:pPr>
              <w:pStyle w:val="TableParagraph"/>
              <w:spacing w:line="185" w:lineRule="exact" w:before="2"/>
              <w:ind w:right="185"/>
              <w:jc w:val="right"/>
              <w:rPr>
                <w:sz w:val="17"/>
              </w:rPr>
            </w:pPr>
            <w:r>
              <w:rPr>
                <w:color w:val="3B3B3B"/>
                <w:w w:val="105"/>
                <w:sz w:val="17"/>
              </w:rPr>
              <w:t>£212</w:t>
            </w:r>
          </w:p>
        </w:tc>
        <w:tc>
          <w:tcPr>
            <w:tcW w:w="888" w:type="dxa"/>
          </w:tcPr>
          <w:p>
            <w:pPr>
              <w:pStyle w:val="TableParagraph"/>
              <w:spacing w:line="176" w:lineRule="exact" w:before="12"/>
              <w:ind w:right="186"/>
              <w:jc w:val="right"/>
              <w:rPr>
                <w:sz w:val="17"/>
              </w:rPr>
            </w:pPr>
            <w:r>
              <w:rPr>
                <w:color w:val="3B3B3B"/>
                <w:w w:val="110"/>
                <w:sz w:val="17"/>
              </w:rPr>
              <w:t>£227</w:t>
            </w:r>
          </w:p>
        </w:tc>
        <w:tc>
          <w:tcPr>
            <w:tcW w:w="871" w:type="dxa"/>
          </w:tcPr>
          <w:p>
            <w:pPr>
              <w:pStyle w:val="TableParagraph"/>
              <w:spacing w:line="176" w:lineRule="exact" w:before="12"/>
              <w:ind w:right="181"/>
              <w:jc w:val="right"/>
              <w:rPr>
                <w:sz w:val="17"/>
              </w:rPr>
            </w:pPr>
            <w:r>
              <w:rPr>
                <w:color w:val="3B3B3B"/>
                <w:w w:val="110"/>
                <w:sz w:val="17"/>
              </w:rPr>
              <w:t>£240</w:t>
            </w:r>
          </w:p>
        </w:tc>
        <w:tc>
          <w:tcPr>
            <w:tcW w:w="876" w:type="dxa"/>
          </w:tcPr>
          <w:p>
            <w:pPr>
              <w:pStyle w:val="TableParagraph"/>
              <w:spacing w:line="176" w:lineRule="exact" w:before="12"/>
              <w:ind w:right="181"/>
              <w:jc w:val="right"/>
              <w:rPr>
                <w:sz w:val="17"/>
              </w:rPr>
            </w:pPr>
            <w:r>
              <w:rPr>
                <w:color w:val="3B3B3B"/>
                <w:w w:val="110"/>
                <w:sz w:val="17"/>
              </w:rPr>
              <w:t>£252</w:t>
            </w:r>
          </w:p>
        </w:tc>
        <w:tc>
          <w:tcPr>
            <w:tcW w:w="732" w:type="dxa"/>
          </w:tcPr>
          <w:p>
            <w:pPr>
              <w:pStyle w:val="TableParagraph"/>
              <w:spacing w:line="176" w:lineRule="exact" w:before="12"/>
              <w:ind w:right="47"/>
              <w:jc w:val="right"/>
              <w:rPr>
                <w:sz w:val="17"/>
              </w:rPr>
            </w:pPr>
            <w:r>
              <w:rPr>
                <w:color w:val="3B3B3B"/>
                <w:w w:val="105"/>
                <w:sz w:val="17"/>
              </w:rPr>
              <w:t>£266</w:t>
            </w:r>
          </w:p>
        </w:tc>
      </w:tr>
    </w:tbl>
    <w:p>
      <w:pPr>
        <w:pStyle w:val="BodyText"/>
        <w:rPr>
          <w:rFonts w:ascii="Times New Roman"/>
          <w:sz w:val="20"/>
        </w:rPr>
      </w:pPr>
    </w:p>
    <w:p>
      <w:pPr>
        <w:pStyle w:val="BodyText"/>
        <w:spacing w:before="4"/>
        <w:rPr>
          <w:rFonts w:ascii="Times New Roman"/>
          <w:sz w:val="14"/>
        </w:rPr>
      </w:pPr>
      <w:r>
        <w:rPr/>
        <w:pict>
          <v:shape style="position:absolute;margin-left:64.038666pt;margin-top:10.713991pt;width:419.9pt;height:38.5pt;mso-position-horizontal-relative:page;mso-position-vertical-relative:paragraph;z-index:-251164672;mso-wrap-distance-left:0;mso-wrap-distance-right:0" type="#_x0000_t202" filled="false" stroked="true" strokeweight=".962987pt" strokecolor="#000000">
            <v:textbox inset="0,0,0,0">
              <w:txbxContent>
                <w:p>
                  <w:pPr>
                    <w:spacing w:before="5"/>
                    <w:ind w:left="33" w:right="0" w:firstLine="1"/>
                    <w:jc w:val="left"/>
                    <w:rPr>
                      <w:rFonts w:ascii="Times New Roman"/>
                      <w:i/>
                      <w:sz w:val="19"/>
                    </w:rPr>
                  </w:pPr>
                  <w:r>
                    <w:rPr>
                      <w:rFonts w:ascii="Times New Roman"/>
                      <w:i/>
                      <w:color w:val="2A2A2A"/>
                      <w:w w:val="110"/>
                      <w:sz w:val="19"/>
                    </w:rPr>
                    <w:t>Information </w:t>
                  </w:r>
                  <w:r>
                    <w:rPr>
                      <w:rFonts w:ascii="Times New Roman"/>
                      <w:i/>
                      <w:color w:val="3B3B3B"/>
                      <w:w w:val="110"/>
                      <w:sz w:val="19"/>
                    </w:rPr>
                    <w:t>on </w:t>
                  </w:r>
                  <w:r>
                    <w:rPr>
                      <w:rFonts w:ascii="Times New Roman"/>
                      <w:i/>
                      <w:color w:val="2A2A2A"/>
                      <w:w w:val="110"/>
                      <w:sz w:val="19"/>
                    </w:rPr>
                    <w:t>this </w:t>
                  </w:r>
                  <w:r>
                    <w:rPr>
                      <w:rFonts w:ascii="Times New Roman"/>
                      <w:i/>
                      <w:color w:val="3B3B3B"/>
                      <w:w w:val="110"/>
                      <w:sz w:val="19"/>
                    </w:rPr>
                    <w:t>page and the preceding page is aimed mainly at the </w:t>
                  </w:r>
                  <w:r>
                    <w:rPr>
                      <w:rFonts w:ascii="Times New Roman"/>
                      <w:i/>
                      <w:color w:val="2A2A2A"/>
                      <w:w w:val="110"/>
                      <w:sz w:val="19"/>
                    </w:rPr>
                    <w:t>analyst rather </w:t>
                  </w:r>
                  <w:r>
                    <w:rPr>
                      <w:rFonts w:ascii="Times New Roman"/>
                      <w:i/>
                      <w:color w:val="3B3B3B"/>
                      <w:w w:val="110"/>
                      <w:sz w:val="19"/>
                    </w:rPr>
                    <w:t>than at the</w:t>
                  </w:r>
                </w:p>
                <w:p>
                  <w:pPr>
                    <w:spacing w:line="250" w:lineRule="atLeast" w:before="22"/>
                    <w:ind w:left="30" w:right="317" w:firstLine="2"/>
                    <w:jc w:val="left"/>
                    <w:rPr>
                      <w:rFonts w:ascii="Times New Roman"/>
                      <w:i/>
                      <w:sz w:val="19"/>
                    </w:rPr>
                  </w:pPr>
                  <w:r>
                    <w:rPr>
                      <w:rFonts w:ascii="Times New Roman"/>
                      <w:i/>
                      <w:color w:val="3B3B3B"/>
                      <w:w w:val="105"/>
                      <w:sz w:val="19"/>
                    </w:rPr>
                    <w:t>casual reader. </w:t>
                  </w:r>
                  <w:r>
                    <w:rPr>
                      <w:rFonts w:ascii="Times New Roman"/>
                      <w:i/>
                      <w:color w:val="2A2A2A"/>
                      <w:w w:val="105"/>
                      <w:sz w:val="19"/>
                    </w:rPr>
                    <w:t>However, </w:t>
                  </w:r>
                  <w:r>
                    <w:rPr>
                      <w:rFonts w:ascii="Times New Roman"/>
                      <w:i/>
                      <w:color w:val="3B3B3B"/>
                      <w:w w:val="105"/>
                      <w:sz w:val="20"/>
                    </w:rPr>
                    <w:t>it </w:t>
                  </w:r>
                  <w:r>
                    <w:rPr>
                      <w:rFonts w:ascii="Times New Roman"/>
                      <w:i/>
                      <w:color w:val="3B3B3B"/>
                      <w:w w:val="105"/>
                      <w:sz w:val="19"/>
                    </w:rPr>
                    <w:t>shows some interesting trends and brings out features that do not show </w:t>
                  </w:r>
                  <w:r>
                    <w:rPr>
                      <w:rFonts w:ascii="Times New Roman"/>
                      <w:i/>
                      <w:color w:val="3B3B3B"/>
                      <w:w w:val="105"/>
                      <w:sz w:val="19"/>
                    </w:rPr>
                    <w:t>so clearly in a sin le set of accounts.</w:t>
                  </w:r>
                </w:p>
              </w:txbxContent>
            </v:textbox>
            <v:stroke dashstyle="solid"/>
            <w10:wrap type="topAndBottom"/>
          </v:shape>
        </w:pict>
      </w:r>
    </w:p>
    <w:p>
      <w:pPr>
        <w:spacing w:after="0"/>
        <w:rPr>
          <w:rFonts w:ascii="Times New Roman"/>
          <w:sz w:val="14"/>
        </w:rPr>
        <w:sectPr>
          <w:headerReference w:type="default" r:id="rId549"/>
          <w:footerReference w:type="default" r:id="rId550"/>
          <w:pgSz w:w="10950" w:h="15880"/>
          <w:pgMar w:header="0" w:footer="0" w:top="760" w:bottom="280" w:left="50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9"/>
        </w:rPr>
      </w:pPr>
    </w:p>
    <w:p>
      <w:pPr>
        <w:pStyle w:val="Heading6"/>
      </w:pPr>
      <w:r>
        <w:rPr>
          <w:color w:val="FBFBFB"/>
          <w:w w:val="104"/>
        </w:rPr>
        <w:t>.</w:t>
      </w:r>
    </w:p>
    <w:p>
      <w:pPr>
        <w:spacing w:after="0"/>
        <w:sectPr>
          <w:headerReference w:type="even" r:id="rId551"/>
          <w:footerReference w:type="even" r:id="rId552"/>
          <w:pgSz w:w="10950" w:h="15880"/>
          <w:pgMar w:header="0" w:footer="0" w:top="1500" w:bottom="0" w:left="500" w:right="0"/>
        </w:sectPr>
      </w:pPr>
    </w:p>
    <w:p>
      <w:pPr>
        <w:pStyle w:val="BodyText"/>
        <w:rPr>
          <w:rFonts w:ascii="Arial"/>
          <w:sz w:val="20"/>
        </w:rPr>
      </w:pPr>
      <w:r>
        <w:rPr/>
        <w:pict>
          <v:group style="position:absolute;margin-left:0pt;margin-top:.003015pt;width:595.3pt;height:841.9pt;mso-position-horizontal-relative:page;mso-position-vertical-relative:page;z-index:-275093504" coordorigin="0,0" coordsize="11906,16838">
            <v:shape style="position:absolute;left:0;top:0;width:8412;height:4214" type="#_x0000_t75" stroked="false">
              <v:imagedata r:id="rId555" o:title=""/>
            </v:shape>
            <v:shape style="position:absolute;left:8401;top:0;width:3504;height:4915" type="#_x0000_t75" stroked="false">
              <v:imagedata r:id="rId556" o:title=""/>
            </v:shape>
            <v:shape style="position:absolute;left:0;top:4203;width:8412;height:4220" type="#_x0000_t75" stroked="false">
              <v:imagedata r:id="rId557" o:title=""/>
            </v:shape>
            <v:shape style="position:absolute;left:8401;top:4904;width:3504;height:4920" type="#_x0000_t75" stroked="false">
              <v:imagedata r:id="rId558" o:title=""/>
            </v:shape>
            <v:shape style="position:absolute;left:0;top:8413;width:8412;height:4220" type="#_x0000_t75" stroked="false">
              <v:imagedata r:id="rId455" o:title=""/>
            </v:shape>
            <v:shape style="position:absolute;left:8401;top:9815;width:3504;height:4925" type="#_x0000_t75" stroked="false">
              <v:imagedata r:id="rId559" o:title=""/>
            </v:shape>
            <v:shape style="position:absolute;left:0;top:12623;width:8412;height:4215" type="#_x0000_t75" stroked="false">
              <v:imagedata r:id="rId560" o:title=""/>
            </v:shape>
            <v:shape style="position:absolute;left:8401;top:14730;width:3504;height:2108" type="#_x0000_t75" stroked="false">
              <v:imagedata r:id="rId561" o:title=""/>
            </v:shape>
            <v:shape style="position:absolute;left:5482;top:2848;width:4000;height:9695" coordorigin="5483,2849" coordsize="4000,9695" path="m9482,5003l6373,5003,5483,5003,5483,12543,6373,12543,9482,12543,9482,5003m9482,2849l6373,2849,5483,2849,5483,5003,6373,5003,9482,5003,9482,2849e" filled="true" fillcolor="#a7a9ac" stroked="false">
              <v:path arrowok="t"/>
              <v:fill type="solid"/>
            </v:shape>
            <w10:wrap type="none"/>
          </v:group>
        </w:pict>
      </w:r>
      <w:r>
        <w:rPr/>
        <w:pict>
          <v:shape style="position:absolute;margin-left:505.447906pt;margin-top:55.693214pt;width:55.5pt;height:475pt;mso-position-horizontal-relative:page;mso-position-vertical-relative:page;z-index:252172288" type="#_x0000_t202" filled="false" stroked="false">
            <v:textbox inset="0,0,0,0" style="layout-flow:vertical">
              <w:txbxContent>
                <w:p>
                  <w:pPr>
                    <w:spacing w:before="20"/>
                    <w:ind w:left="20" w:right="0" w:firstLine="0"/>
                    <w:jc w:val="left"/>
                    <w:rPr>
                      <w:b/>
                      <w:sz w:val="88"/>
                    </w:rPr>
                  </w:pPr>
                  <w:r>
                    <w:rPr>
                      <w:b/>
                      <w:color w:val="231F20"/>
                      <w:spacing w:val="-14"/>
                      <w:sz w:val="88"/>
                    </w:rPr>
                    <w:t>Information </w:t>
                  </w:r>
                  <w:r>
                    <w:rPr>
                      <w:b/>
                      <w:color w:val="231F20"/>
                      <w:spacing w:val="-11"/>
                      <w:sz w:val="88"/>
                    </w:rPr>
                    <w:t>Papers</w:t>
                  </w:r>
                </w:p>
              </w:txbxContent>
            </v:textbox>
            <w10:wrap type="none"/>
          </v:shape>
        </w:pict>
      </w:r>
      <w:r>
        <w:rPr/>
        <w:pict>
          <v:shape style="position:absolute;margin-left:492.926971pt;margin-top:457.069702pt;width:20pt;height:190.9pt;mso-position-horizontal-relative:page;mso-position-vertical-relative:page;z-index:252173312"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after="1"/>
        <w:rPr>
          <w:rFonts w:ascii="Arial"/>
          <w:sz w:val="20"/>
        </w:rPr>
      </w:pPr>
    </w:p>
    <w:p>
      <w:pPr>
        <w:tabs>
          <w:tab w:pos="6923" w:val="left" w:leader="none"/>
        </w:tabs>
        <w:spacing w:line="240" w:lineRule="auto"/>
        <w:ind w:left="5192" w:right="0" w:firstLine="0"/>
        <w:rPr>
          <w:rFonts w:ascii="Arial"/>
          <w:sz w:val="20"/>
        </w:rPr>
      </w:pPr>
      <w:r>
        <w:rPr>
          <w:rFonts w:ascii="Arial"/>
          <w:sz w:val="20"/>
        </w:rPr>
        <w:pict>
          <v:shape style="width:8.15pt;height:15.2pt;mso-position-horizontal-relative:char;mso-position-vertical-relative:line" type="#_x0000_t202" filled="false" stroked="false">
            <w10:anchorlock/>
            <v:textbox inset="0,0,0,0">
              <w:txbxContent>
                <w:p>
                  <w:pPr>
                    <w:spacing w:before="0"/>
                    <w:ind w:left="0" w:right="0" w:firstLine="0"/>
                    <w:jc w:val="left"/>
                    <w:rPr>
                      <w:b/>
                      <w:sz w:val="25"/>
                    </w:rPr>
                  </w:pPr>
                  <w:r>
                    <w:rPr>
                      <w:b/>
                      <w:color w:val="FFFFFF"/>
                      <w:w w:val="80"/>
                      <w:sz w:val="25"/>
                    </w:rPr>
                    <w:t>3</w:t>
                  </w:r>
                </w:p>
              </w:txbxContent>
            </v:textbox>
          </v:shape>
        </w:pict>
      </w:r>
      <w:r>
        <w:rPr>
          <w:rFonts w:ascii="Arial"/>
          <w:sz w:val="20"/>
        </w:rPr>
      </w:r>
      <w:r>
        <w:rPr>
          <w:rFonts w:ascii="Arial"/>
          <w:sz w:val="20"/>
        </w:rPr>
        <w:tab/>
      </w:r>
      <w:r>
        <w:rPr>
          <w:rFonts w:ascii="Arial"/>
          <w:sz w:val="20"/>
        </w:rPr>
        <w:pict>
          <v:shape style="width:92.3pt;height:15.2pt;mso-position-horizontal-relative:char;mso-position-vertical-relative:line" type="#_x0000_t202" filled="false" stroked="false">
            <w10:anchorlock/>
            <v:textbox inset="0,0,0,0">
              <w:txbxContent>
                <w:p>
                  <w:pPr>
                    <w:spacing w:before="0"/>
                    <w:ind w:left="0" w:right="0" w:firstLine="0"/>
                    <w:jc w:val="left"/>
                    <w:rPr>
                      <w:b/>
                      <w:sz w:val="25"/>
                    </w:rPr>
                  </w:pPr>
                  <w:r>
                    <w:rPr>
                      <w:b/>
                      <w:color w:val="FFFFFF"/>
                      <w:w w:val="80"/>
                      <w:sz w:val="25"/>
                    </w:rPr>
                    <w:t>Standing Orders</w:t>
                  </w:r>
                </w:p>
              </w:txbxContent>
            </v:textbox>
          </v:shape>
        </w:pict>
      </w:r>
      <w:r>
        <w:rPr>
          <w:rFonts w:ascii="Arial"/>
          <w:sz w:val="20"/>
        </w:rPr>
      </w:r>
    </w:p>
    <w:p>
      <w:pPr>
        <w:pStyle w:val="BodyText"/>
        <w:rPr>
          <w:rFonts w:ascii="Arial"/>
          <w:sz w:val="20"/>
        </w:rPr>
      </w:pPr>
    </w:p>
    <w:p>
      <w:pPr>
        <w:pStyle w:val="BodyText"/>
        <w:rPr>
          <w:rFonts w:ascii="Arial"/>
          <w:sz w:val="20"/>
        </w:rPr>
      </w:pPr>
    </w:p>
    <w:p>
      <w:pPr>
        <w:pStyle w:val="BodyText"/>
        <w:spacing w:before="1"/>
        <w:rPr>
          <w:rFonts w:ascii="Arial"/>
          <w:sz w:val="25"/>
        </w:rPr>
      </w:pPr>
      <w:r>
        <w:rPr/>
        <w:pict>
          <v:shape style="position:absolute;margin-left:286.644714pt;margin-top:15.664454pt;width:8.15pt;height:15.2pt;mso-position-horizontal-relative:page;mso-position-vertical-relative:paragraph;z-index:-251161600;mso-wrap-distance-left:0;mso-wrap-distance-right:0" type="#_x0000_t202" filled="false" stroked="false">
            <v:textbox inset="0,0,0,0">
              <w:txbxContent>
                <w:p>
                  <w:pPr>
                    <w:spacing w:before="0"/>
                    <w:ind w:left="0" w:right="0" w:firstLine="0"/>
                    <w:jc w:val="left"/>
                    <w:rPr>
                      <w:b/>
                      <w:sz w:val="25"/>
                    </w:rPr>
                  </w:pPr>
                  <w:r>
                    <w:rPr>
                      <w:b/>
                      <w:color w:val="FFFFFF"/>
                      <w:w w:val="80"/>
                      <w:sz w:val="25"/>
                    </w:rPr>
                    <w:t>9</w:t>
                  </w:r>
                </w:p>
              </w:txbxContent>
            </v:textbox>
            <w10:wrap type="topAndBottom"/>
          </v:shape>
        </w:pict>
      </w:r>
      <w:r>
        <w:rPr/>
        <w:pict>
          <v:shape style="position:absolute;margin-left:339.86438pt;margin-top:15.664454pt;width:125.55pt;height:15.2pt;mso-position-horizontal-relative:page;mso-position-vertical-relative:paragraph;z-index:-251160576;mso-wrap-distance-left:0;mso-wrap-distance-right:0" type="#_x0000_t202" filled="false" stroked="false">
            <v:textbox inset="0,0,0,0">
              <w:txbxContent>
                <w:p>
                  <w:pPr>
                    <w:spacing w:before="0"/>
                    <w:ind w:left="0" w:right="0" w:firstLine="0"/>
                    <w:jc w:val="left"/>
                    <w:rPr>
                      <w:b/>
                      <w:sz w:val="25"/>
                    </w:rPr>
                  </w:pPr>
                  <w:r>
                    <w:rPr>
                      <w:b/>
                      <w:color w:val="FFFFFF"/>
                      <w:w w:val="80"/>
                      <w:sz w:val="25"/>
                    </w:rPr>
                    <w:t>Reports from Colleges</w:t>
                  </w:r>
                </w:p>
              </w:txbxContent>
            </v:textbox>
            <w10:wrap type="topAndBottom"/>
          </v:shape>
        </w:pict>
      </w:r>
    </w:p>
    <w:p>
      <w:pPr>
        <w:pStyle w:val="BodyText"/>
        <w:rPr>
          <w:rFonts w:ascii="Arial"/>
          <w:sz w:val="20"/>
        </w:rPr>
      </w:pPr>
    </w:p>
    <w:p>
      <w:pPr>
        <w:pStyle w:val="BodyText"/>
        <w:rPr>
          <w:rFonts w:ascii="Arial"/>
          <w:sz w:val="20"/>
        </w:rPr>
      </w:pPr>
    </w:p>
    <w:p>
      <w:pPr>
        <w:pStyle w:val="BodyText"/>
        <w:spacing w:before="9"/>
        <w:rPr>
          <w:rFonts w:ascii="Arial"/>
          <w:sz w:val="23"/>
        </w:rPr>
      </w:pPr>
      <w:r>
        <w:rPr/>
        <w:pict>
          <v:shape style="position:absolute;margin-left:286.644714pt;margin-top:14.922803pt;width:14.85pt;height:15.2pt;mso-position-horizontal-relative:page;mso-position-vertical-relative:paragraph;z-index:-251159552;mso-wrap-distance-left:0;mso-wrap-distance-right:0" type="#_x0000_t202" filled="false" stroked="false">
            <v:textbox inset="0,0,0,0">
              <w:txbxContent>
                <w:p>
                  <w:pPr>
                    <w:spacing w:before="0"/>
                    <w:ind w:left="0" w:right="0" w:firstLine="0"/>
                    <w:jc w:val="left"/>
                    <w:rPr>
                      <w:b/>
                      <w:sz w:val="25"/>
                    </w:rPr>
                  </w:pPr>
                  <w:r>
                    <w:rPr>
                      <w:b/>
                      <w:color w:val="FFFFFF"/>
                      <w:w w:val="80"/>
                      <w:sz w:val="25"/>
                    </w:rPr>
                    <w:t>21</w:t>
                  </w:r>
                </w:p>
              </w:txbxContent>
            </v:textbox>
            <w10:wrap type="topAndBottom"/>
          </v:shape>
        </w:pict>
      </w:r>
      <w:r>
        <w:rPr/>
        <w:pict>
          <v:shape style="position:absolute;margin-left:331.864075pt;margin-top:14.922803pt;width:133.550pt;height:15.2pt;mso-position-horizontal-relative:page;mso-position-vertical-relative:paragraph;z-index:-251158528;mso-wrap-distance-left:0;mso-wrap-distance-right:0" type="#_x0000_t202" filled="false" stroked="false">
            <v:textbox inset="0,0,0,0">
              <w:txbxContent>
                <w:p>
                  <w:pPr>
                    <w:spacing w:before="0"/>
                    <w:ind w:left="0" w:right="0" w:firstLine="0"/>
                    <w:jc w:val="left"/>
                    <w:rPr>
                      <w:b/>
                      <w:sz w:val="25"/>
                    </w:rPr>
                  </w:pPr>
                  <w:r>
                    <w:rPr>
                      <w:b/>
                      <w:color w:val="FFFFFF"/>
                      <w:w w:val="80"/>
                      <w:sz w:val="25"/>
                    </w:rPr>
                    <w:t>Students sent by Synod</w:t>
                  </w:r>
                </w:p>
              </w:txbxContent>
            </v:textbox>
            <w10:wrap type="topAndBottom"/>
          </v:shape>
        </w:pict>
      </w:r>
    </w:p>
    <w:p>
      <w:pPr>
        <w:pStyle w:val="BodyText"/>
        <w:rPr>
          <w:rFonts w:ascii="Arial"/>
          <w:sz w:val="20"/>
        </w:rPr>
      </w:pPr>
    </w:p>
    <w:p>
      <w:pPr>
        <w:pStyle w:val="BodyText"/>
        <w:rPr>
          <w:rFonts w:ascii="Arial"/>
          <w:sz w:val="20"/>
        </w:rPr>
      </w:pPr>
    </w:p>
    <w:p>
      <w:pPr>
        <w:pStyle w:val="BodyText"/>
        <w:spacing w:before="9"/>
        <w:rPr>
          <w:rFonts w:ascii="Arial"/>
          <w:sz w:val="23"/>
        </w:rPr>
      </w:pPr>
      <w:r>
        <w:rPr/>
        <w:pict>
          <v:shape style="position:absolute;margin-left:286.644714pt;margin-top:14.922803pt;width:15.15pt;height:15.2pt;mso-position-horizontal-relative:page;mso-position-vertical-relative:paragraph;z-index:-251157504;mso-wrap-distance-left:0;mso-wrap-distance-right:0" type="#_x0000_t202" filled="false" stroked="false">
            <v:textbox inset="0,0,0,0">
              <w:txbxContent>
                <w:p>
                  <w:pPr>
                    <w:spacing w:before="0"/>
                    <w:ind w:left="0" w:right="0" w:firstLine="0"/>
                    <w:jc w:val="left"/>
                    <w:rPr>
                      <w:b/>
                      <w:sz w:val="25"/>
                    </w:rPr>
                  </w:pPr>
                  <w:r>
                    <w:rPr>
                      <w:b/>
                      <w:color w:val="FFFFFF"/>
                      <w:w w:val="80"/>
                      <w:sz w:val="25"/>
                    </w:rPr>
                    <w:t>23</w:t>
                  </w:r>
                </w:p>
              </w:txbxContent>
            </v:textbox>
            <w10:wrap type="topAndBottom"/>
          </v:shape>
        </w:pict>
      </w:r>
      <w:r>
        <w:rPr/>
        <w:pict>
          <v:shape style="position:absolute;margin-left:349.604065pt;margin-top:14.922803pt;width:115.8pt;height:15.2pt;mso-position-horizontal-relative:page;mso-position-vertical-relative:paragraph;z-index:-251156480;mso-wrap-distance-left:0;mso-wrap-distance-right:0" type="#_x0000_t202" filled="false" stroked="false">
            <v:textbox inset="0,0,0,0">
              <w:txbxContent>
                <w:p>
                  <w:pPr>
                    <w:spacing w:before="0"/>
                    <w:ind w:left="0" w:right="0" w:firstLine="0"/>
                    <w:jc w:val="left"/>
                    <w:rPr>
                      <w:b/>
                      <w:sz w:val="25"/>
                    </w:rPr>
                  </w:pPr>
                  <w:r>
                    <w:rPr>
                      <w:b/>
                      <w:color w:val="FFFFFF"/>
                      <w:w w:val="80"/>
                      <w:sz w:val="25"/>
                    </w:rPr>
                    <w:t>Statistics in </w:t>
                  </w:r>
                  <w:r>
                    <w:rPr>
                      <w:b/>
                      <w:color w:val="FFFFFF"/>
                      <w:spacing w:val="-5"/>
                      <w:w w:val="80"/>
                      <w:sz w:val="25"/>
                    </w:rPr>
                    <w:t>Training</w:t>
                  </w:r>
                </w:p>
              </w:txbxContent>
            </v:textbox>
            <w10:wrap type="topAndBottom"/>
          </v:shape>
        </w:pict>
      </w:r>
    </w:p>
    <w:p>
      <w:pPr>
        <w:pStyle w:val="BodyText"/>
        <w:rPr>
          <w:rFonts w:ascii="Arial"/>
          <w:sz w:val="20"/>
        </w:rPr>
      </w:pPr>
    </w:p>
    <w:p>
      <w:pPr>
        <w:pStyle w:val="BodyText"/>
        <w:rPr>
          <w:rFonts w:ascii="Arial"/>
          <w:sz w:val="20"/>
        </w:rPr>
      </w:pPr>
    </w:p>
    <w:p>
      <w:pPr>
        <w:pStyle w:val="BodyText"/>
        <w:spacing w:before="9"/>
        <w:rPr>
          <w:rFonts w:ascii="Arial"/>
          <w:sz w:val="23"/>
        </w:rPr>
      </w:pPr>
      <w:r>
        <w:rPr/>
        <w:pict>
          <v:shape style="position:absolute;margin-left:286.644714pt;margin-top:14.922803pt;width:15.05pt;height:15.2pt;mso-position-horizontal-relative:page;mso-position-vertical-relative:paragraph;z-index:-251155456;mso-wrap-distance-left:0;mso-wrap-distance-right:0" type="#_x0000_t202" filled="false" stroked="false">
            <v:textbox inset="0,0,0,0">
              <w:txbxContent>
                <w:p>
                  <w:pPr>
                    <w:spacing w:before="0"/>
                    <w:ind w:left="0" w:right="0" w:firstLine="0"/>
                    <w:jc w:val="left"/>
                    <w:rPr>
                      <w:b/>
                      <w:sz w:val="25"/>
                    </w:rPr>
                  </w:pPr>
                  <w:r>
                    <w:rPr>
                      <w:b/>
                      <w:color w:val="FFFFFF"/>
                      <w:w w:val="80"/>
                      <w:sz w:val="25"/>
                    </w:rPr>
                    <w:t>25</w:t>
                  </w:r>
                </w:p>
              </w:txbxContent>
            </v:textbox>
            <w10:wrap type="topAndBottom"/>
          </v:shape>
        </w:pict>
      </w:r>
      <w:r>
        <w:rPr/>
        <w:pict>
          <v:shape style="position:absolute;margin-left:352.474701pt;margin-top:14.922803pt;width:112.95pt;height:15.2pt;mso-position-horizontal-relative:page;mso-position-vertical-relative:paragraph;z-index:-251154432;mso-wrap-distance-left:0;mso-wrap-distance-right:0" type="#_x0000_t202" filled="false" stroked="false">
            <v:textbox inset="0,0,0,0">
              <w:txbxContent>
                <w:p>
                  <w:pPr>
                    <w:spacing w:before="0"/>
                    <w:ind w:left="0" w:right="0" w:firstLine="0"/>
                    <w:jc w:val="left"/>
                    <w:rPr>
                      <w:b/>
                      <w:sz w:val="25"/>
                    </w:rPr>
                  </w:pPr>
                  <w:r>
                    <w:rPr>
                      <w:b/>
                      <w:color w:val="FFFFFF"/>
                      <w:w w:val="80"/>
                      <w:sz w:val="25"/>
                    </w:rPr>
                    <w:t>URC History Society</w:t>
                  </w:r>
                </w:p>
              </w:txbxContent>
            </v:textbox>
            <w10:wrap type="topAndBottom"/>
          </v:shape>
        </w:pict>
      </w:r>
    </w:p>
    <w:p>
      <w:pPr>
        <w:pStyle w:val="BodyText"/>
        <w:rPr>
          <w:rFonts w:ascii="Arial"/>
          <w:sz w:val="20"/>
        </w:rPr>
      </w:pPr>
    </w:p>
    <w:p>
      <w:pPr>
        <w:pStyle w:val="BodyText"/>
        <w:rPr>
          <w:rFonts w:ascii="Arial"/>
          <w:sz w:val="20"/>
        </w:rPr>
      </w:pPr>
    </w:p>
    <w:p>
      <w:pPr>
        <w:pStyle w:val="BodyText"/>
        <w:spacing w:before="9"/>
        <w:rPr>
          <w:rFonts w:ascii="Arial"/>
          <w:sz w:val="23"/>
        </w:rPr>
      </w:pPr>
      <w:r>
        <w:rPr/>
        <w:pict>
          <v:shape style="position:absolute;margin-left:286.644714pt;margin-top:14.922803pt;width:14.65pt;height:15.2pt;mso-position-horizontal-relative:page;mso-position-vertical-relative:paragraph;z-index:-251153408;mso-wrap-distance-left:0;mso-wrap-distance-right:0" type="#_x0000_t202" filled="false" stroked="false">
            <v:textbox inset="0,0,0,0">
              <w:txbxContent>
                <w:p>
                  <w:pPr>
                    <w:spacing w:before="0"/>
                    <w:ind w:left="0" w:right="0" w:firstLine="0"/>
                    <w:jc w:val="left"/>
                    <w:rPr>
                      <w:b/>
                      <w:sz w:val="25"/>
                    </w:rPr>
                  </w:pPr>
                  <w:r>
                    <w:rPr>
                      <w:b/>
                      <w:color w:val="FFFFFF"/>
                      <w:w w:val="80"/>
                      <w:sz w:val="25"/>
                    </w:rPr>
                    <w:t>27</w:t>
                  </w:r>
                </w:p>
              </w:txbxContent>
            </v:textbox>
            <w10:wrap type="topAndBottom"/>
          </v:shape>
        </w:pict>
      </w:r>
      <w:r>
        <w:rPr/>
        <w:pict>
          <v:shape style="position:absolute;margin-left:377.454712pt;margin-top:14.922803pt;width:87.95pt;height:15.2pt;mso-position-horizontal-relative:page;mso-position-vertical-relative:paragraph;z-index:-251152384;mso-wrap-distance-left:0;mso-wrap-distance-right:0" type="#_x0000_t202" filled="false" stroked="false">
            <v:textbox inset="0,0,0,0">
              <w:txbxContent>
                <w:p>
                  <w:pPr>
                    <w:spacing w:before="0"/>
                    <w:ind w:left="0" w:right="0" w:firstLine="0"/>
                    <w:jc w:val="left"/>
                    <w:rPr>
                      <w:b/>
                      <w:sz w:val="25"/>
                    </w:rPr>
                  </w:pPr>
                  <w:r>
                    <w:rPr>
                      <w:b/>
                      <w:color w:val="FFFFFF"/>
                      <w:w w:val="80"/>
                      <w:sz w:val="25"/>
                    </w:rPr>
                    <w:t>Musicians Guild</w:t>
                  </w:r>
                </w:p>
              </w:txbxContent>
            </v:textbox>
            <w10:wrap type="topAndBottom"/>
          </v:shape>
        </w:pict>
      </w:r>
    </w:p>
    <w:p>
      <w:pPr>
        <w:pStyle w:val="BodyText"/>
        <w:rPr>
          <w:rFonts w:ascii="Arial"/>
          <w:sz w:val="20"/>
        </w:rPr>
      </w:pPr>
    </w:p>
    <w:p>
      <w:pPr>
        <w:pStyle w:val="BodyText"/>
        <w:spacing w:before="10"/>
        <w:rPr>
          <w:rFonts w:ascii="Arial"/>
          <w:sz w:val="29"/>
        </w:rPr>
      </w:pPr>
      <w:r>
        <w:rPr/>
        <w:pict>
          <v:shape style="position:absolute;margin-left:286.644714pt;margin-top:26.421825pt;width:15pt;height:15.2pt;mso-position-horizontal-relative:page;mso-position-vertical-relative:paragraph;z-index:-251151360;mso-wrap-distance-left:0;mso-wrap-distance-right:0" type="#_x0000_t202" filled="false" stroked="false">
            <v:textbox inset="0,0,0,0">
              <w:txbxContent>
                <w:p>
                  <w:pPr>
                    <w:spacing w:before="0"/>
                    <w:ind w:left="0" w:right="0" w:firstLine="0"/>
                    <w:jc w:val="left"/>
                    <w:rPr>
                      <w:b/>
                      <w:sz w:val="25"/>
                    </w:rPr>
                  </w:pPr>
                  <w:r>
                    <w:rPr>
                      <w:b/>
                      <w:color w:val="FFFFFF"/>
                      <w:w w:val="80"/>
                      <w:sz w:val="25"/>
                    </w:rPr>
                    <w:t>29</w:t>
                  </w:r>
                </w:p>
              </w:txbxContent>
            </v:textbox>
            <w10:wrap type="topAndBottom"/>
          </v:shape>
        </w:pict>
      </w:r>
      <w:r>
        <w:rPr/>
        <w:pict>
          <v:shape style="position:absolute;margin-left:352.864685pt;margin-top:18.421825pt;width:112.6pt;height:31.2pt;mso-position-horizontal-relative:page;mso-position-vertical-relative:paragraph;z-index:-251150336;mso-wrap-distance-left:0;mso-wrap-distance-right:0" type="#_x0000_t202" filled="false" stroked="false">
            <v:textbox inset="0,0,0,0">
              <w:txbxContent>
                <w:p>
                  <w:pPr>
                    <w:spacing w:before="0"/>
                    <w:ind w:left="0" w:right="18" w:firstLine="0"/>
                    <w:jc w:val="right"/>
                    <w:rPr>
                      <w:b/>
                      <w:sz w:val="25"/>
                    </w:rPr>
                  </w:pPr>
                  <w:r>
                    <w:rPr>
                      <w:b/>
                      <w:color w:val="FFFFFF"/>
                      <w:spacing w:val="-4"/>
                      <w:w w:val="80"/>
                      <w:sz w:val="25"/>
                    </w:rPr>
                    <w:t>Women’s </w:t>
                  </w:r>
                  <w:r>
                    <w:rPr>
                      <w:b/>
                      <w:color w:val="FFFFFF"/>
                      <w:spacing w:val="-3"/>
                      <w:w w:val="80"/>
                      <w:sz w:val="25"/>
                    </w:rPr>
                    <w:t>World</w:t>
                  </w:r>
                  <w:r>
                    <w:rPr>
                      <w:b/>
                      <w:color w:val="FFFFFF"/>
                      <w:spacing w:val="6"/>
                      <w:w w:val="80"/>
                      <w:sz w:val="25"/>
                    </w:rPr>
                    <w:t> </w:t>
                  </w:r>
                  <w:r>
                    <w:rPr>
                      <w:b/>
                      <w:color w:val="FFFFFF"/>
                      <w:spacing w:val="-3"/>
                      <w:w w:val="80"/>
                      <w:sz w:val="25"/>
                    </w:rPr>
                    <w:t>Day</w:t>
                  </w:r>
                </w:p>
                <w:p>
                  <w:pPr>
                    <w:spacing w:before="16"/>
                    <w:ind w:left="0" w:right="18" w:firstLine="0"/>
                    <w:jc w:val="right"/>
                    <w:rPr>
                      <w:b/>
                      <w:sz w:val="25"/>
                    </w:rPr>
                  </w:pPr>
                  <w:r>
                    <w:rPr>
                      <w:b/>
                      <w:color w:val="FFFFFF"/>
                      <w:w w:val="80"/>
                      <w:sz w:val="25"/>
                    </w:rPr>
                    <w:t>of</w:t>
                  </w:r>
                  <w:r>
                    <w:rPr>
                      <w:b/>
                      <w:color w:val="FFFFFF"/>
                      <w:spacing w:val="-2"/>
                      <w:w w:val="80"/>
                      <w:sz w:val="25"/>
                    </w:rPr>
                    <w:t> </w:t>
                  </w:r>
                  <w:r>
                    <w:rPr>
                      <w:b/>
                      <w:color w:val="FFFFFF"/>
                      <w:spacing w:val="-3"/>
                      <w:w w:val="80"/>
                      <w:sz w:val="25"/>
                    </w:rPr>
                    <w:t>Prayer</w:t>
                  </w:r>
                </w:p>
              </w:txbxContent>
            </v:textbox>
            <w10:wrap type="topAndBottom"/>
          </v:shape>
        </w:pict>
      </w:r>
    </w:p>
    <w:p>
      <w:pPr>
        <w:pStyle w:val="BodyText"/>
        <w:rPr>
          <w:rFonts w:ascii="Arial"/>
          <w:sz w:val="20"/>
        </w:rPr>
      </w:pPr>
    </w:p>
    <w:p>
      <w:pPr>
        <w:pStyle w:val="BodyText"/>
        <w:spacing w:before="10"/>
        <w:rPr>
          <w:rFonts w:ascii="Arial"/>
          <w:sz w:val="29"/>
        </w:rPr>
      </w:pPr>
      <w:r>
        <w:rPr/>
        <w:pict>
          <v:shape style="position:absolute;margin-left:286.654694pt;margin-top:18.421825pt;width:14.7pt;height:15.2pt;mso-position-horizontal-relative:page;mso-position-vertical-relative:paragraph;z-index:-251149312;mso-wrap-distance-left:0;mso-wrap-distance-right:0" type="#_x0000_t202" filled="false" stroked="false">
            <v:textbox inset="0,0,0,0">
              <w:txbxContent>
                <w:p>
                  <w:pPr>
                    <w:spacing w:before="0"/>
                    <w:ind w:left="0" w:right="0" w:firstLine="0"/>
                    <w:jc w:val="left"/>
                    <w:rPr>
                      <w:b/>
                      <w:sz w:val="25"/>
                    </w:rPr>
                  </w:pPr>
                  <w:r>
                    <w:rPr>
                      <w:b/>
                      <w:color w:val="FFFFFF"/>
                      <w:w w:val="80"/>
                      <w:sz w:val="25"/>
                    </w:rPr>
                    <w:t>31</w:t>
                  </w:r>
                </w:p>
              </w:txbxContent>
            </v:textbox>
            <w10:wrap type="topAndBottom"/>
          </v:shape>
        </w:pict>
      </w:r>
      <w:r>
        <w:rPr/>
        <w:pict>
          <v:shape style="position:absolute;margin-left:348.854065pt;margin-top:18.421825pt;width:116.6pt;height:15.2pt;mso-position-horizontal-relative:page;mso-position-vertical-relative:paragraph;z-index:-251148288;mso-wrap-distance-left:0;mso-wrap-distance-right:0" type="#_x0000_t202" filled="false" stroked="false">
            <v:textbox inset="0,0,0,0">
              <w:txbxContent>
                <w:p>
                  <w:pPr>
                    <w:spacing w:before="0"/>
                    <w:ind w:left="0" w:right="0" w:firstLine="0"/>
                    <w:jc w:val="left"/>
                    <w:rPr>
                      <w:b/>
                      <w:sz w:val="25"/>
                    </w:rPr>
                  </w:pPr>
                  <w:r>
                    <w:rPr>
                      <w:b/>
                      <w:color w:val="FFFFFF"/>
                      <w:w w:val="80"/>
                      <w:sz w:val="25"/>
                    </w:rPr>
                    <w:t>Silence and Retreats</w:t>
                  </w:r>
                </w:p>
              </w:txbxContent>
            </v:textbox>
            <w10:wrap type="topAndBottom"/>
          </v:shape>
        </w:pict>
      </w:r>
    </w:p>
    <w:p>
      <w:pPr>
        <w:pStyle w:val="BodyText"/>
        <w:rPr>
          <w:rFonts w:ascii="Arial"/>
          <w:sz w:val="20"/>
        </w:rPr>
      </w:pPr>
    </w:p>
    <w:p>
      <w:pPr>
        <w:pStyle w:val="BodyText"/>
        <w:spacing w:before="10"/>
        <w:rPr>
          <w:rFonts w:ascii="Arial"/>
          <w:sz w:val="29"/>
        </w:rPr>
      </w:pPr>
      <w:r>
        <w:rPr/>
        <w:pict>
          <v:shape style="position:absolute;margin-left:286.654694pt;margin-top:26.421825pt;width:14.9pt;height:15.2pt;mso-position-horizontal-relative:page;mso-position-vertical-relative:paragraph;z-index:-251147264;mso-wrap-distance-left:0;mso-wrap-distance-right:0" type="#_x0000_t202" filled="false" stroked="false">
            <v:textbox inset="0,0,0,0">
              <w:txbxContent>
                <w:p>
                  <w:pPr>
                    <w:spacing w:before="0"/>
                    <w:ind w:left="0" w:right="0" w:firstLine="0"/>
                    <w:jc w:val="left"/>
                    <w:rPr>
                      <w:b/>
                      <w:sz w:val="25"/>
                    </w:rPr>
                  </w:pPr>
                  <w:r>
                    <w:rPr>
                      <w:b/>
                      <w:color w:val="FFFFFF"/>
                      <w:w w:val="80"/>
                      <w:sz w:val="25"/>
                    </w:rPr>
                    <w:t>33</w:t>
                  </w:r>
                </w:p>
              </w:txbxContent>
            </v:textbox>
            <w10:wrap type="topAndBottom"/>
          </v:shape>
        </w:pict>
      </w:r>
      <w:r>
        <w:rPr/>
        <w:pict>
          <v:shape style="position:absolute;margin-left:326.924713pt;margin-top:18.421825pt;width:138.5pt;height:31.2pt;mso-position-horizontal-relative:page;mso-position-vertical-relative:paragraph;z-index:-251146240;mso-wrap-distance-left:0;mso-wrap-distance-right:0" type="#_x0000_t202" filled="false" stroked="false">
            <v:textbox inset="0,0,0,0">
              <w:txbxContent>
                <w:p>
                  <w:pPr>
                    <w:spacing w:line="252" w:lineRule="auto" w:before="0"/>
                    <w:ind w:left="0" w:right="-8" w:firstLine="283"/>
                    <w:jc w:val="left"/>
                    <w:rPr>
                      <w:b/>
                      <w:sz w:val="25"/>
                    </w:rPr>
                  </w:pPr>
                  <w:r>
                    <w:rPr>
                      <w:b/>
                      <w:color w:val="FFFFFF"/>
                      <w:w w:val="80"/>
                      <w:sz w:val="25"/>
                    </w:rPr>
                    <w:t>Schools related to the United Reformed Church</w:t>
                  </w:r>
                </w:p>
              </w:txbxContent>
            </v:textbox>
            <w10:wrap type="topAndBottom"/>
          </v:shape>
        </w:pict>
      </w:r>
    </w:p>
    <w:p>
      <w:pPr>
        <w:spacing w:after="0"/>
        <w:rPr>
          <w:rFonts w:ascii="Arial"/>
          <w:sz w:val="29"/>
        </w:rPr>
        <w:sectPr>
          <w:headerReference w:type="default" r:id="rId553"/>
          <w:footerReference w:type="default" r:id="rId554"/>
          <w:pgSz w:w="11910" w:h="16840"/>
          <w:pgMar w:header="0" w:footer="0" w:top="1580" w:bottom="280" w:left="540" w:right="0"/>
        </w:sectPr>
      </w:pPr>
    </w:p>
    <w:p>
      <w:pPr>
        <w:pStyle w:val="BodyText"/>
        <w:spacing w:before="4"/>
        <w:rPr>
          <w:rFonts w:ascii="Arial"/>
          <w:sz w:val="17"/>
        </w:rPr>
      </w:pPr>
    </w:p>
    <w:p>
      <w:pPr>
        <w:spacing w:after="0"/>
        <w:rPr>
          <w:rFonts w:ascii="Arial"/>
          <w:sz w:val="17"/>
        </w:rPr>
        <w:sectPr>
          <w:headerReference w:type="even" r:id="rId562"/>
          <w:footerReference w:type="even" r:id="rId563"/>
          <w:pgSz w:w="11910" w:h="16840"/>
          <w:pgMar w:header="0" w:footer="0" w:top="1580" w:bottom="280" w:left="540" w:right="0"/>
        </w:sectPr>
      </w:pPr>
    </w:p>
    <w:p>
      <w:pPr>
        <w:numPr>
          <w:ilvl w:val="1"/>
          <w:numId w:val="221"/>
        </w:numPr>
        <w:tabs>
          <w:tab w:pos="1614" w:val="left" w:leader="none"/>
          <w:tab w:pos="1615" w:val="left" w:leader="none"/>
        </w:tabs>
        <w:spacing w:before="88"/>
        <w:ind w:left="1614" w:right="0" w:hanging="455"/>
        <w:jc w:val="left"/>
        <w:rPr>
          <w:b/>
          <w:sz w:val="18"/>
        </w:rPr>
      </w:pPr>
      <w:r>
        <w:rPr/>
        <w:pict>
          <v:shape style="position:absolute;margin-left:506.391571pt;margin-top:36.841114pt;width:69.55pt;height:519.7pt;mso-position-horizontal-relative:page;mso-position-vertical-relative:page;z-index:252174336" type="#_x0000_t202" filled="false" stroked="false">
            <v:textbox inset="0,0,0,0" style="layout-flow:vertical">
              <w:txbxContent>
                <w:p>
                  <w:pPr>
                    <w:spacing w:line="997" w:lineRule="exact" w:before="20"/>
                    <w:ind w:left="20" w:right="0" w:firstLine="0"/>
                    <w:jc w:val="left"/>
                    <w:rPr>
                      <w:b/>
                      <w:sz w:val="88"/>
                    </w:rPr>
                  </w:pPr>
                  <w:r>
                    <w:rPr>
                      <w:b/>
                      <w:color w:val="231F20"/>
                      <w:sz w:val="88"/>
                    </w:rPr>
                    <w:t>Standing Orders</w:t>
                  </w:r>
                </w:p>
                <w:p>
                  <w:pPr>
                    <w:spacing w:line="372" w:lineRule="exact" w:before="0"/>
                    <w:ind w:left="6596"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w w:val="110"/>
          <w:sz w:val="18"/>
        </w:rPr>
        <w:t>The Agenda of the</w:t>
      </w:r>
      <w:r>
        <w:rPr>
          <w:b/>
          <w:color w:val="231F20"/>
          <w:spacing w:val="1"/>
          <w:w w:val="110"/>
          <w:sz w:val="18"/>
        </w:rPr>
        <w:t> </w:t>
      </w:r>
      <w:r>
        <w:rPr>
          <w:b/>
          <w:color w:val="231F20"/>
          <w:spacing w:val="2"/>
          <w:w w:val="110"/>
          <w:sz w:val="18"/>
        </w:rPr>
        <w:t>Assembly</w:t>
      </w:r>
    </w:p>
    <w:p>
      <w:pPr>
        <w:pStyle w:val="BodyText"/>
        <w:spacing w:before="1"/>
        <w:rPr>
          <w:b/>
          <w:sz w:val="23"/>
        </w:rPr>
      </w:pPr>
    </w:p>
    <w:p>
      <w:pPr>
        <w:pStyle w:val="BodyText"/>
        <w:tabs>
          <w:tab w:pos="1841" w:val="left" w:leader="none"/>
        </w:tabs>
        <w:spacing w:line="273" w:lineRule="auto"/>
        <w:ind w:left="1160" w:right="2400"/>
      </w:pPr>
      <w:r>
        <w:rPr>
          <w:color w:val="231F20"/>
          <w:spacing w:val="-3"/>
          <w:w w:val="110"/>
        </w:rPr>
        <w:t>1a.</w:t>
        <w:tab/>
      </w:r>
      <w:r>
        <w:rPr>
          <w:color w:val="231F20"/>
          <w:w w:val="110"/>
        </w:rPr>
        <w:t>At its meetings the Assembly shall consider </w:t>
      </w:r>
      <w:r>
        <w:rPr>
          <w:color w:val="231F20"/>
          <w:spacing w:val="3"/>
          <w:w w:val="110"/>
        </w:rPr>
        <w:t>reports </w:t>
      </w:r>
      <w:r>
        <w:rPr>
          <w:color w:val="231F20"/>
          <w:w w:val="110"/>
        </w:rPr>
        <w:t>and </w:t>
      </w:r>
      <w:r>
        <w:rPr>
          <w:color w:val="231F20"/>
          <w:spacing w:val="2"/>
          <w:w w:val="110"/>
        </w:rPr>
        <w:t>draft </w:t>
      </w:r>
      <w:r>
        <w:rPr>
          <w:color w:val="231F20"/>
          <w:w w:val="110"/>
        </w:rPr>
        <w:t>motions prepared by its Committees which include the Mission Council or by synods, and motions and amendments of which due notice has been given submitted by individual </w:t>
      </w:r>
      <w:r>
        <w:rPr>
          <w:color w:val="231F20"/>
          <w:spacing w:val="2"/>
          <w:w w:val="110"/>
        </w:rPr>
        <w:t>members </w:t>
      </w:r>
      <w:r>
        <w:rPr>
          <w:color w:val="231F20"/>
          <w:w w:val="110"/>
        </w:rPr>
        <w:t>of the</w:t>
      </w:r>
      <w:r>
        <w:rPr>
          <w:color w:val="231F20"/>
          <w:spacing w:val="4"/>
          <w:w w:val="110"/>
        </w:rPr>
        <w:t> </w:t>
      </w:r>
      <w:r>
        <w:rPr>
          <w:color w:val="231F20"/>
          <w:w w:val="110"/>
        </w:rPr>
        <w:t>Assembly.</w:t>
      </w:r>
    </w:p>
    <w:p>
      <w:pPr>
        <w:pStyle w:val="BodyText"/>
        <w:spacing w:before="10"/>
        <w:rPr>
          <w:sz w:val="20"/>
        </w:rPr>
      </w:pPr>
    </w:p>
    <w:p>
      <w:pPr>
        <w:pStyle w:val="BodyText"/>
        <w:tabs>
          <w:tab w:pos="1841" w:val="left" w:leader="none"/>
        </w:tabs>
        <w:spacing w:line="273" w:lineRule="auto"/>
        <w:ind w:left="1160" w:right="2801" w:hanging="1"/>
      </w:pPr>
      <w:r>
        <w:rPr>
          <w:color w:val="231F20"/>
          <w:spacing w:val="-4"/>
          <w:w w:val="110"/>
        </w:rPr>
        <w:t>1b.</w:t>
        <w:tab/>
      </w:r>
      <w:r>
        <w:rPr>
          <w:color w:val="231F20"/>
          <w:w w:val="110"/>
        </w:rPr>
        <w:t>The Assembly Arrangements Committee shall prepare </w:t>
      </w:r>
      <w:r>
        <w:rPr>
          <w:color w:val="231F20"/>
          <w:spacing w:val="2"/>
          <w:w w:val="110"/>
        </w:rPr>
        <w:t>before </w:t>
      </w:r>
      <w:r>
        <w:rPr>
          <w:color w:val="231F20"/>
          <w:w w:val="110"/>
        </w:rPr>
        <w:t>each meeting of the Assembly a </w:t>
      </w:r>
      <w:r>
        <w:rPr>
          <w:color w:val="231F20"/>
          <w:spacing w:val="2"/>
          <w:w w:val="110"/>
        </w:rPr>
        <w:t>draft </w:t>
      </w:r>
      <w:r>
        <w:rPr>
          <w:color w:val="231F20"/>
          <w:w w:val="110"/>
        </w:rPr>
        <w:t>order of business, and submit it to the Assembly as early as convenient in the</w:t>
      </w:r>
      <w:r>
        <w:rPr>
          <w:color w:val="231F20"/>
          <w:spacing w:val="20"/>
          <w:w w:val="110"/>
        </w:rPr>
        <w:t> </w:t>
      </w:r>
      <w:r>
        <w:rPr>
          <w:color w:val="231F20"/>
          <w:w w:val="110"/>
        </w:rPr>
        <w:t>programme.</w:t>
      </w:r>
    </w:p>
    <w:p>
      <w:pPr>
        <w:pStyle w:val="BodyText"/>
        <w:spacing w:before="9"/>
        <w:rPr>
          <w:sz w:val="20"/>
        </w:rPr>
      </w:pPr>
    </w:p>
    <w:p>
      <w:pPr>
        <w:pStyle w:val="BodyText"/>
        <w:tabs>
          <w:tab w:pos="1841" w:val="left" w:leader="none"/>
        </w:tabs>
        <w:spacing w:line="273" w:lineRule="auto"/>
        <w:ind w:left="1160" w:right="1995"/>
      </w:pPr>
      <w:r>
        <w:rPr>
          <w:color w:val="231F20"/>
          <w:w w:val="110"/>
        </w:rPr>
        <w:t>1c.</w:t>
        <w:tab/>
        <w:t>Motions arising </w:t>
      </w:r>
      <w:r>
        <w:rPr>
          <w:color w:val="231F20"/>
          <w:spacing w:val="2"/>
          <w:w w:val="110"/>
        </w:rPr>
        <w:t>from </w:t>
      </w:r>
      <w:r>
        <w:rPr>
          <w:color w:val="231F20"/>
          <w:w w:val="110"/>
        </w:rPr>
        <w:t>a </w:t>
      </w:r>
      <w:r>
        <w:rPr>
          <w:color w:val="231F20"/>
          <w:spacing w:val="3"/>
          <w:w w:val="110"/>
        </w:rPr>
        <w:t>report </w:t>
      </w:r>
      <w:r>
        <w:rPr>
          <w:color w:val="231F20"/>
          <w:w w:val="110"/>
        </w:rPr>
        <w:t>which have been duly seconded and submitted by individual </w:t>
      </w:r>
      <w:r>
        <w:rPr>
          <w:color w:val="231F20"/>
          <w:spacing w:val="2"/>
          <w:w w:val="110"/>
        </w:rPr>
        <w:t>members </w:t>
      </w:r>
      <w:r>
        <w:rPr>
          <w:color w:val="231F20"/>
          <w:w w:val="110"/>
        </w:rPr>
        <w:t>of Assembly under rule 3b shall be taken at a point in the business determined by the Moderator on the advice of the Convener of the Assembly Arrangements</w:t>
      </w:r>
      <w:r>
        <w:rPr>
          <w:color w:val="231F20"/>
          <w:spacing w:val="9"/>
          <w:w w:val="110"/>
        </w:rPr>
        <w:t> </w:t>
      </w:r>
      <w:r>
        <w:rPr>
          <w:color w:val="231F20"/>
          <w:w w:val="110"/>
        </w:rPr>
        <w:t>Committee.</w:t>
      </w:r>
    </w:p>
    <w:p>
      <w:pPr>
        <w:pStyle w:val="BodyText"/>
        <w:spacing w:before="9"/>
        <w:rPr>
          <w:sz w:val="20"/>
        </w:rPr>
      </w:pPr>
    </w:p>
    <w:p>
      <w:pPr>
        <w:pStyle w:val="BodyText"/>
        <w:tabs>
          <w:tab w:pos="1841" w:val="left" w:leader="none"/>
        </w:tabs>
        <w:spacing w:line="273" w:lineRule="auto"/>
        <w:ind w:left="1160" w:right="2159"/>
      </w:pPr>
      <w:r>
        <w:rPr>
          <w:color w:val="231F20"/>
          <w:spacing w:val="-3"/>
          <w:w w:val="110"/>
        </w:rPr>
        <w:t>1d.</w:t>
        <w:tab/>
      </w:r>
      <w:r>
        <w:rPr>
          <w:color w:val="231F20"/>
          <w:w w:val="110"/>
        </w:rPr>
        <w:t>If notice has been given of two or more motions on the same subject, or two or more amendments to the same motion, these shall be taken in the order decided by the Moderator on the advice of the</w:t>
      </w:r>
      <w:r>
        <w:rPr>
          <w:color w:val="231F20"/>
          <w:spacing w:val="23"/>
          <w:w w:val="110"/>
        </w:rPr>
        <w:t> </w:t>
      </w:r>
      <w:r>
        <w:rPr>
          <w:color w:val="231F20"/>
          <w:w w:val="110"/>
        </w:rPr>
        <w:t>Clerk.</w:t>
      </w:r>
    </w:p>
    <w:p>
      <w:pPr>
        <w:pStyle w:val="BodyText"/>
        <w:spacing w:before="9"/>
        <w:rPr>
          <w:sz w:val="20"/>
        </w:rPr>
      </w:pPr>
    </w:p>
    <w:p>
      <w:pPr>
        <w:pStyle w:val="BodyText"/>
        <w:tabs>
          <w:tab w:pos="1841" w:val="left" w:leader="none"/>
        </w:tabs>
        <w:spacing w:line="273" w:lineRule="auto"/>
        <w:ind w:left="1161" w:right="2159" w:hanging="1"/>
      </w:pPr>
      <w:r>
        <w:rPr>
          <w:color w:val="231F20"/>
          <w:spacing w:val="-4"/>
          <w:w w:val="110"/>
        </w:rPr>
        <w:t>1e.</w:t>
        <w:tab/>
      </w:r>
      <w:r>
        <w:rPr>
          <w:color w:val="231F20"/>
          <w:w w:val="110"/>
        </w:rPr>
        <w:t>The Convener of the Assembly Arrangements Committee </w:t>
      </w:r>
      <w:r>
        <w:rPr>
          <w:color w:val="231F20"/>
          <w:spacing w:val="-7"/>
          <w:w w:val="110"/>
        </w:rPr>
        <w:t>may, </w:t>
      </w:r>
      <w:r>
        <w:rPr>
          <w:color w:val="231F20"/>
          <w:w w:val="110"/>
        </w:rPr>
        <w:t>during the meeting of the Assembly, propose that the order of business be</w:t>
      </w:r>
      <w:r>
        <w:rPr>
          <w:color w:val="231F20"/>
          <w:spacing w:val="-21"/>
          <w:w w:val="110"/>
        </w:rPr>
        <w:t> </w:t>
      </w:r>
      <w:r>
        <w:rPr>
          <w:color w:val="231F20"/>
          <w:w w:val="110"/>
        </w:rPr>
        <w:t>changed.</w:t>
      </w:r>
    </w:p>
    <w:p>
      <w:pPr>
        <w:pStyle w:val="BodyText"/>
        <w:rPr>
          <w:sz w:val="22"/>
        </w:rPr>
      </w:pPr>
    </w:p>
    <w:p>
      <w:pPr>
        <w:pStyle w:val="BodyText"/>
        <w:spacing w:before="3"/>
        <w:rPr>
          <w:sz w:val="19"/>
        </w:rPr>
      </w:pPr>
    </w:p>
    <w:p>
      <w:pPr>
        <w:numPr>
          <w:ilvl w:val="1"/>
          <w:numId w:val="221"/>
        </w:numPr>
        <w:tabs>
          <w:tab w:pos="1614" w:val="left" w:leader="none"/>
          <w:tab w:pos="1615" w:val="left" w:leader="none"/>
        </w:tabs>
        <w:spacing w:before="0"/>
        <w:ind w:left="1614" w:right="0" w:hanging="455"/>
        <w:jc w:val="left"/>
        <w:rPr>
          <w:b/>
          <w:sz w:val="18"/>
        </w:rPr>
      </w:pPr>
      <w:r>
        <w:rPr>
          <w:b/>
          <w:color w:val="231F20"/>
          <w:spacing w:val="2"/>
          <w:w w:val="110"/>
          <w:sz w:val="18"/>
        </w:rPr>
        <w:t>Presentation </w:t>
      </w:r>
      <w:r>
        <w:rPr>
          <w:b/>
          <w:color w:val="231F20"/>
          <w:w w:val="110"/>
          <w:sz w:val="18"/>
        </w:rPr>
        <w:t>of</w:t>
      </w:r>
      <w:r>
        <w:rPr>
          <w:b/>
          <w:color w:val="231F20"/>
          <w:spacing w:val="-2"/>
          <w:w w:val="110"/>
          <w:sz w:val="18"/>
        </w:rPr>
        <w:t> </w:t>
      </w:r>
      <w:r>
        <w:rPr>
          <w:b/>
          <w:color w:val="231F20"/>
          <w:w w:val="110"/>
          <w:sz w:val="18"/>
        </w:rPr>
        <w:t>Business</w:t>
      </w:r>
    </w:p>
    <w:p>
      <w:pPr>
        <w:pStyle w:val="BodyText"/>
        <w:spacing w:before="1"/>
        <w:rPr>
          <w:b/>
          <w:sz w:val="23"/>
        </w:rPr>
      </w:pPr>
    </w:p>
    <w:p>
      <w:pPr>
        <w:pStyle w:val="BodyText"/>
        <w:spacing w:line="273" w:lineRule="auto"/>
        <w:ind w:left="1161" w:right="1995" w:hanging="1"/>
      </w:pPr>
      <w:r>
        <w:rPr>
          <w:color w:val="231F20"/>
          <w:w w:val="110"/>
        </w:rPr>
        <w:t>2a. All reports of Committees, together with the draft motions arising therefrom, shall be delivered to the General Secretary by a date to be annually determined, so that they may be printed and circulated to members in time for consideration before the date of the Assembly meeting.</w:t>
      </w:r>
    </w:p>
    <w:p>
      <w:pPr>
        <w:pStyle w:val="BodyText"/>
        <w:spacing w:before="10"/>
        <w:rPr>
          <w:sz w:val="20"/>
        </w:rPr>
      </w:pPr>
    </w:p>
    <w:p>
      <w:pPr>
        <w:pStyle w:val="BodyText"/>
        <w:spacing w:line="273" w:lineRule="auto"/>
        <w:ind w:left="1161" w:right="1991" w:hanging="2"/>
      </w:pPr>
      <w:r>
        <w:rPr>
          <w:color w:val="231F20"/>
          <w:spacing w:val="-4"/>
          <w:w w:val="110"/>
        </w:rPr>
        <w:t>2b. </w:t>
      </w:r>
      <w:r>
        <w:rPr>
          <w:color w:val="231F20"/>
          <w:w w:val="110"/>
        </w:rPr>
        <w:t>A synod </w:t>
      </w:r>
      <w:r>
        <w:rPr>
          <w:color w:val="231F20"/>
          <w:spacing w:val="-3"/>
          <w:w w:val="110"/>
        </w:rPr>
        <w:t>may </w:t>
      </w:r>
      <w:r>
        <w:rPr>
          <w:color w:val="231F20"/>
          <w:w w:val="110"/>
        </w:rPr>
        <w:t>deliver to the General Secretary not less than twelve weeks before the commencement of the annual meeting of the Assembly notice in writing of a motion for consideration at the Assembly. This notice shall include the names of those appointed to propose and second the motion at the</w:t>
      </w:r>
      <w:r>
        <w:rPr>
          <w:color w:val="231F20"/>
          <w:spacing w:val="-18"/>
          <w:w w:val="110"/>
        </w:rPr>
        <w:t> </w:t>
      </w:r>
      <w:r>
        <w:rPr>
          <w:color w:val="231F20"/>
          <w:w w:val="110"/>
        </w:rPr>
        <w:t>Assembly.</w:t>
      </w:r>
    </w:p>
    <w:p>
      <w:pPr>
        <w:pStyle w:val="BodyText"/>
        <w:spacing w:before="9"/>
        <w:rPr>
          <w:sz w:val="20"/>
        </w:rPr>
      </w:pPr>
    </w:p>
    <w:p>
      <w:pPr>
        <w:pStyle w:val="BodyText"/>
        <w:spacing w:line="273" w:lineRule="auto"/>
        <w:ind w:left="1160" w:right="2159"/>
      </w:pPr>
      <w:r>
        <w:rPr>
          <w:color w:val="231F20"/>
          <w:w w:val="110"/>
        </w:rPr>
        <w:t>2c. A local church or </w:t>
      </w:r>
      <w:r>
        <w:rPr>
          <w:color w:val="231F20"/>
          <w:spacing w:val="2"/>
          <w:w w:val="110"/>
        </w:rPr>
        <w:t>district </w:t>
      </w:r>
      <w:r>
        <w:rPr>
          <w:color w:val="231F20"/>
          <w:w w:val="110"/>
        </w:rPr>
        <w:t>council wishing to put </w:t>
      </w:r>
      <w:r>
        <w:rPr>
          <w:color w:val="231F20"/>
          <w:spacing w:val="2"/>
          <w:w w:val="110"/>
        </w:rPr>
        <w:t>forward </w:t>
      </w:r>
      <w:r>
        <w:rPr>
          <w:color w:val="231F20"/>
          <w:w w:val="110"/>
        </w:rPr>
        <w:t>a motion for consideration by the General Assembly shall submit the motion to its synod for consideration and, if the synod so decides, transmission to the Assembly, at such time as will enable the synod to comply with Standing Order 2b above. In the </w:t>
      </w:r>
      <w:r>
        <w:rPr>
          <w:color w:val="231F20"/>
          <w:spacing w:val="2"/>
          <w:w w:val="110"/>
        </w:rPr>
        <w:t>case </w:t>
      </w:r>
      <w:r>
        <w:rPr>
          <w:color w:val="231F20"/>
          <w:w w:val="110"/>
        </w:rPr>
        <w:t>of a local church the motion must be submitted to the synod through the </w:t>
      </w:r>
      <w:r>
        <w:rPr>
          <w:color w:val="231F20"/>
          <w:spacing w:val="2"/>
          <w:w w:val="110"/>
        </w:rPr>
        <w:t>district</w:t>
      </w:r>
      <w:r>
        <w:rPr>
          <w:color w:val="231F20"/>
          <w:spacing w:val="1"/>
          <w:w w:val="110"/>
        </w:rPr>
        <w:t> </w:t>
      </w:r>
      <w:r>
        <w:rPr>
          <w:color w:val="231F20"/>
          <w:w w:val="110"/>
        </w:rPr>
        <w:t>council.</w:t>
      </w:r>
    </w:p>
    <w:p>
      <w:pPr>
        <w:pStyle w:val="BodyText"/>
        <w:spacing w:before="11"/>
        <w:rPr>
          <w:sz w:val="20"/>
        </w:rPr>
      </w:pPr>
    </w:p>
    <w:p>
      <w:pPr>
        <w:pStyle w:val="BodyText"/>
        <w:spacing w:line="273" w:lineRule="auto"/>
        <w:ind w:left="1160" w:right="2068"/>
      </w:pPr>
      <w:r>
        <w:rPr>
          <w:color w:val="231F20"/>
          <w:w w:val="110"/>
        </w:rPr>
        <w:t>2d. A member of the Assembly may deliver to the General </w:t>
      </w:r>
      <w:r>
        <w:rPr>
          <w:color w:val="231F20"/>
          <w:spacing w:val="3"/>
          <w:w w:val="110"/>
        </w:rPr>
        <w:t>Secretary </w:t>
      </w:r>
      <w:r>
        <w:rPr>
          <w:color w:val="231F20"/>
          <w:w w:val="110"/>
        </w:rPr>
        <w:t>not less  than </w:t>
      </w:r>
      <w:r>
        <w:rPr>
          <w:color w:val="231F20"/>
          <w:spacing w:val="-3"/>
          <w:w w:val="110"/>
        </w:rPr>
        <w:t>21 </w:t>
      </w:r>
      <w:r>
        <w:rPr>
          <w:color w:val="231F20"/>
          <w:w w:val="110"/>
        </w:rPr>
        <w:t>days </w:t>
      </w:r>
      <w:r>
        <w:rPr>
          <w:color w:val="231F20"/>
          <w:spacing w:val="2"/>
          <w:w w:val="110"/>
        </w:rPr>
        <w:t>before </w:t>
      </w:r>
      <w:r>
        <w:rPr>
          <w:color w:val="231F20"/>
          <w:w w:val="110"/>
        </w:rPr>
        <w:t>the date of the meeting of the Assembly a notice in writing  of a motion (which notice must include the name of a seconder) to be included in the Assembly agenda. If the subject matter of such a notice of motion appears   to the General </w:t>
      </w:r>
      <w:r>
        <w:rPr>
          <w:color w:val="231F20"/>
          <w:spacing w:val="3"/>
          <w:w w:val="110"/>
        </w:rPr>
        <w:t>Secretary </w:t>
      </w:r>
      <w:r>
        <w:rPr>
          <w:color w:val="231F20"/>
          <w:w w:val="110"/>
        </w:rPr>
        <w:t>to be an infringement of the rights of a synod or a </w:t>
      </w:r>
      <w:r>
        <w:rPr>
          <w:color w:val="231F20"/>
          <w:spacing w:val="2"/>
          <w:w w:val="110"/>
        </w:rPr>
        <w:t>district </w:t>
      </w:r>
      <w:r>
        <w:rPr>
          <w:color w:val="231F20"/>
          <w:w w:val="110"/>
        </w:rPr>
        <w:t>council through which the matter could properly have been raised, the General </w:t>
      </w:r>
      <w:r>
        <w:rPr>
          <w:color w:val="231F20"/>
          <w:spacing w:val="3"/>
          <w:w w:val="110"/>
        </w:rPr>
        <w:t>Secretary </w:t>
      </w:r>
      <w:r>
        <w:rPr>
          <w:color w:val="231F20"/>
          <w:w w:val="110"/>
        </w:rPr>
        <w:t>shall inform the member accordingly and bring the matter </w:t>
      </w:r>
      <w:r>
        <w:rPr>
          <w:color w:val="231F20"/>
          <w:spacing w:val="2"/>
          <w:w w:val="110"/>
        </w:rPr>
        <w:t>before </w:t>
      </w:r>
      <w:r>
        <w:rPr>
          <w:color w:val="231F20"/>
          <w:w w:val="110"/>
        </w:rPr>
        <w:t>the Assembly Arrangements Committee which shall advise the Assembly  as to the procedure to be</w:t>
      </w:r>
      <w:r>
        <w:rPr>
          <w:color w:val="231F20"/>
          <w:spacing w:val="8"/>
          <w:w w:val="110"/>
        </w:rPr>
        <w:t> </w:t>
      </w:r>
      <w:r>
        <w:rPr>
          <w:color w:val="231F20"/>
          <w:w w:val="110"/>
        </w:rPr>
        <w:t>followed.</w:t>
      </w:r>
    </w:p>
    <w:p>
      <w:pPr>
        <w:pStyle w:val="BodyText"/>
        <w:rPr>
          <w:sz w:val="21"/>
        </w:rPr>
      </w:pPr>
    </w:p>
    <w:p>
      <w:pPr>
        <w:pStyle w:val="BodyText"/>
        <w:spacing w:line="273" w:lineRule="auto"/>
        <w:ind w:left="1161" w:right="1940" w:hanging="1"/>
      </w:pPr>
      <w:r>
        <w:rPr>
          <w:color w:val="231F20"/>
          <w:w w:val="110"/>
        </w:rPr>
        <w:t>2e. Proposals for amendments to the Basis and Structure of the United Reformed Church, which may be made by the Mission Council or a Committee of the General Assembly or a synod, shall be in the hands of the General Secretary not later than 12 weeks before the opening of the Assembly. The General Secretary, in addition to the normal advice to members of the Assembly, shall, as quickly as possible, inform all synod clerks of the proposed amendment.</w:t>
      </w:r>
    </w:p>
    <w:p>
      <w:pPr>
        <w:pStyle w:val="BodyText"/>
        <w:rPr>
          <w:sz w:val="10"/>
        </w:rPr>
      </w:pPr>
    </w:p>
    <w:p>
      <w:pPr>
        <w:spacing w:before="55"/>
        <w:ind w:left="0" w:right="1131" w:firstLine="0"/>
        <w:jc w:val="right"/>
        <w:rPr>
          <w:rFonts w:ascii="Eurostile Bold"/>
          <w:b/>
          <w:sz w:val="24"/>
        </w:rPr>
      </w:pPr>
      <w:r>
        <w:rPr>
          <w:rFonts w:ascii="Eurostile Bold"/>
          <w:b/>
          <w:color w:val="231F20"/>
          <w:w w:val="87"/>
          <w:sz w:val="24"/>
        </w:rPr>
        <w:t>3</w:t>
      </w:r>
    </w:p>
    <w:p>
      <w:pPr>
        <w:spacing w:after="0"/>
        <w:jc w:val="right"/>
        <w:rPr>
          <w:rFonts w:ascii="Eurostile Bold"/>
          <w:sz w:val="24"/>
        </w:rPr>
        <w:sectPr>
          <w:headerReference w:type="default" r:id="rId564"/>
          <w:footerReference w:type="default" r:id="rId565"/>
          <w:pgSz w:w="11910" w:h="16840"/>
          <w:pgMar w:header="0" w:footer="0" w:top="1000" w:bottom="280" w:left="540" w:right="0"/>
        </w:sectPr>
      </w:pPr>
    </w:p>
    <w:p>
      <w:pPr>
        <w:pStyle w:val="BodyText"/>
        <w:spacing w:before="7"/>
        <w:rPr>
          <w:rFonts w:ascii="Eurostile Bold"/>
          <w:b/>
          <w:sz w:val="13"/>
        </w:rPr>
      </w:pPr>
    </w:p>
    <w:p>
      <w:pPr>
        <w:numPr>
          <w:ilvl w:val="1"/>
          <w:numId w:val="221"/>
        </w:numPr>
        <w:tabs>
          <w:tab w:pos="1047" w:val="left" w:leader="none"/>
          <w:tab w:pos="1048" w:val="left" w:leader="none"/>
        </w:tabs>
        <w:spacing w:before="100"/>
        <w:ind w:left="1047" w:right="0" w:hanging="455"/>
        <w:jc w:val="left"/>
        <w:rPr>
          <w:b/>
          <w:sz w:val="18"/>
        </w:rPr>
      </w:pPr>
      <w:r>
        <w:rPr>
          <w:b/>
          <w:color w:val="231F20"/>
          <w:w w:val="110"/>
          <w:sz w:val="18"/>
        </w:rPr>
        <w:t>Motions and Amendments</w:t>
      </w:r>
    </w:p>
    <w:p>
      <w:pPr>
        <w:pStyle w:val="BodyText"/>
        <w:spacing w:before="1"/>
        <w:rPr>
          <w:b/>
          <w:sz w:val="23"/>
        </w:rPr>
      </w:pPr>
    </w:p>
    <w:p>
      <w:pPr>
        <w:pStyle w:val="BodyText"/>
        <w:spacing w:line="273" w:lineRule="auto" w:before="1"/>
        <w:ind w:left="593" w:right="1788"/>
      </w:pPr>
      <w:r>
        <w:rPr>
          <w:color w:val="231F20"/>
          <w:w w:val="110"/>
        </w:rPr>
        <w:t>3a.  A </w:t>
      </w:r>
      <w:r>
        <w:rPr>
          <w:color w:val="231F20"/>
          <w:spacing w:val="3"/>
          <w:w w:val="110"/>
        </w:rPr>
        <w:t>report </w:t>
      </w:r>
      <w:r>
        <w:rPr>
          <w:color w:val="231F20"/>
          <w:w w:val="110"/>
        </w:rPr>
        <w:t>presented to the Assembly by a Committee or synod, under rule </w:t>
      </w:r>
      <w:r>
        <w:rPr>
          <w:color w:val="231F20"/>
          <w:spacing w:val="-4"/>
          <w:w w:val="110"/>
        </w:rPr>
        <w:t>1, </w:t>
      </w:r>
      <w:r>
        <w:rPr>
          <w:color w:val="231F20"/>
          <w:w w:val="110"/>
        </w:rPr>
        <w:t>shall   be received for debate, unless notice has been duly given under rule 2d of a motion to refer back to that Committee or synod the whole or </w:t>
      </w:r>
      <w:r>
        <w:rPr>
          <w:color w:val="231F20"/>
          <w:spacing w:val="2"/>
          <w:w w:val="110"/>
        </w:rPr>
        <w:t>part </w:t>
      </w:r>
      <w:r>
        <w:rPr>
          <w:color w:val="231F20"/>
          <w:w w:val="110"/>
        </w:rPr>
        <w:t>of the </w:t>
      </w:r>
      <w:r>
        <w:rPr>
          <w:color w:val="231F20"/>
          <w:spacing w:val="3"/>
          <w:w w:val="110"/>
        </w:rPr>
        <w:t>report </w:t>
      </w:r>
      <w:r>
        <w:rPr>
          <w:color w:val="231F20"/>
          <w:w w:val="110"/>
        </w:rPr>
        <w:t>and its </w:t>
      </w:r>
      <w:r>
        <w:rPr>
          <w:color w:val="231F20"/>
          <w:spacing w:val="2"/>
          <w:w w:val="110"/>
        </w:rPr>
        <w:t>attached </w:t>
      </w:r>
      <w:r>
        <w:rPr>
          <w:color w:val="231F20"/>
          <w:spacing w:val="-3"/>
          <w:w w:val="110"/>
        </w:rPr>
        <w:t>motion(s). </w:t>
      </w:r>
      <w:r>
        <w:rPr>
          <w:color w:val="231F20"/>
          <w:w w:val="110"/>
        </w:rPr>
        <w:t>Such a motion for </w:t>
      </w:r>
      <w:r>
        <w:rPr>
          <w:color w:val="231F20"/>
          <w:spacing w:val="2"/>
          <w:w w:val="110"/>
        </w:rPr>
        <w:t>reference </w:t>
      </w:r>
      <w:r>
        <w:rPr>
          <w:color w:val="231F20"/>
          <w:w w:val="110"/>
        </w:rPr>
        <w:t>back shall be debated and voted upon </w:t>
      </w:r>
      <w:r>
        <w:rPr>
          <w:color w:val="231F20"/>
          <w:spacing w:val="2"/>
          <w:w w:val="110"/>
        </w:rPr>
        <w:t>before </w:t>
      </w:r>
      <w:r>
        <w:rPr>
          <w:color w:val="231F20"/>
          <w:spacing w:val="73"/>
          <w:w w:val="110"/>
        </w:rPr>
        <w:t> </w:t>
      </w:r>
      <w:r>
        <w:rPr>
          <w:color w:val="231F20"/>
          <w:w w:val="110"/>
        </w:rPr>
        <w:t>the</w:t>
      </w:r>
      <w:r>
        <w:rPr>
          <w:color w:val="231F20"/>
          <w:spacing w:val="9"/>
          <w:w w:val="110"/>
        </w:rPr>
        <w:t> </w:t>
      </w:r>
      <w:r>
        <w:rPr>
          <w:color w:val="231F20"/>
          <w:w w:val="110"/>
        </w:rPr>
        <w:t>relevant</w:t>
      </w:r>
      <w:r>
        <w:rPr>
          <w:color w:val="231F20"/>
          <w:spacing w:val="10"/>
          <w:w w:val="110"/>
        </w:rPr>
        <w:t> </w:t>
      </w:r>
      <w:r>
        <w:rPr>
          <w:color w:val="231F20"/>
          <w:spacing w:val="3"/>
          <w:w w:val="110"/>
        </w:rPr>
        <w:t>report</w:t>
      </w:r>
      <w:r>
        <w:rPr>
          <w:color w:val="231F20"/>
          <w:spacing w:val="9"/>
          <w:w w:val="110"/>
        </w:rPr>
        <w:t> </w:t>
      </w:r>
      <w:r>
        <w:rPr>
          <w:color w:val="231F20"/>
          <w:w w:val="110"/>
        </w:rPr>
        <w:t>is</w:t>
      </w:r>
      <w:r>
        <w:rPr>
          <w:color w:val="231F20"/>
          <w:spacing w:val="10"/>
          <w:w w:val="110"/>
        </w:rPr>
        <w:t> </w:t>
      </w:r>
      <w:r>
        <w:rPr>
          <w:color w:val="231F20"/>
          <w:w w:val="110"/>
        </w:rPr>
        <w:t>itself</w:t>
      </w:r>
      <w:r>
        <w:rPr>
          <w:color w:val="231F20"/>
          <w:spacing w:val="9"/>
          <w:w w:val="110"/>
        </w:rPr>
        <w:t> </w:t>
      </w:r>
      <w:r>
        <w:rPr>
          <w:color w:val="231F20"/>
          <w:w w:val="110"/>
        </w:rPr>
        <w:t>debated.</w:t>
      </w:r>
      <w:r>
        <w:rPr>
          <w:color w:val="231F20"/>
          <w:spacing w:val="10"/>
          <w:w w:val="110"/>
        </w:rPr>
        <w:t> </w:t>
      </w:r>
      <w:r>
        <w:rPr>
          <w:color w:val="231F20"/>
          <w:spacing w:val="-8"/>
          <w:w w:val="110"/>
        </w:rPr>
        <w:t>To</w:t>
      </w:r>
      <w:r>
        <w:rPr>
          <w:color w:val="231F20"/>
          <w:spacing w:val="9"/>
          <w:w w:val="110"/>
        </w:rPr>
        <w:t> </w:t>
      </w:r>
      <w:r>
        <w:rPr>
          <w:color w:val="231F20"/>
          <w:spacing w:val="3"/>
          <w:w w:val="110"/>
        </w:rPr>
        <w:t>carry</w:t>
      </w:r>
      <w:r>
        <w:rPr>
          <w:color w:val="231F20"/>
          <w:spacing w:val="10"/>
          <w:w w:val="110"/>
        </w:rPr>
        <w:t> </w:t>
      </w:r>
      <w:r>
        <w:rPr>
          <w:color w:val="231F20"/>
          <w:w w:val="110"/>
        </w:rPr>
        <w:t>such</w:t>
      </w:r>
      <w:r>
        <w:rPr>
          <w:color w:val="231F20"/>
          <w:spacing w:val="10"/>
          <w:w w:val="110"/>
        </w:rPr>
        <w:t> </w:t>
      </w:r>
      <w:r>
        <w:rPr>
          <w:color w:val="231F20"/>
          <w:w w:val="110"/>
        </w:rPr>
        <w:t>a</w:t>
      </w:r>
      <w:r>
        <w:rPr>
          <w:color w:val="231F20"/>
          <w:spacing w:val="9"/>
          <w:w w:val="110"/>
        </w:rPr>
        <w:t> </w:t>
      </w:r>
      <w:r>
        <w:rPr>
          <w:color w:val="231F20"/>
          <w:w w:val="110"/>
        </w:rPr>
        <w:t>motion</w:t>
      </w:r>
      <w:r>
        <w:rPr>
          <w:color w:val="231F20"/>
          <w:spacing w:val="10"/>
          <w:w w:val="110"/>
        </w:rPr>
        <w:t> </w:t>
      </w:r>
      <w:r>
        <w:rPr>
          <w:color w:val="231F20"/>
          <w:w w:val="110"/>
        </w:rPr>
        <w:t>two-thirds</w:t>
      </w:r>
      <w:r>
        <w:rPr>
          <w:color w:val="231F20"/>
          <w:spacing w:val="9"/>
          <w:w w:val="110"/>
        </w:rPr>
        <w:t> </w:t>
      </w:r>
      <w:r>
        <w:rPr>
          <w:color w:val="231F20"/>
          <w:w w:val="110"/>
        </w:rPr>
        <w:t>of</w:t>
      </w:r>
      <w:r>
        <w:rPr>
          <w:color w:val="231F20"/>
          <w:spacing w:val="10"/>
          <w:w w:val="110"/>
        </w:rPr>
        <w:t> </w:t>
      </w:r>
      <w:r>
        <w:rPr>
          <w:color w:val="231F20"/>
          <w:w w:val="110"/>
        </w:rPr>
        <w:t>the</w:t>
      </w:r>
      <w:r>
        <w:rPr>
          <w:color w:val="231F20"/>
          <w:spacing w:val="9"/>
          <w:w w:val="110"/>
        </w:rPr>
        <w:t> </w:t>
      </w:r>
      <w:r>
        <w:rPr>
          <w:color w:val="231F20"/>
          <w:w w:val="110"/>
        </w:rPr>
        <w:t>votes</w:t>
      </w:r>
      <w:r>
        <w:rPr>
          <w:color w:val="231F20"/>
          <w:spacing w:val="10"/>
          <w:w w:val="110"/>
        </w:rPr>
        <w:t> </w:t>
      </w:r>
      <w:r>
        <w:rPr>
          <w:color w:val="231F20"/>
          <w:spacing w:val="2"/>
          <w:w w:val="110"/>
        </w:rPr>
        <w:t>cast</w:t>
      </w:r>
    </w:p>
    <w:p>
      <w:pPr>
        <w:pStyle w:val="BodyText"/>
        <w:spacing w:line="273" w:lineRule="auto" w:before="3"/>
        <w:ind w:left="593" w:right="1788"/>
      </w:pPr>
      <w:r>
        <w:rPr>
          <w:color w:val="231F20"/>
          <w:w w:val="110"/>
        </w:rPr>
        <w:t>must be given in its favour. When a report has been received for debate, and before any motions consequent upon it are proposed, any member may speak to a matter arising from the report which is not the subject of a motion.</w:t>
      </w:r>
    </w:p>
    <w:p>
      <w:pPr>
        <w:pStyle w:val="BodyText"/>
        <w:spacing w:before="8"/>
        <w:rPr>
          <w:sz w:val="20"/>
        </w:rPr>
      </w:pPr>
    </w:p>
    <w:p>
      <w:pPr>
        <w:pStyle w:val="BodyText"/>
        <w:spacing w:line="273" w:lineRule="auto"/>
        <w:ind w:left="593" w:right="1642"/>
      </w:pPr>
      <w:r>
        <w:rPr>
          <w:color w:val="231F20"/>
          <w:w w:val="110"/>
        </w:rPr>
        <w:t>3b. During the meeting of the Assembly and on the </w:t>
      </w:r>
      <w:r>
        <w:rPr>
          <w:color w:val="231F20"/>
          <w:spacing w:val="3"/>
          <w:w w:val="110"/>
        </w:rPr>
        <w:t>report </w:t>
      </w:r>
      <w:r>
        <w:rPr>
          <w:color w:val="231F20"/>
          <w:w w:val="110"/>
        </w:rPr>
        <w:t>of a Committee, notice (including the names of </w:t>
      </w:r>
      <w:r>
        <w:rPr>
          <w:color w:val="231F20"/>
          <w:spacing w:val="2"/>
          <w:w w:val="110"/>
        </w:rPr>
        <w:t>proposer </w:t>
      </w:r>
      <w:r>
        <w:rPr>
          <w:color w:val="231F20"/>
          <w:w w:val="110"/>
        </w:rPr>
        <w:t>and seconder) shall be given to the Clerk of any new motions which arise </w:t>
      </w:r>
      <w:r>
        <w:rPr>
          <w:color w:val="231F20"/>
          <w:spacing w:val="2"/>
          <w:w w:val="110"/>
        </w:rPr>
        <w:t>from </w:t>
      </w:r>
      <w:r>
        <w:rPr>
          <w:color w:val="231F20"/>
          <w:w w:val="110"/>
        </w:rPr>
        <w:t>the material of the </w:t>
      </w:r>
      <w:r>
        <w:rPr>
          <w:color w:val="231F20"/>
          <w:spacing w:val="2"/>
          <w:w w:val="110"/>
        </w:rPr>
        <w:t>report, </w:t>
      </w:r>
      <w:r>
        <w:rPr>
          <w:color w:val="231F20"/>
          <w:w w:val="110"/>
        </w:rPr>
        <w:t>and of any amendments which   </w:t>
      </w:r>
      <w:r>
        <w:rPr>
          <w:color w:val="231F20"/>
          <w:spacing w:val="3"/>
          <w:w w:val="110"/>
        </w:rPr>
        <w:t>affect </w:t>
      </w:r>
      <w:r>
        <w:rPr>
          <w:color w:val="231F20"/>
          <w:w w:val="110"/>
        </w:rPr>
        <w:t>the substance of motions already presented. The Moderator shall decide whether such motion or amendment requires to be circulated in writing to </w:t>
      </w:r>
      <w:r>
        <w:rPr>
          <w:color w:val="231F20"/>
          <w:spacing w:val="2"/>
          <w:w w:val="110"/>
        </w:rPr>
        <w:t>members before </w:t>
      </w:r>
      <w:r>
        <w:rPr>
          <w:color w:val="231F20"/>
          <w:w w:val="110"/>
        </w:rPr>
        <w:t>it is discussed by the Assembly. During the </w:t>
      </w:r>
      <w:r>
        <w:rPr>
          <w:color w:val="231F20"/>
          <w:spacing w:val="2"/>
          <w:w w:val="110"/>
        </w:rPr>
        <w:t>course </w:t>
      </w:r>
      <w:r>
        <w:rPr>
          <w:color w:val="231F20"/>
          <w:w w:val="110"/>
        </w:rPr>
        <w:t>of the debate a new motion or amendment may be stated orally without supporting </w:t>
      </w:r>
      <w:r>
        <w:rPr>
          <w:color w:val="231F20"/>
          <w:spacing w:val="2"/>
          <w:w w:val="110"/>
        </w:rPr>
        <w:t>speech </w:t>
      </w:r>
      <w:r>
        <w:rPr>
          <w:color w:val="231F20"/>
          <w:w w:val="110"/>
        </w:rPr>
        <w:t>in order to </w:t>
      </w:r>
      <w:r>
        <w:rPr>
          <w:color w:val="231F20"/>
          <w:spacing w:val="2"/>
          <w:w w:val="110"/>
        </w:rPr>
        <w:t>ascertain </w:t>
      </w:r>
      <w:r>
        <w:rPr>
          <w:color w:val="231F20"/>
          <w:w w:val="110"/>
        </w:rPr>
        <w:t>whether a member  is willing to second</w:t>
      </w:r>
      <w:r>
        <w:rPr>
          <w:color w:val="231F20"/>
          <w:spacing w:val="3"/>
          <w:w w:val="110"/>
        </w:rPr>
        <w:t> </w:t>
      </w:r>
      <w:r>
        <w:rPr>
          <w:color w:val="231F20"/>
          <w:w w:val="110"/>
        </w:rPr>
        <w:t>it.</w:t>
      </w:r>
    </w:p>
    <w:p>
      <w:pPr>
        <w:pStyle w:val="BodyText"/>
        <w:rPr>
          <w:sz w:val="21"/>
        </w:rPr>
      </w:pPr>
    </w:p>
    <w:p>
      <w:pPr>
        <w:pStyle w:val="BodyText"/>
        <w:spacing w:line="273" w:lineRule="auto"/>
        <w:ind w:left="595" w:right="1555" w:hanging="2"/>
      </w:pPr>
      <w:r>
        <w:rPr>
          <w:color w:val="231F20"/>
          <w:w w:val="110"/>
        </w:rPr>
        <w:t>3c. No motion or amendment shall be spoken to by its proposer, debated, or put to the Assembly unless it is known that there is a seconder, except that motions presented on behalf of a Committee, of which printed notice has been given, do not need to be seconded.</w:t>
      </w:r>
    </w:p>
    <w:p>
      <w:pPr>
        <w:pStyle w:val="BodyText"/>
        <w:spacing w:before="9"/>
        <w:rPr>
          <w:sz w:val="20"/>
        </w:rPr>
      </w:pPr>
    </w:p>
    <w:p>
      <w:pPr>
        <w:pStyle w:val="BodyText"/>
        <w:spacing w:line="273" w:lineRule="auto"/>
        <w:ind w:left="593" w:right="1788"/>
      </w:pPr>
      <w:r>
        <w:rPr>
          <w:color w:val="231F20"/>
          <w:w w:val="110"/>
        </w:rPr>
        <w:t>3d. A seconder may second without speaking and, by declaring the intention of doing so, reserves the right of speaking until a later period in the debate.</w:t>
      </w:r>
    </w:p>
    <w:p>
      <w:pPr>
        <w:pStyle w:val="BodyText"/>
        <w:spacing w:before="8"/>
        <w:rPr>
          <w:sz w:val="20"/>
        </w:rPr>
      </w:pPr>
    </w:p>
    <w:p>
      <w:pPr>
        <w:pStyle w:val="BodyText"/>
        <w:ind w:left="593"/>
      </w:pPr>
      <w:r>
        <w:rPr>
          <w:color w:val="231F20"/>
          <w:w w:val="110"/>
        </w:rPr>
        <w:t>3e. It shall not be in order to move a motion or amendment which:</w:t>
      </w:r>
    </w:p>
    <w:p>
      <w:pPr>
        <w:pStyle w:val="BodyText"/>
        <w:spacing w:before="2"/>
        <w:rPr>
          <w:sz w:val="23"/>
        </w:rPr>
      </w:pPr>
    </w:p>
    <w:p>
      <w:pPr>
        <w:pStyle w:val="ListParagraph"/>
        <w:numPr>
          <w:ilvl w:val="0"/>
          <w:numId w:val="223"/>
        </w:numPr>
        <w:tabs>
          <w:tab w:pos="1047" w:val="left" w:leader="none"/>
          <w:tab w:pos="1048" w:val="left" w:leader="none"/>
        </w:tabs>
        <w:spacing w:line="240" w:lineRule="auto" w:before="0" w:after="0"/>
        <w:ind w:left="1047" w:right="0" w:hanging="455"/>
        <w:jc w:val="left"/>
        <w:rPr>
          <w:sz w:val="18"/>
        </w:rPr>
      </w:pPr>
      <w:r>
        <w:rPr>
          <w:color w:val="231F20"/>
          <w:w w:val="110"/>
          <w:sz w:val="18"/>
        </w:rPr>
        <w:t>contravenes any </w:t>
      </w:r>
      <w:r>
        <w:rPr>
          <w:color w:val="231F20"/>
          <w:spacing w:val="2"/>
          <w:w w:val="110"/>
          <w:sz w:val="18"/>
        </w:rPr>
        <w:t>part </w:t>
      </w:r>
      <w:r>
        <w:rPr>
          <w:color w:val="231F20"/>
          <w:w w:val="110"/>
          <w:sz w:val="18"/>
        </w:rPr>
        <w:t>of the Basis of Union,</w:t>
      </w:r>
      <w:r>
        <w:rPr>
          <w:color w:val="231F20"/>
          <w:spacing w:val="8"/>
          <w:w w:val="110"/>
          <w:sz w:val="18"/>
        </w:rPr>
        <w:t> </w:t>
      </w:r>
      <w:r>
        <w:rPr>
          <w:color w:val="231F20"/>
          <w:w w:val="110"/>
          <w:sz w:val="18"/>
        </w:rPr>
        <w:t>or</w:t>
      </w:r>
    </w:p>
    <w:p>
      <w:pPr>
        <w:pStyle w:val="ListParagraph"/>
        <w:numPr>
          <w:ilvl w:val="0"/>
          <w:numId w:val="223"/>
        </w:numPr>
        <w:tabs>
          <w:tab w:pos="1048" w:val="left" w:leader="none"/>
        </w:tabs>
        <w:spacing w:line="273" w:lineRule="auto" w:before="31" w:after="0"/>
        <w:ind w:left="1047" w:right="2037" w:hanging="454"/>
        <w:jc w:val="left"/>
        <w:rPr>
          <w:sz w:val="18"/>
        </w:rPr>
      </w:pPr>
      <w:r>
        <w:rPr>
          <w:color w:val="231F20"/>
          <w:w w:val="110"/>
          <w:sz w:val="18"/>
        </w:rPr>
        <w:t>involves the church in expenditure without prior consideration by the appropriate committee, or</w:t>
      </w:r>
    </w:p>
    <w:p>
      <w:pPr>
        <w:pStyle w:val="ListParagraph"/>
        <w:numPr>
          <w:ilvl w:val="0"/>
          <w:numId w:val="223"/>
        </w:numPr>
        <w:tabs>
          <w:tab w:pos="1048" w:val="left" w:leader="none"/>
        </w:tabs>
        <w:spacing w:line="240" w:lineRule="auto" w:before="1" w:after="0"/>
        <w:ind w:left="1047" w:right="0" w:hanging="455"/>
        <w:jc w:val="left"/>
        <w:rPr>
          <w:sz w:val="18"/>
        </w:rPr>
      </w:pPr>
      <w:r>
        <w:rPr>
          <w:color w:val="231F20"/>
          <w:w w:val="110"/>
          <w:sz w:val="18"/>
        </w:rPr>
        <w:t>pre-empts discussion of a matter to be considered later in the agenda,</w:t>
      </w:r>
      <w:r>
        <w:rPr>
          <w:color w:val="231F20"/>
          <w:spacing w:val="38"/>
          <w:w w:val="110"/>
          <w:sz w:val="18"/>
        </w:rPr>
        <w:t> </w:t>
      </w:r>
      <w:r>
        <w:rPr>
          <w:color w:val="231F20"/>
          <w:w w:val="110"/>
          <w:sz w:val="18"/>
        </w:rPr>
        <w:t>or</w:t>
      </w:r>
    </w:p>
    <w:p>
      <w:pPr>
        <w:pStyle w:val="ListParagraph"/>
        <w:numPr>
          <w:ilvl w:val="0"/>
          <w:numId w:val="223"/>
        </w:numPr>
        <w:tabs>
          <w:tab w:pos="1048" w:val="left" w:leader="none"/>
        </w:tabs>
        <w:spacing w:line="273" w:lineRule="auto" w:before="32" w:after="0"/>
        <w:ind w:left="1048" w:right="1543" w:hanging="455"/>
        <w:jc w:val="left"/>
        <w:rPr>
          <w:sz w:val="18"/>
        </w:rPr>
      </w:pPr>
      <w:r>
        <w:rPr>
          <w:color w:val="231F20"/>
          <w:w w:val="110"/>
          <w:sz w:val="18"/>
        </w:rPr>
        <w:t>amends or reverses a decision reached by the Assembly at its preceding two annual meetings unless the </w:t>
      </w:r>
      <w:r>
        <w:rPr>
          <w:color w:val="231F20"/>
          <w:spacing w:val="-3"/>
          <w:w w:val="110"/>
          <w:sz w:val="18"/>
        </w:rPr>
        <w:t>Moderator, </w:t>
      </w:r>
      <w:r>
        <w:rPr>
          <w:color w:val="231F20"/>
          <w:w w:val="110"/>
          <w:sz w:val="18"/>
        </w:rPr>
        <w:t>Clerk and General Secretary together decide that changed circumstances or new evidence justify earlier reconsideration of the </w:t>
      </w:r>
      <w:r>
        <w:rPr>
          <w:color w:val="231F20"/>
          <w:spacing w:val="-3"/>
          <w:w w:val="110"/>
          <w:sz w:val="18"/>
        </w:rPr>
        <w:t>matter,</w:t>
      </w:r>
      <w:r>
        <w:rPr>
          <w:color w:val="231F20"/>
          <w:spacing w:val="24"/>
          <w:w w:val="110"/>
          <w:sz w:val="18"/>
        </w:rPr>
        <w:t> </w:t>
      </w:r>
      <w:r>
        <w:rPr>
          <w:color w:val="231F20"/>
          <w:w w:val="110"/>
          <w:sz w:val="18"/>
        </w:rPr>
        <w:t>or</w:t>
      </w:r>
    </w:p>
    <w:p>
      <w:pPr>
        <w:pStyle w:val="ListParagraph"/>
        <w:numPr>
          <w:ilvl w:val="0"/>
          <w:numId w:val="223"/>
        </w:numPr>
        <w:tabs>
          <w:tab w:pos="1050" w:val="left" w:leader="none"/>
        </w:tabs>
        <w:spacing w:line="273" w:lineRule="auto" w:before="2" w:after="0"/>
        <w:ind w:left="1049" w:right="1731" w:hanging="454"/>
        <w:jc w:val="left"/>
        <w:rPr>
          <w:sz w:val="18"/>
        </w:rPr>
      </w:pPr>
      <w:r>
        <w:rPr>
          <w:color w:val="231F20"/>
          <w:w w:val="110"/>
          <w:sz w:val="18"/>
        </w:rPr>
        <w:t>is not related to the </w:t>
      </w:r>
      <w:r>
        <w:rPr>
          <w:color w:val="231F20"/>
          <w:spacing w:val="3"/>
          <w:w w:val="110"/>
          <w:sz w:val="18"/>
        </w:rPr>
        <w:t>report </w:t>
      </w:r>
      <w:r>
        <w:rPr>
          <w:color w:val="231F20"/>
          <w:w w:val="110"/>
          <w:sz w:val="18"/>
        </w:rPr>
        <w:t>of a Committee and has not been the subject of </w:t>
      </w:r>
      <w:r>
        <w:rPr>
          <w:color w:val="231F20"/>
          <w:spacing w:val="-3"/>
          <w:w w:val="110"/>
          <w:sz w:val="18"/>
        </w:rPr>
        <w:t>21 </w:t>
      </w:r>
      <w:r>
        <w:rPr>
          <w:color w:val="231F20"/>
          <w:w w:val="110"/>
          <w:sz w:val="18"/>
        </w:rPr>
        <w:t>days’ notice under</w:t>
      </w:r>
      <w:r>
        <w:rPr>
          <w:color w:val="231F20"/>
          <w:spacing w:val="1"/>
          <w:w w:val="110"/>
          <w:sz w:val="18"/>
        </w:rPr>
        <w:t> </w:t>
      </w:r>
      <w:r>
        <w:rPr>
          <w:color w:val="231F20"/>
          <w:w w:val="110"/>
          <w:sz w:val="18"/>
        </w:rPr>
        <w:t>2d.</w:t>
      </w:r>
    </w:p>
    <w:p>
      <w:pPr>
        <w:pStyle w:val="BodyText"/>
        <w:spacing w:before="7"/>
        <w:rPr>
          <w:sz w:val="20"/>
        </w:rPr>
      </w:pPr>
    </w:p>
    <w:p>
      <w:pPr>
        <w:pStyle w:val="BodyText"/>
        <w:spacing w:line="273" w:lineRule="auto" w:before="1"/>
        <w:ind w:left="593" w:right="1657"/>
      </w:pPr>
      <w:r>
        <w:rPr>
          <w:color w:val="231F20"/>
          <w:w w:val="110"/>
        </w:rPr>
        <w:t>The decision of the Moderator (in the </w:t>
      </w:r>
      <w:r>
        <w:rPr>
          <w:color w:val="231F20"/>
          <w:spacing w:val="2"/>
          <w:w w:val="110"/>
        </w:rPr>
        <w:t>case </w:t>
      </w:r>
      <w:r>
        <w:rPr>
          <w:color w:val="231F20"/>
          <w:w w:val="110"/>
        </w:rPr>
        <w:t>of i, ii, iii, and </w:t>
      </w:r>
      <w:r>
        <w:rPr>
          <w:color w:val="231F20"/>
          <w:spacing w:val="-6"/>
          <w:w w:val="110"/>
        </w:rPr>
        <w:t>v) </w:t>
      </w:r>
      <w:r>
        <w:rPr>
          <w:color w:val="231F20"/>
          <w:w w:val="110"/>
        </w:rPr>
        <w:t>and of the Moderator with   the Clerk and the General </w:t>
      </w:r>
      <w:r>
        <w:rPr>
          <w:color w:val="231F20"/>
          <w:spacing w:val="3"/>
          <w:w w:val="110"/>
        </w:rPr>
        <w:t>Secretary </w:t>
      </w:r>
      <w:r>
        <w:rPr>
          <w:color w:val="231F20"/>
          <w:w w:val="110"/>
        </w:rPr>
        <w:t>(in the </w:t>
      </w:r>
      <w:r>
        <w:rPr>
          <w:color w:val="231F20"/>
          <w:spacing w:val="2"/>
          <w:w w:val="110"/>
        </w:rPr>
        <w:t>case </w:t>
      </w:r>
      <w:r>
        <w:rPr>
          <w:color w:val="231F20"/>
          <w:w w:val="110"/>
        </w:rPr>
        <w:t>of </w:t>
      </w:r>
      <w:r>
        <w:rPr>
          <w:color w:val="231F20"/>
          <w:spacing w:val="-4"/>
          <w:w w:val="110"/>
        </w:rPr>
        <w:t>iv) </w:t>
      </w:r>
      <w:r>
        <w:rPr>
          <w:color w:val="231F20"/>
          <w:w w:val="110"/>
        </w:rPr>
        <w:t>on the application of this Standing Order shall be</w:t>
      </w:r>
      <w:r>
        <w:rPr>
          <w:color w:val="231F20"/>
          <w:spacing w:val="1"/>
          <w:w w:val="110"/>
        </w:rPr>
        <w:t> </w:t>
      </w:r>
      <w:r>
        <w:rPr>
          <w:color w:val="231F20"/>
          <w:w w:val="110"/>
        </w:rPr>
        <w:t>final.</w:t>
      </w:r>
    </w:p>
    <w:p>
      <w:pPr>
        <w:pStyle w:val="BodyText"/>
        <w:spacing w:before="8"/>
        <w:rPr>
          <w:sz w:val="20"/>
        </w:rPr>
      </w:pPr>
    </w:p>
    <w:p>
      <w:pPr>
        <w:pStyle w:val="BodyText"/>
        <w:spacing w:line="273" w:lineRule="auto"/>
        <w:ind w:left="594" w:right="1816" w:hanging="1"/>
      </w:pPr>
      <w:r>
        <w:rPr>
          <w:color w:val="231F20"/>
          <w:spacing w:val="-3"/>
          <w:w w:val="110"/>
        </w:rPr>
        <w:t>3f.</w:t>
      </w:r>
      <w:r>
        <w:rPr>
          <w:color w:val="231F20"/>
          <w:spacing w:val="63"/>
          <w:w w:val="110"/>
        </w:rPr>
        <w:t> </w:t>
      </w:r>
      <w:r>
        <w:rPr>
          <w:color w:val="231F20"/>
          <w:w w:val="110"/>
        </w:rPr>
        <w:t>An amendment shall be either to omit words or to insert words or to do both, but no amendment shall be in order which has the </w:t>
      </w:r>
      <w:r>
        <w:rPr>
          <w:color w:val="231F20"/>
          <w:spacing w:val="2"/>
          <w:w w:val="110"/>
        </w:rPr>
        <w:t>effect </w:t>
      </w:r>
      <w:r>
        <w:rPr>
          <w:color w:val="231F20"/>
          <w:w w:val="110"/>
        </w:rPr>
        <w:t>of introducing an irrelevant proposal or of negating the motion. The Moderator </w:t>
      </w:r>
      <w:r>
        <w:rPr>
          <w:color w:val="231F20"/>
          <w:spacing w:val="-3"/>
          <w:w w:val="110"/>
        </w:rPr>
        <w:t>may </w:t>
      </w:r>
      <w:r>
        <w:rPr>
          <w:color w:val="231F20"/>
          <w:w w:val="110"/>
        </w:rPr>
        <w:t>rule that a proposed amendment should be treated as an alternative motion under Standing Order 3k.</w:t>
      </w:r>
    </w:p>
    <w:p>
      <w:pPr>
        <w:pStyle w:val="BodyText"/>
        <w:spacing w:before="9"/>
        <w:rPr>
          <w:sz w:val="20"/>
        </w:rPr>
      </w:pPr>
    </w:p>
    <w:p>
      <w:pPr>
        <w:pStyle w:val="BodyText"/>
        <w:spacing w:line="273" w:lineRule="auto" w:before="1"/>
        <w:ind w:left="593" w:right="2400"/>
      </w:pPr>
      <w:r>
        <w:rPr>
          <w:color w:val="231F20"/>
          <w:w w:val="110"/>
        </w:rPr>
        <w:t>3g. If an amendment is carried, the motion as amended shall take the place of the original motion and shall become the substantive motion upon which any further amendment may be moved. If an amendment is rejected a further amendment not to the like effect may be moved.</w:t>
      </w:r>
    </w:p>
    <w:p>
      <w:pPr>
        <w:pStyle w:val="BodyText"/>
        <w:spacing w:before="9"/>
        <w:rPr>
          <w:sz w:val="20"/>
        </w:rPr>
      </w:pPr>
    </w:p>
    <w:p>
      <w:pPr>
        <w:pStyle w:val="BodyText"/>
        <w:spacing w:line="273" w:lineRule="auto"/>
        <w:ind w:left="593" w:right="2062"/>
        <w:jc w:val="both"/>
      </w:pPr>
      <w:r>
        <w:rPr>
          <w:color w:val="231F20"/>
          <w:w w:val="110"/>
        </w:rPr>
        <w:t>3h. An amendment which has been moved and seconded shall be disposed of before any </w:t>
      </w:r>
      <w:r>
        <w:rPr>
          <w:color w:val="231F20"/>
          <w:spacing w:val="2"/>
          <w:w w:val="110"/>
        </w:rPr>
        <w:t>further </w:t>
      </w:r>
      <w:r>
        <w:rPr>
          <w:color w:val="231F20"/>
          <w:w w:val="110"/>
        </w:rPr>
        <w:t>amendment may be moved, but notice may be given of intention to move a </w:t>
      </w:r>
      <w:r>
        <w:rPr>
          <w:color w:val="231F20"/>
          <w:spacing w:val="2"/>
          <w:w w:val="110"/>
        </w:rPr>
        <w:t>further </w:t>
      </w:r>
      <w:r>
        <w:rPr>
          <w:color w:val="231F20"/>
          <w:w w:val="110"/>
        </w:rPr>
        <w:t>amendment should the one </w:t>
      </w:r>
      <w:r>
        <w:rPr>
          <w:color w:val="231F20"/>
          <w:spacing w:val="2"/>
          <w:w w:val="110"/>
        </w:rPr>
        <w:t>before </w:t>
      </w:r>
      <w:r>
        <w:rPr>
          <w:color w:val="231F20"/>
          <w:w w:val="110"/>
        </w:rPr>
        <w:t>the Assembly be</w:t>
      </w:r>
      <w:r>
        <w:rPr>
          <w:color w:val="231F20"/>
          <w:spacing w:val="40"/>
          <w:w w:val="110"/>
        </w:rPr>
        <w:t> </w:t>
      </w:r>
      <w:r>
        <w:rPr>
          <w:color w:val="231F20"/>
          <w:w w:val="110"/>
        </w:rPr>
        <w:t>rejected.</w:t>
      </w:r>
    </w:p>
    <w:p>
      <w:pPr>
        <w:pStyle w:val="BodyText"/>
        <w:spacing w:before="9"/>
        <w:rPr>
          <w:sz w:val="20"/>
        </w:rPr>
      </w:pPr>
    </w:p>
    <w:p>
      <w:pPr>
        <w:pStyle w:val="BodyText"/>
        <w:tabs>
          <w:tab w:pos="1047" w:val="left" w:leader="none"/>
        </w:tabs>
        <w:spacing w:line="273" w:lineRule="auto"/>
        <w:ind w:left="593" w:right="2455"/>
      </w:pPr>
      <w:r>
        <w:rPr>
          <w:color w:val="231F20"/>
          <w:w w:val="110"/>
        </w:rPr>
        <w:t>3i.</w:t>
        <w:tab/>
        <w:t>The mover </w:t>
      </w:r>
      <w:r>
        <w:rPr>
          <w:color w:val="231F20"/>
          <w:spacing w:val="-5"/>
          <w:w w:val="110"/>
        </w:rPr>
        <w:t>may, </w:t>
      </w:r>
      <w:r>
        <w:rPr>
          <w:color w:val="231F20"/>
          <w:w w:val="110"/>
        </w:rPr>
        <w:t>with the concurrence of the seconder and the consent of the Assembly, alter the motion or amendment</w:t>
      </w:r>
      <w:r>
        <w:rPr>
          <w:color w:val="231F20"/>
          <w:spacing w:val="14"/>
          <w:w w:val="110"/>
        </w:rPr>
        <w:t> </w:t>
      </w:r>
      <w:r>
        <w:rPr>
          <w:color w:val="231F20"/>
          <w:w w:val="110"/>
        </w:rPr>
        <w:t>proposed.</w:t>
      </w:r>
    </w:p>
    <w:p>
      <w:pPr>
        <w:spacing w:after="0" w:line="273" w:lineRule="auto"/>
        <w:sectPr>
          <w:headerReference w:type="even" r:id="rId566"/>
          <w:headerReference w:type="default" r:id="rId567"/>
          <w:footerReference w:type="even" r:id="rId568"/>
          <w:footerReference w:type="default" r:id="rId569"/>
          <w:pgSz w:w="11910" w:h="16840"/>
          <w:pgMar w:header="558" w:footer="564" w:top="820" w:bottom="760" w:left="540" w:right="0"/>
          <w:pgNumType w:start="4"/>
        </w:sectPr>
      </w:pPr>
    </w:p>
    <w:p>
      <w:pPr>
        <w:pStyle w:val="BodyText"/>
        <w:spacing w:before="9"/>
        <w:rPr>
          <w:sz w:val="13"/>
        </w:rPr>
      </w:pPr>
    </w:p>
    <w:p>
      <w:pPr>
        <w:pStyle w:val="BodyText"/>
        <w:spacing w:line="273" w:lineRule="auto" w:before="101"/>
        <w:ind w:left="1160" w:right="1132"/>
      </w:pPr>
      <w:r>
        <w:rPr>
          <w:color w:val="231F20"/>
          <w:spacing w:val="-3"/>
          <w:w w:val="110"/>
        </w:rPr>
        <w:t>3j.</w:t>
      </w:r>
      <w:r>
        <w:rPr>
          <w:color w:val="231F20"/>
          <w:spacing w:val="63"/>
          <w:w w:val="110"/>
        </w:rPr>
        <w:t> </w:t>
      </w:r>
      <w:r>
        <w:rPr>
          <w:color w:val="231F20"/>
          <w:w w:val="110"/>
        </w:rPr>
        <w:t>A motion or amendment </w:t>
      </w:r>
      <w:r>
        <w:rPr>
          <w:color w:val="231F20"/>
          <w:spacing w:val="-3"/>
          <w:w w:val="110"/>
        </w:rPr>
        <w:t>may </w:t>
      </w:r>
      <w:r>
        <w:rPr>
          <w:color w:val="231F20"/>
          <w:w w:val="110"/>
        </w:rPr>
        <w:t>be withdrawn by the proposer with the concurrence of the seconder and the consent of the Assembly. Any such consent shall be signified without discussion. It shall not be in order for </w:t>
      </w:r>
      <w:r>
        <w:rPr>
          <w:color w:val="231F20"/>
          <w:spacing w:val="-3"/>
          <w:w w:val="110"/>
        </w:rPr>
        <w:t>any </w:t>
      </w:r>
      <w:r>
        <w:rPr>
          <w:color w:val="231F20"/>
          <w:w w:val="110"/>
        </w:rPr>
        <w:t>member to speak upon it after the proposer has asked permission to withdraw unless such permission shall </w:t>
      </w:r>
      <w:r>
        <w:rPr>
          <w:color w:val="231F20"/>
          <w:spacing w:val="-3"/>
          <w:w w:val="110"/>
        </w:rPr>
        <w:t>have </w:t>
      </w:r>
      <w:r>
        <w:rPr>
          <w:color w:val="231F20"/>
          <w:w w:val="110"/>
        </w:rPr>
        <w:t>been refused.</w:t>
      </w:r>
    </w:p>
    <w:p>
      <w:pPr>
        <w:pStyle w:val="BodyText"/>
        <w:spacing w:before="9"/>
        <w:rPr>
          <w:sz w:val="20"/>
        </w:rPr>
      </w:pPr>
    </w:p>
    <w:p>
      <w:pPr>
        <w:pStyle w:val="BodyText"/>
        <w:spacing w:line="273" w:lineRule="auto"/>
        <w:ind w:left="1160" w:right="1144"/>
      </w:pPr>
      <w:r>
        <w:rPr>
          <w:color w:val="231F20"/>
          <w:w w:val="110"/>
        </w:rPr>
        <w:t>3k. Alternative (but not </w:t>
      </w:r>
      <w:r>
        <w:rPr>
          <w:color w:val="231F20"/>
          <w:spacing w:val="2"/>
          <w:w w:val="110"/>
        </w:rPr>
        <w:t>directly </w:t>
      </w:r>
      <w:r>
        <w:rPr>
          <w:color w:val="231F20"/>
          <w:w w:val="110"/>
        </w:rPr>
        <w:t>negative) motions may be moved and seconded in competition with a motion </w:t>
      </w:r>
      <w:r>
        <w:rPr>
          <w:color w:val="231F20"/>
          <w:spacing w:val="2"/>
          <w:w w:val="110"/>
        </w:rPr>
        <w:t>before </w:t>
      </w:r>
      <w:r>
        <w:rPr>
          <w:color w:val="231F20"/>
          <w:w w:val="110"/>
        </w:rPr>
        <w:t>the Assembly. </w:t>
      </w:r>
      <w:r>
        <w:rPr>
          <w:color w:val="231F20"/>
          <w:spacing w:val="2"/>
          <w:w w:val="110"/>
        </w:rPr>
        <w:t>After </w:t>
      </w:r>
      <w:r>
        <w:rPr>
          <w:color w:val="231F20"/>
          <w:w w:val="110"/>
        </w:rPr>
        <w:t>any amendments duly moved  under Standing </w:t>
      </w:r>
      <w:r>
        <w:rPr>
          <w:color w:val="231F20"/>
          <w:spacing w:val="2"/>
          <w:w w:val="110"/>
        </w:rPr>
        <w:t>Orders </w:t>
      </w:r>
      <w:r>
        <w:rPr>
          <w:color w:val="231F20"/>
          <w:spacing w:val="-4"/>
          <w:w w:val="110"/>
        </w:rPr>
        <w:t>3f, </w:t>
      </w:r>
      <w:r>
        <w:rPr>
          <w:color w:val="231F20"/>
          <w:w w:val="110"/>
        </w:rPr>
        <w:t>3g and 3h have been dealt with and debate on the alternative motions has ended, the movers shall reply to the debate in reverse order to that in   which they spoke initially. The first vote shall be a vote in favour of each of the motions, put in the order in which they were proposed, the result not being announced for one  until it is announced for all. If any of them obtains a majority of those voting, it becomes the sole motion </w:t>
      </w:r>
      <w:r>
        <w:rPr>
          <w:color w:val="231F20"/>
          <w:spacing w:val="2"/>
          <w:w w:val="110"/>
        </w:rPr>
        <w:t>before </w:t>
      </w:r>
      <w:r>
        <w:rPr>
          <w:color w:val="231F20"/>
          <w:w w:val="110"/>
        </w:rPr>
        <w:t>the Assembly. If none of them does so, the motion having the fewest votes is discarded. Should the lowest two be equal, the Moderator gives a casting vote. The voting </w:t>
      </w:r>
      <w:r>
        <w:rPr>
          <w:color w:val="231F20"/>
          <w:spacing w:val="2"/>
          <w:w w:val="110"/>
        </w:rPr>
        <w:t>process </w:t>
      </w:r>
      <w:r>
        <w:rPr>
          <w:color w:val="231F20"/>
          <w:w w:val="110"/>
        </w:rPr>
        <w:t>is repeated until one motion achieves a majority of those  voting. Once a sole motion remains, votes for and against that motion shall be taken in the normal way and in accordance with Standing Order 6.</w:t>
      </w:r>
      <w:r>
        <w:rPr>
          <w:color w:val="231F20"/>
          <w:spacing w:val="32"/>
          <w:w w:val="110"/>
        </w:rPr>
        <w:t> </w:t>
      </w:r>
      <w:r>
        <w:rPr>
          <w:color w:val="231F20"/>
          <w:spacing w:val="-6"/>
          <w:w w:val="110"/>
        </w:rPr>
        <w:t>(3.9.2b)</w:t>
      </w:r>
    </w:p>
    <w:p>
      <w:pPr>
        <w:pStyle w:val="BodyText"/>
        <w:rPr>
          <w:sz w:val="22"/>
        </w:rPr>
      </w:pPr>
    </w:p>
    <w:p>
      <w:pPr>
        <w:pStyle w:val="BodyText"/>
        <w:spacing w:before="9"/>
        <w:rPr>
          <w:sz w:val="19"/>
        </w:rPr>
      </w:pPr>
    </w:p>
    <w:p>
      <w:pPr>
        <w:numPr>
          <w:ilvl w:val="1"/>
          <w:numId w:val="221"/>
        </w:numPr>
        <w:tabs>
          <w:tab w:pos="1614" w:val="left" w:leader="none"/>
          <w:tab w:pos="1615" w:val="left" w:leader="none"/>
        </w:tabs>
        <w:spacing w:before="0"/>
        <w:ind w:left="1614" w:right="0" w:hanging="455"/>
        <w:jc w:val="left"/>
        <w:rPr>
          <w:b/>
          <w:sz w:val="18"/>
        </w:rPr>
      </w:pPr>
      <w:r>
        <w:rPr>
          <w:b/>
          <w:color w:val="231F20"/>
          <w:w w:val="110"/>
          <w:sz w:val="18"/>
        </w:rPr>
        <w:t>Timing of </w:t>
      </w:r>
      <w:r>
        <w:rPr>
          <w:b/>
          <w:color w:val="231F20"/>
          <w:spacing w:val="3"/>
          <w:w w:val="110"/>
          <w:sz w:val="18"/>
        </w:rPr>
        <w:t>Speeches </w:t>
      </w:r>
      <w:r>
        <w:rPr>
          <w:b/>
          <w:color w:val="231F20"/>
          <w:w w:val="110"/>
          <w:sz w:val="18"/>
        </w:rPr>
        <w:t>and of </w:t>
      </w:r>
      <w:r>
        <w:rPr>
          <w:b/>
          <w:color w:val="231F20"/>
          <w:spacing w:val="2"/>
          <w:w w:val="110"/>
          <w:sz w:val="18"/>
        </w:rPr>
        <w:t>Other</w:t>
      </w:r>
      <w:r>
        <w:rPr>
          <w:b/>
          <w:color w:val="231F20"/>
          <w:spacing w:val="1"/>
          <w:w w:val="110"/>
          <w:sz w:val="18"/>
        </w:rPr>
        <w:t> </w:t>
      </w:r>
      <w:r>
        <w:rPr>
          <w:b/>
          <w:color w:val="231F20"/>
          <w:w w:val="110"/>
          <w:sz w:val="18"/>
        </w:rPr>
        <w:t>Business</w:t>
      </w:r>
    </w:p>
    <w:p>
      <w:pPr>
        <w:pStyle w:val="BodyText"/>
        <w:spacing w:before="2"/>
        <w:rPr>
          <w:b/>
          <w:sz w:val="23"/>
        </w:rPr>
      </w:pPr>
    </w:p>
    <w:p>
      <w:pPr>
        <w:pStyle w:val="BodyText"/>
        <w:spacing w:line="273" w:lineRule="auto"/>
        <w:ind w:left="1160" w:right="1132"/>
      </w:pPr>
      <w:r>
        <w:rPr>
          <w:color w:val="231F20"/>
          <w:w w:val="110"/>
        </w:rPr>
        <w:t>4a. Save by prior agreement of the officers of the Assembly, speeches made in the presentation of reports concerning past work of Assembly Committees which are to be open to question, comment or discussion shall not exceed 5 minutes.</w:t>
      </w:r>
    </w:p>
    <w:p>
      <w:pPr>
        <w:pStyle w:val="BodyText"/>
        <w:spacing w:before="8"/>
        <w:rPr>
          <w:sz w:val="20"/>
        </w:rPr>
      </w:pPr>
    </w:p>
    <w:p>
      <w:pPr>
        <w:pStyle w:val="BodyText"/>
        <w:spacing w:line="273" w:lineRule="auto" w:before="1"/>
        <w:ind w:left="1160" w:right="1153"/>
      </w:pPr>
      <w:r>
        <w:rPr>
          <w:color w:val="231F20"/>
          <w:w w:val="110"/>
        </w:rPr>
        <w:t>4b. Save by the prior agreement of the </w:t>
      </w:r>
      <w:r>
        <w:rPr>
          <w:color w:val="231F20"/>
          <w:spacing w:val="2"/>
          <w:w w:val="110"/>
        </w:rPr>
        <w:t>officers </w:t>
      </w:r>
      <w:r>
        <w:rPr>
          <w:color w:val="231F20"/>
          <w:w w:val="110"/>
        </w:rPr>
        <w:t>of the Assembly, </w:t>
      </w:r>
      <w:r>
        <w:rPr>
          <w:color w:val="231F20"/>
          <w:spacing w:val="2"/>
          <w:w w:val="110"/>
        </w:rPr>
        <w:t>speeches </w:t>
      </w:r>
      <w:r>
        <w:rPr>
          <w:color w:val="231F20"/>
          <w:w w:val="110"/>
        </w:rPr>
        <w:t>made in </w:t>
      </w:r>
      <w:r>
        <w:rPr>
          <w:color w:val="231F20"/>
          <w:spacing w:val="2"/>
          <w:w w:val="110"/>
        </w:rPr>
        <w:t>support </w:t>
      </w:r>
      <w:r>
        <w:rPr>
          <w:color w:val="231F20"/>
          <w:w w:val="110"/>
        </w:rPr>
        <w:t>of the motions </w:t>
      </w:r>
      <w:r>
        <w:rPr>
          <w:color w:val="231F20"/>
          <w:spacing w:val="2"/>
          <w:w w:val="110"/>
        </w:rPr>
        <w:t>from </w:t>
      </w:r>
      <w:r>
        <w:rPr>
          <w:color w:val="231F20"/>
          <w:w w:val="110"/>
        </w:rPr>
        <w:t>any Assembly Committee, including the Mission Council, or </w:t>
      </w:r>
      <w:r>
        <w:rPr>
          <w:color w:val="231F20"/>
          <w:spacing w:val="2"/>
          <w:w w:val="110"/>
        </w:rPr>
        <w:t>from </w:t>
      </w:r>
      <w:r>
        <w:rPr>
          <w:color w:val="231F20"/>
          <w:w w:val="110"/>
        </w:rPr>
        <w:t>any synod shall not in aggregate exceed </w:t>
      </w:r>
      <w:r>
        <w:rPr>
          <w:color w:val="231F20"/>
          <w:spacing w:val="-3"/>
          <w:w w:val="110"/>
        </w:rPr>
        <w:t>45 </w:t>
      </w:r>
      <w:r>
        <w:rPr>
          <w:color w:val="231F20"/>
          <w:w w:val="110"/>
        </w:rPr>
        <w:t>minutes, nor shall </w:t>
      </w:r>
      <w:r>
        <w:rPr>
          <w:color w:val="231F20"/>
          <w:spacing w:val="2"/>
          <w:w w:val="110"/>
        </w:rPr>
        <w:t>speeches </w:t>
      </w:r>
      <w:r>
        <w:rPr>
          <w:color w:val="231F20"/>
          <w:w w:val="110"/>
        </w:rPr>
        <w:t>in support of any particular Committee or synod motion exceed </w:t>
      </w:r>
      <w:r>
        <w:rPr>
          <w:color w:val="231F20"/>
          <w:spacing w:val="-3"/>
          <w:w w:val="110"/>
        </w:rPr>
        <w:t>12  </w:t>
      </w:r>
      <w:r>
        <w:rPr>
          <w:color w:val="231F20"/>
          <w:w w:val="110"/>
        </w:rPr>
        <w:t>minutes, </w:t>
      </w:r>
      <w:r>
        <w:rPr>
          <w:color w:val="231F20"/>
          <w:spacing w:val="-5"/>
          <w:w w:val="110"/>
        </w:rPr>
        <w:t>(e.g.</w:t>
      </w:r>
      <w:r>
        <w:rPr>
          <w:color w:val="231F20"/>
          <w:spacing w:val="59"/>
          <w:w w:val="110"/>
        </w:rPr>
        <w:t> </w:t>
      </w:r>
      <w:r>
        <w:rPr>
          <w:color w:val="231F20"/>
          <w:w w:val="110"/>
        </w:rPr>
        <w:t>a Committee  with three motions may not exceed 36 minutes). The </w:t>
      </w:r>
      <w:r>
        <w:rPr>
          <w:color w:val="231F20"/>
          <w:spacing w:val="2"/>
          <w:w w:val="110"/>
        </w:rPr>
        <w:t>proposers </w:t>
      </w:r>
      <w:r>
        <w:rPr>
          <w:color w:val="231F20"/>
          <w:w w:val="110"/>
        </w:rPr>
        <w:t>of any other motion of which due notice has been given shall be allowed an aggregate of </w:t>
      </w:r>
      <w:r>
        <w:rPr>
          <w:color w:val="231F20"/>
          <w:spacing w:val="-4"/>
          <w:w w:val="110"/>
        </w:rPr>
        <w:t>10 </w:t>
      </w:r>
      <w:r>
        <w:rPr>
          <w:color w:val="231F20"/>
          <w:w w:val="110"/>
        </w:rPr>
        <w:t>minutes, unless a longer period be recommended by the </w:t>
      </w:r>
      <w:r>
        <w:rPr>
          <w:color w:val="231F20"/>
          <w:spacing w:val="2"/>
          <w:w w:val="110"/>
        </w:rPr>
        <w:t>officers </w:t>
      </w:r>
      <w:r>
        <w:rPr>
          <w:color w:val="231F20"/>
          <w:w w:val="110"/>
        </w:rPr>
        <w:t>of the Assembly or determined by the Moderator. Each subsequent speaker in any debate shall be allowed 5 minutes unless   the Moderator shall determine otherwise; it shall, in particular, be open to the Moderator to determine that all </w:t>
      </w:r>
      <w:r>
        <w:rPr>
          <w:color w:val="231F20"/>
          <w:spacing w:val="2"/>
          <w:w w:val="110"/>
        </w:rPr>
        <w:t>speeches </w:t>
      </w:r>
      <w:r>
        <w:rPr>
          <w:color w:val="231F20"/>
          <w:w w:val="110"/>
        </w:rPr>
        <w:t>in a debate or </w:t>
      </w:r>
      <w:r>
        <w:rPr>
          <w:color w:val="231F20"/>
          <w:spacing w:val="2"/>
          <w:w w:val="110"/>
        </w:rPr>
        <w:t>from </w:t>
      </w:r>
      <w:r>
        <w:rPr>
          <w:color w:val="231F20"/>
          <w:w w:val="110"/>
        </w:rPr>
        <w:t>a particular point in a debate shall be of not more than 3</w:t>
      </w:r>
      <w:r>
        <w:rPr>
          <w:color w:val="231F20"/>
          <w:spacing w:val="5"/>
          <w:w w:val="110"/>
        </w:rPr>
        <w:t> </w:t>
      </w:r>
      <w:r>
        <w:rPr>
          <w:color w:val="231F20"/>
          <w:w w:val="110"/>
        </w:rPr>
        <w:t>minutes.</w:t>
      </w:r>
    </w:p>
    <w:p>
      <w:pPr>
        <w:pStyle w:val="BodyText"/>
        <w:spacing w:before="1"/>
        <w:rPr>
          <w:sz w:val="21"/>
        </w:rPr>
      </w:pPr>
    </w:p>
    <w:p>
      <w:pPr>
        <w:pStyle w:val="BodyText"/>
        <w:spacing w:line="273" w:lineRule="auto"/>
        <w:ind w:left="1160" w:right="1132"/>
      </w:pPr>
      <w:r>
        <w:rPr>
          <w:color w:val="231F20"/>
          <w:w w:val="110"/>
        </w:rPr>
        <w:t>4c. When a speech is made on behalf of a Committee, it shall be so stated. Otherwise a speaker shall begin by giving name and accreditation to the Assembly.</w:t>
      </w:r>
    </w:p>
    <w:p>
      <w:pPr>
        <w:pStyle w:val="BodyText"/>
        <w:spacing w:before="8"/>
        <w:rPr>
          <w:sz w:val="20"/>
        </w:rPr>
      </w:pPr>
    </w:p>
    <w:p>
      <w:pPr>
        <w:pStyle w:val="BodyText"/>
        <w:spacing w:line="273" w:lineRule="auto"/>
        <w:ind w:left="1160" w:right="1642"/>
      </w:pPr>
      <w:r>
        <w:rPr>
          <w:color w:val="231F20"/>
          <w:w w:val="110"/>
        </w:rPr>
        <w:t>4d. Secretaries of Committees and full-time Executive Secretaries who are not members of Assembly may speak on the report of a Committee for which they have responsibility at the request of the Convener concerned. They may speak on other reports with the consent of the Moderator.</w:t>
      </w:r>
    </w:p>
    <w:p>
      <w:pPr>
        <w:pStyle w:val="BodyText"/>
        <w:spacing w:before="9"/>
        <w:rPr>
          <w:sz w:val="20"/>
        </w:rPr>
      </w:pPr>
    </w:p>
    <w:p>
      <w:pPr>
        <w:pStyle w:val="BodyText"/>
        <w:spacing w:line="273" w:lineRule="auto" w:before="1"/>
        <w:ind w:left="1160" w:right="1132"/>
      </w:pPr>
      <w:r>
        <w:rPr>
          <w:color w:val="231F20"/>
          <w:w w:val="110"/>
        </w:rPr>
        <w:t>4e. In each debate, whether on a motion or on an amendment, no one shall address the Assembly more than once, except that at the close of each debate the </w:t>
      </w:r>
      <w:r>
        <w:rPr>
          <w:color w:val="231F20"/>
          <w:spacing w:val="2"/>
          <w:w w:val="110"/>
        </w:rPr>
        <w:t>proposer </w:t>
      </w:r>
      <w:r>
        <w:rPr>
          <w:color w:val="231F20"/>
          <w:w w:val="110"/>
        </w:rPr>
        <w:t>of the motion or the amendment, as the </w:t>
      </w:r>
      <w:r>
        <w:rPr>
          <w:color w:val="231F20"/>
          <w:spacing w:val="2"/>
          <w:w w:val="110"/>
        </w:rPr>
        <w:t>case </w:t>
      </w:r>
      <w:r>
        <w:rPr>
          <w:color w:val="231F20"/>
          <w:w w:val="110"/>
        </w:rPr>
        <w:t>may be, shall have the right to reply, but must </w:t>
      </w:r>
      <w:r>
        <w:rPr>
          <w:color w:val="231F20"/>
          <w:spacing w:val="2"/>
          <w:w w:val="110"/>
        </w:rPr>
        <w:t>strictly </w:t>
      </w:r>
      <w:r>
        <w:rPr>
          <w:color w:val="231F20"/>
          <w:w w:val="110"/>
        </w:rPr>
        <w:t>confine the reply to answering previous speakers and must not introduce new </w:t>
      </w:r>
      <w:r>
        <w:rPr>
          <w:color w:val="231F20"/>
          <w:spacing w:val="2"/>
          <w:w w:val="110"/>
        </w:rPr>
        <w:t>matters. </w:t>
      </w:r>
      <w:r>
        <w:rPr>
          <w:color w:val="231F20"/>
          <w:w w:val="110"/>
        </w:rPr>
        <w:t>Such reply shall close the debate on the motion or the</w:t>
      </w:r>
      <w:r>
        <w:rPr>
          <w:color w:val="231F20"/>
          <w:spacing w:val="55"/>
          <w:w w:val="110"/>
        </w:rPr>
        <w:t> </w:t>
      </w:r>
      <w:r>
        <w:rPr>
          <w:color w:val="231F20"/>
          <w:w w:val="110"/>
        </w:rPr>
        <w:t>amendment.</w:t>
      </w:r>
    </w:p>
    <w:p>
      <w:pPr>
        <w:pStyle w:val="BodyText"/>
        <w:spacing w:before="9"/>
        <w:rPr>
          <w:sz w:val="20"/>
        </w:rPr>
      </w:pPr>
    </w:p>
    <w:p>
      <w:pPr>
        <w:pStyle w:val="BodyText"/>
        <w:spacing w:line="273" w:lineRule="auto" w:before="1"/>
        <w:ind w:left="1160" w:right="1443"/>
        <w:jc w:val="both"/>
      </w:pPr>
      <w:r>
        <w:rPr>
          <w:color w:val="231F20"/>
          <w:w w:val="110"/>
        </w:rPr>
        <w:t>4f. The foregoing Standing Order (4e) shall not prevent the asking or answering of a question which arises from the matter before the Assembly or from a speech made in the debate upon it.</w:t>
      </w:r>
    </w:p>
    <w:p>
      <w:pPr>
        <w:spacing w:after="0" w:line="273" w:lineRule="auto"/>
        <w:jc w:val="both"/>
        <w:sectPr>
          <w:pgSz w:w="11910" w:h="16840"/>
          <w:pgMar w:header="558" w:footer="564" w:top="820" w:bottom="760" w:left="540" w:right="0"/>
        </w:sectPr>
      </w:pPr>
    </w:p>
    <w:p>
      <w:pPr>
        <w:pStyle w:val="BodyText"/>
        <w:spacing w:before="9"/>
        <w:rPr>
          <w:sz w:val="13"/>
        </w:rPr>
      </w:pPr>
    </w:p>
    <w:p>
      <w:pPr>
        <w:numPr>
          <w:ilvl w:val="1"/>
          <w:numId w:val="221"/>
        </w:numPr>
        <w:tabs>
          <w:tab w:pos="1047" w:val="left" w:leader="none"/>
          <w:tab w:pos="1048" w:val="left" w:leader="none"/>
        </w:tabs>
        <w:spacing w:before="101"/>
        <w:ind w:left="1047" w:right="0" w:hanging="455"/>
        <w:jc w:val="left"/>
        <w:rPr>
          <w:b/>
          <w:sz w:val="18"/>
        </w:rPr>
      </w:pPr>
      <w:r>
        <w:rPr>
          <w:b/>
          <w:color w:val="231F20"/>
          <w:w w:val="110"/>
          <w:sz w:val="18"/>
        </w:rPr>
        <w:t>Closure of Debate</w:t>
      </w:r>
    </w:p>
    <w:p>
      <w:pPr>
        <w:pStyle w:val="BodyText"/>
        <w:spacing w:before="1"/>
        <w:rPr>
          <w:b/>
          <w:sz w:val="23"/>
        </w:rPr>
      </w:pPr>
    </w:p>
    <w:p>
      <w:pPr>
        <w:pStyle w:val="BodyText"/>
        <w:spacing w:line="273" w:lineRule="auto"/>
        <w:ind w:left="593" w:right="1995"/>
      </w:pPr>
      <w:r>
        <w:rPr>
          <w:color w:val="231F20"/>
          <w:w w:val="110"/>
        </w:rPr>
        <w:t>5a. A member of Assembly may deliver to the General Secretary not less than 21 days before the date of the meeting of the Assembly a notice in writing of a motion that</w:t>
      </w:r>
    </w:p>
    <w:p>
      <w:pPr>
        <w:pStyle w:val="BodyText"/>
        <w:spacing w:line="273" w:lineRule="auto" w:before="2"/>
        <w:ind w:left="593" w:right="1843"/>
      </w:pPr>
      <w:r>
        <w:rPr>
          <w:color w:val="231F20"/>
          <w:w w:val="110"/>
        </w:rPr>
        <w:t>the General Assembly, for the </w:t>
      </w:r>
      <w:r>
        <w:rPr>
          <w:color w:val="231F20"/>
          <w:spacing w:val="2"/>
          <w:w w:val="110"/>
        </w:rPr>
        <w:t>better </w:t>
      </w:r>
      <w:r>
        <w:rPr>
          <w:color w:val="231F20"/>
          <w:w w:val="110"/>
        </w:rPr>
        <w:t>consideration of a specified resolution and its  related documents, goes into a committee of the whole Assembly. Provided that the Moderator, Clerk and General </w:t>
      </w:r>
      <w:r>
        <w:rPr>
          <w:color w:val="231F20"/>
          <w:spacing w:val="3"/>
          <w:w w:val="110"/>
        </w:rPr>
        <w:t>Secretary </w:t>
      </w:r>
      <w:r>
        <w:rPr>
          <w:color w:val="231F20"/>
          <w:w w:val="110"/>
        </w:rPr>
        <w:t>together decide that this rule may appropriately be applied in the </w:t>
      </w:r>
      <w:r>
        <w:rPr>
          <w:color w:val="231F20"/>
          <w:spacing w:val="2"/>
          <w:w w:val="110"/>
        </w:rPr>
        <w:t>case </w:t>
      </w:r>
      <w:r>
        <w:rPr>
          <w:color w:val="231F20"/>
          <w:w w:val="110"/>
        </w:rPr>
        <w:t>of the said resolution, the motion shall be presented immediately following the opening speeches in support of the primary motion.  For such a motion to  be carried, two thirds of the votes cast must be given in its </w:t>
      </w:r>
      <w:r>
        <w:rPr>
          <w:color w:val="231F20"/>
          <w:spacing w:val="-5"/>
          <w:w w:val="110"/>
        </w:rPr>
        <w:t>favour. </w:t>
      </w:r>
      <w:r>
        <w:rPr>
          <w:color w:val="231F20"/>
          <w:w w:val="110"/>
        </w:rPr>
        <w:t>Committee procedure enables </w:t>
      </w:r>
      <w:r>
        <w:rPr>
          <w:color w:val="231F20"/>
          <w:spacing w:val="2"/>
          <w:w w:val="110"/>
        </w:rPr>
        <w:t>members </w:t>
      </w:r>
      <w:r>
        <w:rPr>
          <w:color w:val="231F20"/>
          <w:w w:val="110"/>
        </w:rPr>
        <w:t>to speak more than once and exploratory votes to be taken on particular</w:t>
      </w:r>
      <w:r>
        <w:rPr>
          <w:color w:val="231F20"/>
          <w:spacing w:val="8"/>
          <w:w w:val="110"/>
        </w:rPr>
        <w:t> </w:t>
      </w:r>
      <w:r>
        <w:rPr>
          <w:color w:val="231F20"/>
          <w:w w:val="110"/>
        </w:rPr>
        <w:t>points</w:t>
      </w:r>
      <w:r>
        <w:rPr>
          <w:color w:val="231F20"/>
          <w:spacing w:val="9"/>
          <w:w w:val="110"/>
        </w:rPr>
        <w:t> </w:t>
      </w:r>
      <w:r>
        <w:rPr>
          <w:color w:val="231F20"/>
          <w:w w:val="110"/>
        </w:rPr>
        <w:t>or</w:t>
      </w:r>
      <w:r>
        <w:rPr>
          <w:color w:val="231F20"/>
          <w:spacing w:val="9"/>
          <w:w w:val="110"/>
        </w:rPr>
        <w:t> </w:t>
      </w:r>
      <w:r>
        <w:rPr>
          <w:color w:val="231F20"/>
          <w:w w:val="110"/>
        </w:rPr>
        <w:t>suggested</w:t>
      </w:r>
      <w:r>
        <w:rPr>
          <w:color w:val="231F20"/>
          <w:spacing w:val="9"/>
          <w:w w:val="110"/>
        </w:rPr>
        <w:t> </w:t>
      </w:r>
      <w:r>
        <w:rPr>
          <w:color w:val="231F20"/>
          <w:w w:val="110"/>
        </w:rPr>
        <w:t>changes.</w:t>
      </w:r>
      <w:r>
        <w:rPr>
          <w:color w:val="231F20"/>
          <w:spacing w:val="18"/>
          <w:w w:val="110"/>
        </w:rPr>
        <w:t> </w:t>
      </w:r>
      <w:r>
        <w:rPr>
          <w:color w:val="231F20"/>
          <w:w w:val="110"/>
        </w:rPr>
        <w:t>The</w:t>
      </w:r>
      <w:r>
        <w:rPr>
          <w:color w:val="231F20"/>
          <w:spacing w:val="9"/>
          <w:w w:val="110"/>
        </w:rPr>
        <w:t> </w:t>
      </w:r>
      <w:r>
        <w:rPr>
          <w:color w:val="231F20"/>
          <w:w w:val="110"/>
        </w:rPr>
        <w:t>number</w:t>
      </w:r>
      <w:r>
        <w:rPr>
          <w:color w:val="231F20"/>
          <w:spacing w:val="9"/>
          <w:w w:val="110"/>
        </w:rPr>
        <w:t> </w:t>
      </w:r>
      <w:r>
        <w:rPr>
          <w:color w:val="231F20"/>
          <w:w w:val="110"/>
        </w:rPr>
        <w:t>and</w:t>
      </w:r>
      <w:r>
        <w:rPr>
          <w:color w:val="231F20"/>
          <w:spacing w:val="8"/>
          <w:w w:val="110"/>
        </w:rPr>
        <w:t> </w:t>
      </w:r>
      <w:r>
        <w:rPr>
          <w:color w:val="231F20"/>
          <w:w w:val="110"/>
        </w:rPr>
        <w:t>length</w:t>
      </w:r>
      <w:r>
        <w:rPr>
          <w:color w:val="231F20"/>
          <w:spacing w:val="9"/>
          <w:w w:val="110"/>
        </w:rPr>
        <w:t> </w:t>
      </w:r>
      <w:r>
        <w:rPr>
          <w:color w:val="231F20"/>
          <w:w w:val="110"/>
        </w:rPr>
        <w:t>of</w:t>
      </w:r>
      <w:r>
        <w:rPr>
          <w:color w:val="231F20"/>
          <w:spacing w:val="9"/>
          <w:w w:val="110"/>
        </w:rPr>
        <w:t> </w:t>
      </w:r>
      <w:r>
        <w:rPr>
          <w:color w:val="231F20"/>
          <w:spacing w:val="2"/>
          <w:w w:val="110"/>
        </w:rPr>
        <w:t>speeches</w:t>
      </w:r>
      <w:r>
        <w:rPr>
          <w:color w:val="231F20"/>
          <w:spacing w:val="9"/>
          <w:w w:val="110"/>
        </w:rPr>
        <w:t> </w:t>
      </w:r>
      <w:r>
        <w:rPr>
          <w:color w:val="231F20"/>
          <w:w w:val="110"/>
        </w:rPr>
        <w:t>shall</w:t>
      </w:r>
      <w:r>
        <w:rPr>
          <w:color w:val="231F20"/>
          <w:spacing w:val="9"/>
          <w:w w:val="110"/>
        </w:rPr>
        <w:t> </w:t>
      </w:r>
      <w:r>
        <w:rPr>
          <w:color w:val="231F20"/>
          <w:w w:val="110"/>
        </w:rPr>
        <w:t>be</w:t>
      </w:r>
    </w:p>
    <w:p>
      <w:pPr>
        <w:pStyle w:val="BodyText"/>
        <w:spacing w:line="273" w:lineRule="auto" w:before="5"/>
        <w:ind w:left="593" w:right="2159" w:firstLine="2"/>
      </w:pPr>
      <w:r>
        <w:rPr>
          <w:color w:val="231F20"/>
          <w:w w:val="110"/>
        </w:rPr>
        <w:t>at the discretion of the Moderator. </w:t>
      </w:r>
      <w:r>
        <w:rPr>
          <w:color w:val="231F20"/>
          <w:spacing w:val="2"/>
          <w:w w:val="110"/>
        </w:rPr>
        <w:t>After </w:t>
      </w:r>
      <w:r>
        <w:rPr>
          <w:color w:val="231F20"/>
          <w:w w:val="110"/>
        </w:rPr>
        <w:t>discussion in committee and decision on any </w:t>
      </w:r>
      <w:r>
        <w:rPr>
          <w:color w:val="231F20"/>
          <w:spacing w:val="2"/>
          <w:w w:val="110"/>
        </w:rPr>
        <w:t>proposed </w:t>
      </w:r>
      <w:r>
        <w:rPr>
          <w:color w:val="231F20"/>
          <w:w w:val="110"/>
        </w:rPr>
        <w:t>changes the Clerk shall draw the attention of the Assembly to any changes  to the original </w:t>
      </w:r>
      <w:r>
        <w:rPr>
          <w:color w:val="231F20"/>
          <w:spacing w:val="2"/>
          <w:w w:val="110"/>
        </w:rPr>
        <w:t>text </w:t>
      </w:r>
      <w:r>
        <w:rPr>
          <w:color w:val="231F20"/>
          <w:w w:val="110"/>
        </w:rPr>
        <w:t>which have been</w:t>
      </w:r>
      <w:r>
        <w:rPr>
          <w:color w:val="231F20"/>
          <w:spacing w:val="9"/>
          <w:w w:val="110"/>
        </w:rPr>
        <w:t> </w:t>
      </w:r>
      <w:r>
        <w:rPr>
          <w:color w:val="231F20"/>
          <w:w w:val="110"/>
        </w:rPr>
        <w:t>agreed.</w:t>
      </w:r>
    </w:p>
    <w:p>
      <w:pPr>
        <w:pStyle w:val="BodyText"/>
        <w:spacing w:before="8"/>
        <w:rPr>
          <w:sz w:val="20"/>
        </w:rPr>
      </w:pPr>
    </w:p>
    <w:p>
      <w:pPr>
        <w:pStyle w:val="BodyText"/>
        <w:spacing w:line="273" w:lineRule="auto"/>
        <w:ind w:left="593" w:right="2077" w:hanging="1"/>
      </w:pPr>
      <w:r>
        <w:rPr>
          <w:color w:val="231F20"/>
          <w:w w:val="110"/>
        </w:rPr>
        <w:t>The Moderator shall then declare the committee stage to be ended, and the Assembly shall </w:t>
      </w:r>
      <w:r>
        <w:rPr>
          <w:color w:val="231F20"/>
          <w:spacing w:val="2"/>
          <w:w w:val="110"/>
        </w:rPr>
        <w:t>proceed </w:t>
      </w:r>
      <w:r>
        <w:rPr>
          <w:color w:val="231F20"/>
          <w:w w:val="110"/>
        </w:rPr>
        <w:t>to hear a closing </w:t>
      </w:r>
      <w:r>
        <w:rPr>
          <w:color w:val="231F20"/>
          <w:spacing w:val="2"/>
          <w:w w:val="110"/>
        </w:rPr>
        <w:t>speech from </w:t>
      </w:r>
      <w:r>
        <w:rPr>
          <w:color w:val="231F20"/>
          <w:w w:val="110"/>
        </w:rPr>
        <w:t>the mover of the motion under discussion and </w:t>
      </w:r>
      <w:r>
        <w:rPr>
          <w:color w:val="231F20"/>
          <w:spacing w:val="2"/>
          <w:w w:val="110"/>
        </w:rPr>
        <w:t>proceed </w:t>
      </w:r>
      <w:r>
        <w:rPr>
          <w:color w:val="231F20"/>
          <w:w w:val="110"/>
        </w:rPr>
        <w:t>to a vote on the motion, subject to any </w:t>
      </w:r>
      <w:r>
        <w:rPr>
          <w:color w:val="231F20"/>
          <w:spacing w:val="2"/>
          <w:w w:val="110"/>
        </w:rPr>
        <w:t>further </w:t>
      </w:r>
      <w:r>
        <w:rPr>
          <w:color w:val="231F20"/>
          <w:w w:val="110"/>
        </w:rPr>
        <w:t>motion under Standing Order 5. The decision of the Moderator with the Clerk and the General </w:t>
      </w:r>
      <w:r>
        <w:rPr>
          <w:color w:val="231F20"/>
          <w:spacing w:val="3"/>
          <w:w w:val="110"/>
        </w:rPr>
        <w:t>Secretary </w:t>
      </w:r>
      <w:r>
        <w:rPr>
          <w:color w:val="231F20"/>
          <w:w w:val="110"/>
        </w:rPr>
        <w:t>on  the application of this Standing Order shall be</w:t>
      </w:r>
      <w:r>
        <w:rPr>
          <w:color w:val="231F20"/>
          <w:spacing w:val="14"/>
          <w:w w:val="110"/>
        </w:rPr>
        <w:t> </w:t>
      </w:r>
      <w:r>
        <w:rPr>
          <w:color w:val="231F20"/>
          <w:w w:val="110"/>
        </w:rPr>
        <w:t>final.</w:t>
      </w:r>
    </w:p>
    <w:p>
      <w:pPr>
        <w:pStyle w:val="BodyText"/>
        <w:spacing w:before="10"/>
        <w:rPr>
          <w:sz w:val="20"/>
        </w:rPr>
      </w:pPr>
    </w:p>
    <w:p>
      <w:pPr>
        <w:pStyle w:val="BodyText"/>
        <w:spacing w:line="273" w:lineRule="auto"/>
        <w:ind w:left="595" w:right="1843" w:hanging="2"/>
      </w:pPr>
      <w:r>
        <w:rPr>
          <w:color w:val="231F20"/>
          <w:w w:val="110"/>
        </w:rPr>
        <w:t>5b. In </w:t>
      </w:r>
      <w:r>
        <w:rPr>
          <w:color w:val="231F20"/>
          <w:spacing w:val="2"/>
          <w:w w:val="110"/>
        </w:rPr>
        <w:t>the </w:t>
      </w:r>
      <w:r>
        <w:rPr>
          <w:color w:val="231F20"/>
          <w:spacing w:val="3"/>
          <w:w w:val="110"/>
        </w:rPr>
        <w:t>course </w:t>
      </w:r>
      <w:r>
        <w:rPr>
          <w:color w:val="231F20"/>
          <w:w w:val="110"/>
        </w:rPr>
        <w:t>of </w:t>
      </w:r>
      <w:r>
        <w:rPr>
          <w:color w:val="231F20"/>
          <w:spacing w:val="2"/>
          <w:w w:val="110"/>
        </w:rPr>
        <w:t>the </w:t>
      </w:r>
      <w:r>
        <w:rPr>
          <w:color w:val="231F20"/>
          <w:spacing w:val="3"/>
          <w:w w:val="110"/>
        </w:rPr>
        <w:t>business </w:t>
      </w:r>
      <w:r>
        <w:rPr>
          <w:color w:val="231F20"/>
          <w:w w:val="110"/>
        </w:rPr>
        <w:t>any </w:t>
      </w:r>
      <w:r>
        <w:rPr>
          <w:color w:val="231F20"/>
          <w:spacing w:val="3"/>
          <w:w w:val="110"/>
        </w:rPr>
        <w:t>member </w:t>
      </w:r>
      <w:r>
        <w:rPr>
          <w:color w:val="231F20"/>
          <w:w w:val="110"/>
        </w:rPr>
        <w:t>may move that </w:t>
      </w:r>
      <w:r>
        <w:rPr>
          <w:color w:val="231F20"/>
          <w:spacing w:val="2"/>
          <w:w w:val="110"/>
        </w:rPr>
        <w:t>the </w:t>
      </w:r>
      <w:r>
        <w:rPr>
          <w:color w:val="231F20"/>
          <w:spacing w:val="3"/>
          <w:w w:val="110"/>
        </w:rPr>
        <w:t>question </w:t>
      </w:r>
      <w:r>
        <w:rPr>
          <w:color w:val="231F20"/>
          <w:spacing w:val="2"/>
          <w:w w:val="110"/>
        </w:rPr>
        <w:t>under </w:t>
      </w:r>
      <w:r>
        <w:rPr>
          <w:color w:val="231F20"/>
          <w:spacing w:val="3"/>
          <w:w w:val="110"/>
        </w:rPr>
        <w:t>consideration </w:t>
      </w:r>
      <w:r>
        <w:rPr>
          <w:color w:val="231F20"/>
          <w:spacing w:val="2"/>
          <w:w w:val="110"/>
        </w:rPr>
        <w:t>be </w:t>
      </w:r>
      <w:r>
        <w:rPr>
          <w:color w:val="231F20"/>
          <w:w w:val="110"/>
        </w:rPr>
        <w:t>not put. </w:t>
      </w:r>
      <w:r>
        <w:rPr>
          <w:color w:val="231F20"/>
          <w:spacing w:val="2"/>
          <w:w w:val="110"/>
        </w:rPr>
        <w:t>This motion takes </w:t>
      </w:r>
      <w:r>
        <w:rPr>
          <w:color w:val="231F20"/>
          <w:spacing w:val="3"/>
          <w:w w:val="110"/>
        </w:rPr>
        <w:t>precedence </w:t>
      </w:r>
      <w:r>
        <w:rPr>
          <w:color w:val="231F20"/>
          <w:w w:val="110"/>
        </w:rPr>
        <w:t>over </w:t>
      </w:r>
      <w:r>
        <w:rPr>
          <w:color w:val="231F20"/>
          <w:spacing w:val="3"/>
          <w:w w:val="110"/>
        </w:rPr>
        <w:t>every </w:t>
      </w:r>
      <w:r>
        <w:rPr>
          <w:color w:val="231F20"/>
          <w:spacing w:val="2"/>
          <w:w w:val="110"/>
        </w:rPr>
        <w:t>motion </w:t>
      </w:r>
      <w:r>
        <w:rPr>
          <w:color w:val="231F20"/>
          <w:spacing w:val="3"/>
          <w:w w:val="110"/>
        </w:rPr>
        <w:t>before </w:t>
      </w:r>
      <w:r>
        <w:rPr>
          <w:color w:val="231F20"/>
          <w:spacing w:val="2"/>
          <w:w w:val="110"/>
        </w:rPr>
        <w:t>the </w:t>
      </w:r>
      <w:r>
        <w:rPr>
          <w:color w:val="231F20"/>
          <w:w w:val="110"/>
        </w:rPr>
        <w:t>Assembly. </w:t>
      </w:r>
      <w:r>
        <w:rPr>
          <w:color w:val="231F20"/>
          <w:spacing w:val="4"/>
          <w:w w:val="110"/>
        </w:rPr>
        <w:t>As </w:t>
      </w:r>
      <w:r>
        <w:rPr>
          <w:color w:val="231F20"/>
          <w:spacing w:val="3"/>
          <w:w w:val="110"/>
        </w:rPr>
        <w:t>soon </w:t>
      </w:r>
      <w:r>
        <w:rPr>
          <w:color w:val="231F20"/>
          <w:w w:val="110"/>
        </w:rPr>
        <w:t>as </w:t>
      </w:r>
      <w:r>
        <w:rPr>
          <w:color w:val="231F20"/>
          <w:spacing w:val="2"/>
          <w:w w:val="110"/>
        </w:rPr>
        <w:t>the </w:t>
      </w:r>
      <w:r>
        <w:rPr>
          <w:color w:val="231F20"/>
          <w:spacing w:val="3"/>
          <w:w w:val="110"/>
        </w:rPr>
        <w:t>member </w:t>
      </w:r>
      <w:r>
        <w:rPr>
          <w:color w:val="231F20"/>
          <w:w w:val="110"/>
        </w:rPr>
        <w:t>has given </w:t>
      </w:r>
      <w:r>
        <w:rPr>
          <w:color w:val="231F20"/>
          <w:spacing w:val="3"/>
          <w:w w:val="110"/>
        </w:rPr>
        <w:t>reasons </w:t>
      </w:r>
      <w:r>
        <w:rPr>
          <w:color w:val="231F20"/>
          <w:spacing w:val="2"/>
          <w:w w:val="110"/>
        </w:rPr>
        <w:t>for </w:t>
      </w:r>
      <w:r>
        <w:rPr>
          <w:color w:val="231F20"/>
          <w:spacing w:val="3"/>
          <w:w w:val="110"/>
        </w:rPr>
        <w:t>proposing </w:t>
      </w:r>
      <w:r>
        <w:rPr>
          <w:color w:val="231F20"/>
          <w:w w:val="110"/>
        </w:rPr>
        <w:t>it and it has </w:t>
      </w:r>
      <w:r>
        <w:rPr>
          <w:color w:val="231F20"/>
          <w:spacing w:val="3"/>
          <w:w w:val="110"/>
        </w:rPr>
        <w:t>been seconded </w:t>
      </w:r>
      <w:r>
        <w:rPr>
          <w:color w:val="231F20"/>
          <w:w w:val="110"/>
        </w:rPr>
        <w:t>and </w:t>
      </w:r>
      <w:r>
        <w:rPr>
          <w:color w:val="231F20"/>
          <w:spacing w:val="2"/>
          <w:w w:val="110"/>
        </w:rPr>
        <w:t>the </w:t>
      </w:r>
      <w:r>
        <w:rPr>
          <w:color w:val="231F20"/>
          <w:spacing w:val="3"/>
          <w:w w:val="110"/>
        </w:rPr>
        <w:t>proposer </w:t>
      </w:r>
      <w:r>
        <w:rPr>
          <w:color w:val="231F20"/>
          <w:w w:val="110"/>
        </w:rPr>
        <w:t>of </w:t>
      </w:r>
      <w:r>
        <w:rPr>
          <w:color w:val="231F20"/>
          <w:spacing w:val="2"/>
          <w:w w:val="110"/>
        </w:rPr>
        <w:t>the motion </w:t>
      </w:r>
      <w:r>
        <w:rPr>
          <w:color w:val="231F20"/>
          <w:w w:val="110"/>
        </w:rPr>
        <w:t>or </w:t>
      </w:r>
      <w:r>
        <w:rPr>
          <w:color w:val="231F20"/>
          <w:spacing w:val="2"/>
          <w:w w:val="110"/>
        </w:rPr>
        <w:t>amendment under </w:t>
      </w:r>
      <w:r>
        <w:rPr>
          <w:color w:val="231F20"/>
          <w:spacing w:val="3"/>
          <w:w w:val="110"/>
        </w:rPr>
        <w:t>consideration </w:t>
      </w:r>
      <w:r>
        <w:rPr>
          <w:color w:val="231F20"/>
          <w:w w:val="110"/>
        </w:rPr>
        <w:t>has </w:t>
      </w:r>
      <w:r>
        <w:rPr>
          <w:color w:val="231F20"/>
          <w:spacing w:val="3"/>
          <w:w w:val="110"/>
        </w:rPr>
        <w:t>been </w:t>
      </w:r>
      <w:r>
        <w:rPr>
          <w:color w:val="231F20"/>
          <w:w w:val="110"/>
        </w:rPr>
        <w:t>allowed </w:t>
      </w:r>
      <w:r>
        <w:rPr>
          <w:color w:val="231F20"/>
          <w:spacing w:val="3"/>
          <w:w w:val="110"/>
        </w:rPr>
        <w:t>opportunity </w:t>
      </w:r>
      <w:r>
        <w:rPr>
          <w:color w:val="231F20"/>
          <w:w w:val="110"/>
        </w:rPr>
        <w:t>to </w:t>
      </w:r>
      <w:r>
        <w:rPr>
          <w:color w:val="231F20"/>
          <w:spacing w:val="2"/>
          <w:w w:val="110"/>
        </w:rPr>
        <w:t>comment </w:t>
      </w:r>
      <w:r>
        <w:rPr>
          <w:color w:val="231F20"/>
          <w:w w:val="110"/>
        </w:rPr>
        <w:t>on </w:t>
      </w:r>
      <w:r>
        <w:rPr>
          <w:color w:val="231F20"/>
          <w:spacing w:val="2"/>
          <w:w w:val="110"/>
        </w:rPr>
        <w:t>the </w:t>
      </w:r>
      <w:r>
        <w:rPr>
          <w:color w:val="231F20"/>
          <w:spacing w:val="3"/>
          <w:w w:val="110"/>
        </w:rPr>
        <w:t>reasons </w:t>
      </w:r>
      <w:r>
        <w:rPr>
          <w:color w:val="231F20"/>
          <w:w w:val="110"/>
        </w:rPr>
        <w:t>put </w:t>
      </w:r>
      <w:r>
        <w:rPr>
          <w:color w:val="231F20"/>
          <w:spacing w:val="3"/>
          <w:w w:val="110"/>
        </w:rPr>
        <w:t>forward, </w:t>
      </w:r>
      <w:r>
        <w:rPr>
          <w:color w:val="231F20"/>
          <w:spacing w:val="2"/>
          <w:w w:val="110"/>
        </w:rPr>
        <w:t>the </w:t>
      </w:r>
      <w:r>
        <w:rPr>
          <w:color w:val="231F20"/>
          <w:w w:val="110"/>
        </w:rPr>
        <w:t>vote </w:t>
      </w:r>
      <w:r>
        <w:rPr>
          <w:color w:val="231F20"/>
          <w:spacing w:val="2"/>
          <w:w w:val="110"/>
        </w:rPr>
        <w:t>upon </w:t>
      </w:r>
      <w:r>
        <w:rPr>
          <w:color w:val="231F20"/>
          <w:w w:val="110"/>
        </w:rPr>
        <w:t>it shall </w:t>
      </w:r>
      <w:r>
        <w:rPr>
          <w:color w:val="231F20"/>
          <w:spacing w:val="2"/>
          <w:w w:val="110"/>
        </w:rPr>
        <w:t>be</w:t>
      </w:r>
      <w:r>
        <w:rPr>
          <w:color w:val="231F20"/>
          <w:spacing w:val="73"/>
          <w:w w:val="110"/>
        </w:rPr>
        <w:t> </w:t>
      </w:r>
      <w:r>
        <w:rPr>
          <w:color w:val="231F20"/>
          <w:w w:val="110"/>
        </w:rPr>
        <w:t>taken, </w:t>
      </w:r>
      <w:r>
        <w:rPr>
          <w:color w:val="231F20"/>
          <w:spacing w:val="2"/>
          <w:w w:val="110"/>
        </w:rPr>
        <w:t>unless </w:t>
      </w:r>
      <w:r>
        <w:rPr>
          <w:color w:val="231F20"/>
          <w:w w:val="110"/>
        </w:rPr>
        <w:t>it </w:t>
      </w:r>
      <w:r>
        <w:rPr>
          <w:color w:val="231F20"/>
          <w:spacing w:val="3"/>
          <w:w w:val="110"/>
        </w:rPr>
        <w:t>appears </w:t>
      </w:r>
      <w:r>
        <w:rPr>
          <w:color w:val="231F20"/>
          <w:w w:val="110"/>
        </w:rPr>
        <w:t>to </w:t>
      </w:r>
      <w:r>
        <w:rPr>
          <w:color w:val="231F20"/>
          <w:spacing w:val="2"/>
          <w:w w:val="110"/>
        </w:rPr>
        <w:t>the </w:t>
      </w:r>
      <w:r>
        <w:rPr>
          <w:color w:val="231F20"/>
          <w:spacing w:val="3"/>
          <w:w w:val="110"/>
        </w:rPr>
        <w:t>Moderator </w:t>
      </w:r>
      <w:r>
        <w:rPr>
          <w:color w:val="231F20"/>
          <w:w w:val="110"/>
        </w:rPr>
        <w:t>that an unfair </w:t>
      </w:r>
      <w:r>
        <w:rPr>
          <w:color w:val="231F20"/>
          <w:spacing w:val="2"/>
          <w:w w:val="110"/>
        </w:rPr>
        <w:t>use </w:t>
      </w:r>
      <w:r>
        <w:rPr>
          <w:color w:val="231F20"/>
          <w:w w:val="110"/>
        </w:rPr>
        <w:t>is </w:t>
      </w:r>
      <w:r>
        <w:rPr>
          <w:color w:val="231F20"/>
          <w:spacing w:val="2"/>
          <w:w w:val="110"/>
        </w:rPr>
        <w:t>being </w:t>
      </w:r>
      <w:r>
        <w:rPr>
          <w:color w:val="231F20"/>
          <w:w w:val="110"/>
        </w:rPr>
        <w:t>made of this </w:t>
      </w:r>
      <w:r>
        <w:rPr>
          <w:color w:val="231F20"/>
          <w:spacing w:val="2"/>
          <w:w w:val="110"/>
        </w:rPr>
        <w:t>rule.</w:t>
      </w:r>
      <w:r>
        <w:rPr>
          <w:color w:val="231F20"/>
          <w:spacing w:val="73"/>
          <w:w w:val="110"/>
        </w:rPr>
        <w:t> </w:t>
      </w:r>
      <w:r>
        <w:rPr>
          <w:color w:val="231F20"/>
          <w:w w:val="110"/>
        </w:rPr>
        <w:t>Should </w:t>
      </w:r>
      <w:r>
        <w:rPr>
          <w:color w:val="231F20"/>
          <w:spacing w:val="2"/>
          <w:w w:val="110"/>
        </w:rPr>
        <w:t>the motion be </w:t>
      </w:r>
      <w:r>
        <w:rPr>
          <w:color w:val="231F20"/>
          <w:spacing w:val="4"/>
          <w:w w:val="110"/>
        </w:rPr>
        <w:t>carried </w:t>
      </w:r>
      <w:r>
        <w:rPr>
          <w:color w:val="231F20"/>
          <w:spacing w:val="2"/>
          <w:w w:val="110"/>
        </w:rPr>
        <w:t>the </w:t>
      </w:r>
      <w:r>
        <w:rPr>
          <w:color w:val="231F20"/>
          <w:spacing w:val="3"/>
          <w:w w:val="110"/>
        </w:rPr>
        <w:t>business </w:t>
      </w:r>
      <w:r>
        <w:rPr>
          <w:color w:val="231F20"/>
          <w:w w:val="110"/>
        </w:rPr>
        <w:t>shall </w:t>
      </w:r>
      <w:r>
        <w:rPr>
          <w:color w:val="231F20"/>
          <w:spacing w:val="2"/>
          <w:w w:val="110"/>
        </w:rPr>
        <w:t>immediately end </w:t>
      </w:r>
      <w:r>
        <w:rPr>
          <w:color w:val="231F20"/>
          <w:w w:val="110"/>
        </w:rPr>
        <w:t>and </w:t>
      </w:r>
      <w:r>
        <w:rPr>
          <w:color w:val="231F20"/>
          <w:spacing w:val="2"/>
          <w:w w:val="110"/>
        </w:rPr>
        <w:t>the </w:t>
      </w:r>
      <w:r>
        <w:rPr>
          <w:color w:val="231F20"/>
          <w:spacing w:val="3"/>
          <w:w w:val="110"/>
        </w:rPr>
        <w:t>Assembly  </w:t>
      </w:r>
      <w:r>
        <w:rPr>
          <w:color w:val="231F20"/>
          <w:w w:val="110"/>
        </w:rPr>
        <w:t>shall </w:t>
      </w:r>
      <w:r>
        <w:rPr>
          <w:color w:val="231F20"/>
          <w:spacing w:val="4"/>
          <w:w w:val="110"/>
        </w:rPr>
        <w:t>proceed </w:t>
      </w:r>
      <w:r>
        <w:rPr>
          <w:color w:val="231F20"/>
          <w:w w:val="110"/>
        </w:rPr>
        <w:t>to </w:t>
      </w:r>
      <w:r>
        <w:rPr>
          <w:color w:val="231F20"/>
          <w:spacing w:val="2"/>
          <w:w w:val="110"/>
        </w:rPr>
        <w:t>the </w:t>
      </w:r>
      <w:r>
        <w:rPr>
          <w:color w:val="231F20"/>
          <w:spacing w:val="3"/>
          <w:w w:val="110"/>
        </w:rPr>
        <w:t>next</w:t>
      </w:r>
      <w:r>
        <w:rPr>
          <w:color w:val="231F20"/>
          <w:spacing w:val="20"/>
          <w:w w:val="110"/>
        </w:rPr>
        <w:t> </w:t>
      </w:r>
      <w:r>
        <w:rPr>
          <w:color w:val="231F20"/>
          <w:spacing w:val="3"/>
          <w:w w:val="110"/>
        </w:rPr>
        <w:t>business.</w:t>
      </w:r>
    </w:p>
    <w:p>
      <w:pPr>
        <w:pStyle w:val="BodyText"/>
        <w:rPr>
          <w:sz w:val="21"/>
        </w:rPr>
      </w:pPr>
    </w:p>
    <w:p>
      <w:pPr>
        <w:pStyle w:val="BodyText"/>
        <w:spacing w:line="273" w:lineRule="auto"/>
        <w:ind w:left="594" w:right="1995" w:hanging="2"/>
      </w:pPr>
      <w:r>
        <w:rPr>
          <w:color w:val="231F20"/>
          <w:w w:val="110"/>
        </w:rPr>
        <w:t>5c. In the course of any discussion, any member may move that the question be now put. This is sometimes described as “the closure motion”. If the Moderator senses that there is a wish or need to close a debate, the Moderator may ask whether any member wishes so to move; the Moderator may not simply declare a debate closed. Provided that it appears to the Moderator that the motion is a fair use of this rule, the vote shall be taken upon it immediately it has been seconded. When an amendment is under discussion, this motion shall apply only to that amendment. To carry this motion, two- thirds of the votes cast must be given in its favour. The mover of the original motion or</w:t>
      </w:r>
    </w:p>
    <w:p>
      <w:pPr>
        <w:pStyle w:val="BodyText"/>
        <w:spacing w:line="273" w:lineRule="auto" w:before="5"/>
        <w:ind w:left="604" w:right="1746" w:hanging="2"/>
      </w:pPr>
      <w:r>
        <w:rPr>
          <w:color w:val="231F20"/>
          <w:w w:val="110"/>
        </w:rPr>
        <w:t>amendment, as the case may be, retains the right of reply before the vote is taken on the motion or amendment.</w:t>
      </w:r>
    </w:p>
    <w:p>
      <w:pPr>
        <w:pStyle w:val="BodyText"/>
        <w:spacing w:before="8"/>
        <w:rPr>
          <w:sz w:val="20"/>
        </w:rPr>
      </w:pPr>
    </w:p>
    <w:p>
      <w:pPr>
        <w:pStyle w:val="BodyText"/>
        <w:spacing w:line="273" w:lineRule="auto"/>
        <w:ind w:left="593" w:right="1788"/>
      </w:pPr>
      <w:r>
        <w:rPr>
          <w:color w:val="231F20"/>
          <w:w w:val="110"/>
        </w:rPr>
        <w:t>5d. During the course of a debate on a motion any member may move that decision on this motion be deferred to the next Assembly. This rule does not apply to debates on amendments since the Assembly needs to decide the final form of a motion before it can responsibly vote on deferral. The motion then takes precedence over other business.</w:t>
      </w:r>
    </w:p>
    <w:p>
      <w:pPr>
        <w:pStyle w:val="BodyText"/>
        <w:spacing w:line="273" w:lineRule="auto" w:before="2"/>
        <w:ind w:left="593" w:right="1999"/>
      </w:pPr>
      <w:r>
        <w:rPr>
          <w:color w:val="231F20"/>
          <w:spacing w:val="3"/>
          <w:w w:val="110"/>
        </w:rPr>
        <w:t>As </w:t>
      </w:r>
      <w:r>
        <w:rPr>
          <w:color w:val="231F20"/>
          <w:w w:val="110"/>
        </w:rPr>
        <w:t>soon as the member has given reasons for proposing it and it has been seconded  and the </w:t>
      </w:r>
      <w:r>
        <w:rPr>
          <w:color w:val="231F20"/>
          <w:spacing w:val="2"/>
          <w:w w:val="110"/>
        </w:rPr>
        <w:t>proposer </w:t>
      </w:r>
      <w:r>
        <w:rPr>
          <w:color w:val="231F20"/>
          <w:w w:val="110"/>
        </w:rPr>
        <w:t>of the motion under consideration has been allowed </w:t>
      </w:r>
      <w:r>
        <w:rPr>
          <w:color w:val="231F20"/>
          <w:spacing w:val="2"/>
          <w:w w:val="110"/>
        </w:rPr>
        <w:t>opportunity </w:t>
      </w:r>
      <w:r>
        <w:rPr>
          <w:color w:val="231F20"/>
          <w:w w:val="110"/>
        </w:rPr>
        <w:t>to comment on the reasons put forward, the vote upon it shall be taken, unless it appears to the Moderator that an unfair use is being made of this rule or that deferral would  have the </w:t>
      </w:r>
      <w:r>
        <w:rPr>
          <w:color w:val="231F20"/>
          <w:spacing w:val="3"/>
          <w:w w:val="110"/>
        </w:rPr>
        <w:t>effect </w:t>
      </w:r>
      <w:r>
        <w:rPr>
          <w:color w:val="231F20"/>
          <w:w w:val="110"/>
        </w:rPr>
        <w:t>of annulling the motion. </w:t>
      </w:r>
      <w:r>
        <w:rPr>
          <w:color w:val="231F20"/>
          <w:spacing w:val="-8"/>
          <w:w w:val="110"/>
        </w:rPr>
        <w:t>To </w:t>
      </w:r>
      <w:r>
        <w:rPr>
          <w:color w:val="231F20"/>
          <w:spacing w:val="3"/>
          <w:w w:val="110"/>
        </w:rPr>
        <w:t>carry </w:t>
      </w:r>
      <w:r>
        <w:rPr>
          <w:color w:val="231F20"/>
          <w:w w:val="110"/>
        </w:rPr>
        <w:t>this motion, two-thirds of the votes </w:t>
      </w:r>
      <w:r>
        <w:rPr>
          <w:color w:val="231F20"/>
          <w:spacing w:val="2"/>
          <w:w w:val="110"/>
        </w:rPr>
        <w:t>cast </w:t>
      </w:r>
      <w:r>
        <w:rPr>
          <w:color w:val="231F20"/>
          <w:w w:val="110"/>
        </w:rPr>
        <w:t>must be given in its </w:t>
      </w:r>
      <w:r>
        <w:rPr>
          <w:color w:val="231F20"/>
          <w:spacing w:val="-3"/>
          <w:w w:val="110"/>
        </w:rPr>
        <w:t>favour. </w:t>
      </w:r>
      <w:r>
        <w:rPr>
          <w:color w:val="231F20"/>
          <w:w w:val="110"/>
        </w:rPr>
        <w:t>At the discretion of the Moderator, the General </w:t>
      </w:r>
      <w:r>
        <w:rPr>
          <w:color w:val="231F20"/>
          <w:spacing w:val="3"/>
          <w:w w:val="110"/>
        </w:rPr>
        <w:t>Secretary </w:t>
      </w:r>
      <w:r>
        <w:rPr>
          <w:color w:val="231F20"/>
          <w:w w:val="110"/>
        </w:rPr>
        <w:t>may be </w:t>
      </w:r>
      <w:r>
        <w:rPr>
          <w:color w:val="231F20"/>
          <w:spacing w:val="2"/>
          <w:w w:val="110"/>
        </w:rPr>
        <w:t>instructed </w:t>
      </w:r>
      <w:r>
        <w:rPr>
          <w:color w:val="231F20"/>
          <w:w w:val="110"/>
        </w:rPr>
        <w:t>by a </w:t>
      </w:r>
      <w:r>
        <w:rPr>
          <w:color w:val="231F20"/>
          <w:spacing w:val="2"/>
          <w:w w:val="110"/>
        </w:rPr>
        <w:t>further </w:t>
      </w:r>
      <w:r>
        <w:rPr>
          <w:color w:val="231F20"/>
          <w:w w:val="110"/>
        </w:rPr>
        <w:t>motion, duly seconded, to refer the matter   for consideration by other councils and/or by one or more committees of the Assembly. The General </w:t>
      </w:r>
      <w:r>
        <w:rPr>
          <w:color w:val="231F20"/>
          <w:spacing w:val="3"/>
          <w:w w:val="110"/>
        </w:rPr>
        <w:t>Secretary </w:t>
      </w:r>
      <w:r>
        <w:rPr>
          <w:color w:val="231F20"/>
          <w:w w:val="110"/>
        </w:rPr>
        <w:t>shall provide for the </w:t>
      </w:r>
      <w:r>
        <w:rPr>
          <w:color w:val="231F20"/>
          <w:spacing w:val="2"/>
          <w:w w:val="110"/>
        </w:rPr>
        <w:t>deferred </w:t>
      </w:r>
      <w:r>
        <w:rPr>
          <w:color w:val="231F20"/>
          <w:w w:val="110"/>
        </w:rPr>
        <w:t>motion to be </w:t>
      </w:r>
      <w:r>
        <w:rPr>
          <w:color w:val="231F20"/>
          <w:spacing w:val="2"/>
          <w:w w:val="110"/>
        </w:rPr>
        <w:t>represented </w:t>
      </w:r>
      <w:r>
        <w:rPr>
          <w:color w:val="231F20"/>
          <w:w w:val="110"/>
        </w:rPr>
        <w:t>at the </w:t>
      </w:r>
      <w:r>
        <w:rPr>
          <w:color w:val="231F20"/>
          <w:spacing w:val="2"/>
          <w:w w:val="110"/>
        </w:rPr>
        <w:t>next </w:t>
      </w:r>
      <w:r>
        <w:rPr>
          <w:color w:val="231F20"/>
          <w:w w:val="110"/>
        </w:rPr>
        <w:t>Annual Meeting of the General</w:t>
      </w:r>
      <w:r>
        <w:rPr>
          <w:color w:val="231F20"/>
          <w:spacing w:val="8"/>
          <w:w w:val="110"/>
        </w:rPr>
        <w:t> </w:t>
      </w:r>
      <w:r>
        <w:rPr>
          <w:color w:val="231F20"/>
          <w:w w:val="110"/>
        </w:rPr>
        <w:t>Assembly.</w:t>
      </w:r>
    </w:p>
    <w:p>
      <w:pPr>
        <w:spacing w:after="0" w:line="273" w:lineRule="auto"/>
        <w:sectPr>
          <w:pgSz w:w="11910" w:h="16840"/>
          <w:pgMar w:header="558" w:footer="564" w:top="820" w:bottom="760" w:left="540" w:right="0"/>
        </w:sectPr>
      </w:pPr>
    </w:p>
    <w:p>
      <w:pPr>
        <w:pStyle w:val="BodyText"/>
        <w:spacing w:before="9"/>
        <w:rPr>
          <w:sz w:val="13"/>
        </w:rPr>
      </w:pPr>
    </w:p>
    <w:p>
      <w:pPr>
        <w:pStyle w:val="BodyText"/>
        <w:spacing w:line="273" w:lineRule="auto" w:before="101"/>
        <w:ind w:left="1160" w:right="1555"/>
      </w:pPr>
      <w:r>
        <w:rPr>
          <w:color w:val="231F20"/>
          <w:w w:val="110"/>
        </w:rPr>
        <w:t>5e. The motions described in Standing Orders 5b, 5c and 5d above are exceptions to Standing Order 3c, in that they may be moved and spoken to without the proposer having first obtained and announced the consent of a seconder. They must, however,</w:t>
      </w:r>
    </w:p>
    <w:p>
      <w:pPr>
        <w:pStyle w:val="BodyText"/>
        <w:spacing w:line="273" w:lineRule="auto" w:before="1"/>
        <w:ind w:left="1160" w:right="1132"/>
      </w:pPr>
      <w:r>
        <w:rPr>
          <w:color w:val="231F20"/>
          <w:w w:val="110"/>
        </w:rPr>
        <w:t>be seconded before being put to the vote. Precedence as between motions under 5a, 5b, 5c and 5d is determined by the fact that after one of them is before the Assembly</w:t>
      </w:r>
    </w:p>
    <w:p>
      <w:pPr>
        <w:pStyle w:val="BodyText"/>
        <w:spacing w:before="2"/>
        <w:ind w:left="1160"/>
      </w:pPr>
      <w:r>
        <w:rPr>
          <w:color w:val="231F20"/>
          <w:w w:val="110"/>
        </w:rPr>
        <w:t>no other of them can be moved until that one has been dealt with.</w:t>
      </w:r>
    </w:p>
    <w:p>
      <w:pPr>
        <w:pStyle w:val="BodyText"/>
        <w:rPr>
          <w:sz w:val="22"/>
        </w:rPr>
      </w:pPr>
    </w:p>
    <w:p>
      <w:pPr>
        <w:pStyle w:val="BodyText"/>
        <w:spacing w:before="8"/>
        <w:rPr>
          <w:sz w:val="21"/>
        </w:rPr>
      </w:pPr>
    </w:p>
    <w:p>
      <w:pPr>
        <w:numPr>
          <w:ilvl w:val="1"/>
          <w:numId w:val="221"/>
        </w:numPr>
        <w:tabs>
          <w:tab w:pos="1614" w:val="left" w:leader="none"/>
          <w:tab w:pos="1615" w:val="left" w:leader="none"/>
        </w:tabs>
        <w:spacing w:before="0"/>
        <w:ind w:left="1614" w:right="0" w:hanging="455"/>
        <w:jc w:val="left"/>
        <w:rPr>
          <w:b/>
          <w:sz w:val="18"/>
        </w:rPr>
      </w:pPr>
      <w:r>
        <w:rPr>
          <w:b/>
          <w:color w:val="231F20"/>
          <w:w w:val="110"/>
          <w:sz w:val="18"/>
        </w:rPr>
        <w:t>Voting</w:t>
      </w:r>
    </w:p>
    <w:p>
      <w:pPr>
        <w:pStyle w:val="BodyText"/>
        <w:spacing w:before="2"/>
        <w:rPr>
          <w:b/>
          <w:sz w:val="23"/>
        </w:rPr>
      </w:pPr>
    </w:p>
    <w:p>
      <w:pPr>
        <w:pStyle w:val="BodyText"/>
        <w:spacing w:line="273" w:lineRule="auto"/>
        <w:ind w:left="1160" w:right="1788"/>
      </w:pPr>
      <w:r>
        <w:rPr>
          <w:color w:val="231F20"/>
          <w:w w:val="110"/>
        </w:rPr>
        <w:t>6a. Voting on any motion whose effect is to alter, add to, modify or supersede the Basis, the Structure and any other form or expression of the polity and doctrinal formulations of the United Reformed Church, is governed by paragraph 3(l) and (2) of the Structure.</w:t>
      </w:r>
    </w:p>
    <w:p>
      <w:pPr>
        <w:pStyle w:val="BodyText"/>
        <w:spacing w:before="9"/>
        <w:rPr>
          <w:sz w:val="20"/>
        </w:rPr>
      </w:pPr>
    </w:p>
    <w:p>
      <w:pPr>
        <w:pStyle w:val="BodyText"/>
        <w:spacing w:line="273" w:lineRule="auto"/>
        <w:ind w:left="1160" w:right="1380" w:hanging="1"/>
      </w:pPr>
      <w:r>
        <w:rPr>
          <w:color w:val="231F20"/>
          <w:w w:val="110"/>
        </w:rPr>
        <w:t>6b. Other motions </w:t>
      </w:r>
      <w:r>
        <w:rPr>
          <w:color w:val="231F20"/>
          <w:spacing w:val="2"/>
          <w:w w:val="110"/>
        </w:rPr>
        <w:t>before </w:t>
      </w:r>
      <w:r>
        <w:rPr>
          <w:color w:val="231F20"/>
          <w:w w:val="110"/>
        </w:rPr>
        <w:t>the Assembly shall be determined by a majority of the votes  of </w:t>
      </w:r>
      <w:r>
        <w:rPr>
          <w:color w:val="231F20"/>
          <w:spacing w:val="2"/>
          <w:w w:val="110"/>
        </w:rPr>
        <w:t>members </w:t>
      </w:r>
      <w:r>
        <w:rPr>
          <w:color w:val="231F20"/>
          <w:w w:val="110"/>
        </w:rPr>
        <w:t>of the Assembly present and voting as indicated by a show of voting cards, except</w:t>
      </w:r>
    </w:p>
    <w:p>
      <w:pPr>
        <w:pStyle w:val="ListParagraph"/>
        <w:numPr>
          <w:ilvl w:val="0"/>
          <w:numId w:val="224"/>
        </w:numPr>
        <w:tabs>
          <w:tab w:pos="1614" w:val="left" w:leader="none"/>
          <w:tab w:pos="1615" w:val="left" w:leader="none"/>
        </w:tabs>
        <w:spacing w:line="273" w:lineRule="auto" w:before="2" w:after="0"/>
        <w:ind w:left="1614" w:right="1243" w:hanging="454"/>
        <w:jc w:val="left"/>
        <w:rPr>
          <w:sz w:val="18"/>
        </w:rPr>
      </w:pPr>
      <w:r>
        <w:rPr>
          <w:color w:val="231F20"/>
          <w:w w:val="110"/>
          <w:sz w:val="18"/>
        </w:rPr>
        <w:t>if the Assembly decides </w:t>
      </w:r>
      <w:r>
        <w:rPr>
          <w:color w:val="231F20"/>
          <w:spacing w:val="2"/>
          <w:w w:val="110"/>
          <w:sz w:val="18"/>
        </w:rPr>
        <w:t>before </w:t>
      </w:r>
      <w:r>
        <w:rPr>
          <w:color w:val="231F20"/>
          <w:w w:val="110"/>
          <w:sz w:val="18"/>
        </w:rPr>
        <w:t>the vote that a paper ballot be the method of voting or</w:t>
      </w:r>
    </w:p>
    <w:p>
      <w:pPr>
        <w:pStyle w:val="ListParagraph"/>
        <w:numPr>
          <w:ilvl w:val="0"/>
          <w:numId w:val="224"/>
        </w:numPr>
        <w:tabs>
          <w:tab w:pos="1615" w:val="left" w:leader="none"/>
        </w:tabs>
        <w:spacing w:line="273" w:lineRule="auto" w:before="2" w:after="0"/>
        <w:ind w:left="1614" w:right="1263" w:hanging="454"/>
        <w:jc w:val="left"/>
        <w:rPr>
          <w:sz w:val="18"/>
        </w:rPr>
      </w:pPr>
      <w:r>
        <w:rPr>
          <w:color w:val="231F20"/>
          <w:w w:val="110"/>
          <w:sz w:val="18"/>
        </w:rPr>
        <w:t>if the show of </w:t>
      </w:r>
      <w:r>
        <w:rPr>
          <w:color w:val="231F20"/>
          <w:spacing w:val="2"/>
          <w:w w:val="110"/>
          <w:sz w:val="18"/>
        </w:rPr>
        <w:t>cards </w:t>
      </w:r>
      <w:r>
        <w:rPr>
          <w:color w:val="231F20"/>
          <w:w w:val="110"/>
          <w:sz w:val="18"/>
        </w:rPr>
        <w:t>indicates by a </w:t>
      </w:r>
      <w:r>
        <w:rPr>
          <w:color w:val="231F20"/>
          <w:spacing w:val="2"/>
          <w:w w:val="110"/>
          <w:sz w:val="18"/>
        </w:rPr>
        <w:t>very </w:t>
      </w:r>
      <w:r>
        <w:rPr>
          <w:color w:val="231F20"/>
          <w:w w:val="110"/>
          <w:sz w:val="18"/>
        </w:rPr>
        <w:t>close vote, and the Moderator decides, or a member of Assembly </w:t>
      </w:r>
      <w:r>
        <w:rPr>
          <w:color w:val="231F20"/>
          <w:spacing w:val="2"/>
          <w:w w:val="110"/>
          <w:sz w:val="18"/>
        </w:rPr>
        <w:t>proposes </w:t>
      </w:r>
      <w:r>
        <w:rPr>
          <w:color w:val="231F20"/>
          <w:w w:val="110"/>
          <w:sz w:val="18"/>
        </w:rPr>
        <w:t>and the Assembly agrees, then a paper ballot shall be the method of</w:t>
      </w:r>
      <w:r>
        <w:rPr>
          <w:color w:val="231F20"/>
          <w:spacing w:val="4"/>
          <w:w w:val="110"/>
          <w:sz w:val="18"/>
        </w:rPr>
        <w:t> </w:t>
      </w:r>
      <w:r>
        <w:rPr>
          <w:color w:val="231F20"/>
          <w:w w:val="110"/>
          <w:sz w:val="18"/>
        </w:rPr>
        <w:t>voting.</w:t>
      </w:r>
    </w:p>
    <w:p>
      <w:pPr>
        <w:pStyle w:val="BodyText"/>
        <w:spacing w:before="8"/>
        <w:rPr>
          <w:sz w:val="20"/>
        </w:rPr>
      </w:pPr>
    </w:p>
    <w:p>
      <w:pPr>
        <w:pStyle w:val="BodyText"/>
        <w:spacing w:line="273" w:lineRule="auto"/>
        <w:ind w:left="1162" w:right="1132" w:hanging="2"/>
      </w:pPr>
      <w:r>
        <w:rPr>
          <w:color w:val="231F20"/>
          <w:w w:val="110"/>
        </w:rPr>
        <w:t>6c. To provide for voting in the case of a paper ballot, and to assist in taking a count of votes when the Moderator decides this is necessary, the Nominations Committee shall appoint tellers for each Assembly.</w:t>
      </w:r>
    </w:p>
    <w:p>
      <w:pPr>
        <w:pStyle w:val="BodyText"/>
        <w:rPr>
          <w:sz w:val="22"/>
        </w:rPr>
      </w:pPr>
    </w:p>
    <w:p>
      <w:pPr>
        <w:pStyle w:val="BodyText"/>
        <w:spacing w:before="4"/>
        <w:rPr>
          <w:sz w:val="19"/>
        </w:rPr>
      </w:pPr>
    </w:p>
    <w:p>
      <w:pPr>
        <w:numPr>
          <w:ilvl w:val="1"/>
          <w:numId w:val="221"/>
        </w:numPr>
        <w:tabs>
          <w:tab w:pos="1614" w:val="left" w:leader="none"/>
          <w:tab w:pos="1615" w:val="left" w:leader="none"/>
        </w:tabs>
        <w:spacing w:before="0"/>
        <w:ind w:left="1614" w:right="0" w:hanging="455"/>
        <w:jc w:val="left"/>
        <w:rPr>
          <w:b/>
          <w:sz w:val="18"/>
        </w:rPr>
      </w:pPr>
      <w:r>
        <w:rPr>
          <w:b/>
          <w:color w:val="231F20"/>
          <w:spacing w:val="2"/>
          <w:w w:val="110"/>
          <w:sz w:val="18"/>
        </w:rPr>
        <w:t>Questions</w:t>
      </w:r>
    </w:p>
    <w:p>
      <w:pPr>
        <w:pStyle w:val="BodyText"/>
        <w:spacing w:before="1"/>
        <w:rPr>
          <w:b/>
          <w:sz w:val="23"/>
        </w:rPr>
      </w:pPr>
    </w:p>
    <w:p>
      <w:pPr>
        <w:pStyle w:val="BodyText"/>
        <w:spacing w:line="273" w:lineRule="auto" w:before="1"/>
        <w:ind w:left="1160" w:right="1555"/>
      </w:pPr>
      <w:r>
        <w:rPr>
          <w:color w:val="231F20"/>
          <w:w w:val="110"/>
        </w:rPr>
        <w:t>7a. A member may, if two days’ notice in writing has been given to the General Secretary, ask the Moderator or the Convener of any Committee any question on any matter relating to the business of the Assembly to which no reference is made in any report before the Assembly.</w:t>
      </w:r>
    </w:p>
    <w:p>
      <w:pPr>
        <w:pStyle w:val="BodyText"/>
        <w:spacing w:before="9"/>
        <w:rPr>
          <w:sz w:val="20"/>
        </w:rPr>
      </w:pPr>
    </w:p>
    <w:p>
      <w:pPr>
        <w:pStyle w:val="BodyText"/>
        <w:spacing w:line="273" w:lineRule="auto"/>
        <w:ind w:left="1160" w:right="1132"/>
      </w:pPr>
      <w:r>
        <w:rPr>
          <w:color w:val="231F20"/>
          <w:w w:val="110"/>
        </w:rPr>
        <w:t>7b. A member may, when given opportunity by the Moderator, ask the presenter of any report before the Assembly a question seeking additional information or explanation relating to matters contained within the report.</w:t>
      </w:r>
    </w:p>
    <w:p>
      <w:pPr>
        <w:pStyle w:val="BodyText"/>
        <w:spacing w:before="9"/>
        <w:rPr>
          <w:sz w:val="20"/>
        </w:rPr>
      </w:pPr>
    </w:p>
    <w:p>
      <w:pPr>
        <w:pStyle w:val="BodyText"/>
        <w:spacing w:line="273" w:lineRule="auto"/>
        <w:ind w:left="1160" w:right="1995"/>
      </w:pPr>
      <w:r>
        <w:rPr>
          <w:color w:val="231F20"/>
          <w:spacing w:val="-3"/>
          <w:w w:val="110"/>
        </w:rPr>
        <w:t>7c.</w:t>
      </w:r>
      <w:r>
        <w:rPr>
          <w:color w:val="231F20"/>
          <w:spacing w:val="63"/>
          <w:w w:val="110"/>
        </w:rPr>
        <w:t> </w:t>
      </w:r>
      <w:r>
        <w:rPr>
          <w:color w:val="231F20"/>
          <w:w w:val="110"/>
        </w:rPr>
        <w:t>Questions asked under Standing </w:t>
      </w:r>
      <w:r>
        <w:rPr>
          <w:color w:val="231F20"/>
          <w:spacing w:val="2"/>
          <w:w w:val="110"/>
        </w:rPr>
        <w:t>Orders </w:t>
      </w:r>
      <w:r>
        <w:rPr>
          <w:color w:val="231F20"/>
          <w:spacing w:val="-3"/>
          <w:w w:val="110"/>
        </w:rPr>
        <w:t>7a </w:t>
      </w:r>
      <w:r>
        <w:rPr>
          <w:color w:val="231F20"/>
          <w:w w:val="110"/>
        </w:rPr>
        <w:t>and 7b shall be put and answered without discussion.</w:t>
      </w:r>
    </w:p>
    <w:p>
      <w:pPr>
        <w:pStyle w:val="BodyText"/>
        <w:rPr>
          <w:sz w:val="22"/>
        </w:rPr>
      </w:pPr>
    </w:p>
    <w:p>
      <w:pPr>
        <w:pStyle w:val="BodyText"/>
        <w:spacing w:before="3"/>
        <w:rPr>
          <w:sz w:val="19"/>
        </w:rPr>
      </w:pPr>
    </w:p>
    <w:p>
      <w:pPr>
        <w:numPr>
          <w:ilvl w:val="1"/>
          <w:numId w:val="221"/>
        </w:numPr>
        <w:tabs>
          <w:tab w:pos="1614" w:val="left" w:leader="none"/>
          <w:tab w:pos="1615" w:val="left" w:leader="none"/>
        </w:tabs>
        <w:spacing w:before="0"/>
        <w:ind w:left="1614" w:right="0" w:hanging="455"/>
        <w:jc w:val="left"/>
        <w:rPr>
          <w:b/>
          <w:sz w:val="18"/>
        </w:rPr>
      </w:pPr>
      <w:r>
        <w:rPr>
          <w:b/>
          <w:color w:val="231F20"/>
          <w:w w:val="110"/>
          <w:sz w:val="18"/>
        </w:rPr>
        <w:t>Points of Order, Personal Explanations,</w:t>
      </w:r>
      <w:r>
        <w:rPr>
          <w:b/>
          <w:color w:val="231F20"/>
          <w:spacing w:val="6"/>
          <w:w w:val="110"/>
          <w:sz w:val="18"/>
        </w:rPr>
        <w:t> </w:t>
      </w:r>
      <w:r>
        <w:rPr>
          <w:b/>
          <w:color w:val="231F20"/>
          <w:w w:val="110"/>
          <w:sz w:val="18"/>
        </w:rPr>
        <w:t>Dissent</w:t>
      </w:r>
    </w:p>
    <w:p>
      <w:pPr>
        <w:pStyle w:val="BodyText"/>
        <w:spacing w:before="1"/>
        <w:rPr>
          <w:b/>
          <w:sz w:val="23"/>
        </w:rPr>
      </w:pPr>
    </w:p>
    <w:p>
      <w:pPr>
        <w:pStyle w:val="BodyText"/>
        <w:spacing w:line="273" w:lineRule="auto"/>
        <w:ind w:left="1160" w:right="1506"/>
      </w:pPr>
      <w:r>
        <w:rPr>
          <w:color w:val="231F20"/>
          <w:w w:val="110"/>
        </w:rPr>
        <w:t>8a. A member shall have the right to rise and call attention to a point of order, and immediately on this being done any other member addressing the Assembly shall   cease speaking until the Moderator has determined the question of order. The decision on any point of order </w:t>
      </w:r>
      <w:r>
        <w:rPr>
          <w:color w:val="231F20"/>
          <w:spacing w:val="3"/>
          <w:w w:val="110"/>
        </w:rPr>
        <w:t>rests </w:t>
      </w:r>
      <w:r>
        <w:rPr>
          <w:color w:val="231F20"/>
          <w:w w:val="110"/>
        </w:rPr>
        <w:t>entirely with the Moderator. Any member calling to order unnecessarily is liable to censure of the</w:t>
      </w:r>
      <w:r>
        <w:rPr>
          <w:color w:val="231F20"/>
          <w:spacing w:val="14"/>
          <w:w w:val="110"/>
        </w:rPr>
        <w:t> </w:t>
      </w:r>
      <w:r>
        <w:rPr>
          <w:color w:val="231F20"/>
          <w:w w:val="110"/>
        </w:rPr>
        <w:t>Assembly.</w:t>
      </w:r>
    </w:p>
    <w:p>
      <w:pPr>
        <w:pStyle w:val="BodyText"/>
        <w:spacing w:before="10"/>
        <w:rPr>
          <w:sz w:val="20"/>
        </w:rPr>
      </w:pPr>
    </w:p>
    <w:p>
      <w:pPr>
        <w:pStyle w:val="BodyText"/>
        <w:spacing w:line="273" w:lineRule="auto"/>
        <w:ind w:left="1160" w:right="1575"/>
      </w:pPr>
      <w:r>
        <w:rPr>
          <w:color w:val="231F20"/>
          <w:w w:val="110"/>
        </w:rPr>
        <w:t>8b. A member feeling that some material </w:t>
      </w:r>
      <w:r>
        <w:rPr>
          <w:color w:val="231F20"/>
          <w:spacing w:val="2"/>
          <w:w w:val="110"/>
        </w:rPr>
        <w:t>part </w:t>
      </w:r>
      <w:r>
        <w:rPr>
          <w:color w:val="231F20"/>
          <w:w w:val="110"/>
        </w:rPr>
        <w:t>of a former </w:t>
      </w:r>
      <w:r>
        <w:rPr>
          <w:color w:val="231F20"/>
          <w:spacing w:val="2"/>
          <w:w w:val="110"/>
        </w:rPr>
        <w:t>speech </w:t>
      </w:r>
      <w:r>
        <w:rPr>
          <w:color w:val="231F20"/>
          <w:w w:val="110"/>
        </w:rPr>
        <w:t>by such member  at the same meeting has been misunderstood or is being grossly misinterpreted by    a later speaker may rise and request the Moderator’s permission to make a personal explanation. If the Moderator so permits, a member so rising shall be entitled to be heard</w:t>
      </w:r>
      <w:r>
        <w:rPr>
          <w:color w:val="231F20"/>
          <w:spacing w:val="1"/>
          <w:w w:val="110"/>
        </w:rPr>
        <w:t> </w:t>
      </w:r>
      <w:r>
        <w:rPr>
          <w:color w:val="231F20"/>
          <w:w w:val="110"/>
        </w:rPr>
        <w:t>forthwith.</w:t>
      </w:r>
    </w:p>
    <w:p>
      <w:pPr>
        <w:spacing w:after="0" w:line="273" w:lineRule="auto"/>
        <w:sectPr>
          <w:pgSz w:w="11910" w:h="16840"/>
          <w:pgMar w:header="558" w:footer="564" w:top="820" w:bottom="760" w:left="540" w:right="0"/>
        </w:sectPr>
      </w:pPr>
    </w:p>
    <w:p>
      <w:pPr>
        <w:pStyle w:val="BodyText"/>
        <w:spacing w:before="9"/>
        <w:rPr>
          <w:sz w:val="13"/>
        </w:rPr>
      </w:pPr>
    </w:p>
    <w:p>
      <w:pPr>
        <w:pStyle w:val="BodyText"/>
        <w:spacing w:line="273" w:lineRule="auto" w:before="101"/>
        <w:ind w:left="594" w:right="1788" w:hanging="1"/>
      </w:pPr>
      <w:r>
        <w:rPr>
          <w:color w:val="231F20"/>
          <w:spacing w:val="3"/>
          <w:w w:val="110"/>
        </w:rPr>
        <w:t>8c. The </w:t>
      </w:r>
      <w:r>
        <w:rPr>
          <w:color w:val="231F20"/>
          <w:spacing w:val="2"/>
          <w:w w:val="110"/>
        </w:rPr>
        <w:t>right </w:t>
      </w:r>
      <w:r>
        <w:rPr>
          <w:color w:val="231F20"/>
          <w:w w:val="110"/>
        </w:rPr>
        <w:t>to </w:t>
      </w:r>
      <w:r>
        <w:rPr>
          <w:color w:val="231F20"/>
          <w:spacing w:val="4"/>
          <w:w w:val="110"/>
        </w:rPr>
        <w:t>record </w:t>
      </w:r>
      <w:r>
        <w:rPr>
          <w:color w:val="231F20"/>
          <w:w w:val="110"/>
        </w:rPr>
        <w:t>in </w:t>
      </w:r>
      <w:r>
        <w:rPr>
          <w:color w:val="231F20"/>
          <w:spacing w:val="2"/>
          <w:w w:val="110"/>
        </w:rPr>
        <w:t>the minutes </w:t>
      </w:r>
      <w:r>
        <w:rPr>
          <w:color w:val="231F20"/>
          <w:w w:val="110"/>
        </w:rPr>
        <w:t>a </w:t>
      </w:r>
      <w:r>
        <w:rPr>
          <w:color w:val="231F20"/>
          <w:spacing w:val="3"/>
          <w:w w:val="110"/>
        </w:rPr>
        <w:t>dissent from </w:t>
      </w:r>
      <w:r>
        <w:rPr>
          <w:color w:val="231F20"/>
          <w:w w:val="110"/>
        </w:rPr>
        <w:t>any </w:t>
      </w:r>
      <w:r>
        <w:rPr>
          <w:color w:val="231F20"/>
          <w:spacing w:val="3"/>
          <w:w w:val="110"/>
        </w:rPr>
        <w:t>decision </w:t>
      </w:r>
      <w:r>
        <w:rPr>
          <w:color w:val="231F20"/>
          <w:w w:val="110"/>
        </w:rPr>
        <w:t>of </w:t>
      </w:r>
      <w:r>
        <w:rPr>
          <w:color w:val="231F20"/>
          <w:spacing w:val="2"/>
          <w:w w:val="110"/>
        </w:rPr>
        <w:t>the </w:t>
      </w:r>
      <w:r>
        <w:rPr>
          <w:color w:val="231F20"/>
          <w:spacing w:val="3"/>
          <w:w w:val="110"/>
        </w:rPr>
        <w:t>Assembly </w:t>
      </w:r>
      <w:r>
        <w:rPr>
          <w:color w:val="231F20"/>
          <w:w w:val="110"/>
        </w:rPr>
        <w:t>shall only </w:t>
      </w:r>
      <w:r>
        <w:rPr>
          <w:color w:val="231F20"/>
          <w:spacing w:val="2"/>
          <w:w w:val="110"/>
        </w:rPr>
        <w:t>be granted </w:t>
      </w:r>
      <w:r>
        <w:rPr>
          <w:color w:val="231F20"/>
          <w:w w:val="110"/>
        </w:rPr>
        <w:t>to a </w:t>
      </w:r>
      <w:r>
        <w:rPr>
          <w:color w:val="231F20"/>
          <w:spacing w:val="3"/>
          <w:w w:val="110"/>
        </w:rPr>
        <w:t>member </w:t>
      </w:r>
      <w:r>
        <w:rPr>
          <w:color w:val="231F20"/>
          <w:w w:val="110"/>
        </w:rPr>
        <w:t>by </w:t>
      </w:r>
      <w:r>
        <w:rPr>
          <w:color w:val="231F20"/>
          <w:spacing w:val="2"/>
          <w:w w:val="110"/>
        </w:rPr>
        <w:t>the </w:t>
      </w:r>
      <w:r>
        <w:rPr>
          <w:color w:val="231F20"/>
          <w:spacing w:val="3"/>
          <w:w w:val="110"/>
        </w:rPr>
        <w:t>Moderator </w:t>
      </w:r>
      <w:r>
        <w:rPr>
          <w:color w:val="231F20"/>
          <w:w w:val="110"/>
        </w:rPr>
        <w:t>if </w:t>
      </w:r>
      <w:r>
        <w:rPr>
          <w:color w:val="231F20"/>
          <w:spacing w:val="2"/>
          <w:w w:val="110"/>
        </w:rPr>
        <w:t>the </w:t>
      </w:r>
      <w:r>
        <w:rPr>
          <w:color w:val="231F20"/>
          <w:spacing w:val="3"/>
          <w:w w:val="110"/>
        </w:rPr>
        <w:t>reason </w:t>
      </w:r>
      <w:r>
        <w:rPr>
          <w:color w:val="231F20"/>
          <w:spacing w:val="2"/>
          <w:w w:val="110"/>
        </w:rPr>
        <w:t>stated, </w:t>
      </w:r>
      <w:r>
        <w:rPr>
          <w:color w:val="231F20"/>
          <w:spacing w:val="3"/>
          <w:w w:val="110"/>
        </w:rPr>
        <w:t>either </w:t>
      </w:r>
      <w:r>
        <w:rPr>
          <w:color w:val="231F20"/>
          <w:spacing w:val="2"/>
          <w:w w:val="110"/>
        </w:rPr>
        <w:t>verbally </w:t>
      </w:r>
      <w:r>
        <w:rPr>
          <w:color w:val="231F20"/>
          <w:w w:val="110"/>
        </w:rPr>
        <w:t>at  </w:t>
      </w:r>
      <w:r>
        <w:rPr>
          <w:color w:val="231F20"/>
          <w:spacing w:val="2"/>
          <w:w w:val="110"/>
        </w:rPr>
        <w:t>the time </w:t>
      </w:r>
      <w:r>
        <w:rPr>
          <w:color w:val="231F20"/>
          <w:w w:val="110"/>
        </w:rPr>
        <w:t>or </w:t>
      </w:r>
      <w:r>
        <w:rPr>
          <w:color w:val="231F20"/>
          <w:spacing w:val="2"/>
          <w:w w:val="110"/>
        </w:rPr>
        <w:t>later </w:t>
      </w:r>
      <w:r>
        <w:rPr>
          <w:color w:val="231F20"/>
          <w:w w:val="110"/>
        </w:rPr>
        <w:t>in </w:t>
      </w:r>
      <w:r>
        <w:rPr>
          <w:color w:val="231F20"/>
          <w:spacing w:val="2"/>
          <w:w w:val="110"/>
        </w:rPr>
        <w:t>writing, </w:t>
      </w:r>
      <w:r>
        <w:rPr>
          <w:color w:val="231F20"/>
          <w:spacing w:val="3"/>
          <w:w w:val="110"/>
        </w:rPr>
        <w:t>appears </w:t>
      </w:r>
      <w:r>
        <w:rPr>
          <w:color w:val="231F20"/>
          <w:w w:val="110"/>
        </w:rPr>
        <w:t>to </w:t>
      </w:r>
      <w:r>
        <w:rPr>
          <w:color w:val="231F20"/>
          <w:spacing w:val="2"/>
          <w:w w:val="110"/>
        </w:rPr>
        <w:t>the </w:t>
      </w:r>
      <w:r>
        <w:rPr>
          <w:color w:val="231F20"/>
          <w:spacing w:val="3"/>
          <w:w w:val="110"/>
        </w:rPr>
        <w:t>Moderator </w:t>
      </w:r>
      <w:r>
        <w:rPr>
          <w:color w:val="231F20"/>
          <w:w w:val="110"/>
        </w:rPr>
        <w:t>to fall within </w:t>
      </w:r>
      <w:r>
        <w:rPr>
          <w:color w:val="231F20"/>
          <w:spacing w:val="2"/>
          <w:w w:val="110"/>
        </w:rPr>
        <w:t>the provisions </w:t>
      </w:r>
      <w:r>
        <w:rPr>
          <w:color w:val="231F20"/>
          <w:w w:val="110"/>
        </w:rPr>
        <w:t>of </w:t>
      </w:r>
      <w:r>
        <w:rPr>
          <w:color w:val="231F20"/>
          <w:spacing w:val="2"/>
          <w:w w:val="110"/>
        </w:rPr>
        <w:t>paragraph </w:t>
      </w:r>
      <w:r>
        <w:rPr>
          <w:color w:val="231F20"/>
          <w:spacing w:val="-3"/>
          <w:w w:val="110"/>
        </w:rPr>
        <w:t>10 </w:t>
      </w:r>
      <w:r>
        <w:rPr>
          <w:color w:val="231F20"/>
          <w:w w:val="110"/>
        </w:rPr>
        <w:t>of </w:t>
      </w:r>
      <w:r>
        <w:rPr>
          <w:color w:val="231F20"/>
          <w:spacing w:val="2"/>
          <w:w w:val="110"/>
        </w:rPr>
        <w:t>the </w:t>
      </w:r>
      <w:r>
        <w:rPr>
          <w:color w:val="231F20"/>
          <w:spacing w:val="3"/>
          <w:w w:val="110"/>
        </w:rPr>
        <w:t>Basis </w:t>
      </w:r>
      <w:r>
        <w:rPr>
          <w:color w:val="231F20"/>
          <w:w w:val="110"/>
        </w:rPr>
        <w:t>of</w:t>
      </w:r>
      <w:r>
        <w:rPr>
          <w:color w:val="231F20"/>
          <w:spacing w:val="28"/>
          <w:w w:val="110"/>
        </w:rPr>
        <w:t> </w:t>
      </w:r>
      <w:r>
        <w:rPr>
          <w:color w:val="231F20"/>
          <w:w w:val="110"/>
        </w:rPr>
        <w:t>Union.</w:t>
      </w:r>
    </w:p>
    <w:p>
      <w:pPr>
        <w:pStyle w:val="BodyText"/>
        <w:spacing w:before="9"/>
        <w:rPr>
          <w:sz w:val="20"/>
        </w:rPr>
      </w:pPr>
    </w:p>
    <w:p>
      <w:pPr>
        <w:pStyle w:val="BodyText"/>
        <w:spacing w:line="273" w:lineRule="auto"/>
        <w:ind w:left="594" w:right="1642" w:hanging="1"/>
      </w:pPr>
      <w:r>
        <w:rPr>
          <w:color w:val="231F20"/>
          <w:w w:val="110"/>
        </w:rPr>
        <w:t>8d. The decision of the Moderator on a point of order, or on the admissibility of a personal explanation, or on the right to have a dissent recorded, shall not be open to discussion.</w:t>
      </w:r>
    </w:p>
    <w:p>
      <w:pPr>
        <w:pStyle w:val="BodyText"/>
        <w:rPr>
          <w:sz w:val="22"/>
        </w:rPr>
      </w:pPr>
    </w:p>
    <w:p>
      <w:pPr>
        <w:pStyle w:val="BodyText"/>
        <w:spacing w:before="9"/>
        <w:rPr>
          <w:sz w:val="16"/>
        </w:rPr>
      </w:pPr>
    </w:p>
    <w:p>
      <w:pPr>
        <w:numPr>
          <w:ilvl w:val="1"/>
          <w:numId w:val="221"/>
        </w:numPr>
        <w:tabs>
          <w:tab w:pos="1047" w:val="left" w:leader="none"/>
          <w:tab w:pos="1048" w:val="left" w:leader="none"/>
        </w:tabs>
        <w:spacing w:before="0"/>
        <w:ind w:left="1047" w:right="0" w:hanging="455"/>
        <w:jc w:val="left"/>
        <w:rPr>
          <w:b/>
          <w:sz w:val="18"/>
        </w:rPr>
      </w:pPr>
      <w:r>
        <w:rPr>
          <w:b/>
          <w:color w:val="231F20"/>
          <w:w w:val="110"/>
          <w:sz w:val="18"/>
        </w:rPr>
        <w:t>Admission of Public and</w:t>
      </w:r>
      <w:r>
        <w:rPr>
          <w:b/>
          <w:color w:val="231F20"/>
          <w:spacing w:val="1"/>
          <w:w w:val="110"/>
          <w:sz w:val="18"/>
        </w:rPr>
        <w:t> </w:t>
      </w:r>
      <w:r>
        <w:rPr>
          <w:b/>
          <w:color w:val="231F20"/>
          <w:spacing w:val="2"/>
          <w:w w:val="110"/>
          <w:sz w:val="18"/>
        </w:rPr>
        <w:t>Press</w:t>
      </w:r>
    </w:p>
    <w:p>
      <w:pPr>
        <w:pStyle w:val="BodyText"/>
        <w:spacing w:before="2"/>
        <w:rPr>
          <w:b/>
          <w:sz w:val="23"/>
        </w:rPr>
      </w:pPr>
    </w:p>
    <w:p>
      <w:pPr>
        <w:pStyle w:val="BodyText"/>
        <w:spacing w:line="273" w:lineRule="auto"/>
        <w:ind w:left="593" w:right="1534"/>
        <w:jc w:val="both"/>
      </w:pPr>
      <w:r>
        <w:rPr>
          <w:color w:val="231F20"/>
          <w:spacing w:val="2"/>
          <w:w w:val="110"/>
        </w:rPr>
        <w:t>Members </w:t>
      </w:r>
      <w:r>
        <w:rPr>
          <w:color w:val="231F20"/>
          <w:w w:val="110"/>
        </w:rPr>
        <w:t>of the public and representatives of the </w:t>
      </w:r>
      <w:r>
        <w:rPr>
          <w:color w:val="231F20"/>
          <w:spacing w:val="2"/>
          <w:w w:val="110"/>
        </w:rPr>
        <w:t>press </w:t>
      </w:r>
      <w:r>
        <w:rPr>
          <w:color w:val="231F20"/>
          <w:w w:val="110"/>
        </w:rPr>
        <w:t>shall be admitted to the Assembly unless the Assembly otherwise decides, and they shall occupy such places as are assigned to them.</w:t>
      </w:r>
    </w:p>
    <w:p>
      <w:pPr>
        <w:pStyle w:val="BodyText"/>
        <w:rPr>
          <w:sz w:val="22"/>
        </w:rPr>
      </w:pPr>
    </w:p>
    <w:p>
      <w:pPr>
        <w:pStyle w:val="BodyText"/>
        <w:spacing w:before="10"/>
        <w:rPr>
          <w:sz w:val="16"/>
        </w:rPr>
      </w:pPr>
    </w:p>
    <w:p>
      <w:pPr>
        <w:numPr>
          <w:ilvl w:val="1"/>
          <w:numId w:val="221"/>
        </w:numPr>
        <w:tabs>
          <w:tab w:pos="1048" w:val="left" w:leader="none"/>
        </w:tabs>
        <w:spacing w:before="0"/>
        <w:ind w:left="1047" w:right="0" w:hanging="455"/>
        <w:jc w:val="left"/>
        <w:rPr>
          <w:b/>
          <w:sz w:val="18"/>
        </w:rPr>
      </w:pPr>
      <w:r>
        <w:rPr>
          <w:b/>
          <w:color w:val="231F20"/>
          <w:w w:val="110"/>
          <w:sz w:val="18"/>
        </w:rPr>
        <w:t>Circulation of </w:t>
      </w:r>
      <w:r>
        <w:rPr>
          <w:b/>
          <w:color w:val="231F20"/>
          <w:spacing w:val="2"/>
          <w:w w:val="110"/>
          <w:sz w:val="18"/>
        </w:rPr>
        <w:t>Documents</w:t>
      </w:r>
    </w:p>
    <w:p>
      <w:pPr>
        <w:pStyle w:val="BodyText"/>
        <w:spacing w:before="2"/>
        <w:rPr>
          <w:b/>
          <w:sz w:val="23"/>
        </w:rPr>
      </w:pPr>
    </w:p>
    <w:p>
      <w:pPr>
        <w:pStyle w:val="BodyText"/>
        <w:spacing w:line="273" w:lineRule="auto"/>
        <w:ind w:left="593" w:right="1596"/>
      </w:pPr>
      <w:r>
        <w:rPr>
          <w:color w:val="231F20"/>
          <w:w w:val="110"/>
        </w:rPr>
        <w:t>Only documents authorised by the General </w:t>
      </w:r>
      <w:r>
        <w:rPr>
          <w:color w:val="231F20"/>
          <w:spacing w:val="3"/>
          <w:w w:val="110"/>
        </w:rPr>
        <w:t>Secretary </w:t>
      </w:r>
      <w:r>
        <w:rPr>
          <w:color w:val="231F20"/>
          <w:w w:val="110"/>
        </w:rPr>
        <w:t>in consultation with the Convener    of the Assembly Arrangements Committee may be distributed within the building in which the Assembly is</w:t>
      </w:r>
      <w:r>
        <w:rPr>
          <w:color w:val="231F20"/>
          <w:spacing w:val="3"/>
          <w:w w:val="110"/>
        </w:rPr>
        <w:t> </w:t>
      </w:r>
      <w:r>
        <w:rPr>
          <w:color w:val="231F20"/>
          <w:w w:val="110"/>
        </w:rPr>
        <w:t>meeting.</w:t>
      </w:r>
    </w:p>
    <w:p>
      <w:pPr>
        <w:pStyle w:val="BodyText"/>
        <w:rPr>
          <w:sz w:val="22"/>
        </w:rPr>
      </w:pPr>
    </w:p>
    <w:p>
      <w:pPr>
        <w:pStyle w:val="BodyText"/>
        <w:spacing w:before="10"/>
        <w:rPr>
          <w:sz w:val="16"/>
        </w:rPr>
      </w:pPr>
    </w:p>
    <w:p>
      <w:pPr>
        <w:numPr>
          <w:ilvl w:val="1"/>
          <w:numId w:val="221"/>
        </w:numPr>
        <w:tabs>
          <w:tab w:pos="1048" w:val="left" w:leader="none"/>
        </w:tabs>
        <w:spacing w:before="0"/>
        <w:ind w:left="1047" w:right="0" w:hanging="455"/>
        <w:jc w:val="left"/>
        <w:rPr>
          <w:b/>
          <w:sz w:val="18"/>
        </w:rPr>
      </w:pPr>
      <w:r>
        <w:rPr>
          <w:b/>
          <w:color w:val="231F20"/>
          <w:spacing w:val="2"/>
          <w:w w:val="110"/>
          <w:sz w:val="18"/>
        </w:rPr>
        <w:t>Records </w:t>
      </w:r>
      <w:r>
        <w:rPr>
          <w:b/>
          <w:color w:val="231F20"/>
          <w:w w:val="110"/>
          <w:sz w:val="18"/>
        </w:rPr>
        <w:t>of the</w:t>
      </w:r>
      <w:r>
        <w:rPr>
          <w:b/>
          <w:color w:val="231F20"/>
          <w:spacing w:val="-2"/>
          <w:w w:val="110"/>
          <w:sz w:val="18"/>
        </w:rPr>
        <w:t> </w:t>
      </w:r>
      <w:r>
        <w:rPr>
          <w:b/>
          <w:color w:val="231F20"/>
          <w:spacing w:val="2"/>
          <w:w w:val="110"/>
          <w:sz w:val="18"/>
        </w:rPr>
        <w:t>Assembly</w:t>
      </w:r>
    </w:p>
    <w:p>
      <w:pPr>
        <w:pStyle w:val="BodyText"/>
        <w:spacing w:before="1"/>
        <w:rPr>
          <w:b/>
          <w:sz w:val="23"/>
        </w:rPr>
      </w:pPr>
    </w:p>
    <w:p>
      <w:pPr>
        <w:pStyle w:val="BodyText"/>
        <w:spacing w:line="273" w:lineRule="auto" w:before="1"/>
        <w:ind w:left="593" w:right="1995"/>
      </w:pPr>
      <w:r>
        <w:rPr>
          <w:color w:val="231F20"/>
          <w:w w:val="110"/>
        </w:rPr>
        <w:t>11a. A record of attendance at the meetings of the Assembly shall be kept in such a manner as the Assembly Arrangements Committee may determine.</w:t>
      </w:r>
    </w:p>
    <w:p>
      <w:pPr>
        <w:pStyle w:val="BodyText"/>
        <w:spacing w:before="8"/>
        <w:rPr>
          <w:sz w:val="20"/>
        </w:rPr>
      </w:pPr>
    </w:p>
    <w:p>
      <w:pPr>
        <w:pStyle w:val="BodyText"/>
        <w:spacing w:line="273" w:lineRule="auto"/>
        <w:ind w:left="593" w:right="1564"/>
      </w:pPr>
      <w:r>
        <w:rPr>
          <w:color w:val="231F20"/>
          <w:spacing w:val="-7"/>
          <w:w w:val="110"/>
        </w:rPr>
        <w:t>11b. </w:t>
      </w:r>
      <w:r>
        <w:rPr>
          <w:color w:val="231F20"/>
          <w:w w:val="110"/>
        </w:rPr>
        <w:t>The minutes of each </w:t>
      </w:r>
      <w:r>
        <w:rPr>
          <w:color w:val="231F20"/>
          <w:spacing w:val="-3"/>
          <w:w w:val="110"/>
        </w:rPr>
        <w:t>day’s </w:t>
      </w:r>
      <w:r>
        <w:rPr>
          <w:color w:val="231F20"/>
          <w:w w:val="110"/>
        </w:rPr>
        <w:t>proceedings, in duplicated form, shall be circulated on the following </w:t>
      </w:r>
      <w:r>
        <w:rPr>
          <w:color w:val="231F20"/>
          <w:spacing w:val="-3"/>
          <w:w w:val="110"/>
        </w:rPr>
        <w:t>day </w:t>
      </w:r>
      <w:r>
        <w:rPr>
          <w:color w:val="231F20"/>
          <w:w w:val="110"/>
        </w:rPr>
        <w:t>and </w:t>
      </w:r>
      <w:r>
        <w:rPr>
          <w:color w:val="231F20"/>
          <w:spacing w:val="-3"/>
          <w:w w:val="110"/>
        </w:rPr>
        <w:t>normally, </w:t>
      </w:r>
      <w:r>
        <w:rPr>
          <w:color w:val="231F20"/>
          <w:w w:val="110"/>
        </w:rPr>
        <w:t>after </w:t>
      </w:r>
      <w:r>
        <w:rPr>
          <w:color w:val="231F20"/>
          <w:spacing w:val="-3"/>
          <w:w w:val="110"/>
        </w:rPr>
        <w:t>any </w:t>
      </w:r>
      <w:r>
        <w:rPr>
          <w:color w:val="231F20"/>
          <w:w w:val="110"/>
        </w:rPr>
        <w:t>necessary correction, approved at the opening of the afternoon or evening session. Concerning the minutes of the closing </w:t>
      </w:r>
      <w:r>
        <w:rPr>
          <w:color w:val="231F20"/>
          <w:spacing w:val="-3"/>
          <w:w w:val="110"/>
        </w:rPr>
        <w:t>day </w:t>
      </w:r>
      <w:r>
        <w:rPr>
          <w:color w:val="231F20"/>
          <w:w w:val="110"/>
        </w:rPr>
        <w:t>of the Assembly the Clerk shall submit a motion approving their insertion in the full minutes of the Assembly after review and </w:t>
      </w:r>
      <w:r>
        <w:rPr>
          <w:color w:val="231F20"/>
          <w:spacing w:val="-3"/>
          <w:w w:val="110"/>
        </w:rPr>
        <w:t>any </w:t>
      </w:r>
      <w:r>
        <w:rPr>
          <w:color w:val="231F20"/>
          <w:w w:val="110"/>
        </w:rPr>
        <w:t>necessary correction by the officers of the Assembly. Before such a motion is voted upon, </w:t>
      </w:r>
      <w:r>
        <w:rPr>
          <w:color w:val="231F20"/>
          <w:spacing w:val="-3"/>
          <w:w w:val="110"/>
        </w:rPr>
        <w:t>any </w:t>
      </w:r>
      <w:r>
        <w:rPr>
          <w:color w:val="231F20"/>
          <w:w w:val="110"/>
        </w:rPr>
        <w:t>member </w:t>
      </w:r>
      <w:r>
        <w:rPr>
          <w:color w:val="231F20"/>
          <w:spacing w:val="-3"/>
          <w:w w:val="110"/>
        </w:rPr>
        <w:t>may </w:t>
      </w:r>
      <w:r>
        <w:rPr>
          <w:color w:val="231F20"/>
          <w:w w:val="110"/>
        </w:rPr>
        <w:t>ask to </w:t>
      </w:r>
      <w:r>
        <w:rPr>
          <w:color w:val="231F20"/>
          <w:spacing w:val="-3"/>
          <w:w w:val="110"/>
        </w:rPr>
        <w:t>have </w:t>
      </w:r>
      <w:r>
        <w:rPr>
          <w:color w:val="231F20"/>
          <w:w w:val="110"/>
        </w:rPr>
        <w:t>read out the written minute on </w:t>
      </w:r>
      <w:r>
        <w:rPr>
          <w:color w:val="231F20"/>
          <w:spacing w:val="-3"/>
          <w:w w:val="110"/>
        </w:rPr>
        <w:t>any </w:t>
      </w:r>
      <w:r>
        <w:rPr>
          <w:color w:val="231F20"/>
          <w:w w:val="110"/>
        </w:rPr>
        <w:t>particular</w:t>
      </w:r>
      <w:r>
        <w:rPr>
          <w:color w:val="231F20"/>
          <w:spacing w:val="-4"/>
          <w:w w:val="110"/>
        </w:rPr>
        <w:t> </w:t>
      </w:r>
      <w:r>
        <w:rPr>
          <w:color w:val="231F20"/>
          <w:w w:val="110"/>
        </w:rPr>
        <w:t>item.</w:t>
      </w:r>
    </w:p>
    <w:p>
      <w:pPr>
        <w:pStyle w:val="BodyText"/>
        <w:spacing w:before="11"/>
        <w:rPr>
          <w:sz w:val="20"/>
        </w:rPr>
      </w:pPr>
    </w:p>
    <w:p>
      <w:pPr>
        <w:pStyle w:val="BodyText"/>
        <w:ind w:left="593"/>
        <w:jc w:val="both"/>
      </w:pPr>
      <w:r>
        <w:rPr>
          <w:color w:val="231F20"/>
          <w:w w:val="110"/>
        </w:rPr>
        <w:t>11c. A signed copy of the minutes shall be preserved in the custody of the General</w:t>
      </w:r>
    </w:p>
    <w:p>
      <w:pPr>
        <w:pStyle w:val="BodyText"/>
        <w:spacing w:before="31"/>
        <w:ind w:left="593"/>
        <w:jc w:val="both"/>
      </w:pPr>
      <w:r>
        <w:rPr>
          <w:color w:val="231F20"/>
          <w:w w:val="110"/>
        </w:rPr>
        <w:t>Secretary as the official record of the Assembly’s proceedings.</w:t>
      </w:r>
    </w:p>
    <w:p>
      <w:pPr>
        <w:pStyle w:val="BodyText"/>
        <w:spacing w:before="2"/>
        <w:rPr>
          <w:sz w:val="23"/>
        </w:rPr>
      </w:pPr>
    </w:p>
    <w:p>
      <w:pPr>
        <w:pStyle w:val="BodyText"/>
        <w:spacing w:line="273" w:lineRule="auto"/>
        <w:ind w:left="594" w:right="1555" w:hanging="1"/>
      </w:pPr>
      <w:r>
        <w:rPr>
          <w:color w:val="231F20"/>
          <w:w w:val="110"/>
        </w:rPr>
        <w:t>11d. As soon as possible after the Assembly meeting ends, the substance of the minutes together with any other relevant papers shall be published as a “Record of Assembly” and a copy sent to every member of the Assembly, each synod, district council and local church.</w:t>
      </w:r>
    </w:p>
    <w:p>
      <w:pPr>
        <w:pStyle w:val="BodyText"/>
        <w:rPr>
          <w:sz w:val="22"/>
        </w:rPr>
      </w:pPr>
    </w:p>
    <w:p>
      <w:pPr>
        <w:pStyle w:val="BodyText"/>
        <w:spacing w:before="10"/>
        <w:rPr>
          <w:sz w:val="16"/>
        </w:rPr>
      </w:pPr>
    </w:p>
    <w:p>
      <w:pPr>
        <w:numPr>
          <w:ilvl w:val="1"/>
          <w:numId w:val="221"/>
        </w:numPr>
        <w:tabs>
          <w:tab w:pos="1048" w:val="left" w:leader="none"/>
        </w:tabs>
        <w:spacing w:before="0"/>
        <w:ind w:left="1047" w:right="0" w:hanging="455"/>
        <w:jc w:val="left"/>
        <w:rPr>
          <w:b/>
          <w:sz w:val="18"/>
        </w:rPr>
      </w:pPr>
      <w:r>
        <w:rPr>
          <w:b/>
          <w:color w:val="231F20"/>
          <w:w w:val="110"/>
          <w:sz w:val="18"/>
        </w:rPr>
        <w:t>Suspension and Amendment of Standing</w:t>
      </w:r>
      <w:r>
        <w:rPr>
          <w:b/>
          <w:color w:val="231F20"/>
          <w:spacing w:val="5"/>
          <w:w w:val="110"/>
          <w:sz w:val="18"/>
        </w:rPr>
        <w:t> </w:t>
      </w:r>
      <w:r>
        <w:rPr>
          <w:b/>
          <w:color w:val="231F20"/>
          <w:spacing w:val="2"/>
          <w:w w:val="110"/>
          <w:sz w:val="18"/>
        </w:rPr>
        <w:t>Orders</w:t>
      </w:r>
    </w:p>
    <w:p>
      <w:pPr>
        <w:pStyle w:val="BodyText"/>
        <w:spacing w:before="1"/>
        <w:rPr>
          <w:b/>
          <w:sz w:val="23"/>
        </w:rPr>
      </w:pPr>
    </w:p>
    <w:p>
      <w:pPr>
        <w:pStyle w:val="BodyText"/>
        <w:spacing w:line="273" w:lineRule="auto" w:before="1"/>
        <w:ind w:left="593" w:right="1642"/>
      </w:pPr>
      <w:r>
        <w:rPr>
          <w:color w:val="231F20"/>
          <w:w w:val="110"/>
        </w:rPr>
        <w:t>12a.In any case of urgency or upon motion made on a notice duly given, any one or more of the Standing Orders may be suspended at any meeting so far as regards any particular business at such a meeting, provided that three-fourths of the members of the Assembly present and voting shall so decide.</w:t>
      </w:r>
    </w:p>
    <w:p>
      <w:pPr>
        <w:pStyle w:val="BodyText"/>
        <w:spacing w:before="9"/>
        <w:rPr>
          <w:sz w:val="20"/>
        </w:rPr>
      </w:pPr>
    </w:p>
    <w:p>
      <w:pPr>
        <w:pStyle w:val="BodyText"/>
        <w:spacing w:line="273" w:lineRule="auto"/>
        <w:ind w:left="593" w:right="1788"/>
      </w:pPr>
      <w:r>
        <w:rPr>
          <w:color w:val="231F20"/>
          <w:w w:val="110"/>
        </w:rPr>
        <w:t>12b.Motions to amend the Standing Orders shall be referred to the Clerk of the Assembly for report before being voted on by the Assembly (or, in case of urgency, by the Mission Council). The Clerk of the Assembly may from time to time suggest amendments to the Standing Orders, which shall be subject to decision by the Assembly.</w:t>
      </w:r>
    </w:p>
    <w:p>
      <w:pPr>
        <w:pStyle w:val="BodyText"/>
        <w:rPr>
          <w:sz w:val="22"/>
        </w:rPr>
      </w:pPr>
    </w:p>
    <w:p>
      <w:pPr>
        <w:pStyle w:val="BodyText"/>
        <w:spacing w:before="6"/>
        <w:rPr>
          <w:sz w:val="27"/>
        </w:rPr>
      </w:pPr>
    </w:p>
    <w:p>
      <w:pPr>
        <w:spacing w:before="0"/>
        <w:ind w:left="3689" w:right="4793"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64" w:top="820" w:bottom="760" w:left="540" w:right="0"/>
        </w:sectPr>
      </w:pPr>
    </w:p>
    <w:p>
      <w:pPr>
        <w:spacing w:before="86"/>
        <w:ind w:left="593" w:right="0" w:firstLine="0"/>
        <w:jc w:val="left"/>
        <w:rPr>
          <w:b/>
          <w:sz w:val="56"/>
        </w:rPr>
      </w:pPr>
      <w:r>
        <w:rPr/>
        <w:pict>
          <v:shape style="position:absolute;margin-left:507.100189pt;margin-top:3.943971pt;width:68.850pt;height:683.15pt;mso-position-horizontal-relative:page;mso-position-vertical-relative:paragraph;z-index:252175360" type="#_x0000_t202" filled="false" stroked="false">
            <v:textbox inset="0,0,0,0" style="layout-flow:vertical">
              <w:txbxContent>
                <w:p>
                  <w:pPr>
                    <w:spacing w:line="989" w:lineRule="exact" w:before="20"/>
                    <w:ind w:left="20" w:right="0" w:firstLine="0"/>
                    <w:jc w:val="left"/>
                    <w:rPr>
                      <w:b/>
                      <w:sz w:val="88"/>
                    </w:rPr>
                  </w:pPr>
                  <w:r>
                    <w:rPr>
                      <w:b/>
                      <w:color w:val="231F20"/>
                      <w:sz w:val="88"/>
                    </w:rPr>
                    <w:t>Reports from Colleges</w:t>
                  </w:r>
                </w:p>
                <w:p>
                  <w:pPr>
                    <w:spacing w:line="365"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color w:val="231F20"/>
          <w:sz w:val="56"/>
        </w:rPr>
        <w:t>Westminster College</w:t>
      </w:r>
    </w:p>
    <w:p>
      <w:pPr>
        <w:spacing w:before="415"/>
        <w:ind w:left="1160" w:right="0" w:firstLine="0"/>
        <w:jc w:val="left"/>
        <w:rPr>
          <w:b/>
          <w:sz w:val="29"/>
        </w:rPr>
      </w:pPr>
      <w:r>
        <w:rPr>
          <w:b/>
          <w:color w:val="231F20"/>
          <w:w w:val="110"/>
          <w:sz w:val="29"/>
        </w:rPr>
        <w:t>The wider United Reformed Church</w:t>
      </w:r>
    </w:p>
    <w:p>
      <w:pPr>
        <w:pStyle w:val="ListParagraph"/>
        <w:numPr>
          <w:ilvl w:val="1"/>
          <w:numId w:val="225"/>
        </w:numPr>
        <w:tabs>
          <w:tab w:pos="1940" w:val="left" w:leader="none"/>
          <w:tab w:pos="1941" w:val="left" w:leader="none"/>
        </w:tabs>
        <w:spacing w:line="273" w:lineRule="auto" w:before="258" w:after="0"/>
        <w:ind w:left="1161" w:right="2296" w:hanging="1"/>
        <w:jc w:val="left"/>
        <w:rPr>
          <w:sz w:val="18"/>
        </w:rPr>
      </w:pPr>
      <w:r>
        <w:rPr>
          <w:color w:val="231F20"/>
          <w:spacing w:val="3"/>
          <w:w w:val="110"/>
          <w:sz w:val="18"/>
        </w:rPr>
        <w:t>The decision </w:t>
      </w:r>
      <w:r>
        <w:rPr>
          <w:color w:val="231F20"/>
          <w:w w:val="110"/>
          <w:sz w:val="18"/>
        </w:rPr>
        <w:t>of </w:t>
      </w:r>
      <w:r>
        <w:rPr>
          <w:color w:val="231F20"/>
          <w:spacing w:val="2"/>
          <w:w w:val="110"/>
          <w:sz w:val="18"/>
        </w:rPr>
        <w:t>the United </w:t>
      </w:r>
      <w:r>
        <w:rPr>
          <w:color w:val="231F20"/>
          <w:spacing w:val="3"/>
          <w:w w:val="110"/>
          <w:sz w:val="18"/>
        </w:rPr>
        <w:t>Reformed Church Assembly </w:t>
      </w:r>
      <w:r>
        <w:rPr>
          <w:color w:val="231F20"/>
          <w:w w:val="110"/>
          <w:sz w:val="18"/>
        </w:rPr>
        <w:t>in July 2006  to </w:t>
      </w:r>
      <w:r>
        <w:rPr>
          <w:color w:val="231F20"/>
          <w:spacing w:val="2"/>
          <w:w w:val="110"/>
          <w:sz w:val="18"/>
        </w:rPr>
        <w:t>designate Westminster College </w:t>
      </w:r>
      <w:r>
        <w:rPr>
          <w:color w:val="231F20"/>
          <w:w w:val="110"/>
          <w:sz w:val="18"/>
        </w:rPr>
        <w:t>one of </w:t>
      </w:r>
      <w:r>
        <w:rPr>
          <w:color w:val="231F20"/>
          <w:spacing w:val="3"/>
          <w:w w:val="110"/>
          <w:sz w:val="18"/>
        </w:rPr>
        <w:t>its three Resource Centres </w:t>
      </w:r>
      <w:r>
        <w:rPr>
          <w:color w:val="231F20"/>
          <w:spacing w:val="2"/>
          <w:w w:val="110"/>
          <w:sz w:val="18"/>
        </w:rPr>
        <w:t>enables the college </w:t>
      </w:r>
      <w:r>
        <w:rPr>
          <w:color w:val="231F20"/>
          <w:w w:val="110"/>
          <w:sz w:val="18"/>
        </w:rPr>
        <w:t>to plan </w:t>
      </w:r>
      <w:r>
        <w:rPr>
          <w:color w:val="231F20"/>
          <w:spacing w:val="2"/>
          <w:w w:val="110"/>
          <w:sz w:val="18"/>
        </w:rPr>
        <w:t>for the </w:t>
      </w:r>
      <w:r>
        <w:rPr>
          <w:color w:val="231F20"/>
          <w:spacing w:val="3"/>
          <w:w w:val="110"/>
          <w:sz w:val="18"/>
        </w:rPr>
        <w:t>future </w:t>
      </w:r>
      <w:r>
        <w:rPr>
          <w:color w:val="231F20"/>
          <w:spacing w:val="2"/>
          <w:w w:val="110"/>
          <w:sz w:val="18"/>
        </w:rPr>
        <w:t>with greater certainty.</w:t>
      </w:r>
      <w:r>
        <w:rPr>
          <w:color w:val="231F20"/>
          <w:spacing w:val="17"/>
          <w:w w:val="110"/>
          <w:sz w:val="18"/>
        </w:rPr>
        <w:t> </w:t>
      </w:r>
      <w:r>
        <w:rPr>
          <w:color w:val="231F20"/>
          <w:spacing w:val="3"/>
          <w:w w:val="110"/>
          <w:sz w:val="18"/>
        </w:rPr>
        <w:t>Already there</w:t>
      </w:r>
    </w:p>
    <w:p>
      <w:pPr>
        <w:pStyle w:val="BodyText"/>
        <w:spacing w:line="273" w:lineRule="auto" w:before="2"/>
        <w:ind w:left="1161" w:right="2400" w:hanging="1"/>
      </w:pPr>
      <w:r>
        <w:rPr>
          <w:color w:val="231F20"/>
          <w:w w:val="110"/>
        </w:rPr>
        <w:t>have </w:t>
      </w:r>
      <w:r>
        <w:rPr>
          <w:color w:val="231F20"/>
          <w:spacing w:val="3"/>
          <w:w w:val="110"/>
        </w:rPr>
        <w:t>been consultations </w:t>
      </w:r>
      <w:r>
        <w:rPr>
          <w:color w:val="231F20"/>
          <w:spacing w:val="2"/>
          <w:w w:val="110"/>
        </w:rPr>
        <w:t>with </w:t>
      </w:r>
      <w:r>
        <w:rPr>
          <w:color w:val="231F20"/>
          <w:spacing w:val="3"/>
          <w:w w:val="110"/>
        </w:rPr>
        <w:t>governors </w:t>
      </w:r>
      <w:r>
        <w:rPr>
          <w:color w:val="231F20"/>
          <w:w w:val="110"/>
        </w:rPr>
        <w:t>and </w:t>
      </w:r>
      <w:r>
        <w:rPr>
          <w:color w:val="231F20"/>
          <w:spacing w:val="5"/>
          <w:w w:val="110"/>
        </w:rPr>
        <w:t>staff </w:t>
      </w:r>
      <w:r>
        <w:rPr>
          <w:color w:val="231F20"/>
          <w:w w:val="110"/>
        </w:rPr>
        <w:t>at </w:t>
      </w:r>
      <w:r>
        <w:rPr>
          <w:color w:val="231F20"/>
          <w:spacing w:val="2"/>
          <w:w w:val="110"/>
        </w:rPr>
        <w:t>the other </w:t>
      </w:r>
      <w:r>
        <w:rPr>
          <w:color w:val="231F20"/>
          <w:spacing w:val="3"/>
          <w:w w:val="110"/>
        </w:rPr>
        <w:t>two Centres  </w:t>
      </w:r>
      <w:r>
        <w:rPr>
          <w:color w:val="231F20"/>
          <w:w w:val="110"/>
        </w:rPr>
        <w:t>to </w:t>
      </w:r>
      <w:r>
        <w:rPr>
          <w:color w:val="231F20"/>
          <w:spacing w:val="3"/>
          <w:w w:val="110"/>
        </w:rPr>
        <w:t>agree complementary </w:t>
      </w:r>
      <w:r>
        <w:rPr>
          <w:color w:val="231F20"/>
          <w:w w:val="110"/>
        </w:rPr>
        <w:t>ways of </w:t>
      </w:r>
      <w:r>
        <w:rPr>
          <w:color w:val="231F20"/>
          <w:spacing w:val="2"/>
          <w:w w:val="110"/>
        </w:rPr>
        <w:t>working </w:t>
      </w:r>
      <w:r>
        <w:rPr>
          <w:color w:val="231F20"/>
          <w:w w:val="110"/>
        </w:rPr>
        <w:t>in </w:t>
      </w:r>
      <w:r>
        <w:rPr>
          <w:color w:val="231F20"/>
          <w:spacing w:val="3"/>
          <w:w w:val="110"/>
        </w:rPr>
        <w:t>order </w:t>
      </w:r>
      <w:r>
        <w:rPr>
          <w:color w:val="231F20"/>
          <w:w w:val="110"/>
        </w:rPr>
        <w:t>to </w:t>
      </w:r>
      <w:r>
        <w:rPr>
          <w:color w:val="231F20"/>
          <w:spacing w:val="3"/>
          <w:w w:val="110"/>
        </w:rPr>
        <w:t>meet </w:t>
      </w:r>
      <w:r>
        <w:rPr>
          <w:color w:val="231F20"/>
          <w:spacing w:val="2"/>
          <w:w w:val="110"/>
        </w:rPr>
        <w:t>the </w:t>
      </w:r>
      <w:r>
        <w:rPr>
          <w:color w:val="231F20"/>
          <w:spacing w:val="3"/>
          <w:w w:val="110"/>
        </w:rPr>
        <w:t>requirements set </w:t>
      </w:r>
      <w:r>
        <w:rPr>
          <w:color w:val="231F20"/>
          <w:w w:val="110"/>
        </w:rPr>
        <w:t>out in </w:t>
      </w:r>
      <w:r>
        <w:rPr>
          <w:color w:val="231F20"/>
          <w:spacing w:val="2"/>
          <w:w w:val="110"/>
        </w:rPr>
        <w:t>the </w:t>
      </w:r>
      <w:r>
        <w:rPr>
          <w:color w:val="231F20"/>
          <w:w w:val="110"/>
        </w:rPr>
        <w:t>Training Review. </w:t>
      </w:r>
      <w:r>
        <w:rPr>
          <w:color w:val="231F20"/>
          <w:spacing w:val="3"/>
          <w:w w:val="110"/>
        </w:rPr>
        <w:t>There </w:t>
      </w:r>
      <w:r>
        <w:rPr>
          <w:color w:val="231F20"/>
          <w:spacing w:val="2"/>
          <w:w w:val="110"/>
        </w:rPr>
        <w:t>are continuing </w:t>
      </w:r>
      <w:r>
        <w:rPr>
          <w:color w:val="231F20"/>
          <w:spacing w:val="3"/>
          <w:w w:val="110"/>
        </w:rPr>
        <w:t>questions</w:t>
      </w:r>
      <w:r>
        <w:rPr>
          <w:color w:val="231F20"/>
          <w:spacing w:val="73"/>
          <w:w w:val="110"/>
        </w:rPr>
        <w:t> </w:t>
      </w:r>
      <w:r>
        <w:rPr>
          <w:color w:val="231F20"/>
          <w:spacing w:val="2"/>
          <w:w w:val="110"/>
        </w:rPr>
        <w:t>about</w:t>
      </w:r>
    </w:p>
    <w:p>
      <w:pPr>
        <w:pStyle w:val="BodyText"/>
        <w:spacing w:line="273" w:lineRule="auto" w:before="2"/>
        <w:ind w:left="1162" w:right="2400"/>
      </w:pPr>
      <w:r>
        <w:rPr>
          <w:color w:val="231F20"/>
          <w:spacing w:val="2"/>
          <w:w w:val="110"/>
        </w:rPr>
        <w:t>the </w:t>
      </w:r>
      <w:r>
        <w:rPr>
          <w:color w:val="231F20"/>
          <w:w w:val="110"/>
        </w:rPr>
        <w:t>nature of provision for distant and </w:t>
      </w:r>
      <w:r>
        <w:rPr>
          <w:color w:val="231F20"/>
          <w:spacing w:val="2"/>
          <w:w w:val="110"/>
        </w:rPr>
        <w:t>dispersed </w:t>
      </w:r>
      <w:r>
        <w:rPr>
          <w:color w:val="231F20"/>
          <w:w w:val="110"/>
        </w:rPr>
        <w:t>learning throughout the Church, as well as in </w:t>
      </w:r>
      <w:r>
        <w:rPr>
          <w:color w:val="231F20"/>
          <w:spacing w:val="2"/>
          <w:w w:val="110"/>
        </w:rPr>
        <w:t>Cambridge, </w:t>
      </w:r>
      <w:r>
        <w:rPr>
          <w:color w:val="231F20"/>
          <w:spacing w:val="3"/>
          <w:w w:val="110"/>
        </w:rPr>
        <w:t>Manchester </w:t>
      </w:r>
      <w:r>
        <w:rPr>
          <w:color w:val="231F20"/>
          <w:w w:val="110"/>
        </w:rPr>
        <w:t>and Glasgow, </w:t>
      </w:r>
      <w:r>
        <w:rPr>
          <w:color w:val="231F20"/>
          <w:spacing w:val="2"/>
          <w:w w:val="110"/>
        </w:rPr>
        <w:t>which are being</w:t>
      </w:r>
      <w:r>
        <w:rPr>
          <w:color w:val="231F20"/>
          <w:spacing w:val="73"/>
          <w:w w:val="110"/>
        </w:rPr>
        <w:t> </w:t>
      </w:r>
      <w:r>
        <w:rPr>
          <w:color w:val="231F20"/>
          <w:spacing w:val="3"/>
          <w:w w:val="110"/>
        </w:rPr>
        <w:t>addressed </w:t>
      </w:r>
      <w:r>
        <w:rPr>
          <w:color w:val="231F20"/>
          <w:spacing w:val="2"/>
          <w:w w:val="110"/>
        </w:rPr>
        <w:t>with </w:t>
      </w:r>
      <w:r>
        <w:rPr>
          <w:color w:val="231F20"/>
          <w:w w:val="110"/>
        </w:rPr>
        <w:t>urgency.</w:t>
      </w:r>
    </w:p>
    <w:p>
      <w:pPr>
        <w:pStyle w:val="BodyText"/>
        <w:spacing w:before="8"/>
        <w:rPr>
          <w:sz w:val="20"/>
        </w:rPr>
      </w:pPr>
    </w:p>
    <w:p>
      <w:pPr>
        <w:pStyle w:val="ListParagraph"/>
        <w:numPr>
          <w:ilvl w:val="1"/>
          <w:numId w:val="225"/>
        </w:numPr>
        <w:tabs>
          <w:tab w:pos="1883" w:val="left" w:leader="none"/>
          <w:tab w:pos="1884" w:val="left" w:leader="none"/>
        </w:tabs>
        <w:spacing w:line="273" w:lineRule="auto" w:before="0" w:after="0"/>
        <w:ind w:left="1160" w:right="2642" w:firstLine="3"/>
        <w:jc w:val="left"/>
        <w:rPr>
          <w:sz w:val="18"/>
        </w:rPr>
      </w:pPr>
      <w:r>
        <w:rPr>
          <w:color w:val="231F20"/>
          <w:spacing w:val="-3"/>
          <w:w w:val="110"/>
          <w:sz w:val="18"/>
        </w:rPr>
        <w:t>We  </w:t>
      </w:r>
      <w:r>
        <w:rPr>
          <w:color w:val="231F20"/>
          <w:w w:val="110"/>
          <w:sz w:val="18"/>
        </w:rPr>
        <w:t>continue to build upon the changes in college management</w:t>
      </w:r>
      <w:r>
        <w:rPr>
          <w:color w:val="231F20"/>
          <w:spacing w:val="69"/>
          <w:w w:val="110"/>
          <w:sz w:val="18"/>
        </w:rPr>
        <w:t> </w:t>
      </w:r>
      <w:r>
        <w:rPr>
          <w:color w:val="231F20"/>
          <w:w w:val="110"/>
          <w:sz w:val="18"/>
        </w:rPr>
        <w:t>that were made by General Assembly in </w:t>
      </w:r>
      <w:r>
        <w:rPr>
          <w:color w:val="231F20"/>
          <w:spacing w:val="-4"/>
          <w:w w:val="110"/>
          <w:sz w:val="18"/>
        </w:rPr>
        <w:t>1995, </w:t>
      </w:r>
      <w:r>
        <w:rPr>
          <w:color w:val="231F20"/>
          <w:w w:val="110"/>
          <w:sz w:val="18"/>
        </w:rPr>
        <w:t>in the light of the recent decisions on training in the United Reformed Church. Westminster College is a </w:t>
      </w:r>
      <w:r>
        <w:rPr>
          <w:color w:val="231F20"/>
          <w:spacing w:val="2"/>
          <w:w w:val="110"/>
          <w:sz w:val="18"/>
        </w:rPr>
        <w:t>registered charity </w:t>
      </w:r>
      <w:r>
        <w:rPr>
          <w:color w:val="231F20"/>
          <w:w w:val="110"/>
          <w:sz w:val="18"/>
        </w:rPr>
        <w:t>with an object, modified by the United</w:t>
      </w:r>
      <w:r>
        <w:rPr>
          <w:color w:val="231F20"/>
          <w:spacing w:val="5"/>
          <w:w w:val="110"/>
          <w:sz w:val="18"/>
        </w:rPr>
        <w:t> </w:t>
      </w:r>
      <w:r>
        <w:rPr>
          <w:color w:val="231F20"/>
          <w:w w:val="110"/>
          <w:sz w:val="18"/>
        </w:rPr>
        <w:t>Reformed</w:t>
      </w:r>
    </w:p>
    <w:p>
      <w:pPr>
        <w:pStyle w:val="BodyText"/>
        <w:spacing w:line="273" w:lineRule="auto" w:before="3"/>
        <w:ind w:left="1160" w:right="2455"/>
      </w:pPr>
      <w:r>
        <w:rPr>
          <w:color w:val="231F20"/>
          <w:w w:val="110"/>
        </w:rPr>
        <w:t>Church Act of </w:t>
      </w:r>
      <w:r>
        <w:rPr>
          <w:color w:val="231F20"/>
          <w:spacing w:val="-4"/>
          <w:w w:val="110"/>
        </w:rPr>
        <w:t>1972, </w:t>
      </w:r>
      <w:r>
        <w:rPr>
          <w:color w:val="231F20"/>
          <w:w w:val="110"/>
        </w:rPr>
        <w:t>to provide ministerial education for the United Reformed Church. Its trustees, the Board of Governors, are appointed by the United Reformed Church. </w:t>
      </w:r>
      <w:r>
        <w:rPr>
          <w:color w:val="231F20"/>
          <w:spacing w:val="-3"/>
          <w:w w:val="110"/>
        </w:rPr>
        <w:t>However, </w:t>
      </w:r>
      <w:r>
        <w:rPr>
          <w:color w:val="231F20"/>
          <w:w w:val="110"/>
        </w:rPr>
        <w:t>the use which the Church makes of this valuable asset is </w:t>
      </w:r>
      <w:r>
        <w:rPr>
          <w:color w:val="231F20"/>
          <w:spacing w:val="2"/>
          <w:w w:val="110"/>
        </w:rPr>
        <w:t>restricted </w:t>
      </w:r>
      <w:r>
        <w:rPr>
          <w:color w:val="231F20"/>
          <w:w w:val="110"/>
        </w:rPr>
        <w:t>by the </w:t>
      </w:r>
      <w:r>
        <w:rPr>
          <w:color w:val="231F20"/>
          <w:spacing w:val="2"/>
          <w:w w:val="110"/>
        </w:rPr>
        <w:t>objects </w:t>
      </w:r>
      <w:r>
        <w:rPr>
          <w:color w:val="231F20"/>
          <w:w w:val="110"/>
        </w:rPr>
        <w:t>of the charity. In spite of these legal considerations we believe that the plans to </w:t>
      </w:r>
      <w:r>
        <w:rPr>
          <w:color w:val="231F20"/>
          <w:spacing w:val="2"/>
          <w:w w:val="110"/>
        </w:rPr>
        <w:t>extend </w:t>
      </w:r>
      <w:r>
        <w:rPr>
          <w:color w:val="231F20"/>
          <w:w w:val="110"/>
        </w:rPr>
        <w:t>the role of the college are eminently achievable, not least </w:t>
      </w:r>
      <w:r>
        <w:rPr>
          <w:color w:val="231F20"/>
          <w:spacing w:val="2"/>
          <w:w w:val="110"/>
        </w:rPr>
        <w:t>because </w:t>
      </w:r>
      <w:r>
        <w:rPr>
          <w:color w:val="231F20"/>
          <w:w w:val="110"/>
        </w:rPr>
        <w:t>the Church is the most significant contributor to the current revenue of the college. Westminster continues to  be substantially committed to work with lay preachers, Training for Learning and </w:t>
      </w:r>
      <w:r>
        <w:rPr>
          <w:color w:val="231F20"/>
          <w:spacing w:val="2"/>
          <w:w w:val="110"/>
        </w:rPr>
        <w:t>Serving </w:t>
      </w:r>
      <w:r>
        <w:rPr>
          <w:color w:val="231F20"/>
          <w:w w:val="110"/>
        </w:rPr>
        <w:t>(TLS), continuing ministerial education, </w:t>
      </w:r>
      <w:r>
        <w:rPr>
          <w:color w:val="231F20"/>
          <w:spacing w:val="2"/>
          <w:w w:val="110"/>
        </w:rPr>
        <w:t>refresher </w:t>
      </w:r>
      <w:r>
        <w:rPr>
          <w:color w:val="231F20"/>
          <w:w w:val="110"/>
        </w:rPr>
        <w:t>courses, sabbaticals and the DMin programme we are running in collaboration with Princeton Theological Seminary. The popularity of our annual </w:t>
      </w:r>
      <w:r>
        <w:rPr>
          <w:color w:val="231F20"/>
          <w:spacing w:val="2"/>
          <w:w w:val="110"/>
        </w:rPr>
        <w:t>course</w:t>
      </w:r>
      <w:r>
        <w:rPr>
          <w:color w:val="231F20"/>
          <w:spacing w:val="71"/>
          <w:w w:val="110"/>
        </w:rPr>
        <w:t> </w:t>
      </w:r>
      <w:r>
        <w:rPr>
          <w:color w:val="231F20"/>
          <w:w w:val="110"/>
        </w:rPr>
        <w:t>for</w:t>
      </w:r>
    </w:p>
    <w:p>
      <w:pPr>
        <w:pStyle w:val="BodyText"/>
        <w:spacing w:line="273" w:lineRule="auto" w:before="7"/>
        <w:ind w:left="1160" w:right="2455"/>
      </w:pPr>
      <w:r>
        <w:rPr>
          <w:color w:val="231F20"/>
          <w:w w:val="110"/>
        </w:rPr>
        <w:t>lay preachers led us to plan two for the year 2006, both of which were fully subscribed. We shall continue to build upon this response. Some of the TLS course to which we contribute take place at the college and we are glad to see some regular visitors who regard us as friends. Our staff and students take parts in the wider life of the Church, serving in a variety of voluntary tasks locally and nationally. The year saw a good intake of students in the first stage of training for ministry, giving a net increase in student numbers.</w:t>
      </w:r>
    </w:p>
    <w:p>
      <w:pPr>
        <w:pStyle w:val="BodyText"/>
        <w:spacing w:before="10"/>
        <w:rPr>
          <w:sz w:val="20"/>
        </w:rPr>
      </w:pPr>
    </w:p>
    <w:p>
      <w:pPr>
        <w:spacing w:before="0"/>
        <w:ind w:left="1160" w:right="0" w:firstLine="0"/>
        <w:jc w:val="left"/>
        <w:rPr>
          <w:b/>
          <w:sz w:val="29"/>
        </w:rPr>
      </w:pPr>
      <w:r>
        <w:rPr>
          <w:b/>
          <w:color w:val="231F20"/>
          <w:w w:val="110"/>
          <w:sz w:val="29"/>
        </w:rPr>
        <w:t>The Cambridge Theological Federation</w:t>
      </w:r>
    </w:p>
    <w:p>
      <w:pPr>
        <w:pStyle w:val="ListParagraph"/>
        <w:numPr>
          <w:ilvl w:val="1"/>
          <w:numId w:val="226"/>
        </w:numPr>
        <w:tabs>
          <w:tab w:pos="1880" w:val="left" w:leader="none"/>
          <w:tab w:pos="1881" w:val="left" w:leader="none"/>
        </w:tabs>
        <w:spacing w:line="240" w:lineRule="auto" w:before="258" w:after="0"/>
        <w:ind w:left="1880" w:right="0" w:hanging="721"/>
        <w:jc w:val="left"/>
        <w:rPr>
          <w:sz w:val="18"/>
        </w:rPr>
      </w:pPr>
      <w:r>
        <w:rPr>
          <w:color w:val="231F20"/>
          <w:spacing w:val="2"/>
          <w:w w:val="110"/>
          <w:sz w:val="18"/>
        </w:rPr>
        <w:t>Westminster College </w:t>
      </w:r>
      <w:r>
        <w:rPr>
          <w:color w:val="231F20"/>
          <w:w w:val="110"/>
          <w:sz w:val="18"/>
        </w:rPr>
        <w:t>is not a </w:t>
      </w:r>
      <w:r>
        <w:rPr>
          <w:color w:val="231F20"/>
          <w:spacing w:val="2"/>
          <w:w w:val="110"/>
          <w:sz w:val="18"/>
        </w:rPr>
        <w:t>stand-alone </w:t>
      </w:r>
      <w:r>
        <w:rPr>
          <w:color w:val="231F20"/>
          <w:spacing w:val="3"/>
          <w:w w:val="110"/>
          <w:sz w:val="18"/>
        </w:rPr>
        <w:t>institution </w:t>
      </w:r>
      <w:r>
        <w:rPr>
          <w:color w:val="231F20"/>
          <w:w w:val="110"/>
          <w:sz w:val="18"/>
        </w:rPr>
        <w:t>but a </w:t>
      </w:r>
      <w:r>
        <w:rPr>
          <w:color w:val="231F20"/>
          <w:spacing w:val="4"/>
          <w:w w:val="110"/>
          <w:sz w:val="18"/>
        </w:rPr>
        <w:t>part</w:t>
      </w:r>
      <w:r>
        <w:rPr>
          <w:color w:val="231F20"/>
          <w:spacing w:val="58"/>
          <w:w w:val="110"/>
          <w:sz w:val="18"/>
        </w:rPr>
        <w:t> </w:t>
      </w:r>
      <w:r>
        <w:rPr>
          <w:color w:val="231F20"/>
          <w:w w:val="110"/>
          <w:sz w:val="18"/>
        </w:rPr>
        <w:t>of</w:t>
      </w:r>
    </w:p>
    <w:p>
      <w:pPr>
        <w:pStyle w:val="BodyText"/>
        <w:spacing w:line="273" w:lineRule="auto" w:before="32"/>
        <w:ind w:left="1160" w:right="2455"/>
      </w:pPr>
      <w:r>
        <w:rPr>
          <w:color w:val="231F20"/>
          <w:w w:val="110"/>
        </w:rPr>
        <w:t>a </w:t>
      </w:r>
      <w:r>
        <w:rPr>
          <w:color w:val="231F20"/>
          <w:spacing w:val="2"/>
          <w:w w:val="110"/>
        </w:rPr>
        <w:t>significant </w:t>
      </w:r>
      <w:r>
        <w:rPr>
          <w:color w:val="231F20"/>
          <w:spacing w:val="3"/>
          <w:w w:val="110"/>
        </w:rPr>
        <w:t>ecumenical enterprise. </w:t>
      </w:r>
      <w:r>
        <w:rPr>
          <w:color w:val="231F20"/>
          <w:w w:val="110"/>
        </w:rPr>
        <w:t>For </w:t>
      </w:r>
      <w:r>
        <w:rPr>
          <w:color w:val="231F20"/>
          <w:spacing w:val="3"/>
          <w:w w:val="110"/>
        </w:rPr>
        <w:t>every </w:t>
      </w:r>
      <w:r>
        <w:rPr>
          <w:color w:val="231F20"/>
          <w:spacing w:val="2"/>
          <w:w w:val="110"/>
        </w:rPr>
        <w:t>minister </w:t>
      </w:r>
      <w:r>
        <w:rPr>
          <w:color w:val="231F20"/>
          <w:w w:val="110"/>
        </w:rPr>
        <w:t>in our own </w:t>
      </w:r>
      <w:r>
        <w:rPr>
          <w:color w:val="231F20"/>
          <w:spacing w:val="3"/>
          <w:w w:val="110"/>
        </w:rPr>
        <w:t>Church </w:t>
      </w:r>
      <w:r>
        <w:rPr>
          <w:color w:val="231F20"/>
          <w:w w:val="110"/>
        </w:rPr>
        <w:t>who is </w:t>
      </w:r>
      <w:r>
        <w:rPr>
          <w:color w:val="231F20"/>
          <w:spacing w:val="2"/>
          <w:w w:val="110"/>
        </w:rPr>
        <w:t>grateful for the teaching </w:t>
      </w:r>
      <w:r>
        <w:rPr>
          <w:color w:val="231F20"/>
          <w:w w:val="110"/>
        </w:rPr>
        <w:t>they </w:t>
      </w:r>
      <w:r>
        <w:rPr>
          <w:color w:val="231F20"/>
          <w:spacing w:val="3"/>
          <w:w w:val="110"/>
        </w:rPr>
        <w:t>received </w:t>
      </w:r>
      <w:r>
        <w:rPr>
          <w:color w:val="231F20"/>
          <w:w w:val="110"/>
        </w:rPr>
        <w:t>at </w:t>
      </w:r>
      <w:r>
        <w:rPr>
          <w:color w:val="231F20"/>
          <w:spacing w:val="2"/>
          <w:w w:val="110"/>
        </w:rPr>
        <w:t>Westminster College </w:t>
      </w:r>
      <w:r>
        <w:rPr>
          <w:color w:val="231F20"/>
          <w:spacing w:val="3"/>
          <w:w w:val="110"/>
        </w:rPr>
        <w:t>there </w:t>
      </w:r>
      <w:r>
        <w:rPr>
          <w:color w:val="231F20"/>
          <w:spacing w:val="2"/>
          <w:w w:val="110"/>
        </w:rPr>
        <w:t>are </w:t>
      </w:r>
      <w:r>
        <w:rPr>
          <w:color w:val="231F20"/>
          <w:w w:val="110"/>
        </w:rPr>
        <w:t>now </w:t>
      </w:r>
      <w:r>
        <w:rPr>
          <w:color w:val="231F20"/>
          <w:spacing w:val="3"/>
          <w:w w:val="110"/>
        </w:rPr>
        <w:t>two </w:t>
      </w:r>
      <w:r>
        <w:rPr>
          <w:color w:val="231F20"/>
          <w:w w:val="110"/>
        </w:rPr>
        <w:t>or </w:t>
      </w:r>
      <w:r>
        <w:rPr>
          <w:color w:val="231F20"/>
          <w:spacing w:val="3"/>
          <w:w w:val="110"/>
        </w:rPr>
        <w:t>three people </w:t>
      </w:r>
      <w:r>
        <w:rPr>
          <w:color w:val="231F20"/>
          <w:spacing w:val="2"/>
          <w:w w:val="110"/>
        </w:rPr>
        <w:t>ministering </w:t>
      </w:r>
      <w:r>
        <w:rPr>
          <w:color w:val="231F20"/>
          <w:w w:val="110"/>
        </w:rPr>
        <w:t>in </w:t>
      </w:r>
      <w:r>
        <w:rPr>
          <w:color w:val="231F20"/>
          <w:spacing w:val="2"/>
          <w:w w:val="110"/>
        </w:rPr>
        <w:t>other denominations </w:t>
      </w:r>
      <w:r>
        <w:rPr>
          <w:color w:val="231F20"/>
          <w:w w:val="110"/>
        </w:rPr>
        <w:t>who have an </w:t>
      </w:r>
      <w:r>
        <w:rPr>
          <w:color w:val="231F20"/>
          <w:spacing w:val="4"/>
          <w:w w:val="110"/>
        </w:rPr>
        <w:t>affectionate </w:t>
      </w:r>
      <w:r>
        <w:rPr>
          <w:color w:val="231F20"/>
          <w:spacing w:val="3"/>
          <w:w w:val="110"/>
        </w:rPr>
        <w:t>regard </w:t>
      </w:r>
      <w:r>
        <w:rPr>
          <w:color w:val="231F20"/>
          <w:spacing w:val="2"/>
          <w:w w:val="110"/>
        </w:rPr>
        <w:t>for </w:t>
      </w:r>
      <w:r>
        <w:rPr>
          <w:color w:val="231F20"/>
          <w:w w:val="110"/>
        </w:rPr>
        <w:t>our </w:t>
      </w:r>
      <w:r>
        <w:rPr>
          <w:color w:val="231F20"/>
          <w:spacing w:val="5"/>
          <w:w w:val="110"/>
        </w:rPr>
        <w:t>staff </w:t>
      </w:r>
      <w:r>
        <w:rPr>
          <w:color w:val="231F20"/>
          <w:w w:val="110"/>
        </w:rPr>
        <w:t>and </w:t>
      </w:r>
      <w:r>
        <w:rPr>
          <w:color w:val="231F20"/>
          <w:spacing w:val="2"/>
          <w:w w:val="110"/>
        </w:rPr>
        <w:t>whose </w:t>
      </w:r>
      <w:r>
        <w:rPr>
          <w:color w:val="231F20"/>
          <w:spacing w:val="3"/>
          <w:w w:val="110"/>
        </w:rPr>
        <w:t>memories </w:t>
      </w:r>
      <w:r>
        <w:rPr>
          <w:color w:val="231F20"/>
          <w:w w:val="110"/>
        </w:rPr>
        <w:t>of</w:t>
      </w:r>
      <w:r>
        <w:rPr>
          <w:color w:val="231F20"/>
          <w:spacing w:val="12"/>
          <w:w w:val="110"/>
        </w:rPr>
        <w:t> </w:t>
      </w:r>
      <w:r>
        <w:rPr>
          <w:color w:val="231F20"/>
          <w:spacing w:val="3"/>
          <w:w w:val="110"/>
        </w:rPr>
        <w:t>Cambridge</w:t>
      </w:r>
    </w:p>
    <w:p>
      <w:pPr>
        <w:pStyle w:val="BodyText"/>
        <w:spacing w:line="273" w:lineRule="auto" w:before="2"/>
        <w:ind w:left="1163" w:right="2647" w:hanging="1"/>
      </w:pPr>
      <w:r>
        <w:rPr>
          <w:color w:val="231F20"/>
          <w:spacing w:val="2"/>
          <w:w w:val="110"/>
        </w:rPr>
        <w:t>are </w:t>
      </w:r>
      <w:r>
        <w:rPr>
          <w:color w:val="231F20"/>
          <w:spacing w:val="3"/>
          <w:w w:val="110"/>
        </w:rPr>
        <w:t>located </w:t>
      </w:r>
      <w:r>
        <w:rPr>
          <w:color w:val="231F20"/>
          <w:w w:val="110"/>
        </w:rPr>
        <w:t>in our  </w:t>
      </w:r>
      <w:r>
        <w:rPr>
          <w:color w:val="231F20"/>
          <w:spacing w:val="3"/>
          <w:w w:val="110"/>
        </w:rPr>
        <w:t>classrooms </w:t>
      </w:r>
      <w:r>
        <w:rPr>
          <w:color w:val="231F20"/>
          <w:w w:val="110"/>
        </w:rPr>
        <w:t>and  our  library. </w:t>
      </w:r>
      <w:r>
        <w:rPr>
          <w:color w:val="231F20"/>
          <w:spacing w:val="2"/>
          <w:w w:val="110"/>
        </w:rPr>
        <w:t>Westminster College </w:t>
      </w:r>
      <w:r>
        <w:rPr>
          <w:color w:val="231F20"/>
          <w:w w:val="110"/>
        </w:rPr>
        <w:t>is not only </w:t>
      </w:r>
      <w:r>
        <w:rPr>
          <w:color w:val="231F20"/>
          <w:spacing w:val="2"/>
          <w:w w:val="110"/>
        </w:rPr>
        <w:t>the United </w:t>
      </w:r>
      <w:r>
        <w:rPr>
          <w:color w:val="231F20"/>
          <w:spacing w:val="3"/>
          <w:w w:val="110"/>
        </w:rPr>
        <w:t>Reformed </w:t>
      </w:r>
      <w:r>
        <w:rPr>
          <w:color w:val="231F20"/>
          <w:spacing w:val="2"/>
          <w:w w:val="110"/>
        </w:rPr>
        <w:t>Church’s </w:t>
      </w:r>
      <w:r>
        <w:rPr>
          <w:color w:val="231F20"/>
          <w:w w:val="110"/>
        </w:rPr>
        <w:t>gateway into a </w:t>
      </w:r>
      <w:r>
        <w:rPr>
          <w:color w:val="231F20"/>
          <w:spacing w:val="3"/>
          <w:w w:val="110"/>
        </w:rPr>
        <w:t>rich ecumenical </w:t>
      </w:r>
      <w:r>
        <w:rPr>
          <w:color w:val="231F20"/>
          <w:spacing w:val="2"/>
          <w:w w:val="110"/>
        </w:rPr>
        <w:t>resource;</w:t>
      </w:r>
      <w:r>
        <w:rPr>
          <w:color w:val="231F20"/>
          <w:spacing w:val="13"/>
          <w:w w:val="110"/>
        </w:rPr>
        <w:t> </w:t>
      </w:r>
      <w:r>
        <w:rPr>
          <w:color w:val="231F20"/>
          <w:w w:val="110"/>
        </w:rPr>
        <w:t>it</w:t>
      </w:r>
      <w:r>
        <w:rPr>
          <w:color w:val="231F20"/>
          <w:spacing w:val="14"/>
          <w:w w:val="110"/>
        </w:rPr>
        <w:t> </w:t>
      </w:r>
      <w:r>
        <w:rPr>
          <w:color w:val="231F20"/>
          <w:w w:val="110"/>
        </w:rPr>
        <w:t>is</w:t>
      </w:r>
      <w:r>
        <w:rPr>
          <w:color w:val="231F20"/>
          <w:spacing w:val="13"/>
          <w:w w:val="110"/>
        </w:rPr>
        <w:t> </w:t>
      </w:r>
      <w:r>
        <w:rPr>
          <w:color w:val="231F20"/>
          <w:w w:val="110"/>
        </w:rPr>
        <w:t>a</w:t>
      </w:r>
      <w:r>
        <w:rPr>
          <w:color w:val="231F20"/>
          <w:spacing w:val="14"/>
          <w:w w:val="110"/>
        </w:rPr>
        <w:t> </w:t>
      </w:r>
      <w:r>
        <w:rPr>
          <w:color w:val="231F20"/>
          <w:spacing w:val="2"/>
          <w:w w:val="110"/>
        </w:rPr>
        <w:t>place</w:t>
      </w:r>
      <w:r>
        <w:rPr>
          <w:color w:val="231F20"/>
          <w:spacing w:val="14"/>
          <w:w w:val="110"/>
        </w:rPr>
        <w:t> </w:t>
      </w:r>
      <w:r>
        <w:rPr>
          <w:color w:val="231F20"/>
          <w:spacing w:val="3"/>
          <w:w w:val="110"/>
        </w:rPr>
        <w:t>where</w:t>
      </w:r>
      <w:r>
        <w:rPr>
          <w:color w:val="231F20"/>
          <w:spacing w:val="13"/>
          <w:w w:val="110"/>
        </w:rPr>
        <w:t> </w:t>
      </w:r>
      <w:r>
        <w:rPr>
          <w:color w:val="231F20"/>
          <w:w w:val="110"/>
        </w:rPr>
        <w:t>our</w:t>
      </w:r>
      <w:r>
        <w:rPr>
          <w:color w:val="231F20"/>
          <w:spacing w:val="14"/>
          <w:w w:val="110"/>
        </w:rPr>
        <w:t> </w:t>
      </w:r>
      <w:r>
        <w:rPr>
          <w:color w:val="231F20"/>
          <w:spacing w:val="3"/>
          <w:w w:val="110"/>
        </w:rPr>
        <w:t>contribution</w:t>
      </w:r>
      <w:r>
        <w:rPr>
          <w:color w:val="231F20"/>
          <w:spacing w:val="14"/>
          <w:w w:val="110"/>
        </w:rPr>
        <w:t> </w:t>
      </w:r>
      <w:r>
        <w:rPr>
          <w:color w:val="231F20"/>
          <w:spacing w:val="3"/>
          <w:w w:val="110"/>
        </w:rPr>
        <w:t>counts</w:t>
      </w:r>
      <w:r>
        <w:rPr>
          <w:color w:val="231F20"/>
          <w:spacing w:val="13"/>
          <w:w w:val="110"/>
        </w:rPr>
        <w:t> </w:t>
      </w:r>
      <w:r>
        <w:rPr>
          <w:color w:val="231F20"/>
          <w:w w:val="110"/>
        </w:rPr>
        <w:t>and</w:t>
      </w:r>
      <w:r>
        <w:rPr>
          <w:color w:val="231F20"/>
          <w:spacing w:val="14"/>
          <w:w w:val="110"/>
        </w:rPr>
        <w:t> </w:t>
      </w:r>
      <w:r>
        <w:rPr>
          <w:color w:val="231F20"/>
          <w:w w:val="110"/>
        </w:rPr>
        <w:t>is</w:t>
      </w:r>
      <w:r>
        <w:rPr>
          <w:color w:val="231F20"/>
          <w:spacing w:val="13"/>
          <w:w w:val="110"/>
        </w:rPr>
        <w:t> </w:t>
      </w:r>
      <w:r>
        <w:rPr>
          <w:color w:val="231F20"/>
          <w:w w:val="110"/>
        </w:rPr>
        <w:t>valued.</w:t>
      </w:r>
      <w:r>
        <w:rPr>
          <w:color w:val="231F20"/>
          <w:spacing w:val="14"/>
          <w:w w:val="110"/>
        </w:rPr>
        <w:t> </w:t>
      </w:r>
      <w:r>
        <w:rPr>
          <w:color w:val="231F20"/>
          <w:w w:val="110"/>
        </w:rPr>
        <w:t>What</w:t>
      </w:r>
    </w:p>
    <w:p>
      <w:pPr>
        <w:pStyle w:val="BodyText"/>
        <w:spacing w:line="273" w:lineRule="auto" w:before="2"/>
        <w:ind w:left="1160" w:right="2476" w:firstLine="5"/>
      </w:pPr>
      <w:r>
        <w:rPr>
          <w:color w:val="231F20"/>
          <w:w w:val="110"/>
        </w:rPr>
        <w:t>is </w:t>
      </w:r>
      <w:r>
        <w:rPr>
          <w:color w:val="231F20"/>
          <w:spacing w:val="3"/>
          <w:w w:val="110"/>
        </w:rPr>
        <w:t>true </w:t>
      </w:r>
      <w:r>
        <w:rPr>
          <w:color w:val="231F20"/>
          <w:w w:val="110"/>
        </w:rPr>
        <w:t>in </w:t>
      </w:r>
      <w:r>
        <w:rPr>
          <w:color w:val="231F20"/>
          <w:spacing w:val="3"/>
          <w:w w:val="110"/>
        </w:rPr>
        <w:t>Cambridge </w:t>
      </w:r>
      <w:r>
        <w:rPr>
          <w:color w:val="231F20"/>
          <w:w w:val="110"/>
        </w:rPr>
        <w:t>is </w:t>
      </w:r>
      <w:r>
        <w:rPr>
          <w:color w:val="231F20"/>
          <w:spacing w:val="3"/>
          <w:w w:val="110"/>
        </w:rPr>
        <w:t>true elsewhere. Theological education </w:t>
      </w:r>
      <w:r>
        <w:rPr>
          <w:color w:val="231F20"/>
          <w:w w:val="110"/>
        </w:rPr>
        <w:t>has </w:t>
      </w:r>
      <w:r>
        <w:rPr>
          <w:color w:val="231F20"/>
          <w:spacing w:val="3"/>
          <w:w w:val="110"/>
        </w:rPr>
        <w:t>become  </w:t>
      </w:r>
      <w:r>
        <w:rPr>
          <w:color w:val="231F20"/>
          <w:w w:val="110"/>
        </w:rPr>
        <w:t>a </w:t>
      </w:r>
      <w:r>
        <w:rPr>
          <w:color w:val="231F20"/>
          <w:spacing w:val="2"/>
          <w:w w:val="110"/>
        </w:rPr>
        <w:t>significant </w:t>
      </w:r>
      <w:r>
        <w:rPr>
          <w:color w:val="231F20"/>
          <w:spacing w:val="3"/>
          <w:w w:val="110"/>
        </w:rPr>
        <w:t>expression </w:t>
      </w:r>
      <w:r>
        <w:rPr>
          <w:color w:val="231F20"/>
          <w:w w:val="110"/>
        </w:rPr>
        <w:t>of </w:t>
      </w:r>
      <w:r>
        <w:rPr>
          <w:color w:val="231F20"/>
          <w:spacing w:val="3"/>
          <w:w w:val="110"/>
        </w:rPr>
        <w:t>ecumenism </w:t>
      </w:r>
      <w:r>
        <w:rPr>
          <w:color w:val="231F20"/>
          <w:w w:val="110"/>
        </w:rPr>
        <w:t>in many </w:t>
      </w:r>
      <w:r>
        <w:rPr>
          <w:color w:val="231F20"/>
          <w:spacing w:val="4"/>
          <w:w w:val="110"/>
        </w:rPr>
        <w:t>parts </w:t>
      </w:r>
      <w:r>
        <w:rPr>
          <w:color w:val="231F20"/>
          <w:w w:val="110"/>
        </w:rPr>
        <w:t>of </w:t>
      </w:r>
      <w:r>
        <w:rPr>
          <w:color w:val="231F20"/>
          <w:spacing w:val="2"/>
          <w:w w:val="110"/>
        </w:rPr>
        <w:t>the </w:t>
      </w:r>
      <w:r>
        <w:rPr>
          <w:color w:val="231F20"/>
          <w:w w:val="110"/>
        </w:rPr>
        <w:t>country. It is not </w:t>
      </w:r>
      <w:r>
        <w:rPr>
          <w:color w:val="231F20"/>
          <w:spacing w:val="3"/>
          <w:w w:val="110"/>
        </w:rPr>
        <w:t>possible </w:t>
      </w:r>
      <w:r>
        <w:rPr>
          <w:color w:val="231F20"/>
          <w:spacing w:val="2"/>
          <w:w w:val="110"/>
        </w:rPr>
        <w:t>for </w:t>
      </w:r>
      <w:r>
        <w:rPr>
          <w:color w:val="231F20"/>
          <w:w w:val="110"/>
        </w:rPr>
        <w:t>any one </w:t>
      </w:r>
      <w:r>
        <w:rPr>
          <w:color w:val="231F20"/>
          <w:spacing w:val="2"/>
          <w:w w:val="110"/>
        </w:rPr>
        <w:t>denomination </w:t>
      </w:r>
      <w:r>
        <w:rPr>
          <w:color w:val="231F20"/>
          <w:w w:val="110"/>
        </w:rPr>
        <w:t>to take </w:t>
      </w:r>
      <w:r>
        <w:rPr>
          <w:color w:val="231F20"/>
          <w:spacing w:val="3"/>
          <w:w w:val="110"/>
        </w:rPr>
        <w:t>strategic decisions </w:t>
      </w:r>
      <w:r>
        <w:rPr>
          <w:color w:val="231F20"/>
          <w:spacing w:val="2"/>
          <w:w w:val="110"/>
        </w:rPr>
        <w:t>about </w:t>
      </w:r>
      <w:r>
        <w:rPr>
          <w:color w:val="231F20"/>
          <w:spacing w:val="3"/>
          <w:w w:val="110"/>
        </w:rPr>
        <w:t>theological education </w:t>
      </w:r>
      <w:r>
        <w:rPr>
          <w:color w:val="231F20"/>
          <w:spacing w:val="2"/>
          <w:w w:val="110"/>
        </w:rPr>
        <w:t>without the </w:t>
      </w:r>
      <w:r>
        <w:rPr>
          <w:color w:val="231F20"/>
          <w:spacing w:val="3"/>
          <w:w w:val="110"/>
        </w:rPr>
        <w:t>impact </w:t>
      </w:r>
      <w:r>
        <w:rPr>
          <w:color w:val="231F20"/>
          <w:spacing w:val="2"/>
          <w:w w:val="110"/>
        </w:rPr>
        <w:t>being felt </w:t>
      </w:r>
      <w:r>
        <w:rPr>
          <w:color w:val="231F20"/>
          <w:w w:val="110"/>
        </w:rPr>
        <w:t>by </w:t>
      </w:r>
      <w:r>
        <w:rPr>
          <w:color w:val="231F20"/>
          <w:spacing w:val="3"/>
          <w:w w:val="110"/>
        </w:rPr>
        <w:t>others. Those </w:t>
      </w:r>
      <w:r>
        <w:rPr>
          <w:color w:val="231F20"/>
          <w:w w:val="110"/>
        </w:rPr>
        <w:t>of us who </w:t>
      </w:r>
      <w:r>
        <w:rPr>
          <w:color w:val="231F20"/>
          <w:spacing w:val="4"/>
          <w:w w:val="110"/>
        </w:rPr>
        <w:t>serve </w:t>
      </w:r>
      <w:r>
        <w:rPr>
          <w:color w:val="231F20"/>
          <w:spacing w:val="2"/>
          <w:w w:val="110"/>
        </w:rPr>
        <w:t>the various </w:t>
      </w:r>
      <w:r>
        <w:rPr>
          <w:color w:val="231F20"/>
          <w:spacing w:val="3"/>
          <w:w w:val="110"/>
        </w:rPr>
        <w:t>institutions </w:t>
      </w:r>
      <w:r>
        <w:rPr>
          <w:color w:val="231F20"/>
          <w:w w:val="110"/>
        </w:rPr>
        <w:t>in </w:t>
      </w:r>
      <w:r>
        <w:rPr>
          <w:color w:val="231F20"/>
          <w:spacing w:val="3"/>
          <w:w w:val="110"/>
        </w:rPr>
        <w:t>Cambridge </w:t>
      </w:r>
      <w:r>
        <w:rPr>
          <w:color w:val="231F20"/>
          <w:spacing w:val="2"/>
          <w:w w:val="110"/>
        </w:rPr>
        <w:t>share </w:t>
      </w:r>
      <w:r>
        <w:rPr>
          <w:color w:val="231F20"/>
          <w:w w:val="110"/>
        </w:rPr>
        <w:t>a </w:t>
      </w:r>
      <w:r>
        <w:rPr>
          <w:color w:val="231F20"/>
          <w:spacing w:val="2"/>
          <w:w w:val="110"/>
        </w:rPr>
        <w:t>feeling </w:t>
      </w:r>
      <w:r>
        <w:rPr>
          <w:color w:val="231F20"/>
          <w:w w:val="110"/>
        </w:rPr>
        <w:t>of </w:t>
      </w:r>
      <w:r>
        <w:rPr>
          <w:color w:val="231F20"/>
          <w:spacing w:val="2"/>
          <w:w w:val="110"/>
        </w:rPr>
        <w:t>being </w:t>
      </w:r>
      <w:r>
        <w:rPr>
          <w:color w:val="231F20"/>
          <w:spacing w:val="73"/>
          <w:w w:val="110"/>
        </w:rPr>
        <w:t> </w:t>
      </w:r>
      <w:r>
        <w:rPr>
          <w:color w:val="231F20"/>
          <w:w w:val="110"/>
        </w:rPr>
        <w:t>at </w:t>
      </w:r>
      <w:r>
        <w:rPr>
          <w:color w:val="231F20"/>
          <w:spacing w:val="2"/>
          <w:w w:val="110"/>
        </w:rPr>
        <w:t>the </w:t>
      </w:r>
      <w:r>
        <w:rPr>
          <w:color w:val="231F20"/>
          <w:spacing w:val="4"/>
          <w:w w:val="110"/>
        </w:rPr>
        <w:t>mercy </w:t>
      </w:r>
      <w:r>
        <w:rPr>
          <w:color w:val="231F20"/>
          <w:w w:val="110"/>
        </w:rPr>
        <w:t>of </w:t>
      </w:r>
      <w:r>
        <w:rPr>
          <w:color w:val="231F20"/>
          <w:spacing w:val="2"/>
          <w:w w:val="110"/>
        </w:rPr>
        <w:t>denominational </w:t>
      </w:r>
      <w:r>
        <w:rPr>
          <w:color w:val="231F20"/>
          <w:spacing w:val="4"/>
          <w:w w:val="110"/>
        </w:rPr>
        <w:t>forces </w:t>
      </w:r>
      <w:r>
        <w:rPr>
          <w:color w:val="231F20"/>
          <w:w w:val="110"/>
        </w:rPr>
        <w:t>beyond our </w:t>
      </w:r>
      <w:r>
        <w:rPr>
          <w:color w:val="231F20"/>
          <w:spacing w:val="2"/>
          <w:w w:val="110"/>
        </w:rPr>
        <w:t>control. </w:t>
      </w:r>
      <w:r>
        <w:rPr>
          <w:color w:val="231F20"/>
          <w:w w:val="110"/>
        </w:rPr>
        <w:t>We </w:t>
      </w:r>
      <w:r>
        <w:rPr>
          <w:color w:val="231F20"/>
          <w:spacing w:val="2"/>
          <w:w w:val="110"/>
        </w:rPr>
        <w:t>also share </w:t>
      </w:r>
      <w:r>
        <w:rPr>
          <w:color w:val="231F20"/>
          <w:spacing w:val="73"/>
          <w:w w:val="110"/>
        </w:rPr>
        <w:t> </w:t>
      </w:r>
      <w:r>
        <w:rPr>
          <w:color w:val="231F20"/>
          <w:w w:val="110"/>
        </w:rPr>
        <w:t>a </w:t>
      </w:r>
      <w:r>
        <w:rPr>
          <w:color w:val="231F20"/>
          <w:spacing w:val="3"/>
          <w:w w:val="110"/>
        </w:rPr>
        <w:t>conviction </w:t>
      </w:r>
      <w:r>
        <w:rPr>
          <w:color w:val="231F20"/>
          <w:w w:val="110"/>
        </w:rPr>
        <w:t>that </w:t>
      </w:r>
      <w:r>
        <w:rPr>
          <w:color w:val="231F20"/>
          <w:spacing w:val="2"/>
          <w:w w:val="110"/>
        </w:rPr>
        <w:t>the grace </w:t>
      </w:r>
      <w:r>
        <w:rPr>
          <w:color w:val="231F20"/>
          <w:w w:val="110"/>
        </w:rPr>
        <w:t>of </w:t>
      </w:r>
      <w:r>
        <w:rPr>
          <w:color w:val="231F20"/>
          <w:spacing w:val="3"/>
          <w:w w:val="110"/>
        </w:rPr>
        <w:t>God </w:t>
      </w:r>
      <w:r>
        <w:rPr>
          <w:color w:val="231F20"/>
          <w:w w:val="110"/>
        </w:rPr>
        <w:t>will </w:t>
      </w:r>
      <w:r>
        <w:rPr>
          <w:color w:val="231F20"/>
          <w:spacing w:val="2"/>
          <w:w w:val="110"/>
        </w:rPr>
        <w:t>enable </w:t>
      </w:r>
      <w:r>
        <w:rPr>
          <w:color w:val="231F20"/>
          <w:w w:val="110"/>
        </w:rPr>
        <w:t>us to </w:t>
      </w:r>
      <w:r>
        <w:rPr>
          <w:color w:val="231F20"/>
          <w:spacing w:val="2"/>
          <w:w w:val="110"/>
        </w:rPr>
        <w:t>overcome </w:t>
      </w:r>
      <w:r>
        <w:rPr>
          <w:color w:val="231F20"/>
          <w:w w:val="110"/>
        </w:rPr>
        <w:t>our </w:t>
      </w:r>
      <w:r>
        <w:rPr>
          <w:color w:val="231F20"/>
          <w:spacing w:val="3"/>
          <w:w w:val="110"/>
        </w:rPr>
        <w:t>ecclesial </w:t>
      </w:r>
      <w:r>
        <w:rPr>
          <w:color w:val="231F20"/>
          <w:w w:val="110"/>
        </w:rPr>
        <w:t>and </w:t>
      </w:r>
      <w:r>
        <w:rPr>
          <w:color w:val="231F20"/>
          <w:spacing w:val="3"/>
          <w:w w:val="110"/>
        </w:rPr>
        <w:t>doctrinal</w:t>
      </w:r>
      <w:r>
        <w:rPr>
          <w:color w:val="231F20"/>
          <w:spacing w:val="10"/>
          <w:w w:val="110"/>
        </w:rPr>
        <w:t> </w:t>
      </w:r>
      <w:r>
        <w:rPr>
          <w:color w:val="231F20"/>
          <w:spacing w:val="4"/>
          <w:w w:val="110"/>
        </w:rPr>
        <w:t>differences.</w:t>
      </w:r>
    </w:p>
    <w:p>
      <w:pPr>
        <w:spacing w:after="0" w:line="273" w:lineRule="auto"/>
        <w:sectPr>
          <w:headerReference w:type="default" r:id="rId570"/>
          <w:footerReference w:type="default" r:id="rId571"/>
          <w:footerReference w:type="even" r:id="rId572"/>
          <w:pgSz w:w="11910" w:h="16840"/>
          <w:pgMar w:header="0" w:footer="564" w:top="640" w:bottom="760" w:left="540" w:right="0"/>
          <w:pgNumType w:start="9"/>
        </w:sectPr>
      </w:pPr>
    </w:p>
    <w:p>
      <w:pPr>
        <w:pStyle w:val="BodyText"/>
        <w:spacing w:before="9"/>
        <w:rPr>
          <w:sz w:val="13"/>
        </w:rPr>
      </w:pPr>
    </w:p>
    <w:p>
      <w:pPr>
        <w:pStyle w:val="ListParagraph"/>
        <w:numPr>
          <w:ilvl w:val="1"/>
          <w:numId w:val="226"/>
        </w:numPr>
        <w:tabs>
          <w:tab w:pos="1313" w:val="left" w:leader="none"/>
          <w:tab w:pos="1314" w:val="left" w:leader="none"/>
        </w:tabs>
        <w:spacing w:line="273" w:lineRule="auto" w:before="101" w:after="0"/>
        <w:ind w:left="593" w:right="1734" w:firstLine="0"/>
        <w:jc w:val="left"/>
        <w:rPr>
          <w:sz w:val="18"/>
        </w:rPr>
      </w:pPr>
      <w:r>
        <w:rPr>
          <w:color w:val="231F20"/>
          <w:w w:val="110"/>
          <w:sz w:val="18"/>
        </w:rPr>
        <w:t>Within the Federation we now offer a range of academic courses, validated by two universities. There are varieties of learning style and assessment. </w:t>
      </w:r>
      <w:r>
        <w:rPr>
          <w:color w:val="231F20"/>
          <w:spacing w:val="-4"/>
          <w:w w:val="110"/>
          <w:sz w:val="18"/>
        </w:rPr>
        <w:t>We </w:t>
      </w:r>
      <w:r>
        <w:rPr>
          <w:color w:val="231F20"/>
          <w:w w:val="110"/>
          <w:sz w:val="18"/>
        </w:rPr>
        <w:t>can offer a course for</w:t>
      </w:r>
      <w:r>
        <w:rPr>
          <w:color w:val="231F20"/>
          <w:spacing w:val="-6"/>
          <w:w w:val="110"/>
          <w:sz w:val="18"/>
        </w:rPr>
        <w:t> </w:t>
      </w:r>
      <w:r>
        <w:rPr>
          <w:color w:val="231F20"/>
          <w:w w:val="110"/>
          <w:sz w:val="18"/>
        </w:rPr>
        <w:t>those</w:t>
      </w:r>
      <w:r>
        <w:rPr>
          <w:color w:val="231F20"/>
          <w:spacing w:val="-6"/>
          <w:w w:val="110"/>
          <w:sz w:val="18"/>
        </w:rPr>
        <w:t> </w:t>
      </w:r>
      <w:r>
        <w:rPr>
          <w:color w:val="231F20"/>
          <w:w w:val="110"/>
          <w:sz w:val="18"/>
        </w:rPr>
        <w:t>who</w:t>
      </w:r>
      <w:r>
        <w:rPr>
          <w:color w:val="231F20"/>
          <w:spacing w:val="-5"/>
          <w:w w:val="110"/>
          <w:sz w:val="18"/>
        </w:rPr>
        <w:t> </w:t>
      </w:r>
      <w:r>
        <w:rPr>
          <w:color w:val="231F20"/>
          <w:w w:val="110"/>
          <w:sz w:val="18"/>
        </w:rPr>
        <w:t>come</w:t>
      </w:r>
      <w:r>
        <w:rPr>
          <w:color w:val="231F20"/>
          <w:spacing w:val="-6"/>
          <w:w w:val="110"/>
          <w:sz w:val="18"/>
        </w:rPr>
        <w:t> </w:t>
      </w:r>
      <w:r>
        <w:rPr>
          <w:color w:val="231F20"/>
          <w:w w:val="110"/>
          <w:sz w:val="18"/>
        </w:rPr>
        <w:t>into</w:t>
      </w:r>
      <w:r>
        <w:rPr>
          <w:color w:val="231F20"/>
          <w:spacing w:val="-6"/>
          <w:w w:val="110"/>
          <w:sz w:val="18"/>
        </w:rPr>
        <w:t> </w:t>
      </w:r>
      <w:r>
        <w:rPr>
          <w:color w:val="231F20"/>
          <w:w w:val="110"/>
          <w:sz w:val="18"/>
        </w:rPr>
        <w:t>residence</w:t>
      </w:r>
      <w:r>
        <w:rPr>
          <w:color w:val="231F20"/>
          <w:spacing w:val="-5"/>
          <w:w w:val="110"/>
          <w:sz w:val="18"/>
        </w:rPr>
        <w:t> </w:t>
      </w:r>
      <w:r>
        <w:rPr>
          <w:color w:val="231F20"/>
          <w:w w:val="110"/>
          <w:sz w:val="18"/>
        </w:rPr>
        <w:t>in</w:t>
      </w:r>
      <w:r>
        <w:rPr>
          <w:color w:val="231F20"/>
          <w:spacing w:val="-6"/>
          <w:w w:val="110"/>
          <w:sz w:val="18"/>
        </w:rPr>
        <w:t> </w:t>
      </w:r>
      <w:r>
        <w:rPr>
          <w:color w:val="231F20"/>
          <w:w w:val="110"/>
          <w:sz w:val="18"/>
        </w:rPr>
        <w:t>Cambridge,</w:t>
      </w:r>
      <w:r>
        <w:rPr>
          <w:color w:val="231F20"/>
          <w:spacing w:val="-5"/>
          <w:w w:val="110"/>
          <w:sz w:val="18"/>
        </w:rPr>
        <w:t> </w:t>
      </w:r>
      <w:r>
        <w:rPr>
          <w:color w:val="231F20"/>
          <w:w w:val="110"/>
          <w:sz w:val="18"/>
        </w:rPr>
        <w:t>those</w:t>
      </w:r>
      <w:r>
        <w:rPr>
          <w:color w:val="231F20"/>
          <w:spacing w:val="-6"/>
          <w:w w:val="110"/>
          <w:sz w:val="18"/>
        </w:rPr>
        <w:t> </w:t>
      </w:r>
      <w:r>
        <w:rPr>
          <w:color w:val="231F20"/>
          <w:w w:val="110"/>
          <w:sz w:val="18"/>
        </w:rPr>
        <w:t>who</w:t>
      </w:r>
      <w:r>
        <w:rPr>
          <w:color w:val="231F20"/>
          <w:spacing w:val="-6"/>
          <w:w w:val="110"/>
          <w:sz w:val="18"/>
        </w:rPr>
        <w:t> </w:t>
      </w:r>
      <w:r>
        <w:rPr>
          <w:color w:val="231F20"/>
          <w:w w:val="110"/>
          <w:sz w:val="18"/>
        </w:rPr>
        <w:t>come</w:t>
      </w:r>
      <w:r>
        <w:rPr>
          <w:color w:val="231F20"/>
          <w:spacing w:val="-5"/>
          <w:w w:val="110"/>
          <w:sz w:val="18"/>
        </w:rPr>
        <w:t> </w:t>
      </w:r>
      <w:r>
        <w:rPr>
          <w:color w:val="231F20"/>
          <w:w w:val="110"/>
          <w:sz w:val="18"/>
        </w:rPr>
        <w:t>on</w:t>
      </w:r>
      <w:r>
        <w:rPr>
          <w:color w:val="231F20"/>
          <w:spacing w:val="-6"/>
          <w:w w:val="110"/>
          <w:sz w:val="18"/>
        </w:rPr>
        <w:t> </w:t>
      </w:r>
      <w:r>
        <w:rPr>
          <w:color w:val="231F20"/>
          <w:w w:val="110"/>
          <w:sz w:val="18"/>
        </w:rPr>
        <w:t>a</w:t>
      </w:r>
      <w:r>
        <w:rPr>
          <w:color w:val="231F20"/>
          <w:spacing w:val="-5"/>
          <w:w w:val="110"/>
          <w:sz w:val="18"/>
        </w:rPr>
        <w:t> </w:t>
      </w:r>
      <w:r>
        <w:rPr>
          <w:color w:val="231F20"/>
          <w:spacing w:val="-3"/>
          <w:w w:val="110"/>
          <w:sz w:val="18"/>
        </w:rPr>
        <w:t>part-time</w:t>
      </w:r>
      <w:r>
        <w:rPr>
          <w:color w:val="231F20"/>
          <w:spacing w:val="-6"/>
          <w:w w:val="110"/>
          <w:sz w:val="18"/>
        </w:rPr>
        <w:t> </w:t>
      </w:r>
      <w:r>
        <w:rPr>
          <w:color w:val="231F20"/>
          <w:w w:val="110"/>
          <w:sz w:val="18"/>
        </w:rPr>
        <w:t>basis</w:t>
      </w:r>
      <w:r>
        <w:rPr>
          <w:color w:val="231F20"/>
          <w:spacing w:val="-6"/>
          <w:w w:val="110"/>
          <w:sz w:val="18"/>
        </w:rPr>
        <w:t> </w:t>
      </w:r>
      <w:r>
        <w:rPr>
          <w:color w:val="231F20"/>
          <w:w w:val="110"/>
          <w:sz w:val="18"/>
        </w:rPr>
        <w:t>and those who live at a distance. </w:t>
      </w:r>
      <w:r>
        <w:rPr>
          <w:color w:val="231F20"/>
          <w:spacing w:val="-4"/>
          <w:w w:val="110"/>
          <w:sz w:val="18"/>
        </w:rPr>
        <w:t>We </w:t>
      </w:r>
      <w:r>
        <w:rPr>
          <w:color w:val="231F20"/>
          <w:spacing w:val="-3"/>
          <w:w w:val="110"/>
          <w:sz w:val="18"/>
        </w:rPr>
        <w:t>have </w:t>
      </w:r>
      <w:r>
        <w:rPr>
          <w:color w:val="231F20"/>
          <w:w w:val="110"/>
          <w:sz w:val="18"/>
        </w:rPr>
        <w:t>programmes for graduates and for those who come having just secured the basic academic qualifications. The rapidly developing Regional </w:t>
      </w:r>
      <w:r>
        <w:rPr>
          <w:color w:val="231F20"/>
          <w:spacing w:val="-4"/>
          <w:w w:val="110"/>
          <w:sz w:val="18"/>
        </w:rPr>
        <w:t>Training </w:t>
      </w:r>
      <w:r>
        <w:rPr>
          <w:color w:val="231F20"/>
          <w:w w:val="110"/>
          <w:sz w:val="18"/>
        </w:rPr>
        <w:t>Partnership, of which the Cambridge Theological Federation is a part, is enlarging educational opportunities. Although ministerial education remains the Federation’s largest single activity we also offer learning opportunities for </w:t>
      </w:r>
      <w:r>
        <w:rPr>
          <w:color w:val="231F20"/>
          <w:spacing w:val="-3"/>
          <w:w w:val="110"/>
          <w:sz w:val="18"/>
        </w:rPr>
        <w:t>lay </w:t>
      </w:r>
      <w:r>
        <w:rPr>
          <w:color w:val="231F20"/>
          <w:w w:val="110"/>
          <w:sz w:val="18"/>
        </w:rPr>
        <w:t>people. Most of our Federation students</w:t>
      </w:r>
      <w:r>
        <w:rPr>
          <w:color w:val="231F20"/>
          <w:spacing w:val="-7"/>
          <w:w w:val="110"/>
          <w:sz w:val="18"/>
        </w:rPr>
        <w:t> </w:t>
      </w:r>
      <w:r>
        <w:rPr>
          <w:color w:val="231F20"/>
          <w:spacing w:val="-3"/>
          <w:w w:val="110"/>
          <w:sz w:val="18"/>
        </w:rPr>
        <w:t>have</w:t>
      </w:r>
      <w:r>
        <w:rPr>
          <w:color w:val="231F20"/>
          <w:spacing w:val="-7"/>
          <w:w w:val="110"/>
          <w:sz w:val="18"/>
        </w:rPr>
        <w:t> </w:t>
      </w:r>
      <w:r>
        <w:rPr>
          <w:color w:val="231F20"/>
          <w:w w:val="110"/>
          <w:sz w:val="18"/>
        </w:rPr>
        <w:t>experience</w:t>
      </w:r>
      <w:r>
        <w:rPr>
          <w:color w:val="231F20"/>
          <w:spacing w:val="-7"/>
          <w:w w:val="110"/>
          <w:sz w:val="18"/>
        </w:rPr>
        <w:t> </w:t>
      </w:r>
      <w:r>
        <w:rPr>
          <w:color w:val="231F20"/>
          <w:w w:val="110"/>
          <w:sz w:val="18"/>
        </w:rPr>
        <w:t>of</w:t>
      </w:r>
      <w:r>
        <w:rPr>
          <w:color w:val="231F20"/>
          <w:spacing w:val="-6"/>
          <w:w w:val="110"/>
          <w:sz w:val="18"/>
        </w:rPr>
        <w:t> </w:t>
      </w:r>
      <w:r>
        <w:rPr>
          <w:color w:val="231F20"/>
          <w:w w:val="110"/>
          <w:sz w:val="18"/>
        </w:rPr>
        <w:t>another</w:t>
      </w:r>
      <w:r>
        <w:rPr>
          <w:color w:val="231F20"/>
          <w:spacing w:val="-7"/>
          <w:w w:val="110"/>
          <w:sz w:val="18"/>
        </w:rPr>
        <w:t> </w:t>
      </w:r>
      <w:r>
        <w:rPr>
          <w:color w:val="231F20"/>
          <w:w w:val="110"/>
          <w:sz w:val="18"/>
        </w:rPr>
        <w:t>career;</w:t>
      </w:r>
      <w:r>
        <w:rPr>
          <w:color w:val="231F20"/>
          <w:spacing w:val="-7"/>
          <w:w w:val="110"/>
          <w:sz w:val="18"/>
        </w:rPr>
        <w:t> </w:t>
      </w:r>
      <w:r>
        <w:rPr>
          <w:color w:val="231F20"/>
          <w:w w:val="110"/>
          <w:sz w:val="18"/>
        </w:rPr>
        <w:t>a</w:t>
      </w:r>
      <w:r>
        <w:rPr>
          <w:color w:val="231F20"/>
          <w:spacing w:val="-7"/>
          <w:w w:val="110"/>
          <w:sz w:val="18"/>
        </w:rPr>
        <w:t> </w:t>
      </w:r>
      <w:r>
        <w:rPr>
          <w:color w:val="231F20"/>
          <w:w w:val="110"/>
          <w:sz w:val="18"/>
        </w:rPr>
        <w:t>large</w:t>
      </w:r>
      <w:r>
        <w:rPr>
          <w:color w:val="231F20"/>
          <w:spacing w:val="-6"/>
          <w:w w:val="110"/>
          <w:sz w:val="18"/>
        </w:rPr>
        <w:t> </w:t>
      </w:r>
      <w:r>
        <w:rPr>
          <w:color w:val="231F20"/>
          <w:w w:val="110"/>
          <w:sz w:val="18"/>
        </w:rPr>
        <w:t>number</w:t>
      </w:r>
      <w:r>
        <w:rPr>
          <w:color w:val="231F20"/>
          <w:spacing w:val="-7"/>
          <w:w w:val="110"/>
          <w:sz w:val="18"/>
        </w:rPr>
        <w:t> </w:t>
      </w:r>
      <w:r>
        <w:rPr>
          <w:color w:val="231F20"/>
          <w:w w:val="110"/>
          <w:sz w:val="18"/>
        </w:rPr>
        <w:t>are</w:t>
      </w:r>
      <w:r>
        <w:rPr>
          <w:color w:val="231F20"/>
          <w:spacing w:val="-7"/>
          <w:w w:val="110"/>
          <w:sz w:val="18"/>
        </w:rPr>
        <w:t> </w:t>
      </w:r>
      <w:r>
        <w:rPr>
          <w:color w:val="231F20"/>
          <w:w w:val="110"/>
          <w:sz w:val="18"/>
        </w:rPr>
        <w:t>married,</w:t>
      </w:r>
      <w:r>
        <w:rPr>
          <w:color w:val="231F20"/>
          <w:spacing w:val="-7"/>
          <w:w w:val="110"/>
          <w:sz w:val="18"/>
        </w:rPr>
        <w:t> </w:t>
      </w:r>
      <w:r>
        <w:rPr>
          <w:color w:val="231F20"/>
          <w:w w:val="110"/>
          <w:sz w:val="18"/>
        </w:rPr>
        <w:t>with</w:t>
      </w:r>
      <w:r>
        <w:rPr>
          <w:color w:val="231F20"/>
          <w:spacing w:val="-6"/>
          <w:w w:val="110"/>
          <w:sz w:val="18"/>
        </w:rPr>
        <w:t> </w:t>
      </w:r>
      <w:r>
        <w:rPr>
          <w:color w:val="231F20"/>
          <w:w w:val="110"/>
          <w:sz w:val="18"/>
        </w:rPr>
        <w:t>children;</w:t>
      </w:r>
    </w:p>
    <w:p>
      <w:pPr>
        <w:pStyle w:val="BodyText"/>
        <w:spacing w:before="5"/>
        <w:ind w:left="593"/>
      </w:pPr>
      <w:r>
        <w:rPr>
          <w:color w:val="231F20"/>
          <w:w w:val="110"/>
        </w:rPr>
        <w:t>by contrast with even ten years ago there are roughly equal numbers of men and women.</w:t>
      </w:r>
    </w:p>
    <w:p>
      <w:pPr>
        <w:pStyle w:val="BodyText"/>
        <w:spacing w:before="2"/>
        <w:rPr>
          <w:sz w:val="23"/>
        </w:rPr>
      </w:pPr>
    </w:p>
    <w:p>
      <w:pPr>
        <w:pStyle w:val="ListParagraph"/>
        <w:numPr>
          <w:ilvl w:val="1"/>
          <w:numId w:val="226"/>
        </w:numPr>
        <w:tabs>
          <w:tab w:pos="1373" w:val="left" w:leader="none"/>
          <w:tab w:pos="1374" w:val="left" w:leader="none"/>
        </w:tabs>
        <w:spacing w:line="273" w:lineRule="auto" w:before="0" w:after="0"/>
        <w:ind w:left="593" w:right="1951" w:firstLine="0"/>
        <w:jc w:val="left"/>
        <w:rPr>
          <w:sz w:val="18"/>
        </w:rPr>
      </w:pPr>
      <w:r>
        <w:rPr>
          <w:color w:val="231F20"/>
          <w:w w:val="110"/>
          <w:sz w:val="18"/>
        </w:rPr>
        <w:t>Westminster College is one of the </w:t>
      </w:r>
      <w:r>
        <w:rPr>
          <w:color w:val="231F20"/>
          <w:spacing w:val="2"/>
          <w:w w:val="110"/>
          <w:sz w:val="18"/>
        </w:rPr>
        <w:t>entry </w:t>
      </w:r>
      <w:r>
        <w:rPr>
          <w:color w:val="231F20"/>
          <w:w w:val="110"/>
          <w:sz w:val="18"/>
        </w:rPr>
        <w:t>points for United Reformed Church students, and others who apply to the college and are accepted as students, to all this richness. Those who wish to follow our new BA in Christian Theology at Anglia Ruskin University, to graduate or diploma level, may enrol through Westminster, though students are normally assigned to the college through the United Reformed Church.  The MA in Pastoral Theology is similarly available. Those who wish to follow the Cambridge University </w:t>
      </w:r>
      <w:r>
        <w:rPr>
          <w:color w:val="231F20"/>
          <w:spacing w:val="2"/>
          <w:w w:val="110"/>
          <w:sz w:val="18"/>
        </w:rPr>
        <w:t>course </w:t>
      </w:r>
      <w:r>
        <w:rPr>
          <w:color w:val="231F20"/>
          <w:w w:val="110"/>
          <w:sz w:val="18"/>
        </w:rPr>
        <w:t>leading to a degree of Bachelor of Theology in Ministry need to live in Cambridge and be linked to the university through Westminster. The new</w:t>
      </w:r>
      <w:r>
        <w:rPr>
          <w:color w:val="231F20"/>
          <w:spacing w:val="7"/>
          <w:w w:val="110"/>
          <w:sz w:val="18"/>
        </w:rPr>
        <w:t> </w:t>
      </w:r>
      <w:r>
        <w:rPr>
          <w:color w:val="231F20"/>
          <w:w w:val="110"/>
          <w:sz w:val="18"/>
        </w:rPr>
        <w:t>arrangements</w:t>
      </w:r>
      <w:r>
        <w:rPr>
          <w:color w:val="231F20"/>
          <w:spacing w:val="8"/>
          <w:w w:val="110"/>
          <w:sz w:val="18"/>
        </w:rPr>
        <w:t> </w:t>
      </w:r>
      <w:r>
        <w:rPr>
          <w:color w:val="231F20"/>
          <w:w w:val="110"/>
          <w:sz w:val="18"/>
        </w:rPr>
        <w:t>will</w:t>
      </w:r>
      <w:r>
        <w:rPr>
          <w:color w:val="231F20"/>
          <w:spacing w:val="8"/>
          <w:w w:val="110"/>
          <w:sz w:val="18"/>
        </w:rPr>
        <w:t> </w:t>
      </w:r>
      <w:r>
        <w:rPr>
          <w:color w:val="231F20"/>
          <w:w w:val="110"/>
          <w:sz w:val="18"/>
        </w:rPr>
        <w:t>make</w:t>
      </w:r>
      <w:r>
        <w:rPr>
          <w:color w:val="231F20"/>
          <w:spacing w:val="8"/>
          <w:w w:val="110"/>
          <w:sz w:val="18"/>
        </w:rPr>
        <w:t> </w:t>
      </w:r>
      <w:r>
        <w:rPr>
          <w:color w:val="231F20"/>
          <w:w w:val="110"/>
          <w:sz w:val="18"/>
        </w:rPr>
        <w:t>it</w:t>
      </w:r>
      <w:r>
        <w:rPr>
          <w:color w:val="231F20"/>
          <w:spacing w:val="8"/>
          <w:w w:val="110"/>
          <w:sz w:val="18"/>
        </w:rPr>
        <w:t> </w:t>
      </w:r>
      <w:r>
        <w:rPr>
          <w:color w:val="231F20"/>
          <w:w w:val="110"/>
          <w:sz w:val="18"/>
        </w:rPr>
        <w:t>possible,</w:t>
      </w:r>
      <w:r>
        <w:rPr>
          <w:color w:val="231F20"/>
          <w:spacing w:val="8"/>
          <w:w w:val="110"/>
          <w:sz w:val="18"/>
        </w:rPr>
        <w:t> </w:t>
      </w:r>
      <w:r>
        <w:rPr>
          <w:color w:val="231F20"/>
          <w:w w:val="110"/>
          <w:sz w:val="18"/>
        </w:rPr>
        <w:t>we</w:t>
      </w:r>
      <w:r>
        <w:rPr>
          <w:color w:val="231F20"/>
          <w:spacing w:val="8"/>
          <w:w w:val="110"/>
          <w:sz w:val="18"/>
        </w:rPr>
        <w:t> </w:t>
      </w:r>
      <w:r>
        <w:rPr>
          <w:color w:val="231F20"/>
          <w:w w:val="110"/>
          <w:sz w:val="18"/>
        </w:rPr>
        <w:t>believe,</w:t>
      </w:r>
      <w:r>
        <w:rPr>
          <w:color w:val="231F20"/>
          <w:spacing w:val="8"/>
          <w:w w:val="110"/>
          <w:sz w:val="18"/>
        </w:rPr>
        <w:t> </w:t>
      </w:r>
      <w:r>
        <w:rPr>
          <w:color w:val="231F20"/>
          <w:w w:val="110"/>
          <w:sz w:val="18"/>
        </w:rPr>
        <w:t>for</w:t>
      </w:r>
      <w:r>
        <w:rPr>
          <w:color w:val="231F20"/>
          <w:spacing w:val="7"/>
          <w:w w:val="110"/>
          <w:sz w:val="18"/>
        </w:rPr>
        <w:t> </w:t>
      </w:r>
      <w:r>
        <w:rPr>
          <w:color w:val="231F20"/>
          <w:w w:val="110"/>
          <w:sz w:val="18"/>
        </w:rPr>
        <w:t>all</w:t>
      </w:r>
      <w:r>
        <w:rPr>
          <w:color w:val="231F20"/>
          <w:spacing w:val="8"/>
          <w:w w:val="110"/>
          <w:sz w:val="18"/>
        </w:rPr>
        <w:t> </w:t>
      </w:r>
      <w:r>
        <w:rPr>
          <w:color w:val="231F20"/>
          <w:w w:val="110"/>
          <w:sz w:val="18"/>
        </w:rPr>
        <w:t>ministerial</w:t>
      </w:r>
      <w:r>
        <w:rPr>
          <w:color w:val="231F20"/>
          <w:spacing w:val="8"/>
          <w:w w:val="110"/>
          <w:sz w:val="18"/>
        </w:rPr>
        <w:t> </w:t>
      </w:r>
      <w:r>
        <w:rPr>
          <w:color w:val="231F20"/>
          <w:w w:val="110"/>
          <w:sz w:val="18"/>
        </w:rPr>
        <w:t>candidates</w:t>
      </w:r>
      <w:r>
        <w:rPr>
          <w:color w:val="231F20"/>
          <w:spacing w:val="8"/>
          <w:w w:val="110"/>
          <w:sz w:val="18"/>
        </w:rPr>
        <w:t> </w:t>
      </w:r>
      <w:r>
        <w:rPr>
          <w:color w:val="231F20"/>
          <w:w w:val="110"/>
          <w:sz w:val="18"/>
        </w:rPr>
        <w:t>to</w:t>
      </w:r>
    </w:p>
    <w:p>
      <w:pPr>
        <w:pStyle w:val="BodyText"/>
        <w:spacing w:line="273" w:lineRule="auto" w:before="5"/>
        <w:ind w:left="593" w:right="1788"/>
      </w:pPr>
      <w:r>
        <w:rPr>
          <w:color w:val="231F20"/>
          <w:w w:val="110"/>
        </w:rPr>
        <w:t>graduate in relevant disciplines. We believe that the Church is right to demand academic qualifications for the ministry of word and sacrament. We also believe that the Church should be seeking to develop those gifts and graces which are not subject to academic assessment but are discerned as we make our common pilgrimage.</w:t>
      </w:r>
    </w:p>
    <w:p>
      <w:pPr>
        <w:pStyle w:val="BodyText"/>
        <w:spacing w:before="9"/>
        <w:rPr>
          <w:sz w:val="20"/>
        </w:rPr>
      </w:pPr>
    </w:p>
    <w:p>
      <w:pPr>
        <w:pStyle w:val="Heading9"/>
        <w:ind w:left="593"/>
      </w:pPr>
      <w:r>
        <w:rPr>
          <w:color w:val="231F20"/>
          <w:w w:val="110"/>
        </w:rPr>
        <w:t>The world Church</w:t>
      </w:r>
    </w:p>
    <w:p>
      <w:pPr>
        <w:pStyle w:val="ListParagraph"/>
        <w:numPr>
          <w:ilvl w:val="0"/>
          <w:numId w:val="227"/>
        </w:numPr>
        <w:tabs>
          <w:tab w:pos="1373" w:val="left" w:leader="none"/>
          <w:tab w:pos="1374" w:val="left" w:leader="none"/>
        </w:tabs>
        <w:spacing w:line="273" w:lineRule="auto" w:before="258" w:after="0"/>
        <w:ind w:left="593" w:right="1822" w:firstLine="0"/>
        <w:jc w:val="left"/>
        <w:rPr>
          <w:sz w:val="18"/>
        </w:rPr>
      </w:pPr>
      <w:r>
        <w:rPr>
          <w:color w:val="231F20"/>
          <w:w w:val="110"/>
          <w:sz w:val="18"/>
        </w:rPr>
        <w:t>Our students continue to participate in programmes which take them beyond   the United Kingdom. During the calendar year students visited the United States and Israel on church-related programmes. </w:t>
      </w:r>
      <w:r>
        <w:rPr>
          <w:color w:val="231F20"/>
          <w:spacing w:val="2"/>
          <w:w w:val="110"/>
          <w:sz w:val="18"/>
        </w:rPr>
        <w:t>Staff </w:t>
      </w:r>
      <w:r>
        <w:rPr>
          <w:color w:val="231F20"/>
          <w:w w:val="110"/>
          <w:sz w:val="18"/>
        </w:rPr>
        <w:t>have been to various </w:t>
      </w:r>
      <w:r>
        <w:rPr>
          <w:color w:val="231F20"/>
          <w:spacing w:val="3"/>
          <w:w w:val="110"/>
          <w:sz w:val="18"/>
        </w:rPr>
        <w:t>parts </w:t>
      </w:r>
      <w:r>
        <w:rPr>
          <w:color w:val="231F20"/>
          <w:w w:val="110"/>
          <w:sz w:val="18"/>
        </w:rPr>
        <w:t>of Europe and the United States. </w:t>
      </w:r>
      <w:r>
        <w:rPr>
          <w:color w:val="231F20"/>
          <w:spacing w:val="-3"/>
          <w:w w:val="110"/>
          <w:sz w:val="18"/>
        </w:rPr>
        <w:t>We </w:t>
      </w:r>
      <w:r>
        <w:rPr>
          <w:color w:val="231F20"/>
          <w:w w:val="110"/>
          <w:sz w:val="18"/>
        </w:rPr>
        <w:t>have received visitors </w:t>
      </w:r>
      <w:r>
        <w:rPr>
          <w:color w:val="231F20"/>
          <w:spacing w:val="2"/>
          <w:w w:val="110"/>
          <w:sz w:val="18"/>
        </w:rPr>
        <w:t>from </w:t>
      </w:r>
      <w:r>
        <w:rPr>
          <w:color w:val="231F20"/>
          <w:w w:val="110"/>
          <w:sz w:val="18"/>
        </w:rPr>
        <w:t>the United States, New Zealand and </w:t>
      </w:r>
      <w:r>
        <w:rPr>
          <w:color w:val="231F20"/>
          <w:spacing w:val="2"/>
          <w:w w:val="110"/>
          <w:sz w:val="18"/>
        </w:rPr>
        <w:t>different </w:t>
      </w:r>
      <w:r>
        <w:rPr>
          <w:color w:val="231F20"/>
          <w:spacing w:val="3"/>
          <w:w w:val="110"/>
          <w:sz w:val="18"/>
        </w:rPr>
        <w:t>parts </w:t>
      </w:r>
      <w:r>
        <w:rPr>
          <w:color w:val="231F20"/>
          <w:w w:val="110"/>
          <w:sz w:val="18"/>
        </w:rPr>
        <w:t>of Europe. Our new Lewis and Gibson scholar is </w:t>
      </w:r>
      <w:r>
        <w:rPr>
          <w:color w:val="231F20"/>
          <w:spacing w:val="2"/>
          <w:w w:val="110"/>
          <w:sz w:val="18"/>
        </w:rPr>
        <w:t>from </w:t>
      </w:r>
      <w:r>
        <w:rPr>
          <w:color w:val="231F20"/>
          <w:w w:val="110"/>
          <w:sz w:val="18"/>
        </w:rPr>
        <w:t>our </w:t>
      </w:r>
      <w:r>
        <w:rPr>
          <w:color w:val="231F20"/>
          <w:spacing w:val="2"/>
          <w:w w:val="110"/>
          <w:sz w:val="18"/>
        </w:rPr>
        <w:t>partner </w:t>
      </w:r>
      <w:r>
        <w:rPr>
          <w:color w:val="231F20"/>
          <w:w w:val="110"/>
          <w:sz w:val="18"/>
        </w:rPr>
        <w:t>church in Italy and we also received a Croatian pastor for a </w:t>
      </w:r>
      <w:r>
        <w:rPr>
          <w:color w:val="231F20"/>
          <w:spacing w:val="2"/>
          <w:w w:val="110"/>
          <w:sz w:val="18"/>
        </w:rPr>
        <w:t>short </w:t>
      </w:r>
      <w:r>
        <w:rPr>
          <w:color w:val="231F20"/>
          <w:spacing w:val="-3"/>
          <w:w w:val="110"/>
          <w:sz w:val="18"/>
        </w:rPr>
        <w:t>stay. </w:t>
      </w:r>
      <w:r>
        <w:rPr>
          <w:color w:val="231F20"/>
          <w:w w:val="110"/>
          <w:sz w:val="18"/>
        </w:rPr>
        <w:t>In the summer our   DMin students travelled to New </w:t>
      </w:r>
      <w:r>
        <w:rPr>
          <w:color w:val="231F20"/>
          <w:spacing w:val="2"/>
          <w:w w:val="110"/>
          <w:sz w:val="18"/>
        </w:rPr>
        <w:t>Jersey </w:t>
      </w:r>
      <w:r>
        <w:rPr>
          <w:color w:val="231F20"/>
          <w:w w:val="110"/>
          <w:sz w:val="18"/>
        </w:rPr>
        <w:t>for their final summer school at the Princeton Theological Seminary </w:t>
      </w:r>
      <w:r>
        <w:rPr>
          <w:color w:val="231F20"/>
          <w:spacing w:val="2"/>
          <w:w w:val="110"/>
          <w:sz w:val="18"/>
        </w:rPr>
        <w:t>before </w:t>
      </w:r>
      <w:r>
        <w:rPr>
          <w:color w:val="231F20"/>
          <w:w w:val="110"/>
          <w:sz w:val="18"/>
        </w:rPr>
        <w:t>embarking on their dissertations. Changes at Princeton   and the </w:t>
      </w:r>
      <w:r>
        <w:rPr>
          <w:color w:val="231F20"/>
          <w:spacing w:val="2"/>
          <w:w w:val="110"/>
          <w:sz w:val="18"/>
        </w:rPr>
        <w:t>departure </w:t>
      </w:r>
      <w:r>
        <w:rPr>
          <w:color w:val="231F20"/>
          <w:w w:val="110"/>
          <w:sz w:val="18"/>
        </w:rPr>
        <w:t>of Dr Peter McEnhill have led us to suspend recruitment for another </w:t>
      </w:r>
      <w:r>
        <w:rPr>
          <w:color w:val="231F20"/>
          <w:spacing w:val="2"/>
          <w:w w:val="110"/>
          <w:sz w:val="18"/>
        </w:rPr>
        <w:t>course </w:t>
      </w:r>
      <w:r>
        <w:rPr>
          <w:color w:val="231F20"/>
          <w:w w:val="110"/>
          <w:sz w:val="18"/>
        </w:rPr>
        <w:t>for the time being, with the intention of beginning again in 2008. The Federation opens up other </w:t>
      </w:r>
      <w:r>
        <w:rPr>
          <w:color w:val="231F20"/>
          <w:spacing w:val="3"/>
          <w:w w:val="110"/>
          <w:sz w:val="18"/>
        </w:rPr>
        <w:t>parts </w:t>
      </w:r>
      <w:r>
        <w:rPr>
          <w:color w:val="231F20"/>
          <w:w w:val="110"/>
          <w:sz w:val="18"/>
        </w:rPr>
        <w:t>of the world to us as visitors come to our </w:t>
      </w:r>
      <w:r>
        <w:rPr>
          <w:color w:val="231F20"/>
          <w:spacing w:val="2"/>
          <w:w w:val="110"/>
          <w:sz w:val="18"/>
        </w:rPr>
        <w:t>partners </w:t>
      </w:r>
      <w:r>
        <w:rPr>
          <w:color w:val="231F20"/>
          <w:w w:val="110"/>
          <w:sz w:val="18"/>
        </w:rPr>
        <w:t>in Cambridge. The college has a policy of expecting students to travel to at least one overseas placement during their course, not only to enjoy Christian hospitality but to see how   the mission of the Church is </w:t>
      </w:r>
      <w:r>
        <w:rPr>
          <w:color w:val="231F20"/>
          <w:spacing w:val="2"/>
          <w:w w:val="110"/>
          <w:sz w:val="18"/>
        </w:rPr>
        <w:t>practised </w:t>
      </w:r>
      <w:r>
        <w:rPr>
          <w:color w:val="231F20"/>
          <w:w w:val="110"/>
          <w:sz w:val="18"/>
        </w:rPr>
        <w:t>in other cultures. </w:t>
      </w:r>
      <w:r>
        <w:rPr>
          <w:color w:val="231F20"/>
          <w:spacing w:val="-3"/>
          <w:w w:val="110"/>
          <w:sz w:val="18"/>
        </w:rPr>
        <w:t>We  </w:t>
      </w:r>
      <w:r>
        <w:rPr>
          <w:color w:val="231F20"/>
          <w:w w:val="110"/>
          <w:sz w:val="18"/>
        </w:rPr>
        <w:t>regard visits and visitors   as an important </w:t>
      </w:r>
      <w:r>
        <w:rPr>
          <w:color w:val="231F20"/>
          <w:spacing w:val="2"/>
          <w:w w:val="110"/>
          <w:sz w:val="18"/>
        </w:rPr>
        <w:t>part </w:t>
      </w:r>
      <w:r>
        <w:rPr>
          <w:color w:val="231F20"/>
          <w:w w:val="110"/>
          <w:sz w:val="18"/>
        </w:rPr>
        <w:t>of Christian formation for our own</w:t>
      </w:r>
      <w:r>
        <w:rPr>
          <w:color w:val="231F20"/>
          <w:spacing w:val="28"/>
          <w:w w:val="110"/>
          <w:sz w:val="18"/>
        </w:rPr>
        <w:t> </w:t>
      </w:r>
      <w:r>
        <w:rPr>
          <w:color w:val="231F20"/>
          <w:w w:val="110"/>
          <w:sz w:val="18"/>
        </w:rPr>
        <w:t>ministry.</w:t>
      </w:r>
    </w:p>
    <w:p>
      <w:pPr>
        <w:pStyle w:val="BodyText"/>
        <w:spacing w:before="3"/>
        <w:rPr>
          <w:sz w:val="21"/>
        </w:rPr>
      </w:pPr>
    </w:p>
    <w:p>
      <w:pPr>
        <w:pStyle w:val="Heading9"/>
        <w:spacing w:before="1"/>
        <w:ind w:left="593"/>
      </w:pPr>
      <w:r>
        <w:rPr>
          <w:color w:val="231F20"/>
          <w:w w:val="110"/>
        </w:rPr>
        <w:t>The buildings</w:t>
      </w:r>
    </w:p>
    <w:p>
      <w:pPr>
        <w:pStyle w:val="ListParagraph"/>
        <w:numPr>
          <w:ilvl w:val="0"/>
          <w:numId w:val="227"/>
        </w:numPr>
        <w:tabs>
          <w:tab w:pos="1313" w:val="left" w:leader="none"/>
          <w:tab w:pos="1314" w:val="left" w:leader="none"/>
        </w:tabs>
        <w:spacing w:line="273" w:lineRule="auto" w:before="258" w:after="0"/>
        <w:ind w:left="594" w:right="1742" w:hanging="1"/>
        <w:jc w:val="left"/>
        <w:rPr>
          <w:sz w:val="18"/>
        </w:rPr>
      </w:pPr>
      <w:r>
        <w:rPr>
          <w:color w:val="231F20"/>
          <w:spacing w:val="-4"/>
          <w:w w:val="110"/>
          <w:sz w:val="18"/>
        </w:rPr>
        <w:t>We </w:t>
      </w:r>
      <w:r>
        <w:rPr>
          <w:color w:val="231F20"/>
          <w:spacing w:val="-3"/>
          <w:w w:val="110"/>
          <w:sz w:val="18"/>
        </w:rPr>
        <w:t>have </w:t>
      </w:r>
      <w:r>
        <w:rPr>
          <w:color w:val="231F20"/>
          <w:w w:val="110"/>
          <w:sz w:val="18"/>
        </w:rPr>
        <w:t>commissioned and completed a major structural survey of the college. This not only assures us there are no major structural problems to address but provides an agenda for planned and costed maintenance </w:t>
      </w:r>
      <w:r>
        <w:rPr>
          <w:color w:val="231F20"/>
          <w:spacing w:val="-3"/>
          <w:w w:val="110"/>
          <w:sz w:val="18"/>
        </w:rPr>
        <w:t>over </w:t>
      </w:r>
      <w:r>
        <w:rPr>
          <w:color w:val="231F20"/>
          <w:w w:val="110"/>
          <w:sz w:val="18"/>
        </w:rPr>
        <w:t>the next few years. </w:t>
      </w:r>
      <w:r>
        <w:rPr>
          <w:color w:val="231F20"/>
          <w:spacing w:val="-4"/>
          <w:w w:val="110"/>
          <w:sz w:val="18"/>
        </w:rPr>
        <w:t>We </w:t>
      </w:r>
      <w:r>
        <w:rPr>
          <w:color w:val="231F20"/>
          <w:w w:val="110"/>
          <w:sz w:val="18"/>
        </w:rPr>
        <w:t>are fortunate in our Management Committee, both in terms of the expertise and imagination</w:t>
      </w:r>
      <w:r>
        <w:rPr>
          <w:color w:val="231F20"/>
          <w:spacing w:val="-20"/>
          <w:w w:val="110"/>
          <w:sz w:val="18"/>
        </w:rPr>
        <w:t> </w:t>
      </w:r>
      <w:r>
        <w:rPr>
          <w:color w:val="231F20"/>
          <w:w w:val="110"/>
          <w:sz w:val="18"/>
        </w:rPr>
        <w:t>which</w:t>
      </w:r>
    </w:p>
    <w:p>
      <w:pPr>
        <w:pStyle w:val="BodyText"/>
        <w:spacing w:line="273" w:lineRule="auto" w:before="2"/>
        <w:ind w:left="593" w:right="1826" w:firstLine="4"/>
      </w:pPr>
      <w:r>
        <w:rPr>
          <w:color w:val="231F20"/>
          <w:w w:val="110"/>
        </w:rPr>
        <w:t>is at the service of the college. </w:t>
      </w:r>
      <w:r>
        <w:rPr>
          <w:color w:val="231F20"/>
          <w:spacing w:val="-4"/>
          <w:w w:val="110"/>
        </w:rPr>
        <w:t>We </w:t>
      </w:r>
      <w:r>
        <w:rPr>
          <w:color w:val="231F20"/>
          <w:spacing w:val="-3"/>
          <w:w w:val="110"/>
        </w:rPr>
        <w:t>have </w:t>
      </w:r>
      <w:r>
        <w:rPr>
          <w:color w:val="231F20"/>
          <w:w w:val="110"/>
        </w:rPr>
        <w:t>retained the services of a specialist contractor  to oversee and co-ordinate work on the building in order to ensure that it is properly specified and carried through efficiently. With the benefit of this preparatory work we are resuming our plans for further improvements in the facilities offered at the college.</w:t>
      </w:r>
      <w:r>
        <w:rPr>
          <w:color w:val="231F20"/>
          <w:spacing w:val="-8"/>
          <w:w w:val="110"/>
        </w:rPr>
        <w:t> </w:t>
      </w:r>
      <w:r>
        <w:rPr>
          <w:color w:val="231F20"/>
          <w:w w:val="110"/>
        </w:rPr>
        <w:t>Our</w:t>
      </w:r>
    </w:p>
    <w:p>
      <w:pPr>
        <w:pStyle w:val="BodyText"/>
        <w:spacing w:line="273" w:lineRule="auto" w:before="3"/>
        <w:ind w:left="595" w:right="1744" w:hanging="1"/>
      </w:pPr>
      <w:r>
        <w:rPr>
          <w:color w:val="231F20"/>
          <w:w w:val="110"/>
        </w:rPr>
        <w:t>current programme includes raising lighting levels in the main corridor, increasing storage for records and improving gutters and drains. Our future plans include a new kitchen and new heating. At the same time we are trying to make environmental gains, by cutting power consumption and using renewable materials wherever possible.</w:t>
      </w:r>
    </w:p>
    <w:p>
      <w:pPr>
        <w:spacing w:after="0" w:line="273" w:lineRule="auto"/>
        <w:sectPr>
          <w:headerReference w:type="even" r:id="rId573"/>
          <w:headerReference w:type="default" r:id="rId574"/>
          <w:pgSz w:w="11910" w:h="16840"/>
          <w:pgMar w:header="558" w:footer="564" w:top="820" w:bottom="760" w:left="540" w:right="0"/>
        </w:sectPr>
      </w:pPr>
    </w:p>
    <w:p>
      <w:pPr>
        <w:pStyle w:val="BodyText"/>
        <w:spacing w:before="5"/>
        <w:rPr>
          <w:sz w:val="12"/>
        </w:rPr>
      </w:pPr>
    </w:p>
    <w:p>
      <w:pPr>
        <w:pStyle w:val="Heading9"/>
        <w:spacing w:before="98"/>
        <w:ind w:left="1160"/>
      </w:pPr>
      <w:r>
        <w:rPr>
          <w:color w:val="231F20"/>
          <w:w w:val="110"/>
        </w:rPr>
        <w:t>The Library</w:t>
      </w:r>
    </w:p>
    <w:p>
      <w:pPr>
        <w:pStyle w:val="ListParagraph"/>
        <w:numPr>
          <w:ilvl w:val="0"/>
          <w:numId w:val="227"/>
        </w:numPr>
        <w:tabs>
          <w:tab w:pos="1880" w:val="left" w:leader="none"/>
          <w:tab w:pos="1881" w:val="left" w:leader="none"/>
        </w:tabs>
        <w:spacing w:line="273" w:lineRule="auto" w:before="258" w:after="0"/>
        <w:ind w:left="1160" w:right="1298" w:firstLine="0"/>
        <w:jc w:val="left"/>
        <w:rPr>
          <w:sz w:val="18"/>
        </w:rPr>
      </w:pPr>
      <w:r>
        <w:rPr>
          <w:color w:val="231F20"/>
          <w:spacing w:val="-3"/>
          <w:w w:val="110"/>
          <w:sz w:val="18"/>
        </w:rPr>
        <w:t>We </w:t>
      </w:r>
      <w:r>
        <w:rPr>
          <w:color w:val="231F20"/>
          <w:w w:val="110"/>
          <w:sz w:val="18"/>
        </w:rPr>
        <w:t>have completed cataloguing the United Reformed Church </w:t>
      </w:r>
      <w:r>
        <w:rPr>
          <w:color w:val="231F20"/>
          <w:spacing w:val="2"/>
          <w:w w:val="110"/>
          <w:sz w:val="18"/>
        </w:rPr>
        <w:t>History Society </w:t>
      </w:r>
      <w:r>
        <w:rPr>
          <w:color w:val="231F20"/>
          <w:w w:val="110"/>
          <w:sz w:val="18"/>
        </w:rPr>
        <w:t>collection and are half-way through cataloguing the rare </w:t>
      </w:r>
      <w:r>
        <w:rPr>
          <w:color w:val="231F20"/>
          <w:spacing w:val="2"/>
          <w:w w:val="110"/>
          <w:sz w:val="18"/>
        </w:rPr>
        <w:t>books </w:t>
      </w:r>
      <w:r>
        <w:rPr>
          <w:color w:val="231F20"/>
          <w:w w:val="110"/>
          <w:sz w:val="18"/>
        </w:rPr>
        <w:t>in the </w:t>
      </w:r>
      <w:r>
        <w:rPr>
          <w:color w:val="231F20"/>
          <w:spacing w:val="2"/>
          <w:w w:val="110"/>
          <w:sz w:val="18"/>
        </w:rPr>
        <w:t>Carrie </w:t>
      </w:r>
      <w:r>
        <w:rPr>
          <w:color w:val="231F20"/>
          <w:w w:val="110"/>
          <w:sz w:val="18"/>
        </w:rPr>
        <w:t>Room, which have not been included in the on-line catalogue up to this point. Those who are interested in browsing the catalogue on the web can do so through the University of Cambridge </w:t>
      </w:r>
      <w:r>
        <w:rPr>
          <w:color w:val="231F20"/>
          <w:spacing w:val="2"/>
          <w:w w:val="110"/>
          <w:sz w:val="18"/>
        </w:rPr>
        <w:t>Library </w:t>
      </w:r>
      <w:r>
        <w:rPr>
          <w:color w:val="231F20"/>
          <w:w w:val="110"/>
          <w:sz w:val="18"/>
        </w:rPr>
        <w:t>catalogue. The most convenient way of doing this is via the </w:t>
      </w:r>
      <w:r>
        <w:rPr>
          <w:color w:val="231F20"/>
          <w:spacing w:val="2"/>
          <w:w w:val="110"/>
          <w:sz w:val="18"/>
        </w:rPr>
        <w:t>section </w:t>
      </w:r>
      <w:r>
        <w:rPr>
          <w:color w:val="231F20"/>
          <w:w w:val="110"/>
          <w:sz w:val="18"/>
        </w:rPr>
        <w:t>called “Affiliated Institutions”. This facility will add to the </w:t>
      </w:r>
      <w:r>
        <w:rPr>
          <w:color w:val="231F20"/>
          <w:spacing w:val="2"/>
          <w:w w:val="110"/>
          <w:sz w:val="18"/>
        </w:rPr>
        <w:t>requests </w:t>
      </w:r>
      <w:r>
        <w:rPr>
          <w:color w:val="231F20"/>
          <w:w w:val="110"/>
          <w:sz w:val="18"/>
        </w:rPr>
        <w:t>by scholars to visit our collections. </w:t>
      </w:r>
      <w:r>
        <w:rPr>
          <w:i/>
          <w:color w:val="231F20"/>
          <w:w w:val="110"/>
          <w:sz w:val="18"/>
        </w:rPr>
        <w:t>From Cambridge to Sinai </w:t>
      </w:r>
      <w:r>
        <w:rPr>
          <w:color w:val="231F20"/>
          <w:w w:val="110"/>
          <w:sz w:val="18"/>
        </w:rPr>
        <w:t>a </w:t>
      </w:r>
      <w:r>
        <w:rPr>
          <w:color w:val="231F20"/>
          <w:spacing w:val="2"/>
          <w:w w:val="110"/>
          <w:sz w:val="18"/>
        </w:rPr>
        <w:t>selection </w:t>
      </w:r>
      <w:r>
        <w:rPr>
          <w:color w:val="231F20"/>
          <w:w w:val="110"/>
          <w:sz w:val="18"/>
        </w:rPr>
        <w:t>of essays about our </w:t>
      </w:r>
      <w:r>
        <w:rPr>
          <w:color w:val="231F20"/>
          <w:spacing w:val="2"/>
          <w:w w:val="110"/>
          <w:sz w:val="18"/>
        </w:rPr>
        <w:t>benefactors </w:t>
      </w:r>
      <w:r>
        <w:rPr>
          <w:color w:val="231F20"/>
          <w:w w:val="110"/>
          <w:sz w:val="18"/>
        </w:rPr>
        <w:t>Agnes Lewis and Margaret Gibson was published in 2006 and a re-issue of the college </w:t>
      </w:r>
      <w:r>
        <w:rPr>
          <w:color w:val="231F20"/>
          <w:spacing w:val="2"/>
          <w:w w:val="110"/>
          <w:sz w:val="18"/>
        </w:rPr>
        <w:t>history </w:t>
      </w:r>
      <w:r>
        <w:rPr>
          <w:color w:val="231F20"/>
          <w:w w:val="110"/>
          <w:sz w:val="18"/>
        </w:rPr>
        <w:t>is anticipated this </w:t>
      </w:r>
      <w:r>
        <w:rPr>
          <w:color w:val="231F20"/>
          <w:spacing w:val="-4"/>
          <w:w w:val="110"/>
          <w:sz w:val="18"/>
        </w:rPr>
        <w:t>year. </w:t>
      </w:r>
      <w:r>
        <w:rPr>
          <w:color w:val="231F20"/>
          <w:w w:val="110"/>
          <w:sz w:val="18"/>
        </w:rPr>
        <w:t>The college library remains one of the major </w:t>
      </w:r>
      <w:r>
        <w:rPr>
          <w:color w:val="231F20"/>
          <w:spacing w:val="2"/>
          <w:w w:val="110"/>
          <w:sz w:val="18"/>
        </w:rPr>
        <w:t>resources  </w:t>
      </w:r>
      <w:r>
        <w:rPr>
          <w:color w:val="231F20"/>
          <w:w w:val="110"/>
          <w:sz w:val="18"/>
        </w:rPr>
        <w:t>of the whole Federation and is in much demand on a daily basis. Alongside this we provide a </w:t>
      </w:r>
      <w:r>
        <w:rPr>
          <w:color w:val="231F20"/>
          <w:spacing w:val="2"/>
          <w:w w:val="110"/>
          <w:sz w:val="18"/>
        </w:rPr>
        <w:t>service </w:t>
      </w:r>
      <w:r>
        <w:rPr>
          <w:color w:val="231F20"/>
          <w:w w:val="110"/>
          <w:sz w:val="18"/>
        </w:rPr>
        <w:t>for local churches researching their own </w:t>
      </w:r>
      <w:r>
        <w:rPr>
          <w:color w:val="231F20"/>
          <w:spacing w:val="2"/>
          <w:w w:val="110"/>
          <w:sz w:val="18"/>
        </w:rPr>
        <w:t>history </w:t>
      </w:r>
      <w:r>
        <w:rPr>
          <w:color w:val="231F20"/>
          <w:w w:val="110"/>
          <w:sz w:val="18"/>
        </w:rPr>
        <w:t>and for individuals.  </w:t>
      </w:r>
      <w:r>
        <w:rPr>
          <w:color w:val="231F20"/>
          <w:spacing w:val="-3"/>
          <w:w w:val="110"/>
          <w:sz w:val="18"/>
        </w:rPr>
        <w:t>We </w:t>
      </w:r>
      <w:r>
        <w:rPr>
          <w:color w:val="231F20"/>
          <w:w w:val="110"/>
          <w:sz w:val="18"/>
        </w:rPr>
        <w:t>make a modest charge to those seeking help with family history, to cover our   </w:t>
      </w:r>
      <w:r>
        <w:rPr>
          <w:color w:val="231F20"/>
          <w:spacing w:val="2"/>
          <w:w w:val="110"/>
          <w:sz w:val="18"/>
        </w:rPr>
        <w:t>costs. </w:t>
      </w:r>
      <w:r>
        <w:rPr>
          <w:color w:val="231F20"/>
          <w:spacing w:val="-3"/>
          <w:w w:val="110"/>
          <w:sz w:val="18"/>
        </w:rPr>
        <w:t>We </w:t>
      </w:r>
      <w:r>
        <w:rPr>
          <w:color w:val="231F20"/>
          <w:w w:val="110"/>
          <w:sz w:val="18"/>
        </w:rPr>
        <w:t>are grateful for the continued work of Richard and Jean </w:t>
      </w:r>
      <w:r>
        <w:rPr>
          <w:color w:val="231F20"/>
          <w:spacing w:val="2"/>
          <w:w w:val="110"/>
          <w:sz w:val="18"/>
        </w:rPr>
        <w:t>Potts </w:t>
      </w:r>
      <w:r>
        <w:rPr>
          <w:color w:val="231F20"/>
          <w:w w:val="110"/>
          <w:sz w:val="18"/>
        </w:rPr>
        <w:t>in </w:t>
      </w:r>
      <w:r>
        <w:rPr>
          <w:color w:val="231F20"/>
          <w:spacing w:val="2"/>
          <w:w w:val="110"/>
          <w:sz w:val="18"/>
        </w:rPr>
        <w:t>sorting </w:t>
      </w:r>
      <w:r>
        <w:rPr>
          <w:color w:val="231F20"/>
          <w:w w:val="110"/>
          <w:sz w:val="18"/>
        </w:rPr>
        <w:t>and classifying archives of the Presbyterian Church of England. One of our building </w:t>
      </w:r>
      <w:r>
        <w:rPr>
          <w:color w:val="231F20"/>
          <w:spacing w:val="2"/>
          <w:w w:val="110"/>
          <w:sz w:val="18"/>
        </w:rPr>
        <w:t>projects</w:t>
      </w:r>
      <w:r>
        <w:rPr>
          <w:color w:val="231F20"/>
          <w:spacing w:val="73"/>
          <w:w w:val="110"/>
          <w:sz w:val="18"/>
        </w:rPr>
        <w:t> </w:t>
      </w:r>
      <w:r>
        <w:rPr>
          <w:color w:val="231F20"/>
          <w:w w:val="110"/>
          <w:sz w:val="18"/>
        </w:rPr>
        <w:t>is to secure </w:t>
      </w:r>
      <w:r>
        <w:rPr>
          <w:color w:val="231F20"/>
          <w:spacing w:val="2"/>
          <w:w w:val="110"/>
          <w:sz w:val="18"/>
        </w:rPr>
        <w:t>better </w:t>
      </w:r>
      <w:r>
        <w:rPr>
          <w:color w:val="231F20"/>
          <w:w w:val="110"/>
          <w:sz w:val="18"/>
        </w:rPr>
        <w:t>storage space for this large collection. </w:t>
      </w:r>
      <w:r>
        <w:rPr>
          <w:color w:val="231F20"/>
          <w:spacing w:val="-3"/>
          <w:w w:val="110"/>
          <w:sz w:val="18"/>
        </w:rPr>
        <w:t>We </w:t>
      </w:r>
      <w:r>
        <w:rPr>
          <w:color w:val="231F20"/>
          <w:w w:val="110"/>
          <w:sz w:val="18"/>
        </w:rPr>
        <w:t>continue to receive </w:t>
      </w:r>
      <w:r>
        <w:rPr>
          <w:color w:val="231F20"/>
          <w:spacing w:val="2"/>
          <w:w w:val="110"/>
          <w:sz w:val="18"/>
        </w:rPr>
        <w:t>gifts </w:t>
      </w:r>
      <w:r>
        <w:rPr>
          <w:color w:val="231F20"/>
          <w:spacing w:val="73"/>
          <w:w w:val="110"/>
          <w:sz w:val="18"/>
        </w:rPr>
        <w:t> </w:t>
      </w:r>
      <w:r>
        <w:rPr>
          <w:color w:val="231F20"/>
          <w:w w:val="110"/>
          <w:sz w:val="18"/>
        </w:rPr>
        <w:t>of </w:t>
      </w:r>
      <w:r>
        <w:rPr>
          <w:color w:val="231F20"/>
          <w:spacing w:val="2"/>
          <w:w w:val="110"/>
          <w:sz w:val="18"/>
        </w:rPr>
        <w:t>books from </w:t>
      </w:r>
      <w:r>
        <w:rPr>
          <w:color w:val="231F20"/>
          <w:w w:val="110"/>
          <w:sz w:val="18"/>
        </w:rPr>
        <w:t>ministers’ libraries, some of which are taken into the college library,  while others are made available to current</w:t>
      </w:r>
      <w:r>
        <w:rPr>
          <w:color w:val="231F20"/>
          <w:spacing w:val="15"/>
          <w:w w:val="110"/>
          <w:sz w:val="18"/>
        </w:rPr>
        <w:t> </w:t>
      </w:r>
      <w:r>
        <w:rPr>
          <w:color w:val="231F20"/>
          <w:w w:val="110"/>
          <w:sz w:val="18"/>
        </w:rPr>
        <w:t>students.</w:t>
      </w:r>
    </w:p>
    <w:p>
      <w:pPr>
        <w:pStyle w:val="BodyText"/>
        <w:spacing w:before="4"/>
        <w:rPr>
          <w:sz w:val="21"/>
        </w:rPr>
      </w:pPr>
    </w:p>
    <w:p>
      <w:pPr>
        <w:pStyle w:val="Heading9"/>
        <w:spacing w:before="1"/>
        <w:ind w:left="1160"/>
      </w:pPr>
      <w:r>
        <w:rPr>
          <w:color w:val="231F20"/>
          <w:w w:val="110"/>
        </w:rPr>
        <w:t>Financial review and results for the year</w:t>
      </w:r>
    </w:p>
    <w:p>
      <w:pPr>
        <w:pStyle w:val="ListParagraph"/>
        <w:numPr>
          <w:ilvl w:val="1"/>
          <w:numId w:val="228"/>
        </w:numPr>
        <w:tabs>
          <w:tab w:pos="1925" w:val="left" w:leader="none"/>
          <w:tab w:pos="1926" w:val="left" w:leader="none"/>
        </w:tabs>
        <w:spacing w:line="273" w:lineRule="auto" w:before="258" w:after="0"/>
        <w:ind w:left="1160" w:right="1229" w:firstLine="0"/>
        <w:jc w:val="left"/>
        <w:rPr>
          <w:sz w:val="18"/>
        </w:rPr>
      </w:pPr>
      <w:r>
        <w:rPr>
          <w:color w:val="231F20"/>
          <w:w w:val="110"/>
          <w:sz w:val="18"/>
        </w:rPr>
        <w:t>The college income and expenditure accounts were kept in balance for the financial year to the end of 2006. This was </w:t>
      </w:r>
      <w:r>
        <w:rPr>
          <w:color w:val="231F20"/>
          <w:spacing w:val="2"/>
          <w:w w:val="110"/>
          <w:sz w:val="18"/>
        </w:rPr>
        <w:t>after </w:t>
      </w:r>
      <w:r>
        <w:rPr>
          <w:color w:val="231F20"/>
          <w:w w:val="110"/>
          <w:sz w:val="18"/>
        </w:rPr>
        <w:t>a provision had been made to </w:t>
      </w:r>
      <w:r>
        <w:rPr>
          <w:color w:val="231F20"/>
          <w:spacing w:val="3"/>
          <w:w w:val="110"/>
          <w:sz w:val="18"/>
        </w:rPr>
        <w:t>carry </w:t>
      </w:r>
      <w:r>
        <w:rPr>
          <w:color w:val="231F20"/>
          <w:spacing w:val="2"/>
          <w:w w:val="110"/>
          <w:sz w:val="18"/>
        </w:rPr>
        <w:t>forward </w:t>
      </w:r>
      <w:r>
        <w:rPr>
          <w:color w:val="231F20"/>
          <w:w w:val="110"/>
          <w:sz w:val="18"/>
        </w:rPr>
        <w:t>that </w:t>
      </w:r>
      <w:r>
        <w:rPr>
          <w:color w:val="231F20"/>
          <w:spacing w:val="2"/>
          <w:w w:val="110"/>
          <w:sz w:val="18"/>
        </w:rPr>
        <w:t>part </w:t>
      </w:r>
      <w:r>
        <w:rPr>
          <w:color w:val="231F20"/>
          <w:w w:val="110"/>
          <w:sz w:val="18"/>
        </w:rPr>
        <w:t>of the maintenance budget for the year which had been committed   but not paid over to </w:t>
      </w:r>
      <w:r>
        <w:rPr>
          <w:color w:val="231F20"/>
          <w:spacing w:val="2"/>
          <w:w w:val="110"/>
          <w:sz w:val="18"/>
        </w:rPr>
        <w:t>contractors </w:t>
      </w:r>
      <w:r>
        <w:rPr>
          <w:color w:val="231F20"/>
          <w:w w:val="110"/>
          <w:sz w:val="18"/>
        </w:rPr>
        <w:t>at the year end. The Governors noted that in a total budget income of £635,000 for the </w:t>
      </w:r>
      <w:r>
        <w:rPr>
          <w:color w:val="231F20"/>
          <w:spacing w:val="-4"/>
          <w:w w:val="110"/>
          <w:sz w:val="18"/>
        </w:rPr>
        <w:t>year, </w:t>
      </w:r>
      <w:r>
        <w:rPr>
          <w:color w:val="231F20"/>
          <w:w w:val="110"/>
          <w:sz w:val="18"/>
        </w:rPr>
        <w:t>one half came by way of </w:t>
      </w:r>
      <w:r>
        <w:rPr>
          <w:color w:val="231F20"/>
          <w:spacing w:val="2"/>
          <w:w w:val="110"/>
          <w:sz w:val="18"/>
        </w:rPr>
        <w:t>direct </w:t>
      </w:r>
      <w:r>
        <w:rPr>
          <w:color w:val="231F20"/>
          <w:w w:val="110"/>
          <w:sz w:val="18"/>
        </w:rPr>
        <w:t>grant </w:t>
      </w:r>
      <w:r>
        <w:rPr>
          <w:color w:val="231F20"/>
          <w:spacing w:val="2"/>
          <w:w w:val="110"/>
          <w:sz w:val="18"/>
        </w:rPr>
        <w:t>from </w:t>
      </w:r>
      <w:r>
        <w:rPr>
          <w:color w:val="231F20"/>
          <w:w w:val="110"/>
          <w:sz w:val="18"/>
        </w:rPr>
        <w:t>the United Reformed Church in </w:t>
      </w:r>
      <w:r>
        <w:rPr>
          <w:color w:val="231F20"/>
          <w:spacing w:val="3"/>
          <w:w w:val="110"/>
          <w:sz w:val="18"/>
        </w:rPr>
        <w:t>respect </w:t>
      </w:r>
      <w:r>
        <w:rPr>
          <w:color w:val="231F20"/>
          <w:w w:val="110"/>
          <w:sz w:val="18"/>
        </w:rPr>
        <w:t>of education provided for its students and the other half </w:t>
      </w:r>
      <w:r>
        <w:rPr>
          <w:color w:val="231F20"/>
          <w:spacing w:val="2"/>
          <w:w w:val="110"/>
          <w:sz w:val="18"/>
        </w:rPr>
        <w:t>from </w:t>
      </w:r>
      <w:r>
        <w:rPr>
          <w:color w:val="231F20"/>
          <w:w w:val="110"/>
          <w:sz w:val="18"/>
        </w:rPr>
        <w:t>a variety of sources. </w:t>
      </w:r>
      <w:r>
        <w:rPr>
          <w:color w:val="231F20"/>
          <w:spacing w:val="2"/>
          <w:w w:val="110"/>
          <w:sz w:val="18"/>
        </w:rPr>
        <w:t>There </w:t>
      </w:r>
      <w:r>
        <w:rPr>
          <w:color w:val="231F20"/>
          <w:w w:val="110"/>
          <w:sz w:val="18"/>
        </w:rPr>
        <w:t>was a fall in conference income over the previous </w:t>
      </w:r>
      <w:r>
        <w:rPr>
          <w:color w:val="231F20"/>
          <w:spacing w:val="-4"/>
          <w:w w:val="110"/>
          <w:sz w:val="18"/>
        </w:rPr>
        <w:t>year. </w:t>
      </w:r>
      <w:r>
        <w:rPr>
          <w:color w:val="231F20"/>
          <w:w w:val="110"/>
          <w:sz w:val="18"/>
        </w:rPr>
        <w:t>The increase in annual expenditure on maintenance was continued. Although no major visible changes to the college fabric were made during the year there was </w:t>
      </w:r>
      <w:r>
        <w:rPr>
          <w:color w:val="231F20"/>
          <w:spacing w:val="2"/>
          <w:w w:val="110"/>
          <w:sz w:val="18"/>
        </w:rPr>
        <w:t>further</w:t>
      </w:r>
      <w:r>
        <w:rPr>
          <w:color w:val="231F20"/>
          <w:spacing w:val="73"/>
          <w:w w:val="110"/>
          <w:sz w:val="18"/>
        </w:rPr>
        <w:t> </w:t>
      </w:r>
      <w:r>
        <w:rPr>
          <w:color w:val="231F20"/>
          <w:w w:val="110"/>
          <w:sz w:val="18"/>
        </w:rPr>
        <w:t>expenditure on </w:t>
      </w:r>
      <w:r>
        <w:rPr>
          <w:color w:val="231F20"/>
          <w:spacing w:val="2"/>
          <w:w w:val="110"/>
          <w:sz w:val="18"/>
        </w:rPr>
        <w:t>asbestos </w:t>
      </w:r>
      <w:r>
        <w:rPr>
          <w:color w:val="231F20"/>
          <w:w w:val="110"/>
          <w:sz w:val="18"/>
        </w:rPr>
        <w:t>removal and improvements in the infrastructure, such as fire and </w:t>
      </w:r>
      <w:r>
        <w:rPr>
          <w:color w:val="231F20"/>
          <w:spacing w:val="2"/>
          <w:w w:val="110"/>
          <w:sz w:val="18"/>
        </w:rPr>
        <w:t>security </w:t>
      </w:r>
      <w:r>
        <w:rPr>
          <w:color w:val="231F20"/>
          <w:w w:val="110"/>
          <w:sz w:val="18"/>
        </w:rPr>
        <w:t>systems.</w:t>
      </w:r>
    </w:p>
    <w:p>
      <w:pPr>
        <w:pStyle w:val="BodyText"/>
        <w:spacing w:before="1"/>
        <w:rPr>
          <w:sz w:val="21"/>
        </w:rPr>
      </w:pPr>
    </w:p>
    <w:p>
      <w:pPr>
        <w:pStyle w:val="ListParagraph"/>
        <w:numPr>
          <w:ilvl w:val="1"/>
          <w:numId w:val="228"/>
        </w:numPr>
        <w:tabs>
          <w:tab w:pos="1925" w:val="left" w:leader="none"/>
          <w:tab w:pos="1926" w:val="left" w:leader="none"/>
        </w:tabs>
        <w:spacing w:line="273" w:lineRule="auto" w:before="0" w:after="0"/>
        <w:ind w:left="1160" w:right="1356" w:firstLine="0"/>
        <w:jc w:val="left"/>
        <w:rPr>
          <w:sz w:val="18"/>
        </w:rPr>
      </w:pPr>
      <w:r>
        <w:rPr>
          <w:color w:val="231F20"/>
          <w:spacing w:val="3"/>
          <w:w w:val="110"/>
          <w:sz w:val="18"/>
        </w:rPr>
        <w:t>The Governors </w:t>
      </w:r>
      <w:r>
        <w:rPr>
          <w:color w:val="231F20"/>
          <w:w w:val="110"/>
          <w:sz w:val="18"/>
        </w:rPr>
        <w:t>will </w:t>
      </w:r>
      <w:r>
        <w:rPr>
          <w:color w:val="231F20"/>
          <w:spacing w:val="2"/>
          <w:w w:val="110"/>
          <w:sz w:val="18"/>
        </w:rPr>
        <w:t>continue </w:t>
      </w:r>
      <w:r>
        <w:rPr>
          <w:color w:val="231F20"/>
          <w:w w:val="110"/>
          <w:sz w:val="18"/>
        </w:rPr>
        <w:t>to </w:t>
      </w:r>
      <w:r>
        <w:rPr>
          <w:color w:val="231F20"/>
          <w:spacing w:val="3"/>
          <w:w w:val="110"/>
          <w:sz w:val="18"/>
        </w:rPr>
        <w:t>discuss </w:t>
      </w:r>
      <w:r>
        <w:rPr>
          <w:color w:val="231F20"/>
          <w:w w:val="110"/>
          <w:sz w:val="18"/>
        </w:rPr>
        <w:t>financial </w:t>
      </w:r>
      <w:r>
        <w:rPr>
          <w:color w:val="231F20"/>
          <w:spacing w:val="3"/>
          <w:w w:val="110"/>
          <w:sz w:val="18"/>
        </w:rPr>
        <w:t>policy </w:t>
      </w:r>
      <w:r>
        <w:rPr>
          <w:color w:val="231F20"/>
          <w:w w:val="110"/>
          <w:sz w:val="18"/>
        </w:rPr>
        <w:t>with </w:t>
      </w:r>
      <w:r>
        <w:rPr>
          <w:color w:val="231F20"/>
          <w:spacing w:val="2"/>
          <w:w w:val="110"/>
          <w:sz w:val="18"/>
        </w:rPr>
        <w:t>the United </w:t>
      </w:r>
      <w:r>
        <w:rPr>
          <w:color w:val="231F20"/>
          <w:spacing w:val="3"/>
          <w:w w:val="110"/>
          <w:sz w:val="18"/>
        </w:rPr>
        <w:t>Reformed Church </w:t>
      </w:r>
      <w:r>
        <w:rPr>
          <w:color w:val="231F20"/>
          <w:w w:val="110"/>
          <w:sz w:val="18"/>
        </w:rPr>
        <w:t>in </w:t>
      </w:r>
      <w:r>
        <w:rPr>
          <w:color w:val="231F20"/>
          <w:spacing w:val="2"/>
          <w:w w:val="110"/>
          <w:sz w:val="18"/>
        </w:rPr>
        <w:t>the </w:t>
      </w:r>
      <w:r>
        <w:rPr>
          <w:color w:val="231F20"/>
          <w:w w:val="110"/>
          <w:sz w:val="18"/>
        </w:rPr>
        <w:t>light of </w:t>
      </w:r>
      <w:r>
        <w:rPr>
          <w:color w:val="231F20"/>
          <w:spacing w:val="2"/>
          <w:w w:val="110"/>
          <w:sz w:val="18"/>
        </w:rPr>
        <w:t>changing </w:t>
      </w:r>
      <w:r>
        <w:rPr>
          <w:color w:val="231F20"/>
          <w:spacing w:val="3"/>
          <w:w w:val="110"/>
          <w:sz w:val="18"/>
        </w:rPr>
        <w:t>requirements. </w:t>
      </w:r>
      <w:r>
        <w:rPr>
          <w:color w:val="231F20"/>
          <w:w w:val="110"/>
          <w:sz w:val="18"/>
        </w:rPr>
        <w:t>It is likely that </w:t>
      </w:r>
      <w:r>
        <w:rPr>
          <w:color w:val="231F20"/>
          <w:spacing w:val="2"/>
          <w:w w:val="110"/>
          <w:sz w:val="18"/>
        </w:rPr>
        <w:t>the basis </w:t>
      </w:r>
      <w:r>
        <w:rPr>
          <w:color w:val="231F20"/>
          <w:w w:val="110"/>
          <w:sz w:val="18"/>
        </w:rPr>
        <w:t>on </w:t>
      </w:r>
      <w:r>
        <w:rPr>
          <w:color w:val="231F20"/>
          <w:spacing w:val="2"/>
          <w:w w:val="110"/>
          <w:sz w:val="18"/>
        </w:rPr>
        <w:t>which the college </w:t>
      </w:r>
      <w:r>
        <w:rPr>
          <w:color w:val="231F20"/>
          <w:spacing w:val="3"/>
          <w:w w:val="110"/>
          <w:sz w:val="18"/>
        </w:rPr>
        <w:t>receives its fee </w:t>
      </w:r>
      <w:r>
        <w:rPr>
          <w:color w:val="231F20"/>
          <w:spacing w:val="2"/>
          <w:w w:val="110"/>
          <w:sz w:val="18"/>
        </w:rPr>
        <w:t>income </w:t>
      </w:r>
      <w:r>
        <w:rPr>
          <w:color w:val="231F20"/>
          <w:w w:val="110"/>
          <w:sz w:val="18"/>
        </w:rPr>
        <w:t>will </w:t>
      </w:r>
      <w:r>
        <w:rPr>
          <w:color w:val="231F20"/>
          <w:spacing w:val="2"/>
          <w:w w:val="110"/>
          <w:sz w:val="18"/>
        </w:rPr>
        <w:t>be revised. </w:t>
      </w:r>
      <w:r>
        <w:rPr>
          <w:color w:val="231F20"/>
          <w:spacing w:val="3"/>
          <w:w w:val="110"/>
          <w:sz w:val="18"/>
        </w:rPr>
        <w:t>The Governors </w:t>
      </w:r>
      <w:r>
        <w:rPr>
          <w:color w:val="231F20"/>
          <w:spacing w:val="2"/>
          <w:w w:val="110"/>
          <w:sz w:val="18"/>
        </w:rPr>
        <w:t>are </w:t>
      </w:r>
      <w:r>
        <w:rPr>
          <w:color w:val="231F20"/>
          <w:w w:val="110"/>
          <w:sz w:val="18"/>
        </w:rPr>
        <w:t>aware of </w:t>
      </w:r>
      <w:r>
        <w:rPr>
          <w:color w:val="231F20"/>
          <w:spacing w:val="2"/>
          <w:w w:val="110"/>
          <w:sz w:val="18"/>
        </w:rPr>
        <w:t>the </w:t>
      </w:r>
      <w:r>
        <w:rPr>
          <w:color w:val="231F20"/>
          <w:spacing w:val="3"/>
          <w:w w:val="110"/>
          <w:sz w:val="18"/>
        </w:rPr>
        <w:t>need </w:t>
      </w:r>
      <w:r>
        <w:rPr>
          <w:color w:val="231F20"/>
          <w:w w:val="110"/>
          <w:sz w:val="18"/>
        </w:rPr>
        <w:t>to </w:t>
      </w:r>
      <w:r>
        <w:rPr>
          <w:color w:val="231F20"/>
          <w:spacing w:val="2"/>
          <w:w w:val="110"/>
          <w:sz w:val="18"/>
        </w:rPr>
        <w:t>strike </w:t>
      </w:r>
      <w:r>
        <w:rPr>
          <w:color w:val="231F20"/>
          <w:w w:val="110"/>
          <w:sz w:val="18"/>
        </w:rPr>
        <w:t>a </w:t>
      </w:r>
      <w:r>
        <w:rPr>
          <w:color w:val="231F20"/>
          <w:spacing w:val="2"/>
          <w:w w:val="110"/>
          <w:sz w:val="18"/>
        </w:rPr>
        <w:t>balance </w:t>
      </w:r>
      <w:r>
        <w:rPr>
          <w:color w:val="231F20"/>
          <w:spacing w:val="3"/>
          <w:w w:val="110"/>
          <w:sz w:val="18"/>
        </w:rPr>
        <w:t>between </w:t>
      </w:r>
      <w:r>
        <w:rPr>
          <w:color w:val="231F20"/>
          <w:spacing w:val="2"/>
          <w:w w:val="110"/>
          <w:sz w:val="18"/>
        </w:rPr>
        <w:t>the </w:t>
      </w:r>
      <w:r>
        <w:rPr>
          <w:color w:val="231F20"/>
          <w:spacing w:val="3"/>
          <w:w w:val="110"/>
          <w:sz w:val="18"/>
        </w:rPr>
        <w:t>needs </w:t>
      </w:r>
      <w:r>
        <w:rPr>
          <w:color w:val="231F20"/>
          <w:w w:val="110"/>
          <w:sz w:val="18"/>
        </w:rPr>
        <w:t>of </w:t>
      </w:r>
      <w:r>
        <w:rPr>
          <w:color w:val="231F20"/>
          <w:spacing w:val="2"/>
          <w:w w:val="110"/>
          <w:sz w:val="18"/>
        </w:rPr>
        <w:t>the United </w:t>
      </w:r>
      <w:r>
        <w:rPr>
          <w:color w:val="231F20"/>
          <w:spacing w:val="3"/>
          <w:w w:val="110"/>
          <w:sz w:val="18"/>
        </w:rPr>
        <w:t>Reformed Church </w:t>
      </w:r>
      <w:r>
        <w:rPr>
          <w:color w:val="231F20"/>
          <w:w w:val="110"/>
          <w:sz w:val="18"/>
        </w:rPr>
        <w:t>and </w:t>
      </w:r>
      <w:r>
        <w:rPr>
          <w:color w:val="231F20"/>
          <w:spacing w:val="2"/>
          <w:w w:val="110"/>
          <w:sz w:val="18"/>
        </w:rPr>
        <w:t>the </w:t>
      </w:r>
      <w:r>
        <w:rPr>
          <w:color w:val="231F20"/>
          <w:spacing w:val="3"/>
          <w:w w:val="110"/>
          <w:sz w:val="18"/>
        </w:rPr>
        <w:t>possibilities </w:t>
      </w:r>
      <w:r>
        <w:rPr>
          <w:color w:val="231F20"/>
          <w:w w:val="110"/>
          <w:sz w:val="18"/>
        </w:rPr>
        <w:t>of </w:t>
      </w:r>
      <w:r>
        <w:rPr>
          <w:color w:val="231F20"/>
          <w:spacing w:val="3"/>
          <w:w w:val="110"/>
          <w:sz w:val="18"/>
        </w:rPr>
        <w:t>generating </w:t>
      </w:r>
      <w:r>
        <w:rPr>
          <w:color w:val="231F20"/>
          <w:spacing w:val="2"/>
          <w:w w:val="110"/>
          <w:sz w:val="18"/>
        </w:rPr>
        <w:t>additional income </w:t>
      </w:r>
      <w:r>
        <w:rPr>
          <w:color w:val="231F20"/>
          <w:w w:val="110"/>
          <w:sz w:val="18"/>
        </w:rPr>
        <w:t>at </w:t>
      </w:r>
      <w:r>
        <w:rPr>
          <w:color w:val="231F20"/>
          <w:spacing w:val="2"/>
          <w:w w:val="110"/>
          <w:sz w:val="18"/>
        </w:rPr>
        <w:t>the times the college </w:t>
      </w:r>
      <w:r>
        <w:rPr>
          <w:color w:val="231F20"/>
          <w:spacing w:val="4"/>
          <w:w w:val="110"/>
          <w:sz w:val="18"/>
        </w:rPr>
        <w:t>resources  </w:t>
      </w:r>
      <w:r>
        <w:rPr>
          <w:color w:val="231F20"/>
          <w:spacing w:val="2"/>
          <w:w w:val="110"/>
          <w:sz w:val="18"/>
        </w:rPr>
        <w:t>are </w:t>
      </w:r>
      <w:r>
        <w:rPr>
          <w:color w:val="231F20"/>
          <w:w w:val="110"/>
          <w:sz w:val="18"/>
        </w:rPr>
        <w:t>not in </w:t>
      </w:r>
      <w:r>
        <w:rPr>
          <w:color w:val="231F20"/>
          <w:spacing w:val="2"/>
          <w:w w:val="110"/>
          <w:sz w:val="18"/>
        </w:rPr>
        <w:t>use </w:t>
      </w:r>
      <w:r>
        <w:rPr>
          <w:color w:val="231F20"/>
          <w:w w:val="110"/>
          <w:sz w:val="18"/>
        </w:rPr>
        <w:t>by </w:t>
      </w:r>
      <w:r>
        <w:rPr>
          <w:color w:val="231F20"/>
          <w:spacing w:val="2"/>
          <w:w w:val="110"/>
          <w:sz w:val="18"/>
        </w:rPr>
        <w:t>the</w:t>
      </w:r>
      <w:r>
        <w:rPr>
          <w:color w:val="231F20"/>
          <w:spacing w:val="24"/>
          <w:w w:val="110"/>
          <w:sz w:val="18"/>
        </w:rPr>
        <w:t> </w:t>
      </w:r>
      <w:r>
        <w:rPr>
          <w:color w:val="231F20"/>
          <w:spacing w:val="2"/>
          <w:w w:val="110"/>
          <w:sz w:val="18"/>
        </w:rPr>
        <w:t>Church.</w:t>
      </w:r>
    </w:p>
    <w:p>
      <w:pPr>
        <w:pStyle w:val="BodyText"/>
        <w:spacing w:before="10"/>
        <w:rPr>
          <w:sz w:val="20"/>
        </w:rPr>
      </w:pPr>
    </w:p>
    <w:p>
      <w:pPr>
        <w:pStyle w:val="Heading9"/>
        <w:ind w:left="1160"/>
      </w:pPr>
      <w:r>
        <w:rPr>
          <w:color w:val="231F20"/>
          <w:w w:val="110"/>
        </w:rPr>
        <w:t>Celebration</w:t>
      </w:r>
    </w:p>
    <w:p>
      <w:pPr>
        <w:pStyle w:val="ListParagraph"/>
        <w:numPr>
          <w:ilvl w:val="0"/>
          <w:numId w:val="229"/>
        </w:numPr>
        <w:tabs>
          <w:tab w:pos="1925" w:val="left" w:leader="none"/>
          <w:tab w:pos="1926" w:val="left" w:leader="none"/>
        </w:tabs>
        <w:spacing w:line="273" w:lineRule="auto" w:before="259" w:after="0"/>
        <w:ind w:left="1160" w:right="1080" w:firstLine="0"/>
        <w:jc w:val="left"/>
        <w:rPr>
          <w:sz w:val="18"/>
        </w:rPr>
      </w:pPr>
      <w:r>
        <w:rPr>
          <w:color w:val="231F20"/>
          <w:w w:val="110"/>
          <w:sz w:val="18"/>
        </w:rPr>
        <w:t>At</w:t>
      </w:r>
      <w:r>
        <w:rPr>
          <w:color w:val="231F20"/>
          <w:spacing w:val="-21"/>
          <w:w w:val="110"/>
          <w:sz w:val="18"/>
        </w:rPr>
        <w:t> </w:t>
      </w:r>
      <w:r>
        <w:rPr>
          <w:color w:val="231F20"/>
          <w:w w:val="110"/>
          <w:sz w:val="18"/>
        </w:rPr>
        <w:t>our</w:t>
      </w:r>
      <w:r>
        <w:rPr>
          <w:color w:val="231F20"/>
          <w:spacing w:val="-20"/>
          <w:w w:val="110"/>
          <w:sz w:val="18"/>
        </w:rPr>
        <w:t> </w:t>
      </w:r>
      <w:r>
        <w:rPr>
          <w:color w:val="231F20"/>
          <w:w w:val="110"/>
          <w:sz w:val="18"/>
        </w:rPr>
        <w:t>Commemoration</w:t>
      </w:r>
      <w:r>
        <w:rPr>
          <w:color w:val="231F20"/>
          <w:spacing w:val="-20"/>
          <w:w w:val="110"/>
          <w:sz w:val="18"/>
        </w:rPr>
        <w:t> </w:t>
      </w:r>
      <w:r>
        <w:rPr>
          <w:color w:val="231F20"/>
          <w:w w:val="110"/>
          <w:sz w:val="18"/>
        </w:rPr>
        <w:t>of</w:t>
      </w:r>
      <w:r>
        <w:rPr>
          <w:color w:val="231F20"/>
          <w:spacing w:val="-20"/>
          <w:w w:val="110"/>
          <w:sz w:val="18"/>
        </w:rPr>
        <w:t> </w:t>
      </w:r>
      <w:r>
        <w:rPr>
          <w:color w:val="231F20"/>
          <w:w w:val="110"/>
          <w:sz w:val="18"/>
        </w:rPr>
        <w:t>Benefactors</w:t>
      </w:r>
      <w:r>
        <w:rPr>
          <w:color w:val="231F20"/>
          <w:spacing w:val="-20"/>
          <w:w w:val="110"/>
          <w:sz w:val="18"/>
        </w:rPr>
        <w:t> </w:t>
      </w:r>
      <w:r>
        <w:rPr>
          <w:color w:val="231F20"/>
          <w:w w:val="110"/>
          <w:sz w:val="18"/>
        </w:rPr>
        <w:t>in</w:t>
      </w:r>
      <w:r>
        <w:rPr>
          <w:color w:val="231F20"/>
          <w:spacing w:val="-21"/>
          <w:w w:val="110"/>
          <w:sz w:val="18"/>
        </w:rPr>
        <w:t> </w:t>
      </w:r>
      <w:r>
        <w:rPr>
          <w:color w:val="231F20"/>
          <w:w w:val="110"/>
          <w:sz w:val="18"/>
        </w:rPr>
        <w:t>2006</w:t>
      </w:r>
      <w:r>
        <w:rPr>
          <w:color w:val="231F20"/>
          <w:spacing w:val="-20"/>
          <w:w w:val="110"/>
          <w:sz w:val="18"/>
        </w:rPr>
        <w:t> </w:t>
      </w:r>
      <w:r>
        <w:rPr>
          <w:color w:val="231F20"/>
          <w:w w:val="110"/>
          <w:sz w:val="18"/>
        </w:rPr>
        <w:t>our</w:t>
      </w:r>
      <w:r>
        <w:rPr>
          <w:color w:val="231F20"/>
          <w:spacing w:val="-20"/>
          <w:w w:val="110"/>
          <w:sz w:val="18"/>
        </w:rPr>
        <w:t> </w:t>
      </w:r>
      <w:r>
        <w:rPr>
          <w:color w:val="231F20"/>
          <w:w w:val="110"/>
          <w:sz w:val="18"/>
        </w:rPr>
        <w:t>preacher</w:t>
      </w:r>
      <w:r>
        <w:rPr>
          <w:color w:val="231F20"/>
          <w:spacing w:val="-20"/>
          <w:w w:val="110"/>
          <w:sz w:val="18"/>
        </w:rPr>
        <w:t> </w:t>
      </w:r>
      <w:r>
        <w:rPr>
          <w:color w:val="231F20"/>
          <w:w w:val="110"/>
          <w:sz w:val="18"/>
        </w:rPr>
        <w:t>was</w:t>
      </w:r>
      <w:r>
        <w:rPr>
          <w:color w:val="231F20"/>
          <w:spacing w:val="-20"/>
          <w:w w:val="110"/>
          <w:sz w:val="18"/>
        </w:rPr>
        <w:t> </w:t>
      </w:r>
      <w:r>
        <w:rPr>
          <w:color w:val="231F20"/>
          <w:spacing w:val="-3"/>
          <w:w w:val="110"/>
          <w:sz w:val="18"/>
        </w:rPr>
        <w:t>Revd</w:t>
      </w:r>
      <w:r>
        <w:rPr>
          <w:color w:val="231F20"/>
          <w:spacing w:val="-21"/>
          <w:w w:val="110"/>
          <w:sz w:val="18"/>
        </w:rPr>
        <w:t> </w:t>
      </w:r>
      <w:r>
        <w:rPr>
          <w:color w:val="231F20"/>
          <w:w w:val="110"/>
          <w:sz w:val="18"/>
        </w:rPr>
        <w:t>Keith</w:t>
      </w:r>
      <w:r>
        <w:rPr>
          <w:color w:val="231F20"/>
          <w:spacing w:val="-20"/>
          <w:w w:val="110"/>
          <w:sz w:val="18"/>
        </w:rPr>
        <w:t> </w:t>
      </w:r>
      <w:r>
        <w:rPr>
          <w:color w:val="231F20"/>
          <w:w w:val="110"/>
          <w:sz w:val="18"/>
        </w:rPr>
        <w:t>Forecast, former Moderator of the General Assembly. Our </w:t>
      </w:r>
      <w:r>
        <w:rPr>
          <w:color w:val="231F20"/>
          <w:spacing w:val="2"/>
          <w:w w:val="110"/>
          <w:sz w:val="18"/>
        </w:rPr>
        <w:t>lecture </w:t>
      </w:r>
      <w:r>
        <w:rPr>
          <w:color w:val="231F20"/>
          <w:w w:val="110"/>
          <w:sz w:val="18"/>
        </w:rPr>
        <w:t>formed </w:t>
      </w:r>
      <w:r>
        <w:rPr>
          <w:color w:val="231F20"/>
          <w:spacing w:val="2"/>
          <w:w w:val="110"/>
          <w:sz w:val="18"/>
        </w:rPr>
        <w:t>part </w:t>
      </w:r>
      <w:r>
        <w:rPr>
          <w:color w:val="231F20"/>
          <w:w w:val="110"/>
          <w:sz w:val="18"/>
        </w:rPr>
        <w:t>of the </w:t>
      </w:r>
      <w:r>
        <w:rPr>
          <w:color w:val="231F20"/>
          <w:spacing w:val="2"/>
          <w:w w:val="110"/>
          <w:sz w:val="18"/>
        </w:rPr>
        <w:t>series </w:t>
      </w:r>
      <w:r>
        <w:rPr>
          <w:color w:val="231F20"/>
          <w:w w:val="110"/>
          <w:sz w:val="18"/>
        </w:rPr>
        <w:t>of Reid </w:t>
      </w:r>
      <w:r>
        <w:rPr>
          <w:color w:val="231F20"/>
          <w:spacing w:val="2"/>
          <w:w w:val="110"/>
          <w:sz w:val="18"/>
        </w:rPr>
        <w:t>Lectures </w:t>
      </w:r>
      <w:r>
        <w:rPr>
          <w:color w:val="231F20"/>
          <w:w w:val="110"/>
          <w:sz w:val="18"/>
        </w:rPr>
        <w:t>given by </w:t>
      </w:r>
      <w:r>
        <w:rPr>
          <w:color w:val="231F20"/>
          <w:spacing w:val="2"/>
          <w:w w:val="110"/>
          <w:sz w:val="18"/>
        </w:rPr>
        <w:t>Professor </w:t>
      </w:r>
      <w:r>
        <w:rPr>
          <w:color w:val="231F20"/>
          <w:w w:val="110"/>
          <w:sz w:val="18"/>
        </w:rPr>
        <w:t>Nancey Murphy of Fuller Seminary, Pasadena, under the title </w:t>
      </w:r>
      <w:r>
        <w:rPr>
          <w:i/>
          <w:color w:val="231F20"/>
          <w:w w:val="110"/>
          <w:sz w:val="18"/>
        </w:rPr>
        <w:t>Bodies and Souls – or Spirited Bodies</w:t>
      </w:r>
      <w:r>
        <w:rPr>
          <w:color w:val="231F20"/>
          <w:w w:val="110"/>
          <w:sz w:val="18"/>
        </w:rPr>
        <w:t>. </w:t>
      </w:r>
      <w:r>
        <w:rPr>
          <w:color w:val="231F20"/>
          <w:spacing w:val="-3"/>
          <w:w w:val="110"/>
          <w:sz w:val="18"/>
        </w:rPr>
        <w:t>We </w:t>
      </w:r>
      <w:r>
        <w:rPr>
          <w:color w:val="231F20"/>
          <w:w w:val="110"/>
          <w:sz w:val="18"/>
        </w:rPr>
        <w:t>also give thanks for the </w:t>
      </w:r>
      <w:r>
        <w:rPr>
          <w:color w:val="231F20"/>
          <w:spacing w:val="2"/>
          <w:w w:val="110"/>
          <w:sz w:val="18"/>
        </w:rPr>
        <w:t>gifts </w:t>
      </w:r>
      <w:r>
        <w:rPr>
          <w:color w:val="231F20"/>
          <w:w w:val="110"/>
          <w:sz w:val="18"/>
        </w:rPr>
        <w:t>of our leavers,  who were: William Bowman, (Elmers End and Emmanuel, West Wickham) Pauline Main and Samantha White (West Suffolk</w:t>
      </w:r>
      <w:r>
        <w:rPr>
          <w:color w:val="231F20"/>
          <w:spacing w:val="6"/>
          <w:w w:val="110"/>
          <w:sz w:val="18"/>
        </w:rPr>
        <w:t> </w:t>
      </w:r>
      <w:r>
        <w:rPr>
          <w:color w:val="231F20"/>
          <w:w w:val="110"/>
          <w:sz w:val="18"/>
        </w:rPr>
        <w:t>Group).</w:t>
      </w:r>
    </w:p>
    <w:p>
      <w:pPr>
        <w:pStyle w:val="BodyText"/>
        <w:spacing w:before="9"/>
        <w:rPr>
          <w:sz w:val="20"/>
        </w:rPr>
      </w:pPr>
    </w:p>
    <w:p>
      <w:pPr>
        <w:pStyle w:val="Heading9"/>
        <w:spacing w:before="1"/>
        <w:ind w:left="1160"/>
      </w:pPr>
      <w:r>
        <w:rPr>
          <w:color w:val="231F20"/>
          <w:w w:val="110"/>
        </w:rPr>
        <w:t>Staffing</w:t>
      </w:r>
    </w:p>
    <w:p>
      <w:pPr>
        <w:pStyle w:val="ListParagraph"/>
        <w:numPr>
          <w:ilvl w:val="0"/>
          <w:numId w:val="229"/>
        </w:numPr>
        <w:tabs>
          <w:tab w:pos="1880" w:val="left" w:leader="none"/>
          <w:tab w:pos="1881" w:val="left" w:leader="none"/>
        </w:tabs>
        <w:spacing w:line="273" w:lineRule="auto" w:before="258" w:after="0"/>
        <w:ind w:left="1160" w:right="1675" w:firstLine="0"/>
        <w:jc w:val="left"/>
        <w:rPr>
          <w:sz w:val="18"/>
        </w:rPr>
      </w:pPr>
      <w:r>
        <w:rPr>
          <w:color w:val="231F20"/>
          <w:w w:val="110"/>
          <w:sz w:val="18"/>
        </w:rPr>
        <w:t>Revd Dr Peter McEnhill </w:t>
      </w:r>
      <w:r>
        <w:rPr>
          <w:color w:val="231F20"/>
          <w:spacing w:val="3"/>
          <w:w w:val="110"/>
          <w:sz w:val="18"/>
        </w:rPr>
        <w:t>left </w:t>
      </w:r>
      <w:r>
        <w:rPr>
          <w:color w:val="231F20"/>
          <w:w w:val="110"/>
          <w:sz w:val="18"/>
        </w:rPr>
        <w:t>us at the end of the academic year 2006 </w:t>
      </w:r>
      <w:r>
        <w:rPr>
          <w:color w:val="231F20"/>
          <w:spacing w:val="2"/>
          <w:w w:val="110"/>
          <w:sz w:val="18"/>
        </w:rPr>
        <w:t>after serving</w:t>
      </w:r>
      <w:r>
        <w:rPr>
          <w:color w:val="231F20"/>
          <w:spacing w:val="8"/>
          <w:w w:val="110"/>
          <w:sz w:val="18"/>
        </w:rPr>
        <w:t> </w:t>
      </w:r>
      <w:r>
        <w:rPr>
          <w:color w:val="231F20"/>
          <w:w w:val="110"/>
          <w:sz w:val="18"/>
        </w:rPr>
        <w:t>for</w:t>
      </w:r>
      <w:r>
        <w:rPr>
          <w:color w:val="231F20"/>
          <w:spacing w:val="9"/>
          <w:w w:val="110"/>
          <w:sz w:val="18"/>
        </w:rPr>
        <w:t> </w:t>
      </w:r>
      <w:r>
        <w:rPr>
          <w:color w:val="231F20"/>
          <w:w w:val="110"/>
          <w:sz w:val="18"/>
        </w:rPr>
        <w:t>ten</w:t>
      </w:r>
      <w:r>
        <w:rPr>
          <w:color w:val="231F20"/>
          <w:spacing w:val="9"/>
          <w:w w:val="110"/>
          <w:sz w:val="18"/>
        </w:rPr>
        <w:t> </w:t>
      </w:r>
      <w:r>
        <w:rPr>
          <w:color w:val="231F20"/>
          <w:w w:val="110"/>
          <w:sz w:val="18"/>
        </w:rPr>
        <w:t>years</w:t>
      </w:r>
      <w:r>
        <w:rPr>
          <w:color w:val="231F20"/>
          <w:spacing w:val="8"/>
          <w:w w:val="110"/>
          <w:sz w:val="18"/>
        </w:rPr>
        <w:t> </w:t>
      </w:r>
      <w:r>
        <w:rPr>
          <w:color w:val="231F20"/>
          <w:w w:val="110"/>
          <w:sz w:val="18"/>
        </w:rPr>
        <w:t>as</w:t>
      </w:r>
      <w:r>
        <w:rPr>
          <w:color w:val="231F20"/>
          <w:spacing w:val="9"/>
          <w:w w:val="110"/>
          <w:sz w:val="18"/>
        </w:rPr>
        <w:t> </w:t>
      </w:r>
      <w:r>
        <w:rPr>
          <w:color w:val="231F20"/>
          <w:w w:val="110"/>
          <w:sz w:val="18"/>
        </w:rPr>
        <w:t>our</w:t>
      </w:r>
      <w:r>
        <w:rPr>
          <w:color w:val="231F20"/>
          <w:spacing w:val="9"/>
          <w:w w:val="110"/>
          <w:sz w:val="18"/>
        </w:rPr>
        <w:t> </w:t>
      </w:r>
      <w:r>
        <w:rPr>
          <w:color w:val="231F20"/>
          <w:spacing w:val="2"/>
          <w:w w:val="110"/>
          <w:sz w:val="18"/>
        </w:rPr>
        <w:t>Doctrine</w:t>
      </w:r>
      <w:r>
        <w:rPr>
          <w:color w:val="231F20"/>
          <w:spacing w:val="8"/>
          <w:w w:val="110"/>
          <w:sz w:val="18"/>
        </w:rPr>
        <w:t> </w:t>
      </w:r>
      <w:r>
        <w:rPr>
          <w:color w:val="231F20"/>
          <w:w w:val="110"/>
          <w:sz w:val="18"/>
        </w:rPr>
        <w:t>teacher.</w:t>
      </w:r>
      <w:r>
        <w:rPr>
          <w:color w:val="231F20"/>
          <w:spacing w:val="9"/>
          <w:w w:val="110"/>
          <w:sz w:val="18"/>
        </w:rPr>
        <w:t> </w:t>
      </w:r>
      <w:r>
        <w:rPr>
          <w:color w:val="231F20"/>
          <w:w w:val="110"/>
          <w:sz w:val="18"/>
        </w:rPr>
        <w:t>Peter</w:t>
      </w:r>
      <w:r>
        <w:rPr>
          <w:color w:val="231F20"/>
          <w:spacing w:val="9"/>
          <w:w w:val="110"/>
          <w:sz w:val="18"/>
        </w:rPr>
        <w:t> </w:t>
      </w:r>
      <w:r>
        <w:rPr>
          <w:color w:val="231F20"/>
          <w:w w:val="110"/>
          <w:sz w:val="18"/>
        </w:rPr>
        <w:t>was</w:t>
      </w:r>
      <w:r>
        <w:rPr>
          <w:color w:val="231F20"/>
          <w:spacing w:val="8"/>
          <w:w w:val="110"/>
          <w:sz w:val="18"/>
        </w:rPr>
        <w:t> </w:t>
      </w:r>
      <w:r>
        <w:rPr>
          <w:color w:val="231F20"/>
          <w:w w:val="110"/>
          <w:sz w:val="18"/>
        </w:rPr>
        <w:t>also</w:t>
      </w:r>
      <w:r>
        <w:rPr>
          <w:color w:val="231F20"/>
          <w:spacing w:val="9"/>
          <w:w w:val="110"/>
          <w:sz w:val="18"/>
        </w:rPr>
        <w:t> </w:t>
      </w:r>
      <w:r>
        <w:rPr>
          <w:color w:val="231F20"/>
          <w:w w:val="110"/>
          <w:sz w:val="18"/>
        </w:rPr>
        <w:t>our</w:t>
      </w:r>
      <w:r>
        <w:rPr>
          <w:color w:val="231F20"/>
          <w:spacing w:val="9"/>
          <w:w w:val="110"/>
          <w:sz w:val="18"/>
        </w:rPr>
        <w:t> </w:t>
      </w:r>
      <w:r>
        <w:rPr>
          <w:color w:val="231F20"/>
          <w:w w:val="110"/>
          <w:sz w:val="18"/>
        </w:rPr>
        <w:t>Librarian,</w:t>
      </w:r>
      <w:r>
        <w:rPr>
          <w:color w:val="231F20"/>
          <w:spacing w:val="10"/>
          <w:w w:val="110"/>
          <w:sz w:val="18"/>
        </w:rPr>
        <w:t> </w:t>
      </w:r>
      <w:r>
        <w:rPr>
          <w:color w:val="231F20"/>
          <w:spacing w:val="2"/>
          <w:w w:val="110"/>
          <w:sz w:val="18"/>
        </w:rPr>
        <w:t>Director</w:t>
      </w:r>
    </w:p>
    <w:p>
      <w:pPr>
        <w:pStyle w:val="BodyText"/>
        <w:spacing w:line="273" w:lineRule="auto" w:before="1"/>
        <w:ind w:left="1160" w:right="1380"/>
      </w:pPr>
      <w:r>
        <w:rPr>
          <w:color w:val="231F20"/>
          <w:w w:val="110"/>
        </w:rPr>
        <w:t>of the Institute of Reformed Studies and took responsibility for our computer network. We wish Peter well in his new post as Minister of Kilmacolm, Inverclyde. The Principal</w:t>
      </w:r>
    </w:p>
    <w:p>
      <w:pPr>
        <w:spacing w:after="0" w:line="273" w:lineRule="auto"/>
        <w:sectPr>
          <w:footerReference w:type="default" r:id="rId575"/>
          <w:footerReference w:type="even" r:id="rId576"/>
          <w:pgSz w:w="11910" w:h="16840"/>
          <w:pgMar w:footer="564" w:header="558" w:top="820" w:bottom="760" w:left="540" w:right="0"/>
          <w:pgNumType w:start="11"/>
        </w:sectPr>
      </w:pPr>
    </w:p>
    <w:p>
      <w:pPr>
        <w:pStyle w:val="BodyText"/>
        <w:spacing w:before="10"/>
        <w:rPr>
          <w:sz w:val="11"/>
        </w:rPr>
      </w:pPr>
    </w:p>
    <w:p>
      <w:pPr>
        <w:pStyle w:val="BodyText"/>
        <w:spacing w:line="273" w:lineRule="auto" w:before="101"/>
        <w:ind w:left="593" w:right="1995"/>
      </w:pPr>
      <w:r>
        <w:rPr>
          <w:color w:val="231F20"/>
          <w:w w:val="110"/>
        </w:rPr>
        <w:t>has taken on </w:t>
      </w:r>
      <w:r>
        <w:rPr>
          <w:color w:val="231F20"/>
          <w:spacing w:val="2"/>
          <w:w w:val="110"/>
        </w:rPr>
        <w:t>temporary </w:t>
      </w:r>
      <w:r>
        <w:rPr>
          <w:color w:val="231F20"/>
          <w:w w:val="110"/>
        </w:rPr>
        <w:t>responsibility for the </w:t>
      </w:r>
      <w:r>
        <w:rPr>
          <w:color w:val="231F20"/>
          <w:spacing w:val="2"/>
          <w:w w:val="110"/>
        </w:rPr>
        <w:t>Library </w:t>
      </w:r>
      <w:r>
        <w:rPr>
          <w:color w:val="231F20"/>
          <w:w w:val="110"/>
        </w:rPr>
        <w:t>and the Institute of Reformed Studies, while Neil </w:t>
      </w:r>
      <w:r>
        <w:rPr>
          <w:color w:val="231F20"/>
          <w:spacing w:val="2"/>
          <w:w w:val="110"/>
        </w:rPr>
        <w:t>Thorogood </w:t>
      </w:r>
      <w:r>
        <w:rPr>
          <w:color w:val="231F20"/>
          <w:w w:val="110"/>
        </w:rPr>
        <w:t>is now the college Computer Officer. </w:t>
      </w:r>
      <w:r>
        <w:rPr>
          <w:color w:val="231F20"/>
          <w:spacing w:val="-3"/>
          <w:w w:val="110"/>
        </w:rPr>
        <w:t>We </w:t>
      </w:r>
      <w:r>
        <w:rPr>
          <w:color w:val="231F20"/>
          <w:w w:val="110"/>
        </w:rPr>
        <w:t>were fortunate in securing the </w:t>
      </w:r>
      <w:r>
        <w:rPr>
          <w:color w:val="231F20"/>
          <w:spacing w:val="2"/>
          <w:w w:val="110"/>
        </w:rPr>
        <w:t>services </w:t>
      </w:r>
      <w:r>
        <w:rPr>
          <w:color w:val="231F20"/>
          <w:w w:val="110"/>
        </w:rPr>
        <w:t>of Dr Suzanne McDonald, a recent member of the college, to </w:t>
      </w:r>
      <w:r>
        <w:rPr>
          <w:color w:val="231F20"/>
          <w:spacing w:val="2"/>
          <w:w w:val="110"/>
        </w:rPr>
        <w:t>serve </w:t>
      </w:r>
      <w:r>
        <w:rPr>
          <w:color w:val="231F20"/>
          <w:w w:val="110"/>
        </w:rPr>
        <w:t>as a </w:t>
      </w:r>
      <w:r>
        <w:rPr>
          <w:color w:val="231F20"/>
          <w:spacing w:val="2"/>
          <w:w w:val="110"/>
        </w:rPr>
        <w:t>temporary lecturer </w:t>
      </w:r>
      <w:r>
        <w:rPr>
          <w:color w:val="231F20"/>
          <w:w w:val="110"/>
        </w:rPr>
        <w:t>for the academic year </w:t>
      </w:r>
      <w:r>
        <w:rPr>
          <w:color w:val="231F20"/>
          <w:spacing w:val="-5"/>
          <w:w w:val="110"/>
        </w:rPr>
        <w:t>2006-2007, </w:t>
      </w:r>
      <w:r>
        <w:rPr>
          <w:color w:val="231F20"/>
          <w:w w:val="110"/>
        </w:rPr>
        <w:t>covering the teaching of</w:t>
      </w:r>
      <w:r>
        <w:rPr>
          <w:color w:val="231F20"/>
          <w:spacing w:val="10"/>
          <w:w w:val="110"/>
        </w:rPr>
        <w:t> </w:t>
      </w:r>
      <w:r>
        <w:rPr>
          <w:color w:val="231F20"/>
          <w:spacing w:val="2"/>
          <w:w w:val="110"/>
        </w:rPr>
        <w:t>Doctrine</w:t>
      </w:r>
      <w:r>
        <w:rPr>
          <w:color w:val="231F20"/>
          <w:spacing w:val="11"/>
          <w:w w:val="110"/>
        </w:rPr>
        <w:t> </w:t>
      </w:r>
      <w:r>
        <w:rPr>
          <w:color w:val="231F20"/>
          <w:w w:val="110"/>
        </w:rPr>
        <w:t>and</w:t>
      </w:r>
      <w:r>
        <w:rPr>
          <w:color w:val="231F20"/>
          <w:spacing w:val="10"/>
          <w:w w:val="110"/>
        </w:rPr>
        <w:t> </w:t>
      </w:r>
      <w:r>
        <w:rPr>
          <w:color w:val="231F20"/>
          <w:w w:val="110"/>
        </w:rPr>
        <w:t>Reformed</w:t>
      </w:r>
      <w:r>
        <w:rPr>
          <w:color w:val="231F20"/>
          <w:spacing w:val="11"/>
          <w:w w:val="110"/>
        </w:rPr>
        <w:t> </w:t>
      </w:r>
      <w:r>
        <w:rPr>
          <w:color w:val="231F20"/>
          <w:w w:val="110"/>
        </w:rPr>
        <w:t>Studies.</w:t>
      </w:r>
      <w:r>
        <w:rPr>
          <w:color w:val="231F20"/>
          <w:spacing w:val="10"/>
          <w:w w:val="110"/>
        </w:rPr>
        <w:t> </w:t>
      </w:r>
      <w:r>
        <w:rPr>
          <w:color w:val="231F20"/>
          <w:w w:val="110"/>
        </w:rPr>
        <w:t>The</w:t>
      </w:r>
      <w:r>
        <w:rPr>
          <w:color w:val="231F20"/>
          <w:spacing w:val="11"/>
          <w:w w:val="110"/>
        </w:rPr>
        <w:t> </w:t>
      </w:r>
      <w:r>
        <w:rPr>
          <w:color w:val="231F20"/>
          <w:w w:val="110"/>
        </w:rPr>
        <w:t>College</w:t>
      </w:r>
      <w:r>
        <w:rPr>
          <w:color w:val="231F20"/>
          <w:spacing w:val="10"/>
          <w:w w:val="110"/>
        </w:rPr>
        <w:t> </w:t>
      </w:r>
      <w:r>
        <w:rPr>
          <w:color w:val="231F20"/>
          <w:w w:val="110"/>
        </w:rPr>
        <w:t>is</w:t>
      </w:r>
      <w:r>
        <w:rPr>
          <w:color w:val="231F20"/>
          <w:spacing w:val="11"/>
          <w:w w:val="110"/>
        </w:rPr>
        <w:t> </w:t>
      </w:r>
      <w:r>
        <w:rPr>
          <w:color w:val="231F20"/>
          <w:w w:val="110"/>
        </w:rPr>
        <w:t>delighted</w:t>
      </w:r>
      <w:r>
        <w:rPr>
          <w:color w:val="231F20"/>
          <w:spacing w:val="11"/>
          <w:w w:val="110"/>
        </w:rPr>
        <w:t> </w:t>
      </w:r>
      <w:r>
        <w:rPr>
          <w:color w:val="231F20"/>
          <w:w w:val="110"/>
        </w:rPr>
        <w:t>that</w:t>
      </w:r>
      <w:r>
        <w:rPr>
          <w:color w:val="231F20"/>
          <w:spacing w:val="10"/>
          <w:w w:val="110"/>
        </w:rPr>
        <w:t> </w:t>
      </w:r>
      <w:r>
        <w:rPr>
          <w:color w:val="231F20"/>
          <w:w w:val="110"/>
        </w:rPr>
        <w:t>the</w:t>
      </w:r>
      <w:r>
        <w:rPr>
          <w:color w:val="231F20"/>
          <w:spacing w:val="11"/>
          <w:w w:val="110"/>
        </w:rPr>
        <w:t> </w:t>
      </w:r>
      <w:r>
        <w:rPr>
          <w:color w:val="231F20"/>
          <w:w w:val="110"/>
        </w:rPr>
        <w:t>United</w:t>
      </w:r>
      <w:r>
        <w:rPr>
          <w:color w:val="231F20"/>
          <w:spacing w:val="10"/>
          <w:w w:val="110"/>
        </w:rPr>
        <w:t> </w:t>
      </w:r>
      <w:r>
        <w:rPr>
          <w:color w:val="231F20"/>
          <w:w w:val="110"/>
        </w:rPr>
        <w:t>Reformed</w:t>
      </w:r>
    </w:p>
    <w:p>
      <w:pPr>
        <w:pStyle w:val="BodyText"/>
        <w:spacing w:line="273" w:lineRule="auto" w:before="3"/>
        <w:ind w:left="593" w:right="1788"/>
      </w:pPr>
      <w:r>
        <w:rPr>
          <w:color w:val="231F20"/>
          <w:w w:val="110"/>
        </w:rPr>
        <w:t>Church has appointed Revd Dr Susan Durber to </w:t>
      </w:r>
      <w:r>
        <w:rPr>
          <w:color w:val="231F20"/>
          <w:spacing w:val="2"/>
          <w:w w:val="110"/>
        </w:rPr>
        <w:t>serve </w:t>
      </w:r>
      <w:r>
        <w:rPr>
          <w:color w:val="231F20"/>
          <w:w w:val="110"/>
        </w:rPr>
        <w:t>as Principal </w:t>
      </w:r>
      <w:r>
        <w:rPr>
          <w:color w:val="231F20"/>
          <w:spacing w:val="2"/>
          <w:w w:val="110"/>
        </w:rPr>
        <w:t>from </w:t>
      </w:r>
      <w:r>
        <w:rPr>
          <w:color w:val="231F20"/>
          <w:w w:val="110"/>
        </w:rPr>
        <w:t>September </w:t>
      </w:r>
      <w:r>
        <w:rPr>
          <w:color w:val="231F20"/>
          <w:spacing w:val="-6"/>
          <w:w w:val="110"/>
        </w:rPr>
        <w:t>2007. </w:t>
      </w:r>
      <w:r>
        <w:rPr>
          <w:color w:val="231F20"/>
          <w:w w:val="110"/>
        </w:rPr>
        <w:t>A </w:t>
      </w:r>
      <w:r>
        <w:rPr>
          <w:color w:val="231F20"/>
          <w:spacing w:val="2"/>
          <w:w w:val="110"/>
        </w:rPr>
        <w:t>further </w:t>
      </w:r>
      <w:r>
        <w:rPr>
          <w:color w:val="231F20"/>
          <w:w w:val="110"/>
        </w:rPr>
        <w:t>appointment to the teaching team is also</w:t>
      </w:r>
      <w:r>
        <w:rPr>
          <w:color w:val="231F20"/>
          <w:spacing w:val="19"/>
          <w:w w:val="110"/>
        </w:rPr>
        <w:t> </w:t>
      </w:r>
      <w:r>
        <w:rPr>
          <w:color w:val="231F20"/>
          <w:w w:val="110"/>
        </w:rPr>
        <w:t>planned.</w:t>
      </w:r>
    </w:p>
    <w:p>
      <w:pPr>
        <w:pStyle w:val="BodyText"/>
        <w:spacing w:before="7"/>
        <w:rPr>
          <w:sz w:val="20"/>
        </w:rPr>
      </w:pPr>
    </w:p>
    <w:p>
      <w:pPr>
        <w:pStyle w:val="Heading9"/>
        <w:ind w:left="593"/>
      </w:pPr>
      <w:r>
        <w:rPr>
          <w:color w:val="231F20"/>
          <w:w w:val="110"/>
        </w:rPr>
        <w:t>The Principal</w:t>
      </w:r>
    </w:p>
    <w:p>
      <w:pPr>
        <w:pStyle w:val="ListParagraph"/>
        <w:numPr>
          <w:ilvl w:val="0"/>
          <w:numId w:val="229"/>
        </w:numPr>
        <w:tabs>
          <w:tab w:pos="1358" w:val="left" w:leader="none"/>
          <w:tab w:pos="1359" w:val="left" w:leader="none"/>
        </w:tabs>
        <w:spacing w:line="273" w:lineRule="auto" w:before="258" w:after="0"/>
        <w:ind w:left="593" w:right="1874" w:firstLine="0"/>
        <w:jc w:val="left"/>
        <w:rPr>
          <w:sz w:val="18"/>
        </w:rPr>
      </w:pPr>
      <w:r>
        <w:rPr>
          <w:color w:val="231F20"/>
          <w:w w:val="110"/>
          <w:sz w:val="18"/>
        </w:rPr>
        <w:t>This year sees the retirement of the </w:t>
      </w:r>
      <w:r>
        <w:rPr>
          <w:color w:val="231F20"/>
          <w:spacing w:val="-3"/>
          <w:w w:val="110"/>
          <w:sz w:val="18"/>
        </w:rPr>
        <w:t>Revd </w:t>
      </w:r>
      <w:r>
        <w:rPr>
          <w:color w:val="231F20"/>
          <w:w w:val="110"/>
          <w:sz w:val="18"/>
        </w:rPr>
        <w:t>Professor Stephen Orchard as Principal of the College. The time seems to </w:t>
      </w:r>
      <w:r>
        <w:rPr>
          <w:color w:val="231F20"/>
          <w:spacing w:val="-3"/>
          <w:w w:val="110"/>
          <w:sz w:val="18"/>
        </w:rPr>
        <w:t>have </w:t>
      </w:r>
      <w:r>
        <w:rPr>
          <w:color w:val="231F20"/>
          <w:w w:val="110"/>
          <w:sz w:val="18"/>
        </w:rPr>
        <w:t>flown since January </w:t>
      </w:r>
      <w:r>
        <w:rPr>
          <w:color w:val="231F20"/>
          <w:spacing w:val="-4"/>
          <w:w w:val="110"/>
          <w:sz w:val="18"/>
        </w:rPr>
        <w:t>2001 </w:t>
      </w:r>
      <w:r>
        <w:rPr>
          <w:color w:val="231F20"/>
          <w:w w:val="110"/>
          <w:sz w:val="18"/>
        </w:rPr>
        <w:t>when Mission Council appointed him as Principal. Stephen came to Westminster as one of the last</w:t>
      </w:r>
      <w:r>
        <w:rPr>
          <w:color w:val="231F20"/>
          <w:spacing w:val="-22"/>
          <w:w w:val="110"/>
          <w:sz w:val="18"/>
        </w:rPr>
        <w:t> </w:t>
      </w:r>
      <w:r>
        <w:rPr>
          <w:color w:val="231F20"/>
          <w:w w:val="110"/>
          <w:sz w:val="18"/>
        </w:rPr>
        <w:t>students</w:t>
      </w:r>
    </w:p>
    <w:p>
      <w:pPr>
        <w:pStyle w:val="BodyText"/>
        <w:spacing w:line="273" w:lineRule="auto" w:before="2"/>
        <w:ind w:left="596" w:right="1777" w:hanging="2"/>
      </w:pPr>
      <w:r>
        <w:rPr>
          <w:color w:val="231F20"/>
          <w:w w:val="110"/>
        </w:rPr>
        <w:t>to be trained at Cheshunt College before it joined with Westminster in </w:t>
      </w:r>
      <w:r>
        <w:rPr>
          <w:color w:val="231F20"/>
          <w:spacing w:val="-10"/>
          <w:w w:val="110"/>
        </w:rPr>
        <w:t>1967, </w:t>
      </w:r>
      <w:r>
        <w:rPr>
          <w:color w:val="231F20"/>
          <w:w w:val="110"/>
        </w:rPr>
        <w:t>with a considerable range of experience both as a minister in the United Reformed Church and in ecumenical service with the British Council of Churches and the Christian Education Movement. All this experience was valuable in his time at </w:t>
      </w:r>
      <w:r>
        <w:rPr>
          <w:color w:val="231F20"/>
          <w:spacing w:val="-3"/>
          <w:w w:val="110"/>
        </w:rPr>
        <w:t>Westminster. </w:t>
      </w:r>
      <w:r>
        <w:rPr>
          <w:color w:val="231F20"/>
          <w:w w:val="110"/>
        </w:rPr>
        <w:t>The Cambridge Theological Federation was quick to appreciate his range of experience, and in the last two years he has been President of the Federation as well as Principal. His conduct of worship in college has made students aware of the depths of our tradition and his friendly style has made him readily approachable. The whole College community wish him and Linda well in their retirement, and congratulate him </w:t>
      </w:r>
      <w:r>
        <w:rPr>
          <w:color w:val="231F20"/>
          <w:spacing w:val="-6"/>
          <w:w w:val="110"/>
        </w:rPr>
        <w:t>(and </w:t>
      </w:r>
      <w:r>
        <w:rPr>
          <w:color w:val="231F20"/>
          <w:w w:val="110"/>
        </w:rPr>
        <w:t>the General Assembly) on his election as Moderator for the year</w:t>
      </w:r>
      <w:r>
        <w:rPr>
          <w:color w:val="231F20"/>
          <w:spacing w:val="-18"/>
          <w:w w:val="110"/>
        </w:rPr>
        <w:t> </w:t>
      </w:r>
      <w:r>
        <w:rPr>
          <w:color w:val="231F20"/>
          <w:spacing w:val="-5"/>
          <w:w w:val="110"/>
        </w:rPr>
        <w:t>2007-8.</w:t>
      </w:r>
    </w:p>
    <w:p>
      <w:pPr>
        <w:pStyle w:val="BodyText"/>
        <w:rPr>
          <w:sz w:val="20"/>
        </w:rPr>
      </w:pPr>
    </w:p>
    <w:p>
      <w:pPr>
        <w:pStyle w:val="BodyText"/>
        <w:rPr>
          <w:sz w:val="20"/>
        </w:rPr>
      </w:pPr>
    </w:p>
    <w:p>
      <w:pPr>
        <w:pStyle w:val="BodyText"/>
        <w:spacing w:before="6"/>
        <w:rPr>
          <w:sz w:val="25"/>
        </w:rPr>
      </w:pPr>
    </w:p>
    <w:p>
      <w:pPr>
        <w:spacing w:before="309"/>
        <w:ind w:left="4010" w:right="4623"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44" w:top="860" w:bottom="740" w:left="540" w:right="0"/>
        </w:sectPr>
      </w:pPr>
    </w:p>
    <w:p>
      <w:pPr>
        <w:spacing w:before="161"/>
        <w:ind w:left="593" w:right="0" w:firstLine="0"/>
        <w:jc w:val="left"/>
        <w:rPr>
          <w:b/>
          <w:sz w:val="56"/>
        </w:rPr>
      </w:pPr>
      <w:r>
        <w:rPr>
          <w:b/>
          <w:color w:val="231F20"/>
          <w:sz w:val="56"/>
        </w:rPr>
        <w:t>Northern College</w:t>
      </w:r>
    </w:p>
    <w:p>
      <w:pPr>
        <w:pStyle w:val="BodyText"/>
        <w:rPr>
          <w:b/>
          <w:sz w:val="20"/>
        </w:rPr>
      </w:pPr>
    </w:p>
    <w:p>
      <w:pPr>
        <w:pStyle w:val="BodyText"/>
        <w:rPr>
          <w:b/>
          <w:sz w:val="16"/>
        </w:rPr>
      </w:pPr>
    </w:p>
    <w:p>
      <w:pPr>
        <w:spacing w:before="98"/>
        <w:ind w:left="1160" w:right="0" w:firstLine="0"/>
        <w:jc w:val="left"/>
        <w:rPr>
          <w:b/>
          <w:sz w:val="29"/>
        </w:rPr>
      </w:pPr>
      <w:r>
        <w:rPr>
          <w:b/>
          <w:color w:val="231F20"/>
          <w:w w:val="110"/>
          <w:sz w:val="29"/>
        </w:rPr>
        <w:t>Life at Northern College</w:t>
      </w:r>
    </w:p>
    <w:p>
      <w:pPr>
        <w:pStyle w:val="ListParagraph"/>
        <w:numPr>
          <w:ilvl w:val="1"/>
          <w:numId w:val="230"/>
        </w:numPr>
        <w:tabs>
          <w:tab w:pos="1880" w:val="left" w:leader="none"/>
          <w:tab w:pos="1881" w:val="left" w:leader="none"/>
        </w:tabs>
        <w:spacing w:line="273" w:lineRule="auto" w:before="258" w:after="0"/>
        <w:ind w:left="1160" w:right="1294" w:firstLine="0"/>
        <w:jc w:val="left"/>
        <w:rPr>
          <w:sz w:val="18"/>
        </w:rPr>
      </w:pPr>
      <w:r>
        <w:rPr>
          <w:color w:val="231F20"/>
          <w:spacing w:val="2"/>
          <w:w w:val="110"/>
          <w:sz w:val="18"/>
        </w:rPr>
        <w:t>Last </w:t>
      </w:r>
      <w:r>
        <w:rPr>
          <w:color w:val="231F20"/>
          <w:w w:val="110"/>
          <w:sz w:val="18"/>
        </w:rPr>
        <w:t>year’s Assembly decision that </w:t>
      </w:r>
      <w:r>
        <w:rPr>
          <w:color w:val="231F20"/>
          <w:spacing w:val="2"/>
          <w:w w:val="110"/>
          <w:sz w:val="18"/>
        </w:rPr>
        <w:t>Northern </w:t>
      </w:r>
      <w:r>
        <w:rPr>
          <w:color w:val="231F20"/>
          <w:w w:val="110"/>
          <w:sz w:val="18"/>
        </w:rPr>
        <w:t>College would become one of two Resource Centres for Learning for the United Reformed Church in England ended a period of </w:t>
      </w:r>
      <w:r>
        <w:rPr>
          <w:color w:val="231F20"/>
          <w:spacing w:val="2"/>
          <w:w w:val="110"/>
          <w:sz w:val="18"/>
        </w:rPr>
        <w:t>uncertainty </w:t>
      </w:r>
      <w:r>
        <w:rPr>
          <w:color w:val="231F20"/>
          <w:w w:val="110"/>
          <w:sz w:val="18"/>
        </w:rPr>
        <w:t>for many involved in theological education, and enabled us to begin more active planning for the future. In the meantime, teaching at Luther King House continues in ecumenical </w:t>
      </w:r>
      <w:r>
        <w:rPr>
          <w:color w:val="231F20"/>
          <w:spacing w:val="2"/>
          <w:w w:val="110"/>
          <w:sz w:val="18"/>
        </w:rPr>
        <w:t>partnership </w:t>
      </w:r>
      <w:r>
        <w:rPr>
          <w:color w:val="231F20"/>
          <w:w w:val="110"/>
          <w:sz w:val="18"/>
        </w:rPr>
        <w:t>with the Baptist, Methodist and Unitarian colleges. Most of our </w:t>
      </w:r>
      <w:r>
        <w:rPr>
          <w:color w:val="231F20"/>
          <w:spacing w:val="2"/>
          <w:w w:val="110"/>
          <w:sz w:val="18"/>
        </w:rPr>
        <w:t>Northern </w:t>
      </w:r>
      <w:r>
        <w:rPr>
          <w:color w:val="231F20"/>
          <w:w w:val="110"/>
          <w:sz w:val="18"/>
        </w:rPr>
        <w:t>college students are studying for the diploma or degree  in contextual theology, with some undertaking </w:t>
      </w:r>
      <w:r>
        <w:rPr>
          <w:color w:val="231F20"/>
          <w:spacing w:val="2"/>
          <w:w w:val="110"/>
          <w:sz w:val="18"/>
        </w:rPr>
        <w:t>further </w:t>
      </w:r>
      <w:r>
        <w:rPr>
          <w:color w:val="231F20"/>
          <w:w w:val="110"/>
          <w:sz w:val="18"/>
        </w:rPr>
        <w:t>theological study on the MA programme. In addition, all students undertake church and community placements throughout their course, allowing us to integrate theoretical and</w:t>
      </w:r>
      <w:r>
        <w:rPr>
          <w:color w:val="231F20"/>
          <w:spacing w:val="16"/>
          <w:w w:val="110"/>
          <w:sz w:val="18"/>
        </w:rPr>
        <w:t> </w:t>
      </w:r>
      <w:r>
        <w:rPr>
          <w:color w:val="231F20"/>
          <w:spacing w:val="2"/>
          <w:w w:val="110"/>
          <w:sz w:val="18"/>
        </w:rPr>
        <w:t>practical </w:t>
      </w:r>
      <w:r>
        <w:rPr>
          <w:color w:val="231F20"/>
          <w:w w:val="110"/>
          <w:sz w:val="18"/>
        </w:rPr>
        <w:t>learning.</w:t>
      </w:r>
    </w:p>
    <w:p>
      <w:pPr>
        <w:pStyle w:val="BodyText"/>
        <w:spacing w:line="273" w:lineRule="auto" w:before="6"/>
        <w:ind w:left="1160" w:right="1132" w:hanging="1"/>
      </w:pPr>
      <w:r>
        <w:rPr>
          <w:color w:val="231F20"/>
          <w:w w:val="110"/>
        </w:rPr>
        <w:t>This pattern of training requires two-three days a week in college for full-time students, and six residential weekends for those training on a part-time basis. The college</w:t>
      </w:r>
    </w:p>
    <w:p>
      <w:pPr>
        <w:pStyle w:val="BodyText"/>
        <w:spacing w:line="273" w:lineRule="auto" w:before="1"/>
        <w:ind w:left="1160" w:right="1132"/>
      </w:pPr>
      <w:r>
        <w:rPr>
          <w:color w:val="231F20"/>
          <w:w w:val="110"/>
        </w:rPr>
        <w:t>time includes reflection on placement experience, group and personal tutorials, and community worship in addition to the academic programme, so always it is a busy and intensive period for both students and staff.</w:t>
      </w:r>
    </w:p>
    <w:p>
      <w:pPr>
        <w:pStyle w:val="BodyText"/>
        <w:spacing w:before="8"/>
        <w:rPr>
          <w:sz w:val="20"/>
        </w:rPr>
      </w:pPr>
    </w:p>
    <w:p>
      <w:pPr>
        <w:pStyle w:val="ListParagraph"/>
        <w:numPr>
          <w:ilvl w:val="1"/>
          <w:numId w:val="230"/>
        </w:numPr>
        <w:tabs>
          <w:tab w:pos="1880" w:val="left" w:leader="none"/>
          <w:tab w:pos="1881" w:val="left" w:leader="none"/>
        </w:tabs>
        <w:spacing w:line="273" w:lineRule="auto" w:before="1" w:after="0"/>
        <w:ind w:left="1160" w:right="1202" w:firstLine="0"/>
        <w:jc w:val="left"/>
        <w:rPr>
          <w:sz w:val="18"/>
        </w:rPr>
      </w:pPr>
      <w:r>
        <w:rPr>
          <w:color w:val="231F20"/>
          <w:w w:val="110"/>
          <w:sz w:val="18"/>
        </w:rPr>
        <w:t>Those who are preparing for Church-related community work follow the weekend programme, with additional teaching and full-time community work placements; and   this </w:t>
      </w:r>
      <w:r>
        <w:rPr>
          <w:color w:val="231F20"/>
          <w:spacing w:val="-4"/>
          <w:w w:val="110"/>
          <w:sz w:val="18"/>
        </w:rPr>
        <w:t>year, </w:t>
      </w:r>
      <w:r>
        <w:rPr>
          <w:color w:val="231F20"/>
          <w:w w:val="110"/>
          <w:sz w:val="18"/>
        </w:rPr>
        <w:t>as last, the programme has been expanded by the </w:t>
      </w:r>
      <w:r>
        <w:rPr>
          <w:color w:val="231F20"/>
          <w:spacing w:val="2"/>
          <w:w w:val="110"/>
          <w:sz w:val="18"/>
        </w:rPr>
        <w:t>presence </w:t>
      </w:r>
      <w:r>
        <w:rPr>
          <w:color w:val="231F20"/>
          <w:w w:val="110"/>
          <w:sz w:val="18"/>
        </w:rPr>
        <w:t>of independent students who have chosen to follow the community work</w:t>
      </w:r>
      <w:r>
        <w:rPr>
          <w:color w:val="231F20"/>
          <w:spacing w:val="29"/>
          <w:w w:val="110"/>
          <w:sz w:val="18"/>
        </w:rPr>
        <w:t> </w:t>
      </w:r>
      <w:r>
        <w:rPr>
          <w:color w:val="231F20"/>
          <w:w w:val="110"/>
          <w:sz w:val="18"/>
        </w:rPr>
        <w:t>course.</w:t>
      </w:r>
    </w:p>
    <w:p>
      <w:pPr>
        <w:pStyle w:val="BodyText"/>
        <w:spacing w:before="9"/>
        <w:rPr>
          <w:sz w:val="20"/>
        </w:rPr>
      </w:pPr>
    </w:p>
    <w:p>
      <w:pPr>
        <w:pStyle w:val="ListParagraph"/>
        <w:numPr>
          <w:ilvl w:val="1"/>
          <w:numId w:val="230"/>
        </w:numPr>
        <w:tabs>
          <w:tab w:pos="1880" w:val="left" w:leader="none"/>
          <w:tab w:pos="1881" w:val="left" w:leader="none"/>
        </w:tabs>
        <w:spacing w:line="273" w:lineRule="auto" w:before="0" w:after="0"/>
        <w:ind w:left="1160" w:right="1358" w:firstLine="0"/>
        <w:jc w:val="left"/>
        <w:rPr>
          <w:sz w:val="18"/>
        </w:rPr>
      </w:pPr>
      <w:r>
        <w:rPr>
          <w:color w:val="231F20"/>
          <w:w w:val="110"/>
          <w:sz w:val="18"/>
        </w:rPr>
        <w:t>For a long time we have been concerned that the library at Luther King House needs redevelopment, along with the provision of adequate space for our students as well as conference guests. A scheme has now been put in place to make this possible, and so redevelopment will be taking place on the site </w:t>
      </w:r>
      <w:r>
        <w:rPr>
          <w:color w:val="231F20"/>
          <w:spacing w:val="2"/>
          <w:w w:val="110"/>
          <w:sz w:val="18"/>
        </w:rPr>
        <w:t>from </w:t>
      </w:r>
      <w:r>
        <w:rPr>
          <w:color w:val="231F20"/>
          <w:w w:val="110"/>
          <w:sz w:val="18"/>
        </w:rPr>
        <w:t>April to August this </w:t>
      </w:r>
      <w:r>
        <w:rPr>
          <w:color w:val="231F20"/>
          <w:spacing w:val="-4"/>
          <w:w w:val="110"/>
          <w:sz w:val="18"/>
        </w:rPr>
        <w:t>year. </w:t>
      </w:r>
      <w:r>
        <w:rPr>
          <w:color w:val="231F20"/>
          <w:w w:val="110"/>
          <w:sz w:val="18"/>
        </w:rPr>
        <w:t>Teaching will continue as normal, although much of the library will be housed in temporary accommodation, and the learning resources tutor is ensuring that as much  of the </w:t>
      </w:r>
      <w:r>
        <w:rPr>
          <w:color w:val="231F20"/>
          <w:spacing w:val="2"/>
          <w:w w:val="110"/>
          <w:sz w:val="18"/>
        </w:rPr>
        <w:t>stock </w:t>
      </w:r>
      <w:r>
        <w:rPr>
          <w:color w:val="231F20"/>
          <w:w w:val="110"/>
          <w:sz w:val="18"/>
        </w:rPr>
        <w:t>as possible will be</w:t>
      </w:r>
      <w:r>
        <w:rPr>
          <w:color w:val="231F20"/>
          <w:spacing w:val="7"/>
          <w:w w:val="110"/>
          <w:sz w:val="18"/>
        </w:rPr>
        <w:t> </w:t>
      </w:r>
      <w:r>
        <w:rPr>
          <w:color w:val="231F20"/>
          <w:w w:val="110"/>
          <w:sz w:val="18"/>
        </w:rPr>
        <w:t>available.</w:t>
      </w:r>
    </w:p>
    <w:p>
      <w:pPr>
        <w:pStyle w:val="BodyText"/>
        <w:spacing w:before="10"/>
        <w:rPr>
          <w:sz w:val="20"/>
        </w:rPr>
      </w:pPr>
    </w:p>
    <w:p>
      <w:pPr>
        <w:pStyle w:val="Heading9"/>
        <w:spacing w:before="1"/>
        <w:ind w:left="1160"/>
      </w:pPr>
      <w:r>
        <w:rPr>
          <w:color w:val="231F20"/>
          <w:w w:val="110"/>
        </w:rPr>
        <w:t>Ecumenical developments</w:t>
      </w:r>
    </w:p>
    <w:p>
      <w:pPr>
        <w:pStyle w:val="BodyText"/>
        <w:tabs>
          <w:tab w:pos="1880" w:val="left" w:leader="none"/>
        </w:tabs>
        <w:spacing w:line="273" w:lineRule="auto" w:before="258"/>
        <w:ind w:left="1160" w:right="1380"/>
      </w:pPr>
      <w:r>
        <w:rPr>
          <w:color w:val="231F20"/>
          <w:spacing w:val="-3"/>
          <w:w w:val="110"/>
        </w:rPr>
        <w:t>2.1</w:t>
        <w:tab/>
      </w:r>
      <w:r>
        <w:rPr>
          <w:color w:val="231F20"/>
          <w:w w:val="110"/>
        </w:rPr>
        <w:t>During this year the Southern Northwest Training Partnership was formed, in which </w:t>
      </w:r>
      <w:r>
        <w:rPr>
          <w:color w:val="231F20"/>
          <w:spacing w:val="2"/>
          <w:w w:val="110"/>
        </w:rPr>
        <w:t>Northern </w:t>
      </w:r>
      <w:r>
        <w:rPr>
          <w:color w:val="231F20"/>
          <w:w w:val="110"/>
        </w:rPr>
        <w:t>College, along with other colleges at Luther King House, the United Reformed Church, the Methodist Church and Baptist Union joins the Manchester, Liverpool and Chester Anglican dioceses in </w:t>
      </w:r>
      <w:r>
        <w:rPr>
          <w:color w:val="231F20"/>
          <w:spacing w:val="2"/>
          <w:w w:val="110"/>
        </w:rPr>
        <w:t>offering </w:t>
      </w:r>
      <w:r>
        <w:rPr>
          <w:color w:val="231F20"/>
          <w:w w:val="110"/>
        </w:rPr>
        <w:t>part-time  ministerial  training </w:t>
      </w:r>
      <w:r>
        <w:rPr>
          <w:color w:val="231F20"/>
          <w:spacing w:val="2"/>
          <w:w w:val="110"/>
        </w:rPr>
        <w:t>across </w:t>
      </w:r>
      <w:r>
        <w:rPr>
          <w:color w:val="231F20"/>
          <w:w w:val="110"/>
        </w:rPr>
        <w:t>the region. This will begin in </w:t>
      </w:r>
      <w:r>
        <w:rPr>
          <w:color w:val="231F20"/>
          <w:spacing w:val="-7"/>
          <w:w w:val="110"/>
        </w:rPr>
        <w:t>2007, </w:t>
      </w:r>
      <w:r>
        <w:rPr>
          <w:color w:val="231F20"/>
          <w:w w:val="110"/>
        </w:rPr>
        <w:t>when part-time students and church-related community workers at </w:t>
      </w:r>
      <w:r>
        <w:rPr>
          <w:color w:val="231F20"/>
          <w:spacing w:val="2"/>
          <w:w w:val="110"/>
        </w:rPr>
        <w:t>Northern </w:t>
      </w:r>
      <w:r>
        <w:rPr>
          <w:color w:val="231F20"/>
          <w:w w:val="110"/>
        </w:rPr>
        <w:t>College will join the new foundation degree, Learning  in</w:t>
      </w:r>
      <w:r>
        <w:rPr>
          <w:color w:val="231F20"/>
          <w:spacing w:val="10"/>
          <w:w w:val="110"/>
        </w:rPr>
        <w:t> </w:t>
      </w:r>
      <w:r>
        <w:rPr>
          <w:color w:val="231F20"/>
          <w:w w:val="110"/>
        </w:rPr>
        <w:t>Ministry</w:t>
      </w:r>
      <w:r>
        <w:rPr>
          <w:color w:val="231F20"/>
          <w:spacing w:val="11"/>
          <w:w w:val="110"/>
        </w:rPr>
        <w:t> </w:t>
      </w:r>
      <w:r>
        <w:rPr>
          <w:color w:val="231F20"/>
          <w:w w:val="110"/>
        </w:rPr>
        <w:t>and</w:t>
      </w:r>
      <w:r>
        <w:rPr>
          <w:color w:val="231F20"/>
          <w:spacing w:val="10"/>
          <w:w w:val="110"/>
        </w:rPr>
        <w:t> </w:t>
      </w:r>
      <w:r>
        <w:rPr>
          <w:color w:val="231F20"/>
          <w:w w:val="110"/>
        </w:rPr>
        <w:t>Mission,</w:t>
      </w:r>
      <w:r>
        <w:rPr>
          <w:color w:val="231F20"/>
          <w:spacing w:val="11"/>
          <w:w w:val="110"/>
        </w:rPr>
        <w:t> </w:t>
      </w:r>
      <w:r>
        <w:rPr>
          <w:color w:val="231F20"/>
          <w:w w:val="110"/>
        </w:rPr>
        <w:t>validated</w:t>
      </w:r>
      <w:r>
        <w:rPr>
          <w:color w:val="231F20"/>
          <w:spacing w:val="10"/>
          <w:w w:val="110"/>
        </w:rPr>
        <w:t> </w:t>
      </w:r>
      <w:r>
        <w:rPr>
          <w:color w:val="231F20"/>
          <w:w w:val="110"/>
        </w:rPr>
        <w:t>jointly</w:t>
      </w:r>
      <w:r>
        <w:rPr>
          <w:color w:val="231F20"/>
          <w:spacing w:val="11"/>
          <w:w w:val="110"/>
        </w:rPr>
        <w:t> </w:t>
      </w:r>
      <w:r>
        <w:rPr>
          <w:color w:val="231F20"/>
          <w:w w:val="110"/>
        </w:rPr>
        <w:t>by</w:t>
      </w:r>
      <w:r>
        <w:rPr>
          <w:color w:val="231F20"/>
          <w:spacing w:val="11"/>
          <w:w w:val="110"/>
        </w:rPr>
        <w:t> </w:t>
      </w:r>
      <w:r>
        <w:rPr>
          <w:color w:val="231F20"/>
          <w:w w:val="110"/>
        </w:rPr>
        <w:t>Chester</w:t>
      </w:r>
      <w:r>
        <w:rPr>
          <w:color w:val="231F20"/>
          <w:spacing w:val="10"/>
          <w:w w:val="110"/>
        </w:rPr>
        <w:t> </w:t>
      </w:r>
      <w:r>
        <w:rPr>
          <w:color w:val="231F20"/>
          <w:w w:val="110"/>
        </w:rPr>
        <w:t>and</w:t>
      </w:r>
      <w:r>
        <w:rPr>
          <w:color w:val="231F20"/>
          <w:spacing w:val="11"/>
          <w:w w:val="110"/>
        </w:rPr>
        <w:t> </w:t>
      </w:r>
      <w:r>
        <w:rPr>
          <w:color w:val="231F20"/>
          <w:w w:val="110"/>
        </w:rPr>
        <w:t>Liverpool</w:t>
      </w:r>
      <w:r>
        <w:rPr>
          <w:color w:val="231F20"/>
          <w:spacing w:val="10"/>
          <w:w w:val="110"/>
        </w:rPr>
        <w:t> </w:t>
      </w:r>
      <w:r>
        <w:rPr>
          <w:color w:val="231F20"/>
          <w:w w:val="110"/>
        </w:rPr>
        <w:t>Hope</w:t>
      </w:r>
      <w:r>
        <w:rPr>
          <w:color w:val="231F20"/>
          <w:spacing w:val="11"/>
          <w:w w:val="110"/>
        </w:rPr>
        <w:t> </w:t>
      </w:r>
      <w:r>
        <w:rPr>
          <w:color w:val="231F20"/>
          <w:w w:val="110"/>
        </w:rPr>
        <w:t>Universities.</w:t>
      </w:r>
    </w:p>
    <w:p>
      <w:pPr>
        <w:pStyle w:val="BodyText"/>
        <w:spacing w:line="273" w:lineRule="auto" w:before="4"/>
        <w:ind w:left="1160" w:right="1132"/>
      </w:pPr>
      <w:r>
        <w:rPr>
          <w:color w:val="231F20"/>
          <w:w w:val="110"/>
        </w:rPr>
        <w:t>The </w:t>
      </w:r>
      <w:r>
        <w:rPr>
          <w:color w:val="231F20"/>
          <w:spacing w:val="2"/>
          <w:w w:val="110"/>
        </w:rPr>
        <w:t>course </w:t>
      </w:r>
      <w:r>
        <w:rPr>
          <w:color w:val="231F20"/>
          <w:w w:val="110"/>
        </w:rPr>
        <w:t>will be delivered through residential weekends and mid-week evening  teaching at a number of centres, with e-learning tutorial groups adding to the residential weekend experience for those studying outside the region. In 2008 we hope to begin a new full-time degree programme which will enable interchangeability between the full  and </w:t>
      </w:r>
      <w:r>
        <w:rPr>
          <w:color w:val="231F20"/>
          <w:spacing w:val="2"/>
          <w:w w:val="110"/>
        </w:rPr>
        <w:t>part </w:t>
      </w:r>
      <w:r>
        <w:rPr>
          <w:color w:val="231F20"/>
          <w:w w:val="110"/>
        </w:rPr>
        <w:t>time programmes, the creation of additional modules, and the development of   a level three programme making it possible for students to </w:t>
      </w:r>
      <w:r>
        <w:rPr>
          <w:color w:val="231F20"/>
          <w:spacing w:val="2"/>
          <w:w w:val="110"/>
        </w:rPr>
        <w:t>progress from </w:t>
      </w:r>
      <w:r>
        <w:rPr>
          <w:color w:val="231F20"/>
          <w:w w:val="110"/>
        </w:rPr>
        <w:t>the foundation degree to a </w:t>
      </w:r>
      <w:r>
        <w:rPr>
          <w:color w:val="231F20"/>
          <w:spacing w:val="2"/>
          <w:w w:val="110"/>
        </w:rPr>
        <w:t>BA. </w:t>
      </w:r>
      <w:r>
        <w:rPr>
          <w:color w:val="231F20"/>
          <w:w w:val="110"/>
        </w:rPr>
        <w:t>Currently we are engaged in writing and developing new</w:t>
      </w:r>
      <w:r>
        <w:rPr>
          <w:color w:val="231F20"/>
          <w:spacing w:val="11"/>
          <w:w w:val="110"/>
        </w:rPr>
        <w:t> </w:t>
      </w:r>
      <w:r>
        <w:rPr>
          <w:color w:val="231F20"/>
          <w:w w:val="110"/>
        </w:rPr>
        <w:t>modules,</w:t>
      </w:r>
    </w:p>
    <w:p>
      <w:pPr>
        <w:pStyle w:val="BodyText"/>
        <w:spacing w:line="273" w:lineRule="auto" w:before="4"/>
        <w:ind w:left="1160" w:right="1555"/>
      </w:pPr>
      <w:r>
        <w:rPr>
          <w:color w:val="231F20"/>
          <w:w w:val="110"/>
        </w:rPr>
        <w:t>as well as all the financial and </w:t>
      </w:r>
      <w:r>
        <w:rPr>
          <w:color w:val="231F20"/>
          <w:spacing w:val="2"/>
          <w:w w:val="110"/>
        </w:rPr>
        <w:t>structural </w:t>
      </w:r>
      <w:r>
        <w:rPr>
          <w:color w:val="231F20"/>
          <w:w w:val="110"/>
        </w:rPr>
        <w:t>negotiations involved in the setting-up of a new course. Both John Campbell, as Principal, and Roy Lowes, representing the wider denomination, are </w:t>
      </w:r>
      <w:r>
        <w:rPr>
          <w:color w:val="231F20"/>
          <w:spacing w:val="2"/>
          <w:w w:val="110"/>
        </w:rPr>
        <w:t>members </w:t>
      </w:r>
      <w:r>
        <w:rPr>
          <w:color w:val="231F20"/>
          <w:w w:val="110"/>
        </w:rPr>
        <w:t>of the Board of </w:t>
      </w:r>
      <w:r>
        <w:rPr>
          <w:color w:val="231F20"/>
          <w:spacing w:val="2"/>
          <w:w w:val="110"/>
        </w:rPr>
        <w:t>Directors </w:t>
      </w:r>
      <w:r>
        <w:rPr>
          <w:color w:val="231F20"/>
          <w:w w:val="110"/>
        </w:rPr>
        <w:t>of the new</w:t>
      </w:r>
      <w:r>
        <w:rPr>
          <w:color w:val="231F20"/>
          <w:spacing w:val="63"/>
          <w:w w:val="110"/>
        </w:rPr>
        <w:t> </w:t>
      </w:r>
      <w:r>
        <w:rPr>
          <w:color w:val="231F20"/>
          <w:w w:val="110"/>
        </w:rPr>
        <w:t>partnership.</w:t>
      </w:r>
    </w:p>
    <w:p>
      <w:pPr>
        <w:spacing w:after="0" w:line="273" w:lineRule="auto"/>
        <w:sectPr>
          <w:pgSz w:w="11910" w:h="16840"/>
          <w:pgMar w:header="558" w:footer="564" w:top="820" w:bottom="760" w:left="540" w:right="0"/>
        </w:sectPr>
      </w:pPr>
    </w:p>
    <w:p>
      <w:pPr>
        <w:pStyle w:val="BodyText"/>
        <w:spacing w:before="5"/>
        <w:rPr>
          <w:sz w:val="12"/>
        </w:rPr>
      </w:pPr>
    </w:p>
    <w:p>
      <w:pPr>
        <w:pStyle w:val="Heading9"/>
        <w:spacing w:before="98"/>
        <w:ind w:left="593"/>
      </w:pPr>
      <w:r>
        <w:rPr>
          <w:color w:val="231F20"/>
          <w:w w:val="110"/>
        </w:rPr>
        <w:t>A resource centre for the URC</w:t>
      </w:r>
    </w:p>
    <w:p>
      <w:pPr>
        <w:pStyle w:val="BodyText"/>
        <w:tabs>
          <w:tab w:pos="1313" w:val="left" w:leader="none"/>
        </w:tabs>
        <w:spacing w:line="273" w:lineRule="auto" w:before="258"/>
        <w:ind w:left="593" w:right="2159"/>
      </w:pPr>
      <w:r>
        <w:rPr>
          <w:color w:val="231F20"/>
          <w:spacing w:val="-4"/>
          <w:w w:val="110"/>
        </w:rPr>
        <w:t>3.1</w:t>
        <w:tab/>
      </w:r>
      <w:r>
        <w:rPr>
          <w:color w:val="231F20"/>
          <w:w w:val="110"/>
        </w:rPr>
        <w:t>Following last year’s Assembly decision, we are seeking to discover the implications of being a </w:t>
      </w:r>
      <w:r>
        <w:rPr>
          <w:color w:val="231F20"/>
          <w:spacing w:val="2"/>
          <w:w w:val="110"/>
        </w:rPr>
        <w:t>resource </w:t>
      </w:r>
      <w:r>
        <w:rPr>
          <w:color w:val="231F20"/>
          <w:w w:val="110"/>
        </w:rPr>
        <w:t>centre for learning for the whole church. Our </w:t>
      </w:r>
      <w:r>
        <w:rPr>
          <w:color w:val="231F20"/>
          <w:spacing w:val="3"/>
          <w:w w:val="110"/>
        </w:rPr>
        <w:t>staff  </w:t>
      </w:r>
      <w:r>
        <w:rPr>
          <w:color w:val="231F20"/>
          <w:w w:val="110"/>
        </w:rPr>
        <w:t>are currently involved in a variety of teaching and learning events, such as ministers’ summer</w:t>
      </w:r>
      <w:r>
        <w:rPr>
          <w:color w:val="231F20"/>
          <w:spacing w:val="8"/>
          <w:w w:val="110"/>
        </w:rPr>
        <w:t> </w:t>
      </w:r>
      <w:r>
        <w:rPr>
          <w:color w:val="231F20"/>
          <w:w w:val="110"/>
        </w:rPr>
        <w:t>schools,</w:t>
      </w:r>
      <w:r>
        <w:rPr>
          <w:color w:val="231F20"/>
          <w:spacing w:val="9"/>
          <w:w w:val="110"/>
        </w:rPr>
        <w:t> </w:t>
      </w:r>
      <w:r>
        <w:rPr>
          <w:color w:val="231F20"/>
          <w:spacing w:val="2"/>
          <w:w w:val="110"/>
        </w:rPr>
        <w:t>courses</w:t>
      </w:r>
      <w:r>
        <w:rPr>
          <w:color w:val="231F20"/>
          <w:spacing w:val="8"/>
          <w:w w:val="110"/>
        </w:rPr>
        <w:t> </w:t>
      </w:r>
      <w:r>
        <w:rPr>
          <w:color w:val="231F20"/>
          <w:w w:val="110"/>
        </w:rPr>
        <w:t>at</w:t>
      </w:r>
      <w:r>
        <w:rPr>
          <w:color w:val="231F20"/>
          <w:spacing w:val="8"/>
          <w:w w:val="110"/>
        </w:rPr>
        <w:t> </w:t>
      </w:r>
      <w:r>
        <w:rPr>
          <w:color w:val="231F20"/>
          <w:w w:val="110"/>
        </w:rPr>
        <w:t>Windermere,</w:t>
      </w:r>
      <w:r>
        <w:rPr>
          <w:color w:val="231F20"/>
          <w:spacing w:val="9"/>
          <w:w w:val="110"/>
        </w:rPr>
        <w:t> </w:t>
      </w:r>
      <w:r>
        <w:rPr>
          <w:color w:val="231F20"/>
          <w:w w:val="110"/>
        </w:rPr>
        <w:t>and</w:t>
      </w:r>
      <w:r>
        <w:rPr>
          <w:color w:val="231F20"/>
          <w:spacing w:val="8"/>
          <w:w w:val="110"/>
        </w:rPr>
        <w:t> </w:t>
      </w:r>
      <w:r>
        <w:rPr>
          <w:color w:val="231F20"/>
          <w:w w:val="110"/>
        </w:rPr>
        <w:t>day</w:t>
      </w:r>
      <w:r>
        <w:rPr>
          <w:color w:val="231F20"/>
          <w:spacing w:val="9"/>
          <w:w w:val="110"/>
        </w:rPr>
        <w:t> </w:t>
      </w:r>
      <w:r>
        <w:rPr>
          <w:color w:val="231F20"/>
          <w:w w:val="110"/>
        </w:rPr>
        <w:t>events</w:t>
      </w:r>
      <w:r>
        <w:rPr>
          <w:color w:val="231F20"/>
          <w:spacing w:val="8"/>
          <w:w w:val="110"/>
        </w:rPr>
        <w:t> </w:t>
      </w:r>
      <w:r>
        <w:rPr>
          <w:color w:val="231F20"/>
          <w:w w:val="110"/>
        </w:rPr>
        <w:t>for</w:t>
      </w:r>
      <w:r>
        <w:rPr>
          <w:color w:val="231F20"/>
          <w:spacing w:val="9"/>
          <w:w w:val="110"/>
        </w:rPr>
        <w:t> </w:t>
      </w:r>
      <w:r>
        <w:rPr>
          <w:color w:val="231F20"/>
          <w:w w:val="110"/>
        </w:rPr>
        <w:t>synods</w:t>
      </w:r>
      <w:r>
        <w:rPr>
          <w:color w:val="231F20"/>
          <w:spacing w:val="8"/>
          <w:w w:val="110"/>
        </w:rPr>
        <w:t> </w:t>
      </w:r>
      <w:r>
        <w:rPr>
          <w:color w:val="231F20"/>
          <w:w w:val="110"/>
        </w:rPr>
        <w:t>and</w:t>
      </w:r>
      <w:r>
        <w:rPr>
          <w:color w:val="231F20"/>
          <w:spacing w:val="9"/>
          <w:w w:val="110"/>
        </w:rPr>
        <w:t> </w:t>
      </w:r>
      <w:r>
        <w:rPr>
          <w:color w:val="231F20"/>
          <w:spacing w:val="2"/>
          <w:w w:val="110"/>
        </w:rPr>
        <w:t>districts.</w:t>
      </w:r>
    </w:p>
    <w:p>
      <w:pPr>
        <w:pStyle w:val="BodyText"/>
        <w:spacing w:line="273" w:lineRule="auto" w:before="3"/>
        <w:ind w:left="593" w:right="1885"/>
      </w:pPr>
      <w:r>
        <w:rPr>
          <w:color w:val="231F20"/>
          <w:w w:val="110"/>
        </w:rPr>
        <w:t>In conjunction with colleagues at Westminster and the </w:t>
      </w:r>
      <w:r>
        <w:rPr>
          <w:color w:val="231F20"/>
          <w:spacing w:val="2"/>
          <w:w w:val="110"/>
        </w:rPr>
        <w:t>Scottish </w:t>
      </w:r>
      <w:r>
        <w:rPr>
          <w:color w:val="231F20"/>
          <w:w w:val="110"/>
        </w:rPr>
        <w:t>College, we are seeking to find ways of co-ordinating what we can </w:t>
      </w:r>
      <w:r>
        <w:rPr>
          <w:color w:val="231F20"/>
          <w:spacing w:val="2"/>
          <w:w w:val="110"/>
        </w:rPr>
        <w:t>offer </w:t>
      </w:r>
      <w:r>
        <w:rPr>
          <w:color w:val="231F20"/>
          <w:w w:val="110"/>
        </w:rPr>
        <w:t>to the churches, to make our </w:t>
      </w:r>
      <w:r>
        <w:rPr>
          <w:color w:val="231F20"/>
          <w:spacing w:val="2"/>
          <w:w w:val="110"/>
        </w:rPr>
        <w:t>resources </w:t>
      </w:r>
      <w:r>
        <w:rPr>
          <w:color w:val="231F20"/>
          <w:w w:val="110"/>
        </w:rPr>
        <w:t>as widely and </w:t>
      </w:r>
      <w:r>
        <w:rPr>
          <w:color w:val="231F20"/>
          <w:spacing w:val="2"/>
          <w:w w:val="110"/>
        </w:rPr>
        <w:t>effectively </w:t>
      </w:r>
      <w:r>
        <w:rPr>
          <w:color w:val="231F20"/>
          <w:w w:val="110"/>
        </w:rPr>
        <w:t>available as possible. </w:t>
      </w:r>
      <w:r>
        <w:rPr>
          <w:color w:val="231F20"/>
          <w:spacing w:val="-3"/>
          <w:w w:val="110"/>
        </w:rPr>
        <w:t>We </w:t>
      </w:r>
      <w:r>
        <w:rPr>
          <w:color w:val="231F20"/>
          <w:w w:val="110"/>
        </w:rPr>
        <w:t>hope, with the help of the Education and Learning Committee, to </w:t>
      </w:r>
      <w:r>
        <w:rPr>
          <w:color w:val="231F20"/>
          <w:spacing w:val="3"/>
          <w:w w:val="110"/>
        </w:rPr>
        <w:t>carry </w:t>
      </w:r>
      <w:r>
        <w:rPr>
          <w:color w:val="231F20"/>
          <w:w w:val="110"/>
        </w:rPr>
        <w:t>out a similar exercise with Training and Development </w:t>
      </w:r>
      <w:r>
        <w:rPr>
          <w:color w:val="231F20"/>
          <w:spacing w:val="2"/>
          <w:w w:val="110"/>
        </w:rPr>
        <w:t>officers </w:t>
      </w:r>
      <w:r>
        <w:rPr>
          <w:color w:val="231F20"/>
          <w:w w:val="110"/>
        </w:rPr>
        <w:t>in synods, and have already established a principle of co-operation written into the job description of the new Yorkshire synod development officer.  </w:t>
      </w:r>
      <w:r>
        <w:rPr>
          <w:color w:val="231F20"/>
          <w:spacing w:val="-3"/>
          <w:w w:val="110"/>
        </w:rPr>
        <w:t>We </w:t>
      </w:r>
      <w:r>
        <w:rPr>
          <w:color w:val="231F20"/>
          <w:w w:val="110"/>
        </w:rPr>
        <w:t>continue to  work extensively with churches in our own denomination, as well as ecumenically, in the provision of placements for students, and greatly value the support of churches in this form of </w:t>
      </w:r>
      <w:r>
        <w:rPr>
          <w:color w:val="231F20"/>
          <w:spacing w:val="2"/>
          <w:w w:val="110"/>
        </w:rPr>
        <w:t>partnership </w:t>
      </w:r>
      <w:r>
        <w:rPr>
          <w:color w:val="231F20"/>
          <w:w w:val="110"/>
        </w:rPr>
        <w:t>in</w:t>
      </w:r>
      <w:r>
        <w:rPr>
          <w:color w:val="231F20"/>
          <w:spacing w:val="2"/>
          <w:w w:val="110"/>
        </w:rPr>
        <w:t> </w:t>
      </w:r>
      <w:r>
        <w:rPr>
          <w:color w:val="231F20"/>
          <w:w w:val="110"/>
        </w:rPr>
        <w:t>training.</w:t>
      </w:r>
    </w:p>
    <w:p>
      <w:pPr>
        <w:pStyle w:val="BodyText"/>
        <w:spacing w:before="11"/>
        <w:rPr>
          <w:sz w:val="20"/>
        </w:rPr>
      </w:pPr>
    </w:p>
    <w:p>
      <w:pPr>
        <w:pStyle w:val="Heading9"/>
        <w:ind w:left="593"/>
      </w:pPr>
      <w:r>
        <w:rPr>
          <w:color w:val="231F20"/>
          <w:w w:val="110"/>
        </w:rPr>
        <w:t>Living in a world church</w:t>
      </w:r>
    </w:p>
    <w:p>
      <w:pPr>
        <w:pStyle w:val="BodyText"/>
        <w:tabs>
          <w:tab w:pos="1313" w:val="left" w:leader="none"/>
        </w:tabs>
        <w:spacing w:line="273" w:lineRule="auto" w:before="259"/>
        <w:ind w:left="593" w:right="1788"/>
      </w:pPr>
      <w:r>
        <w:rPr>
          <w:color w:val="231F20"/>
          <w:spacing w:val="-5"/>
          <w:w w:val="110"/>
        </w:rPr>
        <w:t>4.1</w:t>
        <w:tab/>
      </w:r>
      <w:r>
        <w:rPr>
          <w:color w:val="231F20"/>
          <w:spacing w:val="-3"/>
          <w:w w:val="110"/>
        </w:rPr>
        <w:t>We </w:t>
      </w:r>
      <w:r>
        <w:rPr>
          <w:color w:val="231F20"/>
          <w:w w:val="110"/>
        </w:rPr>
        <w:t>continue to value our links with the world church, and are grateful to the Council for World Mission and the Belonging to the World Church programme which  makes possible the number of links and student visits which we </w:t>
      </w:r>
      <w:r>
        <w:rPr>
          <w:color w:val="231F20"/>
          <w:spacing w:val="-3"/>
          <w:w w:val="110"/>
        </w:rPr>
        <w:t>enjoy.</w:t>
      </w:r>
      <w:r>
        <w:rPr>
          <w:color w:val="231F20"/>
          <w:spacing w:val="63"/>
          <w:w w:val="110"/>
        </w:rPr>
        <w:t> </w:t>
      </w:r>
      <w:r>
        <w:rPr>
          <w:color w:val="231F20"/>
          <w:w w:val="110"/>
        </w:rPr>
        <w:t>During this year one of our students had an eye-opening experience in South </w:t>
      </w:r>
      <w:r>
        <w:rPr>
          <w:color w:val="231F20"/>
          <w:spacing w:val="2"/>
          <w:w w:val="110"/>
        </w:rPr>
        <w:t>Africa </w:t>
      </w:r>
      <w:r>
        <w:rPr>
          <w:color w:val="231F20"/>
          <w:w w:val="110"/>
        </w:rPr>
        <w:t>where the magnitude of the spread of HIV/AIDS was overwhelming. Another spent time in the diocese of Amritsar, first in the </w:t>
      </w:r>
      <w:r>
        <w:rPr>
          <w:color w:val="231F20"/>
          <w:spacing w:val="2"/>
          <w:w w:val="110"/>
        </w:rPr>
        <w:t>city </w:t>
      </w:r>
      <w:r>
        <w:rPr>
          <w:color w:val="231F20"/>
          <w:w w:val="110"/>
        </w:rPr>
        <w:t>itself and then in the foothills of the Himalayas.  This enabled  her to experience the </w:t>
      </w:r>
      <w:r>
        <w:rPr>
          <w:color w:val="231F20"/>
          <w:spacing w:val="2"/>
          <w:w w:val="110"/>
        </w:rPr>
        <w:t>very practical </w:t>
      </w:r>
      <w:r>
        <w:rPr>
          <w:color w:val="231F20"/>
          <w:w w:val="110"/>
        </w:rPr>
        <w:t>nature of the witness of the church of</w:t>
      </w:r>
      <w:r>
        <w:rPr>
          <w:color w:val="231F20"/>
          <w:spacing w:val="8"/>
          <w:w w:val="110"/>
        </w:rPr>
        <w:t> </w:t>
      </w:r>
      <w:r>
        <w:rPr>
          <w:color w:val="231F20"/>
          <w:spacing w:val="2"/>
          <w:w w:val="110"/>
        </w:rPr>
        <w:t>North</w:t>
      </w:r>
    </w:p>
    <w:p>
      <w:pPr>
        <w:pStyle w:val="BodyText"/>
        <w:spacing w:line="273" w:lineRule="auto" w:before="4"/>
        <w:ind w:left="593" w:right="1788"/>
      </w:pPr>
      <w:r>
        <w:rPr>
          <w:color w:val="231F20"/>
          <w:w w:val="110"/>
        </w:rPr>
        <w:t>India and the support it gives to the Dalit community. CWM has continued to sponsor </w:t>
      </w:r>
      <w:r>
        <w:rPr>
          <w:color w:val="231F20"/>
          <w:spacing w:val="2"/>
          <w:w w:val="110"/>
        </w:rPr>
        <w:t>participants </w:t>
      </w:r>
      <w:r>
        <w:rPr>
          <w:color w:val="231F20"/>
          <w:w w:val="110"/>
        </w:rPr>
        <w:t>on our MA programme, and this year our group is enriched by the </w:t>
      </w:r>
      <w:r>
        <w:rPr>
          <w:color w:val="231F20"/>
          <w:spacing w:val="2"/>
          <w:w w:val="110"/>
        </w:rPr>
        <w:t>presence </w:t>
      </w:r>
      <w:r>
        <w:rPr>
          <w:color w:val="231F20"/>
          <w:w w:val="110"/>
        </w:rPr>
        <w:t>of experienced </w:t>
      </w:r>
      <w:r>
        <w:rPr>
          <w:color w:val="231F20"/>
          <w:spacing w:val="2"/>
          <w:w w:val="110"/>
        </w:rPr>
        <w:t>pastors </w:t>
      </w:r>
      <w:r>
        <w:rPr>
          <w:color w:val="231F20"/>
          <w:w w:val="110"/>
        </w:rPr>
        <w:t>and church leaders </w:t>
      </w:r>
      <w:r>
        <w:rPr>
          <w:color w:val="231F20"/>
          <w:spacing w:val="2"/>
          <w:w w:val="110"/>
        </w:rPr>
        <w:t>from </w:t>
      </w:r>
      <w:r>
        <w:rPr>
          <w:color w:val="231F20"/>
          <w:w w:val="110"/>
        </w:rPr>
        <w:t>South </w:t>
      </w:r>
      <w:r>
        <w:rPr>
          <w:color w:val="231F20"/>
          <w:spacing w:val="2"/>
          <w:w w:val="110"/>
        </w:rPr>
        <w:t>Africa </w:t>
      </w:r>
      <w:r>
        <w:rPr>
          <w:color w:val="231F20"/>
          <w:w w:val="110"/>
        </w:rPr>
        <w:t>and</w:t>
      </w:r>
      <w:r>
        <w:rPr>
          <w:color w:val="231F20"/>
          <w:spacing w:val="52"/>
          <w:w w:val="110"/>
        </w:rPr>
        <w:t> </w:t>
      </w:r>
      <w:r>
        <w:rPr>
          <w:color w:val="231F20"/>
          <w:w w:val="110"/>
        </w:rPr>
        <w:t>Madagascar.</w:t>
      </w:r>
    </w:p>
    <w:p>
      <w:pPr>
        <w:pStyle w:val="BodyText"/>
        <w:spacing w:before="8"/>
        <w:rPr>
          <w:sz w:val="20"/>
        </w:rPr>
      </w:pPr>
    </w:p>
    <w:p>
      <w:pPr>
        <w:pStyle w:val="Heading9"/>
        <w:ind w:left="593"/>
      </w:pPr>
      <w:r>
        <w:rPr>
          <w:color w:val="231F20"/>
          <w:w w:val="110"/>
        </w:rPr>
        <w:t>And on into ministry…</w:t>
      </w:r>
    </w:p>
    <w:p>
      <w:pPr>
        <w:pStyle w:val="BodyText"/>
        <w:tabs>
          <w:tab w:pos="1313" w:val="left" w:leader="none"/>
        </w:tabs>
        <w:spacing w:line="273" w:lineRule="auto" w:before="258"/>
        <w:ind w:left="593" w:right="1816"/>
      </w:pPr>
      <w:r>
        <w:rPr>
          <w:color w:val="231F20"/>
          <w:spacing w:val="-4"/>
          <w:w w:val="110"/>
        </w:rPr>
        <w:t>5.1</w:t>
        <w:tab/>
      </w:r>
      <w:r>
        <w:rPr>
          <w:color w:val="231F20"/>
          <w:spacing w:val="2"/>
          <w:w w:val="110"/>
        </w:rPr>
        <w:t>Last </w:t>
      </w:r>
      <w:r>
        <w:rPr>
          <w:color w:val="231F20"/>
          <w:w w:val="110"/>
        </w:rPr>
        <w:t>summer saw several of our students called into pastorates, and others have taken</w:t>
      </w:r>
      <w:r>
        <w:rPr>
          <w:color w:val="231F20"/>
          <w:spacing w:val="6"/>
          <w:w w:val="110"/>
        </w:rPr>
        <w:t> </w:t>
      </w:r>
      <w:r>
        <w:rPr>
          <w:color w:val="231F20"/>
          <w:w w:val="110"/>
        </w:rPr>
        <w:t>up</w:t>
      </w:r>
      <w:r>
        <w:rPr>
          <w:color w:val="231F20"/>
          <w:spacing w:val="7"/>
          <w:w w:val="110"/>
        </w:rPr>
        <w:t> </w:t>
      </w:r>
      <w:r>
        <w:rPr>
          <w:color w:val="231F20"/>
          <w:w w:val="110"/>
        </w:rPr>
        <w:t>their</w:t>
      </w:r>
      <w:r>
        <w:rPr>
          <w:color w:val="231F20"/>
          <w:spacing w:val="6"/>
          <w:w w:val="110"/>
        </w:rPr>
        <w:t> </w:t>
      </w:r>
      <w:r>
        <w:rPr>
          <w:color w:val="231F20"/>
          <w:w w:val="110"/>
        </w:rPr>
        <w:t>ministry</w:t>
      </w:r>
      <w:r>
        <w:rPr>
          <w:color w:val="231F20"/>
          <w:spacing w:val="7"/>
          <w:w w:val="110"/>
        </w:rPr>
        <w:t> </w:t>
      </w:r>
      <w:r>
        <w:rPr>
          <w:color w:val="231F20"/>
          <w:w w:val="110"/>
        </w:rPr>
        <w:t>as</w:t>
      </w:r>
      <w:r>
        <w:rPr>
          <w:color w:val="231F20"/>
          <w:spacing w:val="6"/>
          <w:w w:val="110"/>
        </w:rPr>
        <w:t> </w:t>
      </w:r>
      <w:r>
        <w:rPr>
          <w:color w:val="231F20"/>
          <w:w w:val="110"/>
        </w:rPr>
        <w:t>the</w:t>
      </w:r>
      <w:r>
        <w:rPr>
          <w:color w:val="231F20"/>
          <w:spacing w:val="7"/>
          <w:w w:val="110"/>
        </w:rPr>
        <w:t> </w:t>
      </w:r>
      <w:r>
        <w:rPr>
          <w:color w:val="231F20"/>
          <w:w w:val="110"/>
        </w:rPr>
        <w:t>year</w:t>
      </w:r>
      <w:r>
        <w:rPr>
          <w:color w:val="231F20"/>
          <w:spacing w:val="6"/>
          <w:w w:val="110"/>
        </w:rPr>
        <w:t> </w:t>
      </w:r>
      <w:r>
        <w:rPr>
          <w:color w:val="231F20"/>
          <w:w w:val="110"/>
        </w:rPr>
        <w:t>has</w:t>
      </w:r>
      <w:r>
        <w:rPr>
          <w:color w:val="231F20"/>
          <w:spacing w:val="7"/>
          <w:w w:val="110"/>
        </w:rPr>
        <w:t> </w:t>
      </w:r>
      <w:r>
        <w:rPr>
          <w:color w:val="231F20"/>
          <w:w w:val="110"/>
        </w:rPr>
        <w:t>gone</w:t>
      </w:r>
      <w:r>
        <w:rPr>
          <w:color w:val="231F20"/>
          <w:spacing w:val="6"/>
          <w:w w:val="110"/>
        </w:rPr>
        <w:t> </w:t>
      </w:r>
      <w:r>
        <w:rPr>
          <w:color w:val="231F20"/>
          <w:w w:val="110"/>
        </w:rPr>
        <w:t>on.</w:t>
      </w:r>
      <w:r>
        <w:rPr>
          <w:color w:val="231F20"/>
          <w:spacing w:val="7"/>
          <w:w w:val="110"/>
        </w:rPr>
        <w:t> </w:t>
      </w:r>
      <w:r>
        <w:rPr>
          <w:color w:val="231F20"/>
          <w:w w:val="110"/>
        </w:rPr>
        <w:t>Murray</w:t>
      </w:r>
      <w:r>
        <w:rPr>
          <w:color w:val="231F20"/>
          <w:spacing w:val="6"/>
          <w:w w:val="110"/>
        </w:rPr>
        <w:t> </w:t>
      </w:r>
      <w:r>
        <w:rPr>
          <w:color w:val="231F20"/>
          <w:spacing w:val="2"/>
          <w:w w:val="110"/>
        </w:rPr>
        <w:t>George</w:t>
      </w:r>
      <w:r>
        <w:rPr>
          <w:color w:val="231F20"/>
          <w:spacing w:val="7"/>
          <w:w w:val="110"/>
        </w:rPr>
        <w:t> </w:t>
      </w:r>
      <w:r>
        <w:rPr>
          <w:color w:val="231F20"/>
          <w:w w:val="110"/>
        </w:rPr>
        <w:t>went</w:t>
      </w:r>
      <w:r>
        <w:rPr>
          <w:color w:val="231F20"/>
          <w:spacing w:val="6"/>
          <w:w w:val="110"/>
        </w:rPr>
        <w:t> </w:t>
      </w:r>
      <w:r>
        <w:rPr>
          <w:color w:val="231F20"/>
          <w:w w:val="110"/>
        </w:rPr>
        <w:t>into</w:t>
      </w:r>
      <w:r>
        <w:rPr>
          <w:color w:val="231F20"/>
          <w:spacing w:val="7"/>
          <w:w w:val="110"/>
        </w:rPr>
        <w:t> </w:t>
      </w:r>
      <w:r>
        <w:rPr>
          <w:color w:val="231F20"/>
          <w:w w:val="110"/>
        </w:rPr>
        <w:t>pastorate</w:t>
      </w:r>
    </w:p>
    <w:p>
      <w:pPr>
        <w:pStyle w:val="BodyText"/>
        <w:spacing w:line="273" w:lineRule="auto" w:before="1"/>
        <w:ind w:left="593" w:right="1766"/>
      </w:pPr>
      <w:r>
        <w:rPr>
          <w:color w:val="231F20"/>
          <w:w w:val="110"/>
        </w:rPr>
        <w:t>at </w:t>
      </w:r>
      <w:r>
        <w:rPr>
          <w:color w:val="231F20"/>
          <w:spacing w:val="2"/>
          <w:w w:val="110"/>
        </w:rPr>
        <w:t>Saffron </w:t>
      </w:r>
      <w:r>
        <w:rPr>
          <w:color w:val="231F20"/>
          <w:w w:val="110"/>
        </w:rPr>
        <w:t>Walden, and Jon Sermon at Chelmsford. </w:t>
      </w:r>
      <w:r>
        <w:rPr>
          <w:color w:val="231F20"/>
          <w:spacing w:val="2"/>
          <w:w w:val="110"/>
        </w:rPr>
        <w:t>After </w:t>
      </w:r>
      <w:r>
        <w:rPr>
          <w:color w:val="231F20"/>
          <w:w w:val="110"/>
        </w:rPr>
        <w:t>completing an MA in biblical studies in Sheffield, Gillian Heald commenced a </w:t>
      </w:r>
      <w:r>
        <w:rPr>
          <w:color w:val="231F20"/>
          <w:spacing w:val="2"/>
          <w:w w:val="110"/>
        </w:rPr>
        <w:t>part </w:t>
      </w:r>
      <w:r>
        <w:rPr>
          <w:color w:val="231F20"/>
          <w:w w:val="110"/>
        </w:rPr>
        <w:t>time pastorate in Gainsborough combined with </w:t>
      </w:r>
      <w:r>
        <w:rPr>
          <w:color w:val="231F20"/>
          <w:spacing w:val="2"/>
          <w:w w:val="110"/>
        </w:rPr>
        <w:t>further </w:t>
      </w:r>
      <w:r>
        <w:rPr>
          <w:color w:val="231F20"/>
          <w:w w:val="110"/>
        </w:rPr>
        <w:t>research. Lindsey </w:t>
      </w:r>
      <w:r>
        <w:rPr>
          <w:color w:val="231F20"/>
          <w:spacing w:val="2"/>
          <w:w w:val="110"/>
        </w:rPr>
        <w:t>Cottam </w:t>
      </w:r>
      <w:r>
        <w:rPr>
          <w:color w:val="231F20"/>
          <w:w w:val="110"/>
        </w:rPr>
        <w:t>was called as non-stipendiary minister  in the Fylde and Wyre district, Sheila Coop is working with the Oldham town centre chaplaincy and a pastorate at Macedonia, Failsworth. Anne </w:t>
      </w:r>
      <w:r>
        <w:rPr>
          <w:color w:val="231F20"/>
          <w:spacing w:val="2"/>
          <w:w w:val="110"/>
        </w:rPr>
        <w:t>Bedford </w:t>
      </w:r>
      <w:r>
        <w:rPr>
          <w:color w:val="231F20"/>
          <w:w w:val="110"/>
        </w:rPr>
        <w:t>is a non-stipendiary minister at the pastorate of Hamilton Memorial, Upton and Prenton, including a hospital chaplaincy, and Vic Webb has been called to Wolverton, Milton Keynes. </w:t>
      </w:r>
      <w:r>
        <w:rPr>
          <w:color w:val="231F20"/>
          <w:spacing w:val="-3"/>
          <w:w w:val="110"/>
        </w:rPr>
        <w:t>We </w:t>
      </w:r>
      <w:r>
        <w:rPr>
          <w:color w:val="231F20"/>
          <w:w w:val="110"/>
        </w:rPr>
        <w:t>have also seen three of our students commence Church Related Community Work – Rosie </w:t>
      </w:r>
      <w:r>
        <w:rPr>
          <w:color w:val="231F20"/>
          <w:spacing w:val="2"/>
          <w:w w:val="110"/>
        </w:rPr>
        <w:t>Buxton  </w:t>
      </w:r>
      <w:r>
        <w:rPr>
          <w:color w:val="231F20"/>
          <w:w w:val="110"/>
        </w:rPr>
        <w:t>in Bettws, Newport, Alison Dalton at Poole, and Pat Oliver at </w:t>
      </w:r>
      <w:r>
        <w:rPr>
          <w:color w:val="231F20"/>
          <w:spacing w:val="-4"/>
          <w:w w:val="110"/>
        </w:rPr>
        <w:t>Tonge </w:t>
      </w:r>
      <w:r>
        <w:rPr>
          <w:color w:val="231F20"/>
          <w:spacing w:val="-5"/>
          <w:w w:val="110"/>
        </w:rPr>
        <w:t>Moor, </w:t>
      </w:r>
      <w:r>
        <w:rPr>
          <w:color w:val="231F20"/>
          <w:w w:val="110"/>
        </w:rPr>
        <w:t>Bolton. </w:t>
      </w:r>
      <w:r>
        <w:rPr>
          <w:color w:val="231F20"/>
          <w:spacing w:val="-4"/>
          <w:w w:val="110"/>
        </w:rPr>
        <w:t>We </w:t>
      </w:r>
      <w:r>
        <w:rPr>
          <w:color w:val="231F20"/>
          <w:w w:val="110"/>
        </w:rPr>
        <w:t>wish them all well in their new appointments and future</w:t>
      </w:r>
      <w:r>
        <w:rPr>
          <w:color w:val="231F20"/>
          <w:spacing w:val="25"/>
          <w:w w:val="110"/>
        </w:rPr>
        <w:t> </w:t>
      </w:r>
      <w:r>
        <w:rPr>
          <w:color w:val="231F20"/>
          <w:w w:val="110"/>
        </w:rPr>
        <w:t>ministries.</w:t>
      </w:r>
    </w:p>
    <w:p>
      <w:pPr>
        <w:pStyle w:val="BodyText"/>
        <w:rPr>
          <w:sz w:val="22"/>
        </w:rPr>
      </w:pPr>
    </w:p>
    <w:p>
      <w:pPr>
        <w:pStyle w:val="BodyText"/>
        <w:rPr>
          <w:sz w:val="22"/>
        </w:rPr>
      </w:pPr>
    </w:p>
    <w:p>
      <w:pPr>
        <w:pStyle w:val="BodyText"/>
        <w:rPr>
          <w:sz w:val="22"/>
        </w:rPr>
      </w:pPr>
    </w:p>
    <w:p>
      <w:pPr>
        <w:pStyle w:val="BodyText"/>
        <w:spacing w:before="2"/>
        <w:rPr>
          <w:sz w:val="29"/>
        </w:rPr>
      </w:pPr>
    </w:p>
    <w:p>
      <w:pPr>
        <w:spacing w:before="0"/>
        <w:ind w:left="4010" w:right="4623"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44" w:top="820" w:bottom="760" w:left="540" w:right="0"/>
        </w:sectPr>
      </w:pPr>
    </w:p>
    <w:p>
      <w:pPr>
        <w:spacing w:line="225" w:lineRule="auto" w:before="195"/>
        <w:ind w:left="593" w:right="2026" w:firstLine="0"/>
        <w:jc w:val="left"/>
        <w:rPr>
          <w:b/>
          <w:sz w:val="56"/>
        </w:rPr>
      </w:pPr>
      <w:r>
        <w:rPr>
          <w:b/>
          <w:color w:val="231F20"/>
          <w:sz w:val="56"/>
        </w:rPr>
        <w:t>Scottish United Reformed &amp; Congregational College</w:t>
      </w:r>
    </w:p>
    <w:p>
      <w:pPr>
        <w:pStyle w:val="BodyText"/>
        <w:rPr>
          <w:b/>
          <w:sz w:val="20"/>
        </w:rPr>
      </w:pPr>
    </w:p>
    <w:p>
      <w:pPr>
        <w:spacing w:before="247"/>
        <w:ind w:left="1160" w:right="0" w:firstLine="0"/>
        <w:jc w:val="left"/>
        <w:rPr>
          <w:b/>
          <w:sz w:val="29"/>
        </w:rPr>
      </w:pPr>
      <w:r>
        <w:rPr>
          <w:b/>
          <w:color w:val="231F20"/>
          <w:w w:val="110"/>
          <w:sz w:val="29"/>
        </w:rPr>
        <w:t>The developing relationship</w:t>
      </w:r>
    </w:p>
    <w:p>
      <w:pPr>
        <w:pStyle w:val="ListParagraph"/>
        <w:numPr>
          <w:ilvl w:val="1"/>
          <w:numId w:val="231"/>
        </w:numPr>
        <w:tabs>
          <w:tab w:pos="1880" w:val="left" w:leader="none"/>
          <w:tab w:pos="1881" w:val="left" w:leader="none"/>
        </w:tabs>
        <w:spacing w:line="273" w:lineRule="auto" w:before="258" w:after="0"/>
        <w:ind w:left="1160" w:right="1227" w:firstLine="0"/>
        <w:jc w:val="left"/>
        <w:rPr>
          <w:sz w:val="18"/>
        </w:rPr>
      </w:pPr>
      <w:r>
        <w:rPr>
          <w:color w:val="231F20"/>
          <w:w w:val="110"/>
          <w:sz w:val="18"/>
        </w:rPr>
        <w:t>The decision of last year’s General Assembly to </w:t>
      </w:r>
      <w:r>
        <w:rPr>
          <w:color w:val="231F20"/>
          <w:spacing w:val="2"/>
          <w:w w:val="110"/>
          <w:sz w:val="18"/>
        </w:rPr>
        <w:t>affirm </w:t>
      </w:r>
      <w:r>
        <w:rPr>
          <w:color w:val="231F20"/>
          <w:w w:val="110"/>
          <w:sz w:val="18"/>
        </w:rPr>
        <w:t>our college as one of the three Resource Centres for Learning recognised by the United Reformed Church set a clear context for a major </w:t>
      </w:r>
      <w:r>
        <w:rPr>
          <w:color w:val="231F20"/>
          <w:spacing w:val="2"/>
          <w:w w:val="110"/>
          <w:sz w:val="18"/>
        </w:rPr>
        <w:t>aspect </w:t>
      </w:r>
      <w:r>
        <w:rPr>
          <w:color w:val="231F20"/>
          <w:w w:val="110"/>
          <w:sz w:val="18"/>
        </w:rPr>
        <w:t>of the College’s life and work. </w:t>
      </w:r>
      <w:r>
        <w:rPr>
          <w:color w:val="231F20"/>
          <w:spacing w:val="-3"/>
          <w:w w:val="110"/>
          <w:sz w:val="18"/>
        </w:rPr>
        <w:t>We </w:t>
      </w:r>
      <w:r>
        <w:rPr>
          <w:color w:val="231F20"/>
          <w:w w:val="110"/>
          <w:sz w:val="18"/>
        </w:rPr>
        <w:t>have found the early meetings of the RCLs and with synod training </w:t>
      </w:r>
      <w:r>
        <w:rPr>
          <w:color w:val="231F20"/>
          <w:spacing w:val="2"/>
          <w:w w:val="110"/>
          <w:sz w:val="18"/>
        </w:rPr>
        <w:t>officers </w:t>
      </w:r>
      <w:r>
        <w:rPr>
          <w:color w:val="231F20"/>
          <w:w w:val="110"/>
          <w:sz w:val="18"/>
        </w:rPr>
        <w:t>positive experiences in terms of a common commitment, a willingness to share ideas and </w:t>
      </w:r>
      <w:r>
        <w:rPr>
          <w:color w:val="231F20"/>
          <w:spacing w:val="2"/>
          <w:w w:val="110"/>
          <w:sz w:val="18"/>
        </w:rPr>
        <w:t>resources </w:t>
      </w:r>
      <w:r>
        <w:rPr>
          <w:color w:val="231F20"/>
          <w:w w:val="110"/>
          <w:sz w:val="18"/>
        </w:rPr>
        <w:t>and positive steps to take </w:t>
      </w:r>
      <w:r>
        <w:rPr>
          <w:color w:val="231F20"/>
          <w:spacing w:val="2"/>
          <w:w w:val="110"/>
          <w:sz w:val="18"/>
        </w:rPr>
        <w:t>forward </w:t>
      </w:r>
      <w:r>
        <w:rPr>
          <w:color w:val="231F20"/>
          <w:w w:val="110"/>
          <w:sz w:val="18"/>
        </w:rPr>
        <w:t>the agenda of partnership. </w:t>
      </w:r>
      <w:r>
        <w:rPr>
          <w:color w:val="231F20"/>
          <w:spacing w:val="-3"/>
          <w:w w:val="110"/>
          <w:sz w:val="18"/>
        </w:rPr>
        <w:t>We </w:t>
      </w:r>
      <w:r>
        <w:rPr>
          <w:color w:val="231F20"/>
          <w:w w:val="110"/>
          <w:sz w:val="18"/>
        </w:rPr>
        <w:t>anticipate eagerly participating in growing cooperation and</w:t>
      </w:r>
      <w:r>
        <w:rPr>
          <w:color w:val="231F20"/>
          <w:spacing w:val="2"/>
          <w:w w:val="110"/>
          <w:sz w:val="18"/>
        </w:rPr>
        <w:t> </w:t>
      </w:r>
      <w:r>
        <w:rPr>
          <w:color w:val="231F20"/>
          <w:w w:val="110"/>
          <w:sz w:val="18"/>
        </w:rPr>
        <w:t>collaboration.</w:t>
      </w:r>
    </w:p>
    <w:p>
      <w:pPr>
        <w:pStyle w:val="BodyText"/>
        <w:spacing w:before="11"/>
        <w:rPr>
          <w:sz w:val="20"/>
        </w:rPr>
      </w:pPr>
    </w:p>
    <w:p>
      <w:pPr>
        <w:pStyle w:val="ListParagraph"/>
        <w:numPr>
          <w:ilvl w:val="1"/>
          <w:numId w:val="231"/>
        </w:numPr>
        <w:tabs>
          <w:tab w:pos="1880" w:val="left" w:leader="none"/>
          <w:tab w:pos="1881" w:val="left" w:leader="none"/>
        </w:tabs>
        <w:spacing w:line="273" w:lineRule="auto" w:before="0" w:after="0"/>
        <w:ind w:left="1160" w:right="1532" w:firstLine="0"/>
        <w:jc w:val="left"/>
        <w:rPr>
          <w:sz w:val="18"/>
        </w:rPr>
      </w:pPr>
      <w:r>
        <w:rPr>
          <w:color w:val="231F20"/>
          <w:w w:val="110"/>
          <w:sz w:val="18"/>
        </w:rPr>
        <w:t>The resolutions of last </w:t>
      </w:r>
      <w:r>
        <w:rPr>
          <w:color w:val="231F20"/>
          <w:spacing w:val="-6"/>
          <w:w w:val="110"/>
          <w:sz w:val="18"/>
        </w:rPr>
        <w:t>year, </w:t>
      </w:r>
      <w:r>
        <w:rPr>
          <w:color w:val="231F20"/>
          <w:spacing w:val="-5"/>
          <w:w w:val="110"/>
          <w:sz w:val="18"/>
        </w:rPr>
        <w:t>however, </w:t>
      </w:r>
      <w:r>
        <w:rPr>
          <w:color w:val="231F20"/>
          <w:w w:val="110"/>
          <w:sz w:val="18"/>
        </w:rPr>
        <w:t>did not mark </w:t>
      </w:r>
      <w:r>
        <w:rPr>
          <w:color w:val="231F20"/>
          <w:spacing w:val="-3"/>
          <w:w w:val="110"/>
          <w:sz w:val="18"/>
        </w:rPr>
        <w:t>any </w:t>
      </w:r>
      <w:r>
        <w:rPr>
          <w:color w:val="231F20"/>
          <w:w w:val="110"/>
          <w:sz w:val="18"/>
        </w:rPr>
        <w:t>significant change of direction, but rather a further enabling of our own commitment to developing more integrated learning for the people of God. For some time, we </w:t>
      </w:r>
      <w:r>
        <w:rPr>
          <w:color w:val="231F20"/>
          <w:spacing w:val="-3"/>
          <w:w w:val="110"/>
          <w:sz w:val="18"/>
        </w:rPr>
        <w:t>have </w:t>
      </w:r>
      <w:r>
        <w:rPr>
          <w:color w:val="231F20"/>
          <w:w w:val="110"/>
          <w:sz w:val="18"/>
        </w:rPr>
        <w:t>been endeavouring to </w:t>
      </w:r>
      <w:r>
        <w:rPr>
          <w:color w:val="231F20"/>
          <w:spacing w:val="-3"/>
          <w:w w:val="110"/>
          <w:sz w:val="18"/>
        </w:rPr>
        <w:t>make </w:t>
      </w:r>
      <w:r>
        <w:rPr>
          <w:color w:val="231F20"/>
          <w:w w:val="110"/>
          <w:sz w:val="18"/>
        </w:rPr>
        <w:t>provision that does not segment and separate but encourages</w:t>
      </w:r>
      <w:r>
        <w:rPr>
          <w:color w:val="231F20"/>
          <w:spacing w:val="-15"/>
          <w:w w:val="110"/>
          <w:sz w:val="18"/>
        </w:rPr>
        <w:t> </w:t>
      </w:r>
      <w:r>
        <w:rPr>
          <w:color w:val="231F20"/>
          <w:w w:val="110"/>
          <w:sz w:val="18"/>
        </w:rPr>
        <w:t>learning</w:t>
      </w:r>
    </w:p>
    <w:p>
      <w:pPr>
        <w:pStyle w:val="BodyText"/>
        <w:spacing w:line="273" w:lineRule="auto" w:before="3"/>
        <w:ind w:left="1163" w:right="1289" w:hanging="1"/>
      </w:pPr>
      <w:r>
        <w:rPr>
          <w:color w:val="231F20"/>
          <w:w w:val="110"/>
        </w:rPr>
        <w:t>together. The policy commitment is of course the easier part; it then brings considerable organisational, curricular and pedagogical challenges in terms of applying that commitment and philosophy. We are glad that almost all learning events within the college draw on a broad range of participants.</w:t>
      </w:r>
    </w:p>
    <w:p>
      <w:pPr>
        <w:pStyle w:val="BodyText"/>
        <w:spacing w:before="8"/>
        <w:rPr>
          <w:sz w:val="20"/>
        </w:rPr>
      </w:pPr>
    </w:p>
    <w:p>
      <w:pPr>
        <w:pStyle w:val="Heading9"/>
        <w:ind w:left="1160"/>
      </w:pPr>
      <w:r>
        <w:rPr>
          <w:color w:val="231F20"/>
          <w:w w:val="110"/>
        </w:rPr>
        <w:t>Working with the synod of Scotland</w:t>
      </w:r>
    </w:p>
    <w:p>
      <w:pPr>
        <w:pStyle w:val="ListParagraph"/>
        <w:numPr>
          <w:ilvl w:val="1"/>
          <w:numId w:val="232"/>
        </w:numPr>
        <w:tabs>
          <w:tab w:pos="1880" w:val="left" w:leader="none"/>
          <w:tab w:pos="1881" w:val="left" w:leader="none"/>
        </w:tabs>
        <w:spacing w:line="273" w:lineRule="auto" w:before="258" w:after="0"/>
        <w:ind w:left="1160" w:right="1331" w:firstLine="0"/>
        <w:jc w:val="left"/>
        <w:rPr>
          <w:sz w:val="18"/>
        </w:rPr>
      </w:pPr>
      <w:r>
        <w:rPr>
          <w:color w:val="231F20"/>
          <w:w w:val="110"/>
          <w:sz w:val="18"/>
        </w:rPr>
        <w:t>In relation to ministerial education (particularly </w:t>
      </w:r>
      <w:r>
        <w:rPr>
          <w:color w:val="231F20"/>
          <w:spacing w:val="-7"/>
          <w:w w:val="110"/>
          <w:sz w:val="18"/>
        </w:rPr>
        <w:t>EM1), </w:t>
      </w:r>
      <w:r>
        <w:rPr>
          <w:color w:val="231F20"/>
          <w:w w:val="110"/>
          <w:sz w:val="18"/>
        </w:rPr>
        <w:t>the college </w:t>
      </w:r>
      <w:r>
        <w:rPr>
          <w:color w:val="231F20"/>
          <w:spacing w:val="3"/>
          <w:w w:val="110"/>
          <w:sz w:val="18"/>
        </w:rPr>
        <w:t>acts </w:t>
      </w:r>
      <w:r>
        <w:rPr>
          <w:color w:val="231F20"/>
          <w:w w:val="110"/>
          <w:sz w:val="18"/>
        </w:rPr>
        <w:t>as agent for the whole United Reformed Church, but it has a special relationship with the synod of Scotland. For nigh on 200 years, there has been a </w:t>
      </w:r>
      <w:r>
        <w:rPr>
          <w:color w:val="231F20"/>
          <w:spacing w:val="2"/>
          <w:w w:val="110"/>
          <w:sz w:val="18"/>
        </w:rPr>
        <w:t>strong </w:t>
      </w:r>
      <w:r>
        <w:rPr>
          <w:color w:val="231F20"/>
          <w:w w:val="110"/>
          <w:sz w:val="18"/>
        </w:rPr>
        <w:t>relationship between the college and the (former) union. </w:t>
      </w:r>
      <w:r>
        <w:rPr>
          <w:color w:val="231F20"/>
          <w:spacing w:val="2"/>
          <w:w w:val="110"/>
          <w:sz w:val="18"/>
        </w:rPr>
        <w:t>As </w:t>
      </w:r>
      <w:r>
        <w:rPr>
          <w:color w:val="231F20"/>
          <w:w w:val="110"/>
          <w:sz w:val="18"/>
        </w:rPr>
        <w:t>our understanding of the implications of our shared </w:t>
      </w:r>
      <w:r>
        <w:rPr>
          <w:color w:val="231F20"/>
          <w:spacing w:val="2"/>
          <w:w w:val="110"/>
          <w:sz w:val="18"/>
        </w:rPr>
        <w:t>perspective </w:t>
      </w:r>
      <w:r>
        <w:rPr>
          <w:color w:val="231F20"/>
          <w:w w:val="110"/>
          <w:sz w:val="18"/>
        </w:rPr>
        <w:t>on ministry as the </w:t>
      </w:r>
      <w:r>
        <w:rPr>
          <w:color w:val="231F20"/>
          <w:spacing w:val="2"/>
          <w:w w:val="110"/>
          <w:sz w:val="18"/>
        </w:rPr>
        <w:t>action </w:t>
      </w:r>
      <w:r>
        <w:rPr>
          <w:color w:val="231F20"/>
          <w:w w:val="110"/>
          <w:sz w:val="18"/>
        </w:rPr>
        <w:t>of the whole people of God has grown in more recent years, the commitment of the college to develop a wider learning programme  has</w:t>
      </w:r>
      <w:r>
        <w:rPr>
          <w:color w:val="231F20"/>
          <w:spacing w:val="1"/>
          <w:w w:val="110"/>
          <w:sz w:val="18"/>
        </w:rPr>
        <w:t> </w:t>
      </w:r>
      <w:r>
        <w:rPr>
          <w:color w:val="231F20"/>
          <w:w w:val="110"/>
          <w:sz w:val="18"/>
        </w:rPr>
        <w:t>strengthened.</w:t>
      </w:r>
    </w:p>
    <w:p>
      <w:pPr>
        <w:pStyle w:val="BodyText"/>
        <w:spacing w:before="12"/>
        <w:rPr>
          <w:sz w:val="20"/>
        </w:rPr>
      </w:pPr>
    </w:p>
    <w:p>
      <w:pPr>
        <w:pStyle w:val="ListParagraph"/>
        <w:numPr>
          <w:ilvl w:val="1"/>
          <w:numId w:val="232"/>
        </w:numPr>
        <w:tabs>
          <w:tab w:pos="1880" w:val="left" w:leader="none"/>
          <w:tab w:pos="1881" w:val="left" w:leader="none"/>
        </w:tabs>
        <w:spacing w:line="273" w:lineRule="auto" w:before="0" w:after="0"/>
        <w:ind w:left="1160" w:right="1196" w:firstLine="0"/>
        <w:jc w:val="left"/>
        <w:rPr>
          <w:sz w:val="18"/>
        </w:rPr>
      </w:pPr>
      <w:r>
        <w:rPr>
          <w:color w:val="231F20"/>
          <w:w w:val="110"/>
          <w:sz w:val="18"/>
        </w:rPr>
        <w:t>This has been </w:t>
      </w:r>
      <w:r>
        <w:rPr>
          <w:color w:val="231F20"/>
          <w:spacing w:val="2"/>
          <w:w w:val="110"/>
          <w:sz w:val="18"/>
        </w:rPr>
        <w:t>expressed </w:t>
      </w:r>
      <w:r>
        <w:rPr>
          <w:color w:val="231F20"/>
          <w:w w:val="110"/>
          <w:sz w:val="18"/>
        </w:rPr>
        <w:t>in a </w:t>
      </w:r>
      <w:r>
        <w:rPr>
          <w:color w:val="231F20"/>
          <w:spacing w:val="2"/>
          <w:w w:val="110"/>
          <w:sz w:val="18"/>
        </w:rPr>
        <w:t>reciprocal </w:t>
      </w:r>
      <w:r>
        <w:rPr>
          <w:color w:val="231F20"/>
          <w:w w:val="110"/>
          <w:sz w:val="18"/>
        </w:rPr>
        <w:t>and collaborative agreement between college and synod. The synod, in </w:t>
      </w:r>
      <w:r>
        <w:rPr>
          <w:color w:val="231F20"/>
          <w:spacing w:val="2"/>
          <w:w w:val="110"/>
          <w:sz w:val="18"/>
        </w:rPr>
        <w:t>restructuring </w:t>
      </w:r>
      <w:r>
        <w:rPr>
          <w:color w:val="231F20"/>
          <w:w w:val="110"/>
          <w:sz w:val="18"/>
        </w:rPr>
        <w:t>its organisation, has resolved to develop and deepen its relationship with the college. The college in its turn derives benefit </w:t>
      </w:r>
      <w:r>
        <w:rPr>
          <w:color w:val="231F20"/>
          <w:spacing w:val="2"/>
          <w:w w:val="110"/>
          <w:sz w:val="18"/>
        </w:rPr>
        <w:t>from </w:t>
      </w:r>
      <w:r>
        <w:rPr>
          <w:color w:val="231F20"/>
          <w:w w:val="110"/>
          <w:sz w:val="18"/>
        </w:rPr>
        <w:t>the cooperative commitment and </w:t>
      </w:r>
      <w:r>
        <w:rPr>
          <w:color w:val="231F20"/>
          <w:spacing w:val="2"/>
          <w:w w:val="110"/>
          <w:sz w:val="18"/>
        </w:rPr>
        <w:t>from resources </w:t>
      </w:r>
      <w:r>
        <w:rPr>
          <w:color w:val="231F20"/>
          <w:w w:val="110"/>
          <w:sz w:val="18"/>
        </w:rPr>
        <w:t>that are made</w:t>
      </w:r>
      <w:r>
        <w:rPr>
          <w:color w:val="231F20"/>
          <w:spacing w:val="32"/>
          <w:w w:val="110"/>
          <w:sz w:val="18"/>
        </w:rPr>
        <w:t> </w:t>
      </w:r>
      <w:r>
        <w:rPr>
          <w:color w:val="231F20"/>
          <w:w w:val="110"/>
          <w:sz w:val="18"/>
        </w:rPr>
        <w:t>available.</w:t>
      </w:r>
    </w:p>
    <w:p>
      <w:pPr>
        <w:pStyle w:val="BodyText"/>
        <w:spacing w:before="9"/>
        <w:rPr>
          <w:sz w:val="20"/>
        </w:rPr>
      </w:pPr>
    </w:p>
    <w:p>
      <w:pPr>
        <w:pStyle w:val="ListParagraph"/>
        <w:numPr>
          <w:ilvl w:val="1"/>
          <w:numId w:val="232"/>
        </w:numPr>
        <w:tabs>
          <w:tab w:pos="1880" w:val="left" w:leader="none"/>
          <w:tab w:pos="1881" w:val="left" w:leader="none"/>
        </w:tabs>
        <w:spacing w:line="273" w:lineRule="auto" w:before="0" w:after="0"/>
        <w:ind w:left="1160" w:right="1665" w:firstLine="0"/>
        <w:jc w:val="left"/>
        <w:rPr>
          <w:sz w:val="18"/>
        </w:rPr>
      </w:pPr>
      <w:r>
        <w:rPr>
          <w:color w:val="231F20"/>
          <w:spacing w:val="-3"/>
          <w:w w:val="110"/>
          <w:sz w:val="18"/>
        </w:rPr>
        <w:t>We </w:t>
      </w:r>
      <w:r>
        <w:rPr>
          <w:color w:val="231F20"/>
          <w:w w:val="110"/>
          <w:sz w:val="18"/>
        </w:rPr>
        <w:t>are conscious however that the </w:t>
      </w:r>
      <w:r>
        <w:rPr>
          <w:color w:val="231F20"/>
          <w:spacing w:val="2"/>
          <w:w w:val="110"/>
          <w:sz w:val="18"/>
        </w:rPr>
        <w:t>pattern </w:t>
      </w:r>
      <w:r>
        <w:rPr>
          <w:color w:val="231F20"/>
          <w:w w:val="110"/>
          <w:sz w:val="18"/>
        </w:rPr>
        <w:t>of Resource Centres for Learning </w:t>
      </w:r>
      <w:r>
        <w:rPr>
          <w:color w:val="231F20"/>
          <w:spacing w:val="3"/>
          <w:w w:val="110"/>
          <w:sz w:val="18"/>
        </w:rPr>
        <w:t>offers </w:t>
      </w:r>
      <w:r>
        <w:rPr>
          <w:color w:val="231F20"/>
          <w:w w:val="110"/>
          <w:sz w:val="18"/>
        </w:rPr>
        <w:t>synods not simply an educational </w:t>
      </w:r>
      <w:r>
        <w:rPr>
          <w:color w:val="231F20"/>
          <w:spacing w:val="2"/>
          <w:w w:val="110"/>
          <w:sz w:val="18"/>
        </w:rPr>
        <w:t>partner </w:t>
      </w:r>
      <w:r>
        <w:rPr>
          <w:color w:val="231F20"/>
          <w:w w:val="110"/>
          <w:sz w:val="18"/>
        </w:rPr>
        <w:t>but also an </w:t>
      </w:r>
      <w:r>
        <w:rPr>
          <w:color w:val="231F20"/>
          <w:spacing w:val="2"/>
          <w:w w:val="110"/>
          <w:sz w:val="18"/>
        </w:rPr>
        <w:t>entry </w:t>
      </w:r>
      <w:r>
        <w:rPr>
          <w:color w:val="231F20"/>
          <w:w w:val="110"/>
          <w:sz w:val="18"/>
        </w:rPr>
        <w:t>point into the </w:t>
      </w:r>
      <w:r>
        <w:rPr>
          <w:color w:val="231F20"/>
          <w:spacing w:val="2"/>
          <w:w w:val="110"/>
          <w:sz w:val="18"/>
        </w:rPr>
        <w:t>resources </w:t>
      </w:r>
      <w:r>
        <w:rPr>
          <w:color w:val="231F20"/>
          <w:w w:val="110"/>
          <w:sz w:val="18"/>
        </w:rPr>
        <w:t>of each college, wherever situated, and we look </w:t>
      </w:r>
      <w:r>
        <w:rPr>
          <w:color w:val="231F20"/>
          <w:spacing w:val="2"/>
          <w:w w:val="110"/>
          <w:sz w:val="18"/>
        </w:rPr>
        <w:t>forward </w:t>
      </w:r>
      <w:r>
        <w:rPr>
          <w:color w:val="231F20"/>
          <w:w w:val="110"/>
          <w:sz w:val="18"/>
        </w:rPr>
        <w:t>to seeing and fostering the potential of this</w:t>
      </w:r>
      <w:r>
        <w:rPr>
          <w:color w:val="231F20"/>
          <w:spacing w:val="9"/>
          <w:w w:val="110"/>
          <w:sz w:val="18"/>
        </w:rPr>
        <w:t> </w:t>
      </w:r>
      <w:r>
        <w:rPr>
          <w:color w:val="231F20"/>
          <w:w w:val="110"/>
          <w:sz w:val="18"/>
        </w:rPr>
        <w:t>development.</w:t>
      </w:r>
    </w:p>
    <w:p>
      <w:pPr>
        <w:pStyle w:val="BodyText"/>
        <w:spacing w:before="9"/>
        <w:rPr>
          <w:sz w:val="20"/>
        </w:rPr>
      </w:pPr>
    </w:p>
    <w:p>
      <w:pPr>
        <w:pStyle w:val="Heading9"/>
        <w:ind w:left="1160"/>
      </w:pPr>
      <w:r>
        <w:rPr>
          <w:color w:val="231F20"/>
          <w:w w:val="110"/>
        </w:rPr>
        <w:t>Staffing</w:t>
      </w:r>
    </w:p>
    <w:p>
      <w:pPr>
        <w:pStyle w:val="ListParagraph"/>
        <w:numPr>
          <w:ilvl w:val="1"/>
          <w:numId w:val="233"/>
        </w:numPr>
        <w:tabs>
          <w:tab w:pos="1880" w:val="left" w:leader="none"/>
          <w:tab w:pos="1881" w:val="left" w:leader="none"/>
        </w:tabs>
        <w:spacing w:line="273" w:lineRule="auto" w:before="258" w:after="0"/>
        <w:ind w:left="1160" w:right="1398" w:firstLine="0"/>
        <w:jc w:val="left"/>
        <w:rPr>
          <w:sz w:val="18"/>
        </w:rPr>
      </w:pPr>
      <w:r>
        <w:rPr>
          <w:color w:val="231F20"/>
          <w:w w:val="110"/>
          <w:sz w:val="18"/>
        </w:rPr>
        <w:t>The Principal, The Revd Dr Jack Dyce, has been awarded the degree of </w:t>
      </w:r>
      <w:r>
        <w:rPr>
          <w:color w:val="231F20"/>
          <w:spacing w:val="2"/>
          <w:w w:val="110"/>
          <w:sz w:val="18"/>
        </w:rPr>
        <w:t>Doctor  </w:t>
      </w:r>
      <w:r>
        <w:rPr>
          <w:color w:val="231F20"/>
          <w:w w:val="110"/>
          <w:sz w:val="18"/>
        </w:rPr>
        <w:t>of Philosophy in the Faculty of Education of Glasgow University for a thesis entitled “</w:t>
      </w:r>
      <w:r>
        <w:rPr>
          <w:i/>
          <w:color w:val="231F20"/>
          <w:w w:val="110"/>
          <w:sz w:val="18"/>
        </w:rPr>
        <w:t>Menneske </w:t>
      </w:r>
      <w:r>
        <w:rPr>
          <w:i/>
          <w:color w:val="231F20"/>
          <w:spacing w:val="2"/>
          <w:w w:val="110"/>
          <w:sz w:val="18"/>
        </w:rPr>
        <w:t>først </w:t>
      </w:r>
      <w:r>
        <w:rPr>
          <w:i/>
          <w:color w:val="231F20"/>
          <w:w w:val="110"/>
          <w:sz w:val="18"/>
        </w:rPr>
        <w:t>og Christen </w:t>
      </w:r>
      <w:r>
        <w:rPr>
          <w:i/>
          <w:color w:val="231F20"/>
          <w:spacing w:val="-3"/>
          <w:w w:val="110"/>
          <w:sz w:val="18"/>
        </w:rPr>
        <w:t>så: </w:t>
      </w:r>
      <w:r>
        <w:rPr>
          <w:color w:val="231F20"/>
          <w:spacing w:val="2"/>
          <w:w w:val="110"/>
          <w:sz w:val="18"/>
        </w:rPr>
        <w:t>First </w:t>
      </w:r>
      <w:r>
        <w:rPr>
          <w:color w:val="231F20"/>
          <w:w w:val="110"/>
          <w:sz w:val="18"/>
        </w:rPr>
        <w:t>a human being, then a Christian – a contribution </w:t>
      </w:r>
      <w:r>
        <w:rPr>
          <w:color w:val="231F20"/>
          <w:spacing w:val="2"/>
          <w:w w:val="110"/>
          <w:sz w:val="18"/>
        </w:rPr>
        <w:t>from </w:t>
      </w:r>
      <w:r>
        <w:rPr>
          <w:color w:val="231F20"/>
          <w:w w:val="110"/>
          <w:sz w:val="18"/>
        </w:rPr>
        <w:t>a ‘grundtvigian’ </w:t>
      </w:r>
      <w:r>
        <w:rPr>
          <w:color w:val="231F20"/>
          <w:spacing w:val="2"/>
          <w:w w:val="110"/>
          <w:sz w:val="18"/>
        </w:rPr>
        <w:t>perspective </w:t>
      </w:r>
      <w:r>
        <w:rPr>
          <w:color w:val="231F20"/>
          <w:w w:val="110"/>
          <w:sz w:val="18"/>
        </w:rPr>
        <w:t>to the development of a more </w:t>
      </w:r>
      <w:r>
        <w:rPr>
          <w:color w:val="231F20"/>
          <w:spacing w:val="2"/>
          <w:w w:val="110"/>
          <w:sz w:val="18"/>
        </w:rPr>
        <w:t>‘folk’ </w:t>
      </w:r>
      <w:r>
        <w:rPr>
          <w:color w:val="231F20"/>
          <w:w w:val="110"/>
          <w:sz w:val="18"/>
        </w:rPr>
        <w:t>lay theological education in</w:t>
      </w:r>
      <w:r>
        <w:rPr>
          <w:color w:val="231F20"/>
          <w:spacing w:val="2"/>
          <w:w w:val="110"/>
          <w:sz w:val="18"/>
        </w:rPr>
        <w:t> </w:t>
      </w:r>
      <w:r>
        <w:rPr>
          <w:color w:val="231F20"/>
          <w:w w:val="110"/>
          <w:sz w:val="18"/>
        </w:rPr>
        <w:t>Scotland”.</w:t>
      </w:r>
    </w:p>
    <w:p>
      <w:pPr>
        <w:pStyle w:val="BodyText"/>
        <w:spacing w:before="10"/>
        <w:rPr>
          <w:sz w:val="20"/>
        </w:rPr>
      </w:pPr>
    </w:p>
    <w:p>
      <w:pPr>
        <w:pStyle w:val="ListParagraph"/>
        <w:numPr>
          <w:ilvl w:val="1"/>
          <w:numId w:val="233"/>
        </w:numPr>
        <w:tabs>
          <w:tab w:pos="1881" w:val="left" w:leader="none"/>
        </w:tabs>
        <w:spacing w:line="273" w:lineRule="auto" w:before="0" w:after="0"/>
        <w:ind w:left="1160" w:right="1397" w:firstLine="0"/>
        <w:jc w:val="both"/>
        <w:rPr>
          <w:sz w:val="18"/>
        </w:rPr>
      </w:pPr>
      <w:r>
        <w:rPr>
          <w:color w:val="231F20"/>
          <w:w w:val="110"/>
          <w:sz w:val="18"/>
        </w:rPr>
        <w:t>The College has </w:t>
      </w:r>
      <w:r>
        <w:rPr>
          <w:color w:val="231F20"/>
          <w:spacing w:val="2"/>
          <w:w w:val="110"/>
          <w:sz w:val="18"/>
        </w:rPr>
        <w:t>partnered </w:t>
      </w:r>
      <w:r>
        <w:rPr>
          <w:color w:val="231F20"/>
          <w:w w:val="110"/>
          <w:sz w:val="18"/>
        </w:rPr>
        <w:t>with Morningside United Church (Church of Scotland and the United Reformed Church) in Edinburgh in an application for a special </w:t>
      </w:r>
      <w:r>
        <w:rPr>
          <w:color w:val="231F20"/>
          <w:spacing w:val="2"/>
          <w:w w:val="110"/>
          <w:sz w:val="18"/>
        </w:rPr>
        <w:t>category </w:t>
      </w:r>
      <w:r>
        <w:rPr>
          <w:color w:val="231F20"/>
          <w:w w:val="110"/>
          <w:sz w:val="18"/>
        </w:rPr>
        <w:t>ministry</w:t>
      </w:r>
      <w:r>
        <w:rPr>
          <w:color w:val="231F20"/>
          <w:spacing w:val="10"/>
          <w:w w:val="110"/>
          <w:sz w:val="18"/>
        </w:rPr>
        <w:t> </w:t>
      </w:r>
      <w:r>
        <w:rPr>
          <w:color w:val="231F20"/>
          <w:w w:val="110"/>
          <w:sz w:val="18"/>
        </w:rPr>
        <w:t>post</w:t>
      </w:r>
      <w:r>
        <w:rPr>
          <w:color w:val="231F20"/>
          <w:spacing w:val="10"/>
          <w:w w:val="110"/>
          <w:sz w:val="18"/>
        </w:rPr>
        <w:t> </w:t>
      </w:r>
      <w:r>
        <w:rPr>
          <w:color w:val="231F20"/>
          <w:w w:val="110"/>
          <w:sz w:val="18"/>
        </w:rPr>
        <w:t>which</w:t>
      </w:r>
      <w:r>
        <w:rPr>
          <w:color w:val="231F20"/>
          <w:spacing w:val="11"/>
          <w:w w:val="110"/>
          <w:sz w:val="18"/>
        </w:rPr>
        <w:t> </w:t>
      </w:r>
      <w:r>
        <w:rPr>
          <w:color w:val="231F20"/>
          <w:w w:val="110"/>
          <w:sz w:val="18"/>
        </w:rPr>
        <w:t>would</w:t>
      </w:r>
      <w:r>
        <w:rPr>
          <w:color w:val="231F20"/>
          <w:spacing w:val="10"/>
          <w:w w:val="110"/>
          <w:sz w:val="18"/>
        </w:rPr>
        <w:t> </w:t>
      </w:r>
      <w:r>
        <w:rPr>
          <w:color w:val="231F20"/>
          <w:w w:val="110"/>
          <w:sz w:val="18"/>
        </w:rPr>
        <w:t>create</w:t>
      </w:r>
      <w:r>
        <w:rPr>
          <w:color w:val="231F20"/>
          <w:spacing w:val="11"/>
          <w:w w:val="110"/>
          <w:sz w:val="18"/>
        </w:rPr>
        <w:t> </w:t>
      </w:r>
      <w:r>
        <w:rPr>
          <w:color w:val="231F20"/>
          <w:w w:val="110"/>
          <w:sz w:val="18"/>
        </w:rPr>
        <w:t>a</w:t>
      </w:r>
      <w:r>
        <w:rPr>
          <w:color w:val="231F20"/>
          <w:spacing w:val="10"/>
          <w:w w:val="110"/>
          <w:sz w:val="18"/>
        </w:rPr>
        <w:t> </w:t>
      </w:r>
      <w:r>
        <w:rPr>
          <w:color w:val="231F20"/>
          <w:w w:val="110"/>
          <w:sz w:val="18"/>
        </w:rPr>
        <w:t>ministry</w:t>
      </w:r>
      <w:r>
        <w:rPr>
          <w:color w:val="231F20"/>
          <w:spacing w:val="11"/>
          <w:w w:val="110"/>
          <w:sz w:val="18"/>
        </w:rPr>
        <w:t> </w:t>
      </w:r>
      <w:r>
        <w:rPr>
          <w:color w:val="231F20"/>
          <w:spacing w:val="2"/>
          <w:w w:val="110"/>
          <w:sz w:val="18"/>
        </w:rPr>
        <w:t>resource</w:t>
      </w:r>
      <w:r>
        <w:rPr>
          <w:color w:val="231F20"/>
          <w:spacing w:val="10"/>
          <w:w w:val="110"/>
          <w:sz w:val="18"/>
        </w:rPr>
        <w:t> </w:t>
      </w:r>
      <w:r>
        <w:rPr>
          <w:color w:val="231F20"/>
          <w:spacing w:val="2"/>
          <w:w w:val="110"/>
          <w:sz w:val="18"/>
        </w:rPr>
        <w:t>focused</w:t>
      </w:r>
      <w:r>
        <w:rPr>
          <w:color w:val="231F20"/>
          <w:spacing w:val="11"/>
          <w:w w:val="110"/>
          <w:sz w:val="18"/>
        </w:rPr>
        <w:t> </w:t>
      </w:r>
      <w:r>
        <w:rPr>
          <w:color w:val="231F20"/>
          <w:w w:val="110"/>
          <w:sz w:val="18"/>
        </w:rPr>
        <w:t>on</w:t>
      </w:r>
      <w:r>
        <w:rPr>
          <w:color w:val="231F20"/>
          <w:spacing w:val="10"/>
          <w:w w:val="110"/>
          <w:sz w:val="18"/>
        </w:rPr>
        <w:t> </w:t>
      </w:r>
      <w:r>
        <w:rPr>
          <w:color w:val="231F20"/>
          <w:w w:val="110"/>
          <w:sz w:val="18"/>
        </w:rPr>
        <w:t>ministry</w:t>
      </w:r>
      <w:r>
        <w:rPr>
          <w:color w:val="231F20"/>
          <w:spacing w:val="11"/>
          <w:w w:val="110"/>
          <w:sz w:val="18"/>
        </w:rPr>
        <w:t> </w:t>
      </w:r>
      <w:r>
        <w:rPr>
          <w:color w:val="231F20"/>
          <w:w w:val="110"/>
          <w:sz w:val="18"/>
        </w:rPr>
        <w:t>with</w:t>
      </w:r>
      <w:r>
        <w:rPr>
          <w:color w:val="231F20"/>
          <w:spacing w:val="10"/>
          <w:w w:val="110"/>
          <w:sz w:val="18"/>
        </w:rPr>
        <w:t> </w:t>
      </w:r>
      <w:r>
        <w:rPr>
          <w:color w:val="231F20"/>
          <w:w w:val="110"/>
          <w:sz w:val="18"/>
        </w:rPr>
        <w:t>older</w:t>
      </w:r>
    </w:p>
    <w:p>
      <w:pPr>
        <w:spacing w:after="0" w:line="273" w:lineRule="auto"/>
        <w:jc w:val="both"/>
        <w:rPr>
          <w:sz w:val="18"/>
        </w:rPr>
        <w:sectPr>
          <w:pgSz w:w="11910" w:h="16840"/>
          <w:pgMar w:header="558" w:footer="564" w:top="820" w:bottom="760" w:left="540" w:right="0"/>
        </w:sectPr>
      </w:pPr>
    </w:p>
    <w:p>
      <w:pPr>
        <w:pStyle w:val="BodyText"/>
        <w:spacing w:before="9"/>
        <w:rPr>
          <w:sz w:val="13"/>
        </w:rPr>
      </w:pPr>
    </w:p>
    <w:p>
      <w:pPr>
        <w:pStyle w:val="BodyText"/>
        <w:spacing w:line="273" w:lineRule="auto" w:before="101"/>
        <w:ind w:left="593" w:right="1940"/>
      </w:pPr>
      <w:r>
        <w:rPr>
          <w:color w:val="231F20"/>
          <w:w w:val="110"/>
        </w:rPr>
        <w:t>people. This would build on work being done in that church and parish, particularly with the frail elderly, and in the college around the spirituality of older people, ministry with older people and educational gerontology. If approved in its submitted form, the post would make available 0.2 full time equivalent staffing within the college dedicated to education and training in this specialism.</w:t>
      </w:r>
    </w:p>
    <w:p>
      <w:pPr>
        <w:pStyle w:val="BodyText"/>
        <w:spacing w:before="9"/>
        <w:rPr>
          <w:sz w:val="20"/>
        </w:rPr>
      </w:pPr>
    </w:p>
    <w:p>
      <w:pPr>
        <w:pStyle w:val="ListParagraph"/>
        <w:numPr>
          <w:ilvl w:val="1"/>
          <w:numId w:val="233"/>
        </w:numPr>
        <w:tabs>
          <w:tab w:pos="1313" w:val="left" w:leader="none"/>
          <w:tab w:pos="1314" w:val="left" w:leader="none"/>
        </w:tabs>
        <w:spacing w:line="273" w:lineRule="auto" w:before="1" w:after="0"/>
        <w:ind w:left="593" w:right="1905" w:firstLine="0"/>
        <w:jc w:val="left"/>
        <w:rPr>
          <w:sz w:val="18"/>
        </w:rPr>
      </w:pPr>
      <w:r>
        <w:rPr>
          <w:color w:val="231F20"/>
          <w:w w:val="110"/>
          <w:sz w:val="18"/>
        </w:rPr>
        <w:t>Our college is </w:t>
      </w:r>
      <w:r>
        <w:rPr>
          <w:color w:val="231F20"/>
          <w:spacing w:val="2"/>
          <w:w w:val="110"/>
          <w:sz w:val="18"/>
        </w:rPr>
        <w:t>very </w:t>
      </w:r>
      <w:r>
        <w:rPr>
          <w:color w:val="231F20"/>
          <w:w w:val="110"/>
          <w:sz w:val="18"/>
        </w:rPr>
        <w:t>small in terms of </w:t>
      </w:r>
      <w:r>
        <w:rPr>
          <w:color w:val="231F20"/>
          <w:spacing w:val="2"/>
          <w:w w:val="110"/>
          <w:sz w:val="18"/>
        </w:rPr>
        <w:t>staffing </w:t>
      </w:r>
      <w:r>
        <w:rPr>
          <w:color w:val="231F20"/>
          <w:w w:val="110"/>
          <w:sz w:val="18"/>
        </w:rPr>
        <w:t>and yet undertakes an extensive range of responsibilities, including those which are otherwise undertaken by training </w:t>
      </w:r>
      <w:r>
        <w:rPr>
          <w:color w:val="231F20"/>
          <w:spacing w:val="2"/>
          <w:w w:val="110"/>
          <w:sz w:val="18"/>
        </w:rPr>
        <w:t>officers </w:t>
      </w:r>
      <w:r>
        <w:rPr>
          <w:color w:val="231F20"/>
          <w:w w:val="110"/>
          <w:sz w:val="18"/>
        </w:rPr>
        <w:t>in other synods. Our ability to utilise the theological </w:t>
      </w:r>
      <w:r>
        <w:rPr>
          <w:color w:val="231F20"/>
          <w:spacing w:val="2"/>
          <w:w w:val="110"/>
          <w:sz w:val="18"/>
        </w:rPr>
        <w:t>resources </w:t>
      </w:r>
      <w:r>
        <w:rPr>
          <w:color w:val="231F20"/>
          <w:w w:val="110"/>
          <w:sz w:val="18"/>
        </w:rPr>
        <w:t>in the </w:t>
      </w:r>
      <w:r>
        <w:rPr>
          <w:color w:val="231F20"/>
          <w:spacing w:val="2"/>
          <w:w w:val="110"/>
          <w:sz w:val="18"/>
        </w:rPr>
        <w:t>Scottish </w:t>
      </w:r>
      <w:r>
        <w:rPr>
          <w:color w:val="231F20"/>
          <w:w w:val="110"/>
          <w:sz w:val="18"/>
        </w:rPr>
        <w:t>universities and to draw on the knowledge and skills of people within the United Reformed Church synod and ecumenically does allow us to </w:t>
      </w:r>
      <w:r>
        <w:rPr>
          <w:color w:val="231F20"/>
          <w:spacing w:val="2"/>
          <w:w w:val="110"/>
          <w:sz w:val="18"/>
        </w:rPr>
        <w:t>offer </w:t>
      </w:r>
      <w:r>
        <w:rPr>
          <w:color w:val="231F20"/>
          <w:w w:val="110"/>
          <w:sz w:val="18"/>
        </w:rPr>
        <w:t>more than internally  we could manage alone and at the same time provides the flexibility of not being   bound to fixed </w:t>
      </w:r>
      <w:r>
        <w:rPr>
          <w:color w:val="231F20"/>
          <w:spacing w:val="2"/>
          <w:w w:val="110"/>
          <w:sz w:val="18"/>
        </w:rPr>
        <w:t>staffing </w:t>
      </w:r>
      <w:r>
        <w:rPr>
          <w:color w:val="231F20"/>
          <w:w w:val="110"/>
          <w:sz w:val="18"/>
        </w:rPr>
        <w:t>specialisms. </w:t>
      </w:r>
      <w:r>
        <w:rPr>
          <w:color w:val="231F20"/>
          <w:spacing w:val="-3"/>
          <w:w w:val="110"/>
          <w:sz w:val="18"/>
        </w:rPr>
        <w:t>We </w:t>
      </w:r>
      <w:r>
        <w:rPr>
          <w:color w:val="231F20"/>
          <w:w w:val="110"/>
          <w:sz w:val="18"/>
        </w:rPr>
        <w:t>are conscious nonetheless that much strategic development may be contingent upon resourcing additional</w:t>
      </w:r>
      <w:r>
        <w:rPr>
          <w:color w:val="231F20"/>
          <w:spacing w:val="32"/>
          <w:w w:val="110"/>
          <w:sz w:val="18"/>
        </w:rPr>
        <w:t> </w:t>
      </w:r>
      <w:r>
        <w:rPr>
          <w:color w:val="231F20"/>
          <w:w w:val="110"/>
          <w:sz w:val="18"/>
        </w:rPr>
        <w:t>personnel.</w:t>
      </w:r>
    </w:p>
    <w:p>
      <w:pPr>
        <w:pStyle w:val="BodyText"/>
        <w:spacing w:before="11"/>
        <w:rPr>
          <w:sz w:val="20"/>
        </w:rPr>
      </w:pPr>
    </w:p>
    <w:p>
      <w:pPr>
        <w:pStyle w:val="Heading9"/>
        <w:ind w:left="593"/>
      </w:pPr>
      <w:r>
        <w:rPr>
          <w:color w:val="231F20"/>
          <w:w w:val="110"/>
        </w:rPr>
        <w:t>Educational provision</w:t>
      </w:r>
    </w:p>
    <w:p>
      <w:pPr>
        <w:pStyle w:val="ListParagraph"/>
        <w:numPr>
          <w:ilvl w:val="1"/>
          <w:numId w:val="234"/>
        </w:numPr>
        <w:tabs>
          <w:tab w:pos="1313" w:val="left" w:leader="none"/>
          <w:tab w:pos="1314" w:val="left" w:leader="none"/>
        </w:tabs>
        <w:spacing w:line="273" w:lineRule="auto" w:before="258" w:after="0"/>
        <w:ind w:left="593" w:right="2153" w:firstLine="0"/>
        <w:jc w:val="left"/>
        <w:rPr>
          <w:sz w:val="18"/>
        </w:rPr>
      </w:pPr>
      <w:r>
        <w:rPr>
          <w:color w:val="231F20"/>
          <w:w w:val="110"/>
          <w:sz w:val="18"/>
        </w:rPr>
        <w:t>In the </w:t>
      </w:r>
      <w:r>
        <w:rPr>
          <w:color w:val="231F20"/>
          <w:spacing w:val="2"/>
          <w:w w:val="110"/>
          <w:sz w:val="18"/>
        </w:rPr>
        <w:t>course </w:t>
      </w:r>
      <w:r>
        <w:rPr>
          <w:color w:val="231F20"/>
          <w:w w:val="110"/>
          <w:sz w:val="18"/>
        </w:rPr>
        <w:t>of the last academic </w:t>
      </w:r>
      <w:r>
        <w:rPr>
          <w:color w:val="231F20"/>
          <w:spacing w:val="-4"/>
          <w:w w:val="110"/>
          <w:sz w:val="18"/>
        </w:rPr>
        <w:t>year, </w:t>
      </w:r>
      <w:r>
        <w:rPr>
          <w:color w:val="231F20"/>
          <w:w w:val="110"/>
          <w:sz w:val="18"/>
        </w:rPr>
        <w:t>we have </w:t>
      </w:r>
      <w:r>
        <w:rPr>
          <w:color w:val="231F20"/>
          <w:spacing w:val="3"/>
          <w:w w:val="110"/>
          <w:sz w:val="18"/>
        </w:rPr>
        <w:t>offered </w:t>
      </w:r>
      <w:r>
        <w:rPr>
          <w:color w:val="231F20"/>
          <w:w w:val="110"/>
          <w:sz w:val="18"/>
        </w:rPr>
        <w:t>longer </w:t>
      </w:r>
      <w:r>
        <w:rPr>
          <w:color w:val="231F20"/>
          <w:spacing w:val="2"/>
          <w:w w:val="110"/>
          <w:sz w:val="18"/>
        </w:rPr>
        <w:t>courses </w:t>
      </w:r>
      <w:r>
        <w:rPr>
          <w:color w:val="231F20"/>
          <w:w w:val="110"/>
          <w:sz w:val="18"/>
        </w:rPr>
        <w:t>on  for example Renewing Rites, Doing Bible Study Differently, Reformation studies, and introduction to New Testament </w:t>
      </w:r>
      <w:r>
        <w:rPr>
          <w:color w:val="231F20"/>
          <w:spacing w:val="2"/>
          <w:w w:val="110"/>
          <w:sz w:val="18"/>
        </w:rPr>
        <w:t>Greek </w:t>
      </w:r>
      <w:r>
        <w:rPr>
          <w:color w:val="231F20"/>
          <w:w w:val="110"/>
          <w:sz w:val="18"/>
        </w:rPr>
        <w:t>and Conflict</w:t>
      </w:r>
      <w:r>
        <w:rPr>
          <w:color w:val="231F20"/>
          <w:spacing w:val="23"/>
          <w:w w:val="110"/>
          <w:sz w:val="18"/>
        </w:rPr>
        <w:t> </w:t>
      </w:r>
      <w:r>
        <w:rPr>
          <w:color w:val="231F20"/>
          <w:w w:val="110"/>
          <w:sz w:val="18"/>
        </w:rPr>
        <w:t>Transformation.</w:t>
      </w:r>
    </w:p>
    <w:p>
      <w:pPr>
        <w:pStyle w:val="BodyText"/>
        <w:spacing w:before="9"/>
        <w:rPr>
          <w:sz w:val="20"/>
        </w:rPr>
      </w:pPr>
    </w:p>
    <w:p>
      <w:pPr>
        <w:pStyle w:val="ListParagraph"/>
        <w:numPr>
          <w:ilvl w:val="1"/>
          <w:numId w:val="234"/>
        </w:numPr>
        <w:tabs>
          <w:tab w:pos="1314" w:val="left" w:leader="none"/>
        </w:tabs>
        <w:spacing w:line="273" w:lineRule="auto" w:before="0" w:after="0"/>
        <w:ind w:left="593" w:right="2037" w:firstLine="0"/>
        <w:jc w:val="both"/>
        <w:rPr>
          <w:sz w:val="18"/>
        </w:rPr>
      </w:pPr>
      <w:r>
        <w:rPr>
          <w:color w:val="231F20"/>
          <w:w w:val="110"/>
          <w:sz w:val="18"/>
        </w:rPr>
        <w:t>The </w:t>
      </w:r>
      <w:r>
        <w:rPr>
          <w:color w:val="231F20"/>
          <w:spacing w:val="2"/>
          <w:w w:val="110"/>
          <w:sz w:val="18"/>
        </w:rPr>
        <w:t>retreats </w:t>
      </w:r>
      <w:r>
        <w:rPr>
          <w:color w:val="231F20"/>
          <w:w w:val="110"/>
          <w:sz w:val="18"/>
        </w:rPr>
        <w:t>programme has included day events for </w:t>
      </w:r>
      <w:r>
        <w:rPr>
          <w:color w:val="231F20"/>
          <w:spacing w:val="2"/>
          <w:w w:val="110"/>
          <w:sz w:val="18"/>
        </w:rPr>
        <w:t>Ash </w:t>
      </w:r>
      <w:r>
        <w:rPr>
          <w:color w:val="231F20"/>
          <w:w w:val="110"/>
          <w:sz w:val="18"/>
        </w:rPr>
        <w:t>Wednesday, National </w:t>
      </w:r>
      <w:r>
        <w:rPr>
          <w:color w:val="231F20"/>
          <w:spacing w:val="3"/>
          <w:w w:val="110"/>
          <w:sz w:val="18"/>
        </w:rPr>
        <w:t>Poetry </w:t>
      </w:r>
      <w:r>
        <w:rPr>
          <w:color w:val="231F20"/>
          <w:w w:val="110"/>
          <w:sz w:val="18"/>
        </w:rPr>
        <w:t>Day and All Souls’ Day and on the </w:t>
      </w:r>
      <w:r>
        <w:rPr>
          <w:color w:val="231F20"/>
          <w:spacing w:val="3"/>
          <w:w w:val="110"/>
          <w:sz w:val="18"/>
        </w:rPr>
        <w:t>story </w:t>
      </w:r>
      <w:r>
        <w:rPr>
          <w:color w:val="231F20"/>
          <w:w w:val="110"/>
          <w:sz w:val="18"/>
        </w:rPr>
        <w:t>of Ruth, the hymns of Charles </w:t>
      </w:r>
      <w:r>
        <w:rPr>
          <w:color w:val="231F20"/>
          <w:spacing w:val="-3"/>
          <w:w w:val="110"/>
          <w:sz w:val="18"/>
        </w:rPr>
        <w:t>Wesley, </w:t>
      </w:r>
      <w:r>
        <w:rPr>
          <w:color w:val="231F20"/>
          <w:w w:val="110"/>
          <w:sz w:val="18"/>
        </w:rPr>
        <w:t>musical requiems and the parable of the Prodigal</w:t>
      </w:r>
      <w:r>
        <w:rPr>
          <w:color w:val="231F20"/>
          <w:spacing w:val="19"/>
          <w:w w:val="110"/>
          <w:sz w:val="18"/>
        </w:rPr>
        <w:t> </w:t>
      </w:r>
      <w:r>
        <w:rPr>
          <w:color w:val="231F20"/>
          <w:w w:val="110"/>
          <w:sz w:val="18"/>
        </w:rPr>
        <w:t>Son.</w:t>
      </w:r>
    </w:p>
    <w:p>
      <w:pPr>
        <w:pStyle w:val="BodyText"/>
        <w:spacing w:before="8"/>
        <w:rPr>
          <w:sz w:val="20"/>
        </w:rPr>
      </w:pPr>
    </w:p>
    <w:p>
      <w:pPr>
        <w:pStyle w:val="ListParagraph"/>
        <w:numPr>
          <w:ilvl w:val="1"/>
          <w:numId w:val="234"/>
        </w:numPr>
        <w:tabs>
          <w:tab w:pos="1313" w:val="left" w:leader="none"/>
          <w:tab w:pos="1314" w:val="left" w:leader="none"/>
        </w:tabs>
        <w:spacing w:line="273" w:lineRule="auto" w:before="1" w:after="0"/>
        <w:ind w:left="593" w:right="2150" w:firstLine="0"/>
        <w:jc w:val="left"/>
        <w:rPr>
          <w:sz w:val="18"/>
        </w:rPr>
      </w:pPr>
      <w:r>
        <w:rPr>
          <w:color w:val="231F20"/>
          <w:w w:val="110"/>
          <w:sz w:val="18"/>
        </w:rPr>
        <w:t>The establishment of a once each term book reading club has </w:t>
      </w:r>
      <w:r>
        <w:rPr>
          <w:color w:val="231F20"/>
          <w:spacing w:val="2"/>
          <w:w w:val="110"/>
          <w:sz w:val="18"/>
        </w:rPr>
        <w:t>attracted </w:t>
      </w:r>
      <w:r>
        <w:rPr>
          <w:color w:val="231F20"/>
          <w:w w:val="110"/>
          <w:sz w:val="18"/>
        </w:rPr>
        <w:t>a number of participants and hopefully earned itself a place in the annual programme. Texts discussed have included McGrath’s </w:t>
      </w:r>
      <w:r>
        <w:rPr>
          <w:i/>
          <w:color w:val="231F20"/>
          <w:w w:val="110"/>
          <w:sz w:val="18"/>
        </w:rPr>
        <w:t>The Order of Things</w:t>
      </w:r>
      <w:r>
        <w:rPr>
          <w:color w:val="231F20"/>
          <w:w w:val="110"/>
          <w:sz w:val="18"/>
        </w:rPr>
        <w:t>, Joan Bakewell’s </w:t>
      </w:r>
      <w:r>
        <w:rPr>
          <w:i/>
          <w:color w:val="231F20"/>
          <w:w w:val="110"/>
          <w:sz w:val="18"/>
        </w:rPr>
        <w:t>Faith </w:t>
      </w:r>
      <w:r>
        <w:rPr>
          <w:color w:val="231F20"/>
          <w:w w:val="110"/>
          <w:sz w:val="18"/>
        </w:rPr>
        <w:t>and James Robertson’s novel </w:t>
      </w:r>
      <w:r>
        <w:rPr>
          <w:i/>
          <w:color w:val="231F20"/>
          <w:w w:val="110"/>
          <w:sz w:val="18"/>
        </w:rPr>
        <w:t>The Testament of Gideon</w:t>
      </w:r>
      <w:r>
        <w:rPr>
          <w:i/>
          <w:color w:val="231F20"/>
          <w:spacing w:val="21"/>
          <w:w w:val="110"/>
          <w:sz w:val="18"/>
        </w:rPr>
        <w:t> </w:t>
      </w:r>
      <w:r>
        <w:rPr>
          <w:i/>
          <w:color w:val="231F20"/>
          <w:w w:val="110"/>
          <w:sz w:val="18"/>
        </w:rPr>
        <w:t>Mack</w:t>
      </w:r>
      <w:r>
        <w:rPr>
          <w:color w:val="231F20"/>
          <w:w w:val="110"/>
          <w:sz w:val="18"/>
        </w:rPr>
        <w:t>.</w:t>
      </w:r>
    </w:p>
    <w:p>
      <w:pPr>
        <w:pStyle w:val="BodyText"/>
        <w:spacing w:before="9"/>
        <w:rPr>
          <w:sz w:val="20"/>
        </w:rPr>
      </w:pPr>
    </w:p>
    <w:p>
      <w:pPr>
        <w:pStyle w:val="ListParagraph"/>
        <w:numPr>
          <w:ilvl w:val="1"/>
          <w:numId w:val="234"/>
        </w:numPr>
        <w:tabs>
          <w:tab w:pos="1313" w:val="left" w:leader="none"/>
          <w:tab w:pos="1315" w:val="left" w:leader="none"/>
        </w:tabs>
        <w:spacing w:line="273" w:lineRule="auto" w:before="0" w:after="0"/>
        <w:ind w:left="593" w:right="2237" w:firstLine="0"/>
        <w:jc w:val="left"/>
        <w:rPr>
          <w:sz w:val="18"/>
        </w:rPr>
      </w:pPr>
      <w:r>
        <w:rPr>
          <w:color w:val="231F20"/>
          <w:w w:val="110"/>
          <w:sz w:val="18"/>
        </w:rPr>
        <w:t>The tour of talks on the life and work of Hans Christian </w:t>
      </w:r>
      <w:r>
        <w:rPr>
          <w:color w:val="231F20"/>
          <w:spacing w:val="2"/>
          <w:w w:val="110"/>
          <w:sz w:val="18"/>
        </w:rPr>
        <w:t>Andersen </w:t>
      </w:r>
      <w:r>
        <w:rPr>
          <w:color w:val="231F20"/>
          <w:w w:val="110"/>
          <w:sz w:val="18"/>
        </w:rPr>
        <w:t>is being followed with a series on the </w:t>
      </w:r>
      <w:r>
        <w:rPr>
          <w:i/>
          <w:color w:val="231F20"/>
          <w:w w:val="110"/>
          <w:sz w:val="18"/>
        </w:rPr>
        <w:t>Seven Deadly Sins</w:t>
      </w:r>
      <w:r>
        <w:rPr>
          <w:color w:val="231F20"/>
          <w:w w:val="110"/>
          <w:sz w:val="18"/>
        </w:rPr>
        <w:t>. </w:t>
      </w:r>
      <w:r>
        <w:rPr>
          <w:color w:val="231F20"/>
          <w:spacing w:val="2"/>
          <w:w w:val="110"/>
          <w:sz w:val="18"/>
        </w:rPr>
        <w:t>As </w:t>
      </w:r>
      <w:r>
        <w:rPr>
          <w:color w:val="231F20"/>
          <w:w w:val="110"/>
          <w:sz w:val="18"/>
        </w:rPr>
        <w:t>well as their intrinsic value, the programme brings the college into </w:t>
      </w:r>
      <w:r>
        <w:rPr>
          <w:color w:val="231F20"/>
          <w:spacing w:val="2"/>
          <w:w w:val="110"/>
          <w:sz w:val="18"/>
        </w:rPr>
        <w:t>contact </w:t>
      </w:r>
      <w:r>
        <w:rPr>
          <w:color w:val="231F20"/>
          <w:w w:val="110"/>
          <w:sz w:val="18"/>
        </w:rPr>
        <w:t>with a wider range of people in a variety of church</w:t>
      </w:r>
      <w:r>
        <w:rPr>
          <w:color w:val="231F20"/>
          <w:spacing w:val="2"/>
          <w:w w:val="110"/>
          <w:sz w:val="18"/>
        </w:rPr>
        <w:t> </w:t>
      </w:r>
      <w:r>
        <w:rPr>
          <w:color w:val="231F20"/>
          <w:w w:val="110"/>
          <w:sz w:val="18"/>
        </w:rPr>
        <w:t>groups.</w:t>
      </w:r>
    </w:p>
    <w:p>
      <w:pPr>
        <w:pStyle w:val="BodyText"/>
        <w:spacing w:before="9"/>
        <w:rPr>
          <w:sz w:val="20"/>
        </w:rPr>
      </w:pPr>
    </w:p>
    <w:p>
      <w:pPr>
        <w:pStyle w:val="ListParagraph"/>
        <w:numPr>
          <w:ilvl w:val="1"/>
          <w:numId w:val="234"/>
        </w:numPr>
        <w:tabs>
          <w:tab w:pos="1313" w:val="left" w:leader="none"/>
          <w:tab w:pos="1314" w:val="left" w:leader="none"/>
        </w:tabs>
        <w:spacing w:line="273" w:lineRule="auto" w:before="0" w:after="0"/>
        <w:ind w:left="593" w:right="1787" w:firstLine="0"/>
        <w:jc w:val="left"/>
        <w:rPr>
          <w:sz w:val="18"/>
        </w:rPr>
      </w:pPr>
      <w:r>
        <w:rPr>
          <w:color w:val="231F20"/>
          <w:w w:val="110"/>
          <w:sz w:val="18"/>
        </w:rPr>
        <w:t>At present, the university partner for ordinands currently in training is the University of Edinburgh. </w:t>
      </w:r>
      <w:r>
        <w:rPr>
          <w:color w:val="231F20"/>
          <w:spacing w:val="-4"/>
          <w:w w:val="110"/>
          <w:sz w:val="18"/>
        </w:rPr>
        <w:t>We </w:t>
      </w:r>
      <w:r>
        <w:rPr>
          <w:color w:val="231F20"/>
          <w:spacing w:val="-3"/>
          <w:w w:val="110"/>
          <w:sz w:val="18"/>
        </w:rPr>
        <w:t>have </w:t>
      </w:r>
      <w:r>
        <w:rPr>
          <w:color w:val="231F20"/>
          <w:w w:val="110"/>
          <w:sz w:val="18"/>
        </w:rPr>
        <w:t>regular conversation with university staff members to ensure that its provision in terms of curriculum and learning approaches meets the needs of our students. </w:t>
      </w:r>
      <w:r>
        <w:rPr>
          <w:color w:val="231F20"/>
          <w:spacing w:val="-4"/>
          <w:w w:val="110"/>
          <w:sz w:val="18"/>
        </w:rPr>
        <w:t>We </w:t>
      </w:r>
      <w:r>
        <w:rPr>
          <w:color w:val="231F20"/>
          <w:w w:val="110"/>
          <w:sz w:val="18"/>
        </w:rPr>
        <w:t>are glad that Dr Cecilia Clegg, a member of the faculty at Edinburgh with considerable experience in the fields of conflict transformation and in </w:t>
      </w:r>
      <w:r>
        <w:rPr>
          <w:color w:val="231F20"/>
          <w:spacing w:val="-4"/>
          <w:w w:val="110"/>
          <w:sz w:val="18"/>
        </w:rPr>
        <w:t>inter- </w:t>
      </w:r>
      <w:r>
        <w:rPr>
          <w:color w:val="231F20"/>
          <w:w w:val="110"/>
          <w:sz w:val="18"/>
        </w:rPr>
        <w:t>community dialogue, has agreed to be the speaker at our annual service in June</w:t>
      </w:r>
      <w:r>
        <w:rPr>
          <w:color w:val="231F20"/>
          <w:spacing w:val="-26"/>
          <w:w w:val="110"/>
          <w:sz w:val="18"/>
        </w:rPr>
        <w:t> </w:t>
      </w:r>
      <w:r>
        <w:rPr>
          <w:color w:val="231F20"/>
          <w:spacing w:val="-8"/>
          <w:w w:val="110"/>
          <w:sz w:val="18"/>
        </w:rPr>
        <w:t>2007.</w:t>
      </w:r>
    </w:p>
    <w:p>
      <w:pPr>
        <w:pStyle w:val="BodyText"/>
        <w:spacing w:before="10"/>
        <w:rPr>
          <w:sz w:val="20"/>
        </w:rPr>
      </w:pPr>
    </w:p>
    <w:p>
      <w:pPr>
        <w:pStyle w:val="Heading9"/>
        <w:ind w:left="593"/>
      </w:pPr>
      <w:r>
        <w:rPr>
          <w:color w:val="231F20"/>
          <w:w w:val="110"/>
        </w:rPr>
        <w:t>Ecumenical engagements</w:t>
      </w:r>
    </w:p>
    <w:p>
      <w:pPr>
        <w:pStyle w:val="ListParagraph"/>
        <w:numPr>
          <w:ilvl w:val="1"/>
          <w:numId w:val="235"/>
        </w:numPr>
        <w:tabs>
          <w:tab w:pos="1274" w:val="left" w:leader="none"/>
          <w:tab w:pos="1275" w:val="left" w:leader="none"/>
        </w:tabs>
        <w:spacing w:line="273" w:lineRule="auto" w:before="258" w:after="0"/>
        <w:ind w:left="593" w:right="2091" w:firstLine="0"/>
        <w:jc w:val="left"/>
        <w:rPr>
          <w:sz w:val="18"/>
        </w:rPr>
      </w:pPr>
      <w:r>
        <w:rPr>
          <w:color w:val="231F20"/>
          <w:w w:val="110"/>
          <w:sz w:val="18"/>
        </w:rPr>
        <w:t>The </w:t>
      </w:r>
      <w:r>
        <w:rPr>
          <w:color w:val="231F20"/>
          <w:spacing w:val="2"/>
          <w:w w:val="110"/>
          <w:sz w:val="18"/>
        </w:rPr>
        <w:t>ACTS </w:t>
      </w:r>
      <w:r>
        <w:rPr>
          <w:color w:val="231F20"/>
          <w:w w:val="110"/>
          <w:sz w:val="18"/>
        </w:rPr>
        <w:t>group on learning in first years of ministry has </w:t>
      </w:r>
      <w:r>
        <w:rPr>
          <w:color w:val="231F20"/>
          <w:spacing w:val="2"/>
          <w:w w:val="110"/>
          <w:sz w:val="18"/>
        </w:rPr>
        <w:t>extended </w:t>
      </w:r>
      <w:r>
        <w:rPr>
          <w:color w:val="231F20"/>
          <w:w w:val="110"/>
          <w:sz w:val="18"/>
        </w:rPr>
        <w:t>its remit and now is concerned with conversations around the broader field of learning for and in ministry.</w:t>
      </w:r>
    </w:p>
    <w:p>
      <w:pPr>
        <w:pStyle w:val="BodyText"/>
        <w:spacing w:before="9"/>
        <w:rPr>
          <w:sz w:val="20"/>
        </w:rPr>
      </w:pPr>
    </w:p>
    <w:p>
      <w:pPr>
        <w:pStyle w:val="ListParagraph"/>
        <w:numPr>
          <w:ilvl w:val="1"/>
          <w:numId w:val="235"/>
        </w:numPr>
        <w:tabs>
          <w:tab w:pos="1313" w:val="left" w:leader="none"/>
          <w:tab w:pos="1314" w:val="left" w:leader="none"/>
        </w:tabs>
        <w:spacing w:line="273" w:lineRule="auto" w:before="0" w:after="0"/>
        <w:ind w:left="593" w:right="2207" w:firstLine="0"/>
        <w:jc w:val="left"/>
        <w:rPr>
          <w:sz w:val="18"/>
        </w:rPr>
      </w:pPr>
      <w:r>
        <w:rPr>
          <w:color w:val="231F20"/>
          <w:w w:val="110"/>
          <w:sz w:val="18"/>
        </w:rPr>
        <w:t>The ecumenical lay learning group began as an informal grouping of adult </w:t>
      </w:r>
      <w:r>
        <w:rPr>
          <w:color w:val="231F20"/>
          <w:spacing w:val="2"/>
          <w:w w:val="110"/>
          <w:sz w:val="18"/>
        </w:rPr>
        <w:t>educators </w:t>
      </w:r>
      <w:r>
        <w:rPr>
          <w:color w:val="231F20"/>
          <w:w w:val="110"/>
          <w:sz w:val="18"/>
        </w:rPr>
        <w:t>within the churches but has in the last year established itself as a regular meeting place of </w:t>
      </w:r>
      <w:r>
        <w:rPr>
          <w:color w:val="231F20"/>
          <w:spacing w:val="3"/>
          <w:w w:val="110"/>
          <w:sz w:val="18"/>
        </w:rPr>
        <w:t>staff </w:t>
      </w:r>
      <w:r>
        <w:rPr>
          <w:color w:val="231F20"/>
          <w:w w:val="110"/>
          <w:sz w:val="18"/>
        </w:rPr>
        <w:t>with responsibility for adult</w:t>
      </w:r>
      <w:r>
        <w:rPr>
          <w:color w:val="231F20"/>
          <w:spacing w:val="21"/>
          <w:w w:val="110"/>
          <w:sz w:val="18"/>
        </w:rPr>
        <w:t> </w:t>
      </w:r>
      <w:r>
        <w:rPr>
          <w:color w:val="231F20"/>
          <w:w w:val="110"/>
          <w:sz w:val="18"/>
        </w:rPr>
        <w:t>learning.</w:t>
      </w:r>
    </w:p>
    <w:p>
      <w:pPr>
        <w:pStyle w:val="BodyText"/>
        <w:spacing w:before="9"/>
        <w:rPr>
          <w:sz w:val="20"/>
        </w:rPr>
      </w:pPr>
    </w:p>
    <w:p>
      <w:pPr>
        <w:pStyle w:val="ListParagraph"/>
        <w:numPr>
          <w:ilvl w:val="1"/>
          <w:numId w:val="235"/>
        </w:numPr>
        <w:tabs>
          <w:tab w:pos="1313" w:val="left" w:leader="none"/>
          <w:tab w:pos="1314" w:val="left" w:leader="none"/>
        </w:tabs>
        <w:spacing w:line="273" w:lineRule="auto" w:before="0" w:after="0"/>
        <w:ind w:left="595" w:right="1753" w:hanging="2"/>
        <w:jc w:val="left"/>
        <w:rPr>
          <w:sz w:val="18"/>
        </w:rPr>
      </w:pPr>
      <w:r>
        <w:rPr>
          <w:color w:val="231F20"/>
          <w:spacing w:val="-4"/>
          <w:w w:val="110"/>
          <w:sz w:val="18"/>
        </w:rPr>
        <w:t>We </w:t>
      </w:r>
      <w:r>
        <w:rPr>
          <w:color w:val="231F20"/>
          <w:w w:val="110"/>
          <w:sz w:val="18"/>
        </w:rPr>
        <w:t>are pleased to report that there has been some expression of interest from within the Church of Scotland and perhaps more widely in the establishment of the United Reformed Church’s </w:t>
      </w:r>
      <w:r>
        <w:rPr>
          <w:color w:val="231F20"/>
          <w:spacing w:val="2"/>
          <w:w w:val="110"/>
          <w:sz w:val="18"/>
        </w:rPr>
        <w:t>TLS </w:t>
      </w:r>
      <w:r>
        <w:rPr>
          <w:color w:val="231F20"/>
          <w:w w:val="110"/>
          <w:sz w:val="18"/>
        </w:rPr>
        <w:t>programme in Scotland. There has been something of a gap in adult </w:t>
      </w:r>
      <w:r>
        <w:rPr>
          <w:color w:val="231F20"/>
          <w:spacing w:val="-3"/>
          <w:w w:val="110"/>
          <w:sz w:val="18"/>
        </w:rPr>
        <w:t>lay </w:t>
      </w:r>
      <w:r>
        <w:rPr>
          <w:color w:val="231F20"/>
          <w:w w:val="110"/>
          <w:sz w:val="18"/>
        </w:rPr>
        <w:t>theological education in Scotland since the demise of the Scottish Churches’ Open College. </w:t>
      </w:r>
      <w:r>
        <w:rPr>
          <w:color w:val="231F20"/>
          <w:spacing w:val="-4"/>
          <w:w w:val="110"/>
          <w:sz w:val="18"/>
        </w:rPr>
        <w:t>We </w:t>
      </w:r>
      <w:r>
        <w:rPr>
          <w:color w:val="231F20"/>
          <w:w w:val="110"/>
          <w:sz w:val="18"/>
        </w:rPr>
        <w:t>look forward to the conversations around exploring this</w:t>
      </w:r>
      <w:r>
        <w:rPr>
          <w:color w:val="231F20"/>
          <w:spacing w:val="-16"/>
          <w:w w:val="110"/>
          <w:sz w:val="18"/>
        </w:rPr>
        <w:t> </w:t>
      </w:r>
      <w:r>
        <w:rPr>
          <w:color w:val="231F20"/>
          <w:w w:val="110"/>
          <w:sz w:val="18"/>
        </w:rPr>
        <w:t>possibility.</w:t>
      </w:r>
    </w:p>
    <w:p>
      <w:pPr>
        <w:spacing w:after="0" w:line="273" w:lineRule="auto"/>
        <w:jc w:val="left"/>
        <w:rPr>
          <w:sz w:val="18"/>
        </w:rPr>
        <w:sectPr>
          <w:pgSz w:w="11910" w:h="16840"/>
          <w:pgMar w:header="558" w:footer="544" w:top="820" w:bottom="760" w:left="540" w:right="0"/>
        </w:sectPr>
      </w:pPr>
    </w:p>
    <w:p>
      <w:pPr>
        <w:pStyle w:val="BodyText"/>
        <w:spacing w:before="9"/>
        <w:rPr>
          <w:sz w:val="13"/>
        </w:rPr>
      </w:pPr>
    </w:p>
    <w:p>
      <w:pPr>
        <w:pStyle w:val="ListParagraph"/>
        <w:numPr>
          <w:ilvl w:val="1"/>
          <w:numId w:val="235"/>
        </w:numPr>
        <w:tabs>
          <w:tab w:pos="1880" w:val="left" w:leader="none"/>
          <w:tab w:pos="1881" w:val="left" w:leader="none"/>
        </w:tabs>
        <w:spacing w:line="273" w:lineRule="auto" w:before="101" w:after="0"/>
        <w:ind w:left="1160" w:right="1189" w:firstLine="0"/>
        <w:jc w:val="left"/>
        <w:rPr>
          <w:sz w:val="18"/>
        </w:rPr>
      </w:pPr>
      <w:r>
        <w:rPr>
          <w:color w:val="231F20"/>
          <w:w w:val="110"/>
          <w:sz w:val="18"/>
        </w:rPr>
        <w:t>The Church of Scotland is in the </w:t>
      </w:r>
      <w:r>
        <w:rPr>
          <w:color w:val="231F20"/>
          <w:spacing w:val="2"/>
          <w:w w:val="110"/>
          <w:sz w:val="18"/>
        </w:rPr>
        <w:t>process </w:t>
      </w:r>
      <w:r>
        <w:rPr>
          <w:color w:val="231F20"/>
          <w:w w:val="110"/>
          <w:sz w:val="18"/>
        </w:rPr>
        <w:t>of creating </w:t>
      </w:r>
      <w:r>
        <w:rPr>
          <w:color w:val="231F20"/>
          <w:spacing w:val="-4"/>
          <w:w w:val="110"/>
          <w:sz w:val="18"/>
        </w:rPr>
        <w:t>(and </w:t>
      </w:r>
      <w:r>
        <w:rPr>
          <w:color w:val="231F20"/>
          <w:w w:val="110"/>
          <w:sz w:val="18"/>
        </w:rPr>
        <w:t>will by the time of their and the United Reformed Church General Assemblies this summer have inaugurated) a website </w:t>
      </w:r>
      <w:r>
        <w:rPr>
          <w:i/>
          <w:color w:val="231F20"/>
          <w:w w:val="110"/>
          <w:sz w:val="18"/>
        </w:rPr>
        <w:t>Resourcing Churches</w:t>
      </w:r>
      <w:r>
        <w:rPr>
          <w:color w:val="231F20"/>
          <w:w w:val="110"/>
          <w:sz w:val="18"/>
        </w:rPr>
        <w:t>. This site will be an internet space with details of events, </w:t>
      </w:r>
      <w:r>
        <w:rPr>
          <w:color w:val="231F20"/>
          <w:spacing w:val="2"/>
          <w:w w:val="110"/>
          <w:sz w:val="18"/>
        </w:rPr>
        <w:t>access </w:t>
      </w:r>
      <w:r>
        <w:rPr>
          <w:color w:val="231F20"/>
          <w:w w:val="110"/>
          <w:sz w:val="18"/>
        </w:rPr>
        <w:t>to learning </w:t>
      </w:r>
      <w:r>
        <w:rPr>
          <w:color w:val="231F20"/>
          <w:spacing w:val="2"/>
          <w:w w:val="110"/>
          <w:sz w:val="18"/>
        </w:rPr>
        <w:t>resources </w:t>
      </w:r>
      <w:r>
        <w:rPr>
          <w:color w:val="231F20"/>
          <w:w w:val="110"/>
          <w:sz w:val="18"/>
        </w:rPr>
        <w:t>and information on people with specific areas of knowledge and skill.</w:t>
      </w:r>
    </w:p>
    <w:p>
      <w:pPr>
        <w:pStyle w:val="BodyText"/>
        <w:spacing w:before="9"/>
        <w:rPr>
          <w:sz w:val="20"/>
        </w:rPr>
      </w:pPr>
    </w:p>
    <w:p>
      <w:pPr>
        <w:pStyle w:val="ListParagraph"/>
        <w:numPr>
          <w:ilvl w:val="1"/>
          <w:numId w:val="235"/>
        </w:numPr>
        <w:tabs>
          <w:tab w:pos="1880" w:val="left" w:leader="none"/>
          <w:tab w:pos="1881" w:val="left" w:leader="none"/>
        </w:tabs>
        <w:spacing w:line="273" w:lineRule="auto" w:before="1" w:after="0"/>
        <w:ind w:left="1160" w:right="1536" w:firstLine="0"/>
        <w:jc w:val="left"/>
        <w:rPr>
          <w:sz w:val="18"/>
        </w:rPr>
      </w:pPr>
      <w:r>
        <w:rPr>
          <w:color w:val="231F20"/>
          <w:w w:val="110"/>
          <w:sz w:val="18"/>
        </w:rPr>
        <w:t>The conversations that have followed on </w:t>
      </w:r>
      <w:r>
        <w:rPr>
          <w:color w:val="231F20"/>
          <w:spacing w:val="2"/>
          <w:w w:val="110"/>
          <w:sz w:val="18"/>
        </w:rPr>
        <w:t>from </w:t>
      </w:r>
      <w:r>
        <w:rPr>
          <w:color w:val="231F20"/>
          <w:w w:val="110"/>
          <w:sz w:val="18"/>
        </w:rPr>
        <w:t>the SCIFU discussions involving the Episcopal, Methodist and United Reformed Churches in Scotland have identified collaboration in adult learning as an area of potential</w:t>
      </w:r>
      <w:r>
        <w:rPr>
          <w:color w:val="231F20"/>
          <w:spacing w:val="31"/>
          <w:w w:val="110"/>
          <w:sz w:val="18"/>
        </w:rPr>
        <w:t> </w:t>
      </w:r>
      <w:r>
        <w:rPr>
          <w:color w:val="231F20"/>
          <w:w w:val="110"/>
          <w:sz w:val="18"/>
        </w:rPr>
        <w:t>development.</w:t>
      </w:r>
    </w:p>
    <w:p>
      <w:pPr>
        <w:pStyle w:val="BodyText"/>
        <w:spacing w:before="8"/>
        <w:rPr>
          <w:sz w:val="20"/>
        </w:rPr>
      </w:pPr>
    </w:p>
    <w:p>
      <w:pPr>
        <w:pStyle w:val="ListParagraph"/>
        <w:numPr>
          <w:ilvl w:val="1"/>
          <w:numId w:val="235"/>
        </w:numPr>
        <w:tabs>
          <w:tab w:pos="1880" w:val="left" w:leader="none"/>
          <w:tab w:pos="1881" w:val="left" w:leader="none"/>
        </w:tabs>
        <w:spacing w:line="273" w:lineRule="auto" w:before="0" w:after="0"/>
        <w:ind w:left="1160" w:right="1407" w:firstLine="0"/>
        <w:jc w:val="left"/>
        <w:rPr>
          <w:sz w:val="18"/>
        </w:rPr>
      </w:pPr>
      <w:r>
        <w:rPr>
          <w:color w:val="231F20"/>
          <w:w w:val="110"/>
          <w:sz w:val="18"/>
        </w:rPr>
        <w:t>With the ending of </w:t>
      </w:r>
      <w:r>
        <w:rPr>
          <w:color w:val="231F20"/>
          <w:spacing w:val="2"/>
          <w:w w:val="110"/>
          <w:sz w:val="18"/>
        </w:rPr>
        <w:t>Scottish </w:t>
      </w:r>
      <w:r>
        <w:rPr>
          <w:color w:val="231F20"/>
          <w:w w:val="110"/>
          <w:sz w:val="18"/>
        </w:rPr>
        <w:t>Churches’ Open College, the joint library continued with the Church of Scotland, the </w:t>
      </w:r>
      <w:r>
        <w:rPr>
          <w:color w:val="231F20"/>
          <w:spacing w:val="2"/>
          <w:w w:val="110"/>
          <w:sz w:val="18"/>
        </w:rPr>
        <w:t>Scottish </w:t>
      </w:r>
      <w:r>
        <w:rPr>
          <w:color w:val="231F20"/>
          <w:w w:val="110"/>
          <w:sz w:val="18"/>
        </w:rPr>
        <w:t>Episcopal Church and the </w:t>
      </w:r>
      <w:r>
        <w:rPr>
          <w:color w:val="231F20"/>
          <w:spacing w:val="2"/>
          <w:w w:val="110"/>
          <w:sz w:val="18"/>
        </w:rPr>
        <w:t>Scottish </w:t>
      </w:r>
      <w:r>
        <w:rPr>
          <w:color w:val="231F20"/>
          <w:w w:val="110"/>
          <w:sz w:val="18"/>
        </w:rPr>
        <w:t>United Reformed &amp; Congregational College as </w:t>
      </w:r>
      <w:r>
        <w:rPr>
          <w:color w:val="231F20"/>
          <w:spacing w:val="2"/>
          <w:w w:val="110"/>
          <w:sz w:val="18"/>
        </w:rPr>
        <w:t>partners. </w:t>
      </w:r>
      <w:r>
        <w:rPr>
          <w:color w:val="231F20"/>
          <w:w w:val="110"/>
          <w:sz w:val="18"/>
        </w:rPr>
        <w:t>When the Church of Scotland withdrew, the other </w:t>
      </w:r>
      <w:r>
        <w:rPr>
          <w:color w:val="231F20"/>
          <w:spacing w:val="2"/>
          <w:w w:val="110"/>
          <w:sz w:val="18"/>
        </w:rPr>
        <w:t>partners </w:t>
      </w:r>
      <w:r>
        <w:rPr>
          <w:color w:val="231F20"/>
          <w:w w:val="110"/>
          <w:sz w:val="18"/>
        </w:rPr>
        <w:t>continued for some time to make joint provision, but serious issues of viability arose. The remaining two entered into agreement with the International Christian College in Glasgow for the provision of library </w:t>
      </w:r>
      <w:r>
        <w:rPr>
          <w:color w:val="231F20"/>
          <w:spacing w:val="2"/>
          <w:w w:val="110"/>
          <w:sz w:val="18"/>
        </w:rPr>
        <w:t>services </w:t>
      </w:r>
      <w:r>
        <w:rPr>
          <w:color w:val="231F20"/>
          <w:w w:val="110"/>
          <w:sz w:val="18"/>
        </w:rPr>
        <w:t>and this has</w:t>
      </w:r>
      <w:r>
        <w:rPr>
          <w:color w:val="231F20"/>
          <w:spacing w:val="9"/>
          <w:w w:val="110"/>
          <w:sz w:val="18"/>
        </w:rPr>
        <w:t> </w:t>
      </w:r>
      <w:r>
        <w:rPr>
          <w:color w:val="231F20"/>
          <w:w w:val="110"/>
          <w:sz w:val="18"/>
        </w:rPr>
        <w:t>been</w:t>
      </w:r>
      <w:r>
        <w:rPr>
          <w:color w:val="231F20"/>
          <w:spacing w:val="10"/>
          <w:w w:val="110"/>
          <w:sz w:val="18"/>
        </w:rPr>
        <w:t> </w:t>
      </w:r>
      <w:r>
        <w:rPr>
          <w:color w:val="231F20"/>
          <w:w w:val="110"/>
          <w:sz w:val="18"/>
        </w:rPr>
        <w:t>operating</w:t>
      </w:r>
      <w:r>
        <w:rPr>
          <w:color w:val="231F20"/>
          <w:spacing w:val="9"/>
          <w:w w:val="110"/>
          <w:sz w:val="18"/>
        </w:rPr>
        <w:t> </w:t>
      </w:r>
      <w:r>
        <w:rPr>
          <w:color w:val="231F20"/>
          <w:spacing w:val="2"/>
          <w:w w:val="110"/>
          <w:sz w:val="18"/>
        </w:rPr>
        <w:t>very</w:t>
      </w:r>
      <w:r>
        <w:rPr>
          <w:color w:val="231F20"/>
          <w:spacing w:val="10"/>
          <w:w w:val="110"/>
          <w:sz w:val="18"/>
        </w:rPr>
        <w:t> </w:t>
      </w:r>
      <w:r>
        <w:rPr>
          <w:color w:val="231F20"/>
          <w:w w:val="110"/>
          <w:sz w:val="18"/>
        </w:rPr>
        <w:t>satisfactorily,</w:t>
      </w:r>
      <w:r>
        <w:rPr>
          <w:color w:val="231F20"/>
          <w:spacing w:val="9"/>
          <w:w w:val="110"/>
          <w:sz w:val="18"/>
        </w:rPr>
        <w:t> </w:t>
      </w:r>
      <w:r>
        <w:rPr>
          <w:color w:val="231F20"/>
          <w:w w:val="110"/>
          <w:sz w:val="18"/>
        </w:rPr>
        <w:t>particularly</w:t>
      </w:r>
      <w:r>
        <w:rPr>
          <w:color w:val="231F20"/>
          <w:spacing w:val="10"/>
          <w:w w:val="110"/>
          <w:sz w:val="18"/>
        </w:rPr>
        <w:t> </w:t>
      </w:r>
      <w:r>
        <w:rPr>
          <w:color w:val="231F20"/>
          <w:w w:val="110"/>
          <w:sz w:val="18"/>
        </w:rPr>
        <w:t>in</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light</w:t>
      </w:r>
      <w:r>
        <w:rPr>
          <w:color w:val="231F20"/>
          <w:spacing w:val="9"/>
          <w:w w:val="110"/>
          <w:sz w:val="18"/>
        </w:rPr>
        <w:t> </w:t>
      </w:r>
      <w:r>
        <w:rPr>
          <w:color w:val="231F20"/>
          <w:w w:val="110"/>
          <w:sz w:val="18"/>
        </w:rPr>
        <w:t>of</w:t>
      </w:r>
      <w:r>
        <w:rPr>
          <w:color w:val="231F20"/>
          <w:spacing w:val="10"/>
          <w:w w:val="110"/>
          <w:sz w:val="18"/>
        </w:rPr>
        <w:t> </w:t>
      </w:r>
      <w:r>
        <w:rPr>
          <w:color w:val="231F20"/>
          <w:w w:val="110"/>
          <w:sz w:val="18"/>
        </w:rPr>
        <w:t>ICC’s</w:t>
      </w:r>
      <w:r>
        <w:rPr>
          <w:color w:val="231F20"/>
          <w:spacing w:val="9"/>
          <w:w w:val="110"/>
          <w:sz w:val="18"/>
        </w:rPr>
        <w:t> </w:t>
      </w:r>
      <w:r>
        <w:rPr>
          <w:color w:val="231F20"/>
          <w:w w:val="110"/>
          <w:sz w:val="18"/>
        </w:rPr>
        <w:t>commitment</w:t>
      </w:r>
    </w:p>
    <w:p>
      <w:pPr>
        <w:pStyle w:val="BodyText"/>
        <w:spacing w:line="273" w:lineRule="auto" w:before="5"/>
        <w:ind w:left="1160" w:right="1616"/>
      </w:pPr>
      <w:r>
        <w:rPr>
          <w:color w:val="231F20"/>
          <w:w w:val="110"/>
        </w:rPr>
        <w:t>to broaden its holdings and through the considerable assistance of their librarian  there.  </w:t>
      </w:r>
      <w:r>
        <w:rPr>
          <w:color w:val="231F20"/>
          <w:spacing w:val="2"/>
          <w:w w:val="110"/>
        </w:rPr>
        <w:t>There </w:t>
      </w:r>
      <w:r>
        <w:rPr>
          <w:color w:val="231F20"/>
          <w:w w:val="110"/>
        </w:rPr>
        <w:t>continues to be a </w:t>
      </w:r>
      <w:r>
        <w:rPr>
          <w:color w:val="231F20"/>
          <w:spacing w:val="2"/>
          <w:w w:val="110"/>
        </w:rPr>
        <w:t>stock </w:t>
      </w:r>
      <w:r>
        <w:rPr>
          <w:color w:val="231F20"/>
          <w:w w:val="110"/>
        </w:rPr>
        <w:t>of </w:t>
      </w:r>
      <w:r>
        <w:rPr>
          <w:color w:val="231F20"/>
          <w:spacing w:val="2"/>
          <w:w w:val="110"/>
        </w:rPr>
        <w:t>books </w:t>
      </w:r>
      <w:r>
        <w:rPr>
          <w:color w:val="231F20"/>
          <w:w w:val="110"/>
        </w:rPr>
        <w:t>jointly owned by SEC and ourselves  but held in storage as not incorporated within the ICC library. Conversations between the </w:t>
      </w:r>
      <w:r>
        <w:rPr>
          <w:color w:val="231F20"/>
          <w:spacing w:val="2"/>
          <w:w w:val="110"/>
        </w:rPr>
        <w:t>parties </w:t>
      </w:r>
      <w:r>
        <w:rPr>
          <w:color w:val="231F20"/>
          <w:w w:val="110"/>
        </w:rPr>
        <w:t>and with potential </w:t>
      </w:r>
      <w:r>
        <w:rPr>
          <w:color w:val="231F20"/>
          <w:spacing w:val="2"/>
          <w:w w:val="110"/>
        </w:rPr>
        <w:t>partners </w:t>
      </w:r>
      <w:r>
        <w:rPr>
          <w:color w:val="231F20"/>
          <w:w w:val="110"/>
        </w:rPr>
        <w:t>are likely now to lead to a dissolution of the original agreement and the two </w:t>
      </w:r>
      <w:r>
        <w:rPr>
          <w:color w:val="231F20"/>
          <w:spacing w:val="2"/>
          <w:w w:val="110"/>
        </w:rPr>
        <w:t>parties </w:t>
      </w:r>
      <w:r>
        <w:rPr>
          <w:color w:val="231F20"/>
          <w:w w:val="110"/>
        </w:rPr>
        <w:t>making separate arrangements for the use of the remnant stock. </w:t>
      </w:r>
      <w:r>
        <w:rPr>
          <w:color w:val="231F20"/>
          <w:spacing w:val="2"/>
          <w:w w:val="110"/>
        </w:rPr>
        <w:t>There </w:t>
      </w:r>
      <w:r>
        <w:rPr>
          <w:color w:val="231F20"/>
          <w:w w:val="110"/>
        </w:rPr>
        <w:t>is of </w:t>
      </w:r>
      <w:r>
        <w:rPr>
          <w:color w:val="231F20"/>
          <w:spacing w:val="2"/>
          <w:w w:val="110"/>
        </w:rPr>
        <w:t>course </w:t>
      </w:r>
      <w:r>
        <w:rPr>
          <w:color w:val="231F20"/>
          <w:w w:val="110"/>
        </w:rPr>
        <w:t>considerable </w:t>
      </w:r>
      <w:r>
        <w:rPr>
          <w:color w:val="231F20"/>
          <w:spacing w:val="2"/>
          <w:w w:val="110"/>
        </w:rPr>
        <w:t>regret </w:t>
      </w:r>
      <w:r>
        <w:rPr>
          <w:color w:val="231F20"/>
          <w:w w:val="110"/>
        </w:rPr>
        <w:t>that a collaborative library provision</w:t>
      </w:r>
      <w:r>
        <w:rPr>
          <w:color w:val="231F20"/>
          <w:spacing w:val="8"/>
          <w:w w:val="110"/>
        </w:rPr>
        <w:t> </w:t>
      </w:r>
      <w:r>
        <w:rPr>
          <w:color w:val="231F20"/>
          <w:w w:val="110"/>
        </w:rPr>
        <w:t>that</w:t>
      </w:r>
      <w:r>
        <w:rPr>
          <w:color w:val="231F20"/>
          <w:spacing w:val="8"/>
          <w:w w:val="110"/>
        </w:rPr>
        <w:t> </w:t>
      </w:r>
      <w:r>
        <w:rPr>
          <w:color w:val="231F20"/>
          <w:w w:val="110"/>
        </w:rPr>
        <w:t>was</w:t>
      </w:r>
      <w:r>
        <w:rPr>
          <w:color w:val="231F20"/>
          <w:spacing w:val="9"/>
          <w:w w:val="110"/>
        </w:rPr>
        <w:t> </w:t>
      </w:r>
      <w:r>
        <w:rPr>
          <w:color w:val="231F20"/>
          <w:w w:val="110"/>
        </w:rPr>
        <w:t>a</w:t>
      </w:r>
      <w:r>
        <w:rPr>
          <w:color w:val="231F20"/>
          <w:spacing w:val="8"/>
          <w:w w:val="110"/>
        </w:rPr>
        <w:t> </w:t>
      </w:r>
      <w:r>
        <w:rPr>
          <w:color w:val="231F20"/>
          <w:spacing w:val="2"/>
          <w:w w:val="110"/>
        </w:rPr>
        <w:t>part</w:t>
      </w:r>
      <w:r>
        <w:rPr>
          <w:color w:val="231F20"/>
          <w:spacing w:val="8"/>
          <w:w w:val="110"/>
        </w:rPr>
        <w:t> </w:t>
      </w:r>
      <w:r>
        <w:rPr>
          <w:color w:val="231F20"/>
          <w:w w:val="110"/>
        </w:rPr>
        <w:t>of</w:t>
      </w:r>
      <w:r>
        <w:rPr>
          <w:color w:val="231F20"/>
          <w:spacing w:val="9"/>
          <w:w w:val="110"/>
        </w:rPr>
        <w:t> </w:t>
      </w:r>
      <w:r>
        <w:rPr>
          <w:color w:val="231F20"/>
          <w:w w:val="110"/>
        </w:rPr>
        <w:t>a</w:t>
      </w:r>
      <w:r>
        <w:rPr>
          <w:color w:val="231F20"/>
          <w:spacing w:val="8"/>
          <w:w w:val="110"/>
        </w:rPr>
        <w:t> </w:t>
      </w:r>
      <w:r>
        <w:rPr>
          <w:color w:val="231F20"/>
          <w:w w:val="110"/>
        </w:rPr>
        <w:t>brave</w:t>
      </w:r>
      <w:r>
        <w:rPr>
          <w:color w:val="231F20"/>
          <w:spacing w:val="8"/>
          <w:w w:val="110"/>
        </w:rPr>
        <w:t> </w:t>
      </w:r>
      <w:r>
        <w:rPr>
          <w:color w:val="231F20"/>
          <w:w w:val="110"/>
        </w:rPr>
        <w:t>ecumenical</w:t>
      </w:r>
      <w:r>
        <w:rPr>
          <w:color w:val="231F20"/>
          <w:spacing w:val="9"/>
          <w:w w:val="110"/>
        </w:rPr>
        <w:t> </w:t>
      </w:r>
      <w:r>
        <w:rPr>
          <w:color w:val="231F20"/>
          <w:w w:val="110"/>
        </w:rPr>
        <w:t>commitment</w:t>
      </w:r>
      <w:r>
        <w:rPr>
          <w:color w:val="231F20"/>
          <w:spacing w:val="8"/>
          <w:w w:val="110"/>
        </w:rPr>
        <w:t> </w:t>
      </w:r>
      <w:r>
        <w:rPr>
          <w:color w:val="231F20"/>
          <w:w w:val="110"/>
        </w:rPr>
        <w:t>to</w:t>
      </w:r>
      <w:r>
        <w:rPr>
          <w:color w:val="231F20"/>
          <w:spacing w:val="8"/>
          <w:w w:val="110"/>
        </w:rPr>
        <w:t> </w:t>
      </w:r>
      <w:r>
        <w:rPr>
          <w:color w:val="231F20"/>
          <w:w w:val="110"/>
        </w:rPr>
        <w:t>shared</w:t>
      </w:r>
      <w:r>
        <w:rPr>
          <w:color w:val="231F20"/>
          <w:spacing w:val="9"/>
          <w:w w:val="110"/>
        </w:rPr>
        <w:t> </w:t>
      </w:r>
      <w:r>
        <w:rPr>
          <w:color w:val="231F20"/>
          <w:w w:val="110"/>
        </w:rPr>
        <w:t>provision</w:t>
      </w:r>
      <w:r>
        <w:rPr>
          <w:color w:val="231F20"/>
          <w:spacing w:val="8"/>
          <w:w w:val="110"/>
        </w:rPr>
        <w:t> </w:t>
      </w:r>
      <w:r>
        <w:rPr>
          <w:color w:val="231F20"/>
          <w:w w:val="110"/>
        </w:rPr>
        <w:t>in</w:t>
      </w:r>
    </w:p>
    <w:p>
      <w:pPr>
        <w:pStyle w:val="BodyText"/>
        <w:spacing w:line="273" w:lineRule="auto" w:before="4"/>
        <w:ind w:left="1160" w:right="1555"/>
      </w:pPr>
      <w:r>
        <w:rPr>
          <w:color w:val="231F20"/>
          <w:w w:val="110"/>
        </w:rPr>
        <w:t>adult learning is now coming to an end. We express that sadness but with a hope that already new forms of ecumenical conversation and collaboration are emerging.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3"/>
        </w:rPr>
      </w:pPr>
    </w:p>
    <w:p>
      <w:pPr>
        <w:spacing w:before="0"/>
        <w:ind w:left="4010" w:right="4472"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64" w:top="820" w:bottom="760" w:left="540" w:right="0"/>
        </w:sectPr>
      </w:pPr>
    </w:p>
    <w:p>
      <w:pPr>
        <w:spacing w:line="676" w:lineRule="exact" w:before="161"/>
        <w:ind w:left="178" w:right="0" w:firstLine="0"/>
        <w:jc w:val="left"/>
        <w:rPr>
          <w:b/>
          <w:sz w:val="56"/>
        </w:rPr>
      </w:pPr>
      <w:r>
        <w:rPr>
          <w:b/>
          <w:color w:val="231F20"/>
          <w:sz w:val="56"/>
        </w:rPr>
        <w:t>Mansfield College Oxford</w:t>
      </w:r>
    </w:p>
    <w:p>
      <w:pPr>
        <w:spacing w:line="676" w:lineRule="exact" w:before="0"/>
        <w:ind w:left="178" w:right="0" w:firstLine="0"/>
        <w:jc w:val="left"/>
        <w:rPr>
          <w:b/>
          <w:sz w:val="56"/>
        </w:rPr>
      </w:pPr>
      <w:r>
        <w:rPr>
          <w:b/>
          <w:color w:val="231F20"/>
          <w:sz w:val="56"/>
        </w:rPr>
        <w:t>Ministerial Training Course</w:t>
      </w:r>
    </w:p>
    <w:p>
      <w:pPr>
        <w:pStyle w:val="BodyText"/>
        <w:spacing w:before="2"/>
        <w:rPr>
          <w:b/>
          <w:sz w:val="52"/>
        </w:rPr>
      </w:pPr>
    </w:p>
    <w:p>
      <w:pPr>
        <w:pStyle w:val="ListParagraph"/>
        <w:numPr>
          <w:ilvl w:val="0"/>
          <w:numId w:val="236"/>
        </w:numPr>
        <w:tabs>
          <w:tab w:pos="1314" w:val="left" w:leader="none"/>
        </w:tabs>
        <w:spacing w:line="273" w:lineRule="auto" w:before="0" w:after="0"/>
        <w:ind w:left="593" w:right="2146" w:firstLine="0"/>
        <w:jc w:val="both"/>
        <w:rPr>
          <w:sz w:val="18"/>
        </w:rPr>
      </w:pPr>
      <w:r>
        <w:rPr>
          <w:color w:val="231F20"/>
          <w:spacing w:val="2"/>
          <w:w w:val="110"/>
          <w:sz w:val="18"/>
        </w:rPr>
        <w:t>Last </w:t>
      </w:r>
      <w:r>
        <w:rPr>
          <w:color w:val="231F20"/>
          <w:w w:val="110"/>
          <w:sz w:val="18"/>
        </w:rPr>
        <w:t>year’s General Assembly voted to discontinue using Mansfield College as an institution at which future United Reformed Church ordinands could receive initial ministerial</w:t>
      </w:r>
      <w:r>
        <w:rPr>
          <w:color w:val="231F20"/>
          <w:spacing w:val="9"/>
          <w:w w:val="110"/>
          <w:sz w:val="18"/>
        </w:rPr>
        <w:t> </w:t>
      </w:r>
      <w:r>
        <w:rPr>
          <w:color w:val="231F20"/>
          <w:w w:val="110"/>
          <w:sz w:val="18"/>
        </w:rPr>
        <w:t>training.</w:t>
      </w:r>
      <w:r>
        <w:rPr>
          <w:color w:val="231F20"/>
          <w:spacing w:val="9"/>
          <w:w w:val="110"/>
          <w:sz w:val="18"/>
        </w:rPr>
        <w:t> </w:t>
      </w:r>
      <w:r>
        <w:rPr>
          <w:color w:val="231F20"/>
          <w:w w:val="110"/>
          <w:sz w:val="18"/>
        </w:rPr>
        <w:t>While</w:t>
      </w:r>
      <w:r>
        <w:rPr>
          <w:color w:val="231F20"/>
          <w:spacing w:val="9"/>
          <w:w w:val="110"/>
          <w:sz w:val="18"/>
        </w:rPr>
        <w:t> </w:t>
      </w:r>
      <w:r>
        <w:rPr>
          <w:color w:val="231F20"/>
          <w:w w:val="110"/>
          <w:sz w:val="18"/>
        </w:rPr>
        <w:t>not</w:t>
      </w:r>
      <w:r>
        <w:rPr>
          <w:color w:val="231F20"/>
          <w:spacing w:val="10"/>
          <w:w w:val="110"/>
          <w:sz w:val="18"/>
        </w:rPr>
        <w:t> </w:t>
      </w:r>
      <w:r>
        <w:rPr>
          <w:color w:val="231F20"/>
          <w:w w:val="110"/>
          <w:sz w:val="18"/>
        </w:rPr>
        <w:t>being</w:t>
      </w:r>
      <w:r>
        <w:rPr>
          <w:color w:val="231F20"/>
          <w:spacing w:val="9"/>
          <w:w w:val="110"/>
          <w:sz w:val="18"/>
        </w:rPr>
        <w:t> </w:t>
      </w:r>
      <w:r>
        <w:rPr>
          <w:color w:val="231F20"/>
          <w:w w:val="110"/>
          <w:sz w:val="18"/>
        </w:rPr>
        <w:t>welcomed</w:t>
      </w:r>
      <w:r>
        <w:rPr>
          <w:color w:val="231F20"/>
          <w:spacing w:val="9"/>
          <w:w w:val="110"/>
          <w:sz w:val="18"/>
        </w:rPr>
        <w:t> </w:t>
      </w:r>
      <w:r>
        <w:rPr>
          <w:color w:val="231F20"/>
          <w:w w:val="110"/>
          <w:sz w:val="18"/>
        </w:rPr>
        <w:t>by</w:t>
      </w:r>
      <w:r>
        <w:rPr>
          <w:color w:val="231F20"/>
          <w:spacing w:val="9"/>
          <w:w w:val="110"/>
          <w:sz w:val="18"/>
        </w:rPr>
        <w:t> </w:t>
      </w:r>
      <w:r>
        <w:rPr>
          <w:color w:val="231F20"/>
          <w:spacing w:val="3"/>
          <w:w w:val="110"/>
          <w:sz w:val="18"/>
        </w:rPr>
        <w:t>staff</w:t>
      </w:r>
      <w:r>
        <w:rPr>
          <w:color w:val="231F20"/>
          <w:spacing w:val="10"/>
          <w:w w:val="110"/>
          <w:sz w:val="18"/>
        </w:rPr>
        <w:t> </w:t>
      </w:r>
      <w:r>
        <w:rPr>
          <w:color w:val="231F20"/>
          <w:w w:val="110"/>
          <w:sz w:val="18"/>
        </w:rPr>
        <w:t>and</w:t>
      </w:r>
      <w:r>
        <w:rPr>
          <w:color w:val="231F20"/>
          <w:spacing w:val="9"/>
          <w:w w:val="110"/>
          <w:sz w:val="18"/>
        </w:rPr>
        <w:t> </w:t>
      </w:r>
      <w:r>
        <w:rPr>
          <w:color w:val="231F20"/>
          <w:w w:val="110"/>
          <w:sz w:val="18"/>
        </w:rPr>
        <w:t>ordinands;</w:t>
      </w:r>
      <w:r>
        <w:rPr>
          <w:color w:val="231F20"/>
          <w:spacing w:val="9"/>
          <w:w w:val="110"/>
          <w:sz w:val="18"/>
        </w:rPr>
        <w:t> </w:t>
      </w:r>
      <w:r>
        <w:rPr>
          <w:color w:val="231F20"/>
          <w:w w:val="110"/>
          <w:sz w:val="18"/>
        </w:rPr>
        <w:t>this</w:t>
      </w:r>
      <w:r>
        <w:rPr>
          <w:color w:val="231F20"/>
          <w:spacing w:val="9"/>
          <w:w w:val="110"/>
          <w:sz w:val="18"/>
        </w:rPr>
        <w:t> </w:t>
      </w:r>
      <w:r>
        <w:rPr>
          <w:color w:val="231F20"/>
          <w:w w:val="110"/>
          <w:sz w:val="18"/>
        </w:rPr>
        <w:t>decision</w:t>
      </w:r>
    </w:p>
    <w:p>
      <w:pPr>
        <w:pStyle w:val="BodyText"/>
        <w:spacing w:line="273" w:lineRule="auto" w:before="2"/>
        <w:ind w:left="593" w:right="1788"/>
      </w:pPr>
      <w:r>
        <w:rPr>
          <w:color w:val="231F20"/>
          <w:w w:val="110"/>
        </w:rPr>
        <w:t>was not unexpected. We are now in the process of running down the ministerial training course, with five ordinands this academic year, three next year, and one the year following that.</w:t>
      </w:r>
    </w:p>
    <w:p>
      <w:pPr>
        <w:pStyle w:val="BodyText"/>
        <w:spacing w:before="8"/>
        <w:rPr>
          <w:sz w:val="20"/>
        </w:rPr>
      </w:pPr>
    </w:p>
    <w:p>
      <w:pPr>
        <w:pStyle w:val="ListParagraph"/>
        <w:numPr>
          <w:ilvl w:val="0"/>
          <w:numId w:val="236"/>
        </w:numPr>
        <w:tabs>
          <w:tab w:pos="1313" w:val="left" w:leader="none"/>
          <w:tab w:pos="1314" w:val="left" w:leader="none"/>
        </w:tabs>
        <w:spacing w:line="273" w:lineRule="auto" w:before="1" w:after="0"/>
        <w:ind w:left="593" w:right="2243" w:firstLine="0"/>
        <w:jc w:val="left"/>
        <w:rPr>
          <w:sz w:val="18"/>
        </w:rPr>
      </w:pPr>
      <w:r>
        <w:rPr>
          <w:color w:val="231F20"/>
          <w:w w:val="110"/>
          <w:sz w:val="18"/>
        </w:rPr>
        <w:t>Despite having no new intake of ordinands, morale is buoyant. </w:t>
      </w:r>
      <w:r>
        <w:rPr>
          <w:color w:val="231F20"/>
          <w:spacing w:val="2"/>
          <w:w w:val="110"/>
          <w:sz w:val="18"/>
        </w:rPr>
        <w:t>There </w:t>
      </w:r>
      <w:r>
        <w:rPr>
          <w:color w:val="231F20"/>
          <w:w w:val="110"/>
          <w:sz w:val="18"/>
        </w:rPr>
        <w:t>is a high</w:t>
      </w:r>
      <w:r>
        <w:rPr>
          <w:color w:val="231F20"/>
          <w:spacing w:val="9"/>
          <w:w w:val="110"/>
          <w:sz w:val="18"/>
        </w:rPr>
        <w:t> </w:t>
      </w:r>
      <w:r>
        <w:rPr>
          <w:color w:val="231F20"/>
          <w:w w:val="110"/>
          <w:sz w:val="18"/>
        </w:rPr>
        <w:t>level</w:t>
      </w:r>
      <w:r>
        <w:rPr>
          <w:color w:val="231F20"/>
          <w:spacing w:val="9"/>
          <w:w w:val="110"/>
          <w:sz w:val="18"/>
        </w:rPr>
        <w:t> </w:t>
      </w:r>
      <w:r>
        <w:rPr>
          <w:color w:val="231F20"/>
          <w:w w:val="110"/>
          <w:sz w:val="18"/>
        </w:rPr>
        <w:t>of</w:t>
      </w:r>
      <w:r>
        <w:rPr>
          <w:color w:val="231F20"/>
          <w:spacing w:val="9"/>
          <w:w w:val="110"/>
          <w:sz w:val="18"/>
        </w:rPr>
        <w:t> </w:t>
      </w:r>
      <w:r>
        <w:rPr>
          <w:color w:val="231F20"/>
          <w:w w:val="110"/>
          <w:sz w:val="18"/>
        </w:rPr>
        <w:t>commitment</w:t>
      </w:r>
      <w:r>
        <w:rPr>
          <w:color w:val="231F20"/>
          <w:spacing w:val="10"/>
          <w:w w:val="110"/>
          <w:sz w:val="18"/>
        </w:rPr>
        <w:t> </w:t>
      </w:r>
      <w:r>
        <w:rPr>
          <w:color w:val="231F20"/>
          <w:spacing w:val="2"/>
          <w:w w:val="110"/>
          <w:sz w:val="18"/>
        </w:rPr>
        <w:t>from</w:t>
      </w:r>
      <w:r>
        <w:rPr>
          <w:color w:val="231F20"/>
          <w:spacing w:val="9"/>
          <w:w w:val="110"/>
          <w:sz w:val="18"/>
        </w:rPr>
        <w:t> </w:t>
      </w:r>
      <w:r>
        <w:rPr>
          <w:color w:val="231F20"/>
          <w:w w:val="110"/>
          <w:sz w:val="18"/>
        </w:rPr>
        <w:t>ordinands</w:t>
      </w:r>
      <w:r>
        <w:rPr>
          <w:color w:val="231F20"/>
          <w:spacing w:val="9"/>
          <w:w w:val="110"/>
          <w:sz w:val="18"/>
        </w:rPr>
        <w:t> </w:t>
      </w:r>
      <w:r>
        <w:rPr>
          <w:color w:val="231F20"/>
          <w:w w:val="110"/>
          <w:sz w:val="18"/>
        </w:rPr>
        <w:t>to</w:t>
      </w:r>
      <w:r>
        <w:rPr>
          <w:color w:val="231F20"/>
          <w:spacing w:val="10"/>
          <w:w w:val="110"/>
          <w:sz w:val="18"/>
        </w:rPr>
        <w:t> </w:t>
      </w:r>
      <w:r>
        <w:rPr>
          <w:color w:val="231F20"/>
          <w:w w:val="110"/>
          <w:sz w:val="18"/>
        </w:rPr>
        <w:t>their</w:t>
      </w:r>
      <w:r>
        <w:rPr>
          <w:color w:val="231F20"/>
          <w:spacing w:val="9"/>
          <w:w w:val="110"/>
          <w:sz w:val="18"/>
        </w:rPr>
        <w:t> </w:t>
      </w:r>
      <w:r>
        <w:rPr>
          <w:color w:val="231F20"/>
          <w:w w:val="110"/>
          <w:sz w:val="18"/>
        </w:rPr>
        <w:t>training,</w:t>
      </w:r>
      <w:r>
        <w:rPr>
          <w:color w:val="231F20"/>
          <w:spacing w:val="9"/>
          <w:w w:val="110"/>
          <w:sz w:val="18"/>
        </w:rPr>
        <w:t> </w:t>
      </w:r>
      <w:r>
        <w:rPr>
          <w:color w:val="231F20"/>
          <w:w w:val="110"/>
          <w:sz w:val="18"/>
        </w:rPr>
        <w:t>to</w:t>
      </w:r>
      <w:r>
        <w:rPr>
          <w:color w:val="231F20"/>
          <w:spacing w:val="9"/>
          <w:w w:val="110"/>
          <w:sz w:val="18"/>
        </w:rPr>
        <w:t> </w:t>
      </w:r>
      <w:r>
        <w:rPr>
          <w:color w:val="231F20"/>
          <w:w w:val="110"/>
          <w:sz w:val="18"/>
        </w:rPr>
        <w:t>the</w:t>
      </w:r>
      <w:r>
        <w:rPr>
          <w:color w:val="231F20"/>
          <w:spacing w:val="10"/>
          <w:w w:val="110"/>
          <w:sz w:val="18"/>
        </w:rPr>
        <w:t> </w:t>
      </w:r>
      <w:r>
        <w:rPr>
          <w:color w:val="231F20"/>
          <w:w w:val="110"/>
          <w:sz w:val="18"/>
        </w:rPr>
        <w:t>community</w:t>
      </w:r>
      <w:r>
        <w:rPr>
          <w:color w:val="231F20"/>
          <w:spacing w:val="9"/>
          <w:w w:val="110"/>
          <w:sz w:val="18"/>
        </w:rPr>
        <w:t> </w:t>
      </w:r>
      <w:r>
        <w:rPr>
          <w:color w:val="231F20"/>
          <w:w w:val="110"/>
          <w:sz w:val="18"/>
        </w:rPr>
        <w:t>and</w:t>
      </w:r>
      <w:r>
        <w:rPr>
          <w:color w:val="231F20"/>
          <w:spacing w:val="9"/>
          <w:w w:val="110"/>
          <w:sz w:val="18"/>
        </w:rPr>
        <w:t> </w:t>
      </w:r>
      <w:r>
        <w:rPr>
          <w:color w:val="231F20"/>
          <w:w w:val="110"/>
          <w:sz w:val="18"/>
        </w:rPr>
        <w:t>to</w:t>
      </w:r>
    </w:p>
    <w:p>
      <w:pPr>
        <w:pStyle w:val="BodyText"/>
        <w:spacing w:line="273" w:lineRule="auto" w:before="1"/>
        <w:ind w:left="593" w:right="1995"/>
      </w:pPr>
      <w:r>
        <w:rPr>
          <w:color w:val="231F20"/>
          <w:w w:val="110"/>
        </w:rPr>
        <w:t>corporate worship. The present ordinands are making the most of the many and varied opportunities that training for the Ministry in </w:t>
      </w:r>
      <w:r>
        <w:rPr>
          <w:color w:val="231F20"/>
          <w:spacing w:val="2"/>
          <w:w w:val="110"/>
        </w:rPr>
        <w:t>Oxford </w:t>
      </w:r>
      <w:r>
        <w:rPr>
          <w:color w:val="231F20"/>
          <w:w w:val="110"/>
        </w:rPr>
        <w:t>affords; their only regret that  future United Reformed Church ordinands will be denied these opportunities. Richard Howard completed his </w:t>
      </w:r>
      <w:r>
        <w:rPr>
          <w:color w:val="231F20"/>
          <w:spacing w:val="2"/>
          <w:w w:val="110"/>
        </w:rPr>
        <w:t>course </w:t>
      </w:r>
      <w:r>
        <w:rPr>
          <w:color w:val="231F20"/>
          <w:w w:val="110"/>
        </w:rPr>
        <w:t>and in September was ordained and inducted as minister of Hoole and Farndon URC, Chester. </w:t>
      </w:r>
      <w:r>
        <w:rPr>
          <w:color w:val="231F20"/>
          <w:spacing w:val="-6"/>
          <w:w w:val="110"/>
        </w:rPr>
        <w:t>Two </w:t>
      </w:r>
      <w:r>
        <w:rPr>
          <w:color w:val="231F20"/>
          <w:w w:val="110"/>
        </w:rPr>
        <w:t>final-year ordinands, Caroline Vodden and Lesley Moseley, have both received and accepted calls to pastorate ministry and we  look </w:t>
      </w:r>
      <w:r>
        <w:rPr>
          <w:color w:val="231F20"/>
          <w:spacing w:val="2"/>
          <w:w w:val="110"/>
        </w:rPr>
        <w:t>forward </w:t>
      </w:r>
      <w:r>
        <w:rPr>
          <w:color w:val="231F20"/>
          <w:w w:val="110"/>
        </w:rPr>
        <w:t>to their ordinations and inductions. Jenny Mills and Timothy Searle have one</w:t>
      </w:r>
      <w:r>
        <w:rPr>
          <w:color w:val="231F20"/>
          <w:spacing w:val="6"/>
          <w:w w:val="110"/>
        </w:rPr>
        <w:t> </w:t>
      </w:r>
      <w:r>
        <w:rPr>
          <w:color w:val="231F20"/>
          <w:spacing w:val="2"/>
          <w:w w:val="110"/>
        </w:rPr>
        <w:t>further</w:t>
      </w:r>
      <w:r>
        <w:rPr>
          <w:color w:val="231F20"/>
          <w:spacing w:val="6"/>
          <w:w w:val="110"/>
        </w:rPr>
        <w:t> </w:t>
      </w:r>
      <w:r>
        <w:rPr>
          <w:color w:val="231F20"/>
          <w:w w:val="110"/>
        </w:rPr>
        <w:t>year</w:t>
      </w:r>
      <w:r>
        <w:rPr>
          <w:color w:val="231F20"/>
          <w:spacing w:val="7"/>
          <w:w w:val="110"/>
        </w:rPr>
        <w:t> </w:t>
      </w:r>
      <w:r>
        <w:rPr>
          <w:color w:val="231F20"/>
          <w:w w:val="110"/>
        </w:rPr>
        <w:t>of</w:t>
      </w:r>
      <w:r>
        <w:rPr>
          <w:color w:val="231F20"/>
          <w:spacing w:val="6"/>
          <w:w w:val="110"/>
        </w:rPr>
        <w:t> </w:t>
      </w:r>
      <w:r>
        <w:rPr>
          <w:color w:val="231F20"/>
          <w:w w:val="110"/>
        </w:rPr>
        <w:t>training</w:t>
      </w:r>
      <w:r>
        <w:rPr>
          <w:color w:val="231F20"/>
          <w:spacing w:val="7"/>
          <w:w w:val="110"/>
        </w:rPr>
        <w:t> </w:t>
      </w:r>
      <w:r>
        <w:rPr>
          <w:color w:val="231F20"/>
          <w:w w:val="110"/>
        </w:rPr>
        <w:t>to</w:t>
      </w:r>
      <w:r>
        <w:rPr>
          <w:color w:val="231F20"/>
          <w:spacing w:val="6"/>
          <w:w w:val="110"/>
        </w:rPr>
        <w:t> </w:t>
      </w:r>
      <w:r>
        <w:rPr>
          <w:color w:val="231F20"/>
          <w:w w:val="110"/>
        </w:rPr>
        <w:t>complete,</w:t>
      </w:r>
      <w:r>
        <w:rPr>
          <w:color w:val="231F20"/>
          <w:spacing w:val="7"/>
          <w:w w:val="110"/>
        </w:rPr>
        <w:t> </w:t>
      </w:r>
      <w:r>
        <w:rPr>
          <w:color w:val="231F20"/>
          <w:w w:val="110"/>
        </w:rPr>
        <w:t>and</w:t>
      </w:r>
      <w:r>
        <w:rPr>
          <w:color w:val="231F20"/>
          <w:spacing w:val="6"/>
          <w:w w:val="110"/>
        </w:rPr>
        <w:t> </w:t>
      </w:r>
      <w:r>
        <w:rPr>
          <w:color w:val="231F20"/>
          <w:w w:val="110"/>
        </w:rPr>
        <w:t>Iain</w:t>
      </w:r>
      <w:r>
        <w:rPr>
          <w:color w:val="231F20"/>
          <w:spacing w:val="7"/>
          <w:w w:val="110"/>
        </w:rPr>
        <w:t> </w:t>
      </w:r>
      <w:r>
        <w:rPr>
          <w:color w:val="231F20"/>
          <w:spacing w:val="2"/>
          <w:w w:val="110"/>
        </w:rPr>
        <w:t>McLaren</w:t>
      </w:r>
      <w:r>
        <w:rPr>
          <w:color w:val="231F20"/>
          <w:spacing w:val="6"/>
          <w:w w:val="110"/>
        </w:rPr>
        <w:t> </w:t>
      </w:r>
      <w:r>
        <w:rPr>
          <w:color w:val="231F20"/>
          <w:w w:val="110"/>
        </w:rPr>
        <w:t>two</w:t>
      </w:r>
      <w:r>
        <w:rPr>
          <w:color w:val="231F20"/>
          <w:spacing w:val="7"/>
          <w:w w:val="110"/>
        </w:rPr>
        <w:t> </w:t>
      </w:r>
      <w:r>
        <w:rPr>
          <w:color w:val="231F20"/>
          <w:w w:val="110"/>
        </w:rPr>
        <w:t>more</w:t>
      </w:r>
      <w:r>
        <w:rPr>
          <w:color w:val="231F20"/>
          <w:spacing w:val="6"/>
          <w:w w:val="110"/>
        </w:rPr>
        <w:t> </w:t>
      </w:r>
      <w:r>
        <w:rPr>
          <w:color w:val="231F20"/>
          <w:w w:val="110"/>
        </w:rPr>
        <w:t>years.</w:t>
      </w:r>
      <w:r>
        <w:rPr>
          <w:color w:val="231F20"/>
          <w:spacing w:val="7"/>
          <w:w w:val="110"/>
        </w:rPr>
        <w:t> </w:t>
      </w:r>
      <w:r>
        <w:rPr>
          <w:color w:val="231F20"/>
          <w:spacing w:val="-3"/>
          <w:w w:val="110"/>
        </w:rPr>
        <w:t>We</w:t>
      </w:r>
      <w:r>
        <w:rPr>
          <w:color w:val="231F20"/>
          <w:spacing w:val="6"/>
          <w:w w:val="110"/>
        </w:rPr>
        <w:t> </w:t>
      </w:r>
      <w:r>
        <w:rPr>
          <w:color w:val="231F20"/>
          <w:w w:val="110"/>
        </w:rPr>
        <w:t>had</w:t>
      </w:r>
    </w:p>
    <w:p>
      <w:pPr>
        <w:pStyle w:val="BodyText"/>
        <w:spacing w:line="273" w:lineRule="auto" w:before="5"/>
        <w:ind w:left="593" w:right="1958"/>
      </w:pPr>
      <w:r>
        <w:rPr>
          <w:color w:val="231F20"/>
          <w:w w:val="110"/>
        </w:rPr>
        <w:t>an Erasmus student </w:t>
      </w:r>
      <w:r>
        <w:rPr>
          <w:color w:val="231F20"/>
          <w:spacing w:val="2"/>
          <w:w w:val="110"/>
        </w:rPr>
        <w:t>from Bern </w:t>
      </w:r>
      <w:r>
        <w:rPr>
          <w:color w:val="231F20"/>
          <w:w w:val="110"/>
        </w:rPr>
        <w:t>with us for one term. This </w:t>
      </w:r>
      <w:r>
        <w:rPr>
          <w:color w:val="231F20"/>
          <w:spacing w:val="2"/>
          <w:w w:val="110"/>
        </w:rPr>
        <w:t>Bern-Oxford </w:t>
      </w:r>
      <w:r>
        <w:rPr>
          <w:color w:val="231F20"/>
          <w:w w:val="110"/>
        </w:rPr>
        <w:t>exchange looks likely to be discontinued, as we can no longer provide a resident ordinand community  in </w:t>
      </w:r>
      <w:r>
        <w:rPr>
          <w:color w:val="231F20"/>
          <w:spacing w:val="2"/>
          <w:w w:val="110"/>
        </w:rPr>
        <w:t>Oxford </w:t>
      </w:r>
      <w:r>
        <w:rPr>
          <w:color w:val="231F20"/>
          <w:w w:val="110"/>
        </w:rPr>
        <w:t>large enough to support these Swiss visitors. The small and close-knit community of ordinands and </w:t>
      </w:r>
      <w:r>
        <w:rPr>
          <w:color w:val="231F20"/>
          <w:spacing w:val="3"/>
          <w:w w:val="110"/>
        </w:rPr>
        <w:t>staff </w:t>
      </w:r>
      <w:r>
        <w:rPr>
          <w:color w:val="231F20"/>
          <w:w w:val="110"/>
        </w:rPr>
        <w:t>was shocked and deeply </w:t>
      </w:r>
      <w:r>
        <w:rPr>
          <w:color w:val="231F20"/>
          <w:spacing w:val="3"/>
          <w:w w:val="110"/>
        </w:rPr>
        <w:t>affected </w:t>
      </w:r>
      <w:r>
        <w:rPr>
          <w:color w:val="231F20"/>
          <w:w w:val="110"/>
        </w:rPr>
        <w:t>by the death of Caroline Vodden’s young son in December and is doing all it can to support Caroline and her family in their grief and readjustment. </w:t>
      </w:r>
      <w:r>
        <w:rPr>
          <w:color w:val="231F20"/>
          <w:spacing w:val="-3"/>
          <w:w w:val="110"/>
        </w:rPr>
        <w:t>We </w:t>
      </w:r>
      <w:r>
        <w:rPr>
          <w:color w:val="231F20"/>
          <w:w w:val="110"/>
        </w:rPr>
        <w:t>are grateful to Erna Stevenson   who,</w:t>
      </w:r>
      <w:r>
        <w:rPr>
          <w:color w:val="231F20"/>
          <w:spacing w:val="9"/>
          <w:w w:val="110"/>
        </w:rPr>
        <w:t> </w:t>
      </w:r>
      <w:r>
        <w:rPr>
          <w:color w:val="231F20"/>
          <w:w w:val="110"/>
        </w:rPr>
        <w:t>as</w:t>
      </w:r>
      <w:r>
        <w:rPr>
          <w:color w:val="231F20"/>
          <w:spacing w:val="9"/>
          <w:w w:val="110"/>
        </w:rPr>
        <w:t> </w:t>
      </w:r>
      <w:r>
        <w:rPr>
          <w:color w:val="231F20"/>
          <w:w w:val="110"/>
        </w:rPr>
        <w:t>Chaplin</w:t>
      </w:r>
      <w:r>
        <w:rPr>
          <w:color w:val="231F20"/>
          <w:spacing w:val="10"/>
          <w:w w:val="110"/>
        </w:rPr>
        <w:t> </w:t>
      </w:r>
      <w:r>
        <w:rPr>
          <w:color w:val="231F20"/>
          <w:w w:val="110"/>
        </w:rPr>
        <w:t>to</w:t>
      </w:r>
      <w:r>
        <w:rPr>
          <w:color w:val="231F20"/>
          <w:spacing w:val="9"/>
          <w:w w:val="110"/>
        </w:rPr>
        <w:t> </w:t>
      </w:r>
      <w:r>
        <w:rPr>
          <w:color w:val="231F20"/>
          <w:w w:val="110"/>
        </w:rPr>
        <w:t>Ordinands,</w:t>
      </w:r>
      <w:r>
        <w:rPr>
          <w:color w:val="231F20"/>
          <w:spacing w:val="10"/>
          <w:w w:val="110"/>
        </w:rPr>
        <w:t> </w:t>
      </w:r>
      <w:r>
        <w:rPr>
          <w:color w:val="231F20"/>
          <w:spacing w:val="3"/>
          <w:w w:val="110"/>
        </w:rPr>
        <w:t>offers</w:t>
      </w:r>
      <w:r>
        <w:rPr>
          <w:color w:val="231F20"/>
          <w:spacing w:val="9"/>
          <w:w w:val="110"/>
        </w:rPr>
        <w:t> </w:t>
      </w:r>
      <w:r>
        <w:rPr>
          <w:color w:val="231F20"/>
          <w:w w:val="110"/>
        </w:rPr>
        <w:t>part-time</w:t>
      </w:r>
      <w:r>
        <w:rPr>
          <w:color w:val="231F20"/>
          <w:spacing w:val="10"/>
          <w:w w:val="110"/>
        </w:rPr>
        <w:t> </w:t>
      </w:r>
      <w:r>
        <w:rPr>
          <w:color w:val="231F20"/>
          <w:w w:val="110"/>
        </w:rPr>
        <w:t>pastoral</w:t>
      </w:r>
      <w:r>
        <w:rPr>
          <w:color w:val="231F20"/>
          <w:spacing w:val="9"/>
          <w:w w:val="110"/>
        </w:rPr>
        <w:t> </w:t>
      </w:r>
      <w:r>
        <w:rPr>
          <w:color w:val="231F20"/>
          <w:w w:val="110"/>
        </w:rPr>
        <w:t>ministry.</w:t>
      </w:r>
      <w:r>
        <w:rPr>
          <w:color w:val="231F20"/>
          <w:spacing w:val="10"/>
          <w:w w:val="110"/>
        </w:rPr>
        <w:t> </w:t>
      </w:r>
      <w:r>
        <w:rPr>
          <w:color w:val="231F20"/>
          <w:w w:val="110"/>
        </w:rPr>
        <w:t>The</w:t>
      </w:r>
      <w:r>
        <w:rPr>
          <w:color w:val="231F20"/>
          <w:spacing w:val="9"/>
          <w:w w:val="110"/>
        </w:rPr>
        <w:t> </w:t>
      </w:r>
      <w:r>
        <w:rPr>
          <w:color w:val="231F20"/>
          <w:w w:val="110"/>
        </w:rPr>
        <w:t>Baptist</w:t>
      </w:r>
      <w:r>
        <w:rPr>
          <w:color w:val="231F20"/>
          <w:spacing w:val="10"/>
          <w:w w:val="110"/>
        </w:rPr>
        <w:t> </w:t>
      </w:r>
      <w:r>
        <w:rPr>
          <w:color w:val="231F20"/>
          <w:spacing w:val="3"/>
          <w:w w:val="110"/>
        </w:rPr>
        <w:t>staff</w:t>
      </w:r>
      <w:r>
        <w:rPr>
          <w:color w:val="231F20"/>
          <w:spacing w:val="9"/>
          <w:w w:val="110"/>
        </w:rPr>
        <w:t> </w:t>
      </w:r>
      <w:r>
        <w:rPr>
          <w:color w:val="231F20"/>
          <w:w w:val="110"/>
        </w:rPr>
        <w:t>and</w:t>
      </w:r>
    </w:p>
    <w:p>
      <w:pPr>
        <w:pStyle w:val="BodyText"/>
        <w:spacing w:line="273" w:lineRule="auto" w:before="4"/>
        <w:ind w:left="593" w:right="1788"/>
      </w:pPr>
      <w:r>
        <w:rPr>
          <w:color w:val="231F20"/>
          <w:w w:val="110"/>
        </w:rPr>
        <w:t>students for the ministry at Regent’s Park College continue to be supportive and provide counterparts and teachers for our combined pastoral studies programme.</w:t>
      </w:r>
    </w:p>
    <w:p>
      <w:pPr>
        <w:pStyle w:val="BodyText"/>
        <w:spacing w:before="8"/>
        <w:rPr>
          <w:sz w:val="20"/>
        </w:rPr>
      </w:pPr>
    </w:p>
    <w:p>
      <w:pPr>
        <w:pStyle w:val="ListParagraph"/>
        <w:numPr>
          <w:ilvl w:val="0"/>
          <w:numId w:val="236"/>
        </w:numPr>
        <w:tabs>
          <w:tab w:pos="1313" w:val="left" w:leader="none"/>
          <w:tab w:pos="1314" w:val="left" w:leader="none"/>
        </w:tabs>
        <w:spacing w:line="273" w:lineRule="auto" w:before="0" w:after="0"/>
        <w:ind w:left="593" w:right="1830" w:firstLine="0"/>
        <w:jc w:val="left"/>
        <w:rPr>
          <w:sz w:val="18"/>
        </w:rPr>
      </w:pPr>
      <w:r>
        <w:rPr>
          <w:color w:val="231F20"/>
          <w:w w:val="110"/>
          <w:sz w:val="18"/>
        </w:rPr>
        <w:t>Walter Houston is in his final year as </w:t>
      </w:r>
      <w:r>
        <w:rPr>
          <w:color w:val="231F20"/>
          <w:spacing w:val="2"/>
          <w:w w:val="110"/>
          <w:sz w:val="18"/>
        </w:rPr>
        <w:t>Director </w:t>
      </w:r>
      <w:r>
        <w:rPr>
          <w:color w:val="231F20"/>
          <w:w w:val="110"/>
          <w:sz w:val="18"/>
        </w:rPr>
        <w:t>of the ministerial training </w:t>
      </w:r>
      <w:r>
        <w:rPr>
          <w:color w:val="231F20"/>
          <w:spacing w:val="2"/>
          <w:w w:val="110"/>
          <w:sz w:val="18"/>
        </w:rPr>
        <w:t>course </w:t>
      </w:r>
      <w:r>
        <w:rPr>
          <w:color w:val="231F20"/>
          <w:w w:val="110"/>
          <w:sz w:val="18"/>
        </w:rPr>
        <w:t>prior to retirement. He has continued to provide </w:t>
      </w:r>
      <w:r>
        <w:rPr>
          <w:color w:val="231F20"/>
          <w:spacing w:val="2"/>
          <w:w w:val="110"/>
          <w:sz w:val="18"/>
        </w:rPr>
        <w:t>strong </w:t>
      </w:r>
      <w:r>
        <w:rPr>
          <w:color w:val="231F20"/>
          <w:w w:val="110"/>
          <w:sz w:val="18"/>
        </w:rPr>
        <w:t>leadership, wise counsel, inspirational teaching and rigorous scholarship. </w:t>
      </w:r>
      <w:r>
        <w:rPr>
          <w:color w:val="231F20"/>
          <w:spacing w:val="-3"/>
          <w:w w:val="110"/>
          <w:sz w:val="18"/>
        </w:rPr>
        <w:t>We  </w:t>
      </w:r>
      <w:r>
        <w:rPr>
          <w:color w:val="231F20"/>
          <w:w w:val="110"/>
          <w:sz w:val="18"/>
        </w:rPr>
        <w:t>were pleased to celebrate the</w:t>
      </w:r>
      <w:r>
        <w:rPr>
          <w:color w:val="231F20"/>
          <w:spacing w:val="69"/>
          <w:w w:val="110"/>
          <w:sz w:val="18"/>
        </w:rPr>
        <w:t> </w:t>
      </w:r>
      <w:r>
        <w:rPr>
          <w:color w:val="231F20"/>
          <w:w w:val="110"/>
          <w:sz w:val="18"/>
        </w:rPr>
        <w:t>launch of his new book, </w:t>
      </w:r>
      <w:r>
        <w:rPr>
          <w:i/>
          <w:color w:val="231F20"/>
          <w:w w:val="110"/>
          <w:sz w:val="18"/>
        </w:rPr>
        <w:t>Contending for Justice: Ideologies and theologies of social </w:t>
      </w:r>
      <w:r>
        <w:rPr>
          <w:i/>
          <w:color w:val="231F20"/>
          <w:w w:val="110"/>
          <w:sz w:val="18"/>
        </w:rPr>
        <w:t>justice in the Old Testament</w:t>
      </w:r>
      <w:r>
        <w:rPr>
          <w:color w:val="231F20"/>
          <w:w w:val="110"/>
          <w:sz w:val="18"/>
        </w:rPr>
        <w:t>. Julian Templeton, the </w:t>
      </w:r>
      <w:r>
        <w:rPr>
          <w:color w:val="231F20"/>
          <w:spacing w:val="2"/>
          <w:w w:val="110"/>
          <w:sz w:val="18"/>
        </w:rPr>
        <w:t>Assistant </w:t>
      </w:r>
      <w:r>
        <w:rPr>
          <w:color w:val="231F20"/>
          <w:w w:val="110"/>
          <w:sz w:val="18"/>
        </w:rPr>
        <w:t>Director, continues to  teach on the pastoral studies programme, to oversee placements and to do a small amount of tutoring in </w:t>
      </w:r>
      <w:r>
        <w:rPr>
          <w:color w:val="231F20"/>
          <w:spacing w:val="2"/>
          <w:w w:val="110"/>
          <w:sz w:val="18"/>
        </w:rPr>
        <w:t>doctrine </w:t>
      </w:r>
      <w:r>
        <w:rPr>
          <w:color w:val="231F20"/>
          <w:w w:val="110"/>
          <w:sz w:val="18"/>
        </w:rPr>
        <w:t>and liturgy. He was Acting </w:t>
      </w:r>
      <w:r>
        <w:rPr>
          <w:color w:val="231F20"/>
          <w:spacing w:val="2"/>
          <w:w w:val="110"/>
          <w:sz w:val="18"/>
        </w:rPr>
        <w:t>Director </w:t>
      </w:r>
      <w:r>
        <w:rPr>
          <w:color w:val="231F20"/>
          <w:w w:val="110"/>
          <w:sz w:val="18"/>
        </w:rPr>
        <w:t>of Ministerial Training during Hilary Spring </w:t>
      </w:r>
      <w:r>
        <w:rPr>
          <w:color w:val="231F20"/>
          <w:spacing w:val="-3"/>
          <w:w w:val="110"/>
          <w:sz w:val="18"/>
        </w:rPr>
        <w:t>Term </w:t>
      </w:r>
      <w:r>
        <w:rPr>
          <w:color w:val="231F20"/>
          <w:w w:val="110"/>
          <w:sz w:val="18"/>
        </w:rPr>
        <w:t>when Walter was on sabbatical. John Muddiman continues to tutor ordinands in New Testament, and Peggy Morgan tutors ordinands in the study of Religion. On the governance side, the Principal, Dr Diana Walford, continues to support the ministerial training course, and John </w:t>
      </w:r>
      <w:r>
        <w:rPr>
          <w:color w:val="231F20"/>
          <w:spacing w:val="2"/>
          <w:w w:val="110"/>
          <w:sz w:val="18"/>
        </w:rPr>
        <w:t>Proctor </w:t>
      </w:r>
      <w:r>
        <w:rPr>
          <w:color w:val="231F20"/>
          <w:w w:val="110"/>
          <w:sz w:val="18"/>
        </w:rPr>
        <w:t>provides strong, thoughtful and able chairmanship of the Ministerial Education and Training Committee</w:t>
      </w:r>
      <w:r>
        <w:rPr>
          <w:color w:val="231F20"/>
          <w:spacing w:val="34"/>
          <w:w w:val="110"/>
          <w:sz w:val="18"/>
        </w:rPr>
        <w:t> </w:t>
      </w:r>
      <w:r>
        <w:rPr>
          <w:color w:val="231F20"/>
          <w:w w:val="110"/>
          <w:sz w:val="18"/>
        </w:rPr>
        <w:t>(METC).</w:t>
      </w:r>
    </w:p>
    <w:p>
      <w:pPr>
        <w:pStyle w:val="BodyText"/>
        <w:spacing w:before="2"/>
        <w:rPr>
          <w:sz w:val="21"/>
        </w:rPr>
      </w:pPr>
    </w:p>
    <w:p>
      <w:pPr>
        <w:pStyle w:val="ListParagraph"/>
        <w:numPr>
          <w:ilvl w:val="0"/>
          <w:numId w:val="236"/>
        </w:numPr>
        <w:tabs>
          <w:tab w:pos="1313" w:val="left" w:leader="none"/>
          <w:tab w:pos="1314" w:val="left" w:leader="none"/>
        </w:tabs>
        <w:spacing w:line="273" w:lineRule="auto" w:before="0" w:after="0"/>
        <w:ind w:left="593" w:right="2005" w:firstLine="0"/>
        <w:jc w:val="left"/>
        <w:rPr>
          <w:sz w:val="18"/>
        </w:rPr>
      </w:pPr>
      <w:r>
        <w:rPr>
          <w:color w:val="231F20"/>
          <w:w w:val="110"/>
          <w:sz w:val="18"/>
        </w:rPr>
        <w:t>The college continues to admit students on a full-time or part-time basis for   the </w:t>
      </w:r>
      <w:r>
        <w:rPr>
          <w:color w:val="231F20"/>
          <w:spacing w:val="2"/>
          <w:w w:val="110"/>
          <w:sz w:val="18"/>
        </w:rPr>
        <w:t>MTh </w:t>
      </w:r>
      <w:r>
        <w:rPr>
          <w:color w:val="231F20"/>
          <w:w w:val="110"/>
          <w:sz w:val="18"/>
        </w:rPr>
        <w:t>in Applied Theology. This is suitable as an in-service </w:t>
      </w:r>
      <w:r>
        <w:rPr>
          <w:color w:val="231F20"/>
          <w:spacing w:val="2"/>
          <w:w w:val="110"/>
          <w:sz w:val="18"/>
        </w:rPr>
        <w:t>course </w:t>
      </w:r>
      <w:r>
        <w:rPr>
          <w:color w:val="231F20"/>
          <w:w w:val="110"/>
          <w:sz w:val="18"/>
        </w:rPr>
        <w:t>for ministers and CRCW’s</w:t>
      </w:r>
      <w:r>
        <w:rPr>
          <w:color w:val="231F20"/>
          <w:spacing w:val="8"/>
          <w:w w:val="110"/>
          <w:sz w:val="18"/>
        </w:rPr>
        <w:t> </w:t>
      </w:r>
      <w:r>
        <w:rPr>
          <w:color w:val="231F20"/>
          <w:w w:val="110"/>
          <w:sz w:val="18"/>
        </w:rPr>
        <w:t>at</w:t>
      </w:r>
      <w:r>
        <w:rPr>
          <w:color w:val="231F20"/>
          <w:spacing w:val="8"/>
          <w:w w:val="110"/>
          <w:sz w:val="18"/>
        </w:rPr>
        <w:t> </w:t>
      </w:r>
      <w:r>
        <w:rPr>
          <w:color w:val="231F20"/>
          <w:w w:val="110"/>
          <w:sz w:val="18"/>
        </w:rPr>
        <w:t>EM3</w:t>
      </w:r>
      <w:r>
        <w:rPr>
          <w:color w:val="231F20"/>
          <w:spacing w:val="9"/>
          <w:w w:val="110"/>
          <w:sz w:val="18"/>
        </w:rPr>
        <w:t> </w:t>
      </w:r>
      <w:r>
        <w:rPr>
          <w:color w:val="231F20"/>
          <w:w w:val="110"/>
          <w:sz w:val="18"/>
        </w:rPr>
        <w:t>level.</w:t>
      </w:r>
      <w:r>
        <w:rPr>
          <w:color w:val="231F20"/>
          <w:spacing w:val="8"/>
          <w:w w:val="110"/>
          <w:sz w:val="18"/>
        </w:rPr>
        <w:t> </w:t>
      </w:r>
      <w:r>
        <w:rPr>
          <w:color w:val="231F20"/>
          <w:w w:val="110"/>
          <w:sz w:val="18"/>
        </w:rPr>
        <w:t>At</w:t>
      </w:r>
      <w:r>
        <w:rPr>
          <w:color w:val="231F20"/>
          <w:spacing w:val="8"/>
          <w:w w:val="110"/>
          <w:sz w:val="18"/>
        </w:rPr>
        <w:t> </w:t>
      </w:r>
      <w:r>
        <w:rPr>
          <w:color w:val="231F20"/>
          <w:w w:val="110"/>
          <w:sz w:val="18"/>
        </w:rPr>
        <w:t>the</w:t>
      </w:r>
      <w:r>
        <w:rPr>
          <w:color w:val="231F20"/>
          <w:spacing w:val="9"/>
          <w:w w:val="110"/>
          <w:sz w:val="18"/>
        </w:rPr>
        <w:t> </w:t>
      </w:r>
      <w:r>
        <w:rPr>
          <w:color w:val="231F20"/>
          <w:w w:val="110"/>
          <w:sz w:val="18"/>
        </w:rPr>
        <w:t>time</w:t>
      </w:r>
      <w:r>
        <w:rPr>
          <w:color w:val="231F20"/>
          <w:spacing w:val="8"/>
          <w:w w:val="110"/>
          <w:sz w:val="18"/>
        </w:rPr>
        <w:t> </w:t>
      </w:r>
      <w:r>
        <w:rPr>
          <w:color w:val="231F20"/>
          <w:w w:val="110"/>
          <w:sz w:val="18"/>
        </w:rPr>
        <w:t>of</w:t>
      </w:r>
      <w:r>
        <w:rPr>
          <w:color w:val="231F20"/>
          <w:spacing w:val="8"/>
          <w:w w:val="110"/>
          <w:sz w:val="18"/>
        </w:rPr>
        <w:t> </w:t>
      </w:r>
      <w:r>
        <w:rPr>
          <w:color w:val="231F20"/>
          <w:w w:val="110"/>
          <w:sz w:val="18"/>
        </w:rPr>
        <w:t>writing,</w:t>
      </w:r>
      <w:r>
        <w:rPr>
          <w:color w:val="231F20"/>
          <w:spacing w:val="9"/>
          <w:w w:val="110"/>
          <w:sz w:val="18"/>
        </w:rPr>
        <w:t> </w:t>
      </w:r>
      <w:r>
        <w:rPr>
          <w:color w:val="231F20"/>
          <w:w w:val="110"/>
          <w:sz w:val="18"/>
        </w:rPr>
        <w:t>Gerald</w:t>
      </w:r>
      <w:r>
        <w:rPr>
          <w:color w:val="231F20"/>
          <w:spacing w:val="8"/>
          <w:w w:val="110"/>
          <w:sz w:val="18"/>
        </w:rPr>
        <w:t> </w:t>
      </w:r>
      <w:r>
        <w:rPr>
          <w:color w:val="231F20"/>
          <w:w w:val="110"/>
          <w:sz w:val="18"/>
        </w:rPr>
        <w:t>Moule</w:t>
      </w:r>
      <w:r>
        <w:rPr>
          <w:color w:val="231F20"/>
          <w:spacing w:val="8"/>
          <w:w w:val="110"/>
          <w:sz w:val="18"/>
        </w:rPr>
        <w:t> </w:t>
      </w:r>
      <w:r>
        <w:rPr>
          <w:color w:val="231F20"/>
          <w:w w:val="110"/>
          <w:sz w:val="18"/>
        </w:rPr>
        <w:t>is</w:t>
      </w:r>
      <w:r>
        <w:rPr>
          <w:color w:val="231F20"/>
          <w:spacing w:val="9"/>
          <w:w w:val="110"/>
          <w:sz w:val="18"/>
        </w:rPr>
        <w:t> </w:t>
      </w:r>
      <w:r>
        <w:rPr>
          <w:color w:val="231F20"/>
          <w:w w:val="110"/>
          <w:sz w:val="18"/>
        </w:rPr>
        <w:t>the</w:t>
      </w:r>
      <w:r>
        <w:rPr>
          <w:color w:val="231F20"/>
          <w:spacing w:val="8"/>
          <w:w w:val="110"/>
          <w:sz w:val="18"/>
        </w:rPr>
        <w:t> </w:t>
      </w:r>
      <w:r>
        <w:rPr>
          <w:color w:val="231F20"/>
          <w:w w:val="110"/>
          <w:sz w:val="18"/>
        </w:rPr>
        <w:t>sole</w:t>
      </w:r>
      <w:r>
        <w:rPr>
          <w:color w:val="231F20"/>
          <w:spacing w:val="9"/>
          <w:w w:val="110"/>
          <w:sz w:val="18"/>
        </w:rPr>
        <w:t> </w:t>
      </w:r>
      <w:r>
        <w:rPr>
          <w:color w:val="231F20"/>
          <w:w w:val="110"/>
          <w:sz w:val="18"/>
        </w:rPr>
        <w:t>United</w:t>
      </w:r>
      <w:r>
        <w:rPr>
          <w:color w:val="231F20"/>
          <w:spacing w:val="8"/>
          <w:w w:val="110"/>
          <w:sz w:val="18"/>
        </w:rPr>
        <w:t> </w:t>
      </w:r>
      <w:r>
        <w:rPr>
          <w:color w:val="231F20"/>
          <w:w w:val="110"/>
          <w:sz w:val="18"/>
        </w:rPr>
        <w:t>Reformed</w:t>
      </w:r>
    </w:p>
    <w:p>
      <w:pPr>
        <w:pStyle w:val="BodyText"/>
        <w:spacing w:line="273" w:lineRule="auto" w:before="2"/>
        <w:ind w:left="593" w:right="1746"/>
      </w:pPr>
      <w:r>
        <w:rPr>
          <w:color w:val="231F20"/>
          <w:w w:val="110"/>
        </w:rPr>
        <w:t>Church minister taking this course, though we have other students from overseas. The University of Oxford admits research students in theology for the MPhil and DPhil both full-time residential and part-time non-residential. We welcome United Reformed Church ministers and others to join the college to study for these as well as for the MTh.</w:t>
      </w:r>
    </w:p>
    <w:p>
      <w:pPr>
        <w:spacing w:after="0" w:line="273" w:lineRule="auto"/>
        <w:sectPr>
          <w:pgSz w:w="11910" w:h="16840"/>
          <w:pgMar w:header="558" w:footer="544" w:top="820" w:bottom="760" w:left="540" w:right="0"/>
        </w:sectPr>
      </w:pPr>
    </w:p>
    <w:p>
      <w:pPr>
        <w:pStyle w:val="BodyText"/>
        <w:spacing w:before="8"/>
        <w:rPr>
          <w:sz w:val="24"/>
        </w:rPr>
      </w:pPr>
    </w:p>
    <w:p>
      <w:pPr>
        <w:pStyle w:val="ListParagraph"/>
        <w:numPr>
          <w:ilvl w:val="0"/>
          <w:numId w:val="236"/>
        </w:numPr>
        <w:tabs>
          <w:tab w:pos="1880" w:val="left" w:leader="none"/>
          <w:tab w:pos="1881" w:val="left" w:leader="none"/>
        </w:tabs>
        <w:spacing w:line="273" w:lineRule="auto" w:before="100" w:after="0"/>
        <w:ind w:left="1160" w:right="1427" w:firstLine="0"/>
        <w:jc w:val="left"/>
        <w:rPr>
          <w:sz w:val="18"/>
        </w:rPr>
      </w:pPr>
      <w:r>
        <w:rPr>
          <w:color w:val="231F20"/>
          <w:w w:val="110"/>
          <w:sz w:val="18"/>
        </w:rPr>
        <w:t>In addition to agreeing to discontinue using Mansfield College as an institution for initial ministerial training, last year’s General Assembly also agreed the following resolution: ‘General Assembly, mindful of the past contribution of Mansfield College    to ministerial education and the advancement of theological learning among Congregational and Reformed Churches in this </w:t>
      </w:r>
      <w:r>
        <w:rPr>
          <w:color w:val="231F20"/>
          <w:spacing w:val="2"/>
          <w:w w:val="110"/>
          <w:sz w:val="18"/>
        </w:rPr>
        <w:t>country </w:t>
      </w:r>
      <w:r>
        <w:rPr>
          <w:color w:val="231F20"/>
          <w:w w:val="110"/>
          <w:sz w:val="18"/>
        </w:rPr>
        <w:t>and worldwide; recognising   the College’s desire to continue to be of </w:t>
      </w:r>
      <w:r>
        <w:rPr>
          <w:color w:val="231F20"/>
          <w:spacing w:val="2"/>
          <w:w w:val="110"/>
          <w:sz w:val="18"/>
        </w:rPr>
        <w:t>service </w:t>
      </w:r>
      <w:r>
        <w:rPr>
          <w:color w:val="231F20"/>
          <w:w w:val="110"/>
          <w:sz w:val="18"/>
        </w:rPr>
        <w:t>to the Church in the educational field; and appreciative of </w:t>
      </w:r>
      <w:r>
        <w:rPr>
          <w:color w:val="231F20"/>
          <w:spacing w:val="2"/>
          <w:w w:val="110"/>
          <w:sz w:val="18"/>
        </w:rPr>
        <w:t>resources </w:t>
      </w:r>
      <w:r>
        <w:rPr>
          <w:color w:val="231F20"/>
          <w:w w:val="110"/>
          <w:sz w:val="18"/>
        </w:rPr>
        <w:t>of </w:t>
      </w:r>
      <w:r>
        <w:rPr>
          <w:color w:val="231F20"/>
          <w:spacing w:val="2"/>
          <w:w w:val="110"/>
          <w:sz w:val="18"/>
        </w:rPr>
        <w:t>personnel </w:t>
      </w:r>
      <w:r>
        <w:rPr>
          <w:color w:val="231F20"/>
          <w:w w:val="110"/>
          <w:sz w:val="18"/>
        </w:rPr>
        <w:t>and learning materials available there and in </w:t>
      </w:r>
      <w:r>
        <w:rPr>
          <w:color w:val="231F20"/>
          <w:spacing w:val="2"/>
          <w:w w:val="110"/>
          <w:sz w:val="18"/>
        </w:rPr>
        <w:t>Oxford </w:t>
      </w:r>
      <w:r>
        <w:rPr>
          <w:color w:val="231F20"/>
          <w:w w:val="110"/>
          <w:sz w:val="18"/>
        </w:rPr>
        <w:t>University; encourages the Training Committee to continue its discussions with</w:t>
      </w:r>
      <w:r>
        <w:rPr>
          <w:color w:val="231F20"/>
          <w:spacing w:val="7"/>
          <w:w w:val="110"/>
          <w:sz w:val="18"/>
        </w:rPr>
        <w:t> </w:t>
      </w:r>
      <w:r>
        <w:rPr>
          <w:color w:val="231F20"/>
          <w:w w:val="110"/>
          <w:sz w:val="18"/>
        </w:rPr>
        <w:t>the</w:t>
      </w:r>
      <w:r>
        <w:rPr>
          <w:color w:val="231F20"/>
          <w:spacing w:val="7"/>
          <w:w w:val="110"/>
          <w:sz w:val="18"/>
        </w:rPr>
        <w:t> </w:t>
      </w:r>
      <w:r>
        <w:rPr>
          <w:color w:val="231F20"/>
          <w:w w:val="110"/>
          <w:sz w:val="18"/>
        </w:rPr>
        <w:t>College</w:t>
      </w:r>
      <w:r>
        <w:rPr>
          <w:color w:val="231F20"/>
          <w:spacing w:val="8"/>
          <w:w w:val="110"/>
          <w:sz w:val="18"/>
        </w:rPr>
        <w:t> </w:t>
      </w:r>
      <w:r>
        <w:rPr>
          <w:color w:val="231F20"/>
          <w:w w:val="110"/>
          <w:sz w:val="18"/>
        </w:rPr>
        <w:t>to</w:t>
      </w:r>
      <w:r>
        <w:rPr>
          <w:color w:val="231F20"/>
          <w:spacing w:val="7"/>
          <w:w w:val="110"/>
          <w:sz w:val="18"/>
        </w:rPr>
        <w:t> </w:t>
      </w:r>
      <w:r>
        <w:rPr>
          <w:color w:val="231F20"/>
          <w:w w:val="110"/>
          <w:sz w:val="18"/>
        </w:rPr>
        <w:t>identify</w:t>
      </w:r>
      <w:r>
        <w:rPr>
          <w:color w:val="231F20"/>
          <w:spacing w:val="7"/>
          <w:w w:val="110"/>
          <w:sz w:val="18"/>
        </w:rPr>
        <w:t> </w:t>
      </w:r>
      <w:r>
        <w:rPr>
          <w:color w:val="231F20"/>
          <w:w w:val="110"/>
          <w:sz w:val="18"/>
        </w:rPr>
        <w:t>and</w:t>
      </w:r>
      <w:r>
        <w:rPr>
          <w:color w:val="231F20"/>
          <w:spacing w:val="8"/>
          <w:w w:val="110"/>
          <w:sz w:val="18"/>
        </w:rPr>
        <w:t> </w:t>
      </w:r>
      <w:r>
        <w:rPr>
          <w:color w:val="231F20"/>
          <w:w w:val="110"/>
          <w:sz w:val="18"/>
        </w:rPr>
        <w:t>implement</w:t>
      </w:r>
      <w:r>
        <w:rPr>
          <w:color w:val="231F20"/>
          <w:spacing w:val="7"/>
          <w:w w:val="110"/>
          <w:sz w:val="18"/>
        </w:rPr>
        <w:t> </w:t>
      </w:r>
      <w:r>
        <w:rPr>
          <w:color w:val="231F20"/>
          <w:w w:val="110"/>
          <w:sz w:val="18"/>
        </w:rPr>
        <w:t>appropriate</w:t>
      </w:r>
      <w:r>
        <w:rPr>
          <w:color w:val="231F20"/>
          <w:spacing w:val="7"/>
          <w:w w:val="110"/>
          <w:sz w:val="18"/>
        </w:rPr>
        <w:t> </w:t>
      </w:r>
      <w:r>
        <w:rPr>
          <w:color w:val="231F20"/>
          <w:w w:val="110"/>
          <w:sz w:val="18"/>
        </w:rPr>
        <w:t>ways</w:t>
      </w:r>
      <w:r>
        <w:rPr>
          <w:color w:val="231F20"/>
          <w:spacing w:val="8"/>
          <w:w w:val="110"/>
          <w:sz w:val="18"/>
        </w:rPr>
        <w:t> </w:t>
      </w:r>
      <w:r>
        <w:rPr>
          <w:color w:val="231F20"/>
          <w:w w:val="110"/>
          <w:sz w:val="18"/>
        </w:rPr>
        <w:t>of</w:t>
      </w:r>
      <w:r>
        <w:rPr>
          <w:color w:val="231F20"/>
          <w:spacing w:val="7"/>
          <w:w w:val="110"/>
          <w:sz w:val="18"/>
        </w:rPr>
        <w:t> </w:t>
      </w:r>
      <w:r>
        <w:rPr>
          <w:color w:val="231F20"/>
          <w:w w:val="110"/>
          <w:sz w:val="18"/>
        </w:rPr>
        <w:t>enabling</w:t>
      </w:r>
      <w:r>
        <w:rPr>
          <w:color w:val="231F20"/>
          <w:spacing w:val="8"/>
          <w:w w:val="110"/>
          <w:sz w:val="18"/>
        </w:rPr>
        <w:t> </w:t>
      </w:r>
      <w:r>
        <w:rPr>
          <w:color w:val="231F20"/>
          <w:w w:val="110"/>
          <w:sz w:val="18"/>
        </w:rPr>
        <w:t>it</w:t>
      </w:r>
      <w:r>
        <w:rPr>
          <w:color w:val="231F20"/>
          <w:spacing w:val="7"/>
          <w:w w:val="110"/>
          <w:sz w:val="18"/>
        </w:rPr>
        <w:t> </w:t>
      </w:r>
      <w:r>
        <w:rPr>
          <w:color w:val="231F20"/>
          <w:w w:val="110"/>
          <w:sz w:val="18"/>
        </w:rPr>
        <w:t>to</w:t>
      </w:r>
      <w:r>
        <w:rPr>
          <w:color w:val="231F20"/>
          <w:spacing w:val="7"/>
          <w:w w:val="110"/>
          <w:sz w:val="18"/>
        </w:rPr>
        <w:t> </w:t>
      </w:r>
      <w:r>
        <w:rPr>
          <w:color w:val="231F20"/>
          <w:w w:val="110"/>
          <w:sz w:val="18"/>
        </w:rPr>
        <w:t>make</w:t>
      </w:r>
    </w:p>
    <w:p>
      <w:pPr>
        <w:pStyle w:val="BodyText"/>
        <w:spacing w:line="273" w:lineRule="auto" w:before="6"/>
        <w:ind w:left="1160" w:right="1746"/>
      </w:pPr>
      <w:r>
        <w:rPr>
          <w:color w:val="231F20"/>
          <w:w w:val="110"/>
        </w:rPr>
        <w:t>a distinctive contribution to the educational work of the United Reformed Church.’ The ministerial training </w:t>
      </w:r>
      <w:r>
        <w:rPr>
          <w:color w:val="231F20"/>
          <w:spacing w:val="2"/>
          <w:w w:val="110"/>
        </w:rPr>
        <w:t>course </w:t>
      </w:r>
      <w:r>
        <w:rPr>
          <w:color w:val="231F20"/>
          <w:spacing w:val="3"/>
          <w:w w:val="110"/>
        </w:rPr>
        <w:t>staff </w:t>
      </w:r>
      <w:r>
        <w:rPr>
          <w:color w:val="231F20"/>
          <w:w w:val="110"/>
        </w:rPr>
        <w:t>and </w:t>
      </w:r>
      <w:r>
        <w:rPr>
          <w:color w:val="231F20"/>
          <w:spacing w:val="2"/>
          <w:w w:val="110"/>
        </w:rPr>
        <w:t>METC </w:t>
      </w:r>
      <w:r>
        <w:rPr>
          <w:color w:val="231F20"/>
          <w:w w:val="110"/>
        </w:rPr>
        <w:t>realised that such is the current drop in</w:t>
      </w:r>
      <w:r>
        <w:rPr>
          <w:color w:val="231F20"/>
          <w:spacing w:val="8"/>
          <w:w w:val="110"/>
        </w:rPr>
        <w:t> </w:t>
      </w:r>
      <w:r>
        <w:rPr>
          <w:color w:val="231F20"/>
          <w:w w:val="110"/>
        </w:rPr>
        <w:t>ministerial</w:t>
      </w:r>
      <w:r>
        <w:rPr>
          <w:color w:val="231F20"/>
          <w:spacing w:val="9"/>
          <w:w w:val="110"/>
        </w:rPr>
        <w:t> </w:t>
      </w:r>
      <w:r>
        <w:rPr>
          <w:color w:val="231F20"/>
          <w:w w:val="110"/>
        </w:rPr>
        <w:t>vocations,</w:t>
      </w:r>
      <w:r>
        <w:rPr>
          <w:color w:val="231F20"/>
          <w:spacing w:val="9"/>
          <w:w w:val="110"/>
        </w:rPr>
        <w:t> </w:t>
      </w:r>
      <w:r>
        <w:rPr>
          <w:color w:val="231F20"/>
          <w:w w:val="110"/>
        </w:rPr>
        <w:t>there</w:t>
      </w:r>
      <w:r>
        <w:rPr>
          <w:color w:val="231F20"/>
          <w:spacing w:val="9"/>
          <w:w w:val="110"/>
        </w:rPr>
        <w:t> </w:t>
      </w:r>
      <w:r>
        <w:rPr>
          <w:color w:val="231F20"/>
          <w:w w:val="110"/>
        </w:rPr>
        <w:t>would</w:t>
      </w:r>
      <w:r>
        <w:rPr>
          <w:color w:val="231F20"/>
          <w:spacing w:val="9"/>
          <w:w w:val="110"/>
        </w:rPr>
        <w:t> </w:t>
      </w:r>
      <w:r>
        <w:rPr>
          <w:color w:val="231F20"/>
          <w:w w:val="110"/>
        </w:rPr>
        <w:t>have</w:t>
      </w:r>
      <w:r>
        <w:rPr>
          <w:color w:val="231F20"/>
          <w:spacing w:val="9"/>
          <w:w w:val="110"/>
        </w:rPr>
        <w:t> </w:t>
      </w:r>
      <w:r>
        <w:rPr>
          <w:color w:val="231F20"/>
          <w:w w:val="110"/>
        </w:rPr>
        <w:t>been</w:t>
      </w:r>
      <w:r>
        <w:rPr>
          <w:color w:val="231F20"/>
          <w:spacing w:val="9"/>
          <w:w w:val="110"/>
        </w:rPr>
        <w:t> </w:t>
      </w:r>
      <w:r>
        <w:rPr>
          <w:color w:val="231F20"/>
          <w:w w:val="110"/>
        </w:rPr>
        <w:t>little</w:t>
      </w:r>
      <w:r>
        <w:rPr>
          <w:color w:val="231F20"/>
          <w:spacing w:val="8"/>
          <w:w w:val="110"/>
        </w:rPr>
        <w:t> </w:t>
      </w:r>
      <w:r>
        <w:rPr>
          <w:color w:val="231F20"/>
          <w:spacing w:val="3"/>
          <w:w w:val="110"/>
        </w:rPr>
        <w:t>effect</w:t>
      </w:r>
      <w:r>
        <w:rPr>
          <w:color w:val="231F20"/>
          <w:spacing w:val="9"/>
          <w:w w:val="110"/>
        </w:rPr>
        <w:t> </w:t>
      </w:r>
      <w:r>
        <w:rPr>
          <w:color w:val="231F20"/>
          <w:w w:val="110"/>
        </w:rPr>
        <w:t>in</w:t>
      </w:r>
      <w:r>
        <w:rPr>
          <w:color w:val="231F20"/>
          <w:spacing w:val="9"/>
          <w:w w:val="110"/>
        </w:rPr>
        <w:t> </w:t>
      </w:r>
      <w:r>
        <w:rPr>
          <w:color w:val="231F20"/>
          <w:w w:val="110"/>
        </w:rPr>
        <w:t>opposing</w:t>
      </w:r>
      <w:r>
        <w:rPr>
          <w:color w:val="231F20"/>
          <w:spacing w:val="9"/>
          <w:w w:val="110"/>
        </w:rPr>
        <w:t> </w:t>
      </w:r>
      <w:r>
        <w:rPr>
          <w:color w:val="231F20"/>
          <w:w w:val="110"/>
        </w:rPr>
        <w:t>last</w:t>
      </w:r>
      <w:r>
        <w:rPr>
          <w:color w:val="231F20"/>
          <w:spacing w:val="9"/>
          <w:w w:val="110"/>
        </w:rPr>
        <w:t> </w:t>
      </w:r>
      <w:r>
        <w:rPr>
          <w:color w:val="231F20"/>
          <w:w w:val="110"/>
        </w:rPr>
        <w:t>year’s</w:t>
      </w:r>
    </w:p>
    <w:p>
      <w:pPr>
        <w:pStyle w:val="BodyText"/>
        <w:spacing w:line="273" w:lineRule="auto" w:before="2"/>
        <w:ind w:left="1160" w:right="1289"/>
      </w:pPr>
      <w:r>
        <w:rPr>
          <w:color w:val="231F20"/>
          <w:w w:val="110"/>
        </w:rPr>
        <w:t>substantive resolution to rationalise initial ministerial training. </w:t>
      </w:r>
      <w:r>
        <w:rPr>
          <w:color w:val="231F20"/>
          <w:spacing w:val="-3"/>
          <w:w w:val="110"/>
        </w:rPr>
        <w:t>However, </w:t>
      </w:r>
      <w:r>
        <w:rPr>
          <w:color w:val="231F20"/>
          <w:w w:val="110"/>
        </w:rPr>
        <w:t>the preceding resolution had the intention of enabling the considerable </w:t>
      </w:r>
      <w:r>
        <w:rPr>
          <w:color w:val="231F20"/>
          <w:spacing w:val="2"/>
          <w:w w:val="110"/>
        </w:rPr>
        <w:t>resources </w:t>
      </w:r>
      <w:r>
        <w:rPr>
          <w:color w:val="231F20"/>
          <w:w w:val="110"/>
        </w:rPr>
        <w:t>of the college and   of </w:t>
      </w:r>
      <w:r>
        <w:rPr>
          <w:color w:val="231F20"/>
          <w:spacing w:val="2"/>
          <w:w w:val="110"/>
        </w:rPr>
        <w:t>Oxford </w:t>
      </w:r>
      <w:r>
        <w:rPr>
          <w:color w:val="231F20"/>
          <w:w w:val="110"/>
        </w:rPr>
        <w:t>University still to be of </w:t>
      </w:r>
      <w:r>
        <w:rPr>
          <w:color w:val="231F20"/>
          <w:spacing w:val="2"/>
          <w:w w:val="110"/>
        </w:rPr>
        <w:t>service </w:t>
      </w:r>
      <w:r>
        <w:rPr>
          <w:color w:val="231F20"/>
          <w:w w:val="110"/>
        </w:rPr>
        <w:t>to the United Reformed Church. </w:t>
      </w:r>
      <w:r>
        <w:rPr>
          <w:color w:val="231F20"/>
          <w:spacing w:val="-3"/>
          <w:w w:val="110"/>
        </w:rPr>
        <w:t>We </w:t>
      </w:r>
      <w:r>
        <w:rPr>
          <w:color w:val="231F20"/>
          <w:w w:val="110"/>
        </w:rPr>
        <w:t>were </w:t>
      </w:r>
      <w:r>
        <w:rPr>
          <w:color w:val="231F20"/>
          <w:spacing w:val="2"/>
          <w:w w:val="110"/>
        </w:rPr>
        <w:t>very</w:t>
      </w:r>
      <w:r>
        <w:rPr>
          <w:color w:val="231F20"/>
          <w:spacing w:val="73"/>
          <w:w w:val="110"/>
        </w:rPr>
        <w:t> </w:t>
      </w:r>
      <w:r>
        <w:rPr>
          <w:color w:val="231F20"/>
          <w:w w:val="110"/>
        </w:rPr>
        <w:t>disappointed, then, when the United Reformed Church Training Committee</w:t>
      </w:r>
      <w:r>
        <w:rPr>
          <w:color w:val="231F20"/>
          <w:spacing w:val="12"/>
          <w:w w:val="110"/>
        </w:rPr>
        <w:t> </w:t>
      </w:r>
      <w:r>
        <w:rPr>
          <w:color w:val="231F20"/>
          <w:w w:val="110"/>
        </w:rPr>
        <w:t>decided</w:t>
      </w:r>
    </w:p>
    <w:p>
      <w:pPr>
        <w:pStyle w:val="BodyText"/>
        <w:spacing w:line="273" w:lineRule="auto" w:before="2"/>
        <w:ind w:left="1160" w:right="1378"/>
      </w:pPr>
      <w:r>
        <w:rPr>
          <w:color w:val="231F20"/>
          <w:w w:val="110"/>
        </w:rPr>
        <w:t>not to part-fund a well thought-out proposal, which we had been exploring with them   for over a </w:t>
      </w:r>
      <w:r>
        <w:rPr>
          <w:color w:val="231F20"/>
          <w:spacing w:val="-4"/>
          <w:w w:val="110"/>
        </w:rPr>
        <w:t>year. </w:t>
      </w:r>
      <w:r>
        <w:rPr>
          <w:color w:val="231F20"/>
          <w:w w:val="110"/>
        </w:rPr>
        <w:t>This was for a part-time national </w:t>
      </w:r>
      <w:r>
        <w:rPr>
          <w:color w:val="231F20"/>
          <w:spacing w:val="2"/>
          <w:w w:val="110"/>
        </w:rPr>
        <w:t>research </w:t>
      </w:r>
      <w:r>
        <w:rPr>
          <w:color w:val="231F20"/>
          <w:w w:val="110"/>
        </w:rPr>
        <w:t>coordinator for the United Reformed Church, which would have been combined with a part-time college chaplaincy at Mansfield. Despite this </w:t>
      </w:r>
      <w:r>
        <w:rPr>
          <w:color w:val="231F20"/>
          <w:spacing w:val="2"/>
          <w:w w:val="110"/>
        </w:rPr>
        <w:t>setback </w:t>
      </w:r>
      <w:r>
        <w:rPr>
          <w:color w:val="231F20"/>
          <w:w w:val="110"/>
        </w:rPr>
        <w:t>the METC remains open to </w:t>
      </w:r>
      <w:r>
        <w:rPr>
          <w:color w:val="231F20"/>
          <w:spacing w:val="2"/>
          <w:w w:val="110"/>
        </w:rPr>
        <w:t>further </w:t>
      </w:r>
      <w:r>
        <w:rPr>
          <w:color w:val="231F20"/>
          <w:w w:val="110"/>
        </w:rPr>
        <w:t>conversations with the Training Committee. </w:t>
      </w:r>
      <w:r>
        <w:rPr>
          <w:color w:val="231F20"/>
          <w:spacing w:val="-3"/>
          <w:w w:val="110"/>
        </w:rPr>
        <w:t>We </w:t>
      </w:r>
      <w:r>
        <w:rPr>
          <w:color w:val="231F20"/>
          <w:w w:val="110"/>
        </w:rPr>
        <w:t>hope, as General Assembly hoped, that Mansfield College will long continue to make a distinctive contribution to the educational work of the  United Reformed</w:t>
      </w:r>
      <w:r>
        <w:rPr>
          <w:color w:val="231F20"/>
          <w:spacing w:val="2"/>
          <w:w w:val="110"/>
        </w:rPr>
        <w:t> </w:t>
      </w:r>
      <w:r>
        <w:rPr>
          <w:color w:val="231F20"/>
          <w:w w:val="110"/>
        </w:rPr>
        <w:t>Church.</w:t>
      </w:r>
    </w:p>
    <w:p>
      <w:pPr>
        <w:pStyle w:val="BodyText"/>
        <w:spacing w:before="11"/>
        <w:rPr>
          <w:sz w:val="20"/>
        </w:rPr>
      </w:pPr>
    </w:p>
    <w:p>
      <w:pPr>
        <w:pStyle w:val="ListParagraph"/>
        <w:numPr>
          <w:ilvl w:val="0"/>
          <w:numId w:val="236"/>
        </w:numPr>
        <w:tabs>
          <w:tab w:pos="1880" w:val="left" w:leader="none"/>
          <w:tab w:pos="1881" w:val="left" w:leader="none"/>
        </w:tabs>
        <w:spacing w:line="273" w:lineRule="auto" w:before="0" w:after="0"/>
        <w:ind w:left="1160" w:right="1235" w:firstLine="0"/>
        <w:jc w:val="left"/>
        <w:rPr>
          <w:sz w:val="18"/>
        </w:rPr>
      </w:pPr>
      <w:r>
        <w:rPr>
          <w:color w:val="231F20"/>
          <w:spacing w:val="3"/>
          <w:w w:val="110"/>
          <w:sz w:val="18"/>
        </w:rPr>
        <w:t>As </w:t>
      </w:r>
      <w:r>
        <w:rPr>
          <w:color w:val="231F20"/>
          <w:w w:val="110"/>
          <w:sz w:val="18"/>
        </w:rPr>
        <w:t>the ministerial training </w:t>
      </w:r>
      <w:r>
        <w:rPr>
          <w:color w:val="231F20"/>
          <w:spacing w:val="2"/>
          <w:w w:val="110"/>
          <w:sz w:val="18"/>
        </w:rPr>
        <w:t>course </w:t>
      </w:r>
      <w:r>
        <w:rPr>
          <w:color w:val="231F20"/>
          <w:w w:val="110"/>
          <w:sz w:val="18"/>
        </w:rPr>
        <w:t>is gradually run down we would appreciate   your prayers for ordinands and </w:t>
      </w:r>
      <w:r>
        <w:rPr>
          <w:color w:val="231F20"/>
          <w:spacing w:val="3"/>
          <w:w w:val="110"/>
          <w:sz w:val="18"/>
        </w:rPr>
        <w:t>staff </w:t>
      </w:r>
      <w:r>
        <w:rPr>
          <w:color w:val="231F20"/>
          <w:w w:val="110"/>
          <w:sz w:val="18"/>
        </w:rPr>
        <w:t>as they endeavour to maintain </w:t>
      </w:r>
      <w:r>
        <w:rPr>
          <w:color w:val="231F20"/>
          <w:spacing w:val="2"/>
          <w:w w:val="110"/>
          <w:sz w:val="18"/>
        </w:rPr>
        <w:t>course </w:t>
      </w:r>
      <w:r>
        <w:rPr>
          <w:color w:val="231F20"/>
          <w:w w:val="110"/>
          <w:sz w:val="18"/>
        </w:rPr>
        <w:t>quality, commitment and community with fewer people. Pray also for the wider life of the  college, for its nearly 300 students and </w:t>
      </w:r>
      <w:r>
        <w:rPr>
          <w:color w:val="231F20"/>
          <w:spacing w:val="3"/>
          <w:w w:val="110"/>
          <w:sz w:val="18"/>
        </w:rPr>
        <w:t>staff </w:t>
      </w:r>
      <w:r>
        <w:rPr>
          <w:color w:val="231F20"/>
          <w:w w:val="110"/>
          <w:sz w:val="18"/>
        </w:rPr>
        <w:t>reading and tutoring a wide range of subjects, that the spirit of open-minded inquiry would continue to shape and enrich individuals and communities. Finally, pray for the Governing Body as it </w:t>
      </w:r>
      <w:r>
        <w:rPr>
          <w:color w:val="231F20"/>
          <w:spacing w:val="2"/>
          <w:w w:val="110"/>
          <w:sz w:val="18"/>
        </w:rPr>
        <w:t>seeks </w:t>
      </w:r>
      <w:r>
        <w:rPr>
          <w:color w:val="231F20"/>
          <w:w w:val="110"/>
          <w:sz w:val="18"/>
        </w:rPr>
        <w:t>to appoint a new Chaplain; that the worship of God and witness to the gospel would continue to be </w:t>
      </w:r>
      <w:r>
        <w:rPr>
          <w:color w:val="231F20"/>
          <w:spacing w:val="3"/>
          <w:w w:val="110"/>
          <w:sz w:val="18"/>
        </w:rPr>
        <w:t>offered </w:t>
      </w:r>
      <w:r>
        <w:rPr>
          <w:color w:val="231F20"/>
          <w:w w:val="110"/>
          <w:sz w:val="18"/>
        </w:rPr>
        <w:t>regularly in accordance with the college’s constitution and the intention of its Congregational</w:t>
      </w:r>
      <w:r>
        <w:rPr>
          <w:color w:val="231F20"/>
          <w:spacing w:val="1"/>
          <w:w w:val="110"/>
          <w:sz w:val="18"/>
        </w:rPr>
        <w:t> </w:t>
      </w:r>
      <w:r>
        <w:rPr>
          <w:color w:val="231F20"/>
          <w:w w:val="110"/>
          <w:sz w:val="18"/>
        </w:rPr>
        <w:t>founders.</w:t>
      </w:r>
    </w:p>
    <w:p>
      <w:pPr>
        <w:pStyle w:val="BodyText"/>
        <w:rPr>
          <w:sz w:val="22"/>
        </w:rPr>
      </w:pPr>
    </w:p>
    <w:p>
      <w:pPr>
        <w:pStyle w:val="BodyText"/>
        <w:rPr>
          <w:sz w:val="22"/>
        </w:rPr>
      </w:pPr>
    </w:p>
    <w:p>
      <w:pPr>
        <w:pStyle w:val="BodyText"/>
        <w:rPr>
          <w:sz w:val="22"/>
        </w:rPr>
      </w:pPr>
    </w:p>
    <w:p>
      <w:pPr>
        <w:pStyle w:val="BodyText"/>
        <w:rPr>
          <w:sz w:val="22"/>
        </w:rPr>
      </w:pPr>
    </w:p>
    <w:p>
      <w:pPr>
        <w:spacing w:before="158"/>
        <w:ind w:left="4010" w:right="4472" w:firstLine="0"/>
        <w:jc w:val="center"/>
        <w:rPr>
          <w:i/>
          <w:sz w:val="24"/>
          <w:szCs w:val="24"/>
        </w:rPr>
      </w:pPr>
      <w:r>
        <w:rPr>
          <w:i/>
          <w:color w:val="231F20"/>
          <w:w w:val="330"/>
          <w:sz w:val="24"/>
          <w:szCs w:val="24"/>
        </w:rPr>
        <w:t>���</w:t>
      </w:r>
    </w:p>
    <w:p>
      <w:pPr>
        <w:spacing w:after="0"/>
        <w:jc w:val="center"/>
        <w:rPr>
          <w:sz w:val="24"/>
          <w:szCs w:val="24"/>
        </w:rPr>
        <w:sectPr>
          <w:pgSz w:w="11910" w:h="16840"/>
          <w:pgMar w:header="558" w:footer="564" w:top="820" w:bottom="760" w:left="540" w:right="0"/>
        </w:sectPr>
      </w:pPr>
    </w:p>
    <w:p>
      <w:pPr>
        <w:spacing w:line="254" w:lineRule="auto" w:before="62"/>
        <w:ind w:left="111" w:right="1555" w:firstLine="0"/>
        <w:jc w:val="left"/>
        <w:rPr>
          <w:b/>
          <w:sz w:val="52"/>
        </w:rPr>
      </w:pPr>
      <w:r>
        <w:rPr>
          <w:b/>
          <w:color w:val="231F20"/>
          <w:spacing w:val="-8"/>
          <w:sz w:val="52"/>
        </w:rPr>
        <w:t>The </w:t>
      </w:r>
      <w:r>
        <w:rPr>
          <w:b/>
          <w:color w:val="231F20"/>
          <w:spacing w:val="-13"/>
          <w:sz w:val="52"/>
        </w:rPr>
        <w:t>Queen’s </w:t>
      </w:r>
      <w:r>
        <w:rPr>
          <w:b/>
          <w:color w:val="231F20"/>
          <w:spacing w:val="-10"/>
          <w:sz w:val="52"/>
        </w:rPr>
        <w:t>Foundation </w:t>
      </w:r>
      <w:r>
        <w:rPr>
          <w:b/>
          <w:color w:val="231F20"/>
          <w:spacing w:val="-7"/>
          <w:sz w:val="52"/>
        </w:rPr>
        <w:t>for </w:t>
      </w:r>
      <w:r>
        <w:rPr>
          <w:b/>
          <w:color w:val="231F20"/>
          <w:spacing w:val="-9"/>
          <w:sz w:val="52"/>
        </w:rPr>
        <w:t>Ecumenical Theological Education</w:t>
      </w:r>
    </w:p>
    <w:p>
      <w:pPr>
        <w:pStyle w:val="BodyText"/>
        <w:spacing w:before="6"/>
        <w:rPr>
          <w:b/>
          <w:sz w:val="25"/>
        </w:rPr>
      </w:pPr>
    </w:p>
    <w:p>
      <w:pPr>
        <w:pStyle w:val="ListParagraph"/>
        <w:numPr>
          <w:ilvl w:val="0"/>
          <w:numId w:val="237"/>
        </w:numPr>
        <w:tabs>
          <w:tab w:pos="1313" w:val="left" w:leader="none"/>
          <w:tab w:pos="1314" w:val="left" w:leader="none"/>
        </w:tabs>
        <w:spacing w:line="266" w:lineRule="auto" w:before="100" w:after="0"/>
        <w:ind w:left="594" w:right="1698" w:hanging="1"/>
        <w:jc w:val="left"/>
        <w:rPr>
          <w:sz w:val="18"/>
        </w:rPr>
      </w:pPr>
      <w:r>
        <w:rPr>
          <w:color w:val="231F20"/>
          <w:w w:val="110"/>
          <w:sz w:val="18"/>
        </w:rPr>
        <w:t>The decision of the General Assembly in 2006 not to use Queen’s for ordination training has cast a shadow </w:t>
      </w:r>
      <w:r>
        <w:rPr>
          <w:color w:val="231F20"/>
          <w:spacing w:val="-3"/>
          <w:w w:val="110"/>
          <w:sz w:val="18"/>
        </w:rPr>
        <w:t>over </w:t>
      </w:r>
      <w:r>
        <w:rPr>
          <w:color w:val="231F20"/>
          <w:w w:val="110"/>
          <w:sz w:val="18"/>
        </w:rPr>
        <w:t>what has otherwise been a year full of innovation and creativity. Much has changed to the life of Queen’s because of the inauguration of the Selly Oak Centre for Mission Studies </w:t>
      </w:r>
      <w:r>
        <w:rPr>
          <w:color w:val="231F20"/>
          <w:spacing w:val="-4"/>
          <w:w w:val="110"/>
          <w:sz w:val="18"/>
        </w:rPr>
        <w:t>(SOCMS), </w:t>
      </w:r>
      <w:r>
        <w:rPr>
          <w:color w:val="231F20"/>
          <w:w w:val="110"/>
          <w:sz w:val="18"/>
        </w:rPr>
        <w:t>the successor body to the United College  of the Ascension. This College on the Selly Oak campus in Birmingham closed in 2006 but most of its work has been continued on the Queen’s campus. Four new members of staff, drawn from the world wide church, </w:t>
      </w:r>
      <w:r>
        <w:rPr>
          <w:color w:val="231F20"/>
          <w:spacing w:val="-3"/>
          <w:w w:val="110"/>
          <w:sz w:val="18"/>
        </w:rPr>
        <w:t>have </w:t>
      </w:r>
      <w:r>
        <w:rPr>
          <w:color w:val="231F20"/>
          <w:w w:val="110"/>
          <w:sz w:val="18"/>
        </w:rPr>
        <w:t>begun work; </w:t>
      </w:r>
      <w:r>
        <w:rPr>
          <w:color w:val="231F20"/>
          <w:spacing w:val="-3"/>
          <w:w w:val="110"/>
          <w:sz w:val="18"/>
        </w:rPr>
        <w:t>12 </w:t>
      </w:r>
      <w:r>
        <w:rPr>
          <w:color w:val="231F20"/>
          <w:w w:val="110"/>
          <w:sz w:val="18"/>
        </w:rPr>
        <w:t>experienced and senior ministers and </w:t>
      </w:r>
      <w:r>
        <w:rPr>
          <w:color w:val="231F20"/>
          <w:spacing w:val="-3"/>
          <w:w w:val="110"/>
          <w:sz w:val="18"/>
        </w:rPr>
        <w:t>lay </w:t>
      </w:r>
      <w:r>
        <w:rPr>
          <w:color w:val="231F20"/>
          <w:w w:val="110"/>
          <w:sz w:val="18"/>
        </w:rPr>
        <w:t>people from 8 countries and two continents are studying a new MA in Mission and Leadership Formation; 7 mission partners from Britain (together with their </w:t>
      </w:r>
      <w:r>
        <w:rPr>
          <w:color w:val="231F20"/>
          <w:spacing w:val="-3"/>
          <w:w w:val="110"/>
          <w:sz w:val="18"/>
        </w:rPr>
        <w:t>families) </w:t>
      </w:r>
      <w:r>
        <w:rPr>
          <w:color w:val="231F20"/>
          <w:w w:val="110"/>
          <w:sz w:val="18"/>
        </w:rPr>
        <w:t>are preparing to serve in the wider world church. Their presence has enriched the experience of ordinands at Queen’s, has deepened and enlivened an international and multi-cultural </w:t>
      </w:r>
      <w:r>
        <w:rPr>
          <w:color w:val="231F20"/>
          <w:spacing w:val="-3"/>
          <w:w w:val="110"/>
          <w:sz w:val="18"/>
        </w:rPr>
        <w:t>community, </w:t>
      </w:r>
      <w:r>
        <w:rPr>
          <w:color w:val="231F20"/>
          <w:w w:val="110"/>
          <w:sz w:val="18"/>
        </w:rPr>
        <w:t>and has given a sharp mission focus to theological education and ministerial training within a global</w:t>
      </w:r>
      <w:r>
        <w:rPr>
          <w:color w:val="231F20"/>
          <w:spacing w:val="-14"/>
          <w:w w:val="110"/>
          <w:sz w:val="18"/>
        </w:rPr>
        <w:t> </w:t>
      </w:r>
      <w:r>
        <w:rPr>
          <w:color w:val="231F20"/>
          <w:w w:val="110"/>
          <w:sz w:val="18"/>
        </w:rPr>
        <w:t>context.</w:t>
      </w:r>
    </w:p>
    <w:p>
      <w:pPr>
        <w:pStyle w:val="BodyText"/>
        <w:rPr>
          <w:sz w:val="19"/>
        </w:rPr>
      </w:pPr>
    </w:p>
    <w:p>
      <w:pPr>
        <w:pStyle w:val="ListParagraph"/>
        <w:numPr>
          <w:ilvl w:val="0"/>
          <w:numId w:val="237"/>
        </w:numPr>
        <w:tabs>
          <w:tab w:pos="1313" w:val="left" w:leader="none"/>
          <w:tab w:pos="1314" w:val="left" w:leader="none"/>
        </w:tabs>
        <w:spacing w:line="266" w:lineRule="auto" w:before="1" w:after="0"/>
        <w:ind w:left="594" w:right="2122" w:hanging="1"/>
        <w:jc w:val="left"/>
        <w:rPr>
          <w:sz w:val="18"/>
        </w:rPr>
      </w:pPr>
      <w:r>
        <w:rPr>
          <w:color w:val="231F20"/>
          <w:w w:val="110"/>
          <w:sz w:val="18"/>
        </w:rPr>
        <w:t>In this context of a vibrant, growing and diverse </w:t>
      </w:r>
      <w:r>
        <w:rPr>
          <w:color w:val="231F20"/>
          <w:spacing w:val="-3"/>
          <w:w w:val="110"/>
          <w:sz w:val="18"/>
        </w:rPr>
        <w:t>community, </w:t>
      </w:r>
      <w:r>
        <w:rPr>
          <w:color w:val="231F20"/>
          <w:w w:val="110"/>
          <w:sz w:val="18"/>
        </w:rPr>
        <w:t>the decision last year</w:t>
      </w:r>
      <w:r>
        <w:rPr>
          <w:color w:val="231F20"/>
          <w:spacing w:val="-22"/>
          <w:w w:val="110"/>
          <w:sz w:val="18"/>
        </w:rPr>
        <w:t> </w:t>
      </w:r>
      <w:r>
        <w:rPr>
          <w:color w:val="231F20"/>
          <w:w w:val="110"/>
          <w:sz w:val="18"/>
        </w:rPr>
        <w:t>of</w:t>
      </w:r>
      <w:r>
        <w:rPr>
          <w:color w:val="231F20"/>
          <w:spacing w:val="-21"/>
          <w:w w:val="110"/>
          <w:sz w:val="18"/>
        </w:rPr>
        <w:t> </w:t>
      </w:r>
      <w:r>
        <w:rPr>
          <w:color w:val="231F20"/>
          <w:w w:val="110"/>
          <w:sz w:val="18"/>
        </w:rPr>
        <w:t>General</w:t>
      </w:r>
      <w:r>
        <w:rPr>
          <w:color w:val="231F20"/>
          <w:spacing w:val="-21"/>
          <w:w w:val="110"/>
          <w:sz w:val="18"/>
        </w:rPr>
        <w:t> </w:t>
      </w:r>
      <w:r>
        <w:rPr>
          <w:color w:val="231F20"/>
          <w:w w:val="110"/>
          <w:sz w:val="18"/>
        </w:rPr>
        <w:t>Assembly</w:t>
      </w:r>
      <w:r>
        <w:rPr>
          <w:color w:val="231F20"/>
          <w:spacing w:val="-21"/>
          <w:w w:val="110"/>
          <w:sz w:val="18"/>
        </w:rPr>
        <w:t> </w:t>
      </w:r>
      <w:r>
        <w:rPr>
          <w:color w:val="231F20"/>
          <w:w w:val="110"/>
          <w:sz w:val="18"/>
        </w:rPr>
        <w:t>to</w:t>
      </w:r>
      <w:r>
        <w:rPr>
          <w:color w:val="231F20"/>
          <w:spacing w:val="-21"/>
          <w:w w:val="110"/>
          <w:sz w:val="18"/>
        </w:rPr>
        <w:t> </w:t>
      </w:r>
      <w:r>
        <w:rPr>
          <w:color w:val="231F20"/>
          <w:w w:val="110"/>
          <w:sz w:val="18"/>
        </w:rPr>
        <w:t>withdraw</w:t>
      </w:r>
      <w:r>
        <w:rPr>
          <w:color w:val="231F20"/>
          <w:spacing w:val="-21"/>
          <w:w w:val="110"/>
          <w:sz w:val="18"/>
        </w:rPr>
        <w:t> </w:t>
      </w:r>
      <w:r>
        <w:rPr>
          <w:color w:val="231F20"/>
          <w:w w:val="110"/>
          <w:sz w:val="18"/>
        </w:rPr>
        <w:t>ordination</w:t>
      </w:r>
      <w:r>
        <w:rPr>
          <w:color w:val="231F20"/>
          <w:spacing w:val="-21"/>
          <w:w w:val="110"/>
          <w:sz w:val="18"/>
        </w:rPr>
        <w:t> </w:t>
      </w:r>
      <w:r>
        <w:rPr>
          <w:color w:val="231F20"/>
          <w:w w:val="110"/>
          <w:sz w:val="18"/>
        </w:rPr>
        <w:t>training</w:t>
      </w:r>
      <w:r>
        <w:rPr>
          <w:color w:val="231F20"/>
          <w:spacing w:val="-21"/>
          <w:w w:val="110"/>
          <w:sz w:val="18"/>
        </w:rPr>
        <w:t> </w:t>
      </w:r>
      <w:r>
        <w:rPr>
          <w:color w:val="231F20"/>
          <w:w w:val="110"/>
          <w:sz w:val="18"/>
        </w:rPr>
        <w:t>from</w:t>
      </w:r>
      <w:r>
        <w:rPr>
          <w:color w:val="231F20"/>
          <w:spacing w:val="-21"/>
          <w:w w:val="110"/>
          <w:sz w:val="18"/>
        </w:rPr>
        <w:t> </w:t>
      </w:r>
      <w:r>
        <w:rPr>
          <w:color w:val="231F20"/>
          <w:w w:val="110"/>
          <w:sz w:val="18"/>
        </w:rPr>
        <w:t>Queen’s</w:t>
      </w:r>
      <w:r>
        <w:rPr>
          <w:color w:val="231F20"/>
          <w:spacing w:val="-21"/>
          <w:w w:val="110"/>
          <w:sz w:val="18"/>
        </w:rPr>
        <w:t> </w:t>
      </w:r>
      <w:r>
        <w:rPr>
          <w:color w:val="231F20"/>
          <w:w w:val="110"/>
          <w:sz w:val="18"/>
        </w:rPr>
        <w:t>continues</w:t>
      </w:r>
      <w:r>
        <w:rPr>
          <w:color w:val="231F20"/>
          <w:spacing w:val="-21"/>
          <w:w w:val="110"/>
          <w:sz w:val="18"/>
        </w:rPr>
        <w:t> </w:t>
      </w:r>
      <w:r>
        <w:rPr>
          <w:color w:val="231F20"/>
          <w:w w:val="110"/>
          <w:sz w:val="18"/>
        </w:rPr>
        <w:t>to</w:t>
      </w:r>
      <w:r>
        <w:rPr>
          <w:color w:val="231F20"/>
          <w:spacing w:val="-22"/>
          <w:w w:val="110"/>
          <w:sz w:val="18"/>
        </w:rPr>
        <w:t> </w:t>
      </w:r>
      <w:r>
        <w:rPr>
          <w:color w:val="231F20"/>
          <w:w w:val="110"/>
          <w:sz w:val="18"/>
        </w:rPr>
        <w:t>be</w:t>
      </w:r>
      <w:r>
        <w:rPr>
          <w:color w:val="231F20"/>
          <w:spacing w:val="-21"/>
          <w:w w:val="110"/>
          <w:sz w:val="18"/>
        </w:rPr>
        <w:t> </w:t>
      </w:r>
      <w:r>
        <w:rPr>
          <w:color w:val="231F20"/>
          <w:w w:val="110"/>
          <w:sz w:val="18"/>
        </w:rPr>
        <w:t>a</w:t>
      </w:r>
    </w:p>
    <w:p>
      <w:pPr>
        <w:pStyle w:val="BodyText"/>
        <w:spacing w:line="268" w:lineRule="auto"/>
        <w:ind w:left="593" w:right="1788" w:firstLine="1"/>
      </w:pPr>
      <w:r>
        <w:rPr>
          <w:color w:val="231F20"/>
          <w:w w:val="110"/>
        </w:rPr>
        <w:t>disappointment. So too has been the outcome of discussions with the </w:t>
      </w:r>
      <w:r>
        <w:rPr>
          <w:color w:val="231F20"/>
          <w:spacing w:val="-4"/>
          <w:w w:val="110"/>
        </w:rPr>
        <w:t>Training </w:t>
      </w:r>
      <w:r>
        <w:rPr>
          <w:color w:val="231F20"/>
          <w:w w:val="110"/>
        </w:rPr>
        <w:t>Committee about the </w:t>
      </w:r>
      <w:r>
        <w:rPr>
          <w:color w:val="231F20"/>
          <w:spacing w:val="-3"/>
          <w:w w:val="110"/>
        </w:rPr>
        <w:t>ways </w:t>
      </w:r>
      <w:r>
        <w:rPr>
          <w:color w:val="231F20"/>
          <w:w w:val="110"/>
        </w:rPr>
        <w:t>in which the United Reformed Church will continue to value and relate to Queen’s. The message last year sounded up-beat with what looked </w:t>
      </w:r>
      <w:r>
        <w:rPr>
          <w:color w:val="231F20"/>
          <w:spacing w:val="-3"/>
          <w:w w:val="110"/>
        </w:rPr>
        <w:t>like </w:t>
      </w:r>
      <w:r>
        <w:rPr>
          <w:color w:val="231F20"/>
          <w:w w:val="110"/>
        </w:rPr>
        <w:t>firm intentions to shape</w:t>
      </w:r>
      <w:r>
        <w:rPr>
          <w:color w:val="231F20"/>
          <w:spacing w:val="-23"/>
          <w:w w:val="110"/>
        </w:rPr>
        <w:t> </w:t>
      </w:r>
      <w:r>
        <w:rPr>
          <w:color w:val="231F20"/>
          <w:w w:val="110"/>
        </w:rPr>
        <w:t>new</w:t>
      </w:r>
      <w:r>
        <w:rPr>
          <w:color w:val="231F20"/>
          <w:spacing w:val="-24"/>
          <w:w w:val="110"/>
        </w:rPr>
        <w:t> </w:t>
      </w:r>
      <w:r>
        <w:rPr>
          <w:color w:val="231F20"/>
          <w:w w:val="110"/>
        </w:rPr>
        <w:t>and</w:t>
      </w:r>
      <w:r>
        <w:rPr>
          <w:color w:val="231F20"/>
          <w:spacing w:val="-23"/>
          <w:w w:val="110"/>
        </w:rPr>
        <w:t> </w:t>
      </w:r>
      <w:r>
        <w:rPr>
          <w:color w:val="231F20"/>
          <w:w w:val="110"/>
        </w:rPr>
        <w:t>mutually</w:t>
      </w:r>
      <w:r>
        <w:rPr>
          <w:color w:val="231F20"/>
          <w:spacing w:val="-24"/>
          <w:w w:val="110"/>
        </w:rPr>
        <w:t> </w:t>
      </w:r>
      <w:r>
        <w:rPr>
          <w:color w:val="231F20"/>
          <w:w w:val="110"/>
        </w:rPr>
        <w:t>beneficial</w:t>
      </w:r>
      <w:r>
        <w:rPr>
          <w:color w:val="231F20"/>
          <w:spacing w:val="-23"/>
          <w:w w:val="110"/>
        </w:rPr>
        <w:t> </w:t>
      </w:r>
      <w:r>
        <w:rPr>
          <w:color w:val="231F20"/>
          <w:w w:val="110"/>
        </w:rPr>
        <w:t>partnerships</w:t>
      </w:r>
      <w:r>
        <w:rPr>
          <w:color w:val="231F20"/>
          <w:spacing w:val="-23"/>
          <w:w w:val="110"/>
        </w:rPr>
        <w:t> </w:t>
      </w:r>
      <w:r>
        <w:rPr>
          <w:color w:val="231F20"/>
          <w:w w:val="110"/>
        </w:rPr>
        <w:t>that</w:t>
      </w:r>
      <w:r>
        <w:rPr>
          <w:color w:val="231F20"/>
          <w:spacing w:val="-23"/>
          <w:w w:val="110"/>
        </w:rPr>
        <w:t> </w:t>
      </w:r>
      <w:r>
        <w:rPr>
          <w:color w:val="231F20"/>
          <w:w w:val="110"/>
        </w:rPr>
        <w:t>would</w:t>
      </w:r>
      <w:r>
        <w:rPr>
          <w:color w:val="231F20"/>
          <w:spacing w:val="-24"/>
          <w:w w:val="110"/>
        </w:rPr>
        <w:t> </w:t>
      </w:r>
      <w:r>
        <w:rPr>
          <w:color w:val="231F20"/>
          <w:w w:val="110"/>
        </w:rPr>
        <w:t>complement</w:t>
      </w:r>
      <w:r>
        <w:rPr>
          <w:color w:val="231F20"/>
          <w:spacing w:val="-23"/>
          <w:w w:val="110"/>
        </w:rPr>
        <w:t> </w:t>
      </w:r>
      <w:r>
        <w:rPr>
          <w:color w:val="231F20"/>
          <w:w w:val="110"/>
        </w:rPr>
        <w:t>the</w:t>
      </w:r>
      <w:r>
        <w:rPr>
          <w:color w:val="231F20"/>
          <w:spacing w:val="-22"/>
          <w:w w:val="110"/>
        </w:rPr>
        <w:t> </w:t>
      </w:r>
      <w:r>
        <w:rPr>
          <w:color w:val="231F20"/>
          <w:w w:val="110"/>
        </w:rPr>
        <w:t>provision</w:t>
      </w:r>
      <w:r>
        <w:rPr>
          <w:color w:val="231F20"/>
          <w:spacing w:val="-24"/>
          <w:w w:val="110"/>
        </w:rPr>
        <w:t> </w:t>
      </w:r>
      <w:r>
        <w:rPr>
          <w:color w:val="231F20"/>
          <w:w w:val="110"/>
        </w:rPr>
        <w:t>at</w:t>
      </w:r>
      <w:r>
        <w:rPr>
          <w:color w:val="231F20"/>
          <w:spacing w:val="-24"/>
          <w:w w:val="110"/>
        </w:rPr>
        <w:t> </w:t>
      </w:r>
      <w:r>
        <w:rPr>
          <w:color w:val="231F20"/>
          <w:w w:val="110"/>
        </w:rPr>
        <w:t>the two</w:t>
      </w:r>
      <w:r>
        <w:rPr>
          <w:color w:val="231F20"/>
          <w:spacing w:val="-19"/>
          <w:w w:val="110"/>
        </w:rPr>
        <w:t> </w:t>
      </w:r>
      <w:r>
        <w:rPr>
          <w:color w:val="231F20"/>
          <w:w w:val="110"/>
        </w:rPr>
        <w:t>designated</w:t>
      </w:r>
      <w:r>
        <w:rPr>
          <w:color w:val="231F20"/>
          <w:spacing w:val="-18"/>
          <w:w w:val="110"/>
        </w:rPr>
        <w:t> </w:t>
      </w:r>
      <w:r>
        <w:rPr>
          <w:color w:val="231F20"/>
          <w:w w:val="110"/>
        </w:rPr>
        <w:t>colleges.</w:t>
      </w:r>
      <w:r>
        <w:rPr>
          <w:color w:val="231F20"/>
          <w:spacing w:val="34"/>
          <w:w w:val="110"/>
        </w:rPr>
        <w:t> </w:t>
      </w:r>
      <w:r>
        <w:rPr>
          <w:color w:val="231F20"/>
          <w:spacing w:val="-4"/>
          <w:w w:val="110"/>
        </w:rPr>
        <w:t>Sadly,</w:t>
      </w:r>
      <w:r>
        <w:rPr>
          <w:color w:val="231F20"/>
          <w:spacing w:val="-18"/>
          <w:w w:val="110"/>
        </w:rPr>
        <w:t> </w:t>
      </w:r>
      <w:r>
        <w:rPr>
          <w:color w:val="231F20"/>
          <w:w w:val="110"/>
        </w:rPr>
        <w:t>a</w:t>
      </w:r>
      <w:r>
        <w:rPr>
          <w:color w:val="231F20"/>
          <w:spacing w:val="-18"/>
          <w:w w:val="110"/>
        </w:rPr>
        <w:t> </w:t>
      </w:r>
      <w:r>
        <w:rPr>
          <w:color w:val="231F20"/>
          <w:w w:val="110"/>
        </w:rPr>
        <w:t>proposal</w:t>
      </w:r>
      <w:r>
        <w:rPr>
          <w:color w:val="231F20"/>
          <w:spacing w:val="-19"/>
          <w:w w:val="110"/>
        </w:rPr>
        <w:t> </w:t>
      </w:r>
      <w:r>
        <w:rPr>
          <w:color w:val="231F20"/>
          <w:w w:val="110"/>
        </w:rPr>
        <w:t>from</w:t>
      </w:r>
      <w:r>
        <w:rPr>
          <w:color w:val="231F20"/>
          <w:spacing w:val="-18"/>
          <w:w w:val="110"/>
        </w:rPr>
        <w:t> </w:t>
      </w:r>
      <w:r>
        <w:rPr>
          <w:color w:val="231F20"/>
          <w:w w:val="110"/>
        </w:rPr>
        <w:t>Queen’s</w:t>
      </w:r>
      <w:r>
        <w:rPr>
          <w:color w:val="231F20"/>
          <w:spacing w:val="-18"/>
          <w:w w:val="110"/>
        </w:rPr>
        <w:t> </w:t>
      </w:r>
      <w:r>
        <w:rPr>
          <w:color w:val="231F20"/>
          <w:w w:val="110"/>
        </w:rPr>
        <w:t>to</w:t>
      </w:r>
      <w:r>
        <w:rPr>
          <w:color w:val="231F20"/>
          <w:spacing w:val="-19"/>
          <w:w w:val="110"/>
        </w:rPr>
        <w:t> </w:t>
      </w:r>
      <w:r>
        <w:rPr>
          <w:color w:val="231F20"/>
          <w:w w:val="110"/>
        </w:rPr>
        <w:t>enable</w:t>
      </w:r>
      <w:r>
        <w:rPr>
          <w:color w:val="231F20"/>
          <w:spacing w:val="-18"/>
          <w:w w:val="110"/>
        </w:rPr>
        <w:t> </w:t>
      </w:r>
      <w:r>
        <w:rPr>
          <w:color w:val="231F20"/>
          <w:w w:val="110"/>
        </w:rPr>
        <w:t>the</w:t>
      </w:r>
      <w:r>
        <w:rPr>
          <w:color w:val="231F20"/>
          <w:spacing w:val="-18"/>
          <w:w w:val="110"/>
        </w:rPr>
        <w:t> </w:t>
      </w:r>
      <w:r>
        <w:rPr>
          <w:color w:val="231F20"/>
          <w:w w:val="110"/>
        </w:rPr>
        <w:t>specialist</w:t>
      </w:r>
      <w:r>
        <w:rPr>
          <w:color w:val="231F20"/>
          <w:spacing w:val="-18"/>
          <w:w w:val="110"/>
        </w:rPr>
        <w:t> </w:t>
      </w:r>
      <w:r>
        <w:rPr>
          <w:color w:val="231F20"/>
          <w:w w:val="110"/>
        </w:rPr>
        <w:t>resources of</w:t>
      </w:r>
      <w:r>
        <w:rPr>
          <w:color w:val="231F20"/>
          <w:spacing w:val="-23"/>
          <w:w w:val="110"/>
        </w:rPr>
        <w:t> </w:t>
      </w:r>
      <w:r>
        <w:rPr>
          <w:color w:val="231F20"/>
          <w:w w:val="110"/>
        </w:rPr>
        <w:t>the</w:t>
      </w:r>
      <w:r>
        <w:rPr>
          <w:color w:val="231F20"/>
          <w:spacing w:val="-23"/>
          <w:w w:val="110"/>
        </w:rPr>
        <w:t> </w:t>
      </w:r>
      <w:r>
        <w:rPr>
          <w:color w:val="231F20"/>
          <w:w w:val="110"/>
        </w:rPr>
        <w:t>Foundation</w:t>
      </w:r>
      <w:r>
        <w:rPr>
          <w:color w:val="231F20"/>
          <w:spacing w:val="-22"/>
          <w:w w:val="110"/>
        </w:rPr>
        <w:t> </w:t>
      </w:r>
      <w:r>
        <w:rPr>
          <w:color w:val="231F20"/>
          <w:w w:val="110"/>
        </w:rPr>
        <w:t>in</w:t>
      </w:r>
      <w:r>
        <w:rPr>
          <w:color w:val="231F20"/>
          <w:spacing w:val="-24"/>
          <w:w w:val="110"/>
        </w:rPr>
        <w:t> </w:t>
      </w:r>
      <w:r>
        <w:rPr>
          <w:color w:val="231F20"/>
          <w:w w:val="110"/>
        </w:rPr>
        <w:t>mission</w:t>
      </w:r>
      <w:r>
        <w:rPr>
          <w:color w:val="231F20"/>
          <w:spacing w:val="-22"/>
          <w:w w:val="110"/>
        </w:rPr>
        <w:t> </w:t>
      </w:r>
      <w:r>
        <w:rPr>
          <w:color w:val="231F20"/>
          <w:w w:val="110"/>
        </w:rPr>
        <w:t>and</w:t>
      </w:r>
      <w:r>
        <w:rPr>
          <w:color w:val="231F20"/>
          <w:spacing w:val="-23"/>
          <w:w w:val="110"/>
        </w:rPr>
        <w:t> </w:t>
      </w:r>
      <w:r>
        <w:rPr>
          <w:color w:val="231F20"/>
          <w:w w:val="110"/>
        </w:rPr>
        <w:t>ministry</w:t>
      </w:r>
      <w:r>
        <w:rPr>
          <w:color w:val="231F20"/>
          <w:spacing w:val="-23"/>
          <w:w w:val="110"/>
        </w:rPr>
        <w:t> </w:t>
      </w:r>
      <w:r>
        <w:rPr>
          <w:color w:val="231F20"/>
          <w:w w:val="110"/>
        </w:rPr>
        <w:t>in</w:t>
      </w:r>
      <w:r>
        <w:rPr>
          <w:color w:val="231F20"/>
          <w:spacing w:val="-23"/>
          <w:w w:val="110"/>
        </w:rPr>
        <w:t> </w:t>
      </w:r>
      <w:r>
        <w:rPr>
          <w:color w:val="231F20"/>
          <w:w w:val="110"/>
        </w:rPr>
        <w:t>multi-cultural</w:t>
      </w:r>
      <w:r>
        <w:rPr>
          <w:color w:val="231F20"/>
          <w:spacing w:val="-23"/>
          <w:w w:val="110"/>
        </w:rPr>
        <w:t> </w:t>
      </w:r>
      <w:r>
        <w:rPr>
          <w:color w:val="231F20"/>
          <w:w w:val="110"/>
        </w:rPr>
        <w:t>and</w:t>
      </w:r>
      <w:r>
        <w:rPr>
          <w:color w:val="231F20"/>
          <w:spacing w:val="-22"/>
          <w:w w:val="110"/>
        </w:rPr>
        <w:t> </w:t>
      </w:r>
      <w:r>
        <w:rPr>
          <w:color w:val="231F20"/>
          <w:w w:val="110"/>
        </w:rPr>
        <w:t>multi-ethnic</w:t>
      </w:r>
      <w:r>
        <w:rPr>
          <w:color w:val="231F20"/>
          <w:spacing w:val="-23"/>
          <w:w w:val="110"/>
        </w:rPr>
        <w:t> </w:t>
      </w:r>
      <w:r>
        <w:rPr>
          <w:color w:val="231F20"/>
          <w:w w:val="110"/>
        </w:rPr>
        <w:t>contexts</w:t>
      </w:r>
      <w:r>
        <w:rPr>
          <w:color w:val="231F20"/>
          <w:spacing w:val="-22"/>
          <w:w w:val="110"/>
        </w:rPr>
        <w:t> </w:t>
      </w:r>
      <w:r>
        <w:rPr>
          <w:color w:val="231F20"/>
          <w:w w:val="110"/>
        </w:rPr>
        <w:t>has</w:t>
      </w:r>
      <w:r>
        <w:rPr>
          <w:color w:val="231F20"/>
          <w:spacing w:val="-23"/>
          <w:w w:val="110"/>
        </w:rPr>
        <w:t> </w:t>
      </w:r>
      <w:r>
        <w:rPr>
          <w:color w:val="231F20"/>
          <w:w w:val="110"/>
        </w:rPr>
        <w:t>not been</w:t>
      </w:r>
      <w:r>
        <w:rPr>
          <w:color w:val="231F20"/>
          <w:spacing w:val="-18"/>
          <w:w w:val="110"/>
        </w:rPr>
        <w:t> </w:t>
      </w:r>
      <w:r>
        <w:rPr>
          <w:color w:val="231F20"/>
          <w:w w:val="110"/>
        </w:rPr>
        <w:t>accepted.</w:t>
      </w:r>
      <w:r>
        <w:rPr>
          <w:color w:val="231F20"/>
          <w:spacing w:val="-18"/>
          <w:w w:val="110"/>
        </w:rPr>
        <w:t> </w:t>
      </w:r>
      <w:r>
        <w:rPr>
          <w:color w:val="231F20"/>
          <w:w w:val="110"/>
        </w:rPr>
        <w:t>There</w:t>
      </w:r>
      <w:r>
        <w:rPr>
          <w:color w:val="231F20"/>
          <w:spacing w:val="-17"/>
          <w:w w:val="110"/>
        </w:rPr>
        <w:t> </w:t>
      </w:r>
      <w:r>
        <w:rPr>
          <w:color w:val="231F20"/>
          <w:spacing w:val="-3"/>
          <w:w w:val="110"/>
        </w:rPr>
        <w:t>have</w:t>
      </w:r>
      <w:r>
        <w:rPr>
          <w:color w:val="231F20"/>
          <w:spacing w:val="-17"/>
          <w:w w:val="110"/>
        </w:rPr>
        <w:t> </w:t>
      </w:r>
      <w:r>
        <w:rPr>
          <w:color w:val="231F20"/>
          <w:w w:val="110"/>
        </w:rPr>
        <w:t>been</w:t>
      </w:r>
      <w:r>
        <w:rPr>
          <w:color w:val="231F20"/>
          <w:spacing w:val="-17"/>
          <w:w w:val="110"/>
        </w:rPr>
        <w:t> </w:t>
      </w:r>
      <w:r>
        <w:rPr>
          <w:color w:val="231F20"/>
          <w:w w:val="110"/>
        </w:rPr>
        <w:t>no</w:t>
      </w:r>
      <w:r>
        <w:rPr>
          <w:color w:val="231F20"/>
          <w:spacing w:val="-18"/>
          <w:w w:val="110"/>
        </w:rPr>
        <w:t> </w:t>
      </w:r>
      <w:r>
        <w:rPr>
          <w:color w:val="231F20"/>
          <w:w w:val="110"/>
        </w:rPr>
        <w:t>proposals</w:t>
      </w:r>
      <w:r>
        <w:rPr>
          <w:color w:val="231F20"/>
          <w:spacing w:val="-17"/>
          <w:w w:val="110"/>
        </w:rPr>
        <w:t> </w:t>
      </w:r>
      <w:r>
        <w:rPr>
          <w:color w:val="231F20"/>
          <w:w w:val="110"/>
        </w:rPr>
        <w:t>from</w:t>
      </w:r>
      <w:r>
        <w:rPr>
          <w:color w:val="231F20"/>
          <w:spacing w:val="-17"/>
          <w:w w:val="110"/>
        </w:rPr>
        <w:t> </w:t>
      </w:r>
      <w:r>
        <w:rPr>
          <w:color w:val="231F20"/>
          <w:w w:val="110"/>
        </w:rPr>
        <w:t>the</w:t>
      </w:r>
      <w:r>
        <w:rPr>
          <w:color w:val="231F20"/>
          <w:spacing w:val="-17"/>
          <w:w w:val="110"/>
        </w:rPr>
        <w:t> </w:t>
      </w:r>
      <w:r>
        <w:rPr>
          <w:color w:val="231F20"/>
          <w:spacing w:val="-4"/>
          <w:w w:val="110"/>
        </w:rPr>
        <w:t>Training</w:t>
      </w:r>
      <w:r>
        <w:rPr>
          <w:color w:val="231F20"/>
          <w:spacing w:val="-18"/>
          <w:w w:val="110"/>
        </w:rPr>
        <w:t> </w:t>
      </w:r>
      <w:r>
        <w:rPr>
          <w:color w:val="231F20"/>
          <w:w w:val="110"/>
        </w:rPr>
        <w:t>Committee</w:t>
      </w:r>
      <w:r>
        <w:rPr>
          <w:color w:val="231F20"/>
          <w:spacing w:val="-17"/>
          <w:w w:val="110"/>
        </w:rPr>
        <w:t> </w:t>
      </w:r>
      <w:r>
        <w:rPr>
          <w:color w:val="231F20"/>
          <w:w w:val="110"/>
        </w:rPr>
        <w:t>that</w:t>
      </w:r>
      <w:r>
        <w:rPr>
          <w:color w:val="231F20"/>
          <w:spacing w:val="-17"/>
          <w:w w:val="110"/>
        </w:rPr>
        <w:t> </w:t>
      </w:r>
      <w:r>
        <w:rPr>
          <w:color w:val="231F20"/>
          <w:w w:val="110"/>
        </w:rPr>
        <w:t>go</w:t>
      </w:r>
      <w:r>
        <w:rPr>
          <w:color w:val="231F20"/>
          <w:spacing w:val="-17"/>
          <w:w w:val="110"/>
        </w:rPr>
        <w:t> </w:t>
      </w:r>
      <w:r>
        <w:rPr>
          <w:color w:val="231F20"/>
          <w:w w:val="110"/>
        </w:rPr>
        <w:t>beyond encouraging</w:t>
      </w:r>
      <w:r>
        <w:rPr>
          <w:color w:val="231F20"/>
          <w:spacing w:val="-20"/>
          <w:w w:val="110"/>
        </w:rPr>
        <w:t> </w:t>
      </w:r>
      <w:r>
        <w:rPr>
          <w:color w:val="231F20"/>
          <w:w w:val="110"/>
        </w:rPr>
        <w:t>Queen’s</w:t>
      </w:r>
      <w:r>
        <w:rPr>
          <w:color w:val="231F20"/>
          <w:spacing w:val="-19"/>
          <w:w w:val="110"/>
        </w:rPr>
        <w:t> </w:t>
      </w:r>
      <w:r>
        <w:rPr>
          <w:color w:val="231F20"/>
          <w:w w:val="110"/>
        </w:rPr>
        <w:t>in</w:t>
      </w:r>
      <w:r>
        <w:rPr>
          <w:color w:val="231F20"/>
          <w:spacing w:val="-20"/>
          <w:w w:val="110"/>
        </w:rPr>
        <w:t> </w:t>
      </w:r>
      <w:r>
        <w:rPr>
          <w:color w:val="231F20"/>
          <w:w w:val="110"/>
        </w:rPr>
        <w:t>our</w:t>
      </w:r>
      <w:r>
        <w:rPr>
          <w:color w:val="231F20"/>
          <w:spacing w:val="-19"/>
          <w:w w:val="110"/>
        </w:rPr>
        <w:t> </w:t>
      </w:r>
      <w:r>
        <w:rPr>
          <w:color w:val="231F20"/>
          <w:w w:val="110"/>
        </w:rPr>
        <w:t>relationship</w:t>
      </w:r>
      <w:r>
        <w:rPr>
          <w:color w:val="231F20"/>
          <w:spacing w:val="-19"/>
          <w:w w:val="110"/>
        </w:rPr>
        <w:t> </w:t>
      </w:r>
      <w:r>
        <w:rPr>
          <w:color w:val="231F20"/>
          <w:w w:val="110"/>
        </w:rPr>
        <w:t>with</w:t>
      </w:r>
      <w:r>
        <w:rPr>
          <w:color w:val="231F20"/>
          <w:spacing w:val="-19"/>
          <w:w w:val="110"/>
        </w:rPr>
        <w:t> </w:t>
      </w:r>
      <w:r>
        <w:rPr>
          <w:color w:val="231F20"/>
          <w:w w:val="110"/>
        </w:rPr>
        <w:t>the</w:t>
      </w:r>
      <w:r>
        <w:rPr>
          <w:color w:val="231F20"/>
          <w:spacing w:val="-19"/>
          <w:w w:val="110"/>
        </w:rPr>
        <w:t> </w:t>
      </w:r>
      <w:r>
        <w:rPr>
          <w:color w:val="231F20"/>
          <w:w w:val="110"/>
        </w:rPr>
        <w:t>West</w:t>
      </w:r>
      <w:r>
        <w:rPr>
          <w:color w:val="231F20"/>
          <w:spacing w:val="-19"/>
          <w:w w:val="110"/>
        </w:rPr>
        <w:t> </w:t>
      </w:r>
      <w:r>
        <w:rPr>
          <w:color w:val="231F20"/>
          <w:w w:val="110"/>
        </w:rPr>
        <w:t>Midlands</w:t>
      </w:r>
      <w:r>
        <w:rPr>
          <w:color w:val="231F20"/>
          <w:spacing w:val="-20"/>
          <w:w w:val="110"/>
        </w:rPr>
        <w:t> </w:t>
      </w:r>
      <w:r>
        <w:rPr>
          <w:color w:val="231F20"/>
          <w:w w:val="110"/>
        </w:rPr>
        <w:t>Synod</w:t>
      </w:r>
      <w:r>
        <w:rPr>
          <w:color w:val="231F20"/>
          <w:spacing w:val="-19"/>
          <w:w w:val="110"/>
        </w:rPr>
        <w:t> </w:t>
      </w:r>
      <w:r>
        <w:rPr>
          <w:color w:val="231F20"/>
          <w:w w:val="110"/>
        </w:rPr>
        <w:t>and</w:t>
      </w:r>
      <w:r>
        <w:rPr>
          <w:color w:val="231F20"/>
          <w:spacing w:val="-19"/>
          <w:w w:val="110"/>
        </w:rPr>
        <w:t> </w:t>
      </w:r>
      <w:r>
        <w:rPr>
          <w:color w:val="231F20"/>
          <w:w w:val="110"/>
        </w:rPr>
        <w:t>to</w:t>
      </w:r>
      <w:r>
        <w:rPr>
          <w:color w:val="231F20"/>
          <w:spacing w:val="-19"/>
          <w:w w:val="110"/>
        </w:rPr>
        <w:t> </w:t>
      </w:r>
      <w:r>
        <w:rPr>
          <w:color w:val="231F20"/>
          <w:w w:val="110"/>
        </w:rPr>
        <w:t>be</w:t>
      </w:r>
      <w:r>
        <w:rPr>
          <w:color w:val="231F20"/>
          <w:spacing w:val="-19"/>
          <w:w w:val="110"/>
        </w:rPr>
        <w:t> </w:t>
      </w:r>
      <w:r>
        <w:rPr>
          <w:color w:val="231F20"/>
          <w:w w:val="110"/>
        </w:rPr>
        <w:t>part</w:t>
      </w:r>
      <w:r>
        <w:rPr>
          <w:color w:val="231F20"/>
          <w:spacing w:val="-19"/>
          <w:w w:val="110"/>
        </w:rPr>
        <w:t> </w:t>
      </w:r>
      <w:r>
        <w:rPr>
          <w:color w:val="231F20"/>
          <w:w w:val="110"/>
        </w:rPr>
        <w:t>of</w:t>
      </w:r>
      <w:r>
        <w:rPr>
          <w:color w:val="231F20"/>
          <w:spacing w:val="-19"/>
          <w:w w:val="110"/>
        </w:rPr>
        <w:t> </w:t>
      </w:r>
      <w:r>
        <w:rPr>
          <w:color w:val="231F20"/>
          <w:w w:val="110"/>
        </w:rPr>
        <w:t>the emerging </w:t>
      </w:r>
      <w:r>
        <w:rPr>
          <w:color w:val="231F20"/>
          <w:spacing w:val="-7"/>
          <w:w w:val="110"/>
        </w:rPr>
        <w:t>RTP. </w:t>
      </w:r>
      <w:r>
        <w:rPr>
          <w:color w:val="231F20"/>
          <w:w w:val="110"/>
        </w:rPr>
        <w:t>While we value our relationship with the Synod, and are glad to be a lead partner</w:t>
      </w:r>
      <w:r>
        <w:rPr>
          <w:color w:val="231F20"/>
          <w:spacing w:val="-15"/>
          <w:w w:val="110"/>
        </w:rPr>
        <w:t> </w:t>
      </w:r>
      <w:r>
        <w:rPr>
          <w:color w:val="231F20"/>
          <w:w w:val="110"/>
        </w:rPr>
        <w:t>in</w:t>
      </w:r>
      <w:r>
        <w:rPr>
          <w:color w:val="231F20"/>
          <w:spacing w:val="-16"/>
          <w:w w:val="110"/>
        </w:rPr>
        <w:t> </w:t>
      </w:r>
      <w:r>
        <w:rPr>
          <w:color w:val="231F20"/>
          <w:w w:val="110"/>
        </w:rPr>
        <w:t>the</w:t>
      </w:r>
      <w:r>
        <w:rPr>
          <w:color w:val="231F20"/>
          <w:spacing w:val="-14"/>
          <w:w w:val="110"/>
        </w:rPr>
        <w:t> </w:t>
      </w:r>
      <w:r>
        <w:rPr>
          <w:color w:val="231F20"/>
          <w:spacing w:val="-7"/>
          <w:w w:val="110"/>
        </w:rPr>
        <w:t>RTP,</w:t>
      </w:r>
      <w:r>
        <w:rPr>
          <w:color w:val="231F20"/>
          <w:spacing w:val="-15"/>
          <w:w w:val="110"/>
        </w:rPr>
        <w:t> </w:t>
      </w:r>
      <w:r>
        <w:rPr>
          <w:color w:val="231F20"/>
          <w:w w:val="110"/>
        </w:rPr>
        <w:t>this</w:t>
      </w:r>
      <w:r>
        <w:rPr>
          <w:color w:val="231F20"/>
          <w:spacing w:val="-14"/>
          <w:w w:val="110"/>
        </w:rPr>
        <w:t> </w:t>
      </w:r>
      <w:r>
        <w:rPr>
          <w:color w:val="231F20"/>
          <w:w w:val="110"/>
        </w:rPr>
        <w:t>response</w:t>
      </w:r>
      <w:r>
        <w:rPr>
          <w:color w:val="231F20"/>
          <w:spacing w:val="-15"/>
          <w:w w:val="110"/>
        </w:rPr>
        <w:t> </w:t>
      </w:r>
      <w:r>
        <w:rPr>
          <w:color w:val="231F20"/>
          <w:w w:val="110"/>
        </w:rPr>
        <w:t>falls</w:t>
      </w:r>
      <w:r>
        <w:rPr>
          <w:color w:val="231F20"/>
          <w:spacing w:val="-14"/>
          <w:w w:val="110"/>
        </w:rPr>
        <w:t> </w:t>
      </w:r>
      <w:r>
        <w:rPr>
          <w:color w:val="231F20"/>
          <w:w w:val="110"/>
        </w:rPr>
        <w:t>a</w:t>
      </w:r>
      <w:r>
        <w:rPr>
          <w:color w:val="231F20"/>
          <w:spacing w:val="-15"/>
          <w:w w:val="110"/>
        </w:rPr>
        <w:t> </w:t>
      </w:r>
      <w:r>
        <w:rPr>
          <w:color w:val="231F20"/>
          <w:w w:val="110"/>
        </w:rPr>
        <w:t>long</w:t>
      </w:r>
      <w:r>
        <w:rPr>
          <w:color w:val="231F20"/>
          <w:spacing w:val="-15"/>
          <w:w w:val="110"/>
        </w:rPr>
        <w:t> </w:t>
      </w:r>
      <w:r>
        <w:rPr>
          <w:color w:val="231F20"/>
          <w:spacing w:val="-3"/>
          <w:w w:val="110"/>
        </w:rPr>
        <w:t>way</w:t>
      </w:r>
      <w:r>
        <w:rPr>
          <w:color w:val="231F20"/>
          <w:spacing w:val="-14"/>
          <w:w w:val="110"/>
        </w:rPr>
        <w:t> </w:t>
      </w:r>
      <w:r>
        <w:rPr>
          <w:color w:val="231F20"/>
          <w:w w:val="110"/>
        </w:rPr>
        <w:t>short</w:t>
      </w:r>
      <w:r>
        <w:rPr>
          <w:color w:val="231F20"/>
          <w:spacing w:val="-15"/>
          <w:w w:val="110"/>
        </w:rPr>
        <w:t> </w:t>
      </w:r>
      <w:r>
        <w:rPr>
          <w:color w:val="231F20"/>
          <w:w w:val="110"/>
        </w:rPr>
        <w:t>of</w:t>
      </w:r>
      <w:r>
        <w:rPr>
          <w:color w:val="231F20"/>
          <w:spacing w:val="-14"/>
          <w:w w:val="110"/>
        </w:rPr>
        <w:t> </w:t>
      </w:r>
      <w:r>
        <w:rPr>
          <w:color w:val="231F20"/>
          <w:w w:val="110"/>
        </w:rPr>
        <w:t>the</w:t>
      </w:r>
      <w:r>
        <w:rPr>
          <w:color w:val="231F20"/>
          <w:spacing w:val="-15"/>
          <w:w w:val="110"/>
        </w:rPr>
        <w:t> </w:t>
      </w:r>
      <w:r>
        <w:rPr>
          <w:color w:val="231F20"/>
          <w:w w:val="110"/>
        </w:rPr>
        <w:t>current</w:t>
      </w:r>
      <w:r>
        <w:rPr>
          <w:color w:val="231F20"/>
          <w:spacing w:val="-15"/>
          <w:w w:val="110"/>
        </w:rPr>
        <w:t> </w:t>
      </w:r>
      <w:r>
        <w:rPr>
          <w:color w:val="231F20"/>
          <w:w w:val="110"/>
        </w:rPr>
        <w:t>position</w:t>
      </w:r>
      <w:r>
        <w:rPr>
          <w:color w:val="231F20"/>
          <w:spacing w:val="-14"/>
          <w:w w:val="110"/>
        </w:rPr>
        <w:t> </w:t>
      </w:r>
      <w:r>
        <w:rPr>
          <w:color w:val="231F20"/>
          <w:w w:val="110"/>
        </w:rPr>
        <w:t>of</w:t>
      </w:r>
      <w:r>
        <w:rPr>
          <w:color w:val="231F20"/>
          <w:spacing w:val="-15"/>
          <w:w w:val="110"/>
        </w:rPr>
        <w:t> </w:t>
      </w:r>
      <w:r>
        <w:rPr>
          <w:color w:val="231F20"/>
          <w:w w:val="110"/>
        </w:rPr>
        <w:t>the</w:t>
      </w:r>
      <w:r>
        <w:rPr>
          <w:color w:val="231F20"/>
          <w:spacing w:val="-14"/>
          <w:w w:val="110"/>
        </w:rPr>
        <w:t> </w:t>
      </w:r>
      <w:r>
        <w:rPr>
          <w:color w:val="231F20"/>
          <w:w w:val="110"/>
        </w:rPr>
        <w:t>United Reformed</w:t>
      </w:r>
      <w:r>
        <w:rPr>
          <w:color w:val="231F20"/>
          <w:spacing w:val="-19"/>
          <w:w w:val="110"/>
        </w:rPr>
        <w:t> </w:t>
      </w:r>
      <w:r>
        <w:rPr>
          <w:color w:val="231F20"/>
          <w:w w:val="110"/>
        </w:rPr>
        <w:t>Church</w:t>
      </w:r>
      <w:r>
        <w:rPr>
          <w:color w:val="231F20"/>
          <w:spacing w:val="-19"/>
          <w:w w:val="110"/>
        </w:rPr>
        <w:t> </w:t>
      </w:r>
      <w:r>
        <w:rPr>
          <w:color w:val="231F20"/>
          <w:w w:val="110"/>
        </w:rPr>
        <w:t>as</w:t>
      </w:r>
      <w:r>
        <w:rPr>
          <w:color w:val="231F20"/>
          <w:spacing w:val="-19"/>
          <w:w w:val="110"/>
        </w:rPr>
        <w:t> </w:t>
      </w:r>
      <w:r>
        <w:rPr>
          <w:color w:val="231F20"/>
          <w:w w:val="110"/>
        </w:rPr>
        <w:t>a</w:t>
      </w:r>
      <w:r>
        <w:rPr>
          <w:color w:val="231F20"/>
          <w:spacing w:val="-19"/>
          <w:w w:val="110"/>
        </w:rPr>
        <w:t> </w:t>
      </w:r>
      <w:r>
        <w:rPr>
          <w:color w:val="231F20"/>
          <w:w w:val="110"/>
        </w:rPr>
        <w:t>sponsoring</w:t>
      </w:r>
      <w:r>
        <w:rPr>
          <w:color w:val="231F20"/>
          <w:spacing w:val="-19"/>
          <w:w w:val="110"/>
        </w:rPr>
        <w:t> </w:t>
      </w:r>
      <w:r>
        <w:rPr>
          <w:color w:val="231F20"/>
          <w:spacing w:val="-4"/>
          <w:w w:val="110"/>
        </w:rPr>
        <w:t>body,</w:t>
      </w:r>
      <w:r>
        <w:rPr>
          <w:color w:val="231F20"/>
          <w:spacing w:val="-19"/>
          <w:w w:val="110"/>
        </w:rPr>
        <w:t> </w:t>
      </w:r>
      <w:r>
        <w:rPr>
          <w:color w:val="231F20"/>
          <w:w w:val="110"/>
        </w:rPr>
        <w:t>and</w:t>
      </w:r>
      <w:r>
        <w:rPr>
          <w:color w:val="231F20"/>
          <w:spacing w:val="-19"/>
          <w:w w:val="110"/>
        </w:rPr>
        <w:t> </w:t>
      </w:r>
      <w:r>
        <w:rPr>
          <w:color w:val="231F20"/>
          <w:w w:val="110"/>
        </w:rPr>
        <w:t>leaves</w:t>
      </w:r>
      <w:r>
        <w:rPr>
          <w:color w:val="231F20"/>
          <w:spacing w:val="-18"/>
          <w:w w:val="110"/>
        </w:rPr>
        <w:t> </w:t>
      </w:r>
      <w:r>
        <w:rPr>
          <w:color w:val="231F20"/>
          <w:w w:val="110"/>
        </w:rPr>
        <w:t>unanswered</w:t>
      </w:r>
      <w:r>
        <w:rPr>
          <w:color w:val="231F20"/>
          <w:spacing w:val="-19"/>
          <w:w w:val="110"/>
        </w:rPr>
        <w:t> </w:t>
      </w:r>
      <w:r>
        <w:rPr>
          <w:color w:val="231F20"/>
          <w:spacing w:val="-3"/>
          <w:w w:val="110"/>
        </w:rPr>
        <w:t>many</w:t>
      </w:r>
      <w:r>
        <w:rPr>
          <w:color w:val="231F20"/>
          <w:spacing w:val="-19"/>
          <w:w w:val="110"/>
        </w:rPr>
        <w:t> </w:t>
      </w:r>
      <w:r>
        <w:rPr>
          <w:color w:val="231F20"/>
          <w:w w:val="110"/>
        </w:rPr>
        <w:t>questions</w:t>
      </w:r>
      <w:r>
        <w:rPr>
          <w:color w:val="231F20"/>
          <w:spacing w:val="-19"/>
          <w:w w:val="110"/>
        </w:rPr>
        <w:t> </w:t>
      </w:r>
      <w:r>
        <w:rPr>
          <w:color w:val="231F20"/>
          <w:w w:val="110"/>
        </w:rPr>
        <w:t>about</w:t>
      </w:r>
      <w:r>
        <w:rPr>
          <w:color w:val="231F20"/>
          <w:spacing w:val="-19"/>
          <w:w w:val="110"/>
        </w:rPr>
        <w:t> </w:t>
      </w:r>
      <w:r>
        <w:rPr>
          <w:color w:val="231F20"/>
          <w:w w:val="110"/>
        </w:rPr>
        <w:t>the</w:t>
      </w:r>
    </w:p>
    <w:p>
      <w:pPr>
        <w:pStyle w:val="BodyText"/>
        <w:spacing w:line="266" w:lineRule="auto"/>
        <w:ind w:left="602" w:right="1457" w:hanging="1"/>
      </w:pPr>
      <w:r>
        <w:rPr>
          <w:color w:val="231F20"/>
          <w:w w:val="110"/>
        </w:rPr>
        <w:t>current</w:t>
      </w:r>
      <w:r>
        <w:rPr>
          <w:color w:val="231F20"/>
          <w:spacing w:val="-19"/>
          <w:w w:val="110"/>
        </w:rPr>
        <w:t> </w:t>
      </w:r>
      <w:r>
        <w:rPr>
          <w:color w:val="231F20"/>
          <w:w w:val="110"/>
        </w:rPr>
        <w:t>role</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United</w:t>
      </w:r>
      <w:r>
        <w:rPr>
          <w:color w:val="231F20"/>
          <w:spacing w:val="-19"/>
          <w:w w:val="110"/>
        </w:rPr>
        <w:t> </w:t>
      </w:r>
      <w:r>
        <w:rPr>
          <w:color w:val="231F20"/>
          <w:w w:val="110"/>
        </w:rPr>
        <w:t>Reformed</w:t>
      </w:r>
      <w:r>
        <w:rPr>
          <w:color w:val="231F20"/>
          <w:spacing w:val="-18"/>
          <w:w w:val="110"/>
        </w:rPr>
        <w:t> </w:t>
      </w:r>
      <w:r>
        <w:rPr>
          <w:color w:val="231F20"/>
          <w:w w:val="110"/>
        </w:rPr>
        <w:t>Church</w:t>
      </w:r>
      <w:r>
        <w:rPr>
          <w:color w:val="231F20"/>
          <w:spacing w:val="-18"/>
          <w:w w:val="110"/>
        </w:rPr>
        <w:t> </w:t>
      </w:r>
      <w:r>
        <w:rPr>
          <w:color w:val="231F20"/>
          <w:w w:val="110"/>
        </w:rPr>
        <w:t>in</w:t>
      </w:r>
      <w:r>
        <w:rPr>
          <w:color w:val="231F20"/>
          <w:spacing w:val="-19"/>
          <w:w w:val="110"/>
        </w:rPr>
        <w:t> </w:t>
      </w:r>
      <w:r>
        <w:rPr>
          <w:color w:val="231F20"/>
          <w:w w:val="110"/>
        </w:rPr>
        <w:t>the</w:t>
      </w:r>
      <w:r>
        <w:rPr>
          <w:color w:val="231F20"/>
          <w:spacing w:val="-18"/>
          <w:w w:val="110"/>
        </w:rPr>
        <w:t> </w:t>
      </w:r>
      <w:r>
        <w:rPr>
          <w:color w:val="231F20"/>
          <w:w w:val="110"/>
        </w:rPr>
        <w:t>governance</w:t>
      </w:r>
      <w:r>
        <w:rPr>
          <w:color w:val="231F20"/>
          <w:spacing w:val="-18"/>
          <w:w w:val="110"/>
        </w:rPr>
        <w:t> </w:t>
      </w:r>
      <w:r>
        <w:rPr>
          <w:color w:val="231F20"/>
          <w:w w:val="110"/>
        </w:rPr>
        <w:t>of</w:t>
      </w:r>
      <w:r>
        <w:rPr>
          <w:color w:val="231F20"/>
          <w:spacing w:val="-18"/>
          <w:w w:val="110"/>
        </w:rPr>
        <w:t> </w:t>
      </w:r>
      <w:r>
        <w:rPr>
          <w:color w:val="231F20"/>
          <w:w w:val="110"/>
        </w:rPr>
        <w:t>the</w:t>
      </w:r>
      <w:r>
        <w:rPr>
          <w:color w:val="231F20"/>
          <w:spacing w:val="-18"/>
          <w:w w:val="110"/>
        </w:rPr>
        <w:t> </w:t>
      </w:r>
      <w:r>
        <w:rPr>
          <w:color w:val="231F20"/>
          <w:w w:val="110"/>
        </w:rPr>
        <w:t>Foundation.</w:t>
      </w:r>
      <w:r>
        <w:rPr>
          <w:color w:val="231F20"/>
          <w:spacing w:val="-18"/>
          <w:w w:val="110"/>
        </w:rPr>
        <w:t> </w:t>
      </w:r>
      <w:r>
        <w:rPr>
          <w:color w:val="231F20"/>
          <w:spacing w:val="-4"/>
          <w:w w:val="110"/>
        </w:rPr>
        <w:t>We</w:t>
      </w:r>
      <w:r>
        <w:rPr>
          <w:color w:val="231F20"/>
          <w:spacing w:val="-18"/>
          <w:w w:val="110"/>
        </w:rPr>
        <w:t> </w:t>
      </w:r>
      <w:r>
        <w:rPr>
          <w:color w:val="231F20"/>
          <w:w w:val="110"/>
        </w:rPr>
        <w:t>continue to</w:t>
      </w:r>
      <w:r>
        <w:rPr>
          <w:color w:val="231F20"/>
          <w:spacing w:val="-19"/>
          <w:w w:val="110"/>
        </w:rPr>
        <w:t> </w:t>
      </w:r>
      <w:r>
        <w:rPr>
          <w:color w:val="231F20"/>
          <w:w w:val="110"/>
        </w:rPr>
        <w:t>be</w:t>
      </w:r>
      <w:r>
        <w:rPr>
          <w:color w:val="231F20"/>
          <w:spacing w:val="-18"/>
          <w:w w:val="110"/>
        </w:rPr>
        <w:t> </w:t>
      </w:r>
      <w:r>
        <w:rPr>
          <w:color w:val="231F20"/>
          <w:w w:val="110"/>
        </w:rPr>
        <w:t>disappointed</w:t>
      </w:r>
      <w:r>
        <w:rPr>
          <w:color w:val="231F20"/>
          <w:spacing w:val="-18"/>
          <w:w w:val="110"/>
        </w:rPr>
        <w:t> </w:t>
      </w:r>
      <w:r>
        <w:rPr>
          <w:color w:val="231F20"/>
          <w:w w:val="110"/>
        </w:rPr>
        <w:t>and</w:t>
      </w:r>
      <w:r>
        <w:rPr>
          <w:color w:val="231F20"/>
          <w:spacing w:val="-19"/>
          <w:w w:val="110"/>
        </w:rPr>
        <w:t> </w:t>
      </w:r>
      <w:r>
        <w:rPr>
          <w:color w:val="231F20"/>
          <w:w w:val="110"/>
        </w:rPr>
        <w:t>frustrated</w:t>
      </w:r>
      <w:r>
        <w:rPr>
          <w:color w:val="231F20"/>
          <w:spacing w:val="-18"/>
          <w:w w:val="110"/>
        </w:rPr>
        <w:t> </w:t>
      </w:r>
      <w:r>
        <w:rPr>
          <w:color w:val="231F20"/>
          <w:w w:val="110"/>
        </w:rPr>
        <w:t>by</w:t>
      </w:r>
      <w:r>
        <w:rPr>
          <w:color w:val="231F20"/>
          <w:spacing w:val="-18"/>
          <w:w w:val="110"/>
        </w:rPr>
        <w:t> </w:t>
      </w:r>
      <w:r>
        <w:rPr>
          <w:color w:val="231F20"/>
          <w:w w:val="110"/>
        </w:rPr>
        <w:t>this,</w:t>
      </w:r>
      <w:r>
        <w:rPr>
          <w:color w:val="231F20"/>
          <w:spacing w:val="-19"/>
          <w:w w:val="110"/>
        </w:rPr>
        <w:t> </w:t>
      </w:r>
      <w:r>
        <w:rPr>
          <w:color w:val="231F20"/>
          <w:w w:val="110"/>
        </w:rPr>
        <w:t>but</w:t>
      </w:r>
      <w:r>
        <w:rPr>
          <w:color w:val="231F20"/>
          <w:spacing w:val="-18"/>
          <w:w w:val="110"/>
        </w:rPr>
        <w:t> </w:t>
      </w:r>
      <w:r>
        <w:rPr>
          <w:color w:val="231F20"/>
          <w:w w:val="110"/>
        </w:rPr>
        <w:t>do</w:t>
      </w:r>
      <w:r>
        <w:rPr>
          <w:color w:val="231F20"/>
          <w:spacing w:val="-18"/>
          <w:w w:val="110"/>
        </w:rPr>
        <w:t> </w:t>
      </w:r>
      <w:r>
        <w:rPr>
          <w:color w:val="231F20"/>
          <w:w w:val="110"/>
        </w:rPr>
        <w:t>not</w:t>
      </w:r>
      <w:r>
        <w:rPr>
          <w:color w:val="231F20"/>
          <w:spacing w:val="-19"/>
          <w:w w:val="110"/>
        </w:rPr>
        <w:t> </w:t>
      </w:r>
      <w:r>
        <w:rPr>
          <w:color w:val="231F20"/>
          <w:w w:val="110"/>
        </w:rPr>
        <w:t>see</w:t>
      </w:r>
      <w:r>
        <w:rPr>
          <w:color w:val="231F20"/>
          <w:spacing w:val="-18"/>
          <w:w w:val="110"/>
        </w:rPr>
        <w:t> </w:t>
      </w:r>
      <w:r>
        <w:rPr>
          <w:color w:val="231F20"/>
          <w:w w:val="110"/>
        </w:rPr>
        <w:t>grounds</w:t>
      </w:r>
      <w:r>
        <w:rPr>
          <w:color w:val="231F20"/>
          <w:spacing w:val="-18"/>
          <w:w w:val="110"/>
        </w:rPr>
        <w:t> </w:t>
      </w:r>
      <w:r>
        <w:rPr>
          <w:color w:val="231F20"/>
          <w:w w:val="110"/>
        </w:rPr>
        <w:t>for</w:t>
      </w:r>
      <w:r>
        <w:rPr>
          <w:color w:val="231F20"/>
          <w:spacing w:val="-18"/>
          <w:w w:val="110"/>
        </w:rPr>
        <w:t> </w:t>
      </w:r>
      <w:r>
        <w:rPr>
          <w:color w:val="231F20"/>
          <w:w w:val="110"/>
        </w:rPr>
        <w:t>hope</w:t>
      </w:r>
      <w:r>
        <w:rPr>
          <w:color w:val="231F20"/>
          <w:spacing w:val="-19"/>
          <w:w w:val="110"/>
        </w:rPr>
        <w:t> </w:t>
      </w:r>
      <w:r>
        <w:rPr>
          <w:color w:val="231F20"/>
          <w:w w:val="110"/>
        </w:rPr>
        <w:t>that</w:t>
      </w:r>
      <w:r>
        <w:rPr>
          <w:color w:val="231F20"/>
          <w:spacing w:val="-18"/>
          <w:w w:val="110"/>
        </w:rPr>
        <w:t> </w:t>
      </w:r>
      <w:r>
        <w:rPr>
          <w:color w:val="231F20"/>
          <w:w w:val="110"/>
        </w:rPr>
        <w:t>this</w:t>
      </w:r>
      <w:r>
        <w:rPr>
          <w:color w:val="231F20"/>
          <w:spacing w:val="-18"/>
          <w:w w:val="110"/>
        </w:rPr>
        <w:t> </w:t>
      </w:r>
      <w:r>
        <w:rPr>
          <w:color w:val="231F20"/>
          <w:w w:val="110"/>
        </w:rPr>
        <w:t>will</w:t>
      </w:r>
      <w:r>
        <w:rPr>
          <w:color w:val="231F20"/>
          <w:spacing w:val="-19"/>
          <w:w w:val="110"/>
        </w:rPr>
        <w:t> </w:t>
      </w:r>
      <w:r>
        <w:rPr>
          <w:color w:val="231F20"/>
          <w:w w:val="110"/>
        </w:rPr>
        <w:t>change.</w:t>
      </w:r>
    </w:p>
    <w:p>
      <w:pPr>
        <w:pStyle w:val="BodyText"/>
        <w:spacing w:before="6"/>
        <w:rPr>
          <w:sz w:val="19"/>
        </w:rPr>
      </w:pPr>
    </w:p>
    <w:p>
      <w:pPr>
        <w:pStyle w:val="ListParagraph"/>
        <w:numPr>
          <w:ilvl w:val="0"/>
          <w:numId w:val="237"/>
        </w:numPr>
        <w:tabs>
          <w:tab w:pos="1313" w:val="left" w:leader="none"/>
          <w:tab w:pos="1314" w:val="left" w:leader="none"/>
        </w:tabs>
        <w:spacing w:line="266" w:lineRule="auto" w:before="0" w:after="0"/>
        <w:ind w:left="594" w:right="1940" w:hanging="1"/>
        <w:jc w:val="left"/>
        <w:rPr>
          <w:sz w:val="18"/>
        </w:rPr>
      </w:pPr>
      <w:r>
        <w:rPr>
          <w:color w:val="231F20"/>
          <w:w w:val="110"/>
          <w:sz w:val="18"/>
        </w:rPr>
        <w:t>Nonetheless,</w:t>
      </w:r>
      <w:r>
        <w:rPr>
          <w:color w:val="231F20"/>
          <w:spacing w:val="-16"/>
          <w:w w:val="110"/>
          <w:sz w:val="18"/>
        </w:rPr>
        <w:t> </w:t>
      </w:r>
      <w:r>
        <w:rPr>
          <w:color w:val="231F20"/>
          <w:w w:val="110"/>
          <w:sz w:val="18"/>
        </w:rPr>
        <w:t>the</w:t>
      </w:r>
      <w:r>
        <w:rPr>
          <w:color w:val="231F20"/>
          <w:spacing w:val="-16"/>
          <w:w w:val="110"/>
          <w:sz w:val="18"/>
        </w:rPr>
        <w:t> </w:t>
      </w:r>
      <w:r>
        <w:rPr>
          <w:color w:val="231F20"/>
          <w:w w:val="110"/>
          <w:sz w:val="18"/>
        </w:rPr>
        <w:t>Foundation</w:t>
      </w:r>
      <w:r>
        <w:rPr>
          <w:color w:val="231F20"/>
          <w:spacing w:val="-15"/>
          <w:w w:val="110"/>
          <w:sz w:val="18"/>
        </w:rPr>
        <w:t> </w:t>
      </w:r>
      <w:r>
        <w:rPr>
          <w:color w:val="231F20"/>
          <w:w w:val="110"/>
          <w:sz w:val="18"/>
        </w:rPr>
        <w:t>is</w:t>
      </w:r>
      <w:r>
        <w:rPr>
          <w:color w:val="231F20"/>
          <w:spacing w:val="-15"/>
          <w:w w:val="110"/>
          <w:sz w:val="18"/>
        </w:rPr>
        <w:t> </w:t>
      </w:r>
      <w:r>
        <w:rPr>
          <w:color w:val="231F20"/>
          <w:w w:val="110"/>
          <w:sz w:val="18"/>
        </w:rPr>
        <w:t>a</w:t>
      </w:r>
      <w:r>
        <w:rPr>
          <w:color w:val="231F20"/>
          <w:spacing w:val="-16"/>
          <w:w w:val="110"/>
          <w:sz w:val="18"/>
        </w:rPr>
        <w:t> </w:t>
      </w:r>
      <w:r>
        <w:rPr>
          <w:color w:val="231F20"/>
          <w:w w:val="110"/>
          <w:sz w:val="18"/>
        </w:rPr>
        <w:t>lively</w:t>
      </w:r>
      <w:r>
        <w:rPr>
          <w:color w:val="231F20"/>
          <w:spacing w:val="-16"/>
          <w:w w:val="110"/>
          <w:sz w:val="18"/>
        </w:rPr>
        <w:t> </w:t>
      </w:r>
      <w:r>
        <w:rPr>
          <w:color w:val="231F20"/>
          <w:w w:val="110"/>
          <w:sz w:val="18"/>
        </w:rPr>
        <w:t>and</w:t>
      </w:r>
      <w:r>
        <w:rPr>
          <w:color w:val="231F20"/>
          <w:spacing w:val="-15"/>
          <w:w w:val="110"/>
          <w:sz w:val="18"/>
        </w:rPr>
        <w:t> </w:t>
      </w:r>
      <w:r>
        <w:rPr>
          <w:color w:val="231F20"/>
          <w:w w:val="110"/>
          <w:sz w:val="18"/>
        </w:rPr>
        <w:t>invigorating</w:t>
      </w:r>
      <w:r>
        <w:rPr>
          <w:color w:val="231F20"/>
          <w:spacing w:val="-15"/>
          <w:w w:val="110"/>
          <w:sz w:val="18"/>
        </w:rPr>
        <w:t> </w:t>
      </w:r>
      <w:r>
        <w:rPr>
          <w:color w:val="231F20"/>
          <w:w w:val="110"/>
          <w:sz w:val="18"/>
        </w:rPr>
        <w:t>place.</w:t>
      </w:r>
      <w:r>
        <w:rPr>
          <w:color w:val="231F20"/>
          <w:spacing w:val="-16"/>
          <w:w w:val="110"/>
          <w:sz w:val="18"/>
        </w:rPr>
        <w:t> </w:t>
      </w:r>
      <w:r>
        <w:rPr>
          <w:color w:val="231F20"/>
          <w:spacing w:val="-4"/>
          <w:w w:val="110"/>
          <w:sz w:val="18"/>
        </w:rPr>
        <w:t>We</w:t>
      </w:r>
      <w:r>
        <w:rPr>
          <w:color w:val="231F20"/>
          <w:spacing w:val="-16"/>
          <w:w w:val="110"/>
          <w:sz w:val="18"/>
        </w:rPr>
        <w:t> </w:t>
      </w:r>
      <w:r>
        <w:rPr>
          <w:color w:val="231F20"/>
          <w:w w:val="110"/>
          <w:sz w:val="18"/>
        </w:rPr>
        <w:t>are</w:t>
      </w:r>
      <w:r>
        <w:rPr>
          <w:color w:val="231F20"/>
          <w:spacing w:val="-15"/>
          <w:w w:val="110"/>
          <w:sz w:val="18"/>
        </w:rPr>
        <w:t> </w:t>
      </w:r>
      <w:r>
        <w:rPr>
          <w:color w:val="231F20"/>
          <w:w w:val="110"/>
          <w:sz w:val="18"/>
        </w:rPr>
        <w:t>encouraged by</w:t>
      </w:r>
      <w:r>
        <w:rPr>
          <w:color w:val="231F20"/>
          <w:spacing w:val="-15"/>
          <w:w w:val="110"/>
          <w:sz w:val="18"/>
        </w:rPr>
        <w:t> </w:t>
      </w:r>
      <w:r>
        <w:rPr>
          <w:color w:val="231F20"/>
          <w:w w:val="110"/>
          <w:sz w:val="18"/>
        </w:rPr>
        <w:t>the</w:t>
      </w:r>
      <w:r>
        <w:rPr>
          <w:color w:val="231F20"/>
          <w:spacing w:val="-15"/>
          <w:w w:val="110"/>
          <w:sz w:val="18"/>
        </w:rPr>
        <w:t> </w:t>
      </w:r>
      <w:r>
        <w:rPr>
          <w:color w:val="231F20"/>
          <w:spacing w:val="-3"/>
          <w:w w:val="110"/>
          <w:sz w:val="18"/>
        </w:rPr>
        <w:t>way</w:t>
      </w:r>
      <w:r>
        <w:rPr>
          <w:color w:val="231F20"/>
          <w:spacing w:val="-14"/>
          <w:w w:val="110"/>
          <w:sz w:val="18"/>
        </w:rPr>
        <w:t> </w:t>
      </w:r>
      <w:r>
        <w:rPr>
          <w:color w:val="231F20"/>
          <w:w w:val="110"/>
          <w:sz w:val="18"/>
        </w:rPr>
        <w:t>the</w:t>
      </w:r>
      <w:r>
        <w:rPr>
          <w:color w:val="231F20"/>
          <w:spacing w:val="-15"/>
          <w:w w:val="110"/>
          <w:sz w:val="18"/>
        </w:rPr>
        <w:t> </w:t>
      </w:r>
      <w:r>
        <w:rPr>
          <w:color w:val="231F20"/>
          <w:w w:val="110"/>
          <w:sz w:val="18"/>
        </w:rPr>
        <w:t>two</w:t>
      </w:r>
      <w:r>
        <w:rPr>
          <w:color w:val="231F20"/>
          <w:spacing w:val="-14"/>
          <w:w w:val="110"/>
          <w:sz w:val="18"/>
        </w:rPr>
        <w:t> </w:t>
      </w:r>
      <w:r>
        <w:rPr>
          <w:color w:val="231F20"/>
          <w:w w:val="110"/>
          <w:sz w:val="18"/>
        </w:rPr>
        <w:t>main</w:t>
      </w:r>
      <w:r>
        <w:rPr>
          <w:color w:val="231F20"/>
          <w:spacing w:val="-15"/>
          <w:w w:val="110"/>
          <w:sz w:val="18"/>
        </w:rPr>
        <w:t> </w:t>
      </w:r>
      <w:r>
        <w:rPr>
          <w:color w:val="231F20"/>
          <w:w w:val="110"/>
          <w:sz w:val="18"/>
        </w:rPr>
        <w:t>sponsoring</w:t>
      </w:r>
      <w:r>
        <w:rPr>
          <w:color w:val="231F20"/>
          <w:spacing w:val="-14"/>
          <w:w w:val="110"/>
          <w:sz w:val="18"/>
        </w:rPr>
        <w:t> </w:t>
      </w:r>
      <w:r>
        <w:rPr>
          <w:color w:val="231F20"/>
          <w:w w:val="110"/>
          <w:sz w:val="18"/>
        </w:rPr>
        <w:t>churches</w:t>
      </w:r>
      <w:r>
        <w:rPr>
          <w:color w:val="231F20"/>
          <w:spacing w:val="-14"/>
          <w:w w:val="110"/>
          <w:sz w:val="18"/>
        </w:rPr>
        <w:t> </w:t>
      </w:r>
      <w:r>
        <w:rPr>
          <w:color w:val="231F20"/>
          <w:w w:val="110"/>
          <w:sz w:val="18"/>
        </w:rPr>
        <w:t>are</w:t>
      </w:r>
      <w:r>
        <w:rPr>
          <w:color w:val="231F20"/>
          <w:spacing w:val="-15"/>
          <w:w w:val="110"/>
          <w:sz w:val="18"/>
        </w:rPr>
        <w:t> </w:t>
      </w:r>
      <w:r>
        <w:rPr>
          <w:color w:val="231F20"/>
          <w:w w:val="110"/>
          <w:sz w:val="18"/>
        </w:rPr>
        <w:t>indicating</w:t>
      </w:r>
      <w:r>
        <w:rPr>
          <w:color w:val="231F20"/>
          <w:spacing w:val="-14"/>
          <w:w w:val="110"/>
          <w:sz w:val="18"/>
        </w:rPr>
        <w:t> </w:t>
      </w:r>
      <w:r>
        <w:rPr>
          <w:color w:val="231F20"/>
          <w:w w:val="110"/>
          <w:sz w:val="18"/>
        </w:rPr>
        <w:t>their</w:t>
      </w:r>
      <w:r>
        <w:rPr>
          <w:color w:val="231F20"/>
          <w:spacing w:val="-15"/>
          <w:w w:val="110"/>
          <w:sz w:val="18"/>
        </w:rPr>
        <w:t> </w:t>
      </w:r>
      <w:r>
        <w:rPr>
          <w:color w:val="231F20"/>
          <w:w w:val="110"/>
          <w:sz w:val="18"/>
        </w:rPr>
        <w:t>commitment</w:t>
      </w:r>
      <w:r>
        <w:rPr>
          <w:color w:val="231F20"/>
          <w:spacing w:val="-14"/>
          <w:w w:val="110"/>
          <w:sz w:val="18"/>
        </w:rPr>
        <w:t> </w:t>
      </w:r>
      <w:r>
        <w:rPr>
          <w:color w:val="231F20"/>
          <w:w w:val="110"/>
          <w:sz w:val="18"/>
        </w:rPr>
        <w:t>to</w:t>
      </w:r>
      <w:r>
        <w:rPr>
          <w:color w:val="231F20"/>
          <w:spacing w:val="-15"/>
          <w:w w:val="110"/>
          <w:sz w:val="18"/>
        </w:rPr>
        <w:t> </w:t>
      </w:r>
      <w:r>
        <w:rPr>
          <w:color w:val="231F20"/>
          <w:w w:val="110"/>
          <w:sz w:val="18"/>
        </w:rPr>
        <w:t>Queen’s to</w:t>
      </w:r>
      <w:r>
        <w:rPr>
          <w:color w:val="231F20"/>
          <w:spacing w:val="-13"/>
          <w:w w:val="110"/>
          <w:sz w:val="18"/>
        </w:rPr>
        <w:t> </w:t>
      </w:r>
      <w:r>
        <w:rPr>
          <w:color w:val="231F20"/>
          <w:w w:val="110"/>
          <w:sz w:val="18"/>
        </w:rPr>
        <w:t>train</w:t>
      </w:r>
      <w:r>
        <w:rPr>
          <w:color w:val="231F20"/>
          <w:spacing w:val="-12"/>
          <w:w w:val="110"/>
          <w:sz w:val="18"/>
        </w:rPr>
        <w:t> </w:t>
      </w:r>
      <w:r>
        <w:rPr>
          <w:color w:val="231F20"/>
          <w:w w:val="110"/>
          <w:sz w:val="18"/>
        </w:rPr>
        <w:t>both</w:t>
      </w:r>
      <w:r>
        <w:rPr>
          <w:color w:val="231F20"/>
          <w:spacing w:val="-11"/>
          <w:w w:val="110"/>
          <w:sz w:val="18"/>
        </w:rPr>
        <w:t> </w:t>
      </w:r>
      <w:r>
        <w:rPr>
          <w:color w:val="231F20"/>
          <w:w w:val="110"/>
          <w:sz w:val="18"/>
        </w:rPr>
        <w:t>full</w:t>
      </w:r>
      <w:r>
        <w:rPr>
          <w:color w:val="231F20"/>
          <w:spacing w:val="-11"/>
          <w:w w:val="110"/>
          <w:sz w:val="18"/>
        </w:rPr>
        <w:t> </w:t>
      </w:r>
      <w:r>
        <w:rPr>
          <w:color w:val="231F20"/>
          <w:w w:val="110"/>
          <w:sz w:val="18"/>
        </w:rPr>
        <w:t>and</w:t>
      </w:r>
      <w:r>
        <w:rPr>
          <w:color w:val="231F20"/>
          <w:spacing w:val="-13"/>
          <w:w w:val="110"/>
          <w:sz w:val="18"/>
        </w:rPr>
        <w:t> </w:t>
      </w:r>
      <w:r>
        <w:rPr>
          <w:color w:val="231F20"/>
          <w:spacing w:val="-3"/>
          <w:w w:val="110"/>
          <w:sz w:val="18"/>
        </w:rPr>
        <w:t>part-time</w:t>
      </w:r>
      <w:r>
        <w:rPr>
          <w:color w:val="231F20"/>
          <w:spacing w:val="-11"/>
          <w:w w:val="110"/>
          <w:sz w:val="18"/>
        </w:rPr>
        <w:t> </w:t>
      </w:r>
      <w:r>
        <w:rPr>
          <w:color w:val="231F20"/>
          <w:w w:val="110"/>
          <w:sz w:val="18"/>
        </w:rPr>
        <w:t>ordinands.</w:t>
      </w:r>
      <w:r>
        <w:rPr>
          <w:color w:val="231F20"/>
          <w:spacing w:val="-11"/>
          <w:w w:val="110"/>
          <w:sz w:val="18"/>
        </w:rPr>
        <w:t> </w:t>
      </w:r>
      <w:r>
        <w:rPr>
          <w:color w:val="231F20"/>
          <w:spacing w:val="-4"/>
          <w:w w:val="110"/>
          <w:sz w:val="18"/>
        </w:rPr>
        <w:t>We</w:t>
      </w:r>
      <w:r>
        <w:rPr>
          <w:color w:val="231F20"/>
          <w:spacing w:val="-12"/>
          <w:w w:val="110"/>
          <w:sz w:val="18"/>
        </w:rPr>
        <w:t> </w:t>
      </w:r>
      <w:r>
        <w:rPr>
          <w:color w:val="231F20"/>
          <w:w w:val="110"/>
          <w:sz w:val="18"/>
        </w:rPr>
        <w:t>are</w:t>
      </w:r>
      <w:r>
        <w:rPr>
          <w:color w:val="231F20"/>
          <w:spacing w:val="-13"/>
          <w:w w:val="110"/>
          <w:sz w:val="18"/>
        </w:rPr>
        <w:t> </w:t>
      </w:r>
      <w:r>
        <w:rPr>
          <w:color w:val="231F20"/>
          <w:w w:val="110"/>
          <w:sz w:val="18"/>
        </w:rPr>
        <w:t>greatly</w:t>
      </w:r>
      <w:r>
        <w:rPr>
          <w:color w:val="231F20"/>
          <w:spacing w:val="-11"/>
          <w:w w:val="110"/>
          <w:sz w:val="18"/>
        </w:rPr>
        <w:t> </w:t>
      </w:r>
      <w:r>
        <w:rPr>
          <w:color w:val="231F20"/>
          <w:w w:val="110"/>
          <w:sz w:val="18"/>
        </w:rPr>
        <w:t>encouraged</w:t>
      </w:r>
      <w:r>
        <w:rPr>
          <w:color w:val="231F20"/>
          <w:spacing w:val="-12"/>
          <w:w w:val="110"/>
          <w:sz w:val="18"/>
        </w:rPr>
        <w:t> </w:t>
      </w:r>
      <w:r>
        <w:rPr>
          <w:color w:val="231F20"/>
          <w:w w:val="110"/>
          <w:sz w:val="18"/>
        </w:rPr>
        <w:t>by</w:t>
      </w:r>
      <w:r>
        <w:rPr>
          <w:color w:val="231F20"/>
          <w:spacing w:val="-12"/>
          <w:w w:val="110"/>
          <w:sz w:val="18"/>
        </w:rPr>
        <w:t> </w:t>
      </w:r>
      <w:r>
        <w:rPr>
          <w:color w:val="231F20"/>
          <w:w w:val="110"/>
          <w:sz w:val="18"/>
        </w:rPr>
        <w:t>the</w:t>
      </w:r>
      <w:r>
        <w:rPr>
          <w:color w:val="231F20"/>
          <w:spacing w:val="-13"/>
          <w:w w:val="110"/>
          <w:sz w:val="18"/>
        </w:rPr>
        <w:t> </w:t>
      </w:r>
      <w:r>
        <w:rPr>
          <w:color w:val="231F20"/>
          <w:w w:val="110"/>
          <w:sz w:val="18"/>
        </w:rPr>
        <w:t>discussions</w:t>
      </w:r>
    </w:p>
    <w:p>
      <w:pPr>
        <w:pStyle w:val="BodyText"/>
        <w:spacing w:line="271" w:lineRule="auto"/>
        <w:ind w:left="593" w:right="1132" w:firstLine="3"/>
      </w:pPr>
      <w:r>
        <w:rPr>
          <w:color w:val="231F20"/>
          <w:w w:val="110"/>
        </w:rPr>
        <w:t>taking place with Black Majority Churches and their desire to use Queen’s in the training and education</w:t>
      </w:r>
      <w:r>
        <w:rPr>
          <w:color w:val="231F20"/>
          <w:spacing w:val="-13"/>
          <w:w w:val="110"/>
        </w:rPr>
        <w:t> </w:t>
      </w:r>
      <w:r>
        <w:rPr>
          <w:color w:val="231F20"/>
          <w:w w:val="110"/>
        </w:rPr>
        <w:t>of</w:t>
      </w:r>
      <w:r>
        <w:rPr>
          <w:color w:val="231F20"/>
          <w:spacing w:val="-12"/>
          <w:w w:val="110"/>
        </w:rPr>
        <w:t> </w:t>
      </w:r>
      <w:r>
        <w:rPr>
          <w:color w:val="231F20"/>
          <w:w w:val="110"/>
        </w:rPr>
        <w:t>their</w:t>
      </w:r>
      <w:r>
        <w:rPr>
          <w:color w:val="231F20"/>
          <w:spacing w:val="-12"/>
          <w:w w:val="110"/>
        </w:rPr>
        <w:t> </w:t>
      </w:r>
      <w:r>
        <w:rPr>
          <w:color w:val="231F20"/>
          <w:w w:val="110"/>
        </w:rPr>
        <w:t>pastors</w:t>
      </w:r>
      <w:r>
        <w:rPr>
          <w:color w:val="231F20"/>
          <w:spacing w:val="-12"/>
          <w:w w:val="110"/>
        </w:rPr>
        <w:t> </w:t>
      </w:r>
      <w:r>
        <w:rPr>
          <w:color w:val="231F20"/>
          <w:w w:val="110"/>
        </w:rPr>
        <w:t>and</w:t>
      </w:r>
      <w:r>
        <w:rPr>
          <w:color w:val="231F20"/>
          <w:spacing w:val="-12"/>
          <w:w w:val="110"/>
        </w:rPr>
        <w:t> </w:t>
      </w:r>
      <w:r>
        <w:rPr>
          <w:color w:val="231F20"/>
          <w:spacing w:val="-3"/>
          <w:w w:val="110"/>
        </w:rPr>
        <w:t>lay</w:t>
      </w:r>
      <w:r>
        <w:rPr>
          <w:color w:val="231F20"/>
          <w:spacing w:val="-12"/>
          <w:w w:val="110"/>
        </w:rPr>
        <w:t> </w:t>
      </w:r>
      <w:r>
        <w:rPr>
          <w:color w:val="231F20"/>
          <w:w w:val="110"/>
        </w:rPr>
        <w:t>leaders.</w:t>
      </w:r>
      <w:r>
        <w:rPr>
          <w:color w:val="231F20"/>
          <w:spacing w:val="-11"/>
          <w:w w:val="110"/>
        </w:rPr>
        <w:t> </w:t>
      </w:r>
      <w:r>
        <w:rPr>
          <w:color w:val="231F20"/>
          <w:spacing w:val="-4"/>
          <w:w w:val="110"/>
        </w:rPr>
        <w:t>We</w:t>
      </w:r>
      <w:r>
        <w:rPr>
          <w:color w:val="231F20"/>
          <w:spacing w:val="-13"/>
          <w:w w:val="110"/>
        </w:rPr>
        <w:t> </w:t>
      </w:r>
      <w:r>
        <w:rPr>
          <w:color w:val="231F20"/>
          <w:w w:val="110"/>
        </w:rPr>
        <w:t>are</w:t>
      </w:r>
      <w:r>
        <w:rPr>
          <w:color w:val="231F20"/>
          <w:spacing w:val="-12"/>
          <w:w w:val="110"/>
        </w:rPr>
        <w:t> </w:t>
      </w:r>
      <w:r>
        <w:rPr>
          <w:color w:val="231F20"/>
          <w:w w:val="110"/>
        </w:rPr>
        <w:t>glad</w:t>
      </w:r>
      <w:r>
        <w:rPr>
          <w:color w:val="231F20"/>
          <w:spacing w:val="-11"/>
          <w:w w:val="110"/>
        </w:rPr>
        <w:t> </w:t>
      </w:r>
      <w:r>
        <w:rPr>
          <w:color w:val="231F20"/>
          <w:w w:val="110"/>
        </w:rPr>
        <w:t>that</w:t>
      </w:r>
      <w:r>
        <w:rPr>
          <w:color w:val="231F20"/>
          <w:spacing w:val="-12"/>
          <w:w w:val="110"/>
        </w:rPr>
        <w:t> </w:t>
      </w:r>
      <w:r>
        <w:rPr>
          <w:color w:val="231F20"/>
          <w:w w:val="110"/>
        </w:rPr>
        <w:t>the</w:t>
      </w:r>
      <w:r>
        <w:rPr>
          <w:color w:val="231F20"/>
          <w:spacing w:val="-13"/>
          <w:w w:val="110"/>
        </w:rPr>
        <w:t> </w:t>
      </w:r>
      <w:r>
        <w:rPr>
          <w:color w:val="231F20"/>
          <w:w w:val="110"/>
        </w:rPr>
        <w:t>three</w:t>
      </w:r>
      <w:r>
        <w:rPr>
          <w:color w:val="231F20"/>
          <w:spacing w:val="-12"/>
          <w:w w:val="110"/>
        </w:rPr>
        <w:t> </w:t>
      </w:r>
      <w:r>
        <w:rPr>
          <w:color w:val="231F20"/>
          <w:w w:val="110"/>
        </w:rPr>
        <w:t>United</w:t>
      </w:r>
      <w:r>
        <w:rPr>
          <w:color w:val="231F20"/>
          <w:spacing w:val="-12"/>
          <w:w w:val="110"/>
        </w:rPr>
        <w:t> </w:t>
      </w:r>
      <w:r>
        <w:rPr>
          <w:color w:val="231F20"/>
          <w:w w:val="110"/>
        </w:rPr>
        <w:t>Reformed</w:t>
      </w:r>
      <w:r>
        <w:rPr>
          <w:color w:val="231F20"/>
          <w:spacing w:val="-12"/>
          <w:w w:val="110"/>
        </w:rPr>
        <w:t> </w:t>
      </w:r>
      <w:r>
        <w:rPr>
          <w:color w:val="231F20"/>
          <w:w w:val="110"/>
        </w:rPr>
        <w:t>Church ordinands are keen to continue their training at Queen’s. </w:t>
      </w:r>
      <w:r>
        <w:rPr>
          <w:color w:val="231F20"/>
          <w:spacing w:val="-4"/>
          <w:w w:val="110"/>
        </w:rPr>
        <w:t>We </w:t>
      </w:r>
      <w:r>
        <w:rPr>
          <w:color w:val="231F20"/>
          <w:w w:val="110"/>
        </w:rPr>
        <w:t>welcome the number of United Reformed Church ministers who are currently doing post-graduate work in the Foundation through</w:t>
      </w:r>
      <w:r>
        <w:rPr>
          <w:color w:val="231F20"/>
          <w:spacing w:val="-10"/>
          <w:w w:val="110"/>
        </w:rPr>
        <w:t> </w:t>
      </w:r>
      <w:r>
        <w:rPr>
          <w:color w:val="231F20"/>
          <w:w w:val="110"/>
        </w:rPr>
        <w:t>the</w:t>
      </w:r>
      <w:r>
        <w:rPr>
          <w:color w:val="231F20"/>
          <w:spacing w:val="-10"/>
          <w:w w:val="110"/>
        </w:rPr>
        <w:t> </w:t>
      </w:r>
      <w:r>
        <w:rPr>
          <w:color w:val="231F20"/>
          <w:w w:val="110"/>
        </w:rPr>
        <w:t>Graduate</w:t>
      </w:r>
      <w:r>
        <w:rPr>
          <w:color w:val="231F20"/>
          <w:spacing w:val="-9"/>
          <w:w w:val="110"/>
        </w:rPr>
        <w:t> </w:t>
      </w:r>
      <w:r>
        <w:rPr>
          <w:color w:val="231F20"/>
          <w:w w:val="110"/>
        </w:rPr>
        <w:t>and</w:t>
      </w:r>
      <w:r>
        <w:rPr>
          <w:color w:val="231F20"/>
          <w:spacing w:val="-10"/>
          <w:w w:val="110"/>
        </w:rPr>
        <w:t> </w:t>
      </w:r>
      <w:r>
        <w:rPr>
          <w:color w:val="231F20"/>
          <w:w w:val="110"/>
        </w:rPr>
        <w:t>Research</w:t>
      </w:r>
      <w:r>
        <w:rPr>
          <w:color w:val="231F20"/>
          <w:spacing w:val="-10"/>
          <w:w w:val="110"/>
        </w:rPr>
        <w:t> </w:t>
      </w:r>
      <w:r>
        <w:rPr>
          <w:color w:val="231F20"/>
          <w:w w:val="110"/>
        </w:rPr>
        <w:t>Centre</w:t>
      </w:r>
      <w:r>
        <w:rPr>
          <w:color w:val="231F20"/>
          <w:spacing w:val="-10"/>
          <w:w w:val="110"/>
        </w:rPr>
        <w:t> </w:t>
      </w:r>
      <w:r>
        <w:rPr>
          <w:color w:val="231F20"/>
          <w:w w:val="110"/>
        </w:rPr>
        <w:t>through</w:t>
      </w:r>
      <w:r>
        <w:rPr>
          <w:color w:val="231F20"/>
          <w:spacing w:val="-9"/>
          <w:w w:val="110"/>
        </w:rPr>
        <w:t> </w:t>
      </w:r>
      <w:r>
        <w:rPr>
          <w:color w:val="231F20"/>
          <w:w w:val="110"/>
        </w:rPr>
        <w:t>independent</w:t>
      </w:r>
      <w:r>
        <w:rPr>
          <w:color w:val="231F20"/>
          <w:spacing w:val="-9"/>
          <w:w w:val="110"/>
        </w:rPr>
        <w:t> </w:t>
      </w:r>
      <w:r>
        <w:rPr>
          <w:color w:val="231F20"/>
          <w:spacing w:val="2"/>
          <w:w w:val="110"/>
        </w:rPr>
        <w:t>efforts</w:t>
      </w:r>
      <w:r>
        <w:rPr>
          <w:color w:val="231F20"/>
          <w:spacing w:val="-9"/>
          <w:w w:val="110"/>
        </w:rPr>
        <w:t> </w:t>
      </w:r>
      <w:r>
        <w:rPr>
          <w:color w:val="231F20"/>
          <w:w w:val="110"/>
        </w:rPr>
        <w:t>and</w:t>
      </w:r>
      <w:r>
        <w:rPr>
          <w:color w:val="231F20"/>
          <w:spacing w:val="-10"/>
          <w:w w:val="110"/>
        </w:rPr>
        <w:t> </w:t>
      </w:r>
      <w:r>
        <w:rPr>
          <w:color w:val="231F20"/>
          <w:w w:val="110"/>
        </w:rPr>
        <w:t>contacts.</w:t>
      </w:r>
    </w:p>
    <w:p>
      <w:pPr>
        <w:pStyle w:val="BodyText"/>
        <w:spacing w:before="7"/>
        <w:rPr>
          <w:sz w:val="19"/>
        </w:rPr>
      </w:pPr>
    </w:p>
    <w:p>
      <w:pPr>
        <w:pStyle w:val="ListParagraph"/>
        <w:numPr>
          <w:ilvl w:val="0"/>
          <w:numId w:val="237"/>
        </w:numPr>
        <w:tabs>
          <w:tab w:pos="1313" w:val="left" w:leader="none"/>
          <w:tab w:pos="1314" w:val="left" w:leader="none"/>
        </w:tabs>
        <w:spacing w:line="266" w:lineRule="auto" w:before="0" w:after="0"/>
        <w:ind w:left="593" w:right="1840" w:firstLine="0"/>
        <w:jc w:val="left"/>
        <w:rPr>
          <w:i/>
          <w:sz w:val="18"/>
        </w:rPr>
      </w:pPr>
      <w:r>
        <w:rPr>
          <w:color w:val="231F20"/>
          <w:w w:val="110"/>
          <w:sz w:val="18"/>
        </w:rPr>
        <w:t>Staff research and publications continue in the course of the busy life of the Foundation,</w:t>
      </w:r>
      <w:r>
        <w:rPr>
          <w:color w:val="231F20"/>
          <w:spacing w:val="-10"/>
          <w:w w:val="110"/>
          <w:sz w:val="18"/>
        </w:rPr>
        <w:t> </w:t>
      </w:r>
      <w:r>
        <w:rPr>
          <w:color w:val="231F20"/>
          <w:w w:val="110"/>
          <w:sz w:val="18"/>
        </w:rPr>
        <w:t>including:</w:t>
      </w:r>
      <w:r>
        <w:rPr>
          <w:color w:val="231F20"/>
          <w:spacing w:val="-11"/>
          <w:w w:val="110"/>
          <w:sz w:val="18"/>
        </w:rPr>
        <w:t> </w:t>
      </w:r>
      <w:r>
        <w:rPr>
          <w:b/>
          <w:color w:val="231F20"/>
          <w:w w:val="110"/>
          <w:sz w:val="18"/>
        </w:rPr>
        <w:t>Stephen</w:t>
      </w:r>
      <w:r>
        <w:rPr>
          <w:b/>
          <w:color w:val="231F20"/>
          <w:spacing w:val="-10"/>
          <w:w w:val="110"/>
          <w:sz w:val="18"/>
        </w:rPr>
        <w:t> </w:t>
      </w:r>
      <w:r>
        <w:rPr>
          <w:b/>
          <w:color w:val="231F20"/>
          <w:w w:val="110"/>
          <w:sz w:val="18"/>
        </w:rPr>
        <w:t>Burns</w:t>
      </w:r>
      <w:r>
        <w:rPr>
          <w:color w:val="231F20"/>
          <w:w w:val="110"/>
          <w:sz w:val="18"/>
        </w:rPr>
        <w:t>:</w:t>
      </w:r>
      <w:r>
        <w:rPr>
          <w:color w:val="231F20"/>
          <w:spacing w:val="-10"/>
          <w:w w:val="110"/>
          <w:sz w:val="18"/>
        </w:rPr>
        <w:t> </w:t>
      </w:r>
      <w:r>
        <w:rPr>
          <w:i/>
          <w:color w:val="231F20"/>
          <w:w w:val="110"/>
          <w:sz w:val="18"/>
        </w:rPr>
        <w:t>Liturgy</w:t>
      </w:r>
      <w:r>
        <w:rPr>
          <w:i/>
          <w:color w:val="231F20"/>
          <w:spacing w:val="-9"/>
          <w:w w:val="110"/>
          <w:sz w:val="18"/>
        </w:rPr>
        <w:t> </w:t>
      </w:r>
      <w:r>
        <w:rPr>
          <w:color w:val="231F20"/>
          <w:spacing w:val="-3"/>
          <w:w w:val="110"/>
          <w:sz w:val="18"/>
        </w:rPr>
        <w:t>(London:</w:t>
      </w:r>
      <w:r>
        <w:rPr>
          <w:color w:val="231F20"/>
          <w:spacing w:val="-10"/>
          <w:w w:val="110"/>
          <w:sz w:val="18"/>
        </w:rPr>
        <w:t> </w:t>
      </w:r>
      <w:r>
        <w:rPr>
          <w:color w:val="231F20"/>
          <w:w w:val="110"/>
          <w:sz w:val="18"/>
        </w:rPr>
        <w:t>SCM,</w:t>
      </w:r>
      <w:r>
        <w:rPr>
          <w:color w:val="231F20"/>
          <w:spacing w:val="-10"/>
          <w:w w:val="110"/>
          <w:sz w:val="18"/>
        </w:rPr>
        <w:t> </w:t>
      </w:r>
      <w:r>
        <w:rPr>
          <w:color w:val="231F20"/>
          <w:spacing w:val="-5"/>
          <w:w w:val="110"/>
          <w:sz w:val="18"/>
        </w:rPr>
        <w:t>2006);</w:t>
      </w:r>
      <w:r>
        <w:rPr>
          <w:color w:val="231F20"/>
          <w:spacing w:val="-10"/>
          <w:w w:val="110"/>
          <w:sz w:val="18"/>
        </w:rPr>
        <w:t> </w:t>
      </w:r>
      <w:r>
        <w:rPr>
          <w:i/>
          <w:color w:val="231F20"/>
          <w:w w:val="110"/>
          <w:sz w:val="18"/>
        </w:rPr>
        <w:t>Worship</w:t>
      </w:r>
      <w:r>
        <w:rPr>
          <w:i/>
          <w:color w:val="231F20"/>
          <w:spacing w:val="-10"/>
          <w:w w:val="110"/>
          <w:sz w:val="18"/>
        </w:rPr>
        <w:t> </w:t>
      </w:r>
      <w:r>
        <w:rPr>
          <w:i/>
          <w:color w:val="231F20"/>
          <w:w w:val="110"/>
          <w:sz w:val="18"/>
        </w:rPr>
        <w:t>in</w:t>
      </w:r>
      <w:r>
        <w:rPr>
          <w:i/>
          <w:color w:val="231F20"/>
          <w:spacing w:val="-10"/>
          <w:w w:val="110"/>
          <w:sz w:val="18"/>
        </w:rPr>
        <w:t> </w:t>
      </w:r>
      <w:r>
        <w:rPr>
          <w:i/>
          <w:color w:val="231F20"/>
          <w:w w:val="110"/>
          <w:sz w:val="18"/>
        </w:rPr>
        <w:t>Context </w:t>
      </w:r>
      <w:r>
        <w:rPr>
          <w:color w:val="231F20"/>
          <w:w w:val="110"/>
          <w:sz w:val="18"/>
        </w:rPr>
        <w:t>(Peterborough: Epworth, </w:t>
      </w:r>
      <w:r>
        <w:rPr>
          <w:color w:val="231F20"/>
          <w:spacing w:val="-5"/>
          <w:w w:val="110"/>
          <w:sz w:val="18"/>
        </w:rPr>
        <w:t>2006); </w:t>
      </w:r>
      <w:r>
        <w:rPr>
          <w:i/>
          <w:color w:val="231F20"/>
          <w:w w:val="110"/>
          <w:sz w:val="18"/>
        </w:rPr>
        <w:t>Embracing the </w:t>
      </w:r>
      <w:r>
        <w:rPr>
          <w:i/>
          <w:color w:val="231F20"/>
          <w:spacing w:val="-3"/>
          <w:w w:val="110"/>
          <w:sz w:val="18"/>
        </w:rPr>
        <w:t>Day </w:t>
      </w:r>
      <w:r>
        <w:rPr>
          <w:color w:val="231F20"/>
          <w:w w:val="110"/>
          <w:sz w:val="18"/>
        </w:rPr>
        <w:t>(Norwich: Canterbury Press, </w:t>
      </w:r>
      <w:r>
        <w:rPr>
          <w:color w:val="231F20"/>
          <w:spacing w:val="-5"/>
          <w:w w:val="110"/>
          <w:sz w:val="18"/>
        </w:rPr>
        <w:t>2006); </w:t>
      </w:r>
      <w:r>
        <w:rPr>
          <w:i/>
          <w:color w:val="231F20"/>
          <w:w w:val="110"/>
          <w:sz w:val="18"/>
        </w:rPr>
        <w:t>Living the Eucharist </w:t>
      </w:r>
      <w:r>
        <w:rPr>
          <w:color w:val="231F20"/>
          <w:w w:val="110"/>
          <w:sz w:val="18"/>
        </w:rPr>
        <w:t>(Norwich: Canterbury Press, </w:t>
      </w:r>
      <w:r>
        <w:rPr>
          <w:color w:val="231F20"/>
          <w:spacing w:val="-4"/>
          <w:w w:val="110"/>
          <w:sz w:val="18"/>
        </w:rPr>
        <w:t>2006). </w:t>
      </w:r>
      <w:r>
        <w:rPr>
          <w:b/>
          <w:color w:val="231F20"/>
          <w:w w:val="110"/>
          <w:sz w:val="18"/>
        </w:rPr>
        <w:t>Andrew </w:t>
      </w:r>
      <w:r>
        <w:rPr>
          <w:b/>
          <w:color w:val="231F20"/>
          <w:spacing w:val="-3"/>
          <w:w w:val="110"/>
          <w:sz w:val="18"/>
        </w:rPr>
        <w:t>Chandler</w:t>
      </w:r>
      <w:r>
        <w:rPr>
          <w:color w:val="231F20"/>
          <w:spacing w:val="-3"/>
          <w:w w:val="110"/>
          <w:sz w:val="18"/>
        </w:rPr>
        <w:t>, </w:t>
      </w:r>
      <w:r>
        <w:rPr>
          <w:i/>
          <w:color w:val="231F20"/>
          <w:w w:val="110"/>
          <w:sz w:val="18"/>
        </w:rPr>
        <w:t>History of </w:t>
      </w:r>
      <w:r>
        <w:rPr>
          <w:i/>
          <w:color w:val="231F20"/>
          <w:w w:val="110"/>
          <w:sz w:val="18"/>
        </w:rPr>
        <w:t>the</w:t>
      </w:r>
      <w:r>
        <w:rPr>
          <w:i/>
          <w:color w:val="231F20"/>
          <w:spacing w:val="-9"/>
          <w:w w:val="110"/>
          <w:sz w:val="18"/>
        </w:rPr>
        <w:t> </w:t>
      </w:r>
      <w:r>
        <w:rPr>
          <w:i/>
          <w:color w:val="231F20"/>
          <w:w w:val="110"/>
          <w:sz w:val="18"/>
        </w:rPr>
        <w:t>Church</w:t>
      </w:r>
      <w:r>
        <w:rPr>
          <w:i/>
          <w:color w:val="231F20"/>
          <w:spacing w:val="-8"/>
          <w:w w:val="110"/>
          <w:sz w:val="18"/>
        </w:rPr>
        <w:t> </w:t>
      </w:r>
      <w:r>
        <w:rPr>
          <w:i/>
          <w:color w:val="231F20"/>
          <w:w w:val="110"/>
          <w:sz w:val="18"/>
        </w:rPr>
        <w:t>Commissioners</w:t>
      </w:r>
      <w:r>
        <w:rPr>
          <w:color w:val="231F20"/>
          <w:w w:val="110"/>
          <w:sz w:val="18"/>
        </w:rPr>
        <w:t>,</w:t>
      </w:r>
      <w:r>
        <w:rPr>
          <w:color w:val="231F20"/>
          <w:spacing w:val="-8"/>
          <w:w w:val="110"/>
          <w:sz w:val="18"/>
        </w:rPr>
        <w:t> </w:t>
      </w:r>
      <w:r>
        <w:rPr>
          <w:color w:val="231F20"/>
          <w:spacing w:val="-3"/>
          <w:w w:val="110"/>
          <w:sz w:val="18"/>
        </w:rPr>
        <w:t>(Boydell</w:t>
      </w:r>
      <w:r>
        <w:rPr>
          <w:color w:val="231F20"/>
          <w:spacing w:val="-8"/>
          <w:w w:val="110"/>
          <w:sz w:val="18"/>
        </w:rPr>
        <w:t> </w:t>
      </w:r>
      <w:r>
        <w:rPr>
          <w:color w:val="231F20"/>
          <w:w w:val="110"/>
          <w:sz w:val="18"/>
        </w:rPr>
        <w:t>Press:</w:t>
      </w:r>
      <w:r>
        <w:rPr>
          <w:color w:val="231F20"/>
          <w:spacing w:val="-8"/>
          <w:w w:val="110"/>
          <w:sz w:val="18"/>
        </w:rPr>
        <w:t> </w:t>
      </w:r>
      <w:r>
        <w:rPr>
          <w:color w:val="231F20"/>
          <w:spacing w:val="-4"/>
          <w:w w:val="110"/>
          <w:sz w:val="18"/>
        </w:rPr>
        <w:t>2006).</w:t>
      </w:r>
      <w:r>
        <w:rPr>
          <w:color w:val="231F20"/>
          <w:spacing w:val="-8"/>
          <w:w w:val="110"/>
          <w:sz w:val="18"/>
        </w:rPr>
        <w:t> </w:t>
      </w:r>
      <w:r>
        <w:rPr>
          <w:b/>
          <w:color w:val="231F20"/>
          <w:w w:val="110"/>
          <w:sz w:val="18"/>
        </w:rPr>
        <w:t>Paula</w:t>
      </w:r>
      <w:r>
        <w:rPr>
          <w:b/>
          <w:color w:val="231F20"/>
          <w:spacing w:val="-8"/>
          <w:w w:val="110"/>
          <w:sz w:val="18"/>
        </w:rPr>
        <w:t> </w:t>
      </w:r>
      <w:r>
        <w:rPr>
          <w:b/>
          <w:color w:val="231F20"/>
          <w:w w:val="110"/>
          <w:sz w:val="18"/>
        </w:rPr>
        <w:t>Gooder</w:t>
      </w:r>
      <w:r>
        <w:rPr>
          <w:color w:val="231F20"/>
          <w:w w:val="110"/>
          <w:sz w:val="18"/>
        </w:rPr>
        <w:t>:</w:t>
      </w:r>
      <w:r>
        <w:rPr>
          <w:color w:val="231F20"/>
          <w:spacing w:val="-8"/>
          <w:w w:val="110"/>
          <w:sz w:val="18"/>
        </w:rPr>
        <w:t> </w:t>
      </w:r>
      <w:r>
        <w:rPr>
          <w:i/>
          <w:color w:val="231F20"/>
          <w:w w:val="110"/>
          <w:sz w:val="18"/>
        </w:rPr>
        <w:t>Only</w:t>
      </w:r>
      <w:r>
        <w:rPr>
          <w:i/>
          <w:color w:val="231F20"/>
          <w:spacing w:val="-8"/>
          <w:w w:val="110"/>
          <w:sz w:val="18"/>
        </w:rPr>
        <w:t> </w:t>
      </w:r>
      <w:r>
        <w:rPr>
          <w:i/>
          <w:color w:val="231F20"/>
          <w:w w:val="110"/>
          <w:sz w:val="18"/>
        </w:rPr>
        <w:t>the</w:t>
      </w:r>
      <w:r>
        <w:rPr>
          <w:i/>
          <w:color w:val="231F20"/>
          <w:spacing w:val="-9"/>
          <w:w w:val="110"/>
          <w:sz w:val="18"/>
        </w:rPr>
        <w:t> </w:t>
      </w:r>
      <w:r>
        <w:rPr>
          <w:i/>
          <w:color w:val="231F20"/>
          <w:w w:val="110"/>
          <w:sz w:val="18"/>
        </w:rPr>
        <w:t>Third</w:t>
      </w:r>
      <w:r>
        <w:rPr>
          <w:i/>
          <w:color w:val="231F20"/>
          <w:spacing w:val="-8"/>
          <w:w w:val="110"/>
          <w:sz w:val="18"/>
        </w:rPr>
        <w:t> </w:t>
      </w:r>
      <w:r>
        <w:rPr>
          <w:i/>
          <w:color w:val="231F20"/>
          <w:w w:val="110"/>
          <w:sz w:val="18"/>
        </w:rPr>
        <w:t>Heaven </w:t>
      </w:r>
      <w:r>
        <w:rPr>
          <w:color w:val="231F20"/>
          <w:spacing w:val="-3"/>
          <w:w w:val="110"/>
          <w:sz w:val="18"/>
        </w:rPr>
        <w:t>(London: </w:t>
      </w:r>
      <w:r>
        <w:rPr>
          <w:color w:val="231F20"/>
          <w:w w:val="110"/>
          <w:sz w:val="18"/>
        </w:rPr>
        <w:t>Continuum, </w:t>
      </w:r>
      <w:r>
        <w:rPr>
          <w:color w:val="231F20"/>
          <w:spacing w:val="-5"/>
          <w:w w:val="110"/>
          <w:sz w:val="18"/>
        </w:rPr>
        <w:t>2006); </w:t>
      </w:r>
      <w:r>
        <w:rPr>
          <w:i/>
          <w:color w:val="231F20"/>
          <w:spacing w:val="-4"/>
          <w:w w:val="110"/>
          <w:sz w:val="18"/>
        </w:rPr>
        <w:t>Trito-Isaiah </w:t>
      </w:r>
      <w:r>
        <w:rPr>
          <w:color w:val="231F20"/>
          <w:spacing w:val="-3"/>
          <w:w w:val="110"/>
          <w:sz w:val="18"/>
        </w:rPr>
        <w:t>(Birmingham: </w:t>
      </w:r>
      <w:r>
        <w:rPr>
          <w:color w:val="231F20"/>
          <w:spacing w:val="-6"/>
          <w:w w:val="110"/>
          <w:sz w:val="18"/>
        </w:rPr>
        <w:t>BRF, </w:t>
      </w:r>
      <w:r>
        <w:rPr>
          <w:color w:val="231F20"/>
          <w:spacing w:val="-4"/>
          <w:w w:val="110"/>
          <w:sz w:val="18"/>
        </w:rPr>
        <w:t>2006). </w:t>
      </w:r>
      <w:r>
        <w:rPr>
          <w:b/>
          <w:color w:val="231F20"/>
          <w:w w:val="110"/>
          <w:sz w:val="18"/>
        </w:rPr>
        <w:t>John Hull</w:t>
      </w:r>
      <w:r>
        <w:rPr>
          <w:color w:val="231F20"/>
          <w:w w:val="110"/>
          <w:sz w:val="18"/>
        </w:rPr>
        <w:t>,</w:t>
      </w:r>
      <w:r>
        <w:rPr>
          <w:color w:val="231F20"/>
          <w:spacing w:val="-19"/>
          <w:w w:val="110"/>
          <w:sz w:val="18"/>
        </w:rPr>
        <w:t> </w:t>
      </w:r>
      <w:r>
        <w:rPr>
          <w:i/>
          <w:color w:val="231F20"/>
          <w:w w:val="110"/>
          <w:sz w:val="18"/>
        </w:rPr>
        <w:t>Mission</w:t>
      </w:r>
    </w:p>
    <w:p>
      <w:pPr>
        <w:spacing w:line="266" w:lineRule="auto" w:before="0"/>
        <w:ind w:left="593" w:right="1562" w:hanging="1"/>
        <w:jc w:val="left"/>
        <w:rPr>
          <w:sz w:val="18"/>
        </w:rPr>
      </w:pPr>
      <w:r>
        <w:rPr>
          <w:i/>
          <w:color w:val="231F20"/>
          <w:w w:val="110"/>
          <w:sz w:val="18"/>
        </w:rPr>
        <w:t>Shaped Church: a theological response </w:t>
      </w:r>
      <w:r>
        <w:rPr>
          <w:color w:val="231F20"/>
          <w:spacing w:val="-3"/>
          <w:w w:val="110"/>
          <w:sz w:val="18"/>
        </w:rPr>
        <w:t>(London: </w:t>
      </w:r>
      <w:r>
        <w:rPr>
          <w:color w:val="231F20"/>
          <w:w w:val="110"/>
          <w:sz w:val="18"/>
        </w:rPr>
        <w:t>SCM, </w:t>
      </w:r>
      <w:r>
        <w:rPr>
          <w:color w:val="231F20"/>
          <w:spacing w:val="-4"/>
          <w:w w:val="110"/>
          <w:sz w:val="18"/>
        </w:rPr>
        <w:t>2006). </w:t>
      </w:r>
      <w:r>
        <w:rPr>
          <w:b/>
          <w:color w:val="231F20"/>
          <w:w w:val="110"/>
          <w:sz w:val="18"/>
        </w:rPr>
        <w:t>Anthony Reddie &amp; Michael Jagessar </w:t>
      </w:r>
      <w:r>
        <w:rPr>
          <w:b/>
          <w:color w:val="231F20"/>
          <w:spacing w:val="-7"/>
          <w:w w:val="110"/>
          <w:sz w:val="18"/>
        </w:rPr>
        <w:t>(eds)</w:t>
      </w:r>
      <w:r>
        <w:rPr>
          <w:color w:val="231F20"/>
          <w:spacing w:val="-7"/>
          <w:w w:val="110"/>
          <w:sz w:val="18"/>
        </w:rPr>
        <w:t>, </w:t>
      </w:r>
      <w:r>
        <w:rPr>
          <w:i/>
          <w:color w:val="231F20"/>
          <w:w w:val="110"/>
          <w:sz w:val="18"/>
        </w:rPr>
        <w:t>Postcolonial Black British Theology: Textures and Themes </w:t>
      </w:r>
      <w:r>
        <w:rPr>
          <w:color w:val="231F20"/>
          <w:w w:val="110"/>
          <w:sz w:val="18"/>
        </w:rPr>
        <w:t>(Epworth, </w:t>
      </w:r>
      <w:r>
        <w:rPr>
          <w:color w:val="231F20"/>
          <w:spacing w:val="-3"/>
          <w:w w:val="110"/>
          <w:sz w:val="18"/>
        </w:rPr>
        <w:t>2006) </w:t>
      </w:r>
      <w:r>
        <w:rPr>
          <w:color w:val="231F20"/>
          <w:w w:val="110"/>
          <w:sz w:val="18"/>
        </w:rPr>
        <w:t>and </w:t>
      </w:r>
      <w:r>
        <w:rPr>
          <w:i/>
          <w:color w:val="231F20"/>
          <w:w w:val="110"/>
          <w:sz w:val="18"/>
        </w:rPr>
        <w:t>Black British Theology: A Reader </w:t>
      </w:r>
      <w:r>
        <w:rPr>
          <w:color w:val="231F20"/>
          <w:spacing w:val="-3"/>
          <w:w w:val="110"/>
          <w:sz w:val="18"/>
        </w:rPr>
        <w:t>(Equinox, </w:t>
      </w:r>
      <w:r>
        <w:rPr>
          <w:color w:val="231F20"/>
          <w:spacing w:val="-4"/>
          <w:w w:val="110"/>
          <w:sz w:val="18"/>
        </w:rPr>
        <w:t>2006). </w:t>
      </w:r>
      <w:r>
        <w:rPr>
          <w:b/>
          <w:color w:val="231F20"/>
          <w:w w:val="110"/>
          <w:sz w:val="18"/>
        </w:rPr>
        <w:t>Anthony Reddie</w:t>
      </w:r>
      <w:r>
        <w:rPr>
          <w:color w:val="231F20"/>
          <w:w w:val="110"/>
          <w:sz w:val="18"/>
        </w:rPr>
        <w:t>: </w:t>
      </w:r>
      <w:r>
        <w:rPr>
          <w:i/>
          <w:color w:val="231F20"/>
          <w:w w:val="110"/>
          <w:sz w:val="18"/>
        </w:rPr>
        <w:t>Dramatizing </w:t>
      </w:r>
      <w:r>
        <w:rPr>
          <w:i/>
          <w:color w:val="231F20"/>
          <w:w w:val="110"/>
          <w:sz w:val="18"/>
        </w:rPr>
        <w:t>Theology </w:t>
      </w:r>
      <w:r>
        <w:rPr>
          <w:color w:val="231F20"/>
          <w:spacing w:val="-3"/>
          <w:w w:val="110"/>
          <w:sz w:val="18"/>
        </w:rPr>
        <w:t>(Equinox, 2006) </w:t>
      </w:r>
      <w:r>
        <w:rPr>
          <w:color w:val="231F20"/>
          <w:w w:val="110"/>
          <w:sz w:val="18"/>
        </w:rPr>
        <w:t>and </w:t>
      </w:r>
      <w:r>
        <w:rPr>
          <w:i/>
          <w:color w:val="231F20"/>
          <w:w w:val="110"/>
          <w:sz w:val="18"/>
        </w:rPr>
        <w:t>Black Theology in </w:t>
      </w:r>
      <w:r>
        <w:rPr>
          <w:i/>
          <w:color w:val="231F20"/>
          <w:spacing w:val="-3"/>
          <w:w w:val="110"/>
          <w:sz w:val="18"/>
        </w:rPr>
        <w:t>Transatlantic </w:t>
      </w:r>
      <w:r>
        <w:rPr>
          <w:i/>
          <w:color w:val="231F20"/>
          <w:w w:val="110"/>
          <w:sz w:val="18"/>
        </w:rPr>
        <w:t>Dialogue </w:t>
      </w:r>
      <w:r>
        <w:rPr>
          <w:color w:val="231F20"/>
          <w:spacing w:val="-3"/>
          <w:w w:val="110"/>
          <w:sz w:val="18"/>
        </w:rPr>
        <w:t>(Palgrave, </w:t>
      </w:r>
      <w:r>
        <w:rPr>
          <w:color w:val="231F20"/>
          <w:spacing w:val="-4"/>
          <w:w w:val="110"/>
          <w:sz w:val="18"/>
        </w:rPr>
        <w:t>2006).</w:t>
      </w:r>
    </w:p>
    <w:p>
      <w:pPr>
        <w:spacing w:line="266" w:lineRule="auto" w:before="0"/>
        <w:ind w:left="593" w:right="1491" w:hanging="1"/>
        <w:jc w:val="left"/>
        <w:rPr>
          <w:sz w:val="18"/>
        </w:rPr>
      </w:pPr>
      <w:r>
        <w:rPr>
          <w:b/>
          <w:color w:val="231F20"/>
          <w:w w:val="110"/>
          <w:sz w:val="18"/>
        </w:rPr>
        <w:t>Nicola Slee</w:t>
      </w:r>
      <w:r>
        <w:rPr>
          <w:color w:val="231F20"/>
          <w:w w:val="110"/>
          <w:sz w:val="18"/>
        </w:rPr>
        <w:t>: ‘The Public Role of Poetry’, </w:t>
      </w:r>
      <w:r>
        <w:rPr>
          <w:i/>
          <w:color w:val="231F20"/>
          <w:w w:val="110"/>
          <w:sz w:val="18"/>
        </w:rPr>
        <w:t>Audenshaw Papers, 2006</w:t>
      </w:r>
      <w:r>
        <w:rPr>
          <w:color w:val="231F20"/>
          <w:w w:val="110"/>
          <w:sz w:val="18"/>
        </w:rPr>
        <w:t>; with Rosie Miles, </w:t>
      </w:r>
      <w:r>
        <w:rPr>
          <w:i/>
          <w:color w:val="231F20"/>
          <w:w w:val="110"/>
          <w:sz w:val="18"/>
        </w:rPr>
        <w:t>Doing </w:t>
      </w:r>
      <w:r>
        <w:rPr>
          <w:i/>
          <w:color w:val="231F20"/>
          <w:w w:val="110"/>
          <w:sz w:val="18"/>
        </w:rPr>
        <w:t>Christmas Differently </w:t>
      </w:r>
      <w:r>
        <w:rPr>
          <w:color w:val="231F20"/>
          <w:w w:val="110"/>
          <w:sz w:val="18"/>
        </w:rPr>
        <w:t>(Glasgow: Wild Goose, 2006); </w:t>
      </w:r>
      <w:r>
        <w:rPr>
          <w:i/>
          <w:color w:val="231F20"/>
          <w:w w:val="110"/>
          <w:sz w:val="18"/>
        </w:rPr>
        <w:t>Words for Today </w:t>
      </w:r>
      <w:r>
        <w:rPr>
          <w:color w:val="231F20"/>
          <w:w w:val="110"/>
          <w:sz w:val="18"/>
        </w:rPr>
        <w:t>(IBRA, 2006). </w:t>
      </w:r>
      <w:r>
        <w:rPr>
          <w:b/>
          <w:color w:val="231F20"/>
          <w:w w:val="110"/>
          <w:sz w:val="18"/>
        </w:rPr>
        <w:t>Clive Marsh</w:t>
      </w:r>
      <w:r>
        <w:rPr>
          <w:color w:val="231F20"/>
          <w:w w:val="110"/>
          <w:sz w:val="18"/>
        </w:rPr>
        <w:t>, </w:t>
      </w:r>
      <w:r>
        <w:rPr>
          <w:i/>
          <w:color w:val="231F20"/>
          <w:w w:val="110"/>
          <w:sz w:val="18"/>
        </w:rPr>
        <w:t>Theology Goes to the Movies: An Introduction to Critical Christian Thinking </w:t>
      </w:r>
      <w:r>
        <w:rPr>
          <w:color w:val="231F20"/>
          <w:w w:val="110"/>
          <w:sz w:val="18"/>
        </w:rPr>
        <w:t>(London: Routledge, 2007). </w:t>
      </w:r>
      <w:r>
        <w:rPr>
          <w:b/>
          <w:color w:val="231F20"/>
          <w:w w:val="110"/>
          <w:sz w:val="18"/>
        </w:rPr>
        <w:t>John Joshva Raja</w:t>
      </w:r>
      <w:r>
        <w:rPr>
          <w:color w:val="231F20"/>
          <w:w w:val="110"/>
          <w:sz w:val="18"/>
        </w:rPr>
        <w:t>, </w:t>
      </w:r>
      <w:r>
        <w:rPr>
          <w:i/>
          <w:color w:val="231F20"/>
          <w:w w:val="110"/>
          <w:sz w:val="18"/>
        </w:rPr>
        <w:t>Controversies in Theology and Media: Searching God </w:t>
      </w:r>
      <w:r>
        <w:rPr>
          <w:i/>
          <w:color w:val="231F20"/>
          <w:w w:val="110"/>
          <w:sz w:val="18"/>
        </w:rPr>
        <w:t>in the Media Market </w:t>
      </w:r>
      <w:r>
        <w:rPr>
          <w:color w:val="231F20"/>
          <w:w w:val="110"/>
          <w:sz w:val="18"/>
        </w:rPr>
        <w:t>(London: SCM, 2007).</w:t>
      </w:r>
    </w:p>
    <w:p>
      <w:pPr>
        <w:spacing w:after="0" w:line="266" w:lineRule="auto"/>
        <w:jc w:val="left"/>
        <w:rPr>
          <w:sz w:val="18"/>
        </w:rPr>
        <w:sectPr>
          <w:pgSz w:w="11910" w:h="16840"/>
          <w:pgMar w:header="558" w:footer="544" w:top="860" w:bottom="740" w:left="540" w:right="0"/>
        </w:sectPr>
      </w:pPr>
    </w:p>
    <w:p>
      <w:pPr>
        <w:pStyle w:val="BodyText"/>
        <w:spacing w:before="78"/>
        <w:ind w:left="1160"/>
      </w:pPr>
      <w:r>
        <w:rPr>
          <w:color w:val="231F20"/>
          <w:w w:val="110"/>
        </w:rPr>
        <w:t>(Information as of February 2007)</w:t>
      </w:r>
    </w:p>
    <w:p>
      <w:pPr>
        <w:pStyle w:val="BodyText"/>
        <w:rPr>
          <w:sz w:val="20"/>
        </w:rPr>
      </w:pPr>
    </w:p>
    <w:p>
      <w:pPr>
        <w:pStyle w:val="BodyText"/>
        <w:spacing w:before="4"/>
        <w:rPr>
          <w:sz w:val="15"/>
        </w:rPr>
      </w:pPr>
    </w:p>
    <w:p>
      <w:pPr>
        <w:spacing w:after="0"/>
        <w:rPr>
          <w:sz w:val="15"/>
        </w:rPr>
        <w:sectPr>
          <w:headerReference w:type="default" r:id="rId577"/>
          <w:footerReference w:type="default" r:id="rId578"/>
          <w:footerReference w:type="even" r:id="rId579"/>
          <w:pgSz w:w="11910" w:h="16840"/>
          <w:pgMar w:header="0" w:footer="564" w:top="740" w:bottom="760" w:left="540" w:right="0"/>
          <w:pgNumType w:start="21"/>
        </w:sectPr>
      </w:pPr>
    </w:p>
    <w:p>
      <w:pPr>
        <w:spacing w:before="99"/>
        <w:ind w:left="1160" w:right="0" w:firstLine="0"/>
        <w:jc w:val="left"/>
        <w:rPr>
          <w:b/>
          <w:i/>
          <w:sz w:val="20"/>
        </w:rPr>
      </w:pPr>
      <w:r>
        <w:rPr/>
        <w:pict>
          <v:shape style="position:absolute;margin-left:505.682892pt;margin-top:36.840614pt;width:70.25pt;height:725.2pt;mso-position-horizontal-relative:page;mso-position-vertical-relative:page;z-index:252176384" type="#_x0000_t202" filled="false" stroked="false">
            <v:textbox inset="0,0,0,0" style="layout-flow:vertical">
              <w:txbxContent>
                <w:p>
                  <w:pPr>
                    <w:spacing w:line="1004" w:lineRule="exact" w:before="20"/>
                    <w:ind w:left="20" w:right="0" w:firstLine="0"/>
                    <w:jc w:val="left"/>
                    <w:rPr>
                      <w:b/>
                      <w:sz w:val="88"/>
                    </w:rPr>
                  </w:pPr>
                  <w:r>
                    <w:rPr>
                      <w:b/>
                      <w:color w:val="231F20"/>
                      <w:sz w:val="88"/>
                    </w:rPr>
                    <w:t>Students sent by Synods</w:t>
                  </w:r>
                </w:p>
                <w:p>
                  <w:pPr>
                    <w:spacing w:line="379"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b/>
          <w:i/>
          <w:color w:val="231F20"/>
          <w:w w:val="110"/>
          <w:sz w:val="20"/>
        </w:rPr>
        <w:t>Northern</w:t>
      </w:r>
    </w:p>
    <w:p>
      <w:pPr>
        <w:pStyle w:val="BodyText"/>
        <w:spacing w:before="9"/>
        <w:rPr>
          <w:b/>
          <w:i/>
          <w:sz w:val="22"/>
        </w:rPr>
      </w:pPr>
    </w:p>
    <w:p>
      <w:pPr>
        <w:spacing w:before="0"/>
        <w:ind w:left="1160" w:right="0" w:firstLine="0"/>
        <w:jc w:val="left"/>
        <w:rPr>
          <w:b/>
          <w:sz w:val="18"/>
        </w:rPr>
      </w:pPr>
      <w:r>
        <w:rPr>
          <w:b/>
          <w:color w:val="231F20"/>
          <w:w w:val="110"/>
          <w:sz w:val="18"/>
        </w:rPr>
        <w:t>Stipendiary</w:t>
      </w:r>
    </w:p>
    <w:p>
      <w:pPr>
        <w:pStyle w:val="BodyText"/>
        <w:spacing w:before="32"/>
        <w:ind w:left="1160"/>
      </w:pPr>
      <w:r>
        <w:rPr>
          <w:color w:val="231F20"/>
          <w:w w:val="110"/>
        </w:rPr>
        <w:t>Liz Jewitt (NEOC)</w:t>
      </w:r>
    </w:p>
    <w:p>
      <w:pPr>
        <w:pStyle w:val="BodyText"/>
        <w:spacing w:before="1"/>
        <w:rPr>
          <w:sz w:val="23"/>
        </w:rPr>
      </w:pPr>
    </w:p>
    <w:p>
      <w:pPr>
        <w:spacing w:before="0"/>
        <w:ind w:left="1160" w:right="0" w:firstLine="0"/>
        <w:jc w:val="left"/>
        <w:rPr>
          <w:b/>
          <w:sz w:val="18"/>
        </w:rPr>
      </w:pPr>
      <w:r>
        <w:rPr>
          <w:b/>
          <w:color w:val="231F20"/>
          <w:w w:val="110"/>
          <w:sz w:val="18"/>
        </w:rPr>
        <w:t>Non-Stipendiary</w:t>
      </w:r>
    </w:p>
    <w:p>
      <w:pPr>
        <w:pStyle w:val="BodyText"/>
        <w:spacing w:line="273" w:lineRule="auto" w:before="32"/>
        <w:ind w:left="1160"/>
      </w:pPr>
      <w:r>
        <w:rPr>
          <w:color w:val="231F20"/>
          <w:w w:val="110"/>
        </w:rPr>
        <w:t>Stan May (Synod Placement) Alison Mills (NEOC)</w:t>
      </w:r>
    </w:p>
    <w:p>
      <w:pPr>
        <w:pStyle w:val="BodyText"/>
        <w:spacing w:before="1"/>
        <w:ind w:left="1160"/>
      </w:pPr>
      <w:r>
        <w:rPr>
          <w:color w:val="231F20"/>
          <w:w w:val="110"/>
        </w:rPr>
        <w:t>Helen Weatherley (NEOC)</w:t>
      </w:r>
    </w:p>
    <w:p>
      <w:pPr>
        <w:pStyle w:val="BodyText"/>
        <w:spacing w:before="1"/>
        <w:rPr>
          <w:sz w:val="23"/>
        </w:rPr>
      </w:pPr>
    </w:p>
    <w:p>
      <w:pPr>
        <w:spacing w:before="0"/>
        <w:ind w:left="1160" w:right="0" w:firstLine="0"/>
        <w:jc w:val="left"/>
        <w:rPr>
          <w:b/>
          <w:sz w:val="18"/>
        </w:rPr>
      </w:pPr>
      <w:r>
        <w:rPr>
          <w:b/>
          <w:color w:val="231F20"/>
          <w:w w:val="110"/>
          <w:sz w:val="18"/>
        </w:rPr>
        <w:t>CRCW-in-Training</w:t>
      </w:r>
    </w:p>
    <w:p>
      <w:pPr>
        <w:pStyle w:val="BodyText"/>
        <w:spacing w:before="32"/>
        <w:ind w:left="1160"/>
      </w:pPr>
      <w:r>
        <w:rPr>
          <w:color w:val="231F20"/>
          <w:w w:val="110"/>
        </w:rPr>
        <w:t>Ann Honey (Northern)</w:t>
      </w:r>
    </w:p>
    <w:p>
      <w:pPr>
        <w:pStyle w:val="BodyText"/>
        <w:rPr>
          <w:sz w:val="22"/>
        </w:rPr>
      </w:pPr>
    </w:p>
    <w:p>
      <w:pPr>
        <w:pStyle w:val="BodyText"/>
        <w:rPr>
          <w:sz w:val="20"/>
        </w:rPr>
      </w:pPr>
    </w:p>
    <w:p>
      <w:pPr>
        <w:spacing w:before="0"/>
        <w:ind w:left="1160" w:right="0" w:firstLine="0"/>
        <w:jc w:val="left"/>
        <w:rPr>
          <w:b/>
          <w:i/>
          <w:sz w:val="20"/>
        </w:rPr>
      </w:pPr>
      <w:r>
        <w:rPr>
          <w:b/>
          <w:i/>
          <w:color w:val="231F20"/>
          <w:w w:val="110"/>
          <w:sz w:val="20"/>
        </w:rPr>
        <w:t>North Western</w:t>
      </w:r>
    </w:p>
    <w:p>
      <w:pPr>
        <w:pStyle w:val="BodyText"/>
        <w:spacing w:before="10"/>
        <w:rPr>
          <w:b/>
          <w:i/>
          <w:sz w:val="22"/>
        </w:rPr>
      </w:pPr>
    </w:p>
    <w:p>
      <w:pPr>
        <w:spacing w:before="0"/>
        <w:ind w:left="1160" w:right="0" w:firstLine="0"/>
        <w:jc w:val="left"/>
        <w:rPr>
          <w:b/>
          <w:sz w:val="18"/>
        </w:rPr>
      </w:pPr>
      <w:r>
        <w:rPr>
          <w:b/>
          <w:color w:val="231F20"/>
          <w:w w:val="110"/>
          <w:sz w:val="18"/>
        </w:rPr>
        <w:t>Stipendiary</w:t>
      </w:r>
    </w:p>
    <w:p>
      <w:pPr>
        <w:pStyle w:val="BodyText"/>
        <w:spacing w:line="273" w:lineRule="auto" w:before="31"/>
        <w:ind w:left="1160" w:right="609"/>
      </w:pPr>
      <w:r>
        <w:rPr>
          <w:color w:val="231F20"/>
          <w:w w:val="110"/>
        </w:rPr>
        <w:t>Mark Bates (Northern) Philip </w:t>
      </w:r>
      <w:r>
        <w:rPr>
          <w:color w:val="231F20"/>
          <w:spacing w:val="2"/>
          <w:w w:val="110"/>
        </w:rPr>
        <w:t>Brooks </w:t>
      </w:r>
      <w:r>
        <w:rPr>
          <w:color w:val="231F20"/>
          <w:w w:val="110"/>
        </w:rPr>
        <w:t>(Northern) Alan Crump (Northern) Michele Jarmany</w:t>
      </w:r>
      <w:r>
        <w:rPr>
          <w:color w:val="231F20"/>
          <w:spacing w:val="36"/>
          <w:w w:val="110"/>
        </w:rPr>
        <w:t> </w:t>
      </w:r>
      <w:r>
        <w:rPr>
          <w:color w:val="231F20"/>
          <w:w w:val="110"/>
        </w:rPr>
        <w:t>(Northern)</w:t>
      </w:r>
    </w:p>
    <w:p>
      <w:pPr>
        <w:pStyle w:val="BodyText"/>
        <w:spacing w:before="9"/>
        <w:rPr>
          <w:sz w:val="20"/>
        </w:rPr>
      </w:pPr>
    </w:p>
    <w:p>
      <w:pPr>
        <w:spacing w:before="1"/>
        <w:ind w:left="1160" w:right="0" w:firstLine="0"/>
        <w:jc w:val="left"/>
        <w:rPr>
          <w:b/>
          <w:sz w:val="18"/>
        </w:rPr>
      </w:pPr>
      <w:r>
        <w:rPr>
          <w:b/>
          <w:color w:val="231F20"/>
          <w:w w:val="110"/>
          <w:sz w:val="18"/>
        </w:rPr>
        <w:t>Non-Stipendiary</w:t>
      </w:r>
    </w:p>
    <w:p>
      <w:pPr>
        <w:pStyle w:val="BodyText"/>
        <w:spacing w:line="273" w:lineRule="auto" w:before="31"/>
        <w:ind w:left="1160" w:right="398"/>
      </w:pPr>
      <w:r>
        <w:rPr>
          <w:color w:val="231F20"/>
          <w:w w:val="110"/>
        </w:rPr>
        <w:t>Michael Aspinall (Northern) Doreen Goodship (Northern)</w:t>
      </w:r>
    </w:p>
    <w:p>
      <w:pPr>
        <w:pStyle w:val="BodyText"/>
        <w:rPr>
          <w:sz w:val="22"/>
        </w:rPr>
      </w:pPr>
    </w:p>
    <w:p>
      <w:pPr>
        <w:pStyle w:val="BodyText"/>
        <w:spacing w:before="7"/>
        <w:rPr>
          <w:sz w:val="17"/>
        </w:rPr>
      </w:pPr>
    </w:p>
    <w:p>
      <w:pPr>
        <w:spacing w:before="0"/>
        <w:ind w:left="1160" w:right="0" w:firstLine="0"/>
        <w:jc w:val="left"/>
        <w:rPr>
          <w:b/>
          <w:i/>
          <w:sz w:val="20"/>
        </w:rPr>
      </w:pPr>
      <w:r>
        <w:rPr>
          <w:b/>
          <w:i/>
          <w:color w:val="231F20"/>
          <w:w w:val="110"/>
          <w:sz w:val="20"/>
        </w:rPr>
        <w:t>Mersey</w:t>
      </w:r>
    </w:p>
    <w:p>
      <w:pPr>
        <w:pStyle w:val="BodyText"/>
        <w:spacing w:before="10"/>
        <w:rPr>
          <w:b/>
          <w:i/>
          <w:sz w:val="22"/>
        </w:rPr>
      </w:pPr>
    </w:p>
    <w:p>
      <w:pPr>
        <w:spacing w:before="0"/>
        <w:ind w:left="1160" w:right="0" w:firstLine="0"/>
        <w:jc w:val="left"/>
        <w:rPr>
          <w:b/>
          <w:sz w:val="18"/>
        </w:rPr>
      </w:pPr>
      <w:r>
        <w:rPr>
          <w:b/>
          <w:color w:val="231F20"/>
          <w:w w:val="110"/>
          <w:sz w:val="18"/>
        </w:rPr>
        <w:t>Stipendiary</w:t>
      </w:r>
    </w:p>
    <w:p>
      <w:pPr>
        <w:pStyle w:val="BodyText"/>
        <w:spacing w:line="273" w:lineRule="auto" w:before="31"/>
        <w:ind w:left="1160" w:right="398"/>
      </w:pPr>
      <w:r>
        <w:rPr>
          <w:color w:val="231F20"/>
          <w:w w:val="110"/>
        </w:rPr>
        <w:t>Caroline Andrews (Northern) Hilary Bell (Northern)</w:t>
      </w:r>
    </w:p>
    <w:p>
      <w:pPr>
        <w:pStyle w:val="BodyText"/>
        <w:spacing w:line="273" w:lineRule="auto" w:before="1"/>
        <w:ind w:left="1160" w:right="609"/>
      </w:pPr>
      <w:r>
        <w:rPr>
          <w:color w:val="231F20"/>
          <w:w w:val="110"/>
        </w:rPr>
        <w:t>Jeff Hughes (Northern) Stuart Radcliffe (Northern) Carolyn White (Northern)</w:t>
      </w:r>
    </w:p>
    <w:p>
      <w:pPr>
        <w:pStyle w:val="BodyText"/>
        <w:rPr>
          <w:sz w:val="22"/>
        </w:rPr>
      </w:pPr>
    </w:p>
    <w:p>
      <w:pPr>
        <w:pStyle w:val="BodyText"/>
        <w:spacing w:before="8"/>
        <w:rPr>
          <w:sz w:val="17"/>
        </w:rPr>
      </w:pPr>
    </w:p>
    <w:p>
      <w:pPr>
        <w:spacing w:before="0"/>
        <w:ind w:left="1160" w:right="0" w:firstLine="0"/>
        <w:jc w:val="left"/>
        <w:rPr>
          <w:b/>
          <w:i/>
          <w:sz w:val="20"/>
        </w:rPr>
      </w:pPr>
      <w:r>
        <w:rPr>
          <w:b/>
          <w:i/>
          <w:color w:val="231F20"/>
          <w:w w:val="110"/>
          <w:sz w:val="20"/>
        </w:rPr>
        <w:t>Yorkshire</w:t>
      </w:r>
    </w:p>
    <w:p>
      <w:pPr>
        <w:pStyle w:val="BodyText"/>
        <w:spacing w:before="9"/>
        <w:rPr>
          <w:b/>
          <w:i/>
          <w:sz w:val="22"/>
        </w:rPr>
      </w:pPr>
    </w:p>
    <w:p>
      <w:pPr>
        <w:spacing w:before="1"/>
        <w:ind w:left="1160" w:right="0" w:firstLine="0"/>
        <w:jc w:val="left"/>
        <w:rPr>
          <w:b/>
          <w:sz w:val="18"/>
        </w:rPr>
      </w:pPr>
      <w:r>
        <w:rPr>
          <w:b/>
          <w:color w:val="231F20"/>
          <w:w w:val="110"/>
          <w:sz w:val="18"/>
        </w:rPr>
        <w:t>Stipendiary</w:t>
      </w:r>
    </w:p>
    <w:p>
      <w:pPr>
        <w:pStyle w:val="BodyText"/>
        <w:spacing w:line="273" w:lineRule="auto" w:before="31"/>
        <w:ind w:left="1160" w:right="609"/>
      </w:pPr>
      <w:r>
        <w:rPr>
          <w:color w:val="231F20"/>
          <w:w w:val="110"/>
        </w:rPr>
        <w:t>Philip Baiden (Northern) Ashley Evans (Northern) Annette Haigh (Northern) Rosalind Selby (Northern)</w:t>
      </w:r>
    </w:p>
    <w:p>
      <w:pPr>
        <w:pStyle w:val="BodyText"/>
        <w:rPr>
          <w:sz w:val="22"/>
        </w:rPr>
      </w:pPr>
    </w:p>
    <w:p>
      <w:pPr>
        <w:pStyle w:val="BodyText"/>
        <w:spacing w:before="8"/>
        <w:rPr>
          <w:sz w:val="17"/>
        </w:rPr>
      </w:pPr>
    </w:p>
    <w:p>
      <w:pPr>
        <w:spacing w:before="0"/>
        <w:ind w:left="1160" w:right="0" w:firstLine="0"/>
        <w:jc w:val="left"/>
        <w:rPr>
          <w:b/>
          <w:i/>
          <w:sz w:val="20"/>
        </w:rPr>
      </w:pPr>
      <w:r>
        <w:rPr>
          <w:b/>
          <w:i/>
          <w:color w:val="231F20"/>
          <w:w w:val="110"/>
          <w:sz w:val="20"/>
        </w:rPr>
        <w:t>East Midlands</w:t>
      </w:r>
    </w:p>
    <w:p>
      <w:pPr>
        <w:pStyle w:val="BodyText"/>
        <w:spacing w:before="10"/>
        <w:rPr>
          <w:b/>
          <w:i/>
          <w:sz w:val="22"/>
        </w:rPr>
      </w:pPr>
    </w:p>
    <w:p>
      <w:pPr>
        <w:spacing w:before="0"/>
        <w:ind w:left="1160" w:right="0" w:firstLine="0"/>
        <w:jc w:val="left"/>
        <w:rPr>
          <w:b/>
          <w:sz w:val="18"/>
        </w:rPr>
      </w:pPr>
      <w:r>
        <w:rPr>
          <w:b/>
          <w:color w:val="231F20"/>
          <w:w w:val="110"/>
          <w:sz w:val="18"/>
        </w:rPr>
        <w:t>Stipendiary</w:t>
      </w:r>
    </w:p>
    <w:p>
      <w:pPr>
        <w:pStyle w:val="BodyText"/>
        <w:spacing w:line="273" w:lineRule="auto" w:before="31"/>
        <w:ind w:left="1160" w:right="398"/>
      </w:pPr>
      <w:r>
        <w:rPr>
          <w:color w:val="231F20"/>
          <w:w w:val="110"/>
        </w:rPr>
        <w:t>Debbie Brown (Northern) Janet Hopewell (Westminster) Jenny Mills</w:t>
      </w:r>
      <w:r>
        <w:rPr>
          <w:color w:val="231F20"/>
          <w:spacing w:val="4"/>
          <w:w w:val="110"/>
        </w:rPr>
        <w:t> </w:t>
      </w:r>
      <w:r>
        <w:rPr>
          <w:color w:val="231F20"/>
          <w:w w:val="110"/>
        </w:rPr>
        <w:t>(Mansfield)</w:t>
      </w:r>
    </w:p>
    <w:p>
      <w:pPr>
        <w:pStyle w:val="BodyText"/>
        <w:spacing w:before="2"/>
        <w:ind w:left="1160"/>
      </w:pPr>
      <w:r>
        <w:rPr>
          <w:color w:val="231F20"/>
          <w:w w:val="110"/>
        </w:rPr>
        <w:t>Lesley Moseley (Mansfield)</w:t>
      </w:r>
    </w:p>
    <w:p>
      <w:pPr>
        <w:pStyle w:val="BodyText"/>
        <w:spacing w:before="31"/>
        <w:ind w:left="1160"/>
      </w:pPr>
      <w:r>
        <w:rPr>
          <w:color w:val="231F20"/>
          <w:w w:val="110"/>
        </w:rPr>
        <w:t>Elizabeth Thomson (Westminster)</w:t>
      </w:r>
    </w:p>
    <w:p>
      <w:pPr>
        <w:pStyle w:val="BodyText"/>
        <w:spacing w:before="2"/>
        <w:rPr>
          <w:sz w:val="23"/>
        </w:rPr>
      </w:pPr>
    </w:p>
    <w:p>
      <w:pPr>
        <w:spacing w:before="0"/>
        <w:ind w:left="1160" w:right="0" w:firstLine="0"/>
        <w:jc w:val="left"/>
        <w:rPr>
          <w:b/>
          <w:sz w:val="18"/>
        </w:rPr>
      </w:pPr>
      <w:r>
        <w:rPr>
          <w:b/>
          <w:color w:val="231F20"/>
          <w:w w:val="110"/>
          <w:sz w:val="18"/>
        </w:rPr>
        <w:t>Non-Stipendiary</w:t>
      </w:r>
    </w:p>
    <w:p>
      <w:pPr>
        <w:pStyle w:val="BodyText"/>
        <w:spacing w:before="31"/>
        <w:ind w:left="1160"/>
      </w:pPr>
      <w:r>
        <w:rPr>
          <w:color w:val="231F20"/>
          <w:w w:val="110"/>
        </w:rPr>
        <w:t>Julian Sanders (EMMTC)</w:t>
      </w:r>
    </w:p>
    <w:p>
      <w:pPr>
        <w:spacing w:before="99"/>
        <w:ind w:left="920" w:right="0" w:firstLine="0"/>
        <w:jc w:val="left"/>
        <w:rPr>
          <w:b/>
          <w:i/>
          <w:sz w:val="20"/>
        </w:rPr>
      </w:pPr>
      <w:r>
        <w:rPr/>
        <w:br w:type="column"/>
      </w:r>
      <w:r>
        <w:rPr>
          <w:b/>
          <w:i/>
          <w:color w:val="231F20"/>
          <w:w w:val="110"/>
          <w:sz w:val="20"/>
        </w:rPr>
        <w:t>West Midlands</w:t>
      </w:r>
    </w:p>
    <w:p>
      <w:pPr>
        <w:pStyle w:val="BodyText"/>
        <w:spacing w:before="9"/>
        <w:rPr>
          <w:b/>
          <w:i/>
          <w:sz w:val="22"/>
        </w:rPr>
      </w:pPr>
    </w:p>
    <w:p>
      <w:pPr>
        <w:spacing w:before="0"/>
        <w:ind w:left="920" w:right="0" w:firstLine="0"/>
        <w:jc w:val="left"/>
        <w:rPr>
          <w:b/>
          <w:sz w:val="18"/>
        </w:rPr>
      </w:pPr>
      <w:r>
        <w:rPr>
          <w:b/>
          <w:color w:val="231F20"/>
          <w:w w:val="110"/>
          <w:sz w:val="18"/>
        </w:rPr>
        <w:t>Stipendiary</w:t>
      </w:r>
    </w:p>
    <w:p>
      <w:pPr>
        <w:pStyle w:val="BodyText"/>
        <w:spacing w:before="32"/>
        <w:ind w:left="920"/>
      </w:pPr>
      <w:r>
        <w:rPr>
          <w:color w:val="231F20"/>
          <w:w w:val="110"/>
        </w:rPr>
        <w:t>Helen Carr (Queens)</w:t>
      </w:r>
    </w:p>
    <w:p>
      <w:pPr>
        <w:pStyle w:val="BodyText"/>
        <w:spacing w:line="273" w:lineRule="auto" w:before="31"/>
        <w:ind w:left="920" w:right="2756"/>
      </w:pPr>
      <w:r>
        <w:rPr>
          <w:color w:val="231F20"/>
          <w:w w:val="110"/>
        </w:rPr>
        <w:t>Kim Plumpton (Westminster) Timothy Mullings (Northern) Ann Sheldon (Westminster)</w:t>
      </w:r>
    </w:p>
    <w:p>
      <w:pPr>
        <w:pStyle w:val="BodyText"/>
        <w:spacing w:before="8"/>
        <w:rPr>
          <w:sz w:val="20"/>
        </w:rPr>
      </w:pPr>
    </w:p>
    <w:p>
      <w:pPr>
        <w:spacing w:before="1"/>
        <w:ind w:left="920" w:right="0" w:firstLine="0"/>
        <w:jc w:val="left"/>
        <w:rPr>
          <w:b/>
          <w:sz w:val="18"/>
        </w:rPr>
      </w:pPr>
      <w:r>
        <w:rPr>
          <w:b/>
          <w:color w:val="231F20"/>
          <w:w w:val="110"/>
          <w:sz w:val="18"/>
        </w:rPr>
        <w:t>Non-Stipendiary</w:t>
      </w:r>
    </w:p>
    <w:p>
      <w:pPr>
        <w:pStyle w:val="BodyText"/>
        <w:spacing w:before="31"/>
        <w:ind w:left="920"/>
      </w:pPr>
      <w:r>
        <w:rPr>
          <w:color w:val="231F20"/>
          <w:w w:val="110"/>
        </w:rPr>
        <w:t>Robert Maloney (Northern)</w:t>
      </w:r>
    </w:p>
    <w:p>
      <w:pPr>
        <w:pStyle w:val="BodyText"/>
        <w:rPr>
          <w:sz w:val="22"/>
        </w:rPr>
      </w:pPr>
    </w:p>
    <w:p>
      <w:pPr>
        <w:pStyle w:val="BodyText"/>
        <w:rPr>
          <w:sz w:val="20"/>
        </w:rPr>
      </w:pPr>
    </w:p>
    <w:p>
      <w:pPr>
        <w:spacing w:before="1"/>
        <w:ind w:left="920" w:right="0" w:firstLine="0"/>
        <w:jc w:val="left"/>
        <w:rPr>
          <w:b/>
          <w:i/>
          <w:sz w:val="20"/>
        </w:rPr>
      </w:pPr>
      <w:r>
        <w:rPr>
          <w:b/>
          <w:i/>
          <w:color w:val="231F20"/>
          <w:w w:val="110"/>
          <w:sz w:val="20"/>
        </w:rPr>
        <w:t>Eastern</w:t>
      </w:r>
    </w:p>
    <w:p>
      <w:pPr>
        <w:pStyle w:val="BodyText"/>
        <w:spacing w:before="9"/>
        <w:rPr>
          <w:b/>
          <w:i/>
          <w:sz w:val="22"/>
        </w:rPr>
      </w:pPr>
    </w:p>
    <w:p>
      <w:pPr>
        <w:spacing w:before="0"/>
        <w:ind w:left="920" w:right="0" w:firstLine="0"/>
        <w:jc w:val="left"/>
        <w:rPr>
          <w:b/>
          <w:sz w:val="18"/>
        </w:rPr>
      </w:pPr>
      <w:r>
        <w:rPr>
          <w:b/>
          <w:color w:val="231F20"/>
          <w:w w:val="110"/>
          <w:sz w:val="18"/>
        </w:rPr>
        <w:t>Stipendiary</w:t>
      </w:r>
    </w:p>
    <w:p>
      <w:pPr>
        <w:pStyle w:val="BodyText"/>
        <w:spacing w:line="273" w:lineRule="auto" w:before="31"/>
        <w:ind w:left="920" w:right="2756"/>
      </w:pPr>
      <w:r>
        <w:rPr>
          <w:color w:val="231F20"/>
          <w:w w:val="110"/>
        </w:rPr>
        <w:t>Mark Bish (Westminster) Claire Gouldthorp </w:t>
      </w:r>
      <w:r>
        <w:rPr>
          <w:color w:val="231F20"/>
          <w:spacing w:val="-3"/>
          <w:w w:val="110"/>
        </w:rPr>
        <w:t>(Queens) </w:t>
      </w:r>
      <w:r>
        <w:rPr>
          <w:color w:val="231F20"/>
          <w:w w:val="110"/>
        </w:rPr>
        <w:t>Kate Hackett (Westminster) Andrew Mann </w:t>
      </w:r>
      <w:r>
        <w:rPr>
          <w:color w:val="231F20"/>
          <w:spacing w:val="-3"/>
          <w:w w:val="110"/>
        </w:rPr>
        <w:t>(Queens) </w:t>
      </w:r>
      <w:r>
        <w:rPr>
          <w:color w:val="231F20"/>
          <w:w w:val="110"/>
        </w:rPr>
        <w:t>Matthew Stone (Westminster) James </w:t>
      </w:r>
      <w:r>
        <w:rPr>
          <w:color w:val="231F20"/>
          <w:spacing w:val="-3"/>
          <w:w w:val="110"/>
        </w:rPr>
        <w:t>Taylor</w:t>
      </w:r>
      <w:r>
        <w:rPr>
          <w:color w:val="231F20"/>
          <w:spacing w:val="14"/>
          <w:w w:val="110"/>
        </w:rPr>
        <w:t> </w:t>
      </w:r>
      <w:r>
        <w:rPr>
          <w:color w:val="231F20"/>
          <w:w w:val="110"/>
        </w:rPr>
        <w:t>(Westminster)</w:t>
      </w:r>
    </w:p>
    <w:p>
      <w:pPr>
        <w:pStyle w:val="BodyText"/>
        <w:spacing w:before="11"/>
        <w:rPr>
          <w:sz w:val="20"/>
        </w:rPr>
      </w:pPr>
    </w:p>
    <w:p>
      <w:pPr>
        <w:spacing w:before="0"/>
        <w:ind w:left="920" w:right="0" w:firstLine="0"/>
        <w:jc w:val="left"/>
        <w:rPr>
          <w:b/>
          <w:sz w:val="18"/>
        </w:rPr>
      </w:pPr>
      <w:r>
        <w:rPr>
          <w:b/>
          <w:color w:val="231F20"/>
          <w:w w:val="110"/>
          <w:sz w:val="18"/>
        </w:rPr>
        <w:t>Non-Stipendiary</w:t>
      </w:r>
    </w:p>
    <w:p>
      <w:pPr>
        <w:pStyle w:val="BodyText"/>
        <w:spacing w:line="273" w:lineRule="auto" w:before="31"/>
        <w:ind w:left="920" w:right="2207"/>
      </w:pPr>
      <w:r>
        <w:rPr>
          <w:color w:val="231F20"/>
          <w:w w:val="110"/>
        </w:rPr>
        <w:t>Don Nichols (Synod Placement) Mary Playford (Westminster) Andrew Royal (ERMC)</w:t>
      </w:r>
    </w:p>
    <w:p>
      <w:pPr>
        <w:pStyle w:val="BodyText"/>
        <w:spacing w:before="9"/>
        <w:rPr>
          <w:sz w:val="20"/>
        </w:rPr>
      </w:pPr>
    </w:p>
    <w:p>
      <w:pPr>
        <w:spacing w:line="273" w:lineRule="auto" w:before="0"/>
        <w:ind w:left="920" w:right="3476" w:firstLine="0"/>
        <w:jc w:val="left"/>
        <w:rPr>
          <w:sz w:val="18"/>
        </w:rPr>
      </w:pPr>
      <w:r>
        <w:rPr>
          <w:b/>
          <w:color w:val="231F20"/>
          <w:w w:val="110"/>
          <w:sz w:val="18"/>
        </w:rPr>
        <w:t>CRCW-in-Training  </w:t>
      </w:r>
      <w:r>
        <w:rPr>
          <w:color w:val="231F20"/>
          <w:w w:val="110"/>
          <w:sz w:val="18"/>
        </w:rPr>
        <w:t>Liz Kam (Northern) Mark </w:t>
      </w:r>
      <w:r>
        <w:rPr>
          <w:color w:val="231F20"/>
          <w:spacing w:val="-4"/>
          <w:w w:val="110"/>
          <w:sz w:val="18"/>
        </w:rPr>
        <w:t>Tubby</w:t>
      </w:r>
      <w:r>
        <w:rPr>
          <w:color w:val="231F20"/>
          <w:spacing w:val="17"/>
          <w:w w:val="110"/>
          <w:sz w:val="18"/>
        </w:rPr>
        <w:t> </w:t>
      </w:r>
      <w:r>
        <w:rPr>
          <w:color w:val="231F20"/>
          <w:w w:val="110"/>
          <w:sz w:val="18"/>
        </w:rPr>
        <w:t>(Northern)</w:t>
      </w:r>
    </w:p>
    <w:p>
      <w:pPr>
        <w:pStyle w:val="BodyText"/>
        <w:rPr>
          <w:sz w:val="22"/>
        </w:rPr>
      </w:pPr>
    </w:p>
    <w:p>
      <w:pPr>
        <w:pStyle w:val="BodyText"/>
        <w:spacing w:before="8"/>
        <w:rPr>
          <w:sz w:val="17"/>
        </w:rPr>
      </w:pPr>
    </w:p>
    <w:p>
      <w:pPr>
        <w:spacing w:before="0"/>
        <w:ind w:left="920" w:right="0" w:firstLine="0"/>
        <w:jc w:val="left"/>
        <w:rPr>
          <w:b/>
          <w:i/>
          <w:sz w:val="20"/>
        </w:rPr>
      </w:pPr>
      <w:r>
        <w:rPr>
          <w:b/>
          <w:i/>
          <w:color w:val="231F20"/>
          <w:w w:val="110"/>
          <w:sz w:val="20"/>
        </w:rPr>
        <w:t>South Western</w:t>
      </w:r>
    </w:p>
    <w:p>
      <w:pPr>
        <w:pStyle w:val="BodyText"/>
        <w:spacing w:before="9"/>
        <w:rPr>
          <w:b/>
          <w:i/>
          <w:sz w:val="22"/>
        </w:rPr>
      </w:pPr>
    </w:p>
    <w:p>
      <w:pPr>
        <w:spacing w:before="0"/>
        <w:ind w:left="920" w:right="0" w:firstLine="0"/>
        <w:jc w:val="left"/>
        <w:rPr>
          <w:b/>
          <w:sz w:val="18"/>
        </w:rPr>
      </w:pPr>
      <w:r>
        <w:rPr>
          <w:b/>
          <w:color w:val="231F20"/>
          <w:w w:val="110"/>
          <w:sz w:val="18"/>
        </w:rPr>
        <w:t>Stipendiary</w:t>
      </w:r>
    </w:p>
    <w:p>
      <w:pPr>
        <w:pStyle w:val="BodyText"/>
        <w:spacing w:before="32"/>
        <w:ind w:left="920"/>
      </w:pPr>
      <w:r>
        <w:rPr>
          <w:color w:val="231F20"/>
          <w:w w:val="110"/>
        </w:rPr>
        <w:t>Paul Ellis (SWMTC)</w:t>
      </w:r>
    </w:p>
    <w:p>
      <w:pPr>
        <w:pStyle w:val="BodyText"/>
        <w:spacing w:before="31"/>
        <w:ind w:left="920"/>
      </w:pPr>
      <w:r>
        <w:rPr>
          <w:color w:val="231F20"/>
          <w:w w:val="110"/>
        </w:rPr>
        <w:t>Timothy Searle (Mansfield)</w:t>
      </w:r>
    </w:p>
    <w:p>
      <w:pPr>
        <w:pStyle w:val="BodyText"/>
        <w:spacing w:before="2"/>
        <w:rPr>
          <w:sz w:val="23"/>
        </w:rPr>
      </w:pPr>
    </w:p>
    <w:p>
      <w:pPr>
        <w:spacing w:before="0"/>
        <w:ind w:left="920" w:right="0" w:firstLine="0"/>
        <w:jc w:val="left"/>
        <w:rPr>
          <w:b/>
          <w:sz w:val="18"/>
        </w:rPr>
      </w:pPr>
      <w:r>
        <w:rPr>
          <w:b/>
          <w:color w:val="231F20"/>
          <w:w w:val="110"/>
          <w:sz w:val="18"/>
        </w:rPr>
        <w:t>Non-Stipendiary</w:t>
      </w:r>
    </w:p>
    <w:p>
      <w:pPr>
        <w:pStyle w:val="BodyText"/>
        <w:spacing w:before="31"/>
        <w:ind w:left="920"/>
      </w:pPr>
      <w:r>
        <w:rPr>
          <w:color w:val="231F20"/>
          <w:w w:val="110"/>
        </w:rPr>
        <w:t>Sue Cossey (STETS)</w:t>
      </w:r>
    </w:p>
    <w:p>
      <w:pPr>
        <w:pStyle w:val="BodyText"/>
        <w:rPr>
          <w:sz w:val="22"/>
        </w:rPr>
      </w:pPr>
    </w:p>
    <w:p>
      <w:pPr>
        <w:pStyle w:val="BodyText"/>
        <w:rPr>
          <w:sz w:val="20"/>
        </w:rPr>
      </w:pPr>
    </w:p>
    <w:p>
      <w:pPr>
        <w:spacing w:before="1"/>
        <w:ind w:left="920" w:right="0" w:firstLine="0"/>
        <w:jc w:val="left"/>
        <w:rPr>
          <w:b/>
          <w:i/>
          <w:sz w:val="20"/>
        </w:rPr>
      </w:pPr>
      <w:r>
        <w:rPr>
          <w:b/>
          <w:i/>
          <w:color w:val="231F20"/>
          <w:w w:val="110"/>
          <w:sz w:val="20"/>
        </w:rPr>
        <w:t>Wessex</w:t>
      </w:r>
    </w:p>
    <w:p>
      <w:pPr>
        <w:pStyle w:val="BodyText"/>
        <w:spacing w:before="9"/>
        <w:rPr>
          <w:b/>
          <w:i/>
          <w:sz w:val="22"/>
        </w:rPr>
      </w:pPr>
    </w:p>
    <w:p>
      <w:pPr>
        <w:spacing w:before="0"/>
        <w:ind w:left="920" w:right="0" w:firstLine="0"/>
        <w:jc w:val="left"/>
        <w:rPr>
          <w:b/>
          <w:sz w:val="18"/>
        </w:rPr>
      </w:pPr>
      <w:r>
        <w:rPr>
          <w:b/>
          <w:color w:val="231F20"/>
          <w:w w:val="110"/>
          <w:sz w:val="18"/>
        </w:rPr>
        <w:t>Stipendiary</w:t>
      </w:r>
    </w:p>
    <w:p>
      <w:pPr>
        <w:pStyle w:val="BodyText"/>
        <w:spacing w:line="273" w:lineRule="auto" w:before="32"/>
        <w:ind w:left="920" w:right="2156"/>
      </w:pPr>
      <w:r>
        <w:rPr>
          <w:color w:val="231F20"/>
          <w:w w:val="110"/>
        </w:rPr>
        <w:t>Helen Higgin-Botham (Westminster) Hilary Nabarro (Westminster) Andrew Hall (Northern)</w:t>
      </w:r>
    </w:p>
    <w:p>
      <w:pPr>
        <w:pStyle w:val="BodyText"/>
        <w:spacing w:before="8"/>
        <w:rPr>
          <w:sz w:val="20"/>
        </w:rPr>
      </w:pPr>
    </w:p>
    <w:p>
      <w:pPr>
        <w:spacing w:before="0"/>
        <w:ind w:left="920" w:right="0" w:firstLine="0"/>
        <w:jc w:val="left"/>
        <w:rPr>
          <w:b/>
          <w:sz w:val="18"/>
        </w:rPr>
      </w:pPr>
      <w:r>
        <w:rPr>
          <w:b/>
          <w:color w:val="231F20"/>
          <w:w w:val="110"/>
          <w:sz w:val="18"/>
        </w:rPr>
        <w:t>Non-Stipendiary</w:t>
      </w:r>
    </w:p>
    <w:p>
      <w:pPr>
        <w:pStyle w:val="BodyText"/>
        <w:spacing w:before="31"/>
        <w:ind w:left="920"/>
      </w:pPr>
      <w:r>
        <w:rPr>
          <w:color w:val="231F20"/>
          <w:w w:val="110"/>
        </w:rPr>
        <w:t>John Lee (STETS)</w:t>
      </w:r>
    </w:p>
    <w:p>
      <w:pPr>
        <w:pStyle w:val="BodyText"/>
        <w:spacing w:line="273" w:lineRule="auto" w:before="32"/>
        <w:ind w:left="920" w:right="2782"/>
      </w:pPr>
      <w:r>
        <w:rPr>
          <w:color w:val="231F20"/>
          <w:w w:val="110"/>
        </w:rPr>
        <w:t>Mark Meatcher (STETS) Wendy White (STETS)</w:t>
      </w:r>
    </w:p>
    <w:p>
      <w:pPr>
        <w:spacing w:after="0" w:line="273" w:lineRule="auto"/>
        <w:sectPr>
          <w:type w:val="continuous"/>
          <w:pgSz w:w="11910" w:h="16840"/>
          <w:pgMar w:top="680" w:bottom="280" w:left="540" w:right="0"/>
          <w:cols w:num="2" w:equalWidth="0">
            <w:col w:w="4609" w:space="40"/>
            <w:col w:w="6721"/>
          </w:cols>
        </w:sectPr>
      </w:pPr>
    </w:p>
    <w:p>
      <w:pPr>
        <w:spacing w:before="28"/>
        <w:ind w:left="7381" w:right="0" w:firstLine="0"/>
        <w:jc w:val="left"/>
        <w:rPr>
          <w:rFonts w:ascii="Eurostile Bold"/>
          <w:b/>
          <w:sz w:val="28"/>
        </w:rPr>
      </w:pPr>
      <w:r>
        <w:rPr>
          <w:rFonts w:ascii="Eurostile Bold"/>
          <w:b/>
          <w:color w:val="A7A9AC"/>
          <w:w w:val="95"/>
          <w:sz w:val="28"/>
        </w:rPr>
        <w:t>Students sent by Synod</w:t>
      </w:r>
    </w:p>
    <w:p>
      <w:pPr>
        <w:pStyle w:val="BodyText"/>
        <w:spacing w:before="2"/>
        <w:rPr>
          <w:rFonts w:ascii="Eurostile Bold"/>
          <w:b/>
          <w:sz w:val="12"/>
        </w:rPr>
      </w:pPr>
    </w:p>
    <w:p>
      <w:pPr>
        <w:spacing w:before="99"/>
        <w:ind w:left="593" w:right="0" w:firstLine="0"/>
        <w:jc w:val="left"/>
        <w:rPr>
          <w:b/>
          <w:i/>
          <w:sz w:val="20"/>
        </w:rPr>
      </w:pPr>
      <w:r>
        <w:rPr>
          <w:b/>
          <w:i/>
          <w:color w:val="231F20"/>
          <w:w w:val="110"/>
          <w:sz w:val="20"/>
        </w:rPr>
        <w:t>Thames North</w:t>
      </w:r>
    </w:p>
    <w:p>
      <w:pPr>
        <w:pStyle w:val="BodyText"/>
        <w:spacing w:before="9"/>
        <w:rPr>
          <w:b/>
          <w:i/>
          <w:sz w:val="22"/>
        </w:rPr>
      </w:pPr>
    </w:p>
    <w:p>
      <w:pPr>
        <w:spacing w:before="0"/>
        <w:ind w:left="593" w:right="0" w:firstLine="0"/>
        <w:jc w:val="left"/>
        <w:rPr>
          <w:b/>
          <w:sz w:val="18"/>
        </w:rPr>
      </w:pPr>
      <w:r>
        <w:rPr>
          <w:b/>
          <w:color w:val="231F20"/>
          <w:w w:val="110"/>
          <w:sz w:val="18"/>
        </w:rPr>
        <w:t>Stipendiary</w:t>
      </w:r>
    </w:p>
    <w:p>
      <w:pPr>
        <w:pStyle w:val="BodyText"/>
        <w:spacing w:before="32"/>
        <w:ind w:left="593"/>
      </w:pPr>
      <w:r>
        <w:rPr>
          <w:color w:val="231F20"/>
          <w:w w:val="110"/>
        </w:rPr>
        <w:t>Lucy Berry (Northern)</w:t>
      </w:r>
    </w:p>
    <w:p>
      <w:pPr>
        <w:pStyle w:val="BodyText"/>
        <w:spacing w:line="273" w:lineRule="auto" w:before="31"/>
        <w:ind w:left="593" w:right="7607"/>
      </w:pPr>
      <w:r>
        <w:rPr>
          <w:color w:val="231F20"/>
          <w:w w:val="110"/>
        </w:rPr>
        <w:t>Heather Cadoux (Westminster) Anne Dove (Westminster) Sohail Ejaz (Westminter) Dominic Grant (Westminster) Shirley Knibbs (Westminster) Peter Little (Westminster)</w:t>
      </w:r>
    </w:p>
    <w:p>
      <w:pPr>
        <w:pStyle w:val="BodyText"/>
        <w:spacing w:before="4"/>
        <w:ind w:left="593"/>
      </w:pPr>
      <w:r>
        <w:rPr>
          <w:color w:val="231F20"/>
          <w:w w:val="110"/>
        </w:rPr>
        <w:t>Sue McCoan (Westminster)</w:t>
      </w:r>
    </w:p>
    <w:p>
      <w:pPr>
        <w:pStyle w:val="BodyText"/>
        <w:spacing w:line="273" w:lineRule="auto" w:before="31"/>
        <w:ind w:left="593" w:right="7396"/>
      </w:pPr>
      <w:r>
        <w:rPr>
          <w:color w:val="231F20"/>
          <w:w w:val="110"/>
        </w:rPr>
        <w:t>Iain </w:t>
      </w:r>
      <w:r>
        <w:rPr>
          <w:color w:val="231F20"/>
          <w:spacing w:val="2"/>
          <w:w w:val="110"/>
        </w:rPr>
        <w:t>McLaren  </w:t>
      </w:r>
      <w:r>
        <w:rPr>
          <w:color w:val="231F20"/>
          <w:w w:val="110"/>
        </w:rPr>
        <w:t>(Mansfield) Findelvh McMahon (Westminster) Graham </w:t>
      </w:r>
      <w:r>
        <w:rPr>
          <w:color w:val="231F20"/>
          <w:spacing w:val="-3"/>
          <w:w w:val="110"/>
        </w:rPr>
        <w:t>Tarn</w:t>
      </w:r>
      <w:r>
        <w:rPr>
          <w:color w:val="231F20"/>
          <w:spacing w:val="8"/>
          <w:w w:val="110"/>
        </w:rPr>
        <w:t> </w:t>
      </w:r>
      <w:r>
        <w:rPr>
          <w:color w:val="231F20"/>
          <w:w w:val="110"/>
        </w:rPr>
        <w:t>(Westminster)</w:t>
      </w:r>
    </w:p>
    <w:p>
      <w:pPr>
        <w:pStyle w:val="BodyText"/>
        <w:spacing w:before="8"/>
        <w:rPr>
          <w:sz w:val="20"/>
        </w:rPr>
      </w:pPr>
    </w:p>
    <w:p>
      <w:pPr>
        <w:spacing w:before="1"/>
        <w:ind w:left="593" w:right="0" w:firstLine="0"/>
        <w:jc w:val="left"/>
        <w:rPr>
          <w:b/>
          <w:sz w:val="18"/>
        </w:rPr>
      </w:pPr>
      <w:r>
        <w:rPr>
          <w:b/>
          <w:color w:val="231F20"/>
          <w:w w:val="110"/>
          <w:sz w:val="18"/>
        </w:rPr>
        <w:t>CRCW-in-Training</w:t>
      </w:r>
    </w:p>
    <w:p>
      <w:pPr>
        <w:pStyle w:val="BodyText"/>
        <w:spacing w:before="31"/>
        <w:ind w:left="593"/>
      </w:pPr>
      <w:r>
        <w:rPr>
          <w:color w:val="231F20"/>
          <w:w w:val="110"/>
        </w:rPr>
        <w:t>Karen Campbell (Northern)</w:t>
      </w:r>
    </w:p>
    <w:p>
      <w:pPr>
        <w:pStyle w:val="BodyText"/>
        <w:rPr>
          <w:sz w:val="22"/>
        </w:rPr>
      </w:pPr>
    </w:p>
    <w:p>
      <w:pPr>
        <w:pStyle w:val="BodyText"/>
        <w:rPr>
          <w:sz w:val="20"/>
        </w:rPr>
      </w:pPr>
    </w:p>
    <w:p>
      <w:pPr>
        <w:spacing w:before="0"/>
        <w:ind w:left="593" w:right="0" w:firstLine="0"/>
        <w:jc w:val="left"/>
        <w:rPr>
          <w:b/>
          <w:i/>
          <w:sz w:val="20"/>
        </w:rPr>
      </w:pPr>
      <w:r>
        <w:rPr>
          <w:b/>
          <w:i/>
          <w:color w:val="231F20"/>
          <w:w w:val="110"/>
          <w:sz w:val="20"/>
        </w:rPr>
        <w:t>Southern</w:t>
      </w:r>
    </w:p>
    <w:p>
      <w:pPr>
        <w:pStyle w:val="BodyText"/>
        <w:spacing w:before="10"/>
        <w:rPr>
          <w:b/>
          <w:i/>
          <w:sz w:val="22"/>
        </w:rPr>
      </w:pPr>
    </w:p>
    <w:p>
      <w:pPr>
        <w:spacing w:before="0"/>
        <w:ind w:left="593" w:right="0" w:firstLine="0"/>
        <w:jc w:val="left"/>
        <w:rPr>
          <w:b/>
          <w:sz w:val="18"/>
        </w:rPr>
      </w:pPr>
      <w:r>
        <w:rPr>
          <w:b/>
          <w:color w:val="231F20"/>
          <w:w w:val="110"/>
          <w:sz w:val="18"/>
        </w:rPr>
        <w:t>Stipendiary</w:t>
      </w:r>
    </w:p>
    <w:p>
      <w:pPr>
        <w:pStyle w:val="BodyText"/>
        <w:spacing w:before="31"/>
        <w:ind w:left="593"/>
      </w:pPr>
      <w:r>
        <w:rPr>
          <w:color w:val="231F20"/>
          <w:w w:val="110"/>
        </w:rPr>
        <w:t>Romilly Micklem (Westminster)</w:t>
      </w:r>
    </w:p>
    <w:p>
      <w:pPr>
        <w:pStyle w:val="BodyText"/>
        <w:spacing w:before="32"/>
        <w:ind w:left="593"/>
      </w:pPr>
      <w:r>
        <w:rPr>
          <w:color w:val="231F20"/>
          <w:w w:val="110"/>
        </w:rPr>
        <w:t>Caroline Vodden (Mansfield)</w:t>
      </w:r>
    </w:p>
    <w:p>
      <w:pPr>
        <w:pStyle w:val="BodyText"/>
        <w:spacing w:before="1"/>
        <w:rPr>
          <w:sz w:val="23"/>
        </w:rPr>
      </w:pPr>
    </w:p>
    <w:p>
      <w:pPr>
        <w:spacing w:before="0"/>
        <w:ind w:left="593" w:right="0" w:firstLine="0"/>
        <w:jc w:val="left"/>
        <w:rPr>
          <w:b/>
          <w:sz w:val="18"/>
        </w:rPr>
      </w:pPr>
      <w:r>
        <w:rPr>
          <w:b/>
          <w:color w:val="231F20"/>
          <w:w w:val="110"/>
          <w:sz w:val="18"/>
        </w:rPr>
        <w:t>Non-Stipendiary</w:t>
      </w:r>
    </w:p>
    <w:p>
      <w:pPr>
        <w:pStyle w:val="BodyText"/>
        <w:spacing w:before="32"/>
        <w:ind w:left="593"/>
      </w:pPr>
      <w:r>
        <w:rPr>
          <w:color w:val="231F20"/>
          <w:w w:val="110"/>
        </w:rPr>
        <w:t>Ian Gow (SEITE)</w:t>
      </w:r>
    </w:p>
    <w:p>
      <w:pPr>
        <w:pStyle w:val="BodyText"/>
        <w:spacing w:line="273" w:lineRule="auto" w:before="31"/>
        <w:ind w:left="593" w:right="6586"/>
      </w:pPr>
      <w:r>
        <w:rPr>
          <w:color w:val="231F20"/>
          <w:w w:val="110"/>
        </w:rPr>
        <w:t>Diane Farquhar (Synod Placement) Bernard Fidder (STETS)</w:t>
      </w:r>
    </w:p>
    <w:p>
      <w:pPr>
        <w:pStyle w:val="BodyText"/>
        <w:spacing w:line="273" w:lineRule="auto" w:before="1"/>
        <w:ind w:left="593" w:right="7816"/>
      </w:pPr>
      <w:r>
        <w:rPr>
          <w:color w:val="231F20"/>
          <w:w w:val="110"/>
        </w:rPr>
        <w:t>Rosemary Shirley (STETS) Darryl Sinclair (STETS) Wendy Swan (SEITE)</w:t>
      </w:r>
    </w:p>
    <w:p>
      <w:pPr>
        <w:pStyle w:val="BodyText"/>
        <w:rPr>
          <w:sz w:val="22"/>
        </w:rPr>
      </w:pPr>
    </w:p>
    <w:p>
      <w:pPr>
        <w:pStyle w:val="BodyText"/>
        <w:spacing w:before="8"/>
        <w:rPr>
          <w:sz w:val="17"/>
        </w:rPr>
      </w:pPr>
    </w:p>
    <w:p>
      <w:pPr>
        <w:spacing w:before="0"/>
        <w:ind w:left="593" w:right="0" w:firstLine="0"/>
        <w:jc w:val="left"/>
        <w:rPr>
          <w:b/>
          <w:i/>
          <w:sz w:val="20"/>
        </w:rPr>
      </w:pPr>
      <w:r>
        <w:rPr>
          <w:b/>
          <w:i/>
          <w:color w:val="231F20"/>
          <w:w w:val="110"/>
          <w:sz w:val="20"/>
        </w:rPr>
        <w:t>Scotland</w:t>
      </w:r>
    </w:p>
    <w:p>
      <w:pPr>
        <w:pStyle w:val="BodyText"/>
        <w:spacing w:before="9"/>
        <w:rPr>
          <w:b/>
          <w:i/>
          <w:sz w:val="22"/>
        </w:rPr>
      </w:pPr>
    </w:p>
    <w:p>
      <w:pPr>
        <w:spacing w:before="0"/>
        <w:ind w:left="593" w:right="0" w:firstLine="0"/>
        <w:jc w:val="left"/>
        <w:rPr>
          <w:b/>
          <w:sz w:val="18"/>
        </w:rPr>
      </w:pPr>
      <w:r>
        <w:rPr>
          <w:b/>
          <w:color w:val="231F20"/>
          <w:w w:val="110"/>
          <w:sz w:val="18"/>
        </w:rPr>
        <w:t>Stipendiary</w:t>
      </w:r>
    </w:p>
    <w:p>
      <w:pPr>
        <w:pStyle w:val="BodyText"/>
        <w:spacing w:before="32"/>
        <w:ind w:left="593"/>
      </w:pPr>
      <w:r>
        <w:rPr>
          <w:color w:val="231F20"/>
          <w:w w:val="110"/>
        </w:rPr>
        <w:t>Zam Walker (SC &amp; URC)</w:t>
      </w:r>
    </w:p>
    <w:p>
      <w:pPr>
        <w:pStyle w:val="BodyText"/>
        <w:rPr>
          <w:sz w:val="20"/>
        </w:rPr>
      </w:pPr>
    </w:p>
    <w:p>
      <w:pPr>
        <w:pStyle w:val="BodyText"/>
        <w:rPr>
          <w:sz w:val="20"/>
        </w:rPr>
      </w:pPr>
    </w:p>
    <w:p>
      <w:pPr>
        <w:pStyle w:val="BodyText"/>
        <w:rPr>
          <w:sz w:val="20"/>
        </w:rPr>
      </w:pPr>
    </w:p>
    <w:p>
      <w:pPr>
        <w:pStyle w:val="BodyText"/>
        <w:spacing w:before="7"/>
        <w:rPr>
          <w:sz w:val="28"/>
        </w:rPr>
      </w:pPr>
    </w:p>
    <w:p>
      <w:pPr>
        <w:spacing w:before="309"/>
        <w:ind w:left="4010" w:right="4623" w:firstLine="0"/>
        <w:jc w:val="center"/>
        <w:rPr>
          <w:i/>
          <w:sz w:val="24"/>
          <w:szCs w:val="24"/>
        </w:rPr>
      </w:pPr>
      <w:r>
        <w:rPr>
          <w:i/>
          <w:color w:val="231F20"/>
          <w:w w:val="330"/>
          <w:sz w:val="24"/>
          <w:szCs w:val="24"/>
        </w:rPr>
        <w:t>���</w:t>
      </w:r>
    </w:p>
    <w:p>
      <w:pPr>
        <w:spacing w:after="0"/>
        <w:jc w:val="center"/>
        <w:rPr>
          <w:sz w:val="24"/>
          <w:szCs w:val="24"/>
        </w:rPr>
        <w:sectPr>
          <w:headerReference w:type="even" r:id="rId580"/>
          <w:pgSz w:w="11910" w:h="16840"/>
          <w:pgMar w:header="0" w:footer="564" w:top="460" w:bottom="760" w:left="540" w:right="0"/>
        </w:sectPr>
      </w:pPr>
    </w:p>
    <w:p>
      <w:pPr>
        <w:spacing w:line="237" w:lineRule="auto" w:before="91"/>
        <w:ind w:left="593" w:right="3512" w:firstLine="0"/>
        <w:jc w:val="left"/>
        <w:rPr>
          <w:b/>
          <w:sz w:val="56"/>
        </w:rPr>
      </w:pPr>
      <w:r>
        <w:rPr/>
        <w:pict>
          <v:shape style="position:absolute;margin-left:506.391571pt;margin-top:3.912601pt;width:69.55pt;height:365.65pt;mso-position-horizontal-relative:page;mso-position-vertical-relative:paragraph;z-index:252177408" type="#_x0000_t202" filled="false" stroked="false">
            <v:textbox inset="0,0,0,0" style="layout-flow:vertical">
              <w:txbxContent>
                <w:p>
                  <w:pPr>
                    <w:spacing w:line="997" w:lineRule="exact" w:before="20"/>
                    <w:ind w:left="20" w:right="0" w:firstLine="0"/>
                    <w:jc w:val="left"/>
                    <w:rPr>
                      <w:b/>
                      <w:sz w:val="88"/>
                    </w:rPr>
                  </w:pPr>
                  <w:r>
                    <w:rPr>
                      <w:b/>
                      <w:color w:val="231F20"/>
                      <w:sz w:val="88"/>
                    </w:rPr>
                    <w:t>Statistics</w:t>
                  </w:r>
                </w:p>
                <w:p>
                  <w:pPr>
                    <w:spacing w:line="372" w:lineRule="exact" w:before="0"/>
                    <w:ind w:left="3515" w:right="0" w:firstLine="0"/>
                    <w:jc w:val="left"/>
                    <w:rPr>
                      <w:rFonts w:ascii="Eurostile Bold"/>
                      <w:b/>
                      <w:sz w:val="36"/>
                    </w:rPr>
                  </w:pPr>
                  <w:r>
                    <w:rPr>
                      <w:rFonts w:ascii="Eurostile Bold"/>
                      <w:b/>
                      <w:color w:val="A7A9AC"/>
                      <w:w w:val="85"/>
                      <w:sz w:val="36"/>
                    </w:rPr>
                    <w:t>General Assembly 2007</w:t>
                  </w:r>
                </w:p>
              </w:txbxContent>
            </v:textbox>
            <w10:wrap type="none"/>
          </v:shape>
        </w:pict>
      </w:r>
      <w:r>
        <w:rPr>
          <w:b/>
          <w:color w:val="231F20"/>
          <w:sz w:val="56"/>
        </w:rPr>
        <w:t>Statistics of Students in Training</w:t>
      </w:r>
    </w:p>
    <w:p>
      <w:pPr>
        <w:pStyle w:val="BodyText"/>
        <w:spacing w:before="2"/>
        <w:rPr>
          <w:b/>
          <w:sz w:val="15"/>
        </w:rPr>
      </w:pPr>
    </w:p>
    <w:p>
      <w:pPr>
        <w:pStyle w:val="BodyText"/>
        <w:tabs>
          <w:tab w:pos="2600" w:val="left" w:leader="none"/>
        </w:tabs>
        <w:spacing w:line="273" w:lineRule="auto" w:before="101"/>
        <w:ind w:left="1160" w:right="4834" w:hanging="1"/>
      </w:pPr>
      <w:r>
        <w:rPr>
          <w:color w:val="231F20"/>
          <w:w w:val="110"/>
        </w:rPr>
        <w:t>ERMC</w:t>
        <w:tab/>
        <w:t>Eastern Region Ministry  </w:t>
      </w:r>
      <w:r>
        <w:rPr>
          <w:color w:val="231F20"/>
          <w:spacing w:val="2"/>
          <w:w w:val="110"/>
        </w:rPr>
        <w:t>Course </w:t>
      </w:r>
      <w:r>
        <w:rPr>
          <w:color w:val="231F20"/>
          <w:w w:val="110"/>
        </w:rPr>
        <w:t>EMMTC</w:t>
        <w:tab/>
        <w:t>East Midlands Ministry Training </w:t>
      </w:r>
      <w:r>
        <w:rPr>
          <w:color w:val="231F20"/>
          <w:spacing w:val="2"/>
          <w:w w:val="110"/>
        </w:rPr>
        <w:t>Course </w:t>
      </w:r>
      <w:r>
        <w:rPr>
          <w:color w:val="231F20"/>
          <w:w w:val="110"/>
        </w:rPr>
        <w:t>NEOC</w:t>
        <w:tab/>
      </w:r>
      <w:r>
        <w:rPr>
          <w:color w:val="231F20"/>
          <w:spacing w:val="2"/>
          <w:w w:val="110"/>
        </w:rPr>
        <w:t>North </w:t>
      </w:r>
      <w:r>
        <w:rPr>
          <w:color w:val="231F20"/>
          <w:w w:val="110"/>
        </w:rPr>
        <w:t>East Ordination</w:t>
      </w:r>
      <w:r>
        <w:rPr>
          <w:color w:val="231F20"/>
          <w:spacing w:val="8"/>
          <w:w w:val="110"/>
        </w:rPr>
        <w:t> </w:t>
      </w:r>
      <w:r>
        <w:rPr>
          <w:color w:val="231F20"/>
          <w:spacing w:val="2"/>
          <w:w w:val="110"/>
        </w:rPr>
        <w:t>Course</w:t>
      </w:r>
    </w:p>
    <w:p>
      <w:pPr>
        <w:pStyle w:val="BodyText"/>
        <w:tabs>
          <w:tab w:pos="2600" w:val="left" w:leader="none"/>
        </w:tabs>
        <w:spacing w:line="273" w:lineRule="auto" w:before="1"/>
        <w:ind w:left="1160" w:right="3512"/>
      </w:pPr>
      <w:r>
        <w:rPr>
          <w:color w:val="231F20"/>
          <w:w w:val="110"/>
        </w:rPr>
        <w:t>SC</w:t>
      </w:r>
      <w:r>
        <w:rPr>
          <w:color w:val="231F20"/>
          <w:spacing w:val="2"/>
          <w:w w:val="110"/>
        </w:rPr>
        <w:t> </w:t>
      </w:r>
      <w:r>
        <w:rPr>
          <w:color w:val="231F20"/>
          <w:w w:val="110"/>
        </w:rPr>
        <w:t>&amp;</w:t>
      </w:r>
      <w:r>
        <w:rPr>
          <w:color w:val="231F20"/>
          <w:spacing w:val="3"/>
          <w:w w:val="110"/>
        </w:rPr>
        <w:t> </w:t>
      </w:r>
      <w:r>
        <w:rPr>
          <w:color w:val="231F20"/>
          <w:w w:val="110"/>
        </w:rPr>
        <w:t>URC</w:t>
        <w:tab/>
      </w:r>
      <w:r>
        <w:rPr>
          <w:color w:val="231F20"/>
          <w:spacing w:val="2"/>
          <w:w w:val="110"/>
        </w:rPr>
        <w:t>Scottish </w:t>
      </w:r>
      <w:r>
        <w:rPr>
          <w:color w:val="231F20"/>
          <w:w w:val="110"/>
        </w:rPr>
        <w:t>United Reformed &amp; Congregational College </w:t>
      </w:r>
      <w:r>
        <w:rPr>
          <w:color w:val="231F20"/>
          <w:spacing w:val="2"/>
          <w:w w:val="110"/>
        </w:rPr>
        <w:t>SEITE</w:t>
        <w:tab/>
      </w:r>
      <w:r>
        <w:rPr>
          <w:color w:val="231F20"/>
          <w:w w:val="110"/>
        </w:rPr>
        <w:t>South East Institute for Theological</w:t>
      </w:r>
      <w:r>
        <w:rPr>
          <w:color w:val="231F20"/>
          <w:spacing w:val="38"/>
          <w:w w:val="110"/>
        </w:rPr>
        <w:t> </w:t>
      </w:r>
      <w:r>
        <w:rPr>
          <w:color w:val="231F20"/>
          <w:w w:val="110"/>
        </w:rPr>
        <w:t>Education</w:t>
      </w:r>
    </w:p>
    <w:p>
      <w:pPr>
        <w:pStyle w:val="BodyText"/>
        <w:tabs>
          <w:tab w:pos="2600" w:val="left" w:leader="none"/>
        </w:tabs>
        <w:spacing w:line="273" w:lineRule="auto" w:before="2"/>
        <w:ind w:left="1160" w:right="3340"/>
      </w:pPr>
      <w:r>
        <w:rPr>
          <w:color w:val="231F20"/>
          <w:spacing w:val="4"/>
          <w:w w:val="110"/>
        </w:rPr>
        <w:t>STETS</w:t>
        <w:tab/>
      </w:r>
      <w:r>
        <w:rPr>
          <w:color w:val="231F20"/>
          <w:w w:val="110"/>
        </w:rPr>
        <w:t>Southern Theological Education and Training Scheme SWMTC</w:t>
        <w:tab/>
        <w:t>South West Ministry Training</w:t>
      </w:r>
      <w:r>
        <w:rPr>
          <w:color w:val="231F20"/>
          <w:spacing w:val="8"/>
          <w:w w:val="110"/>
        </w:rPr>
        <w:t> </w:t>
      </w:r>
      <w:r>
        <w:rPr>
          <w:color w:val="231F20"/>
          <w:spacing w:val="2"/>
          <w:w w:val="110"/>
        </w:rPr>
        <w:t>Course</w:t>
      </w:r>
    </w:p>
    <w:p>
      <w:pPr>
        <w:pStyle w:val="BodyText"/>
        <w:tabs>
          <w:tab w:pos="2600" w:val="left" w:leader="none"/>
        </w:tabs>
        <w:spacing w:line="273" w:lineRule="auto" w:before="1"/>
        <w:ind w:left="1160" w:right="4768"/>
      </w:pPr>
      <w:r>
        <w:rPr>
          <w:color w:val="231F20"/>
          <w:w w:val="110"/>
        </w:rPr>
        <w:t>SWOC</w:t>
        <w:tab/>
        <w:t>South Wales Ordination  </w:t>
      </w:r>
      <w:r>
        <w:rPr>
          <w:color w:val="231F20"/>
          <w:spacing w:val="2"/>
          <w:w w:val="110"/>
        </w:rPr>
        <w:t>Course </w:t>
      </w:r>
      <w:r>
        <w:rPr>
          <w:color w:val="231F20"/>
          <w:w w:val="110"/>
        </w:rPr>
        <w:t>WMMTC</w:t>
        <w:tab/>
        <w:t>West Midlands Ministry Training</w:t>
      </w:r>
      <w:r>
        <w:rPr>
          <w:color w:val="231F20"/>
          <w:spacing w:val="43"/>
          <w:w w:val="110"/>
        </w:rPr>
        <w:t> </w:t>
      </w:r>
      <w:r>
        <w:rPr>
          <w:color w:val="231F20"/>
          <w:spacing w:val="2"/>
          <w:w w:val="110"/>
        </w:rPr>
        <w:t>Course</w:t>
      </w:r>
    </w:p>
    <w:p>
      <w:pPr>
        <w:pStyle w:val="BodyText"/>
        <w:spacing w:before="1"/>
        <w:rPr>
          <w:sz w:val="24"/>
        </w:rPr>
      </w:pPr>
    </w:p>
    <w:tbl>
      <w:tblPr>
        <w:tblW w:w="0" w:type="auto"/>
        <w:jc w:val="left"/>
        <w:tblInd w:w="11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94"/>
        <w:gridCol w:w="726"/>
        <w:gridCol w:w="727"/>
        <w:gridCol w:w="726"/>
        <w:gridCol w:w="703"/>
        <w:gridCol w:w="726"/>
        <w:gridCol w:w="698"/>
        <w:gridCol w:w="699"/>
        <w:gridCol w:w="678"/>
      </w:tblGrid>
      <w:tr>
        <w:trPr>
          <w:trHeight w:val="534" w:hRule="atLeast"/>
        </w:trPr>
        <w:tc>
          <w:tcPr>
            <w:tcW w:w="2594" w:type="dxa"/>
          </w:tcPr>
          <w:p>
            <w:pPr>
              <w:pStyle w:val="TableParagraph"/>
              <w:rPr>
                <w:sz w:val="22"/>
              </w:rPr>
            </w:pPr>
          </w:p>
        </w:tc>
        <w:tc>
          <w:tcPr>
            <w:tcW w:w="2882" w:type="dxa"/>
            <w:gridSpan w:val="4"/>
          </w:tcPr>
          <w:p>
            <w:pPr>
              <w:pStyle w:val="TableParagraph"/>
              <w:spacing w:before="163"/>
              <w:ind w:left="294"/>
              <w:rPr>
                <w:rFonts w:ascii="Verdana"/>
                <w:b/>
                <w:sz w:val="18"/>
              </w:rPr>
            </w:pPr>
            <w:r>
              <w:rPr>
                <w:rFonts w:ascii="Verdana"/>
                <w:b/>
                <w:color w:val="231F20"/>
                <w:w w:val="110"/>
                <w:sz w:val="18"/>
              </w:rPr>
              <w:t>Students in Training</w:t>
            </w:r>
          </w:p>
        </w:tc>
        <w:tc>
          <w:tcPr>
            <w:tcW w:w="2801" w:type="dxa"/>
            <w:gridSpan w:val="4"/>
          </w:tcPr>
          <w:p>
            <w:pPr>
              <w:pStyle w:val="TableParagraph"/>
              <w:spacing w:line="250" w:lineRule="atLeast" w:before="6"/>
              <w:ind w:left="711" w:hanging="561"/>
              <w:rPr>
                <w:rFonts w:ascii="Verdana"/>
                <w:b/>
                <w:sz w:val="18"/>
              </w:rPr>
            </w:pPr>
            <w:r>
              <w:rPr>
                <w:rFonts w:ascii="Verdana"/>
                <w:b/>
                <w:color w:val="231F20"/>
                <w:w w:val="110"/>
                <w:sz w:val="18"/>
              </w:rPr>
              <w:t>Anticipated entry into URC Service</w:t>
            </w:r>
          </w:p>
        </w:tc>
      </w:tr>
      <w:tr>
        <w:trPr>
          <w:trHeight w:val="460" w:hRule="atLeast"/>
        </w:trPr>
        <w:tc>
          <w:tcPr>
            <w:tcW w:w="2594" w:type="dxa"/>
          </w:tcPr>
          <w:p>
            <w:pPr>
              <w:pStyle w:val="TableParagraph"/>
              <w:rPr>
                <w:sz w:val="22"/>
              </w:rPr>
            </w:pPr>
          </w:p>
        </w:tc>
        <w:tc>
          <w:tcPr>
            <w:tcW w:w="726" w:type="dxa"/>
          </w:tcPr>
          <w:p>
            <w:pPr>
              <w:pStyle w:val="TableParagraph"/>
              <w:spacing w:before="1"/>
              <w:ind w:left="158"/>
              <w:rPr>
                <w:rFonts w:ascii="Verdana"/>
                <w:b/>
                <w:sz w:val="18"/>
              </w:rPr>
            </w:pPr>
            <w:r>
              <w:rPr>
                <w:rFonts w:ascii="Verdana"/>
                <w:b/>
                <w:color w:val="231F20"/>
                <w:w w:val="110"/>
                <w:sz w:val="18"/>
              </w:rPr>
              <w:t>Feb</w:t>
            </w:r>
          </w:p>
          <w:p>
            <w:pPr>
              <w:pStyle w:val="TableParagraph"/>
              <w:spacing w:line="190" w:lineRule="exact" w:before="31"/>
              <w:ind w:left="73"/>
              <w:rPr>
                <w:rFonts w:ascii="Verdana"/>
                <w:b/>
                <w:sz w:val="18"/>
              </w:rPr>
            </w:pPr>
            <w:r>
              <w:rPr>
                <w:rFonts w:ascii="Verdana"/>
                <w:b/>
                <w:color w:val="231F20"/>
                <w:w w:val="110"/>
                <w:sz w:val="18"/>
              </w:rPr>
              <w:t>2004</w:t>
            </w:r>
          </w:p>
        </w:tc>
        <w:tc>
          <w:tcPr>
            <w:tcW w:w="727" w:type="dxa"/>
          </w:tcPr>
          <w:p>
            <w:pPr>
              <w:pStyle w:val="TableParagraph"/>
              <w:spacing w:before="1"/>
              <w:ind w:left="159"/>
              <w:rPr>
                <w:rFonts w:ascii="Verdana"/>
                <w:b/>
                <w:sz w:val="18"/>
              </w:rPr>
            </w:pPr>
            <w:r>
              <w:rPr>
                <w:rFonts w:ascii="Verdana"/>
                <w:b/>
                <w:color w:val="231F20"/>
                <w:w w:val="110"/>
                <w:sz w:val="18"/>
              </w:rPr>
              <w:t>Feb</w:t>
            </w:r>
          </w:p>
          <w:p>
            <w:pPr>
              <w:pStyle w:val="TableParagraph"/>
              <w:spacing w:line="190" w:lineRule="exact" w:before="31"/>
              <w:ind w:left="75"/>
              <w:rPr>
                <w:rFonts w:ascii="Verdana"/>
                <w:b/>
                <w:sz w:val="18"/>
              </w:rPr>
            </w:pPr>
            <w:r>
              <w:rPr>
                <w:rFonts w:ascii="Verdana"/>
                <w:b/>
                <w:color w:val="231F20"/>
                <w:w w:val="110"/>
                <w:sz w:val="18"/>
              </w:rPr>
              <w:t>2005</w:t>
            </w:r>
          </w:p>
        </w:tc>
        <w:tc>
          <w:tcPr>
            <w:tcW w:w="726" w:type="dxa"/>
          </w:tcPr>
          <w:p>
            <w:pPr>
              <w:pStyle w:val="TableParagraph"/>
              <w:spacing w:before="1"/>
              <w:ind w:left="158"/>
              <w:rPr>
                <w:rFonts w:ascii="Verdana"/>
                <w:b/>
                <w:sz w:val="18"/>
              </w:rPr>
            </w:pPr>
            <w:r>
              <w:rPr>
                <w:rFonts w:ascii="Verdana"/>
                <w:b/>
                <w:color w:val="231F20"/>
                <w:w w:val="110"/>
                <w:sz w:val="18"/>
              </w:rPr>
              <w:t>Feb</w:t>
            </w:r>
          </w:p>
          <w:p>
            <w:pPr>
              <w:pStyle w:val="TableParagraph"/>
              <w:spacing w:line="190" w:lineRule="exact" w:before="31"/>
              <w:ind w:left="74"/>
              <w:rPr>
                <w:rFonts w:ascii="Verdana"/>
                <w:b/>
                <w:sz w:val="18"/>
              </w:rPr>
            </w:pPr>
            <w:r>
              <w:rPr>
                <w:rFonts w:ascii="Verdana"/>
                <w:b/>
                <w:color w:val="231F20"/>
                <w:w w:val="110"/>
                <w:sz w:val="18"/>
              </w:rPr>
              <w:t>2006</w:t>
            </w:r>
          </w:p>
        </w:tc>
        <w:tc>
          <w:tcPr>
            <w:tcW w:w="703" w:type="dxa"/>
          </w:tcPr>
          <w:p>
            <w:pPr>
              <w:pStyle w:val="TableParagraph"/>
              <w:spacing w:before="1"/>
              <w:ind w:left="147"/>
              <w:rPr>
                <w:rFonts w:ascii="Verdana"/>
                <w:b/>
                <w:sz w:val="18"/>
              </w:rPr>
            </w:pPr>
            <w:r>
              <w:rPr>
                <w:rFonts w:ascii="Verdana"/>
                <w:b/>
                <w:color w:val="231F20"/>
                <w:w w:val="110"/>
                <w:sz w:val="18"/>
              </w:rPr>
              <w:t>Feb</w:t>
            </w:r>
          </w:p>
          <w:p>
            <w:pPr>
              <w:pStyle w:val="TableParagraph"/>
              <w:spacing w:line="190" w:lineRule="exact" w:before="31"/>
              <w:ind w:left="65"/>
              <w:rPr>
                <w:rFonts w:ascii="Verdana"/>
                <w:b/>
                <w:sz w:val="18"/>
              </w:rPr>
            </w:pPr>
            <w:r>
              <w:rPr>
                <w:rFonts w:ascii="Verdana"/>
                <w:b/>
                <w:color w:val="231F20"/>
                <w:w w:val="110"/>
                <w:sz w:val="18"/>
              </w:rPr>
              <w:t>2007</w:t>
            </w:r>
          </w:p>
        </w:tc>
        <w:tc>
          <w:tcPr>
            <w:tcW w:w="726" w:type="dxa"/>
          </w:tcPr>
          <w:p>
            <w:pPr>
              <w:pStyle w:val="TableParagraph"/>
              <w:spacing w:before="8"/>
              <w:rPr>
                <w:rFonts w:ascii="Verdana"/>
                <w:sz w:val="20"/>
              </w:rPr>
            </w:pPr>
          </w:p>
          <w:p>
            <w:pPr>
              <w:pStyle w:val="TableParagraph"/>
              <w:spacing w:line="190" w:lineRule="exact"/>
              <w:ind w:left="76"/>
              <w:rPr>
                <w:rFonts w:ascii="Verdana"/>
                <w:b/>
                <w:sz w:val="18"/>
              </w:rPr>
            </w:pPr>
            <w:r>
              <w:rPr>
                <w:rFonts w:ascii="Verdana"/>
                <w:b/>
                <w:color w:val="231F20"/>
                <w:w w:val="110"/>
                <w:sz w:val="18"/>
              </w:rPr>
              <w:t>2007</w:t>
            </w:r>
          </w:p>
        </w:tc>
        <w:tc>
          <w:tcPr>
            <w:tcW w:w="698" w:type="dxa"/>
          </w:tcPr>
          <w:p>
            <w:pPr>
              <w:pStyle w:val="TableParagraph"/>
              <w:spacing w:before="8"/>
              <w:rPr>
                <w:rFonts w:ascii="Verdana"/>
                <w:sz w:val="20"/>
              </w:rPr>
            </w:pPr>
          </w:p>
          <w:p>
            <w:pPr>
              <w:pStyle w:val="TableParagraph"/>
              <w:spacing w:line="190" w:lineRule="exact"/>
              <w:ind w:left="46" w:right="37"/>
              <w:jc w:val="center"/>
              <w:rPr>
                <w:rFonts w:ascii="Verdana"/>
                <w:b/>
                <w:sz w:val="18"/>
              </w:rPr>
            </w:pPr>
            <w:r>
              <w:rPr>
                <w:rFonts w:ascii="Verdana"/>
                <w:b/>
                <w:color w:val="231F20"/>
                <w:w w:val="110"/>
                <w:sz w:val="18"/>
              </w:rPr>
              <w:t>2008</w:t>
            </w:r>
          </w:p>
        </w:tc>
        <w:tc>
          <w:tcPr>
            <w:tcW w:w="699" w:type="dxa"/>
          </w:tcPr>
          <w:p>
            <w:pPr>
              <w:pStyle w:val="TableParagraph"/>
              <w:spacing w:before="8"/>
              <w:rPr>
                <w:rFonts w:ascii="Verdana"/>
                <w:sz w:val="20"/>
              </w:rPr>
            </w:pPr>
          </w:p>
          <w:p>
            <w:pPr>
              <w:pStyle w:val="TableParagraph"/>
              <w:spacing w:line="190" w:lineRule="exact"/>
              <w:ind w:left="61"/>
              <w:rPr>
                <w:rFonts w:ascii="Verdana"/>
                <w:b/>
                <w:sz w:val="18"/>
              </w:rPr>
            </w:pPr>
            <w:r>
              <w:rPr>
                <w:rFonts w:ascii="Verdana"/>
                <w:b/>
                <w:color w:val="231F20"/>
                <w:w w:val="110"/>
                <w:sz w:val="18"/>
              </w:rPr>
              <w:t>2009</w:t>
            </w:r>
          </w:p>
        </w:tc>
        <w:tc>
          <w:tcPr>
            <w:tcW w:w="678" w:type="dxa"/>
          </w:tcPr>
          <w:p>
            <w:pPr>
              <w:pStyle w:val="TableParagraph"/>
              <w:spacing w:before="8"/>
              <w:rPr>
                <w:rFonts w:ascii="Verdana"/>
                <w:sz w:val="20"/>
              </w:rPr>
            </w:pPr>
          </w:p>
          <w:p>
            <w:pPr>
              <w:pStyle w:val="TableParagraph"/>
              <w:spacing w:line="190" w:lineRule="exact"/>
              <w:ind w:left="59"/>
              <w:rPr>
                <w:rFonts w:ascii="Verdana"/>
                <w:b/>
                <w:sz w:val="18"/>
              </w:rPr>
            </w:pPr>
            <w:r>
              <w:rPr>
                <w:rFonts w:ascii="Verdana"/>
                <w:b/>
                <w:color w:val="231F20"/>
                <w:w w:val="110"/>
                <w:sz w:val="18"/>
              </w:rPr>
              <w:t>2010</w:t>
            </w: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STIPENDIARY</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Full-Time Courses</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Mansfield College</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8</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6</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6</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5</w:t>
            </w:r>
          </w:p>
        </w:tc>
        <w:tc>
          <w:tcPr>
            <w:tcW w:w="726" w:type="dxa"/>
          </w:tcPr>
          <w:p>
            <w:pPr>
              <w:pStyle w:val="TableParagraph"/>
              <w:spacing w:line="212" w:lineRule="exact" w:before="24"/>
              <w:ind w:left="371"/>
              <w:rPr>
                <w:rFonts w:ascii="Verdana"/>
                <w:sz w:val="18"/>
              </w:rPr>
            </w:pPr>
            <w:r>
              <w:rPr>
                <w:rFonts w:ascii="Verdana"/>
                <w:color w:val="231F20"/>
                <w:w w:val="111"/>
                <w:sz w:val="18"/>
              </w:rPr>
              <w:t>2</w:t>
            </w:r>
          </w:p>
        </w:tc>
        <w:tc>
          <w:tcPr>
            <w:tcW w:w="698" w:type="dxa"/>
          </w:tcPr>
          <w:p>
            <w:pPr>
              <w:pStyle w:val="TableParagraph"/>
              <w:spacing w:line="212" w:lineRule="exact" w:before="24"/>
              <w:ind w:left="127"/>
              <w:jc w:val="center"/>
              <w:rPr>
                <w:rFonts w:ascii="Verdana"/>
                <w:sz w:val="18"/>
              </w:rPr>
            </w:pPr>
            <w:r>
              <w:rPr>
                <w:rFonts w:ascii="Verdana"/>
                <w:color w:val="231F20"/>
                <w:w w:val="111"/>
                <w:sz w:val="18"/>
              </w:rPr>
              <w:t>2</w:t>
            </w:r>
          </w:p>
        </w:tc>
        <w:tc>
          <w:tcPr>
            <w:tcW w:w="699" w:type="dxa"/>
          </w:tcPr>
          <w:p>
            <w:pPr>
              <w:pStyle w:val="TableParagraph"/>
              <w:spacing w:line="212" w:lineRule="exact" w:before="24"/>
              <w:ind w:left="345"/>
              <w:rPr>
                <w:rFonts w:ascii="Verdana"/>
                <w:sz w:val="18"/>
              </w:rPr>
            </w:pPr>
            <w:r>
              <w:rPr>
                <w:rFonts w:ascii="Verdana"/>
                <w:color w:val="231F20"/>
                <w:w w:val="111"/>
                <w:sz w:val="18"/>
              </w:rPr>
              <w:t>1</w:t>
            </w: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Northern College</w:t>
            </w:r>
          </w:p>
        </w:tc>
        <w:tc>
          <w:tcPr>
            <w:tcW w:w="726" w:type="dxa"/>
          </w:tcPr>
          <w:p>
            <w:pPr>
              <w:pStyle w:val="TableParagraph"/>
              <w:spacing w:line="213" w:lineRule="exact" w:before="23"/>
              <w:ind w:right="215"/>
              <w:jc w:val="right"/>
              <w:rPr>
                <w:rFonts w:ascii="Verdana"/>
                <w:sz w:val="18"/>
              </w:rPr>
            </w:pPr>
            <w:r>
              <w:rPr>
                <w:rFonts w:ascii="Verdana"/>
                <w:color w:val="231F20"/>
                <w:w w:val="110"/>
                <w:sz w:val="18"/>
              </w:rPr>
              <w:t>22</w:t>
            </w:r>
          </w:p>
        </w:tc>
        <w:tc>
          <w:tcPr>
            <w:tcW w:w="727" w:type="dxa"/>
          </w:tcPr>
          <w:p>
            <w:pPr>
              <w:pStyle w:val="TableParagraph"/>
              <w:spacing w:line="213" w:lineRule="exact" w:before="23"/>
              <w:ind w:right="215"/>
              <w:jc w:val="right"/>
              <w:rPr>
                <w:rFonts w:ascii="Verdana"/>
                <w:sz w:val="18"/>
              </w:rPr>
            </w:pPr>
            <w:r>
              <w:rPr>
                <w:rFonts w:ascii="Verdana"/>
                <w:color w:val="231F20"/>
                <w:w w:val="110"/>
                <w:sz w:val="18"/>
              </w:rPr>
              <w:t>16</w:t>
            </w:r>
          </w:p>
        </w:tc>
        <w:tc>
          <w:tcPr>
            <w:tcW w:w="726" w:type="dxa"/>
          </w:tcPr>
          <w:p>
            <w:pPr>
              <w:pStyle w:val="TableParagraph"/>
              <w:spacing w:line="213" w:lineRule="exact" w:before="23"/>
              <w:ind w:right="215"/>
              <w:jc w:val="right"/>
              <w:rPr>
                <w:rFonts w:ascii="Verdana"/>
                <w:sz w:val="18"/>
              </w:rPr>
            </w:pPr>
            <w:r>
              <w:rPr>
                <w:rFonts w:ascii="Verdana"/>
                <w:color w:val="231F20"/>
                <w:w w:val="110"/>
                <w:sz w:val="18"/>
              </w:rPr>
              <w:t>17</w:t>
            </w:r>
          </w:p>
        </w:tc>
        <w:tc>
          <w:tcPr>
            <w:tcW w:w="703" w:type="dxa"/>
          </w:tcPr>
          <w:p>
            <w:pPr>
              <w:pStyle w:val="TableParagraph"/>
              <w:spacing w:line="213" w:lineRule="exact" w:before="23"/>
              <w:ind w:right="215"/>
              <w:jc w:val="right"/>
              <w:rPr>
                <w:rFonts w:ascii="Verdana"/>
                <w:sz w:val="18"/>
              </w:rPr>
            </w:pPr>
            <w:r>
              <w:rPr>
                <w:rFonts w:ascii="Verdana"/>
                <w:color w:val="231F20"/>
                <w:w w:val="110"/>
                <w:sz w:val="18"/>
              </w:rPr>
              <w:t>14</w:t>
            </w:r>
          </w:p>
        </w:tc>
        <w:tc>
          <w:tcPr>
            <w:tcW w:w="726" w:type="dxa"/>
          </w:tcPr>
          <w:p>
            <w:pPr>
              <w:pStyle w:val="TableParagraph"/>
              <w:spacing w:line="213" w:lineRule="exact" w:before="23"/>
              <w:ind w:left="371"/>
              <w:rPr>
                <w:rFonts w:ascii="Verdana"/>
                <w:sz w:val="18"/>
              </w:rPr>
            </w:pPr>
            <w:r>
              <w:rPr>
                <w:rFonts w:ascii="Verdana"/>
                <w:color w:val="231F20"/>
                <w:w w:val="111"/>
                <w:sz w:val="18"/>
              </w:rPr>
              <w:t>6</w:t>
            </w:r>
          </w:p>
        </w:tc>
        <w:tc>
          <w:tcPr>
            <w:tcW w:w="698" w:type="dxa"/>
          </w:tcPr>
          <w:p>
            <w:pPr>
              <w:pStyle w:val="TableParagraph"/>
              <w:spacing w:line="213" w:lineRule="exact" w:before="23"/>
              <w:ind w:left="126"/>
              <w:jc w:val="center"/>
              <w:rPr>
                <w:rFonts w:ascii="Verdana"/>
                <w:sz w:val="18"/>
              </w:rPr>
            </w:pPr>
            <w:r>
              <w:rPr>
                <w:rFonts w:ascii="Verdana"/>
                <w:color w:val="231F20"/>
                <w:w w:val="111"/>
                <w:sz w:val="18"/>
              </w:rPr>
              <w:t>4</w:t>
            </w:r>
          </w:p>
        </w:tc>
        <w:tc>
          <w:tcPr>
            <w:tcW w:w="699" w:type="dxa"/>
          </w:tcPr>
          <w:p>
            <w:pPr>
              <w:pStyle w:val="TableParagraph"/>
              <w:spacing w:line="213" w:lineRule="exact" w:before="23"/>
              <w:ind w:left="344"/>
              <w:rPr>
                <w:rFonts w:ascii="Verdana"/>
                <w:sz w:val="18"/>
              </w:rPr>
            </w:pPr>
            <w:r>
              <w:rPr>
                <w:rFonts w:ascii="Verdana"/>
                <w:color w:val="231F20"/>
                <w:w w:val="111"/>
                <w:sz w:val="18"/>
              </w:rPr>
              <w:t>2</w:t>
            </w:r>
          </w:p>
        </w:tc>
        <w:tc>
          <w:tcPr>
            <w:tcW w:w="678" w:type="dxa"/>
          </w:tcPr>
          <w:p>
            <w:pPr>
              <w:pStyle w:val="TableParagraph"/>
              <w:spacing w:line="213" w:lineRule="exact" w:before="23"/>
              <w:ind w:left="323"/>
              <w:rPr>
                <w:rFonts w:ascii="Verdana"/>
                <w:sz w:val="18"/>
              </w:rPr>
            </w:pPr>
            <w:r>
              <w:rPr>
                <w:rFonts w:ascii="Verdana"/>
                <w:color w:val="231F20"/>
                <w:w w:val="111"/>
                <w:sz w:val="18"/>
              </w:rPr>
              <w:t>2</w:t>
            </w:r>
          </w:p>
        </w:tc>
      </w:tr>
      <w:tr>
        <w:trPr>
          <w:trHeight w:val="256" w:hRule="atLeast"/>
        </w:trPr>
        <w:tc>
          <w:tcPr>
            <w:tcW w:w="2594" w:type="dxa"/>
          </w:tcPr>
          <w:p>
            <w:pPr>
              <w:pStyle w:val="TableParagraph"/>
              <w:spacing w:line="212" w:lineRule="exact" w:before="24"/>
              <w:ind w:left="56"/>
              <w:rPr>
                <w:rFonts w:ascii="Verdana" w:hAnsi="Verdana"/>
                <w:sz w:val="18"/>
              </w:rPr>
            </w:pPr>
            <w:r>
              <w:rPr>
                <w:rFonts w:ascii="Verdana" w:hAnsi="Verdana"/>
                <w:color w:val="231F20"/>
                <w:w w:val="110"/>
                <w:sz w:val="18"/>
              </w:rPr>
              <w:t>Queen’s College</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4</w:t>
            </w:r>
          </w:p>
        </w:tc>
        <w:tc>
          <w:tcPr>
            <w:tcW w:w="727" w:type="dxa"/>
          </w:tcPr>
          <w:p>
            <w:pPr>
              <w:pStyle w:val="TableParagraph"/>
              <w:spacing w:line="213" w:lineRule="exact" w:before="23"/>
              <w:ind w:right="215"/>
              <w:jc w:val="right"/>
              <w:rPr>
                <w:rFonts w:ascii="Verdana"/>
                <w:sz w:val="18"/>
              </w:rPr>
            </w:pPr>
            <w:r>
              <w:rPr>
                <w:rFonts w:ascii="Verdana"/>
                <w:color w:val="231F20"/>
                <w:w w:val="111"/>
                <w:sz w:val="18"/>
              </w:rPr>
              <w:t>6</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6</w:t>
            </w:r>
          </w:p>
        </w:tc>
        <w:tc>
          <w:tcPr>
            <w:tcW w:w="703" w:type="dxa"/>
          </w:tcPr>
          <w:p>
            <w:pPr>
              <w:pStyle w:val="TableParagraph"/>
              <w:spacing w:line="213" w:lineRule="exact" w:before="23"/>
              <w:ind w:right="215"/>
              <w:jc w:val="right"/>
              <w:rPr>
                <w:rFonts w:ascii="Verdana"/>
                <w:sz w:val="18"/>
              </w:rPr>
            </w:pPr>
            <w:r>
              <w:rPr>
                <w:rFonts w:ascii="Verdana"/>
                <w:color w:val="231F20"/>
                <w:w w:val="111"/>
                <w:sz w:val="18"/>
              </w:rPr>
              <w:t>3</w:t>
            </w:r>
          </w:p>
        </w:tc>
        <w:tc>
          <w:tcPr>
            <w:tcW w:w="726" w:type="dxa"/>
          </w:tcPr>
          <w:p>
            <w:pPr>
              <w:pStyle w:val="TableParagraph"/>
              <w:rPr>
                <w:sz w:val="18"/>
              </w:rPr>
            </w:pPr>
          </w:p>
        </w:tc>
        <w:tc>
          <w:tcPr>
            <w:tcW w:w="698" w:type="dxa"/>
          </w:tcPr>
          <w:p>
            <w:pPr>
              <w:pStyle w:val="TableParagraph"/>
              <w:spacing w:line="213" w:lineRule="exact" w:before="23"/>
              <w:ind w:left="127"/>
              <w:jc w:val="center"/>
              <w:rPr>
                <w:rFonts w:ascii="Verdana"/>
                <w:sz w:val="18"/>
              </w:rPr>
            </w:pPr>
            <w:r>
              <w:rPr>
                <w:rFonts w:ascii="Verdana"/>
                <w:color w:val="231F20"/>
                <w:w w:val="111"/>
                <w:sz w:val="18"/>
              </w:rPr>
              <w:t>1</w:t>
            </w:r>
          </w:p>
        </w:tc>
        <w:tc>
          <w:tcPr>
            <w:tcW w:w="699" w:type="dxa"/>
          </w:tcPr>
          <w:p>
            <w:pPr>
              <w:pStyle w:val="TableParagraph"/>
              <w:spacing w:line="213" w:lineRule="exact" w:before="23"/>
              <w:ind w:left="345"/>
              <w:rPr>
                <w:rFonts w:ascii="Verdana"/>
                <w:sz w:val="18"/>
              </w:rPr>
            </w:pPr>
            <w:r>
              <w:rPr>
                <w:rFonts w:ascii="Verdana"/>
                <w:color w:val="231F20"/>
                <w:w w:val="111"/>
                <w:sz w:val="18"/>
              </w:rPr>
              <w:t>1</w:t>
            </w:r>
          </w:p>
        </w:tc>
        <w:tc>
          <w:tcPr>
            <w:tcW w:w="678" w:type="dxa"/>
          </w:tcPr>
          <w:p>
            <w:pPr>
              <w:pStyle w:val="TableParagraph"/>
              <w:spacing w:line="213" w:lineRule="exact" w:before="23"/>
              <w:ind w:left="323"/>
              <w:rPr>
                <w:rFonts w:ascii="Verdana"/>
                <w:sz w:val="18"/>
              </w:rPr>
            </w:pPr>
            <w:r>
              <w:rPr>
                <w:rFonts w:ascii="Verdana"/>
                <w:color w:val="231F20"/>
                <w:w w:val="111"/>
                <w:sz w:val="18"/>
              </w:rPr>
              <w:t>1</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SC &amp; URC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spacing w:line="213" w:lineRule="exact" w:before="23"/>
              <w:ind w:right="215"/>
              <w:jc w:val="right"/>
              <w:rPr>
                <w:rFonts w:ascii="Verdana"/>
                <w:sz w:val="18"/>
              </w:rPr>
            </w:pPr>
            <w:r>
              <w:rPr>
                <w:rFonts w:ascii="Verdana"/>
                <w:color w:val="231F20"/>
                <w:w w:val="111"/>
                <w:sz w:val="18"/>
              </w:rPr>
              <w:t>4</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4</w:t>
            </w:r>
          </w:p>
        </w:tc>
        <w:tc>
          <w:tcPr>
            <w:tcW w:w="703" w:type="dxa"/>
          </w:tcPr>
          <w:p>
            <w:pPr>
              <w:pStyle w:val="TableParagraph"/>
              <w:spacing w:line="213" w:lineRule="exact" w:before="23"/>
              <w:ind w:right="215"/>
              <w:jc w:val="right"/>
              <w:rPr>
                <w:rFonts w:ascii="Verdana"/>
                <w:sz w:val="18"/>
              </w:rPr>
            </w:pPr>
            <w:r>
              <w:rPr>
                <w:rFonts w:ascii="Verdana"/>
                <w:color w:val="231F20"/>
                <w:w w:val="111"/>
                <w:sz w:val="18"/>
              </w:rPr>
              <w:t>1</w:t>
            </w:r>
          </w:p>
        </w:tc>
        <w:tc>
          <w:tcPr>
            <w:tcW w:w="726" w:type="dxa"/>
          </w:tcPr>
          <w:p>
            <w:pPr>
              <w:pStyle w:val="TableParagraph"/>
              <w:spacing w:line="213" w:lineRule="exact" w:before="23"/>
              <w:ind w:left="371"/>
              <w:rPr>
                <w:rFonts w:ascii="Verdana"/>
                <w:sz w:val="18"/>
              </w:rPr>
            </w:pPr>
            <w:r>
              <w:rPr>
                <w:rFonts w:ascii="Verdana"/>
                <w:color w:val="231F20"/>
                <w:w w:val="111"/>
                <w:sz w:val="18"/>
              </w:rPr>
              <w:t>1</w:t>
            </w: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Westminster College</w:t>
            </w:r>
          </w:p>
        </w:tc>
        <w:tc>
          <w:tcPr>
            <w:tcW w:w="726" w:type="dxa"/>
          </w:tcPr>
          <w:p>
            <w:pPr>
              <w:pStyle w:val="TableParagraph"/>
              <w:spacing w:line="213" w:lineRule="exact" w:before="23"/>
              <w:ind w:right="215"/>
              <w:jc w:val="right"/>
              <w:rPr>
                <w:rFonts w:ascii="Verdana"/>
                <w:sz w:val="18"/>
              </w:rPr>
            </w:pPr>
            <w:r>
              <w:rPr>
                <w:rFonts w:ascii="Verdana"/>
                <w:color w:val="231F20"/>
                <w:w w:val="110"/>
                <w:sz w:val="18"/>
              </w:rPr>
              <w:t>20</w:t>
            </w:r>
          </w:p>
        </w:tc>
        <w:tc>
          <w:tcPr>
            <w:tcW w:w="727" w:type="dxa"/>
          </w:tcPr>
          <w:p>
            <w:pPr>
              <w:pStyle w:val="TableParagraph"/>
              <w:spacing w:line="213" w:lineRule="exact" w:before="23"/>
              <w:ind w:right="215"/>
              <w:jc w:val="right"/>
              <w:rPr>
                <w:rFonts w:ascii="Verdana"/>
                <w:sz w:val="18"/>
              </w:rPr>
            </w:pPr>
            <w:r>
              <w:rPr>
                <w:rFonts w:ascii="Verdana"/>
                <w:color w:val="231F20"/>
                <w:w w:val="110"/>
                <w:sz w:val="18"/>
              </w:rPr>
              <w:t>18</w:t>
            </w:r>
          </w:p>
        </w:tc>
        <w:tc>
          <w:tcPr>
            <w:tcW w:w="726" w:type="dxa"/>
          </w:tcPr>
          <w:p>
            <w:pPr>
              <w:pStyle w:val="TableParagraph"/>
              <w:spacing w:line="213" w:lineRule="exact" w:before="23"/>
              <w:ind w:right="215"/>
              <w:jc w:val="right"/>
              <w:rPr>
                <w:rFonts w:ascii="Verdana"/>
                <w:sz w:val="18"/>
              </w:rPr>
            </w:pPr>
            <w:r>
              <w:rPr>
                <w:rFonts w:ascii="Verdana"/>
                <w:color w:val="231F20"/>
                <w:w w:val="110"/>
                <w:sz w:val="18"/>
              </w:rPr>
              <w:t>14</w:t>
            </w:r>
          </w:p>
        </w:tc>
        <w:tc>
          <w:tcPr>
            <w:tcW w:w="703" w:type="dxa"/>
          </w:tcPr>
          <w:p>
            <w:pPr>
              <w:pStyle w:val="TableParagraph"/>
              <w:spacing w:line="213" w:lineRule="exact" w:before="23"/>
              <w:ind w:right="215"/>
              <w:jc w:val="right"/>
              <w:rPr>
                <w:rFonts w:ascii="Verdana"/>
                <w:sz w:val="18"/>
              </w:rPr>
            </w:pPr>
            <w:r>
              <w:rPr>
                <w:rFonts w:ascii="Verdana"/>
                <w:color w:val="231F20"/>
                <w:w w:val="110"/>
                <w:sz w:val="18"/>
              </w:rPr>
              <w:t>20</w:t>
            </w:r>
          </w:p>
        </w:tc>
        <w:tc>
          <w:tcPr>
            <w:tcW w:w="726" w:type="dxa"/>
          </w:tcPr>
          <w:p>
            <w:pPr>
              <w:pStyle w:val="TableParagraph"/>
              <w:spacing w:line="213" w:lineRule="exact" w:before="23"/>
              <w:ind w:left="371"/>
              <w:rPr>
                <w:rFonts w:ascii="Verdana"/>
                <w:sz w:val="18"/>
              </w:rPr>
            </w:pPr>
            <w:r>
              <w:rPr>
                <w:rFonts w:ascii="Verdana"/>
                <w:color w:val="231F20"/>
                <w:w w:val="111"/>
                <w:sz w:val="18"/>
              </w:rPr>
              <w:t>5</w:t>
            </w:r>
          </w:p>
        </w:tc>
        <w:tc>
          <w:tcPr>
            <w:tcW w:w="698" w:type="dxa"/>
          </w:tcPr>
          <w:p>
            <w:pPr>
              <w:pStyle w:val="TableParagraph"/>
              <w:spacing w:line="213" w:lineRule="exact" w:before="23"/>
              <w:ind w:left="126"/>
              <w:jc w:val="center"/>
              <w:rPr>
                <w:rFonts w:ascii="Verdana"/>
                <w:sz w:val="18"/>
              </w:rPr>
            </w:pPr>
            <w:r>
              <w:rPr>
                <w:rFonts w:ascii="Verdana"/>
                <w:color w:val="231F20"/>
                <w:w w:val="111"/>
                <w:sz w:val="18"/>
              </w:rPr>
              <w:t>6</w:t>
            </w:r>
          </w:p>
        </w:tc>
        <w:tc>
          <w:tcPr>
            <w:tcW w:w="699" w:type="dxa"/>
          </w:tcPr>
          <w:p>
            <w:pPr>
              <w:pStyle w:val="TableParagraph"/>
              <w:spacing w:line="213" w:lineRule="exact" w:before="23"/>
              <w:ind w:left="344"/>
              <w:rPr>
                <w:rFonts w:ascii="Verdana"/>
                <w:sz w:val="18"/>
              </w:rPr>
            </w:pPr>
            <w:r>
              <w:rPr>
                <w:rFonts w:ascii="Verdana"/>
                <w:color w:val="231F20"/>
                <w:w w:val="111"/>
                <w:sz w:val="18"/>
              </w:rPr>
              <w:t>2</w:t>
            </w:r>
          </w:p>
        </w:tc>
        <w:tc>
          <w:tcPr>
            <w:tcW w:w="678" w:type="dxa"/>
          </w:tcPr>
          <w:p>
            <w:pPr>
              <w:pStyle w:val="TableParagraph"/>
              <w:spacing w:line="213" w:lineRule="exact" w:before="23"/>
              <w:ind w:left="323"/>
              <w:rPr>
                <w:rFonts w:ascii="Verdana"/>
                <w:sz w:val="18"/>
              </w:rPr>
            </w:pPr>
            <w:r>
              <w:rPr>
                <w:rFonts w:ascii="Verdana"/>
                <w:color w:val="231F20"/>
                <w:w w:val="111"/>
                <w:sz w:val="18"/>
              </w:rPr>
              <w:t>7</w:t>
            </w: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Part-time Courses</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EMMTC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NEOC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spacing w:line="212" w:lineRule="exact" w:before="24"/>
              <w:ind w:left="371"/>
              <w:rPr>
                <w:rFonts w:ascii="Verdana"/>
                <w:sz w:val="18"/>
              </w:rPr>
            </w:pPr>
            <w:r>
              <w:rPr>
                <w:rFonts w:ascii="Verdana"/>
                <w:color w:val="231F20"/>
                <w:w w:val="111"/>
                <w:sz w:val="18"/>
              </w:rPr>
              <w:t>1</w:t>
            </w: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Northern College</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spacing w:line="213" w:lineRule="exact" w:before="23"/>
              <w:ind w:right="215"/>
              <w:jc w:val="right"/>
              <w:rPr>
                <w:rFonts w:ascii="Verdana"/>
                <w:sz w:val="18"/>
              </w:rPr>
            </w:pPr>
            <w:r>
              <w:rPr>
                <w:rFonts w:ascii="Verdana"/>
                <w:color w:val="231F20"/>
                <w:w w:val="111"/>
                <w:sz w:val="18"/>
              </w:rPr>
              <w:t>3</w:t>
            </w:r>
          </w:p>
        </w:tc>
        <w:tc>
          <w:tcPr>
            <w:tcW w:w="726" w:type="dxa"/>
          </w:tcPr>
          <w:p>
            <w:pPr>
              <w:pStyle w:val="TableParagraph"/>
              <w:rPr>
                <w:sz w:val="18"/>
              </w:rPr>
            </w:pPr>
          </w:p>
        </w:tc>
        <w:tc>
          <w:tcPr>
            <w:tcW w:w="698" w:type="dxa"/>
          </w:tcPr>
          <w:p>
            <w:pPr>
              <w:pStyle w:val="TableParagraph"/>
              <w:spacing w:line="213" w:lineRule="exact" w:before="23"/>
              <w:ind w:left="127"/>
              <w:jc w:val="center"/>
              <w:rPr>
                <w:rFonts w:ascii="Verdana"/>
                <w:sz w:val="18"/>
              </w:rPr>
            </w:pPr>
            <w:r>
              <w:rPr>
                <w:rFonts w:ascii="Verdana"/>
                <w:color w:val="231F20"/>
                <w:w w:val="111"/>
                <w:sz w:val="18"/>
              </w:rPr>
              <w:t>1</w:t>
            </w:r>
          </w:p>
        </w:tc>
        <w:tc>
          <w:tcPr>
            <w:tcW w:w="699" w:type="dxa"/>
          </w:tcPr>
          <w:p>
            <w:pPr>
              <w:pStyle w:val="TableParagraph"/>
              <w:rPr>
                <w:sz w:val="18"/>
              </w:rPr>
            </w:pPr>
          </w:p>
        </w:tc>
        <w:tc>
          <w:tcPr>
            <w:tcW w:w="678" w:type="dxa"/>
          </w:tcPr>
          <w:p>
            <w:pPr>
              <w:pStyle w:val="TableParagraph"/>
              <w:spacing w:line="213" w:lineRule="exact" w:before="23"/>
              <w:ind w:left="323"/>
              <w:rPr>
                <w:rFonts w:ascii="Verdana"/>
                <w:sz w:val="18"/>
              </w:rPr>
            </w:pPr>
            <w:r>
              <w:rPr>
                <w:rFonts w:ascii="Verdana"/>
                <w:color w:val="231F20"/>
                <w:w w:val="111"/>
                <w:sz w:val="18"/>
              </w:rPr>
              <w:t>2</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STETS</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SC &amp; URC</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1</w:t>
            </w: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3" w:lineRule="exact" w:before="24"/>
              <w:ind w:left="56"/>
              <w:rPr>
                <w:rFonts w:ascii="Verdana"/>
                <w:sz w:val="18"/>
              </w:rPr>
            </w:pPr>
            <w:r>
              <w:rPr>
                <w:rFonts w:ascii="Verdana"/>
                <w:color w:val="231F20"/>
                <w:w w:val="110"/>
                <w:sz w:val="18"/>
              </w:rPr>
              <w:t>SWMTC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698" w:type="dxa"/>
          </w:tcPr>
          <w:p>
            <w:pPr>
              <w:pStyle w:val="TableParagraph"/>
              <w:spacing w:line="212" w:lineRule="exact" w:before="24"/>
              <w:ind w:left="127"/>
              <w:jc w:val="center"/>
              <w:rPr>
                <w:rFonts w:ascii="Verdana"/>
                <w:sz w:val="18"/>
              </w:rPr>
            </w:pPr>
            <w:r>
              <w:rPr>
                <w:rFonts w:ascii="Verdana"/>
                <w:color w:val="231F20"/>
                <w:w w:val="111"/>
                <w:sz w:val="18"/>
              </w:rPr>
              <w:t>1</w:t>
            </w: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Subtotal</w:t>
            </w:r>
          </w:p>
        </w:tc>
        <w:tc>
          <w:tcPr>
            <w:tcW w:w="726" w:type="dxa"/>
          </w:tcPr>
          <w:p>
            <w:pPr>
              <w:pStyle w:val="TableParagraph"/>
              <w:spacing w:line="212" w:lineRule="exact" w:before="24"/>
              <w:ind w:right="215"/>
              <w:jc w:val="right"/>
              <w:rPr>
                <w:rFonts w:ascii="Verdana"/>
                <w:b/>
                <w:sz w:val="18"/>
              </w:rPr>
            </w:pPr>
            <w:r>
              <w:rPr>
                <w:rFonts w:ascii="Verdana"/>
                <w:b/>
                <w:color w:val="231F20"/>
                <w:w w:val="110"/>
                <w:sz w:val="18"/>
              </w:rPr>
              <w:t>63</w:t>
            </w:r>
          </w:p>
        </w:tc>
        <w:tc>
          <w:tcPr>
            <w:tcW w:w="727" w:type="dxa"/>
          </w:tcPr>
          <w:p>
            <w:pPr>
              <w:pStyle w:val="TableParagraph"/>
              <w:spacing w:line="212" w:lineRule="exact" w:before="24"/>
              <w:ind w:right="215"/>
              <w:jc w:val="right"/>
              <w:rPr>
                <w:rFonts w:ascii="Verdana"/>
                <w:b/>
                <w:sz w:val="18"/>
              </w:rPr>
            </w:pPr>
            <w:r>
              <w:rPr>
                <w:rFonts w:ascii="Verdana"/>
                <w:b/>
                <w:color w:val="231F20"/>
                <w:w w:val="110"/>
                <w:sz w:val="18"/>
              </w:rPr>
              <w:t>54</w:t>
            </w:r>
          </w:p>
        </w:tc>
        <w:tc>
          <w:tcPr>
            <w:tcW w:w="726" w:type="dxa"/>
          </w:tcPr>
          <w:p>
            <w:pPr>
              <w:pStyle w:val="TableParagraph"/>
              <w:spacing w:line="212" w:lineRule="exact" w:before="24"/>
              <w:ind w:right="215"/>
              <w:jc w:val="right"/>
              <w:rPr>
                <w:rFonts w:ascii="Verdana"/>
                <w:b/>
                <w:sz w:val="18"/>
              </w:rPr>
            </w:pPr>
            <w:r>
              <w:rPr>
                <w:rFonts w:ascii="Verdana"/>
                <w:b/>
                <w:color w:val="231F20"/>
                <w:w w:val="110"/>
                <w:sz w:val="18"/>
              </w:rPr>
              <w:t>51</w:t>
            </w:r>
          </w:p>
        </w:tc>
        <w:tc>
          <w:tcPr>
            <w:tcW w:w="703" w:type="dxa"/>
          </w:tcPr>
          <w:p>
            <w:pPr>
              <w:pStyle w:val="TableParagraph"/>
              <w:spacing w:line="212" w:lineRule="exact" w:before="24"/>
              <w:ind w:right="215"/>
              <w:jc w:val="right"/>
              <w:rPr>
                <w:rFonts w:ascii="Verdana"/>
                <w:b/>
                <w:sz w:val="18"/>
              </w:rPr>
            </w:pPr>
            <w:r>
              <w:rPr>
                <w:rFonts w:ascii="Verdana"/>
                <w:b/>
                <w:color w:val="231F20"/>
                <w:w w:val="110"/>
                <w:sz w:val="18"/>
              </w:rPr>
              <w:t>48</w:t>
            </w:r>
          </w:p>
        </w:tc>
        <w:tc>
          <w:tcPr>
            <w:tcW w:w="726" w:type="dxa"/>
          </w:tcPr>
          <w:p>
            <w:pPr>
              <w:pStyle w:val="TableParagraph"/>
              <w:spacing w:line="212" w:lineRule="exact" w:before="24"/>
              <w:ind w:left="218"/>
              <w:rPr>
                <w:rFonts w:ascii="Verdana"/>
                <w:b/>
                <w:sz w:val="18"/>
              </w:rPr>
            </w:pPr>
            <w:r>
              <w:rPr>
                <w:rFonts w:ascii="Verdana"/>
                <w:b/>
                <w:color w:val="231F20"/>
                <w:w w:val="110"/>
                <w:sz w:val="18"/>
              </w:rPr>
              <w:t>15</w:t>
            </w:r>
          </w:p>
        </w:tc>
        <w:tc>
          <w:tcPr>
            <w:tcW w:w="698" w:type="dxa"/>
          </w:tcPr>
          <w:p>
            <w:pPr>
              <w:pStyle w:val="TableParagraph"/>
              <w:spacing w:line="212" w:lineRule="exact" w:before="24"/>
              <w:ind w:left="14" w:right="37"/>
              <w:jc w:val="center"/>
              <w:rPr>
                <w:rFonts w:ascii="Verdana"/>
                <w:b/>
                <w:sz w:val="18"/>
              </w:rPr>
            </w:pPr>
            <w:r>
              <w:rPr>
                <w:rFonts w:ascii="Verdana"/>
                <w:b/>
                <w:color w:val="231F20"/>
                <w:w w:val="110"/>
                <w:sz w:val="18"/>
              </w:rPr>
              <w:t>15</w:t>
            </w:r>
          </w:p>
        </w:tc>
        <w:tc>
          <w:tcPr>
            <w:tcW w:w="699" w:type="dxa"/>
          </w:tcPr>
          <w:p>
            <w:pPr>
              <w:pStyle w:val="TableParagraph"/>
              <w:spacing w:line="212" w:lineRule="exact" w:before="24"/>
              <w:ind w:left="329"/>
              <w:rPr>
                <w:rFonts w:ascii="Verdana"/>
                <w:b/>
                <w:sz w:val="18"/>
              </w:rPr>
            </w:pPr>
            <w:r>
              <w:rPr>
                <w:rFonts w:ascii="Verdana"/>
                <w:b/>
                <w:color w:val="231F20"/>
                <w:w w:val="111"/>
                <w:sz w:val="18"/>
              </w:rPr>
              <w:t>6</w:t>
            </w:r>
          </w:p>
        </w:tc>
        <w:tc>
          <w:tcPr>
            <w:tcW w:w="678" w:type="dxa"/>
          </w:tcPr>
          <w:p>
            <w:pPr>
              <w:pStyle w:val="TableParagraph"/>
              <w:spacing w:line="212" w:lineRule="exact" w:before="24"/>
              <w:ind w:left="171"/>
              <w:rPr>
                <w:rFonts w:ascii="Verdana"/>
                <w:b/>
                <w:sz w:val="18"/>
              </w:rPr>
            </w:pPr>
            <w:r>
              <w:rPr>
                <w:rFonts w:ascii="Verdana"/>
                <w:b/>
                <w:color w:val="231F20"/>
                <w:w w:val="110"/>
                <w:sz w:val="18"/>
              </w:rPr>
              <w:t>12</w:t>
            </w:r>
          </w:p>
        </w:tc>
      </w:tr>
      <w:tr>
        <w:trPr>
          <w:trHeight w:val="256" w:hRule="atLeast"/>
        </w:trPr>
        <w:tc>
          <w:tcPr>
            <w:tcW w:w="2594" w:type="dxa"/>
          </w:tcPr>
          <w:p>
            <w:pPr>
              <w:pStyle w:val="TableParagraph"/>
              <w:rPr>
                <w:sz w:val="18"/>
              </w:rPr>
            </w:pP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CRCW</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Northern College</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5</w:t>
            </w:r>
          </w:p>
        </w:tc>
        <w:tc>
          <w:tcPr>
            <w:tcW w:w="727" w:type="dxa"/>
          </w:tcPr>
          <w:p>
            <w:pPr>
              <w:pStyle w:val="TableParagraph"/>
              <w:spacing w:line="213" w:lineRule="exact" w:before="23"/>
              <w:ind w:right="215"/>
              <w:jc w:val="right"/>
              <w:rPr>
                <w:rFonts w:ascii="Verdana"/>
                <w:sz w:val="18"/>
              </w:rPr>
            </w:pPr>
            <w:r>
              <w:rPr>
                <w:rFonts w:ascii="Verdana"/>
                <w:color w:val="231F20"/>
                <w:w w:val="111"/>
                <w:sz w:val="18"/>
              </w:rPr>
              <w:t>5</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6</w:t>
            </w:r>
          </w:p>
        </w:tc>
        <w:tc>
          <w:tcPr>
            <w:tcW w:w="703" w:type="dxa"/>
          </w:tcPr>
          <w:p>
            <w:pPr>
              <w:pStyle w:val="TableParagraph"/>
              <w:spacing w:line="213" w:lineRule="exact" w:before="23"/>
              <w:ind w:right="215"/>
              <w:jc w:val="right"/>
              <w:rPr>
                <w:rFonts w:ascii="Verdana"/>
                <w:sz w:val="18"/>
              </w:rPr>
            </w:pPr>
            <w:r>
              <w:rPr>
                <w:rFonts w:ascii="Verdana"/>
                <w:color w:val="231F20"/>
                <w:w w:val="111"/>
                <w:sz w:val="18"/>
              </w:rPr>
              <w:t>4</w:t>
            </w:r>
          </w:p>
        </w:tc>
        <w:tc>
          <w:tcPr>
            <w:tcW w:w="726" w:type="dxa"/>
          </w:tcPr>
          <w:p>
            <w:pPr>
              <w:pStyle w:val="TableParagraph"/>
              <w:rPr>
                <w:sz w:val="18"/>
              </w:rPr>
            </w:pPr>
          </w:p>
        </w:tc>
        <w:tc>
          <w:tcPr>
            <w:tcW w:w="698" w:type="dxa"/>
          </w:tcPr>
          <w:p>
            <w:pPr>
              <w:pStyle w:val="TableParagraph"/>
              <w:spacing w:line="213" w:lineRule="exact" w:before="23"/>
              <w:ind w:left="126"/>
              <w:jc w:val="center"/>
              <w:rPr>
                <w:rFonts w:ascii="Verdana"/>
                <w:sz w:val="18"/>
              </w:rPr>
            </w:pPr>
            <w:r>
              <w:rPr>
                <w:rFonts w:ascii="Verdana"/>
                <w:color w:val="231F20"/>
                <w:w w:val="111"/>
                <w:sz w:val="18"/>
              </w:rPr>
              <w:t>2</w:t>
            </w:r>
          </w:p>
        </w:tc>
        <w:tc>
          <w:tcPr>
            <w:tcW w:w="699" w:type="dxa"/>
          </w:tcPr>
          <w:p>
            <w:pPr>
              <w:pStyle w:val="TableParagraph"/>
              <w:spacing w:line="213" w:lineRule="exact" w:before="23"/>
              <w:ind w:left="344"/>
              <w:rPr>
                <w:rFonts w:ascii="Verdana"/>
                <w:sz w:val="18"/>
              </w:rPr>
            </w:pPr>
            <w:r>
              <w:rPr>
                <w:rFonts w:ascii="Verdana"/>
                <w:color w:val="231F20"/>
                <w:w w:val="111"/>
                <w:sz w:val="18"/>
              </w:rPr>
              <w:t>2</w:t>
            </w:r>
          </w:p>
        </w:tc>
        <w:tc>
          <w:tcPr>
            <w:tcW w:w="678" w:type="dxa"/>
          </w:tcPr>
          <w:p>
            <w:pPr>
              <w:pStyle w:val="TableParagraph"/>
              <w:rPr>
                <w:sz w:val="18"/>
              </w:rPr>
            </w:pPr>
          </w:p>
        </w:tc>
      </w:tr>
      <w:tr>
        <w:trPr>
          <w:trHeight w:val="256" w:hRule="atLeast"/>
        </w:trPr>
        <w:tc>
          <w:tcPr>
            <w:tcW w:w="2594" w:type="dxa"/>
          </w:tcPr>
          <w:p>
            <w:pPr>
              <w:pStyle w:val="TableParagraph"/>
              <w:rPr>
                <w:sz w:val="18"/>
              </w:rPr>
            </w:pP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3" w:lineRule="exact" w:before="23"/>
              <w:ind w:left="56"/>
              <w:rPr>
                <w:rFonts w:ascii="Verdana"/>
                <w:b/>
                <w:sz w:val="18"/>
              </w:rPr>
            </w:pPr>
            <w:r>
              <w:rPr>
                <w:rFonts w:ascii="Verdana"/>
                <w:b/>
                <w:color w:val="231F20"/>
                <w:w w:val="110"/>
                <w:sz w:val="18"/>
              </w:rPr>
              <w:t>NON-STIPENDIARY</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Part-Time Courses</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ERMC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spacing w:line="212" w:lineRule="exact" w:before="24"/>
              <w:ind w:left="344"/>
              <w:rPr>
                <w:rFonts w:ascii="Verdana"/>
                <w:sz w:val="18"/>
              </w:rPr>
            </w:pPr>
            <w:r>
              <w:rPr>
                <w:rFonts w:ascii="Verdana"/>
                <w:color w:val="231F20"/>
                <w:w w:val="111"/>
                <w:sz w:val="18"/>
              </w:rPr>
              <w:t>1</w:t>
            </w: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EMMTC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703"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spacing w:line="212" w:lineRule="exact" w:before="24"/>
              <w:ind w:left="323"/>
              <w:rPr>
                <w:rFonts w:ascii="Verdana"/>
                <w:sz w:val="18"/>
              </w:rPr>
            </w:pPr>
            <w:r>
              <w:rPr>
                <w:rFonts w:ascii="Verdana"/>
                <w:color w:val="231F20"/>
                <w:w w:val="111"/>
                <w:sz w:val="18"/>
              </w:rPr>
              <w:t>1</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Northern College</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8</w:t>
            </w:r>
          </w:p>
        </w:tc>
        <w:tc>
          <w:tcPr>
            <w:tcW w:w="727" w:type="dxa"/>
          </w:tcPr>
          <w:p>
            <w:pPr>
              <w:pStyle w:val="TableParagraph"/>
              <w:spacing w:line="213" w:lineRule="exact" w:before="23"/>
              <w:ind w:right="215"/>
              <w:jc w:val="right"/>
              <w:rPr>
                <w:rFonts w:ascii="Verdana"/>
                <w:sz w:val="18"/>
              </w:rPr>
            </w:pPr>
            <w:r>
              <w:rPr>
                <w:rFonts w:ascii="Verdana"/>
                <w:color w:val="231F20"/>
                <w:w w:val="111"/>
                <w:sz w:val="18"/>
              </w:rPr>
              <w:t>5</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7</w:t>
            </w:r>
          </w:p>
        </w:tc>
        <w:tc>
          <w:tcPr>
            <w:tcW w:w="703" w:type="dxa"/>
          </w:tcPr>
          <w:p>
            <w:pPr>
              <w:pStyle w:val="TableParagraph"/>
              <w:spacing w:line="213" w:lineRule="exact" w:before="23"/>
              <w:ind w:right="215"/>
              <w:jc w:val="right"/>
              <w:rPr>
                <w:rFonts w:ascii="Verdana"/>
                <w:sz w:val="18"/>
              </w:rPr>
            </w:pPr>
            <w:r>
              <w:rPr>
                <w:rFonts w:ascii="Verdana"/>
                <w:color w:val="231F20"/>
                <w:w w:val="111"/>
                <w:sz w:val="18"/>
              </w:rPr>
              <w:t>3</w:t>
            </w:r>
          </w:p>
        </w:tc>
        <w:tc>
          <w:tcPr>
            <w:tcW w:w="726" w:type="dxa"/>
          </w:tcPr>
          <w:p>
            <w:pPr>
              <w:pStyle w:val="TableParagraph"/>
              <w:spacing w:line="213" w:lineRule="exact" w:before="23"/>
              <w:ind w:left="371"/>
              <w:rPr>
                <w:rFonts w:ascii="Verdana"/>
                <w:sz w:val="18"/>
              </w:rPr>
            </w:pPr>
            <w:r>
              <w:rPr>
                <w:rFonts w:ascii="Verdana"/>
                <w:color w:val="231F20"/>
                <w:w w:val="111"/>
                <w:sz w:val="18"/>
              </w:rPr>
              <w:t>1</w:t>
            </w:r>
          </w:p>
        </w:tc>
        <w:tc>
          <w:tcPr>
            <w:tcW w:w="698" w:type="dxa"/>
          </w:tcPr>
          <w:p>
            <w:pPr>
              <w:pStyle w:val="TableParagraph"/>
              <w:rPr>
                <w:sz w:val="18"/>
              </w:rPr>
            </w:pPr>
          </w:p>
        </w:tc>
        <w:tc>
          <w:tcPr>
            <w:tcW w:w="699" w:type="dxa"/>
          </w:tcPr>
          <w:p>
            <w:pPr>
              <w:pStyle w:val="TableParagraph"/>
              <w:spacing w:line="213" w:lineRule="exact" w:before="23"/>
              <w:ind w:left="345"/>
              <w:rPr>
                <w:rFonts w:ascii="Verdana"/>
                <w:sz w:val="18"/>
              </w:rPr>
            </w:pPr>
            <w:r>
              <w:rPr>
                <w:rFonts w:ascii="Verdana"/>
                <w:color w:val="231F20"/>
                <w:w w:val="111"/>
                <w:sz w:val="18"/>
              </w:rPr>
              <w:t>1</w:t>
            </w:r>
          </w:p>
        </w:tc>
        <w:tc>
          <w:tcPr>
            <w:tcW w:w="678" w:type="dxa"/>
          </w:tcPr>
          <w:p>
            <w:pPr>
              <w:pStyle w:val="TableParagraph"/>
              <w:spacing w:line="213" w:lineRule="exact" w:before="23"/>
              <w:ind w:left="323"/>
              <w:rPr>
                <w:rFonts w:ascii="Verdana"/>
                <w:sz w:val="18"/>
              </w:rPr>
            </w:pPr>
            <w:r>
              <w:rPr>
                <w:rFonts w:ascii="Verdana"/>
                <w:color w:val="231F20"/>
                <w:w w:val="111"/>
                <w:sz w:val="18"/>
              </w:rPr>
              <w:t>1</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NEOC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spacing w:line="212" w:lineRule="exact" w:before="24"/>
              <w:ind w:left="345"/>
              <w:rPr>
                <w:rFonts w:ascii="Verdana"/>
                <w:sz w:val="18"/>
              </w:rPr>
            </w:pPr>
            <w:r>
              <w:rPr>
                <w:rFonts w:ascii="Verdana"/>
                <w:color w:val="231F20"/>
                <w:w w:val="111"/>
                <w:sz w:val="18"/>
              </w:rPr>
              <w:t>1</w:t>
            </w:r>
          </w:p>
        </w:tc>
        <w:tc>
          <w:tcPr>
            <w:tcW w:w="678" w:type="dxa"/>
          </w:tcPr>
          <w:p>
            <w:pPr>
              <w:pStyle w:val="TableParagraph"/>
              <w:spacing w:line="212" w:lineRule="exact" w:before="24"/>
              <w:ind w:left="323"/>
              <w:rPr>
                <w:rFonts w:ascii="Verdana"/>
                <w:sz w:val="18"/>
              </w:rPr>
            </w:pPr>
            <w:r>
              <w:rPr>
                <w:rFonts w:ascii="Verdana"/>
                <w:color w:val="231F20"/>
                <w:w w:val="111"/>
                <w:sz w:val="18"/>
              </w:rPr>
              <w:t>1</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SEITE</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3</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3</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2</w:t>
            </w:r>
          </w:p>
        </w:tc>
        <w:tc>
          <w:tcPr>
            <w:tcW w:w="726" w:type="dxa"/>
          </w:tcPr>
          <w:p>
            <w:pPr>
              <w:pStyle w:val="TableParagraph"/>
              <w:rPr>
                <w:sz w:val="18"/>
              </w:rPr>
            </w:pPr>
          </w:p>
        </w:tc>
        <w:tc>
          <w:tcPr>
            <w:tcW w:w="698" w:type="dxa"/>
          </w:tcPr>
          <w:p>
            <w:pPr>
              <w:pStyle w:val="TableParagraph"/>
              <w:spacing w:line="212" w:lineRule="exact" w:before="24"/>
              <w:ind w:left="127"/>
              <w:jc w:val="center"/>
              <w:rPr>
                <w:rFonts w:ascii="Verdana"/>
                <w:sz w:val="18"/>
              </w:rPr>
            </w:pPr>
            <w:r>
              <w:rPr>
                <w:rFonts w:ascii="Verdana"/>
                <w:color w:val="231F20"/>
                <w:w w:val="111"/>
                <w:sz w:val="18"/>
              </w:rPr>
              <w:t>2</w:t>
            </w: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STETS</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8</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6</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5</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7</w:t>
            </w:r>
          </w:p>
        </w:tc>
        <w:tc>
          <w:tcPr>
            <w:tcW w:w="726" w:type="dxa"/>
          </w:tcPr>
          <w:p>
            <w:pPr>
              <w:pStyle w:val="TableParagraph"/>
              <w:rPr>
                <w:sz w:val="18"/>
              </w:rPr>
            </w:pPr>
          </w:p>
        </w:tc>
        <w:tc>
          <w:tcPr>
            <w:tcW w:w="698" w:type="dxa"/>
          </w:tcPr>
          <w:p>
            <w:pPr>
              <w:pStyle w:val="TableParagraph"/>
              <w:spacing w:line="212" w:lineRule="exact" w:before="24"/>
              <w:ind w:left="126"/>
              <w:jc w:val="center"/>
              <w:rPr>
                <w:rFonts w:ascii="Verdana"/>
                <w:sz w:val="18"/>
              </w:rPr>
            </w:pPr>
            <w:r>
              <w:rPr>
                <w:rFonts w:ascii="Verdana"/>
                <w:color w:val="231F20"/>
                <w:w w:val="111"/>
                <w:sz w:val="18"/>
              </w:rPr>
              <w:t>1</w:t>
            </w:r>
          </w:p>
        </w:tc>
        <w:tc>
          <w:tcPr>
            <w:tcW w:w="699" w:type="dxa"/>
          </w:tcPr>
          <w:p>
            <w:pPr>
              <w:pStyle w:val="TableParagraph"/>
              <w:spacing w:line="212" w:lineRule="exact" w:before="24"/>
              <w:ind w:left="344"/>
              <w:rPr>
                <w:rFonts w:ascii="Verdana"/>
                <w:sz w:val="18"/>
              </w:rPr>
            </w:pPr>
            <w:r>
              <w:rPr>
                <w:rFonts w:ascii="Verdana"/>
                <w:color w:val="231F20"/>
                <w:w w:val="111"/>
                <w:sz w:val="18"/>
              </w:rPr>
              <w:t>2</w:t>
            </w:r>
          </w:p>
        </w:tc>
        <w:tc>
          <w:tcPr>
            <w:tcW w:w="678" w:type="dxa"/>
          </w:tcPr>
          <w:p>
            <w:pPr>
              <w:pStyle w:val="TableParagraph"/>
              <w:spacing w:line="212" w:lineRule="exact" w:before="24"/>
              <w:ind w:left="323"/>
              <w:rPr>
                <w:rFonts w:ascii="Verdana"/>
                <w:sz w:val="18"/>
              </w:rPr>
            </w:pPr>
            <w:r>
              <w:rPr>
                <w:rFonts w:ascii="Verdana"/>
                <w:color w:val="231F20"/>
                <w:w w:val="111"/>
                <w:sz w:val="18"/>
              </w:rPr>
              <w:t>4</w:t>
            </w: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SWOC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SWMTC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Synod</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3</w:t>
            </w:r>
          </w:p>
        </w:tc>
        <w:tc>
          <w:tcPr>
            <w:tcW w:w="727" w:type="dxa"/>
          </w:tcPr>
          <w:p>
            <w:pPr>
              <w:pStyle w:val="TableParagraph"/>
              <w:rPr>
                <w:sz w:val="18"/>
              </w:rPr>
            </w:pP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03" w:type="dxa"/>
          </w:tcPr>
          <w:p>
            <w:pPr>
              <w:pStyle w:val="TableParagraph"/>
              <w:spacing w:line="212" w:lineRule="exact" w:before="24"/>
              <w:ind w:right="215"/>
              <w:jc w:val="right"/>
              <w:rPr>
                <w:rFonts w:ascii="Verdana"/>
                <w:sz w:val="18"/>
              </w:rPr>
            </w:pPr>
            <w:r>
              <w:rPr>
                <w:rFonts w:ascii="Verdana"/>
                <w:color w:val="231F20"/>
                <w:w w:val="111"/>
                <w:sz w:val="18"/>
              </w:rPr>
              <w:t>3</w:t>
            </w:r>
          </w:p>
        </w:tc>
        <w:tc>
          <w:tcPr>
            <w:tcW w:w="726" w:type="dxa"/>
          </w:tcPr>
          <w:p>
            <w:pPr>
              <w:pStyle w:val="TableParagraph"/>
              <w:spacing w:line="212" w:lineRule="exact" w:before="24"/>
              <w:ind w:left="371"/>
              <w:rPr>
                <w:rFonts w:ascii="Verdana"/>
                <w:sz w:val="18"/>
              </w:rPr>
            </w:pPr>
            <w:r>
              <w:rPr>
                <w:rFonts w:ascii="Verdana"/>
                <w:color w:val="231F20"/>
                <w:w w:val="111"/>
                <w:sz w:val="18"/>
              </w:rPr>
              <w:t>3</w:t>
            </w: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Westminster College</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spacing w:line="213" w:lineRule="exact" w:before="23"/>
              <w:ind w:right="215"/>
              <w:jc w:val="right"/>
              <w:rPr>
                <w:rFonts w:ascii="Verdana"/>
                <w:sz w:val="18"/>
              </w:rPr>
            </w:pPr>
            <w:r>
              <w:rPr>
                <w:rFonts w:ascii="Verdana"/>
                <w:color w:val="231F20"/>
                <w:w w:val="111"/>
                <w:sz w:val="18"/>
              </w:rPr>
              <w:t>1</w:t>
            </w:r>
          </w:p>
        </w:tc>
        <w:tc>
          <w:tcPr>
            <w:tcW w:w="703" w:type="dxa"/>
          </w:tcPr>
          <w:p>
            <w:pPr>
              <w:pStyle w:val="TableParagraph"/>
              <w:spacing w:line="213" w:lineRule="exact" w:before="23"/>
              <w:ind w:right="215"/>
              <w:jc w:val="right"/>
              <w:rPr>
                <w:rFonts w:ascii="Verdana"/>
                <w:sz w:val="18"/>
              </w:rPr>
            </w:pPr>
            <w:r>
              <w:rPr>
                <w:rFonts w:ascii="Verdana"/>
                <w:color w:val="231F20"/>
                <w:w w:val="111"/>
                <w:sz w:val="18"/>
              </w:rPr>
              <w:t>1</w:t>
            </w: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spacing w:line="213" w:lineRule="exact" w:before="23"/>
              <w:ind w:left="345"/>
              <w:rPr>
                <w:rFonts w:ascii="Verdana"/>
                <w:sz w:val="18"/>
              </w:rPr>
            </w:pPr>
            <w:r>
              <w:rPr>
                <w:rFonts w:ascii="Verdana"/>
                <w:color w:val="231F20"/>
                <w:w w:val="111"/>
                <w:sz w:val="18"/>
              </w:rPr>
              <w:t>1</w:t>
            </w: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WMMTC</w:t>
            </w:r>
          </w:p>
        </w:tc>
        <w:tc>
          <w:tcPr>
            <w:tcW w:w="726" w:type="dxa"/>
          </w:tcPr>
          <w:p>
            <w:pPr>
              <w:pStyle w:val="TableParagraph"/>
              <w:spacing w:line="212" w:lineRule="exact" w:before="24"/>
              <w:ind w:right="215"/>
              <w:jc w:val="right"/>
              <w:rPr>
                <w:rFonts w:ascii="Verdana"/>
                <w:sz w:val="18"/>
              </w:rPr>
            </w:pPr>
            <w:r>
              <w:rPr>
                <w:rFonts w:ascii="Verdana"/>
                <w:color w:val="231F20"/>
                <w:w w:val="111"/>
                <w:sz w:val="18"/>
              </w:rPr>
              <w:t>1</w:t>
            </w: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Full-Time Courses</w:t>
            </w: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sz w:val="18"/>
              </w:rPr>
            </w:pPr>
            <w:r>
              <w:rPr>
                <w:rFonts w:ascii="Verdana"/>
                <w:color w:val="231F20"/>
                <w:w w:val="110"/>
                <w:sz w:val="18"/>
              </w:rPr>
              <w:t>Westminster College</w:t>
            </w:r>
          </w:p>
        </w:tc>
        <w:tc>
          <w:tcPr>
            <w:tcW w:w="726" w:type="dxa"/>
          </w:tcPr>
          <w:p>
            <w:pPr>
              <w:pStyle w:val="TableParagraph"/>
              <w:spacing w:line="213" w:lineRule="exact" w:before="23"/>
              <w:ind w:right="215"/>
              <w:jc w:val="right"/>
              <w:rPr>
                <w:rFonts w:ascii="Verdana"/>
                <w:sz w:val="18"/>
              </w:rPr>
            </w:pPr>
            <w:r>
              <w:rPr>
                <w:rFonts w:ascii="Verdana"/>
                <w:color w:val="231F20"/>
                <w:w w:val="111"/>
                <w:sz w:val="18"/>
              </w:rPr>
              <w:t>2</w:t>
            </w: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2" w:lineRule="exact" w:before="24"/>
              <w:ind w:left="56"/>
              <w:rPr>
                <w:rFonts w:ascii="Verdana"/>
                <w:b/>
                <w:sz w:val="18"/>
              </w:rPr>
            </w:pPr>
            <w:r>
              <w:rPr>
                <w:rFonts w:ascii="Verdana"/>
                <w:b/>
                <w:color w:val="231F20"/>
                <w:w w:val="110"/>
                <w:sz w:val="18"/>
              </w:rPr>
              <w:t>Subtotal</w:t>
            </w:r>
          </w:p>
        </w:tc>
        <w:tc>
          <w:tcPr>
            <w:tcW w:w="726" w:type="dxa"/>
          </w:tcPr>
          <w:p>
            <w:pPr>
              <w:pStyle w:val="TableParagraph"/>
              <w:spacing w:line="212" w:lineRule="exact" w:before="24"/>
              <w:ind w:right="215"/>
              <w:jc w:val="right"/>
              <w:rPr>
                <w:rFonts w:ascii="Verdana"/>
                <w:b/>
                <w:sz w:val="18"/>
              </w:rPr>
            </w:pPr>
            <w:r>
              <w:rPr>
                <w:rFonts w:ascii="Verdana"/>
                <w:b/>
                <w:color w:val="231F20"/>
                <w:w w:val="110"/>
                <w:sz w:val="18"/>
              </w:rPr>
              <w:t>31</w:t>
            </w:r>
          </w:p>
        </w:tc>
        <w:tc>
          <w:tcPr>
            <w:tcW w:w="727" w:type="dxa"/>
          </w:tcPr>
          <w:p>
            <w:pPr>
              <w:pStyle w:val="TableParagraph"/>
              <w:spacing w:line="212" w:lineRule="exact" w:before="24"/>
              <w:ind w:right="215"/>
              <w:jc w:val="right"/>
              <w:rPr>
                <w:rFonts w:ascii="Verdana"/>
                <w:b/>
                <w:sz w:val="18"/>
              </w:rPr>
            </w:pPr>
            <w:r>
              <w:rPr>
                <w:rFonts w:ascii="Verdana"/>
                <w:b/>
                <w:color w:val="231F20"/>
                <w:w w:val="110"/>
                <w:sz w:val="18"/>
              </w:rPr>
              <w:t>19</w:t>
            </w:r>
          </w:p>
        </w:tc>
        <w:tc>
          <w:tcPr>
            <w:tcW w:w="726" w:type="dxa"/>
          </w:tcPr>
          <w:p>
            <w:pPr>
              <w:pStyle w:val="TableParagraph"/>
              <w:spacing w:line="212" w:lineRule="exact" w:before="24"/>
              <w:ind w:right="215"/>
              <w:jc w:val="right"/>
              <w:rPr>
                <w:rFonts w:ascii="Verdana"/>
                <w:b/>
                <w:sz w:val="18"/>
              </w:rPr>
            </w:pPr>
            <w:r>
              <w:rPr>
                <w:rFonts w:ascii="Verdana"/>
                <w:b/>
                <w:color w:val="231F20"/>
                <w:w w:val="110"/>
                <w:sz w:val="18"/>
              </w:rPr>
              <w:t>21</w:t>
            </w:r>
          </w:p>
        </w:tc>
        <w:tc>
          <w:tcPr>
            <w:tcW w:w="703" w:type="dxa"/>
          </w:tcPr>
          <w:p>
            <w:pPr>
              <w:pStyle w:val="TableParagraph"/>
              <w:spacing w:line="212" w:lineRule="exact" w:before="24"/>
              <w:ind w:right="214"/>
              <w:jc w:val="right"/>
              <w:rPr>
                <w:rFonts w:ascii="Verdana"/>
                <w:b/>
                <w:sz w:val="18"/>
              </w:rPr>
            </w:pPr>
            <w:r>
              <w:rPr>
                <w:rFonts w:ascii="Verdana"/>
                <w:b/>
                <w:color w:val="231F20"/>
                <w:w w:val="110"/>
                <w:sz w:val="18"/>
              </w:rPr>
              <w:t>20</w:t>
            </w:r>
          </w:p>
        </w:tc>
        <w:tc>
          <w:tcPr>
            <w:tcW w:w="726" w:type="dxa"/>
          </w:tcPr>
          <w:p>
            <w:pPr>
              <w:pStyle w:val="TableParagraph"/>
              <w:spacing w:line="212" w:lineRule="exact" w:before="24"/>
              <w:ind w:left="356"/>
              <w:rPr>
                <w:rFonts w:ascii="Verdana"/>
                <w:b/>
                <w:sz w:val="18"/>
              </w:rPr>
            </w:pPr>
            <w:r>
              <w:rPr>
                <w:rFonts w:ascii="Verdana"/>
                <w:b/>
                <w:color w:val="231F20"/>
                <w:w w:val="111"/>
                <w:sz w:val="18"/>
              </w:rPr>
              <w:t>4</w:t>
            </w:r>
          </w:p>
        </w:tc>
        <w:tc>
          <w:tcPr>
            <w:tcW w:w="698" w:type="dxa"/>
          </w:tcPr>
          <w:p>
            <w:pPr>
              <w:pStyle w:val="TableParagraph"/>
              <w:spacing w:line="212" w:lineRule="exact" w:before="24"/>
              <w:ind w:left="112"/>
              <w:jc w:val="center"/>
              <w:rPr>
                <w:rFonts w:ascii="Verdana"/>
                <w:b/>
                <w:sz w:val="18"/>
              </w:rPr>
            </w:pPr>
            <w:r>
              <w:rPr>
                <w:rFonts w:ascii="Verdana"/>
                <w:b/>
                <w:color w:val="231F20"/>
                <w:w w:val="111"/>
                <w:sz w:val="18"/>
              </w:rPr>
              <w:t>3</w:t>
            </w:r>
          </w:p>
        </w:tc>
        <w:tc>
          <w:tcPr>
            <w:tcW w:w="699" w:type="dxa"/>
          </w:tcPr>
          <w:p>
            <w:pPr>
              <w:pStyle w:val="TableParagraph"/>
              <w:spacing w:line="212" w:lineRule="exact" w:before="24"/>
              <w:ind w:left="330"/>
              <w:rPr>
                <w:rFonts w:ascii="Verdana"/>
                <w:b/>
                <w:sz w:val="18"/>
              </w:rPr>
            </w:pPr>
            <w:r>
              <w:rPr>
                <w:rFonts w:ascii="Verdana"/>
                <w:b/>
                <w:color w:val="231F20"/>
                <w:w w:val="111"/>
                <w:sz w:val="18"/>
              </w:rPr>
              <w:t>6</w:t>
            </w:r>
          </w:p>
        </w:tc>
        <w:tc>
          <w:tcPr>
            <w:tcW w:w="678" w:type="dxa"/>
          </w:tcPr>
          <w:p>
            <w:pPr>
              <w:pStyle w:val="TableParagraph"/>
              <w:spacing w:line="212" w:lineRule="exact" w:before="24"/>
              <w:ind w:left="308"/>
              <w:rPr>
                <w:rFonts w:ascii="Verdana"/>
                <w:b/>
                <w:sz w:val="18"/>
              </w:rPr>
            </w:pPr>
            <w:r>
              <w:rPr>
                <w:rFonts w:ascii="Verdana"/>
                <w:b/>
                <w:color w:val="231F20"/>
                <w:w w:val="111"/>
                <w:sz w:val="18"/>
              </w:rPr>
              <w:t>7</w:t>
            </w:r>
          </w:p>
        </w:tc>
      </w:tr>
      <w:tr>
        <w:trPr>
          <w:trHeight w:val="256" w:hRule="atLeast"/>
        </w:trPr>
        <w:tc>
          <w:tcPr>
            <w:tcW w:w="2594" w:type="dxa"/>
          </w:tcPr>
          <w:p>
            <w:pPr>
              <w:pStyle w:val="TableParagraph"/>
              <w:rPr>
                <w:sz w:val="18"/>
              </w:rPr>
            </w:pPr>
          </w:p>
        </w:tc>
        <w:tc>
          <w:tcPr>
            <w:tcW w:w="726" w:type="dxa"/>
          </w:tcPr>
          <w:p>
            <w:pPr>
              <w:pStyle w:val="TableParagraph"/>
              <w:rPr>
                <w:sz w:val="18"/>
              </w:rPr>
            </w:pPr>
          </w:p>
        </w:tc>
        <w:tc>
          <w:tcPr>
            <w:tcW w:w="727" w:type="dxa"/>
          </w:tcPr>
          <w:p>
            <w:pPr>
              <w:pStyle w:val="TableParagraph"/>
              <w:rPr>
                <w:sz w:val="18"/>
              </w:rPr>
            </w:pPr>
          </w:p>
        </w:tc>
        <w:tc>
          <w:tcPr>
            <w:tcW w:w="726" w:type="dxa"/>
          </w:tcPr>
          <w:p>
            <w:pPr>
              <w:pStyle w:val="TableParagraph"/>
              <w:rPr>
                <w:sz w:val="18"/>
              </w:rPr>
            </w:pPr>
          </w:p>
        </w:tc>
        <w:tc>
          <w:tcPr>
            <w:tcW w:w="703" w:type="dxa"/>
          </w:tcPr>
          <w:p>
            <w:pPr>
              <w:pStyle w:val="TableParagraph"/>
              <w:rPr>
                <w:sz w:val="18"/>
              </w:rPr>
            </w:pPr>
          </w:p>
        </w:tc>
        <w:tc>
          <w:tcPr>
            <w:tcW w:w="726" w:type="dxa"/>
          </w:tcPr>
          <w:p>
            <w:pPr>
              <w:pStyle w:val="TableParagraph"/>
              <w:rPr>
                <w:sz w:val="18"/>
              </w:rPr>
            </w:pPr>
          </w:p>
        </w:tc>
        <w:tc>
          <w:tcPr>
            <w:tcW w:w="698" w:type="dxa"/>
          </w:tcPr>
          <w:p>
            <w:pPr>
              <w:pStyle w:val="TableParagraph"/>
              <w:rPr>
                <w:sz w:val="18"/>
              </w:rPr>
            </w:pPr>
          </w:p>
        </w:tc>
        <w:tc>
          <w:tcPr>
            <w:tcW w:w="699" w:type="dxa"/>
          </w:tcPr>
          <w:p>
            <w:pPr>
              <w:pStyle w:val="TableParagraph"/>
              <w:rPr>
                <w:sz w:val="18"/>
              </w:rPr>
            </w:pPr>
          </w:p>
        </w:tc>
        <w:tc>
          <w:tcPr>
            <w:tcW w:w="678" w:type="dxa"/>
          </w:tcPr>
          <w:p>
            <w:pPr>
              <w:pStyle w:val="TableParagraph"/>
              <w:rPr>
                <w:sz w:val="18"/>
              </w:rPr>
            </w:pPr>
          </w:p>
        </w:tc>
      </w:tr>
      <w:tr>
        <w:trPr>
          <w:trHeight w:val="256" w:hRule="atLeast"/>
        </w:trPr>
        <w:tc>
          <w:tcPr>
            <w:tcW w:w="2594" w:type="dxa"/>
          </w:tcPr>
          <w:p>
            <w:pPr>
              <w:pStyle w:val="TableParagraph"/>
              <w:spacing w:line="213" w:lineRule="exact" w:before="24"/>
              <w:ind w:left="56"/>
              <w:rPr>
                <w:rFonts w:ascii="Verdana"/>
                <w:b/>
                <w:sz w:val="18"/>
              </w:rPr>
            </w:pPr>
            <w:r>
              <w:rPr>
                <w:rFonts w:ascii="Verdana"/>
                <w:b/>
                <w:color w:val="231F20"/>
                <w:w w:val="110"/>
                <w:sz w:val="18"/>
              </w:rPr>
              <w:t>GRAND TOTAL</w:t>
            </w:r>
          </w:p>
        </w:tc>
        <w:tc>
          <w:tcPr>
            <w:tcW w:w="726" w:type="dxa"/>
          </w:tcPr>
          <w:p>
            <w:pPr>
              <w:pStyle w:val="TableParagraph"/>
              <w:spacing w:line="213" w:lineRule="exact" w:before="24"/>
              <w:ind w:right="215"/>
              <w:jc w:val="right"/>
              <w:rPr>
                <w:rFonts w:ascii="Verdana"/>
                <w:b/>
                <w:sz w:val="18"/>
              </w:rPr>
            </w:pPr>
            <w:r>
              <w:rPr>
                <w:rFonts w:ascii="Verdana"/>
                <w:b/>
                <w:color w:val="231F20"/>
                <w:w w:val="110"/>
                <w:sz w:val="18"/>
              </w:rPr>
              <w:t>99</w:t>
            </w:r>
          </w:p>
        </w:tc>
        <w:tc>
          <w:tcPr>
            <w:tcW w:w="727" w:type="dxa"/>
          </w:tcPr>
          <w:p>
            <w:pPr>
              <w:pStyle w:val="TableParagraph"/>
              <w:spacing w:line="213" w:lineRule="exact" w:before="24"/>
              <w:ind w:right="215"/>
              <w:jc w:val="right"/>
              <w:rPr>
                <w:rFonts w:ascii="Verdana"/>
                <w:b/>
                <w:sz w:val="18"/>
              </w:rPr>
            </w:pPr>
            <w:r>
              <w:rPr>
                <w:rFonts w:ascii="Verdana"/>
                <w:b/>
                <w:color w:val="231F20"/>
                <w:w w:val="110"/>
                <w:sz w:val="18"/>
              </w:rPr>
              <w:t>78</w:t>
            </w:r>
          </w:p>
        </w:tc>
        <w:tc>
          <w:tcPr>
            <w:tcW w:w="726" w:type="dxa"/>
          </w:tcPr>
          <w:p>
            <w:pPr>
              <w:pStyle w:val="TableParagraph"/>
              <w:spacing w:line="213" w:lineRule="exact" w:before="24"/>
              <w:ind w:right="215"/>
              <w:jc w:val="right"/>
              <w:rPr>
                <w:rFonts w:ascii="Verdana"/>
                <w:b/>
                <w:sz w:val="18"/>
              </w:rPr>
            </w:pPr>
            <w:r>
              <w:rPr>
                <w:rFonts w:ascii="Verdana"/>
                <w:b/>
                <w:color w:val="231F20"/>
                <w:w w:val="110"/>
                <w:sz w:val="18"/>
              </w:rPr>
              <w:t>78</w:t>
            </w:r>
          </w:p>
        </w:tc>
        <w:tc>
          <w:tcPr>
            <w:tcW w:w="703" w:type="dxa"/>
          </w:tcPr>
          <w:p>
            <w:pPr>
              <w:pStyle w:val="TableParagraph"/>
              <w:spacing w:line="213" w:lineRule="exact" w:before="24"/>
              <w:ind w:right="215"/>
              <w:jc w:val="right"/>
              <w:rPr>
                <w:rFonts w:ascii="Verdana"/>
                <w:b/>
                <w:sz w:val="18"/>
              </w:rPr>
            </w:pPr>
            <w:r>
              <w:rPr>
                <w:rFonts w:ascii="Verdana"/>
                <w:b/>
                <w:color w:val="231F20"/>
                <w:w w:val="110"/>
                <w:sz w:val="18"/>
              </w:rPr>
              <w:t>72</w:t>
            </w:r>
          </w:p>
        </w:tc>
        <w:tc>
          <w:tcPr>
            <w:tcW w:w="726" w:type="dxa"/>
          </w:tcPr>
          <w:p>
            <w:pPr>
              <w:pStyle w:val="TableParagraph"/>
              <w:spacing w:line="213" w:lineRule="exact" w:before="24"/>
              <w:ind w:left="213"/>
              <w:rPr>
                <w:rFonts w:ascii="Verdana"/>
                <w:b/>
                <w:sz w:val="18"/>
              </w:rPr>
            </w:pPr>
            <w:r>
              <w:rPr>
                <w:rFonts w:ascii="Verdana"/>
                <w:b/>
                <w:color w:val="231F20"/>
                <w:w w:val="110"/>
                <w:sz w:val="18"/>
              </w:rPr>
              <w:t>20</w:t>
            </w:r>
          </w:p>
        </w:tc>
        <w:tc>
          <w:tcPr>
            <w:tcW w:w="698" w:type="dxa"/>
          </w:tcPr>
          <w:p>
            <w:pPr>
              <w:pStyle w:val="TableParagraph"/>
              <w:spacing w:line="213" w:lineRule="exact" w:before="24"/>
              <w:ind w:left="8" w:right="37"/>
              <w:jc w:val="center"/>
              <w:rPr>
                <w:rFonts w:ascii="Verdana"/>
                <w:b/>
                <w:sz w:val="18"/>
              </w:rPr>
            </w:pPr>
            <w:r>
              <w:rPr>
                <w:rFonts w:ascii="Verdana"/>
                <w:b/>
                <w:color w:val="231F20"/>
                <w:w w:val="110"/>
                <w:sz w:val="18"/>
              </w:rPr>
              <w:t>20</w:t>
            </w:r>
          </w:p>
        </w:tc>
        <w:tc>
          <w:tcPr>
            <w:tcW w:w="699" w:type="dxa"/>
          </w:tcPr>
          <w:p>
            <w:pPr>
              <w:pStyle w:val="TableParagraph"/>
              <w:spacing w:line="213" w:lineRule="exact" w:before="24"/>
              <w:ind w:left="190"/>
              <w:rPr>
                <w:rFonts w:ascii="Verdana"/>
                <w:b/>
                <w:sz w:val="18"/>
              </w:rPr>
            </w:pPr>
            <w:r>
              <w:rPr>
                <w:rFonts w:ascii="Verdana"/>
                <w:b/>
                <w:color w:val="231F20"/>
                <w:w w:val="110"/>
                <w:sz w:val="18"/>
              </w:rPr>
              <w:t>14</w:t>
            </w:r>
          </w:p>
        </w:tc>
        <w:tc>
          <w:tcPr>
            <w:tcW w:w="678" w:type="dxa"/>
          </w:tcPr>
          <w:p>
            <w:pPr>
              <w:pStyle w:val="TableParagraph"/>
              <w:spacing w:line="213" w:lineRule="exact" w:before="24"/>
              <w:ind w:left="173"/>
              <w:rPr>
                <w:rFonts w:ascii="Verdana"/>
                <w:b/>
                <w:sz w:val="18"/>
              </w:rPr>
            </w:pPr>
            <w:r>
              <w:rPr>
                <w:rFonts w:ascii="Verdana"/>
                <w:b/>
                <w:color w:val="231F20"/>
                <w:w w:val="110"/>
                <w:sz w:val="18"/>
              </w:rPr>
              <w:t>19</w:t>
            </w:r>
          </w:p>
        </w:tc>
      </w:tr>
    </w:tbl>
    <w:p>
      <w:pPr>
        <w:spacing w:after="0" w:line="213" w:lineRule="exact"/>
        <w:rPr>
          <w:rFonts w:ascii="Verdana"/>
          <w:sz w:val="18"/>
        </w:rPr>
        <w:sectPr>
          <w:headerReference w:type="default" r:id="rId581"/>
          <w:footerReference w:type="default" r:id="rId582"/>
          <w:footerReference w:type="even" r:id="rId583"/>
          <w:pgSz w:w="11910" w:h="16840"/>
          <w:pgMar w:header="0" w:footer="564" w:top="640" w:bottom="760" w:left="540" w:right="0"/>
          <w:pgNumType w:start="23"/>
        </w:sectPr>
      </w:pPr>
    </w:p>
    <w:p>
      <w:pPr>
        <w:pStyle w:val="BodyText"/>
        <w:spacing w:before="5"/>
        <w:rPr>
          <w:sz w:val="16"/>
        </w:rPr>
      </w:pPr>
    </w:p>
    <w:p>
      <w:pPr>
        <w:spacing w:after="0"/>
        <w:rPr>
          <w:sz w:val="16"/>
        </w:rPr>
        <w:sectPr>
          <w:headerReference w:type="even" r:id="rId584"/>
          <w:pgSz w:w="11910" w:h="16840"/>
          <w:pgMar w:header="0" w:footer="484" w:top="1580" w:bottom="680" w:left="540" w:right="0"/>
        </w:sectPr>
      </w:pPr>
    </w:p>
    <w:p>
      <w:pPr>
        <w:pStyle w:val="ListParagraph"/>
        <w:numPr>
          <w:ilvl w:val="1"/>
          <w:numId w:val="237"/>
        </w:numPr>
        <w:tabs>
          <w:tab w:pos="1880" w:val="left" w:leader="none"/>
          <w:tab w:pos="1881" w:val="left" w:leader="none"/>
        </w:tabs>
        <w:spacing w:line="273" w:lineRule="auto" w:before="88" w:after="0"/>
        <w:ind w:left="1161" w:right="2786" w:hanging="1"/>
        <w:jc w:val="left"/>
        <w:rPr>
          <w:sz w:val="18"/>
        </w:rPr>
      </w:pPr>
      <w:r>
        <w:rPr/>
        <w:pict>
          <v:shape style="position:absolute;margin-left:519.629028pt;margin-top:36.841614pt;width:55.5pt;height:488.2pt;mso-position-horizontal-relative:page;mso-position-vertical-relative:page;z-index:252178432" type="#_x0000_t202" filled="false" stroked="false">
            <v:textbox inset="0,0,0,0" style="layout-flow:vertical">
              <w:txbxContent>
                <w:p>
                  <w:pPr>
                    <w:spacing w:before="20"/>
                    <w:ind w:left="20" w:right="0" w:firstLine="0"/>
                    <w:jc w:val="left"/>
                    <w:rPr>
                      <w:b/>
                      <w:sz w:val="88"/>
                    </w:rPr>
                  </w:pPr>
                  <w:r>
                    <w:rPr>
                      <w:b/>
                      <w:color w:val="231F20"/>
                      <w:spacing w:val="-15"/>
                      <w:sz w:val="88"/>
                    </w:rPr>
                    <w:t>URC </w:t>
                  </w:r>
                  <w:r>
                    <w:rPr>
                      <w:b/>
                      <w:color w:val="231F20"/>
                      <w:spacing w:val="-6"/>
                      <w:sz w:val="88"/>
                    </w:rPr>
                    <w:t>History </w:t>
                  </w:r>
                  <w:r>
                    <w:rPr>
                      <w:b/>
                      <w:color w:val="231F20"/>
                      <w:spacing w:val="-4"/>
                      <w:sz w:val="88"/>
                    </w:rPr>
                    <w:t>Society</w:t>
                  </w:r>
                </w:p>
              </w:txbxContent>
            </v:textbox>
            <w10:wrap type="none"/>
          </v:shape>
        </w:pict>
      </w:r>
      <w:r>
        <w:rPr>
          <w:color w:val="231F20"/>
          <w:w w:val="110"/>
          <w:sz w:val="18"/>
        </w:rPr>
        <w:t>The Annual Lecture for 2006 was given by the serving President of the Ecclesiastical History Society, Professor David Bebbington, (University of </w:t>
      </w:r>
      <w:r>
        <w:rPr>
          <w:color w:val="231F20"/>
          <w:spacing w:val="-3"/>
          <w:w w:val="110"/>
          <w:sz w:val="18"/>
        </w:rPr>
        <w:t>Stirling).  </w:t>
      </w:r>
      <w:r>
        <w:rPr>
          <w:color w:val="231F20"/>
          <w:w w:val="110"/>
          <w:sz w:val="18"/>
        </w:rPr>
        <w:t>His subject, ‘The Congregational Members of Parliament in the nineteenth century’ attracted members and Cambridge academics</w:t>
      </w:r>
      <w:r>
        <w:rPr>
          <w:color w:val="231F20"/>
          <w:spacing w:val="28"/>
          <w:w w:val="110"/>
          <w:sz w:val="18"/>
        </w:rPr>
        <w:t> </w:t>
      </w:r>
      <w:r>
        <w:rPr>
          <w:color w:val="231F20"/>
          <w:w w:val="110"/>
          <w:sz w:val="18"/>
        </w:rPr>
        <w:t>to</w:t>
      </w:r>
    </w:p>
    <w:p>
      <w:pPr>
        <w:pStyle w:val="BodyText"/>
        <w:spacing w:line="273" w:lineRule="auto" w:before="2"/>
        <w:ind w:left="1160" w:right="2159" w:firstLine="2"/>
      </w:pPr>
      <w:r>
        <w:rPr>
          <w:color w:val="231F20"/>
          <w:w w:val="110"/>
        </w:rPr>
        <w:t>Westminster College on 23 September. His forensic analysis was balanced by personal vignettes, which amused and enlightened his audience, and when this is published, alongside a comprehensive database, it should prove a valuable resource tool for those working in the field. In addition to the lecture, College artefacts were on display and a party also toured the Faculty of Divinity, one of the more architecturally distinguished buildings in the University.</w:t>
      </w:r>
    </w:p>
    <w:p>
      <w:pPr>
        <w:pStyle w:val="BodyText"/>
        <w:spacing w:before="11"/>
        <w:rPr>
          <w:sz w:val="20"/>
        </w:rPr>
      </w:pPr>
    </w:p>
    <w:p>
      <w:pPr>
        <w:pStyle w:val="ListParagraph"/>
        <w:numPr>
          <w:ilvl w:val="1"/>
          <w:numId w:val="237"/>
        </w:numPr>
        <w:tabs>
          <w:tab w:pos="1882" w:val="left" w:leader="none"/>
          <w:tab w:pos="1883" w:val="left" w:leader="none"/>
        </w:tabs>
        <w:spacing w:line="273" w:lineRule="auto" w:before="0" w:after="0"/>
        <w:ind w:left="1160" w:right="2203" w:firstLine="1"/>
        <w:jc w:val="left"/>
        <w:rPr>
          <w:sz w:val="18"/>
        </w:rPr>
      </w:pPr>
      <w:r>
        <w:rPr>
          <w:color w:val="231F20"/>
          <w:w w:val="110"/>
          <w:sz w:val="18"/>
        </w:rPr>
        <w:t>Visiting </w:t>
      </w:r>
      <w:r>
        <w:rPr>
          <w:color w:val="231F20"/>
          <w:spacing w:val="2"/>
          <w:w w:val="110"/>
          <w:sz w:val="18"/>
        </w:rPr>
        <w:t>researchers </w:t>
      </w:r>
      <w:r>
        <w:rPr>
          <w:color w:val="231F20"/>
          <w:w w:val="110"/>
          <w:sz w:val="18"/>
        </w:rPr>
        <w:t>have investigated an </w:t>
      </w:r>
      <w:r>
        <w:rPr>
          <w:color w:val="231F20"/>
          <w:spacing w:val="2"/>
          <w:w w:val="110"/>
          <w:sz w:val="18"/>
        </w:rPr>
        <w:t>eclectic </w:t>
      </w:r>
      <w:r>
        <w:rPr>
          <w:color w:val="231F20"/>
          <w:w w:val="110"/>
          <w:sz w:val="18"/>
        </w:rPr>
        <w:t>range of topics </w:t>
      </w:r>
      <w:r>
        <w:rPr>
          <w:color w:val="231F20"/>
          <w:spacing w:val="2"/>
          <w:w w:val="110"/>
          <w:sz w:val="18"/>
        </w:rPr>
        <w:t>from </w:t>
      </w:r>
      <w:r>
        <w:rPr>
          <w:color w:val="231F20"/>
          <w:w w:val="110"/>
          <w:sz w:val="18"/>
        </w:rPr>
        <w:t>17</w:t>
      </w:r>
      <w:r>
        <w:rPr>
          <w:color w:val="231F20"/>
          <w:w w:val="110"/>
          <w:position w:val="6"/>
          <w:sz w:val="10"/>
        </w:rPr>
        <w:t>th </w:t>
      </w:r>
      <w:r>
        <w:rPr>
          <w:color w:val="231F20"/>
          <w:spacing w:val="2"/>
          <w:w w:val="110"/>
          <w:sz w:val="18"/>
        </w:rPr>
        <w:t>century </w:t>
      </w:r>
      <w:r>
        <w:rPr>
          <w:color w:val="231F20"/>
          <w:w w:val="110"/>
          <w:sz w:val="18"/>
        </w:rPr>
        <w:t>eschatology to Moravian influences on William Blake, and have made their journeys </w:t>
      </w:r>
      <w:r>
        <w:rPr>
          <w:color w:val="231F20"/>
          <w:spacing w:val="2"/>
          <w:w w:val="110"/>
          <w:sz w:val="18"/>
        </w:rPr>
        <w:t>from </w:t>
      </w:r>
      <w:r>
        <w:rPr>
          <w:color w:val="231F20"/>
          <w:w w:val="110"/>
          <w:sz w:val="18"/>
        </w:rPr>
        <w:t>Poland, Malawi and </w:t>
      </w:r>
      <w:r>
        <w:rPr>
          <w:color w:val="231F20"/>
          <w:spacing w:val="-3"/>
          <w:w w:val="110"/>
          <w:sz w:val="18"/>
        </w:rPr>
        <w:t>Taiwan </w:t>
      </w:r>
      <w:r>
        <w:rPr>
          <w:color w:val="231F20"/>
          <w:w w:val="110"/>
          <w:sz w:val="18"/>
        </w:rPr>
        <w:t>(where an interpreter  was in attendance). The Administrator continued to liaise with the General </w:t>
      </w:r>
      <w:r>
        <w:rPr>
          <w:color w:val="231F20"/>
          <w:spacing w:val="3"/>
          <w:w w:val="110"/>
          <w:sz w:val="18"/>
        </w:rPr>
        <w:t>Secretary </w:t>
      </w:r>
      <w:r>
        <w:rPr>
          <w:color w:val="231F20"/>
          <w:w w:val="110"/>
          <w:sz w:val="18"/>
        </w:rPr>
        <w:t>about denominational committee records, and to </w:t>
      </w:r>
      <w:r>
        <w:rPr>
          <w:color w:val="231F20"/>
          <w:spacing w:val="2"/>
          <w:w w:val="110"/>
          <w:sz w:val="18"/>
        </w:rPr>
        <w:t>act </w:t>
      </w:r>
      <w:r>
        <w:rPr>
          <w:color w:val="231F20"/>
          <w:w w:val="110"/>
          <w:sz w:val="18"/>
        </w:rPr>
        <w:t>as clerk for   the group of interested United Reformed Church </w:t>
      </w:r>
      <w:r>
        <w:rPr>
          <w:color w:val="231F20"/>
          <w:spacing w:val="2"/>
          <w:w w:val="110"/>
          <w:sz w:val="18"/>
        </w:rPr>
        <w:t>members </w:t>
      </w:r>
      <w:r>
        <w:rPr>
          <w:color w:val="231F20"/>
          <w:w w:val="110"/>
          <w:sz w:val="18"/>
        </w:rPr>
        <w:t>who are committed to marking the jubilee of the Pulpit and </w:t>
      </w:r>
      <w:r>
        <w:rPr>
          <w:color w:val="231F20"/>
          <w:spacing w:val="-3"/>
          <w:w w:val="110"/>
          <w:sz w:val="18"/>
        </w:rPr>
        <w:t>Table </w:t>
      </w:r>
      <w:r>
        <w:rPr>
          <w:color w:val="231F20"/>
          <w:w w:val="110"/>
          <w:sz w:val="18"/>
        </w:rPr>
        <w:t>Fellowship Covenant with the Pfalz Church</w:t>
      </w:r>
      <w:r>
        <w:rPr>
          <w:color w:val="231F20"/>
          <w:spacing w:val="2"/>
          <w:w w:val="110"/>
          <w:sz w:val="18"/>
        </w:rPr>
        <w:t> </w:t>
      </w:r>
      <w:r>
        <w:rPr>
          <w:color w:val="231F20"/>
          <w:spacing w:val="-6"/>
          <w:w w:val="110"/>
          <w:sz w:val="18"/>
        </w:rPr>
        <w:t>(1957-2007).</w:t>
      </w:r>
    </w:p>
    <w:p>
      <w:pPr>
        <w:pStyle w:val="BodyText"/>
        <w:spacing w:before="12"/>
        <w:rPr>
          <w:sz w:val="20"/>
        </w:rPr>
      </w:pPr>
    </w:p>
    <w:p>
      <w:pPr>
        <w:pStyle w:val="ListParagraph"/>
        <w:numPr>
          <w:ilvl w:val="1"/>
          <w:numId w:val="237"/>
        </w:numPr>
        <w:tabs>
          <w:tab w:pos="1880" w:val="left" w:leader="none"/>
          <w:tab w:pos="1881" w:val="left" w:leader="none"/>
        </w:tabs>
        <w:spacing w:line="273" w:lineRule="auto" w:before="0" w:after="0"/>
        <w:ind w:left="1160" w:right="2373" w:firstLine="0"/>
        <w:jc w:val="left"/>
        <w:rPr>
          <w:sz w:val="18"/>
        </w:rPr>
      </w:pPr>
      <w:r>
        <w:rPr>
          <w:color w:val="231F20"/>
          <w:w w:val="110"/>
          <w:sz w:val="18"/>
        </w:rPr>
        <w:t>Dr Marian Foster completed her work as cataloguer of the </w:t>
      </w:r>
      <w:r>
        <w:rPr>
          <w:color w:val="231F20"/>
          <w:spacing w:val="-3"/>
          <w:w w:val="110"/>
          <w:sz w:val="18"/>
        </w:rPr>
        <w:t>library, </w:t>
      </w:r>
      <w:r>
        <w:rPr>
          <w:color w:val="231F20"/>
          <w:w w:val="110"/>
          <w:sz w:val="18"/>
        </w:rPr>
        <w:t>with the grateful thanks of the Council. A shelf check was then instituted, the total collection amounting to five thousand entries. Mr and Mrs Richard Potts </w:t>
      </w:r>
      <w:r>
        <w:rPr>
          <w:color w:val="231F20"/>
          <w:spacing w:val="-3"/>
          <w:w w:val="110"/>
          <w:sz w:val="18"/>
        </w:rPr>
        <w:t>have </w:t>
      </w:r>
      <w:r>
        <w:rPr>
          <w:color w:val="231F20"/>
          <w:w w:val="110"/>
          <w:sz w:val="18"/>
        </w:rPr>
        <w:t>continued to provide valuable assistance in the</w:t>
      </w:r>
      <w:r>
        <w:rPr>
          <w:color w:val="231F20"/>
          <w:spacing w:val="-23"/>
          <w:w w:val="110"/>
          <w:sz w:val="18"/>
        </w:rPr>
        <w:t> </w:t>
      </w:r>
      <w:r>
        <w:rPr>
          <w:color w:val="231F20"/>
          <w:w w:val="110"/>
          <w:sz w:val="18"/>
        </w:rPr>
        <w:t>archives.</w:t>
      </w:r>
    </w:p>
    <w:p>
      <w:pPr>
        <w:pStyle w:val="BodyText"/>
        <w:spacing w:before="9"/>
        <w:rPr>
          <w:sz w:val="20"/>
        </w:rPr>
      </w:pPr>
    </w:p>
    <w:p>
      <w:pPr>
        <w:pStyle w:val="ListParagraph"/>
        <w:numPr>
          <w:ilvl w:val="1"/>
          <w:numId w:val="237"/>
        </w:numPr>
        <w:tabs>
          <w:tab w:pos="1881" w:val="left" w:leader="none"/>
          <w:tab w:pos="1882" w:val="left" w:leader="none"/>
        </w:tabs>
        <w:spacing w:line="273" w:lineRule="auto" w:before="0" w:after="0"/>
        <w:ind w:left="1160" w:right="2283" w:firstLine="0"/>
        <w:jc w:val="left"/>
        <w:rPr>
          <w:sz w:val="18"/>
        </w:rPr>
      </w:pPr>
      <w:r>
        <w:rPr/>
        <w:pict>
          <v:shape style="position:absolute;margin-left:499.903381pt;margin-top:55.457954pt;width:20pt;height:190.9pt;mso-position-horizontal-relative:page;mso-position-vertical-relative:paragraph;z-index:252180480" type="#_x0000_t202" filled="false" stroked="false">
            <v:textbox inset="0,0,0,0" style="layout-flow:vertical">
              <w:txbxContent>
                <w:p>
                  <w:pPr>
                    <w:spacing w:line="398" w:lineRule="exact" w:before="0"/>
                    <w:ind w:left="20"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Enquiries to the Administrator proved as varied as </w:t>
      </w:r>
      <w:r>
        <w:rPr>
          <w:color w:val="231F20"/>
          <w:spacing w:val="-4"/>
          <w:w w:val="110"/>
          <w:sz w:val="18"/>
        </w:rPr>
        <w:t>ever. </w:t>
      </w:r>
      <w:r>
        <w:rPr>
          <w:color w:val="231F20"/>
          <w:w w:val="110"/>
          <w:sz w:val="18"/>
        </w:rPr>
        <w:t>Family historians were to the forefront, but the value of the Society’s location within Westminster was illustrated in one particular instance: </w:t>
      </w:r>
      <w:r>
        <w:rPr>
          <w:color w:val="231F20"/>
          <w:spacing w:val="2"/>
          <w:w w:val="110"/>
          <w:sz w:val="18"/>
        </w:rPr>
        <w:t>letters </w:t>
      </w:r>
      <w:r>
        <w:rPr>
          <w:color w:val="231F20"/>
          <w:w w:val="110"/>
          <w:sz w:val="18"/>
        </w:rPr>
        <w:t>concerned with evacuees at the beginning of the Second World </w:t>
      </w:r>
      <w:r>
        <w:rPr>
          <w:color w:val="231F20"/>
          <w:spacing w:val="-6"/>
          <w:w w:val="110"/>
          <w:sz w:val="18"/>
        </w:rPr>
        <w:t>War, </w:t>
      </w:r>
      <w:r>
        <w:rPr>
          <w:color w:val="231F20"/>
          <w:w w:val="110"/>
          <w:sz w:val="18"/>
        </w:rPr>
        <w:t>and deposited with the Cambridgeshire Record </w:t>
      </w:r>
      <w:r>
        <w:rPr>
          <w:color w:val="231F20"/>
          <w:spacing w:val="2"/>
          <w:w w:val="110"/>
          <w:sz w:val="18"/>
        </w:rPr>
        <w:t>Office after </w:t>
      </w:r>
      <w:r>
        <w:rPr>
          <w:color w:val="231F20"/>
          <w:w w:val="110"/>
          <w:sz w:val="18"/>
        </w:rPr>
        <w:t>being bought at auction, allowed </w:t>
      </w:r>
      <w:r>
        <w:rPr>
          <w:color w:val="231F20"/>
          <w:spacing w:val="2"/>
          <w:w w:val="110"/>
          <w:sz w:val="18"/>
        </w:rPr>
        <w:t>cross </w:t>
      </w:r>
      <w:r>
        <w:rPr>
          <w:color w:val="231F20"/>
          <w:w w:val="110"/>
          <w:sz w:val="18"/>
        </w:rPr>
        <w:t>referencing between the College’s records, the Society’s ministerial listings  and the Save the Children Fund in the</w:t>
      </w:r>
      <w:r>
        <w:rPr>
          <w:color w:val="231F20"/>
          <w:spacing w:val="12"/>
          <w:w w:val="110"/>
          <w:sz w:val="18"/>
        </w:rPr>
        <w:t> </w:t>
      </w:r>
      <w:r>
        <w:rPr>
          <w:color w:val="231F20"/>
          <w:w w:val="110"/>
          <w:sz w:val="18"/>
        </w:rPr>
        <w:t>USA.</w:t>
      </w:r>
    </w:p>
    <w:p>
      <w:pPr>
        <w:pStyle w:val="BodyText"/>
        <w:spacing w:before="11"/>
        <w:rPr>
          <w:sz w:val="20"/>
        </w:rPr>
      </w:pPr>
    </w:p>
    <w:p>
      <w:pPr>
        <w:pStyle w:val="ListParagraph"/>
        <w:numPr>
          <w:ilvl w:val="1"/>
          <w:numId w:val="237"/>
        </w:numPr>
        <w:tabs>
          <w:tab w:pos="1880" w:val="left" w:leader="none"/>
          <w:tab w:pos="1881" w:val="left" w:leader="none"/>
        </w:tabs>
        <w:spacing w:line="273" w:lineRule="auto" w:before="0" w:after="0"/>
        <w:ind w:left="1160" w:right="2179" w:firstLine="0"/>
        <w:jc w:val="left"/>
        <w:rPr>
          <w:sz w:val="18"/>
        </w:rPr>
      </w:pPr>
      <w:r>
        <w:rPr/>
        <w:pict>
          <v:shape style="position:absolute;margin-left:545.221863pt;margin-top:65.090744pt;width:12.95pt;height:158.9pt;mso-position-horizontal-relative:page;mso-position-vertical-relative:paragraph;z-index:252179456" type="#_x0000_t202" filled="false" stroked="false">
            <v:textbox inset="0,0,0,0" style="layout-flow:vertical">
              <w:txbxContent>
                <w:p>
                  <w:pPr>
                    <w:pStyle w:val="BodyText"/>
                    <w:spacing w:before="20"/>
                    <w:ind w:left="20"/>
                  </w:pPr>
                  <w:r>
                    <w:rPr>
                      <w:color w:val="231F20"/>
                      <w:w w:val="110"/>
                    </w:rPr>
                    <w:t>Registered Charity </w:t>
                  </w:r>
                  <w:r>
                    <w:rPr>
                      <w:color w:val="231F20"/>
                      <w:spacing w:val="-3"/>
                      <w:w w:val="110"/>
                    </w:rPr>
                    <w:t>No:</w:t>
                  </w:r>
                  <w:r>
                    <w:rPr>
                      <w:color w:val="231F20"/>
                      <w:spacing w:val="57"/>
                      <w:w w:val="110"/>
                    </w:rPr>
                    <w:t> </w:t>
                  </w:r>
                  <w:r>
                    <w:rPr>
                      <w:color w:val="231F20"/>
                      <w:spacing w:val="-4"/>
                      <w:w w:val="110"/>
                    </w:rPr>
                    <w:t>279213</w:t>
                  </w:r>
                </w:p>
              </w:txbxContent>
            </v:textbox>
            <w10:wrap type="none"/>
          </v:shape>
        </w:pict>
      </w:r>
      <w:r>
        <w:rPr>
          <w:color w:val="231F20"/>
          <w:spacing w:val="2"/>
          <w:w w:val="110"/>
          <w:sz w:val="18"/>
        </w:rPr>
        <w:t>Professor </w:t>
      </w:r>
      <w:r>
        <w:rPr>
          <w:color w:val="231F20"/>
          <w:w w:val="110"/>
          <w:sz w:val="18"/>
        </w:rPr>
        <w:t>Clyde Binfield’s editorial notes for the </w:t>
      </w:r>
      <w:r>
        <w:rPr>
          <w:i/>
          <w:color w:val="231F20"/>
          <w:w w:val="110"/>
          <w:sz w:val="18"/>
        </w:rPr>
        <w:t>Journal </w:t>
      </w:r>
      <w:r>
        <w:rPr>
          <w:color w:val="231F20"/>
          <w:w w:val="110"/>
          <w:sz w:val="18"/>
        </w:rPr>
        <w:t>in June commented on the essential untidiness of church history, but the </w:t>
      </w:r>
      <w:r>
        <w:rPr>
          <w:color w:val="231F20"/>
          <w:spacing w:val="2"/>
          <w:w w:val="110"/>
          <w:sz w:val="18"/>
        </w:rPr>
        <w:t>articles </w:t>
      </w:r>
      <w:r>
        <w:rPr>
          <w:color w:val="231F20"/>
          <w:spacing w:val="73"/>
          <w:w w:val="110"/>
          <w:sz w:val="18"/>
        </w:rPr>
        <w:t> </w:t>
      </w:r>
      <w:r>
        <w:rPr>
          <w:color w:val="231F20"/>
          <w:w w:val="110"/>
          <w:sz w:val="18"/>
        </w:rPr>
        <w:t>made for an excellent </w:t>
      </w:r>
      <w:r>
        <w:rPr>
          <w:i/>
          <w:color w:val="231F20"/>
          <w:w w:val="110"/>
          <w:sz w:val="18"/>
        </w:rPr>
        <w:t>pot pourri</w:t>
      </w:r>
      <w:r>
        <w:rPr>
          <w:color w:val="231F20"/>
          <w:w w:val="110"/>
          <w:sz w:val="18"/>
        </w:rPr>
        <w:t>, as ‘family’ </w:t>
      </w:r>
      <w:r>
        <w:rPr>
          <w:color w:val="231F20"/>
          <w:spacing w:val="2"/>
          <w:w w:val="110"/>
          <w:sz w:val="18"/>
        </w:rPr>
        <w:t>matters </w:t>
      </w:r>
      <w:r>
        <w:rPr>
          <w:color w:val="231F20"/>
          <w:w w:val="110"/>
          <w:sz w:val="18"/>
        </w:rPr>
        <w:t>in a Congregational sense were covered by an examination of </w:t>
      </w:r>
      <w:r>
        <w:rPr>
          <w:color w:val="231F20"/>
          <w:spacing w:val="2"/>
          <w:w w:val="110"/>
          <w:sz w:val="18"/>
        </w:rPr>
        <w:t>cross </w:t>
      </w:r>
      <w:r>
        <w:rPr>
          <w:color w:val="231F20"/>
          <w:w w:val="110"/>
          <w:sz w:val="18"/>
        </w:rPr>
        <w:t>border cooperation in the </w:t>
      </w:r>
      <w:r>
        <w:rPr>
          <w:color w:val="231F20"/>
          <w:spacing w:val="2"/>
          <w:w w:val="110"/>
          <w:sz w:val="18"/>
        </w:rPr>
        <w:t>North  </w:t>
      </w:r>
      <w:r>
        <w:rPr>
          <w:color w:val="231F20"/>
          <w:w w:val="110"/>
          <w:sz w:val="18"/>
        </w:rPr>
        <w:t>Wales Congregational Union, and in another </w:t>
      </w:r>
      <w:r>
        <w:rPr>
          <w:color w:val="231F20"/>
          <w:spacing w:val="2"/>
          <w:w w:val="110"/>
          <w:sz w:val="18"/>
        </w:rPr>
        <w:t>article </w:t>
      </w:r>
      <w:r>
        <w:rPr>
          <w:color w:val="231F20"/>
          <w:w w:val="110"/>
          <w:sz w:val="18"/>
        </w:rPr>
        <w:t>centred on R S Hudson,   the soap manufacturer, one of that Union’s chairmen. The ‘bigger picture’ encompassed Christian Philanthropy in London </w:t>
      </w:r>
      <w:r>
        <w:rPr>
          <w:color w:val="231F20"/>
          <w:spacing w:val="-6"/>
          <w:w w:val="110"/>
          <w:sz w:val="18"/>
        </w:rPr>
        <w:t>(1830-1850) </w:t>
      </w:r>
      <w:r>
        <w:rPr>
          <w:color w:val="231F20"/>
          <w:w w:val="110"/>
          <w:sz w:val="18"/>
        </w:rPr>
        <w:t>and the so-called religious revival of the 1950s. It also proved possible to publish a supplement by the Revd Dr W D McNaughton, </w:t>
      </w:r>
      <w:r>
        <w:rPr>
          <w:i/>
          <w:color w:val="231F20"/>
          <w:w w:val="110"/>
          <w:sz w:val="18"/>
        </w:rPr>
        <w:t>Early Independency in </w:t>
      </w:r>
      <w:r>
        <w:rPr>
          <w:i/>
          <w:color w:val="231F20"/>
          <w:spacing w:val="-3"/>
          <w:w w:val="110"/>
          <w:sz w:val="18"/>
        </w:rPr>
        <w:t>Orkney</w:t>
      </w:r>
      <w:r>
        <w:rPr>
          <w:color w:val="231F20"/>
          <w:spacing w:val="-3"/>
          <w:w w:val="110"/>
          <w:sz w:val="18"/>
        </w:rPr>
        <w:t>, </w:t>
      </w:r>
      <w:r>
        <w:rPr>
          <w:color w:val="231F20"/>
          <w:w w:val="110"/>
          <w:sz w:val="18"/>
        </w:rPr>
        <w:t>thanks to contributions </w:t>
      </w:r>
      <w:r>
        <w:rPr>
          <w:color w:val="231F20"/>
          <w:spacing w:val="2"/>
          <w:w w:val="110"/>
          <w:sz w:val="18"/>
        </w:rPr>
        <w:t>from </w:t>
      </w:r>
      <w:r>
        <w:rPr>
          <w:color w:val="231F20"/>
          <w:w w:val="110"/>
          <w:sz w:val="18"/>
        </w:rPr>
        <w:t>two Trusts and the Society’s own publications</w:t>
      </w:r>
      <w:r>
        <w:rPr>
          <w:color w:val="231F20"/>
          <w:spacing w:val="53"/>
          <w:w w:val="110"/>
          <w:sz w:val="18"/>
        </w:rPr>
        <w:t> </w:t>
      </w:r>
      <w:r>
        <w:rPr>
          <w:color w:val="231F20"/>
          <w:w w:val="110"/>
          <w:sz w:val="18"/>
        </w:rPr>
        <w:t>fund.</w:t>
      </w:r>
    </w:p>
    <w:p>
      <w:pPr>
        <w:pStyle w:val="BodyText"/>
        <w:spacing w:before="1"/>
        <w:rPr>
          <w:sz w:val="21"/>
        </w:rPr>
      </w:pPr>
    </w:p>
    <w:p>
      <w:pPr>
        <w:pStyle w:val="ListParagraph"/>
        <w:numPr>
          <w:ilvl w:val="1"/>
          <w:numId w:val="237"/>
        </w:numPr>
        <w:tabs>
          <w:tab w:pos="1880" w:val="left" w:leader="none"/>
          <w:tab w:pos="1881" w:val="left" w:leader="none"/>
        </w:tabs>
        <w:spacing w:line="273" w:lineRule="auto" w:before="0" w:after="0"/>
        <w:ind w:left="1160" w:right="2662" w:hanging="1"/>
        <w:jc w:val="left"/>
        <w:rPr>
          <w:sz w:val="18"/>
        </w:rPr>
      </w:pPr>
      <w:r>
        <w:rPr>
          <w:color w:val="231F20"/>
          <w:w w:val="110"/>
          <w:sz w:val="18"/>
        </w:rPr>
        <w:t>At the General Assembly in Exeter a lunch-time meeting to discuss the </w:t>
      </w:r>
      <w:r>
        <w:rPr>
          <w:color w:val="231F20"/>
          <w:spacing w:val="2"/>
          <w:w w:val="110"/>
          <w:sz w:val="18"/>
        </w:rPr>
        <w:t>preservation </w:t>
      </w:r>
      <w:r>
        <w:rPr>
          <w:color w:val="231F20"/>
          <w:w w:val="110"/>
          <w:sz w:val="18"/>
        </w:rPr>
        <w:t>of </w:t>
      </w:r>
      <w:r>
        <w:rPr>
          <w:color w:val="231F20"/>
          <w:spacing w:val="2"/>
          <w:w w:val="110"/>
          <w:sz w:val="18"/>
        </w:rPr>
        <w:t>District </w:t>
      </w:r>
      <w:r>
        <w:rPr>
          <w:color w:val="231F20"/>
          <w:w w:val="110"/>
          <w:sz w:val="18"/>
        </w:rPr>
        <w:t>Council and Synod </w:t>
      </w:r>
      <w:r>
        <w:rPr>
          <w:color w:val="231F20"/>
          <w:spacing w:val="2"/>
          <w:w w:val="110"/>
          <w:sz w:val="18"/>
        </w:rPr>
        <w:t>records </w:t>
      </w:r>
      <w:r>
        <w:rPr>
          <w:color w:val="231F20"/>
          <w:w w:val="110"/>
          <w:sz w:val="18"/>
        </w:rPr>
        <w:t>in the light of</w:t>
      </w:r>
      <w:r>
        <w:rPr>
          <w:color w:val="231F20"/>
          <w:spacing w:val="8"/>
          <w:w w:val="110"/>
          <w:sz w:val="18"/>
        </w:rPr>
        <w:t> </w:t>
      </w:r>
      <w:r>
        <w:rPr>
          <w:color w:val="231F20"/>
          <w:w w:val="110"/>
          <w:sz w:val="18"/>
        </w:rPr>
        <w:t>the</w:t>
      </w:r>
    </w:p>
    <w:p>
      <w:pPr>
        <w:pStyle w:val="BodyText"/>
        <w:spacing w:line="273" w:lineRule="auto" w:before="1"/>
        <w:ind w:left="1160" w:right="2437"/>
      </w:pPr>
      <w:r>
        <w:rPr>
          <w:color w:val="231F20"/>
          <w:spacing w:val="2"/>
          <w:w w:val="110"/>
        </w:rPr>
        <w:t>proposed </w:t>
      </w:r>
      <w:r>
        <w:rPr>
          <w:color w:val="231F20"/>
          <w:w w:val="110"/>
        </w:rPr>
        <w:t>new </w:t>
      </w:r>
      <w:r>
        <w:rPr>
          <w:color w:val="231F20"/>
          <w:spacing w:val="2"/>
          <w:w w:val="110"/>
        </w:rPr>
        <w:t>structures </w:t>
      </w:r>
      <w:r>
        <w:rPr>
          <w:color w:val="231F20"/>
          <w:w w:val="110"/>
        </w:rPr>
        <w:t>was well attended. The speakers, Stephen Orchard, David Thompson and </w:t>
      </w:r>
      <w:r>
        <w:rPr>
          <w:color w:val="231F20"/>
          <w:spacing w:val="3"/>
          <w:w w:val="110"/>
        </w:rPr>
        <w:t>Kirsty </w:t>
      </w:r>
      <w:r>
        <w:rPr>
          <w:color w:val="231F20"/>
          <w:w w:val="110"/>
        </w:rPr>
        <w:t>Thorpe agreed to produce an </w:t>
      </w:r>
      <w:r>
        <w:rPr>
          <w:color w:val="231F20"/>
          <w:spacing w:val="2"/>
          <w:w w:val="110"/>
        </w:rPr>
        <w:t>article </w:t>
      </w:r>
      <w:r>
        <w:rPr>
          <w:color w:val="231F20"/>
          <w:w w:val="110"/>
        </w:rPr>
        <w:t>for </w:t>
      </w:r>
      <w:r>
        <w:rPr>
          <w:i/>
          <w:color w:val="231F20"/>
          <w:w w:val="110"/>
        </w:rPr>
        <w:t>Reform   </w:t>
      </w:r>
      <w:r>
        <w:rPr>
          <w:color w:val="231F20"/>
          <w:w w:val="110"/>
        </w:rPr>
        <w:t>to </w:t>
      </w:r>
      <w:r>
        <w:rPr>
          <w:color w:val="231F20"/>
          <w:spacing w:val="2"/>
          <w:w w:val="110"/>
        </w:rPr>
        <w:t>alert </w:t>
      </w:r>
      <w:r>
        <w:rPr>
          <w:color w:val="231F20"/>
          <w:w w:val="110"/>
        </w:rPr>
        <w:t>a wider audience and also to send that advice to Synod</w:t>
      </w:r>
      <w:r>
        <w:rPr>
          <w:color w:val="231F20"/>
          <w:spacing w:val="67"/>
          <w:w w:val="110"/>
        </w:rPr>
        <w:t> </w:t>
      </w:r>
      <w:r>
        <w:rPr>
          <w:color w:val="231F20"/>
          <w:spacing w:val="2"/>
          <w:w w:val="110"/>
        </w:rPr>
        <w:t>Offices.</w:t>
      </w:r>
    </w:p>
    <w:p>
      <w:pPr>
        <w:pStyle w:val="BodyText"/>
        <w:spacing w:before="9"/>
        <w:rPr>
          <w:sz w:val="20"/>
        </w:rPr>
      </w:pPr>
    </w:p>
    <w:p>
      <w:pPr>
        <w:pStyle w:val="ListParagraph"/>
        <w:numPr>
          <w:ilvl w:val="1"/>
          <w:numId w:val="237"/>
        </w:numPr>
        <w:tabs>
          <w:tab w:pos="1880" w:val="left" w:leader="none"/>
          <w:tab w:pos="1881" w:val="left" w:leader="none"/>
        </w:tabs>
        <w:spacing w:line="273" w:lineRule="auto" w:before="0" w:after="0"/>
        <w:ind w:left="1160" w:right="2328" w:firstLine="0"/>
        <w:jc w:val="left"/>
        <w:rPr>
          <w:sz w:val="18"/>
        </w:rPr>
      </w:pPr>
      <w:r>
        <w:rPr>
          <w:color w:val="231F20"/>
          <w:spacing w:val="3"/>
          <w:w w:val="110"/>
          <w:sz w:val="18"/>
        </w:rPr>
        <w:t>As </w:t>
      </w:r>
      <w:r>
        <w:rPr>
          <w:color w:val="231F20"/>
          <w:w w:val="110"/>
          <w:sz w:val="18"/>
        </w:rPr>
        <w:t>a consequence of gaining charitable status in 2005, </w:t>
      </w:r>
      <w:r>
        <w:rPr>
          <w:color w:val="231F20"/>
          <w:spacing w:val="2"/>
          <w:w w:val="110"/>
          <w:sz w:val="18"/>
        </w:rPr>
        <w:t>members </w:t>
      </w:r>
      <w:r>
        <w:rPr>
          <w:color w:val="231F20"/>
          <w:w w:val="110"/>
          <w:sz w:val="18"/>
        </w:rPr>
        <w:t>were asked</w:t>
      </w:r>
      <w:r>
        <w:rPr>
          <w:color w:val="231F20"/>
          <w:spacing w:val="10"/>
          <w:w w:val="110"/>
          <w:sz w:val="18"/>
        </w:rPr>
        <w:t> </w:t>
      </w:r>
      <w:r>
        <w:rPr>
          <w:color w:val="231F20"/>
          <w:w w:val="110"/>
          <w:sz w:val="18"/>
        </w:rPr>
        <w:t>to</w:t>
      </w:r>
      <w:r>
        <w:rPr>
          <w:color w:val="231F20"/>
          <w:spacing w:val="11"/>
          <w:w w:val="110"/>
          <w:sz w:val="18"/>
        </w:rPr>
        <w:t> </w:t>
      </w:r>
      <w:r>
        <w:rPr>
          <w:color w:val="231F20"/>
          <w:w w:val="110"/>
          <w:sz w:val="18"/>
        </w:rPr>
        <w:t>consider</w:t>
      </w:r>
      <w:r>
        <w:rPr>
          <w:color w:val="231F20"/>
          <w:spacing w:val="11"/>
          <w:w w:val="110"/>
          <w:sz w:val="18"/>
        </w:rPr>
        <w:t> </w:t>
      </w:r>
      <w:r>
        <w:rPr>
          <w:color w:val="231F20"/>
          <w:spacing w:val="2"/>
          <w:w w:val="110"/>
          <w:sz w:val="18"/>
        </w:rPr>
        <w:t>Gift</w:t>
      </w:r>
      <w:r>
        <w:rPr>
          <w:color w:val="231F20"/>
          <w:spacing w:val="11"/>
          <w:w w:val="110"/>
          <w:sz w:val="18"/>
        </w:rPr>
        <w:t> </w:t>
      </w:r>
      <w:r>
        <w:rPr>
          <w:color w:val="231F20"/>
          <w:w w:val="110"/>
          <w:sz w:val="18"/>
        </w:rPr>
        <w:t>Aid</w:t>
      </w:r>
      <w:r>
        <w:rPr>
          <w:color w:val="231F20"/>
          <w:spacing w:val="11"/>
          <w:w w:val="110"/>
          <w:sz w:val="18"/>
        </w:rPr>
        <w:t> </w:t>
      </w:r>
      <w:r>
        <w:rPr>
          <w:color w:val="231F20"/>
          <w:w w:val="110"/>
          <w:sz w:val="18"/>
        </w:rPr>
        <w:t>authorisation</w:t>
      </w:r>
      <w:r>
        <w:rPr>
          <w:color w:val="231F20"/>
          <w:spacing w:val="11"/>
          <w:w w:val="110"/>
          <w:sz w:val="18"/>
        </w:rPr>
        <w:t> </w:t>
      </w:r>
      <w:r>
        <w:rPr>
          <w:color w:val="231F20"/>
          <w:w w:val="110"/>
          <w:sz w:val="18"/>
        </w:rPr>
        <w:t>when</w:t>
      </w:r>
      <w:r>
        <w:rPr>
          <w:color w:val="231F20"/>
          <w:spacing w:val="11"/>
          <w:w w:val="110"/>
          <w:sz w:val="18"/>
        </w:rPr>
        <w:t> </w:t>
      </w:r>
      <w:r>
        <w:rPr>
          <w:color w:val="231F20"/>
          <w:w w:val="110"/>
          <w:sz w:val="18"/>
        </w:rPr>
        <w:t>renewing</w:t>
      </w:r>
      <w:r>
        <w:rPr>
          <w:color w:val="231F20"/>
          <w:spacing w:val="10"/>
          <w:w w:val="110"/>
          <w:sz w:val="18"/>
        </w:rPr>
        <w:t> </w:t>
      </w:r>
      <w:r>
        <w:rPr>
          <w:color w:val="231F20"/>
          <w:w w:val="110"/>
          <w:sz w:val="18"/>
        </w:rPr>
        <w:t>their</w:t>
      </w:r>
      <w:r>
        <w:rPr>
          <w:color w:val="231F20"/>
          <w:spacing w:val="11"/>
          <w:w w:val="110"/>
          <w:sz w:val="18"/>
        </w:rPr>
        <w:t> </w:t>
      </w:r>
      <w:r>
        <w:rPr>
          <w:color w:val="231F20"/>
          <w:w w:val="110"/>
          <w:sz w:val="18"/>
        </w:rPr>
        <w:t>subscriptions</w:t>
      </w:r>
    </w:p>
    <w:p>
      <w:pPr>
        <w:pStyle w:val="BodyText"/>
        <w:spacing w:before="2"/>
        <w:ind w:left="1160"/>
      </w:pPr>
      <w:r>
        <w:rPr>
          <w:color w:val="231F20"/>
          <w:w w:val="110"/>
        </w:rPr>
        <w:t>– the majority were happy to do this.</w:t>
      </w:r>
    </w:p>
    <w:p>
      <w:pPr>
        <w:pStyle w:val="BodyText"/>
        <w:spacing w:before="1"/>
        <w:rPr>
          <w:sz w:val="23"/>
        </w:rPr>
      </w:pPr>
    </w:p>
    <w:p>
      <w:pPr>
        <w:pStyle w:val="ListParagraph"/>
        <w:numPr>
          <w:ilvl w:val="1"/>
          <w:numId w:val="237"/>
        </w:numPr>
        <w:tabs>
          <w:tab w:pos="1880" w:val="left" w:leader="none"/>
          <w:tab w:pos="1881" w:val="left" w:leader="none"/>
        </w:tabs>
        <w:spacing w:line="273" w:lineRule="auto" w:before="0" w:after="0"/>
        <w:ind w:left="1160" w:right="2296" w:firstLine="0"/>
        <w:jc w:val="left"/>
        <w:rPr>
          <w:sz w:val="18"/>
        </w:rPr>
      </w:pPr>
      <w:r>
        <w:rPr>
          <w:color w:val="231F20"/>
          <w:w w:val="110"/>
          <w:sz w:val="18"/>
        </w:rPr>
        <w:t>Membership of the </w:t>
      </w:r>
      <w:r>
        <w:rPr>
          <w:color w:val="231F20"/>
          <w:spacing w:val="2"/>
          <w:w w:val="110"/>
          <w:sz w:val="18"/>
        </w:rPr>
        <w:t>Society costs </w:t>
      </w:r>
      <w:r>
        <w:rPr>
          <w:color w:val="231F20"/>
          <w:spacing w:val="-4"/>
          <w:w w:val="110"/>
          <w:sz w:val="18"/>
        </w:rPr>
        <w:t>£15 </w:t>
      </w:r>
      <w:r>
        <w:rPr>
          <w:color w:val="231F20"/>
          <w:w w:val="110"/>
          <w:sz w:val="18"/>
        </w:rPr>
        <w:t>a </w:t>
      </w:r>
      <w:r>
        <w:rPr>
          <w:color w:val="231F20"/>
          <w:spacing w:val="-4"/>
          <w:w w:val="110"/>
          <w:sz w:val="18"/>
        </w:rPr>
        <w:t>year, </w:t>
      </w:r>
      <w:r>
        <w:rPr>
          <w:color w:val="231F20"/>
          <w:w w:val="110"/>
          <w:sz w:val="18"/>
        </w:rPr>
        <w:t>with a </w:t>
      </w:r>
      <w:r>
        <w:rPr>
          <w:color w:val="231F20"/>
          <w:spacing w:val="2"/>
          <w:w w:val="110"/>
          <w:sz w:val="18"/>
        </w:rPr>
        <w:t>reduction </w:t>
      </w:r>
      <w:r>
        <w:rPr>
          <w:color w:val="231F20"/>
          <w:w w:val="110"/>
          <w:sz w:val="18"/>
        </w:rPr>
        <w:t>for students. Full details may be obtained </w:t>
      </w:r>
      <w:r>
        <w:rPr>
          <w:color w:val="231F20"/>
          <w:spacing w:val="2"/>
          <w:w w:val="110"/>
          <w:sz w:val="18"/>
        </w:rPr>
        <w:t>from Mrs </w:t>
      </w:r>
      <w:r>
        <w:rPr>
          <w:color w:val="231F20"/>
          <w:w w:val="110"/>
          <w:sz w:val="18"/>
        </w:rPr>
        <w:t>M Thompson, Westminster College, Cambridge CB3 </w:t>
      </w:r>
      <w:r>
        <w:rPr>
          <w:color w:val="231F20"/>
          <w:spacing w:val="3"/>
          <w:w w:val="110"/>
          <w:sz w:val="18"/>
        </w:rPr>
        <w:t>0AA </w:t>
      </w:r>
      <w:r>
        <w:rPr>
          <w:color w:val="231F20"/>
          <w:spacing w:val="-3"/>
          <w:w w:val="110"/>
          <w:sz w:val="18"/>
        </w:rPr>
        <w:t>(tel: 01223 </w:t>
      </w:r>
      <w:r>
        <w:rPr>
          <w:color w:val="231F20"/>
          <w:spacing w:val="-5"/>
          <w:w w:val="110"/>
          <w:sz w:val="18"/>
        </w:rPr>
        <w:t>741300 </w:t>
      </w:r>
      <w:r>
        <w:rPr>
          <w:color w:val="231F20"/>
          <w:w w:val="110"/>
          <w:sz w:val="18"/>
        </w:rPr>
        <w:t>/ email:</w:t>
      </w:r>
      <w:r>
        <w:rPr>
          <w:color w:val="231F20"/>
          <w:spacing w:val="9"/>
          <w:w w:val="110"/>
          <w:sz w:val="18"/>
        </w:rPr>
        <w:t> </w:t>
      </w:r>
      <w:r>
        <w:rPr>
          <w:color w:val="231F20"/>
          <w:w w:val="110"/>
          <w:sz w:val="18"/>
        </w:rPr>
        <w:t>mt212@cam.ac.uk).</w:t>
      </w:r>
    </w:p>
    <w:p>
      <w:pPr>
        <w:spacing w:before="92"/>
        <w:ind w:left="7145" w:right="0" w:firstLine="0"/>
        <w:jc w:val="left"/>
        <w:rPr>
          <w:i/>
          <w:sz w:val="14"/>
        </w:rPr>
      </w:pPr>
      <w:r>
        <w:rPr>
          <w:i/>
          <w:color w:val="231F20"/>
          <w:w w:val="115"/>
          <w:sz w:val="14"/>
        </w:rPr>
        <w:t>E J Brown Hon Secretary</w:t>
      </w:r>
    </w:p>
    <w:p>
      <w:pPr>
        <w:spacing w:after="0"/>
        <w:jc w:val="left"/>
        <w:rPr>
          <w:sz w:val="14"/>
        </w:rPr>
        <w:sectPr>
          <w:headerReference w:type="default" r:id="rId585"/>
          <w:footerReference w:type="default" r:id="rId586"/>
          <w:footerReference w:type="even" r:id="rId587"/>
          <w:pgSz w:w="11910" w:h="16840"/>
          <w:pgMar w:header="0" w:footer="564" w:top="1000" w:bottom="760" w:left="540" w:right="0"/>
          <w:pgNumType w:start="25"/>
        </w:sectPr>
      </w:pPr>
    </w:p>
    <w:p>
      <w:pPr>
        <w:pStyle w:val="BodyText"/>
        <w:spacing w:before="5"/>
        <w:rPr>
          <w:i/>
          <w:sz w:val="16"/>
        </w:rPr>
      </w:pPr>
    </w:p>
    <w:p>
      <w:pPr>
        <w:spacing w:after="0"/>
        <w:rPr>
          <w:sz w:val="16"/>
        </w:rPr>
        <w:sectPr>
          <w:headerReference w:type="even" r:id="rId588"/>
          <w:pgSz w:w="11910" w:h="16840"/>
          <w:pgMar w:header="0" w:footer="484" w:top="1580" w:bottom="680" w:left="540" w:right="0"/>
        </w:sectPr>
      </w:pPr>
    </w:p>
    <w:p>
      <w:pPr>
        <w:pStyle w:val="ListParagraph"/>
        <w:numPr>
          <w:ilvl w:val="1"/>
          <w:numId w:val="238"/>
        </w:numPr>
        <w:tabs>
          <w:tab w:pos="1880" w:val="left" w:leader="none"/>
          <w:tab w:pos="1881" w:val="left" w:leader="none"/>
        </w:tabs>
        <w:spacing w:line="273" w:lineRule="auto" w:before="88" w:after="0"/>
        <w:ind w:left="1160" w:right="3276" w:firstLine="0"/>
        <w:jc w:val="left"/>
        <w:rPr>
          <w:sz w:val="18"/>
        </w:rPr>
      </w:pPr>
      <w:r>
        <w:rPr/>
        <w:pict>
          <v:shape style="position:absolute;margin-left:505.487pt;margin-top:36.840614pt;width:69.650pt;height:508.35pt;mso-position-horizontal-relative:page;mso-position-vertical-relative:page;z-index:252181504" type="#_x0000_t202" filled="false" stroked="false">
            <v:textbox inset="0,0,0,0" style="layout-flow:vertical">
              <w:txbxContent>
                <w:p>
                  <w:pPr>
                    <w:spacing w:line="997" w:lineRule="exact" w:before="20"/>
                    <w:ind w:left="20" w:right="0" w:firstLine="0"/>
                    <w:jc w:val="left"/>
                    <w:rPr>
                      <w:b/>
                      <w:sz w:val="88"/>
                    </w:rPr>
                  </w:pPr>
                  <w:r>
                    <w:rPr>
                      <w:b/>
                      <w:color w:val="231F20"/>
                      <w:sz w:val="88"/>
                    </w:rPr>
                    <w:t>Musicians Guild</w:t>
                  </w:r>
                </w:p>
                <w:p>
                  <w:pPr>
                    <w:spacing w:line="373" w:lineRule="exact" w:before="0"/>
                    <w:ind w:left="6369" w:right="0" w:firstLine="0"/>
                    <w:jc w:val="lef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Guild </w:t>
      </w:r>
      <w:r>
        <w:rPr>
          <w:color w:val="231F20"/>
          <w:spacing w:val="2"/>
          <w:w w:val="110"/>
          <w:sz w:val="18"/>
        </w:rPr>
        <w:t>members </w:t>
      </w:r>
      <w:r>
        <w:rPr>
          <w:color w:val="231F20"/>
          <w:w w:val="110"/>
          <w:sz w:val="18"/>
        </w:rPr>
        <w:t>in our most active branches have shared in a wonderful variety of musical days out during</w:t>
      </w:r>
      <w:r>
        <w:rPr>
          <w:color w:val="231F20"/>
          <w:spacing w:val="23"/>
          <w:w w:val="110"/>
          <w:sz w:val="18"/>
        </w:rPr>
        <w:t> </w:t>
      </w:r>
      <w:r>
        <w:rPr>
          <w:color w:val="231F20"/>
          <w:w w:val="110"/>
          <w:sz w:val="18"/>
        </w:rPr>
        <w:t>2006.</w:t>
      </w:r>
    </w:p>
    <w:p>
      <w:pPr>
        <w:pStyle w:val="BodyText"/>
        <w:spacing w:before="8"/>
        <w:rPr>
          <w:sz w:val="20"/>
        </w:rPr>
      </w:pPr>
    </w:p>
    <w:p>
      <w:pPr>
        <w:pStyle w:val="ListParagraph"/>
        <w:numPr>
          <w:ilvl w:val="1"/>
          <w:numId w:val="238"/>
        </w:numPr>
        <w:tabs>
          <w:tab w:pos="1880" w:val="left" w:leader="none"/>
          <w:tab w:pos="1881" w:val="left" w:leader="none"/>
        </w:tabs>
        <w:spacing w:line="273" w:lineRule="auto" w:before="0" w:after="0"/>
        <w:ind w:left="1160" w:right="2406" w:firstLine="0"/>
        <w:jc w:val="left"/>
        <w:rPr>
          <w:sz w:val="18"/>
        </w:rPr>
      </w:pPr>
      <w:r>
        <w:rPr>
          <w:color w:val="231F20"/>
          <w:w w:val="110"/>
          <w:sz w:val="18"/>
        </w:rPr>
        <w:t>At Chelmsford in March, over 60 people were led in choral workshops in improving singing techniques ranging </w:t>
      </w:r>
      <w:r>
        <w:rPr>
          <w:color w:val="231F20"/>
          <w:spacing w:val="2"/>
          <w:w w:val="110"/>
          <w:sz w:val="18"/>
        </w:rPr>
        <w:t>from </w:t>
      </w:r>
      <w:r>
        <w:rPr>
          <w:color w:val="231F20"/>
          <w:w w:val="110"/>
          <w:sz w:val="18"/>
        </w:rPr>
        <w:t>how to stand, how to breathe, maintenance of pitch and improvement of sound quality. </w:t>
      </w:r>
      <w:r>
        <w:rPr>
          <w:color w:val="231F20"/>
          <w:spacing w:val="2"/>
          <w:w w:val="110"/>
          <w:sz w:val="18"/>
        </w:rPr>
        <w:t>Members </w:t>
      </w:r>
      <w:r>
        <w:rPr>
          <w:color w:val="231F20"/>
          <w:w w:val="110"/>
          <w:sz w:val="18"/>
        </w:rPr>
        <w:t>then divided into </w:t>
      </w:r>
      <w:r>
        <w:rPr>
          <w:color w:val="231F20"/>
          <w:spacing w:val="2"/>
          <w:w w:val="110"/>
          <w:sz w:val="18"/>
        </w:rPr>
        <w:t>very </w:t>
      </w:r>
      <w:r>
        <w:rPr>
          <w:color w:val="231F20"/>
          <w:w w:val="110"/>
          <w:sz w:val="18"/>
        </w:rPr>
        <w:t>small groups. Each group was given a brief </w:t>
      </w:r>
      <w:r>
        <w:rPr>
          <w:color w:val="231F20"/>
          <w:spacing w:val="2"/>
          <w:w w:val="110"/>
          <w:sz w:val="18"/>
        </w:rPr>
        <w:t>text </w:t>
      </w:r>
      <w:r>
        <w:rPr>
          <w:color w:val="231F20"/>
          <w:w w:val="110"/>
          <w:sz w:val="18"/>
        </w:rPr>
        <w:t>and sent into different rooms to </w:t>
      </w:r>
      <w:r>
        <w:rPr>
          <w:color w:val="231F20"/>
          <w:spacing w:val="2"/>
          <w:w w:val="110"/>
          <w:sz w:val="18"/>
        </w:rPr>
        <w:t>practice </w:t>
      </w:r>
      <w:r>
        <w:rPr>
          <w:color w:val="231F20"/>
          <w:w w:val="110"/>
          <w:sz w:val="18"/>
        </w:rPr>
        <w:t>improvising in </w:t>
      </w:r>
      <w:r>
        <w:rPr>
          <w:color w:val="231F20"/>
          <w:spacing w:val="2"/>
          <w:w w:val="110"/>
          <w:sz w:val="18"/>
        </w:rPr>
        <w:t>African style before </w:t>
      </w:r>
      <w:r>
        <w:rPr>
          <w:color w:val="231F20"/>
          <w:w w:val="110"/>
          <w:sz w:val="18"/>
        </w:rPr>
        <w:t>returning to present their </w:t>
      </w:r>
      <w:r>
        <w:rPr>
          <w:color w:val="231F20"/>
          <w:spacing w:val="4"/>
          <w:w w:val="110"/>
          <w:sz w:val="18"/>
        </w:rPr>
        <w:t>efforts </w:t>
      </w:r>
      <w:r>
        <w:rPr>
          <w:color w:val="231F20"/>
          <w:w w:val="110"/>
          <w:sz w:val="18"/>
        </w:rPr>
        <w:t>to </w:t>
      </w:r>
      <w:r>
        <w:rPr>
          <w:color w:val="231F20"/>
          <w:spacing w:val="2"/>
          <w:w w:val="110"/>
          <w:sz w:val="18"/>
        </w:rPr>
        <w:t>critical </w:t>
      </w:r>
      <w:r>
        <w:rPr>
          <w:color w:val="231F20"/>
          <w:w w:val="110"/>
          <w:sz w:val="18"/>
        </w:rPr>
        <w:t>acclaim. What amazing sounds were produced! Lastly, </w:t>
      </w:r>
      <w:r>
        <w:rPr>
          <w:color w:val="231F20"/>
          <w:spacing w:val="2"/>
          <w:w w:val="110"/>
          <w:sz w:val="18"/>
        </w:rPr>
        <w:t>members </w:t>
      </w:r>
      <w:r>
        <w:rPr>
          <w:color w:val="231F20"/>
          <w:w w:val="110"/>
          <w:sz w:val="18"/>
        </w:rPr>
        <w:t>were taught a setting of Psalm </w:t>
      </w:r>
      <w:r>
        <w:rPr>
          <w:color w:val="231F20"/>
          <w:spacing w:val="-3"/>
          <w:w w:val="110"/>
          <w:sz w:val="18"/>
        </w:rPr>
        <w:t>148 </w:t>
      </w:r>
      <w:r>
        <w:rPr>
          <w:color w:val="231F20"/>
          <w:w w:val="110"/>
          <w:sz w:val="18"/>
        </w:rPr>
        <w:t>by watching  a leader </w:t>
      </w:r>
      <w:r>
        <w:rPr>
          <w:color w:val="231F20"/>
          <w:spacing w:val="2"/>
          <w:w w:val="110"/>
          <w:sz w:val="18"/>
        </w:rPr>
        <w:t>‘conduct’ </w:t>
      </w:r>
      <w:r>
        <w:rPr>
          <w:color w:val="231F20"/>
          <w:w w:val="110"/>
          <w:sz w:val="18"/>
        </w:rPr>
        <w:t>in a </w:t>
      </w:r>
      <w:r>
        <w:rPr>
          <w:color w:val="231F20"/>
          <w:spacing w:val="2"/>
          <w:w w:val="110"/>
          <w:sz w:val="18"/>
        </w:rPr>
        <w:t>very </w:t>
      </w:r>
      <w:r>
        <w:rPr>
          <w:color w:val="231F20"/>
          <w:w w:val="110"/>
          <w:sz w:val="18"/>
        </w:rPr>
        <w:t>different way and with words </w:t>
      </w:r>
      <w:r>
        <w:rPr>
          <w:color w:val="231F20"/>
          <w:spacing w:val="2"/>
          <w:w w:val="110"/>
          <w:sz w:val="18"/>
        </w:rPr>
        <w:t>written </w:t>
      </w:r>
      <w:r>
        <w:rPr>
          <w:color w:val="231F20"/>
          <w:w w:val="110"/>
          <w:sz w:val="18"/>
        </w:rPr>
        <w:t>at the   front of the church. </w:t>
      </w:r>
      <w:r>
        <w:rPr>
          <w:color w:val="231F20"/>
          <w:spacing w:val="2"/>
          <w:w w:val="110"/>
          <w:sz w:val="18"/>
        </w:rPr>
        <w:t>There </w:t>
      </w:r>
      <w:r>
        <w:rPr>
          <w:color w:val="231F20"/>
          <w:w w:val="110"/>
          <w:sz w:val="18"/>
        </w:rPr>
        <w:t>was no sheet music to get buried in – instead everybody’s heads were up and a </w:t>
      </w:r>
      <w:r>
        <w:rPr>
          <w:color w:val="231F20"/>
          <w:spacing w:val="2"/>
          <w:w w:val="110"/>
          <w:sz w:val="18"/>
        </w:rPr>
        <w:t>strong </w:t>
      </w:r>
      <w:r>
        <w:rPr>
          <w:color w:val="231F20"/>
          <w:w w:val="110"/>
          <w:sz w:val="18"/>
        </w:rPr>
        <w:t>and confident sound</w:t>
      </w:r>
      <w:r>
        <w:rPr>
          <w:color w:val="231F20"/>
          <w:spacing w:val="66"/>
          <w:w w:val="110"/>
          <w:sz w:val="18"/>
        </w:rPr>
        <w:t> </w:t>
      </w:r>
      <w:r>
        <w:rPr>
          <w:color w:val="231F20"/>
          <w:w w:val="110"/>
          <w:sz w:val="18"/>
        </w:rPr>
        <w:t>resulted.</w:t>
      </w:r>
    </w:p>
    <w:p>
      <w:pPr>
        <w:pStyle w:val="BodyText"/>
        <w:spacing w:before="1"/>
        <w:rPr>
          <w:sz w:val="21"/>
        </w:rPr>
      </w:pPr>
    </w:p>
    <w:p>
      <w:pPr>
        <w:pStyle w:val="ListParagraph"/>
        <w:numPr>
          <w:ilvl w:val="1"/>
          <w:numId w:val="238"/>
        </w:numPr>
        <w:tabs>
          <w:tab w:pos="1880" w:val="left" w:leader="none"/>
          <w:tab w:pos="1881" w:val="left" w:leader="none"/>
        </w:tabs>
        <w:spacing w:line="273" w:lineRule="auto" w:before="0" w:after="0"/>
        <w:ind w:left="1160" w:right="2614" w:firstLine="0"/>
        <w:jc w:val="left"/>
        <w:rPr>
          <w:sz w:val="18"/>
        </w:rPr>
      </w:pPr>
      <w:r>
        <w:rPr>
          <w:color w:val="231F20"/>
          <w:w w:val="110"/>
          <w:sz w:val="18"/>
        </w:rPr>
        <w:t>At Exeter, also in March, </w:t>
      </w:r>
      <w:r>
        <w:rPr>
          <w:color w:val="231F20"/>
          <w:spacing w:val="2"/>
          <w:w w:val="110"/>
          <w:sz w:val="18"/>
        </w:rPr>
        <w:t>members </w:t>
      </w:r>
      <w:r>
        <w:rPr>
          <w:color w:val="231F20"/>
          <w:w w:val="110"/>
          <w:sz w:val="18"/>
        </w:rPr>
        <w:t>once again enjoyed a choral workshop in traditional western European </w:t>
      </w:r>
      <w:r>
        <w:rPr>
          <w:color w:val="231F20"/>
          <w:spacing w:val="2"/>
          <w:w w:val="110"/>
          <w:sz w:val="18"/>
        </w:rPr>
        <w:t>style before </w:t>
      </w:r>
      <w:r>
        <w:rPr>
          <w:color w:val="231F20"/>
          <w:w w:val="110"/>
          <w:sz w:val="18"/>
        </w:rPr>
        <w:t>being introduced to Russian Orthodox church</w:t>
      </w:r>
      <w:r>
        <w:rPr>
          <w:color w:val="231F20"/>
          <w:spacing w:val="5"/>
          <w:w w:val="110"/>
          <w:sz w:val="18"/>
        </w:rPr>
        <w:t> </w:t>
      </w:r>
      <w:r>
        <w:rPr>
          <w:color w:val="231F20"/>
          <w:w w:val="110"/>
          <w:sz w:val="18"/>
        </w:rPr>
        <w:t>music.</w:t>
      </w:r>
    </w:p>
    <w:p>
      <w:pPr>
        <w:pStyle w:val="BodyText"/>
        <w:spacing w:before="9"/>
        <w:rPr>
          <w:sz w:val="20"/>
        </w:rPr>
      </w:pPr>
    </w:p>
    <w:p>
      <w:pPr>
        <w:pStyle w:val="ListParagraph"/>
        <w:numPr>
          <w:ilvl w:val="1"/>
          <w:numId w:val="238"/>
        </w:numPr>
        <w:tabs>
          <w:tab w:pos="1880" w:val="left" w:leader="none"/>
          <w:tab w:pos="1881" w:val="left" w:leader="none"/>
        </w:tabs>
        <w:spacing w:line="273" w:lineRule="auto" w:before="0" w:after="0"/>
        <w:ind w:left="1160" w:right="2356" w:firstLine="0"/>
        <w:jc w:val="left"/>
        <w:rPr>
          <w:sz w:val="18"/>
        </w:rPr>
      </w:pPr>
      <w:r>
        <w:rPr>
          <w:color w:val="231F20"/>
          <w:w w:val="110"/>
          <w:sz w:val="18"/>
        </w:rPr>
        <w:t>At the other end of England, near Newcastle, a 25-piece gospel praise band </w:t>
      </w:r>
      <w:r>
        <w:rPr>
          <w:color w:val="231F20"/>
          <w:spacing w:val="2"/>
          <w:w w:val="110"/>
          <w:sz w:val="18"/>
        </w:rPr>
        <w:t>from Gosforth </w:t>
      </w:r>
      <w:r>
        <w:rPr>
          <w:color w:val="231F20"/>
          <w:w w:val="110"/>
          <w:sz w:val="18"/>
        </w:rPr>
        <w:t>led </w:t>
      </w:r>
      <w:r>
        <w:rPr>
          <w:color w:val="231F20"/>
          <w:spacing w:val="2"/>
          <w:w w:val="110"/>
          <w:sz w:val="18"/>
        </w:rPr>
        <w:t>members </w:t>
      </w:r>
      <w:r>
        <w:rPr>
          <w:color w:val="231F20"/>
          <w:w w:val="110"/>
          <w:sz w:val="18"/>
        </w:rPr>
        <w:t>of our </w:t>
      </w:r>
      <w:r>
        <w:rPr>
          <w:color w:val="231F20"/>
          <w:spacing w:val="2"/>
          <w:w w:val="110"/>
          <w:sz w:val="18"/>
        </w:rPr>
        <w:t>Northeast </w:t>
      </w:r>
      <w:r>
        <w:rPr>
          <w:color w:val="231F20"/>
          <w:w w:val="110"/>
          <w:sz w:val="18"/>
        </w:rPr>
        <w:t>Branch in a morning of worship songs </w:t>
      </w:r>
      <w:r>
        <w:rPr>
          <w:color w:val="231F20"/>
          <w:spacing w:val="2"/>
          <w:w w:val="110"/>
          <w:sz w:val="18"/>
        </w:rPr>
        <w:t>before </w:t>
      </w:r>
      <w:r>
        <w:rPr>
          <w:color w:val="231F20"/>
          <w:w w:val="110"/>
          <w:sz w:val="18"/>
        </w:rPr>
        <w:t>the local choir encouraged the learning of music </w:t>
      </w:r>
      <w:r>
        <w:rPr>
          <w:color w:val="231F20"/>
          <w:spacing w:val="2"/>
          <w:w w:val="110"/>
          <w:sz w:val="18"/>
        </w:rPr>
        <w:t>from </w:t>
      </w:r>
      <w:r>
        <w:rPr>
          <w:color w:val="231F20"/>
          <w:w w:val="110"/>
          <w:sz w:val="18"/>
        </w:rPr>
        <w:t>the </w:t>
      </w:r>
      <w:r>
        <w:rPr>
          <w:color w:val="231F20"/>
          <w:spacing w:val="-4"/>
          <w:w w:val="110"/>
          <w:sz w:val="18"/>
        </w:rPr>
        <w:t>Taizé </w:t>
      </w:r>
      <w:r>
        <w:rPr>
          <w:color w:val="231F20"/>
          <w:w w:val="110"/>
          <w:sz w:val="18"/>
        </w:rPr>
        <w:t>community. Another exciting contrast in </w:t>
      </w:r>
      <w:r>
        <w:rPr>
          <w:color w:val="231F20"/>
          <w:spacing w:val="2"/>
          <w:w w:val="110"/>
          <w:sz w:val="18"/>
        </w:rPr>
        <w:t>styles </w:t>
      </w:r>
      <w:r>
        <w:rPr>
          <w:color w:val="231F20"/>
          <w:w w:val="110"/>
          <w:sz w:val="18"/>
        </w:rPr>
        <w:t>of worship to learn and be inspired</w:t>
      </w:r>
      <w:r>
        <w:rPr>
          <w:color w:val="231F20"/>
          <w:spacing w:val="3"/>
          <w:w w:val="110"/>
          <w:sz w:val="18"/>
        </w:rPr>
        <w:t> </w:t>
      </w:r>
      <w:r>
        <w:rPr>
          <w:color w:val="231F20"/>
          <w:spacing w:val="-2"/>
          <w:w w:val="110"/>
          <w:sz w:val="18"/>
        </w:rPr>
        <w:t>by!</w:t>
      </w:r>
    </w:p>
    <w:p>
      <w:pPr>
        <w:pStyle w:val="BodyText"/>
        <w:spacing w:before="10"/>
        <w:rPr>
          <w:sz w:val="20"/>
        </w:rPr>
      </w:pPr>
    </w:p>
    <w:p>
      <w:pPr>
        <w:pStyle w:val="ListParagraph"/>
        <w:numPr>
          <w:ilvl w:val="1"/>
          <w:numId w:val="238"/>
        </w:numPr>
        <w:tabs>
          <w:tab w:pos="1880" w:val="left" w:leader="none"/>
          <w:tab w:pos="1881" w:val="left" w:leader="none"/>
        </w:tabs>
        <w:spacing w:line="273" w:lineRule="auto" w:before="0" w:after="0"/>
        <w:ind w:left="1160" w:right="2405" w:firstLine="0"/>
        <w:jc w:val="left"/>
        <w:rPr>
          <w:sz w:val="18"/>
        </w:rPr>
      </w:pPr>
      <w:r>
        <w:rPr>
          <w:color w:val="231F20"/>
          <w:w w:val="110"/>
          <w:sz w:val="18"/>
        </w:rPr>
        <w:t>Many </w:t>
      </w:r>
      <w:r>
        <w:rPr>
          <w:color w:val="231F20"/>
          <w:spacing w:val="2"/>
          <w:w w:val="110"/>
          <w:sz w:val="18"/>
        </w:rPr>
        <w:t>members </w:t>
      </w:r>
      <w:r>
        <w:rPr>
          <w:color w:val="231F20"/>
          <w:w w:val="110"/>
          <w:sz w:val="18"/>
        </w:rPr>
        <w:t>of the Guild are organists and at Nantwich in April, </w:t>
      </w:r>
      <w:r>
        <w:rPr>
          <w:color w:val="231F20"/>
          <w:spacing w:val="2"/>
          <w:w w:val="110"/>
          <w:sz w:val="18"/>
        </w:rPr>
        <w:t>members </w:t>
      </w:r>
      <w:r>
        <w:rPr>
          <w:color w:val="231F20"/>
          <w:w w:val="110"/>
          <w:sz w:val="18"/>
        </w:rPr>
        <w:t>heard about the </w:t>
      </w:r>
      <w:r>
        <w:rPr>
          <w:color w:val="231F20"/>
          <w:spacing w:val="2"/>
          <w:w w:val="110"/>
          <w:sz w:val="18"/>
        </w:rPr>
        <w:t>history </w:t>
      </w:r>
      <w:r>
        <w:rPr>
          <w:color w:val="231F20"/>
          <w:w w:val="110"/>
          <w:sz w:val="18"/>
        </w:rPr>
        <w:t>of one of the great organ-building families and also of plans to move an organ </w:t>
      </w:r>
      <w:r>
        <w:rPr>
          <w:color w:val="231F20"/>
          <w:spacing w:val="2"/>
          <w:w w:val="110"/>
          <w:sz w:val="18"/>
        </w:rPr>
        <w:t>from </w:t>
      </w:r>
      <w:r>
        <w:rPr>
          <w:color w:val="231F20"/>
          <w:w w:val="110"/>
          <w:sz w:val="18"/>
        </w:rPr>
        <w:t>a church in Wales. This has been made possible only with a substantial grant – not just for the organ but for the training of music </w:t>
      </w:r>
      <w:r>
        <w:rPr>
          <w:color w:val="231F20"/>
          <w:spacing w:val="2"/>
          <w:w w:val="110"/>
          <w:sz w:val="18"/>
        </w:rPr>
        <w:t>teachers </w:t>
      </w:r>
      <w:r>
        <w:rPr>
          <w:color w:val="231F20"/>
          <w:w w:val="110"/>
          <w:sz w:val="18"/>
        </w:rPr>
        <w:t>and young</w:t>
      </w:r>
      <w:r>
        <w:rPr>
          <w:color w:val="231F20"/>
          <w:spacing w:val="13"/>
          <w:w w:val="110"/>
          <w:sz w:val="18"/>
        </w:rPr>
        <w:t> </w:t>
      </w:r>
      <w:r>
        <w:rPr>
          <w:color w:val="231F20"/>
          <w:w w:val="110"/>
          <w:sz w:val="18"/>
        </w:rPr>
        <w:t>musicians.</w:t>
      </w:r>
    </w:p>
    <w:p>
      <w:pPr>
        <w:pStyle w:val="BodyText"/>
        <w:spacing w:before="10"/>
        <w:rPr>
          <w:sz w:val="20"/>
        </w:rPr>
      </w:pPr>
    </w:p>
    <w:p>
      <w:pPr>
        <w:pStyle w:val="ListParagraph"/>
        <w:numPr>
          <w:ilvl w:val="1"/>
          <w:numId w:val="238"/>
        </w:numPr>
        <w:tabs>
          <w:tab w:pos="1880" w:val="left" w:leader="none"/>
          <w:tab w:pos="1881" w:val="left" w:leader="none"/>
        </w:tabs>
        <w:spacing w:line="273" w:lineRule="auto" w:before="0" w:after="0"/>
        <w:ind w:left="1160" w:right="3116" w:firstLine="0"/>
        <w:jc w:val="left"/>
        <w:rPr>
          <w:sz w:val="18"/>
        </w:rPr>
      </w:pPr>
      <w:r>
        <w:rPr>
          <w:color w:val="231F20"/>
          <w:w w:val="110"/>
          <w:sz w:val="18"/>
        </w:rPr>
        <w:t>Organists in our Southern &amp; Wessex branch were treated to a day of delights when they visited Christ’s Hospital School at Horsham in</w:t>
      </w:r>
      <w:r>
        <w:rPr>
          <w:color w:val="231F20"/>
          <w:spacing w:val="8"/>
          <w:w w:val="110"/>
          <w:sz w:val="18"/>
        </w:rPr>
        <w:t> </w:t>
      </w:r>
      <w:r>
        <w:rPr>
          <w:color w:val="231F20"/>
          <w:w w:val="110"/>
          <w:sz w:val="18"/>
        </w:rPr>
        <w:t>Sussex.</w:t>
      </w:r>
      <w:r>
        <w:rPr>
          <w:color w:val="231F20"/>
          <w:spacing w:val="18"/>
          <w:w w:val="110"/>
          <w:sz w:val="18"/>
        </w:rPr>
        <w:t> </w:t>
      </w:r>
      <w:r>
        <w:rPr>
          <w:color w:val="231F20"/>
          <w:w w:val="110"/>
          <w:sz w:val="18"/>
        </w:rPr>
        <w:t>The</w:t>
      </w:r>
      <w:r>
        <w:rPr>
          <w:color w:val="231F20"/>
          <w:spacing w:val="9"/>
          <w:w w:val="110"/>
          <w:sz w:val="18"/>
        </w:rPr>
        <w:t> </w:t>
      </w:r>
      <w:r>
        <w:rPr>
          <w:color w:val="231F20"/>
          <w:w w:val="110"/>
          <w:sz w:val="18"/>
        </w:rPr>
        <w:t>school</w:t>
      </w:r>
      <w:r>
        <w:rPr>
          <w:color w:val="231F20"/>
          <w:spacing w:val="9"/>
          <w:w w:val="110"/>
          <w:sz w:val="18"/>
        </w:rPr>
        <w:t> </w:t>
      </w:r>
      <w:r>
        <w:rPr>
          <w:color w:val="231F20"/>
          <w:w w:val="110"/>
          <w:sz w:val="18"/>
        </w:rPr>
        <w:t>has</w:t>
      </w:r>
      <w:r>
        <w:rPr>
          <w:color w:val="231F20"/>
          <w:spacing w:val="9"/>
          <w:w w:val="110"/>
          <w:sz w:val="18"/>
        </w:rPr>
        <w:t> </w:t>
      </w:r>
      <w:r>
        <w:rPr>
          <w:color w:val="231F20"/>
          <w:w w:val="110"/>
          <w:sz w:val="18"/>
        </w:rPr>
        <w:t>no</w:t>
      </w:r>
      <w:r>
        <w:rPr>
          <w:color w:val="231F20"/>
          <w:spacing w:val="8"/>
          <w:w w:val="110"/>
          <w:sz w:val="18"/>
        </w:rPr>
        <w:t> </w:t>
      </w:r>
      <w:r>
        <w:rPr>
          <w:color w:val="231F20"/>
          <w:w w:val="110"/>
          <w:sz w:val="18"/>
        </w:rPr>
        <w:t>less</w:t>
      </w:r>
      <w:r>
        <w:rPr>
          <w:color w:val="231F20"/>
          <w:spacing w:val="9"/>
          <w:w w:val="110"/>
          <w:sz w:val="18"/>
        </w:rPr>
        <w:t> </w:t>
      </w:r>
      <w:r>
        <w:rPr>
          <w:color w:val="231F20"/>
          <w:w w:val="110"/>
          <w:sz w:val="18"/>
        </w:rPr>
        <w:t>than</w:t>
      </w:r>
      <w:r>
        <w:rPr>
          <w:color w:val="231F20"/>
          <w:spacing w:val="9"/>
          <w:w w:val="110"/>
          <w:sz w:val="18"/>
        </w:rPr>
        <w:t> </w:t>
      </w:r>
      <w:r>
        <w:rPr>
          <w:color w:val="231F20"/>
          <w:w w:val="110"/>
          <w:sz w:val="18"/>
        </w:rPr>
        <w:t>three</w:t>
      </w:r>
      <w:r>
        <w:rPr>
          <w:color w:val="231F20"/>
          <w:spacing w:val="9"/>
          <w:w w:val="110"/>
          <w:sz w:val="18"/>
        </w:rPr>
        <w:t> </w:t>
      </w:r>
      <w:r>
        <w:rPr>
          <w:color w:val="231F20"/>
          <w:spacing w:val="2"/>
          <w:w w:val="110"/>
          <w:sz w:val="18"/>
        </w:rPr>
        <w:t>very</w:t>
      </w:r>
      <w:r>
        <w:rPr>
          <w:color w:val="231F20"/>
          <w:spacing w:val="9"/>
          <w:w w:val="110"/>
          <w:sz w:val="18"/>
        </w:rPr>
        <w:t> </w:t>
      </w:r>
      <w:r>
        <w:rPr>
          <w:color w:val="231F20"/>
          <w:w w:val="110"/>
          <w:sz w:val="18"/>
        </w:rPr>
        <w:t>different</w:t>
      </w:r>
      <w:r>
        <w:rPr>
          <w:color w:val="231F20"/>
          <w:spacing w:val="9"/>
          <w:w w:val="110"/>
          <w:sz w:val="18"/>
        </w:rPr>
        <w:t> </w:t>
      </w:r>
      <w:r>
        <w:rPr>
          <w:color w:val="231F20"/>
          <w:w w:val="110"/>
          <w:sz w:val="18"/>
        </w:rPr>
        <w:t>organs:</w:t>
      </w:r>
    </w:p>
    <w:p>
      <w:pPr>
        <w:pStyle w:val="BodyText"/>
        <w:spacing w:line="273" w:lineRule="auto" w:before="1"/>
        <w:ind w:left="1160" w:right="2400" w:hanging="1"/>
      </w:pPr>
      <w:r>
        <w:rPr>
          <w:color w:val="231F20"/>
          <w:w w:val="110"/>
        </w:rPr>
        <w:t>Each was demonstrated and played by the school’s organist and by pupils. Guild members then moved to Horsham URC in the afternoon for a fourth organ and a service of worship to round off the day.</w:t>
      </w:r>
    </w:p>
    <w:p>
      <w:pPr>
        <w:pStyle w:val="BodyText"/>
        <w:spacing w:before="9"/>
        <w:rPr>
          <w:sz w:val="20"/>
        </w:rPr>
      </w:pPr>
    </w:p>
    <w:p>
      <w:pPr>
        <w:pStyle w:val="ListParagraph"/>
        <w:numPr>
          <w:ilvl w:val="1"/>
          <w:numId w:val="238"/>
        </w:numPr>
        <w:tabs>
          <w:tab w:pos="1880" w:val="left" w:leader="none"/>
          <w:tab w:pos="1881" w:val="left" w:leader="none"/>
        </w:tabs>
        <w:spacing w:line="273" w:lineRule="auto" w:before="0" w:after="0"/>
        <w:ind w:left="1160" w:right="2398" w:firstLine="0"/>
        <w:jc w:val="left"/>
        <w:rPr>
          <w:sz w:val="18"/>
        </w:rPr>
      </w:pPr>
      <w:r>
        <w:rPr>
          <w:color w:val="231F20"/>
          <w:w w:val="110"/>
          <w:sz w:val="18"/>
        </w:rPr>
        <w:t>At Coventry in </w:t>
      </w:r>
      <w:r>
        <w:rPr>
          <w:color w:val="231F20"/>
          <w:spacing w:val="-5"/>
          <w:w w:val="110"/>
          <w:sz w:val="18"/>
        </w:rPr>
        <w:t>May, </w:t>
      </w:r>
      <w:r>
        <w:rPr>
          <w:color w:val="231F20"/>
          <w:w w:val="110"/>
          <w:sz w:val="18"/>
        </w:rPr>
        <w:t>a small group of </w:t>
      </w:r>
      <w:r>
        <w:rPr>
          <w:color w:val="231F20"/>
          <w:spacing w:val="2"/>
          <w:w w:val="110"/>
          <w:sz w:val="18"/>
        </w:rPr>
        <w:t>members </w:t>
      </w:r>
      <w:r>
        <w:rPr>
          <w:color w:val="231F20"/>
          <w:w w:val="110"/>
          <w:sz w:val="18"/>
        </w:rPr>
        <w:t>were gently cajoled into giving of their </w:t>
      </w:r>
      <w:r>
        <w:rPr>
          <w:color w:val="231F20"/>
          <w:spacing w:val="2"/>
          <w:w w:val="110"/>
          <w:sz w:val="18"/>
        </w:rPr>
        <w:t>best </w:t>
      </w:r>
      <w:r>
        <w:rPr>
          <w:color w:val="231F20"/>
          <w:w w:val="110"/>
          <w:sz w:val="18"/>
        </w:rPr>
        <w:t>in singing music for </w:t>
      </w:r>
      <w:r>
        <w:rPr>
          <w:color w:val="231F20"/>
          <w:spacing w:val="2"/>
          <w:w w:val="110"/>
          <w:sz w:val="18"/>
        </w:rPr>
        <w:t>Ascension </w:t>
      </w:r>
      <w:r>
        <w:rPr>
          <w:color w:val="231F20"/>
          <w:w w:val="110"/>
          <w:sz w:val="18"/>
        </w:rPr>
        <w:t>and Pentecost, two important Christian festivals that are </w:t>
      </w:r>
      <w:r>
        <w:rPr>
          <w:color w:val="231F20"/>
          <w:spacing w:val="2"/>
          <w:w w:val="110"/>
          <w:sz w:val="18"/>
        </w:rPr>
        <w:t>often </w:t>
      </w:r>
      <w:r>
        <w:rPr>
          <w:color w:val="231F20"/>
          <w:w w:val="110"/>
          <w:sz w:val="18"/>
        </w:rPr>
        <w:t>overshadowed by Easter. Singing in small choirs can be nerve-wracking but a day like this gives confidence in sight reading and coming in on cue – and on the right</w:t>
      </w:r>
      <w:r>
        <w:rPr>
          <w:color w:val="231F20"/>
          <w:spacing w:val="34"/>
          <w:w w:val="110"/>
          <w:sz w:val="18"/>
        </w:rPr>
        <w:t> </w:t>
      </w:r>
      <w:r>
        <w:rPr>
          <w:color w:val="231F20"/>
          <w:w w:val="110"/>
          <w:sz w:val="18"/>
        </w:rPr>
        <w:t>note!</w:t>
      </w:r>
    </w:p>
    <w:p>
      <w:pPr>
        <w:pStyle w:val="BodyText"/>
        <w:spacing w:before="10"/>
        <w:rPr>
          <w:sz w:val="20"/>
        </w:rPr>
      </w:pPr>
    </w:p>
    <w:p>
      <w:pPr>
        <w:pStyle w:val="ListParagraph"/>
        <w:numPr>
          <w:ilvl w:val="1"/>
          <w:numId w:val="238"/>
        </w:numPr>
        <w:tabs>
          <w:tab w:pos="1880" w:val="left" w:leader="none"/>
          <w:tab w:pos="1881" w:val="left" w:leader="none"/>
        </w:tabs>
        <w:spacing w:line="273" w:lineRule="auto" w:before="0" w:after="0"/>
        <w:ind w:left="1160" w:right="2486" w:firstLine="0"/>
        <w:jc w:val="left"/>
        <w:rPr>
          <w:sz w:val="18"/>
        </w:rPr>
      </w:pPr>
      <w:r>
        <w:rPr>
          <w:color w:val="231F20"/>
          <w:w w:val="110"/>
          <w:sz w:val="18"/>
        </w:rPr>
        <w:t>In September, and in the far south-east, a visit to the workshops of  F H Browne &amp; Sons at </w:t>
      </w:r>
      <w:r>
        <w:rPr>
          <w:color w:val="231F20"/>
          <w:spacing w:val="2"/>
          <w:w w:val="110"/>
          <w:sz w:val="18"/>
        </w:rPr>
        <w:t>Ash </w:t>
      </w:r>
      <w:r>
        <w:rPr>
          <w:color w:val="231F20"/>
          <w:w w:val="110"/>
          <w:sz w:val="18"/>
        </w:rPr>
        <w:t>near </w:t>
      </w:r>
      <w:r>
        <w:rPr>
          <w:color w:val="231F20"/>
          <w:spacing w:val="2"/>
          <w:w w:val="110"/>
          <w:sz w:val="18"/>
        </w:rPr>
        <w:t>Canterbury </w:t>
      </w:r>
      <w:r>
        <w:rPr>
          <w:color w:val="231F20"/>
          <w:w w:val="110"/>
          <w:sz w:val="18"/>
        </w:rPr>
        <w:t>provided an </w:t>
      </w:r>
      <w:r>
        <w:rPr>
          <w:color w:val="231F20"/>
          <w:spacing w:val="2"/>
          <w:w w:val="110"/>
          <w:sz w:val="18"/>
        </w:rPr>
        <w:t>opportunity </w:t>
      </w:r>
      <w:r>
        <w:rPr>
          <w:color w:val="231F20"/>
          <w:w w:val="110"/>
          <w:sz w:val="18"/>
        </w:rPr>
        <w:t>for those who play at an organ console to find out about the insides of an instrument. All </w:t>
      </w:r>
      <w:r>
        <w:rPr>
          <w:color w:val="231F20"/>
          <w:spacing w:val="3"/>
          <w:w w:val="110"/>
          <w:sz w:val="18"/>
        </w:rPr>
        <w:t>sorts </w:t>
      </w:r>
      <w:r>
        <w:rPr>
          <w:color w:val="231F20"/>
          <w:w w:val="110"/>
          <w:sz w:val="18"/>
        </w:rPr>
        <w:t>of bits were laid out, their relationships explained and various ways of ‘voicing’ an organ described. In complete contrast in the afternoon, </w:t>
      </w:r>
      <w:r>
        <w:rPr>
          <w:color w:val="231F20"/>
          <w:spacing w:val="2"/>
          <w:w w:val="110"/>
          <w:sz w:val="18"/>
        </w:rPr>
        <w:t>members </w:t>
      </w:r>
      <w:r>
        <w:rPr>
          <w:color w:val="231F20"/>
          <w:w w:val="110"/>
          <w:sz w:val="18"/>
        </w:rPr>
        <w:t>shared in music-making and Christian fellowship with the Salvation Army</w:t>
      </w:r>
      <w:r>
        <w:rPr>
          <w:color w:val="231F20"/>
          <w:spacing w:val="3"/>
          <w:w w:val="110"/>
          <w:sz w:val="18"/>
        </w:rPr>
        <w:t> </w:t>
      </w:r>
      <w:r>
        <w:rPr>
          <w:color w:val="231F20"/>
          <w:w w:val="110"/>
          <w:sz w:val="18"/>
        </w:rPr>
        <w:t>Band.</w:t>
      </w:r>
    </w:p>
    <w:p>
      <w:pPr>
        <w:pStyle w:val="BodyText"/>
        <w:spacing w:before="11"/>
        <w:rPr>
          <w:sz w:val="20"/>
        </w:rPr>
      </w:pPr>
    </w:p>
    <w:p>
      <w:pPr>
        <w:pStyle w:val="ListParagraph"/>
        <w:numPr>
          <w:ilvl w:val="1"/>
          <w:numId w:val="238"/>
        </w:numPr>
        <w:tabs>
          <w:tab w:pos="1880" w:val="left" w:leader="none"/>
          <w:tab w:pos="1881" w:val="left" w:leader="none"/>
        </w:tabs>
        <w:spacing w:line="273" w:lineRule="auto" w:before="1" w:after="0"/>
        <w:ind w:left="1161" w:right="2324" w:hanging="1"/>
        <w:jc w:val="left"/>
        <w:rPr>
          <w:sz w:val="18"/>
        </w:rPr>
      </w:pPr>
      <w:r>
        <w:rPr>
          <w:color w:val="231F20"/>
          <w:spacing w:val="-4"/>
          <w:w w:val="110"/>
          <w:sz w:val="18"/>
        </w:rPr>
        <w:t>Finally, </w:t>
      </w:r>
      <w:r>
        <w:rPr>
          <w:color w:val="231F20"/>
          <w:w w:val="110"/>
          <w:sz w:val="18"/>
        </w:rPr>
        <w:t>in October at Sir Titus Salt’s church at Saltaire near Bradford, members at our Celebration </w:t>
      </w:r>
      <w:r>
        <w:rPr>
          <w:color w:val="231F20"/>
          <w:spacing w:val="-3"/>
          <w:w w:val="110"/>
          <w:sz w:val="18"/>
        </w:rPr>
        <w:t>Day </w:t>
      </w:r>
      <w:r>
        <w:rPr>
          <w:color w:val="231F20"/>
          <w:w w:val="110"/>
          <w:sz w:val="18"/>
        </w:rPr>
        <w:t>were put through our choral paces by Andrew </w:t>
      </w:r>
      <w:r>
        <w:rPr>
          <w:color w:val="231F20"/>
          <w:spacing w:val="-4"/>
          <w:w w:val="110"/>
          <w:sz w:val="18"/>
        </w:rPr>
        <w:t>Teague, </w:t>
      </w:r>
      <w:r>
        <w:rPr>
          <w:color w:val="231F20"/>
          <w:w w:val="110"/>
          <w:sz w:val="18"/>
        </w:rPr>
        <w:t>Director of Music at Bradford Cathedral. </w:t>
      </w:r>
      <w:r>
        <w:rPr>
          <w:color w:val="231F20"/>
          <w:spacing w:val="-4"/>
          <w:w w:val="110"/>
          <w:sz w:val="18"/>
        </w:rPr>
        <w:t>We </w:t>
      </w:r>
      <w:r>
        <w:rPr>
          <w:color w:val="231F20"/>
          <w:w w:val="110"/>
          <w:sz w:val="18"/>
        </w:rPr>
        <w:t>learned special music which was sung later in the afternoon. </w:t>
      </w:r>
      <w:r>
        <w:rPr>
          <w:color w:val="231F20"/>
          <w:spacing w:val="-4"/>
          <w:w w:val="110"/>
          <w:sz w:val="18"/>
        </w:rPr>
        <w:t>We </w:t>
      </w:r>
      <w:r>
        <w:rPr>
          <w:color w:val="231F20"/>
          <w:w w:val="110"/>
          <w:sz w:val="18"/>
        </w:rPr>
        <w:t>were also given a recital on the newly restored organ by Andrew and Michael </w:t>
      </w:r>
      <w:r>
        <w:rPr>
          <w:color w:val="231F20"/>
          <w:spacing w:val="-3"/>
          <w:w w:val="110"/>
          <w:sz w:val="18"/>
        </w:rPr>
        <w:t>Fletcher, </w:t>
      </w:r>
      <w:r>
        <w:rPr>
          <w:color w:val="231F20"/>
          <w:w w:val="110"/>
          <w:sz w:val="18"/>
        </w:rPr>
        <w:t>organist at</w:t>
      </w:r>
      <w:r>
        <w:rPr>
          <w:color w:val="231F20"/>
          <w:spacing w:val="9"/>
          <w:w w:val="110"/>
          <w:sz w:val="18"/>
        </w:rPr>
        <w:t> </w:t>
      </w:r>
      <w:r>
        <w:rPr>
          <w:color w:val="231F20"/>
          <w:w w:val="110"/>
          <w:sz w:val="18"/>
        </w:rPr>
        <w:t>Saltaire.</w:t>
      </w:r>
    </w:p>
    <w:p>
      <w:pPr>
        <w:spacing w:after="0" w:line="273" w:lineRule="auto"/>
        <w:jc w:val="left"/>
        <w:rPr>
          <w:sz w:val="18"/>
        </w:rPr>
        <w:sectPr>
          <w:headerReference w:type="default" r:id="rId589"/>
          <w:footerReference w:type="default" r:id="rId590"/>
          <w:footerReference w:type="even" r:id="rId591"/>
          <w:pgSz w:w="11910" w:h="16840"/>
          <w:pgMar w:header="0" w:footer="544" w:top="1000" w:bottom="740" w:left="540" w:right="0"/>
          <w:pgNumType w:start="27"/>
        </w:sectPr>
      </w:pPr>
    </w:p>
    <w:p>
      <w:pPr>
        <w:spacing w:before="28"/>
        <w:ind w:left="0" w:right="1701" w:firstLine="0"/>
        <w:jc w:val="right"/>
        <w:rPr>
          <w:rFonts w:ascii="Eurostile Bold"/>
          <w:b/>
          <w:sz w:val="28"/>
        </w:rPr>
      </w:pPr>
      <w:r>
        <w:rPr>
          <w:rFonts w:ascii="Eurostile Bold"/>
          <w:b/>
          <w:color w:val="A7A9AC"/>
          <w:w w:val="85"/>
          <w:sz w:val="28"/>
        </w:rPr>
        <w:t>Musicians Guild</w:t>
      </w:r>
    </w:p>
    <w:p>
      <w:pPr>
        <w:pStyle w:val="BodyText"/>
        <w:spacing w:before="5"/>
        <w:rPr>
          <w:rFonts w:ascii="Eurostile Bold"/>
          <w:b/>
          <w:sz w:val="12"/>
        </w:rPr>
      </w:pPr>
    </w:p>
    <w:p>
      <w:pPr>
        <w:pStyle w:val="ListParagraph"/>
        <w:numPr>
          <w:ilvl w:val="1"/>
          <w:numId w:val="238"/>
        </w:numPr>
        <w:tabs>
          <w:tab w:pos="1313" w:val="left" w:leader="none"/>
          <w:tab w:pos="1314" w:val="left" w:leader="none"/>
        </w:tabs>
        <w:spacing w:line="273" w:lineRule="auto" w:before="100" w:after="0"/>
        <w:ind w:left="593" w:right="1838" w:firstLine="0"/>
        <w:jc w:val="left"/>
        <w:rPr>
          <w:sz w:val="18"/>
        </w:rPr>
      </w:pPr>
      <w:r>
        <w:rPr>
          <w:color w:val="231F20"/>
          <w:w w:val="110"/>
          <w:sz w:val="18"/>
        </w:rPr>
        <w:t>So, this is the variety of our events arranged all over the </w:t>
      </w:r>
      <w:r>
        <w:rPr>
          <w:color w:val="231F20"/>
          <w:spacing w:val="2"/>
          <w:w w:val="110"/>
          <w:sz w:val="18"/>
        </w:rPr>
        <w:t>country </w:t>
      </w:r>
      <w:r>
        <w:rPr>
          <w:color w:val="231F20"/>
          <w:w w:val="110"/>
          <w:sz w:val="18"/>
        </w:rPr>
        <w:t>by branches in the Musicians’ Guild. </w:t>
      </w:r>
      <w:r>
        <w:rPr>
          <w:color w:val="231F20"/>
          <w:spacing w:val="2"/>
          <w:w w:val="110"/>
          <w:sz w:val="18"/>
        </w:rPr>
        <w:t>There </w:t>
      </w:r>
      <w:r>
        <w:rPr>
          <w:color w:val="231F20"/>
          <w:w w:val="110"/>
          <w:sz w:val="18"/>
        </w:rPr>
        <w:t>is something for everyone, whether you play an instrument </w:t>
      </w:r>
      <w:r>
        <w:rPr>
          <w:color w:val="231F20"/>
          <w:spacing w:val="-4"/>
          <w:w w:val="110"/>
          <w:sz w:val="18"/>
        </w:rPr>
        <w:t>(and </w:t>
      </w:r>
      <w:r>
        <w:rPr>
          <w:color w:val="231F20"/>
          <w:w w:val="110"/>
          <w:sz w:val="18"/>
        </w:rPr>
        <w:t>it doesn’t have to be the </w:t>
      </w:r>
      <w:r>
        <w:rPr>
          <w:color w:val="231F20"/>
          <w:spacing w:val="-3"/>
          <w:w w:val="110"/>
          <w:sz w:val="18"/>
        </w:rPr>
        <w:t>organ!), </w:t>
      </w:r>
      <w:r>
        <w:rPr>
          <w:color w:val="231F20"/>
          <w:w w:val="110"/>
          <w:sz w:val="18"/>
        </w:rPr>
        <w:t>sing Gospel, </w:t>
      </w:r>
      <w:r>
        <w:rPr>
          <w:color w:val="231F20"/>
          <w:spacing w:val="2"/>
          <w:w w:val="110"/>
          <w:sz w:val="18"/>
        </w:rPr>
        <w:t>Bach </w:t>
      </w:r>
      <w:r>
        <w:rPr>
          <w:color w:val="231F20"/>
          <w:w w:val="110"/>
          <w:sz w:val="18"/>
        </w:rPr>
        <w:t>or Bell or just love the sound  of all kinds of music made for the worship of God in church. If you think you would like to come along to branch meetings </w:t>
      </w:r>
      <w:r>
        <w:rPr>
          <w:color w:val="231F20"/>
          <w:spacing w:val="-4"/>
          <w:w w:val="110"/>
          <w:sz w:val="18"/>
        </w:rPr>
        <w:t>(and </w:t>
      </w:r>
      <w:r>
        <w:rPr>
          <w:color w:val="231F20"/>
          <w:w w:val="110"/>
          <w:sz w:val="18"/>
        </w:rPr>
        <w:t>branches get to all </w:t>
      </w:r>
      <w:r>
        <w:rPr>
          <w:color w:val="231F20"/>
          <w:spacing w:val="3"/>
          <w:w w:val="110"/>
          <w:sz w:val="18"/>
        </w:rPr>
        <w:t>sorts </w:t>
      </w:r>
      <w:r>
        <w:rPr>
          <w:color w:val="231F20"/>
          <w:w w:val="110"/>
          <w:sz w:val="18"/>
        </w:rPr>
        <w:t>of places), please get  in touch with the Guild and find out more about us. </w:t>
      </w:r>
      <w:r>
        <w:rPr>
          <w:color w:val="231F20"/>
          <w:spacing w:val="2"/>
          <w:w w:val="110"/>
          <w:sz w:val="18"/>
        </w:rPr>
        <w:t>There </w:t>
      </w:r>
      <w:r>
        <w:rPr>
          <w:color w:val="231F20"/>
          <w:w w:val="110"/>
          <w:sz w:val="18"/>
        </w:rPr>
        <w:t>must be at least one </w:t>
      </w:r>
      <w:r>
        <w:rPr>
          <w:color w:val="231F20"/>
          <w:spacing w:val="2"/>
          <w:w w:val="110"/>
          <w:sz w:val="18"/>
        </w:rPr>
        <w:t>person  </w:t>
      </w:r>
      <w:r>
        <w:rPr>
          <w:color w:val="231F20"/>
          <w:w w:val="110"/>
          <w:sz w:val="18"/>
        </w:rPr>
        <w:t>in</w:t>
      </w:r>
      <w:r>
        <w:rPr>
          <w:color w:val="231F20"/>
          <w:spacing w:val="12"/>
          <w:w w:val="110"/>
          <w:sz w:val="18"/>
        </w:rPr>
        <w:t> </w:t>
      </w:r>
      <w:r>
        <w:rPr>
          <w:color w:val="231F20"/>
          <w:w w:val="110"/>
          <w:sz w:val="18"/>
        </w:rPr>
        <w:t>every</w:t>
      </w:r>
      <w:r>
        <w:rPr>
          <w:color w:val="231F20"/>
          <w:spacing w:val="12"/>
          <w:w w:val="110"/>
          <w:sz w:val="18"/>
        </w:rPr>
        <w:t> </w:t>
      </w:r>
      <w:r>
        <w:rPr>
          <w:color w:val="231F20"/>
          <w:w w:val="110"/>
          <w:sz w:val="18"/>
        </w:rPr>
        <w:t>United</w:t>
      </w:r>
      <w:r>
        <w:rPr>
          <w:color w:val="231F20"/>
          <w:spacing w:val="13"/>
          <w:w w:val="110"/>
          <w:sz w:val="18"/>
        </w:rPr>
        <w:t> </w:t>
      </w:r>
      <w:r>
        <w:rPr>
          <w:color w:val="231F20"/>
          <w:w w:val="110"/>
          <w:sz w:val="18"/>
        </w:rPr>
        <w:t>Reformed</w:t>
      </w:r>
      <w:r>
        <w:rPr>
          <w:color w:val="231F20"/>
          <w:spacing w:val="12"/>
          <w:w w:val="110"/>
          <w:sz w:val="18"/>
        </w:rPr>
        <w:t> </w:t>
      </w:r>
      <w:r>
        <w:rPr>
          <w:color w:val="231F20"/>
          <w:w w:val="110"/>
          <w:sz w:val="18"/>
        </w:rPr>
        <w:t>Church</w:t>
      </w:r>
      <w:r>
        <w:rPr>
          <w:color w:val="231F20"/>
          <w:spacing w:val="12"/>
          <w:w w:val="110"/>
          <w:sz w:val="18"/>
        </w:rPr>
        <w:t> </w:t>
      </w:r>
      <w:r>
        <w:rPr>
          <w:color w:val="231F20"/>
          <w:w w:val="110"/>
          <w:sz w:val="18"/>
        </w:rPr>
        <w:t>concerned</w:t>
      </w:r>
      <w:r>
        <w:rPr>
          <w:color w:val="231F20"/>
          <w:spacing w:val="13"/>
          <w:w w:val="110"/>
          <w:sz w:val="18"/>
        </w:rPr>
        <w:t> </w:t>
      </w:r>
      <w:r>
        <w:rPr>
          <w:color w:val="231F20"/>
          <w:w w:val="110"/>
          <w:sz w:val="18"/>
        </w:rPr>
        <w:t>with</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music</w:t>
      </w:r>
      <w:r>
        <w:rPr>
          <w:color w:val="231F20"/>
          <w:spacing w:val="13"/>
          <w:w w:val="110"/>
          <w:sz w:val="18"/>
        </w:rPr>
        <w:t> </w:t>
      </w:r>
      <w:r>
        <w:rPr>
          <w:color w:val="231F20"/>
          <w:w w:val="110"/>
          <w:sz w:val="18"/>
        </w:rPr>
        <w:t>during</w:t>
      </w:r>
      <w:r>
        <w:rPr>
          <w:color w:val="231F20"/>
          <w:spacing w:val="12"/>
          <w:w w:val="110"/>
          <w:sz w:val="18"/>
        </w:rPr>
        <w:t> </w:t>
      </w:r>
      <w:r>
        <w:rPr>
          <w:color w:val="231F20"/>
          <w:w w:val="110"/>
          <w:sz w:val="18"/>
        </w:rPr>
        <w:t>worship</w:t>
      </w:r>
      <w:r>
        <w:rPr>
          <w:color w:val="231F20"/>
          <w:spacing w:val="12"/>
          <w:w w:val="110"/>
          <w:sz w:val="18"/>
        </w:rPr>
        <w:t> </w:t>
      </w:r>
      <w:r>
        <w:rPr>
          <w:color w:val="231F20"/>
          <w:w w:val="110"/>
          <w:sz w:val="18"/>
        </w:rPr>
        <w:t>on</w:t>
      </w:r>
      <w:r>
        <w:rPr>
          <w:color w:val="231F20"/>
          <w:spacing w:val="13"/>
          <w:w w:val="110"/>
          <w:sz w:val="18"/>
        </w:rPr>
        <w:t> </w:t>
      </w:r>
      <w:r>
        <w:rPr>
          <w:color w:val="231F20"/>
          <w:w w:val="110"/>
          <w:sz w:val="18"/>
        </w:rPr>
        <w:t>Sundays</w:t>
      </w:r>
    </w:p>
    <w:p>
      <w:pPr>
        <w:pStyle w:val="BodyText"/>
        <w:spacing w:before="5"/>
        <w:ind w:left="593"/>
      </w:pPr>
      <w:r>
        <w:rPr>
          <w:color w:val="231F20"/>
          <w:w w:val="110"/>
        </w:rPr>
        <w:t>– hopefully more – and we would love to hear from you!</w:t>
      </w:r>
    </w:p>
    <w:p>
      <w:pPr>
        <w:pStyle w:val="BodyText"/>
        <w:spacing w:before="1"/>
        <w:rPr>
          <w:sz w:val="23"/>
        </w:rPr>
      </w:pPr>
    </w:p>
    <w:p>
      <w:pPr>
        <w:pStyle w:val="ListParagraph"/>
        <w:numPr>
          <w:ilvl w:val="1"/>
          <w:numId w:val="238"/>
        </w:numPr>
        <w:tabs>
          <w:tab w:pos="1313" w:val="left" w:leader="none"/>
          <w:tab w:pos="1314" w:val="left" w:leader="none"/>
        </w:tabs>
        <w:spacing w:line="259" w:lineRule="auto" w:before="0" w:after="0"/>
        <w:ind w:left="593" w:right="2501" w:firstLine="0"/>
        <w:jc w:val="left"/>
        <w:rPr>
          <w:sz w:val="18"/>
        </w:rPr>
      </w:pPr>
      <w:r>
        <w:rPr>
          <w:color w:val="231F20"/>
          <w:w w:val="110"/>
          <w:sz w:val="18"/>
        </w:rPr>
        <w:t>For </w:t>
      </w:r>
      <w:r>
        <w:rPr>
          <w:color w:val="231F20"/>
          <w:spacing w:val="2"/>
          <w:w w:val="110"/>
          <w:sz w:val="18"/>
        </w:rPr>
        <w:t>further </w:t>
      </w:r>
      <w:r>
        <w:rPr>
          <w:color w:val="231F20"/>
          <w:w w:val="110"/>
          <w:sz w:val="18"/>
        </w:rPr>
        <w:t>information about the Guild, please visit our website at</w:t>
      </w:r>
      <w:hyperlink r:id="rId593">
        <w:r>
          <w:rPr>
            <w:color w:val="231F20"/>
            <w:w w:val="110"/>
            <w:sz w:val="18"/>
          </w:rPr>
          <w:t> </w:t>
        </w:r>
        <w:r>
          <w:rPr>
            <w:color w:val="231F20"/>
            <w:w w:val="110"/>
            <w:sz w:val="20"/>
          </w:rPr>
          <w:t>www.urcmusic.org.uk</w:t>
        </w:r>
        <w:r>
          <w:rPr>
            <w:color w:val="231F20"/>
            <w:spacing w:val="-22"/>
            <w:w w:val="110"/>
            <w:sz w:val="20"/>
          </w:rPr>
          <w:t> </w:t>
        </w:r>
      </w:hyperlink>
      <w:r>
        <w:rPr>
          <w:color w:val="231F20"/>
          <w:w w:val="110"/>
          <w:sz w:val="18"/>
        </w:rPr>
        <w:t>or</w:t>
      </w:r>
      <w:r>
        <w:rPr>
          <w:color w:val="231F20"/>
          <w:spacing w:val="-13"/>
          <w:w w:val="110"/>
          <w:sz w:val="18"/>
        </w:rPr>
        <w:t> </w:t>
      </w:r>
      <w:r>
        <w:rPr>
          <w:color w:val="231F20"/>
          <w:spacing w:val="2"/>
          <w:w w:val="110"/>
          <w:sz w:val="18"/>
        </w:rPr>
        <w:t>contact</w:t>
      </w:r>
      <w:r>
        <w:rPr>
          <w:color w:val="231F20"/>
          <w:spacing w:val="-13"/>
          <w:w w:val="110"/>
          <w:sz w:val="18"/>
        </w:rPr>
        <w:t> </w:t>
      </w:r>
      <w:r>
        <w:rPr>
          <w:color w:val="231F20"/>
          <w:w w:val="110"/>
          <w:sz w:val="18"/>
        </w:rPr>
        <w:t>our</w:t>
      </w:r>
      <w:r>
        <w:rPr>
          <w:color w:val="231F20"/>
          <w:spacing w:val="-14"/>
          <w:w w:val="110"/>
          <w:sz w:val="18"/>
        </w:rPr>
        <w:t> </w:t>
      </w:r>
      <w:r>
        <w:rPr>
          <w:color w:val="231F20"/>
          <w:w w:val="110"/>
          <w:sz w:val="18"/>
        </w:rPr>
        <w:t>Secretary,</w:t>
      </w:r>
      <w:r>
        <w:rPr>
          <w:color w:val="231F20"/>
          <w:spacing w:val="-13"/>
          <w:w w:val="110"/>
          <w:sz w:val="18"/>
        </w:rPr>
        <w:t> </w:t>
      </w:r>
      <w:r>
        <w:rPr>
          <w:color w:val="231F20"/>
          <w:spacing w:val="2"/>
          <w:w w:val="110"/>
          <w:sz w:val="18"/>
        </w:rPr>
        <w:t>Mrs</w:t>
      </w:r>
      <w:r>
        <w:rPr>
          <w:color w:val="231F20"/>
          <w:spacing w:val="-14"/>
          <w:w w:val="110"/>
          <w:sz w:val="18"/>
        </w:rPr>
        <w:t> </w:t>
      </w:r>
      <w:r>
        <w:rPr>
          <w:color w:val="231F20"/>
          <w:w w:val="110"/>
          <w:sz w:val="18"/>
        </w:rPr>
        <w:t>Chris</w:t>
      </w:r>
      <w:r>
        <w:rPr>
          <w:color w:val="231F20"/>
          <w:spacing w:val="-13"/>
          <w:w w:val="110"/>
          <w:sz w:val="18"/>
        </w:rPr>
        <w:t> </w:t>
      </w:r>
      <w:r>
        <w:rPr>
          <w:color w:val="231F20"/>
          <w:w w:val="110"/>
          <w:sz w:val="18"/>
        </w:rPr>
        <w:t>James,</w:t>
      </w:r>
      <w:r>
        <w:rPr>
          <w:color w:val="231F20"/>
          <w:spacing w:val="-13"/>
          <w:w w:val="110"/>
          <w:sz w:val="18"/>
        </w:rPr>
        <w:t> </w:t>
      </w:r>
      <w:r>
        <w:rPr>
          <w:color w:val="231F20"/>
          <w:w w:val="110"/>
          <w:sz w:val="18"/>
        </w:rPr>
        <w:t>56</w:t>
      </w:r>
      <w:r>
        <w:rPr>
          <w:color w:val="231F20"/>
          <w:spacing w:val="-14"/>
          <w:w w:val="110"/>
          <w:sz w:val="18"/>
        </w:rPr>
        <w:t> </w:t>
      </w:r>
      <w:r>
        <w:rPr>
          <w:color w:val="231F20"/>
          <w:spacing w:val="2"/>
          <w:w w:val="110"/>
          <w:sz w:val="18"/>
        </w:rPr>
        <w:t>Back</w:t>
      </w:r>
      <w:r>
        <w:rPr>
          <w:color w:val="231F20"/>
          <w:spacing w:val="-13"/>
          <w:w w:val="110"/>
          <w:sz w:val="18"/>
        </w:rPr>
        <w:t> </w:t>
      </w:r>
      <w:r>
        <w:rPr>
          <w:color w:val="231F20"/>
          <w:w w:val="110"/>
          <w:sz w:val="18"/>
        </w:rPr>
        <w:t>Street, Ashwell, Baldock, </w:t>
      </w:r>
      <w:r>
        <w:rPr>
          <w:color w:val="231F20"/>
          <w:spacing w:val="3"/>
          <w:w w:val="110"/>
          <w:sz w:val="18"/>
        </w:rPr>
        <w:t>Herts </w:t>
      </w:r>
      <w:r>
        <w:rPr>
          <w:color w:val="231F20"/>
          <w:w w:val="110"/>
          <w:sz w:val="18"/>
        </w:rPr>
        <w:t>SG7 5PE. </w:t>
      </w:r>
      <w:r>
        <w:rPr>
          <w:color w:val="231F20"/>
          <w:spacing w:val="-6"/>
          <w:w w:val="110"/>
          <w:sz w:val="18"/>
        </w:rPr>
        <w:t>Tel: </w:t>
      </w:r>
      <w:r>
        <w:rPr>
          <w:color w:val="231F20"/>
          <w:spacing w:val="-4"/>
          <w:w w:val="110"/>
          <w:sz w:val="18"/>
        </w:rPr>
        <w:t>01462</w:t>
      </w:r>
      <w:r>
        <w:rPr>
          <w:color w:val="231F20"/>
          <w:spacing w:val="20"/>
          <w:w w:val="110"/>
          <w:sz w:val="18"/>
        </w:rPr>
        <w:t> </w:t>
      </w:r>
      <w:r>
        <w:rPr>
          <w:color w:val="231F20"/>
          <w:spacing w:val="-3"/>
          <w:w w:val="110"/>
          <w:sz w:val="18"/>
        </w:rPr>
        <w:t>742684.</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16"/>
        </w:rPr>
      </w:pPr>
    </w:p>
    <w:p>
      <w:pPr>
        <w:spacing w:before="0"/>
        <w:ind w:left="4010" w:right="4623" w:firstLine="0"/>
        <w:jc w:val="center"/>
        <w:rPr>
          <w:i/>
          <w:sz w:val="24"/>
          <w:szCs w:val="24"/>
        </w:rPr>
      </w:pPr>
      <w:r>
        <w:rPr>
          <w:i/>
          <w:color w:val="231F20"/>
          <w:w w:val="330"/>
          <w:sz w:val="24"/>
          <w:szCs w:val="24"/>
        </w:rPr>
        <w:t>���</w:t>
      </w:r>
    </w:p>
    <w:p>
      <w:pPr>
        <w:spacing w:after="0"/>
        <w:jc w:val="center"/>
        <w:rPr>
          <w:sz w:val="24"/>
          <w:szCs w:val="24"/>
        </w:rPr>
        <w:sectPr>
          <w:headerReference w:type="even" r:id="rId592"/>
          <w:pgSz w:w="11910" w:h="16840"/>
          <w:pgMar w:header="0" w:footer="484" w:top="460" w:bottom="680" w:left="540" w:right="0"/>
        </w:sectPr>
      </w:pPr>
    </w:p>
    <w:p>
      <w:pPr>
        <w:pStyle w:val="ListParagraph"/>
        <w:numPr>
          <w:ilvl w:val="1"/>
          <w:numId w:val="239"/>
        </w:numPr>
        <w:tabs>
          <w:tab w:pos="1890" w:val="left" w:leader="none"/>
          <w:tab w:pos="1891" w:val="left" w:leader="none"/>
        </w:tabs>
        <w:spacing w:line="273" w:lineRule="auto" w:before="78" w:after="0"/>
        <w:ind w:left="1170" w:right="2817" w:hanging="1"/>
        <w:jc w:val="left"/>
        <w:rPr>
          <w:sz w:val="18"/>
        </w:rPr>
      </w:pPr>
      <w:r>
        <w:rPr/>
        <w:pict>
          <v:shape style="position:absolute;margin-left:496.62088pt;margin-top:36.840614pt;width:78.5pt;height:729.45pt;mso-position-horizontal-relative:page;mso-position-vertical-relative:page;z-index:252182528" type="#_x0000_t202" filled="false" stroked="false">
            <v:textbox inset="0,0,0,0" style="layout-flow:vertical">
              <w:txbxContent>
                <w:p>
                  <w:pPr>
                    <w:spacing w:before="20"/>
                    <w:ind w:left="20" w:right="0" w:firstLine="0"/>
                    <w:jc w:val="left"/>
                    <w:rPr>
                      <w:b/>
                      <w:sz w:val="88"/>
                    </w:rPr>
                  </w:pPr>
                  <w:r>
                    <w:rPr>
                      <w:b/>
                      <w:color w:val="231F20"/>
                      <w:spacing w:val="-33"/>
                      <w:sz w:val="88"/>
                    </w:rPr>
                    <w:t>Woman’s </w:t>
                  </w:r>
                  <w:r>
                    <w:rPr>
                      <w:b/>
                      <w:color w:val="231F20"/>
                      <w:spacing w:val="-24"/>
                      <w:sz w:val="88"/>
                    </w:rPr>
                    <w:t>World </w:t>
                  </w:r>
                  <w:r>
                    <w:rPr>
                      <w:b/>
                      <w:color w:val="231F20"/>
                      <w:spacing w:val="-23"/>
                      <w:sz w:val="88"/>
                    </w:rPr>
                    <w:t>Day </w:t>
                  </w:r>
                  <w:r>
                    <w:rPr>
                      <w:b/>
                      <w:color w:val="231F20"/>
                      <w:spacing w:val="-10"/>
                      <w:sz w:val="88"/>
                    </w:rPr>
                    <w:t>of</w:t>
                  </w:r>
                  <w:r>
                    <w:rPr>
                      <w:b/>
                      <w:color w:val="231F20"/>
                      <w:spacing w:val="-93"/>
                      <w:sz w:val="88"/>
                    </w:rPr>
                    <w:t> </w:t>
                  </w:r>
                  <w:r>
                    <w:rPr>
                      <w:b/>
                      <w:color w:val="231F20"/>
                      <w:spacing w:val="-27"/>
                      <w:sz w:val="88"/>
                    </w:rPr>
                    <w:t>Prayer</w:t>
                  </w:r>
                </w:p>
                <w:p>
                  <w:pPr>
                    <w:spacing w:before="33"/>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color w:val="231F20"/>
          <w:w w:val="110"/>
          <w:sz w:val="18"/>
        </w:rPr>
        <w:t>On </w:t>
      </w:r>
      <w:r>
        <w:rPr>
          <w:color w:val="231F20"/>
          <w:spacing w:val="-3"/>
          <w:w w:val="110"/>
          <w:sz w:val="18"/>
        </w:rPr>
        <w:t>Friday, </w:t>
      </w:r>
      <w:r>
        <w:rPr>
          <w:color w:val="231F20"/>
          <w:w w:val="110"/>
          <w:sz w:val="18"/>
        </w:rPr>
        <w:t>2</w:t>
      </w:r>
      <w:r>
        <w:rPr>
          <w:color w:val="231F20"/>
          <w:w w:val="110"/>
          <w:position w:val="6"/>
          <w:sz w:val="10"/>
        </w:rPr>
        <w:t>nd </w:t>
      </w:r>
      <w:r>
        <w:rPr>
          <w:color w:val="231F20"/>
          <w:w w:val="110"/>
          <w:sz w:val="18"/>
        </w:rPr>
        <w:t>March over 3 million people took </w:t>
      </w:r>
      <w:r>
        <w:rPr>
          <w:color w:val="231F20"/>
          <w:spacing w:val="2"/>
          <w:w w:val="110"/>
          <w:sz w:val="18"/>
        </w:rPr>
        <w:t>part </w:t>
      </w:r>
      <w:r>
        <w:rPr>
          <w:color w:val="231F20"/>
          <w:w w:val="110"/>
          <w:sz w:val="18"/>
        </w:rPr>
        <w:t>in the annual Day of Prayer that </w:t>
      </w:r>
      <w:r>
        <w:rPr>
          <w:color w:val="231F20"/>
          <w:spacing w:val="2"/>
          <w:w w:val="110"/>
          <w:sz w:val="18"/>
        </w:rPr>
        <w:t>circles </w:t>
      </w:r>
      <w:r>
        <w:rPr>
          <w:color w:val="231F20"/>
          <w:w w:val="110"/>
          <w:sz w:val="18"/>
        </w:rPr>
        <w:t>the globe </w:t>
      </w:r>
      <w:r>
        <w:rPr>
          <w:color w:val="231F20"/>
          <w:spacing w:val="2"/>
          <w:w w:val="110"/>
          <w:sz w:val="18"/>
        </w:rPr>
        <w:t>from </w:t>
      </w:r>
      <w:r>
        <w:rPr>
          <w:color w:val="231F20"/>
          <w:w w:val="110"/>
          <w:sz w:val="18"/>
        </w:rPr>
        <w:t>the time the sun </w:t>
      </w:r>
      <w:r>
        <w:rPr>
          <w:color w:val="231F20"/>
          <w:spacing w:val="2"/>
          <w:w w:val="110"/>
          <w:sz w:val="18"/>
        </w:rPr>
        <w:t>rises</w:t>
      </w:r>
      <w:r>
        <w:rPr>
          <w:color w:val="231F20"/>
          <w:spacing w:val="55"/>
          <w:w w:val="110"/>
          <w:sz w:val="18"/>
        </w:rPr>
        <w:t> </w:t>
      </w:r>
      <w:r>
        <w:rPr>
          <w:color w:val="231F20"/>
          <w:w w:val="110"/>
          <w:sz w:val="18"/>
        </w:rPr>
        <w:t>over</w:t>
      </w:r>
    </w:p>
    <w:p>
      <w:pPr>
        <w:pStyle w:val="BodyText"/>
        <w:spacing w:line="273" w:lineRule="auto" w:before="1"/>
        <w:ind w:left="1170" w:right="2927"/>
      </w:pPr>
      <w:r>
        <w:rPr>
          <w:color w:val="231F20"/>
          <w:w w:val="110"/>
        </w:rPr>
        <w:t>the island of </w:t>
      </w:r>
      <w:r>
        <w:rPr>
          <w:color w:val="231F20"/>
          <w:spacing w:val="-3"/>
          <w:w w:val="110"/>
        </w:rPr>
        <w:t>Tonga </w:t>
      </w:r>
      <w:r>
        <w:rPr>
          <w:color w:val="231F20"/>
          <w:w w:val="110"/>
        </w:rPr>
        <w:t>until it finally </w:t>
      </w:r>
      <w:r>
        <w:rPr>
          <w:color w:val="231F20"/>
          <w:spacing w:val="2"/>
          <w:w w:val="110"/>
        </w:rPr>
        <w:t>sets </w:t>
      </w:r>
      <w:r>
        <w:rPr>
          <w:color w:val="231F20"/>
          <w:spacing w:val="3"/>
          <w:w w:val="110"/>
        </w:rPr>
        <w:t>off </w:t>
      </w:r>
      <w:r>
        <w:rPr>
          <w:color w:val="231F20"/>
          <w:w w:val="110"/>
        </w:rPr>
        <w:t>the coast of the islands of Western Samoa. The central </w:t>
      </w:r>
      <w:r>
        <w:rPr>
          <w:color w:val="231F20"/>
          <w:spacing w:val="2"/>
          <w:w w:val="110"/>
        </w:rPr>
        <w:t>act </w:t>
      </w:r>
      <w:r>
        <w:rPr>
          <w:color w:val="231F20"/>
          <w:w w:val="110"/>
        </w:rPr>
        <w:t>of worship was a </w:t>
      </w:r>
      <w:r>
        <w:rPr>
          <w:color w:val="231F20"/>
          <w:spacing w:val="2"/>
          <w:w w:val="110"/>
        </w:rPr>
        <w:t>service </w:t>
      </w:r>
      <w:r>
        <w:rPr>
          <w:color w:val="231F20"/>
          <w:w w:val="110"/>
        </w:rPr>
        <w:t>using material prepared by Christian women in Paraguay. </w:t>
      </w:r>
      <w:r>
        <w:rPr>
          <w:color w:val="231F20"/>
          <w:spacing w:val="2"/>
          <w:w w:val="110"/>
        </w:rPr>
        <w:t>There </w:t>
      </w:r>
      <w:r>
        <w:rPr>
          <w:color w:val="231F20"/>
          <w:w w:val="110"/>
        </w:rPr>
        <w:t>were </w:t>
      </w:r>
      <w:r>
        <w:rPr>
          <w:color w:val="231F20"/>
          <w:spacing w:val="2"/>
          <w:w w:val="110"/>
        </w:rPr>
        <w:t>services </w:t>
      </w:r>
      <w:r>
        <w:rPr>
          <w:color w:val="231F20"/>
          <w:w w:val="110"/>
        </w:rPr>
        <w:t>in over </w:t>
      </w:r>
      <w:r>
        <w:rPr>
          <w:color w:val="231F20"/>
          <w:spacing w:val="-4"/>
          <w:w w:val="110"/>
        </w:rPr>
        <w:t>170 </w:t>
      </w:r>
      <w:r>
        <w:rPr>
          <w:color w:val="231F20"/>
          <w:w w:val="110"/>
        </w:rPr>
        <w:t>countries and islands worldwide; in the British Isles alone there  were over 6000 </w:t>
      </w:r>
      <w:r>
        <w:rPr>
          <w:color w:val="231F20"/>
          <w:spacing w:val="2"/>
          <w:w w:val="110"/>
        </w:rPr>
        <w:t>services </w:t>
      </w:r>
      <w:r>
        <w:rPr>
          <w:color w:val="231F20"/>
          <w:w w:val="110"/>
        </w:rPr>
        <w:t>in cities, towns and villages, bringing together women, men and young people </w:t>
      </w:r>
      <w:r>
        <w:rPr>
          <w:color w:val="231F20"/>
          <w:spacing w:val="2"/>
          <w:w w:val="110"/>
        </w:rPr>
        <w:t>from </w:t>
      </w:r>
      <w:r>
        <w:rPr>
          <w:color w:val="231F20"/>
          <w:w w:val="110"/>
        </w:rPr>
        <w:t>every background and a </w:t>
      </w:r>
      <w:r>
        <w:rPr>
          <w:color w:val="231F20"/>
          <w:spacing w:val="2"/>
          <w:w w:val="110"/>
        </w:rPr>
        <w:t>very </w:t>
      </w:r>
      <w:r>
        <w:rPr>
          <w:color w:val="231F20"/>
          <w:w w:val="110"/>
        </w:rPr>
        <w:t>wide range of Christian</w:t>
      </w:r>
      <w:r>
        <w:rPr>
          <w:color w:val="231F20"/>
          <w:spacing w:val="4"/>
          <w:w w:val="110"/>
        </w:rPr>
        <w:t> </w:t>
      </w:r>
      <w:r>
        <w:rPr>
          <w:color w:val="231F20"/>
          <w:w w:val="110"/>
        </w:rPr>
        <w:t>traditions.</w:t>
      </w:r>
    </w:p>
    <w:p>
      <w:pPr>
        <w:pStyle w:val="BodyText"/>
        <w:spacing w:before="11"/>
        <w:rPr>
          <w:sz w:val="20"/>
        </w:rPr>
      </w:pPr>
    </w:p>
    <w:p>
      <w:pPr>
        <w:pStyle w:val="ListParagraph"/>
        <w:numPr>
          <w:ilvl w:val="1"/>
          <w:numId w:val="239"/>
        </w:numPr>
        <w:tabs>
          <w:tab w:pos="1890" w:val="left" w:leader="none"/>
          <w:tab w:pos="1891" w:val="left" w:leader="none"/>
        </w:tabs>
        <w:spacing w:line="273" w:lineRule="auto" w:before="0" w:after="0"/>
        <w:ind w:left="1170" w:right="2926" w:firstLine="0"/>
        <w:jc w:val="left"/>
        <w:rPr>
          <w:sz w:val="18"/>
        </w:rPr>
      </w:pPr>
      <w:r>
        <w:rPr>
          <w:color w:val="231F20"/>
          <w:w w:val="110"/>
          <w:sz w:val="18"/>
        </w:rPr>
        <w:t>The theme “United Under God’s Tent” also </w:t>
      </w:r>
      <w:r>
        <w:rPr>
          <w:color w:val="231F20"/>
          <w:spacing w:val="2"/>
          <w:w w:val="110"/>
          <w:sz w:val="18"/>
        </w:rPr>
        <w:t>reflected </w:t>
      </w:r>
      <w:r>
        <w:rPr>
          <w:color w:val="231F20"/>
          <w:w w:val="110"/>
          <w:sz w:val="18"/>
        </w:rPr>
        <w:t>the  intention of the Women’s World Day of Prayer that people are united internationally and between denominations, not just on the day but in the extensive preparations that are </w:t>
      </w:r>
      <w:r>
        <w:rPr>
          <w:color w:val="231F20"/>
          <w:spacing w:val="2"/>
          <w:w w:val="110"/>
          <w:sz w:val="18"/>
        </w:rPr>
        <w:t>necessary </w:t>
      </w:r>
      <w:r>
        <w:rPr>
          <w:color w:val="231F20"/>
          <w:w w:val="110"/>
          <w:sz w:val="18"/>
        </w:rPr>
        <w:t>beforehand. The motto  of the WWDP </w:t>
      </w:r>
      <w:r>
        <w:rPr>
          <w:i/>
          <w:color w:val="231F20"/>
          <w:w w:val="110"/>
          <w:sz w:val="18"/>
        </w:rPr>
        <w:t>‘Informed </w:t>
      </w:r>
      <w:r>
        <w:rPr>
          <w:i/>
          <w:color w:val="231F20"/>
          <w:spacing w:val="-3"/>
          <w:w w:val="110"/>
          <w:sz w:val="18"/>
        </w:rPr>
        <w:t>Prayer, </w:t>
      </w:r>
      <w:r>
        <w:rPr>
          <w:i/>
          <w:color w:val="231F20"/>
          <w:w w:val="110"/>
          <w:sz w:val="18"/>
        </w:rPr>
        <w:t>Prayerful Action’ </w:t>
      </w:r>
      <w:r>
        <w:rPr>
          <w:color w:val="231F20"/>
          <w:w w:val="110"/>
          <w:sz w:val="18"/>
        </w:rPr>
        <w:t>encourages us to have a continuing relationship in prayer and </w:t>
      </w:r>
      <w:r>
        <w:rPr>
          <w:color w:val="231F20"/>
          <w:spacing w:val="2"/>
          <w:w w:val="110"/>
          <w:sz w:val="18"/>
        </w:rPr>
        <w:t>service </w:t>
      </w:r>
      <w:r>
        <w:rPr>
          <w:color w:val="231F20"/>
          <w:w w:val="110"/>
          <w:sz w:val="18"/>
        </w:rPr>
        <w:t>with our </w:t>
      </w:r>
      <w:r>
        <w:rPr>
          <w:color w:val="231F20"/>
          <w:spacing w:val="2"/>
          <w:w w:val="110"/>
          <w:sz w:val="18"/>
        </w:rPr>
        <w:t>sisters </w:t>
      </w:r>
      <w:r>
        <w:rPr>
          <w:color w:val="231F20"/>
          <w:w w:val="110"/>
          <w:sz w:val="18"/>
        </w:rPr>
        <w:t>in many countries and in our own</w:t>
      </w:r>
      <w:r>
        <w:rPr>
          <w:color w:val="231F20"/>
          <w:spacing w:val="10"/>
          <w:w w:val="110"/>
          <w:sz w:val="18"/>
        </w:rPr>
        <w:t> </w:t>
      </w:r>
      <w:r>
        <w:rPr>
          <w:color w:val="231F20"/>
          <w:w w:val="110"/>
          <w:sz w:val="18"/>
        </w:rPr>
        <w:t>neighbourhoods.</w:t>
      </w:r>
    </w:p>
    <w:p>
      <w:pPr>
        <w:pStyle w:val="BodyText"/>
        <w:spacing w:before="11"/>
        <w:rPr>
          <w:sz w:val="20"/>
        </w:rPr>
      </w:pPr>
    </w:p>
    <w:p>
      <w:pPr>
        <w:pStyle w:val="ListParagraph"/>
        <w:numPr>
          <w:ilvl w:val="1"/>
          <w:numId w:val="239"/>
        </w:numPr>
        <w:tabs>
          <w:tab w:pos="1890" w:val="left" w:leader="none"/>
          <w:tab w:pos="1891" w:val="left" w:leader="none"/>
        </w:tabs>
        <w:spacing w:line="273" w:lineRule="auto" w:before="0" w:after="0"/>
        <w:ind w:left="1170" w:right="2872" w:firstLine="0"/>
        <w:jc w:val="left"/>
        <w:rPr>
          <w:sz w:val="18"/>
        </w:rPr>
      </w:pPr>
      <w:r>
        <w:rPr>
          <w:color w:val="231F20"/>
          <w:w w:val="110"/>
          <w:sz w:val="18"/>
        </w:rPr>
        <w:t>Paraguay is a landlocked </w:t>
      </w:r>
      <w:r>
        <w:rPr>
          <w:color w:val="231F20"/>
          <w:spacing w:val="2"/>
          <w:w w:val="110"/>
          <w:sz w:val="18"/>
        </w:rPr>
        <w:t>country </w:t>
      </w:r>
      <w:r>
        <w:rPr>
          <w:color w:val="231F20"/>
          <w:w w:val="110"/>
          <w:sz w:val="18"/>
        </w:rPr>
        <w:t>in the </w:t>
      </w:r>
      <w:r>
        <w:rPr>
          <w:color w:val="231F20"/>
          <w:spacing w:val="2"/>
          <w:w w:val="110"/>
          <w:sz w:val="18"/>
        </w:rPr>
        <w:t>heart </w:t>
      </w:r>
      <w:r>
        <w:rPr>
          <w:color w:val="231F20"/>
          <w:w w:val="110"/>
          <w:sz w:val="18"/>
        </w:rPr>
        <w:t>of South America, </w:t>
      </w:r>
      <w:r>
        <w:rPr>
          <w:color w:val="231F20"/>
          <w:spacing w:val="2"/>
          <w:w w:val="110"/>
          <w:sz w:val="18"/>
        </w:rPr>
        <w:t>bordered </w:t>
      </w:r>
      <w:r>
        <w:rPr>
          <w:color w:val="231F20"/>
          <w:w w:val="110"/>
          <w:sz w:val="18"/>
        </w:rPr>
        <w:t>by Brazil, Argentina and Bolivia. It has had a turbulent </w:t>
      </w:r>
      <w:r>
        <w:rPr>
          <w:color w:val="231F20"/>
          <w:spacing w:val="2"/>
          <w:w w:val="110"/>
          <w:sz w:val="18"/>
        </w:rPr>
        <w:t>history </w:t>
      </w:r>
      <w:r>
        <w:rPr>
          <w:color w:val="231F20"/>
          <w:w w:val="110"/>
          <w:sz w:val="18"/>
        </w:rPr>
        <w:t>with two major wars caused by land and border issues. In the first </w:t>
      </w:r>
      <w:r>
        <w:rPr>
          <w:color w:val="231F20"/>
          <w:spacing w:val="-5"/>
          <w:w w:val="110"/>
          <w:sz w:val="18"/>
        </w:rPr>
        <w:t>(1865) </w:t>
      </w:r>
      <w:r>
        <w:rPr>
          <w:color w:val="231F20"/>
          <w:w w:val="110"/>
          <w:sz w:val="18"/>
        </w:rPr>
        <w:t>the </w:t>
      </w:r>
      <w:r>
        <w:rPr>
          <w:color w:val="231F20"/>
          <w:spacing w:val="2"/>
          <w:w w:val="110"/>
          <w:sz w:val="18"/>
        </w:rPr>
        <w:t>country </w:t>
      </w:r>
      <w:r>
        <w:rPr>
          <w:color w:val="231F20"/>
          <w:w w:val="110"/>
          <w:sz w:val="18"/>
        </w:rPr>
        <w:t>lost 55,000 square miles of </w:t>
      </w:r>
      <w:r>
        <w:rPr>
          <w:color w:val="231F20"/>
          <w:spacing w:val="2"/>
          <w:w w:val="110"/>
          <w:sz w:val="18"/>
        </w:rPr>
        <w:t>territory </w:t>
      </w:r>
      <w:r>
        <w:rPr>
          <w:color w:val="231F20"/>
          <w:w w:val="110"/>
          <w:sz w:val="18"/>
        </w:rPr>
        <w:t>and 80%</w:t>
      </w:r>
      <w:r>
        <w:rPr>
          <w:color w:val="231F20"/>
          <w:spacing w:val="66"/>
          <w:w w:val="110"/>
          <w:sz w:val="18"/>
        </w:rPr>
        <w:t> </w:t>
      </w:r>
      <w:r>
        <w:rPr>
          <w:color w:val="231F20"/>
          <w:w w:val="110"/>
          <w:sz w:val="18"/>
        </w:rPr>
        <w:t>of</w:t>
      </w:r>
    </w:p>
    <w:p>
      <w:pPr>
        <w:pStyle w:val="BodyText"/>
        <w:spacing w:line="273" w:lineRule="auto" w:before="3"/>
        <w:ind w:left="1170" w:right="2400"/>
      </w:pPr>
      <w:r>
        <w:rPr>
          <w:color w:val="231F20"/>
          <w:w w:val="110"/>
        </w:rPr>
        <w:t>the male population died, halving the population and almost completely destroying Paraguay. Successive dictatorships ruled the country until</w:t>
      </w:r>
    </w:p>
    <w:p>
      <w:pPr>
        <w:pStyle w:val="BodyText"/>
        <w:spacing w:line="273" w:lineRule="auto" w:before="1"/>
        <w:ind w:left="1170" w:right="2995"/>
      </w:pPr>
      <w:r>
        <w:rPr>
          <w:color w:val="231F20"/>
          <w:w w:val="110"/>
        </w:rPr>
        <w:t>a coup in 1989 brought a return to democracy, though </w:t>
      </w:r>
      <w:r>
        <w:rPr>
          <w:color w:val="231F20"/>
          <w:spacing w:val="2"/>
          <w:w w:val="110"/>
        </w:rPr>
        <w:t>recovery </w:t>
      </w:r>
      <w:r>
        <w:rPr>
          <w:color w:val="231F20"/>
          <w:w w:val="110"/>
        </w:rPr>
        <w:t>has been slow and corruption is rife. </w:t>
      </w:r>
      <w:r>
        <w:rPr>
          <w:color w:val="231F20"/>
          <w:spacing w:val="2"/>
          <w:w w:val="110"/>
        </w:rPr>
        <w:t>There </w:t>
      </w:r>
      <w:r>
        <w:rPr>
          <w:color w:val="231F20"/>
          <w:w w:val="110"/>
        </w:rPr>
        <w:t>is a large gap between the </w:t>
      </w:r>
      <w:r>
        <w:rPr>
          <w:color w:val="231F20"/>
          <w:spacing w:val="2"/>
          <w:w w:val="110"/>
        </w:rPr>
        <w:t>rich </w:t>
      </w:r>
      <w:r>
        <w:rPr>
          <w:color w:val="231F20"/>
          <w:w w:val="110"/>
        </w:rPr>
        <w:t>and the poor with </w:t>
      </w:r>
      <w:r>
        <w:rPr>
          <w:color w:val="231F20"/>
          <w:spacing w:val="-3"/>
          <w:w w:val="110"/>
        </w:rPr>
        <w:t>10% </w:t>
      </w:r>
      <w:r>
        <w:rPr>
          <w:color w:val="231F20"/>
          <w:w w:val="110"/>
        </w:rPr>
        <w:t>of the population owning 60% of the land and receiving 40% of the income. Paraguay is one of the </w:t>
      </w:r>
      <w:r>
        <w:rPr>
          <w:color w:val="231F20"/>
          <w:spacing w:val="2"/>
          <w:w w:val="110"/>
        </w:rPr>
        <w:t>poorest </w:t>
      </w:r>
      <w:r>
        <w:rPr>
          <w:color w:val="231F20"/>
          <w:w w:val="110"/>
        </w:rPr>
        <w:t>countries: one in four is poor and the </w:t>
      </w:r>
      <w:r>
        <w:rPr>
          <w:color w:val="231F20"/>
          <w:spacing w:val="2"/>
          <w:w w:val="110"/>
        </w:rPr>
        <w:t>poorest </w:t>
      </w:r>
      <w:r>
        <w:rPr>
          <w:color w:val="231F20"/>
          <w:w w:val="110"/>
        </w:rPr>
        <w:t>40% do not have enough to</w:t>
      </w:r>
      <w:r>
        <w:rPr>
          <w:color w:val="231F20"/>
          <w:spacing w:val="65"/>
          <w:w w:val="110"/>
        </w:rPr>
        <w:t> </w:t>
      </w:r>
      <w:r>
        <w:rPr>
          <w:color w:val="231F20"/>
          <w:w w:val="110"/>
        </w:rPr>
        <w:t>eat.</w:t>
      </w:r>
    </w:p>
    <w:p>
      <w:pPr>
        <w:pStyle w:val="BodyText"/>
        <w:spacing w:line="273" w:lineRule="auto" w:before="3"/>
        <w:ind w:left="1170" w:right="3103"/>
      </w:pPr>
      <w:r>
        <w:rPr>
          <w:color w:val="231F20"/>
          <w:w w:val="110"/>
        </w:rPr>
        <w:t>The most impoverished are the indigenous population, the Guaraní. </w:t>
      </w:r>
      <w:r>
        <w:rPr>
          <w:color w:val="231F20"/>
          <w:spacing w:val="2"/>
          <w:w w:val="110"/>
        </w:rPr>
        <w:t>Deforestation </w:t>
      </w:r>
      <w:r>
        <w:rPr>
          <w:color w:val="231F20"/>
          <w:w w:val="110"/>
        </w:rPr>
        <w:t>and the </w:t>
      </w:r>
      <w:r>
        <w:rPr>
          <w:color w:val="231F20"/>
          <w:spacing w:val="2"/>
          <w:w w:val="110"/>
        </w:rPr>
        <w:t>forced </w:t>
      </w:r>
      <w:r>
        <w:rPr>
          <w:color w:val="231F20"/>
          <w:w w:val="110"/>
        </w:rPr>
        <w:t>removal of the Guaraní </w:t>
      </w:r>
      <w:r>
        <w:rPr>
          <w:color w:val="231F20"/>
          <w:spacing w:val="2"/>
          <w:w w:val="110"/>
        </w:rPr>
        <w:t>tribes from </w:t>
      </w:r>
      <w:r>
        <w:rPr>
          <w:color w:val="231F20"/>
          <w:w w:val="110"/>
        </w:rPr>
        <w:t>their land by powerful companies have created major problems. </w:t>
      </w:r>
      <w:r>
        <w:rPr>
          <w:color w:val="231F20"/>
          <w:spacing w:val="-4"/>
          <w:w w:val="110"/>
        </w:rPr>
        <w:t>Yet </w:t>
      </w:r>
      <w:r>
        <w:rPr>
          <w:color w:val="231F20"/>
          <w:w w:val="110"/>
        </w:rPr>
        <w:t>despite its many problems there are signs of hope; the population is young  and full of enthusiasm and zest for life. The majority of</w:t>
      </w:r>
      <w:r>
        <w:rPr>
          <w:color w:val="231F20"/>
          <w:spacing w:val="1"/>
          <w:w w:val="110"/>
        </w:rPr>
        <w:t> </w:t>
      </w:r>
      <w:r>
        <w:rPr>
          <w:color w:val="231F20"/>
          <w:w w:val="110"/>
        </w:rPr>
        <w:t>churches</w:t>
      </w:r>
    </w:p>
    <w:p>
      <w:pPr>
        <w:pStyle w:val="BodyText"/>
        <w:spacing w:line="273" w:lineRule="auto" w:before="4"/>
        <w:ind w:left="1170" w:right="2995"/>
      </w:pPr>
      <w:r>
        <w:rPr>
          <w:color w:val="231F20"/>
          <w:w w:val="110"/>
        </w:rPr>
        <w:t>are involved in volunteer work with social projects to improve the quality of life for the people. The WWDP has been involved in funding programmes among women and children.</w:t>
      </w:r>
    </w:p>
    <w:p>
      <w:pPr>
        <w:pStyle w:val="BodyText"/>
        <w:spacing w:before="8"/>
        <w:rPr>
          <w:sz w:val="20"/>
        </w:rPr>
      </w:pPr>
    </w:p>
    <w:p>
      <w:pPr>
        <w:pStyle w:val="ListParagraph"/>
        <w:numPr>
          <w:ilvl w:val="1"/>
          <w:numId w:val="239"/>
        </w:numPr>
        <w:tabs>
          <w:tab w:pos="1890" w:val="left" w:leader="none"/>
          <w:tab w:pos="1891" w:val="left" w:leader="none"/>
        </w:tabs>
        <w:spacing w:line="273" w:lineRule="auto" w:before="0" w:after="0"/>
        <w:ind w:left="1170" w:right="2864" w:firstLine="0"/>
        <w:jc w:val="left"/>
        <w:rPr>
          <w:sz w:val="18"/>
        </w:rPr>
      </w:pPr>
      <w:r>
        <w:rPr>
          <w:color w:val="231F20"/>
          <w:spacing w:val="2"/>
          <w:w w:val="110"/>
          <w:sz w:val="18"/>
        </w:rPr>
        <w:t>Against </w:t>
      </w:r>
      <w:r>
        <w:rPr>
          <w:color w:val="231F20"/>
          <w:w w:val="110"/>
          <w:sz w:val="18"/>
        </w:rPr>
        <w:t>this </w:t>
      </w:r>
      <w:r>
        <w:rPr>
          <w:color w:val="231F20"/>
          <w:spacing w:val="2"/>
          <w:w w:val="110"/>
          <w:sz w:val="18"/>
        </w:rPr>
        <w:t>background </w:t>
      </w:r>
      <w:r>
        <w:rPr>
          <w:color w:val="231F20"/>
          <w:spacing w:val="3"/>
          <w:w w:val="110"/>
          <w:sz w:val="18"/>
        </w:rPr>
        <w:t>Christian </w:t>
      </w:r>
      <w:r>
        <w:rPr>
          <w:color w:val="231F20"/>
          <w:spacing w:val="2"/>
          <w:w w:val="110"/>
          <w:sz w:val="18"/>
        </w:rPr>
        <w:t>women </w:t>
      </w:r>
      <w:r>
        <w:rPr>
          <w:color w:val="231F20"/>
          <w:w w:val="110"/>
          <w:sz w:val="18"/>
        </w:rPr>
        <w:t>of Paraguay had </w:t>
      </w:r>
      <w:r>
        <w:rPr>
          <w:color w:val="231F20"/>
          <w:spacing w:val="3"/>
          <w:w w:val="110"/>
          <w:sz w:val="18"/>
        </w:rPr>
        <w:t>written </w:t>
      </w:r>
      <w:r>
        <w:rPr>
          <w:color w:val="231F20"/>
          <w:spacing w:val="2"/>
          <w:w w:val="110"/>
          <w:sz w:val="18"/>
        </w:rPr>
        <w:t>the </w:t>
      </w:r>
      <w:r>
        <w:rPr>
          <w:color w:val="231F20"/>
          <w:spacing w:val="4"/>
          <w:w w:val="110"/>
          <w:sz w:val="18"/>
        </w:rPr>
        <w:t>service </w:t>
      </w:r>
      <w:r>
        <w:rPr>
          <w:color w:val="231F20"/>
          <w:spacing w:val="2"/>
          <w:w w:val="110"/>
          <w:sz w:val="18"/>
        </w:rPr>
        <w:t>using </w:t>
      </w:r>
      <w:r>
        <w:rPr>
          <w:color w:val="231F20"/>
          <w:spacing w:val="3"/>
          <w:w w:val="110"/>
          <w:sz w:val="18"/>
        </w:rPr>
        <w:t>two passages </w:t>
      </w:r>
      <w:r>
        <w:rPr>
          <w:color w:val="231F20"/>
          <w:w w:val="110"/>
          <w:sz w:val="18"/>
        </w:rPr>
        <w:t>of </w:t>
      </w:r>
      <w:r>
        <w:rPr>
          <w:color w:val="231F20"/>
          <w:spacing w:val="3"/>
          <w:w w:val="110"/>
          <w:sz w:val="18"/>
        </w:rPr>
        <w:t>Scripture, </w:t>
      </w:r>
      <w:r>
        <w:rPr>
          <w:color w:val="231F20"/>
          <w:spacing w:val="2"/>
          <w:w w:val="110"/>
          <w:sz w:val="18"/>
        </w:rPr>
        <w:t>namely </w:t>
      </w:r>
      <w:r>
        <w:rPr>
          <w:color w:val="231F20"/>
          <w:spacing w:val="3"/>
          <w:w w:val="110"/>
          <w:sz w:val="18"/>
        </w:rPr>
        <w:t>Genesis </w:t>
      </w:r>
      <w:r>
        <w:rPr>
          <w:color w:val="231F20"/>
          <w:spacing w:val="-3"/>
          <w:w w:val="110"/>
          <w:sz w:val="18"/>
        </w:rPr>
        <w:t>18: </w:t>
      </w:r>
      <w:r>
        <w:rPr>
          <w:color w:val="231F20"/>
          <w:spacing w:val="-9"/>
          <w:w w:val="110"/>
          <w:sz w:val="18"/>
        </w:rPr>
        <w:t>1-15 </w:t>
      </w:r>
      <w:r>
        <w:rPr>
          <w:color w:val="231F20"/>
          <w:w w:val="110"/>
          <w:sz w:val="18"/>
        </w:rPr>
        <w:t>and </w:t>
      </w:r>
      <w:r>
        <w:rPr>
          <w:color w:val="231F20"/>
          <w:spacing w:val="2"/>
          <w:w w:val="110"/>
          <w:sz w:val="18"/>
        </w:rPr>
        <w:t>Ephesians </w:t>
      </w:r>
      <w:r>
        <w:rPr>
          <w:color w:val="231F20"/>
          <w:spacing w:val="-5"/>
          <w:w w:val="110"/>
          <w:sz w:val="18"/>
        </w:rPr>
        <w:t>4: </w:t>
      </w:r>
      <w:r>
        <w:rPr>
          <w:color w:val="231F20"/>
          <w:spacing w:val="-8"/>
          <w:w w:val="110"/>
          <w:sz w:val="18"/>
        </w:rPr>
        <w:t>1-16.</w:t>
      </w:r>
      <w:r>
        <w:rPr>
          <w:color w:val="231F20"/>
          <w:spacing w:val="53"/>
          <w:w w:val="110"/>
          <w:sz w:val="18"/>
        </w:rPr>
        <w:t> </w:t>
      </w:r>
      <w:r>
        <w:rPr>
          <w:color w:val="231F20"/>
          <w:spacing w:val="3"/>
          <w:w w:val="110"/>
          <w:sz w:val="18"/>
        </w:rPr>
        <w:t>The Lord </w:t>
      </w:r>
      <w:r>
        <w:rPr>
          <w:color w:val="231F20"/>
          <w:spacing w:val="2"/>
          <w:w w:val="110"/>
          <w:sz w:val="18"/>
        </w:rPr>
        <w:t>renews </w:t>
      </w:r>
      <w:r>
        <w:rPr>
          <w:color w:val="231F20"/>
          <w:w w:val="110"/>
          <w:sz w:val="18"/>
        </w:rPr>
        <w:t>his </w:t>
      </w:r>
      <w:r>
        <w:rPr>
          <w:color w:val="231F20"/>
          <w:spacing w:val="3"/>
          <w:w w:val="110"/>
          <w:sz w:val="18"/>
        </w:rPr>
        <w:t>promise </w:t>
      </w:r>
      <w:r>
        <w:rPr>
          <w:color w:val="231F20"/>
          <w:w w:val="110"/>
          <w:sz w:val="18"/>
        </w:rPr>
        <w:t>that </w:t>
      </w:r>
      <w:r>
        <w:rPr>
          <w:color w:val="231F20"/>
          <w:spacing w:val="2"/>
          <w:w w:val="110"/>
          <w:sz w:val="18"/>
        </w:rPr>
        <w:t>Sarah </w:t>
      </w:r>
      <w:r>
        <w:rPr>
          <w:color w:val="231F20"/>
          <w:w w:val="110"/>
          <w:sz w:val="18"/>
        </w:rPr>
        <w:t>will have a son, but </w:t>
      </w:r>
      <w:r>
        <w:rPr>
          <w:color w:val="231F20"/>
          <w:spacing w:val="2"/>
          <w:w w:val="110"/>
          <w:sz w:val="18"/>
        </w:rPr>
        <w:t>her laughter </w:t>
      </w:r>
      <w:r>
        <w:rPr>
          <w:color w:val="231F20"/>
          <w:w w:val="110"/>
          <w:sz w:val="18"/>
        </w:rPr>
        <w:t>in </w:t>
      </w:r>
      <w:r>
        <w:rPr>
          <w:color w:val="231F20"/>
          <w:spacing w:val="3"/>
          <w:w w:val="110"/>
          <w:sz w:val="18"/>
        </w:rPr>
        <w:t>disbelief prompts </w:t>
      </w:r>
      <w:r>
        <w:rPr>
          <w:color w:val="231F20"/>
          <w:spacing w:val="2"/>
          <w:w w:val="110"/>
          <w:sz w:val="18"/>
        </w:rPr>
        <w:t>the </w:t>
      </w:r>
      <w:r>
        <w:rPr>
          <w:color w:val="231F20"/>
          <w:spacing w:val="3"/>
          <w:w w:val="110"/>
          <w:sz w:val="18"/>
        </w:rPr>
        <w:t>crucial question </w:t>
      </w:r>
      <w:r>
        <w:rPr>
          <w:color w:val="231F20"/>
          <w:w w:val="110"/>
          <w:sz w:val="18"/>
        </w:rPr>
        <w:t>“Is </w:t>
      </w:r>
      <w:r>
        <w:rPr>
          <w:color w:val="231F20"/>
          <w:spacing w:val="2"/>
          <w:w w:val="110"/>
          <w:sz w:val="18"/>
        </w:rPr>
        <w:t>anything too hard for the </w:t>
      </w:r>
      <w:r>
        <w:rPr>
          <w:color w:val="231F20"/>
          <w:spacing w:val="3"/>
          <w:w w:val="110"/>
          <w:sz w:val="18"/>
        </w:rPr>
        <w:t>Lord?” </w:t>
      </w:r>
      <w:r>
        <w:rPr>
          <w:color w:val="231F20"/>
          <w:w w:val="110"/>
          <w:sz w:val="18"/>
        </w:rPr>
        <w:t>We </w:t>
      </w:r>
      <w:r>
        <w:rPr>
          <w:color w:val="231F20"/>
          <w:spacing w:val="4"/>
          <w:w w:val="110"/>
          <w:sz w:val="18"/>
        </w:rPr>
        <w:t>reflected </w:t>
      </w:r>
      <w:r>
        <w:rPr>
          <w:color w:val="231F20"/>
          <w:w w:val="110"/>
          <w:sz w:val="18"/>
        </w:rPr>
        <w:t>how we </w:t>
      </w:r>
      <w:r>
        <w:rPr>
          <w:color w:val="231F20"/>
          <w:spacing w:val="2"/>
          <w:w w:val="110"/>
          <w:sz w:val="18"/>
        </w:rPr>
        <w:t>could </w:t>
      </w:r>
      <w:r>
        <w:rPr>
          <w:color w:val="231F20"/>
          <w:w w:val="110"/>
          <w:sz w:val="18"/>
        </w:rPr>
        <w:t>live out our </w:t>
      </w:r>
      <w:r>
        <w:rPr>
          <w:color w:val="231F20"/>
          <w:spacing w:val="3"/>
          <w:w w:val="110"/>
          <w:sz w:val="18"/>
        </w:rPr>
        <w:t>special role where God </w:t>
      </w:r>
      <w:r>
        <w:rPr>
          <w:color w:val="231F20"/>
          <w:w w:val="110"/>
          <w:sz w:val="18"/>
        </w:rPr>
        <w:t>had </w:t>
      </w:r>
      <w:r>
        <w:rPr>
          <w:color w:val="231F20"/>
          <w:spacing w:val="3"/>
          <w:w w:val="110"/>
          <w:sz w:val="18"/>
        </w:rPr>
        <w:t>placed </w:t>
      </w:r>
      <w:r>
        <w:rPr>
          <w:color w:val="231F20"/>
          <w:w w:val="110"/>
          <w:sz w:val="18"/>
        </w:rPr>
        <w:t>us and prayed </w:t>
      </w:r>
      <w:r>
        <w:rPr>
          <w:color w:val="231F20"/>
          <w:spacing w:val="2"/>
          <w:w w:val="110"/>
          <w:sz w:val="18"/>
        </w:rPr>
        <w:t>for</w:t>
      </w:r>
      <w:r>
        <w:rPr>
          <w:color w:val="231F20"/>
          <w:spacing w:val="73"/>
          <w:w w:val="110"/>
          <w:sz w:val="18"/>
        </w:rPr>
        <w:t> </w:t>
      </w:r>
      <w:r>
        <w:rPr>
          <w:color w:val="231F20"/>
          <w:spacing w:val="3"/>
          <w:w w:val="110"/>
          <w:sz w:val="18"/>
        </w:rPr>
        <w:t>forgiveness </w:t>
      </w:r>
      <w:r>
        <w:rPr>
          <w:color w:val="231F20"/>
          <w:spacing w:val="2"/>
          <w:w w:val="110"/>
          <w:sz w:val="18"/>
        </w:rPr>
        <w:t>for </w:t>
      </w:r>
      <w:r>
        <w:rPr>
          <w:color w:val="231F20"/>
          <w:spacing w:val="3"/>
          <w:w w:val="110"/>
          <w:sz w:val="18"/>
        </w:rPr>
        <w:t>setting </w:t>
      </w:r>
      <w:r>
        <w:rPr>
          <w:color w:val="231F20"/>
          <w:w w:val="110"/>
          <w:sz w:val="18"/>
        </w:rPr>
        <w:t>our own </w:t>
      </w:r>
      <w:r>
        <w:rPr>
          <w:color w:val="231F20"/>
          <w:spacing w:val="3"/>
          <w:w w:val="110"/>
          <w:sz w:val="18"/>
        </w:rPr>
        <w:t>priorities. </w:t>
      </w:r>
      <w:r>
        <w:rPr>
          <w:color w:val="231F20"/>
          <w:w w:val="110"/>
          <w:sz w:val="18"/>
        </w:rPr>
        <w:t>In </w:t>
      </w:r>
      <w:r>
        <w:rPr>
          <w:color w:val="231F20"/>
          <w:spacing w:val="2"/>
          <w:w w:val="110"/>
          <w:sz w:val="18"/>
        </w:rPr>
        <w:t>Ephesians </w:t>
      </w:r>
      <w:r>
        <w:rPr>
          <w:color w:val="231F20"/>
          <w:w w:val="110"/>
          <w:sz w:val="18"/>
        </w:rPr>
        <w:t>Paul </w:t>
      </w:r>
      <w:r>
        <w:rPr>
          <w:color w:val="231F20"/>
          <w:spacing w:val="4"/>
          <w:w w:val="110"/>
          <w:sz w:val="18"/>
        </w:rPr>
        <w:t>exhorts  </w:t>
      </w:r>
      <w:r>
        <w:rPr>
          <w:color w:val="231F20"/>
          <w:spacing w:val="2"/>
          <w:w w:val="110"/>
          <w:sz w:val="18"/>
        </w:rPr>
        <w:t>the </w:t>
      </w:r>
      <w:r>
        <w:rPr>
          <w:color w:val="231F20"/>
          <w:spacing w:val="3"/>
          <w:w w:val="110"/>
          <w:sz w:val="18"/>
        </w:rPr>
        <w:t>Christian believers </w:t>
      </w:r>
      <w:r>
        <w:rPr>
          <w:color w:val="231F20"/>
          <w:w w:val="110"/>
          <w:sz w:val="18"/>
        </w:rPr>
        <w:t>to “make </w:t>
      </w:r>
      <w:r>
        <w:rPr>
          <w:color w:val="231F20"/>
          <w:spacing w:val="3"/>
          <w:w w:val="110"/>
          <w:sz w:val="18"/>
        </w:rPr>
        <w:t>every </w:t>
      </w:r>
      <w:r>
        <w:rPr>
          <w:color w:val="231F20"/>
          <w:spacing w:val="5"/>
          <w:w w:val="110"/>
          <w:sz w:val="18"/>
        </w:rPr>
        <w:t>effort </w:t>
      </w:r>
      <w:r>
        <w:rPr>
          <w:color w:val="231F20"/>
          <w:w w:val="110"/>
          <w:sz w:val="18"/>
        </w:rPr>
        <w:t>to keep </w:t>
      </w:r>
      <w:r>
        <w:rPr>
          <w:color w:val="231F20"/>
          <w:spacing w:val="2"/>
          <w:w w:val="110"/>
          <w:sz w:val="18"/>
        </w:rPr>
        <w:t>the unity </w:t>
      </w:r>
      <w:r>
        <w:rPr>
          <w:color w:val="231F20"/>
          <w:w w:val="110"/>
          <w:sz w:val="18"/>
        </w:rPr>
        <w:t>of </w:t>
      </w:r>
      <w:r>
        <w:rPr>
          <w:color w:val="231F20"/>
          <w:spacing w:val="2"/>
          <w:w w:val="110"/>
          <w:sz w:val="18"/>
        </w:rPr>
        <w:t>the Spirit through the bond </w:t>
      </w:r>
      <w:r>
        <w:rPr>
          <w:color w:val="231F20"/>
          <w:w w:val="110"/>
          <w:sz w:val="18"/>
        </w:rPr>
        <w:t>of peace”. We </w:t>
      </w:r>
      <w:r>
        <w:rPr>
          <w:color w:val="231F20"/>
          <w:spacing w:val="2"/>
          <w:w w:val="110"/>
          <w:sz w:val="18"/>
        </w:rPr>
        <w:t>were </w:t>
      </w:r>
      <w:r>
        <w:rPr>
          <w:color w:val="231F20"/>
          <w:spacing w:val="3"/>
          <w:w w:val="110"/>
          <w:sz w:val="18"/>
        </w:rPr>
        <w:t>reminded </w:t>
      </w:r>
      <w:r>
        <w:rPr>
          <w:color w:val="231F20"/>
          <w:w w:val="110"/>
          <w:sz w:val="18"/>
        </w:rPr>
        <w:t>that love is </w:t>
      </w:r>
      <w:r>
        <w:rPr>
          <w:color w:val="231F20"/>
          <w:spacing w:val="2"/>
          <w:w w:val="110"/>
          <w:sz w:val="18"/>
        </w:rPr>
        <w:t>the </w:t>
      </w:r>
      <w:r>
        <w:rPr>
          <w:color w:val="231F20"/>
          <w:spacing w:val="5"/>
          <w:w w:val="110"/>
          <w:sz w:val="18"/>
        </w:rPr>
        <w:t>perfect </w:t>
      </w:r>
      <w:r>
        <w:rPr>
          <w:color w:val="231F20"/>
          <w:w w:val="110"/>
          <w:sz w:val="18"/>
        </w:rPr>
        <w:t>link that </w:t>
      </w:r>
      <w:r>
        <w:rPr>
          <w:color w:val="231F20"/>
          <w:spacing w:val="2"/>
          <w:w w:val="110"/>
          <w:sz w:val="18"/>
        </w:rPr>
        <w:t>holds </w:t>
      </w:r>
      <w:r>
        <w:rPr>
          <w:color w:val="231F20"/>
          <w:spacing w:val="3"/>
          <w:w w:val="110"/>
          <w:sz w:val="18"/>
        </w:rPr>
        <w:t>together </w:t>
      </w:r>
      <w:r>
        <w:rPr>
          <w:color w:val="231F20"/>
          <w:spacing w:val="2"/>
          <w:w w:val="110"/>
          <w:sz w:val="18"/>
        </w:rPr>
        <w:t>the </w:t>
      </w:r>
      <w:r>
        <w:rPr>
          <w:color w:val="231F20"/>
          <w:spacing w:val="3"/>
          <w:w w:val="110"/>
          <w:sz w:val="18"/>
        </w:rPr>
        <w:t>body </w:t>
      </w:r>
      <w:r>
        <w:rPr>
          <w:color w:val="231F20"/>
          <w:w w:val="110"/>
          <w:sz w:val="18"/>
        </w:rPr>
        <w:t>of </w:t>
      </w:r>
      <w:r>
        <w:rPr>
          <w:color w:val="231F20"/>
          <w:spacing w:val="3"/>
          <w:w w:val="110"/>
          <w:sz w:val="18"/>
        </w:rPr>
        <w:t>Christ, </w:t>
      </w:r>
      <w:r>
        <w:rPr>
          <w:color w:val="231F20"/>
          <w:w w:val="110"/>
          <w:sz w:val="18"/>
        </w:rPr>
        <w:t>and that </w:t>
      </w:r>
      <w:r>
        <w:rPr>
          <w:color w:val="231F20"/>
          <w:spacing w:val="2"/>
          <w:w w:val="110"/>
          <w:sz w:val="18"/>
        </w:rPr>
        <w:t>the </w:t>
      </w:r>
      <w:r>
        <w:rPr>
          <w:color w:val="231F20"/>
          <w:spacing w:val="4"/>
          <w:w w:val="110"/>
          <w:sz w:val="18"/>
        </w:rPr>
        <w:t>gifts </w:t>
      </w:r>
      <w:r>
        <w:rPr>
          <w:color w:val="231F20"/>
          <w:w w:val="110"/>
          <w:sz w:val="18"/>
        </w:rPr>
        <w:t>that we had </w:t>
      </w:r>
      <w:r>
        <w:rPr>
          <w:color w:val="231F20"/>
          <w:spacing w:val="3"/>
          <w:w w:val="110"/>
          <w:sz w:val="18"/>
        </w:rPr>
        <w:t>received from God </w:t>
      </w:r>
      <w:r>
        <w:rPr>
          <w:color w:val="231F20"/>
          <w:spacing w:val="2"/>
          <w:w w:val="110"/>
          <w:sz w:val="18"/>
        </w:rPr>
        <w:t>were </w:t>
      </w:r>
      <w:r>
        <w:rPr>
          <w:color w:val="231F20"/>
          <w:w w:val="110"/>
          <w:sz w:val="18"/>
        </w:rPr>
        <w:t>given that we might </w:t>
      </w:r>
      <w:r>
        <w:rPr>
          <w:color w:val="231F20"/>
          <w:spacing w:val="4"/>
          <w:w w:val="110"/>
          <w:sz w:val="18"/>
        </w:rPr>
        <w:t>serve </w:t>
      </w:r>
      <w:r>
        <w:rPr>
          <w:color w:val="231F20"/>
          <w:w w:val="110"/>
          <w:sz w:val="18"/>
        </w:rPr>
        <w:t>one </w:t>
      </w:r>
      <w:r>
        <w:rPr>
          <w:color w:val="231F20"/>
          <w:spacing w:val="2"/>
          <w:w w:val="110"/>
          <w:sz w:val="18"/>
        </w:rPr>
        <w:t>another </w:t>
      </w:r>
      <w:r>
        <w:rPr>
          <w:color w:val="231F20"/>
          <w:w w:val="110"/>
          <w:sz w:val="18"/>
        </w:rPr>
        <w:t>in </w:t>
      </w:r>
      <w:r>
        <w:rPr>
          <w:color w:val="231F20"/>
          <w:spacing w:val="2"/>
          <w:w w:val="110"/>
          <w:sz w:val="18"/>
        </w:rPr>
        <w:t>the </w:t>
      </w:r>
      <w:r>
        <w:rPr>
          <w:color w:val="231F20"/>
          <w:spacing w:val="3"/>
          <w:w w:val="110"/>
          <w:sz w:val="18"/>
        </w:rPr>
        <w:t>church </w:t>
      </w:r>
      <w:r>
        <w:rPr>
          <w:color w:val="231F20"/>
          <w:spacing w:val="2"/>
          <w:w w:val="110"/>
          <w:sz w:val="18"/>
        </w:rPr>
        <w:t>community </w:t>
      </w:r>
      <w:r>
        <w:rPr>
          <w:color w:val="231F20"/>
          <w:w w:val="110"/>
          <w:sz w:val="18"/>
        </w:rPr>
        <w:t>and in </w:t>
      </w:r>
      <w:r>
        <w:rPr>
          <w:color w:val="231F20"/>
          <w:spacing w:val="2"/>
          <w:w w:val="110"/>
          <w:sz w:val="18"/>
        </w:rPr>
        <w:t>the world </w:t>
      </w:r>
      <w:r>
        <w:rPr>
          <w:color w:val="231F20"/>
          <w:spacing w:val="3"/>
          <w:w w:val="110"/>
          <w:sz w:val="18"/>
        </w:rPr>
        <w:t>where </w:t>
      </w:r>
      <w:r>
        <w:rPr>
          <w:color w:val="231F20"/>
          <w:w w:val="110"/>
          <w:sz w:val="18"/>
        </w:rPr>
        <w:t>we</w:t>
      </w:r>
      <w:r>
        <w:rPr>
          <w:color w:val="231F20"/>
          <w:spacing w:val="13"/>
          <w:w w:val="110"/>
          <w:sz w:val="18"/>
        </w:rPr>
        <w:t> </w:t>
      </w:r>
      <w:r>
        <w:rPr>
          <w:color w:val="231F20"/>
          <w:w w:val="110"/>
          <w:sz w:val="18"/>
        </w:rPr>
        <w:t>live</w:t>
      </w:r>
    </w:p>
    <w:p>
      <w:pPr>
        <w:pStyle w:val="BodyText"/>
        <w:spacing w:before="7"/>
        <w:ind w:left="1170"/>
      </w:pPr>
      <w:r>
        <w:rPr>
          <w:color w:val="231F20"/>
          <w:w w:val="110"/>
        </w:rPr>
        <w:t>and work. A new Paraguayan song reassured us that</w:t>
      </w:r>
    </w:p>
    <w:p>
      <w:pPr>
        <w:pStyle w:val="BodyText"/>
        <w:spacing w:line="273" w:lineRule="auto" w:before="32"/>
        <w:ind w:left="1850" w:right="2801"/>
      </w:pPr>
      <w:r>
        <w:rPr>
          <w:color w:val="231F20"/>
          <w:w w:val="110"/>
        </w:rPr>
        <w:t>“We’re united in Jesus, we’re united. Like a family, we’re united. We have one God, one Holy Lord.</w:t>
      </w:r>
    </w:p>
    <w:p>
      <w:pPr>
        <w:pStyle w:val="BodyText"/>
        <w:spacing w:line="273" w:lineRule="auto" w:before="1"/>
        <w:ind w:left="1851" w:right="2801"/>
      </w:pPr>
      <w:r>
        <w:rPr>
          <w:color w:val="231F20"/>
          <w:w w:val="110"/>
        </w:rPr>
        <w:t>We have one faith, only one Love. Just one baptism, one Holy Spirit, one Comforter sent from God above”.</w:t>
      </w:r>
    </w:p>
    <w:p>
      <w:pPr>
        <w:spacing w:after="0" w:line="273" w:lineRule="auto"/>
        <w:sectPr>
          <w:headerReference w:type="default" r:id="rId594"/>
          <w:footerReference w:type="default" r:id="rId595"/>
          <w:footerReference w:type="even" r:id="rId596"/>
          <w:pgSz w:w="11910" w:h="16840"/>
          <w:pgMar w:header="0" w:footer="544" w:top="1020" w:bottom="740" w:left="540" w:right="0"/>
          <w:pgNumType w:start="29"/>
        </w:sectPr>
      </w:pPr>
    </w:p>
    <w:p>
      <w:pPr>
        <w:spacing w:before="28"/>
        <w:ind w:left="6547" w:right="0" w:firstLine="0"/>
        <w:jc w:val="left"/>
        <w:rPr>
          <w:rFonts w:ascii="Eurostile Bold" w:hAnsi="Eurostile Bold"/>
          <w:b/>
          <w:sz w:val="28"/>
        </w:rPr>
      </w:pPr>
      <w:r>
        <w:rPr>
          <w:rFonts w:ascii="Eurostile Bold" w:hAnsi="Eurostile Bold"/>
          <w:b/>
          <w:color w:val="A7A9AC"/>
          <w:w w:val="95"/>
          <w:sz w:val="28"/>
        </w:rPr>
        <w:t>Woman’s World Day of Prayer</w:t>
      </w:r>
    </w:p>
    <w:p>
      <w:pPr>
        <w:pStyle w:val="BodyText"/>
        <w:spacing w:before="5"/>
        <w:rPr>
          <w:rFonts w:ascii="Eurostile Bold"/>
          <w:b/>
          <w:sz w:val="12"/>
        </w:rPr>
      </w:pPr>
    </w:p>
    <w:p>
      <w:pPr>
        <w:pStyle w:val="ListParagraph"/>
        <w:numPr>
          <w:ilvl w:val="1"/>
          <w:numId w:val="239"/>
        </w:numPr>
        <w:tabs>
          <w:tab w:pos="1313" w:val="left" w:leader="none"/>
          <w:tab w:pos="1314" w:val="left" w:leader="none"/>
        </w:tabs>
        <w:spacing w:line="273" w:lineRule="auto" w:before="100" w:after="0"/>
        <w:ind w:left="593" w:right="6669" w:firstLine="0"/>
        <w:jc w:val="left"/>
        <w:rPr>
          <w:sz w:val="18"/>
        </w:rPr>
      </w:pPr>
      <w:r>
        <w:rPr>
          <w:color w:val="231F20"/>
          <w:w w:val="110"/>
          <w:sz w:val="18"/>
        </w:rPr>
        <w:t>The </w:t>
      </w:r>
      <w:r>
        <w:rPr>
          <w:color w:val="231F20"/>
          <w:spacing w:val="2"/>
          <w:w w:val="110"/>
          <w:sz w:val="18"/>
        </w:rPr>
        <w:t>Service </w:t>
      </w:r>
      <w:r>
        <w:rPr>
          <w:color w:val="231F20"/>
          <w:w w:val="110"/>
          <w:sz w:val="18"/>
        </w:rPr>
        <w:t>featured Paraguay’s most favourite handicraft, the Ñandutí  or ‘spider’s web’ lace: a fine, intricate woven lace with circular patterns, representing </w:t>
      </w:r>
      <w:r>
        <w:rPr>
          <w:color w:val="231F20"/>
          <w:spacing w:val="2"/>
          <w:w w:val="110"/>
          <w:sz w:val="18"/>
        </w:rPr>
        <w:t>different aspects </w:t>
      </w:r>
      <w:r>
        <w:rPr>
          <w:color w:val="231F20"/>
          <w:w w:val="110"/>
          <w:sz w:val="18"/>
        </w:rPr>
        <w:t>of Paraguayan life, skilfully joined together by one thread to form the</w:t>
      </w:r>
      <w:r>
        <w:rPr>
          <w:color w:val="231F20"/>
          <w:spacing w:val="22"/>
          <w:w w:val="110"/>
          <w:sz w:val="18"/>
        </w:rPr>
        <w:t> </w:t>
      </w:r>
      <w:r>
        <w:rPr>
          <w:color w:val="231F20"/>
          <w:w w:val="110"/>
          <w:sz w:val="18"/>
        </w:rPr>
        <w:t>whole.</w:t>
      </w:r>
    </w:p>
    <w:p>
      <w:pPr>
        <w:pStyle w:val="BodyText"/>
        <w:spacing w:before="5"/>
        <w:ind w:left="593"/>
      </w:pPr>
      <w:r>
        <w:rPr>
          <w:color w:val="231F20"/>
          <w:w w:val="110"/>
        </w:rPr>
        <w:t>It reminded us that we are all different:</w:t>
      </w:r>
    </w:p>
    <w:p>
      <w:pPr>
        <w:pStyle w:val="BodyText"/>
        <w:spacing w:before="31"/>
        <w:ind w:left="593"/>
      </w:pPr>
      <w:r>
        <w:rPr>
          <w:color w:val="231F20"/>
          <w:w w:val="110"/>
        </w:rPr>
        <w:t>whatever our problems or hardships,</w:t>
      </w:r>
    </w:p>
    <w:p>
      <w:pPr>
        <w:pStyle w:val="BodyText"/>
        <w:spacing w:line="273" w:lineRule="auto" w:before="31"/>
        <w:ind w:left="593" w:right="6586"/>
      </w:pPr>
      <w:r>
        <w:rPr>
          <w:color w:val="231F20"/>
          <w:w w:val="110"/>
        </w:rPr>
        <w:t>if we work together joined and </w:t>
      </w:r>
      <w:r>
        <w:rPr>
          <w:color w:val="231F20"/>
          <w:spacing w:val="2"/>
          <w:w w:val="110"/>
        </w:rPr>
        <w:t>supported </w:t>
      </w:r>
      <w:r>
        <w:rPr>
          <w:color w:val="231F20"/>
          <w:w w:val="110"/>
        </w:rPr>
        <w:t>by the thread of love we are ‘United Under God’s</w:t>
      </w:r>
      <w:r>
        <w:rPr>
          <w:color w:val="231F20"/>
          <w:spacing w:val="2"/>
          <w:w w:val="110"/>
        </w:rPr>
        <w:t> </w:t>
      </w:r>
      <w:r>
        <w:rPr>
          <w:color w:val="231F20"/>
          <w:spacing w:val="-3"/>
          <w:w w:val="110"/>
        </w:rPr>
        <w:t>Tent’.</w:t>
      </w:r>
    </w:p>
    <w:p>
      <w:pPr>
        <w:pStyle w:val="BodyText"/>
        <w:spacing w:before="9"/>
        <w:rPr>
          <w:sz w:val="20"/>
        </w:rPr>
      </w:pPr>
    </w:p>
    <w:p>
      <w:pPr>
        <w:pStyle w:val="ListParagraph"/>
        <w:numPr>
          <w:ilvl w:val="1"/>
          <w:numId w:val="239"/>
        </w:numPr>
        <w:tabs>
          <w:tab w:pos="1313" w:val="left" w:leader="none"/>
          <w:tab w:pos="1314" w:val="left" w:leader="none"/>
        </w:tabs>
        <w:spacing w:line="273" w:lineRule="auto" w:before="0" w:after="0"/>
        <w:ind w:left="593" w:right="6954" w:firstLine="0"/>
        <w:jc w:val="left"/>
        <w:rPr>
          <w:sz w:val="18"/>
        </w:rPr>
      </w:pPr>
      <w:r>
        <w:rPr>
          <w:color w:val="231F20"/>
          <w:w w:val="110"/>
          <w:sz w:val="18"/>
        </w:rPr>
        <w:t>In April, May and June this year the WWDP celebrated the 75</w:t>
      </w:r>
      <w:r>
        <w:rPr>
          <w:color w:val="231F20"/>
          <w:w w:val="110"/>
          <w:position w:val="6"/>
          <w:sz w:val="10"/>
        </w:rPr>
        <w:t>th</w:t>
      </w:r>
      <w:r>
        <w:rPr>
          <w:color w:val="231F20"/>
          <w:w w:val="110"/>
          <w:sz w:val="10"/>
        </w:rPr>
        <w:t> </w:t>
      </w:r>
      <w:r>
        <w:rPr>
          <w:color w:val="231F20"/>
          <w:w w:val="110"/>
          <w:sz w:val="18"/>
        </w:rPr>
        <w:t>anniversary of the first </w:t>
      </w:r>
      <w:r>
        <w:rPr>
          <w:color w:val="231F20"/>
          <w:spacing w:val="2"/>
          <w:w w:val="110"/>
          <w:sz w:val="18"/>
        </w:rPr>
        <w:t>service </w:t>
      </w:r>
      <w:r>
        <w:rPr>
          <w:color w:val="231F20"/>
          <w:w w:val="110"/>
          <w:sz w:val="18"/>
        </w:rPr>
        <w:t>in England, Wales and </w:t>
      </w:r>
      <w:r>
        <w:rPr>
          <w:color w:val="231F20"/>
          <w:spacing w:val="2"/>
          <w:w w:val="110"/>
          <w:sz w:val="18"/>
        </w:rPr>
        <w:t>Northern </w:t>
      </w:r>
      <w:r>
        <w:rPr>
          <w:color w:val="231F20"/>
          <w:w w:val="110"/>
          <w:sz w:val="18"/>
        </w:rPr>
        <w:t>Ireland with </w:t>
      </w:r>
      <w:r>
        <w:rPr>
          <w:color w:val="231F20"/>
          <w:spacing w:val="2"/>
          <w:w w:val="110"/>
          <w:sz w:val="18"/>
        </w:rPr>
        <w:t>services </w:t>
      </w:r>
      <w:r>
        <w:rPr>
          <w:color w:val="231F20"/>
          <w:w w:val="110"/>
          <w:sz w:val="18"/>
        </w:rPr>
        <w:t>in London (City</w:t>
      </w:r>
      <w:r>
        <w:rPr>
          <w:color w:val="231F20"/>
          <w:spacing w:val="33"/>
          <w:w w:val="110"/>
          <w:sz w:val="18"/>
        </w:rPr>
        <w:t> </w:t>
      </w:r>
      <w:r>
        <w:rPr>
          <w:color w:val="231F20"/>
          <w:w w:val="110"/>
          <w:sz w:val="18"/>
        </w:rPr>
        <w:t>Temple,</w:t>
      </w:r>
    </w:p>
    <w:p>
      <w:pPr>
        <w:pStyle w:val="BodyText"/>
        <w:spacing w:before="3"/>
        <w:ind w:left="593"/>
      </w:pPr>
      <w:r>
        <w:rPr>
          <w:color w:val="231F20"/>
          <w:w w:val="110"/>
        </w:rPr>
        <w:t>where the first service was held), Bristol</w:t>
      </w:r>
    </w:p>
    <w:p>
      <w:pPr>
        <w:pStyle w:val="BodyText"/>
        <w:spacing w:before="31"/>
        <w:ind w:left="593"/>
      </w:pPr>
      <w:r>
        <w:rPr>
          <w:color w:val="231F20"/>
          <w:w w:val="110"/>
        </w:rPr>
        <w:t>and Leeds, using the theme “Holding</w:t>
      </w:r>
    </w:p>
    <w:p>
      <w:pPr>
        <w:pStyle w:val="BodyText"/>
        <w:spacing w:line="273" w:lineRule="auto" w:before="32"/>
        <w:ind w:left="593" w:right="1788"/>
      </w:pPr>
      <w:r>
        <w:rPr>
          <w:color w:val="231F20"/>
          <w:w w:val="110"/>
        </w:rPr>
        <w:t>Fast in Prayer”. The service included video clips through the years, dance groups and prayer drama with coloured candles and materials representing the different continents which were attached to an uplifted cross. Some 1,500 people attended the celebrations.</w:t>
      </w:r>
    </w:p>
    <w:p>
      <w:pPr>
        <w:pStyle w:val="BodyText"/>
        <w:spacing w:before="8"/>
        <w:rPr>
          <w:sz w:val="20"/>
        </w:rPr>
      </w:pPr>
    </w:p>
    <w:p>
      <w:pPr>
        <w:pStyle w:val="ListParagraph"/>
        <w:numPr>
          <w:ilvl w:val="1"/>
          <w:numId w:val="239"/>
        </w:numPr>
        <w:tabs>
          <w:tab w:pos="1313" w:val="left" w:leader="none"/>
          <w:tab w:pos="1314" w:val="left" w:leader="none"/>
        </w:tabs>
        <w:spacing w:line="273" w:lineRule="auto" w:before="0" w:after="0"/>
        <w:ind w:left="593" w:right="2552" w:firstLine="0"/>
        <w:jc w:val="left"/>
        <w:rPr>
          <w:sz w:val="18"/>
        </w:rPr>
      </w:pPr>
      <w:r>
        <w:rPr>
          <w:color w:val="231F20"/>
          <w:w w:val="110"/>
          <w:sz w:val="18"/>
        </w:rPr>
        <w:t>Further information about the WWDP may be obtained </w:t>
      </w:r>
      <w:r>
        <w:rPr>
          <w:color w:val="231F20"/>
          <w:spacing w:val="2"/>
          <w:w w:val="110"/>
          <w:sz w:val="18"/>
        </w:rPr>
        <w:t>from </w:t>
      </w:r>
      <w:r>
        <w:rPr>
          <w:color w:val="231F20"/>
          <w:w w:val="110"/>
          <w:sz w:val="18"/>
        </w:rPr>
        <w:t>the web site:</w:t>
      </w:r>
      <w:hyperlink r:id="rId598">
        <w:r>
          <w:rPr>
            <w:color w:val="231F20"/>
            <w:w w:val="110"/>
            <w:sz w:val="18"/>
          </w:rPr>
          <w:t> www.wwdp-natcomm.org </w:t>
        </w:r>
      </w:hyperlink>
      <w:r>
        <w:rPr>
          <w:color w:val="231F20"/>
          <w:w w:val="110"/>
          <w:sz w:val="18"/>
        </w:rPr>
        <w:t>or the </w:t>
      </w:r>
      <w:r>
        <w:rPr>
          <w:color w:val="231F20"/>
          <w:spacing w:val="2"/>
          <w:w w:val="110"/>
          <w:sz w:val="18"/>
        </w:rPr>
        <w:t>office </w:t>
      </w:r>
      <w:r>
        <w:rPr>
          <w:color w:val="231F20"/>
          <w:w w:val="110"/>
          <w:sz w:val="18"/>
        </w:rPr>
        <w:t>at Commercial Road, Tunbridge Wells, Kent TN1 2RR, Telephone </w:t>
      </w:r>
      <w:r>
        <w:rPr>
          <w:color w:val="231F20"/>
          <w:spacing w:val="-4"/>
          <w:w w:val="110"/>
          <w:sz w:val="18"/>
        </w:rPr>
        <w:t>01892</w:t>
      </w:r>
      <w:r>
        <w:rPr>
          <w:color w:val="231F20"/>
          <w:spacing w:val="5"/>
          <w:w w:val="110"/>
          <w:sz w:val="18"/>
        </w:rPr>
        <w:t> </w:t>
      </w:r>
      <w:r>
        <w:rPr>
          <w:color w:val="231F20"/>
          <w:spacing w:val="-7"/>
          <w:w w:val="110"/>
          <w:sz w:val="18"/>
        </w:rPr>
        <w:t>541411.</w:t>
      </w:r>
    </w:p>
    <w:p>
      <w:pPr>
        <w:spacing w:before="42"/>
        <w:ind w:left="0" w:right="1698" w:firstLine="0"/>
        <w:jc w:val="right"/>
        <w:rPr>
          <w:i/>
          <w:sz w:val="14"/>
        </w:rPr>
      </w:pPr>
      <w:r>
        <w:rPr>
          <w:i/>
          <w:color w:val="231F20"/>
          <w:w w:val="115"/>
          <w:sz w:val="14"/>
        </w:rPr>
        <w:t>Eileen Rhodes</w:t>
      </w:r>
    </w:p>
    <w:p>
      <w:pPr>
        <w:pStyle w:val="BodyText"/>
        <w:rPr>
          <w:i/>
          <w:sz w:val="20"/>
        </w:rPr>
      </w:pPr>
    </w:p>
    <w:p>
      <w:pPr>
        <w:pStyle w:val="BodyText"/>
        <w:rPr>
          <w:i/>
          <w:sz w:val="20"/>
        </w:rPr>
      </w:pPr>
    </w:p>
    <w:p>
      <w:pPr>
        <w:pStyle w:val="BodyText"/>
        <w:rPr>
          <w:i/>
          <w:sz w:val="20"/>
        </w:rPr>
      </w:pPr>
    </w:p>
    <w:p>
      <w:pPr>
        <w:pStyle w:val="BodyText"/>
        <w:spacing w:before="9"/>
        <w:rPr>
          <w:i/>
          <w:sz w:val="21"/>
        </w:rPr>
      </w:pPr>
    </w:p>
    <w:p>
      <w:pPr>
        <w:spacing w:before="309"/>
        <w:ind w:left="4010" w:right="4472" w:firstLine="0"/>
        <w:jc w:val="center"/>
        <w:rPr>
          <w:i/>
          <w:sz w:val="24"/>
          <w:szCs w:val="24"/>
        </w:rPr>
      </w:pPr>
      <w:r>
        <w:rPr>
          <w:i/>
          <w:color w:val="231F20"/>
          <w:w w:val="330"/>
          <w:sz w:val="24"/>
          <w:szCs w:val="24"/>
        </w:rPr>
        <w:t>���</w:t>
      </w:r>
    </w:p>
    <w:p>
      <w:pPr>
        <w:spacing w:after="0"/>
        <w:jc w:val="center"/>
        <w:rPr>
          <w:sz w:val="24"/>
          <w:szCs w:val="24"/>
        </w:rPr>
        <w:sectPr>
          <w:headerReference w:type="even" r:id="rId597"/>
          <w:pgSz w:w="11910" w:h="16840"/>
          <w:pgMar w:header="0" w:footer="564" w:top="460" w:bottom="760" w:left="540" w:right="0"/>
        </w:sectPr>
      </w:pPr>
    </w:p>
    <w:p>
      <w:pPr>
        <w:pStyle w:val="ListParagraph"/>
        <w:numPr>
          <w:ilvl w:val="1"/>
          <w:numId w:val="240"/>
        </w:numPr>
        <w:tabs>
          <w:tab w:pos="1880" w:val="left" w:leader="none"/>
          <w:tab w:pos="1881" w:val="left" w:leader="none"/>
        </w:tabs>
        <w:spacing w:line="273" w:lineRule="auto" w:before="88" w:after="0"/>
        <w:ind w:left="1160" w:right="2301" w:firstLine="0"/>
        <w:jc w:val="left"/>
        <w:rPr>
          <w:sz w:val="18"/>
        </w:rPr>
      </w:pPr>
      <w:r>
        <w:rPr/>
        <w:pict>
          <v:shape style="position:absolute;margin-left:504.155273pt;margin-top:36.841614pt;width:70.95pt;height:583.950pt;mso-position-horizontal-relative:page;mso-position-vertical-relative:page;z-index:252183552" type="#_x0000_t202" filled="false" stroked="false">
            <v:textbox inset="0,0,0,0" style="layout-flow:vertical">
              <w:txbxContent>
                <w:p>
                  <w:pPr>
                    <w:spacing w:line="1011" w:lineRule="exact" w:before="20"/>
                    <w:ind w:left="20" w:right="0" w:firstLine="0"/>
                    <w:jc w:val="left"/>
                    <w:rPr>
                      <w:b/>
                      <w:sz w:val="88"/>
                    </w:rPr>
                  </w:pPr>
                  <w:r>
                    <w:rPr>
                      <w:b/>
                      <w:color w:val="231F20"/>
                      <w:sz w:val="88"/>
                    </w:rPr>
                    <w:t>Silence and Retreats</w:t>
                  </w:r>
                </w:p>
                <w:p>
                  <w:pPr>
                    <w:spacing w:line="386" w:lineRule="exact" w:before="0"/>
                    <w:ind w:left="0" w:right="18" w:firstLine="0"/>
                    <w:jc w:val="right"/>
                    <w:rPr>
                      <w:rFonts w:ascii="Eurostile Bold"/>
                      <w:b/>
                      <w:sz w:val="36"/>
                    </w:rPr>
                  </w:pPr>
                  <w:r>
                    <w:rPr>
                      <w:rFonts w:ascii="Eurostile Bold"/>
                      <w:b/>
                      <w:color w:val="A7A9AC"/>
                      <w:w w:val="85"/>
                      <w:sz w:val="36"/>
                    </w:rPr>
                    <w:t>General Assembly 2007</w:t>
                  </w:r>
                </w:p>
              </w:txbxContent>
            </v:textbox>
            <w10:wrap type="none"/>
          </v:shape>
        </w:pict>
      </w:r>
      <w:r>
        <w:rPr>
          <w:color w:val="231F20"/>
          <w:spacing w:val="2"/>
          <w:w w:val="110"/>
          <w:sz w:val="18"/>
        </w:rPr>
        <w:t>Last </w:t>
      </w:r>
      <w:r>
        <w:rPr>
          <w:color w:val="231F20"/>
          <w:w w:val="110"/>
          <w:sz w:val="18"/>
        </w:rPr>
        <w:t>year we noted that changes were about to take place. </w:t>
      </w:r>
      <w:r>
        <w:rPr>
          <w:color w:val="231F20"/>
          <w:spacing w:val="2"/>
          <w:w w:val="110"/>
          <w:sz w:val="18"/>
        </w:rPr>
        <w:t>As </w:t>
      </w:r>
      <w:r>
        <w:rPr>
          <w:color w:val="231F20"/>
          <w:w w:val="110"/>
          <w:sz w:val="18"/>
        </w:rPr>
        <w:t>with many </w:t>
      </w:r>
      <w:r>
        <w:rPr>
          <w:color w:val="231F20"/>
          <w:spacing w:val="2"/>
          <w:w w:val="110"/>
          <w:sz w:val="18"/>
        </w:rPr>
        <w:t>aspects </w:t>
      </w:r>
      <w:r>
        <w:rPr>
          <w:color w:val="231F20"/>
          <w:w w:val="110"/>
          <w:sz w:val="18"/>
        </w:rPr>
        <w:t>of church life, the changes are taking place slowly and perhaps we might say that this year has been a time of exploring possibilities rather than setting definite agendas. Like the people involved with the ‘Catch the Vision’ process, we are still convinced that many people in the church and outside the church are seeking something more in their lives, but </w:t>
      </w:r>
      <w:r>
        <w:rPr>
          <w:color w:val="231F20"/>
          <w:spacing w:val="2"/>
          <w:w w:val="110"/>
          <w:sz w:val="18"/>
        </w:rPr>
        <w:t>often </w:t>
      </w:r>
      <w:r>
        <w:rPr>
          <w:color w:val="231F20"/>
          <w:w w:val="110"/>
          <w:sz w:val="18"/>
        </w:rPr>
        <w:t>feel that the church is not meeting those</w:t>
      </w:r>
      <w:r>
        <w:rPr>
          <w:color w:val="231F20"/>
          <w:spacing w:val="15"/>
          <w:w w:val="110"/>
          <w:sz w:val="18"/>
        </w:rPr>
        <w:t> </w:t>
      </w:r>
      <w:r>
        <w:rPr>
          <w:color w:val="231F20"/>
          <w:w w:val="110"/>
          <w:sz w:val="18"/>
        </w:rPr>
        <w:t>needs.</w:t>
      </w:r>
    </w:p>
    <w:p>
      <w:pPr>
        <w:pStyle w:val="BodyText"/>
        <w:spacing w:before="11"/>
        <w:rPr>
          <w:sz w:val="20"/>
        </w:rPr>
      </w:pPr>
    </w:p>
    <w:p>
      <w:pPr>
        <w:pStyle w:val="ListParagraph"/>
        <w:numPr>
          <w:ilvl w:val="1"/>
          <w:numId w:val="240"/>
        </w:numPr>
        <w:tabs>
          <w:tab w:pos="1880" w:val="left" w:leader="none"/>
          <w:tab w:pos="1881" w:val="left" w:leader="none"/>
        </w:tabs>
        <w:spacing w:line="273" w:lineRule="auto" w:before="0" w:after="0"/>
        <w:ind w:left="1160" w:right="2243" w:firstLine="0"/>
        <w:jc w:val="left"/>
        <w:rPr>
          <w:sz w:val="18"/>
        </w:rPr>
      </w:pPr>
      <w:r>
        <w:rPr>
          <w:color w:val="231F20"/>
          <w:w w:val="110"/>
          <w:sz w:val="18"/>
        </w:rPr>
        <w:t>During the Annual Meeting and retreat at Windermere in 2006 we decided to be actively </w:t>
      </w:r>
      <w:r>
        <w:rPr>
          <w:color w:val="231F20"/>
          <w:spacing w:val="-3"/>
          <w:w w:val="110"/>
          <w:sz w:val="18"/>
        </w:rPr>
        <w:t>involved </w:t>
      </w:r>
      <w:r>
        <w:rPr>
          <w:color w:val="231F20"/>
          <w:w w:val="110"/>
          <w:sz w:val="18"/>
        </w:rPr>
        <w:t>in the exploratory stage of a process to discern whether some form of committed Prayer Fellowship to enable people to deepen their own prayer lives might be created. This resulted in the first national conference held in November 2006 at Ditchingham. The conference was entitled ‘Transforming Prayer’ and was attended by some 50</w:t>
      </w:r>
      <w:r>
        <w:rPr>
          <w:color w:val="231F20"/>
          <w:spacing w:val="-25"/>
          <w:w w:val="110"/>
          <w:sz w:val="18"/>
        </w:rPr>
        <w:t> </w:t>
      </w:r>
      <w:r>
        <w:rPr>
          <w:color w:val="231F20"/>
          <w:w w:val="110"/>
          <w:sz w:val="18"/>
        </w:rPr>
        <w:t>people.</w:t>
      </w:r>
    </w:p>
    <w:p>
      <w:pPr>
        <w:pStyle w:val="BodyText"/>
        <w:spacing w:before="10"/>
        <w:rPr>
          <w:sz w:val="20"/>
        </w:rPr>
      </w:pPr>
    </w:p>
    <w:p>
      <w:pPr>
        <w:pStyle w:val="ListParagraph"/>
        <w:numPr>
          <w:ilvl w:val="1"/>
          <w:numId w:val="240"/>
        </w:numPr>
        <w:tabs>
          <w:tab w:pos="1881" w:val="left" w:leader="none"/>
          <w:tab w:pos="1882" w:val="left" w:leader="none"/>
        </w:tabs>
        <w:spacing w:line="273" w:lineRule="auto" w:before="1" w:after="0"/>
        <w:ind w:left="1160" w:right="2197" w:firstLine="1"/>
        <w:jc w:val="left"/>
        <w:rPr>
          <w:sz w:val="18"/>
        </w:rPr>
      </w:pPr>
      <w:r>
        <w:rPr>
          <w:color w:val="231F20"/>
          <w:w w:val="110"/>
          <w:sz w:val="18"/>
        </w:rPr>
        <w:t>Our time together was structured around a series of explorations followed by time for reflection. The first of these was </w:t>
      </w:r>
      <w:r>
        <w:rPr>
          <w:color w:val="231F20"/>
          <w:spacing w:val="-4"/>
          <w:w w:val="110"/>
          <w:sz w:val="18"/>
        </w:rPr>
        <w:t>order. We </w:t>
      </w:r>
      <w:r>
        <w:rPr>
          <w:color w:val="231F20"/>
          <w:w w:val="110"/>
          <w:sz w:val="18"/>
        </w:rPr>
        <w:t>need good habits which became instinctive, and trust in God, leaving us with questions about our spiritual habits, the balance in our own lives and the ordering of discipleship needed to fulfil </w:t>
      </w:r>
      <w:r>
        <w:rPr>
          <w:color w:val="231F20"/>
          <w:spacing w:val="-3"/>
          <w:w w:val="110"/>
          <w:sz w:val="18"/>
        </w:rPr>
        <w:t>vows </w:t>
      </w:r>
      <w:r>
        <w:rPr>
          <w:color w:val="231F20"/>
          <w:w w:val="110"/>
          <w:sz w:val="18"/>
        </w:rPr>
        <w:t>of church membership. </w:t>
      </w:r>
      <w:r>
        <w:rPr>
          <w:color w:val="231F20"/>
          <w:spacing w:val="-4"/>
          <w:w w:val="110"/>
          <w:sz w:val="18"/>
        </w:rPr>
        <w:t>We </w:t>
      </w:r>
      <w:r>
        <w:rPr>
          <w:color w:val="231F20"/>
          <w:w w:val="110"/>
          <w:sz w:val="18"/>
        </w:rPr>
        <w:t>reflected on the importance of companions on the </w:t>
      </w:r>
      <w:r>
        <w:rPr>
          <w:color w:val="231F20"/>
          <w:spacing w:val="-4"/>
          <w:w w:val="110"/>
          <w:sz w:val="18"/>
        </w:rPr>
        <w:t>journey. </w:t>
      </w:r>
      <w:r>
        <w:rPr>
          <w:color w:val="231F20"/>
          <w:w w:val="110"/>
          <w:sz w:val="18"/>
        </w:rPr>
        <w:t>Did we </w:t>
      </w:r>
      <w:r>
        <w:rPr>
          <w:color w:val="231F20"/>
          <w:spacing w:val="-3"/>
          <w:w w:val="110"/>
          <w:sz w:val="18"/>
        </w:rPr>
        <w:t>have </w:t>
      </w:r>
      <w:r>
        <w:rPr>
          <w:color w:val="231F20"/>
          <w:w w:val="110"/>
          <w:sz w:val="18"/>
        </w:rPr>
        <w:t>companions? </w:t>
      </w:r>
      <w:r>
        <w:rPr>
          <w:color w:val="231F20"/>
          <w:spacing w:val="-3"/>
          <w:w w:val="110"/>
          <w:sz w:val="18"/>
        </w:rPr>
        <w:t>If so, </w:t>
      </w:r>
      <w:r>
        <w:rPr>
          <w:color w:val="231F20"/>
          <w:w w:val="110"/>
          <w:sz w:val="18"/>
        </w:rPr>
        <w:t>what did it </w:t>
      </w:r>
      <w:r>
        <w:rPr>
          <w:color w:val="231F20"/>
          <w:spacing w:val="-4"/>
          <w:w w:val="110"/>
          <w:sz w:val="18"/>
        </w:rPr>
        <w:t>mean? </w:t>
      </w:r>
      <w:r>
        <w:rPr>
          <w:color w:val="231F20"/>
          <w:spacing w:val="-3"/>
          <w:w w:val="110"/>
          <w:sz w:val="18"/>
        </w:rPr>
        <w:t>If </w:t>
      </w:r>
      <w:r>
        <w:rPr>
          <w:color w:val="231F20"/>
          <w:w w:val="110"/>
          <w:sz w:val="18"/>
        </w:rPr>
        <w:t>not, would it </w:t>
      </w:r>
      <w:r>
        <w:rPr>
          <w:color w:val="231F20"/>
          <w:spacing w:val="-4"/>
          <w:w w:val="110"/>
          <w:sz w:val="18"/>
        </w:rPr>
        <w:t>help? </w:t>
      </w:r>
      <w:r>
        <w:rPr>
          <w:color w:val="231F20"/>
          <w:w w:val="110"/>
          <w:sz w:val="18"/>
        </w:rPr>
        <w:t>Were we willing to be companions for others? We </w:t>
      </w:r>
      <w:r>
        <w:rPr>
          <w:color w:val="231F20"/>
          <w:spacing w:val="3"/>
          <w:w w:val="110"/>
          <w:sz w:val="18"/>
        </w:rPr>
        <w:t>pondered </w:t>
      </w:r>
      <w:r>
        <w:rPr>
          <w:color w:val="231F20"/>
          <w:spacing w:val="2"/>
          <w:w w:val="110"/>
          <w:sz w:val="18"/>
        </w:rPr>
        <w:t>the </w:t>
      </w:r>
      <w:r>
        <w:rPr>
          <w:color w:val="231F20"/>
          <w:spacing w:val="4"/>
          <w:w w:val="110"/>
          <w:sz w:val="18"/>
        </w:rPr>
        <w:t>roots </w:t>
      </w:r>
      <w:r>
        <w:rPr>
          <w:color w:val="231F20"/>
          <w:w w:val="110"/>
          <w:sz w:val="18"/>
        </w:rPr>
        <w:t>of </w:t>
      </w:r>
      <w:r>
        <w:rPr>
          <w:color w:val="231F20"/>
          <w:spacing w:val="3"/>
          <w:w w:val="110"/>
          <w:sz w:val="18"/>
        </w:rPr>
        <w:t>hospitality </w:t>
      </w:r>
      <w:r>
        <w:rPr>
          <w:color w:val="231F20"/>
          <w:w w:val="110"/>
          <w:sz w:val="18"/>
        </w:rPr>
        <w:t>in </w:t>
      </w:r>
      <w:r>
        <w:rPr>
          <w:color w:val="231F20"/>
          <w:spacing w:val="2"/>
          <w:w w:val="110"/>
          <w:sz w:val="18"/>
        </w:rPr>
        <w:t>the </w:t>
      </w:r>
      <w:r>
        <w:rPr>
          <w:color w:val="231F20"/>
          <w:spacing w:val="3"/>
          <w:w w:val="110"/>
          <w:sz w:val="18"/>
        </w:rPr>
        <w:t>possibilities </w:t>
      </w:r>
      <w:r>
        <w:rPr>
          <w:color w:val="231F20"/>
          <w:spacing w:val="2"/>
          <w:w w:val="110"/>
          <w:sz w:val="18"/>
        </w:rPr>
        <w:t>for </w:t>
      </w:r>
      <w:r>
        <w:rPr>
          <w:color w:val="231F20"/>
          <w:spacing w:val="3"/>
          <w:w w:val="110"/>
          <w:sz w:val="18"/>
        </w:rPr>
        <w:t>openness </w:t>
      </w:r>
      <w:r>
        <w:rPr>
          <w:color w:val="231F20"/>
          <w:w w:val="110"/>
          <w:sz w:val="18"/>
        </w:rPr>
        <w:t>and </w:t>
      </w:r>
      <w:r>
        <w:rPr>
          <w:color w:val="231F20"/>
          <w:spacing w:val="2"/>
          <w:w w:val="110"/>
          <w:sz w:val="18"/>
        </w:rPr>
        <w:t>encounter </w:t>
      </w:r>
      <w:r>
        <w:rPr>
          <w:color w:val="231F20"/>
          <w:spacing w:val="4"/>
          <w:w w:val="110"/>
          <w:sz w:val="18"/>
        </w:rPr>
        <w:t>afforded </w:t>
      </w:r>
      <w:r>
        <w:rPr>
          <w:color w:val="231F20"/>
          <w:w w:val="110"/>
          <w:sz w:val="18"/>
        </w:rPr>
        <w:t>by </w:t>
      </w:r>
      <w:r>
        <w:rPr>
          <w:color w:val="231F20"/>
          <w:spacing w:val="2"/>
          <w:w w:val="110"/>
          <w:sz w:val="18"/>
        </w:rPr>
        <w:t>the </w:t>
      </w:r>
      <w:r>
        <w:rPr>
          <w:color w:val="231F20"/>
          <w:spacing w:val="3"/>
          <w:w w:val="110"/>
          <w:sz w:val="18"/>
        </w:rPr>
        <w:t>space </w:t>
      </w:r>
      <w:r>
        <w:rPr>
          <w:color w:val="231F20"/>
          <w:w w:val="110"/>
          <w:sz w:val="18"/>
        </w:rPr>
        <w:t>and </w:t>
      </w:r>
      <w:r>
        <w:rPr>
          <w:color w:val="231F20"/>
          <w:spacing w:val="3"/>
          <w:w w:val="110"/>
          <w:sz w:val="18"/>
        </w:rPr>
        <w:t>room God </w:t>
      </w:r>
      <w:r>
        <w:rPr>
          <w:color w:val="231F20"/>
          <w:w w:val="110"/>
          <w:sz w:val="18"/>
        </w:rPr>
        <w:t>gives. We </w:t>
      </w:r>
      <w:r>
        <w:rPr>
          <w:color w:val="231F20"/>
          <w:spacing w:val="3"/>
          <w:w w:val="110"/>
          <w:sz w:val="18"/>
        </w:rPr>
        <w:t>approached wilderness</w:t>
      </w:r>
      <w:r>
        <w:rPr>
          <w:color w:val="231F20"/>
          <w:spacing w:val="9"/>
          <w:w w:val="110"/>
          <w:sz w:val="18"/>
        </w:rPr>
        <w:t> </w:t>
      </w:r>
      <w:r>
        <w:rPr>
          <w:color w:val="231F20"/>
          <w:w w:val="110"/>
          <w:sz w:val="18"/>
        </w:rPr>
        <w:t>as</w:t>
      </w:r>
      <w:r>
        <w:rPr>
          <w:color w:val="231F20"/>
          <w:spacing w:val="9"/>
          <w:w w:val="110"/>
          <w:sz w:val="18"/>
        </w:rPr>
        <w:t> </w:t>
      </w:r>
      <w:r>
        <w:rPr>
          <w:color w:val="231F20"/>
          <w:spacing w:val="2"/>
          <w:w w:val="110"/>
          <w:sz w:val="18"/>
        </w:rPr>
        <w:t>the</w:t>
      </w:r>
      <w:r>
        <w:rPr>
          <w:color w:val="231F20"/>
          <w:spacing w:val="9"/>
          <w:w w:val="110"/>
          <w:sz w:val="18"/>
        </w:rPr>
        <w:t> </w:t>
      </w:r>
      <w:r>
        <w:rPr>
          <w:color w:val="231F20"/>
          <w:spacing w:val="2"/>
          <w:w w:val="110"/>
          <w:sz w:val="18"/>
        </w:rPr>
        <w:t>place</w:t>
      </w:r>
      <w:r>
        <w:rPr>
          <w:color w:val="231F20"/>
          <w:spacing w:val="9"/>
          <w:w w:val="110"/>
          <w:sz w:val="18"/>
        </w:rPr>
        <w:t> </w:t>
      </w:r>
      <w:r>
        <w:rPr>
          <w:color w:val="231F20"/>
          <w:spacing w:val="3"/>
          <w:w w:val="110"/>
          <w:sz w:val="18"/>
        </w:rPr>
        <w:t>where</w:t>
      </w:r>
      <w:r>
        <w:rPr>
          <w:color w:val="231F20"/>
          <w:spacing w:val="9"/>
          <w:w w:val="110"/>
          <w:sz w:val="18"/>
        </w:rPr>
        <w:t> </w:t>
      </w:r>
      <w:r>
        <w:rPr>
          <w:color w:val="231F20"/>
          <w:w w:val="110"/>
          <w:sz w:val="18"/>
        </w:rPr>
        <w:t>we</w:t>
      </w:r>
      <w:r>
        <w:rPr>
          <w:color w:val="231F20"/>
          <w:spacing w:val="9"/>
          <w:w w:val="110"/>
          <w:sz w:val="18"/>
        </w:rPr>
        <w:t> </w:t>
      </w:r>
      <w:r>
        <w:rPr>
          <w:color w:val="231F20"/>
          <w:spacing w:val="3"/>
          <w:w w:val="110"/>
          <w:sz w:val="18"/>
        </w:rPr>
        <w:t>feel</w:t>
      </w:r>
      <w:r>
        <w:rPr>
          <w:color w:val="231F20"/>
          <w:spacing w:val="9"/>
          <w:w w:val="110"/>
          <w:sz w:val="18"/>
        </w:rPr>
        <w:t> </w:t>
      </w:r>
      <w:r>
        <w:rPr>
          <w:color w:val="231F20"/>
          <w:spacing w:val="3"/>
          <w:w w:val="110"/>
          <w:sz w:val="18"/>
        </w:rPr>
        <w:t>least</w:t>
      </w:r>
      <w:r>
        <w:rPr>
          <w:color w:val="231F20"/>
          <w:spacing w:val="10"/>
          <w:w w:val="110"/>
          <w:sz w:val="18"/>
        </w:rPr>
        <w:t> </w:t>
      </w:r>
      <w:r>
        <w:rPr>
          <w:color w:val="231F20"/>
          <w:w w:val="110"/>
          <w:sz w:val="18"/>
        </w:rPr>
        <w:t>in</w:t>
      </w:r>
      <w:r>
        <w:rPr>
          <w:color w:val="231F20"/>
          <w:spacing w:val="8"/>
          <w:w w:val="110"/>
          <w:sz w:val="18"/>
        </w:rPr>
        <w:t> </w:t>
      </w:r>
      <w:r>
        <w:rPr>
          <w:color w:val="231F20"/>
          <w:spacing w:val="3"/>
          <w:w w:val="110"/>
          <w:sz w:val="18"/>
        </w:rPr>
        <w:t>control</w:t>
      </w:r>
      <w:r>
        <w:rPr>
          <w:color w:val="231F20"/>
          <w:spacing w:val="8"/>
          <w:w w:val="110"/>
          <w:sz w:val="18"/>
        </w:rPr>
        <w:t> </w:t>
      </w:r>
      <w:r>
        <w:rPr>
          <w:color w:val="231F20"/>
          <w:w w:val="110"/>
          <w:sz w:val="18"/>
        </w:rPr>
        <w:t>and</w:t>
      </w:r>
      <w:r>
        <w:rPr>
          <w:color w:val="231F20"/>
          <w:spacing w:val="9"/>
          <w:w w:val="110"/>
          <w:sz w:val="18"/>
        </w:rPr>
        <w:t> </w:t>
      </w:r>
      <w:r>
        <w:rPr>
          <w:color w:val="231F20"/>
          <w:spacing w:val="3"/>
          <w:w w:val="110"/>
          <w:sz w:val="18"/>
        </w:rPr>
        <w:t>most</w:t>
      </w:r>
      <w:r>
        <w:rPr>
          <w:color w:val="231F20"/>
          <w:spacing w:val="9"/>
          <w:w w:val="110"/>
          <w:sz w:val="18"/>
        </w:rPr>
        <w:t> </w:t>
      </w:r>
      <w:r>
        <w:rPr>
          <w:color w:val="231F20"/>
          <w:w w:val="110"/>
          <w:sz w:val="18"/>
        </w:rPr>
        <w:t>at</w:t>
      </w:r>
      <w:r>
        <w:rPr>
          <w:color w:val="231F20"/>
          <w:spacing w:val="9"/>
          <w:w w:val="110"/>
          <w:sz w:val="18"/>
        </w:rPr>
        <w:t> </w:t>
      </w:r>
      <w:r>
        <w:rPr>
          <w:color w:val="231F20"/>
          <w:spacing w:val="3"/>
          <w:w w:val="110"/>
          <w:sz w:val="18"/>
        </w:rPr>
        <w:t>threat</w:t>
      </w:r>
    </w:p>
    <w:p>
      <w:pPr>
        <w:pStyle w:val="BodyText"/>
        <w:spacing w:before="6"/>
        <w:ind w:left="1160"/>
      </w:pPr>
      <w:r>
        <w:rPr>
          <w:color w:val="231F20"/>
          <w:w w:val="110"/>
        </w:rPr>
        <w:t>is where we may most meet with God.</w:t>
      </w:r>
    </w:p>
    <w:p>
      <w:pPr>
        <w:pStyle w:val="BodyText"/>
        <w:spacing w:before="1"/>
        <w:rPr>
          <w:sz w:val="23"/>
        </w:rPr>
      </w:pPr>
    </w:p>
    <w:p>
      <w:pPr>
        <w:pStyle w:val="BodyText"/>
        <w:spacing w:line="273" w:lineRule="auto"/>
        <w:ind w:left="1160" w:right="2302" w:firstLine="720"/>
      </w:pPr>
      <w:r>
        <w:rPr>
          <w:color w:val="231F20"/>
          <w:w w:val="110"/>
        </w:rPr>
        <w:t>We were invited to understand stillness not as dependent upon silence, solitude or contemplative techniques but rather on awareness, openness, attentiveness, opportunity and gift. We opened up the theme of transformation, so compelling for a change-obsessed culture and how</w:t>
      </w:r>
    </w:p>
    <w:p>
      <w:pPr>
        <w:pStyle w:val="BodyText"/>
        <w:spacing w:before="3"/>
        <w:ind w:left="1160"/>
      </w:pPr>
      <w:r>
        <w:rPr>
          <w:color w:val="231F20"/>
          <w:w w:val="110"/>
        </w:rPr>
        <w:t>we might be agents of transformation.</w:t>
      </w:r>
    </w:p>
    <w:p>
      <w:pPr>
        <w:pStyle w:val="BodyText"/>
        <w:spacing w:before="1"/>
        <w:rPr>
          <w:sz w:val="23"/>
        </w:rPr>
      </w:pPr>
    </w:p>
    <w:p>
      <w:pPr>
        <w:pStyle w:val="BodyText"/>
        <w:spacing w:line="273" w:lineRule="auto" w:before="1"/>
        <w:ind w:left="1161" w:right="2879" w:firstLine="720"/>
      </w:pPr>
      <w:r>
        <w:rPr>
          <w:color w:val="231F20"/>
          <w:w w:val="110"/>
        </w:rPr>
        <w:t>Group </w:t>
      </w:r>
      <w:r>
        <w:rPr>
          <w:color w:val="231F20"/>
          <w:spacing w:val="2"/>
          <w:w w:val="110"/>
        </w:rPr>
        <w:t>reflection </w:t>
      </w:r>
      <w:r>
        <w:rPr>
          <w:color w:val="231F20"/>
          <w:w w:val="110"/>
        </w:rPr>
        <w:t>on the future on the final morning highlighted  the need for sharing of good </w:t>
      </w:r>
      <w:r>
        <w:rPr>
          <w:color w:val="231F20"/>
          <w:spacing w:val="2"/>
          <w:w w:val="110"/>
        </w:rPr>
        <w:t>practice </w:t>
      </w:r>
      <w:r>
        <w:rPr>
          <w:color w:val="231F20"/>
          <w:w w:val="110"/>
        </w:rPr>
        <w:t>in developing prayer and exploring spirituality, for teaching of ways of praying, for networking, support, sustainability</w:t>
      </w:r>
      <w:r>
        <w:rPr>
          <w:color w:val="231F20"/>
          <w:spacing w:val="13"/>
          <w:w w:val="110"/>
        </w:rPr>
        <w:t> </w:t>
      </w:r>
      <w:r>
        <w:rPr>
          <w:color w:val="231F20"/>
          <w:w w:val="110"/>
        </w:rPr>
        <w:t>and</w:t>
      </w:r>
      <w:r>
        <w:rPr>
          <w:color w:val="231F20"/>
          <w:spacing w:val="14"/>
          <w:w w:val="110"/>
        </w:rPr>
        <w:t> </w:t>
      </w:r>
      <w:r>
        <w:rPr>
          <w:color w:val="231F20"/>
          <w:w w:val="110"/>
        </w:rPr>
        <w:t>accountability,</w:t>
      </w:r>
      <w:r>
        <w:rPr>
          <w:color w:val="231F20"/>
          <w:spacing w:val="14"/>
          <w:w w:val="110"/>
        </w:rPr>
        <w:t> </w:t>
      </w:r>
      <w:r>
        <w:rPr>
          <w:color w:val="231F20"/>
          <w:w w:val="110"/>
        </w:rPr>
        <w:t>and</w:t>
      </w:r>
      <w:r>
        <w:rPr>
          <w:color w:val="231F20"/>
          <w:spacing w:val="14"/>
          <w:w w:val="110"/>
        </w:rPr>
        <w:t> </w:t>
      </w:r>
      <w:r>
        <w:rPr>
          <w:color w:val="231F20"/>
          <w:w w:val="110"/>
        </w:rPr>
        <w:t>for</w:t>
      </w:r>
      <w:r>
        <w:rPr>
          <w:color w:val="231F20"/>
          <w:spacing w:val="14"/>
          <w:w w:val="110"/>
        </w:rPr>
        <w:t> </w:t>
      </w:r>
      <w:r>
        <w:rPr>
          <w:color w:val="231F20"/>
          <w:w w:val="110"/>
        </w:rPr>
        <w:t>acknowledging</w:t>
      </w:r>
      <w:r>
        <w:rPr>
          <w:color w:val="231F20"/>
          <w:spacing w:val="14"/>
          <w:w w:val="110"/>
        </w:rPr>
        <w:t> </w:t>
      </w:r>
      <w:r>
        <w:rPr>
          <w:color w:val="231F20"/>
          <w:w w:val="110"/>
        </w:rPr>
        <w:t>and</w:t>
      </w:r>
      <w:r>
        <w:rPr>
          <w:color w:val="231F20"/>
          <w:spacing w:val="14"/>
          <w:w w:val="110"/>
        </w:rPr>
        <w:t> </w:t>
      </w:r>
      <w:r>
        <w:rPr>
          <w:color w:val="231F20"/>
          <w:w w:val="110"/>
        </w:rPr>
        <w:t>rejoicing</w:t>
      </w:r>
      <w:r>
        <w:rPr>
          <w:color w:val="231F20"/>
          <w:spacing w:val="14"/>
          <w:w w:val="110"/>
        </w:rPr>
        <w:t> </w:t>
      </w:r>
      <w:r>
        <w:rPr>
          <w:color w:val="231F20"/>
          <w:w w:val="110"/>
        </w:rPr>
        <w:t>in</w:t>
      </w:r>
    </w:p>
    <w:p>
      <w:pPr>
        <w:pStyle w:val="BodyText"/>
        <w:spacing w:before="2"/>
        <w:ind w:left="1160"/>
      </w:pPr>
      <w:r>
        <w:rPr>
          <w:color w:val="231F20"/>
          <w:w w:val="110"/>
        </w:rPr>
        <w:t>the multi-facetedness of which we had become aware. Some left affirmed</w:t>
      </w:r>
    </w:p>
    <w:p>
      <w:pPr>
        <w:pStyle w:val="BodyText"/>
        <w:spacing w:line="273" w:lineRule="auto" w:before="31"/>
        <w:ind w:left="1160" w:right="2400" w:hanging="1"/>
      </w:pPr>
      <w:r>
        <w:rPr>
          <w:color w:val="231F20"/>
          <w:w w:val="110"/>
        </w:rPr>
        <w:t>in their own personal pilgrimage, others left committed afresh to the Silence and Retreats Network (though we are still pondering a possible new name), and some were keen to explore a different network dedicated to prayer</w:t>
      </w:r>
    </w:p>
    <w:p>
      <w:pPr>
        <w:pStyle w:val="BodyText"/>
        <w:spacing w:before="2"/>
        <w:ind w:left="1160"/>
      </w:pPr>
      <w:r>
        <w:rPr>
          <w:color w:val="231F20"/>
          <w:w w:val="110"/>
        </w:rPr>
        <w:t>for mission.</w:t>
      </w:r>
    </w:p>
    <w:p>
      <w:pPr>
        <w:pStyle w:val="BodyText"/>
        <w:spacing w:before="2"/>
        <w:rPr>
          <w:sz w:val="23"/>
        </w:rPr>
      </w:pPr>
    </w:p>
    <w:p>
      <w:pPr>
        <w:pStyle w:val="ListParagraph"/>
        <w:numPr>
          <w:ilvl w:val="1"/>
          <w:numId w:val="240"/>
        </w:numPr>
        <w:tabs>
          <w:tab w:pos="1880" w:val="left" w:leader="none"/>
          <w:tab w:pos="1881" w:val="left" w:leader="none"/>
        </w:tabs>
        <w:spacing w:line="273" w:lineRule="auto" w:before="0" w:after="0"/>
        <w:ind w:left="1160" w:right="2497" w:firstLine="0"/>
        <w:jc w:val="left"/>
        <w:rPr>
          <w:sz w:val="18"/>
        </w:rPr>
      </w:pPr>
      <w:r>
        <w:rPr>
          <w:color w:val="231F20"/>
          <w:w w:val="110"/>
          <w:sz w:val="18"/>
        </w:rPr>
        <w:t>Another similar conference has been booked at Swanwick in January 2008 and </w:t>
      </w:r>
      <w:r>
        <w:rPr>
          <w:color w:val="231F20"/>
          <w:spacing w:val="2"/>
          <w:w w:val="110"/>
          <w:sz w:val="18"/>
        </w:rPr>
        <w:t>further </w:t>
      </w:r>
      <w:r>
        <w:rPr>
          <w:color w:val="231F20"/>
          <w:w w:val="110"/>
          <w:sz w:val="18"/>
        </w:rPr>
        <w:t>details of this will be available</w:t>
      </w:r>
      <w:r>
        <w:rPr>
          <w:color w:val="231F20"/>
          <w:spacing w:val="18"/>
          <w:w w:val="110"/>
          <w:sz w:val="18"/>
        </w:rPr>
        <w:t> </w:t>
      </w:r>
      <w:r>
        <w:rPr>
          <w:color w:val="231F20"/>
          <w:w w:val="110"/>
          <w:sz w:val="18"/>
        </w:rPr>
        <w:t>soon.</w:t>
      </w:r>
    </w:p>
    <w:p>
      <w:pPr>
        <w:pStyle w:val="BodyText"/>
        <w:spacing w:before="8"/>
        <w:rPr>
          <w:sz w:val="20"/>
        </w:rPr>
      </w:pPr>
    </w:p>
    <w:p>
      <w:pPr>
        <w:pStyle w:val="ListParagraph"/>
        <w:numPr>
          <w:ilvl w:val="1"/>
          <w:numId w:val="240"/>
        </w:numPr>
        <w:tabs>
          <w:tab w:pos="1880" w:val="left" w:leader="none"/>
          <w:tab w:pos="1881" w:val="left" w:leader="none"/>
        </w:tabs>
        <w:spacing w:line="273" w:lineRule="auto" w:before="0" w:after="0"/>
        <w:ind w:left="1160" w:right="2590" w:firstLine="0"/>
        <w:jc w:val="left"/>
        <w:rPr>
          <w:sz w:val="18"/>
        </w:rPr>
      </w:pPr>
      <w:r>
        <w:rPr>
          <w:i/>
          <w:color w:val="231F20"/>
          <w:w w:val="110"/>
          <w:sz w:val="18"/>
        </w:rPr>
        <w:t>Windows </w:t>
      </w:r>
      <w:r>
        <w:rPr>
          <w:color w:val="231F20"/>
          <w:w w:val="110"/>
          <w:sz w:val="18"/>
        </w:rPr>
        <w:t>has taken on a new format under its new Editor which has met with </w:t>
      </w:r>
      <w:r>
        <w:rPr>
          <w:color w:val="231F20"/>
          <w:spacing w:val="2"/>
          <w:w w:val="110"/>
          <w:sz w:val="18"/>
        </w:rPr>
        <w:t>very </w:t>
      </w:r>
      <w:r>
        <w:rPr>
          <w:color w:val="231F20"/>
          <w:w w:val="110"/>
          <w:sz w:val="18"/>
        </w:rPr>
        <w:t>positive</w:t>
      </w:r>
      <w:r>
        <w:rPr>
          <w:color w:val="231F20"/>
          <w:spacing w:val="4"/>
          <w:w w:val="110"/>
          <w:sz w:val="18"/>
        </w:rPr>
        <w:t> </w:t>
      </w:r>
      <w:r>
        <w:rPr>
          <w:color w:val="231F20"/>
          <w:w w:val="110"/>
          <w:sz w:val="18"/>
        </w:rPr>
        <w:t>comments.</w:t>
      </w:r>
    </w:p>
    <w:p>
      <w:pPr>
        <w:pStyle w:val="BodyText"/>
        <w:spacing w:before="8"/>
        <w:rPr>
          <w:sz w:val="20"/>
        </w:rPr>
      </w:pPr>
    </w:p>
    <w:p>
      <w:pPr>
        <w:pStyle w:val="ListParagraph"/>
        <w:numPr>
          <w:ilvl w:val="1"/>
          <w:numId w:val="240"/>
        </w:numPr>
        <w:tabs>
          <w:tab w:pos="1880" w:val="left" w:leader="none"/>
          <w:tab w:pos="1881" w:val="left" w:leader="none"/>
        </w:tabs>
        <w:spacing w:line="273" w:lineRule="auto" w:before="0" w:after="0"/>
        <w:ind w:left="1160" w:right="2283" w:firstLine="0"/>
        <w:jc w:val="left"/>
        <w:rPr>
          <w:sz w:val="18"/>
        </w:rPr>
      </w:pPr>
      <w:r>
        <w:rPr>
          <w:color w:val="231F20"/>
          <w:w w:val="110"/>
          <w:sz w:val="18"/>
        </w:rPr>
        <w:t>Exciting times are still ahead, so look out for news of the conference and perhaps for a changed name for this network in the future. New members are always welcome and the Convener is always interested to received your news and</w:t>
      </w:r>
      <w:r>
        <w:rPr>
          <w:color w:val="231F20"/>
          <w:spacing w:val="2"/>
          <w:w w:val="110"/>
          <w:sz w:val="18"/>
        </w:rPr>
        <w:t> </w:t>
      </w:r>
      <w:r>
        <w:rPr>
          <w:color w:val="231F20"/>
          <w:w w:val="110"/>
          <w:sz w:val="18"/>
        </w:rPr>
        <w:t>comments.</w:t>
      </w:r>
    </w:p>
    <w:p>
      <w:pPr>
        <w:spacing w:before="405"/>
        <w:ind w:left="4010" w:right="4623" w:firstLine="0"/>
        <w:jc w:val="center"/>
        <w:rPr>
          <w:i/>
          <w:sz w:val="24"/>
          <w:szCs w:val="24"/>
        </w:rPr>
      </w:pPr>
      <w:r>
        <w:rPr>
          <w:i/>
          <w:color w:val="231F20"/>
          <w:w w:val="330"/>
          <w:sz w:val="24"/>
          <w:szCs w:val="24"/>
        </w:rPr>
        <w:t>���</w:t>
      </w:r>
    </w:p>
    <w:p>
      <w:pPr>
        <w:spacing w:after="0"/>
        <w:jc w:val="center"/>
        <w:rPr>
          <w:sz w:val="24"/>
          <w:szCs w:val="24"/>
        </w:rPr>
        <w:sectPr>
          <w:headerReference w:type="default" r:id="rId599"/>
          <w:footerReference w:type="default" r:id="rId600"/>
          <w:pgSz w:w="11910" w:h="16840"/>
          <w:pgMar w:header="0" w:footer="564" w:top="1000" w:bottom="760" w:left="540" w:right="0"/>
          <w:pgNumType w:start="31"/>
        </w:sectPr>
      </w:pPr>
    </w:p>
    <w:p>
      <w:pPr>
        <w:pStyle w:val="BodyText"/>
        <w:spacing w:before="5"/>
        <w:rPr>
          <w:i/>
          <w:sz w:val="16"/>
        </w:rPr>
      </w:pPr>
    </w:p>
    <w:p>
      <w:pPr>
        <w:spacing w:after="0"/>
        <w:rPr>
          <w:sz w:val="16"/>
        </w:rPr>
        <w:sectPr>
          <w:headerReference w:type="even" r:id="rId601"/>
          <w:footerReference w:type="even" r:id="rId602"/>
          <w:pgSz w:w="11910" w:h="16840"/>
          <w:pgMar w:header="0" w:footer="0" w:top="1580" w:bottom="280" w:left="540" w:right="0"/>
        </w:sectPr>
      </w:pPr>
    </w:p>
    <w:p>
      <w:pPr>
        <w:pStyle w:val="ListParagraph"/>
        <w:numPr>
          <w:ilvl w:val="0"/>
          <w:numId w:val="241"/>
        </w:numPr>
        <w:tabs>
          <w:tab w:pos="1880" w:val="left" w:leader="none"/>
          <w:tab w:pos="1881" w:val="left" w:leader="none"/>
        </w:tabs>
        <w:spacing w:line="273" w:lineRule="auto" w:before="83" w:after="0"/>
        <w:ind w:left="1160" w:right="2735" w:firstLine="0"/>
        <w:jc w:val="left"/>
        <w:rPr>
          <w:color w:val="231F20"/>
          <w:sz w:val="18"/>
        </w:rPr>
      </w:pPr>
      <w:r>
        <w:rPr/>
        <w:pict>
          <v:shape style="position:absolute;margin-left:471.625031pt;margin-top:36.840614pt;width:103.5pt;height:712.3pt;mso-position-horizontal-relative:page;mso-position-vertical-relative:page;z-index:252184576" type="#_x0000_t202" filled="false" stroked="false">
            <v:textbox inset="0,0,0,0" style="layout-flow:vertical">
              <w:txbxContent>
                <w:p>
                  <w:pPr>
                    <w:spacing w:line="187" w:lineRule="auto" w:before="214"/>
                    <w:ind w:left="922" w:right="0" w:hanging="903"/>
                    <w:jc w:val="left"/>
                    <w:rPr>
                      <w:rFonts w:ascii="Eurostile Bold"/>
                      <w:b/>
                      <w:sz w:val="36"/>
                    </w:rPr>
                  </w:pPr>
                  <w:r>
                    <w:rPr>
                      <w:b/>
                      <w:color w:val="231F20"/>
                      <w:spacing w:val="-7"/>
                      <w:sz w:val="88"/>
                    </w:rPr>
                    <w:t>Schools related </w:t>
                  </w:r>
                  <w:r>
                    <w:rPr>
                      <w:b/>
                      <w:color w:val="231F20"/>
                      <w:spacing w:val="-3"/>
                      <w:sz w:val="88"/>
                    </w:rPr>
                    <w:t>to </w:t>
                  </w:r>
                  <w:r>
                    <w:rPr>
                      <w:b/>
                      <w:color w:val="231F20"/>
                      <w:spacing w:val="-6"/>
                      <w:sz w:val="88"/>
                    </w:rPr>
                    <w:t>the </w:t>
                  </w:r>
                  <w:r>
                    <w:rPr>
                      <w:b/>
                      <w:color w:val="231F20"/>
                      <w:spacing w:val="-10"/>
                      <w:sz w:val="88"/>
                    </w:rPr>
                    <w:t>United </w:t>
                  </w:r>
                  <w:r>
                    <w:rPr>
                      <w:b/>
                      <w:color w:val="231F20"/>
                      <w:spacing w:val="-27"/>
                      <w:w w:val="99"/>
                      <w:position w:val="-53"/>
                      <w:sz w:val="88"/>
                    </w:rPr>
                    <w:t>R</w:t>
                  </w:r>
                  <w:r>
                    <w:rPr>
                      <w:b/>
                      <w:color w:val="231F20"/>
                      <w:spacing w:val="-3"/>
                      <w:w w:val="99"/>
                      <w:position w:val="-53"/>
                      <w:sz w:val="88"/>
                    </w:rPr>
                    <w:t>e</w:t>
                  </w:r>
                  <w:r>
                    <w:rPr>
                      <w:b/>
                      <w:color w:val="231F20"/>
                      <w:spacing w:val="-10"/>
                      <w:w w:val="99"/>
                      <w:position w:val="-53"/>
                      <w:sz w:val="88"/>
                    </w:rPr>
                    <w:t>f</w:t>
                  </w:r>
                  <w:r>
                    <w:rPr>
                      <w:b/>
                      <w:color w:val="231F20"/>
                      <w:spacing w:val="-15"/>
                      <w:position w:val="-53"/>
                      <w:sz w:val="88"/>
                    </w:rPr>
                    <w:t>o</w:t>
                  </w:r>
                  <w:r>
                    <w:rPr>
                      <w:b/>
                      <w:color w:val="231F20"/>
                      <w:spacing w:val="-16"/>
                      <w:w w:val="99"/>
                      <w:position w:val="-53"/>
                      <w:sz w:val="88"/>
                    </w:rPr>
                    <w:t>r</w:t>
                  </w:r>
                  <w:r>
                    <w:rPr>
                      <w:b/>
                      <w:color w:val="231F20"/>
                      <w:spacing w:val="-15"/>
                      <w:w w:val="99"/>
                      <w:position w:val="-53"/>
                      <w:sz w:val="88"/>
                    </w:rPr>
                    <w:t>m</w:t>
                  </w:r>
                  <w:r>
                    <w:rPr>
                      <w:b/>
                      <w:color w:val="231F20"/>
                      <w:w w:val="99"/>
                      <w:position w:val="-53"/>
                      <w:sz w:val="88"/>
                    </w:rPr>
                    <w:t>ed</w:t>
                  </w:r>
                  <w:r>
                    <w:rPr>
                      <w:b/>
                      <w:color w:val="231F20"/>
                      <w:position w:val="-53"/>
                      <w:sz w:val="88"/>
                    </w:rPr>
                    <w:t> </w:t>
                  </w:r>
                  <w:r>
                    <w:rPr>
                      <w:b/>
                      <w:color w:val="231F20"/>
                      <w:spacing w:val="-6"/>
                      <w:position w:val="-53"/>
                      <w:sz w:val="88"/>
                    </w:rPr>
                    <w:t>C</w:t>
                  </w:r>
                  <w:r>
                    <w:rPr>
                      <w:b/>
                      <w:color w:val="231F20"/>
                      <w:spacing w:val="-21"/>
                      <w:w w:val="99"/>
                      <w:position w:val="-53"/>
                      <w:sz w:val="88"/>
                    </w:rPr>
                    <w:t>h</w:t>
                  </w:r>
                  <w:r>
                    <w:rPr>
                      <w:b/>
                      <w:color w:val="231F20"/>
                      <w:spacing w:val="-20"/>
                      <w:w w:val="99"/>
                      <w:position w:val="-53"/>
                      <w:sz w:val="88"/>
                    </w:rPr>
                    <w:t>u</w:t>
                  </w:r>
                  <w:r>
                    <w:rPr>
                      <w:b/>
                      <w:color w:val="231F20"/>
                      <w:spacing w:val="-3"/>
                      <w:w w:val="99"/>
                      <w:position w:val="-53"/>
                      <w:sz w:val="88"/>
                    </w:rPr>
                    <w:t>r</w:t>
                  </w:r>
                  <w:r>
                    <w:rPr>
                      <w:b/>
                      <w:color w:val="231F20"/>
                      <w:spacing w:val="-1"/>
                      <w:w w:val="99"/>
                      <w:position w:val="-53"/>
                      <w:sz w:val="88"/>
                    </w:rPr>
                    <w:t>c</w:t>
                  </w:r>
                  <w:r>
                    <w:rPr>
                      <w:b/>
                      <w:color w:val="231F20"/>
                      <w:spacing w:val="33"/>
                      <w:w w:val="99"/>
                      <w:position w:val="-53"/>
                      <w:sz w:val="88"/>
                    </w:rPr>
                    <w:t>h</w:t>
                  </w:r>
                  <w:r>
                    <w:rPr>
                      <w:rFonts w:ascii="Eurostile Bold"/>
                      <w:b/>
                      <w:color w:val="A7A9AC"/>
                      <w:spacing w:val="-1"/>
                      <w:w w:val="85"/>
                      <w:sz w:val="36"/>
                    </w:rPr>
                    <w:t>Genera</w:t>
                  </w:r>
                  <w:r>
                    <w:rPr>
                      <w:rFonts w:ascii="Eurostile Bold"/>
                      <w:b/>
                      <w:color w:val="A7A9AC"/>
                      <w:w w:val="85"/>
                      <w:sz w:val="36"/>
                    </w:rPr>
                    <w:t>l</w:t>
                  </w:r>
                  <w:r>
                    <w:rPr>
                      <w:rFonts w:ascii="Eurostile Bold"/>
                      <w:b/>
                      <w:color w:val="A7A9AC"/>
                      <w:sz w:val="36"/>
                    </w:rPr>
                    <w:t> </w:t>
                  </w:r>
                  <w:r>
                    <w:rPr>
                      <w:rFonts w:ascii="Eurostile Bold"/>
                      <w:b/>
                      <w:color w:val="A7A9AC"/>
                      <w:w w:val="85"/>
                      <w:sz w:val="36"/>
                    </w:rPr>
                    <w:t>Assembly</w:t>
                  </w:r>
                  <w:r>
                    <w:rPr>
                      <w:rFonts w:ascii="Eurostile Bold"/>
                      <w:b/>
                      <w:color w:val="A7A9AC"/>
                      <w:sz w:val="36"/>
                    </w:rPr>
                    <w:t> </w:t>
                  </w:r>
                  <w:r>
                    <w:rPr>
                      <w:rFonts w:ascii="Eurostile Bold"/>
                      <w:b/>
                      <w:color w:val="A7A9AC"/>
                      <w:spacing w:val="-1"/>
                      <w:w w:val="87"/>
                      <w:sz w:val="36"/>
                    </w:rPr>
                    <w:t>2007</w:t>
                  </w:r>
                </w:p>
              </w:txbxContent>
            </v:textbox>
            <w10:wrap type="none"/>
          </v:shape>
        </w:pict>
      </w:r>
      <w:r>
        <w:rPr>
          <w:color w:val="231F20"/>
          <w:w w:val="110"/>
          <w:sz w:val="18"/>
        </w:rPr>
        <w:t>Representatives of the Schools met for their annual meeting in London on 5 June 2006. Among items for discussion were overseas links and a meeting in</w:t>
      </w:r>
      <w:r>
        <w:rPr>
          <w:color w:val="231F20"/>
          <w:spacing w:val="4"/>
          <w:w w:val="110"/>
          <w:sz w:val="18"/>
        </w:rPr>
        <w:t> </w:t>
      </w:r>
      <w:r>
        <w:rPr>
          <w:color w:val="231F20"/>
          <w:spacing w:val="-4"/>
          <w:w w:val="110"/>
          <w:sz w:val="18"/>
        </w:rPr>
        <w:t>Taizé.</w:t>
      </w:r>
    </w:p>
    <w:p>
      <w:pPr>
        <w:pStyle w:val="BodyText"/>
        <w:spacing w:before="8"/>
        <w:rPr>
          <w:sz w:val="20"/>
        </w:rPr>
      </w:pPr>
    </w:p>
    <w:p>
      <w:pPr>
        <w:pStyle w:val="ListParagraph"/>
        <w:numPr>
          <w:ilvl w:val="0"/>
          <w:numId w:val="241"/>
        </w:numPr>
        <w:tabs>
          <w:tab w:pos="1881" w:val="left" w:leader="none"/>
        </w:tabs>
        <w:spacing w:line="273" w:lineRule="auto" w:before="1" w:after="0"/>
        <w:ind w:left="1160" w:right="3148" w:firstLine="0"/>
        <w:jc w:val="both"/>
        <w:rPr>
          <w:color w:val="231F20"/>
          <w:sz w:val="18"/>
        </w:rPr>
      </w:pPr>
      <w:r>
        <w:rPr>
          <w:color w:val="231F20"/>
          <w:w w:val="110"/>
          <w:sz w:val="18"/>
        </w:rPr>
        <w:t>While the Milton Mount Foundation is currently able to provide aid only in exceptional circumstances, the Schools are grateful to the Leverhulme Trade Charities Trust which has approved a </w:t>
      </w:r>
      <w:r>
        <w:rPr>
          <w:color w:val="231F20"/>
          <w:spacing w:val="2"/>
          <w:w w:val="110"/>
          <w:sz w:val="18"/>
        </w:rPr>
        <w:t>further </w:t>
      </w:r>
      <w:r>
        <w:rPr>
          <w:color w:val="231F20"/>
          <w:w w:val="110"/>
          <w:sz w:val="18"/>
        </w:rPr>
        <w:t>grant for each of the three years </w:t>
      </w:r>
      <w:r>
        <w:rPr>
          <w:color w:val="231F20"/>
          <w:spacing w:val="2"/>
          <w:w w:val="110"/>
          <w:sz w:val="18"/>
        </w:rPr>
        <w:t>starting </w:t>
      </w:r>
      <w:r>
        <w:rPr>
          <w:color w:val="231F20"/>
          <w:w w:val="110"/>
          <w:sz w:val="18"/>
        </w:rPr>
        <w:t>in July</w:t>
      </w:r>
      <w:r>
        <w:rPr>
          <w:color w:val="231F20"/>
          <w:spacing w:val="21"/>
          <w:w w:val="110"/>
          <w:sz w:val="18"/>
        </w:rPr>
        <w:t> </w:t>
      </w:r>
      <w:r>
        <w:rPr>
          <w:color w:val="231F20"/>
          <w:spacing w:val="-6"/>
          <w:w w:val="110"/>
          <w:sz w:val="18"/>
        </w:rPr>
        <w:t>2007.</w:t>
      </w:r>
    </w:p>
    <w:p>
      <w:pPr>
        <w:pStyle w:val="BodyText"/>
        <w:spacing w:before="9"/>
        <w:rPr>
          <w:sz w:val="20"/>
        </w:rPr>
      </w:pPr>
    </w:p>
    <w:p>
      <w:pPr>
        <w:pStyle w:val="ListParagraph"/>
        <w:numPr>
          <w:ilvl w:val="0"/>
          <w:numId w:val="241"/>
        </w:numPr>
        <w:tabs>
          <w:tab w:pos="1880" w:val="left" w:leader="none"/>
          <w:tab w:pos="1881" w:val="left" w:leader="none"/>
        </w:tabs>
        <w:spacing w:line="273" w:lineRule="auto" w:before="0" w:after="0"/>
        <w:ind w:left="1160" w:right="2799" w:firstLine="0"/>
        <w:jc w:val="left"/>
        <w:rPr>
          <w:color w:val="231F20"/>
          <w:sz w:val="18"/>
        </w:rPr>
      </w:pPr>
      <w:r>
        <w:rPr>
          <w:color w:val="231F20"/>
          <w:w w:val="110"/>
          <w:sz w:val="18"/>
        </w:rPr>
        <w:t>The Schools remain conscious of the distinctive and testing trust </w:t>
      </w:r>
      <w:r>
        <w:rPr>
          <w:color w:val="231F20"/>
          <w:spacing w:val="3"/>
          <w:w w:val="110"/>
          <w:sz w:val="18"/>
        </w:rPr>
        <w:t>left </w:t>
      </w:r>
      <w:r>
        <w:rPr>
          <w:color w:val="231F20"/>
          <w:w w:val="110"/>
          <w:sz w:val="18"/>
        </w:rPr>
        <w:t>to them by their founders and are privileged to respond to that trust in constantly changing times. They value the continuing interest of the churches and missionary agencies which brought them into</w:t>
      </w:r>
      <w:r>
        <w:rPr>
          <w:color w:val="231F20"/>
          <w:spacing w:val="63"/>
          <w:w w:val="110"/>
          <w:sz w:val="18"/>
        </w:rPr>
        <w:t> </w:t>
      </w:r>
      <w:r>
        <w:rPr>
          <w:color w:val="231F20"/>
          <w:w w:val="110"/>
          <w:sz w:val="18"/>
        </w:rPr>
        <w:t>being.</w:t>
      </w:r>
    </w:p>
    <w:p>
      <w:pPr>
        <w:pStyle w:val="BodyText"/>
        <w:spacing w:before="1"/>
        <w:rPr>
          <w:sz w:val="19"/>
        </w:rPr>
      </w:pPr>
    </w:p>
    <w:p>
      <w:pPr>
        <w:numPr>
          <w:ilvl w:val="0"/>
          <w:numId w:val="241"/>
        </w:numPr>
        <w:tabs>
          <w:tab w:pos="1881" w:val="left" w:leader="none"/>
        </w:tabs>
        <w:spacing w:before="0"/>
        <w:ind w:left="1880" w:right="0" w:hanging="721"/>
        <w:jc w:val="both"/>
        <w:rPr>
          <w:b/>
          <w:color w:val="231F20"/>
          <w:sz w:val="20"/>
        </w:rPr>
      </w:pPr>
      <w:r>
        <w:rPr>
          <w:b/>
          <w:color w:val="231F20"/>
          <w:w w:val="110"/>
          <w:sz w:val="20"/>
        </w:rPr>
        <w:t>Caterham</w:t>
      </w:r>
      <w:r>
        <w:rPr>
          <w:b/>
          <w:color w:val="231F20"/>
          <w:spacing w:val="-1"/>
          <w:w w:val="110"/>
          <w:sz w:val="20"/>
        </w:rPr>
        <w:t> </w:t>
      </w:r>
      <w:r>
        <w:rPr>
          <w:b/>
          <w:color w:val="231F20"/>
          <w:w w:val="110"/>
          <w:sz w:val="20"/>
        </w:rPr>
        <w:t>School</w:t>
      </w:r>
    </w:p>
    <w:p>
      <w:pPr>
        <w:pStyle w:val="BodyText"/>
        <w:spacing w:before="10"/>
        <w:rPr>
          <w:b/>
          <w:sz w:val="22"/>
        </w:rPr>
      </w:pPr>
    </w:p>
    <w:p>
      <w:pPr>
        <w:pStyle w:val="ListParagraph"/>
        <w:numPr>
          <w:ilvl w:val="1"/>
          <w:numId w:val="241"/>
        </w:numPr>
        <w:tabs>
          <w:tab w:pos="1880" w:val="left" w:leader="none"/>
          <w:tab w:pos="1881" w:val="left" w:leader="none"/>
        </w:tabs>
        <w:spacing w:line="273" w:lineRule="auto" w:before="0" w:after="0"/>
        <w:ind w:left="1160" w:right="3514" w:firstLine="0"/>
        <w:jc w:val="left"/>
        <w:rPr>
          <w:sz w:val="18"/>
        </w:rPr>
      </w:pPr>
      <w:r>
        <w:rPr>
          <w:color w:val="231F20"/>
          <w:w w:val="110"/>
          <w:sz w:val="18"/>
        </w:rPr>
        <w:t>The past year has been a </w:t>
      </w:r>
      <w:r>
        <w:rPr>
          <w:color w:val="231F20"/>
          <w:spacing w:val="2"/>
          <w:w w:val="110"/>
          <w:sz w:val="18"/>
        </w:rPr>
        <w:t>very </w:t>
      </w:r>
      <w:r>
        <w:rPr>
          <w:color w:val="231F20"/>
          <w:w w:val="110"/>
          <w:sz w:val="18"/>
        </w:rPr>
        <w:t>busy and rewarding one for everyone at the</w:t>
      </w:r>
      <w:r>
        <w:rPr>
          <w:color w:val="231F20"/>
          <w:spacing w:val="3"/>
          <w:w w:val="110"/>
          <w:sz w:val="18"/>
        </w:rPr>
        <w:t> </w:t>
      </w:r>
      <w:r>
        <w:rPr>
          <w:color w:val="231F20"/>
          <w:w w:val="110"/>
          <w:sz w:val="18"/>
        </w:rPr>
        <w:t>school.</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0" w:after="0"/>
        <w:ind w:left="1160" w:right="3071" w:firstLine="0"/>
        <w:jc w:val="left"/>
        <w:rPr>
          <w:sz w:val="18"/>
        </w:rPr>
      </w:pPr>
      <w:r>
        <w:rPr>
          <w:color w:val="231F20"/>
          <w:spacing w:val="-3"/>
          <w:w w:val="110"/>
          <w:sz w:val="18"/>
        </w:rPr>
        <w:t>We </w:t>
      </w:r>
      <w:r>
        <w:rPr>
          <w:color w:val="231F20"/>
          <w:w w:val="110"/>
          <w:sz w:val="18"/>
        </w:rPr>
        <w:t>have had excellent examination results.  At A-Level, 53%  of</w:t>
      </w:r>
      <w:r>
        <w:rPr>
          <w:color w:val="231F20"/>
          <w:spacing w:val="6"/>
          <w:w w:val="110"/>
          <w:sz w:val="18"/>
        </w:rPr>
        <w:t> </w:t>
      </w:r>
      <w:r>
        <w:rPr>
          <w:color w:val="231F20"/>
          <w:w w:val="110"/>
          <w:sz w:val="18"/>
        </w:rPr>
        <w:t>the</w:t>
      </w:r>
      <w:r>
        <w:rPr>
          <w:color w:val="231F20"/>
          <w:spacing w:val="7"/>
          <w:w w:val="110"/>
          <w:sz w:val="18"/>
        </w:rPr>
        <w:t> </w:t>
      </w:r>
      <w:r>
        <w:rPr>
          <w:color w:val="231F20"/>
          <w:w w:val="110"/>
          <w:sz w:val="18"/>
        </w:rPr>
        <w:t>grades</w:t>
      </w:r>
      <w:r>
        <w:rPr>
          <w:color w:val="231F20"/>
          <w:spacing w:val="7"/>
          <w:w w:val="110"/>
          <w:sz w:val="18"/>
        </w:rPr>
        <w:t> </w:t>
      </w:r>
      <w:r>
        <w:rPr>
          <w:color w:val="231F20"/>
          <w:w w:val="110"/>
          <w:sz w:val="18"/>
        </w:rPr>
        <w:t>were</w:t>
      </w:r>
      <w:r>
        <w:rPr>
          <w:color w:val="231F20"/>
          <w:spacing w:val="7"/>
          <w:w w:val="110"/>
          <w:sz w:val="18"/>
        </w:rPr>
        <w:t> </w:t>
      </w:r>
      <w:r>
        <w:rPr>
          <w:color w:val="231F20"/>
          <w:w w:val="110"/>
          <w:sz w:val="18"/>
        </w:rPr>
        <w:t>A</w:t>
      </w:r>
      <w:r>
        <w:rPr>
          <w:color w:val="231F20"/>
          <w:spacing w:val="7"/>
          <w:w w:val="110"/>
          <w:sz w:val="18"/>
        </w:rPr>
        <w:t> </w:t>
      </w:r>
      <w:r>
        <w:rPr>
          <w:color w:val="231F20"/>
          <w:spacing w:val="-6"/>
          <w:w w:val="110"/>
          <w:sz w:val="18"/>
        </w:rPr>
        <w:t>(up</w:t>
      </w:r>
      <w:r>
        <w:rPr>
          <w:color w:val="231F20"/>
          <w:spacing w:val="7"/>
          <w:w w:val="110"/>
          <w:sz w:val="18"/>
        </w:rPr>
        <w:t> </w:t>
      </w:r>
      <w:r>
        <w:rPr>
          <w:color w:val="231F20"/>
          <w:spacing w:val="2"/>
          <w:w w:val="110"/>
          <w:sz w:val="18"/>
        </w:rPr>
        <w:t>from</w:t>
      </w:r>
      <w:r>
        <w:rPr>
          <w:color w:val="231F20"/>
          <w:spacing w:val="7"/>
          <w:w w:val="110"/>
          <w:sz w:val="18"/>
        </w:rPr>
        <w:t> </w:t>
      </w:r>
      <w:r>
        <w:rPr>
          <w:color w:val="231F20"/>
          <w:w w:val="110"/>
          <w:sz w:val="18"/>
        </w:rPr>
        <w:t>50%</w:t>
      </w:r>
      <w:r>
        <w:rPr>
          <w:color w:val="231F20"/>
          <w:spacing w:val="7"/>
          <w:w w:val="110"/>
          <w:sz w:val="18"/>
        </w:rPr>
        <w:t> </w:t>
      </w:r>
      <w:r>
        <w:rPr>
          <w:color w:val="231F20"/>
          <w:w w:val="110"/>
          <w:sz w:val="18"/>
        </w:rPr>
        <w:t>last</w:t>
      </w:r>
      <w:r>
        <w:rPr>
          <w:color w:val="231F20"/>
          <w:spacing w:val="7"/>
          <w:w w:val="110"/>
          <w:sz w:val="18"/>
        </w:rPr>
        <w:t> </w:t>
      </w:r>
      <w:r>
        <w:rPr>
          <w:color w:val="231F20"/>
          <w:spacing w:val="-3"/>
          <w:w w:val="110"/>
          <w:sz w:val="18"/>
        </w:rPr>
        <w:t>year),</w:t>
      </w:r>
      <w:r>
        <w:rPr>
          <w:color w:val="231F20"/>
          <w:spacing w:val="7"/>
          <w:w w:val="110"/>
          <w:sz w:val="18"/>
        </w:rPr>
        <w:t> </w:t>
      </w:r>
      <w:r>
        <w:rPr>
          <w:color w:val="231F20"/>
          <w:w w:val="110"/>
          <w:sz w:val="18"/>
        </w:rPr>
        <w:t>35%</w:t>
      </w:r>
      <w:r>
        <w:rPr>
          <w:color w:val="231F20"/>
          <w:spacing w:val="7"/>
          <w:w w:val="110"/>
          <w:sz w:val="18"/>
        </w:rPr>
        <w:t> </w:t>
      </w:r>
      <w:r>
        <w:rPr>
          <w:color w:val="231F20"/>
          <w:w w:val="110"/>
          <w:sz w:val="18"/>
        </w:rPr>
        <w:t>of</w:t>
      </w:r>
      <w:r>
        <w:rPr>
          <w:color w:val="231F20"/>
          <w:spacing w:val="7"/>
          <w:w w:val="110"/>
          <w:sz w:val="18"/>
        </w:rPr>
        <w:t> </w:t>
      </w:r>
      <w:r>
        <w:rPr>
          <w:color w:val="231F20"/>
          <w:w w:val="110"/>
          <w:sz w:val="18"/>
        </w:rPr>
        <w:t>pupils</w:t>
      </w:r>
      <w:r>
        <w:rPr>
          <w:color w:val="231F20"/>
          <w:spacing w:val="7"/>
          <w:w w:val="110"/>
          <w:sz w:val="18"/>
        </w:rPr>
        <w:t> </w:t>
      </w:r>
      <w:r>
        <w:rPr>
          <w:color w:val="231F20"/>
          <w:w w:val="110"/>
          <w:sz w:val="18"/>
        </w:rPr>
        <w:t>achieved</w:t>
      </w:r>
    </w:p>
    <w:p>
      <w:pPr>
        <w:pStyle w:val="BodyText"/>
        <w:spacing w:line="273" w:lineRule="auto" w:before="1"/>
        <w:ind w:left="1160" w:right="2801"/>
      </w:pPr>
      <w:r>
        <w:rPr>
          <w:color w:val="231F20"/>
          <w:w w:val="110"/>
        </w:rPr>
        <w:t>straight A’s compared to 22% in 2005, over 90% of pupils went to their first choice university (vs 85% last year), 79% of pupils accepted places at the ‘Top Tier’ Universities (vs 66% last year), and thirteen pupils accepted places at Oxford or Cambridge.</w:t>
      </w:r>
    </w:p>
    <w:p>
      <w:pPr>
        <w:pStyle w:val="BodyText"/>
        <w:spacing w:before="10"/>
        <w:rPr>
          <w:sz w:val="20"/>
        </w:rPr>
      </w:pPr>
    </w:p>
    <w:p>
      <w:pPr>
        <w:pStyle w:val="ListParagraph"/>
        <w:numPr>
          <w:ilvl w:val="1"/>
          <w:numId w:val="241"/>
        </w:numPr>
        <w:tabs>
          <w:tab w:pos="1880" w:val="left" w:leader="none"/>
          <w:tab w:pos="1881" w:val="left" w:leader="none"/>
        </w:tabs>
        <w:spacing w:line="273" w:lineRule="auto" w:before="0" w:after="0"/>
        <w:ind w:left="1160" w:right="3445" w:hanging="1"/>
        <w:jc w:val="left"/>
        <w:rPr>
          <w:sz w:val="18"/>
        </w:rPr>
      </w:pPr>
      <w:r>
        <w:rPr>
          <w:color w:val="231F20"/>
          <w:spacing w:val="-3"/>
          <w:w w:val="110"/>
          <w:sz w:val="18"/>
        </w:rPr>
        <w:t>We </w:t>
      </w:r>
      <w:r>
        <w:rPr>
          <w:color w:val="231F20"/>
          <w:w w:val="110"/>
          <w:sz w:val="18"/>
        </w:rPr>
        <w:t>did well at GCSE too with 99% of pupils achieving </w:t>
      </w:r>
      <w:r>
        <w:rPr>
          <w:color w:val="231F20"/>
          <w:spacing w:val="-4"/>
          <w:w w:val="110"/>
          <w:sz w:val="18"/>
        </w:rPr>
        <w:t>A*–C </w:t>
      </w:r>
      <w:r>
        <w:rPr>
          <w:color w:val="231F20"/>
          <w:w w:val="110"/>
          <w:sz w:val="18"/>
        </w:rPr>
        <w:t>and </w:t>
      </w:r>
      <w:r>
        <w:rPr>
          <w:color w:val="231F20"/>
          <w:spacing w:val="-9"/>
          <w:w w:val="110"/>
          <w:sz w:val="18"/>
        </w:rPr>
        <w:t>91% </w:t>
      </w:r>
      <w:r>
        <w:rPr>
          <w:color w:val="231F20"/>
          <w:w w:val="110"/>
          <w:sz w:val="18"/>
        </w:rPr>
        <w:t>achieving</w:t>
      </w:r>
      <w:r>
        <w:rPr>
          <w:color w:val="231F20"/>
          <w:spacing w:val="12"/>
          <w:w w:val="110"/>
          <w:sz w:val="18"/>
        </w:rPr>
        <w:t> </w:t>
      </w:r>
      <w:r>
        <w:rPr>
          <w:color w:val="231F20"/>
          <w:spacing w:val="-4"/>
          <w:w w:val="110"/>
          <w:sz w:val="18"/>
        </w:rPr>
        <w:t>A*–B.</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0" w:after="0"/>
        <w:ind w:left="1161" w:right="2997" w:hanging="1"/>
        <w:jc w:val="left"/>
        <w:rPr>
          <w:sz w:val="18"/>
        </w:rPr>
      </w:pPr>
      <w:r>
        <w:rPr>
          <w:color w:val="231F20"/>
          <w:w w:val="110"/>
          <w:sz w:val="18"/>
        </w:rPr>
        <w:t>As a </w:t>
      </w:r>
      <w:r>
        <w:rPr>
          <w:color w:val="231F20"/>
          <w:spacing w:val="-3"/>
          <w:w w:val="110"/>
          <w:sz w:val="18"/>
        </w:rPr>
        <w:t>day </w:t>
      </w:r>
      <w:r>
        <w:rPr>
          <w:color w:val="231F20"/>
          <w:w w:val="110"/>
          <w:sz w:val="18"/>
        </w:rPr>
        <w:t>and boarding school, we </w:t>
      </w:r>
      <w:r>
        <w:rPr>
          <w:color w:val="231F20"/>
          <w:spacing w:val="-3"/>
          <w:w w:val="110"/>
          <w:sz w:val="18"/>
        </w:rPr>
        <w:t>have </w:t>
      </w:r>
      <w:r>
        <w:rPr>
          <w:color w:val="231F20"/>
          <w:w w:val="110"/>
          <w:sz w:val="18"/>
        </w:rPr>
        <w:t>to provide a wide range of extra-curricular activities. In fact, we </w:t>
      </w:r>
      <w:r>
        <w:rPr>
          <w:color w:val="231F20"/>
          <w:spacing w:val="-3"/>
          <w:w w:val="110"/>
          <w:sz w:val="18"/>
        </w:rPr>
        <w:t>have </w:t>
      </w:r>
      <w:r>
        <w:rPr>
          <w:color w:val="231F20"/>
          <w:w w:val="110"/>
          <w:sz w:val="18"/>
        </w:rPr>
        <w:t>nearly </w:t>
      </w:r>
      <w:r>
        <w:rPr>
          <w:color w:val="231F20"/>
          <w:spacing w:val="2"/>
          <w:w w:val="110"/>
          <w:sz w:val="18"/>
        </w:rPr>
        <w:t>forty </w:t>
      </w:r>
      <w:r>
        <w:rPr>
          <w:color w:val="231F20"/>
          <w:w w:val="110"/>
          <w:sz w:val="18"/>
        </w:rPr>
        <w:t>which means that we need real commitment from the staff, which they provide with great enthusiasm. The Combined Cadet Force is thriving with</w:t>
      </w:r>
      <w:r>
        <w:rPr>
          <w:color w:val="231F20"/>
          <w:spacing w:val="-12"/>
          <w:w w:val="110"/>
          <w:sz w:val="18"/>
        </w:rPr>
        <w:t> </w:t>
      </w:r>
      <w:r>
        <w:rPr>
          <w:color w:val="231F20"/>
          <w:spacing w:val="-3"/>
          <w:w w:val="110"/>
          <w:sz w:val="18"/>
        </w:rPr>
        <w:t>over</w:t>
      </w:r>
    </w:p>
    <w:p>
      <w:pPr>
        <w:pStyle w:val="BodyText"/>
        <w:spacing w:line="273" w:lineRule="auto" w:before="2"/>
        <w:ind w:left="1160" w:right="2799" w:firstLine="3"/>
      </w:pPr>
      <w:r>
        <w:rPr>
          <w:color w:val="231F20"/>
          <w:spacing w:val="-3"/>
          <w:w w:val="110"/>
        </w:rPr>
        <w:t>100 </w:t>
      </w:r>
      <w:r>
        <w:rPr>
          <w:color w:val="231F20"/>
          <w:w w:val="110"/>
        </w:rPr>
        <w:t>cadets and the </w:t>
      </w:r>
      <w:r>
        <w:rPr>
          <w:color w:val="231F20"/>
          <w:spacing w:val="-3"/>
          <w:w w:val="110"/>
        </w:rPr>
        <w:t>Duke </w:t>
      </w:r>
      <w:r>
        <w:rPr>
          <w:color w:val="231F20"/>
          <w:w w:val="110"/>
        </w:rPr>
        <w:t>of Edinburgh Scheme goes from strength to strength. </w:t>
      </w:r>
      <w:r>
        <w:rPr>
          <w:color w:val="231F20"/>
          <w:spacing w:val="-4"/>
          <w:w w:val="110"/>
        </w:rPr>
        <w:t>We </w:t>
      </w:r>
      <w:r>
        <w:rPr>
          <w:color w:val="231F20"/>
          <w:w w:val="110"/>
        </w:rPr>
        <w:t>had some spectacular events performed by pupils. </w:t>
      </w:r>
      <w:r>
        <w:rPr>
          <w:i/>
          <w:color w:val="231F20"/>
          <w:w w:val="110"/>
        </w:rPr>
        <w:t>Les </w:t>
      </w:r>
      <w:r>
        <w:rPr>
          <w:i/>
          <w:color w:val="231F20"/>
          <w:w w:val="110"/>
        </w:rPr>
        <w:t>Misérables </w:t>
      </w:r>
      <w:r>
        <w:rPr>
          <w:color w:val="231F20"/>
          <w:w w:val="110"/>
        </w:rPr>
        <w:t>achieved standing ovations on both nights and the Monsters  of Rock concert packed them in too. One of the outstanding trips that we organised was a trek across the ice fields in Iceland for Sixth Form pupils. This stretched them to the limit and they came through</w:t>
      </w:r>
      <w:r>
        <w:rPr>
          <w:color w:val="231F20"/>
          <w:spacing w:val="-22"/>
          <w:w w:val="110"/>
        </w:rPr>
        <w:t> </w:t>
      </w:r>
      <w:r>
        <w:rPr>
          <w:color w:val="231F20"/>
          <w:w w:val="110"/>
        </w:rPr>
        <w:t>wonderfully.</w:t>
      </w:r>
    </w:p>
    <w:p>
      <w:pPr>
        <w:pStyle w:val="BodyText"/>
        <w:spacing w:before="11"/>
        <w:rPr>
          <w:sz w:val="20"/>
        </w:rPr>
      </w:pPr>
    </w:p>
    <w:p>
      <w:pPr>
        <w:pStyle w:val="ListParagraph"/>
        <w:numPr>
          <w:ilvl w:val="1"/>
          <w:numId w:val="241"/>
        </w:numPr>
        <w:tabs>
          <w:tab w:pos="1881" w:val="left" w:leader="none"/>
          <w:tab w:pos="1882" w:val="left" w:leader="none"/>
        </w:tabs>
        <w:spacing w:line="273" w:lineRule="auto" w:before="0" w:after="0"/>
        <w:ind w:left="1161" w:right="2665" w:firstLine="0"/>
        <w:jc w:val="left"/>
        <w:rPr>
          <w:sz w:val="18"/>
        </w:rPr>
      </w:pPr>
      <w:r>
        <w:rPr>
          <w:color w:val="231F20"/>
          <w:w w:val="110"/>
          <w:sz w:val="18"/>
        </w:rPr>
        <w:t>In </w:t>
      </w:r>
      <w:r>
        <w:rPr>
          <w:color w:val="231F20"/>
          <w:spacing w:val="3"/>
          <w:w w:val="110"/>
          <w:sz w:val="18"/>
        </w:rPr>
        <w:t>sports </w:t>
      </w:r>
      <w:r>
        <w:rPr>
          <w:color w:val="231F20"/>
          <w:w w:val="110"/>
          <w:sz w:val="18"/>
        </w:rPr>
        <w:t>we had some good and some </w:t>
      </w:r>
      <w:r>
        <w:rPr>
          <w:color w:val="231F20"/>
          <w:spacing w:val="2"/>
          <w:w w:val="110"/>
          <w:sz w:val="18"/>
        </w:rPr>
        <w:t>very </w:t>
      </w:r>
      <w:r>
        <w:rPr>
          <w:color w:val="231F20"/>
          <w:w w:val="110"/>
          <w:sz w:val="18"/>
        </w:rPr>
        <w:t>good results. </w:t>
      </w:r>
      <w:r>
        <w:rPr>
          <w:color w:val="231F20"/>
          <w:spacing w:val="-3"/>
          <w:w w:val="110"/>
          <w:sz w:val="18"/>
        </w:rPr>
        <w:t>We </w:t>
      </w:r>
      <w:r>
        <w:rPr>
          <w:color w:val="231F20"/>
          <w:w w:val="110"/>
          <w:sz w:val="18"/>
        </w:rPr>
        <w:t>had  a </w:t>
      </w:r>
      <w:r>
        <w:rPr>
          <w:color w:val="231F20"/>
          <w:spacing w:val="2"/>
          <w:w w:val="110"/>
          <w:sz w:val="18"/>
        </w:rPr>
        <w:t>very </w:t>
      </w:r>
      <w:r>
        <w:rPr>
          <w:color w:val="231F20"/>
          <w:w w:val="110"/>
          <w:sz w:val="18"/>
        </w:rPr>
        <w:t>good season at hockey due to the new coach and to some talented players.  </w:t>
      </w:r>
      <w:r>
        <w:rPr>
          <w:color w:val="231F20"/>
          <w:spacing w:val="-3"/>
          <w:w w:val="110"/>
          <w:sz w:val="18"/>
        </w:rPr>
        <w:t>We </w:t>
      </w:r>
      <w:r>
        <w:rPr>
          <w:color w:val="231F20"/>
          <w:w w:val="110"/>
          <w:sz w:val="18"/>
        </w:rPr>
        <w:t>are </w:t>
      </w:r>
      <w:r>
        <w:rPr>
          <w:color w:val="231F20"/>
          <w:spacing w:val="2"/>
          <w:w w:val="110"/>
          <w:sz w:val="18"/>
        </w:rPr>
        <w:t>very </w:t>
      </w:r>
      <w:r>
        <w:rPr>
          <w:color w:val="231F20"/>
          <w:w w:val="110"/>
          <w:sz w:val="18"/>
        </w:rPr>
        <w:t>optimistic about the </w:t>
      </w:r>
      <w:r>
        <w:rPr>
          <w:color w:val="231F20"/>
          <w:spacing w:val="2"/>
          <w:w w:val="110"/>
          <w:sz w:val="18"/>
        </w:rPr>
        <w:t>fact </w:t>
      </w:r>
      <w:r>
        <w:rPr>
          <w:color w:val="231F20"/>
          <w:w w:val="110"/>
          <w:sz w:val="18"/>
        </w:rPr>
        <w:t>that the rugby </w:t>
      </w:r>
      <w:r>
        <w:rPr>
          <w:color w:val="231F20"/>
          <w:spacing w:val="-6"/>
          <w:w w:val="110"/>
          <w:sz w:val="18"/>
        </w:rPr>
        <w:t>U16 </w:t>
      </w:r>
      <w:r>
        <w:rPr>
          <w:color w:val="231F20"/>
          <w:spacing w:val="4"/>
          <w:w w:val="110"/>
          <w:sz w:val="18"/>
        </w:rPr>
        <w:t>XV  </w:t>
      </w:r>
      <w:r>
        <w:rPr>
          <w:color w:val="231F20"/>
          <w:w w:val="110"/>
          <w:sz w:val="18"/>
        </w:rPr>
        <w:t>have just completed an undefeated season, the girls </w:t>
      </w:r>
      <w:r>
        <w:rPr>
          <w:color w:val="231F20"/>
          <w:spacing w:val="-6"/>
          <w:w w:val="110"/>
          <w:sz w:val="18"/>
        </w:rPr>
        <w:t>U16 </w:t>
      </w:r>
      <w:r>
        <w:rPr>
          <w:color w:val="231F20"/>
          <w:w w:val="110"/>
          <w:sz w:val="18"/>
        </w:rPr>
        <w:t>netball team are currently undefeated and the </w:t>
      </w:r>
      <w:r>
        <w:rPr>
          <w:color w:val="231F20"/>
          <w:spacing w:val="-4"/>
          <w:w w:val="110"/>
          <w:sz w:val="18"/>
        </w:rPr>
        <w:t>U12 </w:t>
      </w:r>
      <w:r>
        <w:rPr>
          <w:color w:val="231F20"/>
          <w:spacing w:val="3"/>
          <w:w w:val="110"/>
          <w:sz w:val="18"/>
        </w:rPr>
        <w:t>Lacrosse </w:t>
      </w:r>
      <w:r>
        <w:rPr>
          <w:color w:val="231F20"/>
          <w:w w:val="110"/>
          <w:sz w:val="18"/>
        </w:rPr>
        <w:t>team won the Baston Rose Bowl. All of this bodes well for future results. I can also </w:t>
      </w:r>
      <w:r>
        <w:rPr>
          <w:color w:val="231F20"/>
          <w:spacing w:val="3"/>
          <w:w w:val="110"/>
          <w:sz w:val="18"/>
        </w:rPr>
        <w:t>report </w:t>
      </w:r>
      <w:r>
        <w:rPr>
          <w:color w:val="231F20"/>
          <w:w w:val="110"/>
          <w:sz w:val="18"/>
        </w:rPr>
        <w:t>that our </w:t>
      </w:r>
      <w:r>
        <w:rPr>
          <w:color w:val="231F20"/>
          <w:spacing w:val="2"/>
          <w:w w:val="110"/>
          <w:sz w:val="18"/>
        </w:rPr>
        <w:t>chess </w:t>
      </w:r>
      <w:r>
        <w:rPr>
          <w:color w:val="231F20"/>
          <w:w w:val="110"/>
          <w:sz w:val="18"/>
        </w:rPr>
        <w:t>team are playing well. They were undefeated in 2005/06 and were promoted to the </w:t>
      </w:r>
      <w:r>
        <w:rPr>
          <w:color w:val="231F20"/>
          <w:spacing w:val="2"/>
          <w:w w:val="110"/>
          <w:sz w:val="18"/>
        </w:rPr>
        <w:t>next</w:t>
      </w:r>
      <w:r>
        <w:rPr>
          <w:color w:val="231F20"/>
          <w:spacing w:val="5"/>
          <w:w w:val="110"/>
          <w:sz w:val="18"/>
        </w:rPr>
        <w:t> </w:t>
      </w:r>
      <w:r>
        <w:rPr>
          <w:color w:val="231F20"/>
          <w:w w:val="110"/>
          <w:sz w:val="18"/>
        </w:rPr>
        <w:t>league.</w:t>
      </w:r>
    </w:p>
    <w:p>
      <w:pPr>
        <w:pStyle w:val="BodyText"/>
        <w:rPr>
          <w:sz w:val="21"/>
        </w:rPr>
      </w:pPr>
    </w:p>
    <w:p>
      <w:pPr>
        <w:pStyle w:val="ListParagraph"/>
        <w:numPr>
          <w:ilvl w:val="1"/>
          <w:numId w:val="241"/>
        </w:numPr>
        <w:tabs>
          <w:tab w:pos="1881" w:val="left" w:leader="none"/>
          <w:tab w:pos="1882" w:val="left" w:leader="none"/>
        </w:tabs>
        <w:spacing w:line="273" w:lineRule="auto" w:before="0" w:after="0"/>
        <w:ind w:left="1160" w:right="2794" w:firstLine="0"/>
        <w:jc w:val="left"/>
        <w:rPr>
          <w:sz w:val="18"/>
        </w:rPr>
      </w:pPr>
      <w:r>
        <w:rPr>
          <w:color w:val="231F20"/>
          <w:w w:val="110"/>
          <w:sz w:val="18"/>
        </w:rPr>
        <w:t>Our new £6.5m science block – and new </w:t>
      </w:r>
      <w:r>
        <w:rPr>
          <w:color w:val="231F20"/>
          <w:spacing w:val="3"/>
          <w:w w:val="110"/>
          <w:sz w:val="18"/>
        </w:rPr>
        <w:t>refectory </w:t>
      </w:r>
      <w:r>
        <w:rPr>
          <w:color w:val="231F20"/>
          <w:w w:val="110"/>
          <w:sz w:val="18"/>
        </w:rPr>
        <w:t>– has just opened, which emphasises the success of our science department. This year we received three awards </w:t>
      </w:r>
      <w:r>
        <w:rPr>
          <w:color w:val="231F20"/>
          <w:spacing w:val="2"/>
          <w:w w:val="110"/>
          <w:sz w:val="18"/>
        </w:rPr>
        <w:t>from </w:t>
      </w:r>
      <w:r>
        <w:rPr>
          <w:color w:val="231F20"/>
          <w:w w:val="110"/>
          <w:sz w:val="18"/>
        </w:rPr>
        <w:t>the </w:t>
      </w:r>
      <w:r>
        <w:rPr>
          <w:i/>
          <w:color w:val="231F20"/>
          <w:w w:val="110"/>
          <w:sz w:val="18"/>
        </w:rPr>
        <w:t>Good Schools Guide </w:t>
      </w:r>
      <w:r>
        <w:rPr>
          <w:color w:val="231F20"/>
          <w:w w:val="110"/>
          <w:sz w:val="18"/>
        </w:rPr>
        <w:t>for Biology, Physics, and </w:t>
      </w:r>
      <w:r>
        <w:rPr>
          <w:color w:val="231F20"/>
          <w:spacing w:val="4"/>
          <w:w w:val="110"/>
          <w:sz w:val="18"/>
        </w:rPr>
        <w:t>Art </w:t>
      </w:r>
      <w:r>
        <w:rPr>
          <w:color w:val="231F20"/>
          <w:w w:val="110"/>
          <w:sz w:val="18"/>
        </w:rPr>
        <w:t>and Design.</w:t>
      </w:r>
    </w:p>
    <w:p>
      <w:pPr>
        <w:pStyle w:val="BodyText"/>
        <w:spacing w:before="9"/>
        <w:rPr>
          <w:sz w:val="20"/>
        </w:rPr>
      </w:pPr>
    </w:p>
    <w:p>
      <w:pPr>
        <w:pStyle w:val="ListParagraph"/>
        <w:numPr>
          <w:ilvl w:val="1"/>
          <w:numId w:val="241"/>
        </w:numPr>
        <w:tabs>
          <w:tab w:pos="1880" w:val="left" w:leader="none"/>
          <w:tab w:pos="1881" w:val="left" w:leader="none"/>
        </w:tabs>
        <w:spacing w:line="273" w:lineRule="auto" w:before="0" w:after="0"/>
        <w:ind w:left="1160" w:right="2768" w:firstLine="0"/>
        <w:jc w:val="left"/>
        <w:rPr>
          <w:sz w:val="18"/>
        </w:rPr>
      </w:pPr>
      <w:r>
        <w:rPr>
          <w:color w:val="231F20"/>
          <w:spacing w:val="-3"/>
          <w:w w:val="110"/>
          <w:sz w:val="18"/>
        </w:rPr>
        <w:t>We </w:t>
      </w:r>
      <w:r>
        <w:rPr>
          <w:color w:val="231F20"/>
          <w:w w:val="110"/>
          <w:sz w:val="18"/>
        </w:rPr>
        <w:t>are the first Independent School in the </w:t>
      </w:r>
      <w:r>
        <w:rPr>
          <w:color w:val="231F20"/>
          <w:spacing w:val="2"/>
          <w:w w:val="110"/>
          <w:sz w:val="18"/>
        </w:rPr>
        <w:t>country </w:t>
      </w:r>
      <w:r>
        <w:rPr>
          <w:color w:val="231F20"/>
          <w:w w:val="110"/>
          <w:sz w:val="18"/>
        </w:rPr>
        <w:t>to be awarded ‘Edward De Bono Thinking School’ status. The school is now officially recognised as a centre of excellence for good thinking and will be  involved in training other schools in thinking techniques such as</w:t>
      </w:r>
      <w:r>
        <w:rPr>
          <w:color w:val="231F20"/>
          <w:spacing w:val="64"/>
          <w:w w:val="110"/>
          <w:sz w:val="18"/>
        </w:rPr>
        <w:t> </w:t>
      </w:r>
      <w:r>
        <w:rPr>
          <w:color w:val="231F20"/>
          <w:w w:val="110"/>
          <w:sz w:val="18"/>
        </w:rPr>
        <w:t>the</w:t>
      </w:r>
    </w:p>
    <w:p>
      <w:pPr>
        <w:spacing w:after="0" w:line="273" w:lineRule="auto"/>
        <w:jc w:val="left"/>
        <w:rPr>
          <w:sz w:val="18"/>
        </w:rPr>
        <w:sectPr>
          <w:headerReference w:type="default" r:id="rId603"/>
          <w:footerReference w:type="default" r:id="rId604"/>
          <w:footerReference w:type="even" r:id="rId605"/>
          <w:pgSz w:w="11910" w:h="16840"/>
          <w:pgMar w:header="0" w:footer="564" w:top="920" w:bottom="760" w:left="540" w:right="0"/>
          <w:pgNumType w:start="33"/>
        </w:sectPr>
      </w:pPr>
    </w:p>
    <w:p>
      <w:pPr>
        <w:pStyle w:val="BodyText"/>
        <w:spacing w:before="10"/>
        <w:rPr>
          <w:sz w:val="11"/>
        </w:rPr>
      </w:pPr>
    </w:p>
    <w:p>
      <w:pPr>
        <w:pStyle w:val="BodyText"/>
        <w:spacing w:line="273" w:lineRule="auto" w:before="101"/>
        <w:ind w:left="593" w:right="2400"/>
      </w:pPr>
      <w:r>
        <w:rPr>
          <w:color w:val="231F20"/>
          <w:w w:val="110"/>
        </w:rPr>
        <w:t>Six Thinking Hats. Dr De Bono is one of the world’s leading authorities on thinking and has worked with schools and multinational corporations across the world.</w:t>
      </w:r>
    </w:p>
    <w:p>
      <w:pPr>
        <w:pStyle w:val="BodyText"/>
        <w:spacing w:before="8"/>
        <w:rPr>
          <w:sz w:val="20"/>
        </w:rPr>
      </w:pPr>
    </w:p>
    <w:p>
      <w:pPr>
        <w:pStyle w:val="ListParagraph"/>
        <w:numPr>
          <w:ilvl w:val="1"/>
          <w:numId w:val="241"/>
        </w:numPr>
        <w:tabs>
          <w:tab w:pos="1313" w:val="left" w:leader="none"/>
          <w:tab w:pos="1314" w:val="left" w:leader="none"/>
        </w:tabs>
        <w:spacing w:line="240" w:lineRule="auto" w:before="0" w:after="0"/>
        <w:ind w:left="1313" w:right="0" w:hanging="721"/>
        <w:jc w:val="left"/>
        <w:rPr>
          <w:sz w:val="18"/>
        </w:rPr>
      </w:pPr>
      <w:r>
        <w:rPr>
          <w:color w:val="231F20"/>
          <w:spacing w:val="-3"/>
          <w:w w:val="110"/>
          <w:sz w:val="18"/>
        </w:rPr>
        <w:t>We </w:t>
      </w:r>
      <w:r>
        <w:rPr>
          <w:color w:val="231F20"/>
          <w:w w:val="110"/>
          <w:sz w:val="18"/>
        </w:rPr>
        <w:t>have also been awarded Investor in People</w:t>
      </w:r>
      <w:r>
        <w:rPr>
          <w:color w:val="231F20"/>
          <w:spacing w:val="16"/>
          <w:w w:val="110"/>
          <w:sz w:val="18"/>
        </w:rPr>
        <w:t> </w:t>
      </w:r>
      <w:r>
        <w:rPr>
          <w:color w:val="231F20"/>
          <w:w w:val="110"/>
          <w:sz w:val="18"/>
        </w:rPr>
        <w:t>Status.</w:t>
      </w:r>
    </w:p>
    <w:p>
      <w:pPr>
        <w:pStyle w:val="BodyText"/>
        <w:spacing w:before="1"/>
        <w:rPr>
          <w:sz w:val="23"/>
        </w:rPr>
      </w:pPr>
    </w:p>
    <w:p>
      <w:pPr>
        <w:pStyle w:val="ListParagraph"/>
        <w:numPr>
          <w:ilvl w:val="1"/>
          <w:numId w:val="241"/>
        </w:numPr>
        <w:tabs>
          <w:tab w:pos="1313" w:val="left" w:leader="none"/>
          <w:tab w:pos="1314" w:val="left" w:leader="none"/>
        </w:tabs>
        <w:spacing w:line="273" w:lineRule="auto" w:before="0" w:after="0"/>
        <w:ind w:left="593" w:right="2535" w:firstLine="0"/>
        <w:jc w:val="left"/>
        <w:rPr>
          <w:sz w:val="18"/>
        </w:rPr>
      </w:pPr>
      <w:r>
        <w:rPr>
          <w:color w:val="231F20"/>
          <w:w w:val="110"/>
          <w:sz w:val="18"/>
        </w:rPr>
        <w:t>It has been a busy </w:t>
      </w:r>
      <w:r>
        <w:rPr>
          <w:color w:val="231F20"/>
          <w:spacing w:val="-4"/>
          <w:w w:val="110"/>
          <w:sz w:val="18"/>
        </w:rPr>
        <w:t>year. </w:t>
      </w:r>
      <w:r>
        <w:rPr>
          <w:color w:val="231F20"/>
          <w:w w:val="110"/>
          <w:sz w:val="18"/>
        </w:rPr>
        <w:t>The coming one promises to be </w:t>
      </w:r>
      <w:r>
        <w:rPr>
          <w:color w:val="231F20"/>
          <w:spacing w:val="2"/>
          <w:w w:val="110"/>
          <w:sz w:val="18"/>
        </w:rPr>
        <w:t>very </w:t>
      </w:r>
      <w:r>
        <w:rPr>
          <w:color w:val="231F20"/>
          <w:w w:val="110"/>
          <w:sz w:val="18"/>
        </w:rPr>
        <w:t>similar and we hope for similar or </w:t>
      </w:r>
      <w:r>
        <w:rPr>
          <w:color w:val="231F20"/>
          <w:spacing w:val="2"/>
          <w:w w:val="110"/>
          <w:sz w:val="18"/>
        </w:rPr>
        <w:t>better</w:t>
      </w:r>
      <w:r>
        <w:rPr>
          <w:color w:val="231F20"/>
          <w:spacing w:val="10"/>
          <w:w w:val="110"/>
          <w:sz w:val="18"/>
        </w:rPr>
        <w:t> </w:t>
      </w:r>
      <w:r>
        <w:rPr>
          <w:color w:val="231F20"/>
          <w:w w:val="110"/>
          <w:sz w:val="18"/>
        </w:rPr>
        <w:t>successes.</w:t>
      </w:r>
    </w:p>
    <w:p>
      <w:pPr>
        <w:pStyle w:val="BodyText"/>
        <w:rPr>
          <w:sz w:val="19"/>
        </w:rPr>
      </w:pPr>
    </w:p>
    <w:p>
      <w:pPr>
        <w:numPr>
          <w:ilvl w:val="0"/>
          <w:numId w:val="241"/>
        </w:numPr>
        <w:tabs>
          <w:tab w:pos="1313" w:val="left" w:leader="none"/>
          <w:tab w:pos="1314" w:val="left" w:leader="none"/>
        </w:tabs>
        <w:spacing w:before="1"/>
        <w:ind w:left="1313" w:right="0" w:hanging="721"/>
        <w:jc w:val="left"/>
        <w:rPr>
          <w:b/>
          <w:color w:val="231F20"/>
          <w:sz w:val="20"/>
        </w:rPr>
      </w:pPr>
      <w:r>
        <w:rPr>
          <w:b/>
          <w:color w:val="231F20"/>
          <w:w w:val="110"/>
          <w:sz w:val="20"/>
        </w:rPr>
        <w:t>Eltham</w:t>
      </w:r>
      <w:r>
        <w:rPr>
          <w:b/>
          <w:color w:val="231F20"/>
          <w:spacing w:val="-1"/>
          <w:w w:val="110"/>
          <w:sz w:val="20"/>
        </w:rPr>
        <w:t> </w:t>
      </w:r>
      <w:r>
        <w:rPr>
          <w:b/>
          <w:color w:val="231F20"/>
          <w:w w:val="110"/>
          <w:sz w:val="20"/>
        </w:rPr>
        <w:t>College</w:t>
      </w:r>
    </w:p>
    <w:p>
      <w:pPr>
        <w:pStyle w:val="BodyText"/>
        <w:spacing w:before="9"/>
        <w:rPr>
          <w:b/>
          <w:sz w:val="22"/>
        </w:rPr>
      </w:pPr>
    </w:p>
    <w:p>
      <w:pPr>
        <w:pStyle w:val="ListParagraph"/>
        <w:numPr>
          <w:ilvl w:val="1"/>
          <w:numId w:val="241"/>
        </w:numPr>
        <w:tabs>
          <w:tab w:pos="1313" w:val="left" w:leader="none"/>
          <w:tab w:pos="1314" w:val="left" w:leader="none"/>
        </w:tabs>
        <w:spacing w:line="273" w:lineRule="auto" w:before="0" w:after="0"/>
        <w:ind w:left="593" w:right="1874" w:firstLine="0"/>
        <w:jc w:val="left"/>
        <w:rPr>
          <w:sz w:val="18"/>
        </w:rPr>
      </w:pPr>
      <w:r>
        <w:rPr>
          <w:color w:val="231F20"/>
          <w:spacing w:val="3"/>
          <w:w w:val="110"/>
          <w:sz w:val="18"/>
        </w:rPr>
        <w:t>As </w:t>
      </w:r>
      <w:r>
        <w:rPr>
          <w:color w:val="231F20"/>
          <w:w w:val="110"/>
          <w:sz w:val="18"/>
        </w:rPr>
        <w:t>well as enjoying a particularly successful year academically, Eltham College achieved excellent standards in extra-curricular terms. The Senior </w:t>
      </w:r>
      <w:r>
        <w:rPr>
          <w:color w:val="231F20"/>
          <w:spacing w:val="2"/>
          <w:w w:val="110"/>
          <w:sz w:val="18"/>
        </w:rPr>
        <w:t>Production </w:t>
      </w:r>
      <w:r>
        <w:rPr>
          <w:color w:val="231F20"/>
          <w:w w:val="110"/>
          <w:sz w:val="18"/>
        </w:rPr>
        <w:t>was this year the musical </w:t>
      </w:r>
      <w:r>
        <w:rPr>
          <w:i/>
          <w:color w:val="231F20"/>
          <w:w w:val="110"/>
          <w:sz w:val="18"/>
        </w:rPr>
        <w:t>Chess</w:t>
      </w:r>
      <w:r>
        <w:rPr>
          <w:color w:val="231F20"/>
          <w:w w:val="110"/>
          <w:sz w:val="18"/>
        </w:rPr>
        <w:t>, which </w:t>
      </w:r>
      <w:r>
        <w:rPr>
          <w:color w:val="231F20"/>
          <w:spacing w:val="2"/>
          <w:w w:val="110"/>
          <w:sz w:val="18"/>
        </w:rPr>
        <w:t>performed </w:t>
      </w:r>
      <w:r>
        <w:rPr>
          <w:color w:val="231F20"/>
          <w:w w:val="110"/>
          <w:sz w:val="18"/>
        </w:rPr>
        <w:t>to three sell-out </w:t>
      </w:r>
      <w:r>
        <w:rPr>
          <w:color w:val="231F20"/>
          <w:spacing w:val="2"/>
          <w:w w:val="110"/>
          <w:sz w:val="18"/>
        </w:rPr>
        <w:t>performances </w:t>
      </w:r>
      <w:r>
        <w:rPr>
          <w:color w:val="231F20"/>
          <w:w w:val="110"/>
          <w:sz w:val="18"/>
        </w:rPr>
        <w:t>and received   a great deal of praise. </w:t>
      </w:r>
      <w:r>
        <w:rPr>
          <w:i/>
          <w:color w:val="231F20"/>
          <w:w w:val="110"/>
          <w:sz w:val="18"/>
        </w:rPr>
        <w:t>Animal Farm </w:t>
      </w:r>
      <w:r>
        <w:rPr>
          <w:color w:val="231F20"/>
          <w:spacing w:val="-3"/>
          <w:w w:val="110"/>
          <w:sz w:val="18"/>
        </w:rPr>
        <w:t>(Middle), </w:t>
      </w:r>
      <w:r>
        <w:rPr>
          <w:i/>
          <w:color w:val="231F20"/>
          <w:w w:val="110"/>
          <w:sz w:val="18"/>
        </w:rPr>
        <w:t>Ordinary Jack </w:t>
      </w:r>
      <w:r>
        <w:rPr>
          <w:color w:val="231F20"/>
          <w:spacing w:val="-3"/>
          <w:w w:val="110"/>
          <w:sz w:val="18"/>
        </w:rPr>
        <w:t>(Lower), </w:t>
      </w:r>
      <w:r>
        <w:rPr>
          <w:color w:val="231F20"/>
          <w:w w:val="110"/>
          <w:sz w:val="18"/>
        </w:rPr>
        <w:t>four </w:t>
      </w:r>
      <w:r>
        <w:rPr>
          <w:color w:val="231F20"/>
          <w:spacing w:val="-3"/>
          <w:w w:val="110"/>
          <w:sz w:val="18"/>
        </w:rPr>
        <w:t>Year </w:t>
      </w:r>
      <w:r>
        <w:rPr>
          <w:color w:val="231F20"/>
          <w:w w:val="110"/>
          <w:sz w:val="18"/>
        </w:rPr>
        <w:t>7 plays, and the examination pieces at A, AS, and GCSE levels were evidence of many pupils’ involvement in drama. Musically, the Brahms German Requiem, two Jazz Evenings and ECCO Pops were a clear indication of how well the musicians at Eltham are thriving.    For </w:t>
      </w:r>
      <w:r>
        <w:rPr>
          <w:color w:val="231F20"/>
          <w:spacing w:val="-4"/>
          <w:w w:val="110"/>
          <w:sz w:val="18"/>
        </w:rPr>
        <w:t>many, </w:t>
      </w:r>
      <w:r>
        <w:rPr>
          <w:color w:val="231F20"/>
          <w:w w:val="110"/>
          <w:sz w:val="18"/>
        </w:rPr>
        <w:t>especially for those taking </w:t>
      </w:r>
      <w:r>
        <w:rPr>
          <w:color w:val="231F20"/>
          <w:spacing w:val="2"/>
          <w:w w:val="110"/>
          <w:sz w:val="18"/>
        </w:rPr>
        <w:t>part, </w:t>
      </w:r>
      <w:r>
        <w:rPr>
          <w:color w:val="231F20"/>
          <w:w w:val="110"/>
          <w:sz w:val="18"/>
        </w:rPr>
        <w:t>the musical highlight was the choir tour to New York and Boston: singing at </w:t>
      </w:r>
      <w:r>
        <w:rPr>
          <w:color w:val="231F20"/>
          <w:spacing w:val="2"/>
          <w:w w:val="110"/>
          <w:sz w:val="18"/>
        </w:rPr>
        <w:t>services </w:t>
      </w:r>
      <w:r>
        <w:rPr>
          <w:color w:val="231F20"/>
          <w:w w:val="110"/>
          <w:sz w:val="18"/>
        </w:rPr>
        <w:t>just </w:t>
      </w:r>
      <w:r>
        <w:rPr>
          <w:color w:val="231F20"/>
          <w:spacing w:val="3"/>
          <w:w w:val="110"/>
          <w:sz w:val="18"/>
        </w:rPr>
        <w:t>off </w:t>
      </w:r>
      <w:r>
        <w:rPr>
          <w:color w:val="231F20"/>
          <w:w w:val="110"/>
          <w:sz w:val="18"/>
        </w:rPr>
        <w:t>Times Square, Broadway, and</w:t>
      </w:r>
      <w:r>
        <w:rPr>
          <w:color w:val="231F20"/>
          <w:spacing w:val="60"/>
          <w:w w:val="110"/>
          <w:sz w:val="18"/>
        </w:rPr>
        <w:t> </w:t>
      </w:r>
      <w:r>
        <w:rPr>
          <w:color w:val="231F20"/>
          <w:w w:val="110"/>
          <w:sz w:val="18"/>
        </w:rPr>
        <w:t>at</w:t>
      </w:r>
    </w:p>
    <w:p>
      <w:pPr>
        <w:pStyle w:val="BodyText"/>
        <w:spacing w:before="6"/>
        <w:ind w:left="593"/>
      </w:pPr>
      <w:r>
        <w:rPr>
          <w:color w:val="231F20"/>
          <w:w w:val="110"/>
        </w:rPr>
        <w:t>St Paul’s Chapel, Ground Zero, in New York were all moving in their different ways.</w:t>
      </w:r>
    </w:p>
    <w:p>
      <w:pPr>
        <w:pStyle w:val="BodyText"/>
        <w:spacing w:line="273" w:lineRule="auto" w:before="31"/>
        <w:ind w:left="593" w:right="1788"/>
      </w:pPr>
      <w:r>
        <w:rPr>
          <w:color w:val="231F20"/>
          <w:w w:val="110"/>
        </w:rPr>
        <w:t>In Boston, the choir received standing ovations in two down-town concerts, but perhaps singing a service of Compline in Harvard Memorial Chapel was the most memorable.</w:t>
      </w:r>
    </w:p>
    <w:p>
      <w:pPr>
        <w:pStyle w:val="BodyText"/>
        <w:spacing w:before="8"/>
        <w:rPr>
          <w:sz w:val="20"/>
        </w:rPr>
      </w:pPr>
    </w:p>
    <w:p>
      <w:pPr>
        <w:pStyle w:val="ListParagraph"/>
        <w:numPr>
          <w:ilvl w:val="1"/>
          <w:numId w:val="241"/>
        </w:numPr>
        <w:tabs>
          <w:tab w:pos="1313" w:val="left" w:leader="none"/>
          <w:tab w:pos="1314" w:val="left" w:leader="none"/>
        </w:tabs>
        <w:spacing w:line="273" w:lineRule="auto" w:before="0" w:after="0"/>
        <w:ind w:left="593" w:right="1723" w:firstLine="0"/>
        <w:jc w:val="left"/>
        <w:rPr>
          <w:sz w:val="18"/>
        </w:rPr>
      </w:pPr>
      <w:r>
        <w:rPr>
          <w:color w:val="231F20"/>
          <w:w w:val="110"/>
          <w:sz w:val="18"/>
        </w:rPr>
        <w:t>Pupils enjoyed considerable opportunities for travel and adventure: the </w:t>
      </w:r>
      <w:r>
        <w:rPr>
          <w:color w:val="231F20"/>
          <w:spacing w:val="-4"/>
          <w:w w:val="110"/>
          <w:sz w:val="18"/>
        </w:rPr>
        <w:t>Year </w:t>
      </w:r>
      <w:r>
        <w:rPr>
          <w:color w:val="231F20"/>
          <w:w w:val="110"/>
          <w:sz w:val="18"/>
        </w:rPr>
        <w:t>9 French</w:t>
      </w:r>
      <w:r>
        <w:rPr>
          <w:color w:val="231F20"/>
          <w:spacing w:val="-11"/>
          <w:w w:val="110"/>
          <w:sz w:val="18"/>
        </w:rPr>
        <w:t> </w:t>
      </w:r>
      <w:r>
        <w:rPr>
          <w:color w:val="231F20"/>
          <w:w w:val="110"/>
          <w:sz w:val="18"/>
        </w:rPr>
        <w:t>exchange</w:t>
      </w:r>
      <w:r>
        <w:rPr>
          <w:color w:val="231F20"/>
          <w:spacing w:val="-10"/>
          <w:w w:val="110"/>
          <w:sz w:val="18"/>
        </w:rPr>
        <w:t> </w:t>
      </w:r>
      <w:r>
        <w:rPr>
          <w:color w:val="231F20"/>
          <w:w w:val="110"/>
          <w:sz w:val="18"/>
        </w:rPr>
        <w:t>to</w:t>
      </w:r>
      <w:r>
        <w:rPr>
          <w:color w:val="231F20"/>
          <w:spacing w:val="-10"/>
          <w:w w:val="110"/>
          <w:sz w:val="18"/>
        </w:rPr>
        <w:t> </w:t>
      </w:r>
      <w:r>
        <w:rPr>
          <w:color w:val="231F20"/>
          <w:w w:val="110"/>
          <w:sz w:val="18"/>
        </w:rPr>
        <w:t>Laval</w:t>
      </w:r>
      <w:r>
        <w:rPr>
          <w:color w:val="231F20"/>
          <w:spacing w:val="-10"/>
          <w:w w:val="110"/>
          <w:sz w:val="18"/>
        </w:rPr>
        <w:t> </w:t>
      </w:r>
      <w:r>
        <w:rPr>
          <w:color w:val="231F20"/>
          <w:w w:val="110"/>
          <w:sz w:val="18"/>
        </w:rPr>
        <w:t>celebrated</w:t>
      </w:r>
      <w:r>
        <w:rPr>
          <w:color w:val="231F20"/>
          <w:spacing w:val="-10"/>
          <w:w w:val="110"/>
          <w:sz w:val="18"/>
        </w:rPr>
        <w:t> </w:t>
      </w:r>
      <w:r>
        <w:rPr>
          <w:color w:val="231F20"/>
          <w:w w:val="110"/>
          <w:sz w:val="18"/>
        </w:rPr>
        <w:t>twenty-five</w:t>
      </w:r>
      <w:r>
        <w:rPr>
          <w:color w:val="231F20"/>
          <w:spacing w:val="-10"/>
          <w:w w:val="110"/>
          <w:sz w:val="18"/>
        </w:rPr>
        <w:t> </w:t>
      </w:r>
      <w:r>
        <w:rPr>
          <w:color w:val="231F20"/>
          <w:w w:val="110"/>
          <w:sz w:val="18"/>
        </w:rPr>
        <w:t>years</w:t>
      </w:r>
      <w:r>
        <w:rPr>
          <w:color w:val="231F20"/>
          <w:spacing w:val="-10"/>
          <w:w w:val="110"/>
          <w:sz w:val="18"/>
        </w:rPr>
        <w:t> </w:t>
      </w:r>
      <w:r>
        <w:rPr>
          <w:color w:val="231F20"/>
          <w:w w:val="110"/>
          <w:sz w:val="18"/>
        </w:rPr>
        <w:t>with</w:t>
      </w:r>
      <w:r>
        <w:rPr>
          <w:color w:val="231F20"/>
          <w:spacing w:val="-11"/>
          <w:w w:val="110"/>
          <w:sz w:val="18"/>
        </w:rPr>
        <w:t> </w:t>
      </w:r>
      <w:r>
        <w:rPr>
          <w:color w:val="231F20"/>
          <w:w w:val="110"/>
          <w:sz w:val="18"/>
        </w:rPr>
        <w:t>events/meals</w:t>
      </w:r>
      <w:r>
        <w:rPr>
          <w:color w:val="231F20"/>
          <w:spacing w:val="-10"/>
          <w:w w:val="110"/>
          <w:sz w:val="18"/>
        </w:rPr>
        <w:t> </w:t>
      </w:r>
      <w:r>
        <w:rPr>
          <w:color w:val="231F20"/>
          <w:w w:val="110"/>
          <w:sz w:val="18"/>
        </w:rPr>
        <w:t>at</w:t>
      </w:r>
      <w:r>
        <w:rPr>
          <w:color w:val="231F20"/>
          <w:spacing w:val="-10"/>
          <w:w w:val="110"/>
          <w:sz w:val="18"/>
        </w:rPr>
        <w:t> </w:t>
      </w:r>
      <w:r>
        <w:rPr>
          <w:color w:val="231F20"/>
          <w:w w:val="110"/>
          <w:sz w:val="18"/>
        </w:rPr>
        <w:t>Eltham</w:t>
      </w:r>
      <w:r>
        <w:rPr>
          <w:color w:val="231F20"/>
          <w:spacing w:val="-10"/>
          <w:w w:val="110"/>
          <w:sz w:val="18"/>
        </w:rPr>
        <w:t> </w:t>
      </w:r>
      <w:r>
        <w:rPr>
          <w:color w:val="231F20"/>
          <w:w w:val="110"/>
          <w:sz w:val="18"/>
        </w:rPr>
        <w:t>as</w:t>
      </w:r>
      <w:r>
        <w:rPr>
          <w:color w:val="231F20"/>
          <w:spacing w:val="-10"/>
          <w:w w:val="110"/>
          <w:sz w:val="18"/>
        </w:rPr>
        <w:t> </w:t>
      </w:r>
      <w:r>
        <w:rPr>
          <w:color w:val="231F20"/>
          <w:w w:val="110"/>
          <w:sz w:val="18"/>
        </w:rPr>
        <w:t>well as</w:t>
      </w:r>
      <w:r>
        <w:rPr>
          <w:color w:val="231F20"/>
          <w:spacing w:val="-7"/>
          <w:w w:val="110"/>
          <w:sz w:val="18"/>
        </w:rPr>
        <w:t> </w:t>
      </w:r>
      <w:r>
        <w:rPr>
          <w:color w:val="231F20"/>
          <w:w w:val="110"/>
          <w:sz w:val="18"/>
        </w:rPr>
        <w:t>Laval,</w:t>
      </w:r>
      <w:r>
        <w:rPr>
          <w:color w:val="231F20"/>
          <w:spacing w:val="-7"/>
          <w:w w:val="110"/>
          <w:sz w:val="18"/>
        </w:rPr>
        <w:t> </w:t>
      </w:r>
      <w:r>
        <w:rPr>
          <w:color w:val="231F20"/>
          <w:w w:val="110"/>
          <w:sz w:val="18"/>
        </w:rPr>
        <w:t>and</w:t>
      </w:r>
      <w:r>
        <w:rPr>
          <w:color w:val="231F20"/>
          <w:spacing w:val="-7"/>
          <w:w w:val="110"/>
          <w:sz w:val="18"/>
        </w:rPr>
        <w:t> </w:t>
      </w:r>
      <w:r>
        <w:rPr>
          <w:color w:val="231F20"/>
          <w:w w:val="110"/>
          <w:sz w:val="18"/>
        </w:rPr>
        <w:t>the</w:t>
      </w:r>
      <w:r>
        <w:rPr>
          <w:color w:val="231F20"/>
          <w:spacing w:val="-7"/>
          <w:w w:val="110"/>
          <w:sz w:val="18"/>
        </w:rPr>
        <w:t> </w:t>
      </w:r>
      <w:r>
        <w:rPr>
          <w:color w:val="231F20"/>
          <w:w w:val="110"/>
          <w:sz w:val="18"/>
        </w:rPr>
        <w:t>trips</w:t>
      </w:r>
      <w:r>
        <w:rPr>
          <w:color w:val="231F20"/>
          <w:spacing w:val="-7"/>
          <w:w w:val="110"/>
          <w:sz w:val="18"/>
        </w:rPr>
        <w:t> </w:t>
      </w:r>
      <w:r>
        <w:rPr>
          <w:color w:val="231F20"/>
          <w:w w:val="110"/>
          <w:sz w:val="18"/>
        </w:rPr>
        <w:t>to</w:t>
      </w:r>
      <w:r>
        <w:rPr>
          <w:color w:val="231F20"/>
          <w:spacing w:val="-6"/>
          <w:w w:val="110"/>
          <w:sz w:val="18"/>
        </w:rPr>
        <w:t> </w:t>
      </w:r>
      <w:r>
        <w:rPr>
          <w:color w:val="231F20"/>
          <w:w w:val="110"/>
          <w:sz w:val="18"/>
        </w:rPr>
        <w:t>Minden</w:t>
      </w:r>
      <w:r>
        <w:rPr>
          <w:color w:val="231F20"/>
          <w:spacing w:val="-7"/>
          <w:w w:val="110"/>
          <w:sz w:val="18"/>
        </w:rPr>
        <w:t> </w:t>
      </w:r>
      <w:r>
        <w:rPr>
          <w:color w:val="231F20"/>
          <w:w w:val="110"/>
          <w:sz w:val="18"/>
        </w:rPr>
        <w:t>and</w:t>
      </w:r>
      <w:r>
        <w:rPr>
          <w:color w:val="231F20"/>
          <w:spacing w:val="-7"/>
          <w:w w:val="110"/>
          <w:sz w:val="18"/>
        </w:rPr>
        <w:t> </w:t>
      </w:r>
      <w:r>
        <w:rPr>
          <w:color w:val="231F20"/>
          <w:w w:val="110"/>
          <w:sz w:val="18"/>
        </w:rPr>
        <w:t>Nuremberg</w:t>
      </w:r>
      <w:r>
        <w:rPr>
          <w:color w:val="231F20"/>
          <w:spacing w:val="-7"/>
          <w:w w:val="110"/>
          <w:sz w:val="18"/>
        </w:rPr>
        <w:t> </w:t>
      </w:r>
      <w:r>
        <w:rPr>
          <w:color w:val="231F20"/>
          <w:w w:val="110"/>
          <w:sz w:val="18"/>
        </w:rPr>
        <w:t>in</w:t>
      </w:r>
      <w:r>
        <w:rPr>
          <w:color w:val="231F20"/>
          <w:spacing w:val="-7"/>
          <w:w w:val="110"/>
          <w:sz w:val="18"/>
        </w:rPr>
        <w:t> </w:t>
      </w:r>
      <w:r>
        <w:rPr>
          <w:color w:val="231F20"/>
          <w:w w:val="110"/>
          <w:sz w:val="18"/>
        </w:rPr>
        <w:t>Germany</w:t>
      </w:r>
      <w:r>
        <w:rPr>
          <w:color w:val="231F20"/>
          <w:spacing w:val="-7"/>
          <w:w w:val="110"/>
          <w:sz w:val="18"/>
        </w:rPr>
        <w:t> </w:t>
      </w:r>
      <w:r>
        <w:rPr>
          <w:color w:val="231F20"/>
          <w:w w:val="110"/>
          <w:sz w:val="18"/>
        </w:rPr>
        <w:t>and</w:t>
      </w:r>
      <w:r>
        <w:rPr>
          <w:color w:val="231F20"/>
          <w:spacing w:val="-6"/>
          <w:w w:val="110"/>
          <w:sz w:val="18"/>
        </w:rPr>
        <w:t> </w:t>
      </w:r>
      <w:r>
        <w:rPr>
          <w:color w:val="231F20"/>
          <w:w w:val="110"/>
          <w:sz w:val="18"/>
        </w:rPr>
        <w:t>a</w:t>
      </w:r>
      <w:r>
        <w:rPr>
          <w:color w:val="231F20"/>
          <w:spacing w:val="-7"/>
          <w:w w:val="110"/>
          <w:sz w:val="18"/>
        </w:rPr>
        <w:t> </w:t>
      </w:r>
      <w:r>
        <w:rPr>
          <w:color w:val="231F20"/>
          <w:w w:val="110"/>
          <w:sz w:val="18"/>
        </w:rPr>
        <w:t>language</w:t>
      </w:r>
      <w:r>
        <w:rPr>
          <w:color w:val="231F20"/>
          <w:spacing w:val="-7"/>
          <w:w w:val="110"/>
          <w:sz w:val="18"/>
        </w:rPr>
        <w:t> </w:t>
      </w:r>
      <w:r>
        <w:rPr>
          <w:color w:val="231F20"/>
          <w:w w:val="110"/>
          <w:sz w:val="18"/>
        </w:rPr>
        <w:t>trip</w:t>
      </w:r>
      <w:r>
        <w:rPr>
          <w:color w:val="231F20"/>
          <w:spacing w:val="-7"/>
          <w:w w:val="110"/>
          <w:sz w:val="18"/>
        </w:rPr>
        <w:t> </w:t>
      </w:r>
      <w:r>
        <w:rPr>
          <w:color w:val="231F20"/>
          <w:w w:val="110"/>
          <w:sz w:val="18"/>
        </w:rPr>
        <w:t>to</w:t>
      </w:r>
      <w:r>
        <w:rPr>
          <w:color w:val="231F20"/>
          <w:spacing w:val="-7"/>
          <w:w w:val="110"/>
          <w:sz w:val="18"/>
        </w:rPr>
        <w:t> </w:t>
      </w:r>
      <w:r>
        <w:rPr>
          <w:color w:val="231F20"/>
          <w:spacing w:val="-3"/>
          <w:w w:val="110"/>
          <w:sz w:val="18"/>
        </w:rPr>
        <w:t>Spain, </w:t>
      </w:r>
      <w:r>
        <w:rPr>
          <w:color w:val="231F20"/>
          <w:w w:val="110"/>
          <w:sz w:val="18"/>
        </w:rPr>
        <w:t>as well as cultural trips to Berlin, Brussels, and Madrid, were all successful. The </w:t>
      </w:r>
      <w:r>
        <w:rPr>
          <w:color w:val="231F20"/>
          <w:spacing w:val="-3"/>
          <w:w w:val="110"/>
          <w:sz w:val="18"/>
        </w:rPr>
        <w:t>Duke </w:t>
      </w:r>
      <w:r>
        <w:rPr>
          <w:color w:val="231F20"/>
          <w:w w:val="110"/>
          <w:sz w:val="18"/>
        </w:rPr>
        <w:t>of Edinburgh’s Award Scheme is thriving with </w:t>
      </w:r>
      <w:r>
        <w:rPr>
          <w:color w:val="231F20"/>
          <w:spacing w:val="-3"/>
          <w:w w:val="110"/>
          <w:sz w:val="18"/>
        </w:rPr>
        <w:t>over 100 </w:t>
      </w:r>
      <w:r>
        <w:rPr>
          <w:color w:val="231F20"/>
          <w:w w:val="110"/>
          <w:sz w:val="18"/>
        </w:rPr>
        <w:t>pupils </w:t>
      </w:r>
      <w:r>
        <w:rPr>
          <w:color w:val="231F20"/>
          <w:spacing w:val="-4"/>
          <w:w w:val="110"/>
          <w:sz w:val="18"/>
        </w:rPr>
        <w:t>involved; </w:t>
      </w:r>
      <w:r>
        <w:rPr>
          <w:color w:val="231F20"/>
          <w:w w:val="110"/>
          <w:sz w:val="18"/>
        </w:rPr>
        <w:t>as well as completing activities in community service, sport and fitness, the expeditions to Arran and Scotland are</w:t>
      </w:r>
      <w:r>
        <w:rPr>
          <w:color w:val="231F20"/>
          <w:spacing w:val="-8"/>
          <w:w w:val="110"/>
          <w:sz w:val="18"/>
        </w:rPr>
        <w:t> </w:t>
      </w:r>
      <w:r>
        <w:rPr>
          <w:color w:val="231F20"/>
          <w:w w:val="110"/>
          <w:sz w:val="18"/>
        </w:rPr>
        <w:t>both</w:t>
      </w:r>
      <w:r>
        <w:rPr>
          <w:color w:val="231F20"/>
          <w:spacing w:val="-7"/>
          <w:w w:val="110"/>
          <w:sz w:val="18"/>
        </w:rPr>
        <w:t> </w:t>
      </w:r>
      <w:r>
        <w:rPr>
          <w:color w:val="231F20"/>
          <w:w w:val="110"/>
          <w:sz w:val="18"/>
        </w:rPr>
        <w:t>challenging</w:t>
      </w:r>
      <w:r>
        <w:rPr>
          <w:color w:val="231F20"/>
          <w:spacing w:val="-7"/>
          <w:w w:val="110"/>
          <w:sz w:val="18"/>
        </w:rPr>
        <w:t> </w:t>
      </w:r>
      <w:r>
        <w:rPr>
          <w:color w:val="231F20"/>
          <w:w w:val="110"/>
          <w:sz w:val="18"/>
        </w:rPr>
        <w:t>and</w:t>
      </w:r>
      <w:r>
        <w:rPr>
          <w:color w:val="231F20"/>
          <w:spacing w:val="-7"/>
          <w:w w:val="110"/>
          <w:sz w:val="18"/>
        </w:rPr>
        <w:t> </w:t>
      </w:r>
      <w:r>
        <w:rPr>
          <w:color w:val="231F20"/>
          <w:w w:val="110"/>
          <w:sz w:val="18"/>
        </w:rPr>
        <w:t>popular;</w:t>
      </w:r>
      <w:r>
        <w:rPr>
          <w:color w:val="231F20"/>
          <w:spacing w:val="-7"/>
          <w:w w:val="110"/>
          <w:sz w:val="18"/>
        </w:rPr>
        <w:t> </w:t>
      </w:r>
      <w:r>
        <w:rPr>
          <w:color w:val="231F20"/>
          <w:w w:val="110"/>
          <w:sz w:val="18"/>
        </w:rPr>
        <w:t>there</w:t>
      </w:r>
      <w:r>
        <w:rPr>
          <w:color w:val="231F20"/>
          <w:spacing w:val="-7"/>
          <w:w w:val="110"/>
          <w:sz w:val="18"/>
        </w:rPr>
        <w:t> </w:t>
      </w:r>
      <w:r>
        <w:rPr>
          <w:color w:val="231F20"/>
          <w:w w:val="110"/>
          <w:sz w:val="18"/>
        </w:rPr>
        <w:t>was</w:t>
      </w:r>
      <w:r>
        <w:rPr>
          <w:color w:val="231F20"/>
          <w:spacing w:val="-7"/>
          <w:w w:val="110"/>
          <w:sz w:val="18"/>
        </w:rPr>
        <w:t> </w:t>
      </w:r>
      <w:r>
        <w:rPr>
          <w:color w:val="231F20"/>
          <w:w w:val="110"/>
          <w:sz w:val="18"/>
        </w:rPr>
        <w:t>a</w:t>
      </w:r>
      <w:r>
        <w:rPr>
          <w:color w:val="231F20"/>
          <w:spacing w:val="-8"/>
          <w:w w:val="110"/>
          <w:sz w:val="18"/>
        </w:rPr>
        <w:t> </w:t>
      </w:r>
      <w:r>
        <w:rPr>
          <w:color w:val="231F20"/>
          <w:w w:val="110"/>
          <w:sz w:val="18"/>
        </w:rPr>
        <w:t>Religious</w:t>
      </w:r>
      <w:r>
        <w:rPr>
          <w:color w:val="231F20"/>
          <w:spacing w:val="-7"/>
          <w:w w:val="110"/>
          <w:sz w:val="18"/>
        </w:rPr>
        <w:t> </w:t>
      </w:r>
      <w:r>
        <w:rPr>
          <w:color w:val="231F20"/>
          <w:w w:val="110"/>
          <w:sz w:val="18"/>
        </w:rPr>
        <w:t>Studies</w:t>
      </w:r>
      <w:r>
        <w:rPr>
          <w:color w:val="231F20"/>
          <w:spacing w:val="-7"/>
          <w:w w:val="110"/>
          <w:sz w:val="18"/>
        </w:rPr>
        <w:t> </w:t>
      </w:r>
      <w:r>
        <w:rPr>
          <w:color w:val="231F20"/>
          <w:w w:val="110"/>
          <w:sz w:val="18"/>
        </w:rPr>
        <w:t>trip</w:t>
      </w:r>
      <w:r>
        <w:rPr>
          <w:color w:val="231F20"/>
          <w:spacing w:val="-7"/>
          <w:w w:val="110"/>
          <w:sz w:val="18"/>
        </w:rPr>
        <w:t> </w:t>
      </w:r>
      <w:r>
        <w:rPr>
          <w:color w:val="231F20"/>
          <w:w w:val="110"/>
          <w:sz w:val="18"/>
        </w:rPr>
        <w:t>to</w:t>
      </w:r>
      <w:r>
        <w:rPr>
          <w:color w:val="231F20"/>
          <w:spacing w:val="-7"/>
          <w:w w:val="110"/>
          <w:sz w:val="18"/>
        </w:rPr>
        <w:t> </w:t>
      </w:r>
      <w:r>
        <w:rPr>
          <w:color w:val="231F20"/>
          <w:w w:val="110"/>
          <w:sz w:val="18"/>
        </w:rPr>
        <w:t>Iona</w:t>
      </w:r>
      <w:r>
        <w:rPr>
          <w:color w:val="231F20"/>
          <w:spacing w:val="-7"/>
          <w:w w:val="110"/>
          <w:sz w:val="18"/>
        </w:rPr>
        <w:t> </w:t>
      </w:r>
      <w:r>
        <w:rPr>
          <w:color w:val="231F20"/>
          <w:w w:val="110"/>
          <w:sz w:val="18"/>
        </w:rPr>
        <w:t>for</w:t>
      </w:r>
      <w:r>
        <w:rPr>
          <w:color w:val="231F20"/>
          <w:spacing w:val="-7"/>
          <w:w w:val="110"/>
          <w:sz w:val="18"/>
        </w:rPr>
        <w:t> </w:t>
      </w:r>
      <w:r>
        <w:rPr>
          <w:color w:val="231F20"/>
          <w:w w:val="110"/>
          <w:sz w:val="18"/>
        </w:rPr>
        <w:t>pupils</w:t>
      </w:r>
    </w:p>
    <w:p>
      <w:pPr>
        <w:pStyle w:val="BodyText"/>
        <w:spacing w:line="273" w:lineRule="auto" w:before="5"/>
        <w:ind w:left="596" w:right="1843" w:hanging="1"/>
      </w:pPr>
      <w:r>
        <w:rPr>
          <w:color w:val="231F20"/>
          <w:w w:val="110"/>
        </w:rPr>
        <w:t>who are studying either Philosophy and Ethics at A level or Religious Studies at GCSE; there</w:t>
      </w:r>
      <w:r>
        <w:rPr>
          <w:color w:val="231F20"/>
          <w:spacing w:val="-8"/>
          <w:w w:val="110"/>
        </w:rPr>
        <w:t> </w:t>
      </w:r>
      <w:r>
        <w:rPr>
          <w:color w:val="231F20"/>
          <w:w w:val="110"/>
        </w:rPr>
        <w:t>was</w:t>
      </w:r>
      <w:r>
        <w:rPr>
          <w:color w:val="231F20"/>
          <w:spacing w:val="-8"/>
          <w:w w:val="110"/>
        </w:rPr>
        <w:t> </w:t>
      </w:r>
      <w:r>
        <w:rPr>
          <w:color w:val="231F20"/>
          <w:w w:val="110"/>
        </w:rPr>
        <w:t>an</w:t>
      </w:r>
      <w:r>
        <w:rPr>
          <w:color w:val="231F20"/>
          <w:spacing w:val="-7"/>
          <w:w w:val="110"/>
        </w:rPr>
        <w:t> </w:t>
      </w:r>
      <w:r>
        <w:rPr>
          <w:color w:val="231F20"/>
          <w:w w:val="110"/>
        </w:rPr>
        <w:t>art</w:t>
      </w:r>
      <w:r>
        <w:rPr>
          <w:color w:val="231F20"/>
          <w:spacing w:val="-8"/>
          <w:w w:val="110"/>
        </w:rPr>
        <w:t> </w:t>
      </w:r>
      <w:r>
        <w:rPr>
          <w:color w:val="231F20"/>
          <w:w w:val="110"/>
        </w:rPr>
        <w:t>trip</w:t>
      </w:r>
      <w:r>
        <w:rPr>
          <w:color w:val="231F20"/>
          <w:spacing w:val="-7"/>
          <w:w w:val="110"/>
        </w:rPr>
        <w:t> </w:t>
      </w:r>
      <w:r>
        <w:rPr>
          <w:color w:val="231F20"/>
          <w:w w:val="110"/>
        </w:rPr>
        <w:t>to</w:t>
      </w:r>
      <w:r>
        <w:rPr>
          <w:color w:val="231F20"/>
          <w:spacing w:val="-8"/>
          <w:w w:val="110"/>
        </w:rPr>
        <w:t> </w:t>
      </w:r>
      <w:r>
        <w:rPr>
          <w:color w:val="231F20"/>
          <w:w w:val="110"/>
        </w:rPr>
        <w:t>Prague,</w:t>
      </w:r>
      <w:r>
        <w:rPr>
          <w:color w:val="231F20"/>
          <w:spacing w:val="-8"/>
          <w:w w:val="110"/>
        </w:rPr>
        <w:t> </w:t>
      </w:r>
      <w:r>
        <w:rPr>
          <w:color w:val="231F20"/>
          <w:w w:val="110"/>
        </w:rPr>
        <w:t>skiing</w:t>
      </w:r>
      <w:r>
        <w:rPr>
          <w:color w:val="231F20"/>
          <w:spacing w:val="-7"/>
          <w:w w:val="110"/>
        </w:rPr>
        <w:t> </w:t>
      </w:r>
      <w:r>
        <w:rPr>
          <w:color w:val="231F20"/>
          <w:w w:val="110"/>
        </w:rPr>
        <w:t>in</w:t>
      </w:r>
      <w:r>
        <w:rPr>
          <w:color w:val="231F20"/>
          <w:spacing w:val="-8"/>
          <w:w w:val="110"/>
        </w:rPr>
        <w:t> </w:t>
      </w:r>
      <w:r>
        <w:rPr>
          <w:color w:val="231F20"/>
          <w:w w:val="110"/>
        </w:rPr>
        <w:t>Alpe</w:t>
      </w:r>
      <w:r>
        <w:rPr>
          <w:color w:val="231F20"/>
          <w:spacing w:val="-7"/>
          <w:w w:val="110"/>
        </w:rPr>
        <w:t> </w:t>
      </w:r>
      <w:r>
        <w:rPr>
          <w:color w:val="231F20"/>
          <w:w w:val="110"/>
        </w:rPr>
        <w:t>D’Huez,</w:t>
      </w:r>
      <w:r>
        <w:rPr>
          <w:color w:val="231F20"/>
          <w:spacing w:val="-8"/>
          <w:w w:val="110"/>
        </w:rPr>
        <w:t> </w:t>
      </w:r>
      <w:r>
        <w:rPr>
          <w:color w:val="231F20"/>
          <w:w w:val="110"/>
        </w:rPr>
        <w:t>an</w:t>
      </w:r>
      <w:r>
        <w:rPr>
          <w:color w:val="231F20"/>
          <w:spacing w:val="-8"/>
          <w:w w:val="110"/>
        </w:rPr>
        <w:t> </w:t>
      </w:r>
      <w:r>
        <w:rPr>
          <w:color w:val="231F20"/>
          <w:w w:val="110"/>
        </w:rPr>
        <w:t>ice-climbing</w:t>
      </w:r>
      <w:r>
        <w:rPr>
          <w:color w:val="231F20"/>
          <w:spacing w:val="-7"/>
          <w:w w:val="110"/>
        </w:rPr>
        <w:t> </w:t>
      </w:r>
      <w:r>
        <w:rPr>
          <w:color w:val="231F20"/>
          <w:w w:val="110"/>
        </w:rPr>
        <w:t>trip</w:t>
      </w:r>
      <w:r>
        <w:rPr>
          <w:color w:val="231F20"/>
          <w:spacing w:val="-8"/>
          <w:w w:val="110"/>
        </w:rPr>
        <w:t> </w:t>
      </w:r>
      <w:r>
        <w:rPr>
          <w:color w:val="231F20"/>
          <w:w w:val="110"/>
        </w:rPr>
        <w:t>to</w:t>
      </w:r>
      <w:r>
        <w:rPr>
          <w:color w:val="231F20"/>
          <w:spacing w:val="-7"/>
          <w:w w:val="110"/>
        </w:rPr>
        <w:t> </w:t>
      </w:r>
      <w:r>
        <w:rPr>
          <w:color w:val="231F20"/>
          <w:w w:val="110"/>
        </w:rPr>
        <w:t>Switzerland, a Classics trip to Rome, a Geography/Geology trip to Iceland and an expedition to Peru (including</w:t>
      </w:r>
      <w:r>
        <w:rPr>
          <w:color w:val="231F20"/>
          <w:spacing w:val="-6"/>
          <w:w w:val="110"/>
        </w:rPr>
        <w:t> </w:t>
      </w:r>
      <w:r>
        <w:rPr>
          <w:color w:val="231F20"/>
          <w:w w:val="110"/>
        </w:rPr>
        <w:t>Machu</w:t>
      </w:r>
      <w:r>
        <w:rPr>
          <w:color w:val="231F20"/>
          <w:spacing w:val="-6"/>
          <w:w w:val="110"/>
        </w:rPr>
        <w:t> </w:t>
      </w:r>
      <w:r>
        <w:rPr>
          <w:color w:val="231F20"/>
          <w:spacing w:val="-4"/>
          <w:w w:val="110"/>
        </w:rPr>
        <w:t>Pichu)</w:t>
      </w:r>
      <w:r>
        <w:rPr>
          <w:color w:val="231F20"/>
          <w:spacing w:val="-5"/>
          <w:w w:val="110"/>
        </w:rPr>
        <w:t> </w:t>
      </w:r>
      <w:r>
        <w:rPr>
          <w:color w:val="231F20"/>
          <w:w w:val="110"/>
        </w:rPr>
        <w:t>for</w:t>
      </w:r>
      <w:r>
        <w:rPr>
          <w:color w:val="231F20"/>
          <w:spacing w:val="-6"/>
          <w:w w:val="110"/>
        </w:rPr>
        <w:t> </w:t>
      </w:r>
      <w:r>
        <w:rPr>
          <w:color w:val="231F20"/>
          <w:w w:val="110"/>
        </w:rPr>
        <w:t>a</w:t>
      </w:r>
      <w:r>
        <w:rPr>
          <w:color w:val="231F20"/>
          <w:spacing w:val="-6"/>
          <w:w w:val="110"/>
        </w:rPr>
        <w:t> </w:t>
      </w:r>
      <w:r>
        <w:rPr>
          <w:color w:val="231F20"/>
          <w:w w:val="110"/>
        </w:rPr>
        <w:t>small</w:t>
      </w:r>
      <w:r>
        <w:rPr>
          <w:color w:val="231F20"/>
          <w:spacing w:val="-6"/>
          <w:w w:val="110"/>
        </w:rPr>
        <w:t> </w:t>
      </w:r>
      <w:r>
        <w:rPr>
          <w:color w:val="231F20"/>
          <w:w w:val="110"/>
        </w:rPr>
        <w:t>number</w:t>
      </w:r>
      <w:r>
        <w:rPr>
          <w:color w:val="231F20"/>
          <w:spacing w:val="-5"/>
          <w:w w:val="110"/>
        </w:rPr>
        <w:t> </w:t>
      </w:r>
      <w:r>
        <w:rPr>
          <w:color w:val="231F20"/>
          <w:w w:val="110"/>
        </w:rPr>
        <w:t>of</w:t>
      </w:r>
      <w:r>
        <w:rPr>
          <w:color w:val="231F20"/>
          <w:spacing w:val="-6"/>
          <w:w w:val="110"/>
        </w:rPr>
        <w:t> </w:t>
      </w:r>
      <w:r>
        <w:rPr>
          <w:color w:val="231F20"/>
          <w:w w:val="110"/>
        </w:rPr>
        <w:t>pupils,</w:t>
      </w:r>
      <w:r>
        <w:rPr>
          <w:color w:val="231F20"/>
          <w:spacing w:val="-6"/>
          <w:w w:val="110"/>
        </w:rPr>
        <w:t> </w:t>
      </w:r>
      <w:r>
        <w:rPr>
          <w:color w:val="231F20"/>
          <w:w w:val="110"/>
        </w:rPr>
        <w:t>parents,</w:t>
      </w:r>
      <w:r>
        <w:rPr>
          <w:color w:val="231F20"/>
          <w:spacing w:val="-5"/>
          <w:w w:val="110"/>
        </w:rPr>
        <w:t> </w:t>
      </w:r>
      <w:r>
        <w:rPr>
          <w:color w:val="231F20"/>
          <w:w w:val="110"/>
        </w:rPr>
        <w:t>and</w:t>
      </w:r>
      <w:r>
        <w:rPr>
          <w:color w:val="231F20"/>
          <w:spacing w:val="-6"/>
          <w:w w:val="110"/>
        </w:rPr>
        <w:t> </w:t>
      </w:r>
      <w:r>
        <w:rPr>
          <w:color w:val="231F20"/>
          <w:w w:val="110"/>
        </w:rPr>
        <w:t>staff.</w:t>
      </w:r>
    </w:p>
    <w:p>
      <w:pPr>
        <w:pStyle w:val="BodyText"/>
        <w:spacing w:before="9"/>
        <w:rPr>
          <w:sz w:val="20"/>
        </w:rPr>
      </w:pPr>
    </w:p>
    <w:p>
      <w:pPr>
        <w:pStyle w:val="ListParagraph"/>
        <w:numPr>
          <w:ilvl w:val="1"/>
          <w:numId w:val="241"/>
        </w:numPr>
        <w:tabs>
          <w:tab w:pos="1314" w:val="left" w:leader="none"/>
        </w:tabs>
        <w:spacing w:line="273" w:lineRule="auto" w:before="0" w:after="0"/>
        <w:ind w:left="593" w:right="2285" w:firstLine="0"/>
        <w:jc w:val="both"/>
        <w:rPr>
          <w:sz w:val="18"/>
        </w:rPr>
      </w:pPr>
      <w:r>
        <w:rPr>
          <w:color w:val="231F20"/>
          <w:w w:val="110"/>
          <w:sz w:val="18"/>
        </w:rPr>
        <w:t>The</w:t>
      </w:r>
      <w:r>
        <w:rPr>
          <w:color w:val="231F20"/>
          <w:spacing w:val="-13"/>
          <w:w w:val="110"/>
          <w:sz w:val="18"/>
        </w:rPr>
        <w:t> </w:t>
      </w:r>
      <w:r>
        <w:rPr>
          <w:color w:val="231F20"/>
          <w:w w:val="110"/>
          <w:sz w:val="18"/>
        </w:rPr>
        <w:t>academic</w:t>
      </w:r>
      <w:r>
        <w:rPr>
          <w:color w:val="231F20"/>
          <w:spacing w:val="-13"/>
          <w:w w:val="110"/>
          <w:sz w:val="18"/>
        </w:rPr>
        <w:t> </w:t>
      </w:r>
      <w:r>
        <w:rPr>
          <w:color w:val="231F20"/>
          <w:w w:val="110"/>
          <w:sz w:val="18"/>
        </w:rPr>
        <w:t>year</w:t>
      </w:r>
      <w:r>
        <w:rPr>
          <w:color w:val="231F20"/>
          <w:spacing w:val="-13"/>
          <w:w w:val="110"/>
          <w:sz w:val="18"/>
        </w:rPr>
        <w:t> </w:t>
      </w:r>
      <w:r>
        <w:rPr>
          <w:color w:val="231F20"/>
          <w:w w:val="110"/>
          <w:sz w:val="18"/>
        </w:rPr>
        <w:t>concluded</w:t>
      </w:r>
      <w:r>
        <w:rPr>
          <w:color w:val="231F20"/>
          <w:spacing w:val="-13"/>
          <w:w w:val="110"/>
          <w:sz w:val="18"/>
        </w:rPr>
        <w:t> </w:t>
      </w:r>
      <w:r>
        <w:rPr>
          <w:color w:val="231F20"/>
          <w:w w:val="110"/>
          <w:sz w:val="18"/>
        </w:rPr>
        <w:t>with</w:t>
      </w:r>
      <w:r>
        <w:rPr>
          <w:color w:val="231F20"/>
          <w:spacing w:val="-13"/>
          <w:w w:val="110"/>
          <w:sz w:val="18"/>
        </w:rPr>
        <w:t> </w:t>
      </w:r>
      <w:r>
        <w:rPr>
          <w:color w:val="231F20"/>
          <w:w w:val="110"/>
          <w:sz w:val="18"/>
        </w:rPr>
        <w:t>Speech</w:t>
      </w:r>
      <w:r>
        <w:rPr>
          <w:color w:val="231F20"/>
          <w:spacing w:val="-12"/>
          <w:w w:val="110"/>
          <w:sz w:val="18"/>
        </w:rPr>
        <w:t> </w:t>
      </w:r>
      <w:r>
        <w:rPr>
          <w:color w:val="231F20"/>
          <w:spacing w:val="-3"/>
          <w:w w:val="110"/>
          <w:sz w:val="18"/>
        </w:rPr>
        <w:t>Day</w:t>
      </w:r>
      <w:r>
        <w:rPr>
          <w:color w:val="231F20"/>
          <w:spacing w:val="-13"/>
          <w:w w:val="110"/>
          <w:sz w:val="18"/>
        </w:rPr>
        <w:t> </w:t>
      </w:r>
      <w:r>
        <w:rPr>
          <w:color w:val="231F20"/>
          <w:w w:val="110"/>
          <w:sz w:val="18"/>
        </w:rPr>
        <w:t>where</w:t>
      </w:r>
      <w:r>
        <w:rPr>
          <w:color w:val="231F20"/>
          <w:spacing w:val="-13"/>
          <w:w w:val="110"/>
          <w:sz w:val="18"/>
        </w:rPr>
        <w:t> </w:t>
      </w:r>
      <w:r>
        <w:rPr>
          <w:color w:val="231F20"/>
          <w:w w:val="110"/>
          <w:sz w:val="18"/>
        </w:rPr>
        <w:t>the</w:t>
      </w:r>
      <w:r>
        <w:rPr>
          <w:color w:val="231F20"/>
          <w:spacing w:val="-13"/>
          <w:w w:val="110"/>
          <w:sz w:val="18"/>
        </w:rPr>
        <w:t> </w:t>
      </w:r>
      <w:r>
        <w:rPr>
          <w:color w:val="231F20"/>
          <w:w w:val="110"/>
          <w:sz w:val="18"/>
        </w:rPr>
        <w:t>Guest</w:t>
      </w:r>
      <w:r>
        <w:rPr>
          <w:color w:val="231F20"/>
          <w:spacing w:val="-12"/>
          <w:w w:val="110"/>
          <w:sz w:val="18"/>
        </w:rPr>
        <w:t> </w:t>
      </w:r>
      <w:r>
        <w:rPr>
          <w:color w:val="231F20"/>
          <w:w w:val="110"/>
          <w:sz w:val="18"/>
        </w:rPr>
        <w:t>of</w:t>
      </w:r>
      <w:r>
        <w:rPr>
          <w:color w:val="231F20"/>
          <w:spacing w:val="-13"/>
          <w:w w:val="110"/>
          <w:sz w:val="18"/>
        </w:rPr>
        <w:t> </w:t>
      </w:r>
      <w:r>
        <w:rPr>
          <w:color w:val="231F20"/>
          <w:w w:val="110"/>
          <w:sz w:val="18"/>
        </w:rPr>
        <w:t>Honour</w:t>
      </w:r>
      <w:r>
        <w:rPr>
          <w:color w:val="231F20"/>
          <w:spacing w:val="-12"/>
          <w:w w:val="110"/>
          <w:sz w:val="18"/>
        </w:rPr>
        <w:t> </w:t>
      </w:r>
      <w:r>
        <w:rPr>
          <w:color w:val="231F20"/>
          <w:w w:val="110"/>
          <w:sz w:val="18"/>
        </w:rPr>
        <w:t>was Sir</w:t>
      </w:r>
      <w:r>
        <w:rPr>
          <w:color w:val="231F20"/>
          <w:spacing w:val="-14"/>
          <w:w w:val="110"/>
          <w:sz w:val="18"/>
        </w:rPr>
        <w:t> </w:t>
      </w:r>
      <w:r>
        <w:rPr>
          <w:color w:val="231F20"/>
          <w:w w:val="110"/>
          <w:sz w:val="18"/>
        </w:rPr>
        <w:t>Digby</w:t>
      </w:r>
      <w:r>
        <w:rPr>
          <w:color w:val="231F20"/>
          <w:spacing w:val="-14"/>
          <w:w w:val="110"/>
          <w:sz w:val="18"/>
        </w:rPr>
        <w:t> </w:t>
      </w:r>
      <w:r>
        <w:rPr>
          <w:color w:val="231F20"/>
          <w:w w:val="110"/>
          <w:sz w:val="18"/>
        </w:rPr>
        <w:t>Jones</w:t>
      </w:r>
      <w:r>
        <w:rPr>
          <w:color w:val="231F20"/>
          <w:spacing w:val="-13"/>
          <w:w w:val="110"/>
          <w:sz w:val="18"/>
        </w:rPr>
        <w:t> </w:t>
      </w:r>
      <w:r>
        <w:rPr>
          <w:color w:val="231F20"/>
          <w:w w:val="110"/>
          <w:sz w:val="18"/>
        </w:rPr>
        <w:t>of</w:t>
      </w:r>
      <w:r>
        <w:rPr>
          <w:color w:val="231F20"/>
          <w:spacing w:val="-13"/>
          <w:w w:val="110"/>
          <w:sz w:val="18"/>
        </w:rPr>
        <w:t> </w:t>
      </w:r>
      <w:r>
        <w:rPr>
          <w:color w:val="231F20"/>
          <w:w w:val="110"/>
          <w:sz w:val="18"/>
        </w:rPr>
        <w:t>the</w:t>
      </w:r>
      <w:r>
        <w:rPr>
          <w:color w:val="231F20"/>
          <w:spacing w:val="-14"/>
          <w:w w:val="110"/>
          <w:sz w:val="18"/>
        </w:rPr>
        <w:t> </w:t>
      </w:r>
      <w:r>
        <w:rPr>
          <w:color w:val="231F20"/>
          <w:w w:val="110"/>
          <w:sz w:val="18"/>
        </w:rPr>
        <w:t>CBI,</w:t>
      </w:r>
      <w:r>
        <w:rPr>
          <w:color w:val="231F20"/>
          <w:spacing w:val="-13"/>
          <w:w w:val="110"/>
          <w:sz w:val="18"/>
        </w:rPr>
        <w:t> </w:t>
      </w:r>
      <w:r>
        <w:rPr>
          <w:color w:val="231F20"/>
          <w:w w:val="110"/>
          <w:sz w:val="18"/>
        </w:rPr>
        <w:t>whose</w:t>
      </w:r>
      <w:r>
        <w:rPr>
          <w:color w:val="231F20"/>
          <w:spacing w:val="-14"/>
          <w:w w:val="110"/>
          <w:sz w:val="18"/>
        </w:rPr>
        <w:t> </w:t>
      </w:r>
      <w:r>
        <w:rPr>
          <w:color w:val="231F20"/>
          <w:w w:val="110"/>
          <w:sz w:val="18"/>
        </w:rPr>
        <w:t>enthusiasm</w:t>
      </w:r>
      <w:r>
        <w:rPr>
          <w:color w:val="231F20"/>
          <w:spacing w:val="-14"/>
          <w:w w:val="110"/>
          <w:sz w:val="18"/>
        </w:rPr>
        <w:t> </w:t>
      </w:r>
      <w:r>
        <w:rPr>
          <w:color w:val="231F20"/>
          <w:w w:val="110"/>
          <w:sz w:val="18"/>
        </w:rPr>
        <w:t>and</w:t>
      </w:r>
      <w:r>
        <w:rPr>
          <w:color w:val="231F20"/>
          <w:spacing w:val="-13"/>
          <w:w w:val="110"/>
          <w:sz w:val="18"/>
        </w:rPr>
        <w:t> </w:t>
      </w:r>
      <w:r>
        <w:rPr>
          <w:color w:val="231F20"/>
          <w:w w:val="110"/>
          <w:sz w:val="18"/>
        </w:rPr>
        <w:t>passion</w:t>
      </w:r>
      <w:r>
        <w:rPr>
          <w:color w:val="231F20"/>
          <w:spacing w:val="-14"/>
          <w:w w:val="110"/>
          <w:sz w:val="18"/>
        </w:rPr>
        <w:t> </w:t>
      </w:r>
      <w:r>
        <w:rPr>
          <w:color w:val="231F20"/>
          <w:w w:val="110"/>
          <w:sz w:val="18"/>
        </w:rPr>
        <w:t>for</w:t>
      </w:r>
      <w:r>
        <w:rPr>
          <w:color w:val="231F20"/>
          <w:spacing w:val="-13"/>
          <w:w w:val="110"/>
          <w:sz w:val="18"/>
        </w:rPr>
        <w:t> </w:t>
      </w:r>
      <w:r>
        <w:rPr>
          <w:color w:val="231F20"/>
          <w:w w:val="110"/>
          <w:sz w:val="18"/>
        </w:rPr>
        <w:t>Britain’s</w:t>
      </w:r>
      <w:r>
        <w:rPr>
          <w:color w:val="231F20"/>
          <w:spacing w:val="-13"/>
          <w:w w:val="110"/>
          <w:sz w:val="18"/>
        </w:rPr>
        <w:t> </w:t>
      </w:r>
      <w:r>
        <w:rPr>
          <w:color w:val="231F20"/>
          <w:w w:val="110"/>
          <w:sz w:val="18"/>
        </w:rPr>
        <w:t>role</w:t>
      </w:r>
      <w:r>
        <w:rPr>
          <w:color w:val="231F20"/>
          <w:spacing w:val="-14"/>
          <w:w w:val="110"/>
          <w:sz w:val="18"/>
        </w:rPr>
        <w:t> </w:t>
      </w:r>
      <w:r>
        <w:rPr>
          <w:color w:val="231F20"/>
          <w:w w:val="110"/>
          <w:sz w:val="18"/>
        </w:rPr>
        <w:t>in</w:t>
      </w:r>
      <w:r>
        <w:rPr>
          <w:color w:val="231F20"/>
          <w:spacing w:val="-14"/>
          <w:w w:val="110"/>
          <w:sz w:val="18"/>
        </w:rPr>
        <w:t> </w:t>
      </w:r>
      <w:r>
        <w:rPr>
          <w:color w:val="231F20"/>
          <w:w w:val="110"/>
          <w:sz w:val="18"/>
        </w:rPr>
        <w:t>the</w:t>
      </w:r>
      <w:r>
        <w:rPr>
          <w:color w:val="231F20"/>
          <w:spacing w:val="-13"/>
          <w:w w:val="110"/>
          <w:sz w:val="18"/>
        </w:rPr>
        <w:t> </w:t>
      </w:r>
      <w:r>
        <w:rPr>
          <w:color w:val="231F20"/>
          <w:spacing w:val="-3"/>
          <w:w w:val="110"/>
          <w:sz w:val="18"/>
        </w:rPr>
        <w:t>21st </w:t>
      </w:r>
      <w:r>
        <w:rPr>
          <w:color w:val="231F20"/>
          <w:w w:val="110"/>
          <w:sz w:val="18"/>
        </w:rPr>
        <w:t>Century</w:t>
      </w:r>
      <w:r>
        <w:rPr>
          <w:color w:val="231F20"/>
          <w:spacing w:val="-13"/>
          <w:w w:val="110"/>
          <w:sz w:val="18"/>
        </w:rPr>
        <w:t> </w:t>
      </w:r>
      <w:r>
        <w:rPr>
          <w:color w:val="231F20"/>
          <w:w w:val="110"/>
          <w:sz w:val="18"/>
        </w:rPr>
        <w:t>were</w:t>
      </w:r>
      <w:r>
        <w:rPr>
          <w:color w:val="231F20"/>
          <w:spacing w:val="-12"/>
          <w:w w:val="110"/>
          <w:sz w:val="18"/>
        </w:rPr>
        <w:t> </w:t>
      </w:r>
      <w:r>
        <w:rPr>
          <w:color w:val="231F20"/>
          <w:w w:val="110"/>
          <w:sz w:val="18"/>
        </w:rPr>
        <w:t>most</w:t>
      </w:r>
      <w:r>
        <w:rPr>
          <w:color w:val="231F20"/>
          <w:spacing w:val="-12"/>
          <w:w w:val="110"/>
          <w:sz w:val="18"/>
        </w:rPr>
        <w:t> </w:t>
      </w:r>
      <w:r>
        <w:rPr>
          <w:color w:val="231F20"/>
          <w:w w:val="110"/>
          <w:sz w:val="18"/>
        </w:rPr>
        <w:t>memorable.</w:t>
      </w:r>
      <w:r>
        <w:rPr>
          <w:color w:val="231F20"/>
          <w:spacing w:val="47"/>
          <w:w w:val="110"/>
          <w:sz w:val="18"/>
        </w:rPr>
        <w:t> </w:t>
      </w:r>
      <w:r>
        <w:rPr>
          <w:color w:val="231F20"/>
          <w:w w:val="110"/>
          <w:sz w:val="18"/>
        </w:rPr>
        <w:t>On</w:t>
      </w:r>
      <w:r>
        <w:rPr>
          <w:color w:val="231F20"/>
          <w:spacing w:val="-12"/>
          <w:w w:val="110"/>
          <w:sz w:val="18"/>
        </w:rPr>
        <w:t> </w:t>
      </w:r>
      <w:r>
        <w:rPr>
          <w:color w:val="231F20"/>
          <w:w w:val="110"/>
          <w:sz w:val="18"/>
        </w:rPr>
        <w:t>the</w:t>
      </w:r>
      <w:r>
        <w:rPr>
          <w:color w:val="231F20"/>
          <w:spacing w:val="-13"/>
          <w:w w:val="110"/>
          <w:sz w:val="18"/>
        </w:rPr>
        <w:t> </w:t>
      </w:r>
      <w:r>
        <w:rPr>
          <w:color w:val="231F20"/>
          <w:w w:val="110"/>
          <w:sz w:val="18"/>
        </w:rPr>
        <w:t>final</w:t>
      </w:r>
      <w:r>
        <w:rPr>
          <w:color w:val="231F20"/>
          <w:spacing w:val="-12"/>
          <w:w w:val="110"/>
          <w:sz w:val="18"/>
        </w:rPr>
        <w:t> </w:t>
      </w:r>
      <w:r>
        <w:rPr>
          <w:color w:val="231F20"/>
          <w:spacing w:val="-3"/>
          <w:w w:val="110"/>
          <w:sz w:val="18"/>
        </w:rPr>
        <w:t>day</w:t>
      </w:r>
      <w:r>
        <w:rPr>
          <w:color w:val="231F20"/>
          <w:spacing w:val="-12"/>
          <w:w w:val="110"/>
          <w:sz w:val="18"/>
        </w:rPr>
        <w:t> </w:t>
      </w:r>
      <w:r>
        <w:rPr>
          <w:color w:val="231F20"/>
          <w:w w:val="110"/>
          <w:sz w:val="18"/>
        </w:rPr>
        <w:t>the</w:t>
      </w:r>
      <w:r>
        <w:rPr>
          <w:color w:val="231F20"/>
          <w:spacing w:val="-13"/>
          <w:w w:val="110"/>
          <w:sz w:val="18"/>
        </w:rPr>
        <w:t> </w:t>
      </w:r>
      <w:r>
        <w:rPr>
          <w:color w:val="231F20"/>
          <w:w w:val="110"/>
          <w:sz w:val="18"/>
        </w:rPr>
        <w:t>Headmaster’s</w:t>
      </w:r>
      <w:r>
        <w:rPr>
          <w:color w:val="231F20"/>
          <w:spacing w:val="-12"/>
          <w:w w:val="110"/>
          <w:sz w:val="18"/>
        </w:rPr>
        <w:t> </w:t>
      </w:r>
      <w:r>
        <w:rPr>
          <w:color w:val="231F20"/>
          <w:w w:val="110"/>
          <w:sz w:val="18"/>
        </w:rPr>
        <w:t>Leavers’</w:t>
      </w:r>
      <w:r>
        <w:rPr>
          <w:color w:val="231F20"/>
          <w:spacing w:val="-12"/>
          <w:w w:val="110"/>
          <w:sz w:val="18"/>
        </w:rPr>
        <w:t> </w:t>
      </w:r>
      <w:r>
        <w:rPr>
          <w:color w:val="231F20"/>
          <w:w w:val="110"/>
          <w:sz w:val="18"/>
        </w:rPr>
        <w:t>Ball</w:t>
      </w:r>
      <w:r>
        <w:rPr>
          <w:color w:val="231F20"/>
          <w:spacing w:val="-12"/>
          <w:w w:val="110"/>
          <w:sz w:val="18"/>
        </w:rPr>
        <w:t> </w:t>
      </w:r>
      <w:r>
        <w:rPr>
          <w:color w:val="231F20"/>
          <w:w w:val="110"/>
          <w:sz w:val="18"/>
        </w:rPr>
        <w:t>was</w:t>
      </w:r>
    </w:p>
    <w:p>
      <w:pPr>
        <w:pStyle w:val="BodyText"/>
        <w:spacing w:before="2"/>
        <w:ind w:left="593"/>
        <w:jc w:val="both"/>
      </w:pPr>
      <w:r>
        <w:rPr>
          <w:color w:val="231F20"/>
          <w:w w:val="110"/>
        </w:rPr>
        <w:t>preceded by a Graduation Service in the Chapel attended by pupils, their parents, and staff.</w:t>
      </w:r>
    </w:p>
    <w:p>
      <w:pPr>
        <w:pStyle w:val="BodyText"/>
        <w:spacing w:before="1"/>
        <w:rPr>
          <w:sz w:val="23"/>
        </w:rPr>
      </w:pPr>
    </w:p>
    <w:p>
      <w:pPr>
        <w:pStyle w:val="ListParagraph"/>
        <w:numPr>
          <w:ilvl w:val="1"/>
          <w:numId w:val="241"/>
        </w:numPr>
        <w:tabs>
          <w:tab w:pos="1313" w:val="left" w:leader="none"/>
          <w:tab w:pos="1314" w:val="left" w:leader="none"/>
        </w:tabs>
        <w:spacing w:line="273" w:lineRule="auto" w:before="0" w:after="0"/>
        <w:ind w:left="593" w:right="1717" w:firstLine="0"/>
        <w:jc w:val="left"/>
        <w:rPr>
          <w:sz w:val="18"/>
        </w:rPr>
      </w:pPr>
      <w:r>
        <w:rPr>
          <w:color w:val="231F20"/>
          <w:w w:val="110"/>
          <w:sz w:val="18"/>
        </w:rPr>
        <w:t>The most successful </w:t>
      </w:r>
      <w:r>
        <w:rPr>
          <w:color w:val="231F20"/>
          <w:spacing w:val="3"/>
          <w:w w:val="110"/>
          <w:sz w:val="18"/>
        </w:rPr>
        <w:t>sport </w:t>
      </w:r>
      <w:r>
        <w:rPr>
          <w:color w:val="231F20"/>
          <w:w w:val="110"/>
          <w:sz w:val="18"/>
        </w:rPr>
        <w:t>was cricket with the 1st XI, </w:t>
      </w:r>
      <w:r>
        <w:rPr>
          <w:color w:val="231F20"/>
          <w:spacing w:val="-5"/>
          <w:w w:val="110"/>
          <w:sz w:val="18"/>
        </w:rPr>
        <w:t>U15, </w:t>
      </w:r>
      <w:r>
        <w:rPr>
          <w:color w:val="231F20"/>
          <w:w w:val="110"/>
          <w:sz w:val="18"/>
        </w:rPr>
        <w:t>and </w:t>
      </w:r>
      <w:r>
        <w:rPr>
          <w:color w:val="231F20"/>
          <w:spacing w:val="-7"/>
          <w:w w:val="110"/>
          <w:sz w:val="18"/>
        </w:rPr>
        <w:t>U14 </w:t>
      </w:r>
      <w:r>
        <w:rPr>
          <w:color w:val="231F20"/>
          <w:w w:val="110"/>
          <w:sz w:val="18"/>
        </w:rPr>
        <w:t>winning the majority of their fixtures, while the </w:t>
      </w:r>
      <w:r>
        <w:rPr>
          <w:color w:val="231F20"/>
          <w:spacing w:val="-5"/>
          <w:w w:val="110"/>
          <w:sz w:val="18"/>
        </w:rPr>
        <w:t>U13 </w:t>
      </w:r>
      <w:r>
        <w:rPr>
          <w:color w:val="231F20"/>
          <w:w w:val="110"/>
          <w:sz w:val="18"/>
        </w:rPr>
        <w:t>won the Kent Cup. The 1st XI also enjoyed a  most successful tour to Grenada and St Lucia, winning most matches and presenting three bags of cricket gear to </w:t>
      </w:r>
      <w:r>
        <w:rPr>
          <w:color w:val="231F20"/>
          <w:spacing w:val="2"/>
          <w:w w:val="110"/>
          <w:sz w:val="18"/>
        </w:rPr>
        <w:t>members </w:t>
      </w:r>
      <w:r>
        <w:rPr>
          <w:color w:val="231F20"/>
          <w:w w:val="110"/>
          <w:sz w:val="18"/>
        </w:rPr>
        <w:t>of the opposing sides in Grenada as a gesture of </w:t>
      </w:r>
      <w:r>
        <w:rPr>
          <w:color w:val="231F20"/>
          <w:spacing w:val="2"/>
          <w:w w:val="110"/>
          <w:sz w:val="18"/>
        </w:rPr>
        <w:t>support </w:t>
      </w:r>
      <w:r>
        <w:rPr>
          <w:color w:val="231F20"/>
          <w:w w:val="110"/>
          <w:sz w:val="18"/>
        </w:rPr>
        <w:t>following the hurricane that devastated the island </w:t>
      </w:r>
      <w:r>
        <w:rPr>
          <w:color w:val="231F20"/>
          <w:spacing w:val="2"/>
          <w:w w:val="110"/>
          <w:sz w:val="18"/>
        </w:rPr>
        <w:t>after </w:t>
      </w:r>
      <w:r>
        <w:rPr>
          <w:color w:val="231F20"/>
          <w:w w:val="110"/>
          <w:sz w:val="18"/>
        </w:rPr>
        <w:t>our previous </w:t>
      </w:r>
      <w:r>
        <w:rPr>
          <w:color w:val="231F20"/>
          <w:spacing w:val="-4"/>
          <w:w w:val="110"/>
          <w:sz w:val="18"/>
        </w:rPr>
        <w:t>tour. </w:t>
      </w:r>
      <w:r>
        <w:rPr>
          <w:color w:val="231F20"/>
          <w:w w:val="110"/>
          <w:sz w:val="18"/>
        </w:rPr>
        <w:t>While the senior rugby sides found themselves out-gunned by large opposition, the younger teams were more successful with the </w:t>
      </w:r>
      <w:r>
        <w:rPr>
          <w:color w:val="231F20"/>
          <w:spacing w:val="-5"/>
          <w:w w:val="110"/>
          <w:sz w:val="18"/>
        </w:rPr>
        <w:t>U15 </w:t>
      </w:r>
      <w:r>
        <w:rPr>
          <w:color w:val="231F20"/>
          <w:w w:val="110"/>
          <w:sz w:val="18"/>
        </w:rPr>
        <w:t>recovering </w:t>
      </w:r>
      <w:r>
        <w:rPr>
          <w:color w:val="231F20"/>
          <w:spacing w:val="2"/>
          <w:w w:val="110"/>
          <w:sz w:val="18"/>
        </w:rPr>
        <w:t>from </w:t>
      </w:r>
      <w:r>
        <w:rPr>
          <w:color w:val="231F20"/>
          <w:w w:val="110"/>
          <w:sz w:val="18"/>
        </w:rPr>
        <w:t>the previous year’s doldrums  to achieve considerable success; similarly hockey continues to grow with the </w:t>
      </w:r>
      <w:r>
        <w:rPr>
          <w:color w:val="231F20"/>
          <w:spacing w:val="-5"/>
          <w:w w:val="110"/>
          <w:sz w:val="18"/>
        </w:rPr>
        <w:t>U15 </w:t>
      </w:r>
      <w:r>
        <w:rPr>
          <w:color w:val="231F20"/>
          <w:w w:val="110"/>
          <w:sz w:val="18"/>
        </w:rPr>
        <w:t>again being the most impressive</w:t>
      </w:r>
      <w:r>
        <w:rPr>
          <w:color w:val="231F20"/>
          <w:spacing w:val="5"/>
          <w:w w:val="110"/>
          <w:sz w:val="18"/>
        </w:rPr>
        <w:t> </w:t>
      </w:r>
      <w:r>
        <w:rPr>
          <w:color w:val="231F20"/>
          <w:w w:val="110"/>
          <w:sz w:val="18"/>
        </w:rPr>
        <w:t>side.</w:t>
      </w:r>
    </w:p>
    <w:p>
      <w:pPr>
        <w:pStyle w:val="BodyText"/>
        <w:spacing w:before="1"/>
        <w:rPr>
          <w:sz w:val="21"/>
        </w:rPr>
      </w:pPr>
    </w:p>
    <w:p>
      <w:pPr>
        <w:pStyle w:val="ListParagraph"/>
        <w:numPr>
          <w:ilvl w:val="1"/>
          <w:numId w:val="241"/>
        </w:numPr>
        <w:tabs>
          <w:tab w:pos="1313" w:val="left" w:leader="none"/>
          <w:tab w:pos="1314" w:val="left" w:leader="none"/>
        </w:tabs>
        <w:spacing w:line="273" w:lineRule="auto" w:before="0" w:after="0"/>
        <w:ind w:left="593" w:right="1831" w:firstLine="0"/>
        <w:jc w:val="left"/>
        <w:rPr>
          <w:sz w:val="18"/>
        </w:rPr>
      </w:pPr>
      <w:r>
        <w:rPr>
          <w:color w:val="231F20"/>
          <w:w w:val="110"/>
          <w:sz w:val="18"/>
        </w:rPr>
        <w:t>In December, we organised a second reunion for Former Pupils. </w:t>
      </w:r>
      <w:r>
        <w:rPr>
          <w:color w:val="231F20"/>
          <w:spacing w:val="2"/>
          <w:w w:val="110"/>
          <w:sz w:val="18"/>
        </w:rPr>
        <w:t>As </w:t>
      </w:r>
      <w:r>
        <w:rPr>
          <w:color w:val="231F20"/>
          <w:w w:val="110"/>
          <w:sz w:val="18"/>
        </w:rPr>
        <w:t>had been organized in the previous </w:t>
      </w:r>
      <w:r>
        <w:rPr>
          <w:color w:val="231F20"/>
          <w:spacing w:val="-4"/>
          <w:w w:val="110"/>
          <w:sz w:val="18"/>
        </w:rPr>
        <w:t>year, </w:t>
      </w:r>
      <w:r>
        <w:rPr>
          <w:color w:val="231F20"/>
          <w:spacing w:val="2"/>
          <w:w w:val="110"/>
          <w:sz w:val="18"/>
        </w:rPr>
        <w:t>before </w:t>
      </w:r>
      <w:r>
        <w:rPr>
          <w:color w:val="231F20"/>
          <w:w w:val="110"/>
          <w:sz w:val="18"/>
        </w:rPr>
        <w:t>lunch and an </w:t>
      </w:r>
      <w:r>
        <w:rPr>
          <w:color w:val="231F20"/>
          <w:spacing w:val="2"/>
          <w:w w:val="110"/>
          <w:sz w:val="18"/>
        </w:rPr>
        <w:t>afternoon </w:t>
      </w:r>
      <w:r>
        <w:rPr>
          <w:color w:val="231F20"/>
          <w:w w:val="110"/>
          <w:sz w:val="18"/>
        </w:rPr>
        <w:t>rugby match between younger and more athletic old pupils, a </w:t>
      </w:r>
      <w:r>
        <w:rPr>
          <w:color w:val="231F20"/>
          <w:spacing w:val="2"/>
          <w:w w:val="110"/>
          <w:sz w:val="18"/>
        </w:rPr>
        <w:t>service </w:t>
      </w:r>
      <w:r>
        <w:rPr>
          <w:color w:val="231F20"/>
          <w:w w:val="110"/>
          <w:sz w:val="18"/>
        </w:rPr>
        <w:t>was held in the Chapel and featured Old Elthamians who had been </w:t>
      </w:r>
      <w:r>
        <w:rPr>
          <w:color w:val="231F20"/>
          <w:spacing w:val="2"/>
          <w:w w:val="110"/>
          <w:sz w:val="18"/>
        </w:rPr>
        <w:t>members </w:t>
      </w:r>
      <w:r>
        <w:rPr>
          <w:color w:val="231F20"/>
          <w:w w:val="110"/>
          <w:sz w:val="18"/>
        </w:rPr>
        <w:t>of the </w:t>
      </w:r>
      <w:r>
        <w:rPr>
          <w:color w:val="231F20"/>
          <w:spacing w:val="2"/>
          <w:w w:val="110"/>
          <w:sz w:val="18"/>
        </w:rPr>
        <w:t>Armed </w:t>
      </w:r>
      <w:r>
        <w:rPr>
          <w:color w:val="231F20"/>
          <w:w w:val="110"/>
          <w:sz w:val="18"/>
        </w:rPr>
        <w:t>Forces. Memories </w:t>
      </w:r>
      <w:r>
        <w:rPr>
          <w:color w:val="231F20"/>
          <w:spacing w:val="2"/>
          <w:w w:val="110"/>
          <w:sz w:val="18"/>
        </w:rPr>
        <w:t>from </w:t>
      </w:r>
      <w:r>
        <w:rPr>
          <w:color w:val="231F20"/>
          <w:w w:val="110"/>
          <w:sz w:val="18"/>
        </w:rPr>
        <w:t>landings in Italy in the Second World War to those of the Captain of HMS Sheffield in the Falklands conflict</w:t>
      </w:r>
      <w:r>
        <w:rPr>
          <w:color w:val="231F20"/>
          <w:spacing w:val="8"/>
          <w:w w:val="110"/>
          <w:sz w:val="18"/>
        </w:rPr>
        <w:t> </w:t>
      </w:r>
      <w:r>
        <w:rPr>
          <w:color w:val="231F20"/>
          <w:w w:val="110"/>
          <w:sz w:val="18"/>
        </w:rPr>
        <w:t>proved</w:t>
      </w:r>
      <w:r>
        <w:rPr>
          <w:color w:val="231F20"/>
          <w:spacing w:val="9"/>
          <w:w w:val="110"/>
          <w:sz w:val="18"/>
        </w:rPr>
        <w:t> </w:t>
      </w:r>
      <w:r>
        <w:rPr>
          <w:color w:val="231F20"/>
          <w:w w:val="110"/>
          <w:sz w:val="18"/>
        </w:rPr>
        <w:t>most</w:t>
      </w:r>
      <w:r>
        <w:rPr>
          <w:color w:val="231F20"/>
          <w:spacing w:val="9"/>
          <w:w w:val="110"/>
          <w:sz w:val="18"/>
        </w:rPr>
        <w:t> </w:t>
      </w:r>
      <w:r>
        <w:rPr>
          <w:color w:val="231F20"/>
          <w:w w:val="110"/>
          <w:sz w:val="18"/>
        </w:rPr>
        <w:t>stimulating</w:t>
      </w:r>
      <w:r>
        <w:rPr>
          <w:color w:val="231F20"/>
          <w:spacing w:val="9"/>
          <w:w w:val="110"/>
          <w:sz w:val="18"/>
        </w:rPr>
        <w:t> </w:t>
      </w:r>
      <w:r>
        <w:rPr>
          <w:color w:val="231F20"/>
          <w:w w:val="110"/>
          <w:sz w:val="18"/>
        </w:rPr>
        <w:t>and</w:t>
      </w:r>
      <w:r>
        <w:rPr>
          <w:color w:val="231F20"/>
          <w:spacing w:val="9"/>
          <w:w w:val="110"/>
          <w:sz w:val="18"/>
        </w:rPr>
        <w:t> </w:t>
      </w:r>
      <w:r>
        <w:rPr>
          <w:color w:val="231F20"/>
          <w:w w:val="110"/>
          <w:sz w:val="18"/>
        </w:rPr>
        <w:t>the</w:t>
      </w:r>
      <w:r>
        <w:rPr>
          <w:color w:val="231F20"/>
          <w:spacing w:val="9"/>
          <w:w w:val="110"/>
          <w:sz w:val="18"/>
        </w:rPr>
        <w:t> </w:t>
      </w:r>
      <w:r>
        <w:rPr>
          <w:color w:val="231F20"/>
          <w:w w:val="110"/>
          <w:sz w:val="18"/>
        </w:rPr>
        <w:t>experiences</w:t>
      </w:r>
      <w:r>
        <w:rPr>
          <w:color w:val="231F20"/>
          <w:spacing w:val="9"/>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9"/>
          <w:w w:val="110"/>
          <w:sz w:val="18"/>
        </w:rPr>
        <w:t> </w:t>
      </w:r>
      <w:r>
        <w:rPr>
          <w:color w:val="231F20"/>
          <w:w w:val="110"/>
          <w:sz w:val="18"/>
        </w:rPr>
        <w:t>former</w:t>
      </w:r>
      <w:r>
        <w:rPr>
          <w:color w:val="231F20"/>
          <w:spacing w:val="8"/>
          <w:w w:val="110"/>
          <w:sz w:val="18"/>
        </w:rPr>
        <w:t> </w:t>
      </w:r>
      <w:r>
        <w:rPr>
          <w:color w:val="231F20"/>
          <w:w w:val="110"/>
          <w:sz w:val="18"/>
        </w:rPr>
        <w:t>pupils</w:t>
      </w:r>
      <w:r>
        <w:rPr>
          <w:color w:val="231F20"/>
          <w:spacing w:val="9"/>
          <w:w w:val="110"/>
          <w:sz w:val="18"/>
        </w:rPr>
        <w:t> </w:t>
      </w:r>
      <w:r>
        <w:rPr>
          <w:color w:val="231F20"/>
          <w:w w:val="110"/>
          <w:sz w:val="18"/>
        </w:rPr>
        <w:t>gave</w:t>
      </w:r>
      <w:r>
        <w:rPr>
          <w:color w:val="231F20"/>
          <w:spacing w:val="9"/>
          <w:w w:val="110"/>
          <w:sz w:val="18"/>
        </w:rPr>
        <w:t> </w:t>
      </w:r>
      <w:r>
        <w:rPr>
          <w:color w:val="231F20"/>
          <w:w w:val="110"/>
          <w:sz w:val="18"/>
        </w:rPr>
        <w:t>many</w:t>
      </w:r>
    </w:p>
    <w:p>
      <w:pPr>
        <w:pStyle w:val="BodyText"/>
        <w:spacing w:line="273" w:lineRule="auto" w:before="4"/>
        <w:ind w:left="593" w:right="2400"/>
      </w:pPr>
      <w:r>
        <w:rPr>
          <w:color w:val="231F20"/>
          <w:w w:val="110"/>
        </w:rPr>
        <w:t>of the present pupils much to think about and to be thankful for as we enjoy the comparative peace of our current times.</w:t>
      </w:r>
    </w:p>
    <w:p>
      <w:pPr>
        <w:spacing w:after="0" w:line="273" w:lineRule="auto"/>
        <w:sectPr>
          <w:headerReference w:type="even" r:id="rId606"/>
          <w:headerReference w:type="default" r:id="rId607"/>
          <w:pgSz w:w="11910" w:h="16840"/>
          <w:pgMar w:header="581" w:footer="544" w:top="860" w:bottom="740" w:left="540" w:right="0"/>
        </w:sectPr>
      </w:pPr>
    </w:p>
    <w:p>
      <w:pPr>
        <w:pStyle w:val="BodyText"/>
        <w:spacing w:before="8"/>
        <w:rPr>
          <w:sz w:val="11"/>
        </w:rPr>
      </w:pPr>
    </w:p>
    <w:p>
      <w:pPr>
        <w:numPr>
          <w:ilvl w:val="0"/>
          <w:numId w:val="241"/>
        </w:numPr>
        <w:tabs>
          <w:tab w:pos="1880" w:val="left" w:leader="none"/>
          <w:tab w:pos="1881" w:val="left" w:leader="none"/>
        </w:tabs>
        <w:spacing w:before="98"/>
        <w:ind w:left="1880" w:right="0" w:hanging="721"/>
        <w:jc w:val="left"/>
        <w:rPr>
          <w:b/>
          <w:color w:val="231F20"/>
          <w:sz w:val="20"/>
        </w:rPr>
      </w:pPr>
      <w:r>
        <w:rPr>
          <w:b/>
          <w:color w:val="231F20"/>
          <w:w w:val="110"/>
          <w:sz w:val="20"/>
        </w:rPr>
        <w:t>Silcoates</w:t>
      </w:r>
      <w:r>
        <w:rPr>
          <w:b/>
          <w:color w:val="231F20"/>
          <w:spacing w:val="18"/>
          <w:w w:val="110"/>
          <w:sz w:val="20"/>
        </w:rPr>
        <w:t> </w:t>
      </w:r>
      <w:r>
        <w:rPr>
          <w:b/>
          <w:color w:val="231F20"/>
          <w:w w:val="110"/>
          <w:sz w:val="20"/>
        </w:rPr>
        <w:t>School</w:t>
      </w:r>
    </w:p>
    <w:p>
      <w:pPr>
        <w:pStyle w:val="BodyText"/>
        <w:spacing w:before="9"/>
        <w:rPr>
          <w:b/>
          <w:sz w:val="22"/>
        </w:rPr>
      </w:pPr>
    </w:p>
    <w:p>
      <w:pPr>
        <w:pStyle w:val="ListParagraph"/>
        <w:numPr>
          <w:ilvl w:val="1"/>
          <w:numId w:val="241"/>
        </w:numPr>
        <w:tabs>
          <w:tab w:pos="1880" w:val="left" w:leader="none"/>
          <w:tab w:pos="1881" w:val="left" w:leader="none"/>
        </w:tabs>
        <w:spacing w:line="273" w:lineRule="auto" w:before="0" w:after="0"/>
        <w:ind w:left="1160" w:right="1191" w:firstLine="0"/>
        <w:jc w:val="left"/>
        <w:rPr>
          <w:sz w:val="18"/>
        </w:rPr>
      </w:pPr>
      <w:r>
        <w:rPr>
          <w:color w:val="231F20"/>
          <w:w w:val="110"/>
          <w:sz w:val="18"/>
        </w:rPr>
        <w:t>The three schools of the Foundation flourish, with numbers at Silcoates itself reaching 750 and with St Hilda’s School continuing to expand. It has been another characteristically busy </w:t>
      </w:r>
      <w:r>
        <w:rPr>
          <w:color w:val="231F20"/>
          <w:spacing w:val="-4"/>
          <w:w w:val="110"/>
          <w:sz w:val="18"/>
        </w:rPr>
        <w:t>year, </w:t>
      </w:r>
      <w:r>
        <w:rPr>
          <w:color w:val="231F20"/>
          <w:w w:val="110"/>
          <w:sz w:val="18"/>
        </w:rPr>
        <w:t>with the addition of our six-yearly ISI inspection in October, </w:t>
      </w:r>
      <w:r>
        <w:rPr>
          <w:color w:val="231F20"/>
          <w:spacing w:val="2"/>
          <w:w w:val="110"/>
          <w:sz w:val="18"/>
        </w:rPr>
        <w:t>after </w:t>
      </w:r>
      <w:r>
        <w:rPr>
          <w:color w:val="231F20"/>
          <w:w w:val="110"/>
          <w:sz w:val="18"/>
        </w:rPr>
        <w:t>which we were </w:t>
      </w:r>
      <w:r>
        <w:rPr>
          <w:color w:val="231F20"/>
          <w:spacing w:val="2"/>
          <w:w w:val="110"/>
          <w:sz w:val="18"/>
        </w:rPr>
        <w:t>very </w:t>
      </w:r>
      <w:r>
        <w:rPr>
          <w:color w:val="231F20"/>
          <w:w w:val="110"/>
          <w:sz w:val="18"/>
        </w:rPr>
        <w:t>pleased to receive </w:t>
      </w:r>
      <w:r>
        <w:rPr>
          <w:color w:val="231F20"/>
          <w:spacing w:val="2"/>
          <w:w w:val="110"/>
          <w:sz w:val="18"/>
        </w:rPr>
        <w:t>extremely </w:t>
      </w:r>
      <w:r>
        <w:rPr>
          <w:color w:val="231F20"/>
          <w:w w:val="110"/>
          <w:sz w:val="18"/>
        </w:rPr>
        <w:t>complimentary </w:t>
      </w:r>
      <w:r>
        <w:rPr>
          <w:color w:val="231F20"/>
          <w:spacing w:val="3"/>
          <w:w w:val="110"/>
          <w:sz w:val="18"/>
        </w:rPr>
        <w:t>reports </w:t>
      </w:r>
      <w:r>
        <w:rPr>
          <w:color w:val="231F20"/>
          <w:w w:val="110"/>
          <w:sz w:val="18"/>
        </w:rPr>
        <w:t>on the Senior and Junior Schools at</w:t>
      </w:r>
      <w:r>
        <w:rPr>
          <w:color w:val="231F20"/>
          <w:spacing w:val="7"/>
          <w:w w:val="110"/>
          <w:sz w:val="18"/>
        </w:rPr>
        <w:t> </w:t>
      </w:r>
      <w:r>
        <w:rPr>
          <w:color w:val="231F20"/>
          <w:w w:val="110"/>
          <w:sz w:val="18"/>
        </w:rPr>
        <w:t>Silcoates.</w:t>
      </w:r>
    </w:p>
    <w:p>
      <w:pPr>
        <w:pStyle w:val="BodyText"/>
        <w:spacing w:before="10"/>
        <w:rPr>
          <w:sz w:val="20"/>
        </w:rPr>
      </w:pPr>
    </w:p>
    <w:p>
      <w:pPr>
        <w:pStyle w:val="ListParagraph"/>
        <w:numPr>
          <w:ilvl w:val="1"/>
          <w:numId w:val="241"/>
        </w:numPr>
        <w:tabs>
          <w:tab w:pos="1880" w:val="left" w:leader="none"/>
          <w:tab w:pos="1881" w:val="left" w:leader="none"/>
        </w:tabs>
        <w:spacing w:line="273" w:lineRule="auto" w:before="0" w:after="0"/>
        <w:ind w:left="1160" w:right="1383" w:firstLine="0"/>
        <w:jc w:val="left"/>
        <w:rPr>
          <w:sz w:val="18"/>
        </w:rPr>
      </w:pPr>
      <w:r>
        <w:rPr>
          <w:color w:val="231F20"/>
          <w:spacing w:val="-6"/>
          <w:w w:val="110"/>
          <w:sz w:val="18"/>
        </w:rPr>
        <w:t>Two </w:t>
      </w:r>
      <w:r>
        <w:rPr>
          <w:color w:val="231F20"/>
          <w:spacing w:val="2"/>
          <w:w w:val="110"/>
          <w:sz w:val="18"/>
        </w:rPr>
        <w:t>members </w:t>
      </w:r>
      <w:r>
        <w:rPr>
          <w:color w:val="231F20"/>
          <w:w w:val="110"/>
          <w:sz w:val="18"/>
        </w:rPr>
        <w:t>of the Governing Body, Dr Peter Clarke and Mr </w:t>
      </w:r>
      <w:r>
        <w:rPr>
          <w:color w:val="231F20"/>
          <w:spacing w:val="2"/>
          <w:w w:val="110"/>
          <w:sz w:val="18"/>
        </w:rPr>
        <w:t>Robert </w:t>
      </w:r>
      <w:r>
        <w:rPr>
          <w:color w:val="231F20"/>
          <w:w w:val="110"/>
          <w:sz w:val="18"/>
        </w:rPr>
        <w:t>Hanson, have completed twenty-five years on the Board. </w:t>
      </w:r>
      <w:r>
        <w:rPr>
          <w:color w:val="231F20"/>
          <w:spacing w:val="-3"/>
          <w:w w:val="110"/>
          <w:sz w:val="18"/>
        </w:rPr>
        <w:t>We </w:t>
      </w:r>
      <w:r>
        <w:rPr>
          <w:color w:val="231F20"/>
          <w:w w:val="110"/>
          <w:sz w:val="18"/>
        </w:rPr>
        <w:t>are fortunate in the diversity and dedication of our Governors, who include several nominated by the United Reformed Church and one nominated by the Congregational</w:t>
      </w:r>
      <w:r>
        <w:rPr>
          <w:color w:val="231F20"/>
          <w:spacing w:val="21"/>
          <w:w w:val="110"/>
          <w:sz w:val="18"/>
        </w:rPr>
        <w:t> </w:t>
      </w:r>
      <w:r>
        <w:rPr>
          <w:color w:val="231F20"/>
          <w:w w:val="110"/>
          <w:sz w:val="18"/>
        </w:rPr>
        <w:t>Federation.</w:t>
      </w:r>
    </w:p>
    <w:p>
      <w:pPr>
        <w:pStyle w:val="BodyText"/>
        <w:spacing w:before="10"/>
        <w:rPr>
          <w:sz w:val="20"/>
        </w:rPr>
      </w:pPr>
    </w:p>
    <w:p>
      <w:pPr>
        <w:pStyle w:val="ListParagraph"/>
        <w:numPr>
          <w:ilvl w:val="1"/>
          <w:numId w:val="241"/>
        </w:numPr>
        <w:tabs>
          <w:tab w:pos="1880" w:val="left" w:leader="none"/>
          <w:tab w:pos="1881" w:val="left" w:leader="none"/>
        </w:tabs>
        <w:spacing w:line="273" w:lineRule="auto" w:before="0" w:after="0"/>
        <w:ind w:left="1160" w:right="1369" w:firstLine="0"/>
        <w:jc w:val="left"/>
        <w:rPr>
          <w:sz w:val="18"/>
        </w:rPr>
      </w:pPr>
      <w:r>
        <w:rPr>
          <w:color w:val="231F20"/>
          <w:w w:val="110"/>
          <w:sz w:val="18"/>
        </w:rPr>
        <w:t>The Chaplain, the Revd </w:t>
      </w:r>
      <w:r>
        <w:rPr>
          <w:color w:val="231F20"/>
          <w:spacing w:val="-5"/>
          <w:w w:val="110"/>
          <w:sz w:val="18"/>
        </w:rPr>
        <w:t>Tony </w:t>
      </w:r>
      <w:r>
        <w:rPr>
          <w:color w:val="231F20"/>
          <w:w w:val="110"/>
          <w:sz w:val="18"/>
        </w:rPr>
        <w:t>Jones, has always sought ways of improving the Chapel as a building to be specially cherished. In recent years the organ has been completely overhauled, a </w:t>
      </w:r>
      <w:r>
        <w:rPr>
          <w:color w:val="231F20"/>
          <w:spacing w:val="2"/>
          <w:w w:val="110"/>
          <w:sz w:val="18"/>
        </w:rPr>
        <w:t>vestry </w:t>
      </w:r>
      <w:r>
        <w:rPr>
          <w:color w:val="231F20"/>
          <w:w w:val="110"/>
          <w:sz w:val="18"/>
        </w:rPr>
        <w:t>has been added, the sound system has been replaced and various </w:t>
      </w:r>
      <w:r>
        <w:rPr>
          <w:color w:val="231F20"/>
          <w:spacing w:val="3"/>
          <w:w w:val="110"/>
          <w:sz w:val="18"/>
        </w:rPr>
        <w:t>artefacts </w:t>
      </w:r>
      <w:r>
        <w:rPr>
          <w:color w:val="231F20"/>
          <w:w w:val="110"/>
          <w:sz w:val="18"/>
        </w:rPr>
        <w:t>– restrained in </w:t>
      </w:r>
      <w:r>
        <w:rPr>
          <w:color w:val="231F20"/>
          <w:spacing w:val="2"/>
          <w:w w:val="110"/>
          <w:sz w:val="18"/>
        </w:rPr>
        <w:t>style </w:t>
      </w:r>
      <w:r>
        <w:rPr>
          <w:color w:val="231F20"/>
          <w:w w:val="110"/>
          <w:sz w:val="18"/>
        </w:rPr>
        <w:t>and of high quality – have been</w:t>
      </w:r>
      <w:r>
        <w:rPr>
          <w:color w:val="231F20"/>
          <w:spacing w:val="7"/>
          <w:w w:val="110"/>
          <w:sz w:val="18"/>
        </w:rPr>
        <w:t> </w:t>
      </w:r>
      <w:r>
        <w:rPr>
          <w:color w:val="231F20"/>
          <w:w w:val="110"/>
          <w:sz w:val="18"/>
        </w:rPr>
        <w:t>added.</w:t>
      </w:r>
    </w:p>
    <w:p>
      <w:pPr>
        <w:pStyle w:val="BodyText"/>
        <w:spacing w:before="2"/>
        <w:ind w:left="1160"/>
      </w:pPr>
      <w:r>
        <w:rPr>
          <w:color w:val="231F20"/>
          <w:w w:val="110"/>
        </w:rPr>
        <w:t>The Chapel has lately been redecorated and equipped with new heating and</w:t>
      </w:r>
      <w:r>
        <w:rPr>
          <w:color w:val="231F20"/>
          <w:spacing w:val="57"/>
          <w:w w:val="110"/>
        </w:rPr>
        <w:t> </w:t>
      </w:r>
      <w:r>
        <w:rPr>
          <w:color w:val="231F20"/>
          <w:w w:val="110"/>
        </w:rPr>
        <w:t>lighting.</w:t>
      </w:r>
    </w:p>
    <w:p>
      <w:pPr>
        <w:pStyle w:val="BodyText"/>
        <w:spacing w:before="31"/>
        <w:ind w:left="1160"/>
      </w:pPr>
      <w:r>
        <w:rPr>
          <w:color w:val="231F20"/>
          <w:w w:val="110"/>
        </w:rPr>
        <w:t>A fine cross, made by a member of the staff, now dominates the east end.</w:t>
      </w:r>
    </w:p>
    <w:p>
      <w:pPr>
        <w:pStyle w:val="BodyText"/>
        <w:spacing w:before="2"/>
        <w:rPr>
          <w:sz w:val="23"/>
        </w:rPr>
      </w:pPr>
    </w:p>
    <w:p>
      <w:pPr>
        <w:pStyle w:val="ListParagraph"/>
        <w:numPr>
          <w:ilvl w:val="1"/>
          <w:numId w:val="241"/>
        </w:numPr>
        <w:tabs>
          <w:tab w:pos="1880" w:val="left" w:leader="none"/>
          <w:tab w:pos="1881" w:val="left" w:leader="none"/>
        </w:tabs>
        <w:spacing w:line="273" w:lineRule="auto" w:before="0" w:after="0"/>
        <w:ind w:left="1162" w:right="1494" w:hanging="2"/>
        <w:jc w:val="left"/>
        <w:rPr>
          <w:sz w:val="18"/>
        </w:rPr>
      </w:pPr>
      <w:r>
        <w:rPr>
          <w:color w:val="231F20"/>
          <w:w w:val="110"/>
          <w:sz w:val="18"/>
        </w:rPr>
        <w:t>Every</w:t>
      </w:r>
      <w:r>
        <w:rPr>
          <w:color w:val="231F20"/>
          <w:spacing w:val="-13"/>
          <w:w w:val="110"/>
          <w:sz w:val="18"/>
        </w:rPr>
        <w:t> </w:t>
      </w:r>
      <w:r>
        <w:rPr>
          <w:color w:val="231F20"/>
          <w:w w:val="110"/>
          <w:sz w:val="18"/>
        </w:rPr>
        <w:t>year</w:t>
      </w:r>
      <w:r>
        <w:rPr>
          <w:color w:val="231F20"/>
          <w:spacing w:val="-12"/>
          <w:w w:val="110"/>
          <w:sz w:val="18"/>
        </w:rPr>
        <w:t> </w:t>
      </w:r>
      <w:r>
        <w:rPr>
          <w:color w:val="231F20"/>
          <w:w w:val="110"/>
          <w:sz w:val="18"/>
        </w:rPr>
        <w:t>a</w:t>
      </w:r>
      <w:r>
        <w:rPr>
          <w:color w:val="231F20"/>
          <w:spacing w:val="-12"/>
          <w:w w:val="110"/>
          <w:sz w:val="18"/>
        </w:rPr>
        <w:t> </w:t>
      </w:r>
      <w:r>
        <w:rPr>
          <w:color w:val="231F20"/>
          <w:w w:val="110"/>
          <w:sz w:val="18"/>
        </w:rPr>
        <w:t>number</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Old</w:t>
      </w:r>
      <w:r>
        <w:rPr>
          <w:color w:val="231F20"/>
          <w:spacing w:val="-12"/>
          <w:w w:val="110"/>
          <w:sz w:val="18"/>
        </w:rPr>
        <w:t> </w:t>
      </w:r>
      <w:r>
        <w:rPr>
          <w:color w:val="231F20"/>
          <w:w w:val="110"/>
          <w:sz w:val="18"/>
        </w:rPr>
        <w:t>Silcoatians</w:t>
      </w:r>
      <w:r>
        <w:rPr>
          <w:color w:val="231F20"/>
          <w:spacing w:val="-12"/>
          <w:w w:val="110"/>
          <w:sz w:val="18"/>
        </w:rPr>
        <w:t> </w:t>
      </w:r>
      <w:r>
        <w:rPr>
          <w:color w:val="231F20"/>
          <w:w w:val="110"/>
          <w:sz w:val="18"/>
        </w:rPr>
        <w:t>return</w:t>
      </w:r>
      <w:r>
        <w:rPr>
          <w:color w:val="231F20"/>
          <w:spacing w:val="-11"/>
          <w:w w:val="110"/>
          <w:sz w:val="18"/>
        </w:rPr>
        <w:t> </w:t>
      </w:r>
      <w:r>
        <w:rPr>
          <w:color w:val="231F20"/>
          <w:w w:val="110"/>
          <w:sz w:val="18"/>
        </w:rPr>
        <w:t>to</w:t>
      </w:r>
      <w:r>
        <w:rPr>
          <w:color w:val="231F20"/>
          <w:spacing w:val="-12"/>
          <w:w w:val="110"/>
          <w:sz w:val="18"/>
        </w:rPr>
        <w:t> </w:t>
      </w:r>
      <w:r>
        <w:rPr>
          <w:color w:val="231F20"/>
          <w:w w:val="110"/>
          <w:sz w:val="18"/>
        </w:rPr>
        <w:t>their</w:t>
      </w:r>
      <w:r>
        <w:rPr>
          <w:color w:val="231F20"/>
          <w:spacing w:val="-12"/>
          <w:w w:val="110"/>
          <w:sz w:val="18"/>
        </w:rPr>
        <w:t> </w:t>
      </w:r>
      <w:r>
        <w:rPr>
          <w:color w:val="231F20"/>
          <w:w w:val="110"/>
          <w:sz w:val="18"/>
        </w:rPr>
        <w:t>alma</w:t>
      </w:r>
      <w:r>
        <w:rPr>
          <w:color w:val="231F20"/>
          <w:spacing w:val="-12"/>
          <w:w w:val="110"/>
          <w:sz w:val="18"/>
        </w:rPr>
        <w:t> </w:t>
      </w:r>
      <w:r>
        <w:rPr>
          <w:color w:val="231F20"/>
          <w:w w:val="110"/>
          <w:sz w:val="18"/>
        </w:rPr>
        <w:t>mater</w:t>
      </w:r>
      <w:r>
        <w:rPr>
          <w:color w:val="231F20"/>
          <w:spacing w:val="-11"/>
          <w:w w:val="110"/>
          <w:sz w:val="18"/>
        </w:rPr>
        <w:t> </w:t>
      </w:r>
      <w:r>
        <w:rPr>
          <w:color w:val="231F20"/>
          <w:w w:val="110"/>
          <w:sz w:val="18"/>
        </w:rPr>
        <w:t>to</w:t>
      </w:r>
      <w:r>
        <w:rPr>
          <w:color w:val="231F20"/>
          <w:spacing w:val="-12"/>
          <w:w w:val="110"/>
          <w:sz w:val="18"/>
        </w:rPr>
        <w:t> </w:t>
      </w:r>
      <w:r>
        <w:rPr>
          <w:color w:val="231F20"/>
          <w:w w:val="110"/>
          <w:sz w:val="18"/>
        </w:rPr>
        <w:t>be</w:t>
      </w:r>
      <w:r>
        <w:rPr>
          <w:color w:val="231F20"/>
          <w:spacing w:val="-12"/>
          <w:w w:val="110"/>
          <w:sz w:val="18"/>
        </w:rPr>
        <w:t> </w:t>
      </w:r>
      <w:r>
        <w:rPr>
          <w:color w:val="231F20"/>
          <w:w w:val="110"/>
          <w:sz w:val="18"/>
        </w:rPr>
        <w:t>married in</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Chapel.</w:t>
      </w:r>
      <w:r>
        <w:rPr>
          <w:color w:val="231F20"/>
          <w:spacing w:val="49"/>
          <w:w w:val="110"/>
          <w:sz w:val="18"/>
        </w:rPr>
        <w:t> </w:t>
      </w:r>
      <w:r>
        <w:rPr>
          <w:color w:val="231F20"/>
          <w:spacing w:val="-4"/>
          <w:w w:val="110"/>
          <w:sz w:val="18"/>
        </w:rPr>
        <w:t>We</w:t>
      </w:r>
      <w:r>
        <w:rPr>
          <w:color w:val="231F20"/>
          <w:spacing w:val="-11"/>
          <w:w w:val="110"/>
          <w:sz w:val="18"/>
        </w:rPr>
        <w:t> </w:t>
      </w:r>
      <w:r>
        <w:rPr>
          <w:color w:val="231F20"/>
          <w:w w:val="110"/>
          <w:sz w:val="18"/>
        </w:rPr>
        <w:t>are</w:t>
      </w:r>
      <w:r>
        <w:rPr>
          <w:color w:val="231F20"/>
          <w:spacing w:val="-12"/>
          <w:w w:val="110"/>
          <w:sz w:val="18"/>
        </w:rPr>
        <w:t> </w:t>
      </w:r>
      <w:r>
        <w:rPr>
          <w:color w:val="231F20"/>
          <w:w w:val="110"/>
          <w:sz w:val="18"/>
        </w:rPr>
        <w:t>delighted</w:t>
      </w:r>
      <w:r>
        <w:rPr>
          <w:color w:val="231F20"/>
          <w:spacing w:val="-12"/>
          <w:w w:val="110"/>
          <w:sz w:val="18"/>
        </w:rPr>
        <w:t> </w:t>
      </w:r>
      <w:r>
        <w:rPr>
          <w:color w:val="231F20"/>
          <w:w w:val="110"/>
          <w:sz w:val="18"/>
        </w:rPr>
        <w:t>that</w:t>
      </w:r>
      <w:r>
        <w:rPr>
          <w:color w:val="231F20"/>
          <w:spacing w:val="-11"/>
          <w:w w:val="110"/>
          <w:sz w:val="18"/>
        </w:rPr>
        <w:t> </w:t>
      </w:r>
      <w:r>
        <w:rPr>
          <w:color w:val="231F20"/>
          <w:w w:val="110"/>
          <w:sz w:val="18"/>
        </w:rPr>
        <w:t>they</w:t>
      </w:r>
      <w:r>
        <w:rPr>
          <w:color w:val="231F20"/>
          <w:spacing w:val="-12"/>
          <w:w w:val="110"/>
          <w:sz w:val="18"/>
        </w:rPr>
        <w:t> </w:t>
      </w:r>
      <w:r>
        <w:rPr>
          <w:color w:val="231F20"/>
          <w:w w:val="110"/>
          <w:sz w:val="18"/>
        </w:rPr>
        <w:t>should</w:t>
      </w:r>
      <w:r>
        <w:rPr>
          <w:color w:val="231F20"/>
          <w:spacing w:val="-11"/>
          <w:w w:val="110"/>
          <w:sz w:val="18"/>
        </w:rPr>
        <w:t> </w:t>
      </w:r>
      <w:r>
        <w:rPr>
          <w:color w:val="231F20"/>
          <w:w w:val="110"/>
          <w:sz w:val="18"/>
        </w:rPr>
        <w:t>choose</w:t>
      </w:r>
      <w:r>
        <w:rPr>
          <w:color w:val="231F20"/>
          <w:spacing w:val="-11"/>
          <w:w w:val="110"/>
          <w:sz w:val="18"/>
        </w:rPr>
        <w:t> </w:t>
      </w:r>
      <w:r>
        <w:rPr>
          <w:color w:val="231F20"/>
          <w:w w:val="110"/>
          <w:sz w:val="18"/>
        </w:rPr>
        <w:t>to</w:t>
      </w:r>
      <w:r>
        <w:rPr>
          <w:color w:val="231F20"/>
          <w:spacing w:val="-12"/>
          <w:w w:val="110"/>
          <w:sz w:val="18"/>
        </w:rPr>
        <w:t> </w:t>
      </w:r>
      <w:r>
        <w:rPr>
          <w:color w:val="231F20"/>
          <w:w w:val="110"/>
          <w:sz w:val="18"/>
        </w:rPr>
        <w:t>come</w:t>
      </w:r>
      <w:r>
        <w:rPr>
          <w:color w:val="231F20"/>
          <w:spacing w:val="-11"/>
          <w:w w:val="110"/>
          <w:sz w:val="18"/>
        </w:rPr>
        <w:t> </w:t>
      </w:r>
      <w:r>
        <w:rPr>
          <w:color w:val="231F20"/>
          <w:w w:val="110"/>
          <w:sz w:val="18"/>
        </w:rPr>
        <w:t>back</w:t>
      </w:r>
      <w:r>
        <w:rPr>
          <w:color w:val="231F20"/>
          <w:spacing w:val="-12"/>
          <w:w w:val="110"/>
          <w:sz w:val="18"/>
        </w:rPr>
        <w:t> </w:t>
      </w:r>
      <w:r>
        <w:rPr>
          <w:color w:val="231F20"/>
          <w:w w:val="110"/>
          <w:sz w:val="18"/>
        </w:rPr>
        <w:t>here</w:t>
      </w:r>
      <w:r>
        <w:rPr>
          <w:color w:val="231F20"/>
          <w:spacing w:val="-12"/>
          <w:w w:val="110"/>
          <w:sz w:val="18"/>
        </w:rPr>
        <w:t> </w:t>
      </w:r>
      <w:r>
        <w:rPr>
          <w:color w:val="231F20"/>
          <w:w w:val="110"/>
          <w:sz w:val="18"/>
        </w:rPr>
        <w:t>for</w:t>
      </w:r>
      <w:r>
        <w:rPr>
          <w:color w:val="231F20"/>
          <w:spacing w:val="-10"/>
          <w:w w:val="110"/>
          <w:sz w:val="18"/>
        </w:rPr>
        <w:t> </w:t>
      </w:r>
      <w:r>
        <w:rPr>
          <w:color w:val="231F20"/>
          <w:w w:val="110"/>
          <w:sz w:val="18"/>
        </w:rPr>
        <w:t>this</w:t>
      </w:r>
      <w:r>
        <w:rPr>
          <w:color w:val="231F20"/>
          <w:spacing w:val="-12"/>
          <w:w w:val="110"/>
          <w:sz w:val="18"/>
        </w:rPr>
        <w:t> </w:t>
      </w:r>
      <w:r>
        <w:rPr>
          <w:color w:val="231F20"/>
          <w:w w:val="110"/>
          <w:sz w:val="18"/>
        </w:rPr>
        <w:t>very</w:t>
      </w:r>
    </w:p>
    <w:p>
      <w:pPr>
        <w:pStyle w:val="BodyText"/>
        <w:spacing w:line="273" w:lineRule="auto" w:before="1"/>
        <w:ind w:left="1164" w:right="947" w:hanging="2"/>
      </w:pPr>
      <w:r>
        <w:rPr>
          <w:color w:val="231F20"/>
          <w:w w:val="110"/>
        </w:rPr>
        <w:t>important personal occasion. As the Chapel is connected to the </w:t>
      </w:r>
      <w:r>
        <w:rPr>
          <w:color w:val="231F20"/>
          <w:spacing w:val="-3"/>
          <w:w w:val="110"/>
        </w:rPr>
        <w:t>Hall, </w:t>
      </w:r>
      <w:r>
        <w:rPr>
          <w:color w:val="231F20"/>
          <w:w w:val="110"/>
        </w:rPr>
        <w:t>a suitable venue for the reception, Yorkshire weather is one thing that the organisers do not need to worry about.</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1" w:after="0"/>
        <w:ind w:left="1160" w:right="1126" w:firstLine="0"/>
        <w:jc w:val="left"/>
        <w:rPr>
          <w:sz w:val="18"/>
        </w:rPr>
      </w:pPr>
      <w:r>
        <w:rPr>
          <w:color w:val="231F20"/>
          <w:w w:val="110"/>
          <w:sz w:val="18"/>
        </w:rPr>
        <w:t>Despite being a day school, we maintain a </w:t>
      </w:r>
      <w:r>
        <w:rPr>
          <w:color w:val="231F20"/>
          <w:spacing w:val="2"/>
          <w:w w:val="110"/>
          <w:sz w:val="18"/>
        </w:rPr>
        <w:t>pattern </w:t>
      </w:r>
      <w:r>
        <w:rPr>
          <w:color w:val="231F20"/>
          <w:w w:val="110"/>
          <w:sz w:val="18"/>
        </w:rPr>
        <w:t>of regular Chapel </w:t>
      </w:r>
      <w:r>
        <w:rPr>
          <w:color w:val="231F20"/>
          <w:spacing w:val="2"/>
          <w:w w:val="110"/>
          <w:sz w:val="18"/>
        </w:rPr>
        <w:t>services </w:t>
      </w:r>
      <w:r>
        <w:rPr>
          <w:color w:val="231F20"/>
          <w:w w:val="110"/>
          <w:sz w:val="18"/>
        </w:rPr>
        <w:t>over and above the programme of weekday morning worship. The Chapel choir goes </w:t>
      </w:r>
      <w:r>
        <w:rPr>
          <w:color w:val="231F20"/>
          <w:spacing w:val="2"/>
          <w:w w:val="110"/>
          <w:sz w:val="18"/>
        </w:rPr>
        <w:t>from </w:t>
      </w:r>
      <w:r>
        <w:rPr>
          <w:color w:val="231F20"/>
          <w:w w:val="110"/>
          <w:sz w:val="18"/>
        </w:rPr>
        <w:t>strength to strength: indeed, additional choir stalls were </w:t>
      </w:r>
      <w:r>
        <w:rPr>
          <w:color w:val="231F20"/>
          <w:spacing w:val="2"/>
          <w:w w:val="110"/>
          <w:sz w:val="18"/>
        </w:rPr>
        <w:t>constructed </w:t>
      </w:r>
      <w:r>
        <w:rPr>
          <w:color w:val="231F20"/>
          <w:w w:val="110"/>
          <w:sz w:val="18"/>
        </w:rPr>
        <w:t>by a member of  </w:t>
      </w:r>
      <w:r>
        <w:rPr>
          <w:color w:val="231F20"/>
          <w:spacing w:val="3"/>
          <w:w w:val="110"/>
          <w:sz w:val="18"/>
        </w:rPr>
        <w:t>staff </w:t>
      </w:r>
      <w:r>
        <w:rPr>
          <w:color w:val="231F20"/>
          <w:w w:val="110"/>
          <w:sz w:val="18"/>
        </w:rPr>
        <w:t>who made the </w:t>
      </w:r>
      <w:r>
        <w:rPr>
          <w:color w:val="231F20"/>
          <w:spacing w:val="2"/>
          <w:w w:val="110"/>
          <w:sz w:val="18"/>
        </w:rPr>
        <w:t>cross. </w:t>
      </w:r>
      <w:r>
        <w:rPr>
          <w:color w:val="231F20"/>
          <w:w w:val="110"/>
          <w:sz w:val="18"/>
        </w:rPr>
        <w:t>The choir makes a </w:t>
      </w:r>
      <w:r>
        <w:rPr>
          <w:color w:val="231F20"/>
          <w:spacing w:val="2"/>
          <w:w w:val="110"/>
          <w:sz w:val="18"/>
        </w:rPr>
        <w:t>very </w:t>
      </w:r>
      <w:r>
        <w:rPr>
          <w:color w:val="231F20"/>
          <w:w w:val="110"/>
          <w:sz w:val="18"/>
        </w:rPr>
        <w:t>important contribution to the worship and explores an increasingly adventurous </w:t>
      </w:r>
      <w:r>
        <w:rPr>
          <w:color w:val="231F20"/>
          <w:spacing w:val="2"/>
          <w:w w:val="110"/>
          <w:sz w:val="18"/>
        </w:rPr>
        <w:t>repertoire. </w:t>
      </w:r>
      <w:r>
        <w:rPr>
          <w:color w:val="231F20"/>
          <w:w w:val="110"/>
          <w:sz w:val="18"/>
        </w:rPr>
        <w:t>It also sings at weddings and baptisms in the Chapel, and elsewhere </w:t>
      </w:r>
      <w:r>
        <w:rPr>
          <w:color w:val="231F20"/>
          <w:spacing w:val="2"/>
          <w:w w:val="110"/>
          <w:sz w:val="18"/>
        </w:rPr>
        <w:t>from </w:t>
      </w:r>
      <w:r>
        <w:rPr>
          <w:color w:val="231F20"/>
          <w:w w:val="110"/>
          <w:sz w:val="18"/>
        </w:rPr>
        <w:t>time to time, at </w:t>
      </w:r>
      <w:r>
        <w:rPr>
          <w:color w:val="231F20"/>
          <w:spacing w:val="2"/>
          <w:w w:val="110"/>
          <w:sz w:val="18"/>
        </w:rPr>
        <w:t>services </w:t>
      </w:r>
      <w:r>
        <w:rPr>
          <w:color w:val="231F20"/>
          <w:w w:val="110"/>
          <w:sz w:val="18"/>
        </w:rPr>
        <w:t>in neighbouring United Reformed Churches and in Wakefield</w:t>
      </w:r>
      <w:r>
        <w:rPr>
          <w:color w:val="231F20"/>
          <w:spacing w:val="13"/>
          <w:w w:val="110"/>
          <w:sz w:val="18"/>
        </w:rPr>
        <w:t> </w:t>
      </w:r>
      <w:r>
        <w:rPr>
          <w:color w:val="231F20"/>
          <w:w w:val="110"/>
          <w:sz w:val="18"/>
        </w:rPr>
        <w:t>Cathedral.</w:t>
      </w:r>
    </w:p>
    <w:p>
      <w:pPr>
        <w:pStyle w:val="BodyText"/>
        <w:spacing w:before="11"/>
        <w:rPr>
          <w:sz w:val="20"/>
        </w:rPr>
      </w:pPr>
    </w:p>
    <w:p>
      <w:pPr>
        <w:pStyle w:val="ListParagraph"/>
        <w:numPr>
          <w:ilvl w:val="1"/>
          <w:numId w:val="241"/>
        </w:numPr>
        <w:tabs>
          <w:tab w:pos="1880" w:val="left" w:leader="none"/>
          <w:tab w:pos="1881" w:val="left" w:leader="none"/>
        </w:tabs>
        <w:spacing w:line="273" w:lineRule="auto" w:before="0" w:after="0"/>
        <w:ind w:left="1160" w:right="1198" w:firstLine="0"/>
        <w:jc w:val="left"/>
        <w:rPr>
          <w:sz w:val="18"/>
        </w:rPr>
      </w:pPr>
      <w:r>
        <w:rPr>
          <w:color w:val="231F20"/>
          <w:spacing w:val="-3"/>
          <w:w w:val="110"/>
          <w:sz w:val="18"/>
        </w:rPr>
        <w:t>We </w:t>
      </w:r>
      <w:r>
        <w:rPr>
          <w:color w:val="231F20"/>
          <w:w w:val="110"/>
          <w:sz w:val="18"/>
        </w:rPr>
        <w:t>retain </w:t>
      </w:r>
      <w:r>
        <w:rPr>
          <w:color w:val="231F20"/>
          <w:spacing w:val="2"/>
          <w:w w:val="110"/>
          <w:sz w:val="18"/>
        </w:rPr>
        <w:t>strong </w:t>
      </w:r>
      <w:r>
        <w:rPr>
          <w:color w:val="231F20"/>
          <w:w w:val="110"/>
          <w:sz w:val="18"/>
        </w:rPr>
        <w:t>links with Wakefield Cathedral. Over </w:t>
      </w:r>
      <w:r>
        <w:rPr>
          <w:color w:val="231F20"/>
          <w:spacing w:val="2"/>
          <w:w w:val="110"/>
          <w:sz w:val="18"/>
        </w:rPr>
        <w:t>thirty </w:t>
      </w:r>
      <w:r>
        <w:rPr>
          <w:color w:val="231F20"/>
          <w:w w:val="110"/>
          <w:sz w:val="18"/>
        </w:rPr>
        <w:t>years ago, Jonathan </w:t>
      </w:r>
      <w:r>
        <w:rPr>
          <w:color w:val="231F20"/>
          <w:spacing w:val="-3"/>
          <w:w w:val="110"/>
          <w:sz w:val="18"/>
        </w:rPr>
        <w:t>Bielby,</w:t>
      </w:r>
      <w:r>
        <w:rPr>
          <w:color w:val="231F20"/>
          <w:spacing w:val="8"/>
          <w:w w:val="110"/>
          <w:sz w:val="18"/>
        </w:rPr>
        <w:t> </w:t>
      </w:r>
      <w:r>
        <w:rPr>
          <w:color w:val="231F20"/>
          <w:w w:val="110"/>
          <w:sz w:val="18"/>
        </w:rPr>
        <w:t>the</w:t>
      </w:r>
      <w:r>
        <w:rPr>
          <w:color w:val="231F20"/>
          <w:spacing w:val="8"/>
          <w:w w:val="110"/>
          <w:sz w:val="18"/>
        </w:rPr>
        <w:t> </w:t>
      </w:r>
      <w:r>
        <w:rPr>
          <w:color w:val="231F20"/>
          <w:w w:val="110"/>
          <w:sz w:val="18"/>
        </w:rPr>
        <w:t>long-serving</w:t>
      </w:r>
      <w:r>
        <w:rPr>
          <w:color w:val="231F20"/>
          <w:spacing w:val="8"/>
          <w:w w:val="110"/>
          <w:sz w:val="18"/>
        </w:rPr>
        <w:t> </w:t>
      </w:r>
      <w:r>
        <w:rPr>
          <w:color w:val="231F20"/>
          <w:w w:val="110"/>
          <w:sz w:val="18"/>
        </w:rPr>
        <w:t>Master</w:t>
      </w:r>
      <w:r>
        <w:rPr>
          <w:color w:val="231F20"/>
          <w:spacing w:val="8"/>
          <w:w w:val="110"/>
          <w:sz w:val="18"/>
        </w:rPr>
        <w:t> </w:t>
      </w:r>
      <w:r>
        <w:rPr>
          <w:color w:val="231F20"/>
          <w:w w:val="110"/>
          <w:sz w:val="18"/>
        </w:rPr>
        <w:t>of</w:t>
      </w:r>
      <w:r>
        <w:rPr>
          <w:color w:val="231F20"/>
          <w:spacing w:val="9"/>
          <w:w w:val="110"/>
          <w:sz w:val="18"/>
        </w:rPr>
        <w:t> </w:t>
      </w:r>
      <w:r>
        <w:rPr>
          <w:color w:val="231F20"/>
          <w:w w:val="110"/>
          <w:sz w:val="18"/>
        </w:rPr>
        <w:t>the</w:t>
      </w:r>
      <w:r>
        <w:rPr>
          <w:color w:val="231F20"/>
          <w:spacing w:val="8"/>
          <w:w w:val="110"/>
          <w:sz w:val="18"/>
        </w:rPr>
        <w:t> </w:t>
      </w:r>
      <w:r>
        <w:rPr>
          <w:color w:val="231F20"/>
          <w:w w:val="110"/>
          <w:sz w:val="18"/>
        </w:rPr>
        <w:t>Music,</w:t>
      </w:r>
      <w:r>
        <w:rPr>
          <w:color w:val="231F20"/>
          <w:spacing w:val="8"/>
          <w:w w:val="110"/>
          <w:sz w:val="18"/>
        </w:rPr>
        <w:t> </w:t>
      </w:r>
      <w:r>
        <w:rPr>
          <w:color w:val="231F20"/>
          <w:w w:val="110"/>
          <w:sz w:val="18"/>
        </w:rPr>
        <w:t>briefly</w:t>
      </w:r>
      <w:r>
        <w:rPr>
          <w:color w:val="231F20"/>
          <w:spacing w:val="8"/>
          <w:w w:val="110"/>
          <w:sz w:val="18"/>
        </w:rPr>
        <w:t> </w:t>
      </w:r>
      <w:r>
        <w:rPr>
          <w:color w:val="231F20"/>
          <w:w w:val="110"/>
          <w:sz w:val="18"/>
        </w:rPr>
        <w:t>combined</w:t>
      </w:r>
      <w:r>
        <w:rPr>
          <w:color w:val="231F20"/>
          <w:spacing w:val="9"/>
          <w:w w:val="110"/>
          <w:sz w:val="18"/>
        </w:rPr>
        <w:t> </w:t>
      </w:r>
      <w:r>
        <w:rPr>
          <w:color w:val="231F20"/>
          <w:w w:val="110"/>
          <w:sz w:val="18"/>
        </w:rPr>
        <w:t>his</w:t>
      </w:r>
      <w:r>
        <w:rPr>
          <w:color w:val="231F20"/>
          <w:spacing w:val="8"/>
          <w:w w:val="110"/>
          <w:sz w:val="18"/>
        </w:rPr>
        <w:t> </w:t>
      </w:r>
      <w:r>
        <w:rPr>
          <w:color w:val="231F20"/>
          <w:w w:val="110"/>
          <w:sz w:val="18"/>
        </w:rPr>
        <w:t>Cathedral</w:t>
      </w:r>
      <w:r>
        <w:rPr>
          <w:color w:val="231F20"/>
          <w:spacing w:val="8"/>
          <w:w w:val="110"/>
          <w:sz w:val="18"/>
        </w:rPr>
        <w:t> </w:t>
      </w:r>
      <w:r>
        <w:rPr>
          <w:color w:val="231F20"/>
          <w:w w:val="110"/>
          <w:sz w:val="18"/>
        </w:rPr>
        <w:t>duties</w:t>
      </w:r>
    </w:p>
    <w:p>
      <w:pPr>
        <w:pStyle w:val="BodyText"/>
        <w:spacing w:line="273" w:lineRule="auto" w:before="1"/>
        <w:ind w:left="1160" w:right="1132"/>
      </w:pPr>
      <w:r>
        <w:rPr>
          <w:color w:val="231F20"/>
          <w:w w:val="110"/>
        </w:rPr>
        <w:t>with the directorship of Music at Silcoates. Last year’s Head Boy and Head Girl were, coincidentally, both Cathedral choristers, Charlotte Johnson singing a solo at the Royal Maundy Service. Two of our Junior School boys and a Senior School girl are presently members of the boys’ and girls’ choirs respectively. The Headmaster is a Trustee of the Wakefield Cathedral Music Trust and the Cathedral uses our facilities for social events.</w:t>
      </w:r>
    </w:p>
    <w:p>
      <w:pPr>
        <w:pStyle w:val="BodyText"/>
        <w:spacing w:before="2"/>
        <w:rPr>
          <w:sz w:val="19"/>
        </w:rPr>
      </w:pPr>
    </w:p>
    <w:p>
      <w:pPr>
        <w:numPr>
          <w:ilvl w:val="0"/>
          <w:numId w:val="241"/>
        </w:numPr>
        <w:tabs>
          <w:tab w:pos="1880" w:val="left" w:leader="none"/>
          <w:tab w:pos="1881" w:val="left" w:leader="none"/>
        </w:tabs>
        <w:spacing w:before="0"/>
        <w:ind w:left="1880" w:right="0" w:hanging="721"/>
        <w:jc w:val="left"/>
        <w:rPr>
          <w:b/>
          <w:color w:val="231F20"/>
          <w:sz w:val="20"/>
        </w:rPr>
      </w:pPr>
      <w:r>
        <w:rPr>
          <w:b/>
          <w:color w:val="231F20"/>
          <w:spacing w:val="-3"/>
          <w:w w:val="110"/>
          <w:sz w:val="20"/>
        </w:rPr>
        <w:t>Taunton</w:t>
      </w:r>
      <w:r>
        <w:rPr>
          <w:b/>
          <w:color w:val="231F20"/>
          <w:spacing w:val="-1"/>
          <w:w w:val="110"/>
          <w:sz w:val="20"/>
        </w:rPr>
        <w:t> </w:t>
      </w:r>
      <w:r>
        <w:rPr>
          <w:b/>
          <w:color w:val="231F20"/>
          <w:w w:val="110"/>
          <w:sz w:val="20"/>
        </w:rPr>
        <w:t>School</w:t>
      </w:r>
    </w:p>
    <w:p>
      <w:pPr>
        <w:pStyle w:val="BodyText"/>
        <w:spacing w:before="10"/>
        <w:rPr>
          <w:b/>
          <w:sz w:val="22"/>
        </w:rPr>
      </w:pPr>
    </w:p>
    <w:p>
      <w:pPr>
        <w:pStyle w:val="ListParagraph"/>
        <w:numPr>
          <w:ilvl w:val="1"/>
          <w:numId w:val="241"/>
        </w:numPr>
        <w:tabs>
          <w:tab w:pos="1880" w:val="left" w:leader="none"/>
          <w:tab w:pos="1881" w:val="left" w:leader="none"/>
        </w:tabs>
        <w:spacing w:line="273" w:lineRule="auto" w:before="0" w:after="0"/>
        <w:ind w:left="1161" w:right="1197" w:hanging="1"/>
        <w:jc w:val="left"/>
        <w:rPr>
          <w:sz w:val="18"/>
        </w:rPr>
      </w:pPr>
      <w:r>
        <w:rPr>
          <w:color w:val="231F20"/>
          <w:w w:val="110"/>
          <w:sz w:val="18"/>
        </w:rPr>
        <w:t>In </w:t>
      </w:r>
      <w:r>
        <w:rPr>
          <w:color w:val="231F20"/>
          <w:spacing w:val="-3"/>
          <w:w w:val="110"/>
          <w:sz w:val="18"/>
        </w:rPr>
        <w:t>2006, </w:t>
      </w:r>
      <w:r>
        <w:rPr>
          <w:color w:val="231F20"/>
          <w:spacing w:val="-4"/>
          <w:w w:val="110"/>
          <w:sz w:val="18"/>
        </w:rPr>
        <w:t>Taunton </w:t>
      </w:r>
      <w:r>
        <w:rPr>
          <w:color w:val="231F20"/>
          <w:w w:val="110"/>
          <w:sz w:val="18"/>
        </w:rPr>
        <w:t>School began its preparations for offering the International Baccalaureate. They </w:t>
      </w:r>
      <w:r>
        <w:rPr>
          <w:color w:val="231F20"/>
          <w:spacing w:val="-3"/>
          <w:w w:val="110"/>
          <w:sz w:val="18"/>
        </w:rPr>
        <w:t>have </w:t>
      </w:r>
      <w:r>
        <w:rPr>
          <w:color w:val="231F20"/>
          <w:w w:val="110"/>
          <w:sz w:val="18"/>
        </w:rPr>
        <w:t>triggered development and renovation of the school’s academic facilities, principally its science department. It also intends to provide courses in Mandarin for</w:t>
      </w:r>
      <w:r>
        <w:rPr>
          <w:color w:val="231F20"/>
          <w:spacing w:val="-5"/>
          <w:w w:val="110"/>
          <w:sz w:val="18"/>
        </w:rPr>
        <w:t> </w:t>
      </w:r>
      <w:r>
        <w:rPr>
          <w:color w:val="231F20"/>
          <w:w w:val="110"/>
          <w:sz w:val="18"/>
        </w:rPr>
        <w:t>pupils</w:t>
      </w:r>
      <w:r>
        <w:rPr>
          <w:color w:val="231F20"/>
          <w:spacing w:val="-5"/>
          <w:w w:val="110"/>
          <w:sz w:val="18"/>
        </w:rPr>
        <w:t> </w:t>
      </w:r>
      <w:r>
        <w:rPr>
          <w:color w:val="231F20"/>
          <w:w w:val="110"/>
          <w:sz w:val="18"/>
        </w:rPr>
        <w:t>from</w:t>
      </w:r>
      <w:r>
        <w:rPr>
          <w:color w:val="231F20"/>
          <w:spacing w:val="-5"/>
          <w:w w:val="110"/>
          <w:sz w:val="18"/>
        </w:rPr>
        <w:t> </w:t>
      </w:r>
      <w:r>
        <w:rPr>
          <w:color w:val="231F20"/>
          <w:w w:val="110"/>
          <w:sz w:val="18"/>
        </w:rPr>
        <w:t>the</w:t>
      </w:r>
      <w:r>
        <w:rPr>
          <w:color w:val="231F20"/>
          <w:spacing w:val="-5"/>
          <w:w w:val="110"/>
          <w:sz w:val="18"/>
        </w:rPr>
        <w:t> </w:t>
      </w:r>
      <w:r>
        <w:rPr>
          <w:color w:val="231F20"/>
          <w:w w:val="110"/>
          <w:sz w:val="18"/>
        </w:rPr>
        <w:t>Prep</w:t>
      </w:r>
      <w:r>
        <w:rPr>
          <w:color w:val="231F20"/>
          <w:spacing w:val="-4"/>
          <w:w w:val="110"/>
          <w:sz w:val="18"/>
        </w:rPr>
        <w:t> </w:t>
      </w:r>
      <w:r>
        <w:rPr>
          <w:color w:val="231F20"/>
          <w:w w:val="110"/>
          <w:sz w:val="18"/>
        </w:rPr>
        <w:t>School</w:t>
      </w:r>
      <w:r>
        <w:rPr>
          <w:color w:val="231F20"/>
          <w:spacing w:val="-5"/>
          <w:w w:val="110"/>
          <w:sz w:val="18"/>
        </w:rPr>
        <w:t> </w:t>
      </w:r>
      <w:r>
        <w:rPr>
          <w:color w:val="231F20"/>
          <w:w w:val="110"/>
          <w:sz w:val="18"/>
        </w:rPr>
        <w:t>and</w:t>
      </w:r>
      <w:r>
        <w:rPr>
          <w:color w:val="231F20"/>
          <w:spacing w:val="-5"/>
          <w:w w:val="110"/>
          <w:sz w:val="18"/>
        </w:rPr>
        <w:t> </w:t>
      </w:r>
      <w:r>
        <w:rPr>
          <w:color w:val="231F20"/>
          <w:w w:val="110"/>
          <w:sz w:val="18"/>
        </w:rPr>
        <w:t>up</w:t>
      </w:r>
      <w:r>
        <w:rPr>
          <w:color w:val="231F20"/>
          <w:spacing w:val="-5"/>
          <w:w w:val="110"/>
          <w:sz w:val="18"/>
        </w:rPr>
        <w:t> </w:t>
      </w:r>
      <w:r>
        <w:rPr>
          <w:color w:val="231F20"/>
          <w:w w:val="110"/>
          <w:sz w:val="18"/>
        </w:rPr>
        <w:t>into</w:t>
      </w:r>
      <w:r>
        <w:rPr>
          <w:color w:val="231F20"/>
          <w:spacing w:val="-4"/>
          <w:w w:val="110"/>
          <w:sz w:val="18"/>
        </w:rPr>
        <w:t> </w:t>
      </w:r>
      <w:r>
        <w:rPr>
          <w:color w:val="231F20"/>
          <w:w w:val="110"/>
          <w:sz w:val="18"/>
        </w:rPr>
        <w:t>the</w:t>
      </w:r>
      <w:r>
        <w:rPr>
          <w:color w:val="231F20"/>
          <w:spacing w:val="-5"/>
          <w:w w:val="110"/>
          <w:sz w:val="18"/>
        </w:rPr>
        <w:t> </w:t>
      </w:r>
      <w:r>
        <w:rPr>
          <w:color w:val="231F20"/>
          <w:w w:val="110"/>
          <w:sz w:val="18"/>
        </w:rPr>
        <w:t>Sixth</w:t>
      </w:r>
      <w:r>
        <w:rPr>
          <w:color w:val="231F20"/>
          <w:spacing w:val="-5"/>
          <w:w w:val="110"/>
          <w:sz w:val="18"/>
        </w:rPr>
        <w:t> </w:t>
      </w:r>
      <w:r>
        <w:rPr>
          <w:color w:val="231F20"/>
          <w:w w:val="110"/>
          <w:sz w:val="18"/>
        </w:rPr>
        <w:t>Form</w:t>
      </w:r>
      <w:r>
        <w:rPr>
          <w:color w:val="231F20"/>
          <w:spacing w:val="-5"/>
          <w:w w:val="110"/>
          <w:sz w:val="18"/>
        </w:rPr>
        <w:t> </w:t>
      </w:r>
      <w:r>
        <w:rPr>
          <w:color w:val="231F20"/>
          <w:w w:val="110"/>
          <w:sz w:val="18"/>
        </w:rPr>
        <w:t>from</w:t>
      </w:r>
      <w:r>
        <w:rPr>
          <w:color w:val="231F20"/>
          <w:spacing w:val="-5"/>
          <w:w w:val="110"/>
          <w:sz w:val="18"/>
        </w:rPr>
        <w:t> </w:t>
      </w:r>
      <w:r>
        <w:rPr>
          <w:color w:val="231F20"/>
          <w:w w:val="110"/>
          <w:sz w:val="18"/>
        </w:rPr>
        <w:t>September</w:t>
      </w:r>
      <w:r>
        <w:rPr>
          <w:color w:val="231F20"/>
          <w:spacing w:val="-4"/>
          <w:w w:val="110"/>
          <w:sz w:val="18"/>
        </w:rPr>
        <w:t> </w:t>
      </w:r>
      <w:r>
        <w:rPr>
          <w:color w:val="231F20"/>
          <w:spacing w:val="-8"/>
          <w:w w:val="110"/>
          <w:sz w:val="18"/>
        </w:rPr>
        <w:t>2007.</w:t>
      </w:r>
    </w:p>
    <w:p>
      <w:pPr>
        <w:pStyle w:val="BodyText"/>
        <w:spacing w:before="9"/>
        <w:rPr>
          <w:sz w:val="20"/>
        </w:rPr>
      </w:pPr>
    </w:p>
    <w:p>
      <w:pPr>
        <w:pStyle w:val="ListParagraph"/>
        <w:numPr>
          <w:ilvl w:val="1"/>
          <w:numId w:val="241"/>
        </w:numPr>
        <w:tabs>
          <w:tab w:pos="1880" w:val="left" w:leader="none"/>
          <w:tab w:pos="1881" w:val="left" w:leader="none"/>
        </w:tabs>
        <w:spacing w:line="273" w:lineRule="auto" w:before="0" w:after="0"/>
        <w:ind w:left="1160" w:right="1091" w:firstLine="0"/>
        <w:jc w:val="left"/>
        <w:rPr>
          <w:sz w:val="18"/>
        </w:rPr>
      </w:pPr>
      <w:r>
        <w:rPr>
          <w:color w:val="231F20"/>
          <w:spacing w:val="2"/>
          <w:w w:val="110"/>
          <w:sz w:val="18"/>
        </w:rPr>
        <w:t>These </w:t>
      </w:r>
      <w:r>
        <w:rPr>
          <w:color w:val="231F20"/>
          <w:w w:val="110"/>
          <w:sz w:val="18"/>
        </w:rPr>
        <w:t>initiatives are </w:t>
      </w:r>
      <w:r>
        <w:rPr>
          <w:color w:val="231F20"/>
          <w:spacing w:val="2"/>
          <w:w w:val="110"/>
          <w:sz w:val="18"/>
        </w:rPr>
        <w:t>part </w:t>
      </w:r>
      <w:r>
        <w:rPr>
          <w:color w:val="231F20"/>
          <w:w w:val="110"/>
          <w:sz w:val="18"/>
        </w:rPr>
        <w:t>of the School’s ongoing mission to prepare young people to shape the world in the </w:t>
      </w:r>
      <w:r>
        <w:rPr>
          <w:color w:val="231F20"/>
          <w:spacing w:val="2"/>
          <w:w w:val="110"/>
          <w:sz w:val="18"/>
        </w:rPr>
        <w:t>twenty </w:t>
      </w:r>
      <w:r>
        <w:rPr>
          <w:color w:val="231F20"/>
          <w:w w:val="110"/>
          <w:sz w:val="18"/>
        </w:rPr>
        <w:t>first century. With 70% of A level grades at A and B in summer 2006, confidence is</w:t>
      </w:r>
      <w:r>
        <w:rPr>
          <w:color w:val="231F20"/>
          <w:spacing w:val="4"/>
          <w:w w:val="110"/>
          <w:sz w:val="18"/>
        </w:rPr>
        <w:t> </w:t>
      </w:r>
      <w:r>
        <w:rPr>
          <w:color w:val="231F20"/>
          <w:w w:val="110"/>
          <w:sz w:val="18"/>
        </w:rPr>
        <w:t>high.</w:t>
      </w:r>
    </w:p>
    <w:p>
      <w:pPr>
        <w:pStyle w:val="BodyText"/>
        <w:spacing w:before="9"/>
        <w:rPr>
          <w:sz w:val="20"/>
        </w:rPr>
      </w:pPr>
    </w:p>
    <w:p>
      <w:pPr>
        <w:pStyle w:val="ListParagraph"/>
        <w:numPr>
          <w:ilvl w:val="1"/>
          <w:numId w:val="241"/>
        </w:numPr>
        <w:tabs>
          <w:tab w:pos="1880" w:val="left" w:leader="none"/>
          <w:tab w:pos="1881" w:val="left" w:leader="none"/>
        </w:tabs>
        <w:spacing w:line="273" w:lineRule="auto" w:before="0" w:after="0"/>
        <w:ind w:left="1160" w:right="1064" w:firstLine="0"/>
        <w:jc w:val="left"/>
        <w:rPr>
          <w:sz w:val="18"/>
        </w:rPr>
      </w:pPr>
      <w:r>
        <w:rPr>
          <w:color w:val="231F20"/>
          <w:w w:val="110"/>
          <w:sz w:val="18"/>
        </w:rPr>
        <w:t>Spring </w:t>
      </w:r>
      <w:r>
        <w:rPr>
          <w:color w:val="231F20"/>
          <w:spacing w:val="-3"/>
          <w:w w:val="110"/>
          <w:sz w:val="18"/>
        </w:rPr>
        <w:t>Term </w:t>
      </w:r>
      <w:r>
        <w:rPr>
          <w:color w:val="231F20"/>
          <w:w w:val="110"/>
          <w:sz w:val="18"/>
        </w:rPr>
        <w:t>2007 also </w:t>
      </w:r>
      <w:r>
        <w:rPr>
          <w:color w:val="231F20"/>
          <w:spacing w:val="2"/>
          <w:w w:val="110"/>
          <w:sz w:val="18"/>
        </w:rPr>
        <w:t>sees </w:t>
      </w:r>
      <w:r>
        <w:rPr>
          <w:color w:val="231F20"/>
          <w:w w:val="110"/>
          <w:sz w:val="18"/>
        </w:rPr>
        <w:t>the celebrations of the chapel centenary. Present and past friends of Taunton School have been invited to </w:t>
      </w:r>
      <w:r>
        <w:rPr>
          <w:color w:val="231F20"/>
          <w:spacing w:val="3"/>
          <w:w w:val="110"/>
          <w:sz w:val="18"/>
        </w:rPr>
        <w:t>concerts </w:t>
      </w:r>
      <w:r>
        <w:rPr>
          <w:color w:val="231F20"/>
          <w:w w:val="110"/>
          <w:sz w:val="18"/>
        </w:rPr>
        <w:t>and </w:t>
      </w:r>
      <w:r>
        <w:rPr>
          <w:color w:val="231F20"/>
          <w:spacing w:val="2"/>
          <w:w w:val="110"/>
          <w:sz w:val="18"/>
        </w:rPr>
        <w:t>services </w:t>
      </w:r>
      <w:r>
        <w:rPr>
          <w:color w:val="231F20"/>
          <w:w w:val="110"/>
          <w:sz w:val="18"/>
        </w:rPr>
        <w:t>to mark this special event.</w:t>
      </w:r>
    </w:p>
    <w:p>
      <w:pPr>
        <w:pStyle w:val="BodyText"/>
        <w:spacing w:before="9"/>
        <w:rPr>
          <w:sz w:val="20"/>
        </w:rPr>
      </w:pPr>
    </w:p>
    <w:p>
      <w:pPr>
        <w:pStyle w:val="ListParagraph"/>
        <w:numPr>
          <w:ilvl w:val="1"/>
          <w:numId w:val="241"/>
        </w:numPr>
        <w:tabs>
          <w:tab w:pos="1880" w:val="left" w:leader="none"/>
          <w:tab w:pos="1881" w:val="left" w:leader="none"/>
        </w:tabs>
        <w:spacing w:line="273" w:lineRule="auto" w:before="0" w:after="0"/>
        <w:ind w:left="1160" w:right="1245" w:firstLine="0"/>
        <w:jc w:val="left"/>
        <w:rPr>
          <w:sz w:val="18"/>
        </w:rPr>
      </w:pPr>
      <w:r>
        <w:rPr>
          <w:color w:val="231F20"/>
          <w:spacing w:val="2"/>
          <w:w w:val="110"/>
          <w:sz w:val="18"/>
        </w:rPr>
        <w:t>After </w:t>
      </w:r>
      <w:r>
        <w:rPr>
          <w:color w:val="231F20"/>
          <w:w w:val="110"/>
          <w:sz w:val="18"/>
        </w:rPr>
        <w:t>a successful ISI and CSCI inspection in </w:t>
      </w:r>
      <w:r>
        <w:rPr>
          <w:color w:val="231F20"/>
          <w:spacing w:val="2"/>
          <w:w w:val="110"/>
          <w:sz w:val="18"/>
        </w:rPr>
        <w:t>October </w:t>
      </w:r>
      <w:r>
        <w:rPr>
          <w:color w:val="231F20"/>
          <w:w w:val="110"/>
          <w:sz w:val="18"/>
        </w:rPr>
        <w:t>2005 and November 2006 respectively, Taunton School continues to be proud of the quality of the </w:t>
      </w:r>
      <w:r>
        <w:rPr>
          <w:color w:val="231F20"/>
          <w:spacing w:val="2"/>
          <w:w w:val="110"/>
          <w:sz w:val="18"/>
        </w:rPr>
        <w:t>service </w:t>
      </w:r>
      <w:r>
        <w:rPr>
          <w:color w:val="231F20"/>
          <w:w w:val="110"/>
          <w:sz w:val="18"/>
        </w:rPr>
        <w:t>it </w:t>
      </w:r>
      <w:r>
        <w:rPr>
          <w:color w:val="231F20"/>
          <w:spacing w:val="3"/>
          <w:w w:val="110"/>
          <w:sz w:val="18"/>
        </w:rPr>
        <w:t>offers </w:t>
      </w:r>
      <w:r>
        <w:rPr>
          <w:color w:val="231F20"/>
          <w:w w:val="110"/>
          <w:sz w:val="18"/>
        </w:rPr>
        <w:t>and the benefit it brings to young</w:t>
      </w:r>
      <w:r>
        <w:rPr>
          <w:color w:val="231F20"/>
          <w:spacing w:val="10"/>
          <w:w w:val="110"/>
          <w:sz w:val="18"/>
        </w:rPr>
        <w:t> </w:t>
      </w:r>
      <w:r>
        <w:rPr>
          <w:color w:val="231F20"/>
          <w:w w:val="110"/>
          <w:sz w:val="18"/>
        </w:rPr>
        <w:t>people.</w:t>
      </w:r>
    </w:p>
    <w:p>
      <w:pPr>
        <w:spacing w:after="0" w:line="273" w:lineRule="auto"/>
        <w:jc w:val="left"/>
        <w:rPr>
          <w:sz w:val="18"/>
        </w:rPr>
        <w:sectPr>
          <w:footerReference w:type="default" r:id="rId608"/>
          <w:footerReference w:type="even" r:id="rId609"/>
          <w:pgSz w:w="11910" w:h="16840"/>
          <w:pgMar w:footer="544" w:header="581" w:top="860" w:bottom="740" w:left="540" w:right="0"/>
          <w:pgNumType w:start="35"/>
        </w:sectPr>
      </w:pPr>
    </w:p>
    <w:p>
      <w:pPr>
        <w:pStyle w:val="BodyText"/>
        <w:spacing w:before="8"/>
        <w:rPr>
          <w:sz w:val="11"/>
        </w:rPr>
      </w:pPr>
    </w:p>
    <w:p>
      <w:pPr>
        <w:numPr>
          <w:ilvl w:val="0"/>
          <w:numId w:val="241"/>
        </w:numPr>
        <w:tabs>
          <w:tab w:pos="1313" w:val="left" w:leader="none"/>
          <w:tab w:pos="1314" w:val="left" w:leader="none"/>
        </w:tabs>
        <w:spacing w:before="98"/>
        <w:ind w:left="1313" w:right="0" w:hanging="721"/>
        <w:jc w:val="left"/>
        <w:rPr>
          <w:b/>
          <w:color w:val="231F20"/>
          <w:sz w:val="20"/>
        </w:rPr>
      </w:pPr>
      <w:r>
        <w:rPr>
          <w:b/>
          <w:color w:val="231F20"/>
          <w:w w:val="110"/>
          <w:sz w:val="20"/>
        </w:rPr>
        <w:t>Walthamstow</w:t>
      </w:r>
      <w:r>
        <w:rPr>
          <w:b/>
          <w:color w:val="231F20"/>
          <w:spacing w:val="-1"/>
          <w:w w:val="110"/>
          <w:sz w:val="20"/>
        </w:rPr>
        <w:t> </w:t>
      </w:r>
      <w:r>
        <w:rPr>
          <w:b/>
          <w:color w:val="231F20"/>
          <w:w w:val="110"/>
          <w:sz w:val="20"/>
        </w:rPr>
        <w:t>Hall</w:t>
      </w:r>
    </w:p>
    <w:p>
      <w:pPr>
        <w:pStyle w:val="BodyText"/>
        <w:spacing w:before="9"/>
        <w:rPr>
          <w:b/>
          <w:sz w:val="22"/>
        </w:rPr>
      </w:pPr>
    </w:p>
    <w:p>
      <w:pPr>
        <w:pStyle w:val="ListParagraph"/>
        <w:numPr>
          <w:ilvl w:val="1"/>
          <w:numId w:val="241"/>
        </w:numPr>
        <w:tabs>
          <w:tab w:pos="1313" w:val="left" w:leader="none"/>
          <w:tab w:pos="1314" w:val="left" w:leader="none"/>
        </w:tabs>
        <w:spacing w:line="240" w:lineRule="auto" w:before="0" w:after="0"/>
        <w:ind w:left="1313" w:right="0" w:hanging="721"/>
        <w:jc w:val="left"/>
        <w:rPr>
          <w:sz w:val="18"/>
        </w:rPr>
      </w:pPr>
      <w:r>
        <w:rPr>
          <w:color w:val="231F20"/>
          <w:w w:val="110"/>
          <w:sz w:val="18"/>
        </w:rPr>
        <w:t>2005-2006 proved to be another successful year at Walthamstow</w:t>
      </w:r>
      <w:r>
        <w:rPr>
          <w:color w:val="231F20"/>
          <w:spacing w:val="20"/>
          <w:w w:val="110"/>
          <w:sz w:val="18"/>
        </w:rPr>
        <w:t> </w:t>
      </w:r>
      <w:r>
        <w:rPr>
          <w:color w:val="231F20"/>
          <w:w w:val="110"/>
          <w:sz w:val="18"/>
        </w:rPr>
        <w:t>Hall.</w:t>
      </w:r>
    </w:p>
    <w:p>
      <w:pPr>
        <w:pStyle w:val="BodyText"/>
        <w:spacing w:before="2"/>
        <w:rPr>
          <w:sz w:val="23"/>
        </w:rPr>
      </w:pPr>
    </w:p>
    <w:p>
      <w:pPr>
        <w:pStyle w:val="ListParagraph"/>
        <w:numPr>
          <w:ilvl w:val="1"/>
          <w:numId w:val="241"/>
        </w:numPr>
        <w:tabs>
          <w:tab w:pos="1313" w:val="left" w:leader="none"/>
          <w:tab w:pos="1314" w:val="left" w:leader="none"/>
        </w:tabs>
        <w:spacing w:line="273" w:lineRule="auto" w:before="0" w:after="0"/>
        <w:ind w:left="593" w:right="2046" w:firstLine="0"/>
        <w:jc w:val="left"/>
        <w:rPr>
          <w:sz w:val="18"/>
        </w:rPr>
      </w:pPr>
      <w:r>
        <w:rPr>
          <w:color w:val="231F20"/>
          <w:w w:val="110"/>
          <w:sz w:val="18"/>
        </w:rPr>
        <w:t>In Summer 2005, important </w:t>
      </w:r>
      <w:r>
        <w:rPr>
          <w:color w:val="231F20"/>
          <w:spacing w:val="2"/>
          <w:w w:val="110"/>
          <w:sz w:val="18"/>
        </w:rPr>
        <w:t>preparatory </w:t>
      </w:r>
      <w:r>
        <w:rPr>
          <w:color w:val="231F20"/>
          <w:w w:val="110"/>
          <w:sz w:val="18"/>
        </w:rPr>
        <w:t>work was completed when our </w:t>
      </w:r>
      <w:r>
        <w:rPr>
          <w:color w:val="231F20"/>
          <w:spacing w:val="2"/>
          <w:w w:val="110"/>
          <w:sz w:val="18"/>
        </w:rPr>
        <w:t>infrastructure</w:t>
      </w:r>
      <w:r>
        <w:rPr>
          <w:color w:val="231F20"/>
          <w:spacing w:val="10"/>
          <w:w w:val="110"/>
          <w:sz w:val="18"/>
        </w:rPr>
        <w:t> </w:t>
      </w:r>
      <w:r>
        <w:rPr>
          <w:color w:val="231F20"/>
          <w:spacing w:val="2"/>
          <w:w w:val="110"/>
          <w:sz w:val="18"/>
        </w:rPr>
        <w:t>services</w:t>
      </w:r>
      <w:r>
        <w:rPr>
          <w:color w:val="231F20"/>
          <w:spacing w:val="10"/>
          <w:w w:val="110"/>
          <w:sz w:val="18"/>
        </w:rPr>
        <w:t> </w:t>
      </w:r>
      <w:r>
        <w:rPr>
          <w:color w:val="231F20"/>
          <w:w w:val="110"/>
          <w:sz w:val="18"/>
        </w:rPr>
        <w:t>were</w:t>
      </w:r>
      <w:r>
        <w:rPr>
          <w:color w:val="231F20"/>
          <w:spacing w:val="10"/>
          <w:w w:val="110"/>
          <w:sz w:val="18"/>
        </w:rPr>
        <w:t> </w:t>
      </w:r>
      <w:r>
        <w:rPr>
          <w:color w:val="231F20"/>
          <w:w w:val="110"/>
          <w:sz w:val="18"/>
        </w:rPr>
        <w:t>replaced</w:t>
      </w:r>
      <w:r>
        <w:rPr>
          <w:color w:val="231F20"/>
          <w:spacing w:val="10"/>
          <w:w w:val="110"/>
          <w:sz w:val="18"/>
        </w:rPr>
        <w:t> </w:t>
      </w:r>
      <w:r>
        <w:rPr>
          <w:color w:val="231F20"/>
          <w:w w:val="110"/>
          <w:sz w:val="18"/>
        </w:rPr>
        <w:t>or</w:t>
      </w:r>
      <w:r>
        <w:rPr>
          <w:color w:val="231F20"/>
          <w:spacing w:val="10"/>
          <w:w w:val="110"/>
          <w:sz w:val="18"/>
        </w:rPr>
        <w:t> </w:t>
      </w:r>
      <w:r>
        <w:rPr>
          <w:color w:val="231F20"/>
          <w:w w:val="110"/>
          <w:sz w:val="18"/>
        </w:rPr>
        <w:t>upgraded.</w:t>
      </w:r>
      <w:r>
        <w:rPr>
          <w:color w:val="231F20"/>
          <w:spacing w:val="20"/>
          <w:w w:val="110"/>
          <w:sz w:val="18"/>
        </w:rPr>
        <w:t> </w:t>
      </w:r>
      <w:r>
        <w:rPr>
          <w:color w:val="231F20"/>
          <w:w w:val="110"/>
          <w:sz w:val="18"/>
        </w:rPr>
        <w:t>This</w:t>
      </w:r>
      <w:r>
        <w:rPr>
          <w:color w:val="231F20"/>
          <w:spacing w:val="10"/>
          <w:w w:val="110"/>
          <w:sz w:val="18"/>
        </w:rPr>
        <w:t> </w:t>
      </w:r>
      <w:r>
        <w:rPr>
          <w:color w:val="231F20"/>
          <w:w w:val="110"/>
          <w:sz w:val="18"/>
        </w:rPr>
        <w:t>meant</w:t>
      </w:r>
      <w:r>
        <w:rPr>
          <w:color w:val="231F20"/>
          <w:spacing w:val="10"/>
          <w:w w:val="110"/>
          <w:sz w:val="18"/>
        </w:rPr>
        <w:t> </w:t>
      </w:r>
      <w:r>
        <w:rPr>
          <w:color w:val="231F20"/>
          <w:w w:val="110"/>
          <w:sz w:val="18"/>
        </w:rPr>
        <w:t>that</w:t>
      </w:r>
      <w:r>
        <w:rPr>
          <w:color w:val="231F20"/>
          <w:spacing w:val="10"/>
          <w:w w:val="110"/>
          <w:sz w:val="18"/>
        </w:rPr>
        <w:t> </w:t>
      </w:r>
      <w:r>
        <w:rPr>
          <w:color w:val="231F20"/>
          <w:w w:val="110"/>
          <w:sz w:val="18"/>
        </w:rPr>
        <w:t>we</w:t>
      </w:r>
      <w:r>
        <w:rPr>
          <w:color w:val="231F20"/>
          <w:spacing w:val="10"/>
          <w:w w:val="110"/>
          <w:sz w:val="18"/>
        </w:rPr>
        <w:t> </w:t>
      </w:r>
      <w:r>
        <w:rPr>
          <w:color w:val="231F20"/>
          <w:w w:val="110"/>
          <w:sz w:val="18"/>
        </w:rPr>
        <w:t>invested</w:t>
      </w:r>
      <w:r>
        <w:rPr>
          <w:color w:val="231F20"/>
          <w:spacing w:val="10"/>
          <w:w w:val="110"/>
          <w:sz w:val="18"/>
        </w:rPr>
        <w:t> </w:t>
      </w:r>
      <w:r>
        <w:rPr>
          <w:color w:val="231F20"/>
          <w:w w:val="110"/>
          <w:sz w:val="18"/>
        </w:rPr>
        <w:t>over</w:t>
      </w:r>
    </w:p>
    <w:p>
      <w:pPr>
        <w:pStyle w:val="BodyText"/>
        <w:spacing w:line="273" w:lineRule="auto" w:before="1"/>
        <w:ind w:left="593" w:right="1995"/>
      </w:pPr>
      <w:r>
        <w:rPr>
          <w:color w:val="231F20"/>
          <w:w w:val="110"/>
        </w:rPr>
        <w:t>£400,000 in putting in new </w:t>
      </w:r>
      <w:r>
        <w:rPr>
          <w:color w:val="231F20"/>
          <w:spacing w:val="-3"/>
          <w:w w:val="110"/>
        </w:rPr>
        <w:t>water, </w:t>
      </w:r>
      <w:r>
        <w:rPr>
          <w:color w:val="231F20"/>
          <w:w w:val="110"/>
        </w:rPr>
        <w:t>gas, and </w:t>
      </w:r>
      <w:r>
        <w:rPr>
          <w:color w:val="231F20"/>
          <w:spacing w:val="2"/>
          <w:w w:val="110"/>
        </w:rPr>
        <w:t>electricity services </w:t>
      </w:r>
      <w:r>
        <w:rPr>
          <w:color w:val="231F20"/>
          <w:w w:val="110"/>
        </w:rPr>
        <w:t>at our Senior School  site. </w:t>
      </w:r>
      <w:r>
        <w:rPr>
          <w:color w:val="231F20"/>
          <w:spacing w:val="2"/>
          <w:w w:val="110"/>
        </w:rPr>
        <w:t>These </w:t>
      </w:r>
      <w:r>
        <w:rPr>
          <w:color w:val="231F20"/>
          <w:w w:val="110"/>
        </w:rPr>
        <w:t>were to enable us to </w:t>
      </w:r>
      <w:r>
        <w:rPr>
          <w:color w:val="231F20"/>
          <w:spacing w:val="2"/>
          <w:w w:val="110"/>
        </w:rPr>
        <w:t>proceed </w:t>
      </w:r>
      <w:r>
        <w:rPr>
          <w:color w:val="231F20"/>
          <w:w w:val="110"/>
        </w:rPr>
        <w:t>with the </w:t>
      </w:r>
      <w:r>
        <w:rPr>
          <w:color w:val="231F20"/>
          <w:spacing w:val="2"/>
          <w:w w:val="110"/>
        </w:rPr>
        <w:t>next </w:t>
      </w:r>
      <w:r>
        <w:rPr>
          <w:color w:val="231F20"/>
          <w:w w:val="110"/>
        </w:rPr>
        <w:t>phases of the School’s building programme, the building of a new 25m indoor</w:t>
      </w:r>
      <w:r>
        <w:rPr>
          <w:color w:val="231F20"/>
          <w:spacing w:val="14"/>
          <w:w w:val="110"/>
        </w:rPr>
        <w:t> </w:t>
      </w:r>
      <w:r>
        <w:rPr>
          <w:color w:val="231F20"/>
          <w:w w:val="110"/>
        </w:rPr>
        <w:t>pool.</w:t>
      </w:r>
    </w:p>
    <w:p>
      <w:pPr>
        <w:pStyle w:val="BodyText"/>
        <w:spacing w:before="9"/>
        <w:rPr>
          <w:sz w:val="20"/>
        </w:rPr>
      </w:pPr>
    </w:p>
    <w:p>
      <w:pPr>
        <w:pStyle w:val="ListParagraph"/>
        <w:numPr>
          <w:ilvl w:val="1"/>
          <w:numId w:val="241"/>
        </w:numPr>
        <w:tabs>
          <w:tab w:pos="1313" w:val="left" w:leader="none"/>
          <w:tab w:pos="1314" w:val="left" w:leader="none"/>
        </w:tabs>
        <w:spacing w:line="273" w:lineRule="auto" w:before="0" w:after="0"/>
        <w:ind w:left="593" w:right="1766" w:firstLine="0"/>
        <w:jc w:val="left"/>
        <w:rPr>
          <w:sz w:val="18"/>
        </w:rPr>
      </w:pPr>
      <w:r>
        <w:rPr>
          <w:color w:val="231F20"/>
          <w:w w:val="110"/>
          <w:sz w:val="18"/>
        </w:rPr>
        <w:t>In January 2006 the extent of the </w:t>
      </w:r>
      <w:r>
        <w:rPr>
          <w:color w:val="231F20"/>
          <w:spacing w:val="2"/>
          <w:w w:val="110"/>
          <w:sz w:val="18"/>
        </w:rPr>
        <w:t>Mulberry </w:t>
      </w:r>
      <w:r>
        <w:rPr>
          <w:color w:val="231F20"/>
          <w:w w:val="110"/>
          <w:sz w:val="18"/>
        </w:rPr>
        <w:t>Development was unveiled to  parents. The full </w:t>
      </w:r>
      <w:r>
        <w:rPr>
          <w:color w:val="231F20"/>
          <w:spacing w:val="2"/>
          <w:w w:val="110"/>
          <w:sz w:val="18"/>
        </w:rPr>
        <w:t>project </w:t>
      </w:r>
      <w:r>
        <w:rPr>
          <w:color w:val="231F20"/>
          <w:w w:val="110"/>
          <w:sz w:val="18"/>
        </w:rPr>
        <w:t>over the </w:t>
      </w:r>
      <w:r>
        <w:rPr>
          <w:color w:val="231F20"/>
          <w:spacing w:val="2"/>
          <w:w w:val="110"/>
          <w:sz w:val="18"/>
        </w:rPr>
        <w:t>next </w:t>
      </w:r>
      <w:r>
        <w:rPr>
          <w:color w:val="231F20"/>
          <w:w w:val="110"/>
          <w:sz w:val="18"/>
        </w:rPr>
        <w:t>five years will provide brand new </w:t>
      </w:r>
      <w:r>
        <w:rPr>
          <w:color w:val="231F20"/>
          <w:spacing w:val="3"/>
          <w:w w:val="110"/>
          <w:sz w:val="18"/>
        </w:rPr>
        <w:t>sports </w:t>
      </w:r>
      <w:r>
        <w:rPr>
          <w:color w:val="231F20"/>
          <w:w w:val="110"/>
          <w:sz w:val="18"/>
        </w:rPr>
        <w:t>facilities and include the complete refurbishment of the Assembly Hall Block to create a second, larger </w:t>
      </w:r>
      <w:r>
        <w:rPr>
          <w:color w:val="231F20"/>
          <w:spacing w:val="2"/>
          <w:w w:val="110"/>
          <w:sz w:val="18"/>
        </w:rPr>
        <w:t>performance </w:t>
      </w:r>
      <w:r>
        <w:rPr>
          <w:color w:val="231F20"/>
          <w:w w:val="110"/>
          <w:sz w:val="18"/>
        </w:rPr>
        <w:t>space to complement the existing Ship Theatre.  The development will also provide a new suite of teaching rooms for the Mathematics Department to accommodate additional pupil</w:t>
      </w:r>
      <w:r>
        <w:rPr>
          <w:color w:val="231F20"/>
          <w:spacing w:val="4"/>
          <w:w w:val="110"/>
          <w:sz w:val="18"/>
        </w:rPr>
        <w:t> </w:t>
      </w:r>
      <w:r>
        <w:rPr>
          <w:color w:val="231F20"/>
          <w:w w:val="110"/>
          <w:sz w:val="18"/>
        </w:rPr>
        <w:t>numbers.</w:t>
      </w:r>
    </w:p>
    <w:p>
      <w:pPr>
        <w:pStyle w:val="BodyText"/>
        <w:spacing w:before="11"/>
        <w:rPr>
          <w:sz w:val="20"/>
        </w:rPr>
      </w:pPr>
    </w:p>
    <w:p>
      <w:pPr>
        <w:pStyle w:val="ListParagraph"/>
        <w:numPr>
          <w:ilvl w:val="1"/>
          <w:numId w:val="241"/>
        </w:numPr>
        <w:tabs>
          <w:tab w:pos="1313" w:val="left" w:leader="none"/>
          <w:tab w:pos="1314" w:val="left" w:leader="none"/>
        </w:tabs>
        <w:spacing w:line="273" w:lineRule="auto" w:before="0" w:after="0"/>
        <w:ind w:left="593" w:right="2331" w:firstLine="0"/>
        <w:jc w:val="left"/>
        <w:rPr>
          <w:sz w:val="18"/>
        </w:rPr>
      </w:pPr>
      <w:r>
        <w:rPr>
          <w:color w:val="231F20"/>
          <w:w w:val="110"/>
          <w:sz w:val="18"/>
        </w:rPr>
        <w:t>Later in the year at our Senior School Prize Giving, we were privileged to   be joined by Dr Beverley Hunt, an old girl, who as well as being a leading </w:t>
      </w:r>
      <w:r>
        <w:rPr>
          <w:color w:val="231F20"/>
          <w:spacing w:val="2"/>
          <w:w w:val="110"/>
          <w:sz w:val="18"/>
        </w:rPr>
        <w:t>expert </w:t>
      </w:r>
      <w:r>
        <w:rPr>
          <w:color w:val="231F20"/>
          <w:w w:val="110"/>
          <w:sz w:val="18"/>
        </w:rPr>
        <w:t>in Haematology at Guy’s and St Thomas’s Hospital, is also the founder of the Charity </w:t>
      </w:r>
      <w:r>
        <w:rPr>
          <w:i/>
          <w:color w:val="231F20"/>
          <w:w w:val="110"/>
          <w:sz w:val="18"/>
        </w:rPr>
        <w:t>Lifeblood </w:t>
      </w:r>
      <w:r>
        <w:rPr>
          <w:color w:val="231F20"/>
          <w:w w:val="110"/>
          <w:sz w:val="18"/>
        </w:rPr>
        <w:t>and a triathlete. Dr Hunt gave an inspiring talk to the</w:t>
      </w:r>
      <w:r>
        <w:rPr>
          <w:color w:val="231F20"/>
          <w:spacing w:val="52"/>
          <w:w w:val="110"/>
          <w:sz w:val="18"/>
        </w:rPr>
        <w:t> </w:t>
      </w:r>
      <w:r>
        <w:rPr>
          <w:color w:val="231F20"/>
          <w:w w:val="110"/>
          <w:sz w:val="18"/>
        </w:rPr>
        <w:t>school.</w:t>
      </w:r>
    </w:p>
    <w:p>
      <w:pPr>
        <w:pStyle w:val="BodyText"/>
        <w:spacing w:before="9"/>
        <w:rPr>
          <w:sz w:val="20"/>
        </w:rPr>
      </w:pPr>
    </w:p>
    <w:p>
      <w:pPr>
        <w:pStyle w:val="ListParagraph"/>
        <w:numPr>
          <w:ilvl w:val="1"/>
          <w:numId w:val="241"/>
        </w:numPr>
        <w:tabs>
          <w:tab w:pos="1313" w:val="left" w:leader="none"/>
          <w:tab w:pos="1314" w:val="left" w:leader="none"/>
        </w:tabs>
        <w:spacing w:line="273" w:lineRule="auto" w:before="0" w:after="0"/>
        <w:ind w:left="593" w:right="1765" w:firstLine="0"/>
        <w:jc w:val="left"/>
        <w:rPr>
          <w:sz w:val="18"/>
        </w:rPr>
      </w:pPr>
      <w:r>
        <w:rPr>
          <w:color w:val="231F20"/>
          <w:spacing w:val="2"/>
          <w:w w:val="110"/>
          <w:sz w:val="18"/>
        </w:rPr>
        <w:t>Last </w:t>
      </w:r>
      <w:r>
        <w:rPr>
          <w:color w:val="231F20"/>
          <w:w w:val="110"/>
          <w:sz w:val="18"/>
        </w:rPr>
        <w:t>summer academic examination results broke </w:t>
      </w:r>
      <w:r>
        <w:rPr>
          <w:color w:val="231F20"/>
          <w:spacing w:val="2"/>
          <w:w w:val="110"/>
          <w:sz w:val="18"/>
        </w:rPr>
        <w:t>records </w:t>
      </w:r>
      <w:r>
        <w:rPr>
          <w:color w:val="231F20"/>
          <w:w w:val="110"/>
          <w:sz w:val="18"/>
        </w:rPr>
        <w:t>again, with 77% of A2 candidates achieving grades A and B. At GCSE we were proud of our candidates who </w:t>
      </w:r>
      <w:r>
        <w:rPr>
          <w:color w:val="231F20"/>
          <w:spacing w:val="2"/>
          <w:w w:val="110"/>
          <w:sz w:val="18"/>
        </w:rPr>
        <w:t>passed </w:t>
      </w:r>
      <w:r>
        <w:rPr>
          <w:color w:val="231F20"/>
          <w:w w:val="110"/>
          <w:sz w:val="18"/>
        </w:rPr>
        <w:t>their examinations with an impressive </w:t>
      </w:r>
      <w:r>
        <w:rPr>
          <w:color w:val="231F20"/>
          <w:spacing w:val="-7"/>
          <w:w w:val="110"/>
          <w:sz w:val="18"/>
        </w:rPr>
        <w:t>74% </w:t>
      </w:r>
      <w:r>
        <w:rPr>
          <w:color w:val="231F20"/>
          <w:w w:val="110"/>
          <w:sz w:val="18"/>
        </w:rPr>
        <w:t>of grades at A and </w:t>
      </w:r>
      <w:r>
        <w:rPr>
          <w:color w:val="231F20"/>
          <w:spacing w:val="-8"/>
          <w:w w:val="110"/>
          <w:sz w:val="18"/>
        </w:rPr>
        <w:t>A*.</w:t>
      </w:r>
      <w:r>
        <w:rPr>
          <w:color w:val="231F20"/>
          <w:spacing w:val="53"/>
          <w:w w:val="110"/>
          <w:sz w:val="18"/>
        </w:rPr>
        <w:t> </w:t>
      </w:r>
      <w:r>
        <w:rPr>
          <w:color w:val="231F20"/>
          <w:w w:val="110"/>
          <w:sz w:val="18"/>
        </w:rPr>
        <w:t>Whatever the media might </w:t>
      </w:r>
      <w:r>
        <w:rPr>
          <w:color w:val="231F20"/>
          <w:spacing w:val="-5"/>
          <w:w w:val="110"/>
          <w:sz w:val="18"/>
        </w:rPr>
        <w:t>say, </w:t>
      </w:r>
      <w:r>
        <w:rPr>
          <w:color w:val="231F20"/>
          <w:w w:val="110"/>
          <w:sz w:val="18"/>
        </w:rPr>
        <w:t>this </w:t>
      </w:r>
      <w:r>
        <w:rPr>
          <w:color w:val="231F20"/>
          <w:spacing w:val="2"/>
          <w:w w:val="110"/>
          <w:sz w:val="18"/>
        </w:rPr>
        <w:t>represents </w:t>
      </w:r>
      <w:r>
        <w:rPr>
          <w:color w:val="231F20"/>
          <w:w w:val="110"/>
          <w:sz w:val="18"/>
        </w:rPr>
        <w:t>a good deal of hard work by </w:t>
      </w:r>
      <w:r>
        <w:rPr>
          <w:color w:val="231F20"/>
          <w:spacing w:val="3"/>
          <w:w w:val="110"/>
          <w:sz w:val="18"/>
        </w:rPr>
        <w:t>staff </w:t>
      </w:r>
      <w:r>
        <w:rPr>
          <w:color w:val="231F20"/>
          <w:w w:val="110"/>
          <w:sz w:val="18"/>
        </w:rPr>
        <w:t>and</w:t>
      </w:r>
      <w:r>
        <w:rPr>
          <w:color w:val="231F20"/>
          <w:spacing w:val="55"/>
          <w:w w:val="110"/>
          <w:sz w:val="18"/>
        </w:rPr>
        <w:t> </w:t>
      </w:r>
      <w:r>
        <w:rPr>
          <w:color w:val="231F20"/>
          <w:w w:val="110"/>
          <w:sz w:val="18"/>
        </w:rPr>
        <w:t>girls.</w:t>
      </w:r>
    </w:p>
    <w:p>
      <w:pPr>
        <w:pStyle w:val="BodyText"/>
        <w:spacing w:before="9"/>
        <w:rPr>
          <w:sz w:val="20"/>
        </w:rPr>
      </w:pPr>
    </w:p>
    <w:p>
      <w:pPr>
        <w:pStyle w:val="ListParagraph"/>
        <w:numPr>
          <w:ilvl w:val="1"/>
          <w:numId w:val="241"/>
        </w:numPr>
        <w:tabs>
          <w:tab w:pos="1313" w:val="left" w:leader="none"/>
          <w:tab w:pos="1314" w:val="left" w:leader="none"/>
        </w:tabs>
        <w:spacing w:line="273" w:lineRule="auto" w:before="1" w:after="0"/>
        <w:ind w:left="593" w:right="1698" w:firstLine="0"/>
        <w:jc w:val="left"/>
        <w:rPr>
          <w:sz w:val="18"/>
        </w:rPr>
      </w:pPr>
      <w:r>
        <w:rPr>
          <w:color w:val="231F20"/>
          <w:w w:val="110"/>
          <w:sz w:val="18"/>
        </w:rPr>
        <w:t>Girls here, </w:t>
      </w:r>
      <w:r>
        <w:rPr>
          <w:color w:val="231F20"/>
          <w:spacing w:val="-3"/>
          <w:w w:val="110"/>
          <w:sz w:val="18"/>
        </w:rPr>
        <w:t>however, </w:t>
      </w:r>
      <w:r>
        <w:rPr>
          <w:color w:val="231F20"/>
          <w:w w:val="110"/>
          <w:sz w:val="18"/>
        </w:rPr>
        <w:t>are not simply </w:t>
      </w:r>
      <w:r>
        <w:rPr>
          <w:color w:val="231F20"/>
          <w:spacing w:val="2"/>
          <w:w w:val="110"/>
          <w:sz w:val="18"/>
        </w:rPr>
        <w:t>focussed </w:t>
      </w:r>
      <w:r>
        <w:rPr>
          <w:color w:val="231F20"/>
          <w:w w:val="110"/>
          <w:sz w:val="18"/>
        </w:rPr>
        <w:t>on their own success and future,   they also give their time and talents generously to help others and raise money for local, national, and international charities. Over the past </w:t>
      </w:r>
      <w:r>
        <w:rPr>
          <w:color w:val="231F20"/>
          <w:spacing w:val="-4"/>
          <w:w w:val="110"/>
          <w:sz w:val="18"/>
        </w:rPr>
        <w:t>year, </w:t>
      </w:r>
      <w:r>
        <w:rPr>
          <w:color w:val="231F20"/>
          <w:w w:val="110"/>
          <w:sz w:val="18"/>
        </w:rPr>
        <w:t>we have been raising money in particular for a local children’s hospice and supporting Rockdale House nursing home in Sevenoaks (founded and managed by old</w:t>
      </w:r>
      <w:r>
        <w:rPr>
          <w:color w:val="231F20"/>
          <w:spacing w:val="7"/>
          <w:w w:val="110"/>
          <w:sz w:val="18"/>
        </w:rPr>
        <w:t> </w:t>
      </w:r>
      <w:r>
        <w:rPr>
          <w:color w:val="231F20"/>
          <w:w w:val="110"/>
          <w:sz w:val="18"/>
        </w:rPr>
        <w:t>girls).</w:t>
      </w:r>
    </w:p>
    <w:p>
      <w:pPr>
        <w:pStyle w:val="BodyText"/>
        <w:spacing w:before="9"/>
        <w:rPr>
          <w:sz w:val="20"/>
        </w:rPr>
      </w:pPr>
    </w:p>
    <w:p>
      <w:pPr>
        <w:pStyle w:val="ListParagraph"/>
        <w:numPr>
          <w:ilvl w:val="1"/>
          <w:numId w:val="241"/>
        </w:numPr>
        <w:tabs>
          <w:tab w:pos="1313" w:val="left" w:leader="none"/>
          <w:tab w:pos="1314" w:val="left" w:leader="none"/>
        </w:tabs>
        <w:spacing w:line="240" w:lineRule="auto" w:before="1" w:after="0"/>
        <w:ind w:left="1314" w:right="0" w:hanging="721"/>
        <w:jc w:val="left"/>
        <w:rPr>
          <w:sz w:val="18"/>
        </w:rPr>
      </w:pPr>
      <w:r>
        <w:rPr>
          <w:color w:val="231F20"/>
          <w:w w:val="110"/>
          <w:sz w:val="18"/>
        </w:rPr>
        <w:t>All that makes up a rounded education continues to flourish, with girls</w:t>
      </w:r>
      <w:r>
        <w:rPr>
          <w:color w:val="231F20"/>
          <w:spacing w:val="40"/>
          <w:w w:val="110"/>
          <w:sz w:val="18"/>
        </w:rPr>
        <w:t> </w:t>
      </w:r>
      <w:r>
        <w:rPr>
          <w:color w:val="231F20"/>
          <w:w w:val="110"/>
          <w:sz w:val="18"/>
        </w:rPr>
        <w:t>working</w:t>
      </w:r>
    </w:p>
    <w:p>
      <w:pPr>
        <w:pStyle w:val="BodyText"/>
        <w:spacing w:before="31"/>
        <w:ind w:left="593"/>
      </w:pPr>
      <w:r>
        <w:rPr>
          <w:color w:val="231F20"/>
          <w:w w:val="110"/>
        </w:rPr>
        <w:t>closely with Tonbridge School in both musical and dramatic performances.</w:t>
      </w:r>
    </w:p>
    <w:p>
      <w:pPr>
        <w:pStyle w:val="BodyText"/>
        <w:spacing w:before="1"/>
        <w:rPr>
          <w:sz w:val="23"/>
        </w:rPr>
      </w:pPr>
    </w:p>
    <w:p>
      <w:pPr>
        <w:pStyle w:val="ListParagraph"/>
        <w:numPr>
          <w:ilvl w:val="1"/>
          <w:numId w:val="241"/>
        </w:numPr>
        <w:tabs>
          <w:tab w:pos="1313" w:val="left" w:leader="none"/>
          <w:tab w:pos="1314" w:val="left" w:leader="none"/>
        </w:tabs>
        <w:spacing w:line="240" w:lineRule="auto" w:before="1" w:after="0"/>
        <w:ind w:left="1314" w:right="0" w:hanging="721"/>
        <w:jc w:val="left"/>
        <w:rPr>
          <w:sz w:val="18"/>
        </w:rPr>
      </w:pPr>
      <w:r>
        <w:rPr>
          <w:color w:val="231F20"/>
          <w:spacing w:val="-3"/>
          <w:w w:val="110"/>
          <w:sz w:val="18"/>
        </w:rPr>
        <w:t>We </w:t>
      </w:r>
      <w:r>
        <w:rPr>
          <w:color w:val="231F20"/>
          <w:w w:val="110"/>
          <w:sz w:val="18"/>
        </w:rPr>
        <w:t>look </w:t>
      </w:r>
      <w:r>
        <w:rPr>
          <w:color w:val="231F20"/>
          <w:spacing w:val="2"/>
          <w:w w:val="110"/>
          <w:sz w:val="18"/>
        </w:rPr>
        <w:t>forward </w:t>
      </w:r>
      <w:r>
        <w:rPr>
          <w:color w:val="231F20"/>
          <w:w w:val="110"/>
          <w:sz w:val="18"/>
        </w:rPr>
        <w:t>to the new year mindful of the words of </w:t>
      </w:r>
      <w:r>
        <w:rPr>
          <w:color w:val="231F20"/>
          <w:spacing w:val="2"/>
          <w:w w:val="110"/>
          <w:sz w:val="18"/>
        </w:rPr>
        <w:t>George</w:t>
      </w:r>
      <w:r>
        <w:rPr>
          <w:color w:val="231F20"/>
          <w:spacing w:val="33"/>
          <w:w w:val="110"/>
          <w:sz w:val="18"/>
        </w:rPr>
        <w:t> </w:t>
      </w:r>
      <w:r>
        <w:rPr>
          <w:color w:val="231F20"/>
          <w:spacing w:val="2"/>
          <w:w w:val="110"/>
          <w:sz w:val="18"/>
        </w:rPr>
        <w:t>Herbert:</w:t>
      </w:r>
    </w:p>
    <w:p>
      <w:pPr>
        <w:pStyle w:val="BodyText"/>
        <w:spacing w:before="31"/>
        <w:ind w:left="593"/>
      </w:pPr>
      <w:r>
        <w:rPr>
          <w:color w:val="231F20"/>
          <w:w w:val="110"/>
        </w:rPr>
        <w:t>‘O Thou who has given us so much, mercifully grant us one thing more – a grateful heart’.</w:t>
      </w:r>
    </w:p>
    <w:p>
      <w:pPr>
        <w:pStyle w:val="BodyText"/>
        <w:spacing w:before="5"/>
        <w:rPr>
          <w:sz w:val="21"/>
        </w:rPr>
      </w:pPr>
    </w:p>
    <w:p>
      <w:pPr>
        <w:numPr>
          <w:ilvl w:val="0"/>
          <w:numId w:val="241"/>
        </w:numPr>
        <w:tabs>
          <w:tab w:pos="1313" w:val="left" w:leader="none"/>
          <w:tab w:pos="1314" w:val="left" w:leader="none"/>
        </w:tabs>
        <w:spacing w:before="1"/>
        <w:ind w:left="1313" w:right="0" w:hanging="721"/>
        <w:jc w:val="left"/>
        <w:rPr>
          <w:b/>
          <w:color w:val="231F20"/>
          <w:sz w:val="20"/>
        </w:rPr>
      </w:pPr>
      <w:r>
        <w:rPr>
          <w:b/>
          <w:color w:val="231F20"/>
          <w:w w:val="110"/>
          <w:sz w:val="20"/>
        </w:rPr>
        <w:t>Wentworth</w:t>
      </w:r>
      <w:r>
        <w:rPr>
          <w:b/>
          <w:color w:val="231F20"/>
          <w:spacing w:val="-1"/>
          <w:w w:val="110"/>
          <w:sz w:val="20"/>
        </w:rPr>
        <w:t> </w:t>
      </w:r>
      <w:r>
        <w:rPr>
          <w:b/>
          <w:color w:val="231F20"/>
          <w:w w:val="110"/>
          <w:sz w:val="20"/>
        </w:rPr>
        <w:t>College</w:t>
      </w:r>
    </w:p>
    <w:p>
      <w:pPr>
        <w:pStyle w:val="BodyText"/>
        <w:spacing w:before="9"/>
        <w:rPr>
          <w:b/>
          <w:sz w:val="22"/>
        </w:rPr>
      </w:pPr>
    </w:p>
    <w:p>
      <w:pPr>
        <w:pStyle w:val="ListParagraph"/>
        <w:numPr>
          <w:ilvl w:val="1"/>
          <w:numId w:val="241"/>
        </w:numPr>
        <w:tabs>
          <w:tab w:pos="1313" w:val="left" w:leader="none"/>
          <w:tab w:pos="1314" w:val="left" w:leader="none"/>
        </w:tabs>
        <w:spacing w:line="273" w:lineRule="auto" w:before="0" w:after="0"/>
        <w:ind w:left="593" w:right="2079" w:firstLine="0"/>
        <w:jc w:val="left"/>
        <w:rPr>
          <w:sz w:val="18"/>
        </w:rPr>
      </w:pPr>
      <w:r>
        <w:rPr>
          <w:color w:val="231F20"/>
          <w:spacing w:val="2"/>
          <w:w w:val="110"/>
          <w:sz w:val="18"/>
        </w:rPr>
        <w:t>Last </w:t>
      </w:r>
      <w:r>
        <w:rPr>
          <w:color w:val="231F20"/>
          <w:w w:val="110"/>
          <w:sz w:val="18"/>
        </w:rPr>
        <w:t>summer the forty-four girls in </w:t>
      </w:r>
      <w:r>
        <w:rPr>
          <w:color w:val="231F20"/>
          <w:spacing w:val="-5"/>
          <w:w w:val="110"/>
          <w:sz w:val="18"/>
        </w:rPr>
        <w:t>Y11 </w:t>
      </w:r>
      <w:r>
        <w:rPr>
          <w:color w:val="231F20"/>
          <w:w w:val="110"/>
          <w:sz w:val="18"/>
        </w:rPr>
        <w:t>entered for a total of 405 GCSEs in twenty-two subjects, an average of </w:t>
      </w:r>
      <w:r>
        <w:rPr>
          <w:color w:val="231F20"/>
          <w:spacing w:val="-3"/>
          <w:w w:val="110"/>
          <w:sz w:val="18"/>
        </w:rPr>
        <w:t>9.2 </w:t>
      </w:r>
      <w:r>
        <w:rPr>
          <w:color w:val="231F20"/>
          <w:w w:val="110"/>
          <w:sz w:val="18"/>
        </w:rPr>
        <w:t>subjects per candidate. Each of our students gained an average of 57 points – a new </w:t>
      </w:r>
      <w:r>
        <w:rPr>
          <w:color w:val="231F20"/>
          <w:spacing w:val="2"/>
          <w:w w:val="110"/>
          <w:sz w:val="18"/>
        </w:rPr>
        <w:t>record </w:t>
      </w:r>
      <w:r>
        <w:rPr>
          <w:color w:val="231F20"/>
          <w:w w:val="110"/>
          <w:sz w:val="18"/>
        </w:rPr>
        <w:t>for us with each subject </w:t>
      </w:r>
      <w:r>
        <w:rPr>
          <w:color w:val="231F20"/>
          <w:spacing w:val="2"/>
          <w:w w:val="110"/>
          <w:sz w:val="18"/>
        </w:rPr>
        <w:t>entry </w:t>
      </w:r>
      <w:r>
        <w:rPr>
          <w:color w:val="231F20"/>
          <w:w w:val="110"/>
          <w:sz w:val="18"/>
        </w:rPr>
        <w:t>over    </w:t>
      </w:r>
      <w:r>
        <w:rPr>
          <w:color w:val="231F20"/>
          <w:spacing w:val="-5"/>
          <w:w w:val="110"/>
          <w:sz w:val="18"/>
        </w:rPr>
        <w:t>61 </w:t>
      </w:r>
      <w:r>
        <w:rPr>
          <w:color w:val="231F20"/>
          <w:w w:val="110"/>
          <w:sz w:val="18"/>
        </w:rPr>
        <w:t>points, which is equivalent to a grade B. </w:t>
      </w:r>
      <w:r>
        <w:rPr>
          <w:color w:val="231F20"/>
          <w:spacing w:val="-3"/>
          <w:w w:val="110"/>
          <w:sz w:val="18"/>
        </w:rPr>
        <w:t>We </w:t>
      </w:r>
      <w:r>
        <w:rPr>
          <w:color w:val="231F20"/>
          <w:w w:val="110"/>
          <w:sz w:val="18"/>
        </w:rPr>
        <w:t>found ourselves at the top of the Bournemouth Value-Added league table last</w:t>
      </w:r>
      <w:r>
        <w:rPr>
          <w:color w:val="231F20"/>
          <w:spacing w:val="10"/>
          <w:w w:val="110"/>
          <w:sz w:val="18"/>
        </w:rPr>
        <w:t> </w:t>
      </w:r>
      <w:r>
        <w:rPr>
          <w:color w:val="231F20"/>
          <w:spacing w:val="-4"/>
          <w:w w:val="110"/>
          <w:sz w:val="18"/>
        </w:rPr>
        <w:t>year.</w:t>
      </w:r>
    </w:p>
    <w:p>
      <w:pPr>
        <w:pStyle w:val="BodyText"/>
        <w:spacing w:before="10"/>
        <w:rPr>
          <w:sz w:val="20"/>
        </w:rPr>
      </w:pPr>
    </w:p>
    <w:p>
      <w:pPr>
        <w:pStyle w:val="ListParagraph"/>
        <w:numPr>
          <w:ilvl w:val="1"/>
          <w:numId w:val="241"/>
        </w:numPr>
        <w:tabs>
          <w:tab w:pos="1313" w:val="left" w:leader="none"/>
          <w:tab w:pos="1314" w:val="left" w:leader="none"/>
        </w:tabs>
        <w:spacing w:line="273" w:lineRule="auto" w:before="0" w:after="0"/>
        <w:ind w:left="593" w:right="1756" w:firstLine="0"/>
        <w:jc w:val="left"/>
        <w:rPr>
          <w:sz w:val="18"/>
        </w:rPr>
      </w:pPr>
      <w:r>
        <w:rPr>
          <w:color w:val="231F20"/>
          <w:w w:val="110"/>
          <w:sz w:val="18"/>
        </w:rPr>
        <w:t>The students in </w:t>
      </w:r>
      <w:r>
        <w:rPr>
          <w:color w:val="231F20"/>
          <w:spacing w:val="-4"/>
          <w:w w:val="110"/>
          <w:sz w:val="18"/>
        </w:rPr>
        <w:t>Y13 </w:t>
      </w:r>
      <w:r>
        <w:rPr>
          <w:color w:val="231F20"/>
          <w:w w:val="110"/>
          <w:sz w:val="18"/>
        </w:rPr>
        <w:t>completed final AS/A2 modules in </w:t>
      </w:r>
      <w:r>
        <w:rPr>
          <w:color w:val="231F20"/>
          <w:spacing w:val="2"/>
          <w:w w:val="110"/>
          <w:sz w:val="18"/>
        </w:rPr>
        <w:t>twenty </w:t>
      </w:r>
      <w:r>
        <w:rPr>
          <w:color w:val="231F20"/>
          <w:w w:val="110"/>
          <w:sz w:val="18"/>
        </w:rPr>
        <w:t>subjects. </w:t>
      </w:r>
      <w:r>
        <w:rPr>
          <w:color w:val="231F20"/>
          <w:spacing w:val="-3"/>
          <w:w w:val="110"/>
          <w:sz w:val="18"/>
        </w:rPr>
        <w:t>We </w:t>
      </w:r>
      <w:r>
        <w:rPr>
          <w:color w:val="231F20"/>
          <w:w w:val="110"/>
          <w:sz w:val="18"/>
        </w:rPr>
        <w:t>were delighted with their results as the overall pass rate was 100%. One student gained five full A levels, two at grade A. The </w:t>
      </w:r>
      <w:r>
        <w:rPr>
          <w:color w:val="231F20"/>
          <w:spacing w:val="2"/>
          <w:w w:val="110"/>
          <w:sz w:val="18"/>
        </w:rPr>
        <w:t>records </w:t>
      </w:r>
      <w:r>
        <w:rPr>
          <w:color w:val="231F20"/>
          <w:w w:val="110"/>
          <w:sz w:val="18"/>
        </w:rPr>
        <w:t>show that our students have improved on the high standard set in past years and I am pleased to be </w:t>
      </w:r>
      <w:r>
        <w:rPr>
          <w:color w:val="231F20"/>
          <w:spacing w:val="2"/>
          <w:w w:val="110"/>
          <w:sz w:val="18"/>
        </w:rPr>
        <w:t>reporting </w:t>
      </w:r>
      <w:r>
        <w:rPr>
          <w:color w:val="231F20"/>
          <w:w w:val="110"/>
          <w:sz w:val="18"/>
        </w:rPr>
        <w:t>to you our rising trend of success.</w:t>
      </w:r>
    </w:p>
    <w:p>
      <w:pPr>
        <w:pStyle w:val="BodyText"/>
        <w:spacing w:before="10"/>
        <w:rPr>
          <w:sz w:val="20"/>
        </w:rPr>
      </w:pPr>
    </w:p>
    <w:p>
      <w:pPr>
        <w:pStyle w:val="ListParagraph"/>
        <w:numPr>
          <w:ilvl w:val="1"/>
          <w:numId w:val="241"/>
        </w:numPr>
        <w:tabs>
          <w:tab w:pos="1313" w:val="left" w:leader="none"/>
          <w:tab w:pos="1314" w:val="left" w:leader="none"/>
        </w:tabs>
        <w:spacing w:line="273" w:lineRule="auto" w:before="0" w:after="0"/>
        <w:ind w:left="593" w:right="1698" w:firstLine="0"/>
        <w:jc w:val="left"/>
        <w:rPr>
          <w:sz w:val="18"/>
        </w:rPr>
      </w:pPr>
      <w:r>
        <w:rPr>
          <w:color w:val="231F20"/>
          <w:spacing w:val="3"/>
          <w:w w:val="110"/>
          <w:sz w:val="18"/>
        </w:rPr>
        <w:t>As </w:t>
      </w:r>
      <w:r>
        <w:rPr>
          <w:color w:val="231F20"/>
          <w:w w:val="110"/>
          <w:sz w:val="18"/>
        </w:rPr>
        <w:t>usual our girls have devoted much time to charitable activities.   The </w:t>
      </w:r>
      <w:r>
        <w:rPr>
          <w:color w:val="231F20"/>
          <w:spacing w:val="2"/>
          <w:w w:val="110"/>
          <w:sz w:val="18"/>
        </w:rPr>
        <w:t>sixth </w:t>
      </w:r>
      <w:r>
        <w:rPr>
          <w:color w:val="231F20"/>
          <w:spacing w:val="73"/>
          <w:w w:val="110"/>
          <w:sz w:val="18"/>
        </w:rPr>
        <w:t> </w:t>
      </w:r>
      <w:r>
        <w:rPr>
          <w:color w:val="231F20"/>
          <w:w w:val="110"/>
          <w:sz w:val="18"/>
        </w:rPr>
        <w:t>form alone raised over </w:t>
      </w:r>
      <w:r>
        <w:rPr>
          <w:color w:val="231F20"/>
          <w:spacing w:val="-5"/>
          <w:w w:val="110"/>
          <w:sz w:val="18"/>
        </w:rPr>
        <w:t>£1,100 </w:t>
      </w:r>
      <w:r>
        <w:rPr>
          <w:color w:val="231F20"/>
          <w:w w:val="110"/>
          <w:sz w:val="18"/>
        </w:rPr>
        <w:t>in </w:t>
      </w:r>
      <w:r>
        <w:rPr>
          <w:color w:val="231F20"/>
          <w:spacing w:val="2"/>
          <w:w w:val="110"/>
          <w:sz w:val="18"/>
        </w:rPr>
        <w:t>support </w:t>
      </w:r>
      <w:r>
        <w:rPr>
          <w:color w:val="231F20"/>
          <w:w w:val="110"/>
          <w:sz w:val="18"/>
        </w:rPr>
        <w:t>of Barnados and BBC Children In Need appeals. One member of </w:t>
      </w:r>
      <w:r>
        <w:rPr>
          <w:color w:val="231F20"/>
          <w:spacing w:val="-3"/>
          <w:w w:val="110"/>
          <w:sz w:val="18"/>
        </w:rPr>
        <w:t>Y12  </w:t>
      </w:r>
      <w:r>
        <w:rPr>
          <w:color w:val="231F20"/>
          <w:w w:val="110"/>
          <w:sz w:val="18"/>
        </w:rPr>
        <w:t>produced, planned, photographed, published, and promoted a</w:t>
      </w:r>
      <w:r>
        <w:rPr>
          <w:color w:val="231F20"/>
          <w:spacing w:val="69"/>
          <w:w w:val="110"/>
          <w:sz w:val="18"/>
        </w:rPr>
        <w:t> </w:t>
      </w:r>
      <w:r>
        <w:rPr>
          <w:color w:val="231F20"/>
          <w:w w:val="110"/>
          <w:sz w:val="18"/>
        </w:rPr>
        <w:t>school calendar, which raised £550 for Cancer Research UK. </w:t>
      </w:r>
      <w:r>
        <w:rPr>
          <w:color w:val="231F20"/>
          <w:spacing w:val="-3"/>
          <w:w w:val="110"/>
          <w:sz w:val="18"/>
        </w:rPr>
        <w:t>We </w:t>
      </w:r>
      <w:r>
        <w:rPr>
          <w:color w:val="231F20"/>
          <w:w w:val="110"/>
          <w:sz w:val="18"/>
        </w:rPr>
        <w:t>collected shoeboxes for Love in a Shoebox Appeal organised by Mustard Seed Relief Missions. </w:t>
      </w:r>
      <w:r>
        <w:rPr>
          <w:color w:val="231F20"/>
          <w:spacing w:val="-4"/>
          <w:w w:val="110"/>
          <w:sz w:val="18"/>
        </w:rPr>
        <w:t>Task </w:t>
      </w:r>
      <w:r>
        <w:rPr>
          <w:color w:val="231F20"/>
          <w:w w:val="110"/>
          <w:sz w:val="18"/>
        </w:rPr>
        <w:t>force, our </w:t>
      </w:r>
      <w:r>
        <w:rPr>
          <w:color w:val="231F20"/>
          <w:spacing w:val="2"/>
          <w:w w:val="110"/>
          <w:sz w:val="18"/>
        </w:rPr>
        <w:t>project </w:t>
      </w:r>
      <w:r>
        <w:rPr>
          <w:color w:val="231F20"/>
          <w:w w:val="110"/>
          <w:sz w:val="18"/>
        </w:rPr>
        <w:t>working with the children </w:t>
      </w:r>
      <w:r>
        <w:rPr>
          <w:color w:val="231F20"/>
          <w:spacing w:val="2"/>
          <w:w w:val="110"/>
          <w:sz w:val="18"/>
        </w:rPr>
        <w:t>from Victoria </w:t>
      </w:r>
      <w:r>
        <w:rPr>
          <w:color w:val="231F20"/>
          <w:w w:val="110"/>
          <w:sz w:val="18"/>
        </w:rPr>
        <w:t>School is now in its eleventh</w:t>
      </w:r>
      <w:r>
        <w:rPr>
          <w:color w:val="231F20"/>
          <w:spacing w:val="66"/>
          <w:w w:val="110"/>
          <w:sz w:val="18"/>
        </w:rPr>
        <w:t> </w:t>
      </w:r>
      <w:r>
        <w:rPr>
          <w:color w:val="231F20"/>
          <w:spacing w:val="-4"/>
          <w:w w:val="110"/>
          <w:sz w:val="18"/>
        </w:rPr>
        <w:t>year.</w:t>
      </w:r>
    </w:p>
    <w:p>
      <w:pPr>
        <w:spacing w:after="0" w:line="273" w:lineRule="auto"/>
        <w:jc w:val="left"/>
        <w:rPr>
          <w:sz w:val="18"/>
        </w:rPr>
        <w:sectPr>
          <w:pgSz w:w="11910" w:h="16840"/>
          <w:pgMar w:header="581" w:footer="544" w:top="860" w:bottom="740" w:left="540" w:right="0"/>
        </w:sectPr>
      </w:pPr>
    </w:p>
    <w:p>
      <w:pPr>
        <w:pStyle w:val="BodyText"/>
        <w:spacing w:before="10"/>
        <w:rPr>
          <w:sz w:val="11"/>
        </w:rPr>
      </w:pPr>
    </w:p>
    <w:p>
      <w:pPr>
        <w:pStyle w:val="ListParagraph"/>
        <w:numPr>
          <w:ilvl w:val="1"/>
          <w:numId w:val="241"/>
        </w:numPr>
        <w:tabs>
          <w:tab w:pos="1880" w:val="left" w:leader="none"/>
          <w:tab w:pos="1881" w:val="left" w:leader="none"/>
        </w:tabs>
        <w:spacing w:line="273" w:lineRule="auto" w:before="101" w:after="0"/>
        <w:ind w:left="1160" w:right="1628" w:firstLine="0"/>
        <w:jc w:val="left"/>
        <w:rPr>
          <w:sz w:val="18"/>
        </w:rPr>
      </w:pPr>
      <w:r>
        <w:rPr>
          <w:color w:val="231F20"/>
          <w:w w:val="110"/>
          <w:sz w:val="18"/>
        </w:rPr>
        <w:t>The PE department have worked hard to increase the number of fixtures in   all </w:t>
      </w:r>
      <w:r>
        <w:rPr>
          <w:color w:val="231F20"/>
          <w:spacing w:val="2"/>
          <w:w w:val="110"/>
          <w:sz w:val="18"/>
        </w:rPr>
        <w:t>sports. </w:t>
      </w:r>
      <w:r>
        <w:rPr>
          <w:color w:val="231F20"/>
          <w:w w:val="110"/>
          <w:sz w:val="18"/>
        </w:rPr>
        <w:t>One of our badminton players is now training with the England squad at the</w:t>
      </w:r>
      <w:r>
        <w:rPr>
          <w:color w:val="231F20"/>
          <w:spacing w:val="10"/>
          <w:w w:val="110"/>
          <w:sz w:val="18"/>
        </w:rPr>
        <w:t> </w:t>
      </w:r>
      <w:r>
        <w:rPr>
          <w:color w:val="231F20"/>
          <w:w w:val="110"/>
          <w:sz w:val="18"/>
        </w:rPr>
        <w:t>National</w:t>
      </w:r>
      <w:r>
        <w:rPr>
          <w:color w:val="231F20"/>
          <w:spacing w:val="11"/>
          <w:w w:val="110"/>
          <w:sz w:val="18"/>
        </w:rPr>
        <w:t> </w:t>
      </w:r>
      <w:r>
        <w:rPr>
          <w:color w:val="231F20"/>
          <w:w w:val="110"/>
          <w:sz w:val="18"/>
        </w:rPr>
        <w:t>Badminton</w:t>
      </w:r>
      <w:r>
        <w:rPr>
          <w:color w:val="231F20"/>
          <w:spacing w:val="10"/>
          <w:w w:val="110"/>
          <w:sz w:val="18"/>
        </w:rPr>
        <w:t> </w:t>
      </w:r>
      <w:r>
        <w:rPr>
          <w:color w:val="231F20"/>
          <w:w w:val="110"/>
          <w:sz w:val="18"/>
        </w:rPr>
        <w:t>Centre,</w:t>
      </w:r>
      <w:r>
        <w:rPr>
          <w:color w:val="231F20"/>
          <w:spacing w:val="11"/>
          <w:w w:val="110"/>
          <w:sz w:val="18"/>
        </w:rPr>
        <w:t> </w:t>
      </w:r>
      <w:r>
        <w:rPr>
          <w:color w:val="231F20"/>
          <w:w w:val="110"/>
          <w:sz w:val="18"/>
        </w:rPr>
        <w:t>Milton</w:t>
      </w:r>
      <w:r>
        <w:rPr>
          <w:color w:val="231F20"/>
          <w:spacing w:val="11"/>
          <w:w w:val="110"/>
          <w:sz w:val="18"/>
        </w:rPr>
        <w:t> </w:t>
      </w:r>
      <w:r>
        <w:rPr>
          <w:color w:val="231F20"/>
          <w:w w:val="110"/>
          <w:sz w:val="18"/>
        </w:rPr>
        <w:t>Keynes,</w:t>
      </w:r>
      <w:r>
        <w:rPr>
          <w:color w:val="231F20"/>
          <w:spacing w:val="10"/>
          <w:w w:val="110"/>
          <w:sz w:val="18"/>
        </w:rPr>
        <w:t> </w:t>
      </w:r>
      <w:r>
        <w:rPr>
          <w:color w:val="231F20"/>
          <w:w w:val="110"/>
          <w:sz w:val="18"/>
        </w:rPr>
        <w:t>and</w:t>
      </w:r>
      <w:r>
        <w:rPr>
          <w:color w:val="231F20"/>
          <w:spacing w:val="11"/>
          <w:w w:val="110"/>
          <w:sz w:val="18"/>
        </w:rPr>
        <w:t> </w:t>
      </w:r>
      <w:r>
        <w:rPr>
          <w:color w:val="231F20"/>
          <w:w w:val="110"/>
          <w:sz w:val="18"/>
        </w:rPr>
        <w:t>one</w:t>
      </w:r>
      <w:r>
        <w:rPr>
          <w:color w:val="231F20"/>
          <w:spacing w:val="10"/>
          <w:w w:val="110"/>
          <w:sz w:val="18"/>
        </w:rPr>
        <w:t> </w:t>
      </w:r>
      <w:r>
        <w:rPr>
          <w:color w:val="231F20"/>
          <w:w w:val="110"/>
          <w:sz w:val="18"/>
        </w:rPr>
        <w:t>of</w:t>
      </w:r>
      <w:r>
        <w:rPr>
          <w:color w:val="231F20"/>
          <w:spacing w:val="11"/>
          <w:w w:val="110"/>
          <w:sz w:val="18"/>
        </w:rPr>
        <w:t> </w:t>
      </w:r>
      <w:r>
        <w:rPr>
          <w:color w:val="231F20"/>
          <w:w w:val="110"/>
          <w:sz w:val="18"/>
        </w:rPr>
        <w:t>our</w:t>
      </w:r>
      <w:r>
        <w:rPr>
          <w:color w:val="231F20"/>
          <w:spacing w:val="11"/>
          <w:w w:val="110"/>
          <w:sz w:val="18"/>
        </w:rPr>
        <w:t> </w:t>
      </w:r>
      <w:r>
        <w:rPr>
          <w:color w:val="231F20"/>
          <w:spacing w:val="-3"/>
          <w:w w:val="110"/>
          <w:sz w:val="18"/>
        </w:rPr>
        <w:t>Y12</w:t>
      </w:r>
      <w:r>
        <w:rPr>
          <w:color w:val="231F20"/>
          <w:spacing w:val="10"/>
          <w:w w:val="110"/>
          <w:sz w:val="18"/>
        </w:rPr>
        <w:t> </w:t>
      </w:r>
      <w:r>
        <w:rPr>
          <w:color w:val="231F20"/>
          <w:w w:val="110"/>
          <w:sz w:val="18"/>
        </w:rPr>
        <w:t>trampolinists</w:t>
      </w:r>
      <w:r>
        <w:rPr>
          <w:color w:val="231F20"/>
          <w:spacing w:val="11"/>
          <w:w w:val="110"/>
          <w:sz w:val="18"/>
        </w:rPr>
        <w:t> </w:t>
      </w:r>
      <w:r>
        <w:rPr>
          <w:color w:val="231F20"/>
          <w:w w:val="110"/>
          <w:sz w:val="18"/>
        </w:rPr>
        <w:t>has</w:t>
      </w:r>
    </w:p>
    <w:p>
      <w:pPr>
        <w:pStyle w:val="BodyText"/>
        <w:spacing w:line="273" w:lineRule="auto" w:before="1"/>
        <w:ind w:left="1160" w:right="1555"/>
      </w:pPr>
      <w:r>
        <w:rPr>
          <w:color w:val="231F20"/>
          <w:w w:val="110"/>
        </w:rPr>
        <w:t>completed at National Grade 2 level and is also a coach and Dorset Representative on the South West Organising Committee.</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1" w:after="0"/>
        <w:ind w:left="1160" w:right="1384" w:firstLine="0"/>
        <w:jc w:val="left"/>
        <w:rPr>
          <w:sz w:val="18"/>
        </w:rPr>
      </w:pPr>
      <w:r>
        <w:rPr>
          <w:color w:val="231F20"/>
          <w:w w:val="110"/>
          <w:sz w:val="18"/>
        </w:rPr>
        <w:t>Drama has played a large </w:t>
      </w:r>
      <w:r>
        <w:rPr>
          <w:color w:val="231F20"/>
          <w:spacing w:val="2"/>
          <w:w w:val="110"/>
          <w:sz w:val="18"/>
        </w:rPr>
        <w:t>part </w:t>
      </w:r>
      <w:r>
        <w:rPr>
          <w:color w:val="231F20"/>
          <w:w w:val="110"/>
          <w:sz w:val="18"/>
        </w:rPr>
        <w:t>of school life with a </w:t>
      </w:r>
      <w:r>
        <w:rPr>
          <w:color w:val="231F20"/>
          <w:spacing w:val="2"/>
          <w:w w:val="110"/>
          <w:sz w:val="18"/>
        </w:rPr>
        <w:t>production </w:t>
      </w:r>
      <w:r>
        <w:rPr>
          <w:color w:val="231F20"/>
          <w:w w:val="110"/>
          <w:sz w:val="18"/>
        </w:rPr>
        <w:t>each term including</w:t>
      </w:r>
      <w:r>
        <w:rPr>
          <w:color w:val="231F20"/>
          <w:spacing w:val="9"/>
          <w:w w:val="110"/>
          <w:sz w:val="18"/>
        </w:rPr>
        <w:t> </w:t>
      </w:r>
      <w:r>
        <w:rPr>
          <w:i/>
          <w:color w:val="231F20"/>
          <w:w w:val="110"/>
          <w:sz w:val="18"/>
        </w:rPr>
        <w:t>A</w:t>
      </w:r>
      <w:r>
        <w:rPr>
          <w:i/>
          <w:color w:val="231F20"/>
          <w:spacing w:val="9"/>
          <w:w w:val="110"/>
          <w:sz w:val="18"/>
        </w:rPr>
        <w:t> </w:t>
      </w:r>
      <w:r>
        <w:rPr>
          <w:i/>
          <w:color w:val="231F20"/>
          <w:w w:val="110"/>
          <w:sz w:val="18"/>
        </w:rPr>
        <w:t>Midsummer</w:t>
      </w:r>
      <w:r>
        <w:rPr>
          <w:i/>
          <w:color w:val="231F20"/>
          <w:spacing w:val="10"/>
          <w:w w:val="110"/>
          <w:sz w:val="18"/>
        </w:rPr>
        <w:t> </w:t>
      </w:r>
      <w:r>
        <w:rPr>
          <w:i/>
          <w:color w:val="231F20"/>
          <w:w w:val="110"/>
          <w:sz w:val="18"/>
        </w:rPr>
        <w:t>Night’s</w:t>
      </w:r>
      <w:r>
        <w:rPr>
          <w:i/>
          <w:color w:val="231F20"/>
          <w:spacing w:val="9"/>
          <w:w w:val="110"/>
          <w:sz w:val="18"/>
        </w:rPr>
        <w:t> </w:t>
      </w:r>
      <w:r>
        <w:rPr>
          <w:i/>
          <w:color w:val="231F20"/>
          <w:w w:val="110"/>
          <w:sz w:val="18"/>
        </w:rPr>
        <w:t>Dream</w:t>
      </w:r>
      <w:r>
        <w:rPr>
          <w:color w:val="231F20"/>
          <w:w w:val="110"/>
          <w:sz w:val="18"/>
        </w:rPr>
        <w:t>,</w:t>
      </w:r>
      <w:r>
        <w:rPr>
          <w:color w:val="231F20"/>
          <w:spacing w:val="9"/>
          <w:w w:val="110"/>
          <w:sz w:val="18"/>
        </w:rPr>
        <w:t> </w:t>
      </w:r>
      <w:r>
        <w:rPr>
          <w:i/>
          <w:color w:val="231F20"/>
          <w:w w:val="110"/>
          <w:sz w:val="18"/>
        </w:rPr>
        <w:t>Grease</w:t>
      </w:r>
      <w:r>
        <w:rPr>
          <w:color w:val="231F20"/>
          <w:w w:val="110"/>
          <w:sz w:val="18"/>
        </w:rPr>
        <w:t>,</w:t>
      </w:r>
      <w:r>
        <w:rPr>
          <w:color w:val="231F20"/>
          <w:spacing w:val="9"/>
          <w:w w:val="110"/>
          <w:sz w:val="18"/>
        </w:rPr>
        <w:t> </w:t>
      </w:r>
      <w:r>
        <w:rPr>
          <w:color w:val="231F20"/>
          <w:w w:val="110"/>
          <w:sz w:val="18"/>
        </w:rPr>
        <w:t>and</w:t>
      </w:r>
      <w:r>
        <w:rPr>
          <w:color w:val="231F20"/>
          <w:spacing w:val="10"/>
          <w:w w:val="110"/>
          <w:sz w:val="18"/>
        </w:rPr>
        <w:t> </w:t>
      </w:r>
      <w:r>
        <w:rPr>
          <w:color w:val="231F20"/>
          <w:w w:val="110"/>
          <w:sz w:val="18"/>
        </w:rPr>
        <w:t>a</w:t>
      </w:r>
      <w:r>
        <w:rPr>
          <w:color w:val="231F20"/>
          <w:spacing w:val="9"/>
          <w:w w:val="110"/>
          <w:sz w:val="18"/>
        </w:rPr>
        <w:t> </w:t>
      </w:r>
      <w:r>
        <w:rPr>
          <w:i/>
          <w:color w:val="231F20"/>
          <w:w w:val="110"/>
          <w:sz w:val="18"/>
        </w:rPr>
        <w:t>Bad</w:t>
      </w:r>
      <w:r>
        <w:rPr>
          <w:i/>
          <w:color w:val="231F20"/>
          <w:spacing w:val="10"/>
          <w:w w:val="110"/>
          <w:sz w:val="18"/>
        </w:rPr>
        <w:t> </w:t>
      </w:r>
      <w:r>
        <w:rPr>
          <w:i/>
          <w:color w:val="231F20"/>
          <w:w w:val="110"/>
          <w:sz w:val="18"/>
        </w:rPr>
        <w:t>Dream</w:t>
      </w:r>
      <w:r>
        <w:rPr>
          <w:i/>
          <w:color w:val="231F20"/>
          <w:spacing w:val="9"/>
          <w:w w:val="110"/>
          <w:sz w:val="18"/>
        </w:rPr>
        <w:t> </w:t>
      </w:r>
      <w:r>
        <w:rPr>
          <w:color w:val="231F20"/>
          <w:w w:val="110"/>
          <w:sz w:val="18"/>
        </w:rPr>
        <w:t>–</w:t>
      </w:r>
      <w:r>
        <w:rPr>
          <w:color w:val="231F20"/>
          <w:spacing w:val="10"/>
          <w:w w:val="110"/>
          <w:sz w:val="18"/>
        </w:rPr>
        <w:t> </w:t>
      </w:r>
      <w:r>
        <w:rPr>
          <w:color w:val="231F20"/>
          <w:w w:val="110"/>
          <w:sz w:val="18"/>
        </w:rPr>
        <w:t>a</w:t>
      </w:r>
      <w:r>
        <w:rPr>
          <w:color w:val="231F20"/>
          <w:spacing w:val="9"/>
          <w:w w:val="110"/>
          <w:sz w:val="18"/>
        </w:rPr>
        <w:t> </w:t>
      </w:r>
      <w:r>
        <w:rPr>
          <w:color w:val="231F20"/>
          <w:w w:val="110"/>
          <w:sz w:val="18"/>
        </w:rPr>
        <w:t>murder</w:t>
      </w:r>
      <w:r>
        <w:rPr>
          <w:color w:val="231F20"/>
          <w:spacing w:val="10"/>
          <w:w w:val="110"/>
          <w:sz w:val="18"/>
        </w:rPr>
        <w:t> </w:t>
      </w:r>
      <w:r>
        <w:rPr>
          <w:color w:val="231F20"/>
          <w:w w:val="110"/>
          <w:sz w:val="18"/>
        </w:rPr>
        <w:t>mystery.</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0" w:after="0"/>
        <w:ind w:left="1160" w:right="1437" w:firstLine="0"/>
        <w:jc w:val="left"/>
        <w:rPr>
          <w:sz w:val="18"/>
        </w:rPr>
      </w:pPr>
      <w:r>
        <w:rPr>
          <w:color w:val="231F20"/>
          <w:spacing w:val="3"/>
          <w:w w:val="110"/>
          <w:sz w:val="18"/>
        </w:rPr>
        <w:t>As </w:t>
      </w:r>
      <w:r>
        <w:rPr>
          <w:color w:val="231F20"/>
          <w:w w:val="110"/>
          <w:sz w:val="18"/>
        </w:rPr>
        <w:t>always, the past year has been full of musical events, with Songs </w:t>
      </w:r>
      <w:r>
        <w:rPr>
          <w:color w:val="231F20"/>
          <w:spacing w:val="2"/>
          <w:w w:val="110"/>
          <w:sz w:val="18"/>
        </w:rPr>
        <w:t>from </w:t>
      </w:r>
      <w:r>
        <w:rPr>
          <w:color w:val="231F20"/>
          <w:w w:val="110"/>
          <w:sz w:val="18"/>
        </w:rPr>
        <w:t>the Shows,</w:t>
      </w:r>
      <w:r>
        <w:rPr>
          <w:color w:val="231F20"/>
          <w:spacing w:val="10"/>
          <w:w w:val="110"/>
          <w:sz w:val="18"/>
        </w:rPr>
        <w:t> </w:t>
      </w:r>
      <w:r>
        <w:rPr>
          <w:color w:val="231F20"/>
          <w:w w:val="110"/>
          <w:sz w:val="18"/>
        </w:rPr>
        <w:t>an</w:t>
      </w:r>
      <w:r>
        <w:rPr>
          <w:color w:val="231F20"/>
          <w:spacing w:val="11"/>
          <w:w w:val="110"/>
          <w:sz w:val="18"/>
        </w:rPr>
        <w:t> </w:t>
      </w:r>
      <w:r>
        <w:rPr>
          <w:color w:val="231F20"/>
          <w:w w:val="110"/>
          <w:sz w:val="18"/>
        </w:rPr>
        <w:t>informal</w:t>
      </w:r>
      <w:r>
        <w:rPr>
          <w:color w:val="231F20"/>
          <w:spacing w:val="10"/>
          <w:w w:val="110"/>
          <w:sz w:val="18"/>
        </w:rPr>
        <w:t> </w:t>
      </w:r>
      <w:r>
        <w:rPr>
          <w:color w:val="231F20"/>
          <w:w w:val="110"/>
          <w:sz w:val="18"/>
        </w:rPr>
        <w:t>junior</w:t>
      </w:r>
      <w:r>
        <w:rPr>
          <w:color w:val="231F20"/>
          <w:spacing w:val="11"/>
          <w:w w:val="110"/>
          <w:sz w:val="18"/>
        </w:rPr>
        <w:t> </w:t>
      </w:r>
      <w:r>
        <w:rPr>
          <w:color w:val="231F20"/>
          <w:spacing w:val="2"/>
          <w:w w:val="110"/>
          <w:sz w:val="18"/>
        </w:rPr>
        <w:t>concert,</w:t>
      </w:r>
      <w:r>
        <w:rPr>
          <w:color w:val="231F20"/>
          <w:spacing w:val="11"/>
          <w:w w:val="110"/>
          <w:sz w:val="18"/>
        </w:rPr>
        <w:t> </w:t>
      </w:r>
      <w:r>
        <w:rPr>
          <w:color w:val="231F20"/>
          <w:w w:val="110"/>
          <w:sz w:val="18"/>
        </w:rPr>
        <w:t>the</w:t>
      </w:r>
      <w:r>
        <w:rPr>
          <w:color w:val="231F20"/>
          <w:spacing w:val="10"/>
          <w:w w:val="110"/>
          <w:sz w:val="18"/>
        </w:rPr>
        <w:t> </w:t>
      </w:r>
      <w:r>
        <w:rPr>
          <w:color w:val="231F20"/>
          <w:w w:val="110"/>
          <w:sz w:val="18"/>
        </w:rPr>
        <w:t>Spring</w:t>
      </w:r>
      <w:r>
        <w:rPr>
          <w:color w:val="231F20"/>
          <w:spacing w:val="11"/>
          <w:w w:val="110"/>
          <w:sz w:val="18"/>
        </w:rPr>
        <w:t> </w:t>
      </w:r>
      <w:r>
        <w:rPr>
          <w:color w:val="231F20"/>
          <w:spacing w:val="2"/>
          <w:w w:val="110"/>
          <w:sz w:val="18"/>
        </w:rPr>
        <w:t>Concert,</w:t>
      </w:r>
      <w:r>
        <w:rPr>
          <w:color w:val="231F20"/>
          <w:spacing w:val="11"/>
          <w:w w:val="110"/>
          <w:sz w:val="18"/>
        </w:rPr>
        <w:t> </w:t>
      </w:r>
      <w:r>
        <w:rPr>
          <w:color w:val="231F20"/>
          <w:spacing w:val="2"/>
          <w:w w:val="110"/>
          <w:sz w:val="18"/>
        </w:rPr>
        <w:t>performance</w:t>
      </w:r>
      <w:r>
        <w:rPr>
          <w:color w:val="231F20"/>
          <w:spacing w:val="10"/>
          <w:w w:val="110"/>
          <w:sz w:val="18"/>
        </w:rPr>
        <w:t> </w:t>
      </w:r>
      <w:r>
        <w:rPr>
          <w:color w:val="231F20"/>
          <w:w w:val="110"/>
          <w:sz w:val="18"/>
        </w:rPr>
        <w:t>for</w:t>
      </w:r>
      <w:r>
        <w:rPr>
          <w:color w:val="231F20"/>
          <w:spacing w:val="11"/>
          <w:w w:val="110"/>
          <w:sz w:val="18"/>
        </w:rPr>
        <w:t> </w:t>
      </w:r>
      <w:r>
        <w:rPr>
          <w:color w:val="231F20"/>
          <w:w w:val="110"/>
          <w:sz w:val="18"/>
        </w:rPr>
        <w:t>Richmond</w:t>
      </w:r>
      <w:r>
        <w:rPr>
          <w:color w:val="231F20"/>
          <w:spacing w:val="11"/>
          <w:w w:val="110"/>
          <w:sz w:val="18"/>
        </w:rPr>
        <w:t> </w:t>
      </w:r>
      <w:r>
        <w:rPr>
          <w:color w:val="231F20"/>
          <w:w w:val="110"/>
          <w:sz w:val="18"/>
        </w:rPr>
        <w:t>Hill</w:t>
      </w:r>
    </w:p>
    <w:p>
      <w:pPr>
        <w:pStyle w:val="BodyText"/>
        <w:spacing w:line="273" w:lineRule="auto" w:before="1"/>
        <w:ind w:left="1160" w:right="1132"/>
      </w:pPr>
      <w:r>
        <w:rPr>
          <w:color w:val="231F20"/>
          <w:w w:val="110"/>
        </w:rPr>
        <w:t>St Andrew’s United Reformed Church Literary and Musical Society, creative arts evening, carols and mulled wine, and the annual Advent service.</w:t>
      </w:r>
    </w:p>
    <w:p>
      <w:pPr>
        <w:pStyle w:val="BodyText"/>
        <w:spacing w:before="8"/>
        <w:rPr>
          <w:sz w:val="20"/>
        </w:rPr>
      </w:pPr>
    </w:p>
    <w:p>
      <w:pPr>
        <w:pStyle w:val="ListParagraph"/>
        <w:numPr>
          <w:ilvl w:val="1"/>
          <w:numId w:val="241"/>
        </w:numPr>
        <w:tabs>
          <w:tab w:pos="1880" w:val="left" w:leader="none"/>
          <w:tab w:pos="1881" w:val="left" w:leader="none"/>
        </w:tabs>
        <w:spacing w:line="273" w:lineRule="auto" w:before="0" w:after="0"/>
        <w:ind w:left="1160" w:right="1401" w:hanging="1"/>
        <w:jc w:val="left"/>
        <w:rPr>
          <w:sz w:val="18"/>
        </w:rPr>
      </w:pPr>
      <w:r>
        <w:rPr>
          <w:color w:val="231F20"/>
          <w:w w:val="110"/>
          <w:sz w:val="18"/>
        </w:rPr>
        <w:t>The year ended with a team of ‘cablers’ installing our new infrastructure, as    we are currently upgrading the ICT provision in the school. The complete refit of ICT equipment</w:t>
      </w:r>
      <w:r>
        <w:rPr>
          <w:color w:val="231F20"/>
          <w:spacing w:val="13"/>
          <w:w w:val="110"/>
          <w:sz w:val="18"/>
        </w:rPr>
        <w:t> </w:t>
      </w:r>
      <w:r>
        <w:rPr>
          <w:color w:val="231F20"/>
          <w:w w:val="110"/>
          <w:sz w:val="18"/>
        </w:rPr>
        <w:t>included</w:t>
      </w:r>
      <w:r>
        <w:rPr>
          <w:color w:val="231F20"/>
          <w:spacing w:val="13"/>
          <w:w w:val="110"/>
          <w:sz w:val="18"/>
        </w:rPr>
        <w:t> </w:t>
      </w:r>
      <w:r>
        <w:rPr>
          <w:color w:val="231F20"/>
          <w:w w:val="110"/>
          <w:sz w:val="18"/>
        </w:rPr>
        <w:t>ninety-five</w:t>
      </w:r>
      <w:r>
        <w:rPr>
          <w:color w:val="231F20"/>
          <w:spacing w:val="13"/>
          <w:w w:val="110"/>
          <w:sz w:val="18"/>
        </w:rPr>
        <w:t> </w:t>
      </w:r>
      <w:r>
        <w:rPr>
          <w:color w:val="231F20"/>
          <w:w w:val="110"/>
          <w:sz w:val="18"/>
        </w:rPr>
        <w:t>new</w:t>
      </w:r>
      <w:r>
        <w:rPr>
          <w:color w:val="231F20"/>
          <w:spacing w:val="13"/>
          <w:w w:val="110"/>
          <w:sz w:val="18"/>
        </w:rPr>
        <w:t> </w:t>
      </w:r>
      <w:r>
        <w:rPr>
          <w:color w:val="231F20"/>
          <w:spacing w:val="2"/>
          <w:w w:val="110"/>
          <w:sz w:val="18"/>
        </w:rPr>
        <w:t>desktop</w:t>
      </w:r>
      <w:r>
        <w:rPr>
          <w:color w:val="231F20"/>
          <w:spacing w:val="13"/>
          <w:w w:val="110"/>
          <w:sz w:val="18"/>
        </w:rPr>
        <w:t> </w:t>
      </w:r>
      <w:r>
        <w:rPr>
          <w:color w:val="231F20"/>
          <w:w w:val="110"/>
          <w:sz w:val="18"/>
        </w:rPr>
        <w:t>computers,</w:t>
      </w:r>
      <w:r>
        <w:rPr>
          <w:color w:val="231F20"/>
          <w:spacing w:val="13"/>
          <w:w w:val="110"/>
          <w:sz w:val="18"/>
        </w:rPr>
        <w:t> </w:t>
      </w:r>
      <w:r>
        <w:rPr>
          <w:color w:val="231F20"/>
          <w:w w:val="110"/>
          <w:sz w:val="18"/>
        </w:rPr>
        <w:t>two</w:t>
      </w:r>
      <w:r>
        <w:rPr>
          <w:color w:val="231F20"/>
          <w:spacing w:val="13"/>
          <w:w w:val="110"/>
          <w:sz w:val="18"/>
        </w:rPr>
        <w:t> </w:t>
      </w:r>
      <w:r>
        <w:rPr>
          <w:color w:val="231F20"/>
          <w:w w:val="110"/>
          <w:sz w:val="18"/>
        </w:rPr>
        <w:t>laptop</w:t>
      </w:r>
      <w:r>
        <w:rPr>
          <w:color w:val="231F20"/>
          <w:spacing w:val="13"/>
          <w:w w:val="110"/>
          <w:sz w:val="18"/>
        </w:rPr>
        <w:t> </w:t>
      </w:r>
      <w:r>
        <w:rPr>
          <w:color w:val="231F20"/>
          <w:w w:val="110"/>
          <w:sz w:val="18"/>
        </w:rPr>
        <w:t>trolleys,</w:t>
      </w:r>
      <w:r>
        <w:rPr>
          <w:color w:val="231F20"/>
          <w:spacing w:val="13"/>
          <w:w w:val="110"/>
          <w:sz w:val="18"/>
        </w:rPr>
        <w:t> </w:t>
      </w:r>
      <w:r>
        <w:rPr>
          <w:color w:val="231F20"/>
          <w:w w:val="110"/>
          <w:sz w:val="18"/>
        </w:rPr>
        <w:t>each</w:t>
      </w:r>
      <w:r>
        <w:rPr>
          <w:color w:val="231F20"/>
          <w:spacing w:val="13"/>
          <w:w w:val="110"/>
          <w:sz w:val="18"/>
        </w:rPr>
        <w:t> </w:t>
      </w:r>
      <w:r>
        <w:rPr>
          <w:color w:val="231F20"/>
          <w:w w:val="110"/>
          <w:sz w:val="18"/>
        </w:rPr>
        <w:t>with</w:t>
      </w:r>
    </w:p>
    <w:p>
      <w:pPr>
        <w:pStyle w:val="BodyText"/>
        <w:spacing w:line="273" w:lineRule="auto" w:before="2"/>
        <w:ind w:left="1160" w:right="1132" w:hanging="1"/>
      </w:pPr>
      <w:r>
        <w:rPr>
          <w:color w:val="231F20"/>
          <w:w w:val="110"/>
        </w:rPr>
        <w:t>twelve laptops, and three interactive whiteboards placed strategically around the school. This refit should provide us with the latest information technology equipment currently available on the market.</w:t>
      </w:r>
    </w:p>
    <w:p>
      <w:pPr>
        <w:pStyle w:val="BodyText"/>
        <w:rPr>
          <w:sz w:val="22"/>
        </w:rPr>
      </w:pPr>
    </w:p>
    <w:p>
      <w:pPr>
        <w:pStyle w:val="BodyText"/>
        <w:rPr>
          <w:sz w:val="22"/>
        </w:rPr>
      </w:pPr>
    </w:p>
    <w:p>
      <w:pPr>
        <w:pStyle w:val="BodyText"/>
        <w:rPr>
          <w:sz w:val="22"/>
        </w:rPr>
      </w:pPr>
    </w:p>
    <w:p>
      <w:pPr>
        <w:pStyle w:val="BodyText"/>
        <w:spacing w:before="5"/>
        <w:rPr>
          <w:sz w:val="28"/>
        </w:rPr>
      </w:pPr>
    </w:p>
    <w:p>
      <w:pPr>
        <w:spacing w:before="0"/>
        <w:ind w:left="4010" w:right="4472" w:firstLine="0"/>
        <w:jc w:val="center"/>
        <w:rPr>
          <w:i/>
          <w:sz w:val="24"/>
          <w:szCs w:val="24"/>
        </w:rPr>
      </w:pPr>
      <w:r>
        <w:rPr>
          <w:i/>
          <w:color w:val="231F20"/>
          <w:w w:val="330"/>
          <w:sz w:val="24"/>
          <w:szCs w:val="24"/>
        </w:rPr>
        <w:t>���</w:t>
      </w:r>
    </w:p>
    <w:p>
      <w:pPr>
        <w:spacing w:after="0"/>
        <w:jc w:val="center"/>
        <w:rPr>
          <w:sz w:val="24"/>
          <w:szCs w:val="24"/>
        </w:rPr>
        <w:sectPr>
          <w:pgSz w:w="11910" w:h="16840"/>
          <w:pgMar w:header="581" w:footer="544" w:top="860" w:bottom="740" w:left="540" w:right="0"/>
        </w:sectPr>
      </w:pPr>
    </w:p>
    <w:p>
      <w:pPr>
        <w:pStyle w:val="BodyText"/>
        <w:spacing w:before="5"/>
        <w:rPr>
          <w:i/>
          <w:sz w:val="16"/>
        </w:rPr>
      </w:pPr>
      <w:r>
        <w:rPr/>
        <w:drawing>
          <wp:anchor distT="0" distB="0" distL="0" distR="0" allowOverlap="1" layoutInCell="1" locked="0" behindDoc="1" simplePos="0" relativeHeight="228237312">
            <wp:simplePos x="0" y="0"/>
            <wp:positionH relativeFrom="page">
              <wp:posOffset>0</wp:posOffset>
            </wp:positionH>
            <wp:positionV relativeFrom="page">
              <wp:posOffset>0</wp:posOffset>
            </wp:positionV>
            <wp:extent cx="7560005" cy="10692003"/>
            <wp:effectExtent l="0" t="0" r="0" b="0"/>
            <wp:wrapNone/>
            <wp:docPr id="3" name="image183.jpeg"/>
            <wp:cNvGraphicFramePr>
              <a:graphicFrameLocks noChangeAspect="1"/>
            </wp:cNvGraphicFramePr>
            <a:graphic>
              <a:graphicData uri="http://schemas.openxmlformats.org/drawingml/2006/picture">
                <pic:pic>
                  <pic:nvPicPr>
                    <pic:cNvPr id="4" name="image183.jpeg"/>
                    <pic:cNvPicPr/>
                  </pic:nvPicPr>
                  <pic:blipFill>
                    <a:blip r:embed="rId612" cstate="print"/>
                    <a:stretch>
                      <a:fillRect/>
                    </a:stretch>
                  </pic:blipFill>
                  <pic:spPr>
                    <a:xfrm>
                      <a:off x="0" y="0"/>
                      <a:ext cx="7560005" cy="10692003"/>
                    </a:xfrm>
                    <a:prstGeom prst="rect">
                      <a:avLst/>
                    </a:prstGeom>
                  </pic:spPr>
                </pic:pic>
              </a:graphicData>
            </a:graphic>
          </wp:anchor>
        </w:drawing>
      </w:r>
    </w:p>
    <w:sectPr>
      <w:headerReference w:type="even" r:id="rId610"/>
      <w:footerReference w:type="even" r:id="rId611"/>
      <w:pgSz w:w="11910" w:h="16840"/>
      <w:pgMar w:header="0" w:footer="0" w:top="1580" w:bottom="280" w:left="5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Helvetica">
    <w:altName w:val="Helvetica"/>
    <w:charset w:val="0"/>
    <w:family w:val="swiss"/>
    <w:pitch w:val="variable"/>
  </w:font>
  <w:font w:name="Eurostile Bold">
    <w:altName w:val="Eurostile Bold"/>
    <w:charset w:val="0"/>
    <w:family w:val="swiss"/>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53284pt;margin-top:802.676086pt;width:13.55pt;height:14pt;mso-position-horizontal-relative:page;mso-position-vertical-relative:page;z-index:-27560652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758pt;width:21.05pt;height:14pt;mso-position-horizontal-relative:page;mso-position-vertical-relative:page;z-index:-27558809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24</w:t>
                </w:r>
                <w:r>
                  <w:rPr/>
                  <w:fldChar w:fldCharType="end"/>
                </w:r>
              </w:p>
            </w:txbxContent>
          </v:textbox>
          <w10:wrap type="none"/>
        </v:shape>
      </w:pict>
    </w:r>
    <w:r>
      <w:rPr/>
      <w:pict>
        <v:shape style="position:absolute;margin-left:98.2089pt;margin-top:802.676758pt;width:127.95pt;height:14pt;mso-position-horizontal-relative:page;mso-position-vertical-relative:page;z-index:-27558707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41504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28</w:t>
                </w:r>
                <w:r>
                  <w:rPr/>
                  <w:fldChar w:fldCharType="end"/>
                </w:r>
              </w:p>
            </w:txbxContent>
          </v:textbox>
          <w10:wrap type="none"/>
        </v:shape>
      </w:pict>
    </w:r>
    <w:r>
      <w:rPr/>
      <w:pict>
        <v:shape style="position:absolute;margin-left:98.212601pt;margin-top:802.675781pt;width:127.95pt;height:14pt;mso-position-horizontal-relative:page;mso-position-vertical-relative:page;z-index:-2754140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758pt;width:21.1pt;height:14pt;mso-position-horizontal-relative:page;mso-position-vertical-relative:page;z-index:-2754099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30</w:t>
                </w:r>
                <w:r>
                  <w:rPr/>
                  <w:fldChar w:fldCharType="end"/>
                </w:r>
              </w:p>
            </w:txbxContent>
          </v:textbox>
          <w10:wrap type="none"/>
        </v:shape>
      </w:pict>
    </w:r>
    <w:r>
      <w:rPr/>
      <w:pict>
        <v:shape style="position:absolute;margin-left:98.212601pt;margin-top:802.676758pt;width:127.95pt;height:14pt;mso-position-horizontal-relative:page;mso-position-vertical-relative:page;z-index:-27540889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758pt;width:127.95pt;height:14pt;mso-position-horizontal-relative:page;mso-position-vertical-relative:page;z-index:-27540787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18188pt;margin-top:802.673828pt;width:21.1pt;height:14.05pt;mso-position-horizontal-relative:page;mso-position-vertical-relative:page;z-index:-2754068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31</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3828pt;width:21.1pt;height:14.05pt;mso-position-horizontal-relative:page;mso-position-vertical-relative:page;z-index:-27540377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36</w:t>
                </w:r>
                <w:r>
                  <w:rPr/>
                  <w:fldChar w:fldCharType="end"/>
                </w:r>
              </w:p>
            </w:txbxContent>
          </v:textbox>
          <w10:wrap type="none"/>
        </v:shape>
      </w:pict>
    </w:r>
    <w:r>
      <w:rPr/>
      <w:pict>
        <v:shape style="position:absolute;margin-left:98.212601pt;margin-top:802.675781pt;width:127.95pt;height:14pt;mso-position-horizontal-relative:page;mso-position-vertical-relative:page;z-index:-27540275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017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23987pt;margin-top:802.675781pt;width:21.05pt;height:14pt;mso-position-horizontal-relative:page;mso-position-vertical-relative:page;z-index:-2754007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33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5pt;height:14pt;mso-position-horizontal-relative:page;mso-position-vertical-relative:page;z-index:-27539968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168</w:t>
                </w:r>
              </w:p>
            </w:txbxContent>
          </v:textbox>
          <w10:wrap type="none"/>
        </v:shape>
      </w:pict>
    </w:r>
    <w:r>
      <w:rPr/>
      <w:pict>
        <v:shape style="position:absolute;margin-left:98.2089pt;margin-top:802.675781pt;width:127.95pt;height:14pt;mso-position-horizontal-relative:page;mso-position-vertical-relative:page;z-index:-2753986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7197pt;margin-top:802.675781pt;width:127.95pt;height:14pt;mso-position-horizontal-relative:page;mso-position-vertical-relative:page;z-index:-27539763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77173pt;margin-top:802.675781pt;width:28.65pt;height:14pt;mso-position-horizontal-relative:page;mso-position-vertical-relative:page;z-index:-275396608" type="#_x0000_t202" filled="false" stroked="false">
          <v:textbox inset="0,0,0,0">
            <w:txbxContent>
              <w:p>
                <w:pPr>
                  <w:spacing w:line="272" w:lineRule="exact" w:before="0"/>
                  <w:ind w:left="60" w:right="0" w:firstLine="0"/>
                  <w:jc w:val="left"/>
                  <w:rPr>
                    <w:rFonts w:ascii="Eurostile Bold"/>
                    <w:b/>
                    <w:sz w:val="24"/>
                  </w:rPr>
                </w:pPr>
                <w:r>
                  <w:rPr>
                    <w:rFonts w:ascii="Eurostile Bold"/>
                    <w:b/>
                    <w:color w:val="231F20"/>
                    <w:w w:val="95"/>
                    <w:sz w:val="24"/>
                  </w:rPr>
                  <w:t>169</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pt;height:14pt;mso-position-horizontal-relative:page;mso-position-vertical-relative:page;z-index:-2753955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170</w:t>
                </w:r>
              </w:p>
            </w:txbxContent>
          </v:textbox>
          <w10:wrap type="none"/>
        </v:shape>
      </w:pict>
    </w:r>
    <w:r>
      <w:rPr/>
      <w:pict>
        <v:shape style="position:absolute;margin-left:98.212601pt;margin-top:802.675781pt;width:127.95pt;height:14pt;mso-position-horizontal-relative:page;mso-position-vertical-relative:page;z-index:-27539456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2996pt;margin-top:802.675781pt;width:127.95pt;height:14pt;mso-position-horizontal-relative:page;mso-position-vertical-relative:page;z-index:-27539353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2971pt;margin-top:802.675781pt;width:28.65pt;height:14pt;mso-position-horizontal-relative:page;mso-position-vertical-relative:page;z-index:-275392512" type="#_x0000_t202" filled="false" stroked="false">
          <v:textbox inset="0,0,0,0">
            <w:txbxContent>
              <w:p>
                <w:pPr>
                  <w:spacing w:line="272" w:lineRule="exact" w:before="0"/>
                  <w:ind w:left="60" w:right="0" w:firstLine="0"/>
                  <w:jc w:val="left"/>
                  <w:rPr>
                    <w:rFonts w:ascii="Eurostile Bold"/>
                    <w:b/>
                    <w:sz w:val="24"/>
                  </w:rPr>
                </w:pPr>
                <w:r>
                  <w:rPr>
                    <w:rFonts w:ascii="Eurostile Bold"/>
                    <w:b/>
                    <w:color w:val="231F20"/>
                    <w:w w:val="95"/>
                    <w:sz w:val="24"/>
                  </w:rPr>
                  <w:t>171</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pt;height:14pt;mso-position-horizontal-relative:page;mso-position-vertical-relative:page;z-index:-27539148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172</w:t>
                </w:r>
              </w:p>
            </w:txbxContent>
          </v:textbox>
          <w10:wrap type="none"/>
        </v:shape>
      </w:pict>
    </w:r>
    <w:r>
      <w:rPr/>
      <w:pict>
        <v:shape style="position:absolute;margin-left:98.212601pt;margin-top:802.675781pt;width:127.95pt;height:14pt;mso-position-horizontal-relative:page;mso-position-vertical-relative:page;z-index:-27539046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106812pt;margin-top:802.676758pt;width:21.05pt;height:14pt;mso-position-horizontal-relative:page;mso-position-vertical-relative:page;z-index:-2755860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25</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086pt;width:13.55pt;height:14pt;mso-position-horizontal-relative:page;mso-position-vertical-relative:page;z-index:-2753873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6</w:t>
                </w:r>
                <w:r>
                  <w:rPr/>
                  <w:fldChar w:fldCharType="end"/>
                </w:r>
              </w:p>
            </w:txbxContent>
          </v:textbox>
          <w10:wrap type="none"/>
        </v:shape>
      </w:pict>
    </w:r>
    <w:r>
      <w:rPr/>
      <w:pict>
        <v:shape style="position:absolute;margin-left:98.212601pt;margin-top:802.676086pt;width:205.2pt;height:14pt;mso-position-horizontal-relative:page;mso-position-vertical-relative:page;z-index:-275386368"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1</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0065pt;margin-top:802.67627pt;width:205.2pt;height:14pt;mso-position-horizontal-relative:page;mso-position-vertical-relative:page;z-index:-275385344"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1</w:t>
                </w:r>
              </w:p>
            </w:txbxContent>
          </v:textbox>
          <w10:wrap type="none"/>
        </v:shape>
      </w:pict>
    </w:r>
    <w:r>
      <w:rPr/>
      <w:pict>
        <v:shape style="position:absolute;margin-left:528.053284pt;margin-top:802.676086pt;width:13.55pt;height:14pt;mso-position-horizontal-relative:page;mso-position-vertical-relative:page;z-index:-2753843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5</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086pt;width:21.1pt;height:14pt;mso-position-horizontal-relative:page;mso-position-vertical-relative:page;z-index:-2753812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10</w:t>
                </w:r>
                <w:r>
                  <w:rPr/>
                  <w:fldChar w:fldCharType="end"/>
                </w:r>
              </w:p>
            </w:txbxContent>
          </v:textbox>
          <w10:wrap type="none"/>
        </v:shape>
      </w:pict>
    </w:r>
    <w:r>
      <w:rPr/>
      <w:pict>
        <v:shape style="position:absolute;margin-left:98.212601pt;margin-top:802.67627pt;width:205.2pt;height:14pt;mso-position-horizontal-relative:page;mso-position-vertical-relative:page;z-index:-275380224"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2</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01239pt;margin-top:802.67627pt;width:205.2pt;height:14pt;mso-position-horizontal-relative:page;mso-position-vertical-relative:page;z-index:-275379200"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2</w:t>
                </w:r>
              </w:p>
            </w:txbxContent>
          </v:textbox>
          <w10:wrap type="none"/>
        </v:shape>
      </w:pict>
    </w:r>
    <w:r>
      <w:rPr/>
      <w:pict>
        <v:shape style="position:absolute;margin-left:520.512329pt;margin-top:802.676086pt;width:21.1pt;height:14pt;mso-position-horizontal-relative:page;mso-position-vertical-relative:page;z-index:-27537817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8502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26</w:t>
                </w:r>
                <w:r>
                  <w:rPr/>
                  <w:fldChar w:fldCharType="end"/>
                </w:r>
              </w:p>
            </w:txbxContent>
          </v:textbox>
          <w10:wrap type="none"/>
        </v:shape>
      </w:pict>
    </w:r>
    <w:r>
      <w:rPr/>
      <w:pict>
        <v:shape style="position:absolute;margin-left:98.212601pt;margin-top:802.675781pt;width:127.95pt;height:14pt;mso-position-horizontal-relative:page;mso-position-vertical-relative:page;z-index:-27558400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27pt;width:13.55pt;height:14pt;mso-position-horizontal-relative:page;mso-position-vertical-relative:page;z-index:-2753771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2</w:t>
                </w:r>
                <w:r>
                  <w:rPr/>
                  <w:fldChar w:fldCharType="end"/>
                </w:r>
              </w:p>
            </w:txbxContent>
          </v:textbox>
          <w10:wrap type="none"/>
        </v:shape>
      </w:pict>
    </w:r>
    <w:r>
      <w:rPr/>
      <w:pict>
        <v:shape style="position:absolute;margin-left:98.212601pt;margin-top:802.67627pt;width:205.2pt;height:14pt;mso-position-horizontal-relative:page;mso-position-vertical-relative:page;z-index:-275376128"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3</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05pt;mso-position-horizontal-relative:page;mso-position-vertical-relative:page;z-index:-27537305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w:t>
                </w:r>
                <w:r>
                  <w:rPr/>
                  <w:fldChar w:fldCharType="end"/>
                </w:r>
              </w:p>
            </w:txbxContent>
          </v:textbox>
          <w10:wrap type="none"/>
        </v:shape>
      </w:pict>
    </w:r>
    <w:r>
      <w:rPr/>
      <w:pict>
        <v:shape style="position:absolute;margin-left:98.212601pt;margin-top:802.675781pt;width:205.2pt;height:14pt;mso-position-horizontal-relative:page;mso-position-vertical-relative:page;z-index:-275372032"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4</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01239pt;margin-top:802.67627pt;width:205.2pt;height:14pt;mso-position-horizontal-relative:page;mso-position-vertical-relative:page;z-index:-275371008"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4</w:t>
                </w:r>
              </w:p>
            </w:txbxContent>
          </v:textbox>
          <w10:wrap type="none"/>
        </v:shape>
      </w:pict>
    </w:r>
    <w:r>
      <w:rPr/>
      <w:pict>
        <v:shape style="position:absolute;margin-left:520.512329pt;margin-top:802.675781pt;width:21.1pt;height:14.05pt;mso-position-horizontal-relative:page;mso-position-vertical-relative:page;z-index:-27536998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01239pt;margin-top:802.676758pt;width:205.2pt;height:14pt;mso-position-horizontal-relative:page;mso-position-vertical-relative:page;z-index:-275366912"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5</w:t>
                </w:r>
              </w:p>
            </w:txbxContent>
          </v:textbox>
          <w10:wrap type="none"/>
        </v:shape>
      </w:pict>
    </w:r>
    <w:r>
      <w:rPr/>
      <w:pict>
        <v:shape style="position:absolute;margin-left:520.518188pt;margin-top:802.673828pt;width:21.1pt;height:14.05pt;mso-position-horizontal-relative:page;mso-position-vertical-relative:page;z-index:-27536588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31</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3828pt;width:21.1pt;height:14.05pt;mso-position-horizontal-relative:page;mso-position-vertical-relative:page;z-index:-2753648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36</w:t>
                </w:r>
                <w:r>
                  <w:rPr/>
                  <w:fldChar w:fldCharType="end"/>
                </w:r>
              </w:p>
            </w:txbxContent>
          </v:textbox>
          <w10:wrap type="none"/>
        </v:shape>
      </w:pict>
    </w:r>
    <w:r>
      <w:rPr/>
      <w:pict>
        <v:shape style="position:absolute;margin-left:98.212601pt;margin-top:802.675781pt;width:205.2pt;height:14pt;mso-position-horizontal-relative:page;mso-position-vertical-relative:page;z-index:-275363840" type="#_x0000_t202" filled="false" stroked="false">
          <v:textbox inset="0,0,0,0">
            <w:txbxContent>
              <w:p>
                <w:pPr>
                  <w:spacing w:line="272" w:lineRule="exact" w:before="0"/>
                  <w:ind w:left="20" w:right="0" w:firstLine="0"/>
                  <w:jc w:val="left"/>
                  <w:rPr>
                    <w:rFonts w:ascii="Eurostile Bold" w:hAnsi="Eurostile Bold"/>
                    <w:b/>
                    <w:sz w:val="24"/>
                  </w:rPr>
                </w:pPr>
                <w:r>
                  <w:rPr>
                    <w:rFonts w:ascii="Eurostile Bold" w:hAnsi="Eurostile Bold"/>
                    <w:b/>
                    <w:color w:val="A7A9AC"/>
                    <w:w w:val="90"/>
                    <w:sz w:val="24"/>
                  </w:rPr>
                  <w:t>General</w:t>
                </w:r>
                <w:r>
                  <w:rPr>
                    <w:rFonts w:ascii="Eurostile Bold" w:hAnsi="Eurostile Bold"/>
                    <w:b/>
                    <w:color w:val="A7A9AC"/>
                    <w:spacing w:val="-43"/>
                    <w:w w:val="90"/>
                    <w:sz w:val="24"/>
                  </w:rPr>
                  <w:t> </w:t>
                </w:r>
                <w:r>
                  <w:rPr>
                    <w:rFonts w:ascii="Eurostile Bold" w:hAnsi="Eurostile Bold"/>
                    <w:b/>
                    <w:color w:val="A7A9AC"/>
                    <w:w w:val="90"/>
                    <w:sz w:val="24"/>
                  </w:rPr>
                  <w:t>Assembly</w:t>
                </w:r>
                <w:r>
                  <w:rPr>
                    <w:rFonts w:ascii="Eurostile Bold" w:hAnsi="Eurostile Bold"/>
                    <w:b/>
                    <w:color w:val="A7A9AC"/>
                    <w:spacing w:val="-43"/>
                    <w:w w:val="90"/>
                    <w:sz w:val="24"/>
                  </w:rPr>
                  <w:t> </w:t>
                </w:r>
                <w:r>
                  <w:rPr>
                    <w:rFonts w:ascii="Eurostile Bold" w:hAnsi="Eurostile Bold"/>
                    <w:b/>
                    <w:color w:val="A7A9AC"/>
                    <w:w w:val="90"/>
                    <w:sz w:val="24"/>
                  </w:rPr>
                  <w:t>2007</w:t>
                </w:r>
                <w:r>
                  <w:rPr>
                    <w:rFonts w:ascii="Eurostile Bold" w:hAnsi="Eurostile Bold"/>
                    <w:b/>
                    <w:color w:val="A7A9AC"/>
                    <w:spacing w:val="-43"/>
                    <w:w w:val="90"/>
                    <w:sz w:val="24"/>
                  </w:rPr>
                  <w:t> </w:t>
                </w:r>
                <w:r>
                  <w:rPr>
                    <w:rFonts w:ascii="Eurostile Bold" w:hAnsi="Eurostile Bold"/>
                    <w:b/>
                    <w:color w:val="A7A9AC"/>
                    <w:w w:val="90"/>
                    <w:sz w:val="24"/>
                  </w:rPr>
                  <w:t>–</w:t>
                </w:r>
                <w:r>
                  <w:rPr>
                    <w:rFonts w:ascii="Eurostile Bold" w:hAnsi="Eurostile Bold"/>
                    <w:b/>
                    <w:color w:val="A7A9AC"/>
                    <w:spacing w:val="-43"/>
                    <w:w w:val="90"/>
                    <w:sz w:val="24"/>
                  </w:rPr>
                  <w:t> </w:t>
                </w:r>
                <w:r>
                  <w:rPr>
                    <w:rFonts w:ascii="Eurostile Bold" w:hAnsi="Eurostile Bold"/>
                    <w:b/>
                    <w:color w:val="A7A9AC"/>
                    <w:w w:val="90"/>
                    <w:sz w:val="24"/>
                  </w:rPr>
                  <w:t>Document</w:t>
                </w:r>
                <w:r>
                  <w:rPr>
                    <w:rFonts w:ascii="Eurostile Bold" w:hAnsi="Eurostile Bold"/>
                    <w:b/>
                    <w:color w:val="A7A9AC"/>
                    <w:spacing w:val="-43"/>
                    <w:w w:val="90"/>
                    <w:sz w:val="24"/>
                  </w:rPr>
                  <w:t> </w:t>
                </w:r>
                <w:r>
                  <w:rPr>
                    <w:rFonts w:ascii="Eurostile Bold" w:hAnsi="Eurostile Bold"/>
                    <w:b/>
                    <w:color w:val="A7A9AC"/>
                    <w:w w:val="90"/>
                    <w:sz w:val="24"/>
                  </w:rPr>
                  <w:t>5</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58297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2.675781pt;width:21.05pt;height:14pt;mso-position-horizontal-relative:page;mso-position-vertical-relative:page;z-index:-2755819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27</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35872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8.053284pt;margin-top:802.676086pt;width:13.55pt;height:14pt;mso-position-horizontal-relative:page;mso-position-vertical-relative:page;z-index:-27535769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3</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3546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8.053284pt;margin-top:802.67627pt;width:13.55pt;height:14pt;mso-position-horizontal-relative:page;mso-position-vertical-relative:page;z-index:-2753536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5</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086pt;width:13.55pt;height:14pt;mso-position-horizontal-relative:page;mso-position-vertical-relative:page;z-index:-27535257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6</w:t>
                </w:r>
                <w:r>
                  <w:rPr/>
                  <w:fldChar w:fldCharType="end"/>
                </w:r>
              </w:p>
            </w:txbxContent>
          </v:textbox>
          <w10:wrap type="none"/>
        </v:shape>
      </w:pict>
    </w:r>
    <w:r>
      <w:rPr/>
      <w:pict>
        <v:shape style="position:absolute;margin-left:98.212601pt;margin-top:802.676086pt;width:127.95pt;height:14pt;mso-position-horizontal-relative:page;mso-position-vertical-relative:page;z-index:-27535155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8092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28</w:t>
                </w:r>
                <w:r>
                  <w:rPr/>
                  <w:fldChar w:fldCharType="end"/>
                </w:r>
              </w:p>
            </w:txbxContent>
          </v:textbox>
          <w10:wrap type="none"/>
        </v:shape>
      </w:pict>
    </w:r>
    <w:r>
      <w:rPr/>
      <w:pict>
        <v:shape style="position:absolute;margin-left:98.2089pt;margin-top:802.675781pt;width:127.95pt;height:14pt;mso-position-horizontal-relative:page;mso-position-vertical-relative:page;z-index:-27557990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100891pt;margin-top:802.675781pt;width:21.1pt;height:14pt;mso-position-horizontal-relative:page;mso-position-vertical-relative:page;z-index:-2755788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29</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2.675781pt;width:21.1pt;height:14.05pt;mso-position-horizontal-relative:page;mso-position-vertical-relative:page;z-index:-27557580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36</w:t>
                </w:r>
                <w:r>
                  <w:rPr/>
                  <w:fldChar w:fldCharType="end"/>
                </w:r>
              </w:p>
            </w:txbxContent>
          </v:textbox>
          <w10:wrap type="none"/>
        </v:shape>
      </w:pict>
    </w:r>
    <w:r>
      <w:rPr/>
      <w:pict>
        <v:shape style="position:absolute;margin-left:98.212601pt;margin-top:802.675781pt;width:127.95pt;height:14pt;mso-position-horizontal-relative:page;mso-position-vertical-relative:page;z-index:-2755747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758pt;width:127.95pt;height:14pt;mso-position-horizontal-relative:page;mso-position-vertical-relative:page;z-index:-27557376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8188pt;margin-top:802.675781pt;width:21.1pt;height:14.05pt;mso-position-horizontal-relative:page;mso-position-vertical-relative:page;z-index:-2755727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31</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086pt;width:13.55pt;height:14pt;mso-position-horizontal-relative:page;mso-position-vertical-relative:page;z-index:-2753024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6</w:t>
                </w:r>
                <w:r>
                  <w:rPr/>
                  <w:fldChar w:fldCharType="end"/>
                </w:r>
              </w:p>
            </w:txbxContent>
          </v:textbox>
          <w10:wrap type="none"/>
        </v:shape>
      </w:pict>
    </w:r>
    <w:r>
      <w:rPr/>
      <w:pict>
        <v:shape style="position:absolute;margin-left:98.212601pt;margin-top:802.676086pt;width:127.95pt;height:14pt;mso-position-horizontal-relative:page;mso-position-vertical-relative:page;z-index:-27530137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30035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8.053284pt;margin-top:802.676086pt;width:13.55pt;height:14pt;mso-position-horizontal-relative:page;mso-position-vertical-relative:page;z-index:-27529932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5</w:t>
                </w:r>
                <w:r>
                  <w:rPr/>
                  <w:fldChar w:fldCharType="end"/>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7485pt;margin-top:802.67627pt;width:13.55pt;height:14pt;mso-position-horizontal-relative:page;mso-position-vertical-relative:page;z-index:-2752983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87"/>
                    <w:sz w:val="24"/>
                  </w:rPr>
                  <w:instrText> PAGE </w:instrText>
                </w:r>
                <w:r>
                  <w:rPr/>
                  <w:fldChar w:fldCharType="separate"/>
                </w:r>
                <w:r>
                  <w:rPr/>
                  <w:t>9</w:t>
                </w:r>
                <w:r>
                  <w:rPr/>
                  <w:fldChar w:fldCharType="end"/>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5.05pt;mso-position-horizontal-relative:page;mso-position-vertical-relative:page;z-index:-2752972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w:t>
                </w:r>
                <w:r>
                  <w:rPr/>
                  <w:fldChar w:fldCharType="end"/>
                </w:r>
              </w:p>
            </w:txbxContent>
          </v:textbox>
          <w10:wrap type="none"/>
        </v:shape>
      </w:pict>
    </w:r>
    <w:r>
      <w:rPr/>
      <w:pict>
        <v:shape style="position:absolute;margin-left:98.212601pt;margin-top:802.675781pt;width:127.95pt;height:14pt;mso-position-horizontal-relative:page;mso-position-vertical-relative:page;z-index:-2752962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2931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2.675781pt;width:21.1pt;height:14pt;mso-position-horizontal-relative:page;mso-position-vertical-relative:page;z-index:-2752921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w:t>
                </w:r>
                <w:r>
                  <w:rPr/>
                  <w:fldChar w:fldCharType="end"/>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8284pt;width:21.1pt;height:14pt;mso-position-horizontal-relative:page;mso-position-vertical-relative:page;z-index:-2752911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12</w:t>
                </w:r>
                <w:r>
                  <w:rPr/>
                  <w:fldChar w:fldCharType="end"/>
                </w:r>
              </w:p>
            </w:txbxContent>
          </v:textbox>
          <w10:wrap type="none"/>
        </v:shape>
      </w:pict>
    </w:r>
    <w:r>
      <w:rPr/>
      <w:pict>
        <v:shape style="position:absolute;margin-left:98.212601pt;margin-top:803.678284pt;width:127.95pt;height:14pt;mso-position-horizontal-relative:page;mso-position-vertical-relative:page;z-index:-2752901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2202pt;margin-top:803.677734pt;width:127.95pt;height:14pt;mso-position-horizontal-relative:page;mso-position-vertical-relative:page;z-index:-27528908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8188pt;margin-top:802.675781pt;width:21.1pt;height:15.05pt;mso-position-horizontal-relative:page;mso-position-vertical-relative:page;z-index:-275288064" type="#_x0000_t202" filled="false" stroked="false">
          <v:textbox inset="0,0,0,0">
            <w:txbxContent>
              <w:p>
                <w:pPr>
                  <w:spacing w:line="29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29</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05pt;mso-position-horizontal-relative:page;mso-position-vertical-relative:page;z-index:-27528704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26</w:t>
                </w:r>
                <w:r>
                  <w:rPr/>
                  <w:fldChar w:fldCharType="end"/>
                </w:r>
              </w:p>
            </w:txbxContent>
          </v:textbox>
          <w10:wrap type="none"/>
        </v:shape>
      </w:pict>
    </w:r>
    <w:r>
      <w:rPr/>
      <w:pict>
        <v:shape style="position:absolute;margin-left:98.2089pt;margin-top:802.675781pt;width:127.95pt;height:14pt;mso-position-horizontal-relative:page;mso-position-vertical-relative:page;z-index:-2752860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6007pt;margin-top:802.676758pt;width:127.95pt;height:14pt;mso-position-horizontal-relative:page;mso-position-vertical-relative:page;z-index:-27528499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2.676758pt;width:21.1pt;height:14pt;mso-position-horizontal-relative:page;mso-position-vertical-relative:page;z-index:-27528396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23</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758pt;width:21.1pt;height:14pt;mso-position-horizontal-relative:page;mso-position-vertical-relative:page;z-index:-27528294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24</w:t>
                </w:r>
                <w:r>
                  <w:rPr/>
                  <w:fldChar w:fldCharType="end"/>
                </w:r>
              </w:p>
            </w:txbxContent>
          </v:textbox>
          <w10:wrap type="none"/>
        </v:shape>
      </w:pict>
    </w:r>
    <w:r>
      <w:rPr/>
      <w:pict>
        <v:shape style="position:absolute;margin-left:98.2089pt;margin-top:802.676758pt;width:127.95pt;height:14pt;mso-position-horizontal-relative:page;mso-position-vertical-relative:page;z-index:-27528192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6007pt;margin-top:802.676758pt;width:127.95pt;height:14pt;mso-position-horizontal-relative:page;mso-position-vertical-relative:page;z-index:-27528089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2.676758pt;width:21.1pt;height:14pt;mso-position-horizontal-relative:page;mso-position-vertical-relative:page;z-index:-2752798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25</w:t>
                </w:r>
                <w:r>
                  <w:rPr/>
                  <w:fldChar w:fldCharType="end"/>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2788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26</w:t>
                </w:r>
                <w:r>
                  <w:rPr/>
                  <w:fldChar w:fldCharType="end"/>
                </w:r>
              </w:p>
            </w:txbxContent>
          </v:textbox>
          <w10:wrap type="none"/>
        </v:shape>
      </w:pict>
    </w:r>
    <w:r>
      <w:rPr/>
      <w:pict>
        <v:shape style="position:absolute;margin-left:98.2089pt;margin-top:802.675781pt;width:127.95pt;height:14pt;mso-position-horizontal-relative:page;mso-position-vertical-relative:page;z-index:-2752778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6007pt;margin-top:803.677734pt;width:127.95pt;height:14pt;mso-position-horizontal-relative:page;mso-position-vertical-relative:page;z-index:-27527680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3.677734pt;width:21.05pt;height:14pt;mso-position-horizontal-relative:page;mso-position-vertical-relative:page;z-index:-27527577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27</w:t>
                </w:r>
                <w:r>
                  <w:rPr/>
                  <w:fldChar w:fldCharType="end"/>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2747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28</w:t>
                </w:r>
                <w:r>
                  <w:rPr/>
                  <w:fldChar w:fldCharType="end"/>
                </w:r>
              </w:p>
            </w:txbxContent>
          </v:textbox>
          <w10:wrap type="none"/>
        </v:shape>
      </w:pict>
    </w:r>
    <w:r>
      <w:rPr/>
      <w:pict>
        <v:shape style="position:absolute;margin-left:98.2089pt;margin-top:802.675781pt;width:127.95pt;height:14pt;mso-position-horizontal-relative:page;mso-position-vertical-relative:page;z-index:-2752737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2202pt;margin-top:803.677734pt;width:127.95pt;height:14pt;mso-position-horizontal-relative:page;mso-position-vertical-relative:page;z-index:-27527270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8188pt;margin-top:803.677734pt;width:21.1pt;height:14pt;mso-position-horizontal-relative:page;mso-position-vertical-relative:page;z-index:-2752716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29</w:t>
                </w:r>
                <w:r>
                  <w:rPr/>
                  <w:fldChar w:fldCharType="end"/>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758pt;width:21.1pt;height:14pt;mso-position-horizontal-relative:page;mso-position-vertical-relative:page;z-index:-27527065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30</w:t>
                </w:r>
                <w:r>
                  <w:rPr/>
                  <w:fldChar w:fldCharType="end"/>
                </w:r>
              </w:p>
            </w:txbxContent>
          </v:textbox>
          <w10:wrap type="none"/>
        </v:shape>
      </w:pict>
    </w:r>
    <w:r>
      <w:rPr/>
      <w:pict>
        <v:shape style="position:absolute;margin-left:98.212601pt;margin-top:802.676758pt;width:127.95pt;height:14pt;mso-position-horizontal-relative:page;mso-position-vertical-relative:page;z-index:-27526963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2202pt;margin-top:802.676758pt;width:127.95pt;height:14pt;mso-position-horizontal-relative:page;mso-position-vertical-relative:page;z-index:-27526860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8188pt;margin-top:802.676758pt;width:21.1pt;height:14pt;mso-position-horizontal-relative:page;mso-position-vertical-relative:page;z-index:-27526758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31</w:t>
                </w:r>
                <w:r>
                  <w:rPr/>
                  <w:fldChar w:fldCharType="end"/>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6007pt;margin-top:802.675781pt;width:127.95pt;height:14pt;mso-position-horizontal-relative:page;mso-position-vertical-relative:page;z-index:-27526656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2.675781pt;width:21.05pt;height:14pt;mso-position-horizontal-relative:page;mso-position-vertical-relative:page;z-index:-2752655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33</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1.1pt;height:14pt;mso-position-horizontal-relative:page;mso-position-vertical-relative:page;z-index:-27526451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36</w:t>
                </w:r>
                <w:r>
                  <w:rPr/>
                  <w:fldChar w:fldCharType="end"/>
                </w:r>
              </w:p>
            </w:txbxContent>
          </v:textbox>
          <w10:wrap type="none"/>
        </v:shape>
      </w:pict>
    </w:r>
    <w:r>
      <w:rPr/>
      <w:pict>
        <v:shape style="position:absolute;margin-left:98.212601pt;margin-top:803.677734pt;width:127.95pt;height:14pt;mso-position-horizontal-relative:page;mso-position-vertical-relative:page;z-index:-27526348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3828pt;width:21.05pt;height:14.05pt;mso-position-horizontal-relative:page;mso-position-vertical-relative:page;z-index:-2755696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40</w:t>
                </w:r>
                <w:r>
                  <w:rPr/>
                  <w:fldChar w:fldCharType="end"/>
                </w:r>
              </w:p>
            </w:txbxContent>
          </v:textbox>
          <w10:wrap type="none"/>
        </v:shape>
      </w:pict>
    </w:r>
    <w:r>
      <w:rPr/>
      <w:pict>
        <v:shape style="position:absolute;margin-left:98.212601pt;margin-top:802.673828pt;width:127.95pt;height:14pt;mso-position-horizontal-relative:page;mso-position-vertical-relative:page;z-index:-27556864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3.677734pt;width:127.95pt;height:14pt;mso-position-horizontal-relative:page;mso-position-vertical-relative:page;z-index:-2752604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23987pt;margin-top:803.677734pt;width:21.1pt;height:14pt;mso-position-horizontal-relative:page;mso-position-vertical-relative:page;z-index:-2752593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37</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1.1pt;height:14pt;mso-position-horizontal-relative:page;mso-position-vertical-relative:page;z-index:-27525836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36</w:t>
                </w:r>
                <w:r>
                  <w:rPr/>
                  <w:fldChar w:fldCharType="end"/>
                </w:r>
              </w:p>
            </w:txbxContent>
          </v:textbox>
          <w10:wrap type="none"/>
        </v:shape>
      </w:pict>
    </w:r>
    <w:r>
      <w:rPr/>
      <w:pict>
        <v:shape style="position:absolute;margin-left:98.212601pt;margin-top:803.677734pt;width:127.95pt;height:14pt;mso-position-horizontal-relative:page;mso-position-vertical-relative:page;z-index:-27525734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27pt;width:21.1pt;height:14pt;mso-position-horizontal-relative:page;mso-position-vertical-relative:page;z-index:-2756055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10</w:t>
                </w:r>
                <w:r>
                  <w:rPr/>
                  <w:fldChar w:fldCharType="end"/>
                </w:r>
              </w:p>
            </w:txbxContent>
          </v:textbox>
          <w10:wrap type="none"/>
        </v:shape>
      </w:pict>
    </w:r>
    <w:r>
      <w:rPr/>
      <w:pict>
        <v:shape style="position:absolute;margin-left:98.212601pt;margin-top:802.67627pt;width:127.95pt;height:14pt;mso-position-horizontal-relative:page;mso-position-vertical-relative:page;z-index:-27560448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3828pt;width:127.95pt;height:14pt;mso-position-horizontal-relative:page;mso-position-vertical-relative:page;z-index:-2755676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8188pt;margin-top:802.673828pt;width:21.1pt;height:14.05pt;mso-position-horizontal-relative:page;mso-position-vertical-relative:page;z-index:-2755665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41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05pt;height:14pt;mso-position-horizontal-relative:page;mso-position-vertical-relative:page;z-index:-27556556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44</w:t>
                </w:r>
                <w:r>
                  <w:rPr/>
                  <w:fldChar w:fldCharType="end"/>
                </w:r>
              </w:p>
            </w:txbxContent>
          </v:textbox>
          <w10:wrap type="none"/>
        </v:shape>
      </w:pict>
    </w:r>
    <w:r>
      <w:rPr/>
      <w:pict>
        <v:shape style="position:absolute;margin-left:98.2089pt;margin-top:802.675781pt;width:127.95pt;height:14pt;mso-position-horizontal-relative:page;mso-position-vertical-relative:page;z-index:-27556454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3.675781pt;width:21.1pt;height:14.05pt;mso-position-horizontal-relative:page;mso-position-vertical-relative:page;z-index:-2755614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66</w:t>
                </w:r>
                <w:r>
                  <w:rPr/>
                  <w:fldChar w:fldCharType="end"/>
                </w:r>
              </w:p>
            </w:txbxContent>
          </v:textbox>
          <w10:wrap type="none"/>
        </v:shape>
      </w:pict>
    </w:r>
    <w:r>
      <w:rPr/>
      <w:pict>
        <v:shape style="position:absolute;margin-left:98.212601pt;margin-top:803.677734pt;width:127.95pt;height:14pt;mso-position-horizontal-relative:page;mso-position-vertical-relative:page;z-index:-27556044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3.677734pt;width:127.95pt;height:14pt;mso-position-horizontal-relative:page;mso-position-vertical-relative:page;z-index:-2755594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3.675781pt;width:21.1pt;height:14.05pt;mso-position-horizontal-relative:page;mso-position-vertical-relative:page;z-index:-2755584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61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100891pt;margin-top:802.675781pt;width:21.1pt;height:14pt;mso-position-horizontal-relative:page;mso-position-vertical-relative:page;z-index:-27555737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79</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563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78</w:t>
                </w:r>
                <w:r>
                  <w:rPr/>
                  <w:fldChar w:fldCharType="end"/>
                </w:r>
              </w:p>
            </w:txbxContent>
          </v:textbox>
          <w10:wrap type="none"/>
        </v:shape>
      </w:pict>
    </w:r>
    <w:r>
      <w:rPr/>
      <w:pict>
        <v:shape style="position:absolute;margin-left:98.2089pt;margin-top:802.675781pt;width:127.95pt;height:14pt;mso-position-horizontal-relative:page;mso-position-vertical-relative:page;z-index:-2755553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100891pt;margin-top:802.675781pt;width:21.1pt;height:14pt;mso-position-horizontal-relative:page;mso-position-vertical-relative:page;z-index:-2755543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79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3.673828pt;width:21.1pt;height:14.05pt;mso-position-horizontal-relative:page;mso-position-vertical-relative:page;z-index:-2755532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82</w:t>
                </w:r>
                <w:r>
                  <w:rPr/>
                  <w:fldChar w:fldCharType="end"/>
                </w:r>
              </w:p>
            </w:txbxContent>
          </v:textbox>
          <w10:wrap type="none"/>
        </v:shape>
      </w:pict>
    </w:r>
    <w:r>
      <w:rPr/>
      <w:pict>
        <v:shape style="position:absolute;margin-left:98.212601pt;margin-top:803.677734pt;width:127.95pt;height:14pt;mso-position-horizontal-relative:page;mso-position-vertical-relative:page;z-index:-2755522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3.673828pt;width:127.95pt;height:14pt;mso-position-horizontal-relative:page;mso-position-vertical-relative:page;z-index:-2755491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3.673828pt;width:21.1pt;height:14.05pt;mso-position-horizontal-relative:page;mso-position-vertical-relative:page;z-index:-2755481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60140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2.67627pt;width:21.1pt;height:14pt;mso-position-horizontal-relative:page;mso-position-vertical-relative:page;z-index:-27560038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1.1pt;height:14pt;mso-position-horizontal-relative:page;mso-position-vertical-relative:page;z-index:-2755471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82</w:t>
                </w:r>
                <w:r>
                  <w:rPr/>
                  <w:fldChar w:fldCharType="end"/>
                </w:r>
              </w:p>
            </w:txbxContent>
          </v:textbox>
          <w10:wrap type="none"/>
        </v:shape>
      </w:pict>
    </w:r>
    <w:r>
      <w:rPr/>
      <w:pict>
        <v:shape style="position:absolute;margin-left:98.212601pt;margin-top:803.677734pt;width:127.95pt;height:14pt;mso-position-horizontal-relative:page;mso-position-vertical-relative:page;z-index:-2755461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4508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84</w:t>
                </w:r>
                <w:r>
                  <w:rPr/>
                  <w:fldChar w:fldCharType="end"/>
                </w:r>
              </w:p>
            </w:txbxContent>
          </v:textbox>
          <w10:wrap type="none"/>
        </v:shape>
      </w:pict>
    </w:r>
    <w:r>
      <w:rPr/>
      <w:pict>
        <v:shape style="position:absolute;margin-left:98.2089pt;margin-top:802.675781pt;width:127.95pt;height:14pt;mso-position-horizontal-relative:page;mso-position-vertical-relative:page;z-index:-27554406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3.673828pt;width:21.1pt;height:14.05pt;mso-position-horizontal-relative:page;mso-position-vertical-relative:page;z-index:-2755409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88</w:t>
                </w:r>
                <w:r>
                  <w:rPr/>
                  <w:fldChar w:fldCharType="end"/>
                </w:r>
              </w:p>
            </w:txbxContent>
          </v:textbox>
          <w10:wrap type="none"/>
        </v:shape>
      </w:pict>
    </w:r>
    <w:r>
      <w:rPr/>
      <w:pict>
        <v:shape style="position:absolute;margin-left:98.212601pt;margin-top:803.677734pt;width:127.95pt;height:14pt;mso-position-horizontal-relative:page;mso-position-vertical-relative:page;z-index:-27553996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3.677734pt;width:127.95pt;height:14pt;mso-position-horizontal-relative:page;mso-position-vertical-relative:page;z-index:-27553894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3.673828pt;width:21.1pt;height:14.05pt;mso-position-horizontal-relative:page;mso-position-vertical-relative:page;z-index:-2755379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89</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3689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94</w:t>
                </w:r>
                <w:r>
                  <w:rPr/>
                  <w:fldChar w:fldCharType="end"/>
                </w:r>
              </w:p>
            </w:txbxContent>
          </v:textbox>
          <w10:wrap type="none"/>
        </v:shape>
      </w:pict>
    </w:r>
    <w:r>
      <w:rPr/>
      <w:pict>
        <v:shape style="position:absolute;margin-left:98.2089pt;margin-top:802.675781pt;width:127.95pt;height:14pt;mso-position-horizontal-relative:page;mso-position-vertical-relative:page;z-index:-27553587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1.1pt;height:14pt;mso-position-horizontal-relative:page;mso-position-vertical-relative:page;z-index:-27553382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98</w:t>
                </w:r>
                <w:r>
                  <w:rPr/>
                  <w:fldChar w:fldCharType="end"/>
                </w:r>
              </w:p>
            </w:txbxContent>
          </v:textbox>
          <w10:wrap type="none"/>
        </v:shape>
      </w:pict>
    </w:r>
    <w:r>
      <w:rPr/>
      <w:pict>
        <v:shape style="position:absolute;margin-left:98.212601pt;margin-top:803.677734pt;width:127.95pt;height:14pt;mso-position-horizontal-relative:page;mso-position-vertical-relative:page;z-index:-27553280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1.1pt;height:14pt;mso-position-horizontal-relative:page;mso-position-vertical-relative:page;z-index:-2755307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98</w:t>
                </w:r>
                <w:r>
                  <w:rPr/>
                  <w:fldChar w:fldCharType="end"/>
                </w:r>
              </w:p>
            </w:txbxContent>
          </v:textbox>
          <w10:wrap type="none"/>
        </v:shape>
      </w:pict>
    </w:r>
    <w:r>
      <w:rPr/>
      <w:pict>
        <v:shape style="position:absolute;margin-left:98.212601pt;margin-top:803.677734pt;width:127.95pt;height:14pt;mso-position-horizontal-relative:page;mso-position-vertical-relative:page;z-index:-2755297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27pt;width:21.1pt;height:14pt;mso-position-horizontal-relative:page;mso-position-vertical-relative:page;z-index:-2755993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10</w:t>
                </w:r>
                <w:r>
                  <w:rPr/>
                  <w:fldChar w:fldCharType="end"/>
                </w:r>
              </w:p>
            </w:txbxContent>
          </v:textbox>
          <w10:wrap type="none"/>
        </v:shape>
      </w:pict>
    </w:r>
    <w:r>
      <w:rPr/>
      <w:pict>
        <v:shape style="position:absolute;margin-left:98.212601pt;margin-top:802.67627pt;width:127.95pt;height:14pt;mso-position-horizontal-relative:page;mso-position-vertical-relative:page;z-index:-27559833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3.677734pt;width:28.65pt;height:14pt;mso-position-horizontal-relative:page;mso-position-vertical-relative:page;z-index:-27552665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106</w:t>
                </w:r>
                <w:r>
                  <w:rPr/>
                  <w:fldChar w:fldCharType="end"/>
                </w:r>
              </w:p>
            </w:txbxContent>
          </v:textbox>
          <w10:wrap type="none"/>
        </v:shape>
      </w:pict>
    </w:r>
    <w:r>
      <w:rPr/>
      <w:pict>
        <v:shape style="position:absolute;margin-left:98.212601pt;margin-top:803.677734pt;width:127.95pt;height:14pt;mso-position-horizontal-relative:page;mso-position-vertical-relative:page;z-index:-27552563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3.677734pt;width:127.95pt;height:14pt;mso-position-horizontal-relative:page;mso-position-vertical-relative:page;z-index:-27552460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2971pt;margin-top:803.677734pt;width:28.65pt;height:14pt;mso-position-horizontal-relative:page;mso-position-vertical-relative:page;z-index:-27552358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101</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3.677734pt;width:24.65pt;height:14pt;mso-position-horizontal-relative:page;mso-position-vertical-relative:page;z-index:-27552153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110</w:t>
                </w:r>
              </w:p>
            </w:txbxContent>
          </v:textbox>
          <w10:wrap type="none"/>
        </v:shape>
      </w:pict>
    </w:r>
    <w:r>
      <w:rPr/>
      <w:pict>
        <v:shape style="position:absolute;margin-left:98.212601pt;margin-top:803.677734pt;width:127.95pt;height:14pt;mso-position-horizontal-relative:page;mso-position-vertical-relative:page;z-index:-2755205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59906pt;margin-top:802.671875pt;width:30.05pt;height:14.05pt;mso-position-horizontal-relative:page;mso-position-vertical-relative:page;z-index:-275519488" type="#_x0000_t202" filled="false" stroked="false">
          <v:textbox inset="0,0,0,0">
            <w:txbxContent>
              <w:p>
                <w:pPr>
                  <w:spacing w:line="272" w:lineRule="exact" w:before="0"/>
                  <w:ind w:left="60" w:right="0" w:firstLine="0"/>
                  <w:jc w:val="left"/>
                  <w:rPr>
                    <w:rFonts w:ascii="Eurostile Bold"/>
                    <w:b/>
                    <w:sz w:val="24"/>
                  </w:rPr>
                </w:pPr>
                <w:r>
                  <w:rPr>
                    <w:rFonts w:ascii="Eurostile Bold"/>
                    <w:b/>
                    <w:color w:val="231F20"/>
                    <w:w w:val="95"/>
                    <w:sz w:val="24"/>
                  </w:rPr>
                  <w:t>111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4438pt;width:28.65pt;height:14.05pt;mso-position-horizontal-relative:page;mso-position-vertical-relative:page;z-index:-2755184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116</w:t>
                </w:r>
                <w:r>
                  <w:rPr/>
                  <w:fldChar w:fldCharType="end"/>
                </w:r>
              </w:p>
            </w:txbxContent>
          </v:textbox>
          <w10:wrap type="none"/>
        </v:shape>
      </w:pict>
    </w:r>
    <w:r>
      <w:rPr/>
      <w:pict>
        <v:shape style="position:absolute;margin-left:98.212601pt;margin-top:802.675781pt;width:127.95pt;height:14pt;mso-position-horizontal-relative:page;mso-position-vertical-relative:page;z-index:-27551744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65704pt;margin-top:802.671875pt;width:28.65pt;height:14pt;mso-position-horizontal-relative:page;mso-position-vertical-relative:page;z-index:-27551641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113</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5153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114</w:t>
                </w:r>
                <w:r>
                  <w:rPr/>
                  <w:fldChar w:fldCharType="end"/>
                </w:r>
              </w:p>
            </w:txbxContent>
          </v:textbox>
          <w10:wrap type="none"/>
        </v:shape>
      </w:pict>
    </w:r>
    <w:r>
      <w:rPr/>
      <w:pict>
        <v:shape style="position:absolute;margin-left:98.212601pt;margin-top:802.675781pt;width:127.95pt;height:14pt;mso-position-horizontal-relative:page;mso-position-vertical-relative:page;z-index:-27551436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65704pt;margin-top:802.675781pt;width:28.65pt;height:14pt;mso-position-horizontal-relative:page;mso-position-vertical-relative:page;z-index:-27551334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115</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5123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116</w:t>
                </w:r>
                <w:r>
                  <w:rPr/>
                  <w:fldChar w:fldCharType="end"/>
                </w:r>
              </w:p>
            </w:txbxContent>
          </v:textbox>
          <w10:wrap type="none"/>
        </v:shape>
      </w:pict>
    </w:r>
    <w:r>
      <w:rPr/>
      <w:pict>
        <v:shape style="position:absolute;margin-left:98.212601pt;margin-top:802.675781pt;width:127.95pt;height:14pt;mso-position-horizontal-relative:page;mso-position-vertical-relative:page;z-index:-27551129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65704pt;margin-top:802.675781pt;width:28.65pt;height:14pt;mso-position-horizontal-relative:page;mso-position-vertical-relative:page;z-index:-2755102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5092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118</w:t>
                </w:r>
                <w:r>
                  <w:rPr/>
                  <w:fldChar w:fldCharType="end"/>
                </w:r>
              </w:p>
            </w:txbxContent>
          </v:textbox>
          <w10:wrap type="none"/>
        </v:shape>
      </w:pict>
    </w:r>
    <w:r>
      <w:rPr/>
      <w:pict>
        <v:shape style="position:absolute;margin-left:98.212601pt;margin-top:802.675781pt;width:127.95pt;height:14pt;mso-position-horizontal-relative:page;mso-position-vertical-relative:page;z-index:-2755082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59906pt;margin-top:802.675781pt;width:28.65pt;height:14pt;mso-position-horizontal-relative:page;mso-position-vertical-relative:page;z-index:-2755072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119</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pt;height:14pt;mso-position-horizontal-relative:page;mso-position-vertical-relative:page;z-index:-27550617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120</w:t>
                </w:r>
              </w:p>
            </w:txbxContent>
          </v:textbox>
          <w10:wrap type="none"/>
        </v:shape>
      </w:pict>
    </w:r>
    <w:r>
      <w:rPr/>
      <w:pict>
        <v:shape style="position:absolute;margin-left:98.212601pt;margin-top:802.675781pt;width:127.95pt;height:14pt;mso-position-horizontal-relative:page;mso-position-vertical-relative:page;z-index:-27550515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65704pt;margin-top:802.675781pt;width:28.65pt;height:14pt;mso-position-horizontal-relative:page;mso-position-vertical-relative:page;z-index:-275504128" type="#_x0000_t202" filled="false" stroked="false">
          <v:textbox inset="0,0,0,0">
            <w:txbxContent>
              <w:p>
                <w:pPr>
                  <w:spacing w:line="272" w:lineRule="exact" w:before="0"/>
                  <w:ind w:left="60" w:right="0" w:firstLine="0"/>
                  <w:jc w:val="left"/>
                  <w:rPr>
                    <w:rFonts w:ascii="Eurostile Bold"/>
                    <w:b/>
                    <w:sz w:val="24"/>
                  </w:rPr>
                </w:pPr>
                <w:r>
                  <w:rPr>
                    <w:rFonts w:ascii="Eurostile Bold"/>
                    <w:b/>
                    <w:color w:val="231F20"/>
                    <w:w w:val="95"/>
                    <w:sz w:val="24"/>
                  </w:rPr>
                  <w:t>121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1875pt;width:28.6pt;height:14pt;mso-position-horizontal-relative:page;mso-position-vertical-relative:page;z-index:-2755031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122</w:t>
                </w:r>
                <w:r>
                  <w:rPr/>
                  <w:fldChar w:fldCharType="end"/>
                </w:r>
              </w:p>
            </w:txbxContent>
          </v:textbox>
          <w10:wrap type="none"/>
        </v:shape>
      </w:pict>
    </w:r>
    <w:r>
      <w:rPr/>
      <w:pict>
        <v:shape style="position:absolute;margin-left:98.2089pt;margin-top:802.671875pt;width:127.95pt;height:14pt;mso-position-horizontal-relative:page;mso-position-vertical-relative:page;z-index:-27550208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8892pt;margin-top:802.671875pt;width:28.6pt;height:14pt;mso-position-horizontal-relative:page;mso-position-vertical-relative:page;z-index:-27550105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123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2.675781pt;width:28.65pt;height:14pt;mso-position-horizontal-relative:page;mso-position-vertical-relative:page;z-index:-27549798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126</w:t>
                </w:r>
                <w:r>
                  <w:rPr/>
                  <w:fldChar w:fldCharType="end"/>
                </w:r>
              </w:p>
            </w:txbxContent>
          </v:textbox>
          <w10:wrap type="none"/>
        </v:shape>
      </w:pict>
    </w:r>
    <w:r>
      <w:rPr/>
      <w:pict>
        <v:shape style="position:absolute;margin-left:98.212601pt;margin-top:802.675781pt;width:127.95pt;height:14pt;mso-position-horizontal-relative:page;mso-position-vertical-relative:page;z-index:-27549696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2996pt;margin-top:802.675781pt;width:127.95pt;height:14pt;mso-position-horizontal-relative:page;mso-position-vertical-relative:page;z-index:-27549593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2971pt;margin-top:802.675781pt;width:28.65pt;height:14pt;mso-position-horizontal-relative:page;mso-position-vertical-relative:page;z-index:-27549491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129</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9388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130</w:t>
                </w:r>
                <w:r>
                  <w:rPr/>
                  <w:fldChar w:fldCharType="end"/>
                </w:r>
              </w:p>
            </w:txbxContent>
          </v:textbox>
          <w10:wrap type="none"/>
        </v:shape>
      </w:pict>
    </w:r>
    <w:r>
      <w:rPr/>
      <w:pict>
        <v:shape style="position:absolute;margin-left:98.2089pt;margin-top:802.675781pt;width:127.95pt;height:14pt;mso-position-horizontal-relative:page;mso-position-vertical-relative:page;z-index:-27549286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5952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w:t>
                </w:r>
                <w:r>
                  <w:rPr/>
                  <w:fldChar w:fldCharType="end"/>
                </w:r>
              </w:p>
            </w:txbxContent>
          </v:textbox>
          <w10:wrap type="none"/>
        </v:shape>
      </w:pict>
    </w:r>
    <w:r>
      <w:rPr/>
      <w:pict>
        <v:shape style="position:absolute;margin-left:98.212601pt;margin-top:802.675781pt;width:127.95pt;height:14pt;mso-position-horizontal-relative:page;mso-position-vertical-relative:page;z-index:-27559424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9184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132</w:t>
                </w:r>
                <w:r>
                  <w:rPr/>
                  <w:fldChar w:fldCharType="end"/>
                </w:r>
              </w:p>
            </w:txbxContent>
          </v:textbox>
          <w10:wrap type="none"/>
        </v:shape>
      </w:pict>
    </w:r>
    <w:r>
      <w:rPr/>
      <w:pict>
        <v:shape style="position:absolute;margin-left:98.212601pt;margin-top:802.675781pt;width:127.95pt;height:14pt;mso-position-horizontal-relative:page;mso-position-vertical-relative:page;z-index:-2754908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8979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8892pt;margin-top:802.675781pt;width:28.6pt;height:14pt;mso-position-horizontal-relative:page;mso-position-vertical-relative:page;z-index:-27548876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71594pt;margin-top:802.675781pt;width:28.6pt;height:14pt;mso-position-horizontal-relative:page;mso-position-vertical-relative:page;z-index:-27548774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867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136</w:t>
                </w:r>
                <w:r>
                  <w:rPr/>
                  <w:fldChar w:fldCharType="end"/>
                </w:r>
              </w:p>
            </w:txbxContent>
          </v:textbox>
          <w10:wrap type="none"/>
        </v:shape>
      </w:pict>
    </w:r>
    <w:r>
      <w:rPr/>
      <w:pict>
        <v:shape style="position:absolute;margin-left:98.212601pt;margin-top:802.675781pt;width:127.95pt;height:14pt;mso-position-horizontal-relative:page;mso-position-vertical-relative:page;z-index:-27548569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71594pt;margin-top:802.675781pt;width:28.6pt;height:14pt;mso-position-horizontal-relative:page;mso-position-vertical-relative:page;z-index:-2754846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137</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67969pt;width:28.6pt;height:14pt;mso-position-horizontal-relative:page;mso-position-vertical-relative:page;z-index:-27548364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138</w:t>
                </w:r>
                <w:r>
                  <w:rPr/>
                  <w:fldChar w:fldCharType="end"/>
                </w:r>
              </w:p>
            </w:txbxContent>
          </v:textbox>
          <w10:wrap type="none"/>
        </v:shape>
      </w:pict>
    </w:r>
    <w:r>
      <w:rPr/>
      <w:pict>
        <v:shape style="position:absolute;margin-left:98.212601pt;margin-top:802.667969pt;width:127.95pt;height:14pt;mso-position-horizontal-relative:page;mso-position-vertical-relative:page;z-index:-2754826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pt;height:14pt;mso-position-horizontal-relative:page;mso-position-vertical-relative:page;z-index:-27547955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140</w:t>
                </w:r>
              </w:p>
            </w:txbxContent>
          </v:textbox>
          <w10:wrap type="none"/>
        </v:shape>
      </w:pict>
    </w:r>
    <w:r>
      <w:rPr/>
      <w:pict>
        <v:shape style="position:absolute;margin-left:98.212601pt;margin-top:802.675781pt;width:127.95pt;height:14pt;mso-position-horizontal-relative:page;mso-position-vertical-relative:page;z-index:-2754785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5932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20.512329pt;margin-top:802.675781pt;width:21.1pt;height:14pt;mso-position-horizontal-relative:page;mso-position-vertical-relative:page;z-index:-27559219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19</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764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142</w:t>
                </w:r>
                <w:r>
                  <w:rPr/>
                  <w:fldChar w:fldCharType="end"/>
                </w:r>
              </w:p>
            </w:txbxContent>
          </v:textbox>
          <w10:wrap type="none"/>
        </v:shape>
      </w:pict>
    </w:r>
    <w:r>
      <w:rPr/>
      <w:pict>
        <v:shape style="position:absolute;margin-left:98.212601pt;margin-top:802.675781pt;width:127.95pt;height:14pt;mso-position-horizontal-relative:page;mso-position-vertical-relative:page;z-index:-2754754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7340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144</w:t>
                </w:r>
                <w:r>
                  <w:rPr/>
                  <w:fldChar w:fldCharType="end"/>
                </w:r>
              </w:p>
            </w:txbxContent>
          </v:textbox>
          <w10:wrap type="none"/>
        </v:shape>
      </w:pict>
    </w:r>
    <w:r>
      <w:rPr/>
      <w:pict>
        <v:shape style="position:absolute;margin-left:98.212601pt;margin-top:802.675781pt;width:127.95pt;height:14pt;mso-position-horizontal-relative:page;mso-position-vertical-relative:page;z-index:-2754723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71594pt;margin-top:802.675781pt;width:28.6pt;height:14pt;mso-position-horizontal-relative:page;mso-position-vertical-relative:page;z-index:-2754713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145</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4703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146</w:t>
                </w:r>
                <w:r>
                  <w:rPr/>
                  <w:fldChar w:fldCharType="end"/>
                </w:r>
              </w:p>
            </w:txbxContent>
          </v:textbox>
          <w10:wrap type="none"/>
        </v:shape>
      </w:pict>
    </w:r>
    <w:r>
      <w:rPr/>
      <w:pict>
        <v:shape style="position:absolute;margin-left:98.212601pt;margin-top:802.675781pt;width:127.95pt;height:14pt;mso-position-horizontal-relative:page;mso-position-vertical-relative:page;z-index:-2754693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71594pt;margin-top:802.675781pt;width:28.6pt;height:14pt;mso-position-horizontal-relative:page;mso-position-vertical-relative:page;z-index:-27546828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147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46624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148</w:t>
                </w:r>
                <w:r>
                  <w:rPr/>
                  <w:fldChar w:fldCharType="end"/>
                </w:r>
              </w:p>
            </w:txbxContent>
          </v:textbox>
          <w10:wrap type="none"/>
        </v:shape>
      </w:pict>
    </w:r>
    <w:r>
      <w:rPr/>
      <w:pict>
        <v:shape style="position:absolute;margin-left:98.212601pt;margin-top:802.675781pt;width:127.95pt;height:14pt;mso-position-horizontal-relative:page;mso-position-vertical-relative:page;z-index:-27546521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pt;height:14pt;mso-position-horizontal-relative:page;mso-position-vertical-relative:page;z-index:-27546316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150</w:t>
                </w:r>
              </w:p>
            </w:txbxContent>
          </v:textbox>
          <w10:wrap type="none"/>
        </v:shape>
      </w:pict>
    </w:r>
    <w:r>
      <w:rPr/>
      <w:pict>
        <v:shape style="position:absolute;margin-left:98.212601pt;margin-top:802.675781pt;width:127.95pt;height:14pt;mso-position-horizontal-relative:page;mso-position-vertical-relative:page;z-index:-27546214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05pt;mso-position-horizontal-relative:page;mso-position-vertical-relative:page;z-index:-275591168"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28</w:t>
                </w:r>
                <w:r>
                  <w:rPr/>
                  <w:fldChar w:fldCharType="end"/>
                </w:r>
              </w:p>
            </w:txbxContent>
          </v:textbox>
          <w10:wrap type="none"/>
        </v:shape>
      </w:pict>
    </w:r>
    <w:r>
      <w:rPr/>
      <w:pict>
        <v:shape style="position:absolute;margin-left:98.2089pt;margin-top:802.675781pt;width:127.95pt;height:14pt;mso-position-horizontal-relative:page;mso-position-vertical-relative:page;z-index:-27559014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pt;height:14pt;mso-position-horizontal-relative:page;mso-position-vertical-relative:page;z-index:-2754590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152</w:t>
                </w:r>
                <w:r>
                  <w:rPr/>
                  <w:fldChar w:fldCharType="end"/>
                </w:r>
              </w:p>
            </w:txbxContent>
          </v:textbox>
          <w10:wrap type="none"/>
        </v:shape>
      </w:pict>
    </w:r>
    <w:r>
      <w:rPr/>
      <w:pict>
        <v:shape style="position:absolute;margin-left:98.212601pt;margin-top:802.675781pt;width:127.95pt;height:14pt;mso-position-horizontal-relative:page;mso-position-vertical-relative:page;z-index:-27545804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570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8892pt;margin-top:802.675781pt;width:28.6pt;height:14pt;mso-position-horizontal-relative:page;mso-position-vertical-relative:page;z-index:-2754560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0"/>
                    <w:sz w:val="24"/>
                  </w:rPr>
                  <w:instrText> PAGE </w:instrText>
                </w:r>
                <w:r>
                  <w:rPr/>
                  <w:fldChar w:fldCharType="separate"/>
                </w:r>
                <w:r>
                  <w:rPr/>
                  <w:t>155</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571594pt;margin-top:802.675781pt;width:30.05pt;height:14pt;mso-position-horizontal-relative:page;mso-position-vertical-relative:page;z-index:-275454976" type="#_x0000_t202" filled="false" stroked="false">
          <v:textbox inset="0,0,0,0">
            <w:txbxContent>
              <w:p>
                <w:pPr>
                  <w:spacing w:line="272" w:lineRule="exact" w:before="0"/>
                  <w:ind w:left="88"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159</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8.65pt;height:14pt;mso-position-horizontal-relative:page;mso-position-vertical-relative:page;z-index:-27545395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158</w:t>
                </w:r>
                <w:r>
                  <w:rPr/>
                  <w:fldChar w:fldCharType="end"/>
                </w:r>
              </w:p>
            </w:txbxContent>
          </v:textbox>
          <w10:wrap type="none"/>
        </v:shape>
      </w:pict>
    </w:r>
    <w:r>
      <w:rPr/>
      <w:pict>
        <v:shape style="position:absolute;margin-left:98.2089pt;margin-top:802.675781pt;width:127.95pt;height:14pt;mso-position-horizontal-relative:page;mso-position-vertical-relative:page;z-index:-2754529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82971pt;margin-top:802.675781pt;width:28.65pt;height:14pt;mso-position-horizontal-relative:page;mso-position-vertical-relative:page;z-index:-2754519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159</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802.675781pt;width:24.65pt;height:14pt;mso-position-horizontal-relative:page;mso-position-vertical-relative:page;z-index:-275450880" type="#_x0000_t202" filled="false" stroked="false">
          <v:textbox inset="0,0,0,0">
            <w:txbxContent>
              <w:p>
                <w:pPr>
                  <w:spacing w:line="272" w:lineRule="exact" w:before="0"/>
                  <w:ind w:left="20" w:right="0" w:firstLine="0"/>
                  <w:jc w:val="left"/>
                  <w:rPr>
                    <w:rFonts w:ascii="Eurostile Bold"/>
                    <w:b/>
                    <w:sz w:val="24"/>
                  </w:rPr>
                </w:pPr>
                <w:r>
                  <w:rPr>
                    <w:rFonts w:ascii="Eurostile Bold"/>
                    <w:b/>
                    <w:color w:val="231F20"/>
                    <w:w w:val="85"/>
                    <w:sz w:val="24"/>
                  </w:rPr>
                  <w:t>160</w:t>
                </w:r>
              </w:p>
            </w:txbxContent>
          </v:textbox>
          <w10:wrap type="none"/>
        </v:shape>
      </w:pict>
    </w:r>
    <w:r>
      <w:rPr/>
      <w:pict>
        <v:shape style="position:absolute;margin-left:98.2089pt;margin-top:802.675781pt;width:127.95pt;height:14pt;mso-position-horizontal-relative:page;mso-position-vertical-relative:page;z-index:-2754498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467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77173pt;margin-top:802.675781pt;width:28.65pt;height:14pt;mso-position-horizontal-relative:page;mso-position-vertical-relative:page;z-index:-2754457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161</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3.692902pt;margin-top:802.675781pt;width:28.65pt;height:14pt;mso-position-horizontal-relative:page;mso-position-vertical-relative:page;z-index:-2754447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166</w:t>
                </w:r>
                <w:r>
                  <w:rPr/>
                  <w:fldChar w:fldCharType="end"/>
                </w:r>
              </w:p>
            </w:txbxContent>
          </v:textbox>
          <w10:wrap type="none"/>
        </v:shape>
      </w:pict>
    </w:r>
    <w:r>
      <w:rPr/>
      <w:pict>
        <v:shape style="position:absolute;margin-left:98.212601pt;margin-top:802.675781pt;width:127.95pt;height:14pt;mso-position-horizontal-relative:page;mso-position-vertical-relative:page;z-index:-2754437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4268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7A9AC"/>
                    <w:w w:val="85"/>
                    <w:sz w:val="24"/>
                  </w:rPr>
                  <w:t>General Assembly 2007</w:t>
                </w:r>
              </w:p>
            </w:txbxContent>
          </v:textbox>
          <w10:wrap type="none"/>
        </v:shape>
      </w:pict>
    </w:r>
    <w:r>
      <w:rPr/>
      <w:pict>
        <v:shape style="position:absolute;margin-left:512.982971pt;margin-top:802.675781pt;width:28.65pt;height:14pt;mso-position-horizontal-relative:page;mso-position-vertical-relative:page;z-index:-2754416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167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106812pt;margin-top:802.676758pt;width:21.05pt;height:14pt;mso-position-horizontal-relative:page;mso-position-vertical-relative:page;z-index:-27558912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color w:val="231F20"/>
                    <w:w w:val="95"/>
                    <w:sz w:val="24"/>
                  </w:rPr>
                  <w:instrText> PAGE </w:instrText>
                </w:r>
                <w:r>
                  <w:rPr/>
                  <w:fldChar w:fldCharType="separate"/>
                </w:r>
                <w:r>
                  <w:rPr/>
                  <w:t>23</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pt;mso-position-horizontal-relative:page;mso-position-vertical-relative:page;z-index:-27543961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16</w:t>
                </w:r>
                <w:r>
                  <w:rPr/>
                  <w:fldChar w:fldCharType="end"/>
                </w:r>
              </w:p>
            </w:txbxContent>
          </v:textbox>
          <w10:wrap type="none"/>
        </v:shape>
      </w:pict>
    </w:r>
    <w:r>
      <w:rPr/>
      <w:pict>
        <v:shape style="position:absolute;margin-left:98.212601pt;margin-top:802.675781pt;width:127.95pt;height:14pt;mso-position-horizontal-relative:page;mso-position-vertical-relative:page;z-index:-27543859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81287pt;margin-top:802.67627pt;width:127.95pt;height:14pt;mso-position-horizontal-relative:page;mso-position-vertical-relative:page;z-index:-27543756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8.053284pt;margin-top:802.67627pt;width:13.55pt;height:14pt;mso-position-horizontal-relative:page;mso-position-vertical-relative:page;z-index:-27543654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87"/>
                    <w:sz w:val="24"/>
                  </w:rPr>
                  <w:instrText> PAGE </w:instrText>
                </w:r>
                <w:r>
                  <w:rPr/>
                  <w:fldChar w:fldCharType="separate"/>
                </w:r>
                <w:r>
                  <w:rPr/>
                  <w:t>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627pt;width:13.55pt;height:14pt;mso-position-horizontal-relative:page;mso-position-vertical-relative:page;z-index:-275433472"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87"/>
                    <w:sz w:val="24"/>
                  </w:rPr>
                  <w:instrText> PAGE </w:instrText>
                </w:r>
                <w:r>
                  <w:rPr/>
                  <w:fldChar w:fldCharType="separate"/>
                </w:r>
                <w:r>
                  <w:rPr/>
                  <w:t>4</w:t>
                </w:r>
                <w:r>
                  <w:rPr/>
                  <w:fldChar w:fldCharType="end"/>
                </w:r>
              </w:p>
            </w:txbxContent>
          </v:textbox>
          <w10:wrap type="none"/>
        </v:shape>
      </w:pict>
    </w:r>
    <w:r>
      <w:rPr/>
      <w:pict>
        <v:shape style="position:absolute;margin-left:98.212601pt;margin-top:802.67627pt;width:127.95pt;height:14pt;mso-position-horizontal-relative:page;mso-position-vertical-relative:page;z-index:-27543244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27pt;width:127.95pt;height:14pt;mso-position-horizontal-relative:page;mso-position-vertical-relative:page;z-index:-27543142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12329pt;margin-top:802.676086pt;width:21.1pt;height:14pt;mso-position-horizontal-relative:page;mso-position-vertical-relative:page;z-index:-27543040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11</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2732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12329pt;margin-top:802.675781pt;width:21.1pt;height:14pt;mso-position-horizontal-relative:page;mso-position-vertical-relative:page;z-index:-27542630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19</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05pt;mso-position-horizontal-relative:page;mso-position-vertical-relative:page;z-index:-27542528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18</w:t>
                </w:r>
                <w:r>
                  <w:rPr/>
                  <w:fldChar w:fldCharType="end"/>
                </w:r>
              </w:p>
            </w:txbxContent>
          </v:textbox>
          <w10:wrap type="none"/>
        </v:shape>
      </w:pict>
    </w:r>
    <w:r>
      <w:rPr/>
      <w:pict>
        <v:shape style="position:absolute;margin-left:98.212601pt;margin-top:802.675781pt;width:127.95pt;height:14pt;mso-position-horizontal-relative:page;mso-position-vertical-relative:page;z-index:-275424256"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6758pt;width:127.95pt;height:14pt;mso-position-horizontal-relative:page;mso-position-vertical-relative:page;z-index:-275421184"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23987pt;margin-top:802.676758pt;width:21.1pt;height:14pt;mso-position-horizontal-relative:page;mso-position-vertical-relative:page;z-index:-275420160"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23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2902pt;margin-top:802.675781pt;width:21.1pt;height:14.05pt;mso-position-horizontal-relative:page;mso-position-vertical-relative:page;z-index:-275419136"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26</w:t>
                </w:r>
                <w:r>
                  <w:rPr/>
                  <w:fldChar w:fldCharType="end"/>
                </w:r>
              </w:p>
            </w:txbxContent>
          </v:textbox>
          <w10:wrap type="none"/>
        </v:shape>
      </w:pict>
    </w:r>
    <w:r>
      <w:rPr/>
      <w:pict>
        <v:shape style="position:absolute;margin-left:98.212601pt;margin-top:802.675781pt;width:127.95pt;height:14pt;mso-position-horizontal-relative:page;mso-position-vertical-relative:page;z-index:-275418112"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79486pt;margin-top:802.675781pt;width:127.95pt;height:14pt;mso-position-horizontal-relative:page;mso-position-vertical-relative:page;z-index:-275417088" type="#_x0000_t202" filled="false" stroked="false">
          <v:textbox inset="0,0,0,0">
            <w:txbxContent>
              <w:p>
                <w:pPr>
                  <w:spacing w:line="272" w:lineRule="exact" w:before="0"/>
                  <w:ind w:left="20" w:right="0" w:firstLine="0"/>
                  <w:jc w:val="left"/>
                  <w:rPr>
                    <w:rFonts w:ascii="Eurostile Bold"/>
                    <w:b/>
                    <w:sz w:val="24"/>
                  </w:rPr>
                </w:pPr>
                <w:r>
                  <w:rPr>
                    <w:rFonts w:ascii="Eurostile Bold"/>
                    <w:b/>
                    <w:color w:val="ACACAC"/>
                    <w:w w:val="85"/>
                    <w:sz w:val="24"/>
                  </w:rPr>
                  <w:t>General Assembly 2007</w:t>
                </w:r>
              </w:p>
            </w:txbxContent>
          </v:textbox>
          <w10:wrap type="none"/>
        </v:shape>
      </w:pict>
    </w:r>
    <w:r>
      <w:rPr/>
      <w:pict>
        <v:shape style="position:absolute;margin-left:520.518188pt;margin-top:802.675781pt;width:21.1pt;height:14pt;mso-position-horizontal-relative:page;mso-position-vertical-relative:page;z-index:-275416064" type="#_x0000_t202" filled="false" stroked="false">
          <v:textbox inset="0,0,0,0">
            <w:txbxContent>
              <w:p>
                <w:pPr>
                  <w:spacing w:line="272" w:lineRule="exact" w:before="0"/>
                  <w:ind w:left="60" w:right="0" w:firstLine="0"/>
                  <w:jc w:val="left"/>
                  <w:rPr>
                    <w:rFonts w:ascii="Eurostile Bold"/>
                    <w:b/>
                    <w:sz w:val="24"/>
                  </w:rPr>
                </w:pPr>
                <w:r>
                  <w:rPr/>
                  <w:fldChar w:fldCharType="begin"/>
                </w:r>
                <w:r>
                  <w:rPr>
                    <w:rFonts w:ascii="Eurostile Bold"/>
                    <w:b/>
                    <w:w w:val="95"/>
                    <w:sz w:val="24"/>
                  </w:rPr>
                  <w:instrText> PAGE </w:instrText>
                </w:r>
                <w:r>
                  <w:rPr/>
                  <w:fldChar w:fldCharType="separate"/>
                </w:r>
                <w:r>
                  <w:rPr/>
                  <w:t>29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673401pt;margin-top:28.066849pt;width:100.95pt;height:16pt;mso-position-horizontal-relative:page;mso-position-vertical-relative:page;z-index:-27560345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Catch</w:t>
                </w:r>
                <w:r>
                  <w:rPr>
                    <w:rFonts w:ascii="Eurostile Bold"/>
                    <w:b/>
                    <w:color w:val="A7A9AC"/>
                    <w:spacing w:val="-65"/>
                    <w:w w:val="90"/>
                    <w:sz w:val="28"/>
                  </w:rPr>
                  <w:t> </w:t>
                </w:r>
                <w:r>
                  <w:rPr>
                    <w:rFonts w:ascii="Eurostile Bold"/>
                    <w:b/>
                    <w:color w:val="A7A9AC"/>
                    <w:w w:val="90"/>
                    <w:sz w:val="28"/>
                  </w:rPr>
                  <w:t>the</w:t>
                </w:r>
                <w:r>
                  <w:rPr>
                    <w:rFonts w:ascii="Eurostile Bold"/>
                    <w:b/>
                    <w:color w:val="A7A9AC"/>
                    <w:spacing w:val="-65"/>
                    <w:w w:val="90"/>
                    <w:sz w:val="28"/>
                  </w:rPr>
                  <w:t> </w:t>
                </w:r>
                <w:r>
                  <w:rPr>
                    <w:rFonts w:ascii="Eurostile Bold"/>
                    <w:b/>
                    <w:color w:val="A7A9AC"/>
                    <w:w w:val="90"/>
                    <w:sz w:val="28"/>
                  </w:rPr>
                  <w:t>Vision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8449pt;width:179.3pt;height:16pt;mso-position-horizontal-relative:page;mso-position-vertical-relative:page;z-index:-275410944"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Study</w:t>
                </w:r>
                <w:r>
                  <w:rPr>
                    <w:rFonts w:ascii="Eurostile Bold" w:hAnsi="Eurostile Bold"/>
                    <w:b/>
                    <w:color w:val="ACACAC"/>
                    <w:spacing w:val="-53"/>
                    <w:w w:val="90"/>
                    <w:sz w:val="28"/>
                  </w:rPr>
                  <w:t> </w:t>
                </w:r>
                <w:r>
                  <w:rPr>
                    <w:rFonts w:ascii="Eurostile Bold" w:hAnsi="Eurostile Bold"/>
                    <w:b/>
                    <w:color w:val="ACACAC"/>
                    <w:w w:val="90"/>
                    <w:sz w:val="28"/>
                  </w:rPr>
                  <w:t>Guide</w:t>
                </w:r>
                <w:r>
                  <w:rPr>
                    <w:rFonts w:ascii="Eurostile Bold" w:hAnsi="Eurostile Bold"/>
                    <w:b/>
                    <w:color w:val="ACACAC"/>
                    <w:spacing w:val="-52"/>
                    <w:w w:val="90"/>
                    <w:sz w:val="28"/>
                  </w:rPr>
                  <w:t> </w:t>
                </w:r>
                <w:r>
                  <w:rPr>
                    <w:rFonts w:ascii="Eurostile Bold" w:hAnsi="Eurostile Bold"/>
                    <w:b/>
                    <w:color w:val="ACACAC"/>
                    <w:w w:val="90"/>
                    <w:sz w:val="28"/>
                  </w:rPr>
                  <w:t>–</w:t>
                </w:r>
                <w:r>
                  <w:rPr>
                    <w:rFonts w:ascii="Eurostile Bold" w:hAnsi="Eurostile Bold"/>
                    <w:b/>
                    <w:color w:val="ACACAC"/>
                    <w:spacing w:val="-52"/>
                    <w:w w:val="90"/>
                    <w:sz w:val="28"/>
                  </w:rPr>
                  <w:t> </w:t>
                </w:r>
                <w:r>
                  <w:rPr>
                    <w:rFonts w:ascii="Eurostile Bold" w:hAnsi="Eurostile Bold"/>
                    <w:b/>
                    <w:color w:val="ACACAC"/>
                    <w:w w:val="90"/>
                    <w:sz w:val="28"/>
                  </w:rPr>
                  <w:t>Assisted</w:t>
                </w:r>
                <w:r>
                  <w:rPr>
                    <w:rFonts w:ascii="Eurostile Bold" w:hAnsi="Eurostile Bold"/>
                    <w:b/>
                    <w:color w:val="ACACAC"/>
                    <w:spacing w:val="-52"/>
                    <w:w w:val="90"/>
                    <w:sz w:val="28"/>
                  </w:rPr>
                  <w:t> </w:t>
                </w:r>
                <w:r>
                  <w:rPr>
                    <w:rFonts w:ascii="Eurostile Bold" w:hAnsi="Eurostile Bold"/>
                    <w:b/>
                    <w:color w:val="ACACAC"/>
                    <w:w w:val="90"/>
                    <w:sz w:val="28"/>
                  </w:rPr>
                  <w:t>Dying</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31311pt;margin-top:26.897449pt;width:179.3pt;height:16pt;mso-position-horizontal-relative:page;mso-position-vertical-relative:page;z-index:-275405824"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Study</w:t>
                </w:r>
                <w:r>
                  <w:rPr>
                    <w:rFonts w:ascii="Eurostile Bold" w:hAnsi="Eurostile Bold"/>
                    <w:b/>
                    <w:color w:val="ACACAC"/>
                    <w:spacing w:val="-53"/>
                    <w:w w:val="90"/>
                    <w:sz w:val="28"/>
                  </w:rPr>
                  <w:t> </w:t>
                </w:r>
                <w:r>
                  <w:rPr>
                    <w:rFonts w:ascii="Eurostile Bold" w:hAnsi="Eurostile Bold"/>
                    <w:b/>
                    <w:color w:val="ACACAC"/>
                    <w:w w:val="90"/>
                    <w:sz w:val="28"/>
                  </w:rPr>
                  <w:t>Guide</w:t>
                </w:r>
                <w:r>
                  <w:rPr>
                    <w:rFonts w:ascii="Eurostile Bold" w:hAnsi="Eurostile Bold"/>
                    <w:b/>
                    <w:color w:val="ACACAC"/>
                    <w:spacing w:val="-52"/>
                    <w:w w:val="90"/>
                    <w:sz w:val="28"/>
                  </w:rPr>
                  <w:t> </w:t>
                </w:r>
                <w:r>
                  <w:rPr>
                    <w:rFonts w:ascii="Eurostile Bold" w:hAnsi="Eurostile Bold"/>
                    <w:b/>
                    <w:color w:val="ACACAC"/>
                    <w:w w:val="90"/>
                    <w:sz w:val="28"/>
                  </w:rPr>
                  <w:t>–</w:t>
                </w:r>
                <w:r>
                  <w:rPr>
                    <w:rFonts w:ascii="Eurostile Bold" w:hAnsi="Eurostile Bold"/>
                    <w:b/>
                    <w:color w:val="ACACAC"/>
                    <w:spacing w:val="-52"/>
                    <w:w w:val="90"/>
                    <w:sz w:val="28"/>
                  </w:rPr>
                  <w:t> </w:t>
                </w:r>
                <w:r>
                  <w:rPr>
                    <w:rFonts w:ascii="Eurostile Bold" w:hAnsi="Eurostile Bold"/>
                    <w:b/>
                    <w:color w:val="ACACAC"/>
                    <w:w w:val="90"/>
                    <w:sz w:val="28"/>
                  </w:rPr>
                  <w:t>Assisted</w:t>
                </w:r>
                <w:r>
                  <w:rPr>
                    <w:rFonts w:ascii="Eurostile Bold" w:hAnsi="Eurostile Bold"/>
                    <w:b/>
                    <w:color w:val="ACACAC"/>
                    <w:spacing w:val="-52"/>
                    <w:w w:val="90"/>
                    <w:sz w:val="28"/>
                  </w:rPr>
                  <w:t> </w:t>
                </w:r>
                <w:r>
                  <w:rPr>
                    <w:rFonts w:ascii="Eurostile Bold" w:hAnsi="Eurostile Bold"/>
                    <w:b/>
                    <w:color w:val="ACACAC"/>
                    <w:w w:val="90"/>
                    <w:sz w:val="28"/>
                  </w:rPr>
                  <w:t>Dying</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449pt;width:179.3pt;height:16pt;mso-position-horizontal-relative:page;mso-position-vertical-relative:page;z-index:-275404800"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Study</w:t>
                </w:r>
                <w:r>
                  <w:rPr>
                    <w:rFonts w:ascii="Eurostile Bold" w:hAnsi="Eurostile Bold"/>
                    <w:b/>
                    <w:color w:val="ACACAC"/>
                    <w:spacing w:val="-53"/>
                    <w:w w:val="90"/>
                    <w:sz w:val="28"/>
                  </w:rPr>
                  <w:t> </w:t>
                </w:r>
                <w:r>
                  <w:rPr>
                    <w:rFonts w:ascii="Eurostile Bold" w:hAnsi="Eurostile Bold"/>
                    <w:b/>
                    <w:color w:val="ACACAC"/>
                    <w:w w:val="90"/>
                    <w:sz w:val="28"/>
                  </w:rPr>
                  <w:t>Guide</w:t>
                </w:r>
                <w:r>
                  <w:rPr>
                    <w:rFonts w:ascii="Eurostile Bold" w:hAnsi="Eurostile Bold"/>
                    <w:b/>
                    <w:color w:val="ACACAC"/>
                    <w:spacing w:val="-52"/>
                    <w:w w:val="90"/>
                    <w:sz w:val="28"/>
                  </w:rPr>
                  <w:t> </w:t>
                </w:r>
                <w:r>
                  <w:rPr>
                    <w:rFonts w:ascii="Eurostile Bold" w:hAnsi="Eurostile Bold"/>
                    <w:b/>
                    <w:color w:val="ACACAC"/>
                    <w:w w:val="90"/>
                    <w:sz w:val="28"/>
                  </w:rPr>
                  <w:t>–</w:t>
                </w:r>
                <w:r>
                  <w:rPr>
                    <w:rFonts w:ascii="Eurostile Bold" w:hAnsi="Eurostile Bold"/>
                    <w:b/>
                    <w:color w:val="ACACAC"/>
                    <w:spacing w:val="-52"/>
                    <w:w w:val="90"/>
                    <w:sz w:val="28"/>
                  </w:rPr>
                  <w:t> </w:t>
                </w:r>
                <w:r>
                  <w:rPr>
                    <w:rFonts w:ascii="Eurostile Bold" w:hAnsi="Eurostile Bold"/>
                    <w:b/>
                    <w:color w:val="ACACAC"/>
                    <w:w w:val="90"/>
                    <w:sz w:val="28"/>
                  </w:rPr>
                  <w:t>Assisted</w:t>
                </w:r>
                <w:r>
                  <w:rPr>
                    <w:rFonts w:ascii="Eurostile Bold" w:hAnsi="Eurostile Bold"/>
                    <w:b/>
                    <w:color w:val="ACACAC"/>
                    <w:spacing w:val="-52"/>
                    <w:w w:val="90"/>
                    <w:sz w:val="28"/>
                  </w:rPr>
                  <w:t> </w:t>
                </w:r>
                <w:r>
                  <w:rPr>
                    <w:rFonts w:ascii="Eurostile Bold" w:hAnsi="Eurostile Bold"/>
                    <w:b/>
                    <w:color w:val="ACACAC"/>
                    <w:w w:val="90"/>
                    <w:sz w:val="28"/>
                  </w:rPr>
                  <w:t>Dying</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4.329712pt;margin-top:26.897949pt;width:135.4pt;height:16pt;mso-position-horizontal-relative:page;mso-position-vertical-relative:page;z-index:-27538944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Heritage Lottery</w:t>
                </w:r>
                <w:r>
                  <w:rPr>
                    <w:rFonts w:ascii="Eurostile Bold"/>
                    <w:b/>
                    <w:color w:val="A7A9AC"/>
                    <w:spacing w:val="-35"/>
                    <w:w w:val="85"/>
                    <w:sz w:val="28"/>
                  </w:rPr>
                  <w:t> </w:t>
                </w:r>
                <w:r>
                  <w:rPr>
                    <w:rFonts w:ascii="Eurostile Bold"/>
                    <w:b/>
                    <w:color w:val="A7A9AC"/>
                    <w:w w:val="85"/>
                    <w:sz w:val="28"/>
                  </w:rPr>
                  <w:t>Fund</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135.4pt;height:16pt;mso-position-horizontal-relative:page;mso-position-vertical-relative:page;z-index:-27538841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Heritage Lottery</w:t>
                </w:r>
                <w:r>
                  <w:rPr>
                    <w:rFonts w:ascii="Eurostile Bold"/>
                    <w:b/>
                    <w:color w:val="A7A9AC"/>
                    <w:spacing w:val="-35"/>
                    <w:w w:val="85"/>
                    <w:sz w:val="28"/>
                  </w:rPr>
                  <w:t> </w:t>
                </w:r>
                <w:r>
                  <w:rPr>
                    <w:rFonts w:ascii="Eurostile Bold"/>
                    <w:b/>
                    <w:color w:val="A7A9AC"/>
                    <w:w w:val="85"/>
                    <w:sz w:val="28"/>
                  </w:rPr>
                  <w:t>Fund</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69104pt;margin-top:26.897949pt;width:300.3pt;height:16pt;mso-position-horizontal-relative:page;mso-position-vertical-relative:page;z-index:-27538329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Moratorium on policy decisions on</w:t>
                </w:r>
                <w:r>
                  <w:rPr>
                    <w:rFonts w:ascii="Eurostile Bold"/>
                    <w:b/>
                    <w:color w:val="A7A9AC"/>
                    <w:spacing w:val="-57"/>
                    <w:w w:val="85"/>
                    <w:sz w:val="28"/>
                  </w:rPr>
                  <w:t> </w:t>
                </w:r>
                <w:r>
                  <w:rPr>
                    <w:rFonts w:ascii="Eurostile Bold"/>
                    <w:b/>
                    <w:color w:val="A7A9AC"/>
                    <w:w w:val="85"/>
                    <w:sz w:val="28"/>
                  </w:rPr>
                  <w:t>Homosexuality</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300.3pt;height:16pt;mso-position-horizontal-relative:page;mso-position-vertical-relative:page;z-index:-27538227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Moratorium on policy decisions on</w:t>
                </w:r>
                <w:r>
                  <w:rPr>
                    <w:rFonts w:ascii="Eurostile Bold"/>
                    <w:b/>
                    <w:color w:val="A7A9AC"/>
                    <w:spacing w:val="-57"/>
                    <w:w w:val="85"/>
                    <w:sz w:val="28"/>
                  </w:rPr>
                  <w:t> </w:t>
                </w:r>
                <w:r>
                  <w:rPr>
                    <w:rFonts w:ascii="Eurostile Bold"/>
                    <w:b/>
                    <w:color w:val="A7A9AC"/>
                    <w:w w:val="85"/>
                    <w:sz w:val="28"/>
                  </w:rPr>
                  <w:t>Homosexuality</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571899pt;margin-top:26.897949pt;width:252.2pt;height:16pt;mso-position-horizontal-relative:page;mso-position-vertical-relative:page;z-index:-27537510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Section</w:t>
                </w:r>
                <w:r>
                  <w:rPr>
                    <w:rFonts w:ascii="Eurostile Bold"/>
                    <w:b/>
                    <w:color w:val="A7A9AC"/>
                    <w:spacing w:val="-22"/>
                    <w:w w:val="85"/>
                    <w:sz w:val="28"/>
                  </w:rPr>
                  <w:t> </w:t>
                </w:r>
                <w:r>
                  <w:rPr>
                    <w:rFonts w:ascii="Eurostile Bold"/>
                    <w:b/>
                    <w:color w:val="A7A9AC"/>
                    <w:w w:val="85"/>
                    <w:sz w:val="28"/>
                  </w:rPr>
                  <w:t>O:</w:t>
                </w:r>
                <w:r>
                  <w:rPr>
                    <w:rFonts w:ascii="Eurostile Bold"/>
                    <w:b/>
                    <w:color w:val="A7A9AC"/>
                    <w:spacing w:val="-21"/>
                    <w:w w:val="85"/>
                    <w:sz w:val="28"/>
                  </w:rPr>
                  <w:t> </w:t>
                </w:r>
                <w:r>
                  <w:rPr>
                    <w:rFonts w:ascii="Eurostile Bold"/>
                    <w:b/>
                    <w:color w:val="A7A9AC"/>
                    <w:w w:val="85"/>
                    <w:sz w:val="28"/>
                  </w:rPr>
                  <w:t>Replacement</w:t>
                </w:r>
                <w:r>
                  <w:rPr>
                    <w:rFonts w:ascii="Eurostile Bold"/>
                    <w:b/>
                    <w:color w:val="A7A9AC"/>
                    <w:spacing w:val="-22"/>
                    <w:w w:val="85"/>
                    <w:sz w:val="28"/>
                  </w:rPr>
                  <w:t> </w:t>
                </w:r>
                <w:r>
                  <w:rPr>
                    <w:rFonts w:ascii="Eurostile Bold"/>
                    <w:b/>
                    <w:color w:val="A7A9AC"/>
                    <w:w w:val="85"/>
                    <w:sz w:val="28"/>
                  </w:rPr>
                  <w:t>of</w:t>
                </w:r>
                <w:r>
                  <w:rPr>
                    <w:rFonts w:ascii="Eurostile Bold"/>
                    <w:b/>
                    <w:color w:val="A7A9AC"/>
                    <w:spacing w:val="-21"/>
                    <w:w w:val="85"/>
                    <w:sz w:val="28"/>
                  </w:rPr>
                  <w:t> </w:t>
                </w:r>
                <w:r>
                  <w:rPr>
                    <w:rFonts w:ascii="Eurostile Bold"/>
                    <w:b/>
                    <w:color w:val="A7A9AC"/>
                    <w:w w:val="85"/>
                    <w:sz w:val="28"/>
                  </w:rPr>
                  <w:t>existing</w:t>
                </w:r>
                <w:r>
                  <w:rPr>
                    <w:rFonts w:ascii="Eurostile Bold"/>
                    <w:b/>
                    <w:color w:val="A7A9AC"/>
                    <w:spacing w:val="-22"/>
                    <w:w w:val="85"/>
                    <w:sz w:val="28"/>
                  </w:rPr>
                  <w:t> </w:t>
                </w:r>
                <w:r>
                  <w:rPr>
                    <w:rFonts w:ascii="Eurostile Bold"/>
                    <w:b/>
                    <w:color w:val="A7A9AC"/>
                    <w:w w:val="85"/>
                    <w:sz w:val="28"/>
                  </w:rPr>
                  <w:t>Part</w:t>
                </w:r>
                <w:r>
                  <w:rPr>
                    <w:rFonts w:ascii="Eurostile Bold"/>
                    <w:b/>
                    <w:color w:val="A7A9AC"/>
                    <w:spacing w:val="-21"/>
                    <w:w w:val="85"/>
                    <w:sz w:val="28"/>
                  </w:rPr>
                  <w:t> </w:t>
                </w:r>
                <w:r>
                  <w:rPr>
                    <w:rFonts w:ascii="Eurostile Bold"/>
                    <w:b/>
                    <w:color w:val="A7A9AC"/>
                    <w:w w:val="85"/>
                    <w:sz w:val="28"/>
                  </w:rPr>
                  <w:t>II</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252.2pt;height:16pt;mso-position-horizontal-relative:page;mso-position-vertical-relative:page;z-index:-27537408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Section</w:t>
                </w:r>
                <w:r>
                  <w:rPr>
                    <w:rFonts w:ascii="Eurostile Bold"/>
                    <w:b/>
                    <w:color w:val="A7A9AC"/>
                    <w:spacing w:val="-22"/>
                    <w:w w:val="85"/>
                    <w:sz w:val="28"/>
                  </w:rPr>
                  <w:t> </w:t>
                </w:r>
                <w:r>
                  <w:rPr>
                    <w:rFonts w:ascii="Eurostile Bold"/>
                    <w:b/>
                    <w:color w:val="A7A9AC"/>
                    <w:w w:val="85"/>
                    <w:sz w:val="28"/>
                  </w:rPr>
                  <w:t>O:</w:t>
                </w:r>
                <w:r>
                  <w:rPr>
                    <w:rFonts w:ascii="Eurostile Bold"/>
                    <w:b/>
                    <w:color w:val="A7A9AC"/>
                    <w:spacing w:val="-21"/>
                    <w:w w:val="85"/>
                    <w:sz w:val="28"/>
                  </w:rPr>
                  <w:t> </w:t>
                </w:r>
                <w:r>
                  <w:rPr>
                    <w:rFonts w:ascii="Eurostile Bold"/>
                    <w:b/>
                    <w:color w:val="A7A9AC"/>
                    <w:w w:val="85"/>
                    <w:sz w:val="28"/>
                  </w:rPr>
                  <w:t>Replacement</w:t>
                </w:r>
                <w:r>
                  <w:rPr>
                    <w:rFonts w:ascii="Eurostile Bold"/>
                    <w:b/>
                    <w:color w:val="A7A9AC"/>
                    <w:spacing w:val="-22"/>
                    <w:w w:val="85"/>
                    <w:sz w:val="28"/>
                  </w:rPr>
                  <w:t> </w:t>
                </w:r>
                <w:r>
                  <w:rPr>
                    <w:rFonts w:ascii="Eurostile Bold"/>
                    <w:b/>
                    <w:color w:val="A7A9AC"/>
                    <w:w w:val="85"/>
                    <w:sz w:val="28"/>
                  </w:rPr>
                  <w:t>of</w:t>
                </w:r>
                <w:r>
                  <w:rPr>
                    <w:rFonts w:ascii="Eurostile Bold"/>
                    <w:b/>
                    <w:color w:val="A7A9AC"/>
                    <w:spacing w:val="-21"/>
                    <w:w w:val="85"/>
                    <w:sz w:val="28"/>
                  </w:rPr>
                  <w:t> </w:t>
                </w:r>
                <w:r>
                  <w:rPr>
                    <w:rFonts w:ascii="Eurostile Bold"/>
                    <w:b/>
                    <w:color w:val="A7A9AC"/>
                    <w:w w:val="85"/>
                    <w:sz w:val="28"/>
                  </w:rPr>
                  <w:t>existing</w:t>
                </w:r>
                <w:r>
                  <w:rPr>
                    <w:rFonts w:ascii="Eurostile Bold"/>
                    <w:b/>
                    <w:color w:val="A7A9AC"/>
                    <w:spacing w:val="-22"/>
                    <w:w w:val="85"/>
                    <w:sz w:val="28"/>
                  </w:rPr>
                  <w:t> </w:t>
                </w:r>
                <w:r>
                  <w:rPr>
                    <w:rFonts w:ascii="Eurostile Bold"/>
                    <w:b/>
                    <w:color w:val="A7A9AC"/>
                    <w:w w:val="85"/>
                    <w:sz w:val="28"/>
                  </w:rPr>
                  <w:t>Part</w:t>
                </w:r>
                <w:r>
                  <w:rPr>
                    <w:rFonts w:ascii="Eurostile Bold"/>
                    <w:b/>
                    <w:color w:val="A7A9AC"/>
                    <w:spacing w:val="-21"/>
                    <w:w w:val="85"/>
                    <w:sz w:val="28"/>
                  </w:rPr>
                  <w:t> </w:t>
                </w:r>
                <w:r>
                  <w:rPr>
                    <w:rFonts w:ascii="Eurostile Bold"/>
                    <w:b/>
                    <w:color w:val="A7A9AC"/>
                    <w:w w:val="85"/>
                    <w:sz w:val="28"/>
                  </w:rPr>
                  <w:t>II</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8449pt;width:239.6pt;height:16pt;mso-position-horizontal-relative:page;mso-position-vertical-relative:page;z-index:-27536896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Ministerial</w:t>
                </w:r>
                <w:r>
                  <w:rPr>
                    <w:rFonts w:ascii="Eurostile Bold"/>
                    <w:b/>
                    <w:color w:val="A7A9AC"/>
                    <w:spacing w:val="-22"/>
                    <w:w w:val="85"/>
                    <w:sz w:val="28"/>
                  </w:rPr>
                  <w:t> </w:t>
                </w:r>
                <w:r>
                  <w:rPr>
                    <w:rFonts w:ascii="Eurostile Bold"/>
                    <w:b/>
                    <w:color w:val="A7A9AC"/>
                    <w:w w:val="85"/>
                    <w:sz w:val="28"/>
                  </w:rPr>
                  <w:t>Incapacity</w:t>
                </w:r>
                <w:r>
                  <w:rPr>
                    <w:rFonts w:ascii="Eurostile Bold"/>
                    <w:b/>
                    <w:color w:val="A7A9AC"/>
                    <w:spacing w:val="-21"/>
                    <w:w w:val="85"/>
                    <w:sz w:val="28"/>
                  </w:rPr>
                  <w:t> </w:t>
                </w:r>
                <w:r>
                  <w:rPr>
                    <w:rFonts w:ascii="Eurostile Bold"/>
                    <w:b/>
                    <w:color w:val="A7A9AC"/>
                    <w:w w:val="85"/>
                    <w:sz w:val="28"/>
                  </w:rPr>
                  <w:t>Procedure</w:t>
                </w:r>
                <w:r>
                  <w:rPr>
                    <w:rFonts w:ascii="Eurostile Bold"/>
                    <w:b/>
                    <w:color w:val="A7A9AC"/>
                    <w:spacing w:val="-21"/>
                    <w:w w:val="85"/>
                    <w:sz w:val="28"/>
                  </w:rPr>
                  <w:t> </w:t>
                </w:r>
                <w:r>
                  <w:rPr>
                    <w:rFonts w:ascii="Eurostile Bold"/>
                    <w:b/>
                    <w:color w:val="A7A9AC"/>
                    <w:w w:val="85"/>
                    <w:sz w:val="28"/>
                  </w:rPr>
                  <w:t>Part</w:t>
                </w:r>
                <w:r>
                  <w:rPr>
                    <w:rFonts w:ascii="Eurostile Bold"/>
                    <w:b/>
                    <w:color w:val="A7A9AC"/>
                    <w:spacing w:val="-21"/>
                    <w:w w:val="85"/>
                    <w:sz w:val="28"/>
                  </w:rPr>
                  <w:t> </w:t>
                </w:r>
                <w:r>
                  <w:rPr>
                    <w:rFonts w:ascii="Eurostile Bold"/>
                    <w:b/>
                    <w:color w:val="A7A9AC"/>
                    <w:w w:val="85"/>
                    <w:sz w:val="28"/>
                  </w:rPr>
                  <w:t>II</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033813pt;margin-top:26.897449pt;width:239.6pt;height:16pt;mso-position-horizontal-relative:page;mso-position-vertical-relative:page;z-index:-27536793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Ministerial</w:t>
                </w:r>
                <w:r>
                  <w:rPr>
                    <w:rFonts w:ascii="Eurostile Bold"/>
                    <w:b/>
                    <w:color w:val="A7A9AC"/>
                    <w:spacing w:val="-22"/>
                    <w:w w:val="85"/>
                    <w:sz w:val="28"/>
                  </w:rPr>
                  <w:t> </w:t>
                </w:r>
                <w:r>
                  <w:rPr>
                    <w:rFonts w:ascii="Eurostile Bold"/>
                    <w:b/>
                    <w:color w:val="A7A9AC"/>
                    <w:w w:val="85"/>
                    <w:sz w:val="28"/>
                  </w:rPr>
                  <w:t>Incapacity</w:t>
                </w:r>
                <w:r>
                  <w:rPr>
                    <w:rFonts w:ascii="Eurostile Bold"/>
                    <w:b/>
                    <w:color w:val="A7A9AC"/>
                    <w:spacing w:val="-21"/>
                    <w:w w:val="85"/>
                    <w:sz w:val="28"/>
                  </w:rPr>
                  <w:t> </w:t>
                </w:r>
                <w:r>
                  <w:rPr>
                    <w:rFonts w:ascii="Eurostile Bold"/>
                    <w:b/>
                    <w:color w:val="A7A9AC"/>
                    <w:w w:val="85"/>
                    <w:sz w:val="28"/>
                  </w:rPr>
                  <w:t>Procedure</w:t>
                </w:r>
                <w:r>
                  <w:rPr>
                    <w:rFonts w:ascii="Eurostile Bold"/>
                    <w:b/>
                    <w:color w:val="A7A9AC"/>
                    <w:spacing w:val="-21"/>
                    <w:w w:val="85"/>
                    <w:sz w:val="28"/>
                  </w:rPr>
                  <w:t> </w:t>
                </w:r>
                <w:r>
                  <w:rPr>
                    <w:rFonts w:ascii="Eurostile Bold"/>
                    <w:b/>
                    <w:color w:val="A7A9AC"/>
                    <w:w w:val="85"/>
                    <w:sz w:val="28"/>
                  </w:rPr>
                  <w:t>Part</w:t>
                </w:r>
                <w:r>
                  <w:rPr>
                    <w:rFonts w:ascii="Eurostile Bold"/>
                    <w:b/>
                    <w:color w:val="A7A9AC"/>
                    <w:spacing w:val="-21"/>
                    <w:w w:val="85"/>
                    <w:sz w:val="28"/>
                  </w:rPr>
                  <w:t> </w:t>
                </w:r>
                <w:r>
                  <w:rPr>
                    <w:rFonts w:ascii="Eurostile Bold"/>
                    <w:b/>
                    <w:color w:val="A7A9AC"/>
                    <w:w w:val="85"/>
                    <w:sz w:val="28"/>
                  </w:rPr>
                  <w:t>II</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108002pt;margin-top:26.897949pt;width:368.45pt;height:16pt;mso-position-horizontal-relative:page;mso-position-vertical-relative:page;z-index:-27536281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368.45pt;height:16pt;mso-position-horizontal-relative:page;mso-position-vertical-relative:page;z-index:-27536179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368.45pt;height:16pt;mso-position-horizontal-relative:page;mso-position-vertical-relative:page;z-index:-27536076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108002pt;margin-top:26.897949pt;width:368.45pt;height:16pt;mso-position-horizontal-relative:page;mso-position-vertical-relative:page;z-index:-27535974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368.45pt;height:16pt;mso-position-horizontal-relative:page;mso-position-vertical-relative:page;z-index:-27535667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108002pt;margin-top:26.897749pt;width:368.45pt;height:16pt;mso-position-horizontal-relative:page;mso-position-vertical-relative:page;z-index:-27535564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Consensus</w:t>
                </w:r>
                <w:r>
                  <w:rPr>
                    <w:rFonts w:ascii="Eurostile Bold"/>
                    <w:b/>
                    <w:color w:val="A7A9AC"/>
                    <w:spacing w:val="-12"/>
                    <w:w w:val="85"/>
                    <w:sz w:val="28"/>
                  </w:rPr>
                  <w:t> </w:t>
                </w:r>
                <w:r>
                  <w:rPr>
                    <w:rFonts w:ascii="Eurostile Bold"/>
                    <w:b/>
                    <w:color w:val="A7A9AC"/>
                    <w:w w:val="85"/>
                    <w:sz w:val="28"/>
                  </w:rPr>
                  <w:t>Decision</w:t>
                </w:r>
                <w:r>
                  <w:rPr>
                    <w:rFonts w:ascii="Eurostile Bold"/>
                    <w:b/>
                    <w:color w:val="A7A9AC"/>
                    <w:spacing w:val="-11"/>
                    <w:w w:val="85"/>
                    <w:sz w:val="28"/>
                  </w:rPr>
                  <w:t> </w:t>
                </w:r>
                <w:r>
                  <w:rPr>
                    <w:rFonts w:ascii="Eurostile Bold"/>
                    <w:b/>
                    <w:color w:val="A7A9AC"/>
                    <w:w w:val="85"/>
                    <w:sz w:val="28"/>
                  </w:rPr>
                  <w:t>Making</w:t>
                </w:r>
                <w:r>
                  <w:rPr>
                    <w:rFonts w:ascii="Eurostile Bold"/>
                    <w:b/>
                    <w:color w:val="A7A9AC"/>
                    <w:spacing w:val="-12"/>
                    <w:w w:val="85"/>
                    <w:sz w:val="28"/>
                  </w:rPr>
                  <w:t> </w:t>
                </w:r>
                <w:r>
                  <w:rPr>
                    <w:rFonts w:ascii="Eurostile Bold"/>
                    <w:b/>
                    <w:color w:val="A7A9AC"/>
                    <w:w w:val="85"/>
                    <w:sz w:val="28"/>
                  </w:rPr>
                  <w:t>for</w:t>
                </w:r>
                <w:r>
                  <w:rPr>
                    <w:rFonts w:ascii="Eurostile Bold"/>
                    <w:b/>
                    <w:color w:val="A7A9AC"/>
                    <w:spacing w:val="-11"/>
                    <w:w w:val="85"/>
                    <w:sz w:val="28"/>
                  </w:rPr>
                  <w:t> </w:t>
                </w:r>
                <w:r>
                  <w:rPr>
                    <w:rFonts w:ascii="Eurostile Bold"/>
                    <w:b/>
                    <w:color w:val="A7A9AC"/>
                    <w:w w:val="85"/>
                    <w:sz w:val="28"/>
                  </w:rPr>
                  <w:t>the</w:t>
                </w:r>
                <w:r>
                  <w:rPr>
                    <w:rFonts w:ascii="Eurostile Bold"/>
                    <w:b/>
                    <w:color w:val="A7A9AC"/>
                    <w:spacing w:val="-11"/>
                    <w:w w:val="85"/>
                    <w:sz w:val="28"/>
                  </w:rPr>
                  <w:t> </w:t>
                </w:r>
                <w:r>
                  <w:rPr>
                    <w:rFonts w:ascii="Eurostile Bold"/>
                    <w:b/>
                    <w:color w:val="A7A9AC"/>
                    <w:w w:val="85"/>
                    <w:sz w:val="28"/>
                  </w:rPr>
                  <w:t>United</w:t>
                </w:r>
                <w:r>
                  <w:rPr>
                    <w:rFonts w:ascii="Eurostile Bold"/>
                    <w:b/>
                    <w:color w:val="A7A9AC"/>
                    <w:spacing w:val="-11"/>
                    <w:w w:val="85"/>
                    <w:sz w:val="28"/>
                  </w:rPr>
                  <w:t> </w:t>
                </w:r>
                <w:r>
                  <w:rPr>
                    <w:rFonts w:ascii="Eurostile Bold"/>
                    <w:b/>
                    <w:color w:val="A7A9AC"/>
                    <w:w w:val="85"/>
                    <w:sz w:val="28"/>
                  </w:rPr>
                  <w:t>Reformed</w:t>
                </w:r>
                <w:r>
                  <w:rPr>
                    <w:rFonts w:ascii="Eurostile Bold"/>
                    <w:b/>
                    <w:color w:val="A7A9AC"/>
                    <w:spacing w:val="-11"/>
                    <w:w w:val="85"/>
                    <w:sz w:val="28"/>
                  </w:rPr>
                  <w:t> </w:t>
                </w:r>
                <w:r>
                  <w:rPr>
                    <w:rFonts w:ascii="Eurostile Bold"/>
                    <w:b/>
                    <w:color w:val="A7A9AC"/>
                    <w:w w:val="85"/>
                    <w:sz w:val="28"/>
                  </w:rPr>
                  <w:t>Church</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087311pt;margin-top:11.122662pt;width:89.05pt;height:15.1pt;mso-position-horizontal-relative:page;mso-position-vertical-relative:page;z-index:-275350528" type="#_x0000_t202" filled="false" stroked="false">
          <v:textbox inset="0,0,0,0">
            <w:txbxContent>
              <w:p>
                <w:pPr>
                  <w:pStyle w:val="BodyText"/>
                  <w:spacing w:before="13"/>
                  <w:ind w:left="20"/>
                  <w:rPr>
                    <w:rFonts w:ascii="Arial"/>
                    <w:b/>
                    <w:sz w:val="21"/>
                  </w:rPr>
                </w:pPr>
                <w:r>
                  <w:rPr>
                    <w:rFonts w:ascii="Times New Roman"/>
                    <w:color w:val="424242"/>
                    <w:w w:val="105"/>
                  </w:rPr>
                  <w:t>ACCOUNTS </w:t>
                </w:r>
                <w:r>
                  <w:rPr>
                    <w:rFonts w:ascii="Times New Roman"/>
                    <w:color w:val="333333"/>
                    <w:w w:val="105"/>
                  </w:rPr>
                  <w:t>page </w:t>
                </w:r>
                <w:r>
                  <w:rPr/>
                  <w:fldChar w:fldCharType="begin"/>
                </w:r>
                <w:r>
                  <w:rPr>
                    <w:rFonts w:ascii="Arial"/>
                    <w:b/>
                    <w:color w:val="333333"/>
                    <w:w w:val="105"/>
                    <w:sz w:val="21"/>
                  </w:rPr>
                  <w:instrText> PAGE </w:instrText>
                </w:r>
                <w:r>
                  <w:rPr/>
                  <w:fldChar w:fldCharType="separate"/>
                </w:r>
                <w:r>
                  <w:rPr/>
                  <w:t>4</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671509pt;margin-top:28.067348pt;width:191.15pt;height:16pt;mso-position-horizontal-relative:page;mso-position-vertical-relative:page;z-index:-27557785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Synod Reports and</w:t>
                </w:r>
                <w:r>
                  <w:rPr>
                    <w:rFonts w:ascii="Eurostile Bold"/>
                    <w:b/>
                    <w:color w:val="A7A9AC"/>
                    <w:spacing w:val="-34"/>
                    <w:w w:val="85"/>
                    <w:sz w:val="28"/>
                  </w:rPr>
                  <w:t> </w:t>
                </w:r>
                <w:r>
                  <w:rPr>
                    <w:rFonts w:ascii="Eurostile Bold"/>
                    <w:b/>
                    <w:color w:val="A7A9AC"/>
                    <w:w w:val="85"/>
                    <w:sz w:val="28"/>
                  </w:rPr>
                  <w:t>Resolutions</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4.087311pt;margin-top:11.122662pt;width:83.35pt;height:13.8pt;mso-position-horizontal-relative:page;mso-position-vertical-relative:page;z-index:-275349504" type="#_x0000_t202" filled="false" stroked="false">
          <v:textbox inset="0,0,0,0">
            <w:txbxContent>
              <w:p>
                <w:pPr>
                  <w:pStyle w:val="BodyText"/>
                  <w:spacing w:before="13"/>
                  <w:ind w:left="20"/>
                  <w:rPr>
                    <w:rFonts w:ascii="Arial"/>
                    <w:b/>
                    <w:sz w:val="21"/>
                  </w:rPr>
                </w:pPr>
                <w:r>
                  <w:rPr>
                    <w:rFonts w:ascii="Times New Roman"/>
                    <w:color w:val="424242"/>
                    <w:w w:val="105"/>
                  </w:rPr>
                  <w:t>ACCOUNTS </w:t>
                </w:r>
                <w:r>
                  <w:rPr>
                    <w:rFonts w:ascii="Times New Roman"/>
                    <w:color w:val="333333"/>
                    <w:w w:val="105"/>
                  </w:rPr>
                  <w:t>page </w:t>
                </w:r>
                <w:r>
                  <w:rPr/>
                  <w:fldChar w:fldCharType="begin"/>
                </w:r>
                <w:r>
                  <w:rPr>
                    <w:rFonts w:ascii="Arial"/>
                    <w:b/>
                    <w:color w:val="333333"/>
                    <w:w w:val="105"/>
                    <w:sz w:val="21"/>
                  </w:rPr>
                  <w:instrText> PAGE </w:instrText>
                </w:r>
                <w:r>
                  <w:rPr/>
                  <w:fldChar w:fldCharType="separate"/>
                </w:r>
                <w:r>
                  <w:rPr/>
                  <w:t>4</w:t>
                </w:r>
                <w:r>
                  <w:rPr/>
                  <w:fldChar w:fldCharType="end"/>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7.08371pt;margin-top:13.127071pt;width:83.9pt;height:12.55pt;mso-position-horizontal-relative:page;mso-position-vertical-relative:page;z-index:-275348480" type="#_x0000_t202" filled="false" stroked="false">
          <v:textbox inset="0,0,0,0">
            <w:txbxContent>
              <w:p>
                <w:pPr>
                  <w:spacing w:before="12"/>
                  <w:ind w:left="20" w:right="0" w:firstLine="0"/>
                  <w:jc w:val="left"/>
                  <w:rPr>
                    <w:rFonts w:ascii="Times New Roman"/>
                    <w:sz w:val="19"/>
                  </w:rPr>
                </w:pPr>
                <w:r>
                  <w:rPr>
                    <w:rFonts w:ascii="Times New Roman"/>
                    <w:color w:val="1C1C1C"/>
                    <w:spacing w:val="-6"/>
                    <w:w w:val="110"/>
                    <w:sz w:val="19"/>
                  </w:rPr>
                  <w:t>A</w:t>
                </w:r>
                <w:r>
                  <w:rPr>
                    <w:rFonts w:ascii="Times New Roman"/>
                    <w:color w:val="383838"/>
                    <w:spacing w:val="-6"/>
                    <w:w w:val="110"/>
                    <w:sz w:val="19"/>
                  </w:rPr>
                  <w:t>C</w:t>
                </w:r>
                <w:r>
                  <w:rPr>
                    <w:rFonts w:ascii="Times New Roman"/>
                    <w:color w:val="1C1C1C"/>
                    <w:spacing w:val="-6"/>
                    <w:w w:val="110"/>
                    <w:sz w:val="19"/>
                  </w:rPr>
                  <w:t>CO</w:t>
                </w:r>
                <w:r>
                  <w:rPr>
                    <w:rFonts w:ascii="Times New Roman"/>
                    <w:color w:val="383838"/>
                    <w:spacing w:val="-6"/>
                    <w:w w:val="110"/>
                    <w:sz w:val="19"/>
                  </w:rPr>
                  <w:t>UN</w:t>
                </w:r>
                <w:r>
                  <w:rPr>
                    <w:rFonts w:ascii="Times New Roman"/>
                    <w:color w:val="1C1C1C"/>
                    <w:spacing w:val="-6"/>
                    <w:w w:val="110"/>
                    <w:sz w:val="19"/>
                  </w:rPr>
                  <w:t>T</w:t>
                </w:r>
                <w:r>
                  <w:rPr>
                    <w:rFonts w:ascii="Times New Roman"/>
                    <w:color w:val="383838"/>
                    <w:spacing w:val="-6"/>
                    <w:w w:val="110"/>
                    <w:sz w:val="19"/>
                  </w:rPr>
                  <w:t>S </w:t>
                </w:r>
                <w:r>
                  <w:rPr>
                    <w:rFonts w:ascii="Times New Roman"/>
                    <w:color w:val="1C1C1C"/>
                    <w:spacing w:val="-3"/>
                    <w:w w:val="110"/>
                    <w:sz w:val="18"/>
                  </w:rPr>
                  <w:t>pag</w:t>
                </w:r>
                <w:r>
                  <w:rPr>
                    <w:rFonts w:ascii="Times New Roman"/>
                    <w:color w:val="383838"/>
                    <w:spacing w:val="-3"/>
                    <w:w w:val="110"/>
                    <w:sz w:val="18"/>
                  </w:rPr>
                  <w:t>e </w:t>
                </w:r>
                <w:r>
                  <w:rPr>
                    <w:rFonts w:ascii="Times New Roman"/>
                    <w:color w:val="1C1C1C"/>
                    <w:w w:val="110"/>
                    <w:sz w:val="19"/>
                  </w:rPr>
                  <w:t>6</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638794pt;margin-top:9.381698pt;width:81.45pt;height:14.25pt;mso-position-horizontal-relative:page;mso-position-vertical-relative:page;z-index:-275347456" type="#_x0000_t202" filled="false" stroked="false">
          <v:textbox inset="0,0,0,0">
            <w:txbxContent>
              <w:p>
                <w:pPr>
                  <w:spacing w:before="11"/>
                  <w:ind w:left="20" w:right="0" w:firstLine="0"/>
                  <w:jc w:val="left"/>
                  <w:rPr>
                    <w:rFonts w:ascii="Times New Roman"/>
                    <w:b/>
                    <w:sz w:val="22"/>
                  </w:rPr>
                </w:pPr>
                <w:r>
                  <w:rPr>
                    <w:rFonts w:ascii="Times New Roman"/>
                    <w:color w:val="414141"/>
                    <w:sz w:val="19"/>
                  </w:rPr>
                  <w:t>ACCOUNTS page </w:t>
                </w:r>
                <w:r>
                  <w:rPr>
                    <w:rFonts w:ascii="Times New Roman"/>
                    <w:b/>
                    <w:color w:val="2A2A2A"/>
                    <w:sz w:val="22"/>
                  </w:rPr>
                  <w:t>8</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22743pt;margin-top:11.122662pt;width:87.7pt;height:16.25pt;mso-position-horizontal-relative:page;mso-position-vertical-relative:page;z-index:-275346432" type="#_x0000_t202" filled="false" stroked="false">
          <v:textbox inset="0,0,0,0">
            <w:txbxContent>
              <w:p>
                <w:pPr>
                  <w:pStyle w:val="BodyText"/>
                  <w:spacing w:before="62"/>
                  <w:ind w:left="20"/>
                  <w:rPr>
                    <w:rFonts w:ascii="Times New Roman"/>
                    <w:sz w:val="21"/>
                  </w:rPr>
                </w:pPr>
                <w:r>
                  <w:rPr>
                    <w:rFonts w:ascii="Times New Roman"/>
                    <w:color w:val="414141"/>
                    <w:w w:val="105"/>
                  </w:rPr>
                  <w:t>ACC</w:t>
                </w:r>
                <w:r>
                  <w:rPr>
                    <w:rFonts w:ascii="Times New Roman"/>
                    <w:color w:val="1C1C1C"/>
                    <w:w w:val="105"/>
                  </w:rPr>
                  <w:t>O</w:t>
                </w:r>
                <w:r>
                  <w:rPr>
                    <w:rFonts w:ascii="Times New Roman"/>
                    <w:color w:val="414141"/>
                    <w:w w:val="105"/>
                  </w:rPr>
                  <w:t>UNTS page </w:t>
                </w:r>
                <w:r>
                  <w:rPr/>
                  <w:fldChar w:fldCharType="begin"/>
                </w:r>
                <w:r>
                  <w:rPr>
                    <w:rFonts w:ascii="Times New Roman"/>
                    <w:color w:val="1C1C1C"/>
                    <w:w w:val="105"/>
                    <w:sz w:val="21"/>
                  </w:rPr>
                  <w:instrText> PAGE </w:instrText>
                </w:r>
                <w:r>
                  <w:rPr/>
                  <w:fldChar w:fldCharType="separate"/>
                </w:r>
                <w:r>
                  <w:rPr/>
                  <w:t>15</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5.692902pt;margin-top:26.897449pt;width:191.15pt;height:16pt;mso-position-horizontal-relative:page;mso-position-vertical-relative:page;z-index:-27557683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Synod Reports and</w:t>
                </w:r>
                <w:r>
                  <w:rPr>
                    <w:rFonts w:ascii="Eurostile Bold"/>
                    <w:b/>
                    <w:color w:val="A7A9AC"/>
                    <w:spacing w:val="-34"/>
                    <w:w w:val="85"/>
                    <w:sz w:val="28"/>
                  </w:rPr>
                  <w:t> </w:t>
                </w:r>
                <w:r>
                  <w:rPr>
                    <w:rFonts w:ascii="Eurostile Bold"/>
                    <w:b/>
                    <w:color w:val="A7A9AC"/>
                    <w:w w:val="85"/>
                    <w:sz w:val="28"/>
                  </w:rPr>
                  <w:t>Resolutions</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823914pt;margin-top:12.302906pt;width:88.2pt;height:14.8pt;mso-position-horizontal-relative:page;mso-position-vertical-relative:page;z-index:-275345408" type="#_x0000_t202" filled="false" stroked="false">
          <v:textbox inset="0,0,0,0">
            <w:txbxContent>
              <w:p>
                <w:pPr>
                  <w:spacing w:before="10"/>
                  <w:ind w:left="20" w:right="0" w:firstLine="0"/>
                  <w:jc w:val="left"/>
                  <w:rPr>
                    <w:rFonts w:ascii="Times New Roman"/>
                    <w:sz w:val="23"/>
                  </w:rPr>
                </w:pPr>
                <w:r>
                  <w:rPr>
                    <w:rFonts w:ascii="Times New Roman"/>
                    <w:color w:val="3F3F3F"/>
                    <w:sz w:val="19"/>
                  </w:rPr>
                  <w:t>AC</w:t>
                </w:r>
                <w:r>
                  <w:rPr>
                    <w:rFonts w:ascii="Times New Roman"/>
                    <w:color w:val="242424"/>
                    <w:sz w:val="19"/>
                  </w:rPr>
                  <w:t>C</w:t>
                </w:r>
                <w:r>
                  <w:rPr>
                    <w:rFonts w:ascii="Times New Roman"/>
                    <w:color w:val="3F3F3F"/>
                    <w:sz w:val="19"/>
                  </w:rPr>
                  <w:t>OUNTS page </w:t>
                </w:r>
                <w:r>
                  <w:rPr/>
                  <w:fldChar w:fldCharType="begin"/>
                </w:r>
                <w:r>
                  <w:rPr>
                    <w:rFonts w:ascii="Times New Roman"/>
                    <w:color w:val="3F3F3F"/>
                    <w:sz w:val="23"/>
                  </w:rPr>
                  <w:instrText> PAGE </w:instrText>
                </w:r>
                <w:r>
                  <w:rPr/>
                  <w:fldChar w:fldCharType="separate"/>
                </w:r>
                <w:r>
                  <w:rPr/>
                  <w:t>14</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823914pt;margin-top:11.302906pt;width:91.2pt;height:16.8pt;mso-position-horizontal-relative:page;mso-position-vertical-relative:page;z-index:-275344384" type="#_x0000_t202" filled="false" stroked="false">
          <v:textbox inset="0,0,0,0">
            <w:txbxContent>
              <w:p>
                <w:pPr>
                  <w:spacing w:before="30"/>
                  <w:ind w:left="20" w:right="0" w:firstLine="0"/>
                  <w:jc w:val="left"/>
                  <w:rPr>
                    <w:rFonts w:ascii="Times New Roman"/>
                    <w:sz w:val="23"/>
                  </w:rPr>
                </w:pPr>
                <w:r>
                  <w:rPr>
                    <w:rFonts w:ascii="Times New Roman"/>
                    <w:color w:val="3F3F3F"/>
                    <w:sz w:val="19"/>
                  </w:rPr>
                  <w:t>AC</w:t>
                </w:r>
                <w:r>
                  <w:rPr>
                    <w:rFonts w:ascii="Times New Roman"/>
                    <w:color w:val="242424"/>
                    <w:sz w:val="19"/>
                  </w:rPr>
                  <w:t>C</w:t>
                </w:r>
                <w:r>
                  <w:rPr>
                    <w:rFonts w:ascii="Times New Roman"/>
                    <w:color w:val="3F3F3F"/>
                    <w:sz w:val="19"/>
                  </w:rPr>
                  <w:t>OUNTS page </w:t>
                </w:r>
                <w:r>
                  <w:rPr/>
                  <w:fldChar w:fldCharType="begin"/>
                </w:r>
                <w:r>
                  <w:rPr>
                    <w:rFonts w:ascii="Times New Roman"/>
                    <w:color w:val="3F3F3F"/>
                    <w:sz w:val="23"/>
                  </w:rPr>
                  <w:instrText> PAGE </w:instrText>
                </w:r>
                <w:r>
                  <w:rPr/>
                  <w:fldChar w:fldCharType="separate"/>
                </w:r>
                <w:r>
                  <w:rPr/>
                  <w:t>14</w:t>
                </w:r>
                <w:r>
                  <w:rPr/>
                  <w:fldChar w:fldCharType="end"/>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22743pt;margin-top:13.677289pt;width:87.7pt;height:13.7pt;mso-position-horizontal-relative:page;mso-position-vertical-relative:page;z-index:-275343360" type="#_x0000_t202" filled="false" stroked="false">
          <v:textbox inset="0,0,0,0">
            <w:txbxContent>
              <w:p>
                <w:pPr>
                  <w:pStyle w:val="BodyText"/>
                  <w:spacing w:before="11"/>
                  <w:ind w:left="20"/>
                  <w:rPr>
                    <w:rFonts w:ascii="Times New Roman"/>
                    <w:sz w:val="21"/>
                  </w:rPr>
                </w:pPr>
                <w:r>
                  <w:rPr>
                    <w:rFonts w:ascii="Times New Roman"/>
                    <w:color w:val="414141"/>
                    <w:w w:val="105"/>
                  </w:rPr>
                  <w:t>ACC</w:t>
                </w:r>
                <w:r>
                  <w:rPr>
                    <w:rFonts w:ascii="Times New Roman"/>
                    <w:color w:val="1C1C1C"/>
                    <w:w w:val="105"/>
                  </w:rPr>
                  <w:t>O</w:t>
                </w:r>
                <w:r>
                  <w:rPr>
                    <w:rFonts w:ascii="Times New Roman"/>
                    <w:color w:val="414141"/>
                    <w:w w:val="105"/>
                  </w:rPr>
                  <w:t>UNTS page </w:t>
                </w:r>
                <w:r>
                  <w:rPr/>
                  <w:fldChar w:fldCharType="begin"/>
                </w:r>
                <w:r>
                  <w:rPr>
                    <w:rFonts w:ascii="Times New Roman"/>
                    <w:color w:val="1C1C1C"/>
                    <w:w w:val="105"/>
                    <w:sz w:val="21"/>
                  </w:rPr>
                  <w:instrText> PAGE </w:instrText>
                </w:r>
                <w:r>
                  <w:rPr/>
                  <w:fldChar w:fldCharType="separate"/>
                </w:r>
                <w:r>
                  <w:rPr/>
                  <w:t>15</w:t>
                </w:r>
                <w:r>
                  <w:rPr/>
                  <w:fldChar w:fldCharType="end"/>
                </w:r>
              </w:p>
            </w:txbxContent>
          </v:textbox>
          <w10:wrap type="non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22743pt;margin-top:12.677289pt;width:90.7pt;height:15.7pt;mso-position-horizontal-relative:page;mso-position-vertical-relative:page;z-index:-275342336" type="#_x0000_t202" filled="false" stroked="false">
          <v:textbox inset="0,0,0,0">
            <w:txbxContent>
              <w:p>
                <w:pPr>
                  <w:pStyle w:val="BodyText"/>
                  <w:spacing w:before="31"/>
                  <w:ind w:left="20"/>
                  <w:rPr>
                    <w:rFonts w:ascii="Times New Roman"/>
                    <w:sz w:val="21"/>
                  </w:rPr>
                </w:pPr>
                <w:r>
                  <w:rPr>
                    <w:rFonts w:ascii="Times New Roman"/>
                    <w:color w:val="414141"/>
                    <w:w w:val="105"/>
                  </w:rPr>
                  <w:t>ACC</w:t>
                </w:r>
                <w:r>
                  <w:rPr>
                    <w:rFonts w:ascii="Times New Roman"/>
                    <w:color w:val="1C1C1C"/>
                    <w:w w:val="105"/>
                  </w:rPr>
                  <w:t>O</w:t>
                </w:r>
                <w:r>
                  <w:rPr>
                    <w:rFonts w:ascii="Times New Roman"/>
                    <w:color w:val="414141"/>
                    <w:w w:val="105"/>
                  </w:rPr>
                  <w:t>UNTS page </w:t>
                </w:r>
                <w:r>
                  <w:rPr/>
                  <w:fldChar w:fldCharType="begin"/>
                </w:r>
                <w:r>
                  <w:rPr>
                    <w:rFonts w:ascii="Times New Roman"/>
                    <w:color w:val="1C1C1C"/>
                    <w:w w:val="105"/>
                    <w:sz w:val="21"/>
                  </w:rPr>
                  <w:instrText> PAGE </w:instrText>
                </w:r>
                <w:r>
                  <w:rPr/>
                  <w:fldChar w:fldCharType="separate"/>
                </w:r>
                <w:r>
                  <w:rPr/>
                  <w:t>15</w:t>
                </w:r>
                <w:r>
                  <w:rPr/>
                  <w:fldChar w:fldCharType="end"/>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1.787297pt;width:90.05pt;height:16.1500pt;mso-position-horizontal-relative:page;mso-position-vertical-relative:page;z-index:-275341312" type="#_x0000_t202" filled="false" stroked="false">
          <v:textbox inset="0,0,0,0">
            <w:txbxContent>
              <w:p>
                <w:pPr>
                  <w:pStyle w:val="BodyText"/>
                  <w:spacing w:before="11"/>
                  <w:ind w:left="20"/>
                  <w:rPr>
                    <w:rFonts w:ascii="Times New Roman"/>
                    <w:sz w:val="22"/>
                  </w:rPr>
                </w:pPr>
                <w:r>
                  <w:rPr>
                    <w:rFonts w:ascii="Times New Roman"/>
                    <w:color w:val="3F3F3F"/>
                    <w:w w:val="110"/>
                  </w:rPr>
                  <w:t>ACCOUNTS</w:t>
                </w:r>
                <w:r>
                  <w:rPr>
                    <w:rFonts w:ascii="Times New Roman"/>
                    <w:color w:val="3F3F3F"/>
                    <w:spacing w:val="-20"/>
                    <w:w w:val="110"/>
                  </w:rPr>
                  <w:t> </w:t>
                </w:r>
                <w:r>
                  <w:rPr>
                    <w:rFonts w:ascii="Times New Roman"/>
                    <w:color w:val="3F3F3F"/>
                    <w:w w:val="110"/>
                  </w:rPr>
                  <w:t>page</w:t>
                </w:r>
                <w:r>
                  <w:rPr>
                    <w:rFonts w:ascii="Times New Roman"/>
                    <w:color w:val="3F3F3F"/>
                    <w:spacing w:val="-35"/>
                    <w:w w:val="110"/>
                  </w:rPr>
                  <w:t> </w:t>
                </w:r>
                <w:r>
                  <w:rPr/>
                  <w:fldChar w:fldCharType="begin"/>
                </w:r>
                <w:r>
                  <w:rPr>
                    <w:rFonts w:ascii="Times New Roman"/>
                    <w:color w:val="1A1A1A"/>
                    <w:w w:val="110"/>
                    <w:sz w:val="22"/>
                  </w:rPr>
                  <w:instrText> PAGE </w:instrText>
                </w:r>
                <w:r>
                  <w:rPr/>
                  <w:fldChar w:fldCharType="separate"/>
                </w:r>
                <w:r>
                  <w:rPr/>
                  <w:t>18</w:t>
                </w:r>
                <w:r>
                  <w:rPr/>
                  <w:fldChar w:fldCharType="end"/>
                </w:r>
              </w:p>
            </w:txbxContent>
          </v:textbox>
          <w10:wrap type="none"/>
        </v:shape>
      </w:pict>
    </w:r>
    <w:r>
      <w:rPr/>
      <w:pict>
        <v:shape style="position:absolute;margin-left:182.800293pt;margin-top:25.258497pt;width:211.25pt;height:14.25pt;mso-position-horizontal-relative:page;mso-position-vertical-relative:page;z-index:-275340288" type="#_x0000_t202" filled="false" stroked="false">
          <v:textbox inset="0,0,0,0">
            <w:txbxContent>
              <w:p>
                <w:pPr>
                  <w:spacing w:before="11"/>
                  <w:ind w:left="20" w:right="0" w:firstLine="0"/>
                  <w:jc w:val="left"/>
                  <w:rPr>
                    <w:rFonts w:ascii="Times New Roman"/>
                    <w:b/>
                    <w:sz w:val="20"/>
                  </w:rPr>
                </w:pPr>
                <w:r>
                  <w:rPr>
                    <w:rFonts w:ascii="Times New Roman"/>
                    <w:b/>
                    <w:color w:val="1A1A1A"/>
                    <w:w w:val="105"/>
                    <w:sz w:val="20"/>
                  </w:rPr>
                  <w:t>NOTES</w:t>
                </w:r>
                <w:r>
                  <w:rPr>
                    <w:rFonts w:ascii="Times New Roman"/>
                    <w:b/>
                    <w:color w:val="1A1A1A"/>
                    <w:spacing w:val="-29"/>
                    <w:w w:val="105"/>
                    <w:sz w:val="20"/>
                  </w:rPr>
                  <w:t> </w:t>
                </w:r>
                <w:r>
                  <w:rPr>
                    <w:rFonts w:ascii="Times New Roman"/>
                    <w:b/>
                    <w:color w:val="1A1A1A"/>
                    <w:w w:val="105"/>
                    <w:sz w:val="20"/>
                  </w:rPr>
                  <w:t>TO</w:t>
                </w:r>
                <w:r>
                  <w:rPr>
                    <w:rFonts w:ascii="Times New Roman"/>
                    <w:b/>
                    <w:color w:val="1A1A1A"/>
                    <w:spacing w:val="-13"/>
                    <w:w w:val="105"/>
                    <w:sz w:val="20"/>
                  </w:rPr>
                  <w:t> </w:t>
                </w:r>
                <w:r>
                  <w:rPr>
                    <w:rFonts w:ascii="Times New Roman"/>
                    <w:b/>
                    <w:color w:val="1A1A1A"/>
                    <w:w w:val="105"/>
                    <w:sz w:val="20"/>
                  </w:rPr>
                  <w:t>THE</w:t>
                </w:r>
                <w:r>
                  <w:rPr>
                    <w:rFonts w:ascii="Times New Roman"/>
                    <w:b/>
                    <w:color w:val="1A1A1A"/>
                    <w:spacing w:val="-27"/>
                    <w:w w:val="105"/>
                    <w:sz w:val="20"/>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1A1A1A"/>
                    <w:w w:val="105"/>
                    <w:sz w:val="20"/>
                  </w:rPr>
                  <w:t>CONTINUED</w:t>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0.787297pt;width:93.05pt;height:18.150pt;mso-position-horizontal-relative:page;mso-position-vertical-relative:page;z-index:-275339264" type="#_x0000_t202" filled="false" stroked="false">
          <v:textbox inset="0,0,0,0">
            <w:txbxContent>
              <w:p>
                <w:pPr>
                  <w:pStyle w:val="BodyText"/>
                  <w:spacing w:before="31"/>
                  <w:ind w:left="20"/>
                  <w:rPr>
                    <w:rFonts w:ascii="Times New Roman"/>
                    <w:sz w:val="22"/>
                  </w:rPr>
                </w:pPr>
                <w:r>
                  <w:rPr>
                    <w:rFonts w:ascii="Times New Roman"/>
                    <w:color w:val="3F3F3F"/>
                    <w:w w:val="110"/>
                  </w:rPr>
                  <w:t>ACCOUNTS page </w:t>
                </w:r>
                <w:r>
                  <w:rPr/>
                  <w:fldChar w:fldCharType="begin"/>
                </w:r>
                <w:r>
                  <w:rPr>
                    <w:rFonts w:ascii="Times New Roman"/>
                    <w:color w:val="1A1A1A"/>
                    <w:w w:val="110"/>
                    <w:sz w:val="22"/>
                  </w:rPr>
                  <w:instrText> PAGE </w:instrText>
                </w:r>
                <w:r>
                  <w:rPr/>
                  <w:fldChar w:fldCharType="separate"/>
                </w:r>
                <w:r>
                  <w:rPr/>
                  <w:t>18</w:t>
                </w:r>
                <w:r>
                  <w:rPr/>
                  <w:fldChar w:fldCharType="end"/>
                </w:r>
              </w:p>
            </w:txbxContent>
          </v:textbox>
          <w10:wrap type="none"/>
        </v:shape>
      </w:pict>
    </w:r>
    <w:r>
      <w:rPr/>
      <w:pict>
        <v:shape style="position:absolute;margin-left:182.800293pt;margin-top:25.258497pt;width:211.25pt;height:14.25pt;mso-position-horizontal-relative:page;mso-position-vertical-relative:page;z-index:-275338240" type="#_x0000_t202" filled="false" stroked="false">
          <v:textbox inset="0,0,0,0">
            <w:txbxContent>
              <w:p>
                <w:pPr>
                  <w:spacing w:before="11"/>
                  <w:ind w:left="20" w:right="0" w:firstLine="0"/>
                  <w:jc w:val="left"/>
                  <w:rPr>
                    <w:rFonts w:ascii="Times New Roman"/>
                    <w:b/>
                    <w:sz w:val="20"/>
                  </w:rPr>
                </w:pPr>
                <w:r>
                  <w:rPr>
                    <w:rFonts w:ascii="Times New Roman"/>
                    <w:b/>
                    <w:color w:val="1A1A1A"/>
                    <w:w w:val="105"/>
                    <w:sz w:val="20"/>
                  </w:rPr>
                  <w:t>NOTES</w:t>
                </w:r>
                <w:r>
                  <w:rPr>
                    <w:rFonts w:ascii="Times New Roman"/>
                    <w:b/>
                    <w:color w:val="1A1A1A"/>
                    <w:spacing w:val="-29"/>
                    <w:w w:val="105"/>
                    <w:sz w:val="20"/>
                  </w:rPr>
                  <w:t> </w:t>
                </w:r>
                <w:r>
                  <w:rPr>
                    <w:rFonts w:ascii="Times New Roman"/>
                    <w:b/>
                    <w:color w:val="1A1A1A"/>
                    <w:w w:val="105"/>
                    <w:sz w:val="20"/>
                  </w:rPr>
                  <w:t>TO</w:t>
                </w:r>
                <w:r>
                  <w:rPr>
                    <w:rFonts w:ascii="Times New Roman"/>
                    <w:b/>
                    <w:color w:val="1A1A1A"/>
                    <w:spacing w:val="-13"/>
                    <w:w w:val="105"/>
                    <w:sz w:val="20"/>
                  </w:rPr>
                  <w:t> </w:t>
                </w:r>
                <w:r>
                  <w:rPr>
                    <w:rFonts w:ascii="Times New Roman"/>
                    <w:b/>
                    <w:color w:val="1A1A1A"/>
                    <w:w w:val="105"/>
                    <w:sz w:val="20"/>
                  </w:rPr>
                  <w:t>THE</w:t>
                </w:r>
                <w:r>
                  <w:rPr>
                    <w:rFonts w:ascii="Times New Roman"/>
                    <w:b/>
                    <w:color w:val="1A1A1A"/>
                    <w:spacing w:val="-27"/>
                    <w:w w:val="105"/>
                    <w:sz w:val="20"/>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1A1A1A"/>
                    <w:w w:val="105"/>
                    <w:sz w:val="20"/>
                  </w:rPr>
                  <w:t>CONTINUED</w:t>
                </w:r>
              </w:p>
            </w:txbxContent>
          </v:textbox>
          <w10:wrap type="non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967201pt;margin-top:10.378507pt;width:88.8pt;height:24.2pt;mso-position-horizontal-relative:page;mso-position-vertical-relative:page;z-index:-275337216" type="#_x0000_t202" filled="false" stroked="false">
          <v:textbox inset="0,0,0,0">
            <w:txbxContent>
              <w:p>
                <w:pPr>
                  <w:pStyle w:val="BodyText"/>
                  <w:spacing w:before="10"/>
                  <w:ind w:left="20"/>
                  <w:rPr>
                    <w:rFonts w:ascii="Times New Roman"/>
                    <w:sz w:val="23"/>
                  </w:rPr>
                </w:pPr>
                <w:r>
                  <w:rPr>
                    <w:rFonts w:ascii="Times New Roman"/>
                    <w:color w:val="3D3D3D"/>
                    <w:spacing w:val="-5"/>
                    <w:w w:val="110"/>
                  </w:rPr>
                  <w:t>ACC</w:t>
                </w:r>
                <w:r>
                  <w:rPr>
                    <w:rFonts w:ascii="Times New Roman"/>
                    <w:color w:val="232323"/>
                    <w:spacing w:val="-5"/>
                    <w:w w:val="110"/>
                  </w:rPr>
                  <w:t>O</w:t>
                </w:r>
                <w:r>
                  <w:rPr>
                    <w:rFonts w:ascii="Times New Roman"/>
                    <w:color w:val="3D3D3D"/>
                    <w:spacing w:val="-5"/>
                    <w:w w:val="110"/>
                  </w:rPr>
                  <w:t>UNTS </w:t>
                </w:r>
                <w:r>
                  <w:rPr>
                    <w:rFonts w:ascii="Times New Roman"/>
                    <w:color w:val="3D3D3D"/>
                    <w:w w:val="110"/>
                  </w:rPr>
                  <w:t>page </w:t>
                </w:r>
                <w:r>
                  <w:rPr/>
                  <w:fldChar w:fldCharType="begin"/>
                </w:r>
                <w:r>
                  <w:rPr>
                    <w:rFonts w:ascii="Times New Roman"/>
                    <w:color w:val="3D3D3D"/>
                    <w:w w:val="110"/>
                    <w:sz w:val="23"/>
                  </w:rPr>
                  <w:instrText> PAGE </w:instrText>
                </w:r>
                <w:r>
                  <w:rPr/>
                  <w:fldChar w:fldCharType="separate"/>
                </w:r>
                <w:r>
                  <w:rPr/>
                  <w:t>17</w:t>
                </w:r>
                <w:r>
                  <w:rPr/>
                  <w:fldChar w:fldCharType="end"/>
                </w:r>
              </w:p>
            </w:txbxContent>
          </v:textbox>
          <w10:wrap type="none"/>
        </v:shape>
      </w:pict>
    </w:r>
    <w:r>
      <w:rPr/>
      <w:pict>
        <v:shape style="position:absolute;margin-left:181.824203pt;margin-top:24.296297pt;width:224.6pt;height:14.25pt;mso-position-horizontal-relative:page;mso-position-vertical-relative:page;z-index:-275336192" type="#_x0000_t202" filled="false" stroked="false">
          <v:textbox inset="0,0,0,0">
            <w:txbxContent>
              <w:p>
                <w:pPr>
                  <w:spacing w:before="11"/>
                  <w:ind w:left="20" w:right="0" w:firstLine="0"/>
                  <w:jc w:val="left"/>
                  <w:rPr>
                    <w:rFonts w:ascii="Times New Roman"/>
                    <w:b/>
                    <w:sz w:val="22"/>
                  </w:rPr>
                </w:pPr>
                <w:r>
                  <w:rPr>
                    <w:rFonts w:ascii="Times New Roman"/>
                    <w:b/>
                    <w:color w:val="151515"/>
                    <w:w w:val="105"/>
                    <w:sz w:val="22"/>
                  </w:rPr>
                  <w:t>NOTES</w:t>
                </w:r>
                <w:r>
                  <w:rPr>
                    <w:rFonts w:ascii="Times New Roman"/>
                    <w:b/>
                    <w:color w:val="151515"/>
                    <w:spacing w:val="-26"/>
                    <w:w w:val="105"/>
                    <w:sz w:val="22"/>
                  </w:rPr>
                  <w:t> </w:t>
                </w:r>
                <w:r>
                  <w:rPr>
                    <w:rFonts w:ascii="Times New Roman"/>
                    <w:b/>
                    <w:color w:val="151515"/>
                    <w:w w:val="105"/>
                    <w:sz w:val="22"/>
                  </w:rPr>
                  <w:t>TO</w:t>
                </w:r>
                <w:r>
                  <w:rPr>
                    <w:rFonts w:ascii="Times New Roman"/>
                    <w:b/>
                    <w:color w:val="151515"/>
                    <w:spacing w:val="-32"/>
                    <w:w w:val="105"/>
                    <w:sz w:val="22"/>
                  </w:rPr>
                  <w:t> </w:t>
                </w:r>
                <w:r>
                  <w:rPr>
                    <w:rFonts w:ascii="Times New Roman"/>
                    <w:b/>
                    <w:color w:val="232323"/>
                    <w:w w:val="105"/>
                    <w:sz w:val="22"/>
                  </w:rPr>
                  <w:t>THE</w:t>
                </w:r>
                <w:r>
                  <w:rPr>
                    <w:rFonts w:ascii="Times New Roman"/>
                    <w:b/>
                    <w:color w:val="232323"/>
                    <w:spacing w:val="-28"/>
                    <w:w w:val="105"/>
                    <w:sz w:val="22"/>
                  </w:rPr>
                  <w:t> </w:t>
                </w:r>
                <w:r>
                  <w:rPr>
                    <w:rFonts w:ascii="Times New Roman"/>
                    <w:b/>
                    <w:color w:val="232323"/>
                    <w:w w:val="105"/>
                    <w:sz w:val="22"/>
                  </w:rPr>
                  <w:t>ACCOUNTS</w:t>
                </w:r>
                <w:r>
                  <w:rPr>
                    <w:rFonts w:ascii="Times New Roman"/>
                    <w:b/>
                    <w:color w:val="232323"/>
                    <w:spacing w:val="-18"/>
                    <w:w w:val="105"/>
                    <w:sz w:val="22"/>
                  </w:rPr>
                  <w:t> </w:t>
                </w:r>
                <w:r>
                  <w:rPr>
                    <w:rFonts w:ascii="Times New Roman"/>
                    <w:b/>
                    <w:color w:val="151515"/>
                    <w:w w:val="105"/>
                    <w:sz w:val="22"/>
                  </w:rPr>
                  <w:t>CONTINUED</w:t>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967201pt;margin-top:9.378507pt;width:91.8pt;height:26.2pt;mso-position-horizontal-relative:page;mso-position-vertical-relative:page;z-index:-275335168" type="#_x0000_t202" filled="false" stroked="false">
          <v:textbox inset="0,0,0,0">
            <w:txbxContent>
              <w:p>
                <w:pPr>
                  <w:pStyle w:val="BodyText"/>
                  <w:spacing w:before="30"/>
                  <w:ind w:left="20"/>
                  <w:rPr>
                    <w:rFonts w:ascii="Times New Roman"/>
                    <w:sz w:val="23"/>
                  </w:rPr>
                </w:pPr>
                <w:r>
                  <w:rPr>
                    <w:rFonts w:ascii="Times New Roman"/>
                    <w:color w:val="3D3D3D"/>
                    <w:w w:val="110"/>
                  </w:rPr>
                  <w:t>ACC</w:t>
                </w:r>
                <w:r>
                  <w:rPr>
                    <w:rFonts w:ascii="Times New Roman"/>
                    <w:color w:val="232323"/>
                    <w:w w:val="110"/>
                  </w:rPr>
                  <w:t>O</w:t>
                </w:r>
                <w:r>
                  <w:rPr>
                    <w:rFonts w:ascii="Times New Roman"/>
                    <w:color w:val="3D3D3D"/>
                    <w:w w:val="110"/>
                  </w:rPr>
                  <w:t>UNTS page </w:t>
                </w:r>
                <w:r>
                  <w:rPr/>
                  <w:fldChar w:fldCharType="begin"/>
                </w:r>
                <w:r>
                  <w:rPr>
                    <w:rFonts w:ascii="Times New Roman"/>
                    <w:color w:val="3D3D3D"/>
                    <w:w w:val="110"/>
                    <w:sz w:val="23"/>
                  </w:rPr>
                  <w:instrText> PAGE </w:instrText>
                </w:r>
                <w:r>
                  <w:rPr/>
                  <w:fldChar w:fldCharType="separate"/>
                </w:r>
                <w:r>
                  <w:rPr/>
                  <w:t>17</w:t>
                </w:r>
                <w:r>
                  <w:rPr/>
                  <w:fldChar w:fldCharType="end"/>
                </w:r>
              </w:p>
            </w:txbxContent>
          </v:textbox>
          <w10:wrap type="none"/>
        </v:shape>
      </w:pict>
    </w:r>
    <w:r>
      <w:rPr/>
      <w:pict>
        <v:shape style="position:absolute;margin-left:181.824203pt;margin-top:24.296297pt;width:224.6pt;height:14.25pt;mso-position-horizontal-relative:page;mso-position-vertical-relative:page;z-index:-275334144" type="#_x0000_t202" filled="false" stroked="false">
          <v:textbox inset="0,0,0,0">
            <w:txbxContent>
              <w:p>
                <w:pPr>
                  <w:spacing w:before="11"/>
                  <w:ind w:left="20" w:right="0" w:firstLine="0"/>
                  <w:jc w:val="left"/>
                  <w:rPr>
                    <w:rFonts w:ascii="Times New Roman"/>
                    <w:b/>
                    <w:sz w:val="22"/>
                  </w:rPr>
                </w:pPr>
                <w:r>
                  <w:rPr>
                    <w:rFonts w:ascii="Times New Roman"/>
                    <w:b/>
                    <w:color w:val="151515"/>
                    <w:w w:val="105"/>
                    <w:sz w:val="22"/>
                  </w:rPr>
                  <w:t>NOTES</w:t>
                </w:r>
                <w:r>
                  <w:rPr>
                    <w:rFonts w:ascii="Times New Roman"/>
                    <w:b/>
                    <w:color w:val="151515"/>
                    <w:spacing w:val="-26"/>
                    <w:w w:val="105"/>
                    <w:sz w:val="22"/>
                  </w:rPr>
                  <w:t> </w:t>
                </w:r>
                <w:r>
                  <w:rPr>
                    <w:rFonts w:ascii="Times New Roman"/>
                    <w:b/>
                    <w:color w:val="151515"/>
                    <w:w w:val="105"/>
                    <w:sz w:val="22"/>
                  </w:rPr>
                  <w:t>TO</w:t>
                </w:r>
                <w:r>
                  <w:rPr>
                    <w:rFonts w:ascii="Times New Roman"/>
                    <w:b/>
                    <w:color w:val="151515"/>
                    <w:spacing w:val="-32"/>
                    <w:w w:val="105"/>
                    <w:sz w:val="22"/>
                  </w:rPr>
                  <w:t> </w:t>
                </w:r>
                <w:r>
                  <w:rPr>
                    <w:rFonts w:ascii="Times New Roman"/>
                    <w:b/>
                    <w:color w:val="232323"/>
                    <w:w w:val="105"/>
                    <w:sz w:val="22"/>
                  </w:rPr>
                  <w:t>THE</w:t>
                </w:r>
                <w:r>
                  <w:rPr>
                    <w:rFonts w:ascii="Times New Roman"/>
                    <w:b/>
                    <w:color w:val="232323"/>
                    <w:spacing w:val="-28"/>
                    <w:w w:val="105"/>
                    <w:sz w:val="22"/>
                  </w:rPr>
                  <w:t> </w:t>
                </w:r>
                <w:r>
                  <w:rPr>
                    <w:rFonts w:ascii="Times New Roman"/>
                    <w:b/>
                    <w:color w:val="232323"/>
                    <w:w w:val="105"/>
                    <w:sz w:val="22"/>
                  </w:rPr>
                  <w:t>ACCOUNTS</w:t>
                </w:r>
                <w:r>
                  <w:rPr>
                    <w:rFonts w:ascii="Times New Roman"/>
                    <w:b/>
                    <w:color w:val="232323"/>
                    <w:spacing w:val="-18"/>
                    <w:w w:val="105"/>
                    <w:sz w:val="22"/>
                  </w:rPr>
                  <w:t> </w:t>
                </w:r>
                <w:r>
                  <w:rPr>
                    <w:rFonts w:ascii="Times New Roman"/>
                    <w:b/>
                    <w:color w:val="151515"/>
                    <w:w w:val="105"/>
                    <w:sz w:val="22"/>
                  </w:rPr>
                  <w:t>CONTINUED</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1.787297pt;width:89.1pt;height:14.25pt;mso-position-horizontal-relative:page;mso-position-vertical-relative:page;z-index:-275333120" type="#_x0000_t202" filled="false" stroked="false">
          <v:textbox inset="0,0,0,0">
            <w:txbxContent>
              <w:p>
                <w:pPr>
                  <w:pStyle w:val="BodyText"/>
                  <w:spacing w:before="11"/>
                  <w:ind w:left="20"/>
                  <w:rPr>
                    <w:rFonts w:ascii="Times New Roman"/>
                    <w:sz w:val="22"/>
                  </w:rPr>
                </w:pPr>
                <w:r>
                  <w:rPr>
                    <w:rFonts w:ascii="Times New Roman"/>
                    <w:color w:val="3F3F3F"/>
                    <w:w w:val="110"/>
                  </w:rPr>
                  <w:t>ACCOUNTS</w:t>
                </w:r>
                <w:r>
                  <w:rPr>
                    <w:rFonts w:ascii="Times New Roman"/>
                    <w:color w:val="3F3F3F"/>
                    <w:spacing w:val="-22"/>
                    <w:w w:val="110"/>
                  </w:rPr>
                  <w:t> </w:t>
                </w:r>
                <w:r>
                  <w:rPr>
                    <w:rFonts w:ascii="Times New Roman"/>
                    <w:color w:val="3F3F3F"/>
                    <w:w w:val="110"/>
                  </w:rPr>
                  <w:t>page</w:t>
                </w:r>
                <w:r>
                  <w:rPr>
                    <w:rFonts w:ascii="Times New Roman"/>
                    <w:color w:val="3F3F3F"/>
                    <w:spacing w:val="-37"/>
                    <w:w w:val="110"/>
                  </w:rPr>
                  <w:t> </w:t>
                </w:r>
                <w:r>
                  <w:rPr/>
                  <w:fldChar w:fldCharType="begin"/>
                </w:r>
                <w:r>
                  <w:rPr>
                    <w:rFonts w:ascii="Times New Roman"/>
                    <w:color w:val="1A1A1A"/>
                    <w:w w:val="110"/>
                    <w:sz w:val="22"/>
                  </w:rPr>
                  <w:instrText> PAGE </w:instrText>
                </w:r>
                <w:r>
                  <w:rPr/>
                  <w:fldChar w:fldCharType="separate"/>
                </w:r>
                <w:r>
                  <w:rPr/>
                  <w:t>18</w:t>
                </w:r>
                <w:r>
                  <w:rPr/>
                  <w:fldChar w:fldCharType="end"/>
                </w:r>
              </w:p>
            </w:txbxContent>
          </v:textbox>
          <w10:wrap type="none"/>
        </v:shape>
      </w:pict>
    </w:r>
    <w:r>
      <w:rPr/>
      <w:pict>
        <v:shape style="position:absolute;margin-left:182.800293pt;margin-top:25.258497pt;width:211.25pt;height:14.25pt;mso-position-horizontal-relative:page;mso-position-vertical-relative:page;z-index:-275332096" type="#_x0000_t202" filled="false" stroked="false">
          <v:textbox inset="0,0,0,0">
            <w:txbxContent>
              <w:p>
                <w:pPr>
                  <w:spacing w:before="11"/>
                  <w:ind w:left="20" w:right="0" w:firstLine="0"/>
                  <w:jc w:val="left"/>
                  <w:rPr>
                    <w:rFonts w:ascii="Times New Roman"/>
                    <w:b/>
                    <w:sz w:val="20"/>
                  </w:rPr>
                </w:pPr>
                <w:r>
                  <w:rPr>
                    <w:rFonts w:ascii="Times New Roman"/>
                    <w:b/>
                    <w:color w:val="1A1A1A"/>
                    <w:w w:val="105"/>
                    <w:sz w:val="20"/>
                  </w:rPr>
                  <w:t>NOTES</w:t>
                </w:r>
                <w:r>
                  <w:rPr>
                    <w:rFonts w:ascii="Times New Roman"/>
                    <w:b/>
                    <w:color w:val="1A1A1A"/>
                    <w:spacing w:val="-29"/>
                    <w:w w:val="105"/>
                    <w:sz w:val="20"/>
                  </w:rPr>
                  <w:t> </w:t>
                </w:r>
                <w:r>
                  <w:rPr>
                    <w:rFonts w:ascii="Times New Roman"/>
                    <w:b/>
                    <w:color w:val="1A1A1A"/>
                    <w:w w:val="105"/>
                    <w:sz w:val="20"/>
                  </w:rPr>
                  <w:t>TO</w:t>
                </w:r>
                <w:r>
                  <w:rPr>
                    <w:rFonts w:ascii="Times New Roman"/>
                    <w:b/>
                    <w:color w:val="1A1A1A"/>
                    <w:spacing w:val="-13"/>
                    <w:w w:val="105"/>
                    <w:sz w:val="20"/>
                  </w:rPr>
                  <w:t> </w:t>
                </w:r>
                <w:r>
                  <w:rPr>
                    <w:rFonts w:ascii="Times New Roman"/>
                    <w:b/>
                    <w:color w:val="1A1A1A"/>
                    <w:w w:val="105"/>
                    <w:sz w:val="20"/>
                  </w:rPr>
                  <w:t>THE</w:t>
                </w:r>
                <w:r>
                  <w:rPr>
                    <w:rFonts w:ascii="Times New Roman"/>
                    <w:b/>
                    <w:color w:val="1A1A1A"/>
                    <w:spacing w:val="-27"/>
                    <w:w w:val="105"/>
                    <w:sz w:val="20"/>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1A1A1A"/>
                    <w:w w:val="105"/>
                    <w:sz w:val="20"/>
                  </w:rPr>
                  <w:t>CONTINUED</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0.787297pt;width:92.1pt;height:16.25pt;mso-position-horizontal-relative:page;mso-position-vertical-relative:page;z-index:-275331072" type="#_x0000_t202" filled="false" stroked="false">
          <v:textbox inset="0,0,0,0">
            <w:txbxContent>
              <w:p>
                <w:pPr>
                  <w:pStyle w:val="BodyText"/>
                  <w:spacing w:before="31"/>
                  <w:ind w:left="20"/>
                  <w:rPr>
                    <w:rFonts w:ascii="Times New Roman"/>
                    <w:sz w:val="22"/>
                  </w:rPr>
                </w:pPr>
                <w:r>
                  <w:rPr>
                    <w:rFonts w:ascii="Times New Roman"/>
                    <w:color w:val="3F3F3F"/>
                    <w:w w:val="110"/>
                  </w:rPr>
                  <w:t>ACCOUNTS page </w:t>
                </w:r>
                <w:r>
                  <w:rPr/>
                  <w:fldChar w:fldCharType="begin"/>
                </w:r>
                <w:r>
                  <w:rPr>
                    <w:rFonts w:ascii="Times New Roman"/>
                    <w:color w:val="1A1A1A"/>
                    <w:w w:val="110"/>
                    <w:sz w:val="22"/>
                  </w:rPr>
                  <w:instrText> PAGE </w:instrText>
                </w:r>
                <w:r>
                  <w:rPr/>
                  <w:fldChar w:fldCharType="separate"/>
                </w:r>
                <w:r>
                  <w:rPr/>
                  <w:t>18</w:t>
                </w:r>
                <w:r>
                  <w:rPr/>
                  <w:fldChar w:fldCharType="end"/>
                </w:r>
              </w:p>
            </w:txbxContent>
          </v:textbox>
          <w10:wrap type="none"/>
        </v:shape>
      </w:pict>
    </w:r>
    <w:r>
      <w:rPr/>
      <w:pict>
        <v:shape style="position:absolute;margin-left:182.800293pt;margin-top:25.258497pt;width:211.25pt;height:14.25pt;mso-position-horizontal-relative:page;mso-position-vertical-relative:page;z-index:-275330048" type="#_x0000_t202" filled="false" stroked="false">
          <v:textbox inset="0,0,0,0">
            <w:txbxContent>
              <w:p>
                <w:pPr>
                  <w:spacing w:before="11"/>
                  <w:ind w:left="20" w:right="0" w:firstLine="0"/>
                  <w:jc w:val="left"/>
                  <w:rPr>
                    <w:rFonts w:ascii="Times New Roman"/>
                    <w:b/>
                    <w:sz w:val="20"/>
                  </w:rPr>
                </w:pPr>
                <w:r>
                  <w:rPr>
                    <w:rFonts w:ascii="Times New Roman"/>
                    <w:b/>
                    <w:color w:val="1A1A1A"/>
                    <w:w w:val="105"/>
                    <w:sz w:val="20"/>
                  </w:rPr>
                  <w:t>NOTES</w:t>
                </w:r>
                <w:r>
                  <w:rPr>
                    <w:rFonts w:ascii="Times New Roman"/>
                    <w:b/>
                    <w:color w:val="1A1A1A"/>
                    <w:spacing w:val="-29"/>
                    <w:w w:val="105"/>
                    <w:sz w:val="20"/>
                  </w:rPr>
                  <w:t> </w:t>
                </w:r>
                <w:r>
                  <w:rPr>
                    <w:rFonts w:ascii="Times New Roman"/>
                    <w:b/>
                    <w:color w:val="1A1A1A"/>
                    <w:w w:val="105"/>
                    <w:sz w:val="20"/>
                  </w:rPr>
                  <w:t>TO</w:t>
                </w:r>
                <w:r>
                  <w:rPr>
                    <w:rFonts w:ascii="Times New Roman"/>
                    <w:b/>
                    <w:color w:val="1A1A1A"/>
                    <w:spacing w:val="-13"/>
                    <w:w w:val="105"/>
                    <w:sz w:val="20"/>
                  </w:rPr>
                  <w:t> </w:t>
                </w:r>
                <w:r>
                  <w:rPr>
                    <w:rFonts w:ascii="Times New Roman"/>
                    <w:b/>
                    <w:color w:val="1A1A1A"/>
                    <w:w w:val="105"/>
                    <w:sz w:val="20"/>
                  </w:rPr>
                  <w:t>THE</w:t>
                </w:r>
                <w:r>
                  <w:rPr>
                    <w:rFonts w:ascii="Times New Roman"/>
                    <w:b/>
                    <w:color w:val="1A1A1A"/>
                    <w:spacing w:val="-27"/>
                    <w:w w:val="105"/>
                    <w:sz w:val="20"/>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1A1A1A"/>
                    <w:w w:val="105"/>
                    <w:sz w:val="20"/>
                  </w:rPr>
                  <w:t>CONTINUED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22743pt;margin-top:20.893888pt;width:88.3pt;height:13.7pt;mso-position-horizontal-relative:page;mso-position-vertical-relative:page;z-index:-275329024" type="#_x0000_t202" filled="false" stroked="false">
          <v:textbox inset="0,0,0,0">
            <w:txbxContent>
              <w:p>
                <w:pPr>
                  <w:pStyle w:val="BodyText"/>
                  <w:spacing w:before="11"/>
                  <w:ind w:left="20"/>
                  <w:rPr>
                    <w:rFonts w:ascii="Times New Roman"/>
                    <w:sz w:val="21"/>
                  </w:rPr>
                </w:pPr>
                <w:r>
                  <w:rPr>
                    <w:rFonts w:ascii="Times New Roman"/>
                    <w:color w:val="3D3D3D"/>
                    <w:w w:val="105"/>
                  </w:rPr>
                  <w:t>ACCOUNTS </w:t>
                </w:r>
                <w:r>
                  <w:rPr>
                    <w:rFonts w:ascii="Times New Roman"/>
                    <w:color w:val="2D2D2D"/>
                    <w:w w:val="105"/>
                  </w:rPr>
                  <w:t>page </w:t>
                </w:r>
                <w:r>
                  <w:rPr/>
                  <w:fldChar w:fldCharType="begin"/>
                </w:r>
                <w:r>
                  <w:rPr>
                    <w:rFonts w:ascii="Times New Roman"/>
                    <w:color w:val="181818"/>
                    <w:w w:val="105"/>
                    <w:sz w:val="21"/>
                  </w:rPr>
                  <w:instrText> PAGE </w:instrText>
                </w:r>
                <w:r>
                  <w:rPr/>
                  <w:fldChar w:fldCharType="separate"/>
                </w:r>
                <w:r>
                  <w:rPr/>
                  <w:t>19</w:t>
                </w:r>
                <w:r>
                  <w:rPr/>
                  <w:fldChar w:fldCharType="end"/>
                </w:r>
              </w:p>
            </w:txbxContent>
          </v:textbox>
          <w10:wrap type="none"/>
        </v:shape>
      </w:pict>
    </w:r>
    <w:r>
      <w:rPr/>
      <w:pict>
        <v:shape style="position:absolute;margin-left:182.318802pt;margin-top:35.292881pt;width:210.8pt;height:13.1pt;mso-position-horizontal-relative:page;mso-position-vertical-relative:page;z-index:-275328000" type="#_x0000_t202" filled="false" stroked="false">
          <v:textbox inset="0,0,0,0">
            <w:txbxContent>
              <w:p>
                <w:pPr>
                  <w:spacing w:before="12"/>
                  <w:ind w:left="20" w:right="0" w:firstLine="0"/>
                  <w:jc w:val="left"/>
                  <w:rPr>
                    <w:rFonts w:ascii="Times New Roman"/>
                    <w:b/>
                    <w:sz w:val="20"/>
                  </w:rPr>
                </w:pPr>
                <w:r>
                  <w:rPr>
                    <w:rFonts w:ascii="Times New Roman"/>
                    <w:b/>
                    <w:color w:val="2D2D2D"/>
                    <w:w w:val="105"/>
                    <w:sz w:val="20"/>
                  </w:rPr>
                  <w:t>NOTES </w:t>
                </w:r>
                <w:r>
                  <w:rPr>
                    <w:rFonts w:ascii="Times New Roman"/>
                    <w:b/>
                    <w:color w:val="181818"/>
                    <w:w w:val="105"/>
                    <w:sz w:val="20"/>
                  </w:rPr>
                  <w:t>TO THE ACCOUNTS CONTINUED</w:t>
                </w:r>
              </w:p>
            </w:txbxContent>
          </v:textbox>
          <w10:wrap type="non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522743pt;margin-top:19.893888pt;width:91.3pt;height:15.7pt;mso-position-horizontal-relative:page;mso-position-vertical-relative:page;z-index:-275326976" type="#_x0000_t202" filled="false" stroked="false">
          <v:textbox inset="0,0,0,0">
            <w:txbxContent>
              <w:p>
                <w:pPr>
                  <w:pStyle w:val="BodyText"/>
                  <w:spacing w:before="31"/>
                  <w:ind w:left="20"/>
                  <w:rPr>
                    <w:rFonts w:ascii="Times New Roman"/>
                    <w:sz w:val="21"/>
                  </w:rPr>
                </w:pPr>
                <w:r>
                  <w:rPr>
                    <w:rFonts w:ascii="Times New Roman"/>
                    <w:color w:val="3D3D3D"/>
                    <w:w w:val="105"/>
                  </w:rPr>
                  <w:t>ACCOUNTS </w:t>
                </w:r>
                <w:r>
                  <w:rPr>
                    <w:rFonts w:ascii="Times New Roman"/>
                    <w:color w:val="2D2D2D"/>
                    <w:w w:val="105"/>
                  </w:rPr>
                  <w:t>page </w:t>
                </w:r>
                <w:r>
                  <w:rPr/>
                  <w:fldChar w:fldCharType="begin"/>
                </w:r>
                <w:r>
                  <w:rPr>
                    <w:rFonts w:ascii="Times New Roman"/>
                    <w:color w:val="181818"/>
                    <w:w w:val="105"/>
                    <w:sz w:val="21"/>
                  </w:rPr>
                  <w:instrText> PAGE </w:instrText>
                </w:r>
                <w:r>
                  <w:rPr/>
                  <w:fldChar w:fldCharType="separate"/>
                </w:r>
                <w:r>
                  <w:rPr/>
                  <w:t>19</w:t>
                </w:r>
                <w:r>
                  <w:rPr/>
                  <w:fldChar w:fldCharType="end"/>
                </w:r>
              </w:p>
            </w:txbxContent>
          </v:textbox>
          <w10:wrap type="none"/>
        </v:shape>
      </w:pict>
    </w:r>
    <w:r>
      <w:rPr/>
      <w:pict>
        <v:shape style="position:absolute;margin-left:182.318802pt;margin-top:35.292881pt;width:210.8pt;height:13.1pt;mso-position-horizontal-relative:page;mso-position-vertical-relative:page;z-index:-275325952" type="#_x0000_t202" filled="false" stroked="false">
          <v:textbox inset="0,0,0,0">
            <w:txbxContent>
              <w:p>
                <w:pPr>
                  <w:spacing w:before="12"/>
                  <w:ind w:left="20" w:right="0" w:firstLine="0"/>
                  <w:jc w:val="left"/>
                  <w:rPr>
                    <w:rFonts w:ascii="Times New Roman"/>
                    <w:b/>
                    <w:sz w:val="20"/>
                  </w:rPr>
                </w:pPr>
                <w:r>
                  <w:rPr>
                    <w:rFonts w:ascii="Times New Roman"/>
                    <w:b/>
                    <w:color w:val="2D2D2D"/>
                    <w:w w:val="105"/>
                    <w:sz w:val="20"/>
                  </w:rPr>
                  <w:t>NOTES </w:t>
                </w:r>
                <w:r>
                  <w:rPr>
                    <w:rFonts w:ascii="Times New Roman"/>
                    <w:b/>
                    <w:color w:val="181818"/>
                    <w:w w:val="105"/>
                    <w:sz w:val="20"/>
                  </w:rPr>
                  <w:t>TO THE ACCOUNTS CONTINUED</w:t>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272308pt;margin-top:13.711698pt;width:89.1pt;height:14.25pt;mso-position-horizontal-relative:page;mso-position-vertical-relative:page;z-index:-275324928" type="#_x0000_t202" filled="false" stroked="false">
          <v:textbox inset="0,0,0,0">
            <w:txbxContent>
              <w:p>
                <w:pPr>
                  <w:pStyle w:val="BodyText"/>
                  <w:spacing w:before="11"/>
                  <w:ind w:left="20"/>
                  <w:rPr>
                    <w:rFonts w:ascii="Times New Roman"/>
                    <w:sz w:val="22"/>
                  </w:rPr>
                </w:pPr>
                <w:r>
                  <w:rPr>
                    <w:rFonts w:ascii="Times New Roman"/>
                    <w:color w:val="424242"/>
                    <w:w w:val="105"/>
                  </w:rPr>
                  <w:t>ACCOUNTS </w:t>
                </w:r>
                <w:r>
                  <w:rPr>
                    <w:rFonts w:ascii="Times New Roman"/>
                    <w:color w:val="2F2F2F"/>
                    <w:w w:val="105"/>
                  </w:rPr>
                  <w:t>page </w:t>
                </w:r>
                <w:r>
                  <w:rPr/>
                  <w:fldChar w:fldCharType="begin"/>
                </w:r>
                <w:r>
                  <w:rPr>
                    <w:rFonts w:ascii="Times New Roman"/>
                    <w:color w:val="424242"/>
                    <w:w w:val="105"/>
                    <w:sz w:val="22"/>
                  </w:rPr>
                  <w:instrText> PAGE </w:instrText>
                </w:r>
                <w:r>
                  <w:rPr/>
                  <w:fldChar w:fldCharType="separate"/>
                </w:r>
                <w:r>
                  <w:rPr/>
                  <w:t>20</w:t>
                </w:r>
                <w:r>
                  <w:rPr/>
                  <w:fldChar w:fldCharType="end"/>
                </w:r>
              </w:p>
            </w:txbxContent>
          </v:textbox>
          <w10:wrap type="none"/>
        </v:shape>
      </w:pict>
    </w:r>
    <w:r>
      <w:rPr/>
      <w:pict>
        <v:shape style="position:absolute;margin-left:183.281799pt;margin-top:28.55728pt;width:213.25pt;height:13.1pt;mso-position-horizontal-relative:page;mso-position-vertical-relative:page;z-index:-275323904" type="#_x0000_t202" filled="false" stroked="false">
          <v:textbox inset="0,0,0,0">
            <w:txbxContent>
              <w:p>
                <w:pPr>
                  <w:spacing w:before="12"/>
                  <w:ind w:left="20" w:right="0" w:firstLine="0"/>
                  <w:jc w:val="left"/>
                  <w:rPr>
                    <w:rFonts w:ascii="Times New Roman"/>
                    <w:b/>
                    <w:sz w:val="20"/>
                  </w:rPr>
                </w:pPr>
                <w:r>
                  <w:rPr>
                    <w:rFonts w:ascii="Times New Roman"/>
                    <w:b/>
                    <w:color w:val="2F2F2F"/>
                    <w:spacing w:val="-6"/>
                    <w:w w:val="110"/>
                    <w:sz w:val="20"/>
                  </w:rPr>
                  <w:t>N</w:t>
                </w:r>
                <w:r>
                  <w:rPr>
                    <w:rFonts w:ascii="Times New Roman"/>
                    <w:b/>
                    <w:color w:val="161616"/>
                    <w:spacing w:val="-6"/>
                    <w:w w:val="110"/>
                    <w:sz w:val="20"/>
                  </w:rPr>
                  <w:t>O</w:t>
                </w:r>
                <w:r>
                  <w:rPr>
                    <w:rFonts w:ascii="Times New Roman"/>
                    <w:b/>
                    <w:color w:val="2F2F2F"/>
                    <w:spacing w:val="-6"/>
                    <w:w w:val="110"/>
                    <w:sz w:val="20"/>
                  </w:rPr>
                  <w:t>TES</w:t>
                </w:r>
                <w:r>
                  <w:rPr>
                    <w:rFonts w:ascii="Times New Roman"/>
                    <w:b/>
                    <w:color w:val="2F2F2F"/>
                    <w:spacing w:val="-31"/>
                    <w:w w:val="110"/>
                    <w:sz w:val="20"/>
                  </w:rPr>
                  <w:t> </w:t>
                </w:r>
                <w:r>
                  <w:rPr>
                    <w:rFonts w:ascii="Times New Roman"/>
                    <w:b/>
                    <w:color w:val="2F2F2F"/>
                    <w:w w:val="110"/>
                    <w:sz w:val="20"/>
                  </w:rPr>
                  <w:t>T</w:t>
                </w:r>
                <w:r>
                  <w:rPr>
                    <w:rFonts w:ascii="Times New Roman"/>
                    <w:b/>
                    <w:color w:val="161616"/>
                    <w:w w:val="110"/>
                    <w:sz w:val="20"/>
                  </w:rPr>
                  <w:t>O</w:t>
                </w:r>
                <w:r>
                  <w:rPr>
                    <w:rFonts w:ascii="Times New Roman"/>
                    <w:b/>
                    <w:color w:val="161616"/>
                    <w:spacing w:val="-18"/>
                    <w:w w:val="110"/>
                    <w:sz w:val="20"/>
                  </w:rPr>
                  <w:t> </w:t>
                </w:r>
                <w:r>
                  <w:rPr>
                    <w:rFonts w:ascii="Times New Roman"/>
                    <w:b/>
                    <w:color w:val="161616"/>
                    <w:w w:val="110"/>
                    <w:sz w:val="20"/>
                  </w:rPr>
                  <w:t>T</w:t>
                </w:r>
                <w:r>
                  <w:rPr>
                    <w:rFonts w:ascii="Times New Roman"/>
                    <w:b/>
                    <w:color w:val="2F2F2F"/>
                    <w:w w:val="110"/>
                    <w:sz w:val="20"/>
                  </w:rPr>
                  <w:t>HE</w:t>
                </w:r>
                <w:r>
                  <w:rPr>
                    <w:rFonts w:ascii="Times New Roman"/>
                    <w:b/>
                    <w:color w:val="2F2F2F"/>
                    <w:spacing w:val="-24"/>
                    <w:w w:val="110"/>
                    <w:sz w:val="20"/>
                  </w:rPr>
                  <w:t> </w:t>
                </w:r>
                <w:r>
                  <w:rPr>
                    <w:rFonts w:ascii="Times New Roman"/>
                    <w:b/>
                    <w:color w:val="2F2F2F"/>
                    <w:w w:val="110"/>
                    <w:sz w:val="20"/>
                  </w:rPr>
                  <w:t>ACC</w:t>
                </w:r>
                <w:r>
                  <w:rPr>
                    <w:rFonts w:ascii="Times New Roman"/>
                    <w:b/>
                    <w:color w:val="2F2F2F"/>
                    <w:spacing w:val="-35"/>
                    <w:w w:val="110"/>
                    <w:sz w:val="20"/>
                  </w:rPr>
                  <w:t> </w:t>
                </w:r>
                <w:r>
                  <w:rPr>
                    <w:rFonts w:ascii="Times New Roman"/>
                    <w:b/>
                    <w:color w:val="161616"/>
                    <w:spacing w:val="3"/>
                    <w:w w:val="110"/>
                    <w:sz w:val="20"/>
                  </w:rPr>
                  <w:t>OUNT</w:t>
                </w:r>
                <w:r>
                  <w:rPr>
                    <w:rFonts w:ascii="Times New Roman"/>
                    <w:b/>
                    <w:color w:val="2F2F2F"/>
                    <w:spacing w:val="3"/>
                    <w:w w:val="110"/>
                    <w:sz w:val="20"/>
                  </w:rPr>
                  <w:t>S</w:t>
                </w:r>
                <w:r>
                  <w:rPr>
                    <w:rFonts w:ascii="Times New Roman"/>
                    <w:b/>
                    <w:color w:val="2F2F2F"/>
                    <w:spacing w:val="-5"/>
                    <w:w w:val="110"/>
                    <w:sz w:val="20"/>
                  </w:rPr>
                  <w:t> C</w:t>
                </w:r>
                <w:r>
                  <w:rPr>
                    <w:rFonts w:ascii="Times New Roman"/>
                    <w:b/>
                    <w:color w:val="161616"/>
                    <w:spacing w:val="-5"/>
                    <w:w w:val="110"/>
                    <w:sz w:val="20"/>
                  </w:rPr>
                  <w:t>ON</w:t>
                </w:r>
                <w:r>
                  <w:rPr>
                    <w:rFonts w:ascii="Times New Roman"/>
                    <w:b/>
                    <w:color w:val="2F2F2F"/>
                    <w:spacing w:val="-5"/>
                    <w:w w:val="110"/>
                    <w:sz w:val="20"/>
                  </w:rPr>
                  <w:t>TIN</w:t>
                </w:r>
                <w:r>
                  <w:rPr>
                    <w:rFonts w:ascii="Times New Roman"/>
                    <w:b/>
                    <w:color w:val="161616"/>
                    <w:spacing w:val="-5"/>
                    <w:w w:val="110"/>
                    <w:sz w:val="20"/>
                  </w:rPr>
                  <w:t>UED</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272308pt;margin-top:12.711698pt;width:92.1pt;height:16.25pt;mso-position-horizontal-relative:page;mso-position-vertical-relative:page;z-index:-275322880" type="#_x0000_t202" filled="false" stroked="false">
          <v:textbox inset="0,0,0,0">
            <w:txbxContent>
              <w:p>
                <w:pPr>
                  <w:pStyle w:val="BodyText"/>
                  <w:spacing w:before="31"/>
                  <w:ind w:left="20"/>
                  <w:rPr>
                    <w:rFonts w:ascii="Times New Roman"/>
                    <w:sz w:val="22"/>
                  </w:rPr>
                </w:pPr>
                <w:r>
                  <w:rPr>
                    <w:rFonts w:ascii="Times New Roman"/>
                    <w:color w:val="424242"/>
                    <w:w w:val="105"/>
                  </w:rPr>
                  <w:t>ACCOUNTS </w:t>
                </w:r>
                <w:r>
                  <w:rPr>
                    <w:rFonts w:ascii="Times New Roman"/>
                    <w:color w:val="2F2F2F"/>
                    <w:w w:val="105"/>
                  </w:rPr>
                  <w:t>page </w:t>
                </w:r>
                <w:r>
                  <w:rPr/>
                  <w:fldChar w:fldCharType="begin"/>
                </w:r>
                <w:r>
                  <w:rPr>
                    <w:rFonts w:ascii="Times New Roman"/>
                    <w:color w:val="424242"/>
                    <w:w w:val="105"/>
                    <w:sz w:val="22"/>
                  </w:rPr>
                  <w:instrText> PAGE </w:instrText>
                </w:r>
                <w:r>
                  <w:rPr/>
                  <w:fldChar w:fldCharType="separate"/>
                </w:r>
                <w:r>
                  <w:rPr/>
                  <w:t>20</w:t>
                </w:r>
                <w:r>
                  <w:rPr/>
                  <w:fldChar w:fldCharType="end"/>
                </w:r>
              </w:p>
            </w:txbxContent>
          </v:textbox>
          <w10:wrap type="none"/>
        </v:shape>
      </w:pict>
    </w:r>
    <w:r>
      <w:rPr/>
      <w:pict>
        <v:shape style="position:absolute;margin-left:183.281799pt;margin-top:28.55728pt;width:213.25pt;height:13.1pt;mso-position-horizontal-relative:page;mso-position-vertical-relative:page;z-index:-275321856" type="#_x0000_t202" filled="false" stroked="false">
          <v:textbox inset="0,0,0,0">
            <w:txbxContent>
              <w:p>
                <w:pPr>
                  <w:spacing w:before="12"/>
                  <w:ind w:left="20" w:right="0" w:firstLine="0"/>
                  <w:jc w:val="left"/>
                  <w:rPr>
                    <w:rFonts w:ascii="Times New Roman"/>
                    <w:b/>
                    <w:sz w:val="20"/>
                  </w:rPr>
                </w:pPr>
                <w:r>
                  <w:rPr>
                    <w:rFonts w:ascii="Times New Roman"/>
                    <w:b/>
                    <w:color w:val="2F2F2F"/>
                    <w:spacing w:val="-6"/>
                    <w:w w:val="110"/>
                    <w:sz w:val="20"/>
                  </w:rPr>
                  <w:t>N</w:t>
                </w:r>
                <w:r>
                  <w:rPr>
                    <w:rFonts w:ascii="Times New Roman"/>
                    <w:b/>
                    <w:color w:val="161616"/>
                    <w:spacing w:val="-6"/>
                    <w:w w:val="110"/>
                    <w:sz w:val="20"/>
                  </w:rPr>
                  <w:t>O</w:t>
                </w:r>
                <w:r>
                  <w:rPr>
                    <w:rFonts w:ascii="Times New Roman"/>
                    <w:b/>
                    <w:color w:val="2F2F2F"/>
                    <w:spacing w:val="-6"/>
                    <w:w w:val="110"/>
                    <w:sz w:val="20"/>
                  </w:rPr>
                  <w:t>TES</w:t>
                </w:r>
                <w:r>
                  <w:rPr>
                    <w:rFonts w:ascii="Times New Roman"/>
                    <w:b/>
                    <w:color w:val="2F2F2F"/>
                    <w:spacing w:val="-31"/>
                    <w:w w:val="110"/>
                    <w:sz w:val="20"/>
                  </w:rPr>
                  <w:t> </w:t>
                </w:r>
                <w:r>
                  <w:rPr>
                    <w:rFonts w:ascii="Times New Roman"/>
                    <w:b/>
                    <w:color w:val="2F2F2F"/>
                    <w:w w:val="110"/>
                    <w:sz w:val="20"/>
                  </w:rPr>
                  <w:t>T</w:t>
                </w:r>
                <w:r>
                  <w:rPr>
                    <w:rFonts w:ascii="Times New Roman"/>
                    <w:b/>
                    <w:color w:val="161616"/>
                    <w:w w:val="110"/>
                    <w:sz w:val="20"/>
                  </w:rPr>
                  <w:t>O</w:t>
                </w:r>
                <w:r>
                  <w:rPr>
                    <w:rFonts w:ascii="Times New Roman"/>
                    <w:b/>
                    <w:color w:val="161616"/>
                    <w:spacing w:val="-18"/>
                    <w:w w:val="110"/>
                    <w:sz w:val="20"/>
                  </w:rPr>
                  <w:t> </w:t>
                </w:r>
                <w:r>
                  <w:rPr>
                    <w:rFonts w:ascii="Times New Roman"/>
                    <w:b/>
                    <w:color w:val="161616"/>
                    <w:w w:val="110"/>
                    <w:sz w:val="20"/>
                  </w:rPr>
                  <w:t>T</w:t>
                </w:r>
                <w:r>
                  <w:rPr>
                    <w:rFonts w:ascii="Times New Roman"/>
                    <w:b/>
                    <w:color w:val="2F2F2F"/>
                    <w:w w:val="110"/>
                    <w:sz w:val="20"/>
                  </w:rPr>
                  <w:t>HE</w:t>
                </w:r>
                <w:r>
                  <w:rPr>
                    <w:rFonts w:ascii="Times New Roman"/>
                    <w:b/>
                    <w:color w:val="2F2F2F"/>
                    <w:spacing w:val="-24"/>
                    <w:w w:val="110"/>
                    <w:sz w:val="20"/>
                  </w:rPr>
                  <w:t> </w:t>
                </w:r>
                <w:r>
                  <w:rPr>
                    <w:rFonts w:ascii="Times New Roman"/>
                    <w:b/>
                    <w:color w:val="2F2F2F"/>
                    <w:w w:val="110"/>
                    <w:sz w:val="20"/>
                  </w:rPr>
                  <w:t>ACC</w:t>
                </w:r>
                <w:r>
                  <w:rPr>
                    <w:rFonts w:ascii="Times New Roman"/>
                    <w:b/>
                    <w:color w:val="2F2F2F"/>
                    <w:spacing w:val="-35"/>
                    <w:w w:val="110"/>
                    <w:sz w:val="20"/>
                  </w:rPr>
                  <w:t> </w:t>
                </w:r>
                <w:r>
                  <w:rPr>
                    <w:rFonts w:ascii="Times New Roman"/>
                    <w:b/>
                    <w:color w:val="161616"/>
                    <w:spacing w:val="3"/>
                    <w:w w:val="110"/>
                    <w:sz w:val="20"/>
                  </w:rPr>
                  <w:t>OUNT</w:t>
                </w:r>
                <w:r>
                  <w:rPr>
                    <w:rFonts w:ascii="Times New Roman"/>
                    <w:b/>
                    <w:color w:val="2F2F2F"/>
                    <w:spacing w:val="3"/>
                    <w:w w:val="110"/>
                    <w:sz w:val="20"/>
                  </w:rPr>
                  <w:t>S</w:t>
                </w:r>
                <w:r>
                  <w:rPr>
                    <w:rFonts w:ascii="Times New Roman"/>
                    <w:b/>
                    <w:color w:val="2F2F2F"/>
                    <w:spacing w:val="-5"/>
                    <w:w w:val="110"/>
                    <w:sz w:val="20"/>
                  </w:rPr>
                  <w:t> C</w:t>
                </w:r>
                <w:r>
                  <w:rPr>
                    <w:rFonts w:ascii="Times New Roman"/>
                    <w:b/>
                    <w:color w:val="161616"/>
                    <w:spacing w:val="-5"/>
                    <w:w w:val="110"/>
                    <w:sz w:val="20"/>
                  </w:rPr>
                  <w:t>ON</w:t>
                </w:r>
                <w:r>
                  <w:rPr>
                    <w:rFonts w:ascii="Times New Roman"/>
                    <w:b/>
                    <w:color w:val="2F2F2F"/>
                    <w:spacing w:val="-5"/>
                    <w:w w:val="110"/>
                    <w:sz w:val="20"/>
                  </w:rPr>
                  <w:t>TIN</w:t>
                </w:r>
                <w:r>
                  <w:rPr>
                    <w:rFonts w:ascii="Times New Roman"/>
                    <w:b/>
                    <w:color w:val="161616"/>
                    <w:spacing w:val="-5"/>
                    <w:w w:val="110"/>
                    <w:sz w:val="20"/>
                  </w:rPr>
                  <w:t>UED</w:t>
                </w:r>
              </w:p>
            </w:txbxContent>
          </v:textbox>
          <w10:wrap type="non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967201pt;margin-top:11.306197pt;width:87.2pt;height:14.25pt;mso-position-horizontal-relative:page;mso-position-vertical-relative:page;z-index:-275320832" type="#_x0000_t202" filled="false" stroked="false">
          <v:textbox inset="0,0,0,0">
            <w:txbxContent>
              <w:p>
                <w:pPr>
                  <w:pStyle w:val="BodyText"/>
                  <w:spacing w:before="11"/>
                  <w:ind w:left="20"/>
                  <w:rPr>
                    <w:rFonts w:ascii="Times New Roman"/>
                    <w:sz w:val="22"/>
                  </w:rPr>
                </w:pPr>
                <w:r>
                  <w:rPr>
                    <w:rFonts w:ascii="Times New Roman"/>
                    <w:color w:val="414141"/>
                    <w:w w:val="110"/>
                  </w:rPr>
                  <w:t>ACCOUNTS</w:t>
                </w:r>
                <w:r>
                  <w:rPr>
                    <w:rFonts w:ascii="Times New Roman"/>
                    <w:color w:val="414141"/>
                    <w:spacing w:val="-30"/>
                    <w:w w:val="110"/>
                  </w:rPr>
                  <w:t> </w:t>
                </w:r>
                <w:r>
                  <w:rPr>
                    <w:rFonts w:ascii="Times New Roman"/>
                    <w:color w:val="414141"/>
                    <w:w w:val="110"/>
                  </w:rPr>
                  <w:t>page</w:t>
                </w:r>
                <w:r>
                  <w:rPr>
                    <w:rFonts w:ascii="Times New Roman"/>
                    <w:color w:val="414141"/>
                    <w:spacing w:val="-40"/>
                    <w:w w:val="110"/>
                  </w:rPr>
                  <w:t> </w:t>
                </w:r>
                <w:r>
                  <w:rPr>
                    <w:rFonts w:ascii="Times New Roman"/>
                    <w:color w:val="414141"/>
                    <w:w w:val="110"/>
                    <w:sz w:val="22"/>
                  </w:rPr>
                  <w:t>21</w:t>
                </w:r>
              </w:p>
            </w:txbxContent>
          </v:textbox>
          <w10:wrap type="none"/>
        </v:shape>
      </w:pict>
    </w:r>
    <w:r>
      <w:rPr/>
      <w:pict>
        <v:shape style="position:absolute;margin-left:177.009293pt;margin-top:35.842999pt;width:225.75pt;height:14.25pt;mso-position-horizontal-relative:page;mso-position-vertical-relative:page;z-index:-275319808" type="#_x0000_t202" filled="false" stroked="false">
          <v:textbox inset="0,0,0,0">
            <w:txbxContent>
              <w:p>
                <w:pPr>
                  <w:spacing w:before="11"/>
                  <w:ind w:left="20" w:right="0" w:firstLine="0"/>
                  <w:jc w:val="left"/>
                  <w:rPr>
                    <w:rFonts w:ascii="Times New Roman"/>
                    <w:b/>
                    <w:sz w:val="22"/>
                  </w:rPr>
                </w:pPr>
                <w:r>
                  <w:rPr>
                    <w:rFonts w:ascii="Times New Roman"/>
                    <w:b/>
                    <w:color w:val="151515"/>
                    <w:w w:val="105"/>
                    <w:sz w:val="22"/>
                  </w:rPr>
                  <w:t>NOTES</w:t>
                </w:r>
                <w:r>
                  <w:rPr>
                    <w:rFonts w:ascii="Times New Roman"/>
                    <w:b/>
                    <w:color w:val="151515"/>
                    <w:spacing w:val="-19"/>
                    <w:w w:val="105"/>
                    <w:sz w:val="22"/>
                  </w:rPr>
                  <w:t> </w:t>
                </w:r>
                <w:r>
                  <w:rPr>
                    <w:rFonts w:ascii="Times New Roman"/>
                    <w:b/>
                    <w:color w:val="151515"/>
                    <w:w w:val="105"/>
                    <w:sz w:val="22"/>
                  </w:rPr>
                  <w:t>TO</w:t>
                </w:r>
                <w:r>
                  <w:rPr>
                    <w:rFonts w:ascii="Times New Roman"/>
                    <w:b/>
                    <w:color w:val="151515"/>
                    <w:spacing w:val="-26"/>
                    <w:w w:val="105"/>
                    <w:sz w:val="22"/>
                  </w:rPr>
                  <w:t> </w:t>
                </w:r>
                <w:r>
                  <w:rPr>
                    <w:rFonts w:ascii="Times New Roman"/>
                    <w:b/>
                    <w:color w:val="2D2D2D"/>
                    <w:w w:val="105"/>
                    <w:sz w:val="22"/>
                  </w:rPr>
                  <w:t>THE</w:t>
                </w:r>
                <w:r>
                  <w:rPr>
                    <w:rFonts w:ascii="Times New Roman"/>
                    <w:b/>
                    <w:color w:val="2D2D2D"/>
                    <w:spacing w:val="-30"/>
                    <w:w w:val="105"/>
                    <w:sz w:val="22"/>
                  </w:rPr>
                  <w:t> </w:t>
                </w:r>
                <w:r>
                  <w:rPr>
                    <w:rFonts w:ascii="Times New Roman"/>
                    <w:b/>
                    <w:color w:val="2D2D2D"/>
                    <w:w w:val="105"/>
                    <w:sz w:val="22"/>
                  </w:rPr>
                  <w:t>ACCOUNTS</w:t>
                </w:r>
                <w:r>
                  <w:rPr>
                    <w:rFonts w:ascii="Times New Roman"/>
                    <w:b/>
                    <w:color w:val="2D2D2D"/>
                    <w:spacing w:val="-11"/>
                    <w:w w:val="105"/>
                    <w:sz w:val="22"/>
                  </w:rPr>
                  <w:t> </w:t>
                </w:r>
                <w:r>
                  <w:rPr>
                    <w:rFonts w:ascii="Times New Roman"/>
                    <w:b/>
                    <w:color w:val="2D2D2D"/>
                    <w:w w:val="105"/>
                    <w:sz w:val="22"/>
                  </w:rPr>
                  <w:t>CONTINUED</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967201pt;margin-top:11.306197pt;width:87.2pt;height:14.25pt;mso-position-horizontal-relative:page;mso-position-vertical-relative:page;z-index:-275318784" type="#_x0000_t202" filled="false" stroked="false">
          <v:textbox inset="0,0,0,0">
            <w:txbxContent>
              <w:p>
                <w:pPr>
                  <w:pStyle w:val="BodyText"/>
                  <w:spacing w:before="11"/>
                  <w:ind w:left="20"/>
                  <w:rPr>
                    <w:rFonts w:ascii="Times New Roman"/>
                    <w:sz w:val="22"/>
                  </w:rPr>
                </w:pPr>
                <w:r>
                  <w:rPr>
                    <w:rFonts w:ascii="Times New Roman"/>
                    <w:color w:val="414141"/>
                    <w:w w:val="110"/>
                  </w:rPr>
                  <w:t>ACCOUNTS</w:t>
                </w:r>
                <w:r>
                  <w:rPr>
                    <w:rFonts w:ascii="Times New Roman"/>
                    <w:color w:val="414141"/>
                    <w:spacing w:val="-30"/>
                    <w:w w:val="110"/>
                  </w:rPr>
                  <w:t> </w:t>
                </w:r>
                <w:r>
                  <w:rPr>
                    <w:rFonts w:ascii="Times New Roman"/>
                    <w:color w:val="414141"/>
                    <w:w w:val="110"/>
                  </w:rPr>
                  <w:t>page</w:t>
                </w:r>
                <w:r>
                  <w:rPr>
                    <w:rFonts w:ascii="Times New Roman"/>
                    <w:color w:val="414141"/>
                    <w:spacing w:val="-40"/>
                    <w:w w:val="110"/>
                  </w:rPr>
                  <w:t> </w:t>
                </w:r>
                <w:r>
                  <w:rPr>
                    <w:rFonts w:ascii="Times New Roman"/>
                    <w:color w:val="414141"/>
                    <w:w w:val="110"/>
                    <w:sz w:val="22"/>
                  </w:rPr>
                  <w:t>21</w:t>
                </w:r>
              </w:p>
            </w:txbxContent>
          </v:textbox>
          <w10:wrap type="none"/>
        </v:shape>
      </w:pict>
    </w:r>
    <w:r>
      <w:rPr/>
      <w:pict>
        <v:shape style="position:absolute;margin-left:177.009293pt;margin-top:35.842999pt;width:225.75pt;height:14.25pt;mso-position-horizontal-relative:page;mso-position-vertical-relative:page;z-index:-275317760" type="#_x0000_t202" filled="false" stroked="false">
          <v:textbox inset="0,0,0,0">
            <w:txbxContent>
              <w:p>
                <w:pPr>
                  <w:spacing w:before="11"/>
                  <w:ind w:left="20" w:right="0" w:firstLine="0"/>
                  <w:jc w:val="left"/>
                  <w:rPr>
                    <w:rFonts w:ascii="Times New Roman"/>
                    <w:b/>
                    <w:sz w:val="22"/>
                  </w:rPr>
                </w:pPr>
                <w:r>
                  <w:rPr>
                    <w:rFonts w:ascii="Times New Roman"/>
                    <w:b/>
                    <w:color w:val="151515"/>
                    <w:w w:val="105"/>
                    <w:sz w:val="22"/>
                  </w:rPr>
                  <w:t>NOTES</w:t>
                </w:r>
                <w:r>
                  <w:rPr>
                    <w:rFonts w:ascii="Times New Roman"/>
                    <w:b/>
                    <w:color w:val="151515"/>
                    <w:spacing w:val="-19"/>
                    <w:w w:val="105"/>
                    <w:sz w:val="22"/>
                  </w:rPr>
                  <w:t> </w:t>
                </w:r>
                <w:r>
                  <w:rPr>
                    <w:rFonts w:ascii="Times New Roman"/>
                    <w:b/>
                    <w:color w:val="151515"/>
                    <w:w w:val="105"/>
                    <w:sz w:val="22"/>
                  </w:rPr>
                  <w:t>TO</w:t>
                </w:r>
                <w:r>
                  <w:rPr>
                    <w:rFonts w:ascii="Times New Roman"/>
                    <w:b/>
                    <w:color w:val="151515"/>
                    <w:spacing w:val="-26"/>
                    <w:w w:val="105"/>
                    <w:sz w:val="22"/>
                  </w:rPr>
                  <w:t> </w:t>
                </w:r>
                <w:r>
                  <w:rPr>
                    <w:rFonts w:ascii="Times New Roman"/>
                    <w:b/>
                    <w:color w:val="2D2D2D"/>
                    <w:w w:val="105"/>
                    <w:sz w:val="22"/>
                  </w:rPr>
                  <w:t>THE</w:t>
                </w:r>
                <w:r>
                  <w:rPr>
                    <w:rFonts w:ascii="Times New Roman"/>
                    <w:b/>
                    <w:color w:val="2D2D2D"/>
                    <w:spacing w:val="-30"/>
                    <w:w w:val="105"/>
                    <w:sz w:val="22"/>
                  </w:rPr>
                  <w:t> </w:t>
                </w:r>
                <w:r>
                  <w:rPr>
                    <w:rFonts w:ascii="Times New Roman"/>
                    <w:b/>
                    <w:color w:val="2D2D2D"/>
                    <w:w w:val="105"/>
                    <w:sz w:val="22"/>
                  </w:rPr>
                  <w:t>ACCOUNTS</w:t>
                </w:r>
                <w:r>
                  <w:rPr>
                    <w:rFonts w:ascii="Times New Roman"/>
                    <w:b/>
                    <w:color w:val="2D2D2D"/>
                    <w:spacing w:val="-11"/>
                    <w:w w:val="105"/>
                    <w:sz w:val="22"/>
                  </w:rPr>
                  <w:t> </w:t>
                </w:r>
                <w:r>
                  <w:rPr>
                    <w:rFonts w:ascii="Times New Roman"/>
                    <w:b/>
                    <w:color w:val="2D2D2D"/>
                    <w:w w:val="105"/>
                    <w:sz w:val="22"/>
                  </w:rPr>
                  <w:t>CONTINUED</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2.593374pt;width:91.1pt;height:14.75pt;mso-position-horizontal-relative:page;mso-position-vertical-relative:page;z-index:-275316736" type="#_x0000_t202" filled="false" stroked="false">
          <v:textbox inset="0,0,0,0">
            <w:txbxContent>
              <w:p>
                <w:pPr>
                  <w:pStyle w:val="BodyText"/>
                  <w:spacing w:before="13"/>
                  <w:ind w:left="20"/>
                  <w:rPr>
                    <w:rFonts w:ascii="Arial"/>
                    <w:sz w:val="22"/>
                  </w:rPr>
                </w:pPr>
                <w:r>
                  <w:rPr>
                    <w:rFonts w:ascii="Times New Roman"/>
                    <w:color w:val="3B3B3B"/>
                    <w:spacing w:val="-5"/>
                    <w:w w:val="110"/>
                  </w:rPr>
                  <w:t>ACCOUN</w:t>
                </w:r>
                <w:r>
                  <w:rPr>
                    <w:rFonts w:ascii="Times New Roman"/>
                    <w:color w:val="1F1F1F"/>
                    <w:spacing w:val="-5"/>
                    <w:w w:val="110"/>
                  </w:rPr>
                  <w:t>T</w:t>
                </w:r>
                <w:r>
                  <w:rPr>
                    <w:rFonts w:ascii="Times New Roman"/>
                    <w:color w:val="3B3B3B"/>
                    <w:spacing w:val="-5"/>
                    <w:w w:val="110"/>
                  </w:rPr>
                  <w:t>S </w:t>
                </w:r>
                <w:r>
                  <w:rPr>
                    <w:rFonts w:ascii="Times New Roman"/>
                    <w:color w:val="3B3B3B"/>
                    <w:w w:val="110"/>
                  </w:rPr>
                  <w:t>page </w:t>
                </w:r>
                <w:r>
                  <w:rPr>
                    <w:rFonts w:ascii="Arial"/>
                    <w:color w:val="3B3B3B"/>
                    <w:w w:val="110"/>
                    <w:sz w:val="22"/>
                  </w:rPr>
                  <w:t>26</w:t>
                </w:r>
              </w:p>
            </w:txbxContent>
          </v:textbox>
          <w10:wrap type="non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1.593374pt;width:94.1pt;height:16.75pt;mso-position-horizontal-relative:page;mso-position-vertical-relative:page;z-index:-275315712" type="#_x0000_t202" filled="false" stroked="false">
          <v:textbox inset="0,0,0,0">
            <w:txbxContent>
              <w:p>
                <w:pPr>
                  <w:pStyle w:val="BodyText"/>
                  <w:spacing w:before="33"/>
                  <w:ind w:left="20"/>
                  <w:rPr>
                    <w:rFonts w:ascii="Arial"/>
                    <w:sz w:val="22"/>
                  </w:rPr>
                </w:pPr>
                <w:r>
                  <w:rPr>
                    <w:rFonts w:ascii="Times New Roman"/>
                    <w:color w:val="3B3B3B"/>
                    <w:w w:val="110"/>
                  </w:rPr>
                  <w:t>ACCOUN</w:t>
                </w:r>
                <w:r>
                  <w:rPr>
                    <w:rFonts w:ascii="Times New Roman"/>
                    <w:color w:val="1F1F1F"/>
                    <w:w w:val="110"/>
                  </w:rPr>
                  <w:t>T</w:t>
                </w:r>
                <w:r>
                  <w:rPr>
                    <w:rFonts w:ascii="Times New Roman"/>
                    <w:color w:val="3B3B3B"/>
                    <w:w w:val="110"/>
                  </w:rPr>
                  <w:t>S page </w:t>
                </w:r>
                <w:r>
                  <w:rPr/>
                  <w:fldChar w:fldCharType="begin"/>
                </w:r>
                <w:r>
                  <w:rPr>
                    <w:rFonts w:ascii="Arial"/>
                    <w:color w:val="3B3B3B"/>
                    <w:w w:val="110"/>
                    <w:sz w:val="22"/>
                  </w:rPr>
                  <w:instrText> PAGE </w:instrText>
                </w:r>
                <w:r>
                  <w:rPr/>
                  <w:fldChar w:fldCharType="separate"/>
                </w:r>
                <w:r>
                  <w:rPr/>
                  <w:t>26</w:t>
                </w:r>
                <w:r>
                  <w:rPr/>
                  <w:fldChar w:fldCharType="end"/>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78262pt;margin-top:12.749497pt;width:86.4pt;height:14.25pt;mso-position-horizontal-relative:page;mso-position-vertical-relative:page;z-index:-275314688" type="#_x0000_t202" filled="false" stroked="false">
          <v:textbox inset="0,0,0,0">
            <w:txbxContent>
              <w:p>
                <w:pPr>
                  <w:pStyle w:val="BodyText"/>
                  <w:spacing w:before="11"/>
                  <w:ind w:left="20"/>
                  <w:rPr>
                    <w:rFonts w:ascii="Times New Roman"/>
                    <w:sz w:val="22"/>
                  </w:rPr>
                </w:pPr>
                <w:r>
                  <w:rPr>
                    <w:rFonts w:ascii="Times New Roman"/>
                    <w:color w:val="3F3F3F"/>
                    <w:w w:val="105"/>
                  </w:rPr>
                  <w:t>ACCOUNTS page </w:t>
                </w:r>
                <w:r>
                  <w:rPr>
                    <w:rFonts w:ascii="Times New Roman"/>
                    <w:color w:val="3F3F3F"/>
                    <w:w w:val="105"/>
                    <w:sz w:val="22"/>
                  </w:rPr>
                  <w:t>23</w:t>
                </w:r>
              </w:p>
            </w:txbxContent>
          </v:textbox>
          <w10:wrap type="none"/>
        </v:shape>
      </w:pict>
    </w:r>
    <w:r>
      <w:rPr/>
      <w:pict>
        <v:shape style="position:absolute;margin-left:174.12030pt;margin-top:26.220697pt;width:225.25pt;height:14.25pt;mso-position-horizontal-relative:page;mso-position-vertical-relative:page;z-index:-275313664" type="#_x0000_t202" filled="false" stroked="false">
          <v:textbox inset="0,0,0,0">
            <w:txbxContent>
              <w:p>
                <w:pPr>
                  <w:spacing w:before="11"/>
                  <w:ind w:left="20" w:right="0" w:firstLine="0"/>
                  <w:jc w:val="left"/>
                  <w:rPr>
                    <w:rFonts w:ascii="Times New Roman"/>
                    <w:b/>
                    <w:sz w:val="22"/>
                  </w:rPr>
                </w:pPr>
                <w:r>
                  <w:rPr>
                    <w:rFonts w:ascii="Times New Roman"/>
                    <w:b/>
                    <w:color w:val="1A1A1A"/>
                    <w:w w:val="105"/>
                    <w:sz w:val="22"/>
                  </w:rPr>
                  <w:t>NOTES</w:t>
                </w:r>
                <w:r>
                  <w:rPr>
                    <w:rFonts w:ascii="Times New Roman"/>
                    <w:b/>
                    <w:color w:val="1A1A1A"/>
                    <w:spacing w:val="-24"/>
                    <w:w w:val="105"/>
                    <w:sz w:val="22"/>
                  </w:rPr>
                  <w:t> </w:t>
                </w:r>
                <w:r>
                  <w:rPr>
                    <w:rFonts w:ascii="Times New Roman"/>
                    <w:b/>
                    <w:color w:val="1A1A1A"/>
                    <w:w w:val="105"/>
                    <w:sz w:val="22"/>
                  </w:rPr>
                  <w:t>TO</w:t>
                </w:r>
                <w:r>
                  <w:rPr>
                    <w:rFonts w:ascii="Times New Roman"/>
                    <w:b/>
                    <w:color w:val="1A1A1A"/>
                    <w:spacing w:val="-30"/>
                    <w:w w:val="105"/>
                    <w:sz w:val="22"/>
                  </w:rPr>
                  <w:t> </w:t>
                </w:r>
                <w:r>
                  <w:rPr>
                    <w:rFonts w:ascii="Times New Roman"/>
                    <w:b/>
                    <w:color w:val="1A1A1A"/>
                    <w:w w:val="105"/>
                    <w:sz w:val="22"/>
                  </w:rPr>
                  <w:t>THE</w:t>
                </w:r>
                <w:r>
                  <w:rPr>
                    <w:rFonts w:ascii="Times New Roman"/>
                    <w:b/>
                    <w:color w:val="1A1A1A"/>
                    <w:spacing w:val="-26"/>
                    <w:w w:val="105"/>
                    <w:sz w:val="22"/>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2B2B2B"/>
                    <w:w w:val="105"/>
                    <w:sz w:val="22"/>
                  </w:rPr>
                  <w:t>CONTINUED</w:t>
                </w:r>
              </w:p>
            </w:txbxContent>
          </v:textbox>
          <w10:wrap type="non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078262pt;margin-top:12.749497pt;width:86.4pt;height:14.25pt;mso-position-horizontal-relative:page;mso-position-vertical-relative:page;z-index:-275312640" type="#_x0000_t202" filled="false" stroked="false">
          <v:textbox inset="0,0,0,0">
            <w:txbxContent>
              <w:p>
                <w:pPr>
                  <w:pStyle w:val="BodyText"/>
                  <w:spacing w:before="11"/>
                  <w:ind w:left="20"/>
                  <w:rPr>
                    <w:rFonts w:ascii="Times New Roman"/>
                    <w:sz w:val="22"/>
                  </w:rPr>
                </w:pPr>
                <w:r>
                  <w:rPr>
                    <w:rFonts w:ascii="Times New Roman"/>
                    <w:color w:val="3F3F3F"/>
                    <w:w w:val="105"/>
                  </w:rPr>
                  <w:t>ACCOUNTS page </w:t>
                </w:r>
                <w:r>
                  <w:rPr>
                    <w:rFonts w:ascii="Times New Roman"/>
                    <w:color w:val="3F3F3F"/>
                    <w:w w:val="105"/>
                    <w:sz w:val="22"/>
                  </w:rPr>
                  <w:t>23</w:t>
                </w:r>
              </w:p>
            </w:txbxContent>
          </v:textbox>
          <w10:wrap type="none"/>
        </v:shape>
      </w:pict>
    </w:r>
    <w:r>
      <w:rPr/>
      <w:pict>
        <v:shape style="position:absolute;margin-left:174.12030pt;margin-top:26.220697pt;width:225.25pt;height:14.25pt;mso-position-horizontal-relative:page;mso-position-vertical-relative:page;z-index:-275311616" type="#_x0000_t202" filled="false" stroked="false">
          <v:textbox inset="0,0,0,0">
            <w:txbxContent>
              <w:p>
                <w:pPr>
                  <w:spacing w:before="11"/>
                  <w:ind w:left="20" w:right="0" w:firstLine="0"/>
                  <w:jc w:val="left"/>
                  <w:rPr>
                    <w:rFonts w:ascii="Times New Roman"/>
                    <w:b/>
                    <w:sz w:val="22"/>
                  </w:rPr>
                </w:pPr>
                <w:r>
                  <w:rPr>
                    <w:rFonts w:ascii="Times New Roman"/>
                    <w:b/>
                    <w:color w:val="1A1A1A"/>
                    <w:w w:val="105"/>
                    <w:sz w:val="22"/>
                  </w:rPr>
                  <w:t>NOTES</w:t>
                </w:r>
                <w:r>
                  <w:rPr>
                    <w:rFonts w:ascii="Times New Roman"/>
                    <w:b/>
                    <w:color w:val="1A1A1A"/>
                    <w:spacing w:val="-24"/>
                    <w:w w:val="105"/>
                    <w:sz w:val="22"/>
                  </w:rPr>
                  <w:t> </w:t>
                </w:r>
                <w:r>
                  <w:rPr>
                    <w:rFonts w:ascii="Times New Roman"/>
                    <w:b/>
                    <w:color w:val="1A1A1A"/>
                    <w:w w:val="105"/>
                    <w:sz w:val="22"/>
                  </w:rPr>
                  <w:t>TO</w:t>
                </w:r>
                <w:r>
                  <w:rPr>
                    <w:rFonts w:ascii="Times New Roman"/>
                    <w:b/>
                    <w:color w:val="1A1A1A"/>
                    <w:spacing w:val="-30"/>
                    <w:w w:val="105"/>
                    <w:sz w:val="22"/>
                  </w:rPr>
                  <w:t> </w:t>
                </w:r>
                <w:r>
                  <w:rPr>
                    <w:rFonts w:ascii="Times New Roman"/>
                    <w:b/>
                    <w:color w:val="1A1A1A"/>
                    <w:w w:val="105"/>
                    <w:sz w:val="22"/>
                  </w:rPr>
                  <w:t>THE</w:t>
                </w:r>
                <w:r>
                  <w:rPr>
                    <w:rFonts w:ascii="Times New Roman"/>
                    <w:b/>
                    <w:color w:val="1A1A1A"/>
                    <w:spacing w:val="-26"/>
                    <w:w w:val="105"/>
                    <w:sz w:val="22"/>
                  </w:rPr>
                  <w:t> </w:t>
                </w:r>
                <w:r>
                  <w:rPr>
                    <w:rFonts w:ascii="Times New Roman"/>
                    <w:b/>
                    <w:color w:val="1A1A1A"/>
                    <w:w w:val="105"/>
                    <w:sz w:val="22"/>
                  </w:rPr>
                  <w:t>ACCOUNTS</w:t>
                </w:r>
                <w:r>
                  <w:rPr>
                    <w:rFonts w:ascii="Times New Roman"/>
                    <w:b/>
                    <w:color w:val="1A1A1A"/>
                    <w:spacing w:val="-13"/>
                    <w:w w:val="105"/>
                    <w:sz w:val="22"/>
                  </w:rPr>
                  <w:t> </w:t>
                </w:r>
                <w:r>
                  <w:rPr>
                    <w:rFonts w:ascii="Times New Roman"/>
                    <w:b/>
                    <w:color w:val="2B2B2B"/>
                    <w:w w:val="105"/>
                    <w:sz w:val="22"/>
                  </w:rPr>
                  <w:t>CONTINUED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174408pt;margin-top:26.89555pt;width:101.4pt;height:16pt;mso-position-horizontal-relative:page;mso-position-vertical-relative:page;z-index:-27557171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Church Changes</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749908pt;margin-top:13.677289pt;width:87.7pt;height:13.7pt;mso-position-horizontal-relative:page;mso-position-vertical-relative:page;z-index:-275310592" type="#_x0000_t202" filled="false" stroked="false">
          <v:textbox inset="0,0,0,0">
            <w:txbxContent>
              <w:p>
                <w:pPr>
                  <w:spacing w:before="11"/>
                  <w:ind w:left="20" w:right="0" w:firstLine="0"/>
                  <w:jc w:val="left"/>
                  <w:rPr>
                    <w:rFonts w:ascii="Times New Roman"/>
                    <w:sz w:val="21"/>
                  </w:rPr>
                </w:pPr>
                <w:r>
                  <w:rPr>
                    <w:rFonts w:ascii="Times New Roman"/>
                    <w:color w:val="3B3B3B"/>
                    <w:sz w:val="19"/>
                  </w:rPr>
                  <w:t>ACCOUNTS </w:t>
                </w:r>
                <w:r>
                  <w:rPr>
                    <w:rFonts w:ascii="Times New Roman"/>
                    <w:color w:val="262626"/>
                    <w:sz w:val="19"/>
                  </w:rPr>
                  <w:t>page </w:t>
                </w:r>
                <w:r>
                  <w:rPr>
                    <w:rFonts w:ascii="Times New Roman"/>
                    <w:color w:val="3B3B3B"/>
                    <w:sz w:val="21"/>
                  </w:rPr>
                  <w:t>24</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9.749908pt;margin-top:12.677289pt;width:90.7pt;height:15.7pt;mso-position-horizontal-relative:page;mso-position-vertical-relative:page;z-index:-275309568" type="#_x0000_t202" filled="false" stroked="false">
          <v:textbox inset="0,0,0,0">
            <w:txbxContent>
              <w:p>
                <w:pPr>
                  <w:spacing w:before="31"/>
                  <w:ind w:left="20" w:right="0" w:firstLine="0"/>
                  <w:jc w:val="left"/>
                  <w:rPr>
                    <w:rFonts w:ascii="Times New Roman"/>
                    <w:sz w:val="21"/>
                  </w:rPr>
                </w:pPr>
                <w:r>
                  <w:rPr>
                    <w:rFonts w:ascii="Times New Roman"/>
                    <w:color w:val="3B3B3B"/>
                    <w:sz w:val="19"/>
                  </w:rPr>
                  <w:t>ACCOUNTS </w:t>
                </w:r>
                <w:r>
                  <w:rPr>
                    <w:rFonts w:ascii="Times New Roman"/>
                    <w:color w:val="262626"/>
                    <w:sz w:val="19"/>
                  </w:rPr>
                  <w:t>page </w:t>
                </w:r>
                <w:r>
                  <w:rPr/>
                  <w:fldChar w:fldCharType="begin"/>
                </w:r>
                <w:r>
                  <w:rPr>
                    <w:rFonts w:ascii="Times New Roman"/>
                    <w:color w:val="3B3B3B"/>
                    <w:sz w:val="21"/>
                  </w:rPr>
                  <w:instrText> PAGE </w:instrText>
                </w:r>
                <w:r>
                  <w:rPr/>
                  <w:fldChar w:fldCharType="separate"/>
                </w:r>
                <w:r>
                  <w:rPr/>
                  <w:t>24</w:t>
                </w:r>
                <w:r>
                  <w:rPr/>
                  <w:fldChar w:fldCharType="end"/>
                </w:r>
              </w:p>
            </w:txbxContent>
          </v:textbox>
          <w10:wrap type="non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485733pt;margin-top:12.268397pt;width:86.85pt;height:14.25pt;mso-position-horizontal-relative:page;mso-position-vertical-relative:page;z-index:-275308544" type="#_x0000_t202" filled="false" stroked="false">
          <v:textbox inset="0,0,0,0">
            <w:txbxContent>
              <w:p>
                <w:pPr>
                  <w:pStyle w:val="BodyText"/>
                  <w:spacing w:before="11"/>
                  <w:ind w:left="20"/>
                  <w:rPr>
                    <w:rFonts w:ascii="Times New Roman"/>
                    <w:sz w:val="22"/>
                  </w:rPr>
                </w:pPr>
                <w:r>
                  <w:rPr>
                    <w:rFonts w:ascii="Times New Roman"/>
                    <w:color w:val="3D3D3D"/>
                    <w:w w:val="105"/>
                  </w:rPr>
                  <w:t>ACCOUNTS page </w:t>
                </w:r>
                <w:r>
                  <w:rPr>
                    <w:rFonts w:ascii="Times New Roman"/>
                    <w:color w:val="3D3D3D"/>
                    <w:w w:val="105"/>
                    <w:sz w:val="22"/>
                  </w:rPr>
                  <w:t>25</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485733pt;margin-top:12.268397pt;width:86.85pt;height:14.25pt;mso-position-horizontal-relative:page;mso-position-vertical-relative:page;z-index:-275307520" type="#_x0000_t202" filled="false" stroked="false">
          <v:textbox inset="0,0,0,0">
            <w:txbxContent>
              <w:p>
                <w:pPr>
                  <w:pStyle w:val="BodyText"/>
                  <w:spacing w:before="11"/>
                  <w:ind w:left="20"/>
                  <w:rPr>
                    <w:rFonts w:ascii="Times New Roman"/>
                    <w:sz w:val="22"/>
                  </w:rPr>
                </w:pPr>
                <w:r>
                  <w:rPr>
                    <w:rFonts w:ascii="Times New Roman"/>
                    <w:color w:val="3D3D3D"/>
                    <w:w w:val="105"/>
                  </w:rPr>
                  <w:t>ACCOUNTS page </w:t>
                </w:r>
                <w:r>
                  <w:rPr>
                    <w:rFonts w:ascii="Times New Roman"/>
                    <w:color w:val="3D3D3D"/>
                    <w:w w:val="105"/>
                    <w:sz w:val="22"/>
                  </w:rPr>
                  <w:t>25</w:t>
                </w:r>
              </w:p>
            </w:txbxContent>
          </v:textbox>
          <w10:wrap type="non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2.593374pt;width:89.35pt;height:14.35pt;mso-position-horizontal-relative:page;mso-position-vertical-relative:page;z-index:-275306496" type="#_x0000_t202" filled="false" stroked="false">
          <v:textbox inset="0,0,0,0">
            <w:txbxContent>
              <w:p>
                <w:pPr>
                  <w:pStyle w:val="BodyText"/>
                  <w:spacing w:before="13"/>
                  <w:ind w:left="20"/>
                  <w:rPr>
                    <w:rFonts w:ascii="Arial"/>
                    <w:sz w:val="22"/>
                  </w:rPr>
                </w:pPr>
                <w:r>
                  <w:rPr>
                    <w:rFonts w:ascii="Times New Roman"/>
                    <w:color w:val="3B3B3B"/>
                    <w:spacing w:val="-5"/>
                    <w:w w:val="110"/>
                  </w:rPr>
                  <w:t>ACCOUN</w:t>
                </w:r>
                <w:r>
                  <w:rPr>
                    <w:rFonts w:ascii="Times New Roman"/>
                    <w:color w:val="1F1F1F"/>
                    <w:spacing w:val="-5"/>
                    <w:w w:val="110"/>
                  </w:rPr>
                  <w:t>T</w:t>
                </w:r>
                <w:r>
                  <w:rPr>
                    <w:rFonts w:ascii="Times New Roman"/>
                    <w:color w:val="3B3B3B"/>
                    <w:spacing w:val="-5"/>
                    <w:w w:val="110"/>
                  </w:rPr>
                  <w:t>S </w:t>
                </w:r>
                <w:r>
                  <w:rPr>
                    <w:rFonts w:ascii="Times New Roman"/>
                    <w:color w:val="3B3B3B"/>
                    <w:w w:val="110"/>
                  </w:rPr>
                  <w:t>page </w:t>
                </w:r>
                <w:r>
                  <w:rPr>
                    <w:rFonts w:ascii="Arial"/>
                    <w:color w:val="3B3B3B"/>
                    <w:w w:val="110"/>
                    <w:sz w:val="22"/>
                  </w:rPr>
                  <w:t>26</w:t>
                </w:r>
              </w:p>
            </w:txbxContent>
          </v:textbox>
          <w10:wrap type="non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09387pt;margin-top:11.593374pt;width:92.35pt;height:16.3500pt;mso-position-horizontal-relative:page;mso-position-vertical-relative:page;z-index:-275305472" type="#_x0000_t202" filled="false" stroked="false">
          <v:textbox inset="0,0,0,0">
            <w:txbxContent>
              <w:p>
                <w:pPr>
                  <w:pStyle w:val="BodyText"/>
                  <w:spacing w:before="33"/>
                  <w:ind w:left="20"/>
                  <w:rPr>
                    <w:rFonts w:ascii="Arial"/>
                    <w:sz w:val="22"/>
                  </w:rPr>
                </w:pPr>
                <w:r>
                  <w:rPr>
                    <w:rFonts w:ascii="Times New Roman"/>
                    <w:color w:val="3B3B3B"/>
                    <w:w w:val="110"/>
                  </w:rPr>
                  <w:t>ACCOUN</w:t>
                </w:r>
                <w:r>
                  <w:rPr>
                    <w:rFonts w:ascii="Times New Roman"/>
                    <w:color w:val="1F1F1F"/>
                    <w:w w:val="110"/>
                  </w:rPr>
                  <w:t>T</w:t>
                </w:r>
                <w:r>
                  <w:rPr>
                    <w:rFonts w:ascii="Times New Roman"/>
                    <w:color w:val="3B3B3B"/>
                    <w:w w:val="110"/>
                  </w:rPr>
                  <w:t>S page </w:t>
                </w:r>
                <w:r>
                  <w:rPr/>
                  <w:fldChar w:fldCharType="begin"/>
                </w:r>
                <w:r>
                  <w:rPr>
                    <w:rFonts w:ascii="Arial"/>
                    <w:color w:val="3B3B3B"/>
                    <w:w w:val="110"/>
                    <w:sz w:val="22"/>
                  </w:rPr>
                  <w:instrText> PAGE </w:instrText>
                </w:r>
                <w:r>
                  <w:rPr/>
                  <w:fldChar w:fldCharType="separate"/>
                </w:r>
                <w:r>
                  <w:rPr/>
                  <w:t>26</w:t>
                </w:r>
                <w:r>
                  <w:rPr/>
                  <w:fldChar w:fldCharType="end"/>
                </w:r>
              </w:p>
            </w:txbxContent>
          </v:textbox>
          <w10:wrap type="non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555pt;width:101.4pt;height:16pt;mso-position-horizontal-relative:page;mso-position-vertical-relative:page;z-index:-27557068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Church Changes</w:t>
                </w:r>
              </w:p>
            </w:txbxContent>
          </v:textbox>
          <w10:wrap type="non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8.112915pt;margin-top:26.897949pt;width:101.55pt;height:16pt;mso-position-horizontal-relative:page;mso-position-vertical-relative:page;z-index:-27530444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Standing Orders</w:t>
                </w:r>
              </w:p>
            </w:txbxContent>
          </v:textbox>
          <w10:wrap type="non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101.55pt;height:16pt;mso-position-horizontal-relative:page;mso-position-vertical-relative:page;z-index:-27530342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Standing Orders</w:t>
                </w:r>
              </w:p>
            </w:txbxContent>
          </v:textbox>
          <w10:wrap type="non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8.519196pt;margin-top:26.897949pt;width:141.2pt;height:16pt;mso-position-horizontal-relative:page;mso-position-vertical-relative:page;z-index:-27529523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Reports</w:t>
                </w:r>
                <w:r>
                  <w:rPr>
                    <w:rFonts w:ascii="Eurostile Bold"/>
                    <w:b/>
                    <w:color w:val="A7A9AC"/>
                    <w:spacing w:val="-64"/>
                    <w:w w:val="90"/>
                    <w:sz w:val="28"/>
                  </w:rPr>
                  <w:t> </w:t>
                </w:r>
                <w:r>
                  <w:rPr>
                    <w:rFonts w:ascii="Eurostile Bold"/>
                    <w:b/>
                    <w:color w:val="A7A9AC"/>
                    <w:w w:val="90"/>
                    <w:sz w:val="28"/>
                  </w:rPr>
                  <w:t>from</w:t>
                </w:r>
                <w:r>
                  <w:rPr>
                    <w:rFonts w:ascii="Eurostile Bold"/>
                    <w:b/>
                    <w:color w:val="A7A9AC"/>
                    <w:spacing w:val="-35"/>
                    <w:w w:val="90"/>
                    <w:sz w:val="28"/>
                  </w:rPr>
                  <w:t> </w:t>
                </w:r>
                <w:r>
                  <w:rPr>
                    <w:rFonts w:ascii="Eurostile Bold"/>
                    <w:b/>
                    <w:color w:val="A7A9AC"/>
                    <w:w w:val="90"/>
                    <w:sz w:val="28"/>
                  </w:rPr>
                  <w:t>Colleges</w:t>
                </w:r>
              </w:p>
            </w:txbxContent>
          </v:textbox>
          <w10:wrap type="non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141.2pt;height:16pt;mso-position-horizontal-relative:page;mso-position-vertical-relative:page;z-index:-27529420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Reports</w:t>
                </w:r>
                <w:r>
                  <w:rPr>
                    <w:rFonts w:ascii="Eurostile Bold"/>
                    <w:b/>
                    <w:color w:val="A7A9AC"/>
                    <w:spacing w:val="-64"/>
                    <w:w w:val="90"/>
                    <w:sz w:val="28"/>
                  </w:rPr>
                  <w:t> </w:t>
                </w:r>
                <w:r>
                  <w:rPr>
                    <w:rFonts w:ascii="Eurostile Bold"/>
                    <w:b/>
                    <w:color w:val="A7A9AC"/>
                    <w:w w:val="90"/>
                    <w:sz w:val="28"/>
                  </w:rPr>
                  <w:t>from</w:t>
                </w:r>
                <w:r>
                  <w:rPr>
                    <w:rFonts w:ascii="Eurostile Bold"/>
                    <w:b/>
                    <w:color w:val="A7A9AC"/>
                    <w:spacing w:val="-35"/>
                    <w:w w:val="90"/>
                    <w:sz w:val="28"/>
                  </w:rPr>
                  <w:t> </w:t>
                </w:r>
                <w:r>
                  <w:rPr>
                    <w:rFonts w:ascii="Eurostile Bold"/>
                    <w:b/>
                    <w:color w:val="A7A9AC"/>
                    <w:w w:val="90"/>
                    <w:sz w:val="28"/>
                  </w:rPr>
                  <w:t>Colleges</w:t>
                </w:r>
              </w:p>
            </w:txbxContent>
          </v:textbox>
          <w10:wrap type="none"/>
        </v:shape>
      </w:pic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6849pt;width:100.95pt;height:16pt;mso-position-horizontal-relative:page;mso-position-vertical-relative:page;z-index:-27560243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Catch</w:t>
                </w:r>
                <w:r>
                  <w:rPr>
                    <w:rFonts w:ascii="Eurostile Bold"/>
                    <w:b/>
                    <w:color w:val="A7A9AC"/>
                    <w:spacing w:val="-65"/>
                    <w:w w:val="90"/>
                    <w:sz w:val="28"/>
                  </w:rPr>
                  <w:t> </w:t>
                </w:r>
                <w:r>
                  <w:rPr>
                    <w:rFonts w:ascii="Eurostile Bold"/>
                    <w:b/>
                    <w:color w:val="A7A9AC"/>
                    <w:w w:val="90"/>
                    <w:sz w:val="28"/>
                  </w:rPr>
                  <w:t>the</w:t>
                </w:r>
                <w:r>
                  <w:rPr>
                    <w:rFonts w:ascii="Eurostile Bold"/>
                    <w:b/>
                    <w:color w:val="A7A9AC"/>
                    <w:spacing w:val="-65"/>
                    <w:w w:val="90"/>
                    <w:sz w:val="28"/>
                  </w:rPr>
                  <w:t> </w:t>
                </w:r>
                <w:r>
                  <w:rPr>
                    <w:rFonts w:ascii="Eurostile Bold"/>
                    <w:b/>
                    <w:color w:val="A7A9AC"/>
                    <w:w w:val="90"/>
                    <w:sz w:val="28"/>
                  </w:rPr>
                  <w:t>Vision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794495pt;margin-top:28.066448pt;width:288.95pt;height:16pt;mso-position-horizontal-relative:page;mso-position-vertical-relative:page;z-index:-27526246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Schools</w:t>
                </w:r>
                <w:r>
                  <w:rPr>
                    <w:rFonts w:ascii="Eurostile Bold"/>
                    <w:b/>
                    <w:color w:val="A7A9AC"/>
                    <w:spacing w:val="-67"/>
                    <w:w w:val="90"/>
                    <w:sz w:val="28"/>
                  </w:rPr>
                  <w:t> </w:t>
                </w:r>
                <w:r>
                  <w:rPr>
                    <w:rFonts w:ascii="Eurostile Bold"/>
                    <w:b/>
                    <w:color w:val="A7A9AC"/>
                    <w:w w:val="90"/>
                    <w:sz w:val="28"/>
                  </w:rPr>
                  <w:t>related</w:t>
                </w:r>
                <w:r>
                  <w:rPr>
                    <w:rFonts w:ascii="Eurostile Bold"/>
                    <w:b/>
                    <w:color w:val="A7A9AC"/>
                    <w:spacing w:val="-66"/>
                    <w:w w:val="90"/>
                    <w:sz w:val="28"/>
                  </w:rPr>
                  <w:t> </w:t>
                </w:r>
                <w:r>
                  <w:rPr>
                    <w:rFonts w:ascii="Eurostile Bold"/>
                    <w:b/>
                    <w:color w:val="A7A9AC"/>
                    <w:w w:val="90"/>
                    <w:sz w:val="28"/>
                  </w:rPr>
                  <w:t>to</w:t>
                </w:r>
                <w:r>
                  <w:rPr>
                    <w:rFonts w:ascii="Eurostile Bold"/>
                    <w:b/>
                    <w:color w:val="A7A9AC"/>
                    <w:spacing w:val="-66"/>
                    <w:w w:val="90"/>
                    <w:sz w:val="28"/>
                  </w:rPr>
                  <w:t> </w:t>
                </w:r>
                <w:r>
                  <w:rPr>
                    <w:rFonts w:ascii="Eurostile Bold"/>
                    <w:b/>
                    <w:color w:val="A7A9AC"/>
                    <w:w w:val="90"/>
                    <w:sz w:val="28"/>
                  </w:rPr>
                  <w:t>the</w:t>
                </w:r>
                <w:r>
                  <w:rPr>
                    <w:rFonts w:ascii="Eurostile Bold"/>
                    <w:b/>
                    <w:color w:val="A7A9AC"/>
                    <w:spacing w:val="-67"/>
                    <w:w w:val="90"/>
                    <w:sz w:val="28"/>
                  </w:rPr>
                  <w:t> </w:t>
                </w:r>
                <w:r>
                  <w:rPr>
                    <w:rFonts w:ascii="Eurostile Bold"/>
                    <w:b/>
                    <w:color w:val="A7A9AC"/>
                    <w:w w:val="90"/>
                    <w:sz w:val="28"/>
                  </w:rPr>
                  <w:t>United</w:t>
                </w:r>
                <w:r>
                  <w:rPr>
                    <w:rFonts w:ascii="Eurostile Bold"/>
                    <w:b/>
                    <w:color w:val="A7A9AC"/>
                    <w:spacing w:val="-66"/>
                    <w:w w:val="90"/>
                    <w:sz w:val="28"/>
                  </w:rPr>
                  <w:t> </w:t>
                </w:r>
                <w:r>
                  <w:rPr>
                    <w:rFonts w:ascii="Eurostile Bold"/>
                    <w:b/>
                    <w:color w:val="A7A9AC"/>
                    <w:w w:val="90"/>
                    <w:sz w:val="28"/>
                  </w:rPr>
                  <w:t>Reformed</w:t>
                </w:r>
                <w:r>
                  <w:rPr>
                    <w:rFonts w:ascii="Eurostile Bold"/>
                    <w:b/>
                    <w:color w:val="A7A9AC"/>
                    <w:spacing w:val="-66"/>
                    <w:w w:val="90"/>
                    <w:sz w:val="28"/>
                  </w:rPr>
                  <w:t> </w:t>
                </w:r>
                <w:r>
                  <w:rPr>
                    <w:rFonts w:ascii="Eurostile Bold"/>
                    <w:b/>
                    <w:color w:val="A7A9AC"/>
                    <w:w w:val="90"/>
                    <w:sz w:val="28"/>
                  </w:rPr>
                  <w:t>Church</w:t>
                </w:r>
              </w:p>
            </w:txbxContent>
          </v:textbox>
          <w10:wrap type="none"/>
        </v:shape>
      </w:pic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6448pt;width:288.95pt;height:16pt;mso-position-horizontal-relative:page;mso-position-vertical-relative:page;z-index:-27526144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Schools</w:t>
                </w:r>
                <w:r>
                  <w:rPr>
                    <w:rFonts w:ascii="Eurostile Bold"/>
                    <w:b/>
                    <w:color w:val="A7A9AC"/>
                    <w:spacing w:val="-67"/>
                    <w:w w:val="90"/>
                    <w:sz w:val="28"/>
                  </w:rPr>
                  <w:t> </w:t>
                </w:r>
                <w:r>
                  <w:rPr>
                    <w:rFonts w:ascii="Eurostile Bold"/>
                    <w:b/>
                    <w:color w:val="A7A9AC"/>
                    <w:w w:val="90"/>
                    <w:sz w:val="28"/>
                  </w:rPr>
                  <w:t>related</w:t>
                </w:r>
                <w:r>
                  <w:rPr>
                    <w:rFonts w:ascii="Eurostile Bold"/>
                    <w:b/>
                    <w:color w:val="A7A9AC"/>
                    <w:spacing w:val="-66"/>
                    <w:w w:val="90"/>
                    <w:sz w:val="28"/>
                  </w:rPr>
                  <w:t> </w:t>
                </w:r>
                <w:r>
                  <w:rPr>
                    <w:rFonts w:ascii="Eurostile Bold"/>
                    <w:b/>
                    <w:color w:val="A7A9AC"/>
                    <w:w w:val="90"/>
                    <w:sz w:val="28"/>
                  </w:rPr>
                  <w:t>to</w:t>
                </w:r>
                <w:r>
                  <w:rPr>
                    <w:rFonts w:ascii="Eurostile Bold"/>
                    <w:b/>
                    <w:color w:val="A7A9AC"/>
                    <w:spacing w:val="-66"/>
                    <w:w w:val="90"/>
                    <w:sz w:val="28"/>
                  </w:rPr>
                  <w:t> </w:t>
                </w:r>
                <w:r>
                  <w:rPr>
                    <w:rFonts w:ascii="Eurostile Bold"/>
                    <w:b/>
                    <w:color w:val="A7A9AC"/>
                    <w:w w:val="90"/>
                    <w:sz w:val="28"/>
                  </w:rPr>
                  <w:t>the</w:t>
                </w:r>
                <w:r>
                  <w:rPr>
                    <w:rFonts w:ascii="Eurostile Bold"/>
                    <w:b/>
                    <w:color w:val="A7A9AC"/>
                    <w:spacing w:val="-67"/>
                    <w:w w:val="90"/>
                    <w:sz w:val="28"/>
                  </w:rPr>
                  <w:t> </w:t>
                </w:r>
                <w:r>
                  <w:rPr>
                    <w:rFonts w:ascii="Eurostile Bold"/>
                    <w:b/>
                    <w:color w:val="A7A9AC"/>
                    <w:w w:val="90"/>
                    <w:sz w:val="28"/>
                  </w:rPr>
                  <w:t>United</w:t>
                </w:r>
                <w:r>
                  <w:rPr>
                    <w:rFonts w:ascii="Eurostile Bold"/>
                    <w:b/>
                    <w:color w:val="A7A9AC"/>
                    <w:spacing w:val="-66"/>
                    <w:w w:val="90"/>
                    <w:sz w:val="28"/>
                  </w:rPr>
                  <w:t> </w:t>
                </w:r>
                <w:r>
                  <w:rPr>
                    <w:rFonts w:ascii="Eurostile Bold"/>
                    <w:b/>
                    <w:color w:val="A7A9AC"/>
                    <w:w w:val="90"/>
                    <w:sz w:val="28"/>
                  </w:rPr>
                  <w:t>Reformed</w:t>
                </w:r>
                <w:r>
                  <w:rPr>
                    <w:rFonts w:ascii="Eurostile Bold"/>
                    <w:b/>
                    <w:color w:val="A7A9AC"/>
                    <w:spacing w:val="-66"/>
                    <w:w w:val="90"/>
                    <w:sz w:val="28"/>
                  </w:rPr>
                  <w:t> </w:t>
                </w:r>
                <w:r>
                  <w:rPr>
                    <w:rFonts w:ascii="Eurostile Bold"/>
                    <w:b/>
                    <w:color w:val="A7A9AC"/>
                    <w:w w:val="90"/>
                    <w:sz w:val="28"/>
                  </w:rPr>
                  <w:t>Church</w:t>
                </w:r>
              </w:p>
            </w:txbxContent>
          </v:textbox>
          <w10:wrap type="none"/>
        </v:shape>
      </w:pic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593414pt;margin-top:28.064449pt;width:249.05pt;height:16pt;mso-position-horizontal-relative:page;mso-position-vertical-relative:page;z-index:-27556352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Mission Council Reports and</w:t>
                </w:r>
                <w:r>
                  <w:rPr>
                    <w:rFonts w:ascii="Eurostile Bold"/>
                    <w:b/>
                    <w:color w:val="A7A9AC"/>
                    <w:spacing w:val="-47"/>
                    <w:w w:val="85"/>
                    <w:sz w:val="28"/>
                  </w:rPr>
                  <w:t> </w:t>
                </w:r>
                <w:r>
                  <w:rPr>
                    <w:rFonts w:ascii="Eurostile Bold"/>
                    <w:b/>
                    <w:color w:val="A7A9AC"/>
                    <w:w w:val="85"/>
                    <w:sz w:val="28"/>
                  </w:rPr>
                  <w:t>Resolutions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4449pt;width:249.05pt;height:16pt;mso-position-horizontal-relative:page;mso-position-vertical-relative:page;z-index:-27556249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Mission Council Reports and</w:t>
                </w:r>
                <w:r>
                  <w:rPr>
                    <w:rFonts w:ascii="Eurostile Bold"/>
                    <w:b/>
                    <w:color w:val="A7A9AC"/>
                    <w:spacing w:val="-47"/>
                    <w:w w:val="85"/>
                    <w:sz w:val="28"/>
                  </w:rPr>
                  <w:t> </w:t>
                </w:r>
                <w:r>
                  <w:rPr>
                    <w:rFonts w:ascii="Eurostile Bold"/>
                    <w:b/>
                    <w:color w:val="A7A9AC"/>
                    <w:w w:val="85"/>
                    <w:sz w:val="28"/>
                  </w:rPr>
                  <w:t>Resolutions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110992pt;margin-top:28.06255pt;width:128.35pt;height:16pt;mso-position-horizontal-relative:page;mso-position-vertical-relative:page;z-index:-27555123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Governing Document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255pt;width:128.35pt;height:16pt;mso-position-horizontal-relative:page;mso-position-vertical-relative:page;z-index:-27555020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Governing Document</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2.935211pt;margin-top:28.066448pt;width:206.65pt;height:16pt;mso-position-horizontal-relative:page;mso-position-vertical-relative:page;z-index:-27554304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Changes</w:t>
                </w:r>
                <w:r>
                  <w:rPr>
                    <w:rFonts w:ascii="Eurostile Bold"/>
                    <w:b/>
                    <w:color w:val="A7A9AC"/>
                    <w:spacing w:val="-62"/>
                    <w:w w:val="90"/>
                    <w:sz w:val="28"/>
                  </w:rPr>
                  <w:t> </w:t>
                </w:r>
                <w:r>
                  <w:rPr>
                    <w:rFonts w:ascii="Eurostile Bold"/>
                    <w:b/>
                    <w:color w:val="A7A9AC"/>
                    <w:w w:val="90"/>
                    <w:sz w:val="28"/>
                  </w:rPr>
                  <w:t>to</w:t>
                </w:r>
                <w:r>
                  <w:rPr>
                    <w:rFonts w:ascii="Eurostile Bold"/>
                    <w:b/>
                    <w:color w:val="A7A9AC"/>
                    <w:spacing w:val="-61"/>
                    <w:w w:val="90"/>
                    <w:sz w:val="28"/>
                  </w:rPr>
                  <w:t> </w:t>
                </w:r>
                <w:r>
                  <w:rPr>
                    <w:rFonts w:ascii="Eurostile Bold"/>
                    <w:b/>
                    <w:color w:val="A7A9AC"/>
                    <w:w w:val="90"/>
                    <w:sz w:val="28"/>
                  </w:rPr>
                  <w:t>the</w:t>
                </w:r>
                <w:r>
                  <w:rPr>
                    <w:rFonts w:ascii="Eurostile Bold"/>
                    <w:b/>
                    <w:color w:val="A7A9AC"/>
                    <w:spacing w:val="-61"/>
                    <w:w w:val="90"/>
                    <w:sz w:val="28"/>
                  </w:rPr>
                  <w:t> </w:t>
                </w:r>
                <w:r>
                  <w:rPr>
                    <w:rFonts w:ascii="Eurostile Bold"/>
                    <w:b/>
                    <w:color w:val="A7A9AC"/>
                    <w:w w:val="90"/>
                    <w:sz w:val="28"/>
                  </w:rPr>
                  <w:t>Basis</w:t>
                </w:r>
                <w:r>
                  <w:rPr>
                    <w:rFonts w:ascii="Eurostile Bold"/>
                    <w:b/>
                    <w:color w:val="A7A9AC"/>
                    <w:spacing w:val="-61"/>
                    <w:w w:val="90"/>
                    <w:sz w:val="28"/>
                  </w:rPr>
                  <w:t> </w:t>
                </w:r>
                <w:r>
                  <w:rPr>
                    <w:rFonts w:ascii="Eurostile Bold"/>
                    <w:b/>
                    <w:color w:val="A7A9AC"/>
                    <w:w w:val="90"/>
                    <w:sz w:val="28"/>
                  </w:rPr>
                  <w:t>&amp;</w:t>
                </w:r>
                <w:r>
                  <w:rPr>
                    <w:rFonts w:ascii="Eurostile Bold"/>
                    <w:b/>
                    <w:color w:val="A7A9AC"/>
                    <w:spacing w:val="-61"/>
                    <w:w w:val="90"/>
                    <w:sz w:val="28"/>
                  </w:rPr>
                  <w:t> </w:t>
                </w:r>
                <w:r>
                  <w:rPr>
                    <w:rFonts w:ascii="Eurostile Bold"/>
                    <w:b/>
                    <w:color w:val="A7A9AC"/>
                    <w:w w:val="90"/>
                    <w:sz w:val="28"/>
                  </w:rPr>
                  <w:t>Structure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6448pt;width:206.65pt;height:16pt;mso-position-horizontal-relative:page;mso-position-vertical-relative:page;z-index:-27554201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Changes</w:t>
                </w:r>
                <w:r>
                  <w:rPr>
                    <w:rFonts w:ascii="Eurostile Bold"/>
                    <w:b/>
                    <w:color w:val="A7A9AC"/>
                    <w:spacing w:val="-62"/>
                    <w:w w:val="90"/>
                    <w:sz w:val="28"/>
                  </w:rPr>
                  <w:t> </w:t>
                </w:r>
                <w:r>
                  <w:rPr>
                    <w:rFonts w:ascii="Eurostile Bold"/>
                    <w:b/>
                    <w:color w:val="A7A9AC"/>
                    <w:w w:val="90"/>
                    <w:sz w:val="28"/>
                  </w:rPr>
                  <w:t>to</w:t>
                </w:r>
                <w:r>
                  <w:rPr>
                    <w:rFonts w:ascii="Eurostile Bold"/>
                    <w:b/>
                    <w:color w:val="A7A9AC"/>
                    <w:spacing w:val="-61"/>
                    <w:w w:val="90"/>
                    <w:sz w:val="28"/>
                  </w:rPr>
                  <w:t> </w:t>
                </w:r>
                <w:r>
                  <w:rPr>
                    <w:rFonts w:ascii="Eurostile Bold"/>
                    <w:b/>
                    <w:color w:val="A7A9AC"/>
                    <w:w w:val="90"/>
                    <w:sz w:val="28"/>
                  </w:rPr>
                  <w:t>the</w:t>
                </w:r>
                <w:r>
                  <w:rPr>
                    <w:rFonts w:ascii="Eurostile Bold"/>
                    <w:b/>
                    <w:color w:val="A7A9AC"/>
                    <w:spacing w:val="-61"/>
                    <w:w w:val="90"/>
                    <w:sz w:val="28"/>
                  </w:rPr>
                  <w:t> </w:t>
                </w:r>
                <w:r>
                  <w:rPr>
                    <w:rFonts w:ascii="Eurostile Bold"/>
                    <w:b/>
                    <w:color w:val="A7A9AC"/>
                    <w:w w:val="90"/>
                    <w:sz w:val="28"/>
                  </w:rPr>
                  <w:t>Basis</w:t>
                </w:r>
                <w:r>
                  <w:rPr>
                    <w:rFonts w:ascii="Eurostile Bold"/>
                    <w:b/>
                    <w:color w:val="A7A9AC"/>
                    <w:spacing w:val="-61"/>
                    <w:w w:val="90"/>
                    <w:sz w:val="28"/>
                  </w:rPr>
                  <w:t> </w:t>
                </w:r>
                <w:r>
                  <w:rPr>
                    <w:rFonts w:ascii="Eurostile Bold"/>
                    <w:b/>
                    <w:color w:val="A7A9AC"/>
                    <w:w w:val="90"/>
                    <w:sz w:val="28"/>
                  </w:rPr>
                  <w:t>&amp;</w:t>
                </w:r>
                <w:r>
                  <w:rPr>
                    <w:rFonts w:ascii="Eurostile Bold"/>
                    <w:b/>
                    <w:color w:val="A7A9AC"/>
                    <w:spacing w:val="-61"/>
                    <w:w w:val="90"/>
                    <w:sz w:val="28"/>
                  </w:rPr>
                  <w:t> </w:t>
                </w:r>
                <w:r>
                  <w:rPr>
                    <w:rFonts w:ascii="Eurostile Bold"/>
                    <w:b/>
                    <w:color w:val="A7A9AC"/>
                    <w:w w:val="90"/>
                    <w:sz w:val="28"/>
                  </w:rPr>
                  <w:t>Structure</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844391pt;margin-top:28.066448pt;width:212.85pt;height:16pt;mso-position-horizontal-relative:page;mso-position-vertical-relative:page;z-index:-27553484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Changes</w:t>
                </w:r>
                <w:r>
                  <w:rPr>
                    <w:rFonts w:ascii="Eurostile Bold"/>
                    <w:b/>
                    <w:color w:val="A7A9AC"/>
                    <w:spacing w:val="-59"/>
                    <w:w w:val="90"/>
                    <w:sz w:val="28"/>
                  </w:rPr>
                  <w:t> </w:t>
                </w:r>
                <w:r>
                  <w:rPr>
                    <w:rFonts w:ascii="Eurostile Bold"/>
                    <w:b/>
                    <w:color w:val="A7A9AC"/>
                    <w:w w:val="90"/>
                    <w:sz w:val="28"/>
                  </w:rPr>
                  <w:t>to</w:t>
                </w:r>
                <w:r>
                  <w:rPr>
                    <w:rFonts w:ascii="Eurostile Bold"/>
                    <w:b/>
                    <w:color w:val="A7A9AC"/>
                    <w:spacing w:val="-59"/>
                    <w:w w:val="90"/>
                    <w:sz w:val="28"/>
                  </w:rPr>
                  <w:t> </w:t>
                </w:r>
                <w:r>
                  <w:rPr>
                    <w:rFonts w:ascii="Eurostile Bold"/>
                    <w:b/>
                    <w:color w:val="A7A9AC"/>
                    <w:w w:val="90"/>
                    <w:sz w:val="28"/>
                  </w:rPr>
                  <w:t>the</w:t>
                </w:r>
                <w:r>
                  <w:rPr>
                    <w:rFonts w:ascii="Eurostile Bold"/>
                    <w:b/>
                    <w:color w:val="A7A9AC"/>
                    <w:spacing w:val="-58"/>
                    <w:w w:val="90"/>
                    <w:sz w:val="28"/>
                  </w:rPr>
                  <w:t> </w:t>
                </w:r>
                <w:r>
                  <w:rPr>
                    <w:rFonts w:ascii="Eurostile Bold"/>
                    <w:b/>
                    <w:color w:val="A7A9AC"/>
                    <w:w w:val="90"/>
                    <w:sz w:val="28"/>
                  </w:rPr>
                  <w:t>Rules</w:t>
                </w:r>
                <w:r>
                  <w:rPr>
                    <w:rFonts w:ascii="Eurostile Bold"/>
                    <w:b/>
                    <w:color w:val="A7A9AC"/>
                    <w:spacing w:val="-59"/>
                    <w:w w:val="90"/>
                    <w:sz w:val="28"/>
                  </w:rPr>
                  <w:t> </w:t>
                </w:r>
                <w:r>
                  <w:rPr>
                    <w:rFonts w:ascii="Eurostile Bold"/>
                    <w:b/>
                    <w:color w:val="A7A9AC"/>
                    <w:w w:val="90"/>
                    <w:sz w:val="28"/>
                  </w:rPr>
                  <w:t>of</w:t>
                </w:r>
                <w:r>
                  <w:rPr>
                    <w:rFonts w:ascii="Eurostile Bold"/>
                    <w:b/>
                    <w:color w:val="A7A9AC"/>
                    <w:spacing w:val="-58"/>
                    <w:w w:val="90"/>
                    <w:sz w:val="28"/>
                  </w:rPr>
                  <w:t> </w:t>
                </w:r>
                <w:r>
                  <w:rPr>
                    <w:rFonts w:ascii="Eurostile Bold"/>
                    <w:b/>
                    <w:color w:val="A7A9AC"/>
                    <w:w w:val="90"/>
                    <w:sz w:val="28"/>
                  </w:rPr>
                  <w:t>Procedure</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6.844391pt;margin-top:28.066448pt;width:212.85pt;height:16pt;mso-position-horizontal-relative:page;mso-position-vertical-relative:page;z-index:-27553177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Changes</w:t>
                </w:r>
                <w:r>
                  <w:rPr>
                    <w:rFonts w:ascii="Eurostile Bold"/>
                    <w:b/>
                    <w:color w:val="A7A9AC"/>
                    <w:spacing w:val="-59"/>
                    <w:w w:val="90"/>
                    <w:sz w:val="28"/>
                  </w:rPr>
                  <w:t> </w:t>
                </w:r>
                <w:r>
                  <w:rPr>
                    <w:rFonts w:ascii="Eurostile Bold"/>
                    <w:b/>
                    <w:color w:val="A7A9AC"/>
                    <w:w w:val="90"/>
                    <w:sz w:val="28"/>
                  </w:rPr>
                  <w:t>to</w:t>
                </w:r>
                <w:r>
                  <w:rPr>
                    <w:rFonts w:ascii="Eurostile Bold"/>
                    <w:b/>
                    <w:color w:val="A7A9AC"/>
                    <w:spacing w:val="-59"/>
                    <w:w w:val="90"/>
                    <w:sz w:val="28"/>
                  </w:rPr>
                  <w:t> </w:t>
                </w:r>
                <w:r>
                  <w:rPr>
                    <w:rFonts w:ascii="Eurostile Bold"/>
                    <w:b/>
                    <w:color w:val="A7A9AC"/>
                    <w:w w:val="90"/>
                    <w:sz w:val="28"/>
                  </w:rPr>
                  <w:t>the</w:t>
                </w:r>
                <w:r>
                  <w:rPr>
                    <w:rFonts w:ascii="Eurostile Bold"/>
                    <w:b/>
                    <w:color w:val="A7A9AC"/>
                    <w:spacing w:val="-58"/>
                    <w:w w:val="90"/>
                    <w:sz w:val="28"/>
                  </w:rPr>
                  <w:t> </w:t>
                </w:r>
                <w:r>
                  <w:rPr>
                    <w:rFonts w:ascii="Eurostile Bold"/>
                    <w:b/>
                    <w:color w:val="A7A9AC"/>
                    <w:w w:val="90"/>
                    <w:sz w:val="28"/>
                  </w:rPr>
                  <w:t>Rules</w:t>
                </w:r>
                <w:r>
                  <w:rPr>
                    <w:rFonts w:ascii="Eurostile Bold"/>
                    <w:b/>
                    <w:color w:val="A7A9AC"/>
                    <w:spacing w:val="-59"/>
                    <w:w w:val="90"/>
                    <w:sz w:val="28"/>
                  </w:rPr>
                  <w:t> </w:t>
                </w:r>
                <w:r>
                  <w:rPr>
                    <w:rFonts w:ascii="Eurostile Bold"/>
                    <w:b/>
                    <w:color w:val="A7A9AC"/>
                    <w:w w:val="90"/>
                    <w:sz w:val="28"/>
                  </w:rPr>
                  <w:t>of</w:t>
                </w:r>
                <w:r>
                  <w:rPr>
                    <w:rFonts w:ascii="Eurostile Bold"/>
                    <w:b/>
                    <w:color w:val="A7A9AC"/>
                    <w:spacing w:val="-58"/>
                    <w:w w:val="90"/>
                    <w:sz w:val="28"/>
                  </w:rPr>
                  <w:t> </w:t>
                </w:r>
                <w:r>
                  <w:rPr>
                    <w:rFonts w:ascii="Eurostile Bold"/>
                    <w:b/>
                    <w:color w:val="A7A9AC"/>
                    <w:w w:val="90"/>
                    <w:sz w:val="28"/>
                  </w:rPr>
                  <w:t>Procedure</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719391pt;margin-top:28.066448pt;width:78.9pt;height:16pt;mso-position-horizontal-relative:page;mso-position-vertical-relative:page;z-index:-27552870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Nominations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8.066448pt;width:78.9pt;height:16pt;mso-position-horizontal-relative:page;mso-position-vertical-relative:page;z-index:-27552768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Nominations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7.517212pt;margin-top:26.897949pt;width:181.95pt;height:16pt;mso-position-horizontal-relative:page;mso-position-vertical-relative:page;z-index:-27559731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A</w:t>
                </w:r>
                <w:r>
                  <w:rPr>
                    <w:rFonts w:ascii="Eurostile Bold"/>
                    <w:b/>
                    <w:color w:val="A7A9AC"/>
                    <w:spacing w:val="-63"/>
                    <w:w w:val="90"/>
                    <w:sz w:val="28"/>
                  </w:rPr>
                  <w:t> </w:t>
                </w:r>
                <w:r>
                  <w:rPr>
                    <w:rFonts w:ascii="Eurostile Bold"/>
                    <w:b/>
                    <w:color w:val="A7A9AC"/>
                    <w:w w:val="90"/>
                    <w:sz w:val="28"/>
                  </w:rPr>
                  <w:t>new</w:t>
                </w:r>
                <w:r>
                  <w:rPr>
                    <w:rFonts w:ascii="Eurostile Bold"/>
                    <w:b/>
                    <w:color w:val="A7A9AC"/>
                    <w:spacing w:val="-62"/>
                    <w:w w:val="90"/>
                    <w:sz w:val="28"/>
                  </w:rPr>
                  <w:t> </w:t>
                </w:r>
                <w:r>
                  <w:rPr>
                    <w:rFonts w:ascii="Eurostile Bold"/>
                    <w:b/>
                    <w:color w:val="A7A9AC"/>
                    <w:w w:val="90"/>
                    <w:sz w:val="28"/>
                  </w:rPr>
                  <w:t>Department</w:t>
                </w:r>
                <w:r>
                  <w:rPr>
                    <w:rFonts w:ascii="Eurostile Bold"/>
                    <w:b/>
                    <w:color w:val="A7A9AC"/>
                    <w:spacing w:val="-62"/>
                    <w:w w:val="90"/>
                    <w:sz w:val="28"/>
                  </w:rPr>
                  <w:t> </w:t>
                </w:r>
                <w:r>
                  <w:rPr>
                    <w:rFonts w:ascii="Eurostile Bold"/>
                    <w:b/>
                    <w:color w:val="A7A9AC"/>
                    <w:w w:val="90"/>
                    <w:sz w:val="28"/>
                  </w:rPr>
                  <w:t>of</w:t>
                </w:r>
                <w:r>
                  <w:rPr>
                    <w:rFonts w:ascii="Eurostile Bold"/>
                    <w:b/>
                    <w:color w:val="A7A9AC"/>
                    <w:spacing w:val="-62"/>
                    <w:w w:val="90"/>
                    <w:sz w:val="28"/>
                  </w:rPr>
                  <w:t> </w:t>
                </w:r>
                <w:r>
                  <w:rPr>
                    <w:rFonts w:ascii="Eurostile Bold"/>
                    <w:b/>
                    <w:color w:val="A7A9AC"/>
                    <w:w w:val="90"/>
                    <w:sz w:val="28"/>
                  </w:rPr>
                  <w:t>Mission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0.719391pt;margin-top:28.066448pt;width:78.9pt;height:16pt;mso-position-horizontal-relative:page;mso-position-vertical-relative:page;z-index:-27552256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Nominations</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181.95pt;height:16pt;mso-position-horizontal-relative:page;mso-position-vertical-relative:page;z-index:-27559628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A</w:t>
                </w:r>
                <w:r>
                  <w:rPr>
                    <w:rFonts w:ascii="Eurostile Bold"/>
                    <w:b/>
                    <w:color w:val="A7A9AC"/>
                    <w:spacing w:val="-63"/>
                    <w:w w:val="90"/>
                    <w:sz w:val="28"/>
                  </w:rPr>
                  <w:t> </w:t>
                </w:r>
                <w:r>
                  <w:rPr>
                    <w:rFonts w:ascii="Eurostile Bold"/>
                    <w:b/>
                    <w:color w:val="A7A9AC"/>
                    <w:w w:val="90"/>
                    <w:sz w:val="28"/>
                  </w:rPr>
                  <w:t>new</w:t>
                </w:r>
                <w:r>
                  <w:rPr>
                    <w:rFonts w:ascii="Eurostile Bold"/>
                    <w:b/>
                    <w:color w:val="A7A9AC"/>
                    <w:spacing w:val="-62"/>
                    <w:w w:val="90"/>
                    <w:sz w:val="28"/>
                  </w:rPr>
                  <w:t> </w:t>
                </w:r>
                <w:r>
                  <w:rPr>
                    <w:rFonts w:ascii="Eurostile Bold"/>
                    <w:b/>
                    <w:color w:val="A7A9AC"/>
                    <w:w w:val="90"/>
                    <w:sz w:val="28"/>
                  </w:rPr>
                  <w:t>Department</w:t>
                </w:r>
                <w:r>
                  <w:rPr>
                    <w:rFonts w:ascii="Eurostile Bold"/>
                    <w:b/>
                    <w:color w:val="A7A9AC"/>
                    <w:spacing w:val="-62"/>
                    <w:w w:val="90"/>
                    <w:sz w:val="28"/>
                  </w:rPr>
                  <w:t> </w:t>
                </w:r>
                <w:r>
                  <w:rPr>
                    <w:rFonts w:ascii="Eurostile Bold"/>
                    <w:b/>
                    <w:color w:val="A7A9AC"/>
                    <w:w w:val="90"/>
                    <w:sz w:val="28"/>
                  </w:rPr>
                  <w:t>of</w:t>
                </w:r>
                <w:r>
                  <w:rPr>
                    <w:rFonts w:ascii="Eurostile Bold"/>
                    <w:b/>
                    <w:color w:val="A7A9AC"/>
                    <w:spacing w:val="-62"/>
                    <w:w w:val="90"/>
                    <w:sz w:val="28"/>
                  </w:rPr>
                  <w:t> </w:t>
                </w:r>
                <w:r>
                  <w:rPr>
                    <w:rFonts w:ascii="Eurostile Bold"/>
                    <w:b/>
                    <w:color w:val="A7A9AC"/>
                    <w:w w:val="90"/>
                    <w:sz w:val="28"/>
                  </w:rPr>
                  <w:t>Mission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486908pt;margin-top:26.897449pt;width:247.05pt;height:16pt;mso-position-horizontal-relative:page;mso-position-vertical-relative:page;z-index:-27550003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Racial</w:t>
                </w:r>
                <w:r>
                  <w:rPr>
                    <w:rFonts w:ascii="Eurostile Bold"/>
                    <w:b/>
                    <w:color w:val="A7A9AC"/>
                    <w:spacing w:val="-25"/>
                    <w:w w:val="85"/>
                    <w:sz w:val="28"/>
                  </w:rPr>
                  <w:t> </w:t>
                </w:r>
                <w:r>
                  <w:rPr>
                    <w:rFonts w:ascii="Eurostile Bold"/>
                    <w:b/>
                    <w:color w:val="A7A9AC"/>
                    <w:w w:val="85"/>
                    <w:sz w:val="28"/>
                  </w:rPr>
                  <w:t>Justice</w:t>
                </w:r>
                <w:r>
                  <w:rPr>
                    <w:rFonts w:ascii="Eurostile Bold"/>
                    <w:b/>
                    <w:color w:val="A7A9AC"/>
                    <w:spacing w:val="-25"/>
                    <w:w w:val="85"/>
                    <w:sz w:val="28"/>
                  </w:rPr>
                  <w:t> </w:t>
                </w:r>
                <w:r>
                  <w:rPr>
                    <w:rFonts w:ascii="Eurostile Bold"/>
                    <w:b/>
                    <w:color w:val="A7A9AC"/>
                    <w:w w:val="85"/>
                    <w:sz w:val="28"/>
                  </w:rPr>
                  <w:t>and</w:t>
                </w:r>
                <w:r>
                  <w:rPr>
                    <w:rFonts w:ascii="Eurostile Bold"/>
                    <w:b/>
                    <w:color w:val="A7A9AC"/>
                    <w:spacing w:val="-25"/>
                    <w:w w:val="85"/>
                    <w:sz w:val="28"/>
                  </w:rPr>
                  <w:t> </w:t>
                </w:r>
                <w:r>
                  <w:rPr>
                    <w:rFonts w:ascii="Eurostile Bold"/>
                    <w:b/>
                    <w:color w:val="A7A9AC"/>
                    <w:w w:val="85"/>
                    <w:sz w:val="28"/>
                  </w:rPr>
                  <w:t>Multicultural</w:t>
                </w:r>
                <w:r>
                  <w:rPr>
                    <w:rFonts w:ascii="Eurostile Bold"/>
                    <w:b/>
                    <w:color w:val="A7A9AC"/>
                    <w:spacing w:val="-25"/>
                    <w:w w:val="85"/>
                    <w:sz w:val="28"/>
                  </w:rPr>
                  <w:t> </w:t>
                </w:r>
                <w:r>
                  <w:rPr>
                    <w:rFonts w:ascii="Eurostile Bold"/>
                    <w:b/>
                    <w:color w:val="A7A9AC"/>
                    <w:w w:val="85"/>
                    <w:sz w:val="28"/>
                  </w:rPr>
                  <w:t>Ministry</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449pt;width:247.05pt;height:16pt;mso-position-horizontal-relative:page;mso-position-vertical-relative:page;z-index:-275499008"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Racial</w:t>
                </w:r>
                <w:r>
                  <w:rPr>
                    <w:rFonts w:ascii="Eurostile Bold"/>
                    <w:b/>
                    <w:color w:val="A7A9AC"/>
                    <w:spacing w:val="-25"/>
                    <w:w w:val="85"/>
                    <w:sz w:val="28"/>
                  </w:rPr>
                  <w:t> </w:t>
                </w:r>
                <w:r>
                  <w:rPr>
                    <w:rFonts w:ascii="Eurostile Bold"/>
                    <w:b/>
                    <w:color w:val="A7A9AC"/>
                    <w:w w:val="85"/>
                    <w:sz w:val="28"/>
                  </w:rPr>
                  <w:t>Justice</w:t>
                </w:r>
                <w:r>
                  <w:rPr>
                    <w:rFonts w:ascii="Eurostile Bold"/>
                    <w:b/>
                    <w:color w:val="A7A9AC"/>
                    <w:spacing w:val="-25"/>
                    <w:w w:val="85"/>
                    <w:sz w:val="28"/>
                  </w:rPr>
                  <w:t> </w:t>
                </w:r>
                <w:r>
                  <w:rPr>
                    <w:rFonts w:ascii="Eurostile Bold"/>
                    <w:b/>
                    <w:color w:val="A7A9AC"/>
                    <w:w w:val="85"/>
                    <w:sz w:val="28"/>
                  </w:rPr>
                  <w:t>and</w:t>
                </w:r>
                <w:r>
                  <w:rPr>
                    <w:rFonts w:ascii="Eurostile Bold"/>
                    <w:b/>
                    <w:color w:val="A7A9AC"/>
                    <w:spacing w:val="-25"/>
                    <w:w w:val="85"/>
                    <w:sz w:val="28"/>
                  </w:rPr>
                  <w:t> </w:t>
                </w:r>
                <w:r>
                  <w:rPr>
                    <w:rFonts w:ascii="Eurostile Bold"/>
                    <w:b/>
                    <w:color w:val="A7A9AC"/>
                    <w:w w:val="85"/>
                    <w:sz w:val="28"/>
                  </w:rPr>
                  <w:t>Multicultural</w:t>
                </w:r>
                <w:r>
                  <w:rPr>
                    <w:rFonts w:ascii="Eurostile Bold"/>
                    <w:b/>
                    <w:color w:val="A7A9AC"/>
                    <w:spacing w:val="-25"/>
                    <w:w w:val="85"/>
                    <w:sz w:val="28"/>
                  </w:rPr>
                  <w:t> </w:t>
                </w:r>
                <w:r>
                  <w:rPr>
                    <w:rFonts w:ascii="Eurostile Bold"/>
                    <w:b/>
                    <w:color w:val="A7A9AC"/>
                    <w:w w:val="85"/>
                    <w:sz w:val="28"/>
                  </w:rPr>
                  <w:t>Ministry</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439087pt;margin-top:26.889648pt;width:156.15pt;height:16pt;mso-position-horizontal-relative:page;mso-position-vertical-relative:page;z-index:-27548160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Consultation on</w:t>
                </w:r>
                <w:r>
                  <w:rPr>
                    <w:rFonts w:ascii="Eurostile Bold"/>
                    <w:b/>
                    <w:color w:val="A7A9AC"/>
                    <w:spacing w:val="-56"/>
                    <w:w w:val="85"/>
                    <w:sz w:val="28"/>
                  </w:rPr>
                  <w:t> </w:t>
                </w:r>
                <w:r>
                  <w:rPr>
                    <w:rFonts w:ascii="Eurostile Bold"/>
                    <w:b/>
                    <w:color w:val="A7A9AC"/>
                    <w:w w:val="85"/>
                    <w:sz w:val="28"/>
                  </w:rPr>
                  <w:t>Eldership</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439087pt;margin-top:26.897449pt;width:156.15pt;height:16pt;mso-position-horizontal-relative:page;mso-position-vertical-relative:page;z-index:-27548057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85"/>
                    <w:sz w:val="28"/>
                  </w:rPr>
                  <w:t>Consultation on</w:t>
                </w:r>
                <w:r>
                  <w:rPr>
                    <w:rFonts w:ascii="Eurostile Bold"/>
                    <w:b/>
                    <w:color w:val="A7A9AC"/>
                    <w:spacing w:val="-56"/>
                    <w:w w:val="85"/>
                    <w:sz w:val="28"/>
                  </w:rPr>
                  <w:t> </w:t>
                </w:r>
                <w:r>
                  <w:rPr>
                    <w:rFonts w:ascii="Eurostile Bold"/>
                    <w:b/>
                    <w:color w:val="A7A9AC"/>
                    <w:w w:val="85"/>
                    <w:sz w:val="28"/>
                  </w:rPr>
                  <w:t>Eldership</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6.242798pt;margin-top:26.897449pt;width:423.5pt;height:16pt;mso-position-horizontal-relative:page;mso-position-vertical-relative:page;z-index:-275477504"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85"/>
                    <w:sz w:val="28"/>
                  </w:rPr>
                  <w:t>The</w:t>
                </w:r>
                <w:r>
                  <w:rPr>
                    <w:rFonts w:ascii="Eurostile Bold" w:hAnsi="Eurostile Bold"/>
                    <w:b/>
                    <w:color w:val="A7A9AC"/>
                    <w:spacing w:val="-13"/>
                    <w:w w:val="85"/>
                    <w:sz w:val="28"/>
                  </w:rPr>
                  <w:t> </w:t>
                </w:r>
                <w:r>
                  <w:rPr>
                    <w:rFonts w:ascii="Eurostile Bold" w:hAnsi="Eurostile Bold"/>
                    <w:b/>
                    <w:color w:val="A7A9AC"/>
                    <w:w w:val="85"/>
                    <w:sz w:val="28"/>
                  </w:rPr>
                  <w:t>Nature</w:t>
                </w:r>
                <w:r>
                  <w:rPr>
                    <w:rFonts w:ascii="Eurostile Bold" w:hAnsi="Eurostile Bold"/>
                    <w:b/>
                    <w:color w:val="A7A9AC"/>
                    <w:spacing w:val="-13"/>
                    <w:w w:val="85"/>
                    <w:sz w:val="28"/>
                  </w:rPr>
                  <w:t> </w:t>
                </w:r>
                <w:r>
                  <w:rPr>
                    <w:rFonts w:ascii="Eurostile Bold" w:hAnsi="Eurostile Bold"/>
                    <w:b/>
                    <w:color w:val="A7A9AC"/>
                    <w:w w:val="85"/>
                    <w:sz w:val="28"/>
                  </w:rPr>
                  <w:t>of</w:t>
                </w:r>
                <w:r>
                  <w:rPr>
                    <w:rFonts w:ascii="Eurostile Bold" w:hAnsi="Eurostile Bold"/>
                    <w:b/>
                    <w:color w:val="A7A9AC"/>
                    <w:spacing w:val="-13"/>
                    <w:w w:val="85"/>
                    <w:sz w:val="28"/>
                  </w:rPr>
                  <w:t> </w:t>
                </w:r>
                <w:r>
                  <w:rPr>
                    <w:rFonts w:ascii="Eurostile Bold" w:hAnsi="Eurostile Bold"/>
                    <w:b/>
                    <w:color w:val="A7A9AC"/>
                    <w:w w:val="85"/>
                    <w:sz w:val="28"/>
                  </w:rPr>
                  <w:t>the</w:t>
                </w:r>
                <w:r>
                  <w:rPr>
                    <w:rFonts w:ascii="Eurostile Bold" w:hAnsi="Eurostile Bold"/>
                    <w:b/>
                    <w:color w:val="A7A9AC"/>
                    <w:spacing w:val="-13"/>
                    <w:w w:val="85"/>
                    <w:sz w:val="28"/>
                  </w:rPr>
                  <w:t> </w:t>
                </w:r>
                <w:r>
                  <w:rPr>
                    <w:rFonts w:ascii="Eurostile Bold" w:hAnsi="Eurostile Bold"/>
                    <w:b/>
                    <w:color w:val="A7A9AC"/>
                    <w:w w:val="85"/>
                    <w:sz w:val="28"/>
                  </w:rPr>
                  <w:t>United</w:t>
                </w:r>
                <w:r>
                  <w:rPr>
                    <w:rFonts w:ascii="Eurostile Bold" w:hAnsi="Eurostile Bold"/>
                    <w:b/>
                    <w:color w:val="A7A9AC"/>
                    <w:spacing w:val="-12"/>
                    <w:w w:val="85"/>
                    <w:sz w:val="28"/>
                  </w:rPr>
                  <w:t> </w:t>
                </w:r>
                <w:r>
                  <w:rPr>
                    <w:rFonts w:ascii="Eurostile Bold" w:hAnsi="Eurostile Bold"/>
                    <w:b/>
                    <w:color w:val="A7A9AC"/>
                    <w:w w:val="85"/>
                    <w:sz w:val="28"/>
                  </w:rPr>
                  <w:t>Reformed</w:t>
                </w:r>
                <w:r>
                  <w:rPr>
                    <w:rFonts w:ascii="Eurostile Bold" w:hAnsi="Eurostile Bold"/>
                    <w:b/>
                    <w:color w:val="A7A9AC"/>
                    <w:spacing w:val="-13"/>
                    <w:w w:val="85"/>
                    <w:sz w:val="28"/>
                  </w:rPr>
                  <w:t> </w:t>
                </w:r>
                <w:r>
                  <w:rPr>
                    <w:rFonts w:ascii="Eurostile Bold" w:hAnsi="Eurostile Bold"/>
                    <w:b/>
                    <w:color w:val="A7A9AC"/>
                    <w:w w:val="85"/>
                    <w:sz w:val="28"/>
                  </w:rPr>
                  <w:t>Church’s</w:t>
                </w:r>
                <w:r>
                  <w:rPr>
                    <w:rFonts w:ascii="Eurostile Bold" w:hAnsi="Eurostile Bold"/>
                    <w:b/>
                    <w:color w:val="A7A9AC"/>
                    <w:spacing w:val="-13"/>
                    <w:w w:val="85"/>
                    <w:sz w:val="28"/>
                  </w:rPr>
                  <w:t> </w:t>
                </w:r>
                <w:r>
                  <w:rPr>
                    <w:rFonts w:ascii="Eurostile Bold" w:hAnsi="Eurostile Bold"/>
                    <w:b/>
                    <w:color w:val="A7A9AC"/>
                    <w:w w:val="85"/>
                    <w:sz w:val="28"/>
                  </w:rPr>
                  <w:t>Ecumenical</w:t>
                </w:r>
                <w:r>
                  <w:rPr>
                    <w:rFonts w:ascii="Eurostile Bold" w:hAnsi="Eurostile Bold"/>
                    <w:b/>
                    <w:color w:val="A7A9AC"/>
                    <w:spacing w:val="-13"/>
                    <w:w w:val="85"/>
                    <w:sz w:val="28"/>
                  </w:rPr>
                  <w:t> </w:t>
                </w:r>
                <w:r>
                  <w:rPr>
                    <w:rFonts w:ascii="Eurostile Bold" w:hAnsi="Eurostile Bold"/>
                    <w:b/>
                    <w:color w:val="A7A9AC"/>
                    <w:w w:val="85"/>
                    <w:sz w:val="28"/>
                  </w:rPr>
                  <w:t>Engagement</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6.242798pt;margin-top:26.897449pt;width:423.5pt;height:16pt;mso-position-horizontal-relative:page;mso-position-vertical-relative:page;z-index:-275474432"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85"/>
                    <w:sz w:val="28"/>
                  </w:rPr>
                  <w:t>The</w:t>
                </w:r>
                <w:r>
                  <w:rPr>
                    <w:rFonts w:ascii="Eurostile Bold" w:hAnsi="Eurostile Bold"/>
                    <w:b/>
                    <w:color w:val="A7A9AC"/>
                    <w:spacing w:val="-13"/>
                    <w:w w:val="85"/>
                    <w:sz w:val="28"/>
                  </w:rPr>
                  <w:t> </w:t>
                </w:r>
                <w:r>
                  <w:rPr>
                    <w:rFonts w:ascii="Eurostile Bold" w:hAnsi="Eurostile Bold"/>
                    <w:b/>
                    <w:color w:val="A7A9AC"/>
                    <w:w w:val="85"/>
                    <w:sz w:val="28"/>
                  </w:rPr>
                  <w:t>Nature</w:t>
                </w:r>
                <w:r>
                  <w:rPr>
                    <w:rFonts w:ascii="Eurostile Bold" w:hAnsi="Eurostile Bold"/>
                    <w:b/>
                    <w:color w:val="A7A9AC"/>
                    <w:spacing w:val="-13"/>
                    <w:w w:val="85"/>
                    <w:sz w:val="28"/>
                  </w:rPr>
                  <w:t> </w:t>
                </w:r>
                <w:r>
                  <w:rPr>
                    <w:rFonts w:ascii="Eurostile Bold" w:hAnsi="Eurostile Bold"/>
                    <w:b/>
                    <w:color w:val="A7A9AC"/>
                    <w:w w:val="85"/>
                    <w:sz w:val="28"/>
                  </w:rPr>
                  <w:t>of</w:t>
                </w:r>
                <w:r>
                  <w:rPr>
                    <w:rFonts w:ascii="Eurostile Bold" w:hAnsi="Eurostile Bold"/>
                    <w:b/>
                    <w:color w:val="A7A9AC"/>
                    <w:spacing w:val="-13"/>
                    <w:w w:val="85"/>
                    <w:sz w:val="28"/>
                  </w:rPr>
                  <w:t> </w:t>
                </w:r>
                <w:r>
                  <w:rPr>
                    <w:rFonts w:ascii="Eurostile Bold" w:hAnsi="Eurostile Bold"/>
                    <w:b/>
                    <w:color w:val="A7A9AC"/>
                    <w:w w:val="85"/>
                    <w:sz w:val="28"/>
                  </w:rPr>
                  <w:t>the</w:t>
                </w:r>
                <w:r>
                  <w:rPr>
                    <w:rFonts w:ascii="Eurostile Bold" w:hAnsi="Eurostile Bold"/>
                    <w:b/>
                    <w:color w:val="A7A9AC"/>
                    <w:spacing w:val="-13"/>
                    <w:w w:val="85"/>
                    <w:sz w:val="28"/>
                  </w:rPr>
                  <w:t> </w:t>
                </w:r>
                <w:r>
                  <w:rPr>
                    <w:rFonts w:ascii="Eurostile Bold" w:hAnsi="Eurostile Bold"/>
                    <w:b/>
                    <w:color w:val="A7A9AC"/>
                    <w:w w:val="85"/>
                    <w:sz w:val="28"/>
                  </w:rPr>
                  <w:t>United</w:t>
                </w:r>
                <w:r>
                  <w:rPr>
                    <w:rFonts w:ascii="Eurostile Bold" w:hAnsi="Eurostile Bold"/>
                    <w:b/>
                    <w:color w:val="A7A9AC"/>
                    <w:spacing w:val="-12"/>
                    <w:w w:val="85"/>
                    <w:sz w:val="28"/>
                  </w:rPr>
                  <w:t> </w:t>
                </w:r>
                <w:r>
                  <w:rPr>
                    <w:rFonts w:ascii="Eurostile Bold" w:hAnsi="Eurostile Bold"/>
                    <w:b/>
                    <w:color w:val="A7A9AC"/>
                    <w:w w:val="85"/>
                    <w:sz w:val="28"/>
                  </w:rPr>
                  <w:t>Reformed</w:t>
                </w:r>
                <w:r>
                  <w:rPr>
                    <w:rFonts w:ascii="Eurostile Bold" w:hAnsi="Eurostile Bold"/>
                    <w:b/>
                    <w:color w:val="A7A9AC"/>
                    <w:spacing w:val="-13"/>
                    <w:w w:val="85"/>
                    <w:sz w:val="28"/>
                  </w:rPr>
                  <w:t> </w:t>
                </w:r>
                <w:r>
                  <w:rPr>
                    <w:rFonts w:ascii="Eurostile Bold" w:hAnsi="Eurostile Bold"/>
                    <w:b/>
                    <w:color w:val="A7A9AC"/>
                    <w:w w:val="85"/>
                    <w:sz w:val="28"/>
                  </w:rPr>
                  <w:t>Church’s</w:t>
                </w:r>
                <w:r>
                  <w:rPr>
                    <w:rFonts w:ascii="Eurostile Bold" w:hAnsi="Eurostile Bold"/>
                    <w:b/>
                    <w:color w:val="A7A9AC"/>
                    <w:spacing w:val="-13"/>
                    <w:w w:val="85"/>
                    <w:sz w:val="28"/>
                  </w:rPr>
                  <w:t> </w:t>
                </w:r>
                <w:r>
                  <w:rPr>
                    <w:rFonts w:ascii="Eurostile Bold" w:hAnsi="Eurostile Bold"/>
                    <w:b/>
                    <w:color w:val="A7A9AC"/>
                    <w:w w:val="85"/>
                    <w:sz w:val="28"/>
                  </w:rPr>
                  <w:t>Ecumenical</w:t>
                </w:r>
                <w:r>
                  <w:rPr>
                    <w:rFonts w:ascii="Eurostile Bold" w:hAnsi="Eurostile Bold"/>
                    <w:b/>
                    <w:color w:val="A7A9AC"/>
                    <w:spacing w:val="-13"/>
                    <w:w w:val="85"/>
                    <w:sz w:val="28"/>
                  </w:rPr>
                  <w:t> </w:t>
                </w:r>
                <w:r>
                  <w:rPr>
                    <w:rFonts w:ascii="Eurostile Bold" w:hAnsi="Eurostile Bold"/>
                    <w:b/>
                    <w:color w:val="A7A9AC"/>
                    <w:w w:val="85"/>
                    <w:sz w:val="28"/>
                  </w:rPr>
                  <w:t>Engagement</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8.50351pt;margin-top:26.897449pt;width:91.1pt;height:16pt;mso-position-horizontal-relative:page;mso-position-vertical-relative:page;z-index:-275467264"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Life</w:t>
                </w:r>
                <w:r>
                  <w:rPr>
                    <w:rFonts w:ascii="Eurostile Bold"/>
                    <w:b/>
                    <w:color w:val="A7A9AC"/>
                    <w:spacing w:val="-52"/>
                    <w:w w:val="90"/>
                    <w:sz w:val="28"/>
                  </w:rPr>
                  <w:t> </w:t>
                </w:r>
                <w:r>
                  <w:rPr>
                    <w:rFonts w:ascii="Eurostile Bold"/>
                    <w:b/>
                    <w:color w:val="A7A9AC"/>
                    <w:w w:val="90"/>
                    <w:sz w:val="28"/>
                  </w:rPr>
                  <w:t>&amp;</w:t>
                </w:r>
                <w:r>
                  <w:rPr>
                    <w:rFonts w:ascii="Eurostile Bold"/>
                    <w:b/>
                    <w:color w:val="A7A9AC"/>
                    <w:spacing w:val="-52"/>
                    <w:w w:val="90"/>
                    <w:sz w:val="28"/>
                  </w:rPr>
                  <w:t> </w:t>
                </w:r>
                <w:r>
                  <w:rPr>
                    <w:rFonts w:ascii="Eurostile Bold"/>
                    <w:b/>
                    <w:color w:val="A7A9AC"/>
                    <w:w w:val="90"/>
                    <w:sz w:val="28"/>
                  </w:rPr>
                  <w:t>Witness</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8.50351pt;margin-top:26.897449pt;width:91.1pt;height:16pt;mso-position-horizontal-relative:page;mso-position-vertical-relative:page;z-index:-275464192"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7A9AC"/>
                    <w:w w:val="90"/>
                    <w:sz w:val="28"/>
                  </w:rPr>
                  <w:t>Life</w:t>
                </w:r>
                <w:r>
                  <w:rPr>
                    <w:rFonts w:ascii="Eurostile Bold"/>
                    <w:b/>
                    <w:color w:val="A7A9AC"/>
                    <w:spacing w:val="-52"/>
                    <w:w w:val="90"/>
                    <w:sz w:val="28"/>
                  </w:rPr>
                  <w:t> </w:t>
                </w:r>
                <w:r>
                  <w:rPr>
                    <w:rFonts w:ascii="Eurostile Bold"/>
                    <w:b/>
                    <w:color w:val="A7A9AC"/>
                    <w:w w:val="90"/>
                    <w:sz w:val="28"/>
                  </w:rPr>
                  <w:t>&amp;</w:t>
                </w:r>
                <w:r>
                  <w:rPr>
                    <w:rFonts w:ascii="Eurostile Bold"/>
                    <w:b/>
                    <w:color w:val="A7A9AC"/>
                    <w:spacing w:val="-52"/>
                    <w:w w:val="90"/>
                    <w:sz w:val="28"/>
                  </w:rPr>
                  <w:t> </w:t>
                </w:r>
                <w:r>
                  <w:rPr>
                    <w:rFonts w:ascii="Eurostile Bold"/>
                    <w:b/>
                    <w:color w:val="A7A9AC"/>
                    <w:w w:val="90"/>
                    <w:sz w:val="28"/>
                  </w:rPr>
                  <w:t>Witness</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9.8004pt;margin-top:26.897449pt;width:319.55pt;height:16pt;mso-position-horizontal-relative:page;mso-position-vertical-relative:page;z-index:-275461120"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90"/>
                    <w:sz w:val="28"/>
                  </w:rPr>
                  <w:t>Covenant</w:t>
                </w:r>
                <w:r>
                  <w:rPr>
                    <w:rFonts w:ascii="Eurostile Bold" w:hAnsi="Eurostile Bold"/>
                    <w:b/>
                    <w:color w:val="A7A9AC"/>
                    <w:spacing w:val="-53"/>
                    <w:w w:val="90"/>
                    <w:sz w:val="28"/>
                  </w:rPr>
                  <w:t> </w:t>
                </w:r>
                <w:r>
                  <w:rPr>
                    <w:rFonts w:ascii="Eurostile Bold" w:hAnsi="Eurostile Bold"/>
                    <w:b/>
                    <w:color w:val="A7A9AC"/>
                    <w:w w:val="90"/>
                    <w:sz w:val="28"/>
                  </w:rPr>
                  <w:t>Membership</w:t>
                </w:r>
                <w:r>
                  <w:rPr>
                    <w:rFonts w:ascii="Eurostile Bold" w:hAnsi="Eurostile Bold"/>
                    <w:b/>
                    <w:color w:val="A7A9AC"/>
                    <w:spacing w:val="-53"/>
                    <w:w w:val="90"/>
                    <w:sz w:val="28"/>
                  </w:rPr>
                  <w:t> </w:t>
                </w:r>
                <w:r>
                  <w:rPr>
                    <w:rFonts w:ascii="Eurostile Bold" w:hAnsi="Eurostile Bold"/>
                    <w:b/>
                    <w:color w:val="A7A9AC"/>
                    <w:w w:val="90"/>
                    <w:sz w:val="28"/>
                  </w:rPr>
                  <w:t>and</w:t>
                </w:r>
                <w:r>
                  <w:rPr>
                    <w:rFonts w:ascii="Eurostile Bold" w:hAnsi="Eurostile Bold"/>
                    <w:b/>
                    <w:color w:val="A7A9AC"/>
                    <w:spacing w:val="-52"/>
                    <w:w w:val="90"/>
                    <w:sz w:val="28"/>
                  </w:rPr>
                  <w:t> </w:t>
                </w:r>
                <w:r>
                  <w:rPr>
                    <w:rFonts w:ascii="Eurostile Bold" w:hAnsi="Eurostile Bold"/>
                    <w:b/>
                    <w:color w:val="A7A9AC"/>
                    <w:w w:val="90"/>
                    <w:sz w:val="28"/>
                  </w:rPr>
                  <w:t>Mission</w:t>
                </w:r>
                <w:r>
                  <w:rPr>
                    <w:rFonts w:ascii="Eurostile Bold" w:hAnsi="Eurostile Bold"/>
                    <w:b/>
                    <w:color w:val="A7A9AC"/>
                    <w:spacing w:val="-53"/>
                    <w:w w:val="90"/>
                    <w:sz w:val="28"/>
                  </w:rPr>
                  <w:t> </w:t>
                </w:r>
                <w:r>
                  <w:rPr>
                    <w:rFonts w:ascii="Eurostile Bold" w:hAnsi="Eurostile Bold"/>
                    <w:b/>
                    <w:color w:val="A7A9AC"/>
                    <w:w w:val="90"/>
                    <w:sz w:val="28"/>
                  </w:rPr>
                  <w:t>–</w:t>
                </w:r>
                <w:r>
                  <w:rPr>
                    <w:rFonts w:ascii="Eurostile Bold" w:hAnsi="Eurostile Bold"/>
                    <w:b/>
                    <w:color w:val="A7A9AC"/>
                    <w:spacing w:val="-53"/>
                    <w:w w:val="90"/>
                    <w:sz w:val="28"/>
                  </w:rPr>
                  <w:t> </w:t>
                </w:r>
                <w:r>
                  <w:rPr>
                    <w:rFonts w:ascii="Eurostile Bold" w:hAnsi="Eurostile Bold"/>
                    <w:b/>
                    <w:color w:val="A7A9AC"/>
                    <w:w w:val="90"/>
                    <w:sz w:val="28"/>
                  </w:rPr>
                  <w:t>Life</w:t>
                </w:r>
                <w:r>
                  <w:rPr>
                    <w:rFonts w:ascii="Eurostile Bold" w:hAnsi="Eurostile Bold"/>
                    <w:b/>
                    <w:color w:val="A7A9AC"/>
                    <w:spacing w:val="-52"/>
                    <w:w w:val="90"/>
                    <w:sz w:val="28"/>
                  </w:rPr>
                  <w:t> </w:t>
                </w:r>
                <w:r>
                  <w:rPr>
                    <w:rFonts w:ascii="Eurostile Bold" w:hAnsi="Eurostile Bold"/>
                    <w:b/>
                    <w:color w:val="A7A9AC"/>
                    <w:w w:val="90"/>
                    <w:sz w:val="28"/>
                  </w:rPr>
                  <w:t>&amp;</w:t>
                </w:r>
                <w:r>
                  <w:rPr>
                    <w:rFonts w:ascii="Eurostile Bold" w:hAnsi="Eurostile Bold"/>
                    <w:b/>
                    <w:color w:val="A7A9AC"/>
                    <w:spacing w:val="-52"/>
                    <w:w w:val="90"/>
                    <w:sz w:val="28"/>
                  </w:rPr>
                  <w:t> </w:t>
                </w:r>
                <w:r>
                  <w:rPr>
                    <w:rFonts w:ascii="Eurostile Bold" w:hAnsi="Eurostile Bold"/>
                    <w:b/>
                    <w:color w:val="A7A9AC"/>
                    <w:w w:val="90"/>
                    <w:sz w:val="28"/>
                  </w:rPr>
                  <w:t>Witness</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449pt;width:319.55pt;height:16pt;mso-position-horizontal-relative:page;mso-position-vertical-relative:page;z-index:-275460096"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90"/>
                    <w:sz w:val="28"/>
                  </w:rPr>
                  <w:t>Covenant</w:t>
                </w:r>
                <w:r>
                  <w:rPr>
                    <w:rFonts w:ascii="Eurostile Bold" w:hAnsi="Eurostile Bold"/>
                    <w:b/>
                    <w:color w:val="A7A9AC"/>
                    <w:spacing w:val="-53"/>
                    <w:w w:val="90"/>
                    <w:sz w:val="28"/>
                  </w:rPr>
                  <w:t> </w:t>
                </w:r>
                <w:r>
                  <w:rPr>
                    <w:rFonts w:ascii="Eurostile Bold" w:hAnsi="Eurostile Bold"/>
                    <w:b/>
                    <w:color w:val="A7A9AC"/>
                    <w:w w:val="90"/>
                    <w:sz w:val="28"/>
                  </w:rPr>
                  <w:t>Membership</w:t>
                </w:r>
                <w:r>
                  <w:rPr>
                    <w:rFonts w:ascii="Eurostile Bold" w:hAnsi="Eurostile Bold"/>
                    <w:b/>
                    <w:color w:val="A7A9AC"/>
                    <w:spacing w:val="-53"/>
                    <w:w w:val="90"/>
                    <w:sz w:val="28"/>
                  </w:rPr>
                  <w:t> </w:t>
                </w:r>
                <w:r>
                  <w:rPr>
                    <w:rFonts w:ascii="Eurostile Bold" w:hAnsi="Eurostile Bold"/>
                    <w:b/>
                    <w:color w:val="A7A9AC"/>
                    <w:w w:val="90"/>
                    <w:sz w:val="28"/>
                  </w:rPr>
                  <w:t>and</w:t>
                </w:r>
                <w:r>
                  <w:rPr>
                    <w:rFonts w:ascii="Eurostile Bold" w:hAnsi="Eurostile Bold"/>
                    <w:b/>
                    <w:color w:val="A7A9AC"/>
                    <w:spacing w:val="-52"/>
                    <w:w w:val="90"/>
                    <w:sz w:val="28"/>
                  </w:rPr>
                  <w:t> </w:t>
                </w:r>
                <w:r>
                  <w:rPr>
                    <w:rFonts w:ascii="Eurostile Bold" w:hAnsi="Eurostile Bold"/>
                    <w:b/>
                    <w:color w:val="A7A9AC"/>
                    <w:w w:val="90"/>
                    <w:sz w:val="28"/>
                  </w:rPr>
                  <w:t>Mission</w:t>
                </w:r>
                <w:r>
                  <w:rPr>
                    <w:rFonts w:ascii="Eurostile Bold" w:hAnsi="Eurostile Bold"/>
                    <w:b/>
                    <w:color w:val="A7A9AC"/>
                    <w:spacing w:val="-53"/>
                    <w:w w:val="90"/>
                    <w:sz w:val="28"/>
                  </w:rPr>
                  <w:t> </w:t>
                </w:r>
                <w:r>
                  <w:rPr>
                    <w:rFonts w:ascii="Eurostile Bold" w:hAnsi="Eurostile Bold"/>
                    <w:b/>
                    <w:color w:val="A7A9AC"/>
                    <w:w w:val="90"/>
                    <w:sz w:val="28"/>
                  </w:rPr>
                  <w:t>–</w:t>
                </w:r>
                <w:r>
                  <w:rPr>
                    <w:rFonts w:ascii="Eurostile Bold" w:hAnsi="Eurostile Bold"/>
                    <w:b/>
                    <w:color w:val="A7A9AC"/>
                    <w:spacing w:val="-53"/>
                    <w:w w:val="90"/>
                    <w:sz w:val="28"/>
                  </w:rPr>
                  <w:t> </w:t>
                </w:r>
                <w:r>
                  <w:rPr>
                    <w:rFonts w:ascii="Eurostile Bold" w:hAnsi="Eurostile Bold"/>
                    <w:b/>
                    <w:color w:val="A7A9AC"/>
                    <w:w w:val="90"/>
                    <w:sz w:val="28"/>
                  </w:rPr>
                  <w:t>Life</w:t>
                </w:r>
                <w:r>
                  <w:rPr>
                    <w:rFonts w:ascii="Eurostile Bold" w:hAnsi="Eurostile Bold"/>
                    <w:b/>
                    <w:color w:val="A7A9AC"/>
                    <w:spacing w:val="-52"/>
                    <w:w w:val="90"/>
                    <w:sz w:val="28"/>
                  </w:rPr>
                  <w:t> </w:t>
                </w:r>
                <w:r>
                  <w:rPr>
                    <w:rFonts w:ascii="Eurostile Bold" w:hAnsi="Eurostile Bold"/>
                    <w:b/>
                    <w:color w:val="A7A9AC"/>
                    <w:w w:val="90"/>
                    <w:sz w:val="28"/>
                  </w:rPr>
                  <w:t>&amp;</w:t>
                </w:r>
                <w:r>
                  <w:rPr>
                    <w:rFonts w:ascii="Eurostile Bold" w:hAnsi="Eurostile Bold"/>
                    <w:b/>
                    <w:color w:val="A7A9AC"/>
                    <w:spacing w:val="-52"/>
                    <w:w w:val="90"/>
                    <w:sz w:val="28"/>
                  </w:rPr>
                  <w:t> </w:t>
                </w:r>
                <w:r>
                  <w:rPr>
                    <w:rFonts w:ascii="Eurostile Bold" w:hAnsi="Eurostile Bold"/>
                    <w:b/>
                    <w:color w:val="A7A9AC"/>
                    <w:w w:val="90"/>
                    <w:sz w:val="28"/>
                  </w:rPr>
                  <w:t>Witness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449pt;width:253.65pt;height:16pt;mso-position-horizontal-relative:page;mso-position-vertical-relative:page;z-index:-275448832"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85"/>
                    <w:sz w:val="28"/>
                  </w:rPr>
                  <w:t>Ministries Sub-Committees – Resolutions</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047485pt;margin-top:26.897449pt;width:253.65pt;height:16pt;mso-position-horizontal-relative:page;mso-position-vertical-relative:page;z-index:-275447808"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7A9AC"/>
                    <w:w w:val="85"/>
                    <w:sz w:val="28"/>
                  </w:rPr>
                  <w:t>Ministries Sub-Committees – Resolutions</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8.134399pt;margin-top:26.897949pt;width:91.5pt;height:16pt;mso-position-horizontal-relative:page;mso-position-vertical-relative:page;z-index:-27544064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CACAC"/>
                    <w:w w:val="85"/>
                    <w:sz w:val="28"/>
                  </w:rPr>
                  <w:t>Assisted Dying</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8.134399pt;margin-top:26.897949pt;width:91.5pt;height:16pt;mso-position-horizontal-relative:page;mso-position-vertical-relative:page;z-index:-275435520"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CACAC"/>
                    <w:w w:val="85"/>
                    <w:sz w:val="28"/>
                  </w:rPr>
                  <w:t>Assisted Dying</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949pt;width:91.5pt;height:16pt;mso-position-horizontal-relative:page;mso-position-vertical-relative:page;z-index:-275434496" type="#_x0000_t202" filled="false" stroked="false">
          <v:textbox inset="0,0,0,0">
            <w:txbxContent>
              <w:p>
                <w:pPr>
                  <w:spacing w:line="314" w:lineRule="exact" w:before="0"/>
                  <w:ind w:left="20" w:right="0" w:firstLine="0"/>
                  <w:jc w:val="left"/>
                  <w:rPr>
                    <w:rFonts w:ascii="Eurostile Bold"/>
                    <w:b/>
                    <w:sz w:val="28"/>
                  </w:rPr>
                </w:pPr>
                <w:r>
                  <w:rPr>
                    <w:rFonts w:ascii="Eurostile Bold"/>
                    <w:b/>
                    <w:color w:val="ACACAC"/>
                    <w:w w:val="85"/>
                    <w:sz w:val="28"/>
                  </w:rPr>
                  <w:t>Assisted Dying</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7449pt;width:174.85pt;height:16pt;mso-position-horizontal-relative:page;mso-position-vertical-relative:page;z-index:-275429376"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6"/>
                    <w:w w:val="90"/>
                    <w:sz w:val="28"/>
                  </w:rPr>
                  <w:t> </w:t>
                </w:r>
                <w:r>
                  <w:rPr>
                    <w:rFonts w:ascii="Eurostile Bold" w:hAnsi="Eurostile Bold"/>
                    <w:b/>
                    <w:color w:val="ACACAC"/>
                    <w:w w:val="90"/>
                    <w:sz w:val="28"/>
                  </w:rPr>
                  <w:t>A</w:t>
                </w:r>
                <w:r>
                  <w:rPr>
                    <w:rFonts w:ascii="Eurostile Bold" w:hAnsi="Eurostile Bold"/>
                    <w:b/>
                    <w:color w:val="ACACAC"/>
                    <w:spacing w:val="-45"/>
                    <w:w w:val="90"/>
                    <w:sz w:val="28"/>
                  </w:rPr>
                  <w:t> </w:t>
                </w:r>
                <w:r>
                  <w:rPr>
                    <w:rFonts w:ascii="Eurostile Bold" w:hAnsi="Eurostile Bold"/>
                    <w:b/>
                    <w:color w:val="ACACAC"/>
                    <w:w w:val="90"/>
                    <w:sz w:val="28"/>
                  </w:rPr>
                  <w:t>–</w:t>
                </w:r>
                <w:r>
                  <w:rPr>
                    <w:rFonts w:ascii="Eurostile Bold" w:hAnsi="Eurostile Bold"/>
                    <w:b/>
                    <w:color w:val="ACACAC"/>
                    <w:spacing w:val="-45"/>
                    <w:w w:val="90"/>
                    <w:sz w:val="28"/>
                  </w:rPr>
                  <w:t> </w:t>
                </w:r>
                <w:r>
                  <w:rPr>
                    <w:rFonts w:ascii="Eurostile Bold" w:hAnsi="Eurostile Bold"/>
                    <w:b/>
                    <w:color w:val="ACACAC"/>
                    <w:w w:val="90"/>
                    <w:sz w:val="28"/>
                  </w:rPr>
                  <w:t>Assisted</w:t>
                </w:r>
                <w:r>
                  <w:rPr>
                    <w:rFonts w:ascii="Eurostile Bold" w:hAnsi="Eurostile Bold"/>
                    <w:b/>
                    <w:color w:val="ACACAC"/>
                    <w:spacing w:val="-46"/>
                    <w:w w:val="90"/>
                    <w:sz w:val="28"/>
                  </w:rPr>
                  <w:t> </w:t>
                </w:r>
                <w:r>
                  <w:rPr>
                    <w:rFonts w:ascii="Eurostile Bold" w:hAnsi="Eurostile Bold"/>
                    <w:b/>
                    <w:color w:val="ACACAC"/>
                    <w:w w:val="90"/>
                    <w:sz w:val="28"/>
                  </w:rPr>
                  <w:t>Dying</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859009pt;margin-top:26.897449pt;width:174.85pt;height:16pt;mso-position-horizontal-relative:page;mso-position-vertical-relative:page;z-index:-275428352"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6"/>
                    <w:w w:val="90"/>
                    <w:sz w:val="28"/>
                  </w:rPr>
                  <w:t> </w:t>
                </w:r>
                <w:r>
                  <w:rPr>
                    <w:rFonts w:ascii="Eurostile Bold" w:hAnsi="Eurostile Bold"/>
                    <w:b/>
                    <w:color w:val="ACACAC"/>
                    <w:w w:val="90"/>
                    <w:sz w:val="28"/>
                  </w:rPr>
                  <w:t>A</w:t>
                </w:r>
                <w:r>
                  <w:rPr>
                    <w:rFonts w:ascii="Eurostile Bold" w:hAnsi="Eurostile Bold"/>
                    <w:b/>
                    <w:color w:val="ACACAC"/>
                    <w:spacing w:val="-45"/>
                    <w:w w:val="90"/>
                    <w:sz w:val="28"/>
                  </w:rPr>
                  <w:t> </w:t>
                </w:r>
                <w:r>
                  <w:rPr>
                    <w:rFonts w:ascii="Eurostile Bold" w:hAnsi="Eurostile Bold"/>
                    <w:b/>
                    <w:color w:val="ACACAC"/>
                    <w:w w:val="90"/>
                    <w:sz w:val="28"/>
                  </w:rPr>
                  <w:t>–</w:t>
                </w:r>
                <w:r>
                  <w:rPr>
                    <w:rFonts w:ascii="Eurostile Bold" w:hAnsi="Eurostile Bold"/>
                    <w:b/>
                    <w:color w:val="ACACAC"/>
                    <w:spacing w:val="-45"/>
                    <w:w w:val="90"/>
                    <w:sz w:val="28"/>
                  </w:rPr>
                  <w:t> </w:t>
                </w:r>
                <w:r>
                  <w:rPr>
                    <w:rFonts w:ascii="Eurostile Bold" w:hAnsi="Eurostile Bold"/>
                    <w:b/>
                    <w:color w:val="ACACAC"/>
                    <w:w w:val="90"/>
                    <w:sz w:val="28"/>
                  </w:rPr>
                  <w:t>Assisted</w:t>
                </w:r>
                <w:r>
                  <w:rPr>
                    <w:rFonts w:ascii="Eurostile Bold" w:hAnsi="Eurostile Bold"/>
                    <w:b/>
                    <w:color w:val="ACACAC"/>
                    <w:spacing w:val="-46"/>
                    <w:w w:val="90"/>
                    <w:sz w:val="28"/>
                  </w:rPr>
                  <w:t> </w:t>
                </w:r>
                <w:r>
                  <w:rPr>
                    <w:rFonts w:ascii="Eurostile Bold" w:hAnsi="Eurostile Bold"/>
                    <w:b/>
                    <w:color w:val="ACACAC"/>
                    <w:w w:val="90"/>
                    <w:sz w:val="28"/>
                  </w:rPr>
                  <w:t>Dying</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26.898449pt;width:174.8pt;height:16pt;mso-position-horizontal-relative:page;mso-position-vertical-relative:page;z-index:-275423232"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6"/>
                    <w:w w:val="90"/>
                    <w:sz w:val="28"/>
                  </w:rPr>
                  <w:t> </w:t>
                </w:r>
                <w:r>
                  <w:rPr>
                    <w:rFonts w:ascii="Eurostile Bold" w:hAnsi="Eurostile Bold"/>
                    <w:b/>
                    <w:color w:val="ACACAC"/>
                    <w:w w:val="90"/>
                    <w:sz w:val="28"/>
                  </w:rPr>
                  <w:t>B</w:t>
                </w:r>
                <w:r>
                  <w:rPr>
                    <w:rFonts w:ascii="Eurostile Bold" w:hAnsi="Eurostile Bold"/>
                    <w:b/>
                    <w:color w:val="ACACAC"/>
                    <w:spacing w:val="-46"/>
                    <w:w w:val="90"/>
                    <w:sz w:val="28"/>
                  </w:rPr>
                  <w:t> </w:t>
                </w:r>
                <w:r>
                  <w:rPr>
                    <w:rFonts w:ascii="Eurostile Bold" w:hAnsi="Eurostile Bold"/>
                    <w:b/>
                    <w:color w:val="ACACAC"/>
                    <w:w w:val="90"/>
                    <w:sz w:val="28"/>
                  </w:rPr>
                  <w:t>–</w:t>
                </w:r>
                <w:r>
                  <w:rPr>
                    <w:rFonts w:ascii="Eurostile Bold" w:hAnsi="Eurostile Bold"/>
                    <w:b/>
                    <w:color w:val="ACACAC"/>
                    <w:spacing w:val="-45"/>
                    <w:w w:val="90"/>
                    <w:sz w:val="28"/>
                  </w:rPr>
                  <w:t> </w:t>
                </w:r>
                <w:r>
                  <w:rPr>
                    <w:rFonts w:ascii="Eurostile Bold" w:hAnsi="Eurostile Bold"/>
                    <w:b/>
                    <w:color w:val="ACACAC"/>
                    <w:w w:val="90"/>
                    <w:sz w:val="28"/>
                  </w:rPr>
                  <w:t>Assisted</w:t>
                </w:r>
                <w:r>
                  <w:rPr>
                    <w:rFonts w:ascii="Eurostile Bold" w:hAnsi="Eurostile Bold"/>
                    <w:b/>
                    <w:color w:val="ACACAC"/>
                    <w:spacing w:val="-46"/>
                    <w:w w:val="90"/>
                    <w:sz w:val="28"/>
                  </w:rPr>
                  <w:t> </w:t>
                </w:r>
                <w:r>
                  <w:rPr>
                    <w:rFonts w:ascii="Eurostile Bold" w:hAnsi="Eurostile Bold"/>
                    <w:b/>
                    <w:color w:val="ACACAC"/>
                    <w:w w:val="90"/>
                    <w:sz w:val="28"/>
                  </w:rPr>
                  <w:t>Dying</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865814pt;margin-top:26.898449pt;width:174.8pt;height:16pt;mso-position-horizontal-relative:page;mso-position-vertical-relative:page;z-index:-275422208"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6"/>
                    <w:w w:val="90"/>
                    <w:sz w:val="28"/>
                  </w:rPr>
                  <w:t> </w:t>
                </w:r>
                <w:r>
                  <w:rPr>
                    <w:rFonts w:ascii="Eurostile Bold" w:hAnsi="Eurostile Bold"/>
                    <w:b/>
                    <w:color w:val="ACACAC"/>
                    <w:w w:val="90"/>
                    <w:sz w:val="28"/>
                  </w:rPr>
                  <w:t>B</w:t>
                </w:r>
                <w:r>
                  <w:rPr>
                    <w:rFonts w:ascii="Eurostile Bold" w:hAnsi="Eurostile Bold"/>
                    <w:b/>
                    <w:color w:val="ACACAC"/>
                    <w:spacing w:val="-46"/>
                    <w:w w:val="90"/>
                    <w:sz w:val="28"/>
                  </w:rPr>
                  <w:t> </w:t>
                </w:r>
                <w:r>
                  <w:rPr>
                    <w:rFonts w:ascii="Eurostile Bold" w:hAnsi="Eurostile Bold"/>
                    <w:b/>
                    <w:color w:val="ACACAC"/>
                    <w:w w:val="90"/>
                    <w:sz w:val="28"/>
                  </w:rPr>
                  <w:t>–</w:t>
                </w:r>
                <w:r>
                  <w:rPr>
                    <w:rFonts w:ascii="Eurostile Bold" w:hAnsi="Eurostile Bold"/>
                    <w:b/>
                    <w:color w:val="ACACAC"/>
                    <w:spacing w:val="-45"/>
                    <w:w w:val="90"/>
                    <w:sz w:val="28"/>
                  </w:rPr>
                  <w:t> </w:t>
                </w:r>
                <w:r>
                  <w:rPr>
                    <w:rFonts w:ascii="Eurostile Bold" w:hAnsi="Eurostile Bold"/>
                    <w:b/>
                    <w:color w:val="ACACAC"/>
                    <w:w w:val="90"/>
                    <w:sz w:val="28"/>
                  </w:rPr>
                  <w:t>Assisted</w:t>
                </w:r>
                <w:r>
                  <w:rPr>
                    <w:rFonts w:ascii="Eurostile Bold" w:hAnsi="Eurostile Bold"/>
                    <w:b/>
                    <w:color w:val="ACACAC"/>
                    <w:spacing w:val="-46"/>
                    <w:w w:val="90"/>
                    <w:sz w:val="28"/>
                  </w:rPr>
                  <w:t> </w:t>
                </w:r>
                <w:r>
                  <w:rPr>
                    <w:rFonts w:ascii="Eurostile Bold" w:hAnsi="Eurostile Bold"/>
                    <w:b/>
                    <w:color w:val="ACACAC"/>
                    <w:w w:val="90"/>
                    <w:sz w:val="28"/>
                  </w:rPr>
                  <w:t>Dying</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5.0914pt;margin-top:26.897449pt;width:174.6pt;height:16pt;mso-position-horizontal-relative:page;mso-position-vertical-relative:page;z-index:-275412992"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7"/>
                    <w:w w:val="90"/>
                    <w:sz w:val="28"/>
                  </w:rPr>
                  <w:t> </w:t>
                </w:r>
                <w:r>
                  <w:rPr>
                    <w:rFonts w:ascii="Eurostile Bold" w:hAnsi="Eurostile Bold"/>
                    <w:b/>
                    <w:color w:val="ACACAC"/>
                    <w:w w:val="90"/>
                    <w:sz w:val="28"/>
                  </w:rPr>
                  <w:t>C</w:t>
                </w:r>
                <w:r>
                  <w:rPr>
                    <w:rFonts w:ascii="Eurostile Bold" w:hAnsi="Eurostile Bold"/>
                    <w:b/>
                    <w:color w:val="ACACAC"/>
                    <w:spacing w:val="-46"/>
                    <w:w w:val="90"/>
                    <w:sz w:val="28"/>
                  </w:rPr>
                  <w:t> </w:t>
                </w:r>
                <w:r>
                  <w:rPr>
                    <w:rFonts w:ascii="Eurostile Bold" w:hAnsi="Eurostile Bold"/>
                    <w:b/>
                    <w:color w:val="ACACAC"/>
                    <w:w w:val="90"/>
                    <w:sz w:val="28"/>
                  </w:rPr>
                  <w:t>–</w:t>
                </w:r>
                <w:r>
                  <w:rPr>
                    <w:rFonts w:ascii="Eurostile Bold" w:hAnsi="Eurostile Bold"/>
                    <w:b/>
                    <w:color w:val="ACACAC"/>
                    <w:spacing w:val="-46"/>
                    <w:w w:val="90"/>
                    <w:sz w:val="28"/>
                  </w:rPr>
                  <w:t> </w:t>
                </w:r>
                <w:r>
                  <w:rPr>
                    <w:rFonts w:ascii="Eurostile Bold" w:hAnsi="Eurostile Bold"/>
                    <w:b/>
                    <w:color w:val="ACACAC"/>
                    <w:w w:val="90"/>
                    <w:sz w:val="28"/>
                  </w:rPr>
                  <w:t>Assisted</w:t>
                </w:r>
                <w:r>
                  <w:rPr>
                    <w:rFonts w:ascii="Eurostile Bold" w:hAnsi="Eurostile Bold"/>
                    <w:b/>
                    <w:color w:val="ACACAC"/>
                    <w:spacing w:val="-46"/>
                    <w:w w:val="90"/>
                    <w:sz w:val="28"/>
                  </w:rPr>
                  <w:t> </w:t>
                </w:r>
                <w:r>
                  <w:rPr>
                    <w:rFonts w:ascii="Eurostile Bold" w:hAnsi="Eurostile Bold"/>
                    <w:b/>
                    <w:color w:val="ACACAC"/>
                    <w:w w:val="90"/>
                    <w:sz w:val="28"/>
                  </w:rPr>
                  <w:t>Dying</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4.346313pt;margin-top:26.898449pt;width:175.35pt;height:16pt;mso-position-horizontal-relative:page;mso-position-vertical-relative:page;z-index:-275411968" type="#_x0000_t202" filled="false" stroked="false">
          <v:textbox inset="0,0,0,0">
            <w:txbxContent>
              <w:p>
                <w:pPr>
                  <w:spacing w:line="314" w:lineRule="exact" w:before="0"/>
                  <w:ind w:left="20" w:right="0" w:firstLine="0"/>
                  <w:jc w:val="left"/>
                  <w:rPr>
                    <w:rFonts w:ascii="Eurostile Bold" w:hAnsi="Eurostile Bold"/>
                    <w:b/>
                    <w:sz w:val="28"/>
                  </w:rPr>
                </w:pPr>
                <w:r>
                  <w:rPr>
                    <w:rFonts w:ascii="Eurostile Bold" w:hAnsi="Eurostile Bold"/>
                    <w:b/>
                    <w:color w:val="ACACAC"/>
                    <w:w w:val="90"/>
                    <w:sz w:val="28"/>
                  </w:rPr>
                  <w:t>Appendix</w:t>
                </w:r>
                <w:r>
                  <w:rPr>
                    <w:rFonts w:ascii="Eurostile Bold" w:hAnsi="Eurostile Bold"/>
                    <w:b/>
                    <w:color w:val="ACACAC"/>
                    <w:spacing w:val="-46"/>
                    <w:w w:val="90"/>
                    <w:sz w:val="28"/>
                  </w:rPr>
                  <w:t> </w:t>
                </w:r>
                <w:r>
                  <w:rPr>
                    <w:rFonts w:ascii="Eurostile Bold" w:hAnsi="Eurostile Bold"/>
                    <w:b/>
                    <w:color w:val="ACACAC"/>
                    <w:w w:val="90"/>
                    <w:sz w:val="28"/>
                  </w:rPr>
                  <w:t>D</w:t>
                </w:r>
                <w:r>
                  <w:rPr>
                    <w:rFonts w:ascii="Eurostile Bold" w:hAnsi="Eurostile Bold"/>
                    <w:b/>
                    <w:color w:val="ACACAC"/>
                    <w:spacing w:val="-45"/>
                    <w:w w:val="90"/>
                    <w:sz w:val="28"/>
                  </w:rPr>
                  <w:t> </w:t>
                </w:r>
                <w:r>
                  <w:rPr>
                    <w:rFonts w:ascii="Eurostile Bold" w:hAnsi="Eurostile Bold"/>
                    <w:b/>
                    <w:color w:val="ACACAC"/>
                    <w:w w:val="90"/>
                    <w:sz w:val="28"/>
                  </w:rPr>
                  <w:t>–</w:t>
                </w:r>
                <w:r>
                  <w:rPr>
                    <w:rFonts w:ascii="Eurostile Bold" w:hAnsi="Eurostile Bold"/>
                    <w:b/>
                    <w:color w:val="ACACAC"/>
                    <w:spacing w:val="-46"/>
                    <w:w w:val="90"/>
                    <w:sz w:val="28"/>
                  </w:rPr>
                  <w:t> </w:t>
                </w:r>
                <w:r>
                  <w:rPr>
                    <w:rFonts w:ascii="Eurostile Bold" w:hAnsi="Eurostile Bold"/>
                    <w:b/>
                    <w:color w:val="ACACAC"/>
                    <w:w w:val="90"/>
                    <w:sz w:val="28"/>
                  </w:rPr>
                  <w:t>Assisted</w:t>
                </w:r>
                <w:r>
                  <w:rPr>
                    <w:rFonts w:ascii="Eurostile Bold" w:hAnsi="Eurostile Bold"/>
                    <w:b/>
                    <w:color w:val="ACACAC"/>
                    <w:spacing w:val="-45"/>
                    <w:w w:val="90"/>
                    <w:sz w:val="28"/>
                  </w:rPr>
                  <w:t> </w:t>
                </w:r>
                <w:r>
                  <w:rPr>
                    <w:rFonts w:ascii="Eurostile Bold" w:hAnsi="Eurostile Bold"/>
                    <w:b/>
                    <w:color w:val="ACACAC"/>
                    <w:w w:val="90"/>
                    <w:sz w:val="28"/>
                  </w:rPr>
                  <w:t>Dying</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6">
    <w:multiLevelType w:val="hybridMultilevel"/>
    <w:lvl w:ilvl="0">
      <w:start w:val="0"/>
      <w:numFmt w:val="bullet"/>
      <w:lvlText w:val="•"/>
      <w:lvlJc w:val="left"/>
      <w:pPr>
        <w:ind w:left="1761" w:hanging="681"/>
      </w:pPr>
      <w:rPr>
        <w:rFonts w:hint="default" w:ascii="Verdana" w:hAnsi="Verdana" w:eastAsia="Verdana" w:cs="Verdana"/>
        <w:color w:val="231F20"/>
        <w:w w:val="111"/>
        <w:position w:val="-3"/>
        <w:sz w:val="25"/>
        <w:szCs w:val="25"/>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240">
    <w:multiLevelType w:val="hybridMultilevel"/>
    <w:lvl w:ilvl="0">
      <w:start w:val="1"/>
      <w:numFmt w:val="decimal"/>
      <w:lvlText w:val="%1."/>
      <w:lvlJc w:val="left"/>
      <w:pPr>
        <w:ind w:left="1160" w:hanging="720"/>
        <w:jc w:val="right"/>
      </w:pPr>
      <w:rPr>
        <w:rFonts w:hint="default"/>
        <w:spacing w:val="-5"/>
        <w:w w:val="111"/>
      </w:rPr>
    </w:lvl>
    <w:lvl w:ilvl="1">
      <w:start w:val="1"/>
      <w:numFmt w:val="decimal"/>
      <w:lvlText w:val="%1.%2"/>
      <w:lvlJc w:val="left"/>
      <w:pPr>
        <w:ind w:left="1160"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1320" w:hanging="720"/>
      </w:pPr>
      <w:rPr>
        <w:rFonts w:hint="default"/>
      </w:rPr>
    </w:lvl>
    <w:lvl w:ilvl="3">
      <w:start w:val="0"/>
      <w:numFmt w:val="bullet"/>
      <w:lvlText w:val="•"/>
      <w:lvlJc w:val="left"/>
      <w:pPr>
        <w:ind w:left="2575" w:hanging="720"/>
      </w:pPr>
      <w:rPr>
        <w:rFonts w:hint="default"/>
      </w:rPr>
    </w:lvl>
    <w:lvl w:ilvl="4">
      <w:start w:val="0"/>
      <w:numFmt w:val="bullet"/>
      <w:lvlText w:val="•"/>
      <w:lvlJc w:val="left"/>
      <w:pPr>
        <w:ind w:left="3831" w:hanging="720"/>
      </w:pPr>
      <w:rPr>
        <w:rFonts w:hint="default"/>
      </w:rPr>
    </w:lvl>
    <w:lvl w:ilvl="5">
      <w:start w:val="0"/>
      <w:numFmt w:val="bullet"/>
      <w:lvlText w:val="•"/>
      <w:lvlJc w:val="left"/>
      <w:pPr>
        <w:ind w:left="5087" w:hanging="720"/>
      </w:pPr>
      <w:rPr>
        <w:rFonts w:hint="default"/>
      </w:rPr>
    </w:lvl>
    <w:lvl w:ilvl="6">
      <w:start w:val="0"/>
      <w:numFmt w:val="bullet"/>
      <w:lvlText w:val="•"/>
      <w:lvlJc w:val="left"/>
      <w:pPr>
        <w:ind w:left="6342" w:hanging="720"/>
      </w:pPr>
      <w:rPr>
        <w:rFonts w:hint="default"/>
      </w:rPr>
    </w:lvl>
    <w:lvl w:ilvl="7">
      <w:start w:val="0"/>
      <w:numFmt w:val="bullet"/>
      <w:lvlText w:val="•"/>
      <w:lvlJc w:val="left"/>
      <w:pPr>
        <w:ind w:left="7598" w:hanging="720"/>
      </w:pPr>
      <w:rPr>
        <w:rFonts w:hint="default"/>
      </w:rPr>
    </w:lvl>
    <w:lvl w:ilvl="8">
      <w:start w:val="0"/>
      <w:numFmt w:val="bullet"/>
      <w:lvlText w:val="•"/>
      <w:lvlJc w:val="left"/>
      <w:pPr>
        <w:ind w:left="8854" w:hanging="720"/>
      </w:pPr>
      <w:rPr>
        <w:rFonts w:hint="default"/>
      </w:rPr>
    </w:lvl>
  </w:abstractNum>
  <w:abstractNum w:abstractNumId="239">
    <w:multiLevelType w:val="hybridMultilevel"/>
    <w:lvl w:ilvl="0">
      <w:start w:val="1"/>
      <w:numFmt w:val="decimal"/>
      <w:lvlText w:val="%1"/>
      <w:lvlJc w:val="left"/>
      <w:pPr>
        <w:ind w:left="1160" w:hanging="720"/>
        <w:jc w:val="left"/>
      </w:pPr>
      <w:rPr>
        <w:rFonts w:hint="default"/>
      </w:rPr>
    </w:lvl>
    <w:lvl w:ilvl="1">
      <w:start w:val="1"/>
      <w:numFmt w:val="decimal"/>
      <w:lvlText w:val="%1.%2"/>
      <w:lvlJc w:val="left"/>
      <w:pPr>
        <w:ind w:left="116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38">
    <w:multiLevelType w:val="hybridMultilevel"/>
    <w:lvl w:ilvl="0">
      <w:start w:val="1"/>
      <w:numFmt w:val="decimal"/>
      <w:lvlText w:val="%1"/>
      <w:lvlJc w:val="left"/>
      <w:pPr>
        <w:ind w:left="1170" w:hanging="720"/>
        <w:jc w:val="left"/>
      </w:pPr>
      <w:rPr>
        <w:rFonts w:hint="default"/>
      </w:rPr>
    </w:lvl>
    <w:lvl w:ilvl="1">
      <w:start w:val="1"/>
      <w:numFmt w:val="decimal"/>
      <w:lvlText w:val="%1.%2"/>
      <w:lvlJc w:val="left"/>
      <w:pPr>
        <w:ind w:left="1170"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3217" w:hanging="720"/>
      </w:pPr>
      <w:rPr>
        <w:rFonts w:hint="default"/>
      </w:rPr>
    </w:lvl>
    <w:lvl w:ilvl="3">
      <w:start w:val="0"/>
      <w:numFmt w:val="bullet"/>
      <w:lvlText w:val="•"/>
      <w:lvlJc w:val="left"/>
      <w:pPr>
        <w:ind w:left="4235" w:hanging="720"/>
      </w:pPr>
      <w:rPr>
        <w:rFonts w:hint="default"/>
      </w:rPr>
    </w:lvl>
    <w:lvl w:ilvl="4">
      <w:start w:val="0"/>
      <w:numFmt w:val="bullet"/>
      <w:lvlText w:val="•"/>
      <w:lvlJc w:val="left"/>
      <w:pPr>
        <w:ind w:left="5254" w:hanging="720"/>
      </w:pPr>
      <w:rPr>
        <w:rFonts w:hint="default"/>
      </w:rPr>
    </w:lvl>
    <w:lvl w:ilvl="5">
      <w:start w:val="0"/>
      <w:numFmt w:val="bullet"/>
      <w:lvlText w:val="•"/>
      <w:lvlJc w:val="left"/>
      <w:pPr>
        <w:ind w:left="6272" w:hanging="720"/>
      </w:pPr>
      <w:rPr>
        <w:rFonts w:hint="default"/>
      </w:rPr>
    </w:lvl>
    <w:lvl w:ilvl="6">
      <w:start w:val="0"/>
      <w:numFmt w:val="bullet"/>
      <w:lvlText w:val="•"/>
      <w:lvlJc w:val="left"/>
      <w:pPr>
        <w:ind w:left="7291" w:hanging="720"/>
      </w:pPr>
      <w:rPr>
        <w:rFonts w:hint="default"/>
      </w:rPr>
    </w:lvl>
    <w:lvl w:ilvl="7">
      <w:start w:val="0"/>
      <w:numFmt w:val="bullet"/>
      <w:lvlText w:val="•"/>
      <w:lvlJc w:val="left"/>
      <w:pPr>
        <w:ind w:left="8309" w:hanging="720"/>
      </w:pPr>
      <w:rPr>
        <w:rFonts w:hint="default"/>
      </w:rPr>
    </w:lvl>
    <w:lvl w:ilvl="8">
      <w:start w:val="0"/>
      <w:numFmt w:val="bullet"/>
      <w:lvlText w:val="•"/>
      <w:lvlJc w:val="left"/>
      <w:pPr>
        <w:ind w:left="9328" w:hanging="720"/>
      </w:pPr>
      <w:rPr>
        <w:rFonts w:hint="default"/>
      </w:rPr>
    </w:lvl>
  </w:abstractNum>
  <w:abstractNum w:abstractNumId="237">
    <w:multiLevelType w:val="hybridMultilevel"/>
    <w:lvl w:ilvl="0">
      <w:start w:val="1"/>
      <w:numFmt w:val="decimal"/>
      <w:lvlText w:val="%1"/>
      <w:lvlJc w:val="left"/>
      <w:pPr>
        <w:ind w:left="1160" w:hanging="720"/>
        <w:jc w:val="left"/>
      </w:pPr>
      <w:rPr>
        <w:rFonts w:hint="default"/>
      </w:rPr>
    </w:lvl>
    <w:lvl w:ilvl="1">
      <w:start w:val="1"/>
      <w:numFmt w:val="decimal"/>
      <w:lvlText w:val="%1.%2"/>
      <w:lvlJc w:val="left"/>
      <w:pPr>
        <w:ind w:left="1160"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36">
    <w:multiLevelType w:val="hybridMultilevel"/>
    <w:lvl w:ilvl="0">
      <w:start w:val="1"/>
      <w:numFmt w:val="decimal"/>
      <w:lvlText w:val="%1."/>
      <w:lvlJc w:val="left"/>
      <w:pPr>
        <w:ind w:left="594" w:hanging="720"/>
        <w:jc w:val="left"/>
      </w:pPr>
      <w:rPr>
        <w:rFonts w:hint="default" w:ascii="Verdana" w:hAnsi="Verdana" w:eastAsia="Verdana" w:cs="Verdana"/>
        <w:color w:val="231F20"/>
        <w:spacing w:val="-7"/>
        <w:w w:val="111"/>
        <w:sz w:val="18"/>
        <w:szCs w:val="18"/>
      </w:rPr>
    </w:lvl>
    <w:lvl w:ilvl="1">
      <w:start w:val="1"/>
      <w:numFmt w:val="decimal"/>
      <w:lvlText w:val="%2."/>
      <w:lvlJc w:val="left"/>
      <w:pPr>
        <w:ind w:left="1161" w:hanging="720"/>
        <w:jc w:val="left"/>
      </w:pPr>
      <w:rPr>
        <w:rFonts w:hint="default" w:ascii="Verdana" w:hAnsi="Verdana" w:eastAsia="Verdana" w:cs="Verdana"/>
        <w:color w:val="231F20"/>
        <w:spacing w:val="-7"/>
        <w:w w:val="111"/>
        <w:sz w:val="18"/>
        <w:szCs w:val="18"/>
      </w:rPr>
    </w:lvl>
    <w:lvl w:ilvl="2">
      <w:start w:val="0"/>
      <w:numFmt w:val="bullet"/>
      <w:lvlText w:val="•"/>
      <w:lvlJc w:val="left"/>
      <w:pPr>
        <w:ind w:left="2293" w:hanging="720"/>
      </w:pPr>
      <w:rPr>
        <w:rFonts w:hint="default"/>
      </w:rPr>
    </w:lvl>
    <w:lvl w:ilvl="3">
      <w:start w:val="0"/>
      <w:numFmt w:val="bullet"/>
      <w:lvlText w:val="•"/>
      <w:lvlJc w:val="left"/>
      <w:pPr>
        <w:ind w:left="3427" w:hanging="720"/>
      </w:pPr>
      <w:rPr>
        <w:rFonts w:hint="default"/>
      </w:rPr>
    </w:lvl>
    <w:lvl w:ilvl="4">
      <w:start w:val="0"/>
      <w:numFmt w:val="bullet"/>
      <w:lvlText w:val="•"/>
      <w:lvlJc w:val="left"/>
      <w:pPr>
        <w:ind w:left="4561" w:hanging="720"/>
      </w:pPr>
      <w:rPr>
        <w:rFonts w:hint="default"/>
      </w:rPr>
    </w:lvl>
    <w:lvl w:ilvl="5">
      <w:start w:val="0"/>
      <w:numFmt w:val="bullet"/>
      <w:lvlText w:val="•"/>
      <w:lvlJc w:val="left"/>
      <w:pPr>
        <w:ind w:left="5695" w:hanging="720"/>
      </w:pPr>
      <w:rPr>
        <w:rFonts w:hint="default"/>
      </w:rPr>
    </w:lvl>
    <w:lvl w:ilvl="6">
      <w:start w:val="0"/>
      <w:numFmt w:val="bullet"/>
      <w:lvlText w:val="•"/>
      <w:lvlJc w:val="left"/>
      <w:pPr>
        <w:ind w:left="6829" w:hanging="720"/>
      </w:pPr>
      <w:rPr>
        <w:rFonts w:hint="default"/>
      </w:rPr>
    </w:lvl>
    <w:lvl w:ilvl="7">
      <w:start w:val="0"/>
      <w:numFmt w:val="bullet"/>
      <w:lvlText w:val="•"/>
      <w:lvlJc w:val="left"/>
      <w:pPr>
        <w:ind w:left="7963" w:hanging="720"/>
      </w:pPr>
      <w:rPr>
        <w:rFonts w:hint="default"/>
      </w:rPr>
    </w:lvl>
    <w:lvl w:ilvl="8">
      <w:start w:val="0"/>
      <w:numFmt w:val="bullet"/>
      <w:lvlText w:val="•"/>
      <w:lvlJc w:val="left"/>
      <w:pPr>
        <w:ind w:left="9097" w:hanging="720"/>
      </w:pPr>
      <w:rPr>
        <w:rFonts w:hint="default"/>
      </w:rPr>
    </w:lvl>
  </w:abstractNum>
  <w:abstractNum w:abstractNumId="235">
    <w:multiLevelType w:val="hybridMultilevel"/>
    <w:lvl w:ilvl="0">
      <w:start w:val="1"/>
      <w:numFmt w:val="decimal"/>
      <w:lvlText w:val="%1."/>
      <w:lvlJc w:val="left"/>
      <w:pPr>
        <w:ind w:left="593" w:hanging="720"/>
        <w:jc w:val="right"/>
      </w:pPr>
      <w:rPr>
        <w:rFonts w:hint="default" w:ascii="Verdana" w:hAnsi="Verdana" w:eastAsia="Verdana" w:cs="Verdana"/>
        <w:color w:val="231F20"/>
        <w:spacing w:val="-5"/>
        <w:w w:val="111"/>
        <w:sz w:val="18"/>
        <w:szCs w:val="18"/>
      </w:rPr>
    </w:lvl>
    <w:lvl w:ilvl="1">
      <w:start w:val="0"/>
      <w:numFmt w:val="bullet"/>
      <w:lvlText w:val="•"/>
      <w:lvlJc w:val="left"/>
      <w:pPr>
        <w:ind w:left="1676" w:hanging="720"/>
      </w:pPr>
      <w:rPr>
        <w:rFonts w:hint="default"/>
      </w:rPr>
    </w:lvl>
    <w:lvl w:ilvl="2">
      <w:start w:val="0"/>
      <w:numFmt w:val="bullet"/>
      <w:lvlText w:val="•"/>
      <w:lvlJc w:val="left"/>
      <w:pPr>
        <w:ind w:left="2753" w:hanging="720"/>
      </w:pPr>
      <w:rPr>
        <w:rFonts w:hint="default"/>
      </w:rPr>
    </w:lvl>
    <w:lvl w:ilvl="3">
      <w:start w:val="0"/>
      <w:numFmt w:val="bullet"/>
      <w:lvlText w:val="•"/>
      <w:lvlJc w:val="left"/>
      <w:pPr>
        <w:ind w:left="3829" w:hanging="720"/>
      </w:pPr>
      <w:rPr>
        <w:rFonts w:hint="default"/>
      </w:rPr>
    </w:lvl>
    <w:lvl w:ilvl="4">
      <w:start w:val="0"/>
      <w:numFmt w:val="bullet"/>
      <w:lvlText w:val="•"/>
      <w:lvlJc w:val="left"/>
      <w:pPr>
        <w:ind w:left="4906" w:hanging="720"/>
      </w:pPr>
      <w:rPr>
        <w:rFonts w:hint="default"/>
      </w:rPr>
    </w:lvl>
    <w:lvl w:ilvl="5">
      <w:start w:val="0"/>
      <w:numFmt w:val="bullet"/>
      <w:lvlText w:val="•"/>
      <w:lvlJc w:val="left"/>
      <w:pPr>
        <w:ind w:left="5982" w:hanging="720"/>
      </w:pPr>
      <w:rPr>
        <w:rFonts w:hint="default"/>
      </w:rPr>
    </w:lvl>
    <w:lvl w:ilvl="6">
      <w:start w:val="0"/>
      <w:numFmt w:val="bullet"/>
      <w:lvlText w:val="•"/>
      <w:lvlJc w:val="left"/>
      <w:pPr>
        <w:ind w:left="7059" w:hanging="720"/>
      </w:pPr>
      <w:rPr>
        <w:rFonts w:hint="default"/>
      </w:rPr>
    </w:lvl>
    <w:lvl w:ilvl="7">
      <w:start w:val="0"/>
      <w:numFmt w:val="bullet"/>
      <w:lvlText w:val="•"/>
      <w:lvlJc w:val="left"/>
      <w:pPr>
        <w:ind w:left="8135" w:hanging="720"/>
      </w:pPr>
      <w:rPr>
        <w:rFonts w:hint="default"/>
      </w:rPr>
    </w:lvl>
    <w:lvl w:ilvl="8">
      <w:start w:val="0"/>
      <w:numFmt w:val="bullet"/>
      <w:lvlText w:val="•"/>
      <w:lvlJc w:val="left"/>
      <w:pPr>
        <w:ind w:left="9212" w:hanging="720"/>
      </w:pPr>
      <w:rPr>
        <w:rFonts w:hint="default"/>
      </w:rPr>
    </w:lvl>
  </w:abstractNum>
  <w:abstractNum w:abstractNumId="234">
    <w:multiLevelType w:val="hybridMultilevel"/>
    <w:lvl w:ilvl="0">
      <w:start w:val="5"/>
      <w:numFmt w:val="decimal"/>
      <w:lvlText w:val="%1"/>
      <w:lvlJc w:val="left"/>
      <w:pPr>
        <w:ind w:left="593" w:hanging="681"/>
        <w:jc w:val="left"/>
      </w:pPr>
      <w:rPr>
        <w:rFonts w:hint="default"/>
      </w:rPr>
    </w:lvl>
    <w:lvl w:ilvl="1">
      <w:start w:val="1"/>
      <w:numFmt w:val="decimal"/>
      <w:lvlText w:val="%1.%2"/>
      <w:lvlJc w:val="left"/>
      <w:pPr>
        <w:ind w:left="593" w:hanging="681"/>
        <w:jc w:val="right"/>
      </w:pPr>
      <w:rPr>
        <w:rFonts w:hint="default" w:ascii="Verdana" w:hAnsi="Verdana" w:eastAsia="Verdana" w:cs="Verdana"/>
        <w:color w:val="231F20"/>
        <w:spacing w:val="-8"/>
        <w:w w:val="111"/>
        <w:sz w:val="18"/>
        <w:szCs w:val="18"/>
      </w:rPr>
    </w:lvl>
    <w:lvl w:ilvl="2">
      <w:start w:val="0"/>
      <w:numFmt w:val="bullet"/>
      <w:lvlText w:val="•"/>
      <w:lvlJc w:val="left"/>
      <w:pPr>
        <w:ind w:left="2753" w:hanging="681"/>
      </w:pPr>
      <w:rPr>
        <w:rFonts w:hint="default"/>
      </w:rPr>
    </w:lvl>
    <w:lvl w:ilvl="3">
      <w:start w:val="0"/>
      <w:numFmt w:val="bullet"/>
      <w:lvlText w:val="•"/>
      <w:lvlJc w:val="left"/>
      <w:pPr>
        <w:ind w:left="3829" w:hanging="681"/>
      </w:pPr>
      <w:rPr>
        <w:rFonts w:hint="default"/>
      </w:rPr>
    </w:lvl>
    <w:lvl w:ilvl="4">
      <w:start w:val="0"/>
      <w:numFmt w:val="bullet"/>
      <w:lvlText w:val="•"/>
      <w:lvlJc w:val="left"/>
      <w:pPr>
        <w:ind w:left="4906" w:hanging="681"/>
      </w:pPr>
      <w:rPr>
        <w:rFonts w:hint="default"/>
      </w:rPr>
    </w:lvl>
    <w:lvl w:ilvl="5">
      <w:start w:val="0"/>
      <w:numFmt w:val="bullet"/>
      <w:lvlText w:val="•"/>
      <w:lvlJc w:val="left"/>
      <w:pPr>
        <w:ind w:left="5982" w:hanging="681"/>
      </w:pPr>
      <w:rPr>
        <w:rFonts w:hint="default"/>
      </w:rPr>
    </w:lvl>
    <w:lvl w:ilvl="6">
      <w:start w:val="0"/>
      <w:numFmt w:val="bullet"/>
      <w:lvlText w:val="•"/>
      <w:lvlJc w:val="left"/>
      <w:pPr>
        <w:ind w:left="7059" w:hanging="681"/>
      </w:pPr>
      <w:rPr>
        <w:rFonts w:hint="default"/>
      </w:rPr>
    </w:lvl>
    <w:lvl w:ilvl="7">
      <w:start w:val="0"/>
      <w:numFmt w:val="bullet"/>
      <w:lvlText w:val="•"/>
      <w:lvlJc w:val="left"/>
      <w:pPr>
        <w:ind w:left="8135" w:hanging="681"/>
      </w:pPr>
      <w:rPr>
        <w:rFonts w:hint="default"/>
      </w:rPr>
    </w:lvl>
    <w:lvl w:ilvl="8">
      <w:start w:val="0"/>
      <w:numFmt w:val="bullet"/>
      <w:lvlText w:val="•"/>
      <w:lvlJc w:val="left"/>
      <w:pPr>
        <w:ind w:left="9212" w:hanging="681"/>
      </w:pPr>
      <w:rPr>
        <w:rFonts w:hint="default"/>
      </w:rPr>
    </w:lvl>
  </w:abstractNum>
  <w:abstractNum w:abstractNumId="233">
    <w:multiLevelType w:val="hybridMultilevel"/>
    <w:lvl w:ilvl="0">
      <w:start w:val="4"/>
      <w:numFmt w:val="decimal"/>
      <w:lvlText w:val="%1"/>
      <w:lvlJc w:val="left"/>
      <w:pPr>
        <w:ind w:left="593" w:hanging="720"/>
        <w:jc w:val="left"/>
      </w:pPr>
      <w:rPr>
        <w:rFonts w:hint="default"/>
      </w:rPr>
    </w:lvl>
    <w:lvl w:ilvl="1">
      <w:start w:val="1"/>
      <w:numFmt w:val="decimal"/>
      <w:lvlText w:val="%1.%2"/>
      <w:lvlJc w:val="left"/>
      <w:pPr>
        <w:ind w:left="59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753" w:hanging="720"/>
      </w:pPr>
      <w:rPr>
        <w:rFonts w:hint="default"/>
      </w:rPr>
    </w:lvl>
    <w:lvl w:ilvl="3">
      <w:start w:val="0"/>
      <w:numFmt w:val="bullet"/>
      <w:lvlText w:val="•"/>
      <w:lvlJc w:val="left"/>
      <w:pPr>
        <w:ind w:left="3829" w:hanging="720"/>
      </w:pPr>
      <w:rPr>
        <w:rFonts w:hint="default"/>
      </w:rPr>
    </w:lvl>
    <w:lvl w:ilvl="4">
      <w:start w:val="0"/>
      <w:numFmt w:val="bullet"/>
      <w:lvlText w:val="•"/>
      <w:lvlJc w:val="left"/>
      <w:pPr>
        <w:ind w:left="4906" w:hanging="720"/>
      </w:pPr>
      <w:rPr>
        <w:rFonts w:hint="default"/>
      </w:rPr>
    </w:lvl>
    <w:lvl w:ilvl="5">
      <w:start w:val="0"/>
      <w:numFmt w:val="bullet"/>
      <w:lvlText w:val="•"/>
      <w:lvlJc w:val="left"/>
      <w:pPr>
        <w:ind w:left="5982" w:hanging="720"/>
      </w:pPr>
      <w:rPr>
        <w:rFonts w:hint="default"/>
      </w:rPr>
    </w:lvl>
    <w:lvl w:ilvl="6">
      <w:start w:val="0"/>
      <w:numFmt w:val="bullet"/>
      <w:lvlText w:val="•"/>
      <w:lvlJc w:val="left"/>
      <w:pPr>
        <w:ind w:left="7059" w:hanging="720"/>
      </w:pPr>
      <w:rPr>
        <w:rFonts w:hint="default"/>
      </w:rPr>
    </w:lvl>
    <w:lvl w:ilvl="7">
      <w:start w:val="0"/>
      <w:numFmt w:val="bullet"/>
      <w:lvlText w:val="•"/>
      <w:lvlJc w:val="left"/>
      <w:pPr>
        <w:ind w:left="8135" w:hanging="720"/>
      </w:pPr>
      <w:rPr>
        <w:rFonts w:hint="default"/>
      </w:rPr>
    </w:lvl>
    <w:lvl w:ilvl="8">
      <w:start w:val="0"/>
      <w:numFmt w:val="bullet"/>
      <w:lvlText w:val="•"/>
      <w:lvlJc w:val="left"/>
      <w:pPr>
        <w:ind w:left="9212" w:hanging="720"/>
      </w:pPr>
      <w:rPr>
        <w:rFonts w:hint="default"/>
      </w:rPr>
    </w:lvl>
  </w:abstractNum>
  <w:abstractNum w:abstractNumId="232">
    <w:multiLevelType w:val="hybridMultilevel"/>
    <w:lvl w:ilvl="0">
      <w:start w:val="3"/>
      <w:numFmt w:val="decimal"/>
      <w:lvlText w:val="%1"/>
      <w:lvlJc w:val="left"/>
      <w:pPr>
        <w:ind w:left="1160" w:hanging="720"/>
        <w:jc w:val="left"/>
      </w:pPr>
      <w:rPr>
        <w:rFonts w:hint="default"/>
      </w:rPr>
    </w:lvl>
    <w:lvl w:ilvl="1">
      <w:start w:val="1"/>
      <w:numFmt w:val="decimal"/>
      <w:lvlText w:val="%1.%2"/>
      <w:lvlJc w:val="left"/>
      <w:pPr>
        <w:ind w:left="1160"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31">
    <w:multiLevelType w:val="hybridMultilevel"/>
    <w:lvl w:ilvl="0">
      <w:start w:val="2"/>
      <w:numFmt w:val="decimal"/>
      <w:lvlText w:val="%1"/>
      <w:lvlJc w:val="left"/>
      <w:pPr>
        <w:ind w:left="1160" w:hanging="720"/>
        <w:jc w:val="left"/>
      </w:pPr>
      <w:rPr>
        <w:rFonts w:hint="default"/>
      </w:rPr>
    </w:lvl>
    <w:lvl w:ilvl="1">
      <w:start w:val="1"/>
      <w:numFmt w:val="decimal"/>
      <w:lvlText w:val="%1.%2"/>
      <w:lvlJc w:val="left"/>
      <w:pPr>
        <w:ind w:left="116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30">
    <w:multiLevelType w:val="hybridMultilevel"/>
    <w:lvl w:ilvl="0">
      <w:start w:val="1"/>
      <w:numFmt w:val="decimal"/>
      <w:lvlText w:val="%1"/>
      <w:lvlJc w:val="left"/>
      <w:pPr>
        <w:ind w:left="1160" w:hanging="720"/>
        <w:jc w:val="left"/>
      </w:pPr>
      <w:rPr>
        <w:rFonts w:hint="default"/>
      </w:rPr>
    </w:lvl>
    <w:lvl w:ilvl="1">
      <w:start w:val="1"/>
      <w:numFmt w:val="decimal"/>
      <w:lvlText w:val="%1.%2"/>
      <w:lvlJc w:val="left"/>
      <w:pPr>
        <w:ind w:left="116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29">
    <w:multiLevelType w:val="hybridMultilevel"/>
    <w:lvl w:ilvl="0">
      <w:start w:val="1"/>
      <w:numFmt w:val="decimal"/>
      <w:lvlText w:val="%1"/>
      <w:lvlJc w:val="left"/>
      <w:pPr>
        <w:ind w:left="1160" w:hanging="720"/>
        <w:jc w:val="left"/>
      </w:pPr>
      <w:rPr>
        <w:rFonts w:hint="default"/>
      </w:rPr>
    </w:lvl>
    <w:lvl w:ilvl="1">
      <w:start w:val="1"/>
      <w:numFmt w:val="decimal"/>
      <w:lvlText w:val="%1.%2"/>
      <w:lvlJc w:val="left"/>
      <w:pPr>
        <w:ind w:left="116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01" w:hanging="720"/>
      </w:pPr>
      <w:rPr>
        <w:rFonts w:hint="default"/>
      </w:rPr>
    </w:lvl>
    <w:lvl w:ilvl="3">
      <w:start w:val="0"/>
      <w:numFmt w:val="bullet"/>
      <w:lvlText w:val="•"/>
      <w:lvlJc w:val="left"/>
      <w:pPr>
        <w:ind w:left="4221" w:hanging="720"/>
      </w:pPr>
      <w:rPr>
        <w:rFonts w:hint="default"/>
      </w:rPr>
    </w:lvl>
    <w:lvl w:ilvl="4">
      <w:start w:val="0"/>
      <w:numFmt w:val="bullet"/>
      <w:lvlText w:val="•"/>
      <w:lvlJc w:val="left"/>
      <w:pPr>
        <w:ind w:left="5242"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83" w:hanging="720"/>
      </w:pPr>
      <w:rPr>
        <w:rFonts w:hint="default"/>
      </w:rPr>
    </w:lvl>
    <w:lvl w:ilvl="7">
      <w:start w:val="0"/>
      <w:numFmt w:val="bullet"/>
      <w:lvlText w:val="•"/>
      <w:lvlJc w:val="left"/>
      <w:pPr>
        <w:ind w:left="8303" w:hanging="720"/>
      </w:pPr>
      <w:rPr>
        <w:rFonts w:hint="default"/>
      </w:rPr>
    </w:lvl>
    <w:lvl w:ilvl="8">
      <w:start w:val="0"/>
      <w:numFmt w:val="bullet"/>
      <w:lvlText w:val="•"/>
      <w:lvlJc w:val="left"/>
      <w:pPr>
        <w:ind w:left="9324" w:hanging="720"/>
      </w:pPr>
      <w:rPr>
        <w:rFonts w:hint="default"/>
      </w:rPr>
    </w:lvl>
  </w:abstractNum>
  <w:abstractNum w:abstractNumId="228">
    <w:multiLevelType w:val="hybridMultilevel"/>
    <w:lvl w:ilvl="0">
      <w:start w:val="7"/>
      <w:numFmt w:val="decimal"/>
      <w:lvlText w:val="%1."/>
      <w:lvlJc w:val="left"/>
      <w:pPr>
        <w:ind w:left="1160" w:hanging="765"/>
        <w:jc w:val="right"/>
      </w:pPr>
      <w:rPr>
        <w:rFonts w:hint="default" w:ascii="Verdana" w:hAnsi="Verdana" w:eastAsia="Verdana" w:cs="Verdana"/>
        <w:color w:val="231F20"/>
        <w:spacing w:val="-25"/>
        <w:w w:val="111"/>
        <w:sz w:val="18"/>
        <w:szCs w:val="18"/>
      </w:rPr>
    </w:lvl>
    <w:lvl w:ilvl="1">
      <w:start w:val="0"/>
      <w:numFmt w:val="bullet"/>
      <w:lvlText w:val="•"/>
      <w:lvlJc w:val="left"/>
      <w:pPr>
        <w:ind w:left="2180" w:hanging="765"/>
      </w:pPr>
      <w:rPr>
        <w:rFonts w:hint="default"/>
      </w:rPr>
    </w:lvl>
    <w:lvl w:ilvl="2">
      <w:start w:val="0"/>
      <w:numFmt w:val="bullet"/>
      <w:lvlText w:val="•"/>
      <w:lvlJc w:val="left"/>
      <w:pPr>
        <w:ind w:left="3201" w:hanging="765"/>
      </w:pPr>
      <w:rPr>
        <w:rFonts w:hint="default"/>
      </w:rPr>
    </w:lvl>
    <w:lvl w:ilvl="3">
      <w:start w:val="0"/>
      <w:numFmt w:val="bullet"/>
      <w:lvlText w:val="•"/>
      <w:lvlJc w:val="left"/>
      <w:pPr>
        <w:ind w:left="4221" w:hanging="765"/>
      </w:pPr>
      <w:rPr>
        <w:rFonts w:hint="default"/>
      </w:rPr>
    </w:lvl>
    <w:lvl w:ilvl="4">
      <w:start w:val="0"/>
      <w:numFmt w:val="bullet"/>
      <w:lvlText w:val="•"/>
      <w:lvlJc w:val="left"/>
      <w:pPr>
        <w:ind w:left="5242" w:hanging="765"/>
      </w:pPr>
      <w:rPr>
        <w:rFonts w:hint="default"/>
      </w:rPr>
    </w:lvl>
    <w:lvl w:ilvl="5">
      <w:start w:val="0"/>
      <w:numFmt w:val="bullet"/>
      <w:lvlText w:val="•"/>
      <w:lvlJc w:val="left"/>
      <w:pPr>
        <w:ind w:left="6262" w:hanging="765"/>
      </w:pPr>
      <w:rPr>
        <w:rFonts w:hint="default"/>
      </w:rPr>
    </w:lvl>
    <w:lvl w:ilvl="6">
      <w:start w:val="0"/>
      <w:numFmt w:val="bullet"/>
      <w:lvlText w:val="•"/>
      <w:lvlJc w:val="left"/>
      <w:pPr>
        <w:ind w:left="7283" w:hanging="765"/>
      </w:pPr>
      <w:rPr>
        <w:rFonts w:hint="default"/>
      </w:rPr>
    </w:lvl>
    <w:lvl w:ilvl="7">
      <w:start w:val="0"/>
      <w:numFmt w:val="bullet"/>
      <w:lvlText w:val="•"/>
      <w:lvlJc w:val="left"/>
      <w:pPr>
        <w:ind w:left="8303" w:hanging="765"/>
      </w:pPr>
      <w:rPr>
        <w:rFonts w:hint="default"/>
      </w:rPr>
    </w:lvl>
    <w:lvl w:ilvl="8">
      <w:start w:val="0"/>
      <w:numFmt w:val="bullet"/>
      <w:lvlText w:val="•"/>
      <w:lvlJc w:val="left"/>
      <w:pPr>
        <w:ind w:left="9324" w:hanging="765"/>
      </w:pPr>
      <w:rPr>
        <w:rFonts w:hint="default"/>
      </w:rPr>
    </w:lvl>
  </w:abstractNum>
  <w:abstractNum w:abstractNumId="227">
    <w:multiLevelType w:val="hybridMultilevel"/>
    <w:lvl w:ilvl="0">
      <w:start w:val="6"/>
      <w:numFmt w:val="decimal"/>
      <w:lvlText w:val="%1"/>
      <w:lvlJc w:val="left"/>
      <w:pPr>
        <w:ind w:left="1160" w:hanging="765"/>
        <w:jc w:val="left"/>
      </w:pPr>
      <w:rPr>
        <w:rFonts w:hint="default"/>
      </w:rPr>
    </w:lvl>
    <w:lvl w:ilvl="1">
      <w:start w:val="1"/>
      <w:numFmt w:val="decimal"/>
      <w:lvlText w:val="%1.%2"/>
      <w:lvlJc w:val="left"/>
      <w:pPr>
        <w:ind w:left="1160" w:hanging="765"/>
        <w:jc w:val="left"/>
      </w:pPr>
      <w:rPr>
        <w:rFonts w:hint="default" w:ascii="Verdana" w:hAnsi="Verdana" w:eastAsia="Verdana" w:cs="Verdana"/>
        <w:color w:val="231F20"/>
        <w:spacing w:val="-8"/>
        <w:w w:val="111"/>
        <w:sz w:val="18"/>
        <w:szCs w:val="18"/>
      </w:rPr>
    </w:lvl>
    <w:lvl w:ilvl="2">
      <w:start w:val="0"/>
      <w:numFmt w:val="bullet"/>
      <w:lvlText w:val="•"/>
      <w:lvlJc w:val="left"/>
      <w:pPr>
        <w:ind w:left="3201" w:hanging="765"/>
      </w:pPr>
      <w:rPr>
        <w:rFonts w:hint="default"/>
      </w:rPr>
    </w:lvl>
    <w:lvl w:ilvl="3">
      <w:start w:val="0"/>
      <w:numFmt w:val="bullet"/>
      <w:lvlText w:val="•"/>
      <w:lvlJc w:val="left"/>
      <w:pPr>
        <w:ind w:left="4221" w:hanging="765"/>
      </w:pPr>
      <w:rPr>
        <w:rFonts w:hint="default"/>
      </w:rPr>
    </w:lvl>
    <w:lvl w:ilvl="4">
      <w:start w:val="0"/>
      <w:numFmt w:val="bullet"/>
      <w:lvlText w:val="•"/>
      <w:lvlJc w:val="left"/>
      <w:pPr>
        <w:ind w:left="5242" w:hanging="765"/>
      </w:pPr>
      <w:rPr>
        <w:rFonts w:hint="default"/>
      </w:rPr>
    </w:lvl>
    <w:lvl w:ilvl="5">
      <w:start w:val="0"/>
      <w:numFmt w:val="bullet"/>
      <w:lvlText w:val="•"/>
      <w:lvlJc w:val="left"/>
      <w:pPr>
        <w:ind w:left="6262" w:hanging="765"/>
      </w:pPr>
      <w:rPr>
        <w:rFonts w:hint="default"/>
      </w:rPr>
    </w:lvl>
    <w:lvl w:ilvl="6">
      <w:start w:val="0"/>
      <w:numFmt w:val="bullet"/>
      <w:lvlText w:val="•"/>
      <w:lvlJc w:val="left"/>
      <w:pPr>
        <w:ind w:left="7283" w:hanging="765"/>
      </w:pPr>
      <w:rPr>
        <w:rFonts w:hint="default"/>
      </w:rPr>
    </w:lvl>
    <w:lvl w:ilvl="7">
      <w:start w:val="0"/>
      <w:numFmt w:val="bullet"/>
      <w:lvlText w:val="•"/>
      <w:lvlJc w:val="left"/>
      <w:pPr>
        <w:ind w:left="8303" w:hanging="765"/>
      </w:pPr>
      <w:rPr>
        <w:rFonts w:hint="default"/>
      </w:rPr>
    </w:lvl>
    <w:lvl w:ilvl="8">
      <w:start w:val="0"/>
      <w:numFmt w:val="bullet"/>
      <w:lvlText w:val="•"/>
      <w:lvlJc w:val="left"/>
      <w:pPr>
        <w:ind w:left="9324" w:hanging="765"/>
      </w:pPr>
      <w:rPr>
        <w:rFonts w:hint="default"/>
      </w:rPr>
    </w:lvl>
  </w:abstractNum>
  <w:abstractNum w:abstractNumId="226">
    <w:multiLevelType w:val="hybridMultilevel"/>
    <w:lvl w:ilvl="0">
      <w:start w:val="3"/>
      <w:numFmt w:val="decimal"/>
      <w:lvlText w:val="%1."/>
      <w:lvlJc w:val="left"/>
      <w:pPr>
        <w:ind w:left="593" w:hanging="780"/>
        <w:jc w:val="right"/>
      </w:pPr>
      <w:rPr>
        <w:rFonts w:hint="default" w:ascii="Verdana" w:hAnsi="Verdana" w:eastAsia="Verdana" w:cs="Verdana"/>
        <w:color w:val="231F20"/>
        <w:spacing w:val="-4"/>
        <w:w w:val="111"/>
        <w:sz w:val="18"/>
        <w:szCs w:val="18"/>
      </w:rPr>
    </w:lvl>
    <w:lvl w:ilvl="1">
      <w:start w:val="0"/>
      <w:numFmt w:val="bullet"/>
      <w:lvlText w:val="•"/>
      <w:lvlJc w:val="left"/>
      <w:pPr>
        <w:ind w:left="1676" w:hanging="780"/>
      </w:pPr>
      <w:rPr>
        <w:rFonts w:hint="default"/>
      </w:rPr>
    </w:lvl>
    <w:lvl w:ilvl="2">
      <w:start w:val="0"/>
      <w:numFmt w:val="bullet"/>
      <w:lvlText w:val="•"/>
      <w:lvlJc w:val="left"/>
      <w:pPr>
        <w:ind w:left="2753" w:hanging="780"/>
      </w:pPr>
      <w:rPr>
        <w:rFonts w:hint="default"/>
      </w:rPr>
    </w:lvl>
    <w:lvl w:ilvl="3">
      <w:start w:val="0"/>
      <w:numFmt w:val="bullet"/>
      <w:lvlText w:val="•"/>
      <w:lvlJc w:val="left"/>
      <w:pPr>
        <w:ind w:left="3829" w:hanging="780"/>
      </w:pPr>
      <w:rPr>
        <w:rFonts w:hint="default"/>
      </w:rPr>
    </w:lvl>
    <w:lvl w:ilvl="4">
      <w:start w:val="0"/>
      <w:numFmt w:val="bullet"/>
      <w:lvlText w:val="•"/>
      <w:lvlJc w:val="left"/>
      <w:pPr>
        <w:ind w:left="4906" w:hanging="780"/>
      </w:pPr>
      <w:rPr>
        <w:rFonts w:hint="default"/>
      </w:rPr>
    </w:lvl>
    <w:lvl w:ilvl="5">
      <w:start w:val="0"/>
      <w:numFmt w:val="bullet"/>
      <w:lvlText w:val="•"/>
      <w:lvlJc w:val="left"/>
      <w:pPr>
        <w:ind w:left="5982" w:hanging="780"/>
      </w:pPr>
      <w:rPr>
        <w:rFonts w:hint="default"/>
      </w:rPr>
    </w:lvl>
    <w:lvl w:ilvl="6">
      <w:start w:val="0"/>
      <w:numFmt w:val="bullet"/>
      <w:lvlText w:val="•"/>
      <w:lvlJc w:val="left"/>
      <w:pPr>
        <w:ind w:left="7059" w:hanging="780"/>
      </w:pPr>
      <w:rPr>
        <w:rFonts w:hint="default"/>
      </w:rPr>
    </w:lvl>
    <w:lvl w:ilvl="7">
      <w:start w:val="0"/>
      <w:numFmt w:val="bullet"/>
      <w:lvlText w:val="•"/>
      <w:lvlJc w:val="left"/>
      <w:pPr>
        <w:ind w:left="8135" w:hanging="780"/>
      </w:pPr>
      <w:rPr>
        <w:rFonts w:hint="default"/>
      </w:rPr>
    </w:lvl>
    <w:lvl w:ilvl="8">
      <w:start w:val="0"/>
      <w:numFmt w:val="bullet"/>
      <w:lvlText w:val="•"/>
      <w:lvlJc w:val="left"/>
      <w:pPr>
        <w:ind w:left="9212" w:hanging="780"/>
      </w:pPr>
      <w:rPr>
        <w:rFonts w:hint="default"/>
      </w:rPr>
    </w:lvl>
  </w:abstractNum>
  <w:abstractNum w:abstractNumId="225">
    <w:multiLevelType w:val="hybridMultilevel"/>
    <w:lvl w:ilvl="0">
      <w:start w:val="2"/>
      <w:numFmt w:val="decimal"/>
      <w:lvlText w:val="%1"/>
      <w:lvlJc w:val="left"/>
      <w:pPr>
        <w:ind w:left="1880" w:hanging="720"/>
        <w:jc w:val="left"/>
      </w:pPr>
      <w:rPr>
        <w:rFonts w:hint="default"/>
      </w:rPr>
    </w:lvl>
    <w:lvl w:ilvl="1">
      <w:start w:val="1"/>
      <w:numFmt w:val="decimal"/>
      <w:lvlText w:val="%1.%2"/>
      <w:lvlJc w:val="left"/>
      <w:pPr>
        <w:ind w:left="1880" w:hanging="720"/>
        <w:jc w:val="right"/>
      </w:pPr>
      <w:rPr>
        <w:rFonts w:hint="default" w:ascii="Verdana" w:hAnsi="Verdana" w:eastAsia="Verdana" w:cs="Verdana"/>
        <w:color w:val="231F20"/>
        <w:spacing w:val="-6"/>
        <w:w w:val="111"/>
        <w:sz w:val="18"/>
        <w:szCs w:val="18"/>
      </w:rPr>
    </w:lvl>
    <w:lvl w:ilvl="2">
      <w:start w:val="0"/>
      <w:numFmt w:val="bullet"/>
      <w:lvlText w:val="•"/>
      <w:lvlJc w:val="left"/>
      <w:pPr>
        <w:ind w:left="3777" w:hanging="720"/>
      </w:pPr>
      <w:rPr>
        <w:rFonts w:hint="default"/>
      </w:rPr>
    </w:lvl>
    <w:lvl w:ilvl="3">
      <w:start w:val="0"/>
      <w:numFmt w:val="bullet"/>
      <w:lvlText w:val="•"/>
      <w:lvlJc w:val="left"/>
      <w:pPr>
        <w:ind w:left="4725" w:hanging="720"/>
      </w:pPr>
      <w:rPr>
        <w:rFonts w:hint="default"/>
      </w:rPr>
    </w:lvl>
    <w:lvl w:ilvl="4">
      <w:start w:val="0"/>
      <w:numFmt w:val="bullet"/>
      <w:lvlText w:val="•"/>
      <w:lvlJc w:val="left"/>
      <w:pPr>
        <w:ind w:left="5674" w:hanging="720"/>
      </w:pPr>
      <w:rPr>
        <w:rFonts w:hint="default"/>
      </w:rPr>
    </w:lvl>
    <w:lvl w:ilvl="5">
      <w:start w:val="0"/>
      <w:numFmt w:val="bullet"/>
      <w:lvlText w:val="•"/>
      <w:lvlJc w:val="left"/>
      <w:pPr>
        <w:ind w:left="6622" w:hanging="720"/>
      </w:pPr>
      <w:rPr>
        <w:rFonts w:hint="default"/>
      </w:rPr>
    </w:lvl>
    <w:lvl w:ilvl="6">
      <w:start w:val="0"/>
      <w:numFmt w:val="bullet"/>
      <w:lvlText w:val="•"/>
      <w:lvlJc w:val="left"/>
      <w:pPr>
        <w:ind w:left="7571" w:hanging="720"/>
      </w:pPr>
      <w:rPr>
        <w:rFonts w:hint="default"/>
      </w:rPr>
    </w:lvl>
    <w:lvl w:ilvl="7">
      <w:start w:val="0"/>
      <w:numFmt w:val="bullet"/>
      <w:lvlText w:val="•"/>
      <w:lvlJc w:val="left"/>
      <w:pPr>
        <w:ind w:left="8519" w:hanging="720"/>
      </w:pPr>
      <w:rPr>
        <w:rFonts w:hint="default"/>
      </w:rPr>
    </w:lvl>
    <w:lvl w:ilvl="8">
      <w:start w:val="0"/>
      <w:numFmt w:val="bullet"/>
      <w:lvlText w:val="•"/>
      <w:lvlJc w:val="left"/>
      <w:pPr>
        <w:ind w:left="9468" w:hanging="720"/>
      </w:pPr>
      <w:rPr>
        <w:rFonts w:hint="default"/>
      </w:rPr>
    </w:lvl>
  </w:abstractNum>
  <w:abstractNum w:abstractNumId="224">
    <w:multiLevelType w:val="hybridMultilevel"/>
    <w:lvl w:ilvl="0">
      <w:start w:val="1"/>
      <w:numFmt w:val="decimal"/>
      <w:lvlText w:val="%1"/>
      <w:lvlJc w:val="left"/>
      <w:pPr>
        <w:ind w:left="1161" w:hanging="780"/>
        <w:jc w:val="left"/>
      </w:pPr>
      <w:rPr>
        <w:rFonts w:hint="default"/>
      </w:rPr>
    </w:lvl>
    <w:lvl w:ilvl="1">
      <w:start w:val="1"/>
      <w:numFmt w:val="decimal"/>
      <w:lvlText w:val="%1.%2"/>
      <w:lvlJc w:val="left"/>
      <w:pPr>
        <w:ind w:left="1161" w:hanging="780"/>
        <w:jc w:val="left"/>
      </w:pPr>
      <w:rPr>
        <w:rFonts w:hint="default" w:ascii="Verdana" w:hAnsi="Verdana" w:eastAsia="Verdana" w:cs="Verdana"/>
        <w:color w:val="231F20"/>
        <w:spacing w:val="-6"/>
        <w:w w:val="111"/>
        <w:sz w:val="18"/>
        <w:szCs w:val="18"/>
      </w:rPr>
    </w:lvl>
    <w:lvl w:ilvl="2">
      <w:start w:val="0"/>
      <w:numFmt w:val="bullet"/>
      <w:lvlText w:val="•"/>
      <w:lvlJc w:val="left"/>
      <w:pPr>
        <w:ind w:left="3201" w:hanging="780"/>
      </w:pPr>
      <w:rPr>
        <w:rFonts w:hint="default"/>
      </w:rPr>
    </w:lvl>
    <w:lvl w:ilvl="3">
      <w:start w:val="0"/>
      <w:numFmt w:val="bullet"/>
      <w:lvlText w:val="•"/>
      <w:lvlJc w:val="left"/>
      <w:pPr>
        <w:ind w:left="4221" w:hanging="780"/>
      </w:pPr>
      <w:rPr>
        <w:rFonts w:hint="default"/>
      </w:rPr>
    </w:lvl>
    <w:lvl w:ilvl="4">
      <w:start w:val="0"/>
      <w:numFmt w:val="bullet"/>
      <w:lvlText w:val="•"/>
      <w:lvlJc w:val="left"/>
      <w:pPr>
        <w:ind w:left="5242" w:hanging="780"/>
      </w:pPr>
      <w:rPr>
        <w:rFonts w:hint="default"/>
      </w:rPr>
    </w:lvl>
    <w:lvl w:ilvl="5">
      <w:start w:val="0"/>
      <w:numFmt w:val="bullet"/>
      <w:lvlText w:val="•"/>
      <w:lvlJc w:val="left"/>
      <w:pPr>
        <w:ind w:left="6262" w:hanging="780"/>
      </w:pPr>
      <w:rPr>
        <w:rFonts w:hint="default"/>
      </w:rPr>
    </w:lvl>
    <w:lvl w:ilvl="6">
      <w:start w:val="0"/>
      <w:numFmt w:val="bullet"/>
      <w:lvlText w:val="•"/>
      <w:lvlJc w:val="left"/>
      <w:pPr>
        <w:ind w:left="7283" w:hanging="780"/>
      </w:pPr>
      <w:rPr>
        <w:rFonts w:hint="default"/>
      </w:rPr>
    </w:lvl>
    <w:lvl w:ilvl="7">
      <w:start w:val="0"/>
      <w:numFmt w:val="bullet"/>
      <w:lvlText w:val="•"/>
      <w:lvlJc w:val="left"/>
      <w:pPr>
        <w:ind w:left="8303" w:hanging="780"/>
      </w:pPr>
      <w:rPr>
        <w:rFonts w:hint="default"/>
      </w:rPr>
    </w:lvl>
    <w:lvl w:ilvl="8">
      <w:start w:val="0"/>
      <w:numFmt w:val="bullet"/>
      <w:lvlText w:val="•"/>
      <w:lvlJc w:val="left"/>
      <w:pPr>
        <w:ind w:left="9324" w:hanging="780"/>
      </w:pPr>
      <w:rPr>
        <w:rFonts w:hint="default"/>
      </w:rPr>
    </w:lvl>
  </w:abstractNum>
  <w:abstractNum w:abstractNumId="223">
    <w:multiLevelType w:val="hybridMultilevel"/>
    <w:lvl w:ilvl="0">
      <w:start w:val="1"/>
      <w:numFmt w:val="lowerRoman"/>
      <w:lvlText w:val="(%1)"/>
      <w:lvlJc w:val="left"/>
      <w:pPr>
        <w:ind w:left="1614" w:hanging="454"/>
        <w:jc w:val="left"/>
      </w:pPr>
      <w:rPr>
        <w:rFonts w:hint="default" w:ascii="Verdana" w:hAnsi="Verdana" w:eastAsia="Verdana" w:cs="Verdana"/>
        <w:color w:val="231F20"/>
        <w:spacing w:val="-5"/>
        <w:w w:val="110"/>
        <w:sz w:val="18"/>
        <w:szCs w:val="18"/>
      </w:rPr>
    </w:lvl>
    <w:lvl w:ilvl="1">
      <w:start w:val="0"/>
      <w:numFmt w:val="bullet"/>
      <w:lvlText w:val="•"/>
      <w:lvlJc w:val="left"/>
      <w:pPr>
        <w:ind w:left="2594" w:hanging="454"/>
      </w:pPr>
      <w:rPr>
        <w:rFonts w:hint="default"/>
      </w:rPr>
    </w:lvl>
    <w:lvl w:ilvl="2">
      <w:start w:val="0"/>
      <w:numFmt w:val="bullet"/>
      <w:lvlText w:val="•"/>
      <w:lvlJc w:val="left"/>
      <w:pPr>
        <w:ind w:left="3569" w:hanging="454"/>
      </w:pPr>
      <w:rPr>
        <w:rFonts w:hint="default"/>
      </w:rPr>
    </w:lvl>
    <w:lvl w:ilvl="3">
      <w:start w:val="0"/>
      <w:numFmt w:val="bullet"/>
      <w:lvlText w:val="•"/>
      <w:lvlJc w:val="left"/>
      <w:pPr>
        <w:ind w:left="4543" w:hanging="454"/>
      </w:pPr>
      <w:rPr>
        <w:rFonts w:hint="default"/>
      </w:rPr>
    </w:lvl>
    <w:lvl w:ilvl="4">
      <w:start w:val="0"/>
      <w:numFmt w:val="bullet"/>
      <w:lvlText w:val="•"/>
      <w:lvlJc w:val="left"/>
      <w:pPr>
        <w:ind w:left="5518" w:hanging="454"/>
      </w:pPr>
      <w:rPr>
        <w:rFonts w:hint="default"/>
      </w:rPr>
    </w:lvl>
    <w:lvl w:ilvl="5">
      <w:start w:val="0"/>
      <w:numFmt w:val="bullet"/>
      <w:lvlText w:val="•"/>
      <w:lvlJc w:val="left"/>
      <w:pPr>
        <w:ind w:left="6492" w:hanging="454"/>
      </w:pPr>
      <w:rPr>
        <w:rFonts w:hint="default"/>
      </w:rPr>
    </w:lvl>
    <w:lvl w:ilvl="6">
      <w:start w:val="0"/>
      <w:numFmt w:val="bullet"/>
      <w:lvlText w:val="•"/>
      <w:lvlJc w:val="left"/>
      <w:pPr>
        <w:ind w:left="7467" w:hanging="454"/>
      </w:pPr>
      <w:rPr>
        <w:rFonts w:hint="default"/>
      </w:rPr>
    </w:lvl>
    <w:lvl w:ilvl="7">
      <w:start w:val="0"/>
      <w:numFmt w:val="bullet"/>
      <w:lvlText w:val="•"/>
      <w:lvlJc w:val="left"/>
      <w:pPr>
        <w:ind w:left="8441" w:hanging="454"/>
      </w:pPr>
      <w:rPr>
        <w:rFonts w:hint="default"/>
      </w:rPr>
    </w:lvl>
    <w:lvl w:ilvl="8">
      <w:start w:val="0"/>
      <w:numFmt w:val="bullet"/>
      <w:lvlText w:val="•"/>
      <w:lvlJc w:val="left"/>
      <w:pPr>
        <w:ind w:left="9416" w:hanging="454"/>
      </w:pPr>
      <w:rPr>
        <w:rFonts w:hint="default"/>
      </w:rPr>
    </w:lvl>
  </w:abstractNum>
  <w:abstractNum w:abstractNumId="222">
    <w:multiLevelType w:val="hybridMultilevel"/>
    <w:lvl w:ilvl="0">
      <w:start w:val="1"/>
      <w:numFmt w:val="lowerRoman"/>
      <w:lvlText w:val="(%1)"/>
      <w:lvlJc w:val="left"/>
      <w:pPr>
        <w:ind w:left="1047" w:hanging="454"/>
        <w:jc w:val="left"/>
      </w:pPr>
      <w:rPr>
        <w:rFonts w:hint="default" w:ascii="Verdana" w:hAnsi="Verdana" w:eastAsia="Verdana" w:cs="Verdana"/>
        <w:color w:val="231F20"/>
        <w:spacing w:val="-5"/>
        <w:w w:val="110"/>
        <w:sz w:val="18"/>
        <w:szCs w:val="18"/>
      </w:rPr>
    </w:lvl>
    <w:lvl w:ilvl="1">
      <w:start w:val="0"/>
      <w:numFmt w:val="bullet"/>
      <w:lvlText w:val="•"/>
      <w:lvlJc w:val="left"/>
      <w:pPr>
        <w:ind w:left="2072" w:hanging="454"/>
      </w:pPr>
      <w:rPr>
        <w:rFonts w:hint="default"/>
      </w:rPr>
    </w:lvl>
    <w:lvl w:ilvl="2">
      <w:start w:val="0"/>
      <w:numFmt w:val="bullet"/>
      <w:lvlText w:val="•"/>
      <w:lvlJc w:val="left"/>
      <w:pPr>
        <w:ind w:left="3105" w:hanging="454"/>
      </w:pPr>
      <w:rPr>
        <w:rFonts w:hint="default"/>
      </w:rPr>
    </w:lvl>
    <w:lvl w:ilvl="3">
      <w:start w:val="0"/>
      <w:numFmt w:val="bullet"/>
      <w:lvlText w:val="•"/>
      <w:lvlJc w:val="left"/>
      <w:pPr>
        <w:ind w:left="4137" w:hanging="454"/>
      </w:pPr>
      <w:rPr>
        <w:rFonts w:hint="default"/>
      </w:rPr>
    </w:lvl>
    <w:lvl w:ilvl="4">
      <w:start w:val="0"/>
      <w:numFmt w:val="bullet"/>
      <w:lvlText w:val="•"/>
      <w:lvlJc w:val="left"/>
      <w:pPr>
        <w:ind w:left="5170" w:hanging="454"/>
      </w:pPr>
      <w:rPr>
        <w:rFonts w:hint="default"/>
      </w:rPr>
    </w:lvl>
    <w:lvl w:ilvl="5">
      <w:start w:val="0"/>
      <w:numFmt w:val="bullet"/>
      <w:lvlText w:val="•"/>
      <w:lvlJc w:val="left"/>
      <w:pPr>
        <w:ind w:left="6202" w:hanging="454"/>
      </w:pPr>
      <w:rPr>
        <w:rFonts w:hint="default"/>
      </w:rPr>
    </w:lvl>
    <w:lvl w:ilvl="6">
      <w:start w:val="0"/>
      <w:numFmt w:val="bullet"/>
      <w:lvlText w:val="•"/>
      <w:lvlJc w:val="left"/>
      <w:pPr>
        <w:ind w:left="7235" w:hanging="454"/>
      </w:pPr>
      <w:rPr>
        <w:rFonts w:hint="default"/>
      </w:rPr>
    </w:lvl>
    <w:lvl w:ilvl="7">
      <w:start w:val="0"/>
      <w:numFmt w:val="bullet"/>
      <w:lvlText w:val="•"/>
      <w:lvlJc w:val="left"/>
      <w:pPr>
        <w:ind w:left="8267" w:hanging="454"/>
      </w:pPr>
      <w:rPr>
        <w:rFonts w:hint="default"/>
      </w:rPr>
    </w:lvl>
    <w:lvl w:ilvl="8">
      <w:start w:val="0"/>
      <w:numFmt w:val="bullet"/>
      <w:lvlText w:val="•"/>
      <w:lvlJc w:val="left"/>
      <w:pPr>
        <w:ind w:left="9300" w:hanging="454"/>
      </w:pPr>
      <w:rPr>
        <w:rFonts w:hint="default"/>
      </w:rPr>
    </w:lvl>
  </w:abstractNum>
  <w:abstractNum w:abstractNumId="221">
    <w:multiLevelType w:val="hybridMultilevel"/>
    <w:lvl w:ilvl="0">
      <w:start w:val="0"/>
      <w:numFmt w:val="bullet"/>
      <w:lvlText w:val="•"/>
      <w:lvlJc w:val="left"/>
      <w:pPr>
        <w:ind w:left="1284" w:hanging="271"/>
      </w:pPr>
      <w:rPr>
        <w:rFonts w:hint="default"/>
        <w:w w:val="98"/>
      </w:rPr>
    </w:lvl>
    <w:lvl w:ilvl="1">
      <w:start w:val="0"/>
      <w:numFmt w:val="bullet"/>
      <w:lvlText w:val="•"/>
      <w:lvlJc w:val="left"/>
      <w:pPr>
        <w:ind w:left="2087" w:hanging="342"/>
      </w:pPr>
      <w:rPr>
        <w:rFonts w:hint="default" w:ascii="Times New Roman" w:hAnsi="Times New Roman" w:eastAsia="Times New Roman" w:cs="Times New Roman"/>
        <w:color w:val="1F1F1F"/>
        <w:w w:val="107"/>
        <w:sz w:val="18"/>
        <w:szCs w:val="18"/>
      </w:rPr>
    </w:lvl>
    <w:lvl w:ilvl="2">
      <w:start w:val="0"/>
      <w:numFmt w:val="bullet"/>
      <w:lvlText w:val="•"/>
      <w:lvlJc w:val="left"/>
      <w:pPr>
        <w:ind w:left="3009" w:hanging="342"/>
      </w:pPr>
      <w:rPr>
        <w:rFonts w:hint="default"/>
      </w:rPr>
    </w:lvl>
    <w:lvl w:ilvl="3">
      <w:start w:val="0"/>
      <w:numFmt w:val="bullet"/>
      <w:lvlText w:val="•"/>
      <w:lvlJc w:val="left"/>
      <w:pPr>
        <w:ind w:left="3939" w:hanging="342"/>
      </w:pPr>
      <w:rPr>
        <w:rFonts w:hint="default"/>
      </w:rPr>
    </w:lvl>
    <w:lvl w:ilvl="4">
      <w:start w:val="0"/>
      <w:numFmt w:val="bullet"/>
      <w:lvlText w:val="•"/>
      <w:lvlJc w:val="left"/>
      <w:pPr>
        <w:ind w:left="4869" w:hanging="342"/>
      </w:pPr>
      <w:rPr>
        <w:rFonts w:hint="default"/>
      </w:rPr>
    </w:lvl>
    <w:lvl w:ilvl="5">
      <w:start w:val="0"/>
      <w:numFmt w:val="bullet"/>
      <w:lvlText w:val="•"/>
      <w:lvlJc w:val="left"/>
      <w:pPr>
        <w:ind w:left="5799" w:hanging="342"/>
      </w:pPr>
      <w:rPr>
        <w:rFonts w:hint="default"/>
      </w:rPr>
    </w:lvl>
    <w:lvl w:ilvl="6">
      <w:start w:val="0"/>
      <w:numFmt w:val="bullet"/>
      <w:lvlText w:val="•"/>
      <w:lvlJc w:val="left"/>
      <w:pPr>
        <w:ind w:left="6729" w:hanging="342"/>
      </w:pPr>
      <w:rPr>
        <w:rFonts w:hint="default"/>
      </w:rPr>
    </w:lvl>
    <w:lvl w:ilvl="7">
      <w:start w:val="0"/>
      <w:numFmt w:val="bullet"/>
      <w:lvlText w:val="•"/>
      <w:lvlJc w:val="left"/>
      <w:pPr>
        <w:ind w:left="7659" w:hanging="342"/>
      </w:pPr>
      <w:rPr>
        <w:rFonts w:hint="default"/>
      </w:rPr>
    </w:lvl>
    <w:lvl w:ilvl="8">
      <w:start w:val="0"/>
      <w:numFmt w:val="bullet"/>
      <w:lvlText w:val="•"/>
      <w:lvlJc w:val="left"/>
      <w:pPr>
        <w:ind w:left="8589" w:hanging="342"/>
      </w:pPr>
      <w:rPr>
        <w:rFonts w:hint="default"/>
      </w:rPr>
    </w:lvl>
  </w:abstractNum>
  <w:abstractNum w:abstractNumId="220">
    <w:multiLevelType w:val="hybridMultilevel"/>
    <w:lvl w:ilvl="0">
      <w:start w:val="1"/>
      <w:numFmt w:val="lowerLetter"/>
      <w:lvlText w:val="%1)"/>
      <w:lvlJc w:val="left"/>
      <w:pPr>
        <w:ind w:left="1005" w:hanging="198"/>
        <w:jc w:val="left"/>
      </w:pPr>
      <w:rPr>
        <w:rFonts w:hint="default" w:ascii="Times New Roman" w:hAnsi="Times New Roman" w:eastAsia="Times New Roman" w:cs="Times New Roman"/>
        <w:color w:val="3F3F3F"/>
        <w:spacing w:val="-1"/>
        <w:w w:val="104"/>
        <w:sz w:val="18"/>
        <w:szCs w:val="18"/>
      </w:rPr>
    </w:lvl>
    <w:lvl w:ilvl="1">
      <w:start w:val="1"/>
      <w:numFmt w:val="decimal"/>
      <w:lvlText w:val="%2."/>
      <w:lvlJc w:val="left"/>
      <w:pPr>
        <w:ind w:left="1614" w:hanging="454"/>
        <w:jc w:val="right"/>
      </w:pPr>
      <w:rPr>
        <w:rFonts w:hint="default" w:ascii="Verdana" w:hAnsi="Verdana" w:eastAsia="Verdana" w:cs="Verdana"/>
        <w:b/>
        <w:bCs/>
        <w:color w:val="231F20"/>
        <w:spacing w:val="0"/>
        <w:w w:val="111"/>
        <w:sz w:val="18"/>
        <w:szCs w:val="18"/>
      </w:rPr>
    </w:lvl>
    <w:lvl w:ilvl="2">
      <w:start w:val="0"/>
      <w:numFmt w:val="bullet"/>
      <w:lvlText w:val="•"/>
      <w:lvlJc w:val="left"/>
      <w:pPr>
        <w:ind w:left="2601" w:hanging="454"/>
      </w:pPr>
      <w:rPr>
        <w:rFonts w:hint="default"/>
      </w:rPr>
    </w:lvl>
    <w:lvl w:ilvl="3">
      <w:start w:val="0"/>
      <w:numFmt w:val="bullet"/>
      <w:lvlText w:val="•"/>
      <w:lvlJc w:val="left"/>
      <w:pPr>
        <w:ind w:left="3582" w:hanging="454"/>
      </w:pPr>
      <w:rPr>
        <w:rFonts w:hint="default"/>
      </w:rPr>
    </w:lvl>
    <w:lvl w:ilvl="4">
      <w:start w:val="0"/>
      <w:numFmt w:val="bullet"/>
      <w:lvlText w:val="•"/>
      <w:lvlJc w:val="left"/>
      <w:pPr>
        <w:ind w:left="4563" w:hanging="454"/>
      </w:pPr>
      <w:rPr>
        <w:rFonts w:hint="default"/>
      </w:rPr>
    </w:lvl>
    <w:lvl w:ilvl="5">
      <w:start w:val="0"/>
      <w:numFmt w:val="bullet"/>
      <w:lvlText w:val="•"/>
      <w:lvlJc w:val="left"/>
      <w:pPr>
        <w:ind w:left="5544" w:hanging="454"/>
      </w:pPr>
      <w:rPr>
        <w:rFonts w:hint="default"/>
      </w:rPr>
    </w:lvl>
    <w:lvl w:ilvl="6">
      <w:start w:val="0"/>
      <w:numFmt w:val="bullet"/>
      <w:lvlText w:val="•"/>
      <w:lvlJc w:val="left"/>
      <w:pPr>
        <w:ind w:left="6525" w:hanging="454"/>
      </w:pPr>
      <w:rPr>
        <w:rFonts w:hint="default"/>
      </w:rPr>
    </w:lvl>
    <w:lvl w:ilvl="7">
      <w:start w:val="0"/>
      <w:numFmt w:val="bullet"/>
      <w:lvlText w:val="•"/>
      <w:lvlJc w:val="left"/>
      <w:pPr>
        <w:ind w:left="7506" w:hanging="454"/>
      </w:pPr>
      <w:rPr>
        <w:rFonts w:hint="default"/>
      </w:rPr>
    </w:lvl>
    <w:lvl w:ilvl="8">
      <w:start w:val="0"/>
      <w:numFmt w:val="bullet"/>
      <w:lvlText w:val="•"/>
      <w:lvlJc w:val="left"/>
      <w:pPr>
        <w:ind w:left="8487" w:hanging="454"/>
      </w:pPr>
      <w:rPr>
        <w:rFonts w:hint="default"/>
      </w:rPr>
    </w:lvl>
  </w:abstractNum>
  <w:abstractNum w:abstractNumId="219">
    <w:multiLevelType w:val="hybridMultilevel"/>
    <w:lvl w:ilvl="0">
      <w:start w:val="6"/>
      <w:numFmt w:val="lowerLetter"/>
      <w:lvlText w:val="%1)"/>
      <w:lvlJc w:val="left"/>
      <w:pPr>
        <w:ind w:left="1692" w:hanging="678"/>
        <w:jc w:val="left"/>
      </w:pPr>
      <w:rPr>
        <w:rFonts w:hint="default" w:ascii="Times New Roman" w:hAnsi="Times New Roman" w:eastAsia="Times New Roman" w:cs="Times New Roman"/>
        <w:color w:val="3F3F3F"/>
        <w:w w:val="107"/>
        <w:sz w:val="17"/>
        <w:szCs w:val="17"/>
      </w:rPr>
    </w:lvl>
    <w:lvl w:ilvl="1">
      <w:start w:val="0"/>
      <w:numFmt w:val="bullet"/>
      <w:lvlText w:val="-"/>
      <w:lvlJc w:val="left"/>
      <w:pPr>
        <w:ind w:left="1987" w:hanging="117"/>
      </w:pPr>
      <w:rPr>
        <w:rFonts w:hint="default"/>
        <w:w w:val="107"/>
      </w:rPr>
    </w:lvl>
    <w:lvl w:ilvl="2">
      <w:start w:val="0"/>
      <w:numFmt w:val="bullet"/>
      <w:lvlText w:val="•"/>
      <w:lvlJc w:val="left"/>
      <w:pPr>
        <w:ind w:left="2497" w:hanging="117"/>
      </w:pPr>
      <w:rPr>
        <w:rFonts w:hint="default"/>
      </w:rPr>
    </w:lvl>
    <w:lvl w:ilvl="3">
      <w:start w:val="0"/>
      <w:numFmt w:val="bullet"/>
      <w:lvlText w:val="•"/>
      <w:lvlJc w:val="left"/>
      <w:pPr>
        <w:ind w:left="3014" w:hanging="117"/>
      </w:pPr>
      <w:rPr>
        <w:rFonts w:hint="default"/>
      </w:rPr>
    </w:lvl>
    <w:lvl w:ilvl="4">
      <w:start w:val="0"/>
      <w:numFmt w:val="bullet"/>
      <w:lvlText w:val="•"/>
      <w:lvlJc w:val="left"/>
      <w:pPr>
        <w:ind w:left="3532" w:hanging="117"/>
      </w:pPr>
      <w:rPr>
        <w:rFonts w:hint="default"/>
      </w:rPr>
    </w:lvl>
    <w:lvl w:ilvl="5">
      <w:start w:val="0"/>
      <w:numFmt w:val="bullet"/>
      <w:lvlText w:val="•"/>
      <w:lvlJc w:val="left"/>
      <w:pPr>
        <w:ind w:left="4049" w:hanging="117"/>
      </w:pPr>
      <w:rPr>
        <w:rFonts w:hint="default"/>
      </w:rPr>
    </w:lvl>
    <w:lvl w:ilvl="6">
      <w:start w:val="0"/>
      <w:numFmt w:val="bullet"/>
      <w:lvlText w:val="•"/>
      <w:lvlJc w:val="left"/>
      <w:pPr>
        <w:ind w:left="4566" w:hanging="117"/>
      </w:pPr>
      <w:rPr>
        <w:rFonts w:hint="default"/>
      </w:rPr>
    </w:lvl>
    <w:lvl w:ilvl="7">
      <w:start w:val="0"/>
      <w:numFmt w:val="bullet"/>
      <w:lvlText w:val="•"/>
      <w:lvlJc w:val="left"/>
      <w:pPr>
        <w:ind w:left="5084" w:hanging="117"/>
      </w:pPr>
      <w:rPr>
        <w:rFonts w:hint="default"/>
      </w:rPr>
    </w:lvl>
    <w:lvl w:ilvl="8">
      <w:start w:val="0"/>
      <w:numFmt w:val="bullet"/>
      <w:lvlText w:val="•"/>
      <w:lvlJc w:val="left"/>
      <w:pPr>
        <w:ind w:left="5601" w:hanging="117"/>
      </w:pPr>
      <w:rPr>
        <w:rFonts w:hint="default"/>
      </w:rPr>
    </w:lvl>
  </w:abstractNum>
  <w:abstractNum w:abstractNumId="218">
    <w:multiLevelType w:val="hybridMultilevel"/>
    <w:lvl w:ilvl="0">
      <w:start w:val="1"/>
      <w:numFmt w:val="lowerLetter"/>
      <w:lvlText w:val="%1)"/>
      <w:lvlJc w:val="left"/>
      <w:pPr>
        <w:ind w:left="1698" w:hanging="684"/>
        <w:jc w:val="left"/>
      </w:pPr>
      <w:rPr>
        <w:rFonts w:hint="default"/>
        <w:spacing w:val="-1"/>
        <w:w w:val="106"/>
      </w:rPr>
    </w:lvl>
    <w:lvl w:ilvl="1">
      <w:start w:val="0"/>
      <w:numFmt w:val="bullet"/>
      <w:lvlText w:val="•"/>
      <w:lvlJc w:val="left"/>
      <w:pPr>
        <w:ind w:left="2574" w:hanging="684"/>
      </w:pPr>
      <w:rPr>
        <w:rFonts w:hint="default"/>
      </w:rPr>
    </w:lvl>
    <w:lvl w:ilvl="2">
      <w:start w:val="0"/>
      <w:numFmt w:val="bullet"/>
      <w:lvlText w:val="•"/>
      <w:lvlJc w:val="left"/>
      <w:pPr>
        <w:ind w:left="3449" w:hanging="684"/>
      </w:pPr>
      <w:rPr>
        <w:rFonts w:hint="default"/>
      </w:rPr>
    </w:lvl>
    <w:lvl w:ilvl="3">
      <w:start w:val="0"/>
      <w:numFmt w:val="bullet"/>
      <w:lvlText w:val="•"/>
      <w:lvlJc w:val="left"/>
      <w:pPr>
        <w:ind w:left="4324" w:hanging="684"/>
      </w:pPr>
      <w:rPr>
        <w:rFonts w:hint="default"/>
      </w:rPr>
    </w:lvl>
    <w:lvl w:ilvl="4">
      <w:start w:val="0"/>
      <w:numFmt w:val="bullet"/>
      <w:lvlText w:val="•"/>
      <w:lvlJc w:val="left"/>
      <w:pPr>
        <w:ind w:left="5199" w:hanging="684"/>
      </w:pPr>
      <w:rPr>
        <w:rFonts w:hint="default"/>
      </w:rPr>
    </w:lvl>
    <w:lvl w:ilvl="5">
      <w:start w:val="0"/>
      <w:numFmt w:val="bullet"/>
      <w:lvlText w:val="•"/>
      <w:lvlJc w:val="left"/>
      <w:pPr>
        <w:ind w:left="6074" w:hanging="684"/>
      </w:pPr>
      <w:rPr>
        <w:rFonts w:hint="default"/>
      </w:rPr>
    </w:lvl>
    <w:lvl w:ilvl="6">
      <w:start w:val="0"/>
      <w:numFmt w:val="bullet"/>
      <w:lvlText w:val="•"/>
      <w:lvlJc w:val="left"/>
      <w:pPr>
        <w:ind w:left="6949" w:hanging="684"/>
      </w:pPr>
      <w:rPr>
        <w:rFonts w:hint="default"/>
      </w:rPr>
    </w:lvl>
    <w:lvl w:ilvl="7">
      <w:start w:val="0"/>
      <w:numFmt w:val="bullet"/>
      <w:lvlText w:val="•"/>
      <w:lvlJc w:val="left"/>
      <w:pPr>
        <w:ind w:left="7824" w:hanging="684"/>
      </w:pPr>
      <w:rPr>
        <w:rFonts w:hint="default"/>
      </w:rPr>
    </w:lvl>
    <w:lvl w:ilvl="8">
      <w:start w:val="0"/>
      <w:numFmt w:val="bullet"/>
      <w:lvlText w:val="•"/>
      <w:lvlJc w:val="left"/>
      <w:pPr>
        <w:ind w:left="8699" w:hanging="684"/>
      </w:pPr>
      <w:rPr>
        <w:rFonts w:hint="default"/>
      </w:rPr>
    </w:lvl>
  </w:abstractNum>
  <w:abstractNum w:abstractNumId="217">
    <w:multiLevelType w:val="hybridMultilevel"/>
    <w:lvl w:ilvl="0">
      <w:start w:val="1"/>
      <w:numFmt w:val="lowerLetter"/>
      <w:lvlText w:val="(%1)"/>
      <w:lvlJc w:val="left"/>
      <w:pPr>
        <w:ind w:left="1285" w:hanging="253"/>
        <w:jc w:val="left"/>
      </w:pPr>
      <w:rPr>
        <w:rFonts w:hint="default" w:ascii="Times New Roman" w:hAnsi="Times New Roman" w:eastAsia="Times New Roman" w:cs="Times New Roman"/>
        <w:color w:val="3D3D3D"/>
        <w:spacing w:val="-1"/>
        <w:w w:val="109"/>
        <w:sz w:val="18"/>
        <w:szCs w:val="18"/>
      </w:rPr>
    </w:lvl>
    <w:lvl w:ilvl="1">
      <w:start w:val="0"/>
      <w:numFmt w:val="bullet"/>
      <w:lvlText w:val="•"/>
      <w:lvlJc w:val="left"/>
      <w:pPr>
        <w:ind w:left="2196" w:hanging="253"/>
      </w:pPr>
      <w:rPr>
        <w:rFonts w:hint="default"/>
      </w:rPr>
    </w:lvl>
    <w:lvl w:ilvl="2">
      <w:start w:val="0"/>
      <w:numFmt w:val="bullet"/>
      <w:lvlText w:val="•"/>
      <w:lvlJc w:val="left"/>
      <w:pPr>
        <w:ind w:left="3113" w:hanging="253"/>
      </w:pPr>
      <w:rPr>
        <w:rFonts w:hint="default"/>
      </w:rPr>
    </w:lvl>
    <w:lvl w:ilvl="3">
      <w:start w:val="0"/>
      <w:numFmt w:val="bullet"/>
      <w:lvlText w:val="•"/>
      <w:lvlJc w:val="left"/>
      <w:pPr>
        <w:ind w:left="4030" w:hanging="253"/>
      </w:pPr>
      <w:rPr>
        <w:rFonts w:hint="default"/>
      </w:rPr>
    </w:lvl>
    <w:lvl w:ilvl="4">
      <w:start w:val="0"/>
      <w:numFmt w:val="bullet"/>
      <w:lvlText w:val="•"/>
      <w:lvlJc w:val="left"/>
      <w:pPr>
        <w:ind w:left="4947" w:hanging="253"/>
      </w:pPr>
      <w:rPr>
        <w:rFonts w:hint="default"/>
      </w:rPr>
    </w:lvl>
    <w:lvl w:ilvl="5">
      <w:start w:val="0"/>
      <w:numFmt w:val="bullet"/>
      <w:lvlText w:val="•"/>
      <w:lvlJc w:val="left"/>
      <w:pPr>
        <w:ind w:left="5864" w:hanging="253"/>
      </w:pPr>
      <w:rPr>
        <w:rFonts w:hint="default"/>
      </w:rPr>
    </w:lvl>
    <w:lvl w:ilvl="6">
      <w:start w:val="0"/>
      <w:numFmt w:val="bullet"/>
      <w:lvlText w:val="•"/>
      <w:lvlJc w:val="left"/>
      <w:pPr>
        <w:ind w:left="6781" w:hanging="253"/>
      </w:pPr>
      <w:rPr>
        <w:rFonts w:hint="default"/>
      </w:rPr>
    </w:lvl>
    <w:lvl w:ilvl="7">
      <w:start w:val="0"/>
      <w:numFmt w:val="bullet"/>
      <w:lvlText w:val="•"/>
      <w:lvlJc w:val="left"/>
      <w:pPr>
        <w:ind w:left="7698" w:hanging="253"/>
      </w:pPr>
      <w:rPr>
        <w:rFonts w:hint="default"/>
      </w:rPr>
    </w:lvl>
    <w:lvl w:ilvl="8">
      <w:start w:val="0"/>
      <w:numFmt w:val="bullet"/>
      <w:lvlText w:val="•"/>
      <w:lvlJc w:val="left"/>
      <w:pPr>
        <w:ind w:left="8615" w:hanging="253"/>
      </w:pPr>
      <w:rPr>
        <w:rFonts w:hint="default"/>
      </w:rPr>
    </w:lvl>
  </w:abstractNum>
  <w:abstractNum w:abstractNumId="216">
    <w:multiLevelType w:val="hybridMultilevel"/>
    <w:lvl w:ilvl="0">
      <w:start w:val="8"/>
      <w:numFmt w:val="lowerRoman"/>
      <w:lvlText w:val="(%1)"/>
      <w:lvlJc w:val="left"/>
      <w:pPr>
        <w:ind w:left="1508" w:hanging="514"/>
        <w:jc w:val="left"/>
      </w:pPr>
      <w:rPr>
        <w:rFonts w:hint="default"/>
        <w:b/>
        <w:bCs/>
        <w:w w:val="109"/>
      </w:rPr>
    </w:lvl>
    <w:lvl w:ilvl="1">
      <w:start w:val="0"/>
      <w:numFmt w:val="bullet"/>
      <w:lvlText w:val="•"/>
      <w:lvlJc w:val="left"/>
      <w:pPr>
        <w:ind w:left="2394" w:hanging="514"/>
      </w:pPr>
      <w:rPr>
        <w:rFonts w:hint="default"/>
      </w:rPr>
    </w:lvl>
    <w:lvl w:ilvl="2">
      <w:start w:val="0"/>
      <w:numFmt w:val="bullet"/>
      <w:lvlText w:val="•"/>
      <w:lvlJc w:val="left"/>
      <w:pPr>
        <w:ind w:left="3289" w:hanging="514"/>
      </w:pPr>
      <w:rPr>
        <w:rFonts w:hint="default"/>
      </w:rPr>
    </w:lvl>
    <w:lvl w:ilvl="3">
      <w:start w:val="0"/>
      <w:numFmt w:val="bullet"/>
      <w:lvlText w:val="•"/>
      <w:lvlJc w:val="left"/>
      <w:pPr>
        <w:ind w:left="4184" w:hanging="514"/>
      </w:pPr>
      <w:rPr>
        <w:rFonts w:hint="default"/>
      </w:rPr>
    </w:lvl>
    <w:lvl w:ilvl="4">
      <w:start w:val="0"/>
      <w:numFmt w:val="bullet"/>
      <w:lvlText w:val="•"/>
      <w:lvlJc w:val="left"/>
      <w:pPr>
        <w:ind w:left="5079" w:hanging="514"/>
      </w:pPr>
      <w:rPr>
        <w:rFonts w:hint="default"/>
      </w:rPr>
    </w:lvl>
    <w:lvl w:ilvl="5">
      <w:start w:val="0"/>
      <w:numFmt w:val="bullet"/>
      <w:lvlText w:val="•"/>
      <w:lvlJc w:val="left"/>
      <w:pPr>
        <w:ind w:left="5974" w:hanging="514"/>
      </w:pPr>
      <w:rPr>
        <w:rFonts w:hint="default"/>
      </w:rPr>
    </w:lvl>
    <w:lvl w:ilvl="6">
      <w:start w:val="0"/>
      <w:numFmt w:val="bullet"/>
      <w:lvlText w:val="•"/>
      <w:lvlJc w:val="left"/>
      <w:pPr>
        <w:ind w:left="6869" w:hanging="514"/>
      </w:pPr>
      <w:rPr>
        <w:rFonts w:hint="default"/>
      </w:rPr>
    </w:lvl>
    <w:lvl w:ilvl="7">
      <w:start w:val="0"/>
      <w:numFmt w:val="bullet"/>
      <w:lvlText w:val="•"/>
      <w:lvlJc w:val="left"/>
      <w:pPr>
        <w:ind w:left="7764" w:hanging="514"/>
      </w:pPr>
      <w:rPr>
        <w:rFonts w:hint="default"/>
      </w:rPr>
    </w:lvl>
    <w:lvl w:ilvl="8">
      <w:start w:val="0"/>
      <w:numFmt w:val="bullet"/>
      <w:lvlText w:val="•"/>
      <w:lvlJc w:val="left"/>
      <w:pPr>
        <w:ind w:left="8659" w:hanging="514"/>
      </w:pPr>
      <w:rPr>
        <w:rFonts w:hint="default"/>
      </w:rPr>
    </w:lvl>
  </w:abstractNum>
  <w:abstractNum w:abstractNumId="215">
    <w:multiLevelType w:val="hybridMultilevel"/>
    <w:lvl w:ilvl="0">
      <w:start w:val="1"/>
      <w:numFmt w:val="lowerRoman"/>
      <w:lvlText w:val="(%1)"/>
      <w:lvlJc w:val="left"/>
      <w:pPr>
        <w:ind w:left="1503" w:hanging="508"/>
        <w:jc w:val="left"/>
      </w:pPr>
      <w:rPr>
        <w:rFonts w:hint="default"/>
        <w:spacing w:val="-1"/>
        <w:w w:val="102"/>
      </w:rPr>
    </w:lvl>
    <w:lvl w:ilvl="1">
      <w:start w:val="0"/>
      <w:numFmt w:val="bullet"/>
      <w:lvlText w:val="•"/>
      <w:lvlJc w:val="left"/>
      <w:pPr>
        <w:ind w:left="2394" w:hanging="508"/>
      </w:pPr>
      <w:rPr>
        <w:rFonts w:hint="default"/>
      </w:rPr>
    </w:lvl>
    <w:lvl w:ilvl="2">
      <w:start w:val="0"/>
      <w:numFmt w:val="bullet"/>
      <w:lvlText w:val="•"/>
      <w:lvlJc w:val="left"/>
      <w:pPr>
        <w:ind w:left="3289" w:hanging="508"/>
      </w:pPr>
      <w:rPr>
        <w:rFonts w:hint="default"/>
      </w:rPr>
    </w:lvl>
    <w:lvl w:ilvl="3">
      <w:start w:val="0"/>
      <w:numFmt w:val="bullet"/>
      <w:lvlText w:val="•"/>
      <w:lvlJc w:val="left"/>
      <w:pPr>
        <w:ind w:left="4184" w:hanging="508"/>
      </w:pPr>
      <w:rPr>
        <w:rFonts w:hint="default"/>
      </w:rPr>
    </w:lvl>
    <w:lvl w:ilvl="4">
      <w:start w:val="0"/>
      <w:numFmt w:val="bullet"/>
      <w:lvlText w:val="•"/>
      <w:lvlJc w:val="left"/>
      <w:pPr>
        <w:ind w:left="5079" w:hanging="508"/>
      </w:pPr>
      <w:rPr>
        <w:rFonts w:hint="default"/>
      </w:rPr>
    </w:lvl>
    <w:lvl w:ilvl="5">
      <w:start w:val="0"/>
      <w:numFmt w:val="bullet"/>
      <w:lvlText w:val="•"/>
      <w:lvlJc w:val="left"/>
      <w:pPr>
        <w:ind w:left="5974" w:hanging="508"/>
      </w:pPr>
      <w:rPr>
        <w:rFonts w:hint="default"/>
      </w:rPr>
    </w:lvl>
    <w:lvl w:ilvl="6">
      <w:start w:val="0"/>
      <w:numFmt w:val="bullet"/>
      <w:lvlText w:val="•"/>
      <w:lvlJc w:val="left"/>
      <w:pPr>
        <w:ind w:left="6869" w:hanging="508"/>
      </w:pPr>
      <w:rPr>
        <w:rFonts w:hint="default"/>
      </w:rPr>
    </w:lvl>
    <w:lvl w:ilvl="7">
      <w:start w:val="0"/>
      <w:numFmt w:val="bullet"/>
      <w:lvlText w:val="•"/>
      <w:lvlJc w:val="left"/>
      <w:pPr>
        <w:ind w:left="7764" w:hanging="508"/>
      </w:pPr>
      <w:rPr>
        <w:rFonts w:hint="default"/>
      </w:rPr>
    </w:lvl>
    <w:lvl w:ilvl="8">
      <w:start w:val="0"/>
      <w:numFmt w:val="bullet"/>
      <w:lvlText w:val="•"/>
      <w:lvlJc w:val="left"/>
      <w:pPr>
        <w:ind w:left="8659" w:hanging="508"/>
      </w:pPr>
      <w:rPr>
        <w:rFonts w:hint="default"/>
      </w:rPr>
    </w:lvl>
  </w:abstractNum>
  <w:abstractNum w:abstractNumId="214">
    <w:multiLevelType w:val="hybridMultilevel"/>
    <w:lvl w:ilvl="0">
      <w:start w:val="1"/>
      <w:numFmt w:val="lowerLetter"/>
      <w:lvlText w:val="(%1)"/>
      <w:lvlJc w:val="left"/>
      <w:pPr>
        <w:ind w:left="723" w:hanging="288"/>
        <w:jc w:val="left"/>
      </w:pPr>
      <w:rPr>
        <w:rFonts w:hint="default" w:ascii="Times New Roman" w:hAnsi="Times New Roman" w:eastAsia="Times New Roman" w:cs="Times New Roman"/>
        <w:color w:val="363636"/>
        <w:spacing w:val="-1"/>
        <w:w w:val="106"/>
        <w:sz w:val="19"/>
        <w:szCs w:val="19"/>
      </w:rPr>
    </w:lvl>
    <w:lvl w:ilvl="1">
      <w:start w:val="0"/>
      <w:numFmt w:val="bullet"/>
      <w:lvlText w:val="■"/>
      <w:lvlJc w:val="left"/>
      <w:pPr>
        <w:ind w:left="1516" w:hanging="316"/>
      </w:pPr>
      <w:rPr>
        <w:rFonts w:hint="default"/>
        <w:spacing w:val="7"/>
        <w:w w:val="106"/>
      </w:rPr>
    </w:lvl>
    <w:lvl w:ilvl="2">
      <w:start w:val="0"/>
      <w:numFmt w:val="bullet"/>
      <w:lvlText w:val="•"/>
      <w:lvlJc w:val="left"/>
      <w:pPr>
        <w:ind w:left="2512" w:hanging="316"/>
      </w:pPr>
      <w:rPr>
        <w:rFonts w:hint="default"/>
      </w:rPr>
    </w:lvl>
    <w:lvl w:ilvl="3">
      <w:start w:val="0"/>
      <w:numFmt w:val="bullet"/>
      <w:lvlText w:val="•"/>
      <w:lvlJc w:val="left"/>
      <w:pPr>
        <w:ind w:left="3504" w:hanging="316"/>
      </w:pPr>
      <w:rPr>
        <w:rFonts w:hint="default"/>
      </w:rPr>
    </w:lvl>
    <w:lvl w:ilvl="4">
      <w:start w:val="0"/>
      <w:numFmt w:val="bullet"/>
      <w:lvlText w:val="•"/>
      <w:lvlJc w:val="left"/>
      <w:pPr>
        <w:ind w:left="4496" w:hanging="316"/>
      </w:pPr>
      <w:rPr>
        <w:rFonts w:hint="default"/>
      </w:rPr>
    </w:lvl>
    <w:lvl w:ilvl="5">
      <w:start w:val="0"/>
      <w:numFmt w:val="bullet"/>
      <w:lvlText w:val="•"/>
      <w:lvlJc w:val="left"/>
      <w:pPr>
        <w:ind w:left="5488" w:hanging="316"/>
      </w:pPr>
      <w:rPr>
        <w:rFonts w:hint="default"/>
      </w:rPr>
    </w:lvl>
    <w:lvl w:ilvl="6">
      <w:start w:val="0"/>
      <w:numFmt w:val="bullet"/>
      <w:lvlText w:val="•"/>
      <w:lvlJc w:val="left"/>
      <w:pPr>
        <w:ind w:left="6480" w:hanging="316"/>
      </w:pPr>
      <w:rPr>
        <w:rFonts w:hint="default"/>
      </w:rPr>
    </w:lvl>
    <w:lvl w:ilvl="7">
      <w:start w:val="0"/>
      <w:numFmt w:val="bullet"/>
      <w:lvlText w:val="•"/>
      <w:lvlJc w:val="left"/>
      <w:pPr>
        <w:ind w:left="7472" w:hanging="316"/>
      </w:pPr>
      <w:rPr>
        <w:rFonts w:hint="default"/>
      </w:rPr>
    </w:lvl>
    <w:lvl w:ilvl="8">
      <w:start w:val="0"/>
      <w:numFmt w:val="bullet"/>
      <w:lvlText w:val="•"/>
      <w:lvlJc w:val="left"/>
      <w:pPr>
        <w:ind w:left="8465" w:hanging="316"/>
      </w:pPr>
      <w:rPr>
        <w:rFonts w:hint="default"/>
      </w:rPr>
    </w:lvl>
  </w:abstractNum>
  <w:abstractNum w:abstractNumId="213">
    <w:multiLevelType w:val="hybridMultilevel"/>
    <w:lvl w:ilvl="0">
      <w:start w:val="0"/>
      <w:numFmt w:val="bullet"/>
      <w:lvlText w:val="•"/>
      <w:lvlJc w:val="left"/>
      <w:pPr>
        <w:ind w:left="831" w:hanging="351"/>
      </w:pPr>
      <w:rPr>
        <w:rFonts w:hint="default" w:ascii="Times New Roman" w:hAnsi="Times New Roman" w:eastAsia="Times New Roman" w:cs="Times New Roman"/>
        <w:color w:val="1D1D1D"/>
        <w:w w:val="104"/>
        <w:sz w:val="19"/>
        <w:szCs w:val="19"/>
      </w:rPr>
    </w:lvl>
    <w:lvl w:ilvl="1">
      <w:start w:val="0"/>
      <w:numFmt w:val="bullet"/>
      <w:lvlText w:val="•"/>
      <w:lvlJc w:val="left"/>
      <w:pPr>
        <w:ind w:left="1205" w:hanging="364"/>
      </w:pPr>
      <w:rPr>
        <w:rFonts w:hint="default"/>
        <w:w w:val="112"/>
      </w:rPr>
    </w:lvl>
    <w:lvl w:ilvl="2">
      <w:start w:val="0"/>
      <w:numFmt w:val="bullet"/>
      <w:lvlText w:val="•"/>
      <w:lvlJc w:val="left"/>
      <w:pPr>
        <w:ind w:left="2227" w:hanging="364"/>
      </w:pPr>
      <w:rPr>
        <w:rFonts w:hint="default"/>
      </w:rPr>
    </w:lvl>
    <w:lvl w:ilvl="3">
      <w:start w:val="0"/>
      <w:numFmt w:val="bullet"/>
      <w:lvlText w:val="•"/>
      <w:lvlJc w:val="left"/>
      <w:pPr>
        <w:ind w:left="3255" w:hanging="364"/>
      </w:pPr>
      <w:rPr>
        <w:rFonts w:hint="default"/>
      </w:rPr>
    </w:lvl>
    <w:lvl w:ilvl="4">
      <w:start w:val="0"/>
      <w:numFmt w:val="bullet"/>
      <w:lvlText w:val="•"/>
      <w:lvlJc w:val="left"/>
      <w:pPr>
        <w:ind w:left="4283" w:hanging="364"/>
      </w:pPr>
      <w:rPr>
        <w:rFonts w:hint="default"/>
      </w:rPr>
    </w:lvl>
    <w:lvl w:ilvl="5">
      <w:start w:val="0"/>
      <w:numFmt w:val="bullet"/>
      <w:lvlText w:val="•"/>
      <w:lvlJc w:val="left"/>
      <w:pPr>
        <w:ind w:left="5310" w:hanging="364"/>
      </w:pPr>
      <w:rPr>
        <w:rFonts w:hint="default"/>
      </w:rPr>
    </w:lvl>
    <w:lvl w:ilvl="6">
      <w:start w:val="0"/>
      <w:numFmt w:val="bullet"/>
      <w:lvlText w:val="•"/>
      <w:lvlJc w:val="left"/>
      <w:pPr>
        <w:ind w:left="6338" w:hanging="364"/>
      </w:pPr>
      <w:rPr>
        <w:rFonts w:hint="default"/>
      </w:rPr>
    </w:lvl>
    <w:lvl w:ilvl="7">
      <w:start w:val="0"/>
      <w:numFmt w:val="bullet"/>
      <w:lvlText w:val="•"/>
      <w:lvlJc w:val="left"/>
      <w:pPr>
        <w:ind w:left="7366" w:hanging="364"/>
      </w:pPr>
      <w:rPr>
        <w:rFonts w:hint="default"/>
      </w:rPr>
    </w:lvl>
    <w:lvl w:ilvl="8">
      <w:start w:val="0"/>
      <w:numFmt w:val="bullet"/>
      <w:lvlText w:val="•"/>
      <w:lvlJc w:val="left"/>
      <w:pPr>
        <w:ind w:left="8393" w:hanging="364"/>
      </w:pPr>
      <w:rPr>
        <w:rFonts w:hint="default"/>
      </w:rPr>
    </w:lvl>
  </w:abstractNum>
  <w:abstractNum w:abstractNumId="212">
    <w:multiLevelType w:val="hybridMultilevel"/>
    <w:lvl w:ilvl="0">
      <w:start w:val="1"/>
      <w:numFmt w:val="decimal"/>
      <w:lvlText w:val="%1."/>
      <w:lvlJc w:val="left"/>
      <w:pPr>
        <w:ind w:left="1760" w:hanging="681"/>
        <w:jc w:val="right"/>
      </w:pPr>
      <w:rPr>
        <w:rFonts w:hint="default" w:ascii="Verdana" w:hAnsi="Verdana" w:eastAsia="Verdana" w:cs="Verdana"/>
        <w:color w:val="231F20"/>
        <w:spacing w:val="-5"/>
        <w:w w:val="111"/>
        <w:sz w:val="18"/>
        <w:szCs w:val="18"/>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211">
    <w:multiLevelType w:val="hybridMultilevel"/>
    <w:lvl w:ilvl="0">
      <w:start w:val="1"/>
      <w:numFmt w:val="decimal"/>
      <w:lvlText w:val="%1."/>
      <w:lvlJc w:val="left"/>
      <w:pPr>
        <w:ind w:left="1761" w:hanging="681"/>
        <w:jc w:val="left"/>
      </w:pPr>
      <w:rPr>
        <w:rFonts w:hint="default" w:ascii="Verdana" w:hAnsi="Verdana" w:eastAsia="Verdana" w:cs="Verdana"/>
        <w:color w:val="231F20"/>
        <w:spacing w:val="-5"/>
        <w:w w:val="111"/>
        <w:sz w:val="18"/>
        <w:szCs w:val="18"/>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210">
    <w:multiLevelType w:val="hybridMultilevel"/>
    <w:lvl w:ilvl="0">
      <w:start w:val="0"/>
      <w:numFmt w:val="bullet"/>
      <w:lvlText w:val="•"/>
      <w:lvlJc w:val="left"/>
      <w:pPr>
        <w:ind w:left="1761" w:hanging="681"/>
      </w:pPr>
      <w:rPr>
        <w:rFonts w:hint="default" w:ascii="Verdana" w:hAnsi="Verdana" w:eastAsia="Verdana" w:cs="Verdana"/>
        <w:color w:val="231F20"/>
        <w:w w:val="111"/>
        <w:position w:val="-3"/>
        <w:sz w:val="25"/>
        <w:szCs w:val="25"/>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209">
    <w:multiLevelType w:val="hybridMultilevel"/>
    <w:lvl w:ilvl="0">
      <w:start w:val="1"/>
      <w:numFmt w:val="lowerRoman"/>
      <w:lvlText w:val="%1)"/>
      <w:lvlJc w:val="left"/>
      <w:pPr>
        <w:ind w:left="3393" w:hanging="720"/>
        <w:jc w:val="left"/>
      </w:pPr>
      <w:rPr>
        <w:rFonts w:hint="default" w:ascii="Verdana" w:hAnsi="Verdana" w:eastAsia="Verdana" w:cs="Verdana"/>
        <w:color w:val="231F20"/>
        <w:spacing w:val="-5"/>
        <w:w w:val="110"/>
        <w:sz w:val="18"/>
        <w:szCs w:val="18"/>
      </w:rPr>
    </w:lvl>
    <w:lvl w:ilvl="1">
      <w:start w:val="0"/>
      <w:numFmt w:val="bullet"/>
      <w:lvlText w:val="•"/>
      <w:lvlJc w:val="left"/>
      <w:pPr>
        <w:ind w:left="4188" w:hanging="720"/>
      </w:pPr>
      <w:rPr>
        <w:rFonts w:hint="default"/>
      </w:rPr>
    </w:lvl>
    <w:lvl w:ilvl="2">
      <w:start w:val="0"/>
      <w:numFmt w:val="bullet"/>
      <w:lvlText w:val="•"/>
      <w:lvlJc w:val="left"/>
      <w:pPr>
        <w:ind w:left="4977" w:hanging="720"/>
      </w:pPr>
      <w:rPr>
        <w:rFonts w:hint="default"/>
      </w:rPr>
    </w:lvl>
    <w:lvl w:ilvl="3">
      <w:start w:val="0"/>
      <w:numFmt w:val="bullet"/>
      <w:lvlText w:val="•"/>
      <w:lvlJc w:val="left"/>
      <w:pPr>
        <w:ind w:left="5765" w:hanging="720"/>
      </w:pPr>
      <w:rPr>
        <w:rFonts w:hint="default"/>
      </w:rPr>
    </w:lvl>
    <w:lvl w:ilvl="4">
      <w:start w:val="0"/>
      <w:numFmt w:val="bullet"/>
      <w:lvlText w:val="•"/>
      <w:lvlJc w:val="left"/>
      <w:pPr>
        <w:ind w:left="6554" w:hanging="720"/>
      </w:pPr>
      <w:rPr>
        <w:rFonts w:hint="default"/>
      </w:rPr>
    </w:lvl>
    <w:lvl w:ilvl="5">
      <w:start w:val="0"/>
      <w:numFmt w:val="bullet"/>
      <w:lvlText w:val="•"/>
      <w:lvlJc w:val="left"/>
      <w:pPr>
        <w:ind w:left="7342" w:hanging="720"/>
      </w:pPr>
      <w:rPr>
        <w:rFonts w:hint="default"/>
      </w:rPr>
    </w:lvl>
    <w:lvl w:ilvl="6">
      <w:start w:val="0"/>
      <w:numFmt w:val="bullet"/>
      <w:lvlText w:val="•"/>
      <w:lvlJc w:val="left"/>
      <w:pPr>
        <w:ind w:left="8131" w:hanging="720"/>
      </w:pPr>
      <w:rPr>
        <w:rFonts w:hint="default"/>
      </w:rPr>
    </w:lvl>
    <w:lvl w:ilvl="7">
      <w:start w:val="0"/>
      <w:numFmt w:val="bullet"/>
      <w:lvlText w:val="•"/>
      <w:lvlJc w:val="left"/>
      <w:pPr>
        <w:ind w:left="8919" w:hanging="720"/>
      </w:pPr>
      <w:rPr>
        <w:rFonts w:hint="default"/>
      </w:rPr>
    </w:lvl>
    <w:lvl w:ilvl="8">
      <w:start w:val="0"/>
      <w:numFmt w:val="bullet"/>
      <w:lvlText w:val="•"/>
      <w:lvlJc w:val="left"/>
      <w:pPr>
        <w:ind w:left="9708" w:hanging="720"/>
      </w:pPr>
      <w:rPr>
        <w:rFonts w:hint="default"/>
      </w:rPr>
    </w:lvl>
  </w:abstractNum>
  <w:abstractNum w:abstractNumId="208">
    <w:multiLevelType w:val="hybridMultilevel"/>
    <w:lvl w:ilvl="0">
      <w:start w:val="1"/>
      <w:numFmt w:val="decimal"/>
      <w:lvlText w:val="%1)"/>
      <w:lvlJc w:val="left"/>
      <w:pPr>
        <w:ind w:left="1761" w:hanging="681"/>
        <w:jc w:val="right"/>
      </w:pPr>
      <w:rPr>
        <w:rFonts w:hint="default" w:ascii="Verdana" w:hAnsi="Verdana" w:eastAsia="Verdana" w:cs="Verdana"/>
        <w:color w:val="231F20"/>
        <w:spacing w:val="-17"/>
        <w:w w:val="111"/>
        <w:sz w:val="18"/>
        <w:szCs w:val="18"/>
      </w:rPr>
    </w:lvl>
    <w:lvl w:ilvl="1">
      <w:start w:val="1"/>
      <w:numFmt w:val="lowerRoman"/>
      <w:lvlText w:val="%2)"/>
      <w:lvlJc w:val="left"/>
      <w:pPr>
        <w:ind w:left="1958" w:hanging="760"/>
        <w:jc w:val="left"/>
      </w:pPr>
      <w:rPr>
        <w:rFonts w:hint="default" w:ascii="Verdana" w:hAnsi="Verdana" w:eastAsia="Verdana" w:cs="Verdana"/>
        <w:color w:val="231F20"/>
        <w:spacing w:val="-5"/>
        <w:w w:val="110"/>
        <w:sz w:val="18"/>
        <w:szCs w:val="18"/>
      </w:rPr>
    </w:lvl>
    <w:lvl w:ilvl="2">
      <w:start w:val="1"/>
      <w:numFmt w:val="decimal"/>
      <w:lvlText w:val="%3)"/>
      <w:lvlJc w:val="left"/>
      <w:pPr>
        <w:ind w:left="2673" w:hanging="720"/>
        <w:jc w:val="left"/>
      </w:pPr>
      <w:rPr>
        <w:rFonts w:hint="default" w:ascii="Verdana" w:hAnsi="Verdana" w:eastAsia="Verdana" w:cs="Verdana"/>
        <w:color w:val="231F20"/>
        <w:spacing w:val="-17"/>
        <w:w w:val="111"/>
        <w:sz w:val="18"/>
        <w:szCs w:val="18"/>
      </w:rPr>
    </w:lvl>
    <w:lvl w:ilvl="3">
      <w:start w:val="1"/>
      <w:numFmt w:val="lowerLetter"/>
      <w:lvlText w:val="%4)"/>
      <w:lvlJc w:val="left"/>
      <w:pPr>
        <w:ind w:left="3393" w:hanging="720"/>
        <w:jc w:val="left"/>
      </w:pPr>
      <w:rPr>
        <w:rFonts w:hint="default" w:ascii="Verdana" w:hAnsi="Verdana" w:eastAsia="Verdana" w:cs="Verdana"/>
        <w:color w:val="231F20"/>
        <w:spacing w:val="-15"/>
        <w:w w:val="111"/>
        <w:sz w:val="18"/>
        <w:szCs w:val="18"/>
      </w:rPr>
    </w:lvl>
    <w:lvl w:ilvl="4">
      <w:start w:val="0"/>
      <w:numFmt w:val="bullet"/>
      <w:lvlText w:val="•"/>
      <w:lvlJc w:val="left"/>
      <w:pPr>
        <w:ind w:left="4526" w:hanging="720"/>
      </w:pPr>
      <w:rPr>
        <w:rFonts w:hint="default"/>
      </w:rPr>
    </w:lvl>
    <w:lvl w:ilvl="5">
      <w:start w:val="0"/>
      <w:numFmt w:val="bullet"/>
      <w:lvlText w:val="•"/>
      <w:lvlJc w:val="left"/>
      <w:pPr>
        <w:ind w:left="5653" w:hanging="720"/>
      </w:pPr>
      <w:rPr>
        <w:rFonts w:hint="default"/>
      </w:rPr>
    </w:lvl>
    <w:lvl w:ilvl="6">
      <w:start w:val="0"/>
      <w:numFmt w:val="bullet"/>
      <w:lvlText w:val="•"/>
      <w:lvlJc w:val="left"/>
      <w:pPr>
        <w:ind w:left="6779" w:hanging="720"/>
      </w:pPr>
      <w:rPr>
        <w:rFonts w:hint="default"/>
      </w:rPr>
    </w:lvl>
    <w:lvl w:ilvl="7">
      <w:start w:val="0"/>
      <w:numFmt w:val="bullet"/>
      <w:lvlText w:val="•"/>
      <w:lvlJc w:val="left"/>
      <w:pPr>
        <w:ind w:left="7906" w:hanging="720"/>
      </w:pPr>
      <w:rPr>
        <w:rFonts w:hint="default"/>
      </w:rPr>
    </w:lvl>
    <w:lvl w:ilvl="8">
      <w:start w:val="0"/>
      <w:numFmt w:val="bullet"/>
      <w:lvlText w:val="•"/>
      <w:lvlJc w:val="left"/>
      <w:pPr>
        <w:ind w:left="9032" w:hanging="720"/>
      </w:pPr>
      <w:rPr>
        <w:rFonts w:hint="default"/>
      </w:rPr>
    </w:lvl>
  </w:abstractNum>
  <w:abstractNum w:abstractNumId="207">
    <w:multiLevelType w:val="hybridMultilevel"/>
    <w:lvl w:ilvl="0">
      <w:start w:val="1"/>
      <w:numFmt w:val="decimal"/>
      <w:lvlText w:val="%1)"/>
      <w:lvlJc w:val="left"/>
      <w:pPr>
        <w:ind w:left="1125" w:hanging="720"/>
        <w:jc w:val="left"/>
      </w:pPr>
      <w:rPr>
        <w:rFonts w:hint="default" w:ascii="Verdana" w:hAnsi="Verdana" w:eastAsia="Verdana" w:cs="Verdana"/>
        <w:color w:val="231F20"/>
        <w:spacing w:val="-17"/>
        <w:w w:val="111"/>
        <w:sz w:val="18"/>
        <w:szCs w:val="18"/>
      </w:rPr>
    </w:lvl>
    <w:lvl w:ilvl="1">
      <w:start w:val="0"/>
      <w:numFmt w:val="bullet"/>
      <w:lvlText w:val=""/>
      <w:lvlJc w:val="left"/>
      <w:pPr>
        <w:ind w:left="2520" w:hanging="760"/>
      </w:pPr>
      <w:rPr>
        <w:rFonts w:hint="default" w:ascii="Wingdings" w:hAnsi="Wingdings" w:eastAsia="Wingdings" w:cs="Wingdings"/>
        <w:color w:val="231F20"/>
        <w:w w:val="110"/>
        <w:position w:val="-1"/>
        <w:sz w:val="29"/>
        <w:szCs w:val="29"/>
      </w:rPr>
    </w:lvl>
    <w:lvl w:ilvl="2">
      <w:start w:val="0"/>
      <w:numFmt w:val="bullet"/>
      <w:lvlText w:val=""/>
      <w:lvlJc w:val="left"/>
      <w:pPr>
        <w:ind w:left="3240" w:hanging="720"/>
      </w:pPr>
      <w:rPr>
        <w:rFonts w:hint="default" w:ascii="Wingdings" w:hAnsi="Wingdings" w:eastAsia="Wingdings" w:cs="Wingdings"/>
        <w:color w:val="231F20"/>
        <w:w w:val="110"/>
        <w:position w:val="-1"/>
        <w:sz w:val="29"/>
        <w:szCs w:val="29"/>
      </w:rPr>
    </w:lvl>
    <w:lvl w:ilvl="3">
      <w:start w:val="0"/>
      <w:numFmt w:val="bullet"/>
      <w:lvlText w:val="•"/>
      <w:lvlJc w:val="left"/>
      <w:pPr>
        <w:ind w:left="3755" w:hanging="720"/>
      </w:pPr>
      <w:rPr>
        <w:rFonts w:hint="default"/>
      </w:rPr>
    </w:lvl>
    <w:lvl w:ilvl="4">
      <w:start w:val="0"/>
      <w:numFmt w:val="bullet"/>
      <w:lvlText w:val="•"/>
      <w:lvlJc w:val="left"/>
      <w:pPr>
        <w:ind w:left="4270" w:hanging="720"/>
      </w:pPr>
      <w:rPr>
        <w:rFonts w:hint="default"/>
      </w:rPr>
    </w:lvl>
    <w:lvl w:ilvl="5">
      <w:start w:val="0"/>
      <w:numFmt w:val="bullet"/>
      <w:lvlText w:val="•"/>
      <w:lvlJc w:val="left"/>
      <w:pPr>
        <w:ind w:left="4786" w:hanging="720"/>
      </w:pPr>
      <w:rPr>
        <w:rFonts w:hint="default"/>
      </w:rPr>
    </w:lvl>
    <w:lvl w:ilvl="6">
      <w:start w:val="0"/>
      <w:numFmt w:val="bullet"/>
      <w:lvlText w:val="•"/>
      <w:lvlJc w:val="left"/>
      <w:pPr>
        <w:ind w:left="5301" w:hanging="720"/>
      </w:pPr>
      <w:rPr>
        <w:rFonts w:hint="default"/>
      </w:rPr>
    </w:lvl>
    <w:lvl w:ilvl="7">
      <w:start w:val="0"/>
      <w:numFmt w:val="bullet"/>
      <w:lvlText w:val="•"/>
      <w:lvlJc w:val="left"/>
      <w:pPr>
        <w:ind w:left="5817" w:hanging="720"/>
      </w:pPr>
      <w:rPr>
        <w:rFonts w:hint="default"/>
      </w:rPr>
    </w:lvl>
    <w:lvl w:ilvl="8">
      <w:start w:val="0"/>
      <w:numFmt w:val="bullet"/>
      <w:lvlText w:val="•"/>
      <w:lvlJc w:val="left"/>
      <w:pPr>
        <w:ind w:left="6332" w:hanging="720"/>
      </w:pPr>
      <w:rPr>
        <w:rFonts w:hint="default"/>
      </w:rPr>
    </w:lvl>
  </w:abstractNum>
  <w:abstractNum w:abstractNumId="205">
    <w:multiLevelType w:val="hybridMultilevel"/>
    <w:lvl w:ilvl="0">
      <w:start w:val="1"/>
      <w:numFmt w:val="decimal"/>
      <w:lvlText w:val="%1."/>
      <w:lvlJc w:val="left"/>
      <w:pPr>
        <w:ind w:left="1233" w:hanging="720"/>
        <w:jc w:val="right"/>
      </w:pPr>
      <w:rPr>
        <w:rFonts w:hint="default" w:ascii="Verdana" w:hAnsi="Verdana" w:eastAsia="Verdana" w:cs="Verdana"/>
        <w:b/>
        <w:bCs/>
        <w:color w:val="231F20"/>
        <w:spacing w:val="-4"/>
        <w:w w:val="110"/>
        <w:sz w:val="29"/>
        <w:szCs w:val="29"/>
      </w:rPr>
    </w:lvl>
    <w:lvl w:ilvl="1">
      <w:start w:val="1"/>
      <w:numFmt w:val="decimal"/>
      <w:lvlText w:val="%1.%2"/>
      <w:lvlJc w:val="left"/>
      <w:pPr>
        <w:ind w:left="514" w:hanging="720"/>
        <w:jc w:val="left"/>
      </w:pPr>
      <w:rPr>
        <w:rFonts w:hint="default" w:ascii="Verdana" w:hAnsi="Verdana" w:eastAsia="Verdana" w:cs="Verdana"/>
        <w:color w:val="231F20"/>
        <w:spacing w:val="-6"/>
        <w:w w:val="111"/>
        <w:sz w:val="18"/>
        <w:szCs w:val="18"/>
      </w:rPr>
    </w:lvl>
    <w:lvl w:ilvl="2">
      <w:start w:val="0"/>
      <w:numFmt w:val="bullet"/>
      <w:lvlText w:val="•"/>
      <w:lvlJc w:val="left"/>
      <w:pPr>
        <w:ind w:left="1240" w:hanging="720"/>
      </w:pPr>
      <w:rPr>
        <w:rFonts w:hint="default"/>
      </w:rPr>
    </w:lvl>
    <w:lvl w:ilvl="3">
      <w:start w:val="0"/>
      <w:numFmt w:val="bullet"/>
      <w:lvlText w:val="•"/>
      <w:lvlJc w:val="left"/>
      <w:pPr>
        <w:ind w:left="2495" w:hanging="720"/>
      </w:pPr>
      <w:rPr>
        <w:rFonts w:hint="default"/>
      </w:rPr>
    </w:lvl>
    <w:lvl w:ilvl="4">
      <w:start w:val="0"/>
      <w:numFmt w:val="bullet"/>
      <w:lvlText w:val="•"/>
      <w:lvlJc w:val="left"/>
      <w:pPr>
        <w:ind w:left="3751" w:hanging="720"/>
      </w:pPr>
      <w:rPr>
        <w:rFonts w:hint="default"/>
      </w:rPr>
    </w:lvl>
    <w:lvl w:ilvl="5">
      <w:start w:val="0"/>
      <w:numFmt w:val="bullet"/>
      <w:lvlText w:val="•"/>
      <w:lvlJc w:val="left"/>
      <w:pPr>
        <w:ind w:left="5007" w:hanging="720"/>
      </w:pPr>
      <w:rPr>
        <w:rFonts w:hint="default"/>
      </w:rPr>
    </w:lvl>
    <w:lvl w:ilvl="6">
      <w:start w:val="0"/>
      <w:numFmt w:val="bullet"/>
      <w:lvlText w:val="•"/>
      <w:lvlJc w:val="left"/>
      <w:pPr>
        <w:ind w:left="6262" w:hanging="720"/>
      </w:pPr>
      <w:rPr>
        <w:rFonts w:hint="default"/>
      </w:rPr>
    </w:lvl>
    <w:lvl w:ilvl="7">
      <w:start w:val="0"/>
      <w:numFmt w:val="bullet"/>
      <w:lvlText w:val="•"/>
      <w:lvlJc w:val="left"/>
      <w:pPr>
        <w:ind w:left="7518" w:hanging="720"/>
      </w:pPr>
      <w:rPr>
        <w:rFonts w:hint="default"/>
      </w:rPr>
    </w:lvl>
    <w:lvl w:ilvl="8">
      <w:start w:val="0"/>
      <w:numFmt w:val="bullet"/>
      <w:lvlText w:val="•"/>
      <w:lvlJc w:val="left"/>
      <w:pPr>
        <w:ind w:left="8774" w:hanging="720"/>
      </w:pPr>
      <w:rPr>
        <w:rFonts w:hint="default"/>
      </w:rPr>
    </w:lvl>
  </w:abstractNum>
  <w:abstractNum w:abstractNumId="204">
    <w:multiLevelType w:val="hybridMultilevel"/>
    <w:lvl w:ilvl="0">
      <w:start w:val="1"/>
      <w:numFmt w:val="decimal"/>
      <w:lvlText w:val="%1)"/>
      <w:lvlJc w:val="left"/>
      <w:pPr>
        <w:ind w:left="1392" w:hanging="454"/>
        <w:jc w:val="left"/>
      </w:pPr>
      <w:rPr>
        <w:rFonts w:hint="default" w:ascii="Verdana" w:hAnsi="Verdana" w:eastAsia="Verdana" w:cs="Verdana"/>
        <w:color w:val="231F20"/>
        <w:spacing w:val="-17"/>
        <w:w w:val="111"/>
        <w:sz w:val="18"/>
        <w:szCs w:val="18"/>
      </w:rPr>
    </w:lvl>
    <w:lvl w:ilvl="1">
      <w:start w:val="1"/>
      <w:numFmt w:val="lowerLetter"/>
      <w:lvlText w:val="%2)"/>
      <w:lvlJc w:val="left"/>
      <w:pPr>
        <w:ind w:left="1846" w:hanging="454"/>
        <w:jc w:val="left"/>
      </w:pPr>
      <w:rPr>
        <w:rFonts w:hint="default" w:ascii="Verdana" w:hAnsi="Verdana" w:eastAsia="Verdana" w:cs="Verdana"/>
        <w:color w:val="231F20"/>
        <w:spacing w:val="-15"/>
        <w:w w:val="111"/>
        <w:sz w:val="18"/>
        <w:szCs w:val="18"/>
      </w:rPr>
    </w:lvl>
    <w:lvl w:ilvl="2">
      <w:start w:val="0"/>
      <w:numFmt w:val="bullet"/>
      <w:lvlText w:val="•"/>
      <w:lvlJc w:val="left"/>
      <w:pPr>
        <w:ind w:left="2889" w:hanging="454"/>
      </w:pPr>
      <w:rPr>
        <w:rFonts w:hint="default"/>
      </w:rPr>
    </w:lvl>
    <w:lvl w:ilvl="3">
      <w:start w:val="0"/>
      <w:numFmt w:val="bullet"/>
      <w:lvlText w:val="•"/>
      <w:lvlJc w:val="left"/>
      <w:pPr>
        <w:ind w:left="3939" w:hanging="454"/>
      </w:pPr>
      <w:rPr>
        <w:rFonts w:hint="default"/>
      </w:rPr>
    </w:lvl>
    <w:lvl w:ilvl="4">
      <w:start w:val="0"/>
      <w:numFmt w:val="bullet"/>
      <w:lvlText w:val="•"/>
      <w:lvlJc w:val="left"/>
      <w:pPr>
        <w:ind w:left="4988" w:hanging="454"/>
      </w:pPr>
      <w:rPr>
        <w:rFonts w:hint="default"/>
      </w:rPr>
    </w:lvl>
    <w:lvl w:ilvl="5">
      <w:start w:val="0"/>
      <w:numFmt w:val="bullet"/>
      <w:lvlText w:val="•"/>
      <w:lvlJc w:val="left"/>
      <w:pPr>
        <w:ind w:left="6038" w:hanging="454"/>
      </w:pPr>
      <w:rPr>
        <w:rFonts w:hint="default"/>
      </w:rPr>
    </w:lvl>
    <w:lvl w:ilvl="6">
      <w:start w:val="0"/>
      <w:numFmt w:val="bullet"/>
      <w:lvlText w:val="•"/>
      <w:lvlJc w:val="left"/>
      <w:pPr>
        <w:ind w:left="7087" w:hanging="454"/>
      </w:pPr>
      <w:rPr>
        <w:rFonts w:hint="default"/>
      </w:rPr>
    </w:lvl>
    <w:lvl w:ilvl="7">
      <w:start w:val="0"/>
      <w:numFmt w:val="bullet"/>
      <w:lvlText w:val="•"/>
      <w:lvlJc w:val="left"/>
      <w:pPr>
        <w:ind w:left="8137" w:hanging="454"/>
      </w:pPr>
      <w:rPr>
        <w:rFonts w:hint="default"/>
      </w:rPr>
    </w:lvl>
    <w:lvl w:ilvl="8">
      <w:start w:val="0"/>
      <w:numFmt w:val="bullet"/>
      <w:lvlText w:val="•"/>
      <w:lvlJc w:val="left"/>
      <w:pPr>
        <w:ind w:left="9186" w:hanging="454"/>
      </w:pPr>
      <w:rPr>
        <w:rFonts w:hint="default"/>
      </w:rPr>
    </w:lvl>
  </w:abstractNum>
  <w:abstractNum w:abstractNumId="203">
    <w:multiLevelType w:val="hybridMultilevel"/>
    <w:lvl w:ilvl="0">
      <w:start w:val="12"/>
      <w:numFmt w:val="upperLetter"/>
      <w:lvlText w:val="%1"/>
      <w:lvlJc w:val="left"/>
      <w:pPr>
        <w:ind w:left="513" w:hanging="720"/>
        <w:jc w:val="left"/>
      </w:pPr>
      <w:rPr>
        <w:rFonts w:hint="default"/>
      </w:rPr>
    </w:lvl>
    <w:lvl w:ilvl="1">
      <w:start w:val="12"/>
      <w:numFmt w:val="decimal"/>
      <w:lvlText w:val="%1.%2"/>
      <w:lvlJc w:val="left"/>
      <w:pPr>
        <w:ind w:left="513" w:hanging="720"/>
        <w:jc w:val="left"/>
      </w:pPr>
      <w:rPr>
        <w:rFonts w:hint="default" w:ascii="Verdana" w:hAnsi="Verdana" w:eastAsia="Verdana" w:cs="Verdana"/>
        <w:color w:val="231F20"/>
        <w:spacing w:val="-8"/>
        <w:w w:val="111"/>
        <w:sz w:val="18"/>
        <w:szCs w:val="18"/>
      </w:rPr>
    </w:lvl>
    <w:lvl w:ilvl="2">
      <w:start w:val="1"/>
      <w:numFmt w:val="decimal"/>
      <w:lvlText w:val="%1.%2.%3"/>
      <w:lvlJc w:val="left"/>
      <w:pPr>
        <w:ind w:left="1234"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3472" w:hanging="721"/>
      </w:pPr>
      <w:rPr>
        <w:rFonts w:hint="default"/>
      </w:rPr>
    </w:lvl>
    <w:lvl w:ilvl="4">
      <w:start w:val="0"/>
      <w:numFmt w:val="bullet"/>
      <w:lvlText w:val="•"/>
      <w:lvlJc w:val="left"/>
      <w:pPr>
        <w:ind w:left="4588" w:hanging="721"/>
      </w:pPr>
      <w:rPr>
        <w:rFonts w:hint="default"/>
      </w:rPr>
    </w:lvl>
    <w:lvl w:ilvl="5">
      <w:start w:val="0"/>
      <w:numFmt w:val="bullet"/>
      <w:lvlText w:val="•"/>
      <w:lvlJc w:val="left"/>
      <w:pPr>
        <w:ind w:left="5704" w:hanging="721"/>
      </w:pPr>
      <w:rPr>
        <w:rFonts w:hint="default"/>
      </w:rPr>
    </w:lvl>
    <w:lvl w:ilvl="6">
      <w:start w:val="0"/>
      <w:numFmt w:val="bullet"/>
      <w:lvlText w:val="•"/>
      <w:lvlJc w:val="left"/>
      <w:pPr>
        <w:ind w:left="6820" w:hanging="721"/>
      </w:pPr>
      <w:rPr>
        <w:rFonts w:hint="default"/>
      </w:rPr>
    </w:lvl>
    <w:lvl w:ilvl="7">
      <w:start w:val="0"/>
      <w:numFmt w:val="bullet"/>
      <w:lvlText w:val="•"/>
      <w:lvlJc w:val="left"/>
      <w:pPr>
        <w:ind w:left="7937" w:hanging="721"/>
      </w:pPr>
      <w:rPr>
        <w:rFonts w:hint="default"/>
      </w:rPr>
    </w:lvl>
    <w:lvl w:ilvl="8">
      <w:start w:val="0"/>
      <w:numFmt w:val="bullet"/>
      <w:lvlText w:val="•"/>
      <w:lvlJc w:val="left"/>
      <w:pPr>
        <w:ind w:left="9053" w:hanging="721"/>
      </w:pPr>
      <w:rPr>
        <w:rFonts w:hint="default"/>
      </w:rPr>
    </w:lvl>
  </w:abstractNum>
  <w:abstractNum w:abstractNumId="202">
    <w:multiLevelType w:val="hybridMultilevel"/>
    <w:lvl w:ilvl="0">
      <w:start w:val="12"/>
      <w:numFmt w:val="upperLetter"/>
      <w:lvlText w:val="%1"/>
      <w:lvlJc w:val="left"/>
      <w:pPr>
        <w:ind w:left="515" w:hanging="720"/>
        <w:jc w:val="left"/>
      </w:pPr>
      <w:rPr>
        <w:rFonts w:hint="default"/>
      </w:rPr>
    </w:lvl>
    <w:lvl w:ilvl="1">
      <w:start w:val="11"/>
      <w:numFmt w:val="decimal"/>
      <w:lvlText w:val="%1.%2"/>
      <w:lvlJc w:val="left"/>
      <w:pPr>
        <w:ind w:left="515" w:hanging="720"/>
        <w:jc w:val="left"/>
      </w:pPr>
      <w:rPr>
        <w:rFonts w:hint="default"/>
      </w:rPr>
    </w:lvl>
    <w:lvl w:ilvl="2">
      <w:start w:val="1"/>
      <w:numFmt w:val="decimal"/>
      <w:lvlText w:val="%1.%2.%3"/>
      <w:lvlJc w:val="left"/>
      <w:pPr>
        <w:ind w:left="515" w:hanging="720"/>
        <w:jc w:val="left"/>
      </w:pPr>
      <w:rPr>
        <w:rFonts w:hint="default" w:ascii="Verdana" w:hAnsi="Verdana" w:eastAsia="Verdana" w:cs="Verdana"/>
        <w:color w:val="231F20"/>
        <w:spacing w:val="-10"/>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201">
    <w:multiLevelType w:val="hybridMultilevel"/>
    <w:lvl w:ilvl="0">
      <w:start w:val="12"/>
      <w:numFmt w:val="upperLetter"/>
      <w:lvlText w:val="%1"/>
      <w:lvlJc w:val="left"/>
      <w:pPr>
        <w:ind w:left="515" w:hanging="721"/>
        <w:jc w:val="left"/>
      </w:pPr>
      <w:rPr>
        <w:rFonts w:hint="default"/>
      </w:rPr>
    </w:lvl>
    <w:lvl w:ilvl="1">
      <w:start w:val="10"/>
      <w:numFmt w:val="decimal"/>
      <w:lvlText w:val="%1.%2"/>
      <w:lvlJc w:val="left"/>
      <w:pPr>
        <w:ind w:left="515" w:hanging="721"/>
        <w:jc w:val="left"/>
      </w:pPr>
      <w:rPr>
        <w:rFonts w:hint="default"/>
      </w:rPr>
    </w:lvl>
    <w:lvl w:ilvl="2">
      <w:start w:val="1"/>
      <w:numFmt w:val="decimal"/>
      <w:lvlText w:val="%1.%2.%3"/>
      <w:lvlJc w:val="left"/>
      <w:pPr>
        <w:ind w:left="515"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1"/>
      </w:pPr>
      <w:rPr>
        <w:rFonts w:hint="default"/>
      </w:rPr>
    </w:lvl>
    <w:lvl w:ilvl="4">
      <w:start w:val="0"/>
      <w:numFmt w:val="bullet"/>
      <w:lvlText w:val="•"/>
      <w:lvlJc w:val="left"/>
      <w:pPr>
        <w:ind w:left="4826" w:hanging="721"/>
      </w:pPr>
      <w:rPr>
        <w:rFonts w:hint="default"/>
      </w:rPr>
    </w:lvl>
    <w:lvl w:ilvl="5">
      <w:start w:val="0"/>
      <w:numFmt w:val="bullet"/>
      <w:lvlText w:val="•"/>
      <w:lvlJc w:val="left"/>
      <w:pPr>
        <w:ind w:left="5902" w:hanging="721"/>
      </w:pPr>
      <w:rPr>
        <w:rFonts w:hint="default"/>
      </w:rPr>
    </w:lvl>
    <w:lvl w:ilvl="6">
      <w:start w:val="0"/>
      <w:numFmt w:val="bullet"/>
      <w:lvlText w:val="•"/>
      <w:lvlJc w:val="left"/>
      <w:pPr>
        <w:ind w:left="6979" w:hanging="721"/>
      </w:pPr>
      <w:rPr>
        <w:rFonts w:hint="default"/>
      </w:rPr>
    </w:lvl>
    <w:lvl w:ilvl="7">
      <w:start w:val="0"/>
      <w:numFmt w:val="bullet"/>
      <w:lvlText w:val="•"/>
      <w:lvlJc w:val="left"/>
      <w:pPr>
        <w:ind w:left="8055" w:hanging="721"/>
      </w:pPr>
      <w:rPr>
        <w:rFonts w:hint="default"/>
      </w:rPr>
    </w:lvl>
    <w:lvl w:ilvl="8">
      <w:start w:val="0"/>
      <w:numFmt w:val="bullet"/>
      <w:lvlText w:val="•"/>
      <w:lvlJc w:val="left"/>
      <w:pPr>
        <w:ind w:left="9132" w:hanging="721"/>
      </w:pPr>
      <w:rPr>
        <w:rFonts w:hint="default"/>
      </w:rPr>
    </w:lvl>
  </w:abstractNum>
  <w:abstractNum w:abstractNumId="200">
    <w:multiLevelType w:val="hybridMultilevel"/>
    <w:lvl w:ilvl="0">
      <w:start w:val="12"/>
      <w:numFmt w:val="upperLetter"/>
      <w:lvlText w:val="%1"/>
      <w:lvlJc w:val="left"/>
      <w:pPr>
        <w:ind w:left="1080" w:hanging="720"/>
        <w:jc w:val="left"/>
      </w:pPr>
      <w:rPr>
        <w:rFonts w:hint="default"/>
      </w:rPr>
    </w:lvl>
    <w:lvl w:ilvl="1">
      <w:start w:val="9"/>
      <w:numFmt w:val="decimal"/>
      <w:lvlText w:val="%1.%2"/>
      <w:lvlJc w:val="left"/>
      <w:pPr>
        <w:ind w:left="1080" w:hanging="720"/>
        <w:jc w:val="left"/>
      </w:pPr>
      <w:rPr>
        <w:rFonts w:hint="default"/>
      </w:rPr>
    </w:lvl>
    <w:lvl w:ilvl="2">
      <w:start w:val="1"/>
      <w:numFmt w:val="decimal"/>
      <w:lvlText w:val="%1.%2.%3"/>
      <w:lvlJc w:val="left"/>
      <w:pPr>
        <w:ind w:left="1080" w:hanging="720"/>
        <w:jc w:val="right"/>
      </w:pPr>
      <w:rPr>
        <w:rFonts w:hint="default" w:ascii="Verdana" w:hAnsi="Verdana" w:eastAsia="Verdana" w:cs="Verdana"/>
        <w:color w:val="231F20"/>
        <w:spacing w:val="-9"/>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99">
    <w:multiLevelType w:val="hybridMultilevel"/>
    <w:lvl w:ilvl="0">
      <w:start w:val="12"/>
      <w:numFmt w:val="upperLetter"/>
      <w:lvlText w:val="%1"/>
      <w:lvlJc w:val="left"/>
      <w:pPr>
        <w:ind w:left="513" w:hanging="720"/>
        <w:jc w:val="left"/>
      </w:pPr>
      <w:rPr>
        <w:rFonts w:hint="default"/>
      </w:rPr>
    </w:lvl>
    <w:lvl w:ilvl="1">
      <w:start w:val="7"/>
      <w:numFmt w:val="decimal"/>
      <w:lvlText w:val="%1.%2"/>
      <w:lvlJc w:val="left"/>
      <w:pPr>
        <w:ind w:left="513" w:hanging="720"/>
        <w:jc w:val="right"/>
      </w:pPr>
      <w:rPr>
        <w:rFonts w:hint="default" w:ascii="Verdana" w:hAnsi="Verdana" w:eastAsia="Verdana" w:cs="Verdana"/>
        <w:color w:val="231F20"/>
        <w:spacing w:val="-9"/>
        <w:w w:val="111"/>
        <w:sz w:val="18"/>
        <w:szCs w:val="18"/>
      </w:rPr>
    </w:lvl>
    <w:lvl w:ilvl="2">
      <w:start w:val="1"/>
      <w:numFmt w:val="decimal"/>
      <w:lvlText w:val="%1.%2.%3"/>
      <w:lvlJc w:val="left"/>
      <w:pPr>
        <w:ind w:left="1233" w:hanging="720"/>
        <w:jc w:val="right"/>
      </w:pPr>
      <w:rPr>
        <w:rFonts w:hint="default" w:ascii="Verdana" w:hAnsi="Verdana" w:eastAsia="Verdana" w:cs="Verdana"/>
        <w:color w:val="231F20"/>
        <w:spacing w:val="-25"/>
        <w:w w:val="111"/>
        <w:sz w:val="18"/>
        <w:szCs w:val="18"/>
      </w:rPr>
    </w:lvl>
    <w:lvl w:ilvl="3">
      <w:start w:val="0"/>
      <w:numFmt w:val="bullet"/>
      <w:lvlText w:val="•"/>
      <w:lvlJc w:val="left"/>
      <w:pPr>
        <w:ind w:left="2495" w:hanging="720"/>
      </w:pPr>
      <w:rPr>
        <w:rFonts w:hint="default"/>
      </w:rPr>
    </w:lvl>
    <w:lvl w:ilvl="4">
      <w:start w:val="0"/>
      <w:numFmt w:val="bullet"/>
      <w:lvlText w:val="•"/>
      <w:lvlJc w:val="left"/>
      <w:pPr>
        <w:ind w:left="3751" w:hanging="720"/>
      </w:pPr>
      <w:rPr>
        <w:rFonts w:hint="default"/>
      </w:rPr>
    </w:lvl>
    <w:lvl w:ilvl="5">
      <w:start w:val="0"/>
      <w:numFmt w:val="bullet"/>
      <w:lvlText w:val="•"/>
      <w:lvlJc w:val="left"/>
      <w:pPr>
        <w:ind w:left="5007" w:hanging="720"/>
      </w:pPr>
      <w:rPr>
        <w:rFonts w:hint="default"/>
      </w:rPr>
    </w:lvl>
    <w:lvl w:ilvl="6">
      <w:start w:val="0"/>
      <w:numFmt w:val="bullet"/>
      <w:lvlText w:val="•"/>
      <w:lvlJc w:val="left"/>
      <w:pPr>
        <w:ind w:left="6262" w:hanging="720"/>
      </w:pPr>
      <w:rPr>
        <w:rFonts w:hint="default"/>
      </w:rPr>
    </w:lvl>
    <w:lvl w:ilvl="7">
      <w:start w:val="0"/>
      <w:numFmt w:val="bullet"/>
      <w:lvlText w:val="•"/>
      <w:lvlJc w:val="left"/>
      <w:pPr>
        <w:ind w:left="7518" w:hanging="720"/>
      </w:pPr>
      <w:rPr>
        <w:rFonts w:hint="default"/>
      </w:rPr>
    </w:lvl>
    <w:lvl w:ilvl="8">
      <w:start w:val="0"/>
      <w:numFmt w:val="bullet"/>
      <w:lvlText w:val="•"/>
      <w:lvlJc w:val="left"/>
      <w:pPr>
        <w:ind w:left="8774" w:hanging="720"/>
      </w:pPr>
      <w:rPr>
        <w:rFonts w:hint="default"/>
      </w:rPr>
    </w:lvl>
  </w:abstractNum>
  <w:abstractNum w:abstractNumId="198">
    <w:multiLevelType w:val="hybridMultilevel"/>
    <w:lvl w:ilvl="0">
      <w:start w:val="12"/>
      <w:numFmt w:val="upperLetter"/>
      <w:lvlText w:val="%1"/>
      <w:lvlJc w:val="left"/>
      <w:pPr>
        <w:ind w:left="513" w:hanging="720"/>
        <w:jc w:val="left"/>
      </w:pPr>
      <w:rPr>
        <w:rFonts w:hint="default"/>
      </w:rPr>
    </w:lvl>
    <w:lvl w:ilvl="1">
      <w:start w:val="6"/>
      <w:numFmt w:val="decimal"/>
      <w:lvlText w:val="%1.%2"/>
      <w:lvlJc w:val="left"/>
      <w:pPr>
        <w:ind w:left="513" w:hanging="720"/>
        <w:jc w:val="left"/>
      </w:pPr>
      <w:rPr>
        <w:rFonts w:hint="default"/>
      </w:rPr>
    </w:lvl>
    <w:lvl w:ilvl="2">
      <w:start w:val="1"/>
      <w:numFmt w:val="decimal"/>
      <w:lvlText w:val="%1.%2.%3"/>
      <w:lvlJc w:val="left"/>
      <w:pPr>
        <w:ind w:left="51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97">
    <w:multiLevelType w:val="hybridMultilevel"/>
    <w:lvl w:ilvl="0">
      <w:start w:val="12"/>
      <w:numFmt w:val="upperLetter"/>
      <w:lvlText w:val="%1"/>
      <w:lvlJc w:val="left"/>
      <w:pPr>
        <w:ind w:left="513" w:hanging="720"/>
        <w:jc w:val="left"/>
      </w:pPr>
      <w:rPr>
        <w:rFonts w:hint="default"/>
      </w:rPr>
    </w:lvl>
    <w:lvl w:ilvl="1">
      <w:start w:val="5"/>
      <w:numFmt w:val="decimal"/>
      <w:lvlText w:val="%1.%2"/>
      <w:lvlJc w:val="left"/>
      <w:pPr>
        <w:ind w:left="513" w:hanging="720"/>
        <w:jc w:val="left"/>
      </w:pPr>
      <w:rPr>
        <w:rFonts w:hint="default"/>
      </w:rPr>
    </w:lvl>
    <w:lvl w:ilvl="2">
      <w:start w:val="1"/>
      <w:numFmt w:val="decimal"/>
      <w:lvlText w:val="%1.%2.%3"/>
      <w:lvlJc w:val="left"/>
      <w:pPr>
        <w:ind w:left="51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96">
    <w:multiLevelType w:val="hybridMultilevel"/>
    <w:lvl w:ilvl="0">
      <w:start w:val="12"/>
      <w:numFmt w:val="upperLetter"/>
      <w:lvlText w:val="%1"/>
      <w:lvlJc w:val="left"/>
      <w:pPr>
        <w:ind w:left="514" w:hanging="720"/>
        <w:jc w:val="left"/>
      </w:pPr>
      <w:rPr>
        <w:rFonts w:hint="default"/>
      </w:rPr>
    </w:lvl>
    <w:lvl w:ilvl="1">
      <w:start w:val="4"/>
      <w:numFmt w:val="decimal"/>
      <w:lvlText w:val="%1.%2"/>
      <w:lvlJc w:val="left"/>
      <w:pPr>
        <w:ind w:left="514" w:hanging="720"/>
        <w:jc w:val="left"/>
      </w:pPr>
      <w:rPr>
        <w:rFonts w:hint="default"/>
      </w:rPr>
    </w:lvl>
    <w:lvl w:ilvl="2">
      <w:start w:val="1"/>
      <w:numFmt w:val="decimal"/>
      <w:lvlText w:val="%1.%2.%3"/>
      <w:lvlJc w:val="left"/>
      <w:pPr>
        <w:ind w:left="514" w:hanging="720"/>
        <w:jc w:val="left"/>
      </w:pPr>
      <w:rPr>
        <w:rFonts w:hint="default" w:ascii="Verdana" w:hAnsi="Verdana" w:eastAsia="Verdana" w:cs="Verdana"/>
        <w:color w:val="231F20"/>
        <w:spacing w:val="-6"/>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95">
    <w:multiLevelType w:val="hybridMultilevel"/>
    <w:lvl w:ilvl="0">
      <w:start w:val="12"/>
      <w:numFmt w:val="upperLetter"/>
      <w:lvlText w:val="%1"/>
      <w:lvlJc w:val="left"/>
      <w:pPr>
        <w:ind w:left="1084" w:hanging="720"/>
        <w:jc w:val="left"/>
      </w:pPr>
      <w:rPr>
        <w:rFonts w:hint="default"/>
      </w:rPr>
    </w:lvl>
    <w:lvl w:ilvl="1">
      <w:start w:val="3"/>
      <w:numFmt w:val="decimal"/>
      <w:lvlText w:val="%1.%2"/>
      <w:lvlJc w:val="left"/>
      <w:pPr>
        <w:ind w:left="1084" w:hanging="720"/>
        <w:jc w:val="left"/>
      </w:pPr>
      <w:rPr>
        <w:rFonts w:hint="default"/>
      </w:rPr>
    </w:lvl>
    <w:lvl w:ilvl="2">
      <w:start w:val="1"/>
      <w:numFmt w:val="decimal"/>
      <w:lvlText w:val="%1.%2.%3"/>
      <w:lvlJc w:val="left"/>
      <w:pPr>
        <w:ind w:left="1084"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94">
    <w:multiLevelType w:val="hybridMultilevel"/>
    <w:lvl w:ilvl="0">
      <w:start w:val="12"/>
      <w:numFmt w:val="upperLetter"/>
      <w:lvlText w:val="%1"/>
      <w:lvlJc w:val="left"/>
      <w:pPr>
        <w:ind w:left="1080" w:hanging="720"/>
        <w:jc w:val="left"/>
      </w:pPr>
      <w:rPr>
        <w:rFonts w:hint="default"/>
      </w:rPr>
    </w:lvl>
    <w:lvl w:ilvl="1">
      <w:start w:val="1"/>
      <w:numFmt w:val="decimal"/>
      <w:lvlText w:val="%1.%2"/>
      <w:lvlJc w:val="left"/>
      <w:pPr>
        <w:ind w:left="1080" w:hanging="720"/>
        <w:jc w:val="left"/>
      </w:pPr>
      <w:rPr>
        <w:rFonts w:hint="default"/>
      </w:rPr>
    </w:lvl>
    <w:lvl w:ilvl="2">
      <w:start w:val="1"/>
      <w:numFmt w:val="decimal"/>
      <w:lvlText w:val="%1.%2.%3"/>
      <w:lvlJc w:val="left"/>
      <w:pPr>
        <w:ind w:left="108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93">
    <w:multiLevelType w:val="hybridMultilevel"/>
    <w:lvl w:ilvl="0">
      <w:start w:val="11"/>
      <w:numFmt w:val="upperLetter"/>
      <w:lvlText w:val="%1"/>
      <w:lvlJc w:val="left"/>
      <w:pPr>
        <w:ind w:left="513" w:hanging="720"/>
        <w:jc w:val="left"/>
      </w:pPr>
      <w:rPr>
        <w:rFonts w:hint="default"/>
      </w:rPr>
    </w:lvl>
    <w:lvl w:ilvl="1">
      <w:start w:val="5"/>
      <w:numFmt w:val="decimal"/>
      <w:lvlText w:val="%1.%2"/>
      <w:lvlJc w:val="left"/>
      <w:pPr>
        <w:ind w:left="513" w:hanging="720"/>
        <w:jc w:val="left"/>
      </w:pPr>
      <w:rPr>
        <w:rFonts w:hint="default" w:ascii="Verdana" w:hAnsi="Verdana" w:eastAsia="Verdana" w:cs="Verdana"/>
        <w:color w:val="231F20"/>
        <w:spacing w:val="-1"/>
        <w:w w:val="111"/>
        <w:sz w:val="18"/>
        <w:szCs w:val="18"/>
      </w:rPr>
    </w:lvl>
    <w:lvl w:ilvl="2">
      <w:start w:val="1"/>
      <w:numFmt w:val="decimal"/>
      <w:lvlText w:val="%1.%2.%3"/>
      <w:lvlJc w:val="left"/>
      <w:pPr>
        <w:ind w:left="513"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1"/>
      </w:pPr>
      <w:rPr>
        <w:rFonts w:hint="default"/>
      </w:rPr>
    </w:lvl>
    <w:lvl w:ilvl="4">
      <w:start w:val="0"/>
      <w:numFmt w:val="bullet"/>
      <w:lvlText w:val="•"/>
      <w:lvlJc w:val="left"/>
      <w:pPr>
        <w:ind w:left="4826" w:hanging="721"/>
      </w:pPr>
      <w:rPr>
        <w:rFonts w:hint="default"/>
      </w:rPr>
    </w:lvl>
    <w:lvl w:ilvl="5">
      <w:start w:val="0"/>
      <w:numFmt w:val="bullet"/>
      <w:lvlText w:val="•"/>
      <w:lvlJc w:val="left"/>
      <w:pPr>
        <w:ind w:left="5902" w:hanging="721"/>
      </w:pPr>
      <w:rPr>
        <w:rFonts w:hint="default"/>
      </w:rPr>
    </w:lvl>
    <w:lvl w:ilvl="6">
      <w:start w:val="0"/>
      <w:numFmt w:val="bullet"/>
      <w:lvlText w:val="•"/>
      <w:lvlJc w:val="left"/>
      <w:pPr>
        <w:ind w:left="6979" w:hanging="721"/>
      </w:pPr>
      <w:rPr>
        <w:rFonts w:hint="default"/>
      </w:rPr>
    </w:lvl>
    <w:lvl w:ilvl="7">
      <w:start w:val="0"/>
      <w:numFmt w:val="bullet"/>
      <w:lvlText w:val="•"/>
      <w:lvlJc w:val="left"/>
      <w:pPr>
        <w:ind w:left="8055" w:hanging="721"/>
      </w:pPr>
      <w:rPr>
        <w:rFonts w:hint="default"/>
      </w:rPr>
    </w:lvl>
    <w:lvl w:ilvl="8">
      <w:start w:val="0"/>
      <w:numFmt w:val="bullet"/>
      <w:lvlText w:val="•"/>
      <w:lvlJc w:val="left"/>
      <w:pPr>
        <w:ind w:left="9132" w:hanging="721"/>
      </w:pPr>
      <w:rPr>
        <w:rFonts w:hint="default"/>
      </w:rPr>
    </w:lvl>
  </w:abstractNum>
  <w:abstractNum w:abstractNumId="192">
    <w:multiLevelType w:val="hybridMultilevel"/>
    <w:lvl w:ilvl="0">
      <w:start w:val="11"/>
      <w:numFmt w:val="upperLetter"/>
      <w:lvlText w:val="%1"/>
      <w:lvlJc w:val="left"/>
      <w:pPr>
        <w:ind w:left="513" w:hanging="720"/>
        <w:jc w:val="left"/>
      </w:pPr>
      <w:rPr>
        <w:rFonts w:hint="default"/>
      </w:rPr>
    </w:lvl>
    <w:lvl w:ilvl="1">
      <w:start w:val="4"/>
      <w:numFmt w:val="decimal"/>
      <w:lvlText w:val="%1.%2"/>
      <w:lvlJc w:val="left"/>
      <w:pPr>
        <w:ind w:left="513" w:hanging="720"/>
        <w:jc w:val="left"/>
      </w:pPr>
      <w:rPr>
        <w:rFonts w:hint="default"/>
      </w:rPr>
    </w:lvl>
    <w:lvl w:ilvl="2">
      <w:start w:val="1"/>
      <w:numFmt w:val="decimal"/>
      <w:lvlText w:val="%1.%2.%3"/>
      <w:lvlJc w:val="left"/>
      <w:pPr>
        <w:ind w:left="51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91">
    <w:multiLevelType w:val="hybridMultilevel"/>
    <w:lvl w:ilvl="0">
      <w:start w:val="10"/>
      <w:numFmt w:val="upperLetter"/>
      <w:lvlText w:val="%1."/>
      <w:lvlJc w:val="left"/>
      <w:pPr>
        <w:ind w:left="1233" w:hanging="721"/>
        <w:jc w:val="right"/>
      </w:pPr>
      <w:rPr>
        <w:rFonts w:hint="default" w:ascii="Verdana" w:hAnsi="Verdana" w:eastAsia="Verdana" w:cs="Verdana"/>
        <w:b/>
        <w:bCs/>
        <w:color w:val="231F20"/>
        <w:spacing w:val="-2"/>
        <w:w w:val="109"/>
        <w:sz w:val="20"/>
        <w:szCs w:val="20"/>
      </w:rPr>
    </w:lvl>
    <w:lvl w:ilvl="1">
      <w:start w:val="1"/>
      <w:numFmt w:val="decimal"/>
      <w:lvlText w:val="%1.%2"/>
      <w:lvlJc w:val="left"/>
      <w:pPr>
        <w:ind w:left="515" w:hanging="721"/>
        <w:jc w:val="right"/>
      </w:pPr>
      <w:rPr>
        <w:rFonts w:hint="default" w:ascii="Verdana" w:hAnsi="Verdana" w:eastAsia="Verdana" w:cs="Verdana"/>
        <w:color w:val="231F20"/>
        <w:spacing w:val="-10"/>
        <w:w w:val="111"/>
        <w:sz w:val="18"/>
        <w:szCs w:val="18"/>
      </w:rPr>
    </w:lvl>
    <w:lvl w:ilvl="2">
      <w:start w:val="1"/>
      <w:numFmt w:val="decimal"/>
      <w:lvlText w:val="%1.%2.%3"/>
      <w:lvlJc w:val="left"/>
      <w:pPr>
        <w:ind w:left="108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1800" w:hanging="720"/>
      </w:pPr>
      <w:rPr>
        <w:rFonts w:hint="default"/>
      </w:rPr>
    </w:lvl>
    <w:lvl w:ilvl="4">
      <w:start w:val="0"/>
      <w:numFmt w:val="bullet"/>
      <w:lvlText w:val="•"/>
      <w:lvlJc w:val="left"/>
      <w:pPr>
        <w:ind w:left="3155" w:hanging="720"/>
      </w:pPr>
      <w:rPr>
        <w:rFonts w:hint="default"/>
      </w:rPr>
    </w:lvl>
    <w:lvl w:ilvl="5">
      <w:start w:val="0"/>
      <w:numFmt w:val="bullet"/>
      <w:lvlText w:val="•"/>
      <w:lvlJc w:val="left"/>
      <w:pPr>
        <w:ind w:left="4510" w:hanging="720"/>
      </w:pPr>
      <w:rPr>
        <w:rFonts w:hint="default"/>
      </w:rPr>
    </w:lvl>
    <w:lvl w:ilvl="6">
      <w:start w:val="0"/>
      <w:numFmt w:val="bullet"/>
      <w:lvlText w:val="•"/>
      <w:lvlJc w:val="left"/>
      <w:pPr>
        <w:ind w:left="5865" w:hanging="720"/>
      </w:pPr>
      <w:rPr>
        <w:rFonts w:hint="default"/>
      </w:rPr>
    </w:lvl>
    <w:lvl w:ilvl="7">
      <w:start w:val="0"/>
      <w:numFmt w:val="bullet"/>
      <w:lvlText w:val="•"/>
      <w:lvlJc w:val="left"/>
      <w:pPr>
        <w:ind w:left="7220" w:hanging="720"/>
      </w:pPr>
      <w:rPr>
        <w:rFonts w:hint="default"/>
      </w:rPr>
    </w:lvl>
    <w:lvl w:ilvl="8">
      <w:start w:val="0"/>
      <w:numFmt w:val="bullet"/>
      <w:lvlText w:val="•"/>
      <w:lvlJc w:val="left"/>
      <w:pPr>
        <w:ind w:left="8575" w:hanging="720"/>
      </w:pPr>
      <w:rPr>
        <w:rFonts w:hint="default"/>
      </w:rPr>
    </w:lvl>
  </w:abstractNum>
  <w:abstractNum w:abstractNumId="190">
    <w:multiLevelType w:val="hybridMultilevel"/>
    <w:lvl w:ilvl="0">
      <w:start w:val="8"/>
      <w:numFmt w:val="upperLetter"/>
      <w:lvlText w:val="%1"/>
      <w:lvlJc w:val="left"/>
      <w:pPr>
        <w:ind w:left="513" w:hanging="720"/>
        <w:jc w:val="left"/>
      </w:pPr>
      <w:rPr>
        <w:rFonts w:hint="default"/>
      </w:rPr>
    </w:lvl>
    <w:lvl w:ilvl="1">
      <w:start w:val="4"/>
      <w:numFmt w:val="decimal"/>
      <w:lvlText w:val="%1.%2"/>
      <w:lvlJc w:val="left"/>
      <w:pPr>
        <w:ind w:left="513" w:hanging="720"/>
        <w:jc w:val="left"/>
      </w:pPr>
      <w:rPr>
        <w:rFonts w:hint="default" w:ascii="Verdana" w:hAnsi="Verdana" w:eastAsia="Verdana" w:cs="Verdana"/>
        <w:color w:val="231F20"/>
        <w:spacing w:val="-6"/>
        <w:w w:val="111"/>
        <w:sz w:val="18"/>
        <w:szCs w:val="18"/>
      </w:rPr>
    </w:lvl>
    <w:lvl w:ilvl="2">
      <w:start w:val="0"/>
      <w:numFmt w:val="bullet"/>
      <w:lvlText w:val="•"/>
      <w:lvlJc w:val="left"/>
      <w:pPr>
        <w:ind w:left="2673" w:hanging="720"/>
      </w:pPr>
      <w:rPr>
        <w:rFonts w:hint="default"/>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89">
    <w:multiLevelType w:val="hybridMultilevel"/>
    <w:lvl w:ilvl="0">
      <w:start w:val="8"/>
      <w:numFmt w:val="upperLetter"/>
      <w:lvlText w:val="%1"/>
      <w:lvlJc w:val="left"/>
      <w:pPr>
        <w:ind w:left="1809" w:hanging="721"/>
        <w:jc w:val="left"/>
      </w:pPr>
      <w:rPr>
        <w:rFonts w:hint="default"/>
      </w:rPr>
    </w:lvl>
    <w:lvl w:ilvl="1">
      <w:start w:val="3"/>
      <w:numFmt w:val="decimal"/>
      <w:lvlText w:val="%1.%2"/>
      <w:lvlJc w:val="left"/>
      <w:pPr>
        <w:ind w:left="1809" w:hanging="721"/>
        <w:jc w:val="left"/>
      </w:pPr>
      <w:rPr>
        <w:rFonts w:hint="default"/>
      </w:rPr>
    </w:lvl>
    <w:lvl w:ilvl="2">
      <w:start w:val="1"/>
      <w:numFmt w:val="decimal"/>
      <w:lvlText w:val="%1.%2.%3"/>
      <w:lvlJc w:val="left"/>
      <w:pPr>
        <w:ind w:left="1809" w:hanging="721"/>
        <w:jc w:val="right"/>
      </w:pPr>
      <w:rPr>
        <w:rFonts w:hint="default" w:ascii="Verdana" w:hAnsi="Verdana" w:eastAsia="Verdana" w:cs="Verdana"/>
        <w:color w:val="231F20"/>
        <w:spacing w:val="-8"/>
        <w:w w:val="111"/>
        <w:sz w:val="18"/>
        <w:szCs w:val="18"/>
      </w:rPr>
    </w:lvl>
    <w:lvl w:ilvl="3">
      <w:start w:val="0"/>
      <w:numFmt w:val="bullet"/>
      <w:lvlText w:val="•"/>
      <w:lvlJc w:val="left"/>
      <w:pPr>
        <w:ind w:left="4645" w:hanging="721"/>
      </w:pPr>
      <w:rPr>
        <w:rFonts w:hint="default"/>
      </w:rPr>
    </w:lvl>
    <w:lvl w:ilvl="4">
      <w:start w:val="0"/>
      <w:numFmt w:val="bullet"/>
      <w:lvlText w:val="•"/>
      <w:lvlJc w:val="left"/>
      <w:pPr>
        <w:ind w:left="5594" w:hanging="721"/>
      </w:pPr>
      <w:rPr>
        <w:rFonts w:hint="default"/>
      </w:rPr>
    </w:lvl>
    <w:lvl w:ilvl="5">
      <w:start w:val="0"/>
      <w:numFmt w:val="bullet"/>
      <w:lvlText w:val="•"/>
      <w:lvlJc w:val="left"/>
      <w:pPr>
        <w:ind w:left="6542" w:hanging="721"/>
      </w:pPr>
      <w:rPr>
        <w:rFonts w:hint="default"/>
      </w:rPr>
    </w:lvl>
    <w:lvl w:ilvl="6">
      <w:start w:val="0"/>
      <w:numFmt w:val="bullet"/>
      <w:lvlText w:val="•"/>
      <w:lvlJc w:val="left"/>
      <w:pPr>
        <w:ind w:left="7491" w:hanging="721"/>
      </w:pPr>
      <w:rPr>
        <w:rFonts w:hint="default"/>
      </w:rPr>
    </w:lvl>
    <w:lvl w:ilvl="7">
      <w:start w:val="0"/>
      <w:numFmt w:val="bullet"/>
      <w:lvlText w:val="•"/>
      <w:lvlJc w:val="left"/>
      <w:pPr>
        <w:ind w:left="8439" w:hanging="721"/>
      </w:pPr>
      <w:rPr>
        <w:rFonts w:hint="default"/>
      </w:rPr>
    </w:lvl>
    <w:lvl w:ilvl="8">
      <w:start w:val="0"/>
      <w:numFmt w:val="bullet"/>
      <w:lvlText w:val="•"/>
      <w:lvlJc w:val="left"/>
      <w:pPr>
        <w:ind w:left="9388" w:hanging="721"/>
      </w:pPr>
      <w:rPr>
        <w:rFonts w:hint="default"/>
      </w:rPr>
    </w:lvl>
  </w:abstractNum>
  <w:abstractNum w:abstractNumId="188">
    <w:multiLevelType w:val="hybridMultilevel"/>
    <w:lvl w:ilvl="0">
      <w:start w:val="8"/>
      <w:numFmt w:val="upperLetter"/>
      <w:lvlText w:val="%1"/>
      <w:lvlJc w:val="left"/>
      <w:pPr>
        <w:ind w:left="1089" w:hanging="721"/>
        <w:jc w:val="left"/>
      </w:pPr>
      <w:rPr>
        <w:rFonts w:hint="default"/>
      </w:rPr>
    </w:lvl>
    <w:lvl w:ilvl="1">
      <w:start w:val="2"/>
      <w:numFmt w:val="decimal"/>
      <w:lvlText w:val="%1.%2"/>
      <w:lvlJc w:val="left"/>
      <w:pPr>
        <w:ind w:left="1089" w:hanging="721"/>
        <w:jc w:val="left"/>
      </w:pPr>
      <w:rPr>
        <w:rFonts w:hint="default"/>
      </w:rPr>
    </w:lvl>
    <w:lvl w:ilvl="2">
      <w:start w:val="1"/>
      <w:numFmt w:val="decimal"/>
      <w:lvlText w:val="%1.%2.%3"/>
      <w:lvlJc w:val="left"/>
      <w:pPr>
        <w:ind w:left="1089"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4141" w:hanging="721"/>
      </w:pPr>
      <w:rPr>
        <w:rFonts w:hint="default"/>
      </w:rPr>
    </w:lvl>
    <w:lvl w:ilvl="4">
      <w:start w:val="0"/>
      <w:numFmt w:val="bullet"/>
      <w:lvlText w:val="•"/>
      <w:lvlJc w:val="left"/>
      <w:pPr>
        <w:ind w:left="5162" w:hanging="721"/>
      </w:pPr>
      <w:rPr>
        <w:rFonts w:hint="default"/>
      </w:rPr>
    </w:lvl>
    <w:lvl w:ilvl="5">
      <w:start w:val="0"/>
      <w:numFmt w:val="bullet"/>
      <w:lvlText w:val="•"/>
      <w:lvlJc w:val="left"/>
      <w:pPr>
        <w:ind w:left="6182" w:hanging="721"/>
      </w:pPr>
      <w:rPr>
        <w:rFonts w:hint="default"/>
      </w:rPr>
    </w:lvl>
    <w:lvl w:ilvl="6">
      <w:start w:val="0"/>
      <w:numFmt w:val="bullet"/>
      <w:lvlText w:val="•"/>
      <w:lvlJc w:val="left"/>
      <w:pPr>
        <w:ind w:left="7203" w:hanging="721"/>
      </w:pPr>
      <w:rPr>
        <w:rFonts w:hint="default"/>
      </w:rPr>
    </w:lvl>
    <w:lvl w:ilvl="7">
      <w:start w:val="0"/>
      <w:numFmt w:val="bullet"/>
      <w:lvlText w:val="•"/>
      <w:lvlJc w:val="left"/>
      <w:pPr>
        <w:ind w:left="8223" w:hanging="721"/>
      </w:pPr>
      <w:rPr>
        <w:rFonts w:hint="default"/>
      </w:rPr>
    </w:lvl>
    <w:lvl w:ilvl="8">
      <w:start w:val="0"/>
      <w:numFmt w:val="bullet"/>
      <w:lvlText w:val="•"/>
      <w:lvlJc w:val="left"/>
      <w:pPr>
        <w:ind w:left="9244" w:hanging="721"/>
      </w:pPr>
      <w:rPr>
        <w:rFonts w:hint="default"/>
      </w:rPr>
    </w:lvl>
  </w:abstractNum>
  <w:abstractNum w:abstractNumId="187">
    <w:multiLevelType w:val="hybridMultilevel"/>
    <w:lvl w:ilvl="0">
      <w:start w:val="8"/>
      <w:numFmt w:val="upperLetter"/>
      <w:lvlText w:val="%1"/>
      <w:lvlJc w:val="left"/>
      <w:pPr>
        <w:ind w:left="1081" w:hanging="720"/>
        <w:jc w:val="left"/>
      </w:pPr>
      <w:rPr>
        <w:rFonts w:hint="default"/>
      </w:rPr>
    </w:lvl>
    <w:lvl w:ilvl="1">
      <w:start w:val="1"/>
      <w:numFmt w:val="decimal"/>
      <w:lvlText w:val="%1.%2"/>
      <w:lvlJc w:val="left"/>
      <w:pPr>
        <w:ind w:left="1081" w:hanging="720"/>
        <w:jc w:val="left"/>
      </w:pPr>
      <w:rPr>
        <w:rFonts w:hint="default"/>
      </w:rPr>
    </w:lvl>
    <w:lvl w:ilvl="2">
      <w:start w:val="1"/>
      <w:numFmt w:val="decimal"/>
      <w:lvlText w:val="%1.%2.%3"/>
      <w:lvlJc w:val="left"/>
      <w:pPr>
        <w:ind w:left="1081" w:hanging="720"/>
        <w:jc w:val="left"/>
      </w:pPr>
      <w:rPr>
        <w:rFonts w:hint="default" w:ascii="Verdana" w:hAnsi="Verdana" w:eastAsia="Verdana" w:cs="Verdana"/>
        <w:color w:val="231F20"/>
        <w:spacing w:val="-10"/>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86">
    <w:multiLevelType w:val="hybridMultilevel"/>
    <w:lvl w:ilvl="0">
      <w:start w:val="7"/>
      <w:numFmt w:val="upperLetter"/>
      <w:lvlText w:val="%1"/>
      <w:lvlJc w:val="left"/>
      <w:pPr>
        <w:ind w:left="515" w:hanging="720"/>
        <w:jc w:val="left"/>
      </w:pPr>
      <w:rPr>
        <w:rFonts w:hint="default"/>
      </w:rPr>
    </w:lvl>
    <w:lvl w:ilvl="1">
      <w:start w:val="4"/>
      <w:numFmt w:val="decimal"/>
      <w:lvlText w:val="%1.%2"/>
      <w:lvlJc w:val="left"/>
      <w:pPr>
        <w:ind w:left="515" w:hanging="720"/>
        <w:jc w:val="left"/>
      </w:pPr>
      <w:rPr>
        <w:rFonts w:hint="default"/>
      </w:rPr>
    </w:lvl>
    <w:lvl w:ilvl="2">
      <w:start w:val="1"/>
      <w:numFmt w:val="decimal"/>
      <w:lvlText w:val="%1.%2.%3"/>
      <w:lvlJc w:val="left"/>
      <w:pPr>
        <w:ind w:left="515" w:hanging="720"/>
        <w:jc w:val="right"/>
      </w:pPr>
      <w:rPr>
        <w:rFonts w:hint="default" w:ascii="Verdana" w:hAnsi="Verdana" w:eastAsia="Verdana" w:cs="Verdana"/>
        <w:color w:val="231F20"/>
        <w:spacing w:val="-8"/>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85">
    <w:multiLevelType w:val="hybridMultilevel"/>
    <w:lvl w:ilvl="0">
      <w:start w:val="6"/>
      <w:numFmt w:val="upperLetter"/>
      <w:lvlText w:val="%1"/>
      <w:lvlJc w:val="left"/>
      <w:pPr>
        <w:ind w:left="1233" w:hanging="720"/>
        <w:jc w:val="left"/>
      </w:pPr>
      <w:rPr>
        <w:rFonts w:hint="default"/>
      </w:rPr>
    </w:lvl>
    <w:lvl w:ilvl="1">
      <w:start w:val="2"/>
      <w:numFmt w:val="decimal"/>
      <w:lvlText w:val="%1.%2"/>
      <w:lvlJc w:val="left"/>
      <w:pPr>
        <w:ind w:left="1233" w:hanging="720"/>
        <w:jc w:val="left"/>
      </w:pPr>
      <w:rPr>
        <w:rFonts w:hint="default"/>
      </w:rPr>
    </w:lvl>
    <w:lvl w:ilvl="2">
      <w:start w:val="1"/>
      <w:numFmt w:val="decimal"/>
      <w:lvlText w:val="%1.%2.%3"/>
      <w:lvlJc w:val="left"/>
      <w:pPr>
        <w:ind w:left="1233" w:hanging="720"/>
        <w:jc w:val="left"/>
      </w:pPr>
      <w:rPr>
        <w:rFonts w:hint="default" w:ascii="Verdana" w:hAnsi="Verdana" w:eastAsia="Verdana" w:cs="Verdana"/>
        <w:color w:val="231F20"/>
        <w:spacing w:val="-21"/>
        <w:w w:val="111"/>
        <w:sz w:val="18"/>
        <w:szCs w:val="18"/>
      </w:rPr>
    </w:lvl>
    <w:lvl w:ilvl="3">
      <w:start w:val="0"/>
      <w:numFmt w:val="bullet"/>
      <w:lvlText w:val="•"/>
      <w:lvlJc w:val="left"/>
      <w:pPr>
        <w:ind w:left="4253" w:hanging="720"/>
      </w:pPr>
      <w:rPr>
        <w:rFonts w:hint="default"/>
      </w:rPr>
    </w:lvl>
    <w:lvl w:ilvl="4">
      <w:start w:val="0"/>
      <w:numFmt w:val="bullet"/>
      <w:lvlText w:val="•"/>
      <w:lvlJc w:val="left"/>
      <w:pPr>
        <w:ind w:left="5258"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67" w:hanging="720"/>
      </w:pPr>
      <w:rPr>
        <w:rFonts w:hint="default"/>
      </w:rPr>
    </w:lvl>
    <w:lvl w:ilvl="7">
      <w:start w:val="0"/>
      <w:numFmt w:val="bullet"/>
      <w:lvlText w:val="•"/>
      <w:lvlJc w:val="left"/>
      <w:pPr>
        <w:ind w:left="8271" w:hanging="720"/>
      </w:pPr>
      <w:rPr>
        <w:rFonts w:hint="default"/>
      </w:rPr>
    </w:lvl>
    <w:lvl w:ilvl="8">
      <w:start w:val="0"/>
      <w:numFmt w:val="bullet"/>
      <w:lvlText w:val="•"/>
      <w:lvlJc w:val="left"/>
      <w:pPr>
        <w:ind w:left="9276" w:hanging="720"/>
      </w:pPr>
      <w:rPr>
        <w:rFonts w:hint="default"/>
      </w:rPr>
    </w:lvl>
  </w:abstractNum>
  <w:abstractNum w:abstractNumId="184">
    <w:multiLevelType w:val="hybridMultilevel"/>
    <w:lvl w:ilvl="0">
      <w:start w:val="5"/>
      <w:numFmt w:val="upperLetter"/>
      <w:lvlText w:val="%1"/>
      <w:lvlJc w:val="left"/>
      <w:pPr>
        <w:ind w:left="1080" w:hanging="720"/>
        <w:jc w:val="left"/>
      </w:pPr>
      <w:rPr>
        <w:rFonts w:hint="default"/>
      </w:rPr>
    </w:lvl>
    <w:lvl w:ilvl="1">
      <w:start w:val="3"/>
      <w:numFmt w:val="decimal"/>
      <w:lvlText w:val="%1.%2"/>
      <w:lvlJc w:val="left"/>
      <w:pPr>
        <w:ind w:left="1080" w:hanging="720"/>
        <w:jc w:val="left"/>
      </w:pPr>
      <w:rPr>
        <w:rFonts w:hint="default" w:ascii="Verdana" w:hAnsi="Verdana" w:eastAsia="Verdana" w:cs="Verdana"/>
        <w:color w:val="231F20"/>
        <w:w w:val="111"/>
        <w:sz w:val="18"/>
        <w:szCs w:val="18"/>
      </w:rPr>
    </w:lvl>
    <w:lvl w:ilvl="2">
      <w:start w:val="1"/>
      <w:numFmt w:val="decimal"/>
      <w:lvlText w:val="%1.%2.%3"/>
      <w:lvlJc w:val="left"/>
      <w:pPr>
        <w:ind w:left="1800" w:hanging="721"/>
        <w:jc w:val="left"/>
      </w:pPr>
      <w:rPr>
        <w:rFonts w:hint="default" w:ascii="Verdana" w:hAnsi="Verdana" w:eastAsia="Verdana" w:cs="Verdana"/>
        <w:color w:val="231F20"/>
        <w:spacing w:val="-10"/>
        <w:w w:val="109"/>
        <w:sz w:val="18"/>
        <w:szCs w:val="18"/>
      </w:rPr>
    </w:lvl>
    <w:lvl w:ilvl="3">
      <w:start w:val="0"/>
      <w:numFmt w:val="bullet"/>
      <w:lvlText w:val="•"/>
      <w:lvlJc w:val="left"/>
      <w:pPr>
        <w:ind w:left="3907" w:hanging="721"/>
      </w:pPr>
      <w:rPr>
        <w:rFonts w:hint="default"/>
      </w:rPr>
    </w:lvl>
    <w:lvl w:ilvl="4">
      <w:start w:val="0"/>
      <w:numFmt w:val="bullet"/>
      <w:lvlText w:val="•"/>
      <w:lvlJc w:val="left"/>
      <w:pPr>
        <w:ind w:left="4961" w:hanging="721"/>
      </w:pPr>
      <w:rPr>
        <w:rFonts w:hint="default"/>
      </w:rPr>
    </w:lvl>
    <w:lvl w:ilvl="5">
      <w:start w:val="0"/>
      <w:numFmt w:val="bullet"/>
      <w:lvlText w:val="•"/>
      <w:lvlJc w:val="left"/>
      <w:pPr>
        <w:ind w:left="6015" w:hanging="721"/>
      </w:pPr>
      <w:rPr>
        <w:rFonts w:hint="default"/>
      </w:rPr>
    </w:lvl>
    <w:lvl w:ilvl="6">
      <w:start w:val="0"/>
      <w:numFmt w:val="bullet"/>
      <w:lvlText w:val="•"/>
      <w:lvlJc w:val="left"/>
      <w:pPr>
        <w:ind w:left="7069" w:hanging="721"/>
      </w:pPr>
      <w:rPr>
        <w:rFonts w:hint="default"/>
      </w:rPr>
    </w:lvl>
    <w:lvl w:ilvl="7">
      <w:start w:val="0"/>
      <w:numFmt w:val="bullet"/>
      <w:lvlText w:val="•"/>
      <w:lvlJc w:val="left"/>
      <w:pPr>
        <w:ind w:left="8123" w:hanging="721"/>
      </w:pPr>
      <w:rPr>
        <w:rFonts w:hint="default"/>
      </w:rPr>
    </w:lvl>
    <w:lvl w:ilvl="8">
      <w:start w:val="0"/>
      <w:numFmt w:val="bullet"/>
      <w:lvlText w:val="•"/>
      <w:lvlJc w:val="left"/>
      <w:pPr>
        <w:ind w:left="9177" w:hanging="721"/>
      </w:pPr>
      <w:rPr>
        <w:rFonts w:hint="default"/>
      </w:rPr>
    </w:lvl>
  </w:abstractNum>
  <w:abstractNum w:abstractNumId="183">
    <w:multiLevelType w:val="hybridMultilevel"/>
    <w:lvl w:ilvl="0">
      <w:start w:val="4"/>
      <w:numFmt w:val="upperLetter"/>
      <w:lvlText w:val="%1"/>
      <w:lvlJc w:val="left"/>
      <w:pPr>
        <w:ind w:left="513" w:hanging="720"/>
        <w:jc w:val="left"/>
      </w:pPr>
      <w:rPr>
        <w:rFonts w:hint="default"/>
      </w:rPr>
    </w:lvl>
    <w:lvl w:ilvl="1">
      <w:start w:val="7"/>
      <w:numFmt w:val="decimal"/>
      <w:lvlText w:val="%1.%2"/>
      <w:lvlJc w:val="left"/>
      <w:pPr>
        <w:ind w:left="513" w:hanging="720"/>
        <w:jc w:val="left"/>
      </w:pPr>
      <w:rPr>
        <w:rFonts w:hint="default"/>
      </w:rPr>
    </w:lvl>
    <w:lvl w:ilvl="2">
      <w:start w:val="1"/>
      <w:numFmt w:val="decimal"/>
      <w:lvlText w:val="%1.%2.%3"/>
      <w:lvlJc w:val="left"/>
      <w:pPr>
        <w:ind w:left="513" w:hanging="720"/>
        <w:jc w:val="right"/>
      </w:pPr>
      <w:rPr>
        <w:rFonts w:hint="default" w:ascii="Verdana" w:hAnsi="Verdana" w:eastAsia="Verdana" w:cs="Verdana"/>
        <w:color w:val="231F20"/>
        <w:spacing w:val="-25"/>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82">
    <w:multiLevelType w:val="hybridMultilevel"/>
    <w:lvl w:ilvl="0">
      <w:start w:val="4"/>
      <w:numFmt w:val="upperLetter"/>
      <w:lvlText w:val="%1"/>
      <w:lvlJc w:val="left"/>
      <w:pPr>
        <w:ind w:left="513" w:hanging="720"/>
        <w:jc w:val="left"/>
      </w:pPr>
      <w:rPr>
        <w:rFonts w:hint="default"/>
      </w:rPr>
    </w:lvl>
    <w:lvl w:ilvl="1">
      <w:start w:val="6"/>
      <w:numFmt w:val="decimal"/>
      <w:lvlText w:val="%1.%2"/>
      <w:lvlJc w:val="left"/>
      <w:pPr>
        <w:ind w:left="513" w:hanging="720"/>
        <w:jc w:val="left"/>
      </w:pPr>
      <w:rPr>
        <w:rFonts w:hint="default"/>
      </w:rPr>
    </w:lvl>
    <w:lvl w:ilvl="2">
      <w:start w:val="1"/>
      <w:numFmt w:val="decimal"/>
      <w:lvlText w:val="%1.%2.%3"/>
      <w:lvlJc w:val="left"/>
      <w:pPr>
        <w:ind w:left="513" w:hanging="720"/>
        <w:jc w:val="left"/>
      </w:pPr>
      <w:rPr>
        <w:rFonts w:hint="default" w:ascii="Verdana" w:hAnsi="Verdana" w:eastAsia="Verdana" w:cs="Verdana"/>
        <w:color w:val="231F20"/>
        <w:spacing w:val="-9"/>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81">
    <w:multiLevelType w:val="hybridMultilevel"/>
    <w:lvl w:ilvl="0">
      <w:start w:val="4"/>
      <w:numFmt w:val="upperLetter"/>
      <w:lvlText w:val="%1"/>
      <w:lvlJc w:val="left"/>
      <w:pPr>
        <w:ind w:left="1233" w:hanging="721"/>
        <w:jc w:val="left"/>
      </w:pPr>
      <w:rPr>
        <w:rFonts w:hint="default"/>
      </w:rPr>
    </w:lvl>
    <w:lvl w:ilvl="1">
      <w:start w:val="4"/>
      <w:numFmt w:val="decimal"/>
      <w:lvlText w:val="%1.%2"/>
      <w:lvlJc w:val="left"/>
      <w:pPr>
        <w:ind w:left="1233" w:hanging="721"/>
        <w:jc w:val="left"/>
      </w:pPr>
      <w:rPr>
        <w:rFonts w:hint="default"/>
      </w:rPr>
    </w:lvl>
    <w:lvl w:ilvl="2">
      <w:start w:val="1"/>
      <w:numFmt w:val="decimal"/>
      <w:lvlText w:val="%1.%2.%3"/>
      <w:lvlJc w:val="left"/>
      <w:pPr>
        <w:ind w:left="1233" w:hanging="721"/>
        <w:jc w:val="left"/>
      </w:pPr>
      <w:rPr>
        <w:rFonts w:hint="default" w:ascii="Verdana" w:hAnsi="Verdana" w:eastAsia="Verdana" w:cs="Verdana"/>
        <w:color w:val="231F20"/>
        <w:spacing w:val="-9"/>
        <w:w w:val="111"/>
        <w:sz w:val="18"/>
        <w:szCs w:val="18"/>
      </w:rPr>
    </w:lvl>
    <w:lvl w:ilvl="3">
      <w:start w:val="0"/>
      <w:numFmt w:val="bullet"/>
      <w:lvlText w:val="•"/>
      <w:lvlJc w:val="left"/>
      <w:pPr>
        <w:ind w:left="4253" w:hanging="721"/>
      </w:pPr>
      <w:rPr>
        <w:rFonts w:hint="default"/>
      </w:rPr>
    </w:lvl>
    <w:lvl w:ilvl="4">
      <w:start w:val="0"/>
      <w:numFmt w:val="bullet"/>
      <w:lvlText w:val="•"/>
      <w:lvlJc w:val="left"/>
      <w:pPr>
        <w:ind w:left="5258" w:hanging="721"/>
      </w:pPr>
      <w:rPr>
        <w:rFonts w:hint="default"/>
      </w:rPr>
    </w:lvl>
    <w:lvl w:ilvl="5">
      <w:start w:val="0"/>
      <w:numFmt w:val="bullet"/>
      <w:lvlText w:val="•"/>
      <w:lvlJc w:val="left"/>
      <w:pPr>
        <w:ind w:left="6262" w:hanging="721"/>
      </w:pPr>
      <w:rPr>
        <w:rFonts w:hint="default"/>
      </w:rPr>
    </w:lvl>
    <w:lvl w:ilvl="6">
      <w:start w:val="0"/>
      <w:numFmt w:val="bullet"/>
      <w:lvlText w:val="•"/>
      <w:lvlJc w:val="left"/>
      <w:pPr>
        <w:ind w:left="7267" w:hanging="721"/>
      </w:pPr>
      <w:rPr>
        <w:rFonts w:hint="default"/>
      </w:rPr>
    </w:lvl>
    <w:lvl w:ilvl="7">
      <w:start w:val="0"/>
      <w:numFmt w:val="bullet"/>
      <w:lvlText w:val="•"/>
      <w:lvlJc w:val="left"/>
      <w:pPr>
        <w:ind w:left="8271" w:hanging="721"/>
      </w:pPr>
      <w:rPr>
        <w:rFonts w:hint="default"/>
      </w:rPr>
    </w:lvl>
    <w:lvl w:ilvl="8">
      <w:start w:val="0"/>
      <w:numFmt w:val="bullet"/>
      <w:lvlText w:val="•"/>
      <w:lvlJc w:val="left"/>
      <w:pPr>
        <w:ind w:left="9276" w:hanging="721"/>
      </w:pPr>
      <w:rPr>
        <w:rFonts w:hint="default"/>
      </w:rPr>
    </w:lvl>
  </w:abstractNum>
  <w:abstractNum w:abstractNumId="180">
    <w:multiLevelType w:val="hybridMultilevel"/>
    <w:lvl w:ilvl="0">
      <w:start w:val="4"/>
      <w:numFmt w:val="upperLetter"/>
      <w:lvlText w:val="%1"/>
      <w:lvlJc w:val="left"/>
      <w:pPr>
        <w:ind w:left="1233" w:hanging="721"/>
        <w:jc w:val="left"/>
      </w:pPr>
      <w:rPr>
        <w:rFonts w:hint="default"/>
      </w:rPr>
    </w:lvl>
    <w:lvl w:ilvl="1">
      <w:start w:val="3"/>
      <w:numFmt w:val="decimal"/>
      <w:lvlText w:val="%1.%2"/>
      <w:lvlJc w:val="left"/>
      <w:pPr>
        <w:ind w:left="1233" w:hanging="721"/>
        <w:jc w:val="left"/>
      </w:pPr>
      <w:rPr>
        <w:rFonts w:hint="default"/>
      </w:rPr>
    </w:lvl>
    <w:lvl w:ilvl="2">
      <w:start w:val="1"/>
      <w:numFmt w:val="decimal"/>
      <w:lvlText w:val="%1.%2.%3"/>
      <w:lvlJc w:val="left"/>
      <w:pPr>
        <w:ind w:left="1233" w:hanging="721"/>
        <w:jc w:val="left"/>
      </w:pPr>
      <w:rPr>
        <w:rFonts w:hint="default" w:ascii="Verdana" w:hAnsi="Verdana" w:eastAsia="Verdana" w:cs="Verdana"/>
        <w:color w:val="231F20"/>
        <w:spacing w:val="-9"/>
        <w:w w:val="111"/>
        <w:sz w:val="18"/>
        <w:szCs w:val="18"/>
      </w:rPr>
    </w:lvl>
    <w:lvl w:ilvl="3">
      <w:start w:val="0"/>
      <w:numFmt w:val="bullet"/>
      <w:lvlText w:val="•"/>
      <w:lvlJc w:val="left"/>
      <w:pPr>
        <w:ind w:left="4253" w:hanging="721"/>
      </w:pPr>
      <w:rPr>
        <w:rFonts w:hint="default"/>
      </w:rPr>
    </w:lvl>
    <w:lvl w:ilvl="4">
      <w:start w:val="0"/>
      <w:numFmt w:val="bullet"/>
      <w:lvlText w:val="•"/>
      <w:lvlJc w:val="left"/>
      <w:pPr>
        <w:ind w:left="5258" w:hanging="721"/>
      </w:pPr>
      <w:rPr>
        <w:rFonts w:hint="default"/>
      </w:rPr>
    </w:lvl>
    <w:lvl w:ilvl="5">
      <w:start w:val="0"/>
      <w:numFmt w:val="bullet"/>
      <w:lvlText w:val="•"/>
      <w:lvlJc w:val="left"/>
      <w:pPr>
        <w:ind w:left="6262" w:hanging="721"/>
      </w:pPr>
      <w:rPr>
        <w:rFonts w:hint="default"/>
      </w:rPr>
    </w:lvl>
    <w:lvl w:ilvl="6">
      <w:start w:val="0"/>
      <w:numFmt w:val="bullet"/>
      <w:lvlText w:val="•"/>
      <w:lvlJc w:val="left"/>
      <w:pPr>
        <w:ind w:left="7267" w:hanging="721"/>
      </w:pPr>
      <w:rPr>
        <w:rFonts w:hint="default"/>
      </w:rPr>
    </w:lvl>
    <w:lvl w:ilvl="7">
      <w:start w:val="0"/>
      <w:numFmt w:val="bullet"/>
      <w:lvlText w:val="•"/>
      <w:lvlJc w:val="left"/>
      <w:pPr>
        <w:ind w:left="8271" w:hanging="721"/>
      </w:pPr>
      <w:rPr>
        <w:rFonts w:hint="default"/>
      </w:rPr>
    </w:lvl>
    <w:lvl w:ilvl="8">
      <w:start w:val="0"/>
      <w:numFmt w:val="bullet"/>
      <w:lvlText w:val="•"/>
      <w:lvlJc w:val="left"/>
      <w:pPr>
        <w:ind w:left="9276" w:hanging="721"/>
      </w:pPr>
      <w:rPr>
        <w:rFonts w:hint="default"/>
      </w:rPr>
    </w:lvl>
  </w:abstractNum>
  <w:abstractNum w:abstractNumId="179">
    <w:multiLevelType w:val="hybridMultilevel"/>
    <w:lvl w:ilvl="0">
      <w:start w:val="2"/>
      <w:numFmt w:val="upperLetter"/>
      <w:lvlText w:val="%1"/>
      <w:lvlJc w:val="left"/>
      <w:pPr>
        <w:ind w:left="513" w:hanging="720"/>
        <w:jc w:val="left"/>
      </w:pPr>
      <w:rPr>
        <w:rFonts w:hint="default"/>
      </w:rPr>
    </w:lvl>
    <w:lvl w:ilvl="1">
      <w:start w:val="1"/>
      <w:numFmt w:val="decimal"/>
      <w:lvlText w:val="%1.%2."/>
      <w:lvlJc w:val="left"/>
      <w:pPr>
        <w:ind w:left="513" w:hanging="720"/>
        <w:jc w:val="right"/>
      </w:pPr>
      <w:rPr>
        <w:rFonts w:hint="default" w:ascii="Verdana" w:hAnsi="Verdana" w:eastAsia="Verdana" w:cs="Verdana"/>
        <w:color w:val="231F20"/>
        <w:spacing w:val="-8"/>
        <w:w w:val="111"/>
        <w:sz w:val="18"/>
        <w:szCs w:val="18"/>
      </w:rPr>
    </w:lvl>
    <w:lvl w:ilvl="2">
      <w:start w:val="1"/>
      <w:numFmt w:val="decimal"/>
      <w:lvlText w:val="%1.%2.%3"/>
      <w:lvlJc w:val="left"/>
      <w:pPr>
        <w:ind w:left="123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472" w:hanging="720"/>
      </w:pPr>
      <w:rPr>
        <w:rFonts w:hint="default"/>
      </w:rPr>
    </w:lvl>
    <w:lvl w:ilvl="4">
      <w:start w:val="0"/>
      <w:numFmt w:val="bullet"/>
      <w:lvlText w:val="•"/>
      <w:lvlJc w:val="left"/>
      <w:pPr>
        <w:ind w:left="4588" w:hanging="720"/>
      </w:pPr>
      <w:rPr>
        <w:rFonts w:hint="default"/>
      </w:rPr>
    </w:lvl>
    <w:lvl w:ilvl="5">
      <w:start w:val="0"/>
      <w:numFmt w:val="bullet"/>
      <w:lvlText w:val="•"/>
      <w:lvlJc w:val="left"/>
      <w:pPr>
        <w:ind w:left="5704" w:hanging="720"/>
      </w:pPr>
      <w:rPr>
        <w:rFonts w:hint="default"/>
      </w:rPr>
    </w:lvl>
    <w:lvl w:ilvl="6">
      <w:start w:val="0"/>
      <w:numFmt w:val="bullet"/>
      <w:lvlText w:val="•"/>
      <w:lvlJc w:val="left"/>
      <w:pPr>
        <w:ind w:left="6820" w:hanging="720"/>
      </w:pPr>
      <w:rPr>
        <w:rFonts w:hint="default"/>
      </w:rPr>
    </w:lvl>
    <w:lvl w:ilvl="7">
      <w:start w:val="0"/>
      <w:numFmt w:val="bullet"/>
      <w:lvlText w:val="•"/>
      <w:lvlJc w:val="left"/>
      <w:pPr>
        <w:ind w:left="7937" w:hanging="720"/>
      </w:pPr>
      <w:rPr>
        <w:rFonts w:hint="default"/>
      </w:rPr>
    </w:lvl>
    <w:lvl w:ilvl="8">
      <w:start w:val="0"/>
      <w:numFmt w:val="bullet"/>
      <w:lvlText w:val="•"/>
      <w:lvlJc w:val="left"/>
      <w:pPr>
        <w:ind w:left="9053" w:hanging="720"/>
      </w:pPr>
      <w:rPr>
        <w:rFonts w:hint="default"/>
      </w:rPr>
    </w:lvl>
  </w:abstractNum>
  <w:abstractNum w:abstractNumId="178">
    <w:multiLevelType w:val="hybridMultilevel"/>
    <w:lvl w:ilvl="0">
      <w:start w:val="1"/>
      <w:numFmt w:val="upperLetter"/>
      <w:lvlText w:val="%1"/>
      <w:lvlJc w:val="left"/>
      <w:pPr>
        <w:ind w:left="1089" w:hanging="721"/>
        <w:jc w:val="left"/>
      </w:pPr>
      <w:rPr>
        <w:rFonts w:hint="default"/>
      </w:rPr>
    </w:lvl>
    <w:lvl w:ilvl="1">
      <w:start w:val="7"/>
      <w:numFmt w:val="decimal"/>
      <w:lvlText w:val="%1.%2"/>
      <w:lvlJc w:val="left"/>
      <w:pPr>
        <w:ind w:left="1089" w:hanging="721"/>
        <w:jc w:val="left"/>
      </w:pPr>
      <w:rPr>
        <w:rFonts w:hint="default"/>
      </w:rPr>
    </w:lvl>
    <w:lvl w:ilvl="2">
      <w:start w:val="1"/>
      <w:numFmt w:val="decimal"/>
      <w:lvlText w:val="%1.%2.%3"/>
      <w:lvlJc w:val="left"/>
      <w:pPr>
        <w:ind w:left="1089" w:hanging="721"/>
        <w:jc w:val="right"/>
      </w:pPr>
      <w:rPr>
        <w:rFonts w:hint="default" w:ascii="Verdana" w:hAnsi="Verdana" w:eastAsia="Verdana" w:cs="Verdana"/>
        <w:color w:val="231F20"/>
        <w:spacing w:val="-27"/>
        <w:w w:val="111"/>
        <w:sz w:val="18"/>
        <w:szCs w:val="18"/>
      </w:rPr>
    </w:lvl>
    <w:lvl w:ilvl="3">
      <w:start w:val="0"/>
      <w:numFmt w:val="bullet"/>
      <w:lvlText w:val="•"/>
      <w:lvlJc w:val="left"/>
      <w:pPr>
        <w:ind w:left="4141" w:hanging="721"/>
      </w:pPr>
      <w:rPr>
        <w:rFonts w:hint="default"/>
      </w:rPr>
    </w:lvl>
    <w:lvl w:ilvl="4">
      <w:start w:val="0"/>
      <w:numFmt w:val="bullet"/>
      <w:lvlText w:val="•"/>
      <w:lvlJc w:val="left"/>
      <w:pPr>
        <w:ind w:left="5162" w:hanging="721"/>
      </w:pPr>
      <w:rPr>
        <w:rFonts w:hint="default"/>
      </w:rPr>
    </w:lvl>
    <w:lvl w:ilvl="5">
      <w:start w:val="0"/>
      <w:numFmt w:val="bullet"/>
      <w:lvlText w:val="•"/>
      <w:lvlJc w:val="left"/>
      <w:pPr>
        <w:ind w:left="6182" w:hanging="721"/>
      </w:pPr>
      <w:rPr>
        <w:rFonts w:hint="default"/>
      </w:rPr>
    </w:lvl>
    <w:lvl w:ilvl="6">
      <w:start w:val="0"/>
      <w:numFmt w:val="bullet"/>
      <w:lvlText w:val="•"/>
      <w:lvlJc w:val="left"/>
      <w:pPr>
        <w:ind w:left="7203" w:hanging="721"/>
      </w:pPr>
      <w:rPr>
        <w:rFonts w:hint="default"/>
      </w:rPr>
    </w:lvl>
    <w:lvl w:ilvl="7">
      <w:start w:val="0"/>
      <w:numFmt w:val="bullet"/>
      <w:lvlText w:val="•"/>
      <w:lvlJc w:val="left"/>
      <w:pPr>
        <w:ind w:left="8223" w:hanging="721"/>
      </w:pPr>
      <w:rPr>
        <w:rFonts w:hint="default"/>
      </w:rPr>
    </w:lvl>
    <w:lvl w:ilvl="8">
      <w:start w:val="0"/>
      <w:numFmt w:val="bullet"/>
      <w:lvlText w:val="•"/>
      <w:lvlJc w:val="left"/>
      <w:pPr>
        <w:ind w:left="9244" w:hanging="721"/>
      </w:pPr>
      <w:rPr>
        <w:rFonts w:hint="default"/>
      </w:rPr>
    </w:lvl>
  </w:abstractNum>
  <w:abstractNum w:abstractNumId="177">
    <w:multiLevelType w:val="hybridMultilevel"/>
    <w:lvl w:ilvl="0">
      <w:start w:val="0"/>
      <w:numFmt w:val="bullet"/>
      <w:lvlText w:val="•"/>
      <w:lvlJc w:val="left"/>
      <w:pPr>
        <w:ind w:left="1128" w:hanging="502"/>
      </w:pPr>
      <w:rPr>
        <w:rFonts w:hint="default" w:ascii="Verdana" w:hAnsi="Verdana" w:eastAsia="Verdana" w:cs="Verdana"/>
        <w:color w:val="231F20"/>
        <w:w w:val="111"/>
        <w:position w:val="-7"/>
        <w:sz w:val="27"/>
        <w:szCs w:val="27"/>
      </w:rPr>
    </w:lvl>
    <w:lvl w:ilvl="1">
      <w:start w:val="0"/>
      <w:numFmt w:val="bullet"/>
      <w:lvlText w:val="•"/>
      <w:lvlJc w:val="left"/>
      <w:pPr>
        <w:ind w:left="1695" w:hanging="502"/>
      </w:pPr>
      <w:rPr>
        <w:rFonts w:hint="default" w:ascii="Verdana" w:hAnsi="Verdana" w:eastAsia="Verdana" w:cs="Verdana"/>
        <w:color w:val="231F20"/>
        <w:w w:val="111"/>
        <w:position w:val="-7"/>
        <w:sz w:val="27"/>
        <w:szCs w:val="27"/>
      </w:rPr>
    </w:lvl>
    <w:lvl w:ilvl="2">
      <w:start w:val="0"/>
      <w:numFmt w:val="bullet"/>
      <w:lvlText w:val="•"/>
      <w:lvlJc w:val="left"/>
      <w:pPr>
        <w:ind w:left="1803" w:hanging="502"/>
      </w:pPr>
      <w:rPr>
        <w:rFonts w:hint="default"/>
      </w:rPr>
    </w:lvl>
    <w:lvl w:ilvl="3">
      <w:start w:val="0"/>
      <w:numFmt w:val="bullet"/>
      <w:lvlText w:val="•"/>
      <w:lvlJc w:val="left"/>
      <w:pPr>
        <w:ind w:left="1907" w:hanging="502"/>
      </w:pPr>
      <w:rPr>
        <w:rFonts w:hint="default"/>
      </w:rPr>
    </w:lvl>
    <w:lvl w:ilvl="4">
      <w:start w:val="0"/>
      <w:numFmt w:val="bullet"/>
      <w:lvlText w:val="•"/>
      <w:lvlJc w:val="left"/>
      <w:pPr>
        <w:ind w:left="2011" w:hanging="502"/>
      </w:pPr>
      <w:rPr>
        <w:rFonts w:hint="default"/>
      </w:rPr>
    </w:lvl>
    <w:lvl w:ilvl="5">
      <w:start w:val="0"/>
      <w:numFmt w:val="bullet"/>
      <w:lvlText w:val="•"/>
      <w:lvlJc w:val="left"/>
      <w:pPr>
        <w:ind w:left="2115" w:hanging="502"/>
      </w:pPr>
      <w:rPr>
        <w:rFonts w:hint="default"/>
      </w:rPr>
    </w:lvl>
    <w:lvl w:ilvl="6">
      <w:start w:val="0"/>
      <w:numFmt w:val="bullet"/>
      <w:lvlText w:val="•"/>
      <w:lvlJc w:val="left"/>
      <w:pPr>
        <w:ind w:left="2218" w:hanging="502"/>
      </w:pPr>
      <w:rPr>
        <w:rFonts w:hint="default"/>
      </w:rPr>
    </w:lvl>
    <w:lvl w:ilvl="7">
      <w:start w:val="0"/>
      <w:numFmt w:val="bullet"/>
      <w:lvlText w:val="•"/>
      <w:lvlJc w:val="left"/>
      <w:pPr>
        <w:ind w:left="2322" w:hanging="502"/>
      </w:pPr>
      <w:rPr>
        <w:rFonts w:hint="default"/>
      </w:rPr>
    </w:lvl>
    <w:lvl w:ilvl="8">
      <w:start w:val="0"/>
      <w:numFmt w:val="bullet"/>
      <w:lvlText w:val="•"/>
      <w:lvlJc w:val="left"/>
      <w:pPr>
        <w:ind w:left="2426" w:hanging="502"/>
      </w:pPr>
      <w:rPr>
        <w:rFonts w:hint="default"/>
      </w:rPr>
    </w:lvl>
  </w:abstractNum>
  <w:abstractNum w:abstractNumId="176">
    <w:multiLevelType w:val="hybridMultilevel"/>
    <w:lvl w:ilvl="0">
      <w:start w:val="1"/>
      <w:numFmt w:val="upperLetter"/>
      <w:lvlText w:val="%1."/>
      <w:lvlJc w:val="left"/>
      <w:pPr>
        <w:ind w:left="1734" w:hanging="721"/>
        <w:jc w:val="right"/>
      </w:pPr>
      <w:rPr>
        <w:rFonts w:hint="default" w:ascii="Verdana" w:hAnsi="Verdana" w:eastAsia="Verdana" w:cs="Verdana"/>
        <w:b/>
        <w:bCs/>
        <w:color w:val="231F20"/>
        <w:spacing w:val="0"/>
        <w:w w:val="109"/>
        <w:sz w:val="20"/>
        <w:szCs w:val="20"/>
      </w:rPr>
    </w:lvl>
    <w:lvl w:ilvl="1">
      <w:start w:val="1"/>
      <w:numFmt w:val="decimal"/>
      <w:lvlText w:val="%1.%2"/>
      <w:lvlJc w:val="left"/>
      <w:pPr>
        <w:ind w:left="1734" w:hanging="721"/>
        <w:jc w:val="right"/>
      </w:pPr>
      <w:rPr>
        <w:rFonts w:hint="default" w:ascii="Verdana" w:hAnsi="Verdana" w:eastAsia="Verdana" w:cs="Verdana"/>
        <w:color w:val="231F20"/>
        <w:spacing w:val="-8"/>
        <w:w w:val="111"/>
        <w:sz w:val="18"/>
        <w:szCs w:val="18"/>
      </w:rPr>
    </w:lvl>
    <w:lvl w:ilvl="2">
      <w:start w:val="0"/>
      <w:numFmt w:val="bullet"/>
      <w:lvlText w:val="•"/>
      <w:lvlJc w:val="left"/>
      <w:pPr>
        <w:ind w:left="4180" w:hanging="514"/>
      </w:pPr>
      <w:rPr>
        <w:rFonts w:hint="default" w:ascii="Verdana" w:hAnsi="Verdana" w:eastAsia="Verdana" w:cs="Verdana"/>
        <w:color w:val="231F20"/>
        <w:w w:val="111"/>
        <w:position w:val="-7"/>
        <w:sz w:val="27"/>
        <w:szCs w:val="27"/>
      </w:rPr>
    </w:lvl>
    <w:lvl w:ilvl="3">
      <w:start w:val="0"/>
      <w:numFmt w:val="bullet"/>
      <w:lvlText w:val="•"/>
      <w:lvlJc w:val="left"/>
      <w:pPr>
        <w:ind w:left="4180" w:hanging="514"/>
      </w:pPr>
      <w:rPr>
        <w:rFonts w:hint="default"/>
      </w:rPr>
    </w:lvl>
    <w:lvl w:ilvl="4">
      <w:start w:val="0"/>
      <w:numFmt w:val="bullet"/>
      <w:lvlText w:val="•"/>
      <w:lvlJc w:val="left"/>
      <w:pPr>
        <w:ind w:left="5195" w:hanging="514"/>
      </w:pPr>
      <w:rPr>
        <w:rFonts w:hint="default"/>
      </w:rPr>
    </w:lvl>
    <w:lvl w:ilvl="5">
      <w:start w:val="0"/>
      <w:numFmt w:val="bullet"/>
      <w:lvlText w:val="•"/>
      <w:lvlJc w:val="left"/>
      <w:pPr>
        <w:ind w:left="6210" w:hanging="514"/>
      </w:pPr>
      <w:rPr>
        <w:rFonts w:hint="default"/>
      </w:rPr>
    </w:lvl>
    <w:lvl w:ilvl="6">
      <w:start w:val="0"/>
      <w:numFmt w:val="bullet"/>
      <w:lvlText w:val="•"/>
      <w:lvlJc w:val="left"/>
      <w:pPr>
        <w:ind w:left="7225" w:hanging="514"/>
      </w:pPr>
      <w:rPr>
        <w:rFonts w:hint="default"/>
      </w:rPr>
    </w:lvl>
    <w:lvl w:ilvl="7">
      <w:start w:val="0"/>
      <w:numFmt w:val="bullet"/>
      <w:lvlText w:val="•"/>
      <w:lvlJc w:val="left"/>
      <w:pPr>
        <w:ind w:left="8240" w:hanging="514"/>
      </w:pPr>
      <w:rPr>
        <w:rFonts w:hint="default"/>
      </w:rPr>
    </w:lvl>
    <w:lvl w:ilvl="8">
      <w:start w:val="0"/>
      <w:numFmt w:val="bullet"/>
      <w:lvlText w:val="•"/>
      <w:lvlJc w:val="left"/>
      <w:pPr>
        <w:ind w:left="9255" w:hanging="514"/>
      </w:pPr>
      <w:rPr>
        <w:rFonts w:hint="default"/>
      </w:rPr>
    </w:lvl>
  </w:abstractNum>
  <w:abstractNum w:abstractNumId="175">
    <w:multiLevelType w:val="hybridMultilevel"/>
    <w:lvl w:ilvl="0">
      <w:start w:val="10"/>
      <w:numFmt w:val="upperLetter"/>
      <w:lvlText w:val="%1."/>
      <w:lvlJc w:val="left"/>
      <w:pPr>
        <w:ind w:left="1800" w:hanging="721"/>
        <w:jc w:val="left"/>
      </w:pPr>
      <w:rPr>
        <w:rFonts w:hint="default" w:ascii="Verdana" w:hAnsi="Verdana" w:eastAsia="Verdana" w:cs="Verdana"/>
        <w:b/>
        <w:bCs/>
        <w:color w:val="231F20"/>
        <w:spacing w:val="-2"/>
        <w:w w:val="109"/>
        <w:sz w:val="20"/>
        <w:szCs w:val="20"/>
      </w:rPr>
    </w:lvl>
    <w:lvl w:ilvl="1">
      <w:start w:val="1"/>
      <w:numFmt w:val="decimal"/>
      <w:lvlText w:val="%1.%2"/>
      <w:lvlJc w:val="left"/>
      <w:pPr>
        <w:ind w:left="1080" w:hanging="720"/>
        <w:jc w:val="right"/>
      </w:pPr>
      <w:rPr>
        <w:rFonts w:hint="default" w:ascii="Verdana" w:hAnsi="Verdana" w:eastAsia="Verdana" w:cs="Verdana"/>
        <w:color w:val="231F20"/>
        <w:spacing w:val="-8"/>
        <w:w w:val="111"/>
        <w:sz w:val="18"/>
        <w:szCs w:val="18"/>
      </w:rPr>
    </w:lvl>
    <w:lvl w:ilvl="2">
      <w:start w:val="1"/>
      <w:numFmt w:val="decimal"/>
      <w:lvlText w:val="%1.%2.%3"/>
      <w:lvlJc w:val="left"/>
      <w:pPr>
        <w:ind w:left="1080" w:hanging="721"/>
        <w:jc w:val="right"/>
      </w:pPr>
      <w:rPr>
        <w:rFonts w:hint="default" w:ascii="Verdana" w:hAnsi="Verdana" w:eastAsia="Verdana" w:cs="Verdana"/>
        <w:color w:val="231F20"/>
        <w:spacing w:val="-8"/>
        <w:w w:val="111"/>
        <w:sz w:val="18"/>
        <w:szCs w:val="18"/>
      </w:rPr>
    </w:lvl>
    <w:lvl w:ilvl="3">
      <w:start w:val="0"/>
      <w:numFmt w:val="bullet"/>
      <w:lvlText w:val="•"/>
      <w:lvlJc w:val="left"/>
      <w:pPr>
        <w:ind w:left="3907" w:hanging="721"/>
      </w:pPr>
      <w:rPr>
        <w:rFonts w:hint="default"/>
      </w:rPr>
    </w:lvl>
    <w:lvl w:ilvl="4">
      <w:start w:val="0"/>
      <w:numFmt w:val="bullet"/>
      <w:lvlText w:val="•"/>
      <w:lvlJc w:val="left"/>
      <w:pPr>
        <w:ind w:left="4961" w:hanging="721"/>
      </w:pPr>
      <w:rPr>
        <w:rFonts w:hint="default"/>
      </w:rPr>
    </w:lvl>
    <w:lvl w:ilvl="5">
      <w:start w:val="0"/>
      <w:numFmt w:val="bullet"/>
      <w:lvlText w:val="•"/>
      <w:lvlJc w:val="left"/>
      <w:pPr>
        <w:ind w:left="6015" w:hanging="721"/>
      </w:pPr>
      <w:rPr>
        <w:rFonts w:hint="default"/>
      </w:rPr>
    </w:lvl>
    <w:lvl w:ilvl="6">
      <w:start w:val="0"/>
      <w:numFmt w:val="bullet"/>
      <w:lvlText w:val="•"/>
      <w:lvlJc w:val="left"/>
      <w:pPr>
        <w:ind w:left="7069" w:hanging="721"/>
      </w:pPr>
      <w:rPr>
        <w:rFonts w:hint="default"/>
      </w:rPr>
    </w:lvl>
    <w:lvl w:ilvl="7">
      <w:start w:val="0"/>
      <w:numFmt w:val="bullet"/>
      <w:lvlText w:val="•"/>
      <w:lvlJc w:val="left"/>
      <w:pPr>
        <w:ind w:left="8123" w:hanging="721"/>
      </w:pPr>
      <w:rPr>
        <w:rFonts w:hint="default"/>
      </w:rPr>
    </w:lvl>
    <w:lvl w:ilvl="8">
      <w:start w:val="0"/>
      <w:numFmt w:val="bullet"/>
      <w:lvlText w:val="•"/>
      <w:lvlJc w:val="left"/>
      <w:pPr>
        <w:ind w:left="9177" w:hanging="721"/>
      </w:pPr>
      <w:rPr>
        <w:rFonts w:hint="default"/>
      </w:rPr>
    </w:lvl>
  </w:abstractNum>
  <w:abstractNum w:abstractNumId="174">
    <w:multiLevelType w:val="hybridMultilevel"/>
    <w:lvl w:ilvl="0">
      <w:start w:val="8"/>
      <w:numFmt w:val="upperLetter"/>
      <w:lvlText w:val="%1"/>
      <w:lvlJc w:val="left"/>
      <w:pPr>
        <w:ind w:left="513" w:hanging="720"/>
        <w:jc w:val="left"/>
      </w:pPr>
      <w:rPr>
        <w:rFonts w:hint="default"/>
      </w:rPr>
    </w:lvl>
    <w:lvl w:ilvl="1">
      <w:start w:val="2"/>
      <w:numFmt w:val="decimal"/>
      <w:lvlText w:val="%1.%2"/>
      <w:lvlJc w:val="left"/>
      <w:pPr>
        <w:ind w:left="513" w:hanging="720"/>
        <w:jc w:val="left"/>
      </w:pPr>
      <w:rPr>
        <w:rFonts w:hint="default"/>
      </w:rPr>
    </w:lvl>
    <w:lvl w:ilvl="2">
      <w:start w:val="2"/>
      <w:numFmt w:val="decimal"/>
      <w:lvlText w:val="%1.%2.%3"/>
      <w:lvlJc w:val="left"/>
      <w:pPr>
        <w:ind w:left="513" w:hanging="720"/>
        <w:jc w:val="right"/>
      </w:pPr>
      <w:rPr>
        <w:rFonts w:hint="default" w:ascii="Verdana" w:hAnsi="Verdana" w:eastAsia="Verdana" w:cs="Verdana"/>
        <w:color w:val="231F20"/>
        <w:spacing w:val="-2"/>
        <w:w w:val="111"/>
        <w:sz w:val="18"/>
        <w:szCs w:val="18"/>
      </w:rPr>
    </w:lvl>
    <w:lvl w:ilvl="3">
      <w:start w:val="1"/>
      <w:numFmt w:val="decimal"/>
      <w:lvlText w:val="%1.%2.%3.%4"/>
      <w:lvlJc w:val="left"/>
      <w:pPr>
        <w:ind w:left="513" w:hanging="1441"/>
        <w:jc w:val="right"/>
      </w:pPr>
      <w:rPr>
        <w:rFonts w:hint="default" w:ascii="Verdana" w:hAnsi="Verdana" w:eastAsia="Verdana" w:cs="Verdana"/>
        <w:color w:val="231F20"/>
        <w:spacing w:val="-8"/>
        <w:w w:val="111"/>
        <w:sz w:val="18"/>
        <w:szCs w:val="18"/>
      </w:rPr>
    </w:lvl>
    <w:lvl w:ilvl="4">
      <w:start w:val="0"/>
      <w:numFmt w:val="bullet"/>
      <w:lvlText w:val="•"/>
      <w:lvlJc w:val="left"/>
      <w:pPr>
        <w:ind w:left="4826" w:hanging="1441"/>
      </w:pPr>
      <w:rPr>
        <w:rFonts w:hint="default"/>
      </w:rPr>
    </w:lvl>
    <w:lvl w:ilvl="5">
      <w:start w:val="0"/>
      <w:numFmt w:val="bullet"/>
      <w:lvlText w:val="•"/>
      <w:lvlJc w:val="left"/>
      <w:pPr>
        <w:ind w:left="5902" w:hanging="1441"/>
      </w:pPr>
      <w:rPr>
        <w:rFonts w:hint="default"/>
      </w:rPr>
    </w:lvl>
    <w:lvl w:ilvl="6">
      <w:start w:val="0"/>
      <w:numFmt w:val="bullet"/>
      <w:lvlText w:val="•"/>
      <w:lvlJc w:val="left"/>
      <w:pPr>
        <w:ind w:left="6979" w:hanging="1441"/>
      </w:pPr>
      <w:rPr>
        <w:rFonts w:hint="default"/>
      </w:rPr>
    </w:lvl>
    <w:lvl w:ilvl="7">
      <w:start w:val="0"/>
      <w:numFmt w:val="bullet"/>
      <w:lvlText w:val="•"/>
      <w:lvlJc w:val="left"/>
      <w:pPr>
        <w:ind w:left="8055" w:hanging="1441"/>
      </w:pPr>
      <w:rPr>
        <w:rFonts w:hint="default"/>
      </w:rPr>
    </w:lvl>
    <w:lvl w:ilvl="8">
      <w:start w:val="0"/>
      <w:numFmt w:val="bullet"/>
      <w:lvlText w:val="•"/>
      <w:lvlJc w:val="left"/>
      <w:pPr>
        <w:ind w:left="9132" w:hanging="1441"/>
      </w:pPr>
      <w:rPr>
        <w:rFonts w:hint="default"/>
      </w:rPr>
    </w:lvl>
  </w:abstractNum>
  <w:abstractNum w:abstractNumId="173">
    <w:multiLevelType w:val="hybridMultilevel"/>
    <w:lvl w:ilvl="0">
      <w:start w:val="8"/>
      <w:numFmt w:val="upperLetter"/>
      <w:lvlText w:val="%1"/>
      <w:lvlJc w:val="left"/>
      <w:pPr>
        <w:ind w:left="1953" w:hanging="1441"/>
        <w:jc w:val="left"/>
      </w:pPr>
      <w:rPr>
        <w:rFonts w:hint="default"/>
      </w:rPr>
    </w:lvl>
    <w:lvl w:ilvl="1">
      <w:start w:val="2"/>
      <w:numFmt w:val="decimal"/>
      <w:lvlText w:val="%1.%2"/>
      <w:lvlJc w:val="left"/>
      <w:pPr>
        <w:ind w:left="1953" w:hanging="1441"/>
        <w:jc w:val="left"/>
      </w:pPr>
      <w:rPr>
        <w:rFonts w:hint="default"/>
      </w:rPr>
    </w:lvl>
    <w:lvl w:ilvl="2">
      <w:start w:val="1"/>
      <w:numFmt w:val="decimal"/>
      <w:lvlText w:val="%1.%2.%3"/>
      <w:lvlJc w:val="left"/>
      <w:pPr>
        <w:ind w:left="1953" w:hanging="1441"/>
        <w:jc w:val="left"/>
      </w:pPr>
      <w:rPr>
        <w:rFonts w:hint="default"/>
      </w:rPr>
    </w:lvl>
    <w:lvl w:ilvl="3">
      <w:start w:val="1"/>
      <w:numFmt w:val="decimal"/>
      <w:lvlText w:val="%1.%2.%3.%4"/>
      <w:lvlJc w:val="left"/>
      <w:pPr>
        <w:ind w:left="1953" w:hanging="1441"/>
        <w:jc w:val="left"/>
      </w:pPr>
      <w:rPr>
        <w:rFonts w:hint="default" w:ascii="Verdana" w:hAnsi="Verdana" w:eastAsia="Verdana" w:cs="Verdana"/>
        <w:color w:val="231F20"/>
        <w:spacing w:val="-8"/>
        <w:w w:val="111"/>
        <w:sz w:val="18"/>
        <w:szCs w:val="18"/>
      </w:rPr>
    </w:lvl>
    <w:lvl w:ilvl="4">
      <w:start w:val="0"/>
      <w:numFmt w:val="bullet"/>
      <w:lvlText w:val="•"/>
      <w:lvlJc w:val="left"/>
      <w:pPr>
        <w:ind w:left="5690" w:hanging="1441"/>
      </w:pPr>
      <w:rPr>
        <w:rFonts w:hint="default"/>
      </w:rPr>
    </w:lvl>
    <w:lvl w:ilvl="5">
      <w:start w:val="0"/>
      <w:numFmt w:val="bullet"/>
      <w:lvlText w:val="•"/>
      <w:lvlJc w:val="left"/>
      <w:pPr>
        <w:ind w:left="6622" w:hanging="1441"/>
      </w:pPr>
      <w:rPr>
        <w:rFonts w:hint="default"/>
      </w:rPr>
    </w:lvl>
    <w:lvl w:ilvl="6">
      <w:start w:val="0"/>
      <w:numFmt w:val="bullet"/>
      <w:lvlText w:val="•"/>
      <w:lvlJc w:val="left"/>
      <w:pPr>
        <w:ind w:left="7555" w:hanging="1441"/>
      </w:pPr>
      <w:rPr>
        <w:rFonts w:hint="default"/>
      </w:rPr>
    </w:lvl>
    <w:lvl w:ilvl="7">
      <w:start w:val="0"/>
      <w:numFmt w:val="bullet"/>
      <w:lvlText w:val="•"/>
      <w:lvlJc w:val="left"/>
      <w:pPr>
        <w:ind w:left="8487" w:hanging="1441"/>
      </w:pPr>
      <w:rPr>
        <w:rFonts w:hint="default"/>
      </w:rPr>
    </w:lvl>
    <w:lvl w:ilvl="8">
      <w:start w:val="0"/>
      <w:numFmt w:val="bullet"/>
      <w:lvlText w:val="•"/>
      <w:lvlJc w:val="left"/>
      <w:pPr>
        <w:ind w:left="9420" w:hanging="1441"/>
      </w:pPr>
      <w:rPr>
        <w:rFonts w:hint="default"/>
      </w:rPr>
    </w:lvl>
  </w:abstractNum>
  <w:abstractNum w:abstractNumId="172">
    <w:multiLevelType w:val="hybridMultilevel"/>
    <w:lvl w:ilvl="0">
      <w:start w:val="7"/>
      <w:numFmt w:val="upperLetter"/>
      <w:lvlText w:val="%1"/>
      <w:lvlJc w:val="left"/>
      <w:pPr>
        <w:ind w:left="1081" w:hanging="721"/>
        <w:jc w:val="left"/>
      </w:pPr>
      <w:rPr>
        <w:rFonts w:hint="default"/>
      </w:rPr>
    </w:lvl>
    <w:lvl w:ilvl="1">
      <w:start w:val="10"/>
      <w:numFmt w:val="decimal"/>
      <w:lvlText w:val="%1.%2"/>
      <w:lvlJc w:val="left"/>
      <w:pPr>
        <w:ind w:left="1081" w:hanging="721"/>
        <w:jc w:val="left"/>
      </w:pPr>
      <w:rPr>
        <w:rFonts w:hint="default"/>
      </w:rPr>
    </w:lvl>
    <w:lvl w:ilvl="2">
      <w:start w:val="2"/>
      <w:numFmt w:val="decimal"/>
      <w:lvlText w:val="%1.%2.%3"/>
      <w:lvlJc w:val="left"/>
      <w:pPr>
        <w:ind w:left="1081" w:hanging="721"/>
        <w:jc w:val="right"/>
      </w:pPr>
      <w:rPr>
        <w:rFonts w:hint="default" w:ascii="Verdana" w:hAnsi="Verdana" w:eastAsia="Verdana" w:cs="Verdana"/>
        <w:color w:val="231F20"/>
        <w:spacing w:val="-10"/>
        <w:w w:val="110"/>
        <w:sz w:val="18"/>
        <w:szCs w:val="18"/>
      </w:rPr>
    </w:lvl>
    <w:lvl w:ilvl="3">
      <w:start w:val="0"/>
      <w:numFmt w:val="bullet"/>
      <w:lvlText w:val="•"/>
      <w:lvlJc w:val="left"/>
      <w:pPr>
        <w:ind w:left="4141" w:hanging="721"/>
      </w:pPr>
      <w:rPr>
        <w:rFonts w:hint="default"/>
      </w:rPr>
    </w:lvl>
    <w:lvl w:ilvl="4">
      <w:start w:val="0"/>
      <w:numFmt w:val="bullet"/>
      <w:lvlText w:val="•"/>
      <w:lvlJc w:val="left"/>
      <w:pPr>
        <w:ind w:left="5162" w:hanging="721"/>
      </w:pPr>
      <w:rPr>
        <w:rFonts w:hint="default"/>
      </w:rPr>
    </w:lvl>
    <w:lvl w:ilvl="5">
      <w:start w:val="0"/>
      <w:numFmt w:val="bullet"/>
      <w:lvlText w:val="•"/>
      <w:lvlJc w:val="left"/>
      <w:pPr>
        <w:ind w:left="6182" w:hanging="721"/>
      </w:pPr>
      <w:rPr>
        <w:rFonts w:hint="default"/>
      </w:rPr>
    </w:lvl>
    <w:lvl w:ilvl="6">
      <w:start w:val="0"/>
      <w:numFmt w:val="bullet"/>
      <w:lvlText w:val="•"/>
      <w:lvlJc w:val="left"/>
      <w:pPr>
        <w:ind w:left="7203" w:hanging="721"/>
      </w:pPr>
      <w:rPr>
        <w:rFonts w:hint="default"/>
      </w:rPr>
    </w:lvl>
    <w:lvl w:ilvl="7">
      <w:start w:val="0"/>
      <w:numFmt w:val="bullet"/>
      <w:lvlText w:val="•"/>
      <w:lvlJc w:val="left"/>
      <w:pPr>
        <w:ind w:left="8223" w:hanging="721"/>
      </w:pPr>
      <w:rPr>
        <w:rFonts w:hint="default"/>
      </w:rPr>
    </w:lvl>
    <w:lvl w:ilvl="8">
      <w:start w:val="0"/>
      <w:numFmt w:val="bullet"/>
      <w:lvlText w:val="•"/>
      <w:lvlJc w:val="left"/>
      <w:pPr>
        <w:ind w:left="9244" w:hanging="721"/>
      </w:pPr>
      <w:rPr>
        <w:rFonts w:hint="default"/>
      </w:rPr>
    </w:lvl>
  </w:abstractNum>
  <w:abstractNum w:abstractNumId="171">
    <w:multiLevelType w:val="hybridMultilevel"/>
    <w:lvl w:ilvl="0">
      <w:start w:val="7"/>
      <w:numFmt w:val="upperLetter"/>
      <w:lvlText w:val="%1"/>
      <w:lvlJc w:val="left"/>
      <w:pPr>
        <w:ind w:left="516" w:hanging="720"/>
        <w:jc w:val="left"/>
      </w:pPr>
      <w:rPr>
        <w:rFonts w:hint="default"/>
      </w:rPr>
    </w:lvl>
    <w:lvl w:ilvl="1">
      <w:start w:val="7"/>
      <w:numFmt w:val="decimal"/>
      <w:lvlText w:val="%1.%2"/>
      <w:lvlJc w:val="left"/>
      <w:pPr>
        <w:ind w:left="516" w:hanging="720"/>
        <w:jc w:val="left"/>
      </w:pPr>
      <w:rPr>
        <w:rFonts w:hint="default"/>
      </w:rPr>
    </w:lvl>
    <w:lvl w:ilvl="2">
      <w:start w:val="2"/>
      <w:numFmt w:val="decimal"/>
      <w:lvlText w:val="%1.%2.%3"/>
      <w:lvlJc w:val="left"/>
      <w:pPr>
        <w:ind w:left="516" w:hanging="720"/>
        <w:jc w:val="left"/>
      </w:pPr>
      <w:rPr>
        <w:rFonts w:hint="default" w:ascii="Verdana" w:hAnsi="Verdana" w:eastAsia="Verdana" w:cs="Verdana"/>
        <w:color w:val="231F20"/>
        <w:spacing w:val="-25"/>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70">
    <w:multiLevelType w:val="hybridMultilevel"/>
    <w:lvl w:ilvl="0">
      <w:start w:val="7"/>
      <w:numFmt w:val="upperLetter"/>
      <w:lvlText w:val="%1"/>
      <w:lvlJc w:val="left"/>
      <w:pPr>
        <w:ind w:left="513" w:hanging="720"/>
        <w:jc w:val="left"/>
      </w:pPr>
      <w:rPr>
        <w:rFonts w:hint="default"/>
      </w:rPr>
    </w:lvl>
    <w:lvl w:ilvl="1">
      <w:start w:val="6"/>
      <w:numFmt w:val="decimal"/>
      <w:lvlText w:val="%1.%2"/>
      <w:lvlJc w:val="left"/>
      <w:pPr>
        <w:ind w:left="513" w:hanging="720"/>
        <w:jc w:val="right"/>
      </w:pPr>
      <w:rPr>
        <w:rFonts w:hint="default" w:ascii="Verdana" w:hAnsi="Verdana" w:eastAsia="Verdana" w:cs="Verdana"/>
        <w:color w:val="231F20"/>
        <w:spacing w:val="-4"/>
        <w:w w:val="111"/>
        <w:sz w:val="18"/>
        <w:szCs w:val="18"/>
      </w:rPr>
    </w:lvl>
    <w:lvl w:ilvl="2">
      <w:start w:val="1"/>
      <w:numFmt w:val="decimal"/>
      <w:lvlText w:val="%1.%2.%3"/>
      <w:lvlJc w:val="left"/>
      <w:pPr>
        <w:ind w:left="1800"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1800" w:hanging="721"/>
      </w:pPr>
      <w:rPr>
        <w:rFonts w:hint="default"/>
      </w:rPr>
    </w:lvl>
    <w:lvl w:ilvl="4">
      <w:start w:val="0"/>
      <w:numFmt w:val="bullet"/>
      <w:lvlText w:val="•"/>
      <w:lvlJc w:val="left"/>
      <w:pPr>
        <w:ind w:left="3155" w:hanging="721"/>
      </w:pPr>
      <w:rPr>
        <w:rFonts w:hint="default"/>
      </w:rPr>
    </w:lvl>
    <w:lvl w:ilvl="5">
      <w:start w:val="0"/>
      <w:numFmt w:val="bullet"/>
      <w:lvlText w:val="•"/>
      <w:lvlJc w:val="left"/>
      <w:pPr>
        <w:ind w:left="4510" w:hanging="721"/>
      </w:pPr>
      <w:rPr>
        <w:rFonts w:hint="default"/>
      </w:rPr>
    </w:lvl>
    <w:lvl w:ilvl="6">
      <w:start w:val="0"/>
      <w:numFmt w:val="bullet"/>
      <w:lvlText w:val="•"/>
      <w:lvlJc w:val="left"/>
      <w:pPr>
        <w:ind w:left="5865" w:hanging="721"/>
      </w:pPr>
      <w:rPr>
        <w:rFonts w:hint="default"/>
      </w:rPr>
    </w:lvl>
    <w:lvl w:ilvl="7">
      <w:start w:val="0"/>
      <w:numFmt w:val="bullet"/>
      <w:lvlText w:val="•"/>
      <w:lvlJc w:val="left"/>
      <w:pPr>
        <w:ind w:left="7220" w:hanging="721"/>
      </w:pPr>
      <w:rPr>
        <w:rFonts w:hint="default"/>
      </w:rPr>
    </w:lvl>
    <w:lvl w:ilvl="8">
      <w:start w:val="0"/>
      <w:numFmt w:val="bullet"/>
      <w:lvlText w:val="•"/>
      <w:lvlJc w:val="left"/>
      <w:pPr>
        <w:ind w:left="8575" w:hanging="721"/>
      </w:pPr>
      <w:rPr>
        <w:rFonts w:hint="default"/>
      </w:rPr>
    </w:lvl>
  </w:abstractNum>
  <w:abstractNum w:abstractNumId="169">
    <w:multiLevelType w:val="hybridMultilevel"/>
    <w:lvl w:ilvl="0">
      <w:start w:val="7"/>
      <w:numFmt w:val="upperLetter"/>
      <w:lvlText w:val="%1"/>
      <w:lvlJc w:val="left"/>
      <w:pPr>
        <w:ind w:left="1233" w:hanging="720"/>
        <w:jc w:val="left"/>
      </w:pPr>
      <w:rPr>
        <w:rFonts w:hint="default"/>
      </w:rPr>
    </w:lvl>
    <w:lvl w:ilvl="1">
      <w:start w:val="5"/>
      <w:numFmt w:val="decimal"/>
      <w:lvlText w:val="%1.%2"/>
      <w:lvlJc w:val="left"/>
      <w:pPr>
        <w:ind w:left="1233" w:hanging="720"/>
        <w:jc w:val="left"/>
      </w:pPr>
      <w:rPr>
        <w:rFonts w:hint="default"/>
      </w:rPr>
    </w:lvl>
    <w:lvl w:ilvl="2">
      <w:start w:val="2"/>
      <w:numFmt w:val="decimal"/>
      <w:lvlText w:val="%1.%2.%3"/>
      <w:lvlJc w:val="left"/>
      <w:pPr>
        <w:ind w:left="1233" w:hanging="720"/>
        <w:jc w:val="left"/>
      </w:pPr>
      <w:rPr>
        <w:rFonts w:hint="default" w:ascii="Verdana" w:hAnsi="Verdana" w:eastAsia="Verdana" w:cs="Verdana"/>
        <w:color w:val="231F20"/>
        <w:spacing w:val="-4"/>
        <w:w w:val="111"/>
        <w:sz w:val="18"/>
        <w:szCs w:val="18"/>
      </w:rPr>
    </w:lvl>
    <w:lvl w:ilvl="3">
      <w:start w:val="0"/>
      <w:numFmt w:val="bullet"/>
      <w:lvlText w:val="•"/>
      <w:lvlJc w:val="left"/>
      <w:pPr>
        <w:ind w:left="4253" w:hanging="720"/>
      </w:pPr>
      <w:rPr>
        <w:rFonts w:hint="default"/>
      </w:rPr>
    </w:lvl>
    <w:lvl w:ilvl="4">
      <w:start w:val="0"/>
      <w:numFmt w:val="bullet"/>
      <w:lvlText w:val="•"/>
      <w:lvlJc w:val="left"/>
      <w:pPr>
        <w:ind w:left="5258"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67" w:hanging="720"/>
      </w:pPr>
      <w:rPr>
        <w:rFonts w:hint="default"/>
      </w:rPr>
    </w:lvl>
    <w:lvl w:ilvl="7">
      <w:start w:val="0"/>
      <w:numFmt w:val="bullet"/>
      <w:lvlText w:val="•"/>
      <w:lvlJc w:val="left"/>
      <w:pPr>
        <w:ind w:left="8271" w:hanging="720"/>
      </w:pPr>
      <w:rPr>
        <w:rFonts w:hint="default"/>
      </w:rPr>
    </w:lvl>
    <w:lvl w:ilvl="8">
      <w:start w:val="0"/>
      <w:numFmt w:val="bullet"/>
      <w:lvlText w:val="•"/>
      <w:lvlJc w:val="left"/>
      <w:pPr>
        <w:ind w:left="9276" w:hanging="720"/>
      </w:pPr>
      <w:rPr>
        <w:rFonts w:hint="default"/>
      </w:rPr>
    </w:lvl>
  </w:abstractNum>
  <w:abstractNum w:abstractNumId="168">
    <w:multiLevelType w:val="hybridMultilevel"/>
    <w:lvl w:ilvl="0">
      <w:start w:val="7"/>
      <w:numFmt w:val="upperLetter"/>
      <w:lvlText w:val="%1"/>
      <w:lvlJc w:val="left"/>
      <w:pPr>
        <w:ind w:left="1080" w:hanging="720"/>
        <w:jc w:val="left"/>
      </w:pPr>
      <w:rPr>
        <w:rFonts w:hint="default"/>
      </w:rPr>
    </w:lvl>
    <w:lvl w:ilvl="1">
      <w:start w:val="4"/>
      <w:numFmt w:val="decimal"/>
      <w:lvlText w:val="%1.%2"/>
      <w:lvlJc w:val="left"/>
      <w:pPr>
        <w:ind w:left="1080" w:hanging="720"/>
        <w:jc w:val="left"/>
      </w:pPr>
      <w:rPr>
        <w:rFonts w:hint="default"/>
      </w:rPr>
    </w:lvl>
    <w:lvl w:ilvl="2">
      <w:start w:val="2"/>
      <w:numFmt w:val="decimal"/>
      <w:lvlText w:val="%1.%2.%3"/>
      <w:lvlJc w:val="left"/>
      <w:pPr>
        <w:ind w:left="1080" w:hanging="720"/>
        <w:jc w:val="right"/>
      </w:pPr>
      <w:rPr>
        <w:rFonts w:hint="default" w:ascii="Verdana" w:hAnsi="Verdana" w:eastAsia="Verdana" w:cs="Verdana"/>
        <w:color w:val="231F20"/>
        <w:spacing w:val="-6"/>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67">
    <w:multiLevelType w:val="hybridMultilevel"/>
    <w:lvl w:ilvl="0">
      <w:start w:val="7"/>
      <w:numFmt w:val="upperLetter"/>
      <w:lvlText w:val="%1"/>
      <w:lvlJc w:val="left"/>
      <w:pPr>
        <w:ind w:left="1800" w:hanging="720"/>
        <w:jc w:val="left"/>
      </w:pPr>
      <w:rPr>
        <w:rFonts w:hint="default"/>
      </w:rPr>
    </w:lvl>
    <w:lvl w:ilvl="1">
      <w:start w:val="3"/>
      <w:numFmt w:val="decimal"/>
      <w:lvlText w:val="%1.%2"/>
      <w:lvlJc w:val="left"/>
      <w:pPr>
        <w:ind w:left="1800" w:hanging="720"/>
        <w:jc w:val="left"/>
      </w:pPr>
      <w:rPr>
        <w:rFonts w:hint="default"/>
      </w:rPr>
    </w:lvl>
    <w:lvl w:ilvl="2">
      <w:start w:val="2"/>
      <w:numFmt w:val="decimal"/>
      <w:lvlText w:val="%1.%2.%3"/>
      <w:lvlJc w:val="left"/>
      <w:pPr>
        <w:ind w:left="1800" w:hanging="720"/>
        <w:jc w:val="left"/>
      </w:pPr>
      <w:rPr>
        <w:rFonts w:hint="default" w:ascii="Verdana" w:hAnsi="Verdana" w:eastAsia="Verdana" w:cs="Verdana"/>
        <w:color w:val="231F20"/>
        <w:spacing w:val="-4"/>
        <w:w w:val="111"/>
        <w:sz w:val="18"/>
        <w:szCs w:val="18"/>
      </w:rPr>
    </w:lvl>
    <w:lvl w:ilvl="3">
      <w:start w:val="1"/>
      <w:numFmt w:val="decimal"/>
      <w:lvlText w:val="%1.%2.%3.%4"/>
      <w:lvlJc w:val="left"/>
      <w:pPr>
        <w:ind w:left="1080" w:hanging="1441"/>
        <w:jc w:val="left"/>
      </w:pPr>
      <w:rPr>
        <w:rFonts w:hint="default" w:ascii="Verdana" w:hAnsi="Verdana" w:eastAsia="Verdana" w:cs="Verdana"/>
        <w:color w:val="231F20"/>
        <w:spacing w:val="-8"/>
        <w:w w:val="111"/>
        <w:sz w:val="18"/>
        <w:szCs w:val="18"/>
      </w:rPr>
    </w:lvl>
    <w:lvl w:ilvl="4">
      <w:start w:val="0"/>
      <w:numFmt w:val="bullet"/>
      <w:lvlText w:val="•"/>
      <w:lvlJc w:val="left"/>
      <w:pPr>
        <w:ind w:left="4961" w:hanging="1441"/>
      </w:pPr>
      <w:rPr>
        <w:rFonts w:hint="default"/>
      </w:rPr>
    </w:lvl>
    <w:lvl w:ilvl="5">
      <w:start w:val="0"/>
      <w:numFmt w:val="bullet"/>
      <w:lvlText w:val="•"/>
      <w:lvlJc w:val="left"/>
      <w:pPr>
        <w:ind w:left="6015" w:hanging="1441"/>
      </w:pPr>
      <w:rPr>
        <w:rFonts w:hint="default"/>
      </w:rPr>
    </w:lvl>
    <w:lvl w:ilvl="6">
      <w:start w:val="0"/>
      <w:numFmt w:val="bullet"/>
      <w:lvlText w:val="•"/>
      <w:lvlJc w:val="left"/>
      <w:pPr>
        <w:ind w:left="7069" w:hanging="1441"/>
      </w:pPr>
      <w:rPr>
        <w:rFonts w:hint="default"/>
      </w:rPr>
    </w:lvl>
    <w:lvl w:ilvl="7">
      <w:start w:val="0"/>
      <w:numFmt w:val="bullet"/>
      <w:lvlText w:val="•"/>
      <w:lvlJc w:val="left"/>
      <w:pPr>
        <w:ind w:left="8123" w:hanging="1441"/>
      </w:pPr>
      <w:rPr>
        <w:rFonts w:hint="default"/>
      </w:rPr>
    </w:lvl>
    <w:lvl w:ilvl="8">
      <w:start w:val="0"/>
      <w:numFmt w:val="bullet"/>
      <w:lvlText w:val="•"/>
      <w:lvlJc w:val="left"/>
      <w:pPr>
        <w:ind w:left="9177" w:hanging="1441"/>
      </w:pPr>
      <w:rPr>
        <w:rFonts w:hint="default"/>
      </w:rPr>
    </w:lvl>
  </w:abstractNum>
  <w:abstractNum w:abstractNumId="166">
    <w:multiLevelType w:val="hybridMultilevel"/>
    <w:lvl w:ilvl="0">
      <w:start w:val="7"/>
      <w:numFmt w:val="upperLetter"/>
      <w:lvlText w:val="%1"/>
      <w:lvlJc w:val="left"/>
      <w:pPr>
        <w:ind w:left="513" w:hanging="791"/>
        <w:jc w:val="left"/>
      </w:pPr>
      <w:rPr>
        <w:rFonts w:hint="default"/>
      </w:rPr>
    </w:lvl>
    <w:lvl w:ilvl="1">
      <w:start w:val="1"/>
      <w:numFmt w:val="decimal"/>
      <w:lvlText w:val="%1.%2"/>
      <w:lvlJc w:val="left"/>
      <w:pPr>
        <w:ind w:left="513" w:hanging="791"/>
        <w:jc w:val="left"/>
      </w:pPr>
      <w:rPr>
        <w:rFonts w:hint="default"/>
      </w:rPr>
    </w:lvl>
    <w:lvl w:ilvl="2">
      <w:start w:val="2"/>
      <w:numFmt w:val="decimal"/>
      <w:lvlText w:val="%1.%2.%3"/>
      <w:lvlJc w:val="left"/>
      <w:pPr>
        <w:ind w:left="513" w:hanging="791"/>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91"/>
      </w:pPr>
      <w:rPr>
        <w:rFonts w:hint="default"/>
      </w:rPr>
    </w:lvl>
    <w:lvl w:ilvl="4">
      <w:start w:val="0"/>
      <w:numFmt w:val="bullet"/>
      <w:lvlText w:val="•"/>
      <w:lvlJc w:val="left"/>
      <w:pPr>
        <w:ind w:left="4826" w:hanging="791"/>
      </w:pPr>
      <w:rPr>
        <w:rFonts w:hint="default"/>
      </w:rPr>
    </w:lvl>
    <w:lvl w:ilvl="5">
      <w:start w:val="0"/>
      <w:numFmt w:val="bullet"/>
      <w:lvlText w:val="•"/>
      <w:lvlJc w:val="left"/>
      <w:pPr>
        <w:ind w:left="5902" w:hanging="791"/>
      </w:pPr>
      <w:rPr>
        <w:rFonts w:hint="default"/>
      </w:rPr>
    </w:lvl>
    <w:lvl w:ilvl="6">
      <w:start w:val="0"/>
      <w:numFmt w:val="bullet"/>
      <w:lvlText w:val="•"/>
      <w:lvlJc w:val="left"/>
      <w:pPr>
        <w:ind w:left="6979" w:hanging="791"/>
      </w:pPr>
      <w:rPr>
        <w:rFonts w:hint="default"/>
      </w:rPr>
    </w:lvl>
    <w:lvl w:ilvl="7">
      <w:start w:val="0"/>
      <w:numFmt w:val="bullet"/>
      <w:lvlText w:val="•"/>
      <w:lvlJc w:val="left"/>
      <w:pPr>
        <w:ind w:left="8055" w:hanging="791"/>
      </w:pPr>
      <w:rPr>
        <w:rFonts w:hint="default"/>
      </w:rPr>
    </w:lvl>
    <w:lvl w:ilvl="8">
      <w:start w:val="0"/>
      <w:numFmt w:val="bullet"/>
      <w:lvlText w:val="•"/>
      <w:lvlJc w:val="left"/>
      <w:pPr>
        <w:ind w:left="9132" w:hanging="791"/>
      </w:pPr>
      <w:rPr>
        <w:rFonts w:hint="default"/>
      </w:rPr>
    </w:lvl>
  </w:abstractNum>
  <w:abstractNum w:abstractNumId="165">
    <w:multiLevelType w:val="hybridMultilevel"/>
    <w:lvl w:ilvl="0">
      <w:start w:val="6"/>
      <w:numFmt w:val="upperLetter"/>
      <w:lvlText w:val="%1"/>
      <w:lvlJc w:val="left"/>
      <w:pPr>
        <w:ind w:left="1080" w:hanging="720"/>
        <w:jc w:val="left"/>
      </w:pPr>
      <w:rPr>
        <w:rFonts w:hint="default"/>
      </w:rPr>
    </w:lvl>
    <w:lvl w:ilvl="1">
      <w:start w:val="6"/>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21"/>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64">
    <w:multiLevelType w:val="hybridMultilevel"/>
    <w:lvl w:ilvl="0">
      <w:start w:val="6"/>
      <w:numFmt w:val="upperLetter"/>
      <w:lvlText w:val="%1"/>
      <w:lvlJc w:val="left"/>
      <w:pPr>
        <w:ind w:left="513" w:hanging="720"/>
        <w:jc w:val="left"/>
      </w:pPr>
      <w:rPr>
        <w:rFonts w:hint="default"/>
      </w:rPr>
    </w:lvl>
    <w:lvl w:ilvl="1">
      <w:start w:val="3"/>
      <w:numFmt w:val="decimal"/>
      <w:lvlText w:val="%1.%2"/>
      <w:lvlJc w:val="left"/>
      <w:pPr>
        <w:ind w:left="513" w:hanging="720"/>
        <w:jc w:val="right"/>
      </w:pPr>
      <w:rPr>
        <w:rFonts w:hint="default" w:ascii="Verdana" w:hAnsi="Verdana" w:eastAsia="Verdana" w:cs="Verdana"/>
        <w:color w:val="231F20"/>
        <w:spacing w:val="-21"/>
        <w:w w:val="111"/>
        <w:sz w:val="18"/>
        <w:szCs w:val="18"/>
      </w:rPr>
    </w:lvl>
    <w:lvl w:ilvl="2">
      <w:start w:val="1"/>
      <w:numFmt w:val="decimal"/>
      <w:lvlText w:val="%1.%2.%3"/>
      <w:lvlJc w:val="left"/>
      <w:pPr>
        <w:ind w:left="1233" w:hanging="721"/>
        <w:jc w:val="left"/>
      </w:pPr>
      <w:rPr>
        <w:rFonts w:hint="default" w:ascii="Verdana" w:hAnsi="Verdana" w:eastAsia="Verdana" w:cs="Verdana"/>
        <w:color w:val="231F20"/>
        <w:spacing w:val="-21"/>
        <w:w w:val="111"/>
        <w:sz w:val="18"/>
        <w:szCs w:val="18"/>
      </w:rPr>
    </w:lvl>
    <w:lvl w:ilvl="3">
      <w:start w:val="0"/>
      <w:numFmt w:val="bullet"/>
      <w:lvlText w:val="•"/>
      <w:lvlJc w:val="left"/>
      <w:pPr>
        <w:ind w:left="3472" w:hanging="721"/>
      </w:pPr>
      <w:rPr>
        <w:rFonts w:hint="default"/>
      </w:rPr>
    </w:lvl>
    <w:lvl w:ilvl="4">
      <w:start w:val="0"/>
      <w:numFmt w:val="bullet"/>
      <w:lvlText w:val="•"/>
      <w:lvlJc w:val="left"/>
      <w:pPr>
        <w:ind w:left="4588" w:hanging="721"/>
      </w:pPr>
      <w:rPr>
        <w:rFonts w:hint="default"/>
      </w:rPr>
    </w:lvl>
    <w:lvl w:ilvl="5">
      <w:start w:val="0"/>
      <w:numFmt w:val="bullet"/>
      <w:lvlText w:val="•"/>
      <w:lvlJc w:val="left"/>
      <w:pPr>
        <w:ind w:left="5704" w:hanging="721"/>
      </w:pPr>
      <w:rPr>
        <w:rFonts w:hint="default"/>
      </w:rPr>
    </w:lvl>
    <w:lvl w:ilvl="6">
      <w:start w:val="0"/>
      <w:numFmt w:val="bullet"/>
      <w:lvlText w:val="•"/>
      <w:lvlJc w:val="left"/>
      <w:pPr>
        <w:ind w:left="6820" w:hanging="721"/>
      </w:pPr>
      <w:rPr>
        <w:rFonts w:hint="default"/>
      </w:rPr>
    </w:lvl>
    <w:lvl w:ilvl="7">
      <w:start w:val="0"/>
      <w:numFmt w:val="bullet"/>
      <w:lvlText w:val="•"/>
      <w:lvlJc w:val="left"/>
      <w:pPr>
        <w:ind w:left="7937" w:hanging="721"/>
      </w:pPr>
      <w:rPr>
        <w:rFonts w:hint="default"/>
      </w:rPr>
    </w:lvl>
    <w:lvl w:ilvl="8">
      <w:start w:val="0"/>
      <w:numFmt w:val="bullet"/>
      <w:lvlText w:val="•"/>
      <w:lvlJc w:val="left"/>
      <w:pPr>
        <w:ind w:left="9053" w:hanging="721"/>
      </w:pPr>
      <w:rPr>
        <w:rFonts w:hint="default"/>
      </w:rPr>
    </w:lvl>
  </w:abstractNum>
  <w:abstractNum w:abstractNumId="163">
    <w:multiLevelType w:val="hybridMultilevel"/>
    <w:lvl w:ilvl="0">
      <w:start w:val="6"/>
      <w:numFmt w:val="upperLetter"/>
      <w:lvlText w:val="%1"/>
      <w:lvlJc w:val="left"/>
      <w:pPr>
        <w:ind w:left="513" w:hanging="720"/>
        <w:jc w:val="left"/>
      </w:pPr>
      <w:rPr>
        <w:rFonts w:hint="default"/>
      </w:rPr>
    </w:lvl>
    <w:lvl w:ilvl="1">
      <w:start w:val="2"/>
      <w:numFmt w:val="decimal"/>
      <w:lvlText w:val="%1.%2"/>
      <w:lvlJc w:val="left"/>
      <w:pPr>
        <w:ind w:left="513" w:hanging="720"/>
        <w:jc w:val="left"/>
      </w:pPr>
      <w:rPr>
        <w:rFonts w:hint="default"/>
      </w:rPr>
    </w:lvl>
    <w:lvl w:ilvl="2">
      <w:start w:val="1"/>
      <w:numFmt w:val="decimal"/>
      <w:lvlText w:val="%1.%2.%3"/>
      <w:lvlJc w:val="left"/>
      <w:pPr>
        <w:ind w:left="513" w:hanging="720"/>
        <w:jc w:val="left"/>
      </w:pPr>
      <w:rPr>
        <w:rFonts w:hint="default" w:ascii="Verdana" w:hAnsi="Verdana" w:eastAsia="Verdana" w:cs="Verdana"/>
        <w:color w:val="231F20"/>
        <w:spacing w:val="-21"/>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62">
    <w:multiLevelType w:val="hybridMultilevel"/>
    <w:lvl w:ilvl="0">
      <w:start w:val="5"/>
      <w:numFmt w:val="upperLetter"/>
      <w:lvlText w:val="%1"/>
      <w:lvlJc w:val="left"/>
      <w:pPr>
        <w:ind w:left="1080" w:hanging="720"/>
        <w:jc w:val="left"/>
      </w:pPr>
      <w:rPr>
        <w:rFonts w:hint="default"/>
      </w:rPr>
    </w:lvl>
    <w:lvl w:ilvl="1">
      <w:start w:val="16"/>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9"/>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61">
    <w:multiLevelType w:val="hybridMultilevel"/>
    <w:lvl w:ilvl="0">
      <w:start w:val="5"/>
      <w:numFmt w:val="upperLetter"/>
      <w:lvlText w:val="%1"/>
      <w:lvlJc w:val="left"/>
      <w:pPr>
        <w:ind w:left="1080" w:hanging="720"/>
        <w:jc w:val="left"/>
      </w:pPr>
      <w:rPr>
        <w:rFonts w:hint="default"/>
      </w:rPr>
    </w:lvl>
    <w:lvl w:ilvl="1">
      <w:start w:val="14"/>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11"/>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60">
    <w:multiLevelType w:val="hybridMultilevel"/>
    <w:lvl w:ilvl="0">
      <w:start w:val="5"/>
      <w:numFmt w:val="upperLetter"/>
      <w:lvlText w:val="%1"/>
      <w:lvlJc w:val="left"/>
      <w:pPr>
        <w:ind w:left="513" w:hanging="720"/>
        <w:jc w:val="left"/>
      </w:pPr>
      <w:rPr>
        <w:rFonts w:hint="default"/>
      </w:rPr>
    </w:lvl>
    <w:lvl w:ilvl="1">
      <w:start w:val="13"/>
      <w:numFmt w:val="decimal"/>
      <w:lvlText w:val="%1.%2"/>
      <w:lvlJc w:val="left"/>
      <w:pPr>
        <w:ind w:left="513" w:hanging="720"/>
        <w:jc w:val="left"/>
      </w:pPr>
      <w:rPr>
        <w:rFonts w:hint="default"/>
      </w:rPr>
    </w:lvl>
    <w:lvl w:ilvl="2">
      <w:start w:val="2"/>
      <w:numFmt w:val="decimal"/>
      <w:lvlText w:val="%1.%2.%3"/>
      <w:lvlJc w:val="left"/>
      <w:pPr>
        <w:ind w:left="51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59">
    <w:multiLevelType w:val="hybridMultilevel"/>
    <w:lvl w:ilvl="0">
      <w:start w:val="5"/>
      <w:numFmt w:val="upperLetter"/>
      <w:lvlText w:val="%1"/>
      <w:lvlJc w:val="left"/>
      <w:pPr>
        <w:ind w:left="513" w:hanging="721"/>
        <w:jc w:val="left"/>
      </w:pPr>
      <w:rPr>
        <w:rFonts w:hint="default"/>
      </w:rPr>
    </w:lvl>
    <w:lvl w:ilvl="1">
      <w:start w:val="12"/>
      <w:numFmt w:val="decimal"/>
      <w:lvlText w:val="%1.%2"/>
      <w:lvlJc w:val="left"/>
      <w:pPr>
        <w:ind w:left="513" w:hanging="721"/>
        <w:jc w:val="left"/>
      </w:pPr>
      <w:rPr>
        <w:rFonts w:hint="default"/>
      </w:rPr>
    </w:lvl>
    <w:lvl w:ilvl="2">
      <w:start w:val="2"/>
      <w:numFmt w:val="decimal"/>
      <w:lvlText w:val="%1.%2.%3"/>
      <w:lvlJc w:val="left"/>
      <w:pPr>
        <w:ind w:left="513" w:hanging="721"/>
        <w:jc w:val="left"/>
      </w:pPr>
      <w:rPr>
        <w:rFonts w:hint="default" w:ascii="Verdana" w:hAnsi="Verdana" w:eastAsia="Verdana" w:cs="Verdana"/>
        <w:color w:val="231F20"/>
        <w:spacing w:val="-8"/>
        <w:w w:val="111"/>
        <w:sz w:val="18"/>
        <w:szCs w:val="18"/>
      </w:rPr>
    </w:lvl>
    <w:lvl w:ilvl="3">
      <w:start w:val="0"/>
      <w:numFmt w:val="bullet"/>
      <w:lvlText w:val="•"/>
      <w:lvlJc w:val="left"/>
      <w:pPr>
        <w:ind w:left="3749" w:hanging="721"/>
      </w:pPr>
      <w:rPr>
        <w:rFonts w:hint="default"/>
      </w:rPr>
    </w:lvl>
    <w:lvl w:ilvl="4">
      <w:start w:val="0"/>
      <w:numFmt w:val="bullet"/>
      <w:lvlText w:val="•"/>
      <w:lvlJc w:val="left"/>
      <w:pPr>
        <w:ind w:left="4826" w:hanging="721"/>
      </w:pPr>
      <w:rPr>
        <w:rFonts w:hint="default"/>
      </w:rPr>
    </w:lvl>
    <w:lvl w:ilvl="5">
      <w:start w:val="0"/>
      <w:numFmt w:val="bullet"/>
      <w:lvlText w:val="•"/>
      <w:lvlJc w:val="left"/>
      <w:pPr>
        <w:ind w:left="5902" w:hanging="721"/>
      </w:pPr>
      <w:rPr>
        <w:rFonts w:hint="default"/>
      </w:rPr>
    </w:lvl>
    <w:lvl w:ilvl="6">
      <w:start w:val="0"/>
      <w:numFmt w:val="bullet"/>
      <w:lvlText w:val="•"/>
      <w:lvlJc w:val="left"/>
      <w:pPr>
        <w:ind w:left="6979" w:hanging="721"/>
      </w:pPr>
      <w:rPr>
        <w:rFonts w:hint="default"/>
      </w:rPr>
    </w:lvl>
    <w:lvl w:ilvl="7">
      <w:start w:val="0"/>
      <w:numFmt w:val="bullet"/>
      <w:lvlText w:val="•"/>
      <w:lvlJc w:val="left"/>
      <w:pPr>
        <w:ind w:left="8055" w:hanging="721"/>
      </w:pPr>
      <w:rPr>
        <w:rFonts w:hint="default"/>
      </w:rPr>
    </w:lvl>
    <w:lvl w:ilvl="8">
      <w:start w:val="0"/>
      <w:numFmt w:val="bullet"/>
      <w:lvlText w:val="•"/>
      <w:lvlJc w:val="left"/>
      <w:pPr>
        <w:ind w:left="9132" w:hanging="721"/>
      </w:pPr>
      <w:rPr>
        <w:rFonts w:hint="default"/>
      </w:rPr>
    </w:lvl>
  </w:abstractNum>
  <w:abstractNum w:abstractNumId="158">
    <w:multiLevelType w:val="hybridMultilevel"/>
    <w:lvl w:ilvl="0">
      <w:start w:val="5"/>
      <w:numFmt w:val="upperLetter"/>
      <w:lvlText w:val="%1"/>
      <w:lvlJc w:val="left"/>
      <w:pPr>
        <w:ind w:left="1080" w:hanging="1441"/>
        <w:jc w:val="left"/>
      </w:pPr>
      <w:rPr>
        <w:rFonts w:hint="default"/>
      </w:rPr>
    </w:lvl>
    <w:lvl w:ilvl="1">
      <w:start w:val="10"/>
      <w:numFmt w:val="decimal"/>
      <w:lvlText w:val="%1.%2"/>
      <w:lvlJc w:val="left"/>
      <w:pPr>
        <w:ind w:left="1080" w:hanging="1441"/>
        <w:jc w:val="left"/>
      </w:pPr>
      <w:rPr>
        <w:rFonts w:hint="default"/>
      </w:rPr>
    </w:lvl>
    <w:lvl w:ilvl="2">
      <w:start w:val="1"/>
      <w:numFmt w:val="decimal"/>
      <w:lvlText w:val="%1.%2.%3"/>
      <w:lvlJc w:val="left"/>
      <w:pPr>
        <w:ind w:left="1080" w:hanging="1441"/>
        <w:jc w:val="left"/>
      </w:pPr>
      <w:rPr>
        <w:rFonts w:hint="default"/>
      </w:rPr>
    </w:lvl>
    <w:lvl w:ilvl="3">
      <w:start w:val="1"/>
      <w:numFmt w:val="decimal"/>
      <w:lvlText w:val="%1.%2.%3.%4"/>
      <w:lvlJc w:val="left"/>
      <w:pPr>
        <w:ind w:left="1080" w:hanging="1441"/>
        <w:jc w:val="left"/>
      </w:pPr>
      <w:rPr>
        <w:rFonts w:hint="default" w:ascii="Verdana" w:hAnsi="Verdana" w:eastAsia="Verdana" w:cs="Verdana"/>
        <w:color w:val="231F20"/>
        <w:spacing w:val="-8"/>
        <w:w w:val="111"/>
        <w:sz w:val="18"/>
        <w:szCs w:val="18"/>
      </w:rPr>
    </w:lvl>
    <w:lvl w:ilvl="4">
      <w:start w:val="0"/>
      <w:numFmt w:val="bullet"/>
      <w:lvlText w:val="•"/>
      <w:lvlJc w:val="left"/>
      <w:pPr>
        <w:ind w:left="5162" w:hanging="1441"/>
      </w:pPr>
      <w:rPr>
        <w:rFonts w:hint="default"/>
      </w:rPr>
    </w:lvl>
    <w:lvl w:ilvl="5">
      <w:start w:val="0"/>
      <w:numFmt w:val="bullet"/>
      <w:lvlText w:val="•"/>
      <w:lvlJc w:val="left"/>
      <w:pPr>
        <w:ind w:left="6182" w:hanging="1441"/>
      </w:pPr>
      <w:rPr>
        <w:rFonts w:hint="default"/>
      </w:rPr>
    </w:lvl>
    <w:lvl w:ilvl="6">
      <w:start w:val="0"/>
      <w:numFmt w:val="bullet"/>
      <w:lvlText w:val="•"/>
      <w:lvlJc w:val="left"/>
      <w:pPr>
        <w:ind w:left="7203" w:hanging="1441"/>
      </w:pPr>
      <w:rPr>
        <w:rFonts w:hint="default"/>
      </w:rPr>
    </w:lvl>
    <w:lvl w:ilvl="7">
      <w:start w:val="0"/>
      <w:numFmt w:val="bullet"/>
      <w:lvlText w:val="•"/>
      <w:lvlJc w:val="left"/>
      <w:pPr>
        <w:ind w:left="8223" w:hanging="1441"/>
      </w:pPr>
      <w:rPr>
        <w:rFonts w:hint="default"/>
      </w:rPr>
    </w:lvl>
    <w:lvl w:ilvl="8">
      <w:start w:val="0"/>
      <w:numFmt w:val="bullet"/>
      <w:lvlText w:val="•"/>
      <w:lvlJc w:val="left"/>
      <w:pPr>
        <w:ind w:left="9244" w:hanging="1441"/>
      </w:pPr>
      <w:rPr>
        <w:rFonts w:hint="default"/>
      </w:rPr>
    </w:lvl>
  </w:abstractNum>
  <w:abstractNum w:abstractNumId="157">
    <w:multiLevelType w:val="hybridMultilevel"/>
    <w:lvl w:ilvl="0">
      <w:start w:val="5"/>
      <w:numFmt w:val="upperLetter"/>
      <w:lvlText w:val="%1"/>
      <w:lvlJc w:val="left"/>
      <w:pPr>
        <w:ind w:left="515" w:hanging="720"/>
        <w:jc w:val="left"/>
      </w:pPr>
      <w:rPr>
        <w:rFonts w:hint="default"/>
      </w:rPr>
    </w:lvl>
    <w:lvl w:ilvl="1">
      <w:start w:val="9"/>
      <w:numFmt w:val="decimal"/>
      <w:lvlText w:val="%1.%2"/>
      <w:lvlJc w:val="left"/>
      <w:pPr>
        <w:ind w:left="515" w:hanging="720"/>
        <w:jc w:val="left"/>
      </w:pPr>
      <w:rPr>
        <w:rFonts w:hint="default"/>
      </w:rPr>
    </w:lvl>
    <w:lvl w:ilvl="2">
      <w:start w:val="2"/>
      <w:numFmt w:val="decimal"/>
      <w:lvlText w:val="%1.%2.%3"/>
      <w:lvlJc w:val="left"/>
      <w:pPr>
        <w:ind w:left="515" w:hanging="720"/>
        <w:jc w:val="right"/>
      </w:pPr>
      <w:rPr>
        <w:rFonts w:hint="default" w:ascii="Verdana" w:hAnsi="Verdana" w:eastAsia="Verdana" w:cs="Verdana"/>
        <w:color w:val="231F20"/>
        <w:spacing w:val="-11"/>
        <w:w w:val="109"/>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56">
    <w:multiLevelType w:val="hybridMultilevel"/>
    <w:lvl w:ilvl="0">
      <w:start w:val="5"/>
      <w:numFmt w:val="upperLetter"/>
      <w:lvlText w:val="%1"/>
      <w:lvlJc w:val="left"/>
      <w:pPr>
        <w:ind w:left="1080" w:hanging="721"/>
        <w:jc w:val="left"/>
      </w:pPr>
      <w:rPr>
        <w:rFonts w:hint="default"/>
      </w:rPr>
    </w:lvl>
    <w:lvl w:ilvl="1">
      <w:start w:val="7"/>
      <w:numFmt w:val="decimal"/>
      <w:lvlText w:val="%1.%2"/>
      <w:lvlJc w:val="left"/>
      <w:pPr>
        <w:ind w:left="1080" w:hanging="721"/>
        <w:jc w:val="left"/>
      </w:pPr>
      <w:rPr>
        <w:rFonts w:hint="default"/>
      </w:rPr>
    </w:lvl>
    <w:lvl w:ilvl="2">
      <w:start w:val="3"/>
      <w:numFmt w:val="decimal"/>
      <w:lvlText w:val="%1.%2.%3"/>
      <w:lvlJc w:val="left"/>
      <w:pPr>
        <w:ind w:left="1080" w:hanging="721"/>
        <w:jc w:val="right"/>
      </w:pPr>
      <w:rPr>
        <w:rFonts w:hint="default" w:ascii="Verdana" w:hAnsi="Verdana" w:eastAsia="Verdana" w:cs="Verdana"/>
        <w:color w:val="231F20"/>
        <w:spacing w:val="-25"/>
        <w:w w:val="111"/>
        <w:sz w:val="18"/>
        <w:szCs w:val="18"/>
      </w:rPr>
    </w:lvl>
    <w:lvl w:ilvl="3">
      <w:start w:val="0"/>
      <w:numFmt w:val="bullet"/>
      <w:lvlText w:val="•"/>
      <w:lvlJc w:val="left"/>
      <w:pPr>
        <w:ind w:left="4141" w:hanging="721"/>
      </w:pPr>
      <w:rPr>
        <w:rFonts w:hint="default"/>
      </w:rPr>
    </w:lvl>
    <w:lvl w:ilvl="4">
      <w:start w:val="0"/>
      <w:numFmt w:val="bullet"/>
      <w:lvlText w:val="•"/>
      <w:lvlJc w:val="left"/>
      <w:pPr>
        <w:ind w:left="5162" w:hanging="721"/>
      </w:pPr>
      <w:rPr>
        <w:rFonts w:hint="default"/>
      </w:rPr>
    </w:lvl>
    <w:lvl w:ilvl="5">
      <w:start w:val="0"/>
      <w:numFmt w:val="bullet"/>
      <w:lvlText w:val="•"/>
      <w:lvlJc w:val="left"/>
      <w:pPr>
        <w:ind w:left="6182" w:hanging="721"/>
      </w:pPr>
      <w:rPr>
        <w:rFonts w:hint="default"/>
      </w:rPr>
    </w:lvl>
    <w:lvl w:ilvl="6">
      <w:start w:val="0"/>
      <w:numFmt w:val="bullet"/>
      <w:lvlText w:val="•"/>
      <w:lvlJc w:val="left"/>
      <w:pPr>
        <w:ind w:left="7203" w:hanging="721"/>
      </w:pPr>
      <w:rPr>
        <w:rFonts w:hint="default"/>
      </w:rPr>
    </w:lvl>
    <w:lvl w:ilvl="7">
      <w:start w:val="0"/>
      <w:numFmt w:val="bullet"/>
      <w:lvlText w:val="•"/>
      <w:lvlJc w:val="left"/>
      <w:pPr>
        <w:ind w:left="8223" w:hanging="721"/>
      </w:pPr>
      <w:rPr>
        <w:rFonts w:hint="default"/>
      </w:rPr>
    </w:lvl>
    <w:lvl w:ilvl="8">
      <w:start w:val="0"/>
      <w:numFmt w:val="bullet"/>
      <w:lvlText w:val="•"/>
      <w:lvlJc w:val="left"/>
      <w:pPr>
        <w:ind w:left="9244" w:hanging="721"/>
      </w:pPr>
      <w:rPr>
        <w:rFonts w:hint="default"/>
      </w:rPr>
    </w:lvl>
  </w:abstractNum>
  <w:abstractNum w:abstractNumId="155">
    <w:multiLevelType w:val="hybridMultilevel"/>
    <w:lvl w:ilvl="0">
      <w:start w:val="5"/>
      <w:numFmt w:val="upperLetter"/>
      <w:lvlText w:val="%1"/>
      <w:lvlJc w:val="left"/>
      <w:pPr>
        <w:ind w:left="1810" w:hanging="720"/>
        <w:jc w:val="left"/>
      </w:pPr>
      <w:rPr>
        <w:rFonts w:hint="default"/>
      </w:rPr>
    </w:lvl>
    <w:lvl w:ilvl="1">
      <w:start w:val="7"/>
      <w:numFmt w:val="decimal"/>
      <w:lvlText w:val="%1.%2"/>
      <w:lvlJc w:val="left"/>
      <w:pPr>
        <w:ind w:left="1810" w:hanging="720"/>
        <w:jc w:val="left"/>
      </w:pPr>
      <w:rPr>
        <w:rFonts w:hint="default"/>
      </w:rPr>
    </w:lvl>
    <w:lvl w:ilvl="2">
      <w:start w:val="2"/>
      <w:numFmt w:val="decimal"/>
      <w:lvlText w:val="%1.%2.%3"/>
      <w:lvlJc w:val="left"/>
      <w:pPr>
        <w:ind w:left="1810" w:hanging="720"/>
        <w:jc w:val="left"/>
      </w:pPr>
      <w:rPr>
        <w:rFonts w:hint="default" w:ascii="Verdana" w:hAnsi="Verdana" w:eastAsia="Verdana" w:cs="Verdana"/>
        <w:color w:val="231F20"/>
        <w:spacing w:val="-25"/>
        <w:w w:val="111"/>
        <w:sz w:val="18"/>
        <w:szCs w:val="18"/>
      </w:rPr>
    </w:lvl>
    <w:lvl w:ilvl="3">
      <w:start w:val="1"/>
      <w:numFmt w:val="decimal"/>
      <w:lvlText w:val="%1.%2.%3.%4"/>
      <w:lvlJc w:val="left"/>
      <w:pPr>
        <w:ind w:left="2521" w:hanging="1441"/>
        <w:jc w:val="left"/>
      </w:pPr>
      <w:rPr>
        <w:rFonts w:hint="default" w:ascii="Verdana" w:hAnsi="Verdana" w:eastAsia="Verdana" w:cs="Verdana"/>
        <w:color w:val="231F20"/>
        <w:spacing w:val="-25"/>
        <w:w w:val="111"/>
        <w:sz w:val="18"/>
        <w:szCs w:val="18"/>
      </w:rPr>
    </w:lvl>
    <w:lvl w:ilvl="4">
      <w:start w:val="0"/>
      <w:numFmt w:val="bullet"/>
      <w:lvlText w:val="•"/>
      <w:lvlJc w:val="left"/>
      <w:pPr>
        <w:ind w:left="5441" w:hanging="1441"/>
      </w:pPr>
      <w:rPr>
        <w:rFonts w:hint="default"/>
      </w:rPr>
    </w:lvl>
    <w:lvl w:ilvl="5">
      <w:start w:val="0"/>
      <w:numFmt w:val="bullet"/>
      <w:lvlText w:val="•"/>
      <w:lvlJc w:val="left"/>
      <w:pPr>
        <w:ind w:left="6415" w:hanging="1441"/>
      </w:pPr>
      <w:rPr>
        <w:rFonts w:hint="default"/>
      </w:rPr>
    </w:lvl>
    <w:lvl w:ilvl="6">
      <w:start w:val="0"/>
      <w:numFmt w:val="bullet"/>
      <w:lvlText w:val="•"/>
      <w:lvlJc w:val="left"/>
      <w:pPr>
        <w:ind w:left="7389" w:hanging="1441"/>
      </w:pPr>
      <w:rPr>
        <w:rFonts w:hint="default"/>
      </w:rPr>
    </w:lvl>
    <w:lvl w:ilvl="7">
      <w:start w:val="0"/>
      <w:numFmt w:val="bullet"/>
      <w:lvlText w:val="•"/>
      <w:lvlJc w:val="left"/>
      <w:pPr>
        <w:ind w:left="8363" w:hanging="1441"/>
      </w:pPr>
      <w:rPr>
        <w:rFonts w:hint="default"/>
      </w:rPr>
    </w:lvl>
    <w:lvl w:ilvl="8">
      <w:start w:val="0"/>
      <w:numFmt w:val="bullet"/>
      <w:lvlText w:val="•"/>
      <w:lvlJc w:val="left"/>
      <w:pPr>
        <w:ind w:left="9337" w:hanging="1441"/>
      </w:pPr>
      <w:rPr>
        <w:rFonts w:hint="default"/>
      </w:rPr>
    </w:lvl>
  </w:abstractNum>
  <w:abstractNum w:abstractNumId="154">
    <w:multiLevelType w:val="hybridMultilevel"/>
    <w:lvl w:ilvl="0">
      <w:start w:val="5"/>
      <w:numFmt w:val="upperLetter"/>
      <w:lvlText w:val="%1"/>
      <w:lvlJc w:val="left"/>
      <w:pPr>
        <w:ind w:left="1080" w:hanging="720"/>
        <w:jc w:val="left"/>
      </w:pPr>
      <w:rPr>
        <w:rFonts w:hint="default"/>
      </w:rPr>
    </w:lvl>
    <w:lvl w:ilvl="1">
      <w:start w:val="6"/>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4"/>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53">
    <w:multiLevelType w:val="hybridMultilevel"/>
    <w:lvl w:ilvl="0">
      <w:start w:val="5"/>
      <w:numFmt w:val="upperLetter"/>
      <w:lvlText w:val="%1"/>
      <w:lvlJc w:val="left"/>
      <w:pPr>
        <w:ind w:left="1080" w:hanging="1441"/>
        <w:jc w:val="left"/>
      </w:pPr>
      <w:rPr>
        <w:rFonts w:hint="default"/>
      </w:rPr>
    </w:lvl>
    <w:lvl w:ilvl="1">
      <w:start w:val="5"/>
      <w:numFmt w:val="decimal"/>
      <w:lvlText w:val="%1.%2"/>
      <w:lvlJc w:val="left"/>
      <w:pPr>
        <w:ind w:left="1080" w:hanging="1441"/>
        <w:jc w:val="left"/>
      </w:pPr>
      <w:rPr>
        <w:rFonts w:hint="default"/>
      </w:rPr>
    </w:lvl>
    <w:lvl w:ilvl="2">
      <w:start w:val="2"/>
      <w:numFmt w:val="decimal"/>
      <w:lvlText w:val="%1.%2.%3"/>
      <w:lvlJc w:val="left"/>
      <w:pPr>
        <w:ind w:left="1080" w:hanging="1441"/>
        <w:jc w:val="left"/>
      </w:pPr>
      <w:rPr>
        <w:rFonts w:hint="default"/>
      </w:rPr>
    </w:lvl>
    <w:lvl w:ilvl="3">
      <w:start w:val="1"/>
      <w:numFmt w:val="decimal"/>
      <w:lvlText w:val="%1.%2.%3.%4"/>
      <w:lvlJc w:val="left"/>
      <w:pPr>
        <w:ind w:left="1080" w:hanging="1441"/>
        <w:jc w:val="left"/>
      </w:pPr>
      <w:rPr>
        <w:rFonts w:hint="default" w:ascii="Verdana" w:hAnsi="Verdana" w:eastAsia="Verdana" w:cs="Verdana"/>
        <w:color w:val="231F20"/>
        <w:spacing w:val="-8"/>
        <w:w w:val="111"/>
        <w:sz w:val="18"/>
        <w:szCs w:val="18"/>
      </w:rPr>
    </w:lvl>
    <w:lvl w:ilvl="4">
      <w:start w:val="0"/>
      <w:numFmt w:val="bullet"/>
      <w:lvlText w:val="•"/>
      <w:lvlJc w:val="left"/>
      <w:pPr>
        <w:ind w:left="5162" w:hanging="1441"/>
      </w:pPr>
      <w:rPr>
        <w:rFonts w:hint="default"/>
      </w:rPr>
    </w:lvl>
    <w:lvl w:ilvl="5">
      <w:start w:val="0"/>
      <w:numFmt w:val="bullet"/>
      <w:lvlText w:val="•"/>
      <w:lvlJc w:val="left"/>
      <w:pPr>
        <w:ind w:left="6182" w:hanging="1441"/>
      </w:pPr>
      <w:rPr>
        <w:rFonts w:hint="default"/>
      </w:rPr>
    </w:lvl>
    <w:lvl w:ilvl="6">
      <w:start w:val="0"/>
      <w:numFmt w:val="bullet"/>
      <w:lvlText w:val="•"/>
      <w:lvlJc w:val="left"/>
      <w:pPr>
        <w:ind w:left="7203" w:hanging="1441"/>
      </w:pPr>
      <w:rPr>
        <w:rFonts w:hint="default"/>
      </w:rPr>
    </w:lvl>
    <w:lvl w:ilvl="7">
      <w:start w:val="0"/>
      <w:numFmt w:val="bullet"/>
      <w:lvlText w:val="•"/>
      <w:lvlJc w:val="left"/>
      <w:pPr>
        <w:ind w:left="8223" w:hanging="1441"/>
      </w:pPr>
      <w:rPr>
        <w:rFonts w:hint="default"/>
      </w:rPr>
    </w:lvl>
    <w:lvl w:ilvl="8">
      <w:start w:val="0"/>
      <w:numFmt w:val="bullet"/>
      <w:lvlText w:val="•"/>
      <w:lvlJc w:val="left"/>
      <w:pPr>
        <w:ind w:left="9244" w:hanging="1441"/>
      </w:pPr>
      <w:rPr>
        <w:rFonts w:hint="default"/>
      </w:rPr>
    </w:lvl>
  </w:abstractNum>
  <w:abstractNum w:abstractNumId="152">
    <w:multiLevelType w:val="hybridMultilevel"/>
    <w:lvl w:ilvl="0">
      <w:start w:val="5"/>
      <w:numFmt w:val="upperLetter"/>
      <w:lvlText w:val="%1"/>
      <w:lvlJc w:val="left"/>
      <w:pPr>
        <w:ind w:left="513" w:hanging="1440"/>
        <w:jc w:val="left"/>
      </w:pPr>
      <w:rPr>
        <w:rFonts w:hint="default"/>
      </w:rPr>
    </w:lvl>
    <w:lvl w:ilvl="1">
      <w:start w:val="5"/>
      <w:numFmt w:val="decimal"/>
      <w:lvlText w:val="%1.%2"/>
      <w:lvlJc w:val="left"/>
      <w:pPr>
        <w:ind w:left="513" w:hanging="1440"/>
        <w:jc w:val="left"/>
      </w:pPr>
      <w:rPr>
        <w:rFonts w:hint="default"/>
      </w:rPr>
    </w:lvl>
    <w:lvl w:ilvl="2">
      <w:start w:val="1"/>
      <w:numFmt w:val="decimal"/>
      <w:lvlText w:val="%1.%2.%3"/>
      <w:lvlJc w:val="left"/>
      <w:pPr>
        <w:ind w:left="513" w:hanging="1440"/>
        <w:jc w:val="left"/>
      </w:pPr>
      <w:rPr>
        <w:rFonts w:hint="default"/>
      </w:rPr>
    </w:lvl>
    <w:lvl w:ilvl="3">
      <w:start w:val="1"/>
      <w:numFmt w:val="decimal"/>
      <w:lvlText w:val="%1.%2.%3.%4"/>
      <w:lvlJc w:val="left"/>
      <w:pPr>
        <w:ind w:left="513" w:hanging="1440"/>
        <w:jc w:val="right"/>
      </w:pPr>
      <w:rPr>
        <w:rFonts w:hint="default" w:ascii="Verdana" w:hAnsi="Verdana" w:eastAsia="Verdana" w:cs="Verdana"/>
        <w:color w:val="231F20"/>
        <w:spacing w:val="-8"/>
        <w:w w:val="111"/>
        <w:sz w:val="18"/>
        <w:szCs w:val="18"/>
      </w:rPr>
    </w:lvl>
    <w:lvl w:ilvl="4">
      <w:start w:val="0"/>
      <w:numFmt w:val="bullet"/>
      <w:lvlText w:val="•"/>
      <w:lvlJc w:val="left"/>
      <w:pPr>
        <w:ind w:left="4826" w:hanging="1440"/>
      </w:pPr>
      <w:rPr>
        <w:rFonts w:hint="default"/>
      </w:rPr>
    </w:lvl>
    <w:lvl w:ilvl="5">
      <w:start w:val="0"/>
      <w:numFmt w:val="bullet"/>
      <w:lvlText w:val="•"/>
      <w:lvlJc w:val="left"/>
      <w:pPr>
        <w:ind w:left="5902" w:hanging="1440"/>
      </w:pPr>
      <w:rPr>
        <w:rFonts w:hint="default"/>
      </w:rPr>
    </w:lvl>
    <w:lvl w:ilvl="6">
      <w:start w:val="0"/>
      <w:numFmt w:val="bullet"/>
      <w:lvlText w:val="•"/>
      <w:lvlJc w:val="left"/>
      <w:pPr>
        <w:ind w:left="6979" w:hanging="1440"/>
      </w:pPr>
      <w:rPr>
        <w:rFonts w:hint="default"/>
      </w:rPr>
    </w:lvl>
    <w:lvl w:ilvl="7">
      <w:start w:val="0"/>
      <w:numFmt w:val="bullet"/>
      <w:lvlText w:val="•"/>
      <w:lvlJc w:val="left"/>
      <w:pPr>
        <w:ind w:left="8055" w:hanging="1440"/>
      </w:pPr>
      <w:rPr>
        <w:rFonts w:hint="default"/>
      </w:rPr>
    </w:lvl>
    <w:lvl w:ilvl="8">
      <w:start w:val="0"/>
      <w:numFmt w:val="bullet"/>
      <w:lvlText w:val="•"/>
      <w:lvlJc w:val="left"/>
      <w:pPr>
        <w:ind w:left="9132" w:hanging="1440"/>
      </w:pPr>
      <w:rPr>
        <w:rFonts w:hint="default"/>
      </w:rPr>
    </w:lvl>
  </w:abstractNum>
  <w:abstractNum w:abstractNumId="151">
    <w:multiLevelType w:val="hybridMultilevel"/>
    <w:lvl w:ilvl="0">
      <w:start w:val="5"/>
      <w:numFmt w:val="upperLetter"/>
      <w:lvlText w:val="%1"/>
      <w:lvlJc w:val="left"/>
      <w:pPr>
        <w:ind w:left="513" w:hanging="720"/>
        <w:jc w:val="left"/>
      </w:pPr>
      <w:rPr>
        <w:rFonts w:hint="default"/>
      </w:rPr>
    </w:lvl>
    <w:lvl w:ilvl="1">
      <w:start w:val="4"/>
      <w:numFmt w:val="decimal"/>
      <w:lvlText w:val="%1.%2"/>
      <w:lvlJc w:val="left"/>
      <w:pPr>
        <w:ind w:left="513" w:hanging="720"/>
        <w:jc w:val="left"/>
      </w:pPr>
      <w:rPr>
        <w:rFonts w:hint="default"/>
      </w:rPr>
    </w:lvl>
    <w:lvl w:ilvl="2">
      <w:start w:val="2"/>
      <w:numFmt w:val="decimal"/>
      <w:lvlText w:val="%1.%2.%3"/>
      <w:lvlJc w:val="left"/>
      <w:pPr>
        <w:ind w:left="513" w:hanging="720"/>
        <w:jc w:val="left"/>
      </w:pPr>
      <w:rPr>
        <w:rFonts w:hint="default" w:ascii="Verdana" w:hAnsi="Verdana" w:eastAsia="Verdana" w:cs="Verdana"/>
        <w:color w:val="231F20"/>
        <w:spacing w:val="-6"/>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50">
    <w:multiLevelType w:val="hybridMultilevel"/>
    <w:lvl w:ilvl="0">
      <w:start w:val="5"/>
      <w:numFmt w:val="upperLetter"/>
      <w:lvlText w:val="%1"/>
      <w:lvlJc w:val="left"/>
      <w:pPr>
        <w:ind w:left="514" w:hanging="721"/>
        <w:jc w:val="left"/>
      </w:pPr>
      <w:rPr>
        <w:rFonts w:hint="default"/>
      </w:rPr>
    </w:lvl>
    <w:lvl w:ilvl="1">
      <w:start w:val="3"/>
      <w:numFmt w:val="decimal"/>
      <w:lvlText w:val="%1.%2"/>
      <w:lvlJc w:val="left"/>
      <w:pPr>
        <w:ind w:left="514" w:hanging="721"/>
        <w:jc w:val="left"/>
      </w:pPr>
      <w:rPr>
        <w:rFonts w:hint="default"/>
      </w:rPr>
    </w:lvl>
    <w:lvl w:ilvl="2">
      <w:start w:val="2"/>
      <w:numFmt w:val="decimal"/>
      <w:lvlText w:val="%1.%2.%3"/>
      <w:lvlJc w:val="left"/>
      <w:pPr>
        <w:ind w:left="514" w:hanging="721"/>
        <w:jc w:val="left"/>
      </w:pPr>
      <w:rPr>
        <w:rFonts w:hint="default" w:ascii="Verdana" w:hAnsi="Verdana" w:eastAsia="Verdana" w:cs="Verdana"/>
        <w:color w:val="231F20"/>
        <w:spacing w:val="-6"/>
        <w:w w:val="111"/>
        <w:sz w:val="18"/>
        <w:szCs w:val="18"/>
      </w:rPr>
    </w:lvl>
    <w:lvl w:ilvl="3">
      <w:start w:val="1"/>
      <w:numFmt w:val="decimal"/>
      <w:lvlText w:val="%1.%2.%3.%4"/>
      <w:lvlJc w:val="left"/>
      <w:pPr>
        <w:ind w:left="1954" w:hanging="1441"/>
        <w:jc w:val="left"/>
      </w:pPr>
      <w:rPr>
        <w:rFonts w:hint="default" w:ascii="Verdana" w:hAnsi="Verdana" w:eastAsia="Verdana" w:cs="Verdana"/>
        <w:color w:val="231F20"/>
        <w:spacing w:val="-8"/>
        <w:w w:val="111"/>
        <w:sz w:val="18"/>
        <w:szCs w:val="18"/>
      </w:rPr>
    </w:lvl>
    <w:lvl w:ilvl="4">
      <w:start w:val="0"/>
      <w:numFmt w:val="bullet"/>
      <w:lvlText w:val="•"/>
      <w:lvlJc w:val="left"/>
      <w:pPr>
        <w:ind w:left="5068" w:hanging="1441"/>
      </w:pPr>
      <w:rPr>
        <w:rFonts w:hint="default"/>
      </w:rPr>
    </w:lvl>
    <w:lvl w:ilvl="5">
      <w:start w:val="0"/>
      <w:numFmt w:val="bullet"/>
      <w:lvlText w:val="•"/>
      <w:lvlJc w:val="left"/>
      <w:pPr>
        <w:ind w:left="6104" w:hanging="1441"/>
      </w:pPr>
      <w:rPr>
        <w:rFonts w:hint="default"/>
      </w:rPr>
    </w:lvl>
    <w:lvl w:ilvl="6">
      <w:start w:val="0"/>
      <w:numFmt w:val="bullet"/>
      <w:lvlText w:val="•"/>
      <w:lvlJc w:val="left"/>
      <w:pPr>
        <w:ind w:left="7140" w:hanging="1441"/>
      </w:pPr>
      <w:rPr>
        <w:rFonts w:hint="default"/>
      </w:rPr>
    </w:lvl>
    <w:lvl w:ilvl="7">
      <w:start w:val="0"/>
      <w:numFmt w:val="bullet"/>
      <w:lvlText w:val="•"/>
      <w:lvlJc w:val="left"/>
      <w:pPr>
        <w:ind w:left="8177" w:hanging="1441"/>
      </w:pPr>
      <w:rPr>
        <w:rFonts w:hint="default"/>
      </w:rPr>
    </w:lvl>
    <w:lvl w:ilvl="8">
      <w:start w:val="0"/>
      <w:numFmt w:val="bullet"/>
      <w:lvlText w:val="•"/>
      <w:lvlJc w:val="left"/>
      <w:pPr>
        <w:ind w:left="9213" w:hanging="1441"/>
      </w:pPr>
      <w:rPr>
        <w:rFonts w:hint="default"/>
      </w:rPr>
    </w:lvl>
  </w:abstractNum>
  <w:abstractNum w:abstractNumId="149">
    <w:multiLevelType w:val="hybridMultilevel"/>
    <w:lvl w:ilvl="0">
      <w:start w:val="5"/>
      <w:numFmt w:val="upperLetter"/>
      <w:lvlText w:val="%1"/>
      <w:lvlJc w:val="left"/>
      <w:pPr>
        <w:ind w:left="1080" w:hanging="1440"/>
        <w:jc w:val="left"/>
      </w:pPr>
      <w:rPr>
        <w:rFonts w:hint="default"/>
      </w:rPr>
    </w:lvl>
    <w:lvl w:ilvl="1">
      <w:start w:val="3"/>
      <w:numFmt w:val="decimal"/>
      <w:lvlText w:val="%1.%2"/>
      <w:lvlJc w:val="left"/>
      <w:pPr>
        <w:ind w:left="1080" w:hanging="1440"/>
        <w:jc w:val="left"/>
      </w:pPr>
      <w:rPr>
        <w:rFonts w:hint="default"/>
      </w:rPr>
    </w:lvl>
    <w:lvl w:ilvl="2">
      <w:start w:val="1"/>
      <w:numFmt w:val="decimal"/>
      <w:lvlText w:val="%1.%2.%3"/>
      <w:lvlJc w:val="left"/>
      <w:pPr>
        <w:ind w:left="1080" w:hanging="1440"/>
        <w:jc w:val="left"/>
      </w:pPr>
      <w:rPr>
        <w:rFonts w:hint="default"/>
      </w:rPr>
    </w:lvl>
    <w:lvl w:ilvl="3">
      <w:start w:val="1"/>
      <w:numFmt w:val="decimal"/>
      <w:lvlText w:val="%1.%2.%3.%4"/>
      <w:lvlJc w:val="left"/>
      <w:pPr>
        <w:ind w:left="1080" w:hanging="1440"/>
        <w:jc w:val="right"/>
      </w:pPr>
      <w:rPr>
        <w:rFonts w:hint="default" w:ascii="Verdana" w:hAnsi="Verdana" w:eastAsia="Verdana" w:cs="Verdana"/>
        <w:color w:val="231F20"/>
        <w:spacing w:val="-8"/>
        <w:w w:val="111"/>
        <w:sz w:val="18"/>
        <w:szCs w:val="18"/>
      </w:rPr>
    </w:lvl>
    <w:lvl w:ilvl="4">
      <w:start w:val="0"/>
      <w:numFmt w:val="bullet"/>
      <w:lvlText w:val="•"/>
      <w:lvlJc w:val="left"/>
      <w:pPr>
        <w:ind w:left="5162" w:hanging="1440"/>
      </w:pPr>
      <w:rPr>
        <w:rFonts w:hint="default"/>
      </w:rPr>
    </w:lvl>
    <w:lvl w:ilvl="5">
      <w:start w:val="0"/>
      <w:numFmt w:val="bullet"/>
      <w:lvlText w:val="•"/>
      <w:lvlJc w:val="left"/>
      <w:pPr>
        <w:ind w:left="6182" w:hanging="1440"/>
      </w:pPr>
      <w:rPr>
        <w:rFonts w:hint="default"/>
      </w:rPr>
    </w:lvl>
    <w:lvl w:ilvl="6">
      <w:start w:val="0"/>
      <w:numFmt w:val="bullet"/>
      <w:lvlText w:val="•"/>
      <w:lvlJc w:val="left"/>
      <w:pPr>
        <w:ind w:left="7203" w:hanging="1440"/>
      </w:pPr>
      <w:rPr>
        <w:rFonts w:hint="default"/>
      </w:rPr>
    </w:lvl>
    <w:lvl w:ilvl="7">
      <w:start w:val="0"/>
      <w:numFmt w:val="bullet"/>
      <w:lvlText w:val="•"/>
      <w:lvlJc w:val="left"/>
      <w:pPr>
        <w:ind w:left="8223" w:hanging="1440"/>
      </w:pPr>
      <w:rPr>
        <w:rFonts w:hint="default"/>
      </w:rPr>
    </w:lvl>
    <w:lvl w:ilvl="8">
      <w:start w:val="0"/>
      <w:numFmt w:val="bullet"/>
      <w:lvlText w:val="•"/>
      <w:lvlJc w:val="left"/>
      <w:pPr>
        <w:ind w:left="9244" w:hanging="1440"/>
      </w:pPr>
      <w:rPr>
        <w:rFonts w:hint="default"/>
      </w:rPr>
    </w:lvl>
  </w:abstractNum>
  <w:abstractNum w:abstractNumId="148">
    <w:multiLevelType w:val="hybridMultilevel"/>
    <w:lvl w:ilvl="0">
      <w:start w:val="3"/>
      <w:numFmt w:val="upperLetter"/>
      <w:lvlText w:val="%1"/>
      <w:lvlJc w:val="left"/>
      <w:pPr>
        <w:ind w:left="1080" w:hanging="720"/>
        <w:jc w:val="left"/>
      </w:pPr>
      <w:rPr>
        <w:rFonts w:hint="default"/>
      </w:rPr>
    </w:lvl>
    <w:lvl w:ilvl="1">
      <w:start w:val="7"/>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25"/>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47">
    <w:multiLevelType w:val="hybridMultilevel"/>
    <w:lvl w:ilvl="0">
      <w:start w:val="3"/>
      <w:numFmt w:val="upperLetter"/>
      <w:lvlText w:val="%1"/>
      <w:lvlJc w:val="left"/>
      <w:pPr>
        <w:ind w:left="513" w:hanging="720"/>
        <w:jc w:val="left"/>
      </w:pPr>
      <w:rPr>
        <w:rFonts w:hint="default"/>
      </w:rPr>
    </w:lvl>
    <w:lvl w:ilvl="1">
      <w:start w:val="6"/>
      <w:numFmt w:val="decimal"/>
      <w:lvlText w:val="%1.%2"/>
      <w:lvlJc w:val="left"/>
      <w:pPr>
        <w:ind w:left="513" w:hanging="720"/>
        <w:jc w:val="left"/>
      </w:pPr>
      <w:rPr>
        <w:rFonts w:hint="default" w:ascii="Verdana" w:hAnsi="Verdana" w:eastAsia="Verdana" w:cs="Verdana"/>
        <w:color w:val="231F20"/>
        <w:spacing w:val="-4"/>
        <w:w w:val="111"/>
        <w:sz w:val="18"/>
        <w:szCs w:val="18"/>
      </w:rPr>
    </w:lvl>
    <w:lvl w:ilvl="2">
      <w:start w:val="0"/>
      <w:numFmt w:val="bullet"/>
      <w:lvlText w:val="•"/>
      <w:lvlJc w:val="left"/>
      <w:pPr>
        <w:ind w:left="2673" w:hanging="720"/>
      </w:pPr>
      <w:rPr>
        <w:rFonts w:hint="default"/>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46">
    <w:multiLevelType w:val="hybridMultilevel"/>
    <w:lvl w:ilvl="0">
      <w:start w:val="3"/>
      <w:numFmt w:val="upperLetter"/>
      <w:lvlText w:val="%1"/>
      <w:lvlJc w:val="left"/>
      <w:pPr>
        <w:ind w:left="1233" w:hanging="720"/>
        <w:jc w:val="left"/>
      </w:pPr>
      <w:rPr>
        <w:rFonts w:hint="default"/>
      </w:rPr>
    </w:lvl>
    <w:lvl w:ilvl="1">
      <w:start w:val="5"/>
      <w:numFmt w:val="decimal"/>
      <w:lvlText w:val="%1.%2"/>
      <w:lvlJc w:val="left"/>
      <w:pPr>
        <w:ind w:left="1233" w:hanging="720"/>
        <w:jc w:val="left"/>
      </w:pPr>
      <w:rPr>
        <w:rFonts w:hint="default"/>
      </w:rPr>
    </w:lvl>
    <w:lvl w:ilvl="2">
      <w:start w:val="2"/>
      <w:numFmt w:val="decimal"/>
      <w:lvlText w:val="%1.%2.%3"/>
      <w:lvlJc w:val="left"/>
      <w:pPr>
        <w:ind w:left="1233" w:hanging="720"/>
        <w:jc w:val="left"/>
      </w:pPr>
      <w:rPr>
        <w:rFonts w:hint="default" w:ascii="Verdana" w:hAnsi="Verdana" w:eastAsia="Verdana" w:cs="Verdana"/>
        <w:color w:val="231F20"/>
        <w:spacing w:val="-4"/>
        <w:w w:val="111"/>
        <w:sz w:val="18"/>
        <w:szCs w:val="18"/>
      </w:rPr>
    </w:lvl>
    <w:lvl w:ilvl="3">
      <w:start w:val="0"/>
      <w:numFmt w:val="bullet"/>
      <w:lvlText w:val="•"/>
      <w:lvlJc w:val="left"/>
      <w:pPr>
        <w:ind w:left="4253" w:hanging="720"/>
      </w:pPr>
      <w:rPr>
        <w:rFonts w:hint="default"/>
      </w:rPr>
    </w:lvl>
    <w:lvl w:ilvl="4">
      <w:start w:val="0"/>
      <w:numFmt w:val="bullet"/>
      <w:lvlText w:val="•"/>
      <w:lvlJc w:val="left"/>
      <w:pPr>
        <w:ind w:left="5258"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67" w:hanging="720"/>
      </w:pPr>
      <w:rPr>
        <w:rFonts w:hint="default"/>
      </w:rPr>
    </w:lvl>
    <w:lvl w:ilvl="7">
      <w:start w:val="0"/>
      <w:numFmt w:val="bullet"/>
      <w:lvlText w:val="•"/>
      <w:lvlJc w:val="left"/>
      <w:pPr>
        <w:ind w:left="8271" w:hanging="720"/>
      </w:pPr>
      <w:rPr>
        <w:rFonts w:hint="default"/>
      </w:rPr>
    </w:lvl>
    <w:lvl w:ilvl="8">
      <w:start w:val="0"/>
      <w:numFmt w:val="bullet"/>
      <w:lvlText w:val="•"/>
      <w:lvlJc w:val="left"/>
      <w:pPr>
        <w:ind w:left="9276" w:hanging="720"/>
      </w:pPr>
      <w:rPr>
        <w:rFonts w:hint="default"/>
      </w:rPr>
    </w:lvl>
  </w:abstractNum>
  <w:abstractNum w:abstractNumId="145">
    <w:multiLevelType w:val="hybridMultilevel"/>
    <w:lvl w:ilvl="0">
      <w:start w:val="3"/>
      <w:numFmt w:val="upperLetter"/>
      <w:lvlText w:val="%1"/>
      <w:lvlJc w:val="left"/>
      <w:pPr>
        <w:ind w:left="1080" w:hanging="720"/>
        <w:jc w:val="left"/>
      </w:pPr>
      <w:rPr>
        <w:rFonts w:hint="default"/>
      </w:rPr>
    </w:lvl>
    <w:lvl w:ilvl="1">
      <w:start w:val="2"/>
      <w:numFmt w:val="decimal"/>
      <w:lvlText w:val="%1.%2"/>
      <w:lvlJc w:val="left"/>
      <w:pPr>
        <w:ind w:left="1080" w:hanging="720"/>
        <w:jc w:val="left"/>
      </w:pPr>
      <w:rPr>
        <w:rFonts w:hint="default"/>
      </w:rPr>
    </w:lvl>
    <w:lvl w:ilvl="2">
      <w:start w:val="2"/>
      <w:numFmt w:val="decimal"/>
      <w:lvlText w:val="%1.%2.%3"/>
      <w:lvlJc w:val="left"/>
      <w:pPr>
        <w:ind w:left="1080" w:hanging="720"/>
        <w:jc w:val="left"/>
      </w:pPr>
      <w:rPr>
        <w:rFonts w:hint="default" w:ascii="Verdana" w:hAnsi="Verdana" w:eastAsia="Verdana" w:cs="Verdana"/>
        <w:color w:val="231F20"/>
        <w:spacing w:val="-1"/>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44">
    <w:multiLevelType w:val="hybridMultilevel"/>
    <w:lvl w:ilvl="0">
      <w:start w:val="2"/>
      <w:numFmt w:val="upperLetter"/>
      <w:lvlText w:val="%1"/>
      <w:lvlJc w:val="left"/>
      <w:pPr>
        <w:ind w:left="1085" w:hanging="720"/>
        <w:jc w:val="left"/>
      </w:pPr>
      <w:rPr>
        <w:rFonts w:hint="default"/>
      </w:rPr>
    </w:lvl>
    <w:lvl w:ilvl="1">
      <w:start w:val="9"/>
      <w:numFmt w:val="decimal"/>
      <w:lvlText w:val="%1.%2"/>
      <w:lvlJc w:val="left"/>
      <w:pPr>
        <w:ind w:left="1085" w:hanging="720"/>
        <w:jc w:val="left"/>
      </w:pPr>
      <w:rPr>
        <w:rFonts w:hint="default"/>
      </w:rPr>
    </w:lvl>
    <w:lvl w:ilvl="2">
      <w:start w:val="2"/>
      <w:numFmt w:val="decimal"/>
      <w:lvlText w:val="%1.%2.%3"/>
      <w:lvlJc w:val="left"/>
      <w:pPr>
        <w:ind w:left="1085" w:hanging="720"/>
        <w:jc w:val="right"/>
      </w:pPr>
      <w:rPr>
        <w:rFonts w:hint="default" w:ascii="Verdana" w:hAnsi="Verdana" w:eastAsia="Verdana" w:cs="Verdana"/>
        <w:color w:val="231F20"/>
        <w:spacing w:val="-9"/>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43">
    <w:multiLevelType w:val="hybridMultilevel"/>
    <w:lvl w:ilvl="0">
      <w:start w:val="2"/>
      <w:numFmt w:val="upperLetter"/>
      <w:lvlText w:val="%1"/>
      <w:lvlJc w:val="left"/>
      <w:pPr>
        <w:ind w:left="1678" w:hanging="598"/>
        <w:jc w:val="left"/>
      </w:pPr>
      <w:rPr>
        <w:rFonts w:hint="default"/>
      </w:rPr>
    </w:lvl>
    <w:lvl w:ilvl="1">
      <w:start w:val="8"/>
      <w:numFmt w:val="decimal"/>
      <w:lvlText w:val="%1.%2"/>
      <w:lvlJc w:val="left"/>
      <w:pPr>
        <w:ind w:left="1678" w:hanging="598"/>
        <w:jc w:val="left"/>
      </w:pPr>
      <w:rPr>
        <w:rFonts w:hint="default"/>
      </w:rPr>
    </w:lvl>
    <w:lvl w:ilvl="2">
      <w:start w:val="1"/>
      <w:numFmt w:val="decimal"/>
      <w:lvlText w:val="%1.%2.%3"/>
      <w:lvlJc w:val="left"/>
      <w:pPr>
        <w:ind w:left="1678" w:hanging="598"/>
        <w:jc w:val="left"/>
      </w:pPr>
      <w:rPr>
        <w:rFonts w:hint="default" w:ascii="Verdana" w:hAnsi="Verdana" w:eastAsia="Verdana" w:cs="Verdana"/>
        <w:color w:val="231F20"/>
        <w:spacing w:val="-8"/>
        <w:w w:val="111"/>
        <w:sz w:val="18"/>
        <w:szCs w:val="18"/>
      </w:rPr>
    </w:lvl>
    <w:lvl w:ilvl="3">
      <w:start w:val="0"/>
      <w:numFmt w:val="bullet"/>
      <w:lvlText w:val="•"/>
      <w:lvlJc w:val="left"/>
      <w:pPr>
        <w:ind w:left="4561" w:hanging="598"/>
      </w:pPr>
      <w:rPr>
        <w:rFonts w:hint="default"/>
      </w:rPr>
    </w:lvl>
    <w:lvl w:ilvl="4">
      <w:start w:val="0"/>
      <w:numFmt w:val="bullet"/>
      <w:lvlText w:val="•"/>
      <w:lvlJc w:val="left"/>
      <w:pPr>
        <w:ind w:left="5522" w:hanging="598"/>
      </w:pPr>
      <w:rPr>
        <w:rFonts w:hint="default"/>
      </w:rPr>
    </w:lvl>
    <w:lvl w:ilvl="5">
      <w:start w:val="0"/>
      <w:numFmt w:val="bullet"/>
      <w:lvlText w:val="•"/>
      <w:lvlJc w:val="left"/>
      <w:pPr>
        <w:ind w:left="6482" w:hanging="598"/>
      </w:pPr>
      <w:rPr>
        <w:rFonts w:hint="default"/>
      </w:rPr>
    </w:lvl>
    <w:lvl w:ilvl="6">
      <w:start w:val="0"/>
      <w:numFmt w:val="bullet"/>
      <w:lvlText w:val="•"/>
      <w:lvlJc w:val="left"/>
      <w:pPr>
        <w:ind w:left="7443" w:hanging="598"/>
      </w:pPr>
      <w:rPr>
        <w:rFonts w:hint="default"/>
      </w:rPr>
    </w:lvl>
    <w:lvl w:ilvl="7">
      <w:start w:val="0"/>
      <w:numFmt w:val="bullet"/>
      <w:lvlText w:val="•"/>
      <w:lvlJc w:val="left"/>
      <w:pPr>
        <w:ind w:left="8403" w:hanging="598"/>
      </w:pPr>
      <w:rPr>
        <w:rFonts w:hint="default"/>
      </w:rPr>
    </w:lvl>
    <w:lvl w:ilvl="8">
      <w:start w:val="0"/>
      <w:numFmt w:val="bullet"/>
      <w:lvlText w:val="•"/>
      <w:lvlJc w:val="left"/>
      <w:pPr>
        <w:ind w:left="9364" w:hanging="598"/>
      </w:pPr>
      <w:rPr>
        <w:rFonts w:hint="default"/>
      </w:rPr>
    </w:lvl>
  </w:abstractNum>
  <w:abstractNum w:abstractNumId="142">
    <w:multiLevelType w:val="hybridMultilevel"/>
    <w:lvl w:ilvl="0">
      <w:start w:val="2"/>
      <w:numFmt w:val="upperLetter"/>
      <w:lvlText w:val="%1"/>
      <w:lvlJc w:val="left"/>
      <w:pPr>
        <w:ind w:left="531" w:hanging="399"/>
        <w:jc w:val="left"/>
      </w:pPr>
      <w:rPr>
        <w:rFonts w:hint="default"/>
      </w:rPr>
    </w:lvl>
    <w:lvl w:ilvl="1">
      <w:start w:val="7"/>
      <w:numFmt w:val="decimal"/>
      <w:lvlText w:val="%1.%2"/>
      <w:lvlJc w:val="left"/>
      <w:pPr>
        <w:ind w:left="531" w:hanging="399"/>
        <w:jc w:val="right"/>
      </w:pPr>
      <w:rPr>
        <w:rFonts w:hint="default" w:ascii="Verdana" w:hAnsi="Verdana" w:eastAsia="Verdana" w:cs="Verdana"/>
        <w:color w:val="231F20"/>
        <w:spacing w:val="-9"/>
        <w:w w:val="111"/>
        <w:sz w:val="18"/>
        <w:szCs w:val="18"/>
      </w:rPr>
    </w:lvl>
    <w:lvl w:ilvl="2">
      <w:start w:val="1"/>
      <w:numFmt w:val="decimal"/>
      <w:lvlText w:val="%1.%2.%3"/>
      <w:lvlJc w:val="left"/>
      <w:pPr>
        <w:ind w:left="531" w:hanging="720"/>
        <w:jc w:val="right"/>
      </w:pPr>
      <w:rPr>
        <w:rFonts w:hint="default" w:ascii="Verdana" w:hAnsi="Verdana" w:eastAsia="Verdana" w:cs="Verdana"/>
        <w:color w:val="231F20"/>
        <w:spacing w:val="-25"/>
        <w:w w:val="111"/>
        <w:sz w:val="18"/>
        <w:szCs w:val="18"/>
      </w:rPr>
    </w:lvl>
    <w:lvl w:ilvl="3">
      <w:start w:val="0"/>
      <w:numFmt w:val="bullet"/>
      <w:lvlText w:val="•"/>
      <w:lvlJc w:val="left"/>
      <w:pPr>
        <w:ind w:left="2927" w:hanging="720"/>
      </w:pPr>
      <w:rPr>
        <w:rFonts w:hint="default"/>
      </w:rPr>
    </w:lvl>
    <w:lvl w:ilvl="4">
      <w:start w:val="0"/>
      <w:numFmt w:val="bullet"/>
      <w:lvlText w:val="•"/>
      <w:lvlJc w:val="left"/>
      <w:pPr>
        <w:ind w:left="4121" w:hanging="720"/>
      </w:pPr>
      <w:rPr>
        <w:rFonts w:hint="default"/>
      </w:rPr>
    </w:lvl>
    <w:lvl w:ilvl="5">
      <w:start w:val="0"/>
      <w:numFmt w:val="bullet"/>
      <w:lvlText w:val="•"/>
      <w:lvlJc w:val="left"/>
      <w:pPr>
        <w:ind w:left="5315" w:hanging="720"/>
      </w:pPr>
      <w:rPr>
        <w:rFonts w:hint="default"/>
      </w:rPr>
    </w:lvl>
    <w:lvl w:ilvl="6">
      <w:start w:val="0"/>
      <w:numFmt w:val="bullet"/>
      <w:lvlText w:val="•"/>
      <w:lvlJc w:val="left"/>
      <w:pPr>
        <w:ind w:left="6509" w:hanging="720"/>
      </w:pPr>
      <w:rPr>
        <w:rFonts w:hint="default"/>
      </w:rPr>
    </w:lvl>
    <w:lvl w:ilvl="7">
      <w:start w:val="0"/>
      <w:numFmt w:val="bullet"/>
      <w:lvlText w:val="•"/>
      <w:lvlJc w:val="left"/>
      <w:pPr>
        <w:ind w:left="7703" w:hanging="720"/>
      </w:pPr>
      <w:rPr>
        <w:rFonts w:hint="default"/>
      </w:rPr>
    </w:lvl>
    <w:lvl w:ilvl="8">
      <w:start w:val="0"/>
      <w:numFmt w:val="bullet"/>
      <w:lvlText w:val="•"/>
      <w:lvlJc w:val="left"/>
      <w:pPr>
        <w:ind w:left="8897" w:hanging="720"/>
      </w:pPr>
      <w:rPr>
        <w:rFonts w:hint="default"/>
      </w:rPr>
    </w:lvl>
  </w:abstractNum>
  <w:abstractNum w:abstractNumId="141">
    <w:multiLevelType w:val="hybridMultilevel"/>
    <w:lvl w:ilvl="0">
      <w:start w:val="2"/>
      <w:numFmt w:val="upperLetter"/>
      <w:lvlText w:val="%1"/>
      <w:lvlJc w:val="left"/>
      <w:pPr>
        <w:ind w:left="528" w:hanging="720"/>
        <w:jc w:val="left"/>
      </w:pPr>
      <w:rPr>
        <w:rFonts w:hint="default"/>
      </w:rPr>
    </w:lvl>
    <w:lvl w:ilvl="1">
      <w:start w:val="6"/>
      <w:numFmt w:val="decimal"/>
      <w:lvlText w:val="%1.%2"/>
      <w:lvlJc w:val="left"/>
      <w:pPr>
        <w:ind w:left="528" w:hanging="720"/>
        <w:jc w:val="left"/>
      </w:pPr>
      <w:rPr>
        <w:rFonts w:hint="default"/>
      </w:rPr>
    </w:lvl>
    <w:lvl w:ilvl="2">
      <w:start w:val="3"/>
      <w:numFmt w:val="decimal"/>
      <w:lvlText w:val="%1.%2.%3"/>
      <w:lvlJc w:val="left"/>
      <w:pPr>
        <w:ind w:left="528" w:hanging="720"/>
        <w:jc w:val="left"/>
      </w:pPr>
      <w:rPr>
        <w:rFonts w:hint="default" w:ascii="Verdana" w:hAnsi="Verdana" w:eastAsia="Verdana" w:cs="Verdana"/>
        <w:color w:val="231F20"/>
        <w:spacing w:val="-6"/>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40">
    <w:multiLevelType w:val="hybridMultilevel"/>
    <w:lvl w:ilvl="0">
      <w:start w:val="2"/>
      <w:numFmt w:val="upperLetter"/>
      <w:lvlText w:val="%1"/>
      <w:lvlJc w:val="left"/>
      <w:pPr>
        <w:ind w:left="519" w:hanging="1440"/>
        <w:jc w:val="left"/>
      </w:pPr>
      <w:rPr>
        <w:rFonts w:hint="default"/>
      </w:rPr>
    </w:lvl>
    <w:lvl w:ilvl="1">
      <w:start w:val="6"/>
      <w:numFmt w:val="decimal"/>
      <w:lvlText w:val="%1.%2"/>
      <w:lvlJc w:val="left"/>
      <w:pPr>
        <w:ind w:left="519" w:hanging="1440"/>
        <w:jc w:val="left"/>
      </w:pPr>
      <w:rPr>
        <w:rFonts w:hint="default"/>
      </w:rPr>
    </w:lvl>
    <w:lvl w:ilvl="2">
      <w:start w:val="2"/>
      <w:numFmt w:val="decimal"/>
      <w:lvlText w:val="%1.%2.%3"/>
      <w:lvlJc w:val="left"/>
      <w:pPr>
        <w:ind w:left="519" w:hanging="1440"/>
        <w:jc w:val="left"/>
      </w:pPr>
      <w:rPr>
        <w:rFonts w:hint="default"/>
      </w:rPr>
    </w:lvl>
    <w:lvl w:ilvl="3">
      <w:start w:val="1"/>
      <w:numFmt w:val="decimal"/>
      <w:lvlText w:val="%1.%2.%3.%4"/>
      <w:lvlJc w:val="left"/>
      <w:pPr>
        <w:ind w:left="519" w:hanging="1440"/>
        <w:jc w:val="left"/>
      </w:pPr>
      <w:rPr>
        <w:rFonts w:hint="default" w:ascii="Verdana" w:hAnsi="Verdana" w:eastAsia="Verdana" w:cs="Verdana"/>
        <w:color w:val="231F20"/>
        <w:spacing w:val="-8"/>
        <w:w w:val="111"/>
        <w:sz w:val="18"/>
        <w:szCs w:val="18"/>
      </w:rPr>
    </w:lvl>
    <w:lvl w:ilvl="4">
      <w:start w:val="0"/>
      <w:numFmt w:val="bullet"/>
      <w:lvlText w:val="•"/>
      <w:lvlJc w:val="left"/>
      <w:pPr>
        <w:ind w:left="4826" w:hanging="1440"/>
      </w:pPr>
      <w:rPr>
        <w:rFonts w:hint="default"/>
      </w:rPr>
    </w:lvl>
    <w:lvl w:ilvl="5">
      <w:start w:val="0"/>
      <w:numFmt w:val="bullet"/>
      <w:lvlText w:val="•"/>
      <w:lvlJc w:val="left"/>
      <w:pPr>
        <w:ind w:left="5902" w:hanging="1440"/>
      </w:pPr>
      <w:rPr>
        <w:rFonts w:hint="default"/>
      </w:rPr>
    </w:lvl>
    <w:lvl w:ilvl="6">
      <w:start w:val="0"/>
      <w:numFmt w:val="bullet"/>
      <w:lvlText w:val="•"/>
      <w:lvlJc w:val="left"/>
      <w:pPr>
        <w:ind w:left="6979" w:hanging="1440"/>
      </w:pPr>
      <w:rPr>
        <w:rFonts w:hint="default"/>
      </w:rPr>
    </w:lvl>
    <w:lvl w:ilvl="7">
      <w:start w:val="0"/>
      <w:numFmt w:val="bullet"/>
      <w:lvlText w:val="•"/>
      <w:lvlJc w:val="left"/>
      <w:pPr>
        <w:ind w:left="8055" w:hanging="1440"/>
      </w:pPr>
      <w:rPr>
        <w:rFonts w:hint="default"/>
      </w:rPr>
    </w:lvl>
    <w:lvl w:ilvl="8">
      <w:start w:val="0"/>
      <w:numFmt w:val="bullet"/>
      <w:lvlText w:val="•"/>
      <w:lvlJc w:val="left"/>
      <w:pPr>
        <w:ind w:left="9132" w:hanging="1440"/>
      </w:pPr>
      <w:rPr>
        <w:rFonts w:hint="default"/>
      </w:rPr>
    </w:lvl>
  </w:abstractNum>
  <w:abstractNum w:abstractNumId="139">
    <w:multiLevelType w:val="hybridMultilevel"/>
    <w:lvl w:ilvl="0">
      <w:start w:val="1"/>
      <w:numFmt w:val="lowerRoman"/>
      <w:lvlText w:val="(%1)"/>
      <w:lvlJc w:val="left"/>
      <w:pPr>
        <w:ind w:left="1761" w:hanging="681"/>
        <w:jc w:val="left"/>
      </w:pPr>
      <w:rPr>
        <w:rFonts w:hint="default" w:ascii="Verdana" w:hAnsi="Verdana" w:eastAsia="Verdana" w:cs="Verdana"/>
        <w:color w:val="231F20"/>
        <w:spacing w:val="-5"/>
        <w:w w:val="110"/>
        <w:sz w:val="18"/>
        <w:szCs w:val="18"/>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138">
    <w:multiLevelType w:val="hybridMultilevel"/>
    <w:lvl w:ilvl="0">
      <w:start w:val="2"/>
      <w:numFmt w:val="upperLetter"/>
      <w:lvlText w:val="%1"/>
      <w:lvlJc w:val="left"/>
      <w:pPr>
        <w:ind w:left="2010" w:hanging="930"/>
        <w:jc w:val="left"/>
      </w:pPr>
      <w:rPr>
        <w:rFonts w:hint="default"/>
      </w:rPr>
    </w:lvl>
    <w:lvl w:ilvl="1">
      <w:start w:val="6"/>
      <w:numFmt w:val="decimal"/>
      <w:lvlText w:val="%1.%2"/>
      <w:lvlJc w:val="left"/>
      <w:pPr>
        <w:ind w:left="2010" w:hanging="930"/>
        <w:jc w:val="left"/>
      </w:pPr>
      <w:rPr>
        <w:rFonts w:hint="default"/>
      </w:rPr>
    </w:lvl>
    <w:lvl w:ilvl="2">
      <w:start w:val="1"/>
      <w:numFmt w:val="decimal"/>
      <w:lvlText w:val="%1.%2.%3"/>
      <w:lvlJc w:val="left"/>
      <w:pPr>
        <w:ind w:left="2010" w:hanging="930"/>
        <w:jc w:val="left"/>
      </w:pPr>
      <w:rPr>
        <w:rFonts w:hint="default"/>
      </w:rPr>
    </w:lvl>
    <w:lvl w:ilvl="3">
      <w:start w:val="2"/>
      <w:numFmt w:val="decimal"/>
      <w:lvlText w:val="%1.%2.%3.%4"/>
      <w:lvlJc w:val="left"/>
      <w:pPr>
        <w:ind w:left="2010" w:hanging="930"/>
        <w:jc w:val="right"/>
      </w:pPr>
      <w:rPr>
        <w:rFonts w:hint="default" w:ascii="Verdana" w:hAnsi="Verdana" w:eastAsia="Verdana" w:cs="Verdana"/>
        <w:color w:val="231F20"/>
        <w:spacing w:val="-8"/>
        <w:w w:val="111"/>
        <w:sz w:val="18"/>
        <w:szCs w:val="18"/>
      </w:rPr>
    </w:lvl>
    <w:lvl w:ilvl="4">
      <w:start w:val="0"/>
      <w:numFmt w:val="bullet"/>
      <w:lvlText w:val="•"/>
      <w:lvlJc w:val="left"/>
      <w:pPr>
        <w:ind w:left="5726" w:hanging="930"/>
      </w:pPr>
      <w:rPr>
        <w:rFonts w:hint="default"/>
      </w:rPr>
    </w:lvl>
    <w:lvl w:ilvl="5">
      <w:start w:val="0"/>
      <w:numFmt w:val="bullet"/>
      <w:lvlText w:val="•"/>
      <w:lvlJc w:val="left"/>
      <w:pPr>
        <w:ind w:left="6652" w:hanging="930"/>
      </w:pPr>
      <w:rPr>
        <w:rFonts w:hint="default"/>
      </w:rPr>
    </w:lvl>
    <w:lvl w:ilvl="6">
      <w:start w:val="0"/>
      <w:numFmt w:val="bullet"/>
      <w:lvlText w:val="•"/>
      <w:lvlJc w:val="left"/>
      <w:pPr>
        <w:ind w:left="7579" w:hanging="930"/>
      </w:pPr>
      <w:rPr>
        <w:rFonts w:hint="default"/>
      </w:rPr>
    </w:lvl>
    <w:lvl w:ilvl="7">
      <w:start w:val="0"/>
      <w:numFmt w:val="bullet"/>
      <w:lvlText w:val="•"/>
      <w:lvlJc w:val="left"/>
      <w:pPr>
        <w:ind w:left="8505" w:hanging="930"/>
      </w:pPr>
      <w:rPr>
        <w:rFonts w:hint="default"/>
      </w:rPr>
    </w:lvl>
    <w:lvl w:ilvl="8">
      <w:start w:val="0"/>
      <w:numFmt w:val="bullet"/>
      <w:lvlText w:val="•"/>
      <w:lvlJc w:val="left"/>
      <w:pPr>
        <w:ind w:left="9432" w:hanging="930"/>
      </w:pPr>
      <w:rPr>
        <w:rFonts w:hint="default"/>
      </w:rPr>
    </w:lvl>
  </w:abstractNum>
  <w:abstractNum w:abstractNumId="137">
    <w:multiLevelType w:val="hybridMultilevel"/>
    <w:lvl w:ilvl="0">
      <w:start w:val="2"/>
      <w:numFmt w:val="upperLetter"/>
      <w:lvlText w:val="%1"/>
      <w:lvlJc w:val="left"/>
      <w:pPr>
        <w:ind w:left="1080" w:hanging="675"/>
        <w:jc w:val="left"/>
      </w:pPr>
      <w:rPr>
        <w:rFonts w:hint="default"/>
      </w:rPr>
    </w:lvl>
    <w:lvl w:ilvl="1">
      <w:start w:val="3"/>
      <w:numFmt w:val="decimal"/>
      <w:lvlText w:val="%1.%2"/>
      <w:lvlJc w:val="left"/>
      <w:pPr>
        <w:ind w:left="1080" w:hanging="675"/>
        <w:jc w:val="left"/>
      </w:pPr>
      <w:rPr>
        <w:rFonts w:hint="default"/>
      </w:rPr>
    </w:lvl>
    <w:lvl w:ilvl="2">
      <w:start w:val="3"/>
      <w:numFmt w:val="decimal"/>
      <w:lvlText w:val="%1.%2.%3"/>
      <w:lvlJc w:val="left"/>
      <w:pPr>
        <w:ind w:left="1080" w:hanging="675"/>
        <w:jc w:val="left"/>
      </w:pPr>
      <w:rPr>
        <w:rFonts w:hint="default" w:ascii="Verdana" w:hAnsi="Verdana" w:eastAsia="Verdana" w:cs="Verdana"/>
        <w:color w:val="231F20"/>
        <w:spacing w:val="-4"/>
        <w:w w:val="111"/>
        <w:sz w:val="18"/>
        <w:szCs w:val="18"/>
      </w:rPr>
    </w:lvl>
    <w:lvl w:ilvl="3">
      <w:start w:val="0"/>
      <w:numFmt w:val="bullet"/>
      <w:lvlText w:val="•"/>
      <w:lvlJc w:val="left"/>
      <w:pPr>
        <w:ind w:left="4141" w:hanging="675"/>
      </w:pPr>
      <w:rPr>
        <w:rFonts w:hint="default"/>
      </w:rPr>
    </w:lvl>
    <w:lvl w:ilvl="4">
      <w:start w:val="0"/>
      <w:numFmt w:val="bullet"/>
      <w:lvlText w:val="•"/>
      <w:lvlJc w:val="left"/>
      <w:pPr>
        <w:ind w:left="5162" w:hanging="675"/>
      </w:pPr>
      <w:rPr>
        <w:rFonts w:hint="default"/>
      </w:rPr>
    </w:lvl>
    <w:lvl w:ilvl="5">
      <w:start w:val="0"/>
      <w:numFmt w:val="bullet"/>
      <w:lvlText w:val="•"/>
      <w:lvlJc w:val="left"/>
      <w:pPr>
        <w:ind w:left="6182" w:hanging="675"/>
      </w:pPr>
      <w:rPr>
        <w:rFonts w:hint="default"/>
      </w:rPr>
    </w:lvl>
    <w:lvl w:ilvl="6">
      <w:start w:val="0"/>
      <w:numFmt w:val="bullet"/>
      <w:lvlText w:val="•"/>
      <w:lvlJc w:val="left"/>
      <w:pPr>
        <w:ind w:left="7203" w:hanging="675"/>
      </w:pPr>
      <w:rPr>
        <w:rFonts w:hint="default"/>
      </w:rPr>
    </w:lvl>
    <w:lvl w:ilvl="7">
      <w:start w:val="0"/>
      <w:numFmt w:val="bullet"/>
      <w:lvlText w:val="•"/>
      <w:lvlJc w:val="left"/>
      <w:pPr>
        <w:ind w:left="8223" w:hanging="675"/>
      </w:pPr>
      <w:rPr>
        <w:rFonts w:hint="default"/>
      </w:rPr>
    </w:lvl>
    <w:lvl w:ilvl="8">
      <w:start w:val="0"/>
      <w:numFmt w:val="bullet"/>
      <w:lvlText w:val="•"/>
      <w:lvlJc w:val="left"/>
      <w:pPr>
        <w:ind w:left="9244" w:hanging="675"/>
      </w:pPr>
      <w:rPr>
        <w:rFonts w:hint="default"/>
      </w:rPr>
    </w:lvl>
  </w:abstractNum>
  <w:abstractNum w:abstractNumId="136">
    <w:multiLevelType w:val="hybridMultilevel"/>
    <w:lvl w:ilvl="0">
      <w:start w:val="1"/>
      <w:numFmt w:val="upperLetter"/>
      <w:lvlText w:val="%1"/>
      <w:lvlJc w:val="left"/>
      <w:pPr>
        <w:ind w:left="1080" w:hanging="720"/>
        <w:jc w:val="left"/>
      </w:pPr>
      <w:rPr>
        <w:rFonts w:hint="default"/>
      </w:rPr>
    </w:lvl>
    <w:lvl w:ilvl="1">
      <w:start w:val="6"/>
      <w:numFmt w:val="decimal"/>
      <w:lvlText w:val="%1.%2"/>
      <w:lvlJc w:val="left"/>
      <w:pPr>
        <w:ind w:left="1080" w:hanging="720"/>
        <w:jc w:val="left"/>
      </w:pPr>
      <w:rPr>
        <w:rFonts w:hint="default"/>
      </w:rPr>
    </w:lvl>
    <w:lvl w:ilvl="2">
      <w:start w:val="2"/>
      <w:numFmt w:val="decimal"/>
      <w:lvlText w:val="%1.%2.%3"/>
      <w:lvlJc w:val="left"/>
      <w:pPr>
        <w:ind w:left="1080" w:hanging="720"/>
        <w:jc w:val="right"/>
      </w:pPr>
      <w:rPr>
        <w:rFonts w:hint="default" w:ascii="Verdana" w:hAnsi="Verdana" w:eastAsia="Verdana" w:cs="Verdana"/>
        <w:color w:val="231F20"/>
        <w:spacing w:val="-4"/>
        <w:w w:val="111"/>
        <w:sz w:val="18"/>
        <w:szCs w:val="18"/>
      </w:rPr>
    </w:lvl>
    <w:lvl w:ilvl="3">
      <w:start w:val="0"/>
      <w:numFmt w:val="bullet"/>
      <w:lvlText w:val="•"/>
      <w:lvlJc w:val="left"/>
      <w:pPr>
        <w:ind w:left="4141" w:hanging="720"/>
      </w:pPr>
      <w:rPr>
        <w:rFonts w:hint="default"/>
      </w:rPr>
    </w:lvl>
    <w:lvl w:ilvl="4">
      <w:start w:val="0"/>
      <w:numFmt w:val="bullet"/>
      <w:lvlText w:val="•"/>
      <w:lvlJc w:val="left"/>
      <w:pPr>
        <w:ind w:left="5162" w:hanging="720"/>
      </w:pPr>
      <w:rPr>
        <w:rFonts w:hint="default"/>
      </w:rPr>
    </w:lvl>
    <w:lvl w:ilvl="5">
      <w:start w:val="0"/>
      <w:numFmt w:val="bullet"/>
      <w:lvlText w:val="•"/>
      <w:lvlJc w:val="left"/>
      <w:pPr>
        <w:ind w:left="6182" w:hanging="720"/>
      </w:pPr>
      <w:rPr>
        <w:rFonts w:hint="default"/>
      </w:rPr>
    </w:lvl>
    <w:lvl w:ilvl="6">
      <w:start w:val="0"/>
      <w:numFmt w:val="bullet"/>
      <w:lvlText w:val="•"/>
      <w:lvlJc w:val="left"/>
      <w:pPr>
        <w:ind w:left="7203" w:hanging="720"/>
      </w:pPr>
      <w:rPr>
        <w:rFonts w:hint="default"/>
      </w:rPr>
    </w:lvl>
    <w:lvl w:ilvl="7">
      <w:start w:val="0"/>
      <w:numFmt w:val="bullet"/>
      <w:lvlText w:val="•"/>
      <w:lvlJc w:val="left"/>
      <w:pPr>
        <w:ind w:left="8223" w:hanging="720"/>
      </w:pPr>
      <w:rPr>
        <w:rFonts w:hint="default"/>
      </w:rPr>
    </w:lvl>
    <w:lvl w:ilvl="8">
      <w:start w:val="0"/>
      <w:numFmt w:val="bullet"/>
      <w:lvlText w:val="•"/>
      <w:lvlJc w:val="left"/>
      <w:pPr>
        <w:ind w:left="9244" w:hanging="720"/>
      </w:pPr>
      <w:rPr>
        <w:rFonts w:hint="default"/>
      </w:rPr>
    </w:lvl>
  </w:abstractNum>
  <w:abstractNum w:abstractNumId="135">
    <w:multiLevelType w:val="hybridMultilevel"/>
    <w:lvl w:ilvl="0">
      <w:start w:val="1"/>
      <w:numFmt w:val="upperLetter"/>
      <w:lvlText w:val="%1"/>
      <w:lvlJc w:val="left"/>
      <w:pPr>
        <w:ind w:left="513" w:hanging="720"/>
        <w:jc w:val="left"/>
      </w:pPr>
      <w:rPr>
        <w:rFonts w:hint="default"/>
      </w:rPr>
    </w:lvl>
    <w:lvl w:ilvl="1">
      <w:start w:val="5"/>
      <w:numFmt w:val="decimal"/>
      <w:lvlText w:val="%1.%2"/>
      <w:lvlJc w:val="left"/>
      <w:pPr>
        <w:ind w:left="513" w:hanging="720"/>
        <w:jc w:val="left"/>
      </w:pPr>
      <w:rPr>
        <w:rFonts w:hint="default"/>
      </w:rPr>
    </w:lvl>
    <w:lvl w:ilvl="2">
      <w:start w:val="18"/>
      <w:numFmt w:val="decimal"/>
      <w:lvlText w:val="%1.%2.%3"/>
      <w:lvlJc w:val="left"/>
      <w:pPr>
        <w:ind w:left="513" w:hanging="720"/>
        <w:jc w:val="right"/>
      </w:pPr>
      <w:rPr>
        <w:rFonts w:hint="default" w:ascii="Verdana" w:hAnsi="Verdana" w:eastAsia="Verdana" w:cs="Verdana"/>
        <w:color w:val="231F20"/>
        <w:spacing w:val="-6"/>
        <w:w w:val="111"/>
        <w:sz w:val="18"/>
        <w:szCs w:val="18"/>
      </w:rPr>
    </w:lvl>
    <w:lvl w:ilvl="3">
      <w:start w:val="0"/>
      <w:numFmt w:val="bullet"/>
      <w:lvlText w:val="•"/>
      <w:lvlJc w:val="left"/>
      <w:pPr>
        <w:ind w:left="3749" w:hanging="720"/>
      </w:pPr>
      <w:rPr>
        <w:rFonts w:hint="default"/>
      </w:rPr>
    </w:lvl>
    <w:lvl w:ilvl="4">
      <w:start w:val="0"/>
      <w:numFmt w:val="bullet"/>
      <w:lvlText w:val="•"/>
      <w:lvlJc w:val="left"/>
      <w:pPr>
        <w:ind w:left="4826" w:hanging="720"/>
      </w:pPr>
      <w:rPr>
        <w:rFonts w:hint="default"/>
      </w:rPr>
    </w:lvl>
    <w:lvl w:ilvl="5">
      <w:start w:val="0"/>
      <w:numFmt w:val="bullet"/>
      <w:lvlText w:val="•"/>
      <w:lvlJc w:val="left"/>
      <w:pPr>
        <w:ind w:left="5902" w:hanging="720"/>
      </w:pPr>
      <w:rPr>
        <w:rFonts w:hint="default"/>
      </w:rPr>
    </w:lvl>
    <w:lvl w:ilvl="6">
      <w:start w:val="0"/>
      <w:numFmt w:val="bullet"/>
      <w:lvlText w:val="•"/>
      <w:lvlJc w:val="left"/>
      <w:pPr>
        <w:ind w:left="6979" w:hanging="720"/>
      </w:pPr>
      <w:rPr>
        <w:rFonts w:hint="default"/>
      </w:rPr>
    </w:lvl>
    <w:lvl w:ilvl="7">
      <w:start w:val="0"/>
      <w:numFmt w:val="bullet"/>
      <w:lvlText w:val="•"/>
      <w:lvlJc w:val="left"/>
      <w:pPr>
        <w:ind w:left="8055" w:hanging="720"/>
      </w:pPr>
      <w:rPr>
        <w:rFonts w:hint="default"/>
      </w:rPr>
    </w:lvl>
    <w:lvl w:ilvl="8">
      <w:start w:val="0"/>
      <w:numFmt w:val="bullet"/>
      <w:lvlText w:val="•"/>
      <w:lvlJc w:val="left"/>
      <w:pPr>
        <w:ind w:left="9132" w:hanging="720"/>
      </w:pPr>
      <w:rPr>
        <w:rFonts w:hint="default"/>
      </w:rPr>
    </w:lvl>
  </w:abstractNum>
  <w:abstractNum w:abstractNumId="134">
    <w:multiLevelType w:val="hybridMultilevel"/>
    <w:lvl w:ilvl="0">
      <w:start w:val="1"/>
      <w:numFmt w:val="lowerLetter"/>
      <w:lvlText w:val="%1)"/>
      <w:lvlJc w:val="left"/>
      <w:pPr>
        <w:ind w:left="340" w:hanging="341"/>
        <w:jc w:val="left"/>
      </w:pPr>
      <w:rPr>
        <w:rFonts w:hint="default" w:ascii="Verdana" w:hAnsi="Verdana" w:eastAsia="Verdana" w:cs="Verdana"/>
        <w:color w:val="231F20"/>
        <w:spacing w:val="-15"/>
        <w:w w:val="111"/>
        <w:sz w:val="18"/>
        <w:szCs w:val="18"/>
      </w:rPr>
    </w:lvl>
    <w:lvl w:ilvl="1">
      <w:start w:val="0"/>
      <w:numFmt w:val="bullet"/>
      <w:lvlText w:val="•"/>
      <w:lvlJc w:val="left"/>
      <w:pPr>
        <w:ind w:left="1137" w:hanging="341"/>
      </w:pPr>
      <w:rPr>
        <w:rFonts w:hint="default"/>
      </w:rPr>
    </w:lvl>
    <w:lvl w:ilvl="2">
      <w:start w:val="0"/>
      <w:numFmt w:val="bullet"/>
      <w:lvlText w:val="•"/>
      <w:lvlJc w:val="left"/>
      <w:pPr>
        <w:ind w:left="1934" w:hanging="341"/>
      </w:pPr>
      <w:rPr>
        <w:rFonts w:hint="default"/>
      </w:rPr>
    </w:lvl>
    <w:lvl w:ilvl="3">
      <w:start w:val="0"/>
      <w:numFmt w:val="bullet"/>
      <w:lvlText w:val="•"/>
      <w:lvlJc w:val="left"/>
      <w:pPr>
        <w:ind w:left="2731" w:hanging="341"/>
      </w:pPr>
      <w:rPr>
        <w:rFonts w:hint="default"/>
      </w:rPr>
    </w:lvl>
    <w:lvl w:ilvl="4">
      <w:start w:val="0"/>
      <w:numFmt w:val="bullet"/>
      <w:lvlText w:val="•"/>
      <w:lvlJc w:val="left"/>
      <w:pPr>
        <w:ind w:left="3528" w:hanging="341"/>
      </w:pPr>
      <w:rPr>
        <w:rFonts w:hint="default"/>
      </w:rPr>
    </w:lvl>
    <w:lvl w:ilvl="5">
      <w:start w:val="0"/>
      <w:numFmt w:val="bullet"/>
      <w:lvlText w:val="•"/>
      <w:lvlJc w:val="left"/>
      <w:pPr>
        <w:ind w:left="4325" w:hanging="341"/>
      </w:pPr>
      <w:rPr>
        <w:rFonts w:hint="default"/>
      </w:rPr>
    </w:lvl>
    <w:lvl w:ilvl="6">
      <w:start w:val="0"/>
      <w:numFmt w:val="bullet"/>
      <w:lvlText w:val="•"/>
      <w:lvlJc w:val="left"/>
      <w:pPr>
        <w:ind w:left="5122" w:hanging="341"/>
      </w:pPr>
      <w:rPr>
        <w:rFonts w:hint="default"/>
      </w:rPr>
    </w:lvl>
    <w:lvl w:ilvl="7">
      <w:start w:val="0"/>
      <w:numFmt w:val="bullet"/>
      <w:lvlText w:val="•"/>
      <w:lvlJc w:val="left"/>
      <w:pPr>
        <w:ind w:left="5920" w:hanging="341"/>
      </w:pPr>
      <w:rPr>
        <w:rFonts w:hint="default"/>
      </w:rPr>
    </w:lvl>
    <w:lvl w:ilvl="8">
      <w:start w:val="0"/>
      <w:numFmt w:val="bullet"/>
      <w:lvlText w:val="•"/>
      <w:lvlJc w:val="left"/>
      <w:pPr>
        <w:ind w:left="6717" w:hanging="341"/>
      </w:pPr>
      <w:rPr>
        <w:rFonts w:hint="default"/>
      </w:rPr>
    </w:lvl>
  </w:abstractNum>
  <w:abstractNum w:abstractNumId="133">
    <w:multiLevelType w:val="hybridMultilevel"/>
    <w:lvl w:ilvl="0">
      <w:start w:val="6"/>
      <w:numFmt w:val="decimal"/>
      <w:lvlText w:val="%1."/>
      <w:lvlJc w:val="left"/>
      <w:pPr>
        <w:ind w:left="1194" w:hanging="681"/>
        <w:jc w:val="left"/>
      </w:pPr>
      <w:rPr>
        <w:rFonts w:hint="default" w:ascii="Verdana" w:hAnsi="Verdana" w:eastAsia="Verdana" w:cs="Verdana"/>
        <w:color w:val="231F20"/>
        <w:spacing w:val="-2"/>
        <w:w w:val="111"/>
        <w:sz w:val="18"/>
        <w:szCs w:val="18"/>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32">
    <w:multiLevelType w:val="hybridMultilevel"/>
    <w:lvl w:ilvl="0">
      <w:start w:val="0"/>
      <w:numFmt w:val="bullet"/>
      <w:lvlText w:val="•"/>
      <w:lvlJc w:val="left"/>
      <w:pPr>
        <w:ind w:left="1761" w:hanging="681"/>
      </w:pPr>
      <w:rPr>
        <w:rFonts w:hint="default" w:ascii="Verdana" w:hAnsi="Verdana" w:eastAsia="Verdana" w:cs="Verdana"/>
        <w:color w:val="231F20"/>
        <w:w w:val="111"/>
        <w:position w:val="-3"/>
        <w:sz w:val="25"/>
        <w:szCs w:val="25"/>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131">
    <w:multiLevelType w:val="hybridMultilevel"/>
    <w:lvl w:ilvl="0">
      <w:start w:val="0"/>
      <w:numFmt w:val="bullet"/>
      <w:lvlText w:val="•"/>
      <w:lvlJc w:val="left"/>
      <w:pPr>
        <w:ind w:left="1194" w:hanging="681"/>
      </w:pPr>
      <w:rPr>
        <w:rFonts w:hint="default" w:ascii="Verdana" w:hAnsi="Verdana" w:eastAsia="Verdana" w:cs="Verdana"/>
        <w:color w:val="231F20"/>
        <w:w w:val="111"/>
        <w:position w:val="-3"/>
        <w:sz w:val="25"/>
        <w:szCs w:val="25"/>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30">
    <w:multiLevelType w:val="hybridMultilevel"/>
    <w:lvl w:ilvl="0">
      <w:start w:val="1"/>
      <w:numFmt w:val="lowerLetter"/>
      <w:lvlText w:val="(%1)"/>
      <w:lvlJc w:val="left"/>
      <w:pPr>
        <w:ind w:left="1761" w:hanging="681"/>
        <w:jc w:val="left"/>
      </w:pPr>
      <w:rPr>
        <w:rFonts w:hint="default" w:ascii="Verdana" w:hAnsi="Verdana" w:eastAsia="Verdana" w:cs="Verdana"/>
        <w:color w:val="231F20"/>
        <w:spacing w:val="-16"/>
        <w:w w:val="111"/>
        <w:sz w:val="18"/>
        <w:szCs w:val="18"/>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129">
    <w:multiLevelType w:val="hybridMultilevel"/>
    <w:lvl w:ilvl="0">
      <w:start w:val="1"/>
      <w:numFmt w:val="lowerLetter"/>
      <w:lvlText w:val="(%1)"/>
      <w:lvlJc w:val="left"/>
      <w:pPr>
        <w:ind w:left="1761" w:hanging="681"/>
        <w:jc w:val="left"/>
      </w:pPr>
      <w:rPr>
        <w:rFonts w:hint="default" w:ascii="Verdana" w:hAnsi="Verdana" w:eastAsia="Verdana" w:cs="Verdana"/>
        <w:b/>
        <w:bCs/>
        <w:color w:val="231F20"/>
        <w:spacing w:val="-16"/>
        <w:w w:val="111"/>
        <w:sz w:val="18"/>
        <w:szCs w:val="18"/>
      </w:rPr>
    </w:lvl>
    <w:lvl w:ilvl="1">
      <w:start w:val="0"/>
      <w:numFmt w:val="bullet"/>
      <w:lvlText w:val="•"/>
      <w:lvlJc w:val="left"/>
      <w:pPr>
        <w:ind w:left="271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17" w:hanging="681"/>
      </w:pPr>
      <w:rPr>
        <w:rFonts w:hint="default"/>
      </w:rPr>
    </w:lvl>
    <w:lvl w:ilvl="4">
      <w:start w:val="0"/>
      <w:numFmt w:val="bullet"/>
      <w:lvlText w:val="•"/>
      <w:lvlJc w:val="left"/>
      <w:pPr>
        <w:ind w:left="5570" w:hanging="681"/>
      </w:pPr>
      <w:rPr>
        <w:rFonts w:hint="default"/>
      </w:rPr>
    </w:lvl>
    <w:lvl w:ilvl="5">
      <w:start w:val="0"/>
      <w:numFmt w:val="bullet"/>
      <w:lvlText w:val="•"/>
      <w:lvlJc w:val="left"/>
      <w:pPr>
        <w:ind w:left="6522" w:hanging="681"/>
      </w:pPr>
      <w:rPr>
        <w:rFonts w:hint="default"/>
      </w:rPr>
    </w:lvl>
    <w:lvl w:ilvl="6">
      <w:start w:val="0"/>
      <w:numFmt w:val="bullet"/>
      <w:lvlText w:val="•"/>
      <w:lvlJc w:val="left"/>
      <w:pPr>
        <w:ind w:left="7475" w:hanging="681"/>
      </w:pPr>
      <w:rPr>
        <w:rFonts w:hint="default"/>
      </w:rPr>
    </w:lvl>
    <w:lvl w:ilvl="7">
      <w:start w:val="0"/>
      <w:numFmt w:val="bullet"/>
      <w:lvlText w:val="•"/>
      <w:lvlJc w:val="left"/>
      <w:pPr>
        <w:ind w:left="8427" w:hanging="681"/>
      </w:pPr>
      <w:rPr>
        <w:rFonts w:hint="default"/>
      </w:rPr>
    </w:lvl>
    <w:lvl w:ilvl="8">
      <w:start w:val="0"/>
      <w:numFmt w:val="bullet"/>
      <w:lvlText w:val="•"/>
      <w:lvlJc w:val="left"/>
      <w:pPr>
        <w:ind w:left="9380" w:hanging="681"/>
      </w:pPr>
      <w:rPr>
        <w:rFonts w:hint="default"/>
      </w:rPr>
    </w:lvl>
  </w:abstractNum>
  <w:abstractNum w:abstractNumId="128">
    <w:multiLevelType w:val="hybridMultilevel"/>
    <w:lvl w:ilvl="0">
      <w:start w:val="0"/>
      <w:numFmt w:val="bullet"/>
      <w:lvlText w:val="•"/>
      <w:lvlJc w:val="left"/>
      <w:pPr>
        <w:ind w:left="1194" w:hanging="681"/>
      </w:pPr>
      <w:rPr>
        <w:rFonts w:hint="default" w:ascii="Verdana" w:hAnsi="Verdana" w:eastAsia="Verdana" w:cs="Verdana"/>
        <w:i/>
        <w:color w:val="231F20"/>
        <w:w w:val="111"/>
        <w:position w:val="-3"/>
        <w:sz w:val="25"/>
        <w:szCs w:val="25"/>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27">
    <w:multiLevelType w:val="hybridMultilevel"/>
    <w:lvl w:ilvl="0">
      <w:start w:val="4"/>
      <w:numFmt w:val="decimal"/>
      <w:lvlText w:val="%1."/>
      <w:lvlJc w:val="left"/>
      <w:pPr>
        <w:ind w:left="1233" w:hanging="720"/>
        <w:jc w:val="right"/>
      </w:pPr>
      <w:rPr>
        <w:rFonts w:hint="default" w:ascii="Verdana" w:hAnsi="Verdana" w:eastAsia="Verdana" w:cs="Verdana"/>
        <w:b/>
        <w:bCs/>
        <w:color w:val="231F20"/>
        <w:spacing w:val="-2"/>
        <w:w w:val="110"/>
        <w:sz w:val="29"/>
        <w:szCs w:val="29"/>
      </w:rPr>
    </w:lvl>
    <w:lvl w:ilvl="1">
      <w:start w:val="1"/>
      <w:numFmt w:val="decimal"/>
      <w:lvlText w:val="%1.%2"/>
      <w:lvlJc w:val="left"/>
      <w:pPr>
        <w:ind w:left="513" w:hanging="720"/>
        <w:jc w:val="left"/>
      </w:pPr>
      <w:rPr>
        <w:rFonts w:hint="default" w:ascii="Verdana" w:hAnsi="Verdana" w:eastAsia="Verdana" w:cs="Verdana"/>
        <w:color w:val="231F20"/>
        <w:spacing w:val="-8"/>
        <w:w w:val="111"/>
        <w:sz w:val="18"/>
        <w:szCs w:val="18"/>
      </w:rPr>
    </w:lvl>
    <w:lvl w:ilvl="2">
      <w:start w:val="1"/>
      <w:numFmt w:val="decimal"/>
      <w:lvlText w:val="%1.%2.%3"/>
      <w:lvlJc w:val="left"/>
      <w:pPr>
        <w:ind w:left="513" w:hanging="681"/>
        <w:jc w:val="right"/>
      </w:pPr>
      <w:rPr>
        <w:rFonts w:hint="default" w:ascii="Verdana" w:hAnsi="Verdana" w:eastAsia="Verdana" w:cs="Verdana"/>
        <w:color w:val="231F20"/>
        <w:spacing w:val="-25"/>
        <w:w w:val="111"/>
        <w:sz w:val="18"/>
        <w:szCs w:val="18"/>
      </w:rPr>
    </w:lvl>
    <w:lvl w:ilvl="3">
      <w:start w:val="0"/>
      <w:numFmt w:val="bullet"/>
      <w:lvlText w:val="•"/>
      <w:lvlJc w:val="left"/>
      <w:pPr>
        <w:ind w:left="1553" w:hanging="341"/>
      </w:pPr>
      <w:rPr>
        <w:rFonts w:hint="default" w:ascii="Verdana" w:hAnsi="Verdana" w:eastAsia="Verdana" w:cs="Verdana"/>
        <w:color w:val="231F20"/>
        <w:w w:val="111"/>
        <w:position w:val="-3"/>
        <w:sz w:val="25"/>
        <w:szCs w:val="25"/>
      </w:rPr>
    </w:lvl>
    <w:lvl w:ilvl="4">
      <w:start w:val="0"/>
      <w:numFmt w:val="bullet"/>
      <w:lvlText w:val="•"/>
      <w:lvlJc w:val="left"/>
      <w:pPr>
        <w:ind w:left="2120" w:hanging="341"/>
      </w:pPr>
      <w:rPr>
        <w:rFonts w:hint="default"/>
      </w:rPr>
    </w:lvl>
    <w:lvl w:ilvl="5">
      <w:start w:val="0"/>
      <w:numFmt w:val="bullet"/>
      <w:lvlText w:val="•"/>
      <w:lvlJc w:val="left"/>
      <w:pPr>
        <w:ind w:left="3647" w:hanging="341"/>
      </w:pPr>
      <w:rPr>
        <w:rFonts w:hint="default"/>
      </w:rPr>
    </w:lvl>
    <w:lvl w:ilvl="6">
      <w:start w:val="0"/>
      <w:numFmt w:val="bullet"/>
      <w:lvlText w:val="•"/>
      <w:lvlJc w:val="left"/>
      <w:pPr>
        <w:ind w:left="5175" w:hanging="341"/>
      </w:pPr>
      <w:rPr>
        <w:rFonts w:hint="default"/>
      </w:rPr>
    </w:lvl>
    <w:lvl w:ilvl="7">
      <w:start w:val="0"/>
      <w:numFmt w:val="bullet"/>
      <w:lvlText w:val="•"/>
      <w:lvlJc w:val="left"/>
      <w:pPr>
        <w:ind w:left="6702" w:hanging="341"/>
      </w:pPr>
      <w:rPr>
        <w:rFonts w:hint="default"/>
      </w:rPr>
    </w:lvl>
    <w:lvl w:ilvl="8">
      <w:start w:val="0"/>
      <w:numFmt w:val="bullet"/>
      <w:lvlText w:val="•"/>
      <w:lvlJc w:val="left"/>
      <w:pPr>
        <w:ind w:left="8230" w:hanging="341"/>
      </w:pPr>
      <w:rPr>
        <w:rFonts w:hint="default"/>
      </w:rPr>
    </w:lvl>
  </w:abstractNum>
  <w:abstractNum w:abstractNumId="126">
    <w:multiLevelType w:val="hybridMultilevel"/>
    <w:lvl w:ilvl="0">
      <w:start w:val="1"/>
      <w:numFmt w:val="decimal"/>
      <w:lvlText w:val="%1."/>
      <w:lvlJc w:val="left"/>
      <w:pPr>
        <w:ind w:left="1194" w:hanging="681"/>
        <w:jc w:val="left"/>
      </w:pPr>
      <w:rPr>
        <w:rFonts w:hint="default" w:ascii="Verdana" w:hAnsi="Verdana" w:eastAsia="Verdana" w:cs="Verdana"/>
        <w:color w:val="231F20"/>
        <w:spacing w:val="-5"/>
        <w:w w:val="111"/>
        <w:sz w:val="18"/>
        <w:szCs w:val="18"/>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25">
    <w:multiLevelType w:val="hybridMultilevel"/>
    <w:lvl w:ilvl="0">
      <w:start w:val="0"/>
      <w:numFmt w:val="bullet"/>
      <w:lvlText w:val="•"/>
      <w:lvlJc w:val="left"/>
      <w:pPr>
        <w:ind w:left="1194" w:hanging="681"/>
      </w:pPr>
      <w:rPr>
        <w:rFonts w:hint="default" w:ascii="Verdana" w:hAnsi="Verdana" w:eastAsia="Verdana" w:cs="Verdana"/>
        <w:color w:val="231F20"/>
        <w:w w:val="111"/>
        <w:position w:val="-3"/>
        <w:sz w:val="25"/>
        <w:szCs w:val="25"/>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24">
    <w:multiLevelType w:val="hybridMultilevel"/>
    <w:lvl w:ilvl="0">
      <w:start w:val="2"/>
      <w:numFmt w:val="decimal"/>
      <w:lvlText w:val="%1."/>
      <w:lvlJc w:val="left"/>
      <w:pPr>
        <w:ind w:left="1233" w:hanging="720"/>
        <w:jc w:val="left"/>
      </w:pPr>
      <w:rPr>
        <w:rFonts w:hint="default" w:ascii="Verdana" w:hAnsi="Verdana" w:eastAsia="Verdana" w:cs="Verdana"/>
        <w:b/>
        <w:bCs/>
        <w:color w:val="231F20"/>
        <w:spacing w:val="0"/>
        <w:w w:val="110"/>
        <w:sz w:val="29"/>
        <w:szCs w:val="29"/>
      </w:rPr>
    </w:lvl>
    <w:lvl w:ilvl="1">
      <w:start w:val="1"/>
      <w:numFmt w:val="decimal"/>
      <w:lvlText w:val="%1.%2"/>
      <w:lvlJc w:val="left"/>
      <w:pPr>
        <w:ind w:left="513" w:hanging="720"/>
        <w:jc w:val="left"/>
      </w:pPr>
      <w:rPr>
        <w:rFonts w:hint="default" w:ascii="Verdana" w:hAnsi="Verdana" w:eastAsia="Verdana" w:cs="Verdana"/>
        <w:color w:val="231F20"/>
        <w:spacing w:val="-10"/>
        <w:w w:val="111"/>
        <w:sz w:val="18"/>
        <w:szCs w:val="18"/>
      </w:rPr>
    </w:lvl>
    <w:lvl w:ilvl="2">
      <w:start w:val="0"/>
      <w:numFmt w:val="bullet"/>
      <w:lvlText w:val="•"/>
      <w:lvlJc w:val="left"/>
      <w:pPr>
        <w:ind w:left="2356" w:hanging="720"/>
      </w:pPr>
      <w:rPr>
        <w:rFonts w:hint="default"/>
      </w:rPr>
    </w:lvl>
    <w:lvl w:ilvl="3">
      <w:start w:val="0"/>
      <w:numFmt w:val="bullet"/>
      <w:lvlText w:val="•"/>
      <w:lvlJc w:val="left"/>
      <w:pPr>
        <w:ind w:left="3472" w:hanging="720"/>
      </w:pPr>
      <w:rPr>
        <w:rFonts w:hint="default"/>
      </w:rPr>
    </w:lvl>
    <w:lvl w:ilvl="4">
      <w:start w:val="0"/>
      <w:numFmt w:val="bullet"/>
      <w:lvlText w:val="•"/>
      <w:lvlJc w:val="left"/>
      <w:pPr>
        <w:ind w:left="4588" w:hanging="720"/>
      </w:pPr>
      <w:rPr>
        <w:rFonts w:hint="default"/>
      </w:rPr>
    </w:lvl>
    <w:lvl w:ilvl="5">
      <w:start w:val="0"/>
      <w:numFmt w:val="bullet"/>
      <w:lvlText w:val="•"/>
      <w:lvlJc w:val="left"/>
      <w:pPr>
        <w:ind w:left="5704" w:hanging="720"/>
      </w:pPr>
      <w:rPr>
        <w:rFonts w:hint="default"/>
      </w:rPr>
    </w:lvl>
    <w:lvl w:ilvl="6">
      <w:start w:val="0"/>
      <w:numFmt w:val="bullet"/>
      <w:lvlText w:val="•"/>
      <w:lvlJc w:val="left"/>
      <w:pPr>
        <w:ind w:left="6820" w:hanging="720"/>
      </w:pPr>
      <w:rPr>
        <w:rFonts w:hint="default"/>
      </w:rPr>
    </w:lvl>
    <w:lvl w:ilvl="7">
      <w:start w:val="0"/>
      <w:numFmt w:val="bullet"/>
      <w:lvlText w:val="•"/>
      <w:lvlJc w:val="left"/>
      <w:pPr>
        <w:ind w:left="7937" w:hanging="720"/>
      </w:pPr>
      <w:rPr>
        <w:rFonts w:hint="default"/>
      </w:rPr>
    </w:lvl>
    <w:lvl w:ilvl="8">
      <w:start w:val="0"/>
      <w:numFmt w:val="bullet"/>
      <w:lvlText w:val="•"/>
      <w:lvlJc w:val="left"/>
      <w:pPr>
        <w:ind w:left="9053" w:hanging="720"/>
      </w:pPr>
      <w:rPr>
        <w:rFonts w:hint="default"/>
      </w:rPr>
    </w:lvl>
  </w:abstractNum>
  <w:abstractNum w:abstractNumId="123">
    <w:multiLevelType w:val="hybridMultilevel"/>
    <w:lvl w:ilvl="0">
      <w:start w:val="1"/>
      <w:numFmt w:val="decimal"/>
      <w:lvlText w:val="%1."/>
      <w:lvlJc w:val="left"/>
      <w:pPr>
        <w:ind w:left="1194" w:hanging="681"/>
        <w:jc w:val="left"/>
      </w:pPr>
      <w:rPr>
        <w:rFonts w:hint="default" w:ascii="Verdana" w:hAnsi="Verdana" w:eastAsia="Verdana" w:cs="Verdana"/>
        <w:color w:val="231F20"/>
        <w:spacing w:val="-5"/>
        <w:w w:val="111"/>
        <w:sz w:val="18"/>
        <w:szCs w:val="18"/>
      </w:rPr>
    </w:lvl>
    <w:lvl w:ilvl="1">
      <w:start w:val="0"/>
      <w:numFmt w:val="bullet"/>
      <w:lvlText w:val="•"/>
      <w:lvlJc w:val="left"/>
      <w:pPr>
        <w:ind w:left="2208" w:hanging="681"/>
      </w:pPr>
      <w:rPr>
        <w:rFonts w:hint="default"/>
      </w:rPr>
    </w:lvl>
    <w:lvl w:ilvl="2">
      <w:start w:val="0"/>
      <w:numFmt w:val="bullet"/>
      <w:lvlText w:val="•"/>
      <w:lvlJc w:val="left"/>
      <w:pPr>
        <w:ind w:left="3217" w:hanging="681"/>
      </w:pPr>
      <w:rPr>
        <w:rFonts w:hint="default"/>
      </w:rPr>
    </w:lvl>
    <w:lvl w:ilvl="3">
      <w:start w:val="0"/>
      <w:numFmt w:val="bullet"/>
      <w:lvlText w:val="•"/>
      <w:lvlJc w:val="left"/>
      <w:pPr>
        <w:ind w:left="4225" w:hanging="681"/>
      </w:pPr>
      <w:rPr>
        <w:rFonts w:hint="default"/>
      </w:rPr>
    </w:lvl>
    <w:lvl w:ilvl="4">
      <w:start w:val="0"/>
      <w:numFmt w:val="bullet"/>
      <w:lvlText w:val="•"/>
      <w:lvlJc w:val="left"/>
      <w:pPr>
        <w:ind w:left="5234" w:hanging="681"/>
      </w:pPr>
      <w:rPr>
        <w:rFonts w:hint="default"/>
      </w:rPr>
    </w:lvl>
    <w:lvl w:ilvl="5">
      <w:start w:val="0"/>
      <w:numFmt w:val="bullet"/>
      <w:lvlText w:val="•"/>
      <w:lvlJc w:val="left"/>
      <w:pPr>
        <w:ind w:left="6242" w:hanging="681"/>
      </w:pPr>
      <w:rPr>
        <w:rFonts w:hint="default"/>
      </w:rPr>
    </w:lvl>
    <w:lvl w:ilvl="6">
      <w:start w:val="0"/>
      <w:numFmt w:val="bullet"/>
      <w:lvlText w:val="•"/>
      <w:lvlJc w:val="left"/>
      <w:pPr>
        <w:ind w:left="7251" w:hanging="681"/>
      </w:pPr>
      <w:rPr>
        <w:rFonts w:hint="default"/>
      </w:rPr>
    </w:lvl>
    <w:lvl w:ilvl="7">
      <w:start w:val="0"/>
      <w:numFmt w:val="bullet"/>
      <w:lvlText w:val="•"/>
      <w:lvlJc w:val="left"/>
      <w:pPr>
        <w:ind w:left="8259" w:hanging="681"/>
      </w:pPr>
      <w:rPr>
        <w:rFonts w:hint="default"/>
      </w:rPr>
    </w:lvl>
    <w:lvl w:ilvl="8">
      <w:start w:val="0"/>
      <w:numFmt w:val="bullet"/>
      <w:lvlText w:val="•"/>
      <w:lvlJc w:val="left"/>
      <w:pPr>
        <w:ind w:left="9268" w:hanging="681"/>
      </w:pPr>
      <w:rPr>
        <w:rFonts w:hint="default"/>
      </w:rPr>
    </w:lvl>
  </w:abstractNum>
  <w:abstractNum w:abstractNumId="122">
    <w:multiLevelType w:val="hybridMultilevel"/>
    <w:lvl w:ilvl="0">
      <w:start w:val="1"/>
      <w:numFmt w:val="decimal"/>
      <w:lvlText w:val="%1."/>
      <w:lvlJc w:val="left"/>
      <w:pPr>
        <w:ind w:left="1233" w:hanging="720"/>
        <w:jc w:val="left"/>
      </w:pPr>
      <w:rPr>
        <w:rFonts w:hint="default" w:ascii="Verdana" w:hAnsi="Verdana" w:eastAsia="Verdana" w:cs="Verdana"/>
        <w:b/>
        <w:bCs/>
        <w:color w:val="231F20"/>
        <w:spacing w:val="-4"/>
        <w:w w:val="110"/>
        <w:sz w:val="29"/>
        <w:szCs w:val="29"/>
      </w:rPr>
    </w:lvl>
    <w:lvl w:ilvl="1">
      <w:start w:val="1"/>
      <w:numFmt w:val="decimal"/>
      <w:lvlText w:val="%1.%2"/>
      <w:lvlJc w:val="left"/>
      <w:pPr>
        <w:ind w:left="513" w:hanging="720"/>
        <w:jc w:val="left"/>
      </w:pPr>
      <w:rPr>
        <w:rFonts w:hint="default" w:ascii="Verdana" w:hAnsi="Verdana" w:eastAsia="Verdana" w:cs="Verdana"/>
        <w:color w:val="231F20"/>
        <w:spacing w:val="-10"/>
        <w:w w:val="111"/>
        <w:sz w:val="18"/>
        <w:szCs w:val="18"/>
      </w:rPr>
    </w:lvl>
    <w:lvl w:ilvl="2">
      <w:start w:val="1"/>
      <w:numFmt w:val="lowerLetter"/>
      <w:lvlText w:val="(%3)"/>
      <w:lvlJc w:val="left"/>
      <w:pPr>
        <w:ind w:left="1534" w:hanging="341"/>
        <w:jc w:val="left"/>
      </w:pPr>
      <w:rPr>
        <w:rFonts w:hint="default" w:ascii="Verdana" w:hAnsi="Verdana" w:eastAsia="Verdana" w:cs="Verdana"/>
        <w:color w:val="231F20"/>
        <w:spacing w:val="-16"/>
        <w:w w:val="111"/>
        <w:sz w:val="18"/>
        <w:szCs w:val="18"/>
      </w:rPr>
    </w:lvl>
    <w:lvl w:ilvl="3">
      <w:start w:val="0"/>
      <w:numFmt w:val="bullet"/>
      <w:lvlText w:val="•"/>
      <w:lvlJc w:val="left"/>
      <w:pPr>
        <w:ind w:left="2758" w:hanging="341"/>
      </w:pPr>
      <w:rPr>
        <w:rFonts w:hint="default"/>
      </w:rPr>
    </w:lvl>
    <w:lvl w:ilvl="4">
      <w:start w:val="0"/>
      <w:numFmt w:val="bullet"/>
      <w:lvlText w:val="•"/>
      <w:lvlJc w:val="left"/>
      <w:pPr>
        <w:ind w:left="3976" w:hanging="341"/>
      </w:pPr>
      <w:rPr>
        <w:rFonts w:hint="default"/>
      </w:rPr>
    </w:lvl>
    <w:lvl w:ilvl="5">
      <w:start w:val="0"/>
      <w:numFmt w:val="bullet"/>
      <w:lvlText w:val="•"/>
      <w:lvlJc w:val="left"/>
      <w:pPr>
        <w:ind w:left="5194" w:hanging="341"/>
      </w:pPr>
      <w:rPr>
        <w:rFonts w:hint="default"/>
      </w:rPr>
    </w:lvl>
    <w:lvl w:ilvl="6">
      <w:start w:val="0"/>
      <w:numFmt w:val="bullet"/>
      <w:lvlText w:val="•"/>
      <w:lvlJc w:val="left"/>
      <w:pPr>
        <w:ind w:left="6412" w:hanging="341"/>
      </w:pPr>
      <w:rPr>
        <w:rFonts w:hint="default"/>
      </w:rPr>
    </w:lvl>
    <w:lvl w:ilvl="7">
      <w:start w:val="0"/>
      <w:numFmt w:val="bullet"/>
      <w:lvlText w:val="•"/>
      <w:lvlJc w:val="left"/>
      <w:pPr>
        <w:ind w:left="7630" w:hanging="341"/>
      </w:pPr>
      <w:rPr>
        <w:rFonts w:hint="default"/>
      </w:rPr>
    </w:lvl>
    <w:lvl w:ilvl="8">
      <w:start w:val="0"/>
      <w:numFmt w:val="bullet"/>
      <w:lvlText w:val="•"/>
      <w:lvlJc w:val="left"/>
      <w:pPr>
        <w:ind w:left="8849" w:hanging="341"/>
      </w:pPr>
      <w:rPr>
        <w:rFonts w:hint="default"/>
      </w:rPr>
    </w:lvl>
  </w:abstractNum>
  <w:abstractNum w:abstractNumId="121">
    <w:multiLevelType w:val="hybridMultilevel"/>
    <w:lvl w:ilvl="0">
      <w:start w:val="1"/>
      <w:numFmt w:val="decimal"/>
      <w:lvlText w:val="%1"/>
      <w:lvlJc w:val="left"/>
      <w:pPr>
        <w:ind w:left="1233" w:hanging="720"/>
        <w:jc w:val="left"/>
      </w:pPr>
      <w:rPr>
        <w:rFonts w:hint="default" w:ascii="Verdana" w:hAnsi="Verdana" w:eastAsia="Verdana" w:cs="Verdana"/>
        <w:color w:val="231F20"/>
        <w:w w:val="114"/>
        <w:position w:val="4"/>
        <w:sz w:val="14"/>
        <w:szCs w:val="14"/>
      </w:rPr>
    </w:lvl>
    <w:lvl w:ilvl="1">
      <w:start w:val="1"/>
      <w:numFmt w:val="upperLetter"/>
      <w:lvlText w:val="%2."/>
      <w:lvlJc w:val="left"/>
      <w:pPr>
        <w:ind w:left="1687" w:hanging="721"/>
        <w:jc w:val="right"/>
      </w:pPr>
      <w:rPr>
        <w:rFonts w:hint="default" w:ascii="Verdana" w:hAnsi="Verdana" w:eastAsia="Verdana" w:cs="Verdana"/>
        <w:b/>
        <w:bCs/>
        <w:color w:val="231F20"/>
        <w:spacing w:val="0"/>
        <w:w w:val="109"/>
        <w:sz w:val="20"/>
        <w:szCs w:val="20"/>
      </w:rPr>
    </w:lvl>
    <w:lvl w:ilvl="2">
      <w:start w:val="1"/>
      <w:numFmt w:val="decimal"/>
      <w:lvlText w:val="%2.%3"/>
      <w:lvlJc w:val="left"/>
      <w:pPr>
        <w:ind w:left="1687" w:hanging="721"/>
        <w:jc w:val="right"/>
      </w:pPr>
      <w:rPr>
        <w:rFonts w:hint="default" w:ascii="Verdana" w:hAnsi="Verdana" w:eastAsia="Verdana" w:cs="Verdana"/>
        <w:color w:val="231F20"/>
        <w:spacing w:val="-10"/>
        <w:w w:val="111"/>
        <w:sz w:val="18"/>
        <w:szCs w:val="18"/>
      </w:rPr>
    </w:lvl>
    <w:lvl w:ilvl="3">
      <w:start w:val="1"/>
      <w:numFmt w:val="decimal"/>
      <w:lvlText w:val="%2.%3.%4"/>
      <w:lvlJc w:val="left"/>
      <w:pPr>
        <w:ind w:left="967" w:hanging="720"/>
        <w:jc w:val="right"/>
      </w:pPr>
      <w:rPr>
        <w:rFonts w:hint="default" w:ascii="Verdana" w:hAnsi="Verdana" w:eastAsia="Verdana" w:cs="Verdana"/>
        <w:color w:val="231F20"/>
        <w:spacing w:val="-8"/>
        <w:w w:val="111"/>
        <w:sz w:val="18"/>
        <w:szCs w:val="18"/>
      </w:rPr>
    </w:lvl>
    <w:lvl w:ilvl="4">
      <w:start w:val="0"/>
      <w:numFmt w:val="bullet"/>
      <w:lvlText w:val="•"/>
      <w:lvlJc w:val="left"/>
      <w:pPr>
        <w:ind w:left="1380" w:hanging="720"/>
      </w:pPr>
      <w:rPr>
        <w:rFonts w:hint="default"/>
      </w:rPr>
    </w:lvl>
    <w:lvl w:ilvl="5">
      <w:start w:val="0"/>
      <w:numFmt w:val="bullet"/>
      <w:lvlText w:val="•"/>
      <w:lvlJc w:val="left"/>
      <w:pPr>
        <w:ind w:left="1680" w:hanging="720"/>
      </w:pPr>
      <w:rPr>
        <w:rFonts w:hint="default"/>
      </w:rPr>
    </w:lvl>
    <w:lvl w:ilvl="6">
      <w:start w:val="0"/>
      <w:numFmt w:val="bullet"/>
      <w:lvlText w:val="•"/>
      <w:lvlJc w:val="left"/>
      <w:pPr>
        <w:ind w:left="1800" w:hanging="720"/>
      </w:pPr>
      <w:rPr>
        <w:rFonts w:hint="default"/>
      </w:rPr>
    </w:lvl>
    <w:lvl w:ilvl="7">
      <w:start w:val="0"/>
      <w:numFmt w:val="bullet"/>
      <w:lvlText w:val="•"/>
      <w:lvlJc w:val="left"/>
      <w:pPr>
        <w:ind w:left="7280" w:hanging="720"/>
      </w:pPr>
      <w:rPr>
        <w:rFonts w:hint="default"/>
      </w:rPr>
    </w:lvl>
    <w:lvl w:ilvl="8">
      <w:start w:val="0"/>
      <w:numFmt w:val="bullet"/>
      <w:lvlText w:val="•"/>
      <w:lvlJc w:val="left"/>
      <w:pPr>
        <w:ind w:left="8615" w:hanging="720"/>
      </w:pPr>
      <w:rPr>
        <w:rFonts w:hint="default"/>
      </w:rPr>
    </w:lvl>
  </w:abstractNum>
  <w:abstractNum w:abstractNumId="120">
    <w:multiLevelType w:val="hybridMultilevel"/>
    <w:lvl w:ilvl="0">
      <w:start w:val="1"/>
      <w:numFmt w:val="lowerLetter"/>
      <w:lvlText w:val="%1)"/>
      <w:lvlJc w:val="left"/>
      <w:pPr>
        <w:ind w:left="780" w:hanging="267"/>
        <w:jc w:val="left"/>
      </w:pPr>
      <w:rPr>
        <w:rFonts w:hint="default" w:ascii="Verdana" w:hAnsi="Verdana" w:eastAsia="Verdana" w:cs="Verdana"/>
        <w:color w:val="231F20"/>
        <w:spacing w:val="-15"/>
        <w:w w:val="111"/>
        <w:sz w:val="18"/>
        <w:szCs w:val="18"/>
      </w:rPr>
    </w:lvl>
    <w:lvl w:ilvl="1">
      <w:start w:val="3"/>
      <w:numFmt w:val="lowerLetter"/>
      <w:lvlText w:val="%2)"/>
      <w:lvlJc w:val="left"/>
      <w:pPr>
        <w:ind w:left="1683" w:hanging="678"/>
        <w:jc w:val="left"/>
      </w:pPr>
      <w:rPr>
        <w:rFonts w:hint="default"/>
        <w:spacing w:val="-1"/>
        <w:w w:val="110"/>
        <w:position w:val="1"/>
      </w:rPr>
    </w:lvl>
    <w:lvl w:ilvl="2">
      <w:start w:val="0"/>
      <w:numFmt w:val="bullet"/>
      <w:lvlText w:val="•"/>
      <w:lvlJc w:val="left"/>
      <w:pPr>
        <w:ind w:left="1976" w:hanging="678"/>
      </w:pPr>
      <w:rPr>
        <w:rFonts w:hint="default"/>
      </w:rPr>
    </w:lvl>
    <w:lvl w:ilvl="3">
      <w:start w:val="0"/>
      <w:numFmt w:val="bullet"/>
      <w:lvlText w:val="•"/>
      <w:lvlJc w:val="left"/>
      <w:pPr>
        <w:ind w:left="2273" w:hanging="678"/>
      </w:pPr>
      <w:rPr>
        <w:rFonts w:hint="default"/>
      </w:rPr>
    </w:lvl>
    <w:lvl w:ilvl="4">
      <w:start w:val="0"/>
      <w:numFmt w:val="bullet"/>
      <w:lvlText w:val="•"/>
      <w:lvlJc w:val="left"/>
      <w:pPr>
        <w:ind w:left="2569" w:hanging="678"/>
      </w:pPr>
      <w:rPr>
        <w:rFonts w:hint="default"/>
      </w:rPr>
    </w:lvl>
    <w:lvl w:ilvl="5">
      <w:start w:val="0"/>
      <w:numFmt w:val="bullet"/>
      <w:lvlText w:val="•"/>
      <w:lvlJc w:val="left"/>
      <w:pPr>
        <w:ind w:left="2866" w:hanging="678"/>
      </w:pPr>
      <w:rPr>
        <w:rFonts w:hint="default"/>
      </w:rPr>
    </w:lvl>
    <w:lvl w:ilvl="6">
      <w:start w:val="0"/>
      <w:numFmt w:val="bullet"/>
      <w:lvlText w:val="•"/>
      <w:lvlJc w:val="left"/>
      <w:pPr>
        <w:ind w:left="3163" w:hanging="678"/>
      </w:pPr>
      <w:rPr>
        <w:rFonts w:hint="default"/>
      </w:rPr>
    </w:lvl>
    <w:lvl w:ilvl="7">
      <w:start w:val="0"/>
      <w:numFmt w:val="bullet"/>
      <w:lvlText w:val="•"/>
      <w:lvlJc w:val="left"/>
      <w:pPr>
        <w:ind w:left="3459" w:hanging="678"/>
      </w:pPr>
      <w:rPr>
        <w:rFonts w:hint="default"/>
      </w:rPr>
    </w:lvl>
    <w:lvl w:ilvl="8">
      <w:start w:val="0"/>
      <w:numFmt w:val="bullet"/>
      <w:lvlText w:val="•"/>
      <w:lvlJc w:val="left"/>
      <w:pPr>
        <w:ind w:left="3756" w:hanging="678"/>
      </w:pPr>
      <w:rPr>
        <w:rFonts w:hint="default"/>
      </w:rPr>
    </w:lvl>
  </w:abstractNum>
  <w:abstractNum w:abstractNumId="119">
    <w:multiLevelType w:val="hybridMultilevel"/>
    <w:lvl w:ilvl="0">
      <w:start w:val="1"/>
      <w:numFmt w:val="decimal"/>
      <w:lvlText w:val="%1."/>
      <w:lvlJc w:val="left"/>
      <w:pPr>
        <w:ind w:left="1233" w:hanging="720"/>
        <w:jc w:val="right"/>
      </w:pPr>
      <w:rPr>
        <w:rFonts w:hint="default" w:ascii="Verdana" w:hAnsi="Verdana" w:eastAsia="Verdana" w:cs="Verdana"/>
        <w:b/>
        <w:bCs/>
        <w:color w:val="231F20"/>
        <w:spacing w:val="-4"/>
        <w:w w:val="110"/>
        <w:sz w:val="29"/>
        <w:szCs w:val="29"/>
      </w:rPr>
    </w:lvl>
    <w:lvl w:ilvl="1">
      <w:start w:val="1"/>
      <w:numFmt w:val="decimal"/>
      <w:lvlText w:val="%1.%2"/>
      <w:lvlJc w:val="left"/>
      <w:pPr>
        <w:ind w:left="51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1240" w:hanging="720"/>
      </w:pPr>
      <w:rPr>
        <w:rFonts w:hint="default"/>
      </w:rPr>
    </w:lvl>
    <w:lvl w:ilvl="3">
      <w:start w:val="0"/>
      <w:numFmt w:val="bullet"/>
      <w:lvlText w:val="•"/>
      <w:lvlJc w:val="left"/>
      <w:pPr>
        <w:ind w:left="1800" w:hanging="720"/>
      </w:pPr>
      <w:rPr>
        <w:rFonts w:hint="default"/>
      </w:rPr>
    </w:lvl>
    <w:lvl w:ilvl="4">
      <w:start w:val="0"/>
      <w:numFmt w:val="bullet"/>
      <w:lvlText w:val="•"/>
      <w:lvlJc w:val="left"/>
      <w:pPr>
        <w:ind w:left="3155" w:hanging="720"/>
      </w:pPr>
      <w:rPr>
        <w:rFonts w:hint="default"/>
      </w:rPr>
    </w:lvl>
    <w:lvl w:ilvl="5">
      <w:start w:val="0"/>
      <w:numFmt w:val="bullet"/>
      <w:lvlText w:val="•"/>
      <w:lvlJc w:val="left"/>
      <w:pPr>
        <w:ind w:left="4510" w:hanging="720"/>
      </w:pPr>
      <w:rPr>
        <w:rFonts w:hint="default"/>
      </w:rPr>
    </w:lvl>
    <w:lvl w:ilvl="6">
      <w:start w:val="0"/>
      <w:numFmt w:val="bullet"/>
      <w:lvlText w:val="•"/>
      <w:lvlJc w:val="left"/>
      <w:pPr>
        <w:ind w:left="5865" w:hanging="720"/>
      </w:pPr>
      <w:rPr>
        <w:rFonts w:hint="default"/>
      </w:rPr>
    </w:lvl>
    <w:lvl w:ilvl="7">
      <w:start w:val="0"/>
      <w:numFmt w:val="bullet"/>
      <w:lvlText w:val="•"/>
      <w:lvlJc w:val="left"/>
      <w:pPr>
        <w:ind w:left="7220" w:hanging="720"/>
      </w:pPr>
      <w:rPr>
        <w:rFonts w:hint="default"/>
      </w:rPr>
    </w:lvl>
    <w:lvl w:ilvl="8">
      <w:start w:val="0"/>
      <w:numFmt w:val="bullet"/>
      <w:lvlText w:val="•"/>
      <w:lvlJc w:val="left"/>
      <w:pPr>
        <w:ind w:left="8575" w:hanging="720"/>
      </w:pPr>
      <w:rPr>
        <w:rFonts w:hint="default"/>
      </w:rPr>
    </w:lvl>
  </w:abstractNum>
  <w:abstractNum w:abstractNumId="118">
    <w:multiLevelType w:val="hybridMultilevel"/>
    <w:lvl w:ilvl="0">
      <w:start w:val="1"/>
      <w:numFmt w:val="decimal"/>
      <w:lvlText w:val="%1."/>
      <w:lvlJc w:val="left"/>
      <w:pPr>
        <w:ind w:left="631" w:hanging="454"/>
        <w:jc w:val="left"/>
      </w:pPr>
      <w:rPr>
        <w:rFonts w:hint="default" w:ascii="Verdana" w:hAnsi="Verdana" w:eastAsia="Verdana" w:cs="Verdana"/>
        <w:b/>
        <w:bCs/>
        <w:color w:val="FFFFFF"/>
        <w:spacing w:val="0"/>
        <w:w w:val="111"/>
        <w:sz w:val="18"/>
        <w:szCs w:val="18"/>
      </w:rPr>
    </w:lvl>
    <w:lvl w:ilvl="1">
      <w:start w:val="0"/>
      <w:numFmt w:val="bullet"/>
      <w:lvlText w:val="•"/>
      <w:lvlJc w:val="left"/>
      <w:pPr>
        <w:ind w:left="940" w:hanging="454"/>
      </w:pPr>
      <w:rPr>
        <w:rFonts w:hint="default"/>
      </w:rPr>
    </w:lvl>
    <w:lvl w:ilvl="2">
      <w:start w:val="0"/>
      <w:numFmt w:val="bullet"/>
      <w:lvlText w:val="•"/>
      <w:lvlJc w:val="left"/>
      <w:pPr>
        <w:ind w:left="1832" w:hanging="454"/>
      </w:pPr>
      <w:rPr>
        <w:rFonts w:hint="default"/>
      </w:rPr>
    </w:lvl>
    <w:lvl w:ilvl="3">
      <w:start w:val="0"/>
      <w:numFmt w:val="bullet"/>
      <w:lvlText w:val="•"/>
      <w:lvlJc w:val="left"/>
      <w:pPr>
        <w:ind w:left="2724" w:hanging="454"/>
      </w:pPr>
      <w:rPr>
        <w:rFonts w:hint="default"/>
      </w:rPr>
    </w:lvl>
    <w:lvl w:ilvl="4">
      <w:start w:val="0"/>
      <w:numFmt w:val="bullet"/>
      <w:lvlText w:val="•"/>
      <w:lvlJc w:val="left"/>
      <w:pPr>
        <w:ind w:left="3616" w:hanging="454"/>
      </w:pPr>
      <w:rPr>
        <w:rFonts w:hint="default"/>
      </w:rPr>
    </w:lvl>
    <w:lvl w:ilvl="5">
      <w:start w:val="0"/>
      <w:numFmt w:val="bullet"/>
      <w:lvlText w:val="•"/>
      <w:lvlJc w:val="left"/>
      <w:pPr>
        <w:ind w:left="4509" w:hanging="454"/>
      </w:pPr>
      <w:rPr>
        <w:rFonts w:hint="default"/>
      </w:rPr>
    </w:lvl>
    <w:lvl w:ilvl="6">
      <w:start w:val="0"/>
      <w:numFmt w:val="bullet"/>
      <w:lvlText w:val="•"/>
      <w:lvlJc w:val="left"/>
      <w:pPr>
        <w:ind w:left="5401" w:hanging="454"/>
      </w:pPr>
      <w:rPr>
        <w:rFonts w:hint="default"/>
      </w:rPr>
    </w:lvl>
    <w:lvl w:ilvl="7">
      <w:start w:val="0"/>
      <w:numFmt w:val="bullet"/>
      <w:lvlText w:val="•"/>
      <w:lvlJc w:val="left"/>
      <w:pPr>
        <w:ind w:left="6293" w:hanging="454"/>
      </w:pPr>
      <w:rPr>
        <w:rFonts w:hint="default"/>
      </w:rPr>
    </w:lvl>
    <w:lvl w:ilvl="8">
      <w:start w:val="0"/>
      <w:numFmt w:val="bullet"/>
      <w:lvlText w:val="•"/>
      <w:lvlJc w:val="left"/>
      <w:pPr>
        <w:ind w:left="7186" w:hanging="454"/>
      </w:pPr>
      <w:rPr>
        <w:rFonts w:hint="default"/>
      </w:rPr>
    </w:lvl>
  </w:abstractNum>
  <w:abstractNum w:abstractNumId="117">
    <w:multiLevelType w:val="hybridMultilevel"/>
    <w:lvl w:ilvl="0">
      <w:start w:val="6"/>
      <w:numFmt w:val="decimal"/>
      <w:lvlText w:val="%1"/>
      <w:lvlJc w:val="left"/>
      <w:pPr>
        <w:ind w:left="1240" w:hanging="391"/>
        <w:jc w:val="left"/>
      </w:pPr>
      <w:rPr>
        <w:rFonts w:hint="default"/>
      </w:rPr>
    </w:lvl>
    <w:lvl w:ilvl="1">
      <w:start w:val="4"/>
      <w:numFmt w:val="decimal"/>
      <w:lvlText w:val="%1.%2"/>
      <w:lvlJc w:val="left"/>
      <w:pPr>
        <w:ind w:left="1240" w:hanging="391"/>
        <w:jc w:val="left"/>
      </w:pPr>
      <w:rPr>
        <w:rFonts w:hint="default" w:ascii="Verdana" w:hAnsi="Verdana" w:eastAsia="Verdana" w:cs="Verdana"/>
        <w:spacing w:val="-6"/>
        <w:w w:val="111"/>
        <w:sz w:val="18"/>
        <w:szCs w:val="18"/>
      </w:rPr>
    </w:lvl>
    <w:lvl w:ilvl="2">
      <w:start w:val="1"/>
      <w:numFmt w:val="decimal"/>
      <w:lvlText w:val="%3."/>
      <w:lvlJc w:val="left"/>
      <w:pPr>
        <w:ind w:left="1921" w:hanging="454"/>
        <w:jc w:val="left"/>
      </w:pPr>
      <w:rPr>
        <w:rFonts w:hint="default" w:ascii="Verdana" w:hAnsi="Verdana" w:eastAsia="Verdana" w:cs="Verdana"/>
        <w:b/>
        <w:bCs/>
        <w:color w:val="FFFFFF"/>
        <w:spacing w:val="0"/>
        <w:w w:val="111"/>
        <w:sz w:val="18"/>
        <w:szCs w:val="18"/>
      </w:rPr>
    </w:lvl>
    <w:lvl w:ilvl="3">
      <w:start w:val="0"/>
      <w:numFmt w:val="bullet"/>
      <w:lvlText w:val="•"/>
      <w:lvlJc w:val="left"/>
      <w:pPr>
        <w:ind w:left="3250" w:hanging="454"/>
      </w:pPr>
      <w:rPr>
        <w:rFonts w:hint="default"/>
      </w:rPr>
    </w:lvl>
    <w:lvl w:ilvl="4">
      <w:start w:val="0"/>
      <w:numFmt w:val="bullet"/>
      <w:lvlText w:val="•"/>
      <w:lvlJc w:val="left"/>
      <w:pPr>
        <w:ind w:left="4421" w:hanging="454"/>
      </w:pPr>
      <w:rPr>
        <w:rFonts w:hint="default"/>
      </w:rPr>
    </w:lvl>
    <w:lvl w:ilvl="5">
      <w:start w:val="0"/>
      <w:numFmt w:val="bullet"/>
      <w:lvlText w:val="•"/>
      <w:lvlJc w:val="left"/>
      <w:pPr>
        <w:ind w:left="5592" w:hanging="454"/>
      </w:pPr>
      <w:rPr>
        <w:rFonts w:hint="default"/>
      </w:rPr>
    </w:lvl>
    <w:lvl w:ilvl="6">
      <w:start w:val="0"/>
      <w:numFmt w:val="bullet"/>
      <w:lvlText w:val="•"/>
      <w:lvlJc w:val="left"/>
      <w:pPr>
        <w:ind w:left="6762" w:hanging="454"/>
      </w:pPr>
      <w:rPr>
        <w:rFonts w:hint="default"/>
      </w:rPr>
    </w:lvl>
    <w:lvl w:ilvl="7">
      <w:start w:val="0"/>
      <w:numFmt w:val="bullet"/>
      <w:lvlText w:val="•"/>
      <w:lvlJc w:val="left"/>
      <w:pPr>
        <w:ind w:left="7933" w:hanging="454"/>
      </w:pPr>
      <w:rPr>
        <w:rFonts w:hint="default"/>
      </w:rPr>
    </w:lvl>
    <w:lvl w:ilvl="8">
      <w:start w:val="0"/>
      <w:numFmt w:val="bullet"/>
      <w:lvlText w:val="•"/>
      <w:lvlJc w:val="left"/>
      <w:pPr>
        <w:ind w:left="9104" w:hanging="454"/>
      </w:pPr>
      <w:rPr>
        <w:rFonts w:hint="default"/>
      </w:rPr>
    </w:lvl>
  </w:abstractNum>
  <w:abstractNum w:abstractNumId="116">
    <w:multiLevelType w:val="hybridMultilevel"/>
    <w:lvl w:ilvl="0">
      <w:start w:val="1"/>
      <w:numFmt w:val="decimal"/>
      <w:lvlText w:val="%1."/>
      <w:lvlJc w:val="left"/>
      <w:pPr>
        <w:ind w:left="1354" w:hanging="681"/>
        <w:jc w:val="left"/>
      </w:pPr>
      <w:rPr>
        <w:rFonts w:hint="default" w:ascii="Verdana" w:hAnsi="Verdana" w:eastAsia="Verdana" w:cs="Verdana"/>
        <w:spacing w:val="-5"/>
        <w:w w:val="111"/>
        <w:sz w:val="18"/>
        <w:szCs w:val="18"/>
      </w:rPr>
    </w:lvl>
    <w:lvl w:ilvl="1">
      <w:start w:val="1"/>
      <w:numFmt w:val="decimal"/>
      <w:lvlText w:val="%2."/>
      <w:lvlJc w:val="left"/>
      <w:pPr>
        <w:ind w:left="1354" w:hanging="454"/>
        <w:jc w:val="left"/>
      </w:pPr>
      <w:rPr>
        <w:rFonts w:hint="default" w:ascii="Verdana" w:hAnsi="Verdana" w:eastAsia="Verdana" w:cs="Verdana"/>
        <w:b/>
        <w:bCs/>
        <w:color w:val="FFFFFF"/>
        <w:spacing w:val="0"/>
        <w:w w:val="111"/>
        <w:sz w:val="18"/>
        <w:szCs w:val="18"/>
      </w:rPr>
    </w:lvl>
    <w:lvl w:ilvl="2">
      <w:start w:val="0"/>
      <w:numFmt w:val="bullet"/>
      <w:lvlText w:val="•"/>
      <w:lvlJc w:val="left"/>
      <w:pPr>
        <w:ind w:left="1921" w:hanging="681"/>
      </w:pPr>
      <w:rPr>
        <w:rFonts w:hint="default" w:ascii="Verdana" w:hAnsi="Verdana" w:eastAsia="Verdana" w:cs="Verdana"/>
        <w:color w:val="231F20"/>
        <w:w w:val="111"/>
        <w:position w:val="-3"/>
        <w:sz w:val="25"/>
        <w:szCs w:val="25"/>
      </w:rPr>
    </w:lvl>
    <w:lvl w:ilvl="3">
      <w:start w:val="0"/>
      <w:numFmt w:val="bullet"/>
      <w:lvlText w:val="•"/>
      <w:lvlJc w:val="left"/>
      <w:pPr>
        <w:ind w:left="4036" w:hanging="681"/>
      </w:pPr>
      <w:rPr>
        <w:rFonts w:hint="default"/>
      </w:rPr>
    </w:lvl>
    <w:lvl w:ilvl="4">
      <w:start w:val="0"/>
      <w:numFmt w:val="bullet"/>
      <w:lvlText w:val="•"/>
      <w:lvlJc w:val="left"/>
      <w:pPr>
        <w:ind w:left="509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211" w:hanging="681"/>
      </w:pPr>
      <w:rPr>
        <w:rFonts w:hint="default"/>
      </w:rPr>
    </w:lvl>
    <w:lvl w:ilvl="7">
      <w:start w:val="0"/>
      <w:numFmt w:val="bullet"/>
      <w:lvlText w:val="•"/>
      <w:lvlJc w:val="left"/>
      <w:pPr>
        <w:ind w:left="8270" w:hanging="681"/>
      </w:pPr>
      <w:rPr>
        <w:rFonts w:hint="default"/>
      </w:rPr>
    </w:lvl>
    <w:lvl w:ilvl="8">
      <w:start w:val="0"/>
      <w:numFmt w:val="bullet"/>
      <w:lvlText w:val="•"/>
      <w:lvlJc w:val="left"/>
      <w:pPr>
        <w:ind w:left="9328" w:hanging="681"/>
      </w:pPr>
      <w:rPr>
        <w:rFonts w:hint="default"/>
      </w:rPr>
    </w:lvl>
  </w:abstractNum>
  <w:abstractNum w:abstractNumId="115">
    <w:multiLevelType w:val="hybridMultilevel"/>
    <w:lvl w:ilvl="0">
      <w:start w:val="1"/>
      <w:numFmt w:val="decimal"/>
      <w:lvlText w:val="%1."/>
      <w:lvlJc w:val="left"/>
      <w:pPr>
        <w:ind w:left="660" w:hanging="454"/>
        <w:jc w:val="left"/>
      </w:pPr>
      <w:rPr>
        <w:rFonts w:hint="default" w:ascii="Verdana" w:hAnsi="Verdana" w:eastAsia="Verdana" w:cs="Verdana"/>
        <w:b/>
        <w:bCs/>
        <w:color w:val="FFFFFF"/>
        <w:spacing w:val="0"/>
        <w:w w:val="111"/>
        <w:sz w:val="18"/>
        <w:szCs w:val="18"/>
      </w:rPr>
    </w:lvl>
    <w:lvl w:ilvl="1">
      <w:start w:val="0"/>
      <w:numFmt w:val="bullet"/>
      <w:lvlText w:val="•"/>
      <w:lvlJc w:val="left"/>
      <w:pPr>
        <w:ind w:left="1491" w:hanging="454"/>
      </w:pPr>
      <w:rPr>
        <w:rFonts w:hint="default"/>
      </w:rPr>
    </w:lvl>
    <w:lvl w:ilvl="2">
      <w:start w:val="0"/>
      <w:numFmt w:val="bullet"/>
      <w:lvlText w:val="•"/>
      <w:lvlJc w:val="left"/>
      <w:pPr>
        <w:ind w:left="2322" w:hanging="454"/>
      </w:pPr>
      <w:rPr>
        <w:rFonts w:hint="default"/>
      </w:rPr>
    </w:lvl>
    <w:lvl w:ilvl="3">
      <w:start w:val="0"/>
      <w:numFmt w:val="bullet"/>
      <w:lvlText w:val="•"/>
      <w:lvlJc w:val="left"/>
      <w:pPr>
        <w:ind w:left="3153" w:hanging="454"/>
      </w:pPr>
      <w:rPr>
        <w:rFonts w:hint="default"/>
      </w:rPr>
    </w:lvl>
    <w:lvl w:ilvl="4">
      <w:start w:val="0"/>
      <w:numFmt w:val="bullet"/>
      <w:lvlText w:val="•"/>
      <w:lvlJc w:val="left"/>
      <w:pPr>
        <w:ind w:left="3984" w:hanging="454"/>
      </w:pPr>
      <w:rPr>
        <w:rFonts w:hint="default"/>
      </w:rPr>
    </w:lvl>
    <w:lvl w:ilvl="5">
      <w:start w:val="0"/>
      <w:numFmt w:val="bullet"/>
      <w:lvlText w:val="•"/>
      <w:lvlJc w:val="left"/>
      <w:pPr>
        <w:ind w:left="4815" w:hanging="454"/>
      </w:pPr>
      <w:rPr>
        <w:rFonts w:hint="default"/>
      </w:rPr>
    </w:lvl>
    <w:lvl w:ilvl="6">
      <w:start w:val="0"/>
      <w:numFmt w:val="bullet"/>
      <w:lvlText w:val="•"/>
      <w:lvlJc w:val="left"/>
      <w:pPr>
        <w:ind w:left="5646" w:hanging="454"/>
      </w:pPr>
      <w:rPr>
        <w:rFonts w:hint="default"/>
      </w:rPr>
    </w:lvl>
    <w:lvl w:ilvl="7">
      <w:start w:val="0"/>
      <w:numFmt w:val="bullet"/>
      <w:lvlText w:val="•"/>
      <w:lvlJc w:val="left"/>
      <w:pPr>
        <w:ind w:left="6477" w:hanging="454"/>
      </w:pPr>
      <w:rPr>
        <w:rFonts w:hint="default"/>
      </w:rPr>
    </w:lvl>
    <w:lvl w:ilvl="8">
      <w:start w:val="0"/>
      <w:numFmt w:val="bullet"/>
      <w:lvlText w:val="•"/>
      <w:lvlJc w:val="left"/>
      <w:pPr>
        <w:ind w:left="7308" w:hanging="454"/>
      </w:pPr>
      <w:rPr>
        <w:rFonts w:hint="default"/>
      </w:rPr>
    </w:lvl>
  </w:abstractNum>
  <w:abstractNum w:abstractNumId="114">
    <w:multiLevelType w:val="hybridMultilevel"/>
    <w:lvl w:ilvl="0">
      <w:start w:val="1"/>
      <w:numFmt w:val="decimal"/>
      <w:lvlText w:val="%1."/>
      <w:lvlJc w:val="left"/>
      <w:pPr>
        <w:ind w:left="600" w:hanging="454"/>
        <w:jc w:val="left"/>
      </w:pPr>
      <w:rPr>
        <w:rFonts w:hint="default" w:ascii="Verdana" w:hAnsi="Verdana" w:eastAsia="Verdana" w:cs="Verdana"/>
        <w:b/>
        <w:bCs/>
        <w:color w:val="FFFFFF"/>
        <w:spacing w:val="0"/>
        <w:w w:val="111"/>
        <w:sz w:val="18"/>
        <w:szCs w:val="18"/>
      </w:rPr>
    </w:lvl>
    <w:lvl w:ilvl="1">
      <w:start w:val="0"/>
      <w:numFmt w:val="bullet"/>
      <w:lvlText w:val="•"/>
      <w:lvlJc w:val="left"/>
      <w:pPr>
        <w:ind w:left="1437" w:hanging="454"/>
      </w:pPr>
      <w:rPr>
        <w:rFonts w:hint="default"/>
      </w:rPr>
    </w:lvl>
    <w:lvl w:ilvl="2">
      <w:start w:val="0"/>
      <w:numFmt w:val="bullet"/>
      <w:lvlText w:val="•"/>
      <w:lvlJc w:val="left"/>
      <w:pPr>
        <w:ind w:left="2274" w:hanging="454"/>
      </w:pPr>
      <w:rPr>
        <w:rFonts w:hint="default"/>
      </w:rPr>
    </w:lvl>
    <w:lvl w:ilvl="3">
      <w:start w:val="0"/>
      <w:numFmt w:val="bullet"/>
      <w:lvlText w:val="•"/>
      <w:lvlJc w:val="left"/>
      <w:pPr>
        <w:ind w:left="3111" w:hanging="454"/>
      </w:pPr>
      <w:rPr>
        <w:rFonts w:hint="default"/>
      </w:rPr>
    </w:lvl>
    <w:lvl w:ilvl="4">
      <w:start w:val="0"/>
      <w:numFmt w:val="bullet"/>
      <w:lvlText w:val="•"/>
      <w:lvlJc w:val="left"/>
      <w:pPr>
        <w:ind w:left="3948" w:hanging="454"/>
      </w:pPr>
      <w:rPr>
        <w:rFonts w:hint="default"/>
      </w:rPr>
    </w:lvl>
    <w:lvl w:ilvl="5">
      <w:start w:val="0"/>
      <w:numFmt w:val="bullet"/>
      <w:lvlText w:val="•"/>
      <w:lvlJc w:val="left"/>
      <w:pPr>
        <w:ind w:left="4785" w:hanging="454"/>
      </w:pPr>
      <w:rPr>
        <w:rFonts w:hint="default"/>
      </w:rPr>
    </w:lvl>
    <w:lvl w:ilvl="6">
      <w:start w:val="0"/>
      <w:numFmt w:val="bullet"/>
      <w:lvlText w:val="•"/>
      <w:lvlJc w:val="left"/>
      <w:pPr>
        <w:ind w:left="5622" w:hanging="454"/>
      </w:pPr>
      <w:rPr>
        <w:rFonts w:hint="default"/>
      </w:rPr>
    </w:lvl>
    <w:lvl w:ilvl="7">
      <w:start w:val="0"/>
      <w:numFmt w:val="bullet"/>
      <w:lvlText w:val="•"/>
      <w:lvlJc w:val="left"/>
      <w:pPr>
        <w:ind w:left="6459" w:hanging="454"/>
      </w:pPr>
      <w:rPr>
        <w:rFonts w:hint="default"/>
      </w:rPr>
    </w:lvl>
    <w:lvl w:ilvl="8">
      <w:start w:val="0"/>
      <w:numFmt w:val="bullet"/>
      <w:lvlText w:val="•"/>
      <w:lvlJc w:val="left"/>
      <w:pPr>
        <w:ind w:left="7296" w:hanging="454"/>
      </w:pPr>
      <w:rPr>
        <w:rFonts w:hint="default"/>
      </w:rPr>
    </w:lvl>
  </w:abstractNum>
  <w:abstractNum w:abstractNumId="113">
    <w:multiLevelType w:val="hybridMultilevel"/>
    <w:lvl w:ilvl="0">
      <w:start w:val="1"/>
      <w:numFmt w:val="decimal"/>
      <w:lvlText w:val="(%1)"/>
      <w:lvlJc w:val="left"/>
      <w:pPr>
        <w:ind w:left="1832" w:hanging="681"/>
        <w:jc w:val="left"/>
      </w:pPr>
      <w:rPr>
        <w:rFonts w:hint="default" w:ascii="Verdana" w:hAnsi="Verdana" w:eastAsia="Verdana" w:cs="Verdana"/>
        <w:spacing w:val="-12"/>
        <w:w w:val="114"/>
        <w:sz w:val="14"/>
        <w:szCs w:val="14"/>
      </w:rPr>
    </w:lvl>
    <w:lvl w:ilvl="1">
      <w:start w:val="0"/>
      <w:numFmt w:val="bullet"/>
      <w:lvlText w:val="•"/>
      <w:lvlJc w:val="left"/>
      <w:pPr>
        <w:ind w:left="2800" w:hanging="681"/>
      </w:pPr>
      <w:rPr>
        <w:rFonts w:hint="default"/>
      </w:rPr>
    </w:lvl>
    <w:lvl w:ilvl="2">
      <w:start w:val="0"/>
      <w:numFmt w:val="bullet"/>
      <w:lvlText w:val="•"/>
      <w:lvlJc w:val="left"/>
      <w:pPr>
        <w:ind w:left="3761" w:hanging="681"/>
      </w:pPr>
      <w:rPr>
        <w:rFonts w:hint="default"/>
      </w:rPr>
    </w:lvl>
    <w:lvl w:ilvl="3">
      <w:start w:val="0"/>
      <w:numFmt w:val="bullet"/>
      <w:lvlText w:val="•"/>
      <w:lvlJc w:val="left"/>
      <w:pPr>
        <w:ind w:left="4721" w:hanging="681"/>
      </w:pPr>
      <w:rPr>
        <w:rFonts w:hint="default"/>
      </w:rPr>
    </w:lvl>
    <w:lvl w:ilvl="4">
      <w:start w:val="0"/>
      <w:numFmt w:val="bullet"/>
      <w:lvlText w:val="•"/>
      <w:lvlJc w:val="left"/>
      <w:pPr>
        <w:ind w:left="5682" w:hanging="681"/>
      </w:pPr>
      <w:rPr>
        <w:rFonts w:hint="default"/>
      </w:rPr>
    </w:lvl>
    <w:lvl w:ilvl="5">
      <w:start w:val="0"/>
      <w:numFmt w:val="bullet"/>
      <w:lvlText w:val="•"/>
      <w:lvlJc w:val="left"/>
      <w:pPr>
        <w:ind w:left="6642" w:hanging="681"/>
      </w:pPr>
      <w:rPr>
        <w:rFonts w:hint="default"/>
      </w:rPr>
    </w:lvl>
    <w:lvl w:ilvl="6">
      <w:start w:val="0"/>
      <w:numFmt w:val="bullet"/>
      <w:lvlText w:val="•"/>
      <w:lvlJc w:val="left"/>
      <w:pPr>
        <w:ind w:left="7603" w:hanging="681"/>
      </w:pPr>
      <w:rPr>
        <w:rFonts w:hint="default"/>
      </w:rPr>
    </w:lvl>
    <w:lvl w:ilvl="7">
      <w:start w:val="0"/>
      <w:numFmt w:val="bullet"/>
      <w:lvlText w:val="•"/>
      <w:lvlJc w:val="left"/>
      <w:pPr>
        <w:ind w:left="8563" w:hanging="681"/>
      </w:pPr>
      <w:rPr>
        <w:rFonts w:hint="default"/>
      </w:rPr>
    </w:lvl>
    <w:lvl w:ilvl="8">
      <w:start w:val="0"/>
      <w:numFmt w:val="bullet"/>
      <w:lvlText w:val="•"/>
      <w:lvlJc w:val="left"/>
      <w:pPr>
        <w:ind w:left="9524" w:hanging="681"/>
      </w:pPr>
      <w:rPr>
        <w:rFonts w:hint="default"/>
      </w:rPr>
    </w:lvl>
  </w:abstractNum>
  <w:abstractNum w:abstractNumId="112">
    <w:multiLevelType w:val="hybridMultilevel"/>
    <w:lvl w:ilvl="0">
      <w:start w:val="1"/>
      <w:numFmt w:val="decimal"/>
      <w:lvlText w:val="%1."/>
      <w:lvlJc w:val="left"/>
      <w:pPr>
        <w:ind w:left="630" w:hanging="454"/>
        <w:jc w:val="left"/>
      </w:pPr>
      <w:rPr>
        <w:rFonts w:hint="default" w:ascii="Verdana" w:hAnsi="Verdana" w:eastAsia="Verdana" w:cs="Verdana"/>
        <w:b/>
        <w:bCs/>
        <w:color w:val="FFFFFF"/>
        <w:spacing w:val="0"/>
        <w:w w:val="111"/>
        <w:sz w:val="18"/>
        <w:szCs w:val="18"/>
      </w:rPr>
    </w:lvl>
    <w:lvl w:ilvl="1">
      <w:start w:val="0"/>
      <w:numFmt w:val="bullet"/>
      <w:lvlText w:val="•"/>
      <w:lvlJc w:val="left"/>
      <w:pPr>
        <w:ind w:left="1473" w:hanging="454"/>
      </w:pPr>
      <w:rPr>
        <w:rFonts w:hint="default"/>
      </w:rPr>
    </w:lvl>
    <w:lvl w:ilvl="2">
      <w:start w:val="0"/>
      <w:numFmt w:val="bullet"/>
      <w:lvlText w:val="•"/>
      <w:lvlJc w:val="left"/>
      <w:pPr>
        <w:ind w:left="2306" w:hanging="454"/>
      </w:pPr>
      <w:rPr>
        <w:rFonts w:hint="default"/>
      </w:rPr>
    </w:lvl>
    <w:lvl w:ilvl="3">
      <w:start w:val="0"/>
      <w:numFmt w:val="bullet"/>
      <w:lvlText w:val="•"/>
      <w:lvlJc w:val="left"/>
      <w:pPr>
        <w:ind w:left="3139" w:hanging="454"/>
      </w:pPr>
      <w:rPr>
        <w:rFonts w:hint="default"/>
      </w:rPr>
    </w:lvl>
    <w:lvl w:ilvl="4">
      <w:start w:val="0"/>
      <w:numFmt w:val="bullet"/>
      <w:lvlText w:val="•"/>
      <w:lvlJc w:val="left"/>
      <w:pPr>
        <w:ind w:left="3972" w:hanging="454"/>
      </w:pPr>
      <w:rPr>
        <w:rFonts w:hint="default"/>
      </w:rPr>
    </w:lvl>
    <w:lvl w:ilvl="5">
      <w:start w:val="0"/>
      <w:numFmt w:val="bullet"/>
      <w:lvlText w:val="•"/>
      <w:lvlJc w:val="left"/>
      <w:pPr>
        <w:ind w:left="4805" w:hanging="454"/>
      </w:pPr>
      <w:rPr>
        <w:rFonts w:hint="default"/>
      </w:rPr>
    </w:lvl>
    <w:lvl w:ilvl="6">
      <w:start w:val="0"/>
      <w:numFmt w:val="bullet"/>
      <w:lvlText w:val="•"/>
      <w:lvlJc w:val="left"/>
      <w:pPr>
        <w:ind w:left="5638" w:hanging="454"/>
      </w:pPr>
      <w:rPr>
        <w:rFonts w:hint="default"/>
      </w:rPr>
    </w:lvl>
    <w:lvl w:ilvl="7">
      <w:start w:val="0"/>
      <w:numFmt w:val="bullet"/>
      <w:lvlText w:val="•"/>
      <w:lvlJc w:val="left"/>
      <w:pPr>
        <w:ind w:left="6471" w:hanging="454"/>
      </w:pPr>
      <w:rPr>
        <w:rFonts w:hint="default"/>
      </w:rPr>
    </w:lvl>
    <w:lvl w:ilvl="8">
      <w:start w:val="0"/>
      <w:numFmt w:val="bullet"/>
      <w:lvlText w:val="•"/>
      <w:lvlJc w:val="left"/>
      <w:pPr>
        <w:ind w:left="7304" w:hanging="454"/>
      </w:pPr>
      <w:rPr>
        <w:rFonts w:hint="default"/>
      </w:rPr>
    </w:lvl>
  </w:abstractNum>
  <w:abstractNum w:abstractNumId="111">
    <w:multiLevelType w:val="hybridMultilevel"/>
    <w:lvl w:ilvl="0">
      <w:start w:val="1"/>
      <w:numFmt w:val="decimal"/>
      <w:lvlText w:val="%1."/>
      <w:lvlJc w:val="left"/>
      <w:pPr>
        <w:ind w:left="709" w:hanging="494"/>
        <w:jc w:val="left"/>
      </w:pPr>
      <w:rPr>
        <w:rFonts w:hint="default" w:ascii="Verdana" w:hAnsi="Verdana" w:eastAsia="Verdana" w:cs="Verdana"/>
        <w:b/>
        <w:bCs/>
        <w:color w:val="FFFFFF"/>
        <w:spacing w:val="0"/>
        <w:w w:val="111"/>
        <w:sz w:val="18"/>
        <w:szCs w:val="18"/>
      </w:rPr>
    </w:lvl>
    <w:lvl w:ilvl="1">
      <w:start w:val="0"/>
      <w:numFmt w:val="bullet"/>
      <w:lvlText w:val="•"/>
      <w:lvlJc w:val="left"/>
      <w:pPr>
        <w:ind w:left="1437" w:hanging="494"/>
      </w:pPr>
      <w:rPr>
        <w:rFonts w:hint="default"/>
      </w:rPr>
    </w:lvl>
    <w:lvl w:ilvl="2">
      <w:start w:val="0"/>
      <w:numFmt w:val="bullet"/>
      <w:lvlText w:val="•"/>
      <w:lvlJc w:val="left"/>
      <w:pPr>
        <w:ind w:left="2175" w:hanging="494"/>
      </w:pPr>
      <w:rPr>
        <w:rFonts w:hint="default"/>
      </w:rPr>
    </w:lvl>
    <w:lvl w:ilvl="3">
      <w:start w:val="0"/>
      <w:numFmt w:val="bullet"/>
      <w:lvlText w:val="•"/>
      <w:lvlJc w:val="left"/>
      <w:pPr>
        <w:ind w:left="2913" w:hanging="494"/>
      </w:pPr>
      <w:rPr>
        <w:rFonts w:hint="default"/>
      </w:rPr>
    </w:lvl>
    <w:lvl w:ilvl="4">
      <w:start w:val="0"/>
      <w:numFmt w:val="bullet"/>
      <w:lvlText w:val="•"/>
      <w:lvlJc w:val="left"/>
      <w:pPr>
        <w:ind w:left="3651" w:hanging="494"/>
      </w:pPr>
      <w:rPr>
        <w:rFonts w:hint="default"/>
      </w:rPr>
    </w:lvl>
    <w:lvl w:ilvl="5">
      <w:start w:val="0"/>
      <w:numFmt w:val="bullet"/>
      <w:lvlText w:val="•"/>
      <w:lvlJc w:val="left"/>
      <w:pPr>
        <w:ind w:left="4389" w:hanging="494"/>
      </w:pPr>
      <w:rPr>
        <w:rFonts w:hint="default"/>
      </w:rPr>
    </w:lvl>
    <w:lvl w:ilvl="6">
      <w:start w:val="0"/>
      <w:numFmt w:val="bullet"/>
      <w:lvlText w:val="•"/>
      <w:lvlJc w:val="left"/>
      <w:pPr>
        <w:ind w:left="5126" w:hanging="494"/>
      </w:pPr>
      <w:rPr>
        <w:rFonts w:hint="default"/>
      </w:rPr>
    </w:lvl>
    <w:lvl w:ilvl="7">
      <w:start w:val="0"/>
      <w:numFmt w:val="bullet"/>
      <w:lvlText w:val="•"/>
      <w:lvlJc w:val="left"/>
      <w:pPr>
        <w:ind w:left="5864" w:hanging="494"/>
      </w:pPr>
      <w:rPr>
        <w:rFonts w:hint="default"/>
      </w:rPr>
    </w:lvl>
    <w:lvl w:ilvl="8">
      <w:start w:val="0"/>
      <w:numFmt w:val="bullet"/>
      <w:lvlText w:val="•"/>
      <w:lvlJc w:val="left"/>
      <w:pPr>
        <w:ind w:left="6602" w:hanging="494"/>
      </w:pPr>
      <w:rPr>
        <w:rFonts w:hint="default"/>
      </w:rPr>
    </w:lvl>
  </w:abstractNum>
  <w:abstractNum w:abstractNumId="110">
    <w:multiLevelType w:val="hybridMultilevel"/>
    <w:lvl w:ilvl="0">
      <w:start w:val="0"/>
      <w:numFmt w:val="bullet"/>
      <w:lvlText w:val="•"/>
      <w:lvlJc w:val="left"/>
      <w:pPr>
        <w:ind w:left="680" w:hanging="454"/>
      </w:pPr>
      <w:rPr>
        <w:rFonts w:hint="default" w:ascii="Verdana" w:hAnsi="Verdana" w:eastAsia="Verdana" w:cs="Verdana"/>
        <w:w w:val="111"/>
        <w:sz w:val="18"/>
        <w:szCs w:val="18"/>
      </w:rPr>
    </w:lvl>
    <w:lvl w:ilvl="1">
      <w:start w:val="0"/>
      <w:numFmt w:val="bullet"/>
      <w:lvlText w:val="•"/>
      <w:lvlJc w:val="left"/>
      <w:pPr>
        <w:ind w:left="1525" w:hanging="454"/>
      </w:pPr>
      <w:rPr>
        <w:rFonts w:hint="default"/>
      </w:rPr>
    </w:lvl>
    <w:lvl w:ilvl="2">
      <w:start w:val="0"/>
      <w:numFmt w:val="bullet"/>
      <w:lvlText w:val="•"/>
      <w:lvlJc w:val="left"/>
      <w:pPr>
        <w:ind w:left="2370" w:hanging="454"/>
      </w:pPr>
      <w:rPr>
        <w:rFonts w:hint="default"/>
      </w:rPr>
    </w:lvl>
    <w:lvl w:ilvl="3">
      <w:start w:val="0"/>
      <w:numFmt w:val="bullet"/>
      <w:lvlText w:val="•"/>
      <w:lvlJc w:val="left"/>
      <w:pPr>
        <w:ind w:left="3215" w:hanging="454"/>
      </w:pPr>
      <w:rPr>
        <w:rFonts w:hint="default"/>
      </w:rPr>
    </w:lvl>
    <w:lvl w:ilvl="4">
      <w:start w:val="0"/>
      <w:numFmt w:val="bullet"/>
      <w:lvlText w:val="•"/>
      <w:lvlJc w:val="left"/>
      <w:pPr>
        <w:ind w:left="4060" w:hanging="454"/>
      </w:pPr>
      <w:rPr>
        <w:rFonts w:hint="default"/>
      </w:rPr>
    </w:lvl>
    <w:lvl w:ilvl="5">
      <w:start w:val="0"/>
      <w:numFmt w:val="bullet"/>
      <w:lvlText w:val="•"/>
      <w:lvlJc w:val="left"/>
      <w:pPr>
        <w:ind w:left="4905" w:hanging="454"/>
      </w:pPr>
      <w:rPr>
        <w:rFonts w:hint="default"/>
      </w:rPr>
    </w:lvl>
    <w:lvl w:ilvl="6">
      <w:start w:val="0"/>
      <w:numFmt w:val="bullet"/>
      <w:lvlText w:val="•"/>
      <w:lvlJc w:val="left"/>
      <w:pPr>
        <w:ind w:left="5750" w:hanging="454"/>
      </w:pPr>
      <w:rPr>
        <w:rFonts w:hint="default"/>
      </w:rPr>
    </w:lvl>
    <w:lvl w:ilvl="7">
      <w:start w:val="0"/>
      <w:numFmt w:val="bullet"/>
      <w:lvlText w:val="•"/>
      <w:lvlJc w:val="left"/>
      <w:pPr>
        <w:ind w:left="6595" w:hanging="454"/>
      </w:pPr>
      <w:rPr>
        <w:rFonts w:hint="default"/>
      </w:rPr>
    </w:lvl>
    <w:lvl w:ilvl="8">
      <w:start w:val="0"/>
      <w:numFmt w:val="bullet"/>
      <w:lvlText w:val="•"/>
      <w:lvlJc w:val="left"/>
      <w:pPr>
        <w:ind w:left="7440" w:hanging="454"/>
      </w:pPr>
      <w:rPr>
        <w:rFonts w:hint="default"/>
      </w:rPr>
    </w:lvl>
  </w:abstractNum>
  <w:abstractNum w:abstractNumId="109">
    <w:multiLevelType w:val="hybridMultilevel"/>
    <w:lvl w:ilvl="0">
      <w:start w:val="0"/>
      <w:numFmt w:val="bullet"/>
      <w:lvlText w:val="•"/>
      <w:lvlJc w:val="left"/>
      <w:pPr>
        <w:ind w:left="1921" w:hanging="681"/>
      </w:pPr>
      <w:rPr>
        <w:rFonts w:hint="default" w:ascii="Verdana" w:hAnsi="Verdana" w:eastAsia="Verdana" w:cs="Verdana"/>
        <w:w w:val="111"/>
        <w:position w:val="-3"/>
        <w:sz w:val="25"/>
        <w:szCs w:val="25"/>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108">
    <w:multiLevelType w:val="hybridMultilevel"/>
    <w:lvl w:ilvl="0">
      <w:start w:val="1"/>
      <w:numFmt w:val="decimal"/>
      <w:lvlText w:val="%1)"/>
      <w:lvlJc w:val="left"/>
      <w:pPr>
        <w:ind w:left="1921" w:hanging="681"/>
        <w:jc w:val="left"/>
      </w:pPr>
      <w:rPr>
        <w:rFonts w:hint="default" w:ascii="Verdana" w:hAnsi="Verdana" w:eastAsia="Verdana" w:cs="Verdana"/>
        <w:spacing w:val="-17"/>
        <w:w w:val="111"/>
        <w:sz w:val="18"/>
        <w:szCs w:val="18"/>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107">
    <w:multiLevelType w:val="hybridMultilevel"/>
    <w:lvl w:ilvl="0">
      <w:start w:val="1"/>
      <w:numFmt w:val="decimal"/>
      <w:lvlText w:val="%1)"/>
      <w:lvlJc w:val="left"/>
      <w:pPr>
        <w:ind w:left="2113" w:hanging="720"/>
        <w:jc w:val="left"/>
      </w:pPr>
      <w:rPr>
        <w:rFonts w:hint="default" w:ascii="Verdana" w:hAnsi="Verdana" w:eastAsia="Verdana" w:cs="Verdana"/>
        <w:b/>
        <w:bCs/>
        <w:spacing w:val="-18"/>
        <w:w w:val="111"/>
        <w:sz w:val="18"/>
        <w:szCs w:val="18"/>
      </w:rPr>
    </w:lvl>
    <w:lvl w:ilvl="1">
      <w:start w:val="0"/>
      <w:numFmt w:val="bullet"/>
      <w:lvlText w:val="•"/>
      <w:lvlJc w:val="left"/>
      <w:pPr>
        <w:ind w:left="3052" w:hanging="720"/>
      </w:pPr>
      <w:rPr>
        <w:rFonts w:hint="default"/>
      </w:rPr>
    </w:lvl>
    <w:lvl w:ilvl="2">
      <w:start w:val="0"/>
      <w:numFmt w:val="bullet"/>
      <w:lvlText w:val="•"/>
      <w:lvlJc w:val="left"/>
      <w:pPr>
        <w:ind w:left="3985" w:hanging="720"/>
      </w:pPr>
      <w:rPr>
        <w:rFonts w:hint="default"/>
      </w:rPr>
    </w:lvl>
    <w:lvl w:ilvl="3">
      <w:start w:val="0"/>
      <w:numFmt w:val="bullet"/>
      <w:lvlText w:val="•"/>
      <w:lvlJc w:val="left"/>
      <w:pPr>
        <w:ind w:left="4917" w:hanging="720"/>
      </w:pPr>
      <w:rPr>
        <w:rFonts w:hint="default"/>
      </w:rPr>
    </w:lvl>
    <w:lvl w:ilvl="4">
      <w:start w:val="0"/>
      <w:numFmt w:val="bullet"/>
      <w:lvlText w:val="•"/>
      <w:lvlJc w:val="left"/>
      <w:pPr>
        <w:ind w:left="5850" w:hanging="720"/>
      </w:pPr>
      <w:rPr>
        <w:rFonts w:hint="default"/>
      </w:rPr>
    </w:lvl>
    <w:lvl w:ilvl="5">
      <w:start w:val="0"/>
      <w:numFmt w:val="bullet"/>
      <w:lvlText w:val="•"/>
      <w:lvlJc w:val="left"/>
      <w:pPr>
        <w:ind w:left="6782" w:hanging="720"/>
      </w:pPr>
      <w:rPr>
        <w:rFonts w:hint="default"/>
      </w:rPr>
    </w:lvl>
    <w:lvl w:ilvl="6">
      <w:start w:val="0"/>
      <w:numFmt w:val="bullet"/>
      <w:lvlText w:val="•"/>
      <w:lvlJc w:val="left"/>
      <w:pPr>
        <w:ind w:left="7715" w:hanging="720"/>
      </w:pPr>
      <w:rPr>
        <w:rFonts w:hint="default"/>
      </w:rPr>
    </w:lvl>
    <w:lvl w:ilvl="7">
      <w:start w:val="0"/>
      <w:numFmt w:val="bullet"/>
      <w:lvlText w:val="•"/>
      <w:lvlJc w:val="left"/>
      <w:pPr>
        <w:ind w:left="8647" w:hanging="720"/>
      </w:pPr>
      <w:rPr>
        <w:rFonts w:hint="default"/>
      </w:rPr>
    </w:lvl>
    <w:lvl w:ilvl="8">
      <w:start w:val="0"/>
      <w:numFmt w:val="bullet"/>
      <w:lvlText w:val="•"/>
      <w:lvlJc w:val="left"/>
      <w:pPr>
        <w:ind w:left="9580" w:hanging="720"/>
      </w:pPr>
      <w:rPr>
        <w:rFonts w:hint="default"/>
      </w:rPr>
    </w:lvl>
  </w:abstractNum>
  <w:abstractNum w:abstractNumId="106">
    <w:multiLevelType w:val="hybridMultilevel"/>
    <w:lvl w:ilvl="0">
      <w:start w:val="2"/>
      <w:numFmt w:val="lowerLetter"/>
      <w:lvlText w:val="(%1)"/>
      <w:lvlJc w:val="left"/>
      <w:pPr>
        <w:ind w:left="1753" w:hanging="361"/>
        <w:jc w:val="left"/>
      </w:pPr>
      <w:rPr>
        <w:rFonts w:hint="default" w:ascii="Verdana" w:hAnsi="Verdana" w:eastAsia="Verdana" w:cs="Verdana"/>
        <w:spacing w:val="-15"/>
        <w:w w:val="111"/>
        <w:sz w:val="18"/>
        <w:szCs w:val="18"/>
      </w:rPr>
    </w:lvl>
    <w:lvl w:ilvl="1">
      <w:start w:val="0"/>
      <w:numFmt w:val="bullet"/>
      <w:lvlText w:val="•"/>
      <w:lvlJc w:val="left"/>
      <w:pPr>
        <w:ind w:left="2728" w:hanging="361"/>
      </w:pPr>
      <w:rPr>
        <w:rFonts w:hint="default"/>
      </w:rPr>
    </w:lvl>
    <w:lvl w:ilvl="2">
      <w:start w:val="0"/>
      <w:numFmt w:val="bullet"/>
      <w:lvlText w:val="•"/>
      <w:lvlJc w:val="left"/>
      <w:pPr>
        <w:ind w:left="3697" w:hanging="361"/>
      </w:pPr>
      <w:rPr>
        <w:rFonts w:hint="default"/>
      </w:rPr>
    </w:lvl>
    <w:lvl w:ilvl="3">
      <w:start w:val="0"/>
      <w:numFmt w:val="bullet"/>
      <w:lvlText w:val="•"/>
      <w:lvlJc w:val="left"/>
      <w:pPr>
        <w:ind w:left="4665" w:hanging="361"/>
      </w:pPr>
      <w:rPr>
        <w:rFonts w:hint="default"/>
      </w:rPr>
    </w:lvl>
    <w:lvl w:ilvl="4">
      <w:start w:val="0"/>
      <w:numFmt w:val="bullet"/>
      <w:lvlText w:val="•"/>
      <w:lvlJc w:val="left"/>
      <w:pPr>
        <w:ind w:left="5634" w:hanging="361"/>
      </w:pPr>
      <w:rPr>
        <w:rFonts w:hint="default"/>
      </w:rPr>
    </w:lvl>
    <w:lvl w:ilvl="5">
      <w:start w:val="0"/>
      <w:numFmt w:val="bullet"/>
      <w:lvlText w:val="•"/>
      <w:lvlJc w:val="left"/>
      <w:pPr>
        <w:ind w:left="6602" w:hanging="361"/>
      </w:pPr>
      <w:rPr>
        <w:rFonts w:hint="default"/>
      </w:rPr>
    </w:lvl>
    <w:lvl w:ilvl="6">
      <w:start w:val="0"/>
      <w:numFmt w:val="bullet"/>
      <w:lvlText w:val="•"/>
      <w:lvlJc w:val="left"/>
      <w:pPr>
        <w:ind w:left="7571" w:hanging="361"/>
      </w:pPr>
      <w:rPr>
        <w:rFonts w:hint="default"/>
      </w:rPr>
    </w:lvl>
    <w:lvl w:ilvl="7">
      <w:start w:val="0"/>
      <w:numFmt w:val="bullet"/>
      <w:lvlText w:val="•"/>
      <w:lvlJc w:val="left"/>
      <w:pPr>
        <w:ind w:left="8539" w:hanging="361"/>
      </w:pPr>
      <w:rPr>
        <w:rFonts w:hint="default"/>
      </w:rPr>
    </w:lvl>
    <w:lvl w:ilvl="8">
      <w:start w:val="0"/>
      <w:numFmt w:val="bullet"/>
      <w:lvlText w:val="•"/>
      <w:lvlJc w:val="left"/>
      <w:pPr>
        <w:ind w:left="9508" w:hanging="361"/>
      </w:pPr>
      <w:rPr>
        <w:rFonts w:hint="default"/>
      </w:rPr>
    </w:lvl>
  </w:abstractNum>
  <w:abstractNum w:abstractNumId="105">
    <w:multiLevelType w:val="hybridMultilevel"/>
    <w:lvl w:ilvl="0">
      <w:start w:val="1"/>
      <w:numFmt w:val="upperLetter"/>
      <w:lvlText w:val="%1)"/>
      <w:lvlJc w:val="left"/>
      <w:pPr>
        <w:ind w:left="1393" w:hanging="720"/>
        <w:jc w:val="right"/>
      </w:pPr>
      <w:rPr>
        <w:rFonts w:hint="default" w:ascii="Verdana" w:hAnsi="Verdana" w:eastAsia="Verdana" w:cs="Verdana"/>
        <w:b/>
        <w:bCs/>
        <w:spacing w:val="-10"/>
        <w:w w:val="111"/>
        <w:sz w:val="18"/>
        <w:szCs w:val="18"/>
      </w:rPr>
    </w:lvl>
    <w:lvl w:ilvl="1">
      <w:start w:val="1"/>
      <w:numFmt w:val="decimal"/>
      <w:lvlText w:val="%2)"/>
      <w:lvlJc w:val="left"/>
      <w:pPr>
        <w:ind w:left="2113" w:hanging="720"/>
        <w:jc w:val="left"/>
      </w:pPr>
      <w:rPr>
        <w:rFonts w:hint="default" w:ascii="Verdana" w:hAnsi="Verdana" w:eastAsia="Verdana" w:cs="Verdana"/>
        <w:b/>
        <w:bCs/>
        <w:spacing w:val="-18"/>
        <w:w w:val="111"/>
        <w:sz w:val="18"/>
        <w:szCs w:val="18"/>
      </w:rPr>
    </w:lvl>
    <w:lvl w:ilvl="2">
      <w:start w:val="0"/>
      <w:numFmt w:val="bullet"/>
      <w:lvlText w:val="•"/>
      <w:lvlJc w:val="left"/>
      <w:pPr>
        <w:ind w:left="3156" w:hanging="720"/>
      </w:pPr>
      <w:rPr>
        <w:rFonts w:hint="default"/>
      </w:rPr>
    </w:lvl>
    <w:lvl w:ilvl="3">
      <w:start w:val="0"/>
      <w:numFmt w:val="bullet"/>
      <w:lvlText w:val="•"/>
      <w:lvlJc w:val="left"/>
      <w:pPr>
        <w:ind w:left="4192" w:hanging="720"/>
      </w:pPr>
      <w:rPr>
        <w:rFonts w:hint="default"/>
      </w:rPr>
    </w:lvl>
    <w:lvl w:ilvl="4">
      <w:start w:val="0"/>
      <w:numFmt w:val="bullet"/>
      <w:lvlText w:val="•"/>
      <w:lvlJc w:val="left"/>
      <w:pPr>
        <w:ind w:left="5228" w:hanging="720"/>
      </w:pPr>
      <w:rPr>
        <w:rFonts w:hint="default"/>
      </w:rPr>
    </w:lvl>
    <w:lvl w:ilvl="5">
      <w:start w:val="0"/>
      <w:numFmt w:val="bullet"/>
      <w:lvlText w:val="•"/>
      <w:lvlJc w:val="left"/>
      <w:pPr>
        <w:ind w:left="6264" w:hanging="720"/>
      </w:pPr>
      <w:rPr>
        <w:rFonts w:hint="default"/>
      </w:rPr>
    </w:lvl>
    <w:lvl w:ilvl="6">
      <w:start w:val="0"/>
      <w:numFmt w:val="bullet"/>
      <w:lvlText w:val="•"/>
      <w:lvlJc w:val="left"/>
      <w:pPr>
        <w:ind w:left="7300" w:hanging="720"/>
      </w:pPr>
      <w:rPr>
        <w:rFonts w:hint="default"/>
      </w:rPr>
    </w:lvl>
    <w:lvl w:ilvl="7">
      <w:start w:val="0"/>
      <w:numFmt w:val="bullet"/>
      <w:lvlText w:val="•"/>
      <w:lvlJc w:val="left"/>
      <w:pPr>
        <w:ind w:left="8337" w:hanging="720"/>
      </w:pPr>
      <w:rPr>
        <w:rFonts w:hint="default"/>
      </w:rPr>
    </w:lvl>
    <w:lvl w:ilvl="8">
      <w:start w:val="0"/>
      <w:numFmt w:val="bullet"/>
      <w:lvlText w:val="•"/>
      <w:lvlJc w:val="left"/>
      <w:pPr>
        <w:ind w:left="9373" w:hanging="720"/>
      </w:pPr>
      <w:rPr>
        <w:rFonts w:hint="default"/>
      </w:rPr>
    </w:lvl>
  </w:abstractNum>
  <w:abstractNum w:abstractNumId="104">
    <w:multiLevelType w:val="hybridMultilevel"/>
    <w:lvl w:ilvl="0">
      <w:start w:val="0"/>
      <w:numFmt w:val="bullet"/>
      <w:lvlText w:val="–"/>
      <w:lvlJc w:val="left"/>
      <w:pPr>
        <w:ind w:left="1635" w:hanging="249"/>
      </w:pPr>
      <w:rPr>
        <w:rFonts w:hint="default" w:ascii="Verdana" w:hAnsi="Verdana" w:eastAsia="Verdana" w:cs="Verdana"/>
        <w:w w:val="112"/>
        <w:position w:val="-3"/>
        <w:sz w:val="25"/>
        <w:szCs w:val="25"/>
      </w:rPr>
    </w:lvl>
    <w:lvl w:ilvl="1">
      <w:start w:val="0"/>
      <w:numFmt w:val="bullet"/>
      <w:lvlText w:val="•"/>
      <w:lvlJc w:val="left"/>
      <w:pPr>
        <w:ind w:left="2620" w:hanging="249"/>
      </w:pPr>
      <w:rPr>
        <w:rFonts w:hint="default"/>
      </w:rPr>
    </w:lvl>
    <w:lvl w:ilvl="2">
      <w:start w:val="0"/>
      <w:numFmt w:val="bullet"/>
      <w:lvlText w:val="•"/>
      <w:lvlJc w:val="left"/>
      <w:pPr>
        <w:ind w:left="3601" w:hanging="249"/>
      </w:pPr>
      <w:rPr>
        <w:rFonts w:hint="default"/>
      </w:rPr>
    </w:lvl>
    <w:lvl w:ilvl="3">
      <w:start w:val="0"/>
      <w:numFmt w:val="bullet"/>
      <w:lvlText w:val="•"/>
      <w:lvlJc w:val="left"/>
      <w:pPr>
        <w:ind w:left="4581" w:hanging="249"/>
      </w:pPr>
      <w:rPr>
        <w:rFonts w:hint="default"/>
      </w:rPr>
    </w:lvl>
    <w:lvl w:ilvl="4">
      <w:start w:val="0"/>
      <w:numFmt w:val="bullet"/>
      <w:lvlText w:val="•"/>
      <w:lvlJc w:val="left"/>
      <w:pPr>
        <w:ind w:left="5562" w:hanging="249"/>
      </w:pPr>
      <w:rPr>
        <w:rFonts w:hint="default"/>
      </w:rPr>
    </w:lvl>
    <w:lvl w:ilvl="5">
      <w:start w:val="0"/>
      <w:numFmt w:val="bullet"/>
      <w:lvlText w:val="•"/>
      <w:lvlJc w:val="left"/>
      <w:pPr>
        <w:ind w:left="6542" w:hanging="249"/>
      </w:pPr>
      <w:rPr>
        <w:rFonts w:hint="default"/>
      </w:rPr>
    </w:lvl>
    <w:lvl w:ilvl="6">
      <w:start w:val="0"/>
      <w:numFmt w:val="bullet"/>
      <w:lvlText w:val="•"/>
      <w:lvlJc w:val="left"/>
      <w:pPr>
        <w:ind w:left="7523" w:hanging="249"/>
      </w:pPr>
      <w:rPr>
        <w:rFonts w:hint="default"/>
      </w:rPr>
    </w:lvl>
    <w:lvl w:ilvl="7">
      <w:start w:val="0"/>
      <w:numFmt w:val="bullet"/>
      <w:lvlText w:val="•"/>
      <w:lvlJc w:val="left"/>
      <w:pPr>
        <w:ind w:left="8503" w:hanging="249"/>
      </w:pPr>
      <w:rPr>
        <w:rFonts w:hint="default"/>
      </w:rPr>
    </w:lvl>
    <w:lvl w:ilvl="8">
      <w:start w:val="0"/>
      <w:numFmt w:val="bullet"/>
      <w:lvlText w:val="•"/>
      <w:lvlJc w:val="left"/>
      <w:pPr>
        <w:ind w:left="9484" w:hanging="249"/>
      </w:pPr>
      <w:rPr>
        <w:rFonts w:hint="default"/>
      </w:rPr>
    </w:lvl>
  </w:abstractNum>
  <w:abstractNum w:abstractNumId="103">
    <w:multiLevelType w:val="hybridMultilevel"/>
    <w:lvl w:ilvl="0">
      <w:start w:val="12"/>
      <w:numFmt w:val="decimal"/>
      <w:lvlText w:val="%1."/>
      <w:lvlJc w:val="left"/>
      <w:pPr>
        <w:ind w:left="1393" w:hanging="720"/>
        <w:jc w:val="left"/>
      </w:pPr>
      <w:rPr>
        <w:rFonts w:hint="default" w:ascii="Verdana" w:hAnsi="Verdana" w:eastAsia="Verdana" w:cs="Verdana"/>
        <w:b/>
        <w:bCs/>
        <w:spacing w:val="-14"/>
        <w:w w:val="110"/>
        <w:sz w:val="29"/>
        <w:szCs w:val="29"/>
      </w:rPr>
    </w:lvl>
    <w:lvl w:ilvl="1">
      <w:start w:val="0"/>
      <w:numFmt w:val="bullet"/>
      <w:lvlText w:val="•"/>
      <w:lvlJc w:val="left"/>
      <w:pPr>
        <w:ind w:left="1921" w:hanging="681"/>
      </w:pPr>
      <w:rPr>
        <w:rFonts w:hint="default" w:ascii="Verdana" w:hAnsi="Verdana" w:eastAsia="Verdana" w:cs="Verdana"/>
        <w:w w:val="111"/>
        <w:position w:val="-3"/>
        <w:sz w:val="25"/>
        <w:szCs w:val="25"/>
      </w:rPr>
    </w:lvl>
    <w:lvl w:ilvl="2">
      <w:start w:val="0"/>
      <w:numFmt w:val="bullet"/>
      <w:lvlText w:val="•"/>
      <w:lvlJc w:val="left"/>
      <w:pPr>
        <w:ind w:left="2978" w:hanging="681"/>
      </w:pPr>
      <w:rPr>
        <w:rFonts w:hint="default"/>
      </w:rPr>
    </w:lvl>
    <w:lvl w:ilvl="3">
      <w:start w:val="0"/>
      <w:numFmt w:val="bullet"/>
      <w:lvlText w:val="•"/>
      <w:lvlJc w:val="left"/>
      <w:pPr>
        <w:ind w:left="4036" w:hanging="681"/>
      </w:pPr>
      <w:rPr>
        <w:rFonts w:hint="default"/>
      </w:rPr>
    </w:lvl>
    <w:lvl w:ilvl="4">
      <w:start w:val="0"/>
      <w:numFmt w:val="bullet"/>
      <w:lvlText w:val="•"/>
      <w:lvlJc w:val="left"/>
      <w:pPr>
        <w:ind w:left="509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211" w:hanging="681"/>
      </w:pPr>
      <w:rPr>
        <w:rFonts w:hint="default"/>
      </w:rPr>
    </w:lvl>
    <w:lvl w:ilvl="7">
      <w:start w:val="0"/>
      <w:numFmt w:val="bullet"/>
      <w:lvlText w:val="•"/>
      <w:lvlJc w:val="left"/>
      <w:pPr>
        <w:ind w:left="8270" w:hanging="681"/>
      </w:pPr>
      <w:rPr>
        <w:rFonts w:hint="default"/>
      </w:rPr>
    </w:lvl>
    <w:lvl w:ilvl="8">
      <w:start w:val="0"/>
      <w:numFmt w:val="bullet"/>
      <w:lvlText w:val="•"/>
      <w:lvlJc w:val="left"/>
      <w:pPr>
        <w:ind w:left="9328" w:hanging="681"/>
      </w:pPr>
      <w:rPr>
        <w:rFonts w:hint="default"/>
      </w:rPr>
    </w:lvl>
  </w:abstractNum>
  <w:abstractNum w:abstractNumId="102">
    <w:multiLevelType w:val="hybridMultilevel"/>
    <w:lvl w:ilvl="0">
      <w:start w:val="1"/>
      <w:numFmt w:val="decimal"/>
      <w:lvlText w:val="%1."/>
      <w:lvlJc w:val="left"/>
      <w:pPr>
        <w:ind w:left="4888" w:hanging="681"/>
        <w:jc w:val="left"/>
      </w:pPr>
      <w:rPr>
        <w:rFonts w:hint="default" w:ascii="Verdana" w:hAnsi="Verdana" w:eastAsia="Verdana" w:cs="Verdana"/>
        <w:spacing w:val="-5"/>
        <w:w w:val="111"/>
        <w:sz w:val="18"/>
        <w:szCs w:val="18"/>
      </w:rPr>
    </w:lvl>
    <w:lvl w:ilvl="1">
      <w:start w:val="0"/>
      <w:numFmt w:val="bullet"/>
      <w:lvlText w:val="•"/>
      <w:lvlJc w:val="left"/>
      <w:pPr>
        <w:ind w:left="5536" w:hanging="681"/>
      </w:pPr>
      <w:rPr>
        <w:rFonts w:hint="default"/>
      </w:rPr>
    </w:lvl>
    <w:lvl w:ilvl="2">
      <w:start w:val="0"/>
      <w:numFmt w:val="bullet"/>
      <w:lvlText w:val="•"/>
      <w:lvlJc w:val="left"/>
      <w:pPr>
        <w:ind w:left="6193" w:hanging="681"/>
      </w:pPr>
      <w:rPr>
        <w:rFonts w:hint="default"/>
      </w:rPr>
    </w:lvl>
    <w:lvl w:ilvl="3">
      <w:start w:val="0"/>
      <w:numFmt w:val="bullet"/>
      <w:lvlText w:val="•"/>
      <w:lvlJc w:val="left"/>
      <w:pPr>
        <w:ind w:left="6849" w:hanging="681"/>
      </w:pPr>
      <w:rPr>
        <w:rFonts w:hint="default"/>
      </w:rPr>
    </w:lvl>
    <w:lvl w:ilvl="4">
      <w:start w:val="0"/>
      <w:numFmt w:val="bullet"/>
      <w:lvlText w:val="•"/>
      <w:lvlJc w:val="left"/>
      <w:pPr>
        <w:ind w:left="7506" w:hanging="681"/>
      </w:pPr>
      <w:rPr>
        <w:rFonts w:hint="default"/>
      </w:rPr>
    </w:lvl>
    <w:lvl w:ilvl="5">
      <w:start w:val="0"/>
      <w:numFmt w:val="bullet"/>
      <w:lvlText w:val="•"/>
      <w:lvlJc w:val="left"/>
      <w:pPr>
        <w:ind w:left="8162" w:hanging="681"/>
      </w:pPr>
      <w:rPr>
        <w:rFonts w:hint="default"/>
      </w:rPr>
    </w:lvl>
    <w:lvl w:ilvl="6">
      <w:start w:val="0"/>
      <w:numFmt w:val="bullet"/>
      <w:lvlText w:val="•"/>
      <w:lvlJc w:val="left"/>
      <w:pPr>
        <w:ind w:left="8819" w:hanging="681"/>
      </w:pPr>
      <w:rPr>
        <w:rFonts w:hint="default"/>
      </w:rPr>
    </w:lvl>
    <w:lvl w:ilvl="7">
      <w:start w:val="0"/>
      <w:numFmt w:val="bullet"/>
      <w:lvlText w:val="•"/>
      <w:lvlJc w:val="left"/>
      <w:pPr>
        <w:ind w:left="9475" w:hanging="681"/>
      </w:pPr>
      <w:rPr>
        <w:rFonts w:hint="default"/>
      </w:rPr>
    </w:lvl>
    <w:lvl w:ilvl="8">
      <w:start w:val="0"/>
      <w:numFmt w:val="bullet"/>
      <w:lvlText w:val="•"/>
      <w:lvlJc w:val="left"/>
      <w:pPr>
        <w:ind w:left="10132" w:hanging="681"/>
      </w:pPr>
      <w:rPr>
        <w:rFonts w:hint="default"/>
      </w:rPr>
    </w:lvl>
  </w:abstractNum>
  <w:abstractNum w:abstractNumId="101">
    <w:multiLevelType w:val="hybridMultilevel"/>
    <w:lvl w:ilvl="0">
      <w:start w:val="1"/>
      <w:numFmt w:val="decimal"/>
      <w:lvlText w:val="%1."/>
      <w:lvlJc w:val="left"/>
      <w:pPr>
        <w:ind w:left="1960" w:hanging="720"/>
        <w:jc w:val="right"/>
      </w:pPr>
      <w:rPr>
        <w:rFonts w:hint="default" w:ascii="Verdana" w:hAnsi="Verdana" w:eastAsia="Verdana" w:cs="Verdana"/>
        <w:b/>
        <w:bCs/>
        <w:spacing w:val="-4"/>
        <w:w w:val="110"/>
        <w:sz w:val="29"/>
        <w:szCs w:val="29"/>
      </w:rPr>
    </w:lvl>
    <w:lvl w:ilvl="1">
      <w:start w:val="1"/>
      <w:numFmt w:val="decimal"/>
      <w:lvlText w:val="%1.%2"/>
      <w:lvlJc w:val="left"/>
      <w:pPr>
        <w:ind w:left="1240" w:hanging="720"/>
        <w:jc w:val="left"/>
      </w:pPr>
      <w:rPr>
        <w:rFonts w:hint="default" w:ascii="Verdana" w:hAnsi="Verdana" w:eastAsia="Verdana" w:cs="Verdana"/>
        <w:spacing w:val="-8"/>
        <w:w w:val="111"/>
        <w:sz w:val="18"/>
        <w:szCs w:val="18"/>
      </w:rPr>
    </w:lvl>
    <w:lvl w:ilvl="2">
      <w:start w:val="1"/>
      <w:numFmt w:val="decimal"/>
      <w:lvlText w:val="%1.%2.%3"/>
      <w:lvlJc w:val="left"/>
      <w:pPr>
        <w:ind w:left="673" w:hanging="720"/>
        <w:jc w:val="right"/>
      </w:pPr>
      <w:rPr>
        <w:rFonts w:hint="default" w:ascii="Verdana" w:hAnsi="Verdana" w:eastAsia="Verdana" w:cs="Verdana"/>
        <w:spacing w:val="-8"/>
        <w:w w:val="111"/>
        <w:sz w:val="18"/>
        <w:szCs w:val="18"/>
      </w:rPr>
    </w:lvl>
    <w:lvl w:ilvl="3">
      <w:start w:val="0"/>
      <w:numFmt w:val="bullet"/>
      <w:lvlText w:val="•"/>
      <w:lvlJc w:val="left"/>
      <w:pPr>
        <w:ind w:left="3145" w:hanging="720"/>
      </w:pPr>
      <w:rPr>
        <w:rFonts w:hint="default"/>
      </w:rPr>
    </w:lvl>
    <w:lvl w:ilvl="4">
      <w:start w:val="0"/>
      <w:numFmt w:val="bullet"/>
      <w:lvlText w:val="•"/>
      <w:lvlJc w:val="left"/>
      <w:pPr>
        <w:ind w:left="4331" w:hanging="720"/>
      </w:pPr>
      <w:rPr>
        <w:rFonts w:hint="default"/>
      </w:rPr>
    </w:lvl>
    <w:lvl w:ilvl="5">
      <w:start w:val="0"/>
      <w:numFmt w:val="bullet"/>
      <w:lvlText w:val="•"/>
      <w:lvlJc w:val="left"/>
      <w:pPr>
        <w:ind w:left="5517" w:hanging="720"/>
      </w:pPr>
      <w:rPr>
        <w:rFonts w:hint="default"/>
      </w:rPr>
    </w:lvl>
    <w:lvl w:ilvl="6">
      <w:start w:val="0"/>
      <w:numFmt w:val="bullet"/>
      <w:lvlText w:val="•"/>
      <w:lvlJc w:val="left"/>
      <w:pPr>
        <w:ind w:left="6702" w:hanging="720"/>
      </w:pPr>
      <w:rPr>
        <w:rFonts w:hint="default"/>
      </w:rPr>
    </w:lvl>
    <w:lvl w:ilvl="7">
      <w:start w:val="0"/>
      <w:numFmt w:val="bullet"/>
      <w:lvlText w:val="•"/>
      <w:lvlJc w:val="left"/>
      <w:pPr>
        <w:ind w:left="7888" w:hanging="720"/>
      </w:pPr>
      <w:rPr>
        <w:rFonts w:hint="default"/>
      </w:rPr>
    </w:lvl>
    <w:lvl w:ilvl="8">
      <w:start w:val="0"/>
      <w:numFmt w:val="bullet"/>
      <w:lvlText w:val="•"/>
      <w:lvlJc w:val="left"/>
      <w:pPr>
        <w:ind w:left="9074" w:hanging="720"/>
      </w:pPr>
      <w:rPr>
        <w:rFonts w:hint="default"/>
      </w:rPr>
    </w:lvl>
  </w:abstractNum>
  <w:abstractNum w:abstractNumId="100">
    <w:multiLevelType w:val="hybridMultilevel"/>
    <w:lvl w:ilvl="0">
      <w:start w:val="7"/>
      <w:numFmt w:val="decimal"/>
      <w:lvlText w:val="%1."/>
      <w:lvlJc w:val="left"/>
      <w:pPr>
        <w:ind w:left="673" w:hanging="681"/>
        <w:jc w:val="left"/>
      </w:pPr>
      <w:rPr>
        <w:rFonts w:hint="default" w:ascii="Verdana" w:hAnsi="Verdana" w:eastAsia="Verdana" w:cs="Verdana"/>
        <w:color w:val="231F20"/>
        <w:spacing w:val="-25"/>
        <w:w w:val="111"/>
        <w:sz w:val="18"/>
        <w:szCs w:val="18"/>
      </w:rPr>
    </w:lvl>
    <w:lvl w:ilvl="1">
      <w:start w:val="1"/>
      <w:numFmt w:val="lowerRoman"/>
      <w:lvlText w:val="%2)"/>
      <w:lvlJc w:val="left"/>
      <w:pPr>
        <w:ind w:left="2243" w:hanging="681"/>
        <w:jc w:val="left"/>
      </w:pPr>
      <w:rPr>
        <w:rFonts w:hint="default" w:ascii="Verdana" w:hAnsi="Verdana" w:eastAsia="Verdana" w:cs="Verdana"/>
        <w:color w:val="231F20"/>
        <w:spacing w:val="-5"/>
        <w:w w:val="110"/>
        <w:sz w:val="18"/>
        <w:szCs w:val="18"/>
      </w:rPr>
    </w:lvl>
    <w:lvl w:ilvl="2">
      <w:start w:val="1"/>
      <w:numFmt w:val="decimal"/>
      <w:lvlText w:val="%3."/>
      <w:lvlJc w:val="left"/>
      <w:pPr>
        <w:ind w:left="3039" w:hanging="873"/>
        <w:jc w:val="left"/>
      </w:pPr>
      <w:rPr>
        <w:rFonts w:hint="default" w:ascii="Verdana" w:hAnsi="Verdana" w:eastAsia="Verdana" w:cs="Verdana"/>
        <w:b/>
        <w:bCs/>
        <w:spacing w:val="0"/>
        <w:w w:val="111"/>
        <w:sz w:val="18"/>
        <w:szCs w:val="18"/>
      </w:rPr>
    </w:lvl>
    <w:lvl w:ilvl="3">
      <w:start w:val="0"/>
      <w:numFmt w:val="bullet"/>
      <w:lvlText w:val="•"/>
      <w:lvlJc w:val="left"/>
      <w:pPr>
        <w:ind w:left="4090" w:hanging="873"/>
      </w:pPr>
      <w:rPr>
        <w:rFonts w:hint="default"/>
      </w:rPr>
    </w:lvl>
    <w:lvl w:ilvl="4">
      <w:start w:val="0"/>
      <w:numFmt w:val="bullet"/>
      <w:lvlText w:val="•"/>
      <w:lvlJc w:val="left"/>
      <w:pPr>
        <w:ind w:left="5141" w:hanging="873"/>
      </w:pPr>
      <w:rPr>
        <w:rFonts w:hint="default"/>
      </w:rPr>
    </w:lvl>
    <w:lvl w:ilvl="5">
      <w:start w:val="0"/>
      <w:numFmt w:val="bullet"/>
      <w:lvlText w:val="•"/>
      <w:lvlJc w:val="left"/>
      <w:pPr>
        <w:ind w:left="6192" w:hanging="873"/>
      </w:pPr>
      <w:rPr>
        <w:rFonts w:hint="default"/>
      </w:rPr>
    </w:lvl>
    <w:lvl w:ilvl="6">
      <w:start w:val="0"/>
      <w:numFmt w:val="bullet"/>
      <w:lvlText w:val="•"/>
      <w:lvlJc w:val="left"/>
      <w:pPr>
        <w:ind w:left="7242" w:hanging="873"/>
      </w:pPr>
      <w:rPr>
        <w:rFonts w:hint="default"/>
      </w:rPr>
    </w:lvl>
    <w:lvl w:ilvl="7">
      <w:start w:val="0"/>
      <w:numFmt w:val="bullet"/>
      <w:lvlText w:val="•"/>
      <w:lvlJc w:val="left"/>
      <w:pPr>
        <w:ind w:left="8293" w:hanging="873"/>
      </w:pPr>
      <w:rPr>
        <w:rFonts w:hint="default"/>
      </w:rPr>
    </w:lvl>
    <w:lvl w:ilvl="8">
      <w:start w:val="0"/>
      <w:numFmt w:val="bullet"/>
      <w:lvlText w:val="•"/>
      <w:lvlJc w:val="left"/>
      <w:pPr>
        <w:ind w:left="9344" w:hanging="873"/>
      </w:pPr>
      <w:rPr>
        <w:rFonts w:hint="default"/>
      </w:rPr>
    </w:lvl>
  </w:abstractNum>
  <w:abstractNum w:abstractNumId="99">
    <w:multiLevelType w:val="hybridMultilevel"/>
    <w:lvl w:ilvl="0">
      <w:start w:val="6"/>
      <w:numFmt w:val="decimal"/>
      <w:lvlText w:val="%1"/>
      <w:lvlJc w:val="left"/>
      <w:pPr>
        <w:ind w:left="673" w:hanging="681"/>
        <w:jc w:val="left"/>
      </w:pPr>
      <w:rPr>
        <w:rFonts w:hint="default"/>
      </w:rPr>
    </w:lvl>
    <w:lvl w:ilvl="1">
      <w:start w:val="1"/>
      <w:numFmt w:val="decimal"/>
      <w:lvlText w:val="%1.%2"/>
      <w:lvlJc w:val="left"/>
      <w:pPr>
        <w:ind w:left="673" w:hanging="681"/>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681"/>
      </w:pPr>
      <w:rPr>
        <w:rFonts w:hint="default"/>
      </w:rPr>
    </w:lvl>
    <w:lvl w:ilvl="3">
      <w:start w:val="0"/>
      <w:numFmt w:val="bullet"/>
      <w:lvlText w:val="•"/>
      <w:lvlJc w:val="left"/>
      <w:pPr>
        <w:ind w:left="3909" w:hanging="681"/>
      </w:pPr>
      <w:rPr>
        <w:rFonts w:hint="default"/>
      </w:rPr>
    </w:lvl>
    <w:lvl w:ilvl="4">
      <w:start w:val="0"/>
      <w:numFmt w:val="bullet"/>
      <w:lvlText w:val="•"/>
      <w:lvlJc w:val="left"/>
      <w:pPr>
        <w:ind w:left="4986" w:hanging="681"/>
      </w:pPr>
      <w:rPr>
        <w:rFonts w:hint="default"/>
      </w:rPr>
    </w:lvl>
    <w:lvl w:ilvl="5">
      <w:start w:val="0"/>
      <w:numFmt w:val="bullet"/>
      <w:lvlText w:val="•"/>
      <w:lvlJc w:val="left"/>
      <w:pPr>
        <w:ind w:left="6062" w:hanging="681"/>
      </w:pPr>
      <w:rPr>
        <w:rFonts w:hint="default"/>
      </w:rPr>
    </w:lvl>
    <w:lvl w:ilvl="6">
      <w:start w:val="0"/>
      <w:numFmt w:val="bullet"/>
      <w:lvlText w:val="•"/>
      <w:lvlJc w:val="left"/>
      <w:pPr>
        <w:ind w:left="7139" w:hanging="681"/>
      </w:pPr>
      <w:rPr>
        <w:rFonts w:hint="default"/>
      </w:rPr>
    </w:lvl>
    <w:lvl w:ilvl="7">
      <w:start w:val="0"/>
      <w:numFmt w:val="bullet"/>
      <w:lvlText w:val="•"/>
      <w:lvlJc w:val="left"/>
      <w:pPr>
        <w:ind w:left="8215" w:hanging="681"/>
      </w:pPr>
      <w:rPr>
        <w:rFonts w:hint="default"/>
      </w:rPr>
    </w:lvl>
    <w:lvl w:ilvl="8">
      <w:start w:val="0"/>
      <w:numFmt w:val="bullet"/>
      <w:lvlText w:val="•"/>
      <w:lvlJc w:val="left"/>
      <w:pPr>
        <w:ind w:left="9292" w:hanging="681"/>
      </w:pPr>
      <w:rPr>
        <w:rFonts w:hint="default"/>
      </w:rPr>
    </w:lvl>
  </w:abstractNum>
  <w:abstractNum w:abstractNumId="98">
    <w:multiLevelType w:val="hybridMultilevel"/>
    <w:lvl w:ilvl="0">
      <w:start w:val="1"/>
      <w:numFmt w:val="decimal"/>
      <w:lvlText w:val="%1."/>
      <w:lvlJc w:val="left"/>
      <w:pPr>
        <w:ind w:left="1921" w:hanging="681"/>
        <w:jc w:val="right"/>
      </w:pPr>
      <w:rPr>
        <w:rFonts w:hint="default" w:ascii="Verdana" w:hAnsi="Verdana" w:eastAsia="Verdana" w:cs="Verdana"/>
        <w:color w:val="231F20"/>
        <w:spacing w:val="-5"/>
        <w:w w:val="111"/>
        <w:sz w:val="18"/>
        <w:szCs w:val="18"/>
      </w:rPr>
    </w:lvl>
    <w:lvl w:ilvl="1">
      <w:start w:val="1"/>
      <w:numFmt w:val="lowerLetter"/>
      <w:lvlText w:val="%2)"/>
      <w:lvlJc w:val="left"/>
      <w:pPr>
        <w:ind w:left="2261" w:hanging="341"/>
        <w:jc w:val="left"/>
      </w:pPr>
      <w:rPr>
        <w:rFonts w:hint="default" w:ascii="Verdana" w:hAnsi="Verdana" w:eastAsia="Verdana" w:cs="Verdana"/>
        <w:color w:val="231F20"/>
        <w:spacing w:val="-15"/>
        <w:w w:val="111"/>
        <w:sz w:val="18"/>
        <w:szCs w:val="18"/>
      </w:rPr>
    </w:lvl>
    <w:lvl w:ilvl="2">
      <w:start w:val="0"/>
      <w:numFmt w:val="bullet"/>
      <w:lvlText w:val="•"/>
      <w:lvlJc w:val="left"/>
      <w:pPr>
        <w:ind w:left="3280" w:hanging="341"/>
      </w:pPr>
      <w:rPr>
        <w:rFonts w:hint="default"/>
      </w:rPr>
    </w:lvl>
    <w:lvl w:ilvl="3">
      <w:start w:val="0"/>
      <w:numFmt w:val="bullet"/>
      <w:lvlText w:val="•"/>
      <w:lvlJc w:val="left"/>
      <w:pPr>
        <w:ind w:left="4301" w:hanging="341"/>
      </w:pPr>
      <w:rPr>
        <w:rFonts w:hint="default"/>
      </w:rPr>
    </w:lvl>
    <w:lvl w:ilvl="4">
      <w:start w:val="0"/>
      <w:numFmt w:val="bullet"/>
      <w:lvlText w:val="•"/>
      <w:lvlJc w:val="left"/>
      <w:pPr>
        <w:ind w:left="5321" w:hanging="341"/>
      </w:pPr>
      <w:rPr>
        <w:rFonts w:hint="default"/>
      </w:rPr>
    </w:lvl>
    <w:lvl w:ilvl="5">
      <w:start w:val="0"/>
      <w:numFmt w:val="bullet"/>
      <w:lvlText w:val="•"/>
      <w:lvlJc w:val="left"/>
      <w:pPr>
        <w:ind w:left="6342" w:hanging="341"/>
      </w:pPr>
      <w:rPr>
        <w:rFonts w:hint="default"/>
      </w:rPr>
    </w:lvl>
    <w:lvl w:ilvl="6">
      <w:start w:val="0"/>
      <w:numFmt w:val="bullet"/>
      <w:lvlText w:val="•"/>
      <w:lvlJc w:val="left"/>
      <w:pPr>
        <w:ind w:left="7363" w:hanging="341"/>
      </w:pPr>
      <w:rPr>
        <w:rFonts w:hint="default"/>
      </w:rPr>
    </w:lvl>
    <w:lvl w:ilvl="7">
      <w:start w:val="0"/>
      <w:numFmt w:val="bullet"/>
      <w:lvlText w:val="•"/>
      <w:lvlJc w:val="left"/>
      <w:pPr>
        <w:ind w:left="8383" w:hanging="341"/>
      </w:pPr>
      <w:rPr>
        <w:rFonts w:hint="default"/>
      </w:rPr>
    </w:lvl>
    <w:lvl w:ilvl="8">
      <w:start w:val="0"/>
      <w:numFmt w:val="bullet"/>
      <w:lvlText w:val="•"/>
      <w:lvlJc w:val="left"/>
      <w:pPr>
        <w:ind w:left="9404" w:hanging="341"/>
      </w:pPr>
      <w:rPr>
        <w:rFonts w:hint="default"/>
      </w:rPr>
    </w:lvl>
  </w:abstractNum>
  <w:abstractNum w:abstractNumId="97">
    <w:multiLevelType w:val="hybridMultilevel"/>
    <w:lvl w:ilvl="0">
      <w:start w:val="4"/>
      <w:numFmt w:val="decimal"/>
      <w:lvlText w:val="%1"/>
      <w:lvlJc w:val="left"/>
      <w:pPr>
        <w:ind w:left="1411" w:hanging="738"/>
        <w:jc w:val="left"/>
      </w:pPr>
      <w:rPr>
        <w:rFonts w:hint="default"/>
      </w:rPr>
    </w:lvl>
    <w:lvl w:ilvl="1">
      <w:start w:val="1"/>
      <w:numFmt w:val="decimal"/>
      <w:lvlText w:val="%1.%2"/>
      <w:lvlJc w:val="left"/>
      <w:pPr>
        <w:ind w:left="1411" w:hanging="738"/>
        <w:jc w:val="left"/>
      </w:pPr>
      <w:rPr>
        <w:rFonts w:hint="default" w:ascii="Verdana" w:hAnsi="Verdana" w:eastAsia="Verdana" w:cs="Verdana"/>
        <w:color w:val="231F20"/>
        <w:spacing w:val="-8"/>
        <w:w w:val="111"/>
        <w:sz w:val="18"/>
        <w:szCs w:val="18"/>
      </w:rPr>
    </w:lvl>
    <w:lvl w:ilvl="2">
      <w:start w:val="1"/>
      <w:numFmt w:val="lowerRoman"/>
      <w:lvlText w:val="%3)"/>
      <w:lvlJc w:val="left"/>
      <w:pPr>
        <w:ind w:left="1921" w:hanging="681"/>
        <w:jc w:val="left"/>
      </w:pPr>
      <w:rPr>
        <w:rFonts w:hint="default" w:ascii="Verdana" w:hAnsi="Verdana" w:eastAsia="Verdana" w:cs="Verdana"/>
        <w:color w:val="231F20"/>
        <w:spacing w:val="-5"/>
        <w:w w:val="110"/>
        <w:sz w:val="18"/>
        <w:szCs w:val="18"/>
      </w:rPr>
    </w:lvl>
    <w:lvl w:ilvl="3">
      <w:start w:val="0"/>
      <w:numFmt w:val="bullet"/>
      <w:lvlText w:val="•"/>
      <w:lvlJc w:val="left"/>
      <w:pPr>
        <w:ind w:left="4036" w:hanging="681"/>
      </w:pPr>
      <w:rPr>
        <w:rFonts w:hint="default"/>
      </w:rPr>
    </w:lvl>
    <w:lvl w:ilvl="4">
      <w:start w:val="0"/>
      <w:numFmt w:val="bullet"/>
      <w:lvlText w:val="•"/>
      <w:lvlJc w:val="left"/>
      <w:pPr>
        <w:ind w:left="509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211" w:hanging="681"/>
      </w:pPr>
      <w:rPr>
        <w:rFonts w:hint="default"/>
      </w:rPr>
    </w:lvl>
    <w:lvl w:ilvl="7">
      <w:start w:val="0"/>
      <w:numFmt w:val="bullet"/>
      <w:lvlText w:val="•"/>
      <w:lvlJc w:val="left"/>
      <w:pPr>
        <w:ind w:left="8270" w:hanging="681"/>
      </w:pPr>
      <w:rPr>
        <w:rFonts w:hint="default"/>
      </w:rPr>
    </w:lvl>
    <w:lvl w:ilvl="8">
      <w:start w:val="0"/>
      <w:numFmt w:val="bullet"/>
      <w:lvlText w:val="•"/>
      <w:lvlJc w:val="left"/>
      <w:pPr>
        <w:ind w:left="9328" w:hanging="681"/>
      </w:pPr>
      <w:rPr>
        <w:rFonts w:hint="default"/>
      </w:rPr>
    </w:lvl>
  </w:abstractNum>
  <w:abstractNum w:abstractNumId="96">
    <w:multiLevelType w:val="hybridMultilevel"/>
    <w:lvl w:ilvl="0">
      <w:start w:val="9"/>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rPr>
    </w:lvl>
    <w:lvl w:ilvl="2">
      <w:start w:val="2"/>
      <w:numFmt w:val="decimal"/>
      <w:lvlText w:val="%1.%2.%3"/>
      <w:lvlJc w:val="left"/>
      <w:pPr>
        <w:ind w:left="673" w:hanging="720"/>
        <w:jc w:val="left"/>
      </w:pPr>
      <w:rPr>
        <w:rFonts w:hint="default"/>
        <w:spacing w:val="-8"/>
        <w:w w:val="111"/>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95">
    <w:multiLevelType w:val="hybridMultilevel"/>
    <w:lvl w:ilvl="0">
      <w:start w:val="1"/>
      <w:numFmt w:val="lowerLetter"/>
      <w:lvlText w:val="%1)"/>
      <w:lvlJc w:val="left"/>
      <w:pPr>
        <w:ind w:left="673" w:hanging="720"/>
        <w:jc w:val="left"/>
      </w:pPr>
      <w:rPr>
        <w:rFonts w:hint="default" w:ascii="Verdana" w:hAnsi="Verdana" w:eastAsia="Verdana" w:cs="Verdana"/>
        <w:color w:val="231F20"/>
        <w:spacing w:val="-15"/>
        <w:w w:val="111"/>
        <w:sz w:val="18"/>
        <w:szCs w:val="18"/>
      </w:rPr>
    </w:lvl>
    <w:lvl w:ilvl="1">
      <w:start w:val="1"/>
      <w:numFmt w:val="decimal"/>
      <w:lvlText w:val="%2."/>
      <w:lvlJc w:val="left"/>
      <w:pPr>
        <w:ind w:left="1240" w:hanging="720"/>
        <w:jc w:val="left"/>
      </w:pPr>
      <w:rPr>
        <w:rFonts w:hint="default" w:ascii="Verdana" w:hAnsi="Verdana" w:eastAsia="Verdana" w:cs="Verdana"/>
        <w:color w:val="231F20"/>
        <w:spacing w:val="-5"/>
        <w:w w:val="111"/>
        <w:sz w:val="18"/>
        <w:szCs w:val="18"/>
      </w:rPr>
    </w:lvl>
    <w:lvl w:ilvl="2">
      <w:start w:val="0"/>
      <w:numFmt w:val="bullet"/>
      <w:lvlText w:val="•"/>
      <w:lvlJc w:val="left"/>
      <w:pPr>
        <w:ind w:left="2373" w:hanging="720"/>
      </w:pPr>
      <w:rPr>
        <w:rFonts w:hint="default"/>
      </w:rPr>
    </w:lvl>
    <w:lvl w:ilvl="3">
      <w:start w:val="0"/>
      <w:numFmt w:val="bullet"/>
      <w:lvlText w:val="•"/>
      <w:lvlJc w:val="left"/>
      <w:pPr>
        <w:ind w:left="3507" w:hanging="720"/>
      </w:pPr>
      <w:rPr>
        <w:rFonts w:hint="default"/>
      </w:rPr>
    </w:lvl>
    <w:lvl w:ilvl="4">
      <w:start w:val="0"/>
      <w:numFmt w:val="bullet"/>
      <w:lvlText w:val="•"/>
      <w:lvlJc w:val="left"/>
      <w:pPr>
        <w:ind w:left="4641" w:hanging="720"/>
      </w:pPr>
      <w:rPr>
        <w:rFonts w:hint="default"/>
      </w:rPr>
    </w:lvl>
    <w:lvl w:ilvl="5">
      <w:start w:val="0"/>
      <w:numFmt w:val="bullet"/>
      <w:lvlText w:val="•"/>
      <w:lvlJc w:val="left"/>
      <w:pPr>
        <w:ind w:left="5775" w:hanging="720"/>
      </w:pPr>
      <w:rPr>
        <w:rFonts w:hint="default"/>
      </w:rPr>
    </w:lvl>
    <w:lvl w:ilvl="6">
      <w:start w:val="0"/>
      <w:numFmt w:val="bullet"/>
      <w:lvlText w:val="•"/>
      <w:lvlJc w:val="left"/>
      <w:pPr>
        <w:ind w:left="6909" w:hanging="720"/>
      </w:pPr>
      <w:rPr>
        <w:rFonts w:hint="default"/>
      </w:rPr>
    </w:lvl>
    <w:lvl w:ilvl="7">
      <w:start w:val="0"/>
      <w:numFmt w:val="bullet"/>
      <w:lvlText w:val="•"/>
      <w:lvlJc w:val="left"/>
      <w:pPr>
        <w:ind w:left="8043" w:hanging="720"/>
      </w:pPr>
      <w:rPr>
        <w:rFonts w:hint="default"/>
      </w:rPr>
    </w:lvl>
    <w:lvl w:ilvl="8">
      <w:start w:val="0"/>
      <w:numFmt w:val="bullet"/>
      <w:lvlText w:val="•"/>
      <w:lvlJc w:val="left"/>
      <w:pPr>
        <w:ind w:left="9177" w:hanging="720"/>
      </w:pPr>
      <w:rPr>
        <w:rFonts w:hint="default"/>
      </w:rPr>
    </w:lvl>
  </w:abstractNum>
  <w:abstractNum w:abstractNumId="94">
    <w:multiLevelType w:val="hybridMultilevel"/>
    <w:lvl w:ilvl="0">
      <w:start w:val="1"/>
      <w:numFmt w:val="lowerRoman"/>
      <w:lvlText w:val="%1)"/>
      <w:lvlJc w:val="left"/>
      <w:pPr>
        <w:ind w:left="1921" w:hanging="681"/>
        <w:jc w:val="right"/>
      </w:pPr>
      <w:rPr>
        <w:rFonts w:hint="default" w:ascii="Verdana" w:hAnsi="Verdana" w:eastAsia="Verdana" w:cs="Verdana"/>
        <w:color w:val="231F20"/>
        <w:spacing w:val="-5"/>
        <w:w w:val="111"/>
        <w:sz w:val="18"/>
        <w:szCs w:val="18"/>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93">
    <w:multiLevelType w:val="hybridMultilevel"/>
    <w:lvl w:ilvl="0">
      <w:start w:val="1"/>
      <w:numFmt w:val="lowerRoman"/>
      <w:lvlText w:val="%1)"/>
      <w:lvlJc w:val="left"/>
      <w:pPr>
        <w:ind w:left="1921" w:hanging="681"/>
        <w:jc w:val="left"/>
      </w:pPr>
      <w:rPr>
        <w:rFonts w:hint="default" w:ascii="Verdana" w:hAnsi="Verdana" w:eastAsia="Verdana" w:cs="Verdana"/>
        <w:color w:val="231F20"/>
        <w:spacing w:val="-5"/>
        <w:w w:val="110"/>
        <w:sz w:val="18"/>
        <w:szCs w:val="18"/>
      </w:rPr>
    </w:lvl>
    <w:lvl w:ilvl="1">
      <w:start w:val="0"/>
      <w:numFmt w:val="bullet"/>
      <w:lvlText w:val="•"/>
      <w:lvlJc w:val="left"/>
      <w:pPr>
        <w:ind w:left="2680" w:hanging="760"/>
      </w:pPr>
      <w:rPr>
        <w:rFonts w:hint="default" w:ascii="Verdana" w:hAnsi="Verdana" w:eastAsia="Verdana" w:cs="Verdana"/>
        <w:color w:val="231F20"/>
        <w:w w:val="111"/>
        <w:position w:val="-3"/>
        <w:sz w:val="25"/>
        <w:szCs w:val="25"/>
      </w:rPr>
    </w:lvl>
    <w:lvl w:ilvl="2">
      <w:start w:val="0"/>
      <w:numFmt w:val="bullet"/>
      <w:lvlText w:val="•"/>
      <w:lvlJc w:val="left"/>
      <w:pPr>
        <w:ind w:left="3653" w:hanging="760"/>
      </w:pPr>
      <w:rPr>
        <w:rFonts w:hint="default"/>
      </w:rPr>
    </w:lvl>
    <w:lvl w:ilvl="3">
      <w:start w:val="0"/>
      <w:numFmt w:val="bullet"/>
      <w:lvlText w:val="•"/>
      <w:lvlJc w:val="left"/>
      <w:pPr>
        <w:ind w:left="4627" w:hanging="760"/>
      </w:pPr>
      <w:rPr>
        <w:rFonts w:hint="default"/>
      </w:rPr>
    </w:lvl>
    <w:lvl w:ilvl="4">
      <w:start w:val="0"/>
      <w:numFmt w:val="bullet"/>
      <w:lvlText w:val="•"/>
      <w:lvlJc w:val="left"/>
      <w:pPr>
        <w:ind w:left="5601" w:hanging="760"/>
      </w:pPr>
      <w:rPr>
        <w:rFonts w:hint="default"/>
      </w:rPr>
    </w:lvl>
    <w:lvl w:ilvl="5">
      <w:start w:val="0"/>
      <w:numFmt w:val="bullet"/>
      <w:lvlText w:val="•"/>
      <w:lvlJc w:val="left"/>
      <w:pPr>
        <w:ind w:left="6575" w:hanging="760"/>
      </w:pPr>
      <w:rPr>
        <w:rFonts w:hint="default"/>
      </w:rPr>
    </w:lvl>
    <w:lvl w:ilvl="6">
      <w:start w:val="0"/>
      <w:numFmt w:val="bullet"/>
      <w:lvlText w:val="•"/>
      <w:lvlJc w:val="left"/>
      <w:pPr>
        <w:ind w:left="7549" w:hanging="760"/>
      </w:pPr>
      <w:rPr>
        <w:rFonts w:hint="default"/>
      </w:rPr>
    </w:lvl>
    <w:lvl w:ilvl="7">
      <w:start w:val="0"/>
      <w:numFmt w:val="bullet"/>
      <w:lvlText w:val="•"/>
      <w:lvlJc w:val="left"/>
      <w:pPr>
        <w:ind w:left="8523" w:hanging="760"/>
      </w:pPr>
      <w:rPr>
        <w:rFonts w:hint="default"/>
      </w:rPr>
    </w:lvl>
    <w:lvl w:ilvl="8">
      <w:start w:val="0"/>
      <w:numFmt w:val="bullet"/>
      <w:lvlText w:val="•"/>
      <w:lvlJc w:val="left"/>
      <w:pPr>
        <w:ind w:left="9497" w:hanging="760"/>
      </w:pPr>
      <w:rPr>
        <w:rFonts w:hint="default"/>
      </w:rPr>
    </w:lvl>
  </w:abstractNum>
  <w:abstractNum w:abstractNumId="92">
    <w:multiLevelType w:val="hybridMultilevel"/>
    <w:lvl w:ilvl="0">
      <w:start w:val="2"/>
      <w:numFmt w:val="decimal"/>
      <w:lvlText w:val="%1."/>
      <w:lvlJc w:val="left"/>
      <w:pPr>
        <w:ind w:left="1354" w:hanging="681"/>
        <w:jc w:val="right"/>
      </w:pPr>
      <w:rPr>
        <w:rFonts w:hint="default" w:ascii="Verdana" w:hAnsi="Verdana" w:eastAsia="Verdana" w:cs="Verdana"/>
        <w:b/>
        <w:bCs/>
        <w:color w:val="231F20"/>
        <w:spacing w:val="0"/>
        <w:w w:val="111"/>
        <w:sz w:val="18"/>
        <w:szCs w:val="18"/>
      </w:rPr>
    </w:lvl>
    <w:lvl w:ilvl="1">
      <w:start w:val="1"/>
      <w:numFmt w:val="decimal"/>
      <w:lvlText w:val="%1.%2"/>
      <w:lvlJc w:val="left"/>
      <w:pPr>
        <w:ind w:left="673" w:hanging="681"/>
        <w:jc w:val="right"/>
      </w:pPr>
      <w:rPr>
        <w:rFonts w:hint="default" w:ascii="Verdana" w:hAnsi="Verdana" w:eastAsia="Verdana" w:cs="Verdana"/>
        <w:color w:val="231F20"/>
        <w:spacing w:val="-8"/>
        <w:w w:val="111"/>
        <w:sz w:val="18"/>
        <w:szCs w:val="18"/>
      </w:rPr>
    </w:lvl>
    <w:lvl w:ilvl="2">
      <w:start w:val="0"/>
      <w:numFmt w:val="bullet"/>
      <w:lvlText w:val="•"/>
      <w:lvlJc w:val="left"/>
      <w:pPr>
        <w:ind w:left="1360" w:hanging="681"/>
      </w:pPr>
      <w:rPr>
        <w:rFonts w:hint="default"/>
      </w:rPr>
    </w:lvl>
    <w:lvl w:ilvl="3">
      <w:start w:val="0"/>
      <w:numFmt w:val="bullet"/>
      <w:lvlText w:val="•"/>
      <w:lvlJc w:val="left"/>
      <w:pPr>
        <w:ind w:left="2620" w:hanging="681"/>
      </w:pPr>
      <w:rPr>
        <w:rFonts w:hint="default"/>
      </w:rPr>
    </w:lvl>
    <w:lvl w:ilvl="4">
      <w:start w:val="0"/>
      <w:numFmt w:val="bullet"/>
      <w:lvlText w:val="•"/>
      <w:lvlJc w:val="left"/>
      <w:pPr>
        <w:ind w:left="3881" w:hanging="681"/>
      </w:pPr>
      <w:rPr>
        <w:rFonts w:hint="default"/>
      </w:rPr>
    </w:lvl>
    <w:lvl w:ilvl="5">
      <w:start w:val="0"/>
      <w:numFmt w:val="bullet"/>
      <w:lvlText w:val="•"/>
      <w:lvlJc w:val="left"/>
      <w:pPr>
        <w:ind w:left="5142" w:hanging="681"/>
      </w:pPr>
      <w:rPr>
        <w:rFonts w:hint="default"/>
      </w:rPr>
    </w:lvl>
    <w:lvl w:ilvl="6">
      <w:start w:val="0"/>
      <w:numFmt w:val="bullet"/>
      <w:lvlText w:val="•"/>
      <w:lvlJc w:val="left"/>
      <w:pPr>
        <w:ind w:left="6402" w:hanging="681"/>
      </w:pPr>
      <w:rPr>
        <w:rFonts w:hint="default"/>
      </w:rPr>
    </w:lvl>
    <w:lvl w:ilvl="7">
      <w:start w:val="0"/>
      <w:numFmt w:val="bullet"/>
      <w:lvlText w:val="•"/>
      <w:lvlJc w:val="left"/>
      <w:pPr>
        <w:ind w:left="7663" w:hanging="681"/>
      </w:pPr>
      <w:rPr>
        <w:rFonts w:hint="default"/>
      </w:rPr>
    </w:lvl>
    <w:lvl w:ilvl="8">
      <w:start w:val="0"/>
      <w:numFmt w:val="bullet"/>
      <w:lvlText w:val="•"/>
      <w:lvlJc w:val="left"/>
      <w:pPr>
        <w:ind w:left="8924" w:hanging="681"/>
      </w:pPr>
      <w:rPr>
        <w:rFonts w:hint="default"/>
      </w:rPr>
    </w:lvl>
  </w:abstractNum>
  <w:abstractNum w:abstractNumId="91">
    <w:multiLevelType w:val="hybridMultilevel"/>
    <w:lvl w:ilvl="0">
      <w:start w:val="5"/>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1"/>
      <w:numFmt w:val="decimal"/>
      <w:lvlText w:val="%3."/>
      <w:lvlJc w:val="left"/>
      <w:pPr>
        <w:ind w:left="2097" w:hanging="857"/>
        <w:jc w:val="right"/>
      </w:pPr>
      <w:rPr>
        <w:rFonts w:hint="default" w:ascii="Verdana" w:hAnsi="Verdana" w:eastAsia="Verdana" w:cs="Verdana"/>
        <w:b/>
        <w:bCs/>
        <w:color w:val="231F20"/>
        <w:spacing w:val="0"/>
        <w:w w:val="111"/>
        <w:sz w:val="18"/>
        <w:szCs w:val="18"/>
      </w:rPr>
    </w:lvl>
    <w:lvl w:ilvl="3">
      <w:start w:val="1"/>
      <w:numFmt w:val="decimal"/>
      <w:lvlText w:val="%3.%4"/>
      <w:lvlJc w:val="left"/>
      <w:pPr>
        <w:ind w:left="1354" w:hanging="681"/>
        <w:jc w:val="right"/>
      </w:pPr>
      <w:rPr>
        <w:rFonts w:hint="default"/>
        <w:b/>
        <w:bCs/>
        <w:spacing w:val="-22"/>
        <w:w w:val="111"/>
      </w:rPr>
    </w:lvl>
    <w:lvl w:ilvl="4">
      <w:start w:val="1"/>
      <w:numFmt w:val="decimal"/>
      <w:lvlText w:val="%3.%4.%5"/>
      <w:lvlJc w:val="left"/>
      <w:pPr>
        <w:ind w:left="673" w:hanging="681"/>
        <w:jc w:val="right"/>
      </w:pPr>
      <w:rPr>
        <w:rFonts w:hint="default" w:ascii="Verdana" w:hAnsi="Verdana" w:eastAsia="Verdana" w:cs="Verdana"/>
        <w:color w:val="231F20"/>
        <w:spacing w:val="-25"/>
        <w:w w:val="111"/>
        <w:sz w:val="18"/>
        <w:szCs w:val="18"/>
      </w:rPr>
    </w:lvl>
    <w:lvl w:ilvl="5">
      <w:start w:val="1"/>
      <w:numFmt w:val="decimal"/>
      <w:lvlText w:val="%6."/>
      <w:lvlJc w:val="left"/>
      <w:pPr>
        <w:ind w:left="1960" w:hanging="720"/>
        <w:jc w:val="left"/>
      </w:pPr>
      <w:rPr>
        <w:rFonts w:hint="default" w:ascii="Verdana" w:hAnsi="Verdana" w:eastAsia="Verdana" w:cs="Verdana"/>
        <w:b/>
        <w:bCs/>
        <w:color w:val="231F20"/>
        <w:spacing w:val="0"/>
        <w:w w:val="111"/>
        <w:sz w:val="18"/>
        <w:szCs w:val="18"/>
      </w:rPr>
    </w:lvl>
    <w:lvl w:ilvl="6">
      <w:start w:val="1"/>
      <w:numFmt w:val="decimal"/>
      <w:lvlText w:val="%6.%7"/>
      <w:lvlJc w:val="left"/>
      <w:pPr>
        <w:ind w:left="1240" w:hanging="681"/>
        <w:jc w:val="left"/>
      </w:pPr>
      <w:rPr>
        <w:rFonts w:hint="default" w:ascii="Verdana" w:hAnsi="Verdana" w:eastAsia="Verdana" w:cs="Verdana"/>
        <w:color w:val="231F20"/>
        <w:spacing w:val="-8"/>
        <w:w w:val="111"/>
        <w:sz w:val="18"/>
        <w:szCs w:val="18"/>
      </w:rPr>
    </w:lvl>
    <w:lvl w:ilvl="7">
      <w:start w:val="0"/>
      <w:numFmt w:val="bullet"/>
      <w:lvlText w:val="•"/>
      <w:lvlJc w:val="left"/>
      <w:pPr>
        <w:ind w:left="6772" w:hanging="681"/>
      </w:pPr>
      <w:rPr>
        <w:rFonts w:hint="default"/>
      </w:rPr>
    </w:lvl>
    <w:lvl w:ilvl="8">
      <w:start w:val="0"/>
      <w:numFmt w:val="bullet"/>
      <w:lvlText w:val="•"/>
      <w:lvlJc w:val="left"/>
      <w:pPr>
        <w:ind w:left="8330" w:hanging="681"/>
      </w:pPr>
      <w:rPr>
        <w:rFonts w:hint="default"/>
      </w:rPr>
    </w:lvl>
  </w:abstractNum>
  <w:abstractNum w:abstractNumId="90">
    <w:multiLevelType w:val="hybridMultilevel"/>
    <w:lvl w:ilvl="0">
      <w:start w:val="4"/>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6"/>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89">
    <w:multiLevelType w:val="hybridMultilevel"/>
    <w:lvl w:ilvl="0">
      <w:start w:val="2"/>
      <w:numFmt w:val="decimal"/>
      <w:lvlText w:val="%1"/>
      <w:lvlJc w:val="left"/>
      <w:pPr>
        <w:ind w:left="1240" w:hanging="720"/>
        <w:jc w:val="left"/>
      </w:pPr>
      <w:rPr>
        <w:rFonts w:hint="default"/>
      </w:rPr>
    </w:lvl>
    <w:lvl w:ilvl="1">
      <w:start w:val="1"/>
      <w:numFmt w:val="decimal"/>
      <w:lvlText w:val="%1.%2"/>
      <w:lvlJc w:val="left"/>
      <w:pPr>
        <w:ind w:left="1240" w:hanging="720"/>
        <w:jc w:val="right"/>
      </w:pPr>
      <w:rPr>
        <w:rFonts w:hint="default" w:ascii="Verdana" w:hAnsi="Verdana" w:eastAsia="Verdana" w:cs="Verdana"/>
        <w:color w:val="231F20"/>
        <w:spacing w:val="-10"/>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88">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87">
    <w:multiLevelType w:val="hybridMultilevel"/>
    <w:lvl w:ilvl="0">
      <w:start w:val="1"/>
      <w:numFmt w:val="lowerLetter"/>
      <w:lvlText w:val="%1)"/>
      <w:lvlJc w:val="left"/>
      <w:pPr>
        <w:ind w:left="1354" w:hanging="681"/>
        <w:jc w:val="left"/>
      </w:pPr>
      <w:rPr>
        <w:rFonts w:hint="default" w:ascii="Verdana" w:hAnsi="Verdana" w:eastAsia="Verdana" w:cs="Verdana"/>
        <w:color w:val="231F20"/>
        <w:spacing w:val="-15"/>
        <w:w w:val="111"/>
        <w:sz w:val="18"/>
        <w:szCs w:val="18"/>
      </w:rPr>
    </w:lvl>
    <w:lvl w:ilvl="1">
      <w:start w:val="0"/>
      <w:numFmt w:val="bullet"/>
      <w:lvlText w:val="•"/>
      <w:lvlJc w:val="left"/>
      <w:pPr>
        <w:ind w:left="1921" w:hanging="681"/>
      </w:pPr>
      <w:rPr>
        <w:rFonts w:hint="default" w:ascii="Verdana" w:hAnsi="Verdana" w:eastAsia="Verdana" w:cs="Verdana"/>
        <w:b/>
        <w:bCs/>
        <w:color w:val="231F20"/>
        <w:w w:val="112"/>
        <w:position w:val="-3"/>
        <w:sz w:val="25"/>
        <w:szCs w:val="25"/>
      </w:rPr>
    </w:lvl>
    <w:lvl w:ilvl="2">
      <w:start w:val="0"/>
      <w:numFmt w:val="bullet"/>
      <w:lvlText w:val="•"/>
      <w:lvlJc w:val="left"/>
      <w:pPr>
        <w:ind w:left="2978" w:hanging="681"/>
      </w:pPr>
      <w:rPr>
        <w:rFonts w:hint="default"/>
      </w:rPr>
    </w:lvl>
    <w:lvl w:ilvl="3">
      <w:start w:val="0"/>
      <w:numFmt w:val="bullet"/>
      <w:lvlText w:val="•"/>
      <w:lvlJc w:val="left"/>
      <w:pPr>
        <w:ind w:left="4036" w:hanging="681"/>
      </w:pPr>
      <w:rPr>
        <w:rFonts w:hint="default"/>
      </w:rPr>
    </w:lvl>
    <w:lvl w:ilvl="4">
      <w:start w:val="0"/>
      <w:numFmt w:val="bullet"/>
      <w:lvlText w:val="•"/>
      <w:lvlJc w:val="left"/>
      <w:pPr>
        <w:ind w:left="509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211" w:hanging="681"/>
      </w:pPr>
      <w:rPr>
        <w:rFonts w:hint="default"/>
      </w:rPr>
    </w:lvl>
    <w:lvl w:ilvl="7">
      <w:start w:val="0"/>
      <w:numFmt w:val="bullet"/>
      <w:lvlText w:val="•"/>
      <w:lvlJc w:val="left"/>
      <w:pPr>
        <w:ind w:left="8270" w:hanging="681"/>
      </w:pPr>
      <w:rPr>
        <w:rFonts w:hint="default"/>
      </w:rPr>
    </w:lvl>
    <w:lvl w:ilvl="8">
      <w:start w:val="0"/>
      <w:numFmt w:val="bullet"/>
      <w:lvlText w:val="•"/>
      <w:lvlJc w:val="left"/>
      <w:pPr>
        <w:ind w:left="9328" w:hanging="681"/>
      </w:pPr>
      <w:rPr>
        <w:rFonts w:hint="default"/>
      </w:rPr>
    </w:lvl>
  </w:abstractNum>
  <w:abstractNum w:abstractNumId="86">
    <w:multiLevelType w:val="hybridMultilevel"/>
    <w:lvl w:ilvl="0">
      <w:start w:val="1"/>
      <w:numFmt w:val="lowerLetter"/>
      <w:lvlText w:val="%1)"/>
      <w:lvlJc w:val="left"/>
      <w:pPr>
        <w:ind w:left="1920" w:hanging="681"/>
        <w:jc w:val="right"/>
      </w:pPr>
      <w:rPr>
        <w:rFonts w:hint="default" w:ascii="Verdana" w:hAnsi="Verdana" w:eastAsia="Verdana" w:cs="Verdana"/>
        <w:color w:val="231F20"/>
        <w:spacing w:val="-15"/>
        <w:w w:val="111"/>
        <w:sz w:val="18"/>
        <w:szCs w:val="18"/>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85">
    <w:multiLevelType w:val="hybridMultilevel"/>
    <w:lvl w:ilvl="0">
      <w:start w:val="1"/>
      <w:numFmt w:val="lowerLetter"/>
      <w:lvlText w:val="%1)"/>
      <w:lvlJc w:val="left"/>
      <w:pPr>
        <w:ind w:left="1354" w:hanging="681"/>
        <w:jc w:val="right"/>
      </w:pPr>
      <w:rPr>
        <w:rFonts w:hint="default" w:ascii="Verdana" w:hAnsi="Verdana" w:eastAsia="Verdana" w:cs="Verdana"/>
        <w:color w:val="231F20"/>
        <w:spacing w:val="-15"/>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84">
    <w:multiLevelType w:val="hybridMultilevel"/>
    <w:lvl w:ilvl="0">
      <w:start w:val="1"/>
      <w:numFmt w:val="lowerLetter"/>
      <w:lvlText w:val="%1)"/>
      <w:lvlJc w:val="left"/>
      <w:pPr>
        <w:ind w:left="1354" w:hanging="681"/>
        <w:jc w:val="left"/>
      </w:pPr>
      <w:rPr>
        <w:rFonts w:hint="default" w:ascii="Verdana" w:hAnsi="Verdana" w:eastAsia="Verdana" w:cs="Verdana"/>
        <w:color w:val="231F20"/>
        <w:spacing w:val="-15"/>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83">
    <w:multiLevelType w:val="hybridMultilevel"/>
    <w:lvl w:ilvl="0">
      <w:start w:val="7"/>
      <w:numFmt w:val="decimal"/>
      <w:lvlText w:val="%1."/>
      <w:lvlJc w:val="left"/>
      <w:pPr>
        <w:ind w:left="673" w:hanging="681"/>
        <w:jc w:val="right"/>
      </w:pPr>
      <w:rPr>
        <w:rFonts w:hint="default" w:ascii="Verdana" w:hAnsi="Verdana" w:eastAsia="Verdana" w:cs="Verdana"/>
        <w:color w:val="231F20"/>
        <w:spacing w:val="-25"/>
        <w:w w:val="111"/>
        <w:sz w:val="18"/>
        <w:szCs w:val="18"/>
      </w:rPr>
    </w:lvl>
    <w:lvl w:ilvl="1">
      <w:start w:val="0"/>
      <w:numFmt w:val="bullet"/>
      <w:lvlText w:val="•"/>
      <w:lvlJc w:val="left"/>
      <w:pPr>
        <w:ind w:left="1756" w:hanging="681"/>
      </w:pPr>
      <w:rPr>
        <w:rFonts w:hint="default"/>
      </w:rPr>
    </w:lvl>
    <w:lvl w:ilvl="2">
      <w:start w:val="0"/>
      <w:numFmt w:val="bullet"/>
      <w:lvlText w:val="•"/>
      <w:lvlJc w:val="left"/>
      <w:pPr>
        <w:ind w:left="2833" w:hanging="681"/>
      </w:pPr>
      <w:rPr>
        <w:rFonts w:hint="default"/>
      </w:rPr>
    </w:lvl>
    <w:lvl w:ilvl="3">
      <w:start w:val="0"/>
      <w:numFmt w:val="bullet"/>
      <w:lvlText w:val="•"/>
      <w:lvlJc w:val="left"/>
      <w:pPr>
        <w:ind w:left="3909" w:hanging="681"/>
      </w:pPr>
      <w:rPr>
        <w:rFonts w:hint="default"/>
      </w:rPr>
    </w:lvl>
    <w:lvl w:ilvl="4">
      <w:start w:val="0"/>
      <w:numFmt w:val="bullet"/>
      <w:lvlText w:val="•"/>
      <w:lvlJc w:val="left"/>
      <w:pPr>
        <w:ind w:left="4986" w:hanging="681"/>
      </w:pPr>
      <w:rPr>
        <w:rFonts w:hint="default"/>
      </w:rPr>
    </w:lvl>
    <w:lvl w:ilvl="5">
      <w:start w:val="0"/>
      <w:numFmt w:val="bullet"/>
      <w:lvlText w:val="•"/>
      <w:lvlJc w:val="left"/>
      <w:pPr>
        <w:ind w:left="6062" w:hanging="681"/>
      </w:pPr>
      <w:rPr>
        <w:rFonts w:hint="default"/>
      </w:rPr>
    </w:lvl>
    <w:lvl w:ilvl="6">
      <w:start w:val="0"/>
      <w:numFmt w:val="bullet"/>
      <w:lvlText w:val="•"/>
      <w:lvlJc w:val="left"/>
      <w:pPr>
        <w:ind w:left="7139" w:hanging="681"/>
      </w:pPr>
      <w:rPr>
        <w:rFonts w:hint="default"/>
      </w:rPr>
    </w:lvl>
    <w:lvl w:ilvl="7">
      <w:start w:val="0"/>
      <w:numFmt w:val="bullet"/>
      <w:lvlText w:val="•"/>
      <w:lvlJc w:val="left"/>
      <w:pPr>
        <w:ind w:left="8215" w:hanging="681"/>
      </w:pPr>
      <w:rPr>
        <w:rFonts w:hint="default"/>
      </w:rPr>
    </w:lvl>
    <w:lvl w:ilvl="8">
      <w:start w:val="0"/>
      <w:numFmt w:val="bullet"/>
      <w:lvlText w:val="•"/>
      <w:lvlJc w:val="left"/>
      <w:pPr>
        <w:ind w:left="9292" w:hanging="681"/>
      </w:pPr>
      <w:rPr>
        <w:rFonts w:hint="default"/>
      </w:rPr>
    </w:lvl>
  </w:abstractNum>
  <w:abstractNum w:abstractNumId="82">
    <w:multiLevelType w:val="hybridMultilevel"/>
    <w:lvl w:ilvl="0">
      <w:start w:val="1"/>
      <w:numFmt w:val="lowerLetter"/>
      <w:lvlText w:val="%1)"/>
      <w:lvlJc w:val="left"/>
      <w:pPr>
        <w:ind w:left="1713" w:hanging="681"/>
        <w:jc w:val="left"/>
      </w:pPr>
      <w:rPr>
        <w:rFonts w:hint="default" w:ascii="Verdana" w:hAnsi="Verdana" w:eastAsia="Verdana" w:cs="Verdana"/>
        <w:color w:val="231F20"/>
        <w:spacing w:val="-15"/>
        <w:w w:val="111"/>
        <w:sz w:val="18"/>
        <w:szCs w:val="18"/>
      </w:rPr>
    </w:lvl>
    <w:lvl w:ilvl="1">
      <w:start w:val="0"/>
      <w:numFmt w:val="bullet"/>
      <w:lvlText w:val="•"/>
      <w:lvlJc w:val="left"/>
      <w:pPr>
        <w:ind w:left="2692" w:hanging="681"/>
      </w:pPr>
      <w:rPr>
        <w:rFonts w:hint="default"/>
      </w:rPr>
    </w:lvl>
    <w:lvl w:ilvl="2">
      <w:start w:val="0"/>
      <w:numFmt w:val="bullet"/>
      <w:lvlText w:val="•"/>
      <w:lvlJc w:val="left"/>
      <w:pPr>
        <w:ind w:left="3665" w:hanging="681"/>
      </w:pPr>
      <w:rPr>
        <w:rFonts w:hint="default"/>
      </w:rPr>
    </w:lvl>
    <w:lvl w:ilvl="3">
      <w:start w:val="0"/>
      <w:numFmt w:val="bullet"/>
      <w:lvlText w:val="•"/>
      <w:lvlJc w:val="left"/>
      <w:pPr>
        <w:ind w:left="4637" w:hanging="681"/>
      </w:pPr>
      <w:rPr>
        <w:rFonts w:hint="default"/>
      </w:rPr>
    </w:lvl>
    <w:lvl w:ilvl="4">
      <w:start w:val="0"/>
      <w:numFmt w:val="bullet"/>
      <w:lvlText w:val="•"/>
      <w:lvlJc w:val="left"/>
      <w:pPr>
        <w:ind w:left="5610" w:hanging="681"/>
      </w:pPr>
      <w:rPr>
        <w:rFonts w:hint="default"/>
      </w:rPr>
    </w:lvl>
    <w:lvl w:ilvl="5">
      <w:start w:val="0"/>
      <w:numFmt w:val="bullet"/>
      <w:lvlText w:val="•"/>
      <w:lvlJc w:val="left"/>
      <w:pPr>
        <w:ind w:left="6582" w:hanging="681"/>
      </w:pPr>
      <w:rPr>
        <w:rFonts w:hint="default"/>
      </w:rPr>
    </w:lvl>
    <w:lvl w:ilvl="6">
      <w:start w:val="0"/>
      <w:numFmt w:val="bullet"/>
      <w:lvlText w:val="•"/>
      <w:lvlJc w:val="left"/>
      <w:pPr>
        <w:ind w:left="7555" w:hanging="681"/>
      </w:pPr>
      <w:rPr>
        <w:rFonts w:hint="default"/>
      </w:rPr>
    </w:lvl>
    <w:lvl w:ilvl="7">
      <w:start w:val="0"/>
      <w:numFmt w:val="bullet"/>
      <w:lvlText w:val="•"/>
      <w:lvlJc w:val="left"/>
      <w:pPr>
        <w:ind w:left="8527" w:hanging="681"/>
      </w:pPr>
      <w:rPr>
        <w:rFonts w:hint="default"/>
      </w:rPr>
    </w:lvl>
    <w:lvl w:ilvl="8">
      <w:start w:val="0"/>
      <w:numFmt w:val="bullet"/>
      <w:lvlText w:val="•"/>
      <w:lvlJc w:val="left"/>
      <w:pPr>
        <w:ind w:left="9500" w:hanging="681"/>
      </w:pPr>
      <w:rPr>
        <w:rFonts w:hint="default"/>
      </w:rPr>
    </w:lvl>
  </w:abstractNum>
  <w:abstractNum w:abstractNumId="81">
    <w:multiLevelType w:val="hybridMultilevel"/>
    <w:lvl w:ilvl="0">
      <w:start w:val="1"/>
      <w:numFmt w:val="lowerRoman"/>
      <w:lvlText w:val="%1)"/>
      <w:lvlJc w:val="left"/>
      <w:pPr>
        <w:ind w:left="1354" w:hanging="681"/>
        <w:jc w:val="left"/>
      </w:pPr>
      <w:rPr>
        <w:rFonts w:hint="default" w:ascii="Verdana" w:hAnsi="Verdana" w:eastAsia="Verdana" w:cs="Verdana"/>
        <w:color w:val="231F20"/>
        <w:spacing w:val="-5"/>
        <w:w w:val="110"/>
        <w:sz w:val="18"/>
        <w:szCs w:val="18"/>
      </w:rPr>
    </w:lvl>
    <w:lvl w:ilvl="1">
      <w:start w:val="1"/>
      <w:numFmt w:val="decimal"/>
      <w:lvlText w:val="%2."/>
      <w:lvlJc w:val="left"/>
      <w:pPr>
        <w:ind w:left="1032" w:hanging="681"/>
        <w:jc w:val="left"/>
      </w:pPr>
      <w:rPr>
        <w:rFonts w:hint="default" w:ascii="Verdana" w:hAnsi="Verdana" w:eastAsia="Verdana" w:cs="Verdana"/>
        <w:color w:val="231F20"/>
        <w:spacing w:val="-5"/>
        <w:w w:val="111"/>
        <w:sz w:val="18"/>
        <w:szCs w:val="18"/>
      </w:rPr>
    </w:lvl>
    <w:lvl w:ilvl="2">
      <w:start w:val="0"/>
      <w:numFmt w:val="bullet"/>
      <w:lvlText w:val="•"/>
      <w:lvlJc w:val="left"/>
      <w:pPr>
        <w:ind w:left="2480" w:hanging="681"/>
      </w:pPr>
      <w:rPr>
        <w:rFonts w:hint="default"/>
      </w:rPr>
    </w:lvl>
    <w:lvl w:ilvl="3">
      <w:start w:val="0"/>
      <w:numFmt w:val="bullet"/>
      <w:lvlText w:val="•"/>
      <w:lvlJc w:val="left"/>
      <w:pPr>
        <w:ind w:left="3601" w:hanging="681"/>
      </w:pPr>
      <w:rPr>
        <w:rFonts w:hint="default"/>
      </w:rPr>
    </w:lvl>
    <w:lvl w:ilvl="4">
      <w:start w:val="0"/>
      <w:numFmt w:val="bullet"/>
      <w:lvlText w:val="•"/>
      <w:lvlJc w:val="left"/>
      <w:pPr>
        <w:ind w:left="4721" w:hanging="681"/>
      </w:pPr>
      <w:rPr>
        <w:rFonts w:hint="default"/>
      </w:rPr>
    </w:lvl>
    <w:lvl w:ilvl="5">
      <w:start w:val="0"/>
      <w:numFmt w:val="bullet"/>
      <w:lvlText w:val="•"/>
      <w:lvlJc w:val="left"/>
      <w:pPr>
        <w:ind w:left="5842" w:hanging="681"/>
      </w:pPr>
      <w:rPr>
        <w:rFonts w:hint="default"/>
      </w:rPr>
    </w:lvl>
    <w:lvl w:ilvl="6">
      <w:start w:val="0"/>
      <w:numFmt w:val="bullet"/>
      <w:lvlText w:val="•"/>
      <w:lvlJc w:val="left"/>
      <w:pPr>
        <w:ind w:left="6963" w:hanging="681"/>
      </w:pPr>
      <w:rPr>
        <w:rFonts w:hint="default"/>
      </w:rPr>
    </w:lvl>
    <w:lvl w:ilvl="7">
      <w:start w:val="0"/>
      <w:numFmt w:val="bullet"/>
      <w:lvlText w:val="•"/>
      <w:lvlJc w:val="left"/>
      <w:pPr>
        <w:ind w:left="8083" w:hanging="681"/>
      </w:pPr>
      <w:rPr>
        <w:rFonts w:hint="default"/>
      </w:rPr>
    </w:lvl>
    <w:lvl w:ilvl="8">
      <w:start w:val="0"/>
      <w:numFmt w:val="bullet"/>
      <w:lvlText w:val="•"/>
      <w:lvlJc w:val="left"/>
      <w:pPr>
        <w:ind w:left="9204" w:hanging="681"/>
      </w:pPr>
      <w:rPr>
        <w:rFonts w:hint="default"/>
      </w:rPr>
    </w:lvl>
  </w:abstractNum>
  <w:abstractNum w:abstractNumId="80">
    <w:multiLevelType w:val="hybridMultilevel"/>
    <w:lvl w:ilvl="0">
      <w:start w:val="8"/>
      <w:numFmt w:val="decimal"/>
      <w:lvlText w:val="%1"/>
      <w:lvlJc w:val="left"/>
      <w:pPr>
        <w:ind w:left="673" w:hanging="681"/>
        <w:jc w:val="left"/>
      </w:pPr>
      <w:rPr>
        <w:rFonts w:hint="default"/>
      </w:rPr>
    </w:lvl>
    <w:lvl w:ilvl="1">
      <w:start w:val="1"/>
      <w:numFmt w:val="decimal"/>
      <w:lvlText w:val="%1.%2"/>
      <w:lvlJc w:val="left"/>
      <w:pPr>
        <w:ind w:left="673" w:hanging="681"/>
        <w:jc w:val="right"/>
      </w:pPr>
      <w:rPr>
        <w:rFonts w:hint="default" w:ascii="Verdana" w:hAnsi="Verdana" w:eastAsia="Verdana" w:cs="Verdana"/>
        <w:color w:val="231F20"/>
        <w:spacing w:val="-8"/>
        <w:w w:val="111"/>
        <w:sz w:val="18"/>
        <w:szCs w:val="18"/>
      </w:rPr>
    </w:lvl>
    <w:lvl w:ilvl="2">
      <w:start w:val="0"/>
      <w:numFmt w:val="bullet"/>
      <w:lvlText w:val="•"/>
      <w:lvlJc w:val="left"/>
      <w:pPr>
        <w:ind w:left="2833" w:hanging="681"/>
      </w:pPr>
      <w:rPr>
        <w:rFonts w:hint="default"/>
      </w:rPr>
    </w:lvl>
    <w:lvl w:ilvl="3">
      <w:start w:val="0"/>
      <w:numFmt w:val="bullet"/>
      <w:lvlText w:val="•"/>
      <w:lvlJc w:val="left"/>
      <w:pPr>
        <w:ind w:left="3909" w:hanging="681"/>
      </w:pPr>
      <w:rPr>
        <w:rFonts w:hint="default"/>
      </w:rPr>
    </w:lvl>
    <w:lvl w:ilvl="4">
      <w:start w:val="0"/>
      <w:numFmt w:val="bullet"/>
      <w:lvlText w:val="•"/>
      <w:lvlJc w:val="left"/>
      <w:pPr>
        <w:ind w:left="4986" w:hanging="681"/>
      </w:pPr>
      <w:rPr>
        <w:rFonts w:hint="default"/>
      </w:rPr>
    </w:lvl>
    <w:lvl w:ilvl="5">
      <w:start w:val="0"/>
      <w:numFmt w:val="bullet"/>
      <w:lvlText w:val="•"/>
      <w:lvlJc w:val="left"/>
      <w:pPr>
        <w:ind w:left="6062" w:hanging="681"/>
      </w:pPr>
      <w:rPr>
        <w:rFonts w:hint="default"/>
      </w:rPr>
    </w:lvl>
    <w:lvl w:ilvl="6">
      <w:start w:val="0"/>
      <w:numFmt w:val="bullet"/>
      <w:lvlText w:val="•"/>
      <w:lvlJc w:val="left"/>
      <w:pPr>
        <w:ind w:left="7139" w:hanging="681"/>
      </w:pPr>
      <w:rPr>
        <w:rFonts w:hint="default"/>
      </w:rPr>
    </w:lvl>
    <w:lvl w:ilvl="7">
      <w:start w:val="0"/>
      <w:numFmt w:val="bullet"/>
      <w:lvlText w:val="•"/>
      <w:lvlJc w:val="left"/>
      <w:pPr>
        <w:ind w:left="8215" w:hanging="681"/>
      </w:pPr>
      <w:rPr>
        <w:rFonts w:hint="default"/>
      </w:rPr>
    </w:lvl>
    <w:lvl w:ilvl="8">
      <w:start w:val="0"/>
      <w:numFmt w:val="bullet"/>
      <w:lvlText w:val="•"/>
      <w:lvlJc w:val="left"/>
      <w:pPr>
        <w:ind w:left="9292" w:hanging="681"/>
      </w:pPr>
      <w:rPr>
        <w:rFonts w:hint="default"/>
      </w:rPr>
    </w:lvl>
  </w:abstractNum>
  <w:abstractNum w:abstractNumId="79">
    <w:multiLevelType w:val="hybridMultilevel"/>
    <w:lvl w:ilvl="0">
      <w:start w:val="7"/>
      <w:numFmt w:val="decimal"/>
      <w:lvlText w:val="%1."/>
      <w:lvlJc w:val="left"/>
      <w:pPr>
        <w:ind w:left="673" w:hanging="681"/>
        <w:jc w:val="left"/>
      </w:pPr>
      <w:rPr>
        <w:rFonts w:hint="default" w:ascii="Verdana" w:hAnsi="Verdana" w:eastAsia="Verdana" w:cs="Verdana"/>
        <w:color w:val="231F20"/>
        <w:spacing w:val="-25"/>
        <w:w w:val="111"/>
        <w:sz w:val="18"/>
        <w:szCs w:val="18"/>
      </w:rPr>
    </w:lvl>
    <w:lvl w:ilvl="1">
      <w:start w:val="9"/>
      <w:numFmt w:val="decimal"/>
      <w:lvlText w:val="%2."/>
      <w:lvlJc w:val="left"/>
      <w:pPr>
        <w:ind w:left="1240" w:hanging="681"/>
        <w:jc w:val="right"/>
      </w:pPr>
      <w:rPr>
        <w:rFonts w:hint="default" w:ascii="Verdana" w:hAnsi="Verdana" w:eastAsia="Verdana" w:cs="Verdana"/>
        <w:color w:val="231F20"/>
        <w:spacing w:val="-8"/>
        <w:w w:val="111"/>
        <w:sz w:val="18"/>
        <w:szCs w:val="18"/>
      </w:rPr>
    </w:lvl>
    <w:lvl w:ilvl="2">
      <w:start w:val="0"/>
      <w:numFmt w:val="bullet"/>
      <w:lvlText w:val="•"/>
      <w:lvlJc w:val="left"/>
      <w:pPr>
        <w:ind w:left="2373" w:hanging="681"/>
      </w:pPr>
      <w:rPr>
        <w:rFonts w:hint="default"/>
      </w:rPr>
    </w:lvl>
    <w:lvl w:ilvl="3">
      <w:start w:val="0"/>
      <w:numFmt w:val="bullet"/>
      <w:lvlText w:val="•"/>
      <w:lvlJc w:val="left"/>
      <w:pPr>
        <w:ind w:left="3507" w:hanging="681"/>
      </w:pPr>
      <w:rPr>
        <w:rFonts w:hint="default"/>
      </w:rPr>
    </w:lvl>
    <w:lvl w:ilvl="4">
      <w:start w:val="0"/>
      <w:numFmt w:val="bullet"/>
      <w:lvlText w:val="•"/>
      <w:lvlJc w:val="left"/>
      <w:pPr>
        <w:ind w:left="4641" w:hanging="681"/>
      </w:pPr>
      <w:rPr>
        <w:rFonts w:hint="default"/>
      </w:rPr>
    </w:lvl>
    <w:lvl w:ilvl="5">
      <w:start w:val="0"/>
      <w:numFmt w:val="bullet"/>
      <w:lvlText w:val="•"/>
      <w:lvlJc w:val="left"/>
      <w:pPr>
        <w:ind w:left="5775" w:hanging="681"/>
      </w:pPr>
      <w:rPr>
        <w:rFonts w:hint="default"/>
      </w:rPr>
    </w:lvl>
    <w:lvl w:ilvl="6">
      <w:start w:val="0"/>
      <w:numFmt w:val="bullet"/>
      <w:lvlText w:val="•"/>
      <w:lvlJc w:val="left"/>
      <w:pPr>
        <w:ind w:left="6909" w:hanging="681"/>
      </w:pPr>
      <w:rPr>
        <w:rFonts w:hint="default"/>
      </w:rPr>
    </w:lvl>
    <w:lvl w:ilvl="7">
      <w:start w:val="0"/>
      <w:numFmt w:val="bullet"/>
      <w:lvlText w:val="•"/>
      <w:lvlJc w:val="left"/>
      <w:pPr>
        <w:ind w:left="8043" w:hanging="681"/>
      </w:pPr>
      <w:rPr>
        <w:rFonts w:hint="default"/>
      </w:rPr>
    </w:lvl>
    <w:lvl w:ilvl="8">
      <w:start w:val="0"/>
      <w:numFmt w:val="bullet"/>
      <w:lvlText w:val="•"/>
      <w:lvlJc w:val="left"/>
      <w:pPr>
        <w:ind w:left="9177" w:hanging="681"/>
      </w:pPr>
      <w:rPr>
        <w:rFonts w:hint="default"/>
      </w:rPr>
    </w:lvl>
  </w:abstractNum>
  <w:abstractNum w:abstractNumId="78">
    <w:multiLevelType w:val="hybridMultilevel"/>
    <w:lvl w:ilvl="0">
      <w:start w:val="1"/>
      <w:numFmt w:val="decimal"/>
      <w:lvlText w:val="%1"/>
      <w:lvlJc w:val="left"/>
      <w:pPr>
        <w:ind w:left="673" w:hanging="720"/>
        <w:jc w:val="left"/>
      </w:pPr>
      <w:rPr>
        <w:rFonts w:hint="default"/>
      </w:rPr>
    </w:lvl>
    <w:lvl w:ilvl="1">
      <w:start w:val="7"/>
      <w:numFmt w:val="decimal"/>
      <w:lvlText w:val="%1.%2"/>
      <w:lvlJc w:val="left"/>
      <w:pPr>
        <w:ind w:left="673" w:hanging="720"/>
        <w:jc w:val="left"/>
      </w:pPr>
      <w:rPr>
        <w:rFonts w:hint="default" w:ascii="Verdana" w:hAnsi="Verdana" w:eastAsia="Verdana" w:cs="Verdana"/>
        <w:color w:val="231F20"/>
        <w:spacing w:val="-9"/>
        <w:w w:val="111"/>
        <w:sz w:val="18"/>
        <w:szCs w:val="18"/>
      </w:rPr>
    </w:lvl>
    <w:lvl w:ilvl="2">
      <w:start w:val="1"/>
      <w:numFmt w:val="decimal"/>
      <w:lvlText w:val="%3."/>
      <w:lvlJc w:val="left"/>
      <w:pPr>
        <w:ind w:left="1240" w:hanging="681"/>
        <w:jc w:val="right"/>
      </w:pPr>
      <w:rPr>
        <w:rFonts w:hint="default" w:ascii="Verdana" w:hAnsi="Verdana" w:eastAsia="Verdana" w:cs="Verdana"/>
        <w:color w:val="231F20"/>
        <w:spacing w:val="-5"/>
        <w:w w:val="111"/>
        <w:sz w:val="18"/>
        <w:szCs w:val="18"/>
      </w:rPr>
    </w:lvl>
    <w:lvl w:ilvl="3">
      <w:start w:val="0"/>
      <w:numFmt w:val="bullet"/>
      <w:lvlText w:val="•"/>
      <w:lvlJc w:val="left"/>
      <w:pPr>
        <w:ind w:left="3507" w:hanging="681"/>
      </w:pPr>
      <w:rPr>
        <w:rFonts w:hint="default"/>
      </w:rPr>
    </w:lvl>
    <w:lvl w:ilvl="4">
      <w:start w:val="0"/>
      <w:numFmt w:val="bullet"/>
      <w:lvlText w:val="•"/>
      <w:lvlJc w:val="left"/>
      <w:pPr>
        <w:ind w:left="4641" w:hanging="681"/>
      </w:pPr>
      <w:rPr>
        <w:rFonts w:hint="default"/>
      </w:rPr>
    </w:lvl>
    <w:lvl w:ilvl="5">
      <w:start w:val="0"/>
      <w:numFmt w:val="bullet"/>
      <w:lvlText w:val="•"/>
      <w:lvlJc w:val="left"/>
      <w:pPr>
        <w:ind w:left="5775" w:hanging="681"/>
      </w:pPr>
      <w:rPr>
        <w:rFonts w:hint="default"/>
      </w:rPr>
    </w:lvl>
    <w:lvl w:ilvl="6">
      <w:start w:val="0"/>
      <w:numFmt w:val="bullet"/>
      <w:lvlText w:val="•"/>
      <w:lvlJc w:val="left"/>
      <w:pPr>
        <w:ind w:left="6909" w:hanging="681"/>
      </w:pPr>
      <w:rPr>
        <w:rFonts w:hint="default"/>
      </w:rPr>
    </w:lvl>
    <w:lvl w:ilvl="7">
      <w:start w:val="0"/>
      <w:numFmt w:val="bullet"/>
      <w:lvlText w:val="•"/>
      <w:lvlJc w:val="left"/>
      <w:pPr>
        <w:ind w:left="8043" w:hanging="681"/>
      </w:pPr>
      <w:rPr>
        <w:rFonts w:hint="default"/>
      </w:rPr>
    </w:lvl>
    <w:lvl w:ilvl="8">
      <w:start w:val="0"/>
      <w:numFmt w:val="bullet"/>
      <w:lvlText w:val="•"/>
      <w:lvlJc w:val="left"/>
      <w:pPr>
        <w:ind w:left="9177" w:hanging="681"/>
      </w:pPr>
      <w:rPr>
        <w:rFonts w:hint="default"/>
      </w:rPr>
    </w:lvl>
  </w:abstractNum>
  <w:abstractNum w:abstractNumId="77">
    <w:multiLevelType w:val="hybridMultilevel"/>
    <w:lvl w:ilvl="0">
      <w:start w:val="5"/>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76">
    <w:multiLevelType w:val="hybridMultilevel"/>
    <w:lvl w:ilvl="0">
      <w:start w:val="4"/>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75">
    <w:multiLevelType w:val="hybridMultilevel"/>
    <w:lvl w:ilvl="0">
      <w:start w:val="3"/>
      <w:numFmt w:val="decimal"/>
      <w:lvlText w:val="%1"/>
      <w:lvlJc w:val="left"/>
      <w:pPr>
        <w:ind w:left="1240" w:hanging="721"/>
        <w:jc w:val="left"/>
      </w:pPr>
      <w:rPr>
        <w:rFonts w:hint="default"/>
      </w:rPr>
    </w:lvl>
    <w:lvl w:ilvl="1">
      <w:start w:val="1"/>
      <w:numFmt w:val="decimal"/>
      <w:lvlText w:val="%1.%2"/>
      <w:lvlJc w:val="left"/>
      <w:pPr>
        <w:ind w:left="1240" w:hanging="721"/>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1"/>
      </w:pPr>
      <w:rPr>
        <w:rFonts w:hint="default"/>
      </w:rPr>
    </w:lvl>
    <w:lvl w:ilvl="3">
      <w:start w:val="0"/>
      <w:numFmt w:val="bullet"/>
      <w:lvlText w:val="•"/>
      <w:lvlJc w:val="left"/>
      <w:pPr>
        <w:ind w:left="4301" w:hanging="721"/>
      </w:pPr>
      <w:rPr>
        <w:rFonts w:hint="default"/>
      </w:rPr>
    </w:lvl>
    <w:lvl w:ilvl="4">
      <w:start w:val="0"/>
      <w:numFmt w:val="bullet"/>
      <w:lvlText w:val="•"/>
      <w:lvlJc w:val="left"/>
      <w:pPr>
        <w:ind w:left="5322" w:hanging="721"/>
      </w:pPr>
      <w:rPr>
        <w:rFonts w:hint="default"/>
      </w:rPr>
    </w:lvl>
    <w:lvl w:ilvl="5">
      <w:start w:val="0"/>
      <w:numFmt w:val="bullet"/>
      <w:lvlText w:val="•"/>
      <w:lvlJc w:val="left"/>
      <w:pPr>
        <w:ind w:left="6342" w:hanging="721"/>
      </w:pPr>
      <w:rPr>
        <w:rFonts w:hint="default"/>
      </w:rPr>
    </w:lvl>
    <w:lvl w:ilvl="6">
      <w:start w:val="0"/>
      <w:numFmt w:val="bullet"/>
      <w:lvlText w:val="•"/>
      <w:lvlJc w:val="left"/>
      <w:pPr>
        <w:ind w:left="7363" w:hanging="721"/>
      </w:pPr>
      <w:rPr>
        <w:rFonts w:hint="default"/>
      </w:rPr>
    </w:lvl>
    <w:lvl w:ilvl="7">
      <w:start w:val="0"/>
      <w:numFmt w:val="bullet"/>
      <w:lvlText w:val="•"/>
      <w:lvlJc w:val="left"/>
      <w:pPr>
        <w:ind w:left="8383" w:hanging="721"/>
      </w:pPr>
      <w:rPr>
        <w:rFonts w:hint="default"/>
      </w:rPr>
    </w:lvl>
    <w:lvl w:ilvl="8">
      <w:start w:val="0"/>
      <w:numFmt w:val="bullet"/>
      <w:lvlText w:val="•"/>
      <w:lvlJc w:val="left"/>
      <w:pPr>
        <w:ind w:left="9404" w:hanging="721"/>
      </w:pPr>
      <w:rPr>
        <w:rFonts w:hint="default"/>
      </w:rPr>
    </w:lvl>
  </w:abstractNum>
  <w:abstractNum w:abstractNumId="74">
    <w:multiLevelType w:val="hybridMultilevel"/>
    <w:lvl w:ilvl="0">
      <w:start w:val="2"/>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73">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72">
    <w:multiLevelType w:val="hybridMultilevel"/>
    <w:lvl w:ilvl="0">
      <w:start w:val="0"/>
      <w:numFmt w:val="bullet"/>
      <w:lvlText w:val="•"/>
      <w:lvlJc w:val="left"/>
      <w:pPr>
        <w:ind w:left="360" w:hanging="360"/>
      </w:pPr>
      <w:rPr>
        <w:rFonts w:hint="default" w:ascii="Verdana" w:hAnsi="Verdana" w:eastAsia="Verdana" w:cs="Verdana"/>
        <w:color w:val="231F20"/>
        <w:w w:val="111"/>
        <w:sz w:val="18"/>
        <w:szCs w:val="18"/>
      </w:rPr>
    </w:lvl>
    <w:lvl w:ilvl="1">
      <w:start w:val="0"/>
      <w:numFmt w:val="bullet"/>
      <w:lvlText w:val="•"/>
      <w:lvlJc w:val="left"/>
      <w:pPr>
        <w:ind w:left="1216" w:hanging="360"/>
      </w:pPr>
      <w:rPr>
        <w:rFonts w:hint="default"/>
      </w:rPr>
    </w:lvl>
    <w:lvl w:ilvl="2">
      <w:start w:val="0"/>
      <w:numFmt w:val="bullet"/>
      <w:lvlText w:val="•"/>
      <w:lvlJc w:val="left"/>
      <w:pPr>
        <w:ind w:left="2073" w:hanging="360"/>
      </w:pPr>
      <w:rPr>
        <w:rFonts w:hint="default"/>
      </w:rPr>
    </w:lvl>
    <w:lvl w:ilvl="3">
      <w:start w:val="0"/>
      <w:numFmt w:val="bullet"/>
      <w:lvlText w:val="•"/>
      <w:lvlJc w:val="left"/>
      <w:pPr>
        <w:ind w:left="2930" w:hanging="360"/>
      </w:pPr>
      <w:rPr>
        <w:rFonts w:hint="default"/>
      </w:rPr>
    </w:lvl>
    <w:lvl w:ilvl="4">
      <w:start w:val="0"/>
      <w:numFmt w:val="bullet"/>
      <w:lvlText w:val="•"/>
      <w:lvlJc w:val="left"/>
      <w:pPr>
        <w:ind w:left="3786" w:hanging="360"/>
      </w:pPr>
      <w:rPr>
        <w:rFonts w:hint="default"/>
      </w:rPr>
    </w:lvl>
    <w:lvl w:ilvl="5">
      <w:start w:val="0"/>
      <w:numFmt w:val="bullet"/>
      <w:lvlText w:val="•"/>
      <w:lvlJc w:val="left"/>
      <w:pPr>
        <w:ind w:left="4643" w:hanging="360"/>
      </w:pPr>
      <w:rPr>
        <w:rFonts w:hint="default"/>
      </w:rPr>
    </w:lvl>
    <w:lvl w:ilvl="6">
      <w:start w:val="0"/>
      <w:numFmt w:val="bullet"/>
      <w:lvlText w:val="•"/>
      <w:lvlJc w:val="left"/>
      <w:pPr>
        <w:ind w:left="5500" w:hanging="360"/>
      </w:pPr>
      <w:rPr>
        <w:rFonts w:hint="default"/>
      </w:rPr>
    </w:lvl>
    <w:lvl w:ilvl="7">
      <w:start w:val="0"/>
      <w:numFmt w:val="bullet"/>
      <w:lvlText w:val="•"/>
      <w:lvlJc w:val="left"/>
      <w:pPr>
        <w:ind w:left="6356" w:hanging="360"/>
      </w:pPr>
      <w:rPr>
        <w:rFonts w:hint="default"/>
      </w:rPr>
    </w:lvl>
    <w:lvl w:ilvl="8">
      <w:start w:val="0"/>
      <w:numFmt w:val="bullet"/>
      <w:lvlText w:val="•"/>
      <w:lvlJc w:val="left"/>
      <w:pPr>
        <w:ind w:left="7213" w:hanging="360"/>
      </w:pPr>
      <w:rPr>
        <w:rFonts w:hint="default"/>
      </w:rPr>
    </w:lvl>
  </w:abstractNum>
  <w:abstractNum w:abstractNumId="71">
    <w:multiLevelType w:val="hybridMultilevel"/>
    <w:lvl w:ilvl="0">
      <w:start w:val="1"/>
      <w:numFmt w:val="decimal"/>
      <w:lvlText w:val="%1"/>
      <w:lvlJc w:val="left"/>
      <w:pPr>
        <w:ind w:left="1070" w:hanging="784"/>
        <w:jc w:val="left"/>
      </w:pPr>
      <w:rPr>
        <w:rFonts w:hint="default" w:ascii="Verdana" w:hAnsi="Verdana" w:eastAsia="Verdana" w:cs="Verdana"/>
        <w:i/>
        <w:color w:val="231F20"/>
        <w:w w:val="111"/>
        <w:sz w:val="18"/>
        <w:szCs w:val="18"/>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373" w:hanging="720"/>
      </w:pPr>
      <w:rPr>
        <w:rFonts w:hint="default"/>
      </w:rPr>
    </w:lvl>
    <w:lvl w:ilvl="3">
      <w:start w:val="0"/>
      <w:numFmt w:val="bullet"/>
      <w:lvlText w:val="•"/>
      <w:lvlJc w:val="left"/>
      <w:pPr>
        <w:ind w:left="3507" w:hanging="720"/>
      </w:pPr>
      <w:rPr>
        <w:rFonts w:hint="default"/>
      </w:rPr>
    </w:lvl>
    <w:lvl w:ilvl="4">
      <w:start w:val="0"/>
      <w:numFmt w:val="bullet"/>
      <w:lvlText w:val="•"/>
      <w:lvlJc w:val="left"/>
      <w:pPr>
        <w:ind w:left="4641" w:hanging="720"/>
      </w:pPr>
      <w:rPr>
        <w:rFonts w:hint="default"/>
      </w:rPr>
    </w:lvl>
    <w:lvl w:ilvl="5">
      <w:start w:val="0"/>
      <w:numFmt w:val="bullet"/>
      <w:lvlText w:val="•"/>
      <w:lvlJc w:val="left"/>
      <w:pPr>
        <w:ind w:left="5775" w:hanging="720"/>
      </w:pPr>
      <w:rPr>
        <w:rFonts w:hint="default"/>
      </w:rPr>
    </w:lvl>
    <w:lvl w:ilvl="6">
      <w:start w:val="0"/>
      <w:numFmt w:val="bullet"/>
      <w:lvlText w:val="•"/>
      <w:lvlJc w:val="left"/>
      <w:pPr>
        <w:ind w:left="6909" w:hanging="720"/>
      </w:pPr>
      <w:rPr>
        <w:rFonts w:hint="default"/>
      </w:rPr>
    </w:lvl>
    <w:lvl w:ilvl="7">
      <w:start w:val="0"/>
      <w:numFmt w:val="bullet"/>
      <w:lvlText w:val="•"/>
      <w:lvlJc w:val="left"/>
      <w:pPr>
        <w:ind w:left="8043" w:hanging="720"/>
      </w:pPr>
      <w:rPr>
        <w:rFonts w:hint="default"/>
      </w:rPr>
    </w:lvl>
    <w:lvl w:ilvl="8">
      <w:start w:val="0"/>
      <w:numFmt w:val="bullet"/>
      <w:lvlText w:val="•"/>
      <w:lvlJc w:val="left"/>
      <w:pPr>
        <w:ind w:left="9177" w:hanging="720"/>
      </w:pPr>
      <w:rPr>
        <w:rFonts w:hint="default"/>
      </w:rPr>
    </w:lvl>
  </w:abstractNum>
  <w:abstractNum w:abstractNumId="70">
    <w:multiLevelType w:val="hybridMultilevel"/>
    <w:lvl w:ilvl="0">
      <w:start w:val="0"/>
      <w:numFmt w:val="bullet"/>
      <w:lvlText w:val="•"/>
      <w:lvlJc w:val="left"/>
      <w:pPr>
        <w:ind w:left="1751" w:hanging="681"/>
      </w:pPr>
      <w:rPr>
        <w:rFonts w:hint="default" w:ascii="Verdana" w:hAnsi="Verdana" w:eastAsia="Verdana" w:cs="Verdana"/>
        <w:i/>
        <w:color w:val="231F20"/>
        <w:w w:val="111"/>
        <w:position w:val="-3"/>
        <w:sz w:val="25"/>
        <w:szCs w:val="25"/>
      </w:rPr>
    </w:lvl>
    <w:lvl w:ilvl="1">
      <w:start w:val="0"/>
      <w:numFmt w:val="bullet"/>
      <w:lvlText w:val="•"/>
      <w:lvlJc w:val="left"/>
      <w:pPr>
        <w:ind w:left="2728" w:hanging="681"/>
      </w:pPr>
      <w:rPr>
        <w:rFonts w:hint="default"/>
      </w:rPr>
    </w:lvl>
    <w:lvl w:ilvl="2">
      <w:start w:val="0"/>
      <w:numFmt w:val="bullet"/>
      <w:lvlText w:val="•"/>
      <w:lvlJc w:val="left"/>
      <w:pPr>
        <w:ind w:left="3697" w:hanging="681"/>
      </w:pPr>
      <w:rPr>
        <w:rFonts w:hint="default"/>
      </w:rPr>
    </w:lvl>
    <w:lvl w:ilvl="3">
      <w:start w:val="0"/>
      <w:numFmt w:val="bullet"/>
      <w:lvlText w:val="•"/>
      <w:lvlJc w:val="left"/>
      <w:pPr>
        <w:ind w:left="4665" w:hanging="681"/>
      </w:pPr>
      <w:rPr>
        <w:rFonts w:hint="default"/>
      </w:rPr>
    </w:lvl>
    <w:lvl w:ilvl="4">
      <w:start w:val="0"/>
      <w:numFmt w:val="bullet"/>
      <w:lvlText w:val="•"/>
      <w:lvlJc w:val="left"/>
      <w:pPr>
        <w:ind w:left="5634" w:hanging="681"/>
      </w:pPr>
      <w:rPr>
        <w:rFonts w:hint="default"/>
      </w:rPr>
    </w:lvl>
    <w:lvl w:ilvl="5">
      <w:start w:val="0"/>
      <w:numFmt w:val="bullet"/>
      <w:lvlText w:val="•"/>
      <w:lvlJc w:val="left"/>
      <w:pPr>
        <w:ind w:left="6602" w:hanging="681"/>
      </w:pPr>
      <w:rPr>
        <w:rFonts w:hint="default"/>
      </w:rPr>
    </w:lvl>
    <w:lvl w:ilvl="6">
      <w:start w:val="0"/>
      <w:numFmt w:val="bullet"/>
      <w:lvlText w:val="•"/>
      <w:lvlJc w:val="left"/>
      <w:pPr>
        <w:ind w:left="7571" w:hanging="681"/>
      </w:pPr>
      <w:rPr>
        <w:rFonts w:hint="default"/>
      </w:rPr>
    </w:lvl>
    <w:lvl w:ilvl="7">
      <w:start w:val="0"/>
      <w:numFmt w:val="bullet"/>
      <w:lvlText w:val="•"/>
      <w:lvlJc w:val="left"/>
      <w:pPr>
        <w:ind w:left="8539" w:hanging="681"/>
      </w:pPr>
      <w:rPr>
        <w:rFonts w:hint="default"/>
      </w:rPr>
    </w:lvl>
    <w:lvl w:ilvl="8">
      <w:start w:val="0"/>
      <w:numFmt w:val="bullet"/>
      <w:lvlText w:val="•"/>
      <w:lvlJc w:val="left"/>
      <w:pPr>
        <w:ind w:left="9508" w:hanging="681"/>
      </w:pPr>
      <w:rPr>
        <w:rFonts w:hint="default"/>
      </w:rPr>
    </w:lvl>
  </w:abstractNum>
  <w:abstractNum w:abstractNumId="69">
    <w:multiLevelType w:val="hybridMultilevel"/>
    <w:lvl w:ilvl="0">
      <w:start w:val="1"/>
      <w:numFmt w:val="decimal"/>
      <w:lvlText w:val="%1"/>
      <w:lvlJc w:val="left"/>
      <w:pPr>
        <w:ind w:left="1070" w:hanging="720"/>
        <w:jc w:val="left"/>
      </w:pPr>
      <w:rPr>
        <w:rFonts w:hint="default"/>
      </w:rPr>
    </w:lvl>
    <w:lvl w:ilvl="1">
      <w:start w:val="1"/>
      <w:numFmt w:val="decimal"/>
      <w:lvlText w:val="%1.%2"/>
      <w:lvlJc w:val="left"/>
      <w:pPr>
        <w:ind w:left="1070" w:hanging="720"/>
        <w:jc w:val="right"/>
      </w:pPr>
      <w:rPr>
        <w:rFonts w:hint="default" w:ascii="Verdana" w:hAnsi="Verdana" w:eastAsia="Verdana" w:cs="Verdana"/>
        <w:color w:val="231F20"/>
        <w:spacing w:val="-10"/>
        <w:w w:val="111"/>
        <w:sz w:val="18"/>
        <w:szCs w:val="18"/>
      </w:rPr>
    </w:lvl>
    <w:lvl w:ilvl="2">
      <w:start w:val="0"/>
      <w:numFmt w:val="bullet"/>
      <w:lvlText w:val="•"/>
      <w:lvlJc w:val="left"/>
      <w:pPr>
        <w:ind w:left="3153" w:hanging="720"/>
      </w:pPr>
      <w:rPr>
        <w:rFonts w:hint="default"/>
      </w:rPr>
    </w:lvl>
    <w:lvl w:ilvl="3">
      <w:start w:val="0"/>
      <w:numFmt w:val="bullet"/>
      <w:lvlText w:val="•"/>
      <w:lvlJc w:val="left"/>
      <w:pPr>
        <w:ind w:left="4189" w:hanging="720"/>
      </w:pPr>
      <w:rPr>
        <w:rFonts w:hint="default"/>
      </w:rPr>
    </w:lvl>
    <w:lvl w:ilvl="4">
      <w:start w:val="0"/>
      <w:numFmt w:val="bullet"/>
      <w:lvlText w:val="•"/>
      <w:lvlJc w:val="left"/>
      <w:pPr>
        <w:ind w:left="5226" w:hanging="720"/>
      </w:pPr>
      <w:rPr>
        <w:rFonts w:hint="default"/>
      </w:rPr>
    </w:lvl>
    <w:lvl w:ilvl="5">
      <w:start w:val="0"/>
      <w:numFmt w:val="bullet"/>
      <w:lvlText w:val="•"/>
      <w:lvlJc w:val="left"/>
      <w:pPr>
        <w:ind w:left="6262" w:hanging="720"/>
      </w:pPr>
      <w:rPr>
        <w:rFonts w:hint="default"/>
      </w:rPr>
    </w:lvl>
    <w:lvl w:ilvl="6">
      <w:start w:val="0"/>
      <w:numFmt w:val="bullet"/>
      <w:lvlText w:val="•"/>
      <w:lvlJc w:val="left"/>
      <w:pPr>
        <w:ind w:left="7299" w:hanging="720"/>
      </w:pPr>
      <w:rPr>
        <w:rFonts w:hint="default"/>
      </w:rPr>
    </w:lvl>
    <w:lvl w:ilvl="7">
      <w:start w:val="0"/>
      <w:numFmt w:val="bullet"/>
      <w:lvlText w:val="•"/>
      <w:lvlJc w:val="left"/>
      <w:pPr>
        <w:ind w:left="8335" w:hanging="720"/>
      </w:pPr>
      <w:rPr>
        <w:rFonts w:hint="default"/>
      </w:rPr>
    </w:lvl>
    <w:lvl w:ilvl="8">
      <w:start w:val="0"/>
      <w:numFmt w:val="bullet"/>
      <w:lvlText w:val="•"/>
      <w:lvlJc w:val="left"/>
      <w:pPr>
        <w:ind w:left="9372" w:hanging="720"/>
      </w:pPr>
      <w:rPr>
        <w:rFonts w:hint="default"/>
      </w:rPr>
    </w:lvl>
  </w:abstractNum>
  <w:abstractNum w:abstractNumId="68">
    <w:multiLevelType w:val="hybridMultilevel"/>
    <w:lvl w:ilvl="0">
      <w:start w:val="1"/>
      <w:numFmt w:val="decimal"/>
      <w:lvlText w:val="%1."/>
      <w:lvlJc w:val="left"/>
      <w:pPr>
        <w:ind w:left="928" w:hanging="720"/>
        <w:jc w:val="right"/>
      </w:pPr>
      <w:rPr>
        <w:rFonts w:hint="default" w:ascii="Verdana" w:hAnsi="Verdana" w:eastAsia="Verdana" w:cs="Verdana"/>
        <w:color w:val="231F20"/>
        <w:spacing w:val="-5"/>
        <w:w w:val="111"/>
        <w:sz w:val="18"/>
        <w:szCs w:val="18"/>
      </w:rPr>
    </w:lvl>
    <w:lvl w:ilvl="1">
      <w:start w:val="1"/>
      <w:numFmt w:val="decimal"/>
      <w:lvlText w:val="%2."/>
      <w:lvlJc w:val="left"/>
      <w:pPr>
        <w:ind w:left="976" w:hanging="720"/>
        <w:jc w:val="right"/>
      </w:pPr>
      <w:rPr>
        <w:rFonts w:hint="default" w:ascii="Verdana" w:hAnsi="Verdana" w:eastAsia="Verdana" w:cs="Verdana"/>
        <w:color w:val="231F20"/>
        <w:spacing w:val="-5"/>
        <w:w w:val="111"/>
        <w:sz w:val="18"/>
        <w:szCs w:val="18"/>
      </w:rPr>
    </w:lvl>
    <w:lvl w:ilvl="2">
      <w:start w:val="0"/>
      <w:numFmt w:val="bullet"/>
      <w:lvlText w:val="•"/>
      <w:lvlJc w:val="left"/>
      <w:pPr>
        <w:ind w:left="1240" w:hanging="720"/>
      </w:pPr>
      <w:rPr>
        <w:rFonts w:hint="default"/>
      </w:rPr>
    </w:lvl>
    <w:lvl w:ilvl="3">
      <w:start w:val="0"/>
      <w:numFmt w:val="bullet"/>
      <w:lvlText w:val="•"/>
      <w:lvlJc w:val="left"/>
      <w:pPr>
        <w:ind w:left="2515" w:hanging="720"/>
      </w:pPr>
      <w:rPr>
        <w:rFonts w:hint="default"/>
      </w:rPr>
    </w:lvl>
    <w:lvl w:ilvl="4">
      <w:start w:val="0"/>
      <w:numFmt w:val="bullet"/>
      <w:lvlText w:val="•"/>
      <w:lvlJc w:val="left"/>
      <w:pPr>
        <w:ind w:left="3791" w:hanging="720"/>
      </w:pPr>
      <w:rPr>
        <w:rFonts w:hint="default"/>
      </w:rPr>
    </w:lvl>
    <w:lvl w:ilvl="5">
      <w:start w:val="0"/>
      <w:numFmt w:val="bullet"/>
      <w:lvlText w:val="•"/>
      <w:lvlJc w:val="left"/>
      <w:pPr>
        <w:ind w:left="5067" w:hanging="720"/>
      </w:pPr>
      <w:rPr>
        <w:rFonts w:hint="default"/>
      </w:rPr>
    </w:lvl>
    <w:lvl w:ilvl="6">
      <w:start w:val="0"/>
      <w:numFmt w:val="bullet"/>
      <w:lvlText w:val="•"/>
      <w:lvlJc w:val="left"/>
      <w:pPr>
        <w:ind w:left="6342" w:hanging="720"/>
      </w:pPr>
      <w:rPr>
        <w:rFonts w:hint="default"/>
      </w:rPr>
    </w:lvl>
    <w:lvl w:ilvl="7">
      <w:start w:val="0"/>
      <w:numFmt w:val="bullet"/>
      <w:lvlText w:val="•"/>
      <w:lvlJc w:val="left"/>
      <w:pPr>
        <w:ind w:left="7618" w:hanging="720"/>
      </w:pPr>
      <w:rPr>
        <w:rFonts w:hint="default"/>
      </w:rPr>
    </w:lvl>
    <w:lvl w:ilvl="8">
      <w:start w:val="0"/>
      <w:numFmt w:val="bullet"/>
      <w:lvlText w:val="•"/>
      <w:lvlJc w:val="left"/>
      <w:pPr>
        <w:ind w:left="8894" w:hanging="720"/>
      </w:pPr>
      <w:rPr>
        <w:rFonts w:hint="default"/>
      </w:rPr>
    </w:lvl>
  </w:abstractNum>
  <w:abstractNum w:abstractNumId="67">
    <w:multiLevelType w:val="hybridMultilevel"/>
    <w:lvl w:ilvl="0">
      <w:start w:val="1"/>
      <w:numFmt w:val="decimal"/>
      <w:lvlText w:val="%1"/>
      <w:lvlJc w:val="left"/>
      <w:pPr>
        <w:ind w:left="1582" w:hanging="720"/>
        <w:jc w:val="left"/>
      </w:pPr>
      <w:rPr>
        <w:rFonts w:hint="default"/>
      </w:rPr>
    </w:lvl>
    <w:lvl w:ilvl="1">
      <w:start w:val="1"/>
      <w:numFmt w:val="decimal"/>
      <w:lvlText w:val="%1.%2"/>
      <w:lvlJc w:val="left"/>
      <w:pPr>
        <w:ind w:left="1582"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1656" w:hanging="681"/>
      </w:pPr>
      <w:rPr>
        <w:rFonts w:hint="default" w:ascii="Verdana" w:hAnsi="Verdana" w:eastAsia="Verdana" w:cs="Verdana"/>
        <w:color w:val="231F20"/>
        <w:w w:val="111"/>
        <w:position w:val="-3"/>
        <w:sz w:val="25"/>
        <w:szCs w:val="25"/>
      </w:rPr>
    </w:lvl>
    <w:lvl w:ilvl="3">
      <w:start w:val="0"/>
      <w:numFmt w:val="bullet"/>
      <w:lvlText w:val="•"/>
      <w:lvlJc w:val="left"/>
      <w:pPr>
        <w:ind w:left="3834" w:hanging="681"/>
      </w:pPr>
      <w:rPr>
        <w:rFonts w:hint="default"/>
      </w:rPr>
    </w:lvl>
    <w:lvl w:ilvl="4">
      <w:start w:val="0"/>
      <w:numFmt w:val="bullet"/>
      <w:lvlText w:val="•"/>
      <w:lvlJc w:val="left"/>
      <w:pPr>
        <w:ind w:left="4921" w:hanging="681"/>
      </w:pPr>
      <w:rPr>
        <w:rFonts w:hint="default"/>
      </w:rPr>
    </w:lvl>
    <w:lvl w:ilvl="5">
      <w:start w:val="0"/>
      <w:numFmt w:val="bullet"/>
      <w:lvlText w:val="•"/>
      <w:lvlJc w:val="left"/>
      <w:pPr>
        <w:ind w:left="6009" w:hanging="681"/>
      </w:pPr>
      <w:rPr>
        <w:rFonts w:hint="default"/>
      </w:rPr>
    </w:lvl>
    <w:lvl w:ilvl="6">
      <w:start w:val="0"/>
      <w:numFmt w:val="bullet"/>
      <w:lvlText w:val="•"/>
      <w:lvlJc w:val="left"/>
      <w:pPr>
        <w:ind w:left="7096" w:hanging="681"/>
      </w:pPr>
      <w:rPr>
        <w:rFonts w:hint="default"/>
      </w:rPr>
    </w:lvl>
    <w:lvl w:ilvl="7">
      <w:start w:val="0"/>
      <w:numFmt w:val="bullet"/>
      <w:lvlText w:val="•"/>
      <w:lvlJc w:val="left"/>
      <w:pPr>
        <w:ind w:left="8183" w:hanging="681"/>
      </w:pPr>
      <w:rPr>
        <w:rFonts w:hint="default"/>
      </w:rPr>
    </w:lvl>
    <w:lvl w:ilvl="8">
      <w:start w:val="0"/>
      <w:numFmt w:val="bullet"/>
      <w:lvlText w:val="•"/>
      <w:lvlJc w:val="left"/>
      <w:pPr>
        <w:ind w:left="9270" w:hanging="681"/>
      </w:pPr>
      <w:rPr>
        <w:rFonts w:hint="default"/>
      </w:rPr>
    </w:lvl>
  </w:abstractNum>
  <w:abstractNum w:abstractNumId="66">
    <w:multiLevelType w:val="hybridMultilevel"/>
    <w:lvl w:ilvl="0">
      <w:start w:val="1"/>
      <w:numFmt w:val="decimal"/>
      <w:lvlText w:val="%1."/>
      <w:lvlJc w:val="left"/>
      <w:pPr>
        <w:ind w:left="1393" w:hanging="720"/>
        <w:jc w:val="left"/>
      </w:pPr>
      <w:rPr>
        <w:rFonts w:hint="default" w:ascii="Verdana" w:hAnsi="Verdana" w:eastAsia="Verdana" w:cs="Verdana"/>
        <w:b/>
        <w:bCs/>
        <w:color w:val="231F20"/>
        <w:spacing w:val="0"/>
        <w:w w:val="111"/>
        <w:sz w:val="18"/>
        <w:szCs w:val="18"/>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516" w:hanging="720"/>
      </w:pPr>
      <w:rPr>
        <w:rFonts w:hint="default"/>
      </w:rPr>
    </w:lvl>
    <w:lvl w:ilvl="3">
      <w:start w:val="0"/>
      <w:numFmt w:val="bullet"/>
      <w:lvlText w:val="•"/>
      <w:lvlJc w:val="left"/>
      <w:pPr>
        <w:ind w:left="3632" w:hanging="720"/>
      </w:pPr>
      <w:rPr>
        <w:rFonts w:hint="default"/>
      </w:rPr>
    </w:lvl>
    <w:lvl w:ilvl="4">
      <w:start w:val="0"/>
      <w:numFmt w:val="bullet"/>
      <w:lvlText w:val="•"/>
      <w:lvlJc w:val="left"/>
      <w:pPr>
        <w:ind w:left="4748" w:hanging="720"/>
      </w:pPr>
      <w:rPr>
        <w:rFonts w:hint="default"/>
      </w:rPr>
    </w:lvl>
    <w:lvl w:ilvl="5">
      <w:start w:val="0"/>
      <w:numFmt w:val="bullet"/>
      <w:lvlText w:val="•"/>
      <w:lvlJc w:val="left"/>
      <w:pPr>
        <w:ind w:left="5864" w:hanging="720"/>
      </w:pPr>
      <w:rPr>
        <w:rFonts w:hint="default"/>
      </w:rPr>
    </w:lvl>
    <w:lvl w:ilvl="6">
      <w:start w:val="0"/>
      <w:numFmt w:val="bullet"/>
      <w:lvlText w:val="•"/>
      <w:lvlJc w:val="left"/>
      <w:pPr>
        <w:ind w:left="6980" w:hanging="720"/>
      </w:pPr>
      <w:rPr>
        <w:rFonts w:hint="default"/>
      </w:rPr>
    </w:lvl>
    <w:lvl w:ilvl="7">
      <w:start w:val="0"/>
      <w:numFmt w:val="bullet"/>
      <w:lvlText w:val="•"/>
      <w:lvlJc w:val="left"/>
      <w:pPr>
        <w:ind w:left="8097" w:hanging="720"/>
      </w:pPr>
      <w:rPr>
        <w:rFonts w:hint="default"/>
      </w:rPr>
    </w:lvl>
    <w:lvl w:ilvl="8">
      <w:start w:val="0"/>
      <w:numFmt w:val="bullet"/>
      <w:lvlText w:val="•"/>
      <w:lvlJc w:val="left"/>
      <w:pPr>
        <w:ind w:left="9213" w:hanging="720"/>
      </w:pPr>
      <w:rPr>
        <w:rFonts w:hint="default"/>
      </w:rPr>
    </w:lvl>
  </w:abstractNum>
  <w:abstractNum w:abstractNumId="65">
    <w:multiLevelType w:val="hybridMultilevel"/>
    <w:lvl w:ilvl="0">
      <w:start w:val="1"/>
      <w:numFmt w:val="decimal"/>
      <w:lvlText w:val="%1."/>
      <w:lvlJc w:val="left"/>
      <w:pPr>
        <w:ind w:left="1393" w:hanging="720"/>
        <w:jc w:val="left"/>
      </w:pPr>
      <w:rPr>
        <w:rFonts w:hint="default" w:ascii="Verdana" w:hAnsi="Verdana" w:eastAsia="Verdana" w:cs="Verdana"/>
        <w:b/>
        <w:bCs/>
        <w:color w:val="231F20"/>
        <w:spacing w:val="0"/>
        <w:w w:val="111"/>
        <w:sz w:val="18"/>
        <w:szCs w:val="18"/>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516" w:hanging="720"/>
      </w:pPr>
      <w:rPr>
        <w:rFonts w:hint="default"/>
      </w:rPr>
    </w:lvl>
    <w:lvl w:ilvl="3">
      <w:start w:val="0"/>
      <w:numFmt w:val="bullet"/>
      <w:lvlText w:val="•"/>
      <w:lvlJc w:val="left"/>
      <w:pPr>
        <w:ind w:left="3632" w:hanging="720"/>
      </w:pPr>
      <w:rPr>
        <w:rFonts w:hint="default"/>
      </w:rPr>
    </w:lvl>
    <w:lvl w:ilvl="4">
      <w:start w:val="0"/>
      <w:numFmt w:val="bullet"/>
      <w:lvlText w:val="•"/>
      <w:lvlJc w:val="left"/>
      <w:pPr>
        <w:ind w:left="4748" w:hanging="720"/>
      </w:pPr>
      <w:rPr>
        <w:rFonts w:hint="default"/>
      </w:rPr>
    </w:lvl>
    <w:lvl w:ilvl="5">
      <w:start w:val="0"/>
      <w:numFmt w:val="bullet"/>
      <w:lvlText w:val="•"/>
      <w:lvlJc w:val="left"/>
      <w:pPr>
        <w:ind w:left="5864" w:hanging="720"/>
      </w:pPr>
      <w:rPr>
        <w:rFonts w:hint="default"/>
      </w:rPr>
    </w:lvl>
    <w:lvl w:ilvl="6">
      <w:start w:val="0"/>
      <w:numFmt w:val="bullet"/>
      <w:lvlText w:val="•"/>
      <w:lvlJc w:val="left"/>
      <w:pPr>
        <w:ind w:left="6980" w:hanging="720"/>
      </w:pPr>
      <w:rPr>
        <w:rFonts w:hint="default"/>
      </w:rPr>
    </w:lvl>
    <w:lvl w:ilvl="7">
      <w:start w:val="0"/>
      <w:numFmt w:val="bullet"/>
      <w:lvlText w:val="•"/>
      <w:lvlJc w:val="left"/>
      <w:pPr>
        <w:ind w:left="8097" w:hanging="720"/>
      </w:pPr>
      <w:rPr>
        <w:rFonts w:hint="default"/>
      </w:rPr>
    </w:lvl>
    <w:lvl w:ilvl="8">
      <w:start w:val="0"/>
      <w:numFmt w:val="bullet"/>
      <w:lvlText w:val="•"/>
      <w:lvlJc w:val="left"/>
      <w:pPr>
        <w:ind w:left="9213" w:hanging="720"/>
      </w:pPr>
      <w:rPr>
        <w:rFonts w:hint="default"/>
      </w:rPr>
    </w:lvl>
  </w:abstractNum>
  <w:abstractNum w:abstractNumId="64">
    <w:multiLevelType w:val="hybridMultilevel"/>
    <w:lvl w:ilvl="0">
      <w:start w:val="1"/>
      <w:numFmt w:val="decimal"/>
      <w:lvlText w:val="%1."/>
      <w:lvlJc w:val="left"/>
      <w:pPr>
        <w:ind w:left="1393" w:hanging="720"/>
        <w:jc w:val="left"/>
      </w:pPr>
      <w:rPr>
        <w:rFonts w:hint="default" w:ascii="Verdana" w:hAnsi="Verdana" w:eastAsia="Verdana" w:cs="Verdana"/>
        <w:b/>
        <w:bCs/>
        <w:color w:val="231F20"/>
        <w:spacing w:val="0"/>
        <w:w w:val="111"/>
        <w:sz w:val="18"/>
        <w:szCs w:val="18"/>
      </w:rPr>
    </w:lvl>
    <w:lvl w:ilvl="1">
      <w:start w:val="1"/>
      <w:numFmt w:val="decimal"/>
      <w:lvlText w:val="%1.%2"/>
      <w:lvlJc w:val="left"/>
      <w:pPr>
        <w:ind w:left="1354" w:hanging="681"/>
        <w:jc w:val="left"/>
      </w:pPr>
      <w:rPr>
        <w:rFonts w:hint="default" w:ascii="Verdana" w:hAnsi="Verdana" w:eastAsia="Verdana" w:cs="Verdana"/>
        <w:color w:val="231F20"/>
        <w:spacing w:val="-8"/>
        <w:w w:val="111"/>
        <w:sz w:val="18"/>
        <w:szCs w:val="18"/>
      </w:rPr>
    </w:lvl>
    <w:lvl w:ilvl="2">
      <w:start w:val="0"/>
      <w:numFmt w:val="bullet"/>
      <w:lvlText w:val="•"/>
      <w:lvlJc w:val="left"/>
      <w:pPr>
        <w:ind w:left="2516" w:hanging="681"/>
      </w:pPr>
      <w:rPr>
        <w:rFonts w:hint="default"/>
      </w:rPr>
    </w:lvl>
    <w:lvl w:ilvl="3">
      <w:start w:val="0"/>
      <w:numFmt w:val="bullet"/>
      <w:lvlText w:val="•"/>
      <w:lvlJc w:val="left"/>
      <w:pPr>
        <w:ind w:left="3632" w:hanging="681"/>
      </w:pPr>
      <w:rPr>
        <w:rFonts w:hint="default"/>
      </w:rPr>
    </w:lvl>
    <w:lvl w:ilvl="4">
      <w:start w:val="0"/>
      <w:numFmt w:val="bullet"/>
      <w:lvlText w:val="•"/>
      <w:lvlJc w:val="left"/>
      <w:pPr>
        <w:ind w:left="4748" w:hanging="681"/>
      </w:pPr>
      <w:rPr>
        <w:rFonts w:hint="default"/>
      </w:rPr>
    </w:lvl>
    <w:lvl w:ilvl="5">
      <w:start w:val="0"/>
      <w:numFmt w:val="bullet"/>
      <w:lvlText w:val="•"/>
      <w:lvlJc w:val="left"/>
      <w:pPr>
        <w:ind w:left="5864" w:hanging="681"/>
      </w:pPr>
      <w:rPr>
        <w:rFonts w:hint="default"/>
      </w:rPr>
    </w:lvl>
    <w:lvl w:ilvl="6">
      <w:start w:val="0"/>
      <w:numFmt w:val="bullet"/>
      <w:lvlText w:val="•"/>
      <w:lvlJc w:val="left"/>
      <w:pPr>
        <w:ind w:left="6980" w:hanging="681"/>
      </w:pPr>
      <w:rPr>
        <w:rFonts w:hint="default"/>
      </w:rPr>
    </w:lvl>
    <w:lvl w:ilvl="7">
      <w:start w:val="0"/>
      <w:numFmt w:val="bullet"/>
      <w:lvlText w:val="•"/>
      <w:lvlJc w:val="left"/>
      <w:pPr>
        <w:ind w:left="8097" w:hanging="681"/>
      </w:pPr>
      <w:rPr>
        <w:rFonts w:hint="default"/>
      </w:rPr>
    </w:lvl>
    <w:lvl w:ilvl="8">
      <w:start w:val="0"/>
      <w:numFmt w:val="bullet"/>
      <w:lvlText w:val="•"/>
      <w:lvlJc w:val="left"/>
      <w:pPr>
        <w:ind w:left="9213" w:hanging="681"/>
      </w:pPr>
      <w:rPr>
        <w:rFonts w:hint="default"/>
      </w:rPr>
    </w:lvl>
  </w:abstractNum>
  <w:abstractNum w:abstractNumId="63">
    <w:multiLevelType w:val="hybridMultilevel"/>
    <w:lvl w:ilvl="0">
      <w:start w:val="3"/>
      <w:numFmt w:val="decimal"/>
      <w:lvlText w:val="%1"/>
      <w:lvlJc w:val="left"/>
      <w:pPr>
        <w:ind w:left="2510" w:hanging="720"/>
        <w:jc w:val="left"/>
      </w:pPr>
      <w:rPr>
        <w:rFonts w:hint="default"/>
      </w:rPr>
    </w:lvl>
    <w:lvl w:ilvl="1">
      <w:start w:val="11"/>
      <w:numFmt w:val="decimal"/>
      <w:lvlText w:val="%1.%2"/>
      <w:lvlJc w:val="left"/>
      <w:pPr>
        <w:ind w:left="2510" w:hanging="720"/>
        <w:jc w:val="left"/>
      </w:pPr>
      <w:rPr>
        <w:rFonts w:hint="default" w:ascii="Verdana" w:hAnsi="Verdana" w:eastAsia="Verdana" w:cs="Verdana"/>
        <w:color w:val="231F20"/>
        <w:spacing w:val="-10"/>
        <w:w w:val="111"/>
        <w:sz w:val="18"/>
        <w:szCs w:val="18"/>
      </w:rPr>
    </w:lvl>
    <w:lvl w:ilvl="2">
      <w:start w:val="1"/>
      <w:numFmt w:val="decimal"/>
      <w:lvlText w:val="%1.%2.%3"/>
      <w:lvlJc w:val="left"/>
      <w:pPr>
        <w:ind w:left="251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5197" w:hanging="720"/>
      </w:pPr>
      <w:rPr>
        <w:rFonts w:hint="default"/>
      </w:rPr>
    </w:lvl>
    <w:lvl w:ilvl="4">
      <w:start w:val="0"/>
      <w:numFmt w:val="bullet"/>
      <w:lvlText w:val="•"/>
      <w:lvlJc w:val="left"/>
      <w:pPr>
        <w:ind w:left="6090" w:hanging="720"/>
      </w:pPr>
      <w:rPr>
        <w:rFonts w:hint="default"/>
      </w:rPr>
    </w:lvl>
    <w:lvl w:ilvl="5">
      <w:start w:val="0"/>
      <w:numFmt w:val="bullet"/>
      <w:lvlText w:val="•"/>
      <w:lvlJc w:val="left"/>
      <w:pPr>
        <w:ind w:left="6982" w:hanging="720"/>
      </w:pPr>
      <w:rPr>
        <w:rFonts w:hint="default"/>
      </w:rPr>
    </w:lvl>
    <w:lvl w:ilvl="6">
      <w:start w:val="0"/>
      <w:numFmt w:val="bullet"/>
      <w:lvlText w:val="•"/>
      <w:lvlJc w:val="left"/>
      <w:pPr>
        <w:ind w:left="7875" w:hanging="720"/>
      </w:pPr>
      <w:rPr>
        <w:rFonts w:hint="default"/>
      </w:rPr>
    </w:lvl>
    <w:lvl w:ilvl="7">
      <w:start w:val="0"/>
      <w:numFmt w:val="bullet"/>
      <w:lvlText w:val="•"/>
      <w:lvlJc w:val="left"/>
      <w:pPr>
        <w:ind w:left="8767" w:hanging="720"/>
      </w:pPr>
      <w:rPr>
        <w:rFonts w:hint="default"/>
      </w:rPr>
    </w:lvl>
    <w:lvl w:ilvl="8">
      <w:start w:val="0"/>
      <w:numFmt w:val="bullet"/>
      <w:lvlText w:val="•"/>
      <w:lvlJc w:val="left"/>
      <w:pPr>
        <w:ind w:left="9660" w:hanging="720"/>
      </w:pPr>
      <w:rPr>
        <w:rFonts w:hint="default"/>
      </w:rPr>
    </w:lvl>
  </w:abstractNum>
  <w:abstractNum w:abstractNumId="62">
    <w:multiLevelType w:val="hybridMultilevel"/>
    <w:lvl w:ilvl="0">
      <w:start w:val="3"/>
      <w:numFmt w:val="decimal"/>
      <w:lvlText w:val="%1"/>
      <w:lvlJc w:val="left"/>
      <w:pPr>
        <w:ind w:left="2510" w:hanging="720"/>
        <w:jc w:val="left"/>
      </w:pPr>
      <w:rPr>
        <w:rFonts w:hint="default"/>
      </w:rPr>
    </w:lvl>
    <w:lvl w:ilvl="1">
      <w:start w:val="6"/>
      <w:numFmt w:val="decimal"/>
      <w:lvlText w:val="%1.%2"/>
      <w:lvlJc w:val="left"/>
      <w:pPr>
        <w:ind w:left="2510" w:hanging="720"/>
        <w:jc w:val="left"/>
      </w:pPr>
      <w:rPr>
        <w:rFonts w:hint="default" w:ascii="Verdana" w:hAnsi="Verdana" w:eastAsia="Verdana" w:cs="Verdana"/>
        <w:color w:val="231F20"/>
        <w:spacing w:val="-4"/>
        <w:w w:val="111"/>
        <w:sz w:val="18"/>
        <w:szCs w:val="18"/>
      </w:rPr>
    </w:lvl>
    <w:lvl w:ilvl="2">
      <w:start w:val="0"/>
      <w:numFmt w:val="bullet"/>
      <w:lvlText w:val="•"/>
      <w:lvlJc w:val="left"/>
      <w:pPr>
        <w:ind w:left="4305" w:hanging="720"/>
      </w:pPr>
      <w:rPr>
        <w:rFonts w:hint="default"/>
      </w:rPr>
    </w:lvl>
    <w:lvl w:ilvl="3">
      <w:start w:val="0"/>
      <w:numFmt w:val="bullet"/>
      <w:lvlText w:val="•"/>
      <w:lvlJc w:val="left"/>
      <w:pPr>
        <w:ind w:left="5197" w:hanging="720"/>
      </w:pPr>
      <w:rPr>
        <w:rFonts w:hint="default"/>
      </w:rPr>
    </w:lvl>
    <w:lvl w:ilvl="4">
      <w:start w:val="0"/>
      <w:numFmt w:val="bullet"/>
      <w:lvlText w:val="•"/>
      <w:lvlJc w:val="left"/>
      <w:pPr>
        <w:ind w:left="6090" w:hanging="720"/>
      </w:pPr>
      <w:rPr>
        <w:rFonts w:hint="default"/>
      </w:rPr>
    </w:lvl>
    <w:lvl w:ilvl="5">
      <w:start w:val="0"/>
      <w:numFmt w:val="bullet"/>
      <w:lvlText w:val="•"/>
      <w:lvlJc w:val="left"/>
      <w:pPr>
        <w:ind w:left="6982" w:hanging="720"/>
      </w:pPr>
      <w:rPr>
        <w:rFonts w:hint="default"/>
      </w:rPr>
    </w:lvl>
    <w:lvl w:ilvl="6">
      <w:start w:val="0"/>
      <w:numFmt w:val="bullet"/>
      <w:lvlText w:val="•"/>
      <w:lvlJc w:val="left"/>
      <w:pPr>
        <w:ind w:left="7875" w:hanging="720"/>
      </w:pPr>
      <w:rPr>
        <w:rFonts w:hint="default"/>
      </w:rPr>
    </w:lvl>
    <w:lvl w:ilvl="7">
      <w:start w:val="0"/>
      <w:numFmt w:val="bullet"/>
      <w:lvlText w:val="•"/>
      <w:lvlJc w:val="left"/>
      <w:pPr>
        <w:ind w:left="8767" w:hanging="720"/>
      </w:pPr>
      <w:rPr>
        <w:rFonts w:hint="default"/>
      </w:rPr>
    </w:lvl>
    <w:lvl w:ilvl="8">
      <w:start w:val="0"/>
      <w:numFmt w:val="bullet"/>
      <w:lvlText w:val="•"/>
      <w:lvlJc w:val="left"/>
      <w:pPr>
        <w:ind w:left="9660" w:hanging="720"/>
      </w:pPr>
      <w:rPr>
        <w:rFonts w:hint="default"/>
      </w:rPr>
    </w:lvl>
  </w:abstractNum>
  <w:abstractNum w:abstractNumId="61">
    <w:multiLevelType w:val="hybridMultilevel"/>
    <w:lvl w:ilvl="0">
      <w:start w:val="3"/>
      <w:numFmt w:val="decimal"/>
      <w:lvlText w:val="%1"/>
      <w:lvlJc w:val="left"/>
      <w:pPr>
        <w:ind w:left="2510" w:hanging="720"/>
        <w:jc w:val="left"/>
      </w:pPr>
      <w:rPr>
        <w:rFonts w:hint="default"/>
      </w:rPr>
    </w:lvl>
    <w:lvl w:ilvl="1">
      <w:start w:val="14"/>
      <w:numFmt w:val="decimal"/>
      <w:lvlText w:val="%1.%2"/>
      <w:lvlJc w:val="left"/>
      <w:pPr>
        <w:ind w:left="2510" w:hanging="720"/>
        <w:jc w:val="left"/>
      </w:pPr>
      <w:rPr>
        <w:rFonts w:hint="default" w:ascii="Verdana" w:hAnsi="Verdana" w:eastAsia="Verdana" w:cs="Verdana"/>
        <w:color w:val="231F20"/>
        <w:spacing w:val="-11"/>
        <w:w w:val="111"/>
        <w:sz w:val="18"/>
        <w:szCs w:val="18"/>
      </w:rPr>
    </w:lvl>
    <w:lvl w:ilvl="2">
      <w:start w:val="1"/>
      <w:numFmt w:val="decimal"/>
      <w:lvlText w:val="%1.%2.%3"/>
      <w:lvlJc w:val="left"/>
      <w:pPr>
        <w:ind w:left="251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5197" w:hanging="720"/>
      </w:pPr>
      <w:rPr>
        <w:rFonts w:hint="default"/>
      </w:rPr>
    </w:lvl>
    <w:lvl w:ilvl="4">
      <w:start w:val="0"/>
      <w:numFmt w:val="bullet"/>
      <w:lvlText w:val="•"/>
      <w:lvlJc w:val="left"/>
      <w:pPr>
        <w:ind w:left="6090" w:hanging="720"/>
      </w:pPr>
      <w:rPr>
        <w:rFonts w:hint="default"/>
      </w:rPr>
    </w:lvl>
    <w:lvl w:ilvl="5">
      <w:start w:val="0"/>
      <w:numFmt w:val="bullet"/>
      <w:lvlText w:val="•"/>
      <w:lvlJc w:val="left"/>
      <w:pPr>
        <w:ind w:left="6982" w:hanging="720"/>
      </w:pPr>
      <w:rPr>
        <w:rFonts w:hint="default"/>
      </w:rPr>
    </w:lvl>
    <w:lvl w:ilvl="6">
      <w:start w:val="0"/>
      <w:numFmt w:val="bullet"/>
      <w:lvlText w:val="•"/>
      <w:lvlJc w:val="left"/>
      <w:pPr>
        <w:ind w:left="7875" w:hanging="720"/>
      </w:pPr>
      <w:rPr>
        <w:rFonts w:hint="default"/>
      </w:rPr>
    </w:lvl>
    <w:lvl w:ilvl="7">
      <w:start w:val="0"/>
      <w:numFmt w:val="bullet"/>
      <w:lvlText w:val="•"/>
      <w:lvlJc w:val="left"/>
      <w:pPr>
        <w:ind w:left="8767" w:hanging="720"/>
      </w:pPr>
      <w:rPr>
        <w:rFonts w:hint="default"/>
      </w:rPr>
    </w:lvl>
    <w:lvl w:ilvl="8">
      <w:start w:val="0"/>
      <w:numFmt w:val="bullet"/>
      <w:lvlText w:val="•"/>
      <w:lvlJc w:val="left"/>
      <w:pPr>
        <w:ind w:left="9660" w:hanging="720"/>
      </w:pPr>
      <w:rPr>
        <w:rFonts w:hint="default"/>
      </w:rPr>
    </w:lvl>
  </w:abstractNum>
  <w:abstractNum w:abstractNumId="60">
    <w:multiLevelType w:val="hybridMultilevel"/>
    <w:lvl w:ilvl="0">
      <w:start w:val="3"/>
      <w:numFmt w:val="decimal"/>
      <w:lvlText w:val="%1"/>
      <w:lvlJc w:val="left"/>
      <w:pPr>
        <w:ind w:left="2510" w:hanging="720"/>
        <w:jc w:val="left"/>
      </w:pPr>
      <w:rPr>
        <w:rFonts w:hint="default"/>
      </w:rPr>
    </w:lvl>
    <w:lvl w:ilvl="1">
      <w:start w:val="10"/>
      <w:numFmt w:val="decimal"/>
      <w:lvlText w:val="%1.%2"/>
      <w:lvlJc w:val="left"/>
      <w:pPr>
        <w:ind w:left="2510" w:hanging="720"/>
        <w:jc w:val="left"/>
      </w:pPr>
      <w:rPr>
        <w:rFonts w:hint="default" w:ascii="Verdana" w:hAnsi="Verdana" w:eastAsia="Verdana" w:cs="Verdana"/>
        <w:color w:val="231F20"/>
        <w:spacing w:val="-8"/>
        <w:w w:val="111"/>
        <w:sz w:val="18"/>
        <w:szCs w:val="18"/>
      </w:rPr>
    </w:lvl>
    <w:lvl w:ilvl="2">
      <w:start w:val="1"/>
      <w:numFmt w:val="decimal"/>
      <w:lvlText w:val="%1.%2.%3"/>
      <w:lvlJc w:val="left"/>
      <w:pPr>
        <w:ind w:left="251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5197" w:hanging="720"/>
      </w:pPr>
      <w:rPr>
        <w:rFonts w:hint="default"/>
      </w:rPr>
    </w:lvl>
    <w:lvl w:ilvl="4">
      <w:start w:val="0"/>
      <w:numFmt w:val="bullet"/>
      <w:lvlText w:val="•"/>
      <w:lvlJc w:val="left"/>
      <w:pPr>
        <w:ind w:left="6090" w:hanging="720"/>
      </w:pPr>
      <w:rPr>
        <w:rFonts w:hint="default"/>
      </w:rPr>
    </w:lvl>
    <w:lvl w:ilvl="5">
      <w:start w:val="0"/>
      <w:numFmt w:val="bullet"/>
      <w:lvlText w:val="•"/>
      <w:lvlJc w:val="left"/>
      <w:pPr>
        <w:ind w:left="6982" w:hanging="720"/>
      </w:pPr>
      <w:rPr>
        <w:rFonts w:hint="default"/>
      </w:rPr>
    </w:lvl>
    <w:lvl w:ilvl="6">
      <w:start w:val="0"/>
      <w:numFmt w:val="bullet"/>
      <w:lvlText w:val="•"/>
      <w:lvlJc w:val="left"/>
      <w:pPr>
        <w:ind w:left="7875" w:hanging="720"/>
      </w:pPr>
      <w:rPr>
        <w:rFonts w:hint="default"/>
      </w:rPr>
    </w:lvl>
    <w:lvl w:ilvl="7">
      <w:start w:val="0"/>
      <w:numFmt w:val="bullet"/>
      <w:lvlText w:val="•"/>
      <w:lvlJc w:val="left"/>
      <w:pPr>
        <w:ind w:left="8767" w:hanging="720"/>
      </w:pPr>
      <w:rPr>
        <w:rFonts w:hint="default"/>
      </w:rPr>
    </w:lvl>
    <w:lvl w:ilvl="8">
      <w:start w:val="0"/>
      <w:numFmt w:val="bullet"/>
      <w:lvlText w:val="•"/>
      <w:lvlJc w:val="left"/>
      <w:pPr>
        <w:ind w:left="9660" w:hanging="720"/>
      </w:pPr>
      <w:rPr>
        <w:rFonts w:hint="default"/>
      </w:rPr>
    </w:lvl>
  </w:abstractNum>
  <w:abstractNum w:abstractNumId="59">
    <w:multiLevelType w:val="hybridMultilevel"/>
    <w:lvl w:ilvl="0">
      <w:start w:val="1"/>
      <w:numFmt w:val="upperRoman"/>
      <w:lvlText w:val="%1"/>
      <w:lvlJc w:val="left"/>
      <w:pPr>
        <w:ind w:left="1790" w:hanging="720"/>
        <w:jc w:val="right"/>
      </w:pPr>
      <w:rPr>
        <w:rFonts w:hint="default" w:ascii="Verdana" w:hAnsi="Verdana" w:eastAsia="Verdana" w:cs="Verdana"/>
        <w:b/>
        <w:bCs/>
        <w:color w:val="231F20"/>
        <w:w w:val="114"/>
        <w:sz w:val="21"/>
        <w:szCs w:val="21"/>
      </w:rPr>
    </w:lvl>
    <w:lvl w:ilvl="1">
      <w:start w:val="1"/>
      <w:numFmt w:val="decimal"/>
      <w:lvlText w:val="%2."/>
      <w:lvlJc w:val="left"/>
      <w:pPr>
        <w:ind w:left="1620" w:hanging="720"/>
        <w:jc w:val="left"/>
      </w:pPr>
      <w:rPr>
        <w:rFonts w:hint="default" w:ascii="Verdana" w:hAnsi="Verdana" w:eastAsia="Verdana" w:cs="Verdana"/>
        <w:b/>
        <w:bCs/>
        <w:color w:val="231F20"/>
        <w:spacing w:val="0"/>
        <w:w w:val="111"/>
        <w:sz w:val="18"/>
        <w:szCs w:val="18"/>
      </w:rPr>
    </w:lvl>
    <w:lvl w:ilvl="2">
      <w:start w:val="1"/>
      <w:numFmt w:val="decimal"/>
      <w:lvlText w:val="%2.%3"/>
      <w:lvlJc w:val="left"/>
      <w:pPr>
        <w:ind w:left="900"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005" w:hanging="720"/>
      </w:pPr>
      <w:rPr>
        <w:rFonts w:hint="default"/>
      </w:rPr>
    </w:lvl>
    <w:lvl w:ilvl="4">
      <w:start w:val="0"/>
      <w:numFmt w:val="bullet"/>
      <w:lvlText w:val="•"/>
      <w:lvlJc w:val="left"/>
      <w:pPr>
        <w:ind w:left="4211" w:hanging="720"/>
      </w:pPr>
      <w:rPr>
        <w:rFonts w:hint="default"/>
      </w:rPr>
    </w:lvl>
    <w:lvl w:ilvl="5">
      <w:start w:val="0"/>
      <w:numFmt w:val="bullet"/>
      <w:lvlText w:val="•"/>
      <w:lvlJc w:val="left"/>
      <w:pPr>
        <w:ind w:left="5417" w:hanging="720"/>
      </w:pPr>
      <w:rPr>
        <w:rFonts w:hint="default"/>
      </w:rPr>
    </w:lvl>
    <w:lvl w:ilvl="6">
      <w:start w:val="0"/>
      <w:numFmt w:val="bullet"/>
      <w:lvlText w:val="•"/>
      <w:lvlJc w:val="left"/>
      <w:pPr>
        <w:ind w:left="6622" w:hanging="720"/>
      </w:pPr>
      <w:rPr>
        <w:rFonts w:hint="default"/>
      </w:rPr>
    </w:lvl>
    <w:lvl w:ilvl="7">
      <w:start w:val="0"/>
      <w:numFmt w:val="bullet"/>
      <w:lvlText w:val="•"/>
      <w:lvlJc w:val="left"/>
      <w:pPr>
        <w:ind w:left="7828" w:hanging="720"/>
      </w:pPr>
      <w:rPr>
        <w:rFonts w:hint="default"/>
      </w:rPr>
    </w:lvl>
    <w:lvl w:ilvl="8">
      <w:start w:val="0"/>
      <w:numFmt w:val="bullet"/>
      <w:lvlText w:val="•"/>
      <w:lvlJc w:val="left"/>
      <w:pPr>
        <w:ind w:left="9034" w:hanging="720"/>
      </w:pPr>
      <w:rPr>
        <w:rFonts w:hint="default"/>
      </w:rPr>
    </w:lvl>
  </w:abstractNum>
  <w:abstractNum w:abstractNumId="58">
    <w:multiLevelType w:val="hybridMultilevel"/>
    <w:lvl w:ilvl="0">
      <w:start w:val="10"/>
      <w:numFmt w:val="decimal"/>
      <w:lvlText w:val="%1"/>
      <w:lvlJc w:val="left"/>
      <w:pPr>
        <w:ind w:left="1393" w:hanging="720"/>
        <w:jc w:val="left"/>
      </w:pPr>
      <w:rPr>
        <w:rFonts w:hint="default" w:ascii="Verdana" w:hAnsi="Verdana" w:eastAsia="Verdana" w:cs="Verdana"/>
        <w:b/>
        <w:bCs/>
        <w:color w:val="231F20"/>
        <w:spacing w:val="-6"/>
        <w:w w:val="111"/>
        <w:sz w:val="18"/>
        <w:szCs w:val="18"/>
      </w:rPr>
    </w:lvl>
    <w:lvl w:ilvl="1">
      <w:start w:val="1"/>
      <w:numFmt w:val="decimal"/>
      <w:lvlText w:val="%1.%2"/>
      <w:lvlJc w:val="left"/>
      <w:pPr>
        <w:ind w:left="1393" w:hanging="720"/>
        <w:jc w:val="left"/>
      </w:pPr>
      <w:rPr>
        <w:rFonts w:hint="default" w:ascii="Verdana" w:hAnsi="Verdana" w:eastAsia="Verdana" w:cs="Verdana"/>
        <w:b/>
        <w:bCs/>
        <w:color w:val="231F20"/>
        <w:spacing w:val="-6"/>
        <w:w w:val="111"/>
        <w:sz w:val="18"/>
        <w:szCs w:val="18"/>
      </w:rPr>
    </w:lvl>
    <w:lvl w:ilvl="2">
      <w:start w:val="0"/>
      <w:numFmt w:val="bullet"/>
      <w:lvlText w:val="•"/>
      <w:lvlJc w:val="left"/>
      <w:pPr>
        <w:ind w:left="3409" w:hanging="720"/>
      </w:pPr>
      <w:rPr>
        <w:rFonts w:hint="default"/>
      </w:rPr>
    </w:lvl>
    <w:lvl w:ilvl="3">
      <w:start w:val="0"/>
      <w:numFmt w:val="bullet"/>
      <w:lvlText w:val="•"/>
      <w:lvlJc w:val="left"/>
      <w:pPr>
        <w:ind w:left="4413" w:hanging="720"/>
      </w:pPr>
      <w:rPr>
        <w:rFonts w:hint="default"/>
      </w:rPr>
    </w:lvl>
    <w:lvl w:ilvl="4">
      <w:start w:val="0"/>
      <w:numFmt w:val="bullet"/>
      <w:lvlText w:val="•"/>
      <w:lvlJc w:val="left"/>
      <w:pPr>
        <w:ind w:left="5418" w:hanging="720"/>
      </w:pPr>
      <w:rPr>
        <w:rFonts w:hint="default"/>
      </w:rPr>
    </w:lvl>
    <w:lvl w:ilvl="5">
      <w:start w:val="0"/>
      <w:numFmt w:val="bullet"/>
      <w:lvlText w:val="•"/>
      <w:lvlJc w:val="left"/>
      <w:pPr>
        <w:ind w:left="6422" w:hanging="720"/>
      </w:pPr>
      <w:rPr>
        <w:rFonts w:hint="default"/>
      </w:rPr>
    </w:lvl>
    <w:lvl w:ilvl="6">
      <w:start w:val="0"/>
      <w:numFmt w:val="bullet"/>
      <w:lvlText w:val="•"/>
      <w:lvlJc w:val="left"/>
      <w:pPr>
        <w:ind w:left="7427" w:hanging="720"/>
      </w:pPr>
      <w:rPr>
        <w:rFonts w:hint="default"/>
      </w:rPr>
    </w:lvl>
    <w:lvl w:ilvl="7">
      <w:start w:val="0"/>
      <w:numFmt w:val="bullet"/>
      <w:lvlText w:val="•"/>
      <w:lvlJc w:val="left"/>
      <w:pPr>
        <w:ind w:left="8431" w:hanging="720"/>
      </w:pPr>
      <w:rPr>
        <w:rFonts w:hint="default"/>
      </w:rPr>
    </w:lvl>
    <w:lvl w:ilvl="8">
      <w:start w:val="0"/>
      <w:numFmt w:val="bullet"/>
      <w:lvlText w:val="•"/>
      <w:lvlJc w:val="left"/>
      <w:pPr>
        <w:ind w:left="9436" w:hanging="720"/>
      </w:pPr>
      <w:rPr>
        <w:rFonts w:hint="default"/>
      </w:rPr>
    </w:lvl>
  </w:abstractNum>
  <w:abstractNum w:abstractNumId="57">
    <w:multiLevelType w:val="hybridMultilevel"/>
    <w:lvl w:ilvl="0">
      <w:start w:val="4"/>
      <w:numFmt w:val="decimal"/>
      <w:lvlText w:val="%1."/>
      <w:lvlJc w:val="left"/>
      <w:pPr>
        <w:ind w:left="1393" w:hanging="720"/>
        <w:jc w:val="right"/>
      </w:pPr>
      <w:rPr>
        <w:rFonts w:hint="default" w:ascii="Verdana" w:hAnsi="Verdana" w:eastAsia="Verdana" w:cs="Verdana"/>
        <w:b/>
        <w:bCs/>
        <w:color w:val="231F20"/>
        <w:spacing w:val="0"/>
        <w:w w:val="111"/>
        <w:sz w:val="18"/>
        <w:szCs w:val="18"/>
      </w:rPr>
    </w:lvl>
    <w:lvl w:ilvl="1">
      <w:start w:val="1"/>
      <w:numFmt w:val="decimal"/>
      <w:lvlText w:val="%1.%2"/>
      <w:lvlJc w:val="left"/>
      <w:pPr>
        <w:ind w:left="673" w:hanging="720"/>
        <w:jc w:val="right"/>
      </w:pPr>
      <w:rPr>
        <w:rFonts w:hint="default" w:ascii="Verdana" w:hAnsi="Verdana" w:eastAsia="Verdana" w:cs="Verdana"/>
        <w:b/>
        <w:bCs/>
        <w:color w:val="231F20"/>
        <w:spacing w:val="-2"/>
        <w:w w:val="111"/>
        <w:sz w:val="18"/>
        <w:szCs w:val="18"/>
      </w:rPr>
    </w:lvl>
    <w:lvl w:ilvl="2">
      <w:start w:val="1"/>
      <w:numFmt w:val="decimal"/>
      <w:lvlText w:val="%1.%2.%3"/>
      <w:lvlJc w:val="left"/>
      <w:pPr>
        <w:ind w:left="1960" w:hanging="720"/>
        <w:jc w:val="left"/>
      </w:pPr>
      <w:rPr>
        <w:rFonts w:hint="default"/>
        <w:b/>
        <w:bCs/>
        <w:spacing w:val="-6"/>
        <w:w w:val="111"/>
      </w:rPr>
    </w:lvl>
    <w:lvl w:ilvl="3">
      <w:start w:val="0"/>
      <w:numFmt w:val="bullet"/>
      <w:lvlText w:val="•"/>
      <w:lvlJc w:val="left"/>
      <w:pPr>
        <w:ind w:left="3145" w:hanging="720"/>
      </w:pPr>
      <w:rPr>
        <w:rFonts w:hint="default"/>
      </w:rPr>
    </w:lvl>
    <w:lvl w:ilvl="4">
      <w:start w:val="0"/>
      <w:numFmt w:val="bullet"/>
      <w:lvlText w:val="•"/>
      <w:lvlJc w:val="left"/>
      <w:pPr>
        <w:ind w:left="4331" w:hanging="720"/>
      </w:pPr>
      <w:rPr>
        <w:rFonts w:hint="default"/>
      </w:rPr>
    </w:lvl>
    <w:lvl w:ilvl="5">
      <w:start w:val="0"/>
      <w:numFmt w:val="bullet"/>
      <w:lvlText w:val="•"/>
      <w:lvlJc w:val="left"/>
      <w:pPr>
        <w:ind w:left="5517" w:hanging="720"/>
      </w:pPr>
      <w:rPr>
        <w:rFonts w:hint="default"/>
      </w:rPr>
    </w:lvl>
    <w:lvl w:ilvl="6">
      <w:start w:val="0"/>
      <w:numFmt w:val="bullet"/>
      <w:lvlText w:val="•"/>
      <w:lvlJc w:val="left"/>
      <w:pPr>
        <w:ind w:left="6702" w:hanging="720"/>
      </w:pPr>
      <w:rPr>
        <w:rFonts w:hint="default"/>
      </w:rPr>
    </w:lvl>
    <w:lvl w:ilvl="7">
      <w:start w:val="0"/>
      <w:numFmt w:val="bullet"/>
      <w:lvlText w:val="•"/>
      <w:lvlJc w:val="left"/>
      <w:pPr>
        <w:ind w:left="7888" w:hanging="720"/>
      </w:pPr>
      <w:rPr>
        <w:rFonts w:hint="default"/>
      </w:rPr>
    </w:lvl>
    <w:lvl w:ilvl="8">
      <w:start w:val="0"/>
      <w:numFmt w:val="bullet"/>
      <w:lvlText w:val="•"/>
      <w:lvlJc w:val="left"/>
      <w:pPr>
        <w:ind w:left="9074" w:hanging="720"/>
      </w:pPr>
      <w:rPr>
        <w:rFonts w:hint="default"/>
      </w:rPr>
    </w:lvl>
  </w:abstractNum>
  <w:abstractNum w:abstractNumId="56">
    <w:multiLevelType w:val="hybridMultilevel"/>
    <w:lvl w:ilvl="0">
      <w:start w:val="3"/>
      <w:numFmt w:val="decimal"/>
      <w:lvlText w:val="%1"/>
      <w:lvlJc w:val="left"/>
      <w:pPr>
        <w:ind w:left="1393" w:hanging="720"/>
        <w:jc w:val="left"/>
      </w:pPr>
      <w:rPr>
        <w:rFonts w:hint="default"/>
      </w:rPr>
    </w:lvl>
    <w:lvl w:ilvl="1">
      <w:start w:val="1"/>
      <w:numFmt w:val="decimal"/>
      <w:lvlText w:val="%1.%2"/>
      <w:lvlJc w:val="left"/>
      <w:pPr>
        <w:ind w:left="1393" w:hanging="720"/>
        <w:jc w:val="right"/>
      </w:pPr>
      <w:rPr>
        <w:rFonts w:hint="default" w:ascii="Verdana" w:hAnsi="Verdana" w:eastAsia="Verdana" w:cs="Verdana"/>
        <w:b/>
        <w:bCs/>
        <w:color w:val="231F20"/>
        <w:spacing w:val="-2"/>
        <w:w w:val="111"/>
        <w:sz w:val="18"/>
        <w:szCs w:val="18"/>
      </w:rPr>
    </w:lvl>
    <w:lvl w:ilvl="2">
      <w:start w:val="1"/>
      <w:numFmt w:val="decimal"/>
      <w:lvlText w:val="%1.%2.%3"/>
      <w:lvlJc w:val="left"/>
      <w:pPr>
        <w:ind w:left="1393" w:hanging="720"/>
        <w:jc w:val="left"/>
      </w:pPr>
      <w:rPr>
        <w:rFonts w:hint="default" w:ascii="Verdana" w:hAnsi="Verdana" w:eastAsia="Verdana" w:cs="Verdana"/>
        <w:b/>
        <w:bCs/>
        <w:color w:val="231F20"/>
        <w:spacing w:val="-3"/>
        <w:w w:val="111"/>
        <w:sz w:val="18"/>
        <w:szCs w:val="18"/>
      </w:rPr>
    </w:lvl>
    <w:lvl w:ilvl="3">
      <w:start w:val="0"/>
      <w:numFmt w:val="bullet"/>
      <w:lvlText w:val="•"/>
      <w:lvlJc w:val="left"/>
      <w:pPr>
        <w:ind w:left="4600" w:hanging="720"/>
      </w:pPr>
      <w:rPr>
        <w:rFonts w:hint="default"/>
      </w:rPr>
    </w:lvl>
    <w:lvl w:ilvl="4">
      <w:start w:val="0"/>
      <w:numFmt w:val="bullet"/>
      <w:lvlText w:val="•"/>
      <w:lvlJc w:val="left"/>
      <w:pPr>
        <w:ind w:left="5577" w:hanging="720"/>
      </w:pPr>
      <w:rPr>
        <w:rFonts w:hint="default"/>
      </w:rPr>
    </w:lvl>
    <w:lvl w:ilvl="5">
      <w:start w:val="0"/>
      <w:numFmt w:val="bullet"/>
      <w:lvlText w:val="•"/>
      <w:lvlJc w:val="left"/>
      <w:pPr>
        <w:ind w:left="6555" w:hanging="720"/>
      </w:pPr>
      <w:rPr>
        <w:rFonts w:hint="default"/>
      </w:rPr>
    </w:lvl>
    <w:lvl w:ilvl="6">
      <w:start w:val="0"/>
      <w:numFmt w:val="bullet"/>
      <w:lvlText w:val="•"/>
      <w:lvlJc w:val="left"/>
      <w:pPr>
        <w:ind w:left="7533" w:hanging="720"/>
      </w:pPr>
      <w:rPr>
        <w:rFonts w:hint="default"/>
      </w:rPr>
    </w:lvl>
    <w:lvl w:ilvl="7">
      <w:start w:val="0"/>
      <w:numFmt w:val="bullet"/>
      <w:lvlText w:val="•"/>
      <w:lvlJc w:val="left"/>
      <w:pPr>
        <w:ind w:left="8511" w:hanging="720"/>
      </w:pPr>
      <w:rPr>
        <w:rFonts w:hint="default"/>
      </w:rPr>
    </w:lvl>
    <w:lvl w:ilvl="8">
      <w:start w:val="0"/>
      <w:numFmt w:val="bullet"/>
      <w:lvlText w:val="•"/>
      <w:lvlJc w:val="left"/>
      <w:pPr>
        <w:ind w:left="9489" w:hanging="720"/>
      </w:pPr>
      <w:rPr>
        <w:rFonts w:hint="default"/>
      </w:rPr>
    </w:lvl>
  </w:abstractNum>
  <w:abstractNum w:abstractNumId="55">
    <w:multiLevelType w:val="hybridMultilevel"/>
    <w:lvl w:ilvl="0">
      <w:start w:val="2"/>
      <w:numFmt w:val="decimal"/>
      <w:lvlText w:val="%1"/>
      <w:lvlJc w:val="left"/>
      <w:pPr>
        <w:ind w:left="1354" w:hanging="681"/>
        <w:jc w:val="left"/>
      </w:pPr>
      <w:rPr>
        <w:rFonts w:hint="default" w:ascii="Verdana" w:hAnsi="Verdana" w:eastAsia="Verdana" w:cs="Verdana"/>
        <w:color w:val="231F20"/>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54">
    <w:multiLevelType w:val="hybridMultilevel"/>
    <w:lvl w:ilvl="0">
      <w:start w:val="1"/>
      <w:numFmt w:val="decimal"/>
      <w:lvlText w:val="%1."/>
      <w:lvlJc w:val="left"/>
      <w:pPr>
        <w:ind w:left="1889" w:hanging="720"/>
        <w:jc w:val="right"/>
      </w:pPr>
      <w:rPr>
        <w:rFonts w:hint="default" w:ascii="Verdana" w:hAnsi="Verdana" w:eastAsia="Verdana" w:cs="Verdana"/>
        <w:b/>
        <w:bCs/>
        <w:color w:val="231F20"/>
        <w:spacing w:val="0"/>
        <w:w w:val="111"/>
        <w:sz w:val="18"/>
        <w:szCs w:val="18"/>
      </w:rPr>
    </w:lvl>
    <w:lvl w:ilvl="1">
      <w:start w:val="1"/>
      <w:numFmt w:val="decimal"/>
      <w:lvlText w:val="%1.%2"/>
      <w:lvlJc w:val="left"/>
      <w:pPr>
        <w:ind w:left="1169" w:hanging="720"/>
        <w:jc w:val="left"/>
      </w:pPr>
      <w:rPr>
        <w:rFonts w:hint="default" w:ascii="Verdana" w:hAnsi="Verdana" w:eastAsia="Verdana" w:cs="Verdana"/>
        <w:color w:val="231F20"/>
        <w:spacing w:val="-10"/>
        <w:w w:val="111"/>
        <w:sz w:val="18"/>
        <w:szCs w:val="18"/>
      </w:rPr>
    </w:lvl>
    <w:lvl w:ilvl="2">
      <w:start w:val="0"/>
      <w:numFmt w:val="bullet"/>
      <w:lvlText w:val="•"/>
      <w:lvlJc w:val="left"/>
      <w:pPr>
        <w:ind w:left="2942" w:hanging="720"/>
      </w:pPr>
      <w:rPr>
        <w:rFonts w:hint="default"/>
      </w:rPr>
    </w:lvl>
    <w:lvl w:ilvl="3">
      <w:start w:val="0"/>
      <w:numFmt w:val="bullet"/>
      <w:lvlText w:val="•"/>
      <w:lvlJc w:val="left"/>
      <w:pPr>
        <w:ind w:left="4005" w:hanging="720"/>
      </w:pPr>
      <w:rPr>
        <w:rFonts w:hint="default"/>
      </w:rPr>
    </w:lvl>
    <w:lvl w:ilvl="4">
      <w:start w:val="0"/>
      <w:numFmt w:val="bullet"/>
      <w:lvlText w:val="•"/>
      <w:lvlJc w:val="left"/>
      <w:pPr>
        <w:ind w:left="5068" w:hanging="720"/>
      </w:pPr>
      <w:rPr>
        <w:rFonts w:hint="default"/>
      </w:rPr>
    </w:lvl>
    <w:lvl w:ilvl="5">
      <w:start w:val="0"/>
      <w:numFmt w:val="bullet"/>
      <w:lvlText w:val="•"/>
      <w:lvlJc w:val="left"/>
      <w:pPr>
        <w:ind w:left="6131" w:hanging="720"/>
      </w:pPr>
      <w:rPr>
        <w:rFonts w:hint="default"/>
      </w:rPr>
    </w:lvl>
    <w:lvl w:ilvl="6">
      <w:start w:val="0"/>
      <w:numFmt w:val="bullet"/>
      <w:lvlText w:val="•"/>
      <w:lvlJc w:val="left"/>
      <w:pPr>
        <w:ind w:left="7194" w:hanging="720"/>
      </w:pPr>
      <w:rPr>
        <w:rFonts w:hint="default"/>
      </w:rPr>
    </w:lvl>
    <w:lvl w:ilvl="7">
      <w:start w:val="0"/>
      <w:numFmt w:val="bullet"/>
      <w:lvlText w:val="•"/>
      <w:lvlJc w:val="left"/>
      <w:pPr>
        <w:ind w:left="8257" w:hanging="720"/>
      </w:pPr>
      <w:rPr>
        <w:rFonts w:hint="default"/>
      </w:rPr>
    </w:lvl>
    <w:lvl w:ilvl="8">
      <w:start w:val="0"/>
      <w:numFmt w:val="bullet"/>
      <w:lvlText w:val="•"/>
      <w:lvlJc w:val="left"/>
      <w:pPr>
        <w:ind w:left="9319" w:hanging="720"/>
      </w:pPr>
      <w:rPr>
        <w:rFonts w:hint="default"/>
      </w:rPr>
    </w:lvl>
  </w:abstractNum>
  <w:abstractNum w:abstractNumId="53">
    <w:multiLevelType w:val="hybridMultilevel"/>
    <w:lvl w:ilvl="0">
      <w:start w:val="3"/>
      <w:numFmt w:val="decimal"/>
      <w:lvlText w:val="%1"/>
      <w:lvlJc w:val="left"/>
      <w:pPr>
        <w:ind w:left="1694" w:hanging="760"/>
        <w:jc w:val="left"/>
      </w:pPr>
      <w:rPr>
        <w:rFonts w:hint="default"/>
      </w:rPr>
    </w:lvl>
    <w:lvl w:ilvl="1">
      <w:start w:val="2"/>
      <w:numFmt w:val="decimal"/>
      <w:lvlText w:val="%1.%2"/>
      <w:lvlJc w:val="left"/>
      <w:pPr>
        <w:ind w:left="1694" w:hanging="760"/>
        <w:jc w:val="right"/>
      </w:pPr>
      <w:rPr>
        <w:rFonts w:hint="default" w:ascii="Verdana" w:hAnsi="Verdana" w:eastAsia="Verdana" w:cs="Verdana"/>
        <w:b/>
        <w:bCs/>
        <w:color w:val="231F20"/>
        <w:w w:val="111"/>
        <w:sz w:val="18"/>
        <w:szCs w:val="18"/>
      </w:rPr>
    </w:lvl>
    <w:lvl w:ilvl="2">
      <w:start w:val="1"/>
      <w:numFmt w:val="decimal"/>
      <w:lvlText w:val="%1.%2.%3"/>
      <w:lvlJc w:val="left"/>
      <w:pPr>
        <w:ind w:left="2261" w:hanging="839"/>
        <w:jc w:val="left"/>
      </w:pPr>
      <w:rPr>
        <w:rFonts w:hint="default" w:ascii="Verdana" w:hAnsi="Verdana" w:eastAsia="Verdana" w:cs="Verdana"/>
        <w:b/>
        <w:bCs/>
        <w:color w:val="231F20"/>
        <w:spacing w:val="-9"/>
        <w:w w:val="111"/>
        <w:sz w:val="18"/>
        <w:szCs w:val="18"/>
      </w:rPr>
    </w:lvl>
    <w:lvl w:ilvl="3">
      <w:start w:val="0"/>
      <w:numFmt w:val="bullet"/>
      <w:lvlText w:val="•"/>
      <w:lvlJc w:val="left"/>
      <w:pPr>
        <w:ind w:left="4301" w:hanging="839"/>
      </w:pPr>
      <w:rPr>
        <w:rFonts w:hint="default"/>
      </w:rPr>
    </w:lvl>
    <w:lvl w:ilvl="4">
      <w:start w:val="0"/>
      <w:numFmt w:val="bullet"/>
      <w:lvlText w:val="•"/>
      <w:lvlJc w:val="left"/>
      <w:pPr>
        <w:ind w:left="5321" w:hanging="839"/>
      </w:pPr>
      <w:rPr>
        <w:rFonts w:hint="default"/>
      </w:rPr>
    </w:lvl>
    <w:lvl w:ilvl="5">
      <w:start w:val="0"/>
      <w:numFmt w:val="bullet"/>
      <w:lvlText w:val="•"/>
      <w:lvlJc w:val="left"/>
      <w:pPr>
        <w:ind w:left="6342" w:hanging="839"/>
      </w:pPr>
      <w:rPr>
        <w:rFonts w:hint="default"/>
      </w:rPr>
    </w:lvl>
    <w:lvl w:ilvl="6">
      <w:start w:val="0"/>
      <w:numFmt w:val="bullet"/>
      <w:lvlText w:val="•"/>
      <w:lvlJc w:val="left"/>
      <w:pPr>
        <w:ind w:left="7363" w:hanging="839"/>
      </w:pPr>
      <w:rPr>
        <w:rFonts w:hint="default"/>
      </w:rPr>
    </w:lvl>
    <w:lvl w:ilvl="7">
      <w:start w:val="0"/>
      <w:numFmt w:val="bullet"/>
      <w:lvlText w:val="•"/>
      <w:lvlJc w:val="left"/>
      <w:pPr>
        <w:ind w:left="8383" w:hanging="839"/>
      </w:pPr>
      <w:rPr>
        <w:rFonts w:hint="default"/>
      </w:rPr>
    </w:lvl>
    <w:lvl w:ilvl="8">
      <w:start w:val="0"/>
      <w:numFmt w:val="bullet"/>
      <w:lvlText w:val="•"/>
      <w:lvlJc w:val="left"/>
      <w:pPr>
        <w:ind w:left="9404" w:hanging="839"/>
      </w:pPr>
      <w:rPr>
        <w:rFonts w:hint="default"/>
      </w:rPr>
    </w:lvl>
  </w:abstractNum>
  <w:abstractNum w:abstractNumId="52">
    <w:multiLevelType w:val="hybridMultilevel"/>
    <w:lvl w:ilvl="0">
      <w:start w:val="1"/>
      <w:numFmt w:val="lowerLetter"/>
      <w:lvlText w:val="(%1)"/>
      <w:lvlJc w:val="left"/>
      <w:pPr>
        <w:ind w:left="1921" w:hanging="681"/>
        <w:jc w:val="right"/>
      </w:pPr>
      <w:rPr>
        <w:rFonts w:hint="default" w:ascii="Verdana" w:hAnsi="Verdana" w:eastAsia="Verdana" w:cs="Verdana"/>
        <w:b/>
        <w:bCs/>
        <w:color w:val="231F20"/>
        <w:spacing w:val="-16"/>
        <w:w w:val="111"/>
        <w:sz w:val="18"/>
        <w:szCs w:val="18"/>
      </w:rPr>
    </w:lvl>
    <w:lvl w:ilvl="1">
      <w:start w:val="1"/>
      <w:numFmt w:val="decimal"/>
      <w:lvlText w:val="%2."/>
      <w:lvlJc w:val="left"/>
      <w:pPr>
        <w:ind w:left="1155" w:hanging="720"/>
        <w:jc w:val="left"/>
      </w:pPr>
      <w:rPr>
        <w:rFonts w:hint="default" w:ascii="Verdana" w:hAnsi="Verdana" w:eastAsia="Verdana" w:cs="Verdana"/>
        <w:color w:val="231F20"/>
        <w:spacing w:val="-5"/>
        <w:w w:val="111"/>
        <w:sz w:val="18"/>
        <w:szCs w:val="18"/>
      </w:rPr>
    </w:lvl>
    <w:lvl w:ilvl="2">
      <w:start w:val="1"/>
      <w:numFmt w:val="decimal"/>
      <w:lvlText w:val="%3."/>
      <w:lvlJc w:val="left"/>
      <w:pPr>
        <w:ind w:left="2595" w:hanging="760"/>
        <w:jc w:val="right"/>
      </w:pPr>
      <w:rPr>
        <w:rFonts w:hint="default"/>
        <w:b/>
        <w:bCs/>
        <w:spacing w:val="0"/>
        <w:w w:val="111"/>
      </w:rPr>
    </w:lvl>
    <w:lvl w:ilvl="3">
      <w:start w:val="1"/>
      <w:numFmt w:val="decimal"/>
      <w:lvlText w:val="%3.%4"/>
      <w:lvlJc w:val="left"/>
      <w:pPr>
        <w:ind w:left="2176" w:hanging="760"/>
        <w:jc w:val="left"/>
      </w:pPr>
      <w:rPr>
        <w:rFonts w:hint="default" w:ascii="Verdana" w:hAnsi="Verdana" w:eastAsia="Verdana" w:cs="Verdana"/>
        <w:b/>
        <w:bCs/>
        <w:color w:val="231F20"/>
        <w:spacing w:val="-2"/>
        <w:w w:val="111"/>
        <w:sz w:val="18"/>
        <w:szCs w:val="18"/>
      </w:rPr>
    </w:lvl>
    <w:lvl w:ilvl="4">
      <w:start w:val="0"/>
      <w:numFmt w:val="bullet"/>
      <w:lvlText w:val="•"/>
      <w:lvlJc w:val="left"/>
      <w:pPr>
        <w:ind w:left="2600" w:hanging="760"/>
      </w:pPr>
      <w:rPr>
        <w:rFonts w:hint="default"/>
      </w:rPr>
    </w:lvl>
    <w:lvl w:ilvl="5">
      <w:start w:val="0"/>
      <w:numFmt w:val="bullet"/>
      <w:lvlText w:val="•"/>
      <w:lvlJc w:val="left"/>
      <w:pPr>
        <w:ind w:left="4074" w:hanging="760"/>
      </w:pPr>
      <w:rPr>
        <w:rFonts w:hint="default"/>
      </w:rPr>
    </w:lvl>
    <w:lvl w:ilvl="6">
      <w:start w:val="0"/>
      <w:numFmt w:val="bullet"/>
      <w:lvlText w:val="•"/>
      <w:lvlJc w:val="left"/>
      <w:pPr>
        <w:ind w:left="5548" w:hanging="760"/>
      </w:pPr>
      <w:rPr>
        <w:rFonts w:hint="default"/>
      </w:rPr>
    </w:lvl>
    <w:lvl w:ilvl="7">
      <w:start w:val="0"/>
      <w:numFmt w:val="bullet"/>
      <w:lvlText w:val="•"/>
      <w:lvlJc w:val="left"/>
      <w:pPr>
        <w:ind w:left="7022" w:hanging="760"/>
      </w:pPr>
      <w:rPr>
        <w:rFonts w:hint="default"/>
      </w:rPr>
    </w:lvl>
    <w:lvl w:ilvl="8">
      <w:start w:val="0"/>
      <w:numFmt w:val="bullet"/>
      <w:lvlText w:val="•"/>
      <w:lvlJc w:val="left"/>
      <w:pPr>
        <w:ind w:left="8497" w:hanging="760"/>
      </w:pPr>
      <w:rPr>
        <w:rFonts w:hint="default"/>
      </w:rPr>
    </w:lvl>
  </w:abstractNum>
  <w:abstractNum w:abstractNumId="51">
    <w:multiLevelType w:val="hybridMultilevel"/>
    <w:lvl w:ilvl="0">
      <w:start w:val="1"/>
      <w:numFmt w:val="lowerRoman"/>
      <w:lvlText w:val="(%1)"/>
      <w:lvlJc w:val="left"/>
      <w:pPr>
        <w:ind w:left="1354" w:hanging="681"/>
        <w:jc w:val="right"/>
      </w:pPr>
      <w:rPr>
        <w:rFonts w:hint="default" w:ascii="Verdana" w:hAnsi="Verdana" w:eastAsia="Verdana" w:cs="Verdana"/>
        <w:b/>
        <w:bCs/>
        <w:color w:val="231F20"/>
        <w:spacing w:val="-4"/>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50">
    <w:multiLevelType w:val="hybridMultilevel"/>
    <w:lvl w:ilvl="0">
      <w:start w:val="1"/>
      <w:numFmt w:val="upperRoman"/>
      <w:lvlText w:val="(%1)"/>
      <w:lvlJc w:val="left"/>
      <w:pPr>
        <w:ind w:left="1921" w:hanging="567"/>
        <w:jc w:val="left"/>
      </w:pPr>
      <w:rPr>
        <w:rFonts w:hint="default" w:ascii="Verdana" w:hAnsi="Verdana" w:eastAsia="Verdana" w:cs="Verdana"/>
        <w:b/>
        <w:bCs/>
        <w:color w:val="231F20"/>
        <w:spacing w:val="-3"/>
        <w:w w:val="111"/>
        <w:sz w:val="18"/>
        <w:szCs w:val="18"/>
      </w:rPr>
    </w:lvl>
    <w:lvl w:ilvl="1">
      <w:start w:val="1"/>
      <w:numFmt w:val="lowerLetter"/>
      <w:lvlText w:val="(%2)"/>
      <w:lvlJc w:val="left"/>
      <w:pPr>
        <w:ind w:left="1921" w:hanging="388"/>
        <w:jc w:val="left"/>
      </w:pPr>
      <w:rPr>
        <w:rFonts w:hint="default" w:ascii="Verdana" w:hAnsi="Verdana" w:eastAsia="Verdana" w:cs="Verdana"/>
        <w:b/>
        <w:bCs/>
        <w:color w:val="231F20"/>
        <w:spacing w:val="-16"/>
        <w:w w:val="111"/>
        <w:sz w:val="18"/>
        <w:szCs w:val="18"/>
      </w:rPr>
    </w:lvl>
    <w:lvl w:ilvl="2">
      <w:start w:val="0"/>
      <w:numFmt w:val="bullet"/>
      <w:lvlText w:val="•"/>
      <w:lvlJc w:val="left"/>
      <w:pPr>
        <w:ind w:left="3825" w:hanging="388"/>
      </w:pPr>
      <w:rPr>
        <w:rFonts w:hint="default"/>
      </w:rPr>
    </w:lvl>
    <w:lvl w:ilvl="3">
      <w:start w:val="0"/>
      <w:numFmt w:val="bullet"/>
      <w:lvlText w:val="•"/>
      <w:lvlJc w:val="left"/>
      <w:pPr>
        <w:ind w:left="4777" w:hanging="388"/>
      </w:pPr>
      <w:rPr>
        <w:rFonts w:hint="default"/>
      </w:rPr>
    </w:lvl>
    <w:lvl w:ilvl="4">
      <w:start w:val="0"/>
      <w:numFmt w:val="bullet"/>
      <w:lvlText w:val="•"/>
      <w:lvlJc w:val="left"/>
      <w:pPr>
        <w:ind w:left="5730" w:hanging="388"/>
      </w:pPr>
      <w:rPr>
        <w:rFonts w:hint="default"/>
      </w:rPr>
    </w:lvl>
    <w:lvl w:ilvl="5">
      <w:start w:val="0"/>
      <w:numFmt w:val="bullet"/>
      <w:lvlText w:val="•"/>
      <w:lvlJc w:val="left"/>
      <w:pPr>
        <w:ind w:left="6682" w:hanging="388"/>
      </w:pPr>
      <w:rPr>
        <w:rFonts w:hint="default"/>
      </w:rPr>
    </w:lvl>
    <w:lvl w:ilvl="6">
      <w:start w:val="0"/>
      <w:numFmt w:val="bullet"/>
      <w:lvlText w:val="•"/>
      <w:lvlJc w:val="left"/>
      <w:pPr>
        <w:ind w:left="7635" w:hanging="388"/>
      </w:pPr>
      <w:rPr>
        <w:rFonts w:hint="default"/>
      </w:rPr>
    </w:lvl>
    <w:lvl w:ilvl="7">
      <w:start w:val="0"/>
      <w:numFmt w:val="bullet"/>
      <w:lvlText w:val="•"/>
      <w:lvlJc w:val="left"/>
      <w:pPr>
        <w:ind w:left="8587" w:hanging="388"/>
      </w:pPr>
      <w:rPr>
        <w:rFonts w:hint="default"/>
      </w:rPr>
    </w:lvl>
    <w:lvl w:ilvl="8">
      <w:start w:val="0"/>
      <w:numFmt w:val="bullet"/>
      <w:lvlText w:val="•"/>
      <w:lvlJc w:val="left"/>
      <w:pPr>
        <w:ind w:left="9540" w:hanging="388"/>
      </w:pPr>
      <w:rPr>
        <w:rFonts w:hint="default"/>
      </w:rPr>
    </w:lvl>
  </w:abstractNum>
  <w:abstractNum w:abstractNumId="49">
    <w:multiLevelType w:val="hybridMultilevel"/>
    <w:lvl w:ilvl="0">
      <w:start w:val="1"/>
      <w:numFmt w:val="lowerRoman"/>
      <w:lvlText w:val="(%1)"/>
      <w:lvlJc w:val="left"/>
      <w:pPr>
        <w:ind w:left="1790" w:hanging="720"/>
        <w:jc w:val="right"/>
      </w:pPr>
      <w:rPr>
        <w:rFonts w:hint="default" w:ascii="Verdana" w:hAnsi="Verdana" w:eastAsia="Verdana" w:cs="Verdana"/>
        <w:b/>
        <w:bCs/>
        <w:color w:val="231F20"/>
        <w:spacing w:val="-4"/>
        <w:w w:val="111"/>
        <w:sz w:val="18"/>
        <w:szCs w:val="18"/>
      </w:rPr>
    </w:lvl>
    <w:lvl w:ilvl="1">
      <w:start w:val="0"/>
      <w:numFmt w:val="bullet"/>
      <w:lvlText w:val="•"/>
      <w:lvlJc w:val="left"/>
      <w:pPr>
        <w:ind w:left="2510" w:hanging="760"/>
      </w:pPr>
      <w:rPr>
        <w:rFonts w:hint="default" w:ascii="Verdana" w:hAnsi="Verdana" w:eastAsia="Verdana" w:cs="Verdana"/>
        <w:b/>
        <w:bCs/>
        <w:color w:val="231F20"/>
        <w:w w:val="112"/>
        <w:position w:val="-3"/>
        <w:sz w:val="25"/>
        <w:szCs w:val="25"/>
      </w:rPr>
    </w:lvl>
    <w:lvl w:ilvl="2">
      <w:start w:val="0"/>
      <w:numFmt w:val="bullet"/>
      <w:lvlText w:val="•"/>
      <w:lvlJc w:val="left"/>
      <w:pPr>
        <w:ind w:left="3511" w:hanging="760"/>
      </w:pPr>
      <w:rPr>
        <w:rFonts w:hint="default"/>
      </w:rPr>
    </w:lvl>
    <w:lvl w:ilvl="3">
      <w:start w:val="0"/>
      <w:numFmt w:val="bullet"/>
      <w:lvlText w:val="•"/>
      <w:lvlJc w:val="left"/>
      <w:pPr>
        <w:ind w:left="4503" w:hanging="760"/>
      </w:pPr>
      <w:rPr>
        <w:rFonts w:hint="default"/>
      </w:rPr>
    </w:lvl>
    <w:lvl w:ilvl="4">
      <w:start w:val="0"/>
      <w:numFmt w:val="bullet"/>
      <w:lvlText w:val="•"/>
      <w:lvlJc w:val="left"/>
      <w:pPr>
        <w:ind w:left="5495" w:hanging="760"/>
      </w:pPr>
      <w:rPr>
        <w:rFonts w:hint="default"/>
      </w:rPr>
    </w:lvl>
    <w:lvl w:ilvl="5">
      <w:start w:val="0"/>
      <w:numFmt w:val="bullet"/>
      <w:lvlText w:val="•"/>
      <w:lvlJc w:val="left"/>
      <w:pPr>
        <w:ind w:left="6486" w:hanging="760"/>
      </w:pPr>
      <w:rPr>
        <w:rFonts w:hint="default"/>
      </w:rPr>
    </w:lvl>
    <w:lvl w:ilvl="6">
      <w:start w:val="0"/>
      <w:numFmt w:val="bullet"/>
      <w:lvlText w:val="•"/>
      <w:lvlJc w:val="left"/>
      <w:pPr>
        <w:ind w:left="7478" w:hanging="760"/>
      </w:pPr>
      <w:rPr>
        <w:rFonts w:hint="default"/>
      </w:rPr>
    </w:lvl>
    <w:lvl w:ilvl="7">
      <w:start w:val="0"/>
      <w:numFmt w:val="bullet"/>
      <w:lvlText w:val="•"/>
      <w:lvlJc w:val="left"/>
      <w:pPr>
        <w:ind w:left="8470" w:hanging="760"/>
      </w:pPr>
      <w:rPr>
        <w:rFonts w:hint="default"/>
      </w:rPr>
    </w:lvl>
    <w:lvl w:ilvl="8">
      <w:start w:val="0"/>
      <w:numFmt w:val="bullet"/>
      <w:lvlText w:val="•"/>
      <w:lvlJc w:val="left"/>
      <w:pPr>
        <w:ind w:left="9462" w:hanging="760"/>
      </w:pPr>
      <w:rPr>
        <w:rFonts w:hint="default"/>
      </w:rPr>
    </w:lvl>
  </w:abstractNum>
  <w:abstractNum w:abstractNumId="48">
    <w:multiLevelType w:val="hybridMultilevel"/>
    <w:lvl w:ilvl="0">
      <w:start w:val="1"/>
      <w:numFmt w:val="lowerLetter"/>
      <w:lvlText w:val="(%1)"/>
      <w:lvlJc w:val="left"/>
      <w:pPr>
        <w:ind w:left="1751" w:hanging="681"/>
        <w:jc w:val="left"/>
      </w:pPr>
      <w:rPr>
        <w:rFonts w:hint="default" w:ascii="Verdana" w:hAnsi="Verdana" w:eastAsia="Verdana" w:cs="Verdana"/>
        <w:b/>
        <w:bCs/>
        <w:color w:val="231F20"/>
        <w:spacing w:val="-16"/>
        <w:w w:val="111"/>
        <w:sz w:val="18"/>
        <w:szCs w:val="18"/>
      </w:rPr>
    </w:lvl>
    <w:lvl w:ilvl="1">
      <w:start w:val="0"/>
      <w:numFmt w:val="bullet"/>
      <w:lvlText w:val="•"/>
      <w:lvlJc w:val="left"/>
      <w:pPr>
        <w:ind w:left="2728" w:hanging="681"/>
      </w:pPr>
      <w:rPr>
        <w:rFonts w:hint="default"/>
      </w:rPr>
    </w:lvl>
    <w:lvl w:ilvl="2">
      <w:start w:val="0"/>
      <w:numFmt w:val="bullet"/>
      <w:lvlText w:val="•"/>
      <w:lvlJc w:val="left"/>
      <w:pPr>
        <w:ind w:left="3697" w:hanging="681"/>
      </w:pPr>
      <w:rPr>
        <w:rFonts w:hint="default"/>
      </w:rPr>
    </w:lvl>
    <w:lvl w:ilvl="3">
      <w:start w:val="0"/>
      <w:numFmt w:val="bullet"/>
      <w:lvlText w:val="•"/>
      <w:lvlJc w:val="left"/>
      <w:pPr>
        <w:ind w:left="4665" w:hanging="681"/>
      </w:pPr>
      <w:rPr>
        <w:rFonts w:hint="default"/>
      </w:rPr>
    </w:lvl>
    <w:lvl w:ilvl="4">
      <w:start w:val="0"/>
      <w:numFmt w:val="bullet"/>
      <w:lvlText w:val="•"/>
      <w:lvlJc w:val="left"/>
      <w:pPr>
        <w:ind w:left="5634" w:hanging="681"/>
      </w:pPr>
      <w:rPr>
        <w:rFonts w:hint="default"/>
      </w:rPr>
    </w:lvl>
    <w:lvl w:ilvl="5">
      <w:start w:val="0"/>
      <w:numFmt w:val="bullet"/>
      <w:lvlText w:val="•"/>
      <w:lvlJc w:val="left"/>
      <w:pPr>
        <w:ind w:left="6602" w:hanging="681"/>
      </w:pPr>
      <w:rPr>
        <w:rFonts w:hint="default"/>
      </w:rPr>
    </w:lvl>
    <w:lvl w:ilvl="6">
      <w:start w:val="0"/>
      <w:numFmt w:val="bullet"/>
      <w:lvlText w:val="•"/>
      <w:lvlJc w:val="left"/>
      <w:pPr>
        <w:ind w:left="7571" w:hanging="681"/>
      </w:pPr>
      <w:rPr>
        <w:rFonts w:hint="default"/>
      </w:rPr>
    </w:lvl>
    <w:lvl w:ilvl="7">
      <w:start w:val="0"/>
      <w:numFmt w:val="bullet"/>
      <w:lvlText w:val="•"/>
      <w:lvlJc w:val="left"/>
      <w:pPr>
        <w:ind w:left="8539" w:hanging="681"/>
      </w:pPr>
      <w:rPr>
        <w:rFonts w:hint="default"/>
      </w:rPr>
    </w:lvl>
    <w:lvl w:ilvl="8">
      <w:start w:val="0"/>
      <w:numFmt w:val="bullet"/>
      <w:lvlText w:val="•"/>
      <w:lvlJc w:val="left"/>
      <w:pPr>
        <w:ind w:left="9508" w:hanging="681"/>
      </w:pPr>
      <w:rPr>
        <w:rFonts w:hint="default"/>
      </w:rPr>
    </w:lvl>
  </w:abstractNum>
  <w:abstractNum w:abstractNumId="47">
    <w:multiLevelType w:val="hybridMultilevel"/>
    <w:lvl w:ilvl="0">
      <w:start w:val="1"/>
      <w:numFmt w:val="lowerRoman"/>
      <w:lvlText w:val="(%1)"/>
      <w:lvlJc w:val="left"/>
      <w:pPr>
        <w:ind w:left="1354" w:hanging="681"/>
        <w:jc w:val="left"/>
      </w:pPr>
      <w:rPr>
        <w:rFonts w:hint="default" w:ascii="Verdana" w:hAnsi="Verdana" w:eastAsia="Verdana" w:cs="Verdana"/>
        <w:b/>
        <w:bCs/>
        <w:color w:val="231F20"/>
        <w:spacing w:val="-4"/>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46">
    <w:multiLevelType w:val="hybridMultilevel"/>
    <w:lvl w:ilvl="0">
      <w:start w:val="1"/>
      <w:numFmt w:val="upperLetter"/>
      <w:lvlText w:val="(%1)"/>
      <w:lvlJc w:val="left"/>
      <w:pPr>
        <w:ind w:left="1366" w:hanging="693"/>
        <w:jc w:val="right"/>
      </w:pPr>
      <w:rPr>
        <w:rFonts w:hint="default" w:ascii="Verdana" w:hAnsi="Verdana" w:eastAsia="Verdana" w:cs="Verdana"/>
        <w:b/>
        <w:bCs/>
        <w:color w:val="231F20"/>
        <w:spacing w:val="-12"/>
        <w:w w:val="111"/>
        <w:sz w:val="18"/>
        <w:szCs w:val="18"/>
      </w:rPr>
    </w:lvl>
    <w:lvl w:ilvl="1">
      <w:start w:val="0"/>
      <w:numFmt w:val="bullet"/>
      <w:lvlText w:val="•"/>
      <w:lvlJc w:val="left"/>
      <w:pPr>
        <w:ind w:left="2368" w:hanging="693"/>
      </w:pPr>
      <w:rPr>
        <w:rFonts w:hint="default"/>
      </w:rPr>
    </w:lvl>
    <w:lvl w:ilvl="2">
      <w:start w:val="0"/>
      <w:numFmt w:val="bullet"/>
      <w:lvlText w:val="•"/>
      <w:lvlJc w:val="left"/>
      <w:pPr>
        <w:ind w:left="3377" w:hanging="693"/>
      </w:pPr>
      <w:rPr>
        <w:rFonts w:hint="default"/>
      </w:rPr>
    </w:lvl>
    <w:lvl w:ilvl="3">
      <w:start w:val="0"/>
      <w:numFmt w:val="bullet"/>
      <w:lvlText w:val="•"/>
      <w:lvlJc w:val="left"/>
      <w:pPr>
        <w:ind w:left="4385" w:hanging="693"/>
      </w:pPr>
      <w:rPr>
        <w:rFonts w:hint="default"/>
      </w:rPr>
    </w:lvl>
    <w:lvl w:ilvl="4">
      <w:start w:val="0"/>
      <w:numFmt w:val="bullet"/>
      <w:lvlText w:val="•"/>
      <w:lvlJc w:val="left"/>
      <w:pPr>
        <w:ind w:left="5394" w:hanging="693"/>
      </w:pPr>
      <w:rPr>
        <w:rFonts w:hint="default"/>
      </w:rPr>
    </w:lvl>
    <w:lvl w:ilvl="5">
      <w:start w:val="0"/>
      <w:numFmt w:val="bullet"/>
      <w:lvlText w:val="•"/>
      <w:lvlJc w:val="left"/>
      <w:pPr>
        <w:ind w:left="6402" w:hanging="693"/>
      </w:pPr>
      <w:rPr>
        <w:rFonts w:hint="default"/>
      </w:rPr>
    </w:lvl>
    <w:lvl w:ilvl="6">
      <w:start w:val="0"/>
      <w:numFmt w:val="bullet"/>
      <w:lvlText w:val="•"/>
      <w:lvlJc w:val="left"/>
      <w:pPr>
        <w:ind w:left="7411" w:hanging="693"/>
      </w:pPr>
      <w:rPr>
        <w:rFonts w:hint="default"/>
      </w:rPr>
    </w:lvl>
    <w:lvl w:ilvl="7">
      <w:start w:val="0"/>
      <w:numFmt w:val="bullet"/>
      <w:lvlText w:val="•"/>
      <w:lvlJc w:val="left"/>
      <w:pPr>
        <w:ind w:left="8419" w:hanging="693"/>
      </w:pPr>
      <w:rPr>
        <w:rFonts w:hint="default"/>
      </w:rPr>
    </w:lvl>
    <w:lvl w:ilvl="8">
      <w:start w:val="0"/>
      <w:numFmt w:val="bullet"/>
      <w:lvlText w:val="•"/>
      <w:lvlJc w:val="left"/>
      <w:pPr>
        <w:ind w:left="9428" w:hanging="693"/>
      </w:pPr>
      <w:rPr>
        <w:rFonts w:hint="default"/>
      </w:rPr>
    </w:lvl>
  </w:abstractNum>
  <w:abstractNum w:abstractNumId="45">
    <w:multiLevelType w:val="hybridMultilevel"/>
    <w:lvl w:ilvl="0">
      <w:start w:val="1"/>
      <w:numFmt w:val="lowerLetter"/>
      <w:lvlText w:val="(%1)"/>
      <w:lvlJc w:val="left"/>
      <w:pPr>
        <w:ind w:left="1354" w:hanging="681"/>
        <w:jc w:val="left"/>
      </w:pPr>
      <w:rPr>
        <w:rFonts w:hint="default" w:ascii="Verdana" w:hAnsi="Verdana" w:eastAsia="Verdana" w:cs="Verdana"/>
        <w:b/>
        <w:bCs/>
        <w:color w:val="231F20"/>
        <w:spacing w:val="-16"/>
        <w:w w:val="111"/>
        <w:sz w:val="18"/>
        <w:szCs w:val="18"/>
      </w:rPr>
    </w:lvl>
    <w:lvl w:ilvl="1">
      <w:start w:val="0"/>
      <w:numFmt w:val="bullet"/>
      <w:lvlText w:val="•"/>
      <w:lvlJc w:val="left"/>
      <w:pPr>
        <w:ind w:left="2368" w:hanging="681"/>
      </w:pPr>
      <w:rPr>
        <w:rFonts w:hint="default"/>
      </w:rPr>
    </w:lvl>
    <w:lvl w:ilvl="2">
      <w:start w:val="0"/>
      <w:numFmt w:val="bullet"/>
      <w:lvlText w:val="•"/>
      <w:lvlJc w:val="left"/>
      <w:pPr>
        <w:ind w:left="3377" w:hanging="681"/>
      </w:pPr>
      <w:rPr>
        <w:rFonts w:hint="default"/>
      </w:rPr>
    </w:lvl>
    <w:lvl w:ilvl="3">
      <w:start w:val="0"/>
      <w:numFmt w:val="bullet"/>
      <w:lvlText w:val="•"/>
      <w:lvlJc w:val="left"/>
      <w:pPr>
        <w:ind w:left="4385" w:hanging="681"/>
      </w:pPr>
      <w:rPr>
        <w:rFonts w:hint="default"/>
      </w:rPr>
    </w:lvl>
    <w:lvl w:ilvl="4">
      <w:start w:val="0"/>
      <w:numFmt w:val="bullet"/>
      <w:lvlText w:val="•"/>
      <w:lvlJc w:val="left"/>
      <w:pPr>
        <w:ind w:left="5394" w:hanging="681"/>
      </w:pPr>
      <w:rPr>
        <w:rFonts w:hint="default"/>
      </w:rPr>
    </w:lvl>
    <w:lvl w:ilvl="5">
      <w:start w:val="0"/>
      <w:numFmt w:val="bullet"/>
      <w:lvlText w:val="•"/>
      <w:lvlJc w:val="left"/>
      <w:pPr>
        <w:ind w:left="6402" w:hanging="681"/>
      </w:pPr>
      <w:rPr>
        <w:rFonts w:hint="default"/>
      </w:rPr>
    </w:lvl>
    <w:lvl w:ilvl="6">
      <w:start w:val="0"/>
      <w:numFmt w:val="bullet"/>
      <w:lvlText w:val="•"/>
      <w:lvlJc w:val="left"/>
      <w:pPr>
        <w:ind w:left="7411" w:hanging="681"/>
      </w:pPr>
      <w:rPr>
        <w:rFonts w:hint="default"/>
      </w:rPr>
    </w:lvl>
    <w:lvl w:ilvl="7">
      <w:start w:val="0"/>
      <w:numFmt w:val="bullet"/>
      <w:lvlText w:val="•"/>
      <w:lvlJc w:val="left"/>
      <w:pPr>
        <w:ind w:left="8419" w:hanging="681"/>
      </w:pPr>
      <w:rPr>
        <w:rFonts w:hint="default"/>
      </w:rPr>
    </w:lvl>
    <w:lvl w:ilvl="8">
      <w:start w:val="0"/>
      <w:numFmt w:val="bullet"/>
      <w:lvlText w:val="•"/>
      <w:lvlJc w:val="left"/>
      <w:pPr>
        <w:ind w:left="9428" w:hanging="681"/>
      </w:pPr>
      <w:rPr>
        <w:rFonts w:hint="default"/>
      </w:rPr>
    </w:lvl>
  </w:abstractNum>
  <w:abstractNum w:abstractNumId="44">
    <w:multiLevelType w:val="hybridMultilevel"/>
    <w:lvl w:ilvl="0">
      <w:start w:val="1"/>
      <w:numFmt w:val="decimal"/>
      <w:lvlText w:val="%1."/>
      <w:lvlJc w:val="left"/>
      <w:pPr>
        <w:ind w:left="1155" w:hanging="720"/>
        <w:jc w:val="right"/>
      </w:pPr>
      <w:rPr>
        <w:rFonts w:hint="default" w:ascii="Verdana" w:hAnsi="Verdana" w:eastAsia="Verdana" w:cs="Verdana"/>
        <w:color w:val="231F20"/>
        <w:spacing w:val="-5"/>
        <w:w w:val="111"/>
        <w:sz w:val="18"/>
        <w:szCs w:val="18"/>
      </w:rPr>
    </w:lvl>
    <w:lvl w:ilvl="1">
      <w:start w:val="0"/>
      <w:numFmt w:val="bullet"/>
      <w:lvlText w:val="•"/>
      <w:lvlJc w:val="left"/>
      <w:pPr>
        <w:ind w:left="2188" w:hanging="720"/>
      </w:pPr>
      <w:rPr>
        <w:rFonts w:hint="default"/>
      </w:rPr>
    </w:lvl>
    <w:lvl w:ilvl="2">
      <w:start w:val="0"/>
      <w:numFmt w:val="bullet"/>
      <w:lvlText w:val="•"/>
      <w:lvlJc w:val="left"/>
      <w:pPr>
        <w:ind w:left="3217" w:hanging="720"/>
      </w:pPr>
      <w:rPr>
        <w:rFonts w:hint="default"/>
      </w:rPr>
    </w:lvl>
    <w:lvl w:ilvl="3">
      <w:start w:val="0"/>
      <w:numFmt w:val="bullet"/>
      <w:lvlText w:val="•"/>
      <w:lvlJc w:val="left"/>
      <w:pPr>
        <w:ind w:left="4245" w:hanging="720"/>
      </w:pPr>
      <w:rPr>
        <w:rFonts w:hint="default"/>
      </w:rPr>
    </w:lvl>
    <w:lvl w:ilvl="4">
      <w:start w:val="0"/>
      <w:numFmt w:val="bullet"/>
      <w:lvlText w:val="•"/>
      <w:lvlJc w:val="left"/>
      <w:pPr>
        <w:ind w:left="5274" w:hanging="720"/>
      </w:pPr>
      <w:rPr>
        <w:rFonts w:hint="default"/>
      </w:rPr>
    </w:lvl>
    <w:lvl w:ilvl="5">
      <w:start w:val="0"/>
      <w:numFmt w:val="bullet"/>
      <w:lvlText w:val="•"/>
      <w:lvlJc w:val="left"/>
      <w:pPr>
        <w:ind w:left="6302" w:hanging="720"/>
      </w:pPr>
      <w:rPr>
        <w:rFonts w:hint="default"/>
      </w:rPr>
    </w:lvl>
    <w:lvl w:ilvl="6">
      <w:start w:val="0"/>
      <w:numFmt w:val="bullet"/>
      <w:lvlText w:val="•"/>
      <w:lvlJc w:val="left"/>
      <w:pPr>
        <w:ind w:left="7331" w:hanging="720"/>
      </w:pPr>
      <w:rPr>
        <w:rFonts w:hint="default"/>
      </w:rPr>
    </w:lvl>
    <w:lvl w:ilvl="7">
      <w:start w:val="0"/>
      <w:numFmt w:val="bullet"/>
      <w:lvlText w:val="•"/>
      <w:lvlJc w:val="left"/>
      <w:pPr>
        <w:ind w:left="8359" w:hanging="720"/>
      </w:pPr>
      <w:rPr>
        <w:rFonts w:hint="default"/>
      </w:rPr>
    </w:lvl>
    <w:lvl w:ilvl="8">
      <w:start w:val="0"/>
      <w:numFmt w:val="bullet"/>
      <w:lvlText w:val="•"/>
      <w:lvlJc w:val="left"/>
      <w:pPr>
        <w:ind w:left="9388" w:hanging="720"/>
      </w:pPr>
      <w:rPr>
        <w:rFonts w:hint="default"/>
      </w:rPr>
    </w:lvl>
  </w:abstractNum>
  <w:abstractNum w:abstractNumId="43">
    <w:multiLevelType w:val="hybridMultilevel"/>
    <w:lvl w:ilvl="0">
      <w:start w:val="0"/>
      <w:numFmt w:val="bullet"/>
      <w:lvlText w:val="•"/>
      <w:lvlJc w:val="left"/>
      <w:pPr>
        <w:ind w:left="1921" w:hanging="681"/>
      </w:pPr>
      <w:rPr>
        <w:rFonts w:hint="default" w:ascii="Verdana" w:hAnsi="Verdana" w:eastAsia="Verdana" w:cs="Verdana"/>
        <w:color w:val="231F20"/>
        <w:w w:val="111"/>
        <w:position w:val="-3"/>
        <w:sz w:val="25"/>
        <w:szCs w:val="25"/>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42">
    <w:multiLevelType w:val="hybridMultilevel"/>
    <w:lvl w:ilvl="0">
      <w:start w:val="0"/>
      <w:numFmt w:val="bullet"/>
      <w:lvlText w:val="•"/>
      <w:lvlJc w:val="left"/>
      <w:pPr>
        <w:ind w:left="1921" w:hanging="681"/>
      </w:pPr>
      <w:rPr>
        <w:rFonts w:hint="default" w:ascii="Verdana" w:hAnsi="Verdana" w:eastAsia="Verdana" w:cs="Verdana"/>
        <w:color w:val="231F20"/>
        <w:w w:val="111"/>
        <w:position w:val="-3"/>
        <w:sz w:val="25"/>
        <w:szCs w:val="25"/>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41">
    <w:multiLevelType w:val="hybridMultilevel"/>
    <w:lvl w:ilvl="0">
      <w:start w:val="1"/>
      <w:numFmt w:val="decimal"/>
      <w:lvlText w:val="%1."/>
      <w:lvlJc w:val="left"/>
      <w:pPr>
        <w:ind w:left="1960" w:hanging="720"/>
        <w:jc w:val="right"/>
      </w:pPr>
      <w:rPr>
        <w:rFonts w:hint="default" w:ascii="Verdana" w:hAnsi="Verdana" w:eastAsia="Verdana" w:cs="Verdana"/>
        <w:b/>
        <w:bCs/>
        <w:color w:val="231F20"/>
        <w:spacing w:val="0"/>
        <w:w w:val="111"/>
        <w:sz w:val="18"/>
        <w:szCs w:val="18"/>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1"/>
      <w:numFmt w:val="decimal"/>
      <w:lvlText w:val="%3."/>
      <w:lvlJc w:val="left"/>
      <w:pPr>
        <w:ind w:left="2556" w:hanging="353"/>
        <w:jc w:val="left"/>
      </w:pPr>
      <w:rPr>
        <w:rFonts w:hint="default" w:ascii="Verdana" w:hAnsi="Verdana" w:eastAsia="Verdana" w:cs="Verdana"/>
        <w:b/>
        <w:bCs/>
        <w:color w:val="231F20"/>
        <w:spacing w:val="0"/>
        <w:w w:val="111"/>
        <w:sz w:val="18"/>
        <w:szCs w:val="18"/>
      </w:rPr>
    </w:lvl>
    <w:lvl w:ilvl="3">
      <w:start w:val="0"/>
      <w:numFmt w:val="bullet"/>
      <w:lvlText w:val="•"/>
      <w:lvlJc w:val="left"/>
      <w:pPr>
        <w:ind w:left="1960" w:hanging="353"/>
      </w:pPr>
      <w:rPr>
        <w:rFonts w:hint="default"/>
      </w:rPr>
    </w:lvl>
    <w:lvl w:ilvl="4">
      <w:start w:val="0"/>
      <w:numFmt w:val="bullet"/>
      <w:lvlText w:val="•"/>
      <w:lvlJc w:val="left"/>
      <w:pPr>
        <w:ind w:left="2560" w:hanging="353"/>
      </w:pPr>
      <w:rPr>
        <w:rFonts w:hint="default"/>
      </w:rPr>
    </w:lvl>
    <w:lvl w:ilvl="5">
      <w:start w:val="0"/>
      <w:numFmt w:val="bullet"/>
      <w:lvlText w:val="•"/>
      <w:lvlJc w:val="left"/>
      <w:pPr>
        <w:ind w:left="4040" w:hanging="353"/>
      </w:pPr>
      <w:rPr>
        <w:rFonts w:hint="default"/>
      </w:rPr>
    </w:lvl>
    <w:lvl w:ilvl="6">
      <w:start w:val="0"/>
      <w:numFmt w:val="bullet"/>
      <w:lvlText w:val="•"/>
      <w:lvlJc w:val="left"/>
      <w:pPr>
        <w:ind w:left="5521" w:hanging="353"/>
      </w:pPr>
      <w:rPr>
        <w:rFonts w:hint="default"/>
      </w:rPr>
    </w:lvl>
    <w:lvl w:ilvl="7">
      <w:start w:val="0"/>
      <w:numFmt w:val="bullet"/>
      <w:lvlText w:val="•"/>
      <w:lvlJc w:val="left"/>
      <w:pPr>
        <w:ind w:left="7002" w:hanging="353"/>
      </w:pPr>
      <w:rPr>
        <w:rFonts w:hint="default"/>
      </w:rPr>
    </w:lvl>
    <w:lvl w:ilvl="8">
      <w:start w:val="0"/>
      <w:numFmt w:val="bullet"/>
      <w:lvlText w:val="•"/>
      <w:lvlJc w:val="left"/>
      <w:pPr>
        <w:ind w:left="8483" w:hanging="353"/>
      </w:pPr>
      <w:rPr>
        <w:rFonts w:hint="default"/>
      </w:rPr>
    </w:lvl>
  </w:abstractNum>
  <w:abstractNum w:abstractNumId="40">
    <w:multiLevelType w:val="hybridMultilevel"/>
    <w:lvl w:ilvl="0">
      <w:start w:val="6"/>
      <w:numFmt w:val="decimal"/>
      <w:lvlText w:val="%1"/>
      <w:lvlJc w:val="left"/>
      <w:pPr>
        <w:ind w:left="1240" w:hanging="567"/>
        <w:jc w:val="left"/>
      </w:pPr>
      <w:rPr>
        <w:rFonts w:hint="default"/>
      </w:rPr>
    </w:lvl>
    <w:lvl w:ilvl="1">
      <w:start w:val="2"/>
      <w:numFmt w:val="decimal"/>
      <w:lvlText w:val="%1.%2"/>
      <w:lvlJc w:val="left"/>
      <w:pPr>
        <w:ind w:left="1240" w:hanging="567"/>
        <w:jc w:val="left"/>
      </w:pPr>
      <w:rPr>
        <w:rFonts w:hint="default" w:ascii="Verdana" w:hAnsi="Verdana" w:eastAsia="Verdana" w:cs="Verdana"/>
        <w:color w:val="231F20"/>
        <w:spacing w:val="-2"/>
        <w:w w:val="111"/>
        <w:sz w:val="18"/>
        <w:szCs w:val="18"/>
      </w:rPr>
    </w:lvl>
    <w:lvl w:ilvl="2">
      <w:start w:val="0"/>
      <w:numFmt w:val="bullet"/>
      <w:lvlText w:val="•"/>
      <w:lvlJc w:val="left"/>
      <w:pPr>
        <w:ind w:left="3281" w:hanging="567"/>
      </w:pPr>
      <w:rPr>
        <w:rFonts w:hint="default"/>
      </w:rPr>
    </w:lvl>
    <w:lvl w:ilvl="3">
      <w:start w:val="0"/>
      <w:numFmt w:val="bullet"/>
      <w:lvlText w:val="•"/>
      <w:lvlJc w:val="left"/>
      <w:pPr>
        <w:ind w:left="4301" w:hanging="567"/>
      </w:pPr>
      <w:rPr>
        <w:rFonts w:hint="default"/>
      </w:rPr>
    </w:lvl>
    <w:lvl w:ilvl="4">
      <w:start w:val="0"/>
      <w:numFmt w:val="bullet"/>
      <w:lvlText w:val="•"/>
      <w:lvlJc w:val="left"/>
      <w:pPr>
        <w:ind w:left="5322" w:hanging="567"/>
      </w:pPr>
      <w:rPr>
        <w:rFonts w:hint="default"/>
      </w:rPr>
    </w:lvl>
    <w:lvl w:ilvl="5">
      <w:start w:val="0"/>
      <w:numFmt w:val="bullet"/>
      <w:lvlText w:val="•"/>
      <w:lvlJc w:val="left"/>
      <w:pPr>
        <w:ind w:left="6342" w:hanging="567"/>
      </w:pPr>
      <w:rPr>
        <w:rFonts w:hint="default"/>
      </w:rPr>
    </w:lvl>
    <w:lvl w:ilvl="6">
      <w:start w:val="0"/>
      <w:numFmt w:val="bullet"/>
      <w:lvlText w:val="•"/>
      <w:lvlJc w:val="left"/>
      <w:pPr>
        <w:ind w:left="7363" w:hanging="567"/>
      </w:pPr>
      <w:rPr>
        <w:rFonts w:hint="default"/>
      </w:rPr>
    </w:lvl>
    <w:lvl w:ilvl="7">
      <w:start w:val="0"/>
      <w:numFmt w:val="bullet"/>
      <w:lvlText w:val="•"/>
      <w:lvlJc w:val="left"/>
      <w:pPr>
        <w:ind w:left="8383" w:hanging="567"/>
      </w:pPr>
      <w:rPr>
        <w:rFonts w:hint="default"/>
      </w:rPr>
    </w:lvl>
    <w:lvl w:ilvl="8">
      <w:start w:val="0"/>
      <w:numFmt w:val="bullet"/>
      <w:lvlText w:val="•"/>
      <w:lvlJc w:val="left"/>
      <w:pPr>
        <w:ind w:left="9404" w:hanging="567"/>
      </w:pPr>
      <w:rPr>
        <w:rFonts w:hint="default"/>
      </w:rPr>
    </w:lvl>
  </w:abstractNum>
  <w:abstractNum w:abstractNumId="39">
    <w:multiLevelType w:val="hybridMultilevel"/>
    <w:lvl w:ilvl="0">
      <w:start w:val="4"/>
      <w:numFmt w:val="decimal"/>
      <w:lvlText w:val="%1"/>
      <w:lvlJc w:val="left"/>
      <w:pPr>
        <w:ind w:left="1240" w:hanging="567"/>
        <w:jc w:val="left"/>
      </w:pPr>
      <w:rPr>
        <w:rFonts w:hint="default"/>
      </w:rPr>
    </w:lvl>
    <w:lvl w:ilvl="1">
      <w:start w:val="2"/>
      <w:numFmt w:val="decimal"/>
      <w:lvlText w:val="%1.%2"/>
      <w:lvlJc w:val="left"/>
      <w:pPr>
        <w:ind w:left="1240" w:hanging="567"/>
        <w:jc w:val="left"/>
      </w:pPr>
      <w:rPr>
        <w:rFonts w:hint="default" w:ascii="Verdana" w:hAnsi="Verdana" w:eastAsia="Verdana" w:cs="Verdana"/>
        <w:color w:val="231F20"/>
        <w:spacing w:val="-7"/>
        <w:w w:val="111"/>
        <w:sz w:val="18"/>
        <w:szCs w:val="18"/>
      </w:rPr>
    </w:lvl>
    <w:lvl w:ilvl="2">
      <w:start w:val="0"/>
      <w:numFmt w:val="bullet"/>
      <w:lvlText w:val="•"/>
      <w:lvlJc w:val="left"/>
      <w:pPr>
        <w:ind w:left="3281" w:hanging="567"/>
      </w:pPr>
      <w:rPr>
        <w:rFonts w:hint="default"/>
      </w:rPr>
    </w:lvl>
    <w:lvl w:ilvl="3">
      <w:start w:val="0"/>
      <w:numFmt w:val="bullet"/>
      <w:lvlText w:val="•"/>
      <w:lvlJc w:val="left"/>
      <w:pPr>
        <w:ind w:left="4301" w:hanging="567"/>
      </w:pPr>
      <w:rPr>
        <w:rFonts w:hint="default"/>
      </w:rPr>
    </w:lvl>
    <w:lvl w:ilvl="4">
      <w:start w:val="0"/>
      <w:numFmt w:val="bullet"/>
      <w:lvlText w:val="•"/>
      <w:lvlJc w:val="left"/>
      <w:pPr>
        <w:ind w:left="5322" w:hanging="567"/>
      </w:pPr>
      <w:rPr>
        <w:rFonts w:hint="default"/>
      </w:rPr>
    </w:lvl>
    <w:lvl w:ilvl="5">
      <w:start w:val="0"/>
      <w:numFmt w:val="bullet"/>
      <w:lvlText w:val="•"/>
      <w:lvlJc w:val="left"/>
      <w:pPr>
        <w:ind w:left="6342" w:hanging="567"/>
      </w:pPr>
      <w:rPr>
        <w:rFonts w:hint="default"/>
      </w:rPr>
    </w:lvl>
    <w:lvl w:ilvl="6">
      <w:start w:val="0"/>
      <w:numFmt w:val="bullet"/>
      <w:lvlText w:val="•"/>
      <w:lvlJc w:val="left"/>
      <w:pPr>
        <w:ind w:left="7363" w:hanging="567"/>
      </w:pPr>
      <w:rPr>
        <w:rFonts w:hint="default"/>
      </w:rPr>
    </w:lvl>
    <w:lvl w:ilvl="7">
      <w:start w:val="0"/>
      <w:numFmt w:val="bullet"/>
      <w:lvlText w:val="•"/>
      <w:lvlJc w:val="left"/>
      <w:pPr>
        <w:ind w:left="8383" w:hanging="567"/>
      </w:pPr>
      <w:rPr>
        <w:rFonts w:hint="default"/>
      </w:rPr>
    </w:lvl>
    <w:lvl w:ilvl="8">
      <w:start w:val="0"/>
      <w:numFmt w:val="bullet"/>
      <w:lvlText w:val="•"/>
      <w:lvlJc w:val="left"/>
      <w:pPr>
        <w:ind w:left="9404" w:hanging="567"/>
      </w:pPr>
      <w:rPr>
        <w:rFonts w:hint="default"/>
      </w:rPr>
    </w:lvl>
  </w:abstractNum>
  <w:abstractNum w:abstractNumId="38">
    <w:multiLevelType w:val="hybridMultilevel"/>
    <w:lvl w:ilvl="0">
      <w:start w:val="1"/>
      <w:numFmt w:val="decimal"/>
      <w:lvlText w:val="%1."/>
      <w:lvlJc w:val="left"/>
      <w:pPr>
        <w:ind w:left="673" w:hanging="567"/>
        <w:jc w:val="right"/>
      </w:pPr>
      <w:rPr>
        <w:rFonts w:hint="default" w:ascii="Verdana" w:hAnsi="Verdana" w:eastAsia="Verdana" w:cs="Verdana"/>
        <w:color w:val="231F20"/>
        <w:spacing w:val="-6"/>
        <w:w w:val="111"/>
        <w:sz w:val="18"/>
        <w:szCs w:val="18"/>
      </w:rPr>
    </w:lvl>
    <w:lvl w:ilvl="1">
      <w:start w:val="0"/>
      <w:numFmt w:val="bullet"/>
      <w:lvlText w:val="•"/>
      <w:lvlJc w:val="left"/>
      <w:pPr>
        <w:ind w:left="1756" w:hanging="567"/>
      </w:pPr>
      <w:rPr>
        <w:rFonts w:hint="default"/>
      </w:rPr>
    </w:lvl>
    <w:lvl w:ilvl="2">
      <w:start w:val="0"/>
      <w:numFmt w:val="bullet"/>
      <w:lvlText w:val="•"/>
      <w:lvlJc w:val="left"/>
      <w:pPr>
        <w:ind w:left="2833" w:hanging="567"/>
      </w:pPr>
      <w:rPr>
        <w:rFonts w:hint="default"/>
      </w:rPr>
    </w:lvl>
    <w:lvl w:ilvl="3">
      <w:start w:val="0"/>
      <w:numFmt w:val="bullet"/>
      <w:lvlText w:val="•"/>
      <w:lvlJc w:val="left"/>
      <w:pPr>
        <w:ind w:left="3909" w:hanging="567"/>
      </w:pPr>
      <w:rPr>
        <w:rFonts w:hint="default"/>
      </w:rPr>
    </w:lvl>
    <w:lvl w:ilvl="4">
      <w:start w:val="0"/>
      <w:numFmt w:val="bullet"/>
      <w:lvlText w:val="•"/>
      <w:lvlJc w:val="left"/>
      <w:pPr>
        <w:ind w:left="4986" w:hanging="567"/>
      </w:pPr>
      <w:rPr>
        <w:rFonts w:hint="default"/>
      </w:rPr>
    </w:lvl>
    <w:lvl w:ilvl="5">
      <w:start w:val="0"/>
      <w:numFmt w:val="bullet"/>
      <w:lvlText w:val="•"/>
      <w:lvlJc w:val="left"/>
      <w:pPr>
        <w:ind w:left="6062" w:hanging="567"/>
      </w:pPr>
      <w:rPr>
        <w:rFonts w:hint="default"/>
      </w:rPr>
    </w:lvl>
    <w:lvl w:ilvl="6">
      <w:start w:val="0"/>
      <w:numFmt w:val="bullet"/>
      <w:lvlText w:val="•"/>
      <w:lvlJc w:val="left"/>
      <w:pPr>
        <w:ind w:left="7139" w:hanging="567"/>
      </w:pPr>
      <w:rPr>
        <w:rFonts w:hint="default"/>
      </w:rPr>
    </w:lvl>
    <w:lvl w:ilvl="7">
      <w:start w:val="0"/>
      <w:numFmt w:val="bullet"/>
      <w:lvlText w:val="•"/>
      <w:lvlJc w:val="left"/>
      <w:pPr>
        <w:ind w:left="8215" w:hanging="567"/>
      </w:pPr>
      <w:rPr>
        <w:rFonts w:hint="default"/>
      </w:rPr>
    </w:lvl>
    <w:lvl w:ilvl="8">
      <w:start w:val="0"/>
      <w:numFmt w:val="bullet"/>
      <w:lvlText w:val="•"/>
      <w:lvlJc w:val="left"/>
      <w:pPr>
        <w:ind w:left="9292" w:hanging="567"/>
      </w:pPr>
      <w:rPr>
        <w:rFonts w:hint="default"/>
      </w:rPr>
    </w:lvl>
  </w:abstractNum>
  <w:abstractNum w:abstractNumId="37">
    <w:multiLevelType w:val="hybridMultilevel"/>
    <w:lvl w:ilvl="0">
      <w:start w:val="7"/>
      <w:numFmt w:val="decimal"/>
      <w:lvlText w:val="%1"/>
      <w:lvlJc w:val="left"/>
      <w:pPr>
        <w:ind w:left="1240" w:hanging="720"/>
        <w:jc w:val="left"/>
      </w:pPr>
      <w:rPr>
        <w:rFonts w:hint="default"/>
      </w:rPr>
    </w:lvl>
    <w:lvl w:ilvl="1">
      <w:start w:val="2"/>
      <w:numFmt w:val="decimal"/>
      <w:lvlText w:val="%1.%2"/>
      <w:lvlJc w:val="left"/>
      <w:pPr>
        <w:ind w:left="1240" w:hanging="720"/>
        <w:jc w:val="left"/>
      </w:pPr>
      <w:rPr>
        <w:rFonts w:hint="default" w:ascii="Verdana" w:hAnsi="Verdana" w:eastAsia="Verdana" w:cs="Verdana"/>
        <w:color w:val="231F20"/>
        <w:spacing w:val="-25"/>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36">
    <w:multiLevelType w:val="hybridMultilevel"/>
    <w:lvl w:ilvl="0">
      <w:start w:val="5"/>
      <w:numFmt w:val="decimal"/>
      <w:lvlText w:val="%1"/>
      <w:lvlJc w:val="left"/>
      <w:pPr>
        <w:ind w:left="1240" w:hanging="720"/>
        <w:jc w:val="left"/>
      </w:pPr>
      <w:rPr>
        <w:rFonts w:hint="default"/>
      </w:rPr>
    </w:lvl>
    <w:lvl w:ilvl="1">
      <w:start w:val="2"/>
      <w:numFmt w:val="decimal"/>
      <w:lvlText w:val="%1.%2"/>
      <w:lvlJc w:val="left"/>
      <w:pPr>
        <w:ind w:left="1240" w:hanging="720"/>
        <w:jc w:val="left"/>
      </w:pPr>
      <w:rPr>
        <w:rFonts w:hint="default" w:ascii="Verdana" w:hAnsi="Verdana" w:eastAsia="Verdana" w:cs="Verdana"/>
        <w:color w:val="231F20"/>
        <w:spacing w:val="-6"/>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35">
    <w:multiLevelType w:val="hybridMultilevel"/>
    <w:lvl w:ilvl="0">
      <w:start w:val="1"/>
      <w:numFmt w:val="decimal"/>
      <w:lvlText w:val="%1"/>
      <w:lvlJc w:val="left"/>
      <w:pPr>
        <w:ind w:left="673" w:hanging="720"/>
        <w:jc w:val="left"/>
      </w:pPr>
      <w:rPr>
        <w:rFonts w:hint="default"/>
      </w:rPr>
    </w:lvl>
    <w:lvl w:ilvl="1">
      <w:start w:val="3"/>
      <w:numFmt w:val="decimal"/>
      <w:lvlText w:val="%1.%2"/>
      <w:lvlJc w:val="left"/>
      <w:pPr>
        <w:ind w:left="673" w:hanging="720"/>
        <w:jc w:val="left"/>
      </w:pPr>
      <w:rPr>
        <w:rFonts w:hint="default"/>
      </w:rPr>
    </w:lvl>
    <w:lvl w:ilvl="2">
      <w:start w:val="1"/>
      <w:numFmt w:val="decimal"/>
      <w:lvlText w:val="%1.%2.%3"/>
      <w:lvlJc w:val="left"/>
      <w:pPr>
        <w:ind w:left="67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34">
    <w:multiLevelType w:val="hybridMultilevel"/>
    <w:lvl w:ilvl="0">
      <w:start w:val="1"/>
      <w:numFmt w:val="decimal"/>
      <w:lvlText w:val="%1."/>
      <w:lvlJc w:val="left"/>
      <w:pPr>
        <w:ind w:left="673" w:hanging="720"/>
        <w:jc w:val="left"/>
      </w:pPr>
      <w:rPr>
        <w:rFonts w:hint="default" w:ascii="Verdana" w:hAnsi="Verdana" w:eastAsia="Verdana" w:cs="Verdana"/>
        <w:color w:val="231F20"/>
        <w:spacing w:val="-5"/>
        <w:w w:val="111"/>
        <w:sz w:val="18"/>
        <w:szCs w:val="18"/>
      </w:rPr>
    </w:lvl>
    <w:lvl w:ilvl="1">
      <w:start w:val="1"/>
      <w:numFmt w:val="decimal"/>
      <w:lvlText w:val="%2."/>
      <w:lvlJc w:val="left"/>
      <w:pPr>
        <w:ind w:left="1240" w:hanging="477"/>
        <w:jc w:val="right"/>
      </w:pPr>
      <w:rPr>
        <w:rFonts w:hint="default" w:ascii="Verdana" w:hAnsi="Verdana" w:eastAsia="Verdana" w:cs="Verdana"/>
        <w:color w:val="231F20"/>
        <w:spacing w:val="-6"/>
        <w:w w:val="111"/>
        <w:sz w:val="18"/>
        <w:szCs w:val="18"/>
      </w:rPr>
    </w:lvl>
    <w:lvl w:ilvl="2">
      <w:start w:val="0"/>
      <w:numFmt w:val="bullet"/>
      <w:lvlText w:val="•"/>
      <w:lvlJc w:val="left"/>
      <w:pPr>
        <w:ind w:left="2373" w:hanging="477"/>
      </w:pPr>
      <w:rPr>
        <w:rFonts w:hint="default"/>
      </w:rPr>
    </w:lvl>
    <w:lvl w:ilvl="3">
      <w:start w:val="0"/>
      <w:numFmt w:val="bullet"/>
      <w:lvlText w:val="•"/>
      <w:lvlJc w:val="left"/>
      <w:pPr>
        <w:ind w:left="3507" w:hanging="477"/>
      </w:pPr>
      <w:rPr>
        <w:rFonts w:hint="default"/>
      </w:rPr>
    </w:lvl>
    <w:lvl w:ilvl="4">
      <w:start w:val="0"/>
      <w:numFmt w:val="bullet"/>
      <w:lvlText w:val="•"/>
      <w:lvlJc w:val="left"/>
      <w:pPr>
        <w:ind w:left="4641" w:hanging="477"/>
      </w:pPr>
      <w:rPr>
        <w:rFonts w:hint="default"/>
      </w:rPr>
    </w:lvl>
    <w:lvl w:ilvl="5">
      <w:start w:val="0"/>
      <w:numFmt w:val="bullet"/>
      <w:lvlText w:val="•"/>
      <w:lvlJc w:val="left"/>
      <w:pPr>
        <w:ind w:left="5775" w:hanging="477"/>
      </w:pPr>
      <w:rPr>
        <w:rFonts w:hint="default"/>
      </w:rPr>
    </w:lvl>
    <w:lvl w:ilvl="6">
      <w:start w:val="0"/>
      <w:numFmt w:val="bullet"/>
      <w:lvlText w:val="•"/>
      <w:lvlJc w:val="left"/>
      <w:pPr>
        <w:ind w:left="6909" w:hanging="477"/>
      </w:pPr>
      <w:rPr>
        <w:rFonts w:hint="default"/>
      </w:rPr>
    </w:lvl>
    <w:lvl w:ilvl="7">
      <w:start w:val="0"/>
      <w:numFmt w:val="bullet"/>
      <w:lvlText w:val="•"/>
      <w:lvlJc w:val="left"/>
      <w:pPr>
        <w:ind w:left="8043" w:hanging="477"/>
      </w:pPr>
      <w:rPr>
        <w:rFonts w:hint="default"/>
      </w:rPr>
    </w:lvl>
    <w:lvl w:ilvl="8">
      <w:start w:val="0"/>
      <w:numFmt w:val="bullet"/>
      <w:lvlText w:val="•"/>
      <w:lvlJc w:val="left"/>
      <w:pPr>
        <w:ind w:left="9177" w:hanging="477"/>
      </w:pPr>
      <w:rPr>
        <w:rFonts w:hint="default"/>
      </w:rPr>
    </w:lvl>
  </w:abstractNum>
  <w:abstractNum w:abstractNumId="33">
    <w:multiLevelType w:val="hybridMultilevel"/>
    <w:lvl w:ilvl="0">
      <w:start w:val="6"/>
      <w:numFmt w:val="decimal"/>
      <w:lvlText w:val="%1"/>
      <w:lvlJc w:val="left"/>
      <w:pPr>
        <w:ind w:left="923" w:hanging="567"/>
        <w:jc w:val="left"/>
      </w:pPr>
      <w:rPr>
        <w:rFonts w:hint="default"/>
      </w:rPr>
    </w:lvl>
    <w:lvl w:ilvl="1">
      <w:start w:val="2"/>
      <w:numFmt w:val="decimal"/>
      <w:lvlText w:val="%1.%2"/>
      <w:lvlJc w:val="left"/>
      <w:pPr>
        <w:ind w:left="923" w:hanging="567"/>
        <w:jc w:val="left"/>
      </w:pPr>
      <w:rPr>
        <w:rFonts w:hint="default" w:ascii="Verdana" w:hAnsi="Verdana" w:eastAsia="Verdana" w:cs="Verdana"/>
        <w:color w:val="231F20"/>
        <w:spacing w:val="-2"/>
        <w:w w:val="111"/>
        <w:sz w:val="18"/>
        <w:szCs w:val="18"/>
      </w:rPr>
    </w:lvl>
    <w:lvl w:ilvl="2">
      <w:start w:val="0"/>
      <w:numFmt w:val="bullet"/>
      <w:lvlText w:val="•"/>
      <w:lvlJc w:val="left"/>
      <w:pPr>
        <w:ind w:left="2373" w:hanging="567"/>
      </w:pPr>
      <w:rPr>
        <w:rFonts w:hint="default"/>
      </w:rPr>
    </w:lvl>
    <w:lvl w:ilvl="3">
      <w:start w:val="0"/>
      <w:numFmt w:val="bullet"/>
      <w:lvlText w:val="•"/>
      <w:lvlJc w:val="left"/>
      <w:pPr>
        <w:ind w:left="3507" w:hanging="567"/>
      </w:pPr>
      <w:rPr>
        <w:rFonts w:hint="default"/>
      </w:rPr>
    </w:lvl>
    <w:lvl w:ilvl="4">
      <w:start w:val="0"/>
      <w:numFmt w:val="bullet"/>
      <w:lvlText w:val="•"/>
      <w:lvlJc w:val="left"/>
      <w:pPr>
        <w:ind w:left="4641" w:hanging="567"/>
      </w:pPr>
      <w:rPr>
        <w:rFonts w:hint="default"/>
      </w:rPr>
    </w:lvl>
    <w:lvl w:ilvl="5">
      <w:start w:val="0"/>
      <w:numFmt w:val="bullet"/>
      <w:lvlText w:val="•"/>
      <w:lvlJc w:val="left"/>
      <w:pPr>
        <w:ind w:left="5775" w:hanging="567"/>
      </w:pPr>
      <w:rPr>
        <w:rFonts w:hint="default"/>
      </w:rPr>
    </w:lvl>
    <w:lvl w:ilvl="6">
      <w:start w:val="0"/>
      <w:numFmt w:val="bullet"/>
      <w:lvlText w:val="•"/>
      <w:lvlJc w:val="left"/>
      <w:pPr>
        <w:ind w:left="6909" w:hanging="567"/>
      </w:pPr>
      <w:rPr>
        <w:rFonts w:hint="default"/>
      </w:rPr>
    </w:lvl>
    <w:lvl w:ilvl="7">
      <w:start w:val="0"/>
      <w:numFmt w:val="bullet"/>
      <w:lvlText w:val="•"/>
      <w:lvlJc w:val="left"/>
      <w:pPr>
        <w:ind w:left="8043" w:hanging="567"/>
      </w:pPr>
      <w:rPr>
        <w:rFonts w:hint="default"/>
      </w:rPr>
    </w:lvl>
    <w:lvl w:ilvl="8">
      <w:start w:val="0"/>
      <w:numFmt w:val="bullet"/>
      <w:lvlText w:val="•"/>
      <w:lvlJc w:val="left"/>
      <w:pPr>
        <w:ind w:left="9177" w:hanging="567"/>
      </w:pPr>
      <w:rPr>
        <w:rFonts w:hint="default"/>
      </w:rPr>
    </w:lvl>
  </w:abstractNum>
  <w:abstractNum w:abstractNumId="32">
    <w:multiLevelType w:val="hybridMultilevel"/>
    <w:lvl w:ilvl="0">
      <w:start w:val="4"/>
      <w:numFmt w:val="decimal"/>
      <w:lvlText w:val="%1"/>
      <w:lvlJc w:val="left"/>
      <w:pPr>
        <w:ind w:left="923" w:hanging="567"/>
        <w:jc w:val="left"/>
      </w:pPr>
      <w:rPr>
        <w:rFonts w:hint="default"/>
      </w:rPr>
    </w:lvl>
    <w:lvl w:ilvl="1">
      <w:start w:val="2"/>
      <w:numFmt w:val="decimal"/>
      <w:lvlText w:val="%1.%2"/>
      <w:lvlJc w:val="left"/>
      <w:pPr>
        <w:ind w:left="923" w:hanging="567"/>
        <w:jc w:val="left"/>
      </w:pPr>
      <w:rPr>
        <w:rFonts w:hint="default" w:ascii="Verdana" w:hAnsi="Verdana" w:eastAsia="Verdana" w:cs="Verdana"/>
        <w:color w:val="231F20"/>
        <w:spacing w:val="-3"/>
        <w:w w:val="111"/>
        <w:sz w:val="18"/>
        <w:szCs w:val="18"/>
      </w:rPr>
    </w:lvl>
    <w:lvl w:ilvl="2">
      <w:start w:val="0"/>
      <w:numFmt w:val="bullet"/>
      <w:lvlText w:val="•"/>
      <w:lvlJc w:val="left"/>
      <w:pPr>
        <w:ind w:left="3025" w:hanging="567"/>
      </w:pPr>
      <w:rPr>
        <w:rFonts w:hint="default"/>
      </w:rPr>
    </w:lvl>
    <w:lvl w:ilvl="3">
      <w:start w:val="0"/>
      <w:numFmt w:val="bullet"/>
      <w:lvlText w:val="•"/>
      <w:lvlJc w:val="left"/>
      <w:pPr>
        <w:ind w:left="4077" w:hanging="567"/>
      </w:pPr>
      <w:rPr>
        <w:rFonts w:hint="default"/>
      </w:rPr>
    </w:lvl>
    <w:lvl w:ilvl="4">
      <w:start w:val="0"/>
      <w:numFmt w:val="bullet"/>
      <w:lvlText w:val="•"/>
      <w:lvlJc w:val="left"/>
      <w:pPr>
        <w:ind w:left="5130" w:hanging="567"/>
      </w:pPr>
      <w:rPr>
        <w:rFonts w:hint="default"/>
      </w:rPr>
    </w:lvl>
    <w:lvl w:ilvl="5">
      <w:start w:val="0"/>
      <w:numFmt w:val="bullet"/>
      <w:lvlText w:val="•"/>
      <w:lvlJc w:val="left"/>
      <w:pPr>
        <w:ind w:left="6182" w:hanging="567"/>
      </w:pPr>
      <w:rPr>
        <w:rFonts w:hint="default"/>
      </w:rPr>
    </w:lvl>
    <w:lvl w:ilvl="6">
      <w:start w:val="0"/>
      <w:numFmt w:val="bullet"/>
      <w:lvlText w:val="•"/>
      <w:lvlJc w:val="left"/>
      <w:pPr>
        <w:ind w:left="7235" w:hanging="567"/>
      </w:pPr>
      <w:rPr>
        <w:rFonts w:hint="default"/>
      </w:rPr>
    </w:lvl>
    <w:lvl w:ilvl="7">
      <w:start w:val="0"/>
      <w:numFmt w:val="bullet"/>
      <w:lvlText w:val="•"/>
      <w:lvlJc w:val="left"/>
      <w:pPr>
        <w:ind w:left="8287" w:hanging="567"/>
      </w:pPr>
      <w:rPr>
        <w:rFonts w:hint="default"/>
      </w:rPr>
    </w:lvl>
    <w:lvl w:ilvl="8">
      <w:start w:val="0"/>
      <w:numFmt w:val="bullet"/>
      <w:lvlText w:val="•"/>
      <w:lvlJc w:val="left"/>
      <w:pPr>
        <w:ind w:left="9340" w:hanging="567"/>
      </w:pPr>
      <w:rPr>
        <w:rFonts w:hint="default"/>
      </w:rPr>
    </w:lvl>
  </w:abstractNum>
  <w:abstractNum w:abstractNumId="31">
    <w:multiLevelType w:val="hybridMultilevel"/>
    <w:lvl w:ilvl="0">
      <w:start w:val="1"/>
      <w:numFmt w:val="decimal"/>
      <w:lvlText w:val="%1."/>
      <w:lvlJc w:val="left"/>
      <w:pPr>
        <w:ind w:left="1240" w:hanging="567"/>
        <w:jc w:val="right"/>
      </w:pPr>
      <w:rPr>
        <w:rFonts w:hint="default" w:ascii="Verdana" w:hAnsi="Verdana" w:eastAsia="Verdana" w:cs="Verdana"/>
        <w:color w:val="231F20"/>
        <w:spacing w:val="-5"/>
        <w:w w:val="111"/>
        <w:sz w:val="18"/>
        <w:szCs w:val="18"/>
      </w:rPr>
    </w:lvl>
    <w:lvl w:ilvl="1">
      <w:start w:val="0"/>
      <w:numFmt w:val="bullet"/>
      <w:lvlText w:val="•"/>
      <w:lvlJc w:val="left"/>
      <w:pPr>
        <w:ind w:left="2260" w:hanging="567"/>
      </w:pPr>
      <w:rPr>
        <w:rFonts w:hint="default"/>
      </w:rPr>
    </w:lvl>
    <w:lvl w:ilvl="2">
      <w:start w:val="0"/>
      <w:numFmt w:val="bullet"/>
      <w:lvlText w:val="•"/>
      <w:lvlJc w:val="left"/>
      <w:pPr>
        <w:ind w:left="3281" w:hanging="567"/>
      </w:pPr>
      <w:rPr>
        <w:rFonts w:hint="default"/>
      </w:rPr>
    </w:lvl>
    <w:lvl w:ilvl="3">
      <w:start w:val="0"/>
      <w:numFmt w:val="bullet"/>
      <w:lvlText w:val="•"/>
      <w:lvlJc w:val="left"/>
      <w:pPr>
        <w:ind w:left="4301" w:hanging="567"/>
      </w:pPr>
      <w:rPr>
        <w:rFonts w:hint="default"/>
      </w:rPr>
    </w:lvl>
    <w:lvl w:ilvl="4">
      <w:start w:val="0"/>
      <w:numFmt w:val="bullet"/>
      <w:lvlText w:val="•"/>
      <w:lvlJc w:val="left"/>
      <w:pPr>
        <w:ind w:left="5322" w:hanging="567"/>
      </w:pPr>
      <w:rPr>
        <w:rFonts w:hint="default"/>
      </w:rPr>
    </w:lvl>
    <w:lvl w:ilvl="5">
      <w:start w:val="0"/>
      <w:numFmt w:val="bullet"/>
      <w:lvlText w:val="•"/>
      <w:lvlJc w:val="left"/>
      <w:pPr>
        <w:ind w:left="6342" w:hanging="567"/>
      </w:pPr>
      <w:rPr>
        <w:rFonts w:hint="default"/>
      </w:rPr>
    </w:lvl>
    <w:lvl w:ilvl="6">
      <w:start w:val="0"/>
      <w:numFmt w:val="bullet"/>
      <w:lvlText w:val="•"/>
      <w:lvlJc w:val="left"/>
      <w:pPr>
        <w:ind w:left="7363" w:hanging="567"/>
      </w:pPr>
      <w:rPr>
        <w:rFonts w:hint="default"/>
      </w:rPr>
    </w:lvl>
    <w:lvl w:ilvl="7">
      <w:start w:val="0"/>
      <w:numFmt w:val="bullet"/>
      <w:lvlText w:val="•"/>
      <w:lvlJc w:val="left"/>
      <w:pPr>
        <w:ind w:left="8383" w:hanging="567"/>
      </w:pPr>
      <w:rPr>
        <w:rFonts w:hint="default"/>
      </w:rPr>
    </w:lvl>
    <w:lvl w:ilvl="8">
      <w:start w:val="0"/>
      <w:numFmt w:val="bullet"/>
      <w:lvlText w:val="•"/>
      <w:lvlJc w:val="left"/>
      <w:pPr>
        <w:ind w:left="9404" w:hanging="567"/>
      </w:pPr>
      <w:rPr>
        <w:rFonts w:hint="default"/>
      </w:rPr>
    </w:lvl>
  </w:abstractNum>
  <w:abstractNum w:abstractNumId="30">
    <w:multiLevelType w:val="hybridMultilevel"/>
    <w:lvl w:ilvl="0">
      <w:start w:val="6"/>
      <w:numFmt w:val="decimal"/>
      <w:lvlText w:val="%1"/>
      <w:lvlJc w:val="left"/>
      <w:pPr>
        <w:ind w:left="2261" w:hanging="1021"/>
        <w:jc w:val="left"/>
      </w:pPr>
      <w:rPr>
        <w:rFonts w:hint="default"/>
      </w:rPr>
    </w:lvl>
    <w:lvl w:ilvl="1">
      <w:start w:val="5"/>
      <w:numFmt w:val="decimal"/>
      <w:lvlText w:val="%1.%2"/>
      <w:lvlJc w:val="left"/>
      <w:pPr>
        <w:ind w:left="2261" w:hanging="1021"/>
        <w:jc w:val="left"/>
      </w:pPr>
      <w:rPr>
        <w:rFonts w:hint="default"/>
      </w:rPr>
    </w:lvl>
    <w:lvl w:ilvl="2">
      <w:start w:val="5"/>
      <w:numFmt w:val="decimal"/>
      <w:lvlText w:val="%1.%2.%3"/>
      <w:lvlJc w:val="left"/>
      <w:pPr>
        <w:ind w:left="2261" w:hanging="1021"/>
        <w:jc w:val="left"/>
      </w:pPr>
      <w:rPr>
        <w:rFonts w:hint="default"/>
      </w:rPr>
    </w:lvl>
    <w:lvl w:ilvl="3">
      <w:start w:val="1"/>
      <w:numFmt w:val="decimal"/>
      <w:lvlText w:val="%1.%2.%3.%4"/>
      <w:lvlJc w:val="left"/>
      <w:pPr>
        <w:ind w:left="2261" w:hanging="1021"/>
        <w:jc w:val="left"/>
      </w:pPr>
      <w:rPr>
        <w:rFonts w:hint="default" w:ascii="Verdana" w:hAnsi="Verdana" w:eastAsia="Verdana" w:cs="Verdana"/>
        <w:color w:val="231F20"/>
        <w:spacing w:val="-8"/>
        <w:w w:val="111"/>
        <w:sz w:val="18"/>
        <w:szCs w:val="18"/>
      </w:rPr>
    </w:lvl>
    <w:lvl w:ilvl="4">
      <w:start w:val="0"/>
      <w:numFmt w:val="bullet"/>
      <w:lvlText w:val="•"/>
      <w:lvlJc w:val="left"/>
      <w:pPr>
        <w:ind w:left="5934" w:hanging="1021"/>
      </w:pPr>
      <w:rPr>
        <w:rFonts w:hint="default"/>
      </w:rPr>
    </w:lvl>
    <w:lvl w:ilvl="5">
      <w:start w:val="0"/>
      <w:numFmt w:val="bullet"/>
      <w:lvlText w:val="•"/>
      <w:lvlJc w:val="left"/>
      <w:pPr>
        <w:ind w:left="6852" w:hanging="1021"/>
      </w:pPr>
      <w:rPr>
        <w:rFonts w:hint="default"/>
      </w:rPr>
    </w:lvl>
    <w:lvl w:ilvl="6">
      <w:start w:val="0"/>
      <w:numFmt w:val="bullet"/>
      <w:lvlText w:val="•"/>
      <w:lvlJc w:val="left"/>
      <w:pPr>
        <w:ind w:left="7771" w:hanging="1021"/>
      </w:pPr>
      <w:rPr>
        <w:rFonts w:hint="default"/>
      </w:rPr>
    </w:lvl>
    <w:lvl w:ilvl="7">
      <w:start w:val="0"/>
      <w:numFmt w:val="bullet"/>
      <w:lvlText w:val="•"/>
      <w:lvlJc w:val="left"/>
      <w:pPr>
        <w:ind w:left="8689" w:hanging="1021"/>
      </w:pPr>
      <w:rPr>
        <w:rFonts w:hint="default"/>
      </w:rPr>
    </w:lvl>
    <w:lvl w:ilvl="8">
      <w:start w:val="0"/>
      <w:numFmt w:val="bullet"/>
      <w:lvlText w:val="•"/>
      <w:lvlJc w:val="left"/>
      <w:pPr>
        <w:ind w:left="9608" w:hanging="1021"/>
      </w:pPr>
      <w:rPr>
        <w:rFonts w:hint="default"/>
      </w:rPr>
    </w:lvl>
  </w:abstractNum>
  <w:abstractNum w:abstractNumId="29">
    <w:multiLevelType w:val="hybridMultilevel"/>
    <w:lvl w:ilvl="0">
      <w:start w:val="1"/>
      <w:numFmt w:val="decimal"/>
      <w:lvlText w:val="%1."/>
      <w:lvlJc w:val="left"/>
      <w:pPr>
        <w:ind w:left="1694" w:hanging="341"/>
        <w:jc w:val="left"/>
      </w:pPr>
      <w:rPr>
        <w:rFonts w:hint="default" w:ascii="Verdana" w:hAnsi="Verdana" w:eastAsia="Verdana" w:cs="Verdana"/>
        <w:color w:val="231F20"/>
        <w:spacing w:val="-5"/>
        <w:w w:val="111"/>
        <w:sz w:val="18"/>
        <w:szCs w:val="18"/>
      </w:rPr>
    </w:lvl>
    <w:lvl w:ilvl="1">
      <w:start w:val="0"/>
      <w:numFmt w:val="bullet"/>
      <w:lvlText w:val="•"/>
      <w:lvlJc w:val="left"/>
      <w:pPr>
        <w:ind w:left="2674" w:hanging="341"/>
      </w:pPr>
      <w:rPr>
        <w:rFonts w:hint="default"/>
      </w:rPr>
    </w:lvl>
    <w:lvl w:ilvl="2">
      <w:start w:val="0"/>
      <w:numFmt w:val="bullet"/>
      <w:lvlText w:val="•"/>
      <w:lvlJc w:val="left"/>
      <w:pPr>
        <w:ind w:left="3649" w:hanging="341"/>
      </w:pPr>
      <w:rPr>
        <w:rFonts w:hint="default"/>
      </w:rPr>
    </w:lvl>
    <w:lvl w:ilvl="3">
      <w:start w:val="0"/>
      <w:numFmt w:val="bullet"/>
      <w:lvlText w:val="•"/>
      <w:lvlJc w:val="left"/>
      <w:pPr>
        <w:ind w:left="4623" w:hanging="341"/>
      </w:pPr>
      <w:rPr>
        <w:rFonts w:hint="default"/>
      </w:rPr>
    </w:lvl>
    <w:lvl w:ilvl="4">
      <w:start w:val="0"/>
      <w:numFmt w:val="bullet"/>
      <w:lvlText w:val="•"/>
      <w:lvlJc w:val="left"/>
      <w:pPr>
        <w:ind w:left="5598" w:hanging="341"/>
      </w:pPr>
      <w:rPr>
        <w:rFonts w:hint="default"/>
      </w:rPr>
    </w:lvl>
    <w:lvl w:ilvl="5">
      <w:start w:val="0"/>
      <w:numFmt w:val="bullet"/>
      <w:lvlText w:val="•"/>
      <w:lvlJc w:val="left"/>
      <w:pPr>
        <w:ind w:left="6572" w:hanging="341"/>
      </w:pPr>
      <w:rPr>
        <w:rFonts w:hint="default"/>
      </w:rPr>
    </w:lvl>
    <w:lvl w:ilvl="6">
      <w:start w:val="0"/>
      <w:numFmt w:val="bullet"/>
      <w:lvlText w:val="•"/>
      <w:lvlJc w:val="left"/>
      <w:pPr>
        <w:ind w:left="7547" w:hanging="341"/>
      </w:pPr>
      <w:rPr>
        <w:rFonts w:hint="default"/>
      </w:rPr>
    </w:lvl>
    <w:lvl w:ilvl="7">
      <w:start w:val="0"/>
      <w:numFmt w:val="bullet"/>
      <w:lvlText w:val="•"/>
      <w:lvlJc w:val="left"/>
      <w:pPr>
        <w:ind w:left="8521" w:hanging="341"/>
      </w:pPr>
      <w:rPr>
        <w:rFonts w:hint="default"/>
      </w:rPr>
    </w:lvl>
    <w:lvl w:ilvl="8">
      <w:start w:val="0"/>
      <w:numFmt w:val="bullet"/>
      <w:lvlText w:val="•"/>
      <w:lvlJc w:val="left"/>
      <w:pPr>
        <w:ind w:left="9496" w:hanging="341"/>
      </w:pPr>
      <w:rPr>
        <w:rFonts w:hint="default"/>
      </w:rPr>
    </w:lvl>
  </w:abstractNum>
  <w:abstractNum w:abstractNumId="28">
    <w:multiLevelType w:val="hybridMultilevel"/>
    <w:lvl w:ilvl="0">
      <w:start w:val="1"/>
      <w:numFmt w:val="decimal"/>
      <w:lvlText w:val="%1."/>
      <w:lvlJc w:val="left"/>
      <w:pPr>
        <w:ind w:left="1694" w:hanging="341"/>
        <w:jc w:val="left"/>
      </w:pPr>
      <w:rPr>
        <w:rFonts w:hint="default" w:ascii="Verdana" w:hAnsi="Verdana" w:eastAsia="Verdana" w:cs="Verdana"/>
        <w:color w:val="231F20"/>
        <w:spacing w:val="-5"/>
        <w:w w:val="111"/>
        <w:sz w:val="18"/>
        <w:szCs w:val="18"/>
      </w:rPr>
    </w:lvl>
    <w:lvl w:ilvl="1">
      <w:start w:val="0"/>
      <w:numFmt w:val="bullet"/>
      <w:lvlText w:val="•"/>
      <w:lvlJc w:val="left"/>
      <w:pPr>
        <w:ind w:left="2674" w:hanging="341"/>
      </w:pPr>
      <w:rPr>
        <w:rFonts w:hint="default"/>
      </w:rPr>
    </w:lvl>
    <w:lvl w:ilvl="2">
      <w:start w:val="0"/>
      <w:numFmt w:val="bullet"/>
      <w:lvlText w:val="•"/>
      <w:lvlJc w:val="left"/>
      <w:pPr>
        <w:ind w:left="3649" w:hanging="341"/>
      </w:pPr>
      <w:rPr>
        <w:rFonts w:hint="default"/>
      </w:rPr>
    </w:lvl>
    <w:lvl w:ilvl="3">
      <w:start w:val="0"/>
      <w:numFmt w:val="bullet"/>
      <w:lvlText w:val="•"/>
      <w:lvlJc w:val="left"/>
      <w:pPr>
        <w:ind w:left="4623" w:hanging="341"/>
      </w:pPr>
      <w:rPr>
        <w:rFonts w:hint="default"/>
      </w:rPr>
    </w:lvl>
    <w:lvl w:ilvl="4">
      <w:start w:val="0"/>
      <w:numFmt w:val="bullet"/>
      <w:lvlText w:val="•"/>
      <w:lvlJc w:val="left"/>
      <w:pPr>
        <w:ind w:left="5598" w:hanging="341"/>
      </w:pPr>
      <w:rPr>
        <w:rFonts w:hint="default"/>
      </w:rPr>
    </w:lvl>
    <w:lvl w:ilvl="5">
      <w:start w:val="0"/>
      <w:numFmt w:val="bullet"/>
      <w:lvlText w:val="•"/>
      <w:lvlJc w:val="left"/>
      <w:pPr>
        <w:ind w:left="6572" w:hanging="341"/>
      </w:pPr>
      <w:rPr>
        <w:rFonts w:hint="default"/>
      </w:rPr>
    </w:lvl>
    <w:lvl w:ilvl="6">
      <w:start w:val="0"/>
      <w:numFmt w:val="bullet"/>
      <w:lvlText w:val="•"/>
      <w:lvlJc w:val="left"/>
      <w:pPr>
        <w:ind w:left="7547" w:hanging="341"/>
      </w:pPr>
      <w:rPr>
        <w:rFonts w:hint="default"/>
      </w:rPr>
    </w:lvl>
    <w:lvl w:ilvl="7">
      <w:start w:val="0"/>
      <w:numFmt w:val="bullet"/>
      <w:lvlText w:val="•"/>
      <w:lvlJc w:val="left"/>
      <w:pPr>
        <w:ind w:left="8521" w:hanging="341"/>
      </w:pPr>
      <w:rPr>
        <w:rFonts w:hint="default"/>
      </w:rPr>
    </w:lvl>
    <w:lvl w:ilvl="8">
      <w:start w:val="0"/>
      <w:numFmt w:val="bullet"/>
      <w:lvlText w:val="•"/>
      <w:lvlJc w:val="left"/>
      <w:pPr>
        <w:ind w:left="9496" w:hanging="341"/>
      </w:pPr>
      <w:rPr>
        <w:rFonts w:hint="default"/>
      </w:rPr>
    </w:lvl>
  </w:abstractNum>
  <w:abstractNum w:abstractNumId="27">
    <w:multiLevelType w:val="hybridMultilevel"/>
    <w:lvl w:ilvl="0">
      <w:start w:val="1"/>
      <w:numFmt w:val="lowerLetter"/>
      <w:lvlText w:val="%1)"/>
      <w:lvlJc w:val="left"/>
      <w:pPr>
        <w:ind w:left="1921" w:hanging="681"/>
        <w:jc w:val="left"/>
      </w:pPr>
      <w:rPr>
        <w:rFonts w:hint="default" w:ascii="Verdana" w:hAnsi="Verdana" w:eastAsia="Verdana" w:cs="Verdana"/>
        <w:color w:val="231F20"/>
        <w:spacing w:val="-15"/>
        <w:w w:val="111"/>
        <w:sz w:val="18"/>
        <w:szCs w:val="18"/>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26">
    <w:multiLevelType w:val="hybridMultilevel"/>
    <w:lvl w:ilvl="0">
      <w:start w:val="4"/>
      <w:numFmt w:val="decimal"/>
      <w:lvlText w:val="%1"/>
      <w:lvlJc w:val="left"/>
      <w:pPr>
        <w:ind w:left="1393" w:hanging="720"/>
        <w:jc w:val="left"/>
      </w:pPr>
      <w:rPr>
        <w:rFonts w:hint="default"/>
      </w:rPr>
    </w:lvl>
    <w:lvl w:ilvl="1">
      <w:start w:val="3"/>
      <w:numFmt w:val="decimal"/>
      <w:lvlText w:val="%1.%2"/>
      <w:lvlJc w:val="left"/>
      <w:pPr>
        <w:ind w:left="1393" w:hanging="720"/>
        <w:jc w:val="left"/>
      </w:pPr>
      <w:rPr>
        <w:rFonts w:hint="default" w:ascii="Verdana" w:hAnsi="Verdana" w:eastAsia="Verdana" w:cs="Verdana"/>
        <w:color w:val="231F20"/>
        <w:spacing w:val="-5"/>
        <w:w w:val="111"/>
        <w:sz w:val="18"/>
        <w:szCs w:val="18"/>
      </w:rPr>
    </w:lvl>
    <w:lvl w:ilvl="2">
      <w:start w:val="1"/>
      <w:numFmt w:val="decimal"/>
      <w:lvlText w:val="%1.%2.%3"/>
      <w:lvlJc w:val="left"/>
      <w:pPr>
        <w:ind w:left="1393" w:hanging="720"/>
        <w:jc w:val="left"/>
      </w:pPr>
      <w:rPr>
        <w:rFonts w:hint="default" w:ascii="Verdana" w:hAnsi="Verdana" w:eastAsia="Verdana" w:cs="Verdana"/>
        <w:color w:val="231F20"/>
        <w:spacing w:val="-8"/>
        <w:w w:val="111"/>
        <w:sz w:val="18"/>
        <w:szCs w:val="18"/>
      </w:rPr>
    </w:lvl>
    <w:lvl w:ilvl="3">
      <w:start w:val="0"/>
      <w:numFmt w:val="bullet"/>
      <w:lvlText w:val="•"/>
      <w:lvlJc w:val="left"/>
      <w:pPr>
        <w:ind w:left="4413" w:hanging="720"/>
      </w:pPr>
      <w:rPr>
        <w:rFonts w:hint="default"/>
      </w:rPr>
    </w:lvl>
    <w:lvl w:ilvl="4">
      <w:start w:val="0"/>
      <w:numFmt w:val="bullet"/>
      <w:lvlText w:val="•"/>
      <w:lvlJc w:val="left"/>
      <w:pPr>
        <w:ind w:left="5418" w:hanging="720"/>
      </w:pPr>
      <w:rPr>
        <w:rFonts w:hint="default"/>
      </w:rPr>
    </w:lvl>
    <w:lvl w:ilvl="5">
      <w:start w:val="0"/>
      <w:numFmt w:val="bullet"/>
      <w:lvlText w:val="•"/>
      <w:lvlJc w:val="left"/>
      <w:pPr>
        <w:ind w:left="6422" w:hanging="720"/>
      </w:pPr>
      <w:rPr>
        <w:rFonts w:hint="default"/>
      </w:rPr>
    </w:lvl>
    <w:lvl w:ilvl="6">
      <w:start w:val="0"/>
      <w:numFmt w:val="bullet"/>
      <w:lvlText w:val="•"/>
      <w:lvlJc w:val="left"/>
      <w:pPr>
        <w:ind w:left="7427" w:hanging="720"/>
      </w:pPr>
      <w:rPr>
        <w:rFonts w:hint="default"/>
      </w:rPr>
    </w:lvl>
    <w:lvl w:ilvl="7">
      <w:start w:val="0"/>
      <w:numFmt w:val="bullet"/>
      <w:lvlText w:val="•"/>
      <w:lvlJc w:val="left"/>
      <w:pPr>
        <w:ind w:left="8431" w:hanging="720"/>
      </w:pPr>
      <w:rPr>
        <w:rFonts w:hint="default"/>
      </w:rPr>
    </w:lvl>
    <w:lvl w:ilvl="8">
      <w:start w:val="0"/>
      <w:numFmt w:val="bullet"/>
      <w:lvlText w:val="•"/>
      <w:lvlJc w:val="left"/>
      <w:pPr>
        <w:ind w:left="9436" w:hanging="720"/>
      </w:pPr>
      <w:rPr>
        <w:rFonts w:hint="default"/>
      </w:rPr>
    </w:lvl>
  </w:abstractNum>
  <w:abstractNum w:abstractNumId="25">
    <w:multiLevelType w:val="hybridMultilevel"/>
    <w:lvl w:ilvl="0">
      <w:start w:val="2"/>
      <w:numFmt w:val="decimal"/>
      <w:lvlText w:val="%1."/>
      <w:lvlJc w:val="left"/>
      <w:pPr>
        <w:ind w:left="1393" w:hanging="720"/>
        <w:jc w:val="right"/>
      </w:pPr>
      <w:rPr>
        <w:rFonts w:hint="default" w:ascii="Verdana" w:hAnsi="Verdana" w:eastAsia="Verdana" w:cs="Verdana"/>
        <w:b/>
        <w:bCs/>
        <w:color w:val="231F20"/>
        <w:spacing w:val="0"/>
        <w:w w:val="111"/>
        <w:sz w:val="18"/>
        <w:szCs w:val="18"/>
      </w:rPr>
    </w:lvl>
    <w:lvl w:ilvl="1">
      <w:start w:val="1"/>
      <w:numFmt w:val="decimal"/>
      <w:lvlText w:val="%1.%2"/>
      <w:lvlJc w:val="left"/>
      <w:pPr>
        <w:ind w:left="1960" w:hanging="720"/>
        <w:jc w:val="right"/>
      </w:pPr>
      <w:rPr>
        <w:rFonts w:hint="default"/>
        <w:b/>
        <w:bCs/>
        <w:spacing w:val="-2"/>
        <w:w w:val="111"/>
      </w:rPr>
    </w:lvl>
    <w:lvl w:ilvl="2">
      <w:start w:val="1"/>
      <w:numFmt w:val="decimal"/>
      <w:lvlText w:val="%1.%2.%3"/>
      <w:lvlJc w:val="left"/>
      <w:pPr>
        <w:ind w:left="1921" w:hanging="720"/>
        <w:jc w:val="right"/>
      </w:pPr>
      <w:rPr>
        <w:rFonts w:hint="default" w:ascii="Verdana" w:hAnsi="Verdana" w:eastAsia="Verdana" w:cs="Verdana"/>
        <w:color w:val="231F20"/>
        <w:spacing w:val="-8"/>
        <w:w w:val="111"/>
        <w:sz w:val="18"/>
        <w:szCs w:val="18"/>
      </w:rPr>
    </w:lvl>
    <w:lvl w:ilvl="3">
      <w:start w:val="1"/>
      <w:numFmt w:val="lowerLetter"/>
      <w:lvlText w:val="%4)"/>
      <w:lvlJc w:val="left"/>
      <w:pPr>
        <w:ind w:left="2140" w:hanging="720"/>
        <w:jc w:val="left"/>
      </w:pPr>
      <w:rPr>
        <w:rFonts w:hint="default" w:ascii="Verdana" w:hAnsi="Verdana" w:eastAsia="Verdana" w:cs="Verdana"/>
        <w:color w:val="231F20"/>
        <w:spacing w:val="-16"/>
        <w:w w:val="111"/>
        <w:sz w:val="18"/>
        <w:szCs w:val="18"/>
      </w:rPr>
    </w:lvl>
    <w:lvl w:ilvl="4">
      <w:start w:val="0"/>
      <w:numFmt w:val="bullet"/>
      <w:lvlText w:val="•"/>
      <w:lvlJc w:val="left"/>
      <w:pPr>
        <w:ind w:left="1920" w:hanging="720"/>
      </w:pPr>
      <w:rPr>
        <w:rFonts w:hint="default"/>
      </w:rPr>
    </w:lvl>
    <w:lvl w:ilvl="5">
      <w:start w:val="0"/>
      <w:numFmt w:val="bullet"/>
      <w:lvlText w:val="•"/>
      <w:lvlJc w:val="left"/>
      <w:pPr>
        <w:ind w:left="1960" w:hanging="720"/>
      </w:pPr>
      <w:rPr>
        <w:rFonts w:hint="default"/>
      </w:rPr>
    </w:lvl>
    <w:lvl w:ilvl="6">
      <w:start w:val="0"/>
      <w:numFmt w:val="bullet"/>
      <w:lvlText w:val="•"/>
      <w:lvlJc w:val="left"/>
      <w:pPr>
        <w:ind w:left="2140" w:hanging="720"/>
      </w:pPr>
      <w:rPr>
        <w:rFonts w:hint="default"/>
      </w:rPr>
    </w:lvl>
    <w:lvl w:ilvl="7">
      <w:start w:val="0"/>
      <w:numFmt w:val="bullet"/>
      <w:lvlText w:val="•"/>
      <w:lvlJc w:val="left"/>
      <w:pPr>
        <w:ind w:left="4466" w:hanging="720"/>
      </w:pPr>
      <w:rPr>
        <w:rFonts w:hint="default"/>
      </w:rPr>
    </w:lvl>
    <w:lvl w:ilvl="8">
      <w:start w:val="0"/>
      <w:numFmt w:val="bullet"/>
      <w:lvlText w:val="•"/>
      <w:lvlJc w:val="left"/>
      <w:pPr>
        <w:ind w:left="6792" w:hanging="720"/>
      </w:pPr>
      <w:rPr>
        <w:rFonts w:hint="default"/>
      </w:rPr>
    </w:lvl>
  </w:abstractNum>
  <w:abstractNum w:abstractNumId="24">
    <w:multiLevelType w:val="hybridMultilevel"/>
    <w:lvl w:ilvl="0">
      <w:start w:val="1"/>
      <w:numFmt w:val="decimal"/>
      <w:lvlText w:val="%1"/>
      <w:lvlJc w:val="left"/>
      <w:pPr>
        <w:ind w:left="1240" w:hanging="681"/>
        <w:jc w:val="left"/>
      </w:pPr>
      <w:rPr>
        <w:rFonts w:hint="default"/>
      </w:rPr>
    </w:lvl>
    <w:lvl w:ilvl="1">
      <w:start w:val="1"/>
      <w:numFmt w:val="decimal"/>
      <w:lvlText w:val="%1.%2"/>
      <w:lvlJc w:val="left"/>
      <w:pPr>
        <w:ind w:left="1240" w:hanging="681"/>
        <w:jc w:val="left"/>
      </w:pPr>
      <w:rPr>
        <w:rFonts w:hint="default" w:ascii="Verdana" w:hAnsi="Verdana" w:eastAsia="Verdana" w:cs="Verdana"/>
        <w:color w:val="231F20"/>
        <w:spacing w:val="-8"/>
        <w:w w:val="111"/>
        <w:sz w:val="18"/>
        <w:szCs w:val="18"/>
      </w:rPr>
    </w:lvl>
    <w:lvl w:ilvl="2">
      <w:start w:val="1"/>
      <w:numFmt w:val="decimal"/>
      <w:lvlText w:val="%1.%2.%3"/>
      <w:lvlJc w:val="left"/>
      <w:pPr>
        <w:ind w:left="1920" w:hanging="681"/>
        <w:jc w:val="left"/>
      </w:pPr>
      <w:rPr>
        <w:rFonts w:hint="default" w:ascii="Verdana" w:hAnsi="Verdana" w:eastAsia="Verdana" w:cs="Verdana"/>
        <w:color w:val="231F20"/>
        <w:spacing w:val="-8"/>
        <w:w w:val="111"/>
        <w:sz w:val="18"/>
        <w:szCs w:val="18"/>
      </w:rPr>
    </w:lvl>
    <w:lvl w:ilvl="3">
      <w:start w:val="0"/>
      <w:numFmt w:val="bullet"/>
      <w:lvlText w:val="•"/>
      <w:lvlJc w:val="left"/>
      <w:pPr>
        <w:ind w:left="4036" w:hanging="681"/>
      </w:pPr>
      <w:rPr>
        <w:rFonts w:hint="default"/>
      </w:rPr>
    </w:lvl>
    <w:lvl w:ilvl="4">
      <w:start w:val="0"/>
      <w:numFmt w:val="bullet"/>
      <w:lvlText w:val="•"/>
      <w:lvlJc w:val="left"/>
      <w:pPr>
        <w:ind w:left="5095" w:hanging="681"/>
      </w:pPr>
      <w:rPr>
        <w:rFonts w:hint="default"/>
      </w:rPr>
    </w:lvl>
    <w:lvl w:ilvl="5">
      <w:start w:val="0"/>
      <w:numFmt w:val="bullet"/>
      <w:lvlText w:val="•"/>
      <w:lvlJc w:val="left"/>
      <w:pPr>
        <w:ind w:left="6153" w:hanging="681"/>
      </w:pPr>
      <w:rPr>
        <w:rFonts w:hint="default"/>
      </w:rPr>
    </w:lvl>
    <w:lvl w:ilvl="6">
      <w:start w:val="0"/>
      <w:numFmt w:val="bullet"/>
      <w:lvlText w:val="•"/>
      <w:lvlJc w:val="left"/>
      <w:pPr>
        <w:ind w:left="7211" w:hanging="681"/>
      </w:pPr>
      <w:rPr>
        <w:rFonts w:hint="default"/>
      </w:rPr>
    </w:lvl>
    <w:lvl w:ilvl="7">
      <w:start w:val="0"/>
      <w:numFmt w:val="bullet"/>
      <w:lvlText w:val="•"/>
      <w:lvlJc w:val="left"/>
      <w:pPr>
        <w:ind w:left="8270" w:hanging="681"/>
      </w:pPr>
      <w:rPr>
        <w:rFonts w:hint="default"/>
      </w:rPr>
    </w:lvl>
    <w:lvl w:ilvl="8">
      <w:start w:val="0"/>
      <w:numFmt w:val="bullet"/>
      <w:lvlText w:val="•"/>
      <w:lvlJc w:val="left"/>
      <w:pPr>
        <w:ind w:left="9328" w:hanging="681"/>
      </w:pPr>
      <w:rPr>
        <w:rFonts w:hint="default"/>
      </w:rPr>
    </w:lvl>
  </w:abstractNum>
  <w:abstractNum w:abstractNumId="23">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22">
    <w:multiLevelType w:val="hybridMultilevel"/>
    <w:lvl w:ilvl="0">
      <w:start w:val="1"/>
      <w:numFmt w:val="decimal"/>
      <w:lvlText w:val="%1"/>
      <w:lvlJc w:val="left"/>
      <w:pPr>
        <w:ind w:left="673" w:hanging="720"/>
        <w:jc w:val="left"/>
      </w:pPr>
      <w:rPr>
        <w:rFonts w:hint="default"/>
      </w:rPr>
    </w:lvl>
    <w:lvl w:ilvl="1">
      <w:start w:val="1"/>
      <w:numFmt w:val="decimal"/>
      <w:lvlText w:val="%1.%2"/>
      <w:lvlJc w:val="left"/>
      <w:pPr>
        <w:ind w:left="673"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21">
    <w:multiLevelType w:val="hybridMultilevel"/>
    <w:lvl w:ilvl="0">
      <w:start w:val="1"/>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20">
    <w:multiLevelType w:val="hybridMultilevel"/>
    <w:lvl w:ilvl="0">
      <w:start w:val="1"/>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19">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18">
    <w:multiLevelType w:val="hybridMultilevel"/>
    <w:lvl w:ilvl="0">
      <w:start w:val="1"/>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17">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16">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15">
    <w:multiLevelType w:val="hybridMultilevel"/>
    <w:lvl w:ilvl="0">
      <w:start w:val="1"/>
      <w:numFmt w:val="decimal"/>
      <w:lvlText w:val="%1."/>
      <w:lvlJc w:val="left"/>
      <w:pPr>
        <w:ind w:left="1393" w:hanging="721"/>
        <w:jc w:val="left"/>
      </w:pPr>
      <w:rPr>
        <w:rFonts w:hint="default" w:ascii="Verdana" w:hAnsi="Verdana" w:eastAsia="Verdana" w:cs="Verdana"/>
        <w:b/>
        <w:bCs/>
        <w:color w:val="231F20"/>
        <w:w w:val="109"/>
        <w:sz w:val="20"/>
        <w:szCs w:val="20"/>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516" w:hanging="720"/>
      </w:pPr>
      <w:rPr>
        <w:rFonts w:hint="default"/>
      </w:rPr>
    </w:lvl>
    <w:lvl w:ilvl="3">
      <w:start w:val="0"/>
      <w:numFmt w:val="bullet"/>
      <w:lvlText w:val="•"/>
      <w:lvlJc w:val="left"/>
      <w:pPr>
        <w:ind w:left="3632" w:hanging="720"/>
      </w:pPr>
      <w:rPr>
        <w:rFonts w:hint="default"/>
      </w:rPr>
    </w:lvl>
    <w:lvl w:ilvl="4">
      <w:start w:val="0"/>
      <w:numFmt w:val="bullet"/>
      <w:lvlText w:val="•"/>
      <w:lvlJc w:val="left"/>
      <w:pPr>
        <w:ind w:left="4748" w:hanging="720"/>
      </w:pPr>
      <w:rPr>
        <w:rFonts w:hint="default"/>
      </w:rPr>
    </w:lvl>
    <w:lvl w:ilvl="5">
      <w:start w:val="0"/>
      <w:numFmt w:val="bullet"/>
      <w:lvlText w:val="•"/>
      <w:lvlJc w:val="left"/>
      <w:pPr>
        <w:ind w:left="5864" w:hanging="720"/>
      </w:pPr>
      <w:rPr>
        <w:rFonts w:hint="default"/>
      </w:rPr>
    </w:lvl>
    <w:lvl w:ilvl="6">
      <w:start w:val="0"/>
      <w:numFmt w:val="bullet"/>
      <w:lvlText w:val="•"/>
      <w:lvlJc w:val="left"/>
      <w:pPr>
        <w:ind w:left="6980" w:hanging="720"/>
      </w:pPr>
      <w:rPr>
        <w:rFonts w:hint="default"/>
      </w:rPr>
    </w:lvl>
    <w:lvl w:ilvl="7">
      <w:start w:val="0"/>
      <w:numFmt w:val="bullet"/>
      <w:lvlText w:val="•"/>
      <w:lvlJc w:val="left"/>
      <w:pPr>
        <w:ind w:left="8097" w:hanging="720"/>
      </w:pPr>
      <w:rPr>
        <w:rFonts w:hint="default"/>
      </w:rPr>
    </w:lvl>
    <w:lvl w:ilvl="8">
      <w:start w:val="0"/>
      <w:numFmt w:val="bullet"/>
      <w:lvlText w:val="•"/>
      <w:lvlJc w:val="left"/>
      <w:pPr>
        <w:ind w:left="9213" w:hanging="720"/>
      </w:pPr>
      <w:rPr>
        <w:rFonts w:hint="default"/>
      </w:rPr>
    </w:lvl>
  </w:abstractNum>
  <w:abstractNum w:abstractNumId="14">
    <w:multiLevelType w:val="hybridMultilevel"/>
    <w:lvl w:ilvl="0">
      <w:start w:val="6"/>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13">
    <w:multiLevelType w:val="hybridMultilevel"/>
    <w:lvl w:ilvl="0">
      <w:start w:val="2"/>
      <w:numFmt w:val="decimal"/>
      <w:lvlText w:val="%1."/>
      <w:lvlJc w:val="left"/>
      <w:pPr>
        <w:ind w:left="673" w:hanging="720"/>
        <w:jc w:val="left"/>
      </w:pPr>
      <w:rPr>
        <w:rFonts w:hint="default" w:ascii="Verdana" w:hAnsi="Verdana" w:eastAsia="Verdana" w:cs="Verdana"/>
        <w:color w:val="231F20"/>
        <w:spacing w:val="-1"/>
        <w:w w:val="111"/>
        <w:sz w:val="18"/>
        <w:szCs w:val="18"/>
      </w:rPr>
    </w:lvl>
    <w:lvl w:ilvl="1">
      <w:start w:val="0"/>
      <w:numFmt w:val="bullet"/>
      <w:lvlText w:val="•"/>
      <w:lvlJc w:val="left"/>
      <w:pPr>
        <w:ind w:left="1756" w:hanging="720"/>
      </w:pPr>
      <w:rPr>
        <w:rFonts w:hint="default"/>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12">
    <w:multiLevelType w:val="hybridMultilevel"/>
    <w:lvl w:ilvl="0">
      <w:start w:val="1"/>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8"/>
        <w:w w:val="111"/>
        <w:sz w:val="18"/>
        <w:szCs w:val="18"/>
      </w:rPr>
    </w:lvl>
    <w:lvl w:ilvl="2">
      <w:start w:val="1"/>
      <w:numFmt w:val="lowerRoman"/>
      <w:lvlText w:val="%3."/>
      <w:lvlJc w:val="left"/>
      <w:pPr>
        <w:ind w:left="1694" w:hanging="341"/>
        <w:jc w:val="left"/>
      </w:pPr>
      <w:rPr>
        <w:rFonts w:hint="default" w:ascii="Verdana" w:hAnsi="Verdana" w:eastAsia="Verdana" w:cs="Verdana"/>
        <w:color w:val="231F20"/>
        <w:spacing w:val="-3"/>
        <w:w w:val="110"/>
        <w:sz w:val="18"/>
        <w:szCs w:val="18"/>
      </w:rPr>
    </w:lvl>
    <w:lvl w:ilvl="3">
      <w:start w:val="0"/>
      <w:numFmt w:val="bullet"/>
      <w:lvlText w:val="•"/>
      <w:lvlJc w:val="left"/>
      <w:pPr>
        <w:ind w:left="3865" w:hanging="341"/>
      </w:pPr>
      <w:rPr>
        <w:rFonts w:hint="default"/>
      </w:rPr>
    </w:lvl>
    <w:lvl w:ilvl="4">
      <w:start w:val="0"/>
      <w:numFmt w:val="bullet"/>
      <w:lvlText w:val="•"/>
      <w:lvlJc w:val="left"/>
      <w:pPr>
        <w:ind w:left="4948" w:hanging="341"/>
      </w:pPr>
      <w:rPr>
        <w:rFonts w:hint="default"/>
      </w:rPr>
    </w:lvl>
    <w:lvl w:ilvl="5">
      <w:start w:val="0"/>
      <w:numFmt w:val="bullet"/>
      <w:lvlText w:val="•"/>
      <w:lvlJc w:val="left"/>
      <w:pPr>
        <w:ind w:left="6031" w:hanging="341"/>
      </w:pPr>
      <w:rPr>
        <w:rFonts w:hint="default"/>
      </w:rPr>
    </w:lvl>
    <w:lvl w:ilvl="6">
      <w:start w:val="0"/>
      <w:numFmt w:val="bullet"/>
      <w:lvlText w:val="•"/>
      <w:lvlJc w:val="left"/>
      <w:pPr>
        <w:ind w:left="7114" w:hanging="341"/>
      </w:pPr>
      <w:rPr>
        <w:rFonts w:hint="default"/>
      </w:rPr>
    </w:lvl>
    <w:lvl w:ilvl="7">
      <w:start w:val="0"/>
      <w:numFmt w:val="bullet"/>
      <w:lvlText w:val="•"/>
      <w:lvlJc w:val="left"/>
      <w:pPr>
        <w:ind w:left="8197" w:hanging="341"/>
      </w:pPr>
      <w:rPr>
        <w:rFonts w:hint="default"/>
      </w:rPr>
    </w:lvl>
    <w:lvl w:ilvl="8">
      <w:start w:val="0"/>
      <w:numFmt w:val="bullet"/>
      <w:lvlText w:val="•"/>
      <w:lvlJc w:val="left"/>
      <w:pPr>
        <w:ind w:left="9279" w:hanging="341"/>
      </w:pPr>
      <w:rPr>
        <w:rFonts w:hint="default"/>
      </w:rPr>
    </w:lvl>
  </w:abstractNum>
  <w:abstractNum w:abstractNumId="11">
    <w:multiLevelType w:val="hybridMultilevel"/>
    <w:lvl w:ilvl="0">
      <w:start w:val="3"/>
      <w:numFmt w:val="decimal"/>
      <w:lvlText w:val="%1"/>
      <w:lvlJc w:val="left"/>
      <w:pPr>
        <w:ind w:left="673" w:hanging="720"/>
        <w:jc w:val="left"/>
      </w:pPr>
      <w:rPr>
        <w:rFonts w:hint="default"/>
      </w:rPr>
    </w:lvl>
    <w:lvl w:ilvl="1">
      <w:start w:val="1"/>
      <w:numFmt w:val="decimal"/>
      <w:lvlText w:val="%1.%2"/>
      <w:lvlJc w:val="left"/>
      <w:pPr>
        <w:ind w:left="673" w:hanging="720"/>
        <w:jc w:val="right"/>
      </w:pPr>
      <w:rPr>
        <w:rFonts w:hint="default" w:ascii="Verdana" w:hAnsi="Verdana" w:eastAsia="Verdana" w:cs="Verdana"/>
        <w:color w:val="231F20"/>
        <w:spacing w:val="-8"/>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10">
    <w:multiLevelType w:val="hybridMultilevel"/>
    <w:lvl w:ilvl="0">
      <w:start w:val="2"/>
      <w:numFmt w:val="decimal"/>
      <w:lvlText w:val="%1"/>
      <w:lvlJc w:val="left"/>
      <w:pPr>
        <w:ind w:left="673" w:hanging="720"/>
        <w:jc w:val="left"/>
      </w:pPr>
      <w:rPr>
        <w:rFonts w:hint="default"/>
      </w:rPr>
    </w:lvl>
    <w:lvl w:ilvl="1">
      <w:start w:val="1"/>
      <w:numFmt w:val="decimal"/>
      <w:lvlText w:val="%1.%2"/>
      <w:lvlJc w:val="left"/>
      <w:pPr>
        <w:ind w:left="673" w:hanging="720"/>
        <w:jc w:val="left"/>
      </w:pPr>
      <w:rPr>
        <w:rFonts w:hint="default" w:ascii="Verdana" w:hAnsi="Verdana" w:eastAsia="Verdana" w:cs="Verdana"/>
        <w:color w:val="231F20"/>
        <w:spacing w:val="-10"/>
        <w:w w:val="111"/>
        <w:sz w:val="18"/>
        <w:szCs w:val="18"/>
      </w:rPr>
    </w:lvl>
    <w:lvl w:ilvl="2">
      <w:start w:val="0"/>
      <w:numFmt w:val="bullet"/>
      <w:lvlText w:val="•"/>
      <w:lvlJc w:val="left"/>
      <w:pPr>
        <w:ind w:left="2833" w:hanging="720"/>
      </w:pPr>
      <w:rPr>
        <w:rFonts w:hint="default"/>
      </w:rPr>
    </w:lvl>
    <w:lvl w:ilvl="3">
      <w:start w:val="0"/>
      <w:numFmt w:val="bullet"/>
      <w:lvlText w:val="•"/>
      <w:lvlJc w:val="left"/>
      <w:pPr>
        <w:ind w:left="3909" w:hanging="720"/>
      </w:pPr>
      <w:rPr>
        <w:rFonts w:hint="default"/>
      </w:rPr>
    </w:lvl>
    <w:lvl w:ilvl="4">
      <w:start w:val="0"/>
      <w:numFmt w:val="bullet"/>
      <w:lvlText w:val="•"/>
      <w:lvlJc w:val="left"/>
      <w:pPr>
        <w:ind w:left="4986" w:hanging="720"/>
      </w:pPr>
      <w:rPr>
        <w:rFonts w:hint="default"/>
      </w:rPr>
    </w:lvl>
    <w:lvl w:ilvl="5">
      <w:start w:val="0"/>
      <w:numFmt w:val="bullet"/>
      <w:lvlText w:val="•"/>
      <w:lvlJc w:val="left"/>
      <w:pPr>
        <w:ind w:left="6062" w:hanging="720"/>
      </w:pPr>
      <w:rPr>
        <w:rFonts w:hint="default"/>
      </w:rPr>
    </w:lvl>
    <w:lvl w:ilvl="6">
      <w:start w:val="0"/>
      <w:numFmt w:val="bullet"/>
      <w:lvlText w:val="•"/>
      <w:lvlJc w:val="left"/>
      <w:pPr>
        <w:ind w:left="7139" w:hanging="720"/>
      </w:pPr>
      <w:rPr>
        <w:rFonts w:hint="default"/>
      </w:rPr>
    </w:lvl>
    <w:lvl w:ilvl="7">
      <w:start w:val="0"/>
      <w:numFmt w:val="bullet"/>
      <w:lvlText w:val="•"/>
      <w:lvlJc w:val="left"/>
      <w:pPr>
        <w:ind w:left="8215" w:hanging="720"/>
      </w:pPr>
      <w:rPr>
        <w:rFonts w:hint="default"/>
      </w:rPr>
    </w:lvl>
    <w:lvl w:ilvl="8">
      <w:start w:val="0"/>
      <w:numFmt w:val="bullet"/>
      <w:lvlText w:val="•"/>
      <w:lvlJc w:val="left"/>
      <w:pPr>
        <w:ind w:left="9292" w:hanging="720"/>
      </w:pPr>
      <w:rPr>
        <w:rFonts w:hint="default"/>
      </w:rPr>
    </w:lvl>
  </w:abstractNum>
  <w:abstractNum w:abstractNumId="9">
    <w:multiLevelType w:val="hybridMultilevel"/>
    <w:lvl w:ilvl="0">
      <w:start w:val="1"/>
      <w:numFmt w:val="decimal"/>
      <w:lvlText w:val="%1"/>
      <w:lvlJc w:val="left"/>
      <w:pPr>
        <w:ind w:left="719" w:hanging="720"/>
        <w:jc w:val="left"/>
      </w:pPr>
      <w:rPr>
        <w:rFonts w:hint="default"/>
      </w:rPr>
    </w:lvl>
    <w:lvl w:ilvl="1">
      <w:start w:val="1"/>
      <w:numFmt w:val="decimal"/>
      <w:lvlText w:val="%1.%2"/>
      <w:lvlJc w:val="left"/>
      <w:pPr>
        <w:ind w:left="719"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2865" w:hanging="720"/>
      </w:pPr>
      <w:rPr>
        <w:rFonts w:hint="default"/>
      </w:rPr>
    </w:lvl>
    <w:lvl w:ilvl="3">
      <w:start w:val="0"/>
      <w:numFmt w:val="bullet"/>
      <w:lvlText w:val="•"/>
      <w:lvlJc w:val="left"/>
      <w:pPr>
        <w:ind w:left="3937" w:hanging="720"/>
      </w:pPr>
      <w:rPr>
        <w:rFonts w:hint="default"/>
      </w:rPr>
    </w:lvl>
    <w:lvl w:ilvl="4">
      <w:start w:val="0"/>
      <w:numFmt w:val="bullet"/>
      <w:lvlText w:val="•"/>
      <w:lvlJc w:val="left"/>
      <w:pPr>
        <w:ind w:left="5010" w:hanging="720"/>
      </w:pPr>
      <w:rPr>
        <w:rFonts w:hint="default"/>
      </w:rPr>
    </w:lvl>
    <w:lvl w:ilvl="5">
      <w:start w:val="0"/>
      <w:numFmt w:val="bullet"/>
      <w:lvlText w:val="•"/>
      <w:lvlJc w:val="left"/>
      <w:pPr>
        <w:ind w:left="6082" w:hanging="720"/>
      </w:pPr>
      <w:rPr>
        <w:rFonts w:hint="default"/>
      </w:rPr>
    </w:lvl>
    <w:lvl w:ilvl="6">
      <w:start w:val="0"/>
      <w:numFmt w:val="bullet"/>
      <w:lvlText w:val="•"/>
      <w:lvlJc w:val="left"/>
      <w:pPr>
        <w:ind w:left="7155" w:hanging="720"/>
      </w:pPr>
      <w:rPr>
        <w:rFonts w:hint="default"/>
      </w:rPr>
    </w:lvl>
    <w:lvl w:ilvl="7">
      <w:start w:val="0"/>
      <w:numFmt w:val="bullet"/>
      <w:lvlText w:val="•"/>
      <w:lvlJc w:val="left"/>
      <w:pPr>
        <w:ind w:left="8227" w:hanging="720"/>
      </w:pPr>
      <w:rPr>
        <w:rFonts w:hint="default"/>
      </w:rPr>
    </w:lvl>
    <w:lvl w:ilvl="8">
      <w:start w:val="0"/>
      <w:numFmt w:val="bullet"/>
      <w:lvlText w:val="•"/>
      <w:lvlJc w:val="left"/>
      <w:pPr>
        <w:ind w:left="9300" w:hanging="720"/>
      </w:pPr>
      <w:rPr>
        <w:rFonts w:hint="default"/>
      </w:rPr>
    </w:lvl>
  </w:abstractNum>
  <w:abstractNum w:abstractNumId="8">
    <w:multiLevelType w:val="hybridMultilevel"/>
    <w:lvl w:ilvl="0">
      <w:start w:val="0"/>
      <w:numFmt w:val="bullet"/>
      <w:lvlText w:val="–"/>
      <w:lvlJc w:val="left"/>
      <w:pPr>
        <w:ind w:left="673" w:hanging="194"/>
      </w:pPr>
      <w:rPr>
        <w:rFonts w:hint="default"/>
        <w:w w:val="111"/>
      </w:rPr>
    </w:lvl>
    <w:lvl w:ilvl="1">
      <w:start w:val="0"/>
      <w:numFmt w:val="bullet"/>
      <w:lvlText w:val="•"/>
      <w:lvlJc w:val="left"/>
      <w:pPr>
        <w:ind w:left="1756" w:hanging="194"/>
      </w:pPr>
      <w:rPr>
        <w:rFonts w:hint="default"/>
      </w:rPr>
    </w:lvl>
    <w:lvl w:ilvl="2">
      <w:start w:val="0"/>
      <w:numFmt w:val="bullet"/>
      <w:lvlText w:val="•"/>
      <w:lvlJc w:val="left"/>
      <w:pPr>
        <w:ind w:left="2833" w:hanging="194"/>
      </w:pPr>
      <w:rPr>
        <w:rFonts w:hint="default"/>
      </w:rPr>
    </w:lvl>
    <w:lvl w:ilvl="3">
      <w:start w:val="0"/>
      <w:numFmt w:val="bullet"/>
      <w:lvlText w:val="•"/>
      <w:lvlJc w:val="left"/>
      <w:pPr>
        <w:ind w:left="3909" w:hanging="194"/>
      </w:pPr>
      <w:rPr>
        <w:rFonts w:hint="default"/>
      </w:rPr>
    </w:lvl>
    <w:lvl w:ilvl="4">
      <w:start w:val="0"/>
      <w:numFmt w:val="bullet"/>
      <w:lvlText w:val="•"/>
      <w:lvlJc w:val="left"/>
      <w:pPr>
        <w:ind w:left="4986" w:hanging="194"/>
      </w:pPr>
      <w:rPr>
        <w:rFonts w:hint="default"/>
      </w:rPr>
    </w:lvl>
    <w:lvl w:ilvl="5">
      <w:start w:val="0"/>
      <w:numFmt w:val="bullet"/>
      <w:lvlText w:val="•"/>
      <w:lvlJc w:val="left"/>
      <w:pPr>
        <w:ind w:left="6062" w:hanging="194"/>
      </w:pPr>
      <w:rPr>
        <w:rFonts w:hint="default"/>
      </w:rPr>
    </w:lvl>
    <w:lvl w:ilvl="6">
      <w:start w:val="0"/>
      <w:numFmt w:val="bullet"/>
      <w:lvlText w:val="•"/>
      <w:lvlJc w:val="left"/>
      <w:pPr>
        <w:ind w:left="7139" w:hanging="194"/>
      </w:pPr>
      <w:rPr>
        <w:rFonts w:hint="default"/>
      </w:rPr>
    </w:lvl>
    <w:lvl w:ilvl="7">
      <w:start w:val="0"/>
      <w:numFmt w:val="bullet"/>
      <w:lvlText w:val="•"/>
      <w:lvlJc w:val="left"/>
      <w:pPr>
        <w:ind w:left="8215" w:hanging="194"/>
      </w:pPr>
      <w:rPr>
        <w:rFonts w:hint="default"/>
      </w:rPr>
    </w:lvl>
    <w:lvl w:ilvl="8">
      <w:start w:val="0"/>
      <w:numFmt w:val="bullet"/>
      <w:lvlText w:val="•"/>
      <w:lvlJc w:val="left"/>
      <w:pPr>
        <w:ind w:left="9292" w:hanging="194"/>
      </w:pPr>
      <w:rPr>
        <w:rFonts w:hint="default"/>
      </w:rPr>
    </w:lvl>
  </w:abstractNum>
  <w:abstractNum w:abstractNumId="7">
    <w:multiLevelType w:val="hybridMultilevel"/>
    <w:lvl w:ilvl="0">
      <w:start w:val="1"/>
      <w:numFmt w:val="decimal"/>
      <w:lvlText w:val="%1."/>
      <w:lvlJc w:val="left"/>
      <w:pPr>
        <w:ind w:left="1240" w:hanging="720"/>
        <w:jc w:val="right"/>
      </w:pPr>
      <w:rPr>
        <w:rFonts w:hint="default" w:ascii="Verdana" w:hAnsi="Verdana" w:eastAsia="Verdana" w:cs="Verdana"/>
        <w:color w:val="231F20"/>
        <w:spacing w:val="-5"/>
        <w:w w:val="111"/>
        <w:sz w:val="18"/>
        <w:szCs w:val="18"/>
      </w:rPr>
    </w:lvl>
    <w:lvl w:ilvl="1">
      <w:start w:val="0"/>
      <w:numFmt w:val="bullet"/>
      <w:lvlText w:val="•"/>
      <w:lvlJc w:val="left"/>
      <w:pPr>
        <w:ind w:left="2260" w:hanging="720"/>
      </w:pPr>
      <w:rPr>
        <w:rFonts w:hint="default"/>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6">
    <w:multiLevelType w:val="hybridMultilevel"/>
    <w:lvl w:ilvl="0">
      <w:start w:val="1"/>
      <w:numFmt w:val="decimal"/>
      <w:lvlText w:val="%1"/>
      <w:lvlJc w:val="left"/>
      <w:pPr>
        <w:ind w:left="1240" w:hanging="720"/>
        <w:jc w:val="left"/>
      </w:pPr>
      <w:rPr>
        <w:rFonts w:hint="default"/>
      </w:rPr>
    </w:lvl>
    <w:lvl w:ilvl="1">
      <w:start w:val="1"/>
      <w:numFmt w:val="decimal"/>
      <w:lvlText w:val="%1.%2"/>
      <w:lvlJc w:val="left"/>
      <w:pPr>
        <w:ind w:left="1240" w:hanging="720"/>
        <w:jc w:val="left"/>
      </w:pPr>
      <w:rPr>
        <w:rFonts w:hint="default" w:ascii="Verdana" w:hAnsi="Verdana" w:eastAsia="Verdana" w:cs="Verdana"/>
        <w:color w:val="231F20"/>
        <w:spacing w:val="-8"/>
        <w:w w:val="111"/>
        <w:sz w:val="18"/>
        <w:szCs w:val="18"/>
      </w:rPr>
    </w:lvl>
    <w:lvl w:ilvl="2">
      <w:start w:val="0"/>
      <w:numFmt w:val="bullet"/>
      <w:lvlText w:val="•"/>
      <w:lvlJc w:val="left"/>
      <w:pPr>
        <w:ind w:left="3281" w:hanging="720"/>
      </w:pPr>
      <w:rPr>
        <w:rFonts w:hint="default"/>
      </w:rPr>
    </w:lvl>
    <w:lvl w:ilvl="3">
      <w:start w:val="0"/>
      <w:numFmt w:val="bullet"/>
      <w:lvlText w:val="•"/>
      <w:lvlJc w:val="left"/>
      <w:pPr>
        <w:ind w:left="4301" w:hanging="720"/>
      </w:pPr>
      <w:rPr>
        <w:rFonts w:hint="default"/>
      </w:rPr>
    </w:lvl>
    <w:lvl w:ilvl="4">
      <w:start w:val="0"/>
      <w:numFmt w:val="bullet"/>
      <w:lvlText w:val="•"/>
      <w:lvlJc w:val="left"/>
      <w:pPr>
        <w:ind w:left="5322" w:hanging="720"/>
      </w:pPr>
      <w:rPr>
        <w:rFonts w:hint="default"/>
      </w:rPr>
    </w:lvl>
    <w:lvl w:ilvl="5">
      <w:start w:val="0"/>
      <w:numFmt w:val="bullet"/>
      <w:lvlText w:val="•"/>
      <w:lvlJc w:val="left"/>
      <w:pPr>
        <w:ind w:left="6342" w:hanging="720"/>
      </w:pPr>
      <w:rPr>
        <w:rFonts w:hint="default"/>
      </w:rPr>
    </w:lvl>
    <w:lvl w:ilvl="6">
      <w:start w:val="0"/>
      <w:numFmt w:val="bullet"/>
      <w:lvlText w:val="•"/>
      <w:lvlJc w:val="left"/>
      <w:pPr>
        <w:ind w:left="7363" w:hanging="720"/>
      </w:pPr>
      <w:rPr>
        <w:rFonts w:hint="default"/>
      </w:rPr>
    </w:lvl>
    <w:lvl w:ilvl="7">
      <w:start w:val="0"/>
      <w:numFmt w:val="bullet"/>
      <w:lvlText w:val="•"/>
      <w:lvlJc w:val="left"/>
      <w:pPr>
        <w:ind w:left="8383" w:hanging="720"/>
      </w:pPr>
      <w:rPr>
        <w:rFonts w:hint="default"/>
      </w:rPr>
    </w:lvl>
    <w:lvl w:ilvl="8">
      <w:start w:val="0"/>
      <w:numFmt w:val="bullet"/>
      <w:lvlText w:val="•"/>
      <w:lvlJc w:val="left"/>
      <w:pPr>
        <w:ind w:left="9404" w:hanging="720"/>
      </w:pPr>
      <w:rPr>
        <w:rFonts w:hint="default"/>
      </w:rPr>
    </w:lvl>
  </w:abstractNum>
  <w:abstractNum w:abstractNumId="5">
    <w:multiLevelType w:val="hybridMultilevel"/>
    <w:lvl w:ilvl="0">
      <w:start w:val="0"/>
      <w:numFmt w:val="bullet"/>
      <w:lvlText w:val="•"/>
      <w:lvlJc w:val="left"/>
      <w:pPr>
        <w:ind w:left="1921" w:hanging="681"/>
      </w:pPr>
      <w:rPr>
        <w:rFonts w:hint="default" w:ascii="Verdana" w:hAnsi="Verdana" w:eastAsia="Verdana" w:cs="Verdana"/>
        <w:color w:val="231F20"/>
        <w:w w:val="111"/>
        <w:position w:val="-3"/>
        <w:sz w:val="25"/>
        <w:szCs w:val="25"/>
      </w:rPr>
    </w:lvl>
    <w:lvl w:ilvl="1">
      <w:start w:val="0"/>
      <w:numFmt w:val="bullet"/>
      <w:lvlText w:val="•"/>
      <w:lvlJc w:val="left"/>
      <w:pPr>
        <w:ind w:left="2872" w:hanging="681"/>
      </w:pPr>
      <w:rPr>
        <w:rFonts w:hint="default"/>
      </w:rPr>
    </w:lvl>
    <w:lvl w:ilvl="2">
      <w:start w:val="0"/>
      <w:numFmt w:val="bullet"/>
      <w:lvlText w:val="•"/>
      <w:lvlJc w:val="left"/>
      <w:pPr>
        <w:ind w:left="3825" w:hanging="681"/>
      </w:pPr>
      <w:rPr>
        <w:rFonts w:hint="default"/>
      </w:rPr>
    </w:lvl>
    <w:lvl w:ilvl="3">
      <w:start w:val="0"/>
      <w:numFmt w:val="bullet"/>
      <w:lvlText w:val="•"/>
      <w:lvlJc w:val="left"/>
      <w:pPr>
        <w:ind w:left="4777" w:hanging="681"/>
      </w:pPr>
      <w:rPr>
        <w:rFonts w:hint="default"/>
      </w:rPr>
    </w:lvl>
    <w:lvl w:ilvl="4">
      <w:start w:val="0"/>
      <w:numFmt w:val="bullet"/>
      <w:lvlText w:val="•"/>
      <w:lvlJc w:val="left"/>
      <w:pPr>
        <w:ind w:left="5730" w:hanging="681"/>
      </w:pPr>
      <w:rPr>
        <w:rFonts w:hint="default"/>
      </w:rPr>
    </w:lvl>
    <w:lvl w:ilvl="5">
      <w:start w:val="0"/>
      <w:numFmt w:val="bullet"/>
      <w:lvlText w:val="•"/>
      <w:lvlJc w:val="left"/>
      <w:pPr>
        <w:ind w:left="6682" w:hanging="681"/>
      </w:pPr>
      <w:rPr>
        <w:rFonts w:hint="default"/>
      </w:rPr>
    </w:lvl>
    <w:lvl w:ilvl="6">
      <w:start w:val="0"/>
      <w:numFmt w:val="bullet"/>
      <w:lvlText w:val="•"/>
      <w:lvlJc w:val="left"/>
      <w:pPr>
        <w:ind w:left="7635" w:hanging="681"/>
      </w:pPr>
      <w:rPr>
        <w:rFonts w:hint="default"/>
      </w:rPr>
    </w:lvl>
    <w:lvl w:ilvl="7">
      <w:start w:val="0"/>
      <w:numFmt w:val="bullet"/>
      <w:lvlText w:val="•"/>
      <w:lvlJc w:val="left"/>
      <w:pPr>
        <w:ind w:left="8587" w:hanging="681"/>
      </w:pPr>
      <w:rPr>
        <w:rFonts w:hint="default"/>
      </w:rPr>
    </w:lvl>
    <w:lvl w:ilvl="8">
      <w:start w:val="0"/>
      <w:numFmt w:val="bullet"/>
      <w:lvlText w:val="•"/>
      <w:lvlJc w:val="left"/>
      <w:pPr>
        <w:ind w:left="9540" w:hanging="681"/>
      </w:pPr>
      <w:rPr>
        <w:rFonts w:hint="default"/>
      </w:rPr>
    </w:lvl>
  </w:abstractNum>
  <w:abstractNum w:abstractNumId="4">
    <w:multiLevelType w:val="hybridMultilevel"/>
    <w:lvl w:ilvl="0">
      <w:start w:val="0"/>
      <w:numFmt w:val="bullet"/>
      <w:lvlText w:val="•"/>
      <w:lvlJc w:val="left"/>
      <w:pPr>
        <w:ind w:left="1977" w:hanging="361"/>
      </w:pPr>
      <w:rPr>
        <w:rFonts w:hint="default" w:ascii="Verdana" w:hAnsi="Verdana" w:eastAsia="Verdana" w:cs="Verdana"/>
        <w:color w:val="231F20"/>
        <w:w w:val="111"/>
        <w:sz w:val="25"/>
        <w:szCs w:val="25"/>
      </w:rPr>
    </w:lvl>
    <w:lvl w:ilvl="1">
      <w:start w:val="0"/>
      <w:numFmt w:val="bullet"/>
      <w:lvlText w:val="•"/>
      <w:lvlJc w:val="left"/>
      <w:pPr>
        <w:ind w:left="2471" w:hanging="361"/>
      </w:pPr>
      <w:rPr>
        <w:rFonts w:hint="default"/>
      </w:rPr>
    </w:lvl>
    <w:lvl w:ilvl="2">
      <w:start w:val="0"/>
      <w:numFmt w:val="bullet"/>
      <w:lvlText w:val="•"/>
      <w:lvlJc w:val="left"/>
      <w:pPr>
        <w:ind w:left="2962" w:hanging="361"/>
      </w:pPr>
      <w:rPr>
        <w:rFonts w:hint="default"/>
      </w:rPr>
    </w:lvl>
    <w:lvl w:ilvl="3">
      <w:start w:val="0"/>
      <w:numFmt w:val="bullet"/>
      <w:lvlText w:val="•"/>
      <w:lvlJc w:val="left"/>
      <w:pPr>
        <w:ind w:left="3453" w:hanging="361"/>
      </w:pPr>
      <w:rPr>
        <w:rFonts w:hint="default"/>
      </w:rPr>
    </w:lvl>
    <w:lvl w:ilvl="4">
      <w:start w:val="0"/>
      <w:numFmt w:val="bullet"/>
      <w:lvlText w:val="•"/>
      <w:lvlJc w:val="left"/>
      <w:pPr>
        <w:ind w:left="3944" w:hanging="361"/>
      </w:pPr>
      <w:rPr>
        <w:rFonts w:hint="default"/>
      </w:rPr>
    </w:lvl>
    <w:lvl w:ilvl="5">
      <w:start w:val="0"/>
      <w:numFmt w:val="bullet"/>
      <w:lvlText w:val="•"/>
      <w:lvlJc w:val="left"/>
      <w:pPr>
        <w:ind w:left="4435" w:hanging="361"/>
      </w:pPr>
      <w:rPr>
        <w:rFonts w:hint="default"/>
      </w:rPr>
    </w:lvl>
    <w:lvl w:ilvl="6">
      <w:start w:val="0"/>
      <w:numFmt w:val="bullet"/>
      <w:lvlText w:val="•"/>
      <w:lvlJc w:val="left"/>
      <w:pPr>
        <w:ind w:left="4926" w:hanging="361"/>
      </w:pPr>
      <w:rPr>
        <w:rFonts w:hint="default"/>
      </w:rPr>
    </w:lvl>
    <w:lvl w:ilvl="7">
      <w:start w:val="0"/>
      <w:numFmt w:val="bullet"/>
      <w:lvlText w:val="•"/>
      <w:lvlJc w:val="left"/>
      <w:pPr>
        <w:ind w:left="5417" w:hanging="361"/>
      </w:pPr>
      <w:rPr>
        <w:rFonts w:hint="default"/>
      </w:rPr>
    </w:lvl>
    <w:lvl w:ilvl="8">
      <w:start w:val="0"/>
      <w:numFmt w:val="bullet"/>
      <w:lvlText w:val="•"/>
      <w:lvlJc w:val="left"/>
      <w:pPr>
        <w:ind w:left="5908" w:hanging="361"/>
      </w:pPr>
      <w:rPr>
        <w:rFonts w:hint="default"/>
      </w:rPr>
    </w:lvl>
  </w:abstractNum>
  <w:abstractNum w:abstractNumId="3">
    <w:multiLevelType w:val="hybridMultilevel"/>
    <w:lvl w:ilvl="0">
      <w:start w:val="0"/>
      <w:numFmt w:val="bullet"/>
      <w:lvlText w:val="•"/>
      <w:lvlJc w:val="left"/>
      <w:pPr>
        <w:ind w:left="3074" w:hanging="361"/>
      </w:pPr>
      <w:rPr>
        <w:rFonts w:hint="default" w:ascii="Verdana" w:hAnsi="Verdana" w:eastAsia="Verdana" w:cs="Verdana"/>
        <w:color w:val="231F20"/>
        <w:w w:val="111"/>
        <w:position w:val="-3"/>
        <w:sz w:val="25"/>
        <w:szCs w:val="25"/>
      </w:rPr>
    </w:lvl>
    <w:lvl w:ilvl="1">
      <w:start w:val="0"/>
      <w:numFmt w:val="bullet"/>
      <w:lvlText w:val="•"/>
      <w:lvlJc w:val="left"/>
      <w:pPr>
        <w:ind w:left="3223" w:hanging="361"/>
      </w:pPr>
      <w:rPr>
        <w:rFonts w:hint="default"/>
      </w:rPr>
    </w:lvl>
    <w:lvl w:ilvl="2">
      <w:start w:val="0"/>
      <w:numFmt w:val="bullet"/>
      <w:lvlText w:val="•"/>
      <w:lvlJc w:val="left"/>
      <w:pPr>
        <w:ind w:left="3367" w:hanging="361"/>
      </w:pPr>
      <w:rPr>
        <w:rFonts w:hint="default"/>
      </w:rPr>
    </w:lvl>
    <w:lvl w:ilvl="3">
      <w:start w:val="0"/>
      <w:numFmt w:val="bullet"/>
      <w:lvlText w:val="•"/>
      <w:lvlJc w:val="left"/>
      <w:pPr>
        <w:ind w:left="3510" w:hanging="361"/>
      </w:pPr>
      <w:rPr>
        <w:rFonts w:hint="default"/>
      </w:rPr>
    </w:lvl>
    <w:lvl w:ilvl="4">
      <w:start w:val="0"/>
      <w:numFmt w:val="bullet"/>
      <w:lvlText w:val="•"/>
      <w:lvlJc w:val="left"/>
      <w:pPr>
        <w:ind w:left="3654" w:hanging="361"/>
      </w:pPr>
      <w:rPr>
        <w:rFonts w:hint="default"/>
      </w:rPr>
    </w:lvl>
    <w:lvl w:ilvl="5">
      <w:start w:val="0"/>
      <w:numFmt w:val="bullet"/>
      <w:lvlText w:val="•"/>
      <w:lvlJc w:val="left"/>
      <w:pPr>
        <w:ind w:left="3797" w:hanging="361"/>
      </w:pPr>
      <w:rPr>
        <w:rFonts w:hint="default"/>
      </w:rPr>
    </w:lvl>
    <w:lvl w:ilvl="6">
      <w:start w:val="0"/>
      <w:numFmt w:val="bullet"/>
      <w:lvlText w:val="•"/>
      <w:lvlJc w:val="left"/>
      <w:pPr>
        <w:ind w:left="3941" w:hanging="361"/>
      </w:pPr>
      <w:rPr>
        <w:rFonts w:hint="default"/>
      </w:rPr>
    </w:lvl>
    <w:lvl w:ilvl="7">
      <w:start w:val="0"/>
      <w:numFmt w:val="bullet"/>
      <w:lvlText w:val="•"/>
      <w:lvlJc w:val="left"/>
      <w:pPr>
        <w:ind w:left="4084" w:hanging="361"/>
      </w:pPr>
      <w:rPr>
        <w:rFonts w:hint="default"/>
      </w:rPr>
    </w:lvl>
    <w:lvl w:ilvl="8">
      <w:start w:val="0"/>
      <w:numFmt w:val="bullet"/>
      <w:lvlText w:val="•"/>
      <w:lvlJc w:val="left"/>
      <w:pPr>
        <w:ind w:left="4228" w:hanging="361"/>
      </w:pPr>
      <w:rPr>
        <w:rFonts w:hint="default"/>
      </w:rPr>
    </w:lvl>
  </w:abstractNum>
  <w:abstractNum w:abstractNumId="2">
    <w:multiLevelType w:val="hybridMultilevel"/>
    <w:lvl w:ilvl="0">
      <w:start w:val="0"/>
      <w:numFmt w:val="bullet"/>
      <w:lvlText w:val="–"/>
      <w:lvlJc w:val="left"/>
      <w:pPr>
        <w:ind w:left="2485" w:hanging="360"/>
      </w:pPr>
      <w:rPr>
        <w:rFonts w:hint="default" w:ascii="Verdana" w:hAnsi="Verdana" w:eastAsia="Verdana" w:cs="Verdana"/>
        <w:color w:val="231F20"/>
        <w:w w:val="112"/>
        <w:sz w:val="16"/>
        <w:szCs w:val="16"/>
      </w:rPr>
    </w:lvl>
    <w:lvl w:ilvl="1">
      <w:start w:val="0"/>
      <w:numFmt w:val="bullet"/>
      <w:lvlText w:val="•"/>
      <w:lvlJc w:val="left"/>
      <w:pPr>
        <w:ind w:left="3376" w:hanging="360"/>
      </w:pPr>
      <w:rPr>
        <w:rFonts w:hint="default"/>
      </w:rPr>
    </w:lvl>
    <w:lvl w:ilvl="2">
      <w:start w:val="0"/>
      <w:numFmt w:val="bullet"/>
      <w:lvlText w:val="•"/>
      <w:lvlJc w:val="left"/>
      <w:pPr>
        <w:ind w:left="4273" w:hanging="360"/>
      </w:pPr>
      <w:rPr>
        <w:rFonts w:hint="default"/>
      </w:rPr>
    </w:lvl>
    <w:lvl w:ilvl="3">
      <w:start w:val="0"/>
      <w:numFmt w:val="bullet"/>
      <w:lvlText w:val="•"/>
      <w:lvlJc w:val="left"/>
      <w:pPr>
        <w:ind w:left="5169" w:hanging="360"/>
      </w:pPr>
      <w:rPr>
        <w:rFonts w:hint="default"/>
      </w:rPr>
    </w:lvl>
    <w:lvl w:ilvl="4">
      <w:start w:val="0"/>
      <w:numFmt w:val="bullet"/>
      <w:lvlText w:val="•"/>
      <w:lvlJc w:val="left"/>
      <w:pPr>
        <w:ind w:left="6066" w:hanging="360"/>
      </w:pPr>
      <w:rPr>
        <w:rFonts w:hint="default"/>
      </w:rPr>
    </w:lvl>
    <w:lvl w:ilvl="5">
      <w:start w:val="0"/>
      <w:numFmt w:val="bullet"/>
      <w:lvlText w:val="•"/>
      <w:lvlJc w:val="left"/>
      <w:pPr>
        <w:ind w:left="6962" w:hanging="360"/>
      </w:pPr>
      <w:rPr>
        <w:rFonts w:hint="default"/>
      </w:rPr>
    </w:lvl>
    <w:lvl w:ilvl="6">
      <w:start w:val="0"/>
      <w:numFmt w:val="bullet"/>
      <w:lvlText w:val="•"/>
      <w:lvlJc w:val="left"/>
      <w:pPr>
        <w:ind w:left="7859" w:hanging="360"/>
      </w:pPr>
      <w:rPr>
        <w:rFonts w:hint="default"/>
      </w:rPr>
    </w:lvl>
    <w:lvl w:ilvl="7">
      <w:start w:val="0"/>
      <w:numFmt w:val="bullet"/>
      <w:lvlText w:val="•"/>
      <w:lvlJc w:val="left"/>
      <w:pPr>
        <w:ind w:left="8755" w:hanging="360"/>
      </w:pPr>
      <w:rPr>
        <w:rFonts w:hint="default"/>
      </w:rPr>
    </w:lvl>
    <w:lvl w:ilvl="8">
      <w:start w:val="0"/>
      <w:numFmt w:val="bullet"/>
      <w:lvlText w:val="•"/>
      <w:lvlJc w:val="left"/>
      <w:pPr>
        <w:ind w:left="9652" w:hanging="360"/>
      </w:pPr>
      <w:rPr>
        <w:rFonts w:hint="default"/>
      </w:rPr>
    </w:lvl>
  </w:abstractNum>
  <w:abstractNum w:abstractNumId="1">
    <w:multiLevelType w:val="hybridMultilevel"/>
    <w:lvl w:ilvl="0">
      <w:start w:val="0"/>
      <w:numFmt w:val="bullet"/>
      <w:lvlText w:val="•"/>
      <w:lvlJc w:val="left"/>
      <w:pPr>
        <w:ind w:left="1354" w:hanging="681"/>
      </w:pPr>
      <w:rPr>
        <w:rFonts w:hint="default"/>
        <w:w w:val="111"/>
        <w:position w:val="-3"/>
      </w:rPr>
    </w:lvl>
    <w:lvl w:ilvl="1">
      <w:start w:val="0"/>
      <w:numFmt w:val="bullet"/>
      <w:lvlText w:val="•"/>
      <w:lvlJc w:val="left"/>
      <w:pPr>
        <w:ind w:left="1921" w:hanging="681"/>
      </w:pPr>
      <w:rPr>
        <w:rFonts w:hint="default"/>
        <w:w w:val="111"/>
        <w:position w:val="-3"/>
      </w:rPr>
    </w:lvl>
    <w:lvl w:ilvl="2">
      <w:start w:val="0"/>
      <w:numFmt w:val="bullet"/>
      <w:lvlText w:val="–"/>
      <w:lvlJc w:val="left"/>
      <w:pPr>
        <w:ind w:left="2118" w:hanging="681"/>
      </w:pPr>
      <w:rPr>
        <w:rFonts w:hint="default" w:ascii="Verdana" w:hAnsi="Verdana" w:eastAsia="Verdana" w:cs="Verdana"/>
        <w:w w:val="111"/>
        <w:sz w:val="18"/>
        <w:szCs w:val="18"/>
      </w:rPr>
    </w:lvl>
    <w:lvl w:ilvl="3">
      <w:start w:val="0"/>
      <w:numFmt w:val="bullet"/>
      <w:lvlText w:val="•"/>
      <w:lvlJc w:val="left"/>
      <w:pPr>
        <w:ind w:left="1920" w:hanging="681"/>
      </w:pPr>
      <w:rPr>
        <w:rFonts w:hint="default"/>
      </w:rPr>
    </w:lvl>
    <w:lvl w:ilvl="4">
      <w:start w:val="0"/>
      <w:numFmt w:val="bullet"/>
      <w:lvlText w:val="•"/>
      <w:lvlJc w:val="left"/>
      <w:pPr>
        <w:ind w:left="2120" w:hanging="681"/>
      </w:pPr>
      <w:rPr>
        <w:rFonts w:hint="default"/>
      </w:rPr>
    </w:lvl>
    <w:lvl w:ilvl="5">
      <w:start w:val="0"/>
      <w:numFmt w:val="bullet"/>
      <w:lvlText w:val="•"/>
      <w:lvlJc w:val="left"/>
      <w:pPr>
        <w:ind w:left="3674" w:hanging="681"/>
      </w:pPr>
      <w:rPr>
        <w:rFonts w:hint="default"/>
      </w:rPr>
    </w:lvl>
    <w:lvl w:ilvl="6">
      <w:start w:val="0"/>
      <w:numFmt w:val="bullet"/>
      <w:lvlText w:val="•"/>
      <w:lvlJc w:val="left"/>
      <w:pPr>
        <w:ind w:left="5228" w:hanging="681"/>
      </w:pPr>
      <w:rPr>
        <w:rFonts w:hint="default"/>
      </w:rPr>
    </w:lvl>
    <w:lvl w:ilvl="7">
      <w:start w:val="0"/>
      <w:numFmt w:val="bullet"/>
      <w:lvlText w:val="•"/>
      <w:lvlJc w:val="left"/>
      <w:pPr>
        <w:ind w:left="6782" w:hanging="681"/>
      </w:pPr>
      <w:rPr>
        <w:rFonts w:hint="default"/>
      </w:rPr>
    </w:lvl>
    <w:lvl w:ilvl="8">
      <w:start w:val="0"/>
      <w:numFmt w:val="bullet"/>
      <w:lvlText w:val="•"/>
      <w:lvlJc w:val="left"/>
      <w:pPr>
        <w:ind w:left="8337" w:hanging="681"/>
      </w:pPr>
      <w:rPr>
        <w:rFonts w:hint="default"/>
      </w:rPr>
    </w:lvl>
  </w:abstractNum>
  <w:abstractNum w:abstractNumId="0">
    <w:multiLevelType w:val="hybridMultilevel"/>
    <w:lvl w:ilvl="0">
      <w:start w:val="1"/>
      <w:numFmt w:val="lowerLetter"/>
      <w:lvlText w:val="%1)"/>
      <w:lvlJc w:val="left"/>
      <w:pPr>
        <w:ind w:left="1960" w:hanging="720"/>
        <w:jc w:val="right"/>
      </w:pPr>
      <w:rPr>
        <w:rFonts w:hint="default" w:ascii="Verdana" w:hAnsi="Verdana" w:eastAsia="Verdana" w:cs="Verdana"/>
        <w:color w:val="231F20"/>
        <w:spacing w:val="-15"/>
        <w:w w:val="111"/>
        <w:sz w:val="18"/>
        <w:szCs w:val="18"/>
      </w:rPr>
    </w:lvl>
    <w:lvl w:ilvl="1">
      <w:start w:val="1"/>
      <w:numFmt w:val="decimal"/>
      <w:lvlText w:val="%2."/>
      <w:lvlJc w:val="left"/>
      <w:pPr>
        <w:ind w:left="1960" w:hanging="720"/>
        <w:jc w:val="right"/>
      </w:pPr>
      <w:rPr>
        <w:rFonts w:hint="default"/>
        <w:b/>
        <w:bCs/>
        <w:spacing w:val="0"/>
        <w:w w:val="111"/>
      </w:rPr>
    </w:lvl>
    <w:lvl w:ilvl="2">
      <w:start w:val="1"/>
      <w:numFmt w:val="decimal"/>
      <w:lvlText w:val="%2.%3"/>
      <w:lvlJc w:val="left"/>
      <w:pPr>
        <w:ind w:left="1070" w:hanging="720"/>
        <w:jc w:val="left"/>
      </w:pPr>
      <w:rPr>
        <w:rFonts w:hint="default"/>
        <w:spacing w:val="-25"/>
        <w:w w:val="111"/>
      </w:rPr>
    </w:lvl>
    <w:lvl w:ilvl="3">
      <w:start w:val="0"/>
      <w:numFmt w:val="bullet"/>
      <w:lvlText w:val="•"/>
      <w:lvlJc w:val="left"/>
      <w:pPr>
        <w:ind w:left="4756" w:hanging="720"/>
      </w:pPr>
      <w:rPr>
        <w:rFonts w:hint="default" w:ascii="Verdana" w:hAnsi="Verdana" w:eastAsia="Verdana" w:cs="Verdana"/>
        <w:color w:val="231F20"/>
        <w:w w:val="111"/>
        <w:position w:val="-3"/>
        <w:sz w:val="25"/>
        <w:szCs w:val="25"/>
      </w:rPr>
    </w:lvl>
    <w:lvl w:ilvl="4">
      <w:start w:val="0"/>
      <w:numFmt w:val="bullet"/>
      <w:lvlText w:val="•"/>
      <w:lvlJc w:val="left"/>
      <w:pPr>
        <w:ind w:left="1960" w:hanging="720"/>
      </w:pPr>
      <w:rPr>
        <w:rFonts w:hint="default"/>
      </w:rPr>
    </w:lvl>
    <w:lvl w:ilvl="5">
      <w:start w:val="0"/>
      <w:numFmt w:val="bullet"/>
      <w:lvlText w:val="•"/>
      <w:lvlJc w:val="left"/>
      <w:pPr>
        <w:ind w:left="4760" w:hanging="720"/>
      </w:pPr>
      <w:rPr>
        <w:rFonts w:hint="default"/>
      </w:rPr>
    </w:lvl>
    <w:lvl w:ilvl="6">
      <w:start w:val="0"/>
      <w:numFmt w:val="bullet"/>
      <w:lvlText w:val="•"/>
      <w:lvlJc w:val="left"/>
      <w:pPr>
        <w:ind w:left="6097" w:hanging="720"/>
      </w:pPr>
      <w:rPr>
        <w:rFonts w:hint="default"/>
      </w:rPr>
    </w:lvl>
    <w:lvl w:ilvl="7">
      <w:start w:val="0"/>
      <w:numFmt w:val="bullet"/>
      <w:lvlText w:val="•"/>
      <w:lvlJc w:val="left"/>
      <w:pPr>
        <w:ind w:left="7434" w:hanging="720"/>
      </w:pPr>
      <w:rPr>
        <w:rFonts w:hint="default"/>
      </w:rPr>
    </w:lvl>
    <w:lvl w:ilvl="8">
      <w:start w:val="0"/>
      <w:numFmt w:val="bullet"/>
      <w:lvlText w:val="•"/>
      <w:lvlJc w:val="left"/>
      <w:pPr>
        <w:ind w:left="8771" w:hanging="720"/>
      </w:pPr>
      <w:rPr>
        <w:rFonts w:hint="default"/>
      </w:rPr>
    </w:lvl>
  </w:abstractNum>
  <w:num w:numId="207">
    <w:abstractNumId w:val="206"/>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TOC1" w:type="paragraph">
    <w:name w:val="TOC 1"/>
    <w:basedOn w:val="Normal"/>
    <w:uiPriority w:val="1"/>
    <w:qFormat/>
    <w:pPr>
      <w:spacing w:before="3"/>
      <w:ind w:left="1693"/>
    </w:pPr>
    <w:rPr>
      <w:rFonts w:ascii="Times New Roman" w:hAnsi="Times New Roman" w:eastAsia="Times New Roman" w:cs="Times New Roman"/>
      <w:sz w:val="19"/>
      <w:szCs w:val="19"/>
    </w:rPr>
  </w:style>
  <w:style w:styleId="TOC2" w:type="paragraph">
    <w:name w:val="TOC 2"/>
    <w:basedOn w:val="Normal"/>
    <w:uiPriority w:val="1"/>
    <w:qFormat/>
    <w:pPr>
      <w:spacing w:before="3"/>
      <w:ind w:left="1919"/>
    </w:pPr>
    <w:rPr>
      <w:rFonts w:ascii="Times New Roman" w:hAnsi="Times New Roman" w:eastAsia="Times New Roman" w:cs="Times New Roman"/>
      <w:sz w:val="19"/>
      <w:szCs w:val="19"/>
    </w:rPr>
  </w:style>
  <w:style w:styleId="BodyText" w:type="paragraph">
    <w:name w:val="Body Text"/>
    <w:basedOn w:val="Normal"/>
    <w:uiPriority w:val="1"/>
    <w:qFormat/>
    <w:pPr/>
    <w:rPr>
      <w:rFonts w:ascii="Verdana" w:hAnsi="Verdana" w:eastAsia="Verdana" w:cs="Verdana"/>
      <w:sz w:val="18"/>
      <w:szCs w:val="18"/>
    </w:rPr>
  </w:style>
  <w:style w:styleId="Heading1" w:type="paragraph">
    <w:name w:val="Heading 1"/>
    <w:basedOn w:val="Normal"/>
    <w:uiPriority w:val="1"/>
    <w:qFormat/>
    <w:pPr>
      <w:spacing w:before="20" w:line="989" w:lineRule="exact"/>
      <w:ind w:left="20"/>
      <w:outlineLvl w:val="1"/>
    </w:pPr>
    <w:rPr>
      <w:rFonts w:ascii="Verdana" w:hAnsi="Verdana" w:eastAsia="Verdana" w:cs="Verdana"/>
      <w:b/>
      <w:bCs/>
      <w:sz w:val="88"/>
      <w:szCs w:val="88"/>
    </w:rPr>
  </w:style>
  <w:style w:styleId="Heading2" w:type="paragraph">
    <w:name w:val="Heading 2"/>
    <w:basedOn w:val="Normal"/>
    <w:uiPriority w:val="1"/>
    <w:qFormat/>
    <w:pPr>
      <w:spacing w:before="20"/>
      <w:ind w:left="20" w:hanging="1335"/>
      <w:outlineLvl w:val="2"/>
    </w:pPr>
    <w:rPr>
      <w:rFonts w:ascii="Verdana" w:hAnsi="Verdana" w:eastAsia="Verdana" w:cs="Verdana"/>
      <w:b/>
      <w:bCs/>
      <w:sz w:val="84"/>
      <w:szCs w:val="84"/>
    </w:rPr>
  </w:style>
  <w:style w:styleId="Heading3" w:type="paragraph">
    <w:name w:val="Heading 3"/>
    <w:basedOn w:val="Normal"/>
    <w:uiPriority w:val="1"/>
    <w:qFormat/>
    <w:pPr>
      <w:outlineLvl w:val="3"/>
    </w:pPr>
    <w:rPr>
      <w:rFonts w:ascii="Verdana" w:hAnsi="Verdana" w:eastAsia="Verdana" w:cs="Verdana"/>
      <w:b/>
      <w:bCs/>
      <w:sz w:val="56"/>
      <w:szCs w:val="56"/>
    </w:rPr>
  </w:style>
  <w:style w:styleId="Heading4" w:type="paragraph">
    <w:name w:val="Heading 4"/>
    <w:basedOn w:val="Normal"/>
    <w:uiPriority w:val="1"/>
    <w:qFormat/>
    <w:pPr>
      <w:spacing w:before="104"/>
      <w:ind w:left="1240"/>
      <w:outlineLvl w:val="4"/>
    </w:pPr>
    <w:rPr>
      <w:rFonts w:ascii="Verdana" w:hAnsi="Verdana" w:eastAsia="Verdana" w:cs="Verdana"/>
      <w:b/>
      <w:bCs/>
      <w:sz w:val="50"/>
      <w:szCs w:val="50"/>
    </w:rPr>
  </w:style>
  <w:style w:styleId="Heading5" w:type="paragraph">
    <w:name w:val="Heading 5"/>
    <w:basedOn w:val="Normal"/>
    <w:uiPriority w:val="1"/>
    <w:qFormat/>
    <w:pPr>
      <w:spacing w:before="102"/>
      <w:ind w:left="796"/>
      <w:outlineLvl w:val="5"/>
    </w:pPr>
    <w:rPr>
      <w:rFonts w:ascii="Verdana" w:hAnsi="Verdana" w:eastAsia="Verdana" w:cs="Verdana"/>
      <w:b/>
      <w:bCs/>
      <w:sz w:val="43"/>
      <w:szCs w:val="43"/>
    </w:rPr>
  </w:style>
  <w:style w:styleId="Heading6" w:type="paragraph">
    <w:name w:val="Heading 6"/>
    <w:basedOn w:val="Normal"/>
    <w:uiPriority w:val="1"/>
    <w:qFormat/>
    <w:pPr>
      <w:spacing w:before="88" w:line="481" w:lineRule="exact"/>
      <w:ind w:right="68"/>
      <w:jc w:val="right"/>
      <w:outlineLvl w:val="6"/>
    </w:pPr>
    <w:rPr>
      <w:rFonts w:ascii="Arial" w:hAnsi="Arial" w:eastAsia="Arial" w:cs="Arial"/>
      <w:sz w:val="42"/>
      <w:szCs w:val="42"/>
    </w:rPr>
  </w:style>
  <w:style w:styleId="Heading7" w:type="paragraph">
    <w:name w:val="Heading 7"/>
    <w:basedOn w:val="Normal"/>
    <w:uiPriority w:val="1"/>
    <w:qFormat/>
    <w:pPr>
      <w:ind w:left="146"/>
      <w:outlineLvl w:val="7"/>
    </w:pPr>
    <w:rPr>
      <w:rFonts w:ascii="Verdana" w:hAnsi="Verdana" w:eastAsia="Verdana" w:cs="Verdana"/>
      <w:b/>
      <w:bCs/>
      <w:sz w:val="38"/>
      <w:szCs w:val="38"/>
    </w:rPr>
  </w:style>
  <w:style w:styleId="Heading8" w:type="paragraph">
    <w:name w:val="Heading 8"/>
    <w:basedOn w:val="Normal"/>
    <w:uiPriority w:val="1"/>
    <w:qFormat/>
    <w:pPr>
      <w:spacing w:line="365" w:lineRule="exact"/>
      <w:outlineLvl w:val="8"/>
    </w:pPr>
    <w:rPr>
      <w:rFonts w:ascii="Eurostile Bold" w:hAnsi="Eurostile Bold" w:eastAsia="Eurostile Bold" w:cs="Eurostile Bold"/>
      <w:b/>
      <w:bCs/>
      <w:sz w:val="36"/>
      <w:szCs w:val="36"/>
    </w:rPr>
  </w:style>
  <w:style w:styleId="Heading9" w:type="paragraph">
    <w:name w:val="Heading 9"/>
    <w:basedOn w:val="Normal"/>
    <w:uiPriority w:val="1"/>
    <w:qFormat/>
    <w:pPr>
      <w:ind w:left="1240"/>
      <w:outlineLvl w:val="9"/>
    </w:pPr>
    <w:rPr>
      <w:rFonts w:ascii="Verdana" w:hAnsi="Verdana" w:eastAsia="Verdana" w:cs="Verdana"/>
      <w:b/>
      <w:bCs/>
      <w:sz w:val="29"/>
      <w:szCs w:val="29"/>
    </w:rPr>
  </w:style>
  <w:style w:styleId="ListParagraph" w:type="paragraph">
    <w:name w:val="List Paragraph"/>
    <w:basedOn w:val="Normal"/>
    <w:uiPriority w:val="1"/>
    <w:qFormat/>
    <w:pPr>
      <w:ind w:left="1354"/>
    </w:pPr>
    <w:rPr>
      <w:rFonts w:ascii="Verdana" w:hAnsi="Verdana" w:eastAsia="Verdana" w:cs="Verdana"/>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eader" Target="header3.xml"/><Relationship Id="rId23" Type="http://schemas.openxmlformats.org/officeDocument/2006/relationships/footer" Target="footer5.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header" Target="header6.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header" Target="header7.xml"/><Relationship Id="rId35" Type="http://schemas.openxmlformats.org/officeDocument/2006/relationships/image" Target="media/image15.png"/><Relationship Id="rId36" Type="http://schemas.openxmlformats.org/officeDocument/2006/relationships/header" Target="header8.xml"/><Relationship Id="rId37" Type="http://schemas.openxmlformats.org/officeDocument/2006/relationships/footer" Target="footer10.xml"/><Relationship Id="rId38" Type="http://schemas.openxmlformats.org/officeDocument/2006/relationships/footer" Target="footer11.xml"/><Relationship Id="rId39" Type="http://schemas.openxmlformats.org/officeDocument/2006/relationships/header" Target="header9.xml"/><Relationship Id="rId40" Type="http://schemas.openxmlformats.org/officeDocument/2006/relationships/header" Target="header10.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header" Target="header11.xml"/><Relationship Id="rId44" Type="http://schemas.openxmlformats.org/officeDocument/2006/relationships/header" Target="header12.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header" Target="header13.xml"/><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header" Target="header14.xml"/><Relationship Id="rId51" Type="http://schemas.openxmlformats.org/officeDocument/2006/relationships/header" Target="header15.xml"/><Relationship Id="rId52" Type="http://schemas.openxmlformats.org/officeDocument/2006/relationships/footer" Target="footer16.xml"/><Relationship Id="rId53" Type="http://schemas.openxmlformats.org/officeDocument/2006/relationships/footer" Target="footer17.xml"/><Relationship Id="rId54" Type="http://schemas.openxmlformats.org/officeDocument/2006/relationships/header" Target="header16.xml"/><Relationship Id="rId55" Type="http://schemas.openxmlformats.org/officeDocument/2006/relationships/footer" Target="footer18.xml"/><Relationship Id="rId56" Type="http://schemas.openxmlformats.org/officeDocument/2006/relationships/image" Target="media/image18.png"/><Relationship Id="rId57" Type="http://schemas.openxmlformats.org/officeDocument/2006/relationships/header" Target="header17.xml"/><Relationship Id="rId58" Type="http://schemas.openxmlformats.org/officeDocument/2006/relationships/header" Target="header18.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header" Target="header19.xml"/><Relationship Id="rId62" Type="http://schemas.openxmlformats.org/officeDocument/2006/relationships/footer" Target="footer21.xml"/><Relationship Id="rId63" Type="http://schemas.openxmlformats.org/officeDocument/2006/relationships/header" Target="header20.xml"/><Relationship Id="rId64" Type="http://schemas.openxmlformats.org/officeDocument/2006/relationships/footer" Target="footer22.xml"/><Relationship Id="rId65" Type="http://schemas.openxmlformats.org/officeDocument/2006/relationships/header" Target="header21.xml"/><Relationship Id="rId66" Type="http://schemas.openxmlformats.org/officeDocument/2006/relationships/header" Target="header22.xml"/><Relationship Id="rId67" Type="http://schemas.openxmlformats.org/officeDocument/2006/relationships/footer" Target="footer23.xml"/><Relationship Id="rId68" Type="http://schemas.openxmlformats.org/officeDocument/2006/relationships/footer" Target="footer24.xml"/><Relationship Id="rId69" Type="http://schemas.openxmlformats.org/officeDocument/2006/relationships/image" Target="media/image19.png"/><Relationship Id="rId70" Type="http://schemas.openxmlformats.org/officeDocument/2006/relationships/image" Target="media/image20.png"/><Relationship Id="rId71" Type="http://schemas.openxmlformats.org/officeDocument/2006/relationships/image" Target="media/image21.png"/><Relationship Id="rId72" Type="http://schemas.openxmlformats.org/officeDocument/2006/relationships/image" Target="media/image22.png"/><Relationship Id="rId73" Type="http://schemas.openxmlformats.org/officeDocument/2006/relationships/image" Target="media/image23.png"/><Relationship Id="rId74" Type="http://schemas.openxmlformats.org/officeDocument/2006/relationships/image" Target="media/image24.png"/><Relationship Id="rId75" Type="http://schemas.openxmlformats.org/officeDocument/2006/relationships/image" Target="media/image25.png"/><Relationship Id="rId76" Type="http://schemas.openxmlformats.org/officeDocument/2006/relationships/image" Target="media/image26.png"/><Relationship Id="rId77" Type="http://schemas.openxmlformats.org/officeDocument/2006/relationships/image" Target="media/image27.png"/><Relationship Id="rId78" Type="http://schemas.openxmlformats.org/officeDocument/2006/relationships/image" Target="media/image28.png"/><Relationship Id="rId79" Type="http://schemas.openxmlformats.org/officeDocument/2006/relationships/image" Target="media/image29.png"/><Relationship Id="rId80" Type="http://schemas.openxmlformats.org/officeDocument/2006/relationships/image" Target="media/image30.png"/><Relationship Id="rId81" Type="http://schemas.openxmlformats.org/officeDocument/2006/relationships/image" Target="media/image31.png"/><Relationship Id="rId82" Type="http://schemas.openxmlformats.org/officeDocument/2006/relationships/image" Target="media/image32.png"/><Relationship Id="rId83" Type="http://schemas.openxmlformats.org/officeDocument/2006/relationships/image" Target="media/image33.png"/><Relationship Id="rId84" Type="http://schemas.openxmlformats.org/officeDocument/2006/relationships/image" Target="media/image34.png"/><Relationship Id="rId85" Type="http://schemas.openxmlformats.org/officeDocument/2006/relationships/header" Target="header23.xml"/><Relationship Id="rId86" Type="http://schemas.openxmlformats.org/officeDocument/2006/relationships/footer" Target="footer25.xml"/><Relationship Id="rId87" Type="http://schemas.openxmlformats.org/officeDocument/2006/relationships/footer" Target="footer26.xml"/><Relationship Id="rId88" Type="http://schemas.openxmlformats.org/officeDocument/2006/relationships/header" Target="header24.xml"/><Relationship Id="rId89" Type="http://schemas.openxmlformats.org/officeDocument/2006/relationships/header" Target="header25.xml"/><Relationship Id="rId90" Type="http://schemas.openxmlformats.org/officeDocument/2006/relationships/footer" Target="footer27.xml"/><Relationship Id="rId91" Type="http://schemas.openxmlformats.org/officeDocument/2006/relationships/footer" Target="footer28.xml"/><Relationship Id="rId92" Type="http://schemas.openxmlformats.org/officeDocument/2006/relationships/header" Target="header26.xml"/><Relationship Id="rId93" Type="http://schemas.openxmlformats.org/officeDocument/2006/relationships/header" Target="header27.xml"/><Relationship Id="rId94" Type="http://schemas.openxmlformats.org/officeDocument/2006/relationships/footer" Target="footer29.xml"/><Relationship Id="rId95" Type="http://schemas.openxmlformats.org/officeDocument/2006/relationships/footer" Target="footer30.xml"/><Relationship Id="rId96" Type="http://schemas.openxmlformats.org/officeDocument/2006/relationships/image" Target="media/image35.png"/><Relationship Id="rId97" Type="http://schemas.openxmlformats.org/officeDocument/2006/relationships/header" Target="header28.xml"/><Relationship Id="rId98" Type="http://schemas.openxmlformats.org/officeDocument/2006/relationships/footer" Target="footer31.xml"/><Relationship Id="rId99" Type="http://schemas.openxmlformats.org/officeDocument/2006/relationships/header" Target="header29.xml"/><Relationship Id="rId100" Type="http://schemas.openxmlformats.org/officeDocument/2006/relationships/footer" Target="footer32.xml"/><Relationship Id="rId101" Type="http://schemas.openxmlformats.org/officeDocument/2006/relationships/image" Target="media/image36.png"/><Relationship Id="rId102" Type="http://schemas.openxmlformats.org/officeDocument/2006/relationships/header" Target="header30.xml"/><Relationship Id="rId103" Type="http://schemas.openxmlformats.org/officeDocument/2006/relationships/header" Target="header31.xml"/><Relationship Id="rId104" Type="http://schemas.openxmlformats.org/officeDocument/2006/relationships/footer" Target="footer33.xml"/><Relationship Id="rId105" Type="http://schemas.openxmlformats.org/officeDocument/2006/relationships/footer" Target="footer34.xml"/><Relationship Id="rId106" Type="http://schemas.openxmlformats.org/officeDocument/2006/relationships/header" Target="header32.xml"/><Relationship Id="rId107" Type="http://schemas.openxmlformats.org/officeDocument/2006/relationships/footer" Target="footer35.xml"/><Relationship Id="rId108" Type="http://schemas.openxmlformats.org/officeDocument/2006/relationships/header" Target="header33.xml"/><Relationship Id="rId109" Type="http://schemas.openxmlformats.org/officeDocument/2006/relationships/footer" Target="footer36.xml"/><Relationship Id="rId110" Type="http://schemas.openxmlformats.org/officeDocument/2006/relationships/image" Target="media/image37.png"/><Relationship Id="rId111" Type="http://schemas.openxmlformats.org/officeDocument/2006/relationships/header" Target="header34.xml"/><Relationship Id="rId112" Type="http://schemas.openxmlformats.org/officeDocument/2006/relationships/footer" Target="footer37.xml"/><Relationship Id="rId113" Type="http://schemas.openxmlformats.org/officeDocument/2006/relationships/header" Target="header35.xml"/><Relationship Id="rId114" Type="http://schemas.openxmlformats.org/officeDocument/2006/relationships/footer" Target="footer38.xml"/><Relationship Id="rId115" Type="http://schemas.openxmlformats.org/officeDocument/2006/relationships/header" Target="header36.xml"/><Relationship Id="rId116" Type="http://schemas.openxmlformats.org/officeDocument/2006/relationships/footer" Target="footer39.xml"/><Relationship Id="rId117" Type="http://schemas.openxmlformats.org/officeDocument/2006/relationships/header" Target="header37.xml"/><Relationship Id="rId118" Type="http://schemas.openxmlformats.org/officeDocument/2006/relationships/footer" Target="footer40.xml"/><Relationship Id="rId119" Type="http://schemas.openxmlformats.org/officeDocument/2006/relationships/header" Target="header38.xml"/><Relationship Id="rId120" Type="http://schemas.openxmlformats.org/officeDocument/2006/relationships/header" Target="header39.xml"/><Relationship Id="rId121" Type="http://schemas.openxmlformats.org/officeDocument/2006/relationships/footer" Target="footer41.xml"/><Relationship Id="rId122" Type="http://schemas.openxmlformats.org/officeDocument/2006/relationships/footer" Target="footer42.xml"/><Relationship Id="rId123" Type="http://schemas.openxmlformats.org/officeDocument/2006/relationships/image" Target="media/image38.png"/><Relationship Id="rId124" Type="http://schemas.openxmlformats.org/officeDocument/2006/relationships/image" Target="media/image39.png"/><Relationship Id="rId125" Type="http://schemas.openxmlformats.org/officeDocument/2006/relationships/image" Target="media/image40.png"/><Relationship Id="rId126" Type="http://schemas.openxmlformats.org/officeDocument/2006/relationships/header" Target="header40.xml"/><Relationship Id="rId127" Type="http://schemas.openxmlformats.org/officeDocument/2006/relationships/footer" Target="footer43.xml"/><Relationship Id="rId128" Type="http://schemas.openxmlformats.org/officeDocument/2006/relationships/footer" Target="footer44.xml"/><Relationship Id="rId129" Type="http://schemas.openxmlformats.org/officeDocument/2006/relationships/header" Target="header41.xml"/><Relationship Id="rId130" Type="http://schemas.openxmlformats.org/officeDocument/2006/relationships/header" Target="header42.xml"/><Relationship Id="rId131" Type="http://schemas.openxmlformats.org/officeDocument/2006/relationships/footer" Target="footer45.xml"/><Relationship Id="rId132" Type="http://schemas.openxmlformats.org/officeDocument/2006/relationships/footer" Target="footer46.xml"/><Relationship Id="rId133" Type="http://schemas.openxmlformats.org/officeDocument/2006/relationships/header" Target="header43.xml"/><Relationship Id="rId134" Type="http://schemas.openxmlformats.org/officeDocument/2006/relationships/header" Target="header44.xml"/><Relationship Id="rId135" Type="http://schemas.openxmlformats.org/officeDocument/2006/relationships/footer" Target="footer47.xml"/><Relationship Id="rId136" Type="http://schemas.openxmlformats.org/officeDocument/2006/relationships/footer" Target="footer48.xml"/><Relationship Id="rId137" Type="http://schemas.openxmlformats.org/officeDocument/2006/relationships/image" Target="media/image41.png"/><Relationship Id="rId138" Type="http://schemas.openxmlformats.org/officeDocument/2006/relationships/image" Target="media/image42.png"/><Relationship Id="rId139" Type="http://schemas.openxmlformats.org/officeDocument/2006/relationships/image" Target="media/image43.png"/><Relationship Id="rId140" Type="http://schemas.openxmlformats.org/officeDocument/2006/relationships/image" Target="media/image44.png"/><Relationship Id="rId141" Type="http://schemas.openxmlformats.org/officeDocument/2006/relationships/header" Target="header45.xml"/><Relationship Id="rId142" Type="http://schemas.openxmlformats.org/officeDocument/2006/relationships/header" Target="header46.xml"/><Relationship Id="rId143" Type="http://schemas.openxmlformats.org/officeDocument/2006/relationships/footer" Target="footer49.xml"/><Relationship Id="rId144" Type="http://schemas.openxmlformats.org/officeDocument/2006/relationships/footer" Target="footer50.xml"/><Relationship Id="rId145" Type="http://schemas.openxmlformats.org/officeDocument/2006/relationships/image" Target="media/image45.png"/><Relationship Id="rId146" Type="http://schemas.openxmlformats.org/officeDocument/2006/relationships/header" Target="header47.xml"/><Relationship Id="rId147" Type="http://schemas.openxmlformats.org/officeDocument/2006/relationships/header" Target="header48.xml"/><Relationship Id="rId148" Type="http://schemas.openxmlformats.org/officeDocument/2006/relationships/footer" Target="footer51.xml"/><Relationship Id="rId149" Type="http://schemas.openxmlformats.org/officeDocument/2006/relationships/footer" Target="footer52.xml"/><Relationship Id="rId150" Type="http://schemas.openxmlformats.org/officeDocument/2006/relationships/image" Target="media/image46.png"/><Relationship Id="rId151" Type="http://schemas.openxmlformats.org/officeDocument/2006/relationships/header" Target="header49.xml"/><Relationship Id="rId152" Type="http://schemas.openxmlformats.org/officeDocument/2006/relationships/header" Target="header50.xml"/><Relationship Id="rId153" Type="http://schemas.openxmlformats.org/officeDocument/2006/relationships/footer" Target="footer53.xml"/><Relationship Id="rId154" Type="http://schemas.openxmlformats.org/officeDocument/2006/relationships/footer" Target="footer54.xml"/><Relationship Id="rId155" Type="http://schemas.openxmlformats.org/officeDocument/2006/relationships/hyperlink" Target="mailto:church.society@urc.org.uk" TargetMode="External"/><Relationship Id="rId156" Type="http://schemas.openxmlformats.org/officeDocument/2006/relationships/hyperlink" Target="http://www.ccjf.org/" TargetMode="External"/><Relationship Id="rId157" Type="http://schemas.openxmlformats.org/officeDocument/2006/relationships/hyperlink" Target="http://www.prisonsweek.org/" TargetMode="External"/><Relationship Id="rId158" Type="http://schemas.openxmlformats.org/officeDocument/2006/relationships/hyperlink" Target="http://www.churches-together.net/" TargetMode="External"/><Relationship Id="rId159" Type="http://schemas.openxmlformats.org/officeDocument/2006/relationships/hyperlink" Target="http://www.creationchallenge.org.uk/" TargetMode="External"/><Relationship Id="rId160" Type="http://schemas.openxmlformats.org/officeDocument/2006/relationships/hyperlink" Target="http://www.operationnoah.org/" TargetMode="External"/><Relationship Id="rId161" Type="http://schemas.openxmlformats.org/officeDocument/2006/relationships/hyperlink" Target="http://www.ctbi.org.uk/" TargetMode="External"/><Relationship Id="rId162" Type="http://schemas.openxmlformats.org/officeDocument/2006/relationships/hyperlink" Target="http://www.housingjustice.org.uk/" TargetMode="External"/><Relationship Id="rId163" Type="http://schemas.openxmlformats.org/officeDocument/2006/relationships/hyperlink" Target="mailto:info@church-poverty.org.uk" TargetMode="External"/><Relationship Id="rId164" Type="http://schemas.openxmlformats.org/officeDocument/2006/relationships/hyperlink" Target="http://www.urc.org.uk/" TargetMode="External"/><Relationship Id="rId165" Type="http://schemas.openxmlformats.org/officeDocument/2006/relationships/header" Target="header51.xml"/><Relationship Id="rId166" Type="http://schemas.openxmlformats.org/officeDocument/2006/relationships/header" Target="header52.xml"/><Relationship Id="rId167" Type="http://schemas.openxmlformats.org/officeDocument/2006/relationships/footer" Target="footer55.xml"/><Relationship Id="rId168" Type="http://schemas.openxmlformats.org/officeDocument/2006/relationships/footer" Target="footer56.xml"/><Relationship Id="rId169" Type="http://schemas.openxmlformats.org/officeDocument/2006/relationships/header" Target="header53.xml"/><Relationship Id="rId170" Type="http://schemas.openxmlformats.org/officeDocument/2006/relationships/header" Target="header54.xml"/><Relationship Id="rId171" Type="http://schemas.openxmlformats.org/officeDocument/2006/relationships/header" Target="header55.xml"/><Relationship Id="rId172" Type="http://schemas.openxmlformats.org/officeDocument/2006/relationships/footer" Target="footer57.xml"/><Relationship Id="rId173" Type="http://schemas.openxmlformats.org/officeDocument/2006/relationships/footer" Target="footer58.xml"/><Relationship Id="rId174" Type="http://schemas.openxmlformats.org/officeDocument/2006/relationships/image" Target="media/image47.png"/><Relationship Id="rId175" Type="http://schemas.openxmlformats.org/officeDocument/2006/relationships/image" Target="media/image48.png"/><Relationship Id="rId176" Type="http://schemas.openxmlformats.org/officeDocument/2006/relationships/header" Target="header56.xml"/><Relationship Id="rId177" Type="http://schemas.openxmlformats.org/officeDocument/2006/relationships/footer" Target="footer59.xml"/><Relationship Id="rId178" Type="http://schemas.openxmlformats.org/officeDocument/2006/relationships/header" Target="header57.xml"/><Relationship Id="rId179" Type="http://schemas.openxmlformats.org/officeDocument/2006/relationships/footer" Target="footer60.xml"/><Relationship Id="rId180" Type="http://schemas.openxmlformats.org/officeDocument/2006/relationships/hyperlink" Target="http://www.wcc-assembly.info/)" TargetMode="External"/><Relationship Id="rId181" Type="http://schemas.openxmlformats.org/officeDocument/2006/relationships/header" Target="header58.xml"/><Relationship Id="rId182" Type="http://schemas.openxmlformats.org/officeDocument/2006/relationships/footer" Target="footer61.xml"/><Relationship Id="rId183" Type="http://schemas.openxmlformats.org/officeDocument/2006/relationships/footer" Target="footer62.xml"/><Relationship Id="rId184" Type="http://schemas.openxmlformats.org/officeDocument/2006/relationships/header" Target="header59.xml"/><Relationship Id="rId185" Type="http://schemas.openxmlformats.org/officeDocument/2006/relationships/image" Target="media/image49.png"/><Relationship Id="rId186" Type="http://schemas.openxmlformats.org/officeDocument/2006/relationships/header" Target="header60.xml"/><Relationship Id="rId187" Type="http://schemas.openxmlformats.org/officeDocument/2006/relationships/footer" Target="footer63.xml"/><Relationship Id="rId188" Type="http://schemas.openxmlformats.org/officeDocument/2006/relationships/header" Target="header61.xml"/><Relationship Id="rId189" Type="http://schemas.openxmlformats.org/officeDocument/2006/relationships/footer" Target="footer64.xml"/><Relationship Id="rId190" Type="http://schemas.openxmlformats.org/officeDocument/2006/relationships/footer" Target="footer65.xml"/><Relationship Id="rId191" Type="http://schemas.openxmlformats.org/officeDocument/2006/relationships/header" Target="header62.xml"/><Relationship Id="rId192" Type="http://schemas.openxmlformats.org/officeDocument/2006/relationships/header" Target="header63.xml"/><Relationship Id="rId193" Type="http://schemas.openxmlformats.org/officeDocument/2006/relationships/footer" Target="footer66.xml"/><Relationship Id="rId194" Type="http://schemas.openxmlformats.org/officeDocument/2006/relationships/footer" Target="footer67.xml"/><Relationship Id="rId195" Type="http://schemas.openxmlformats.org/officeDocument/2006/relationships/header" Target="header64.xml"/><Relationship Id="rId196" Type="http://schemas.openxmlformats.org/officeDocument/2006/relationships/header" Target="header65.xml"/><Relationship Id="rId197" Type="http://schemas.openxmlformats.org/officeDocument/2006/relationships/footer" Target="footer68.xml"/><Relationship Id="rId198" Type="http://schemas.openxmlformats.org/officeDocument/2006/relationships/header" Target="header66.xml"/><Relationship Id="rId199" Type="http://schemas.openxmlformats.org/officeDocument/2006/relationships/footer" Target="footer69.xml"/><Relationship Id="rId200" Type="http://schemas.openxmlformats.org/officeDocument/2006/relationships/header" Target="header67.xml"/><Relationship Id="rId201" Type="http://schemas.openxmlformats.org/officeDocument/2006/relationships/footer" Target="footer70.xml"/><Relationship Id="rId202" Type="http://schemas.openxmlformats.org/officeDocument/2006/relationships/header" Target="header68.xml"/><Relationship Id="rId203" Type="http://schemas.openxmlformats.org/officeDocument/2006/relationships/footer" Target="footer71.xml"/><Relationship Id="rId204" Type="http://schemas.openxmlformats.org/officeDocument/2006/relationships/header" Target="header69.xml"/><Relationship Id="rId205" Type="http://schemas.openxmlformats.org/officeDocument/2006/relationships/footer" Target="footer72.xml"/><Relationship Id="rId206" Type="http://schemas.openxmlformats.org/officeDocument/2006/relationships/header" Target="header70.xml"/><Relationship Id="rId207" Type="http://schemas.openxmlformats.org/officeDocument/2006/relationships/footer" Target="footer73.xml"/><Relationship Id="rId208" Type="http://schemas.openxmlformats.org/officeDocument/2006/relationships/footer" Target="footer74.xml"/><Relationship Id="rId209" Type="http://schemas.openxmlformats.org/officeDocument/2006/relationships/header" Target="header71.xml"/><Relationship Id="rId210" Type="http://schemas.openxmlformats.org/officeDocument/2006/relationships/header" Target="header72.xml"/><Relationship Id="rId211" Type="http://schemas.openxmlformats.org/officeDocument/2006/relationships/footer" Target="footer75.xml"/><Relationship Id="rId212" Type="http://schemas.openxmlformats.org/officeDocument/2006/relationships/footer" Target="footer76.xml"/><Relationship Id="rId213" Type="http://schemas.openxmlformats.org/officeDocument/2006/relationships/header" Target="header73.xml"/><Relationship Id="rId214" Type="http://schemas.openxmlformats.org/officeDocument/2006/relationships/header" Target="header74.xml"/><Relationship Id="rId215" Type="http://schemas.openxmlformats.org/officeDocument/2006/relationships/footer" Target="footer77.xml"/><Relationship Id="rId216" Type="http://schemas.openxmlformats.org/officeDocument/2006/relationships/header" Target="header75.xml"/><Relationship Id="rId217" Type="http://schemas.openxmlformats.org/officeDocument/2006/relationships/footer" Target="footer78.xml"/><Relationship Id="rId218" Type="http://schemas.openxmlformats.org/officeDocument/2006/relationships/header" Target="header76.xml"/><Relationship Id="rId219" Type="http://schemas.openxmlformats.org/officeDocument/2006/relationships/footer" Target="footer79.xml"/><Relationship Id="rId220" Type="http://schemas.openxmlformats.org/officeDocument/2006/relationships/header" Target="header77.xml"/><Relationship Id="rId221" Type="http://schemas.openxmlformats.org/officeDocument/2006/relationships/footer" Target="footer80.xml"/><Relationship Id="rId222" Type="http://schemas.openxmlformats.org/officeDocument/2006/relationships/header" Target="header78.xml"/><Relationship Id="rId223" Type="http://schemas.openxmlformats.org/officeDocument/2006/relationships/header" Target="header79.xml"/><Relationship Id="rId224" Type="http://schemas.openxmlformats.org/officeDocument/2006/relationships/footer" Target="footer81.xml"/><Relationship Id="rId225" Type="http://schemas.openxmlformats.org/officeDocument/2006/relationships/footer" Target="footer82.xml"/><Relationship Id="rId226" Type="http://schemas.openxmlformats.org/officeDocument/2006/relationships/image" Target="media/image50.png"/><Relationship Id="rId227" Type="http://schemas.openxmlformats.org/officeDocument/2006/relationships/header" Target="header80.xml"/><Relationship Id="rId228" Type="http://schemas.openxmlformats.org/officeDocument/2006/relationships/footer" Target="footer83.xml"/><Relationship Id="rId229" Type="http://schemas.openxmlformats.org/officeDocument/2006/relationships/footer" Target="footer84.xml"/><Relationship Id="rId230" Type="http://schemas.openxmlformats.org/officeDocument/2006/relationships/header" Target="header81.xml"/><Relationship Id="rId231" Type="http://schemas.openxmlformats.org/officeDocument/2006/relationships/header" Target="header82.xml"/><Relationship Id="rId232" Type="http://schemas.openxmlformats.org/officeDocument/2006/relationships/footer" Target="footer85.xml"/><Relationship Id="rId233" Type="http://schemas.openxmlformats.org/officeDocument/2006/relationships/footer" Target="footer86.xml"/><Relationship Id="rId234" Type="http://schemas.openxmlformats.org/officeDocument/2006/relationships/header" Target="header83.xml"/><Relationship Id="rId235" Type="http://schemas.openxmlformats.org/officeDocument/2006/relationships/header" Target="header84.xml"/><Relationship Id="rId236" Type="http://schemas.openxmlformats.org/officeDocument/2006/relationships/header" Target="header85.xml"/><Relationship Id="rId237" Type="http://schemas.openxmlformats.org/officeDocument/2006/relationships/footer" Target="footer87.xml"/><Relationship Id="rId238" Type="http://schemas.openxmlformats.org/officeDocument/2006/relationships/footer" Target="footer88.xml"/><Relationship Id="rId239" Type="http://schemas.openxmlformats.org/officeDocument/2006/relationships/image" Target="media/image51.png"/><Relationship Id="rId240" Type="http://schemas.openxmlformats.org/officeDocument/2006/relationships/image" Target="media/image52.png"/><Relationship Id="rId241" Type="http://schemas.openxmlformats.org/officeDocument/2006/relationships/image" Target="media/image53.png"/><Relationship Id="rId242" Type="http://schemas.openxmlformats.org/officeDocument/2006/relationships/header" Target="header86.xml"/><Relationship Id="rId243" Type="http://schemas.openxmlformats.org/officeDocument/2006/relationships/footer" Target="footer89.xml"/><Relationship Id="rId244" Type="http://schemas.openxmlformats.org/officeDocument/2006/relationships/image" Target="media/image54.png"/><Relationship Id="rId245" Type="http://schemas.openxmlformats.org/officeDocument/2006/relationships/header" Target="header87.xml"/><Relationship Id="rId246" Type="http://schemas.openxmlformats.org/officeDocument/2006/relationships/footer" Target="footer90.xml"/><Relationship Id="rId247" Type="http://schemas.openxmlformats.org/officeDocument/2006/relationships/image" Target="media/image55.jpeg"/><Relationship Id="rId248" Type="http://schemas.openxmlformats.org/officeDocument/2006/relationships/header" Target="header88.xml"/><Relationship Id="rId249" Type="http://schemas.openxmlformats.org/officeDocument/2006/relationships/footer" Target="footer91.xml"/><Relationship Id="rId250" Type="http://schemas.openxmlformats.org/officeDocument/2006/relationships/footer" Target="footer92.xml"/><Relationship Id="rId251" Type="http://schemas.openxmlformats.org/officeDocument/2006/relationships/header" Target="header89.xml"/><Relationship Id="rId252" Type="http://schemas.openxmlformats.org/officeDocument/2006/relationships/header" Target="header90.xml"/><Relationship Id="rId253" Type="http://schemas.openxmlformats.org/officeDocument/2006/relationships/header" Target="header91.xml"/><Relationship Id="rId254" Type="http://schemas.openxmlformats.org/officeDocument/2006/relationships/footer" Target="footer93.xml"/><Relationship Id="rId255" Type="http://schemas.openxmlformats.org/officeDocument/2006/relationships/footer" Target="footer94.xml"/><Relationship Id="rId256" Type="http://schemas.openxmlformats.org/officeDocument/2006/relationships/image" Target="media/image56.png"/><Relationship Id="rId257" Type="http://schemas.openxmlformats.org/officeDocument/2006/relationships/image" Target="media/image57.png"/><Relationship Id="rId258" Type="http://schemas.openxmlformats.org/officeDocument/2006/relationships/image" Target="media/image58.png"/><Relationship Id="rId259" Type="http://schemas.openxmlformats.org/officeDocument/2006/relationships/hyperlink" Target="http://www.christopherreeve.org/" TargetMode="External"/><Relationship Id="rId260" Type="http://schemas.openxmlformats.org/officeDocument/2006/relationships/image" Target="media/image59.png"/><Relationship Id="rId261" Type="http://schemas.openxmlformats.org/officeDocument/2006/relationships/hyperlink" Target="http://www.dignityindying.org.uk/" TargetMode="External"/><Relationship Id="rId262" Type="http://schemas.openxmlformats.org/officeDocument/2006/relationships/image" Target="media/image60.png"/><Relationship Id="rId263" Type="http://schemas.openxmlformats.org/officeDocument/2006/relationships/hyperlink" Target="http://www.euthanasia.com/" TargetMode="External"/><Relationship Id="rId264" Type="http://schemas.openxmlformats.org/officeDocument/2006/relationships/image" Target="media/image61.png"/><Relationship Id="rId265" Type="http://schemas.openxmlformats.org/officeDocument/2006/relationships/hyperlink" Target="http://www/" TargetMode="External"/><Relationship Id="rId266" Type="http://schemas.openxmlformats.org/officeDocument/2006/relationships/hyperlink" Target="http://www.catholicchurch.org.uk/" TargetMode="External"/><Relationship Id="rId267" Type="http://schemas.openxmlformats.org/officeDocument/2006/relationships/hyperlink" Target="http://www.cofe.anglican.org/news/news_item.2004-" TargetMode="External"/><Relationship Id="rId268" Type="http://schemas.openxmlformats.org/officeDocument/2006/relationships/hyperlink" Target="http://www.methodist.org.uk/index" TargetMode="External"/><Relationship Id="rId269" Type="http://schemas.openxmlformats.org/officeDocument/2006/relationships/image" Target="media/image62.png"/><Relationship Id="rId270" Type="http://schemas.openxmlformats.org/officeDocument/2006/relationships/hyperlink" Target="http://www.livingwithdignity.info/ndy_home.html)" TargetMode="External"/><Relationship Id="rId271" Type="http://schemas.openxmlformats.org/officeDocument/2006/relationships/hyperlink" Target="http://www.parliament.the-stationery-office.co.uk/" TargetMode="External"/><Relationship Id="rId272" Type="http://schemas.openxmlformats.org/officeDocument/2006/relationships/hyperlink" Target="http://www.scottish.parliament.uk/business/bills/pdfs/mb-" TargetMode="External"/><Relationship Id="rId273" Type="http://schemas.openxmlformats.org/officeDocument/2006/relationships/header" Target="header92.xml"/><Relationship Id="rId274" Type="http://schemas.openxmlformats.org/officeDocument/2006/relationships/header" Target="header93.xml"/><Relationship Id="rId275" Type="http://schemas.openxmlformats.org/officeDocument/2006/relationships/footer" Target="footer95.xml"/><Relationship Id="rId276" Type="http://schemas.openxmlformats.org/officeDocument/2006/relationships/footer" Target="footer96.xml"/><Relationship Id="rId277" Type="http://schemas.openxmlformats.org/officeDocument/2006/relationships/header" Target="header94.xml"/><Relationship Id="rId278" Type="http://schemas.openxmlformats.org/officeDocument/2006/relationships/header" Target="header95.xml"/><Relationship Id="rId279" Type="http://schemas.openxmlformats.org/officeDocument/2006/relationships/footer" Target="footer97.xml"/><Relationship Id="rId280" Type="http://schemas.openxmlformats.org/officeDocument/2006/relationships/footer" Target="footer98.xml"/><Relationship Id="rId281" Type="http://schemas.openxmlformats.org/officeDocument/2006/relationships/header" Target="header96.xml"/><Relationship Id="rId282" Type="http://schemas.openxmlformats.org/officeDocument/2006/relationships/footer" Target="footer99.xml"/><Relationship Id="rId283" Type="http://schemas.openxmlformats.org/officeDocument/2006/relationships/footer" Target="footer100.xml"/><Relationship Id="rId284" Type="http://schemas.openxmlformats.org/officeDocument/2006/relationships/header" Target="header97.xml"/><Relationship Id="rId285" Type="http://schemas.openxmlformats.org/officeDocument/2006/relationships/hyperlink" Target="http://www.parishnursing.co.uk/" TargetMode="External"/><Relationship Id="rId286" Type="http://schemas.openxmlformats.org/officeDocument/2006/relationships/header" Target="header98.xml"/><Relationship Id="rId287" Type="http://schemas.openxmlformats.org/officeDocument/2006/relationships/header" Target="header99.xml"/><Relationship Id="rId288" Type="http://schemas.openxmlformats.org/officeDocument/2006/relationships/header" Target="header100.xml"/><Relationship Id="rId289" Type="http://schemas.openxmlformats.org/officeDocument/2006/relationships/footer" Target="footer101.xml"/><Relationship Id="rId290" Type="http://schemas.openxmlformats.org/officeDocument/2006/relationships/footer" Target="footer102.xml"/><Relationship Id="rId291" Type="http://schemas.openxmlformats.org/officeDocument/2006/relationships/header" Target="header101.xml"/><Relationship Id="rId292" Type="http://schemas.openxmlformats.org/officeDocument/2006/relationships/header" Target="header102.xml"/><Relationship Id="rId293" Type="http://schemas.openxmlformats.org/officeDocument/2006/relationships/footer" Target="footer103.xml"/><Relationship Id="rId294" Type="http://schemas.openxmlformats.org/officeDocument/2006/relationships/footer" Target="footer104.xml"/><Relationship Id="rId295" Type="http://schemas.openxmlformats.org/officeDocument/2006/relationships/header" Target="header103.xml"/><Relationship Id="rId296" Type="http://schemas.openxmlformats.org/officeDocument/2006/relationships/footer" Target="footer105.xml"/><Relationship Id="rId297" Type="http://schemas.openxmlformats.org/officeDocument/2006/relationships/footer" Target="footer106.xml"/><Relationship Id="rId298" Type="http://schemas.openxmlformats.org/officeDocument/2006/relationships/header" Target="header104.xml"/><Relationship Id="rId299" Type="http://schemas.openxmlformats.org/officeDocument/2006/relationships/header" Target="header105.xml"/><Relationship Id="rId300" Type="http://schemas.openxmlformats.org/officeDocument/2006/relationships/footer" Target="footer107.xml"/><Relationship Id="rId301" Type="http://schemas.openxmlformats.org/officeDocument/2006/relationships/footer" Target="footer108.xml"/><Relationship Id="rId302" Type="http://schemas.openxmlformats.org/officeDocument/2006/relationships/header" Target="header106.xml"/><Relationship Id="rId303" Type="http://schemas.openxmlformats.org/officeDocument/2006/relationships/hyperlink" Target="http://www.crosswayscentre.org.uk/" TargetMode="External"/><Relationship Id="rId304" Type="http://schemas.openxmlformats.org/officeDocument/2006/relationships/header" Target="header107.xml"/><Relationship Id="rId305" Type="http://schemas.openxmlformats.org/officeDocument/2006/relationships/footer" Target="footer109.xml"/><Relationship Id="rId306" Type="http://schemas.openxmlformats.org/officeDocument/2006/relationships/header" Target="header108.xml"/><Relationship Id="rId307" Type="http://schemas.openxmlformats.org/officeDocument/2006/relationships/footer" Target="footer110.xml"/><Relationship Id="rId308" Type="http://schemas.openxmlformats.org/officeDocument/2006/relationships/image" Target="media/image63.png"/><Relationship Id="rId309" Type="http://schemas.openxmlformats.org/officeDocument/2006/relationships/image" Target="media/image64.jpeg"/><Relationship Id="rId310" Type="http://schemas.openxmlformats.org/officeDocument/2006/relationships/image" Target="media/image65.png"/><Relationship Id="rId311" Type="http://schemas.openxmlformats.org/officeDocument/2006/relationships/image" Target="media/image66.png"/><Relationship Id="rId312" Type="http://schemas.openxmlformats.org/officeDocument/2006/relationships/image" Target="media/image67.jpeg"/><Relationship Id="rId313" Type="http://schemas.openxmlformats.org/officeDocument/2006/relationships/image" Target="media/image68.png"/><Relationship Id="rId314" Type="http://schemas.openxmlformats.org/officeDocument/2006/relationships/image" Target="media/image69.jpeg"/><Relationship Id="rId315" Type="http://schemas.openxmlformats.org/officeDocument/2006/relationships/header" Target="header109.xml"/><Relationship Id="rId316" Type="http://schemas.openxmlformats.org/officeDocument/2006/relationships/footer" Target="footer111.xml"/><Relationship Id="rId317" Type="http://schemas.openxmlformats.org/officeDocument/2006/relationships/header" Target="header110.xml"/><Relationship Id="rId318" Type="http://schemas.openxmlformats.org/officeDocument/2006/relationships/footer" Target="footer112.xml"/><Relationship Id="rId319" Type="http://schemas.openxmlformats.org/officeDocument/2006/relationships/header" Target="header111.xml"/><Relationship Id="rId320" Type="http://schemas.openxmlformats.org/officeDocument/2006/relationships/header" Target="header112.xml"/><Relationship Id="rId321" Type="http://schemas.openxmlformats.org/officeDocument/2006/relationships/footer" Target="footer113.xml"/><Relationship Id="rId322" Type="http://schemas.openxmlformats.org/officeDocument/2006/relationships/footer" Target="footer114.xml"/><Relationship Id="rId323" Type="http://schemas.openxmlformats.org/officeDocument/2006/relationships/hyperlink" Target="http://www.english-heritage.org.uk/server/show/conWebDoc.2422" TargetMode="External"/><Relationship Id="rId324" Type="http://schemas.openxmlformats.org/officeDocument/2006/relationships/hyperlink" Target="http://www.historic-scotland.gov.uk/index/historicbuildings/hsandlistedbuildings.htm" TargetMode="External"/><Relationship Id="rId325" Type="http://schemas.openxmlformats.org/officeDocument/2006/relationships/hyperlink" Target="http://www.guardian.co.uk/gambling/" TargetMode="External"/><Relationship Id="rId326" Type="http://schemas.openxmlformats.org/officeDocument/2006/relationships/hyperlink" Target="http://www.gamcare.org.uk/publications.php)" TargetMode="External"/><Relationship Id="rId327" Type="http://schemas.openxmlformats.org/officeDocument/2006/relationships/hyperlink" Target="http://www.methodist.org.uk/static/factsheets/fs_lottery.htm)" TargetMode="External"/><Relationship Id="rId328" Type="http://schemas.openxmlformats.org/officeDocument/2006/relationships/image" Target="media/image70.png"/><Relationship Id="rId329" Type="http://schemas.openxmlformats.org/officeDocument/2006/relationships/header" Target="header113.xml"/><Relationship Id="rId330" Type="http://schemas.openxmlformats.org/officeDocument/2006/relationships/footer" Target="footer115.xml"/><Relationship Id="rId331" Type="http://schemas.openxmlformats.org/officeDocument/2006/relationships/image" Target="media/image71.png"/><Relationship Id="rId332" Type="http://schemas.openxmlformats.org/officeDocument/2006/relationships/image" Target="media/image72.png"/><Relationship Id="rId333" Type="http://schemas.openxmlformats.org/officeDocument/2006/relationships/image" Target="media/image73.png"/><Relationship Id="rId334" Type="http://schemas.openxmlformats.org/officeDocument/2006/relationships/image" Target="media/image74.png"/><Relationship Id="rId335" Type="http://schemas.openxmlformats.org/officeDocument/2006/relationships/image" Target="media/image75.png"/><Relationship Id="rId336" Type="http://schemas.openxmlformats.org/officeDocument/2006/relationships/image" Target="media/image76.png"/><Relationship Id="rId337" Type="http://schemas.openxmlformats.org/officeDocument/2006/relationships/image" Target="media/image77.png"/><Relationship Id="rId338" Type="http://schemas.openxmlformats.org/officeDocument/2006/relationships/image" Target="media/image78.png"/><Relationship Id="rId339" Type="http://schemas.openxmlformats.org/officeDocument/2006/relationships/image" Target="media/image79.png"/><Relationship Id="rId340" Type="http://schemas.openxmlformats.org/officeDocument/2006/relationships/image" Target="media/image80.png"/><Relationship Id="rId341" Type="http://schemas.openxmlformats.org/officeDocument/2006/relationships/header" Target="header114.xml"/><Relationship Id="rId342" Type="http://schemas.openxmlformats.org/officeDocument/2006/relationships/footer" Target="footer116.xml"/><Relationship Id="rId343" Type="http://schemas.openxmlformats.org/officeDocument/2006/relationships/header" Target="header115.xml"/><Relationship Id="rId344" Type="http://schemas.openxmlformats.org/officeDocument/2006/relationships/footer" Target="footer117.xml"/><Relationship Id="rId345" Type="http://schemas.openxmlformats.org/officeDocument/2006/relationships/header" Target="header116.xml"/><Relationship Id="rId346" Type="http://schemas.openxmlformats.org/officeDocument/2006/relationships/header" Target="header117.xml"/><Relationship Id="rId347" Type="http://schemas.openxmlformats.org/officeDocument/2006/relationships/footer" Target="footer118.xml"/><Relationship Id="rId348" Type="http://schemas.openxmlformats.org/officeDocument/2006/relationships/footer" Target="footer119.xml"/><Relationship Id="rId349" Type="http://schemas.openxmlformats.org/officeDocument/2006/relationships/image" Target="media/image81.png"/><Relationship Id="rId350" Type="http://schemas.openxmlformats.org/officeDocument/2006/relationships/image" Target="media/image82.png"/><Relationship Id="rId351" Type="http://schemas.openxmlformats.org/officeDocument/2006/relationships/image" Target="media/image83.png"/><Relationship Id="rId352" Type="http://schemas.openxmlformats.org/officeDocument/2006/relationships/image" Target="media/image84.png"/><Relationship Id="rId353" Type="http://schemas.openxmlformats.org/officeDocument/2006/relationships/image" Target="media/image85.png"/><Relationship Id="rId354" Type="http://schemas.openxmlformats.org/officeDocument/2006/relationships/image" Target="media/image86.png"/><Relationship Id="rId355" Type="http://schemas.openxmlformats.org/officeDocument/2006/relationships/image" Target="media/image87.png"/><Relationship Id="rId356" Type="http://schemas.openxmlformats.org/officeDocument/2006/relationships/header" Target="header118.xml"/><Relationship Id="rId357" Type="http://schemas.openxmlformats.org/officeDocument/2006/relationships/footer" Target="footer120.xml"/><Relationship Id="rId358" Type="http://schemas.openxmlformats.org/officeDocument/2006/relationships/image" Target="media/image88.png"/><Relationship Id="rId359" Type="http://schemas.openxmlformats.org/officeDocument/2006/relationships/image" Target="media/image89.png"/><Relationship Id="rId360" Type="http://schemas.openxmlformats.org/officeDocument/2006/relationships/image" Target="media/image90.png"/><Relationship Id="rId361" Type="http://schemas.openxmlformats.org/officeDocument/2006/relationships/image" Target="media/image91.png"/><Relationship Id="rId362" Type="http://schemas.openxmlformats.org/officeDocument/2006/relationships/image" Target="media/image92.png"/><Relationship Id="rId363" Type="http://schemas.openxmlformats.org/officeDocument/2006/relationships/image" Target="media/image93.png"/><Relationship Id="rId364" Type="http://schemas.openxmlformats.org/officeDocument/2006/relationships/image" Target="media/image94.png"/><Relationship Id="rId365" Type="http://schemas.openxmlformats.org/officeDocument/2006/relationships/image" Target="media/image95.png"/><Relationship Id="rId366" Type="http://schemas.openxmlformats.org/officeDocument/2006/relationships/image" Target="media/image96.png"/><Relationship Id="rId367" Type="http://schemas.openxmlformats.org/officeDocument/2006/relationships/image" Target="media/image97.png"/><Relationship Id="rId368" Type="http://schemas.openxmlformats.org/officeDocument/2006/relationships/image" Target="media/image98.png"/><Relationship Id="rId369" Type="http://schemas.openxmlformats.org/officeDocument/2006/relationships/image" Target="media/image99.png"/><Relationship Id="rId370" Type="http://schemas.openxmlformats.org/officeDocument/2006/relationships/image" Target="media/image100.png"/><Relationship Id="rId371" Type="http://schemas.openxmlformats.org/officeDocument/2006/relationships/image" Target="media/image101.png"/><Relationship Id="rId372" Type="http://schemas.openxmlformats.org/officeDocument/2006/relationships/image" Target="media/image102.png"/><Relationship Id="rId373" Type="http://schemas.openxmlformats.org/officeDocument/2006/relationships/image" Target="media/image103.jpeg"/><Relationship Id="rId374" Type="http://schemas.openxmlformats.org/officeDocument/2006/relationships/image" Target="media/image104.png"/><Relationship Id="rId375" Type="http://schemas.openxmlformats.org/officeDocument/2006/relationships/image" Target="media/image105.png"/><Relationship Id="rId376" Type="http://schemas.openxmlformats.org/officeDocument/2006/relationships/image" Target="media/image106.png"/><Relationship Id="rId377" Type="http://schemas.openxmlformats.org/officeDocument/2006/relationships/image" Target="media/image107.png"/><Relationship Id="rId378" Type="http://schemas.openxmlformats.org/officeDocument/2006/relationships/image" Target="media/image108.png"/><Relationship Id="rId379" Type="http://schemas.openxmlformats.org/officeDocument/2006/relationships/image" Target="media/image109.png"/><Relationship Id="rId380" Type="http://schemas.openxmlformats.org/officeDocument/2006/relationships/image" Target="media/image110.png"/><Relationship Id="rId381" Type="http://schemas.openxmlformats.org/officeDocument/2006/relationships/image" Target="media/image111.png"/><Relationship Id="rId382" Type="http://schemas.openxmlformats.org/officeDocument/2006/relationships/image" Target="media/image112.png"/><Relationship Id="rId383" Type="http://schemas.openxmlformats.org/officeDocument/2006/relationships/image" Target="media/image113.png"/><Relationship Id="rId384" Type="http://schemas.openxmlformats.org/officeDocument/2006/relationships/image" Target="media/image114.png"/><Relationship Id="rId385" Type="http://schemas.openxmlformats.org/officeDocument/2006/relationships/image" Target="media/image115.png"/><Relationship Id="rId386" Type="http://schemas.openxmlformats.org/officeDocument/2006/relationships/image" Target="media/image116.png"/><Relationship Id="rId387" Type="http://schemas.openxmlformats.org/officeDocument/2006/relationships/image" Target="media/image117.png"/><Relationship Id="rId388" Type="http://schemas.openxmlformats.org/officeDocument/2006/relationships/image" Target="media/image118.png"/><Relationship Id="rId389" Type="http://schemas.openxmlformats.org/officeDocument/2006/relationships/image" Target="media/image119.png"/><Relationship Id="rId390" Type="http://schemas.openxmlformats.org/officeDocument/2006/relationships/image" Target="media/image120.png"/><Relationship Id="rId391" Type="http://schemas.openxmlformats.org/officeDocument/2006/relationships/image" Target="media/image121.png"/><Relationship Id="rId392" Type="http://schemas.openxmlformats.org/officeDocument/2006/relationships/image" Target="media/image122.png"/><Relationship Id="rId393" Type="http://schemas.openxmlformats.org/officeDocument/2006/relationships/image" Target="media/image123.png"/><Relationship Id="rId394" Type="http://schemas.openxmlformats.org/officeDocument/2006/relationships/image" Target="media/image124.png"/><Relationship Id="rId395" Type="http://schemas.openxmlformats.org/officeDocument/2006/relationships/image" Target="media/image125.png"/><Relationship Id="rId396" Type="http://schemas.openxmlformats.org/officeDocument/2006/relationships/image" Target="media/image126.png"/><Relationship Id="rId397" Type="http://schemas.openxmlformats.org/officeDocument/2006/relationships/image" Target="media/image127.png"/><Relationship Id="rId398" Type="http://schemas.openxmlformats.org/officeDocument/2006/relationships/image" Target="media/image128.png"/><Relationship Id="rId399" Type="http://schemas.openxmlformats.org/officeDocument/2006/relationships/image" Target="media/image129.png"/><Relationship Id="rId400" Type="http://schemas.openxmlformats.org/officeDocument/2006/relationships/image" Target="media/image130.png"/><Relationship Id="rId401" Type="http://schemas.openxmlformats.org/officeDocument/2006/relationships/image" Target="media/image131.png"/><Relationship Id="rId402" Type="http://schemas.openxmlformats.org/officeDocument/2006/relationships/image" Target="media/image132.png"/><Relationship Id="rId403" Type="http://schemas.openxmlformats.org/officeDocument/2006/relationships/image" Target="media/image133.png"/><Relationship Id="rId404" Type="http://schemas.openxmlformats.org/officeDocument/2006/relationships/image" Target="media/image134.png"/><Relationship Id="rId405" Type="http://schemas.openxmlformats.org/officeDocument/2006/relationships/image" Target="media/image135.png"/><Relationship Id="rId406" Type="http://schemas.openxmlformats.org/officeDocument/2006/relationships/image" Target="media/image136.png"/><Relationship Id="rId407" Type="http://schemas.openxmlformats.org/officeDocument/2006/relationships/image" Target="media/image137.jpeg"/><Relationship Id="rId408" Type="http://schemas.openxmlformats.org/officeDocument/2006/relationships/image" Target="media/image138.png"/><Relationship Id="rId409" Type="http://schemas.openxmlformats.org/officeDocument/2006/relationships/hyperlink" Target="http://www.ecocongregation.org/" TargetMode="External"/><Relationship Id="rId410" Type="http://schemas.openxmlformats.org/officeDocument/2006/relationships/header" Target="header119.xml"/><Relationship Id="rId411" Type="http://schemas.openxmlformats.org/officeDocument/2006/relationships/footer" Target="footer121.xml"/><Relationship Id="rId412" Type="http://schemas.openxmlformats.org/officeDocument/2006/relationships/image" Target="media/image139.png"/><Relationship Id="rId413" Type="http://schemas.openxmlformats.org/officeDocument/2006/relationships/header" Target="header120.xml"/><Relationship Id="rId414" Type="http://schemas.openxmlformats.org/officeDocument/2006/relationships/footer" Target="footer122.xml"/><Relationship Id="rId415" Type="http://schemas.openxmlformats.org/officeDocument/2006/relationships/image" Target="media/image140.png"/><Relationship Id="rId416" Type="http://schemas.openxmlformats.org/officeDocument/2006/relationships/image" Target="media/image141.jpeg"/><Relationship Id="rId417" Type="http://schemas.openxmlformats.org/officeDocument/2006/relationships/image" Target="media/image142.png"/><Relationship Id="rId418" Type="http://schemas.openxmlformats.org/officeDocument/2006/relationships/image" Target="media/image143.png"/><Relationship Id="rId419" Type="http://schemas.openxmlformats.org/officeDocument/2006/relationships/image" Target="media/image144.png"/><Relationship Id="rId420" Type="http://schemas.openxmlformats.org/officeDocument/2006/relationships/image" Target="media/image145.jpeg"/><Relationship Id="rId421" Type="http://schemas.openxmlformats.org/officeDocument/2006/relationships/image" Target="media/image146.png"/><Relationship Id="rId422" Type="http://schemas.openxmlformats.org/officeDocument/2006/relationships/image" Target="media/image147.png"/><Relationship Id="rId423" Type="http://schemas.openxmlformats.org/officeDocument/2006/relationships/image" Target="media/image148.png"/><Relationship Id="rId424" Type="http://schemas.openxmlformats.org/officeDocument/2006/relationships/image" Target="media/image149.jpeg"/><Relationship Id="rId425" Type="http://schemas.openxmlformats.org/officeDocument/2006/relationships/image" Target="media/image150.png"/><Relationship Id="rId426" Type="http://schemas.openxmlformats.org/officeDocument/2006/relationships/image" Target="media/image151.png"/><Relationship Id="rId427" Type="http://schemas.openxmlformats.org/officeDocument/2006/relationships/image" Target="media/image152.png"/><Relationship Id="rId428" Type="http://schemas.openxmlformats.org/officeDocument/2006/relationships/image" Target="media/image153.png"/><Relationship Id="rId429" Type="http://schemas.openxmlformats.org/officeDocument/2006/relationships/image" Target="media/image154.png"/><Relationship Id="rId430" Type="http://schemas.openxmlformats.org/officeDocument/2006/relationships/image" Target="media/image155.png"/><Relationship Id="rId431" Type="http://schemas.openxmlformats.org/officeDocument/2006/relationships/image" Target="media/image156.png"/><Relationship Id="rId432" Type="http://schemas.openxmlformats.org/officeDocument/2006/relationships/image" Target="media/image157.png"/><Relationship Id="rId433" Type="http://schemas.openxmlformats.org/officeDocument/2006/relationships/image" Target="media/image158.png"/><Relationship Id="rId434" Type="http://schemas.openxmlformats.org/officeDocument/2006/relationships/image" Target="media/image159.png"/><Relationship Id="rId435" Type="http://schemas.openxmlformats.org/officeDocument/2006/relationships/image" Target="media/image160.png"/><Relationship Id="rId436" Type="http://schemas.openxmlformats.org/officeDocument/2006/relationships/image" Target="media/image161.png"/><Relationship Id="rId437" Type="http://schemas.openxmlformats.org/officeDocument/2006/relationships/header" Target="header121.xml"/><Relationship Id="rId438" Type="http://schemas.openxmlformats.org/officeDocument/2006/relationships/footer" Target="footer123.xml"/><Relationship Id="rId439" Type="http://schemas.openxmlformats.org/officeDocument/2006/relationships/header" Target="header122.xml"/><Relationship Id="rId440" Type="http://schemas.openxmlformats.org/officeDocument/2006/relationships/footer" Target="footer124.xml"/><Relationship Id="rId441" Type="http://schemas.openxmlformats.org/officeDocument/2006/relationships/header" Target="header123.xml"/><Relationship Id="rId442" Type="http://schemas.openxmlformats.org/officeDocument/2006/relationships/header" Target="header124.xml"/><Relationship Id="rId443" Type="http://schemas.openxmlformats.org/officeDocument/2006/relationships/footer" Target="footer125.xml"/><Relationship Id="rId444" Type="http://schemas.openxmlformats.org/officeDocument/2006/relationships/footer" Target="footer126.xml"/><Relationship Id="rId445" Type="http://schemas.openxmlformats.org/officeDocument/2006/relationships/header" Target="header125.xml"/><Relationship Id="rId446" Type="http://schemas.openxmlformats.org/officeDocument/2006/relationships/header" Target="header126.xml"/><Relationship Id="rId447" Type="http://schemas.openxmlformats.org/officeDocument/2006/relationships/footer" Target="footer127.xml"/><Relationship Id="rId448" Type="http://schemas.openxmlformats.org/officeDocument/2006/relationships/footer" Target="footer128.xml"/><Relationship Id="rId449" Type="http://schemas.openxmlformats.org/officeDocument/2006/relationships/header" Target="header127.xml"/><Relationship Id="rId450" Type="http://schemas.openxmlformats.org/officeDocument/2006/relationships/footer" Target="footer129.xml"/><Relationship Id="rId451" Type="http://schemas.openxmlformats.org/officeDocument/2006/relationships/image" Target="media/image162.png"/><Relationship Id="rId452" Type="http://schemas.openxmlformats.org/officeDocument/2006/relationships/image" Target="media/image163.jpeg"/><Relationship Id="rId453" Type="http://schemas.openxmlformats.org/officeDocument/2006/relationships/image" Target="media/image164.png"/><Relationship Id="rId454" Type="http://schemas.openxmlformats.org/officeDocument/2006/relationships/image" Target="media/image165.png"/><Relationship Id="rId455" Type="http://schemas.openxmlformats.org/officeDocument/2006/relationships/image" Target="media/image166.png"/><Relationship Id="rId456" Type="http://schemas.openxmlformats.org/officeDocument/2006/relationships/image" Target="media/image167.jpeg"/><Relationship Id="rId457" Type="http://schemas.openxmlformats.org/officeDocument/2006/relationships/image" Target="media/image168.jpeg"/><Relationship Id="rId458" Type="http://schemas.openxmlformats.org/officeDocument/2006/relationships/image" Target="media/image169.png"/><Relationship Id="rId459" Type="http://schemas.openxmlformats.org/officeDocument/2006/relationships/image" Target="media/image170.png"/><Relationship Id="rId460" Type="http://schemas.openxmlformats.org/officeDocument/2006/relationships/image" Target="media/image171.png"/><Relationship Id="rId461" Type="http://schemas.openxmlformats.org/officeDocument/2006/relationships/header" Target="header128.xml"/><Relationship Id="rId462" Type="http://schemas.openxmlformats.org/officeDocument/2006/relationships/header" Target="header129.xml"/><Relationship Id="rId463" Type="http://schemas.openxmlformats.org/officeDocument/2006/relationships/footer" Target="footer130.xml"/><Relationship Id="rId464" Type="http://schemas.openxmlformats.org/officeDocument/2006/relationships/header" Target="header130.xml"/><Relationship Id="rId465" Type="http://schemas.openxmlformats.org/officeDocument/2006/relationships/header" Target="header131.xml"/><Relationship Id="rId466" Type="http://schemas.openxmlformats.org/officeDocument/2006/relationships/footer" Target="footer131.xml"/><Relationship Id="rId467" Type="http://schemas.openxmlformats.org/officeDocument/2006/relationships/footer" Target="footer132.xml"/><Relationship Id="rId468" Type="http://schemas.openxmlformats.org/officeDocument/2006/relationships/header" Target="header132.xml"/><Relationship Id="rId469" Type="http://schemas.openxmlformats.org/officeDocument/2006/relationships/header" Target="header133.xml"/><Relationship Id="rId470" Type="http://schemas.openxmlformats.org/officeDocument/2006/relationships/footer" Target="footer133.xml"/><Relationship Id="rId471" Type="http://schemas.openxmlformats.org/officeDocument/2006/relationships/footer" Target="footer134.xml"/><Relationship Id="rId472" Type="http://schemas.openxmlformats.org/officeDocument/2006/relationships/header" Target="header134.xml"/><Relationship Id="rId473" Type="http://schemas.openxmlformats.org/officeDocument/2006/relationships/footer" Target="footer135.xml"/><Relationship Id="rId474" Type="http://schemas.openxmlformats.org/officeDocument/2006/relationships/image" Target="media/image172.jpeg"/><Relationship Id="rId475" Type="http://schemas.openxmlformats.org/officeDocument/2006/relationships/image" Target="media/image173.jpeg"/><Relationship Id="rId476" Type="http://schemas.openxmlformats.org/officeDocument/2006/relationships/header" Target="header135.xml"/><Relationship Id="rId477" Type="http://schemas.openxmlformats.org/officeDocument/2006/relationships/footer" Target="footer136.xml"/><Relationship Id="rId478" Type="http://schemas.openxmlformats.org/officeDocument/2006/relationships/header" Target="header136.xml"/><Relationship Id="rId479" Type="http://schemas.openxmlformats.org/officeDocument/2006/relationships/footer" Target="footer137.xml"/><Relationship Id="rId480" Type="http://schemas.openxmlformats.org/officeDocument/2006/relationships/header" Target="header137.xml"/><Relationship Id="rId481" Type="http://schemas.openxmlformats.org/officeDocument/2006/relationships/footer" Target="footer138.xml"/><Relationship Id="rId482" Type="http://schemas.openxmlformats.org/officeDocument/2006/relationships/header" Target="header138.xml"/><Relationship Id="rId483" Type="http://schemas.openxmlformats.org/officeDocument/2006/relationships/footer" Target="footer139.xml"/><Relationship Id="rId484" Type="http://schemas.openxmlformats.org/officeDocument/2006/relationships/header" Target="header139.xml"/><Relationship Id="rId485" Type="http://schemas.openxmlformats.org/officeDocument/2006/relationships/footer" Target="footer140.xml"/><Relationship Id="rId486" Type="http://schemas.openxmlformats.org/officeDocument/2006/relationships/header" Target="header140.xml"/><Relationship Id="rId487" Type="http://schemas.openxmlformats.org/officeDocument/2006/relationships/footer" Target="footer141.xml"/><Relationship Id="rId488" Type="http://schemas.openxmlformats.org/officeDocument/2006/relationships/header" Target="header141.xml"/><Relationship Id="rId489" Type="http://schemas.openxmlformats.org/officeDocument/2006/relationships/footer" Target="footer142.xml"/><Relationship Id="rId490" Type="http://schemas.openxmlformats.org/officeDocument/2006/relationships/header" Target="header142.xml"/><Relationship Id="rId491" Type="http://schemas.openxmlformats.org/officeDocument/2006/relationships/footer" Target="footer143.xml"/><Relationship Id="rId492" Type="http://schemas.openxmlformats.org/officeDocument/2006/relationships/image" Target="media/image174.png"/><Relationship Id="rId493" Type="http://schemas.openxmlformats.org/officeDocument/2006/relationships/header" Target="header143.xml"/><Relationship Id="rId494" Type="http://schemas.openxmlformats.org/officeDocument/2006/relationships/footer" Target="footer144.xml"/><Relationship Id="rId495" Type="http://schemas.openxmlformats.org/officeDocument/2006/relationships/image" Target="media/image175.png"/><Relationship Id="rId496" Type="http://schemas.openxmlformats.org/officeDocument/2006/relationships/header" Target="header144.xml"/><Relationship Id="rId497" Type="http://schemas.openxmlformats.org/officeDocument/2006/relationships/footer" Target="footer145.xml"/><Relationship Id="rId498" Type="http://schemas.openxmlformats.org/officeDocument/2006/relationships/header" Target="header145.xml"/><Relationship Id="rId499" Type="http://schemas.openxmlformats.org/officeDocument/2006/relationships/footer" Target="footer146.xml"/><Relationship Id="rId500" Type="http://schemas.openxmlformats.org/officeDocument/2006/relationships/header" Target="header146.xml"/><Relationship Id="rId501" Type="http://schemas.openxmlformats.org/officeDocument/2006/relationships/footer" Target="footer147.xml"/><Relationship Id="rId502" Type="http://schemas.openxmlformats.org/officeDocument/2006/relationships/header" Target="header147.xml"/><Relationship Id="rId503" Type="http://schemas.openxmlformats.org/officeDocument/2006/relationships/footer" Target="footer148.xml"/><Relationship Id="rId504" Type="http://schemas.openxmlformats.org/officeDocument/2006/relationships/header" Target="header148.xml"/><Relationship Id="rId505" Type="http://schemas.openxmlformats.org/officeDocument/2006/relationships/footer" Target="footer149.xml"/><Relationship Id="rId506" Type="http://schemas.openxmlformats.org/officeDocument/2006/relationships/header" Target="header149.xml"/><Relationship Id="rId507" Type="http://schemas.openxmlformats.org/officeDocument/2006/relationships/header" Target="header150.xml"/><Relationship Id="rId508" Type="http://schemas.openxmlformats.org/officeDocument/2006/relationships/footer" Target="footer150.xml"/><Relationship Id="rId509" Type="http://schemas.openxmlformats.org/officeDocument/2006/relationships/header" Target="header151.xml"/><Relationship Id="rId510" Type="http://schemas.openxmlformats.org/officeDocument/2006/relationships/header" Target="header152.xml"/><Relationship Id="rId511" Type="http://schemas.openxmlformats.org/officeDocument/2006/relationships/footer" Target="footer151.xml"/><Relationship Id="rId512" Type="http://schemas.openxmlformats.org/officeDocument/2006/relationships/header" Target="header153.xml"/><Relationship Id="rId513" Type="http://schemas.openxmlformats.org/officeDocument/2006/relationships/header" Target="header154.xml"/><Relationship Id="rId514" Type="http://schemas.openxmlformats.org/officeDocument/2006/relationships/footer" Target="footer152.xml"/><Relationship Id="rId515" Type="http://schemas.openxmlformats.org/officeDocument/2006/relationships/header" Target="header155.xml"/><Relationship Id="rId516" Type="http://schemas.openxmlformats.org/officeDocument/2006/relationships/header" Target="header156.xml"/><Relationship Id="rId517" Type="http://schemas.openxmlformats.org/officeDocument/2006/relationships/footer" Target="footer153.xml"/><Relationship Id="rId518" Type="http://schemas.openxmlformats.org/officeDocument/2006/relationships/header" Target="header157.xml"/><Relationship Id="rId519" Type="http://schemas.openxmlformats.org/officeDocument/2006/relationships/header" Target="header158.xml"/><Relationship Id="rId520" Type="http://schemas.openxmlformats.org/officeDocument/2006/relationships/footer" Target="footer154.xml"/><Relationship Id="rId521" Type="http://schemas.openxmlformats.org/officeDocument/2006/relationships/header" Target="header159.xml"/><Relationship Id="rId522" Type="http://schemas.openxmlformats.org/officeDocument/2006/relationships/header" Target="header160.xml"/><Relationship Id="rId523" Type="http://schemas.openxmlformats.org/officeDocument/2006/relationships/footer" Target="footer155.xml"/><Relationship Id="rId524" Type="http://schemas.openxmlformats.org/officeDocument/2006/relationships/header" Target="header161.xml"/><Relationship Id="rId525" Type="http://schemas.openxmlformats.org/officeDocument/2006/relationships/header" Target="header162.xml"/><Relationship Id="rId526" Type="http://schemas.openxmlformats.org/officeDocument/2006/relationships/footer" Target="footer156.xml"/><Relationship Id="rId527" Type="http://schemas.openxmlformats.org/officeDocument/2006/relationships/header" Target="header163.xml"/><Relationship Id="rId528" Type="http://schemas.openxmlformats.org/officeDocument/2006/relationships/header" Target="header164.xml"/><Relationship Id="rId529" Type="http://schemas.openxmlformats.org/officeDocument/2006/relationships/footer" Target="footer157.xml"/><Relationship Id="rId530" Type="http://schemas.openxmlformats.org/officeDocument/2006/relationships/header" Target="header165.xml"/><Relationship Id="rId531" Type="http://schemas.openxmlformats.org/officeDocument/2006/relationships/header" Target="header166.xml"/><Relationship Id="rId532" Type="http://schemas.openxmlformats.org/officeDocument/2006/relationships/footer" Target="footer158.xml"/><Relationship Id="rId533" Type="http://schemas.openxmlformats.org/officeDocument/2006/relationships/header" Target="header167.xml"/><Relationship Id="rId534" Type="http://schemas.openxmlformats.org/officeDocument/2006/relationships/header" Target="header168.xml"/><Relationship Id="rId535" Type="http://schemas.openxmlformats.org/officeDocument/2006/relationships/footer" Target="footer159.xml"/><Relationship Id="rId536" Type="http://schemas.openxmlformats.org/officeDocument/2006/relationships/header" Target="header169.xml"/><Relationship Id="rId537" Type="http://schemas.openxmlformats.org/officeDocument/2006/relationships/header" Target="header170.xml"/><Relationship Id="rId538" Type="http://schemas.openxmlformats.org/officeDocument/2006/relationships/footer" Target="footer160.xml"/><Relationship Id="rId539" Type="http://schemas.openxmlformats.org/officeDocument/2006/relationships/header" Target="header171.xml"/><Relationship Id="rId540" Type="http://schemas.openxmlformats.org/officeDocument/2006/relationships/header" Target="header172.xml"/><Relationship Id="rId541" Type="http://schemas.openxmlformats.org/officeDocument/2006/relationships/footer" Target="footer161.xml"/><Relationship Id="rId542" Type="http://schemas.openxmlformats.org/officeDocument/2006/relationships/header" Target="header173.xml"/><Relationship Id="rId543" Type="http://schemas.openxmlformats.org/officeDocument/2006/relationships/header" Target="header174.xml"/><Relationship Id="rId544" Type="http://schemas.openxmlformats.org/officeDocument/2006/relationships/footer" Target="footer162.xml"/><Relationship Id="rId545" Type="http://schemas.openxmlformats.org/officeDocument/2006/relationships/header" Target="header175.xml"/><Relationship Id="rId546" Type="http://schemas.openxmlformats.org/officeDocument/2006/relationships/footer" Target="footer163.xml"/><Relationship Id="rId547" Type="http://schemas.openxmlformats.org/officeDocument/2006/relationships/header" Target="header176.xml"/><Relationship Id="rId548" Type="http://schemas.openxmlformats.org/officeDocument/2006/relationships/footer" Target="footer164.xml"/><Relationship Id="rId549" Type="http://schemas.openxmlformats.org/officeDocument/2006/relationships/header" Target="header177.xml"/><Relationship Id="rId550" Type="http://schemas.openxmlformats.org/officeDocument/2006/relationships/footer" Target="footer165.xml"/><Relationship Id="rId551" Type="http://schemas.openxmlformats.org/officeDocument/2006/relationships/header" Target="header178.xml"/><Relationship Id="rId552" Type="http://schemas.openxmlformats.org/officeDocument/2006/relationships/footer" Target="footer166.xml"/><Relationship Id="rId553" Type="http://schemas.openxmlformats.org/officeDocument/2006/relationships/header" Target="header179.xml"/><Relationship Id="rId554" Type="http://schemas.openxmlformats.org/officeDocument/2006/relationships/footer" Target="footer167.xml"/><Relationship Id="rId555" Type="http://schemas.openxmlformats.org/officeDocument/2006/relationships/image" Target="media/image176.png"/><Relationship Id="rId556" Type="http://schemas.openxmlformats.org/officeDocument/2006/relationships/image" Target="media/image177.jpeg"/><Relationship Id="rId557" Type="http://schemas.openxmlformats.org/officeDocument/2006/relationships/image" Target="media/image178.png"/><Relationship Id="rId558" Type="http://schemas.openxmlformats.org/officeDocument/2006/relationships/image" Target="media/image179.png"/><Relationship Id="rId559" Type="http://schemas.openxmlformats.org/officeDocument/2006/relationships/image" Target="media/image180.jpeg"/><Relationship Id="rId560" Type="http://schemas.openxmlformats.org/officeDocument/2006/relationships/image" Target="media/image181.png"/><Relationship Id="rId561" Type="http://schemas.openxmlformats.org/officeDocument/2006/relationships/image" Target="media/image182.jpeg"/><Relationship Id="rId562" Type="http://schemas.openxmlformats.org/officeDocument/2006/relationships/header" Target="header180.xml"/><Relationship Id="rId563" Type="http://schemas.openxmlformats.org/officeDocument/2006/relationships/footer" Target="footer168.xml"/><Relationship Id="rId564" Type="http://schemas.openxmlformats.org/officeDocument/2006/relationships/header" Target="header181.xml"/><Relationship Id="rId565" Type="http://schemas.openxmlformats.org/officeDocument/2006/relationships/footer" Target="footer169.xml"/><Relationship Id="rId566" Type="http://schemas.openxmlformats.org/officeDocument/2006/relationships/header" Target="header182.xml"/><Relationship Id="rId567" Type="http://schemas.openxmlformats.org/officeDocument/2006/relationships/header" Target="header183.xml"/><Relationship Id="rId568" Type="http://schemas.openxmlformats.org/officeDocument/2006/relationships/footer" Target="footer170.xml"/><Relationship Id="rId569" Type="http://schemas.openxmlformats.org/officeDocument/2006/relationships/footer" Target="footer171.xml"/><Relationship Id="rId570" Type="http://schemas.openxmlformats.org/officeDocument/2006/relationships/header" Target="header184.xml"/><Relationship Id="rId571" Type="http://schemas.openxmlformats.org/officeDocument/2006/relationships/footer" Target="footer172.xml"/><Relationship Id="rId572" Type="http://schemas.openxmlformats.org/officeDocument/2006/relationships/footer" Target="footer173.xml"/><Relationship Id="rId573" Type="http://schemas.openxmlformats.org/officeDocument/2006/relationships/header" Target="header185.xml"/><Relationship Id="rId574" Type="http://schemas.openxmlformats.org/officeDocument/2006/relationships/header" Target="header186.xml"/><Relationship Id="rId575" Type="http://schemas.openxmlformats.org/officeDocument/2006/relationships/footer" Target="footer174.xml"/><Relationship Id="rId576" Type="http://schemas.openxmlformats.org/officeDocument/2006/relationships/footer" Target="footer175.xml"/><Relationship Id="rId577" Type="http://schemas.openxmlformats.org/officeDocument/2006/relationships/header" Target="header187.xml"/><Relationship Id="rId578" Type="http://schemas.openxmlformats.org/officeDocument/2006/relationships/footer" Target="footer176.xml"/><Relationship Id="rId579" Type="http://schemas.openxmlformats.org/officeDocument/2006/relationships/footer" Target="footer177.xml"/><Relationship Id="rId580" Type="http://schemas.openxmlformats.org/officeDocument/2006/relationships/header" Target="header188.xml"/><Relationship Id="rId581" Type="http://schemas.openxmlformats.org/officeDocument/2006/relationships/header" Target="header189.xml"/><Relationship Id="rId582" Type="http://schemas.openxmlformats.org/officeDocument/2006/relationships/footer" Target="footer178.xml"/><Relationship Id="rId583" Type="http://schemas.openxmlformats.org/officeDocument/2006/relationships/footer" Target="footer179.xml"/><Relationship Id="rId584" Type="http://schemas.openxmlformats.org/officeDocument/2006/relationships/header" Target="header190.xml"/><Relationship Id="rId585" Type="http://schemas.openxmlformats.org/officeDocument/2006/relationships/header" Target="header191.xml"/><Relationship Id="rId586" Type="http://schemas.openxmlformats.org/officeDocument/2006/relationships/footer" Target="footer180.xml"/><Relationship Id="rId587" Type="http://schemas.openxmlformats.org/officeDocument/2006/relationships/footer" Target="footer181.xml"/><Relationship Id="rId588" Type="http://schemas.openxmlformats.org/officeDocument/2006/relationships/header" Target="header192.xml"/><Relationship Id="rId589" Type="http://schemas.openxmlformats.org/officeDocument/2006/relationships/header" Target="header193.xml"/><Relationship Id="rId590" Type="http://schemas.openxmlformats.org/officeDocument/2006/relationships/footer" Target="footer182.xml"/><Relationship Id="rId591" Type="http://schemas.openxmlformats.org/officeDocument/2006/relationships/footer" Target="footer183.xml"/><Relationship Id="rId592" Type="http://schemas.openxmlformats.org/officeDocument/2006/relationships/header" Target="header194.xml"/><Relationship Id="rId593" Type="http://schemas.openxmlformats.org/officeDocument/2006/relationships/hyperlink" Target="http://www.urcmusic.org.uk/" TargetMode="External"/><Relationship Id="rId594" Type="http://schemas.openxmlformats.org/officeDocument/2006/relationships/header" Target="header195.xml"/><Relationship Id="rId595" Type="http://schemas.openxmlformats.org/officeDocument/2006/relationships/footer" Target="footer184.xml"/><Relationship Id="rId596" Type="http://schemas.openxmlformats.org/officeDocument/2006/relationships/footer" Target="footer185.xml"/><Relationship Id="rId597" Type="http://schemas.openxmlformats.org/officeDocument/2006/relationships/header" Target="header196.xml"/><Relationship Id="rId598" Type="http://schemas.openxmlformats.org/officeDocument/2006/relationships/hyperlink" Target="http://www.wwdp-natcomm.org/" TargetMode="External"/><Relationship Id="rId599" Type="http://schemas.openxmlformats.org/officeDocument/2006/relationships/header" Target="header197.xml"/><Relationship Id="rId600" Type="http://schemas.openxmlformats.org/officeDocument/2006/relationships/footer" Target="footer186.xml"/><Relationship Id="rId601" Type="http://schemas.openxmlformats.org/officeDocument/2006/relationships/header" Target="header198.xml"/><Relationship Id="rId602" Type="http://schemas.openxmlformats.org/officeDocument/2006/relationships/footer" Target="footer187.xml"/><Relationship Id="rId603" Type="http://schemas.openxmlformats.org/officeDocument/2006/relationships/header" Target="header199.xml"/><Relationship Id="rId604" Type="http://schemas.openxmlformats.org/officeDocument/2006/relationships/footer" Target="footer188.xml"/><Relationship Id="rId605" Type="http://schemas.openxmlformats.org/officeDocument/2006/relationships/footer" Target="footer189.xml"/><Relationship Id="rId606" Type="http://schemas.openxmlformats.org/officeDocument/2006/relationships/header" Target="header200.xml"/><Relationship Id="rId607" Type="http://schemas.openxmlformats.org/officeDocument/2006/relationships/header" Target="header201.xml"/><Relationship Id="rId608" Type="http://schemas.openxmlformats.org/officeDocument/2006/relationships/footer" Target="footer190.xml"/><Relationship Id="rId609" Type="http://schemas.openxmlformats.org/officeDocument/2006/relationships/footer" Target="footer191.xml"/><Relationship Id="rId610" Type="http://schemas.openxmlformats.org/officeDocument/2006/relationships/header" Target="header202.xml"/><Relationship Id="rId611" Type="http://schemas.openxmlformats.org/officeDocument/2006/relationships/footer" Target="footer192.xml"/><Relationship Id="rId612" Type="http://schemas.openxmlformats.org/officeDocument/2006/relationships/image" Target="media/image183.jpeg"/><Relationship Id="rId6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2020-01-17T15:59:55Z</dcterms:created>
  <dcterms:modified xsi:type="dcterms:W3CDTF">2020-01-17T15:59:55Z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2007-09-28T00:00:00Z</vt:filetime>
  </property>
  <property fmtid="{D5CDD505-2E9C-101B-9397-08002B2CF9AE}" pid="3" name="Creator">
    <vt:lpwstr>Adobe InDesign CS2 (4.0.5)</vt:lpwstr>
  </property>
  <property fmtid="{D5CDD505-2E9C-101B-9397-08002B2CF9AE}" pid="4" name="LastSaved">
    <vt:filetime>2020-01-17T00:00:00Z</vt:filetime>
  </property>
</Properties>
</file>